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527"/>
        <w:rPr>
          <w:rFonts w:ascii="Times New Roman"/>
          <w:sz w:val="70"/>
        </w:rPr>
      </w:pPr>
      <w:r>
        <w:rPr>
          <w:rFonts w:ascii="Times New Roman"/>
          <w:sz w:val="70"/>
        </w:rPr>
        <mc:AlternateContent>
          <mc:Choice Requires="wps">
            <w:drawing>
              <wp:anchor distT="0" distB="0" distL="0" distR="0" allowOverlap="1" layoutInCell="1" locked="0" behindDoc="1" simplePos="0" relativeHeight="474956800">
                <wp:simplePos x="0" y="0"/>
                <wp:positionH relativeFrom="page">
                  <wp:posOffset>0</wp:posOffset>
                </wp:positionH>
                <wp:positionV relativeFrom="page">
                  <wp:posOffset>0</wp:posOffset>
                </wp:positionV>
                <wp:extent cx="7772400" cy="7776209"/>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772400" cy="7776209"/>
                          <a:chExt cx="7772400" cy="7776209"/>
                        </a:xfrm>
                      </wpg:grpSpPr>
                      <pic:pic>
                        <pic:nvPicPr>
                          <pic:cNvPr id="2" name="Image 2"/>
                          <pic:cNvPicPr/>
                        </pic:nvPicPr>
                        <pic:blipFill>
                          <a:blip r:embed="rId5" cstate="print"/>
                          <a:stretch>
                            <a:fillRect/>
                          </a:stretch>
                        </pic:blipFill>
                        <pic:spPr>
                          <a:xfrm>
                            <a:off x="0" y="2386761"/>
                            <a:ext cx="7772400" cy="5385638"/>
                          </a:xfrm>
                          <a:prstGeom prst="rect">
                            <a:avLst/>
                          </a:prstGeom>
                        </pic:spPr>
                      </pic:pic>
                      <wps:wsp>
                        <wps:cNvPr id="3" name="Graphic 3"/>
                        <wps:cNvSpPr/>
                        <wps:spPr>
                          <a:xfrm>
                            <a:off x="0" y="0"/>
                            <a:ext cx="7772400" cy="7776209"/>
                          </a:xfrm>
                          <a:custGeom>
                            <a:avLst/>
                            <a:gdLst/>
                            <a:ahLst/>
                            <a:cxnLst/>
                            <a:rect l="l" t="t" r="r" b="b"/>
                            <a:pathLst>
                              <a:path w="7772400" h="7776209">
                                <a:moveTo>
                                  <a:pt x="7772400" y="7343775"/>
                                </a:moveTo>
                                <a:lnTo>
                                  <a:pt x="0" y="7343775"/>
                                </a:lnTo>
                                <a:lnTo>
                                  <a:pt x="0" y="7775829"/>
                                </a:lnTo>
                                <a:lnTo>
                                  <a:pt x="7772400" y="7775829"/>
                                </a:lnTo>
                                <a:lnTo>
                                  <a:pt x="7772400" y="7343775"/>
                                </a:lnTo>
                                <a:close/>
                              </a:path>
                              <a:path w="7772400" h="7776209">
                                <a:moveTo>
                                  <a:pt x="7772400" y="0"/>
                                </a:moveTo>
                                <a:lnTo>
                                  <a:pt x="0" y="0"/>
                                </a:lnTo>
                                <a:lnTo>
                                  <a:pt x="0" y="3203575"/>
                                </a:lnTo>
                                <a:lnTo>
                                  <a:pt x="7772400" y="3203575"/>
                                </a:lnTo>
                                <a:lnTo>
                                  <a:pt x="7772400" y="0"/>
                                </a:lnTo>
                                <a:close/>
                              </a:path>
                            </a:pathLst>
                          </a:custGeom>
                          <a:solidFill>
                            <a:srgbClr val="105C84"/>
                          </a:solidFill>
                        </wps:spPr>
                        <wps:bodyPr wrap="square" lIns="0" tIns="0" rIns="0" bIns="0" rtlCol="0">
                          <a:prstTxWarp prst="textNoShape">
                            <a:avLst/>
                          </a:prstTxWarp>
                          <a:noAutofit/>
                        </wps:bodyPr>
                      </wps:wsp>
                      <pic:pic>
                        <pic:nvPicPr>
                          <pic:cNvPr id="4" name="Image 4"/>
                          <pic:cNvPicPr/>
                        </pic:nvPicPr>
                        <pic:blipFill>
                          <a:blip r:embed="rId6" cstate="print"/>
                          <a:stretch>
                            <a:fillRect/>
                          </a:stretch>
                        </pic:blipFill>
                        <pic:spPr>
                          <a:xfrm>
                            <a:off x="0" y="0"/>
                            <a:ext cx="7504608" cy="1940179"/>
                          </a:xfrm>
                          <a:prstGeom prst="rect">
                            <a:avLst/>
                          </a:prstGeom>
                        </pic:spPr>
                      </pic:pic>
                      <wps:wsp>
                        <wps:cNvPr id="5" name="Graphic 5"/>
                        <wps:cNvSpPr/>
                        <wps:spPr>
                          <a:xfrm>
                            <a:off x="449961" y="2620594"/>
                            <a:ext cx="4320540" cy="439420"/>
                          </a:xfrm>
                          <a:custGeom>
                            <a:avLst/>
                            <a:gdLst/>
                            <a:ahLst/>
                            <a:cxnLst/>
                            <a:rect l="l" t="t" r="r" b="b"/>
                            <a:pathLst>
                              <a:path w="4320540" h="439420">
                                <a:moveTo>
                                  <a:pt x="4320539" y="0"/>
                                </a:moveTo>
                                <a:lnTo>
                                  <a:pt x="0" y="0"/>
                                </a:lnTo>
                                <a:lnTo>
                                  <a:pt x="0" y="438911"/>
                                </a:lnTo>
                                <a:lnTo>
                                  <a:pt x="4320539" y="438911"/>
                                </a:lnTo>
                                <a:lnTo>
                                  <a:pt x="4320539" y="0"/>
                                </a:lnTo>
                                <a:close/>
                              </a:path>
                            </a:pathLst>
                          </a:custGeom>
                          <a:solidFill>
                            <a:srgbClr val="105C84">
                              <a:alpha val="14999"/>
                            </a:srgbClr>
                          </a:solidFill>
                        </wps:spPr>
                        <wps:bodyPr wrap="square" lIns="0" tIns="0" rIns="0" bIns="0" rtlCol="0">
                          <a:prstTxWarp prst="textNoShape">
                            <a:avLst/>
                          </a:prstTxWarp>
                          <a:noAutofit/>
                        </wps:bodyPr>
                      </wps:wsp>
                    </wpg:wgp>
                  </a:graphicData>
                </a:graphic>
              </wp:anchor>
            </w:drawing>
          </mc:Choice>
          <mc:Fallback>
            <w:pict>
              <v:group style="position:absolute;margin-left:-.000003pt;margin-top:0pt;width:612pt;height:612.3pt;mso-position-horizontal-relative:page;mso-position-vertical-relative:page;z-index:-28359680" id="docshapegroup1" coordorigin="0,0" coordsize="12240,12246">
                <v:shape style="position:absolute;left:0;top:3758;width:12240;height:8482" type="#_x0000_t75" id="docshape2" stroked="false">
                  <v:imagedata r:id="rId5" o:title=""/>
                </v:shape>
                <v:shape style="position:absolute;left:0;top:0;width:12240;height:12246" id="docshape3" coordorigin="0,0" coordsize="12240,12246" path="m12240,11565l0,11565,0,12245,12240,12245,12240,11565xm12240,0l0,0,0,5045,12240,5045,12240,0xe" filled="true" fillcolor="#105c84" stroked="false">
                  <v:path arrowok="t"/>
                  <v:fill type="solid"/>
                </v:shape>
                <v:shape style="position:absolute;left:0;top:0;width:11819;height:3056" type="#_x0000_t75" id="docshape4" stroked="false">
                  <v:imagedata r:id="rId6" o:title=""/>
                </v:shape>
                <v:rect style="position:absolute;left:708;top:4126;width:6804;height:692" id="docshape5" filled="true" fillcolor="#105c84" stroked="false">
                  <v:fill opacity="9830f" type="solid"/>
                </v:rect>
                <w10:wrap type="none"/>
              </v:group>
            </w:pict>
          </mc:Fallback>
        </mc:AlternateContent>
      </w:r>
      <w:r>
        <w:rPr>
          <w:rFonts w:ascii="Times New Roman"/>
          <w:sz w:val="70"/>
        </w:rPr>
        <mc:AlternateContent>
          <mc:Choice Requires="wps">
            <w:drawing>
              <wp:anchor distT="0" distB="0" distL="0" distR="0" allowOverlap="1" layoutInCell="1" locked="0" behindDoc="0" simplePos="0" relativeHeight="15730688">
                <wp:simplePos x="0" y="0"/>
                <wp:positionH relativeFrom="page">
                  <wp:posOffset>5930277</wp:posOffset>
                </wp:positionH>
                <wp:positionV relativeFrom="page">
                  <wp:posOffset>8599461</wp:posOffset>
                </wp:positionV>
                <wp:extent cx="1443355" cy="600710"/>
                <wp:effectExtent l="0" t="0" r="0" b="0"/>
                <wp:wrapNone/>
                <wp:docPr id="6" name="Group 6"/>
                <wp:cNvGraphicFramePr>
                  <a:graphicFrameLocks/>
                </wp:cNvGraphicFramePr>
                <a:graphic>
                  <a:graphicData uri="http://schemas.microsoft.com/office/word/2010/wordprocessingGroup">
                    <wpg:wgp>
                      <wpg:cNvPr id="6" name="Group 6"/>
                      <wpg:cNvGrpSpPr/>
                      <wpg:grpSpPr>
                        <a:xfrm>
                          <a:off x="0" y="0"/>
                          <a:ext cx="1443355" cy="600710"/>
                          <a:chExt cx="1443355" cy="600710"/>
                        </a:xfrm>
                      </wpg:grpSpPr>
                      <pic:pic>
                        <pic:nvPicPr>
                          <pic:cNvPr id="7" name="Image 7"/>
                          <pic:cNvPicPr/>
                        </pic:nvPicPr>
                        <pic:blipFill>
                          <a:blip r:embed="rId7" cstate="print"/>
                          <a:stretch>
                            <a:fillRect/>
                          </a:stretch>
                        </pic:blipFill>
                        <pic:spPr>
                          <a:xfrm>
                            <a:off x="0" y="0"/>
                            <a:ext cx="1442794" cy="600417"/>
                          </a:xfrm>
                          <a:prstGeom prst="rect">
                            <a:avLst/>
                          </a:prstGeom>
                        </pic:spPr>
                      </pic:pic>
                      <pic:pic>
                        <pic:nvPicPr>
                          <pic:cNvPr id="8" name="Image 8"/>
                          <pic:cNvPicPr/>
                        </pic:nvPicPr>
                        <pic:blipFill>
                          <a:blip r:embed="rId8" cstate="print"/>
                          <a:stretch>
                            <a:fillRect/>
                          </a:stretch>
                        </pic:blipFill>
                        <pic:spPr>
                          <a:xfrm>
                            <a:off x="505154" y="0"/>
                            <a:ext cx="210832" cy="88239"/>
                          </a:xfrm>
                          <a:prstGeom prst="rect">
                            <a:avLst/>
                          </a:prstGeom>
                        </pic:spPr>
                      </pic:pic>
                      <pic:pic>
                        <pic:nvPicPr>
                          <pic:cNvPr id="9" name="Image 9"/>
                          <pic:cNvPicPr/>
                        </pic:nvPicPr>
                        <pic:blipFill>
                          <a:blip r:embed="rId9" cstate="print"/>
                          <a:stretch>
                            <a:fillRect/>
                          </a:stretch>
                        </pic:blipFill>
                        <pic:spPr>
                          <a:xfrm>
                            <a:off x="715862" y="512140"/>
                            <a:ext cx="216369" cy="87757"/>
                          </a:xfrm>
                          <a:prstGeom prst="rect">
                            <a:avLst/>
                          </a:prstGeom>
                        </pic:spPr>
                      </pic:pic>
                      <pic:pic>
                        <pic:nvPicPr>
                          <pic:cNvPr id="10" name="Image 10"/>
                          <pic:cNvPicPr/>
                        </pic:nvPicPr>
                        <pic:blipFill>
                          <a:blip r:embed="rId10" cstate="print"/>
                          <a:stretch>
                            <a:fillRect/>
                          </a:stretch>
                        </pic:blipFill>
                        <pic:spPr>
                          <a:xfrm>
                            <a:off x="932141" y="0"/>
                            <a:ext cx="210858" cy="88239"/>
                          </a:xfrm>
                          <a:prstGeom prst="rect">
                            <a:avLst/>
                          </a:prstGeom>
                        </pic:spPr>
                      </pic:pic>
                      <pic:pic>
                        <pic:nvPicPr>
                          <pic:cNvPr id="11" name="Image 11"/>
                          <pic:cNvPicPr/>
                        </pic:nvPicPr>
                        <pic:blipFill>
                          <a:blip r:embed="rId11" cstate="print"/>
                          <a:stretch>
                            <a:fillRect/>
                          </a:stretch>
                        </pic:blipFill>
                        <pic:spPr>
                          <a:xfrm>
                            <a:off x="297878" y="512152"/>
                            <a:ext cx="207276" cy="87744"/>
                          </a:xfrm>
                          <a:prstGeom prst="rect">
                            <a:avLst/>
                          </a:prstGeom>
                        </pic:spPr>
                      </pic:pic>
                    </wpg:wgp>
                  </a:graphicData>
                </a:graphic>
              </wp:anchor>
            </w:drawing>
          </mc:Choice>
          <mc:Fallback>
            <w:pict>
              <v:group style="position:absolute;margin-left:466.951019pt;margin-top:677.122986pt;width:113.65pt;height:47.3pt;mso-position-horizontal-relative:page;mso-position-vertical-relative:page;z-index:15730688" id="docshapegroup6" coordorigin="9339,13542" coordsize="2273,946">
                <v:shape style="position:absolute;left:9339;top:13542;width:2273;height:946" type="#_x0000_t75" id="docshape7" stroked="false">
                  <v:imagedata r:id="rId7" o:title=""/>
                </v:shape>
                <v:shape style="position:absolute;left:10134;top:13542;width:333;height:139" type="#_x0000_t75" id="docshape8" stroked="false">
                  <v:imagedata r:id="rId8" o:title=""/>
                </v:shape>
                <v:shape style="position:absolute;left:10466;top:14348;width:341;height:139" type="#_x0000_t75" id="docshape9" stroked="false">
                  <v:imagedata r:id="rId9" o:title=""/>
                </v:shape>
                <v:shape style="position:absolute;left:10806;top:13542;width:333;height:139" type="#_x0000_t75" id="docshape10" stroked="false">
                  <v:imagedata r:id="rId10" o:title=""/>
                </v:shape>
                <v:shape style="position:absolute;left:9808;top:14349;width:327;height:139" type="#_x0000_t75" id="docshape11" stroked="false">
                  <v:imagedata r:id="rId11" o:title=""/>
                </v:shape>
                <w10:wrap type="none"/>
              </v:group>
            </w:pict>
          </mc:Fallback>
        </mc:AlternateContent>
      </w:r>
    </w:p>
    <w:p>
      <w:pPr>
        <w:pStyle w:val="Title"/>
        <w:spacing w:line="225" w:lineRule="auto"/>
      </w:pPr>
      <w:r>
        <w:rPr>
          <w:color w:val="FFFFFF"/>
        </w:rPr>
        <w:t>FINGER LAKES REGIONAL </w:t>
      </w:r>
      <w:r>
        <w:rPr>
          <w:color w:val="FFFFFF"/>
        </w:rPr>
        <w:t>COMMUNITY </w:t>
      </w:r>
      <w:r>
        <w:rPr>
          <w:color w:val="FFFFFF"/>
          <w:spacing w:val="-4"/>
        </w:rPr>
        <w:t>HEALTH</w:t>
      </w:r>
      <w:r>
        <w:rPr>
          <w:color w:val="FFFFFF"/>
          <w:spacing w:val="-45"/>
        </w:rPr>
        <w:t> </w:t>
      </w:r>
      <w:r>
        <w:rPr>
          <w:color w:val="FFFFFF"/>
          <w:spacing w:val="-4"/>
        </w:rPr>
        <w:t>ASSESSMENT</w:t>
      </w:r>
    </w:p>
    <w:p>
      <w:pPr>
        <w:pStyle w:val="Heading4"/>
        <w:spacing w:line="254" w:lineRule="auto"/>
      </w:pPr>
      <w:r>
        <w:rPr>
          <w:b/>
          <w:color w:val="FFFFFF"/>
        </w:rPr>
        <w:t>PREPARED FOR: </w:t>
      </w:r>
      <w:r>
        <w:rPr>
          <w:color w:val="FFFFFF"/>
        </w:rPr>
        <w:t>Chemung, Livingston, Ontario, </w:t>
      </w:r>
      <w:r>
        <w:rPr>
          <w:color w:val="FFFFFF"/>
          <w:spacing w:val="-4"/>
        </w:rPr>
        <w:t>Schuyler,</w:t>
      </w:r>
      <w:r>
        <w:rPr>
          <w:color w:val="FFFFFF"/>
          <w:spacing w:val="-13"/>
        </w:rPr>
        <w:t> </w:t>
      </w:r>
      <w:r>
        <w:rPr>
          <w:color w:val="FFFFFF"/>
          <w:spacing w:val="-4"/>
        </w:rPr>
        <w:t>Seneca,</w:t>
      </w:r>
      <w:r>
        <w:rPr>
          <w:color w:val="FFFFFF"/>
          <w:spacing w:val="-13"/>
        </w:rPr>
        <w:t> </w:t>
      </w:r>
      <w:r>
        <w:rPr>
          <w:color w:val="FFFFFF"/>
          <w:spacing w:val="-4"/>
        </w:rPr>
        <w:t>Steuben,</w:t>
      </w:r>
      <w:r>
        <w:rPr>
          <w:color w:val="FFFFFF"/>
          <w:spacing w:val="-13"/>
        </w:rPr>
        <w:t> </w:t>
      </w:r>
      <w:r>
        <w:rPr>
          <w:color w:val="FFFFFF"/>
          <w:spacing w:val="-4"/>
        </w:rPr>
        <w:t>Wayne</w:t>
      </w:r>
      <w:r>
        <w:rPr>
          <w:color w:val="FFFFFF"/>
          <w:spacing w:val="-12"/>
        </w:rPr>
        <w:t> </w:t>
      </w:r>
      <w:r>
        <w:rPr>
          <w:color w:val="FFFFFF"/>
          <w:spacing w:val="-4"/>
        </w:rPr>
        <w:t>and</w:t>
      </w:r>
      <w:r>
        <w:rPr>
          <w:color w:val="FFFFFF"/>
          <w:spacing w:val="-13"/>
        </w:rPr>
        <w:t> </w:t>
      </w:r>
      <w:r>
        <w:rPr>
          <w:color w:val="FFFFFF"/>
          <w:spacing w:val="-4"/>
        </w:rPr>
        <w:t>Yates</w:t>
      </w:r>
      <w:r>
        <w:rPr>
          <w:color w:val="FFFFFF"/>
          <w:spacing w:val="-13"/>
        </w:rPr>
        <w:t> </w:t>
      </w:r>
      <w:r>
        <w:rPr>
          <w:color w:val="FFFFFF"/>
          <w:spacing w:val="-4"/>
        </w:rPr>
        <w:t>Counties</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252"/>
        <w:rPr>
          <w:sz w:val="28"/>
        </w:rPr>
      </w:pPr>
    </w:p>
    <w:p>
      <w:pPr>
        <w:spacing w:before="0"/>
        <w:ind w:left="450" w:right="0" w:firstLine="0"/>
        <w:jc w:val="left"/>
        <w:rPr>
          <w:sz w:val="22"/>
        </w:rPr>
      </w:pPr>
      <w:r>
        <w:rPr>
          <w:b/>
          <w:color w:val="FFFFFF"/>
          <w:spacing w:val="-2"/>
          <w:sz w:val="22"/>
        </w:rPr>
        <w:t>PREPARED</w:t>
      </w:r>
      <w:r>
        <w:rPr>
          <w:b/>
          <w:color w:val="FFFFFF"/>
          <w:spacing w:val="-8"/>
          <w:sz w:val="22"/>
        </w:rPr>
        <w:t> </w:t>
      </w:r>
      <w:r>
        <w:rPr>
          <w:b/>
          <w:color w:val="FFFFFF"/>
          <w:spacing w:val="-2"/>
          <w:sz w:val="22"/>
        </w:rPr>
        <w:t>BY:</w:t>
      </w:r>
      <w:r>
        <w:rPr>
          <w:b/>
          <w:color w:val="FFFFFF"/>
          <w:spacing w:val="-14"/>
          <w:sz w:val="22"/>
        </w:rPr>
        <w:t> </w:t>
      </w:r>
      <w:r>
        <w:rPr>
          <w:color w:val="FFFFFF"/>
          <w:spacing w:val="-2"/>
          <w:sz w:val="22"/>
        </w:rPr>
        <w:t>COMMON</w:t>
      </w:r>
      <w:r>
        <w:rPr>
          <w:color w:val="FFFFFF"/>
          <w:spacing w:val="-10"/>
          <w:sz w:val="22"/>
        </w:rPr>
        <w:t> </w:t>
      </w:r>
      <w:r>
        <w:rPr>
          <w:color w:val="FFFFFF"/>
          <w:spacing w:val="-2"/>
          <w:sz w:val="22"/>
        </w:rPr>
        <w:t>GROUND</w:t>
      </w:r>
      <w:r>
        <w:rPr>
          <w:color w:val="FFFFFF"/>
          <w:spacing w:val="-11"/>
          <w:sz w:val="22"/>
        </w:rPr>
        <w:t> </w:t>
      </w:r>
      <w:r>
        <w:rPr>
          <w:color w:val="FFFFFF"/>
          <w:spacing w:val="-2"/>
          <w:sz w:val="22"/>
        </w:rPr>
        <w:t>HEALTH</w:t>
      </w:r>
      <w:r>
        <w:rPr>
          <w:color w:val="FFFFFF"/>
          <w:spacing w:val="39"/>
          <w:sz w:val="22"/>
        </w:rPr>
        <w:t> </w:t>
      </w:r>
      <w:r>
        <w:rPr>
          <w:color w:val="FFFFFF"/>
          <w:spacing w:val="-2"/>
          <w:sz w:val="22"/>
        </w:rPr>
        <w:t>|</w:t>
      </w:r>
      <w:r>
        <w:rPr>
          <w:color w:val="FFFFFF"/>
          <w:spacing w:val="38"/>
          <w:sz w:val="22"/>
        </w:rPr>
        <w:t> </w:t>
      </w:r>
      <w:r>
        <w:rPr>
          <w:color w:val="FFFFFF"/>
          <w:spacing w:val="-2"/>
          <w:sz w:val="22"/>
        </w:rPr>
        <w:t>FEBRUARY</w:t>
      </w:r>
      <w:r>
        <w:rPr>
          <w:color w:val="FFFFFF"/>
          <w:spacing w:val="-10"/>
          <w:sz w:val="22"/>
        </w:rPr>
        <w:t> </w:t>
      </w:r>
      <w:r>
        <w:rPr>
          <w:color w:val="FFFFFF"/>
          <w:spacing w:val="-4"/>
          <w:sz w:val="22"/>
        </w:rPr>
        <w:t>2020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8"/>
        <w:rPr>
          <w:sz w:val="20"/>
        </w:rPr>
      </w:pPr>
      <w:r>
        <w:rPr>
          <w:sz w:val="20"/>
        </w:rPr>
        <mc:AlternateContent>
          <mc:Choice Requires="wps">
            <w:drawing>
              <wp:anchor distT="0" distB="0" distL="0" distR="0" allowOverlap="1" layoutInCell="1" locked="0" behindDoc="1" simplePos="0" relativeHeight="487587840">
                <wp:simplePos x="0" y="0"/>
                <wp:positionH relativeFrom="page">
                  <wp:posOffset>3171742</wp:posOffset>
                </wp:positionH>
                <wp:positionV relativeFrom="paragraph">
                  <wp:posOffset>234639</wp:posOffset>
                </wp:positionV>
                <wp:extent cx="1389380" cy="264795"/>
                <wp:effectExtent l="0" t="0" r="0" b="0"/>
                <wp:wrapTopAndBottom/>
                <wp:docPr id="12" name="Group 12"/>
                <wp:cNvGraphicFramePr>
                  <a:graphicFrameLocks/>
                </wp:cNvGraphicFramePr>
                <a:graphic>
                  <a:graphicData uri="http://schemas.microsoft.com/office/word/2010/wordprocessingGroup">
                    <wpg:wgp>
                      <wpg:cNvPr id="12" name="Group 12"/>
                      <wpg:cNvGrpSpPr/>
                      <wpg:grpSpPr>
                        <a:xfrm>
                          <a:off x="0" y="0"/>
                          <a:ext cx="1389380" cy="264795"/>
                          <a:chExt cx="1389380" cy="264795"/>
                        </a:xfrm>
                      </wpg:grpSpPr>
                      <wps:wsp>
                        <wps:cNvPr id="13" name="Graphic 13"/>
                        <wps:cNvSpPr/>
                        <wps:spPr>
                          <a:xfrm>
                            <a:off x="0" y="0"/>
                            <a:ext cx="226695" cy="264795"/>
                          </a:xfrm>
                          <a:custGeom>
                            <a:avLst/>
                            <a:gdLst/>
                            <a:ahLst/>
                            <a:cxnLst/>
                            <a:rect l="l" t="t" r="r" b="b"/>
                            <a:pathLst>
                              <a:path w="226695" h="264795">
                                <a:moveTo>
                                  <a:pt x="142709" y="0"/>
                                </a:moveTo>
                                <a:lnTo>
                                  <a:pt x="135623" y="0"/>
                                </a:lnTo>
                                <a:lnTo>
                                  <a:pt x="121172" y="578"/>
                                </a:lnTo>
                                <a:lnTo>
                                  <a:pt x="81305" y="9232"/>
                                </a:lnTo>
                                <a:lnTo>
                                  <a:pt x="47817" y="27581"/>
                                </a:lnTo>
                                <a:lnTo>
                                  <a:pt x="15667" y="65615"/>
                                </a:lnTo>
                                <a:lnTo>
                                  <a:pt x="2525" y="103336"/>
                                </a:lnTo>
                                <a:lnTo>
                                  <a:pt x="0" y="132092"/>
                                </a:lnTo>
                                <a:lnTo>
                                  <a:pt x="631" y="146823"/>
                                </a:lnTo>
                                <a:lnTo>
                                  <a:pt x="10109" y="186778"/>
                                </a:lnTo>
                                <a:lnTo>
                                  <a:pt x="29783" y="219422"/>
                                </a:lnTo>
                                <a:lnTo>
                                  <a:pt x="69293" y="249829"/>
                                </a:lnTo>
                                <a:lnTo>
                                  <a:pt x="107297" y="261862"/>
                                </a:lnTo>
                                <a:lnTo>
                                  <a:pt x="135623" y="264172"/>
                                </a:lnTo>
                                <a:lnTo>
                                  <a:pt x="148491" y="263506"/>
                                </a:lnTo>
                                <a:lnTo>
                                  <a:pt x="186054" y="253530"/>
                                </a:lnTo>
                                <a:lnTo>
                                  <a:pt x="218000" y="230955"/>
                                </a:lnTo>
                                <a:lnTo>
                                  <a:pt x="226517" y="220497"/>
                                </a:lnTo>
                                <a:lnTo>
                                  <a:pt x="180352" y="186067"/>
                                </a:lnTo>
                                <a:lnTo>
                                  <a:pt x="175805" y="192091"/>
                                </a:lnTo>
                                <a:lnTo>
                                  <a:pt x="170681" y="197415"/>
                                </a:lnTo>
                                <a:lnTo>
                                  <a:pt x="128536" y="213042"/>
                                </a:lnTo>
                                <a:lnTo>
                                  <a:pt x="121189" y="212664"/>
                                </a:lnTo>
                                <a:lnTo>
                                  <a:pt x="83098" y="195265"/>
                                </a:lnTo>
                                <a:lnTo>
                                  <a:pt x="60597" y="157015"/>
                                </a:lnTo>
                                <a:lnTo>
                                  <a:pt x="57505" y="132092"/>
                                </a:lnTo>
                                <a:lnTo>
                                  <a:pt x="57848" y="123545"/>
                                </a:lnTo>
                                <a:lnTo>
                                  <a:pt x="69586" y="85888"/>
                                </a:lnTo>
                                <a:lnTo>
                                  <a:pt x="101345" y="57162"/>
                                </a:lnTo>
                                <a:lnTo>
                                  <a:pt x="130301" y="51130"/>
                                </a:lnTo>
                                <a:lnTo>
                                  <a:pt x="137871" y="51465"/>
                                </a:lnTo>
                                <a:lnTo>
                                  <a:pt x="177863" y="71729"/>
                                </a:lnTo>
                                <a:lnTo>
                                  <a:pt x="220497" y="36918"/>
                                </a:lnTo>
                                <a:lnTo>
                                  <a:pt x="187972" y="11023"/>
                                </a:lnTo>
                                <a:lnTo>
                                  <a:pt x="150126" y="647"/>
                                </a:lnTo>
                                <a:lnTo>
                                  <a:pt x="142709" y="0"/>
                                </a:lnTo>
                                <a:close/>
                              </a:path>
                            </a:pathLst>
                          </a:custGeom>
                          <a:solidFill>
                            <a:srgbClr val="636466"/>
                          </a:solidFill>
                        </wps:spPr>
                        <wps:bodyPr wrap="square" lIns="0" tIns="0" rIns="0" bIns="0" rtlCol="0">
                          <a:prstTxWarp prst="textNoShape">
                            <a:avLst/>
                          </a:prstTxWarp>
                          <a:noAutofit/>
                        </wps:bodyPr>
                      </wps:wsp>
                      <pic:pic>
                        <pic:nvPicPr>
                          <pic:cNvPr id="14" name="Image 14"/>
                          <pic:cNvPicPr/>
                        </pic:nvPicPr>
                        <pic:blipFill>
                          <a:blip r:embed="rId12" cstate="print"/>
                          <a:stretch>
                            <a:fillRect/>
                          </a:stretch>
                        </pic:blipFill>
                        <pic:spPr>
                          <a:xfrm>
                            <a:off x="233626" y="80947"/>
                            <a:ext cx="191731" cy="181101"/>
                          </a:xfrm>
                          <a:prstGeom prst="rect">
                            <a:avLst/>
                          </a:prstGeom>
                        </pic:spPr>
                      </pic:pic>
                      <wps:wsp>
                        <wps:cNvPr id="15" name="Graphic 15"/>
                        <wps:cNvSpPr/>
                        <wps:spPr>
                          <a:xfrm>
                            <a:off x="439541" y="80951"/>
                            <a:ext cx="563245" cy="177165"/>
                          </a:xfrm>
                          <a:custGeom>
                            <a:avLst/>
                            <a:gdLst/>
                            <a:ahLst/>
                            <a:cxnLst/>
                            <a:rect l="l" t="t" r="r" b="b"/>
                            <a:pathLst>
                              <a:path w="563245" h="177165">
                                <a:moveTo>
                                  <a:pt x="271259" y="74942"/>
                                </a:moveTo>
                                <a:lnTo>
                                  <a:pt x="264261" y="32854"/>
                                </a:lnTo>
                                <a:lnTo>
                                  <a:pt x="233184" y="3302"/>
                                </a:lnTo>
                                <a:lnTo>
                                  <a:pt x="210197" y="0"/>
                                </a:lnTo>
                                <a:lnTo>
                                  <a:pt x="200990" y="457"/>
                                </a:lnTo>
                                <a:lnTo>
                                  <a:pt x="165722" y="16611"/>
                                </a:lnTo>
                                <a:lnTo>
                                  <a:pt x="155511" y="30873"/>
                                </a:lnTo>
                                <a:lnTo>
                                  <a:pt x="151536" y="23431"/>
                                </a:lnTo>
                                <a:lnTo>
                                  <a:pt x="119341" y="1866"/>
                                </a:lnTo>
                                <a:lnTo>
                                  <a:pt x="102247" y="0"/>
                                </a:lnTo>
                                <a:lnTo>
                                  <a:pt x="95859" y="0"/>
                                </a:lnTo>
                                <a:lnTo>
                                  <a:pt x="55841" y="21082"/>
                                </a:lnTo>
                                <a:lnTo>
                                  <a:pt x="51841" y="27698"/>
                                </a:lnTo>
                                <a:lnTo>
                                  <a:pt x="51130" y="27698"/>
                                </a:lnTo>
                                <a:lnTo>
                                  <a:pt x="51130" y="4254"/>
                                </a:lnTo>
                                <a:lnTo>
                                  <a:pt x="0" y="4254"/>
                                </a:lnTo>
                                <a:lnTo>
                                  <a:pt x="0" y="176809"/>
                                </a:lnTo>
                                <a:lnTo>
                                  <a:pt x="53238" y="176809"/>
                                </a:lnTo>
                                <a:lnTo>
                                  <a:pt x="53238" y="85217"/>
                                </a:lnTo>
                                <a:lnTo>
                                  <a:pt x="53606" y="79768"/>
                                </a:lnTo>
                                <a:lnTo>
                                  <a:pt x="78333" y="46888"/>
                                </a:lnTo>
                                <a:lnTo>
                                  <a:pt x="91363" y="46888"/>
                                </a:lnTo>
                                <a:lnTo>
                                  <a:pt x="109004" y="176809"/>
                                </a:lnTo>
                                <a:lnTo>
                                  <a:pt x="162267" y="176809"/>
                                </a:lnTo>
                                <a:lnTo>
                                  <a:pt x="162267" y="80365"/>
                                </a:lnTo>
                                <a:lnTo>
                                  <a:pt x="162788" y="75399"/>
                                </a:lnTo>
                                <a:lnTo>
                                  <a:pt x="188404" y="46888"/>
                                </a:lnTo>
                                <a:lnTo>
                                  <a:pt x="203327" y="46888"/>
                                </a:lnTo>
                                <a:lnTo>
                                  <a:pt x="209423" y="49771"/>
                                </a:lnTo>
                                <a:lnTo>
                                  <a:pt x="216293" y="61366"/>
                                </a:lnTo>
                                <a:lnTo>
                                  <a:pt x="217995" y="68300"/>
                                </a:lnTo>
                                <a:lnTo>
                                  <a:pt x="217995" y="176809"/>
                                </a:lnTo>
                                <a:lnTo>
                                  <a:pt x="271259" y="176809"/>
                                </a:lnTo>
                                <a:lnTo>
                                  <a:pt x="271259" y="74942"/>
                                </a:lnTo>
                                <a:close/>
                              </a:path>
                              <a:path w="563245" h="177165">
                                <a:moveTo>
                                  <a:pt x="563130" y="74942"/>
                                </a:moveTo>
                                <a:lnTo>
                                  <a:pt x="556120" y="32854"/>
                                </a:lnTo>
                                <a:lnTo>
                                  <a:pt x="525056" y="3302"/>
                                </a:lnTo>
                                <a:lnTo>
                                  <a:pt x="502043" y="0"/>
                                </a:lnTo>
                                <a:lnTo>
                                  <a:pt x="492848" y="457"/>
                                </a:lnTo>
                                <a:lnTo>
                                  <a:pt x="457581" y="16611"/>
                                </a:lnTo>
                                <a:lnTo>
                                  <a:pt x="447395" y="30873"/>
                                </a:lnTo>
                                <a:lnTo>
                                  <a:pt x="443407" y="23431"/>
                                </a:lnTo>
                                <a:lnTo>
                                  <a:pt x="411200" y="1866"/>
                                </a:lnTo>
                                <a:lnTo>
                                  <a:pt x="394093" y="0"/>
                                </a:lnTo>
                                <a:lnTo>
                                  <a:pt x="387731" y="0"/>
                                </a:lnTo>
                                <a:lnTo>
                                  <a:pt x="347713" y="21082"/>
                                </a:lnTo>
                                <a:lnTo>
                                  <a:pt x="343712" y="27698"/>
                                </a:lnTo>
                                <a:lnTo>
                                  <a:pt x="343001" y="27698"/>
                                </a:lnTo>
                                <a:lnTo>
                                  <a:pt x="343001" y="4254"/>
                                </a:lnTo>
                                <a:lnTo>
                                  <a:pt x="291871" y="4254"/>
                                </a:lnTo>
                                <a:lnTo>
                                  <a:pt x="291871" y="176809"/>
                                </a:lnTo>
                                <a:lnTo>
                                  <a:pt x="345109" y="176809"/>
                                </a:lnTo>
                                <a:lnTo>
                                  <a:pt x="345109" y="85217"/>
                                </a:lnTo>
                                <a:lnTo>
                                  <a:pt x="345452" y="79768"/>
                                </a:lnTo>
                                <a:lnTo>
                                  <a:pt x="370205" y="46888"/>
                                </a:lnTo>
                                <a:lnTo>
                                  <a:pt x="383222" y="46888"/>
                                </a:lnTo>
                                <a:lnTo>
                                  <a:pt x="400862" y="176809"/>
                                </a:lnTo>
                                <a:lnTo>
                                  <a:pt x="454113" y="176809"/>
                                </a:lnTo>
                                <a:lnTo>
                                  <a:pt x="454113" y="80365"/>
                                </a:lnTo>
                                <a:lnTo>
                                  <a:pt x="454660" y="75399"/>
                                </a:lnTo>
                                <a:lnTo>
                                  <a:pt x="480275" y="46888"/>
                                </a:lnTo>
                                <a:lnTo>
                                  <a:pt x="495173" y="46888"/>
                                </a:lnTo>
                                <a:lnTo>
                                  <a:pt x="501294" y="49771"/>
                                </a:lnTo>
                                <a:lnTo>
                                  <a:pt x="508139" y="61366"/>
                                </a:lnTo>
                                <a:lnTo>
                                  <a:pt x="509866" y="68300"/>
                                </a:lnTo>
                                <a:lnTo>
                                  <a:pt x="509866" y="176809"/>
                                </a:lnTo>
                                <a:lnTo>
                                  <a:pt x="563130" y="176809"/>
                                </a:lnTo>
                                <a:lnTo>
                                  <a:pt x="563130" y="74942"/>
                                </a:lnTo>
                                <a:close/>
                              </a:path>
                            </a:pathLst>
                          </a:custGeom>
                          <a:solidFill>
                            <a:srgbClr val="636466"/>
                          </a:solidFill>
                        </wps:spPr>
                        <wps:bodyPr wrap="square" lIns="0" tIns="0" rIns="0" bIns="0" rtlCol="0">
                          <a:prstTxWarp prst="textNoShape">
                            <a:avLst/>
                          </a:prstTxWarp>
                          <a:noAutofit/>
                        </wps:bodyPr>
                      </wps:wsp>
                      <pic:pic>
                        <pic:nvPicPr>
                          <pic:cNvPr id="16" name="Image 16"/>
                          <pic:cNvPicPr/>
                        </pic:nvPicPr>
                        <pic:blipFill>
                          <a:blip r:embed="rId13" cstate="print"/>
                          <a:stretch>
                            <a:fillRect/>
                          </a:stretch>
                        </pic:blipFill>
                        <pic:spPr>
                          <a:xfrm>
                            <a:off x="1016890" y="80947"/>
                            <a:ext cx="372076" cy="181101"/>
                          </a:xfrm>
                          <a:prstGeom prst="rect">
                            <a:avLst/>
                          </a:prstGeom>
                        </pic:spPr>
                      </pic:pic>
                    </wpg:wgp>
                  </a:graphicData>
                </a:graphic>
              </wp:anchor>
            </w:drawing>
          </mc:Choice>
          <mc:Fallback>
            <w:pict>
              <v:group style="position:absolute;margin-left:249.7435pt;margin-top:18.475523pt;width:109.4pt;height:20.85pt;mso-position-horizontal-relative:page;mso-position-vertical-relative:paragraph;z-index:-15728640;mso-wrap-distance-left:0;mso-wrap-distance-right:0" id="docshapegroup12" coordorigin="4995,370" coordsize="2188,417">
                <v:shape style="position:absolute;left:4994;top:369;width:357;height:417" id="docshape13" coordorigin="4995,370" coordsize="357,417" path="m5220,370l5208,370,5186,370,5123,384,5070,413,5020,473,4999,532,4995,578,4996,601,5011,664,5042,715,5104,763,5164,782,5208,786,5229,784,5288,769,5338,733,5352,717,5279,663,5272,672,5264,680,5197,705,5186,704,5126,677,5090,617,5085,578,5086,564,5104,505,5154,460,5200,450,5212,451,5275,482,5342,428,5291,387,5231,371,5220,370xe" filled="true" fillcolor="#636466" stroked="false">
                  <v:path arrowok="t"/>
                  <v:fill type="solid"/>
                </v:shape>
                <v:shape style="position:absolute;left:5362;top:496;width:302;height:286" type="#_x0000_t75" id="docshape14" stroked="false">
                  <v:imagedata r:id="rId12" o:title=""/>
                </v:shape>
                <v:shape style="position:absolute;left:5687;top:497;width:887;height:279" id="docshape15" coordorigin="5687,497" coordsize="887,279" path="m6114,615l6114,603,6113,591,6112,580,6110,569,6107,558,6103,549,6099,540,6094,531,6087,521,6077,512,6064,506,6054,502,6043,499,6031,498,6018,497,6004,498,5990,500,5978,503,5967,508,5957,515,5948,523,5940,533,5932,546,5926,534,5918,524,5909,515,5899,509,5887,504,5875,500,5862,498,5848,497,5838,497,5829,498,5812,504,5804,507,5791,515,5785,520,5775,530,5771,535,5769,541,5768,541,5768,504,5687,504,5687,775,5771,775,5771,631,5771,623,5774,606,5776,599,5783,586,5788,581,5802,573,5810,571,5831,571,5838,573,5848,582,5852,587,5856,600,5858,607,5859,621,5859,775,5943,775,5943,624,5943,616,5947,601,5950,594,5957,583,5963,579,5976,572,5984,571,6007,571,6017,575,6028,594,6030,605,6030,775,6114,775,6114,615xm6574,615l6574,603,6573,591,6571,580,6569,569,6566,558,6563,549,6559,540,6553,531,6546,521,6536,512,6524,506,6514,502,6503,499,6491,498,6478,497,6463,498,6450,500,6438,503,6427,508,6417,515,6408,523,6399,533,6392,546,6385,534,6378,524,6369,515,6358,509,6347,504,6335,500,6322,498,6308,497,6298,497,6288,498,6271,504,6264,507,6250,515,6244,520,6235,530,6231,535,6228,541,6227,541,6227,504,6147,504,6147,775,6231,775,6231,631,6231,623,6233,606,6236,599,6243,586,6248,581,6261,573,6270,571,6291,571,6298,573,6308,582,6312,587,6316,600,6317,607,6318,621,6318,775,6402,775,6402,624,6403,616,6406,601,6409,594,6417,583,6422,579,6435,572,6443,571,6467,571,6477,575,6487,594,6490,605,6490,775,6574,775,6574,615xe" filled="true" fillcolor="#636466" stroked="false">
                  <v:path arrowok="t"/>
                  <v:fill type="solid"/>
                </v:shape>
                <v:shape style="position:absolute;left:6596;top:496;width:586;height:286" type="#_x0000_t75" id="docshape16" stroked="false">
                  <v:imagedata r:id="rId13" o:title=""/>
                </v:shape>
                <w10:wrap type="topAndBottom"/>
              </v:group>
            </w:pict>
          </mc:Fallback>
        </mc:AlternateContent>
      </w:r>
      <w:r>
        <w:rPr>
          <w:sz w:val="20"/>
        </w:rPr>
        <mc:AlternateContent>
          <mc:Choice Requires="wps">
            <w:drawing>
              <wp:anchor distT="0" distB="0" distL="0" distR="0" allowOverlap="1" layoutInCell="1" locked="0" behindDoc="1" simplePos="0" relativeHeight="487588352">
                <wp:simplePos x="0" y="0"/>
                <wp:positionH relativeFrom="page">
                  <wp:posOffset>4641683</wp:posOffset>
                </wp:positionH>
                <wp:positionV relativeFrom="paragraph">
                  <wp:posOffset>223994</wp:posOffset>
                </wp:positionV>
                <wp:extent cx="1155065" cy="274955"/>
                <wp:effectExtent l="0" t="0" r="0" b="0"/>
                <wp:wrapTopAndBottom/>
                <wp:docPr id="17" name="Group 17"/>
                <wp:cNvGraphicFramePr>
                  <a:graphicFrameLocks/>
                </wp:cNvGraphicFramePr>
                <a:graphic>
                  <a:graphicData uri="http://schemas.microsoft.com/office/word/2010/wordprocessingGroup">
                    <wpg:wgp>
                      <wpg:cNvPr id="17" name="Group 17"/>
                      <wpg:cNvGrpSpPr/>
                      <wpg:grpSpPr>
                        <a:xfrm>
                          <a:off x="0" y="0"/>
                          <a:ext cx="1155065" cy="274955"/>
                          <a:chExt cx="1155065" cy="274955"/>
                        </a:xfrm>
                      </wpg:grpSpPr>
                      <wps:wsp>
                        <wps:cNvPr id="18" name="Graphic 18"/>
                        <wps:cNvSpPr/>
                        <wps:spPr>
                          <a:xfrm>
                            <a:off x="0" y="10636"/>
                            <a:ext cx="241300" cy="264795"/>
                          </a:xfrm>
                          <a:custGeom>
                            <a:avLst/>
                            <a:gdLst/>
                            <a:ahLst/>
                            <a:cxnLst/>
                            <a:rect l="l" t="t" r="r" b="b"/>
                            <a:pathLst>
                              <a:path w="241300" h="264795">
                                <a:moveTo>
                                  <a:pt x="135635" y="0"/>
                                </a:moveTo>
                                <a:lnTo>
                                  <a:pt x="94027" y="5202"/>
                                </a:lnTo>
                                <a:lnTo>
                                  <a:pt x="58143" y="20467"/>
                                </a:lnTo>
                                <a:lnTo>
                                  <a:pt x="22226" y="54736"/>
                                </a:lnTo>
                                <a:lnTo>
                                  <a:pt x="5695" y="90033"/>
                                </a:lnTo>
                                <a:lnTo>
                                  <a:pt x="0" y="132092"/>
                                </a:lnTo>
                                <a:lnTo>
                                  <a:pt x="633" y="146825"/>
                                </a:lnTo>
                                <a:lnTo>
                                  <a:pt x="10121" y="186791"/>
                                </a:lnTo>
                                <a:lnTo>
                                  <a:pt x="29783" y="219433"/>
                                </a:lnTo>
                                <a:lnTo>
                                  <a:pt x="69309" y="249842"/>
                                </a:lnTo>
                                <a:lnTo>
                                  <a:pt x="107314" y="261869"/>
                                </a:lnTo>
                                <a:lnTo>
                                  <a:pt x="135635" y="264172"/>
                                </a:lnTo>
                                <a:lnTo>
                                  <a:pt x="149400" y="263819"/>
                                </a:lnTo>
                                <a:lnTo>
                                  <a:pt x="189966" y="258495"/>
                                </a:lnTo>
                                <a:lnTo>
                                  <a:pt x="228696" y="245990"/>
                                </a:lnTo>
                                <a:lnTo>
                                  <a:pt x="241084" y="240029"/>
                                </a:lnTo>
                                <a:lnTo>
                                  <a:pt x="241084" y="108661"/>
                                </a:lnTo>
                                <a:lnTo>
                                  <a:pt x="142709" y="108661"/>
                                </a:lnTo>
                                <a:lnTo>
                                  <a:pt x="142709" y="159778"/>
                                </a:lnTo>
                                <a:lnTo>
                                  <a:pt x="187845" y="159778"/>
                                </a:lnTo>
                                <a:lnTo>
                                  <a:pt x="187845" y="200609"/>
                                </a:lnTo>
                                <a:lnTo>
                                  <a:pt x="144364" y="212798"/>
                                </a:lnTo>
                                <a:lnTo>
                                  <a:pt x="135635" y="213055"/>
                                </a:lnTo>
                                <a:lnTo>
                                  <a:pt x="126970" y="212675"/>
                                </a:lnTo>
                                <a:lnTo>
                                  <a:pt x="90143" y="199791"/>
                                </a:lnTo>
                                <a:lnTo>
                                  <a:pt x="63017" y="164566"/>
                                </a:lnTo>
                                <a:lnTo>
                                  <a:pt x="57505" y="132092"/>
                                </a:lnTo>
                                <a:lnTo>
                                  <a:pt x="57850" y="123553"/>
                                </a:lnTo>
                                <a:lnTo>
                                  <a:pt x="69722" y="85888"/>
                                </a:lnTo>
                                <a:lnTo>
                                  <a:pt x="103504" y="57175"/>
                                </a:lnTo>
                                <a:lnTo>
                                  <a:pt x="135635" y="51142"/>
                                </a:lnTo>
                                <a:lnTo>
                                  <a:pt x="145840" y="51519"/>
                                </a:lnTo>
                                <a:lnTo>
                                  <a:pt x="184626" y="64636"/>
                                </a:lnTo>
                                <a:lnTo>
                                  <a:pt x="196697" y="74955"/>
                                </a:lnTo>
                                <a:lnTo>
                                  <a:pt x="235762" y="32334"/>
                                </a:lnTo>
                                <a:lnTo>
                                  <a:pt x="203508" y="11590"/>
                                </a:lnTo>
                                <a:lnTo>
                                  <a:pt x="164609" y="1827"/>
                                </a:lnTo>
                                <a:lnTo>
                                  <a:pt x="150422" y="457"/>
                                </a:lnTo>
                                <a:lnTo>
                                  <a:pt x="135635" y="0"/>
                                </a:lnTo>
                                <a:close/>
                              </a:path>
                            </a:pathLst>
                          </a:custGeom>
                          <a:solidFill>
                            <a:srgbClr val="636466"/>
                          </a:solidFill>
                        </wps:spPr>
                        <wps:bodyPr wrap="square" lIns="0" tIns="0" rIns="0" bIns="0" rtlCol="0">
                          <a:prstTxWarp prst="textNoShape">
                            <a:avLst/>
                          </a:prstTxWarp>
                          <a:noAutofit/>
                        </wps:bodyPr>
                      </wps:wsp>
                      <pic:pic>
                        <pic:nvPicPr>
                          <pic:cNvPr id="19" name="Image 19"/>
                          <pic:cNvPicPr/>
                        </pic:nvPicPr>
                        <pic:blipFill>
                          <a:blip r:embed="rId14" cstate="print"/>
                          <a:stretch>
                            <a:fillRect/>
                          </a:stretch>
                        </pic:blipFill>
                        <pic:spPr>
                          <a:xfrm>
                            <a:off x="273047" y="91592"/>
                            <a:ext cx="493172" cy="181101"/>
                          </a:xfrm>
                          <a:prstGeom prst="rect">
                            <a:avLst/>
                          </a:prstGeom>
                        </pic:spPr>
                      </pic:pic>
                      <pic:pic>
                        <pic:nvPicPr>
                          <pic:cNvPr id="20" name="Image 20"/>
                          <pic:cNvPicPr/>
                        </pic:nvPicPr>
                        <pic:blipFill>
                          <a:blip r:embed="rId15" cstate="print"/>
                          <a:stretch>
                            <a:fillRect/>
                          </a:stretch>
                        </pic:blipFill>
                        <pic:spPr>
                          <a:xfrm>
                            <a:off x="786825" y="91596"/>
                            <a:ext cx="166154" cy="176809"/>
                          </a:xfrm>
                          <a:prstGeom prst="rect">
                            <a:avLst/>
                          </a:prstGeom>
                        </pic:spPr>
                      </pic:pic>
                      <wps:wsp>
                        <wps:cNvPr id="21" name="Graphic 21"/>
                        <wps:cNvSpPr/>
                        <wps:spPr>
                          <a:xfrm>
                            <a:off x="967174" y="0"/>
                            <a:ext cx="187960" cy="273050"/>
                          </a:xfrm>
                          <a:custGeom>
                            <a:avLst/>
                            <a:gdLst/>
                            <a:ahLst/>
                            <a:cxnLst/>
                            <a:rect l="l" t="t" r="r" b="b"/>
                            <a:pathLst>
                              <a:path w="187960" h="273050">
                                <a:moveTo>
                                  <a:pt x="78828" y="91592"/>
                                </a:moveTo>
                                <a:lnTo>
                                  <a:pt x="38790" y="103374"/>
                                </a:lnTo>
                                <a:lnTo>
                                  <a:pt x="12152" y="133376"/>
                                </a:lnTo>
                                <a:lnTo>
                                  <a:pt x="3165" y="157045"/>
                                </a:lnTo>
                                <a:lnTo>
                                  <a:pt x="3091" y="157305"/>
                                </a:lnTo>
                                <a:lnTo>
                                  <a:pt x="1376" y="165852"/>
                                </a:lnTo>
                                <a:lnTo>
                                  <a:pt x="344" y="174604"/>
                                </a:lnTo>
                                <a:lnTo>
                                  <a:pt x="54" y="182143"/>
                                </a:lnTo>
                                <a:lnTo>
                                  <a:pt x="0" y="183565"/>
                                </a:lnTo>
                                <a:lnTo>
                                  <a:pt x="5911" y="219023"/>
                                </a:lnTo>
                                <a:lnTo>
                                  <a:pt x="6032" y="219405"/>
                                </a:lnTo>
                                <a:lnTo>
                                  <a:pt x="29128" y="253250"/>
                                </a:lnTo>
                                <a:lnTo>
                                  <a:pt x="66568" y="271051"/>
                                </a:lnTo>
                                <a:lnTo>
                                  <a:pt x="84874" y="272694"/>
                                </a:lnTo>
                                <a:lnTo>
                                  <a:pt x="90766" y="272694"/>
                                </a:lnTo>
                                <a:lnTo>
                                  <a:pt x="129425" y="255117"/>
                                </a:lnTo>
                                <a:lnTo>
                                  <a:pt x="137756" y="245706"/>
                                </a:lnTo>
                                <a:lnTo>
                                  <a:pt x="187464" y="245706"/>
                                </a:lnTo>
                                <a:lnTo>
                                  <a:pt x="187464" y="225805"/>
                                </a:lnTo>
                                <a:lnTo>
                                  <a:pt x="95872" y="225805"/>
                                </a:lnTo>
                                <a:lnTo>
                                  <a:pt x="86319" y="225053"/>
                                </a:lnTo>
                                <a:lnTo>
                                  <a:pt x="56070" y="199804"/>
                                </a:lnTo>
                                <a:lnTo>
                                  <a:pt x="53395" y="183565"/>
                                </a:lnTo>
                                <a:lnTo>
                                  <a:pt x="53289" y="182143"/>
                                </a:lnTo>
                                <a:lnTo>
                                  <a:pt x="70604" y="145263"/>
                                </a:lnTo>
                                <a:lnTo>
                                  <a:pt x="95872" y="138480"/>
                                </a:lnTo>
                                <a:lnTo>
                                  <a:pt x="187464" y="138480"/>
                                </a:lnTo>
                                <a:lnTo>
                                  <a:pt x="187464" y="114325"/>
                                </a:lnTo>
                                <a:lnTo>
                                  <a:pt x="133515" y="114325"/>
                                </a:lnTo>
                                <a:lnTo>
                                  <a:pt x="128566" y="108573"/>
                                </a:lnTo>
                                <a:lnTo>
                                  <a:pt x="122980" y="103722"/>
                                </a:lnTo>
                                <a:lnTo>
                                  <a:pt x="87025" y="91915"/>
                                </a:lnTo>
                                <a:lnTo>
                                  <a:pt x="78828" y="91592"/>
                                </a:lnTo>
                                <a:close/>
                              </a:path>
                              <a:path w="187960" h="273050">
                                <a:moveTo>
                                  <a:pt x="187464" y="245706"/>
                                </a:moveTo>
                                <a:lnTo>
                                  <a:pt x="138480" y="245706"/>
                                </a:lnTo>
                                <a:lnTo>
                                  <a:pt x="138480" y="268554"/>
                                </a:lnTo>
                                <a:lnTo>
                                  <a:pt x="187464" y="268554"/>
                                </a:lnTo>
                                <a:lnTo>
                                  <a:pt x="187464" y="245706"/>
                                </a:lnTo>
                                <a:close/>
                              </a:path>
                              <a:path w="187960" h="273050">
                                <a:moveTo>
                                  <a:pt x="187464" y="138480"/>
                                </a:moveTo>
                                <a:lnTo>
                                  <a:pt x="95872" y="138480"/>
                                </a:lnTo>
                                <a:lnTo>
                                  <a:pt x="105426" y="139235"/>
                                </a:lnTo>
                                <a:lnTo>
                                  <a:pt x="113844" y="141497"/>
                                </a:lnTo>
                                <a:lnTo>
                                  <a:pt x="137782" y="172851"/>
                                </a:lnTo>
                                <a:lnTo>
                                  <a:pt x="138480" y="182143"/>
                                </a:lnTo>
                                <a:lnTo>
                                  <a:pt x="137782" y="191439"/>
                                </a:lnTo>
                                <a:lnTo>
                                  <a:pt x="113844" y="222792"/>
                                </a:lnTo>
                                <a:lnTo>
                                  <a:pt x="95872" y="225805"/>
                                </a:lnTo>
                                <a:lnTo>
                                  <a:pt x="187464" y="225805"/>
                                </a:lnTo>
                                <a:lnTo>
                                  <a:pt x="187464" y="138480"/>
                                </a:lnTo>
                                <a:close/>
                              </a:path>
                              <a:path w="187960" h="273050">
                                <a:moveTo>
                                  <a:pt x="187464" y="0"/>
                                </a:moveTo>
                                <a:lnTo>
                                  <a:pt x="134226" y="0"/>
                                </a:lnTo>
                                <a:lnTo>
                                  <a:pt x="134226" y="114325"/>
                                </a:lnTo>
                                <a:lnTo>
                                  <a:pt x="187464" y="114325"/>
                                </a:lnTo>
                                <a:lnTo>
                                  <a:pt x="187464" y="0"/>
                                </a:lnTo>
                                <a:close/>
                              </a:path>
                            </a:pathLst>
                          </a:custGeom>
                          <a:solidFill>
                            <a:srgbClr val="636466"/>
                          </a:solidFill>
                        </wps:spPr>
                        <wps:bodyPr wrap="square" lIns="0" tIns="0" rIns="0" bIns="0" rtlCol="0">
                          <a:prstTxWarp prst="textNoShape">
                            <a:avLst/>
                          </a:prstTxWarp>
                          <a:noAutofit/>
                        </wps:bodyPr>
                      </wps:wsp>
                    </wpg:wgp>
                  </a:graphicData>
                </a:graphic>
              </wp:anchor>
            </w:drawing>
          </mc:Choice>
          <mc:Fallback>
            <w:pict>
              <v:group style="position:absolute;margin-left:365.486908pt;margin-top:17.637323pt;width:90.95pt;height:21.65pt;mso-position-horizontal-relative:page;mso-position-vertical-relative:paragraph;z-index:-15728128;mso-wrap-distance-left:0;mso-wrap-distance-right:0" id="docshapegroup17" coordorigin="7310,353" coordsize="1819,433">
                <v:shape style="position:absolute;left:7309;top:369;width:380;height:417" id="docshape18" coordorigin="7310,369" coordsize="380,417" path="m7523,369l7458,378,7401,402,7345,456,7319,511,7310,578,7311,601,7326,664,7357,715,7419,763,7479,782,7523,786,7545,785,7609,777,7670,757,7689,747,7689,541,7534,541,7534,621,7606,621,7606,685,7537,705,7523,705,7510,704,7452,684,7409,629,7400,578,7401,564,7420,505,7473,460,7523,450,7539,451,7600,471,7619,488,7681,420,7630,388,7569,372,7547,370,7523,369xe" filled="true" fillcolor="#636466" stroked="false">
                  <v:path arrowok="t"/>
                  <v:fill type="solid"/>
                </v:shape>
                <v:shape style="position:absolute;left:7739;top:496;width:777;height:286" type="#_x0000_t75" id="docshape19" stroked="false">
                  <v:imagedata r:id="rId14" o:title=""/>
                </v:shape>
                <v:shape style="position:absolute;left:8548;top:497;width:262;height:279" type="#_x0000_t75" id="docshape20" stroked="false">
                  <v:imagedata r:id="rId15" o:title=""/>
                </v:shape>
                <v:shape style="position:absolute;left:8832;top:352;width:296;height:430" id="docshape21" coordorigin="8833,353" coordsize="296,430" path="m8957,497l8943,498,8929,500,8917,504,8905,509,8894,516,8884,523,8875,532,8866,541,8859,552,8852,563,8846,575,8841,587,8838,600,8838,600,8835,614,8833,628,8833,640,8833,642,8833,654,8833,657,8835,671,8838,685,8842,698,8842,698,8848,711,8854,722,8861,733,8869,743,8879,752,8889,760,8900,766,8912,772,8924,776,8938,780,8952,782,8967,782,8976,782,8985,781,9002,776,9010,772,9025,764,9031,760,9037,755,9042,749,9046,745,9050,740,9128,740,9128,708,8984,708,8969,707,8956,704,8944,698,8934,689,8927,679,8921,667,8918,654,8917,642,8917,640,8918,625,8921,612,8926,600,8927,600,8934,590,8944,582,8956,576,8969,572,8984,571,9128,571,9128,533,9043,533,9035,524,9027,516,9017,510,9006,505,8994,502,8982,499,8970,497,8957,497xm9128,740l9051,740,9051,776,9128,776,9128,740xm9128,571l8984,571,8999,572,9012,576,9024,582,9033,590,9041,600,9047,612,9050,625,9051,640,9050,654,9047,667,9041,679,9033,689,9024,698,9012,704,8999,707,8984,708,9128,708,9128,571xm9128,353l9044,353,9044,533,9128,533,9128,353xe" filled="true" fillcolor="#636466" stroked="false">
                  <v:path arrowok="t"/>
                  <v:fill type="solid"/>
                </v:shape>
                <w10:wrap type="topAndBottom"/>
              </v:group>
            </w:pict>
          </mc:Fallback>
        </mc:AlternateContent>
      </w:r>
      <w:r>
        <w:rPr>
          <w:sz w:val="20"/>
        </w:rPr>
        <mc:AlternateContent>
          <mc:Choice Requires="wps">
            <w:drawing>
              <wp:anchor distT="0" distB="0" distL="0" distR="0" allowOverlap="1" layoutInCell="1" locked="0" behindDoc="1" simplePos="0" relativeHeight="487588864">
                <wp:simplePos x="0" y="0"/>
                <wp:positionH relativeFrom="page">
                  <wp:posOffset>4785848</wp:posOffset>
                </wp:positionH>
                <wp:positionV relativeFrom="paragraph">
                  <wp:posOffset>555709</wp:posOffset>
                </wp:positionV>
                <wp:extent cx="1010919" cy="273050"/>
                <wp:effectExtent l="0" t="0" r="0" b="0"/>
                <wp:wrapTopAndBottom/>
                <wp:docPr id="22" name="Group 22"/>
                <wp:cNvGraphicFramePr>
                  <a:graphicFrameLocks/>
                </wp:cNvGraphicFramePr>
                <a:graphic>
                  <a:graphicData uri="http://schemas.microsoft.com/office/word/2010/wordprocessingGroup">
                    <wpg:wgp>
                      <wpg:cNvPr id="22" name="Group 22"/>
                      <wpg:cNvGrpSpPr/>
                      <wpg:grpSpPr>
                        <a:xfrm>
                          <a:off x="0" y="0"/>
                          <a:ext cx="1010919" cy="273050"/>
                          <a:chExt cx="1010919" cy="273050"/>
                        </a:xfrm>
                      </wpg:grpSpPr>
                      <wps:wsp>
                        <wps:cNvPr id="23" name="Graphic 23"/>
                        <wps:cNvSpPr/>
                        <wps:spPr>
                          <a:xfrm>
                            <a:off x="-5" y="17043"/>
                            <a:ext cx="207010" cy="251460"/>
                          </a:xfrm>
                          <a:custGeom>
                            <a:avLst/>
                            <a:gdLst/>
                            <a:ahLst/>
                            <a:cxnLst/>
                            <a:rect l="l" t="t" r="r" b="b"/>
                            <a:pathLst>
                              <a:path w="207010" h="251460">
                                <a:moveTo>
                                  <a:pt x="207010" y="0"/>
                                </a:moveTo>
                                <a:lnTo>
                                  <a:pt x="162267" y="0"/>
                                </a:lnTo>
                                <a:lnTo>
                                  <a:pt x="162267" y="100330"/>
                                </a:lnTo>
                                <a:lnTo>
                                  <a:pt x="44729" y="100330"/>
                                </a:lnTo>
                                <a:lnTo>
                                  <a:pt x="44729" y="0"/>
                                </a:lnTo>
                                <a:lnTo>
                                  <a:pt x="0" y="0"/>
                                </a:lnTo>
                                <a:lnTo>
                                  <a:pt x="0" y="100330"/>
                                </a:lnTo>
                                <a:lnTo>
                                  <a:pt x="0" y="140970"/>
                                </a:lnTo>
                                <a:lnTo>
                                  <a:pt x="0" y="251460"/>
                                </a:lnTo>
                                <a:lnTo>
                                  <a:pt x="44729" y="251460"/>
                                </a:lnTo>
                                <a:lnTo>
                                  <a:pt x="44729" y="140970"/>
                                </a:lnTo>
                                <a:lnTo>
                                  <a:pt x="162267" y="140970"/>
                                </a:lnTo>
                                <a:lnTo>
                                  <a:pt x="162267" y="251460"/>
                                </a:lnTo>
                                <a:lnTo>
                                  <a:pt x="207010" y="251460"/>
                                </a:lnTo>
                                <a:lnTo>
                                  <a:pt x="207010" y="140970"/>
                                </a:lnTo>
                                <a:lnTo>
                                  <a:pt x="207010" y="100330"/>
                                </a:lnTo>
                                <a:lnTo>
                                  <a:pt x="207010" y="0"/>
                                </a:lnTo>
                                <a:close/>
                              </a:path>
                            </a:pathLst>
                          </a:custGeom>
                          <a:solidFill>
                            <a:srgbClr val="115C85"/>
                          </a:solidFill>
                        </wps:spPr>
                        <wps:bodyPr wrap="square" lIns="0" tIns="0" rIns="0" bIns="0" rtlCol="0">
                          <a:prstTxWarp prst="textNoShape">
                            <a:avLst/>
                          </a:prstTxWarp>
                          <a:noAutofit/>
                        </wps:bodyPr>
                      </wps:wsp>
                      <pic:pic>
                        <pic:nvPicPr>
                          <pic:cNvPr id="24" name="Image 24"/>
                          <pic:cNvPicPr/>
                        </pic:nvPicPr>
                        <pic:blipFill>
                          <a:blip r:embed="rId16" cstate="print"/>
                          <a:stretch>
                            <a:fillRect/>
                          </a:stretch>
                        </pic:blipFill>
                        <pic:spPr>
                          <a:xfrm>
                            <a:off x="240376" y="93722"/>
                            <a:ext cx="346920" cy="178965"/>
                          </a:xfrm>
                          <a:prstGeom prst="rect">
                            <a:avLst/>
                          </a:prstGeom>
                        </pic:spPr>
                      </pic:pic>
                      <wps:wsp>
                        <wps:cNvPr id="25" name="Graphic 25"/>
                        <wps:cNvSpPr/>
                        <wps:spPr>
                          <a:xfrm>
                            <a:off x="630967" y="0"/>
                            <a:ext cx="43180" cy="268605"/>
                          </a:xfrm>
                          <a:custGeom>
                            <a:avLst/>
                            <a:gdLst/>
                            <a:ahLst/>
                            <a:cxnLst/>
                            <a:rect l="l" t="t" r="r" b="b"/>
                            <a:pathLst>
                              <a:path w="43180" h="268605">
                                <a:moveTo>
                                  <a:pt x="42608" y="0"/>
                                </a:moveTo>
                                <a:lnTo>
                                  <a:pt x="0" y="0"/>
                                </a:lnTo>
                                <a:lnTo>
                                  <a:pt x="0" y="268427"/>
                                </a:lnTo>
                                <a:lnTo>
                                  <a:pt x="42608" y="268427"/>
                                </a:lnTo>
                                <a:lnTo>
                                  <a:pt x="42608" y="0"/>
                                </a:lnTo>
                                <a:close/>
                              </a:path>
                            </a:pathLst>
                          </a:custGeom>
                          <a:solidFill>
                            <a:srgbClr val="115C85"/>
                          </a:solidFill>
                        </wps:spPr>
                        <wps:bodyPr wrap="square" lIns="0" tIns="0" rIns="0" bIns="0" rtlCol="0">
                          <a:prstTxWarp prst="textNoShape">
                            <a:avLst/>
                          </a:prstTxWarp>
                          <a:noAutofit/>
                        </wps:bodyPr>
                      </wps:wsp>
                      <pic:pic>
                        <pic:nvPicPr>
                          <pic:cNvPr id="26" name="Image 26"/>
                          <pic:cNvPicPr/>
                        </pic:nvPicPr>
                        <pic:blipFill>
                          <a:blip r:embed="rId17" cstate="print"/>
                          <a:stretch>
                            <a:fillRect/>
                          </a:stretch>
                        </pic:blipFill>
                        <pic:spPr>
                          <a:xfrm>
                            <a:off x="699837" y="48642"/>
                            <a:ext cx="124625" cy="224040"/>
                          </a:xfrm>
                          <a:prstGeom prst="rect">
                            <a:avLst/>
                          </a:prstGeom>
                        </pic:spPr>
                      </pic:pic>
                      <wps:wsp>
                        <wps:cNvPr id="27" name="Graphic 27"/>
                        <wps:cNvSpPr/>
                        <wps:spPr>
                          <a:xfrm>
                            <a:off x="855353" y="7"/>
                            <a:ext cx="155575" cy="268605"/>
                          </a:xfrm>
                          <a:custGeom>
                            <a:avLst/>
                            <a:gdLst/>
                            <a:ahLst/>
                            <a:cxnLst/>
                            <a:rect l="l" t="t" r="r" b="b"/>
                            <a:pathLst>
                              <a:path w="155575" h="268605">
                                <a:moveTo>
                                  <a:pt x="42608" y="0"/>
                                </a:moveTo>
                                <a:lnTo>
                                  <a:pt x="0" y="0"/>
                                </a:lnTo>
                                <a:lnTo>
                                  <a:pt x="0" y="268427"/>
                                </a:lnTo>
                                <a:lnTo>
                                  <a:pt x="42608" y="268427"/>
                                </a:lnTo>
                                <a:lnTo>
                                  <a:pt x="42608" y="169710"/>
                                </a:lnTo>
                                <a:lnTo>
                                  <a:pt x="43319" y="164274"/>
                                </a:lnTo>
                                <a:lnTo>
                                  <a:pt x="68580" y="133261"/>
                                </a:lnTo>
                                <a:lnTo>
                                  <a:pt x="74561" y="132080"/>
                                </a:lnTo>
                                <a:lnTo>
                                  <a:pt x="89014" y="132080"/>
                                </a:lnTo>
                                <a:lnTo>
                                  <a:pt x="112915" y="177406"/>
                                </a:lnTo>
                                <a:lnTo>
                                  <a:pt x="112915" y="268427"/>
                                </a:lnTo>
                                <a:lnTo>
                                  <a:pt x="155524" y="268427"/>
                                </a:lnTo>
                                <a:lnTo>
                                  <a:pt x="155524" y="160832"/>
                                </a:lnTo>
                                <a:lnTo>
                                  <a:pt x="155323" y="154334"/>
                                </a:lnTo>
                                <a:lnTo>
                                  <a:pt x="136702" y="108165"/>
                                </a:lnTo>
                                <a:lnTo>
                                  <a:pt x="93383" y="93726"/>
                                </a:lnTo>
                                <a:lnTo>
                                  <a:pt x="83886" y="94269"/>
                                </a:lnTo>
                                <a:lnTo>
                                  <a:pt x="46276" y="116571"/>
                                </a:lnTo>
                                <a:lnTo>
                                  <a:pt x="43319" y="121780"/>
                                </a:lnTo>
                                <a:lnTo>
                                  <a:pt x="42608" y="121780"/>
                                </a:lnTo>
                                <a:lnTo>
                                  <a:pt x="42608" y="0"/>
                                </a:lnTo>
                                <a:close/>
                              </a:path>
                            </a:pathLst>
                          </a:custGeom>
                          <a:solidFill>
                            <a:srgbClr val="115C85"/>
                          </a:solidFill>
                        </wps:spPr>
                        <wps:bodyPr wrap="square" lIns="0" tIns="0" rIns="0" bIns="0" rtlCol="0">
                          <a:prstTxWarp prst="textNoShape">
                            <a:avLst/>
                          </a:prstTxWarp>
                          <a:noAutofit/>
                        </wps:bodyPr>
                      </wps:wsp>
                    </wpg:wgp>
                  </a:graphicData>
                </a:graphic>
              </wp:anchor>
            </w:drawing>
          </mc:Choice>
          <mc:Fallback>
            <w:pict>
              <v:group style="position:absolute;margin-left:376.838501pt;margin-top:43.756622pt;width:79.6pt;height:21.5pt;mso-position-horizontal-relative:page;mso-position-vertical-relative:paragraph;z-index:-15727616;mso-wrap-distance-left:0;mso-wrap-distance-right:0" id="docshapegroup22" coordorigin="7537,875" coordsize="1592,430">
                <v:shape style="position:absolute;left:7536;top:901;width:326;height:396" id="docshape23" coordorigin="7537,902" coordsize="326,396" path="m7863,902l7792,902,7792,1060,7607,1060,7607,902,7537,902,7537,1060,7537,1124,7537,1298,7607,1298,7607,1124,7792,1124,7792,1298,7863,1298,7863,1124,7863,1060,7863,902xe" filled="true" fillcolor="#115c85" stroked="false">
                  <v:path arrowok="t"/>
                  <v:fill type="solid"/>
                </v:shape>
                <v:shape style="position:absolute;left:7915;top:1022;width:547;height:282" type="#_x0000_t75" id="docshape24" stroked="false">
                  <v:imagedata r:id="rId16" o:title=""/>
                </v:shape>
                <v:rect style="position:absolute;left:8530;top:875;width:68;height:423" id="docshape25" filled="true" fillcolor="#115c85" stroked="false">
                  <v:fill type="solid"/>
                </v:rect>
                <v:shape style="position:absolute;left:8638;top:951;width:197;height:353" type="#_x0000_t75" id="docshape26" stroked="false">
                  <v:imagedata r:id="rId17" o:title=""/>
                </v:shape>
                <v:shape style="position:absolute;left:8883;top:875;width:245;height:423" id="docshape27" coordorigin="8884,875" coordsize="245,423" path="m8951,875l8884,875,8884,1298,8951,1298,8951,1142,8952,1134,8992,1085,9001,1083,9024,1083,9062,1155,9062,1298,9129,1298,9129,1128,9128,1118,9099,1045,9031,1023,9016,1024,8957,1059,8952,1067,8951,1067,8951,875xe" filled="true" fillcolor="#115c85" stroked="false">
                  <v:path arrowok="t"/>
                  <v:fill type="solid"/>
                </v:shape>
                <w10:wrap type="topAndBottom"/>
              </v:group>
            </w:pict>
          </mc:Fallback>
        </mc:AlternateContent>
      </w:r>
    </w:p>
    <w:p>
      <w:pPr>
        <w:pStyle w:val="BodyText"/>
        <w:spacing w:before="8"/>
        <w:rPr>
          <w:sz w:val="5"/>
        </w:rPr>
      </w:pPr>
    </w:p>
    <w:p>
      <w:pPr>
        <w:pStyle w:val="BodyText"/>
        <w:spacing w:after="0"/>
        <w:rPr>
          <w:sz w:val="5"/>
        </w:rPr>
        <w:sectPr>
          <w:type w:val="continuous"/>
          <w:pgSz w:w="12240" w:h="15840"/>
          <w:pgMar w:top="0" w:bottom="280" w:left="360" w:right="18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87"/>
        <w:rPr>
          <w:sz w:val="20"/>
        </w:rPr>
      </w:pPr>
    </w:p>
    <w:p>
      <w:pPr>
        <w:pStyle w:val="BodyText"/>
        <w:spacing w:after="0"/>
        <w:rPr>
          <w:sz w:val="20"/>
        </w:rPr>
        <w:sectPr>
          <w:pgSz w:w="24480" w:h="15840" w:orient="landscape"/>
          <w:pgMar w:top="0" w:bottom="0" w:left="0" w:right="720"/>
        </w:sectPr>
      </w:pPr>
    </w:p>
    <w:p>
      <w:pPr>
        <w:spacing w:before="138"/>
        <w:ind w:left="1080" w:right="0" w:firstLine="0"/>
        <w:jc w:val="left"/>
        <w:rPr>
          <w:sz w:val="60"/>
        </w:rPr>
      </w:pPr>
      <w:r>
        <w:rPr>
          <w:color w:val="105C84"/>
          <w:spacing w:val="-16"/>
          <w:sz w:val="60"/>
        </w:rPr>
        <w:t>TABLE</w:t>
      </w:r>
      <w:r>
        <w:rPr>
          <w:color w:val="105C84"/>
          <w:spacing w:val="-22"/>
          <w:sz w:val="60"/>
        </w:rPr>
        <w:t> </w:t>
      </w:r>
      <w:r>
        <w:rPr>
          <w:color w:val="105C84"/>
          <w:spacing w:val="-16"/>
          <w:sz w:val="60"/>
        </w:rPr>
        <w:t>OF</w:t>
      </w:r>
      <w:r>
        <w:rPr>
          <w:color w:val="105C84"/>
          <w:spacing w:val="-21"/>
          <w:sz w:val="60"/>
        </w:rPr>
        <w:t> </w:t>
      </w:r>
      <w:r>
        <w:rPr>
          <w:color w:val="105C84"/>
          <w:spacing w:val="-16"/>
          <w:sz w:val="60"/>
        </w:rPr>
        <w:t>CONTENTS</w:t>
      </w:r>
    </w:p>
    <w:sdt>
      <w:sdtPr>
        <w:docPartObj>
          <w:docPartGallery w:val="Table of Contents"/>
          <w:docPartUnique/>
        </w:docPartObj>
      </w:sdtPr>
      <w:sdtEndPr/>
      <w:sdtContent>
        <w:p>
          <w:pPr>
            <w:pStyle w:val="TOC1"/>
            <w:tabs>
              <w:tab w:pos="11159" w:val="right" w:leader="dot"/>
            </w:tabs>
            <w:spacing w:before="571"/>
            <w:ind w:left="1080"/>
          </w:pPr>
          <w:hyperlink w:history="true" w:anchor="_TOC_250018">
            <w:r>
              <w:rPr>
                <w:color w:val="105C84"/>
                <w:spacing w:val="-2"/>
              </w:rPr>
              <w:t>Introduction</w:t>
            </w:r>
            <w:r>
              <w:rPr>
                <w:color w:val="105C84"/>
              </w:rPr>
              <w:tab/>
            </w:r>
            <w:r>
              <w:rPr>
                <w:color w:val="105C84"/>
                <w:spacing w:val="-10"/>
              </w:rPr>
              <w:t>3</w:t>
            </w:r>
          </w:hyperlink>
        </w:p>
        <w:p>
          <w:pPr>
            <w:pStyle w:val="TOC1"/>
            <w:tabs>
              <w:tab w:pos="11159" w:val="right" w:leader="dot"/>
            </w:tabs>
          </w:pPr>
          <w:r>
            <w:rPr>
              <w:color w:val="105C84"/>
              <w:spacing w:val="-4"/>
            </w:rPr>
            <w:t>Key</w:t>
          </w:r>
          <w:r>
            <w:rPr>
              <w:color w:val="105C84"/>
              <w:spacing w:val="-9"/>
            </w:rPr>
            <w:t> </w:t>
          </w:r>
          <w:r>
            <w:rPr>
              <w:color w:val="105C84"/>
              <w:spacing w:val="-4"/>
            </w:rPr>
            <w:t>Findings,</w:t>
          </w:r>
          <w:r>
            <w:rPr>
              <w:color w:val="105C84"/>
              <w:spacing w:val="-8"/>
            </w:rPr>
            <w:t> </w:t>
          </w:r>
          <w:r>
            <w:rPr>
              <w:color w:val="105C84"/>
              <w:spacing w:val="-4"/>
            </w:rPr>
            <w:t>Eight</w:t>
          </w:r>
          <w:r>
            <w:rPr>
              <w:color w:val="105C84"/>
              <w:spacing w:val="-8"/>
            </w:rPr>
            <w:t> </w:t>
          </w:r>
          <w:r>
            <w:rPr>
              <w:color w:val="105C84"/>
              <w:spacing w:val="-4"/>
            </w:rPr>
            <w:t>County</w:t>
          </w:r>
          <w:r>
            <w:rPr>
              <w:color w:val="105C84"/>
              <w:spacing w:val="-9"/>
            </w:rPr>
            <w:t> </w:t>
          </w:r>
          <w:r>
            <w:rPr>
              <w:color w:val="105C84"/>
              <w:spacing w:val="-4"/>
            </w:rPr>
            <w:t>Region</w:t>
          </w:r>
          <w:r>
            <w:rPr>
              <w:color w:val="105C84"/>
            </w:rPr>
            <w:tab/>
          </w:r>
          <w:r>
            <w:rPr>
              <w:color w:val="105C84"/>
              <w:spacing w:val="-12"/>
            </w:rPr>
            <w:t>4</w:t>
          </w:r>
        </w:p>
        <w:p>
          <w:pPr>
            <w:pStyle w:val="TOC1"/>
            <w:tabs>
              <w:tab w:pos="11159" w:val="right" w:leader="dot"/>
            </w:tabs>
          </w:pPr>
          <w:hyperlink w:history="true" w:anchor="_TOC_250017">
            <w:r>
              <w:rPr>
                <w:color w:val="105C84"/>
                <w:spacing w:val="-5"/>
              </w:rPr>
              <w:t>Executive </w:t>
            </w:r>
            <w:r>
              <w:rPr>
                <w:color w:val="105C84"/>
                <w:spacing w:val="-2"/>
              </w:rPr>
              <w:t>Summary</w:t>
            </w:r>
            <w:r>
              <w:rPr>
                <w:color w:val="105C84"/>
              </w:rPr>
              <w:tab/>
            </w:r>
            <w:r>
              <w:rPr>
                <w:color w:val="105C84"/>
                <w:spacing w:val="-10"/>
              </w:rPr>
              <w:t>9</w:t>
            </w:r>
          </w:hyperlink>
        </w:p>
        <w:p>
          <w:pPr>
            <w:pStyle w:val="TOC1"/>
            <w:tabs>
              <w:tab w:pos="11157" w:val="right" w:leader="dot"/>
            </w:tabs>
          </w:pPr>
          <w:r>
            <w:rPr>
              <w:color w:val="105C84"/>
              <w:spacing w:val="-6"/>
            </w:rPr>
            <w:t>Community</w:t>
          </w:r>
          <w:r>
            <w:rPr>
              <w:color w:val="105C84"/>
            </w:rPr>
            <w:t> </w:t>
          </w:r>
          <w:r>
            <w:rPr>
              <w:color w:val="105C84"/>
              <w:spacing w:val="-6"/>
            </w:rPr>
            <w:t>Health</w:t>
          </w:r>
          <w:r>
            <w:rPr>
              <w:color w:val="105C84"/>
            </w:rPr>
            <w:t> </w:t>
          </w:r>
          <w:r>
            <w:rPr>
              <w:color w:val="105C84"/>
              <w:spacing w:val="-6"/>
            </w:rPr>
            <w:t>Assessment,</w:t>
          </w:r>
          <w:r>
            <w:rPr>
              <w:color w:val="105C84"/>
              <w:spacing w:val="1"/>
            </w:rPr>
            <w:t> </w:t>
          </w:r>
          <w:r>
            <w:rPr>
              <w:color w:val="105C84"/>
              <w:spacing w:val="-6"/>
            </w:rPr>
            <w:t>Eight</w:t>
          </w:r>
          <w:r>
            <w:rPr>
              <w:color w:val="105C84"/>
            </w:rPr>
            <w:t> </w:t>
          </w:r>
          <w:r>
            <w:rPr>
              <w:color w:val="105C84"/>
              <w:spacing w:val="-6"/>
            </w:rPr>
            <w:t>County</w:t>
          </w:r>
          <w:r>
            <w:rPr>
              <w:color w:val="105C84"/>
              <w:spacing w:val="1"/>
            </w:rPr>
            <w:t> </w:t>
          </w:r>
          <w:r>
            <w:rPr>
              <w:color w:val="105C84"/>
              <w:spacing w:val="-6"/>
            </w:rPr>
            <w:t>Region</w:t>
          </w:r>
          <w:r>
            <w:rPr>
              <w:color w:val="105C84"/>
            </w:rPr>
            <w:tab/>
          </w:r>
          <w:r>
            <w:rPr>
              <w:color w:val="105C84"/>
              <w:spacing w:val="-7"/>
            </w:rPr>
            <w:t>12</w:t>
          </w:r>
        </w:p>
        <w:p>
          <w:pPr>
            <w:pStyle w:val="TOC1"/>
            <w:tabs>
              <w:tab w:pos="11157" w:val="right" w:leader="dot"/>
            </w:tabs>
          </w:pPr>
          <w:r>
            <w:rPr>
              <w:color w:val="105C84"/>
              <w:spacing w:val="-4"/>
            </w:rPr>
            <w:t>Health</w:t>
          </w:r>
          <w:r>
            <w:rPr>
              <w:color w:val="105C84"/>
              <w:spacing w:val="-14"/>
            </w:rPr>
            <w:t> </w:t>
          </w:r>
          <w:r>
            <w:rPr>
              <w:color w:val="105C84"/>
              <w:spacing w:val="-4"/>
            </w:rPr>
            <w:t>Assessment,</w:t>
          </w:r>
          <w:r>
            <w:rPr>
              <w:color w:val="105C84"/>
              <w:spacing w:val="-14"/>
            </w:rPr>
            <w:t> </w:t>
          </w:r>
          <w:r>
            <w:rPr>
              <w:color w:val="105C84"/>
              <w:spacing w:val="-4"/>
            </w:rPr>
            <w:t>Eight</w:t>
          </w:r>
          <w:r>
            <w:rPr>
              <w:color w:val="105C84"/>
              <w:spacing w:val="-13"/>
            </w:rPr>
            <w:t> </w:t>
          </w:r>
          <w:r>
            <w:rPr>
              <w:color w:val="105C84"/>
              <w:spacing w:val="-4"/>
            </w:rPr>
            <w:t>County</w:t>
          </w:r>
          <w:r>
            <w:rPr>
              <w:color w:val="105C84"/>
              <w:spacing w:val="-14"/>
            </w:rPr>
            <w:t> </w:t>
          </w:r>
          <w:r>
            <w:rPr>
              <w:color w:val="105C84"/>
              <w:spacing w:val="-4"/>
            </w:rPr>
            <w:t>Region</w:t>
          </w:r>
          <w:r>
            <w:rPr>
              <w:color w:val="105C84"/>
            </w:rPr>
            <w:tab/>
          </w:r>
          <w:r>
            <w:rPr>
              <w:color w:val="105C84"/>
              <w:spacing w:val="-7"/>
            </w:rPr>
            <w:t>17</w:t>
          </w:r>
        </w:p>
        <w:p>
          <w:pPr>
            <w:pStyle w:val="TOC1"/>
            <w:tabs>
              <w:tab w:pos="11157" w:val="right" w:leader="dot"/>
            </w:tabs>
          </w:pPr>
          <w:hyperlink w:history="true" w:anchor="_TOC_250016">
            <w:r>
              <w:rPr>
                <w:color w:val="105C84"/>
                <w:spacing w:val="-4"/>
              </w:rPr>
              <w:t>Planning</w:t>
            </w:r>
            <w:r>
              <w:rPr>
                <w:color w:val="105C84"/>
                <w:spacing w:val="-13"/>
              </w:rPr>
              <w:t> </w:t>
            </w:r>
            <w:r>
              <w:rPr>
                <w:color w:val="105C84"/>
                <w:spacing w:val="-4"/>
              </w:rPr>
              <w:t>and</w:t>
            </w:r>
            <w:r>
              <w:rPr>
                <w:color w:val="105C84"/>
                <w:spacing w:val="-13"/>
              </w:rPr>
              <w:t> </w:t>
            </w:r>
            <w:r>
              <w:rPr>
                <w:color w:val="105C84"/>
                <w:spacing w:val="-4"/>
              </w:rPr>
              <w:t>Prioritization</w:t>
            </w:r>
            <w:r>
              <w:rPr>
                <w:color w:val="105C84"/>
                <w:spacing w:val="-12"/>
              </w:rPr>
              <w:t> </w:t>
            </w:r>
            <w:r>
              <w:rPr>
                <w:color w:val="105C84"/>
                <w:spacing w:val="-4"/>
              </w:rPr>
              <w:t>Process</w:t>
            </w:r>
            <w:r>
              <w:rPr>
                <w:color w:val="105C84"/>
              </w:rPr>
              <w:tab/>
            </w:r>
            <w:r>
              <w:rPr>
                <w:color w:val="105C84"/>
                <w:spacing w:val="-7"/>
              </w:rPr>
              <w:t>35</w:t>
            </w:r>
          </w:hyperlink>
        </w:p>
        <w:p>
          <w:pPr>
            <w:pStyle w:val="TOC1"/>
            <w:tabs>
              <w:tab w:pos="11157" w:val="right" w:leader="dot"/>
            </w:tabs>
            <w:spacing w:before="360"/>
          </w:pPr>
          <w:r>
            <w:rPr>
              <w:color w:val="105C84"/>
              <w:spacing w:val="-4"/>
            </w:rPr>
            <w:t>County</w:t>
          </w:r>
          <w:r>
            <w:rPr>
              <w:color w:val="105C84"/>
              <w:spacing w:val="-10"/>
            </w:rPr>
            <w:t> </w:t>
          </w:r>
          <w:r>
            <w:rPr>
              <w:color w:val="105C84"/>
              <w:spacing w:val="-2"/>
            </w:rPr>
            <w:t>Chapters</w:t>
          </w:r>
          <w:r>
            <w:rPr>
              <w:color w:val="105C84"/>
            </w:rPr>
            <w:tab/>
          </w:r>
          <w:r>
            <w:rPr>
              <w:color w:val="105C84"/>
              <w:spacing w:val="-7"/>
            </w:rPr>
            <w:t>37</w:t>
          </w:r>
        </w:p>
        <w:p>
          <w:pPr>
            <w:pStyle w:val="TOC3"/>
            <w:tabs>
              <w:tab w:pos="11160" w:val="right" w:leader="dot"/>
            </w:tabs>
            <w:spacing w:before="310"/>
          </w:pPr>
          <w:hyperlink w:history="true" w:anchor="_TOC_250015">
            <w:r>
              <w:rPr>
                <w:color w:val="406A91"/>
                <w:spacing w:val="-2"/>
              </w:rPr>
              <w:t>Chemung</w:t>
            </w:r>
            <w:r>
              <w:rPr>
                <w:color w:val="406A91"/>
                <w:spacing w:val="-13"/>
              </w:rPr>
              <w:t> </w:t>
            </w:r>
            <w:r>
              <w:rPr>
                <w:color w:val="406A91"/>
                <w:spacing w:val="-2"/>
              </w:rPr>
              <w:t>County</w:t>
            </w:r>
            <w:r>
              <w:rPr>
                <w:color w:val="406A91"/>
              </w:rPr>
              <w:tab/>
            </w:r>
            <w:r>
              <w:rPr>
                <w:color w:val="406A91"/>
                <w:spacing w:val="-5"/>
              </w:rPr>
              <w:t>37</w:t>
            </w:r>
          </w:hyperlink>
        </w:p>
        <w:p>
          <w:pPr>
            <w:pStyle w:val="TOC3"/>
            <w:tabs>
              <w:tab w:pos="11160" w:val="right" w:leader="dot"/>
            </w:tabs>
          </w:pPr>
          <w:hyperlink w:history="true" w:anchor="_TOC_250014">
            <w:r>
              <w:rPr>
                <w:color w:val="406A91"/>
                <w:spacing w:val="-6"/>
              </w:rPr>
              <w:t>Livingston</w:t>
            </w:r>
            <w:r>
              <w:rPr>
                <w:color w:val="406A91"/>
                <w:spacing w:val="-3"/>
              </w:rPr>
              <w:t> </w:t>
            </w:r>
            <w:r>
              <w:rPr>
                <w:color w:val="406A91"/>
                <w:spacing w:val="-2"/>
              </w:rPr>
              <w:t>County</w:t>
            </w:r>
            <w:r>
              <w:rPr>
                <w:color w:val="406A91"/>
              </w:rPr>
              <w:tab/>
            </w:r>
            <w:r>
              <w:rPr>
                <w:color w:val="406A91"/>
                <w:spacing w:val="-5"/>
              </w:rPr>
              <w:t>45</w:t>
            </w:r>
          </w:hyperlink>
        </w:p>
        <w:p>
          <w:pPr>
            <w:pStyle w:val="TOC3"/>
            <w:tabs>
              <w:tab w:pos="11160" w:val="right" w:leader="dot"/>
            </w:tabs>
          </w:pPr>
          <w:hyperlink w:history="true" w:anchor="_TOC_250013">
            <w:r>
              <w:rPr>
                <w:color w:val="406A91"/>
              </w:rPr>
              <w:t>Ontario</w:t>
            </w:r>
            <w:r>
              <w:rPr>
                <w:color w:val="406A91"/>
                <w:spacing w:val="11"/>
              </w:rPr>
              <w:t> </w:t>
            </w:r>
            <w:r>
              <w:rPr>
                <w:color w:val="406A91"/>
                <w:spacing w:val="-2"/>
              </w:rPr>
              <w:t>County</w:t>
            </w:r>
            <w:r>
              <w:rPr>
                <w:color w:val="406A91"/>
              </w:rPr>
              <w:tab/>
            </w:r>
            <w:r>
              <w:rPr>
                <w:color w:val="406A91"/>
                <w:spacing w:val="-5"/>
              </w:rPr>
              <w:t>56</w:t>
            </w:r>
          </w:hyperlink>
        </w:p>
        <w:p>
          <w:pPr>
            <w:pStyle w:val="TOC3"/>
            <w:tabs>
              <w:tab w:pos="11160" w:val="right" w:leader="dot"/>
            </w:tabs>
          </w:pPr>
          <w:hyperlink w:history="true" w:anchor="_TOC_250012">
            <w:r>
              <w:rPr>
                <w:color w:val="406A91"/>
                <w:spacing w:val="-7"/>
              </w:rPr>
              <w:t>Schuyler</w:t>
            </w:r>
            <w:r>
              <w:rPr>
                <w:color w:val="406A91"/>
                <w:spacing w:val="-6"/>
              </w:rPr>
              <w:t> </w:t>
            </w:r>
            <w:r>
              <w:rPr>
                <w:color w:val="406A91"/>
                <w:spacing w:val="-2"/>
              </w:rPr>
              <w:t>County</w:t>
            </w:r>
            <w:r>
              <w:rPr>
                <w:color w:val="406A91"/>
              </w:rPr>
              <w:tab/>
            </w:r>
            <w:r>
              <w:rPr>
                <w:color w:val="406A91"/>
                <w:spacing w:val="-5"/>
              </w:rPr>
              <w:t>67</w:t>
            </w:r>
          </w:hyperlink>
        </w:p>
        <w:p>
          <w:pPr>
            <w:pStyle w:val="TOC3"/>
            <w:tabs>
              <w:tab w:pos="11160" w:val="right" w:leader="dot"/>
            </w:tabs>
          </w:pPr>
          <w:hyperlink w:history="true" w:anchor="_TOC_250011">
            <w:r>
              <w:rPr>
                <w:color w:val="406A91"/>
                <w:spacing w:val="-6"/>
              </w:rPr>
              <w:t>Seneca</w:t>
            </w:r>
            <w:r>
              <w:rPr>
                <w:color w:val="406A91"/>
                <w:spacing w:val="-7"/>
              </w:rPr>
              <w:t> </w:t>
            </w:r>
            <w:r>
              <w:rPr>
                <w:color w:val="406A91"/>
                <w:spacing w:val="-2"/>
              </w:rPr>
              <w:t>County</w:t>
            </w:r>
            <w:r>
              <w:rPr>
                <w:color w:val="406A91"/>
              </w:rPr>
              <w:tab/>
            </w:r>
            <w:r>
              <w:rPr>
                <w:color w:val="406A91"/>
                <w:spacing w:val="-5"/>
              </w:rPr>
              <w:t>76</w:t>
            </w:r>
          </w:hyperlink>
        </w:p>
        <w:p>
          <w:pPr>
            <w:pStyle w:val="TOC3"/>
            <w:tabs>
              <w:tab w:pos="11160" w:val="right" w:leader="dot"/>
            </w:tabs>
          </w:pPr>
          <w:hyperlink w:history="true" w:anchor="_TOC_250010">
            <w:r>
              <w:rPr>
                <w:color w:val="406A91"/>
              </w:rPr>
              <w:t>Steuben</w:t>
            </w:r>
            <w:r>
              <w:rPr>
                <w:color w:val="406A91"/>
                <w:spacing w:val="-14"/>
              </w:rPr>
              <w:t> </w:t>
            </w:r>
            <w:r>
              <w:rPr>
                <w:color w:val="406A91"/>
                <w:spacing w:val="-2"/>
              </w:rPr>
              <w:t>County</w:t>
            </w:r>
            <w:r>
              <w:rPr>
                <w:color w:val="406A91"/>
              </w:rPr>
              <w:tab/>
            </w:r>
            <w:r>
              <w:rPr>
                <w:color w:val="406A91"/>
                <w:spacing w:val="-5"/>
              </w:rPr>
              <w:t>83</w:t>
            </w:r>
          </w:hyperlink>
        </w:p>
        <w:p>
          <w:pPr>
            <w:pStyle w:val="TOC3"/>
            <w:tabs>
              <w:tab w:pos="11160" w:val="right" w:leader="dot"/>
            </w:tabs>
          </w:pPr>
          <w:hyperlink w:history="true" w:anchor="_TOC_250009">
            <w:r>
              <w:rPr>
                <w:color w:val="406A91"/>
                <w:spacing w:val="-2"/>
              </w:rPr>
              <w:t>Wayne</w:t>
            </w:r>
            <w:r>
              <w:rPr>
                <w:color w:val="406A91"/>
                <w:spacing w:val="-9"/>
              </w:rPr>
              <w:t> </w:t>
            </w:r>
            <w:r>
              <w:rPr>
                <w:color w:val="406A91"/>
                <w:spacing w:val="-2"/>
              </w:rPr>
              <w:t>County</w:t>
            </w:r>
            <w:r>
              <w:rPr>
                <w:color w:val="406A91"/>
              </w:rPr>
              <w:tab/>
            </w:r>
            <w:r>
              <w:rPr>
                <w:color w:val="406A91"/>
                <w:spacing w:val="-5"/>
              </w:rPr>
              <w:t>91</w:t>
            </w:r>
          </w:hyperlink>
        </w:p>
        <w:p>
          <w:pPr>
            <w:pStyle w:val="TOC3"/>
            <w:tabs>
              <w:tab w:pos="11160" w:val="right" w:leader="dot"/>
            </w:tabs>
          </w:pPr>
          <w:hyperlink w:history="true" w:anchor="_TOC_250008">
            <w:r>
              <w:rPr>
                <w:color w:val="406A91"/>
                <w:spacing w:val="-7"/>
              </w:rPr>
              <w:t>Yates</w:t>
            </w:r>
            <w:r>
              <w:rPr>
                <w:color w:val="406A91"/>
                <w:spacing w:val="-6"/>
              </w:rPr>
              <w:t> </w:t>
            </w:r>
            <w:r>
              <w:rPr>
                <w:color w:val="406A91"/>
                <w:spacing w:val="-2"/>
              </w:rPr>
              <w:t>County</w:t>
            </w:r>
            <w:r>
              <w:rPr>
                <w:color w:val="406A91"/>
              </w:rPr>
              <w:tab/>
            </w:r>
            <w:r>
              <w:rPr>
                <w:color w:val="406A91"/>
                <w:spacing w:val="-5"/>
              </w:rPr>
              <w:t>103</w:t>
            </w:r>
          </w:hyperlink>
        </w:p>
        <w:p>
          <w:pPr>
            <w:pStyle w:val="TOC1"/>
            <w:tabs>
              <w:tab w:pos="11157" w:val="right" w:leader="dot"/>
            </w:tabs>
            <w:spacing w:before="579"/>
            <w:ind w:left="1080"/>
          </w:pPr>
          <w:r>
            <w:rPr>
              <w:color w:val="105C84"/>
              <w:spacing w:val="-2"/>
            </w:rPr>
            <w:t>Appendixes</w:t>
          </w:r>
          <w:r>
            <w:rPr>
              <w:color w:val="105C84"/>
            </w:rPr>
            <w:tab/>
          </w:r>
          <w:r>
            <w:rPr>
              <w:color w:val="105C84"/>
              <w:spacing w:val="-5"/>
            </w:rPr>
            <w:t>111</w:t>
          </w:r>
        </w:p>
        <w:p>
          <w:pPr>
            <w:pStyle w:val="TOC2"/>
            <w:tabs>
              <w:tab w:pos="11160" w:val="right" w:leader="dot"/>
            </w:tabs>
            <w:spacing w:before="309"/>
          </w:pPr>
          <w:hyperlink w:history="true" w:anchor="_TOC_250007">
            <w:r>
              <w:rPr>
                <w:color w:val="406A91"/>
              </w:rPr>
              <w:t>Chemung</w:t>
            </w:r>
            <w:r>
              <w:rPr>
                <w:color w:val="406A91"/>
                <w:spacing w:val="-15"/>
              </w:rPr>
              <w:t> </w:t>
            </w:r>
            <w:r>
              <w:rPr>
                <w:color w:val="406A91"/>
              </w:rPr>
              <w:t>County</w:t>
            </w:r>
            <w:r>
              <w:rPr>
                <w:color w:val="406A91"/>
                <w:spacing w:val="-14"/>
              </w:rPr>
              <w:t> </w:t>
            </w:r>
            <w:r>
              <w:rPr>
                <w:color w:val="406A91"/>
              </w:rPr>
              <w:t>Appendix</w:t>
            </w:r>
            <w:r>
              <w:rPr>
                <w:color w:val="406A91"/>
                <w:spacing w:val="-14"/>
              </w:rPr>
              <w:t> </w:t>
            </w:r>
            <w:r>
              <w:rPr>
                <w:color w:val="406A91"/>
                <w:spacing w:val="-10"/>
              </w:rPr>
              <w:t>A</w:t>
            </w:r>
            <w:r>
              <w:rPr>
                <w:color w:val="406A91"/>
              </w:rPr>
              <w:tab/>
            </w:r>
            <w:r>
              <w:rPr>
                <w:color w:val="406A91"/>
                <w:spacing w:val="-5"/>
              </w:rPr>
              <w:t>111</w:t>
            </w:r>
          </w:hyperlink>
        </w:p>
        <w:p>
          <w:pPr>
            <w:pStyle w:val="TOC2"/>
            <w:tabs>
              <w:tab w:pos="11160" w:val="right" w:leader="dot"/>
            </w:tabs>
          </w:pPr>
          <w:hyperlink w:history="true" w:anchor="_TOC_250006">
            <w:r>
              <w:rPr>
                <w:color w:val="406A91"/>
                <w:spacing w:val="-2"/>
              </w:rPr>
              <w:t>Livingston</w:t>
            </w:r>
            <w:r>
              <w:rPr>
                <w:color w:val="406A91"/>
                <w:spacing w:val="-11"/>
              </w:rPr>
              <w:t> </w:t>
            </w:r>
            <w:r>
              <w:rPr>
                <w:color w:val="406A91"/>
                <w:spacing w:val="-2"/>
              </w:rPr>
              <w:t>County</w:t>
            </w:r>
            <w:r>
              <w:rPr>
                <w:color w:val="406A91"/>
                <w:spacing w:val="-10"/>
              </w:rPr>
              <w:t> </w:t>
            </w:r>
            <w:r>
              <w:rPr>
                <w:color w:val="406A91"/>
                <w:spacing w:val="-2"/>
              </w:rPr>
              <w:t>Appendix</w:t>
            </w:r>
            <w:r>
              <w:rPr>
                <w:color w:val="406A91"/>
                <w:spacing w:val="-10"/>
              </w:rPr>
              <w:t> B</w:t>
            </w:r>
            <w:r>
              <w:rPr>
                <w:color w:val="406A91"/>
              </w:rPr>
              <w:tab/>
            </w:r>
            <w:r>
              <w:rPr>
                <w:color w:val="406A91"/>
                <w:spacing w:val="-5"/>
              </w:rPr>
              <w:t>129</w:t>
            </w:r>
          </w:hyperlink>
        </w:p>
        <w:p>
          <w:pPr>
            <w:pStyle w:val="TOC2"/>
            <w:tabs>
              <w:tab w:pos="11160" w:val="right" w:leader="dot"/>
            </w:tabs>
          </w:pPr>
          <w:hyperlink w:history="true" w:anchor="_TOC_250005">
            <w:r>
              <w:rPr>
                <w:color w:val="406A91"/>
              </w:rPr>
              <w:t>Ontario</w:t>
            </w:r>
            <w:r>
              <w:rPr>
                <w:color w:val="406A91"/>
                <w:spacing w:val="-2"/>
              </w:rPr>
              <w:t> </w:t>
            </w:r>
            <w:r>
              <w:rPr>
                <w:color w:val="406A91"/>
              </w:rPr>
              <w:t>County</w:t>
            </w:r>
            <w:r>
              <w:rPr>
                <w:color w:val="406A91"/>
                <w:spacing w:val="-1"/>
              </w:rPr>
              <w:t> </w:t>
            </w:r>
            <w:r>
              <w:rPr>
                <w:color w:val="406A91"/>
              </w:rPr>
              <w:t>Appendix</w:t>
            </w:r>
            <w:r>
              <w:rPr>
                <w:color w:val="406A91"/>
                <w:spacing w:val="-1"/>
              </w:rPr>
              <w:t> </w:t>
            </w:r>
            <w:r>
              <w:rPr>
                <w:color w:val="406A91"/>
                <w:spacing w:val="-10"/>
              </w:rPr>
              <w:t>C</w:t>
            </w:r>
            <w:r>
              <w:rPr>
                <w:color w:val="406A91"/>
              </w:rPr>
              <w:tab/>
            </w:r>
            <w:r>
              <w:rPr>
                <w:color w:val="406A91"/>
                <w:spacing w:val="-5"/>
              </w:rPr>
              <w:t>143</w:t>
            </w:r>
          </w:hyperlink>
        </w:p>
        <w:p>
          <w:pPr>
            <w:pStyle w:val="TOC2"/>
            <w:tabs>
              <w:tab w:pos="11160" w:val="right" w:leader="dot"/>
            </w:tabs>
          </w:pPr>
          <w:hyperlink w:history="true" w:anchor="_TOC_250004">
            <w:r>
              <w:rPr>
                <w:color w:val="406A91"/>
                <w:spacing w:val="-2"/>
              </w:rPr>
              <w:t>Schuyler</w:t>
            </w:r>
            <w:r>
              <w:rPr>
                <w:color w:val="406A91"/>
                <w:spacing w:val="-11"/>
              </w:rPr>
              <w:t> </w:t>
            </w:r>
            <w:r>
              <w:rPr>
                <w:color w:val="406A91"/>
                <w:spacing w:val="-2"/>
              </w:rPr>
              <w:t>County</w:t>
            </w:r>
            <w:r>
              <w:rPr>
                <w:color w:val="406A91"/>
                <w:spacing w:val="-11"/>
              </w:rPr>
              <w:t> </w:t>
            </w:r>
            <w:r>
              <w:rPr>
                <w:color w:val="406A91"/>
                <w:spacing w:val="-2"/>
              </w:rPr>
              <w:t>Appendix</w:t>
            </w:r>
            <w:r>
              <w:rPr>
                <w:color w:val="406A91"/>
                <w:spacing w:val="-11"/>
              </w:rPr>
              <w:t> </w:t>
            </w:r>
            <w:r>
              <w:rPr>
                <w:color w:val="406A91"/>
                <w:spacing w:val="-10"/>
              </w:rPr>
              <w:t>D</w:t>
            </w:r>
            <w:r>
              <w:rPr>
                <w:color w:val="406A91"/>
              </w:rPr>
              <w:tab/>
            </w:r>
            <w:r>
              <w:rPr>
                <w:color w:val="406A91"/>
                <w:spacing w:val="-5"/>
              </w:rPr>
              <w:t>163</w:t>
            </w:r>
          </w:hyperlink>
        </w:p>
        <w:p>
          <w:pPr>
            <w:pStyle w:val="TOC2"/>
            <w:tabs>
              <w:tab w:pos="11160" w:val="right" w:leader="dot"/>
            </w:tabs>
          </w:pPr>
          <w:hyperlink w:history="true" w:anchor="_TOC_250003">
            <w:r>
              <w:rPr>
                <w:color w:val="406A91"/>
                <w:spacing w:val="-2"/>
              </w:rPr>
              <w:t>Seneca</w:t>
            </w:r>
            <w:r>
              <w:rPr>
                <w:color w:val="406A91"/>
                <w:spacing w:val="-6"/>
              </w:rPr>
              <w:t> </w:t>
            </w:r>
            <w:r>
              <w:rPr>
                <w:color w:val="406A91"/>
                <w:spacing w:val="-2"/>
              </w:rPr>
              <w:t>County</w:t>
            </w:r>
            <w:r>
              <w:rPr>
                <w:color w:val="406A91"/>
                <w:spacing w:val="-6"/>
              </w:rPr>
              <w:t> </w:t>
            </w:r>
            <w:r>
              <w:rPr>
                <w:color w:val="406A91"/>
                <w:spacing w:val="-2"/>
              </w:rPr>
              <w:t>Appendix</w:t>
            </w:r>
            <w:r>
              <w:rPr>
                <w:color w:val="406A91"/>
                <w:spacing w:val="-6"/>
              </w:rPr>
              <w:t> </w:t>
            </w:r>
            <w:r>
              <w:rPr>
                <w:color w:val="406A91"/>
                <w:spacing w:val="-10"/>
              </w:rPr>
              <w:t>E</w:t>
            </w:r>
            <w:r>
              <w:rPr>
                <w:color w:val="406A91"/>
              </w:rPr>
              <w:tab/>
            </w:r>
            <w:r>
              <w:rPr>
                <w:color w:val="406A91"/>
                <w:spacing w:val="-5"/>
              </w:rPr>
              <w:t>179</w:t>
            </w:r>
          </w:hyperlink>
        </w:p>
        <w:p>
          <w:pPr>
            <w:pStyle w:val="TOC2"/>
            <w:tabs>
              <w:tab w:pos="11160" w:val="right" w:leader="dot"/>
            </w:tabs>
          </w:pPr>
          <w:hyperlink w:history="true" w:anchor="_TOC_250002">
            <w:r>
              <w:rPr>
                <w:color w:val="406A91"/>
              </w:rPr>
              <w:t>Steuben</w:t>
            </w:r>
            <w:r>
              <w:rPr>
                <w:color w:val="406A91"/>
                <w:spacing w:val="-10"/>
              </w:rPr>
              <w:t> </w:t>
            </w:r>
            <w:r>
              <w:rPr>
                <w:color w:val="406A91"/>
              </w:rPr>
              <w:t>County</w:t>
            </w:r>
            <w:r>
              <w:rPr>
                <w:color w:val="406A91"/>
                <w:spacing w:val="-10"/>
              </w:rPr>
              <w:t> </w:t>
            </w:r>
            <w:r>
              <w:rPr>
                <w:color w:val="406A91"/>
              </w:rPr>
              <w:t>Appendix</w:t>
            </w:r>
            <w:r>
              <w:rPr>
                <w:color w:val="406A91"/>
                <w:spacing w:val="-10"/>
              </w:rPr>
              <w:t> F</w:t>
            </w:r>
            <w:r>
              <w:rPr>
                <w:color w:val="406A91"/>
              </w:rPr>
              <w:tab/>
            </w:r>
            <w:r>
              <w:rPr>
                <w:color w:val="406A91"/>
                <w:spacing w:val="-5"/>
              </w:rPr>
              <w:t>191</w:t>
            </w:r>
          </w:hyperlink>
        </w:p>
        <w:p>
          <w:pPr>
            <w:pStyle w:val="TOC2"/>
            <w:tabs>
              <w:tab w:pos="11160" w:val="right" w:leader="dot"/>
            </w:tabs>
          </w:pPr>
          <w:hyperlink w:history="true" w:anchor="_TOC_250001">
            <w:r>
              <w:rPr>
                <w:color w:val="406A91"/>
              </w:rPr>
              <w:t>Wayne</w:t>
            </w:r>
            <w:r>
              <w:rPr>
                <w:color w:val="406A91"/>
                <w:spacing w:val="-12"/>
              </w:rPr>
              <w:t> </w:t>
            </w:r>
            <w:r>
              <w:rPr>
                <w:color w:val="406A91"/>
              </w:rPr>
              <w:t>County</w:t>
            </w:r>
            <w:r>
              <w:rPr>
                <w:color w:val="406A91"/>
                <w:spacing w:val="-12"/>
              </w:rPr>
              <w:t> </w:t>
            </w:r>
            <w:r>
              <w:rPr>
                <w:color w:val="406A91"/>
              </w:rPr>
              <w:t>Appendix</w:t>
            </w:r>
            <w:r>
              <w:rPr>
                <w:color w:val="406A91"/>
                <w:spacing w:val="-11"/>
              </w:rPr>
              <w:t> </w:t>
            </w:r>
            <w:r>
              <w:rPr>
                <w:color w:val="406A91"/>
                <w:spacing w:val="-10"/>
              </w:rPr>
              <w:t>G</w:t>
            </w:r>
            <w:r>
              <w:rPr>
                <w:color w:val="406A91"/>
              </w:rPr>
              <w:tab/>
            </w:r>
            <w:r>
              <w:rPr>
                <w:color w:val="406A91"/>
                <w:spacing w:val="-5"/>
              </w:rPr>
              <w:t>217</w:t>
            </w:r>
          </w:hyperlink>
        </w:p>
        <w:p>
          <w:pPr>
            <w:pStyle w:val="TOC2"/>
            <w:tabs>
              <w:tab w:pos="11160" w:val="right" w:leader="dot"/>
            </w:tabs>
          </w:pPr>
          <w:hyperlink w:history="true" w:anchor="_TOC_250000">
            <w:r>
              <w:rPr>
                <w:color w:val="406A91"/>
                <w:spacing w:val="-2"/>
              </w:rPr>
              <w:t>Yates</w:t>
            </w:r>
            <w:r>
              <w:rPr>
                <w:color w:val="406A91"/>
                <w:spacing w:val="-6"/>
              </w:rPr>
              <w:t> </w:t>
            </w:r>
            <w:r>
              <w:rPr>
                <w:color w:val="406A91"/>
                <w:spacing w:val="-2"/>
              </w:rPr>
              <w:t>County</w:t>
            </w:r>
            <w:r>
              <w:rPr>
                <w:color w:val="406A91"/>
                <w:spacing w:val="-6"/>
              </w:rPr>
              <w:t> </w:t>
            </w:r>
            <w:r>
              <w:rPr>
                <w:color w:val="406A91"/>
                <w:spacing w:val="-2"/>
              </w:rPr>
              <w:t>Appendix</w:t>
            </w:r>
            <w:r>
              <w:rPr>
                <w:color w:val="406A91"/>
                <w:spacing w:val="-6"/>
              </w:rPr>
              <w:t> </w:t>
            </w:r>
            <w:r>
              <w:rPr>
                <w:color w:val="406A91"/>
                <w:spacing w:val="-10"/>
              </w:rPr>
              <w:t>H</w:t>
            </w:r>
            <w:r>
              <w:rPr>
                <w:color w:val="406A91"/>
              </w:rPr>
              <w:tab/>
            </w:r>
            <w:r>
              <w:rPr>
                <w:color w:val="406A91"/>
                <w:spacing w:val="-5"/>
              </w:rPr>
              <w:t>241</w:t>
            </w:r>
          </w:hyperlink>
        </w:p>
      </w:sdtContent>
    </w:sdt>
    <w:p>
      <w:pPr>
        <w:pStyle w:val="BodyText"/>
        <w:spacing w:line="247" w:lineRule="auto" w:before="116"/>
        <w:ind w:left="1079" w:right="865"/>
      </w:pPr>
      <w:r>
        <w:rPr/>
        <w:br w:type="column"/>
      </w:r>
      <w:r>
        <w:rPr>
          <w:color w:val="105C84"/>
        </w:rPr>
        <w:t>The purpose of the following assessment is to fulfill the needs of eight local health departments</w:t>
      </w:r>
      <w:r>
        <w:rPr>
          <w:color w:val="105C84"/>
          <w:spacing w:val="80"/>
        </w:rPr>
        <w:t> </w:t>
      </w:r>
      <w:r>
        <w:rPr>
          <w:color w:val="105C84"/>
        </w:rPr>
        <w:t>and hospitals in the Finger Lakes region for completion of their 2019-2021 Community Health Assessments</w:t>
      </w:r>
      <w:r>
        <w:rPr>
          <w:color w:val="105C84"/>
          <w:spacing w:val="-11"/>
        </w:rPr>
        <w:t> </w:t>
      </w:r>
      <w:r>
        <w:rPr>
          <w:color w:val="105C84"/>
        </w:rPr>
        <w:t>(CHA),</w:t>
      </w:r>
      <w:r>
        <w:rPr>
          <w:color w:val="105C84"/>
          <w:spacing w:val="-11"/>
        </w:rPr>
        <w:t> </w:t>
      </w:r>
      <w:r>
        <w:rPr>
          <w:color w:val="105C84"/>
        </w:rPr>
        <w:t>Community</w:t>
      </w:r>
      <w:r>
        <w:rPr>
          <w:color w:val="105C84"/>
          <w:spacing w:val="-11"/>
        </w:rPr>
        <w:t> </w:t>
      </w:r>
      <w:r>
        <w:rPr>
          <w:color w:val="105C84"/>
        </w:rPr>
        <w:t>Service</w:t>
      </w:r>
      <w:r>
        <w:rPr>
          <w:color w:val="105C84"/>
          <w:spacing w:val="-11"/>
        </w:rPr>
        <w:t> </w:t>
      </w:r>
      <w:r>
        <w:rPr>
          <w:color w:val="105C84"/>
        </w:rPr>
        <w:t>Plans</w:t>
      </w:r>
      <w:r>
        <w:rPr>
          <w:color w:val="105C84"/>
          <w:spacing w:val="-11"/>
        </w:rPr>
        <w:t> </w:t>
      </w:r>
      <w:r>
        <w:rPr>
          <w:color w:val="105C84"/>
        </w:rPr>
        <w:t>(CSP),</w:t>
      </w:r>
      <w:r>
        <w:rPr>
          <w:color w:val="105C84"/>
          <w:spacing w:val="-11"/>
        </w:rPr>
        <w:t> </w:t>
      </w:r>
      <w:r>
        <w:rPr>
          <w:color w:val="105C84"/>
        </w:rPr>
        <w:t>and</w:t>
      </w:r>
      <w:r>
        <w:rPr>
          <w:color w:val="105C84"/>
          <w:spacing w:val="-11"/>
        </w:rPr>
        <w:t> </w:t>
      </w:r>
      <w:r>
        <w:rPr>
          <w:color w:val="105C84"/>
        </w:rPr>
        <w:t>Community</w:t>
      </w:r>
      <w:r>
        <w:rPr>
          <w:color w:val="105C84"/>
          <w:spacing w:val="-11"/>
        </w:rPr>
        <w:t> </w:t>
      </w:r>
      <w:r>
        <w:rPr>
          <w:color w:val="105C84"/>
        </w:rPr>
        <w:t>Health</w:t>
      </w:r>
      <w:r>
        <w:rPr>
          <w:color w:val="105C84"/>
          <w:spacing w:val="-11"/>
        </w:rPr>
        <w:t> </w:t>
      </w:r>
      <w:r>
        <w:rPr>
          <w:color w:val="105C84"/>
        </w:rPr>
        <w:t>Improvement</w:t>
      </w:r>
      <w:r>
        <w:rPr>
          <w:color w:val="105C84"/>
          <w:spacing w:val="-11"/>
        </w:rPr>
        <w:t> </w:t>
      </w:r>
      <w:r>
        <w:rPr>
          <w:color w:val="105C84"/>
        </w:rPr>
        <w:t>Plans (CHIP). Below are the staff who prepared the report.</w:t>
      </w:r>
    </w:p>
    <w:p>
      <w:pPr>
        <w:pStyle w:val="BodyText"/>
        <w:spacing w:before="39"/>
        <w:rPr>
          <w:sz w:val="20"/>
        </w:rPr>
      </w:pPr>
    </w:p>
    <w:tbl>
      <w:tblPr>
        <w:tblW w:w="0" w:type="auto"/>
        <w:jc w:val="left"/>
        <w:tblInd w:w="1093"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top w:w="0" w:type="dxa"/>
          <w:left w:w="0" w:type="dxa"/>
          <w:bottom w:w="0" w:type="dxa"/>
          <w:right w:w="0" w:type="dxa"/>
        </w:tblCellMar>
        <w:tblLook w:val="01E0"/>
      </w:tblPr>
      <w:tblGrid>
        <w:gridCol w:w="2005"/>
        <w:gridCol w:w="1642"/>
        <w:gridCol w:w="3485"/>
        <w:gridCol w:w="2763"/>
      </w:tblGrid>
      <w:tr>
        <w:trPr>
          <w:trHeight w:val="391" w:hRule="atLeast"/>
        </w:trPr>
        <w:tc>
          <w:tcPr>
            <w:tcW w:w="9895" w:type="dxa"/>
            <w:gridSpan w:val="4"/>
            <w:shd w:val="clear" w:color="auto" w:fill="00A79E"/>
          </w:tcPr>
          <w:p>
            <w:pPr>
              <w:pStyle w:val="TableParagraph"/>
              <w:spacing w:before="60"/>
              <w:ind w:left="3"/>
              <w:jc w:val="center"/>
              <w:rPr>
                <w:b/>
                <w:sz w:val="26"/>
              </w:rPr>
            </w:pPr>
            <w:r>
              <w:rPr>
                <w:b/>
                <w:color w:val="FFFFFF"/>
                <w:sz w:val="26"/>
              </w:rPr>
              <w:t>COMMON</w:t>
            </w:r>
            <w:r>
              <w:rPr>
                <w:b/>
                <w:color w:val="FFFFFF"/>
                <w:spacing w:val="52"/>
                <w:sz w:val="26"/>
              </w:rPr>
              <w:t> </w:t>
            </w:r>
            <w:r>
              <w:rPr>
                <w:b/>
                <w:color w:val="FFFFFF"/>
                <w:sz w:val="26"/>
              </w:rPr>
              <w:t>GROUND</w:t>
            </w:r>
            <w:r>
              <w:rPr>
                <w:b/>
                <w:color w:val="FFFFFF"/>
                <w:spacing w:val="52"/>
                <w:sz w:val="26"/>
              </w:rPr>
              <w:t> </w:t>
            </w:r>
            <w:r>
              <w:rPr>
                <w:b/>
                <w:color w:val="FFFFFF"/>
                <w:spacing w:val="-2"/>
                <w:sz w:val="26"/>
              </w:rPr>
              <w:t>HEALTH</w:t>
            </w:r>
          </w:p>
        </w:tc>
      </w:tr>
      <w:tr>
        <w:trPr>
          <w:trHeight w:val="355" w:hRule="atLeast"/>
        </w:trPr>
        <w:tc>
          <w:tcPr>
            <w:tcW w:w="2005" w:type="dxa"/>
            <w:shd w:val="clear" w:color="auto" w:fill="DCDDDE"/>
          </w:tcPr>
          <w:p>
            <w:pPr>
              <w:pStyle w:val="TableParagraph"/>
              <w:spacing w:before="71"/>
              <w:ind w:left="90"/>
              <w:rPr>
                <w:b/>
                <w:sz w:val="20"/>
              </w:rPr>
            </w:pPr>
            <w:r>
              <w:rPr>
                <w:b/>
                <w:color w:val="105C84"/>
                <w:spacing w:val="-4"/>
                <w:sz w:val="20"/>
              </w:rPr>
              <w:t>Name</w:t>
            </w:r>
          </w:p>
        </w:tc>
        <w:tc>
          <w:tcPr>
            <w:tcW w:w="1642" w:type="dxa"/>
            <w:shd w:val="clear" w:color="auto" w:fill="DCDDDE"/>
          </w:tcPr>
          <w:p>
            <w:pPr>
              <w:pStyle w:val="TableParagraph"/>
              <w:spacing w:before="71"/>
              <w:ind w:left="89"/>
              <w:rPr>
                <w:b/>
                <w:sz w:val="20"/>
              </w:rPr>
            </w:pPr>
            <w:r>
              <w:rPr>
                <w:b/>
                <w:color w:val="105C84"/>
                <w:spacing w:val="-2"/>
                <w:sz w:val="20"/>
              </w:rPr>
              <w:t>Phone</w:t>
            </w:r>
          </w:p>
        </w:tc>
        <w:tc>
          <w:tcPr>
            <w:tcW w:w="3485" w:type="dxa"/>
            <w:shd w:val="clear" w:color="auto" w:fill="DCDDDE"/>
          </w:tcPr>
          <w:p>
            <w:pPr>
              <w:pStyle w:val="TableParagraph"/>
              <w:spacing w:before="71"/>
              <w:ind w:left="89"/>
              <w:rPr>
                <w:b/>
                <w:sz w:val="20"/>
              </w:rPr>
            </w:pPr>
            <w:r>
              <w:rPr>
                <w:b/>
                <w:color w:val="105C84"/>
                <w:spacing w:val="-2"/>
                <w:sz w:val="20"/>
              </w:rPr>
              <w:t>Email</w:t>
            </w:r>
          </w:p>
        </w:tc>
        <w:tc>
          <w:tcPr>
            <w:tcW w:w="2763" w:type="dxa"/>
            <w:shd w:val="clear" w:color="auto" w:fill="DCDDDE"/>
          </w:tcPr>
          <w:p>
            <w:pPr>
              <w:pStyle w:val="TableParagraph"/>
              <w:spacing w:before="71"/>
              <w:ind w:left="89"/>
              <w:rPr>
                <w:b/>
                <w:sz w:val="20"/>
              </w:rPr>
            </w:pPr>
            <w:r>
              <w:rPr>
                <w:b/>
                <w:color w:val="105C84"/>
                <w:spacing w:val="-4"/>
                <w:sz w:val="20"/>
              </w:rPr>
              <w:t>Role</w:t>
            </w:r>
          </w:p>
        </w:tc>
      </w:tr>
      <w:tr>
        <w:trPr>
          <w:trHeight w:val="298" w:hRule="atLeast"/>
        </w:trPr>
        <w:tc>
          <w:tcPr>
            <w:tcW w:w="2005" w:type="dxa"/>
          </w:tcPr>
          <w:p>
            <w:pPr>
              <w:pStyle w:val="TableParagraph"/>
              <w:spacing w:before="52"/>
              <w:ind w:left="90"/>
              <w:rPr>
                <w:sz w:val="18"/>
              </w:rPr>
            </w:pPr>
            <w:r>
              <w:rPr>
                <w:color w:val="105C84"/>
                <w:sz w:val="18"/>
              </w:rPr>
              <w:t>Catie</w:t>
            </w:r>
            <w:r>
              <w:rPr>
                <w:color w:val="105C84"/>
                <w:spacing w:val="4"/>
                <w:sz w:val="18"/>
              </w:rPr>
              <w:t> </w:t>
            </w:r>
            <w:r>
              <w:rPr>
                <w:color w:val="105C84"/>
                <w:spacing w:val="-2"/>
                <w:sz w:val="18"/>
              </w:rPr>
              <w:t>Kunecki</w:t>
            </w:r>
          </w:p>
        </w:tc>
        <w:tc>
          <w:tcPr>
            <w:tcW w:w="1642" w:type="dxa"/>
          </w:tcPr>
          <w:p>
            <w:pPr>
              <w:pStyle w:val="TableParagraph"/>
              <w:spacing w:before="52"/>
              <w:ind w:left="89"/>
              <w:rPr>
                <w:sz w:val="18"/>
              </w:rPr>
            </w:pPr>
            <w:r>
              <w:rPr>
                <w:color w:val="105C84"/>
                <w:w w:val="90"/>
                <w:sz w:val="18"/>
              </w:rPr>
              <w:t>585-224-</w:t>
            </w:r>
            <w:r>
              <w:rPr>
                <w:color w:val="105C84"/>
                <w:spacing w:val="-4"/>
                <w:w w:val="90"/>
                <w:sz w:val="18"/>
              </w:rPr>
              <w:t>3157</w:t>
            </w:r>
          </w:p>
        </w:tc>
        <w:tc>
          <w:tcPr>
            <w:tcW w:w="3485" w:type="dxa"/>
          </w:tcPr>
          <w:p>
            <w:pPr>
              <w:pStyle w:val="TableParagraph"/>
              <w:spacing w:before="60"/>
              <w:ind w:left="89"/>
              <w:rPr>
                <w:sz w:val="16"/>
              </w:rPr>
            </w:pPr>
            <w:hyperlink r:id="rId18">
              <w:r>
                <w:rPr>
                  <w:color w:val="105C84"/>
                  <w:spacing w:val="-2"/>
                  <w:sz w:val="16"/>
                </w:rPr>
                <w:t>Catie.Kunecki@commongroundhealth.org</w:t>
              </w:r>
            </w:hyperlink>
          </w:p>
        </w:tc>
        <w:tc>
          <w:tcPr>
            <w:tcW w:w="2763" w:type="dxa"/>
          </w:tcPr>
          <w:p>
            <w:pPr>
              <w:pStyle w:val="TableParagraph"/>
              <w:spacing w:before="52"/>
              <w:ind w:left="89"/>
              <w:rPr>
                <w:sz w:val="18"/>
              </w:rPr>
            </w:pPr>
            <w:r>
              <w:rPr>
                <w:color w:val="105C84"/>
                <w:spacing w:val="-2"/>
                <w:sz w:val="18"/>
              </w:rPr>
              <w:t>Primary</w:t>
            </w:r>
            <w:r>
              <w:rPr>
                <w:color w:val="105C84"/>
                <w:spacing w:val="-5"/>
                <w:sz w:val="18"/>
              </w:rPr>
              <w:t> </w:t>
            </w:r>
            <w:r>
              <w:rPr>
                <w:color w:val="105C84"/>
                <w:spacing w:val="-2"/>
                <w:sz w:val="18"/>
              </w:rPr>
              <w:t>author</w:t>
            </w:r>
          </w:p>
        </w:tc>
      </w:tr>
      <w:tr>
        <w:trPr>
          <w:trHeight w:val="298" w:hRule="atLeast"/>
        </w:trPr>
        <w:tc>
          <w:tcPr>
            <w:tcW w:w="2005" w:type="dxa"/>
          </w:tcPr>
          <w:p>
            <w:pPr>
              <w:pStyle w:val="TableParagraph"/>
              <w:spacing w:before="51"/>
              <w:ind w:left="90"/>
              <w:rPr>
                <w:sz w:val="18"/>
              </w:rPr>
            </w:pPr>
            <w:r>
              <w:rPr>
                <w:color w:val="105C84"/>
                <w:sz w:val="18"/>
              </w:rPr>
              <w:t>Kathi</w:t>
            </w:r>
            <w:r>
              <w:rPr>
                <w:color w:val="105C84"/>
                <w:spacing w:val="-2"/>
                <w:sz w:val="18"/>
              </w:rPr>
              <w:t> Lynch</w:t>
            </w:r>
          </w:p>
        </w:tc>
        <w:tc>
          <w:tcPr>
            <w:tcW w:w="1642" w:type="dxa"/>
          </w:tcPr>
          <w:p>
            <w:pPr>
              <w:pStyle w:val="TableParagraph"/>
              <w:spacing w:before="51"/>
              <w:ind w:left="89"/>
              <w:rPr>
                <w:sz w:val="18"/>
              </w:rPr>
            </w:pPr>
            <w:r>
              <w:rPr>
                <w:color w:val="105C84"/>
                <w:w w:val="90"/>
                <w:sz w:val="18"/>
              </w:rPr>
              <w:t>585-224-</w:t>
            </w:r>
            <w:r>
              <w:rPr>
                <w:color w:val="105C84"/>
                <w:spacing w:val="-4"/>
                <w:w w:val="90"/>
                <w:sz w:val="18"/>
              </w:rPr>
              <w:t>3155</w:t>
            </w:r>
          </w:p>
        </w:tc>
        <w:tc>
          <w:tcPr>
            <w:tcW w:w="3485" w:type="dxa"/>
          </w:tcPr>
          <w:p>
            <w:pPr>
              <w:pStyle w:val="TableParagraph"/>
              <w:spacing w:before="60"/>
              <w:ind w:left="89"/>
              <w:rPr>
                <w:sz w:val="16"/>
              </w:rPr>
            </w:pPr>
            <w:hyperlink r:id="rId19">
              <w:r>
                <w:rPr>
                  <w:color w:val="105C84"/>
                  <w:spacing w:val="-2"/>
                  <w:sz w:val="16"/>
                </w:rPr>
                <w:t>Kathi.Lynch@commongroundhealth.org</w:t>
              </w:r>
            </w:hyperlink>
          </w:p>
        </w:tc>
        <w:tc>
          <w:tcPr>
            <w:tcW w:w="2763" w:type="dxa"/>
          </w:tcPr>
          <w:p>
            <w:pPr>
              <w:pStyle w:val="TableParagraph"/>
              <w:spacing w:before="52"/>
              <w:ind w:left="89"/>
              <w:rPr>
                <w:sz w:val="18"/>
              </w:rPr>
            </w:pPr>
            <w:r>
              <w:rPr>
                <w:color w:val="105C84"/>
                <w:spacing w:val="-2"/>
                <w:sz w:val="18"/>
              </w:rPr>
              <w:t>Primary</w:t>
            </w:r>
            <w:r>
              <w:rPr>
                <w:color w:val="105C84"/>
                <w:spacing w:val="-5"/>
                <w:sz w:val="18"/>
              </w:rPr>
              <w:t> </w:t>
            </w:r>
            <w:r>
              <w:rPr>
                <w:color w:val="105C84"/>
                <w:spacing w:val="-2"/>
                <w:sz w:val="18"/>
              </w:rPr>
              <w:t>reviewer</w:t>
            </w:r>
          </w:p>
        </w:tc>
      </w:tr>
    </w:tbl>
    <w:p>
      <w:pPr>
        <w:pStyle w:val="BodyText"/>
      </w:pPr>
    </w:p>
    <w:p>
      <w:pPr>
        <w:pStyle w:val="BodyText"/>
        <w:spacing w:before="98"/>
      </w:pPr>
    </w:p>
    <w:p>
      <w:pPr>
        <w:pStyle w:val="BodyText"/>
        <w:ind w:left="1108"/>
      </w:pPr>
      <w:r>
        <w:rPr>
          <w:color w:val="105C84"/>
        </w:rPr>
        <w:t>Below</w:t>
      </w:r>
      <w:r>
        <w:rPr>
          <w:color w:val="105C84"/>
          <w:spacing w:val="12"/>
        </w:rPr>
        <w:t> </w:t>
      </w:r>
      <w:r>
        <w:rPr>
          <w:color w:val="105C84"/>
        </w:rPr>
        <w:t>are</w:t>
      </w:r>
      <w:r>
        <w:rPr>
          <w:color w:val="105C84"/>
          <w:spacing w:val="12"/>
        </w:rPr>
        <w:t> </w:t>
      </w:r>
      <w:r>
        <w:rPr>
          <w:color w:val="105C84"/>
        </w:rPr>
        <w:t>the</w:t>
      </w:r>
      <w:r>
        <w:rPr>
          <w:color w:val="105C84"/>
          <w:spacing w:val="12"/>
        </w:rPr>
        <w:t> </w:t>
      </w:r>
      <w:r>
        <w:rPr>
          <w:color w:val="105C84"/>
        </w:rPr>
        <w:t>participating</w:t>
      </w:r>
      <w:r>
        <w:rPr>
          <w:color w:val="105C84"/>
          <w:spacing w:val="13"/>
        </w:rPr>
        <w:t> </w:t>
      </w:r>
      <w:r>
        <w:rPr>
          <w:color w:val="105C84"/>
        </w:rPr>
        <w:t>health</w:t>
      </w:r>
      <w:r>
        <w:rPr>
          <w:color w:val="105C84"/>
          <w:spacing w:val="12"/>
        </w:rPr>
        <w:t> </w:t>
      </w:r>
      <w:r>
        <w:rPr>
          <w:color w:val="105C84"/>
        </w:rPr>
        <w:t>departments,</w:t>
      </w:r>
      <w:r>
        <w:rPr>
          <w:color w:val="105C84"/>
          <w:spacing w:val="12"/>
        </w:rPr>
        <w:t> </w:t>
      </w:r>
      <w:r>
        <w:rPr>
          <w:color w:val="105C84"/>
        </w:rPr>
        <w:t>hospitals</w:t>
      </w:r>
      <w:r>
        <w:rPr>
          <w:color w:val="105C84"/>
          <w:spacing w:val="13"/>
        </w:rPr>
        <w:t> </w:t>
      </w:r>
      <w:r>
        <w:rPr>
          <w:color w:val="105C84"/>
        </w:rPr>
        <w:t>and</w:t>
      </w:r>
      <w:r>
        <w:rPr>
          <w:color w:val="105C84"/>
          <w:spacing w:val="12"/>
        </w:rPr>
        <w:t> </w:t>
      </w:r>
      <w:r>
        <w:rPr>
          <w:color w:val="105C84"/>
        </w:rPr>
        <w:t>overseeing</w:t>
      </w:r>
      <w:r>
        <w:rPr>
          <w:color w:val="105C84"/>
          <w:spacing w:val="12"/>
        </w:rPr>
        <w:t> </w:t>
      </w:r>
      <w:r>
        <w:rPr>
          <w:color w:val="105C84"/>
        </w:rPr>
        <w:t>CHIP</w:t>
      </w:r>
      <w:r>
        <w:rPr>
          <w:color w:val="105C84"/>
          <w:spacing w:val="13"/>
        </w:rPr>
        <w:t> </w:t>
      </w:r>
      <w:r>
        <w:rPr>
          <w:color w:val="105C84"/>
          <w:spacing w:val="-2"/>
        </w:rPr>
        <w:t>bodies.</w:t>
      </w:r>
    </w:p>
    <w:p>
      <w:pPr>
        <w:pStyle w:val="BodyText"/>
        <w:spacing w:before="22"/>
        <w:rPr>
          <w:sz w:val="20"/>
        </w:rPr>
      </w:pPr>
    </w:p>
    <w:tbl>
      <w:tblPr>
        <w:tblW w:w="0" w:type="auto"/>
        <w:jc w:val="left"/>
        <w:tblInd w:w="1093"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top w:w="0" w:type="dxa"/>
          <w:left w:w="0" w:type="dxa"/>
          <w:bottom w:w="0" w:type="dxa"/>
          <w:right w:w="0" w:type="dxa"/>
        </w:tblCellMar>
        <w:tblLook w:val="01E0"/>
      </w:tblPr>
      <w:tblGrid>
        <w:gridCol w:w="1366"/>
        <w:gridCol w:w="1887"/>
        <w:gridCol w:w="1642"/>
        <w:gridCol w:w="2621"/>
        <w:gridCol w:w="2403"/>
      </w:tblGrid>
      <w:tr>
        <w:trPr>
          <w:trHeight w:val="415" w:hRule="atLeast"/>
        </w:trPr>
        <w:tc>
          <w:tcPr>
            <w:tcW w:w="9919" w:type="dxa"/>
            <w:gridSpan w:val="5"/>
            <w:shd w:val="clear" w:color="auto" w:fill="00A79E"/>
          </w:tcPr>
          <w:p>
            <w:pPr>
              <w:pStyle w:val="TableParagraph"/>
              <w:spacing w:before="60"/>
              <w:ind w:left="2"/>
              <w:jc w:val="center"/>
              <w:rPr>
                <w:b/>
                <w:sz w:val="26"/>
              </w:rPr>
            </w:pPr>
            <w:r>
              <w:rPr>
                <w:b/>
                <w:color w:val="FFFFFF"/>
                <w:sz w:val="26"/>
              </w:rPr>
              <w:t>COUNTY</w:t>
            </w:r>
            <w:r>
              <w:rPr>
                <w:b/>
                <w:color w:val="FFFFFF"/>
                <w:spacing w:val="4"/>
                <w:sz w:val="26"/>
              </w:rPr>
              <w:t> </w:t>
            </w:r>
            <w:r>
              <w:rPr>
                <w:b/>
                <w:color w:val="FFFFFF"/>
                <w:spacing w:val="-2"/>
                <w:sz w:val="26"/>
              </w:rPr>
              <w:t>CONTACTS</w:t>
            </w:r>
          </w:p>
        </w:tc>
      </w:tr>
      <w:tr>
        <w:trPr>
          <w:trHeight w:val="355" w:hRule="atLeast"/>
        </w:trPr>
        <w:tc>
          <w:tcPr>
            <w:tcW w:w="1366" w:type="dxa"/>
            <w:shd w:val="clear" w:color="auto" w:fill="DCDDDE"/>
          </w:tcPr>
          <w:p>
            <w:pPr>
              <w:pStyle w:val="TableParagraph"/>
              <w:spacing w:before="71"/>
              <w:ind w:left="90"/>
              <w:rPr>
                <w:b/>
                <w:sz w:val="20"/>
              </w:rPr>
            </w:pPr>
            <w:r>
              <w:rPr>
                <w:b/>
                <w:color w:val="105C84"/>
                <w:spacing w:val="-4"/>
                <w:sz w:val="20"/>
              </w:rPr>
              <w:t>Name</w:t>
            </w:r>
          </w:p>
        </w:tc>
        <w:tc>
          <w:tcPr>
            <w:tcW w:w="1887" w:type="dxa"/>
            <w:shd w:val="clear" w:color="auto" w:fill="DCDDDE"/>
          </w:tcPr>
          <w:p>
            <w:pPr>
              <w:pStyle w:val="TableParagraph"/>
              <w:spacing w:before="71"/>
              <w:ind w:left="89"/>
              <w:rPr>
                <w:b/>
                <w:sz w:val="20"/>
              </w:rPr>
            </w:pPr>
            <w:r>
              <w:rPr>
                <w:b/>
                <w:color w:val="105C84"/>
                <w:spacing w:val="-2"/>
                <w:sz w:val="20"/>
              </w:rPr>
              <w:t>County</w:t>
            </w:r>
          </w:p>
        </w:tc>
        <w:tc>
          <w:tcPr>
            <w:tcW w:w="1642" w:type="dxa"/>
            <w:shd w:val="clear" w:color="auto" w:fill="DCDDDE"/>
          </w:tcPr>
          <w:p>
            <w:pPr>
              <w:pStyle w:val="TableParagraph"/>
              <w:spacing w:before="71"/>
              <w:ind w:left="88"/>
              <w:rPr>
                <w:b/>
                <w:sz w:val="20"/>
              </w:rPr>
            </w:pPr>
            <w:r>
              <w:rPr>
                <w:b/>
                <w:color w:val="105C84"/>
                <w:spacing w:val="-2"/>
                <w:sz w:val="20"/>
              </w:rPr>
              <w:t>Phone</w:t>
            </w:r>
          </w:p>
        </w:tc>
        <w:tc>
          <w:tcPr>
            <w:tcW w:w="2621" w:type="dxa"/>
            <w:shd w:val="clear" w:color="auto" w:fill="DCDDDE"/>
          </w:tcPr>
          <w:p>
            <w:pPr>
              <w:pStyle w:val="TableParagraph"/>
              <w:spacing w:before="71"/>
              <w:ind w:left="88"/>
              <w:rPr>
                <w:b/>
                <w:sz w:val="20"/>
              </w:rPr>
            </w:pPr>
            <w:r>
              <w:rPr>
                <w:b/>
                <w:color w:val="105C84"/>
                <w:spacing w:val="-2"/>
                <w:sz w:val="20"/>
              </w:rPr>
              <w:t>Email</w:t>
            </w:r>
          </w:p>
        </w:tc>
        <w:tc>
          <w:tcPr>
            <w:tcW w:w="2403" w:type="dxa"/>
            <w:shd w:val="clear" w:color="auto" w:fill="DCDDDE"/>
          </w:tcPr>
          <w:p>
            <w:pPr>
              <w:pStyle w:val="TableParagraph"/>
              <w:spacing w:before="71"/>
              <w:ind w:left="88"/>
              <w:rPr>
                <w:b/>
                <w:sz w:val="20"/>
              </w:rPr>
            </w:pPr>
            <w:r>
              <w:rPr>
                <w:b/>
                <w:color w:val="105C84"/>
                <w:sz w:val="20"/>
              </w:rPr>
              <w:t>Overseeing</w:t>
            </w:r>
            <w:r>
              <w:rPr>
                <w:b/>
                <w:color w:val="105C84"/>
                <w:spacing w:val="3"/>
                <w:sz w:val="20"/>
              </w:rPr>
              <w:t> </w:t>
            </w:r>
            <w:r>
              <w:rPr>
                <w:b/>
                <w:color w:val="105C84"/>
                <w:spacing w:val="-4"/>
                <w:sz w:val="20"/>
              </w:rPr>
              <w:t>Body</w:t>
            </w:r>
          </w:p>
        </w:tc>
      </w:tr>
      <w:tr>
        <w:trPr>
          <w:trHeight w:val="478" w:hRule="atLeast"/>
        </w:trPr>
        <w:tc>
          <w:tcPr>
            <w:tcW w:w="1366" w:type="dxa"/>
          </w:tcPr>
          <w:p>
            <w:pPr>
              <w:pStyle w:val="TableParagraph"/>
              <w:spacing w:before="142"/>
              <w:ind w:left="90"/>
              <w:rPr>
                <w:sz w:val="18"/>
              </w:rPr>
            </w:pPr>
            <w:r>
              <w:rPr>
                <w:color w:val="105C84"/>
                <w:sz w:val="18"/>
              </w:rPr>
              <w:t>Peter</w:t>
            </w:r>
            <w:r>
              <w:rPr>
                <w:color w:val="105C84"/>
                <w:spacing w:val="-5"/>
                <w:sz w:val="18"/>
              </w:rPr>
              <w:t> </w:t>
            </w:r>
            <w:r>
              <w:rPr>
                <w:color w:val="105C84"/>
                <w:spacing w:val="-2"/>
                <w:sz w:val="18"/>
              </w:rPr>
              <w:t>Buzzetti</w:t>
            </w:r>
          </w:p>
        </w:tc>
        <w:tc>
          <w:tcPr>
            <w:tcW w:w="1887" w:type="dxa"/>
          </w:tcPr>
          <w:p>
            <w:pPr>
              <w:pStyle w:val="TableParagraph"/>
              <w:spacing w:before="142"/>
              <w:ind w:left="89"/>
              <w:rPr>
                <w:sz w:val="18"/>
              </w:rPr>
            </w:pPr>
            <w:r>
              <w:rPr>
                <w:color w:val="105C84"/>
                <w:spacing w:val="-2"/>
                <w:sz w:val="18"/>
              </w:rPr>
              <w:t>Chemung</w:t>
            </w:r>
          </w:p>
        </w:tc>
        <w:tc>
          <w:tcPr>
            <w:tcW w:w="1642" w:type="dxa"/>
          </w:tcPr>
          <w:p>
            <w:pPr>
              <w:pStyle w:val="TableParagraph"/>
              <w:spacing w:before="142"/>
              <w:ind w:left="88"/>
              <w:rPr>
                <w:sz w:val="18"/>
              </w:rPr>
            </w:pPr>
            <w:r>
              <w:rPr>
                <w:color w:val="105C84"/>
                <w:w w:val="90"/>
                <w:sz w:val="18"/>
              </w:rPr>
              <w:t>607-737-</w:t>
            </w:r>
            <w:r>
              <w:rPr>
                <w:color w:val="105C84"/>
                <w:spacing w:val="-4"/>
                <w:w w:val="90"/>
                <w:sz w:val="18"/>
              </w:rPr>
              <w:t>2028</w:t>
            </w:r>
          </w:p>
        </w:tc>
        <w:tc>
          <w:tcPr>
            <w:tcW w:w="2621" w:type="dxa"/>
          </w:tcPr>
          <w:p>
            <w:pPr>
              <w:pStyle w:val="TableParagraph"/>
              <w:spacing w:before="150"/>
              <w:ind w:left="88"/>
              <w:rPr>
                <w:sz w:val="16"/>
              </w:rPr>
            </w:pPr>
            <w:hyperlink r:id="rId20">
              <w:r>
                <w:rPr>
                  <w:color w:val="105C84"/>
                  <w:spacing w:val="-2"/>
                  <w:sz w:val="16"/>
                </w:rPr>
                <w:t>pbuzzetti@chemungcountyny.gov</w:t>
              </w:r>
            </w:hyperlink>
          </w:p>
        </w:tc>
        <w:tc>
          <w:tcPr>
            <w:tcW w:w="2403" w:type="dxa"/>
          </w:tcPr>
          <w:p>
            <w:pPr>
              <w:pStyle w:val="TableParagraph"/>
              <w:spacing w:line="208" w:lineRule="auto" w:before="74"/>
              <w:ind w:left="88" w:right="168"/>
              <w:rPr>
                <w:sz w:val="18"/>
              </w:rPr>
            </w:pPr>
            <w:r>
              <w:rPr>
                <w:color w:val="105C84"/>
                <w:sz w:val="18"/>
              </w:rPr>
              <w:t>Health</w:t>
            </w:r>
            <w:r>
              <w:rPr>
                <w:color w:val="105C84"/>
                <w:spacing w:val="-7"/>
                <w:sz w:val="18"/>
              </w:rPr>
              <w:t> </w:t>
            </w:r>
            <w:r>
              <w:rPr>
                <w:color w:val="105C84"/>
                <w:sz w:val="18"/>
              </w:rPr>
              <w:t>Priorities </w:t>
            </w:r>
            <w:r>
              <w:rPr>
                <w:color w:val="105C84"/>
                <w:spacing w:val="-2"/>
                <w:sz w:val="18"/>
              </w:rPr>
              <w:t>Partnership</w:t>
            </w:r>
          </w:p>
        </w:tc>
      </w:tr>
      <w:tr>
        <w:trPr>
          <w:trHeight w:val="658" w:hRule="atLeast"/>
        </w:trPr>
        <w:tc>
          <w:tcPr>
            <w:tcW w:w="1366" w:type="dxa"/>
          </w:tcPr>
          <w:p>
            <w:pPr>
              <w:pStyle w:val="TableParagraph"/>
              <w:spacing w:line="208" w:lineRule="auto" w:before="163"/>
              <w:ind w:left="90"/>
              <w:rPr>
                <w:sz w:val="18"/>
              </w:rPr>
            </w:pPr>
            <w:r>
              <w:rPr>
                <w:color w:val="105C84"/>
                <w:spacing w:val="-2"/>
                <w:sz w:val="18"/>
              </w:rPr>
              <w:t>Jennifer Rodriguez</w:t>
            </w:r>
          </w:p>
        </w:tc>
        <w:tc>
          <w:tcPr>
            <w:tcW w:w="1887" w:type="dxa"/>
          </w:tcPr>
          <w:p>
            <w:pPr>
              <w:pStyle w:val="TableParagraph"/>
              <w:spacing w:before="24"/>
              <w:rPr>
                <w:sz w:val="18"/>
              </w:rPr>
            </w:pPr>
          </w:p>
          <w:p>
            <w:pPr>
              <w:pStyle w:val="TableParagraph"/>
              <w:ind w:left="89"/>
              <w:rPr>
                <w:sz w:val="18"/>
              </w:rPr>
            </w:pPr>
            <w:r>
              <w:rPr>
                <w:color w:val="105C84"/>
                <w:spacing w:val="-2"/>
                <w:sz w:val="18"/>
              </w:rPr>
              <w:t>Livingston</w:t>
            </w:r>
          </w:p>
        </w:tc>
        <w:tc>
          <w:tcPr>
            <w:tcW w:w="1642" w:type="dxa"/>
          </w:tcPr>
          <w:p>
            <w:pPr>
              <w:pStyle w:val="TableParagraph"/>
              <w:spacing w:before="24"/>
              <w:rPr>
                <w:sz w:val="18"/>
              </w:rPr>
            </w:pPr>
          </w:p>
          <w:p>
            <w:pPr>
              <w:pStyle w:val="TableParagraph"/>
              <w:ind w:left="88"/>
              <w:rPr>
                <w:sz w:val="18"/>
              </w:rPr>
            </w:pPr>
            <w:r>
              <w:rPr>
                <w:color w:val="105C84"/>
                <w:w w:val="90"/>
                <w:sz w:val="18"/>
              </w:rPr>
              <w:t>585-243-</w:t>
            </w:r>
            <w:r>
              <w:rPr>
                <w:color w:val="105C84"/>
                <w:spacing w:val="-4"/>
                <w:w w:val="90"/>
                <w:sz w:val="18"/>
              </w:rPr>
              <w:t>7270</w:t>
            </w:r>
          </w:p>
        </w:tc>
        <w:tc>
          <w:tcPr>
            <w:tcW w:w="2621" w:type="dxa"/>
          </w:tcPr>
          <w:p>
            <w:pPr>
              <w:pStyle w:val="TableParagraph"/>
              <w:spacing w:before="56"/>
              <w:rPr>
                <w:sz w:val="16"/>
              </w:rPr>
            </w:pPr>
          </w:p>
          <w:p>
            <w:pPr>
              <w:pStyle w:val="TableParagraph"/>
              <w:ind w:left="88"/>
              <w:rPr>
                <w:sz w:val="16"/>
              </w:rPr>
            </w:pPr>
            <w:hyperlink r:id="rId21">
              <w:r>
                <w:rPr>
                  <w:color w:val="105C84"/>
                  <w:spacing w:val="-2"/>
                  <w:sz w:val="16"/>
                </w:rPr>
                <w:t>jrodriguez@co.livingston.ny.us</w:t>
              </w:r>
            </w:hyperlink>
          </w:p>
        </w:tc>
        <w:tc>
          <w:tcPr>
            <w:tcW w:w="2403" w:type="dxa"/>
          </w:tcPr>
          <w:p>
            <w:pPr>
              <w:pStyle w:val="TableParagraph"/>
              <w:spacing w:line="208" w:lineRule="auto" w:before="74"/>
              <w:ind w:left="88" w:right="168"/>
              <w:rPr>
                <w:sz w:val="18"/>
              </w:rPr>
            </w:pPr>
            <w:r>
              <w:rPr>
                <w:color w:val="105C84"/>
                <w:sz w:val="18"/>
              </w:rPr>
              <w:t>Genesee</w:t>
            </w:r>
            <w:r>
              <w:rPr>
                <w:color w:val="105C84"/>
                <w:spacing w:val="-15"/>
                <w:sz w:val="18"/>
              </w:rPr>
              <w:t> </w:t>
            </w:r>
            <w:r>
              <w:rPr>
                <w:color w:val="105C84"/>
                <w:sz w:val="18"/>
              </w:rPr>
              <w:t>Valley</w:t>
            </w:r>
            <w:r>
              <w:rPr>
                <w:color w:val="105C84"/>
                <w:spacing w:val="-12"/>
                <w:sz w:val="18"/>
              </w:rPr>
              <w:t> </w:t>
            </w:r>
            <w:r>
              <w:rPr>
                <w:color w:val="105C84"/>
                <w:sz w:val="18"/>
              </w:rPr>
              <w:t>Health </w:t>
            </w:r>
            <w:r>
              <w:rPr>
                <w:color w:val="105C84"/>
                <w:spacing w:val="-2"/>
                <w:sz w:val="18"/>
              </w:rPr>
              <w:t>Partnership/CHA </w:t>
            </w:r>
            <w:r>
              <w:rPr>
                <w:color w:val="105C84"/>
                <w:sz w:val="18"/>
              </w:rPr>
              <w:t>Leadership Team</w:t>
            </w:r>
          </w:p>
        </w:tc>
      </w:tr>
      <w:tr>
        <w:trPr>
          <w:trHeight w:val="478" w:hRule="atLeast"/>
        </w:trPr>
        <w:tc>
          <w:tcPr>
            <w:tcW w:w="1366" w:type="dxa"/>
          </w:tcPr>
          <w:p>
            <w:pPr>
              <w:pStyle w:val="TableParagraph"/>
              <w:spacing w:before="141"/>
              <w:ind w:left="90"/>
              <w:rPr>
                <w:sz w:val="18"/>
              </w:rPr>
            </w:pPr>
            <w:r>
              <w:rPr>
                <w:color w:val="105C84"/>
                <w:sz w:val="18"/>
              </w:rPr>
              <w:t>Mary</w:t>
            </w:r>
            <w:r>
              <w:rPr>
                <w:color w:val="105C84"/>
                <w:spacing w:val="-1"/>
                <w:sz w:val="18"/>
              </w:rPr>
              <w:t> </w:t>
            </w:r>
            <w:r>
              <w:rPr>
                <w:color w:val="105C84"/>
                <w:spacing w:val="-4"/>
                <w:sz w:val="18"/>
              </w:rPr>
              <w:t>Beer</w:t>
            </w:r>
          </w:p>
        </w:tc>
        <w:tc>
          <w:tcPr>
            <w:tcW w:w="1887" w:type="dxa"/>
          </w:tcPr>
          <w:p>
            <w:pPr>
              <w:pStyle w:val="TableParagraph"/>
              <w:spacing w:before="141"/>
              <w:ind w:left="89"/>
              <w:rPr>
                <w:sz w:val="18"/>
              </w:rPr>
            </w:pPr>
            <w:r>
              <w:rPr>
                <w:color w:val="105C84"/>
                <w:spacing w:val="-2"/>
                <w:w w:val="105"/>
                <w:sz w:val="18"/>
              </w:rPr>
              <w:t>Ontario</w:t>
            </w:r>
          </w:p>
        </w:tc>
        <w:tc>
          <w:tcPr>
            <w:tcW w:w="1642" w:type="dxa"/>
          </w:tcPr>
          <w:p>
            <w:pPr>
              <w:pStyle w:val="TableParagraph"/>
              <w:spacing w:before="141"/>
              <w:ind w:left="88"/>
              <w:rPr>
                <w:sz w:val="18"/>
              </w:rPr>
            </w:pPr>
            <w:r>
              <w:rPr>
                <w:color w:val="105C84"/>
                <w:w w:val="90"/>
                <w:sz w:val="18"/>
              </w:rPr>
              <w:t>585-396-</w:t>
            </w:r>
            <w:r>
              <w:rPr>
                <w:color w:val="105C84"/>
                <w:spacing w:val="-4"/>
                <w:w w:val="90"/>
                <w:sz w:val="18"/>
              </w:rPr>
              <w:t>4550</w:t>
            </w:r>
          </w:p>
        </w:tc>
        <w:tc>
          <w:tcPr>
            <w:tcW w:w="2621" w:type="dxa"/>
          </w:tcPr>
          <w:p>
            <w:pPr>
              <w:pStyle w:val="TableParagraph"/>
              <w:spacing w:before="150"/>
              <w:ind w:left="88"/>
              <w:rPr>
                <w:sz w:val="16"/>
              </w:rPr>
            </w:pPr>
            <w:hyperlink r:id="rId22">
              <w:r>
                <w:rPr>
                  <w:color w:val="105C84"/>
                  <w:spacing w:val="-2"/>
                  <w:sz w:val="16"/>
                </w:rPr>
                <w:t>mary.beer@co.ontario.ny.us</w:t>
              </w:r>
            </w:hyperlink>
          </w:p>
        </w:tc>
        <w:tc>
          <w:tcPr>
            <w:tcW w:w="2403" w:type="dxa"/>
          </w:tcPr>
          <w:p>
            <w:pPr>
              <w:pStyle w:val="TableParagraph"/>
              <w:spacing w:line="208" w:lineRule="auto" w:before="74"/>
              <w:ind w:left="88"/>
              <w:rPr>
                <w:sz w:val="18"/>
              </w:rPr>
            </w:pPr>
            <w:r>
              <w:rPr>
                <w:color w:val="105C84"/>
                <w:sz w:val="18"/>
              </w:rPr>
              <w:t>Ontario County Health </w:t>
            </w:r>
            <w:r>
              <w:rPr>
                <w:color w:val="105C84"/>
                <w:spacing w:val="-2"/>
                <w:sz w:val="18"/>
              </w:rPr>
              <w:t>Collaborative</w:t>
            </w:r>
          </w:p>
        </w:tc>
      </w:tr>
      <w:tr>
        <w:trPr>
          <w:trHeight w:val="658" w:hRule="atLeast"/>
        </w:trPr>
        <w:tc>
          <w:tcPr>
            <w:tcW w:w="1366" w:type="dxa"/>
          </w:tcPr>
          <w:p>
            <w:pPr>
              <w:pStyle w:val="TableParagraph"/>
              <w:spacing w:line="208" w:lineRule="auto" w:before="163"/>
              <w:ind w:left="90" w:right="468"/>
              <w:rPr>
                <w:sz w:val="18"/>
              </w:rPr>
            </w:pPr>
            <w:r>
              <w:rPr>
                <w:color w:val="105C84"/>
                <w:spacing w:val="-2"/>
                <w:sz w:val="18"/>
              </w:rPr>
              <w:t>Deborah </w:t>
            </w:r>
            <w:r>
              <w:rPr>
                <w:color w:val="105C84"/>
                <w:spacing w:val="-2"/>
                <w:w w:val="105"/>
                <w:sz w:val="18"/>
              </w:rPr>
              <w:t>Minor</w:t>
            </w:r>
          </w:p>
        </w:tc>
        <w:tc>
          <w:tcPr>
            <w:tcW w:w="1887" w:type="dxa"/>
          </w:tcPr>
          <w:p>
            <w:pPr>
              <w:pStyle w:val="TableParagraph"/>
              <w:spacing w:before="24"/>
              <w:rPr>
                <w:sz w:val="18"/>
              </w:rPr>
            </w:pPr>
          </w:p>
          <w:p>
            <w:pPr>
              <w:pStyle w:val="TableParagraph"/>
              <w:ind w:left="89"/>
              <w:rPr>
                <w:sz w:val="18"/>
              </w:rPr>
            </w:pPr>
            <w:r>
              <w:rPr>
                <w:color w:val="105C84"/>
                <w:sz w:val="18"/>
              </w:rPr>
              <w:t>Schuyler</w:t>
            </w:r>
            <w:r>
              <w:rPr>
                <w:color w:val="105C84"/>
                <w:spacing w:val="-10"/>
                <w:sz w:val="18"/>
              </w:rPr>
              <w:t> </w:t>
            </w:r>
            <w:r>
              <w:rPr>
                <w:color w:val="105C84"/>
                <w:sz w:val="18"/>
              </w:rPr>
              <w:t>and</w:t>
            </w:r>
            <w:r>
              <w:rPr>
                <w:color w:val="105C84"/>
                <w:spacing w:val="-8"/>
                <w:sz w:val="18"/>
              </w:rPr>
              <w:t> </w:t>
            </w:r>
            <w:r>
              <w:rPr>
                <w:color w:val="105C84"/>
                <w:spacing w:val="-2"/>
                <w:sz w:val="18"/>
              </w:rPr>
              <w:t>Yates</w:t>
            </w:r>
          </w:p>
        </w:tc>
        <w:tc>
          <w:tcPr>
            <w:tcW w:w="1642" w:type="dxa"/>
          </w:tcPr>
          <w:p>
            <w:pPr>
              <w:pStyle w:val="TableParagraph"/>
              <w:spacing w:line="193" w:lineRule="exact" w:before="141"/>
              <w:ind w:left="88"/>
              <w:rPr>
                <w:sz w:val="18"/>
              </w:rPr>
            </w:pPr>
            <w:r>
              <w:rPr>
                <w:color w:val="105C84"/>
                <w:w w:val="90"/>
                <w:sz w:val="18"/>
              </w:rPr>
              <w:t>315-536-</w:t>
            </w:r>
            <w:r>
              <w:rPr>
                <w:color w:val="105C84"/>
                <w:spacing w:val="-4"/>
                <w:w w:val="90"/>
                <w:sz w:val="18"/>
              </w:rPr>
              <w:t>5160</w:t>
            </w:r>
          </w:p>
          <w:p>
            <w:pPr>
              <w:pStyle w:val="TableParagraph"/>
              <w:spacing w:line="193" w:lineRule="exact"/>
              <w:ind w:left="88"/>
              <w:rPr>
                <w:sz w:val="18"/>
              </w:rPr>
            </w:pPr>
            <w:r>
              <w:rPr>
                <w:color w:val="105C84"/>
                <w:spacing w:val="-2"/>
                <w:sz w:val="18"/>
              </w:rPr>
              <w:t>or</w:t>
            </w:r>
            <w:r>
              <w:rPr>
                <w:color w:val="105C84"/>
                <w:spacing w:val="-8"/>
                <w:sz w:val="18"/>
              </w:rPr>
              <w:t> </w:t>
            </w:r>
            <w:r>
              <w:rPr>
                <w:color w:val="105C84"/>
                <w:spacing w:val="-2"/>
                <w:sz w:val="18"/>
              </w:rPr>
              <w:t>607-535-</w:t>
            </w:r>
            <w:r>
              <w:rPr>
                <w:color w:val="105C84"/>
                <w:spacing w:val="-4"/>
                <w:sz w:val="18"/>
              </w:rPr>
              <w:t>8140</w:t>
            </w:r>
          </w:p>
        </w:tc>
        <w:tc>
          <w:tcPr>
            <w:tcW w:w="2621" w:type="dxa"/>
          </w:tcPr>
          <w:p>
            <w:pPr>
              <w:pStyle w:val="TableParagraph"/>
              <w:spacing w:before="56"/>
              <w:rPr>
                <w:sz w:val="16"/>
              </w:rPr>
            </w:pPr>
          </w:p>
          <w:p>
            <w:pPr>
              <w:pStyle w:val="TableParagraph"/>
              <w:ind w:left="88"/>
              <w:rPr>
                <w:sz w:val="16"/>
              </w:rPr>
            </w:pPr>
            <w:hyperlink r:id="rId23">
              <w:r>
                <w:rPr>
                  <w:color w:val="105C84"/>
                  <w:spacing w:val="-2"/>
                  <w:sz w:val="16"/>
                </w:rPr>
                <w:t>debm@yatescounty.org</w:t>
              </w:r>
            </w:hyperlink>
          </w:p>
        </w:tc>
        <w:tc>
          <w:tcPr>
            <w:tcW w:w="2403" w:type="dxa"/>
          </w:tcPr>
          <w:p>
            <w:pPr>
              <w:pStyle w:val="TableParagraph"/>
              <w:spacing w:line="208" w:lineRule="auto" w:before="74"/>
              <w:ind w:left="88"/>
              <w:rPr>
                <w:sz w:val="18"/>
              </w:rPr>
            </w:pPr>
            <w:r>
              <w:rPr>
                <w:color w:val="105C84"/>
                <w:sz w:val="18"/>
              </w:rPr>
              <w:t>Professional Advisory Committee/Choose Health </w:t>
            </w:r>
            <w:r>
              <w:rPr>
                <w:color w:val="105C84"/>
                <w:spacing w:val="-2"/>
                <w:sz w:val="18"/>
              </w:rPr>
              <w:t>Yates</w:t>
            </w:r>
          </w:p>
        </w:tc>
      </w:tr>
      <w:tr>
        <w:trPr>
          <w:trHeight w:val="478" w:hRule="atLeast"/>
        </w:trPr>
        <w:tc>
          <w:tcPr>
            <w:tcW w:w="1366" w:type="dxa"/>
          </w:tcPr>
          <w:p>
            <w:pPr>
              <w:pStyle w:val="TableParagraph"/>
              <w:spacing w:line="208" w:lineRule="auto" w:before="73"/>
              <w:ind w:left="90" w:right="468"/>
              <w:rPr>
                <w:sz w:val="18"/>
              </w:rPr>
            </w:pPr>
            <w:r>
              <w:rPr>
                <w:color w:val="105C84"/>
                <w:spacing w:val="-2"/>
                <w:sz w:val="18"/>
              </w:rPr>
              <w:t>Vickie Swinehart</w:t>
            </w:r>
          </w:p>
        </w:tc>
        <w:tc>
          <w:tcPr>
            <w:tcW w:w="1887" w:type="dxa"/>
          </w:tcPr>
          <w:p>
            <w:pPr>
              <w:pStyle w:val="TableParagraph"/>
              <w:spacing w:before="141"/>
              <w:ind w:left="89"/>
              <w:rPr>
                <w:sz w:val="18"/>
              </w:rPr>
            </w:pPr>
            <w:r>
              <w:rPr>
                <w:color w:val="105C84"/>
                <w:spacing w:val="-2"/>
                <w:sz w:val="18"/>
              </w:rPr>
              <w:t>Seneca</w:t>
            </w:r>
          </w:p>
        </w:tc>
        <w:tc>
          <w:tcPr>
            <w:tcW w:w="1642" w:type="dxa"/>
          </w:tcPr>
          <w:p>
            <w:pPr>
              <w:pStyle w:val="TableParagraph"/>
              <w:spacing w:before="141"/>
              <w:ind w:left="88"/>
              <w:rPr>
                <w:sz w:val="18"/>
              </w:rPr>
            </w:pPr>
            <w:r>
              <w:rPr>
                <w:color w:val="105C84"/>
                <w:w w:val="90"/>
                <w:sz w:val="18"/>
              </w:rPr>
              <w:t>315-539-</w:t>
            </w:r>
            <w:r>
              <w:rPr>
                <w:color w:val="105C84"/>
                <w:spacing w:val="-4"/>
                <w:w w:val="90"/>
                <w:sz w:val="18"/>
              </w:rPr>
              <w:t>1925</w:t>
            </w:r>
          </w:p>
        </w:tc>
        <w:tc>
          <w:tcPr>
            <w:tcW w:w="2621" w:type="dxa"/>
          </w:tcPr>
          <w:p>
            <w:pPr>
              <w:pStyle w:val="TableParagraph"/>
              <w:spacing w:before="150"/>
              <w:ind w:left="88"/>
              <w:rPr>
                <w:sz w:val="16"/>
              </w:rPr>
            </w:pPr>
            <w:hyperlink r:id="rId24">
              <w:r>
                <w:rPr>
                  <w:color w:val="105C84"/>
                  <w:spacing w:val="-2"/>
                  <w:sz w:val="16"/>
                </w:rPr>
                <w:t>vswinehart@co.seneca.ny.us</w:t>
              </w:r>
            </w:hyperlink>
          </w:p>
        </w:tc>
        <w:tc>
          <w:tcPr>
            <w:tcW w:w="2403" w:type="dxa"/>
          </w:tcPr>
          <w:p>
            <w:pPr>
              <w:pStyle w:val="TableParagraph"/>
              <w:spacing w:before="142"/>
              <w:ind w:left="88"/>
              <w:rPr>
                <w:sz w:val="18"/>
              </w:rPr>
            </w:pPr>
            <w:r>
              <w:rPr>
                <w:color w:val="105C84"/>
                <w:sz w:val="18"/>
              </w:rPr>
              <w:t>Seneca</w:t>
            </w:r>
            <w:r>
              <w:rPr>
                <w:color w:val="105C84"/>
                <w:spacing w:val="-8"/>
                <w:sz w:val="18"/>
              </w:rPr>
              <w:t> </w:t>
            </w:r>
            <w:r>
              <w:rPr>
                <w:color w:val="105C84"/>
                <w:sz w:val="18"/>
              </w:rPr>
              <w:t>Health</w:t>
            </w:r>
            <w:r>
              <w:rPr>
                <w:color w:val="105C84"/>
                <w:spacing w:val="-8"/>
                <w:sz w:val="18"/>
              </w:rPr>
              <w:t> </w:t>
            </w:r>
            <w:r>
              <w:rPr>
                <w:color w:val="105C84"/>
                <w:spacing w:val="-2"/>
                <w:sz w:val="18"/>
              </w:rPr>
              <w:t>Solutions</w:t>
            </w:r>
          </w:p>
        </w:tc>
      </w:tr>
      <w:tr>
        <w:trPr>
          <w:trHeight w:val="298" w:hRule="atLeast"/>
        </w:trPr>
        <w:tc>
          <w:tcPr>
            <w:tcW w:w="1366" w:type="dxa"/>
          </w:tcPr>
          <w:p>
            <w:pPr>
              <w:pStyle w:val="TableParagraph"/>
              <w:spacing w:before="51"/>
              <w:ind w:left="90"/>
              <w:rPr>
                <w:sz w:val="18"/>
              </w:rPr>
            </w:pPr>
            <w:r>
              <w:rPr>
                <w:color w:val="105C84"/>
                <w:sz w:val="18"/>
              </w:rPr>
              <w:t>Darlene</w:t>
            </w:r>
            <w:r>
              <w:rPr>
                <w:color w:val="105C84"/>
                <w:spacing w:val="-1"/>
                <w:sz w:val="18"/>
              </w:rPr>
              <w:t> </w:t>
            </w:r>
            <w:r>
              <w:rPr>
                <w:color w:val="105C84"/>
                <w:spacing w:val="-2"/>
                <w:sz w:val="18"/>
              </w:rPr>
              <w:t>Smith</w:t>
            </w:r>
          </w:p>
        </w:tc>
        <w:tc>
          <w:tcPr>
            <w:tcW w:w="1887" w:type="dxa"/>
          </w:tcPr>
          <w:p>
            <w:pPr>
              <w:pStyle w:val="TableParagraph"/>
              <w:spacing w:before="51"/>
              <w:ind w:left="89"/>
              <w:rPr>
                <w:sz w:val="18"/>
              </w:rPr>
            </w:pPr>
            <w:r>
              <w:rPr>
                <w:color w:val="105C84"/>
                <w:spacing w:val="-2"/>
                <w:sz w:val="18"/>
              </w:rPr>
              <w:t>Steuben</w:t>
            </w:r>
          </w:p>
        </w:tc>
        <w:tc>
          <w:tcPr>
            <w:tcW w:w="1642" w:type="dxa"/>
          </w:tcPr>
          <w:p>
            <w:pPr>
              <w:pStyle w:val="TableParagraph"/>
              <w:spacing w:before="51"/>
              <w:ind w:left="88"/>
              <w:rPr>
                <w:sz w:val="18"/>
              </w:rPr>
            </w:pPr>
            <w:r>
              <w:rPr>
                <w:color w:val="105C84"/>
                <w:w w:val="90"/>
                <w:sz w:val="18"/>
              </w:rPr>
              <w:t>607-664-</w:t>
            </w:r>
            <w:r>
              <w:rPr>
                <w:color w:val="105C84"/>
                <w:spacing w:val="-4"/>
                <w:w w:val="90"/>
                <w:sz w:val="18"/>
              </w:rPr>
              <w:t>2438</w:t>
            </w:r>
          </w:p>
        </w:tc>
        <w:tc>
          <w:tcPr>
            <w:tcW w:w="2621" w:type="dxa"/>
          </w:tcPr>
          <w:p>
            <w:pPr>
              <w:pStyle w:val="TableParagraph"/>
              <w:spacing w:before="60"/>
              <w:ind w:left="88"/>
              <w:rPr>
                <w:sz w:val="16"/>
              </w:rPr>
            </w:pPr>
            <w:hyperlink r:id="rId25">
              <w:r>
                <w:rPr>
                  <w:color w:val="105C84"/>
                  <w:spacing w:val="-2"/>
                  <w:sz w:val="16"/>
                </w:rPr>
                <w:t>dsmith@steubencountyny.gov</w:t>
              </w:r>
            </w:hyperlink>
          </w:p>
        </w:tc>
        <w:tc>
          <w:tcPr>
            <w:tcW w:w="2403" w:type="dxa"/>
          </w:tcPr>
          <w:p>
            <w:pPr>
              <w:pStyle w:val="TableParagraph"/>
              <w:spacing w:before="52"/>
              <w:ind w:left="88"/>
              <w:rPr>
                <w:sz w:val="18"/>
              </w:rPr>
            </w:pPr>
            <w:r>
              <w:rPr>
                <w:color w:val="105C84"/>
                <w:sz w:val="18"/>
              </w:rPr>
              <w:t>Smart</w:t>
            </w:r>
            <w:r>
              <w:rPr>
                <w:color w:val="105C84"/>
                <w:spacing w:val="-11"/>
                <w:sz w:val="18"/>
              </w:rPr>
              <w:t> </w:t>
            </w:r>
            <w:r>
              <w:rPr>
                <w:color w:val="105C84"/>
                <w:spacing w:val="-2"/>
                <w:sz w:val="18"/>
              </w:rPr>
              <w:t>Steuben</w:t>
            </w:r>
          </w:p>
        </w:tc>
      </w:tr>
      <w:tr>
        <w:trPr>
          <w:trHeight w:val="478" w:hRule="atLeast"/>
        </w:trPr>
        <w:tc>
          <w:tcPr>
            <w:tcW w:w="1366" w:type="dxa"/>
          </w:tcPr>
          <w:p>
            <w:pPr>
              <w:pStyle w:val="TableParagraph"/>
              <w:spacing w:before="141"/>
              <w:ind w:left="90"/>
              <w:rPr>
                <w:sz w:val="18"/>
              </w:rPr>
            </w:pPr>
            <w:r>
              <w:rPr>
                <w:color w:val="105C84"/>
                <w:sz w:val="18"/>
              </w:rPr>
              <w:t>Diane</w:t>
            </w:r>
            <w:r>
              <w:rPr>
                <w:color w:val="105C84"/>
                <w:spacing w:val="-1"/>
                <w:sz w:val="18"/>
              </w:rPr>
              <w:t> </w:t>
            </w:r>
            <w:r>
              <w:rPr>
                <w:color w:val="105C84"/>
                <w:spacing w:val="-2"/>
                <w:sz w:val="18"/>
              </w:rPr>
              <w:t>Devlin</w:t>
            </w:r>
          </w:p>
        </w:tc>
        <w:tc>
          <w:tcPr>
            <w:tcW w:w="1887" w:type="dxa"/>
          </w:tcPr>
          <w:p>
            <w:pPr>
              <w:pStyle w:val="TableParagraph"/>
              <w:spacing w:before="141"/>
              <w:ind w:left="89"/>
              <w:rPr>
                <w:sz w:val="18"/>
              </w:rPr>
            </w:pPr>
            <w:r>
              <w:rPr>
                <w:color w:val="105C84"/>
                <w:spacing w:val="-2"/>
                <w:sz w:val="18"/>
              </w:rPr>
              <w:t>Wayne</w:t>
            </w:r>
          </w:p>
        </w:tc>
        <w:tc>
          <w:tcPr>
            <w:tcW w:w="1642" w:type="dxa"/>
          </w:tcPr>
          <w:p>
            <w:pPr>
              <w:pStyle w:val="TableParagraph"/>
              <w:spacing w:before="141"/>
              <w:ind w:left="88"/>
              <w:rPr>
                <w:sz w:val="18"/>
              </w:rPr>
            </w:pPr>
            <w:r>
              <w:rPr>
                <w:color w:val="105C84"/>
                <w:w w:val="90"/>
                <w:sz w:val="18"/>
              </w:rPr>
              <w:t>315-946-</w:t>
            </w:r>
            <w:r>
              <w:rPr>
                <w:color w:val="105C84"/>
                <w:spacing w:val="-4"/>
                <w:w w:val="90"/>
                <w:sz w:val="18"/>
              </w:rPr>
              <w:t>5746</w:t>
            </w:r>
          </w:p>
        </w:tc>
        <w:tc>
          <w:tcPr>
            <w:tcW w:w="2621" w:type="dxa"/>
          </w:tcPr>
          <w:p>
            <w:pPr>
              <w:pStyle w:val="TableParagraph"/>
              <w:spacing w:before="150"/>
              <w:ind w:left="88"/>
              <w:rPr>
                <w:sz w:val="16"/>
              </w:rPr>
            </w:pPr>
            <w:hyperlink r:id="rId26">
              <w:r>
                <w:rPr>
                  <w:color w:val="105C84"/>
                  <w:spacing w:val="-2"/>
                  <w:sz w:val="16"/>
                </w:rPr>
                <w:t>ddevlin@co.wayne.ny.us</w:t>
              </w:r>
            </w:hyperlink>
          </w:p>
        </w:tc>
        <w:tc>
          <w:tcPr>
            <w:tcW w:w="2403" w:type="dxa"/>
          </w:tcPr>
          <w:p>
            <w:pPr>
              <w:pStyle w:val="TableParagraph"/>
              <w:spacing w:line="208" w:lineRule="auto" w:before="74"/>
              <w:ind w:left="88" w:right="168"/>
              <w:rPr>
                <w:sz w:val="18"/>
              </w:rPr>
            </w:pPr>
            <w:r>
              <w:rPr>
                <w:color w:val="105C84"/>
                <w:sz w:val="18"/>
              </w:rPr>
              <w:t>Wayne Health Improvement Partnership</w:t>
            </w:r>
          </w:p>
        </w:tc>
      </w:tr>
    </w:tbl>
    <w:p>
      <w:pPr>
        <w:pStyle w:val="BodyText"/>
        <w:spacing w:before="176"/>
        <w:rPr>
          <w:sz w:val="20"/>
        </w:rPr>
      </w:pPr>
    </w:p>
    <w:tbl>
      <w:tblPr>
        <w:tblW w:w="0" w:type="auto"/>
        <w:jc w:val="left"/>
        <w:tblInd w:w="1093"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top w:w="0" w:type="dxa"/>
          <w:left w:w="0" w:type="dxa"/>
          <w:bottom w:w="0" w:type="dxa"/>
          <w:right w:w="0" w:type="dxa"/>
        </w:tblCellMar>
        <w:tblLook w:val="01E0"/>
      </w:tblPr>
      <w:tblGrid>
        <w:gridCol w:w="1711"/>
        <w:gridCol w:w="3513"/>
        <w:gridCol w:w="1555"/>
        <w:gridCol w:w="3137"/>
      </w:tblGrid>
      <w:tr>
        <w:trPr>
          <w:trHeight w:val="395" w:hRule="atLeast"/>
        </w:trPr>
        <w:tc>
          <w:tcPr>
            <w:tcW w:w="9916" w:type="dxa"/>
            <w:gridSpan w:val="4"/>
            <w:shd w:val="clear" w:color="auto" w:fill="82BF6A"/>
          </w:tcPr>
          <w:p>
            <w:pPr>
              <w:pStyle w:val="TableParagraph"/>
              <w:spacing w:before="65"/>
              <w:ind w:left="5"/>
              <w:jc w:val="center"/>
              <w:rPr>
                <w:b/>
                <w:sz w:val="26"/>
              </w:rPr>
            </w:pPr>
            <w:r>
              <w:rPr>
                <w:b/>
                <w:color w:val="FFFFFF"/>
                <w:spacing w:val="-10"/>
                <w:sz w:val="26"/>
              </w:rPr>
              <w:t>HOSPITAL</w:t>
            </w:r>
            <w:r>
              <w:rPr>
                <w:b/>
                <w:color w:val="FFFFFF"/>
                <w:spacing w:val="-3"/>
                <w:sz w:val="26"/>
              </w:rPr>
              <w:t> </w:t>
            </w:r>
            <w:r>
              <w:rPr>
                <w:b/>
                <w:color w:val="FFFFFF"/>
                <w:spacing w:val="-2"/>
                <w:sz w:val="26"/>
              </w:rPr>
              <w:t>CONTACTS</w:t>
            </w:r>
          </w:p>
        </w:tc>
      </w:tr>
      <w:tr>
        <w:trPr>
          <w:trHeight w:val="355" w:hRule="atLeast"/>
        </w:trPr>
        <w:tc>
          <w:tcPr>
            <w:tcW w:w="1711" w:type="dxa"/>
            <w:shd w:val="clear" w:color="auto" w:fill="DCDDDE"/>
          </w:tcPr>
          <w:p>
            <w:pPr>
              <w:pStyle w:val="TableParagraph"/>
              <w:spacing w:before="71"/>
              <w:ind w:left="90"/>
              <w:rPr>
                <w:b/>
                <w:sz w:val="20"/>
              </w:rPr>
            </w:pPr>
            <w:r>
              <w:rPr>
                <w:b/>
                <w:color w:val="105C84"/>
                <w:spacing w:val="-4"/>
                <w:sz w:val="20"/>
              </w:rPr>
              <w:t>Name</w:t>
            </w:r>
          </w:p>
        </w:tc>
        <w:tc>
          <w:tcPr>
            <w:tcW w:w="3513" w:type="dxa"/>
            <w:shd w:val="clear" w:color="auto" w:fill="DCDDDE"/>
          </w:tcPr>
          <w:p>
            <w:pPr>
              <w:pStyle w:val="TableParagraph"/>
              <w:spacing w:before="71"/>
              <w:ind w:left="90"/>
              <w:rPr>
                <w:b/>
                <w:sz w:val="20"/>
              </w:rPr>
            </w:pPr>
            <w:r>
              <w:rPr>
                <w:b/>
                <w:color w:val="105C84"/>
                <w:spacing w:val="-2"/>
                <w:sz w:val="20"/>
              </w:rPr>
              <w:t>Hospital</w:t>
            </w:r>
          </w:p>
        </w:tc>
        <w:tc>
          <w:tcPr>
            <w:tcW w:w="1555" w:type="dxa"/>
            <w:shd w:val="clear" w:color="auto" w:fill="DCDDDE"/>
          </w:tcPr>
          <w:p>
            <w:pPr>
              <w:pStyle w:val="TableParagraph"/>
              <w:spacing w:before="71"/>
              <w:ind w:left="90"/>
              <w:rPr>
                <w:b/>
                <w:sz w:val="20"/>
              </w:rPr>
            </w:pPr>
            <w:r>
              <w:rPr>
                <w:b/>
                <w:color w:val="105C84"/>
                <w:spacing w:val="-2"/>
                <w:sz w:val="20"/>
              </w:rPr>
              <w:t>Phone</w:t>
            </w:r>
          </w:p>
        </w:tc>
        <w:tc>
          <w:tcPr>
            <w:tcW w:w="3137" w:type="dxa"/>
            <w:shd w:val="clear" w:color="auto" w:fill="DCDDDE"/>
          </w:tcPr>
          <w:p>
            <w:pPr>
              <w:pStyle w:val="TableParagraph"/>
              <w:spacing w:before="71"/>
              <w:ind w:left="91"/>
              <w:rPr>
                <w:b/>
                <w:sz w:val="20"/>
              </w:rPr>
            </w:pPr>
            <w:r>
              <w:rPr>
                <w:b/>
                <w:color w:val="105C84"/>
                <w:spacing w:val="-2"/>
                <w:sz w:val="20"/>
              </w:rPr>
              <w:t>Email</w:t>
            </w:r>
          </w:p>
        </w:tc>
      </w:tr>
      <w:tr>
        <w:trPr>
          <w:trHeight w:val="478" w:hRule="atLeast"/>
        </w:trPr>
        <w:tc>
          <w:tcPr>
            <w:tcW w:w="1711" w:type="dxa"/>
          </w:tcPr>
          <w:p>
            <w:pPr>
              <w:pStyle w:val="TableParagraph"/>
              <w:spacing w:before="142"/>
              <w:ind w:left="90"/>
              <w:rPr>
                <w:sz w:val="18"/>
              </w:rPr>
            </w:pPr>
            <w:r>
              <w:rPr>
                <w:color w:val="105C84"/>
                <w:sz w:val="18"/>
              </w:rPr>
              <w:t>Ben</w:t>
            </w:r>
            <w:r>
              <w:rPr>
                <w:color w:val="105C84"/>
                <w:spacing w:val="-8"/>
                <w:sz w:val="18"/>
              </w:rPr>
              <w:t> </w:t>
            </w:r>
            <w:r>
              <w:rPr>
                <w:color w:val="105C84"/>
                <w:spacing w:val="-2"/>
                <w:sz w:val="18"/>
              </w:rPr>
              <w:t>Snyder</w:t>
            </w:r>
          </w:p>
        </w:tc>
        <w:tc>
          <w:tcPr>
            <w:tcW w:w="3513" w:type="dxa"/>
          </w:tcPr>
          <w:p>
            <w:pPr>
              <w:pStyle w:val="TableParagraph"/>
              <w:spacing w:line="208" w:lineRule="auto" w:before="74"/>
              <w:ind w:left="90" w:right="654"/>
              <w:rPr>
                <w:sz w:val="18"/>
              </w:rPr>
            </w:pPr>
            <w:r>
              <w:rPr>
                <w:color w:val="105C84"/>
                <w:sz w:val="18"/>
              </w:rPr>
              <w:t>Rochester Regional Health Clifton Springs Community Hospital</w:t>
            </w:r>
          </w:p>
        </w:tc>
        <w:tc>
          <w:tcPr>
            <w:tcW w:w="1555" w:type="dxa"/>
          </w:tcPr>
          <w:p>
            <w:pPr>
              <w:pStyle w:val="TableParagraph"/>
              <w:spacing w:before="142"/>
              <w:ind w:left="90"/>
              <w:rPr>
                <w:sz w:val="18"/>
              </w:rPr>
            </w:pPr>
            <w:r>
              <w:rPr>
                <w:color w:val="105C84"/>
                <w:w w:val="90"/>
                <w:sz w:val="18"/>
              </w:rPr>
              <w:t>315-462-</w:t>
            </w:r>
            <w:r>
              <w:rPr>
                <w:color w:val="105C84"/>
                <w:spacing w:val="-4"/>
                <w:w w:val="90"/>
                <w:sz w:val="18"/>
              </w:rPr>
              <w:t>9561</w:t>
            </w:r>
          </w:p>
        </w:tc>
        <w:tc>
          <w:tcPr>
            <w:tcW w:w="3137" w:type="dxa"/>
          </w:tcPr>
          <w:p>
            <w:pPr>
              <w:pStyle w:val="TableParagraph"/>
              <w:spacing w:before="150"/>
              <w:ind w:left="90"/>
              <w:rPr>
                <w:sz w:val="16"/>
              </w:rPr>
            </w:pPr>
            <w:hyperlink r:id="rId27">
              <w:r>
                <w:rPr>
                  <w:color w:val="105C84"/>
                  <w:spacing w:val="-2"/>
                  <w:sz w:val="16"/>
                </w:rPr>
                <w:t>Benjamin.Snyder@rochesterregional.org</w:t>
              </w:r>
            </w:hyperlink>
          </w:p>
        </w:tc>
      </w:tr>
      <w:tr>
        <w:trPr>
          <w:trHeight w:val="298" w:hRule="atLeast"/>
        </w:trPr>
        <w:tc>
          <w:tcPr>
            <w:tcW w:w="1711" w:type="dxa"/>
          </w:tcPr>
          <w:p>
            <w:pPr>
              <w:pStyle w:val="TableParagraph"/>
              <w:spacing w:before="52"/>
              <w:ind w:left="90"/>
              <w:rPr>
                <w:sz w:val="18"/>
              </w:rPr>
            </w:pPr>
            <w:r>
              <w:rPr>
                <w:color w:val="105C84"/>
                <w:sz w:val="18"/>
              </w:rPr>
              <w:t>Maura</w:t>
            </w:r>
            <w:r>
              <w:rPr>
                <w:color w:val="105C84"/>
                <w:spacing w:val="-2"/>
                <w:sz w:val="18"/>
              </w:rPr>
              <w:t> Snyder</w:t>
            </w:r>
          </w:p>
        </w:tc>
        <w:tc>
          <w:tcPr>
            <w:tcW w:w="3513" w:type="dxa"/>
          </w:tcPr>
          <w:p>
            <w:pPr>
              <w:pStyle w:val="TableParagraph"/>
              <w:spacing w:before="52"/>
              <w:ind w:left="90"/>
              <w:rPr>
                <w:sz w:val="18"/>
              </w:rPr>
            </w:pPr>
            <w:r>
              <w:rPr>
                <w:color w:val="105C84"/>
                <w:sz w:val="18"/>
              </w:rPr>
              <w:t>Newark</w:t>
            </w:r>
            <w:r>
              <w:rPr>
                <w:color w:val="105C84"/>
                <w:spacing w:val="-1"/>
                <w:sz w:val="18"/>
              </w:rPr>
              <w:t> </w:t>
            </w:r>
            <w:r>
              <w:rPr>
                <w:color w:val="105C84"/>
                <w:sz w:val="18"/>
              </w:rPr>
              <w:t>Wayne</w:t>
            </w:r>
            <w:r>
              <w:rPr>
                <w:color w:val="105C84"/>
                <w:spacing w:val="-1"/>
                <w:sz w:val="18"/>
              </w:rPr>
              <w:t> </w:t>
            </w:r>
            <w:r>
              <w:rPr>
                <w:color w:val="105C84"/>
                <w:sz w:val="18"/>
              </w:rPr>
              <w:t>Community </w:t>
            </w:r>
            <w:r>
              <w:rPr>
                <w:color w:val="105C84"/>
                <w:spacing w:val="-2"/>
                <w:sz w:val="18"/>
              </w:rPr>
              <w:t>Hospital</w:t>
            </w:r>
          </w:p>
        </w:tc>
        <w:tc>
          <w:tcPr>
            <w:tcW w:w="1555" w:type="dxa"/>
          </w:tcPr>
          <w:p>
            <w:pPr>
              <w:pStyle w:val="TableParagraph"/>
              <w:spacing w:before="52"/>
              <w:ind w:left="90"/>
              <w:rPr>
                <w:sz w:val="18"/>
              </w:rPr>
            </w:pPr>
            <w:r>
              <w:rPr>
                <w:color w:val="105C84"/>
                <w:w w:val="90"/>
                <w:sz w:val="18"/>
              </w:rPr>
              <w:t>315-359-</w:t>
            </w:r>
            <w:r>
              <w:rPr>
                <w:color w:val="105C84"/>
                <w:spacing w:val="-4"/>
                <w:w w:val="90"/>
                <w:sz w:val="18"/>
              </w:rPr>
              <w:t>2644</w:t>
            </w:r>
          </w:p>
        </w:tc>
        <w:tc>
          <w:tcPr>
            <w:tcW w:w="3137" w:type="dxa"/>
          </w:tcPr>
          <w:p>
            <w:pPr>
              <w:pStyle w:val="TableParagraph"/>
              <w:spacing w:before="60"/>
              <w:ind w:left="90"/>
              <w:rPr>
                <w:sz w:val="16"/>
              </w:rPr>
            </w:pPr>
            <w:hyperlink r:id="rId28">
              <w:r>
                <w:rPr>
                  <w:color w:val="105C84"/>
                  <w:spacing w:val="-2"/>
                  <w:sz w:val="16"/>
                </w:rPr>
                <w:t>Maura.snyder@rochesterregional.org</w:t>
              </w:r>
            </w:hyperlink>
          </w:p>
        </w:tc>
      </w:tr>
      <w:tr>
        <w:trPr>
          <w:trHeight w:val="298" w:hRule="atLeast"/>
        </w:trPr>
        <w:tc>
          <w:tcPr>
            <w:tcW w:w="1711" w:type="dxa"/>
          </w:tcPr>
          <w:p>
            <w:pPr>
              <w:pStyle w:val="TableParagraph"/>
              <w:spacing w:before="52"/>
              <w:ind w:left="90"/>
              <w:rPr>
                <w:sz w:val="18"/>
              </w:rPr>
            </w:pPr>
            <w:r>
              <w:rPr>
                <w:color w:val="105C84"/>
                <w:sz w:val="18"/>
              </w:rPr>
              <w:t>Tina</w:t>
            </w:r>
            <w:r>
              <w:rPr>
                <w:color w:val="105C84"/>
                <w:spacing w:val="-5"/>
                <w:sz w:val="18"/>
              </w:rPr>
              <w:t> </w:t>
            </w:r>
            <w:r>
              <w:rPr>
                <w:color w:val="105C84"/>
                <w:spacing w:val="-2"/>
                <w:sz w:val="18"/>
              </w:rPr>
              <w:t>Culver</w:t>
            </w:r>
          </w:p>
        </w:tc>
        <w:tc>
          <w:tcPr>
            <w:tcW w:w="3513" w:type="dxa"/>
          </w:tcPr>
          <w:p>
            <w:pPr>
              <w:pStyle w:val="TableParagraph"/>
              <w:spacing w:before="52"/>
              <w:ind w:left="90"/>
              <w:rPr>
                <w:sz w:val="18"/>
              </w:rPr>
            </w:pPr>
            <w:r>
              <w:rPr>
                <w:color w:val="105C84"/>
                <w:sz w:val="18"/>
              </w:rPr>
              <w:t>UR</w:t>
            </w:r>
            <w:r>
              <w:rPr>
                <w:color w:val="105C84"/>
                <w:spacing w:val="-12"/>
                <w:sz w:val="18"/>
              </w:rPr>
              <w:t> </w:t>
            </w:r>
            <w:r>
              <w:rPr>
                <w:color w:val="105C84"/>
                <w:sz w:val="18"/>
              </w:rPr>
              <w:t>Thompson</w:t>
            </w:r>
            <w:r>
              <w:rPr>
                <w:color w:val="105C84"/>
                <w:spacing w:val="-12"/>
                <w:sz w:val="18"/>
              </w:rPr>
              <w:t> </w:t>
            </w:r>
            <w:r>
              <w:rPr>
                <w:color w:val="105C84"/>
                <w:spacing w:val="-2"/>
                <w:sz w:val="18"/>
              </w:rPr>
              <w:t>Health</w:t>
            </w:r>
          </w:p>
        </w:tc>
        <w:tc>
          <w:tcPr>
            <w:tcW w:w="1555" w:type="dxa"/>
          </w:tcPr>
          <w:p>
            <w:pPr>
              <w:pStyle w:val="TableParagraph"/>
              <w:spacing w:before="52"/>
              <w:ind w:left="90"/>
              <w:rPr>
                <w:sz w:val="18"/>
              </w:rPr>
            </w:pPr>
            <w:r>
              <w:rPr>
                <w:color w:val="105C84"/>
                <w:w w:val="90"/>
                <w:sz w:val="18"/>
              </w:rPr>
              <w:t>585-396-</w:t>
            </w:r>
            <w:r>
              <w:rPr>
                <w:color w:val="105C84"/>
                <w:spacing w:val="-4"/>
                <w:w w:val="90"/>
                <w:sz w:val="18"/>
              </w:rPr>
              <w:t>6491</w:t>
            </w:r>
          </w:p>
        </w:tc>
        <w:tc>
          <w:tcPr>
            <w:tcW w:w="3137" w:type="dxa"/>
          </w:tcPr>
          <w:p>
            <w:pPr>
              <w:pStyle w:val="TableParagraph"/>
              <w:spacing w:before="60"/>
              <w:ind w:left="90"/>
              <w:rPr>
                <w:sz w:val="16"/>
              </w:rPr>
            </w:pPr>
            <w:hyperlink r:id="rId29">
              <w:r>
                <w:rPr>
                  <w:color w:val="105C84"/>
                  <w:spacing w:val="-2"/>
                  <w:sz w:val="16"/>
                </w:rPr>
                <w:t>Tina.culver@thompshonhealth.org</w:t>
              </w:r>
            </w:hyperlink>
          </w:p>
        </w:tc>
      </w:tr>
      <w:tr>
        <w:trPr>
          <w:trHeight w:val="298" w:hRule="atLeast"/>
        </w:trPr>
        <w:tc>
          <w:tcPr>
            <w:tcW w:w="1711" w:type="dxa"/>
          </w:tcPr>
          <w:p>
            <w:pPr>
              <w:pStyle w:val="TableParagraph"/>
              <w:spacing w:before="52"/>
              <w:ind w:left="90"/>
              <w:rPr>
                <w:sz w:val="18"/>
              </w:rPr>
            </w:pPr>
            <w:r>
              <w:rPr>
                <w:color w:val="105C84"/>
                <w:sz w:val="18"/>
              </w:rPr>
              <w:t>Patty</w:t>
            </w:r>
            <w:r>
              <w:rPr>
                <w:color w:val="105C84"/>
                <w:spacing w:val="-7"/>
                <w:sz w:val="18"/>
              </w:rPr>
              <w:t> </w:t>
            </w:r>
            <w:r>
              <w:rPr>
                <w:color w:val="105C84"/>
                <w:spacing w:val="-2"/>
                <w:sz w:val="18"/>
              </w:rPr>
              <w:t>Piper</w:t>
            </w:r>
          </w:p>
        </w:tc>
        <w:tc>
          <w:tcPr>
            <w:tcW w:w="3513" w:type="dxa"/>
          </w:tcPr>
          <w:p>
            <w:pPr>
              <w:pStyle w:val="TableParagraph"/>
              <w:spacing w:before="52"/>
              <w:ind w:left="90"/>
              <w:rPr>
                <w:sz w:val="18"/>
              </w:rPr>
            </w:pPr>
            <w:r>
              <w:rPr>
                <w:color w:val="105C84"/>
                <w:spacing w:val="-2"/>
                <w:sz w:val="18"/>
              </w:rPr>
              <w:t>UR</w:t>
            </w:r>
            <w:r>
              <w:rPr>
                <w:color w:val="105C84"/>
                <w:spacing w:val="-9"/>
                <w:sz w:val="18"/>
              </w:rPr>
              <w:t> </w:t>
            </w:r>
            <w:r>
              <w:rPr>
                <w:color w:val="105C84"/>
                <w:spacing w:val="-2"/>
                <w:sz w:val="18"/>
              </w:rPr>
              <w:t>Noyes</w:t>
            </w:r>
            <w:r>
              <w:rPr>
                <w:color w:val="105C84"/>
                <w:spacing w:val="-9"/>
                <w:sz w:val="18"/>
              </w:rPr>
              <w:t> </w:t>
            </w:r>
            <w:r>
              <w:rPr>
                <w:color w:val="105C84"/>
                <w:spacing w:val="-2"/>
                <w:sz w:val="18"/>
              </w:rPr>
              <w:t>Health</w:t>
            </w:r>
          </w:p>
        </w:tc>
        <w:tc>
          <w:tcPr>
            <w:tcW w:w="1555" w:type="dxa"/>
          </w:tcPr>
          <w:p>
            <w:pPr>
              <w:pStyle w:val="TableParagraph"/>
              <w:spacing w:before="52"/>
              <w:ind w:left="90"/>
              <w:rPr>
                <w:sz w:val="18"/>
              </w:rPr>
            </w:pPr>
            <w:r>
              <w:rPr>
                <w:color w:val="105C84"/>
                <w:w w:val="90"/>
                <w:sz w:val="18"/>
              </w:rPr>
              <w:t>585-335-</w:t>
            </w:r>
            <w:r>
              <w:rPr>
                <w:color w:val="105C84"/>
                <w:spacing w:val="-4"/>
                <w:w w:val="90"/>
                <w:sz w:val="18"/>
              </w:rPr>
              <w:t>8630</w:t>
            </w:r>
          </w:p>
        </w:tc>
        <w:tc>
          <w:tcPr>
            <w:tcW w:w="3137" w:type="dxa"/>
          </w:tcPr>
          <w:p>
            <w:pPr>
              <w:pStyle w:val="TableParagraph"/>
              <w:spacing w:before="60"/>
              <w:ind w:left="90"/>
              <w:rPr>
                <w:sz w:val="16"/>
              </w:rPr>
            </w:pPr>
            <w:hyperlink r:id="rId30">
              <w:r>
                <w:rPr>
                  <w:color w:val="105C84"/>
                  <w:spacing w:val="-2"/>
                  <w:sz w:val="16"/>
                </w:rPr>
                <w:t>ppiper@noyeshelath.org</w:t>
              </w:r>
            </w:hyperlink>
          </w:p>
        </w:tc>
      </w:tr>
      <w:tr>
        <w:trPr>
          <w:trHeight w:val="298" w:hRule="atLeast"/>
        </w:trPr>
        <w:tc>
          <w:tcPr>
            <w:tcW w:w="1711" w:type="dxa"/>
          </w:tcPr>
          <w:p>
            <w:pPr>
              <w:pStyle w:val="TableParagraph"/>
              <w:spacing w:before="52"/>
              <w:ind w:left="90"/>
              <w:rPr>
                <w:sz w:val="18"/>
              </w:rPr>
            </w:pPr>
            <w:r>
              <w:rPr>
                <w:color w:val="105C84"/>
                <w:sz w:val="18"/>
              </w:rPr>
              <w:t>Ashley</w:t>
            </w:r>
            <w:r>
              <w:rPr>
                <w:color w:val="105C84"/>
                <w:spacing w:val="-12"/>
                <w:sz w:val="18"/>
              </w:rPr>
              <w:t> </w:t>
            </w:r>
            <w:r>
              <w:rPr>
                <w:color w:val="105C84"/>
                <w:spacing w:val="-2"/>
                <w:sz w:val="18"/>
              </w:rPr>
              <w:t>Gleason</w:t>
            </w:r>
          </w:p>
        </w:tc>
        <w:tc>
          <w:tcPr>
            <w:tcW w:w="3513" w:type="dxa"/>
          </w:tcPr>
          <w:p>
            <w:pPr>
              <w:pStyle w:val="TableParagraph"/>
              <w:spacing w:before="52"/>
              <w:ind w:left="90"/>
              <w:rPr>
                <w:sz w:val="18"/>
              </w:rPr>
            </w:pPr>
            <w:r>
              <w:rPr>
                <w:color w:val="105C84"/>
                <w:w w:val="105"/>
                <w:sz w:val="18"/>
              </w:rPr>
              <w:t>Arnot</w:t>
            </w:r>
            <w:r>
              <w:rPr>
                <w:color w:val="105C84"/>
                <w:spacing w:val="-3"/>
                <w:w w:val="105"/>
                <w:sz w:val="18"/>
              </w:rPr>
              <w:t> </w:t>
            </w:r>
            <w:r>
              <w:rPr>
                <w:color w:val="105C84"/>
                <w:spacing w:val="-2"/>
                <w:w w:val="105"/>
                <w:sz w:val="18"/>
              </w:rPr>
              <w:t>Health</w:t>
            </w:r>
          </w:p>
        </w:tc>
        <w:tc>
          <w:tcPr>
            <w:tcW w:w="1555" w:type="dxa"/>
          </w:tcPr>
          <w:p>
            <w:pPr>
              <w:pStyle w:val="TableParagraph"/>
              <w:spacing w:before="52"/>
              <w:ind w:left="90"/>
              <w:rPr>
                <w:sz w:val="18"/>
              </w:rPr>
            </w:pPr>
            <w:r>
              <w:rPr>
                <w:color w:val="105C84"/>
                <w:w w:val="90"/>
                <w:sz w:val="18"/>
              </w:rPr>
              <w:t>607-737-</w:t>
            </w:r>
            <w:r>
              <w:rPr>
                <w:color w:val="105C84"/>
                <w:spacing w:val="-4"/>
                <w:w w:val="90"/>
                <w:sz w:val="18"/>
              </w:rPr>
              <w:t>7727</w:t>
            </w:r>
          </w:p>
        </w:tc>
        <w:tc>
          <w:tcPr>
            <w:tcW w:w="3137" w:type="dxa"/>
          </w:tcPr>
          <w:p>
            <w:pPr>
              <w:pStyle w:val="TableParagraph"/>
              <w:spacing w:before="60"/>
              <w:ind w:left="90"/>
              <w:rPr>
                <w:sz w:val="16"/>
              </w:rPr>
            </w:pPr>
            <w:hyperlink r:id="rId31">
              <w:r>
                <w:rPr>
                  <w:color w:val="105C84"/>
                  <w:spacing w:val="-2"/>
                  <w:sz w:val="16"/>
                </w:rPr>
                <w:t>AGleason@arnothealth.org</w:t>
              </w:r>
            </w:hyperlink>
          </w:p>
        </w:tc>
      </w:tr>
      <w:tr>
        <w:trPr>
          <w:trHeight w:val="298" w:hRule="atLeast"/>
        </w:trPr>
        <w:tc>
          <w:tcPr>
            <w:tcW w:w="1711" w:type="dxa"/>
          </w:tcPr>
          <w:p>
            <w:pPr>
              <w:pStyle w:val="TableParagraph"/>
              <w:spacing w:before="52"/>
              <w:ind w:left="90"/>
              <w:rPr>
                <w:sz w:val="18"/>
              </w:rPr>
            </w:pPr>
            <w:r>
              <w:rPr>
                <w:color w:val="105C84"/>
                <w:sz w:val="18"/>
              </w:rPr>
              <w:t>Elizabeth</w:t>
            </w:r>
            <w:r>
              <w:rPr>
                <w:color w:val="105C84"/>
                <w:spacing w:val="-5"/>
                <w:sz w:val="18"/>
              </w:rPr>
              <w:t> </w:t>
            </w:r>
            <w:r>
              <w:rPr>
                <w:color w:val="105C84"/>
                <w:spacing w:val="-4"/>
                <w:sz w:val="18"/>
              </w:rPr>
              <w:t>Weir</w:t>
            </w:r>
          </w:p>
        </w:tc>
        <w:tc>
          <w:tcPr>
            <w:tcW w:w="3513" w:type="dxa"/>
          </w:tcPr>
          <w:p>
            <w:pPr>
              <w:pStyle w:val="TableParagraph"/>
              <w:spacing w:before="52"/>
              <w:ind w:left="90"/>
              <w:rPr>
                <w:sz w:val="18"/>
              </w:rPr>
            </w:pPr>
            <w:r>
              <w:rPr>
                <w:color w:val="105C84"/>
                <w:sz w:val="18"/>
              </w:rPr>
              <w:t>Ira</w:t>
            </w:r>
            <w:r>
              <w:rPr>
                <w:color w:val="105C84"/>
                <w:spacing w:val="-9"/>
                <w:sz w:val="18"/>
              </w:rPr>
              <w:t> </w:t>
            </w:r>
            <w:r>
              <w:rPr>
                <w:color w:val="105C84"/>
                <w:spacing w:val="-2"/>
                <w:sz w:val="18"/>
              </w:rPr>
              <w:t>Davenport</w:t>
            </w:r>
          </w:p>
        </w:tc>
        <w:tc>
          <w:tcPr>
            <w:tcW w:w="1555" w:type="dxa"/>
          </w:tcPr>
          <w:p>
            <w:pPr>
              <w:pStyle w:val="TableParagraph"/>
              <w:spacing w:before="52"/>
              <w:ind w:left="90"/>
              <w:rPr>
                <w:sz w:val="18"/>
              </w:rPr>
            </w:pPr>
            <w:r>
              <w:rPr>
                <w:color w:val="105C84"/>
                <w:w w:val="90"/>
                <w:sz w:val="18"/>
              </w:rPr>
              <w:t>607-776-</w:t>
            </w:r>
            <w:r>
              <w:rPr>
                <w:color w:val="105C84"/>
                <w:spacing w:val="-4"/>
                <w:w w:val="90"/>
                <w:sz w:val="18"/>
              </w:rPr>
              <w:t>8670</w:t>
            </w:r>
          </w:p>
        </w:tc>
        <w:tc>
          <w:tcPr>
            <w:tcW w:w="3137" w:type="dxa"/>
          </w:tcPr>
          <w:p>
            <w:pPr>
              <w:pStyle w:val="TableParagraph"/>
              <w:spacing w:before="60"/>
              <w:ind w:left="90"/>
              <w:rPr>
                <w:sz w:val="16"/>
              </w:rPr>
            </w:pPr>
            <w:hyperlink r:id="rId32">
              <w:r>
                <w:rPr>
                  <w:color w:val="105C84"/>
                  <w:spacing w:val="-2"/>
                  <w:sz w:val="16"/>
                </w:rPr>
                <w:t>eweir@arnothealth.org</w:t>
              </w:r>
            </w:hyperlink>
          </w:p>
        </w:tc>
      </w:tr>
      <w:tr>
        <w:trPr>
          <w:trHeight w:val="298" w:hRule="atLeast"/>
        </w:trPr>
        <w:tc>
          <w:tcPr>
            <w:tcW w:w="1711" w:type="dxa"/>
          </w:tcPr>
          <w:p>
            <w:pPr>
              <w:pStyle w:val="TableParagraph"/>
              <w:spacing w:before="52"/>
              <w:ind w:left="90"/>
              <w:rPr>
                <w:sz w:val="18"/>
              </w:rPr>
            </w:pPr>
            <w:r>
              <w:rPr>
                <w:color w:val="105C84"/>
                <w:spacing w:val="-5"/>
                <w:sz w:val="18"/>
              </w:rPr>
              <w:t>Tracey</w:t>
            </w:r>
            <w:r>
              <w:rPr>
                <w:color w:val="105C84"/>
                <w:spacing w:val="-7"/>
                <w:sz w:val="18"/>
              </w:rPr>
              <w:t> </w:t>
            </w:r>
            <w:r>
              <w:rPr>
                <w:color w:val="105C84"/>
                <w:spacing w:val="-4"/>
                <w:sz w:val="18"/>
              </w:rPr>
              <w:t>Fish</w:t>
            </w:r>
          </w:p>
        </w:tc>
        <w:tc>
          <w:tcPr>
            <w:tcW w:w="3513" w:type="dxa"/>
          </w:tcPr>
          <w:p>
            <w:pPr>
              <w:pStyle w:val="TableParagraph"/>
              <w:spacing w:before="52"/>
              <w:ind w:left="90"/>
              <w:rPr>
                <w:sz w:val="18"/>
              </w:rPr>
            </w:pPr>
            <w:r>
              <w:rPr>
                <w:color w:val="105C84"/>
                <w:sz w:val="18"/>
              </w:rPr>
              <w:t>Corning</w:t>
            </w:r>
            <w:r>
              <w:rPr>
                <w:color w:val="105C84"/>
                <w:spacing w:val="18"/>
                <w:sz w:val="18"/>
              </w:rPr>
              <w:t> </w:t>
            </w:r>
            <w:r>
              <w:rPr>
                <w:color w:val="105C84"/>
                <w:spacing w:val="-2"/>
                <w:sz w:val="18"/>
              </w:rPr>
              <w:t>Hospital</w:t>
            </w:r>
          </w:p>
        </w:tc>
        <w:tc>
          <w:tcPr>
            <w:tcW w:w="1555" w:type="dxa"/>
          </w:tcPr>
          <w:p>
            <w:pPr>
              <w:pStyle w:val="TableParagraph"/>
              <w:spacing w:before="52"/>
              <w:ind w:left="90"/>
              <w:rPr>
                <w:sz w:val="18"/>
              </w:rPr>
            </w:pPr>
            <w:r>
              <w:rPr>
                <w:color w:val="105C84"/>
                <w:w w:val="90"/>
                <w:sz w:val="18"/>
              </w:rPr>
              <w:t>607-937-</w:t>
            </w:r>
            <w:r>
              <w:rPr>
                <w:color w:val="105C84"/>
                <w:spacing w:val="-4"/>
                <w:w w:val="90"/>
                <w:sz w:val="18"/>
              </w:rPr>
              <w:t>7355</w:t>
            </w:r>
          </w:p>
        </w:tc>
        <w:tc>
          <w:tcPr>
            <w:tcW w:w="3137" w:type="dxa"/>
          </w:tcPr>
          <w:p>
            <w:pPr>
              <w:pStyle w:val="TableParagraph"/>
              <w:spacing w:before="60"/>
              <w:ind w:left="90"/>
              <w:rPr>
                <w:sz w:val="16"/>
              </w:rPr>
            </w:pPr>
            <w:hyperlink r:id="rId33">
              <w:r>
                <w:rPr>
                  <w:color w:val="105C84"/>
                  <w:spacing w:val="-2"/>
                  <w:sz w:val="16"/>
                </w:rPr>
                <w:t>Tracey.Fish@guthrie.org</w:t>
              </w:r>
            </w:hyperlink>
          </w:p>
        </w:tc>
      </w:tr>
      <w:tr>
        <w:trPr>
          <w:trHeight w:val="298" w:hRule="atLeast"/>
        </w:trPr>
        <w:tc>
          <w:tcPr>
            <w:tcW w:w="1711" w:type="dxa"/>
          </w:tcPr>
          <w:p>
            <w:pPr>
              <w:pStyle w:val="TableParagraph"/>
              <w:spacing w:before="52"/>
              <w:ind w:left="90"/>
              <w:rPr>
                <w:sz w:val="18"/>
              </w:rPr>
            </w:pPr>
            <w:r>
              <w:rPr>
                <w:color w:val="105C84"/>
                <w:sz w:val="18"/>
              </w:rPr>
              <w:t>Deb</w:t>
            </w:r>
            <w:r>
              <w:rPr>
                <w:color w:val="105C84"/>
                <w:spacing w:val="15"/>
                <w:sz w:val="18"/>
              </w:rPr>
              <w:t> </w:t>
            </w:r>
            <w:r>
              <w:rPr>
                <w:color w:val="105C84"/>
                <w:spacing w:val="-2"/>
                <w:sz w:val="18"/>
              </w:rPr>
              <w:t>Bailey</w:t>
            </w:r>
          </w:p>
        </w:tc>
        <w:tc>
          <w:tcPr>
            <w:tcW w:w="3513" w:type="dxa"/>
          </w:tcPr>
          <w:p>
            <w:pPr>
              <w:pStyle w:val="TableParagraph"/>
              <w:spacing w:before="52"/>
              <w:ind w:left="90"/>
              <w:rPr>
                <w:sz w:val="18"/>
              </w:rPr>
            </w:pPr>
            <w:r>
              <w:rPr>
                <w:color w:val="105C84"/>
                <w:spacing w:val="-2"/>
                <w:sz w:val="18"/>
              </w:rPr>
              <w:t>Schuyler</w:t>
            </w:r>
            <w:r>
              <w:rPr>
                <w:color w:val="105C84"/>
                <w:spacing w:val="-6"/>
                <w:sz w:val="18"/>
              </w:rPr>
              <w:t> </w:t>
            </w:r>
            <w:r>
              <w:rPr>
                <w:color w:val="105C84"/>
                <w:spacing w:val="-2"/>
                <w:sz w:val="18"/>
              </w:rPr>
              <w:t>Hospital</w:t>
            </w:r>
          </w:p>
        </w:tc>
        <w:tc>
          <w:tcPr>
            <w:tcW w:w="1555" w:type="dxa"/>
          </w:tcPr>
          <w:p>
            <w:pPr>
              <w:pStyle w:val="TableParagraph"/>
              <w:spacing w:before="52"/>
              <w:ind w:left="90"/>
              <w:rPr>
                <w:sz w:val="18"/>
              </w:rPr>
            </w:pPr>
            <w:r>
              <w:rPr>
                <w:color w:val="105C84"/>
                <w:w w:val="90"/>
                <w:sz w:val="18"/>
              </w:rPr>
              <w:t>607-535-</w:t>
            </w:r>
            <w:r>
              <w:rPr>
                <w:color w:val="105C84"/>
                <w:spacing w:val="-4"/>
                <w:w w:val="90"/>
                <w:sz w:val="18"/>
              </w:rPr>
              <w:t>7121</w:t>
            </w:r>
          </w:p>
        </w:tc>
        <w:tc>
          <w:tcPr>
            <w:tcW w:w="3137" w:type="dxa"/>
          </w:tcPr>
          <w:p>
            <w:pPr>
              <w:pStyle w:val="TableParagraph"/>
              <w:spacing w:before="60"/>
              <w:ind w:left="90"/>
              <w:rPr>
                <w:sz w:val="16"/>
              </w:rPr>
            </w:pPr>
            <w:hyperlink r:id="rId34">
              <w:r>
                <w:rPr>
                  <w:color w:val="105C84"/>
                  <w:spacing w:val="-2"/>
                  <w:sz w:val="16"/>
                </w:rPr>
                <w:t>baileyd@schuylerhospital.org</w:t>
              </w:r>
            </w:hyperlink>
          </w:p>
        </w:tc>
      </w:tr>
      <w:tr>
        <w:trPr>
          <w:trHeight w:val="298" w:hRule="atLeast"/>
        </w:trPr>
        <w:tc>
          <w:tcPr>
            <w:tcW w:w="1711" w:type="dxa"/>
          </w:tcPr>
          <w:p>
            <w:pPr>
              <w:pStyle w:val="TableParagraph"/>
              <w:spacing w:before="52"/>
              <w:ind w:left="90"/>
              <w:rPr>
                <w:sz w:val="18"/>
              </w:rPr>
            </w:pPr>
            <w:r>
              <w:rPr>
                <w:color w:val="105C84"/>
                <w:spacing w:val="-4"/>
                <w:sz w:val="18"/>
              </w:rPr>
              <w:t>Rachel</w:t>
            </w:r>
            <w:r>
              <w:rPr>
                <w:color w:val="105C84"/>
                <w:spacing w:val="-5"/>
                <w:sz w:val="18"/>
              </w:rPr>
              <w:t> </w:t>
            </w:r>
            <w:r>
              <w:rPr>
                <w:color w:val="105C84"/>
                <w:spacing w:val="-2"/>
                <w:sz w:val="18"/>
              </w:rPr>
              <w:t>Landon</w:t>
            </w:r>
          </w:p>
        </w:tc>
        <w:tc>
          <w:tcPr>
            <w:tcW w:w="3513" w:type="dxa"/>
          </w:tcPr>
          <w:p>
            <w:pPr>
              <w:pStyle w:val="TableParagraph"/>
              <w:spacing w:before="52"/>
              <w:ind w:left="90"/>
              <w:rPr>
                <w:sz w:val="18"/>
              </w:rPr>
            </w:pPr>
            <w:r>
              <w:rPr>
                <w:color w:val="105C84"/>
                <w:spacing w:val="-2"/>
                <w:sz w:val="18"/>
              </w:rPr>
              <w:t>St.</w:t>
            </w:r>
            <w:r>
              <w:rPr>
                <w:color w:val="105C84"/>
                <w:spacing w:val="-8"/>
                <w:sz w:val="18"/>
              </w:rPr>
              <w:t> </w:t>
            </w:r>
            <w:r>
              <w:rPr>
                <w:color w:val="105C84"/>
                <w:spacing w:val="-2"/>
                <w:sz w:val="18"/>
              </w:rPr>
              <w:t>James</w:t>
            </w:r>
            <w:r>
              <w:rPr>
                <w:color w:val="105C84"/>
                <w:spacing w:val="-7"/>
                <w:sz w:val="18"/>
              </w:rPr>
              <w:t> </w:t>
            </w:r>
            <w:r>
              <w:rPr>
                <w:color w:val="105C84"/>
                <w:spacing w:val="-2"/>
                <w:sz w:val="18"/>
              </w:rPr>
              <w:t>Hospital</w:t>
            </w:r>
          </w:p>
        </w:tc>
        <w:tc>
          <w:tcPr>
            <w:tcW w:w="1555" w:type="dxa"/>
          </w:tcPr>
          <w:p>
            <w:pPr>
              <w:pStyle w:val="TableParagraph"/>
              <w:spacing w:before="52"/>
              <w:ind w:left="90"/>
              <w:rPr>
                <w:sz w:val="18"/>
              </w:rPr>
            </w:pPr>
            <w:r>
              <w:rPr>
                <w:color w:val="105C84"/>
                <w:w w:val="90"/>
                <w:sz w:val="18"/>
              </w:rPr>
              <w:t>607-324-</w:t>
            </w:r>
            <w:r>
              <w:rPr>
                <w:color w:val="105C84"/>
                <w:spacing w:val="-4"/>
                <w:w w:val="90"/>
                <w:sz w:val="18"/>
              </w:rPr>
              <w:t>8033</w:t>
            </w:r>
          </w:p>
        </w:tc>
        <w:tc>
          <w:tcPr>
            <w:tcW w:w="3137" w:type="dxa"/>
          </w:tcPr>
          <w:p>
            <w:pPr>
              <w:pStyle w:val="TableParagraph"/>
              <w:spacing w:before="60"/>
              <w:ind w:left="90"/>
              <w:rPr>
                <w:sz w:val="16"/>
              </w:rPr>
            </w:pPr>
            <w:hyperlink r:id="rId35">
              <w:r>
                <w:rPr>
                  <w:color w:val="105C84"/>
                  <w:spacing w:val="-2"/>
                  <w:sz w:val="16"/>
                </w:rPr>
                <w:t>Rachel_Yanda@urmc.rochester.edu</w:t>
              </w:r>
            </w:hyperlink>
          </w:p>
        </w:tc>
      </w:tr>
      <w:tr>
        <w:trPr>
          <w:trHeight w:val="658" w:hRule="atLeast"/>
        </w:trPr>
        <w:tc>
          <w:tcPr>
            <w:tcW w:w="1711" w:type="dxa"/>
          </w:tcPr>
          <w:p>
            <w:pPr>
              <w:pStyle w:val="TableParagraph"/>
              <w:spacing w:before="24"/>
              <w:rPr>
                <w:sz w:val="18"/>
              </w:rPr>
            </w:pPr>
          </w:p>
          <w:p>
            <w:pPr>
              <w:pStyle w:val="TableParagraph"/>
              <w:spacing w:before="1"/>
              <w:ind w:left="90"/>
              <w:rPr>
                <w:sz w:val="18"/>
              </w:rPr>
            </w:pPr>
            <w:r>
              <w:rPr>
                <w:color w:val="105C84"/>
                <w:spacing w:val="-4"/>
                <w:sz w:val="18"/>
              </w:rPr>
              <w:t>Lara</w:t>
            </w:r>
            <w:r>
              <w:rPr>
                <w:color w:val="105C84"/>
                <w:spacing w:val="-7"/>
                <w:sz w:val="18"/>
              </w:rPr>
              <w:t> </w:t>
            </w:r>
            <w:r>
              <w:rPr>
                <w:color w:val="105C84"/>
                <w:spacing w:val="-2"/>
                <w:sz w:val="18"/>
              </w:rPr>
              <w:t>Turbide</w:t>
            </w:r>
          </w:p>
        </w:tc>
        <w:tc>
          <w:tcPr>
            <w:tcW w:w="3513" w:type="dxa"/>
          </w:tcPr>
          <w:p>
            <w:pPr>
              <w:pStyle w:val="TableParagraph"/>
              <w:spacing w:line="208" w:lineRule="auto" w:before="74"/>
              <w:ind w:left="90" w:right="304"/>
              <w:jc w:val="both"/>
              <w:rPr>
                <w:sz w:val="18"/>
              </w:rPr>
            </w:pPr>
            <w:r>
              <w:rPr>
                <w:color w:val="105C84"/>
                <w:sz w:val="18"/>
              </w:rPr>
              <w:t>Geneva General Hospital and Soldiers and Sailors Memorial Hospital (Finger Lakes Health)</w:t>
            </w:r>
          </w:p>
        </w:tc>
        <w:tc>
          <w:tcPr>
            <w:tcW w:w="1555" w:type="dxa"/>
          </w:tcPr>
          <w:p>
            <w:pPr>
              <w:pStyle w:val="TableParagraph"/>
              <w:spacing w:before="24"/>
              <w:rPr>
                <w:sz w:val="18"/>
              </w:rPr>
            </w:pPr>
          </w:p>
          <w:p>
            <w:pPr>
              <w:pStyle w:val="TableParagraph"/>
              <w:spacing w:before="1"/>
              <w:ind w:left="90"/>
              <w:rPr>
                <w:sz w:val="18"/>
              </w:rPr>
            </w:pPr>
            <w:r>
              <w:rPr>
                <w:color w:val="105C84"/>
                <w:w w:val="90"/>
                <w:sz w:val="18"/>
              </w:rPr>
              <w:t>315-787-</w:t>
            </w:r>
            <w:r>
              <w:rPr>
                <w:color w:val="105C84"/>
                <w:spacing w:val="-4"/>
                <w:w w:val="90"/>
                <w:sz w:val="18"/>
              </w:rPr>
              <w:t>4053</w:t>
            </w:r>
          </w:p>
        </w:tc>
        <w:tc>
          <w:tcPr>
            <w:tcW w:w="3137" w:type="dxa"/>
          </w:tcPr>
          <w:p>
            <w:pPr>
              <w:pStyle w:val="TableParagraph"/>
              <w:spacing w:before="56"/>
              <w:rPr>
                <w:sz w:val="16"/>
              </w:rPr>
            </w:pPr>
          </w:p>
          <w:p>
            <w:pPr>
              <w:pStyle w:val="TableParagraph"/>
              <w:ind w:left="90"/>
              <w:rPr>
                <w:sz w:val="16"/>
              </w:rPr>
            </w:pPr>
            <w:hyperlink r:id="rId36">
              <w:r>
                <w:rPr>
                  <w:color w:val="105C84"/>
                  <w:spacing w:val="-2"/>
                  <w:sz w:val="16"/>
                </w:rPr>
                <w:t>Lara.turbide@flhealth.org</w:t>
              </w:r>
            </w:hyperlink>
          </w:p>
        </w:tc>
      </w:tr>
    </w:tbl>
    <w:p>
      <w:pPr>
        <w:pStyle w:val="TableParagraph"/>
        <w:spacing w:after="0"/>
        <w:rPr>
          <w:sz w:val="16"/>
        </w:rPr>
        <w:sectPr>
          <w:type w:val="continuous"/>
          <w:pgSz w:w="24480" w:h="15840" w:orient="landscape"/>
          <w:pgMar w:top="0" w:bottom="280" w:left="0" w:right="720"/>
          <w:cols w:num="2" w:equalWidth="0">
            <w:col w:w="11201" w:space="1034"/>
            <w:col w:w="11525"/>
          </w:cols>
        </w:sectPr>
      </w:pPr>
    </w:p>
    <w:p>
      <w:pPr>
        <w:pStyle w:val="BodyText"/>
        <w:rPr>
          <w:sz w:val="16"/>
        </w:rPr>
      </w:pPr>
      <w:r>
        <w:rPr>
          <w:sz w:val="16"/>
        </w:rPr>
        <mc:AlternateContent>
          <mc:Choice Requires="wps">
            <w:drawing>
              <wp:anchor distT="0" distB="0" distL="0" distR="0" allowOverlap="1" layoutInCell="1" locked="0" behindDoc="0" simplePos="0" relativeHeight="15731200">
                <wp:simplePos x="0" y="0"/>
                <wp:positionH relativeFrom="page">
                  <wp:posOffset>0</wp:posOffset>
                </wp:positionH>
                <wp:positionV relativeFrom="page">
                  <wp:posOffset>0</wp:posOffset>
                </wp:positionV>
                <wp:extent cx="15544800" cy="548640"/>
                <wp:effectExtent l="0" t="0" r="0" b="0"/>
                <wp:wrapNone/>
                <wp:docPr id="28" name="Group 28"/>
                <wp:cNvGraphicFramePr>
                  <a:graphicFrameLocks/>
                </wp:cNvGraphicFramePr>
                <a:graphic>
                  <a:graphicData uri="http://schemas.microsoft.com/office/word/2010/wordprocessingGroup">
                    <wpg:wgp>
                      <wpg:cNvPr id="28" name="Group 28"/>
                      <wpg:cNvGrpSpPr/>
                      <wpg:grpSpPr>
                        <a:xfrm>
                          <a:off x="0" y="0"/>
                          <a:ext cx="15544800" cy="548640"/>
                          <a:chExt cx="15544800" cy="548640"/>
                        </a:xfrm>
                      </wpg:grpSpPr>
                      <wps:wsp>
                        <wps:cNvPr id="29" name="Graphic 29"/>
                        <wps:cNvSpPr/>
                        <wps:spPr>
                          <a:xfrm>
                            <a:off x="0" y="0"/>
                            <a:ext cx="15544800" cy="548640"/>
                          </a:xfrm>
                          <a:custGeom>
                            <a:avLst/>
                            <a:gdLst/>
                            <a:ahLst/>
                            <a:cxnLst/>
                            <a:rect l="l" t="t" r="r" b="b"/>
                            <a:pathLst>
                              <a:path w="15544800" h="548640">
                                <a:moveTo>
                                  <a:pt x="15544800" y="0"/>
                                </a:moveTo>
                                <a:lnTo>
                                  <a:pt x="7781544" y="0"/>
                                </a:lnTo>
                                <a:lnTo>
                                  <a:pt x="7708392" y="0"/>
                                </a:lnTo>
                                <a:lnTo>
                                  <a:pt x="0" y="0"/>
                                </a:lnTo>
                                <a:lnTo>
                                  <a:pt x="0" y="548640"/>
                                </a:lnTo>
                                <a:lnTo>
                                  <a:pt x="7708392" y="548640"/>
                                </a:lnTo>
                                <a:lnTo>
                                  <a:pt x="7781544" y="548640"/>
                                </a:lnTo>
                                <a:lnTo>
                                  <a:pt x="15544800" y="548640"/>
                                </a:lnTo>
                                <a:lnTo>
                                  <a:pt x="15544800" y="0"/>
                                </a:lnTo>
                                <a:close/>
                              </a:path>
                            </a:pathLst>
                          </a:custGeom>
                          <a:solidFill>
                            <a:srgbClr val="105C84"/>
                          </a:solidFill>
                        </wps:spPr>
                        <wps:bodyPr wrap="square" lIns="0" tIns="0" rIns="0" bIns="0" rtlCol="0">
                          <a:prstTxWarp prst="textNoShape">
                            <a:avLst/>
                          </a:prstTxWarp>
                          <a:noAutofit/>
                        </wps:bodyPr>
                      </wps:wsp>
                      <pic:pic>
                        <pic:nvPicPr>
                          <pic:cNvPr id="30" name="Image 30"/>
                          <pic:cNvPicPr/>
                        </pic:nvPicPr>
                        <pic:blipFill>
                          <a:blip r:embed="rId37" cstate="print"/>
                          <a:stretch>
                            <a:fillRect/>
                          </a:stretch>
                        </pic:blipFill>
                        <pic:spPr>
                          <a:xfrm>
                            <a:off x="0" y="0"/>
                            <a:ext cx="7710729" cy="543052"/>
                          </a:xfrm>
                          <a:prstGeom prst="rect">
                            <a:avLst/>
                          </a:prstGeom>
                        </pic:spPr>
                      </pic:pic>
                      <wps:wsp>
                        <wps:cNvPr id="31" name="Textbox 31"/>
                        <wps:cNvSpPr txBox="1"/>
                        <wps:spPr>
                          <a:xfrm>
                            <a:off x="685800" y="229108"/>
                            <a:ext cx="1053465" cy="173990"/>
                          </a:xfrm>
                          <a:prstGeom prst="rect">
                            <a:avLst/>
                          </a:prstGeom>
                        </wps:spPr>
                        <wps:txbx>
                          <w:txbxContent>
                            <w:p>
                              <w:pPr>
                                <w:spacing w:before="12"/>
                                <w:ind w:left="0" w:right="0" w:firstLine="0"/>
                                <w:jc w:val="left"/>
                                <w:rPr>
                                  <w:sz w:val="20"/>
                                </w:rPr>
                              </w:pPr>
                              <w:r>
                                <w:rPr>
                                  <w:color w:val="FFFFFF"/>
                                  <w:w w:val="105"/>
                                  <w:sz w:val="20"/>
                                </w:rPr>
                                <w:t>Table</w:t>
                              </w:r>
                              <w:r>
                                <w:rPr>
                                  <w:color w:val="FFFFFF"/>
                                  <w:spacing w:val="-15"/>
                                  <w:w w:val="105"/>
                                  <w:sz w:val="20"/>
                                </w:rPr>
                                <w:t> </w:t>
                              </w:r>
                              <w:r>
                                <w:rPr>
                                  <w:color w:val="FFFFFF"/>
                                  <w:w w:val="105"/>
                                  <w:sz w:val="20"/>
                                </w:rPr>
                                <w:t>of</w:t>
                              </w:r>
                              <w:r>
                                <w:rPr>
                                  <w:color w:val="FFFFFF"/>
                                  <w:spacing w:val="-14"/>
                                  <w:w w:val="105"/>
                                  <w:sz w:val="20"/>
                                </w:rPr>
                                <w:t> </w:t>
                              </w:r>
                              <w:r>
                                <w:rPr>
                                  <w:color w:val="FFFFFF"/>
                                  <w:spacing w:val="-2"/>
                                  <w:w w:val="105"/>
                                  <w:sz w:val="20"/>
                                </w:rPr>
                                <w:t>Contents</w:t>
                              </w:r>
                            </w:p>
                          </w:txbxContent>
                        </wps:txbx>
                        <wps:bodyPr wrap="square" lIns="0" tIns="0" rIns="0" bIns="0" rtlCol="0">
                          <a:noAutofit/>
                        </wps:bodyPr>
                      </wps:wsp>
                      <wps:wsp>
                        <wps:cNvPr id="32" name="Textbox 32"/>
                        <wps:cNvSpPr txBox="1"/>
                        <wps:spPr>
                          <a:xfrm>
                            <a:off x="10970293" y="201168"/>
                            <a:ext cx="3905250" cy="173990"/>
                          </a:xfrm>
                          <a:prstGeom prst="rect">
                            <a:avLst/>
                          </a:prstGeom>
                        </wps:spPr>
                        <wps:txbx>
                          <w:txbxContent>
                            <w:p>
                              <w:pPr>
                                <w:spacing w:before="12"/>
                                <w:ind w:left="0" w:right="0" w:firstLine="0"/>
                                <w:jc w:val="left"/>
                                <w:rPr>
                                  <w:sz w:val="20"/>
                                </w:rPr>
                              </w:pPr>
                              <w:r>
                                <w:rPr>
                                  <w:color w:val="FFFFFF"/>
                                  <w:sz w:val="20"/>
                                </w:rPr>
                                <w:t>FINGER</w:t>
                              </w:r>
                              <w:r>
                                <w:rPr>
                                  <w:color w:val="FFFFFF"/>
                                  <w:spacing w:val="9"/>
                                  <w:sz w:val="20"/>
                                </w:rPr>
                                <w:t> </w:t>
                              </w:r>
                              <w:r>
                                <w:rPr>
                                  <w:color w:val="FFFFFF"/>
                                  <w:sz w:val="20"/>
                                </w:rPr>
                                <w:t>LAKES</w:t>
                              </w:r>
                              <w:r>
                                <w:rPr>
                                  <w:color w:val="FFFFFF"/>
                                  <w:spacing w:val="9"/>
                                  <w:sz w:val="20"/>
                                </w:rPr>
                                <w:t> </w:t>
                              </w:r>
                              <w:r>
                                <w:rPr>
                                  <w:color w:val="FFFFFF"/>
                                  <w:sz w:val="20"/>
                                </w:rPr>
                                <w:t>REGIONAL</w:t>
                              </w:r>
                              <w:r>
                                <w:rPr>
                                  <w:color w:val="FFFFFF"/>
                                  <w:spacing w:val="9"/>
                                  <w:sz w:val="20"/>
                                </w:rPr>
                                <w:t> </w:t>
                              </w:r>
                              <w:r>
                                <w:rPr>
                                  <w:color w:val="FFFFFF"/>
                                  <w:sz w:val="20"/>
                                </w:rPr>
                                <w:t>COMMUNITY</w:t>
                              </w:r>
                              <w:r>
                                <w:rPr>
                                  <w:color w:val="FFFFFF"/>
                                  <w:spacing w:val="10"/>
                                  <w:sz w:val="20"/>
                                </w:rPr>
                                <w:t> </w:t>
                              </w:r>
                              <w:r>
                                <w:rPr>
                                  <w:color w:val="FFFFFF"/>
                                  <w:sz w:val="20"/>
                                </w:rPr>
                                <w:t>HEALTH</w:t>
                              </w:r>
                              <w:r>
                                <w:rPr>
                                  <w:color w:val="FFFFFF"/>
                                  <w:spacing w:val="9"/>
                                  <w:sz w:val="20"/>
                                </w:rPr>
                                <w:t> </w:t>
                              </w:r>
                              <w:r>
                                <w:rPr>
                                  <w:color w:val="FFFFFF"/>
                                  <w:spacing w:val="-2"/>
                                  <w:sz w:val="20"/>
                                </w:rPr>
                                <w:t>ASSESSMENT</w:t>
                              </w:r>
                            </w:p>
                          </w:txbxContent>
                        </wps:txbx>
                        <wps:bodyPr wrap="square" lIns="0" tIns="0" rIns="0" bIns="0" rtlCol="0">
                          <a:noAutofit/>
                        </wps:bodyPr>
                      </wps:wsp>
                    </wpg:wgp>
                  </a:graphicData>
                </a:graphic>
              </wp:anchor>
            </w:drawing>
          </mc:Choice>
          <mc:Fallback>
            <w:pict>
              <v:group style="position:absolute;margin-left:0pt;margin-top:-.000015pt;width:1224pt;height:43.2pt;mso-position-horizontal-relative:page;mso-position-vertical-relative:page;z-index:15731200" id="docshapegroup28" coordorigin="0,0" coordsize="24480,864">
                <v:shape style="position:absolute;left:0;top:0;width:24480;height:864" id="docshape29" coordorigin="0,0" coordsize="24480,864" path="m24480,0l12254,0,12139,0,0,0,0,864,12139,864,12254,864,24480,864,24480,0xe" filled="true" fillcolor="#105c84" stroked="false">
                  <v:path arrowok="t"/>
                  <v:fill type="solid"/>
                </v:shape>
                <v:shape style="position:absolute;left:0;top:0;width:12143;height:856" type="#_x0000_t75" id="docshape30" stroked="false">
                  <v:imagedata r:id="rId37" o:title=""/>
                </v:shape>
                <v:shapetype id="_x0000_t202" o:spt="202" coordsize="21600,21600" path="m,l,21600r21600,l21600,xe">
                  <v:stroke joinstyle="miter"/>
                  <v:path gradientshapeok="t" o:connecttype="rect"/>
                </v:shapetype>
                <v:shape style="position:absolute;left:1080;top:360;width:1659;height:274" type="#_x0000_t202" id="docshape31" filled="false" stroked="false">
                  <v:textbox inset="0,0,0,0">
                    <w:txbxContent>
                      <w:p>
                        <w:pPr>
                          <w:spacing w:before="12"/>
                          <w:ind w:left="0" w:right="0" w:firstLine="0"/>
                          <w:jc w:val="left"/>
                          <w:rPr>
                            <w:sz w:val="20"/>
                          </w:rPr>
                        </w:pPr>
                        <w:r>
                          <w:rPr>
                            <w:color w:val="FFFFFF"/>
                            <w:w w:val="105"/>
                            <w:sz w:val="20"/>
                          </w:rPr>
                          <w:t>Table</w:t>
                        </w:r>
                        <w:r>
                          <w:rPr>
                            <w:color w:val="FFFFFF"/>
                            <w:spacing w:val="-15"/>
                            <w:w w:val="105"/>
                            <w:sz w:val="20"/>
                          </w:rPr>
                          <w:t> </w:t>
                        </w:r>
                        <w:r>
                          <w:rPr>
                            <w:color w:val="FFFFFF"/>
                            <w:w w:val="105"/>
                            <w:sz w:val="20"/>
                          </w:rPr>
                          <w:t>of</w:t>
                        </w:r>
                        <w:r>
                          <w:rPr>
                            <w:color w:val="FFFFFF"/>
                            <w:spacing w:val="-14"/>
                            <w:w w:val="105"/>
                            <w:sz w:val="20"/>
                          </w:rPr>
                          <w:t> </w:t>
                        </w:r>
                        <w:r>
                          <w:rPr>
                            <w:color w:val="FFFFFF"/>
                            <w:spacing w:val="-2"/>
                            <w:w w:val="105"/>
                            <w:sz w:val="20"/>
                          </w:rPr>
                          <w:t>Contents</w:t>
                        </w:r>
                      </w:p>
                    </w:txbxContent>
                  </v:textbox>
                  <w10:wrap type="none"/>
                </v:shape>
                <v:shape style="position:absolute;left:17276;top:316;width:6150;height:274" type="#_x0000_t202" id="docshape32" filled="false" stroked="false">
                  <v:textbox inset="0,0,0,0">
                    <w:txbxContent>
                      <w:p>
                        <w:pPr>
                          <w:spacing w:before="12"/>
                          <w:ind w:left="0" w:right="0" w:firstLine="0"/>
                          <w:jc w:val="left"/>
                          <w:rPr>
                            <w:sz w:val="20"/>
                          </w:rPr>
                        </w:pPr>
                        <w:r>
                          <w:rPr>
                            <w:color w:val="FFFFFF"/>
                            <w:sz w:val="20"/>
                          </w:rPr>
                          <w:t>FINGER</w:t>
                        </w:r>
                        <w:r>
                          <w:rPr>
                            <w:color w:val="FFFFFF"/>
                            <w:spacing w:val="9"/>
                            <w:sz w:val="20"/>
                          </w:rPr>
                          <w:t> </w:t>
                        </w:r>
                        <w:r>
                          <w:rPr>
                            <w:color w:val="FFFFFF"/>
                            <w:sz w:val="20"/>
                          </w:rPr>
                          <w:t>LAKES</w:t>
                        </w:r>
                        <w:r>
                          <w:rPr>
                            <w:color w:val="FFFFFF"/>
                            <w:spacing w:val="9"/>
                            <w:sz w:val="20"/>
                          </w:rPr>
                          <w:t> </w:t>
                        </w:r>
                        <w:r>
                          <w:rPr>
                            <w:color w:val="FFFFFF"/>
                            <w:sz w:val="20"/>
                          </w:rPr>
                          <w:t>REGIONAL</w:t>
                        </w:r>
                        <w:r>
                          <w:rPr>
                            <w:color w:val="FFFFFF"/>
                            <w:spacing w:val="9"/>
                            <w:sz w:val="20"/>
                          </w:rPr>
                          <w:t> </w:t>
                        </w:r>
                        <w:r>
                          <w:rPr>
                            <w:color w:val="FFFFFF"/>
                            <w:sz w:val="20"/>
                          </w:rPr>
                          <w:t>COMMUNITY</w:t>
                        </w:r>
                        <w:r>
                          <w:rPr>
                            <w:color w:val="FFFFFF"/>
                            <w:spacing w:val="10"/>
                            <w:sz w:val="20"/>
                          </w:rPr>
                          <w:t> </w:t>
                        </w:r>
                        <w:r>
                          <w:rPr>
                            <w:color w:val="FFFFFF"/>
                            <w:sz w:val="20"/>
                          </w:rPr>
                          <w:t>HEALTH</w:t>
                        </w:r>
                        <w:r>
                          <w:rPr>
                            <w:color w:val="FFFFFF"/>
                            <w:spacing w:val="9"/>
                            <w:sz w:val="20"/>
                          </w:rPr>
                          <w:t> </w:t>
                        </w:r>
                        <w:r>
                          <w:rPr>
                            <w:color w:val="FFFFFF"/>
                            <w:spacing w:val="-2"/>
                            <w:sz w:val="20"/>
                          </w:rPr>
                          <w:t>ASSESSMENT</w:t>
                        </w:r>
                      </w:p>
                    </w:txbxContent>
                  </v:textbox>
                  <w10:wrap type="none"/>
                </v:shape>
                <w10:wrap type="none"/>
              </v:group>
            </w:pict>
          </mc:Fallback>
        </mc:AlternateContent>
      </w:r>
      <w:r>
        <w:rPr>
          <w:sz w:val="16"/>
        </w:rPr>
        <w:drawing>
          <wp:anchor distT="0" distB="0" distL="0" distR="0" allowOverlap="1" layoutInCell="1" locked="0" behindDoc="0" simplePos="0" relativeHeight="15731712">
            <wp:simplePos x="0" y="0"/>
            <wp:positionH relativeFrom="page">
              <wp:posOffset>14981556</wp:posOffset>
            </wp:positionH>
            <wp:positionV relativeFrom="page">
              <wp:posOffset>9668103</wp:posOffset>
            </wp:positionV>
            <wp:extent cx="563245" cy="184683"/>
            <wp:effectExtent l="0" t="0" r="0" b="0"/>
            <wp:wrapNone/>
            <wp:docPr id="33" name="Image 33"/>
            <wp:cNvGraphicFramePr>
              <a:graphicFrameLocks/>
            </wp:cNvGraphicFramePr>
            <a:graphic>
              <a:graphicData uri="http://schemas.openxmlformats.org/drawingml/2006/picture">
                <pic:pic>
                  <pic:nvPicPr>
                    <pic:cNvPr id="33" name="Image 33"/>
                    <pic:cNvPicPr/>
                  </pic:nvPicPr>
                  <pic:blipFill>
                    <a:blip r:embed="rId38" cstate="print"/>
                    <a:stretch>
                      <a:fillRect/>
                    </a:stretch>
                  </pic:blipFill>
                  <pic:spPr>
                    <a:xfrm>
                      <a:off x="0" y="0"/>
                      <a:ext cx="563245" cy="184683"/>
                    </a:xfrm>
                    <a:prstGeom prst="rect">
                      <a:avLst/>
                    </a:prstGeom>
                  </pic:spPr>
                </pic:pic>
              </a:graphicData>
            </a:graphic>
          </wp:anchor>
        </w:drawing>
      </w:r>
    </w:p>
    <w:p>
      <w:pPr>
        <w:pStyle w:val="BodyText"/>
        <w:rPr>
          <w:sz w:val="16"/>
        </w:rPr>
      </w:pPr>
    </w:p>
    <w:p>
      <w:pPr>
        <w:pStyle w:val="BodyText"/>
        <w:rPr>
          <w:sz w:val="16"/>
        </w:rPr>
      </w:pPr>
    </w:p>
    <w:p>
      <w:pPr>
        <w:pStyle w:val="BodyText"/>
        <w:spacing w:before="12"/>
        <w:rPr>
          <w:sz w:val="16"/>
        </w:rPr>
      </w:pPr>
    </w:p>
    <w:p>
      <w:pPr>
        <w:spacing w:line="182" w:lineRule="exact" w:before="1"/>
        <w:ind w:left="0" w:right="12629" w:firstLine="0"/>
        <w:jc w:val="right"/>
        <w:rPr>
          <w:sz w:val="16"/>
        </w:rPr>
      </w:pPr>
      <w:r>
        <w:rPr>
          <w:sz w:val="16"/>
        </w:rPr>
        <w:drawing>
          <wp:anchor distT="0" distB="0" distL="0" distR="0" allowOverlap="1" layoutInCell="1" locked="0" behindDoc="0" simplePos="0" relativeHeight="15732224">
            <wp:simplePos x="0" y="0"/>
            <wp:positionH relativeFrom="page">
              <wp:posOffset>0</wp:posOffset>
            </wp:positionH>
            <wp:positionV relativeFrom="paragraph">
              <wp:posOffset>13414</wp:posOffset>
            </wp:positionV>
            <wp:extent cx="568172" cy="184683"/>
            <wp:effectExtent l="0" t="0" r="0" b="0"/>
            <wp:wrapNone/>
            <wp:docPr id="34" name="Image 34"/>
            <wp:cNvGraphicFramePr>
              <a:graphicFrameLocks/>
            </wp:cNvGraphicFramePr>
            <a:graphic>
              <a:graphicData uri="http://schemas.openxmlformats.org/drawingml/2006/picture">
                <pic:pic>
                  <pic:nvPicPr>
                    <pic:cNvPr id="34" name="Image 34"/>
                    <pic:cNvPicPr/>
                  </pic:nvPicPr>
                  <pic:blipFill>
                    <a:blip r:embed="rId39" cstate="print"/>
                    <a:stretch>
                      <a:fillRect/>
                    </a:stretch>
                  </pic:blipFill>
                  <pic:spPr>
                    <a:xfrm>
                      <a:off x="0" y="0"/>
                      <a:ext cx="568172" cy="184683"/>
                    </a:xfrm>
                    <a:prstGeom prst="rect">
                      <a:avLst/>
                    </a:prstGeom>
                  </pic:spPr>
                </pic:pic>
              </a:graphicData>
            </a:graphic>
          </wp:anchor>
        </w:drawing>
      </w:r>
      <w:r>
        <w:rPr>
          <w:sz w:val="16"/>
        </w:rPr>
        <mc:AlternateContent>
          <mc:Choice Requires="wps">
            <w:drawing>
              <wp:anchor distT="0" distB="0" distL="0" distR="0" allowOverlap="1" layoutInCell="1" locked="0" behindDoc="0" simplePos="0" relativeHeight="15732736">
                <wp:simplePos x="0" y="0"/>
                <wp:positionH relativeFrom="page">
                  <wp:posOffset>769926</wp:posOffset>
                </wp:positionH>
                <wp:positionV relativeFrom="paragraph">
                  <wp:posOffset>1375</wp:posOffset>
                </wp:positionV>
                <wp:extent cx="97790" cy="226060"/>
                <wp:effectExtent l="0" t="0" r="0" b="0"/>
                <wp:wrapNone/>
                <wp:docPr id="35" name="Textbox 35"/>
                <wp:cNvGraphicFramePr>
                  <a:graphicFrameLocks/>
                </wp:cNvGraphicFramePr>
                <a:graphic>
                  <a:graphicData uri="http://schemas.microsoft.com/office/word/2010/wordprocessingShape">
                    <wps:wsp>
                      <wps:cNvPr id="35" name="Textbox 35"/>
                      <wps:cNvSpPr txBox="1"/>
                      <wps:spPr>
                        <a:xfrm>
                          <a:off x="0" y="0"/>
                          <a:ext cx="97790" cy="226060"/>
                        </a:xfrm>
                        <a:prstGeom prst="rect">
                          <a:avLst/>
                        </a:prstGeom>
                      </wps:spPr>
                      <wps:txbx>
                        <w:txbxContent>
                          <w:p>
                            <w:pPr>
                              <w:spacing w:before="16"/>
                              <w:ind w:left="0" w:right="0" w:firstLine="0"/>
                              <w:jc w:val="left"/>
                              <w:rPr>
                                <w:b/>
                                <w:sz w:val="26"/>
                              </w:rPr>
                            </w:pPr>
                            <w:r>
                              <w:rPr>
                                <w:b/>
                                <w:color w:val="939598"/>
                                <w:spacing w:val="-10"/>
                                <w:w w:val="105"/>
                                <w:sz w:val="26"/>
                              </w:rPr>
                              <w:t>1</w:t>
                            </w:r>
                          </w:p>
                        </w:txbxContent>
                      </wps:txbx>
                      <wps:bodyPr wrap="square" lIns="0" tIns="0" rIns="0" bIns="0" rtlCol="0">
                        <a:noAutofit/>
                      </wps:bodyPr>
                    </wps:wsp>
                  </a:graphicData>
                </a:graphic>
              </wp:anchor>
            </w:drawing>
          </mc:Choice>
          <mc:Fallback>
            <w:pict>
              <v:shape style="position:absolute;margin-left:60.6241pt;margin-top:.108281pt;width:7.7pt;height:17.8pt;mso-position-horizontal-relative:page;mso-position-vertical-relative:paragraph;z-index:15732736" type="#_x0000_t202" id="docshape33" filled="false" stroked="false">
                <v:textbox inset="0,0,0,0">
                  <w:txbxContent>
                    <w:p>
                      <w:pPr>
                        <w:spacing w:before="16"/>
                        <w:ind w:left="0" w:right="0" w:firstLine="0"/>
                        <w:jc w:val="left"/>
                        <w:rPr>
                          <w:b/>
                          <w:sz w:val="26"/>
                        </w:rPr>
                      </w:pPr>
                      <w:r>
                        <w:rPr>
                          <w:b/>
                          <w:color w:val="939598"/>
                          <w:spacing w:val="-10"/>
                          <w:w w:val="105"/>
                          <w:sz w:val="26"/>
                        </w:rPr>
                        <w:t>1</w:t>
                      </w:r>
                    </w:p>
                  </w:txbxContent>
                </v:textbox>
                <w10:wrap type="none"/>
              </v:shape>
            </w:pict>
          </mc:Fallback>
        </mc:AlternateContent>
      </w:r>
      <w:r>
        <w:rPr>
          <w:sz w:val="16"/>
        </w:rPr>
        <mc:AlternateContent>
          <mc:Choice Requires="wps">
            <w:drawing>
              <wp:anchor distT="0" distB="0" distL="0" distR="0" allowOverlap="1" layoutInCell="1" locked="0" behindDoc="0" simplePos="0" relativeHeight="15733248">
                <wp:simplePos x="0" y="0"/>
                <wp:positionH relativeFrom="page">
                  <wp:posOffset>14698495</wp:posOffset>
                </wp:positionH>
                <wp:positionV relativeFrom="paragraph">
                  <wp:posOffset>1375</wp:posOffset>
                </wp:positionV>
                <wp:extent cx="97790" cy="226060"/>
                <wp:effectExtent l="0" t="0" r="0" b="0"/>
                <wp:wrapNone/>
                <wp:docPr id="36" name="Textbox 36"/>
                <wp:cNvGraphicFramePr>
                  <a:graphicFrameLocks/>
                </wp:cNvGraphicFramePr>
                <a:graphic>
                  <a:graphicData uri="http://schemas.microsoft.com/office/word/2010/wordprocessingShape">
                    <wps:wsp>
                      <wps:cNvPr id="36" name="Textbox 36"/>
                      <wps:cNvSpPr txBox="1"/>
                      <wps:spPr>
                        <a:xfrm>
                          <a:off x="0" y="0"/>
                          <a:ext cx="97790" cy="226060"/>
                        </a:xfrm>
                        <a:prstGeom prst="rect">
                          <a:avLst/>
                        </a:prstGeom>
                      </wps:spPr>
                      <wps:txbx>
                        <w:txbxContent>
                          <w:p>
                            <w:pPr>
                              <w:spacing w:before="16"/>
                              <w:ind w:left="0" w:right="0" w:firstLine="0"/>
                              <w:jc w:val="left"/>
                              <w:rPr>
                                <w:b/>
                                <w:sz w:val="26"/>
                              </w:rPr>
                            </w:pPr>
                            <w:r>
                              <w:rPr>
                                <w:b/>
                                <w:color w:val="939598"/>
                                <w:spacing w:val="-10"/>
                                <w:w w:val="105"/>
                                <w:sz w:val="26"/>
                              </w:rPr>
                              <w:t>2</w:t>
                            </w:r>
                          </w:p>
                        </w:txbxContent>
                      </wps:txbx>
                      <wps:bodyPr wrap="square" lIns="0" tIns="0" rIns="0" bIns="0" rtlCol="0">
                        <a:noAutofit/>
                      </wps:bodyPr>
                    </wps:wsp>
                  </a:graphicData>
                </a:graphic>
              </wp:anchor>
            </w:drawing>
          </mc:Choice>
          <mc:Fallback>
            <w:pict>
              <v:shape style="position:absolute;margin-left:1157.361816pt;margin-top:.108281pt;width:7.7pt;height:17.8pt;mso-position-horizontal-relative:page;mso-position-vertical-relative:paragraph;z-index:15733248" type="#_x0000_t202" id="docshape34" filled="false" stroked="false">
                <v:textbox inset="0,0,0,0">
                  <w:txbxContent>
                    <w:p>
                      <w:pPr>
                        <w:spacing w:before="16"/>
                        <w:ind w:left="0" w:right="0" w:firstLine="0"/>
                        <w:jc w:val="left"/>
                        <w:rPr>
                          <w:b/>
                          <w:sz w:val="26"/>
                        </w:rPr>
                      </w:pPr>
                      <w:r>
                        <w:rPr>
                          <w:b/>
                          <w:color w:val="939598"/>
                          <w:spacing w:val="-10"/>
                          <w:w w:val="105"/>
                          <w:sz w:val="26"/>
                        </w:rPr>
                        <w:t>2</w:t>
                      </w:r>
                    </w:p>
                  </w:txbxContent>
                </v:textbox>
                <w10:wrap type="none"/>
              </v:shape>
            </w:pict>
          </mc:Fallback>
        </mc:AlternateContent>
      </w:r>
      <w:r>
        <w:rPr>
          <w:color w:val="0C5D86"/>
          <w:sz w:val="16"/>
        </w:rPr>
        <w:t>Cover</w:t>
      </w:r>
      <w:r>
        <w:rPr>
          <w:color w:val="0C5D86"/>
          <w:spacing w:val="3"/>
          <w:sz w:val="16"/>
        </w:rPr>
        <w:t> </w:t>
      </w:r>
      <w:r>
        <w:rPr>
          <w:color w:val="0C5D86"/>
          <w:sz w:val="16"/>
        </w:rPr>
        <w:t>photo</w:t>
      </w:r>
      <w:r>
        <w:rPr>
          <w:color w:val="0C5D86"/>
          <w:spacing w:val="3"/>
          <w:sz w:val="16"/>
        </w:rPr>
        <w:t> </w:t>
      </w:r>
      <w:r>
        <w:rPr>
          <w:color w:val="0C5D86"/>
          <w:sz w:val="16"/>
        </w:rPr>
        <w:t>courtesy</w:t>
      </w:r>
      <w:r>
        <w:rPr>
          <w:color w:val="0C5D86"/>
          <w:spacing w:val="4"/>
          <w:sz w:val="16"/>
        </w:rPr>
        <w:t> </w:t>
      </w:r>
      <w:r>
        <w:rPr>
          <w:color w:val="0C5D86"/>
          <w:sz w:val="16"/>
        </w:rPr>
        <w:t>of</w:t>
      </w:r>
      <w:r>
        <w:rPr>
          <w:color w:val="0C5D86"/>
          <w:spacing w:val="3"/>
          <w:sz w:val="16"/>
        </w:rPr>
        <w:t> </w:t>
      </w:r>
      <w:r>
        <w:rPr>
          <w:color w:val="0C5D86"/>
          <w:spacing w:val="-2"/>
          <w:sz w:val="16"/>
        </w:rPr>
        <w:t>VisitFingerLakes.com</w:t>
      </w:r>
    </w:p>
    <w:p>
      <w:pPr>
        <w:spacing w:line="182" w:lineRule="exact" w:before="0"/>
        <w:ind w:left="0" w:right="12629" w:firstLine="0"/>
        <w:jc w:val="right"/>
        <w:rPr>
          <w:sz w:val="16"/>
        </w:rPr>
      </w:pPr>
      <w:r>
        <w:rPr>
          <w:color w:val="0C5D86"/>
          <w:spacing w:val="-2"/>
          <w:sz w:val="16"/>
        </w:rPr>
        <w:t>Canandaigua</w:t>
      </w:r>
      <w:r>
        <w:rPr>
          <w:color w:val="0C5D86"/>
          <w:spacing w:val="-6"/>
          <w:sz w:val="16"/>
        </w:rPr>
        <w:t> </w:t>
      </w:r>
      <w:r>
        <w:rPr>
          <w:color w:val="0C5D86"/>
          <w:spacing w:val="-2"/>
          <w:sz w:val="16"/>
        </w:rPr>
        <w:t>Lake,</w:t>
      </w:r>
      <w:r>
        <w:rPr>
          <w:color w:val="0C5D86"/>
          <w:spacing w:val="-3"/>
          <w:sz w:val="16"/>
        </w:rPr>
        <w:t> </w:t>
      </w:r>
      <w:r>
        <w:rPr>
          <w:color w:val="0C5D86"/>
          <w:spacing w:val="-2"/>
          <w:sz w:val="16"/>
        </w:rPr>
        <w:t>Ontario</w:t>
      </w:r>
    </w:p>
    <w:p>
      <w:pPr>
        <w:spacing w:after="0" w:line="182" w:lineRule="exact"/>
        <w:jc w:val="right"/>
        <w:rPr>
          <w:sz w:val="16"/>
        </w:rPr>
        <w:sectPr>
          <w:type w:val="continuous"/>
          <w:pgSz w:w="24480" w:h="15840" w:orient="landscape"/>
          <w:pgMar w:top="0" w:bottom="280" w:left="0" w:right="7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90"/>
        <w:rPr>
          <w:sz w:val="20"/>
        </w:rPr>
      </w:pPr>
    </w:p>
    <w:p>
      <w:pPr>
        <w:pStyle w:val="BodyText"/>
        <w:spacing w:after="0"/>
        <w:rPr>
          <w:sz w:val="20"/>
        </w:rPr>
        <w:sectPr>
          <w:pgSz w:w="24480" w:h="15840" w:orient="landscape"/>
          <w:pgMar w:top="0" w:bottom="0" w:left="0" w:right="720"/>
        </w:sectPr>
      </w:pPr>
    </w:p>
    <w:p>
      <w:pPr>
        <w:pStyle w:val="Heading1"/>
      </w:pPr>
      <w:bookmarkStart w:name="_TOC_250018" w:id="1"/>
      <w:bookmarkEnd w:id="1"/>
      <w:r>
        <w:rPr>
          <w:color w:val="105C84"/>
          <w:spacing w:val="-2"/>
        </w:rPr>
        <w:t>INTRODUCTION</w:t>
      </w:r>
    </w:p>
    <w:p>
      <w:pPr>
        <w:pStyle w:val="BodyText"/>
        <w:spacing w:line="247" w:lineRule="auto" w:before="196"/>
        <w:ind w:left="1088" w:right="47"/>
      </w:pPr>
      <w:r>
        <w:rPr>
          <w:color w:val="105C84"/>
        </w:rPr>
        <w:t>The</w:t>
      </w:r>
      <w:r>
        <w:rPr>
          <w:color w:val="105C84"/>
          <w:spacing w:val="25"/>
        </w:rPr>
        <w:t> </w:t>
      </w:r>
      <w:r>
        <w:rPr>
          <w:color w:val="105C84"/>
        </w:rPr>
        <w:t>Prevention</w:t>
      </w:r>
      <w:r>
        <w:rPr>
          <w:color w:val="105C84"/>
          <w:spacing w:val="25"/>
        </w:rPr>
        <w:t> </w:t>
      </w:r>
      <w:r>
        <w:rPr>
          <w:color w:val="105C84"/>
        </w:rPr>
        <w:t>Agenda</w:t>
      </w:r>
      <w:r>
        <w:rPr>
          <w:color w:val="105C84"/>
          <w:spacing w:val="25"/>
        </w:rPr>
        <w:t> </w:t>
      </w:r>
      <w:r>
        <w:rPr>
          <w:color w:val="105C84"/>
        </w:rPr>
        <w:t>is</w:t>
      </w:r>
      <w:r>
        <w:rPr>
          <w:color w:val="105C84"/>
          <w:spacing w:val="25"/>
        </w:rPr>
        <w:t> </w:t>
      </w:r>
      <w:r>
        <w:rPr>
          <w:color w:val="105C84"/>
        </w:rPr>
        <w:t>New</w:t>
      </w:r>
      <w:r>
        <w:rPr>
          <w:color w:val="105C84"/>
          <w:spacing w:val="25"/>
        </w:rPr>
        <w:t> </w:t>
      </w:r>
      <w:r>
        <w:rPr>
          <w:color w:val="105C84"/>
        </w:rPr>
        <w:t>York</w:t>
      </w:r>
      <w:r>
        <w:rPr>
          <w:color w:val="105C84"/>
          <w:spacing w:val="25"/>
        </w:rPr>
        <w:t> </w:t>
      </w:r>
      <w:r>
        <w:rPr>
          <w:color w:val="105C84"/>
        </w:rPr>
        <w:t>State’s</w:t>
      </w:r>
      <w:r>
        <w:rPr>
          <w:color w:val="105C84"/>
          <w:spacing w:val="25"/>
        </w:rPr>
        <w:t> </w:t>
      </w:r>
      <w:r>
        <w:rPr>
          <w:color w:val="105C84"/>
        </w:rPr>
        <w:t>blueprint</w:t>
      </w:r>
      <w:r>
        <w:rPr>
          <w:color w:val="105C84"/>
          <w:spacing w:val="25"/>
        </w:rPr>
        <w:t> </w:t>
      </w:r>
      <w:r>
        <w:rPr>
          <w:color w:val="105C84"/>
        </w:rPr>
        <w:t>to</w:t>
      </w:r>
      <w:r>
        <w:rPr>
          <w:color w:val="105C84"/>
          <w:spacing w:val="25"/>
        </w:rPr>
        <w:t> </w:t>
      </w:r>
      <w:r>
        <w:rPr>
          <w:color w:val="105C84"/>
        </w:rPr>
        <w:t>help</w:t>
      </w:r>
      <w:r>
        <w:rPr>
          <w:color w:val="105C84"/>
          <w:spacing w:val="25"/>
        </w:rPr>
        <w:t> </w:t>
      </w:r>
      <w:r>
        <w:rPr>
          <w:color w:val="105C84"/>
        </w:rPr>
        <w:t>improve</w:t>
      </w:r>
      <w:r>
        <w:rPr>
          <w:color w:val="105C84"/>
          <w:spacing w:val="25"/>
        </w:rPr>
        <w:t> </w:t>
      </w:r>
      <w:r>
        <w:rPr>
          <w:color w:val="105C84"/>
        </w:rPr>
        <w:t>the</w:t>
      </w:r>
      <w:r>
        <w:rPr>
          <w:color w:val="105C84"/>
          <w:spacing w:val="25"/>
        </w:rPr>
        <w:t> </w:t>
      </w:r>
      <w:r>
        <w:rPr>
          <w:color w:val="105C84"/>
        </w:rPr>
        <w:t>health</w:t>
      </w:r>
      <w:r>
        <w:rPr>
          <w:color w:val="105C84"/>
          <w:spacing w:val="25"/>
        </w:rPr>
        <w:t> </w:t>
      </w:r>
      <w:r>
        <w:rPr>
          <w:color w:val="105C84"/>
        </w:rPr>
        <w:t>and</w:t>
      </w:r>
      <w:r>
        <w:rPr>
          <w:color w:val="105C84"/>
          <w:spacing w:val="25"/>
        </w:rPr>
        <w:t> </w:t>
      </w:r>
      <w:r>
        <w:rPr>
          <w:color w:val="105C84"/>
        </w:rPr>
        <w:t>well-being</w:t>
      </w:r>
      <w:r>
        <w:rPr>
          <w:color w:val="105C84"/>
          <w:spacing w:val="25"/>
        </w:rPr>
        <w:t> </w:t>
      </w:r>
      <w:r>
        <w:rPr>
          <w:color w:val="105C84"/>
        </w:rPr>
        <w:t>of</w:t>
      </w:r>
      <w:r>
        <w:rPr>
          <w:color w:val="105C84"/>
        </w:rPr>
        <w:t> its residents and promote health equity through state and local action. Every three years, New York State</w:t>
      </w:r>
      <w:r>
        <w:rPr>
          <w:color w:val="105C84"/>
          <w:spacing w:val="16"/>
        </w:rPr>
        <w:t> </w:t>
      </w:r>
      <w:r>
        <w:rPr>
          <w:color w:val="105C84"/>
        </w:rPr>
        <w:t>requests</w:t>
      </w:r>
      <w:r>
        <w:rPr>
          <w:color w:val="105C84"/>
          <w:spacing w:val="16"/>
        </w:rPr>
        <w:t> </w:t>
      </w:r>
      <w:r>
        <w:rPr>
          <w:color w:val="105C84"/>
        </w:rPr>
        <w:t>that</w:t>
      </w:r>
      <w:r>
        <w:rPr>
          <w:color w:val="105C84"/>
          <w:spacing w:val="16"/>
        </w:rPr>
        <w:t> </w:t>
      </w:r>
      <w:r>
        <w:rPr>
          <w:color w:val="105C84"/>
        </w:rPr>
        <w:t>local</w:t>
      </w:r>
      <w:r>
        <w:rPr>
          <w:color w:val="105C84"/>
          <w:spacing w:val="16"/>
        </w:rPr>
        <w:t> </w:t>
      </w:r>
      <w:r>
        <w:rPr>
          <w:color w:val="105C84"/>
        </w:rPr>
        <w:t>health</w:t>
      </w:r>
      <w:r>
        <w:rPr>
          <w:color w:val="105C84"/>
          <w:spacing w:val="16"/>
        </w:rPr>
        <w:t> </w:t>
      </w:r>
      <w:r>
        <w:rPr>
          <w:color w:val="105C84"/>
        </w:rPr>
        <w:t>departments</w:t>
      </w:r>
      <w:r>
        <w:rPr>
          <w:color w:val="105C84"/>
          <w:spacing w:val="16"/>
        </w:rPr>
        <w:t> </w:t>
      </w:r>
      <w:r>
        <w:rPr>
          <w:color w:val="105C84"/>
        </w:rPr>
        <w:t>and</w:t>
      </w:r>
      <w:r>
        <w:rPr>
          <w:color w:val="105C84"/>
          <w:spacing w:val="16"/>
        </w:rPr>
        <w:t> </w:t>
      </w:r>
      <w:r>
        <w:rPr>
          <w:color w:val="105C84"/>
        </w:rPr>
        <w:t>their</w:t>
      </w:r>
      <w:r>
        <w:rPr>
          <w:color w:val="105C84"/>
          <w:spacing w:val="16"/>
        </w:rPr>
        <w:t> </w:t>
      </w:r>
      <w:r>
        <w:rPr>
          <w:color w:val="105C84"/>
        </w:rPr>
        <w:t>local</w:t>
      </w:r>
      <w:r>
        <w:rPr>
          <w:color w:val="105C84"/>
          <w:spacing w:val="16"/>
        </w:rPr>
        <w:t> </w:t>
      </w:r>
      <w:r>
        <w:rPr>
          <w:color w:val="105C84"/>
        </w:rPr>
        <w:t>hospital</w:t>
      </w:r>
      <w:r>
        <w:rPr>
          <w:color w:val="105C84"/>
          <w:spacing w:val="16"/>
        </w:rPr>
        <w:t> </w:t>
      </w:r>
      <w:r>
        <w:rPr>
          <w:color w:val="105C84"/>
        </w:rPr>
        <w:t>systems</w:t>
      </w:r>
      <w:r>
        <w:rPr>
          <w:color w:val="105C84"/>
          <w:spacing w:val="16"/>
        </w:rPr>
        <w:t> </w:t>
      </w:r>
      <w:r>
        <w:rPr>
          <w:color w:val="105C84"/>
        </w:rPr>
        <w:t>work</w:t>
      </w:r>
      <w:r>
        <w:rPr>
          <w:color w:val="105C84"/>
          <w:spacing w:val="16"/>
        </w:rPr>
        <w:t> </w:t>
      </w:r>
      <w:r>
        <w:rPr>
          <w:color w:val="105C84"/>
        </w:rPr>
        <w:t>together</w:t>
      </w:r>
      <w:r>
        <w:rPr>
          <w:color w:val="105C84"/>
          <w:spacing w:val="16"/>
        </w:rPr>
        <w:t> </w:t>
      </w:r>
      <w:r>
        <w:rPr>
          <w:color w:val="105C84"/>
        </w:rPr>
        <w:t>to</w:t>
      </w:r>
      <w:r>
        <w:rPr>
          <w:color w:val="105C84"/>
          <w:spacing w:val="16"/>
        </w:rPr>
        <w:t> </w:t>
      </w:r>
      <w:r>
        <w:rPr>
          <w:color w:val="105C84"/>
        </w:rPr>
        <w:t>create</w:t>
      </w:r>
    </w:p>
    <w:p>
      <w:pPr>
        <w:pStyle w:val="BodyText"/>
        <w:spacing w:line="247" w:lineRule="auto"/>
        <w:ind w:left="1088"/>
      </w:pPr>
      <w:r>
        <w:rPr>
          <w:color w:val="105C84"/>
        </w:rPr>
        <w:t>a joint community health assessment and improvement plan using the Prevention Agenda guidelines. Local</w:t>
      </w:r>
      <w:r>
        <w:rPr>
          <w:color w:val="105C84"/>
          <w:spacing w:val="30"/>
        </w:rPr>
        <w:t> </w:t>
      </w:r>
      <w:r>
        <w:rPr>
          <w:color w:val="105C84"/>
        </w:rPr>
        <w:t>entities</w:t>
      </w:r>
      <w:r>
        <w:rPr>
          <w:color w:val="105C84"/>
          <w:spacing w:val="30"/>
        </w:rPr>
        <w:t> </w:t>
      </w:r>
      <w:r>
        <w:rPr>
          <w:color w:val="105C84"/>
        </w:rPr>
        <w:t>must</w:t>
      </w:r>
      <w:r>
        <w:rPr>
          <w:color w:val="105C84"/>
          <w:spacing w:val="30"/>
        </w:rPr>
        <w:t> </w:t>
      </w:r>
      <w:r>
        <w:rPr>
          <w:color w:val="105C84"/>
        </w:rPr>
        <w:t>choose</w:t>
      </w:r>
      <w:r>
        <w:rPr>
          <w:color w:val="105C84"/>
          <w:spacing w:val="30"/>
        </w:rPr>
        <w:t> </w:t>
      </w:r>
      <w:r>
        <w:rPr>
          <w:color w:val="105C84"/>
        </w:rPr>
        <w:t>two</w:t>
      </w:r>
      <w:r>
        <w:rPr>
          <w:color w:val="105C84"/>
          <w:spacing w:val="30"/>
        </w:rPr>
        <w:t> </w:t>
      </w:r>
      <w:r>
        <w:rPr>
          <w:color w:val="105C84"/>
        </w:rPr>
        <w:t>areas</w:t>
      </w:r>
      <w:r>
        <w:rPr>
          <w:color w:val="105C84"/>
          <w:spacing w:val="30"/>
        </w:rPr>
        <w:t> </w:t>
      </w:r>
      <w:r>
        <w:rPr>
          <w:color w:val="105C84"/>
        </w:rPr>
        <w:t>to</w:t>
      </w:r>
      <w:r>
        <w:rPr>
          <w:color w:val="105C84"/>
          <w:spacing w:val="30"/>
        </w:rPr>
        <w:t> </w:t>
      </w:r>
      <w:r>
        <w:rPr>
          <w:color w:val="105C84"/>
        </w:rPr>
        <w:t>focus</w:t>
      </w:r>
      <w:r>
        <w:rPr>
          <w:color w:val="105C84"/>
          <w:spacing w:val="30"/>
        </w:rPr>
        <w:t> </w:t>
      </w:r>
      <w:r>
        <w:rPr>
          <w:color w:val="105C84"/>
        </w:rPr>
        <w:t>community</w:t>
      </w:r>
      <w:r>
        <w:rPr>
          <w:color w:val="105C84"/>
          <w:spacing w:val="30"/>
        </w:rPr>
        <w:t> </w:t>
      </w:r>
      <w:r>
        <w:rPr>
          <w:color w:val="105C84"/>
        </w:rPr>
        <w:t>improvement</w:t>
      </w:r>
      <w:r>
        <w:rPr>
          <w:color w:val="105C84"/>
          <w:spacing w:val="30"/>
        </w:rPr>
        <w:t> </w:t>
      </w:r>
      <w:r>
        <w:rPr>
          <w:color w:val="105C84"/>
        </w:rPr>
        <w:t>efforts</w:t>
      </w:r>
      <w:r>
        <w:rPr>
          <w:color w:val="105C84"/>
          <w:spacing w:val="30"/>
        </w:rPr>
        <w:t> </w:t>
      </w:r>
      <w:r>
        <w:rPr>
          <w:color w:val="105C84"/>
        </w:rPr>
        <w:t>during</w:t>
      </w:r>
      <w:r>
        <w:rPr>
          <w:color w:val="105C84"/>
          <w:spacing w:val="30"/>
        </w:rPr>
        <w:t> </w:t>
      </w:r>
      <w:r>
        <w:rPr>
          <w:color w:val="105C84"/>
        </w:rPr>
        <w:t>the</w:t>
      </w:r>
      <w:r>
        <w:rPr>
          <w:color w:val="105C84"/>
          <w:spacing w:val="30"/>
        </w:rPr>
        <w:t> </w:t>
      </w:r>
      <w:r>
        <w:rPr>
          <w:color w:val="105C84"/>
        </w:rPr>
        <w:t>plan period. Local entities can choose from five priority areas:</w:t>
      </w:r>
    </w:p>
    <w:p>
      <w:pPr>
        <w:pStyle w:val="ListParagraph"/>
        <w:numPr>
          <w:ilvl w:val="0"/>
          <w:numId w:val="1"/>
        </w:numPr>
        <w:tabs>
          <w:tab w:pos="1527" w:val="left" w:leader="none"/>
        </w:tabs>
        <w:spacing w:line="240" w:lineRule="auto" w:before="177" w:after="0"/>
        <w:ind w:left="1527" w:right="0" w:hanging="239"/>
        <w:jc w:val="left"/>
        <w:rPr>
          <w:sz w:val="22"/>
        </w:rPr>
      </w:pPr>
      <w:r>
        <w:rPr>
          <w:color w:val="105C84"/>
          <w:sz w:val="22"/>
        </w:rPr>
        <w:t>Prevent</w:t>
      </w:r>
      <w:r>
        <w:rPr>
          <w:color w:val="105C84"/>
          <w:spacing w:val="-5"/>
          <w:sz w:val="22"/>
        </w:rPr>
        <w:t> </w:t>
      </w:r>
      <w:r>
        <w:rPr>
          <w:color w:val="105C84"/>
          <w:sz w:val="22"/>
        </w:rPr>
        <w:t>Chronic</w:t>
      </w:r>
      <w:r>
        <w:rPr>
          <w:color w:val="105C84"/>
          <w:spacing w:val="-5"/>
          <w:sz w:val="22"/>
        </w:rPr>
        <w:t> </w:t>
      </w:r>
      <w:r>
        <w:rPr>
          <w:color w:val="105C84"/>
          <w:spacing w:val="-2"/>
          <w:sz w:val="22"/>
        </w:rPr>
        <w:t>Diseases</w:t>
      </w:r>
    </w:p>
    <w:p>
      <w:pPr>
        <w:pStyle w:val="ListParagraph"/>
        <w:numPr>
          <w:ilvl w:val="0"/>
          <w:numId w:val="1"/>
        </w:numPr>
        <w:tabs>
          <w:tab w:pos="1527" w:val="left" w:leader="none"/>
        </w:tabs>
        <w:spacing w:line="240" w:lineRule="auto" w:before="187" w:after="0"/>
        <w:ind w:left="1527" w:right="0" w:hanging="239"/>
        <w:jc w:val="left"/>
        <w:rPr>
          <w:sz w:val="22"/>
        </w:rPr>
      </w:pPr>
      <w:r>
        <w:rPr>
          <w:color w:val="105C84"/>
          <w:sz w:val="22"/>
        </w:rPr>
        <w:t>Promote</w:t>
      </w:r>
      <w:r>
        <w:rPr>
          <w:color w:val="105C84"/>
          <w:spacing w:val="-1"/>
          <w:sz w:val="22"/>
        </w:rPr>
        <w:t> </w:t>
      </w:r>
      <w:r>
        <w:rPr>
          <w:color w:val="105C84"/>
          <w:sz w:val="22"/>
        </w:rPr>
        <w:t>a Healthy and Safe </w:t>
      </w:r>
      <w:r>
        <w:rPr>
          <w:color w:val="105C84"/>
          <w:spacing w:val="-2"/>
          <w:sz w:val="22"/>
        </w:rPr>
        <w:t>Environment</w:t>
      </w:r>
    </w:p>
    <w:p>
      <w:pPr>
        <w:pStyle w:val="ListParagraph"/>
        <w:numPr>
          <w:ilvl w:val="0"/>
          <w:numId w:val="1"/>
        </w:numPr>
        <w:tabs>
          <w:tab w:pos="1527" w:val="left" w:leader="none"/>
        </w:tabs>
        <w:spacing w:line="240" w:lineRule="auto" w:before="187" w:after="0"/>
        <w:ind w:left="1527" w:right="0" w:hanging="239"/>
        <w:jc w:val="left"/>
        <w:rPr>
          <w:sz w:val="22"/>
        </w:rPr>
      </w:pPr>
      <w:r>
        <w:rPr>
          <w:color w:val="105C84"/>
          <w:sz w:val="22"/>
        </w:rPr>
        <w:t>Promote</w:t>
      </w:r>
      <w:r>
        <w:rPr>
          <w:color w:val="105C84"/>
          <w:spacing w:val="8"/>
          <w:sz w:val="22"/>
        </w:rPr>
        <w:t> </w:t>
      </w:r>
      <w:r>
        <w:rPr>
          <w:color w:val="105C84"/>
          <w:sz w:val="22"/>
        </w:rPr>
        <w:t>Healthy</w:t>
      </w:r>
      <w:r>
        <w:rPr>
          <w:color w:val="105C84"/>
          <w:spacing w:val="9"/>
          <w:sz w:val="22"/>
        </w:rPr>
        <w:t> </w:t>
      </w:r>
      <w:r>
        <w:rPr>
          <w:color w:val="105C84"/>
          <w:sz w:val="22"/>
        </w:rPr>
        <w:t>Women,</w:t>
      </w:r>
      <w:r>
        <w:rPr>
          <w:color w:val="105C84"/>
          <w:spacing w:val="9"/>
          <w:sz w:val="22"/>
        </w:rPr>
        <w:t> </w:t>
      </w:r>
      <w:r>
        <w:rPr>
          <w:color w:val="105C84"/>
          <w:sz w:val="22"/>
        </w:rPr>
        <w:t>Infants</w:t>
      </w:r>
      <w:r>
        <w:rPr>
          <w:color w:val="105C84"/>
          <w:spacing w:val="9"/>
          <w:sz w:val="22"/>
        </w:rPr>
        <w:t> </w:t>
      </w:r>
      <w:r>
        <w:rPr>
          <w:color w:val="105C84"/>
          <w:sz w:val="22"/>
        </w:rPr>
        <w:t>and</w:t>
      </w:r>
      <w:r>
        <w:rPr>
          <w:color w:val="105C84"/>
          <w:spacing w:val="9"/>
          <w:sz w:val="22"/>
        </w:rPr>
        <w:t> </w:t>
      </w:r>
      <w:r>
        <w:rPr>
          <w:color w:val="105C84"/>
          <w:spacing w:val="-2"/>
          <w:sz w:val="22"/>
        </w:rPr>
        <w:t>Children</w:t>
      </w:r>
    </w:p>
    <w:p>
      <w:pPr>
        <w:pStyle w:val="ListParagraph"/>
        <w:numPr>
          <w:ilvl w:val="0"/>
          <w:numId w:val="1"/>
        </w:numPr>
        <w:tabs>
          <w:tab w:pos="1527" w:val="left" w:leader="none"/>
        </w:tabs>
        <w:spacing w:line="240" w:lineRule="auto" w:before="187" w:after="0"/>
        <w:ind w:left="1527" w:right="0" w:hanging="239"/>
        <w:jc w:val="left"/>
        <w:rPr>
          <w:sz w:val="22"/>
        </w:rPr>
      </w:pPr>
      <w:r>
        <w:rPr>
          <w:color w:val="105C84"/>
          <w:sz w:val="22"/>
        </w:rPr>
        <w:t>Promote</w:t>
      </w:r>
      <w:r>
        <w:rPr>
          <w:color w:val="105C84"/>
          <w:spacing w:val="4"/>
          <w:sz w:val="22"/>
        </w:rPr>
        <w:t> </w:t>
      </w:r>
      <w:r>
        <w:rPr>
          <w:color w:val="105C84"/>
          <w:sz w:val="22"/>
        </w:rPr>
        <w:t>Well-Being</w:t>
      </w:r>
      <w:r>
        <w:rPr>
          <w:color w:val="105C84"/>
          <w:spacing w:val="4"/>
          <w:sz w:val="22"/>
        </w:rPr>
        <w:t> </w:t>
      </w:r>
      <w:r>
        <w:rPr>
          <w:color w:val="105C84"/>
          <w:sz w:val="22"/>
        </w:rPr>
        <w:t>and</w:t>
      </w:r>
      <w:r>
        <w:rPr>
          <w:color w:val="105C84"/>
          <w:spacing w:val="4"/>
          <w:sz w:val="22"/>
        </w:rPr>
        <w:t> </w:t>
      </w:r>
      <w:r>
        <w:rPr>
          <w:color w:val="105C84"/>
          <w:sz w:val="22"/>
        </w:rPr>
        <w:t>Prevent</w:t>
      </w:r>
      <w:r>
        <w:rPr>
          <w:color w:val="105C84"/>
          <w:spacing w:val="4"/>
          <w:sz w:val="22"/>
        </w:rPr>
        <w:t> </w:t>
      </w:r>
      <w:r>
        <w:rPr>
          <w:color w:val="105C84"/>
          <w:sz w:val="22"/>
        </w:rPr>
        <w:t>Mental</w:t>
      </w:r>
      <w:r>
        <w:rPr>
          <w:color w:val="105C84"/>
          <w:spacing w:val="4"/>
          <w:sz w:val="22"/>
        </w:rPr>
        <w:t> </w:t>
      </w:r>
      <w:r>
        <w:rPr>
          <w:color w:val="105C84"/>
          <w:sz w:val="22"/>
        </w:rPr>
        <w:t>and</w:t>
      </w:r>
      <w:r>
        <w:rPr>
          <w:color w:val="105C84"/>
          <w:spacing w:val="5"/>
          <w:sz w:val="22"/>
        </w:rPr>
        <w:t> </w:t>
      </w:r>
      <w:r>
        <w:rPr>
          <w:color w:val="105C84"/>
          <w:sz w:val="22"/>
        </w:rPr>
        <w:t>Substance</w:t>
      </w:r>
      <w:r>
        <w:rPr>
          <w:color w:val="105C84"/>
          <w:spacing w:val="4"/>
          <w:sz w:val="22"/>
        </w:rPr>
        <w:t> </w:t>
      </w:r>
      <w:r>
        <w:rPr>
          <w:color w:val="105C84"/>
          <w:sz w:val="22"/>
        </w:rPr>
        <w:t>Use</w:t>
      </w:r>
      <w:r>
        <w:rPr>
          <w:color w:val="105C84"/>
          <w:spacing w:val="4"/>
          <w:sz w:val="22"/>
        </w:rPr>
        <w:t> </w:t>
      </w:r>
      <w:r>
        <w:rPr>
          <w:color w:val="105C84"/>
          <w:spacing w:val="-2"/>
          <w:sz w:val="22"/>
        </w:rPr>
        <w:t>Disorders</w:t>
      </w:r>
    </w:p>
    <w:p>
      <w:pPr>
        <w:pStyle w:val="ListParagraph"/>
        <w:numPr>
          <w:ilvl w:val="0"/>
          <w:numId w:val="1"/>
        </w:numPr>
        <w:tabs>
          <w:tab w:pos="1527" w:val="left" w:leader="none"/>
        </w:tabs>
        <w:spacing w:line="240" w:lineRule="auto" w:before="187" w:after="0"/>
        <w:ind w:left="1527" w:right="0" w:hanging="239"/>
        <w:jc w:val="left"/>
        <w:rPr>
          <w:sz w:val="22"/>
        </w:rPr>
      </w:pPr>
      <w:r>
        <w:rPr>
          <w:color w:val="105C84"/>
          <w:sz w:val="22"/>
        </w:rPr>
        <w:t>Prevent</w:t>
      </w:r>
      <w:r>
        <w:rPr>
          <w:color w:val="105C84"/>
          <w:spacing w:val="11"/>
          <w:sz w:val="22"/>
        </w:rPr>
        <w:t> </w:t>
      </w:r>
      <w:r>
        <w:rPr>
          <w:color w:val="105C84"/>
          <w:sz w:val="22"/>
        </w:rPr>
        <w:t>Communicable</w:t>
      </w:r>
      <w:r>
        <w:rPr>
          <w:color w:val="105C84"/>
          <w:spacing w:val="11"/>
          <w:sz w:val="22"/>
        </w:rPr>
        <w:t> </w:t>
      </w:r>
      <w:r>
        <w:rPr>
          <w:color w:val="105C84"/>
          <w:spacing w:val="-2"/>
          <w:sz w:val="22"/>
        </w:rPr>
        <w:t>Diseases</w:t>
      </w:r>
    </w:p>
    <w:p>
      <w:pPr>
        <w:pStyle w:val="BodyText"/>
        <w:spacing w:line="247" w:lineRule="auto" w:before="187"/>
        <w:ind w:left="1088"/>
      </w:pPr>
      <w:r>
        <w:rPr>
          <w:color w:val="105C84"/>
        </w:rPr>
        <w:t>During each new cycle, public health and hospital systems turn to key partners and community informants</w:t>
      </w:r>
      <w:r>
        <w:rPr>
          <w:color w:val="105C84"/>
          <w:spacing w:val="34"/>
        </w:rPr>
        <w:t> </w:t>
      </w:r>
      <w:r>
        <w:rPr>
          <w:color w:val="105C84"/>
        </w:rPr>
        <w:t>to</w:t>
      </w:r>
      <w:r>
        <w:rPr>
          <w:color w:val="105C84"/>
          <w:spacing w:val="34"/>
        </w:rPr>
        <w:t> </w:t>
      </w:r>
      <w:r>
        <w:rPr>
          <w:color w:val="105C84"/>
        </w:rPr>
        <w:t>help</w:t>
      </w:r>
      <w:r>
        <w:rPr>
          <w:color w:val="105C84"/>
          <w:spacing w:val="34"/>
        </w:rPr>
        <w:t> </w:t>
      </w:r>
      <w:r>
        <w:rPr>
          <w:color w:val="105C84"/>
        </w:rPr>
        <w:t>determine</w:t>
      </w:r>
      <w:r>
        <w:rPr>
          <w:color w:val="105C84"/>
          <w:spacing w:val="34"/>
        </w:rPr>
        <w:t> </w:t>
      </w:r>
      <w:r>
        <w:rPr>
          <w:color w:val="105C84"/>
        </w:rPr>
        <w:t>what</w:t>
      </w:r>
      <w:r>
        <w:rPr>
          <w:color w:val="105C84"/>
          <w:spacing w:val="34"/>
        </w:rPr>
        <w:t> </w:t>
      </w:r>
      <w:r>
        <w:rPr>
          <w:color w:val="105C84"/>
        </w:rPr>
        <w:t>the</w:t>
      </w:r>
      <w:r>
        <w:rPr>
          <w:color w:val="105C84"/>
          <w:spacing w:val="34"/>
        </w:rPr>
        <w:t> </w:t>
      </w:r>
      <w:r>
        <w:rPr>
          <w:color w:val="105C84"/>
        </w:rPr>
        <w:t>course</w:t>
      </w:r>
      <w:r>
        <w:rPr>
          <w:color w:val="105C84"/>
          <w:spacing w:val="34"/>
        </w:rPr>
        <w:t> </w:t>
      </w:r>
      <w:r>
        <w:rPr>
          <w:color w:val="105C84"/>
        </w:rPr>
        <w:t>of</w:t>
      </w:r>
      <w:r>
        <w:rPr>
          <w:color w:val="105C84"/>
          <w:spacing w:val="34"/>
        </w:rPr>
        <w:t> </w:t>
      </w:r>
      <w:r>
        <w:rPr>
          <w:color w:val="105C84"/>
        </w:rPr>
        <w:t>action</w:t>
      </w:r>
      <w:r>
        <w:rPr>
          <w:color w:val="105C84"/>
          <w:spacing w:val="34"/>
        </w:rPr>
        <w:t> </w:t>
      </w:r>
      <w:r>
        <w:rPr>
          <w:color w:val="105C84"/>
        </w:rPr>
        <w:t>ought</w:t>
      </w:r>
      <w:r>
        <w:rPr>
          <w:color w:val="105C84"/>
          <w:spacing w:val="34"/>
        </w:rPr>
        <w:t> </w:t>
      </w:r>
      <w:r>
        <w:rPr>
          <w:color w:val="105C84"/>
        </w:rPr>
        <w:t>to</w:t>
      </w:r>
      <w:r>
        <w:rPr>
          <w:color w:val="105C84"/>
          <w:spacing w:val="34"/>
        </w:rPr>
        <w:t> </w:t>
      </w:r>
      <w:r>
        <w:rPr>
          <w:color w:val="105C84"/>
        </w:rPr>
        <w:t>be</w:t>
      </w:r>
      <w:r>
        <w:rPr>
          <w:color w:val="105C84"/>
          <w:spacing w:val="34"/>
        </w:rPr>
        <w:t> </w:t>
      </w:r>
      <w:r>
        <w:rPr>
          <w:color w:val="105C84"/>
        </w:rPr>
        <w:t>to</w:t>
      </w:r>
      <w:r>
        <w:rPr>
          <w:color w:val="105C84"/>
          <w:spacing w:val="34"/>
        </w:rPr>
        <w:t> </w:t>
      </w:r>
      <w:r>
        <w:rPr>
          <w:color w:val="105C84"/>
        </w:rPr>
        <w:t>improve</w:t>
      </w:r>
      <w:r>
        <w:rPr>
          <w:color w:val="105C84"/>
          <w:spacing w:val="34"/>
        </w:rPr>
        <w:t> </w:t>
      </w:r>
      <w:r>
        <w:rPr>
          <w:color w:val="105C84"/>
        </w:rPr>
        <w:t>the</w:t>
      </w:r>
      <w:r>
        <w:rPr>
          <w:color w:val="105C84"/>
          <w:spacing w:val="34"/>
        </w:rPr>
        <w:t> </w:t>
      </w:r>
      <w:r>
        <w:rPr>
          <w:color w:val="105C84"/>
        </w:rPr>
        <w:t>population’s health.</w:t>
      </w:r>
      <w:r>
        <w:rPr>
          <w:color w:val="105C84"/>
          <w:spacing w:val="38"/>
        </w:rPr>
        <w:t> </w:t>
      </w:r>
      <w:r>
        <w:rPr>
          <w:color w:val="105C84"/>
        </w:rPr>
        <w:t>The</w:t>
      </w:r>
      <w:r>
        <w:rPr>
          <w:color w:val="105C84"/>
          <w:spacing w:val="38"/>
        </w:rPr>
        <w:t> </w:t>
      </w:r>
      <w:r>
        <w:rPr>
          <w:color w:val="105C84"/>
        </w:rPr>
        <w:t>following</w:t>
      </w:r>
      <w:r>
        <w:rPr>
          <w:color w:val="105C84"/>
          <w:spacing w:val="38"/>
        </w:rPr>
        <w:t> </w:t>
      </w:r>
      <w:r>
        <w:rPr>
          <w:color w:val="105C84"/>
        </w:rPr>
        <w:t>report</w:t>
      </w:r>
      <w:r>
        <w:rPr>
          <w:color w:val="105C84"/>
          <w:spacing w:val="38"/>
        </w:rPr>
        <w:t> </w:t>
      </w:r>
      <w:r>
        <w:rPr>
          <w:color w:val="105C84"/>
        </w:rPr>
        <w:t>summarizes</w:t>
      </w:r>
      <w:r>
        <w:rPr>
          <w:color w:val="105C84"/>
          <w:spacing w:val="38"/>
        </w:rPr>
        <w:t> </w:t>
      </w:r>
      <w:r>
        <w:rPr>
          <w:color w:val="105C84"/>
        </w:rPr>
        <w:t>pertinent</w:t>
      </w:r>
      <w:r>
        <w:rPr>
          <w:color w:val="105C84"/>
          <w:spacing w:val="38"/>
        </w:rPr>
        <w:t> </w:t>
      </w:r>
      <w:r>
        <w:rPr>
          <w:color w:val="105C84"/>
        </w:rPr>
        <w:t>information</w:t>
      </w:r>
      <w:r>
        <w:rPr>
          <w:color w:val="105C84"/>
          <w:spacing w:val="38"/>
        </w:rPr>
        <w:t> </w:t>
      </w:r>
      <w:r>
        <w:rPr>
          <w:color w:val="105C84"/>
        </w:rPr>
        <w:t>relating</w:t>
      </w:r>
      <w:r>
        <w:rPr>
          <w:color w:val="105C84"/>
          <w:spacing w:val="38"/>
        </w:rPr>
        <w:t> </w:t>
      </w:r>
      <w:r>
        <w:rPr>
          <w:color w:val="105C84"/>
        </w:rPr>
        <w:t>to</w:t>
      </w:r>
      <w:r>
        <w:rPr>
          <w:color w:val="105C84"/>
          <w:spacing w:val="38"/>
        </w:rPr>
        <w:t> </w:t>
      </w:r>
      <w:r>
        <w:rPr>
          <w:color w:val="105C84"/>
        </w:rPr>
        <w:t>the</w:t>
      </w:r>
      <w:r>
        <w:rPr>
          <w:color w:val="105C84"/>
          <w:spacing w:val="38"/>
        </w:rPr>
        <w:t> </w:t>
      </w:r>
      <w:r>
        <w:rPr>
          <w:color w:val="105C84"/>
        </w:rPr>
        <w:t>above</w:t>
      </w:r>
      <w:r>
        <w:rPr>
          <w:color w:val="105C84"/>
          <w:spacing w:val="38"/>
        </w:rPr>
        <w:t> </w:t>
      </w:r>
      <w:r>
        <w:rPr>
          <w:color w:val="105C84"/>
        </w:rPr>
        <w:t>priority</w:t>
      </w:r>
      <w:r>
        <w:rPr>
          <w:color w:val="105C84"/>
          <w:spacing w:val="38"/>
        </w:rPr>
        <w:t> </w:t>
      </w:r>
      <w:r>
        <w:rPr>
          <w:color w:val="105C84"/>
        </w:rPr>
        <w:t>areas and contains eight county chapters, which discuss local health challenges, assets and resources and selected interventions to improve community health.</w:t>
      </w:r>
    </w:p>
    <w:p>
      <w:pPr>
        <w:spacing w:before="137"/>
        <w:ind w:left="1088" w:right="0" w:firstLine="0"/>
        <w:jc w:val="left"/>
        <w:rPr>
          <w:sz w:val="60"/>
        </w:rPr>
      </w:pPr>
      <w:r>
        <w:rPr/>
        <w:br w:type="column"/>
      </w:r>
      <w:r>
        <w:rPr>
          <w:color w:val="105C84"/>
          <w:spacing w:val="-17"/>
          <w:sz w:val="60"/>
        </w:rPr>
        <w:t>KEY</w:t>
      </w:r>
      <w:r>
        <w:rPr>
          <w:color w:val="105C84"/>
          <w:spacing w:val="-23"/>
          <w:sz w:val="60"/>
        </w:rPr>
        <w:t> </w:t>
      </w:r>
      <w:r>
        <w:rPr>
          <w:color w:val="105C84"/>
          <w:spacing w:val="-2"/>
          <w:sz w:val="60"/>
        </w:rPr>
        <w:t>FINDINGS</w:t>
      </w:r>
    </w:p>
    <w:p>
      <w:pPr>
        <w:spacing w:before="493"/>
        <w:ind w:left="1088" w:right="0" w:firstLine="0"/>
        <w:jc w:val="left"/>
        <w:rPr>
          <w:b/>
          <w:sz w:val="32"/>
        </w:rPr>
      </w:pPr>
      <w:r>
        <w:rPr>
          <w:b/>
          <w:color w:val="82BF6A"/>
          <w:sz w:val="32"/>
        </w:rPr>
        <w:t>EIGHT</w:t>
      </w:r>
      <w:r>
        <w:rPr>
          <w:b/>
          <w:color w:val="82BF6A"/>
          <w:spacing w:val="-10"/>
          <w:sz w:val="32"/>
        </w:rPr>
        <w:t> </w:t>
      </w:r>
      <w:r>
        <w:rPr>
          <w:b/>
          <w:color w:val="82BF6A"/>
          <w:sz w:val="32"/>
        </w:rPr>
        <w:t>COUNTY</w:t>
      </w:r>
      <w:r>
        <w:rPr>
          <w:b/>
          <w:color w:val="82BF6A"/>
          <w:spacing w:val="-10"/>
          <w:sz w:val="32"/>
        </w:rPr>
        <w:t> </w:t>
      </w:r>
      <w:r>
        <w:rPr>
          <w:b/>
          <w:color w:val="82BF6A"/>
          <w:spacing w:val="-2"/>
          <w:sz w:val="32"/>
        </w:rPr>
        <w:t>REGION</w:t>
      </w:r>
    </w:p>
    <w:p>
      <w:pPr>
        <w:pStyle w:val="BodyText"/>
        <w:spacing w:line="247" w:lineRule="auto" w:before="166"/>
        <w:ind w:left="1088" w:right="462"/>
      </w:pPr>
      <w:r>
        <w:rPr>
          <w:color w:val="105C84"/>
        </w:rPr>
        <w:t>The</w:t>
      </w:r>
      <w:r>
        <w:rPr>
          <w:color w:val="105C84"/>
          <w:spacing w:val="18"/>
        </w:rPr>
        <w:t> </w:t>
      </w:r>
      <w:r>
        <w:rPr>
          <w:color w:val="105C84"/>
        </w:rPr>
        <w:t>total</w:t>
      </w:r>
      <w:r>
        <w:rPr>
          <w:color w:val="105C84"/>
          <w:spacing w:val="18"/>
        </w:rPr>
        <w:t> </w:t>
      </w:r>
      <w:r>
        <w:rPr>
          <w:color w:val="105C84"/>
        </w:rPr>
        <w:t>population</w:t>
      </w:r>
      <w:r>
        <w:rPr>
          <w:color w:val="105C84"/>
          <w:spacing w:val="18"/>
        </w:rPr>
        <w:t> </w:t>
      </w:r>
      <w:r>
        <w:rPr>
          <w:color w:val="105C84"/>
        </w:rPr>
        <w:t>in</w:t>
      </w:r>
      <w:r>
        <w:rPr>
          <w:color w:val="105C84"/>
          <w:spacing w:val="18"/>
        </w:rPr>
        <w:t> </w:t>
      </w:r>
      <w:r>
        <w:rPr>
          <w:color w:val="105C84"/>
        </w:rPr>
        <w:t>the</w:t>
      </w:r>
      <w:r>
        <w:rPr>
          <w:color w:val="105C84"/>
          <w:spacing w:val="18"/>
        </w:rPr>
        <w:t> </w:t>
      </w:r>
      <w:r>
        <w:rPr>
          <w:color w:val="105C84"/>
        </w:rPr>
        <w:t>region</w:t>
      </w:r>
      <w:r>
        <w:rPr>
          <w:color w:val="105C84"/>
          <w:spacing w:val="18"/>
        </w:rPr>
        <w:t> </w:t>
      </w:r>
      <w:r>
        <w:rPr>
          <w:color w:val="105C84"/>
        </w:rPr>
        <w:t>has</w:t>
      </w:r>
      <w:r>
        <w:rPr>
          <w:color w:val="105C84"/>
          <w:spacing w:val="18"/>
        </w:rPr>
        <w:t> </w:t>
      </w:r>
      <w:r>
        <w:rPr>
          <w:color w:val="105C84"/>
        </w:rPr>
        <w:t>increased</w:t>
      </w:r>
      <w:r>
        <w:rPr>
          <w:color w:val="105C84"/>
          <w:spacing w:val="18"/>
        </w:rPr>
        <w:t> </w:t>
      </w:r>
      <w:r>
        <w:rPr>
          <w:color w:val="105C84"/>
        </w:rPr>
        <w:t>since</w:t>
      </w:r>
      <w:r>
        <w:rPr>
          <w:color w:val="105C84"/>
          <w:spacing w:val="18"/>
        </w:rPr>
        <w:t> </w:t>
      </w:r>
      <w:r>
        <w:rPr>
          <w:color w:val="105C84"/>
        </w:rPr>
        <w:t>1990.</w:t>
      </w:r>
      <w:r>
        <w:rPr>
          <w:color w:val="105C84"/>
          <w:spacing w:val="18"/>
        </w:rPr>
        <w:t> </w:t>
      </w:r>
      <w:r>
        <w:rPr>
          <w:color w:val="105C84"/>
        </w:rPr>
        <w:t>Over</w:t>
      </w:r>
      <w:r>
        <w:rPr>
          <w:color w:val="105C84"/>
          <w:spacing w:val="18"/>
        </w:rPr>
        <w:t> </w:t>
      </w:r>
      <w:r>
        <w:rPr>
          <w:color w:val="105C84"/>
        </w:rPr>
        <w:t>the</w:t>
      </w:r>
      <w:r>
        <w:rPr>
          <w:color w:val="105C84"/>
          <w:spacing w:val="18"/>
        </w:rPr>
        <w:t> </w:t>
      </w:r>
      <w:r>
        <w:rPr>
          <w:color w:val="105C84"/>
        </w:rPr>
        <w:t>next</w:t>
      </w:r>
      <w:r>
        <w:rPr>
          <w:color w:val="105C84"/>
          <w:spacing w:val="18"/>
        </w:rPr>
        <w:t> </w:t>
      </w:r>
      <w:r>
        <w:rPr>
          <w:color w:val="105C84"/>
        </w:rPr>
        <w:t>ten</w:t>
      </w:r>
      <w:r>
        <w:rPr>
          <w:color w:val="105C84"/>
          <w:spacing w:val="18"/>
        </w:rPr>
        <w:t> </w:t>
      </w:r>
      <w:r>
        <w:rPr>
          <w:color w:val="105C84"/>
        </w:rPr>
        <w:t>years,</w:t>
      </w:r>
      <w:r>
        <w:rPr>
          <w:color w:val="105C84"/>
          <w:spacing w:val="18"/>
        </w:rPr>
        <w:t> </w:t>
      </w:r>
      <w:r>
        <w:rPr>
          <w:color w:val="105C84"/>
        </w:rPr>
        <w:t>however, Cornell University’s Program on Applied Demographics projects a decrease in the overall population</w:t>
      </w:r>
      <w:r>
        <w:rPr>
          <w:color w:val="105C84"/>
          <w:spacing w:val="40"/>
        </w:rPr>
        <w:t> </w:t>
      </w:r>
      <w:r>
        <w:rPr>
          <w:color w:val="105C84"/>
        </w:rPr>
        <w:t>with an increase in the aging (65+) population. The most recent American Community Survey reports that</w:t>
      </w:r>
      <w:r>
        <w:rPr>
          <w:color w:val="105C84"/>
          <w:spacing w:val="23"/>
        </w:rPr>
        <w:t> </w:t>
      </w:r>
      <w:r>
        <w:rPr>
          <w:color w:val="105C84"/>
        </w:rPr>
        <w:t>92%</w:t>
      </w:r>
      <w:r>
        <w:rPr>
          <w:color w:val="105C84"/>
          <w:spacing w:val="23"/>
        </w:rPr>
        <w:t> </w:t>
      </w:r>
      <w:r>
        <w:rPr>
          <w:color w:val="105C84"/>
        </w:rPr>
        <w:t>of</w:t>
      </w:r>
      <w:r>
        <w:rPr>
          <w:color w:val="105C84"/>
          <w:spacing w:val="23"/>
        </w:rPr>
        <w:t> </w:t>
      </w:r>
      <w:r>
        <w:rPr>
          <w:color w:val="105C84"/>
        </w:rPr>
        <w:t>the</w:t>
      </w:r>
      <w:r>
        <w:rPr>
          <w:color w:val="105C84"/>
          <w:spacing w:val="23"/>
        </w:rPr>
        <w:t> </w:t>
      </w:r>
      <w:r>
        <w:rPr>
          <w:color w:val="105C84"/>
        </w:rPr>
        <w:t>region’s</w:t>
      </w:r>
      <w:r>
        <w:rPr>
          <w:color w:val="105C84"/>
          <w:spacing w:val="23"/>
        </w:rPr>
        <w:t> </w:t>
      </w:r>
      <w:r>
        <w:rPr>
          <w:color w:val="105C84"/>
        </w:rPr>
        <w:t>residents</w:t>
      </w:r>
      <w:r>
        <w:rPr>
          <w:color w:val="105C84"/>
          <w:spacing w:val="23"/>
        </w:rPr>
        <w:t> </w:t>
      </w:r>
      <w:r>
        <w:rPr>
          <w:color w:val="105C84"/>
        </w:rPr>
        <w:t>are</w:t>
      </w:r>
      <w:r>
        <w:rPr>
          <w:color w:val="105C84"/>
          <w:spacing w:val="23"/>
        </w:rPr>
        <w:t> </w:t>
      </w:r>
      <w:r>
        <w:rPr>
          <w:color w:val="105C84"/>
        </w:rPr>
        <w:t>white</w:t>
      </w:r>
      <w:r>
        <w:rPr>
          <w:color w:val="105C84"/>
          <w:spacing w:val="23"/>
        </w:rPr>
        <w:t> </w:t>
      </w:r>
      <w:r>
        <w:rPr>
          <w:color w:val="105C84"/>
        </w:rPr>
        <w:t>non-Hispanic.</w:t>
      </w:r>
      <w:r>
        <w:rPr>
          <w:color w:val="105C84"/>
          <w:spacing w:val="23"/>
        </w:rPr>
        <w:t> </w:t>
      </w:r>
      <w:r>
        <w:rPr>
          <w:color w:val="105C84"/>
        </w:rPr>
        <w:t>However,</w:t>
      </w:r>
      <w:r>
        <w:rPr>
          <w:color w:val="105C84"/>
          <w:spacing w:val="23"/>
        </w:rPr>
        <w:t> </w:t>
      </w:r>
      <w:r>
        <w:rPr>
          <w:color w:val="105C84"/>
        </w:rPr>
        <w:t>the</w:t>
      </w:r>
      <w:r>
        <w:rPr>
          <w:color w:val="105C84"/>
          <w:spacing w:val="23"/>
        </w:rPr>
        <w:t> </w:t>
      </w:r>
      <w:r>
        <w:rPr>
          <w:color w:val="105C84"/>
        </w:rPr>
        <w:t>community</w:t>
      </w:r>
      <w:r>
        <w:rPr>
          <w:color w:val="105C84"/>
          <w:spacing w:val="23"/>
        </w:rPr>
        <w:t> </w:t>
      </w:r>
      <w:r>
        <w:rPr>
          <w:color w:val="105C84"/>
        </w:rPr>
        <w:t>is</w:t>
      </w:r>
      <w:r>
        <w:rPr>
          <w:color w:val="105C84"/>
          <w:spacing w:val="23"/>
        </w:rPr>
        <w:t> </w:t>
      </w:r>
      <w:r>
        <w:rPr>
          <w:color w:val="105C84"/>
        </w:rPr>
        <w:t>becoming more diverse. Since 1990, there has been a 63% regional growth in the Hispanic population and a</w:t>
      </w:r>
      <w:r>
        <w:rPr>
          <w:color w:val="105C84"/>
          <w:spacing w:val="40"/>
        </w:rPr>
        <w:t> </w:t>
      </w:r>
      <w:r>
        <w:rPr>
          <w:color w:val="105C84"/>
        </w:rPr>
        <w:t>32%</w:t>
      </w:r>
      <w:r>
        <w:rPr>
          <w:color w:val="105C84"/>
          <w:spacing w:val="32"/>
        </w:rPr>
        <w:t> </w:t>
      </w:r>
      <w:r>
        <w:rPr>
          <w:color w:val="105C84"/>
        </w:rPr>
        <w:t>regional</w:t>
      </w:r>
      <w:r>
        <w:rPr>
          <w:color w:val="105C84"/>
          <w:spacing w:val="32"/>
        </w:rPr>
        <w:t> </w:t>
      </w:r>
      <w:r>
        <w:rPr>
          <w:color w:val="105C84"/>
        </w:rPr>
        <w:t>growth</w:t>
      </w:r>
      <w:r>
        <w:rPr>
          <w:color w:val="105C84"/>
          <w:spacing w:val="32"/>
        </w:rPr>
        <w:t> </w:t>
      </w:r>
      <w:r>
        <w:rPr>
          <w:color w:val="105C84"/>
        </w:rPr>
        <w:t>in</w:t>
      </w:r>
      <w:r>
        <w:rPr>
          <w:color w:val="105C84"/>
          <w:spacing w:val="32"/>
        </w:rPr>
        <w:t> </w:t>
      </w:r>
      <w:r>
        <w:rPr>
          <w:color w:val="105C84"/>
        </w:rPr>
        <w:t>the</w:t>
      </w:r>
      <w:r>
        <w:rPr>
          <w:color w:val="105C84"/>
          <w:spacing w:val="32"/>
        </w:rPr>
        <w:t> </w:t>
      </w:r>
      <w:r>
        <w:rPr>
          <w:color w:val="105C84"/>
        </w:rPr>
        <w:t>African</w:t>
      </w:r>
      <w:r>
        <w:rPr>
          <w:color w:val="105C84"/>
          <w:spacing w:val="32"/>
        </w:rPr>
        <w:t> </w:t>
      </w:r>
      <w:r>
        <w:rPr>
          <w:color w:val="105C84"/>
        </w:rPr>
        <w:t>American</w:t>
      </w:r>
      <w:r>
        <w:rPr>
          <w:color w:val="105C84"/>
          <w:spacing w:val="32"/>
        </w:rPr>
        <w:t> </w:t>
      </w:r>
      <w:r>
        <w:rPr>
          <w:color w:val="105C84"/>
        </w:rPr>
        <w:t>population.</w:t>
      </w:r>
      <w:r>
        <w:rPr>
          <w:color w:val="105C84"/>
          <w:spacing w:val="32"/>
        </w:rPr>
        <w:t> </w:t>
      </w:r>
      <w:r>
        <w:rPr>
          <w:color w:val="105C84"/>
        </w:rPr>
        <w:t>In</w:t>
      </w:r>
      <w:r>
        <w:rPr>
          <w:color w:val="105C84"/>
          <w:spacing w:val="32"/>
        </w:rPr>
        <w:t> </w:t>
      </w:r>
      <w:r>
        <w:rPr>
          <w:color w:val="105C84"/>
        </w:rPr>
        <w:t>addition,</w:t>
      </w:r>
      <w:r>
        <w:rPr>
          <w:color w:val="105C84"/>
          <w:spacing w:val="32"/>
        </w:rPr>
        <w:t> </w:t>
      </w:r>
      <w:r>
        <w:rPr>
          <w:color w:val="105C84"/>
        </w:rPr>
        <w:t>there</w:t>
      </w:r>
      <w:r>
        <w:rPr>
          <w:color w:val="105C84"/>
          <w:spacing w:val="32"/>
        </w:rPr>
        <w:t> </w:t>
      </w:r>
      <w:r>
        <w:rPr>
          <w:color w:val="105C84"/>
        </w:rPr>
        <w:t>is</w:t>
      </w:r>
      <w:r>
        <w:rPr>
          <w:color w:val="105C84"/>
          <w:spacing w:val="32"/>
        </w:rPr>
        <w:t> </w:t>
      </w:r>
      <w:r>
        <w:rPr>
          <w:color w:val="105C84"/>
        </w:rPr>
        <w:t>anecdotal</w:t>
      </w:r>
      <w:r>
        <w:rPr>
          <w:color w:val="105C84"/>
          <w:spacing w:val="32"/>
        </w:rPr>
        <w:t> </w:t>
      </w:r>
      <w:r>
        <w:rPr>
          <w:color w:val="105C84"/>
        </w:rPr>
        <w:t>evidence</w:t>
      </w:r>
    </w:p>
    <w:p>
      <w:pPr>
        <w:pStyle w:val="BodyText"/>
        <w:spacing w:line="247" w:lineRule="auto"/>
        <w:ind w:left="1088"/>
      </w:pPr>
      <w:r>
        <w:rPr>
          <w:color w:val="105C84"/>
          <w:w w:val="105"/>
        </w:rPr>
        <w:t>to suggest a growing number of Amish and Mennonite settlements within the region due to the </w:t>
      </w:r>
      <w:r>
        <w:rPr>
          <w:color w:val="105C84"/>
        </w:rPr>
        <w:t>affordability of land. In fact, it is estimated that nearly 20% of Yates County’s population is Amish or </w:t>
      </w:r>
      <w:r>
        <w:rPr>
          <w:color w:val="105C84"/>
          <w:spacing w:val="-2"/>
          <w:w w:val="105"/>
        </w:rPr>
        <w:t>Mennonite.</w:t>
      </w:r>
    </w:p>
    <w:p>
      <w:pPr>
        <w:pStyle w:val="BodyText"/>
        <w:spacing w:line="247" w:lineRule="auto" w:before="175"/>
        <w:ind w:left="1088" w:right="444"/>
      </w:pPr>
      <w:r>
        <w:rPr>
          <w:color w:val="105C84"/>
        </w:rPr>
        <w:t>There</w:t>
      </w:r>
      <w:r>
        <w:rPr>
          <w:color w:val="105C84"/>
          <w:spacing w:val="28"/>
        </w:rPr>
        <w:t> </w:t>
      </w:r>
      <w:r>
        <w:rPr>
          <w:color w:val="105C84"/>
        </w:rPr>
        <w:t>are</w:t>
      </w:r>
      <w:r>
        <w:rPr>
          <w:color w:val="105C84"/>
          <w:spacing w:val="28"/>
        </w:rPr>
        <w:t> </w:t>
      </w:r>
      <w:r>
        <w:rPr>
          <w:color w:val="105C84"/>
        </w:rPr>
        <w:t>several</w:t>
      </w:r>
      <w:r>
        <w:rPr>
          <w:color w:val="105C84"/>
          <w:spacing w:val="28"/>
        </w:rPr>
        <w:t> </w:t>
      </w:r>
      <w:r>
        <w:rPr>
          <w:color w:val="105C84"/>
        </w:rPr>
        <w:t>implications</w:t>
      </w:r>
      <w:r>
        <w:rPr>
          <w:color w:val="105C84"/>
          <w:spacing w:val="28"/>
        </w:rPr>
        <w:t> </w:t>
      </w:r>
      <w:r>
        <w:rPr>
          <w:color w:val="105C84"/>
        </w:rPr>
        <w:t>that</w:t>
      </w:r>
      <w:r>
        <w:rPr>
          <w:color w:val="105C84"/>
          <w:spacing w:val="28"/>
        </w:rPr>
        <w:t> </w:t>
      </w:r>
      <w:r>
        <w:rPr>
          <w:color w:val="105C84"/>
        </w:rPr>
        <w:t>both</w:t>
      </w:r>
      <w:r>
        <w:rPr>
          <w:color w:val="105C84"/>
          <w:spacing w:val="28"/>
        </w:rPr>
        <w:t> </w:t>
      </w:r>
      <w:r>
        <w:rPr>
          <w:color w:val="105C84"/>
        </w:rPr>
        <w:t>the</w:t>
      </w:r>
      <w:r>
        <w:rPr>
          <w:color w:val="105C84"/>
          <w:spacing w:val="28"/>
        </w:rPr>
        <w:t> </w:t>
      </w:r>
      <w:r>
        <w:rPr>
          <w:color w:val="105C84"/>
        </w:rPr>
        <w:t>growing</w:t>
      </w:r>
      <w:r>
        <w:rPr>
          <w:color w:val="105C84"/>
          <w:spacing w:val="28"/>
        </w:rPr>
        <w:t> </w:t>
      </w:r>
      <w:r>
        <w:rPr>
          <w:color w:val="105C84"/>
        </w:rPr>
        <w:t>diverse</w:t>
      </w:r>
      <w:r>
        <w:rPr>
          <w:color w:val="105C84"/>
          <w:spacing w:val="28"/>
        </w:rPr>
        <w:t> </w:t>
      </w:r>
      <w:r>
        <w:rPr>
          <w:color w:val="105C84"/>
        </w:rPr>
        <w:t>and</w:t>
      </w:r>
      <w:r>
        <w:rPr>
          <w:color w:val="105C84"/>
          <w:spacing w:val="28"/>
        </w:rPr>
        <w:t> </w:t>
      </w:r>
      <w:r>
        <w:rPr>
          <w:color w:val="105C84"/>
        </w:rPr>
        <w:t>aging</w:t>
      </w:r>
      <w:r>
        <w:rPr>
          <w:color w:val="105C84"/>
          <w:spacing w:val="28"/>
        </w:rPr>
        <w:t> </w:t>
      </w:r>
      <w:r>
        <w:rPr>
          <w:color w:val="105C84"/>
        </w:rPr>
        <w:t>population</w:t>
      </w:r>
      <w:r>
        <w:rPr>
          <w:color w:val="105C84"/>
          <w:spacing w:val="28"/>
        </w:rPr>
        <w:t> </w:t>
      </w:r>
      <w:r>
        <w:rPr>
          <w:color w:val="105C84"/>
        </w:rPr>
        <w:t>will</w:t>
      </w:r>
      <w:r>
        <w:rPr>
          <w:color w:val="105C84"/>
          <w:spacing w:val="28"/>
        </w:rPr>
        <w:t> </w:t>
      </w:r>
      <w:r>
        <w:rPr>
          <w:color w:val="105C84"/>
        </w:rPr>
        <w:t>have</w:t>
      </w:r>
      <w:r>
        <w:rPr>
          <w:color w:val="105C84"/>
          <w:spacing w:val="28"/>
        </w:rPr>
        <w:t> </w:t>
      </w:r>
      <w:r>
        <w:rPr>
          <w:color w:val="105C84"/>
        </w:rPr>
        <w:t>an impact</w:t>
      </w:r>
      <w:r>
        <w:rPr>
          <w:color w:val="105C84"/>
          <w:spacing w:val="25"/>
        </w:rPr>
        <w:t> </w:t>
      </w:r>
      <w:r>
        <w:rPr>
          <w:color w:val="105C84"/>
        </w:rPr>
        <w:t>on</w:t>
      </w:r>
      <w:r>
        <w:rPr>
          <w:color w:val="105C84"/>
          <w:spacing w:val="25"/>
        </w:rPr>
        <w:t> </w:t>
      </w:r>
      <w:r>
        <w:rPr>
          <w:color w:val="105C84"/>
        </w:rPr>
        <w:t>health.</w:t>
      </w:r>
      <w:r>
        <w:rPr>
          <w:color w:val="105C84"/>
          <w:spacing w:val="25"/>
        </w:rPr>
        <w:t> </w:t>
      </w:r>
      <w:r>
        <w:rPr>
          <w:color w:val="105C84"/>
        </w:rPr>
        <w:t>Health</w:t>
      </w:r>
      <w:r>
        <w:rPr>
          <w:color w:val="105C84"/>
          <w:spacing w:val="25"/>
        </w:rPr>
        <w:t> </w:t>
      </w:r>
      <w:r>
        <w:rPr>
          <w:color w:val="105C84"/>
        </w:rPr>
        <w:t>care</w:t>
      </w:r>
      <w:r>
        <w:rPr>
          <w:color w:val="105C84"/>
          <w:spacing w:val="25"/>
        </w:rPr>
        <w:t> </w:t>
      </w:r>
      <w:r>
        <w:rPr>
          <w:color w:val="105C84"/>
        </w:rPr>
        <w:t>providers</w:t>
      </w:r>
      <w:r>
        <w:rPr>
          <w:color w:val="105C84"/>
          <w:spacing w:val="25"/>
        </w:rPr>
        <w:t> </w:t>
      </w:r>
      <w:r>
        <w:rPr>
          <w:color w:val="105C84"/>
        </w:rPr>
        <w:t>must</w:t>
      </w:r>
      <w:r>
        <w:rPr>
          <w:color w:val="105C84"/>
          <w:spacing w:val="25"/>
        </w:rPr>
        <w:t> </w:t>
      </w:r>
      <w:r>
        <w:rPr>
          <w:color w:val="105C84"/>
        </w:rPr>
        <w:t>be</w:t>
      </w:r>
      <w:r>
        <w:rPr>
          <w:color w:val="105C84"/>
          <w:spacing w:val="25"/>
        </w:rPr>
        <w:t> </w:t>
      </w:r>
      <w:r>
        <w:rPr>
          <w:color w:val="105C84"/>
        </w:rPr>
        <w:t>equipped</w:t>
      </w:r>
      <w:r>
        <w:rPr>
          <w:color w:val="105C84"/>
          <w:spacing w:val="25"/>
        </w:rPr>
        <w:t> </w:t>
      </w:r>
      <w:r>
        <w:rPr>
          <w:color w:val="105C84"/>
        </w:rPr>
        <w:t>to</w:t>
      </w:r>
      <w:r>
        <w:rPr>
          <w:color w:val="105C84"/>
          <w:spacing w:val="25"/>
        </w:rPr>
        <w:t> </w:t>
      </w:r>
      <w:r>
        <w:rPr>
          <w:color w:val="105C84"/>
        </w:rPr>
        <w:t>care</w:t>
      </w:r>
      <w:r>
        <w:rPr>
          <w:color w:val="105C84"/>
          <w:spacing w:val="25"/>
        </w:rPr>
        <w:t> </w:t>
      </w:r>
      <w:r>
        <w:rPr>
          <w:color w:val="105C84"/>
        </w:rPr>
        <w:t>for</w:t>
      </w:r>
      <w:r>
        <w:rPr>
          <w:color w:val="105C84"/>
          <w:spacing w:val="25"/>
        </w:rPr>
        <w:t> </w:t>
      </w:r>
      <w:r>
        <w:rPr>
          <w:color w:val="105C84"/>
        </w:rPr>
        <w:t>patients</w:t>
      </w:r>
      <w:r>
        <w:rPr>
          <w:color w:val="105C84"/>
          <w:spacing w:val="25"/>
        </w:rPr>
        <w:t> </w:t>
      </w:r>
      <w:r>
        <w:rPr>
          <w:color w:val="105C84"/>
        </w:rPr>
        <w:t>with</w:t>
      </w:r>
      <w:r>
        <w:rPr>
          <w:color w:val="105C84"/>
          <w:spacing w:val="25"/>
        </w:rPr>
        <w:t> </w:t>
      </w:r>
      <w:r>
        <w:rPr>
          <w:color w:val="105C84"/>
        </w:rPr>
        <w:t>more</w:t>
      </w:r>
      <w:r>
        <w:rPr>
          <w:color w:val="105C84"/>
          <w:spacing w:val="25"/>
        </w:rPr>
        <w:t> </w:t>
      </w:r>
      <w:r>
        <w:rPr>
          <w:color w:val="105C84"/>
        </w:rPr>
        <w:t>co-morbid conditions than ever (aging population) as well as remaining culturally competent and relatable to</w:t>
      </w:r>
      <w:r>
        <w:rPr>
          <w:color w:val="105C84"/>
          <w:spacing w:val="40"/>
        </w:rPr>
        <w:t> </w:t>
      </w:r>
      <w:r>
        <w:rPr>
          <w:color w:val="105C84"/>
        </w:rPr>
        <w:t>diverse patients (growing number of Hispanics, African Americans, Amish and Mennonites). Ensuring</w:t>
      </w:r>
      <w:r>
        <w:rPr>
          <w:color w:val="105C84"/>
          <w:spacing w:val="40"/>
        </w:rPr>
        <w:t> </w:t>
      </w:r>
      <w:r>
        <w:rPr>
          <w:color w:val="105C84"/>
        </w:rPr>
        <w:t>a competent workforce is one of public health’s 10 essential services, which is why it is important to consider the population shift in health planning.</w:t>
      </w:r>
    </w:p>
    <w:p>
      <w:pPr>
        <w:pStyle w:val="BodyText"/>
        <w:spacing w:line="247" w:lineRule="auto" w:before="177"/>
        <w:ind w:left="1088" w:right="528"/>
      </w:pPr>
      <w:r>
        <w:rPr>
          <w:color w:val="105C84"/>
        </w:rPr>
        <w:t>As identified through several avenues of local research, lack of transportation is one of the top</w:t>
      </w:r>
      <w:r>
        <w:rPr>
          <w:color w:val="105C84"/>
          <w:spacing w:val="40"/>
        </w:rPr>
        <w:t> </w:t>
      </w:r>
      <w:r>
        <w:rPr>
          <w:color w:val="105C84"/>
        </w:rPr>
        <w:t>barriers in each of the regional counties. Access to a vehicle and/or public transportation is not a</w:t>
      </w:r>
      <w:r>
        <w:rPr>
          <w:color w:val="105C84"/>
          <w:spacing w:val="40"/>
        </w:rPr>
        <w:t> </w:t>
      </w:r>
      <w:r>
        <w:rPr>
          <w:color w:val="105C84"/>
        </w:rPr>
        <w:t>privilege that all residents have. For those living on the outskirts of the populous cities and towns,</w:t>
      </w:r>
      <w:r>
        <w:rPr>
          <w:color w:val="105C84"/>
          <w:spacing w:val="40"/>
        </w:rPr>
        <w:t> </w:t>
      </w:r>
      <w:r>
        <w:rPr>
          <w:color w:val="105C84"/>
        </w:rPr>
        <w:t>access to transportation is essentially nonexistent unless they have their own vehicle or nearby neighbors, family and friends who have vehicles. This is particularly concerning for the aging population</w:t>
      </w:r>
      <w:r>
        <w:rPr>
          <w:color w:val="105C84"/>
          <w:spacing w:val="24"/>
        </w:rPr>
        <w:t> </w:t>
      </w:r>
      <w:r>
        <w:rPr>
          <w:color w:val="105C84"/>
        </w:rPr>
        <w:t>due</w:t>
      </w:r>
      <w:r>
        <w:rPr>
          <w:color w:val="105C84"/>
          <w:spacing w:val="24"/>
        </w:rPr>
        <w:t> </w:t>
      </w:r>
      <w:r>
        <w:rPr>
          <w:color w:val="105C84"/>
        </w:rPr>
        <w:t>to</w:t>
      </w:r>
      <w:r>
        <w:rPr>
          <w:color w:val="105C84"/>
          <w:spacing w:val="24"/>
        </w:rPr>
        <w:t> </w:t>
      </w:r>
      <w:r>
        <w:rPr>
          <w:color w:val="105C84"/>
        </w:rPr>
        <w:t>their</w:t>
      </w:r>
      <w:r>
        <w:rPr>
          <w:color w:val="105C84"/>
          <w:spacing w:val="24"/>
        </w:rPr>
        <w:t> </w:t>
      </w:r>
      <w:r>
        <w:rPr>
          <w:color w:val="105C84"/>
        </w:rPr>
        <w:t>need</w:t>
      </w:r>
      <w:r>
        <w:rPr>
          <w:color w:val="105C84"/>
          <w:spacing w:val="24"/>
        </w:rPr>
        <w:t> </w:t>
      </w:r>
      <w:r>
        <w:rPr>
          <w:color w:val="105C84"/>
        </w:rPr>
        <w:t>to</w:t>
      </w:r>
      <w:r>
        <w:rPr>
          <w:color w:val="105C84"/>
          <w:spacing w:val="24"/>
        </w:rPr>
        <w:t> </w:t>
      </w:r>
      <w:r>
        <w:rPr>
          <w:color w:val="105C84"/>
        </w:rPr>
        <w:t>attend</w:t>
      </w:r>
      <w:r>
        <w:rPr>
          <w:color w:val="105C84"/>
          <w:spacing w:val="24"/>
        </w:rPr>
        <w:t> </w:t>
      </w:r>
      <w:r>
        <w:rPr>
          <w:color w:val="105C84"/>
        </w:rPr>
        <w:t>more</w:t>
      </w:r>
      <w:r>
        <w:rPr>
          <w:color w:val="105C84"/>
          <w:spacing w:val="24"/>
        </w:rPr>
        <w:t> </w:t>
      </w:r>
      <w:r>
        <w:rPr>
          <w:color w:val="105C84"/>
        </w:rPr>
        <w:t>medical</w:t>
      </w:r>
      <w:r>
        <w:rPr>
          <w:color w:val="105C84"/>
          <w:spacing w:val="24"/>
        </w:rPr>
        <w:t> </w:t>
      </w:r>
      <w:r>
        <w:rPr>
          <w:color w:val="105C84"/>
        </w:rPr>
        <w:t>appointments</w:t>
      </w:r>
      <w:r>
        <w:rPr>
          <w:color w:val="105C84"/>
          <w:spacing w:val="24"/>
        </w:rPr>
        <w:t> </w:t>
      </w:r>
      <w:r>
        <w:rPr>
          <w:color w:val="105C84"/>
        </w:rPr>
        <w:t>than</w:t>
      </w:r>
      <w:r>
        <w:rPr>
          <w:color w:val="105C84"/>
          <w:spacing w:val="24"/>
        </w:rPr>
        <w:t> </w:t>
      </w:r>
      <w:r>
        <w:rPr>
          <w:color w:val="105C84"/>
        </w:rPr>
        <w:t>the</w:t>
      </w:r>
      <w:r>
        <w:rPr>
          <w:color w:val="105C84"/>
          <w:spacing w:val="24"/>
        </w:rPr>
        <w:t> </w:t>
      </w:r>
      <w:r>
        <w:rPr>
          <w:color w:val="105C84"/>
        </w:rPr>
        <w:t>average</w:t>
      </w:r>
      <w:r>
        <w:rPr>
          <w:color w:val="105C84"/>
          <w:spacing w:val="24"/>
        </w:rPr>
        <w:t> </w:t>
      </w:r>
      <w:r>
        <w:rPr>
          <w:color w:val="105C84"/>
        </w:rPr>
        <w:t>person,</w:t>
      </w:r>
      <w:r>
        <w:rPr>
          <w:color w:val="105C84"/>
          <w:spacing w:val="24"/>
        </w:rPr>
        <w:t> </w:t>
      </w:r>
      <w:r>
        <w:rPr>
          <w:color w:val="105C84"/>
        </w:rPr>
        <w:t>which could</w:t>
      </w:r>
      <w:r>
        <w:rPr>
          <w:color w:val="105C84"/>
          <w:spacing w:val="40"/>
        </w:rPr>
        <w:t> </w:t>
      </w:r>
      <w:r>
        <w:rPr>
          <w:color w:val="105C84"/>
        </w:rPr>
        <w:t>necessitate</w:t>
      </w:r>
      <w:r>
        <w:rPr>
          <w:color w:val="105C84"/>
          <w:spacing w:val="40"/>
        </w:rPr>
        <w:t> </w:t>
      </w:r>
      <w:r>
        <w:rPr>
          <w:color w:val="105C84"/>
        </w:rPr>
        <w:t>greater</w:t>
      </w:r>
      <w:r>
        <w:rPr>
          <w:color w:val="105C84"/>
          <w:spacing w:val="40"/>
        </w:rPr>
        <w:t> </w:t>
      </w:r>
      <w:r>
        <w:rPr>
          <w:color w:val="105C84"/>
        </w:rPr>
        <w:t>transportation</w:t>
      </w:r>
      <w:r>
        <w:rPr>
          <w:color w:val="105C84"/>
          <w:spacing w:val="40"/>
        </w:rPr>
        <w:t> </w:t>
      </w:r>
      <w:r>
        <w:rPr>
          <w:color w:val="105C84"/>
        </w:rPr>
        <w:t>planning</w:t>
      </w:r>
      <w:r>
        <w:rPr>
          <w:color w:val="105C84"/>
          <w:spacing w:val="40"/>
        </w:rPr>
        <w:t> </w:t>
      </w:r>
      <w:r>
        <w:rPr>
          <w:color w:val="105C84"/>
        </w:rPr>
        <w:t>in</w:t>
      </w:r>
      <w:r>
        <w:rPr>
          <w:color w:val="105C84"/>
          <w:spacing w:val="40"/>
        </w:rPr>
        <w:t> </w:t>
      </w:r>
      <w:r>
        <w:rPr>
          <w:color w:val="105C84"/>
        </w:rPr>
        <w:t>rural</w:t>
      </w:r>
      <w:r>
        <w:rPr>
          <w:color w:val="105C84"/>
          <w:spacing w:val="40"/>
        </w:rPr>
        <w:t> </w:t>
      </w:r>
      <w:r>
        <w:rPr>
          <w:color w:val="105C84"/>
        </w:rPr>
        <w:t>communities.</w:t>
      </w:r>
    </w:p>
    <w:p>
      <w:pPr>
        <w:pStyle w:val="BodyText"/>
        <w:spacing w:line="247" w:lineRule="auto" w:before="176"/>
        <w:ind w:left="1088" w:right="1144"/>
        <w:jc w:val="both"/>
      </w:pPr>
      <w:r>
        <w:rPr>
          <w:color w:val="105C84"/>
        </w:rPr>
        <w:t>In addition, when looking at food insecurity data for the Community Health Assessment, data revealed that a portion of each county’s population (average of 5%) are low income and have low access to a supermarket or grocery store. According to </w:t>
      </w:r>
      <w:r>
        <w:rPr>
          <w:i/>
          <w:color w:val="105C84"/>
        </w:rPr>
        <w:t>My Health Story 2018 </w:t>
      </w:r>
      <w:r>
        <w:rPr>
          <w:color w:val="105C84"/>
        </w:rPr>
        <w:t>survey data, a supermarket or grocery store is where the majority of residents access their fresh fruits and</w:t>
      </w:r>
    </w:p>
    <w:p>
      <w:pPr>
        <w:pStyle w:val="BodyText"/>
        <w:spacing w:line="247" w:lineRule="auto"/>
        <w:ind w:left="1088" w:right="530"/>
        <w:jc w:val="both"/>
      </w:pPr>
      <w:r>
        <w:rPr>
          <w:color w:val="105C84"/>
        </w:rPr>
        <w:t>vegetables (75%). Ensuring access to healthy and affordable food is essential to practicing a healthy </w:t>
      </w:r>
      <w:r>
        <w:rPr>
          <w:color w:val="105C84"/>
          <w:spacing w:val="-2"/>
        </w:rPr>
        <w:t>lifestyle.</w:t>
      </w:r>
    </w:p>
    <w:p>
      <w:pPr>
        <w:pStyle w:val="BodyText"/>
        <w:spacing w:after="0" w:line="247" w:lineRule="auto"/>
        <w:jc w:val="both"/>
        <w:sectPr>
          <w:type w:val="continuous"/>
          <w:pgSz w:w="24480" w:h="15840" w:orient="landscape"/>
          <w:pgMar w:top="0" w:bottom="280" w:left="0" w:right="720"/>
          <w:cols w:num="2" w:equalWidth="0">
            <w:col w:w="11213" w:space="1029"/>
            <w:col w:w="11518"/>
          </w:cols>
        </w:sectPr>
      </w:pPr>
    </w:p>
    <w:p>
      <w:pPr>
        <w:pStyle w:val="BodyText"/>
        <w:rPr>
          <w:sz w:val="26"/>
        </w:rPr>
      </w:pPr>
      <w:r>
        <w:rPr>
          <w:sz w:val="26"/>
        </w:rPr>
        <mc:AlternateContent>
          <mc:Choice Requires="wps">
            <w:drawing>
              <wp:anchor distT="0" distB="0" distL="0" distR="0" allowOverlap="1" layoutInCell="1" locked="0" behindDoc="0" simplePos="0" relativeHeight="15734272">
                <wp:simplePos x="0" y="0"/>
                <wp:positionH relativeFrom="page">
                  <wp:posOffset>0</wp:posOffset>
                </wp:positionH>
                <wp:positionV relativeFrom="page">
                  <wp:posOffset>0</wp:posOffset>
                </wp:positionV>
                <wp:extent cx="15544800" cy="713740"/>
                <wp:effectExtent l="0" t="0" r="0" b="0"/>
                <wp:wrapNone/>
                <wp:docPr id="37" name="Group 37"/>
                <wp:cNvGraphicFramePr>
                  <a:graphicFrameLocks/>
                </wp:cNvGraphicFramePr>
                <a:graphic>
                  <a:graphicData uri="http://schemas.microsoft.com/office/word/2010/wordprocessingGroup">
                    <wpg:wgp>
                      <wpg:cNvPr id="37" name="Group 37"/>
                      <wpg:cNvGrpSpPr/>
                      <wpg:grpSpPr>
                        <a:xfrm>
                          <a:off x="0" y="0"/>
                          <a:ext cx="15544800" cy="713740"/>
                          <a:chExt cx="15544800" cy="713740"/>
                        </a:xfrm>
                      </wpg:grpSpPr>
                      <wps:wsp>
                        <wps:cNvPr id="38" name="Graphic 38"/>
                        <wps:cNvSpPr/>
                        <wps:spPr>
                          <a:xfrm>
                            <a:off x="7708392" y="0"/>
                            <a:ext cx="7836534" cy="548640"/>
                          </a:xfrm>
                          <a:custGeom>
                            <a:avLst/>
                            <a:gdLst/>
                            <a:ahLst/>
                            <a:cxnLst/>
                            <a:rect l="l" t="t" r="r" b="b"/>
                            <a:pathLst>
                              <a:path w="7836534" h="548640">
                                <a:moveTo>
                                  <a:pt x="0" y="0"/>
                                </a:moveTo>
                                <a:lnTo>
                                  <a:pt x="0" y="548640"/>
                                </a:lnTo>
                                <a:lnTo>
                                  <a:pt x="7836408" y="548640"/>
                                </a:lnTo>
                                <a:lnTo>
                                  <a:pt x="7836408" y="0"/>
                                </a:lnTo>
                                <a:lnTo>
                                  <a:pt x="0" y="0"/>
                                </a:lnTo>
                                <a:close/>
                              </a:path>
                            </a:pathLst>
                          </a:custGeom>
                          <a:solidFill>
                            <a:srgbClr val="105C84"/>
                          </a:solidFill>
                        </wps:spPr>
                        <wps:bodyPr wrap="square" lIns="0" tIns="0" rIns="0" bIns="0" rtlCol="0">
                          <a:prstTxWarp prst="textNoShape">
                            <a:avLst/>
                          </a:prstTxWarp>
                          <a:noAutofit/>
                        </wps:bodyPr>
                      </wps:wsp>
                      <pic:pic>
                        <pic:nvPicPr>
                          <pic:cNvPr id="39" name="Image 39"/>
                          <pic:cNvPicPr/>
                        </pic:nvPicPr>
                        <pic:blipFill>
                          <a:blip r:embed="rId40" cstate="print"/>
                          <a:stretch>
                            <a:fillRect/>
                          </a:stretch>
                        </pic:blipFill>
                        <pic:spPr>
                          <a:xfrm>
                            <a:off x="0" y="0"/>
                            <a:ext cx="7772400" cy="548640"/>
                          </a:xfrm>
                          <a:prstGeom prst="rect">
                            <a:avLst/>
                          </a:prstGeom>
                        </pic:spPr>
                      </pic:pic>
                      <pic:pic>
                        <pic:nvPicPr>
                          <pic:cNvPr id="40" name="Image 40"/>
                          <pic:cNvPicPr/>
                        </pic:nvPicPr>
                        <pic:blipFill>
                          <a:blip r:embed="rId41" cstate="print"/>
                          <a:stretch>
                            <a:fillRect/>
                          </a:stretch>
                        </pic:blipFill>
                        <pic:spPr>
                          <a:xfrm>
                            <a:off x="0" y="548640"/>
                            <a:ext cx="15544799" cy="164591"/>
                          </a:xfrm>
                          <a:prstGeom prst="rect">
                            <a:avLst/>
                          </a:prstGeom>
                        </pic:spPr>
                      </pic:pic>
                      <wps:wsp>
                        <wps:cNvPr id="41" name="Textbox 41"/>
                        <wps:cNvSpPr txBox="1"/>
                        <wps:spPr>
                          <a:xfrm>
                            <a:off x="713231" y="198120"/>
                            <a:ext cx="725170" cy="173990"/>
                          </a:xfrm>
                          <a:prstGeom prst="rect">
                            <a:avLst/>
                          </a:prstGeom>
                        </wps:spPr>
                        <wps:txbx>
                          <w:txbxContent>
                            <w:p>
                              <w:pPr>
                                <w:spacing w:before="12"/>
                                <w:ind w:left="0" w:right="0" w:firstLine="0"/>
                                <w:jc w:val="left"/>
                                <w:rPr>
                                  <w:sz w:val="20"/>
                                </w:rPr>
                              </w:pPr>
                              <w:r>
                                <w:rPr>
                                  <w:color w:val="FFFFFF"/>
                                  <w:spacing w:val="-2"/>
                                  <w:w w:val="105"/>
                                  <w:sz w:val="20"/>
                                </w:rPr>
                                <w:t>Introduction</w:t>
                              </w:r>
                            </w:p>
                          </w:txbxContent>
                        </wps:txbx>
                        <wps:bodyPr wrap="square" lIns="0" tIns="0" rIns="0" bIns="0" rtlCol="0">
                          <a:noAutofit/>
                        </wps:bodyPr>
                      </wps:wsp>
                      <wps:wsp>
                        <wps:cNvPr id="42" name="Textbox 42"/>
                        <wps:cNvSpPr txBox="1"/>
                        <wps:spPr>
                          <a:xfrm>
                            <a:off x="8458200" y="210820"/>
                            <a:ext cx="766445" cy="173990"/>
                          </a:xfrm>
                          <a:prstGeom prst="rect">
                            <a:avLst/>
                          </a:prstGeom>
                        </wps:spPr>
                        <wps:txbx>
                          <w:txbxContent>
                            <w:p>
                              <w:pPr>
                                <w:spacing w:before="12"/>
                                <w:ind w:left="0" w:right="0" w:firstLine="0"/>
                                <w:jc w:val="left"/>
                                <w:rPr>
                                  <w:sz w:val="20"/>
                                </w:rPr>
                              </w:pPr>
                              <w:r>
                                <w:rPr>
                                  <w:color w:val="FFFFFF"/>
                                  <w:sz w:val="20"/>
                                </w:rPr>
                                <w:t>Key</w:t>
                              </w:r>
                              <w:r>
                                <w:rPr>
                                  <w:color w:val="FFFFFF"/>
                                  <w:spacing w:val="1"/>
                                  <w:sz w:val="20"/>
                                </w:rPr>
                                <w:t> </w:t>
                              </w:r>
                              <w:r>
                                <w:rPr>
                                  <w:color w:val="FFFFFF"/>
                                  <w:spacing w:val="-2"/>
                                  <w:sz w:val="20"/>
                                </w:rPr>
                                <w:t>Findings</w:t>
                              </w:r>
                            </w:p>
                          </w:txbxContent>
                        </wps:txbx>
                        <wps:bodyPr wrap="square" lIns="0" tIns="0" rIns="0" bIns="0" rtlCol="0">
                          <a:noAutofit/>
                        </wps:bodyPr>
                      </wps:wsp>
                      <wps:wsp>
                        <wps:cNvPr id="43" name="Textbox 43"/>
                        <wps:cNvSpPr txBox="1"/>
                        <wps:spPr>
                          <a:xfrm>
                            <a:off x="10970293" y="201168"/>
                            <a:ext cx="3905250" cy="173990"/>
                          </a:xfrm>
                          <a:prstGeom prst="rect">
                            <a:avLst/>
                          </a:prstGeom>
                        </wps:spPr>
                        <wps:txbx>
                          <w:txbxContent>
                            <w:p>
                              <w:pPr>
                                <w:spacing w:before="12"/>
                                <w:ind w:left="0" w:right="0" w:firstLine="0"/>
                                <w:jc w:val="left"/>
                                <w:rPr>
                                  <w:sz w:val="20"/>
                                </w:rPr>
                              </w:pPr>
                              <w:r>
                                <w:rPr>
                                  <w:color w:val="FFFFFF"/>
                                  <w:sz w:val="20"/>
                                </w:rPr>
                                <w:t>FINGER</w:t>
                              </w:r>
                              <w:r>
                                <w:rPr>
                                  <w:color w:val="FFFFFF"/>
                                  <w:spacing w:val="9"/>
                                  <w:sz w:val="20"/>
                                </w:rPr>
                                <w:t> </w:t>
                              </w:r>
                              <w:r>
                                <w:rPr>
                                  <w:color w:val="FFFFFF"/>
                                  <w:sz w:val="20"/>
                                </w:rPr>
                                <w:t>LAKES</w:t>
                              </w:r>
                              <w:r>
                                <w:rPr>
                                  <w:color w:val="FFFFFF"/>
                                  <w:spacing w:val="9"/>
                                  <w:sz w:val="20"/>
                                </w:rPr>
                                <w:t> </w:t>
                              </w:r>
                              <w:r>
                                <w:rPr>
                                  <w:color w:val="FFFFFF"/>
                                  <w:sz w:val="20"/>
                                </w:rPr>
                                <w:t>REGIONAL</w:t>
                              </w:r>
                              <w:r>
                                <w:rPr>
                                  <w:color w:val="FFFFFF"/>
                                  <w:spacing w:val="9"/>
                                  <w:sz w:val="20"/>
                                </w:rPr>
                                <w:t> </w:t>
                              </w:r>
                              <w:r>
                                <w:rPr>
                                  <w:color w:val="FFFFFF"/>
                                  <w:sz w:val="20"/>
                                </w:rPr>
                                <w:t>COMMUNITY</w:t>
                              </w:r>
                              <w:r>
                                <w:rPr>
                                  <w:color w:val="FFFFFF"/>
                                  <w:spacing w:val="10"/>
                                  <w:sz w:val="20"/>
                                </w:rPr>
                                <w:t> </w:t>
                              </w:r>
                              <w:r>
                                <w:rPr>
                                  <w:color w:val="FFFFFF"/>
                                  <w:sz w:val="20"/>
                                </w:rPr>
                                <w:t>HEALTH</w:t>
                              </w:r>
                              <w:r>
                                <w:rPr>
                                  <w:color w:val="FFFFFF"/>
                                  <w:spacing w:val="9"/>
                                  <w:sz w:val="20"/>
                                </w:rPr>
                                <w:t> </w:t>
                              </w:r>
                              <w:r>
                                <w:rPr>
                                  <w:color w:val="FFFFFF"/>
                                  <w:spacing w:val="-2"/>
                                  <w:sz w:val="20"/>
                                </w:rPr>
                                <w:t>ASSESSMENT</w:t>
                              </w:r>
                            </w:p>
                          </w:txbxContent>
                        </wps:txbx>
                        <wps:bodyPr wrap="square" lIns="0" tIns="0" rIns="0" bIns="0" rtlCol="0">
                          <a:noAutofit/>
                        </wps:bodyPr>
                      </wps:wsp>
                    </wpg:wgp>
                  </a:graphicData>
                </a:graphic>
              </wp:anchor>
            </w:drawing>
          </mc:Choice>
          <mc:Fallback>
            <w:pict>
              <v:group style="position:absolute;margin-left:.0pt;margin-top:-.000015pt;width:1224pt;height:56.2pt;mso-position-horizontal-relative:page;mso-position-vertical-relative:page;z-index:15734272" id="docshapegroup35" coordorigin="0,0" coordsize="24480,1124">
                <v:rect style="position:absolute;left:12139;top:0;width:12341;height:864" id="docshape36" filled="true" fillcolor="#105c84" stroked="false">
                  <v:fill type="solid"/>
                </v:rect>
                <v:shape style="position:absolute;left:0;top:0;width:12240;height:864" type="#_x0000_t75" id="docshape37" stroked="false">
                  <v:imagedata r:id="rId40" o:title=""/>
                </v:shape>
                <v:shape style="position:absolute;left:0;top:864;width:24480;height:260" type="#_x0000_t75" id="docshape38" stroked="false">
                  <v:imagedata r:id="rId41" o:title=""/>
                </v:shape>
                <v:shape style="position:absolute;left:1123;top:312;width:1142;height:274" type="#_x0000_t202" id="docshape39" filled="false" stroked="false">
                  <v:textbox inset="0,0,0,0">
                    <w:txbxContent>
                      <w:p>
                        <w:pPr>
                          <w:spacing w:before="12"/>
                          <w:ind w:left="0" w:right="0" w:firstLine="0"/>
                          <w:jc w:val="left"/>
                          <w:rPr>
                            <w:sz w:val="20"/>
                          </w:rPr>
                        </w:pPr>
                        <w:r>
                          <w:rPr>
                            <w:color w:val="FFFFFF"/>
                            <w:spacing w:val="-2"/>
                            <w:w w:val="105"/>
                            <w:sz w:val="20"/>
                          </w:rPr>
                          <w:t>Introduction</w:t>
                        </w:r>
                      </w:p>
                    </w:txbxContent>
                  </v:textbox>
                  <w10:wrap type="none"/>
                </v:shape>
                <v:shape style="position:absolute;left:13320;top:332;width:1207;height:274" type="#_x0000_t202" id="docshape40" filled="false" stroked="false">
                  <v:textbox inset="0,0,0,0">
                    <w:txbxContent>
                      <w:p>
                        <w:pPr>
                          <w:spacing w:before="12"/>
                          <w:ind w:left="0" w:right="0" w:firstLine="0"/>
                          <w:jc w:val="left"/>
                          <w:rPr>
                            <w:sz w:val="20"/>
                          </w:rPr>
                        </w:pPr>
                        <w:r>
                          <w:rPr>
                            <w:color w:val="FFFFFF"/>
                            <w:sz w:val="20"/>
                          </w:rPr>
                          <w:t>Key</w:t>
                        </w:r>
                        <w:r>
                          <w:rPr>
                            <w:color w:val="FFFFFF"/>
                            <w:spacing w:val="1"/>
                            <w:sz w:val="20"/>
                          </w:rPr>
                          <w:t> </w:t>
                        </w:r>
                        <w:r>
                          <w:rPr>
                            <w:color w:val="FFFFFF"/>
                            <w:spacing w:val="-2"/>
                            <w:sz w:val="20"/>
                          </w:rPr>
                          <w:t>Findings</w:t>
                        </w:r>
                      </w:p>
                    </w:txbxContent>
                  </v:textbox>
                  <w10:wrap type="none"/>
                </v:shape>
                <v:shape style="position:absolute;left:17276;top:316;width:6150;height:274" type="#_x0000_t202" id="docshape41" filled="false" stroked="false">
                  <v:textbox inset="0,0,0,0">
                    <w:txbxContent>
                      <w:p>
                        <w:pPr>
                          <w:spacing w:before="12"/>
                          <w:ind w:left="0" w:right="0" w:firstLine="0"/>
                          <w:jc w:val="left"/>
                          <w:rPr>
                            <w:sz w:val="20"/>
                          </w:rPr>
                        </w:pPr>
                        <w:r>
                          <w:rPr>
                            <w:color w:val="FFFFFF"/>
                            <w:sz w:val="20"/>
                          </w:rPr>
                          <w:t>FINGER</w:t>
                        </w:r>
                        <w:r>
                          <w:rPr>
                            <w:color w:val="FFFFFF"/>
                            <w:spacing w:val="9"/>
                            <w:sz w:val="20"/>
                          </w:rPr>
                          <w:t> </w:t>
                        </w:r>
                        <w:r>
                          <w:rPr>
                            <w:color w:val="FFFFFF"/>
                            <w:sz w:val="20"/>
                          </w:rPr>
                          <w:t>LAKES</w:t>
                        </w:r>
                        <w:r>
                          <w:rPr>
                            <w:color w:val="FFFFFF"/>
                            <w:spacing w:val="9"/>
                            <w:sz w:val="20"/>
                          </w:rPr>
                          <w:t> </w:t>
                        </w:r>
                        <w:r>
                          <w:rPr>
                            <w:color w:val="FFFFFF"/>
                            <w:sz w:val="20"/>
                          </w:rPr>
                          <w:t>REGIONAL</w:t>
                        </w:r>
                        <w:r>
                          <w:rPr>
                            <w:color w:val="FFFFFF"/>
                            <w:spacing w:val="9"/>
                            <w:sz w:val="20"/>
                          </w:rPr>
                          <w:t> </w:t>
                        </w:r>
                        <w:r>
                          <w:rPr>
                            <w:color w:val="FFFFFF"/>
                            <w:sz w:val="20"/>
                          </w:rPr>
                          <w:t>COMMUNITY</w:t>
                        </w:r>
                        <w:r>
                          <w:rPr>
                            <w:color w:val="FFFFFF"/>
                            <w:spacing w:val="10"/>
                            <w:sz w:val="20"/>
                          </w:rPr>
                          <w:t> </w:t>
                        </w:r>
                        <w:r>
                          <w:rPr>
                            <w:color w:val="FFFFFF"/>
                            <w:sz w:val="20"/>
                          </w:rPr>
                          <w:t>HEALTH</w:t>
                        </w:r>
                        <w:r>
                          <w:rPr>
                            <w:color w:val="FFFFFF"/>
                            <w:spacing w:val="9"/>
                            <w:sz w:val="20"/>
                          </w:rPr>
                          <w:t> </w:t>
                        </w:r>
                        <w:r>
                          <w:rPr>
                            <w:color w:val="FFFFFF"/>
                            <w:spacing w:val="-2"/>
                            <w:sz w:val="20"/>
                          </w:rPr>
                          <w:t>ASSESSMENT</w:t>
                        </w:r>
                      </w:p>
                    </w:txbxContent>
                  </v:textbox>
                  <w10:wrap type="none"/>
                </v:shape>
                <w10:wrap type="none"/>
              </v:group>
            </w:pict>
          </mc:Fallback>
        </mc:AlternateContent>
      </w:r>
      <w:r>
        <w:rPr>
          <w:sz w:val="26"/>
        </w:rPr>
        <w:drawing>
          <wp:anchor distT="0" distB="0" distL="0" distR="0" allowOverlap="1" layoutInCell="1" locked="0" behindDoc="0" simplePos="0" relativeHeight="15734784">
            <wp:simplePos x="0" y="0"/>
            <wp:positionH relativeFrom="page">
              <wp:posOffset>14981556</wp:posOffset>
            </wp:positionH>
            <wp:positionV relativeFrom="page">
              <wp:posOffset>9668103</wp:posOffset>
            </wp:positionV>
            <wp:extent cx="563245" cy="184683"/>
            <wp:effectExtent l="0" t="0" r="0" b="0"/>
            <wp:wrapNone/>
            <wp:docPr id="44" name="Image 44"/>
            <wp:cNvGraphicFramePr>
              <a:graphicFrameLocks/>
            </wp:cNvGraphicFramePr>
            <a:graphic>
              <a:graphicData uri="http://schemas.openxmlformats.org/drawingml/2006/picture">
                <pic:pic>
                  <pic:nvPicPr>
                    <pic:cNvPr id="44" name="Image 44"/>
                    <pic:cNvPicPr/>
                  </pic:nvPicPr>
                  <pic:blipFill>
                    <a:blip r:embed="rId38" cstate="print"/>
                    <a:stretch>
                      <a:fillRect/>
                    </a:stretch>
                  </pic:blipFill>
                  <pic:spPr>
                    <a:xfrm>
                      <a:off x="0" y="0"/>
                      <a:ext cx="563245" cy="184683"/>
                    </a:xfrm>
                    <a:prstGeom prst="rect">
                      <a:avLst/>
                    </a:prstGeom>
                  </pic:spPr>
                </pic:pic>
              </a:graphicData>
            </a:graphic>
          </wp:anchor>
        </w:drawing>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9"/>
        <w:rPr>
          <w:sz w:val="26"/>
        </w:rPr>
      </w:pPr>
    </w:p>
    <w:p>
      <w:pPr>
        <w:pStyle w:val="Heading6"/>
        <w:ind w:left="0" w:right="456"/>
        <w:jc w:val="right"/>
      </w:pPr>
      <w:r>
        <w:rPr/>
        <mc:AlternateContent>
          <mc:Choice Requires="wps">
            <w:drawing>
              <wp:anchor distT="0" distB="0" distL="0" distR="0" allowOverlap="1" layoutInCell="1" locked="0" behindDoc="1" simplePos="0" relativeHeight="474960384">
                <wp:simplePos x="0" y="0"/>
                <wp:positionH relativeFrom="page">
                  <wp:posOffset>769926</wp:posOffset>
                </wp:positionH>
                <wp:positionV relativeFrom="paragraph">
                  <wp:posOffset>-10132</wp:posOffset>
                </wp:positionV>
                <wp:extent cx="97790" cy="226060"/>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97790" cy="226060"/>
                        </a:xfrm>
                        <a:prstGeom prst="rect">
                          <a:avLst/>
                        </a:prstGeom>
                      </wps:spPr>
                      <wps:txbx>
                        <w:txbxContent>
                          <w:p>
                            <w:pPr>
                              <w:spacing w:before="16"/>
                              <w:ind w:left="0" w:right="0" w:firstLine="0"/>
                              <w:jc w:val="left"/>
                              <w:rPr>
                                <w:b/>
                                <w:sz w:val="26"/>
                              </w:rPr>
                            </w:pPr>
                            <w:r>
                              <w:rPr>
                                <w:b/>
                                <w:color w:val="939598"/>
                                <w:spacing w:val="-10"/>
                                <w:w w:val="105"/>
                                <w:sz w:val="26"/>
                              </w:rPr>
                              <w:t>3</w:t>
                            </w:r>
                          </w:p>
                        </w:txbxContent>
                      </wps:txbx>
                      <wps:bodyPr wrap="square" lIns="0" tIns="0" rIns="0" bIns="0" rtlCol="0">
                        <a:noAutofit/>
                      </wps:bodyPr>
                    </wps:wsp>
                  </a:graphicData>
                </a:graphic>
              </wp:anchor>
            </w:drawing>
          </mc:Choice>
          <mc:Fallback>
            <w:pict>
              <v:shape style="position:absolute;margin-left:60.6241pt;margin-top:-.797871pt;width:7.7pt;height:17.8pt;mso-position-horizontal-relative:page;mso-position-vertical-relative:paragraph;z-index:-28356096" type="#_x0000_t202" id="docshape42" filled="false" stroked="false">
                <v:textbox inset="0,0,0,0">
                  <w:txbxContent>
                    <w:p>
                      <w:pPr>
                        <w:spacing w:before="16"/>
                        <w:ind w:left="0" w:right="0" w:firstLine="0"/>
                        <w:jc w:val="left"/>
                        <w:rPr>
                          <w:b/>
                          <w:sz w:val="26"/>
                        </w:rPr>
                      </w:pPr>
                      <w:r>
                        <w:rPr>
                          <w:b/>
                          <w:color w:val="939598"/>
                          <w:spacing w:val="-10"/>
                          <w:w w:val="105"/>
                          <w:sz w:val="26"/>
                        </w:rPr>
                        <w:t>3</w:t>
                      </w:r>
                    </w:p>
                  </w:txbxContent>
                </v:textbox>
                <w10:wrap type="none"/>
              </v:shape>
            </w:pict>
          </mc:Fallback>
        </mc:AlternateContent>
      </w:r>
      <w:r>
        <w:rPr/>
        <mc:AlternateContent>
          <mc:Choice Requires="wps">
            <w:drawing>
              <wp:anchor distT="0" distB="0" distL="0" distR="0" allowOverlap="1" layoutInCell="1" locked="0" behindDoc="0" simplePos="0" relativeHeight="15735296">
                <wp:simplePos x="0" y="0"/>
                <wp:positionH relativeFrom="page">
                  <wp:posOffset>0</wp:posOffset>
                </wp:positionH>
                <wp:positionV relativeFrom="paragraph">
                  <wp:posOffset>-4490692</wp:posOffset>
                </wp:positionV>
                <wp:extent cx="7772400" cy="4883150"/>
                <wp:effectExtent l="0" t="0" r="0" b="0"/>
                <wp:wrapNone/>
                <wp:docPr id="46" name="Group 46"/>
                <wp:cNvGraphicFramePr>
                  <a:graphicFrameLocks/>
                </wp:cNvGraphicFramePr>
                <a:graphic>
                  <a:graphicData uri="http://schemas.microsoft.com/office/word/2010/wordprocessingGroup">
                    <wpg:wgp>
                      <wpg:cNvPr id="46" name="Group 46"/>
                      <wpg:cNvGrpSpPr/>
                      <wpg:grpSpPr>
                        <a:xfrm>
                          <a:off x="0" y="0"/>
                          <a:ext cx="7772400" cy="4883150"/>
                          <a:chExt cx="7772400" cy="4883150"/>
                        </a:xfrm>
                      </wpg:grpSpPr>
                      <pic:pic>
                        <pic:nvPicPr>
                          <pic:cNvPr id="47" name="Image 47"/>
                          <pic:cNvPicPr/>
                        </pic:nvPicPr>
                        <pic:blipFill>
                          <a:blip r:embed="rId39" cstate="print"/>
                          <a:stretch>
                            <a:fillRect/>
                          </a:stretch>
                        </pic:blipFill>
                        <pic:spPr>
                          <a:xfrm>
                            <a:off x="0" y="4492599"/>
                            <a:ext cx="568172" cy="184683"/>
                          </a:xfrm>
                          <a:prstGeom prst="rect">
                            <a:avLst/>
                          </a:prstGeom>
                        </pic:spPr>
                      </pic:pic>
                      <pic:pic>
                        <pic:nvPicPr>
                          <pic:cNvPr id="48" name="Image 48"/>
                          <pic:cNvPicPr/>
                        </pic:nvPicPr>
                        <pic:blipFill>
                          <a:blip r:embed="rId42" cstate="print"/>
                          <a:stretch>
                            <a:fillRect/>
                          </a:stretch>
                        </pic:blipFill>
                        <pic:spPr>
                          <a:xfrm>
                            <a:off x="0" y="0"/>
                            <a:ext cx="7772399" cy="4882896"/>
                          </a:xfrm>
                          <a:prstGeom prst="rect">
                            <a:avLst/>
                          </a:prstGeom>
                        </pic:spPr>
                      </pic:pic>
                      <wps:wsp>
                        <wps:cNvPr id="49" name="Textbox 49"/>
                        <wps:cNvSpPr txBox="1"/>
                        <wps:spPr>
                          <a:xfrm>
                            <a:off x="694944" y="4572000"/>
                            <a:ext cx="2700020" cy="139065"/>
                          </a:xfrm>
                          <a:prstGeom prst="rect">
                            <a:avLst/>
                          </a:prstGeom>
                        </wps:spPr>
                        <wps:txbx>
                          <w:txbxContent>
                            <w:p>
                              <w:pPr>
                                <w:spacing w:before="10"/>
                                <w:ind w:left="0" w:right="0" w:firstLine="0"/>
                                <w:jc w:val="left"/>
                                <w:rPr>
                                  <w:sz w:val="16"/>
                                </w:rPr>
                              </w:pPr>
                              <w:r>
                                <w:rPr>
                                  <w:color w:val="FFFFFF"/>
                                  <w:sz w:val="16"/>
                                </w:rPr>
                                <w:t>Photo</w:t>
                              </w:r>
                              <w:r>
                                <w:rPr>
                                  <w:color w:val="FFFFFF"/>
                                  <w:spacing w:val="11"/>
                                  <w:sz w:val="16"/>
                                </w:rPr>
                                <w:t> </w:t>
                              </w:r>
                              <w:r>
                                <w:rPr>
                                  <w:color w:val="FFFFFF"/>
                                  <w:sz w:val="16"/>
                                </w:rPr>
                                <w:t>courtesy</w:t>
                              </w:r>
                              <w:r>
                                <w:rPr>
                                  <w:color w:val="FFFFFF"/>
                                  <w:spacing w:val="12"/>
                                  <w:sz w:val="16"/>
                                </w:rPr>
                                <w:t> </w:t>
                              </w:r>
                              <w:r>
                                <w:rPr>
                                  <w:color w:val="FFFFFF"/>
                                  <w:sz w:val="16"/>
                                </w:rPr>
                                <w:t>of</w:t>
                              </w:r>
                              <w:r>
                                <w:rPr>
                                  <w:color w:val="FFFFFF"/>
                                  <w:spacing w:val="11"/>
                                  <w:sz w:val="16"/>
                                </w:rPr>
                                <w:t> </w:t>
                              </w:r>
                              <w:r>
                                <w:rPr>
                                  <w:color w:val="FFFFFF"/>
                                  <w:sz w:val="16"/>
                                </w:rPr>
                                <w:t>Livingston</w:t>
                              </w:r>
                              <w:r>
                                <w:rPr>
                                  <w:color w:val="FFFFFF"/>
                                  <w:spacing w:val="12"/>
                                  <w:sz w:val="16"/>
                                </w:rPr>
                                <w:t> </w:t>
                              </w:r>
                              <w:r>
                                <w:rPr>
                                  <w:color w:val="FFFFFF"/>
                                  <w:sz w:val="16"/>
                                </w:rPr>
                                <w:t>County</w:t>
                              </w:r>
                              <w:r>
                                <w:rPr>
                                  <w:color w:val="FFFFFF"/>
                                  <w:spacing w:val="11"/>
                                  <w:sz w:val="16"/>
                                </w:rPr>
                                <w:t> </w:t>
                              </w:r>
                              <w:r>
                                <w:rPr>
                                  <w:color w:val="FFFFFF"/>
                                  <w:sz w:val="16"/>
                                </w:rPr>
                                <w:t>Department</w:t>
                              </w:r>
                              <w:r>
                                <w:rPr>
                                  <w:color w:val="FFFFFF"/>
                                  <w:spacing w:val="12"/>
                                  <w:sz w:val="16"/>
                                </w:rPr>
                                <w:t> </w:t>
                              </w:r>
                              <w:r>
                                <w:rPr>
                                  <w:color w:val="FFFFFF"/>
                                  <w:sz w:val="16"/>
                                </w:rPr>
                                <w:t>of</w:t>
                              </w:r>
                              <w:r>
                                <w:rPr>
                                  <w:color w:val="FFFFFF"/>
                                  <w:spacing w:val="11"/>
                                  <w:sz w:val="16"/>
                                </w:rPr>
                                <w:t> </w:t>
                              </w:r>
                              <w:r>
                                <w:rPr>
                                  <w:color w:val="FFFFFF"/>
                                  <w:spacing w:val="-2"/>
                                  <w:sz w:val="16"/>
                                </w:rPr>
                                <w:t>Health</w:t>
                              </w:r>
                            </w:p>
                          </w:txbxContent>
                        </wps:txbx>
                        <wps:bodyPr wrap="square" lIns="0" tIns="0" rIns="0" bIns="0" rtlCol="0">
                          <a:noAutofit/>
                        </wps:bodyPr>
                      </wps:wsp>
                    </wpg:wgp>
                  </a:graphicData>
                </a:graphic>
              </wp:anchor>
            </w:drawing>
          </mc:Choice>
          <mc:Fallback>
            <w:pict>
              <v:group style="position:absolute;margin-left:0pt;margin-top:-353.59787pt;width:612pt;height:384.5pt;mso-position-horizontal-relative:page;mso-position-vertical-relative:paragraph;z-index:15735296" id="docshapegroup43" coordorigin="0,-7072" coordsize="12240,7690">
                <v:shape style="position:absolute;left:0;top:3;width:895;height:291" type="#_x0000_t75" id="docshape44" stroked="false">
                  <v:imagedata r:id="rId39" o:title=""/>
                </v:shape>
                <v:shape style="position:absolute;left:0;top:-7072;width:12240;height:7690" type="#_x0000_t75" id="docshape45" stroked="false">
                  <v:imagedata r:id="rId42" o:title=""/>
                </v:shape>
                <v:shape style="position:absolute;left:1094;top:128;width:4252;height:219" type="#_x0000_t202" id="docshape46" filled="false" stroked="false">
                  <v:textbox inset="0,0,0,0">
                    <w:txbxContent>
                      <w:p>
                        <w:pPr>
                          <w:spacing w:before="10"/>
                          <w:ind w:left="0" w:right="0" w:firstLine="0"/>
                          <w:jc w:val="left"/>
                          <w:rPr>
                            <w:sz w:val="16"/>
                          </w:rPr>
                        </w:pPr>
                        <w:r>
                          <w:rPr>
                            <w:color w:val="FFFFFF"/>
                            <w:sz w:val="16"/>
                          </w:rPr>
                          <w:t>Photo</w:t>
                        </w:r>
                        <w:r>
                          <w:rPr>
                            <w:color w:val="FFFFFF"/>
                            <w:spacing w:val="11"/>
                            <w:sz w:val="16"/>
                          </w:rPr>
                          <w:t> </w:t>
                        </w:r>
                        <w:r>
                          <w:rPr>
                            <w:color w:val="FFFFFF"/>
                            <w:sz w:val="16"/>
                          </w:rPr>
                          <w:t>courtesy</w:t>
                        </w:r>
                        <w:r>
                          <w:rPr>
                            <w:color w:val="FFFFFF"/>
                            <w:spacing w:val="12"/>
                            <w:sz w:val="16"/>
                          </w:rPr>
                          <w:t> </w:t>
                        </w:r>
                        <w:r>
                          <w:rPr>
                            <w:color w:val="FFFFFF"/>
                            <w:sz w:val="16"/>
                          </w:rPr>
                          <w:t>of</w:t>
                        </w:r>
                        <w:r>
                          <w:rPr>
                            <w:color w:val="FFFFFF"/>
                            <w:spacing w:val="11"/>
                            <w:sz w:val="16"/>
                          </w:rPr>
                          <w:t> </w:t>
                        </w:r>
                        <w:r>
                          <w:rPr>
                            <w:color w:val="FFFFFF"/>
                            <w:sz w:val="16"/>
                          </w:rPr>
                          <w:t>Livingston</w:t>
                        </w:r>
                        <w:r>
                          <w:rPr>
                            <w:color w:val="FFFFFF"/>
                            <w:spacing w:val="12"/>
                            <w:sz w:val="16"/>
                          </w:rPr>
                          <w:t> </w:t>
                        </w:r>
                        <w:r>
                          <w:rPr>
                            <w:color w:val="FFFFFF"/>
                            <w:sz w:val="16"/>
                          </w:rPr>
                          <w:t>County</w:t>
                        </w:r>
                        <w:r>
                          <w:rPr>
                            <w:color w:val="FFFFFF"/>
                            <w:spacing w:val="11"/>
                            <w:sz w:val="16"/>
                          </w:rPr>
                          <w:t> </w:t>
                        </w:r>
                        <w:r>
                          <w:rPr>
                            <w:color w:val="FFFFFF"/>
                            <w:sz w:val="16"/>
                          </w:rPr>
                          <w:t>Department</w:t>
                        </w:r>
                        <w:r>
                          <w:rPr>
                            <w:color w:val="FFFFFF"/>
                            <w:spacing w:val="12"/>
                            <w:sz w:val="16"/>
                          </w:rPr>
                          <w:t> </w:t>
                        </w:r>
                        <w:r>
                          <w:rPr>
                            <w:color w:val="FFFFFF"/>
                            <w:sz w:val="16"/>
                          </w:rPr>
                          <w:t>of</w:t>
                        </w:r>
                        <w:r>
                          <w:rPr>
                            <w:color w:val="FFFFFF"/>
                            <w:spacing w:val="11"/>
                            <w:sz w:val="16"/>
                          </w:rPr>
                          <w:t> </w:t>
                        </w:r>
                        <w:r>
                          <w:rPr>
                            <w:color w:val="FFFFFF"/>
                            <w:spacing w:val="-2"/>
                            <w:sz w:val="16"/>
                          </w:rPr>
                          <w:t>Health</w:t>
                        </w:r>
                      </w:p>
                    </w:txbxContent>
                  </v:textbox>
                  <w10:wrap type="none"/>
                </v:shape>
                <w10:wrap type="none"/>
              </v:group>
            </w:pict>
          </mc:Fallback>
        </mc:AlternateContent>
      </w:r>
      <w:r>
        <w:rPr>
          <w:color w:val="939598"/>
          <w:spacing w:val="-10"/>
          <w:w w:val="105"/>
        </w:rPr>
        <w:t>4</w:t>
      </w:r>
    </w:p>
    <w:p>
      <w:pPr>
        <w:pStyle w:val="Heading6"/>
        <w:spacing w:after="0"/>
        <w:jc w:val="right"/>
        <w:sectPr>
          <w:type w:val="continuous"/>
          <w:pgSz w:w="24480" w:h="15840" w:orient="landscape"/>
          <w:pgMar w:top="0" w:bottom="280" w:left="0" w:right="720"/>
        </w:sectPr>
      </w:pPr>
    </w:p>
    <w:p>
      <w:pPr>
        <w:pStyle w:val="BodyText"/>
        <w:rPr>
          <w:b/>
          <w:sz w:val="20"/>
        </w:rPr>
      </w:pPr>
    </w:p>
    <w:p>
      <w:pPr>
        <w:pStyle w:val="BodyText"/>
        <w:spacing w:before="16"/>
        <w:rPr>
          <w:b/>
          <w:sz w:val="20"/>
        </w:rPr>
      </w:pPr>
    </w:p>
    <w:p>
      <w:pPr>
        <w:pStyle w:val="BodyText"/>
        <w:spacing w:after="0"/>
        <w:rPr>
          <w:b/>
          <w:sz w:val="20"/>
        </w:rPr>
        <w:sectPr>
          <w:headerReference w:type="default" r:id="rId43"/>
          <w:pgSz w:w="24480" w:h="15840" w:orient="landscape"/>
          <w:pgMar w:header="0" w:footer="0" w:top="860" w:bottom="0" w:left="0" w:right="720"/>
        </w:sectPr>
      </w:pPr>
    </w:p>
    <w:p>
      <w:pPr>
        <w:pStyle w:val="Heading6"/>
        <w:spacing w:before="116"/>
      </w:pPr>
      <w:r>
        <w:rPr>
          <w:color w:val="105C84"/>
          <w:spacing w:val="-4"/>
        </w:rPr>
        <w:t>Regional</w:t>
      </w:r>
      <w:r>
        <w:rPr>
          <w:color w:val="105C84"/>
          <w:spacing w:val="-8"/>
        </w:rPr>
        <w:t> </w:t>
      </w:r>
      <w:r>
        <w:rPr>
          <w:color w:val="105C84"/>
          <w:spacing w:val="-4"/>
        </w:rPr>
        <w:t>Priority</w:t>
      </w:r>
      <w:r>
        <w:rPr>
          <w:color w:val="105C84"/>
          <w:spacing w:val="-7"/>
        </w:rPr>
        <w:t> </w:t>
      </w:r>
      <w:r>
        <w:rPr>
          <w:color w:val="105C84"/>
          <w:spacing w:val="-4"/>
        </w:rPr>
        <w:t>Alignment</w:t>
      </w:r>
    </w:p>
    <w:p>
      <w:pPr>
        <w:pStyle w:val="BodyText"/>
        <w:spacing w:line="247" w:lineRule="auto" w:before="268"/>
        <w:ind w:left="1080" w:right="194"/>
      </w:pPr>
      <w:r>
        <w:rPr>
          <w:color w:val="105C84"/>
        </w:rPr>
        <w:t>It</w:t>
      </w:r>
      <w:r>
        <w:rPr>
          <w:color w:val="105C84"/>
          <w:spacing w:val="17"/>
        </w:rPr>
        <w:t> </w:t>
      </w:r>
      <w:r>
        <w:rPr>
          <w:color w:val="105C84"/>
        </w:rPr>
        <w:t>is</w:t>
      </w:r>
      <w:r>
        <w:rPr>
          <w:color w:val="105C84"/>
          <w:spacing w:val="17"/>
        </w:rPr>
        <w:t> </w:t>
      </w:r>
      <w:r>
        <w:rPr>
          <w:color w:val="105C84"/>
        </w:rPr>
        <w:t>not</w:t>
      </w:r>
      <w:r>
        <w:rPr>
          <w:color w:val="105C84"/>
          <w:spacing w:val="17"/>
        </w:rPr>
        <w:t> </w:t>
      </w:r>
      <w:r>
        <w:rPr>
          <w:color w:val="105C84"/>
        </w:rPr>
        <w:t>surprising</w:t>
      </w:r>
      <w:r>
        <w:rPr>
          <w:color w:val="105C84"/>
          <w:spacing w:val="17"/>
        </w:rPr>
        <w:t> </w:t>
      </w:r>
      <w:r>
        <w:rPr>
          <w:color w:val="105C84"/>
        </w:rPr>
        <w:t>that</w:t>
      </w:r>
      <w:r>
        <w:rPr>
          <w:color w:val="105C84"/>
          <w:spacing w:val="17"/>
        </w:rPr>
        <w:t> </w:t>
      </w:r>
      <w:r>
        <w:rPr>
          <w:color w:val="105C84"/>
        </w:rPr>
        <w:t>each</w:t>
      </w:r>
      <w:r>
        <w:rPr>
          <w:color w:val="105C84"/>
          <w:spacing w:val="17"/>
        </w:rPr>
        <w:t> </w:t>
      </w:r>
      <w:r>
        <w:rPr>
          <w:color w:val="105C84"/>
        </w:rPr>
        <w:t>of</w:t>
      </w:r>
      <w:r>
        <w:rPr>
          <w:color w:val="105C84"/>
          <w:spacing w:val="17"/>
        </w:rPr>
        <w:t> </w:t>
      </w:r>
      <w:r>
        <w:rPr>
          <w:color w:val="105C84"/>
        </w:rPr>
        <w:t>the</w:t>
      </w:r>
      <w:r>
        <w:rPr>
          <w:color w:val="105C84"/>
          <w:spacing w:val="17"/>
        </w:rPr>
        <w:t> </w:t>
      </w:r>
      <w:r>
        <w:rPr>
          <w:color w:val="105C84"/>
        </w:rPr>
        <w:t>eight</w:t>
      </w:r>
      <w:r>
        <w:rPr>
          <w:color w:val="105C84"/>
          <w:spacing w:val="17"/>
        </w:rPr>
        <w:t> </w:t>
      </w:r>
      <w:r>
        <w:rPr>
          <w:color w:val="105C84"/>
        </w:rPr>
        <w:t>counties</w:t>
      </w:r>
      <w:r>
        <w:rPr>
          <w:color w:val="105C84"/>
          <w:spacing w:val="17"/>
        </w:rPr>
        <w:t> </w:t>
      </w:r>
      <w:r>
        <w:rPr>
          <w:color w:val="105C84"/>
        </w:rPr>
        <w:t>have</w:t>
      </w:r>
      <w:r>
        <w:rPr>
          <w:color w:val="105C84"/>
          <w:spacing w:val="17"/>
        </w:rPr>
        <w:t> </w:t>
      </w:r>
      <w:r>
        <w:rPr>
          <w:color w:val="105C84"/>
        </w:rPr>
        <w:t>selected</w:t>
      </w:r>
      <w:r>
        <w:rPr>
          <w:color w:val="105C84"/>
          <w:spacing w:val="17"/>
        </w:rPr>
        <w:t> </w:t>
      </w:r>
      <w:r>
        <w:rPr>
          <w:color w:val="105C84"/>
        </w:rPr>
        <w:t>Prevent</w:t>
      </w:r>
      <w:r>
        <w:rPr>
          <w:color w:val="105C84"/>
          <w:spacing w:val="17"/>
        </w:rPr>
        <w:t> </w:t>
      </w:r>
      <w:r>
        <w:rPr>
          <w:color w:val="105C84"/>
        </w:rPr>
        <w:t>Chronic</w:t>
      </w:r>
      <w:r>
        <w:rPr>
          <w:color w:val="105C84"/>
          <w:spacing w:val="17"/>
        </w:rPr>
        <w:t> </w:t>
      </w:r>
      <w:r>
        <w:rPr>
          <w:color w:val="105C84"/>
        </w:rPr>
        <w:t>Diseases</w:t>
      </w:r>
      <w:r>
        <w:rPr>
          <w:color w:val="105C84"/>
          <w:spacing w:val="17"/>
        </w:rPr>
        <w:t> </w:t>
      </w:r>
      <w:r>
        <w:rPr>
          <w:color w:val="105C84"/>
        </w:rPr>
        <w:t>as</w:t>
      </w:r>
      <w:r>
        <w:rPr>
          <w:color w:val="105C84"/>
          <w:spacing w:val="17"/>
        </w:rPr>
        <w:t> </w:t>
      </w:r>
      <w:r>
        <w:rPr>
          <w:color w:val="105C84"/>
        </w:rPr>
        <w:t>one of</w:t>
      </w:r>
      <w:r>
        <w:rPr>
          <w:color w:val="105C84"/>
          <w:spacing w:val="15"/>
        </w:rPr>
        <w:t> </w:t>
      </w:r>
      <w:r>
        <w:rPr>
          <w:color w:val="105C84"/>
        </w:rPr>
        <w:t>their</w:t>
      </w:r>
      <w:r>
        <w:rPr>
          <w:color w:val="105C84"/>
          <w:spacing w:val="15"/>
        </w:rPr>
        <w:t> </w:t>
      </w:r>
      <w:r>
        <w:rPr>
          <w:color w:val="105C84"/>
        </w:rPr>
        <w:t>priority</w:t>
      </w:r>
      <w:r>
        <w:rPr>
          <w:color w:val="105C84"/>
          <w:spacing w:val="15"/>
        </w:rPr>
        <w:t> </w:t>
      </w:r>
      <w:r>
        <w:rPr>
          <w:color w:val="105C84"/>
        </w:rPr>
        <w:t>areas</w:t>
      </w:r>
      <w:r>
        <w:rPr>
          <w:color w:val="105C84"/>
          <w:spacing w:val="15"/>
        </w:rPr>
        <w:t> </w:t>
      </w:r>
      <w:r>
        <w:rPr>
          <w:color w:val="105C84"/>
        </w:rPr>
        <w:t>to</w:t>
      </w:r>
      <w:r>
        <w:rPr>
          <w:color w:val="105C84"/>
          <w:spacing w:val="15"/>
        </w:rPr>
        <w:t> </w:t>
      </w:r>
      <w:r>
        <w:rPr>
          <w:color w:val="105C84"/>
        </w:rPr>
        <w:t>focus</w:t>
      </w:r>
      <w:r>
        <w:rPr>
          <w:color w:val="105C84"/>
          <w:spacing w:val="15"/>
        </w:rPr>
        <w:t> </w:t>
      </w:r>
      <w:r>
        <w:rPr>
          <w:color w:val="105C84"/>
        </w:rPr>
        <w:t>on</w:t>
      </w:r>
      <w:r>
        <w:rPr>
          <w:color w:val="105C84"/>
          <w:spacing w:val="15"/>
        </w:rPr>
        <w:t> </w:t>
      </w:r>
      <w:r>
        <w:rPr>
          <w:color w:val="105C84"/>
        </w:rPr>
        <w:t>through</w:t>
      </w:r>
      <w:r>
        <w:rPr>
          <w:color w:val="105C84"/>
          <w:spacing w:val="15"/>
        </w:rPr>
        <w:t> </w:t>
      </w:r>
      <w:r>
        <w:rPr>
          <w:color w:val="105C84"/>
        </w:rPr>
        <w:t>2021.</w:t>
      </w:r>
      <w:r>
        <w:rPr>
          <w:color w:val="105C84"/>
          <w:spacing w:val="15"/>
        </w:rPr>
        <w:t> </w:t>
      </w:r>
      <w:r>
        <w:rPr>
          <w:color w:val="105C84"/>
        </w:rPr>
        <w:t>It</w:t>
      </w:r>
      <w:r>
        <w:rPr>
          <w:color w:val="105C84"/>
          <w:spacing w:val="15"/>
        </w:rPr>
        <w:t> </w:t>
      </w:r>
      <w:r>
        <w:rPr>
          <w:color w:val="105C84"/>
        </w:rPr>
        <w:t>has</w:t>
      </w:r>
      <w:r>
        <w:rPr>
          <w:color w:val="105C84"/>
          <w:spacing w:val="15"/>
        </w:rPr>
        <w:t> </w:t>
      </w:r>
      <w:r>
        <w:rPr>
          <w:color w:val="105C84"/>
        </w:rPr>
        <w:t>been</w:t>
      </w:r>
      <w:r>
        <w:rPr>
          <w:color w:val="105C84"/>
          <w:spacing w:val="15"/>
        </w:rPr>
        <w:t> </w:t>
      </w:r>
      <w:r>
        <w:rPr>
          <w:color w:val="105C84"/>
        </w:rPr>
        <w:t>an</w:t>
      </w:r>
      <w:r>
        <w:rPr>
          <w:color w:val="105C84"/>
          <w:spacing w:val="15"/>
        </w:rPr>
        <w:t> </w:t>
      </w:r>
      <w:r>
        <w:rPr>
          <w:color w:val="105C84"/>
        </w:rPr>
        <w:t>opportunity</w:t>
      </w:r>
      <w:r>
        <w:rPr>
          <w:color w:val="105C84"/>
          <w:spacing w:val="15"/>
        </w:rPr>
        <w:t> </w:t>
      </w:r>
      <w:r>
        <w:rPr>
          <w:color w:val="105C84"/>
        </w:rPr>
        <w:t>for</w:t>
      </w:r>
      <w:r>
        <w:rPr>
          <w:color w:val="105C84"/>
          <w:spacing w:val="15"/>
        </w:rPr>
        <w:t> </w:t>
      </w:r>
      <w:r>
        <w:rPr>
          <w:color w:val="105C84"/>
        </w:rPr>
        <w:t>improvement</w:t>
      </w:r>
      <w:r>
        <w:rPr>
          <w:color w:val="105C84"/>
          <w:spacing w:val="15"/>
        </w:rPr>
        <w:t> </w:t>
      </w:r>
      <w:r>
        <w:rPr>
          <w:color w:val="105C84"/>
        </w:rPr>
        <w:t>for</w:t>
      </w:r>
      <w:r>
        <w:rPr>
          <w:color w:val="105C84"/>
          <w:spacing w:val="15"/>
        </w:rPr>
        <w:t> </w:t>
      </w:r>
      <w:r>
        <w:rPr>
          <w:color w:val="105C84"/>
        </w:rPr>
        <w:t>the</w:t>
      </w:r>
    </w:p>
    <w:p>
      <w:pPr>
        <w:pStyle w:val="BodyText"/>
        <w:spacing w:line="247" w:lineRule="auto"/>
        <w:ind w:left="1080"/>
      </w:pPr>
      <w:r>
        <w:rPr>
          <w:color w:val="105C84"/>
        </w:rPr>
        <w:t>past several assessment periods and remains one of the top priorities for each department. The most commonly selected focus areas within Prevent Chronic Diseases are (1) chronic disease preventative care management (six out of eight counties), (2) tobacco prevention (five out of eight counties) and</w:t>
      </w:r>
    </w:p>
    <w:p>
      <w:pPr>
        <w:pStyle w:val="BodyText"/>
        <w:spacing w:line="251" w:lineRule="exact"/>
        <w:ind w:left="1080"/>
      </w:pPr>
      <w:r>
        <w:rPr>
          <w:color w:val="105C84"/>
        </w:rPr>
        <w:t>(3)</w:t>
      </w:r>
      <w:r>
        <w:rPr>
          <w:color w:val="105C84"/>
          <w:spacing w:val="11"/>
        </w:rPr>
        <w:t> </w:t>
      </w:r>
      <w:r>
        <w:rPr>
          <w:color w:val="105C84"/>
        </w:rPr>
        <w:t>healthy</w:t>
      </w:r>
      <w:r>
        <w:rPr>
          <w:color w:val="105C84"/>
          <w:spacing w:val="11"/>
        </w:rPr>
        <w:t> </w:t>
      </w:r>
      <w:r>
        <w:rPr>
          <w:color w:val="105C84"/>
        </w:rPr>
        <w:t>eating</w:t>
      </w:r>
      <w:r>
        <w:rPr>
          <w:color w:val="105C84"/>
          <w:spacing w:val="11"/>
        </w:rPr>
        <w:t> </w:t>
      </w:r>
      <w:r>
        <w:rPr>
          <w:color w:val="105C84"/>
        </w:rPr>
        <w:t>and</w:t>
      </w:r>
      <w:r>
        <w:rPr>
          <w:color w:val="105C84"/>
          <w:spacing w:val="11"/>
        </w:rPr>
        <w:t> </w:t>
      </w:r>
      <w:r>
        <w:rPr>
          <w:color w:val="105C84"/>
        </w:rPr>
        <w:t>food</w:t>
      </w:r>
      <w:r>
        <w:rPr>
          <w:color w:val="105C84"/>
          <w:spacing w:val="11"/>
        </w:rPr>
        <w:t> </w:t>
      </w:r>
      <w:r>
        <w:rPr>
          <w:color w:val="105C84"/>
        </w:rPr>
        <w:t>security</w:t>
      </w:r>
      <w:r>
        <w:rPr>
          <w:color w:val="105C84"/>
          <w:spacing w:val="11"/>
        </w:rPr>
        <w:t> </w:t>
      </w:r>
      <w:r>
        <w:rPr>
          <w:color w:val="105C84"/>
        </w:rPr>
        <w:t>(four</w:t>
      </w:r>
      <w:r>
        <w:rPr>
          <w:color w:val="105C84"/>
          <w:spacing w:val="11"/>
        </w:rPr>
        <w:t> </w:t>
      </w:r>
      <w:r>
        <w:rPr>
          <w:color w:val="105C84"/>
        </w:rPr>
        <w:t>out</w:t>
      </w:r>
      <w:r>
        <w:rPr>
          <w:color w:val="105C84"/>
          <w:spacing w:val="11"/>
        </w:rPr>
        <w:t> </w:t>
      </w:r>
      <w:r>
        <w:rPr>
          <w:color w:val="105C84"/>
        </w:rPr>
        <w:t>of</w:t>
      </w:r>
      <w:r>
        <w:rPr>
          <w:color w:val="105C84"/>
          <w:spacing w:val="11"/>
        </w:rPr>
        <w:t> </w:t>
      </w:r>
      <w:r>
        <w:rPr>
          <w:color w:val="105C84"/>
        </w:rPr>
        <w:t>eight</w:t>
      </w:r>
      <w:r>
        <w:rPr>
          <w:color w:val="105C84"/>
          <w:spacing w:val="11"/>
        </w:rPr>
        <w:t> </w:t>
      </w:r>
      <w:r>
        <w:rPr>
          <w:color w:val="105C84"/>
          <w:spacing w:val="-2"/>
        </w:rPr>
        <w:t>counties).</w:t>
      </w:r>
    </w:p>
    <w:p>
      <w:pPr>
        <w:pStyle w:val="BodyText"/>
        <w:spacing w:line="247" w:lineRule="auto" w:before="186"/>
        <w:ind w:left="1080"/>
      </w:pPr>
      <w:r>
        <w:rPr>
          <w:color w:val="105C84"/>
        </w:rPr>
        <w:t>Promote Well-Being and Prevent Mental and Substance Use Disorders was the second most popular priority</w:t>
      </w:r>
      <w:r>
        <w:rPr>
          <w:color w:val="105C84"/>
          <w:spacing w:val="22"/>
        </w:rPr>
        <w:t> </w:t>
      </w:r>
      <w:r>
        <w:rPr>
          <w:color w:val="105C84"/>
        </w:rPr>
        <w:t>area</w:t>
      </w:r>
      <w:r>
        <w:rPr>
          <w:color w:val="105C84"/>
          <w:spacing w:val="22"/>
        </w:rPr>
        <w:t> </w:t>
      </w:r>
      <w:r>
        <w:rPr>
          <w:color w:val="105C84"/>
        </w:rPr>
        <w:t>with</w:t>
      </w:r>
      <w:r>
        <w:rPr>
          <w:color w:val="105C84"/>
          <w:spacing w:val="22"/>
        </w:rPr>
        <w:t> </w:t>
      </w:r>
      <w:r>
        <w:rPr>
          <w:color w:val="105C84"/>
        </w:rPr>
        <w:t>seven</w:t>
      </w:r>
      <w:r>
        <w:rPr>
          <w:color w:val="105C84"/>
          <w:spacing w:val="22"/>
        </w:rPr>
        <w:t> </w:t>
      </w:r>
      <w:r>
        <w:rPr>
          <w:color w:val="105C84"/>
        </w:rPr>
        <w:t>out</w:t>
      </w:r>
      <w:r>
        <w:rPr>
          <w:color w:val="105C84"/>
          <w:spacing w:val="22"/>
        </w:rPr>
        <w:t> </w:t>
      </w:r>
      <w:r>
        <w:rPr>
          <w:color w:val="105C84"/>
        </w:rPr>
        <w:t>of</w:t>
      </w:r>
      <w:r>
        <w:rPr>
          <w:color w:val="105C84"/>
          <w:spacing w:val="22"/>
        </w:rPr>
        <w:t> </w:t>
      </w:r>
      <w:r>
        <w:rPr>
          <w:color w:val="105C84"/>
        </w:rPr>
        <w:t>eight</w:t>
      </w:r>
      <w:r>
        <w:rPr>
          <w:color w:val="105C84"/>
          <w:spacing w:val="22"/>
        </w:rPr>
        <w:t> </w:t>
      </w:r>
      <w:r>
        <w:rPr>
          <w:color w:val="105C84"/>
        </w:rPr>
        <w:t>counties</w:t>
      </w:r>
      <w:r>
        <w:rPr>
          <w:color w:val="105C84"/>
          <w:spacing w:val="22"/>
        </w:rPr>
        <w:t> </w:t>
      </w:r>
      <w:r>
        <w:rPr>
          <w:color w:val="105C84"/>
        </w:rPr>
        <w:t>selecting</w:t>
      </w:r>
      <w:r>
        <w:rPr>
          <w:color w:val="105C84"/>
          <w:spacing w:val="22"/>
        </w:rPr>
        <w:t> </w:t>
      </w:r>
      <w:r>
        <w:rPr>
          <w:color w:val="105C84"/>
        </w:rPr>
        <w:t>this</w:t>
      </w:r>
      <w:r>
        <w:rPr>
          <w:color w:val="105C84"/>
          <w:spacing w:val="22"/>
        </w:rPr>
        <w:t> </w:t>
      </w:r>
      <w:r>
        <w:rPr>
          <w:color w:val="105C84"/>
        </w:rPr>
        <w:t>area.</w:t>
      </w:r>
      <w:r>
        <w:rPr>
          <w:color w:val="105C84"/>
          <w:spacing w:val="22"/>
        </w:rPr>
        <w:t> </w:t>
      </w:r>
      <w:r>
        <w:rPr>
          <w:color w:val="105C84"/>
        </w:rPr>
        <w:t>The</w:t>
      </w:r>
      <w:r>
        <w:rPr>
          <w:color w:val="105C84"/>
          <w:spacing w:val="22"/>
        </w:rPr>
        <w:t> </w:t>
      </w:r>
      <w:r>
        <w:rPr>
          <w:color w:val="105C84"/>
        </w:rPr>
        <w:t>particular</w:t>
      </w:r>
      <w:r>
        <w:rPr>
          <w:color w:val="105C84"/>
          <w:spacing w:val="22"/>
        </w:rPr>
        <w:t> </w:t>
      </w:r>
      <w:r>
        <w:rPr>
          <w:color w:val="105C84"/>
        </w:rPr>
        <w:t>focus</w:t>
      </w:r>
      <w:r>
        <w:rPr>
          <w:color w:val="105C84"/>
          <w:spacing w:val="22"/>
        </w:rPr>
        <w:t> </w:t>
      </w:r>
      <w:r>
        <w:rPr>
          <w:color w:val="105C84"/>
        </w:rPr>
        <w:t>area</w:t>
      </w:r>
      <w:r>
        <w:rPr>
          <w:color w:val="105C84"/>
          <w:spacing w:val="22"/>
        </w:rPr>
        <w:t> </w:t>
      </w:r>
      <w:r>
        <w:rPr>
          <w:color w:val="105C84"/>
        </w:rPr>
        <w:t>the majority of counties have selected revolve around prevention (seven out of eight counties).</w:t>
      </w:r>
    </w:p>
    <w:p>
      <w:pPr>
        <w:pStyle w:val="BodyText"/>
        <w:spacing w:before="143"/>
      </w:pPr>
    </w:p>
    <w:p>
      <w:pPr>
        <w:pStyle w:val="Heading6"/>
      </w:pPr>
      <w:r>
        <w:rPr>
          <w:color w:val="105C84"/>
        </w:rPr>
        <w:t>MAP</w:t>
      </w:r>
      <w:r>
        <w:rPr>
          <w:color w:val="105C84"/>
          <w:spacing w:val="-9"/>
        </w:rPr>
        <w:t> </w:t>
      </w:r>
      <w:r>
        <w:rPr>
          <w:color w:val="105C84"/>
        </w:rPr>
        <w:t>1:</w:t>
      </w:r>
      <w:r>
        <w:rPr>
          <w:color w:val="105C84"/>
          <w:spacing w:val="-9"/>
        </w:rPr>
        <w:t> </w:t>
      </w:r>
      <w:r>
        <w:rPr>
          <w:color w:val="105C84"/>
        </w:rPr>
        <w:t>Selected</w:t>
      </w:r>
      <w:r>
        <w:rPr>
          <w:color w:val="105C84"/>
          <w:spacing w:val="-9"/>
        </w:rPr>
        <w:t> </w:t>
      </w:r>
      <w:r>
        <w:rPr>
          <w:color w:val="105C84"/>
        </w:rPr>
        <w:t>Priority</w:t>
      </w:r>
      <w:r>
        <w:rPr>
          <w:color w:val="105C84"/>
          <w:spacing w:val="-9"/>
        </w:rPr>
        <w:t> </w:t>
      </w:r>
      <w:r>
        <w:rPr>
          <w:color w:val="105C84"/>
          <w:spacing w:val="-2"/>
        </w:rPr>
        <w:t>Areas</w:t>
      </w:r>
    </w:p>
    <w:p>
      <w:pPr>
        <w:pStyle w:val="Heading6"/>
        <w:spacing w:before="116"/>
      </w:pPr>
      <w:r>
        <w:rPr>
          <w:b w:val="0"/>
        </w:rPr>
        <w:br w:type="column"/>
      </w:r>
      <w:r>
        <w:rPr>
          <w:color w:val="105C84"/>
          <w:spacing w:val="-2"/>
        </w:rPr>
        <w:t>Interventions</w:t>
      </w:r>
    </w:p>
    <w:p>
      <w:pPr>
        <w:pStyle w:val="BodyText"/>
        <w:spacing w:before="268"/>
        <w:ind w:left="1080"/>
      </w:pPr>
      <w:r>
        <w:rPr/>
        <mc:AlternateContent>
          <mc:Choice Requires="wps">
            <w:drawing>
              <wp:anchor distT="0" distB="0" distL="0" distR="0" allowOverlap="1" layoutInCell="1" locked="0" behindDoc="0" simplePos="0" relativeHeight="15736832">
                <wp:simplePos x="0" y="0"/>
                <wp:positionH relativeFrom="page">
                  <wp:posOffset>8420100</wp:posOffset>
                </wp:positionH>
                <wp:positionV relativeFrom="paragraph">
                  <wp:posOffset>466765</wp:posOffset>
                </wp:positionV>
                <wp:extent cx="6470015" cy="6514465"/>
                <wp:effectExtent l="0" t="0" r="0" b="0"/>
                <wp:wrapNone/>
                <wp:docPr id="55" name="Textbox 55"/>
                <wp:cNvGraphicFramePr>
                  <a:graphicFrameLocks/>
                </wp:cNvGraphicFramePr>
                <a:graphic>
                  <a:graphicData uri="http://schemas.microsoft.com/office/word/2010/wordprocessingShape">
                    <wps:wsp>
                      <wps:cNvPr id="55" name="Textbox 55"/>
                      <wps:cNvSpPr txBox="1"/>
                      <wps:spPr>
                        <a:xfrm>
                          <a:off x="0" y="0"/>
                          <a:ext cx="6470015" cy="6514465"/>
                        </a:xfrm>
                        <a:prstGeom prst="rect">
                          <a:avLst/>
                        </a:prstGeom>
                      </wps:spPr>
                      <wps:txbx>
                        <w:txbxContent>
                          <w:tbl>
                            <w:tblPr>
                              <w:tblW w:w="0" w:type="auto"/>
                              <w:jc w:val="left"/>
                              <w:tblInd w:w="62"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top w:w="0" w:type="dxa"/>
                                <w:left w:w="0" w:type="dxa"/>
                                <w:bottom w:w="0" w:type="dxa"/>
                                <w:right w:w="0" w:type="dxa"/>
                              </w:tblCellMar>
                              <w:tblLook w:val="01E0"/>
                            </w:tblPr>
                            <w:tblGrid>
                              <w:gridCol w:w="2057"/>
                              <w:gridCol w:w="8007"/>
                            </w:tblGrid>
                            <w:tr>
                              <w:trPr>
                                <w:trHeight w:val="481" w:hRule="atLeast"/>
                              </w:trPr>
                              <w:tc>
                                <w:tcPr>
                                  <w:tcW w:w="2057" w:type="dxa"/>
                                  <w:tcBorders>
                                    <w:right w:val="single" w:sz="4" w:space="0" w:color="FFFFFF"/>
                                  </w:tcBorders>
                                  <w:shd w:val="clear" w:color="auto" w:fill="82BF6A"/>
                                </w:tcPr>
                                <w:p>
                                  <w:pPr>
                                    <w:pStyle w:val="TableParagraph"/>
                                    <w:spacing w:before="103"/>
                                    <w:ind w:left="180"/>
                                    <w:rPr>
                                      <w:b/>
                                      <w:sz w:val="26"/>
                                    </w:rPr>
                                  </w:pPr>
                                  <w:r>
                                    <w:rPr>
                                      <w:b/>
                                      <w:color w:val="FFFFFF"/>
                                      <w:spacing w:val="-4"/>
                                      <w:sz w:val="26"/>
                                    </w:rPr>
                                    <w:t>FOCUS</w:t>
                                  </w:r>
                                  <w:r>
                                    <w:rPr>
                                      <w:b/>
                                      <w:color w:val="FFFFFF"/>
                                      <w:spacing w:val="-13"/>
                                      <w:sz w:val="26"/>
                                    </w:rPr>
                                    <w:t> </w:t>
                                  </w:r>
                                  <w:r>
                                    <w:rPr>
                                      <w:b/>
                                      <w:color w:val="FFFFFF"/>
                                      <w:spacing w:val="-4"/>
                                      <w:sz w:val="26"/>
                                    </w:rPr>
                                    <w:t>AREA</w:t>
                                  </w:r>
                                </w:p>
                              </w:tc>
                              <w:tc>
                                <w:tcPr>
                                  <w:tcW w:w="8007" w:type="dxa"/>
                                  <w:tcBorders>
                                    <w:left w:val="single" w:sz="4" w:space="0" w:color="FFFFFF"/>
                                  </w:tcBorders>
                                  <w:shd w:val="clear" w:color="auto" w:fill="00A79E"/>
                                </w:tcPr>
                                <w:p>
                                  <w:pPr>
                                    <w:pStyle w:val="TableParagraph"/>
                                    <w:spacing w:before="103"/>
                                    <w:ind w:left="177"/>
                                    <w:rPr>
                                      <w:b/>
                                      <w:sz w:val="26"/>
                                    </w:rPr>
                                  </w:pPr>
                                  <w:r>
                                    <w:rPr>
                                      <w:b/>
                                      <w:color w:val="FFFFFF"/>
                                      <w:sz w:val="26"/>
                                    </w:rPr>
                                    <w:t>INTERVENTION*</w:t>
                                  </w:r>
                                  <w:r>
                                    <w:rPr>
                                      <w:b/>
                                      <w:color w:val="FFFFFF"/>
                                      <w:spacing w:val="1"/>
                                      <w:sz w:val="26"/>
                                    </w:rPr>
                                    <w:t> </w:t>
                                  </w:r>
                                  <w:r>
                                    <w:rPr>
                                      <w:b/>
                                      <w:color w:val="FFFFFF"/>
                                      <w:sz w:val="26"/>
                                    </w:rPr>
                                    <w:t>&amp;</w:t>
                                  </w:r>
                                  <w:r>
                                    <w:rPr>
                                      <w:b/>
                                      <w:color w:val="FFFFFF"/>
                                      <w:spacing w:val="2"/>
                                      <w:sz w:val="26"/>
                                    </w:rPr>
                                    <w:t> </w:t>
                                  </w:r>
                                  <w:r>
                                    <w:rPr>
                                      <w:b/>
                                      <w:color w:val="FFFFFF"/>
                                      <w:sz w:val="26"/>
                                    </w:rPr>
                                    <w:t>#</w:t>
                                  </w:r>
                                  <w:r>
                                    <w:rPr>
                                      <w:b/>
                                      <w:color w:val="FFFFFF"/>
                                      <w:spacing w:val="2"/>
                                      <w:sz w:val="26"/>
                                    </w:rPr>
                                    <w:t> </w:t>
                                  </w:r>
                                  <w:r>
                                    <w:rPr>
                                      <w:b/>
                                      <w:color w:val="FFFFFF"/>
                                      <w:sz w:val="26"/>
                                    </w:rPr>
                                    <w:t>OF</w:t>
                                  </w:r>
                                  <w:r>
                                    <w:rPr>
                                      <w:b/>
                                      <w:color w:val="FFFFFF"/>
                                      <w:spacing w:val="2"/>
                                      <w:sz w:val="26"/>
                                    </w:rPr>
                                    <w:t> </w:t>
                                  </w:r>
                                  <w:r>
                                    <w:rPr>
                                      <w:b/>
                                      <w:color w:val="FFFFFF"/>
                                      <w:sz w:val="26"/>
                                    </w:rPr>
                                    <w:t>COUNTIES</w:t>
                                  </w:r>
                                  <w:r>
                                    <w:rPr>
                                      <w:b/>
                                      <w:color w:val="FFFFFF"/>
                                      <w:spacing w:val="2"/>
                                      <w:sz w:val="26"/>
                                    </w:rPr>
                                    <w:t> </w:t>
                                  </w:r>
                                  <w:r>
                                    <w:rPr>
                                      <w:b/>
                                      <w:color w:val="FFFFFF"/>
                                      <w:spacing w:val="-2"/>
                                      <w:sz w:val="26"/>
                                    </w:rPr>
                                    <w:t>SELECTED</w:t>
                                  </w:r>
                                </w:p>
                              </w:tc>
                            </w:tr>
                            <w:tr>
                              <w:trPr>
                                <w:trHeight w:val="1835" w:hRule="atLeast"/>
                              </w:trPr>
                              <w:tc>
                                <w:tcPr>
                                  <w:tcW w:w="2057" w:type="dxa"/>
                                </w:tcPr>
                                <w:p>
                                  <w:pPr>
                                    <w:pStyle w:val="TableParagraph"/>
                                    <w:spacing w:line="230" w:lineRule="auto" w:before="197"/>
                                    <w:ind w:left="180" w:right="169"/>
                                    <w:rPr>
                                      <w:b/>
                                      <w:sz w:val="20"/>
                                    </w:rPr>
                                  </w:pPr>
                                  <w:r>
                                    <w:rPr>
                                      <w:b/>
                                      <w:color w:val="105C84"/>
                                      <w:sz w:val="20"/>
                                    </w:rPr>
                                    <w:t>Chronic disease preventative</w:t>
                                  </w:r>
                                  <w:r>
                                    <w:rPr>
                                      <w:b/>
                                      <w:color w:val="105C84"/>
                                      <w:spacing w:val="-14"/>
                                      <w:sz w:val="20"/>
                                    </w:rPr>
                                    <w:t> </w:t>
                                  </w:r>
                                  <w:r>
                                    <w:rPr>
                                      <w:b/>
                                      <w:color w:val="105C84"/>
                                      <w:sz w:val="20"/>
                                    </w:rPr>
                                    <w:t>care and </w:t>
                                  </w:r>
                                  <w:r>
                                    <w:rPr>
                                      <w:b/>
                                      <w:color w:val="105C84"/>
                                      <w:spacing w:val="-2"/>
                                      <w:sz w:val="20"/>
                                    </w:rPr>
                                    <w:t>management</w:t>
                                  </w:r>
                                </w:p>
                              </w:tc>
                              <w:tc>
                                <w:tcPr>
                                  <w:tcW w:w="8007" w:type="dxa"/>
                                </w:tcPr>
                                <w:p>
                                  <w:pPr>
                                    <w:pStyle w:val="TableParagraph"/>
                                    <w:numPr>
                                      <w:ilvl w:val="2"/>
                                      <w:numId w:val="2"/>
                                    </w:numPr>
                                    <w:tabs>
                                      <w:tab w:pos="658" w:val="left" w:leader="none"/>
                                    </w:tabs>
                                    <w:spacing w:line="230" w:lineRule="auto" w:before="197" w:after="0"/>
                                    <w:ind w:left="179" w:right="398" w:firstLine="0"/>
                                    <w:jc w:val="left"/>
                                    <w:rPr>
                                      <w:sz w:val="20"/>
                                    </w:rPr>
                                  </w:pPr>
                                  <w:r>
                                    <w:rPr>
                                      <w:color w:val="105C84"/>
                                      <w:sz w:val="20"/>
                                    </w:rPr>
                                    <w:t>Conduct one-on-one (by phone or in-person) and group education (presentation or other interactive session in a church, home, senior center or </w:t>
                                  </w:r>
                                  <w:r>
                                    <w:rPr>
                                      <w:color w:val="105C84"/>
                                      <w:sz w:val="20"/>
                                    </w:rPr>
                                    <w:t>other setting) (selected by three counties)</w:t>
                                  </w:r>
                                </w:p>
                                <w:p>
                                  <w:pPr>
                                    <w:pStyle w:val="TableParagraph"/>
                                    <w:numPr>
                                      <w:ilvl w:val="2"/>
                                      <w:numId w:val="2"/>
                                    </w:numPr>
                                    <w:tabs>
                                      <w:tab w:pos="658" w:val="left" w:leader="none"/>
                                    </w:tabs>
                                    <w:spacing w:line="230" w:lineRule="auto" w:before="178" w:after="0"/>
                                    <w:ind w:left="179" w:right="621" w:firstLine="0"/>
                                    <w:jc w:val="left"/>
                                    <w:rPr>
                                      <w:sz w:val="20"/>
                                    </w:rPr>
                                  </w:pPr>
                                  <w:r>
                                    <w:rPr>
                                      <w:color w:val="105C84"/>
                                      <w:sz w:val="20"/>
                                    </w:rPr>
                                    <w:t>Use small media such as videos, printed materials (letters, brochures, newsletters) and health communications to build public awareness and </w:t>
                                  </w:r>
                                  <w:r>
                                    <w:rPr>
                                      <w:color w:val="105C84"/>
                                      <w:sz w:val="20"/>
                                    </w:rPr>
                                    <w:t>demand (selected by four counties)</w:t>
                                  </w:r>
                                </w:p>
                              </w:tc>
                            </w:tr>
                            <w:tr>
                              <w:trPr>
                                <w:trHeight w:val="2923" w:hRule="atLeast"/>
                              </w:trPr>
                              <w:tc>
                                <w:tcPr>
                                  <w:tcW w:w="2057" w:type="dxa"/>
                                  <w:shd w:val="clear" w:color="auto" w:fill="EFEFF0"/>
                                </w:tcPr>
                                <w:p>
                                  <w:pPr>
                                    <w:pStyle w:val="TableParagraph"/>
                                    <w:spacing w:line="230" w:lineRule="auto" w:before="197"/>
                                    <w:ind w:left="180" w:right="169"/>
                                    <w:rPr>
                                      <w:b/>
                                      <w:sz w:val="20"/>
                                    </w:rPr>
                                  </w:pPr>
                                  <w:r>
                                    <w:rPr>
                                      <w:b/>
                                      <w:color w:val="105C84"/>
                                      <w:spacing w:val="-2"/>
                                      <w:sz w:val="20"/>
                                    </w:rPr>
                                    <w:t>Tobacco prevention</w:t>
                                  </w:r>
                                </w:p>
                              </w:tc>
                              <w:tc>
                                <w:tcPr>
                                  <w:tcW w:w="8007" w:type="dxa"/>
                                  <w:shd w:val="clear" w:color="auto" w:fill="EFEFF0"/>
                                </w:tcPr>
                                <w:p>
                                  <w:pPr>
                                    <w:pStyle w:val="TableParagraph"/>
                                    <w:spacing w:line="230" w:lineRule="auto" w:before="197"/>
                                    <w:ind w:left="179" w:right="478"/>
                                    <w:jc w:val="both"/>
                                    <w:rPr>
                                      <w:sz w:val="20"/>
                                    </w:rPr>
                                  </w:pPr>
                                  <w:r>
                                    <w:rPr>
                                      <w:color w:val="105C84"/>
                                      <w:sz w:val="20"/>
                                    </w:rPr>
                                    <w:t>3.1.2 Use media and health communications to highlight the dangers of tobacco, promote effective tobacco control policies and reshape social norms (selected </w:t>
                                  </w:r>
                                  <w:r>
                                    <w:rPr>
                                      <w:color w:val="105C84"/>
                                      <w:sz w:val="20"/>
                                    </w:rPr>
                                    <w:t>b</w:t>
                                  </w:r>
                                  <w:r>
                                    <w:rPr>
                                      <w:color w:val="105C84"/>
                                      <w:sz w:val="20"/>
                                    </w:rPr>
                                    <w:t>y</w:t>
                                  </w:r>
                                  <w:r>
                                    <w:rPr>
                                      <w:color w:val="105C84"/>
                                      <w:sz w:val="20"/>
                                    </w:rPr>
                                    <w:t> four counties)</w:t>
                                  </w:r>
                                </w:p>
                                <w:p>
                                  <w:pPr>
                                    <w:pStyle w:val="TableParagraph"/>
                                    <w:spacing w:line="230" w:lineRule="auto" w:before="178"/>
                                    <w:ind w:left="179" w:right="317"/>
                                    <w:rPr>
                                      <w:sz w:val="20"/>
                                    </w:rPr>
                                  </w:pPr>
                                  <w:r>
                                    <w:rPr>
                                      <w:color w:val="105C84"/>
                                      <w:sz w:val="20"/>
                                    </w:rPr>
                                    <w:t>3.2.3 Use health communications targeting health care providers to encourage their involvement in their patients’ quit attempts encouraging use of evidence based</w:t>
                                  </w:r>
                                  <w:r>
                                    <w:rPr>
                                      <w:color w:val="105C84"/>
                                      <w:spacing w:val="40"/>
                                      <w:sz w:val="20"/>
                                    </w:rPr>
                                    <w:t> </w:t>
                                  </w:r>
                                  <w:r>
                                    <w:rPr>
                                      <w:color w:val="105C84"/>
                                      <w:sz w:val="20"/>
                                    </w:rPr>
                                    <w:t>quitting, increasing awareness of available cessation benefits (especially Medicaid) and removing barriers to treatment (selected by three counties)</w:t>
                                  </w:r>
                                </w:p>
                                <w:p>
                                  <w:pPr>
                                    <w:pStyle w:val="TableParagraph"/>
                                    <w:spacing w:line="230" w:lineRule="auto" w:before="177"/>
                                    <w:ind w:left="179" w:right="317"/>
                                    <w:rPr>
                                      <w:sz w:val="20"/>
                                    </w:rPr>
                                  </w:pPr>
                                  <w:r>
                                    <w:rPr>
                                      <w:color w:val="105C84"/>
                                      <w:sz w:val="20"/>
                                    </w:rPr>
                                    <w:t>3.3.1 Promote smoke-free and aerosol-free (from electronic vapor products) policies in multi-unit housing, including apartment complexes, condominiums and co-ops,</w:t>
                                  </w:r>
                                  <w:r>
                                    <w:rPr>
                                      <w:color w:val="105C84"/>
                                      <w:spacing w:val="40"/>
                                      <w:sz w:val="20"/>
                                    </w:rPr>
                                    <w:t> </w:t>
                                  </w:r>
                                  <w:r>
                                    <w:rPr>
                                      <w:color w:val="105C84"/>
                                      <w:sz w:val="20"/>
                                    </w:rPr>
                                    <w:t>especially those that house low-SES residents (selected by four counties)</w:t>
                                  </w:r>
                                </w:p>
                              </w:tc>
                            </w:tr>
                            <w:tr>
                              <w:trPr>
                                <w:trHeight w:val="1395" w:hRule="atLeast"/>
                              </w:trPr>
                              <w:tc>
                                <w:tcPr>
                                  <w:tcW w:w="2057" w:type="dxa"/>
                                </w:tcPr>
                                <w:p>
                                  <w:pPr>
                                    <w:pStyle w:val="TableParagraph"/>
                                    <w:spacing w:line="230" w:lineRule="auto" w:before="197"/>
                                    <w:ind w:left="180" w:right="169"/>
                                    <w:rPr>
                                      <w:b/>
                                      <w:sz w:val="20"/>
                                    </w:rPr>
                                  </w:pPr>
                                  <w:r>
                                    <w:rPr>
                                      <w:b/>
                                      <w:color w:val="105C84"/>
                                      <w:sz w:val="20"/>
                                    </w:rPr>
                                    <w:t>Healthy eating and</w:t>
                                  </w:r>
                                  <w:r>
                                    <w:rPr>
                                      <w:b/>
                                      <w:color w:val="105C84"/>
                                      <w:spacing w:val="-14"/>
                                      <w:sz w:val="20"/>
                                    </w:rPr>
                                    <w:t> </w:t>
                                  </w:r>
                                  <w:r>
                                    <w:rPr>
                                      <w:b/>
                                      <w:color w:val="105C84"/>
                                      <w:sz w:val="20"/>
                                    </w:rPr>
                                    <w:t>food</w:t>
                                  </w:r>
                                  <w:r>
                                    <w:rPr>
                                      <w:b/>
                                      <w:color w:val="105C84"/>
                                      <w:spacing w:val="-14"/>
                                      <w:sz w:val="20"/>
                                    </w:rPr>
                                    <w:t> </w:t>
                                  </w:r>
                                  <w:r>
                                    <w:rPr>
                                      <w:b/>
                                      <w:color w:val="105C84"/>
                                      <w:sz w:val="20"/>
                                    </w:rPr>
                                    <w:t>security</w:t>
                                  </w:r>
                                </w:p>
                              </w:tc>
                              <w:tc>
                                <w:tcPr>
                                  <w:tcW w:w="8007" w:type="dxa"/>
                                </w:tcPr>
                                <w:p>
                                  <w:pPr>
                                    <w:pStyle w:val="TableParagraph"/>
                                    <w:spacing w:line="230" w:lineRule="auto" w:before="197"/>
                                    <w:ind w:left="179" w:right="317"/>
                                    <w:rPr>
                                      <w:sz w:val="20"/>
                                    </w:rPr>
                                  </w:pPr>
                                  <w:r>
                                    <w:rPr>
                                      <w:color w:val="105C84"/>
                                      <w:sz w:val="20"/>
                                    </w:rPr>
                                    <w:t>1.0.3 Implement worksite nutrition and physical activity programs designed </w:t>
                                  </w:r>
                                  <w:r>
                                    <w:rPr>
                                      <w:color w:val="105C84"/>
                                      <w:sz w:val="20"/>
                                    </w:rPr>
                                    <w:t>t</w:t>
                                  </w:r>
                                  <w:r>
                                    <w:rPr>
                                      <w:color w:val="105C84"/>
                                      <w:sz w:val="20"/>
                                    </w:rPr>
                                    <w:t>o</w:t>
                                  </w:r>
                                  <w:r>
                                    <w:rPr>
                                      <w:color w:val="105C84"/>
                                      <w:sz w:val="20"/>
                                    </w:rPr>
                                    <w:t> improve health behaviors and results (selected by three counties)</w:t>
                                  </w:r>
                                </w:p>
                                <w:p>
                                  <w:pPr>
                                    <w:pStyle w:val="TableParagraph"/>
                                    <w:spacing w:line="230" w:lineRule="auto" w:before="179"/>
                                    <w:ind w:left="179" w:right="317"/>
                                    <w:rPr>
                                      <w:sz w:val="20"/>
                                    </w:rPr>
                                  </w:pPr>
                                  <w:r>
                                    <w:rPr>
                                      <w:color w:val="105C84"/>
                                      <w:sz w:val="20"/>
                                    </w:rPr>
                                    <w:t>1.0.4 Multi-component school-based obesity prevention interventions (selected </w:t>
                                  </w:r>
                                  <w:r>
                                    <w:rPr>
                                      <w:color w:val="105C84"/>
                                      <w:sz w:val="20"/>
                                    </w:rPr>
                                    <w:t>b</w:t>
                                  </w:r>
                                  <w:r>
                                    <w:rPr>
                                      <w:color w:val="105C84"/>
                                      <w:sz w:val="20"/>
                                    </w:rPr>
                                    <w:t>y</w:t>
                                  </w:r>
                                  <w:r>
                                    <w:rPr>
                                      <w:color w:val="105C84"/>
                                      <w:sz w:val="20"/>
                                    </w:rPr>
                                    <w:t> three counties)</w:t>
                                  </w:r>
                                </w:p>
                              </w:tc>
                            </w:tr>
                            <w:tr>
                              <w:trPr>
                                <w:trHeight w:val="2855" w:hRule="atLeast"/>
                              </w:trPr>
                              <w:tc>
                                <w:tcPr>
                                  <w:tcW w:w="2057" w:type="dxa"/>
                                  <w:shd w:val="clear" w:color="auto" w:fill="EFEFF0"/>
                                </w:tcPr>
                                <w:p>
                                  <w:pPr>
                                    <w:pStyle w:val="TableParagraph"/>
                                    <w:spacing w:line="230" w:lineRule="auto" w:before="197"/>
                                    <w:ind w:left="180" w:right="169"/>
                                    <w:rPr>
                                      <w:b/>
                                      <w:sz w:val="20"/>
                                    </w:rPr>
                                  </w:pPr>
                                  <w:r>
                                    <w:rPr>
                                      <w:b/>
                                      <w:color w:val="105C84"/>
                                      <w:sz w:val="20"/>
                                    </w:rPr>
                                    <w:t>Prevent</w:t>
                                  </w:r>
                                  <w:r>
                                    <w:rPr>
                                      <w:b/>
                                      <w:color w:val="105C84"/>
                                      <w:spacing w:val="-14"/>
                                      <w:sz w:val="20"/>
                                    </w:rPr>
                                    <w:t> </w:t>
                                  </w:r>
                                  <w:r>
                                    <w:rPr>
                                      <w:b/>
                                      <w:color w:val="105C84"/>
                                      <w:sz w:val="20"/>
                                    </w:rPr>
                                    <w:t>mental and substance use disorders</w:t>
                                  </w:r>
                                </w:p>
                              </w:tc>
                              <w:tc>
                                <w:tcPr>
                                  <w:tcW w:w="8007" w:type="dxa"/>
                                  <w:shd w:val="clear" w:color="auto" w:fill="EFEFF0"/>
                                </w:tcPr>
                                <w:p>
                                  <w:pPr>
                                    <w:pStyle w:val="TableParagraph"/>
                                    <w:spacing w:line="230" w:lineRule="auto" w:before="197"/>
                                    <w:ind w:left="179" w:right="317"/>
                                    <w:rPr>
                                      <w:sz w:val="20"/>
                                    </w:rPr>
                                  </w:pPr>
                                  <w:r>
                                    <w:rPr>
                                      <w:color w:val="105C84"/>
                                      <w:sz w:val="20"/>
                                    </w:rPr>
                                    <w:t>2.2.2 Increase availability of/access to overdose reversal (Naloxone) trainings </w:t>
                                  </w:r>
                                  <w:r>
                                    <w:rPr>
                                      <w:color w:val="105C84"/>
                                      <w:sz w:val="20"/>
                                    </w:rPr>
                                    <w:t>t</w:t>
                                  </w:r>
                                  <w:r>
                                    <w:rPr>
                                      <w:color w:val="105C84"/>
                                      <w:sz w:val="20"/>
                                    </w:rPr>
                                    <w:t>o</w:t>
                                  </w:r>
                                  <w:r>
                                    <w:rPr>
                                      <w:color w:val="105C84"/>
                                      <w:sz w:val="20"/>
                                    </w:rPr>
                                    <w:t> prescribers, pharmacists and consumers (selected by five counties)</w:t>
                                  </w:r>
                                </w:p>
                                <w:p>
                                  <w:pPr>
                                    <w:pStyle w:val="TableParagraph"/>
                                    <w:spacing w:line="230" w:lineRule="auto" w:before="179"/>
                                    <w:ind w:left="179" w:right="317"/>
                                    <w:rPr>
                                      <w:sz w:val="20"/>
                                    </w:rPr>
                                  </w:pPr>
                                  <w:r>
                                    <w:rPr>
                                      <w:color w:val="105C84"/>
                                      <w:sz w:val="20"/>
                                    </w:rPr>
                                    <w:t>2.2.4 Build support systems to care for opioid users at risk of an overdose (selected by three counties)</w:t>
                                  </w:r>
                                </w:p>
                                <w:p>
                                  <w:pPr>
                                    <w:pStyle w:val="TableParagraph"/>
                                    <w:spacing w:line="230" w:lineRule="auto" w:before="178"/>
                                    <w:ind w:left="179" w:right="317"/>
                                    <w:rPr>
                                      <w:sz w:val="20"/>
                                    </w:rPr>
                                  </w:pPr>
                                  <w:r>
                                    <w:rPr>
                                      <w:color w:val="105C84"/>
                                      <w:sz w:val="20"/>
                                    </w:rPr>
                                    <w:t>2.3.3 Grow resilient communities through education, engagement, </w:t>
                                  </w:r>
                                  <w:r>
                                    <w:rPr>
                                      <w:color w:val="105C84"/>
                                      <w:sz w:val="20"/>
                                    </w:rPr>
                                    <w:t>activation</w:t>
                                  </w:r>
                                  <w:r>
                                    <w:rPr>
                                      <w:color w:val="105C84"/>
                                      <w:sz w:val="20"/>
                                    </w:rPr>
                                    <w:t>/</w:t>
                                  </w:r>
                                  <w:r>
                                    <w:rPr>
                                      <w:color w:val="105C84"/>
                                      <w:sz w:val="20"/>
                                    </w:rPr>
                                    <w:t> mobilization and celebration (selected by three counties)</w:t>
                                  </w:r>
                                </w:p>
                                <w:p>
                                  <w:pPr>
                                    <w:pStyle w:val="TableParagraph"/>
                                    <w:spacing w:line="230" w:lineRule="auto" w:before="178"/>
                                    <w:ind w:left="179"/>
                                    <w:rPr>
                                      <w:sz w:val="20"/>
                                    </w:rPr>
                                  </w:pPr>
                                  <w:r>
                                    <w:rPr>
                                      <w:color w:val="105C84"/>
                                      <w:sz w:val="20"/>
                                    </w:rPr>
                                    <w:t>2.5.4 Identify and support people at risk: Gatekeeper training, crisis intervention, treatment</w:t>
                                  </w:r>
                                  <w:r>
                                    <w:rPr>
                                      <w:color w:val="105C84"/>
                                      <w:spacing w:val="38"/>
                                      <w:sz w:val="20"/>
                                    </w:rPr>
                                    <w:t> </w:t>
                                  </w:r>
                                  <w:r>
                                    <w:rPr>
                                      <w:color w:val="105C84"/>
                                      <w:sz w:val="20"/>
                                    </w:rPr>
                                    <w:t>for</w:t>
                                  </w:r>
                                  <w:r>
                                    <w:rPr>
                                      <w:color w:val="105C84"/>
                                      <w:spacing w:val="38"/>
                                      <w:sz w:val="20"/>
                                    </w:rPr>
                                    <w:t> </w:t>
                                  </w:r>
                                  <w:r>
                                    <w:rPr>
                                      <w:color w:val="105C84"/>
                                      <w:sz w:val="20"/>
                                    </w:rPr>
                                    <w:t>people</w:t>
                                  </w:r>
                                  <w:r>
                                    <w:rPr>
                                      <w:color w:val="105C84"/>
                                      <w:spacing w:val="38"/>
                                      <w:sz w:val="20"/>
                                    </w:rPr>
                                    <w:t> </w:t>
                                  </w:r>
                                  <w:r>
                                    <w:rPr>
                                      <w:color w:val="105C84"/>
                                      <w:sz w:val="20"/>
                                    </w:rPr>
                                    <w:t>at</w:t>
                                  </w:r>
                                  <w:r>
                                    <w:rPr>
                                      <w:color w:val="105C84"/>
                                      <w:spacing w:val="38"/>
                                      <w:sz w:val="20"/>
                                    </w:rPr>
                                    <w:t> </w:t>
                                  </w:r>
                                  <w:r>
                                    <w:rPr>
                                      <w:color w:val="105C84"/>
                                      <w:sz w:val="20"/>
                                    </w:rPr>
                                    <w:t>risk</w:t>
                                  </w:r>
                                  <w:r>
                                    <w:rPr>
                                      <w:color w:val="105C84"/>
                                      <w:spacing w:val="38"/>
                                      <w:sz w:val="20"/>
                                    </w:rPr>
                                    <w:t> </w:t>
                                  </w:r>
                                  <w:r>
                                    <w:rPr>
                                      <w:color w:val="105C84"/>
                                      <w:sz w:val="20"/>
                                    </w:rPr>
                                    <w:t>of</w:t>
                                  </w:r>
                                  <w:r>
                                    <w:rPr>
                                      <w:color w:val="105C84"/>
                                      <w:spacing w:val="38"/>
                                      <w:sz w:val="20"/>
                                    </w:rPr>
                                    <w:t> </w:t>
                                  </w:r>
                                  <w:r>
                                    <w:rPr>
                                      <w:color w:val="105C84"/>
                                      <w:sz w:val="20"/>
                                    </w:rPr>
                                    <w:t>suicide,</w:t>
                                  </w:r>
                                  <w:r>
                                    <w:rPr>
                                      <w:color w:val="105C84"/>
                                      <w:spacing w:val="38"/>
                                      <w:sz w:val="20"/>
                                    </w:rPr>
                                    <w:t> </w:t>
                                  </w:r>
                                  <w:r>
                                    <w:rPr>
                                      <w:color w:val="105C84"/>
                                      <w:sz w:val="20"/>
                                    </w:rPr>
                                    <w:t>treatment</w:t>
                                  </w:r>
                                  <w:r>
                                    <w:rPr>
                                      <w:color w:val="105C84"/>
                                      <w:spacing w:val="38"/>
                                      <w:sz w:val="20"/>
                                    </w:rPr>
                                    <w:t> </w:t>
                                  </w:r>
                                  <w:r>
                                    <w:rPr>
                                      <w:color w:val="105C84"/>
                                      <w:sz w:val="20"/>
                                    </w:rPr>
                                    <w:t>to</w:t>
                                  </w:r>
                                  <w:r>
                                    <w:rPr>
                                      <w:color w:val="105C84"/>
                                      <w:spacing w:val="38"/>
                                      <w:sz w:val="20"/>
                                    </w:rPr>
                                    <w:t> </w:t>
                                  </w:r>
                                  <w:r>
                                    <w:rPr>
                                      <w:color w:val="105C84"/>
                                      <w:sz w:val="20"/>
                                    </w:rPr>
                                    <w:t>prevent</w:t>
                                  </w:r>
                                  <w:r>
                                    <w:rPr>
                                      <w:color w:val="105C84"/>
                                      <w:spacing w:val="38"/>
                                      <w:sz w:val="20"/>
                                    </w:rPr>
                                    <w:t> </w:t>
                                  </w:r>
                                  <w:r>
                                    <w:rPr>
                                      <w:color w:val="105C84"/>
                                      <w:sz w:val="20"/>
                                    </w:rPr>
                                    <w:t>re-attempts,</w:t>
                                  </w:r>
                                  <w:r>
                                    <w:rPr>
                                      <w:color w:val="105C84"/>
                                      <w:spacing w:val="38"/>
                                      <w:sz w:val="20"/>
                                    </w:rPr>
                                    <w:t> </w:t>
                                  </w:r>
                                  <w:r>
                                    <w:rPr>
                                      <w:color w:val="105C84"/>
                                      <w:sz w:val="20"/>
                                    </w:rPr>
                                    <w:t>post-intervention, safe reporting and messaging about suicides (selected by five </w:t>
                                  </w:r>
                                  <w:r>
                                    <w:rPr>
                                      <w:color w:val="105C84"/>
                                      <w:sz w:val="20"/>
                                    </w:rPr>
                                    <w:t>counties</w:t>
                                  </w:r>
                                  <w:r>
                                    <w:rPr>
                                      <w:color w:val="105C84"/>
                                      <w:sz w:val="20"/>
                                    </w:rPr>
                                    <w:t>)</w:t>
                                  </w:r>
                                </w:p>
                              </w:tc>
                            </w:tr>
                            <w:tr>
                              <w:trPr>
                                <w:trHeight w:val="735" w:hRule="atLeast"/>
                              </w:trPr>
                              <w:tc>
                                <w:tcPr>
                                  <w:tcW w:w="10064" w:type="dxa"/>
                                  <w:gridSpan w:val="2"/>
                                </w:tcPr>
                                <w:p>
                                  <w:pPr>
                                    <w:pStyle w:val="TableParagraph"/>
                                    <w:spacing w:line="203" w:lineRule="exact" w:before="188"/>
                                    <w:ind w:left="180"/>
                                    <w:rPr>
                                      <w:sz w:val="18"/>
                                    </w:rPr>
                                  </w:pPr>
                                  <w:r>
                                    <w:rPr>
                                      <w:color w:val="105C84"/>
                                      <w:sz w:val="18"/>
                                    </w:rPr>
                                    <w:t>*Interventions</w:t>
                                  </w:r>
                                  <w:r>
                                    <w:rPr>
                                      <w:color w:val="105C84"/>
                                      <w:spacing w:val="3"/>
                                      <w:sz w:val="18"/>
                                    </w:rPr>
                                    <w:t> </w:t>
                                  </w:r>
                                  <w:r>
                                    <w:rPr>
                                      <w:color w:val="105C84"/>
                                      <w:sz w:val="18"/>
                                    </w:rPr>
                                    <w:t>shown</w:t>
                                  </w:r>
                                  <w:r>
                                    <w:rPr>
                                      <w:color w:val="105C84"/>
                                      <w:spacing w:val="5"/>
                                      <w:sz w:val="18"/>
                                    </w:rPr>
                                    <w:t> </w:t>
                                  </w:r>
                                  <w:r>
                                    <w:rPr>
                                      <w:color w:val="105C84"/>
                                      <w:sz w:val="18"/>
                                    </w:rPr>
                                    <w:t>are</w:t>
                                  </w:r>
                                  <w:r>
                                    <w:rPr>
                                      <w:color w:val="105C84"/>
                                      <w:spacing w:val="5"/>
                                      <w:sz w:val="18"/>
                                    </w:rPr>
                                    <w:t> </w:t>
                                  </w:r>
                                  <w:r>
                                    <w:rPr>
                                      <w:color w:val="105C84"/>
                                      <w:sz w:val="18"/>
                                    </w:rPr>
                                    <w:t>those</w:t>
                                  </w:r>
                                  <w:r>
                                    <w:rPr>
                                      <w:color w:val="105C84"/>
                                      <w:spacing w:val="5"/>
                                      <w:sz w:val="18"/>
                                    </w:rPr>
                                    <w:t> </w:t>
                                  </w:r>
                                  <w:r>
                                    <w:rPr>
                                      <w:color w:val="105C84"/>
                                      <w:sz w:val="18"/>
                                    </w:rPr>
                                    <w:t>where</w:t>
                                  </w:r>
                                  <w:r>
                                    <w:rPr>
                                      <w:color w:val="105C84"/>
                                      <w:spacing w:val="5"/>
                                      <w:sz w:val="18"/>
                                    </w:rPr>
                                    <w:t> </w:t>
                                  </w:r>
                                  <w:r>
                                    <w:rPr>
                                      <w:color w:val="105C84"/>
                                      <w:sz w:val="18"/>
                                    </w:rPr>
                                    <w:t>three</w:t>
                                  </w:r>
                                  <w:r>
                                    <w:rPr>
                                      <w:color w:val="105C84"/>
                                      <w:spacing w:val="5"/>
                                      <w:sz w:val="18"/>
                                    </w:rPr>
                                    <w:t> </w:t>
                                  </w:r>
                                  <w:r>
                                    <w:rPr>
                                      <w:color w:val="105C84"/>
                                      <w:sz w:val="18"/>
                                    </w:rPr>
                                    <w:t>or</w:t>
                                  </w:r>
                                  <w:r>
                                    <w:rPr>
                                      <w:color w:val="105C84"/>
                                      <w:spacing w:val="5"/>
                                      <w:sz w:val="18"/>
                                    </w:rPr>
                                    <w:t> </w:t>
                                  </w:r>
                                  <w:r>
                                    <w:rPr>
                                      <w:color w:val="105C84"/>
                                      <w:sz w:val="18"/>
                                    </w:rPr>
                                    <w:t>more</w:t>
                                  </w:r>
                                  <w:r>
                                    <w:rPr>
                                      <w:color w:val="105C84"/>
                                      <w:spacing w:val="5"/>
                                      <w:sz w:val="18"/>
                                    </w:rPr>
                                    <w:t> </w:t>
                                  </w:r>
                                  <w:r>
                                    <w:rPr>
                                      <w:color w:val="105C84"/>
                                      <w:sz w:val="18"/>
                                    </w:rPr>
                                    <w:t>counties</w:t>
                                  </w:r>
                                  <w:r>
                                    <w:rPr>
                                      <w:color w:val="105C84"/>
                                      <w:spacing w:val="5"/>
                                      <w:sz w:val="18"/>
                                    </w:rPr>
                                    <w:t> </w:t>
                                  </w:r>
                                  <w:r>
                                    <w:rPr>
                                      <w:color w:val="105C84"/>
                                      <w:sz w:val="18"/>
                                    </w:rPr>
                                    <w:t>selected</w:t>
                                  </w:r>
                                  <w:r>
                                    <w:rPr>
                                      <w:color w:val="105C84"/>
                                      <w:spacing w:val="5"/>
                                      <w:sz w:val="18"/>
                                    </w:rPr>
                                    <w:t> </w:t>
                                  </w:r>
                                  <w:r>
                                    <w:rPr>
                                      <w:color w:val="105C84"/>
                                      <w:sz w:val="18"/>
                                    </w:rPr>
                                    <w:t>the</w:t>
                                  </w:r>
                                  <w:r>
                                    <w:rPr>
                                      <w:color w:val="105C84"/>
                                      <w:spacing w:val="5"/>
                                      <w:sz w:val="18"/>
                                    </w:rPr>
                                    <w:t> </w:t>
                                  </w:r>
                                  <w:r>
                                    <w:rPr>
                                      <w:color w:val="105C84"/>
                                      <w:spacing w:val="-2"/>
                                      <w:sz w:val="18"/>
                                    </w:rPr>
                                    <w:t>intervention.</w:t>
                                  </w:r>
                                </w:p>
                                <w:p>
                                  <w:pPr>
                                    <w:pStyle w:val="TableParagraph"/>
                                    <w:spacing w:line="203" w:lineRule="exact"/>
                                    <w:ind w:left="180"/>
                                    <w:rPr>
                                      <w:sz w:val="18"/>
                                    </w:rPr>
                                  </w:pPr>
                                  <w:r>
                                    <w:rPr>
                                      <w:color w:val="105C84"/>
                                      <w:sz w:val="18"/>
                                    </w:rPr>
                                    <w:t>A</w:t>
                                  </w:r>
                                  <w:r>
                                    <w:rPr>
                                      <w:color w:val="105C84"/>
                                      <w:spacing w:val="10"/>
                                      <w:sz w:val="18"/>
                                    </w:rPr>
                                    <w:t> </w:t>
                                  </w:r>
                                  <w:r>
                                    <w:rPr>
                                      <w:color w:val="105C84"/>
                                      <w:sz w:val="18"/>
                                    </w:rPr>
                                    <w:t>full</w:t>
                                  </w:r>
                                  <w:r>
                                    <w:rPr>
                                      <w:color w:val="105C84"/>
                                      <w:spacing w:val="11"/>
                                      <w:sz w:val="18"/>
                                    </w:rPr>
                                    <w:t> </w:t>
                                  </w:r>
                                  <w:r>
                                    <w:rPr>
                                      <w:color w:val="105C84"/>
                                      <w:sz w:val="18"/>
                                    </w:rPr>
                                    <w:t>list</w:t>
                                  </w:r>
                                  <w:r>
                                    <w:rPr>
                                      <w:color w:val="105C84"/>
                                      <w:spacing w:val="11"/>
                                      <w:sz w:val="18"/>
                                    </w:rPr>
                                    <w:t> </w:t>
                                  </w:r>
                                  <w:r>
                                    <w:rPr>
                                      <w:color w:val="105C84"/>
                                      <w:sz w:val="18"/>
                                    </w:rPr>
                                    <w:t>of</w:t>
                                  </w:r>
                                  <w:r>
                                    <w:rPr>
                                      <w:color w:val="105C84"/>
                                      <w:spacing w:val="11"/>
                                      <w:sz w:val="18"/>
                                    </w:rPr>
                                    <w:t> </w:t>
                                  </w:r>
                                  <w:r>
                                    <w:rPr>
                                      <w:color w:val="105C84"/>
                                      <w:sz w:val="18"/>
                                    </w:rPr>
                                    <w:t>selected</w:t>
                                  </w:r>
                                  <w:r>
                                    <w:rPr>
                                      <w:color w:val="105C84"/>
                                      <w:spacing w:val="11"/>
                                      <w:sz w:val="18"/>
                                    </w:rPr>
                                    <w:t> </w:t>
                                  </w:r>
                                  <w:r>
                                    <w:rPr>
                                      <w:color w:val="105C84"/>
                                      <w:sz w:val="18"/>
                                    </w:rPr>
                                    <w:t>interventions</w:t>
                                  </w:r>
                                  <w:r>
                                    <w:rPr>
                                      <w:color w:val="105C84"/>
                                      <w:spacing w:val="10"/>
                                      <w:sz w:val="18"/>
                                    </w:rPr>
                                    <w:t> </w:t>
                                  </w:r>
                                  <w:r>
                                    <w:rPr>
                                      <w:color w:val="105C84"/>
                                      <w:sz w:val="18"/>
                                    </w:rPr>
                                    <w:t>can</w:t>
                                  </w:r>
                                  <w:r>
                                    <w:rPr>
                                      <w:color w:val="105C84"/>
                                      <w:spacing w:val="11"/>
                                      <w:sz w:val="18"/>
                                    </w:rPr>
                                    <w:t> </w:t>
                                  </w:r>
                                  <w:r>
                                    <w:rPr>
                                      <w:color w:val="105C84"/>
                                      <w:sz w:val="18"/>
                                    </w:rPr>
                                    <w:t>be</w:t>
                                  </w:r>
                                  <w:r>
                                    <w:rPr>
                                      <w:color w:val="105C84"/>
                                      <w:spacing w:val="11"/>
                                      <w:sz w:val="18"/>
                                    </w:rPr>
                                    <w:t> </w:t>
                                  </w:r>
                                  <w:r>
                                    <w:rPr>
                                      <w:color w:val="105C84"/>
                                      <w:sz w:val="18"/>
                                    </w:rPr>
                                    <w:t>found</w:t>
                                  </w:r>
                                  <w:r>
                                    <w:rPr>
                                      <w:color w:val="105C84"/>
                                      <w:spacing w:val="11"/>
                                      <w:sz w:val="18"/>
                                    </w:rPr>
                                    <w:t> </w:t>
                                  </w:r>
                                  <w:r>
                                    <w:rPr>
                                      <w:color w:val="105C84"/>
                                      <w:sz w:val="18"/>
                                    </w:rPr>
                                    <w:t>in</w:t>
                                  </w:r>
                                  <w:r>
                                    <w:rPr>
                                      <w:color w:val="105C84"/>
                                      <w:spacing w:val="11"/>
                                      <w:sz w:val="18"/>
                                    </w:rPr>
                                    <w:t> </w:t>
                                  </w:r>
                                  <w:r>
                                    <w:rPr>
                                      <w:color w:val="105C84"/>
                                      <w:sz w:val="18"/>
                                    </w:rPr>
                                    <w:t>the</w:t>
                                  </w:r>
                                  <w:r>
                                    <w:rPr>
                                      <w:color w:val="105C84"/>
                                      <w:spacing w:val="10"/>
                                      <w:sz w:val="18"/>
                                    </w:rPr>
                                    <w:t> </w:t>
                                  </w:r>
                                  <w:r>
                                    <w:rPr>
                                      <w:color w:val="105C84"/>
                                      <w:sz w:val="18"/>
                                    </w:rPr>
                                    <w:t>county</w:t>
                                  </w:r>
                                  <w:r>
                                    <w:rPr>
                                      <w:color w:val="105C84"/>
                                      <w:spacing w:val="11"/>
                                      <w:sz w:val="18"/>
                                    </w:rPr>
                                    <w:t> </w:t>
                                  </w:r>
                                  <w:r>
                                    <w:rPr>
                                      <w:color w:val="105C84"/>
                                      <w:sz w:val="18"/>
                                    </w:rPr>
                                    <w:t>improvement</w:t>
                                  </w:r>
                                  <w:r>
                                    <w:rPr>
                                      <w:color w:val="105C84"/>
                                      <w:spacing w:val="11"/>
                                      <w:sz w:val="18"/>
                                    </w:rPr>
                                    <w:t> </w:t>
                                  </w:r>
                                  <w:r>
                                    <w:rPr>
                                      <w:color w:val="105C84"/>
                                      <w:sz w:val="18"/>
                                    </w:rPr>
                                    <w:t>plan</w:t>
                                  </w:r>
                                  <w:r>
                                    <w:rPr>
                                      <w:color w:val="105C84"/>
                                      <w:spacing w:val="11"/>
                                      <w:sz w:val="18"/>
                                    </w:rPr>
                                    <w:t> </w:t>
                                  </w:r>
                                  <w:r>
                                    <w:rPr>
                                      <w:color w:val="105C84"/>
                                      <w:sz w:val="18"/>
                                    </w:rPr>
                                    <w:t>found</w:t>
                                  </w:r>
                                  <w:r>
                                    <w:rPr>
                                      <w:color w:val="105C84"/>
                                      <w:spacing w:val="11"/>
                                      <w:sz w:val="18"/>
                                    </w:rPr>
                                    <w:t> </w:t>
                                  </w:r>
                                  <w:r>
                                    <w:rPr>
                                      <w:color w:val="105C84"/>
                                      <w:sz w:val="18"/>
                                    </w:rPr>
                                    <w:t>in</w:t>
                                  </w:r>
                                  <w:r>
                                    <w:rPr>
                                      <w:color w:val="105C84"/>
                                      <w:spacing w:val="10"/>
                                      <w:sz w:val="18"/>
                                    </w:rPr>
                                    <w:t> </w:t>
                                  </w:r>
                                  <w:r>
                                    <w:rPr>
                                      <w:color w:val="105C84"/>
                                      <w:sz w:val="18"/>
                                    </w:rPr>
                                    <w:t>appendix</w:t>
                                  </w:r>
                                  <w:r>
                                    <w:rPr>
                                      <w:color w:val="105C84"/>
                                      <w:spacing w:val="11"/>
                                      <w:sz w:val="18"/>
                                    </w:rPr>
                                    <w:t> </w:t>
                                  </w:r>
                                  <w:r>
                                    <w:rPr>
                                      <w:color w:val="105C84"/>
                                      <w:spacing w:val="-5"/>
                                      <w:sz w:val="18"/>
                                    </w:rPr>
                                    <w:t>A.</w:t>
                                  </w:r>
                                </w:p>
                              </w:tc>
                            </w:tr>
                          </w:tbl>
                          <w:p>
                            <w:pPr>
                              <w:pStyle w:val="BodyText"/>
                            </w:pPr>
                          </w:p>
                        </w:txbxContent>
                      </wps:txbx>
                      <wps:bodyPr wrap="square" lIns="0" tIns="0" rIns="0" bIns="0" rtlCol="0">
                        <a:noAutofit/>
                      </wps:bodyPr>
                    </wps:wsp>
                  </a:graphicData>
                </a:graphic>
              </wp:anchor>
            </w:drawing>
          </mc:Choice>
          <mc:Fallback>
            <w:pict>
              <v:shape style="position:absolute;margin-left:663pt;margin-top:36.753223pt;width:509.45pt;height:512.9500pt;mso-position-horizontal-relative:page;mso-position-vertical-relative:paragraph;z-index:15736832" type="#_x0000_t202" id="docshape52" filled="false" stroked="false">
                <v:textbox inset="0,0,0,0">
                  <w:txbxContent>
                    <w:tbl>
                      <w:tblPr>
                        <w:tblW w:w="0" w:type="auto"/>
                        <w:jc w:val="left"/>
                        <w:tblInd w:w="62"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top w:w="0" w:type="dxa"/>
                          <w:left w:w="0" w:type="dxa"/>
                          <w:bottom w:w="0" w:type="dxa"/>
                          <w:right w:w="0" w:type="dxa"/>
                        </w:tblCellMar>
                        <w:tblLook w:val="01E0"/>
                      </w:tblPr>
                      <w:tblGrid>
                        <w:gridCol w:w="2057"/>
                        <w:gridCol w:w="8007"/>
                      </w:tblGrid>
                      <w:tr>
                        <w:trPr>
                          <w:trHeight w:val="481" w:hRule="atLeast"/>
                        </w:trPr>
                        <w:tc>
                          <w:tcPr>
                            <w:tcW w:w="2057" w:type="dxa"/>
                            <w:tcBorders>
                              <w:right w:val="single" w:sz="4" w:space="0" w:color="FFFFFF"/>
                            </w:tcBorders>
                            <w:shd w:val="clear" w:color="auto" w:fill="82BF6A"/>
                          </w:tcPr>
                          <w:p>
                            <w:pPr>
                              <w:pStyle w:val="TableParagraph"/>
                              <w:spacing w:before="103"/>
                              <w:ind w:left="180"/>
                              <w:rPr>
                                <w:b/>
                                <w:sz w:val="26"/>
                              </w:rPr>
                            </w:pPr>
                            <w:r>
                              <w:rPr>
                                <w:b/>
                                <w:color w:val="FFFFFF"/>
                                <w:spacing w:val="-4"/>
                                <w:sz w:val="26"/>
                              </w:rPr>
                              <w:t>FOCUS</w:t>
                            </w:r>
                            <w:r>
                              <w:rPr>
                                <w:b/>
                                <w:color w:val="FFFFFF"/>
                                <w:spacing w:val="-13"/>
                                <w:sz w:val="26"/>
                              </w:rPr>
                              <w:t> </w:t>
                            </w:r>
                            <w:r>
                              <w:rPr>
                                <w:b/>
                                <w:color w:val="FFFFFF"/>
                                <w:spacing w:val="-4"/>
                                <w:sz w:val="26"/>
                              </w:rPr>
                              <w:t>AREA</w:t>
                            </w:r>
                          </w:p>
                        </w:tc>
                        <w:tc>
                          <w:tcPr>
                            <w:tcW w:w="8007" w:type="dxa"/>
                            <w:tcBorders>
                              <w:left w:val="single" w:sz="4" w:space="0" w:color="FFFFFF"/>
                            </w:tcBorders>
                            <w:shd w:val="clear" w:color="auto" w:fill="00A79E"/>
                          </w:tcPr>
                          <w:p>
                            <w:pPr>
                              <w:pStyle w:val="TableParagraph"/>
                              <w:spacing w:before="103"/>
                              <w:ind w:left="177"/>
                              <w:rPr>
                                <w:b/>
                                <w:sz w:val="26"/>
                              </w:rPr>
                            </w:pPr>
                            <w:r>
                              <w:rPr>
                                <w:b/>
                                <w:color w:val="FFFFFF"/>
                                <w:sz w:val="26"/>
                              </w:rPr>
                              <w:t>INTERVENTION*</w:t>
                            </w:r>
                            <w:r>
                              <w:rPr>
                                <w:b/>
                                <w:color w:val="FFFFFF"/>
                                <w:spacing w:val="1"/>
                                <w:sz w:val="26"/>
                              </w:rPr>
                              <w:t> </w:t>
                            </w:r>
                            <w:r>
                              <w:rPr>
                                <w:b/>
                                <w:color w:val="FFFFFF"/>
                                <w:sz w:val="26"/>
                              </w:rPr>
                              <w:t>&amp;</w:t>
                            </w:r>
                            <w:r>
                              <w:rPr>
                                <w:b/>
                                <w:color w:val="FFFFFF"/>
                                <w:spacing w:val="2"/>
                                <w:sz w:val="26"/>
                              </w:rPr>
                              <w:t> </w:t>
                            </w:r>
                            <w:r>
                              <w:rPr>
                                <w:b/>
                                <w:color w:val="FFFFFF"/>
                                <w:sz w:val="26"/>
                              </w:rPr>
                              <w:t>#</w:t>
                            </w:r>
                            <w:r>
                              <w:rPr>
                                <w:b/>
                                <w:color w:val="FFFFFF"/>
                                <w:spacing w:val="2"/>
                                <w:sz w:val="26"/>
                              </w:rPr>
                              <w:t> </w:t>
                            </w:r>
                            <w:r>
                              <w:rPr>
                                <w:b/>
                                <w:color w:val="FFFFFF"/>
                                <w:sz w:val="26"/>
                              </w:rPr>
                              <w:t>OF</w:t>
                            </w:r>
                            <w:r>
                              <w:rPr>
                                <w:b/>
                                <w:color w:val="FFFFFF"/>
                                <w:spacing w:val="2"/>
                                <w:sz w:val="26"/>
                              </w:rPr>
                              <w:t> </w:t>
                            </w:r>
                            <w:r>
                              <w:rPr>
                                <w:b/>
                                <w:color w:val="FFFFFF"/>
                                <w:sz w:val="26"/>
                              </w:rPr>
                              <w:t>COUNTIES</w:t>
                            </w:r>
                            <w:r>
                              <w:rPr>
                                <w:b/>
                                <w:color w:val="FFFFFF"/>
                                <w:spacing w:val="2"/>
                                <w:sz w:val="26"/>
                              </w:rPr>
                              <w:t> </w:t>
                            </w:r>
                            <w:r>
                              <w:rPr>
                                <w:b/>
                                <w:color w:val="FFFFFF"/>
                                <w:spacing w:val="-2"/>
                                <w:sz w:val="26"/>
                              </w:rPr>
                              <w:t>SELECTED</w:t>
                            </w:r>
                          </w:p>
                        </w:tc>
                      </w:tr>
                      <w:tr>
                        <w:trPr>
                          <w:trHeight w:val="1835" w:hRule="atLeast"/>
                        </w:trPr>
                        <w:tc>
                          <w:tcPr>
                            <w:tcW w:w="2057" w:type="dxa"/>
                          </w:tcPr>
                          <w:p>
                            <w:pPr>
                              <w:pStyle w:val="TableParagraph"/>
                              <w:spacing w:line="230" w:lineRule="auto" w:before="197"/>
                              <w:ind w:left="180" w:right="169"/>
                              <w:rPr>
                                <w:b/>
                                <w:sz w:val="20"/>
                              </w:rPr>
                            </w:pPr>
                            <w:r>
                              <w:rPr>
                                <w:b/>
                                <w:color w:val="105C84"/>
                                <w:sz w:val="20"/>
                              </w:rPr>
                              <w:t>Chronic disease preventative</w:t>
                            </w:r>
                            <w:r>
                              <w:rPr>
                                <w:b/>
                                <w:color w:val="105C84"/>
                                <w:spacing w:val="-14"/>
                                <w:sz w:val="20"/>
                              </w:rPr>
                              <w:t> </w:t>
                            </w:r>
                            <w:r>
                              <w:rPr>
                                <w:b/>
                                <w:color w:val="105C84"/>
                                <w:sz w:val="20"/>
                              </w:rPr>
                              <w:t>care and </w:t>
                            </w:r>
                            <w:r>
                              <w:rPr>
                                <w:b/>
                                <w:color w:val="105C84"/>
                                <w:spacing w:val="-2"/>
                                <w:sz w:val="20"/>
                              </w:rPr>
                              <w:t>management</w:t>
                            </w:r>
                          </w:p>
                        </w:tc>
                        <w:tc>
                          <w:tcPr>
                            <w:tcW w:w="8007" w:type="dxa"/>
                          </w:tcPr>
                          <w:p>
                            <w:pPr>
                              <w:pStyle w:val="TableParagraph"/>
                              <w:numPr>
                                <w:ilvl w:val="2"/>
                                <w:numId w:val="2"/>
                              </w:numPr>
                              <w:tabs>
                                <w:tab w:pos="658" w:val="left" w:leader="none"/>
                              </w:tabs>
                              <w:spacing w:line="230" w:lineRule="auto" w:before="197" w:after="0"/>
                              <w:ind w:left="179" w:right="398" w:firstLine="0"/>
                              <w:jc w:val="left"/>
                              <w:rPr>
                                <w:sz w:val="20"/>
                              </w:rPr>
                            </w:pPr>
                            <w:r>
                              <w:rPr>
                                <w:color w:val="105C84"/>
                                <w:sz w:val="20"/>
                              </w:rPr>
                              <w:t>Conduct one-on-one (by phone or in-person) and group education (presentation or other interactive session in a church, home, senior center or </w:t>
                            </w:r>
                            <w:r>
                              <w:rPr>
                                <w:color w:val="105C84"/>
                                <w:sz w:val="20"/>
                              </w:rPr>
                              <w:t>other setting) (selected by three counties)</w:t>
                            </w:r>
                          </w:p>
                          <w:p>
                            <w:pPr>
                              <w:pStyle w:val="TableParagraph"/>
                              <w:numPr>
                                <w:ilvl w:val="2"/>
                                <w:numId w:val="2"/>
                              </w:numPr>
                              <w:tabs>
                                <w:tab w:pos="658" w:val="left" w:leader="none"/>
                              </w:tabs>
                              <w:spacing w:line="230" w:lineRule="auto" w:before="178" w:after="0"/>
                              <w:ind w:left="179" w:right="621" w:firstLine="0"/>
                              <w:jc w:val="left"/>
                              <w:rPr>
                                <w:sz w:val="20"/>
                              </w:rPr>
                            </w:pPr>
                            <w:r>
                              <w:rPr>
                                <w:color w:val="105C84"/>
                                <w:sz w:val="20"/>
                              </w:rPr>
                              <w:t>Use small media such as videos, printed materials (letters, brochures, newsletters) and health communications to build public awareness and </w:t>
                            </w:r>
                            <w:r>
                              <w:rPr>
                                <w:color w:val="105C84"/>
                                <w:sz w:val="20"/>
                              </w:rPr>
                              <w:t>demand (selected by four counties)</w:t>
                            </w:r>
                          </w:p>
                        </w:tc>
                      </w:tr>
                      <w:tr>
                        <w:trPr>
                          <w:trHeight w:val="2923" w:hRule="atLeast"/>
                        </w:trPr>
                        <w:tc>
                          <w:tcPr>
                            <w:tcW w:w="2057" w:type="dxa"/>
                            <w:shd w:val="clear" w:color="auto" w:fill="EFEFF0"/>
                          </w:tcPr>
                          <w:p>
                            <w:pPr>
                              <w:pStyle w:val="TableParagraph"/>
                              <w:spacing w:line="230" w:lineRule="auto" w:before="197"/>
                              <w:ind w:left="180" w:right="169"/>
                              <w:rPr>
                                <w:b/>
                                <w:sz w:val="20"/>
                              </w:rPr>
                            </w:pPr>
                            <w:r>
                              <w:rPr>
                                <w:b/>
                                <w:color w:val="105C84"/>
                                <w:spacing w:val="-2"/>
                                <w:sz w:val="20"/>
                              </w:rPr>
                              <w:t>Tobacco prevention</w:t>
                            </w:r>
                          </w:p>
                        </w:tc>
                        <w:tc>
                          <w:tcPr>
                            <w:tcW w:w="8007" w:type="dxa"/>
                            <w:shd w:val="clear" w:color="auto" w:fill="EFEFF0"/>
                          </w:tcPr>
                          <w:p>
                            <w:pPr>
                              <w:pStyle w:val="TableParagraph"/>
                              <w:spacing w:line="230" w:lineRule="auto" w:before="197"/>
                              <w:ind w:left="179" w:right="478"/>
                              <w:jc w:val="both"/>
                              <w:rPr>
                                <w:sz w:val="20"/>
                              </w:rPr>
                            </w:pPr>
                            <w:r>
                              <w:rPr>
                                <w:color w:val="105C84"/>
                                <w:sz w:val="20"/>
                              </w:rPr>
                              <w:t>3.1.2 Use media and health communications to highlight the dangers of tobacco, promote effective tobacco control policies and reshape social norms (selected </w:t>
                            </w:r>
                            <w:r>
                              <w:rPr>
                                <w:color w:val="105C84"/>
                                <w:sz w:val="20"/>
                              </w:rPr>
                              <w:t>b</w:t>
                            </w:r>
                            <w:r>
                              <w:rPr>
                                <w:color w:val="105C84"/>
                                <w:sz w:val="20"/>
                              </w:rPr>
                              <w:t>y</w:t>
                            </w:r>
                            <w:r>
                              <w:rPr>
                                <w:color w:val="105C84"/>
                                <w:sz w:val="20"/>
                              </w:rPr>
                              <w:t> four counties)</w:t>
                            </w:r>
                          </w:p>
                          <w:p>
                            <w:pPr>
                              <w:pStyle w:val="TableParagraph"/>
                              <w:spacing w:line="230" w:lineRule="auto" w:before="178"/>
                              <w:ind w:left="179" w:right="317"/>
                              <w:rPr>
                                <w:sz w:val="20"/>
                              </w:rPr>
                            </w:pPr>
                            <w:r>
                              <w:rPr>
                                <w:color w:val="105C84"/>
                                <w:sz w:val="20"/>
                              </w:rPr>
                              <w:t>3.2.3 Use health communications targeting health care providers to encourage their involvement in their patients’ quit attempts encouraging use of evidence based</w:t>
                            </w:r>
                            <w:r>
                              <w:rPr>
                                <w:color w:val="105C84"/>
                                <w:spacing w:val="40"/>
                                <w:sz w:val="20"/>
                              </w:rPr>
                              <w:t> </w:t>
                            </w:r>
                            <w:r>
                              <w:rPr>
                                <w:color w:val="105C84"/>
                                <w:sz w:val="20"/>
                              </w:rPr>
                              <w:t>quitting, increasing awareness of available cessation benefits (especially Medicaid) and removing barriers to treatment (selected by three counties)</w:t>
                            </w:r>
                          </w:p>
                          <w:p>
                            <w:pPr>
                              <w:pStyle w:val="TableParagraph"/>
                              <w:spacing w:line="230" w:lineRule="auto" w:before="177"/>
                              <w:ind w:left="179" w:right="317"/>
                              <w:rPr>
                                <w:sz w:val="20"/>
                              </w:rPr>
                            </w:pPr>
                            <w:r>
                              <w:rPr>
                                <w:color w:val="105C84"/>
                                <w:sz w:val="20"/>
                              </w:rPr>
                              <w:t>3.3.1 Promote smoke-free and aerosol-free (from electronic vapor products) policies in multi-unit housing, including apartment complexes, condominiums and co-ops,</w:t>
                            </w:r>
                            <w:r>
                              <w:rPr>
                                <w:color w:val="105C84"/>
                                <w:spacing w:val="40"/>
                                <w:sz w:val="20"/>
                              </w:rPr>
                              <w:t> </w:t>
                            </w:r>
                            <w:r>
                              <w:rPr>
                                <w:color w:val="105C84"/>
                                <w:sz w:val="20"/>
                              </w:rPr>
                              <w:t>especially those that house low-SES residents (selected by four counties)</w:t>
                            </w:r>
                          </w:p>
                        </w:tc>
                      </w:tr>
                      <w:tr>
                        <w:trPr>
                          <w:trHeight w:val="1395" w:hRule="atLeast"/>
                        </w:trPr>
                        <w:tc>
                          <w:tcPr>
                            <w:tcW w:w="2057" w:type="dxa"/>
                          </w:tcPr>
                          <w:p>
                            <w:pPr>
                              <w:pStyle w:val="TableParagraph"/>
                              <w:spacing w:line="230" w:lineRule="auto" w:before="197"/>
                              <w:ind w:left="180" w:right="169"/>
                              <w:rPr>
                                <w:b/>
                                <w:sz w:val="20"/>
                              </w:rPr>
                            </w:pPr>
                            <w:r>
                              <w:rPr>
                                <w:b/>
                                <w:color w:val="105C84"/>
                                <w:sz w:val="20"/>
                              </w:rPr>
                              <w:t>Healthy eating and</w:t>
                            </w:r>
                            <w:r>
                              <w:rPr>
                                <w:b/>
                                <w:color w:val="105C84"/>
                                <w:spacing w:val="-14"/>
                                <w:sz w:val="20"/>
                              </w:rPr>
                              <w:t> </w:t>
                            </w:r>
                            <w:r>
                              <w:rPr>
                                <w:b/>
                                <w:color w:val="105C84"/>
                                <w:sz w:val="20"/>
                              </w:rPr>
                              <w:t>food</w:t>
                            </w:r>
                            <w:r>
                              <w:rPr>
                                <w:b/>
                                <w:color w:val="105C84"/>
                                <w:spacing w:val="-14"/>
                                <w:sz w:val="20"/>
                              </w:rPr>
                              <w:t> </w:t>
                            </w:r>
                            <w:r>
                              <w:rPr>
                                <w:b/>
                                <w:color w:val="105C84"/>
                                <w:sz w:val="20"/>
                              </w:rPr>
                              <w:t>security</w:t>
                            </w:r>
                          </w:p>
                        </w:tc>
                        <w:tc>
                          <w:tcPr>
                            <w:tcW w:w="8007" w:type="dxa"/>
                          </w:tcPr>
                          <w:p>
                            <w:pPr>
                              <w:pStyle w:val="TableParagraph"/>
                              <w:spacing w:line="230" w:lineRule="auto" w:before="197"/>
                              <w:ind w:left="179" w:right="317"/>
                              <w:rPr>
                                <w:sz w:val="20"/>
                              </w:rPr>
                            </w:pPr>
                            <w:r>
                              <w:rPr>
                                <w:color w:val="105C84"/>
                                <w:sz w:val="20"/>
                              </w:rPr>
                              <w:t>1.0.3 Implement worksite nutrition and physical activity programs designed </w:t>
                            </w:r>
                            <w:r>
                              <w:rPr>
                                <w:color w:val="105C84"/>
                                <w:sz w:val="20"/>
                              </w:rPr>
                              <w:t>t</w:t>
                            </w:r>
                            <w:r>
                              <w:rPr>
                                <w:color w:val="105C84"/>
                                <w:sz w:val="20"/>
                              </w:rPr>
                              <w:t>o</w:t>
                            </w:r>
                            <w:r>
                              <w:rPr>
                                <w:color w:val="105C84"/>
                                <w:sz w:val="20"/>
                              </w:rPr>
                              <w:t> improve health behaviors and results (selected by three counties)</w:t>
                            </w:r>
                          </w:p>
                          <w:p>
                            <w:pPr>
                              <w:pStyle w:val="TableParagraph"/>
                              <w:spacing w:line="230" w:lineRule="auto" w:before="179"/>
                              <w:ind w:left="179" w:right="317"/>
                              <w:rPr>
                                <w:sz w:val="20"/>
                              </w:rPr>
                            </w:pPr>
                            <w:r>
                              <w:rPr>
                                <w:color w:val="105C84"/>
                                <w:sz w:val="20"/>
                              </w:rPr>
                              <w:t>1.0.4 Multi-component school-based obesity prevention interventions (selected </w:t>
                            </w:r>
                            <w:r>
                              <w:rPr>
                                <w:color w:val="105C84"/>
                                <w:sz w:val="20"/>
                              </w:rPr>
                              <w:t>b</w:t>
                            </w:r>
                            <w:r>
                              <w:rPr>
                                <w:color w:val="105C84"/>
                                <w:sz w:val="20"/>
                              </w:rPr>
                              <w:t>y</w:t>
                            </w:r>
                            <w:r>
                              <w:rPr>
                                <w:color w:val="105C84"/>
                                <w:sz w:val="20"/>
                              </w:rPr>
                              <w:t> three counties)</w:t>
                            </w:r>
                          </w:p>
                        </w:tc>
                      </w:tr>
                      <w:tr>
                        <w:trPr>
                          <w:trHeight w:val="2855" w:hRule="atLeast"/>
                        </w:trPr>
                        <w:tc>
                          <w:tcPr>
                            <w:tcW w:w="2057" w:type="dxa"/>
                            <w:shd w:val="clear" w:color="auto" w:fill="EFEFF0"/>
                          </w:tcPr>
                          <w:p>
                            <w:pPr>
                              <w:pStyle w:val="TableParagraph"/>
                              <w:spacing w:line="230" w:lineRule="auto" w:before="197"/>
                              <w:ind w:left="180" w:right="169"/>
                              <w:rPr>
                                <w:b/>
                                <w:sz w:val="20"/>
                              </w:rPr>
                            </w:pPr>
                            <w:r>
                              <w:rPr>
                                <w:b/>
                                <w:color w:val="105C84"/>
                                <w:sz w:val="20"/>
                              </w:rPr>
                              <w:t>Prevent</w:t>
                            </w:r>
                            <w:r>
                              <w:rPr>
                                <w:b/>
                                <w:color w:val="105C84"/>
                                <w:spacing w:val="-14"/>
                                <w:sz w:val="20"/>
                              </w:rPr>
                              <w:t> </w:t>
                            </w:r>
                            <w:r>
                              <w:rPr>
                                <w:b/>
                                <w:color w:val="105C84"/>
                                <w:sz w:val="20"/>
                              </w:rPr>
                              <w:t>mental and substance use disorders</w:t>
                            </w:r>
                          </w:p>
                        </w:tc>
                        <w:tc>
                          <w:tcPr>
                            <w:tcW w:w="8007" w:type="dxa"/>
                            <w:shd w:val="clear" w:color="auto" w:fill="EFEFF0"/>
                          </w:tcPr>
                          <w:p>
                            <w:pPr>
                              <w:pStyle w:val="TableParagraph"/>
                              <w:spacing w:line="230" w:lineRule="auto" w:before="197"/>
                              <w:ind w:left="179" w:right="317"/>
                              <w:rPr>
                                <w:sz w:val="20"/>
                              </w:rPr>
                            </w:pPr>
                            <w:r>
                              <w:rPr>
                                <w:color w:val="105C84"/>
                                <w:sz w:val="20"/>
                              </w:rPr>
                              <w:t>2.2.2 Increase availability of/access to overdose reversal (Naloxone) trainings </w:t>
                            </w:r>
                            <w:r>
                              <w:rPr>
                                <w:color w:val="105C84"/>
                                <w:sz w:val="20"/>
                              </w:rPr>
                              <w:t>t</w:t>
                            </w:r>
                            <w:r>
                              <w:rPr>
                                <w:color w:val="105C84"/>
                                <w:sz w:val="20"/>
                              </w:rPr>
                              <w:t>o</w:t>
                            </w:r>
                            <w:r>
                              <w:rPr>
                                <w:color w:val="105C84"/>
                                <w:sz w:val="20"/>
                              </w:rPr>
                              <w:t> prescribers, pharmacists and consumers (selected by five counties)</w:t>
                            </w:r>
                          </w:p>
                          <w:p>
                            <w:pPr>
                              <w:pStyle w:val="TableParagraph"/>
                              <w:spacing w:line="230" w:lineRule="auto" w:before="179"/>
                              <w:ind w:left="179" w:right="317"/>
                              <w:rPr>
                                <w:sz w:val="20"/>
                              </w:rPr>
                            </w:pPr>
                            <w:r>
                              <w:rPr>
                                <w:color w:val="105C84"/>
                                <w:sz w:val="20"/>
                              </w:rPr>
                              <w:t>2.2.4 Build support systems to care for opioid users at risk of an overdose (selected by three counties)</w:t>
                            </w:r>
                          </w:p>
                          <w:p>
                            <w:pPr>
                              <w:pStyle w:val="TableParagraph"/>
                              <w:spacing w:line="230" w:lineRule="auto" w:before="178"/>
                              <w:ind w:left="179" w:right="317"/>
                              <w:rPr>
                                <w:sz w:val="20"/>
                              </w:rPr>
                            </w:pPr>
                            <w:r>
                              <w:rPr>
                                <w:color w:val="105C84"/>
                                <w:sz w:val="20"/>
                              </w:rPr>
                              <w:t>2.3.3 Grow resilient communities through education, engagement, </w:t>
                            </w:r>
                            <w:r>
                              <w:rPr>
                                <w:color w:val="105C84"/>
                                <w:sz w:val="20"/>
                              </w:rPr>
                              <w:t>activation</w:t>
                            </w:r>
                            <w:r>
                              <w:rPr>
                                <w:color w:val="105C84"/>
                                <w:sz w:val="20"/>
                              </w:rPr>
                              <w:t>/</w:t>
                            </w:r>
                            <w:r>
                              <w:rPr>
                                <w:color w:val="105C84"/>
                                <w:sz w:val="20"/>
                              </w:rPr>
                              <w:t> mobilization and celebration (selected by three counties)</w:t>
                            </w:r>
                          </w:p>
                          <w:p>
                            <w:pPr>
                              <w:pStyle w:val="TableParagraph"/>
                              <w:spacing w:line="230" w:lineRule="auto" w:before="178"/>
                              <w:ind w:left="179"/>
                              <w:rPr>
                                <w:sz w:val="20"/>
                              </w:rPr>
                            </w:pPr>
                            <w:r>
                              <w:rPr>
                                <w:color w:val="105C84"/>
                                <w:sz w:val="20"/>
                              </w:rPr>
                              <w:t>2.5.4 Identify and support people at risk: Gatekeeper training, crisis intervention, treatment</w:t>
                            </w:r>
                            <w:r>
                              <w:rPr>
                                <w:color w:val="105C84"/>
                                <w:spacing w:val="38"/>
                                <w:sz w:val="20"/>
                              </w:rPr>
                              <w:t> </w:t>
                            </w:r>
                            <w:r>
                              <w:rPr>
                                <w:color w:val="105C84"/>
                                <w:sz w:val="20"/>
                              </w:rPr>
                              <w:t>for</w:t>
                            </w:r>
                            <w:r>
                              <w:rPr>
                                <w:color w:val="105C84"/>
                                <w:spacing w:val="38"/>
                                <w:sz w:val="20"/>
                              </w:rPr>
                              <w:t> </w:t>
                            </w:r>
                            <w:r>
                              <w:rPr>
                                <w:color w:val="105C84"/>
                                <w:sz w:val="20"/>
                              </w:rPr>
                              <w:t>people</w:t>
                            </w:r>
                            <w:r>
                              <w:rPr>
                                <w:color w:val="105C84"/>
                                <w:spacing w:val="38"/>
                                <w:sz w:val="20"/>
                              </w:rPr>
                              <w:t> </w:t>
                            </w:r>
                            <w:r>
                              <w:rPr>
                                <w:color w:val="105C84"/>
                                <w:sz w:val="20"/>
                              </w:rPr>
                              <w:t>at</w:t>
                            </w:r>
                            <w:r>
                              <w:rPr>
                                <w:color w:val="105C84"/>
                                <w:spacing w:val="38"/>
                                <w:sz w:val="20"/>
                              </w:rPr>
                              <w:t> </w:t>
                            </w:r>
                            <w:r>
                              <w:rPr>
                                <w:color w:val="105C84"/>
                                <w:sz w:val="20"/>
                              </w:rPr>
                              <w:t>risk</w:t>
                            </w:r>
                            <w:r>
                              <w:rPr>
                                <w:color w:val="105C84"/>
                                <w:spacing w:val="38"/>
                                <w:sz w:val="20"/>
                              </w:rPr>
                              <w:t> </w:t>
                            </w:r>
                            <w:r>
                              <w:rPr>
                                <w:color w:val="105C84"/>
                                <w:sz w:val="20"/>
                              </w:rPr>
                              <w:t>of</w:t>
                            </w:r>
                            <w:r>
                              <w:rPr>
                                <w:color w:val="105C84"/>
                                <w:spacing w:val="38"/>
                                <w:sz w:val="20"/>
                              </w:rPr>
                              <w:t> </w:t>
                            </w:r>
                            <w:r>
                              <w:rPr>
                                <w:color w:val="105C84"/>
                                <w:sz w:val="20"/>
                              </w:rPr>
                              <w:t>suicide,</w:t>
                            </w:r>
                            <w:r>
                              <w:rPr>
                                <w:color w:val="105C84"/>
                                <w:spacing w:val="38"/>
                                <w:sz w:val="20"/>
                              </w:rPr>
                              <w:t> </w:t>
                            </w:r>
                            <w:r>
                              <w:rPr>
                                <w:color w:val="105C84"/>
                                <w:sz w:val="20"/>
                              </w:rPr>
                              <w:t>treatment</w:t>
                            </w:r>
                            <w:r>
                              <w:rPr>
                                <w:color w:val="105C84"/>
                                <w:spacing w:val="38"/>
                                <w:sz w:val="20"/>
                              </w:rPr>
                              <w:t> </w:t>
                            </w:r>
                            <w:r>
                              <w:rPr>
                                <w:color w:val="105C84"/>
                                <w:sz w:val="20"/>
                              </w:rPr>
                              <w:t>to</w:t>
                            </w:r>
                            <w:r>
                              <w:rPr>
                                <w:color w:val="105C84"/>
                                <w:spacing w:val="38"/>
                                <w:sz w:val="20"/>
                              </w:rPr>
                              <w:t> </w:t>
                            </w:r>
                            <w:r>
                              <w:rPr>
                                <w:color w:val="105C84"/>
                                <w:sz w:val="20"/>
                              </w:rPr>
                              <w:t>prevent</w:t>
                            </w:r>
                            <w:r>
                              <w:rPr>
                                <w:color w:val="105C84"/>
                                <w:spacing w:val="38"/>
                                <w:sz w:val="20"/>
                              </w:rPr>
                              <w:t> </w:t>
                            </w:r>
                            <w:r>
                              <w:rPr>
                                <w:color w:val="105C84"/>
                                <w:sz w:val="20"/>
                              </w:rPr>
                              <w:t>re-attempts,</w:t>
                            </w:r>
                            <w:r>
                              <w:rPr>
                                <w:color w:val="105C84"/>
                                <w:spacing w:val="38"/>
                                <w:sz w:val="20"/>
                              </w:rPr>
                              <w:t> </w:t>
                            </w:r>
                            <w:r>
                              <w:rPr>
                                <w:color w:val="105C84"/>
                                <w:sz w:val="20"/>
                              </w:rPr>
                              <w:t>post-intervention, safe reporting and messaging about suicides (selected by five </w:t>
                            </w:r>
                            <w:r>
                              <w:rPr>
                                <w:color w:val="105C84"/>
                                <w:sz w:val="20"/>
                              </w:rPr>
                              <w:t>counties</w:t>
                            </w:r>
                            <w:r>
                              <w:rPr>
                                <w:color w:val="105C84"/>
                                <w:sz w:val="20"/>
                              </w:rPr>
                              <w:t>)</w:t>
                            </w:r>
                          </w:p>
                        </w:tc>
                      </w:tr>
                      <w:tr>
                        <w:trPr>
                          <w:trHeight w:val="735" w:hRule="atLeast"/>
                        </w:trPr>
                        <w:tc>
                          <w:tcPr>
                            <w:tcW w:w="10064" w:type="dxa"/>
                            <w:gridSpan w:val="2"/>
                          </w:tcPr>
                          <w:p>
                            <w:pPr>
                              <w:pStyle w:val="TableParagraph"/>
                              <w:spacing w:line="203" w:lineRule="exact" w:before="188"/>
                              <w:ind w:left="180"/>
                              <w:rPr>
                                <w:sz w:val="18"/>
                              </w:rPr>
                            </w:pPr>
                            <w:r>
                              <w:rPr>
                                <w:color w:val="105C84"/>
                                <w:sz w:val="18"/>
                              </w:rPr>
                              <w:t>*Interventions</w:t>
                            </w:r>
                            <w:r>
                              <w:rPr>
                                <w:color w:val="105C84"/>
                                <w:spacing w:val="3"/>
                                <w:sz w:val="18"/>
                              </w:rPr>
                              <w:t> </w:t>
                            </w:r>
                            <w:r>
                              <w:rPr>
                                <w:color w:val="105C84"/>
                                <w:sz w:val="18"/>
                              </w:rPr>
                              <w:t>shown</w:t>
                            </w:r>
                            <w:r>
                              <w:rPr>
                                <w:color w:val="105C84"/>
                                <w:spacing w:val="5"/>
                                <w:sz w:val="18"/>
                              </w:rPr>
                              <w:t> </w:t>
                            </w:r>
                            <w:r>
                              <w:rPr>
                                <w:color w:val="105C84"/>
                                <w:sz w:val="18"/>
                              </w:rPr>
                              <w:t>are</w:t>
                            </w:r>
                            <w:r>
                              <w:rPr>
                                <w:color w:val="105C84"/>
                                <w:spacing w:val="5"/>
                                <w:sz w:val="18"/>
                              </w:rPr>
                              <w:t> </w:t>
                            </w:r>
                            <w:r>
                              <w:rPr>
                                <w:color w:val="105C84"/>
                                <w:sz w:val="18"/>
                              </w:rPr>
                              <w:t>those</w:t>
                            </w:r>
                            <w:r>
                              <w:rPr>
                                <w:color w:val="105C84"/>
                                <w:spacing w:val="5"/>
                                <w:sz w:val="18"/>
                              </w:rPr>
                              <w:t> </w:t>
                            </w:r>
                            <w:r>
                              <w:rPr>
                                <w:color w:val="105C84"/>
                                <w:sz w:val="18"/>
                              </w:rPr>
                              <w:t>where</w:t>
                            </w:r>
                            <w:r>
                              <w:rPr>
                                <w:color w:val="105C84"/>
                                <w:spacing w:val="5"/>
                                <w:sz w:val="18"/>
                              </w:rPr>
                              <w:t> </w:t>
                            </w:r>
                            <w:r>
                              <w:rPr>
                                <w:color w:val="105C84"/>
                                <w:sz w:val="18"/>
                              </w:rPr>
                              <w:t>three</w:t>
                            </w:r>
                            <w:r>
                              <w:rPr>
                                <w:color w:val="105C84"/>
                                <w:spacing w:val="5"/>
                                <w:sz w:val="18"/>
                              </w:rPr>
                              <w:t> </w:t>
                            </w:r>
                            <w:r>
                              <w:rPr>
                                <w:color w:val="105C84"/>
                                <w:sz w:val="18"/>
                              </w:rPr>
                              <w:t>or</w:t>
                            </w:r>
                            <w:r>
                              <w:rPr>
                                <w:color w:val="105C84"/>
                                <w:spacing w:val="5"/>
                                <w:sz w:val="18"/>
                              </w:rPr>
                              <w:t> </w:t>
                            </w:r>
                            <w:r>
                              <w:rPr>
                                <w:color w:val="105C84"/>
                                <w:sz w:val="18"/>
                              </w:rPr>
                              <w:t>more</w:t>
                            </w:r>
                            <w:r>
                              <w:rPr>
                                <w:color w:val="105C84"/>
                                <w:spacing w:val="5"/>
                                <w:sz w:val="18"/>
                              </w:rPr>
                              <w:t> </w:t>
                            </w:r>
                            <w:r>
                              <w:rPr>
                                <w:color w:val="105C84"/>
                                <w:sz w:val="18"/>
                              </w:rPr>
                              <w:t>counties</w:t>
                            </w:r>
                            <w:r>
                              <w:rPr>
                                <w:color w:val="105C84"/>
                                <w:spacing w:val="5"/>
                                <w:sz w:val="18"/>
                              </w:rPr>
                              <w:t> </w:t>
                            </w:r>
                            <w:r>
                              <w:rPr>
                                <w:color w:val="105C84"/>
                                <w:sz w:val="18"/>
                              </w:rPr>
                              <w:t>selected</w:t>
                            </w:r>
                            <w:r>
                              <w:rPr>
                                <w:color w:val="105C84"/>
                                <w:spacing w:val="5"/>
                                <w:sz w:val="18"/>
                              </w:rPr>
                              <w:t> </w:t>
                            </w:r>
                            <w:r>
                              <w:rPr>
                                <w:color w:val="105C84"/>
                                <w:sz w:val="18"/>
                              </w:rPr>
                              <w:t>the</w:t>
                            </w:r>
                            <w:r>
                              <w:rPr>
                                <w:color w:val="105C84"/>
                                <w:spacing w:val="5"/>
                                <w:sz w:val="18"/>
                              </w:rPr>
                              <w:t> </w:t>
                            </w:r>
                            <w:r>
                              <w:rPr>
                                <w:color w:val="105C84"/>
                                <w:spacing w:val="-2"/>
                                <w:sz w:val="18"/>
                              </w:rPr>
                              <w:t>intervention.</w:t>
                            </w:r>
                          </w:p>
                          <w:p>
                            <w:pPr>
                              <w:pStyle w:val="TableParagraph"/>
                              <w:spacing w:line="203" w:lineRule="exact"/>
                              <w:ind w:left="180"/>
                              <w:rPr>
                                <w:sz w:val="18"/>
                              </w:rPr>
                            </w:pPr>
                            <w:r>
                              <w:rPr>
                                <w:color w:val="105C84"/>
                                <w:sz w:val="18"/>
                              </w:rPr>
                              <w:t>A</w:t>
                            </w:r>
                            <w:r>
                              <w:rPr>
                                <w:color w:val="105C84"/>
                                <w:spacing w:val="10"/>
                                <w:sz w:val="18"/>
                              </w:rPr>
                              <w:t> </w:t>
                            </w:r>
                            <w:r>
                              <w:rPr>
                                <w:color w:val="105C84"/>
                                <w:sz w:val="18"/>
                              </w:rPr>
                              <w:t>full</w:t>
                            </w:r>
                            <w:r>
                              <w:rPr>
                                <w:color w:val="105C84"/>
                                <w:spacing w:val="11"/>
                                <w:sz w:val="18"/>
                              </w:rPr>
                              <w:t> </w:t>
                            </w:r>
                            <w:r>
                              <w:rPr>
                                <w:color w:val="105C84"/>
                                <w:sz w:val="18"/>
                              </w:rPr>
                              <w:t>list</w:t>
                            </w:r>
                            <w:r>
                              <w:rPr>
                                <w:color w:val="105C84"/>
                                <w:spacing w:val="11"/>
                                <w:sz w:val="18"/>
                              </w:rPr>
                              <w:t> </w:t>
                            </w:r>
                            <w:r>
                              <w:rPr>
                                <w:color w:val="105C84"/>
                                <w:sz w:val="18"/>
                              </w:rPr>
                              <w:t>of</w:t>
                            </w:r>
                            <w:r>
                              <w:rPr>
                                <w:color w:val="105C84"/>
                                <w:spacing w:val="11"/>
                                <w:sz w:val="18"/>
                              </w:rPr>
                              <w:t> </w:t>
                            </w:r>
                            <w:r>
                              <w:rPr>
                                <w:color w:val="105C84"/>
                                <w:sz w:val="18"/>
                              </w:rPr>
                              <w:t>selected</w:t>
                            </w:r>
                            <w:r>
                              <w:rPr>
                                <w:color w:val="105C84"/>
                                <w:spacing w:val="11"/>
                                <w:sz w:val="18"/>
                              </w:rPr>
                              <w:t> </w:t>
                            </w:r>
                            <w:r>
                              <w:rPr>
                                <w:color w:val="105C84"/>
                                <w:sz w:val="18"/>
                              </w:rPr>
                              <w:t>interventions</w:t>
                            </w:r>
                            <w:r>
                              <w:rPr>
                                <w:color w:val="105C84"/>
                                <w:spacing w:val="10"/>
                                <w:sz w:val="18"/>
                              </w:rPr>
                              <w:t> </w:t>
                            </w:r>
                            <w:r>
                              <w:rPr>
                                <w:color w:val="105C84"/>
                                <w:sz w:val="18"/>
                              </w:rPr>
                              <w:t>can</w:t>
                            </w:r>
                            <w:r>
                              <w:rPr>
                                <w:color w:val="105C84"/>
                                <w:spacing w:val="11"/>
                                <w:sz w:val="18"/>
                              </w:rPr>
                              <w:t> </w:t>
                            </w:r>
                            <w:r>
                              <w:rPr>
                                <w:color w:val="105C84"/>
                                <w:sz w:val="18"/>
                              </w:rPr>
                              <w:t>be</w:t>
                            </w:r>
                            <w:r>
                              <w:rPr>
                                <w:color w:val="105C84"/>
                                <w:spacing w:val="11"/>
                                <w:sz w:val="18"/>
                              </w:rPr>
                              <w:t> </w:t>
                            </w:r>
                            <w:r>
                              <w:rPr>
                                <w:color w:val="105C84"/>
                                <w:sz w:val="18"/>
                              </w:rPr>
                              <w:t>found</w:t>
                            </w:r>
                            <w:r>
                              <w:rPr>
                                <w:color w:val="105C84"/>
                                <w:spacing w:val="11"/>
                                <w:sz w:val="18"/>
                              </w:rPr>
                              <w:t> </w:t>
                            </w:r>
                            <w:r>
                              <w:rPr>
                                <w:color w:val="105C84"/>
                                <w:sz w:val="18"/>
                              </w:rPr>
                              <w:t>in</w:t>
                            </w:r>
                            <w:r>
                              <w:rPr>
                                <w:color w:val="105C84"/>
                                <w:spacing w:val="11"/>
                                <w:sz w:val="18"/>
                              </w:rPr>
                              <w:t> </w:t>
                            </w:r>
                            <w:r>
                              <w:rPr>
                                <w:color w:val="105C84"/>
                                <w:sz w:val="18"/>
                              </w:rPr>
                              <w:t>the</w:t>
                            </w:r>
                            <w:r>
                              <w:rPr>
                                <w:color w:val="105C84"/>
                                <w:spacing w:val="10"/>
                                <w:sz w:val="18"/>
                              </w:rPr>
                              <w:t> </w:t>
                            </w:r>
                            <w:r>
                              <w:rPr>
                                <w:color w:val="105C84"/>
                                <w:sz w:val="18"/>
                              </w:rPr>
                              <w:t>county</w:t>
                            </w:r>
                            <w:r>
                              <w:rPr>
                                <w:color w:val="105C84"/>
                                <w:spacing w:val="11"/>
                                <w:sz w:val="18"/>
                              </w:rPr>
                              <w:t> </w:t>
                            </w:r>
                            <w:r>
                              <w:rPr>
                                <w:color w:val="105C84"/>
                                <w:sz w:val="18"/>
                              </w:rPr>
                              <w:t>improvement</w:t>
                            </w:r>
                            <w:r>
                              <w:rPr>
                                <w:color w:val="105C84"/>
                                <w:spacing w:val="11"/>
                                <w:sz w:val="18"/>
                              </w:rPr>
                              <w:t> </w:t>
                            </w:r>
                            <w:r>
                              <w:rPr>
                                <w:color w:val="105C84"/>
                                <w:sz w:val="18"/>
                              </w:rPr>
                              <w:t>plan</w:t>
                            </w:r>
                            <w:r>
                              <w:rPr>
                                <w:color w:val="105C84"/>
                                <w:spacing w:val="11"/>
                                <w:sz w:val="18"/>
                              </w:rPr>
                              <w:t> </w:t>
                            </w:r>
                            <w:r>
                              <w:rPr>
                                <w:color w:val="105C84"/>
                                <w:sz w:val="18"/>
                              </w:rPr>
                              <w:t>found</w:t>
                            </w:r>
                            <w:r>
                              <w:rPr>
                                <w:color w:val="105C84"/>
                                <w:spacing w:val="11"/>
                                <w:sz w:val="18"/>
                              </w:rPr>
                              <w:t> </w:t>
                            </w:r>
                            <w:r>
                              <w:rPr>
                                <w:color w:val="105C84"/>
                                <w:sz w:val="18"/>
                              </w:rPr>
                              <w:t>in</w:t>
                            </w:r>
                            <w:r>
                              <w:rPr>
                                <w:color w:val="105C84"/>
                                <w:spacing w:val="10"/>
                                <w:sz w:val="18"/>
                              </w:rPr>
                              <w:t> </w:t>
                            </w:r>
                            <w:r>
                              <w:rPr>
                                <w:color w:val="105C84"/>
                                <w:sz w:val="18"/>
                              </w:rPr>
                              <w:t>appendix</w:t>
                            </w:r>
                            <w:r>
                              <w:rPr>
                                <w:color w:val="105C84"/>
                                <w:spacing w:val="11"/>
                                <w:sz w:val="18"/>
                              </w:rPr>
                              <w:t> </w:t>
                            </w:r>
                            <w:r>
                              <w:rPr>
                                <w:color w:val="105C84"/>
                                <w:spacing w:val="-5"/>
                                <w:sz w:val="18"/>
                              </w:rPr>
                              <w:t>A.</w:t>
                            </w:r>
                          </w:p>
                        </w:tc>
                      </w:tr>
                    </w:tbl>
                    <w:p>
                      <w:pPr>
                        <w:pStyle w:val="BodyText"/>
                      </w:pPr>
                    </w:p>
                  </w:txbxContent>
                </v:textbox>
                <w10:wrap type="none"/>
              </v:shape>
            </w:pict>
          </mc:Fallback>
        </mc:AlternateContent>
      </w:r>
      <w:r>
        <w:rPr>
          <w:color w:val="105C84"/>
        </w:rPr>
        <w:t>To</w:t>
      </w:r>
      <w:r>
        <w:rPr>
          <w:color w:val="105C84"/>
          <w:spacing w:val="4"/>
        </w:rPr>
        <w:t> </w:t>
      </w:r>
      <w:r>
        <w:rPr>
          <w:color w:val="105C84"/>
        </w:rPr>
        <w:t>address</w:t>
      </w:r>
      <w:r>
        <w:rPr>
          <w:color w:val="105C84"/>
          <w:spacing w:val="5"/>
        </w:rPr>
        <w:t> </w:t>
      </w:r>
      <w:r>
        <w:rPr>
          <w:color w:val="105C84"/>
        </w:rPr>
        <w:t>the</w:t>
      </w:r>
      <w:r>
        <w:rPr>
          <w:color w:val="105C84"/>
          <w:spacing w:val="5"/>
        </w:rPr>
        <w:t> </w:t>
      </w:r>
      <w:r>
        <w:rPr>
          <w:color w:val="105C84"/>
        </w:rPr>
        <w:t>top</w:t>
      </w:r>
      <w:r>
        <w:rPr>
          <w:color w:val="105C84"/>
          <w:spacing w:val="5"/>
        </w:rPr>
        <w:t> </w:t>
      </w:r>
      <w:r>
        <w:rPr>
          <w:color w:val="105C84"/>
        </w:rPr>
        <w:t>focus</w:t>
      </w:r>
      <w:r>
        <w:rPr>
          <w:color w:val="105C84"/>
          <w:spacing w:val="5"/>
        </w:rPr>
        <w:t> </w:t>
      </w:r>
      <w:r>
        <w:rPr>
          <w:color w:val="105C84"/>
        </w:rPr>
        <w:t>areas,</w:t>
      </w:r>
      <w:r>
        <w:rPr>
          <w:color w:val="105C84"/>
          <w:spacing w:val="4"/>
        </w:rPr>
        <w:t> </w:t>
      </w:r>
      <w:r>
        <w:rPr>
          <w:color w:val="105C84"/>
        </w:rPr>
        <w:t>counties</w:t>
      </w:r>
      <w:r>
        <w:rPr>
          <w:color w:val="105C84"/>
          <w:spacing w:val="5"/>
        </w:rPr>
        <w:t> </w:t>
      </w:r>
      <w:r>
        <w:rPr>
          <w:color w:val="105C84"/>
        </w:rPr>
        <w:t>have</w:t>
      </w:r>
      <w:r>
        <w:rPr>
          <w:color w:val="105C84"/>
          <w:spacing w:val="5"/>
        </w:rPr>
        <w:t> </w:t>
      </w:r>
      <w:r>
        <w:rPr>
          <w:color w:val="105C84"/>
        </w:rPr>
        <w:t>selected</w:t>
      </w:r>
      <w:r>
        <w:rPr>
          <w:color w:val="105C84"/>
          <w:spacing w:val="5"/>
        </w:rPr>
        <w:t> </w:t>
      </w:r>
      <w:r>
        <w:rPr>
          <w:color w:val="105C84"/>
        </w:rPr>
        <w:t>the</w:t>
      </w:r>
      <w:r>
        <w:rPr>
          <w:color w:val="105C84"/>
          <w:spacing w:val="5"/>
        </w:rPr>
        <w:t> </w:t>
      </w:r>
      <w:r>
        <w:rPr>
          <w:color w:val="105C84"/>
        </w:rPr>
        <w:t>following</w:t>
      </w:r>
      <w:r>
        <w:rPr>
          <w:color w:val="105C84"/>
          <w:spacing w:val="5"/>
        </w:rPr>
        <w:t> </w:t>
      </w:r>
      <w:r>
        <w:rPr>
          <w:color w:val="105C84"/>
          <w:spacing w:val="-2"/>
        </w:rPr>
        <w:t>interventions:</w:t>
      </w:r>
    </w:p>
    <w:p>
      <w:pPr>
        <w:pStyle w:val="BodyText"/>
        <w:spacing w:after="0"/>
        <w:sectPr>
          <w:type w:val="continuous"/>
          <w:pgSz w:w="24480" w:h="15840" w:orient="landscape"/>
          <w:pgMar w:header="0" w:footer="0" w:top="0" w:bottom="280" w:left="0" w:right="720"/>
          <w:cols w:num="2" w:equalWidth="0">
            <w:col w:w="11175" w:space="1065"/>
            <w:col w:w="11520"/>
          </w:cols>
        </w:sectPr>
      </w:pPr>
    </w:p>
    <w:p>
      <w:pPr>
        <w:pStyle w:val="BodyText"/>
        <w:rPr>
          <w:sz w:val="20"/>
        </w:rPr>
      </w:pPr>
      <w:r>
        <w:rPr>
          <w:sz w:val="20"/>
        </w:rPr>
        <w:drawing>
          <wp:anchor distT="0" distB="0" distL="0" distR="0" allowOverlap="1" layoutInCell="1" locked="0" behindDoc="0" simplePos="0" relativeHeight="15736320">
            <wp:simplePos x="0" y="0"/>
            <wp:positionH relativeFrom="page">
              <wp:posOffset>14981556</wp:posOffset>
            </wp:positionH>
            <wp:positionV relativeFrom="page">
              <wp:posOffset>9668103</wp:posOffset>
            </wp:positionV>
            <wp:extent cx="563245" cy="184683"/>
            <wp:effectExtent l="0" t="0" r="0" b="0"/>
            <wp:wrapNone/>
            <wp:docPr id="56" name="Image 56"/>
            <wp:cNvGraphicFramePr>
              <a:graphicFrameLocks/>
            </wp:cNvGraphicFramePr>
            <a:graphic>
              <a:graphicData uri="http://schemas.openxmlformats.org/drawingml/2006/picture">
                <pic:pic>
                  <pic:nvPicPr>
                    <pic:cNvPr id="56" name="Image 56"/>
                    <pic:cNvPicPr/>
                  </pic:nvPicPr>
                  <pic:blipFill>
                    <a:blip r:embed="rId38" cstate="print"/>
                    <a:stretch>
                      <a:fillRect/>
                    </a:stretch>
                  </pic:blipFill>
                  <pic:spPr>
                    <a:xfrm>
                      <a:off x="0" y="0"/>
                      <a:ext cx="563245" cy="184683"/>
                    </a:xfrm>
                    <a:prstGeom prst="rect">
                      <a:avLst/>
                    </a:prstGeom>
                  </pic:spPr>
                </pic:pic>
              </a:graphicData>
            </a:graphic>
          </wp:anchor>
        </w:drawing>
      </w:r>
    </w:p>
    <w:p>
      <w:pPr>
        <w:pStyle w:val="BodyText"/>
        <w:spacing w:before="30"/>
        <w:rPr>
          <w:sz w:val="20"/>
        </w:rPr>
      </w:pPr>
    </w:p>
    <w:p>
      <w:pPr>
        <w:spacing w:line="240" w:lineRule="auto"/>
        <w:ind w:left="685" w:right="0" w:firstLine="0"/>
        <w:rPr>
          <w:sz w:val="20"/>
        </w:rPr>
      </w:pPr>
      <w:r>
        <w:rPr>
          <w:sz w:val="20"/>
        </w:rPr>
        <mc:AlternateContent>
          <mc:Choice Requires="wps">
            <w:drawing>
              <wp:inline distT="0" distB="0" distL="0" distR="0">
                <wp:extent cx="5949315" cy="4882515"/>
                <wp:effectExtent l="0" t="0" r="0" b="3810"/>
                <wp:docPr id="57" name="Group 57"/>
                <wp:cNvGraphicFramePr>
                  <a:graphicFrameLocks/>
                </wp:cNvGraphicFramePr>
                <a:graphic>
                  <a:graphicData uri="http://schemas.microsoft.com/office/word/2010/wordprocessingGroup">
                    <wpg:wgp>
                      <wpg:cNvPr id="57" name="Group 57"/>
                      <wpg:cNvGrpSpPr/>
                      <wpg:grpSpPr>
                        <a:xfrm>
                          <a:off x="0" y="0"/>
                          <a:ext cx="5949315" cy="4882515"/>
                          <a:chExt cx="5949315" cy="4882515"/>
                        </a:xfrm>
                      </wpg:grpSpPr>
                      <pic:pic>
                        <pic:nvPicPr>
                          <pic:cNvPr id="58" name="Image 58"/>
                          <pic:cNvPicPr/>
                        </pic:nvPicPr>
                        <pic:blipFill>
                          <a:blip r:embed="rId44" cstate="print"/>
                          <a:stretch>
                            <a:fillRect/>
                          </a:stretch>
                        </pic:blipFill>
                        <pic:spPr>
                          <a:xfrm>
                            <a:off x="0" y="6131"/>
                            <a:ext cx="4296487" cy="4876251"/>
                          </a:xfrm>
                          <a:prstGeom prst="rect">
                            <a:avLst/>
                          </a:prstGeom>
                        </pic:spPr>
                      </pic:pic>
                      <wps:wsp>
                        <wps:cNvPr id="59" name="Textbox 59"/>
                        <wps:cNvSpPr txBox="1"/>
                        <wps:spPr>
                          <a:xfrm>
                            <a:off x="2517538" y="428075"/>
                            <a:ext cx="261620" cy="111125"/>
                          </a:xfrm>
                          <a:prstGeom prst="rect">
                            <a:avLst/>
                          </a:prstGeom>
                        </wps:spPr>
                        <wps:txbx>
                          <w:txbxContent>
                            <w:p>
                              <w:pPr>
                                <w:spacing w:before="6"/>
                                <w:ind w:left="0" w:right="0" w:firstLine="0"/>
                                <w:jc w:val="left"/>
                                <w:rPr>
                                  <w:sz w:val="13"/>
                                </w:rPr>
                              </w:pPr>
                              <w:r>
                                <w:rPr>
                                  <w:color w:val="FFFFFF"/>
                                  <w:spacing w:val="-2"/>
                                  <w:sz w:val="13"/>
                                </w:rPr>
                                <w:t>Wayne</w:t>
                              </w:r>
                            </w:p>
                          </w:txbxContent>
                        </wps:txbx>
                        <wps:bodyPr wrap="square" lIns="0" tIns="0" rIns="0" bIns="0" rtlCol="0">
                          <a:noAutofit/>
                        </wps:bodyPr>
                      </wps:wsp>
                      <wps:wsp>
                        <wps:cNvPr id="60" name="Textbox 60"/>
                        <wps:cNvSpPr txBox="1"/>
                        <wps:spPr>
                          <a:xfrm>
                            <a:off x="1959792" y="1426904"/>
                            <a:ext cx="290195" cy="111125"/>
                          </a:xfrm>
                          <a:prstGeom prst="rect">
                            <a:avLst/>
                          </a:prstGeom>
                        </wps:spPr>
                        <wps:txbx>
                          <w:txbxContent>
                            <w:p>
                              <w:pPr>
                                <w:spacing w:before="6"/>
                                <w:ind w:left="0" w:right="0" w:firstLine="0"/>
                                <w:jc w:val="left"/>
                                <w:rPr>
                                  <w:sz w:val="13"/>
                                </w:rPr>
                              </w:pPr>
                              <w:r>
                                <w:rPr>
                                  <w:color w:val="FFFFFF"/>
                                  <w:spacing w:val="-2"/>
                                  <w:sz w:val="13"/>
                                </w:rPr>
                                <w:t>Ontario</w:t>
                              </w:r>
                            </w:p>
                          </w:txbxContent>
                        </wps:txbx>
                        <wps:bodyPr wrap="square" lIns="0" tIns="0" rIns="0" bIns="0" rtlCol="0">
                          <a:noAutofit/>
                        </wps:bodyPr>
                      </wps:wsp>
                      <wps:wsp>
                        <wps:cNvPr id="61" name="Textbox 61"/>
                        <wps:cNvSpPr txBox="1"/>
                        <wps:spPr>
                          <a:xfrm>
                            <a:off x="3081466" y="1639149"/>
                            <a:ext cx="275590" cy="111125"/>
                          </a:xfrm>
                          <a:prstGeom prst="rect">
                            <a:avLst/>
                          </a:prstGeom>
                        </wps:spPr>
                        <wps:txbx>
                          <w:txbxContent>
                            <w:p>
                              <w:pPr>
                                <w:spacing w:before="6"/>
                                <w:ind w:left="0" w:right="0" w:firstLine="0"/>
                                <w:jc w:val="left"/>
                                <w:rPr>
                                  <w:sz w:val="13"/>
                                </w:rPr>
                              </w:pPr>
                              <w:r>
                                <w:rPr>
                                  <w:color w:val="FFFFFF"/>
                                  <w:spacing w:val="-4"/>
                                  <w:sz w:val="13"/>
                                </w:rPr>
                                <w:t>Seneca</w:t>
                              </w:r>
                            </w:p>
                          </w:txbxContent>
                        </wps:txbx>
                        <wps:bodyPr wrap="square" lIns="0" tIns="0" rIns="0" bIns="0" rtlCol="0">
                          <a:noAutofit/>
                        </wps:bodyPr>
                      </wps:wsp>
                      <wps:wsp>
                        <wps:cNvPr id="62" name="Textbox 62"/>
                        <wps:cNvSpPr txBox="1"/>
                        <wps:spPr>
                          <a:xfrm>
                            <a:off x="563596" y="1914034"/>
                            <a:ext cx="382270" cy="111125"/>
                          </a:xfrm>
                          <a:prstGeom prst="rect">
                            <a:avLst/>
                          </a:prstGeom>
                        </wps:spPr>
                        <wps:txbx>
                          <w:txbxContent>
                            <w:p>
                              <w:pPr>
                                <w:spacing w:before="6"/>
                                <w:ind w:left="0" w:right="0" w:firstLine="0"/>
                                <w:jc w:val="left"/>
                                <w:rPr>
                                  <w:sz w:val="13"/>
                                </w:rPr>
                              </w:pPr>
                              <w:r>
                                <w:rPr>
                                  <w:color w:val="FFFFFF"/>
                                  <w:spacing w:val="-2"/>
                                  <w:sz w:val="13"/>
                                </w:rPr>
                                <w:t>Livingston</w:t>
                              </w:r>
                            </w:p>
                          </w:txbxContent>
                        </wps:txbx>
                        <wps:bodyPr wrap="square" lIns="0" tIns="0" rIns="0" bIns="0" rtlCol="0">
                          <a:noAutofit/>
                        </wps:bodyPr>
                      </wps:wsp>
                      <wps:wsp>
                        <wps:cNvPr id="63" name="Textbox 63"/>
                        <wps:cNvSpPr txBox="1"/>
                        <wps:spPr>
                          <a:xfrm>
                            <a:off x="2397644" y="2257580"/>
                            <a:ext cx="208915" cy="111125"/>
                          </a:xfrm>
                          <a:prstGeom prst="rect">
                            <a:avLst/>
                          </a:prstGeom>
                        </wps:spPr>
                        <wps:txbx>
                          <w:txbxContent>
                            <w:p>
                              <w:pPr>
                                <w:spacing w:before="6"/>
                                <w:ind w:left="0" w:right="0" w:firstLine="0"/>
                                <w:jc w:val="left"/>
                                <w:rPr>
                                  <w:sz w:val="13"/>
                                </w:rPr>
                              </w:pPr>
                              <w:r>
                                <w:rPr>
                                  <w:color w:val="FFFFFF"/>
                                  <w:spacing w:val="-4"/>
                                  <w:sz w:val="13"/>
                                </w:rPr>
                                <w:t>Yates</w:t>
                              </w:r>
                            </w:p>
                          </w:txbxContent>
                        </wps:txbx>
                        <wps:bodyPr wrap="square" lIns="0" tIns="0" rIns="0" bIns="0" rtlCol="0">
                          <a:noAutofit/>
                        </wps:bodyPr>
                      </wps:wsp>
                      <wps:wsp>
                        <wps:cNvPr id="64" name="Textbox 64"/>
                        <wps:cNvSpPr txBox="1"/>
                        <wps:spPr>
                          <a:xfrm>
                            <a:off x="3225519" y="3101272"/>
                            <a:ext cx="318770" cy="111125"/>
                          </a:xfrm>
                          <a:prstGeom prst="rect">
                            <a:avLst/>
                          </a:prstGeom>
                        </wps:spPr>
                        <wps:txbx>
                          <w:txbxContent>
                            <w:p>
                              <w:pPr>
                                <w:spacing w:before="6"/>
                                <w:ind w:left="0" w:right="0" w:firstLine="0"/>
                                <w:jc w:val="left"/>
                                <w:rPr>
                                  <w:sz w:val="13"/>
                                </w:rPr>
                              </w:pPr>
                              <w:r>
                                <w:rPr>
                                  <w:color w:val="FFFFFF"/>
                                  <w:spacing w:val="-2"/>
                                  <w:sz w:val="13"/>
                                </w:rPr>
                                <w:t>Schuyler</w:t>
                              </w:r>
                            </w:p>
                          </w:txbxContent>
                        </wps:txbx>
                        <wps:bodyPr wrap="square" lIns="0" tIns="0" rIns="0" bIns="0" rtlCol="0">
                          <a:noAutofit/>
                        </wps:bodyPr>
                      </wps:wsp>
                      <wps:wsp>
                        <wps:cNvPr id="65" name="Textbox 65"/>
                        <wps:cNvSpPr txBox="1"/>
                        <wps:spPr>
                          <a:xfrm>
                            <a:off x="1631261" y="3536663"/>
                            <a:ext cx="315595" cy="111125"/>
                          </a:xfrm>
                          <a:prstGeom prst="rect">
                            <a:avLst/>
                          </a:prstGeom>
                        </wps:spPr>
                        <wps:txbx>
                          <w:txbxContent>
                            <w:p>
                              <w:pPr>
                                <w:spacing w:before="6"/>
                                <w:ind w:left="0" w:right="0" w:firstLine="0"/>
                                <w:jc w:val="left"/>
                                <w:rPr>
                                  <w:sz w:val="13"/>
                                </w:rPr>
                              </w:pPr>
                              <w:r>
                                <w:rPr>
                                  <w:color w:val="FFFFFF"/>
                                  <w:spacing w:val="-2"/>
                                  <w:sz w:val="13"/>
                                </w:rPr>
                                <w:t>Steuben</w:t>
                              </w:r>
                            </w:p>
                          </w:txbxContent>
                        </wps:txbx>
                        <wps:bodyPr wrap="square" lIns="0" tIns="0" rIns="0" bIns="0" rtlCol="0">
                          <a:noAutofit/>
                        </wps:bodyPr>
                      </wps:wsp>
                      <wps:wsp>
                        <wps:cNvPr id="66" name="Textbox 66"/>
                        <wps:cNvSpPr txBox="1"/>
                        <wps:spPr>
                          <a:xfrm>
                            <a:off x="3347935" y="4106772"/>
                            <a:ext cx="370205" cy="111125"/>
                          </a:xfrm>
                          <a:prstGeom prst="rect">
                            <a:avLst/>
                          </a:prstGeom>
                        </wps:spPr>
                        <wps:txbx>
                          <w:txbxContent>
                            <w:p>
                              <w:pPr>
                                <w:spacing w:before="6"/>
                                <w:ind w:left="0" w:right="0" w:firstLine="0"/>
                                <w:jc w:val="left"/>
                                <w:rPr>
                                  <w:sz w:val="13"/>
                                </w:rPr>
                              </w:pPr>
                              <w:r>
                                <w:rPr>
                                  <w:color w:val="FFFFFF"/>
                                  <w:spacing w:val="-2"/>
                                  <w:sz w:val="13"/>
                                </w:rPr>
                                <w:t>Chemung</w:t>
                              </w:r>
                            </w:p>
                          </w:txbxContent>
                        </wps:txbx>
                        <wps:bodyPr wrap="square" lIns="0" tIns="0" rIns="0" bIns="0" rtlCol="0">
                          <a:noAutofit/>
                        </wps:bodyPr>
                      </wps:wsp>
                      <wps:wsp>
                        <wps:cNvPr id="67" name="Textbox 67"/>
                        <wps:cNvSpPr txBox="1"/>
                        <wps:spPr>
                          <a:xfrm>
                            <a:off x="3914527" y="1587"/>
                            <a:ext cx="2033270" cy="1720850"/>
                          </a:xfrm>
                          <a:prstGeom prst="rect">
                            <a:avLst/>
                          </a:prstGeom>
                          <a:ln w="3175">
                            <a:solidFill>
                              <a:srgbClr val="636466"/>
                            </a:solidFill>
                            <a:prstDash val="solid"/>
                          </a:ln>
                        </wps:spPr>
                        <wps:txbx>
                          <w:txbxContent>
                            <w:p>
                              <w:pPr>
                                <w:spacing w:line="240" w:lineRule="auto" w:before="5"/>
                                <w:rPr>
                                  <w:sz w:val="20"/>
                                </w:rPr>
                              </w:pPr>
                            </w:p>
                            <w:p>
                              <w:pPr>
                                <w:spacing w:before="0"/>
                                <w:ind w:left="245" w:right="0" w:firstLine="0"/>
                                <w:jc w:val="left"/>
                                <w:rPr>
                                  <w:b/>
                                  <w:sz w:val="20"/>
                                </w:rPr>
                              </w:pPr>
                              <w:r>
                                <w:rPr>
                                  <w:b/>
                                  <w:color w:val="6D6E71"/>
                                  <w:spacing w:val="-2"/>
                                  <w:sz w:val="20"/>
                                </w:rPr>
                                <w:t>LEGEND</w:t>
                              </w:r>
                            </w:p>
                            <w:p>
                              <w:pPr>
                                <w:spacing w:line="230" w:lineRule="auto" w:before="178"/>
                                <w:ind w:left="695" w:right="0" w:firstLine="0"/>
                                <w:jc w:val="left"/>
                                <w:rPr>
                                  <w:sz w:val="20"/>
                                </w:rPr>
                              </w:pPr>
                              <w:r>
                                <w:rPr>
                                  <w:color w:val="6D6E71"/>
                                  <w:sz w:val="20"/>
                                </w:rPr>
                                <w:t>Promote healthy </w:t>
                              </w:r>
                              <w:r>
                                <w:rPr>
                                  <w:color w:val="6D6E71"/>
                                  <w:sz w:val="20"/>
                                </w:rPr>
                                <w:t>women, infants and children</w:t>
                              </w:r>
                            </w:p>
                            <w:p>
                              <w:pPr>
                                <w:spacing w:line="230" w:lineRule="auto" w:before="178"/>
                                <w:ind w:left="695" w:right="319" w:firstLine="0"/>
                                <w:jc w:val="left"/>
                                <w:rPr>
                                  <w:sz w:val="20"/>
                                </w:rPr>
                              </w:pPr>
                              <w:r>
                                <w:rPr>
                                  <w:color w:val="6D6E71"/>
                                  <w:sz w:val="20"/>
                                </w:rPr>
                                <w:t>Promote</w:t>
                              </w:r>
                              <w:r>
                                <w:rPr>
                                  <w:color w:val="6D6E71"/>
                                  <w:spacing w:val="40"/>
                                  <w:sz w:val="20"/>
                                </w:rPr>
                                <w:t> </w:t>
                              </w:r>
                              <w:r>
                                <w:rPr>
                                  <w:color w:val="6D6E71"/>
                                  <w:sz w:val="20"/>
                                </w:rPr>
                                <w:t>well-being</w:t>
                              </w:r>
                              <w:r>
                                <w:rPr>
                                  <w:color w:val="6D6E71"/>
                                  <w:spacing w:val="80"/>
                                  <w:w w:val="150"/>
                                  <w:sz w:val="20"/>
                                </w:rPr>
                                <w:t> </w:t>
                              </w:r>
                              <w:r>
                                <w:rPr>
                                  <w:color w:val="6D6E71"/>
                                  <w:sz w:val="20"/>
                                </w:rPr>
                                <w:t>and prevent mental and substance</w:t>
                              </w:r>
                              <w:r>
                                <w:rPr>
                                  <w:color w:val="6D6E71"/>
                                  <w:spacing w:val="-8"/>
                                  <w:sz w:val="20"/>
                                </w:rPr>
                                <w:t> </w:t>
                              </w:r>
                              <w:r>
                                <w:rPr>
                                  <w:color w:val="6D6E71"/>
                                  <w:sz w:val="20"/>
                                </w:rPr>
                                <w:t>use</w:t>
                              </w:r>
                              <w:r>
                                <w:rPr>
                                  <w:color w:val="6D6E71"/>
                                  <w:spacing w:val="-8"/>
                                  <w:sz w:val="20"/>
                                </w:rPr>
                                <w:t> </w:t>
                              </w:r>
                              <w:r>
                                <w:rPr>
                                  <w:color w:val="6D6E71"/>
                                  <w:spacing w:val="-2"/>
                                  <w:sz w:val="20"/>
                                </w:rPr>
                                <w:t>disorders</w:t>
                              </w:r>
                            </w:p>
                            <w:p>
                              <w:pPr>
                                <w:spacing w:before="170"/>
                                <w:ind w:left="695" w:right="0" w:firstLine="0"/>
                                <w:jc w:val="left"/>
                                <w:rPr>
                                  <w:sz w:val="20"/>
                                </w:rPr>
                              </w:pPr>
                              <w:r>
                                <w:rPr>
                                  <w:color w:val="6D6E71"/>
                                  <w:sz w:val="20"/>
                                </w:rPr>
                                <w:t>Prevent</w:t>
                              </w:r>
                              <w:r>
                                <w:rPr>
                                  <w:color w:val="6D6E71"/>
                                  <w:spacing w:val="3"/>
                                  <w:sz w:val="20"/>
                                </w:rPr>
                                <w:t> </w:t>
                              </w:r>
                              <w:r>
                                <w:rPr>
                                  <w:color w:val="6D6E71"/>
                                  <w:sz w:val="20"/>
                                </w:rPr>
                                <w:t>chronic</w:t>
                              </w:r>
                              <w:r>
                                <w:rPr>
                                  <w:color w:val="6D6E71"/>
                                  <w:spacing w:val="4"/>
                                  <w:sz w:val="20"/>
                                </w:rPr>
                                <w:t> </w:t>
                              </w:r>
                              <w:r>
                                <w:rPr>
                                  <w:color w:val="6D6E71"/>
                                  <w:spacing w:val="-2"/>
                                  <w:sz w:val="20"/>
                                </w:rPr>
                                <w:t>disease</w:t>
                              </w:r>
                            </w:p>
                          </w:txbxContent>
                        </wps:txbx>
                        <wps:bodyPr wrap="square" lIns="0" tIns="0" rIns="0" bIns="0" rtlCol="0">
                          <a:noAutofit/>
                        </wps:bodyPr>
                      </wps:wsp>
                    </wpg:wgp>
                  </a:graphicData>
                </a:graphic>
              </wp:inline>
            </w:drawing>
          </mc:Choice>
          <mc:Fallback>
            <w:pict>
              <v:group style="width:468.45pt;height:384.45pt;mso-position-horizontal-relative:char;mso-position-vertical-relative:line" id="docshapegroup53" coordorigin="0,0" coordsize="9369,7689">
                <v:shape style="position:absolute;left:0;top:9;width:6767;height:7680" type="#_x0000_t75" id="docshape54" stroked="false">
                  <v:imagedata r:id="rId44" o:title=""/>
                </v:shape>
                <v:shape style="position:absolute;left:3964;top:674;width:412;height:175" type="#_x0000_t202" id="docshape55" filled="false" stroked="false">
                  <v:textbox inset="0,0,0,0">
                    <w:txbxContent>
                      <w:p>
                        <w:pPr>
                          <w:spacing w:before="6"/>
                          <w:ind w:left="0" w:right="0" w:firstLine="0"/>
                          <w:jc w:val="left"/>
                          <w:rPr>
                            <w:sz w:val="13"/>
                          </w:rPr>
                        </w:pPr>
                        <w:r>
                          <w:rPr>
                            <w:color w:val="FFFFFF"/>
                            <w:spacing w:val="-2"/>
                            <w:sz w:val="13"/>
                          </w:rPr>
                          <w:t>Wayne</w:t>
                        </w:r>
                      </w:p>
                    </w:txbxContent>
                  </v:textbox>
                  <w10:wrap type="none"/>
                </v:shape>
                <v:shape style="position:absolute;left:3086;top:2247;width:457;height:175" type="#_x0000_t202" id="docshape56" filled="false" stroked="false">
                  <v:textbox inset="0,0,0,0">
                    <w:txbxContent>
                      <w:p>
                        <w:pPr>
                          <w:spacing w:before="6"/>
                          <w:ind w:left="0" w:right="0" w:firstLine="0"/>
                          <w:jc w:val="left"/>
                          <w:rPr>
                            <w:sz w:val="13"/>
                          </w:rPr>
                        </w:pPr>
                        <w:r>
                          <w:rPr>
                            <w:color w:val="FFFFFF"/>
                            <w:spacing w:val="-2"/>
                            <w:sz w:val="13"/>
                          </w:rPr>
                          <w:t>Ontario</w:t>
                        </w:r>
                      </w:p>
                    </w:txbxContent>
                  </v:textbox>
                  <w10:wrap type="none"/>
                </v:shape>
                <v:shape style="position:absolute;left:4852;top:2581;width:434;height:175" type="#_x0000_t202" id="docshape57" filled="false" stroked="false">
                  <v:textbox inset="0,0,0,0">
                    <w:txbxContent>
                      <w:p>
                        <w:pPr>
                          <w:spacing w:before="6"/>
                          <w:ind w:left="0" w:right="0" w:firstLine="0"/>
                          <w:jc w:val="left"/>
                          <w:rPr>
                            <w:sz w:val="13"/>
                          </w:rPr>
                        </w:pPr>
                        <w:r>
                          <w:rPr>
                            <w:color w:val="FFFFFF"/>
                            <w:spacing w:val="-4"/>
                            <w:sz w:val="13"/>
                          </w:rPr>
                          <w:t>Seneca</w:t>
                        </w:r>
                      </w:p>
                    </w:txbxContent>
                  </v:textbox>
                  <w10:wrap type="none"/>
                </v:shape>
                <v:shape style="position:absolute;left:887;top:3014;width:602;height:175" type="#_x0000_t202" id="docshape58" filled="false" stroked="false">
                  <v:textbox inset="0,0,0,0">
                    <w:txbxContent>
                      <w:p>
                        <w:pPr>
                          <w:spacing w:before="6"/>
                          <w:ind w:left="0" w:right="0" w:firstLine="0"/>
                          <w:jc w:val="left"/>
                          <w:rPr>
                            <w:sz w:val="13"/>
                          </w:rPr>
                        </w:pPr>
                        <w:r>
                          <w:rPr>
                            <w:color w:val="FFFFFF"/>
                            <w:spacing w:val="-2"/>
                            <w:sz w:val="13"/>
                          </w:rPr>
                          <w:t>Livingston</w:t>
                        </w:r>
                      </w:p>
                    </w:txbxContent>
                  </v:textbox>
                  <w10:wrap type="none"/>
                </v:shape>
                <v:shape style="position:absolute;left:3775;top:3555;width:329;height:175" type="#_x0000_t202" id="docshape59" filled="false" stroked="false">
                  <v:textbox inset="0,0,0,0">
                    <w:txbxContent>
                      <w:p>
                        <w:pPr>
                          <w:spacing w:before="6"/>
                          <w:ind w:left="0" w:right="0" w:firstLine="0"/>
                          <w:jc w:val="left"/>
                          <w:rPr>
                            <w:sz w:val="13"/>
                          </w:rPr>
                        </w:pPr>
                        <w:r>
                          <w:rPr>
                            <w:color w:val="FFFFFF"/>
                            <w:spacing w:val="-4"/>
                            <w:sz w:val="13"/>
                          </w:rPr>
                          <w:t>Yates</w:t>
                        </w:r>
                      </w:p>
                    </w:txbxContent>
                  </v:textbox>
                  <w10:wrap type="none"/>
                </v:shape>
                <v:shape style="position:absolute;left:5079;top:4883;width:502;height:175" type="#_x0000_t202" id="docshape60" filled="false" stroked="false">
                  <v:textbox inset="0,0,0,0">
                    <w:txbxContent>
                      <w:p>
                        <w:pPr>
                          <w:spacing w:before="6"/>
                          <w:ind w:left="0" w:right="0" w:firstLine="0"/>
                          <w:jc w:val="left"/>
                          <w:rPr>
                            <w:sz w:val="13"/>
                          </w:rPr>
                        </w:pPr>
                        <w:r>
                          <w:rPr>
                            <w:color w:val="FFFFFF"/>
                            <w:spacing w:val="-2"/>
                            <w:sz w:val="13"/>
                          </w:rPr>
                          <w:t>Schuyler</w:t>
                        </w:r>
                      </w:p>
                    </w:txbxContent>
                  </v:textbox>
                  <w10:wrap type="none"/>
                </v:shape>
                <v:shape style="position:absolute;left:2568;top:5569;width:497;height:175" type="#_x0000_t202" id="docshape61" filled="false" stroked="false">
                  <v:textbox inset="0,0,0,0">
                    <w:txbxContent>
                      <w:p>
                        <w:pPr>
                          <w:spacing w:before="6"/>
                          <w:ind w:left="0" w:right="0" w:firstLine="0"/>
                          <w:jc w:val="left"/>
                          <w:rPr>
                            <w:sz w:val="13"/>
                          </w:rPr>
                        </w:pPr>
                        <w:r>
                          <w:rPr>
                            <w:color w:val="FFFFFF"/>
                            <w:spacing w:val="-2"/>
                            <w:sz w:val="13"/>
                          </w:rPr>
                          <w:t>Steuben</w:t>
                        </w:r>
                      </w:p>
                    </w:txbxContent>
                  </v:textbox>
                  <w10:wrap type="none"/>
                </v:shape>
                <v:shape style="position:absolute;left:5272;top:6467;width:583;height:175" type="#_x0000_t202" id="docshape62" filled="false" stroked="false">
                  <v:textbox inset="0,0,0,0">
                    <w:txbxContent>
                      <w:p>
                        <w:pPr>
                          <w:spacing w:before="6"/>
                          <w:ind w:left="0" w:right="0" w:firstLine="0"/>
                          <w:jc w:val="left"/>
                          <w:rPr>
                            <w:sz w:val="13"/>
                          </w:rPr>
                        </w:pPr>
                        <w:r>
                          <w:rPr>
                            <w:color w:val="FFFFFF"/>
                            <w:spacing w:val="-2"/>
                            <w:sz w:val="13"/>
                          </w:rPr>
                          <w:t>Chemung</w:t>
                        </w:r>
                      </w:p>
                    </w:txbxContent>
                  </v:textbox>
                  <w10:wrap type="none"/>
                </v:shape>
                <v:shape style="position:absolute;left:6164;top:2;width:3202;height:2710" type="#_x0000_t202" id="docshape63" filled="false" stroked="true" strokeweight=".25pt" strokecolor="#636466">
                  <v:textbox inset="0,0,0,0">
                    <w:txbxContent>
                      <w:p>
                        <w:pPr>
                          <w:spacing w:line="240" w:lineRule="auto" w:before="5"/>
                          <w:rPr>
                            <w:sz w:val="20"/>
                          </w:rPr>
                        </w:pPr>
                      </w:p>
                      <w:p>
                        <w:pPr>
                          <w:spacing w:before="0"/>
                          <w:ind w:left="245" w:right="0" w:firstLine="0"/>
                          <w:jc w:val="left"/>
                          <w:rPr>
                            <w:b/>
                            <w:sz w:val="20"/>
                          </w:rPr>
                        </w:pPr>
                        <w:r>
                          <w:rPr>
                            <w:b/>
                            <w:color w:val="6D6E71"/>
                            <w:spacing w:val="-2"/>
                            <w:sz w:val="20"/>
                          </w:rPr>
                          <w:t>LEGEND</w:t>
                        </w:r>
                      </w:p>
                      <w:p>
                        <w:pPr>
                          <w:spacing w:line="230" w:lineRule="auto" w:before="178"/>
                          <w:ind w:left="695" w:right="0" w:firstLine="0"/>
                          <w:jc w:val="left"/>
                          <w:rPr>
                            <w:sz w:val="20"/>
                          </w:rPr>
                        </w:pPr>
                        <w:r>
                          <w:rPr>
                            <w:color w:val="6D6E71"/>
                            <w:sz w:val="20"/>
                          </w:rPr>
                          <w:t>Promote healthy </w:t>
                        </w:r>
                        <w:r>
                          <w:rPr>
                            <w:color w:val="6D6E71"/>
                            <w:sz w:val="20"/>
                          </w:rPr>
                          <w:t>women, infants and children</w:t>
                        </w:r>
                      </w:p>
                      <w:p>
                        <w:pPr>
                          <w:spacing w:line="230" w:lineRule="auto" w:before="178"/>
                          <w:ind w:left="695" w:right="319" w:firstLine="0"/>
                          <w:jc w:val="left"/>
                          <w:rPr>
                            <w:sz w:val="20"/>
                          </w:rPr>
                        </w:pPr>
                        <w:r>
                          <w:rPr>
                            <w:color w:val="6D6E71"/>
                            <w:sz w:val="20"/>
                          </w:rPr>
                          <w:t>Promote</w:t>
                        </w:r>
                        <w:r>
                          <w:rPr>
                            <w:color w:val="6D6E71"/>
                            <w:spacing w:val="40"/>
                            <w:sz w:val="20"/>
                          </w:rPr>
                          <w:t> </w:t>
                        </w:r>
                        <w:r>
                          <w:rPr>
                            <w:color w:val="6D6E71"/>
                            <w:sz w:val="20"/>
                          </w:rPr>
                          <w:t>well-being</w:t>
                        </w:r>
                        <w:r>
                          <w:rPr>
                            <w:color w:val="6D6E71"/>
                            <w:spacing w:val="80"/>
                            <w:w w:val="150"/>
                            <w:sz w:val="20"/>
                          </w:rPr>
                          <w:t> </w:t>
                        </w:r>
                        <w:r>
                          <w:rPr>
                            <w:color w:val="6D6E71"/>
                            <w:sz w:val="20"/>
                          </w:rPr>
                          <w:t>and prevent mental and substance</w:t>
                        </w:r>
                        <w:r>
                          <w:rPr>
                            <w:color w:val="6D6E71"/>
                            <w:spacing w:val="-8"/>
                            <w:sz w:val="20"/>
                          </w:rPr>
                          <w:t> </w:t>
                        </w:r>
                        <w:r>
                          <w:rPr>
                            <w:color w:val="6D6E71"/>
                            <w:sz w:val="20"/>
                          </w:rPr>
                          <w:t>use</w:t>
                        </w:r>
                        <w:r>
                          <w:rPr>
                            <w:color w:val="6D6E71"/>
                            <w:spacing w:val="-8"/>
                            <w:sz w:val="20"/>
                          </w:rPr>
                          <w:t> </w:t>
                        </w:r>
                        <w:r>
                          <w:rPr>
                            <w:color w:val="6D6E71"/>
                            <w:spacing w:val="-2"/>
                            <w:sz w:val="20"/>
                          </w:rPr>
                          <w:t>disorders</w:t>
                        </w:r>
                      </w:p>
                      <w:p>
                        <w:pPr>
                          <w:spacing w:before="170"/>
                          <w:ind w:left="695" w:right="0" w:firstLine="0"/>
                          <w:jc w:val="left"/>
                          <w:rPr>
                            <w:sz w:val="20"/>
                          </w:rPr>
                        </w:pPr>
                        <w:r>
                          <w:rPr>
                            <w:color w:val="6D6E71"/>
                            <w:sz w:val="20"/>
                          </w:rPr>
                          <w:t>Prevent</w:t>
                        </w:r>
                        <w:r>
                          <w:rPr>
                            <w:color w:val="6D6E71"/>
                            <w:spacing w:val="3"/>
                            <w:sz w:val="20"/>
                          </w:rPr>
                          <w:t> </w:t>
                        </w:r>
                        <w:r>
                          <w:rPr>
                            <w:color w:val="6D6E71"/>
                            <w:sz w:val="20"/>
                          </w:rPr>
                          <w:t>chronic</w:t>
                        </w:r>
                        <w:r>
                          <w:rPr>
                            <w:color w:val="6D6E71"/>
                            <w:spacing w:val="4"/>
                            <w:sz w:val="20"/>
                          </w:rPr>
                          <w:t> </w:t>
                        </w:r>
                        <w:r>
                          <w:rPr>
                            <w:color w:val="6D6E71"/>
                            <w:spacing w:val="-2"/>
                            <w:sz w:val="20"/>
                          </w:rPr>
                          <w:t>disease</w:t>
                        </w:r>
                      </w:p>
                    </w:txbxContent>
                  </v:textbox>
                  <v:stroke dashstyle="solid"/>
                  <w10:wrap type="none"/>
                </v:shape>
              </v:group>
            </w:pict>
          </mc:Fallback>
        </mc:AlternateContent>
      </w:r>
      <w:r>
        <w:rPr>
          <w:sz w:val="20"/>
        </w:rPr>
      </w: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292"/>
        <w:rPr>
          <w:sz w:val="26"/>
        </w:rPr>
      </w:pPr>
    </w:p>
    <w:p>
      <w:pPr>
        <w:tabs>
          <w:tab w:pos="1212" w:val="left" w:leader="none"/>
          <w:tab w:pos="23147" w:val="left" w:leader="none"/>
        </w:tabs>
        <w:spacing w:before="0"/>
        <w:ind w:left="0" w:right="0" w:firstLine="0"/>
        <w:jc w:val="left"/>
        <w:rPr>
          <w:b/>
          <w:sz w:val="26"/>
        </w:rPr>
      </w:pPr>
      <w:r>
        <w:rPr>
          <w:position w:val="-4"/>
        </w:rPr>
        <w:drawing>
          <wp:inline distT="0" distB="0" distL="0" distR="0">
            <wp:extent cx="568172" cy="184683"/>
            <wp:effectExtent l="0" t="0" r="0" b="0"/>
            <wp:docPr id="68" name="Image 68"/>
            <wp:cNvGraphicFramePr>
              <a:graphicFrameLocks/>
            </wp:cNvGraphicFramePr>
            <a:graphic>
              <a:graphicData uri="http://schemas.openxmlformats.org/drawingml/2006/picture">
                <pic:pic>
                  <pic:nvPicPr>
                    <pic:cNvPr id="68" name="Image 68"/>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z w:val="20"/>
        </w:rPr>
        <w:tab/>
      </w:r>
      <w:r>
        <w:rPr>
          <w:b/>
          <w:color w:val="939598"/>
          <w:spacing w:val="-10"/>
          <w:w w:val="105"/>
          <w:sz w:val="26"/>
        </w:rPr>
        <w:t>5</w:t>
      </w:r>
      <w:r>
        <w:rPr>
          <w:b/>
          <w:color w:val="939598"/>
          <w:sz w:val="26"/>
        </w:rPr>
        <w:tab/>
      </w:r>
      <w:r>
        <w:rPr>
          <w:b/>
          <w:color w:val="939598"/>
          <w:spacing w:val="-10"/>
          <w:w w:val="105"/>
          <w:sz w:val="26"/>
        </w:rPr>
        <w:t>6</w:t>
      </w:r>
    </w:p>
    <w:p>
      <w:pPr>
        <w:spacing w:after="0"/>
        <w:jc w:val="left"/>
        <w:rPr>
          <w:b/>
          <w:sz w:val="26"/>
        </w:rPr>
        <w:sectPr>
          <w:type w:val="continuous"/>
          <w:pgSz w:w="24480" w:h="15840" w:orient="landscape"/>
          <w:pgMar w:header="0" w:footer="0" w:top="0" w:bottom="280" w:left="0" w:right="720"/>
        </w:sectPr>
      </w:pPr>
    </w:p>
    <w:p>
      <w:pPr>
        <w:pStyle w:val="BodyText"/>
        <w:rPr>
          <w:b/>
          <w:sz w:val="20"/>
        </w:rPr>
      </w:pPr>
    </w:p>
    <w:p>
      <w:pPr>
        <w:pStyle w:val="BodyText"/>
        <w:spacing w:before="16"/>
        <w:rPr>
          <w:b/>
          <w:sz w:val="20"/>
        </w:rPr>
      </w:pPr>
    </w:p>
    <w:p>
      <w:pPr>
        <w:pStyle w:val="BodyText"/>
        <w:spacing w:after="0"/>
        <w:rPr>
          <w:b/>
          <w:sz w:val="20"/>
        </w:rPr>
        <w:sectPr>
          <w:pgSz w:w="24480" w:h="15840" w:orient="landscape"/>
          <w:pgMar w:header="0" w:footer="0" w:top="860" w:bottom="0" w:left="0" w:right="720"/>
        </w:sectPr>
      </w:pPr>
    </w:p>
    <w:p>
      <w:pPr>
        <w:pStyle w:val="BodyText"/>
        <w:spacing w:line="247" w:lineRule="auto" w:before="113"/>
        <w:ind w:left="1080" w:right="282"/>
      </w:pPr>
      <w:r>
        <w:rPr>
          <w:color w:val="105C84"/>
        </w:rPr>
        <w:t>Several of the above interventions include communication and small-media. As several counties</w:t>
      </w:r>
      <w:r>
        <w:rPr>
          <w:color w:val="105C84"/>
          <w:spacing w:val="40"/>
        </w:rPr>
        <w:t> </w:t>
      </w:r>
      <w:r>
        <w:rPr>
          <w:color w:val="105C84"/>
        </w:rPr>
        <w:t>have selected the same interventions, this poses an opportunity to create unified regional</w:t>
      </w:r>
      <w:r>
        <w:rPr>
          <w:color w:val="105C84"/>
          <w:spacing w:val="40"/>
        </w:rPr>
        <w:t> </w:t>
      </w:r>
      <w:r>
        <w:rPr>
          <w:color w:val="105C84"/>
        </w:rPr>
        <w:t>messaging.</w:t>
      </w:r>
      <w:r>
        <w:rPr>
          <w:color w:val="105C84"/>
          <w:spacing w:val="26"/>
        </w:rPr>
        <w:t> </w:t>
      </w:r>
      <w:r>
        <w:rPr>
          <w:color w:val="105C84"/>
        </w:rPr>
        <w:t>Residents</w:t>
      </w:r>
      <w:r>
        <w:rPr>
          <w:color w:val="105C84"/>
          <w:spacing w:val="26"/>
        </w:rPr>
        <w:t> </w:t>
      </w:r>
      <w:r>
        <w:rPr>
          <w:color w:val="105C84"/>
        </w:rPr>
        <w:t>do</w:t>
      </w:r>
      <w:r>
        <w:rPr>
          <w:color w:val="105C84"/>
          <w:spacing w:val="26"/>
        </w:rPr>
        <w:t> </w:t>
      </w:r>
      <w:r>
        <w:rPr>
          <w:color w:val="105C84"/>
        </w:rPr>
        <w:t>not</w:t>
      </w:r>
      <w:r>
        <w:rPr>
          <w:color w:val="105C84"/>
          <w:spacing w:val="26"/>
        </w:rPr>
        <w:t> </w:t>
      </w:r>
      <w:r>
        <w:rPr>
          <w:color w:val="105C84"/>
        </w:rPr>
        <w:t>travel</w:t>
      </w:r>
      <w:r>
        <w:rPr>
          <w:color w:val="105C84"/>
          <w:spacing w:val="26"/>
        </w:rPr>
        <w:t> </w:t>
      </w:r>
      <w:r>
        <w:rPr>
          <w:color w:val="105C84"/>
        </w:rPr>
        <w:t>only</w:t>
      </w:r>
      <w:r>
        <w:rPr>
          <w:color w:val="105C84"/>
          <w:spacing w:val="26"/>
        </w:rPr>
        <w:t> </w:t>
      </w:r>
      <w:r>
        <w:rPr>
          <w:color w:val="105C84"/>
        </w:rPr>
        <w:t>within</w:t>
      </w:r>
      <w:r>
        <w:rPr>
          <w:color w:val="105C84"/>
          <w:spacing w:val="26"/>
        </w:rPr>
        <w:t> </w:t>
      </w:r>
      <w:r>
        <w:rPr>
          <w:color w:val="105C84"/>
        </w:rPr>
        <w:t>their</w:t>
      </w:r>
      <w:r>
        <w:rPr>
          <w:color w:val="105C84"/>
          <w:spacing w:val="26"/>
        </w:rPr>
        <w:t> </w:t>
      </w:r>
      <w:r>
        <w:rPr>
          <w:color w:val="105C84"/>
        </w:rPr>
        <w:t>counties’</w:t>
      </w:r>
      <w:r>
        <w:rPr>
          <w:color w:val="105C84"/>
          <w:spacing w:val="26"/>
        </w:rPr>
        <w:t> </w:t>
      </w:r>
      <w:r>
        <w:rPr>
          <w:color w:val="105C84"/>
        </w:rPr>
        <w:t>borders,</w:t>
      </w:r>
      <w:r>
        <w:rPr>
          <w:color w:val="105C84"/>
          <w:spacing w:val="26"/>
        </w:rPr>
        <w:t> </w:t>
      </w:r>
      <w:r>
        <w:rPr>
          <w:color w:val="105C84"/>
        </w:rPr>
        <w:t>so</w:t>
      </w:r>
      <w:r>
        <w:rPr>
          <w:color w:val="105C84"/>
          <w:spacing w:val="26"/>
        </w:rPr>
        <w:t> </w:t>
      </w:r>
      <w:r>
        <w:rPr>
          <w:color w:val="105C84"/>
        </w:rPr>
        <w:t>this</w:t>
      </w:r>
      <w:r>
        <w:rPr>
          <w:color w:val="105C84"/>
          <w:spacing w:val="26"/>
        </w:rPr>
        <w:t> </w:t>
      </w:r>
      <w:r>
        <w:rPr>
          <w:color w:val="105C84"/>
        </w:rPr>
        <w:t>concept</w:t>
      </w:r>
      <w:r>
        <w:rPr>
          <w:color w:val="105C84"/>
          <w:spacing w:val="26"/>
        </w:rPr>
        <w:t> </w:t>
      </w:r>
      <w:r>
        <w:rPr>
          <w:color w:val="105C84"/>
        </w:rPr>
        <w:t>will</w:t>
      </w:r>
      <w:r>
        <w:rPr>
          <w:color w:val="105C84"/>
          <w:spacing w:val="26"/>
        </w:rPr>
        <w:t> </w:t>
      </w:r>
      <w:r>
        <w:rPr>
          <w:color w:val="105C84"/>
        </w:rPr>
        <w:t>create an opportunity for Finger Lakes residents, regardless of where they live, work and play, to receive consistent</w:t>
      </w:r>
      <w:r>
        <w:rPr>
          <w:color w:val="105C84"/>
          <w:spacing w:val="24"/>
        </w:rPr>
        <w:t> </w:t>
      </w:r>
      <w:r>
        <w:rPr>
          <w:color w:val="105C84"/>
        </w:rPr>
        <w:t>messaging</w:t>
      </w:r>
      <w:r>
        <w:rPr>
          <w:color w:val="105C84"/>
          <w:spacing w:val="24"/>
        </w:rPr>
        <w:t> </w:t>
      </w:r>
      <w:r>
        <w:rPr>
          <w:color w:val="105C84"/>
        </w:rPr>
        <w:t>on</w:t>
      </w:r>
      <w:r>
        <w:rPr>
          <w:color w:val="105C84"/>
          <w:spacing w:val="24"/>
        </w:rPr>
        <w:t> </w:t>
      </w:r>
      <w:r>
        <w:rPr>
          <w:color w:val="105C84"/>
        </w:rPr>
        <w:t>health</w:t>
      </w:r>
      <w:r>
        <w:rPr>
          <w:color w:val="105C84"/>
          <w:spacing w:val="24"/>
        </w:rPr>
        <w:t> </w:t>
      </w:r>
      <w:r>
        <w:rPr>
          <w:color w:val="105C84"/>
        </w:rPr>
        <w:t>related</w:t>
      </w:r>
      <w:r>
        <w:rPr>
          <w:color w:val="105C84"/>
          <w:spacing w:val="24"/>
        </w:rPr>
        <w:t> </w:t>
      </w:r>
      <w:r>
        <w:rPr>
          <w:color w:val="105C84"/>
        </w:rPr>
        <w:t>topics.</w:t>
      </w:r>
      <w:r>
        <w:rPr>
          <w:color w:val="105C84"/>
          <w:spacing w:val="24"/>
        </w:rPr>
        <w:t> </w:t>
      </w:r>
      <w:r>
        <w:rPr>
          <w:color w:val="105C84"/>
        </w:rPr>
        <w:t>In</w:t>
      </w:r>
      <w:r>
        <w:rPr>
          <w:color w:val="105C84"/>
          <w:spacing w:val="24"/>
        </w:rPr>
        <w:t> </w:t>
      </w:r>
      <w:r>
        <w:rPr>
          <w:color w:val="105C84"/>
        </w:rPr>
        <w:t>addition,</w:t>
      </w:r>
      <w:r>
        <w:rPr>
          <w:color w:val="105C84"/>
          <w:spacing w:val="24"/>
        </w:rPr>
        <w:t> </w:t>
      </w:r>
      <w:r>
        <w:rPr>
          <w:color w:val="105C84"/>
        </w:rPr>
        <w:t>local</w:t>
      </w:r>
      <w:r>
        <w:rPr>
          <w:color w:val="105C84"/>
          <w:spacing w:val="24"/>
        </w:rPr>
        <w:t> </w:t>
      </w:r>
      <w:r>
        <w:rPr>
          <w:color w:val="105C84"/>
        </w:rPr>
        <w:t>departments</w:t>
      </w:r>
      <w:r>
        <w:rPr>
          <w:color w:val="105C84"/>
          <w:spacing w:val="24"/>
        </w:rPr>
        <w:t> </w:t>
      </w:r>
      <w:r>
        <w:rPr>
          <w:color w:val="105C84"/>
        </w:rPr>
        <w:t>have</w:t>
      </w:r>
      <w:r>
        <w:rPr>
          <w:color w:val="105C84"/>
          <w:spacing w:val="24"/>
        </w:rPr>
        <w:t> </w:t>
      </w:r>
      <w:r>
        <w:rPr>
          <w:color w:val="105C84"/>
        </w:rPr>
        <w:t>the</w:t>
      </w:r>
      <w:r>
        <w:rPr>
          <w:color w:val="105C84"/>
          <w:spacing w:val="24"/>
        </w:rPr>
        <w:t> </w:t>
      </w:r>
      <w:r>
        <w:rPr>
          <w:color w:val="105C84"/>
        </w:rPr>
        <w:t>opportunity to work together and leverage each other’s resources when creating and disseminating these communications and educational materials.</w:t>
      </w:r>
    </w:p>
    <w:p>
      <w:pPr>
        <w:pStyle w:val="BodyText"/>
        <w:spacing w:before="16"/>
      </w:pPr>
    </w:p>
    <w:p>
      <w:pPr>
        <w:pStyle w:val="Heading6"/>
      </w:pPr>
      <w:r>
        <w:rPr>
          <w:color w:val="105C84"/>
          <w:spacing w:val="-6"/>
        </w:rPr>
        <w:t>Regional</w:t>
      </w:r>
      <w:r>
        <w:rPr>
          <w:color w:val="105C84"/>
          <w:spacing w:val="-12"/>
        </w:rPr>
        <w:t> </w:t>
      </w:r>
      <w:r>
        <w:rPr>
          <w:color w:val="105C84"/>
          <w:spacing w:val="-6"/>
        </w:rPr>
        <w:t>Assets</w:t>
      </w:r>
      <w:r>
        <w:rPr>
          <w:color w:val="105C84"/>
          <w:spacing w:val="-12"/>
        </w:rPr>
        <w:t> </w:t>
      </w:r>
      <w:r>
        <w:rPr>
          <w:color w:val="105C84"/>
          <w:spacing w:val="-6"/>
        </w:rPr>
        <w:t>and</w:t>
      </w:r>
      <w:r>
        <w:rPr>
          <w:color w:val="105C84"/>
          <w:spacing w:val="-11"/>
        </w:rPr>
        <w:t> </w:t>
      </w:r>
      <w:r>
        <w:rPr>
          <w:color w:val="105C84"/>
          <w:spacing w:val="-6"/>
        </w:rPr>
        <w:t>Resources</w:t>
      </w:r>
      <w:r>
        <w:rPr>
          <w:color w:val="105C84"/>
          <w:spacing w:val="-12"/>
        </w:rPr>
        <w:t> </w:t>
      </w:r>
      <w:r>
        <w:rPr>
          <w:color w:val="105C84"/>
          <w:spacing w:val="-6"/>
        </w:rPr>
        <w:t>to</w:t>
      </w:r>
      <w:r>
        <w:rPr>
          <w:color w:val="105C84"/>
          <w:spacing w:val="-11"/>
        </w:rPr>
        <w:t> </w:t>
      </w:r>
      <w:r>
        <w:rPr>
          <w:color w:val="105C84"/>
          <w:spacing w:val="-6"/>
        </w:rPr>
        <w:t>be</w:t>
      </w:r>
      <w:r>
        <w:rPr>
          <w:color w:val="105C84"/>
          <w:spacing w:val="-12"/>
        </w:rPr>
        <w:t> </w:t>
      </w:r>
      <w:r>
        <w:rPr>
          <w:color w:val="105C84"/>
          <w:spacing w:val="-6"/>
        </w:rPr>
        <w:t>Mobilized</w:t>
      </w:r>
    </w:p>
    <w:p>
      <w:pPr>
        <w:pStyle w:val="BodyText"/>
        <w:spacing w:line="247" w:lineRule="auto" w:before="268"/>
        <w:ind w:left="1080" w:right="322"/>
      </w:pPr>
      <w:r>
        <w:rPr>
          <w:color w:val="105C84"/>
        </w:rPr>
        <w:t>The Finger Lakes region already has a long-standing reputation of collaboration and coordination</w:t>
      </w:r>
      <w:r>
        <w:rPr>
          <w:color w:val="105C84"/>
          <w:spacing w:val="40"/>
        </w:rPr>
        <w:t> </w:t>
      </w:r>
      <w:r>
        <w:rPr>
          <w:color w:val="105C84"/>
        </w:rPr>
        <w:t>among its partners. The region also has two designated agencies that promote and facilitate</w:t>
      </w:r>
      <w:r>
        <w:rPr>
          <w:color w:val="105C84"/>
          <w:spacing w:val="40"/>
        </w:rPr>
        <w:t> </w:t>
      </w:r>
      <w:r>
        <w:rPr>
          <w:color w:val="105C84"/>
        </w:rPr>
        <w:t>collaboration: the S2AY Rural Health Network and Common Ground Health.</w:t>
      </w:r>
    </w:p>
    <w:p>
      <w:pPr>
        <w:pStyle w:val="BodyText"/>
        <w:spacing w:line="247" w:lineRule="auto" w:before="179"/>
        <w:ind w:left="1080" w:right="322"/>
      </w:pPr>
      <w:r>
        <w:rPr>
          <w:color w:val="105C84"/>
        </w:rPr>
        <w:t>The S2AY Rural Health Network is a partnership of seven local health departments including Chemung, Ontario, Schuyler, Seneca, Steuben, Wayne and Yates Counties. The network’s mission is</w:t>
      </w:r>
      <w:r>
        <w:rPr>
          <w:color w:val="105C84"/>
          <w:spacing w:val="13"/>
        </w:rPr>
        <w:t> </w:t>
      </w:r>
      <w:r>
        <w:rPr>
          <w:color w:val="105C84"/>
        </w:rPr>
        <w:t>to</w:t>
      </w:r>
      <w:r>
        <w:rPr>
          <w:color w:val="105C84"/>
          <w:spacing w:val="13"/>
        </w:rPr>
        <w:t> </w:t>
      </w:r>
      <w:r>
        <w:rPr>
          <w:color w:val="105C84"/>
        </w:rPr>
        <w:t>be</w:t>
      </w:r>
      <w:r>
        <w:rPr>
          <w:color w:val="105C84"/>
          <w:spacing w:val="13"/>
        </w:rPr>
        <w:t> </w:t>
      </w:r>
      <w:r>
        <w:rPr>
          <w:color w:val="105C84"/>
        </w:rPr>
        <w:t>a</w:t>
      </w:r>
      <w:r>
        <w:rPr>
          <w:color w:val="105C84"/>
          <w:spacing w:val="13"/>
        </w:rPr>
        <w:t> </w:t>
      </w:r>
      <w:r>
        <w:rPr>
          <w:color w:val="105C84"/>
        </w:rPr>
        <w:t>leader</w:t>
      </w:r>
      <w:r>
        <w:rPr>
          <w:color w:val="105C84"/>
          <w:spacing w:val="13"/>
        </w:rPr>
        <w:t> </w:t>
      </w:r>
      <w:r>
        <w:rPr>
          <w:color w:val="105C84"/>
        </w:rPr>
        <w:t>in</w:t>
      </w:r>
      <w:r>
        <w:rPr>
          <w:color w:val="105C84"/>
          <w:spacing w:val="13"/>
        </w:rPr>
        <w:t> </w:t>
      </w:r>
      <w:r>
        <w:rPr>
          <w:color w:val="105C84"/>
        </w:rPr>
        <w:t>improving</w:t>
      </w:r>
      <w:r>
        <w:rPr>
          <w:color w:val="105C84"/>
          <w:spacing w:val="13"/>
        </w:rPr>
        <w:t> </w:t>
      </w:r>
      <w:r>
        <w:rPr>
          <w:color w:val="105C84"/>
        </w:rPr>
        <w:t>health</w:t>
      </w:r>
      <w:r>
        <w:rPr>
          <w:color w:val="105C84"/>
          <w:spacing w:val="13"/>
        </w:rPr>
        <w:t> </w:t>
      </w:r>
      <w:r>
        <w:rPr>
          <w:color w:val="105C84"/>
        </w:rPr>
        <w:t>outcomes</w:t>
      </w:r>
      <w:r>
        <w:rPr>
          <w:color w:val="105C84"/>
          <w:spacing w:val="13"/>
        </w:rPr>
        <w:t> </w:t>
      </w:r>
      <w:r>
        <w:rPr>
          <w:color w:val="105C84"/>
        </w:rPr>
        <w:t>for</w:t>
      </w:r>
      <w:r>
        <w:rPr>
          <w:color w:val="105C84"/>
          <w:spacing w:val="13"/>
        </w:rPr>
        <w:t> </w:t>
      </w:r>
      <w:r>
        <w:rPr>
          <w:color w:val="105C84"/>
        </w:rPr>
        <w:t>rural</w:t>
      </w:r>
      <w:r>
        <w:rPr>
          <w:color w:val="105C84"/>
          <w:spacing w:val="13"/>
        </w:rPr>
        <w:t> </w:t>
      </w:r>
      <w:r>
        <w:rPr>
          <w:color w:val="105C84"/>
        </w:rPr>
        <w:t>communities</w:t>
      </w:r>
      <w:r>
        <w:rPr>
          <w:color w:val="105C84"/>
          <w:spacing w:val="13"/>
        </w:rPr>
        <w:t> </w:t>
      </w:r>
      <w:r>
        <w:rPr>
          <w:color w:val="105C84"/>
        </w:rPr>
        <w:t>and</w:t>
      </w:r>
      <w:r>
        <w:rPr>
          <w:color w:val="105C84"/>
          <w:spacing w:val="13"/>
        </w:rPr>
        <w:t> </w:t>
      </w:r>
      <w:r>
        <w:rPr>
          <w:color w:val="105C84"/>
        </w:rPr>
        <w:t>its</w:t>
      </w:r>
      <w:r>
        <w:rPr>
          <w:color w:val="105C84"/>
          <w:spacing w:val="13"/>
        </w:rPr>
        <w:t> </w:t>
      </w:r>
      <w:r>
        <w:rPr>
          <w:color w:val="105C84"/>
        </w:rPr>
        <w:t>vision</w:t>
      </w:r>
      <w:r>
        <w:rPr>
          <w:color w:val="105C84"/>
          <w:spacing w:val="13"/>
        </w:rPr>
        <w:t> </w:t>
      </w:r>
      <w:r>
        <w:rPr>
          <w:color w:val="105C84"/>
        </w:rPr>
        <w:t>is</w:t>
      </w:r>
      <w:r>
        <w:rPr>
          <w:color w:val="105C84"/>
          <w:spacing w:val="13"/>
        </w:rPr>
        <w:t> </w:t>
      </w:r>
      <w:r>
        <w:rPr>
          <w:color w:val="105C84"/>
        </w:rPr>
        <w:t>to</w:t>
      </w:r>
      <w:r>
        <w:rPr>
          <w:color w:val="105C84"/>
          <w:spacing w:val="13"/>
        </w:rPr>
        <w:t> </w:t>
      </w:r>
      <w:r>
        <w:rPr>
          <w:color w:val="105C84"/>
        </w:rPr>
        <w:t>be</w:t>
      </w:r>
      <w:r>
        <w:rPr>
          <w:color w:val="105C84"/>
          <w:spacing w:val="13"/>
        </w:rPr>
        <w:t> </w:t>
      </w:r>
      <w:r>
        <w:rPr>
          <w:color w:val="105C84"/>
        </w:rPr>
        <w:t>among</w:t>
      </w:r>
    </w:p>
    <w:p>
      <w:pPr>
        <w:pStyle w:val="BodyText"/>
        <w:spacing w:line="247" w:lineRule="auto"/>
        <w:ind w:left="1080" w:right="322"/>
      </w:pPr>
      <w:r>
        <w:rPr>
          <w:color w:val="105C84"/>
        </w:rPr>
        <w:t>the healthiest communities in the nation. Common Ground Health covers the same geographic area</w:t>
      </w:r>
      <w:r>
        <w:rPr>
          <w:color w:val="105C84"/>
          <w:spacing w:val="40"/>
        </w:rPr>
        <w:t> </w:t>
      </w:r>
      <w:r>
        <w:rPr>
          <w:color w:val="105C84"/>
        </w:rPr>
        <w:t>as the network, with the addition of Livingston and Monroe Counties. The agency brings together</w:t>
      </w:r>
      <w:r>
        <w:rPr>
          <w:color w:val="105C84"/>
          <w:spacing w:val="80"/>
        </w:rPr>
        <w:t> </w:t>
      </w:r>
      <w:r>
        <w:rPr>
          <w:color w:val="105C84"/>
        </w:rPr>
        <w:t>leaders from health care, business, education and other sectors to find common ground on health </w:t>
      </w:r>
      <w:r>
        <w:rPr>
          <w:color w:val="105C84"/>
          <w:spacing w:val="-2"/>
        </w:rPr>
        <w:t>challenges.</w:t>
      </w:r>
    </w:p>
    <w:p>
      <w:pPr>
        <w:pStyle w:val="BodyText"/>
        <w:spacing w:line="247" w:lineRule="auto" w:before="176"/>
        <w:ind w:left="1080" w:right="41"/>
      </w:pPr>
      <w:r>
        <w:rPr>
          <w:color w:val="105C84"/>
        </w:rPr>
        <w:t>Both of these agencies together help support the work of the Community Health Improvement Plan</w:t>
      </w:r>
      <w:r>
        <w:rPr>
          <w:color w:val="105C84"/>
          <w:spacing w:val="80"/>
        </w:rPr>
        <w:t> </w:t>
      </w:r>
      <w:r>
        <w:rPr>
          <w:color w:val="105C84"/>
        </w:rPr>
        <w:t>process and continually strive towards highlighting alignment, leveraging shared resources, and creating opportunities for shared learning. With facilitation and coordination by each agency, local</w:t>
      </w:r>
      <w:r>
        <w:rPr>
          <w:color w:val="105C84"/>
          <w:spacing w:val="80"/>
        </w:rPr>
        <w:t> </w:t>
      </w:r>
      <w:r>
        <w:rPr>
          <w:color w:val="105C84"/>
        </w:rPr>
        <w:t>leaders are able to regularly meet to discuss health challenges and issues as a team and devise plans towards improving health of all Finger Lakes residents (via S2AY’s Public Health Directors/Board Development</w:t>
      </w:r>
      <w:r>
        <w:rPr>
          <w:color w:val="105C84"/>
          <w:spacing w:val="40"/>
        </w:rPr>
        <w:t> </w:t>
      </w:r>
      <w:r>
        <w:rPr>
          <w:color w:val="105C84"/>
        </w:rPr>
        <w:t>Committee</w:t>
      </w:r>
      <w:r>
        <w:rPr>
          <w:color w:val="105C84"/>
          <w:spacing w:val="40"/>
        </w:rPr>
        <w:t> </w:t>
      </w:r>
      <w:r>
        <w:rPr>
          <w:color w:val="105C84"/>
        </w:rPr>
        <w:t>and</w:t>
      </w:r>
      <w:r>
        <w:rPr>
          <w:color w:val="105C84"/>
          <w:spacing w:val="40"/>
        </w:rPr>
        <w:t> </w:t>
      </w:r>
      <w:r>
        <w:rPr>
          <w:color w:val="105C84"/>
        </w:rPr>
        <w:t>Common</w:t>
      </w:r>
      <w:r>
        <w:rPr>
          <w:color w:val="105C84"/>
          <w:spacing w:val="40"/>
        </w:rPr>
        <w:t> </w:t>
      </w:r>
      <w:r>
        <w:rPr>
          <w:color w:val="105C84"/>
        </w:rPr>
        <w:t>Ground</w:t>
      </w:r>
      <w:r>
        <w:rPr>
          <w:color w:val="105C84"/>
          <w:spacing w:val="40"/>
        </w:rPr>
        <w:t> </w:t>
      </w:r>
      <w:r>
        <w:rPr>
          <w:color w:val="105C84"/>
        </w:rPr>
        <w:t>Health’s</w:t>
      </w:r>
      <w:r>
        <w:rPr>
          <w:color w:val="105C84"/>
          <w:spacing w:val="40"/>
        </w:rPr>
        <w:t> </w:t>
      </w:r>
      <w:r>
        <w:rPr>
          <w:color w:val="105C84"/>
        </w:rPr>
        <w:t>quarterly</w:t>
      </w:r>
      <w:r>
        <w:rPr>
          <w:color w:val="105C84"/>
          <w:spacing w:val="40"/>
        </w:rPr>
        <w:t> </w:t>
      </w:r>
      <w:r>
        <w:rPr>
          <w:color w:val="105C84"/>
        </w:rPr>
        <w:t>Regional</w:t>
      </w:r>
      <w:r>
        <w:rPr>
          <w:color w:val="105C84"/>
          <w:spacing w:val="40"/>
        </w:rPr>
        <w:t> </w:t>
      </w:r>
      <w:r>
        <w:rPr>
          <w:color w:val="105C84"/>
        </w:rPr>
        <w:t>Leadership</w:t>
      </w:r>
      <w:r>
        <w:rPr>
          <w:color w:val="105C84"/>
          <w:spacing w:val="40"/>
        </w:rPr>
        <w:t> </w:t>
      </w:r>
      <w:r>
        <w:rPr>
          <w:color w:val="105C84"/>
        </w:rPr>
        <w:t>meeting).</w:t>
      </w:r>
    </w:p>
    <w:p>
      <w:pPr>
        <w:pStyle w:val="BodyText"/>
        <w:spacing w:line="247" w:lineRule="auto"/>
        <w:ind w:left="1080" w:right="322"/>
      </w:pPr>
      <w:r>
        <w:rPr>
          <w:color w:val="105C84"/>
        </w:rPr>
        <w:t>Regular discussions regarding challenges in health outcomes and resources take place at both of these meetings.</w:t>
      </w:r>
    </w:p>
    <w:p>
      <w:pPr>
        <w:pStyle w:val="BodyText"/>
        <w:spacing w:line="247" w:lineRule="auto" w:before="176"/>
        <w:ind w:left="1080" w:right="41"/>
      </w:pPr>
      <w:r>
        <w:rPr>
          <w:color w:val="105C84"/>
        </w:rPr>
        <w:t>In addition to the resources available at both S2AY and Common Ground, there are regional workgroups and local nonprofit organizations. The S2AY Rural Health Network has helped in leading four</w:t>
      </w:r>
      <w:r>
        <w:rPr>
          <w:color w:val="105C84"/>
          <w:spacing w:val="32"/>
        </w:rPr>
        <w:t> </w:t>
      </w:r>
      <w:r>
        <w:rPr>
          <w:color w:val="105C84"/>
        </w:rPr>
        <w:t>regional</w:t>
      </w:r>
      <w:r>
        <w:rPr>
          <w:color w:val="105C84"/>
          <w:spacing w:val="32"/>
        </w:rPr>
        <w:t> </w:t>
      </w:r>
      <w:r>
        <w:rPr>
          <w:color w:val="105C84"/>
        </w:rPr>
        <w:t>workgroups</w:t>
      </w:r>
      <w:r>
        <w:rPr>
          <w:color w:val="105C84"/>
          <w:spacing w:val="32"/>
        </w:rPr>
        <w:t> </w:t>
      </w:r>
      <w:r>
        <w:rPr>
          <w:color w:val="105C84"/>
        </w:rPr>
        <w:t>designed</w:t>
      </w:r>
      <w:r>
        <w:rPr>
          <w:color w:val="105C84"/>
          <w:spacing w:val="32"/>
        </w:rPr>
        <w:t> </w:t>
      </w:r>
      <w:r>
        <w:rPr>
          <w:color w:val="105C84"/>
        </w:rPr>
        <w:t>to</w:t>
      </w:r>
      <w:r>
        <w:rPr>
          <w:color w:val="105C84"/>
          <w:spacing w:val="32"/>
        </w:rPr>
        <w:t> </w:t>
      </w:r>
      <w:r>
        <w:rPr>
          <w:color w:val="105C84"/>
        </w:rPr>
        <w:t>address</w:t>
      </w:r>
      <w:r>
        <w:rPr>
          <w:color w:val="105C84"/>
          <w:spacing w:val="32"/>
        </w:rPr>
        <w:t> </w:t>
      </w:r>
      <w:r>
        <w:rPr>
          <w:color w:val="105C84"/>
        </w:rPr>
        <w:t>health</w:t>
      </w:r>
      <w:r>
        <w:rPr>
          <w:color w:val="105C84"/>
          <w:spacing w:val="32"/>
        </w:rPr>
        <w:t> </w:t>
      </w:r>
      <w:r>
        <w:rPr>
          <w:color w:val="105C84"/>
        </w:rPr>
        <w:t>needs</w:t>
      </w:r>
      <w:r>
        <w:rPr>
          <w:color w:val="105C84"/>
          <w:spacing w:val="32"/>
        </w:rPr>
        <w:t> </w:t>
      </w:r>
      <w:r>
        <w:rPr>
          <w:color w:val="105C84"/>
        </w:rPr>
        <w:t>of</w:t>
      </w:r>
      <w:r>
        <w:rPr>
          <w:color w:val="105C84"/>
          <w:spacing w:val="32"/>
        </w:rPr>
        <w:t> </w:t>
      </w:r>
      <w:r>
        <w:rPr>
          <w:color w:val="105C84"/>
        </w:rPr>
        <w:t>residents.</w:t>
      </w:r>
      <w:r>
        <w:rPr>
          <w:color w:val="105C84"/>
          <w:spacing w:val="32"/>
        </w:rPr>
        <w:t> </w:t>
      </w:r>
      <w:r>
        <w:rPr>
          <w:color w:val="105C84"/>
        </w:rPr>
        <w:t>The</w:t>
      </w:r>
      <w:r>
        <w:rPr>
          <w:color w:val="105C84"/>
          <w:spacing w:val="32"/>
        </w:rPr>
        <w:t> </w:t>
      </w:r>
      <w:r>
        <w:rPr>
          <w:color w:val="105C84"/>
        </w:rPr>
        <w:t>workgroups</w:t>
      </w:r>
      <w:r>
        <w:rPr>
          <w:color w:val="105C84"/>
          <w:spacing w:val="32"/>
        </w:rPr>
        <w:t> </w:t>
      </w:r>
      <w:r>
        <w:rPr>
          <w:color w:val="105C84"/>
        </w:rPr>
        <w:t>include:</w:t>
      </w:r>
    </w:p>
    <w:p>
      <w:pPr>
        <w:pStyle w:val="Heading8"/>
        <w:numPr>
          <w:ilvl w:val="0"/>
          <w:numId w:val="3"/>
        </w:numPr>
        <w:tabs>
          <w:tab w:pos="1518" w:val="left" w:leader="none"/>
        </w:tabs>
        <w:spacing w:line="240" w:lineRule="auto" w:before="178" w:after="0"/>
        <w:ind w:left="1518" w:right="0" w:hanging="239"/>
        <w:jc w:val="both"/>
      </w:pPr>
      <w:r>
        <w:rPr>
          <w:color w:val="105C84"/>
        </w:rPr>
        <w:t>Farm</w:t>
      </w:r>
      <w:r>
        <w:rPr>
          <w:color w:val="105C84"/>
          <w:spacing w:val="9"/>
        </w:rPr>
        <w:t> </w:t>
      </w:r>
      <w:r>
        <w:rPr>
          <w:color w:val="105C84"/>
        </w:rPr>
        <w:t>to</w:t>
      </w:r>
      <w:r>
        <w:rPr>
          <w:color w:val="105C84"/>
          <w:spacing w:val="9"/>
        </w:rPr>
        <w:t> </w:t>
      </w:r>
      <w:r>
        <w:rPr>
          <w:color w:val="105C84"/>
          <w:spacing w:val="-2"/>
        </w:rPr>
        <w:t>Table</w:t>
      </w:r>
    </w:p>
    <w:p>
      <w:pPr>
        <w:pStyle w:val="BodyText"/>
        <w:spacing w:line="247" w:lineRule="auto" w:before="7"/>
        <w:ind w:left="1520" w:right="272"/>
        <w:jc w:val="both"/>
      </w:pPr>
      <w:r>
        <w:rPr>
          <w:color w:val="105C84"/>
        </w:rPr>
        <w:t>A regional workgroup that addresses increased access to healthy foods, and collaborates with schools, food pantries, farmers, and local communities to get locally grown, fresh produce and raised products to them.</w:t>
      </w:r>
    </w:p>
    <w:p>
      <w:pPr>
        <w:pStyle w:val="Heading8"/>
        <w:numPr>
          <w:ilvl w:val="0"/>
          <w:numId w:val="3"/>
        </w:numPr>
        <w:tabs>
          <w:tab w:pos="1518" w:val="left" w:leader="none"/>
        </w:tabs>
        <w:spacing w:line="240" w:lineRule="auto" w:before="179" w:after="0"/>
        <w:ind w:left="1518" w:right="0" w:hanging="239"/>
        <w:jc w:val="both"/>
      </w:pPr>
      <w:r>
        <w:rPr>
          <w:color w:val="105C84"/>
        </w:rPr>
        <w:t>Healthy</w:t>
      </w:r>
      <w:r>
        <w:rPr>
          <w:color w:val="105C84"/>
          <w:spacing w:val="9"/>
        </w:rPr>
        <w:t> </w:t>
      </w:r>
      <w:r>
        <w:rPr>
          <w:color w:val="105C84"/>
          <w:spacing w:val="-2"/>
        </w:rPr>
        <w:t>Living</w:t>
      </w:r>
    </w:p>
    <w:p>
      <w:pPr>
        <w:pStyle w:val="BodyText"/>
        <w:spacing w:line="247" w:lineRule="auto" w:before="7"/>
        <w:ind w:left="1520" w:right="380"/>
        <w:jc w:val="both"/>
      </w:pPr>
      <w:r>
        <w:rPr>
          <w:color w:val="105C84"/>
        </w:rPr>
        <w:t>A regional workgroup which enhances skills in our communities through collaboration among partners to prevent and control chronic health conditions with the delivery of evidence-based and evidence-informed interventions.</w:t>
      </w:r>
    </w:p>
    <w:p>
      <w:pPr>
        <w:pStyle w:val="Heading8"/>
        <w:numPr>
          <w:ilvl w:val="0"/>
          <w:numId w:val="3"/>
        </w:numPr>
        <w:tabs>
          <w:tab w:pos="1518" w:val="left" w:leader="none"/>
        </w:tabs>
        <w:spacing w:line="240" w:lineRule="auto" w:before="178" w:after="0"/>
        <w:ind w:left="1518" w:right="0" w:hanging="239"/>
        <w:jc w:val="left"/>
      </w:pPr>
      <w:r>
        <w:rPr>
          <w:color w:val="105C84"/>
        </w:rPr>
        <w:t>Worksite</w:t>
      </w:r>
      <w:r>
        <w:rPr>
          <w:color w:val="105C84"/>
          <w:spacing w:val="2"/>
        </w:rPr>
        <w:t> </w:t>
      </w:r>
      <w:r>
        <w:rPr>
          <w:color w:val="105C84"/>
          <w:spacing w:val="-2"/>
        </w:rPr>
        <w:t>Wellness</w:t>
      </w:r>
    </w:p>
    <w:p>
      <w:pPr>
        <w:pStyle w:val="BodyText"/>
        <w:spacing w:line="247" w:lineRule="auto" w:before="7"/>
        <w:ind w:left="1520"/>
      </w:pPr>
      <w:r>
        <w:rPr>
          <w:color w:val="105C84"/>
        </w:rPr>
        <w:t>A regional workgroup to help improve worksite wellness at area businesses and organizations for employers and their employees.</w:t>
      </w:r>
    </w:p>
    <w:p>
      <w:pPr>
        <w:pStyle w:val="Heading8"/>
        <w:numPr>
          <w:ilvl w:val="0"/>
          <w:numId w:val="3"/>
        </w:numPr>
        <w:tabs>
          <w:tab w:pos="1518" w:val="left" w:leader="none"/>
        </w:tabs>
        <w:spacing w:line="240" w:lineRule="auto" w:before="179" w:after="0"/>
        <w:ind w:left="1518" w:right="0" w:hanging="239"/>
        <w:jc w:val="left"/>
      </w:pPr>
      <w:r>
        <w:rPr>
          <w:color w:val="105C84"/>
        </w:rPr>
        <w:t>Finger</w:t>
      </w:r>
      <w:r>
        <w:rPr>
          <w:color w:val="105C84"/>
          <w:spacing w:val="-10"/>
        </w:rPr>
        <w:t> </w:t>
      </w:r>
      <w:r>
        <w:rPr>
          <w:color w:val="105C84"/>
        </w:rPr>
        <w:t>Lakes</w:t>
      </w:r>
      <w:r>
        <w:rPr>
          <w:color w:val="105C84"/>
          <w:spacing w:val="-9"/>
        </w:rPr>
        <w:t> </w:t>
      </w:r>
      <w:r>
        <w:rPr>
          <w:color w:val="105C84"/>
        </w:rPr>
        <w:t>Breastfeeding</w:t>
      </w:r>
      <w:r>
        <w:rPr>
          <w:color w:val="105C84"/>
          <w:spacing w:val="-9"/>
        </w:rPr>
        <w:t> </w:t>
      </w:r>
      <w:r>
        <w:rPr>
          <w:color w:val="105C84"/>
          <w:spacing w:val="-2"/>
        </w:rPr>
        <w:t>Partnership</w:t>
      </w:r>
    </w:p>
    <w:p>
      <w:pPr>
        <w:pStyle w:val="BodyText"/>
        <w:spacing w:line="247" w:lineRule="auto" w:before="7"/>
        <w:ind w:left="1520" w:right="322"/>
      </w:pPr>
      <w:r>
        <w:rPr>
          <w:color w:val="105C84"/>
        </w:rPr>
        <w:t>A regional coalition that focuses on supporting breastfeeding mothers and increasing the</w:t>
      </w:r>
      <w:r>
        <w:rPr>
          <w:color w:val="105C84"/>
          <w:spacing w:val="80"/>
        </w:rPr>
        <w:t> </w:t>
      </w:r>
      <w:r>
        <w:rPr>
          <w:color w:val="105C84"/>
        </w:rPr>
        <w:t>number of women who breastfeed in the Finger Lakes region.</w:t>
      </w:r>
    </w:p>
    <w:p>
      <w:pPr>
        <w:pStyle w:val="BodyText"/>
        <w:spacing w:line="247" w:lineRule="auto" w:before="114"/>
        <w:ind w:left="1080" w:right="479"/>
      </w:pPr>
      <w:r>
        <w:rPr/>
        <w:br w:type="column"/>
      </w:r>
      <w:r>
        <w:rPr>
          <w:color w:val="105C84"/>
        </w:rPr>
        <w:t>Local nonprofit organizations are additional assets and resources that Finger Lakes region leaders</w:t>
      </w:r>
      <w:r>
        <w:rPr>
          <w:color w:val="105C84"/>
          <w:spacing w:val="80"/>
        </w:rPr>
        <w:t> </w:t>
      </w:r>
      <w:r>
        <w:rPr>
          <w:color w:val="105C84"/>
        </w:rPr>
        <w:t>may mobilize when implementing their community health improvement plans. There are several organizations</w:t>
      </w:r>
      <w:r>
        <w:rPr>
          <w:color w:val="105C84"/>
          <w:spacing w:val="29"/>
        </w:rPr>
        <w:t> </w:t>
      </w:r>
      <w:r>
        <w:rPr>
          <w:color w:val="105C84"/>
        </w:rPr>
        <w:t>in</w:t>
      </w:r>
      <w:r>
        <w:rPr>
          <w:color w:val="105C84"/>
          <w:spacing w:val="29"/>
        </w:rPr>
        <w:t> </w:t>
      </w:r>
      <w:r>
        <w:rPr>
          <w:color w:val="105C84"/>
        </w:rPr>
        <w:t>addition</w:t>
      </w:r>
      <w:r>
        <w:rPr>
          <w:color w:val="105C84"/>
          <w:spacing w:val="29"/>
        </w:rPr>
        <w:t> </w:t>
      </w:r>
      <w:r>
        <w:rPr>
          <w:color w:val="105C84"/>
        </w:rPr>
        <w:t>to</w:t>
      </w:r>
      <w:r>
        <w:rPr>
          <w:color w:val="105C84"/>
          <w:spacing w:val="29"/>
        </w:rPr>
        <w:t> </w:t>
      </w:r>
      <w:r>
        <w:rPr>
          <w:color w:val="105C84"/>
        </w:rPr>
        <w:t>those</w:t>
      </w:r>
      <w:r>
        <w:rPr>
          <w:color w:val="105C84"/>
          <w:spacing w:val="29"/>
        </w:rPr>
        <w:t> </w:t>
      </w:r>
      <w:r>
        <w:rPr>
          <w:color w:val="105C84"/>
        </w:rPr>
        <w:t>already</w:t>
      </w:r>
      <w:r>
        <w:rPr>
          <w:color w:val="105C84"/>
          <w:spacing w:val="29"/>
        </w:rPr>
        <w:t> </w:t>
      </w:r>
      <w:r>
        <w:rPr>
          <w:color w:val="105C84"/>
        </w:rPr>
        <w:t>mentioned</w:t>
      </w:r>
      <w:r>
        <w:rPr>
          <w:color w:val="105C84"/>
          <w:spacing w:val="29"/>
        </w:rPr>
        <w:t> </w:t>
      </w:r>
      <w:r>
        <w:rPr>
          <w:color w:val="105C84"/>
        </w:rPr>
        <w:t>which</w:t>
      </w:r>
      <w:r>
        <w:rPr>
          <w:color w:val="105C84"/>
          <w:spacing w:val="29"/>
        </w:rPr>
        <w:t> </w:t>
      </w:r>
      <w:r>
        <w:rPr>
          <w:color w:val="105C84"/>
        </w:rPr>
        <w:t>cover</w:t>
      </w:r>
      <w:r>
        <w:rPr>
          <w:color w:val="105C84"/>
          <w:spacing w:val="29"/>
        </w:rPr>
        <w:t> </w:t>
      </w:r>
      <w:r>
        <w:rPr>
          <w:color w:val="105C84"/>
        </w:rPr>
        <w:t>several</w:t>
      </w:r>
      <w:r>
        <w:rPr>
          <w:color w:val="105C84"/>
          <w:spacing w:val="29"/>
        </w:rPr>
        <w:t> </w:t>
      </w:r>
      <w:r>
        <w:rPr>
          <w:color w:val="105C84"/>
        </w:rPr>
        <w:t>counties</w:t>
      </w:r>
      <w:r>
        <w:rPr>
          <w:color w:val="105C84"/>
          <w:spacing w:val="29"/>
        </w:rPr>
        <w:t> </w:t>
      </w:r>
      <w:r>
        <w:rPr>
          <w:color w:val="105C84"/>
        </w:rPr>
        <w:t>in</w:t>
      </w:r>
      <w:r>
        <w:rPr>
          <w:color w:val="105C84"/>
          <w:spacing w:val="29"/>
        </w:rPr>
        <w:t> </w:t>
      </w:r>
      <w:r>
        <w:rPr>
          <w:color w:val="105C84"/>
        </w:rPr>
        <w:t>their</w:t>
      </w:r>
      <w:r>
        <w:rPr>
          <w:color w:val="105C84"/>
          <w:spacing w:val="29"/>
        </w:rPr>
        <w:t> </w:t>
      </w:r>
      <w:r>
        <w:rPr>
          <w:color w:val="105C84"/>
        </w:rPr>
        <w:t>work efforts. For example, the Tobacco Action Coalition of the Finger Lakes (TACFL) and the Southern Tier Tobacco Awareness Coalition (STTAC) may be leveraged in support of tobacco prevention efforts.</w:t>
      </w:r>
    </w:p>
    <w:p>
      <w:pPr>
        <w:pStyle w:val="BodyText"/>
        <w:spacing w:line="247" w:lineRule="auto"/>
        <w:ind w:left="1080" w:right="479"/>
      </w:pPr>
      <w:r>
        <w:rPr>
          <w:color w:val="105C84"/>
        </w:rPr>
        <w:t>In relation to healthy eating and food security, local Cornell Cooperative Extension agencies and worksite wellness coordinators (such as at hospitals, school districts, etc.) are potential agencies and departments</w:t>
      </w:r>
      <w:r>
        <w:rPr>
          <w:color w:val="105C84"/>
          <w:spacing w:val="40"/>
        </w:rPr>
        <w:t> </w:t>
      </w:r>
      <w:r>
        <w:rPr>
          <w:color w:val="105C84"/>
        </w:rPr>
        <w:t>which</w:t>
      </w:r>
      <w:r>
        <w:rPr>
          <w:color w:val="105C84"/>
          <w:spacing w:val="40"/>
        </w:rPr>
        <w:t> </w:t>
      </w:r>
      <w:r>
        <w:rPr>
          <w:color w:val="105C84"/>
        </w:rPr>
        <w:t>may</w:t>
      </w:r>
      <w:r>
        <w:rPr>
          <w:color w:val="105C84"/>
          <w:spacing w:val="40"/>
        </w:rPr>
        <w:t> </w:t>
      </w:r>
      <w:r>
        <w:rPr>
          <w:color w:val="105C84"/>
        </w:rPr>
        <w:t>support</w:t>
      </w:r>
      <w:r>
        <w:rPr>
          <w:color w:val="105C84"/>
          <w:spacing w:val="40"/>
        </w:rPr>
        <w:t> </w:t>
      </w:r>
      <w:r>
        <w:rPr>
          <w:color w:val="105C84"/>
        </w:rPr>
        <w:t>initiatives</w:t>
      </w:r>
      <w:r>
        <w:rPr>
          <w:color w:val="105C84"/>
          <w:spacing w:val="40"/>
        </w:rPr>
        <w:t> </w:t>
      </w:r>
      <w:r>
        <w:rPr>
          <w:color w:val="105C84"/>
        </w:rPr>
        <w:t>outlined</w:t>
      </w:r>
      <w:r>
        <w:rPr>
          <w:color w:val="105C84"/>
          <w:spacing w:val="40"/>
        </w:rPr>
        <w:t> </w:t>
      </w:r>
      <w:r>
        <w:rPr>
          <w:color w:val="105C84"/>
        </w:rPr>
        <w:t>in</w:t>
      </w:r>
      <w:r>
        <w:rPr>
          <w:color w:val="105C84"/>
          <w:spacing w:val="40"/>
        </w:rPr>
        <w:t> </w:t>
      </w:r>
      <w:r>
        <w:rPr>
          <w:color w:val="105C84"/>
        </w:rPr>
        <w:t>the</w:t>
      </w:r>
      <w:r>
        <w:rPr>
          <w:color w:val="105C84"/>
          <w:spacing w:val="40"/>
        </w:rPr>
        <w:t> </w:t>
      </w:r>
      <w:r>
        <w:rPr>
          <w:color w:val="105C84"/>
        </w:rPr>
        <w:t>improvement</w:t>
      </w:r>
      <w:r>
        <w:rPr>
          <w:color w:val="105C84"/>
          <w:spacing w:val="40"/>
        </w:rPr>
        <w:t> </w:t>
      </w:r>
      <w:r>
        <w:rPr>
          <w:color w:val="105C84"/>
        </w:rPr>
        <w:t>plans.</w:t>
      </w:r>
    </w:p>
    <w:p>
      <w:pPr>
        <w:pStyle w:val="BodyText"/>
        <w:spacing w:line="247" w:lineRule="auto" w:before="176"/>
        <w:ind w:left="1080" w:right="472"/>
      </w:pPr>
      <w:r>
        <w:rPr>
          <w:color w:val="105C84"/>
        </w:rPr>
        <w:t>In addition to the above referenced regional partners, each county has built and sustained</w:t>
      </w:r>
      <w:r>
        <w:rPr>
          <w:color w:val="105C84"/>
          <w:spacing w:val="80"/>
        </w:rPr>
        <w:t> </w:t>
      </w:r>
      <w:r>
        <w:rPr>
          <w:color w:val="105C84"/>
        </w:rPr>
        <w:t>relationships with countless partner organizations that help to support initiatives within their specific</w:t>
      </w:r>
      <w:r>
        <w:rPr>
          <w:color w:val="105C84"/>
          <w:spacing w:val="80"/>
        </w:rPr>
        <w:t> </w:t>
      </w:r>
      <w:r>
        <w:rPr>
          <w:color w:val="105C84"/>
        </w:rPr>
        <w:t>county. Within each community health improvement plan (Appendixes A-H), the roles of each agency are identified in relation to the selected priority areas, focus areas and interventions.</w:t>
      </w:r>
    </w:p>
    <w:p>
      <w:pPr>
        <w:pStyle w:val="BodyText"/>
        <w:spacing w:after="0" w:line="247" w:lineRule="auto"/>
        <w:sectPr>
          <w:type w:val="continuous"/>
          <w:pgSz w:w="24480" w:h="15840" w:orient="landscape"/>
          <w:pgMar w:header="0" w:footer="0" w:top="0" w:bottom="280" w:left="0" w:right="720"/>
          <w:cols w:num="2" w:equalWidth="0">
            <w:col w:w="11178" w:space="1062"/>
            <w:col w:w="11520"/>
          </w:cols>
        </w:sectPr>
      </w:pPr>
    </w:p>
    <w:p>
      <w:pPr>
        <w:pStyle w:val="BodyText"/>
        <w:rPr>
          <w:sz w:val="26"/>
        </w:rPr>
      </w:pPr>
      <w:r>
        <w:rPr>
          <w:sz w:val="26"/>
        </w:rPr>
        <mc:AlternateContent>
          <mc:Choice Requires="wps">
            <w:drawing>
              <wp:anchor distT="0" distB="0" distL="0" distR="0" allowOverlap="1" layoutInCell="1" locked="0" behindDoc="0" simplePos="0" relativeHeight="15737856">
                <wp:simplePos x="0" y="0"/>
                <wp:positionH relativeFrom="page">
                  <wp:posOffset>7771028</wp:posOffset>
                </wp:positionH>
                <wp:positionV relativeFrom="page">
                  <wp:posOffset>3614017</wp:posOffset>
                </wp:positionV>
                <wp:extent cx="7774305" cy="6444615"/>
                <wp:effectExtent l="0" t="0" r="0" b="0"/>
                <wp:wrapNone/>
                <wp:docPr id="69" name="Group 69"/>
                <wp:cNvGraphicFramePr>
                  <a:graphicFrameLocks/>
                </wp:cNvGraphicFramePr>
                <a:graphic>
                  <a:graphicData uri="http://schemas.microsoft.com/office/word/2010/wordprocessingGroup">
                    <wpg:wgp>
                      <wpg:cNvPr id="69" name="Group 69"/>
                      <wpg:cNvGrpSpPr/>
                      <wpg:grpSpPr>
                        <a:xfrm>
                          <a:off x="0" y="0"/>
                          <a:ext cx="7774305" cy="6444615"/>
                          <a:chExt cx="7774305" cy="6444615"/>
                        </a:xfrm>
                      </wpg:grpSpPr>
                      <pic:pic>
                        <pic:nvPicPr>
                          <pic:cNvPr id="70" name="Image 70"/>
                          <pic:cNvPicPr/>
                        </pic:nvPicPr>
                        <pic:blipFill>
                          <a:blip r:embed="rId38" cstate="print"/>
                          <a:stretch>
                            <a:fillRect/>
                          </a:stretch>
                        </pic:blipFill>
                        <pic:spPr>
                          <a:xfrm>
                            <a:off x="7210528" y="6054086"/>
                            <a:ext cx="563245" cy="184683"/>
                          </a:xfrm>
                          <a:prstGeom prst="rect">
                            <a:avLst/>
                          </a:prstGeom>
                        </pic:spPr>
                      </pic:pic>
                      <pic:pic>
                        <pic:nvPicPr>
                          <pic:cNvPr id="71" name="Image 71"/>
                          <pic:cNvPicPr/>
                        </pic:nvPicPr>
                        <pic:blipFill>
                          <a:blip r:embed="rId45" cstate="print"/>
                          <a:stretch>
                            <a:fillRect/>
                          </a:stretch>
                        </pic:blipFill>
                        <pic:spPr>
                          <a:xfrm>
                            <a:off x="0" y="0"/>
                            <a:ext cx="7773771" cy="6444382"/>
                          </a:xfrm>
                          <a:prstGeom prst="rect">
                            <a:avLst/>
                          </a:prstGeom>
                        </pic:spPr>
                      </pic:pic>
                      <wps:wsp>
                        <wps:cNvPr id="72" name="Textbox 72"/>
                        <wps:cNvSpPr txBox="1"/>
                        <wps:spPr>
                          <a:xfrm>
                            <a:off x="696315" y="6115198"/>
                            <a:ext cx="2700020" cy="139065"/>
                          </a:xfrm>
                          <a:prstGeom prst="rect">
                            <a:avLst/>
                          </a:prstGeom>
                        </wps:spPr>
                        <wps:txbx>
                          <w:txbxContent>
                            <w:p>
                              <w:pPr>
                                <w:spacing w:before="10"/>
                                <w:ind w:left="0" w:right="0" w:firstLine="0"/>
                                <w:jc w:val="left"/>
                                <w:rPr>
                                  <w:sz w:val="16"/>
                                </w:rPr>
                              </w:pPr>
                              <w:r>
                                <w:rPr>
                                  <w:color w:val="FFFFFF"/>
                                  <w:sz w:val="16"/>
                                </w:rPr>
                                <w:t>Photo</w:t>
                              </w:r>
                              <w:r>
                                <w:rPr>
                                  <w:color w:val="FFFFFF"/>
                                  <w:spacing w:val="11"/>
                                  <w:sz w:val="16"/>
                                </w:rPr>
                                <w:t> </w:t>
                              </w:r>
                              <w:r>
                                <w:rPr>
                                  <w:color w:val="FFFFFF"/>
                                  <w:sz w:val="16"/>
                                </w:rPr>
                                <w:t>courtesy</w:t>
                              </w:r>
                              <w:r>
                                <w:rPr>
                                  <w:color w:val="FFFFFF"/>
                                  <w:spacing w:val="12"/>
                                  <w:sz w:val="16"/>
                                </w:rPr>
                                <w:t> </w:t>
                              </w:r>
                              <w:r>
                                <w:rPr>
                                  <w:color w:val="FFFFFF"/>
                                  <w:sz w:val="16"/>
                                </w:rPr>
                                <w:t>of</w:t>
                              </w:r>
                              <w:r>
                                <w:rPr>
                                  <w:color w:val="FFFFFF"/>
                                  <w:spacing w:val="11"/>
                                  <w:sz w:val="16"/>
                                </w:rPr>
                                <w:t> </w:t>
                              </w:r>
                              <w:r>
                                <w:rPr>
                                  <w:color w:val="FFFFFF"/>
                                  <w:sz w:val="16"/>
                                </w:rPr>
                                <w:t>Livingston</w:t>
                              </w:r>
                              <w:r>
                                <w:rPr>
                                  <w:color w:val="FFFFFF"/>
                                  <w:spacing w:val="12"/>
                                  <w:sz w:val="16"/>
                                </w:rPr>
                                <w:t> </w:t>
                              </w:r>
                              <w:r>
                                <w:rPr>
                                  <w:color w:val="FFFFFF"/>
                                  <w:sz w:val="16"/>
                                </w:rPr>
                                <w:t>County</w:t>
                              </w:r>
                              <w:r>
                                <w:rPr>
                                  <w:color w:val="FFFFFF"/>
                                  <w:spacing w:val="11"/>
                                  <w:sz w:val="16"/>
                                </w:rPr>
                                <w:t> </w:t>
                              </w:r>
                              <w:r>
                                <w:rPr>
                                  <w:color w:val="FFFFFF"/>
                                  <w:sz w:val="16"/>
                                </w:rPr>
                                <w:t>Department</w:t>
                              </w:r>
                              <w:r>
                                <w:rPr>
                                  <w:color w:val="FFFFFF"/>
                                  <w:spacing w:val="12"/>
                                  <w:sz w:val="16"/>
                                </w:rPr>
                                <w:t> </w:t>
                              </w:r>
                              <w:r>
                                <w:rPr>
                                  <w:color w:val="FFFFFF"/>
                                  <w:sz w:val="16"/>
                                </w:rPr>
                                <w:t>of</w:t>
                              </w:r>
                              <w:r>
                                <w:rPr>
                                  <w:color w:val="FFFFFF"/>
                                  <w:spacing w:val="11"/>
                                  <w:sz w:val="16"/>
                                </w:rPr>
                                <w:t> </w:t>
                              </w:r>
                              <w:r>
                                <w:rPr>
                                  <w:color w:val="FFFFFF"/>
                                  <w:spacing w:val="-2"/>
                                  <w:sz w:val="16"/>
                                </w:rPr>
                                <w:t>Health</w:t>
                              </w:r>
                            </w:p>
                          </w:txbxContent>
                        </wps:txbx>
                        <wps:bodyPr wrap="square" lIns="0" tIns="0" rIns="0" bIns="0" rtlCol="0">
                          <a:noAutofit/>
                        </wps:bodyPr>
                      </wps:wsp>
                    </wpg:wgp>
                  </a:graphicData>
                </a:graphic>
              </wp:anchor>
            </w:drawing>
          </mc:Choice>
          <mc:Fallback>
            <w:pict>
              <v:group style="position:absolute;margin-left:611.892029pt;margin-top:284.568298pt;width:612.15pt;height:507.45pt;mso-position-horizontal-relative:page;mso-position-vertical-relative:page;z-index:15737856" id="docshapegroup64" coordorigin="12238,5691" coordsize="12243,10149">
                <v:shape style="position:absolute;left:23593;top:15225;width:887;height:291" type="#_x0000_t75" id="docshape65" stroked="false">
                  <v:imagedata r:id="rId38" o:title=""/>
                </v:shape>
                <v:shape style="position:absolute;left:12237;top:5691;width:12243;height:10149" type="#_x0000_t75" id="docshape66" stroked="false">
                  <v:imagedata r:id="rId45" o:title=""/>
                </v:shape>
                <v:shape style="position:absolute;left:13334;top:15321;width:4252;height:219" type="#_x0000_t202" id="docshape67" filled="false" stroked="false">
                  <v:textbox inset="0,0,0,0">
                    <w:txbxContent>
                      <w:p>
                        <w:pPr>
                          <w:spacing w:before="10"/>
                          <w:ind w:left="0" w:right="0" w:firstLine="0"/>
                          <w:jc w:val="left"/>
                          <w:rPr>
                            <w:sz w:val="16"/>
                          </w:rPr>
                        </w:pPr>
                        <w:r>
                          <w:rPr>
                            <w:color w:val="FFFFFF"/>
                            <w:sz w:val="16"/>
                          </w:rPr>
                          <w:t>Photo</w:t>
                        </w:r>
                        <w:r>
                          <w:rPr>
                            <w:color w:val="FFFFFF"/>
                            <w:spacing w:val="11"/>
                            <w:sz w:val="16"/>
                          </w:rPr>
                          <w:t> </w:t>
                        </w:r>
                        <w:r>
                          <w:rPr>
                            <w:color w:val="FFFFFF"/>
                            <w:sz w:val="16"/>
                          </w:rPr>
                          <w:t>courtesy</w:t>
                        </w:r>
                        <w:r>
                          <w:rPr>
                            <w:color w:val="FFFFFF"/>
                            <w:spacing w:val="12"/>
                            <w:sz w:val="16"/>
                          </w:rPr>
                          <w:t> </w:t>
                        </w:r>
                        <w:r>
                          <w:rPr>
                            <w:color w:val="FFFFFF"/>
                            <w:sz w:val="16"/>
                          </w:rPr>
                          <w:t>of</w:t>
                        </w:r>
                        <w:r>
                          <w:rPr>
                            <w:color w:val="FFFFFF"/>
                            <w:spacing w:val="11"/>
                            <w:sz w:val="16"/>
                          </w:rPr>
                          <w:t> </w:t>
                        </w:r>
                        <w:r>
                          <w:rPr>
                            <w:color w:val="FFFFFF"/>
                            <w:sz w:val="16"/>
                          </w:rPr>
                          <w:t>Livingston</w:t>
                        </w:r>
                        <w:r>
                          <w:rPr>
                            <w:color w:val="FFFFFF"/>
                            <w:spacing w:val="12"/>
                            <w:sz w:val="16"/>
                          </w:rPr>
                          <w:t> </w:t>
                        </w:r>
                        <w:r>
                          <w:rPr>
                            <w:color w:val="FFFFFF"/>
                            <w:sz w:val="16"/>
                          </w:rPr>
                          <w:t>County</w:t>
                        </w:r>
                        <w:r>
                          <w:rPr>
                            <w:color w:val="FFFFFF"/>
                            <w:spacing w:val="11"/>
                            <w:sz w:val="16"/>
                          </w:rPr>
                          <w:t> </w:t>
                        </w:r>
                        <w:r>
                          <w:rPr>
                            <w:color w:val="FFFFFF"/>
                            <w:sz w:val="16"/>
                          </w:rPr>
                          <w:t>Department</w:t>
                        </w:r>
                        <w:r>
                          <w:rPr>
                            <w:color w:val="FFFFFF"/>
                            <w:spacing w:val="12"/>
                            <w:sz w:val="16"/>
                          </w:rPr>
                          <w:t> </w:t>
                        </w:r>
                        <w:r>
                          <w:rPr>
                            <w:color w:val="FFFFFF"/>
                            <w:sz w:val="16"/>
                          </w:rPr>
                          <w:t>of</w:t>
                        </w:r>
                        <w:r>
                          <w:rPr>
                            <w:color w:val="FFFFFF"/>
                            <w:spacing w:val="11"/>
                            <w:sz w:val="16"/>
                          </w:rPr>
                          <w:t> </w:t>
                        </w:r>
                        <w:r>
                          <w:rPr>
                            <w:color w:val="FFFFFF"/>
                            <w:spacing w:val="-2"/>
                            <w:sz w:val="16"/>
                          </w:rPr>
                          <w:t>Health</w:t>
                        </w:r>
                      </w:p>
                    </w:txbxContent>
                  </v:textbox>
                  <w10:wrap type="none"/>
                </v:shape>
                <w10:wrap type="none"/>
              </v:group>
            </w:pict>
          </mc:Fallback>
        </mc:AlternateContent>
      </w:r>
    </w:p>
    <w:p>
      <w:pPr>
        <w:pStyle w:val="BodyText"/>
        <w:spacing w:before="149"/>
        <w:rPr>
          <w:sz w:val="26"/>
        </w:rPr>
      </w:pPr>
    </w:p>
    <w:p>
      <w:pPr>
        <w:tabs>
          <w:tab w:pos="1212" w:val="left" w:leader="none"/>
        </w:tabs>
        <w:spacing w:before="0"/>
        <w:ind w:left="0" w:right="0" w:firstLine="0"/>
        <w:jc w:val="left"/>
        <w:rPr>
          <w:b/>
          <w:sz w:val="26"/>
        </w:rPr>
      </w:pPr>
      <w:r>
        <w:rPr>
          <w:b/>
          <w:sz w:val="26"/>
        </w:rPr>
        <mc:AlternateContent>
          <mc:Choice Requires="wps">
            <w:drawing>
              <wp:anchor distT="0" distB="0" distL="0" distR="0" allowOverlap="1" layoutInCell="1" locked="0" behindDoc="1" simplePos="0" relativeHeight="474963968">
                <wp:simplePos x="0" y="0"/>
                <wp:positionH relativeFrom="page">
                  <wp:posOffset>14698495</wp:posOffset>
                </wp:positionH>
                <wp:positionV relativeFrom="paragraph">
                  <wp:posOffset>-10132</wp:posOffset>
                </wp:positionV>
                <wp:extent cx="97790" cy="226060"/>
                <wp:effectExtent l="0" t="0" r="0" b="0"/>
                <wp:wrapNone/>
                <wp:docPr id="73" name="Textbox 73"/>
                <wp:cNvGraphicFramePr>
                  <a:graphicFrameLocks/>
                </wp:cNvGraphicFramePr>
                <a:graphic>
                  <a:graphicData uri="http://schemas.microsoft.com/office/word/2010/wordprocessingShape">
                    <wps:wsp>
                      <wps:cNvPr id="73" name="Textbox 73"/>
                      <wps:cNvSpPr txBox="1"/>
                      <wps:spPr>
                        <a:xfrm>
                          <a:off x="0" y="0"/>
                          <a:ext cx="97790" cy="226060"/>
                        </a:xfrm>
                        <a:prstGeom prst="rect">
                          <a:avLst/>
                        </a:prstGeom>
                      </wps:spPr>
                      <wps:txbx>
                        <w:txbxContent>
                          <w:p>
                            <w:pPr>
                              <w:spacing w:before="16"/>
                              <w:ind w:left="0" w:right="0" w:firstLine="0"/>
                              <w:jc w:val="left"/>
                              <w:rPr>
                                <w:b/>
                                <w:sz w:val="26"/>
                              </w:rPr>
                            </w:pPr>
                            <w:r>
                              <w:rPr>
                                <w:b/>
                                <w:color w:val="939598"/>
                                <w:spacing w:val="-10"/>
                                <w:w w:val="105"/>
                                <w:sz w:val="26"/>
                              </w:rPr>
                              <w:t>8</w:t>
                            </w:r>
                          </w:p>
                        </w:txbxContent>
                      </wps:txbx>
                      <wps:bodyPr wrap="square" lIns="0" tIns="0" rIns="0" bIns="0" rtlCol="0">
                        <a:noAutofit/>
                      </wps:bodyPr>
                    </wps:wsp>
                  </a:graphicData>
                </a:graphic>
              </wp:anchor>
            </w:drawing>
          </mc:Choice>
          <mc:Fallback>
            <w:pict>
              <v:shape style="position:absolute;margin-left:1157.361816pt;margin-top:-.797822pt;width:7.7pt;height:17.8pt;mso-position-horizontal-relative:page;mso-position-vertical-relative:paragraph;z-index:-28352512" type="#_x0000_t202" id="docshape68" filled="false" stroked="false">
                <v:textbox inset="0,0,0,0">
                  <w:txbxContent>
                    <w:p>
                      <w:pPr>
                        <w:spacing w:before="16"/>
                        <w:ind w:left="0" w:right="0" w:firstLine="0"/>
                        <w:jc w:val="left"/>
                        <w:rPr>
                          <w:b/>
                          <w:sz w:val="26"/>
                        </w:rPr>
                      </w:pPr>
                      <w:r>
                        <w:rPr>
                          <w:b/>
                          <w:color w:val="939598"/>
                          <w:spacing w:val="-10"/>
                          <w:w w:val="105"/>
                          <w:sz w:val="26"/>
                        </w:rPr>
                        <w:t>8</w:t>
                      </w:r>
                    </w:p>
                  </w:txbxContent>
                </v:textbox>
                <w10:wrap type="none"/>
              </v:shape>
            </w:pict>
          </mc:Fallback>
        </mc:AlternateContent>
      </w:r>
      <w:r>
        <w:rPr>
          <w:position w:val="-4"/>
        </w:rPr>
        <w:drawing>
          <wp:inline distT="0" distB="0" distL="0" distR="0">
            <wp:extent cx="568172" cy="184683"/>
            <wp:effectExtent l="0" t="0" r="0" b="0"/>
            <wp:docPr id="74" name="Image 74"/>
            <wp:cNvGraphicFramePr>
              <a:graphicFrameLocks/>
            </wp:cNvGraphicFramePr>
            <a:graphic>
              <a:graphicData uri="http://schemas.openxmlformats.org/drawingml/2006/picture">
                <pic:pic>
                  <pic:nvPicPr>
                    <pic:cNvPr id="74" name="Image 74"/>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z w:val="20"/>
        </w:rPr>
        <w:tab/>
      </w:r>
      <w:r>
        <w:rPr>
          <w:b/>
          <w:color w:val="939598"/>
          <w:spacing w:val="-10"/>
          <w:w w:val="105"/>
          <w:sz w:val="26"/>
        </w:rPr>
        <w:t>7</w:t>
      </w:r>
    </w:p>
    <w:p>
      <w:pPr>
        <w:spacing w:after="0"/>
        <w:jc w:val="left"/>
        <w:rPr>
          <w:b/>
          <w:sz w:val="26"/>
        </w:rPr>
        <w:sectPr>
          <w:type w:val="continuous"/>
          <w:pgSz w:w="24480" w:h="15840" w:orient="landscape"/>
          <w:pgMar w:header="0" w:footer="0" w:top="0" w:bottom="280" w:left="0" w:right="720"/>
        </w:sectPr>
      </w:pPr>
    </w:p>
    <w:p>
      <w:pPr>
        <w:pStyle w:val="BodyText"/>
        <w:spacing w:before="9"/>
        <w:rPr>
          <w:b/>
          <w:sz w:val="18"/>
        </w:rPr>
      </w:pPr>
    </w:p>
    <w:p>
      <w:pPr>
        <w:pStyle w:val="BodyText"/>
        <w:spacing w:after="0"/>
        <w:rPr>
          <w:b/>
          <w:sz w:val="18"/>
        </w:rPr>
        <w:sectPr>
          <w:headerReference w:type="default" r:id="rId46"/>
          <w:pgSz w:w="24480" w:h="15840" w:orient="landscape"/>
          <w:pgMar w:header="0" w:footer="0" w:top="1120" w:bottom="0" w:left="0" w:right="720"/>
        </w:sectPr>
      </w:pPr>
    </w:p>
    <w:p>
      <w:pPr>
        <w:pStyle w:val="Heading1"/>
        <w:spacing w:before="138"/>
      </w:pPr>
      <w:bookmarkStart w:name="_TOC_250017" w:id="2"/>
      <w:r>
        <w:rPr>
          <w:color w:val="105C84"/>
          <w:spacing w:val="-24"/>
        </w:rPr>
        <w:t>EXECUTIVE</w:t>
      </w:r>
      <w:r>
        <w:rPr>
          <w:color w:val="105C84"/>
          <w:spacing w:val="-7"/>
        </w:rPr>
        <w:t> </w:t>
      </w:r>
      <w:bookmarkEnd w:id="2"/>
      <w:r>
        <w:rPr>
          <w:color w:val="105C84"/>
          <w:spacing w:val="-2"/>
        </w:rPr>
        <w:t>SUMMARY</w:t>
      </w:r>
    </w:p>
    <w:p>
      <w:pPr>
        <w:pStyle w:val="BodyText"/>
        <w:spacing w:line="247" w:lineRule="auto" w:before="196"/>
        <w:ind w:left="1088" w:right="232"/>
        <w:rPr>
          <w:position w:val="7"/>
          <w:sz w:val="13"/>
        </w:rPr>
      </w:pPr>
      <w:r>
        <w:rPr>
          <w:color w:val="105C84"/>
        </w:rPr>
        <w:t>Development of the 2019-2021 Community Health Assessment, Community Service Plans and Community Health Improvement Plans was a joint process, which began in the summer of 2018. While submission of the Regional Community Health Assessment is on behalf of the eight counties, each health department managed their own county’s prioritization and planning meetings with</w:t>
      </w:r>
      <w:r>
        <w:rPr>
          <w:color w:val="105C84"/>
          <w:spacing w:val="80"/>
        </w:rPr>
        <w:t> </w:t>
      </w:r>
      <w:r>
        <w:rPr>
          <w:color w:val="105C84"/>
        </w:rPr>
        <w:t>assistance from the S2AY Rural Health Network, Common Ground Health and the Genesee Valley Health Partnership.</w:t>
      </w:r>
      <w:r>
        <w:rPr>
          <w:color w:val="105C84"/>
          <w:position w:val="7"/>
          <w:sz w:val="13"/>
        </w:rPr>
        <w:t>1</w:t>
      </w:r>
      <w:r>
        <w:rPr>
          <w:color w:val="105C84"/>
          <w:spacing w:val="40"/>
          <w:position w:val="7"/>
          <w:sz w:val="13"/>
        </w:rPr>
        <w:t> </w:t>
      </w:r>
      <w:r>
        <w:rPr>
          <w:color w:val="105C84"/>
        </w:rPr>
        <w:t>Regional check-ins occurred on a monthly basis.</w:t>
      </w:r>
      <w:r>
        <w:rPr>
          <w:color w:val="105C84"/>
          <w:position w:val="7"/>
          <w:sz w:val="13"/>
        </w:rPr>
        <w:t>2</w:t>
      </w:r>
    </w:p>
    <w:p>
      <w:pPr>
        <w:pStyle w:val="BodyText"/>
        <w:spacing w:line="247" w:lineRule="auto" w:before="177"/>
        <w:ind w:left="1088" w:right="524"/>
      </w:pPr>
      <w:r>
        <w:rPr>
          <w:color w:val="105C84"/>
        </w:rPr>
        <w:t>A variety of partners were engaged in each county’s specific process including the respective public health departments and local hospital staff, representatives from local Federally Qualified</w:t>
      </w:r>
      <w:r>
        <w:rPr>
          <w:color w:val="105C84"/>
          <w:spacing w:val="40"/>
        </w:rPr>
        <w:t> </w:t>
      </w:r>
      <w:r>
        <w:rPr>
          <w:color w:val="105C84"/>
        </w:rPr>
        <w:t>Health Centers (FQHCs), Community Based Organizations (CBOs), local legislatures and other county government employees, school district representatives, the S2AY Rural Health Network,</w:t>
      </w:r>
    </w:p>
    <w:p>
      <w:pPr>
        <w:pStyle w:val="BodyText"/>
        <w:spacing w:line="247" w:lineRule="auto"/>
        <w:ind w:left="1088" w:right="109"/>
      </w:pPr>
      <w:r>
        <w:rPr>
          <w:color w:val="105C84"/>
        </w:rPr>
        <w:t>Common Ground Health, Genesee Valley Health Partnership and more. A regional health survey and county focus groups engaged the community at large throughout the assessment period. County</w:t>
      </w:r>
      <w:r>
        <w:rPr>
          <w:color w:val="105C84"/>
          <w:spacing w:val="80"/>
        </w:rPr>
        <w:t> </w:t>
      </w:r>
      <w:r>
        <w:rPr>
          <w:color w:val="105C84"/>
        </w:rPr>
        <w:t>public health departments invited community members to weigh in on selected priority areas by</w:t>
      </w:r>
      <w:r>
        <w:rPr>
          <w:color w:val="105C84"/>
          <w:spacing w:val="80"/>
        </w:rPr>
        <w:t> </w:t>
      </w:r>
      <w:r>
        <w:rPr>
          <w:color w:val="105C84"/>
        </w:rPr>
        <w:t>participating</w:t>
      </w:r>
      <w:r>
        <w:rPr>
          <w:color w:val="105C84"/>
          <w:spacing w:val="29"/>
        </w:rPr>
        <w:t> </w:t>
      </w:r>
      <w:r>
        <w:rPr>
          <w:color w:val="105C84"/>
        </w:rPr>
        <w:t>in</w:t>
      </w:r>
      <w:r>
        <w:rPr>
          <w:color w:val="105C84"/>
          <w:spacing w:val="29"/>
        </w:rPr>
        <w:t> </w:t>
      </w:r>
      <w:r>
        <w:rPr>
          <w:color w:val="105C84"/>
        </w:rPr>
        <w:t>the</w:t>
      </w:r>
      <w:r>
        <w:rPr>
          <w:color w:val="105C84"/>
          <w:spacing w:val="29"/>
        </w:rPr>
        <w:t> </w:t>
      </w:r>
      <w:r>
        <w:rPr>
          <w:color w:val="105C84"/>
        </w:rPr>
        <w:t>priority</w:t>
      </w:r>
      <w:r>
        <w:rPr>
          <w:color w:val="105C84"/>
          <w:spacing w:val="29"/>
        </w:rPr>
        <w:t> </w:t>
      </w:r>
      <w:r>
        <w:rPr>
          <w:color w:val="105C84"/>
        </w:rPr>
        <w:t>setting</w:t>
      </w:r>
      <w:r>
        <w:rPr>
          <w:color w:val="105C84"/>
          <w:spacing w:val="29"/>
        </w:rPr>
        <w:t> </w:t>
      </w:r>
      <w:r>
        <w:rPr>
          <w:color w:val="105C84"/>
        </w:rPr>
        <w:t>meetings</w:t>
      </w:r>
      <w:r>
        <w:rPr>
          <w:color w:val="105C84"/>
          <w:spacing w:val="29"/>
        </w:rPr>
        <w:t> </w:t>
      </w:r>
      <w:r>
        <w:rPr>
          <w:color w:val="105C84"/>
        </w:rPr>
        <w:t>or</w:t>
      </w:r>
      <w:r>
        <w:rPr>
          <w:color w:val="105C84"/>
          <w:spacing w:val="29"/>
        </w:rPr>
        <w:t> </w:t>
      </w:r>
      <w:r>
        <w:rPr>
          <w:color w:val="105C84"/>
        </w:rPr>
        <w:t>by</w:t>
      </w:r>
      <w:r>
        <w:rPr>
          <w:color w:val="105C84"/>
          <w:spacing w:val="29"/>
        </w:rPr>
        <w:t> </w:t>
      </w:r>
      <w:r>
        <w:rPr>
          <w:color w:val="105C84"/>
        </w:rPr>
        <w:t>providing</w:t>
      </w:r>
      <w:r>
        <w:rPr>
          <w:color w:val="105C84"/>
          <w:spacing w:val="29"/>
        </w:rPr>
        <w:t> </w:t>
      </w:r>
      <w:r>
        <w:rPr>
          <w:color w:val="105C84"/>
        </w:rPr>
        <w:t>feedback</w:t>
      </w:r>
      <w:r>
        <w:rPr>
          <w:color w:val="105C84"/>
          <w:spacing w:val="29"/>
        </w:rPr>
        <w:t> </w:t>
      </w:r>
      <w:r>
        <w:rPr>
          <w:color w:val="105C84"/>
        </w:rPr>
        <w:t>on</w:t>
      </w:r>
      <w:r>
        <w:rPr>
          <w:color w:val="105C84"/>
          <w:spacing w:val="29"/>
        </w:rPr>
        <w:t> </w:t>
      </w:r>
      <w:r>
        <w:rPr>
          <w:color w:val="105C84"/>
        </w:rPr>
        <w:t>publicly</w:t>
      </w:r>
      <w:r>
        <w:rPr>
          <w:color w:val="105C84"/>
          <w:spacing w:val="29"/>
        </w:rPr>
        <w:t> </w:t>
      </w:r>
      <w:r>
        <w:rPr>
          <w:color w:val="105C84"/>
        </w:rPr>
        <w:t>available</w:t>
      </w:r>
      <w:r>
        <w:rPr>
          <w:color w:val="105C84"/>
          <w:spacing w:val="29"/>
        </w:rPr>
        <w:t> </w:t>
      </w:r>
      <w:r>
        <w:rPr>
          <w:color w:val="105C84"/>
        </w:rPr>
        <w:t>postings. Partners’ roles in the assessment were to help inform and select the 2019-2021 priority areas by sharing</w:t>
      </w:r>
      <w:r>
        <w:rPr>
          <w:color w:val="105C84"/>
          <w:spacing w:val="35"/>
        </w:rPr>
        <w:t> </w:t>
      </w:r>
      <w:r>
        <w:rPr>
          <w:color w:val="105C84"/>
        </w:rPr>
        <w:t>any</w:t>
      </w:r>
      <w:r>
        <w:rPr>
          <w:color w:val="105C84"/>
          <w:spacing w:val="35"/>
        </w:rPr>
        <w:t> </w:t>
      </w:r>
      <w:r>
        <w:rPr>
          <w:color w:val="105C84"/>
        </w:rPr>
        <w:t>pertinent</w:t>
      </w:r>
      <w:r>
        <w:rPr>
          <w:color w:val="105C84"/>
          <w:spacing w:val="35"/>
        </w:rPr>
        <w:t> </w:t>
      </w:r>
      <w:r>
        <w:rPr>
          <w:color w:val="105C84"/>
        </w:rPr>
        <w:t>data</w:t>
      </w:r>
      <w:r>
        <w:rPr>
          <w:color w:val="105C84"/>
          <w:spacing w:val="35"/>
        </w:rPr>
        <w:t> </w:t>
      </w:r>
      <w:r>
        <w:rPr>
          <w:color w:val="105C84"/>
        </w:rPr>
        <w:t>or</w:t>
      </w:r>
      <w:r>
        <w:rPr>
          <w:color w:val="105C84"/>
          <w:spacing w:val="35"/>
        </w:rPr>
        <w:t> </w:t>
      </w:r>
      <w:r>
        <w:rPr>
          <w:color w:val="105C84"/>
        </w:rPr>
        <w:t>concerns</w:t>
      </w:r>
      <w:r>
        <w:rPr>
          <w:color w:val="105C84"/>
          <w:spacing w:val="35"/>
        </w:rPr>
        <w:t> </w:t>
      </w:r>
      <w:r>
        <w:rPr>
          <w:color w:val="105C84"/>
        </w:rPr>
        <w:t>and</w:t>
      </w:r>
      <w:r>
        <w:rPr>
          <w:color w:val="105C84"/>
          <w:spacing w:val="35"/>
        </w:rPr>
        <w:t> </w:t>
      </w:r>
      <w:r>
        <w:rPr>
          <w:color w:val="105C84"/>
        </w:rPr>
        <w:t>actively</w:t>
      </w:r>
      <w:r>
        <w:rPr>
          <w:color w:val="105C84"/>
          <w:spacing w:val="35"/>
        </w:rPr>
        <w:t> </w:t>
      </w:r>
      <w:r>
        <w:rPr>
          <w:color w:val="105C84"/>
        </w:rPr>
        <w:t>participating</w:t>
      </w:r>
      <w:r>
        <w:rPr>
          <w:color w:val="105C84"/>
          <w:spacing w:val="35"/>
        </w:rPr>
        <w:t> </w:t>
      </w:r>
      <w:r>
        <w:rPr>
          <w:color w:val="105C84"/>
        </w:rPr>
        <w:t>in</w:t>
      </w:r>
      <w:r>
        <w:rPr>
          <w:color w:val="105C84"/>
          <w:spacing w:val="35"/>
        </w:rPr>
        <w:t> </w:t>
      </w:r>
      <w:r>
        <w:rPr>
          <w:color w:val="105C84"/>
        </w:rPr>
        <w:t>planning</w:t>
      </w:r>
      <w:r>
        <w:rPr>
          <w:color w:val="105C84"/>
          <w:spacing w:val="35"/>
        </w:rPr>
        <w:t> </w:t>
      </w:r>
      <w:r>
        <w:rPr>
          <w:color w:val="105C84"/>
        </w:rPr>
        <w:t>meetings.</w:t>
      </w:r>
    </w:p>
    <w:p>
      <w:pPr>
        <w:pStyle w:val="BodyText"/>
        <w:spacing w:line="247" w:lineRule="auto" w:before="174"/>
        <w:ind w:left="1088" w:right="457"/>
      </w:pPr>
      <w:r>
        <w:rPr>
          <w:color w:val="105C84"/>
        </w:rPr>
        <w:t>In the months of April, May and June of 2019, each health department engaged key stakeholders</w:t>
      </w:r>
      <w:r>
        <w:rPr>
          <w:color w:val="105C84"/>
          <w:spacing w:val="40"/>
        </w:rPr>
        <w:t> </w:t>
      </w:r>
      <w:r>
        <w:rPr>
          <w:color w:val="105C84"/>
        </w:rPr>
        <w:t>in prioritization meetings facilitated by the S2AY Rural Health Network.</w:t>
      </w:r>
      <w:r>
        <w:rPr>
          <w:color w:val="105C84"/>
          <w:position w:val="7"/>
          <w:sz w:val="13"/>
        </w:rPr>
        <w:t>3</w:t>
      </w:r>
      <w:r>
        <w:rPr>
          <w:color w:val="105C84"/>
          <w:spacing w:val="40"/>
          <w:position w:val="7"/>
          <w:sz w:val="13"/>
        </w:rPr>
        <w:t> </w:t>
      </w:r>
      <w:r>
        <w:rPr>
          <w:color w:val="105C84"/>
        </w:rPr>
        <w:t>Key stakeholders and </w:t>
      </w:r>
      <w:r>
        <w:rPr>
          <w:color w:val="105C84"/>
          <w:w w:val="105"/>
        </w:rPr>
        <w:t>community members were invited to attend the prioritization meetings, including all those who attended</w:t>
      </w:r>
      <w:r>
        <w:rPr>
          <w:color w:val="105C84"/>
          <w:spacing w:val="-6"/>
          <w:w w:val="105"/>
        </w:rPr>
        <w:t> </w:t>
      </w:r>
      <w:r>
        <w:rPr>
          <w:color w:val="105C84"/>
          <w:w w:val="105"/>
        </w:rPr>
        <w:t>prior</w:t>
      </w:r>
      <w:r>
        <w:rPr>
          <w:color w:val="105C84"/>
          <w:spacing w:val="-6"/>
          <w:w w:val="105"/>
        </w:rPr>
        <w:t> </w:t>
      </w:r>
      <w:r>
        <w:rPr>
          <w:color w:val="105C84"/>
          <w:w w:val="105"/>
        </w:rPr>
        <w:t>focus</w:t>
      </w:r>
      <w:r>
        <w:rPr>
          <w:color w:val="105C84"/>
          <w:spacing w:val="-6"/>
          <w:w w:val="105"/>
        </w:rPr>
        <w:t> </w:t>
      </w:r>
      <w:r>
        <w:rPr>
          <w:color w:val="105C84"/>
          <w:w w:val="105"/>
        </w:rPr>
        <w:t>groups.</w:t>
      </w:r>
      <w:r>
        <w:rPr>
          <w:color w:val="105C84"/>
          <w:spacing w:val="-6"/>
          <w:w w:val="105"/>
        </w:rPr>
        <w:t> </w:t>
      </w:r>
      <w:r>
        <w:rPr>
          <w:color w:val="105C84"/>
          <w:w w:val="105"/>
        </w:rPr>
        <w:t>Social</w:t>
      </w:r>
      <w:r>
        <w:rPr>
          <w:color w:val="105C84"/>
          <w:spacing w:val="-6"/>
          <w:w w:val="105"/>
        </w:rPr>
        <w:t> </w:t>
      </w:r>
      <w:r>
        <w:rPr>
          <w:color w:val="105C84"/>
          <w:w w:val="105"/>
        </w:rPr>
        <w:t>media</w:t>
      </w:r>
      <w:r>
        <w:rPr>
          <w:color w:val="105C84"/>
          <w:spacing w:val="-6"/>
          <w:w w:val="105"/>
        </w:rPr>
        <w:t> </w:t>
      </w:r>
      <w:r>
        <w:rPr>
          <w:color w:val="105C84"/>
          <w:w w:val="105"/>
        </w:rPr>
        <w:t>platforms,</w:t>
      </w:r>
      <w:r>
        <w:rPr>
          <w:color w:val="105C84"/>
          <w:spacing w:val="-6"/>
          <w:w w:val="105"/>
        </w:rPr>
        <w:t> </w:t>
      </w:r>
      <w:r>
        <w:rPr>
          <w:color w:val="105C84"/>
          <w:w w:val="105"/>
        </w:rPr>
        <w:t>e-mail</w:t>
      </w:r>
      <w:r>
        <w:rPr>
          <w:color w:val="105C84"/>
          <w:spacing w:val="-6"/>
          <w:w w:val="105"/>
        </w:rPr>
        <w:t> </w:t>
      </w:r>
      <w:r>
        <w:rPr>
          <w:color w:val="105C84"/>
          <w:w w:val="105"/>
        </w:rPr>
        <w:t>and</w:t>
      </w:r>
      <w:r>
        <w:rPr>
          <w:color w:val="105C84"/>
          <w:spacing w:val="-6"/>
          <w:w w:val="105"/>
        </w:rPr>
        <w:t> </w:t>
      </w:r>
      <w:r>
        <w:rPr>
          <w:color w:val="105C84"/>
          <w:w w:val="105"/>
        </w:rPr>
        <w:t>news</w:t>
      </w:r>
      <w:r>
        <w:rPr>
          <w:color w:val="105C84"/>
          <w:spacing w:val="-6"/>
          <w:w w:val="105"/>
        </w:rPr>
        <w:t> </w:t>
      </w:r>
      <w:r>
        <w:rPr>
          <w:color w:val="105C84"/>
          <w:w w:val="105"/>
        </w:rPr>
        <w:t>media</w:t>
      </w:r>
      <w:r>
        <w:rPr>
          <w:color w:val="105C84"/>
          <w:spacing w:val="-6"/>
          <w:w w:val="105"/>
        </w:rPr>
        <w:t> </w:t>
      </w:r>
      <w:r>
        <w:rPr>
          <w:color w:val="105C84"/>
          <w:w w:val="105"/>
        </w:rPr>
        <w:t>were</w:t>
      </w:r>
      <w:r>
        <w:rPr>
          <w:color w:val="105C84"/>
          <w:spacing w:val="-6"/>
          <w:w w:val="105"/>
        </w:rPr>
        <w:t> </w:t>
      </w:r>
      <w:r>
        <w:rPr>
          <w:color w:val="105C84"/>
          <w:w w:val="105"/>
        </w:rPr>
        <w:t>used</w:t>
      </w:r>
      <w:r>
        <w:rPr>
          <w:color w:val="105C84"/>
          <w:spacing w:val="-6"/>
          <w:w w:val="105"/>
        </w:rPr>
        <w:t> </w:t>
      </w:r>
      <w:r>
        <w:rPr>
          <w:color w:val="105C84"/>
          <w:w w:val="105"/>
        </w:rPr>
        <w:t>to</w:t>
      </w:r>
      <w:r>
        <w:rPr>
          <w:color w:val="105C84"/>
          <w:spacing w:val="-6"/>
          <w:w w:val="105"/>
        </w:rPr>
        <w:t> </w:t>
      </w:r>
      <w:r>
        <w:rPr>
          <w:color w:val="105C84"/>
          <w:w w:val="105"/>
        </w:rPr>
        <w:t>help </w:t>
      </w:r>
      <w:r>
        <w:rPr>
          <w:color w:val="105C84"/>
        </w:rPr>
        <w:t>promote</w:t>
      </w:r>
      <w:r>
        <w:rPr>
          <w:color w:val="105C84"/>
          <w:spacing w:val="32"/>
        </w:rPr>
        <w:t> </w:t>
      </w:r>
      <w:r>
        <w:rPr>
          <w:color w:val="105C84"/>
        </w:rPr>
        <w:t>participation</w:t>
      </w:r>
      <w:r>
        <w:rPr>
          <w:color w:val="105C84"/>
          <w:spacing w:val="32"/>
        </w:rPr>
        <w:t> </w:t>
      </w:r>
      <w:r>
        <w:rPr>
          <w:color w:val="105C84"/>
        </w:rPr>
        <w:t>by</w:t>
      </w:r>
      <w:r>
        <w:rPr>
          <w:color w:val="105C84"/>
          <w:spacing w:val="32"/>
        </w:rPr>
        <w:t> </w:t>
      </w:r>
      <w:r>
        <w:rPr>
          <w:color w:val="105C84"/>
        </w:rPr>
        <w:t>each</w:t>
      </w:r>
      <w:r>
        <w:rPr>
          <w:color w:val="105C84"/>
          <w:spacing w:val="32"/>
        </w:rPr>
        <w:t> </w:t>
      </w:r>
      <w:r>
        <w:rPr>
          <w:color w:val="105C84"/>
        </w:rPr>
        <w:t>local</w:t>
      </w:r>
      <w:r>
        <w:rPr>
          <w:color w:val="105C84"/>
          <w:spacing w:val="32"/>
        </w:rPr>
        <w:t> </w:t>
      </w:r>
      <w:r>
        <w:rPr>
          <w:color w:val="105C84"/>
        </w:rPr>
        <w:t>health</w:t>
      </w:r>
      <w:r>
        <w:rPr>
          <w:color w:val="105C84"/>
          <w:spacing w:val="32"/>
        </w:rPr>
        <w:t> </w:t>
      </w:r>
      <w:r>
        <w:rPr>
          <w:color w:val="105C84"/>
        </w:rPr>
        <w:t>department.</w:t>
      </w:r>
      <w:r>
        <w:rPr>
          <w:color w:val="105C84"/>
          <w:spacing w:val="32"/>
        </w:rPr>
        <w:t> </w:t>
      </w:r>
      <w:r>
        <w:rPr>
          <w:color w:val="105C84"/>
        </w:rPr>
        <w:t>Common</w:t>
      </w:r>
      <w:r>
        <w:rPr>
          <w:color w:val="105C84"/>
          <w:spacing w:val="32"/>
        </w:rPr>
        <w:t> </w:t>
      </w:r>
      <w:r>
        <w:rPr>
          <w:color w:val="105C84"/>
        </w:rPr>
        <w:t>Ground</w:t>
      </w:r>
      <w:r>
        <w:rPr>
          <w:color w:val="105C84"/>
          <w:spacing w:val="32"/>
        </w:rPr>
        <w:t> </w:t>
      </w:r>
      <w:r>
        <w:rPr>
          <w:color w:val="105C84"/>
        </w:rPr>
        <w:t>Health</w:t>
      </w:r>
      <w:r>
        <w:rPr>
          <w:color w:val="105C84"/>
          <w:spacing w:val="32"/>
        </w:rPr>
        <w:t> </w:t>
      </w:r>
      <w:r>
        <w:rPr>
          <w:color w:val="105C84"/>
        </w:rPr>
        <w:t>provided</w:t>
      </w:r>
      <w:r>
        <w:rPr>
          <w:color w:val="105C84"/>
          <w:spacing w:val="32"/>
        </w:rPr>
        <w:t> </w:t>
      </w:r>
      <w:r>
        <w:rPr>
          <w:color w:val="105C84"/>
        </w:rPr>
        <w:t>group</w:t>
      </w:r>
    </w:p>
    <w:p>
      <w:pPr>
        <w:pStyle w:val="BodyText"/>
        <w:spacing w:line="247" w:lineRule="auto"/>
        <w:ind w:left="1088" w:right="109"/>
      </w:pPr>
      <w:r>
        <w:rPr>
          <w:color w:val="105C84"/>
        </w:rPr>
        <w:t>members copies of county specific pre-read documents in advance of the meetings. The documents included information on current priority areas and progress made to date, as well as a mix of updated</w:t>
      </w:r>
      <w:r>
        <w:rPr>
          <w:color w:val="105C84"/>
          <w:spacing w:val="40"/>
        </w:rPr>
        <w:t> </w:t>
      </w:r>
      <w:r>
        <w:rPr>
          <w:color w:val="105C84"/>
        </w:rPr>
        <w:t>quantitative, qualitative, primary and secondary data on each of the five priority areas outlined in the</w:t>
      </w:r>
      <w:r>
        <w:rPr>
          <w:color w:val="105C84"/>
          <w:spacing w:val="80"/>
        </w:rPr>
        <w:t> </w:t>
      </w:r>
      <w:r>
        <w:rPr>
          <w:color w:val="105C84"/>
        </w:rPr>
        <w:t>New York State Prevention Agenda. Data were collected from a variety of different sources including, but not limited to, the American Community Survey, the enhanced Behavioral Risk Factor Surveillance System,</w:t>
      </w:r>
      <w:r>
        <w:rPr>
          <w:color w:val="105C84"/>
          <w:spacing w:val="27"/>
        </w:rPr>
        <w:t> </w:t>
      </w:r>
      <w:r>
        <w:rPr>
          <w:color w:val="105C84"/>
        </w:rPr>
        <w:t>Vital</w:t>
      </w:r>
      <w:r>
        <w:rPr>
          <w:color w:val="105C84"/>
          <w:spacing w:val="27"/>
        </w:rPr>
        <w:t> </w:t>
      </w:r>
      <w:r>
        <w:rPr>
          <w:color w:val="105C84"/>
        </w:rPr>
        <w:t>Statistics,</w:t>
      </w:r>
      <w:r>
        <w:rPr>
          <w:color w:val="105C84"/>
          <w:spacing w:val="27"/>
        </w:rPr>
        <w:t> </w:t>
      </w:r>
      <w:r>
        <w:rPr>
          <w:color w:val="105C84"/>
        </w:rPr>
        <w:t>communicable</w:t>
      </w:r>
      <w:r>
        <w:rPr>
          <w:color w:val="105C84"/>
          <w:spacing w:val="27"/>
        </w:rPr>
        <w:t> </w:t>
      </w:r>
      <w:r>
        <w:rPr>
          <w:color w:val="105C84"/>
        </w:rPr>
        <w:t>disease</w:t>
      </w:r>
      <w:r>
        <w:rPr>
          <w:color w:val="105C84"/>
          <w:spacing w:val="27"/>
        </w:rPr>
        <w:t> </w:t>
      </w:r>
      <w:r>
        <w:rPr>
          <w:color w:val="105C84"/>
        </w:rPr>
        <w:t>and</w:t>
      </w:r>
      <w:r>
        <w:rPr>
          <w:color w:val="105C84"/>
          <w:spacing w:val="27"/>
        </w:rPr>
        <w:t> </w:t>
      </w:r>
      <w:r>
        <w:rPr>
          <w:color w:val="105C84"/>
        </w:rPr>
        <w:t>dental</w:t>
      </w:r>
      <w:r>
        <w:rPr>
          <w:color w:val="105C84"/>
          <w:spacing w:val="27"/>
        </w:rPr>
        <w:t> </w:t>
      </w:r>
      <w:r>
        <w:rPr>
          <w:color w:val="105C84"/>
        </w:rPr>
        <w:t>reports,</w:t>
      </w:r>
      <w:r>
        <w:rPr>
          <w:color w:val="105C84"/>
          <w:spacing w:val="27"/>
        </w:rPr>
        <w:t> </w:t>
      </w:r>
      <w:r>
        <w:rPr>
          <w:color w:val="105C84"/>
        </w:rPr>
        <w:t>primary</w:t>
      </w:r>
      <w:r>
        <w:rPr>
          <w:color w:val="105C84"/>
          <w:spacing w:val="27"/>
        </w:rPr>
        <w:t> </w:t>
      </w:r>
      <w:r>
        <w:rPr>
          <w:color w:val="105C84"/>
        </w:rPr>
        <w:t>data</w:t>
      </w:r>
      <w:r>
        <w:rPr>
          <w:color w:val="105C84"/>
          <w:spacing w:val="27"/>
        </w:rPr>
        <w:t> </w:t>
      </w:r>
      <w:r>
        <w:rPr>
          <w:color w:val="105C84"/>
        </w:rPr>
        <w:t>collected</w:t>
      </w:r>
      <w:r>
        <w:rPr>
          <w:color w:val="105C84"/>
          <w:spacing w:val="27"/>
        </w:rPr>
        <w:t> </w:t>
      </w:r>
      <w:r>
        <w:rPr>
          <w:color w:val="105C84"/>
        </w:rPr>
        <w:t>from</w:t>
      </w:r>
      <w:r>
        <w:rPr>
          <w:color w:val="105C84"/>
          <w:spacing w:val="27"/>
        </w:rPr>
        <w:t> </w:t>
      </w:r>
      <w:r>
        <w:rPr>
          <w:color w:val="105C84"/>
        </w:rPr>
        <w:t>the</w:t>
      </w:r>
      <w:r>
        <w:rPr>
          <w:color w:val="105C84"/>
        </w:rPr>
        <w:t> </w:t>
      </w:r>
      <w:r>
        <w:rPr>
          <w:i/>
          <w:color w:val="105C84"/>
        </w:rPr>
        <w:t>My Health Story 2018 </w:t>
      </w:r>
      <w:r>
        <w:rPr>
          <w:color w:val="105C84"/>
        </w:rPr>
        <w:t>survey, and local data sources such as Livingston County’s Prevention Needs Assessment, Ontario County’s PRIDE survey and Wayne County’s school student survey. Copies of</w:t>
      </w:r>
    </w:p>
    <w:p>
      <w:pPr>
        <w:pStyle w:val="BodyText"/>
        <w:spacing w:line="247" w:lineRule="auto"/>
        <w:ind w:left="1088"/>
      </w:pPr>
      <w:r>
        <w:rPr>
          <w:color w:val="105C84"/>
        </w:rPr>
        <w:t>the county specific pre-read documents, prioritization meeting materials and meeting attendees are</w:t>
      </w:r>
      <w:r>
        <w:rPr>
          <w:color w:val="105C84"/>
          <w:spacing w:val="80"/>
        </w:rPr>
        <w:t> </w:t>
      </w:r>
      <w:r>
        <w:rPr>
          <w:color w:val="105C84"/>
        </w:rPr>
        <w:t>available upon request.</w:t>
      </w:r>
    </w:p>
    <w:p>
      <w:pPr>
        <w:pStyle w:val="BodyText"/>
        <w:spacing w:line="247" w:lineRule="auto" w:before="114"/>
        <w:ind w:left="1088" w:right="467"/>
      </w:pPr>
      <w:r>
        <w:rPr/>
        <w:br w:type="column"/>
      </w:r>
      <w:r>
        <w:rPr>
          <w:color w:val="105C84"/>
        </w:rPr>
        <w:t>Participants</w:t>
      </w:r>
      <w:r>
        <w:rPr>
          <w:color w:val="105C84"/>
          <w:spacing w:val="26"/>
        </w:rPr>
        <w:t> </w:t>
      </w:r>
      <w:r>
        <w:rPr>
          <w:color w:val="105C84"/>
        </w:rPr>
        <w:t>used</w:t>
      </w:r>
      <w:r>
        <w:rPr>
          <w:color w:val="105C84"/>
          <w:spacing w:val="26"/>
        </w:rPr>
        <w:t> </w:t>
      </w:r>
      <w:r>
        <w:rPr>
          <w:color w:val="105C84"/>
        </w:rPr>
        <w:t>the</w:t>
      </w:r>
      <w:r>
        <w:rPr>
          <w:color w:val="105C84"/>
          <w:spacing w:val="26"/>
        </w:rPr>
        <w:t> </w:t>
      </w:r>
      <w:r>
        <w:rPr>
          <w:color w:val="105C84"/>
        </w:rPr>
        <w:t>Hanlon</w:t>
      </w:r>
      <w:r>
        <w:rPr>
          <w:color w:val="105C84"/>
          <w:spacing w:val="26"/>
        </w:rPr>
        <w:t> </w:t>
      </w:r>
      <w:r>
        <w:rPr>
          <w:color w:val="105C84"/>
        </w:rPr>
        <w:t>method</w:t>
      </w:r>
      <w:r>
        <w:rPr>
          <w:color w:val="105C84"/>
          <w:spacing w:val="26"/>
        </w:rPr>
        <w:t> </w:t>
      </w:r>
      <w:r>
        <w:rPr>
          <w:color w:val="105C84"/>
        </w:rPr>
        <w:t>and</w:t>
      </w:r>
      <w:r>
        <w:rPr>
          <w:color w:val="105C84"/>
          <w:spacing w:val="26"/>
        </w:rPr>
        <w:t> </w:t>
      </w:r>
      <w:r>
        <w:rPr>
          <w:color w:val="105C84"/>
        </w:rPr>
        <w:t>the</w:t>
      </w:r>
      <w:r>
        <w:rPr>
          <w:color w:val="105C84"/>
          <w:spacing w:val="26"/>
        </w:rPr>
        <w:t> </w:t>
      </w:r>
      <w:r>
        <w:rPr>
          <w:color w:val="105C84"/>
        </w:rPr>
        <w:t>PEARL</w:t>
      </w:r>
      <w:r>
        <w:rPr>
          <w:color w:val="105C84"/>
          <w:spacing w:val="26"/>
        </w:rPr>
        <w:t> </w:t>
      </w:r>
      <w:r>
        <w:rPr>
          <w:color w:val="105C84"/>
        </w:rPr>
        <w:t>test</w:t>
      </w:r>
      <w:r>
        <w:rPr>
          <w:color w:val="105C84"/>
          <w:spacing w:val="26"/>
        </w:rPr>
        <w:t> </w:t>
      </w:r>
      <w:r>
        <w:rPr>
          <w:color w:val="105C84"/>
        </w:rPr>
        <w:t>to</w:t>
      </w:r>
      <w:r>
        <w:rPr>
          <w:color w:val="105C84"/>
          <w:spacing w:val="26"/>
        </w:rPr>
        <w:t> </w:t>
      </w:r>
      <w:r>
        <w:rPr>
          <w:color w:val="105C84"/>
        </w:rPr>
        <w:t>prioritize</w:t>
      </w:r>
      <w:r>
        <w:rPr>
          <w:color w:val="105C84"/>
          <w:spacing w:val="26"/>
        </w:rPr>
        <w:t> </w:t>
      </w:r>
      <w:r>
        <w:rPr>
          <w:color w:val="105C84"/>
        </w:rPr>
        <w:t>a</w:t>
      </w:r>
      <w:r>
        <w:rPr>
          <w:color w:val="105C84"/>
          <w:spacing w:val="26"/>
        </w:rPr>
        <w:t> </w:t>
      </w:r>
      <w:r>
        <w:rPr>
          <w:color w:val="105C84"/>
        </w:rPr>
        <w:t>list</w:t>
      </w:r>
      <w:r>
        <w:rPr>
          <w:color w:val="105C84"/>
          <w:spacing w:val="26"/>
        </w:rPr>
        <w:t> </w:t>
      </w:r>
      <w:r>
        <w:rPr>
          <w:color w:val="105C84"/>
        </w:rPr>
        <w:t>of</w:t>
      </w:r>
      <w:r>
        <w:rPr>
          <w:color w:val="105C84"/>
          <w:spacing w:val="26"/>
        </w:rPr>
        <w:t> </w:t>
      </w:r>
      <w:r>
        <w:rPr>
          <w:color w:val="105C84"/>
        </w:rPr>
        <w:t>group-identified</w:t>
      </w:r>
      <w:r>
        <w:rPr>
          <w:color w:val="105C84"/>
          <w:spacing w:val="26"/>
        </w:rPr>
        <w:t> </w:t>
      </w:r>
      <w:r>
        <w:rPr>
          <w:color w:val="105C84"/>
        </w:rPr>
        <w:t>and/ or pre-populated health department priorities based on size and seriousness of the problem and</w:t>
      </w:r>
      <w:r>
        <w:rPr>
          <w:color w:val="105C84"/>
          <w:spacing w:val="80"/>
        </w:rPr>
        <w:t> </w:t>
      </w:r>
      <w:r>
        <w:rPr>
          <w:color w:val="105C84"/>
        </w:rPr>
        <w:t>effectiveness of interventions. Data relating to high-risk populations were reviewed at priority setting</w:t>
      </w:r>
      <w:r>
        <w:rPr>
          <w:color w:val="105C84"/>
          <w:spacing w:val="80"/>
        </w:rPr>
        <w:t> </w:t>
      </w:r>
      <w:r>
        <w:rPr>
          <w:color w:val="105C84"/>
        </w:rPr>
        <w:t>meetings and group discussions took place regarding selection of each county’s disparity. The result</w:t>
      </w:r>
      <w:r>
        <w:rPr>
          <w:color w:val="105C84"/>
          <w:spacing w:val="40"/>
        </w:rPr>
        <w:t> </w:t>
      </w:r>
      <w:r>
        <w:rPr>
          <w:color w:val="105C84"/>
        </w:rPr>
        <w:t>of</w:t>
      </w:r>
      <w:r>
        <w:rPr>
          <w:color w:val="105C84"/>
          <w:spacing w:val="25"/>
        </w:rPr>
        <w:t> </w:t>
      </w:r>
      <w:r>
        <w:rPr>
          <w:color w:val="105C84"/>
        </w:rPr>
        <w:t>the</w:t>
      </w:r>
      <w:r>
        <w:rPr>
          <w:color w:val="105C84"/>
          <w:spacing w:val="25"/>
        </w:rPr>
        <w:t> </w:t>
      </w:r>
      <w:r>
        <w:rPr>
          <w:color w:val="105C84"/>
        </w:rPr>
        <w:t>groups’</w:t>
      </w:r>
      <w:r>
        <w:rPr>
          <w:color w:val="105C84"/>
          <w:spacing w:val="25"/>
        </w:rPr>
        <w:t> </w:t>
      </w:r>
      <w:r>
        <w:rPr>
          <w:color w:val="105C84"/>
        </w:rPr>
        <w:t>scoring</w:t>
      </w:r>
      <w:r>
        <w:rPr>
          <w:color w:val="105C84"/>
          <w:spacing w:val="25"/>
        </w:rPr>
        <w:t> </w:t>
      </w:r>
      <w:r>
        <w:rPr>
          <w:color w:val="105C84"/>
        </w:rPr>
        <w:t>and</w:t>
      </w:r>
      <w:r>
        <w:rPr>
          <w:color w:val="105C84"/>
          <w:spacing w:val="25"/>
        </w:rPr>
        <w:t> </w:t>
      </w:r>
      <w:r>
        <w:rPr>
          <w:color w:val="105C84"/>
        </w:rPr>
        <w:t>discussions</w:t>
      </w:r>
      <w:r>
        <w:rPr>
          <w:color w:val="105C84"/>
          <w:spacing w:val="25"/>
        </w:rPr>
        <w:t> </w:t>
      </w:r>
      <w:r>
        <w:rPr>
          <w:color w:val="105C84"/>
        </w:rPr>
        <w:t>led</w:t>
      </w:r>
      <w:r>
        <w:rPr>
          <w:color w:val="105C84"/>
          <w:spacing w:val="25"/>
        </w:rPr>
        <w:t> </w:t>
      </w:r>
      <w:r>
        <w:rPr>
          <w:color w:val="105C84"/>
        </w:rPr>
        <w:t>to</w:t>
      </w:r>
      <w:r>
        <w:rPr>
          <w:color w:val="105C84"/>
          <w:spacing w:val="25"/>
        </w:rPr>
        <w:t> </w:t>
      </w:r>
      <w:r>
        <w:rPr>
          <w:color w:val="105C84"/>
        </w:rPr>
        <w:t>the</w:t>
      </w:r>
      <w:r>
        <w:rPr>
          <w:color w:val="105C84"/>
          <w:spacing w:val="25"/>
        </w:rPr>
        <w:t> </w:t>
      </w:r>
      <w:r>
        <w:rPr>
          <w:color w:val="105C84"/>
        </w:rPr>
        <w:t>selection</w:t>
      </w:r>
      <w:r>
        <w:rPr>
          <w:color w:val="105C84"/>
          <w:spacing w:val="25"/>
        </w:rPr>
        <w:t> </w:t>
      </w:r>
      <w:r>
        <w:rPr>
          <w:color w:val="105C84"/>
        </w:rPr>
        <w:t>of</w:t>
      </w:r>
      <w:r>
        <w:rPr>
          <w:color w:val="105C84"/>
          <w:spacing w:val="25"/>
        </w:rPr>
        <w:t> </w:t>
      </w:r>
      <w:r>
        <w:rPr>
          <w:color w:val="105C84"/>
        </w:rPr>
        <w:t>the</w:t>
      </w:r>
      <w:r>
        <w:rPr>
          <w:color w:val="105C84"/>
          <w:spacing w:val="25"/>
        </w:rPr>
        <w:t> </w:t>
      </w:r>
      <w:r>
        <w:rPr>
          <w:color w:val="105C84"/>
        </w:rPr>
        <w:t>priority</w:t>
      </w:r>
      <w:r>
        <w:rPr>
          <w:color w:val="105C84"/>
          <w:spacing w:val="25"/>
        </w:rPr>
        <w:t> </w:t>
      </w:r>
      <w:r>
        <w:rPr>
          <w:color w:val="105C84"/>
        </w:rPr>
        <w:t>areas</w:t>
      </w:r>
      <w:r>
        <w:rPr>
          <w:color w:val="105C84"/>
          <w:spacing w:val="25"/>
        </w:rPr>
        <w:t> </w:t>
      </w:r>
      <w:r>
        <w:rPr>
          <w:color w:val="105C84"/>
        </w:rPr>
        <w:t>and</w:t>
      </w:r>
      <w:r>
        <w:rPr>
          <w:color w:val="105C84"/>
          <w:spacing w:val="25"/>
        </w:rPr>
        <w:t> </w:t>
      </w:r>
      <w:r>
        <w:rPr>
          <w:color w:val="105C84"/>
        </w:rPr>
        <w:t>disparities</w:t>
      </w:r>
      <w:r>
        <w:rPr>
          <w:color w:val="105C84"/>
          <w:spacing w:val="25"/>
        </w:rPr>
        <w:t> </w:t>
      </w:r>
      <w:r>
        <w:rPr>
          <w:color w:val="105C84"/>
        </w:rPr>
        <w:t>and are as follows:</w:t>
      </w:r>
    </w:p>
    <w:p>
      <w:pPr>
        <w:pStyle w:val="BodyText"/>
        <w:spacing w:after="0" w:line="247" w:lineRule="auto"/>
        <w:sectPr>
          <w:type w:val="continuous"/>
          <w:pgSz w:w="24480" w:h="15840" w:orient="landscape"/>
          <w:pgMar w:header="0" w:footer="0" w:top="0" w:bottom="280" w:left="0" w:right="720"/>
          <w:cols w:num="2" w:equalWidth="0">
            <w:col w:w="11217" w:space="1014"/>
            <w:col w:w="11529"/>
          </w:cols>
        </w:sectPr>
      </w:pPr>
    </w:p>
    <w:p>
      <w:pPr>
        <w:pStyle w:val="BodyText"/>
        <w:rPr>
          <w:sz w:val="14"/>
        </w:rPr>
      </w:pPr>
      <w:r>
        <w:rPr>
          <w:sz w:val="14"/>
        </w:rPr>
        <w:drawing>
          <wp:anchor distT="0" distB="0" distL="0" distR="0" allowOverlap="1" layoutInCell="1" locked="0" behindDoc="0" simplePos="0" relativeHeight="15738368">
            <wp:simplePos x="0" y="0"/>
            <wp:positionH relativeFrom="page">
              <wp:posOffset>14981556</wp:posOffset>
            </wp:positionH>
            <wp:positionV relativeFrom="page">
              <wp:posOffset>9668103</wp:posOffset>
            </wp:positionV>
            <wp:extent cx="563245" cy="184683"/>
            <wp:effectExtent l="0" t="0" r="0" b="0"/>
            <wp:wrapNone/>
            <wp:docPr id="81" name="Image 81"/>
            <wp:cNvGraphicFramePr>
              <a:graphicFrameLocks/>
            </wp:cNvGraphicFramePr>
            <a:graphic>
              <a:graphicData uri="http://schemas.openxmlformats.org/drawingml/2006/picture">
                <pic:pic>
                  <pic:nvPicPr>
                    <pic:cNvPr id="81" name="Image 81"/>
                    <pic:cNvPicPr/>
                  </pic:nvPicPr>
                  <pic:blipFill>
                    <a:blip r:embed="rId38" cstate="print"/>
                    <a:stretch>
                      <a:fillRect/>
                    </a:stretch>
                  </pic:blipFill>
                  <pic:spPr>
                    <a:xfrm>
                      <a:off x="0" y="0"/>
                      <a:ext cx="563245" cy="184683"/>
                    </a:xfrm>
                    <a:prstGeom prst="rect">
                      <a:avLst/>
                    </a:prstGeom>
                  </pic:spPr>
                </pic:pic>
              </a:graphicData>
            </a:graphic>
          </wp:anchor>
        </w:drawing>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30"/>
        <w:rPr>
          <w:sz w:val="14"/>
        </w:rPr>
      </w:pPr>
    </w:p>
    <w:p>
      <w:pPr>
        <w:pStyle w:val="ListParagraph"/>
        <w:numPr>
          <w:ilvl w:val="1"/>
          <w:numId w:val="3"/>
        </w:numPr>
        <w:tabs>
          <w:tab w:pos="4241" w:val="left" w:leader="none"/>
        </w:tabs>
        <w:spacing w:line="240" w:lineRule="auto" w:before="0" w:after="0"/>
        <w:ind w:left="4241" w:right="0" w:hanging="145"/>
        <w:jc w:val="left"/>
        <w:rPr>
          <w:sz w:val="14"/>
        </w:rPr>
      </w:pPr>
      <w:r>
        <w:rPr>
          <w:sz w:val="14"/>
        </w:rPr>
        <mc:AlternateContent>
          <mc:Choice Requires="wps">
            <w:drawing>
              <wp:anchor distT="0" distB="0" distL="0" distR="0" allowOverlap="1" layoutInCell="1" locked="0" behindDoc="0" simplePos="0" relativeHeight="15739392">
                <wp:simplePos x="0" y="0"/>
                <wp:positionH relativeFrom="page">
                  <wp:posOffset>8420100</wp:posOffset>
                </wp:positionH>
                <wp:positionV relativeFrom="paragraph">
                  <wp:posOffset>-7280529</wp:posOffset>
                </wp:positionV>
                <wp:extent cx="6468110" cy="7505700"/>
                <wp:effectExtent l="0" t="0" r="0" b="0"/>
                <wp:wrapNone/>
                <wp:docPr id="82" name="Textbox 82"/>
                <wp:cNvGraphicFramePr>
                  <a:graphicFrameLocks/>
                </wp:cNvGraphicFramePr>
                <a:graphic>
                  <a:graphicData uri="http://schemas.microsoft.com/office/word/2010/wordprocessingShape">
                    <wps:wsp>
                      <wps:cNvPr id="82" name="Textbox 82"/>
                      <wps:cNvSpPr txBox="1"/>
                      <wps:spPr>
                        <a:xfrm>
                          <a:off x="0" y="0"/>
                          <a:ext cx="6468110" cy="7505700"/>
                        </a:xfrm>
                        <a:prstGeom prst="rect">
                          <a:avLst/>
                        </a:prstGeom>
                      </wps:spPr>
                      <wps:txbx>
                        <w:txbxContent>
                          <w:tbl>
                            <w:tblPr>
                              <w:tblW w:w="0" w:type="auto"/>
                              <w:jc w:val="left"/>
                              <w:tblInd w:w="62"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top w:w="0" w:type="dxa"/>
                                <w:left w:w="0" w:type="dxa"/>
                                <w:bottom w:w="0" w:type="dxa"/>
                                <w:right w:w="0" w:type="dxa"/>
                              </w:tblCellMar>
                              <w:tblLook w:val="01E0"/>
                            </w:tblPr>
                            <w:tblGrid>
                              <w:gridCol w:w="2388"/>
                              <w:gridCol w:w="7673"/>
                            </w:tblGrid>
                            <w:tr>
                              <w:trPr>
                                <w:trHeight w:val="481" w:hRule="atLeast"/>
                              </w:trPr>
                              <w:tc>
                                <w:tcPr>
                                  <w:tcW w:w="2388" w:type="dxa"/>
                                  <w:tcBorders>
                                    <w:right w:val="single" w:sz="4" w:space="0" w:color="FFFFFF"/>
                                  </w:tcBorders>
                                  <w:shd w:val="clear" w:color="auto" w:fill="82BF6A"/>
                                </w:tcPr>
                                <w:p>
                                  <w:pPr>
                                    <w:pStyle w:val="TableParagraph"/>
                                    <w:spacing w:before="103"/>
                                    <w:ind w:left="180"/>
                                    <w:rPr>
                                      <w:b/>
                                      <w:sz w:val="26"/>
                                    </w:rPr>
                                  </w:pPr>
                                  <w:r>
                                    <w:rPr>
                                      <w:b/>
                                      <w:color w:val="FFFFFF"/>
                                      <w:spacing w:val="-2"/>
                                      <w:sz w:val="26"/>
                                    </w:rPr>
                                    <w:t>COUNTY</w:t>
                                  </w:r>
                                </w:p>
                              </w:tc>
                              <w:tc>
                                <w:tcPr>
                                  <w:tcW w:w="7673" w:type="dxa"/>
                                  <w:tcBorders>
                                    <w:left w:val="single" w:sz="4" w:space="0" w:color="FFFFFF"/>
                                  </w:tcBorders>
                                  <w:shd w:val="clear" w:color="auto" w:fill="00A79E"/>
                                </w:tcPr>
                                <w:p>
                                  <w:pPr>
                                    <w:pStyle w:val="TableParagraph"/>
                                    <w:spacing w:before="103"/>
                                    <w:ind w:left="177"/>
                                    <w:rPr>
                                      <w:b/>
                                      <w:sz w:val="26"/>
                                    </w:rPr>
                                  </w:pPr>
                                  <w:r>
                                    <w:rPr>
                                      <w:b/>
                                      <w:color w:val="FFFFFF"/>
                                      <w:spacing w:val="-2"/>
                                      <w:sz w:val="26"/>
                                    </w:rPr>
                                    <w:t>PRIORITY</w:t>
                                  </w:r>
                                </w:p>
                              </w:tc>
                            </w:tr>
                            <w:tr>
                              <w:trPr>
                                <w:trHeight w:val="1655" w:hRule="atLeast"/>
                              </w:trPr>
                              <w:tc>
                                <w:tcPr>
                                  <w:tcW w:w="2388" w:type="dxa"/>
                                </w:tcPr>
                                <w:p>
                                  <w:pPr>
                                    <w:pStyle w:val="TableParagraph"/>
                                    <w:spacing w:before="100"/>
                                    <w:ind w:left="180"/>
                                    <w:rPr>
                                      <w:b/>
                                      <w:sz w:val="20"/>
                                    </w:rPr>
                                  </w:pPr>
                                  <w:r>
                                    <w:rPr>
                                      <w:b/>
                                      <w:color w:val="105C84"/>
                                      <w:sz w:val="20"/>
                                    </w:rPr>
                                    <w:t>Chemung</w:t>
                                  </w:r>
                                  <w:r>
                                    <w:rPr>
                                      <w:b/>
                                      <w:color w:val="105C84"/>
                                      <w:spacing w:val="-9"/>
                                      <w:sz w:val="20"/>
                                    </w:rPr>
                                    <w:t> </w:t>
                                  </w:r>
                                  <w:r>
                                    <w:rPr>
                                      <w:b/>
                                      <w:color w:val="105C84"/>
                                      <w:spacing w:val="-2"/>
                                      <w:sz w:val="20"/>
                                    </w:rPr>
                                    <w:t>County</w:t>
                                  </w:r>
                                </w:p>
                              </w:tc>
                              <w:tc>
                                <w:tcPr>
                                  <w:tcW w:w="7673" w:type="dxa"/>
                                </w:tcPr>
                                <w:p>
                                  <w:pPr>
                                    <w:pStyle w:val="TableParagraph"/>
                                    <w:spacing w:before="100"/>
                                    <w:ind w:left="180"/>
                                    <w:rPr>
                                      <w:b/>
                                      <w:sz w:val="20"/>
                                    </w:rPr>
                                  </w:pPr>
                                  <w:r>
                                    <w:rPr>
                                      <w:b/>
                                      <w:color w:val="105C84"/>
                                      <w:spacing w:val="-2"/>
                                      <w:sz w:val="20"/>
                                    </w:rPr>
                                    <w:t>Prevent</w:t>
                                  </w:r>
                                  <w:r>
                                    <w:rPr>
                                      <w:b/>
                                      <w:color w:val="105C84"/>
                                      <w:spacing w:val="-1"/>
                                      <w:sz w:val="20"/>
                                    </w:rPr>
                                    <w:t> </w:t>
                                  </w:r>
                                  <w:r>
                                    <w:rPr>
                                      <w:b/>
                                      <w:color w:val="105C84"/>
                                      <w:spacing w:val="-2"/>
                                      <w:sz w:val="20"/>
                                    </w:rPr>
                                    <w:t>Chronic</w:t>
                                  </w:r>
                                  <w:r>
                                    <w:rPr>
                                      <w:b/>
                                      <w:color w:val="105C84"/>
                                      <w:sz w:val="20"/>
                                    </w:rPr>
                                    <w:t> </w:t>
                                  </w:r>
                                  <w:r>
                                    <w:rPr>
                                      <w:b/>
                                      <w:color w:val="105C84"/>
                                      <w:spacing w:val="-2"/>
                                      <w:sz w:val="20"/>
                                    </w:rPr>
                                    <w:t>Diseases</w:t>
                                  </w:r>
                                </w:p>
                                <w:p>
                                  <w:pPr>
                                    <w:pStyle w:val="TableParagraph"/>
                                    <w:numPr>
                                      <w:ilvl w:val="0"/>
                                      <w:numId w:val="4"/>
                                    </w:numPr>
                                    <w:tabs>
                                      <w:tab w:pos="613" w:val="left" w:leader="none"/>
                                    </w:tabs>
                                    <w:spacing w:line="240" w:lineRule="auto" w:before="100" w:after="0"/>
                                    <w:ind w:left="613" w:right="0" w:hanging="213"/>
                                    <w:jc w:val="left"/>
                                    <w:rPr>
                                      <w:sz w:val="20"/>
                                    </w:rPr>
                                  </w:pPr>
                                  <w:r>
                                    <w:rPr>
                                      <w:color w:val="105C84"/>
                                      <w:sz w:val="20"/>
                                    </w:rPr>
                                    <w:t>Healthy</w:t>
                                  </w:r>
                                  <w:r>
                                    <w:rPr>
                                      <w:color w:val="105C84"/>
                                      <w:spacing w:val="19"/>
                                      <w:sz w:val="20"/>
                                    </w:rPr>
                                    <w:t> </w:t>
                                  </w:r>
                                  <w:r>
                                    <w:rPr>
                                      <w:color w:val="105C84"/>
                                      <w:sz w:val="20"/>
                                    </w:rPr>
                                    <w:t>eating</w:t>
                                  </w:r>
                                  <w:r>
                                    <w:rPr>
                                      <w:color w:val="105C84"/>
                                      <w:spacing w:val="19"/>
                                      <w:sz w:val="20"/>
                                    </w:rPr>
                                    <w:t> </w:t>
                                  </w:r>
                                  <w:r>
                                    <w:rPr>
                                      <w:color w:val="105C84"/>
                                      <w:sz w:val="20"/>
                                    </w:rPr>
                                    <w:t>and</w:t>
                                  </w:r>
                                  <w:r>
                                    <w:rPr>
                                      <w:color w:val="105C84"/>
                                      <w:spacing w:val="19"/>
                                      <w:sz w:val="20"/>
                                    </w:rPr>
                                    <w:t> </w:t>
                                  </w:r>
                                  <w:r>
                                    <w:rPr>
                                      <w:color w:val="105C84"/>
                                      <w:sz w:val="20"/>
                                    </w:rPr>
                                    <w:t>food</w:t>
                                  </w:r>
                                  <w:r>
                                    <w:rPr>
                                      <w:color w:val="105C84"/>
                                      <w:spacing w:val="19"/>
                                      <w:sz w:val="20"/>
                                    </w:rPr>
                                    <w:t> </w:t>
                                  </w:r>
                                  <w:r>
                                    <w:rPr>
                                      <w:color w:val="105C84"/>
                                      <w:spacing w:val="-2"/>
                                      <w:sz w:val="20"/>
                                    </w:rPr>
                                    <w:t>security</w:t>
                                  </w:r>
                                </w:p>
                                <w:p>
                                  <w:pPr>
                                    <w:pStyle w:val="TableParagraph"/>
                                    <w:numPr>
                                      <w:ilvl w:val="0"/>
                                      <w:numId w:val="4"/>
                                    </w:numPr>
                                    <w:tabs>
                                      <w:tab w:pos="612" w:val="left" w:leader="none"/>
                                    </w:tabs>
                                    <w:spacing w:line="240" w:lineRule="auto" w:before="10" w:after="0"/>
                                    <w:ind w:left="612" w:right="0" w:hanging="213"/>
                                    <w:jc w:val="left"/>
                                    <w:rPr>
                                      <w:sz w:val="20"/>
                                    </w:rPr>
                                  </w:pPr>
                                  <w:r>
                                    <w:rPr>
                                      <w:color w:val="105C84"/>
                                      <w:w w:val="90"/>
                                      <w:sz w:val="20"/>
                                    </w:rPr>
                                    <w:t>Physical</w:t>
                                  </w:r>
                                  <w:r>
                                    <w:rPr>
                                      <w:color w:val="105C84"/>
                                      <w:spacing w:val="36"/>
                                      <w:sz w:val="20"/>
                                    </w:rPr>
                                    <w:t> </w:t>
                                  </w:r>
                                  <w:r>
                                    <w:rPr>
                                      <w:color w:val="105C84"/>
                                      <w:spacing w:val="-2"/>
                                      <w:sz w:val="20"/>
                                    </w:rPr>
                                    <w:t>activity</w:t>
                                  </w:r>
                                </w:p>
                                <w:p>
                                  <w:pPr>
                                    <w:pStyle w:val="TableParagraph"/>
                                    <w:numPr>
                                      <w:ilvl w:val="0"/>
                                      <w:numId w:val="4"/>
                                    </w:numPr>
                                    <w:tabs>
                                      <w:tab w:pos="612" w:val="left" w:leader="none"/>
                                    </w:tabs>
                                    <w:spacing w:line="240" w:lineRule="auto" w:before="10" w:after="0"/>
                                    <w:ind w:left="612" w:right="0" w:hanging="213"/>
                                    <w:jc w:val="left"/>
                                    <w:rPr>
                                      <w:sz w:val="20"/>
                                    </w:rPr>
                                  </w:pPr>
                                  <w:r>
                                    <w:rPr>
                                      <w:color w:val="105C84"/>
                                      <w:sz w:val="20"/>
                                    </w:rPr>
                                    <w:t>Tobacco</w:t>
                                  </w:r>
                                  <w:r>
                                    <w:rPr>
                                      <w:color w:val="105C84"/>
                                      <w:spacing w:val="-13"/>
                                      <w:sz w:val="20"/>
                                    </w:rPr>
                                    <w:t> </w:t>
                                  </w:r>
                                  <w:r>
                                    <w:rPr>
                                      <w:color w:val="105C84"/>
                                      <w:spacing w:val="-2"/>
                                      <w:sz w:val="20"/>
                                    </w:rPr>
                                    <w:t>prevention</w:t>
                                  </w:r>
                                </w:p>
                                <w:p>
                                  <w:pPr>
                                    <w:pStyle w:val="TableParagraph"/>
                                    <w:spacing w:before="80"/>
                                    <w:ind w:left="179"/>
                                    <w:rPr>
                                      <w:b/>
                                      <w:sz w:val="20"/>
                                    </w:rPr>
                                  </w:pPr>
                                  <w:r>
                                    <w:rPr>
                                      <w:b/>
                                      <w:color w:val="00A79E"/>
                                      <w:sz w:val="20"/>
                                    </w:rPr>
                                    <w:t>Disparity:</w:t>
                                  </w:r>
                                  <w:r>
                                    <w:rPr>
                                      <w:b/>
                                      <w:color w:val="00A79E"/>
                                      <w:spacing w:val="-1"/>
                                      <w:sz w:val="20"/>
                                    </w:rPr>
                                    <w:t> </w:t>
                                  </w:r>
                                  <w:r>
                                    <w:rPr>
                                      <w:b/>
                                      <w:color w:val="00A79E"/>
                                      <w:sz w:val="20"/>
                                    </w:rPr>
                                    <w:t>reduce tobacco use</w:t>
                                  </w:r>
                                  <w:r>
                                    <w:rPr>
                                      <w:b/>
                                      <w:color w:val="00A79E"/>
                                      <w:spacing w:val="-1"/>
                                      <w:sz w:val="20"/>
                                    </w:rPr>
                                    <w:t> </w:t>
                                  </w:r>
                                  <w:r>
                                    <w:rPr>
                                      <w:b/>
                                      <w:color w:val="00A79E"/>
                                      <w:sz w:val="20"/>
                                    </w:rPr>
                                    <w:t>among pregnant </w:t>
                                  </w:r>
                                  <w:r>
                                    <w:rPr>
                                      <w:b/>
                                      <w:color w:val="00A79E"/>
                                      <w:spacing w:val="-4"/>
                                      <w:sz w:val="20"/>
                                    </w:rPr>
                                    <w:t>women</w:t>
                                  </w:r>
                                </w:p>
                              </w:tc>
                            </w:tr>
                            <w:tr>
                              <w:trPr>
                                <w:trHeight w:val="2554" w:hRule="atLeast"/>
                              </w:trPr>
                              <w:tc>
                                <w:tcPr>
                                  <w:tcW w:w="2388" w:type="dxa"/>
                                  <w:shd w:val="clear" w:color="auto" w:fill="EFEFF0"/>
                                </w:tcPr>
                                <w:p>
                                  <w:pPr>
                                    <w:pStyle w:val="TableParagraph"/>
                                    <w:spacing w:before="100"/>
                                    <w:ind w:left="179"/>
                                    <w:rPr>
                                      <w:b/>
                                      <w:sz w:val="20"/>
                                    </w:rPr>
                                  </w:pPr>
                                  <w:r>
                                    <w:rPr>
                                      <w:b/>
                                      <w:color w:val="105C84"/>
                                      <w:spacing w:val="-4"/>
                                      <w:sz w:val="20"/>
                                    </w:rPr>
                                    <w:t>Livingston</w:t>
                                  </w:r>
                                  <w:r>
                                    <w:rPr>
                                      <w:b/>
                                      <w:color w:val="105C84"/>
                                      <w:spacing w:val="4"/>
                                      <w:sz w:val="20"/>
                                    </w:rPr>
                                    <w:t> </w:t>
                                  </w:r>
                                  <w:r>
                                    <w:rPr>
                                      <w:b/>
                                      <w:color w:val="105C84"/>
                                      <w:spacing w:val="-2"/>
                                      <w:sz w:val="20"/>
                                    </w:rPr>
                                    <w:t>County</w:t>
                                  </w:r>
                                </w:p>
                              </w:tc>
                              <w:tc>
                                <w:tcPr>
                                  <w:tcW w:w="7673" w:type="dxa"/>
                                  <w:shd w:val="clear" w:color="auto" w:fill="EFEFF0"/>
                                </w:tcPr>
                                <w:p>
                                  <w:pPr>
                                    <w:pStyle w:val="TableParagraph"/>
                                    <w:spacing w:before="100"/>
                                    <w:ind w:left="179"/>
                                    <w:rPr>
                                      <w:b/>
                                      <w:sz w:val="20"/>
                                    </w:rPr>
                                  </w:pPr>
                                  <w:r>
                                    <w:rPr>
                                      <w:b/>
                                      <w:color w:val="105C84"/>
                                      <w:spacing w:val="-2"/>
                                      <w:sz w:val="20"/>
                                    </w:rPr>
                                    <w:t>Prevent</w:t>
                                  </w:r>
                                  <w:r>
                                    <w:rPr>
                                      <w:b/>
                                      <w:color w:val="105C84"/>
                                      <w:spacing w:val="-1"/>
                                      <w:sz w:val="20"/>
                                    </w:rPr>
                                    <w:t> </w:t>
                                  </w:r>
                                  <w:r>
                                    <w:rPr>
                                      <w:b/>
                                      <w:color w:val="105C84"/>
                                      <w:spacing w:val="-2"/>
                                      <w:sz w:val="20"/>
                                    </w:rPr>
                                    <w:t>Chronic</w:t>
                                  </w:r>
                                  <w:r>
                                    <w:rPr>
                                      <w:b/>
                                      <w:color w:val="105C84"/>
                                      <w:sz w:val="20"/>
                                    </w:rPr>
                                    <w:t> </w:t>
                                  </w:r>
                                  <w:r>
                                    <w:rPr>
                                      <w:b/>
                                      <w:color w:val="105C84"/>
                                      <w:spacing w:val="-2"/>
                                      <w:sz w:val="20"/>
                                    </w:rPr>
                                    <w:t>Diseases</w:t>
                                  </w:r>
                                </w:p>
                                <w:p>
                                  <w:pPr>
                                    <w:pStyle w:val="TableParagraph"/>
                                    <w:numPr>
                                      <w:ilvl w:val="0"/>
                                      <w:numId w:val="5"/>
                                    </w:numPr>
                                    <w:tabs>
                                      <w:tab w:pos="612" w:val="left" w:leader="none"/>
                                    </w:tabs>
                                    <w:spacing w:line="240" w:lineRule="auto" w:before="100" w:after="0"/>
                                    <w:ind w:left="612" w:right="0" w:hanging="213"/>
                                    <w:jc w:val="left"/>
                                    <w:rPr>
                                      <w:sz w:val="20"/>
                                    </w:rPr>
                                  </w:pPr>
                                  <w:r>
                                    <w:rPr>
                                      <w:color w:val="105C84"/>
                                      <w:sz w:val="20"/>
                                    </w:rPr>
                                    <w:t>Healthy</w:t>
                                  </w:r>
                                  <w:r>
                                    <w:rPr>
                                      <w:color w:val="105C84"/>
                                      <w:spacing w:val="19"/>
                                      <w:sz w:val="20"/>
                                    </w:rPr>
                                    <w:t> </w:t>
                                  </w:r>
                                  <w:r>
                                    <w:rPr>
                                      <w:color w:val="105C84"/>
                                      <w:sz w:val="20"/>
                                    </w:rPr>
                                    <w:t>eating</w:t>
                                  </w:r>
                                  <w:r>
                                    <w:rPr>
                                      <w:color w:val="105C84"/>
                                      <w:spacing w:val="19"/>
                                      <w:sz w:val="20"/>
                                    </w:rPr>
                                    <w:t> </w:t>
                                  </w:r>
                                  <w:r>
                                    <w:rPr>
                                      <w:color w:val="105C84"/>
                                      <w:sz w:val="20"/>
                                    </w:rPr>
                                    <w:t>and</w:t>
                                  </w:r>
                                  <w:r>
                                    <w:rPr>
                                      <w:color w:val="105C84"/>
                                      <w:spacing w:val="19"/>
                                      <w:sz w:val="20"/>
                                    </w:rPr>
                                    <w:t> </w:t>
                                  </w:r>
                                  <w:r>
                                    <w:rPr>
                                      <w:color w:val="105C84"/>
                                      <w:sz w:val="20"/>
                                    </w:rPr>
                                    <w:t>food</w:t>
                                  </w:r>
                                  <w:r>
                                    <w:rPr>
                                      <w:color w:val="105C84"/>
                                      <w:spacing w:val="19"/>
                                      <w:sz w:val="20"/>
                                    </w:rPr>
                                    <w:t> </w:t>
                                  </w:r>
                                  <w:r>
                                    <w:rPr>
                                      <w:color w:val="105C84"/>
                                      <w:spacing w:val="-2"/>
                                      <w:sz w:val="20"/>
                                    </w:rPr>
                                    <w:t>security</w:t>
                                  </w:r>
                                </w:p>
                                <w:p>
                                  <w:pPr>
                                    <w:pStyle w:val="TableParagraph"/>
                                    <w:numPr>
                                      <w:ilvl w:val="0"/>
                                      <w:numId w:val="5"/>
                                    </w:numPr>
                                    <w:tabs>
                                      <w:tab w:pos="612" w:val="left" w:leader="none"/>
                                    </w:tabs>
                                    <w:spacing w:line="240" w:lineRule="auto" w:before="10" w:after="0"/>
                                    <w:ind w:left="612" w:right="0" w:hanging="213"/>
                                    <w:jc w:val="left"/>
                                    <w:rPr>
                                      <w:sz w:val="20"/>
                                    </w:rPr>
                                  </w:pPr>
                                  <w:r>
                                    <w:rPr>
                                      <w:color w:val="105C84"/>
                                      <w:w w:val="90"/>
                                      <w:sz w:val="20"/>
                                    </w:rPr>
                                    <w:t>Physical</w:t>
                                  </w:r>
                                  <w:r>
                                    <w:rPr>
                                      <w:color w:val="105C84"/>
                                      <w:spacing w:val="36"/>
                                      <w:sz w:val="20"/>
                                    </w:rPr>
                                    <w:t> </w:t>
                                  </w:r>
                                  <w:r>
                                    <w:rPr>
                                      <w:color w:val="105C84"/>
                                      <w:spacing w:val="-2"/>
                                      <w:sz w:val="20"/>
                                    </w:rPr>
                                    <w:t>activity</w:t>
                                  </w:r>
                                </w:p>
                                <w:p>
                                  <w:pPr>
                                    <w:pStyle w:val="TableParagraph"/>
                                    <w:numPr>
                                      <w:ilvl w:val="0"/>
                                      <w:numId w:val="5"/>
                                    </w:numPr>
                                    <w:tabs>
                                      <w:tab w:pos="612" w:val="left" w:leader="none"/>
                                    </w:tabs>
                                    <w:spacing w:line="240" w:lineRule="auto" w:before="10" w:after="0"/>
                                    <w:ind w:left="612" w:right="0" w:hanging="213"/>
                                    <w:jc w:val="left"/>
                                    <w:rPr>
                                      <w:sz w:val="20"/>
                                    </w:rPr>
                                  </w:pPr>
                                  <w:r>
                                    <w:rPr>
                                      <w:color w:val="105C84"/>
                                      <w:sz w:val="20"/>
                                    </w:rPr>
                                    <w:t>Chronic</w:t>
                                  </w:r>
                                  <w:r>
                                    <w:rPr>
                                      <w:color w:val="105C84"/>
                                      <w:spacing w:val="1"/>
                                      <w:sz w:val="20"/>
                                    </w:rPr>
                                    <w:t> </w:t>
                                  </w:r>
                                  <w:r>
                                    <w:rPr>
                                      <w:color w:val="105C84"/>
                                      <w:sz w:val="20"/>
                                    </w:rPr>
                                    <w:t>disease</w:t>
                                  </w:r>
                                  <w:r>
                                    <w:rPr>
                                      <w:color w:val="105C84"/>
                                      <w:spacing w:val="3"/>
                                      <w:sz w:val="20"/>
                                    </w:rPr>
                                    <w:t> </w:t>
                                  </w:r>
                                  <w:r>
                                    <w:rPr>
                                      <w:color w:val="105C84"/>
                                      <w:sz w:val="20"/>
                                    </w:rPr>
                                    <w:t>preventative</w:t>
                                  </w:r>
                                  <w:r>
                                    <w:rPr>
                                      <w:color w:val="105C84"/>
                                      <w:spacing w:val="4"/>
                                      <w:sz w:val="20"/>
                                    </w:rPr>
                                    <w:t> </w:t>
                                  </w:r>
                                  <w:r>
                                    <w:rPr>
                                      <w:color w:val="105C84"/>
                                      <w:sz w:val="20"/>
                                    </w:rPr>
                                    <w:t>care</w:t>
                                  </w:r>
                                  <w:r>
                                    <w:rPr>
                                      <w:color w:val="105C84"/>
                                      <w:spacing w:val="3"/>
                                      <w:sz w:val="20"/>
                                    </w:rPr>
                                    <w:t> </w:t>
                                  </w:r>
                                  <w:r>
                                    <w:rPr>
                                      <w:color w:val="105C84"/>
                                      <w:sz w:val="20"/>
                                    </w:rPr>
                                    <w:t>and</w:t>
                                  </w:r>
                                  <w:r>
                                    <w:rPr>
                                      <w:color w:val="105C84"/>
                                      <w:spacing w:val="4"/>
                                      <w:sz w:val="20"/>
                                    </w:rPr>
                                    <w:t> </w:t>
                                  </w:r>
                                  <w:r>
                                    <w:rPr>
                                      <w:color w:val="105C84"/>
                                      <w:spacing w:val="-2"/>
                                      <w:sz w:val="20"/>
                                    </w:rPr>
                                    <w:t>management</w:t>
                                  </w:r>
                                </w:p>
                                <w:p>
                                  <w:pPr>
                                    <w:pStyle w:val="TableParagraph"/>
                                    <w:spacing w:before="170"/>
                                    <w:ind w:left="179"/>
                                    <w:rPr>
                                      <w:b/>
                                      <w:sz w:val="20"/>
                                    </w:rPr>
                                  </w:pPr>
                                  <w:r>
                                    <w:rPr>
                                      <w:b/>
                                      <w:color w:val="105C84"/>
                                      <w:sz w:val="20"/>
                                    </w:rPr>
                                    <w:t>Promote</w:t>
                                  </w:r>
                                  <w:r>
                                    <w:rPr>
                                      <w:b/>
                                      <w:color w:val="105C84"/>
                                      <w:spacing w:val="-2"/>
                                      <w:sz w:val="20"/>
                                    </w:rPr>
                                    <w:t> </w:t>
                                  </w:r>
                                  <w:r>
                                    <w:rPr>
                                      <w:b/>
                                      <w:color w:val="105C84"/>
                                      <w:sz w:val="20"/>
                                    </w:rPr>
                                    <w:t>Well-Being</w:t>
                                  </w:r>
                                  <w:r>
                                    <w:rPr>
                                      <w:b/>
                                      <w:color w:val="105C84"/>
                                      <w:spacing w:val="-1"/>
                                      <w:sz w:val="20"/>
                                    </w:rPr>
                                    <w:t> </w:t>
                                  </w:r>
                                  <w:r>
                                    <w:rPr>
                                      <w:b/>
                                      <w:color w:val="105C84"/>
                                      <w:sz w:val="20"/>
                                    </w:rPr>
                                    <w:t>and</w:t>
                                  </w:r>
                                  <w:r>
                                    <w:rPr>
                                      <w:b/>
                                      <w:color w:val="105C84"/>
                                      <w:spacing w:val="-1"/>
                                      <w:sz w:val="20"/>
                                    </w:rPr>
                                    <w:t> </w:t>
                                  </w:r>
                                  <w:r>
                                    <w:rPr>
                                      <w:b/>
                                      <w:color w:val="105C84"/>
                                      <w:sz w:val="20"/>
                                    </w:rPr>
                                    <w:t>Prevent</w:t>
                                  </w:r>
                                  <w:r>
                                    <w:rPr>
                                      <w:b/>
                                      <w:color w:val="105C84"/>
                                      <w:spacing w:val="-1"/>
                                      <w:sz w:val="20"/>
                                    </w:rPr>
                                    <w:t> </w:t>
                                  </w:r>
                                  <w:r>
                                    <w:rPr>
                                      <w:b/>
                                      <w:color w:val="105C84"/>
                                      <w:sz w:val="20"/>
                                    </w:rPr>
                                    <w:t>Mental</w:t>
                                  </w:r>
                                  <w:r>
                                    <w:rPr>
                                      <w:b/>
                                      <w:color w:val="105C84"/>
                                      <w:spacing w:val="-1"/>
                                      <w:sz w:val="20"/>
                                    </w:rPr>
                                    <w:t> </w:t>
                                  </w:r>
                                  <w:r>
                                    <w:rPr>
                                      <w:b/>
                                      <w:color w:val="105C84"/>
                                      <w:sz w:val="20"/>
                                    </w:rPr>
                                    <w:t>and</w:t>
                                  </w:r>
                                  <w:r>
                                    <w:rPr>
                                      <w:b/>
                                      <w:color w:val="105C84"/>
                                      <w:spacing w:val="-1"/>
                                      <w:sz w:val="20"/>
                                    </w:rPr>
                                    <w:t> </w:t>
                                  </w:r>
                                  <w:r>
                                    <w:rPr>
                                      <w:b/>
                                      <w:color w:val="105C84"/>
                                      <w:sz w:val="20"/>
                                    </w:rPr>
                                    <w:t>Substance</w:t>
                                  </w:r>
                                  <w:r>
                                    <w:rPr>
                                      <w:b/>
                                      <w:color w:val="105C84"/>
                                      <w:spacing w:val="-1"/>
                                      <w:sz w:val="20"/>
                                    </w:rPr>
                                    <w:t> </w:t>
                                  </w:r>
                                  <w:r>
                                    <w:rPr>
                                      <w:b/>
                                      <w:color w:val="105C84"/>
                                      <w:sz w:val="20"/>
                                    </w:rPr>
                                    <w:t>Use</w:t>
                                  </w:r>
                                  <w:r>
                                    <w:rPr>
                                      <w:b/>
                                      <w:color w:val="105C84"/>
                                      <w:spacing w:val="-1"/>
                                      <w:sz w:val="20"/>
                                    </w:rPr>
                                    <w:t> </w:t>
                                  </w:r>
                                  <w:r>
                                    <w:rPr>
                                      <w:b/>
                                      <w:color w:val="105C84"/>
                                      <w:spacing w:val="-2"/>
                                      <w:sz w:val="20"/>
                                    </w:rPr>
                                    <w:t>Disorders</w:t>
                                  </w:r>
                                </w:p>
                                <w:p>
                                  <w:pPr>
                                    <w:pStyle w:val="TableParagraph"/>
                                    <w:numPr>
                                      <w:ilvl w:val="0"/>
                                      <w:numId w:val="5"/>
                                    </w:numPr>
                                    <w:tabs>
                                      <w:tab w:pos="612" w:val="left" w:leader="none"/>
                                    </w:tabs>
                                    <w:spacing w:line="240" w:lineRule="auto" w:before="100" w:after="0"/>
                                    <w:ind w:left="612" w:right="0" w:hanging="213"/>
                                    <w:jc w:val="left"/>
                                    <w:rPr>
                                      <w:sz w:val="20"/>
                                    </w:rPr>
                                  </w:pPr>
                                  <w:r>
                                    <w:rPr>
                                      <w:color w:val="105C84"/>
                                      <w:sz w:val="20"/>
                                    </w:rPr>
                                    <w:t>Promote</w:t>
                                  </w:r>
                                  <w:r>
                                    <w:rPr>
                                      <w:color w:val="105C84"/>
                                      <w:spacing w:val="27"/>
                                      <w:sz w:val="20"/>
                                    </w:rPr>
                                    <w:t> </w:t>
                                  </w:r>
                                  <w:r>
                                    <w:rPr>
                                      <w:color w:val="105C84"/>
                                      <w:sz w:val="20"/>
                                    </w:rPr>
                                    <w:t>well-</w:t>
                                  </w:r>
                                  <w:r>
                                    <w:rPr>
                                      <w:color w:val="105C84"/>
                                      <w:spacing w:val="-2"/>
                                      <w:sz w:val="20"/>
                                    </w:rPr>
                                    <w:t>being</w:t>
                                  </w:r>
                                </w:p>
                                <w:p>
                                  <w:pPr>
                                    <w:pStyle w:val="TableParagraph"/>
                                    <w:numPr>
                                      <w:ilvl w:val="0"/>
                                      <w:numId w:val="5"/>
                                    </w:numPr>
                                    <w:tabs>
                                      <w:tab w:pos="612" w:val="left" w:leader="none"/>
                                    </w:tabs>
                                    <w:spacing w:line="240" w:lineRule="auto" w:before="10" w:after="0"/>
                                    <w:ind w:left="612" w:right="0" w:hanging="213"/>
                                    <w:jc w:val="left"/>
                                    <w:rPr>
                                      <w:sz w:val="20"/>
                                    </w:rPr>
                                  </w:pPr>
                                  <w:r>
                                    <w:rPr>
                                      <w:color w:val="105C84"/>
                                      <w:sz w:val="20"/>
                                    </w:rPr>
                                    <w:t>Mental</w:t>
                                  </w:r>
                                  <w:r>
                                    <w:rPr>
                                      <w:color w:val="105C84"/>
                                      <w:spacing w:val="4"/>
                                      <w:sz w:val="20"/>
                                    </w:rPr>
                                    <w:t> </w:t>
                                  </w:r>
                                  <w:r>
                                    <w:rPr>
                                      <w:color w:val="105C84"/>
                                      <w:sz w:val="20"/>
                                    </w:rPr>
                                    <w:t>and</w:t>
                                  </w:r>
                                  <w:r>
                                    <w:rPr>
                                      <w:color w:val="105C84"/>
                                      <w:spacing w:val="5"/>
                                      <w:sz w:val="20"/>
                                    </w:rPr>
                                    <w:t> </w:t>
                                  </w:r>
                                  <w:r>
                                    <w:rPr>
                                      <w:color w:val="105C84"/>
                                      <w:sz w:val="20"/>
                                    </w:rPr>
                                    <w:t>substance</w:t>
                                  </w:r>
                                  <w:r>
                                    <w:rPr>
                                      <w:color w:val="105C84"/>
                                      <w:spacing w:val="5"/>
                                      <w:sz w:val="20"/>
                                    </w:rPr>
                                    <w:t> </w:t>
                                  </w:r>
                                  <w:r>
                                    <w:rPr>
                                      <w:color w:val="105C84"/>
                                      <w:sz w:val="20"/>
                                    </w:rPr>
                                    <w:t>use</w:t>
                                  </w:r>
                                  <w:r>
                                    <w:rPr>
                                      <w:color w:val="105C84"/>
                                      <w:spacing w:val="4"/>
                                      <w:sz w:val="20"/>
                                    </w:rPr>
                                    <w:t> </w:t>
                                  </w:r>
                                  <w:r>
                                    <w:rPr>
                                      <w:color w:val="105C84"/>
                                      <w:sz w:val="20"/>
                                    </w:rPr>
                                    <w:t>disorders</w:t>
                                  </w:r>
                                  <w:r>
                                    <w:rPr>
                                      <w:color w:val="105C84"/>
                                      <w:spacing w:val="5"/>
                                      <w:sz w:val="20"/>
                                    </w:rPr>
                                    <w:t> </w:t>
                                  </w:r>
                                  <w:r>
                                    <w:rPr>
                                      <w:color w:val="105C84"/>
                                      <w:spacing w:val="-2"/>
                                      <w:sz w:val="20"/>
                                    </w:rPr>
                                    <w:t>prevention</w:t>
                                  </w:r>
                                </w:p>
                                <w:p>
                                  <w:pPr>
                                    <w:pStyle w:val="TableParagraph"/>
                                    <w:spacing w:before="80"/>
                                    <w:ind w:left="179"/>
                                    <w:rPr>
                                      <w:b/>
                                      <w:sz w:val="20"/>
                                    </w:rPr>
                                  </w:pPr>
                                  <w:r>
                                    <w:rPr>
                                      <w:b/>
                                      <w:color w:val="00A79E"/>
                                      <w:sz w:val="20"/>
                                    </w:rPr>
                                    <w:t>Disparity:</w:t>
                                  </w:r>
                                  <w:r>
                                    <w:rPr>
                                      <w:b/>
                                      <w:color w:val="00A79E"/>
                                      <w:spacing w:val="-10"/>
                                      <w:sz w:val="20"/>
                                    </w:rPr>
                                    <w:t> </w:t>
                                  </w:r>
                                  <w:r>
                                    <w:rPr>
                                      <w:b/>
                                      <w:color w:val="00A79E"/>
                                      <w:sz w:val="20"/>
                                    </w:rPr>
                                    <w:t>low</w:t>
                                  </w:r>
                                  <w:r>
                                    <w:rPr>
                                      <w:b/>
                                      <w:color w:val="00A79E"/>
                                      <w:spacing w:val="-9"/>
                                      <w:sz w:val="20"/>
                                    </w:rPr>
                                    <w:t> </w:t>
                                  </w:r>
                                  <w:r>
                                    <w:rPr>
                                      <w:b/>
                                      <w:color w:val="00A79E"/>
                                      <w:sz w:val="20"/>
                                    </w:rPr>
                                    <w:t>socioeconomic</w:t>
                                  </w:r>
                                  <w:r>
                                    <w:rPr>
                                      <w:b/>
                                      <w:color w:val="00A79E"/>
                                      <w:spacing w:val="-9"/>
                                      <w:sz w:val="20"/>
                                    </w:rPr>
                                    <w:t> </w:t>
                                  </w:r>
                                  <w:r>
                                    <w:rPr>
                                      <w:b/>
                                      <w:color w:val="00A79E"/>
                                      <w:sz w:val="20"/>
                                    </w:rPr>
                                    <w:t>status</w:t>
                                  </w:r>
                                  <w:r>
                                    <w:rPr>
                                      <w:b/>
                                      <w:color w:val="00A79E"/>
                                      <w:spacing w:val="-9"/>
                                      <w:sz w:val="20"/>
                                    </w:rPr>
                                    <w:t> </w:t>
                                  </w:r>
                                  <w:r>
                                    <w:rPr>
                                      <w:b/>
                                      <w:color w:val="00A79E"/>
                                      <w:sz w:val="20"/>
                                    </w:rPr>
                                    <w:t>and</w:t>
                                  </w:r>
                                  <w:r>
                                    <w:rPr>
                                      <w:b/>
                                      <w:color w:val="00A79E"/>
                                      <w:spacing w:val="-9"/>
                                      <w:sz w:val="20"/>
                                    </w:rPr>
                                    <w:t> </w:t>
                                  </w:r>
                                  <w:r>
                                    <w:rPr>
                                      <w:b/>
                                      <w:color w:val="00A79E"/>
                                      <w:sz w:val="20"/>
                                    </w:rPr>
                                    <w:t>older</w:t>
                                  </w:r>
                                  <w:r>
                                    <w:rPr>
                                      <w:b/>
                                      <w:color w:val="00A79E"/>
                                      <w:spacing w:val="-9"/>
                                      <w:sz w:val="20"/>
                                    </w:rPr>
                                    <w:t> </w:t>
                                  </w:r>
                                  <w:r>
                                    <w:rPr>
                                      <w:b/>
                                      <w:color w:val="00A79E"/>
                                      <w:spacing w:val="-2"/>
                                      <w:sz w:val="20"/>
                                    </w:rPr>
                                    <w:t>adults</w:t>
                                  </w:r>
                                </w:p>
                              </w:tc>
                            </w:tr>
                            <w:tr>
                              <w:trPr>
                                <w:trHeight w:val="2795" w:hRule="atLeast"/>
                              </w:trPr>
                              <w:tc>
                                <w:tcPr>
                                  <w:tcW w:w="2388" w:type="dxa"/>
                                </w:tcPr>
                                <w:p>
                                  <w:pPr>
                                    <w:pStyle w:val="TableParagraph"/>
                                    <w:spacing w:before="100"/>
                                    <w:ind w:left="179"/>
                                    <w:rPr>
                                      <w:b/>
                                      <w:sz w:val="20"/>
                                    </w:rPr>
                                  </w:pPr>
                                  <w:r>
                                    <w:rPr>
                                      <w:b/>
                                      <w:color w:val="105C84"/>
                                      <w:sz w:val="20"/>
                                    </w:rPr>
                                    <w:t>Ontario</w:t>
                                  </w:r>
                                  <w:r>
                                    <w:rPr>
                                      <w:b/>
                                      <w:color w:val="105C84"/>
                                      <w:spacing w:val="26"/>
                                      <w:sz w:val="20"/>
                                    </w:rPr>
                                    <w:t> </w:t>
                                  </w:r>
                                  <w:r>
                                    <w:rPr>
                                      <w:b/>
                                      <w:color w:val="105C84"/>
                                      <w:spacing w:val="-2"/>
                                      <w:sz w:val="20"/>
                                    </w:rPr>
                                    <w:t>County</w:t>
                                  </w:r>
                                </w:p>
                              </w:tc>
                              <w:tc>
                                <w:tcPr>
                                  <w:tcW w:w="7673" w:type="dxa"/>
                                </w:tcPr>
                                <w:p>
                                  <w:pPr>
                                    <w:pStyle w:val="TableParagraph"/>
                                    <w:spacing w:before="100"/>
                                    <w:ind w:left="179"/>
                                    <w:rPr>
                                      <w:b/>
                                      <w:sz w:val="20"/>
                                    </w:rPr>
                                  </w:pPr>
                                  <w:r>
                                    <w:rPr>
                                      <w:b/>
                                      <w:color w:val="105C84"/>
                                      <w:spacing w:val="-2"/>
                                      <w:sz w:val="20"/>
                                    </w:rPr>
                                    <w:t>Prevent</w:t>
                                  </w:r>
                                  <w:r>
                                    <w:rPr>
                                      <w:b/>
                                      <w:color w:val="105C84"/>
                                      <w:spacing w:val="-1"/>
                                      <w:sz w:val="20"/>
                                    </w:rPr>
                                    <w:t> </w:t>
                                  </w:r>
                                  <w:r>
                                    <w:rPr>
                                      <w:b/>
                                      <w:color w:val="105C84"/>
                                      <w:spacing w:val="-2"/>
                                      <w:sz w:val="20"/>
                                    </w:rPr>
                                    <w:t>Chronic</w:t>
                                  </w:r>
                                  <w:r>
                                    <w:rPr>
                                      <w:b/>
                                      <w:color w:val="105C84"/>
                                      <w:sz w:val="20"/>
                                    </w:rPr>
                                    <w:t> </w:t>
                                  </w:r>
                                  <w:r>
                                    <w:rPr>
                                      <w:b/>
                                      <w:color w:val="105C84"/>
                                      <w:spacing w:val="-2"/>
                                      <w:sz w:val="20"/>
                                    </w:rPr>
                                    <w:t>Diseases</w:t>
                                  </w:r>
                                </w:p>
                                <w:p>
                                  <w:pPr>
                                    <w:pStyle w:val="TableParagraph"/>
                                    <w:numPr>
                                      <w:ilvl w:val="0"/>
                                      <w:numId w:val="6"/>
                                    </w:numPr>
                                    <w:tabs>
                                      <w:tab w:pos="612" w:val="left" w:leader="none"/>
                                    </w:tabs>
                                    <w:spacing w:line="240" w:lineRule="auto" w:before="100" w:after="0"/>
                                    <w:ind w:left="612" w:right="0" w:hanging="213"/>
                                    <w:jc w:val="left"/>
                                    <w:rPr>
                                      <w:sz w:val="20"/>
                                    </w:rPr>
                                  </w:pPr>
                                  <w:r>
                                    <w:rPr>
                                      <w:color w:val="105C84"/>
                                      <w:sz w:val="20"/>
                                    </w:rPr>
                                    <w:t>Chronic</w:t>
                                  </w:r>
                                  <w:r>
                                    <w:rPr>
                                      <w:color w:val="105C84"/>
                                      <w:spacing w:val="1"/>
                                      <w:sz w:val="20"/>
                                    </w:rPr>
                                    <w:t> </w:t>
                                  </w:r>
                                  <w:r>
                                    <w:rPr>
                                      <w:color w:val="105C84"/>
                                      <w:sz w:val="20"/>
                                    </w:rPr>
                                    <w:t>disease</w:t>
                                  </w:r>
                                  <w:r>
                                    <w:rPr>
                                      <w:color w:val="105C84"/>
                                      <w:spacing w:val="3"/>
                                      <w:sz w:val="20"/>
                                    </w:rPr>
                                    <w:t> </w:t>
                                  </w:r>
                                  <w:r>
                                    <w:rPr>
                                      <w:color w:val="105C84"/>
                                      <w:sz w:val="20"/>
                                    </w:rPr>
                                    <w:t>preventative</w:t>
                                  </w:r>
                                  <w:r>
                                    <w:rPr>
                                      <w:color w:val="105C84"/>
                                      <w:spacing w:val="4"/>
                                      <w:sz w:val="20"/>
                                    </w:rPr>
                                    <w:t> </w:t>
                                  </w:r>
                                  <w:r>
                                    <w:rPr>
                                      <w:color w:val="105C84"/>
                                      <w:sz w:val="20"/>
                                    </w:rPr>
                                    <w:t>care</w:t>
                                  </w:r>
                                  <w:r>
                                    <w:rPr>
                                      <w:color w:val="105C84"/>
                                      <w:spacing w:val="3"/>
                                      <w:sz w:val="20"/>
                                    </w:rPr>
                                    <w:t> </w:t>
                                  </w:r>
                                  <w:r>
                                    <w:rPr>
                                      <w:color w:val="105C84"/>
                                      <w:sz w:val="20"/>
                                    </w:rPr>
                                    <w:t>and</w:t>
                                  </w:r>
                                  <w:r>
                                    <w:rPr>
                                      <w:color w:val="105C84"/>
                                      <w:spacing w:val="4"/>
                                      <w:sz w:val="20"/>
                                    </w:rPr>
                                    <w:t> </w:t>
                                  </w:r>
                                  <w:r>
                                    <w:rPr>
                                      <w:color w:val="105C84"/>
                                      <w:spacing w:val="-2"/>
                                      <w:sz w:val="20"/>
                                    </w:rPr>
                                    <w:t>management</w:t>
                                  </w:r>
                                </w:p>
                                <w:p>
                                  <w:pPr>
                                    <w:pStyle w:val="TableParagraph"/>
                                    <w:numPr>
                                      <w:ilvl w:val="0"/>
                                      <w:numId w:val="6"/>
                                    </w:numPr>
                                    <w:tabs>
                                      <w:tab w:pos="613" w:val="left" w:leader="none"/>
                                    </w:tabs>
                                    <w:spacing w:line="240" w:lineRule="auto" w:before="10" w:after="0"/>
                                    <w:ind w:left="613" w:right="0" w:hanging="213"/>
                                    <w:jc w:val="left"/>
                                    <w:rPr>
                                      <w:sz w:val="20"/>
                                    </w:rPr>
                                  </w:pPr>
                                  <w:r>
                                    <w:rPr>
                                      <w:color w:val="105C84"/>
                                      <w:sz w:val="20"/>
                                    </w:rPr>
                                    <w:t>Tobacco</w:t>
                                  </w:r>
                                  <w:r>
                                    <w:rPr>
                                      <w:color w:val="105C84"/>
                                      <w:spacing w:val="-13"/>
                                      <w:sz w:val="20"/>
                                    </w:rPr>
                                    <w:t> </w:t>
                                  </w:r>
                                  <w:r>
                                    <w:rPr>
                                      <w:color w:val="105C84"/>
                                      <w:spacing w:val="-2"/>
                                      <w:sz w:val="20"/>
                                    </w:rPr>
                                    <w:t>prevention</w:t>
                                  </w:r>
                                </w:p>
                                <w:p>
                                  <w:pPr>
                                    <w:pStyle w:val="TableParagraph"/>
                                    <w:numPr>
                                      <w:ilvl w:val="0"/>
                                      <w:numId w:val="6"/>
                                    </w:numPr>
                                    <w:tabs>
                                      <w:tab w:pos="613" w:val="left" w:leader="none"/>
                                    </w:tabs>
                                    <w:spacing w:line="240" w:lineRule="auto" w:before="10" w:after="0"/>
                                    <w:ind w:left="613" w:right="0" w:hanging="213"/>
                                    <w:jc w:val="left"/>
                                    <w:rPr>
                                      <w:sz w:val="20"/>
                                    </w:rPr>
                                  </w:pPr>
                                  <w:r>
                                    <w:rPr>
                                      <w:color w:val="105C84"/>
                                      <w:sz w:val="20"/>
                                    </w:rPr>
                                    <w:t>Healthy</w:t>
                                  </w:r>
                                  <w:r>
                                    <w:rPr>
                                      <w:color w:val="105C84"/>
                                      <w:spacing w:val="19"/>
                                      <w:sz w:val="20"/>
                                    </w:rPr>
                                    <w:t> </w:t>
                                  </w:r>
                                  <w:r>
                                    <w:rPr>
                                      <w:color w:val="105C84"/>
                                      <w:sz w:val="20"/>
                                    </w:rPr>
                                    <w:t>eating</w:t>
                                  </w:r>
                                  <w:r>
                                    <w:rPr>
                                      <w:color w:val="105C84"/>
                                      <w:spacing w:val="19"/>
                                      <w:sz w:val="20"/>
                                    </w:rPr>
                                    <w:t> </w:t>
                                  </w:r>
                                  <w:r>
                                    <w:rPr>
                                      <w:color w:val="105C84"/>
                                      <w:sz w:val="20"/>
                                    </w:rPr>
                                    <w:t>and</w:t>
                                  </w:r>
                                  <w:r>
                                    <w:rPr>
                                      <w:color w:val="105C84"/>
                                      <w:spacing w:val="19"/>
                                      <w:sz w:val="20"/>
                                    </w:rPr>
                                    <w:t> </w:t>
                                  </w:r>
                                  <w:r>
                                    <w:rPr>
                                      <w:color w:val="105C84"/>
                                      <w:sz w:val="20"/>
                                    </w:rPr>
                                    <w:t>food</w:t>
                                  </w:r>
                                  <w:r>
                                    <w:rPr>
                                      <w:color w:val="105C84"/>
                                      <w:spacing w:val="19"/>
                                      <w:sz w:val="20"/>
                                    </w:rPr>
                                    <w:t> </w:t>
                                  </w:r>
                                  <w:r>
                                    <w:rPr>
                                      <w:color w:val="105C84"/>
                                      <w:spacing w:val="-2"/>
                                      <w:sz w:val="20"/>
                                    </w:rPr>
                                    <w:t>security</w:t>
                                  </w:r>
                                </w:p>
                                <w:p>
                                  <w:pPr>
                                    <w:pStyle w:val="TableParagraph"/>
                                    <w:spacing w:before="170"/>
                                    <w:ind w:left="180"/>
                                    <w:rPr>
                                      <w:b/>
                                      <w:sz w:val="20"/>
                                    </w:rPr>
                                  </w:pPr>
                                  <w:r>
                                    <w:rPr>
                                      <w:b/>
                                      <w:color w:val="105C84"/>
                                      <w:sz w:val="20"/>
                                    </w:rPr>
                                    <w:t>Promote</w:t>
                                  </w:r>
                                  <w:r>
                                    <w:rPr>
                                      <w:b/>
                                      <w:color w:val="105C84"/>
                                      <w:spacing w:val="-2"/>
                                      <w:sz w:val="20"/>
                                    </w:rPr>
                                    <w:t> </w:t>
                                  </w:r>
                                  <w:r>
                                    <w:rPr>
                                      <w:b/>
                                      <w:color w:val="105C84"/>
                                      <w:sz w:val="20"/>
                                    </w:rPr>
                                    <w:t>Well-Being</w:t>
                                  </w:r>
                                  <w:r>
                                    <w:rPr>
                                      <w:b/>
                                      <w:color w:val="105C84"/>
                                      <w:spacing w:val="-1"/>
                                      <w:sz w:val="20"/>
                                    </w:rPr>
                                    <w:t> </w:t>
                                  </w:r>
                                  <w:r>
                                    <w:rPr>
                                      <w:b/>
                                      <w:color w:val="105C84"/>
                                      <w:sz w:val="20"/>
                                    </w:rPr>
                                    <w:t>and</w:t>
                                  </w:r>
                                  <w:r>
                                    <w:rPr>
                                      <w:b/>
                                      <w:color w:val="105C84"/>
                                      <w:spacing w:val="-1"/>
                                      <w:sz w:val="20"/>
                                    </w:rPr>
                                    <w:t> </w:t>
                                  </w:r>
                                  <w:r>
                                    <w:rPr>
                                      <w:b/>
                                      <w:color w:val="105C84"/>
                                      <w:sz w:val="20"/>
                                    </w:rPr>
                                    <w:t>Prevent</w:t>
                                  </w:r>
                                  <w:r>
                                    <w:rPr>
                                      <w:b/>
                                      <w:color w:val="105C84"/>
                                      <w:spacing w:val="-1"/>
                                      <w:sz w:val="20"/>
                                    </w:rPr>
                                    <w:t> </w:t>
                                  </w:r>
                                  <w:r>
                                    <w:rPr>
                                      <w:b/>
                                      <w:color w:val="105C84"/>
                                      <w:sz w:val="20"/>
                                    </w:rPr>
                                    <w:t>Mental</w:t>
                                  </w:r>
                                  <w:r>
                                    <w:rPr>
                                      <w:b/>
                                      <w:color w:val="105C84"/>
                                      <w:spacing w:val="-1"/>
                                      <w:sz w:val="20"/>
                                    </w:rPr>
                                    <w:t> </w:t>
                                  </w:r>
                                  <w:r>
                                    <w:rPr>
                                      <w:b/>
                                      <w:color w:val="105C84"/>
                                      <w:sz w:val="20"/>
                                    </w:rPr>
                                    <w:t>and</w:t>
                                  </w:r>
                                  <w:r>
                                    <w:rPr>
                                      <w:b/>
                                      <w:color w:val="105C84"/>
                                      <w:spacing w:val="-1"/>
                                      <w:sz w:val="20"/>
                                    </w:rPr>
                                    <w:t> </w:t>
                                  </w:r>
                                  <w:r>
                                    <w:rPr>
                                      <w:b/>
                                      <w:color w:val="105C84"/>
                                      <w:sz w:val="20"/>
                                    </w:rPr>
                                    <w:t>Substance</w:t>
                                  </w:r>
                                  <w:r>
                                    <w:rPr>
                                      <w:b/>
                                      <w:color w:val="105C84"/>
                                      <w:spacing w:val="-1"/>
                                      <w:sz w:val="20"/>
                                    </w:rPr>
                                    <w:t> </w:t>
                                  </w:r>
                                  <w:r>
                                    <w:rPr>
                                      <w:b/>
                                      <w:color w:val="105C84"/>
                                      <w:sz w:val="20"/>
                                    </w:rPr>
                                    <w:t>Use</w:t>
                                  </w:r>
                                  <w:r>
                                    <w:rPr>
                                      <w:b/>
                                      <w:color w:val="105C84"/>
                                      <w:spacing w:val="-1"/>
                                      <w:sz w:val="20"/>
                                    </w:rPr>
                                    <w:t> </w:t>
                                  </w:r>
                                  <w:r>
                                    <w:rPr>
                                      <w:b/>
                                      <w:color w:val="105C84"/>
                                      <w:spacing w:val="-2"/>
                                      <w:sz w:val="20"/>
                                    </w:rPr>
                                    <w:t>Disorders</w:t>
                                  </w:r>
                                </w:p>
                                <w:p>
                                  <w:pPr>
                                    <w:pStyle w:val="TableParagraph"/>
                                    <w:numPr>
                                      <w:ilvl w:val="0"/>
                                      <w:numId w:val="6"/>
                                    </w:numPr>
                                    <w:tabs>
                                      <w:tab w:pos="613" w:val="left" w:leader="none"/>
                                    </w:tabs>
                                    <w:spacing w:line="240" w:lineRule="auto" w:before="100" w:after="0"/>
                                    <w:ind w:left="613" w:right="0" w:hanging="213"/>
                                    <w:jc w:val="left"/>
                                    <w:rPr>
                                      <w:sz w:val="20"/>
                                    </w:rPr>
                                  </w:pPr>
                                  <w:r>
                                    <w:rPr>
                                      <w:color w:val="105C84"/>
                                      <w:sz w:val="20"/>
                                    </w:rPr>
                                    <w:t>Promote</w:t>
                                  </w:r>
                                  <w:r>
                                    <w:rPr>
                                      <w:color w:val="105C84"/>
                                      <w:spacing w:val="27"/>
                                      <w:sz w:val="20"/>
                                    </w:rPr>
                                    <w:t> </w:t>
                                  </w:r>
                                  <w:r>
                                    <w:rPr>
                                      <w:color w:val="105C84"/>
                                      <w:sz w:val="20"/>
                                    </w:rPr>
                                    <w:t>well-</w:t>
                                  </w:r>
                                  <w:r>
                                    <w:rPr>
                                      <w:color w:val="105C84"/>
                                      <w:spacing w:val="-2"/>
                                      <w:sz w:val="20"/>
                                    </w:rPr>
                                    <w:t>being</w:t>
                                  </w:r>
                                </w:p>
                                <w:p>
                                  <w:pPr>
                                    <w:pStyle w:val="TableParagraph"/>
                                    <w:numPr>
                                      <w:ilvl w:val="0"/>
                                      <w:numId w:val="6"/>
                                    </w:numPr>
                                    <w:tabs>
                                      <w:tab w:pos="613" w:val="left" w:leader="none"/>
                                    </w:tabs>
                                    <w:spacing w:line="249" w:lineRule="auto" w:before="10" w:after="0"/>
                                    <w:ind w:left="400" w:right="734" w:firstLine="0"/>
                                    <w:jc w:val="left"/>
                                    <w:rPr>
                                      <w:sz w:val="20"/>
                                    </w:rPr>
                                  </w:pPr>
                                  <w:r>
                                    <w:rPr>
                                      <w:color w:val="105C84"/>
                                      <w:sz w:val="20"/>
                                    </w:rPr>
                                    <w:t>Strengthen opportunities to build well-being and resilience across </w:t>
                                  </w:r>
                                  <w:r>
                                    <w:rPr>
                                      <w:color w:val="105C84"/>
                                      <w:sz w:val="20"/>
                                    </w:rPr>
                                    <w:t>the </w:t>
                                  </w:r>
                                  <w:r>
                                    <w:rPr>
                                      <w:color w:val="105C84"/>
                                      <w:spacing w:val="-2"/>
                                      <w:w w:val="105"/>
                                      <w:sz w:val="20"/>
                                    </w:rPr>
                                    <w:t>lifespan</w:t>
                                  </w:r>
                                </w:p>
                                <w:p>
                                  <w:pPr>
                                    <w:pStyle w:val="TableParagraph"/>
                                    <w:spacing w:before="71"/>
                                    <w:ind w:left="180"/>
                                    <w:rPr>
                                      <w:b/>
                                      <w:sz w:val="20"/>
                                    </w:rPr>
                                  </w:pPr>
                                  <w:r>
                                    <w:rPr>
                                      <w:b/>
                                      <w:color w:val="00A79E"/>
                                      <w:sz w:val="20"/>
                                    </w:rPr>
                                    <w:t>Disparity: low</w:t>
                                  </w:r>
                                  <w:r>
                                    <w:rPr>
                                      <w:b/>
                                      <w:color w:val="00A79E"/>
                                      <w:spacing w:val="3"/>
                                      <w:sz w:val="20"/>
                                    </w:rPr>
                                    <w:t> </w:t>
                                  </w:r>
                                  <w:r>
                                    <w:rPr>
                                      <w:b/>
                                      <w:color w:val="00A79E"/>
                                      <w:spacing w:val="-2"/>
                                      <w:sz w:val="20"/>
                                    </w:rPr>
                                    <w:t>income</w:t>
                                  </w:r>
                                </w:p>
                              </w:tc>
                            </w:tr>
                            <w:tr>
                              <w:trPr>
                                <w:trHeight w:val="1835" w:hRule="atLeast"/>
                              </w:trPr>
                              <w:tc>
                                <w:tcPr>
                                  <w:tcW w:w="2388" w:type="dxa"/>
                                  <w:shd w:val="clear" w:color="auto" w:fill="EFEFF0"/>
                                </w:tcPr>
                                <w:p>
                                  <w:pPr>
                                    <w:pStyle w:val="TableParagraph"/>
                                    <w:spacing w:before="100"/>
                                    <w:ind w:left="180"/>
                                    <w:rPr>
                                      <w:b/>
                                      <w:sz w:val="20"/>
                                    </w:rPr>
                                  </w:pPr>
                                  <w:r>
                                    <w:rPr>
                                      <w:b/>
                                      <w:color w:val="105C84"/>
                                      <w:spacing w:val="-5"/>
                                      <w:sz w:val="20"/>
                                    </w:rPr>
                                    <w:t>Schuyler</w:t>
                                  </w:r>
                                  <w:r>
                                    <w:rPr>
                                      <w:b/>
                                      <w:color w:val="105C84"/>
                                      <w:spacing w:val="1"/>
                                      <w:sz w:val="20"/>
                                    </w:rPr>
                                    <w:t> </w:t>
                                  </w:r>
                                  <w:r>
                                    <w:rPr>
                                      <w:b/>
                                      <w:color w:val="105C84"/>
                                      <w:spacing w:val="-2"/>
                                      <w:sz w:val="20"/>
                                    </w:rPr>
                                    <w:t>County</w:t>
                                  </w:r>
                                </w:p>
                              </w:tc>
                              <w:tc>
                                <w:tcPr>
                                  <w:tcW w:w="7673" w:type="dxa"/>
                                  <w:shd w:val="clear" w:color="auto" w:fill="EFEFF0"/>
                                </w:tcPr>
                                <w:p>
                                  <w:pPr>
                                    <w:pStyle w:val="TableParagraph"/>
                                    <w:spacing w:before="100"/>
                                    <w:ind w:left="180"/>
                                    <w:rPr>
                                      <w:b/>
                                      <w:sz w:val="20"/>
                                    </w:rPr>
                                  </w:pPr>
                                  <w:r>
                                    <w:rPr>
                                      <w:b/>
                                      <w:color w:val="105C84"/>
                                      <w:spacing w:val="-2"/>
                                      <w:sz w:val="20"/>
                                    </w:rPr>
                                    <w:t>Prevent</w:t>
                                  </w:r>
                                  <w:r>
                                    <w:rPr>
                                      <w:b/>
                                      <w:color w:val="105C84"/>
                                      <w:spacing w:val="-1"/>
                                      <w:sz w:val="20"/>
                                    </w:rPr>
                                    <w:t> </w:t>
                                  </w:r>
                                  <w:r>
                                    <w:rPr>
                                      <w:b/>
                                      <w:color w:val="105C84"/>
                                      <w:spacing w:val="-2"/>
                                      <w:sz w:val="20"/>
                                    </w:rPr>
                                    <w:t>Chronic</w:t>
                                  </w:r>
                                  <w:r>
                                    <w:rPr>
                                      <w:b/>
                                      <w:color w:val="105C84"/>
                                      <w:sz w:val="20"/>
                                    </w:rPr>
                                    <w:t> </w:t>
                                  </w:r>
                                  <w:r>
                                    <w:rPr>
                                      <w:b/>
                                      <w:color w:val="105C84"/>
                                      <w:spacing w:val="-2"/>
                                      <w:sz w:val="20"/>
                                    </w:rPr>
                                    <w:t>Diseases</w:t>
                                  </w:r>
                                </w:p>
                                <w:p>
                                  <w:pPr>
                                    <w:pStyle w:val="TableParagraph"/>
                                    <w:numPr>
                                      <w:ilvl w:val="0"/>
                                      <w:numId w:val="7"/>
                                    </w:numPr>
                                    <w:tabs>
                                      <w:tab w:pos="613" w:val="left" w:leader="none"/>
                                    </w:tabs>
                                    <w:spacing w:line="240" w:lineRule="auto" w:before="100" w:after="0"/>
                                    <w:ind w:left="613" w:right="0" w:hanging="213"/>
                                    <w:jc w:val="left"/>
                                    <w:rPr>
                                      <w:sz w:val="20"/>
                                    </w:rPr>
                                  </w:pPr>
                                  <w:r>
                                    <w:rPr>
                                      <w:color w:val="105C84"/>
                                      <w:sz w:val="20"/>
                                    </w:rPr>
                                    <w:t>Chronic</w:t>
                                  </w:r>
                                  <w:r>
                                    <w:rPr>
                                      <w:color w:val="105C84"/>
                                      <w:spacing w:val="1"/>
                                      <w:sz w:val="20"/>
                                    </w:rPr>
                                    <w:t> </w:t>
                                  </w:r>
                                  <w:r>
                                    <w:rPr>
                                      <w:color w:val="105C84"/>
                                      <w:sz w:val="20"/>
                                    </w:rPr>
                                    <w:t>disease</w:t>
                                  </w:r>
                                  <w:r>
                                    <w:rPr>
                                      <w:color w:val="105C84"/>
                                      <w:spacing w:val="3"/>
                                      <w:sz w:val="20"/>
                                    </w:rPr>
                                    <w:t> </w:t>
                                  </w:r>
                                  <w:r>
                                    <w:rPr>
                                      <w:color w:val="105C84"/>
                                      <w:sz w:val="20"/>
                                    </w:rPr>
                                    <w:t>preventative</w:t>
                                  </w:r>
                                  <w:r>
                                    <w:rPr>
                                      <w:color w:val="105C84"/>
                                      <w:spacing w:val="4"/>
                                      <w:sz w:val="20"/>
                                    </w:rPr>
                                    <w:t> </w:t>
                                  </w:r>
                                  <w:r>
                                    <w:rPr>
                                      <w:color w:val="105C84"/>
                                      <w:sz w:val="20"/>
                                    </w:rPr>
                                    <w:t>care</w:t>
                                  </w:r>
                                  <w:r>
                                    <w:rPr>
                                      <w:color w:val="105C84"/>
                                      <w:spacing w:val="3"/>
                                      <w:sz w:val="20"/>
                                    </w:rPr>
                                    <w:t> </w:t>
                                  </w:r>
                                  <w:r>
                                    <w:rPr>
                                      <w:color w:val="105C84"/>
                                      <w:sz w:val="20"/>
                                    </w:rPr>
                                    <w:t>and</w:t>
                                  </w:r>
                                  <w:r>
                                    <w:rPr>
                                      <w:color w:val="105C84"/>
                                      <w:spacing w:val="4"/>
                                      <w:sz w:val="20"/>
                                    </w:rPr>
                                    <w:t> </w:t>
                                  </w:r>
                                  <w:r>
                                    <w:rPr>
                                      <w:color w:val="105C84"/>
                                      <w:spacing w:val="-2"/>
                                      <w:sz w:val="20"/>
                                    </w:rPr>
                                    <w:t>management</w:t>
                                  </w:r>
                                </w:p>
                                <w:p>
                                  <w:pPr>
                                    <w:pStyle w:val="TableParagraph"/>
                                    <w:spacing w:before="170"/>
                                    <w:ind w:left="180"/>
                                    <w:rPr>
                                      <w:b/>
                                      <w:sz w:val="20"/>
                                    </w:rPr>
                                  </w:pPr>
                                  <w:r>
                                    <w:rPr>
                                      <w:b/>
                                      <w:color w:val="105C84"/>
                                      <w:sz w:val="20"/>
                                    </w:rPr>
                                    <w:t>Promote</w:t>
                                  </w:r>
                                  <w:r>
                                    <w:rPr>
                                      <w:b/>
                                      <w:color w:val="105C84"/>
                                      <w:spacing w:val="-2"/>
                                      <w:sz w:val="20"/>
                                    </w:rPr>
                                    <w:t> </w:t>
                                  </w:r>
                                  <w:r>
                                    <w:rPr>
                                      <w:b/>
                                      <w:color w:val="105C84"/>
                                      <w:sz w:val="20"/>
                                    </w:rPr>
                                    <w:t>Well-Being</w:t>
                                  </w:r>
                                  <w:r>
                                    <w:rPr>
                                      <w:b/>
                                      <w:color w:val="105C84"/>
                                      <w:spacing w:val="-1"/>
                                      <w:sz w:val="20"/>
                                    </w:rPr>
                                    <w:t> </w:t>
                                  </w:r>
                                  <w:r>
                                    <w:rPr>
                                      <w:b/>
                                      <w:color w:val="105C84"/>
                                      <w:sz w:val="20"/>
                                    </w:rPr>
                                    <w:t>and</w:t>
                                  </w:r>
                                  <w:r>
                                    <w:rPr>
                                      <w:b/>
                                      <w:color w:val="105C84"/>
                                      <w:spacing w:val="-1"/>
                                      <w:sz w:val="20"/>
                                    </w:rPr>
                                    <w:t> </w:t>
                                  </w:r>
                                  <w:r>
                                    <w:rPr>
                                      <w:b/>
                                      <w:color w:val="105C84"/>
                                      <w:sz w:val="20"/>
                                    </w:rPr>
                                    <w:t>Prevent</w:t>
                                  </w:r>
                                  <w:r>
                                    <w:rPr>
                                      <w:b/>
                                      <w:color w:val="105C84"/>
                                      <w:spacing w:val="-1"/>
                                      <w:sz w:val="20"/>
                                    </w:rPr>
                                    <w:t> </w:t>
                                  </w:r>
                                  <w:r>
                                    <w:rPr>
                                      <w:b/>
                                      <w:color w:val="105C84"/>
                                      <w:sz w:val="20"/>
                                    </w:rPr>
                                    <w:t>Mental</w:t>
                                  </w:r>
                                  <w:r>
                                    <w:rPr>
                                      <w:b/>
                                      <w:color w:val="105C84"/>
                                      <w:spacing w:val="-1"/>
                                      <w:sz w:val="20"/>
                                    </w:rPr>
                                    <w:t> </w:t>
                                  </w:r>
                                  <w:r>
                                    <w:rPr>
                                      <w:b/>
                                      <w:color w:val="105C84"/>
                                      <w:sz w:val="20"/>
                                    </w:rPr>
                                    <w:t>and</w:t>
                                  </w:r>
                                  <w:r>
                                    <w:rPr>
                                      <w:b/>
                                      <w:color w:val="105C84"/>
                                      <w:spacing w:val="-1"/>
                                      <w:sz w:val="20"/>
                                    </w:rPr>
                                    <w:t> </w:t>
                                  </w:r>
                                  <w:r>
                                    <w:rPr>
                                      <w:b/>
                                      <w:color w:val="105C84"/>
                                      <w:sz w:val="20"/>
                                    </w:rPr>
                                    <w:t>Substance</w:t>
                                  </w:r>
                                  <w:r>
                                    <w:rPr>
                                      <w:b/>
                                      <w:color w:val="105C84"/>
                                      <w:spacing w:val="-1"/>
                                      <w:sz w:val="20"/>
                                    </w:rPr>
                                    <w:t> </w:t>
                                  </w:r>
                                  <w:r>
                                    <w:rPr>
                                      <w:b/>
                                      <w:color w:val="105C84"/>
                                      <w:sz w:val="20"/>
                                    </w:rPr>
                                    <w:t>Use</w:t>
                                  </w:r>
                                  <w:r>
                                    <w:rPr>
                                      <w:b/>
                                      <w:color w:val="105C84"/>
                                      <w:spacing w:val="-1"/>
                                      <w:sz w:val="20"/>
                                    </w:rPr>
                                    <w:t> </w:t>
                                  </w:r>
                                  <w:r>
                                    <w:rPr>
                                      <w:b/>
                                      <w:color w:val="105C84"/>
                                      <w:spacing w:val="-2"/>
                                      <w:sz w:val="20"/>
                                    </w:rPr>
                                    <w:t>Disorders</w:t>
                                  </w:r>
                                </w:p>
                                <w:p>
                                  <w:pPr>
                                    <w:pStyle w:val="TableParagraph"/>
                                    <w:numPr>
                                      <w:ilvl w:val="0"/>
                                      <w:numId w:val="7"/>
                                    </w:numPr>
                                    <w:tabs>
                                      <w:tab w:pos="613" w:val="left" w:leader="none"/>
                                    </w:tabs>
                                    <w:spacing w:line="240" w:lineRule="auto" w:before="100" w:after="0"/>
                                    <w:ind w:left="613" w:right="0" w:hanging="213"/>
                                    <w:jc w:val="left"/>
                                    <w:rPr>
                                      <w:sz w:val="20"/>
                                    </w:rPr>
                                  </w:pPr>
                                  <w:r>
                                    <w:rPr>
                                      <w:color w:val="105C84"/>
                                      <w:sz w:val="20"/>
                                    </w:rPr>
                                    <w:t>Prevent</w:t>
                                  </w:r>
                                  <w:r>
                                    <w:rPr>
                                      <w:color w:val="105C84"/>
                                      <w:spacing w:val="-3"/>
                                      <w:sz w:val="20"/>
                                    </w:rPr>
                                    <w:t> </w:t>
                                  </w:r>
                                  <w:r>
                                    <w:rPr>
                                      <w:color w:val="105C84"/>
                                      <w:sz w:val="20"/>
                                    </w:rPr>
                                    <w:t>mental</w:t>
                                  </w:r>
                                  <w:r>
                                    <w:rPr>
                                      <w:color w:val="105C84"/>
                                      <w:spacing w:val="-2"/>
                                      <w:sz w:val="20"/>
                                    </w:rPr>
                                    <w:t> </w:t>
                                  </w:r>
                                  <w:r>
                                    <w:rPr>
                                      <w:color w:val="105C84"/>
                                      <w:sz w:val="20"/>
                                    </w:rPr>
                                    <w:t>and</w:t>
                                  </w:r>
                                  <w:r>
                                    <w:rPr>
                                      <w:color w:val="105C84"/>
                                      <w:spacing w:val="-3"/>
                                      <w:sz w:val="20"/>
                                    </w:rPr>
                                    <w:t> </w:t>
                                  </w:r>
                                  <w:r>
                                    <w:rPr>
                                      <w:color w:val="105C84"/>
                                      <w:sz w:val="20"/>
                                    </w:rPr>
                                    <w:t>substance</w:t>
                                  </w:r>
                                  <w:r>
                                    <w:rPr>
                                      <w:color w:val="105C84"/>
                                      <w:spacing w:val="-2"/>
                                      <w:sz w:val="20"/>
                                    </w:rPr>
                                    <w:t> </w:t>
                                  </w:r>
                                  <w:r>
                                    <w:rPr>
                                      <w:color w:val="105C84"/>
                                      <w:sz w:val="20"/>
                                    </w:rPr>
                                    <w:t>use</w:t>
                                  </w:r>
                                  <w:r>
                                    <w:rPr>
                                      <w:color w:val="105C84"/>
                                      <w:spacing w:val="-3"/>
                                      <w:sz w:val="20"/>
                                    </w:rPr>
                                    <w:t> </w:t>
                                  </w:r>
                                  <w:r>
                                    <w:rPr>
                                      <w:color w:val="105C84"/>
                                      <w:spacing w:val="-2"/>
                                      <w:sz w:val="20"/>
                                    </w:rPr>
                                    <w:t>disorders</w:t>
                                  </w:r>
                                </w:p>
                                <w:p>
                                  <w:pPr>
                                    <w:pStyle w:val="TableParagraph"/>
                                    <w:spacing w:before="80"/>
                                    <w:ind w:left="180"/>
                                    <w:rPr>
                                      <w:b/>
                                      <w:sz w:val="20"/>
                                    </w:rPr>
                                  </w:pPr>
                                  <w:r>
                                    <w:rPr>
                                      <w:b/>
                                      <w:color w:val="00A79E"/>
                                      <w:sz w:val="20"/>
                                    </w:rPr>
                                    <w:t>Disparity: low</w:t>
                                  </w:r>
                                  <w:r>
                                    <w:rPr>
                                      <w:b/>
                                      <w:color w:val="00A79E"/>
                                      <w:spacing w:val="3"/>
                                      <w:sz w:val="20"/>
                                    </w:rPr>
                                    <w:t> </w:t>
                                  </w:r>
                                  <w:r>
                                    <w:rPr>
                                      <w:b/>
                                      <w:color w:val="00A79E"/>
                                      <w:spacing w:val="-2"/>
                                      <w:sz w:val="20"/>
                                    </w:rPr>
                                    <w:t>income</w:t>
                                  </w:r>
                                </w:p>
                              </w:tc>
                            </w:tr>
                            <w:tr>
                              <w:trPr>
                                <w:trHeight w:val="2465" w:hRule="atLeast"/>
                              </w:trPr>
                              <w:tc>
                                <w:tcPr>
                                  <w:tcW w:w="2388" w:type="dxa"/>
                                </w:tcPr>
                                <w:p>
                                  <w:pPr>
                                    <w:pStyle w:val="TableParagraph"/>
                                    <w:spacing w:before="100"/>
                                    <w:ind w:left="180"/>
                                    <w:rPr>
                                      <w:b/>
                                      <w:sz w:val="20"/>
                                    </w:rPr>
                                  </w:pPr>
                                  <w:r>
                                    <w:rPr>
                                      <w:b/>
                                      <w:color w:val="105C84"/>
                                      <w:spacing w:val="-4"/>
                                      <w:sz w:val="20"/>
                                    </w:rPr>
                                    <w:t>Seneca</w:t>
                                  </w:r>
                                  <w:r>
                                    <w:rPr>
                                      <w:b/>
                                      <w:color w:val="105C84"/>
                                      <w:spacing w:val="-2"/>
                                      <w:sz w:val="20"/>
                                    </w:rPr>
                                    <w:t> County</w:t>
                                  </w:r>
                                </w:p>
                              </w:tc>
                              <w:tc>
                                <w:tcPr>
                                  <w:tcW w:w="7673" w:type="dxa"/>
                                </w:tcPr>
                                <w:p>
                                  <w:pPr>
                                    <w:pStyle w:val="TableParagraph"/>
                                    <w:spacing w:before="100"/>
                                    <w:ind w:left="180"/>
                                    <w:rPr>
                                      <w:b/>
                                      <w:sz w:val="20"/>
                                    </w:rPr>
                                  </w:pPr>
                                  <w:r>
                                    <w:rPr>
                                      <w:b/>
                                      <w:color w:val="105C84"/>
                                      <w:spacing w:val="-2"/>
                                      <w:sz w:val="20"/>
                                    </w:rPr>
                                    <w:t>Prevent</w:t>
                                  </w:r>
                                  <w:r>
                                    <w:rPr>
                                      <w:b/>
                                      <w:color w:val="105C84"/>
                                      <w:spacing w:val="-1"/>
                                      <w:sz w:val="20"/>
                                    </w:rPr>
                                    <w:t> </w:t>
                                  </w:r>
                                  <w:r>
                                    <w:rPr>
                                      <w:b/>
                                      <w:color w:val="105C84"/>
                                      <w:spacing w:val="-2"/>
                                      <w:sz w:val="20"/>
                                    </w:rPr>
                                    <w:t>Chronic</w:t>
                                  </w:r>
                                  <w:r>
                                    <w:rPr>
                                      <w:b/>
                                      <w:color w:val="105C84"/>
                                      <w:sz w:val="20"/>
                                    </w:rPr>
                                    <w:t> </w:t>
                                  </w:r>
                                  <w:r>
                                    <w:rPr>
                                      <w:b/>
                                      <w:color w:val="105C84"/>
                                      <w:spacing w:val="-2"/>
                                      <w:sz w:val="20"/>
                                    </w:rPr>
                                    <w:t>Diseases</w:t>
                                  </w:r>
                                </w:p>
                                <w:p>
                                  <w:pPr>
                                    <w:pStyle w:val="TableParagraph"/>
                                    <w:numPr>
                                      <w:ilvl w:val="0"/>
                                      <w:numId w:val="8"/>
                                    </w:numPr>
                                    <w:tabs>
                                      <w:tab w:pos="613" w:val="left" w:leader="none"/>
                                    </w:tabs>
                                    <w:spacing w:line="240" w:lineRule="auto" w:before="100" w:after="0"/>
                                    <w:ind w:left="613" w:right="0" w:hanging="213"/>
                                    <w:jc w:val="left"/>
                                    <w:rPr>
                                      <w:sz w:val="20"/>
                                    </w:rPr>
                                  </w:pPr>
                                  <w:r>
                                    <w:rPr>
                                      <w:color w:val="105C84"/>
                                      <w:sz w:val="20"/>
                                    </w:rPr>
                                    <w:t>Chronic</w:t>
                                  </w:r>
                                  <w:r>
                                    <w:rPr>
                                      <w:color w:val="105C84"/>
                                      <w:spacing w:val="1"/>
                                      <w:sz w:val="20"/>
                                    </w:rPr>
                                    <w:t> </w:t>
                                  </w:r>
                                  <w:r>
                                    <w:rPr>
                                      <w:color w:val="105C84"/>
                                      <w:sz w:val="20"/>
                                    </w:rPr>
                                    <w:t>disease</w:t>
                                  </w:r>
                                  <w:r>
                                    <w:rPr>
                                      <w:color w:val="105C84"/>
                                      <w:spacing w:val="3"/>
                                      <w:sz w:val="20"/>
                                    </w:rPr>
                                    <w:t> </w:t>
                                  </w:r>
                                  <w:r>
                                    <w:rPr>
                                      <w:color w:val="105C84"/>
                                      <w:sz w:val="20"/>
                                    </w:rPr>
                                    <w:t>preventative</w:t>
                                  </w:r>
                                  <w:r>
                                    <w:rPr>
                                      <w:color w:val="105C84"/>
                                      <w:spacing w:val="4"/>
                                      <w:sz w:val="20"/>
                                    </w:rPr>
                                    <w:t> </w:t>
                                  </w:r>
                                  <w:r>
                                    <w:rPr>
                                      <w:color w:val="105C84"/>
                                      <w:sz w:val="20"/>
                                    </w:rPr>
                                    <w:t>care</w:t>
                                  </w:r>
                                  <w:r>
                                    <w:rPr>
                                      <w:color w:val="105C84"/>
                                      <w:spacing w:val="3"/>
                                      <w:sz w:val="20"/>
                                    </w:rPr>
                                    <w:t> </w:t>
                                  </w:r>
                                  <w:r>
                                    <w:rPr>
                                      <w:color w:val="105C84"/>
                                      <w:sz w:val="20"/>
                                    </w:rPr>
                                    <w:t>and</w:t>
                                  </w:r>
                                  <w:r>
                                    <w:rPr>
                                      <w:color w:val="105C84"/>
                                      <w:spacing w:val="4"/>
                                      <w:sz w:val="20"/>
                                    </w:rPr>
                                    <w:t> </w:t>
                                  </w:r>
                                  <w:r>
                                    <w:rPr>
                                      <w:color w:val="105C84"/>
                                      <w:spacing w:val="-2"/>
                                      <w:sz w:val="20"/>
                                    </w:rPr>
                                    <w:t>management</w:t>
                                  </w:r>
                                </w:p>
                                <w:p>
                                  <w:pPr>
                                    <w:pStyle w:val="TableParagraph"/>
                                    <w:numPr>
                                      <w:ilvl w:val="0"/>
                                      <w:numId w:val="8"/>
                                    </w:numPr>
                                    <w:tabs>
                                      <w:tab w:pos="613" w:val="left" w:leader="none"/>
                                    </w:tabs>
                                    <w:spacing w:line="240" w:lineRule="auto" w:before="10" w:after="0"/>
                                    <w:ind w:left="613" w:right="0" w:hanging="213"/>
                                    <w:jc w:val="left"/>
                                    <w:rPr>
                                      <w:sz w:val="20"/>
                                    </w:rPr>
                                  </w:pPr>
                                  <w:r>
                                    <w:rPr>
                                      <w:color w:val="105C84"/>
                                      <w:sz w:val="20"/>
                                    </w:rPr>
                                    <w:t>Healthy</w:t>
                                  </w:r>
                                  <w:r>
                                    <w:rPr>
                                      <w:color w:val="105C84"/>
                                      <w:spacing w:val="19"/>
                                      <w:sz w:val="20"/>
                                    </w:rPr>
                                    <w:t> </w:t>
                                  </w:r>
                                  <w:r>
                                    <w:rPr>
                                      <w:color w:val="105C84"/>
                                      <w:sz w:val="20"/>
                                    </w:rPr>
                                    <w:t>eating</w:t>
                                  </w:r>
                                  <w:r>
                                    <w:rPr>
                                      <w:color w:val="105C84"/>
                                      <w:spacing w:val="19"/>
                                      <w:sz w:val="20"/>
                                    </w:rPr>
                                    <w:t> </w:t>
                                  </w:r>
                                  <w:r>
                                    <w:rPr>
                                      <w:color w:val="105C84"/>
                                      <w:sz w:val="20"/>
                                    </w:rPr>
                                    <w:t>and</w:t>
                                  </w:r>
                                  <w:r>
                                    <w:rPr>
                                      <w:color w:val="105C84"/>
                                      <w:spacing w:val="19"/>
                                      <w:sz w:val="20"/>
                                    </w:rPr>
                                    <w:t> </w:t>
                                  </w:r>
                                  <w:r>
                                    <w:rPr>
                                      <w:color w:val="105C84"/>
                                      <w:sz w:val="20"/>
                                    </w:rPr>
                                    <w:t>food</w:t>
                                  </w:r>
                                  <w:r>
                                    <w:rPr>
                                      <w:color w:val="105C84"/>
                                      <w:spacing w:val="19"/>
                                      <w:sz w:val="20"/>
                                    </w:rPr>
                                    <w:t> </w:t>
                                  </w:r>
                                  <w:r>
                                    <w:rPr>
                                      <w:color w:val="105C84"/>
                                      <w:spacing w:val="-2"/>
                                      <w:sz w:val="20"/>
                                    </w:rPr>
                                    <w:t>security</w:t>
                                  </w:r>
                                </w:p>
                                <w:p>
                                  <w:pPr>
                                    <w:pStyle w:val="TableParagraph"/>
                                    <w:numPr>
                                      <w:ilvl w:val="0"/>
                                      <w:numId w:val="8"/>
                                    </w:numPr>
                                    <w:tabs>
                                      <w:tab w:pos="612" w:val="left" w:leader="none"/>
                                    </w:tabs>
                                    <w:spacing w:line="240" w:lineRule="auto" w:before="10" w:after="0"/>
                                    <w:ind w:left="612" w:right="0" w:hanging="213"/>
                                    <w:jc w:val="left"/>
                                    <w:rPr>
                                      <w:sz w:val="20"/>
                                    </w:rPr>
                                  </w:pPr>
                                  <w:r>
                                    <w:rPr>
                                      <w:color w:val="105C84"/>
                                      <w:sz w:val="20"/>
                                    </w:rPr>
                                    <w:t>Tobacco</w:t>
                                  </w:r>
                                  <w:r>
                                    <w:rPr>
                                      <w:color w:val="105C84"/>
                                      <w:spacing w:val="-13"/>
                                      <w:sz w:val="20"/>
                                    </w:rPr>
                                    <w:t> </w:t>
                                  </w:r>
                                  <w:r>
                                    <w:rPr>
                                      <w:color w:val="105C84"/>
                                      <w:spacing w:val="-2"/>
                                      <w:sz w:val="20"/>
                                    </w:rPr>
                                    <w:t>prevention</w:t>
                                  </w:r>
                                </w:p>
                                <w:p>
                                  <w:pPr>
                                    <w:pStyle w:val="TableParagraph"/>
                                    <w:spacing w:before="80"/>
                                    <w:ind w:left="179"/>
                                    <w:rPr>
                                      <w:b/>
                                      <w:sz w:val="20"/>
                                    </w:rPr>
                                  </w:pPr>
                                  <w:r>
                                    <w:rPr>
                                      <w:b/>
                                      <w:color w:val="105C84"/>
                                      <w:sz w:val="20"/>
                                    </w:rPr>
                                    <w:t>Promote</w:t>
                                  </w:r>
                                  <w:r>
                                    <w:rPr>
                                      <w:b/>
                                      <w:color w:val="105C84"/>
                                      <w:spacing w:val="-2"/>
                                      <w:sz w:val="20"/>
                                    </w:rPr>
                                    <w:t> </w:t>
                                  </w:r>
                                  <w:r>
                                    <w:rPr>
                                      <w:b/>
                                      <w:color w:val="105C84"/>
                                      <w:sz w:val="20"/>
                                    </w:rPr>
                                    <w:t>Well-Being</w:t>
                                  </w:r>
                                  <w:r>
                                    <w:rPr>
                                      <w:b/>
                                      <w:color w:val="105C84"/>
                                      <w:spacing w:val="-1"/>
                                      <w:sz w:val="20"/>
                                    </w:rPr>
                                    <w:t> </w:t>
                                  </w:r>
                                  <w:r>
                                    <w:rPr>
                                      <w:b/>
                                      <w:color w:val="105C84"/>
                                      <w:sz w:val="20"/>
                                    </w:rPr>
                                    <w:t>and</w:t>
                                  </w:r>
                                  <w:r>
                                    <w:rPr>
                                      <w:b/>
                                      <w:color w:val="105C84"/>
                                      <w:spacing w:val="-1"/>
                                      <w:sz w:val="20"/>
                                    </w:rPr>
                                    <w:t> </w:t>
                                  </w:r>
                                  <w:r>
                                    <w:rPr>
                                      <w:b/>
                                      <w:color w:val="105C84"/>
                                      <w:sz w:val="20"/>
                                    </w:rPr>
                                    <w:t>Prevent</w:t>
                                  </w:r>
                                  <w:r>
                                    <w:rPr>
                                      <w:b/>
                                      <w:color w:val="105C84"/>
                                      <w:spacing w:val="-1"/>
                                      <w:sz w:val="20"/>
                                    </w:rPr>
                                    <w:t> </w:t>
                                  </w:r>
                                  <w:r>
                                    <w:rPr>
                                      <w:b/>
                                      <w:color w:val="105C84"/>
                                      <w:sz w:val="20"/>
                                    </w:rPr>
                                    <w:t>Mental</w:t>
                                  </w:r>
                                  <w:r>
                                    <w:rPr>
                                      <w:b/>
                                      <w:color w:val="105C84"/>
                                      <w:spacing w:val="-1"/>
                                      <w:sz w:val="20"/>
                                    </w:rPr>
                                    <w:t> </w:t>
                                  </w:r>
                                  <w:r>
                                    <w:rPr>
                                      <w:b/>
                                      <w:color w:val="105C84"/>
                                      <w:sz w:val="20"/>
                                    </w:rPr>
                                    <w:t>and</w:t>
                                  </w:r>
                                  <w:r>
                                    <w:rPr>
                                      <w:b/>
                                      <w:color w:val="105C84"/>
                                      <w:spacing w:val="-1"/>
                                      <w:sz w:val="20"/>
                                    </w:rPr>
                                    <w:t> </w:t>
                                  </w:r>
                                  <w:r>
                                    <w:rPr>
                                      <w:b/>
                                      <w:color w:val="105C84"/>
                                      <w:sz w:val="20"/>
                                    </w:rPr>
                                    <w:t>Substance</w:t>
                                  </w:r>
                                  <w:r>
                                    <w:rPr>
                                      <w:b/>
                                      <w:color w:val="105C84"/>
                                      <w:spacing w:val="-1"/>
                                      <w:sz w:val="20"/>
                                    </w:rPr>
                                    <w:t> </w:t>
                                  </w:r>
                                  <w:r>
                                    <w:rPr>
                                      <w:b/>
                                      <w:color w:val="105C84"/>
                                      <w:sz w:val="20"/>
                                    </w:rPr>
                                    <w:t>Use</w:t>
                                  </w:r>
                                  <w:r>
                                    <w:rPr>
                                      <w:b/>
                                      <w:color w:val="105C84"/>
                                      <w:spacing w:val="-1"/>
                                      <w:sz w:val="20"/>
                                    </w:rPr>
                                    <w:t> </w:t>
                                  </w:r>
                                  <w:r>
                                    <w:rPr>
                                      <w:b/>
                                      <w:color w:val="105C84"/>
                                      <w:spacing w:val="-2"/>
                                      <w:sz w:val="20"/>
                                    </w:rPr>
                                    <w:t>Disorders</w:t>
                                  </w:r>
                                </w:p>
                                <w:p>
                                  <w:pPr>
                                    <w:pStyle w:val="TableParagraph"/>
                                    <w:numPr>
                                      <w:ilvl w:val="0"/>
                                      <w:numId w:val="9"/>
                                    </w:numPr>
                                    <w:tabs>
                                      <w:tab w:pos="612" w:val="left" w:leader="none"/>
                                    </w:tabs>
                                    <w:spacing w:line="240" w:lineRule="auto" w:before="100" w:after="0"/>
                                    <w:ind w:left="612" w:right="0" w:hanging="213"/>
                                    <w:jc w:val="left"/>
                                    <w:rPr>
                                      <w:sz w:val="20"/>
                                    </w:rPr>
                                  </w:pPr>
                                  <w:r>
                                    <w:rPr>
                                      <w:color w:val="105C84"/>
                                      <w:sz w:val="20"/>
                                    </w:rPr>
                                    <w:t>Promote</w:t>
                                  </w:r>
                                  <w:r>
                                    <w:rPr>
                                      <w:color w:val="105C84"/>
                                      <w:spacing w:val="27"/>
                                      <w:sz w:val="20"/>
                                    </w:rPr>
                                    <w:t> </w:t>
                                  </w:r>
                                  <w:r>
                                    <w:rPr>
                                      <w:color w:val="105C84"/>
                                      <w:sz w:val="20"/>
                                    </w:rPr>
                                    <w:t>well-</w:t>
                                  </w:r>
                                  <w:r>
                                    <w:rPr>
                                      <w:color w:val="105C84"/>
                                      <w:spacing w:val="-2"/>
                                      <w:sz w:val="20"/>
                                    </w:rPr>
                                    <w:t>being</w:t>
                                  </w:r>
                                </w:p>
                                <w:p>
                                  <w:pPr>
                                    <w:pStyle w:val="TableParagraph"/>
                                    <w:numPr>
                                      <w:ilvl w:val="0"/>
                                      <w:numId w:val="9"/>
                                    </w:numPr>
                                    <w:tabs>
                                      <w:tab w:pos="612" w:val="left" w:leader="none"/>
                                    </w:tabs>
                                    <w:spacing w:line="240" w:lineRule="auto" w:before="10" w:after="0"/>
                                    <w:ind w:left="612" w:right="0" w:hanging="213"/>
                                    <w:jc w:val="left"/>
                                    <w:rPr>
                                      <w:sz w:val="20"/>
                                    </w:rPr>
                                  </w:pPr>
                                  <w:r>
                                    <w:rPr>
                                      <w:color w:val="105C84"/>
                                      <w:sz w:val="20"/>
                                    </w:rPr>
                                    <w:t>Prevent</w:t>
                                  </w:r>
                                  <w:r>
                                    <w:rPr>
                                      <w:color w:val="105C84"/>
                                      <w:spacing w:val="-3"/>
                                      <w:sz w:val="20"/>
                                    </w:rPr>
                                    <w:t> </w:t>
                                  </w:r>
                                  <w:r>
                                    <w:rPr>
                                      <w:color w:val="105C84"/>
                                      <w:sz w:val="20"/>
                                    </w:rPr>
                                    <w:t>mental</w:t>
                                  </w:r>
                                  <w:r>
                                    <w:rPr>
                                      <w:color w:val="105C84"/>
                                      <w:spacing w:val="-2"/>
                                      <w:sz w:val="20"/>
                                    </w:rPr>
                                    <w:t> </w:t>
                                  </w:r>
                                  <w:r>
                                    <w:rPr>
                                      <w:color w:val="105C84"/>
                                      <w:sz w:val="20"/>
                                    </w:rPr>
                                    <w:t>and</w:t>
                                  </w:r>
                                  <w:r>
                                    <w:rPr>
                                      <w:color w:val="105C84"/>
                                      <w:spacing w:val="-3"/>
                                      <w:sz w:val="20"/>
                                    </w:rPr>
                                    <w:t> </w:t>
                                  </w:r>
                                  <w:r>
                                    <w:rPr>
                                      <w:color w:val="105C84"/>
                                      <w:sz w:val="20"/>
                                    </w:rPr>
                                    <w:t>substance</w:t>
                                  </w:r>
                                  <w:r>
                                    <w:rPr>
                                      <w:color w:val="105C84"/>
                                      <w:spacing w:val="-2"/>
                                      <w:sz w:val="20"/>
                                    </w:rPr>
                                    <w:t> </w:t>
                                  </w:r>
                                  <w:r>
                                    <w:rPr>
                                      <w:color w:val="105C84"/>
                                      <w:sz w:val="20"/>
                                    </w:rPr>
                                    <w:t>use</w:t>
                                  </w:r>
                                  <w:r>
                                    <w:rPr>
                                      <w:color w:val="105C84"/>
                                      <w:spacing w:val="-3"/>
                                      <w:sz w:val="20"/>
                                    </w:rPr>
                                    <w:t> </w:t>
                                  </w:r>
                                  <w:r>
                                    <w:rPr>
                                      <w:color w:val="105C84"/>
                                      <w:spacing w:val="-2"/>
                                      <w:sz w:val="20"/>
                                    </w:rPr>
                                    <w:t>disorders</w:t>
                                  </w:r>
                                </w:p>
                                <w:p>
                                  <w:pPr>
                                    <w:pStyle w:val="TableParagraph"/>
                                    <w:spacing w:before="80"/>
                                    <w:ind w:left="179"/>
                                    <w:rPr>
                                      <w:b/>
                                      <w:sz w:val="20"/>
                                    </w:rPr>
                                  </w:pPr>
                                  <w:r>
                                    <w:rPr>
                                      <w:b/>
                                      <w:color w:val="00A79E"/>
                                      <w:spacing w:val="-2"/>
                                      <w:sz w:val="20"/>
                                    </w:rPr>
                                    <w:t>Disparity:</w:t>
                                  </w:r>
                                  <w:r>
                                    <w:rPr>
                                      <w:b/>
                                      <w:color w:val="00A79E"/>
                                      <w:sz w:val="20"/>
                                    </w:rPr>
                                    <w:t> </w:t>
                                  </w:r>
                                  <w:r>
                                    <w:rPr>
                                      <w:b/>
                                      <w:color w:val="00A79E"/>
                                      <w:spacing w:val="-2"/>
                                      <w:sz w:val="20"/>
                                    </w:rPr>
                                    <w:t>low</w:t>
                                  </w:r>
                                  <w:r>
                                    <w:rPr>
                                      <w:b/>
                                      <w:color w:val="00A79E"/>
                                      <w:sz w:val="20"/>
                                    </w:rPr>
                                    <w:t> </w:t>
                                  </w:r>
                                  <w:r>
                                    <w:rPr>
                                      <w:b/>
                                      <w:color w:val="00A79E"/>
                                      <w:spacing w:val="-2"/>
                                      <w:sz w:val="20"/>
                                    </w:rPr>
                                    <w:t>socioeconomic</w:t>
                                  </w:r>
                                  <w:r>
                                    <w:rPr>
                                      <w:b/>
                                      <w:color w:val="00A79E"/>
                                      <w:sz w:val="20"/>
                                    </w:rPr>
                                    <w:t> </w:t>
                                  </w:r>
                                  <w:r>
                                    <w:rPr>
                                      <w:b/>
                                      <w:color w:val="00A79E"/>
                                      <w:spacing w:val="-2"/>
                                      <w:sz w:val="20"/>
                                    </w:rPr>
                                    <w:t>status</w:t>
                                  </w:r>
                                </w:p>
                              </w:tc>
                            </w:tr>
                          </w:tbl>
                          <w:p>
                            <w:pPr>
                              <w:pStyle w:val="BodyText"/>
                            </w:pPr>
                          </w:p>
                        </w:txbxContent>
                      </wps:txbx>
                      <wps:bodyPr wrap="square" lIns="0" tIns="0" rIns="0" bIns="0" rtlCol="0">
                        <a:noAutofit/>
                      </wps:bodyPr>
                    </wps:wsp>
                  </a:graphicData>
                </a:graphic>
              </wp:anchor>
            </w:drawing>
          </mc:Choice>
          <mc:Fallback>
            <w:pict>
              <v:shape style="position:absolute;margin-left:663pt;margin-top:-573.270020pt;width:509.3pt;height:591pt;mso-position-horizontal-relative:page;mso-position-vertical-relative:paragraph;z-index:15739392" type="#_x0000_t202" id="docshape75" filled="false" stroked="false">
                <v:textbox inset="0,0,0,0">
                  <w:txbxContent>
                    <w:tbl>
                      <w:tblPr>
                        <w:tblW w:w="0" w:type="auto"/>
                        <w:jc w:val="left"/>
                        <w:tblInd w:w="62"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top w:w="0" w:type="dxa"/>
                          <w:left w:w="0" w:type="dxa"/>
                          <w:bottom w:w="0" w:type="dxa"/>
                          <w:right w:w="0" w:type="dxa"/>
                        </w:tblCellMar>
                        <w:tblLook w:val="01E0"/>
                      </w:tblPr>
                      <w:tblGrid>
                        <w:gridCol w:w="2388"/>
                        <w:gridCol w:w="7673"/>
                      </w:tblGrid>
                      <w:tr>
                        <w:trPr>
                          <w:trHeight w:val="481" w:hRule="atLeast"/>
                        </w:trPr>
                        <w:tc>
                          <w:tcPr>
                            <w:tcW w:w="2388" w:type="dxa"/>
                            <w:tcBorders>
                              <w:right w:val="single" w:sz="4" w:space="0" w:color="FFFFFF"/>
                            </w:tcBorders>
                            <w:shd w:val="clear" w:color="auto" w:fill="82BF6A"/>
                          </w:tcPr>
                          <w:p>
                            <w:pPr>
                              <w:pStyle w:val="TableParagraph"/>
                              <w:spacing w:before="103"/>
                              <w:ind w:left="180"/>
                              <w:rPr>
                                <w:b/>
                                <w:sz w:val="26"/>
                              </w:rPr>
                            </w:pPr>
                            <w:r>
                              <w:rPr>
                                <w:b/>
                                <w:color w:val="FFFFFF"/>
                                <w:spacing w:val="-2"/>
                                <w:sz w:val="26"/>
                              </w:rPr>
                              <w:t>COUNTY</w:t>
                            </w:r>
                          </w:p>
                        </w:tc>
                        <w:tc>
                          <w:tcPr>
                            <w:tcW w:w="7673" w:type="dxa"/>
                            <w:tcBorders>
                              <w:left w:val="single" w:sz="4" w:space="0" w:color="FFFFFF"/>
                            </w:tcBorders>
                            <w:shd w:val="clear" w:color="auto" w:fill="00A79E"/>
                          </w:tcPr>
                          <w:p>
                            <w:pPr>
                              <w:pStyle w:val="TableParagraph"/>
                              <w:spacing w:before="103"/>
                              <w:ind w:left="177"/>
                              <w:rPr>
                                <w:b/>
                                <w:sz w:val="26"/>
                              </w:rPr>
                            </w:pPr>
                            <w:r>
                              <w:rPr>
                                <w:b/>
                                <w:color w:val="FFFFFF"/>
                                <w:spacing w:val="-2"/>
                                <w:sz w:val="26"/>
                              </w:rPr>
                              <w:t>PRIORITY</w:t>
                            </w:r>
                          </w:p>
                        </w:tc>
                      </w:tr>
                      <w:tr>
                        <w:trPr>
                          <w:trHeight w:val="1655" w:hRule="atLeast"/>
                        </w:trPr>
                        <w:tc>
                          <w:tcPr>
                            <w:tcW w:w="2388" w:type="dxa"/>
                          </w:tcPr>
                          <w:p>
                            <w:pPr>
                              <w:pStyle w:val="TableParagraph"/>
                              <w:spacing w:before="100"/>
                              <w:ind w:left="180"/>
                              <w:rPr>
                                <w:b/>
                                <w:sz w:val="20"/>
                              </w:rPr>
                            </w:pPr>
                            <w:r>
                              <w:rPr>
                                <w:b/>
                                <w:color w:val="105C84"/>
                                <w:sz w:val="20"/>
                              </w:rPr>
                              <w:t>Chemung</w:t>
                            </w:r>
                            <w:r>
                              <w:rPr>
                                <w:b/>
                                <w:color w:val="105C84"/>
                                <w:spacing w:val="-9"/>
                                <w:sz w:val="20"/>
                              </w:rPr>
                              <w:t> </w:t>
                            </w:r>
                            <w:r>
                              <w:rPr>
                                <w:b/>
                                <w:color w:val="105C84"/>
                                <w:spacing w:val="-2"/>
                                <w:sz w:val="20"/>
                              </w:rPr>
                              <w:t>County</w:t>
                            </w:r>
                          </w:p>
                        </w:tc>
                        <w:tc>
                          <w:tcPr>
                            <w:tcW w:w="7673" w:type="dxa"/>
                          </w:tcPr>
                          <w:p>
                            <w:pPr>
                              <w:pStyle w:val="TableParagraph"/>
                              <w:spacing w:before="100"/>
                              <w:ind w:left="180"/>
                              <w:rPr>
                                <w:b/>
                                <w:sz w:val="20"/>
                              </w:rPr>
                            </w:pPr>
                            <w:r>
                              <w:rPr>
                                <w:b/>
                                <w:color w:val="105C84"/>
                                <w:spacing w:val="-2"/>
                                <w:sz w:val="20"/>
                              </w:rPr>
                              <w:t>Prevent</w:t>
                            </w:r>
                            <w:r>
                              <w:rPr>
                                <w:b/>
                                <w:color w:val="105C84"/>
                                <w:spacing w:val="-1"/>
                                <w:sz w:val="20"/>
                              </w:rPr>
                              <w:t> </w:t>
                            </w:r>
                            <w:r>
                              <w:rPr>
                                <w:b/>
                                <w:color w:val="105C84"/>
                                <w:spacing w:val="-2"/>
                                <w:sz w:val="20"/>
                              </w:rPr>
                              <w:t>Chronic</w:t>
                            </w:r>
                            <w:r>
                              <w:rPr>
                                <w:b/>
                                <w:color w:val="105C84"/>
                                <w:sz w:val="20"/>
                              </w:rPr>
                              <w:t> </w:t>
                            </w:r>
                            <w:r>
                              <w:rPr>
                                <w:b/>
                                <w:color w:val="105C84"/>
                                <w:spacing w:val="-2"/>
                                <w:sz w:val="20"/>
                              </w:rPr>
                              <w:t>Diseases</w:t>
                            </w:r>
                          </w:p>
                          <w:p>
                            <w:pPr>
                              <w:pStyle w:val="TableParagraph"/>
                              <w:numPr>
                                <w:ilvl w:val="0"/>
                                <w:numId w:val="4"/>
                              </w:numPr>
                              <w:tabs>
                                <w:tab w:pos="613" w:val="left" w:leader="none"/>
                              </w:tabs>
                              <w:spacing w:line="240" w:lineRule="auto" w:before="100" w:after="0"/>
                              <w:ind w:left="613" w:right="0" w:hanging="213"/>
                              <w:jc w:val="left"/>
                              <w:rPr>
                                <w:sz w:val="20"/>
                              </w:rPr>
                            </w:pPr>
                            <w:r>
                              <w:rPr>
                                <w:color w:val="105C84"/>
                                <w:sz w:val="20"/>
                              </w:rPr>
                              <w:t>Healthy</w:t>
                            </w:r>
                            <w:r>
                              <w:rPr>
                                <w:color w:val="105C84"/>
                                <w:spacing w:val="19"/>
                                <w:sz w:val="20"/>
                              </w:rPr>
                              <w:t> </w:t>
                            </w:r>
                            <w:r>
                              <w:rPr>
                                <w:color w:val="105C84"/>
                                <w:sz w:val="20"/>
                              </w:rPr>
                              <w:t>eating</w:t>
                            </w:r>
                            <w:r>
                              <w:rPr>
                                <w:color w:val="105C84"/>
                                <w:spacing w:val="19"/>
                                <w:sz w:val="20"/>
                              </w:rPr>
                              <w:t> </w:t>
                            </w:r>
                            <w:r>
                              <w:rPr>
                                <w:color w:val="105C84"/>
                                <w:sz w:val="20"/>
                              </w:rPr>
                              <w:t>and</w:t>
                            </w:r>
                            <w:r>
                              <w:rPr>
                                <w:color w:val="105C84"/>
                                <w:spacing w:val="19"/>
                                <w:sz w:val="20"/>
                              </w:rPr>
                              <w:t> </w:t>
                            </w:r>
                            <w:r>
                              <w:rPr>
                                <w:color w:val="105C84"/>
                                <w:sz w:val="20"/>
                              </w:rPr>
                              <w:t>food</w:t>
                            </w:r>
                            <w:r>
                              <w:rPr>
                                <w:color w:val="105C84"/>
                                <w:spacing w:val="19"/>
                                <w:sz w:val="20"/>
                              </w:rPr>
                              <w:t> </w:t>
                            </w:r>
                            <w:r>
                              <w:rPr>
                                <w:color w:val="105C84"/>
                                <w:spacing w:val="-2"/>
                                <w:sz w:val="20"/>
                              </w:rPr>
                              <w:t>security</w:t>
                            </w:r>
                          </w:p>
                          <w:p>
                            <w:pPr>
                              <w:pStyle w:val="TableParagraph"/>
                              <w:numPr>
                                <w:ilvl w:val="0"/>
                                <w:numId w:val="4"/>
                              </w:numPr>
                              <w:tabs>
                                <w:tab w:pos="612" w:val="left" w:leader="none"/>
                              </w:tabs>
                              <w:spacing w:line="240" w:lineRule="auto" w:before="10" w:after="0"/>
                              <w:ind w:left="612" w:right="0" w:hanging="213"/>
                              <w:jc w:val="left"/>
                              <w:rPr>
                                <w:sz w:val="20"/>
                              </w:rPr>
                            </w:pPr>
                            <w:r>
                              <w:rPr>
                                <w:color w:val="105C84"/>
                                <w:w w:val="90"/>
                                <w:sz w:val="20"/>
                              </w:rPr>
                              <w:t>Physical</w:t>
                            </w:r>
                            <w:r>
                              <w:rPr>
                                <w:color w:val="105C84"/>
                                <w:spacing w:val="36"/>
                                <w:sz w:val="20"/>
                              </w:rPr>
                              <w:t> </w:t>
                            </w:r>
                            <w:r>
                              <w:rPr>
                                <w:color w:val="105C84"/>
                                <w:spacing w:val="-2"/>
                                <w:sz w:val="20"/>
                              </w:rPr>
                              <w:t>activity</w:t>
                            </w:r>
                          </w:p>
                          <w:p>
                            <w:pPr>
                              <w:pStyle w:val="TableParagraph"/>
                              <w:numPr>
                                <w:ilvl w:val="0"/>
                                <w:numId w:val="4"/>
                              </w:numPr>
                              <w:tabs>
                                <w:tab w:pos="612" w:val="left" w:leader="none"/>
                              </w:tabs>
                              <w:spacing w:line="240" w:lineRule="auto" w:before="10" w:after="0"/>
                              <w:ind w:left="612" w:right="0" w:hanging="213"/>
                              <w:jc w:val="left"/>
                              <w:rPr>
                                <w:sz w:val="20"/>
                              </w:rPr>
                            </w:pPr>
                            <w:r>
                              <w:rPr>
                                <w:color w:val="105C84"/>
                                <w:sz w:val="20"/>
                              </w:rPr>
                              <w:t>Tobacco</w:t>
                            </w:r>
                            <w:r>
                              <w:rPr>
                                <w:color w:val="105C84"/>
                                <w:spacing w:val="-13"/>
                                <w:sz w:val="20"/>
                              </w:rPr>
                              <w:t> </w:t>
                            </w:r>
                            <w:r>
                              <w:rPr>
                                <w:color w:val="105C84"/>
                                <w:spacing w:val="-2"/>
                                <w:sz w:val="20"/>
                              </w:rPr>
                              <w:t>prevention</w:t>
                            </w:r>
                          </w:p>
                          <w:p>
                            <w:pPr>
                              <w:pStyle w:val="TableParagraph"/>
                              <w:spacing w:before="80"/>
                              <w:ind w:left="179"/>
                              <w:rPr>
                                <w:b/>
                                <w:sz w:val="20"/>
                              </w:rPr>
                            </w:pPr>
                            <w:r>
                              <w:rPr>
                                <w:b/>
                                <w:color w:val="00A79E"/>
                                <w:sz w:val="20"/>
                              </w:rPr>
                              <w:t>Disparity:</w:t>
                            </w:r>
                            <w:r>
                              <w:rPr>
                                <w:b/>
                                <w:color w:val="00A79E"/>
                                <w:spacing w:val="-1"/>
                                <w:sz w:val="20"/>
                              </w:rPr>
                              <w:t> </w:t>
                            </w:r>
                            <w:r>
                              <w:rPr>
                                <w:b/>
                                <w:color w:val="00A79E"/>
                                <w:sz w:val="20"/>
                              </w:rPr>
                              <w:t>reduce tobacco use</w:t>
                            </w:r>
                            <w:r>
                              <w:rPr>
                                <w:b/>
                                <w:color w:val="00A79E"/>
                                <w:spacing w:val="-1"/>
                                <w:sz w:val="20"/>
                              </w:rPr>
                              <w:t> </w:t>
                            </w:r>
                            <w:r>
                              <w:rPr>
                                <w:b/>
                                <w:color w:val="00A79E"/>
                                <w:sz w:val="20"/>
                              </w:rPr>
                              <w:t>among pregnant </w:t>
                            </w:r>
                            <w:r>
                              <w:rPr>
                                <w:b/>
                                <w:color w:val="00A79E"/>
                                <w:spacing w:val="-4"/>
                                <w:sz w:val="20"/>
                              </w:rPr>
                              <w:t>women</w:t>
                            </w:r>
                          </w:p>
                        </w:tc>
                      </w:tr>
                      <w:tr>
                        <w:trPr>
                          <w:trHeight w:val="2554" w:hRule="atLeast"/>
                        </w:trPr>
                        <w:tc>
                          <w:tcPr>
                            <w:tcW w:w="2388" w:type="dxa"/>
                            <w:shd w:val="clear" w:color="auto" w:fill="EFEFF0"/>
                          </w:tcPr>
                          <w:p>
                            <w:pPr>
                              <w:pStyle w:val="TableParagraph"/>
                              <w:spacing w:before="100"/>
                              <w:ind w:left="179"/>
                              <w:rPr>
                                <w:b/>
                                <w:sz w:val="20"/>
                              </w:rPr>
                            </w:pPr>
                            <w:r>
                              <w:rPr>
                                <w:b/>
                                <w:color w:val="105C84"/>
                                <w:spacing w:val="-4"/>
                                <w:sz w:val="20"/>
                              </w:rPr>
                              <w:t>Livingston</w:t>
                            </w:r>
                            <w:r>
                              <w:rPr>
                                <w:b/>
                                <w:color w:val="105C84"/>
                                <w:spacing w:val="4"/>
                                <w:sz w:val="20"/>
                              </w:rPr>
                              <w:t> </w:t>
                            </w:r>
                            <w:r>
                              <w:rPr>
                                <w:b/>
                                <w:color w:val="105C84"/>
                                <w:spacing w:val="-2"/>
                                <w:sz w:val="20"/>
                              </w:rPr>
                              <w:t>County</w:t>
                            </w:r>
                          </w:p>
                        </w:tc>
                        <w:tc>
                          <w:tcPr>
                            <w:tcW w:w="7673" w:type="dxa"/>
                            <w:shd w:val="clear" w:color="auto" w:fill="EFEFF0"/>
                          </w:tcPr>
                          <w:p>
                            <w:pPr>
                              <w:pStyle w:val="TableParagraph"/>
                              <w:spacing w:before="100"/>
                              <w:ind w:left="179"/>
                              <w:rPr>
                                <w:b/>
                                <w:sz w:val="20"/>
                              </w:rPr>
                            </w:pPr>
                            <w:r>
                              <w:rPr>
                                <w:b/>
                                <w:color w:val="105C84"/>
                                <w:spacing w:val="-2"/>
                                <w:sz w:val="20"/>
                              </w:rPr>
                              <w:t>Prevent</w:t>
                            </w:r>
                            <w:r>
                              <w:rPr>
                                <w:b/>
                                <w:color w:val="105C84"/>
                                <w:spacing w:val="-1"/>
                                <w:sz w:val="20"/>
                              </w:rPr>
                              <w:t> </w:t>
                            </w:r>
                            <w:r>
                              <w:rPr>
                                <w:b/>
                                <w:color w:val="105C84"/>
                                <w:spacing w:val="-2"/>
                                <w:sz w:val="20"/>
                              </w:rPr>
                              <w:t>Chronic</w:t>
                            </w:r>
                            <w:r>
                              <w:rPr>
                                <w:b/>
                                <w:color w:val="105C84"/>
                                <w:sz w:val="20"/>
                              </w:rPr>
                              <w:t> </w:t>
                            </w:r>
                            <w:r>
                              <w:rPr>
                                <w:b/>
                                <w:color w:val="105C84"/>
                                <w:spacing w:val="-2"/>
                                <w:sz w:val="20"/>
                              </w:rPr>
                              <w:t>Diseases</w:t>
                            </w:r>
                          </w:p>
                          <w:p>
                            <w:pPr>
                              <w:pStyle w:val="TableParagraph"/>
                              <w:numPr>
                                <w:ilvl w:val="0"/>
                                <w:numId w:val="5"/>
                              </w:numPr>
                              <w:tabs>
                                <w:tab w:pos="612" w:val="left" w:leader="none"/>
                              </w:tabs>
                              <w:spacing w:line="240" w:lineRule="auto" w:before="100" w:after="0"/>
                              <w:ind w:left="612" w:right="0" w:hanging="213"/>
                              <w:jc w:val="left"/>
                              <w:rPr>
                                <w:sz w:val="20"/>
                              </w:rPr>
                            </w:pPr>
                            <w:r>
                              <w:rPr>
                                <w:color w:val="105C84"/>
                                <w:sz w:val="20"/>
                              </w:rPr>
                              <w:t>Healthy</w:t>
                            </w:r>
                            <w:r>
                              <w:rPr>
                                <w:color w:val="105C84"/>
                                <w:spacing w:val="19"/>
                                <w:sz w:val="20"/>
                              </w:rPr>
                              <w:t> </w:t>
                            </w:r>
                            <w:r>
                              <w:rPr>
                                <w:color w:val="105C84"/>
                                <w:sz w:val="20"/>
                              </w:rPr>
                              <w:t>eating</w:t>
                            </w:r>
                            <w:r>
                              <w:rPr>
                                <w:color w:val="105C84"/>
                                <w:spacing w:val="19"/>
                                <w:sz w:val="20"/>
                              </w:rPr>
                              <w:t> </w:t>
                            </w:r>
                            <w:r>
                              <w:rPr>
                                <w:color w:val="105C84"/>
                                <w:sz w:val="20"/>
                              </w:rPr>
                              <w:t>and</w:t>
                            </w:r>
                            <w:r>
                              <w:rPr>
                                <w:color w:val="105C84"/>
                                <w:spacing w:val="19"/>
                                <w:sz w:val="20"/>
                              </w:rPr>
                              <w:t> </w:t>
                            </w:r>
                            <w:r>
                              <w:rPr>
                                <w:color w:val="105C84"/>
                                <w:sz w:val="20"/>
                              </w:rPr>
                              <w:t>food</w:t>
                            </w:r>
                            <w:r>
                              <w:rPr>
                                <w:color w:val="105C84"/>
                                <w:spacing w:val="19"/>
                                <w:sz w:val="20"/>
                              </w:rPr>
                              <w:t> </w:t>
                            </w:r>
                            <w:r>
                              <w:rPr>
                                <w:color w:val="105C84"/>
                                <w:spacing w:val="-2"/>
                                <w:sz w:val="20"/>
                              </w:rPr>
                              <w:t>security</w:t>
                            </w:r>
                          </w:p>
                          <w:p>
                            <w:pPr>
                              <w:pStyle w:val="TableParagraph"/>
                              <w:numPr>
                                <w:ilvl w:val="0"/>
                                <w:numId w:val="5"/>
                              </w:numPr>
                              <w:tabs>
                                <w:tab w:pos="612" w:val="left" w:leader="none"/>
                              </w:tabs>
                              <w:spacing w:line="240" w:lineRule="auto" w:before="10" w:after="0"/>
                              <w:ind w:left="612" w:right="0" w:hanging="213"/>
                              <w:jc w:val="left"/>
                              <w:rPr>
                                <w:sz w:val="20"/>
                              </w:rPr>
                            </w:pPr>
                            <w:r>
                              <w:rPr>
                                <w:color w:val="105C84"/>
                                <w:w w:val="90"/>
                                <w:sz w:val="20"/>
                              </w:rPr>
                              <w:t>Physical</w:t>
                            </w:r>
                            <w:r>
                              <w:rPr>
                                <w:color w:val="105C84"/>
                                <w:spacing w:val="36"/>
                                <w:sz w:val="20"/>
                              </w:rPr>
                              <w:t> </w:t>
                            </w:r>
                            <w:r>
                              <w:rPr>
                                <w:color w:val="105C84"/>
                                <w:spacing w:val="-2"/>
                                <w:sz w:val="20"/>
                              </w:rPr>
                              <w:t>activity</w:t>
                            </w:r>
                          </w:p>
                          <w:p>
                            <w:pPr>
                              <w:pStyle w:val="TableParagraph"/>
                              <w:numPr>
                                <w:ilvl w:val="0"/>
                                <w:numId w:val="5"/>
                              </w:numPr>
                              <w:tabs>
                                <w:tab w:pos="612" w:val="left" w:leader="none"/>
                              </w:tabs>
                              <w:spacing w:line="240" w:lineRule="auto" w:before="10" w:after="0"/>
                              <w:ind w:left="612" w:right="0" w:hanging="213"/>
                              <w:jc w:val="left"/>
                              <w:rPr>
                                <w:sz w:val="20"/>
                              </w:rPr>
                            </w:pPr>
                            <w:r>
                              <w:rPr>
                                <w:color w:val="105C84"/>
                                <w:sz w:val="20"/>
                              </w:rPr>
                              <w:t>Chronic</w:t>
                            </w:r>
                            <w:r>
                              <w:rPr>
                                <w:color w:val="105C84"/>
                                <w:spacing w:val="1"/>
                                <w:sz w:val="20"/>
                              </w:rPr>
                              <w:t> </w:t>
                            </w:r>
                            <w:r>
                              <w:rPr>
                                <w:color w:val="105C84"/>
                                <w:sz w:val="20"/>
                              </w:rPr>
                              <w:t>disease</w:t>
                            </w:r>
                            <w:r>
                              <w:rPr>
                                <w:color w:val="105C84"/>
                                <w:spacing w:val="3"/>
                                <w:sz w:val="20"/>
                              </w:rPr>
                              <w:t> </w:t>
                            </w:r>
                            <w:r>
                              <w:rPr>
                                <w:color w:val="105C84"/>
                                <w:sz w:val="20"/>
                              </w:rPr>
                              <w:t>preventative</w:t>
                            </w:r>
                            <w:r>
                              <w:rPr>
                                <w:color w:val="105C84"/>
                                <w:spacing w:val="4"/>
                                <w:sz w:val="20"/>
                              </w:rPr>
                              <w:t> </w:t>
                            </w:r>
                            <w:r>
                              <w:rPr>
                                <w:color w:val="105C84"/>
                                <w:sz w:val="20"/>
                              </w:rPr>
                              <w:t>care</w:t>
                            </w:r>
                            <w:r>
                              <w:rPr>
                                <w:color w:val="105C84"/>
                                <w:spacing w:val="3"/>
                                <w:sz w:val="20"/>
                              </w:rPr>
                              <w:t> </w:t>
                            </w:r>
                            <w:r>
                              <w:rPr>
                                <w:color w:val="105C84"/>
                                <w:sz w:val="20"/>
                              </w:rPr>
                              <w:t>and</w:t>
                            </w:r>
                            <w:r>
                              <w:rPr>
                                <w:color w:val="105C84"/>
                                <w:spacing w:val="4"/>
                                <w:sz w:val="20"/>
                              </w:rPr>
                              <w:t> </w:t>
                            </w:r>
                            <w:r>
                              <w:rPr>
                                <w:color w:val="105C84"/>
                                <w:spacing w:val="-2"/>
                                <w:sz w:val="20"/>
                              </w:rPr>
                              <w:t>management</w:t>
                            </w:r>
                          </w:p>
                          <w:p>
                            <w:pPr>
                              <w:pStyle w:val="TableParagraph"/>
                              <w:spacing w:before="170"/>
                              <w:ind w:left="179"/>
                              <w:rPr>
                                <w:b/>
                                <w:sz w:val="20"/>
                              </w:rPr>
                            </w:pPr>
                            <w:r>
                              <w:rPr>
                                <w:b/>
                                <w:color w:val="105C84"/>
                                <w:sz w:val="20"/>
                              </w:rPr>
                              <w:t>Promote</w:t>
                            </w:r>
                            <w:r>
                              <w:rPr>
                                <w:b/>
                                <w:color w:val="105C84"/>
                                <w:spacing w:val="-2"/>
                                <w:sz w:val="20"/>
                              </w:rPr>
                              <w:t> </w:t>
                            </w:r>
                            <w:r>
                              <w:rPr>
                                <w:b/>
                                <w:color w:val="105C84"/>
                                <w:sz w:val="20"/>
                              </w:rPr>
                              <w:t>Well-Being</w:t>
                            </w:r>
                            <w:r>
                              <w:rPr>
                                <w:b/>
                                <w:color w:val="105C84"/>
                                <w:spacing w:val="-1"/>
                                <w:sz w:val="20"/>
                              </w:rPr>
                              <w:t> </w:t>
                            </w:r>
                            <w:r>
                              <w:rPr>
                                <w:b/>
                                <w:color w:val="105C84"/>
                                <w:sz w:val="20"/>
                              </w:rPr>
                              <w:t>and</w:t>
                            </w:r>
                            <w:r>
                              <w:rPr>
                                <w:b/>
                                <w:color w:val="105C84"/>
                                <w:spacing w:val="-1"/>
                                <w:sz w:val="20"/>
                              </w:rPr>
                              <w:t> </w:t>
                            </w:r>
                            <w:r>
                              <w:rPr>
                                <w:b/>
                                <w:color w:val="105C84"/>
                                <w:sz w:val="20"/>
                              </w:rPr>
                              <w:t>Prevent</w:t>
                            </w:r>
                            <w:r>
                              <w:rPr>
                                <w:b/>
                                <w:color w:val="105C84"/>
                                <w:spacing w:val="-1"/>
                                <w:sz w:val="20"/>
                              </w:rPr>
                              <w:t> </w:t>
                            </w:r>
                            <w:r>
                              <w:rPr>
                                <w:b/>
                                <w:color w:val="105C84"/>
                                <w:sz w:val="20"/>
                              </w:rPr>
                              <w:t>Mental</w:t>
                            </w:r>
                            <w:r>
                              <w:rPr>
                                <w:b/>
                                <w:color w:val="105C84"/>
                                <w:spacing w:val="-1"/>
                                <w:sz w:val="20"/>
                              </w:rPr>
                              <w:t> </w:t>
                            </w:r>
                            <w:r>
                              <w:rPr>
                                <w:b/>
                                <w:color w:val="105C84"/>
                                <w:sz w:val="20"/>
                              </w:rPr>
                              <w:t>and</w:t>
                            </w:r>
                            <w:r>
                              <w:rPr>
                                <w:b/>
                                <w:color w:val="105C84"/>
                                <w:spacing w:val="-1"/>
                                <w:sz w:val="20"/>
                              </w:rPr>
                              <w:t> </w:t>
                            </w:r>
                            <w:r>
                              <w:rPr>
                                <w:b/>
                                <w:color w:val="105C84"/>
                                <w:sz w:val="20"/>
                              </w:rPr>
                              <w:t>Substance</w:t>
                            </w:r>
                            <w:r>
                              <w:rPr>
                                <w:b/>
                                <w:color w:val="105C84"/>
                                <w:spacing w:val="-1"/>
                                <w:sz w:val="20"/>
                              </w:rPr>
                              <w:t> </w:t>
                            </w:r>
                            <w:r>
                              <w:rPr>
                                <w:b/>
                                <w:color w:val="105C84"/>
                                <w:sz w:val="20"/>
                              </w:rPr>
                              <w:t>Use</w:t>
                            </w:r>
                            <w:r>
                              <w:rPr>
                                <w:b/>
                                <w:color w:val="105C84"/>
                                <w:spacing w:val="-1"/>
                                <w:sz w:val="20"/>
                              </w:rPr>
                              <w:t> </w:t>
                            </w:r>
                            <w:r>
                              <w:rPr>
                                <w:b/>
                                <w:color w:val="105C84"/>
                                <w:spacing w:val="-2"/>
                                <w:sz w:val="20"/>
                              </w:rPr>
                              <w:t>Disorders</w:t>
                            </w:r>
                          </w:p>
                          <w:p>
                            <w:pPr>
                              <w:pStyle w:val="TableParagraph"/>
                              <w:numPr>
                                <w:ilvl w:val="0"/>
                                <w:numId w:val="5"/>
                              </w:numPr>
                              <w:tabs>
                                <w:tab w:pos="612" w:val="left" w:leader="none"/>
                              </w:tabs>
                              <w:spacing w:line="240" w:lineRule="auto" w:before="100" w:after="0"/>
                              <w:ind w:left="612" w:right="0" w:hanging="213"/>
                              <w:jc w:val="left"/>
                              <w:rPr>
                                <w:sz w:val="20"/>
                              </w:rPr>
                            </w:pPr>
                            <w:r>
                              <w:rPr>
                                <w:color w:val="105C84"/>
                                <w:sz w:val="20"/>
                              </w:rPr>
                              <w:t>Promote</w:t>
                            </w:r>
                            <w:r>
                              <w:rPr>
                                <w:color w:val="105C84"/>
                                <w:spacing w:val="27"/>
                                <w:sz w:val="20"/>
                              </w:rPr>
                              <w:t> </w:t>
                            </w:r>
                            <w:r>
                              <w:rPr>
                                <w:color w:val="105C84"/>
                                <w:sz w:val="20"/>
                              </w:rPr>
                              <w:t>well-</w:t>
                            </w:r>
                            <w:r>
                              <w:rPr>
                                <w:color w:val="105C84"/>
                                <w:spacing w:val="-2"/>
                                <w:sz w:val="20"/>
                              </w:rPr>
                              <w:t>being</w:t>
                            </w:r>
                          </w:p>
                          <w:p>
                            <w:pPr>
                              <w:pStyle w:val="TableParagraph"/>
                              <w:numPr>
                                <w:ilvl w:val="0"/>
                                <w:numId w:val="5"/>
                              </w:numPr>
                              <w:tabs>
                                <w:tab w:pos="612" w:val="left" w:leader="none"/>
                              </w:tabs>
                              <w:spacing w:line="240" w:lineRule="auto" w:before="10" w:after="0"/>
                              <w:ind w:left="612" w:right="0" w:hanging="213"/>
                              <w:jc w:val="left"/>
                              <w:rPr>
                                <w:sz w:val="20"/>
                              </w:rPr>
                            </w:pPr>
                            <w:r>
                              <w:rPr>
                                <w:color w:val="105C84"/>
                                <w:sz w:val="20"/>
                              </w:rPr>
                              <w:t>Mental</w:t>
                            </w:r>
                            <w:r>
                              <w:rPr>
                                <w:color w:val="105C84"/>
                                <w:spacing w:val="4"/>
                                <w:sz w:val="20"/>
                              </w:rPr>
                              <w:t> </w:t>
                            </w:r>
                            <w:r>
                              <w:rPr>
                                <w:color w:val="105C84"/>
                                <w:sz w:val="20"/>
                              </w:rPr>
                              <w:t>and</w:t>
                            </w:r>
                            <w:r>
                              <w:rPr>
                                <w:color w:val="105C84"/>
                                <w:spacing w:val="5"/>
                                <w:sz w:val="20"/>
                              </w:rPr>
                              <w:t> </w:t>
                            </w:r>
                            <w:r>
                              <w:rPr>
                                <w:color w:val="105C84"/>
                                <w:sz w:val="20"/>
                              </w:rPr>
                              <w:t>substance</w:t>
                            </w:r>
                            <w:r>
                              <w:rPr>
                                <w:color w:val="105C84"/>
                                <w:spacing w:val="5"/>
                                <w:sz w:val="20"/>
                              </w:rPr>
                              <w:t> </w:t>
                            </w:r>
                            <w:r>
                              <w:rPr>
                                <w:color w:val="105C84"/>
                                <w:sz w:val="20"/>
                              </w:rPr>
                              <w:t>use</w:t>
                            </w:r>
                            <w:r>
                              <w:rPr>
                                <w:color w:val="105C84"/>
                                <w:spacing w:val="4"/>
                                <w:sz w:val="20"/>
                              </w:rPr>
                              <w:t> </w:t>
                            </w:r>
                            <w:r>
                              <w:rPr>
                                <w:color w:val="105C84"/>
                                <w:sz w:val="20"/>
                              </w:rPr>
                              <w:t>disorders</w:t>
                            </w:r>
                            <w:r>
                              <w:rPr>
                                <w:color w:val="105C84"/>
                                <w:spacing w:val="5"/>
                                <w:sz w:val="20"/>
                              </w:rPr>
                              <w:t> </w:t>
                            </w:r>
                            <w:r>
                              <w:rPr>
                                <w:color w:val="105C84"/>
                                <w:spacing w:val="-2"/>
                                <w:sz w:val="20"/>
                              </w:rPr>
                              <w:t>prevention</w:t>
                            </w:r>
                          </w:p>
                          <w:p>
                            <w:pPr>
                              <w:pStyle w:val="TableParagraph"/>
                              <w:spacing w:before="80"/>
                              <w:ind w:left="179"/>
                              <w:rPr>
                                <w:b/>
                                <w:sz w:val="20"/>
                              </w:rPr>
                            </w:pPr>
                            <w:r>
                              <w:rPr>
                                <w:b/>
                                <w:color w:val="00A79E"/>
                                <w:sz w:val="20"/>
                              </w:rPr>
                              <w:t>Disparity:</w:t>
                            </w:r>
                            <w:r>
                              <w:rPr>
                                <w:b/>
                                <w:color w:val="00A79E"/>
                                <w:spacing w:val="-10"/>
                                <w:sz w:val="20"/>
                              </w:rPr>
                              <w:t> </w:t>
                            </w:r>
                            <w:r>
                              <w:rPr>
                                <w:b/>
                                <w:color w:val="00A79E"/>
                                <w:sz w:val="20"/>
                              </w:rPr>
                              <w:t>low</w:t>
                            </w:r>
                            <w:r>
                              <w:rPr>
                                <w:b/>
                                <w:color w:val="00A79E"/>
                                <w:spacing w:val="-9"/>
                                <w:sz w:val="20"/>
                              </w:rPr>
                              <w:t> </w:t>
                            </w:r>
                            <w:r>
                              <w:rPr>
                                <w:b/>
                                <w:color w:val="00A79E"/>
                                <w:sz w:val="20"/>
                              </w:rPr>
                              <w:t>socioeconomic</w:t>
                            </w:r>
                            <w:r>
                              <w:rPr>
                                <w:b/>
                                <w:color w:val="00A79E"/>
                                <w:spacing w:val="-9"/>
                                <w:sz w:val="20"/>
                              </w:rPr>
                              <w:t> </w:t>
                            </w:r>
                            <w:r>
                              <w:rPr>
                                <w:b/>
                                <w:color w:val="00A79E"/>
                                <w:sz w:val="20"/>
                              </w:rPr>
                              <w:t>status</w:t>
                            </w:r>
                            <w:r>
                              <w:rPr>
                                <w:b/>
                                <w:color w:val="00A79E"/>
                                <w:spacing w:val="-9"/>
                                <w:sz w:val="20"/>
                              </w:rPr>
                              <w:t> </w:t>
                            </w:r>
                            <w:r>
                              <w:rPr>
                                <w:b/>
                                <w:color w:val="00A79E"/>
                                <w:sz w:val="20"/>
                              </w:rPr>
                              <w:t>and</w:t>
                            </w:r>
                            <w:r>
                              <w:rPr>
                                <w:b/>
                                <w:color w:val="00A79E"/>
                                <w:spacing w:val="-9"/>
                                <w:sz w:val="20"/>
                              </w:rPr>
                              <w:t> </w:t>
                            </w:r>
                            <w:r>
                              <w:rPr>
                                <w:b/>
                                <w:color w:val="00A79E"/>
                                <w:sz w:val="20"/>
                              </w:rPr>
                              <w:t>older</w:t>
                            </w:r>
                            <w:r>
                              <w:rPr>
                                <w:b/>
                                <w:color w:val="00A79E"/>
                                <w:spacing w:val="-9"/>
                                <w:sz w:val="20"/>
                              </w:rPr>
                              <w:t> </w:t>
                            </w:r>
                            <w:r>
                              <w:rPr>
                                <w:b/>
                                <w:color w:val="00A79E"/>
                                <w:spacing w:val="-2"/>
                                <w:sz w:val="20"/>
                              </w:rPr>
                              <w:t>adults</w:t>
                            </w:r>
                          </w:p>
                        </w:tc>
                      </w:tr>
                      <w:tr>
                        <w:trPr>
                          <w:trHeight w:val="2795" w:hRule="atLeast"/>
                        </w:trPr>
                        <w:tc>
                          <w:tcPr>
                            <w:tcW w:w="2388" w:type="dxa"/>
                          </w:tcPr>
                          <w:p>
                            <w:pPr>
                              <w:pStyle w:val="TableParagraph"/>
                              <w:spacing w:before="100"/>
                              <w:ind w:left="179"/>
                              <w:rPr>
                                <w:b/>
                                <w:sz w:val="20"/>
                              </w:rPr>
                            </w:pPr>
                            <w:r>
                              <w:rPr>
                                <w:b/>
                                <w:color w:val="105C84"/>
                                <w:sz w:val="20"/>
                              </w:rPr>
                              <w:t>Ontario</w:t>
                            </w:r>
                            <w:r>
                              <w:rPr>
                                <w:b/>
                                <w:color w:val="105C84"/>
                                <w:spacing w:val="26"/>
                                <w:sz w:val="20"/>
                              </w:rPr>
                              <w:t> </w:t>
                            </w:r>
                            <w:r>
                              <w:rPr>
                                <w:b/>
                                <w:color w:val="105C84"/>
                                <w:spacing w:val="-2"/>
                                <w:sz w:val="20"/>
                              </w:rPr>
                              <w:t>County</w:t>
                            </w:r>
                          </w:p>
                        </w:tc>
                        <w:tc>
                          <w:tcPr>
                            <w:tcW w:w="7673" w:type="dxa"/>
                          </w:tcPr>
                          <w:p>
                            <w:pPr>
                              <w:pStyle w:val="TableParagraph"/>
                              <w:spacing w:before="100"/>
                              <w:ind w:left="179"/>
                              <w:rPr>
                                <w:b/>
                                <w:sz w:val="20"/>
                              </w:rPr>
                            </w:pPr>
                            <w:r>
                              <w:rPr>
                                <w:b/>
                                <w:color w:val="105C84"/>
                                <w:spacing w:val="-2"/>
                                <w:sz w:val="20"/>
                              </w:rPr>
                              <w:t>Prevent</w:t>
                            </w:r>
                            <w:r>
                              <w:rPr>
                                <w:b/>
                                <w:color w:val="105C84"/>
                                <w:spacing w:val="-1"/>
                                <w:sz w:val="20"/>
                              </w:rPr>
                              <w:t> </w:t>
                            </w:r>
                            <w:r>
                              <w:rPr>
                                <w:b/>
                                <w:color w:val="105C84"/>
                                <w:spacing w:val="-2"/>
                                <w:sz w:val="20"/>
                              </w:rPr>
                              <w:t>Chronic</w:t>
                            </w:r>
                            <w:r>
                              <w:rPr>
                                <w:b/>
                                <w:color w:val="105C84"/>
                                <w:sz w:val="20"/>
                              </w:rPr>
                              <w:t> </w:t>
                            </w:r>
                            <w:r>
                              <w:rPr>
                                <w:b/>
                                <w:color w:val="105C84"/>
                                <w:spacing w:val="-2"/>
                                <w:sz w:val="20"/>
                              </w:rPr>
                              <w:t>Diseases</w:t>
                            </w:r>
                          </w:p>
                          <w:p>
                            <w:pPr>
                              <w:pStyle w:val="TableParagraph"/>
                              <w:numPr>
                                <w:ilvl w:val="0"/>
                                <w:numId w:val="6"/>
                              </w:numPr>
                              <w:tabs>
                                <w:tab w:pos="612" w:val="left" w:leader="none"/>
                              </w:tabs>
                              <w:spacing w:line="240" w:lineRule="auto" w:before="100" w:after="0"/>
                              <w:ind w:left="612" w:right="0" w:hanging="213"/>
                              <w:jc w:val="left"/>
                              <w:rPr>
                                <w:sz w:val="20"/>
                              </w:rPr>
                            </w:pPr>
                            <w:r>
                              <w:rPr>
                                <w:color w:val="105C84"/>
                                <w:sz w:val="20"/>
                              </w:rPr>
                              <w:t>Chronic</w:t>
                            </w:r>
                            <w:r>
                              <w:rPr>
                                <w:color w:val="105C84"/>
                                <w:spacing w:val="1"/>
                                <w:sz w:val="20"/>
                              </w:rPr>
                              <w:t> </w:t>
                            </w:r>
                            <w:r>
                              <w:rPr>
                                <w:color w:val="105C84"/>
                                <w:sz w:val="20"/>
                              </w:rPr>
                              <w:t>disease</w:t>
                            </w:r>
                            <w:r>
                              <w:rPr>
                                <w:color w:val="105C84"/>
                                <w:spacing w:val="3"/>
                                <w:sz w:val="20"/>
                              </w:rPr>
                              <w:t> </w:t>
                            </w:r>
                            <w:r>
                              <w:rPr>
                                <w:color w:val="105C84"/>
                                <w:sz w:val="20"/>
                              </w:rPr>
                              <w:t>preventative</w:t>
                            </w:r>
                            <w:r>
                              <w:rPr>
                                <w:color w:val="105C84"/>
                                <w:spacing w:val="4"/>
                                <w:sz w:val="20"/>
                              </w:rPr>
                              <w:t> </w:t>
                            </w:r>
                            <w:r>
                              <w:rPr>
                                <w:color w:val="105C84"/>
                                <w:sz w:val="20"/>
                              </w:rPr>
                              <w:t>care</w:t>
                            </w:r>
                            <w:r>
                              <w:rPr>
                                <w:color w:val="105C84"/>
                                <w:spacing w:val="3"/>
                                <w:sz w:val="20"/>
                              </w:rPr>
                              <w:t> </w:t>
                            </w:r>
                            <w:r>
                              <w:rPr>
                                <w:color w:val="105C84"/>
                                <w:sz w:val="20"/>
                              </w:rPr>
                              <w:t>and</w:t>
                            </w:r>
                            <w:r>
                              <w:rPr>
                                <w:color w:val="105C84"/>
                                <w:spacing w:val="4"/>
                                <w:sz w:val="20"/>
                              </w:rPr>
                              <w:t> </w:t>
                            </w:r>
                            <w:r>
                              <w:rPr>
                                <w:color w:val="105C84"/>
                                <w:spacing w:val="-2"/>
                                <w:sz w:val="20"/>
                              </w:rPr>
                              <w:t>management</w:t>
                            </w:r>
                          </w:p>
                          <w:p>
                            <w:pPr>
                              <w:pStyle w:val="TableParagraph"/>
                              <w:numPr>
                                <w:ilvl w:val="0"/>
                                <w:numId w:val="6"/>
                              </w:numPr>
                              <w:tabs>
                                <w:tab w:pos="613" w:val="left" w:leader="none"/>
                              </w:tabs>
                              <w:spacing w:line="240" w:lineRule="auto" w:before="10" w:after="0"/>
                              <w:ind w:left="613" w:right="0" w:hanging="213"/>
                              <w:jc w:val="left"/>
                              <w:rPr>
                                <w:sz w:val="20"/>
                              </w:rPr>
                            </w:pPr>
                            <w:r>
                              <w:rPr>
                                <w:color w:val="105C84"/>
                                <w:sz w:val="20"/>
                              </w:rPr>
                              <w:t>Tobacco</w:t>
                            </w:r>
                            <w:r>
                              <w:rPr>
                                <w:color w:val="105C84"/>
                                <w:spacing w:val="-13"/>
                                <w:sz w:val="20"/>
                              </w:rPr>
                              <w:t> </w:t>
                            </w:r>
                            <w:r>
                              <w:rPr>
                                <w:color w:val="105C84"/>
                                <w:spacing w:val="-2"/>
                                <w:sz w:val="20"/>
                              </w:rPr>
                              <w:t>prevention</w:t>
                            </w:r>
                          </w:p>
                          <w:p>
                            <w:pPr>
                              <w:pStyle w:val="TableParagraph"/>
                              <w:numPr>
                                <w:ilvl w:val="0"/>
                                <w:numId w:val="6"/>
                              </w:numPr>
                              <w:tabs>
                                <w:tab w:pos="613" w:val="left" w:leader="none"/>
                              </w:tabs>
                              <w:spacing w:line="240" w:lineRule="auto" w:before="10" w:after="0"/>
                              <w:ind w:left="613" w:right="0" w:hanging="213"/>
                              <w:jc w:val="left"/>
                              <w:rPr>
                                <w:sz w:val="20"/>
                              </w:rPr>
                            </w:pPr>
                            <w:r>
                              <w:rPr>
                                <w:color w:val="105C84"/>
                                <w:sz w:val="20"/>
                              </w:rPr>
                              <w:t>Healthy</w:t>
                            </w:r>
                            <w:r>
                              <w:rPr>
                                <w:color w:val="105C84"/>
                                <w:spacing w:val="19"/>
                                <w:sz w:val="20"/>
                              </w:rPr>
                              <w:t> </w:t>
                            </w:r>
                            <w:r>
                              <w:rPr>
                                <w:color w:val="105C84"/>
                                <w:sz w:val="20"/>
                              </w:rPr>
                              <w:t>eating</w:t>
                            </w:r>
                            <w:r>
                              <w:rPr>
                                <w:color w:val="105C84"/>
                                <w:spacing w:val="19"/>
                                <w:sz w:val="20"/>
                              </w:rPr>
                              <w:t> </w:t>
                            </w:r>
                            <w:r>
                              <w:rPr>
                                <w:color w:val="105C84"/>
                                <w:sz w:val="20"/>
                              </w:rPr>
                              <w:t>and</w:t>
                            </w:r>
                            <w:r>
                              <w:rPr>
                                <w:color w:val="105C84"/>
                                <w:spacing w:val="19"/>
                                <w:sz w:val="20"/>
                              </w:rPr>
                              <w:t> </w:t>
                            </w:r>
                            <w:r>
                              <w:rPr>
                                <w:color w:val="105C84"/>
                                <w:sz w:val="20"/>
                              </w:rPr>
                              <w:t>food</w:t>
                            </w:r>
                            <w:r>
                              <w:rPr>
                                <w:color w:val="105C84"/>
                                <w:spacing w:val="19"/>
                                <w:sz w:val="20"/>
                              </w:rPr>
                              <w:t> </w:t>
                            </w:r>
                            <w:r>
                              <w:rPr>
                                <w:color w:val="105C84"/>
                                <w:spacing w:val="-2"/>
                                <w:sz w:val="20"/>
                              </w:rPr>
                              <w:t>security</w:t>
                            </w:r>
                          </w:p>
                          <w:p>
                            <w:pPr>
                              <w:pStyle w:val="TableParagraph"/>
                              <w:spacing w:before="170"/>
                              <w:ind w:left="180"/>
                              <w:rPr>
                                <w:b/>
                                <w:sz w:val="20"/>
                              </w:rPr>
                            </w:pPr>
                            <w:r>
                              <w:rPr>
                                <w:b/>
                                <w:color w:val="105C84"/>
                                <w:sz w:val="20"/>
                              </w:rPr>
                              <w:t>Promote</w:t>
                            </w:r>
                            <w:r>
                              <w:rPr>
                                <w:b/>
                                <w:color w:val="105C84"/>
                                <w:spacing w:val="-2"/>
                                <w:sz w:val="20"/>
                              </w:rPr>
                              <w:t> </w:t>
                            </w:r>
                            <w:r>
                              <w:rPr>
                                <w:b/>
                                <w:color w:val="105C84"/>
                                <w:sz w:val="20"/>
                              </w:rPr>
                              <w:t>Well-Being</w:t>
                            </w:r>
                            <w:r>
                              <w:rPr>
                                <w:b/>
                                <w:color w:val="105C84"/>
                                <w:spacing w:val="-1"/>
                                <w:sz w:val="20"/>
                              </w:rPr>
                              <w:t> </w:t>
                            </w:r>
                            <w:r>
                              <w:rPr>
                                <w:b/>
                                <w:color w:val="105C84"/>
                                <w:sz w:val="20"/>
                              </w:rPr>
                              <w:t>and</w:t>
                            </w:r>
                            <w:r>
                              <w:rPr>
                                <w:b/>
                                <w:color w:val="105C84"/>
                                <w:spacing w:val="-1"/>
                                <w:sz w:val="20"/>
                              </w:rPr>
                              <w:t> </w:t>
                            </w:r>
                            <w:r>
                              <w:rPr>
                                <w:b/>
                                <w:color w:val="105C84"/>
                                <w:sz w:val="20"/>
                              </w:rPr>
                              <w:t>Prevent</w:t>
                            </w:r>
                            <w:r>
                              <w:rPr>
                                <w:b/>
                                <w:color w:val="105C84"/>
                                <w:spacing w:val="-1"/>
                                <w:sz w:val="20"/>
                              </w:rPr>
                              <w:t> </w:t>
                            </w:r>
                            <w:r>
                              <w:rPr>
                                <w:b/>
                                <w:color w:val="105C84"/>
                                <w:sz w:val="20"/>
                              </w:rPr>
                              <w:t>Mental</w:t>
                            </w:r>
                            <w:r>
                              <w:rPr>
                                <w:b/>
                                <w:color w:val="105C84"/>
                                <w:spacing w:val="-1"/>
                                <w:sz w:val="20"/>
                              </w:rPr>
                              <w:t> </w:t>
                            </w:r>
                            <w:r>
                              <w:rPr>
                                <w:b/>
                                <w:color w:val="105C84"/>
                                <w:sz w:val="20"/>
                              </w:rPr>
                              <w:t>and</w:t>
                            </w:r>
                            <w:r>
                              <w:rPr>
                                <w:b/>
                                <w:color w:val="105C84"/>
                                <w:spacing w:val="-1"/>
                                <w:sz w:val="20"/>
                              </w:rPr>
                              <w:t> </w:t>
                            </w:r>
                            <w:r>
                              <w:rPr>
                                <w:b/>
                                <w:color w:val="105C84"/>
                                <w:sz w:val="20"/>
                              </w:rPr>
                              <w:t>Substance</w:t>
                            </w:r>
                            <w:r>
                              <w:rPr>
                                <w:b/>
                                <w:color w:val="105C84"/>
                                <w:spacing w:val="-1"/>
                                <w:sz w:val="20"/>
                              </w:rPr>
                              <w:t> </w:t>
                            </w:r>
                            <w:r>
                              <w:rPr>
                                <w:b/>
                                <w:color w:val="105C84"/>
                                <w:sz w:val="20"/>
                              </w:rPr>
                              <w:t>Use</w:t>
                            </w:r>
                            <w:r>
                              <w:rPr>
                                <w:b/>
                                <w:color w:val="105C84"/>
                                <w:spacing w:val="-1"/>
                                <w:sz w:val="20"/>
                              </w:rPr>
                              <w:t> </w:t>
                            </w:r>
                            <w:r>
                              <w:rPr>
                                <w:b/>
                                <w:color w:val="105C84"/>
                                <w:spacing w:val="-2"/>
                                <w:sz w:val="20"/>
                              </w:rPr>
                              <w:t>Disorders</w:t>
                            </w:r>
                          </w:p>
                          <w:p>
                            <w:pPr>
                              <w:pStyle w:val="TableParagraph"/>
                              <w:numPr>
                                <w:ilvl w:val="0"/>
                                <w:numId w:val="6"/>
                              </w:numPr>
                              <w:tabs>
                                <w:tab w:pos="613" w:val="left" w:leader="none"/>
                              </w:tabs>
                              <w:spacing w:line="240" w:lineRule="auto" w:before="100" w:after="0"/>
                              <w:ind w:left="613" w:right="0" w:hanging="213"/>
                              <w:jc w:val="left"/>
                              <w:rPr>
                                <w:sz w:val="20"/>
                              </w:rPr>
                            </w:pPr>
                            <w:r>
                              <w:rPr>
                                <w:color w:val="105C84"/>
                                <w:sz w:val="20"/>
                              </w:rPr>
                              <w:t>Promote</w:t>
                            </w:r>
                            <w:r>
                              <w:rPr>
                                <w:color w:val="105C84"/>
                                <w:spacing w:val="27"/>
                                <w:sz w:val="20"/>
                              </w:rPr>
                              <w:t> </w:t>
                            </w:r>
                            <w:r>
                              <w:rPr>
                                <w:color w:val="105C84"/>
                                <w:sz w:val="20"/>
                              </w:rPr>
                              <w:t>well-</w:t>
                            </w:r>
                            <w:r>
                              <w:rPr>
                                <w:color w:val="105C84"/>
                                <w:spacing w:val="-2"/>
                                <w:sz w:val="20"/>
                              </w:rPr>
                              <w:t>being</w:t>
                            </w:r>
                          </w:p>
                          <w:p>
                            <w:pPr>
                              <w:pStyle w:val="TableParagraph"/>
                              <w:numPr>
                                <w:ilvl w:val="0"/>
                                <w:numId w:val="6"/>
                              </w:numPr>
                              <w:tabs>
                                <w:tab w:pos="613" w:val="left" w:leader="none"/>
                              </w:tabs>
                              <w:spacing w:line="249" w:lineRule="auto" w:before="10" w:after="0"/>
                              <w:ind w:left="400" w:right="734" w:firstLine="0"/>
                              <w:jc w:val="left"/>
                              <w:rPr>
                                <w:sz w:val="20"/>
                              </w:rPr>
                            </w:pPr>
                            <w:r>
                              <w:rPr>
                                <w:color w:val="105C84"/>
                                <w:sz w:val="20"/>
                              </w:rPr>
                              <w:t>Strengthen opportunities to build well-being and resilience across </w:t>
                            </w:r>
                            <w:r>
                              <w:rPr>
                                <w:color w:val="105C84"/>
                                <w:sz w:val="20"/>
                              </w:rPr>
                              <w:t>the </w:t>
                            </w:r>
                            <w:r>
                              <w:rPr>
                                <w:color w:val="105C84"/>
                                <w:spacing w:val="-2"/>
                                <w:w w:val="105"/>
                                <w:sz w:val="20"/>
                              </w:rPr>
                              <w:t>lifespan</w:t>
                            </w:r>
                          </w:p>
                          <w:p>
                            <w:pPr>
                              <w:pStyle w:val="TableParagraph"/>
                              <w:spacing w:before="71"/>
                              <w:ind w:left="180"/>
                              <w:rPr>
                                <w:b/>
                                <w:sz w:val="20"/>
                              </w:rPr>
                            </w:pPr>
                            <w:r>
                              <w:rPr>
                                <w:b/>
                                <w:color w:val="00A79E"/>
                                <w:sz w:val="20"/>
                              </w:rPr>
                              <w:t>Disparity: low</w:t>
                            </w:r>
                            <w:r>
                              <w:rPr>
                                <w:b/>
                                <w:color w:val="00A79E"/>
                                <w:spacing w:val="3"/>
                                <w:sz w:val="20"/>
                              </w:rPr>
                              <w:t> </w:t>
                            </w:r>
                            <w:r>
                              <w:rPr>
                                <w:b/>
                                <w:color w:val="00A79E"/>
                                <w:spacing w:val="-2"/>
                                <w:sz w:val="20"/>
                              </w:rPr>
                              <w:t>income</w:t>
                            </w:r>
                          </w:p>
                        </w:tc>
                      </w:tr>
                      <w:tr>
                        <w:trPr>
                          <w:trHeight w:val="1835" w:hRule="atLeast"/>
                        </w:trPr>
                        <w:tc>
                          <w:tcPr>
                            <w:tcW w:w="2388" w:type="dxa"/>
                            <w:shd w:val="clear" w:color="auto" w:fill="EFEFF0"/>
                          </w:tcPr>
                          <w:p>
                            <w:pPr>
                              <w:pStyle w:val="TableParagraph"/>
                              <w:spacing w:before="100"/>
                              <w:ind w:left="180"/>
                              <w:rPr>
                                <w:b/>
                                <w:sz w:val="20"/>
                              </w:rPr>
                            </w:pPr>
                            <w:r>
                              <w:rPr>
                                <w:b/>
                                <w:color w:val="105C84"/>
                                <w:spacing w:val="-5"/>
                                <w:sz w:val="20"/>
                              </w:rPr>
                              <w:t>Schuyler</w:t>
                            </w:r>
                            <w:r>
                              <w:rPr>
                                <w:b/>
                                <w:color w:val="105C84"/>
                                <w:spacing w:val="1"/>
                                <w:sz w:val="20"/>
                              </w:rPr>
                              <w:t> </w:t>
                            </w:r>
                            <w:r>
                              <w:rPr>
                                <w:b/>
                                <w:color w:val="105C84"/>
                                <w:spacing w:val="-2"/>
                                <w:sz w:val="20"/>
                              </w:rPr>
                              <w:t>County</w:t>
                            </w:r>
                          </w:p>
                        </w:tc>
                        <w:tc>
                          <w:tcPr>
                            <w:tcW w:w="7673" w:type="dxa"/>
                            <w:shd w:val="clear" w:color="auto" w:fill="EFEFF0"/>
                          </w:tcPr>
                          <w:p>
                            <w:pPr>
                              <w:pStyle w:val="TableParagraph"/>
                              <w:spacing w:before="100"/>
                              <w:ind w:left="180"/>
                              <w:rPr>
                                <w:b/>
                                <w:sz w:val="20"/>
                              </w:rPr>
                            </w:pPr>
                            <w:r>
                              <w:rPr>
                                <w:b/>
                                <w:color w:val="105C84"/>
                                <w:spacing w:val="-2"/>
                                <w:sz w:val="20"/>
                              </w:rPr>
                              <w:t>Prevent</w:t>
                            </w:r>
                            <w:r>
                              <w:rPr>
                                <w:b/>
                                <w:color w:val="105C84"/>
                                <w:spacing w:val="-1"/>
                                <w:sz w:val="20"/>
                              </w:rPr>
                              <w:t> </w:t>
                            </w:r>
                            <w:r>
                              <w:rPr>
                                <w:b/>
                                <w:color w:val="105C84"/>
                                <w:spacing w:val="-2"/>
                                <w:sz w:val="20"/>
                              </w:rPr>
                              <w:t>Chronic</w:t>
                            </w:r>
                            <w:r>
                              <w:rPr>
                                <w:b/>
                                <w:color w:val="105C84"/>
                                <w:sz w:val="20"/>
                              </w:rPr>
                              <w:t> </w:t>
                            </w:r>
                            <w:r>
                              <w:rPr>
                                <w:b/>
                                <w:color w:val="105C84"/>
                                <w:spacing w:val="-2"/>
                                <w:sz w:val="20"/>
                              </w:rPr>
                              <w:t>Diseases</w:t>
                            </w:r>
                          </w:p>
                          <w:p>
                            <w:pPr>
                              <w:pStyle w:val="TableParagraph"/>
                              <w:numPr>
                                <w:ilvl w:val="0"/>
                                <w:numId w:val="7"/>
                              </w:numPr>
                              <w:tabs>
                                <w:tab w:pos="613" w:val="left" w:leader="none"/>
                              </w:tabs>
                              <w:spacing w:line="240" w:lineRule="auto" w:before="100" w:after="0"/>
                              <w:ind w:left="613" w:right="0" w:hanging="213"/>
                              <w:jc w:val="left"/>
                              <w:rPr>
                                <w:sz w:val="20"/>
                              </w:rPr>
                            </w:pPr>
                            <w:r>
                              <w:rPr>
                                <w:color w:val="105C84"/>
                                <w:sz w:val="20"/>
                              </w:rPr>
                              <w:t>Chronic</w:t>
                            </w:r>
                            <w:r>
                              <w:rPr>
                                <w:color w:val="105C84"/>
                                <w:spacing w:val="1"/>
                                <w:sz w:val="20"/>
                              </w:rPr>
                              <w:t> </w:t>
                            </w:r>
                            <w:r>
                              <w:rPr>
                                <w:color w:val="105C84"/>
                                <w:sz w:val="20"/>
                              </w:rPr>
                              <w:t>disease</w:t>
                            </w:r>
                            <w:r>
                              <w:rPr>
                                <w:color w:val="105C84"/>
                                <w:spacing w:val="3"/>
                                <w:sz w:val="20"/>
                              </w:rPr>
                              <w:t> </w:t>
                            </w:r>
                            <w:r>
                              <w:rPr>
                                <w:color w:val="105C84"/>
                                <w:sz w:val="20"/>
                              </w:rPr>
                              <w:t>preventative</w:t>
                            </w:r>
                            <w:r>
                              <w:rPr>
                                <w:color w:val="105C84"/>
                                <w:spacing w:val="4"/>
                                <w:sz w:val="20"/>
                              </w:rPr>
                              <w:t> </w:t>
                            </w:r>
                            <w:r>
                              <w:rPr>
                                <w:color w:val="105C84"/>
                                <w:sz w:val="20"/>
                              </w:rPr>
                              <w:t>care</w:t>
                            </w:r>
                            <w:r>
                              <w:rPr>
                                <w:color w:val="105C84"/>
                                <w:spacing w:val="3"/>
                                <w:sz w:val="20"/>
                              </w:rPr>
                              <w:t> </w:t>
                            </w:r>
                            <w:r>
                              <w:rPr>
                                <w:color w:val="105C84"/>
                                <w:sz w:val="20"/>
                              </w:rPr>
                              <w:t>and</w:t>
                            </w:r>
                            <w:r>
                              <w:rPr>
                                <w:color w:val="105C84"/>
                                <w:spacing w:val="4"/>
                                <w:sz w:val="20"/>
                              </w:rPr>
                              <w:t> </w:t>
                            </w:r>
                            <w:r>
                              <w:rPr>
                                <w:color w:val="105C84"/>
                                <w:spacing w:val="-2"/>
                                <w:sz w:val="20"/>
                              </w:rPr>
                              <w:t>management</w:t>
                            </w:r>
                          </w:p>
                          <w:p>
                            <w:pPr>
                              <w:pStyle w:val="TableParagraph"/>
                              <w:spacing w:before="170"/>
                              <w:ind w:left="180"/>
                              <w:rPr>
                                <w:b/>
                                <w:sz w:val="20"/>
                              </w:rPr>
                            </w:pPr>
                            <w:r>
                              <w:rPr>
                                <w:b/>
                                <w:color w:val="105C84"/>
                                <w:sz w:val="20"/>
                              </w:rPr>
                              <w:t>Promote</w:t>
                            </w:r>
                            <w:r>
                              <w:rPr>
                                <w:b/>
                                <w:color w:val="105C84"/>
                                <w:spacing w:val="-2"/>
                                <w:sz w:val="20"/>
                              </w:rPr>
                              <w:t> </w:t>
                            </w:r>
                            <w:r>
                              <w:rPr>
                                <w:b/>
                                <w:color w:val="105C84"/>
                                <w:sz w:val="20"/>
                              </w:rPr>
                              <w:t>Well-Being</w:t>
                            </w:r>
                            <w:r>
                              <w:rPr>
                                <w:b/>
                                <w:color w:val="105C84"/>
                                <w:spacing w:val="-1"/>
                                <w:sz w:val="20"/>
                              </w:rPr>
                              <w:t> </w:t>
                            </w:r>
                            <w:r>
                              <w:rPr>
                                <w:b/>
                                <w:color w:val="105C84"/>
                                <w:sz w:val="20"/>
                              </w:rPr>
                              <w:t>and</w:t>
                            </w:r>
                            <w:r>
                              <w:rPr>
                                <w:b/>
                                <w:color w:val="105C84"/>
                                <w:spacing w:val="-1"/>
                                <w:sz w:val="20"/>
                              </w:rPr>
                              <w:t> </w:t>
                            </w:r>
                            <w:r>
                              <w:rPr>
                                <w:b/>
                                <w:color w:val="105C84"/>
                                <w:sz w:val="20"/>
                              </w:rPr>
                              <w:t>Prevent</w:t>
                            </w:r>
                            <w:r>
                              <w:rPr>
                                <w:b/>
                                <w:color w:val="105C84"/>
                                <w:spacing w:val="-1"/>
                                <w:sz w:val="20"/>
                              </w:rPr>
                              <w:t> </w:t>
                            </w:r>
                            <w:r>
                              <w:rPr>
                                <w:b/>
                                <w:color w:val="105C84"/>
                                <w:sz w:val="20"/>
                              </w:rPr>
                              <w:t>Mental</w:t>
                            </w:r>
                            <w:r>
                              <w:rPr>
                                <w:b/>
                                <w:color w:val="105C84"/>
                                <w:spacing w:val="-1"/>
                                <w:sz w:val="20"/>
                              </w:rPr>
                              <w:t> </w:t>
                            </w:r>
                            <w:r>
                              <w:rPr>
                                <w:b/>
                                <w:color w:val="105C84"/>
                                <w:sz w:val="20"/>
                              </w:rPr>
                              <w:t>and</w:t>
                            </w:r>
                            <w:r>
                              <w:rPr>
                                <w:b/>
                                <w:color w:val="105C84"/>
                                <w:spacing w:val="-1"/>
                                <w:sz w:val="20"/>
                              </w:rPr>
                              <w:t> </w:t>
                            </w:r>
                            <w:r>
                              <w:rPr>
                                <w:b/>
                                <w:color w:val="105C84"/>
                                <w:sz w:val="20"/>
                              </w:rPr>
                              <w:t>Substance</w:t>
                            </w:r>
                            <w:r>
                              <w:rPr>
                                <w:b/>
                                <w:color w:val="105C84"/>
                                <w:spacing w:val="-1"/>
                                <w:sz w:val="20"/>
                              </w:rPr>
                              <w:t> </w:t>
                            </w:r>
                            <w:r>
                              <w:rPr>
                                <w:b/>
                                <w:color w:val="105C84"/>
                                <w:sz w:val="20"/>
                              </w:rPr>
                              <w:t>Use</w:t>
                            </w:r>
                            <w:r>
                              <w:rPr>
                                <w:b/>
                                <w:color w:val="105C84"/>
                                <w:spacing w:val="-1"/>
                                <w:sz w:val="20"/>
                              </w:rPr>
                              <w:t> </w:t>
                            </w:r>
                            <w:r>
                              <w:rPr>
                                <w:b/>
                                <w:color w:val="105C84"/>
                                <w:spacing w:val="-2"/>
                                <w:sz w:val="20"/>
                              </w:rPr>
                              <w:t>Disorders</w:t>
                            </w:r>
                          </w:p>
                          <w:p>
                            <w:pPr>
                              <w:pStyle w:val="TableParagraph"/>
                              <w:numPr>
                                <w:ilvl w:val="0"/>
                                <w:numId w:val="7"/>
                              </w:numPr>
                              <w:tabs>
                                <w:tab w:pos="613" w:val="left" w:leader="none"/>
                              </w:tabs>
                              <w:spacing w:line="240" w:lineRule="auto" w:before="100" w:after="0"/>
                              <w:ind w:left="613" w:right="0" w:hanging="213"/>
                              <w:jc w:val="left"/>
                              <w:rPr>
                                <w:sz w:val="20"/>
                              </w:rPr>
                            </w:pPr>
                            <w:r>
                              <w:rPr>
                                <w:color w:val="105C84"/>
                                <w:sz w:val="20"/>
                              </w:rPr>
                              <w:t>Prevent</w:t>
                            </w:r>
                            <w:r>
                              <w:rPr>
                                <w:color w:val="105C84"/>
                                <w:spacing w:val="-3"/>
                                <w:sz w:val="20"/>
                              </w:rPr>
                              <w:t> </w:t>
                            </w:r>
                            <w:r>
                              <w:rPr>
                                <w:color w:val="105C84"/>
                                <w:sz w:val="20"/>
                              </w:rPr>
                              <w:t>mental</w:t>
                            </w:r>
                            <w:r>
                              <w:rPr>
                                <w:color w:val="105C84"/>
                                <w:spacing w:val="-2"/>
                                <w:sz w:val="20"/>
                              </w:rPr>
                              <w:t> </w:t>
                            </w:r>
                            <w:r>
                              <w:rPr>
                                <w:color w:val="105C84"/>
                                <w:sz w:val="20"/>
                              </w:rPr>
                              <w:t>and</w:t>
                            </w:r>
                            <w:r>
                              <w:rPr>
                                <w:color w:val="105C84"/>
                                <w:spacing w:val="-3"/>
                                <w:sz w:val="20"/>
                              </w:rPr>
                              <w:t> </w:t>
                            </w:r>
                            <w:r>
                              <w:rPr>
                                <w:color w:val="105C84"/>
                                <w:sz w:val="20"/>
                              </w:rPr>
                              <w:t>substance</w:t>
                            </w:r>
                            <w:r>
                              <w:rPr>
                                <w:color w:val="105C84"/>
                                <w:spacing w:val="-2"/>
                                <w:sz w:val="20"/>
                              </w:rPr>
                              <w:t> </w:t>
                            </w:r>
                            <w:r>
                              <w:rPr>
                                <w:color w:val="105C84"/>
                                <w:sz w:val="20"/>
                              </w:rPr>
                              <w:t>use</w:t>
                            </w:r>
                            <w:r>
                              <w:rPr>
                                <w:color w:val="105C84"/>
                                <w:spacing w:val="-3"/>
                                <w:sz w:val="20"/>
                              </w:rPr>
                              <w:t> </w:t>
                            </w:r>
                            <w:r>
                              <w:rPr>
                                <w:color w:val="105C84"/>
                                <w:spacing w:val="-2"/>
                                <w:sz w:val="20"/>
                              </w:rPr>
                              <w:t>disorders</w:t>
                            </w:r>
                          </w:p>
                          <w:p>
                            <w:pPr>
                              <w:pStyle w:val="TableParagraph"/>
                              <w:spacing w:before="80"/>
                              <w:ind w:left="180"/>
                              <w:rPr>
                                <w:b/>
                                <w:sz w:val="20"/>
                              </w:rPr>
                            </w:pPr>
                            <w:r>
                              <w:rPr>
                                <w:b/>
                                <w:color w:val="00A79E"/>
                                <w:sz w:val="20"/>
                              </w:rPr>
                              <w:t>Disparity: low</w:t>
                            </w:r>
                            <w:r>
                              <w:rPr>
                                <w:b/>
                                <w:color w:val="00A79E"/>
                                <w:spacing w:val="3"/>
                                <w:sz w:val="20"/>
                              </w:rPr>
                              <w:t> </w:t>
                            </w:r>
                            <w:r>
                              <w:rPr>
                                <w:b/>
                                <w:color w:val="00A79E"/>
                                <w:spacing w:val="-2"/>
                                <w:sz w:val="20"/>
                              </w:rPr>
                              <w:t>income</w:t>
                            </w:r>
                          </w:p>
                        </w:tc>
                      </w:tr>
                      <w:tr>
                        <w:trPr>
                          <w:trHeight w:val="2465" w:hRule="atLeast"/>
                        </w:trPr>
                        <w:tc>
                          <w:tcPr>
                            <w:tcW w:w="2388" w:type="dxa"/>
                          </w:tcPr>
                          <w:p>
                            <w:pPr>
                              <w:pStyle w:val="TableParagraph"/>
                              <w:spacing w:before="100"/>
                              <w:ind w:left="180"/>
                              <w:rPr>
                                <w:b/>
                                <w:sz w:val="20"/>
                              </w:rPr>
                            </w:pPr>
                            <w:r>
                              <w:rPr>
                                <w:b/>
                                <w:color w:val="105C84"/>
                                <w:spacing w:val="-4"/>
                                <w:sz w:val="20"/>
                              </w:rPr>
                              <w:t>Seneca</w:t>
                            </w:r>
                            <w:r>
                              <w:rPr>
                                <w:b/>
                                <w:color w:val="105C84"/>
                                <w:spacing w:val="-2"/>
                                <w:sz w:val="20"/>
                              </w:rPr>
                              <w:t> County</w:t>
                            </w:r>
                          </w:p>
                        </w:tc>
                        <w:tc>
                          <w:tcPr>
                            <w:tcW w:w="7673" w:type="dxa"/>
                          </w:tcPr>
                          <w:p>
                            <w:pPr>
                              <w:pStyle w:val="TableParagraph"/>
                              <w:spacing w:before="100"/>
                              <w:ind w:left="180"/>
                              <w:rPr>
                                <w:b/>
                                <w:sz w:val="20"/>
                              </w:rPr>
                            </w:pPr>
                            <w:r>
                              <w:rPr>
                                <w:b/>
                                <w:color w:val="105C84"/>
                                <w:spacing w:val="-2"/>
                                <w:sz w:val="20"/>
                              </w:rPr>
                              <w:t>Prevent</w:t>
                            </w:r>
                            <w:r>
                              <w:rPr>
                                <w:b/>
                                <w:color w:val="105C84"/>
                                <w:spacing w:val="-1"/>
                                <w:sz w:val="20"/>
                              </w:rPr>
                              <w:t> </w:t>
                            </w:r>
                            <w:r>
                              <w:rPr>
                                <w:b/>
                                <w:color w:val="105C84"/>
                                <w:spacing w:val="-2"/>
                                <w:sz w:val="20"/>
                              </w:rPr>
                              <w:t>Chronic</w:t>
                            </w:r>
                            <w:r>
                              <w:rPr>
                                <w:b/>
                                <w:color w:val="105C84"/>
                                <w:sz w:val="20"/>
                              </w:rPr>
                              <w:t> </w:t>
                            </w:r>
                            <w:r>
                              <w:rPr>
                                <w:b/>
                                <w:color w:val="105C84"/>
                                <w:spacing w:val="-2"/>
                                <w:sz w:val="20"/>
                              </w:rPr>
                              <w:t>Diseases</w:t>
                            </w:r>
                          </w:p>
                          <w:p>
                            <w:pPr>
                              <w:pStyle w:val="TableParagraph"/>
                              <w:numPr>
                                <w:ilvl w:val="0"/>
                                <w:numId w:val="8"/>
                              </w:numPr>
                              <w:tabs>
                                <w:tab w:pos="613" w:val="left" w:leader="none"/>
                              </w:tabs>
                              <w:spacing w:line="240" w:lineRule="auto" w:before="100" w:after="0"/>
                              <w:ind w:left="613" w:right="0" w:hanging="213"/>
                              <w:jc w:val="left"/>
                              <w:rPr>
                                <w:sz w:val="20"/>
                              </w:rPr>
                            </w:pPr>
                            <w:r>
                              <w:rPr>
                                <w:color w:val="105C84"/>
                                <w:sz w:val="20"/>
                              </w:rPr>
                              <w:t>Chronic</w:t>
                            </w:r>
                            <w:r>
                              <w:rPr>
                                <w:color w:val="105C84"/>
                                <w:spacing w:val="1"/>
                                <w:sz w:val="20"/>
                              </w:rPr>
                              <w:t> </w:t>
                            </w:r>
                            <w:r>
                              <w:rPr>
                                <w:color w:val="105C84"/>
                                <w:sz w:val="20"/>
                              </w:rPr>
                              <w:t>disease</w:t>
                            </w:r>
                            <w:r>
                              <w:rPr>
                                <w:color w:val="105C84"/>
                                <w:spacing w:val="3"/>
                                <w:sz w:val="20"/>
                              </w:rPr>
                              <w:t> </w:t>
                            </w:r>
                            <w:r>
                              <w:rPr>
                                <w:color w:val="105C84"/>
                                <w:sz w:val="20"/>
                              </w:rPr>
                              <w:t>preventative</w:t>
                            </w:r>
                            <w:r>
                              <w:rPr>
                                <w:color w:val="105C84"/>
                                <w:spacing w:val="4"/>
                                <w:sz w:val="20"/>
                              </w:rPr>
                              <w:t> </w:t>
                            </w:r>
                            <w:r>
                              <w:rPr>
                                <w:color w:val="105C84"/>
                                <w:sz w:val="20"/>
                              </w:rPr>
                              <w:t>care</w:t>
                            </w:r>
                            <w:r>
                              <w:rPr>
                                <w:color w:val="105C84"/>
                                <w:spacing w:val="3"/>
                                <w:sz w:val="20"/>
                              </w:rPr>
                              <w:t> </w:t>
                            </w:r>
                            <w:r>
                              <w:rPr>
                                <w:color w:val="105C84"/>
                                <w:sz w:val="20"/>
                              </w:rPr>
                              <w:t>and</w:t>
                            </w:r>
                            <w:r>
                              <w:rPr>
                                <w:color w:val="105C84"/>
                                <w:spacing w:val="4"/>
                                <w:sz w:val="20"/>
                              </w:rPr>
                              <w:t> </w:t>
                            </w:r>
                            <w:r>
                              <w:rPr>
                                <w:color w:val="105C84"/>
                                <w:spacing w:val="-2"/>
                                <w:sz w:val="20"/>
                              </w:rPr>
                              <w:t>management</w:t>
                            </w:r>
                          </w:p>
                          <w:p>
                            <w:pPr>
                              <w:pStyle w:val="TableParagraph"/>
                              <w:numPr>
                                <w:ilvl w:val="0"/>
                                <w:numId w:val="8"/>
                              </w:numPr>
                              <w:tabs>
                                <w:tab w:pos="613" w:val="left" w:leader="none"/>
                              </w:tabs>
                              <w:spacing w:line="240" w:lineRule="auto" w:before="10" w:after="0"/>
                              <w:ind w:left="613" w:right="0" w:hanging="213"/>
                              <w:jc w:val="left"/>
                              <w:rPr>
                                <w:sz w:val="20"/>
                              </w:rPr>
                            </w:pPr>
                            <w:r>
                              <w:rPr>
                                <w:color w:val="105C84"/>
                                <w:sz w:val="20"/>
                              </w:rPr>
                              <w:t>Healthy</w:t>
                            </w:r>
                            <w:r>
                              <w:rPr>
                                <w:color w:val="105C84"/>
                                <w:spacing w:val="19"/>
                                <w:sz w:val="20"/>
                              </w:rPr>
                              <w:t> </w:t>
                            </w:r>
                            <w:r>
                              <w:rPr>
                                <w:color w:val="105C84"/>
                                <w:sz w:val="20"/>
                              </w:rPr>
                              <w:t>eating</w:t>
                            </w:r>
                            <w:r>
                              <w:rPr>
                                <w:color w:val="105C84"/>
                                <w:spacing w:val="19"/>
                                <w:sz w:val="20"/>
                              </w:rPr>
                              <w:t> </w:t>
                            </w:r>
                            <w:r>
                              <w:rPr>
                                <w:color w:val="105C84"/>
                                <w:sz w:val="20"/>
                              </w:rPr>
                              <w:t>and</w:t>
                            </w:r>
                            <w:r>
                              <w:rPr>
                                <w:color w:val="105C84"/>
                                <w:spacing w:val="19"/>
                                <w:sz w:val="20"/>
                              </w:rPr>
                              <w:t> </w:t>
                            </w:r>
                            <w:r>
                              <w:rPr>
                                <w:color w:val="105C84"/>
                                <w:sz w:val="20"/>
                              </w:rPr>
                              <w:t>food</w:t>
                            </w:r>
                            <w:r>
                              <w:rPr>
                                <w:color w:val="105C84"/>
                                <w:spacing w:val="19"/>
                                <w:sz w:val="20"/>
                              </w:rPr>
                              <w:t> </w:t>
                            </w:r>
                            <w:r>
                              <w:rPr>
                                <w:color w:val="105C84"/>
                                <w:spacing w:val="-2"/>
                                <w:sz w:val="20"/>
                              </w:rPr>
                              <w:t>security</w:t>
                            </w:r>
                          </w:p>
                          <w:p>
                            <w:pPr>
                              <w:pStyle w:val="TableParagraph"/>
                              <w:numPr>
                                <w:ilvl w:val="0"/>
                                <w:numId w:val="8"/>
                              </w:numPr>
                              <w:tabs>
                                <w:tab w:pos="612" w:val="left" w:leader="none"/>
                              </w:tabs>
                              <w:spacing w:line="240" w:lineRule="auto" w:before="10" w:after="0"/>
                              <w:ind w:left="612" w:right="0" w:hanging="213"/>
                              <w:jc w:val="left"/>
                              <w:rPr>
                                <w:sz w:val="20"/>
                              </w:rPr>
                            </w:pPr>
                            <w:r>
                              <w:rPr>
                                <w:color w:val="105C84"/>
                                <w:sz w:val="20"/>
                              </w:rPr>
                              <w:t>Tobacco</w:t>
                            </w:r>
                            <w:r>
                              <w:rPr>
                                <w:color w:val="105C84"/>
                                <w:spacing w:val="-13"/>
                                <w:sz w:val="20"/>
                              </w:rPr>
                              <w:t> </w:t>
                            </w:r>
                            <w:r>
                              <w:rPr>
                                <w:color w:val="105C84"/>
                                <w:spacing w:val="-2"/>
                                <w:sz w:val="20"/>
                              </w:rPr>
                              <w:t>prevention</w:t>
                            </w:r>
                          </w:p>
                          <w:p>
                            <w:pPr>
                              <w:pStyle w:val="TableParagraph"/>
                              <w:spacing w:before="80"/>
                              <w:ind w:left="179"/>
                              <w:rPr>
                                <w:b/>
                                <w:sz w:val="20"/>
                              </w:rPr>
                            </w:pPr>
                            <w:r>
                              <w:rPr>
                                <w:b/>
                                <w:color w:val="105C84"/>
                                <w:sz w:val="20"/>
                              </w:rPr>
                              <w:t>Promote</w:t>
                            </w:r>
                            <w:r>
                              <w:rPr>
                                <w:b/>
                                <w:color w:val="105C84"/>
                                <w:spacing w:val="-2"/>
                                <w:sz w:val="20"/>
                              </w:rPr>
                              <w:t> </w:t>
                            </w:r>
                            <w:r>
                              <w:rPr>
                                <w:b/>
                                <w:color w:val="105C84"/>
                                <w:sz w:val="20"/>
                              </w:rPr>
                              <w:t>Well-Being</w:t>
                            </w:r>
                            <w:r>
                              <w:rPr>
                                <w:b/>
                                <w:color w:val="105C84"/>
                                <w:spacing w:val="-1"/>
                                <w:sz w:val="20"/>
                              </w:rPr>
                              <w:t> </w:t>
                            </w:r>
                            <w:r>
                              <w:rPr>
                                <w:b/>
                                <w:color w:val="105C84"/>
                                <w:sz w:val="20"/>
                              </w:rPr>
                              <w:t>and</w:t>
                            </w:r>
                            <w:r>
                              <w:rPr>
                                <w:b/>
                                <w:color w:val="105C84"/>
                                <w:spacing w:val="-1"/>
                                <w:sz w:val="20"/>
                              </w:rPr>
                              <w:t> </w:t>
                            </w:r>
                            <w:r>
                              <w:rPr>
                                <w:b/>
                                <w:color w:val="105C84"/>
                                <w:sz w:val="20"/>
                              </w:rPr>
                              <w:t>Prevent</w:t>
                            </w:r>
                            <w:r>
                              <w:rPr>
                                <w:b/>
                                <w:color w:val="105C84"/>
                                <w:spacing w:val="-1"/>
                                <w:sz w:val="20"/>
                              </w:rPr>
                              <w:t> </w:t>
                            </w:r>
                            <w:r>
                              <w:rPr>
                                <w:b/>
                                <w:color w:val="105C84"/>
                                <w:sz w:val="20"/>
                              </w:rPr>
                              <w:t>Mental</w:t>
                            </w:r>
                            <w:r>
                              <w:rPr>
                                <w:b/>
                                <w:color w:val="105C84"/>
                                <w:spacing w:val="-1"/>
                                <w:sz w:val="20"/>
                              </w:rPr>
                              <w:t> </w:t>
                            </w:r>
                            <w:r>
                              <w:rPr>
                                <w:b/>
                                <w:color w:val="105C84"/>
                                <w:sz w:val="20"/>
                              </w:rPr>
                              <w:t>and</w:t>
                            </w:r>
                            <w:r>
                              <w:rPr>
                                <w:b/>
                                <w:color w:val="105C84"/>
                                <w:spacing w:val="-1"/>
                                <w:sz w:val="20"/>
                              </w:rPr>
                              <w:t> </w:t>
                            </w:r>
                            <w:r>
                              <w:rPr>
                                <w:b/>
                                <w:color w:val="105C84"/>
                                <w:sz w:val="20"/>
                              </w:rPr>
                              <w:t>Substance</w:t>
                            </w:r>
                            <w:r>
                              <w:rPr>
                                <w:b/>
                                <w:color w:val="105C84"/>
                                <w:spacing w:val="-1"/>
                                <w:sz w:val="20"/>
                              </w:rPr>
                              <w:t> </w:t>
                            </w:r>
                            <w:r>
                              <w:rPr>
                                <w:b/>
                                <w:color w:val="105C84"/>
                                <w:sz w:val="20"/>
                              </w:rPr>
                              <w:t>Use</w:t>
                            </w:r>
                            <w:r>
                              <w:rPr>
                                <w:b/>
                                <w:color w:val="105C84"/>
                                <w:spacing w:val="-1"/>
                                <w:sz w:val="20"/>
                              </w:rPr>
                              <w:t> </w:t>
                            </w:r>
                            <w:r>
                              <w:rPr>
                                <w:b/>
                                <w:color w:val="105C84"/>
                                <w:spacing w:val="-2"/>
                                <w:sz w:val="20"/>
                              </w:rPr>
                              <w:t>Disorders</w:t>
                            </w:r>
                          </w:p>
                          <w:p>
                            <w:pPr>
                              <w:pStyle w:val="TableParagraph"/>
                              <w:numPr>
                                <w:ilvl w:val="0"/>
                                <w:numId w:val="9"/>
                              </w:numPr>
                              <w:tabs>
                                <w:tab w:pos="612" w:val="left" w:leader="none"/>
                              </w:tabs>
                              <w:spacing w:line="240" w:lineRule="auto" w:before="100" w:after="0"/>
                              <w:ind w:left="612" w:right="0" w:hanging="213"/>
                              <w:jc w:val="left"/>
                              <w:rPr>
                                <w:sz w:val="20"/>
                              </w:rPr>
                            </w:pPr>
                            <w:r>
                              <w:rPr>
                                <w:color w:val="105C84"/>
                                <w:sz w:val="20"/>
                              </w:rPr>
                              <w:t>Promote</w:t>
                            </w:r>
                            <w:r>
                              <w:rPr>
                                <w:color w:val="105C84"/>
                                <w:spacing w:val="27"/>
                                <w:sz w:val="20"/>
                              </w:rPr>
                              <w:t> </w:t>
                            </w:r>
                            <w:r>
                              <w:rPr>
                                <w:color w:val="105C84"/>
                                <w:sz w:val="20"/>
                              </w:rPr>
                              <w:t>well-</w:t>
                            </w:r>
                            <w:r>
                              <w:rPr>
                                <w:color w:val="105C84"/>
                                <w:spacing w:val="-2"/>
                                <w:sz w:val="20"/>
                              </w:rPr>
                              <w:t>being</w:t>
                            </w:r>
                          </w:p>
                          <w:p>
                            <w:pPr>
                              <w:pStyle w:val="TableParagraph"/>
                              <w:numPr>
                                <w:ilvl w:val="0"/>
                                <w:numId w:val="9"/>
                              </w:numPr>
                              <w:tabs>
                                <w:tab w:pos="612" w:val="left" w:leader="none"/>
                              </w:tabs>
                              <w:spacing w:line="240" w:lineRule="auto" w:before="10" w:after="0"/>
                              <w:ind w:left="612" w:right="0" w:hanging="213"/>
                              <w:jc w:val="left"/>
                              <w:rPr>
                                <w:sz w:val="20"/>
                              </w:rPr>
                            </w:pPr>
                            <w:r>
                              <w:rPr>
                                <w:color w:val="105C84"/>
                                <w:sz w:val="20"/>
                              </w:rPr>
                              <w:t>Prevent</w:t>
                            </w:r>
                            <w:r>
                              <w:rPr>
                                <w:color w:val="105C84"/>
                                <w:spacing w:val="-3"/>
                                <w:sz w:val="20"/>
                              </w:rPr>
                              <w:t> </w:t>
                            </w:r>
                            <w:r>
                              <w:rPr>
                                <w:color w:val="105C84"/>
                                <w:sz w:val="20"/>
                              </w:rPr>
                              <w:t>mental</w:t>
                            </w:r>
                            <w:r>
                              <w:rPr>
                                <w:color w:val="105C84"/>
                                <w:spacing w:val="-2"/>
                                <w:sz w:val="20"/>
                              </w:rPr>
                              <w:t> </w:t>
                            </w:r>
                            <w:r>
                              <w:rPr>
                                <w:color w:val="105C84"/>
                                <w:sz w:val="20"/>
                              </w:rPr>
                              <w:t>and</w:t>
                            </w:r>
                            <w:r>
                              <w:rPr>
                                <w:color w:val="105C84"/>
                                <w:spacing w:val="-3"/>
                                <w:sz w:val="20"/>
                              </w:rPr>
                              <w:t> </w:t>
                            </w:r>
                            <w:r>
                              <w:rPr>
                                <w:color w:val="105C84"/>
                                <w:sz w:val="20"/>
                              </w:rPr>
                              <w:t>substance</w:t>
                            </w:r>
                            <w:r>
                              <w:rPr>
                                <w:color w:val="105C84"/>
                                <w:spacing w:val="-2"/>
                                <w:sz w:val="20"/>
                              </w:rPr>
                              <w:t> </w:t>
                            </w:r>
                            <w:r>
                              <w:rPr>
                                <w:color w:val="105C84"/>
                                <w:sz w:val="20"/>
                              </w:rPr>
                              <w:t>use</w:t>
                            </w:r>
                            <w:r>
                              <w:rPr>
                                <w:color w:val="105C84"/>
                                <w:spacing w:val="-3"/>
                                <w:sz w:val="20"/>
                              </w:rPr>
                              <w:t> </w:t>
                            </w:r>
                            <w:r>
                              <w:rPr>
                                <w:color w:val="105C84"/>
                                <w:spacing w:val="-2"/>
                                <w:sz w:val="20"/>
                              </w:rPr>
                              <w:t>disorders</w:t>
                            </w:r>
                          </w:p>
                          <w:p>
                            <w:pPr>
                              <w:pStyle w:val="TableParagraph"/>
                              <w:spacing w:before="80"/>
                              <w:ind w:left="179"/>
                              <w:rPr>
                                <w:b/>
                                <w:sz w:val="20"/>
                              </w:rPr>
                            </w:pPr>
                            <w:r>
                              <w:rPr>
                                <w:b/>
                                <w:color w:val="00A79E"/>
                                <w:spacing w:val="-2"/>
                                <w:sz w:val="20"/>
                              </w:rPr>
                              <w:t>Disparity:</w:t>
                            </w:r>
                            <w:r>
                              <w:rPr>
                                <w:b/>
                                <w:color w:val="00A79E"/>
                                <w:sz w:val="20"/>
                              </w:rPr>
                              <w:t> </w:t>
                            </w:r>
                            <w:r>
                              <w:rPr>
                                <w:b/>
                                <w:color w:val="00A79E"/>
                                <w:spacing w:val="-2"/>
                                <w:sz w:val="20"/>
                              </w:rPr>
                              <w:t>low</w:t>
                            </w:r>
                            <w:r>
                              <w:rPr>
                                <w:b/>
                                <w:color w:val="00A79E"/>
                                <w:sz w:val="20"/>
                              </w:rPr>
                              <w:t> </w:t>
                            </w:r>
                            <w:r>
                              <w:rPr>
                                <w:b/>
                                <w:color w:val="00A79E"/>
                                <w:spacing w:val="-2"/>
                                <w:sz w:val="20"/>
                              </w:rPr>
                              <w:t>socioeconomic</w:t>
                            </w:r>
                            <w:r>
                              <w:rPr>
                                <w:b/>
                                <w:color w:val="00A79E"/>
                                <w:sz w:val="20"/>
                              </w:rPr>
                              <w:t> </w:t>
                            </w:r>
                            <w:r>
                              <w:rPr>
                                <w:b/>
                                <w:color w:val="00A79E"/>
                                <w:spacing w:val="-2"/>
                                <w:sz w:val="20"/>
                              </w:rPr>
                              <w:t>status</w:t>
                            </w:r>
                          </w:p>
                        </w:tc>
                      </w:tr>
                    </w:tbl>
                    <w:p>
                      <w:pPr>
                        <w:pStyle w:val="BodyText"/>
                      </w:pPr>
                    </w:p>
                  </w:txbxContent>
                </v:textbox>
                <w10:wrap type="none"/>
              </v:shape>
            </w:pict>
          </mc:Fallback>
        </mc:AlternateContent>
      </w:r>
      <w:r>
        <w:rPr>
          <w:color w:val="636466"/>
          <w:sz w:val="14"/>
        </w:rPr>
        <w:t>Livingston</w:t>
      </w:r>
      <w:r>
        <w:rPr>
          <w:color w:val="636466"/>
          <w:spacing w:val="-3"/>
          <w:sz w:val="14"/>
        </w:rPr>
        <w:t> </w:t>
      </w:r>
      <w:r>
        <w:rPr>
          <w:color w:val="636466"/>
          <w:sz w:val="14"/>
        </w:rPr>
        <w:t>County</w:t>
      </w:r>
      <w:r>
        <w:rPr>
          <w:color w:val="636466"/>
          <w:spacing w:val="-3"/>
          <w:sz w:val="14"/>
        </w:rPr>
        <w:t> </w:t>
      </w:r>
      <w:r>
        <w:rPr>
          <w:color w:val="636466"/>
          <w:sz w:val="14"/>
        </w:rPr>
        <w:t>received</w:t>
      </w:r>
      <w:r>
        <w:rPr>
          <w:color w:val="636466"/>
          <w:spacing w:val="-3"/>
          <w:sz w:val="14"/>
        </w:rPr>
        <w:t> </w:t>
      </w:r>
      <w:r>
        <w:rPr>
          <w:color w:val="636466"/>
          <w:sz w:val="14"/>
        </w:rPr>
        <w:t>support</w:t>
      </w:r>
      <w:r>
        <w:rPr>
          <w:color w:val="636466"/>
          <w:spacing w:val="-3"/>
          <w:sz w:val="14"/>
        </w:rPr>
        <w:t> </w:t>
      </w:r>
      <w:r>
        <w:rPr>
          <w:color w:val="636466"/>
          <w:sz w:val="14"/>
        </w:rPr>
        <w:t>from</w:t>
      </w:r>
      <w:r>
        <w:rPr>
          <w:color w:val="636466"/>
          <w:spacing w:val="-2"/>
          <w:sz w:val="14"/>
        </w:rPr>
        <w:t> </w:t>
      </w:r>
      <w:r>
        <w:rPr>
          <w:color w:val="636466"/>
          <w:sz w:val="14"/>
        </w:rPr>
        <w:t>the</w:t>
      </w:r>
      <w:r>
        <w:rPr>
          <w:color w:val="636466"/>
          <w:spacing w:val="-3"/>
          <w:sz w:val="14"/>
        </w:rPr>
        <w:t> </w:t>
      </w:r>
      <w:r>
        <w:rPr>
          <w:color w:val="636466"/>
          <w:sz w:val="14"/>
        </w:rPr>
        <w:t>Genesee</w:t>
      </w:r>
      <w:r>
        <w:rPr>
          <w:color w:val="636466"/>
          <w:spacing w:val="-3"/>
          <w:sz w:val="14"/>
        </w:rPr>
        <w:t> </w:t>
      </w:r>
      <w:r>
        <w:rPr>
          <w:color w:val="636466"/>
          <w:sz w:val="14"/>
        </w:rPr>
        <w:t>Valley</w:t>
      </w:r>
      <w:r>
        <w:rPr>
          <w:color w:val="636466"/>
          <w:spacing w:val="-3"/>
          <w:sz w:val="14"/>
        </w:rPr>
        <w:t> </w:t>
      </w:r>
      <w:r>
        <w:rPr>
          <w:color w:val="636466"/>
          <w:sz w:val="14"/>
        </w:rPr>
        <w:t>Health</w:t>
      </w:r>
      <w:r>
        <w:rPr>
          <w:color w:val="636466"/>
          <w:spacing w:val="-2"/>
          <w:sz w:val="14"/>
        </w:rPr>
        <w:t> </w:t>
      </w:r>
      <w:r>
        <w:rPr>
          <w:color w:val="636466"/>
          <w:sz w:val="14"/>
        </w:rPr>
        <w:t>Partnership</w:t>
      </w:r>
      <w:r>
        <w:rPr>
          <w:color w:val="636466"/>
          <w:spacing w:val="-3"/>
          <w:sz w:val="14"/>
        </w:rPr>
        <w:t> </w:t>
      </w:r>
      <w:r>
        <w:rPr>
          <w:color w:val="636466"/>
          <w:sz w:val="14"/>
        </w:rPr>
        <w:t>and</w:t>
      </w:r>
      <w:r>
        <w:rPr>
          <w:color w:val="636466"/>
          <w:spacing w:val="-3"/>
          <w:sz w:val="14"/>
        </w:rPr>
        <w:t> </w:t>
      </w:r>
      <w:r>
        <w:rPr>
          <w:color w:val="636466"/>
          <w:sz w:val="14"/>
        </w:rPr>
        <w:t>Common</w:t>
      </w:r>
      <w:r>
        <w:rPr>
          <w:color w:val="636466"/>
          <w:spacing w:val="-3"/>
          <w:sz w:val="14"/>
        </w:rPr>
        <w:t> </w:t>
      </w:r>
      <w:r>
        <w:rPr>
          <w:color w:val="636466"/>
          <w:sz w:val="14"/>
        </w:rPr>
        <w:t>Ground</w:t>
      </w:r>
      <w:r>
        <w:rPr>
          <w:color w:val="636466"/>
          <w:spacing w:val="-3"/>
          <w:sz w:val="14"/>
        </w:rPr>
        <w:t> </w:t>
      </w:r>
      <w:r>
        <w:rPr>
          <w:color w:val="636466"/>
          <w:spacing w:val="-2"/>
          <w:sz w:val="14"/>
        </w:rPr>
        <w:t>Health.</w:t>
      </w:r>
    </w:p>
    <w:p>
      <w:pPr>
        <w:pStyle w:val="ListParagraph"/>
        <w:numPr>
          <w:ilvl w:val="1"/>
          <w:numId w:val="3"/>
        </w:numPr>
        <w:tabs>
          <w:tab w:pos="4241" w:val="left" w:leader="none"/>
        </w:tabs>
        <w:spacing w:line="240" w:lineRule="auto" w:before="89" w:after="0"/>
        <w:ind w:left="4096" w:right="12644" w:firstLine="0"/>
        <w:jc w:val="left"/>
        <w:rPr>
          <w:sz w:val="14"/>
        </w:rPr>
      </w:pPr>
      <w:r>
        <w:rPr>
          <w:sz w:val="14"/>
        </w:rPr>
        <w:drawing>
          <wp:anchor distT="0" distB="0" distL="0" distR="0" allowOverlap="1" layoutInCell="1" locked="0" behindDoc="0" simplePos="0" relativeHeight="15738880">
            <wp:simplePos x="0" y="0"/>
            <wp:positionH relativeFrom="page">
              <wp:posOffset>0</wp:posOffset>
            </wp:positionH>
            <wp:positionV relativeFrom="paragraph">
              <wp:posOffset>240648</wp:posOffset>
            </wp:positionV>
            <wp:extent cx="568172" cy="184683"/>
            <wp:effectExtent l="0" t="0" r="0" b="0"/>
            <wp:wrapNone/>
            <wp:docPr id="83" name="Image 83"/>
            <wp:cNvGraphicFramePr>
              <a:graphicFrameLocks/>
            </wp:cNvGraphicFramePr>
            <a:graphic>
              <a:graphicData uri="http://schemas.openxmlformats.org/drawingml/2006/picture">
                <pic:pic>
                  <pic:nvPicPr>
                    <pic:cNvPr id="83" name="Image 83"/>
                    <pic:cNvPicPr/>
                  </pic:nvPicPr>
                  <pic:blipFill>
                    <a:blip r:embed="rId39" cstate="print"/>
                    <a:stretch>
                      <a:fillRect/>
                    </a:stretch>
                  </pic:blipFill>
                  <pic:spPr>
                    <a:xfrm>
                      <a:off x="0" y="0"/>
                      <a:ext cx="568172" cy="184683"/>
                    </a:xfrm>
                    <a:prstGeom prst="rect">
                      <a:avLst/>
                    </a:prstGeom>
                  </pic:spPr>
                </pic:pic>
              </a:graphicData>
            </a:graphic>
          </wp:anchor>
        </w:drawing>
      </w:r>
      <w:r>
        <w:rPr>
          <w:color w:val="636466"/>
          <w:sz w:val="14"/>
        </w:rPr>
        <w:t>Livingston County did not engage in the monthly check-ins and facilitated their own process. Common Ground</w:t>
      </w:r>
      <w:r>
        <w:rPr>
          <w:color w:val="636466"/>
          <w:spacing w:val="40"/>
          <w:sz w:val="14"/>
        </w:rPr>
        <w:t> </w:t>
      </w:r>
      <w:r>
        <w:rPr>
          <w:color w:val="636466"/>
          <w:sz w:val="14"/>
        </w:rPr>
        <w:t>Health served as the bridge to keep all parties apprised of updates</w:t>
      </w:r>
    </w:p>
    <w:p>
      <w:pPr>
        <w:tabs>
          <w:tab w:pos="4095" w:val="left" w:leader="none"/>
          <w:tab w:pos="23454" w:val="right" w:leader="none"/>
        </w:tabs>
        <w:spacing w:line="265" w:lineRule="exact" w:before="0"/>
        <w:ind w:left="1212" w:right="0" w:firstLine="0"/>
        <w:jc w:val="left"/>
        <w:rPr>
          <w:b/>
          <w:position w:val="1"/>
          <w:sz w:val="26"/>
        </w:rPr>
      </w:pPr>
      <w:r>
        <w:rPr>
          <w:b/>
          <w:color w:val="939598"/>
          <w:spacing w:val="-10"/>
          <w:position w:val="1"/>
          <w:sz w:val="26"/>
        </w:rPr>
        <w:t>9</w:t>
      </w:r>
      <w:r>
        <w:rPr>
          <w:b/>
          <w:color w:val="939598"/>
          <w:position w:val="1"/>
          <w:sz w:val="26"/>
        </w:rPr>
        <w:tab/>
      </w:r>
      <w:r>
        <w:rPr>
          <w:color w:val="636466"/>
          <w:sz w:val="14"/>
        </w:rPr>
        <w:t>3.</w:t>
      </w:r>
      <w:r>
        <w:rPr>
          <w:color w:val="636466"/>
          <w:spacing w:val="1"/>
          <w:sz w:val="14"/>
        </w:rPr>
        <w:t> </w:t>
      </w:r>
      <w:r>
        <w:rPr>
          <w:color w:val="636466"/>
          <w:sz w:val="14"/>
        </w:rPr>
        <w:t>Livingston</w:t>
      </w:r>
      <w:r>
        <w:rPr>
          <w:color w:val="636466"/>
          <w:spacing w:val="2"/>
          <w:sz w:val="14"/>
        </w:rPr>
        <w:t> </w:t>
      </w:r>
      <w:r>
        <w:rPr>
          <w:color w:val="636466"/>
          <w:sz w:val="14"/>
        </w:rPr>
        <w:t>County</w:t>
      </w:r>
      <w:r>
        <w:rPr>
          <w:color w:val="636466"/>
          <w:spacing w:val="2"/>
          <w:sz w:val="14"/>
        </w:rPr>
        <w:t> </w:t>
      </w:r>
      <w:r>
        <w:rPr>
          <w:color w:val="636466"/>
          <w:sz w:val="14"/>
        </w:rPr>
        <w:t>facilitated</w:t>
      </w:r>
      <w:r>
        <w:rPr>
          <w:color w:val="636466"/>
          <w:spacing w:val="1"/>
          <w:sz w:val="14"/>
        </w:rPr>
        <w:t> </w:t>
      </w:r>
      <w:r>
        <w:rPr>
          <w:color w:val="636466"/>
          <w:sz w:val="14"/>
        </w:rPr>
        <w:t>their</w:t>
      </w:r>
      <w:r>
        <w:rPr>
          <w:color w:val="636466"/>
          <w:spacing w:val="2"/>
          <w:sz w:val="14"/>
        </w:rPr>
        <w:t> </w:t>
      </w:r>
      <w:r>
        <w:rPr>
          <w:color w:val="636466"/>
          <w:sz w:val="14"/>
        </w:rPr>
        <w:t>own</w:t>
      </w:r>
      <w:r>
        <w:rPr>
          <w:color w:val="636466"/>
          <w:spacing w:val="2"/>
          <w:sz w:val="14"/>
        </w:rPr>
        <w:t> </w:t>
      </w:r>
      <w:r>
        <w:rPr>
          <w:color w:val="636466"/>
          <w:sz w:val="14"/>
        </w:rPr>
        <w:t>prioritization</w:t>
      </w:r>
      <w:r>
        <w:rPr>
          <w:color w:val="636466"/>
          <w:spacing w:val="2"/>
          <w:sz w:val="14"/>
        </w:rPr>
        <w:t> </w:t>
      </w:r>
      <w:r>
        <w:rPr>
          <w:color w:val="636466"/>
          <w:sz w:val="14"/>
        </w:rPr>
        <w:t>meeting</w:t>
      </w:r>
      <w:r>
        <w:rPr>
          <w:color w:val="636466"/>
          <w:spacing w:val="1"/>
          <w:sz w:val="14"/>
        </w:rPr>
        <w:t> </w:t>
      </w:r>
      <w:r>
        <w:rPr>
          <w:color w:val="636466"/>
          <w:sz w:val="14"/>
        </w:rPr>
        <w:t>with</w:t>
      </w:r>
      <w:r>
        <w:rPr>
          <w:color w:val="636466"/>
          <w:spacing w:val="2"/>
          <w:sz w:val="14"/>
        </w:rPr>
        <w:t> </w:t>
      </w:r>
      <w:r>
        <w:rPr>
          <w:color w:val="636466"/>
          <w:sz w:val="14"/>
        </w:rPr>
        <w:t>assistance</w:t>
      </w:r>
      <w:r>
        <w:rPr>
          <w:color w:val="636466"/>
          <w:spacing w:val="2"/>
          <w:sz w:val="14"/>
        </w:rPr>
        <w:t> </w:t>
      </w:r>
      <w:r>
        <w:rPr>
          <w:color w:val="636466"/>
          <w:sz w:val="14"/>
        </w:rPr>
        <w:t>of</w:t>
      </w:r>
      <w:r>
        <w:rPr>
          <w:color w:val="636466"/>
          <w:spacing w:val="2"/>
          <w:sz w:val="14"/>
        </w:rPr>
        <w:t> </w:t>
      </w:r>
      <w:r>
        <w:rPr>
          <w:color w:val="636466"/>
          <w:sz w:val="14"/>
        </w:rPr>
        <w:t>Common</w:t>
      </w:r>
      <w:r>
        <w:rPr>
          <w:color w:val="636466"/>
          <w:spacing w:val="1"/>
          <w:sz w:val="14"/>
        </w:rPr>
        <w:t> </w:t>
      </w:r>
      <w:r>
        <w:rPr>
          <w:color w:val="636466"/>
          <w:sz w:val="14"/>
        </w:rPr>
        <w:t>Ground</w:t>
      </w:r>
      <w:r>
        <w:rPr>
          <w:color w:val="636466"/>
          <w:spacing w:val="2"/>
          <w:sz w:val="14"/>
        </w:rPr>
        <w:t> </w:t>
      </w:r>
      <w:r>
        <w:rPr>
          <w:color w:val="636466"/>
          <w:spacing w:val="-2"/>
          <w:sz w:val="14"/>
        </w:rPr>
        <w:t>Health.</w:t>
      </w:r>
      <w:r>
        <w:rPr>
          <w:color w:val="636466"/>
          <w:sz w:val="14"/>
        </w:rPr>
        <w:tab/>
      </w:r>
      <w:r>
        <w:rPr>
          <w:b/>
          <w:color w:val="939598"/>
          <w:spacing w:val="-5"/>
          <w:position w:val="1"/>
          <w:sz w:val="26"/>
        </w:rPr>
        <w:t>10</w:t>
      </w:r>
    </w:p>
    <w:p>
      <w:pPr>
        <w:spacing w:after="0" w:line="265" w:lineRule="exact"/>
        <w:jc w:val="left"/>
        <w:rPr>
          <w:b/>
          <w:position w:val="1"/>
          <w:sz w:val="26"/>
        </w:rPr>
        <w:sectPr>
          <w:type w:val="continuous"/>
          <w:pgSz w:w="24480" w:h="15840" w:orient="landscape"/>
          <w:pgMar w:header="0" w:footer="0" w:top="0" w:bottom="280" w:left="0" w:right="720"/>
        </w:sectPr>
      </w:pPr>
    </w:p>
    <w:p>
      <w:pPr>
        <w:pStyle w:val="BodyText"/>
        <w:spacing w:before="6"/>
        <w:rPr>
          <w:b/>
          <w:sz w:val="20"/>
        </w:rPr>
      </w:pPr>
    </w:p>
    <w:p>
      <w:pPr>
        <w:pStyle w:val="BodyText"/>
        <w:spacing w:after="0"/>
        <w:rPr>
          <w:b/>
          <w:sz w:val="20"/>
        </w:rPr>
        <w:sectPr>
          <w:headerReference w:type="default" r:id="rId47"/>
          <w:pgSz w:w="24480" w:h="15840" w:orient="landscape"/>
          <w:pgMar w:header="0" w:footer="0" w:top="1120" w:bottom="0" w:left="0" w:right="720"/>
        </w:sectPr>
      </w:pPr>
    </w:p>
    <w:p>
      <w:pPr>
        <w:pStyle w:val="BodyText"/>
        <w:spacing w:before="6"/>
        <w:rPr>
          <w:b/>
          <w:sz w:val="9"/>
        </w:rPr>
      </w:pPr>
    </w:p>
    <w:tbl>
      <w:tblPr>
        <w:tblW w:w="0" w:type="auto"/>
        <w:jc w:val="left"/>
        <w:tblInd w:w="1099"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top w:w="0" w:type="dxa"/>
          <w:left w:w="0" w:type="dxa"/>
          <w:bottom w:w="0" w:type="dxa"/>
          <w:right w:w="0" w:type="dxa"/>
        </w:tblCellMar>
        <w:tblLook w:val="01E0"/>
      </w:tblPr>
      <w:tblGrid>
        <w:gridCol w:w="2388"/>
        <w:gridCol w:w="7673"/>
      </w:tblGrid>
      <w:tr>
        <w:trPr>
          <w:trHeight w:val="503" w:hRule="atLeast"/>
        </w:trPr>
        <w:tc>
          <w:tcPr>
            <w:tcW w:w="2388" w:type="dxa"/>
            <w:tcBorders>
              <w:right w:val="single" w:sz="4" w:space="0" w:color="FFFFFF"/>
            </w:tcBorders>
            <w:shd w:val="clear" w:color="auto" w:fill="82BF6A"/>
          </w:tcPr>
          <w:p>
            <w:pPr>
              <w:pStyle w:val="TableParagraph"/>
              <w:spacing w:before="103"/>
              <w:ind w:left="180"/>
              <w:rPr>
                <w:b/>
                <w:sz w:val="26"/>
              </w:rPr>
            </w:pPr>
            <w:r>
              <w:rPr>
                <w:b/>
                <w:color w:val="FFFFFF"/>
                <w:spacing w:val="-2"/>
                <w:sz w:val="26"/>
              </w:rPr>
              <w:t>COUNTY</w:t>
            </w:r>
          </w:p>
        </w:tc>
        <w:tc>
          <w:tcPr>
            <w:tcW w:w="7673" w:type="dxa"/>
            <w:tcBorders>
              <w:left w:val="single" w:sz="4" w:space="0" w:color="FFFFFF"/>
            </w:tcBorders>
            <w:shd w:val="clear" w:color="auto" w:fill="00A79E"/>
          </w:tcPr>
          <w:p>
            <w:pPr>
              <w:pStyle w:val="TableParagraph"/>
              <w:spacing w:before="103"/>
              <w:ind w:left="177"/>
              <w:rPr>
                <w:b/>
                <w:sz w:val="26"/>
              </w:rPr>
            </w:pPr>
            <w:r>
              <w:rPr>
                <w:b/>
                <w:color w:val="FFFFFF"/>
                <w:spacing w:val="-2"/>
                <w:sz w:val="26"/>
              </w:rPr>
              <w:t>PRIORITY</w:t>
            </w:r>
          </w:p>
        </w:tc>
      </w:tr>
      <w:tr>
        <w:trPr>
          <w:trHeight w:val="2565" w:hRule="atLeast"/>
        </w:trPr>
        <w:tc>
          <w:tcPr>
            <w:tcW w:w="2388" w:type="dxa"/>
            <w:shd w:val="clear" w:color="auto" w:fill="EFEFF0"/>
          </w:tcPr>
          <w:p>
            <w:pPr>
              <w:pStyle w:val="TableParagraph"/>
              <w:spacing w:before="100"/>
              <w:ind w:left="180"/>
              <w:rPr>
                <w:b/>
                <w:sz w:val="20"/>
              </w:rPr>
            </w:pPr>
            <w:r>
              <w:rPr>
                <w:b/>
                <w:color w:val="105C84"/>
                <w:sz w:val="20"/>
              </w:rPr>
              <w:t>Steuben</w:t>
            </w:r>
            <w:r>
              <w:rPr>
                <w:b/>
                <w:color w:val="105C84"/>
                <w:spacing w:val="3"/>
                <w:sz w:val="20"/>
              </w:rPr>
              <w:t> </w:t>
            </w:r>
            <w:r>
              <w:rPr>
                <w:b/>
                <w:color w:val="105C84"/>
                <w:spacing w:val="-2"/>
                <w:sz w:val="20"/>
              </w:rPr>
              <w:t>County</w:t>
            </w:r>
          </w:p>
        </w:tc>
        <w:tc>
          <w:tcPr>
            <w:tcW w:w="7673" w:type="dxa"/>
            <w:shd w:val="clear" w:color="auto" w:fill="EFEFF0"/>
          </w:tcPr>
          <w:p>
            <w:pPr>
              <w:pStyle w:val="TableParagraph"/>
              <w:spacing w:before="100"/>
              <w:ind w:left="180"/>
              <w:rPr>
                <w:b/>
                <w:sz w:val="20"/>
              </w:rPr>
            </w:pPr>
            <w:r>
              <w:rPr>
                <w:b/>
                <w:color w:val="105C84"/>
                <w:spacing w:val="-2"/>
                <w:sz w:val="20"/>
              </w:rPr>
              <w:t>Prevent</w:t>
            </w:r>
            <w:r>
              <w:rPr>
                <w:b/>
                <w:color w:val="105C84"/>
                <w:spacing w:val="-1"/>
                <w:sz w:val="20"/>
              </w:rPr>
              <w:t> </w:t>
            </w:r>
            <w:r>
              <w:rPr>
                <w:b/>
                <w:color w:val="105C84"/>
                <w:spacing w:val="-2"/>
                <w:sz w:val="20"/>
              </w:rPr>
              <w:t>Chronic</w:t>
            </w:r>
            <w:r>
              <w:rPr>
                <w:b/>
                <w:color w:val="105C84"/>
                <w:sz w:val="20"/>
              </w:rPr>
              <w:t> </w:t>
            </w:r>
            <w:r>
              <w:rPr>
                <w:b/>
                <w:color w:val="105C84"/>
                <w:spacing w:val="-2"/>
                <w:sz w:val="20"/>
              </w:rPr>
              <w:t>Diseases</w:t>
            </w:r>
          </w:p>
          <w:p>
            <w:pPr>
              <w:pStyle w:val="TableParagraph"/>
              <w:numPr>
                <w:ilvl w:val="0"/>
                <w:numId w:val="10"/>
              </w:numPr>
              <w:tabs>
                <w:tab w:pos="613" w:val="left" w:leader="none"/>
              </w:tabs>
              <w:spacing w:line="240" w:lineRule="auto" w:before="100" w:after="0"/>
              <w:ind w:left="613" w:right="0" w:hanging="213"/>
              <w:jc w:val="left"/>
              <w:rPr>
                <w:sz w:val="20"/>
              </w:rPr>
            </w:pPr>
            <w:r>
              <w:rPr>
                <w:color w:val="105C84"/>
                <w:sz w:val="20"/>
              </w:rPr>
              <w:t>Tobacco</w:t>
            </w:r>
            <w:r>
              <w:rPr>
                <w:color w:val="105C84"/>
                <w:spacing w:val="-13"/>
                <w:sz w:val="20"/>
              </w:rPr>
              <w:t> </w:t>
            </w:r>
            <w:r>
              <w:rPr>
                <w:color w:val="105C84"/>
                <w:spacing w:val="-2"/>
                <w:sz w:val="20"/>
              </w:rPr>
              <w:t>prevention</w:t>
            </w:r>
          </w:p>
          <w:p>
            <w:pPr>
              <w:pStyle w:val="TableParagraph"/>
              <w:spacing w:before="170"/>
              <w:ind w:left="180"/>
              <w:rPr>
                <w:b/>
                <w:sz w:val="20"/>
              </w:rPr>
            </w:pPr>
            <w:r>
              <w:rPr>
                <w:b/>
                <w:color w:val="105C84"/>
                <w:sz w:val="20"/>
              </w:rPr>
              <w:t>Promote</w:t>
            </w:r>
            <w:r>
              <w:rPr>
                <w:b/>
                <w:color w:val="105C84"/>
                <w:spacing w:val="4"/>
                <w:sz w:val="20"/>
              </w:rPr>
              <w:t> </w:t>
            </w:r>
            <w:r>
              <w:rPr>
                <w:b/>
                <w:color w:val="105C84"/>
                <w:sz w:val="20"/>
              </w:rPr>
              <w:t>Healthy</w:t>
            </w:r>
            <w:r>
              <w:rPr>
                <w:b/>
                <w:color w:val="105C84"/>
                <w:spacing w:val="5"/>
                <w:sz w:val="20"/>
              </w:rPr>
              <w:t> </w:t>
            </w:r>
            <w:r>
              <w:rPr>
                <w:b/>
                <w:color w:val="105C84"/>
                <w:sz w:val="20"/>
              </w:rPr>
              <w:t>Women,</w:t>
            </w:r>
            <w:r>
              <w:rPr>
                <w:b/>
                <w:color w:val="105C84"/>
                <w:spacing w:val="4"/>
                <w:sz w:val="20"/>
              </w:rPr>
              <w:t> </w:t>
            </w:r>
            <w:r>
              <w:rPr>
                <w:b/>
                <w:color w:val="105C84"/>
                <w:sz w:val="20"/>
              </w:rPr>
              <w:t>Infants</w:t>
            </w:r>
            <w:r>
              <w:rPr>
                <w:b/>
                <w:color w:val="105C84"/>
                <w:spacing w:val="5"/>
                <w:sz w:val="20"/>
              </w:rPr>
              <w:t> </w:t>
            </w:r>
            <w:r>
              <w:rPr>
                <w:b/>
                <w:color w:val="105C84"/>
                <w:sz w:val="20"/>
              </w:rPr>
              <w:t>and</w:t>
            </w:r>
            <w:r>
              <w:rPr>
                <w:b/>
                <w:color w:val="105C84"/>
                <w:spacing w:val="5"/>
                <w:sz w:val="20"/>
              </w:rPr>
              <w:t> </w:t>
            </w:r>
            <w:r>
              <w:rPr>
                <w:b/>
                <w:color w:val="105C84"/>
                <w:spacing w:val="-2"/>
                <w:sz w:val="20"/>
              </w:rPr>
              <w:t>Children</w:t>
            </w:r>
          </w:p>
          <w:p>
            <w:pPr>
              <w:pStyle w:val="TableParagraph"/>
              <w:numPr>
                <w:ilvl w:val="0"/>
                <w:numId w:val="10"/>
              </w:numPr>
              <w:tabs>
                <w:tab w:pos="613" w:val="left" w:leader="none"/>
              </w:tabs>
              <w:spacing w:line="240" w:lineRule="auto" w:before="100" w:after="0"/>
              <w:ind w:left="613" w:right="0" w:hanging="213"/>
              <w:jc w:val="left"/>
              <w:rPr>
                <w:sz w:val="20"/>
              </w:rPr>
            </w:pPr>
            <w:r>
              <w:rPr>
                <w:color w:val="105C84"/>
                <w:sz w:val="20"/>
              </w:rPr>
              <w:t>Child</w:t>
            </w:r>
            <w:r>
              <w:rPr>
                <w:color w:val="105C84"/>
                <w:spacing w:val="15"/>
                <w:sz w:val="20"/>
              </w:rPr>
              <w:t> </w:t>
            </w:r>
            <w:r>
              <w:rPr>
                <w:color w:val="105C84"/>
                <w:sz w:val="20"/>
              </w:rPr>
              <w:t>and</w:t>
            </w:r>
            <w:r>
              <w:rPr>
                <w:color w:val="105C84"/>
                <w:spacing w:val="16"/>
                <w:sz w:val="20"/>
              </w:rPr>
              <w:t> </w:t>
            </w:r>
            <w:r>
              <w:rPr>
                <w:color w:val="105C84"/>
                <w:sz w:val="20"/>
              </w:rPr>
              <w:t>adolescent</w:t>
            </w:r>
            <w:r>
              <w:rPr>
                <w:color w:val="105C84"/>
                <w:spacing w:val="16"/>
                <w:sz w:val="20"/>
              </w:rPr>
              <w:t> </w:t>
            </w:r>
            <w:r>
              <w:rPr>
                <w:color w:val="105C84"/>
                <w:spacing w:val="-2"/>
                <w:sz w:val="20"/>
              </w:rPr>
              <w:t>health</w:t>
            </w:r>
          </w:p>
          <w:p>
            <w:pPr>
              <w:pStyle w:val="TableParagraph"/>
              <w:spacing w:before="170"/>
              <w:ind w:left="180"/>
              <w:rPr>
                <w:b/>
                <w:sz w:val="20"/>
              </w:rPr>
            </w:pPr>
            <w:r>
              <w:rPr>
                <w:b/>
                <w:color w:val="105C84"/>
                <w:sz w:val="20"/>
              </w:rPr>
              <w:t>Promote</w:t>
            </w:r>
            <w:r>
              <w:rPr>
                <w:b/>
                <w:color w:val="105C84"/>
                <w:spacing w:val="-2"/>
                <w:sz w:val="20"/>
              </w:rPr>
              <w:t> </w:t>
            </w:r>
            <w:r>
              <w:rPr>
                <w:b/>
                <w:color w:val="105C84"/>
                <w:sz w:val="20"/>
              </w:rPr>
              <w:t>Well-Being</w:t>
            </w:r>
            <w:r>
              <w:rPr>
                <w:b/>
                <w:color w:val="105C84"/>
                <w:spacing w:val="-1"/>
                <w:sz w:val="20"/>
              </w:rPr>
              <w:t> </w:t>
            </w:r>
            <w:r>
              <w:rPr>
                <w:b/>
                <w:color w:val="105C84"/>
                <w:sz w:val="20"/>
              </w:rPr>
              <w:t>and</w:t>
            </w:r>
            <w:r>
              <w:rPr>
                <w:b/>
                <w:color w:val="105C84"/>
                <w:spacing w:val="-1"/>
                <w:sz w:val="20"/>
              </w:rPr>
              <w:t> </w:t>
            </w:r>
            <w:r>
              <w:rPr>
                <w:b/>
                <w:color w:val="105C84"/>
                <w:sz w:val="20"/>
              </w:rPr>
              <w:t>Prevent</w:t>
            </w:r>
            <w:r>
              <w:rPr>
                <w:b/>
                <w:color w:val="105C84"/>
                <w:spacing w:val="-1"/>
                <w:sz w:val="20"/>
              </w:rPr>
              <w:t> </w:t>
            </w:r>
            <w:r>
              <w:rPr>
                <w:b/>
                <w:color w:val="105C84"/>
                <w:sz w:val="20"/>
              </w:rPr>
              <w:t>Mental</w:t>
            </w:r>
            <w:r>
              <w:rPr>
                <w:b/>
                <w:color w:val="105C84"/>
                <w:spacing w:val="-1"/>
                <w:sz w:val="20"/>
              </w:rPr>
              <w:t> </w:t>
            </w:r>
            <w:r>
              <w:rPr>
                <w:b/>
                <w:color w:val="105C84"/>
                <w:sz w:val="20"/>
              </w:rPr>
              <w:t>and</w:t>
            </w:r>
            <w:r>
              <w:rPr>
                <w:b/>
                <w:color w:val="105C84"/>
                <w:spacing w:val="-1"/>
                <w:sz w:val="20"/>
              </w:rPr>
              <w:t> </w:t>
            </w:r>
            <w:r>
              <w:rPr>
                <w:b/>
                <w:color w:val="105C84"/>
                <w:sz w:val="20"/>
              </w:rPr>
              <w:t>Substance</w:t>
            </w:r>
            <w:r>
              <w:rPr>
                <w:b/>
                <w:color w:val="105C84"/>
                <w:spacing w:val="-1"/>
                <w:sz w:val="20"/>
              </w:rPr>
              <w:t> </w:t>
            </w:r>
            <w:r>
              <w:rPr>
                <w:b/>
                <w:color w:val="105C84"/>
                <w:sz w:val="20"/>
              </w:rPr>
              <w:t>Use</w:t>
            </w:r>
            <w:r>
              <w:rPr>
                <w:b/>
                <w:color w:val="105C84"/>
                <w:spacing w:val="-1"/>
                <w:sz w:val="20"/>
              </w:rPr>
              <w:t> </w:t>
            </w:r>
            <w:r>
              <w:rPr>
                <w:b/>
                <w:color w:val="105C84"/>
                <w:spacing w:val="-2"/>
                <w:sz w:val="20"/>
              </w:rPr>
              <w:t>Disorders</w:t>
            </w:r>
          </w:p>
          <w:p>
            <w:pPr>
              <w:pStyle w:val="TableParagraph"/>
              <w:numPr>
                <w:ilvl w:val="0"/>
                <w:numId w:val="10"/>
              </w:numPr>
              <w:tabs>
                <w:tab w:pos="613" w:val="left" w:leader="none"/>
              </w:tabs>
              <w:spacing w:line="240" w:lineRule="auto" w:before="100" w:after="0"/>
              <w:ind w:left="613" w:right="0" w:hanging="213"/>
              <w:jc w:val="left"/>
              <w:rPr>
                <w:sz w:val="20"/>
              </w:rPr>
            </w:pPr>
            <w:r>
              <w:rPr>
                <w:color w:val="105C84"/>
                <w:sz w:val="20"/>
              </w:rPr>
              <w:t>Prevent</w:t>
            </w:r>
            <w:r>
              <w:rPr>
                <w:color w:val="105C84"/>
                <w:spacing w:val="-3"/>
                <w:sz w:val="20"/>
              </w:rPr>
              <w:t> </w:t>
            </w:r>
            <w:r>
              <w:rPr>
                <w:color w:val="105C84"/>
                <w:sz w:val="20"/>
              </w:rPr>
              <w:t>mental</w:t>
            </w:r>
            <w:r>
              <w:rPr>
                <w:color w:val="105C84"/>
                <w:spacing w:val="-2"/>
                <w:sz w:val="20"/>
              </w:rPr>
              <w:t> </w:t>
            </w:r>
            <w:r>
              <w:rPr>
                <w:color w:val="105C84"/>
                <w:sz w:val="20"/>
              </w:rPr>
              <w:t>and</w:t>
            </w:r>
            <w:r>
              <w:rPr>
                <w:color w:val="105C84"/>
                <w:spacing w:val="-3"/>
                <w:sz w:val="20"/>
              </w:rPr>
              <w:t> </w:t>
            </w:r>
            <w:r>
              <w:rPr>
                <w:color w:val="105C84"/>
                <w:sz w:val="20"/>
              </w:rPr>
              <w:t>substance</w:t>
            </w:r>
            <w:r>
              <w:rPr>
                <w:color w:val="105C84"/>
                <w:spacing w:val="-2"/>
                <w:sz w:val="20"/>
              </w:rPr>
              <w:t> </w:t>
            </w:r>
            <w:r>
              <w:rPr>
                <w:color w:val="105C84"/>
                <w:sz w:val="20"/>
              </w:rPr>
              <w:t>use</w:t>
            </w:r>
            <w:r>
              <w:rPr>
                <w:color w:val="105C84"/>
                <w:spacing w:val="-3"/>
                <w:sz w:val="20"/>
              </w:rPr>
              <w:t> </w:t>
            </w:r>
            <w:r>
              <w:rPr>
                <w:color w:val="105C84"/>
                <w:spacing w:val="-2"/>
                <w:sz w:val="20"/>
              </w:rPr>
              <w:t>disorders</w:t>
            </w:r>
          </w:p>
          <w:p>
            <w:pPr>
              <w:pStyle w:val="TableParagraph"/>
              <w:spacing w:before="80"/>
              <w:ind w:left="180"/>
              <w:rPr>
                <w:b/>
                <w:sz w:val="20"/>
              </w:rPr>
            </w:pPr>
            <w:r>
              <w:rPr>
                <w:b/>
                <w:color w:val="00A79E"/>
                <w:sz w:val="20"/>
              </w:rPr>
              <w:t>Disparity:</w:t>
            </w:r>
            <w:r>
              <w:rPr>
                <w:b/>
                <w:color w:val="00A79E"/>
                <w:spacing w:val="-9"/>
                <w:sz w:val="20"/>
              </w:rPr>
              <w:t> </w:t>
            </w:r>
            <w:r>
              <w:rPr>
                <w:b/>
                <w:color w:val="00A79E"/>
                <w:sz w:val="20"/>
              </w:rPr>
              <w:t>low</w:t>
            </w:r>
            <w:r>
              <w:rPr>
                <w:b/>
                <w:color w:val="00A79E"/>
                <w:spacing w:val="-8"/>
                <w:sz w:val="20"/>
              </w:rPr>
              <w:t> </w:t>
            </w:r>
            <w:r>
              <w:rPr>
                <w:b/>
                <w:color w:val="00A79E"/>
                <w:sz w:val="20"/>
              </w:rPr>
              <w:t>socioeconomic</w:t>
            </w:r>
            <w:r>
              <w:rPr>
                <w:b/>
                <w:color w:val="00A79E"/>
                <w:spacing w:val="-9"/>
                <w:sz w:val="20"/>
              </w:rPr>
              <w:t> </w:t>
            </w:r>
            <w:r>
              <w:rPr>
                <w:b/>
                <w:color w:val="00A79E"/>
                <w:sz w:val="20"/>
              </w:rPr>
              <w:t>status</w:t>
            </w:r>
            <w:r>
              <w:rPr>
                <w:b/>
                <w:color w:val="00A79E"/>
                <w:spacing w:val="-8"/>
                <w:sz w:val="20"/>
              </w:rPr>
              <w:t> </w:t>
            </w:r>
            <w:r>
              <w:rPr>
                <w:b/>
                <w:color w:val="00A79E"/>
                <w:sz w:val="20"/>
              </w:rPr>
              <w:t>and</w:t>
            </w:r>
            <w:r>
              <w:rPr>
                <w:b/>
                <w:color w:val="00A79E"/>
                <w:spacing w:val="-8"/>
                <w:sz w:val="20"/>
              </w:rPr>
              <w:t> </w:t>
            </w:r>
            <w:r>
              <w:rPr>
                <w:b/>
                <w:color w:val="00A79E"/>
                <w:sz w:val="20"/>
              </w:rPr>
              <w:t>pregnant</w:t>
            </w:r>
            <w:r>
              <w:rPr>
                <w:b/>
                <w:color w:val="00A79E"/>
                <w:spacing w:val="-9"/>
                <w:sz w:val="20"/>
              </w:rPr>
              <w:t> </w:t>
            </w:r>
            <w:r>
              <w:rPr>
                <w:b/>
                <w:color w:val="00A79E"/>
                <w:spacing w:val="-2"/>
                <w:sz w:val="20"/>
              </w:rPr>
              <w:t>women</w:t>
            </w:r>
          </w:p>
        </w:tc>
      </w:tr>
      <w:tr>
        <w:trPr>
          <w:trHeight w:val="2405" w:hRule="atLeast"/>
        </w:trPr>
        <w:tc>
          <w:tcPr>
            <w:tcW w:w="2388" w:type="dxa"/>
          </w:tcPr>
          <w:p>
            <w:pPr>
              <w:pStyle w:val="TableParagraph"/>
              <w:spacing w:before="100"/>
              <w:ind w:left="180"/>
              <w:rPr>
                <w:b/>
                <w:sz w:val="20"/>
              </w:rPr>
            </w:pPr>
            <w:r>
              <w:rPr>
                <w:b/>
                <w:color w:val="105C84"/>
                <w:sz w:val="20"/>
              </w:rPr>
              <w:t>Wayne</w:t>
            </w:r>
            <w:r>
              <w:rPr>
                <w:b/>
                <w:color w:val="105C84"/>
                <w:spacing w:val="-6"/>
                <w:sz w:val="20"/>
              </w:rPr>
              <w:t> </w:t>
            </w:r>
            <w:r>
              <w:rPr>
                <w:b/>
                <w:color w:val="105C84"/>
                <w:spacing w:val="-2"/>
                <w:sz w:val="20"/>
              </w:rPr>
              <w:t>County</w:t>
            </w:r>
          </w:p>
        </w:tc>
        <w:tc>
          <w:tcPr>
            <w:tcW w:w="7673" w:type="dxa"/>
          </w:tcPr>
          <w:p>
            <w:pPr>
              <w:pStyle w:val="TableParagraph"/>
              <w:spacing w:before="100"/>
              <w:ind w:left="180"/>
              <w:rPr>
                <w:b/>
                <w:sz w:val="20"/>
              </w:rPr>
            </w:pPr>
            <w:r>
              <w:rPr>
                <w:b/>
                <w:color w:val="105C84"/>
                <w:spacing w:val="-2"/>
                <w:sz w:val="20"/>
              </w:rPr>
              <w:t>Prevent</w:t>
            </w:r>
            <w:r>
              <w:rPr>
                <w:b/>
                <w:color w:val="105C84"/>
                <w:spacing w:val="-1"/>
                <w:sz w:val="20"/>
              </w:rPr>
              <w:t> </w:t>
            </w:r>
            <w:r>
              <w:rPr>
                <w:b/>
                <w:color w:val="105C84"/>
                <w:spacing w:val="-2"/>
                <w:sz w:val="20"/>
              </w:rPr>
              <w:t>Chronic</w:t>
            </w:r>
            <w:r>
              <w:rPr>
                <w:b/>
                <w:color w:val="105C84"/>
                <w:sz w:val="20"/>
              </w:rPr>
              <w:t> </w:t>
            </w:r>
            <w:r>
              <w:rPr>
                <w:b/>
                <w:color w:val="105C84"/>
                <w:spacing w:val="-2"/>
                <w:sz w:val="20"/>
              </w:rPr>
              <w:t>Diseases</w:t>
            </w:r>
          </w:p>
          <w:p>
            <w:pPr>
              <w:pStyle w:val="TableParagraph"/>
              <w:numPr>
                <w:ilvl w:val="0"/>
                <w:numId w:val="11"/>
              </w:numPr>
              <w:tabs>
                <w:tab w:pos="613" w:val="left" w:leader="none"/>
              </w:tabs>
              <w:spacing w:line="240" w:lineRule="auto" w:before="100" w:after="0"/>
              <w:ind w:left="613" w:right="0" w:hanging="213"/>
              <w:jc w:val="left"/>
              <w:rPr>
                <w:sz w:val="20"/>
              </w:rPr>
            </w:pPr>
            <w:r>
              <w:rPr>
                <w:color w:val="105C84"/>
                <w:sz w:val="20"/>
              </w:rPr>
              <w:t>Tobacco</w:t>
            </w:r>
            <w:r>
              <w:rPr>
                <w:color w:val="105C84"/>
                <w:spacing w:val="-13"/>
                <w:sz w:val="20"/>
              </w:rPr>
              <w:t> </w:t>
            </w:r>
            <w:r>
              <w:rPr>
                <w:color w:val="105C84"/>
                <w:spacing w:val="-2"/>
                <w:sz w:val="20"/>
              </w:rPr>
              <w:t>prevention</w:t>
            </w:r>
          </w:p>
          <w:p>
            <w:pPr>
              <w:pStyle w:val="TableParagraph"/>
              <w:numPr>
                <w:ilvl w:val="0"/>
                <w:numId w:val="11"/>
              </w:numPr>
              <w:tabs>
                <w:tab w:pos="613" w:val="left" w:leader="none"/>
              </w:tabs>
              <w:spacing w:line="240" w:lineRule="auto" w:before="100" w:after="0"/>
              <w:ind w:left="613" w:right="0" w:hanging="213"/>
              <w:jc w:val="left"/>
              <w:rPr>
                <w:sz w:val="20"/>
              </w:rPr>
            </w:pPr>
            <w:r>
              <w:rPr>
                <w:color w:val="105C84"/>
                <w:sz w:val="20"/>
              </w:rPr>
              <w:t>Chronic</w:t>
            </w:r>
            <w:r>
              <w:rPr>
                <w:color w:val="105C84"/>
                <w:spacing w:val="1"/>
                <w:sz w:val="20"/>
              </w:rPr>
              <w:t> </w:t>
            </w:r>
            <w:r>
              <w:rPr>
                <w:color w:val="105C84"/>
                <w:sz w:val="20"/>
              </w:rPr>
              <w:t>disease</w:t>
            </w:r>
            <w:r>
              <w:rPr>
                <w:color w:val="105C84"/>
                <w:spacing w:val="3"/>
                <w:sz w:val="20"/>
              </w:rPr>
              <w:t> </w:t>
            </w:r>
            <w:r>
              <w:rPr>
                <w:color w:val="105C84"/>
                <w:sz w:val="20"/>
              </w:rPr>
              <w:t>preventative</w:t>
            </w:r>
            <w:r>
              <w:rPr>
                <w:color w:val="105C84"/>
                <w:spacing w:val="4"/>
                <w:sz w:val="20"/>
              </w:rPr>
              <w:t> </w:t>
            </w:r>
            <w:r>
              <w:rPr>
                <w:color w:val="105C84"/>
                <w:sz w:val="20"/>
              </w:rPr>
              <w:t>care</w:t>
            </w:r>
            <w:r>
              <w:rPr>
                <w:color w:val="105C84"/>
                <w:spacing w:val="3"/>
                <w:sz w:val="20"/>
              </w:rPr>
              <w:t> </w:t>
            </w:r>
            <w:r>
              <w:rPr>
                <w:color w:val="105C84"/>
                <w:sz w:val="20"/>
              </w:rPr>
              <w:t>and</w:t>
            </w:r>
            <w:r>
              <w:rPr>
                <w:color w:val="105C84"/>
                <w:spacing w:val="4"/>
                <w:sz w:val="20"/>
              </w:rPr>
              <w:t> </w:t>
            </w:r>
            <w:r>
              <w:rPr>
                <w:color w:val="105C84"/>
                <w:spacing w:val="-2"/>
                <w:sz w:val="20"/>
              </w:rPr>
              <w:t>management</w:t>
            </w:r>
          </w:p>
          <w:p>
            <w:pPr>
              <w:pStyle w:val="TableParagraph"/>
              <w:spacing w:before="170"/>
              <w:ind w:left="180"/>
              <w:rPr>
                <w:b/>
                <w:sz w:val="20"/>
              </w:rPr>
            </w:pPr>
            <w:r>
              <w:rPr>
                <w:b/>
                <w:color w:val="105C84"/>
                <w:sz w:val="20"/>
              </w:rPr>
              <w:t>Promote</w:t>
            </w:r>
            <w:r>
              <w:rPr>
                <w:b/>
                <w:color w:val="105C84"/>
                <w:spacing w:val="-2"/>
                <w:sz w:val="20"/>
              </w:rPr>
              <w:t> </w:t>
            </w:r>
            <w:r>
              <w:rPr>
                <w:b/>
                <w:color w:val="105C84"/>
                <w:sz w:val="20"/>
              </w:rPr>
              <w:t>Well-Being</w:t>
            </w:r>
            <w:r>
              <w:rPr>
                <w:b/>
                <w:color w:val="105C84"/>
                <w:spacing w:val="-1"/>
                <w:sz w:val="20"/>
              </w:rPr>
              <w:t> </w:t>
            </w:r>
            <w:r>
              <w:rPr>
                <w:b/>
                <w:color w:val="105C84"/>
                <w:sz w:val="20"/>
              </w:rPr>
              <w:t>and</w:t>
            </w:r>
            <w:r>
              <w:rPr>
                <w:b/>
                <w:color w:val="105C84"/>
                <w:spacing w:val="-1"/>
                <w:sz w:val="20"/>
              </w:rPr>
              <w:t> </w:t>
            </w:r>
            <w:r>
              <w:rPr>
                <w:b/>
                <w:color w:val="105C84"/>
                <w:sz w:val="20"/>
              </w:rPr>
              <w:t>Prevent</w:t>
            </w:r>
            <w:r>
              <w:rPr>
                <w:b/>
                <w:color w:val="105C84"/>
                <w:spacing w:val="-1"/>
                <w:sz w:val="20"/>
              </w:rPr>
              <w:t> </w:t>
            </w:r>
            <w:r>
              <w:rPr>
                <w:b/>
                <w:color w:val="105C84"/>
                <w:sz w:val="20"/>
              </w:rPr>
              <w:t>Mental</w:t>
            </w:r>
            <w:r>
              <w:rPr>
                <w:b/>
                <w:color w:val="105C84"/>
                <w:spacing w:val="-1"/>
                <w:sz w:val="20"/>
              </w:rPr>
              <w:t> </w:t>
            </w:r>
            <w:r>
              <w:rPr>
                <w:b/>
                <w:color w:val="105C84"/>
                <w:sz w:val="20"/>
              </w:rPr>
              <w:t>and</w:t>
            </w:r>
            <w:r>
              <w:rPr>
                <w:b/>
                <w:color w:val="105C84"/>
                <w:spacing w:val="-1"/>
                <w:sz w:val="20"/>
              </w:rPr>
              <w:t> </w:t>
            </w:r>
            <w:r>
              <w:rPr>
                <w:b/>
                <w:color w:val="105C84"/>
                <w:sz w:val="20"/>
              </w:rPr>
              <w:t>Substance</w:t>
            </w:r>
            <w:r>
              <w:rPr>
                <w:b/>
                <w:color w:val="105C84"/>
                <w:spacing w:val="-1"/>
                <w:sz w:val="20"/>
              </w:rPr>
              <w:t> </w:t>
            </w:r>
            <w:r>
              <w:rPr>
                <w:b/>
                <w:color w:val="105C84"/>
                <w:sz w:val="20"/>
              </w:rPr>
              <w:t>Use</w:t>
            </w:r>
            <w:r>
              <w:rPr>
                <w:b/>
                <w:color w:val="105C84"/>
                <w:spacing w:val="-1"/>
                <w:sz w:val="20"/>
              </w:rPr>
              <w:t> </w:t>
            </w:r>
            <w:r>
              <w:rPr>
                <w:b/>
                <w:color w:val="105C84"/>
                <w:spacing w:val="-2"/>
                <w:sz w:val="20"/>
              </w:rPr>
              <w:t>Disorders</w:t>
            </w:r>
          </w:p>
          <w:p>
            <w:pPr>
              <w:pStyle w:val="TableParagraph"/>
              <w:numPr>
                <w:ilvl w:val="0"/>
                <w:numId w:val="11"/>
              </w:numPr>
              <w:tabs>
                <w:tab w:pos="613" w:val="left" w:leader="none"/>
              </w:tabs>
              <w:spacing w:line="240" w:lineRule="auto" w:before="100" w:after="0"/>
              <w:ind w:left="613" w:right="0" w:hanging="213"/>
              <w:jc w:val="left"/>
              <w:rPr>
                <w:sz w:val="20"/>
              </w:rPr>
            </w:pPr>
            <w:r>
              <w:rPr>
                <w:color w:val="105C84"/>
                <w:sz w:val="20"/>
              </w:rPr>
              <w:t>Prevent</w:t>
            </w:r>
            <w:r>
              <w:rPr>
                <w:color w:val="105C84"/>
                <w:spacing w:val="-3"/>
                <w:sz w:val="20"/>
              </w:rPr>
              <w:t> </w:t>
            </w:r>
            <w:r>
              <w:rPr>
                <w:color w:val="105C84"/>
                <w:sz w:val="20"/>
              </w:rPr>
              <w:t>mental</w:t>
            </w:r>
            <w:r>
              <w:rPr>
                <w:color w:val="105C84"/>
                <w:spacing w:val="-2"/>
                <w:sz w:val="20"/>
              </w:rPr>
              <w:t> </w:t>
            </w:r>
            <w:r>
              <w:rPr>
                <w:color w:val="105C84"/>
                <w:sz w:val="20"/>
              </w:rPr>
              <w:t>and</w:t>
            </w:r>
            <w:r>
              <w:rPr>
                <w:color w:val="105C84"/>
                <w:spacing w:val="-3"/>
                <w:sz w:val="20"/>
              </w:rPr>
              <w:t> </w:t>
            </w:r>
            <w:r>
              <w:rPr>
                <w:color w:val="105C84"/>
                <w:sz w:val="20"/>
              </w:rPr>
              <w:t>substance</w:t>
            </w:r>
            <w:r>
              <w:rPr>
                <w:color w:val="105C84"/>
                <w:spacing w:val="-2"/>
                <w:sz w:val="20"/>
              </w:rPr>
              <w:t> </w:t>
            </w:r>
            <w:r>
              <w:rPr>
                <w:color w:val="105C84"/>
                <w:sz w:val="20"/>
              </w:rPr>
              <w:t>use</w:t>
            </w:r>
            <w:r>
              <w:rPr>
                <w:color w:val="105C84"/>
                <w:spacing w:val="-3"/>
                <w:sz w:val="20"/>
              </w:rPr>
              <w:t> </w:t>
            </w:r>
            <w:r>
              <w:rPr>
                <w:color w:val="105C84"/>
                <w:spacing w:val="-2"/>
                <w:sz w:val="20"/>
              </w:rPr>
              <w:t>disorders</w:t>
            </w:r>
          </w:p>
          <w:p>
            <w:pPr>
              <w:pStyle w:val="TableParagraph"/>
              <w:numPr>
                <w:ilvl w:val="0"/>
                <w:numId w:val="11"/>
              </w:numPr>
              <w:tabs>
                <w:tab w:pos="613" w:val="left" w:leader="none"/>
              </w:tabs>
              <w:spacing w:line="240" w:lineRule="auto" w:before="10" w:after="0"/>
              <w:ind w:left="613" w:right="0" w:hanging="213"/>
              <w:jc w:val="left"/>
              <w:rPr>
                <w:sz w:val="20"/>
              </w:rPr>
            </w:pPr>
            <w:r>
              <w:rPr>
                <w:color w:val="105C84"/>
                <w:sz w:val="20"/>
              </w:rPr>
              <w:t>Promote</w:t>
            </w:r>
            <w:r>
              <w:rPr>
                <w:color w:val="105C84"/>
                <w:spacing w:val="27"/>
                <w:sz w:val="20"/>
              </w:rPr>
              <w:t> </w:t>
            </w:r>
            <w:r>
              <w:rPr>
                <w:color w:val="105C84"/>
                <w:sz w:val="20"/>
              </w:rPr>
              <w:t>well-</w:t>
            </w:r>
            <w:r>
              <w:rPr>
                <w:color w:val="105C84"/>
                <w:spacing w:val="-2"/>
                <w:sz w:val="20"/>
              </w:rPr>
              <w:t>being</w:t>
            </w:r>
          </w:p>
          <w:p>
            <w:pPr>
              <w:pStyle w:val="TableParagraph"/>
              <w:spacing w:before="80"/>
              <w:ind w:left="180"/>
              <w:rPr>
                <w:b/>
                <w:sz w:val="20"/>
              </w:rPr>
            </w:pPr>
            <w:r>
              <w:rPr>
                <w:b/>
                <w:color w:val="00A79E"/>
                <w:sz w:val="20"/>
              </w:rPr>
              <w:t>Disparity: low</w:t>
            </w:r>
            <w:r>
              <w:rPr>
                <w:b/>
                <w:color w:val="00A79E"/>
                <w:spacing w:val="3"/>
                <w:sz w:val="20"/>
              </w:rPr>
              <w:t> </w:t>
            </w:r>
            <w:r>
              <w:rPr>
                <w:b/>
                <w:color w:val="00A79E"/>
                <w:spacing w:val="-2"/>
                <w:sz w:val="20"/>
              </w:rPr>
              <w:t>income</w:t>
            </w:r>
          </w:p>
        </w:tc>
      </w:tr>
      <w:tr>
        <w:trPr>
          <w:trHeight w:val="1835" w:hRule="atLeast"/>
        </w:trPr>
        <w:tc>
          <w:tcPr>
            <w:tcW w:w="2388" w:type="dxa"/>
            <w:shd w:val="clear" w:color="auto" w:fill="EFEFF0"/>
          </w:tcPr>
          <w:p>
            <w:pPr>
              <w:pStyle w:val="TableParagraph"/>
              <w:spacing w:before="100"/>
              <w:ind w:left="180"/>
              <w:rPr>
                <w:b/>
                <w:sz w:val="20"/>
              </w:rPr>
            </w:pPr>
            <w:r>
              <w:rPr>
                <w:b/>
                <w:color w:val="105C84"/>
                <w:spacing w:val="-4"/>
                <w:sz w:val="20"/>
              </w:rPr>
              <w:t>Yates</w:t>
            </w:r>
            <w:r>
              <w:rPr>
                <w:b/>
                <w:color w:val="105C84"/>
                <w:spacing w:val="-5"/>
                <w:sz w:val="20"/>
              </w:rPr>
              <w:t> </w:t>
            </w:r>
            <w:r>
              <w:rPr>
                <w:b/>
                <w:color w:val="105C84"/>
                <w:spacing w:val="-2"/>
                <w:sz w:val="20"/>
              </w:rPr>
              <w:t>County</w:t>
            </w:r>
          </w:p>
        </w:tc>
        <w:tc>
          <w:tcPr>
            <w:tcW w:w="7673" w:type="dxa"/>
            <w:shd w:val="clear" w:color="auto" w:fill="EFEFF0"/>
          </w:tcPr>
          <w:p>
            <w:pPr>
              <w:pStyle w:val="TableParagraph"/>
              <w:spacing w:before="100"/>
              <w:ind w:left="180"/>
              <w:rPr>
                <w:b/>
                <w:sz w:val="20"/>
              </w:rPr>
            </w:pPr>
            <w:r>
              <w:rPr>
                <w:b/>
                <w:color w:val="105C84"/>
                <w:spacing w:val="-2"/>
                <w:sz w:val="20"/>
              </w:rPr>
              <w:t>Prevent</w:t>
            </w:r>
            <w:r>
              <w:rPr>
                <w:b/>
                <w:color w:val="105C84"/>
                <w:spacing w:val="-1"/>
                <w:sz w:val="20"/>
              </w:rPr>
              <w:t> </w:t>
            </w:r>
            <w:r>
              <w:rPr>
                <w:b/>
                <w:color w:val="105C84"/>
                <w:spacing w:val="-2"/>
                <w:sz w:val="20"/>
              </w:rPr>
              <w:t>Chronic</w:t>
            </w:r>
            <w:r>
              <w:rPr>
                <w:b/>
                <w:color w:val="105C84"/>
                <w:sz w:val="20"/>
              </w:rPr>
              <w:t> </w:t>
            </w:r>
            <w:r>
              <w:rPr>
                <w:b/>
                <w:color w:val="105C84"/>
                <w:spacing w:val="-2"/>
                <w:sz w:val="20"/>
              </w:rPr>
              <w:t>Diseases</w:t>
            </w:r>
          </w:p>
          <w:p>
            <w:pPr>
              <w:pStyle w:val="TableParagraph"/>
              <w:numPr>
                <w:ilvl w:val="0"/>
                <w:numId w:val="12"/>
              </w:numPr>
              <w:tabs>
                <w:tab w:pos="613" w:val="left" w:leader="none"/>
              </w:tabs>
              <w:spacing w:line="240" w:lineRule="auto" w:before="100" w:after="0"/>
              <w:ind w:left="613" w:right="0" w:hanging="213"/>
              <w:jc w:val="left"/>
              <w:rPr>
                <w:sz w:val="20"/>
              </w:rPr>
            </w:pPr>
            <w:r>
              <w:rPr>
                <w:color w:val="105C84"/>
                <w:sz w:val="20"/>
              </w:rPr>
              <w:t>Chronic</w:t>
            </w:r>
            <w:r>
              <w:rPr>
                <w:color w:val="105C84"/>
                <w:spacing w:val="-5"/>
                <w:sz w:val="20"/>
              </w:rPr>
              <w:t> </w:t>
            </w:r>
            <w:r>
              <w:rPr>
                <w:color w:val="105C84"/>
                <w:sz w:val="20"/>
              </w:rPr>
              <w:t>Disease</w:t>
            </w:r>
            <w:r>
              <w:rPr>
                <w:color w:val="105C84"/>
                <w:spacing w:val="-5"/>
                <w:sz w:val="20"/>
              </w:rPr>
              <w:t> </w:t>
            </w:r>
            <w:r>
              <w:rPr>
                <w:color w:val="105C84"/>
                <w:sz w:val="20"/>
              </w:rPr>
              <w:t>Preventative</w:t>
            </w:r>
            <w:r>
              <w:rPr>
                <w:color w:val="105C84"/>
                <w:spacing w:val="-5"/>
                <w:sz w:val="20"/>
              </w:rPr>
              <w:t> </w:t>
            </w:r>
            <w:r>
              <w:rPr>
                <w:color w:val="105C84"/>
                <w:sz w:val="20"/>
              </w:rPr>
              <w:t>Care</w:t>
            </w:r>
            <w:r>
              <w:rPr>
                <w:color w:val="105C84"/>
                <w:spacing w:val="-5"/>
                <w:sz w:val="20"/>
              </w:rPr>
              <w:t> </w:t>
            </w:r>
            <w:r>
              <w:rPr>
                <w:color w:val="105C84"/>
                <w:sz w:val="20"/>
              </w:rPr>
              <w:t>and</w:t>
            </w:r>
            <w:r>
              <w:rPr>
                <w:color w:val="105C84"/>
                <w:spacing w:val="-5"/>
                <w:sz w:val="20"/>
              </w:rPr>
              <w:t> </w:t>
            </w:r>
            <w:r>
              <w:rPr>
                <w:color w:val="105C84"/>
                <w:spacing w:val="-2"/>
                <w:sz w:val="20"/>
              </w:rPr>
              <w:t>Management</w:t>
            </w:r>
          </w:p>
          <w:p>
            <w:pPr>
              <w:pStyle w:val="TableParagraph"/>
              <w:spacing w:before="170"/>
              <w:ind w:left="180"/>
              <w:rPr>
                <w:b/>
                <w:sz w:val="20"/>
              </w:rPr>
            </w:pPr>
            <w:r>
              <w:rPr>
                <w:b/>
                <w:color w:val="105C84"/>
                <w:sz w:val="20"/>
              </w:rPr>
              <w:t>Promote</w:t>
            </w:r>
            <w:r>
              <w:rPr>
                <w:b/>
                <w:color w:val="105C84"/>
                <w:spacing w:val="-2"/>
                <w:sz w:val="20"/>
              </w:rPr>
              <w:t> </w:t>
            </w:r>
            <w:r>
              <w:rPr>
                <w:b/>
                <w:color w:val="105C84"/>
                <w:sz w:val="20"/>
              </w:rPr>
              <w:t>Well-Being</w:t>
            </w:r>
            <w:r>
              <w:rPr>
                <w:b/>
                <w:color w:val="105C84"/>
                <w:spacing w:val="-1"/>
                <w:sz w:val="20"/>
              </w:rPr>
              <w:t> </w:t>
            </w:r>
            <w:r>
              <w:rPr>
                <w:b/>
                <w:color w:val="105C84"/>
                <w:sz w:val="20"/>
              </w:rPr>
              <w:t>and</w:t>
            </w:r>
            <w:r>
              <w:rPr>
                <w:b/>
                <w:color w:val="105C84"/>
                <w:spacing w:val="-1"/>
                <w:sz w:val="20"/>
              </w:rPr>
              <w:t> </w:t>
            </w:r>
            <w:r>
              <w:rPr>
                <w:b/>
                <w:color w:val="105C84"/>
                <w:sz w:val="20"/>
              </w:rPr>
              <w:t>Prevent</w:t>
            </w:r>
            <w:r>
              <w:rPr>
                <w:b/>
                <w:color w:val="105C84"/>
                <w:spacing w:val="-1"/>
                <w:sz w:val="20"/>
              </w:rPr>
              <w:t> </w:t>
            </w:r>
            <w:r>
              <w:rPr>
                <w:b/>
                <w:color w:val="105C84"/>
                <w:sz w:val="20"/>
              </w:rPr>
              <w:t>Mental</w:t>
            </w:r>
            <w:r>
              <w:rPr>
                <w:b/>
                <w:color w:val="105C84"/>
                <w:spacing w:val="-1"/>
                <w:sz w:val="20"/>
              </w:rPr>
              <w:t> </w:t>
            </w:r>
            <w:r>
              <w:rPr>
                <w:b/>
                <w:color w:val="105C84"/>
                <w:sz w:val="20"/>
              </w:rPr>
              <w:t>and</w:t>
            </w:r>
            <w:r>
              <w:rPr>
                <w:b/>
                <w:color w:val="105C84"/>
                <w:spacing w:val="-1"/>
                <w:sz w:val="20"/>
              </w:rPr>
              <w:t> </w:t>
            </w:r>
            <w:r>
              <w:rPr>
                <w:b/>
                <w:color w:val="105C84"/>
                <w:sz w:val="20"/>
              </w:rPr>
              <w:t>Substance</w:t>
            </w:r>
            <w:r>
              <w:rPr>
                <w:b/>
                <w:color w:val="105C84"/>
                <w:spacing w:val="-1"/>
                <w:sz w:val="20"/>
              </w:rPr>
              <w:t> </w:t>
            </w:r>
            <w:r>
              <w:rPr>
                <w:b/>
                <w:color w:val="105C84"/>
                <w:sz w:val="20"/>
              </w:rPr>
              <w:t>Use</w:t>
            </w:r>
            <w:r>
              <w:rPr>
                <w:b/>
                <w:color w:val="105C84"/>
                <w:spacing w:val="-1"/>
                <w:sz w:val="20"/>
              </w:rPr>
              <w:t> </w:t>
            </w:r>
            <w:r>
              <w:rPr>
                <w:b/>
                <w:color w:val="105C84"/>
                <w:spacing w:val="-2"/>
                <w:sz w:val="20"/>
              </w:rPr>
              <w:t>Disorders</w:t>
            </w:r>
          </w:p>
          <w:p>
            <w:pPr>
              <w:pStyle w:val="TableParagraph"/>
              <w:numPr>
                <w:ilvl w:val="0"/>
                <w:numId w:val="12"/>
              </w:numPr>
              <w:tabs>
                <w:tab w:pos="613" w:val="left" w:leader="none"/>
              </w:tabs>
              <w:spacing w:line="240" w:lineRule="auto" w:before="100" w:after="0"/>
              <w:ind w:left="613" w:right="0" w:hanging="213"/>
              <w:jc w:val="left"/>
              <w:rPr>
                <w:sz w:val="20"/>
              </w:rPr>
            </w:pPr>
            <w:r>
              <w:rPr>
                <w:color w:val="105C84"/>
                <w:sz w:val="20"/>
              </w:rPr>
              <w:t>Prevent</w:t>
            </w:r>
            <w:r>
              <w:rPr>
                <w:color w:val="105C84"/>
                <w:spacing w:val="-3"/>
                <w:sz w:val="20"/>
              </w:rPr>
              <w:t> </w:t>
            </w:r>
            <w:r>
              <w:rPr>
                <w:color w:val="105C84"/>
                <w:sz w:val="20"/>
              </w:rPr>
              <w:t>mental</w:t>
            </w:r>
            <w:r>
              <w:rPr>
                <w:color w:val="105C84"/>
                <w:spacing w:val="-2"/>
                <w:sz w:val="20"/>
              </w:rPr>
              <w:t> </w:t>
            </w:r>
            <w:r>
              <w:rPr>
                <w:color w:val="105C84"/>
                <w:sz w:val="20"/>
              </w:rPr>
              <w:t>and</w:t>
            </w:r>
            <w:r>
              <w:rPr>
                <w:color w:val="105C84"/>
                <w:spacing w:val="-3"/>
                <w:sz w:val="20"/>
              </w:rPr>
              <w:t> </w:t>
            </w:r>
            <w:r>
              <w:rPr>
                <w:color w:val="105C84"/>
                <w:sz w:val="20"/>
              </w:rPr>
              <w:t>substance</w:t>
            </w:r>
            <w:r>
              <w:rPr>
                <w:color w:val="105C84"/>
                <w:spacing w:val="-2"/>
                <w:sz w:val="20"/>
              </w:rPr>
              <w:t> </w:t>
            </w:r>
            <w:r>
              <w:rPr>
                <w:color w:val="105C84"/>
                <w:sz w:val="20"/>
              </w:rPr>
              <w:t>use</w:t>
            </w:r>
            <w:r>
              <w:rPr>
                <w:color w:val="105C84"/>
                <w:spacing w:val="-3"/>
                <w:sz w:val="20"/>
              </w:rPr>
              <w:t> </w:t>
            </w:r>
            <w:r>
              <w:rPr>
                <w:color w:val="105C84"/>
                <w:spacing w:val="-2"/>
                <w:sz w:val="20"/>
              </w:rPr>
              <w:t>disorders</w:t>
            </w:r>
          </w:p>
          <w:p>
            <w:pPr>
              <w:pStyle w:val="TableParagraph"/>
              <w:spacing w:before="80"/>
              <w:ind w:left="180"/>
              <w:rPr>
                <w:b/>
                <w:sz w:val="20"/>
              </w:rPr>
            </w:pPr>
            <w:r>
              <w:rPr>
                <w:b/>
                <w:color w:val="00A79E"/>
                <w:sz w:val="20"/>
              </w:rPr>
              <w:t>Disparity:</w:t>
            </w:r>
            <w:r>
              <w:rPr>
                <w:b/>
                <w:color w:val="00A79E"/>
                <w:spacing w:val="-12"/>
                <w:sz w:val="20"/>
              </w:rPr>
              <w:t> </w:t>
            </w:r>
            <w:r>
              <w:rPr>
                <w:b/>
                <w:color w:val="00A79E"/>
                <w:sz w:val="20"/>
              </w:rPr>
              <w:t>low</w:t>
            </w:r>
            <w:r>
              <w:rPr>
                <w:b/>
                <w:color w:val="00A79E"/>
                <w:spacing w:val="-13"/>
                <w:sz w:val="20"/>
              </w:rPr>
              <w:t> </w:t>
            </w:r>
            <w:r>
              <w:rPr>
                <w:b/>
                <w:color w:val="00A79E"/>
                <w:sz w:val="20"/>
              </w:rPr>
              <w:t>income</w:t>
            </w:r>
            <w:r>
              <w:rPr>
                <w:b/>
                <w:color w:val="00A79E"/>
                <w:spacing w:val="-12"/>
                <w:sz w:val="20"/>
              </w:rPr>
              <w:t> </w:t>
            </w:r>
            <w:r>
              <w:rPr>
                <w:b/>
                <w:color w:val="00A79E"/>
                <w:sz w:val="20"/>
              </w:rPr>
              <w:t>(chronic</w:t>
            </w:r>
            <w:r>
              <w:rPr>
                <w:b/>
                <w:color w:val="00A79E"/>
                <w:spacing w:val="-12"/>
                <w:sz w:val="20"/>
              </w:rPr>
              <w:t> </w:t>
            </w:r>
            <w:r>
              <w:rPr>
                <w:b/>
                <w:color w:val="00A79E"/>
                <w:spacing w:val="-2"/>
                <w:sz w:val="20"/>
              </w:rPr>
              <w:t>disease)</w:t>
            </w:r>
          </w:p>
        </w:tc>
      </w:tr>
    </w:tbl>
    <w:p>
      <w:pPr>
        <w:pStyle w:val="BodyText"/>
        <w:spacing w:before="121"/>
        <w:rPr>
          <w:b/>
        </w:rPr>
      </w:pPr>
    </w:p>
    <w:p>
      <w:pPr>
        <w:pStyle w:val="BodyText"/>
        <w:spacing w:line="247" w:lineRule="auto"/>
        <w:ind w:left="1094" w:right="241"/>
      </w:pPr>
      <w:r>
        <w:rPr>
          <w:color w:val="105C84"/>
        </w:rPr>
        <w:t>To address the above priorities and disparities, each local health department facilitated a CHIP planning meeting where partners discussed ways to leverage existing work. Existing work efforts</w:t>
      </w:r>
      <w:r>
        <w:rPr>
          <w:color w:val="105C84"/>
          <w:spacing w:val="40"/>
        </w:rPr>
        <w:t> </w:t>
      </w:r>
      <w:r>
        <w:rPr>
          <w:color w:val="105C84"/>
        </w:rPr>
        <w:t>were then compared to intervention options (primarily selected from the New York State Prevention</w:t>
      </w:r>
      <w:r>
        <w:rPr>
          <w:color w:val="105C84"/>
          <w:spacing w:val="40"/>
        </w:rPr>
        <w:t> </w:t>
      </w:r>
      <w:r>
        <w:rPr>
          <w:color w:val="105C84"/>
        </w:rPr>
        <w:t>Agenda Refresh Chart) and were informally voted on and selected. The selected interventions, process measures and partner roles in implementation processes can be found in each county’s Community Health Improvement Plan grid (Appendixes A-H).</w:t>
      </w:r>
    </w:p>
    <w:p>
      <w:pPr>
        <w:pStyle w:val="BodyText"/>
        <w:spacing w:line="247" w:lineRule="auto" w:before="177"/>
        <w:ind w:left="1094"/>
      </w:pPr>
      <w:r>
        <w:rPr>
          <w:color w:val="105C84"/>
        </w:rPr>
        <w:t>Each local health department has a designated overseeing CHIP body, which meets on an either monthly or bimonthly basis to review and update the Community Health Improvement Plan. During</w:t>
      </w:r>
      <w:r>
        <w:rPr>
          <w:color w:val="105C84"/>
          <w:spacing w:val="80"/>
        </w:rPr>
        <w:t> </w:t>
      </w:r>
      <w:r>
        <w:rPr>
          <w:color w:val="105C84"/>
        </w:rPr>
        <w:t>meetings, group members identify any mid-course actions that need to be taken and modify the</w:t>
      </w:r>
      <w:r>
        <w:rPr>
          <w:color w:val="105C84"/>
          <w:spacing w:val="80"/>
        </w:rPr>
        <w:t> </w:t>
      </w:r>
      <w:r>
        <w:rPr>
          <w:color w:val="105C84"/>
        </w:rPr>
        <w:t>implementation</w:t>
      </w:r>
      <w:r>
        <w:rPr>
          <w:color w:val="105C84"/>
          <w:spacing w:val="22"/>
        </w:rPr>
        <w:t> </w:t>
      </w:r>
      <w:r>
        <w:rPr>
          <w:color w:val="105C84"/>
        </w:rPr>
        <w:t>plan</w:t>
      </w:r>
      <w:r>
        <w:rPr>
          <w:color w:val="105C84"/>
          <w:spacing w:val="22"/>
        </w:rPr>
        <w:t> </w:t>
      </w:r>
      <w:r>
        <w:rPr>
          <w:color w:val="105C84"/>
        </w:rPr>
        <w:t>accordingly.</w:t>
      </w:r>
      <w:r>
        <w:rPr>
          <w:color w:val="105C84"/>
          <w:spacing w:val="22"/>
        </w:rPr>
        <w:t> </w:t>
      </w:r>
      <w:r>
        <w:rPr>
          <w:color w:val="105C84"/>
        </w:rPr>
        <w:t>Progress</w:t>
      </w:r>
      <w:r>
        <w:rPr>
          <w:color w:val="105C84"/>
          <w:spacing w:val="22"/>
        </w:rPr>
        <w:t> </w:t>
      </w:r>
      <w:r>
        <w:rPr>
          <w:color w:val="105C84"/>
        </w:rPr>
        <w:t>is</w:t>
      </w:r>
      <w:r>
        <w:rPr>
          <w:color w:val="105C84"/>
          <w:spacing w:val="22"/>
        </w:rPr>
        <w:t> </w:t>
      </w:r>
      <w:r>
        <w:rPr>
          <w:color w:val="105C84"/>
        </w:rPr>
        <w:t>be</w:t>
      </w:r>
      <w:r>
        <w:rPr>
          <w:color w:val="105C84"/>
          <w:spacing w:val="22"/>
        </w:rPr>
        <w:t> </w:t>
      </w:r>
      <w:r>
        <w:rPr>
          <w:color w:val="105C84"/>
        </w:rPr>
        <w:t>tracked</w:t>
      </w:r>
      <w:r>
        <w:rPr>
          <w:color w:val="105C84"/>
          <w:spacing w:val="22"/>
        </w:rPr>
        <w:t> </w:t>
      </w:r>
      <w:r>
        <w:rPr>
          <w:color w:val="105C84"/>
        </w:rPr>
        <w:t>during</w:t>
      </w:r>
      <w:r>
        <w:rPr>
          <w:color w:val="105C84"/>
          <w:spacing w:val="22"/>
        </w:rPr>
        <w:t> </w:t>
      </w:r>
      <w:r>
        <w:rPr>
          <w:color w:val="105C84"/>
        </w:rPr>
        <w:t>meetings</w:t>
      </w:r>
      <w:r>
        <w:rPr>
          <w:color w:val="105C84"/>
          <w:spacing w:val="22"/>
        </w:rPr>
        <w:t> </w:t>
      </w:r>
      <w:r>
        <w:rPr>
          <w:color w:val="105C84"/>
        </w:rPr>
        <w:t>via</w:t>
      </w:r>
      <w:r>
        <w:rPr>
          <w:color w:val="105C84"/>
          <w:spacing w:val="22"/>
        </w:rPr>
        <w:t> </w:t>
      </w:r>
      <w:r>
        <w:rPr>
          <w:color w:val="105C84"/>
        </w:rPr>
        <w:t>partner</w:t>
      </w:r>
      <w:r>
        <w:rPr>
          <w:color w:val="105C84"/>
          <w:spacing w:val="22"/>
        </w:rPr>
        <w:t> </w:t>
      </w:r>
      <w:r>
        <w:rPr>
          <w:color w:val="105C84"/>
        </w:rPr>
        <w:t>report</w:t>
      </w:r>
      <w:r>
        <w:rPr>
          <w:color w:val="105C84"/>
          <w:spacing w:val="22"/>
        </w:rPr>
        <w:t> </w:t>
      </w:r>
      <w:r>
        <w:rPr>
          <w:color w:val="105C84"/>
        </w:rPr>
        <w:t>outs</w:t>
      </w:r>
      <w:r>
        <w:rPr>
          <w:color w:val="105C84"/>
          <w:spacing w:val="22"/>
        </w:rPr>
        <w:t> </w:t>
      </w:r>
      <w:r>
        <w:rPr>
          <w:color w:val="105C84"/>
        </w:rPr>
        <w:t>and is recorded in meeting minutes and a CHIP progress chart. Partners and the community at large are engaged and apprised of progress via website postings, email notifications, presentations, and social</w:t>
      </w:r>
      <w:r>
        <w:rPr>
          <w:color w:val="105C84"/>
          <w:spacing w:val="40"/>
        </w:rPr>
        <w:t> </w:t>
      </w:r>
      <w:r>
        <w:rPr>
          <w:color w:val="105C84"/>
        </w:rPr>
        <w:t>media postings.</w:t>
      </w:r>
    </w:p>
    <w:p>
      <w:pPr>
        <w:spacing w:before="136"/>
        <w:ind w:left="1094" w:right="0" w:firstLine="0"/>
        <w:jc w:val="left"/>
        <w:rPr>
          <w:sz w:val="58"/>
        </w:rPr>
      </w:pPr>
      <w:r>
        <w:rPr/>
        <w:br w:type="column"/>
      </w:r>
      <w:r>
        <w:rPr>
          <w:color w:val="105C84"/>
          <w:spacing w:val="-6"/>
          <w:sz w:val="58"/>
        </w:rPr>
        <w:t>COMMUNITY</w:t>
      </w:r>
      <w:r>
        <w:rPr>
          <w:color w:val="105C84"/>
          <w:spacing w:val="-32"/>
          <w:sz w:val="58"/>
        </w:rPr>
        <w:t> </w:t>
      </w:r>
      <w:r>
        <w:rPr>
          <w:color w:val="105C84"/>
          <w:spacing w:val="-6"/>
          <w:sz w:val="58"/>
        </w:rPr>
        <w:t>HEALTH</w:t>
      </w:r>
      <w:r>
        <w:rPr>
          <w:color w:val="105C84"/>
          <w:spacing w:val="-31"/>
          <w:sz w:val="58"/>
        </w:rPr>
        <w:t> </w:t>
      </w:r>
      <w:r>
        <w:rPr>
          <w:color w:val="105C84"/>
          <w:spacing w:val="-12"/>
          <w:sz w:val="58"/>
        </w:rPr>
        <w:t>ASSESSMENT</w:t>
      </w:r>
    </w:p>
    <w:p>
      <w:pPr>
        <w:spacing w:before="497"/>
        <w:ind w:left="1094" w:right="0" w:firstLine="0"/>
        <w:jc w:val="left"/>
        <w:rPr>
          <w:b/>
          <w:sz w:val="32"/>
        </w:rPr>
      </w:pPr>
      <w:r>
        <w:rPr>
          <w:b/>
          <w:color w:val="82BF6A"/>
          <w:sz w:val="32"/>
        </w:rPr>
        <w:t>EIGHT</w:t>
      </w:r>
      <w:r>
        <w:rPr>
          <w:b/>
          <w:color w:val="82BF6A"/>
          <w:spacing w:val="-10"/>
          <w:sz w:val="32"/>
        </w:rPr>
        <w:t> </w:t>
      </w:r>
      <w:r>
        <w:rPr>
          <w:b/>
          <w:color w:val="82BF6A"/>
          <w:sz w:val="32"/>
        </w:rPr>
        <w:t>COUNTY</w:t>
      </w:r>
      <w:r>
        <w:rPr>
          <w:b/>
          <w:color w:val="82BF6A"/>
          <w:spacing w:val="-10"/>
          <w:sz w:val="32"/>
        </w:rPr>
        <w:t> </w:t>
      </w:r>
      <w:r>
        <w:rPr>
          <w:b/>
          <w:color w:val="82BF6A"/>
          <w:spacing w:val="-2"/>
          <w:sz w:val="32"/>
        </w:rPr>
        <w:t>REGION</w:t>
      </w:r>
    </w:p>
    <w:p>
      <w:pPr>
        <w:pStyle w:val="Heading6"/>
        <w:spacing w:before="259"/>
        <w:ind w:left="1094"/>
      </w:pPr>
      <w:r>
        <w:rPr>
          <w:color w:val="105C84"/>
          <w:spacing w:val="-7"/>
        </w:rPr>
        <w:t>Total</w:t>
      </w:r>
      <w:r>
        <w:rPr>
          <w:color w:val="105C84"/>
          <w:spacing w:val="-11"/>
        </w:rPr>
        <w:t> </w:t>
      </w:r>
      <w:r>
        <w:rPr>
          <w:color w:val="105C84"/>
          <w:spacing w:val="-2"/>
        </w:rPr>
        <w:t>Population</w:t>
      </w:r>
    </w:p>
    <w:p>
      <w:pPr>
        <w:pStyle w:val="BodyText"/>
        <w:spacing w:line="247" w:lineRule="auto" w:before="268"/>
        <w:ind w:left="1094"/>
      </w:pPr>
      <w:r>
        <w:rPr>
          <w:color w:val="105C84"/>
        </w:rPr>
        <w:t>Located in the Western half of New York State between Lake Ontario and the New York/Pennsylvania border, the Finger Lakes region is home to visions of renowned waterfront, hiking trails, thousands</w:t>
      </w:r>
    </w:p>
    <w:p>
      <w:pPr>
        <w:pStyle w:val="BodyText"/>
        <w:spacing w:line="247" w:lineRule="auto"/>
        <w:ind w:left="1094" w:right="506"/>
      </w:pPr>
      <w:r>
        <w:rPr>
          <w:color w:val="105C84"/>
        </w:rPr>
        <w:t>of acres of farmland, quaint and lively towns and villages, and active small cities (Map 2). Such a picturesque region brings in thousands of tourists each year. Despite all of its assets, residents experience health related issues and illness just like any other community in New York State. The following assessment will take a closer look at the health of Finger Lakes region residents and selected interventions to improve the health of its residents.</w:t>
      </w:r>
    </w:p>
    <w:p>
      <w:pPr>
        <w:pStyle w:val="BodyText"/>
        <w:spacing w:before="16"/>
      </w:pPr>
    </w:p>
    <w:p>
      <w:pPr>
        <w:pStyle w:val="Heading6"/>
        <w:ind w:left="1094"/>
      </w:pPr>
      <w:r>
        <w:rPr/>
        <w:drawing>
          <wp:anchor distT="0" distB="0" distL="0" distR="0" allowOverlap="1" layoutInCell="1" locked="0" behindDoc="1" simplePos="0" relativeHeight="474967040">
            <wp:simplePos x="0" y="0"/>
            <wp:positionH relativeFrom="page">
              <wp:posOffset>11178532</wp:posOffset>
            </wp:positionH>
            <wp:positionV relativeFrom="paragraph">
              <wp:posOffset>211572</wp:posOffset>
            </wp:positionV>
            <wp:extent cx="3722627" cy="2895312"/>
            <wp:effectExtent l="0" t="0" r="0" b="0"/>
            <wp:wrapNone/>
            <wp:docPr id="91" name="Image 91"/>
            <wp:cNvGraphicFramePr>
              <a:graphicFrameLocks/>
            </wp:cNvGraphicFramePr>
            <a:graphic>
              <a:graphicData uri="http://schemas.openxmlformats.org/drawingml/2006/picture">
                <pic:pic>
                  <pic:nvPicPr>
                    <pic:cNvPr id="91" name="Image 91"/>
                    <pic:cNvPicPr/>
                  </pic:nvPicPr>
                  <pic:blipFill>
                    <a:blip r:embed="rId48" cstate="print"/>
                    <a:stretch>
                      <a:fillRect/>
                    </a:stretch>
                  </pic:blipFill>
                  <pic:spPr>
                    <a:xfrm>
                      <a:off x="0" y="0"/>
                      <a:ext cx="3722627" cy="2895312"/>
                    </a:xfrm>
                    <a:prstGeom prst="rect">
                      <a:avLst/>
                    </a:prstGeom>
                  </pic:spPr>
                </pic:pic>
              </a:graphicData>
            </a:graphic>
          </wp:anchor>
        </w:drawing>
      </w:r>
      <w:r>
        <w:rPr>
          <w:color w:val="105C84"/>
          <w:spacing w:val="-2"/>
        </w:rPr>
        <w:t>MAP</w:t>
      </w:r>
      <w:r>
        <w:rPr>
          <w:color w:val="105C84"/>
          <w:spacing w:val="-15"/>
        </w:rPr>
        <w:t> </w:t>
      </w:r>
      <w:r>
        <w:rPr>
          <w:color w:val="105C84"/>
          <w:spacing w:val="-2"/>
        </w:rPr>
        <w:t>2:</w:t>
      </w:r>
      <w:r>
        <w:rPr>
          <w:color w:val="105C84"/>
          <w:spacing w:val="-14"/>
        </w:rPr>
        <w:t> </w:t>
      </w:r>
      <w:r>
        <w:rPr>
          <w:color w:val="105C84"/>
          <w:spacing w:val="-2"/>
        </w:rPr>
        <w:t>The</w:t>
      </w:r>
      <w:r>
        <w:rPr>
          <w:color w:val="105C84"/>
          <w:spacing w:val="-14"/>
        </w:rPr>
        <w:t> </w:t>
      </w:r>
      <w:r>
        <w:rPr>
          <w:color w:val="105C84"/>
          <w:spacing w:val="-2"/>
        </w:rPr>
        <w:t>eight-county</w:t>
      </w:r>
      <w:r>
        <w:rPr>
          <w:color w:val="105C84"/>
          <w:spacing w:val="-14"/>
        </w:rPr>
        <w:t> </w:t>
      </w:r>
      <w:r>
        <w:rPr>
          <w:color w:val="105C84"/>
          <w:spacing w:val="-2"/>
        </w:rPr>
        <w:t>Finger</w:t>
      </w:r>
      <w:r>
        <w:rPr>
          <w:color w:val="105C84"/>
          <w:spacing w:val="-14"/>
        </w:rPr>
        <w:t> </w:t>
      </w:r>
      <w:r>
        <w:rPr>
          <w:color w:val="105C84"/>
          <w:spacing w:val="-2"/>
        </w:rPr>
        <w:t>Lakes</w:t>
      </w:r>
      <w:r>
        <w:rPr>
          <w:color w:val="105C84"/>
          <w:spacing w:val="-14"/>
        </w:rPr>
        <w:t> </w:t>
      </w:r>
      <w:r>
        <w:rPr>
          <w:color w:val="105C84"/>
          <w:spacing w:val="-2"/>
        </w:rPr>
        <w:t>region</w:t>
      </w:r>
    </w:p>
    <w:p>
      <w:pPr>
        <w:pStyle w:val="BodyText"/>
        <w:spacing w:line="247" w:lineRule="auto" w:before="268"/>
        <w:ind w:left="1094" w:right="4331"/>
      </w:pPr>
      <w:r>
        <w:rPr>
          <w:color w:val="105C84"/>
        </w:rPr>
        <w:t>The total population of the eight county region has increased by approximately 11,000 residents since 1990, with</w:t>
      </w:r>
    </w:p>
    <w:p>
      <w:pPr>
        <w:pStyle w:val="BodyText"/>
        <w:spacing w:line="247" w:lineRule="auto"/>
        <w:ind w:left="1094" w:right="5263"/>
      </w:pPr>
      <w:r>
        <w:rPr>
          <w:color w:val="105C84"/>
        </w:rPr>
        <w:t>an estimated 528,000 total residents. Projections from Cornell University’s Program on Applied Demographics expect a decrease in overall population (13,000 residents) over the next</w:t>
      </w:r>
    </w:p>
    <w:p>
      <w:pPr>
        <w:pStyle w:val="BodyText"/>
        <w:spacing w:line="247" w:lineRule="auto"/>
        <w:ind w:left="1094" w:right="6600"/>
      </w:pPr>
      <w:r>
        <w:rPr>
          <w:color w:val="105C84"/>
        </w:rPr>
        <w:t>ten years, though there is an expected increase in the aging (65+) population. Implications of the growing aging population ought to be considered when health planning in the region.</w:t>
      </w:r>
    </w:p>
    <w:p>
      <w:pPr>
        <w:pStyle w:val="BodyText"/>
        <w:spacing w:before="175"/>
        <w:ind w:left="1094"/>
      </w:pPr>
      <w:r>
        <w:rPr>
          <w:color w:val="105C84"/>
          <w:w w:val="105"/>
        </w:rPr>
        <w:t>According</w:t>
      </w:r>
      <w:r>
        <w:rPr>
          <w:color w:val="105C84"/>
          <w:spacing w:val="-10"/>
          <w:w w:val="105"/>
        </w:rPr>
        <w:t> </w:t>
      </w:r>
      <w:r>
        <w:rPr>
          <w:color w:val="105C84"/>
          <w:w w:val="105"/>
        </w:rPr>
        <w:t>to</w:t>
      </w:r>
      <w:r>
        <w:rPr>
          <w:color w:val="105C84"/>
          <w:spacing w:val="-10"/>
          <w:w w:val="105"/>
        </w:rPr>
        <w:t> </w:t>
      </w:r>
      <w:r>
        <w:rPr>
          <w:color w:val="105C84"/>
          <w:w w:val="105"/>
        </w:rPr>
        <w:t>the</w:t>
      </w:r>
      <w:r>
        <w:rPr>
          <w:color w:val="105C84"/>
          <w:spacing w:val="-9"/>
          <w:w w:val="105"/>
        </w:rPr>
        <w:t> </w:t>
      </w:r>
      <w:r>
        <w:rPr>
          <w:color w:val="105C84"/>
          <w:w w:val="105"/>
        </w:rPr>
        <w:t>most</w:t>
      </w:r>
      <w:r>
        <w:rPr>
          <w:color w:val="105C84"/>
          <w:spacing w:val="-10"/>
          <w:w w:val="105"/>
        </w:rPr>
        <w:t> </w:t>
      </w:r>
      <w:r>
        <w:rPr>
          <w:color w:val="105C84"/>
          <w:w w:val="105"/>
        </w:rPr>
        <w:t>recent</w:t>
      </w:r>
      <w:r>
        <w:rPr>
          <w:color w:val="105C84"/>
          <w:spacing w:val="-9"/>
          <w:w w:val="105"/>
        </w:rPr>
        <w:t> </w:t>
      </w:r>
      <w:r>
        <w:rPr>
          <w:color w:val="105C84"/>
          <w:spacing w:val="-2"/>
          <w:w w:val="105"/>
        </w:rPr>
        <w:t>American</w:t>
      </w:r>
    </w:p>
    <w:p>
      <w:pPr>
        <w:pStyle w:val="BodyText"/>
        <w:spacing w:line="247" w:lineRule="auto" w:before="7"/>
        <w:ind w:left="1094" w:right="4227"/>
      </w:pPr>
      <w:r>
        <w:rPr>
          <w:color w:val="105C84"/>
        </w:rPr>
        <w:t>Community Survey data, 92% of the region’s residents are</w:t>
      </w:r>
      <w:r>
        <w:rPr>
          <w:color w:val="105C84"/>
          <w:spacing w:val="40"/>
        </w:rPr>
        <w:t> </w:t>
      </w:r>
      <w:r>
        <w:rPr>
          <w:color w:val="105C84"/>
        </w:rPr>
        <w:t>white</w:t>
      </w:r>
      <w:r>
        <w:rPr>
          <w:color w:val="105C84"/>
          <w:spacing w:val="-3"/>
        </w:rPr>
        <w:t> </w:t>
      </w:r>
      <w:r>
        <w:rPr>
          <w:color w:val="105C84"/>
        </w:rPr>
        <w:t>non-Hispanic.</w:t>
      </w:r>
      <w:r>
        <w:rPr>
          <w:color w:val="105C84"/>
          <w:spacing w:val="-3"/>
        </w:rPr>
        <w:t> </w:t>
      </w:r>
      <w:r>
        <w:rPr>
          <w:color w:val="105C84"/>
        </w:rPr>
        <w:t>Since</w:t>
      </w:r>
      <w:r>
        <w:rPr>
          <w:color w:val="105C84"/>
          <w:spacing w:val="-3"/>
        </w:rPr>
        <w:t> </w:t>
      </w:r>
      <w:r>
        <w:rPr>
          <w:color w:val="105C84"/>
        </w:rPr>
        <w:t>1990,</w:t>
      </w:r>
      <w:r>
        <w:rPr>
          <w:color w:val="105C84"/>
          <w:spacing w:val="-3"/>
        </w:rPr>
        <w:t> </w:t>
      </w:r>
      <w:r>
        <w:rPr>
          <w:color w:val="105C84"/>
        </w:rPr>
        <w:t>there</w:t>
      </w:r>
      <w:r>
        <w:rPr>
          <w:color w:val="105C84"/>
          <w:spacing w:val="-3"/>
        </w:rPr>
        <w:t> </w:t>
      </w:r>
      <w:r>
        <w:rPr>
          <w:color w:val="105C84"/>
        </w:rPr>
        <w:t>has</w:t>
      </w:r>
      <w:r>
        <w:rPr>
          <w:color w:val="105C84"/>
          <w:spacing w:val="-3"/>
        </w:rPr>
        <w:t> </w:t>
      </w:r>
      <w:r>
        <w:rPr>
          <w:color w:val="105C84"/>
        </w:rPr>
        <w:t>been</w:t>
      </w:r>
      <w:r>
        <w:rPr>
          <w:color w:val="105C84"/>
          <w:spacing w:val="-3"/>
        </w:rPr>
        <w:t> </w:t>
      </w:r>
      <w:r>
        <w:rPr>
          <w:color w:val="105C84"/>
        </w:rPr>
        <w:t>a</w:t>
      </w:r>
      <w:r>
        <w:rPr>
          <w:color w:val="105C84"/>
          <w:spacing w:val="-3"/>
        </w:rPr>
        <w:t> </w:t>
      </w:r>
      <w:r>
        <w:rPr>
          <w:color w:val="105C84"/>
        </w:rPr>
        <w:t>63%</w:t>
      </w:r>
      <w:r>
        <w:rPr>
          <w:color w:val="105C84"/>
          <w:spacing w:val="-3"/>
        </w:rPr>
        <w:t> </w:t>
      </w:r>
      <w:r>
        <w:rPr>
          <w:color w:val="105C84"/>
        </w:rPr>
        <w:t>regional growth in the Hispanic population (6,000</w:t>
      </w:r>
    </w:p>
    <w:p>
      <w:pPr>
        <w:pStyle w:val="BodyText"/>
        <w:spacing w:line="247" w:lineRule="auto"/>
        <w:ind w:left="1094" w:right="2426"/>
      </w:pPr>
      <w:r>
        <w:rPr>
          <w:color w:val="105C84"/>
        </w:rPr>
        <w:t>to 17,000 residents), and a 32% regional growth in the African American population (13,000 to 19,000 residents).</w:t>
      </w:r>
    </w:p>
    <w:p>
      <w:pPr>
        <w:pStyle w:val="BodyText"/>
        <w:spacing w:before="16"/>
      </w:pPr>
    </w:p>
    <w:p>
      <w:pPr>
        <w:pStyle w:val="Heading6"/>
        <w:ind w:left="1094"/>
      </w:pPr>
      <w:r>
        <w:rPr>
          <w:color w:val="105C84"/>
          <w:spacing w:val="-2"/>
        </w:rPr>
        <w:t>Disability</w:t>
      </w:r>
    </w:p>
    <w:p>
      <w:pPr>
        <w:pStyle w:val="BodyText"/>
        <w:spacing w:line="247" w:lineRule="auto" w:before="268"/>
        <w:ind w:left="1094" w:right="506"/>
      </w:pPr>
      <w:r>
        <w:rPr>
          <w:color w:val="105C84"/>
        </w:rPr>
        <w:t>Those living with any form of disability (physical, activity or daily functioning impairments) are at greater risk for development of chronic conditions including obesity, heart disease, and diabetes.</w:t>
      </w:r>
      <w:r>
        <w:rPr>
          <w:color w:val="105C84"/>
          <w:spacing w:val="40"/>
        </w:rPr>
        <w:t> </w:t>
      </w:r>
      <w:r>
        <w:rPr>
          <w:color w:val="105C84"/>
        </w:rPr>
        <w:t>Creating</w:t>
      </w:r>
      <w:r>
        <w:rPr>
          <w:color w:val="105C84"/>
          <w:spacing w:val="33"/>
        </w:rPr>
        <w:t> </w:t>
      </w:r>
      <w:r>
        <w:rPr>
          <w:color w:val="105C84"/>
        </w:rPr>
        <w:t>a</w:t>
      </w:r>
      <w:r>
        <w:rPr>
          <w:color w:val="105C84"/>
          <w:spacing w:val="33"/>
        </w:rPr>
        <w:t> </w:t>
      </w:r>
      <w:r>
        <w:rPr>
          <w:color w:val="105C84"/>
        </w:rPr>
        <w:t>built</w:t>
      </w:r>
      <w:r>
        <w:rPr>
          <w:color w:val="105C84"/>
          <w:spacing w:val="33"/>
        </w:rPr>
        <w:t> </w:t>
      </w:r>
      <w:r>
        <w:rPr>
          <w:color w:val="105C84"/>
        </w:rPr>
        <w:t>environment</w:t>
      </w:r>
      <w:r>
        <w:rPr>
          <w:color w:val="105C84"/>
          <w:spacing w:val="33"/>
        </w:rPr>
        <w:t> </w:t>
      </w:r>
      <w:r>
        <w:rPr>
          <w:color w:val="105C84"/>
        </w:rPr>
        <w:t>that</w:t>
      </w:r>
      <w:r>
        <w:rPr>
          <w:color w:val="105C84"/>
          <w:spacing w:val="33"/>
        </w:rPr>
        <w:t> </w:t>
      </w:r>
      <w:r>
        <w:rPr>
          <w:color w:val="105C84"/>
        </w:rPr>
        <w:t>helps</w:t>
      </w:r>
      <w:r>
        <w:rPr>
          <w:color w:val="105C84"/>
          <w:spacing w:val="33"/>
        </w:rPr>
        <w:t> </w:t>
      </w:r>
      <w:r>
        <w:rPr>
          <w:color w:val="105C84"/>
        </w:rPr>
        <w:t>eliminate</w:t>
      </w:r>
      <w:r>
        <w:rPr>
          <w:color w:val="105C84"/>
          <w:spacing w:val="33"/>
        </w:rPr>
        <w:t> </w:t>
      </w:r>
      <w:r>
        <w:rPr>
          <w:color w:val="105C84"/>
        </w:rPr>
        <w:t>structural</w:t>
      </w:r>
      <w:r>
        <w:rPr>
          <w:color w:val="105C84"/>
          <w:spacing w:val="33"/>
        </w:rPr>
        <w:t> </w:t>
      </w:r>
      <w:r>
        <w:rPr>
          <w:color w:val="105C84"/>
        </w:rPr>
        <w:t>barriers</w:t>
      </w:r>
      <w:r>
        <w:rPr>
          <w:color w:val="105C84"/>
          <w:spacing w:val="33"/>
        </w:rPr>
        <w:t> </w:t>
      </w:r>
      <w:r>
        <w:rPr>
          <w:color w:val="105C84"/>
        </w:rPr>
        <w:t>and</w:t>
      </w:r>
      <w:r>
        <w:rPr>
          <w:color w:val="105C84"/>
          <w:spacing w:val="33"/>
        </w:rPr>
        <w:t> </w:t>
      </w:r>
      <w:r>
        <w:rPr>
          <w:color w:val="105C84"/>
        </w:rPr>
        <w:t>building</w:t>
      </w:r>
      <w:r>
        <w:rPr>
          <w:color w:val="105C84"/>
          <w:spacing w:val="33"/>
        </w:rPr>
        <w:t> </w:t>
      </w:r>
      <w:r>
        <w:rPr>
          <w:color w:val="105C84"/>
        </w:rPr>
        <w:t>a</w:t>
      </w:r>
      <w:r>
        <w:rPr>
          <w:color w:val="105C84"/>
          <w:spacing w:val="33"/>
        </w:rPr>
        <w:t> </w:t>
      </w:r>
      <w:r>
        <w:rPr>
          <w:color w:val="105C84"/>
        </w:rPr>
        <w:t>culture</w:t>
      </w:r>
      <w:r>
        <w:rPr>
          <w:color w:val="105C84"/>
          <w:spacing w:val="33"/>
        </w:rPr>
        <w:t> </w:t>
      </w:r>
      <w:r>
        <w:rPr>
          <w:color w:val="105C84"/>
        </w:rPr>
        <w:t>of inclusion helps to reduce disparities in health outcomes for the disabled. Doing so requires support</w:t>
      </w:r>
      <w:r>
        <w:rPr>
          <w:color w:val="105C84"/>
          <w:spacing w:val="80"/>
        </w:rPr>
        <w:t> </w:t>
      </w:r>
      <w:r>
        <w:rPr>
          <w:color w:val="105C84"/>
        </w:rPr>
        <w:t>from a variety of change initiatives such as policy, system and environmental changes.</w:t>
      </w:r>
    </w:p>
    <w:p>
      <w:pPr>
        <w:pStyle w:val="BodyText"/>
        <w:spacing w:after="0" w:line="247" w:lineRule="auto"/>
        <w:sectPr>
          <w:type w:val="continuous"/>
          <w:pgSz w:w="24480" w:h="15840" w:orient="landscape"/>
          <w:pgMar w:header="0" w:footer="0" w:top="0" w:bottom="280" w:left="0" w:right="720"/>
          <w:cols w:num="2" w:equalWidth="0">
            <w:col w:w="11191" w:space="1034"/>
            <w:col w:w="11535"/>
          </w:cols>
        </w:sectPr>
      </w:pPr>
    </w:p>
    <w:p>
      <w:pPr>
        <w:pStyle w:val="BodyText"/>
        <w:rPr>
          <w:sz w:val="26"/>
        </w:rPr>
      </w:pPr>
      <w:r>
        <w:rPr>
          <w:sz w:val="26"/>
        </w:rPr>
        <w:drawing>
          <wp:anchor distT="0" distB="0" distL="0" distR="0" allowOverlap="1" layoutInCell="1" locked="0" behindDoc="0" simplePos="0" relativeHeight="15739904">
            <wp:simplePos x="0" y="0"/>
            <wp:positionH relativeFrom="page">
              <wp:posOffset>14981556</wp:posOffset>
            </wp:positionH>
            <wp:positionV relativeFrom="page">
              <wp:posOffset>9668103</wp:posOffset>
            </wp:positionV>
            <wp:extent cx="563245" cy="184683"/>
            <wp:effectExtent l="0" t="0" r="0" b="0"/>
            <wp:wrapNone/>
            <wp:docPr id="92" name="Image 92"/>
            <wp:cNvGraphicFramePr>
              <a:graphicFrameLocks/>
            </wp:cNvGraphicFramePr>
            <a:graphic>
              <a:graphicData uri="http://schemas.openxmlformats.org/drawingml/2006/picture">
                <pic:pic>
                  <pic:nvPicPr>
                    <pic:cNvPr id="92" name="Image 92"/>
                    <pic:cNvPicPr/>
                  </pic:nvPicPr>
                  <pic:blipFill>
                    <a:blip r:embed="rId38" cstate="print"/>
                    <a:stretch>
                      <a:fillRect/>
                    </a:stretch>
                  </pic:blipFill>
                  <pic:spPr>
                    <a:xfrm>
                      <a:off x="0" y="0"/>
                      <a:ext cx="563245" cy="184683"/>
                    </a:xfrm>
                    <a:prstGeom prst="rect">
                      <a:avLst/>
                    </a:prstGeom>
                  </pic:spPr>
                </pic:pic>
              </a:graphicData>
            </a:graphic>
          </wp:anchor>
        </w:drawing>
      </w: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72"/>
        <w:rPr>
          <w:sz w:val="26"/>
        </w:rPr>
      </w:pPr>
    </w:p>
    <w:p>
      <w:pPr>
        <w:tabs>
          <w:tab w:pos="23147" w:val="left" w:leader="none"/>
        </w:tabs>
        <w:spacing w:before="1"/>
        <w:ind w:left="0" w:right="0" w:firstLine="0"/>
        <w:jc w:val="left"/>
        <w:rPr>
          <w:b/>
          <w:sz w:val="26"/>
        </w:rPr>
      </w:pPr>
      <w:r>
        <w:rPr>
          <w:position w:val="-4"/>
        </w:rPr>
        <w:drawing>
          <wp:inline distT="0" distB="0" distL="0" distR="0">
            <wp:extent cx="568172" cy="184683"/>
            <wp:effectExtent l="0" t="0" r="0" b="0"/>
            <wp:docPr id="93" name="Image 93"/>
            <wp:cNvGraphicFramePr>
              <a:graphicFrameLocks/>
            </wp:cNvGraphicFramePr>
            <a:graphic>
              <a:graphicData uri="http://schemas.openxmlformats.org/drawingml/2006/picture">
                <pic:pic>
                  <pic:nvPicPr>
                    <pic:cNvPr id="93" name="Image 93"/>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80"/>
          <w:w w:val="105"/>
          <w:sz w:val="20"/>
        </w:rPr>
        <w:t> </w:t>
      </w:r>
      <w:r>
        <w:rPr>
          <w:b/>
          <w:color w:val="939598"/>
          <w:w w:val="105"/>
          <w:sz w:val="26"/>
        </w:rPr>
        <w:t>11</w:t>
      </w:r>
      <w:r>
        <w:rPr>
          <w:b/>
          <w:color w:val="939598"/>
          <w:sz w:val="26"/>
        </w:rPr>
        <w:tab/>
      </w:r>
      <w:r>
        <w:rPr>
          <w:b/>
          <w:color w:val="939598"/>
          <w:spacing w:val="-5"/>
          <w:w w:val="105"/>
          <w:sz w:val="26"/>
        </w:rPr>
        <w:t>12</w:t>
      </w:r>
    </w:p>
    <w:p>
      <w:pPr>
        <w:spacing w:after="0"/>
        <w:jc w:val="left"/>
        <w:rPr>
          <w:b/>
          <w:sz w:val="26"/>
        </w:rPr>
        <w:sectPr>
          <w:type w:val="continuous"/>
          <w:pgSz w:w="24480" w:h="15840" w:orient="landscape"/>
          <w:pgMar w:header="0" w:footer="0" w:top="0" w:bottom="280" w:left="0" w:right="720"/>
        </w:sectPr>
      </w:pPr>
    </w:p>
    <w:p>
      <w:pPr>
        <w:pStyle w:val="BodyText"/>
        <w:rPr>
          <w:b/>
          <w:sz w:val="20"/>
        </w:rPr>
      </w:pPr>
    </w:p>
    <w:p>
      <w:pPr>
        <w:pStyle w:val="BodyText"/>
        <w:spacing w:before="16"/>
        <w:rPr>
          <w:b/>
          <w:sz w:val="20"/>
        </w:rPr>
      </w:pPr>
    </w:p>
    <w:p>
      <w:pPr>
        <w:pStyle w:val="BodyText"/>
        <w:spacing w:after="0"/>
        <w:rPr>
          <w:b/>
          <w:sz w:val="20"/>
        </w:rPr>
        <w:sectPr>
          <w:headerReference w:type="default" r:id="rId49"/>
          <w:pgSz w:w="24480" w:h="15840" w:orient="landscape"/>
          <w:pgMar w:header="0" w:footer="0" w:top="860" w:bottom="0" w:left="0" w:right="720"/>
        </w:sectPr>
      </w:pPr>
    </w:p>
    <w:p>
      <w:pPr>
        <w:pStyle w:val="BodyText"/>
        <w:spacing w:line="247" w:lineRule="auto" w:before="113"/>
        <w:ind w:left="1065"/>
      </w:pPr>
      <w:r>
        <w:rPr>
          <w:color w:val="105C84"/>
        </w:rPr>
        <w:t>In the eight county region, an average of 24% of adult residents are living with a disability. The rates range from 19% in Ontario County to 29% in Wayne County (Figure 1).</w:t>
      </w:r>
    </w:p>
    <w:p>
      <w:pPr>
        <w:pStyle w:val="BodyText"/>
        <w:spacing w:before="19"/>
      </w:pPr>
    </w:p>
    <w:p>
      <w:pPr>
        <w:pStyle w:val="Heading6"/>
        <w:ind w:left="1065"/>
      </w:pPr>
      <w:r>
        <w:rPr>
          <w:color w:val="105C84"/>
          <w:spacing w:val="-2"/>
        </w:rPr>
        <w:t>FIGURE</w:t>
      </w:r>
      <w:r>
        <w:rPr>
          <w:color w:val="105C84"/>
          <w:spacing w:val="-12"/>
        </w:rPr>
        <w:t> </w:t>
      </w:r>
      <w:r>
        <w:rPr>
          <w:color w:val="105C84"/>
          <w:spacing w:val="-2"/>
        </w:rPr>
        <w:t>1:</w:t>
      </w:r>
      <w:r>
        <w:rPr>
          <w:color w:val="105C84"/>
          <w:spacing w:val="-11"/>
        </w:rPr>
        <w:t> </w:t>
      </w:r>
      <w:r>
        <w:rPr>
          <w:color w:val="105C84"/>
          <w:spacing w:val="-2"/>
        </w:rPr>
        <w:t>Percent</w:t>
      </w:r>
      <w:r>
        <w:rPr>
          <w:color w:val="105C84"/>
          <w:spacing w:val="-11"/>
        </w:rPr>
        <w:t> </w:t>
      </w:r>
      <w:r>
        <w:rPr>
          <w:color w:val="105C84"/>
          <w:spacing w:val="-2"/>
        </w:rPr>
        <w:t>of</w:t>
      </w:r>
      <w:r>
        <w:rPr>
          <w:color w:val="105C84"/>
          <w:spacing w:val="-12"/>
        </w:rPr>
        <w:t> </w:t>
      </w:r>
      <w:r>
        <w:rPr>
          <w:color w:val="105C84"/>
          <w:spacing w:val="-2"/>
        </w:rPr>
        <w:t>adults</w:t>
      </w:r>
      <w:r>
        <w:rPr>
          <w:color w:val="105C84"/>
          <w:spacing w:val="-11"/>
        </w:rPr>
        <w:t> </w:t>
      </w:r>
      <w:r>
        <w:rPr>
          <w:color w:val="105C84"/>
          <w:spacing w:val="-2"/>
        </w:rPr>
        <w:t>living</w:t>
      </w:r>
      <w:r>
        <w:rPr>
          <w:color w:val="105C84"/>
          <w:spacing w:val="-11"/>
        </w:rPr>
        <w:t> </w:t>
      </w:r>
      <w:r>
        <w:rPr>
          <w:color w:val="105C84"/>
          <w:spacing w:val="-2"/>
        </w:rPr>
        <w:t>with</w:t>
      </w:r>
      <w:r>
        <w:rPr>
          <w:color w:val="105C84"/>
          <w:spacing w:val="-12"/>
        </w:rPr>
        <w:t> </w:t>
      </w:r>
      <w:r>
        <w:rPr>
          <w:color w:val="105C84"/>
          <w:spacing w:val="-2"/>
        </w:rPr>
        <w:t>a</w:t>
      </w:r>
      <w:r>
        <w:rPr>
          <w:color w:val="105C84"/>
          <w:spacing w:val="-11"/>
        </w:rPr>
        <w:t> </w:t>
      </w:r>
      <w:r>
        <w:rPr>
          <w:color w:val="105C84"/>
          <w:spacing w:val="-2"/>
        </w:rPr>
        <w:t>disability</w:t>
      </w:r>
    </w:p>
    <w:p>
      <w:pPr>
        <w:pStyle w:val="BodyText"/>
        <w:spacing w:before="198"/>
        <w:rPr>
          <w:b/>
          <w:sz w:val="26"/>
        </w:rPr>
      </w:pPr>
    </w:p>
    <w:p>
      <w:pPr>
        <w:spacing w:before="0"/>
        <w:ind w:left="1418" w:right="0" w:firstLine="0"/>
        <w:jc w:val="left"/>
        <w:rPr>
          <w:sz w:val="18"/>
        </w:rPr>
      </w:pPr>
      <w:r>
        <w:rPr>
          <w:sz w:val="18"/>
        </w:rPr>
        <mc:AlternateContent>
          <mc:Choice Requires="wps">
            <w:drawing>
              <wp:anchor distT="0" distB="0" distL="0" distR="0" allowOverlap="1" layoutInCell="1" locked="0" behindDoc="0" simplePos="0" relativeHeight="15741952">
                <wp:simplePos x="0" y="0"/>
                <wp:positionH relativeFrom="page">
                  <wp:posOffset>1314861</wp:posOffset>
                </wp:positionH>
                <wp:positionV relativeFrom="paragraph">
                  <wp:posOffset>19703</wp:posOffset>
                </wp:positionV>
                <wp:extent cx="5249545" cy="2034539"/>
                <wp:effectExtent l="0" t="0" r="0" b="0"/>
                <wp:wrapNone/>
                <wp:docPr id="99" name="Group 99"/>
                <wp:cNvGraphicFramePr>
                  <a:graphicFrameLocks/>
                </wp:cNvGraphicFramePr>
                <a:graphic>
                  <a:graphicData uri="http://schemas.microsoft.com/office/word/2010/wordprocessingGroup">
                    <wpg:wgp>
                      <wpg:cNvPr id="99" name="Group 99"/>
                      <wpg:cNvGrpSpPr/>
                      <wpg:grpSpPr>
                        <a:xfrm>
                          <a:off x="0" y="0"/>
                          <a:ext cx="5249545" cy="2034539"/>
                          <a:chExt cx="5249545" cy="2034539"/>
                        </a:xfrm>
                      </wpg:grpSpPr>
                      <wps:wsp>
                        <wps:cNvPr id="100" name="Graphic 100"/>
                        <wps:cNvSpPr/>
                        <wps:spPr>
                          <a:xfrm>
                            <a:off x="140520" y="798871"/>
                            <a:ext cx="1612900" cy="1231900"/>
                          </a:xfrm>
                          <a:custGeom>
                            <a:avLst/>
                            <a:gdLst/>
                            <a:ahLst/>
                            <a:cxnLst/>
                            <a:rect l="l" t="t" r="r" b="b"/>
                            <a:pathLst>
                              <a:path w="1612900" h="1231900">
                                <a:moveTo>
                                  <a:pt x="215887" y="0"/>
                                </a:moveTo>
                                <a:lnTo>
                                  <a:pt x="0" y="0"/>
                                </a:lnTo>
                                <a:lnTo>
                                  <a:pt x="0" y="1231887"/>
                                </a:lnTo>
                                <a:lnTo>
                                  <a:pt x="215887" y="1231887"/>
                                </a:lnTo>
                                <a:lnTo>
                                  <a:pt x="215887" y="0"/>
                                </a:lnTo>
                                <a:close/>
                              </a:path>
                              <a:path w="1612900" h="1231900">
                                <a:moveTo>
                                  <a:pt x="1612900" y="304800"/>
                                </a:moveTo>
                                <a:lnTo>
                                  <a:pt x="1397000" y="304800"/>
                                </a:lnTo>
                                <a:lnTo>
                                  <a:pt x="1397000" y="1231887"/>
                                </a:lnTo>
                                <a:lnTo>
                                  <a:pt x="1612900" y="1231887"/>
                                </a:lnTo>
                                <a:lnTo>
                                  <a:pt x="1612900" y="304800"/>
                                </a:lnTo>
                                <a:close/>
                              </a:path>
                            </a:pathLst>
                          </a:custGeom>
                          <a:solidFill>
                            <a:srgbClr val="105C84"/>
                          </a:solidFill>
                        </wps:spPr>
                        <wps:bodyPr wrap="square" lIns="0" tIns="0" rIns="0" bIns="0" rtlCol="0">
                          <a:prstTxWarp prst="textNoShape">
                            <a:avLst/>
                          </a:prstTxWarp>
                          <a:noAutofit/>
                        </wps:bodyPr>
                      </wps:wsp>
                      <wps:wsp>
                        <wps:cNvPr id="101" name="Graphic 101"/>
                        <wps:cNvSpPr/>
                        <wps:spPr>
                          <a:xfrm>
                            <a:off x="3633020" y="748059"/>
                            <a:ext cx="215900" cy="1282700"/>
                          </a:xfrm>
                          <a:custGeom>
                            <a:avLst/>
                            <a:gdLst/>
                            <a:ahLst/>
                            <a:cxnLst/>
                            <a:rect l="l" t="t" r="r" b="b"/>
                            <a:pathLst>
                              <a:path w="215900" h="1282700">
                                <a:moveTo>
                                  <a:pt x="215900" y="0"/>
                                </a:moveTo>
                                <a:lnTo>
                                  <a:pt x="0" y="0"/>
                                </a:lnTo>
                                <a:lnTo>
                                  <a:pt x="0" y="1282699"/>
                                </a:lnTo>
                                <a:lnTo>
                                  <a:pt x="215900" y="1282699"/>
                                </a:lnTo>
                                <a:lnTo>
                                  <a:pt x="215900" y="0"/>
                                </a:lnTo>
                                <a:close/>
                              </a:path>
                            </a:pathLst>
                          </a:custGeom>
                          <a:solidFill>
                            <a:srgbClr val="0F5D86"/>
                          </a:solidFill>
                        </wps:spPr>
                        <wps:bodyPr wrap="square" lIns="0" tIns="0" rIns="0" bIns="0" rtlCol="0">
                          <a:prstTxWarp prst="textNoShape">
                            <a:avLst/>
                          </a:prstTxWarp>
                          <a:noAutofit/>
                        </wps:bodyPr>
                      </wps:wsp>
                      <wps:wsp>
                        <wps:cNvPr id="102" name="Graphic 102"/>
                        <wps:cNvSpPr/>
                        <wps:spPr>
                          <a:xfrm>
                            <a:off x="839020" y="595646"/>
                            <a:ext cx="4406900" cy="1435735"/>
                          </a:xfrm>
                          <a:custGeom>
                            <a:avLst/>
                            <a:gdLst/>
                            <a:ahLst/>
                            <a:cxnLst/>
                            <a:rect l="l" t="t" r="r" b="b"/>
                            <a:pathLst>
                              <a:path w="4406900" h="1435735">
                                <a:moveTo>
                                  <a:pt x="215900" y="190500"/>
                                </a:moveTo>
                                <a:lnTo>
                                  <a:pt x="0" y="190500"/>
                                </a:lnTo>
                                <a:lnTo>
                                  <a:pt x="0" y="1435100"/>
                                </a:lnTo>
                                <a:lnTo>
                                  <a:pt x="215900" y="1435100"/>
                                </a:lnTo>
                                <a:lnTo>
                                  <a:pt x="215900" y="190500"/>
                                </a:lnTo>
                                <a:close/>
                              </a:path>
                              <a:path w="4406900" h="1435735">
                                <a:moveTo>
                                  <a:pt x="1612900" y="304800"/>
                                </a:moveTo>
                                <a:lnTo>
                                  <a:pt x="1397000" y="304800"/>
                                </a:lnTo>
                                <a:lnTo>
                                  <a:pt x="1397000" y="1435100"/>
                                </a:lnTo>
                                <a:lnTo>
                                  <a:pt x="1612900" y="1435100"/>
                                </a:lnTo>
                                <a:lnTo>
                                  <a:pt x="1612900" y="304800"/>
                                </a:lnTo>
                                <a:close/>
                              </a:path>
                              <a:path w="4406900" h="1435735">
                                <a:moveTo>
                                  <a:pt x="2311400" y="152400"/>
                                </a:moveTo>
                                <a:lnTo>
                                  <a:pt x="2095500" y="152400"/>
                                </a:lnTo>
                                <a:lnTo>
                                  <a:pt x="2095500" y="1435100"/>
                                </a:lnTo>
                                <a:lnTo>
                                  <a:pt x="2311400" y="1435100"/>
                                </a:lnTo>
                                <a:lnTo>
                                  <a:pt x="2311400" y="152400"/>
                                </a:lnTo>
                                <a:close/>
                              </a:path>
                              <a:path w="4406900" h="1435735">
                                <a:moveTo>
                                  <a:pt x="3708400" y="0"/>
                                </a:moveTo>
                                <a:lnTo>
                                  <a:pt x="3492500" y="0"/>
                                </a:lnTo>
                                <a:lnTo>
                                  <a:pt x="3492500" y="1435100"/>
                                </a:lnTo>
                                <a:lnTo>
                                  <a:pt x="3708400" y="1435100"/>
                                </a:lnTo>
                                <a:lnTo>
                                  <a:pt x="3708400" y="0"/>
                                </a:lnTo>
                                <a:close/>
                              </a:path>
                              <a:path w="4406900" h="1435735">
                                <a:moveTo>
                                  <a:pt x="4406900" y="457225"/>
                                </a:moveTo>
                                <a:lnTo>
                                  <a:pt x="4191000" y="457225"/>
                                </a:lnTo>
                                <a:lnTo>
                                  <a:pt x="4191000" y="1435112"/>
                                </a:lnTo>
                                <a:lnTo>
                                  <a:pt x="4406900" y="1435112"/>
                                </a:lnTo>
                                <a:lnTo>
                                  <a:pt x="4406900" y="457225"/>
                                </a:lnTo>
                                <a:close/>
                              </a:path>
                            </a:pathLst>
                          </a:custGeom>
                          <a:solidFill>
                            <a:srgbClr val="105C84"/>
                          </a:solidFill>
                        </wps:spPr>
                        <wps:bodyPr wrap="square" lIns="0" tIns="0" rIns="0" bIns="0" rtlCol="0">
                          <a:prstTxWarp prst="textNoShape">
                            <a:avLst/>
                          </a:prstTxWarp>
                          <a:noAutofit/>
                        </wps:bodyPr>
                      </wps:wsp>
                      <wps:wsp>
                        <wps:cNvPr id="103" name="Graphic 103"/>
                        <wps:cNvSpPr/>
                        <wps:spPr>
                          <a:xfrm>
                            <a:off x="3568" y="3568"/>
                            <a:ext cx="5242560" cy="2027555"/>
                          </a:xfrm>
                          <a:custGeom>
                            <a:avLst/>
                            <a:gdLst/>
                            <a:ahLst/>
                            <a:cxnLst/>
                            <a:rect l="l" t="t" r="r" b="b"/>
                            <a:pathLst>
                              <a:path w="5242560" h="2027555">
                                <a:moveTo>
                                  <a:pt x="5242344" y="2027186"/>
                                </a:moveTo>
                                <a:lnTo>
                                  <a:pt x="0" y="2027186"/>
                                </a:lnTo>
                                <a:lnTo>
                                  <a:pt x="0" y="0"/>
                                </a:lnTo>
                              </a:path>
                            </a:pathLst>
                          </a:custGeom>
                          <a:ln w="7137">
                            <a:solidFill>
                              <a:srgbClr val="939598"/>
                            </a:solidFill>
                            <a:prstDash val="solid"/>
                          </a:ln>
                        </wps:spPr>
                        <wps:bodyPr wrap="square" lIns="0" tIns="0" rIns="0" bIns="0" rtlCol="0">
                          <a:prstTxWarp prst="textNoShape">
                            <a:avLst/>
                          </a:prstTxWarp>
                          <a:noAutofit/>
                        </wps:bodyPr>
                      </wps:wsp>
                      <wps:wsp>
                        <wps:cNvPr id="104" name="Graphic 104"/>
                        <wps:cNvSpPr/>
                        <wps:spPr>
                          <a:xfrm>
                            <a:off x="246038" y="534141"/>
                            <a:ext cx="1270" cy="514984"/>
                          </a:xfrm>
                          <a:custGeom>
                            <a:avLst/>
                            <a:gdLst/>
                            <a:ahLst/>
                            <a:cxnLst/>
                            <a:rect l="l" t="t" r="r" b="b"/>
                            <a:pathLst>
                              <a:path w="0" h="514984">
                                <a:moveTo>
                                  <a:pt x="0" y="0"/>
                                </a:moveTo>
                                <a:lnTo>
                                  <a:pt x="0" y="514781"/>
                                </a:lnTo>
                              </a:path>
                            </a:pathLst>
                          </a:custGeom>
                          <a:ln w="9144">
                            <a:solidFill>
                              <a:srgbClr val="939598"/>
                            </a:solidFill>
                            <a:prstDash val="solid"/>
                          </a:ln>
                        </wps:spPr>
                        <wps:bodyPr wrap="square" lIns="0" tIns="0" rIns="0" bIns="0" rtlCol="0">
                          <a:prstTxWarp prst="textNoShape">
                            <a:avLst/>
                          </a:prstTxWarp>
                          <a:noAutofit/>
                        </wps:bodyPr>
                      </wps:wsp>
                      <wps:wsp>
                        <wps:cNvPr id="105" name="Graphic 105"/>
                        <wps:cNvSpPr/>
                        <wps:spPr>
                          <a:xfrm>
                            <a:off x="216339" y="529568"/>
                            <a:ext cx="59690" cy="524510"/>
                          </a:xfrm>
                          <a:custGeom>
                            <a:avLst/>
                            <a:gdLst/>
                            <a:ahLst/>
                            <a:cxnLst/>
                            <a:rect l="l" t="t" r="r" b="b"/>
                            <a:pathLst>
                              <a:path w="59690" h="524510">
                                <a:moveTo>
                                  <a:pt x="59423" y="514781"/>
                                </a:moveTo>
                                <a:lnTo>
                                  <a:pt x="0" y="514781"/>
                                </a:lnTo>
                                <a:lnTo>
                                  <a:pt x="0" y="523925"/>
                                </a:lnTo>
                                <a:lnTo>
                                  <a:pt x="59423" y="523925"/>
                                </a:lnTo>
                                <a:lnTo>
                                  <a:pt x="59423" y="514781"/>
                                </a:lnTo>
                                <a:close/>
                              </a:path>
                              <a:path w="59690" h="524510">
                                <a:moveTo>
                                  <a:pt x="59423" y="0"/>
                                </a:moveTo>
                                <a:lnTo>
                                  <a:pt x="0" y="0"/>
                                </a:lnTo>
                                <a:lnTo>
                                  <a:pt x="0" y="9144"/>
                                </a:lnTo>
                                <a:lnTo>
                                  <a:pt x="59423" y="9144"/>
                                </a:lnTo>
                                <a:lnTo>
                                  <a:pt x="59423" y="0"/>
                                </a:lnTo>
                                <a:close/>
                              </a:path>
                            </a:pathLst>
                          </a:custGeom>
                          <a:solidFill>
                            <a:srgbClr val="939598"/>
                          </a:solidFill>
                        </wps:spPr>
                        <wps:bodyPr wrap="square" lIns="0" tIns="0" rIns="0" bIns="0" rtlCol="0">
                          <a:prstTxWarp prst="textNoShape">
                            <a:avLst/>
                          </a:prstTxWarp>
                          <a:noAutofit/>
                        </wps:bodyPr>
                      </wps:wsp>
                      <wps:wsp>
                        <wps:cNvPr id="106" name="Graphic 106"/>
                        <wps:cNvSpPr/>
                        <wps:spPr>
                          <a:xfrm>
                            <a:off x="1645989" y="908356"/>
                            <a:ext cx="1270" cy="489584"/>
                          </a:xfrm>
                          <a:custGeom>
                            <a:avLst/>
                            <a:gdLst/>
                            <a:ahLst/>
                            <a:cxnLst/>
                            <a:rect l="l" t="t" r="r" b="b"/>
                            <a:pathLst>
                              <a:path w="0" h="489584">
                                <a:moveTo>
                                  <a:pt x="0" y="0"/>
                                </a:moveTo>
                                <a:lnTo>
                                  <a:pt x="0" y="489369"/>
                                </a:lnTo>
                              </a:path>
                            </a:pathLst>
                          </a:custGeom>
                          <a:ln w="9144">
                            <a:solidFill>
                              <a:srgbClr val="939598"/>
                            </a:solidFill>
                            <a:prstDash val="solid"/>
                          </a:ln>
                        </wps:spPr>
                        <wps:bodyPr wrap="square" lIns="0" tIns="0" rIns="0" bIns="0" rtlCol="0">
                          <a:prstTxWarp prst="textNoShape">
                            <a:avLst/>
                          </a:prstTxWarp>
                          <a:noAutofit/>
                        </wps:bodyPr>
                      </wps:wsp>
                      <wps:wsp>
                        <wps:cNvPr id="107" name="Graphic 107"/>
                        <wps:cNvSpPr/>
                        <wps:spPr>
                          <a:xfrm>
                            <a:off x="1616285" y="903786"/>
                            <a:ext cx="59690" cy="499109"/>
                          </a:xfrm>
                          <a:custGeom>
                            <a:avLst/>
                            <a:gdLst/>
                            <a:ahLst/>
                            <a:cxnLst/>
                            <a:rect l="l" t="t" r="r" b="b"/>
                            <a:pathLst>
                              <a:path w="59690" h="499109">
                                <a:moveTo>
                                  <a:pt x="59436" y="489369"/>
                                </a:moveTo>
                                <a:lnTo>
                                  <a:pt x="0" y="489369"/>
                                </a:lnTo>
                                <a:lnTo>
                                  <a:pt x="0" y="498513"/>
                                </a:lnTo>
                                <a:lnTo>
                                  <a:pt x="59436" y="498513"/>
                                </a:lnTo>
                                <a:lnTo>
                                  <a:pt x="59436" y="489369"/>
                                </a:lnTo>
                                <a:close/>
                              </a:path>
                              <a:path w="59690" h="499109">
                                <a:moveTo>
                                  <a:pt x="59436" y="0"/>
                                </a:moveTo>
                                <a:lnTo>
                                  <a:pt x="0" y="0"/>
                                </a:lnTo>
                                <a:lnTo>
                                  <a:pt x="0" y="9144"/>
                                </a:lnTo>
                                <a:lnTo>
                                  <a:pt x="59436" y="9144"/>
                                </a:lnTo>
                                <a:lnTo>
                                  <a:pt x="59436" y="0"/>
                                </a:lnTo>
                                <a:close/>
                              </a:path>
                            </a:pathLst>
                          </a:custGeom>
                          <a:solidFill>
                            <a:srgbClr val="939598"/>
                          </a:solidFill>
                        </wps:spPr>
                        <wps:bodyPr wrap="square" lIns="0" tIns="0" rIns="0" bIns="0" rtlCol="0">
                          <a:prstTxWarp prst="textNoShape">
                            <a:avLst/>
                          </a:prstTxWarp>
                          <a:noAutofit/>
                        </wps:bodyPr>
                      </wps:wsp>
                      <wps:wsp>
                        <wps:cNvPr id="108" name="Graphic 108"/>
                        <wps:cNvSpPr/>
                        <wps:spPr>
                          <a:xfrm>
                            <a:off x="4438210" y="347788"/>
                            <a:ext cx="1270" cy="495300"/>
                          </a:xfrm>
                          <a:custGeom>
                            <a:avLst/>
                            <a:gdLst/>
                            <a:ahLst/>
                            <a:cxnLst/>
                            <a:rect l="l" t="t" r="r" b="b"/>
                            <a:pathLst>
                              <a:path w="0" h="495300">
                                <a:moveTo>
                                  <a:pt x="0" y="0"/>
                                </a:moveTo>
                                <a:lnTo>
                                  <a:pt x="0" y="494982"/>
                                </a:lnTo>
                              </a:path>
                            </a:pathLst>
                          </a:custGeom>
                          <a:ln w="9144">
                            <a:solidFill>
                              <a:srgbClr val="939598"/>
                            </a:solidFill>
                            <a:prstDash val="solid"/>
                          </a:ln>
                        </wps:spPr>
                        <wps:bodyPr wrap="square" lIns="0" tIns="0" rIns="0" bIns="0" rtlCol="0">
                          <a:prstTxWarp prst="textNoShape">
                            <a:avLst/>
                          </a:prstTxWarp>
                          <a:noAutofit/>
                        </wps:bodyPr>
                      </wps:wsp>
                      <wps:wsp>
                        <wps:cNvPr id="109" name="Graphic 109"/>
                        <wps:cNvSpPr/>
                        <wps:spPr>
                          <a:xfrm>
                            <a:off x="4408508" y="343208"/>
                            <a:ext cx="59690" cy="504190"/>
                          </a:xfrm>
                          <a:custGeom>
                            <a:avLst/>
                            <a:gdLst/>
                            <a:ahLst/>
                            <a:cxnLst/>
                            <a:rect l="l" t="t" r="r" b="b"/>
                            <a:pathLst>
                              <a:path w="59690" h="504190">
                                <a:moveTo>
                                  <a:pt x="59410" y="494995"/>
                                </a:moveTo>
                                <a:lnTo>
                                  <a:pt x="0" y="494995"/>
                                </a:lnTo>
                                <a:lnTo>
                                  <a:pt x="0" y="504139"/>
                                </a:lnTo>
                                <a:lnTo>
                                  <a:pt x="59410" y="504139"/>
                                </a:lnTo>
                                <a:lnTo>
                                  <a:pt x="59410" y="494995"/>
                                </a:lnTo>
                                <a:close/>
                              </a:path>
                              <a:path w="59690" h="504190">
                                <a:moveTo>
                                  <a:pt x="59410" y="0"/>
                                </a:moveTo>
                                <a:lnTo>
                                  <a:pt x="0" y="0"/>
                                </a:lnTo>
                                <a:lnTo>
                                  <a:pt x="0" y="9144"/>
                                </a:lnTo>
                                <a:lnTo>
                                  <a:pt x="59410" y="9144"/>
                                </a:lnTo>
                                <a:lnTo>
                                  <a:pt x="59410" y="0"/>
                                </a:lnTo>
                                <a:close/>
                              </a:path>
                            </a:pathLst>
                          </a:custGeom>
                          <a:solidFill>
                            <a:srgbClr val="939598"/>
                          </a:solidFill>
                        </wps:spPr>
                        <wps:bodyPr wrap="square" lIns="0" tIns="0" rIns="0" bIns="0" rtlCol="0">
                          <a:prstTxWarp prst="textNoShape">
                            <a:avLst/>
                          </a:prstTxWarp>
                          <a:noAutofit/>
                        </wps:bodyPr>
                      </wps:wsp>
                      <wps:wsp>
                        <wps:cNvPr id="110" name="Graphic 110"/>
                        <wps:cNvSpPr/>
                        <wps:spPr>
                          <a:xfrm>
                            <a:off x="5140275" y="788443"/>
                            <a:ext cx="1270" cy="554990"/>
                          </a:xfrm>
                          <a:custGeom>
                            <a:avLst/>
                            <a:gdLst/>
                            <a:ahLst/>
                            <a:cxnLst/>
                            <a:rect l="l" t="t" r="r" b="b"/>
                            <a:pathLst>
                              <a:path w="1270" h="554990">
                                <a:moveTo>
                                  <a:pt x="863" y="0"/>
                                </a:moveTo>
                                <a:lnTo>
                                  <a:pt x="0" y="554977"/>
                                </a:lnTo>
                              </a:path>
                            </a:pathLst>
                          </a:custGeom>
                          <a:ln w="9144">
                            <a:solidFill>
                              <a:srgbClr val="939598"/>
                            </a:solidFill>
                            <a:prstDash val="solid"/>
                          </a:ln>
                        </wps:spPr>
                        <wps:bodyPr wrap="square" lIns="0" tIns="0" rIns="0" bIns="0" rtlCol="0">
                          <a:prstTxWarp prst="textNoShape">
                            <a:avLst/>
                          </a:prstTxWarp>
                          <a:noAutofit/>
                        </wps:bodyPr>
                      </wps:wsp>
                      <wps:wsp>
                        <wps:cNvPr id="111" name="Graphic 111"/>
                        <wps:cNvSpPr/>
                        <wps:spPr>
                          <a:xfrm>
                            <a:off x="5110538" y="783834"/>
                            <a:ext cx="60325" cy="564515"/>
                          </a:xfrm>
                          <a:custGeom>
                            <a:avLst/>
                            <a:gdLst/>
                            <a:ahLst/>
                            <a:cxnLst/>
                            <a:rect l="l" t="t" r="r" b="b"/>
                            <a:pathLst>
                              <a:path w="60325" h="564515">
                                <a:moveTo>
                                  <a:pt x="59448" y="555053"/>
                                </a:moveTo>
                                <a:lnTo>
                                  <a:pt x="12" y="554977"/>
                                </a:lnTo>
                                <a:lnTo>
                                  <a:pt x="0" y="564121"/>
                                </a:lnTo>
                                <a:lnTo>
                                  <a:pt x="59436" y="564197"/>
                                </a:lnTo>
                                <a:lnTo>
                                  <a:pt x="59448" y="555053"/>
                                </a:lnTo>
                                <a:close/>
                              </a:path>
                              <a:path w="60325" h="564515">
                                <a:moveTo>
                                  <a:pt x="60312" y="76"/>
                                </a:moveTo>
                                <a:lnTo>
                                  <a:pt x="876" y="0"/>
                                </a:lnTo>
                                <a:lnTo>
                                  <a:pt x="863" y="9144"/>
                                </a:lnTo>
                                <a:lnTo>
                                  <a:pt x="60299" y="9220"/>
                                </a:lnTo>
                                <a:lnTo>
                                  <a:pt x="60312" y="76"/>
                                </a:lnTo>
                                <a:close/>
                              </a:path>
                            </a:pathLst>
                          </a:custGeom>
                          <a:solidFill>
                            <a:srgbClr val="939598"/>
                          </a:solidFill>
                        </wps:spPr>
                        <wps:bodyPr wrap="square" lIns="0" tIns="0" rIns="0" bIns="0" rtlCol="0">
                          <a:prstTxWarp prst="textNoShape">
                            <a:avLst/>
                          </a:prstTxWarp>
                          <a:noAutofit/>
                        </wps:bodyPr>
                      </wps:wsp>
                      <wps:wsp>
                        <wps:cNvPr id="112" name="Graphic 112"/>
                        <wps:cNvSpPr/>
                        <wps:spPr>
                          <a:xfrm>
                            <a:off x="3743554" y="501366"/>
                            <a:ext cx="1270" cy="495300"/>
                          </a:xfrm>
                          <a:custGeom>
                            <a:avLst/>
                            <a:gdLst/>
                            <a:ahLst/>
                            <a:cxnLst/>
                            <a:rect l="l" t="t" r="r" b="b"/>
                            <a:pathLst>
                              <a:path w="0" h="495300">
                                <a:moveTo>
                                  <a:pt x="0" y="0"/>
                                </a:moveTo>
                                <a:lnTo>
                                  <a:pt x="0" y="494982"/>
                                </a:lnTo>
                              </a:path>
                            </a:pathLst>
                          </a:custGeom>
                          <a:ln w="9144">
                            <a:solidFill>
                              <a:srgbClr val="939598"/>
                            </a:solidFill>
                            <a:prstDash val="solid"/>
                          </a:ln>
                        </wps:spPr>
                        <wps:bodyPr wrap="square" lIns="0" tIns="0" rIns="0" bIns="0" rtlCol="0">
                          <a:prstTxWarp prst="textNoShape">
                            <a:avLst/>
                          </a:prstTxWarp>
                          <a:noAutofit/>
                        </wps:bodyPr>
                      </wps:wsp>
                      <wps:wsp>
                        <wps:cNvPr id="113" name="Graphic 113"/>
                        <wps:cNvSpPr/>
                        <wps:spPr>
                          <a:xfrm>
                            <a:off x="3713830" y="496802"/>
                            <a:ext cx="59690" cy="504190"/>
                          </a:xfrm>
                          <a:custGeom>
                            <a:avLst/>
                            <a:gdLst/>
                            <a:ahLst/>
                            <a:cxnLst/>
                            <a:rect l="l" t="t" r="r" b="b"/>
                            <a:pathLst>
                              <a:path w="59690" h="504190">
                                <a:moveTo>
                                  <a:pt x="59436" y="494982"/>
                                </a:moveTo>
                                <a:lnTo>
                                  <a:pt x="0" y="494982"/>
                                </a:lnTo>
                                <a:lnTo>
                                  <a:pt x="0" y="504126"/>
                                </a:lnTo>
                                <a:lnTo>
                                  <a:pt x="59436" y="504126"/>
                                </a:lnTo>
                                <a:lnTo>
                                  <a:pt x="59436" y="494982"/>
                                </a:lnTo>
                                <a:close/>
                              </a:path>
                              <a:path w="59690" h="504190">
                                <a:moveTo>
                                  <a:pt x="59436" y="0"/>
                                </a:moveTo>
                                <a:lnTo>
                                  <a:pt x="0" y="0"/>
                                </a:lnTo>
                                <a:lnTo>
                                  <a:pt x="0" y="9144"/>
                                </a:lnTo>
                                <a:lnTo>
                                  <a:pt x="59436" y="9144"/>
                                </a:lnTo>
                                <a:lnTo>
                                  <a:pt x="59436" y="0"/>
                                </a:lnTo>
                                <a:close/>
                              </a:path>
                            </a:pathLst>
                          </a:custGeom>
                          <a:solidFill>
                            <a:srgbClr val="939598"/>
                          </a:solidFill>
                        </wps:spPr>
                        <wps:bodyPr wrap="square" lIns="0" tIns="0" rIns="0" bIns="0" rtlCol="0">
                          <a:prstTxWarp prst="textNoShape">
                            <a:avLst/>
                          </a:prstTxWarp>
                          <a:noAutofit/>
                        </wps:bodyPr>
                      </wps:wsp>
                      <wps:wsp>
                        <wps:cNvPr id="114" name="Graphic 114"/>
                        <wps:cNvSpPr/>
                        <wps:spPr>
                          <a:xfrm>
                            <a:off x="947788" y="440527"/>
                            <a:ext cx="1270" cy="678815"/>
                          </a:xfrm>
                          <a:custGeom>
                            <a:avLst/>
                            <a:gdLst/>
                            <a:ahLst/>
                            <a:cxnLst/>
                            <a:rect l="l" t="t" r="r" b="b"/>
                            <a:pathLst>
                              <a:path w="0" h="678815">
                                <a:moveTo>
                                  <a:pt x="0" y="0"/>
                                </a:moveTo>
                                <a:lnTo>
                                  <a:pt x="0" y="678421"/>
                                </a:lnTo>
                              </a:path>
                            </a:pathLst>
                          </a:custGeom>
                          <a:ln w="9144">
                            <a:solidFill>
                              <a:srgbClr val="939598"/>
                            </a:solidFill>
                            <a:prstDash val="solid"/>
                          </a:ln>
                        </wps:spPr>
                        <wps:bodyPr wrap="square" lIns="0" tIns="0" rIns="0" bIns="0" rtlCol="0">
                          <a:prstTxWarp prst="textNoShape">
                            <a:avLst/>
                          </a:prstTxWarp>
                          <a:noAutofit/>
                        </wps:bodyPr>
                      </wps:wsp>
                      <wps:wsp>
                        <wps:cNvPr id="115" name="Graphic 115"/>
                        <wps:cNvSpPr/>
                        <wps:spPr>
                          <a:xfrm>
                            <a:off x="918065" y="435956"/>
                            <a:ext cx="59690" cy="687705"/>
                          </a:xfrm>
                          <a:custGeom>
                            <a:avLst/>
                            <a:gdLst/>
                            <a:ahLst/>
                            <a:cxnLst/>
                            <a:rect l="l" t="t" r="r" b="b"/>
                            <a:pathLst>
                              <a:path w="59690" h="687705">
                                <a:moveTo>
                                  <a:pt x="59436" y="678421"/>
                                </a:moveTo>
                                <a:lnTo>
                                  <a:pt x="0" y="678421"/>
                                </a:lnTo>
                                <a:lnTo>
                                  <a:pt x="0" y="687565"/>
                                </a:lnTo>
                                <a:lnTo>
                                  <a:pt x="59436" y="687565"/>
                                </a:lnTo>
                                <a:lnTo>
                                  <a:pt x="59436" y="678421"/>
                                </a:lnTo>
                                <a:close/>
                              </a:path>
                              <a:path w="59690" h="687705">
                                <a:moveTo>
                                  <a:pt x="59436" y="0"/>
                                </a:moveTo>
                                <a:lnTo>
                                  <a:pt x="0" y="0"/>
                                </a:lnTo>
                                <a:lnTo>
                                  <a:pt x="0" y="9144"/>
                                </a:lnTo>
                                <a:lnTo>
                                  <a:pt x="59436" y="9144"/>
                                </a:lnTo>
                                <a:lnTo>
                                  <a:pt x="59436" y="0"/>
                                </a:lnTo>
                                <a:close/>
                              </a:path>
                            </a:pathLst>
                          </a:custGeom>
                          <a:solidFill>
                            <a:srgbClr val="939598"/>
                          </a:solidFill>
                        </wps:spPr>
                        <wps:bodyPr wrap="square" lIns="0" tIns="0" rIns="0" bIns="0" rtlCol="0">
                          <a:prstTxWarp prst="textNoShape">
                            <a:avLst/>
                          </a:prstTxWarp>
                          <a:noAutofit/>
                        </wps:bodyPr>
                      </wps:wsp>
                      <wps:wsp>
                        <wps:cNvPr id="116" name="Graphic 116"/>
                        <wps:cNvSpPr/>
                        <wps:spPr>
                          <a:xfrm>
                            <a:off x="2342447" y="565307"/>
                            <a:ext cx="3175" cy="658495"/>
                          </a:xfrm>
                          <a:custGeom>
                            <a:avLst/>
                            <a:gdLst/>
                            <a:ahLst/>
                            <a:cxnLst/>
                            <a:rect l="l" t="t" r="r" b="b"/>
                            <a:pathLst>
                              <a:path w="3175" h="658495">
                                <a:moveTo>
                                  <a:pt x="2768" y="0"/>
                                </a:moveTo>
                                <a:lnTo>
                                  <a:pt x="0" y="658202"/>
                                </a:lnTo>
                              </a:path>
                            </a:pathLst>
                          </a:custGeom>
                          <a:ln w="9144">
                            <a:solidFill>
                              <a:srgbClr val="939598"/>
                            </a:solidFill>
                            <a:prstDash val="solid"/>
                          </a:ln>
                        </wps:spPr>
                        <wps:bodyPr wrap="square" lIns="0" tIns="0" rIns="0" bIns="0" rtlCol="0">
                          <a:prstTxWarp prst="textNoShape">
                            <a:avLst/>
                          </a:prstTxWarp>
                          <a:noAutofit/>
                        </wps:bodyPr>
                      </wps:wsp>
                      <wps:wsp>
                        <wps:cNvPr id="117" name="Graphic 117"/>
                        <wps:cNvSpPr/>
                        <wps:spPr>
                          <a:xfrm>
                            <a:off x="2312690" y="560619"/>
                            <a:ext cx="62865" cy="668020"/>
                          </a:xfrm>
                          <a:custGeom>
                            <a:avLst/>
                            <a:gdLst/>
                            <a:ahLst/>
                            <a:cxnLst/>
                            <a:rect l="l" t="t" r="r" b="b"/>
                            <a:pathLst>
                              <a:path w="62865" h="668020">
                                <a:moveTo>
                                  <a:pt x="59486" y="658456"/>
                                </a:moveTo>
                                <a:lnTo>
                                  <a:pt x="50" y="658202"/>
                                </a:lnTo>
                                <a:lnTo>
                                  <a:pt x="0" y="667346"/>
                                </a:lnTo>
                                <a:lnTo>
                                  <a:pt x="59436" y="667600"/>
                                </a:lnTo>
                                <a:lnTo>
                                  <a:pt x="59486" y="658456"/>
                                </a:lnTo>
                                <a:close/>
                              </a:path>
                              <a:path w="62865" h="668020">
                                <a:moveTo>
                                  <a:pt x="62255" y="254"/>
                                </a:moveTo>
                                <a:lnTo>
                                  <a:pt x="2819" y="0"/>
                                </a:lnTo>
                                <a:lnTo>
                                  <a:pt x="2768" y="9144"/>
                                </a:lnTo>
                                <a:lnTo>
                                  <a:pt x="62217" y="9398"/>
                                </a:lnTo>
                                <a:lnTo>
                                  <a:pt x="62255" y="254"/>
                                </a:lnTo>
                                <a:close/>
                              </a:path>
                            </a:pathLst>
                          </a:custGeom>
                          <a:solidFill>
                            <a:srgbClr val="939598"/>
                          </a:solidFill>
                        </wps:spPr>
                        <wps:bodyPr wrap="square" lIns="0" tIns="0" rIns="0" bIns="0" rtlCol="0">
                          <a:prstTxWarp prst="textNoShape">
                            <a:avLst/>
                          </a:prstTxWarp>
                          <a:noAutofit/>
                        </wps:bodyPr>
                      </wps:wsp>
                      <wps:wsp>
                        <wps:cNvPr id="118" name="Graphic 118"/>
                        <wps:cNvSpPr/>
                        <wps:spPr>
                          <a:xfrm>
                            <a:off x="3044197" y="497968"/>
                            <a:ext cx="3175" cy="499109"/>
                          </a:xfrm>
                          <a:custGeom>
                            <a:avLst/>
                            <a:gdLst/>
                            <a:ahLst/>
                            <a:cxnLst/>
                            <a:rect l="l" t="t" r="r" b="b"/>
                            <a:pathLst>
                              <a:path w="3175" h="499109">
                                <a:moveTo>
                                  <a:pt x="2755" y="0"/>
                                </a:moveTo>
                                <a:lnTo>
                                  <a:pt x="0" y="498716"/>
                                </a:lnTo>
                              </a:path>
                            </a:pathLst>
                          </a:custGeom>
                          <a:ln w="9144">
                            <a:solidFill>
                              <a:srgbClr val="939598"/>
                            </a:solidFill>
                            <a:prstDash val="solid"/>
                          </a:ln>
                        </wps:spPr>
                        <wps:bodyPr wrap="square" lIns="0" tIns="0" rIns="0" bIns="0" rtlCol="0">
                          <a:prstTxWarp prst="textNoShape">
                            <a:avLst/>
                          </a:prstTxWarp>
                          <a:noAutofit/>
                        </wps:bodyPr>
                      </wps:wsp>
                      <wps:wsp>
                        <wps:cNvPr id="119" name="Graphic 119"/>
                        <wps:cNvSpPr/>
                        <wps:spPr>
                          <a:xfrm>
                            <a:off x="3014441" y="493246"/>
                            <a:ext cx="62865" cy="508634"/>
                          </a:xfrm>
                          <a:custGeom>
                            <a:avLst/>
                            <a:gdLst/>
                            <a:ahLst/>
                            <a:cxnLst/>
                            <a:rect l="l" t="t" r="r" b="b"/>
                            <a:pathLst>
                              <a:path w="62865" h="508634">
                                <a:moveTo>
                                  <a:pt x="59499" y="499008"/>
                                </a:moveTo>
                                <a:lnTo>
                                  <a:pt x="63" y="498703"/>
                                </a:lnTo>
                                <a:lnTo>
                                  <a:pt x="0" y="507847"/>
                                </a:lnTo>
                                <a:lnTo>
                                  <a:pt x="59436" y="508177"/>
                                </a:lnTo>
                                <a:lnTo>
                                  <a:pt x="59499" y="499008"/>
                                </a:lnTo>
                                <a:close/>
                              </a:path>
                              <a:path w="62865" h="508634">
                                <a:moveTo>
                                  <a:pt x="62268" y="330"/>
                                </a:moveTo>
                                <a:lnTo>
                                  <a:pt x="2819" y="0"/>
                                </a:lnTo>
                                <a:lnTo>
                                  <a:pt x="2768" y="9144"/>
                                </a:lnTo>
                                <a:lnTo>
                                  <a:pt x="62191" y="9448"/>
                                </a:lnTo>
                                <a:lnTo>
                                  <a:pt x="62268" y="330"/>
                                </a:lnTo>
                                <a:close/>
                              </a:path>
                            </a:pathLst>
                          </a:custGeom>
                          <a:solidFill>
                            <a:srgbClr val="939598"/>
                          </a:solidFill>
                        </wps:spPr>
                        <wps:bodyPr wrap="square" lIns="0" tIns="0" rIns="0" bIns="0" rtlCol="0">
                          <a:prstTxWarp prst="textNoShape">
                            <a:avLst/>
                          </a:prstTxWarp>
                          <a:noAutofit/>
                        </wps:bodyPr>
                      </wps:wsp>
                    </wpg:wgp>
                  </a:graphicData>
                </a:graphic>
              </wp:anchor>
            </w:drawing>
          </mc:Choice>
          <mc:Fallback>
            <w:pict>
              <v:group style="position:absolute;margin-left:103.532402pt;margin-top:1.551479pt;width:413.35pt;height:160.2pt;mso-position-horizontal-relative:page;mso-position-vertical-relative:paragraph;z-index:15741952" id="docshapegroup88" coordorigin="2071,31" coordsize="8267,3204">
                <v:shape style="position:absolute;left:2291;top:1289;width:2540;height:1940" id="docshape89" coordorigin="2292,1289" coordsize="2540,1940" path="m2632,1289l2292,1289,2292,3229,2632,3229,2632,1289xm4832,1769l4492,1769,4492,3229,4832,3229,4832,1769xe" filled="true" fillcolor="#105c84" stroked="false">
                  <v:path arrowok="t"/>
                  <v:fill type="solid"/>
                </v:shape>
                <v:rect style="position:absolute;left:7791;top:1209;width:340;height:2020" id="docshape90" filled="true" fillcolor="#0f5d86" stroked="false">
                  <v:fill type="solid"/>
                </v:rect>
                <v:shape style="position:absolute;left:3391;top:969;width:6940;height:2261" id="docshape91" coordorigin="3392,969" coordsize="6940,2261" path="m3732,1269l3392,1269,3392,3229,3732,3229,3732,1269xm5932,1449l5592,1449,5592,3229,5932,3229,5932,1449xm7032,1209l6692,1209,6692,3229,7032,3229,7032,1209xm9232,969l8892,969,8892,3229,9232,3229,9232,969xm10332,1689l9992,1689,9992,3229,10332,3229,10332,1689xe" filled="true" fillcolor="#105c84" stroked="false">
                  <v:path arrowok="t"/>
                  <v:fill type="solid"/>
                </v:shape>
                <v:shape style="position:absolute;left:2076;top:36;width:8256;height:3193" id="docshape92" coordorigin="2076,37" coordsize="8256,3193" path="m10332,3229l2076,3229,2076,37e" filled="false" stroked="true" strokeweight=".562pt" strokecolor="#939598">
                  <v:path arrowok="t"/>
                  <v:stroke dashstyle="solid"/>
                </v:shape>
                <v:line style="position:absolute" from="2458,872" to="2458,1683" stroked="true" strokeweight=".72pt" strokecolor="#939598">
                  <v:stroke dashstyle="solid"/>
                </v:line>
                <v:shape style="position:absolute;left:2411;top:865;width:94;height:826" id="docshape93" coordorigin="2411,865" coordsize="94,826" path="m2505,1676l2411,1676,2411,1690,2505,1690,2505,1676xm2505,865l2411,865,2411,879,2505,879,2505,865xe" filled="true" fillcolor="#939598" stroked="false">
                  <v:path arrowok="t"/>
                  <v:fill type="solid"/>
                </v:shape>
                <v:line style="position:absolute" from="4663,1462" to="4663,2232" stroked="true" strokeweight=".72pt" strokecolor="#939598">
                  <v:stroke dashstyle="solid"/>
                </v:line>
                <v:shape style="position:absolute;left:4615;top:1454;width:94;height:786" id="docshape94" coordorigin="4616,1454" coordsize="94,786" path="m4710,2225l4616,2225,4616,2239,4710,2239,4710,2225xm4710,1454l4616,1454,4616,1469,4710,1469,4710,1454xe" filled="true" fillcolor="#939598" stroked="false">
                  <v:path arrowok="t"/>
                  <v:fill type="solid"/>
                </v:shape>
                <v:line style="position:absolute" from="9060,579" to="9060,1358" stroked="true" strokeweight=".72pt" strokecolor="#939598">
                  <v:stroke dashstyle="solid"/>
                </v:line>
                <v:shape style="position:absolute;left:9013;top:571;width:94;height:794" id="docshape95" coordorigin="9013,572" coordsize="94,794" path="m9107,1351l9013,1351,9013,1365,9107,1365,9107,1351xm9107,572l9013,572,9013,586,9107,586,9107,572xe" filled="true" fillcolor="#939598" stroked="false">
                  <v:path arrowok="t"/>
                  <v:fill type="solid"/>
                </v:shape>
                <v:line style="position:absolute" from="10167,1273" to="10166,2147" stroked="true" strokeweight=".72pt" strokecolor="#939598">
                  <v:stroke dashstyle="solid"/>
                </v:line>
                <v:shape style="position:absolute;left:10118;top:1265;width:95;height:889" id="docshape96" coordorigin="10119,1265" coordsize="95,889" path="m10212,2140l10119,2139,10119,2154,10212,2154,10212,2140xm10214,1266l10120,1265,10120,1280,10214,1280,10214,1266xe" filled="true" fillcolor="#939598" stroked="false">
                  <v:path arrowok="t"/>
                  <v:fill type="solid"/>
                </v:shape>
                <v:line style="position:absolute" from="7966,821" to="7966,1600" stroked="true" strokeweight=".72pt" strokecolor="#939598">
                  <v:stroke dashstyle="solid"/>
                </v:line>
                <v:shape style="position:absolute;left:7919;top:813;width:94;height:794" id="docshape97" coordorigin="7919,813" coordsize="94,794" path="m8013,1593l7919,1593,7919,1607,8013,1607,8013,1593xm8013,813l7919,813,7919,828,8013,828,8013,813xe" filled="true" fillcolor="#939598" stroked="false">
                  <v:path arrowok="t"/>
                  <v:fill type="solid"/>
                </v:shape>
                <v:line style="position:absolute" from="3563,725" to="3563,1793" stroked="true" strokeweight=".72pt" strokecolor="#939598">
                  <v:stroke dashstyle="solid"/>
                </v:line>
                <v:shape style="position:absolute;left:3516;top:717;width:94;height:1083" id="docshape98" coordorigin="3516,718" coordsize="94,1083" path="m3610,1786l3516,1786,3516,1800,3610,1800,3610,1786xm3610,718l3516,718,3516,732,3610,732,3610,718xe" filled="true" fillcolor="#939598" stroked="false">
                  <v:path arrowok="t"/>
                  <v:fill type="solid"/>
                </v:shape>
                <v:line style="position:absolute" from="5764,921" to="5760,1958" stroked="true" strokeweight=".72pt" strokecolor="#939598">
                  <v:stroke dashstyle="solid"/>
                </v:line>
                <v:shape style="position:absolute;left:5712;top:913;width:99;height:1052" id="docshape99" coordorigin="5713,914" coordsize="99,1052" path="m5806,1951l5713,1950,5713,1965,5806,1965,5806,1951xm5811,914l5717,914,5717,928,5811,929,5811,914xe" filled="true" fillcolor="#939598" stroked="false">
                  <v:path arrowok="t"/>
                  <v:fill type="solid"/>
                </v:shape>
                <v:line style="position:absolute" from="6869,815" to="6865,1601" stroked="true" strokeweight=".72pt" strokecolor="#939598">
                  <v:stroke dashstyle="solid"/>
                </v:line>
                <v:shape style="position:absolute;left:6817;top:807;width:99;height:801" id="docshape100" coordorigin="6818,808" coordsize="99,801" path="m6912,1594l6818,1593,6818,1608,6911,1608,6912,1594xm6916,808l6822,808,6822,822,6916,823,6916,808xe" filled="true" fillcolor="#939598" stroked="false">
                  <v:path arrowok="t"/>
                  <v:fill type="solid"/>
                </v:shape>
                <w10:wrap type="none"/>
              </v:group>
            </w:pict>
          </mc:Fallback>
        </mc:AlternateContent>
      </w:r>
      <w:r>
        <w:rPr>
          <w:color w:val="636466"/>
          <w:spacing w:val="-5"/>
          <w:sz w:val="18"/>
        </w:rPr>
        <w:t>40%</w:t>
      </w:r>
    </w:p>
    <w:p>
      <w:pPr>
        <w:spacing w:before="193"/>
        <w:ind w:left="1418" w:right="0" w:firstLine="0"/>
        <w:jc w:val="left"/>
        <w:rPr>
          <w:sz w:val="18"/>
        </w:rPr>
      </w:pPr>
      <w:r>
        <w:rPr>
          <w:color w:val="636466"/>
          <w:spacing w:val="-5"/>
          <w:sz w:val="18"/>
        </w:rPr>
        <w:t>35%</w:t>
      </w:r>
    </w:p>
    <w:p>
      <w:pPr>
        <w:spacing w:before="173"/>
        <w:ind w:left="1418" w:right="0" w:firstLine="0"/>
        <w:jc w:val="left"/>
        <w:rPr>
          <w:sz w:val="18"/>
        </w:rPr>
      </w:pPr>
      <w:r>
        <w:rPr>
          <w:sz w:val="18"/>
        </w:rPr>
        <mc:AlternateContent>
          <mc:Choice Requires="wps">
            <w:drawing>
              <wp:anchor distT="0" distB="0" distL="0" distR="0" allowOverlap="1" layoutInCell="1" locked="0" behindDoc="0" simplePos="0" relativeHeight="15742976">
                <wp:simplePos x="0" y="0"/>
                <wp:positionH relativeFrom="page">
                  <wp:posOffset>675528</wp:posOffset>
                </wp:positionH>
                <wp:positionV relativeFrom="paragraph">
                  <wp:posOffset>180143</wp:posOffset>
                </wp:positionV>
                <wp:extent cx="164465" cy="802640"/>
                <wp:effectExtent l="0" t="0" r="0" b="0"/>
                <wp:wrapNone/>
                <wp:docPr id="120" name="Textbox 120"/>
                <wp:cNvGraphicFramePr>
                  <a:graphicFrameLocks/>
                </wp:cNvGraphicFramePr>
                <a:graphic>
                  <a:graphicData uri="http://schemas.microsoft.com/office/word/2010/wordprocessingShape">
                    <wps:wsp>
                      <wps:cNvPr id="120" name="Textbox 120"/>
                      <wps:cNvSpPr txBox="1"/>
                      <wps:spPr>
                        <a:xfrm>
                          <a:off x="0" y="0"/>
                          <a:ext cx="164465" cy="802640"/>
                        </a:xfrm>
                        <a:prstGeom prst="rect">
                          <a:avLst/>
                        </a:prstGeom>
                      </wps:spPr>
                      <wps:txbx>
                        <w:txbxContent>
                          <w:p>
                            <w:pPr>
                              <w:spacing w:before="30"/>
                              <w:ind w:left="20" w:right="0" w:firstLine="0"/>
                              <w:jc w:val="left"/>
                              <w:rPr>
                                <w:sz w:val="16"/>
                              </w:rPr>
                            </w:pPr>
                            <w:r>
                              <w:rPr>
                                <w:color w:val="105C84"/>
                                <w:sz w:val="16"/>
                              </w:rPr>
                              <w:t>Percent</w:t>
                            </w:r>
                            <w:r>
                              <w:rPr>
                                <w:color w:val="105C84"/>
                                <w:spacing w:val="-5"/>
                                <w:sz w:val="16"/>
                              </w:rPr>
                              <w:t> </w:t>
                            </w:r>
                            <w:r>
                              <w:rPr>
                                <w:color w:val="105C84"/>
                                <w:sz w:val="16"/>
                              </w:rPr>
                              <w:t>of</w:t>
                            </w:r>
                            <w:r>
                              <w:rPr>
                                <w:color w:val="105C84"/>
                                <w:spacing w:val="-5"/>
                                <w:sz w:val="16"/>
                              </w:rPr>
                              <w:t> </w:t>
                            </w:r>
                            <w:r>
                              <w:rPr>
                                <w:color w:val="105C84"/>
                                <w:spacing w:val="-2"/>
                                <w:sz w:val="16"/>
                              </w:rPr>
                              <w:t>Adults</w:t>
                            </w:r>
                          </w:p>
                        </w:txbxContent>
                      </wps:txbx>
                      <wps:bodyPr wrap="square" lIns="0" tIns="0" rIns="0" bIns="0" rtlCol="0" vert="vert270">
                        <a:noAutofit/>
                      </wps:bodyPr>
                    </wps:wsp>
                  </a:graphicData>
                </a:graphic>
              </wp:anchor>
            </w:drawing>
          </mc:Choice>
          <mc:Fallback>
            <w:pict>
              <v:shape style="position:absolute;margin-left:53.1912pt;margin-top:14.184533pt;width:12.95pt;height:63.2pt;mso-position-horizontal-relative:page;mso-position-vertical-relative:paragraph;z-index:15742976" type="#_x0000_t202" id="docshape101" filled="false" stroked="false">
                <v:textbox inset="0,0,0,0" style="layout-flow:vertical;mso-layout-flow-alt:bottom-to-top">
                  <w:txbxContent>
                    <w:p>
                      <w:pPr>
                        <w:spacing w:before="30"/>
                        <w:ind w:left="20" w:right="0" w:firstLine="0"/>
                        <w:jc w:val="left"/>
                        <w:rPr>
                          <w:sz w:val="16"/>
                        </w:rPr>
                      </w:pPr>
                      <w:r>
                        <w:rPr>
                          <w:color w:val="105C84"/>
                          <w:sz w:val="16"/>
                        </w:rPr>
                        <w:t>Percent</w:t>
                      </w:r>
                      <w:r>
                        <w:rPr>
                          <w:color w:val="105C84"/>
                          <w:spacing w:val="-5"/>
                          <w:sz w:val="16"/>
                        </w:rPr>
                        <w:t> </w:t>
                      </w:r>
                      <w:r>
                        <w:rPr>
                          <w:color w:val="105C84"/>
                          <w:sz w:val="16"/>
                        </w:rPr>
                        <w:t>of</w:t>
                      </w:r>
                      <w:r>
                        <w:rPr>
                          <w:color w:val="105C84"/>
                          <w:spacing w:val="-5"/>
                          <w:sz w:val="16"/>
                        </w:rPr>
                        <w:t> </w:t>
                      </w:r>
                      <w:r>
                        <w:rPr>
                          <w:color w:val="105C84"/>
                          <w:spacing w:val="-2"/>
                          <w:sz w:val="16"/>
                        </w:rPr>
                        <w:t>Adults</w:t>
                      </w:r>
                    </w:p>
                  </w:txbxContent>
                </v:textbox>
                <w10:wrap type="none"/>
              </v:shape>
            </w:pict>
          </mc:Fallback>
        </mc:AlternateContent>
      </w:r>
      <w:r>
        <w:rPr>
          <w:color w:val="636466"/>
          <w:spacing w:val="-5"/>
          <w:sz w:val="18"/>
        </w:rPr>
        <w:t>30%</w:t>
      </w:r>
    </w:p>
    <w:p>
      <w:pPr>
        <w:spacing w:before="173"/>
        <w:ind w:left="1418" w:right="0" w:firstLine="0"/>
        <w:jc w:val="left"/>
        <w:rPr>
          <w:sz w:val="18"/>
        </w:rPr>
      </w:pPr>
      <w:r>
        <w:rPr>
          <w:color w:val="636466"/>
          <w:spacing w:val="-5"/>
          <w:sz w:val="18"/>
        </w:rPr>
        <w:t>25%</w:t>
      </w:r>
    </w:p>
    <w:p>
      <w:pPr>
        <w:spacing w:before="193"/>
        <w:ind w:left="1418" w:right="0" w:firstLine="0"/>
        <w:jc w:val="left"/>
        <w:rPr>
          <w:sz w:val="18"/>
        </w:rPr>
      </w:pPr>
      <w:r>
        <w:rPr>
          <w:color w:val="636466"/>
          <w:spacing w:val="-5"/>
          <w:sz w:val="18"/>
        </w:rPr>
        <w:t>20%</w:t>
      </w:r>
    </w:p>
    <w:p>
      <w:pPr>
        <w:spacing w:before="173"/>
        <w:ind w:left="1418" w:right="0" w:firstLine="0"/>
        <w:jc w:val="left"/>
        <w:rPr>
          <w:sz w:val="18"/>
        </w:rPr>
      </w:pPr>
      <w:r>
        <w:rPr>
          <w:color w:val="636466"/>
          <w:spacing w:val="-5"/>
          <w:sz w:val="18"/>
        </w:rPr>
        <w:t>15%</w:t>
      </w:r>
    </w:p>
    <w:p>
      <w:pPr>
        <w:spacing w:before="193"/>
        <w:ind w:left="1418" w:right="0" w:firstLine="0"/>
        <w:jc w:val="left"/>
        <w:rPr>
          <w:sz w:val="18"/>
        </w:rPr>
      </w:pPr>
      <w:r>
        <w:rPr>
          <w:color w:val="636466"/>
          <w:spacing w:val="-5"/>
          <w:sz w:val="18"/>
        </w:rPr>
        <w:t>10%</w:t>
      </w:r>
    </w:p>
    <w:p>
      <w:pPr>
        <w:spacing w:before="173"/>
        <w:ind w:left="1520" w:right="0" w:firstLine="0"/>
        <w:jc w:val="left"/>
        <w:rPr>
          <w:sz w:val="18"/>
        </w:rPr>
      </w:pPr>
      <w:r>
        <w:rPr>
          <w:color w:val="636466"/>
          <w:spacing w:val="-5"/>
          <w:sz w:val="18"/>
        </w:rPr>
        <w:t>5%</w:t>
      </w:r>
    </w:p>
    <w:p>
      <w:pPr>
        <w:pStyle w:val="Heading6"/>
        <w:spacing w:before="116"/>
        <w:ind w:left="1065"/>
      </w:pPr>
      <w:r>
        <w:rPr>
          <w:b w:val="0"/>
        </w:rPr>
        <w:br w:type="column"/>
      </w:r>
      <w:r>
        <w:rPr>
          <w:color w:val="105C84"/>
          <w:spacing w:val="-4"/>
        </w:rPr>
        <w:t>FIGURE</w:t>
      </w:r>
      <w:r>
        <w:rPr>
          <w:color w:val="105C84"/>
          <w:spacing w:val="-10"/>
        </w:rPr>
        <w:t> </w:t>
      </w:r>
      <w:r>
        <w:rPr>
          <w:color w:val="105C84"/>
          <w:spacing w:val="-4"/>
        </w:rPr>
        <w:t>2:</w:t>
      </w:r>
      <w:r>
        <w:rPr>
          <w:color w:val="105C84"/>
          <w:spacing w:val="-9"/>
        </w:rPr>
        <w:t> </w:t>
      </w:r>
      <w:r>
        <w:rPr>
          <w:color w:val="105C84"/>
          <w:spacing w:val="-4"/>
        </w:rPr>
        <w:t>Percent</w:t>
      </w:r>
      <w:r>
        <w:rPr>
          <w:color w:val="105C84"/>
          <w:spacing w:val="-10"/>
        </w:rPr>
        <w:t> </w:t>
      </w:r>
      <w:r>
        <w:rPr>
          <w:color w:val="105C84"/>
          <w:spacing w:val="-4"/>
        </w:rPr>
        <w:t>of</w:t>
      </w:r>
      <w:r>
        <w:rPr>
          <w:color w:val="105C84"/>
          <w:spacing w:val="-9"/>
        </w:rPr>
        <w:t> </w:t>
      </w:r>
      <w:r>
        <w:rPr>
          <w:color w:val="105C84"/>
          <w:spacing w:val="-4"/>
        </w:rPr>
        <w:t>households</w:t>
      </w:r>
      <w:r>
        <w:rPr>
          <w:color w:val="105C84"/>
          <w:spacing w:val="-9"/>
        </w:rPr>
        <w:t> </w:t>
      </w:r>
      <w:r>
        <w:rPr>
          <w:color w:val="105C84"/>
          <w:spacing w:val="-4"/>
        </w:rPr>
        <w:t>speaking</w:t>
      </w:r>
      <w:r>
        <w:rPr>
          <w:color w:val="105C84"/>
          <w:spacing w:val="-10"/>
        </w:rPr>
        <w:t> </w:t>
      </w:r>
      <w:r>
        <w:rPr>
          <w:color w:val="105C84"/>
          <w:spacing w:val="-4"/>
        </w:rPr>
        <w:t>a</w:t>
      </w:r>
      <w:r>
        <w:rPr>
          <w:color w:val="105C84"/>
          <w:spacing w:val="-9"/>
        </w:rPr>
        <w:t> </w:t>
      </w:r>
      <w:r>
        <w:rPr>
          <w:color w:val="105C84"/>
          <w:spacing w:val="-4"/>
        </w:rPr>
        <w:t>language</w:t>
      </w:r>
      <w:r>
        <w:rPr>
          <w:color w:val="105C84"/>
          <w:spacing w:val="-10"/>
        </w:rPr>
        <w:t> </w:t>
      </w:r>
      <w:r>
        <w:rPr>
          <w:color w:val="105C84"/>
          <w:spacing w:val="-4"/>
        </w:rPr>
        <w:t>other</w:t>
      </w:r>
      <w:r>
        <w:rPr>
          <w:color w:val="105C84"/>
          <w:spacing w:val="-9"/>
        </w:rPr>
        <w:t> </w:t>
      </w:r>
      <w:r>
        <w:rPr>
          <w:color w:val="105C84"/>
          <w:spacing w:val="-4"/>
        </w:rPr>
        <w:t>than</w:t>
      </w:r>
      <w:r>
        <w:rPr>
          <w:color w:val="105C84"/>
          <w:spacing w:val="-9"/>
        </w:rPr>
        <w:t> </w:t>
      </w:r>
      <w:r>
        <w:rPr>
          <w:color w:val="105C84"/>
          <w:spacing w:val="-4"/>
        </w:rPr>
        <w:t>English</w:t>
      </w:r>
    </w:p>
    <w:p>
      <w:pPr>
        <w:pStyle w:val="BodyText"/>
        <w:spacing w:before="157"/>
        <w:rPr>
          <w:b/>
          <w:sz w:val="26"/>
        </w:rPr>
      </w:pPr>
    </w:p>
    <w:p>
      <w:pPr>
        <w:spacing w:before="0"/>
        <w:ind w:left="1450" w:right="0" w:firstLine="0"/>
        <w:jc w:val="left"/>
        <w:rPr>
          <w:sz w:val="18"/>
        </w:rPr>
      </w:pPr>
      <w:r>
        <w:rPr>
          <w:sz w:val="18"/>
        </w:rPr>
        <mc:AlternateContent>
          <mc:Choice Requires="wps">
            <w:drawing>
              <wp:anchor distT="0" distB="0" distL="0" distR="0" allowOverlap="1" layoutInCell="1" locked="0" behindDoc="0" simplePos="0" relativeHeight="15742464">
                <wp:simplePos x="0" y="0"/>
                <wp:positionH relativeFrom="page">
                  <wp:posOffset>8928808</wp:posOffset>
                </wp:positionH>
                <wp:positionV relativeFrom="paragraph">
                  <wp:posOffset>-19141</wp:posOffset>
                </wp:positionV>
                <wp:extent cx="5625465" cy="2223135"/>
                <wp:effectExtent l="0" t="0" r="0" b="0"/>
                <wp:wrapNone/>
                <wp:docPr id="121" name="Group 121"/>
                <wp:cNvGraphicFramePr>
                  <a:graphicFrameLocks/>
                </wp:cNvGraphicFramePr>
                <a:graphic>
                  <a:graphicData uri="http://schemas.microsoft.com/office/word/2010/wordprocessingGroup">
                    <wpg:wgp>
                      <wpg:cNvPr id="121" name="Group 121"/>
                      <wpg:cNvGrpSpPr/>
                      <wpg:grpSpPr>
                        <a:xfrm>
                          <a:off x="0" y="0"/>
                          <a:ext cx="5625465" cy="2223135"/>
                          <a:chExt cx="5625465" cy="2223135"/>
                        </a:xfrm>
                      </wpg:grpSpPr>
                      <wps:wsp>
                        <wps:cNvPr id="122" name="Graphic 122"/>
                        <wps:cNvSpPr/>
                        <wps:spPr>
                          <a:xfrm>
                            <a:off x="111547" y="1349904"/>
                            <a:ext cx="5125085" cy="864235"/>
                          </a:xfrm>
                          <a:custGeom>
                            <a:avLst/>
                            <a:gdLst/>
                            <a:ahLst/>
                            <a:cxnLst/>
                            <a:rect l="l" t="t" r="r" b="b"/>
                            <a:pathLst>
                              <a:path w="5125085" h="864235">
                                <a:moveTo>
                                  <a:pt x="100774" y="532650"/>
                                </a:moveTo>
                                <a:lnTo>
                                  <a:pt x="0" y="532650"/>
                                </a:lnTo>
                                <a:lnTo>
                                  <a:pt x="0" y="863752"/>
                                </a:lnTo>
                                <a:lnTo>
                                  <a:pt x="100774" y="863752"/>
                                </a:lnTo>
                                <a:lnTo>
                                  <a:pt x="100774" y="532650"/>
                                </a:lnTo>
                                <a:close/>
                              </a:path>
                              <a:path w="5125085" h="864235">
                                <a:moveTo>
                                  <a:pt x="820547" y="374281"/>
                                </a:moveTo>
                                <a:lnTo>
                                  <a:pt x="719785" y="374281"/>
                                </a:lnTo>
                                <a:lnTo>
                                  <a:pt x="719785" y="863765"/>
                                </a:lnTo>
                                <a:lnTo>
                                  <a:pt x="820547" y="863765"/>
                                </a:lnTo>
                                <a:lnTo>
                                  <a:pt x="820547" y="374281"/>
                                </a:lnTo>
                                <a:close/>
                              </a:path>
                              <a:path w="5125085" h="864235">
                                <a:moveTo>
                                  <a:pt x="1540357" y="0"/>
                                </a:moveTo>
                                <a:lnTo>
                                  <a:pt x="1439595" y="0"/>
                                </a:lnTo>
                                <a:lnTo>
                                  <a:pt x="1439595" y="863765"/>
                                </a:lnTo>
                                <a:lnTo>
                                  <a:pt x="1540357" y="863765"/>
                                </a:lnTo>
                                <a:lnTo>
                                  <a:pt x="1540357" y="0"/>
                                </a:lnTo>
                                <a:close/>
                              </a:path>
                              <a:path w="5125085" h="864235">
                                <a:moveTo>
                                  <a:pt x="2260155" y="532650"/>
                                </a:moveTo>
                                <a:lnTo>
                                  <a:pt x="2144992" y="532650"/>
                                </a:lnTo>
                                <a:lnTo>
                                  <a:pt x="2144992" y="863752"/>
                                </a:lnTo>
                                <a:lnTo>
                                  <a:pt x="2260155" y="863752"/>
                                </a:lnTo>
                                <a:lnTo>
                                  <a:pt x="2260155" y="532650"/>
                                </a:lnTo>
                                <a:close/>
                              </a:path>
                              <a:path w="5125085" h="864235">
                                <a:moveTo>
                                  <a:pt x="2965564" y="374281"/>
                                </a:moveTo>
                                <a:lnTo>
                                  <a:pt x="2864789" y="374281"/>
                                </a:lnTo>
                                <a:lnTo>
                                  <a:pt x="2864789" y="863765"/>
                                </a:lnTo>
                                <a:lnTo>
                                  <a:pt x="2965564" y="863765"/>
                                </a:lnTo>
                                <a:lnTo>
                                  <a:pt x="2965564" y="374281"/>
                                </a:lnTo>
                                <a:close/>
                              </a:path>
                              <a:path w="5125085" h="864235">
                                <a:moveTo>
                                  <a:pt x="3685375" y="561441"/>
                                </a:moveTo>
                                <a:lnTo>
                                  <a:pt x="3584587" y="561441"/>
                                </a:lnTo>
                                <a:lnTo>
                                  <a:pt x="3584587" y="863752"/>
                                </a:lnTo>
                                <a:lnTo>
                                  <a:pt x="3685375" y="863752"/>
                                </a:lnTo>
                                <a:lnTo>
                                  <a:pt x="3685375" y="561441"/>
                                </a:lnTo>
                                <a:close/>
                              </a:path>
                              <a:path w="5125085" h="864235">
                                <a:moveTo>
                                  <a:pt x="4405160" y="201536"/>
                                </a:moveTo>
                                <a:lnTo>
                                  <a:pt x="4304385" y="201536"/>
                                </a:lnTo>
                                <a:lnTo>
                                  <a:pt x="4304385" y="863752"/>
                                </a:lnTo>
                                <a:lnTo>
                                  <a:pt x="4405160" y="863752"/>
                                </a:lnTo>
                                <a:lnTo>
                                  <a:pt x="4405160" y="201536"/>
                                </a:lnTo>
                                <a:close/>
                              </a:path>
                              <a:path w="5125085" h="864235">
                                <a:moveTo>
                                  <a:pt x="5124958" y="532650"/>
                                </a:moveTo>
                                <a:lnTo>
                                  <a:pt x="5024183" y="532650"/>
                                </a:lnTo>
                                <a:lnTo>
                                  <a:pt x="5024183" y="863752"/>
                                </a:lnTo>
                                <a:lnTo>
                                  <a:pt x="5124958" y="863752"/>
                                </a:lnTo>
                                <a:lnTo>
                                  <a:pt x="5124958" y="532650"/>
                                </a:lnTo>
                                <a:close/>
                              </a:path>
                            </a:pathLst>
                          </a:custGeom>
                          <a:solidFill>
                            <a:srgbClr val="0F5D86"/>
                          </a:solidFill>
                        </wps:spPr>
                        <wps:bodyPr wrap="square" lIns="0" tIns="0" rIns="0" bIns="0" rtlCol="0">
                          <a:prstTxWarp prst="textNoShape">
                            <a:avLst/>
                          </a:prstTxWarp>
                          <a:noAutofit/>
                        </wps:bodyPr>
                      </wps:wsp>
                      <wps:wsp>
                        <wps:cNvPr id="123" name="Graphic 123"/>
                        <wps:cNvSpPr/>
                        <wps:spPr>
                          <a:xfrm>
                            <a:off x="241099" y="716478"/>
                            <a:ext cx="5125085" cy="1497330"/>
                          </a:xfrm>
                          <a:custGeom>
                            <a:avLst/>
                            <a:gdLst/>
                            <a:ahLst/>
                            <a:cxnLst/>
                            <a:rect l="l" t="t" r="r" b="b"/>
                            <a:pathLst>
                              <a:path w="5125085" h="1497330">
                                <a:moveTo>
                                  <a:pt x="100761" y="1022108"/>
                                </a:moveTo>
                                <a:lnTo>
                                  <a:pt x="0" y="1022108"/>
                                </a:lnTo>
                                <a:lnTo>
                                  <a:pt x="0" y="1497177"/>
                                </a:lnTo>
                                <a:lnTo>
                                  <a:pt x="100761" y="1497177"/>
                                </a:lnTo>
                                <a:lnTo>
                                  <a:pt x="100761" y="1022108"/>
                                </a:lnTo>
                                <a:close/>
                              </a:path>
                              <a:path w="5125085" h="1497330">
                                <a:moveTo>
                                  <a:pt x="820559" y="1079690"/>
                                </a:moveTo>
                                <a:lnTo>
                                  <a:pt x="719797" y="1079690"/>
                                </a:lnTo>
                                <a:lnTo>
                                  <a:pt x="719797" y="1497190"/>
                                </a:lnTo>
                                <a:lnTo>
                                  <a:pt x="820559" y="1497190"/>
                                </a:lnTo>
                                <a:lnTo>
                                  <a:pt x="820559" y="1079690"/>
                                </a:lnTo>
                                <a:close/>
                              </a:path>
                              <a:path w="5125085" h="1497330">
                                <a:moveTo>
                                  <a:pt x="1540370" y="791768"/>
                                </a:moveTo>
                                <a:lnTo>
                                  <a:pt x="1439595" y="791768"/>
                                </a:lnTo>
                                <a:lnTo>
                                  <a:pt x="1439595" y="1497164"/>
                                </a:lnTo>
                                <a:lnTo>
                                  <a:pt x="1540370" y="1497164"/>
                                </a:lnTo>
                                <a:lnTo>
                                  <a:pt x="1540370" y="791768"/>
                                </a:lnTo>
                                <a:close/>
                              </a:path>
                              <a:path w="5125085" h="1497330">
                                <a:moveTo>
                                  <a:pt x="2260168" y="978916"/>
                                </a:moveTo>
                                <a:lnTo>
                                  <a:pt x="2159393" y="978916"/>
                                </a:lnTo>
                                <a:lnTo>
                                  <a:pt x="2159393" y="1497177"/>
                                </a:lnTo>
                                <a:lnTo>
                                  <a:pt x="2260168" y="1497177"/>
                                </a:lnTo>
                                <a:lnTo>
                                  <a:pt x="2260168" y="978916"/>
                                </a:lnTo>
                                <a:close/>
                              </a:path>
                              <a:path w="5125085" h="1497330">
                                <a:moveTo>
                                  <a:pt x="2979966" y="431876"/>
                                </a:moveTo>
                                <a:lnTo>
                                  <a:pt x="2864802" y="431876"/>
                                </a:lnTo>
                                <a:lnTo>
                                  <a:pt x="2864802" y="1497190"/>
                                </a:lnTo>
                                <a:lnTo>
                                  <a:pt x="2979966" y="1497190"/>
                                </a:lnTo>
                                <a:lnTo>
                                  <a:pt x="2979966" y="431876"/>
                                </a:lnTo>
                                <a:close/>
                              </a:path>
                              <a:path w="5125085" h="1497330">
                                <a:moveTo>
                                  <a:pt x="3685375" y="834961"/>
                                </a:moveTo>
                                <a:lnTo>
                                  <a:pt x="3584600" y="834961"/>
                                </a:lnTo>
                                <a:lnTo>
                                  <a:pt x="3584600" y="1497177"/>
                                </a:lnTo>
                                <a:lnTo>
                                  <a:pt x="3685375" y="1497177"/>
                                </a:lnTo>
                                <a:lnTo>
                                  <a:pt x="3685375" y="834961"/>
                                </a:lnTo>
                                <a:close/>
                              </a:path>
                              <a:path w="5125085" h="1497330">
                                <a:moveTo>
                                  <a:pt x="4405173" y="1050899"/>
                                </a:moveTo>
                                <a:lnTo>
                                  <a:pt x="4304385" y="1050899"/>
                                </a:lnTo>
                                <a:lnTo>
                                  <a:pt x="4304385" y="1497177"/>
                                </a:lnTo>
                                <a:lnTo>
                                  <a:pt x="4405173" y="1497177"/>
                                </a:lnTo>
                                <a:lnTo>
                                  <a:pt x="4405173" y="1050899"/>
                                </a:lnTo>
                                <a:close/>
                              </a:path>
                              <a:path w="5125085" h="1497330">
                                <a:moveTo>
                                  <a:pt x="5124970" y="0"/>
                                </a:moveTo>
                                <a:lnTo>
                                  <a:pt x="5024196" y="0"/>
                                </a:lnTo>
                                <a:lnTo>
                                  <a:pt x="5024196" y="1497177"/>
                                </a:lnTo>
                                <a:lnTo>
                                  <a:pt x="5124970" y="1497177"/>
                                </a:lnTo>
                                <a:lnTo>
                                  <a:pt x="5124970" y="0"/>
                                </a:lnTo>
                                <a:close/>
                              </a:path>
                            </a:pathLst>
                          </a:custGeom>
                          <a:solidFill>
                            <a:srgbClr val="B0D236"/>
                          </a:solidFill>
                        </wps:spPr>
                        <wps:bodyPr wrap="square" lIns="0" tIns="0" rIns="0" bIns="0" rtlCol="0">
                          <a:prstTxWarp prst="textNoShape">
                            <a:avLst/>
                          </a:prstTxWarp>
                          <a:noAutofit/>
                        </wps:bodyPr>
                      </wps:wsp>
                      <wps:wsp>
                        <wps:cNvPr id="124" name="Graphic 124"/>
                        <wps:cNvSpPr/>
                        <wps:spPr>
                          <a:xfrm>
                            <a:off x="370665" y="1968927"/>
                            <a:ext cx="5125085" cy="245110"/>
                          </a:xfrm>
                          <a:custGeom>
                            <a:avLst/>
                            <a:gdLst/>
                            <a:ahLst/>
                            <a:cxnLst/>
                            <a:rect l="l" t="t" r="r" b="b"/>
                            <a:pathLst>
                              <a:path w="5125085" h="245110">
                                <a:moveTo>
                                  <a:pt x="100761" y="43180"/>
                                </a:moveTo>
                                <a:lnTo>
                                  <a:pt x="0" y="43180"/>
                                </a:lnTo>
                                <a:lnTo>
                                  <a:pt x="0" y="244729"/>
                                </a:lnTo>
                                <a:lnTo>
                                  <a:pt x="100761" y="244729"/>
                                </a:lnTo>
                                <a:lnTo>
                                  <a:pt x="100761" y="43180"/>
                                </a:lnTo>
                                <a:close/>
                              </a:path>
                              <a:path w="5125085" h="245110">
                                <a:moveTo>
                                  <a:pt x="820559" y="0"/>
                                </a:moveTo>
                                <a:lnTo>
                                  <a:pt x="719797" y="0"/>
                                </a:lnTo>
                                <a:lnTo>
                                  <a:pt x="719797" y="244729"/>
                                </a:lnTo>
                                <a:lnTo>
                                  <a:pt x="820559" y="244729"/>
                                </a:lnTo>
                                <a:lnTo>
                                  <a:pt x="820559" y="0"/>
                                </a:lnTo>
                                <a:close/>
                              </a:path>
                              <a:path w="5125085" h="245110">
                                <a:moveTo>
                                  <a:pt x="1540370" y="71983"/>
                                </a:moveTo>
                                <a:lnTo>
                                  <a:pt x="1439595" y="71983"/>
                                </a:lnTo>
                                <a:lnTo>
                                  <a:pt x="1439595" y="244741"/>
                                </a:lnTo>
                                <a:lnTo>
                                  <a:pt x="1540370" y="244741"/>
                                </a:lnTo>
                                <a:lnTo>
                                  <a:pt x="1540370" y="71983"/>
                                </a:lnTo>
                                <a:close/>
                              </a:path>
                              <a:path w="5125085" h="245110">
                                <a:moveTo>
                                  <a:pt x="2260168" y="215938"/>
                                </a:moveTo>
                                <a:lnTo>
                                  <a:pt x="2159393" y="215938"/>
                                </a:lnTo>
                                <a:lnTo>
                                  <a:pt x="2159393" y="244729"/>
                                </a:lnTo>
                                <a:lnTo>
                                  <a:pt x="2260168" y="244729"/>
                                </a:lnTo>
                                <a:lnTo>
                                  <a:pt x="2260168" y="215938"/>
                                </a:lnTo>
                                <a:close/>
                              </a:path>
                              <a:path w="5125085" h="245110">
                                <a:moveTo>
                                  <a:pt x="2979966" y="71983"/>
                                </a:moveTo>
                                <a:lnTo>
                                  <a:pt x="2864802" y="71983"/>
                                </a:lnTo>
                                <a:lnTo>
                                  <a:pt x="2864802" y="244741"/>
                                </a:lnTo>
                                <a:lnTo>
                                  <a:pt x="2979966" y="244741"/>
                                </a:lnTo>
                                <a:lnTo>
                                  <a:pt x="2979966" y="71983"/>
                                </a:lnTo>
                                <a:close/>
                              </a:path>
                              <a:path w="5125085" h="245110">
                                <a:moveTo>
                                  <a:pt x="3685375" y="0"/>
                                </a:moveTo>
                                <a:lnTo>
                                  <a:pt x="3584600" y="0"/>
                                </a:lnTo>
                                <a:lnTo>
                                  <a:pt x="3584600" y="244729"/>
                                </a:lnTo>
                                <a:lnTo>
                                  <a:pt x="3685375" y="244729"/>
                                </a:lnTo>
                                <a:lnTo>
                                  <a:pt x="3685375" y="0"/>
                                </a:lnTo>
                                <a:close/>
                              </a:path>
                              <a:path w="5125085" h="245110">
                                <a:moveTo>
                                  <a:pt x="4405173" y="129565"/>
                                </a:moveTo>
                                <a:lnTo>
                                  <a:pt x="4304398" y="129565"/>
                                </a:lnTo>
                                <a:lnTo>
                                  <a:pt x="4304398" y="244729"/>
                                </a:lnTo>
                                <a:lnTo>
                                  <a:pt x="4405173" y="244729"/>
                                </a:lnTo>
                                <a:lnTo>
                                  <a:pt x="4405173" y="129565"/>
                                </a:lnTo>
                                <a:close/>
                              </a:path>
                              <a:path w="5125085" h="245110">
                                <a:moveTo>
                                  <a:pt x="5124970" y="129565"/>
                                </a:moveTo>
                                <a:lnTo>
                                  <a:pt x="5024183" y="129565"/>
                                </a:lnTo>
                                <a:lnTo>
                                  <a:pt x="5024183" y="244729"/>
                                </a:lnTo>
                                <a:lnTo>
                                  <a:pt x="5124970" y="244729"/>
                                </a:lnTo>
                                <a:lnTo>
                                  <a:pt x="5124970" y="129565"/>
                                </a:lnTo>
                                <a:close/>
                              </a:path>
                            </a:pathLst>
                          </a:custGeom>
                          <a:solidFill>
                            <a:srgbClr val="00A79E"/>
                          </a:solidFill>
                        </wps:spPr>
                        <wps:bodyPr wrap="square" lIns="0" tIns="0" rIns="0" bIns="0" rtlCol="0">
                          <a:prstTxWarp prst="textNoShape">
                            <a:avLst/>
                          </a:prstTxWarp>
                          <a:noAutofit/>
                        </wps:bodyPr>
                      </wps:wsp>
                      <wps:wsp>
                        <wps:cNvPr id="125" name="Graphic 125"/>
                        <wps:cNvSpPr/>
                        <wps:spPr>
                          <a:xfrm>
                            <a:off x="1220028" y="2098493"/>
                            <a:ext cx="4405630" cy="115570"/>
                          </a:xfrm>
                          <a:custGeom>
                            <a:avLst/>
                            <a:gdLst/>
                            <a:ahLst/>
                            <a:cxnLst/>
                            <a:rect l="l" t="t" r="r" b="b"/>
                            <a:pathLst>
                              <a:path w="4405630" h="115570">
                                <a:moveTo>
                                  <a:pt x="100761" y="71983"/>
                                </a:moveTo>
                                <a:lnTo>
                                  <a:pt x="0" y="71983"/>
                                </a:lnTo>
                                <a:lnTo>
                                  <a:pt x="0" y="115150"/>
                                </a:lnTo>
                                <a:lnTo>
                                  <a:pt x="100761" y="115150"/>
                                </a:lnTo>
                                <a:lnTo>
                                  <a:pt x="100761" y="71983"/>
                                </a:lnTo>
                                <a:close/>
                              </a:path>
                              <a:path w="4405630" h="115570">
                                <a:moveTo>
                                  <a:pt x="820572" y="43180"/>
                                </a:moveTo>
                                <a:lnTo>
                                  <a:pt x="719797" y="43180"/>
                                </a:lnTo>
                                <a:lnTo>
                                  <a:pt x="719797" y="115163"/>
                                </a:lnTo>
                                <a:lnTo>
                                  <a:pt x="820572" y="115163"/>
                                </a:lnTo>
                                <a:lnTo>
                                  <a:pt x="820572" y="43180"/>
                                </a:lnTo>
                                <a:close/>
                              </a:path>
                              <a:path w="4405630" h="115570">
                                <a:moveTo>
                                  <a:pt x="1540370" y="86372"/>
                                </a:moveTo>
                                <a:lnTo>
                                  <a:pt x="1439595" y="86372"/>
                                </a:lnTo>
                                <a:lnTo>
                                  <a:pt x="1439595" y="115163"/>
                                </a:lnTo>
                                <a:lnTo>
                                  <a:pt x="1540370" y="115163"/>
                                </a:lnTo>
                                <a:lnTo>
                                  <a:pt x="1540370" y="86372"/>
                                </a:lnTo>
                                <a:close/>
                              </a:path>
                              <a:path w="4405630" h="115570">
                                <a:moveTo>
                                  <a:pt x="2260155" y="71983"/>
                                </a:moveTo>
                                <a:lnTo>
                                  <a:pt x="2144992" y="71983"/>
                                </a:lnTo>
                                <a:lnTo>
                                  <a:pt x="2144992" y="115150"/>
                                </a:lnTo>
                                <a:lnTo>
                                  <a:pt x="2260155" y="115150"/>
                                </a:lnTo>
                                <a:lnTo>
                                  <a:pt x="2260155" y="71983"/>
                                </a:lnTo>
                                <a:close/>
                              </a:path>
                              <a:path w="4405630" h="115570">
                                <a:moveTo>
                                  <a:pt x="2965564" y="86372"/>
                                </a:moveTo>
                                <a:lnTo>
                                  <a:pt x="2864789" y="86372"/>
                                </a:lnTo>
                                <a:lnTo>
                                  <a:pt x="2864789" y="115163"/>
                                </a:lnTo>
                                <a:lnTo>
                                  <a:pt x="2965564" y="115163"/>
                                </a:lnTo>
                                <a:lnTo>
                                  <a:pt x="2965564" y="86372"/>
                                </a:lnTo>
                                <a:close/>
                              </a:path>
                              <a:path w="4405630" h="115570">
                                <a:moveTo>
                                  <a:pt x="3685375" y="71983"/>
                                </a:moveTo>
                                <a:lnTo>
                                  <a:pt x="3584600" y="71983"/>
                                </a:lnTo>
                                <a:lnTo>
                                  <a:pt x="3584600" y="115150"/>
                                </a:lnTo>
                                <a:lnTo>
                                  <a:pt x="3685375" y="115150"/>
                                </a:lnTo>
                                <a:lnTo>
                                  <a:pt x="3685375" y="71983"/>
                                </a:lnTo>
                                <a:close/>
                              </a:path>
                              <a:path w="4405630" h="115570">
                                <a:moveTo>
                                  <a:pt x="4405173" y="0"/>
                                </a:moveTo>
                                <a:lnTo>
                                  <a:pt x="4304398" y="0"/>
                                </a:lnTo>
                                <a:lnTo>
                                  <a:pt x="4304398" y="115163"/>
                                </a:lnTo>
                                <a:lnTo>
                                  <a:pt x="4405173" y="115163"/>
                                </a:lnTo>
                                <a:lnTo>
                                  <a:pt x="4405173" y="0"/>
                                </a:lnTo>
                                <a:close/>
                              </a:path>
                            </a:pathLst>
                          </a:custGeom>
                          <a:solidFill>
                            <a:srgbClr val="BCBEC0"/>
                          </a:solidFill>
                        </wps:spPr>
                        <wps:bodyPr wrap="square" lIns="0" tIns="0" rIns="0" bIns="0" rtlCol="0">
                          <a:prstTxWarp prst="textNoShape">
                            <a:avLst/>
                          </a:prstTxWarp>
                          <a:noAutofit/>
                        </wps:bodyPr>
                      </wps:wsp>
                      <wps:wsp>
                        <wps:cNvPr id="126" name="Graphic 126"/>
                        <wps:cNvSpPr/>
                        <wps:spPr>
                          <a:xfrm>
                            <a:off x="3568" y="37330"/>
                            <a:ext cx="5617210" cy="2181860"/>
                          </a:xfrm>
                          <a:custGeom>
                            <a:avLst/>
                            <a:gdLst/>
                            <a:ahLst/>
                            <a:cxnLst/>
                            <a:rect l="l" t="t" r="r" b="b"/>
                            <a:pathLst>
                              <a:path w="5617210" h="2181860">
                                <a:moveTo>
                                  <a:pt x="5616879" y="2181847"/>
                                </a:moveTo>
                                <a:lnTo>
                                  <a:pt x="0" y="2181834"/>
                                </a:lnTo>
                                <a:lnTo>
                                  <a:pt x="0" y="0"/>
                                </a:lnTo>
                              </a:path>
                            </a:pathLst>
                          </a:custGeom>
                          <a:ln w="7137">
                            <a:solidFill>
                              <a:srgbClr val="939598"/>
                            </a:solidFill>
                            <a:prstDash val="solid"/>
                          </a:ln>
                        </wps:spPr>
                        <wps:bodyPr wrap="square" lIns="0" tIns="0" rIns="0" bIns="0" rtlCol="0">
                          <a:prstTxWarp prst="textNoShape">
                            <a:avLst/>
                          </a:prstTxWarp>
                          <a:noAutofit/>
                        </wps:bodyPr>
                      </wps:wsp>
                      <wps:wsp>
                        <wps:cNvPr id="127" name="Graphic 127"/>
                        <wps:cNvSpPr/>
                        <wps:spPr>
                          <a:xfrm>
                            <a:off x="500230" y="27923"/>
                            <a:ext cx="72390" cy="72390"/>
                          </a:xfrm>
                          <a:custGeom>
                            <a:avLst/>
                            <a:gdLst/>
                            <a:ahLst/>
                            <a:cxnLst/>
                            <a:rect l="l" t="t" r="r" b="b"/>
                            <a:pathLst>
                              <a:path w="72390" h="72390">
                                <a:moveTo>
                                  <a:pt x="71970" y="0"/>
                                </a:moveTo>
                                <a:lnTo>
                                  <a:pt x="0" y="0"/>
                                </a:lnTo>
                                <a:lnTo>
                                  <a:pt x="0" y="71983"/>
                                </a:lnTo>
                                <a:lnTo>
                                  <a:pt x="71970" y="71983"/>
                                </a:lnTo>
                                <a:lnTo>
                                  <a:pt x="71970" y="0"/>
                                </a:lnTo>
                                <a:close/>
                              </a:path>
                            </a:pathLst>
                          </a:custGeom>
                          <a:solidFill>
                            <a:srgbClr val="105C84"/>
                          </a:solidFill>
                        </wps:spPr>
                        <wps:bodyPr wrap="square" lIns="0" tIns="0" rIns="0" bIns="0" rtlCol="0">
                          <a:prstTxWarp prst="textNoShape">
                            <a:avLst/>
                          </a:prstTxWarp>
                          <a:noAutofit/>
                        </wps:bodyPr>
                      </wps:wsp>
                      <wps:wsp>
                        <wps:cNvPr id="128" name="Graphic 128"/>
                        <wps:cNvSpPr/>
                        <wps:spPr>
                          <a:xfrm>
                            <a:off x="504065" y="426347"/>
                            <a:ext cx="72390" cy="72390"/>
                          </a:xfrm>
                          <a:custGeom>
                            <a:avLst/>
                            <a:gdLst/>
                            <a:ahLst/>
                            <a:cxnLst/>
                            <a:rect l="l" t="t" r="r" b="b"/>
                            <a:pathLst>
                              <a:path w="72390" h="72390">
                                <a:moveTo>
                                  <a:pt x="71970" y="0"/>
                                </a:moveTo>
                                <a:lnTo>
                                  <a:pt x="0" y="0"/>
                                </a:lnTo>
                                <a:lnTo>
                                  <a:pt x="0" y="71970"/>
                                </a:lnTo>
                                <a:lnTo>
                                  <a:pt x="71970" y="71970"/>
                                </a:lnTo>
                                <a:lnTo>
                                  <a:pt x="71970" y="0"/>
                                </a:lnTo>
                                <a:close/>
                              </a:path>
                            </a:pathLst>
                          </a:custGeom>
                          <a:solidFill>
                            <a:srgbClr val="B0D236"/>
                          </a:solidFill>
                        </wps:spPr>
                        <wps:bodyPr wrap="square" lIns="0" tIns="0" rIns="0" bIns="0" rtlCol="0">
                          <a:prstTxWarp prst="textNoShape">
                            <a:avLst/>
                          </a:prstTxWarp>
                          <a:noAutofit/>
                        </wps:bodyPr>
                      </wps:wsp>
                      <wps:wsp>
                        <wps:cNvPr id="129" name="Graphic 129"/>
                        <wps:cNvSpPr/>
                        <wps:spPr>
                          <a:xfrm>
                            <a:off x="500230" y="223503"/>
                            <a:ext cx="72390" cy="72390"/>
                          </a:xfrm>
                          <a:custGeom>
                            <a:avLst/>
                            <a:gdLst/>
                            <a:ahLst/>
                            <a:cxnLst/>
                            <a:rect l="l" t="t" r="r" b="b"/>
                            <a:pathLst>
                              <a:path w="72390" h="72390">
                                <a:moveTo>
                                  <a:pt x="71970" y="0"/>
                                </a:moveTo>
                                <a:lnTo>
                                  <a:pt x="0" y="0"/>
                                </a:lnTo>
                                <a:lnTo>
                                  <a:pt x="0" y="71983"/>
                                </a:lnTo>
                                <a:lnTo>
                                  <a:pt x="71970" y="71983"/>
                                </a:lnTo>
                                <a:lnTo>
                                  <a:pt x="71970" y="0"/>
                                </a:lnTo>
                                <a:close/>
                              </a:path>
                            </a:pathLst>
                          </a:custGeom>
                          <a:solidFill>
                            <a:srgbClr val="00A79E"/>
                          </a:solidFill>
                        </wps:spPr>
                        <wps:bodyPr wrap="square" lIns="0" tIns="0" rIns="0" bIns="0" rtlCol="0">
                          <a:prstTxWarp prst="textNoShape">
                            <a:avLst/>
                          </a:prstTxWarp>
                          <a:noAutofit/>
                        </wps:bodyPr>
                      </wps:wsp>
                      <wps:wsp>
                        <wps:cNvPr id="130" name="Graphic 130"/>
                        <wps:cNvSpPr/>
                        <wps:spPr>
                          <a:xfrm>
                            <a:off x="504065" y="621915"/>
                            <a:ext cx="72390" cy="72390"/>
                          </a:xfrm>
                          <a:custGeom>
                            <a:avLst/>
                            <a:gdLst/>
                            <a:ahLst/>
                            <a:cxnLst/>
                            <a:rect l="l" t="t" r="r" b="b"/>
                            <a:pathLst>
                              <a:path w="72390" h="72390">
                                <a:moveTo>
                                  <a:pt x="71970" y="0"/>
                                </a:moveTo>
                                <a:lnTo>
                                  <a:pt x="0" y="0"/>
                                </a:lnTo>
                                <a:lnTo>
                                  <a:pt x="0" y="71983"/>
                                </a:lnTo>
                                <a:lnTo>
                                  <a:pt x="71970" y="71983"/>
                                </a:lnTo>
                                <a:lnTo>
                                  <a:pt x="71970" y="0"/>
                                </a:lnTo>
                                <a:close/>
                              </a:path>
                            </a:pathLst>
                          </a:custGeom>
                          <a:solidFill>
                            <a:srgbClr val="939598"/>
                          </a:solidFill>
                        </wps:spPr>
                        <wps:bodyPr wrap="square" lIns="0" tIns="0" rIns="0" bIns="0" rtlCol="0">
                          <a:prstTxWarp prst="textNoShape">
                            <a:avLst/>
                          </a:prstTxWarp>
                          <a:noAutofit/>
                        </wps:bodyPr>
                      </wps:wsp>
                      <wps:wsp>
                        <wps:cNvPr id="131" name="Textbox 131"/>
                        <wps:cNvSpPr txBox="1"/>
                        <wps:spPr>
                          <a:xfrm>
                            <a:off x="0" y="0"/>
                            <a:ext cx="5625465" cy="2223135"/>
                          </a:xfrm>
                          <a:prstGeom prst="rect">
                            <a:avLst/>
                          </a:prstGeom>
                        </wps:spPr>
                        <wps:txbx>
                          <w:txbxContent>
                            <w:p>
                              <w:pPr>
                                <w:spacing w:before="10"/>
                                <w:ind w:left="979" w:right="0" w:firstLine="0"/>
                                <w:jc w:val="left"/>
                                <w:rPr>
                                  <w:sz w:val="16"/>
                                </w:rPr>
                              </w:pPr>
                              <w:r>
                                <w:rPr>
                                  <w:color w:val="105C84"/>
                                  <w:spacing w:val="-2"/>
                                  <w:sz w:val="16"/>
                                </w:rPr>
                                <w:t>Spanish</w:t>
                              </w:r>
                            </w:p>
                            <w:p>
                              <w:pPr>
                                <w:spacing w:line="410" w:lineRule="auto" w:before="124"/>
                                <w:ind w:left="998" w:right="5204" w:hanging="20"/>
                                <w:jc w:val="left"/>
                                <w:rPr>
                                  <w:sz w:val="16"/>
                                </w:rPr>
                              </w:pPr>
                              <w:r>
                                <w:rPr>
                                  <w:color w:val="105C84"/>
                                  <w:spacing w:val="-2"/>
                                  <w:sz w:val="16"/>
                                </w:rPr>
                                <w:t>Asian</w:t>
                              </w:r>
                              <w:r>
                                <w:rPr>
                                  <w:color w:val="105C84"/>
                                  <w:spacing w:val="-7"/>
                                  <w:sz w:val="16"/>
                                </w:rPr>
                                <w:t> </w:t>
                              </w:r>
                              <w:r>
                                <w:rPr>
                                  <w:color w:val="105C84"/>
                                  <w:spacing w:val="-2"/>
                                  <w:sz w:val="16"/>
                                </w:rPr>
                                <w:t>and</w:t>
                              </w:r>
                              <w:r>
                                <w:rPr>
                                  <w:color w:val="105C84"/>
                                  <w:spacing w:val="-7"/>
                                  <w:sz w:val="16"/>
                                </w:rPr>
                                <w:t> </w:t>
                              </w:r>
                              <w:r>
                                <w:rPr>
                                  <w:color w:val="105C84"/>
                                  <w:spacing w:val="-2"/>
                                  <w:sz w:val="16"/>
                                </w:rPr>
                                <w:t>Pacific</w:t>
                              </w:r>
                              <w:r>
                                <w:rPr>
                                  <w:color w:val="105C84"/>
                                  <w:spacing w:val="-7"/>
                                  <w:sz w:val="16"/>
                                </w:rPr>
                                <w:t> </w:t>
                              </w:r>
                              <w:r>
                                <w:rPr>
                                  <w:color w:val="105C84"/>
                                  <w:spacing w:val="-2"/>
                                  <w:sz w:val="16"/>
                                </w:rPr>
                                <w:t>Island</w:t>
                              </w:r>
                              <w:r>
                                <w:rPr>
                                  <w:color w:val="105C84"/>
                                  <w:spacing w:val="-7"/>
                                  <w:sz w:val="16"/>
                                </w:rPr>
                                <w:t> </w:t>
                              </w:r>
                              <w:r>
                                <w:rPr>
                                  <w:color w:val="105C84"/>
                                  <w:spacing w:val="-2"/>
                                  <w:sz w:val="16"/>
                                </w:rPr>
                                <w:t>languages </w:t>
                              </w:r>
                              <w:r>
                                <w:rPr>
                                  <w:color w:val="105C84"/>
                                  <w:sz w:val="16"/>
                                </w:rPr>
                                <w:t>Other Indo-European languages </w:t>
                              </w:r>
                              <w:r>
                                <w:rPr>
                                  <w:color w:val="105C84"/>
                                  <w:spacing w:val="-2"/>
                                  <w:sz w:val="16"/>
                                </w:rPr>
                                <w:t>Other</w:t>
                              </w:r>
                            </w:p>
                          </w:txbxContent>
                        </wps:txbx>
                        <wps:bodyPr wrap="square" lIns="0" tIns="0" rIns="0" bIns="0" rtlCol="0">
                          <a:noAutofit/>
                        </wps:bodyPr>
                      </wps:wsp>
                    </wpg:wgp>
                  </a:graphicData>
                </a:graphic>
              </wp:anchor>
            </w:drawing>
          </mc:Choice>
          <mc:Fallback>
            <w:pict>
              <v:group style="position:absolute;margin-left:703.055786pt;margin-top:-1.507208pt;width:442.95pt;height:175.05pt;mso-position-horizontal-relative:page;mso-position-vertical-relative:paragraph;z-index:15742464" id="docshapegroup102" coordorigin="14061,-30" coordsize="8859,3501">
                <v:shape style="position:absolute;left:14236;top:2095;width:8071;height:1361" id="docshape103" coordorigin="14237,2096" coordsize="8071,1361" path="m14395,2935l14237,2935,14237,3456,14395,3456,14395,2935xm15529,2685l15370,2685,15370,3456,15529,3456,15529,2685xm16663,2096l16504,2096,16504,3456,16663,3456,16663,2096xm17796,2935l17615,2935,17615,3456,17796,3456,17796,2935xm18907,2685l18748,2685,18748,3456,18907,3456,18907,2685xm20041,2980l19882,2980,19882,3456,20041,3456,20041,2980xm21174,2413l21015,2413,21015,3456,21174,3456,21174,2413xm22308,2935l22149,2935,22149,3456,22308,3456,22308,2935xe" filled="true" fillcolor="#0f5d86" stroked="false">
                  <v:path arrowok="t"/>
                  <v:fill type="solid"/>
                </v:shape>
                <v:shape style="position:absolute;left:14440;top:1098;width:8071;height:2358" id="docshape104" coordorigin="14441,1098" coordsize="8071,2358" path="m14599,2708l14441,2708,14441,3456,14599,3456,14599,2708xm15733,2798l15574,2798,15574,3456,15733,3456,15733,2798xm16867,2345l16708,2345,16708,3456,16867,3456,16867,2345xm18000,2640l17841,2640,17841,3456,18000,3456,18000,2640xm19134,1778l18952,1778,18952,3456,19134,3456,19134,1778xm20245,2413l20086,2413,20086,3456,20245,3456,20245,2413xm21378,2753l21219,2753,21219,3456,21378,3456,21378,2753xm22512,1098l22353,1098,22353,3456,22512,3456,22512,1098xe" filled="true" fillcolor="#b0d236" stroked="false">
                  <v:path arrowok="t"/>
                  <v:fill type="solid"/>
                </v:shape>
                <v:shape style="position:absolute;left:14644;top:3070;width:8071;height:386" id="docshape105" coordorigin="14645,3071" coordsize="8071,386" path="m14804,3139l14645,3139,14645,3456,14804,3456,14804,3139xm15937,3071l15778,3071,15778,3456,15937,3456,15937,3071xm17071,3184l16912,3184,16912,3456,17071,3456,17071,3184xm18204,3411l18045,3411,18045,3456,18204,3456,18204,3411xm19338,3184l19156,3184,19156,3456,19338,3456,19338,3184xm20449,3071l20290,3071,20290,3456,20449,3456,20449,3071xm21582,3275l21423,3275,21423,3456,21582,3456,21582,3275xm22716,3275l22557,3275,22557,3456,22716,3456,22716,3275xe" filled="true" fillcolor="#00a79e" stroked="false">
                  <v:path arrowok="t"/>
                  <v:fill type="solid"/>
                </v:shape>
                <v:shape style="position:absolute;left:15982;top:3274;width:6938;height:182" id="docshape106" coordorigin="15982,3275" coordsize="6938,182" path="m16141,3388l15982,3388,15982,3456,16141,3456,16141,3388xm17275,3343l17116,3343,17116,3456,17275,3456,17275,3343xm18408,3411l18250,3411,18250,3456,18408,3456,18408,3411xm19542,3388l19360,3388,19360,3456,19542,3456,19542,3388xm20653,3411l20494,3411,20494,3456,20653,3456,20653,3411xm21786,3388l21627,3388,21627,3456,21786,3456,21786,3388xm22920,3275l22761,3275,22761,3456,22920,3456,22920,3275xe" filled="true" fillcolor="#bcbec0" stroked="false">
                  <v:path arrowok="t"/>
                  <v:fill type="solid"/>
                </v:shape>
                <v:shape style="position:absolute;left:14066;top:28;width:8846;height:3436" id="docshape107" coordorigin="14067,29" coordsize="8846,3436" path="m22912,3465l14067,3465,14067,29e" filled="false" stroked="true" strokeweight=".562pt" strokecolor="#939598">
                  <v:path arrowok="t"/>
                  <v:stroke dashstyle="solid"/>
                </v:shape>
                <v:rect style="position:absolute;left:14848;top:13;width:114;height:114" id="docshape108" filled="true" fillcolor="#105c84" stroked="false">
                  <v:fill type="solid"/>
                </v:rect>
                <v:rect style="position:absolute;left:14854;top:641;width:114;height:114" id="docshape109" filled="true" fillcolor="#b0d236" stroked="false">
                  <v:fill type="solid"/>
                </v:rect>
                <v:rect style="position:absolute;left:14848;top:321;width:114;height:114" id="docshape110" filled="true" fillcolor="#00a79e" stroked="false">
                  <v:fill type="solid"/>
                </v:rect>
                <v:rect style="position:absolute;left:14854;top:949;width:114;height:114" id="docshape111" filled="true" fillcolor="#939598" stroked="false">
                  <v:fill type="solid"/>
                </v:rect>
                <v:shape style="position:absolute;left:14061;top:-31;width:8859;height:3501" type="#_x0000_t202" id="docshape112" filled="false" stroked="false">
                  <v:textbox inset="0,0,0,0">
                    <w:txbxContent>
                      <w:p>
                        <w:pPr>
                          <w:spacing w:before="10"/>
                          <w:ind w:left="979" w:right="0" w:firstLine="0"/>
                          <w:jc w:val="left"/>
                          <w:rPr>
                            <w:sz w:val="16"/>
                          </w:rPr>
                        </w:pPr>
                        <w:r>
                          <w:rPr>
                            <w:color w:val="105C84"/>
                            <w:spacing w:val="-2"/>
                            <w:sz w:val="16"/>
                          </w:rPr>
                          <w:t>Spanish</w:t>
                        </w:r>
                      </w:p>
                      <w:p>
                        <w:pPr>
                          <w:spacing w:line="410" w:lineRule="auto" w:before="124"/>
                          <w:ind w:left="998" w:right="5204" w:hanging="20"/>
                          <w:jc w:val="left"/>
                          <w:rPr>
                            <w:sz w:val="16"/>
                          </w:rPr>
                        </w:pPr>
                        <w:r>
                          <w:rPr>
                            <w:color w:val="105C84"/>
                            <w:spacing w:val="-2"/>
                            <w:sz w:val="16"/>
                          </w:rPr>
                          <w:t>Asian</w:t>
                        </w:r>
                        <w:r>
                          <w:rPr>
                            <w:color w:val="105C84"/>
                            <w:spacing w:val="-7"/>
                            <w:sz w:val="16"/>
                          </w:rPr>
                          <w:t> </w:t>
                        </w:r>
                        <w:r>
                          <w:rPr>
                            <w:color w:val="105C84"/>
                            <w:spacing w:val="-2"/>
                            <w:sz w:val="16"/>
                          </w:rPr>
                          <w:t>and</w:t>
                        </w:r>
                        <w:r>
                          <w:rPr>
                            <w:color w:val="105C84"/>
                            <w:spacing w:val="-7"/>
                            <w:sz w:val="16"/>
                          </w:rPr>
                          <w:t> </w:t>
                        </w:r>
                        <w:r>
                          <w:rPr>
                            <w:color w:val="105C84"/>
                            <w:spacing w:val="-2"/>
                            <w:sz w:val="16"/>
                          </w:rPr>
                          <w:t>Pacific</w:t>
                        </w:r>
                        <w:r>
                          <w:rPr>
                            <w:color w:val="105C84"/>
                            <w:spacing w:val="-7"/>
                            <w:sz w:val="16"/>
                          </w:rPr>
                          <w:t> </w:t>
                        </w:r>
                        <w:r>
                          <w:rPr>
                            <w:color w:val="105C84"/>
                            <w:spacing w:val="-2"/>
                            <w:sz w:val="16"/>
                          </w:rPr>
                          <w:t>Island</w:t>
                        </w:r>
                        <w:r>
                          <w:rPr>
                            <w:color w:val="105C84"/>
                            <w:spacing w:val="-7"/>
                            <w:sz w:val="16"/>
                          </w:rPr>
                          <w:t> </w:t>
                        </w:r>
                        <w:r>
                          <w:rPr>
                            <w:color w:val="105C84"/>
                            <w:spacing w:val="-2"/>
                            <w:sz w:val="16"/>
                          </w:rPr>
                          <w:t>languages </w:t>
                        </w:r>
                        <w:r>
                          <w:rPr>
                            <w:color w:val="105C84"/>
                            <w:sz w:val="16"/>
                          </w:rPr>
                          <w:t>Other Indo-European languages </w:t>
                        </w:r>
                        <w:r>
                          <w:rPr>
                            <w:color w:val="105C84"/>
                            <w:spacing w:val="-2"/>
                            <w:sz w:val="16"/>
                          </w:rPr>
                          <w:t>Other</w:t>
                        </w:r>
                      </w:p>
                    </w:txbxContent>
                  </v:textbox>
                  <w10:wrap type="none"/>
                </v:shape>
                <w10:wrap type="none"/>
              </v:group>
            </w:pict>
          </mc:Fallback>
        </mc:AlternateContent>
      </w:r>
      <w:r>
        <w:rPr>
          <w:color w:val="636466"/>
          <w:spacing w:val="-5"/>
          <w:sz w:val="18"/>
        </w:rPr>
        <w:t>10</w:t>
      </w:r>
    </w:p>
    <w:p>
      <w:pPr>
        <w:spacing w:before="110"/>
        <w:ind w:left="1540" w:right="0" w:firstLine="0"/>
        <w:jc w:val="left"/>
        <w:rPr>
          <w:sz w:val="18"/>
        </w:rPr>
      </w:pPr>
      <w:r>
        <w:rPr>
          <w:color w:val="636466"/>
          <w:spacing w:val="-10"/>
          <w:sz w:val="18"/>
        </w:rPr>
        <w:t>9</w:t>
      </w:r>
    </w:p>
    <w:p>
      <w:pPr>
        <w:spacing w:before="133"/>
        <w:ind w:left="1540" w:right="0" w:firstLine="0"/>
        <w:jc w:val="left"/>
        <w:rPr>
          <w:sz w:val="18"/>
        </w:rPr>
      </w:pPr>
      <w:r>
        <w:rPr>
          <w:sz w:val="18"/>
        </w:rPr>
        <mc:AlternateContent>
          <mc:Choice Requires="wps">
            <w:drawing>
              <wp:anchor distT="0" distB="0" distL="0" distR="0" allowOverlap="1" layoutInCell="1" locked="0" behindDoc="0" simplePos="0" relativeHeight="15743488">
                <wp:simplePos x="0" y="0"/>
                <wp:positionH relativeFrom="page">
                  <wp:posOffset>8457073</wp:posOffset>
                </wp:positionH>
                <wp:positionV relativeFrom="paragraph">
                  <wp:posOffset>176836</wp:posOffset>
                </wp:positionV>
                <wp:extent cx="164465" cy="1049655"/>
                <wp:effectExtent l="0" t="0" r="0" b="0"/>
                <wp:wrapNone/>
                <wp:docPr id="132" name="Textbox 132"/>
                <wp:cNvGraphicFramePr>
                  <a:graphicFrameLocks/>
                </wp:cNvGraphicFramePr>
                <a:graphic>
                  <a:graphicData uri="http://schemas.microsoft.com/office/word/2010/wordprocessingShape">
                    <wps:wsp>
                      <wps:cNvPr id="132" name="Textbox 132"/>
                      <wps:cNvSpPr txBox="1"/>
                      <wps:spPr>
                        <a:xfrm>
                          <a:off x="0" y="0"/>
                          <a:ext cx="164465" cy="1049655"/>
                        </a:xfrm>
                        <a:prstGeom prst="rect">
                          <a:avLst/>
                        </a:prstGeom>
                      </wps:spPr>
                      <wps:txbx>
                        <w:txbxContent>
                          <w:p>
                            <w:pPr>
                              <w:spacing w:before="30"/>
                              <w:ind w:left="20" w:right="0" w:firstLine="0"/>
                              <w:jc w:val="left"/>
                              <w:rPr>
                                <w:sz w:val="16"/>
                              </w:rPr>
                            </w:pPr>
                            <w:r>
                              <w:rPr>
                                <w:color w:val="105C84"/>
                                <w:sz w:val="16"/>
                              </w:rPr>
                              <w:t>Percent</w:t>
                            </w:r>
                            <w:r>
                              <w:rPr>
                                <w:color w:val="105C84"/>
                                <w:spacing w:val="-5"/>
                                <w:sz w:val="16"/>
                              </w:rPr>
                              <w:t> </w:t>
                            </w:r>
                            <w:r>
                              <w:rPr>
                                <w:color w:val="105C84"/>
                                <w:sz w:val="16"/>
                              </w:rPr>
                              <w:t>of</w:t>
                            </w:r>
                            <w:r>
                              <w:rPr>
                                <w:color w:val="105C84"/>
                                <w:spacing w:val="-5"/>
                                <w:sz w:val="16"/>
                              </w:rPr>
                              <w:t> </w:t>
                            </w:r>
                            <w:r>
                              <w:rPr>
                                <w:color w:val="105C84"/>
                                <w:spacing w:val="-2"/>
                                <w:sz w:val="16"/>
                              </w:rPr>
                              <w:t>Households</w:t>
                            </w:r>
                          </w:p>
                        </w:txbxContent>
                      </wps:txbx>
                      <wps:bodyPr wrap="square" lIns="0" tIns="0" rIns="0" bIns="0" rtlCol="0" vert="vert270">
                        <a:noAutofit/>
                      </wps:bodyPr>
                    </wps:wsp>
                  </a:graphicData>
                </a:graphic>
              </wp:anchor>
            </w:drawing>
          </mc:Choice>
          <mc:Fallback>
            <w:pict>
              <v:shape style="position:absolute;margin-left:665.911316pt;margin-top:13.924146pt;width:12.95pt;height:82.65pt;mso-position-horizontal-relative:page;mso-position-vertical-relative:paragraph;z-index:15743488" type="#_x0000_t202" id="docshape113" filled="false" stroked="false">
                <v:textbox inset="0,0,0,0" style="layout-flow:vertical;mso-layout-flow-alt:bottom-to-top">
                  <w:txbxContent>
                    <w:p>
                      <w:pPr>
                        <w:spacing w:before="30"/>
                        <w:ind w:left="20" w:right="0" w:firstLine="0"/>
                        <w:jc w:val="left"/>
                        <w:rPr>
                          <w:sz w:val="16"/>
                        </w:rPr>
                      </w:pPr>
                      <w:r>
                        <w:rPr>
                          <w:color w:val="105C84"/>
                          <w:sz w:val="16"/>
                        </w:rPr>
                        <w:t>Percent</w:t>
                      </w:r>
                      <w:r>
                        <w:rPr>
                          <w:color w:val="105C84"/>
                          <w:spacing w:val="-5"/>
                          <w:sz w:val="16"/>
                        </w:rPr>
                        <w:t> </w:t>
                      </w:r>
                      <w:r>
                        <w:rPr>
                          <w:color w:val="105C84"/>
                          <w:sz w:val="16"/>
                        </w:rPr>
                        <w:t>of</w:t>
                      </w:r>
                      <w:r>
                        <w:rPr>
                          <w:color w:val="105C84"/>
                          <w:spacing w:val="-5"/>
                          <w:sz w:val="16"/>
                        </w:rPr>
                        <w:t> </w:t>
                      </w:r>
                      <w:r>
                        <w:rPr>
                          <w:color w:val="105C84"/>
                          <w:spacing w:val="-2"/>
                          <w:sz w:val="16"/>
                        </w:rPr>
                        <w:t>Households</w:t>
                      </w:r>
                    </w:p>
                  </w:txbxContent>
                </v:textbox>
                <w10:wrap type="none"/>
              </v:shape>
            </w:pict>
          </mc:Fallback>
        </mc:AlternateContent>
      </w:r>
      <w:r>
        <w:rPr>
          <w:color w:val="636466"/>
          <w:spacing w:val="-10"/>
          <w:sz w:val="18"/>
        </w:rPr>
        <w:t>8</w:t>
      </w:r>
    </w:p>
    <w:p>
      <w:pPr>
        <w:spacing w:before="133"/>
        <w:ind w:left="1540" w:right="0" w:firstLine="0"/>
        <w:jc w:val="left"/>
        <w:rPr>
          <w:sz w:val="18"/>
        </w:rPr>
      </w:pPr>
      <w:r>
        <w:rPr>
          <w:color w:val="636466"/>
          <w:spacing w:val="-10"/>
          <w:sz w:val="18"/>
        </w:rPr>
        <w:t>7</w:t>
      </w:r>
    </w:p>
    <w:p>
      <w:pPr>
        <w:spacing w:before="133"/>
        <w:ind w:left="1540" w:right="0" w:firstLine="0"/>
        <w:jc w:val="left"/>
        <w:rPr>
          <w:sz w:val="18"/>
        </w:rPr>
      </w:pPr>
      <w:r>
        <w:rPr>
          <w:color w:val="636466"/>
          <w:spacing w:val="-10"/>
          <w:sz w:val="18"/>
        </w:rPr>
        <w:t>6</w:t>
      </w:r>
    </w:p>
    <w:p>
      <w:pPr>
        <w:spacing w:before="111"/>
        <w:ind w:left="1540" w:right="0" w:firstLine="0"/>
        <w:jc w:val="left"/>
        <w:rPr>
          <w:sz w:val="18"/>
        </w:rPr>
      </w:pPr>
      <w:r>
        <w:rPr>
          <w:color w:val="636466"/>
          <w:spacing w:val="-10"/>
          <w:sz w:val="18"/>
        </w:rPr>
        <w:t>5</w:t>
      </w:r>
    </w:p>
    <w:p>
      <w:pPr>
        <w:spacing w:before="133"/>
        <w:ind w:left="1540" w:right="0" w:firstLine="0"/>
        <w:jc w:val="left"/>
        <w:rPr>
          <w:sz w:val="18"/>
        </w:rPr>
      </w:pPr>
      <w:r>
        <w:rPr>
          <w:color w:val="636466"/>
          <w:spacing w:val="-10"/>
          <w:sz w:val="18"/>
        </w:rPr>
        <w:t>4</w:t>
      </w:r>
    </w:p>
    <w:p>
      <w:pPr>
        <w:spacing w:before="133"/>
        <w:ind w:left="1540" w:right="0" w:firstLine="0"/>
        <w:jc w:val="left"/>
        <w:rPr>
          <w:sz w:val="18"/>
        </w:rPr>
      </w:pPr>
      <w:r>
        <w:rPr>
          <w:color w:val="636466"/>
          <w:spacing w:val="-10"/>
          <w:sz w:val="18"/>
        </w:rPr>
        <w:t>3</w:t>
      </w:r>
    </w:p>
    <w:p>
      <w:pPr>
        <w:spacing w:before="133"/>
        <w:ind w:left="1540" w:right="0" w:firstLine="0"/>
        <w:jc w:val="left"/>
        <w:rPr>
          <w:sz w:val="18"/>
        </w:rPr>
      </w:pPr>
      <w:r>
        <w:rPr>
          <w:color w:val="636466"/>
          <w:spacing w:val="-10"/>
          <w:sz w:val="18"/>
        </w:rPr>
        <w:t>2</w:t>
      </w:r>
    </w:p>
    <w:p>
      <w:pPr>
        <w:spacing w:before="133"/>
        <w:ind w:left="1540" w:right="0" w:firstLine="0"/>
        <w:jc w:val="left"/>
        <w:rPr>
          <w:sz w:val="18"/>
        </w:rPr>
      </w:pPr>
      <w:r>
        <w:rPr>
          <w:color w:val="636466"/>
          <w:spacing w:val="-10"/>
          <w:sz w:val="18"/>
        </w:rPr>
        <w:t>1</w:t>
      </w:r>
    </w:p>
    <w:p>
      <w:pPr>
        <w:spacing w:before="110"/>
        <w:ind w:left="1540" w:right="0" w:firstLine="0"/>
        <w:jc w:val="left"/>
        <w:rPr>
          <w:sz w:val="18"/>
        </w:rPr>
      </w:pPr>
      <w:r>
        <w:rPr>
          <w:color w:val="636466"/>
          <w:spacing w:val="-10"/>
          <w:sz w:val="18"/>
        </w:rPr>
        <w:t>0</w:t>
      </w:r>
    </w:p>
    <w:p>
      <w:pPr>
        <w:tabs>
          <w:tab w:pos="2976" w:val="left" w:leader="none"/>
          <w:tab w:pos="4248" w:val="left" w:leader="none"/>
          <w:tab w:pos="5314" w:val="left" w:leader="none"/>
          <w:tab w:pos="6519" w:val="left" w:leader="none"/>
          <w:tab w:pos="7596" w:val="left" w:leader="none"/>
          <w:tab w:pos="8803" w:val="left" w:leader="none"/>
          <w:tab w:pos="10003" w:val="left" w:leader="none"/>
        </w:tabs>
        <w:spacing w:before="89"/>
        <w:ind w:left="1879" w:right="0" w:firstLine="0"/>
        <w:jc w:val="left"/>
        <w:rPr>
          <w:sz w:val="18"/>
        </w:rPr>
      </w:pPr>
      <w:r>
        <w:rPr>
          <w:color w:val="636466"/>
          <w:spacing w:val="-2"/>
          <w:sz w:val="18"/>
        </w:rPr>
        <w:t>Chemung</w:t>
      </w:r>
      <w:r>
        <w:rPr>
          <w:color w:val="636466"/>
          <w:sz w:val="18"/>
        </w:rPr>
        <w:tab/>
      </w:r>
      <w:r>
        <w:rPr>
          <w:color w:val="636466"/>
          <w:spacing w:val="-2"/>
          <w:sz w:val="18"/>
        </w:rPr>
        <w:t>Livingston</w:t>
      </w:r>
      <w:r>
        <w:rPr>
          <w:color w:val="636466"/>
          <w:sz w:val="18"/>
        </w:rPr>
        <w:tab/>
      </w:r>
      <w:r>
        <w:rPr>
          <w:color w:val="636466"/>
          <w:spacing w:val="-2"/>
          <w:sz w:val="18"/>
        </w:rPr>
        <w:t>Ontario</w:t>
      </w:r>
      <w:r>
        <w:rPr>
          <w:color w:val="636466"/>
          <w:sz w:val="18"/>
        </w:rPr>
        <w:tab/>
      </w:r>
      <w:r>
        <w:rPr>
          <w:color w:val="636466"/>
          <w:spacing w:val="-2"/>
          <w:sz w:val="18"/>
        </w:rPr>
        <w:t>Schuyler</w:t>
      </w:r>
      <w:r>
        <w:rPr>
          <w:color w:val="636466"/>
          <w:sz w:val="18"/>
        </w:rPr>
        <w:tab/>
      </w:r>
      <w:r>
        <w:rPr>
          <w:color w:val="636466"/>
          <w:spacing w:val="-2"/>
          <w:sz w:val="18"/>
        </w:rPr>
        <w:t>Seneca</w:t>
      </w:r>
      <w:r>
        <w:rPr>
          <w:color w:val="636466"/>
          <w:sz w:val="18"/>
        </w:rPr>
        <w:tab/>
      </w:r>
      <w:r>
        <w:rPr>
          <w:color w:val="636466"/>
          <w:spacing w:val="-2"/>
          <w:sz w:val="18"/>
        </w:rPr>
        <w:t>Steuben</w:t>
      </w:r>
      <w:r>
        <w:rPr>
          <w:color w:val="636466"/>
          <w:sz w:val="18"/>
        </w:rPr>
        <w:tab/>
      </w:r>
      <w:r>
        <w:rPr>
          <w:color w:val="636466"/>
          <w:spacing w:val="-2"/>
          <w:sz w:val="18"/>
        </w:rPr>
        <w:t>Wayne</w:t>
      </w:r>
      <w:r>
        <w:rPr>
          <w:color w:val="636466"/>
          <w:sz w:val="18"/>
        </w:rPr>
        <w:tab/>
      </w:r>
      <w:r>
        <w:rPr>
          <w:color w:val="636466"/>
          <w:spacing w:val="-2"/>
          <w:sz w:val="18"/>
        </w:rPr>
        <w:t>Yates</w:t>
      </w:r>
    </w:p>
    <w:p>
      <w:pPr>
        <w:spacing w:after="0"/>
        <w:jc w:val="left"/>
        <w:rPr>
          <w:sz w:val="18"/>
        </w:rPr>
        <w:sectPr>
          <w:type w:val="continuous"/>
          <w:pgSz w:w="24480" w:h="15840" w:orient="landscape"/>
          <w:pgMar w:header="0" w:footer="0" w:top="0" w:bottom="280" w:left="0" w:right="720"/>
          <w:cols w:num="2" w:equalWidth="0">
            <w:col w:w="11001" w:space="1253"/>
            <w:col w:w="11506"/>
          </w:cols>
        </w:sectPr>
      </w:pPr>
    </w:p>
    <w:p>
      <w:pPr>
        <w:spacing w:before="96"/>
        <w:ind w:left="1520" w:right="0" w:firstLine="0"/>
        <w:jc w:val="left"/>
        <w:rPr>
          <w:sz w:val="18"/>
        </w:rPr>
      </w:pPr>
      <w:r>
        <w:rPr>
          <w:color w:val="636466"/>
          <w:spacing w:val="-5"/>
          <w:sz w:val="18"/>
        </w:rPr>
        <w:t>0%</w:t>
      </w:r>
    </w:p>
    <w:p>
      <w:pPr>
        <w:tabs>
          <w:tab w:pos="3148" w:val="left" w:leader="none"/>
          <w:tab w:pos="4360" w:val="left" w:leader="none"/>
          <w:tab w:pos="5411" w:val="left" w:leader="none"/>
          <w:tab w:pos="6571" w:val="left" w:leader="none"/>
          <w:tab w:pos="7631" w:val="left" w:leader="none"/>
          <w:tab w:pos="8792" w:val="left" w:leader="none"/>
          <w:tab w:pos="9949" w:val="left" w:leader="none"/>
        </w:tabs>
        <w:spacing w:before="13"/>
        <w:ind w:left="2072" w:right="0" w:firstLine="0"/>
        <w:jc w:val="left"/>
        <w:rPr>
          <w:sz w:val="18"/>
        </w:rPr>
      </w:pPr>
      <w:r>
        <w:rPr>
          <w:color w:val="636466"/>
          <w:spacing w:val="-2"/>
          <w:sz w:val="18"/>
        </w:rPr>
        <w:t>Chemung</w:t>
      </w:r>
      <w:r>
        <w:rPr>
          <w:color w:val="636466"/>
          <w:sz w:val="18"/>
        </w:rPr>
        <w:tab/>
      </w:r>
      <w:r>
        <w:rPr>
          <w:color w:val="636466"/>
          <w:spacing w:val="-2"/>
          <w:sz w:val="18"/>
        </w:rPr>
        <w:t>Livingston</w:t>
      </w:r>
      <w:r>
        <w:rPr>
          <w:color w:val="636466"/>
          <w:sz w:val="18"/>
        </w:rPr>
        <w:tab/>
      </w:r>
      <w:r>
        <w:rPr>
          <w:color w:val="636466"/>
          <w:spacing w:val="-2"/>
          <w:sz w:val="18"/>
        </w:rPr>
        <w:t>Ontario</w:t>
      </w:r>
      <w:r>
        <w:rPr>
          <w:color w:val="636466"/>
          <w:sz w:val="18"/>
        </w:rPr>
        <w:tab/>
      </w:r>
      <w:r>
        <w:rPr>
          <w:color w:val="636466"/>
          <w:spacing w:val="-2"/>
          <w:sz w:val="18"/>
        </w:rPr>
        <w:t>Schuyler</w:t>
      </w:r>
      <w:r>
        <w:rPr>
          <w:color w:val="636466"/>
          <w:sz w:val="18"/>
        </w:rPr>
        <w:tab/>
      </w:r>
      <w:r>
        <w:rPr>
          <w:color w:val="636466"/>
          <w:spacing w:val="-2"/>
          <w:sz w:val="18"/>
        </w:rPr>
        <w:t>Seneca</w:t>
      </w:r>
      <w:r>
        <w:rPr>
          <w:color w:val="636466"/>
          <w:sz w:val="18"/>
        </w:rPr>
        <w:tab/>
      </w:r>
      <w:r>
        <w:rPr>
          <w:color w:val="636466"/>
          <w:spacing w:val="-2"/>
          <w:sz w:val="18"/>
        </w:rPr>
        <w:t>Steuben</w:t>
      </w:r>
      <w:r>
        <w:rPr>
          <w:color w:val="636466"/>
          <w:sz w:val="18"/>
        </w:rPr>
        <w:tab/>
      </w:r>
      <w:r>
        <w:rPr>
          <w:color w:val="636466"/>
          <w:spacing w:val="-2"/>
          <w:sz w:val="18"/>
        </w:rPr>
        <w:t>Wayne</w:t>
      </w:r>
      <w:r>
        <w:rPr>
          <w:color w:val="636466"/>
          <w:sz w:val="18"/>
        </w:rPr>
        <w:tab/>
      </w:r>
      <w:r>
        <w:rPr>
          <w:color w:val="636466"/>
          <w:spacing w:val="-4"/>
          <w:sz w:val="18"/>
        </w:rPr>
        <w:t>Yates</w:t>
      </w:r>
    </w:p>
    <w:p>
      <w:pPr>
        <w:pStyle w:val="BodyText"/>
        <w:spacing w:before="101"/>
        <w:rPr>
          <w:sz w:val="16"/>
        </w:rPr>
      </w:pPr>
      <w:r>
        <w:rPr/>
        <w:br w:type="column"/>
      </w:r>
      <w:r>
        <w:rPr>
          <w:sz w:val="16"/>
        </w:rPr>
      </w:r>
    </w:p>
    <w:p>
      <w:pPr>
        <w:spacing w:before="0"/>
        <w:ind w:left="1520" w:right="0" w:firstLine="0"/>
        <w:jc w:val="left"/>
        <w:rPr>
          <w:sz w:val="16"/>
        </w:rPr>
      </w:pPr>
      <w:r>
        <w:rPr>
          <w:color w:val="105C84"/>
          <w:spacing w:val="-4"/>
          <w:sz w:val="16"/>
        </w:rPr>
        <w:t>Source:</w:t>
      </w:r>
      <w:r>
        <w:rPr>
          <w:color w:val="105C84"/>
          <w:spacing w:val="3"/>
          <w:sz w:val="16"/>
        </w:rPr>
        <w:t> </w:t>
      </w:r>
      <w:r>
        <w:rPr>
          <w:color w:val="105C84"/>
          <w:spacing w:val="-4"/>
          <w:sz w:val="16"/>
        </w:rPr>
        <w:t>U.S.</w:t>
      </w:r>
      <w:r>
        <w:rPr>
          <w:color w:val="105C84"/>
          <w:spacing w:val="4"/>
          <w:sz w:val="16"/>
        </w:rPr>
        <w:t> </w:t>
      </w:r>
      <w:r>
        <w:rPr>
          <w:color w:val="105C84"/>
          <w:spacing w:val="-4"/>
          <w:sz w:val="16"/>
        </w:rPr>
        <w:t>Census</w:t>
      </w:r>
      <w:r>
        <w:rPr>
          <w:color w:val="105C84"/>
          <w:spacing w:val="4"/>
          <w:sz w:val="16"/>
        </w:rPr>
        <w:t> </w:t>
      </w:r>
      <w:r>
        <w:rPr>
          <w:color w:val="105C84"/>
          <w:spacing w:val="-4"/>
          <w:sz w:val="16"/>
        </w:rPr>
        <w:t>Bureau</w:t>
      </w:r>
      <w:r>
        <w:rPr>
          <w:color w:val="105C84"/>
          <w:spacing w:val="3"/>
          <w:sz w:val="16"/>
        </w:rPr>
        <w:t> </w:t>
      </w:r>
      <w:r>
        <w:rPr>
          <w:color w:val="105C84"/>
          <w:spacing w:val="-4"/>
          <w:sz w:val="16"/>
        </w:rPr>
        <w:t>American</w:t>
      </w:r>
      <w:r>
        <w:rPr>
          <w:color w:val="105C84"/>
          <w:spacing w:val="4"/>
          <w:sz w:val="16"/>
        </w:rPr>
        <w:t> </w:t>
      </w:r>
      <w:r>
        <w:rPr>
          <w:color w:val="105C84"/>
          <w:spacing w:val="-4"/>
          <w:sz w:val="16"/>
        </w:rPr>
        <w:t>Community</w:t>
      </w:r>
      <w:r>
        <w:rPr>
          <w:color w:val="105C84"/>
          <w:spacing w:val="4"/>
          <w:sz w:val="16"/>
        </w:rPr>
        <w:t> </w:t>
      </w:r>
      <w:r>
        <w:rPr>
          <w:color w:val="105C84"/>
          <w:spacing w:val="-4"/>
          <w:sz w:val="16"/>
        </w:rPr>
        <w:t>Survey</w:t>
      </w:r>
      <w:r>
        <w:rPr>
          <w:color w:val="105C84"/>
          <w:spacing w:val="4"/>
          <w:sz w:val="16"/>
        </w:rPr>
        <w:t> </w:t>
      </w:r>
      <w:r>
        <w:rPr>
          <w:color w:val="105C84"/>
          <w:spacing w:val="-4"/>
          <w:sz w:val="16"/>
        </w:rPr>
        <w:t>2013-2017</w:t>
      </w:r>
    </w:p>
    <w:p>
      <w:pPr>
        <w:spacing w:after="0"/>
        <w:jc w:val="left"/>
        <w:rPr>
          <w:sz w:val="16"/>
        </w:rPr>
        <w:sectPr>
          <w:type w:val="continuous"/>
          <w:pgSz w:w="24480" w:h="15840" w:orient="landscape"/>
          <w:pgMar w:header="0" w:footer="0" w:top="0" w:bottom="280" w:left="0" w:right="720"/>
          <w:cols w:num="2" w:equalWidth="0">
            <w:col w:w="10407" w:space="2239"/>
            <w:col w:w="11114"/>
          </w:cols>
        </w:sectPr>
      </w:pPr>
    </w:p>
    <w:p>
      <w:pPr>
        <w:pStyle w:val="BodyText"/>
        <w:spacing w:before="4"/>
        <w:rPr>
          <w:sz w:val="17"/>
        </w:rPr>
      </w:pPr>
    </w:p>
    <w:p>
      <w:pPr>
        <w:pStyle w:val="BodyText"/>
        <w:spacing w:after="0"/>
        <w:rPr>
          <w:sz w:val="17"/>
        </w:rPr>
        <w:sectPr>
          <w:type w:val="continuous"/>
          <w:pgSz w:w="24480" w:h="15840" w:orient="landscape"/>
          <w:pgMar w:header="0" w:footer="0" w:top="0" w:bottom="280" w:left="0" w:right="720"/>
        </w:sectPr>
      </w:pPr>
    </w:p>
    <w:p>
      <w:pPr>
        <w:spacing w:line="235" w:lineRule="auto" w:before="113"/>
        <w:ind w:left="2031" w:right="20" w:firstLine="0"/>
        <w:jc w:val="left"/>
        <w:rPr>
          <w:sz w:val="16"/>
        </w:rPr>
      </w:pPr>
      <w:r>
        <w:rPr>
          <w:color w:val="105C84"/>
          <w:spacing w:val="-2"/>
          <w:sz w:val="16"/>
        </w:rPr>
        <w:t>Source: Division of Chronic Disease and Injury Prevention, Bureau of Chronic Evaluation and Research, New York </w:t>
      </w:r>
      <w:r>
        <w:rPr>
          <w:color w:val="105C84"/>
          <w:spacing w:val="-2"/>
          <w:sz w:val="16"/>
        </w:rPr>
        <w:t>State </w:t>
      </w:r>
      <w:r>
        <w:rPr>
          <w:color w:val="105C84"/>
          <w:sz w:val="16"/>
        </w:rPr>
        <w:t>Department</w:t>
      </w:r>
      <w:r>
        <w:rPr>
          <w:color w:val="105C84"/>
          <w:spacing w:val="-1"/>
          <w:sz w:val="16"/>
        </w:rPr>
        <w:t> </w:t>
      </w:r>
      <w:r>
        <w:rPr>
          <w:color w:val="105C84"/>
          <w:sz w:val="16"/>
        </w:rPr>
        <w:t>of</w:t>
      </w:r>
      <w:r>
        <w:rPr>
          <w:color w:val="105C84"/>
          <w:spacing w:val="-1"/>
          <w:sz w:val="16"/>
        </w:rPr>
        <w:t> </w:t>
      </w:r>
      <w:r>
        <w:rPr>
          <w:color w:val="105C84"/>
          <w:sz w:val="16"/>
        </w:rPr>
        <w:t>Health,</w:t>
      </w:r>
      <w:r>
        <w:rPr>
          <w:color w:val="105C84"/>
          <w:spacing w:val="-1"/>
          <w:sz w:val="16"/>
        </w:rPr>
        <w:t> </w:t>
      </w:r>
      <w:r>
        <w:rPr>
          <w:color w:val="105C84"/>
          <w:sz w:val="16"/>
        </w:rPr>
        <w:t>Behavioral</w:t>
      </w:r>
      <w:r>
        <w:rPr>
          <w:color w:val="105C84"/>
          <w:spacing w:val="-1"/>
          <w:sz w:val="16"/>
        </w:rPr>
        <w:t> </w:t>
      </w:r>
      <w:r>
        <w:rPr>
          <w:color w:val="105C84"/>
          <w:sz w:val="16"/>
        </w:rPr>
        <w:t>Risk</w:t>
      </w:r>
      <w:r>
        <w:rPr>
          <w:color w:val="105C84"/>
          <w:spacing w:val="-1"/>
          <w:sz w:val="16"/>
        </w:rPr>
        <w:t> </w:t>
      </w:r>
      <w:r>
        <w:rPr>
          <w:color w:val="105C84"/>
          <w:sz w:val="16"/>
        </w:rPr>
        <w:t>Factor</w:t>
      </w:r>
      <w:r>
        <w:rPr>
          <w:color w:val="105C84"/>
          <w:spacing w:val="-1"/>
          <w:sz w:val="16"/>
        </w:rPr>
        <w:t> </w:t>
      </w:r>
      <w:r>
        <w:rPr>
          <w:color w:val="105C84"/>
          <w:sz w:val="16"/>
        </w:rPr>
        <w:t>Surveillance</w:t>
      </w:r>
      <w:r>
        <w:rPr>
          <w:color w:val="105C84"/>
          <w:spacing w:val="-1"/>
          <w:sz w:val="16"/>
        </w:rPr>
        <w:t> </w:t>
      </w:r>
      <w:r>
        <w:rPr>
          <w:color w:val="105C84"/>
          <w:sz w:val="16"/>
        </w:rPr>
        <w:t>System,</w:t>
      </w:r>
      <w:r>
        <w:rPr>
          <w:color w:val="105C84"/>
          <w:spacing w:val="-1"/>
          <w:sz w:val="16"/>
        </w:rPr>
        <w:t> </w:t>
      </w:r>
      <w:r>
        <w:rPr>
          <w:color w:val="105C84"/>
          <w:sz w:val="16"/>
        </w:rPr>
        <w:t>Year</w:t>
      </w:r>
      <w:r>
        <w:rPr>
          <w:color w:val="105C84"/>
          <w:spacing w:val="-1"/>
          <w:sz w:val="16"/>
        </w:rPr>
        <w:t> </w:t>
      </w:r>
      <w:r>
        <w:rPr>
          <w:color w:val="105C84"/>
          <w:sz w:val="16"/>
        </w:rPr>
        <w:t>2016.</w:t>
      </w:r>
    </w:p>
    <w:p>
      <w:pPr>
        <w:pStyle w:val="BodyText"/>
        <w:rPr>
          <w:sz w:val="16"/>
        </w:rPr>
      </w:pPr>
    </w:p>
    <w:p>
      <w:pPr>
        <w:pStyle w:val="BodyText"/>
        <w:rPr>
          <w:sz w:val="16"/>
        </w:rPr>
      </w:pPr>
    </w:p>
    <w:p>
      <w:pPr>
        <w:pStyle w:val="BodyText"/>
        <w:spacing w:before="112"/>
        <w:rPr>
          <w:sz w:val="16"/>
        </w:rPr>
      </w:pPr>
    </w:p>
    <w:p>
      <w:pPr>
        <w:pStyle w:val="Heading6"/>
        <w:ind w:left="1065"/>
      </w:pPr>
      <w:r>
        <w:rPr>
          <w:color w:val="105C84"/>
          <w:spacing w:val="-7"/>
        </w:rPr>
        <w:t>Household</w:t>
      </w:r>
      <w:r>
        <w:rPr>
          <w:color w:val="105C84"/>
          <w:spacing w:val="-3"/>
        </w:rPr>
        <w:t> </w:t>
      </w:r>
      <w:r>
        <w:rPr>
          <w:color w:val="105C84"/>
          <w:spacing w:val="-2"/>
        </w:rPr>
        <w:t>Language</w:t>
      </w:r>
    </w:p>
    <w:p>
      <w:pPr>
        <w:pStyle w:val="BodyText"/>
        <w:spacing w:line="247" w:lineRule="auto" w:before="269"/>
        <w:ind w:left="1065" w:right="20"/>
        <w:rPr>
          <w:position w:val="7"/>
          <w:sz w:val="13"/>
        </w:rPr>
      </w:pPr>
      <w:r>
        <w:rPr>
          <w:color w:val="105C84"/>
        </w:rPr>
        <w:t>Providers of all types (medical, social service, etc.) should be aware of language and cultural differences when working with patients/clients. Being respectful of a person’s cultural practices is important to building a trusting and positive relationship. A system where healthcare providers are</w:t>
      </w:r>
      <w:r>
        <w:rPr>
          <w:color w:val="105C84"/>
          <w:spacing w:val="80"/>
        </w:rPr>
        <w:t> </w:t>
      </w:r>
      <w:r>
        <w:rPr>
          <w:color w:val="105C84"/>
        </w:rPr>
        <w:t>culturally responsive can help improve patient health outcomes and quality of care. In addition, it can</w:t>
      </w:r>
      <w:r>
        <w:rPr>
          <w:color w:val="105C84"/>
          <w:spacing w:val="40"/>
        </w:rPr>
        <w:t> </w:t>
      </w:r>
      <w:r>
        <w:rPr>
          <w:color w:val="105C84"/>
        </w:rPr>
        <w:t>help to eliminate racial and ethnic disparities in outcomes.</w:t>
      </w:r>
      <w:r>
        <w:rPr>
          <w:color w:val="105C84"/>
          <w:position w:val="7"/>
          <w:sz w:val="13"/>
        </w:rPr>
        <w:t>4</w:t>
      </w:r>
    </w:p>
    <w:p>
      <w:pPr>
        <w:pStyle w:val="BodyText"/>
        <w:spacing w:line="247" w:lineRule="auto" w:before="177"/>
        <w:ind w:left="1065" w:right="20"/>
      </w:pPr>
      <w:r>
        <w:rPr>
          <w:color w:val="105C84"/>
        </w:rPr>
        <w:t>The majority of residents in the eight county region speak English. A small percentage speak limited</w:t>
      </w:r>
      <w:r>
        <w:rPr>
          <w:color w:val="105C84"/>
          <w:spacing w:val="40"/>
        </w:rPr>
        <w:t> </w:t>
      </w:r>
      <w:r>
        <w:rPr>
          <w:color w:val="105C84"/>
        </w:rPr>
        <w:t>English (&lt;1.5% of total population per county). Other popular languages spoken in the home include</w:t>
      </w:r>
      <w:r>
        <w:rPr>
          <w:color w:val="105C84"/>
          <w:spacing w:val="80"/>
        </w:rPr>
        <w:t> </w:t>
      </w:r>
      <w:r>
        <w:rPr>
          <w:color w:val="105C84"/>
        </w:rPr>
        <w:t>Spanish, Asian and Pacific Island languages, and other Indo-European languages. Figure 2 shows the percent of each county’s residents who speak a language other than English.</w:t>
      </w:r>
    </w:p>
    <w:p>
      <w:pPr>
        <w:pStyle w:val="Heading6"/>
        <w:spacing w:before="268"/>
        <w:ind w:left="1065"/>
      </w:pPr>
      <w:r>
        <w:rPr>
          <w:b w:val="0"/>
        </w:rPr>
        <w:br w:type="column"/>
      </w:r>
      <w:r>
        <w:rPr>
          <w:color w:val="105C84"/>
          <w:spacing w:val="-11"/>
        </w:rPr>
        <w:t>Special</w:t>
      </w:r>
      <w:r>
        <w:rPr>
          <w:color w:val="105C84"/>
          <w:spacing w:val="3"/>
        </w:rPr>
        <w:t> </w:t>
      </w:r>
      <w:r>
        <w:rPr>
          <w:color w:val="105C84"/>
          <w:spacing w:val="-2"/>
        </w:rPr>
        <w:t>Populations</w:t>
      </w:r>
    </w:p>
    <w:p>
      <w:pPr>
        <w:pStyle w:val="BodyText"/>
        <w:spacing w:line="247" w:lineRule="auto" w:before="268"/>
        <w:ind w:left="1065" w:right="575"/>
      </w:pPr>
      <w:r>
        <w:rPr>
          <w:color w:val="105C84"/>
        </w:rPr>
        <w:t>Finding accurate and up-to-date data on Amish and Mennonite populations is a challenge. This</w:t>
      </w:r>
      <w:r>
        <w:rPr>
          <w:color w:val="105C84"/>
          <w:spacing w:val="40"/>
        </w:rPr>
        <w:t> </w:t>
      </w:r>
      <w:r>
        <w:rPr>
          <w:color w:val="105C84"/>
        </w:rPr>
        <w:t>population often does not respond to surveys such as those conducted by the U.S. Census Bureau. Local churches, however, collect information on their members and may share this information with public health officials. The Groffdale Conference Mennonites (Old Order Mennonites), for instance,</w:t>
      </w:r>
      <w:r>
        <w:rPr>
          <w:color w:val="105C84"/>
          <w:spacing w:val="40"/>
        </w:rPr>
        <w:t> </w:t>
      </w:r>
      <w:r>
        <w:rPr>
          <w:color w:val="105C84"/>
        </w:rPr>
        <w:t>releases an annual map of its congregation. Groffdale Conference Mennonite families span the area between Canandaigua and Seneca Lakes (Yates County), and from Geneva (Ontario County) all the way down to Reading, NY (Schuyler County). The church reports a total of 697 Groffdale Conference Mennonite households throughout Yates, Ontario, Schuyler and Steuben Counties; the majority</w:t>
      </w:r>
    </w:p>
    <w:p>
      <w:pPr>
        <w:pStyle w:val="BodyText"/>
        <w:spacing w:line="247" w:lineRule="auto"/>
        <w:ind w:left="1065" w:right="713"/>
        <w:jc w:val="both"/>
      </w:pPr>
      <w:r>
        <w:rPr>
          <w:color w:val="105C84"/>
        </w:rPr>
        <w:t>of which reside in Yates County.</w:t>
      </w:r>
      <w:r>
        <w:rPr>
          <w:color w:val="105C84"/>
          <w:position w:val="7"/>
          <w:sz w:val="13"/>
        </w:rPr>
        <w:t>5</w:t>
      </w:r>
      <w:r>
        <w:rPr>
          <w:color w:val="105C84"/>
          <w:spacing w:val="35"/>
          <w:position w:val="7"/>
          <w:sz w:val="13"/>
        </w:rPr>
        <w:t> </w:t>
      </w:r>
      <w:r>
        <w:rPr>
          <w:color w:val="105C84"/>
        </w:rPr>
        <w:t>Important to note, however, is that these data do not include the Crystal Valley Mennonite and Horning Order groups- two additional sizeable congregations which are found in the region.</w:t>
      </w:r>
    </w:p>
    <w:p>
      <w:pPr>
        <w:pStyle w:val="BodyText"/>
        <w:spacing w:line="247" w:lineRule="auto" w:before="174"/>
        <w:ind w:left="1065" w:right="654"/>
      </w:pPr>
      <w:r>
        <w:rPr>
          <w:color w:val="105C84"/>
        </w:rPr>
        <w:t>Cultural</w:t>
      </w:r>
      <w:r>
        <w:rPr>
          <w:color w:val="105C84"/>
          <w:spacing w:val="29"/>
        </w:rPr>
        <w:t> </w:t>
      </w:r>
      <w:r>
        <w:rPr>
          <w:color w:val="105C84"/>
        </w:rPr>
        <w:t>practices</w:t>
      </w:r>
      <w:r>
        <w:rPr>
          <w:color w:val="105C84"/>
          <w:spacing w:val="29"/>
        </w:rPr>
        <w:t> </w:t>
      </w:r>
      <w:r>
        <w:rPr>
          <w:color w:val="105C84"/>
        </w:rPr>
        <w:t>of</w:t>
      </w:r>
      <w:r>
        <w:rPr>
          <w:color w:val="105C84"/>
          <w:spacing w:val="29"/>
        </w:rPr>
        <w:t> </w:t>
      </w:r>
      <w:r>
        <w:rPr>
          <w:color w:val="105C84"/>
        </w:rPr>
        <w:t>Amish</w:t>
      </w:r>
      <w:r>
        <w:rPr>
          <w:color w:val="105C84"/>
          <w:spacing w:val="29"/>
        </w:rPr>
        <w:t> </w:t>
      </w:r>
      <w:r>
        <w:rPr>
          <w:color w:val="105C84"/>
        </w:rPr>
        <w:t>and</w:t>
      </w:r>
      <w:r>
        <w:rPr>
          <w:color w:val="105C84"/>
          <w:spacing w:val="29"/>
        </w:rPr>
        <w:t> </w:t>
      </w:r>
      <w:r>
        <w:rPr>
          <w:color w:val="105C84"/>
        </w:rPr>
        <w:t>Mennonites</w:t>
      </w:r>
      <w:r>
        <w:rPr>
          <w:color w:val="105C84"/>
          <w:spacing w:val="29"/>
        </w:rPr>
        <w:t> </w:t>
      </w:r>
      <w:r>
        <w:rPr>
          <w:color w:val="105C84"/>
        </w:rPr>
        <w:t>must</w:t>
      </w:r>
      <w:r>
        <w:rPr>
          <w:color w:val="105C84"/>
          <w:spacing w:val="29"/>
        </w:rPr>
        <w:t> </w:t>
      </w:r>
      <w:r>
        <w:rPr>
          <w:color w:val="105C84"/>
        </w:rPr>
        <w:t>be</w:t>
      </w:r>
      <w:r>
        <w:rPr>
          <w:color w:val="105C84"/>
          <w:spacing w:val="29"/>
        </w:rPr>
        <w:t> </w:t>
      </w:r>
      <w:r>
        <w:rPr>
          <w:color w:val="105C84"/>
        </w:rPr>
        <w:t>considered</w:t>
      </w:r>
      <w:r>
        <w:rPr>
          <w:color w:val="105C84"/>
          <w:spacing w:val="29"/>
        </w:rPr>
        <w:t> </w:t>
      </w:r>
      <w:r>
        <w:rPr>
          <w:color w:val="105C84"/>
        </w:rPr>
        <w:t>when</w:t>
      </w:r>
      <w:r>
        <w:rPr>
          <w:color w:val="105C84"/>
          <w:spacing w:val="29"/>
        </w:rPr>
        <w:t> </w:t>
      </w:r>
      <w:r>
        <w:rPr>
          <w:color w:val="105C84"/>
        </w:rPr>
        <w:t>reviewing</w:t>
      </w:r>
      <w:r>
        <w:rPr>
          <w:color w:val="105C84"/>
          <w:spacing w:val="29"/>
        </w:rPr>
        <w:t> </w:t>
      </w:r>
      <w:r>
        <w:rPr>
          <w:color w:val="105C84"/>
        </w:rPr>
        <w:t>data</w:t>
      </w:r>
      <w:r>
        <w:rPr>
          <w:color w:val="105C84"/>
          <w:spacing w:val="29"/>
        </w:rPr>
        <w:t> </w:t>
      </w:r>
      <w:r>
        <w:rPr>
          <w:color w:val="105C84"/>
        </w:rPr>
        <w:t>and planning</w:t>
      </w:r>
      <w:r>
        <w:rPr>
          <w:color w:val="105C84"/>
          <w:spacing w:val="29"/>
        </w:rPr>
        <w:t> </w:t>
      </w:r>
      <w:r>
        <w:rPr>
          <w:color w:val="105C84"/>
        </w:rPr>
        <w:t>health</w:t>
      </w:r>
      <w:r>
        <w:rPr>
          <w:color w:val="105C84"/>
          <w:spacing w:val="29"/>
        </w:rPr>
        <w:t> </w:t>
      </w:r>
      <w:r>
        <w:rPr>
          <w:color w:val="105C84"/>
        </w:rPr>
        <w:t>initiatives.</w:t>
      </w:r>
      <w:r>
        <w:rPr>
          <w:color w:val="105C84"/>
          <w:spacing w:val="29"/>
        </w:rPr>
        <w:t> </w:t>
      </w:r>
      <w:r>
        <w:rPr>
          <w:color w:val="105C84"/>
        </w:rPr>
        <w:t>It</w:t>
      </w:r>
      <w:r>
        <w:rPr>
          <w:color w:val="105C84"/>
          <w:spacing w:val="29"/>
        </w:rPr>
        <w:t> </w:t>
      </w:r>
      <w:r>
        <w:rPr>
          <w:color w:val="105C84"/>
        </w:rPr>
        <w:t>is</w:t>
      </w:r>
      <w:r>
        <w:rPr>
          <w:color w:val="105C84"/>
          <w:spacing w:val="29"/>
        </w:rPr>
        <w:t> </w:t>
      </w:r>
      <w:r>
        <w:rPr>
          <w:color w:val="105C84"/>
        </w:rPr>
        <w:t>customary</w:t>
      </w:r>
      <w:r>
        <w:rPr>
          <w:color w:val="105C84"/>
          <w:spacing w:val="29"/>
        </w:rPr>
        <w:t> </w:t>
      </w:r>
      <w:r>
        <w:rPr>
          <w:color w:val="105C84"/>
        </w:rPr>
        <w:t>in</w:t>
      </w:r>
      <w:r>
        <w:rPr>
          <w:color w:val="105C84"/>
          <w:spacing w:val="29"/>
        </w:rPr>
        <w:t> </w:t>
      </w:r>
      <w:r>
        <w:rPr>
          <w:color w:val="105C84"/>
        </w:rPr>
        <w:t>Amish</w:t>
      </w:r>
      <w:r>
        <w:rPr>
          <w:color w:val="105C84"/>
          <w:spacing w:val="29"/>
        </w:rPr>
        <w:t> </w:t>
      </w:r>
      <w:r>
        <w:rPr>
          <w:color w:val="105C84"/>
        </w:rPr>
        <w:t>and</w:t>
      </w:r>
      <w:r>
        <w:rPr>
          <w:color w:val="105C84"/>
          <w:spacing w:val="29"/>
        </w:rPr>
        <w:t> </w:t>
      </w:r>
      <w:r>
        <w:rPr>
          <w:color w:val="105C84"/>
        </w:rPr>
        <w:t>Mennonite</w:t>
      </w:r>
      <w:r>
        <w:rPr>
          <w:color w:val="105C84"/>
          <w:spacing w:val="29"/>
        </w:rPr>
        <w:t> </w:t>
      </w:r>
      <w:r>
        <w:rPr>
          <w:color w:val="105C84"/>
        </w:rPr>
        <w:t>cultures</w:t>
      </w:r>
      <w:r>
        <w:rPr>
          <w:color w:val="105C84"/>
          <w:spacing w:val="29"/>
        </w:rPr>
        <w:t> </w:t>
      </w:r>
      <w:r>
        <w:rPr>
          <w:color w:val="105C84"/>
        </w:rPr>
        <w:t>to</w:t>
      </w:r>
      <w:r>
        <w:rPr>
          <w:color w:val="105C84"/>
          <w:spacing w:val="29"/>
        </w:rPr>
        <w:t> </w:t>
      </w:r>
      <w:r>
        <w:rPr>
          <w:color w:val="105C84"/>
        </w:rPr>
        <w:t>practice</w:t>
      </w:r>
      <w:r>
        <w:rPr>
          <w:color w:val="105C84"/>
          <w:spacing w:val="29"/>
        </w:rPr>
        <w:t> </w:t>
      </w:r>
      <w:r>
        <w:rPr>
          <w:color w:val="105C84"/>
        </w:rPr>
        <w:t>natural</w:t>
      </w:r>
      <w:r>
        <w:rPr>
          <w:color w:val="105C84"/>
        </w:rPr>
        <w:t> and homeopathic medicine as opposed to traditional American medical care (family planning,</w:t>
      </w:r>
      <w:r>
        <w:rPr>
          <w:color w:val="105C84"/>
          <w:spacing w:val="80"/>
        </w:rPr>
        <w:t> </w:t>
      </w:r>
      <w:r>
        <w:rPr>
          <w:color w:val="105C84"/>
        </w:rPr>
        <w:t>preventative care visits, dental screenings, vaccinations, etc.). Late entrance into prenatal care and</w:t>
      </w:r>
    </w:p>
    <w:p>
      <w:pPr>
        <w:pStyle w:val="BodyText"/>
        <w:spacing w:line="247" w:lineRule="auto"/>
        <w:ind w:left="1065" w:right="575"/>
      </w:pPr>
      <w:r>
        <w:rPr>
          <w:color w:val="105C84"/>
        </w:rPr>
        <w:t>home births are common practices. Children attend school through eighth grade and learn farming</w:t>
      </w:r>
      <w:r>
        <w:rPr>
          <w:color w:val="105C84"/>
          <w:spacing w:val="80"/>
        </w:rPr>
        <w:t> </w:t>
      </w:r>
      <w:r>
        <w:rPr>
          <w:color w:val="105C84"/>
        </w:rPr>
        <w:t>and</w:t>
      </w:r>
      <w:r>
        <w:rPr>
          <w:color w:val="105C84"/>
          <w:spacing w:val="40"/>
        </w:rPr>
        <w:t> </w:t>
      </w:r>
      <w:r>
        <w:rPr>
          <w:color w:val="105C84"/>
        </w:rPr>
        <w:t>other</w:t>
      </w:r>
      <w:r>
        <w:rPr>
          <w:color w:val="105C84"/>
          <w:spacing w:val="40"/>
        </w:rPr>
        <w:t> </w:t>
      </w:r>
      <w:r>
        <w:rPr>
          <w:color w:val="105C84"/>
        </w:rPr>
        <w:t>trades</w:t>
      </w:r>
      <w:r>
        <w:rPr>
          <w:color w:val="105C84"/>
          <w:spacing w:val="40"/>
        </w:rPr>
        <w:t> </w:t>
      </w:r>
      <w:r>
        <w:rPr>
          <w:color w:val="105C84"/>
        </w:rPr>
        <w:t>throughout</w:t>
      </w:r>
      <w:r>
        <w:rPr>
          <w:color w:val="105C84"/>
          <w:spacing w:val="40"/>
        </w:rPr>
        <w:t> </w:t>
      </w:r>
      <w:r>
        <w:rPr>
          <w:color w:val="105C84"/>
        </w:rPr>
        <w:t>childhood</w:t>
      </w:r>
      <w:r>
        <w:rPr>
          <w:color w:val="105C84"/>
          <w:spacing w:val="40"/>
        </w:rPr>
        <w:t> </w:t>
      </w:r>
      <w:r>
        <w:rPr>
          <w:color w:val="105C84"/>
        </w:rPr>
        <w:t>and</w:t>
      </w:r>
      <w:r>
        <w:rPr>
          <w:color w:val="105C84"/>
          <w:spacing w:val="40"/>
        </w:rPr>
        <w:t> </w:t>
      </w:r>
      <w:r>
        <w:rPr>
          <w:color w:val="105C84"/>
        </w:rPr>
        <w:t>adolescence,</w:t>
      </w:r>
      <w:r>
        <w:rPr>
          <w:color w:val="105C84"/>
          <w:spacing w:val="40"/>
        </w:rPr>
        <w:t> </w:t>
      </w:r>
      <w:r>
        <w:rPr>
          <w:color w:val="105C84"/>
        </w:rPr>
        <w:t>creating</w:t>
      </w:r>
      <w:r>
        <w:rPr>
          <w:color w:val="105C84"/>
          <w:spacing w:val="40"/>
        </w:rPr>
        <w:t> </w:t>
      </w:r>
      <w:r>
        <w:rPr>
          <w:color w:val="105C84"/>
        </w:rPr>
        <w:t>potential</w:t>
      </w:r>
      <w:r>
        <w:rPr>
          <w:color w:val="105C84"/>
          <w:spacing w:val="40"/>
        </w:rPr>
        <w:t> </w:t>
      </w:r>
      <w:r>
        <w:rPr>
          <w:color w:val="105C84"/>
        </w:rPr>
        <w:t>for</w:t>
      </w:r>
      <w:r>
        <w:rPr>
          <w:color w:val="105C84"/>
          <w:spacing w:val="40"/>
        </w:rPr>
        <w:t> </w:t>
      </w:r>
      <w:r>
        <w:rPr>
          <w:color w:val="105C84"/>
        </w:rPr>
        <w:t>unintentional</w:t>
      </w:r>
      <w:r>
        <w:rPr>
          <w:color w:val="105C84"/>
          <w:spacing w:val="40"/>
        </w:rPr>
        <w:t> </w:t>
      </w:r>
      <w:r>
        <w:rPr>
          <w:color w:val="105C84"/>
        </w:rPr>
        <w:t>and farm-related injuries. Bikes and buggies (horse drawn) are common forms of transportation and, combined with speeding traffic on rural roads, can create the potential for road accidents. Health</w:t>
      </w:r>
      <w:r>
        <w:rPr>
          <w:color w:val="105C84"/>
          <w:spacing w:val="80"/>
        </w:rPr>
        <w:t> </w:t>
      </w:r>
      <w:r>
        <w:rPr>
          <w:color w:val="105C84"/>
        </w:rPr>
        <w:t>decision making is often based on the attitudes, beliefs and practices of church leadership. These factors, with the anticipated growth in this population, create unique challenges for Public Health</w:t>
      </w:r>
      <w:r>
        <w:rPr>
          <w:color w:val="105C84"/>
          <w:spacing w:val="80"/>
        </w:rPr>
        <w:t> </w:t>
      </w:r>
      <w:r>
        <w:rPr>
          <w:color w:val="105C84"/>
          <w:spacing w:val="-2"/>
        </w:rPr>
        <w:t>practitioners.</w:t>
      </w:r>
    </w:p>
    <w:p>
      <w:pPr>
        <w:pStyle w:val="BodyText"/>
        <w:spacing w:after="0" w:line="247" w:lineRule="auto"/>
        <w:sectPr>
          <w:type w:val="continuous"/>
          <w:pgSz w:w="24480" w:h="15840" w:orient="landscape"/>
          <w:pgMar w:header="0" w:footer="0" w:top="0" w:bottom="280" w:left="0" w:right="720"/>
          <w:cols w:num="2" w:equalWidth="0">
            <w:col w:w="11154" w:space="1101"/>
            <w:col w:w="11505"/>
          </w:cols>
        </w:sectPr>
      </w:pPr>
    </w:p>
    <w:p>
      <w:pPr>
        <w:pStyle w:val="BodyText"/>
        <w:rPr>
          <w:sz w:val="14"/>
        </w:rPr>
      </w:pPr>
      <w:r>
        <w:rPr>
          <w:sz w:val="14"/>
        </w:rPr>
        <w:drawing>
          <wp:anchor distT="0" distB="0" distL="0" distR="0" allowOverlap="1" layoutInCell="1" locked="0" behindDoc="0" simplePos="0" relativeHeight="15740928">
            <wp:simplePos x="0" y="0"/>
            <wp:positionH relativeFrom="page">
              <wp:posOffset>14981556</wp:posOffset>
            </wp:positionH>
            <wp:positionV relativeFrom="page">
              <wp:posOffset>9668103</wp:posOffset>
            </wp:positionV>
            <wp:extent cx="563245" cy="184683"/>
            <wp:effectExtent l="0" t="0" r="0" b="0"/>
            <wp:wrapNone/>
            <wp:docPr id="133" name="Image 133"/>
            <wp:cNvGraphicFramePr>
              <a:graphicFrameLocks/>
            </wp:cNvGraphicFramePr>
            <a:graphic>
              <a:graphicData uri="http://schemas.openxmlformats.org/drawingml/2006/picture">
                <pic:pic>
                  <pic:nvPicPr>
                    <pic:cNvPr id="133" name="Image 133"/>
                    <pic:cNvPicPr/>
                  </pic:nvPicPr>
                  <pic:blipFill>
                    <a:blip r:embed="rId38" cstate="print"/>
                    <a:stretch>
                      <a:fillRect/>
                    </a:stretch>
                  </pic:blipFill>
                  <pic:spPr>
                    <a:xfrm>
                      <a:off x="0" y="0"/>
                      <a:ext cx="563245" cy="184683"/>
                    </a:xfrm>
                    <a:prstGeom prst="rect">
                      <a:avLst/>
                    </a:prstGeom>
                  </pic:spPr>
                </pic:pic>
              </a:graphicData>
            </a:graphic>
          </wp:anchor>
        </w:drawing>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99"/>
        <w:rPr>
          <w:sz w:val="14"/>
        </w:rPr>
      </w:pPr>
    </w:p>
    <w:p>
      <w:pPr>
        <w:tabs>
          <w:tab w:pos="1963" w:val="left" w:leader="none"/>
          <w:tab w:pos="13363" w:val="left" w:leader="none"/>
          <w:tab w:pos="23454" w:val="right" w:leader="none"/>
        </w:tabs>
        <w:spacing w:before="0"/>
        <w:ind w:left="1058" w:right="0" w:firstLine="0"/>
        <w:jc w:val="left"/>
        <w:rPr>
          <w:b/>
          <w:position w:val="-1"/>
          <w:sz w:val="26"/>
        </w:rPr>
      </w:pPr>
      <w:r>
        <w:rPr>
          <w:b/>
          <w:position w:val="-1"/>
          <w:sz w:val="26"/>
        </w:rPr>
        <w:drawing>
          <wp:anchor distT="0" distB="0" distL="0" distR="0" allowOverlap="1" layoutInCell="1" locked="0" behindDoc="0" simplePos="0" relativeHeight="15741440">
            <wp:simplePos x="0" y="0"/>
            <wp:positionH relativeFrom="page">
              <wp:posOffset>0</wp:posOffset>
            </wp:positionH>
            <wp:positionV relativeFrom="paragraph">
              <wp:posOffset>4369</wp:posOffset>
            </wp:positionV>
            <wp:extent cx="568172" cy="184683"/>
            <wp:effectExtent l="0" t="0" r="0" b="0"/>
            <wp:wrapNone/>
            <wp:docPr id="134" name="Image 134"/>
            <wp:cNvGraphicFramePr>
              <a:graphicFrameLocks/>
            </wp:cNvGraphicFramePr>
            <a:graphic>
              <a:graphicData uri="http://schemas.openxmlformats.org/drawingml/2006/picture">
                <pic:pic>
                  <pic:nvPicPr>
                    <pic:cNvPr id="134" name="Image 134"/>
                    <pic:cNvPicPr/>
                  </pic:nvPicPr>
                  <pic:blipFill>
                    <a:blip r:embed="rId39" cstate="print"/>
                    <a:stretch>
                      <a:fillRect/>
                    </a:stretch>
                  </pic:blipFill>
                  <pic:spPr>
                    <a:xfrm>
                      <a:off x="0" y="0"/>
                      <a:ext cx="568172" cy="184683"/>
                    </a:xfrm>
                    <a:prstGeom prst="rect">
                      <a:avLst/>
                    </a:prstGeom>
                  </pic:spPr>
                </pic:pic>
              </a:graphicData>
            </a:graphic>
          </wp:anchor>
        </w:drawing>
      </w:r>
      <w:r>
        <w:rPr>
          <w:b/>
          <w:color w:val="939598"/>
          <w:spacing w:val="-5"/>
          <w:position w:val="-1"/>
          <w:sz w:val="26"/>
        </w:rPr>
        <w:t>13</w:t>
      </w:r>
      <w:r>
        <w:rPr>
          <w:b/>
          <w:color w:val="939598"/>
          <w:position w:val="-1"/>
          <w:sz w:val="26"/>
        </w:rPr>
        <w:tab/>
      </w:r>
      <w:r>
        <w:rPr>
          <w:color w:val="636466"/>
          <w:sz w:val="14"/>
        </w:rPr>
        <w:t>4.</w:t>
      </w:r>
      <w:r>
        <w:rPr>
          <w:color w:val="636466"/>
          <w:spacing w:val="-1"/>
          <w:sz w:val="14"/>
        </w:rPr>
        <w:t> </w:t>
      </w:r>
      <w:r>
        <w:rPr>
          <w:color w:val="636466"/>
          <w:sz w:val="14"/>
        </w:rPr>
        <w:t>Source:</w:t>
      </w:r>
      <w:r>
        <w:rPr>
          <w:color w:val="636466"/>
          <w:spacing w:val="-1"/>
          <w:sz w:val="14"/>
        </w:rPr>
        <w:t> </w:t>
      </w:r>
      <w:r>
        <w:rPr>
          <w:color w:val="636466"/>
          <w:sz w:val="14"/>
        </w:rPr>
        <w:t>Health</w:t>
      </w:r>
      <w:r>
        <w:rPr>
          <w:color w:val="636466"/>
          <w:spacing w:val="-1"/>
          <w:sz w:val="14"/>
        </w:rPr>
        <w:t> </w:t>
      </w:r>
      <w:r>
        <w:rPr>
          <w:color w:val="636466"/>
          <w:sz w:val="14"/>
        </w:rPr>
        <w:t>Policy</w:t>
      </w:r>
      <w:r>
        <w:rPr>
          <w:color w:val="636466"/>
          <w:spacing w:val="-1"/>
          <w:sz w:val="14"/>
        </w:rPr>
        <w:t> </w:t>
      </w:r>
      <w:r>
        <w:rPr>
          <w:color w:val="636466"/>
          <w:sz w:val="14"/>
        </w:rPr>
        <w:t>Institute</w:t>
      </w:r>
      <w:r>
        <w:rPr>
          <w:color w:val="636466"/>
          <w:spacing w:val="-1"/>
          <w:sz w:val="14"/>
        </w:rPr>
        <w:t> </w:t>
      </w:r>
      <w:r>
        <w:rPr>
          <w:color w:val="636466"/>
          <w:sz w:val="14"/>
        </w:rPr>
        <w:t>at</w:t>
      </w:r>
      <w:r>
        <w:rPr>
          <w:color w:val="636466"/>
          <w:spacing w:val="-1"/>
          <w:sz w:val="14"/>
        </w:rPr>
        <w:t> </w:t>
      </w:r>
      <w:r>
        <w:rPr>
          <w:color w:val="636466"/>
          <w:sz w:val="14"/>
        </w:rPr>
        <w:t>Georgetown</w:t>
      </w:r>
      <w:r>
        <w:rPr>
          <w:color w:val="636466"/>
          <w:spacing w:val="-1"/>
          <w:sz w:val="14"/>
        </w:rPr>
        <w:t> </w:t>
      </w:r>
      <w:r>
        <w:rPr>
          <w:color w:val="636466"/>
          <w:sz w:val="14"/>
        </w:rPr>
        <w:t>University,</w:t>
      </w:r>
      <w:r>
        <w:rPr>
          <w:color w:val="636466"/>
          <w:spacing w:val="-1"/>
          <w:sz w:val="14"/>
        </w:rPr>
        <w:t> </w:t>
      </w:r>
      <w:r>
        <w:rPr>
          <w:color w:val="636466"/>
          <w:sz w:val="14"/>
        </w:rPr>
        <w:t>“Cultural</w:t>
      </w:r>
      <w:r>
        <w:rPr>
          <w:color w:val="636466"/>
          <w:spacing w:val="-1"/>
          <w:sz w:val="14"/>
        </w:rPr>
        <w:t> </w:t>
      </w:r>
      <w:r>
        <w:rPr>
          <w:color w:val="636466"/>
          <w:sz w:val="14"/>
        </w:rPr>
        <w:t>Competence</w:t>
      </w:r>
      <w:r>
        <w:rPr>
          <w:color w:val="636466"/>
          <w:spacing w:val="-1"/>
          <w:sz w:val="14"/>
        </w:rPr>
        <w:t> </w:t>
      </w:r>
      <w:r>
        <w:rPr>
          <w:color w:val="636466"/>
          <w:sz w:val="14"/>
        </w:rPr>
        <w:t>in</w:t>
      </w:r>
      <w:r>
        <w:rPr>
          <w:color w:val="636466"/>
          <w:spacing w:val="-1"/>
          <w:sz w:val="14"/>
        </w:rPr>
        <w:t> </w:t>
      </w:r>
      <w:r>
        <w:rPr>
          <w:color w:val="636466"/>
          <w:sz w:val="14"/>
        </w:rPr>
        <w:t>Health Care:</w:t>
      </w:r>
      <w:r>
        <w:rPr>
          <w:color w:val="636466"/>
          <w:spacing w:val="-1"/>
          <w:sz w:val="14"/>
        </w:rPr>
        <w:t> </w:t>
      </w:r>
      <w:r>
        <w:rPr>
          <w:color w:val="636466"/>
          <w:sz w:val="14"/>
        </w:rPr>
        <w:t>Is</w:t>
      </w:r>
      <w:r>
        <w:rPr>
          <w:color w:val="636466"/>
          <w:spacing w:val="-1"/>
          <w:sz w:val="14"/>
        </w:rPr>
        <w:t> </w:t>
      </w:r>
      <w:r>
        <w:rPr>
          <w:color w:val="636466"/>
          <w:sz w:val="14"/>
        </w:rPr>
        <w:t>it</w:t>
      </w:r>
      <w:r>
        <w:rPr>
          <w:color w:val="636466"/>
          <w:spacing w:val="-1"/>
          <w:sz w:val="14"/>
        </w:rPr>
        <w:t> </w:t>
      </w:r>
      <w:r>
        <w:rPr>
          <w:color w:val="636466"/>
          <w:sz w:val="14"/>
        </w:rPr>
        <w:t>important</w:t>
      </w:r>
      <w:r>
        <w:rPr>
          <w:color w:val="636466"/>
          <w:spacing w:val="-1"/>
          <w:sz w:val="14"/>
        </w:rPr>
        <w:t> </w:t>
      </w:r>
      <w:r>
        <w:rPr>
          <w:color w:val="636466"/>
          <w:sz w:val="14"/>
        </w:rPr>
        <w:t>for</w:t>
      </w:r>
      <w:r>
        <w:rPr>
          <w:color w:val="636466"/>
          <w:spacing w:val="-1"/>
          <w:sz w:val="14"/>
        </w:rPr>
        <w:t> </w:t>
      </w:r>
      <w:r>
        <w:rPr>
          <w:color w:val="636466"/>
          <w:sz w:val="14"/>
        </w:rPr>
        <w:t>people</w:t>
      </w:r>
      <w:r>
        <w:rPr>
          <w:color w:val="636466"/>
          <w:spacing w:val="-1"/>
          <w:sz w:val="14"/>
        </w:rPr>
        <w:t> </w:t>
      </w:r>
      <w:r>
        <w:rPr>
          <w:color w:val="636466"/>
          <w:sz w:val="14"/>
        </w:rPr>
        <w:t>with</w:t>
      </w:r>
      <w:r>
        <w:rPr>
          <w:color w:val="636466"/>
          <w:spacing w:val="-1"/>
          <w:sz w:val="14"/>
        </w:rPr>
        <w:t> </w:t>
      </w:r>
      <w:r>
        <w:rPr>
          <w:color w:val="636466"/>
          <w:sz w:val="14"/>
        </w:rPr>
        <w:t>chronic</w:t>
      </w:r>
      <w:r>
        <w:rPr>
          <w:color w:val="636466"/>
          <w:spacing w:val="-1"/>
          <w:sz w:val="14"/>
        </w:rPr>
        <w:t> </w:t>
      </w:r>
      <w:r>
        <w:rPr>
          <w:color w:val="636466"/>
          <w:spacing w:val="-2"/>
          <w:sz w:val="14"/>
        </w:rPr>
        <w:t>conditions?”</w:t>
      </w:r>
      <w:r>
        <w:rPr>
          <w:color w:val="636466"/>
          <w:sz w:val="14"/>
        </w:rPr>
        <w:tab/>
        <w:t>5.</w:t>
      </w:r>
      <w:r>
        <w:rPr>
          <w:color w:val="636466"/>
          <w:spacing w:val="-9"/>
          <w:sz w:val="14"/>
        </w:rPr>
        <w:t> </w:t>
      </w:r>
      <w:r>
        <w:rPr>
          <w:color w:val="636466"/>
          <w:sz w:val="14"/>
        </w:rPr>
        <w:t>Source:</w:t>
      </w:r>
      <w:r>
        <w:rPr>
          <w:color w:val="636466"/>
          <w:spacing w:val="-9"/>
          <w:sz w:val="14"/>
        </w:rPr>
        <w:t> </w:t>
      </w:r>
      <w:r>
        <w:rPr>
          <w:color w:val="636466"/>
          <w:sz w:val="14"/>
        </w:rPr>
        <w:t>Groffdale</w:t>
      </w:r>
      <w:r>
        <w:rPr>
          <w:color w:val="636466"/>
          <w:spacing w:val="-9"/>
          <w:sz w:val="14"/>
        </w:rPr>
        <w:t> </w:t>
      </w:r>
      <w:r>
        <w:rPr>
          <w:color w:val="636466"/>
          <w:sz w:val="14"/>
        </w:rPr>
        <w:t>Conference</w:t>
      </w:r>
      <w:r>
        <w:rPr>
          <w:color w:val="636466"/>
          <w:spacing w:val="-9"/>
          <w:sz w:val="14"/>
        </w:rPr>
        <w:t> </w:t>
      </w:r>
      <w:r>
        <w:rPr>
          <w:color w:val="636466"/>
          <w:sz w:val="14"/>
        </w:rPr>
        <w:t>Mennonites</w:t>
      </w:r>
      <w:r>
        <w:rPr>
          <w:color w:val="636466"/>
          <w:spacing w:val="-8"/>
          <w:sz w:val="14"/>
        </w:rPr>
        <w:t> </w:t>
      </w:r>
      <w:r>
        <w:rPr>
          <w:color w:val="636466"/>
          <w:sz w:val="14"/>
        </w:rPr>
        <w:t>in</w:t>
      </w:r>
      <w:r>
        <w:rPr>
          <w:color w:val="636466"/>
          <w:spacing w:val="-9"/>
          <w:sz w:val="14"/>
        </w:rPr>
        <w:t> </w:t>
      </w:r>
      <w:r>
        <w:rPr>
          <w:color w:val="636466"/>
          <w:sz w:val="14"/>
        </w:rPr>
        <w:t>the</w:t>
      </w:r>
      <w:r>
        <w:rPr>
          <w:color w:val="636466"/>
          <w:spacing w:val="-9"/>
          <w:sz w:val="14"/>
        </w:rPr>
        <w:t> </w:t>
      </w:r>
      <w:r>
        <w:rPr>
          <w:color w:val="636466"/>
          <w:sz w:val="14"/>
        </w:rPr>
        <w:t>Finger</w:t>
      </w:r>
      <w:r>
        <w:rPr>
          <w:color w:val="636466"/>
          <w:spacing w:val="-9"/>
          <w:sz w:val="14"/>
        </w:rPr>
        <w:t> </w:t>
      </w:r>
      <w:r>
        <w:rPr>
          <w:color w:val="636466"/>
          <w:sz w:val="14"/>
        </w:rPr>
        <w:t>Lakes</w:t>
      </w:r>
      <w:r>
        <w:rPr>
          <w:color w:val="636466"/>
          <w:spacing w:val="-9"/>
          <w:sz w:val="14"/>
        </w:rPr>
        <w:t> </w:t>
      </w:r>
      <w:r>
        <w:rPr>
          <w:color w:val="636466"/>
          <w:sz w:val="14"/>
        </w:rPr>
        <w:t>Area</w:t>
      </w:r>
      <w:r>
        <w:rPr>
          <w:color w:val="636466"/>
          <w:spacing w:val="-8"/>
          <w:sz w:val="14"/>
        </w:rPr>
        <w:t> </w:t>
      </w:r>
      <w:r>
        <w:rPr>
          <w:color w:val="636466"/>
          <w:sz w:val="14"/>
        </w:rPr>
        <w:t>of</w:t>
      </w:r>
      <w:r>
        <w:rPr>
          <w:color w:val="636466"/>
          <w:spacing w:val="-9"/>
          <w:sz w:val="14"/>
        </w:rPr>
        <w:t> </w:t>
      </w:r>
      <w:r>
        <w:rPr>
          <w:color w:val="636466"/>
          <w:sz w:val="14"/>
        </w:rPr>
        <w:t>New</w:t>
      </w:r>
      <w:r>
        <w:rPr>
          <w:color w:val="636466"/>
          <w:spacing w:val="-9"/>
          <w:sz w:val="14"/>
        </w:rPr>
        <w:t> </w:t>
      </w:r>
      <w:r>
        <w:rPr>
          <w:color w:val="636466"/>
          <w:sz w:val="14"/>
        </w:rPr>
        <w:t>York</w:t>
      </w:r>
      <w:r>
        <w:rPr>
          <w:color w:val="636466"/>
          <w:spacing w:val="-9"/>
          <w:sz w:val="14"/>
        </w:rPr>
        <w:t> </w:t>
      </w:r>
      <w:r>
        <w:rPr>
          <w:color w:val="636466"/>
          <w:sz w:val="14"/>
        </w:rPr>
        <w:t>State,</w:t>
      </w:r>
      <w:r>
        <w:rPr>
          <w:color w:val="636466"/>
          <w:spacing w:val="-9"/>
          <w:sz w:val="14"/>
        </w:rPr>
        <w:t> </w:t>
      </w:r>
      <w:r>
        <w:rPr>
          <w:color w:val="636466"/>
          <w:sz w:val="14"/>
        </w:rPr>
        <w:t>March</w:t>
      </w:r>
      <w:r>
        <w:rPr>
          <w:color w:val="636466"/>
          <w:spacing w:val="-8"/>
          <w:sz w:val="14"/>
        </w:rPr>
        <w:t> </w:t>
      </w:r>
      <w:r>
        <w:rPr>
          <w:color w:val="636466"/>
          <w:sz w:val="14"/>
        </w:rPr>
        <w:t>2019</w:t>
      </w:r>
      <w:r>
        <w:rPr>
          <w:color w:val="636466"/>
          <w:spacing w:val="-9"/>
          <w:sz w:val="14"/>
        </w:rPr>
        <w:t> </w:t>
      </w:r>
      <w:r>
        <w:rPr>
          <w:color w:val="636466"/>
          <w:spacing w:val="-5"/>
          <w:sz w:val="14"/>
        </w:rPr>
        <w:t>Map</w:t>
      </w:r>
      <w:r>
        <w:rPr>
          <w:rFonts w:ascii="Times New Roman" w:hAnsi="Times New Roman"/>
          <w:color w:val="636466"/>
          <w:sz w:val="14"/>
        </w:rPr>
        <w:tab/>
      </w:r>
      <w:r>
        <w:rPr>
          <w:b/>
          <w:color w:val="939598"/>
          <w:spacing w:val="-5"/>
          <w:position w:val="-1"/>
          <w:sz w:val="26"/>
        </w:rPr>
        <w:t>14</w:t>
      </w:r>
    </w:p>
    <w:p>
      <w:pPr>
        <w:spacing w:after="0"/>
        <w:jc w:val="left"/>
        <w:rPr>
          <w:b/>
          <w:position w:val="-1"/>
          <w:sz w:val="26"/>
        </w:rPr>
        <w:sectPr>
          <w:type w:val="continuous"/>
          <w:pgSz w:w="24480" w:h="15840" w:orient="landscape"/>
          <w:pgMar w:header="0" w:footer="0" w:top="0" w:bottom="280" w:left="0" w:right="720"/>
        </w:sectPr>
      </w:pPr>
    </w:p>
    <w:p>
      <w:pPr>
        <w:pStyle w:val="BodyText"/>
        <w:rPr>
          <w:b/>
          <w:sz w:val="20"/>
        </w:rPr>
      </w:pPr>
    </w:p>
    <w:p>
      <w:pPr>
        <w:pStyle w:val="BodyText"/>
        <w:spacing w:before="16"/>
        <w:rPr>
          <w:b/>
          <w:sz w:val="20"/>
        </w:rPr>
      </w:pPr>
    </w:p>
    <w:p>
      <w:pPr>
        <w:pStyle w:val="BodyText"/>
        <w:spacing w:after="0"/>
        <w:rPr>
          <w:b/>
          <w:sz w:val="20"/>
        </w:rPr>
        <w:sectPr>
          <w:pgSz w:w="24480" w:h="15840" w:orient="landscape"/>
          <w:pgMar w:header="0" w:footer="0" w:top="860" w:bottom="0" w:left="0" w:right="720"/>
        </w:sectPr>
      </w:pPr>
    </w:p>
    <w:p>
      <w:pPr>
        <w:pStyle w:val="Heading6"/>
        <w:spacing w:before="116"/>
        <w:ind w:left="1085"/>
      </w:pPr>
      <w:r>
        <w:rPr>
          <w:color w:val="105C84"/>
          <w:w w:val="90"/>
        </w:rPr>
        <w:t>Socioeconomic</w:t>
      </w:r>
      <w:r>
        <w:rPr>
          <w:color w:val="105C84"/>
          <w:spacing w:val="39"/>
        </w:rPr>
        <w:t> </w:t>
      </w:r>
      <w:r>
        <w:rPr>
          <w:color w:val="105C84"/>
          <w:spacing w:val="-2"/>
        </w:rPr>
        <w:t>Status</w:t>
      </w:r>
    </w:p>
    <w:p>
      <w:pPr>
        <w:pStyle w:val="BodyText"/>
        <w:spacing w:line="247" w:lineRule="auto" w:before="268"/>
        <w:ind w:left="1085" w:right="114"/>
      </w:pPr>
      <w:r>
        <w:rPr>
          <w:color w:val="105C84"/>
        </w:rPr>
        <w:t>Socioeconomic</w:t>
      </w:r>
      <w:r>
        <w:rPr>
          <w:color w:val="105C84"/>
          <w:spacing w:val="17"/>
        </w:rPr>
        <w:t> </w:t>
      </w:r>
      <w:r>
        <w:rPr>
          <w:color w:val="105C84"/>
        </w:rPr>
        <w:t>status</w:t>
      </w:r>
      <w:r>
        <w:rPr>
          <w:color w:val="105C84"/>
          <w:position w:val="7"/>
          <w:sz w:val="13"/>
        </w:rPr>
        <w:t>6</w:t>
      </w:r>
      <w:r>
        <w:rPr>
          <w:color w:val="105C84"/>
          <w:spacing w:val="40"/>
          <w:position w:val="7"/>
          <w:sz w:val="13"/>
        </w:rPr>
        <w:t> </w:t>
      </w:r>
      <w:r>
        <w:rPr>
          <w:color w:val="105C84"/>
        </w:rPr>
        <w:t>affects</w:t>
      </w:r>
      <w:r>
        <w:rPr>
          <w:color w:val="105C84"/>
          <w:spacing w:val="17"/>
        </w:rPr>
        <w:t> </w:t>
      </w:r>
      <w:r>
        <w:rPr>
          <w:color w:val="105C84"/>
        </w:rPr>
        <w:t>several</w:t>
      </w:r>
      <w:r>
        <w:rPr>
          <w:color w:val="105C84"/>
          <w:spacing w:val="17"/>
        </w:rPr>
        <w:t> </w:t>
      </w:r>
      <w:r>
        <w:rPr>
          <w:color w:val="105C84"/>
        </w:rPr>
        <w:t>areas</w:t>
      </w:r>
      <w:r>
        <w:rPr>
          <w:color w:val="105C84"/>
          <w:spacing w:val="17"/>
        </w:rPr>
        <w:t> </w:t>
      </w:r>
      <w:r>
        <w:rPr>
          <w:color w:val="105C84"/>
        </w:rPr>
        <w:t>of</w:t>
      </w:r>
      <w:r>
        <w:rPr>
          <w:color w:val="105C84"/>
          <w:spacing w:val="17"/>
        </w:rPr>
        <w:t> </w:t>
      </w:r>
      <w:r>
        <w:rPr>
          <w:color w:val="105C84"/>
        </w:rPr>
        <w:t>a</w:t>
      </w:r>
      <w:r>
        <w:rPr>
          <w:color w:val="105C84"/>
          <w:spacing w:val="17"/>
        </w:rPr>
        <w:t> </w:t>
      </w:r>
      <w:r>
        <w:rPr>
          <w:color w:val="105C84"/>
        </w:rPr>
        <w:t>person’s</w:t>
      </w:r>
      <w:r>
        <w:rPr>
          <w:color w:val="105C84"/>
          <w:spacing w:val="17"/>
        </w:rPr>
        <w:t> </w:t>
      </w:r>
      <w:r>
        <w:rPr>
          <w:color w:val="105C84"/>
        </w:rPr>
        <w:t>life,</w:t>
      </w:r>
      <w:r>
        <w:rPr>
          <w:color w:val="105C84"/>
          <w:spacing w:val="17"/>
        </w:rPr>
        <w:t> </w:t>
      </w:r>
      <w:r>
        <w:rPr>
          <w:color w:val="105C84"/>
        </w:rPr>
        <w:t>including</w:t>
      </w:r>
      <w:r>
        <w:rPr>
          <w:color w:val="105C84"/>
          <w:spacing w:val="17"/>
        </w:rPr>
        <w:t> </w:t>
      </w:r>
      <w:r>
        <w:rPr>
          <w:color w:val="105C84"/>
        </w:rPr>
        <w:t>their</w:t>
      </w:r>
      <w:r>
        <w:rPr>
          <w:color w:val="105C84"/>
          <w:spacing w:val="17"/>
        </w:rPr>
        <w:t> </w:t>
      </w:r>
      <w:r>
        <w:rPr>
          <w:color w:val="105C84"/>
        </w:rPr>
        <w:t>health</w:t>
      </w:r>
      <w:r>
        <w:rPr>
          <w:color w:val="105C84"/>
          <w:spacing w:val="17"/>
        </w:rPr>
        <w:t> </w:t>
      </w:r>
      <w:r>
        <w:rPr>
          <w:color w:val="105C84"/>
        </w:rPr>
        <w:t>status.</w:t>
      </w:r>
      <w:r>
        <w:rPr>
          <w:color w:val="105C84"/>
          <w:spacing w:val="17"/>
        </w:rPr>
        <w:t> </w:t>
      </w:r>
      <w:r>
        <w:rPr>
          <w:color w:val="105C84"/>
        </w:rPr>
        <w:t>Data</w:t>
      </w:r>
      <w:r>
        <w:rPr>
          <w:color w:val="105C84"/>
        </w:rPr>
        <w:t> have revealed that low-income families are less likely to receive timely preventative services or have an established regular healthcare provider than families with higher incomes. Map 3 reveals the socioeconomic status of the Finger Lakes region based on ZIP code. Note that almost half of Wayne County was found to be in the two lowest socioeconomic statuses in the region, yet pockets of</w:t>
      </w:r>
      <w:r>
        <w:rPr>
          <w:color w:val="105C84"/>
          <w:spacing w:val="80"/>
        </w:rPr>
        <w:t> </w:t>
      </w:r>
      <w:r>
        <w:rPr>
          <w:color w:val="105C84"/>
        </w:rPr>
        <w:t>poverty exist throughout the eight counties.</w:t>
      </w:r>
    </w:p>
    <w:p>
      <w:pPr>
        <w:pStyle w:val="Heading6"/>
        <w:spacing w:before="116"/>
        <w:ind w:left="1085"/>
      </w:pPr>
      <w:r>
        <w:rPr>
          <w:b w:val="0"/>
        </w:rPr>
        <w:br w:type="column"/>
      </w:r>
      <w:r>
        <w:rPr>
          <w:color w:val="105C84"/>
          <w:spacing w:val="-2"/>
        </w:rPr>
        <w:t>TABLE</w:t>
      </w:r>
      <w:r>
        <w:rPr>
          <w:color w:val="105C84"/>
          <w:spacing w:val="-11"/>
        </w:rPr>
        <w:t> </w:t>
      </w:r>
      <w:r>
        <w:rPr>
          <w:color w:val="105C84"/>
          <w:spacing w:val="-2"/>
        </w:rPr>
        <w:t>1:</w:t>
      </w:r>
      <w:r>
        <w:rPr>
          <w:color w:val="105C84"/>
          <w:spacing w:val="-10"/>
        </w:rPr>
        <w:t> </w:t>
      </w:r>
      <w:r>
        <w:rPr>
          <w:color w:val="105C84"/>
          <w:spacing w:val="-2"/>
        </w:rPr>
        <w:t>Percent</w:t>
      </w:r>
      <w:r>
        <w:rPr>
          <w:color w:val="105C84"/>
          <w:spacing w:val="-10"/>
        </w:rPr>
        <w:t> </w:t>
      </w:r>
      <w:r>
        <w:rPr>
          <w:color w:val="105C84"/>
          <w:spacing w:val="-2"/>
        </w:rPr>
        <w:t>of</w:t>
      </w:r>
      <w:r>
        <w:rPr>
          <w:color w:val="105C84"/>
          <w:spacing w:val="-11"/>
        </w:rPr>
        <w:t> </w:t>
      </w:r>
      <w:r>
        <w:rPr>
          <w:color w:val="105C84"/>
          <w:spacing w:val="-2"/>
        </w:rPr>
        <w:t>16+</w:t>
      </w:r>
      <w:r>
        <w:rPr>
          <w:color w:val="105C84"/>
          <w:spacing w:val="-10"/>
        </w:rPr>
        <w:t> </w:t>
      </w:r>
      <w:r>
        <w:rPr>
          <w:color w:val="105C84"/>
          <w:spacing w:val="-2"/>
        </w:rPr>
        <w:t>by</w:t>
      </w:r>
      <w:r>
        <w:rPr>
          <w:color w:val="105C84"/>
          <w:spacing w:val="-10"/>
        </w:rPr>
        <w:t> </w:t>
      </w:r>
      <w:r>
        <w:rPr>
          <w:color w:val="105C84"/>
          <w:spacing w:val="-2"/>
        </w:rPr>
        <w:t>labor</w:t>
      </w:r>
      <w:r>
        <w:rPr>
          <w:color w:val="105C84"/>
          <w:spacing w:val="-10"/>
        </w:rPr>
        <w:t> </w:t>
      </w:r>
      <w:r>
        <w:rPr>
          <w:color w:val="105C84"/>
          <w:spacing w:val="-2"/>
        </w:rPr>
        <w:t>force</w:t>
      </w:r>
      <w:r>
        <w:rPr>
          <w:color w:val="105C84"/>
          <w:spacing w:val="-11"/>
        </w:rPr>
        <w:t> </w:t>
      </w:r>
      <w:r>
        <w:rPr>
          <w:color w:val="105C84"/>
          <w:spacing w:val="-2"/>
        </w:rPr>
        <w:t>and</w:t>
      </w:r>
      <w:r>
        <w:rPr>
          <w:color w:val="105C84"/>
          <w:spacing w:val="-10"/>
        </w:rPr>
        <w:t> </w:t>
      </w:r>
      <w:r>
        <w:rPr>
          <w:color w:val="105C84"/>
          <w:spacing w:val="-2"/>
        </w:rPr>
        <w:t>employment</w:t>
      </w:r>
      <w:r>
        <w:rPr>
          <w:color w:val="105C84"/>
          <w:spacing w:val="-10"/>
        </w:rPr>
        <w:t> </w:t>
      </w:r>
      <w:r>
        <w:rPr>
          <w:color w:val="105C84"/>
          <w:spacing w:val="-2"/>
        </w:rPr>
        <w:t>status</w:t>
      </w:r>
    </w:p>
    <w:p>
      <w:pPr>
        <w:pStyle w:val="Heading6"/>
        <w:spacing w:after="0"/>
        <w:sectPr>
          <w:type w:val="continuous"/>
          <w:pgSz w:w="24480" w:h="15840" w:orient="landscape"/>
          <w:pgMar w:header="0" w:footer="0" w:top="0" w:bottom="280" w:left="0" w:right="720"/>
          <w:cols w:num="2" w:equalWidth="0">
            <w:col w:w="11068" w:space="1161"/>
            <w:col w:w="11531"/>
          </w:cols>
        </w:sectPr>
      </w:pPr>
    </w:p>
    <w:p>
      <w:pPr>
        <w:pStyle w:val="BodyText"/>
        <w:spacing w:line="247" w:lineRule="auto" w:before="206"/>
        <w:ind w:left="1094" w:right="35"/>
      </w:pPr>
      <w:r>
        <w:rPr>
          <w:color w:val="105C84"/>
        </w:rPr>
        <w:t>One of the factors influencing socioeconomic status is income, largely driven by employment status. Having a job may afford a person</w:t>
      </w:r>
    </w:p>
    <w:p>
      <w:pPr>
        <w:pStyle w:val="BodyText"/>
        <w:spacing w:line="247" w:lineRule="auto"/>
        <w:ind w:left="1094" w:right="35"/>
      </w:pPr>
      <w:r>
        <w:rPr/>
        <mc:AlternateContent>
          <mc:Choice Requires="wps">
            <w:drawing>
              <wp:anchor distT="0" distB="0" distL="0" distR="0" allowOverlap="1" layoutInCell="1" locked="0" behindDoc="0" simplePos="0" relativeHeight="15745536">
                <wp:simplePos x="0" y="0"/>
                <wp:positionH relativeFrom="page">
                  <wp:posOffset>3692652</wp:posOffset>
                </wp:positionH>
                <wp:positionV relativeFrom="paragraph">
                  <wp:posOffset>180056</wp:posOffset>
                </wp:positionV>
                <wp:extent cx="3634104" cy="4488180"/>
                <wp:effectExtent l="0" t="0" r="0" b="0"/>
                <wp:wrapNone/>
                <wp:docPr id="135" name="Group 135"/>
                <wp:cNvGraphicFramePr>
                  <a:graphicFrameLocks/>
                </wp:cNvGraphicFramePr>
                <a:graphic>
                  <a:graphicData uri="http://schemas.microsoft.com/office/word/2010/wordprocessingGroup">
                    <wpg:wgp>
                      <wpg:cNvPr id="135" name="Group 135"/>
                      <wpg:cNvGrpSpPr/>
                      <wpg:grpSpPr>
                        <a:xfrm>
                          <a:off x="0" y="0"/>
                          <a:ext cx="3634104" cy="4488180"/>
                          <a:chExt cx="3634104" cy="4488180"/>
                        </a:xfrm>
                      </wpg:grpSpPr>
                      <pic:pic>
                        <pic:nvPicPr>
                          <pic:cNvPr id="136" name="Image 136"/>
                          <pic:cNvPicPr/>
                        </pic:nvPicPr>
                        <pic:blipFill>
                          <a:blip r:embed="rId50" cstate="print"/>
                          <a:stretch>
                            <a:fillRect/>
                          </a:stretch>
                        </pic:blipFill>
                        <pic:spPr>
                          <a:xfrm>
                            <a:off x="0" y="0"/>
                            <a:ext cx="3633787" cy="4488180"/>
                          </a:xfrm>
                          <a:prstGeom prst="rect">
                            <a:avLst/>
                          </a:prstGeom>
                        </pic:spPr>
                      </pic:pic>
                      <wps:wsp>
                        <wps:cNvPr id="137" name="Textbox 137"/>
                        <wps:cNvSpPr txBox="1"/>
                        <wps:spPr>
                          <a:xfrm>
                            <a:off x="0" y="0"/>
                            <a:ext cx="3634104" cy="4488180"/>
                          </a:xfrm>
                          <a:prstGeom prst="rect">
                            <a:avLst/>
                          </a:prstGeom>
                        </wps:spPr>
                        <wps:txbx>
                          <w:txbxContent>
                            <w:p>
                              <w:pPr>
                                <w:spacing w:line="240" w:lineRule="auto" w:before="35"/>
                                <w:rPr>
                                  <w:sz w:val="16"/>
                                </w:rPr>
                              </w:pPr>
                            </w:p>
                            <w:p>
                              <w:pPr>
                                <w:spacing w:before="0"/>
                                <w:ind w:left="593" w:right="0" w:firstLine="0"/>
                                <w:jc w:val="left"/>
                                <w:rPr>
                                  <w:sz w:val="16"/>
                                </w:rPr>
                              </w:pPr>
                              <w:r>
                                <w:rPr>
                                  <w:color w:val="0E5C84"/>
                                  <w:spacing w:val="-2"/>
                                  <w:sz w:val="16"/>
                                </w:rPr>
                                <w:t>Legend</w:t>
                              </w:r>
                            </w:p>
                            <w:p>
                              <w:pPr>
                                <w:spacing w:before="154"/>
                                <w:ind w:left="593" w:right="0" w:firstLine="0"/>
                                <w:jc w:val="left"/>
                                <w:rPr>
                                  <w:sz w:val="13"/>
                                </w:rPr>
                              </w:pPr>
                              <w:r>
                                <w:rPr>
                                  <w:color w:val="636466"/>
                                  <w:spacing w:val="-5"/>
                                  <w:w w:val="95"/>
                                  <w:sz w:val="13"/>
                                </w:rPr>
                                <w:t>SES</w:t>
                              </w:r>
                            </w:p>
                            <w:p>
                              <w:pPr>
                                <w:spacing w:before="103"/>
                                <w:ind w:left="981" w:right="0" w:firstLine="0"/>
                                <w:jc w:val="left"/>
                                <w:rPr>
                                  <w:sz w:val="11"/>
                                </w:rPr>
                              </w:pPr>
                              <w:r>
                                <w:rPr>
                                  <w:color w:val="636466"/>
                                  <w:w w:val="90"/>
                                  <w:sz w:val="11"/>
                                </w:rPr>
                                <w:t>SES</w:t>
                              </w:r>
                              <w:r>
                                <w:rPr>
                                  <w:color w:val="636466"/>
                                  <w:spacing w:val="-2"/>
                                  <w:w w:val="90"/>
                                  <w:sz w:val="11"/>
                                </w:rPr>
                                <w:t> </w:t>
                              </w:r>
                              <w:r>
                                <w:rPr>
                                  <w:color w:val="636466"/>
                                  <w:w w:val="90"/>
                                  <w:sz w:val="11"/>
                                </w:rPr>
                                <w:t>1</w:t>
                              </w:r>
                              <w:r>
                                <w:rPr>
                                  <w:color w:val="636466"/>
                                  <w:spacing w:val="-1"/>
                                  <w:w w:val="90"/>
                                  <w:sz w:val="11"/>
                                </w:rPr>
                                <w:t> </w:t>
                              </w:r>
                              <w:r>
                                <w:rPr>
                                  <w:color w:val="636466"/>
                                  <w:spacing w:val="-2"/>
                                  <w:w w:val="90"/>
                                  <w:sz w:val="11"/>
                                </w:rPr>
                                <w:t>(low)</w:t>
                              </w:r>
                            </w:p>
                            <w:p>
                              <w:pPr>
                                <w:spacing w:before="75"/>
                                <w:ind w:left="981" w:right="0" w:firstLine="0"/>
                                <w:jc w:val="left"/>
                                <w:rPr>
                                  <w:sz w:val="11"/>
                                </w:rPr>
                              </w:pPr>
                              <w:r>
                                <w:rPr>
                                  <w:color w:val="636466"/>
                                  <w:w w:val="85"/>
                                  <w:sz w:val="11"/>
                                </w:rPr>
                                <w:t>SES</w:t>
                              </w:r>
                              <w:r>
                                <w:rPr>
                                  <w:color w:val="636466"/>
                                  <w:spacing w:val="-3"/>
                                  <w:sz w:val="11"/>
                                </w:rPr>
                                <w:t> </w:t>
                              </w:r>
                              <w:r>
                                <w:rPr>
                                  <w:color w:val="636466"/>
                                  <w:spacing w:val="-10"/>
                                  <w:sz w:val="11"/>
                                </w:rPr>
                                <w:t>2</w:t>
                              </w:r>
                            </w:p>
                            <w:p>
                              <w:pPr>
                                <w:spacing w:before="66"/>
                                <w:ind w:left="981" w:right="0" w:firstLine="0"/>
                                <w:jc w:val="left"/>
                                <w:rPr>
                                  <w:sz w:val="11"/>
                                </w:rPr>
                              </w:pPr>
                              <w:r>
                                <w:rPr>
                                  <w:color w:val="636466"/>
                                  <w:w w:val="85"/>
                                  <w:sz w:val="11"/>
                                </w:rPr>
                                <w:t>SES</w:t>
                              </w:r>
                              <w:r>
                                <w:rPr>
                                  <w:color w:val="636466"/>
                                  <w:spacing w:val="-3"/>
                                  <w:sz w:val="11"/>
                                </w:rPr>
                                <w:t> </w:t>
                              </w:r>
                              <w:r>
                                <w:rPr>
                                  <w:color w:val="636466"/>
                                  <w:spacing w:val="-10"/>
                                  <w:sz w:val="11"/>
                                </w:rPr>
                                <w:t>3</w:t>
                              </w:r>
                            </w:p>
                            <w:p>
                              <w:pPr>
                                <w:spacing w:before="91"/>
                                <w:ind w:left="981" w:right="0" w:firstLine="0"/>
                                <w:jc w:val="left"/>
                                <w:rPr>
                                  <w:sz w:val="11"/>
                                </w:rPr>
                              </w:pPr>
                              <w:r>
                                <w:rPr>
                                  <w:color w:val="636466"/>
                                  <w:w w:val="85"/>
                                  <w:sz w:val="11"/>
                                </w:rPr>
                                <w:t>SES</w:t>
                              </w:r>
                              <w:r>
                                <w:rPr>
                                  <w:color w:val="636466"/>
                                  <w:spacing w:val="-3"/>
                                  <w:sz w:val="11"/>
                                </w:rPr>
                                <w:t> </w:t>
                              </w:r>
                              <w:r>
                                <w:rPr>
                                  <w:color w:val="636466"/>
                                  <w:spacing w:val="-10"/>
                                  <w:sz w:val="11"/>
                                </w:rPr>
                                <w:t>4</w:t>
                              </w:r>
                            </w:p>
                            <w:p>
                              <w:pPr>
                                <w:spacing w:before="83"/>
                                <w:ind w:left="981" w:right="0" w:firstLine="0"/>
                                <w:jc w:val="left"/>
                                <w:rPr>
                                  <w:sz w:val="11"/>
                                </w:rPr>
                              </w:pPr>
                              <w:r>
                                <w:rPr>
                                  <w:color w:val="636466"/>
                                  <w:w w:val="90"/>
                                  <w:sz w:val="11"/>
                                </w:rPr>
                                <w:t>SES</w:t>
                              </w:r>
                              <w:r>
                                <w:rPr>
                                  <w:color w:val="636466"/>
                                  <w:spacing w:val="-1"/>
                                  <w:w w:val="90"/>
                                  <w:sz w:val="11"/>
                                </w:rPr>
                                <w:t> </w:t>
                              </w:r>
                              <w:r>
                                <w:rPr>
                                  <w:color w:val="636466"/>
                                  <w:w w:val="90"/>
                                  <w:sz w:val="11"/>
                                </w:rPr>
                                <w:t>5</w:t>
                              </w:r>
                              <w:r>
                                <w:rPr>
                                  <w:color w:val="636466"/>
                                  <w:spacing w:val="-1"/>
                                  <w:sz w:val="11"/>
                                </w:rPr>
                                <w:t> </w:t>
                              </w:r>
                              <w:r>
                                <w:rPr>
                                  <w:color w:val="636466"/>
                                  <w:spacing w:val="-2"/>
                                  <w:w w:val="90"/>
                                  <w:sz w:val="11"/>
                                </w:rPr>
                                <w:t>(high)</w:t>
                              </w:r>
                            </w:p>
                          </w:txbxContent>
                        </wps:txbx>
                        <wps:bodyPr wrap="square" lIns="0" tIns="0" rIns="0" bIns="0" rtlCol="0">
                          <a:noAutofit/>
                        </wps:bodyPr>
                      </wps:wsp>
                    </wpg:wgp>
                  </a:graphicData>
                </a:graphic>
              </wp:anchor>
            </w:drawing>
          </mc:Choice>
          <mc:Fallback>
            <w:pict>
              <v:group style="position:absolute;margin-left:290.760010pt;margin-top:14.177682pt;width:286.150pt;height:353.4pt;mso-position-horizontal-relative:page;mso-position-vertical-relative:paragraph;z-index:15745536" id="docshapegroup114" coordorigin="5815,284" coordsize="5723,7068">
                <v:shape style="position:absolute;left:5815;top:283;width:5723;height:7068" type="#_x0000_t75" id="docshape115" stroked="false">
                  <v:imagedata r:id="rId50" o:title=""/>
                </v:shape>
                <v:shape style="position:absolute;left:5815;top:283;width:5723;height:7068" type="#_x0000_t202" id="docshape116" filled="false" stroked="false">
                  <v:textbox inset="0,0,0,0">
                    <w:txbxContent>
                      <w:p>
                        <w:pPr>
                          <w:spacing w:line="240" w:lineRule="auto" w:before="35"/>
                          <w:rPr>
                            <w:sz w:val="16"/>
                          </w:rPr>
                        </w:pPr>
                      </w:p>
                      <w:p>
                        <w:pPr>
                          <w:spacing w:before="0"/>
                          <w:ind w:left="593" w:right="0" w:firstLine="0"/>
                          <w:jc w:val="left"/>
                          <w:rPr>
                            <w:sz w:val="16"/>
                          </w:rPr>
                        </w:pPr>
                        <w:r>
                          <w:rPr>
                            <w:color w:val="0E5C84"/>
                            <w:spacing w:val="-2"/>
                            <w:sz w:val="16"/>
                          </w:rPr>
                          <w:t>Legend</w:t>
                        </w:r>
                      </w:p>
                      <w:p>
                        <w:pPr>
                          <w:spacing w:before="154"/>
                          <w:ind w:left="593" w:right="0" w:firstLine="0"/>
                          <w:jc w:val="left"/>
                          <w:rPr>
                            <w:sz w:val="13"/>
                          </w:rPr>
                        </w:pPr>
                        <w:r>
                          <w:rPr>
                            <w:color w:val="636466"/>
                            <w:spacing w:val="-5"/>
                            <w:w w:val="95"/>
                            <w:sz w:val="13"/>
                          </w:rPr>
                          <w:t>SES</w:t>
                        </w:r>
                      </w:p>
                      <w:p>
                        <w:pPr>
                          <w:spacing w:before="103"/>
                          <w:ind w:left="981" w:right="0" w:firstLine="0"/>
                          <w:jc w:val="left"/>
                          <w:rPr>
                            <w:sz w:val="11"/>
                          </w:rPr>
                        </w:pPr>
                        <w:r>
                          <w:rPr>
                            <w:color w:val="636466"/>
                            <w:w w:val="90"/>
                            <w:sz w:val="11"/>
                          </w:rPr>
                          <w:t>SES</w:t>
                        </w:r>
                        <w:r>
                          <w:rPr>
                            <w:color w:val="636466"/>
                            <w:spacing w:val="-2"/>
                            <w:w w:val="90"/>
                            <w:sz w:val="11"/>
                          </w:rPr>
                          <w:t> </w:t>
                        </w:r>
                        <w:r>
                          <w:rPr>
                            <w:color w:val="636466"/>
                            <w:w w:val="90"/>
                            <w:sz w:val="11"/>
                          </w:rPr>
                          <w:t>1</w:t>
                        </w:r>
                        <w:r>
                          <w:rPr>
                            <w:color w:val="636466"/>
                            <w:spacing w:val="-1"/>
                            <w:w w:val="90"/>
                            <w:sz w:val="11"/>
                          </w:rPr>
                          <w:t> </w:t>
                        </w:r>
                        <w:r>
                          <w:rPr>
                            <w:color w:val="636466"/>
                            <w:spacing w:val="-2"/>
                            <w:w w:val="90"/>
                            <w:sz w:val="11"/>
                          </w:rPr>
                          <w:t>(low)</w:t>
                        </w:r>
                      </w:p>
                      <w:p>
                        <w:pPr>
                          <w:spacing w:before="75"/>
                          <w:ind w:left="981" w:right="0" w:firstLine="0"/>
                          <w:jc w:val="left"/>
                          <w:rPr>
                            <w:sz w:val="11"/>
                          </w:rPr>
                        </w:pPr>
                        <w:r>
                          <w:rPr>
                            <w:color w:val="636466"/>
                            <w:w w:val="85"/>
                            <w:sz w:val="11"/>
                          </w:rPr>
                          <w:t>SES</w:t>
                        </w:r>
                        <w:r>
                          <w:rPr>
                            <w:color w:val="636466"/>
                            <w:spacing w:val="-3"/>
                            <w:sz w:val="11"/>
                          </w:rPr>
                          <w:t> </w:t>
                        </w:r>
                        <w:r>
                          <w:rPr>
                            <w:color w:val="636466"/>
                            <w:spacing w:val="-10"/>
                            <w:sz w:val="11"/>
                          </w:rPr>
                          <w:t>2</w:t>
                        </w:r>
                      </w:p>
                      <w:p>
                        <w:pPr>
                          <w:spacing w:before="66"/>
                          <w:ind w:left="981" w:right="0" w:firstLine="0"/>
                          <w:jc w:val="left"/>
                          <w:rPr>
                            <w:sz w:val="11"/>
                          </w:rPr>
                        </w:pPr>
                        <w:r>
                          <w:rPr>
                            <w:color w:val="636466"/>
                            <w:w w:val="85"/>
                            <w:sz w:val="11"/>
                          </w:rPr>
                          <w:t>SES</w:t>
                        </w:r>
                        <w:r>
                          <w:rPr>
                            <w:color w:val="636466"/>
                            <w:spacing w:val="-3"/>
                            <w:sz w:val="11"/>
                          </w:rPr>
                          <w:t> </w:t>
                        </w:r>
                        <w:r>
                          <w:rPr>
                            <w:color w:val="636466"/>
                            <w:spacing w:val="-10"/>
                            <w:sz w:val="11"/>
                          </w:rPr>
                          <w:t>3</w:t>
                        </w:r>
                      </w:p>
                      <w:p>
                        <w:pPr>
                          <w:spacing w:before="91"/>
                          <w:ind w:left="981" w:right="0" w:firstLine="0"/>
                          <w:jc w:val="left"/>
                          <w:rPr>
                            <w:sz w:val="11"/>
                          </w:rPr>
                        </w:pPr>
                        <w:r>
                          <w:rPr>
                            <w:color w:val="636466"/>
                            <w:w w:val="85"/>
                            <w:sz w:val="11"/>
                          </w:rPr>
                          <w:t>SES</w:t>
                        </w:r>
                        <w:r>
                          <w:rPr>
                            <w:color w:val="636466"/>
                            <w:spacing w:val="-3"/>
                            <w:sz w:val="11"/>
                          </w:rPr>
                          <w:t> </w:t>
                        </w:r>
                        <w:r>
                          <w:rPr>
                            <w:color w:val="636466"/>
                            <w:spacing w:val="-10"/>
                            <w:sz w:val="11"/>
                          </w:rPr>
                          <w:t>4</w:t>
                        </w:r>
                      </w:p>
                      <w:p>
                        <w:pPr>
                          <w:spacing w:before="83"/>
                          <w:ind w:left="981" w:right="0" w:firstLine="0"/>
                          <w:jc w:val="left"/>
                          <w:rPr>
                            <w:sz w:val="11"/>
                          </w:rPr>
                        </w:pPr>
                        <w:r>
                          <w:rPr>
                            <w:color w:val="636466"/>
                            <w:w w:val="90"/>
                            <w:sz w:val="11"/>
                          </w:rPr>
                          <w:t>SES</w:t>
                        </w:r>
                        <w:r>
                          <w:rPr>
                            <w:color w:val="636466"/>
                            <w:spacing w:val="-1"/>
                            <w:w w:val="90"/>
                            <w:sz w:val="11"/>
                          </w:rPr>
                          <w:t> </w:t>
                        </w:r>
                        <w:r>
                          <w:rPr>
                            <w:color w:val="636466"/>
                            <w:w w:val="90"/>
                            <w:sz w:val="11"/>
                          </w:rPr>
                          <w:t>5</w:t>
                        </w:r>
                        <w:r>
                          <w:rPr>
                            <w:color w:val="636466"/>
                            <w:spacing w:val="-1"/>
                            <w:sz w:val="11"/>
                          </w:rPr>
                          <w:t> </w:t>
                        </w:r>
                        <w:r>
                          <w:rPr>
                            <w:color w:val="636466"/>
                            <w:spacing w:val="-2"/>
                            <w:w w:val="90"/>
                            <w:sz w:val="11"/>
                          </w:rPr>
                          <w:t>(high)</w:t>
                        </w:r>
                      </w:p>
                    </w:txbxContent>
                  </v:textbox>
                  <w10:wrap type="none"/>
                </v:shape>
                <w10:wrap type="none"/>
              </v:group>
            </w:pict>
          </mc:Fallback>
        </mc:AlternateContent>
      </w:r>
      <w:r>
        <w:rPr>
          <w:color w:val="105C84"/>
        </w:rPr>
        <w:t>the ability to maintain safe and adequate housing,</w:t>
      </w:r>
      <w:r>
        <w:rPr>
          <w:color w:val="105C84"/>
          <w:spacing w:val="40"/>
        </w:rPr>
        <w:t> </w:t>
      </w:r>
      <w:r>
        <w:rPr>
          <w:color w:val="105C84"/>
        </w:rPr>
        <w:t>purchase</w:t>
      </w:r>
      <w:r>
        <w:rPr>
          <w:color w:val="105C84"/>
          <w:spacing w:val="40"/>
        </w:rPr>
        <w:t> </w:t>
      </w:r>
      <w:r>
        <w:rPr>
          <w:color w:val="105C84"/>
        </w:rPr>
        <w:t>healthy</w:t>
      </w:r>
      <w:r>
        <w:rPr>
          <w:color w:val="105C84"/>
          <w:spacing w:val="40"/>
        </w:rPr>
        <w:t> </w:t>
      </w:r>
      <w:r>
        <w:rPr>
          <w:color w:val="105C84"/>
        </w:rPr>
        <w:t>foods,</w:t>
      </w:r>
      <w:r>
        <w:rPr>
          <w:color w:val="105C84"/>
          <w:spacing w:val="40"/>
        </w:rPr>
        <w:t> </w:t>
      </w:r>
      <w:r>
        <w:rPr>
          <w:color w:val="105C84"/>
        </w:rPr>
        <w:t>remain</w:t>
      </w:r>
      <w:r>
        <w:rPr>
          <w:color w:val="105C84"/>
          <w:spacing w:val="40"/>
        </w:rPr>
        <w:t> </w:t>
      </w:r>
      <w:r>
        <w:rPr>
          <w:color w:val="105C84"/>
        </w:rPr>
        <w:t>up to</w:t>
      </w:r>
      <w:r>
        <w:rPr>
          <w:color w:val="105C84"/>
          <w:spacing w:val="32"/>
        </w:rPr>
        <w:t> </w:t>
      </w:r>
      <w:r>
        <w:rPr>
          <w:color w:val="105C84"/>
        </w:rPr>
        <w:t>date</w:t>
      </w:r>
      <w:r>
        <w:rPr>
          <w:color w:val="105C84"/>
          <w:spacing w:val="32"/>
        </w:rPr>
        <w:t> </w:t>
      </w:r>
      <w:r>
        <w:rPr>
          <w:color w:val="105C84"/>
        </w:rPr>
        <w:t>on</w:t>
      </w:r>
      <w:r>
        <w:rPr>
          <w:color w:val="105C84"/>
          <w:spacing w:val="32"/>
        </w:rPr>
        <w:t> </w:t>
      </w:r>
      <w:r>
        <w:rPr>
          <w:color w:val="105C84"/>
        </w:rPr>
        <w:t>health</w:t>
      </w:r>
      <w:r>
        <w:rPr>
          <w:color w:val="105C84"/>
          <w:spacing w:val="32"/>
        </w:rPr>
        <w:t> </w:t>
      </w:r>
      <w:r>
        <w:rPr>
          <w:color w:val="105C84"/>
        </w:rPr>
        <w:t>visits,</w:t>
      </w:r>
      <w:r>
        <w:rPr>
          <w:color w:val="105C84"/>
          <w:spacing w:val="32"/>
        </w:rPr>
        <w:t> </w:t>
      </w:r>
      <w:r>
        <w:rPr>
          <w:color w:val="105C84"/>
        </w:rPr>
        <w:t>and</w:t>
      </w:r>
      <w:r>
        <w:rPr>
          <w:color w:val="105C84"/>
          <w:spacing w:val="32"/>
        </w:rPr>
        <w:t> </w:t>
      </w:r>
      <w:r>
        <w:rPr>
          <w:color w:val="105C84"/>
        </w:rPr>
        <w:t>more.</w:t>
      </w:r>
      <w:r>
        <w:rPr>
          <w:color w:val="105C84"/>
          <w:spacing w:val="32"/>
        </w:rPr>
        <w:t> </w:t>
      </w:r>
      <w:r>
        <w:rPr>
          <w:color w:val="105C84"/>
        </w:rPr>
        <w:t>The</w:t>
      </w:r>
      <w:r>
        <w:rPr>
          <w:color w:val="105C84"/>
          <w:spacing w:val="32"/>
        </w:rPr>
        <w:t> </w:t>
      </w:r>
      <w:r>
        <w:rPr>
          <w:color w:val="105C84"/>
        </w:rPr>
        <w:t>type</w:t>
      </w:r>
      <w:r>
        <w:rPr>
          <w:color w:val="105C84"/>
        </w:rPr>
        <w:t> of position a person holds plays a significant role in the individual’s ability to become self-sufficient and is closely related to educational attainment. Higher paid jobs are directly correlated to greater self-sufficiency. The 2017</w:t>
      </w:r>
    </w:p>
    <w:p>
      <w:pPr>
        <w:pStyle w:val="BodyText"/>
        <w:spacing w:line="247" w:lineRule="auto"/>
        <w:ind w:left="1094" w:right="35"/>
      </w:pPr>
      <w:r>
        <w:rPr>
          <w:color w:val="105C84"/>
        </w:rPr>
        <w:t>American</w:t>
      </w:r>
      <w:r>
        <w:rPr>
          <w:color w:val="105C84"/>
          <w:spacing w:val="-3"/>
        </w:rPr>
        <w:t> </w:t>
      </w:r>
      <w:r>
        <w:rPr>
          <w:color w:val="105C84"/>
        </w:rPr>
        <w:t>Community</w:t>
      </w:r>
      <w:r>
        <w:rPr>
          <w:color w:val="105C84"/>
          <w:spacing w:val="-3"/>
        </w:rPr>
        <w:t> </w:t>
      </w:r>
      <w:r>
        <w:rPr>
          <w:color w:val="105C84"/>
        </w:rPr>
        <w:t>Survey</w:t>
      </w:r>
      <w:r>
        <w:rPr>
          <w:color w:val="105C84"/>
          <w:spacing w:val="-3"/>
        </w:rPr>
        <w:t> </w:t>
      </w:r>
      <w:r>
        <w:rPr>
          <w:color w:val="105C84"/>
        </w:rPr>
        <w:t>estimates</w:t>
      </w:r>
      <w:r>
        <w:rPr>
          <w:color w:val="105C84"/>
          <w:spacing w:val="-3"/>
        </w:rPr>
        <w:t> </w:t>
      </w:r>
      <w:r>
        <w:rPr>
          <w:color w:val="105C84"/>
        </w:rPr>
        <w:t>28%</w:t>
      </w:r>
      <w:r>
        <w:rPr>
          <w:color w:val="105C84"/>
          <w:spacing w:val="-3"/>
        </w:rPr>
        <w:t> </w:t>
      </w:r>
      <w:r>
        <w:rPr>
          <w:color w:val="105C84"/>
        </w:rPr>
        <w:t>of regional residents have received a Bachelor’s degree or higher, which has increased since 2012 (26%).</w:t>
      </w:r>
    </w:p>
    <w:p>
      <w:pPr>
        <w:pStyle w:val="BodyText"/>
        <w:spacing w:before="11"/>
      </w:pPr>
    </w:p>
    <w:p>
      <w:pPr>
        <w:pStyle w:val="Heading6"/>
        <w:ind w:left="1094"/>
      </w:pPr>
      <w:r>
        <w:rPr>
          <w:color w:val="105C84"/>
          <w:spacing w:val="-2"/>
        </w:rPr>
        <w:t>Unemployment</w:t>
      </w:r>
    </w:p>
    <w:p>
      <w:pPr>
        <w:pStyle w:val="BodyText"/>
        <w:spacing w:line="247" w:lineRule="auto" w:before="269"/>
        <w:ind w:left="1094" w:right="146"/>
      </w:pPr>
      <w:r>
        <w:rPr>
          <w:color w:val="105C84"/>
        </w:rPr>
        <w:t>Unemployment</w:t>
      </w:r>
      <w:r>
        <w:rPr>
          <w:color w:val="105C84"/>
          <w:spacing w:val="40"/>
        </w:rPr>
        <w:t> </w:t>
      </w:r>
      <w:r>
        <w:rPr>
          <w:color w:val="105C84"/>
        </w:rPr>
        <w:t>in</w:t>
      </w:r>
      <w:r>
        <w:rPr>
          <w:color w:val="105C84"/>
          <w:spacing w:val="40"/>
        </w:rPr>
        <w:t> </w:t>
      </w:r>
      <w:r>
        <w:rPr>
          <w:color w:val="105C84"/>
        </w:rPr>
        <w:t>the</w:t>
      </w:r>
      <w:r>
        <w:rPr>
          <w:color w:val="105C84"/>
          <w:spacing w:val="40"/>
        </w:rPr>
        <w:t> </w:t>
      </w:r>
      <w:r>
        <w:rPr>
          <w:color w:val="105C84"/>
        </w:rPr>
        <w:t>Finger</w:t>
      </w:r>
      <w:r>
        <w:rPr>
          <w:color w:val="105C84"/>
          <w:spacing w:val="40"/>
        </w:rPr>
        <w:t> </w:t>
      </w:r>
      <w:r>
        <w:rPr>
          <w:color w:val="105C84"/>
        </w:rPr>
        <w:t>Lakes</w:t>
      </w:r>
      <w:r>
        <w:rPr>
          <w:color w:val="105C84"/>
          <w:spacing w:val="40"/>
        </w:rPr>
        <w:t> </w:t>
      </w:r>
      <w:r>
        <w:rPr>
          <w:color w:val="105C84"/>
        </w:rPr>
        <w:t>region</w:t>
      </w:r>
      <w:r>
        <w:rPr>
          <w:color w:val="105C84"/>
        </w:rPr>
        <w:t> has declined since 2012, as shown in Table 1. The percent of the population who are not in the labor force, however, has increased. It is important to note the percent not in the labor</w:t>
      </w:r>
      <w:r>
        <w:rPr>
          <w:color w:val="105C84"/>
          <w:spacing w:val="40"/>
        </w:rPr>
        <w:t> </w:t>
      </w:r>
      <w:r>
        <w:rPr>
          <w:color w:val="105C84"/>
        </w:rPr>
        <w:t>force includes those over the age of 65. With</w:t>
      </w:r>
      <w:r>
        <w:rPr>
          <w:color w:val="105C84"/>
          <w:spacing w:val="80"/>
        </w:rPr>
        <w:t> </w:t>
      </w:r>
      <w:r>
        <w:rPr>
          <w:color w:val="105C84"/>
        </w:rPr>
        <w:t>a growing number of elderly in the region,</w:t>
      </w:r>
    </w:p>
    <w:p>
      <w:pPr>
        <w:pStyle w:val="BodyText"/>
        <w:spacing w:line="247" w:lineRule="auto"/>
        <w:ind w:left="1094" w:right="35"/>
      </w:pPr>
      <w:r>
        <w:rPr>
          <w:color w:val="105C84"/>
        </w:rPr>
        <w:t>it is not surprising that this rate has increased since 2012.</w:t>
      </w:r>
    </w:p>
    <w:p>
      <w:pPr>
        <w:pStyle w:val="Heading6"/>
        <w:spacing w:before="209"/>
        <w:ind w:left="449" w:right="38"/>
      </w:pPr>
      <w:r>
        <w:rPr>
          <w:b w:val="0"/>
        </w:rPr>
        <w:br w:type="column"/>
      </w:r>
      <w:r>
        <w:rPr>
          <w:color w:val="105C84"/>
          <w:spacing w:val="-4"/>
        </w:rPr>
        <w:t>MAP</w:t>
      </w:r>
      <w:r>
        <w:rPr>
          <w:color w:val="105C84"/>
          <w:spacing w:val="-15"/>
        </w:rPr>
        <w:t> </w:t>
      </w:r>
      <w:r>
        <w:rPr>
          <w:color w:val="105C84"/>
          <w:spacing w:val="-4"/>
        </w:rPr>
        <w:t>3:</w:t>
      </w:r>
      <w:r>
        <w:rPr>
          <w:color w:val="105C84"/>
          <w:spacing w:val="-14"/>
        </w:rPr>
        <w:t> </w:t>
      </w:r>
      <w:r>
        <w:rPr>
          <w:color w:val="105C84"/>
          <w:spacing w:val="-4"/>
        </w:rPr>
        <w:t>Socioeconomic</w:t>
      </w:r>
      <w:r>
        <w:rPr>
          <w:color w:val="105C84"/>
          <w:spacing w:val="-14"/>
        </w:rPr>
        <w:t> </w:t>
      </w:r>
      <w:r>
        <w:rPr>
          <w:color w:val="105C84"/>
          <w:spacing w:val="-4"/>
        </w:rPr>
        <w:t>status</w:t>
      </w:r>
      <w:r>
        <w:rPr>
          <w:color w:val="105C84"/>
          <w:spacing w:val="-14"/>
        </w:rPr>
        <w:t> </w:t>
      </w:r>
      <w:r>
        <w:rPr>
          <w:color w:val="105C84"/>
          <w:spacing w:val="-4"/>
        </w:rPr>
        <w:t>in</w:t>
      </w:r>
      <w:r>
        <w:rPr>
          <w:color w:val="105C84"/>
          <w:spacing w:val="-14"/>
        </w:rPr>
        <w:t> </w:t>
      </w:r>
      <w:r>
        <w:rPr>
          <w:color w:val="105C84"/>
          <w:spacing w:val="-4"/>
        </w:rPr>
        <w:t>the </w:t>
      </w:r>
      <w:r>
        <w:rPr>
          <w:color w:val="105C84"/>
        </w:rPr>
        <w:t>eight-county Finger Lakes region</w:t>
      </w:r>
    </w:p>
    <w:p>
      <w:pPr>
        <w:pStyle w:val="BodyText"/>
        <w:rPr>
          <w:b/>
          <w:sz w:val="16"/>
        </w:rPr>
      </w:pPr>
      <w:r>
        <w:rPr/>
        <w:br w:type="column"/>
      </w:r>
      <w:r>
        <w:rPr>
          <w:b/>
          <w:sz w:val="16"/>
        </w:rPr>
      </w: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spacing w:before="105"/>
        <w:rPr>
          <w:b/>
          <w:sz w:val="16"/>
        </w:rPr>
      </w:pPr>
    </w:p>
    <w:p>
      <w:pPr>
        <w:spacing w:before="0"/>
        <w:ind w:left="1094" w:right="0" w:firstLine="0"/>
        <w:jc w:val="left"/>
        <w:rPr>
          <w:sz w:val="16"/>
        </w:rPr>
      </w:pPr>
      <w:r>
        <w:rPr>
          <w:sz w:val="16"/>
        </w:rPr>
        <mc:AlternateContent>
          <mc:Choice Requires="wps">
            <w:drawing>
              <wp:anchor distT="0" distB="0" distL="0" distR="0" allowOverlap="1" layoutInCell="1" locked="0" behindDoc="0" simplePos="0" relativeHeight="15746560">
                <wp:simplePos x="0" y="0"/>
                <wp:positionH relativeFrom="page">
                  <wp:posOffset>8416543</wp:posOffset>
                </wp:positionH>
                <wp:positionV relativeFrom="paragraph">
                  <wp:posOffset>-3088044</wp:posOffset>
                </wp:positionV>
                <wp:extent cx="6252210" cy="2902585"/>
                <wp:effectExtent l="0" t="0" r="0" b="0"/>
                <wp:wrapNone/>
                <wp:docPr id="138" name="Textbox 138"/>
                <wp:cNvGraphicFramePr>
                  <a:graphicFrameLocks/>
                </wp:cNvGraphicFramePr>
                <a:graphic>
                  <a:graphicData uri="http://schemas.microsoft.com/office/word/2010/wordprocessingShape">
                    <wps:wsp>
                      <wps:cNvPr id="138" name="Textbox 138"/>
                      <wps:cNvSpPr txBox="1"/>
                      <wps:spPr>
                        <a:xfrm>
                          <a:off x="0" y="0"/>
                          <a:ext cx="6252210" cy="2902585"/>
                        </a:xfrm>
                        <a:prstGeom prst="rect">
                          <a:avLst/>
                        </a:prstGeom>
                      </wps:spPr>
                      <wps:txbx>
                        <w:txbxContent>
                          <w:tbl>
                            <w:tblPr>
                              <w:tblW w:w="0" w:type="auto"/>
                              <w:jc w:val="left"/>
                              <w:tblInd w:w="62"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top w:w="0" w:type="dxa"/>
                                <w:left w:w="0" w:type="dxa"/>
                                <w:bottom w:w="0" w:type="dxa"/>
                                <w:right w:w="0" w:type="dxa"/>
                              </w:tblCellMar>
                              <w:tblLook w:val="01E0"/>
                            </w:tblPr>
                            <w:tblGrid>
                              <w:gridCol w:w="1861"/>
                              <w:gridCol w:w="1965"/>
                              <w:gridCol w:w="1965"/>
                              <w:gridCol w:w="1965"/>
                              <w:gridCol w:w="1965"/>
                            </w:tblGrid>
                            <w:tr>
                              <w:trPr>
                                <w:trHeight w:val="453" w:hRule="atLeast"/>
                              </w:trPr>
                              <w:tc>
                                <w:tcPr>
                                  <w:tcW w:w="5791" w:type="dxa"/>
                                  <w:gridSpan w:val="3"/>
                                  <w:shd w:val="clear" w:color="auto" w:fill="DCDDDE"/>
                                </w:tcPr>
                                <w:p>
                                  <w:pPr>
                                    <w:pStyle w:val="TableParagraph"/>
                                    <w:spacing w:before="94"/>
                                    <w:ind w:left="3517"/>
                                    <w:rPr>
                                      <w:b/>
                                      <w:sz w:val="26"/>
                                    </w:rPr>
                                  </w:pPr>
                                  <w:r>
                                    <w:rPr>
                                      <w:b/>
                                      <w:color w:val="105C84"/>
                                      <w:spacing w:val="-4"/>
                                      <w:w w:val="105"/>
                                      <w:sz w:val="26"/>
                                    </w:rPr>
                                    <w:t>2012</w:t>
                                  </w:r>
                                </w:p>
                              </w:tc>
                              <w:tc>
                                <w:tcPr>
                                  <w:tcW w:w="3930" w:type="dxa"/>
                                  <w:gridSpan w:val="2"/>
                                  <w:shd w:val="clear" w:color="auto" w:fill="DCDDDE"/>
                                </w:tcPr>
                                <w:p>
                                  <w:pPr>
                                    <w:pStyle w:val="TableParagraph"/>
                                    <w:spacing w:before="94"/>
                                    <w:ind w:left="4"/>
                                    <w:jc w:val="center"/>
                                    <w:rPr>
                                      <w:b/>
                                      <w:sz w:val="26"/>
                                    </w:rPr>
                                  </w:pPr>
                                  <w:r>
                                    <w:rPr>
                                      <w:b/>
                                      <w:color w:val="105C84"/>
                                      <w:spacing w:val="-4"/>
                                      <w:w w:val="105"/>
                                      <w:sz w:val="26"/>
                                    </w:rPr>
                                    <w:t>2017</w:t>
                                  </w:r>
                                </w:p>
                              </w:tc>
                            </w:tr>
                            <w:tr>
                              <w:trPr>
                                <w:trHeight w:val="743" w:hRule="atLeast"/>
                              </w:trPr>
                              <w:tc>
                                <w:tcPr>
                                  <w:tcW w:w="1861" w:type="dxa"/>
                                  <w:shd w:val="clear" w:color="auto" w:fill="EFEFF0"/>
                                </w:tcPr>
                                <w:p>
                                  <w:pPr>
                                    <w:pStyle w:val="TableParagraph"/>
                                    <w:rPr>
                                      <w:rFonts w:ascii="Times New Roman"/>
                                      <w:sz w:val="20"/>
                                    </w:rPr>
                                  </w:pPr>
                                </w:p>
                              </w:tc>
                              <w:tc>
                                <w:tcPr>
                                  <w:tcW w:w="1965" w:type="dxa"/>
                                  <w:shd w:val="clear" w:color="auto" w:fill="EFEFF0"/>
                                </w:tcPr>
                                <w:p>
                                  <w:pPr>
                                    <w:pStyle w:val="TableParagraph"/>
                                    <w:spacing w:line="230" w:lineRule="auto" w:before="163"/>
                                    <w:ind w:left="102" w:firstLine="150"/>
                                    <w:rPr>
                                      <w:b/>
                                      <w:sz w:val="20"/>
                                    </w:rPr>
                                  </w:pPr>
                                  <w:r>
                                    <w:rPr>
                                      <w:b/>
                                      <w:color w:val="105C84"/>
                                      <w:sz w:val="20"/>
                                    </w:rPr>
                                    <w:t>% 16+ in Labor force</w:t>
                                  </w:r>
                                  <w:r>
                                    <w:rPr>
                                      <w:b/>
                                      <w:color w:val="105C84"/>
                                      <w:spacing w:val="-14"/>
                                      <w:sz w:val="20"/>
                                    </w:rPr>
                                    <w:t> </w:t>
                                  </w:r>
                                  <w:r>
                                    <w:rPr>
                                      <w:b/>
                                      <w:color w:val="105C84"/>
                                      <w:sz w:val="20"/>
                                    </w:rPr>
                                    <w:t>Unemployed</w:t>
                                  </w:r>
                                </w:p>
                              </w:tc>
                              <w:tc>
                                <w:tcPr>
                                  <w:tcW w:w="1965" w:type="dxa"/>
                                  <w:shd w:val="clear" w:color="auto" w:fill="EFEFF0"/>
                                </w:tcPr>
                                <w:p>
                                  <w:pPr>
                                    <w:pStyle w:val="TableParagraph"/>
                                    <w:spacing w:line="230" w:lineRule="auto" w:before="163"/>
                                    <w:ind w:left="413" w:hanging="70"/>
                                    <w:rPr>
                                      <w:b/>
                                      <w:sz w:val="20"/>
                                    </w:rPr>
                                  </w:pPr>
                                  <w:r>
                                    <w:rPr>
                                      <w:b/>
                                      <w:color w:val="105C84"/>
                                      <w:sz w:val="20"/>
                                    </w:rPr>
                                    <w:t>% 16+ Not </w:t>
                                  </w:r>
                                  <w:r>
                                    <w:rPr>
                                      <w:b/>
                                      <w:color w:val="105C84"/>
                                      <w:sz w:val="20"/>
                                    </w:rPr>
                                    <w:t>in Labor Force</w:t>
                                  </w:r>
                                </w:p>
                              </w:tc>
                              <w:tc>
                                <w:tcPr>
                                  <w:tcW w:w="1965" w:type="dxa"/>
                                  <w:shd w:val="clear" w:color="auto" w:fill="EFEFF0"/>
                                </w:tcPr>
                                <w:p>
                                  <w:pPr>
                                    <w:pStyle w:val="TableParagraph"/>
                                    <w:spacing w:line="230" w:lineRule="auto" w:before="163"/>
                                    <w:ind w:left="102" w:firstLine="150"/>
                                    <w:rPr>
                                      <w:b/>
                                      <w:sz w:val="20"/>
                                    </w:rPr>
                                  </w:pPr>
                                  <w:r>
                                    <w:rPr>
                                      <w:b/>
                                      <w:color w:val="105C84"/>
                                      <w:sz w:val="20"/>
                                    </w:rPr>
                                    <w:t>% 16+ in Labor force</w:t>
                                  </w:r>
                                  <w:r>
                                    <w:rPr>
                                      <w:b/>
                                      <w:color w:val="105C84"/>
                                      <w:spacing w:val="-14"/>
                                      <w:sz w:val="20"/>
                                    </w:rPr>
                                    <w:t> </w:t>
                                  </w:r>
                                  <w:r>
                                    <w:rPr>
                                      <w:b/>
                                      <w:color w:val="105C84"/>
                                      <w:sz w:val="20"/>
                                    </w:rPr>
                                    <w:t>Unemployed</w:t>
                                  </w:r>
                                </w:p>
                              </w:tc>
                              <w:tc>
                                <w:tcPr>
                                  <w:tcW w:w="1965" w:type="dxa"/>
                                  <w:shd w:val="clear" w:color="auto" w:fill="EFEFF0"/>
                                </w:tcPr>
                                <w:p>
                                  <w:pPr>
                                    <w:pStyle w:val="TableParagraph"/>
                                    <w:spacing w:line="230" w:lineRule="auto" w:before="163"/>
                                    <w:ind w:left="413" w:hanging="70"/>
                                    <w:rPr>
                                      <w:b/>
                                      <w:sz w:val="20"/>
                                    </w:rPr>
                                  </w:pPr>
                                  <w:r>
                                    <w:rPr>
                                      <w:b/>
                                      <w:color w:val="105C84"/>
                                      <w:sz w:val="20"/>
                                    </w:rPr>
                                    <w:t>% 16+ Not </w:t>
                                  </w:r>
                                  <w:r>
                                    <w:rPr>
                                      <w:b/>
                                      <w:color w:val="105C84"/>
                                      <w:sz w:val="20"/>
                                    </w:rPr>
                                    <w:t>in Labor Force</w:t>
                                  </w:r>
                                </w:p>
                              </w:tc>
                            </w:tr>
                            <w:tr>
                              <w:trPr>
                                <w:trHeight w:val="331" w:hRule="atLeast"/>
                              </w:trPr>
                              <w:tc>
                                <w:tcPr>
                                  <w:tcW w:w="1861" w:type="dxa"/>
                                  <w:shd w:val="clear" w:color="auto" w:fill="DCDDDE"/>
                                </w:tcPr>
                                <w:p>
                                  <w:pPr>
                                    <w:pStyle w:val="TableParagraph"/>
                                    <w:spacing w:before="59"/>
                                    <w:ind w:left="90"/>
                                    <w:rPr>
                                      <w:b/>
                                      <w:sz w:val="20"/>
                                    </w:rPr>
                                  </w:pPr>
                                  <w:r>
                                    <w:rPr>
                                      <w:b/>
                                      <w:color w:val="105C84"/>
                                      <w:spacing w:val="-2"/>
                                      <w:sz w:val="20"/>
                                    </w:rPr>
                                    <w:t>Chemung</w:t>
                                  </w:r>
                                </w:p>
                              </w:tc>
                              <w:tc>
                                <w:tcPr>
                                  <w:tcW w:w="1965" w:type="dxa"/>
                                </w:tcPr>
                                <w:p>
                                  <w:pPr>
                                    <w:pStyle w:val="TableParagraph"/>
                                    <w:spacing w:before="59"/>
                                    <w:ind w:left="6" w:right="2"/>
                                    <w:jc w:val="center"/>
                                    <w:rPr>
                                      <w:sz w:val="20"/>
                                    </w:rPr>
                                  </w:pPr>
                                  <w:r>
                                    <w:rPr>
                                      <w:color w:val="105C84"/>
                                      <w:spacing w:val="-10"/>
                                      <w:sz w:val="20"/>
                                    </w:rPr>
                                    <w:t>7</w:t>
                                  </w:r>
                                </w:p>
                              </w:tc>
                              <w:tc>
                                <w:tcPr>
                                  <w:tcW w:w="1965" w:type="dxa"/>
                                </w:tcPr>
                                <w:p>
                                  <w:pPr>
                                    <w:pStyle w:val="TableParagraph"/>
                                    <w:spacing w:before="59"/>
                                    <w:ind w:left="6"/>
                                    <w:jc w:val="center"/>
                                    <w:rPr>
                                      <w:sz w:val="20"/>
                                    </w:rPr>
                                  </w:pPr>
                                  <w:r>
                                    <w:rPr>
                                      <w:color w:val="105C84"/>
                                      <w:spacing w:val="-5"/>
                                      <w:sz w:val="20"/>
                                    </w:rPr>
                                    <w:t>41</w:t>
                                  </w:r>
                                </w:p>
                              </w:tc>
                              <w:tc>
                                <w:tcPr>
                                  <w:tcW w:w="1965" w:type="dxa"/>
                                </w:tcPr>
                                <w:p>
                                  <w:pPr>
                                    <w:pStyle w:val="TableParagraph"/>
                                    <w:spacing w:before="59"/>
                                    <w:ind w:left="6" w:right="2"/>
                                    <w:jc w:val="center"/>
                                    <w:rPr>
                                      <w:sz w:val="20"/>
                                    </w:rPr>
                                  </w:pPr>
                                  <w:r>
                                    <w:rPr>
                                      <w:color w:val="105C84"/>
                                      <w:spacing w:val="-10"/>
                                      <w:sz w:val="20"/>
                                    </w:rPr>
                                    <w:t>5</w:t>
                                  </w:r>
                                </w:p>
                              </w:tc>
                              <w:tc>
                                <w:tcPr>
                                  <w:tcW w:w="1965" w:type="dxa"/>
                                </w:tcPr>
                                <w:p>
                                  <w:pPr>
                                    <w:pStyle w:val="TableParagraph"/>
                                    <w:spacing w:before="59"/>
                                    <w:ind w:left="6"/>
                                    <w:jc w:val="center"/>
                                    <w:rPr>
                                      <w:sz w:val="20"/>
                                    </w:rPr>
                                  </w:pPr>
                                  <w:r>
                                    <w:rPr>
                                      <w:color w:val="105C84"/>
                                      <w:spacing w:val="-5"/>
                                      <w:sz w:val="20"/>
                                    </w:rPr>
                                    <w:t>43</w:t>
                                  </w:r>
                                </w:p>
                              </w:tc>
                            </w:tr>
                            <w:tr>
                              <w:trPr>
                                <w:trHeight w:val="331" w:hRule="atLeast"/>
                              </w:trPr>
                              <w:tc>
                                <w:tcPr>
                                  <w:tcW w:w="1861" w:type="dxa"/>
                                  <w:shd w:val="clear" w:color="auto" w:fill="DCDDDE"/>
                                </w:tcPr>
                                <w:p>
                                  <w:pPr>
                                    <w:pStyle w:val="TableParagraph"/>
                                    <w:spacing w:before="59"/>
                                    <w:ind w:left="89"/>
                                    <w:rPr>
                                      <w:b/>
                                      <w:sz w:val="20"/>
                                    </w:rPr>
                                  </w:pPr>
                                  <w:r>
                                    <w:rPr>
                                      <w:b/>
                                      <w:color w:val="105C84"/>
                                      <w:spacing w:val="-2"/>
                                      <w:sz w:val="20"/>
                                    </w:rPr>
                                    <w:t>Livingston</w:t>
                                  </w:r>
                                </w:p>
                              </w:tc>
                              <w:tc>
                                <w:tcPr>
                                  <w:tcW w:w="1965" w:type="dxa"/>
                                </w:tcPr>
                                <w:p>
                                  <w:pPr>
                                    <w:pStyle w:val="TableParagraph"/>
                                    <w:spacing w:before="59"/>
                                    <w:ind w:left="6" w:right="2"/>
                                    <w:jc w:val="center"/>
                                    <w:rPr>
                                      <w:sz w:val="20"/>
                                    </w:rPr>
                                  </w:pPr>
                                  <w:r>
                                    <w:rPr>
                                      <w:color w:val="105C84"/>
                                      <w:spacing w:val="-10"/>
                                      <w:sz w:val="20"/>
                                    </w:rPr>
                                    <w:t>6</w:t>
                                  </w:r>
                                </w:p>
                              </w:tc>
                              <w:tc>
                                <w:tcPr>
                                  <w:tcW w:w="1965" w:type="dxa"/>
                                </w:tcPr>
                                <w:p>
                                  <w:pPr>
                                    <w:pStyle w:val="TableParagraph"/>
                                    <w:spacing w:before="59"/>
                                    <w:ind w:left="6"/>
                                    <w:jc w:val="center"/>
                                    <w:rPr>
                                      <w:sz w:val="20"/>
                                    </w:rPr>
                                  </w:pPr>
                                  <w:r>
                                    <w:rPr>
                                      <w:color w:val="105C84"/>
                                      <w:spacing w:val="-5"/>
                                      <w:sz w:val="20"/>
                                    </w:rPr>
                                    <w:t>39</w:t>
                                  </w:r>
                                </w:p>
                              </w:tc>
                              <w:tc>
                                <w:tcPr>
                                  <w:tcW w:w="1965" w:type="dxa"/>
                                </w:tcPr>
                                <w:p>
                                  <w:pPr>
                                    <w:pStyle w:val="TableParagraph"/>
                                    <w:spacing w:before="59"/>
                                    <w:ind w:left="6" w:right="2"/>
                                    <w:jc w:val="center"/>
                                    <w:rPr>
                                      <w:sz w:val="20"/>
                                    </w:rPr>
                                  </w:pPr>
                                  <w:r>
                                    <w:rPr>
                                      <w:color w:val="105C84"/>
                                      <w:spacing w:val="-10"/>
                                      <w:sz w:val="20"/>
                                    </w:rPr>
                                    <w:t>5</w:t>
                                  </w:r>
                                </w:p>
                              </w:tc>
                              <w:tc>
                                <w:tcPr>
                                  <w:tcW w:w="1965" w:type="dxa"/>
                                </w:tcPr>
                                <w:p>
                                  <w:pPr>
                                    <w:pStyle w:val="TableParagraph"/>
                                    <w:spacing w:before="59"/>
                                    <w:ind w:left="6"/>
                                    <w:jc w:val="center"/>
                                    <w:rPr>
                                      <w:sz w:val="20"/>
                                    </w:rPr>
                                  </w:pPr>
                                  <w:r>
                                    <w:rPr>
                                      <w:color w:val="105C84"/>
                                      <w:spacing w:val="-5"/>
                                      <w:sz w:val="20"/>
                                    </w:rPr>
                                    <w:t>43</w:t>
                                  </w:r>
                                </w:p>
                              </w:tc>
                            </w:tr>
                            <w:tr>
                              <w:trPr>
                                <w:trHeight w:val="331" w:hRule="atLeast"/>
                              </w:trPr>
                              <w:tc>
                                <w:tcPr>
                                  <w:tcW w:w="1861" w:type="dxa"/>
                                  <w:shd w:val="clear" w:color="auto" w:fill="DCDDDE"/>
                                </w:tcPr>
                                <w:p>
                                  <w:pPr>
                                    <w:pStyle w:val="TableParagraph"/>
                                    <w:spacing w:before="59"/>
                                    <w:ind w:left="89"/>
                                    <w:rPr>
                                      <w:b/>
                                      <w:sz w:val="20"/>
                                    </w:rPr>
                                  </w:pPr>
                                  <w:r>
                                    <w:rPr>
                                      <w:b/>
                                      <w:color w:val="105C84"/>
                                      <w:spacing w:val="-2"/>
                                      <w:sz w:val="20"/>
                                    </w:rPr>
                                    <w:t>Ontario</w:t>
                                  </w:r>
                                </w:p>
                              </w:tc>
                              <w:tc>
                                <w:tcPr>
                                  <w:tcW w:w="1965" w:type="dxa"/>
                                </w:tcPr>
                                <w:p>
                                  <w:pPr>
                                    <w:pStyle w:val="TableParagraph"/>
                                    <w:spacing w:before="59"/>
                                    <w:ind w:left="6" w:right="2"/>
                                    <w:jc w:val="center"/>
                                    <w:rPr>
                                      <w:sz w:val="20"/>
                                    </w:rPr>
                                  </w:pPr>
                                  <w:r>
                                    <w:rPr>
                                      <w:color w:val="105C84"/>
                                      <w:spacing w:val="-10"/>
                                      <w:sz w:val="20"/>
                                    </w:rPr>
                                    <w:t>7</w:t>
                                  </w:r>
                                </w:p>
                              </w:tc>
                              <w:tc>
                                <w:tcPr>
                                  <w:tcW w:w="1965" w:type="dxa"/>
                                </w:tcPr>
                                <w:p>
                                  <w:pPr>
                                    <w:pStyle w:val="TableParagraph"/>
                                    <w:spacing w:before="59"/>
                                    <w:ind w:left="6"/>
                                    <w:jc w:val="center"/>
                                    <w:rPr>
                                      <w:sz w:val="20"/>
                                    </w:rPr>
                                  </w:pPr>
                                  <w:r>
                                    <w:rPr>
                                      <w:color w:val="105C84"/>
                                      <w:spacing w:val="-5"/>
                                      <w:sz w:val="20"/>
                                    </w:rPr>
                                    <w:t>34</w:t>
                                  </w:r>
                                </w:p>
                              </w:tc>
                              <w:tc>
                                <w:tcPr>
                                  <w:tcW w:w="1965" w:type="dxa"/>
                                </w:tcPr>
                                <w:p>
                                  <w:pPr>
                                    <w:pStyle w:val="TableParagraph"/>
                                    <w:spacing w:before="59"/>
                                    <w:ind w:left="6" w:right="2"/>
                                    <w:jc w:val="center"/>
                                    <w:rPr>
                                      <w:sz w:val="20"/>
                                    </w:rPr>
                                  </w:pPr>
                                  <w:r>
                                    <w:rPr>
                                      <w:color w:val="105C84"/>
                                      <w:spacing w:val="-10"/>
                                      <w:sz w:val="20"/>
                                    </w:rPr>
                                    <w:t>5</w:t>
                                  </w:r>
                                </w:p>
                              </w:tc>
                              <w:tc>
                                <w:tcPr>
                                  <w:tcW w:w="1965" w:type="dxa"/>
                                </w:tcPr>
                                <w:p>
                                  <w:pPr>
                                    <w:pStyle w:val="TableParagraph"/>
                                    <w:spacing w:before="59"/>
                                    <w:ind w:left="6"/>
                                    <w:jc w:val="center"/>
                                    <w:rPr>
                                      <w:sz w:val="20"/>
                                    </w:rPr>
                                  </w:pPr>
                                  <w:r>
                                    <w:rPr>
                                      <w:color w:val="105C84"/>
                                      <w:spacing w:val="-5"/>
                                      <w:sz w:val="20"/>
                                    </w:rPr>
                                    <w:t>36</w:t>
                                  </w:r>
                                </w:p>
                              </w:tc>
                            </w:tr>
                            <w:tr>
                              <w:trPr>
                                <w:trHeight w:val="331" w:hRule="atLeast"/>
                              </w:trPr>
                              <w:tc>
                                <w:tcPr>
                                  <w:tcW w:w="1861" w:type="dxa"/>
                                  <w:shd w:val="clear" w:color="auto" w:fill="DCDDDE"/>
                                </w:tcPr>
                                <w:p>
                                  <w:pPr>
                                    <w:pStyle w:val="TableParagraph"/>
                                    <w:spacing w:before="59"/>
                                    <w:ind w:left="89"/>
                                    <w:rPr>
                                      <w:b/>
                                      <w:sz w:val="20"/>
                                    </w:rPr>
                                  </w:pPr>
                                  <w:r>
                                    <w:rPr>
                                      <w:b/>
                                      <w:color w:val="105C84"/>
                                      <w:spacing w:val="-2"/>
                                      <w:sz w:val="20"/>
                                    </w:rPr>
                                    <w:t>Schuyler</w:t>
                                  </w:r>
                                </w:p>
                              </w:tc>
                              <w:tc>
                                <w:tcPr>
                                  <w:tcW w:w="1965" w:type="dxa"/>
                                </w:tcPr>
                                <w:p>
                                  <w:pPr>
                                    <w:pStyle w:val="TableParagraph"/>
                                    <w:spacing w:before="59"/>
                                    <w:ind w:left="6" w:right="2"/>
                                    <w:jc w:val="center"/>
                                    <w:rPr>
                                      <w:sz w:val="20"/>
                                    </w:rPr>
                                  </w:pPr>
                                  <w:r>
                                    <w:rPr>
                                      <w:color w:val="105C84"/>
                                      <w:spacing w:val="-10"/>
                                      <w:sz w:val="20"/>
                                    </w:rPr>
                                    <w:t>6</w:t>
                                  </w:r>
                                </w:p>
                              </w:tc>
                              <w:tc>
                                <w:tcPr>
                                  <w:tcW w:w="1965" w:type="dxa"/>
                                </w:tcPr>
                                <w:p>
                                  <w:pPr>
                                    <w:pStyle w:val="TableParagraph"/>
                                    <w:spacing w:before="59"/>
                                    <w:ind w:left="6"/>
                                    <w:jc w:val="center"/>
                                    <w:rPr>
                                      <w:sz w:val="20"/>
                                    </w:rPr>
                                  </w:pPr>
                                  <w:r>
                                    <w:rPr>
                                      <w:color w:val="105C84"/>
                                      <w:spacing w:val="-5"/>
                                      <w:sz w:val="20"/>
                                    </w:rPr>
                                    <w:t>41</w:t>
                                  </w:r>
                                </w:p>
                              </w:tc>
                              <w:tc>
                                <w:tcPr>
                                  <w:tcW w:w="1965" w:type="dxa"/>
                                </w:tcPr>
                                <w:p>
                                  <w:pPr>
                                    <w:pStyle w:val="TableParagraph"/>
                                    <w:spacing w:before="59"/>
                                    <w:ind w:left="6" w:right="2"/>
                                    <w:jc w:val="center"/>
                                    <w:rPr>
                                      <w:sz w:val="20"/>
                                    </w:rPr>
                                  </w:pPr>
                                  <w:r>
                                    <w:rPr>
                                      <w:color w:val="105C84"/>
                                      <w:spacing w:val="-10"/>
                                      <w:sz w:val="20"/>
                                    </w:rPr>
                                    <w:t>7</w:t>
                                  </w:r>
                                </w:p>
                              </w:tc>
                              <w:tc>
                                <w:tcPr>
                                  <w:tcW w:w="1965" w:type="dxa"/>
                                </w:tcPr>
                                <w:p>
                                  <w:pPr>
                                    <w:pStyle w:val="TableParagraph"/>
                                    <w:spacing w:before="59"/>
                                    <w:ind w:left="6"/>
                                    <w:jc w:val="center"/>
                                    <w:rPr>
                                      <w:sz w:val="20"/>
                                    </w:rPr>
                                  </w:pPr>
                                  <w:r>
                                    <w:rPr>
                                      <w:color w:val="105C84"/>
                                      <w:spacing w:val="-5"/>
                                      <w:sz w:val="20"/>
                                    </w:rPr>
                                    <w:t>41</w:t>
                                  </w:r>
                                </w:p>
                              </w:tc>
                            </w:tr>
                            <w:tr>
                              <w:trPr>
                                <w:trHeight w:val="331" w:hRule="atLeast"/>
                              </w:trPr>
                              <w:tc>
                                <w:tcPr>
                                  <w:tcW w:w="1861" w:type="dxa"/>
                                  <w:shd w:val="clear" w:color="auto" w:fill="DCDDDE"/>
                                </w:tcPr>
                                <w:p>
                                  <w:pPr>
                                    <w:pStyle w:val="TableParagraph"/>
                                    <w:spacing w:before="59"/>
                                    <w:ind w:left="89"/>
                                    <w:rPr>
                                      <w:b/>
                                      <w:sz w:val="20"/>
                                    </w:rPr>
                                  </w:pPr>
                                  <w:r>
                                    <w:rPr>
                                      <w:b/>
                                      <w:color w:val="105C84"/>
                                      <w:spacing w:val="-2"/>
                                      <w:sz w:val="20"/>
                                    </w:rPr>
                                    <w:t>Seneca</w:t>
                                  </w:r>
                                </w:p>
                              </w:tc>
                              <w:tc>
                                <w:tcPr>
                                  <w:tcW w:w="1965" w:type="dxa"/>
                                </w:tcPr>
                                <w:p>
                                  <w:pPr>
                                    <w:pStyle w:val="TableParagraph"/>
                                    <w:spacing w:before="59"/>
                                    <w:ind w:left="6" w:right="2"/>
                                    <w:jc w:val="center"/>
                                    <w:rPr>
                                      <w:sz w:val="20"/>
                                    </w:rPr>
                                  </w:pPr>
                                  <w:r>
                                    <w:rPr>
                                      <w:color w:val="105C84"/>
                                      <w:spacing w:val="-10"/>
                                      <w:sz w:val="20"/>
                                    </w:rPr>
                                    <w:t>6</w:t>
                                  </w:r>
                                </w:p>
                              </w:tc>
                              <w:tc>
                                <w:tcPr>
                                  <w:tcW w:w="1965" w:type="dxa"/>
                                </w:tcPr>
                                <w:p>
                                  <w:pPr>
                                    <w:pStyle w:val="TableParagraph"/>
                                    <w:spacing w:before="59"/>
                                    <w:ind w:left="6"/>
                                    <w:jc w:val="center"/>
                                    <w:rPr>
                                      <w:sz w:val="20"/>
                                    </w:rPr>
                                  </w:pPr>
                                  <w:r>
                                    <w:rPr>
                                      <w:color w:val="105C84"/>
                                      <w:spacing w:val="-5"/>
                                      <w:sz w:val="20"/>
                                    </w:rPr>
                                    <w:t>44</w:t>
                                  </w:r>
                                </w:p>
                              </w:tc>
                              <w:tc>
                                <w:tcPr>
                                  <w:tcW w:w="1965" w:type="dxa"/>
                                </w:tcPr>
                                <w:p>
                                  <w:pPr>
                                    <w:pStyle w:val="TableParagraph"/>
                                    <w:spacing w:before="59"/>
                                    <w:ind w:left="6" w:right="2"/>
                                    <w:jc w:val="center"/>
                                    <w:rPr>
                                      <w:sz w:val="20"/>
                                    </w:rPr>
                                  </w:pPr>
                                  <w:r>
                                    <w:rPr>
                                      <w:color w:val="105C84"/>
                                      <w:spacing w:val="-10"/>
                                      <w:sz w:val="20"/>
                                    </w:rPr>
                                    <w:t>5</w:t>
                                  </w:r>
                                </w:p>
                              </w:tc>
                              <w:tc>
                                <w:tcPr>
                                  <w:tcW w:w="1965" w:type="dxa"/>
                                </w:tcPr>
                                <w:p>
                                  <w:pPr>
                                    <w:pStyle w:val="TableParagraph"/>
                                    <w:spacing w:before="59"/>
                                    <w:ind w:left="6"/>
                                    <w:jc w:val="center"/>
                                    <w:rPr>
                                      <w:sz w:val="20"/>
                                    </w:rPr>
                                  </w:pPr>
                                  <w:r>
                                    <w:rPr>
                                      <w:color w:val="105C84"/>
                                      <w:spacing w:val="-5"/>
                                      <w:sz w:val="20"/>
                                    </w:rPr>
                                    <w:t>43</w:t>
                                  </w:r>
                                </w:p>
                              </w:tc>
                            </w:tr>
                            <w:tr>
                              <w:trPr>
                                <w:trHeight w:val="331" w:hRule="atLeast"/>
                              </w:trPr>
                              <w:tc>
                                <w:tcPr>
                                  <w:tcW w:w="1861" w:type="dxa"/>
                                  <w:shd w:val="clear" w:color="auto" w:fill="DCDDDE"/>
                                </w:tcPr>
                                <w:p>
                                  <w:pPr>
                                    <w:pStyle w:val="TableParagraph"/>
                                    <w:spacing w:before="59"/>
                                    <w:ind w:left="89"/>
                                    <w:rPr>
                                      <w:b/>
                                      <w:sz w:val="20"/>
                                    </w:rPr>
                                  </w:pPr>
                                  <w:r>
                                    <w:rPr>
                                      <w:b/>
                                      <w:color w:val="105C84"/>
                                      <w:spacing w:val="-2"/>
                                      <w:sz w:val="20"/>
                                    </w:rPr>
                                    <w:t>Steuben</w:t>
                                  </w:r>
                                </w:p>
                              </w:tc>
                              <w:tc>
                                <w:tcPr>
                                  <w:tcW w:w="1965" w:type="dxa"/>
                                </w:tcPr>
                                <w:p>
                                  <w:pPr>
                                    <w:pStyle w:val="TableParagraph"/>
                                    <w:spacing w:before="59"/>
                                    <w:ind w:left="6" w:right="2"/>
                                    <w:jc w:val="center"/>
                                    <w:rPr>
                                      <w:sz w:val="20"/>
                                    </w:rPr>
                                  </w:pPr>
                                  <w:r>
                                    <w:rPr>
                                      <w:color w:val="105C84"/>
                                      <w:spacing w:val="-10"/>
                                      <w:sz w:val="20"/>
                                    </w:rPr>
                                    <w:t>9</w:t>
                                  </w:r>
                                </w:p>
                              </w:tc>
                              <w:tc>
                                <w:tcPr>
                                  <w:tcW w:w="1965" w:type="dxa"/>
                                </w:tcPr>
                                <w:p>
                                  <w:pPr>
                                    <w:pStyle w:val="TableParagraph"/>
                                    <w:spacing w:before="59"/>
                                    <w:ind w:left="6"/>
                                    <w:jc w:val="center"/>
                                    <w:rPr>
                                      <w:sz w:val="20"/>
                                    </w:rPr>
                                  </w:pPr>
                                  <w:r>
                                    <w:rPr>
                                      <w:color w:val="105C84"/>
                                      <w:spacing w:val="-5"/>
                                      <w:sz w:val="20"/>
                                    </w:rPr>
                                    <w:t>40</w:t>
                                  </w:r>
                                </w:p>
                              </w:tc>
                              <w:tc>
                                <w:tcPr>
                                  <w:tcW w:w="1965" w:type="dxa"/>
                                </w:tcPr>
                                <w:p>
                                  <w:pPr>
                                    <w:pStyle w:val="TableParagraph"/>
                                    <w:spacing w:before="59"/>
                                    <w:ind w:left="6" w:right="2"/>
                                    <w:jc w:val="center"/>
                                    <w:rPr>
                                      <w:sz w:val="20"/>
                                    </w:rPr>
                                  </w:pPr>
                                  <w:r>
                                    <w:rPr>
                                      <w:color w:val="105C84"/>
                                      <w:spacing w:val="-10"/>
                                      <w:sz w:val="20"/>
                                    </w:rPr>
                                    <w:t>7</w:t>
                                  </w:r>
                                </w:p>
                              </w:tc>
                              <w:tc>
                                <w:tcPr>
                                  <w:tcW w:w="1965" w:type="dxa"/>
                                </w:tcPr>
                                <w:p>
                                  <w:pPr>
                                    <w:pStyle w:val="TableParagraph"/>
                                    <w:spacing w:before="59"/>
                                    <w:ind w:left="6"/>
                                    <w:jc w:val="center"/>
                                    <w:rPr>
                                      <w:sz w:val="20"/>
                                    </w:rPr>
                                  </w:pPr>
                                  <w:r>
                                    <w:rPr>
                                      <w:color w:val="105C84"/>
                                      <w:spacing w:val="-5"/>
                                      <w:sz w:val="20"/>
                                    </w:rPr>
                                    <w:t>41</w:t>
                                  </w:r>
                                </w:p>
                              </w:tc>
                            </w:tr>
                            <w:tr>
                              <w:trPr>
                                <w:trHeight w:val="331" w:hRule="atLeast"/>
                              </w:trPr>
                              <w:tc>
                                <w:tcPr>
                                  <w:tcW w:w="1861" w:type="dxa"/>
                                  <w:shd w:val="clear" w:color="auto" w:fill="DCDDDE"/>
                                </w:tcPr>
                                <w:p>
                                  <w:pPr>
                                    <w:pStyle w:val="TableParagraph"/>
                                    <w:spacing w:before="59"/>
                                    <w:ind w:left="89"/>
                                    <w:rPr>
                                      <w:b/>
                                      <w:sz w:val="20"/>
                                    </w:rPr>
                                  </w:pPr>
                                  <w:r>
                                    <w:rPr>
                                      <w:b/>
                                      <w:color w:val="105C84"/>
                                      <w:spacing w:val="-2"/>
                                      <w:sz w:val="20"/>
                                    </w:rPr>
                                    <w:t>Wayne</w:t>
                                  </w:r>
                                </w:p>
                              </w:tc>
                              <w:tc>
                                <w:tcPr>
                                  <w:tcW w:w="1965" w:type="dxa"/>
                                </w:tcPr>
                                <w:p>
                                  <w:pPr>
                                    <w:pStyle w:val="TableParagraph"/>
                                    <w:spacing w:before="59"/>
                                    <w:ind w:left="6" w:right="2"/>
                                    <w:jc w:val="center"/>
                                    <w:rPr>
                                      <w:sz w:val="20"/>
                                    </w:rPr>
                                  </w:pPr>
                                  <w:r>
                                    <w:rPr>
                                      <w:color w:val="105C84"/>
                                      <w:spacing w:val="-10"/>
                                      <w:sz w:val="20"/>
                                    </w:rPr>
                                    <w:t>8</w:t>
                                  </w:r>
                                </w:p>
                              </w:tc>
                              <w:tc>
                                <w:tcPr>
                                  <w:tcW w:w="1965" w:type="dxa"/>
                                </w:tcPr>
                                <w:p>
                                  <w:pPr>
                                    <w:pStyle w:val="TableParagraph"/>
                                    <w:spacing w:before="59"/>
                                    <w:ind w:left="6"/>
                                    <w:jc w:val="center"/>
                                    <w:rPr>
                                      <w:sz w:val="20"/>
                                    </w:rPr>
                                  </w:pPr>
                                  <w:r>
                                    <w:rPr>
                                      <w:color w:val="105C84"/>
                                      <w:spacing w:val="-5"/>
                                      <w:sz w:val="20"/>
                                    </w:rPr>
                                    <w:t>34</w:t>
                                  </w:r>
                                </w:p>
                              </w:tc>
                              <w:tc>
                                <w:tcPr>
                                  <w:tcW w:w="1965" w:type="dxa"/>
                                </w:tcPr>
                                <w:p>
                                  <w:pPr>
                                    <w:pStyle w:val="TableParagraph"/>
                                    <w:spacing w:before="59"/>
                                    <w:ind w:left="6" w:right="2"/>
                                    <w:jc w:val="center"/>
                                    <w:rPr>
                                      <w:sz w:val="20"/>
                                    </w:rPr>
                                  </w:pPr>
                                  <w:r>
                                    <w:rPr>
                                      <w:color w:val="105C84"/>
                                      <w:spacing w:val="-10"/>
                                      <w:sz w:val="20"/>
                                    </w:rPr>
                                    <w:t>6</w:t>
                                  </w:r>
                                </w:p>
                              </w:tc>
                              <w:tc>
                                <w:tcPr>
                                  <w:tcW w:w="1965" w:type="dxa"/>
                                </w:tcPr>
                                <w:p>
                                  <w:pPr>
                                    <w:pStyle w:val="TableParagraph"/>
                                    <w:spacing w:before="59"/>
                                    <w:ind w:left="6"/>
                                    <w:jc w:val="center"/>
                                    <w:rPr>
                                      <w:sz w:val="20"/>
                                    </w:rPr>
                                  </w:pPr>
                                  <w:r>
                                    <w:rPr>
                                      <w:color w:val="105C84"/>
                                      <w:spacing w:val="-5"/>
                                      <w:sz w:val="20"/>
                                    </w:rPr>
                                    <w:t>37</w:t>
                                  </w:r>
                                </w:p>
                              </w:tc>
                            </w:tr>
                            <w:tr>
                              <w:trPr>
                                <w:trHeight w:val="331" w:hRule="atLeast"/>
                              </w:trPr>
                              <w:tc>
                                <w:tcPr>
                                  <w:tcW w:w="1861" w:type="dxa"/>
                                  <w:shd w:val="clear" w:color="auto" w:fill="DCDDDE"/>
                                </w:tcPr>
                                <w:p>
                                  <w:pPr>
                                    <w:pStyle w:val="TableParagraph"/>
                                    <w:spacing w:before="59"/>
                                    <w:ind w:left="89"/>
                                    <w:rPr>
                                      <w:b/>
                                      <w:sz w:val="20"/>
                                    </w:rPr>
                                  </w:pPr>
                                  <w:r>
                                    <w:rPr>
                                      <w:b/>
                                      <w:color w:val="105C84"/>
                                      <w:spacing w:val="-2"/>
                                      <w:sz w:val="20"/>
                                    </w:rPr>
                                    <w:t>Yates</w:t>
                                  </w:r>
                                </w:p>
                              </w:tc>
                              <w:tc>
                                <w:tcPr>
                                  <w:tcW w:w="1965" w:type="dxa"/>
                                </w:tcPr>
                                <w:p>
                                  <w:pPr>
                                    <w:pStyle w:val="TableParagraph"/>
                                    <w:spacing w:before="59"/>
                                    <w:ind w:left="6" w:right="2"/>
                                    <w:jc w:val="center"/>
                                    <w:rPr>
                                      <w:sz w:val="20"/>
                                    </w:rPr>
                                  </w:pPr>
                                  <w:r>
                                    <w:rPr>
                                      <w:color w:val="105C84"/>
                                      <w:spacing w:val="-10"/>
                                      <w:sz w:val="20"/>
                                    </w:rPr>
                                    <w:t>6</w:t>
                                  </w:r>
                                </w:p>
                              </w:tc>
                              <w:tc>
                                <w:tcPr>
                                  <w:tcW w:w="1965" w:type="dxa"/>
                                </w:tcPr>
                                <w:p>
                                  <w:pPr>
                                    <w:pStyle w:val="TableParagraph"/>
                                    <w:spacing w:before="59"/>
                                    <w:ind w:left="6"/>
                                    <w:jc w:val="center"/>
                                    <w:rPr>
                                      <w:sz w:val="20"/>
                                    </w:rPr>
                                  </w:pPr>
                                  <w:r>
                                    <w:rPr>
                                      <w:color w:val="105C84"/>
                                      <w:spacing w:val="-5"/>
                                      <w:sz w:val="20"/>
                                    </w:rPr>
                                    <w:t>38</w:t>
                                  </w:r>
                                </w:p>
                              </w:tc>
                              <w:tc>
                                <w:tcPr>
                                  <w:tcW w:w="1965" w:type="dxa"/>
                                </w:tcPr>
                                <w:p>
                                  <w:pPr>
                                    <w:pStyle w:val="TableParagraph"/>
                                    <w:spacing w:before="59"/>
                                    <w:ind w:left="6" w:right="2"/>
                                    <w:jc w:val="center"/>
                                    <w:rPr>
                                      <w:sz w:val="20"/>
                                    </w:rPr>
                                  </w:pPr>
                                  <w:r>
                                    <w:rPr>
                                      <w:color w:val="105C84"/>
                                      <w:spacing w:val="-10"/>
                                      <w:sz w:val="20"/>
                                    </w:rPr>
                                    <w:t>6</w:t>
                                  </w:r>
                                </w:p>
                              </w:tc>
                              <w:tc>
                                <w:tcPr>
                                  <w:tcW w:w="1965" w:type="dxa"/>
                                </w:tcPr>
                                <w:p>
                                  <w:pPr>
                                    <w:pStyle w:val="TableParagraph"/>
                                    <w:spacing w:before="59"/>
                                    <w:ind w:left="6"/>
                                    <w:jc w:val="center"/>
                                    <w:rPr>
                                      <w:sz w:val="20"/>
                                    </w:rPr>
                                  </w:pPr>
                                  <w:r>
                                    <w:rPr>
                                      <w:color w:val="105C84"/>
                                      <w:spacing w:val="-5"/>
                                      <w:sz w:val="20"/>
                                    </w:rPr>
                                    <w:t>40</w:t>
                                  </w:r>
                                </w:p>
                              </w:tc>
                            </w:tr>
                            <w:tr>
                              <w:trPr>
                                <w:trHeight w:val="331" w:hRule="atLeast"/>
                              </w:trPr>
                              <w:tc>
                                <w:tcPr>
                                  <w:tcW w:w="1861" w:type="dxa"/>
                                  <w:shd w:val="clear" w:color="auto" w:fill="82BF6A"/>
                                </w:tcPr>
                                <w:p>
                                  <w:pPr>
                                    <w:pStyle w:val="TableParagraph"/>
                                    <w:spacing w:before="60"/>
                                    <w:ind w:left="89"/>
                                    <w:rPr>
                                      <w:b/>
                                      <w:sz w:val="20"/>
                                    </w:rPr>
                                  </w:pPr>
                                  <w:r>
                                    <w:rPr>
                                      <w:b/>
                                      <w:color w:val="FFFFFF"/>
                                      <w:sz w:val="20"/>
                                    </w:rPr>
                                    <w:t>8</w:t>
                                  </w:r>
                                  <w:r>
                                    <w:rPr>
                                      <w:b/>
                                      <w:color w:val="FFFFFF"/>
                                      <w:spacing w:val="5"/>
                                      <w:sz w:val="20"/>
                                    </w:rPr>
                                    <w:t> </w:t>
                                  </w:r>
                                  <w:r>
                                    <w:rPr>
                                      <w:b/>
                                      <w:color w:val="FFFFFF"/>
                                      <w:sz w:val="20"/>
                                    </w:rPr>
                                    <w:t>County</w:t>
                                  </w:r>
                                  <w:r>
                                    <w:rPr>
                                      <w:b/>
                                      <w:color w:val="FFFFFF"/>
                                      <w:spacing w:val="5"/>
                                      <w:sz w:val="20"/>
                                    </w:rPr>
                                    <w:t> </w:t>
                                  </w:r>
                                  <w:r>
                                    <w:rPr>
                                      <w:b/>
                                      <w:color w:val="FFFFFF"/>
                                      <w:spacing w:val="-2"/>
                                      <w:sz w:val="20"/>
                                    </w:rPr>
                                    <w:t>Region</w:t>
                                  </w:r>
                                </w:p>
                              </w:tc>
                              <w:tc>
                                <w:tcPr>
                                  <w:tcW w:w="1965" w:type="dxa"/>
                                  <w:shd w:val="clear" w:color="auto" w:fill="82BF6A"/>
                                </w:tcPr>
                                <w:p>
                                  <w:pPr>
                                    <w:pStyle w:val="TableParagraph"/>
                                    <w:spacing w:before="60"/>
                                    <w:ind w:left="6" w:right="2"/>
                                    <w:jc w:val="center"/>
                                    <w:rPr>
                                      <w:b/>
                                      <w:sz w:val="20"/>
                                    </w:rPr>
                                  </w:pPr>
                                  <w:r>
                                    <w:rPr>
                                      <w:b/>
                                      <w:color w:val="FFFFFF"/>
                                      <w:spacing w:val="-10"/>
                                      <w:w w:val="105"/>
                                      <w:sz w:val="20"/>
                                    </w:rPr>
                                    <w:t>7</w:t>
                                  </w:r>
                                </w:p>
                              </w:tc>
                              <w:tc>
                                <w:tcPr>
                                  <w:tcW w:w="1965" w:type="dxa"/>
                                  <w:shd w:val="clear" w:color="auto" w:fill="82BF6A"/>
                                </w:tcPr>
                                <w:p>
                                  <w:pPr>
                                    <w:pStyle w:val="TableParagraph"/>
                                    <w:spacing w:before="60"/>
                                    <w:ind w:left="6"/>
                                    <w:jc w:val="center"/>
                                    <w:rPr>
                                      <w:b/>
                                      <w:sz w:val="20"/>
                                    </w:rPr>
                                  </w:pPr>
                                  <w:r>
                                    <w:rPr>
                                      <w:b/>
                                      <w:color w:val="FFFFFF"/>
                                      <w:spacing w:val="-5"/>
                                      <w:w w:val="105"/>
                                      <w:sz w:val="20"/>
                                    </w:rPr>
                                    <w:t>38</w:t>
                                  </w:r>
                                </w:p>
                              </w:tc>
                              <w:tc>
                                <w:tcPr>
                                  <w:tcW w:w="1965" w:type="dxa"/>
                                  <w:shd w:val="clear" w:color="auto" w:fill="82BF6A"/>
                                </w:tcPr>
                                <w:p>
                                  <w:pPr>
                                    <w:pStyle w:val="TableParagraph"/>
                                    <w:spacing w:before="60"/>
                                    <w:ind w:left="6" w:right="2"/>
                                    <w:jc w:val="center"/>
                                    <w:rPr>
                                      <w:b/>
                                      <w:sz w:val="20"/>
                                    </w:rPr>
                                  </w:pPr>
                                  <w:r>
                                    <w:rPr>
                                      <w:b/>
                                      <w:color w:val="FFFFFF"/>
                                      <w:spacing w:val="-10"/>
                                      <w:w w:val="105"/>
                                      <w:sz w:val="20"/>
                                    </w:rPr>
                                    <w:t>6</w:t>
                                  </w:r>
                                </w:p>
                              </w:tc>
                              <w:tc>
                                <w:tcPr>
                                  <w:tcW w:w="1965" w:type="dxa"/>
                                  <w:shd w:val="clear" w:color="auto" w:fill="82BF6A"/>
                                </w:tcPr>
                                <w:p>
                                  <w:pPr>
                                    <w:pStyle w:val="TableParagraph"/>
                                    <w:spacing w:before="60"/>
                                    <w:ind w:left="6"/>
                                    <w:jc w:val="center"/>
                                    <w:rPr>
                                      <w:b/>
                                      <w:sz w:val="20"/>
                                    </w:rPr>
                                  </w:pPr>
                                  <w:r>
                                    <w:rPr>
                                      <w:b/>
                                      <w:color w:val="FFFFFF"/>
                                      <w:spacing w:val="-5"/>
                                      <w:w w:val="105"/>
                                      <w:sz w:val="20"/>
                                    </w:rPr>
                                    <w:t>40</w:t>
                                  </w:r>
                                </w:p>
                              </w:tc>
                            </w:tr>
                            <w:tr>
                              <w:trPr>
                                <w:trHeight w:val="331" w:hRule="atLeast"/>
                              </w:trPr>
                              <w:tc>
                                <w:tcPr>
                                  <w:tcW w:w="1861" w:type="dxa"/>
                                </w:tcPr>
                                <w:p>
                                  <w:pPr>
                                    <w:pStyle w:val="TableParagraph"/>
                                    <w:spacing w:before="60"/>
                                    <w:ind w:left="89"/>
                                    <w:rPr>
                                      <w:b/>
                                      <w:sz w:val="20"/>
                                    </w:rPr>
                                  </w:pPr>
                                  <w:r>
                                    <w:rPr>
                                      <w:b/>
                                      <w:color w:val="105C84"/>
                                      <w:spacing w:val="-5"/>
                                      <w:sz w:val="20"/>
                                    </w:rPr>
                                    <w:t>NYS</w:t>
                                  </w:r>
                                </w:p>
                              </w:tc>
                              <w:tc>
                                <w:tcPr>
                                  <w:tcW w:w="1965" w:type="dxa"/>
                                </w:tcPr>
                                <w:p>
                                  <w:pPr>
                                    <w:pStyle w:val="TableParagraph"/>
                                    <w:spacing w:before="60"/>
                                    <w:ind w:left="6" w:right="2"/>
                                    <w:jc w:val="center"/>
                                    <w:rPr>
                                      <w:b/>
                                      <w:sz w:val="20"/>
                                    </w:rPr>
                                  </w:pPr>
                                  <w:r>
                                    <w:rPr>
                                      <w:b/>
                                      <w:color w:val="105C84"/>
                                      <w:spacing w:val="-10"/>
                                      <w:w w:val="105"/>
                                      <w:sz w:val="20"/>
                                    </w:rPr>
                                    <w:t>9</w:t>
                                  </w:r>
                                </w:p>
                              </w:tc>
                              <w:tc>
                                <w:tcPr>
                                  <w:tcW w:w="1965" w:type="dxa"/>
                                </w:tcPr>
                                <w:p>
                                  <w:pPr>
                                    <w:pStyle w:val="TableParagraph"/>
                                    <w:spacing w:before="60"/>
                                    <w:ind w:left="6"/>
                                    <w:jc w:val="center"/>
                                    <w:rPr>
                                      <w:b/>
                                      <w:sz w:val="20"/>
                                    </w:rPr>
                                  </w:pPr>
                                  <w:r>
                                    <w:rPr>
                                      <w:b/>
                                      <w:color w:val="105C84"/>
                                      <w:spacing w:val="-5"/>
                                      <w:w w:val="105"/>
                                      <w:sz w:val="20"/>
                                    </w:rPr>
                                    <w:t>35</w:t>
                                  </w:r>
                                </w:p>
                              </w:tc>
                              <w:tc>
                                <w:tcPr>
                                  <w:tcW w:w="1965" w:type="dxa"/>
                                </w:tcPr>
                                <w:p>
                                  <w:pPr>
                                    <w:pStyle w:val="TableParagraph"/>
                                    <w:spacing w:before="60"/>
                                    <w:ind w:left="6" w:right="2"/>
                                    <w:jc w:val="center"/>
                                    <w:rPr>
                                      <w:b/>
                                      <w:sz w:val="20"/>
                                    </w:rPr>
                                  </w:pPr>
                                  <w:r>
                                    <w:rPr>
                                      <w:b/>
                                      <w:color w:val="105C84"/>
                                      <w:spacing w:val="-10"/>
                                      <w:w w:val="105"/>
                                      <w:sz w:val="20"/>
                                    </w:rPr>
                                    <w:t>7</w:t>
                                  </w:r>
                                </w:p>
                              </w:tc>
                              <w:tc>
                                <w:tcPr>
                                  <w:tcW w:w="1965" w:type="dxa"/>
                                </w:tcPr>
                                <w:p>
                                  <w:pPr>
                                    <w:pStyle w:val="TableParagraph"/>
                                    <w:spacing w:before="60"/>
                                    <w:ind w:left="6"/>
                                    <w:jc w:val="center"/>
                                    <w:rPr>
                                      <w:b/>
                                      <w:sz w:val="20"/>
                                    </w:rPr>
                                  </w:pPr>
                                  <w:r>
                                    <w:rPr>
                                      <w:b/>
                                      <w:color w:val="105C84"/>
                                      <w:spacing w:val="-5"/>
                                      <w:w w:val="105"/>
                                      <w:sz w:val="20"/>
                                    </w:rPr>
                                    <w:t>37</w:t>
                                  </w:r>
                                </w:p>
                              </w:tc>
                            </w:tr>
                          </w:tbl>
                          <w:p>
                            <w:pPr>
                              <w:pStyle w:val="BodyText"/>
                            </w:pPr>
                          </w:p>
                        </w:txbxContent>
                      </wps:txbx>
                      <wps:bodyPr wrap="square" lIns="0" tIns="0" rIns="0" bIns="0" rtlCol="0">
                        <a:noAutofit/>
                      </wps:bodyPr>
                    </wps:wsp>
                  </a:graphicData>
                </a:graphic>
              </wp:anchor>
            </w:drawing>
          </mc:Choice>
          <mc:Fallback>
            <w:pict>
              <v:shape style="position:absolute;margin-left:662.719971pt;margin-top:-243.153076pt;width:492.3pt;height:228.55pt;mso-position-horizontal-relative:page;mso-position-vertical-relative:paragraph;z-index:15746560" type="#_x0000_t202" id="docshape117" filled="false" stroked="false">
                <v:textbox inset="0,0,0,0">
                  <w:txbxContent>
                    <w:tbl>
                      <w:tblPr>
                        <w:tblW w:w="0" w:type="auto"/>
                        <w:jc w:val="left"/>
                        <w:tblInd w:w="62"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top w:w="0" w:type="dxa"/>
                          <w:left w:w="0" w:type="dxa"/>
                          <w:bottom w:w="0" w:type="dxa"/>
                          <w:right w:w="0" w:type="dxa"/>
                        </w:tblCellMar>
                        <w:tblLook w:val="01E0"/>
                      </w:tblPr>
                      <w:tblGrid>
                        <w:gridCol w:w="1861"/>
                        <w:gridCol w:w="1965"/>
                        <w:gridCol w:w="1965"/>
                        <w:gridCol w:w="1965"/>
                        <w:gridCol w:w="1965"/>
                      </w:tblGrid>
                      <w:tr>
                        <w:trPr>
                          <w:trHeight w:val="453" w:hRule="atLeast"/>
                        </w:trPr>
                        <w:tc>
                          <w:tcPr>
                            <w:tcW w:w="5791" w:type="dxa"/>
                            <w:gridSpan w:val="3"/>
                            <w:shd w:val="clear" w:color="auto" w:fill="DCDDDE"/>
                          </w:tcPr>
                          <w:p>
                            <w:pPr>
                              <w:pStyle w:val="TableParagraph"/>
                              <w:spacing w:before="94"/>
                              <w:ind w:left="3517"/>
                              <w:rPr>
                                <w:b/>
                                <w:sz w:val="26"/>
                              </w:rPr>
                            </w:pPr>
                            <w:r>
                              <w:rPr>
                                <w:b/>
                                <w:color w:val="105C84"/>
                                <w:spacing w:val="-4"/>
                                <w:w w:val="105"/>
                                <w:sz w:val="26"/>
                              </w:rPr>
                              <w:t>2012</w:t>
                            </w:r>
                          </w:p>
                        </w:tc>
                        <w:tc>
                          <w:tcPr>
                            <w:tcW w:w="3930" w:type="dxa"/>
                            <w:gridSpan w:val="2"/>
                            <w:shd w:val="clear" w:color="auto" w:fill="DCDDDE"/>
                          </w:tcPr>
                          <w:p>
                            <w:pPr>
                              <w:pStyle w:val="TableParagraph"/>
                              <w:spacing w:before="94"/>
                              <w:ind w:left="4"/>
                              <w:jc w:val="center"/>
                              <w:rPr>
                                <w:b/>
                                <w:sz w:val="26"/>
                              </w:rPr>
                            </w:pPr>
                            <w:r>
                              <w:rPr>
                                <w:b/>
                                <w:color w:val="105C84"/>
                                <w:spacing w:val="-4"/>
                                <w:w w:val="105"/>
                                <w:sz w:val="26"/>
                              </w:rPr>
                              <w:t>2017</w:t>
                            </w:r>
                          </w:p>
                        </w:tc>
                      </w:tr>
                      <w:tr>
                        <w:trPr>
                          <w:trHeight w:val="743" w:hRule="atLeast"/>
                        </w:trPr>
                        <w:tc>
                          <w:tcPr>
                            <w:tcW w:w="1861" w:type="dxa"/>
                            <w:shd w:val="clear" w:color="auto" w:fill="EFEFF0"/>
                          </w:tcPr>
                          <w:p>
                            <w:pPr>
                              <w:pStyle w:val="TableParagraph"/>
                              <w:rPr>
                                <w:rFonts w:ascii="Times New Roman"/>
                                <w:sz w:val="20"/>
                              </w:rPr>
                            </w:pPr>
                          </w:p>
                        </w:tc>
                        <w:tc>
                          <w:tcPr>
                            <w:tcW w:w="1965" w:type="dxa"/>
                            <w:shd w:val="clear" w:color="auto" w:fill="EFEFF0"/>
                          </w:tcPr>
                          <w:p>
                            <w:pPr>
                              <w:pStyle w:val="TableParagraph"/>
                              <w:spacing w:line="230" w:lineRule="auto" w:before="163"/>
                              <w:ind w:left="102" w:firstLine="150"/>
                              <w:rPr>
                                <w:b/>
                                <w:sz w:val="20"/>
                              </w:rPr>
                            </w:pPr>
                            <w:r>
                              <w:rPr>
                                <w:b/>
                                <w:color w:val="105C84"/>
                                <w:sz w:val="20"/>
                              </w:rPr>
                              <w:t>% 16+ in Labor force</w:t>
                            </w:r>
                            <w:r>
                              <w:rPr>
                                <w:b/>
                                <w:color w:val="105C84"/>
                                <w:spacing w:val="-14"/>
                                <w:sz w:val="20"/>
                              </w:rPr>
                              <w:t> </w:t>
                            </w:r>
                            <w:r>
                              <w:rPr>
                                <w:b/>
                                <w:color w:val="105C84"/>
                                <w:sz w:val="20"/>
                              </w:rPr>
                              <w:t>Unemployed</w:t>
                            </w:r>
                          </w:p>
                        </w:tc>
                        <w:tc>
                          <w:tcPr>
                            <w:tcW w:w="1965" w:type="dxa"/>
                            <w:shd w:val="clear" w:color="auto" w:fill="EFEFF0"/>
                          </w:tcPr>
                          <w:p>
                            <w:pPr>
                              <w:pStyle w:val="TableParagraph"/>
                              <w:spacing w:line="230" w:lineRule="auto" w:before="163"/>
                              <w:ind w:left="413" w:hanging="70"/>
                              <w:rPr>
                                <w:b/>
                                <w:sz w:val="20"/>
                              </w:rPr>
                            </w:pPr>
                            <w:r>
                              <w:rPr>
                                <w:b/>
                                <w:color w:val="105C84"/>
                                <w:sz w:val="20"/>
                              </w:rPr>
                              <w:t>% 16+ Not </w:t>
                            </w:r>
                            <w:r>
                              <w:rPr>
                                <w:b/>
                                <w:color w:val="105C84"/>
                                <w:sz w:val="20"/>
                              </w:rPr>
                              <w:t>in Labor Force</w:t>
                            </w:r>
                          </w:p>
                        </w:tc>
                        <w:tc>
                          <w:tcPr>
                            <w:tcW w:w="1965" w:type="dxa"/>
                            <w:shd w:val="clear" w:color="auto" w:fill="EFEFF0"/>
                          </w:tcPr>
                          <w:p>
                            <w:pPr>
                              <w:pStyle w:val="TableParagraph"/>
                              <w:spacing w:line="230" w:lineRule="auto" w:before="163"/>
                              <w:ind w:left="102" w:firstLine="150"/>
                              <w:rPr>
                                <w:b/>
                                <w:sz w:val="20"/>
                              </w:rPr>
                            </w:pPr>
                            <w:r>
                              <w:rPr>
                                <w:b/>
                                <w:color w:val="105C84"/>
                                <w:sz w:val="20"/>
                              </w:rPr>
                              <w:t>% 16+ in Labor force</w:t>
                            </w:r>
                            <w:r>
                              <w:rPr>
                                <w:b/>
                                <w:color w:val="105C84"/>
                                <w:spacing w:val="-14"/>
                                <w:sz w:val="20"/>
                              </w:rPr>
                              <w:t> </w:t>
                            </w:r>
                            <w:r>
                              <w:rPr>
                                <w:b/>
                                <w:color w:val="105C84"/>
                                <w:sz w:val="20"/>
                              </w:rPr>
                              <w:t>Unemployed</w:t>
                            </w:r>
                          </w:p>
                        </w:tc>
                        <w:tc>
                          <w:tcPr>
                            <w:tcW w:w="1965" w:type="dxa"/>
                            <w:shd w:val="clear" w:color="auto" w:fill="EFEFF0"/>
                          </w:tcPr>
                          <w:p>
                            <w:pPr>
                              <w:pStyle w:val="TableParagraph"/>
                              <w:spacing w:line="230" w:lineRule="auto" w:before="163"/>
                              <w:ind w:left="413" w:hanging="70"/>
                              <w:rPr>
                                <w:b/>
                                <w:sz w:val="20"/>
                              </w:rPr>
                            </w:pPr>
                            <w:r>
                              <w:rPr>
                                <w:b/>
                                <w:color w:val="105C84"/>
                                <w:sz w:val="20"/>
                              </w:rPr>
                              <w:t>% 16+ Not </w:t>
                            </w:r>
                            <w:r>
                              <w:rPr>
                                <w:b/>
                                <w:color w:val="105C84"/>
                                <w:sz w:val="20"/>
                              </w:rPr>
                              <w:t>in Labor Force</w:t>
                            </w:r>
                          </w:p>
                        </w:tc>
                      </w:tr>
                      <w:tr>
                        <w:trPr>
                          <w:trHeight w:val="331" w:hRule="atLeast"/>
                        </w:trPr>
                        <w:tc>
                          <w:tcPr>
                            <w:tcW w:w="1861" w:type="dxa"/>
                            <w:shd w:val="clear" w:color="auto" w:fill="DCDDDE"/>
                          </w:tcPr>
                          <w:p>
                            <w:pPr>
                              <w:pStyle w:val="TableParagraph"/>
                              <w:spacing w:before="59"/>
                              <w:ind w:left="90"/>
                              <w:rPr>
                                <w:b/>
                                <w:sz w:val="20"/>
                              </w:rPr>
                            </w:pPr>
                            <w:r>
                              <w:rPr>
                                <w:b/>
                                <w:color w:val="105C84"/>
                                <w:spacing w:val="-2"/>
                                <w:sz w:val="20"/>
                              </w:rPr>
                              <w:t>Chemung</w:t>
                            </w:r>
                          </w:p>
                        </w:tc>
                        <w:tc>
                          <w:tcPr>
                            <w:tcW w:w="1965" w:type="dxa"/>
                          </w:tcPr>
                          <w:p>
                            <w:pPr>
                              <w:pStyle w:val="TableParagraph"/>
                              <w:spacing w:before="59"/>
                              <w:ind w:left="6" w:right="2"/>
                              <w:jc w:val="center"/>
                              <w:rPr>
                                <w:sz w:val="20"/>
                              </w:rPr>
                            </w:pPr>
                            <w:r>
                              <w:rPr>
                                <w:color w:val="105C84"/>
                                <w:spacing w:val="-10"/>
                                <w:sz w:val="20"/>
                              </w:rPr>
                              <w:t>7</w:t>
                            </w:r>
                          </w:p>
                        </w:tc>
                        <w:tc>
                          <w:tcPr>
                            <w:tcW w:w="1965" w:type="dxa"/>
                          </w:tcPr>
                          <w:p>
                            <w:pPr>
                              <w:pStyle w:val="TableParagraph"/>
                              <w:spacing w:before="59"/>
                              <w:ind w:left="6"/>
                              <w:jc w:val="center"/>
                              <w:rPr>
                                <w:sz w:val="20"/>
                              </w:rPr>
                            </w:pPr>
                            <w:r>
                              <w:rPr>
                                <w:color w:val="105C84"/>
                                <w:spacing w:val="-5"/>
                                <w:sz w:val="20"/>
                              </w:rPr>
                              <w:t>41</w:t>
                            </w:r>
                          </w:p>
                        </w:tc>
                        <w:tc>
                          <w:tcPr>
                            <w:tcW w:w="1965" w:type="dxa"/>
                          </w:tcPr>
                          <w:p>
                            <w:pPr>
                              <w:pStyle w:val="TableParagraph"/>
                              <w:spacing w:before="59"/>
                              <w:ind w:left="6" w:right="2"/>
                              <w:jc w:val="center"/>
                              <w:rPr>
                                <w:sz w:val="20"/>
                              </w:rPr>
                            </w:pPr>
                            <w:r>
                              <w:rPr>
                                <w:color w:val="105C84"/>
                                <w:spacing w:val="-10"/>
                                <w:sz w:val="20"/>
                              </w:rPr>
                              <w:t>5</w:t>
                            </w:r>
                          </w:p>
                        </w:tc>
                        <w:tc>
                          <w:tcPr>
                            <w:tcW w:w="1965" w:type="dxa"/>
                          </w:tcPr>
                          <w:p>
                            <w:pPr>
                              <w:pStyle w:val="TableParagraph"/>
                              <w:spacing w:before="59"/>
                              <w:ind w:left="6"/>
                              <w:jc w:val="center"/>
                              <w:rPr>
                                <w:sz w:val="20"/>
                              </w:rPr>
                            </w:pPr>
                            <w:r>
                              <w:rPr>
                                <w:color w:val="105C84"/>
                                <w:spacing w:val="-5"/>
                                <w:sz w:val="20"/>
                              </w:rPr>
                              <w:t>43</w:t>
                            </w:r>
                          </w:p>
                        </w:tc>
                      </w:tr>
                      <w:tr>
                        <w:trPr>
                          <w:trHeight w:val="331" w:hRule="atLeast"/>
                        </w:trPr>
                        <w:tc>
                          <w:tcPr>
                            <w:tcW w:w="1861" w:type="dxa"/>
                            <w:shd w:val="clear" w:color="auto" w:fill="DCDDDE"/>
                          </w:tcPr>
                          <w:p>
                            <w:pPr>
                              <w:pStyle w:val="TableParagraph"/>
                              <w:spacing w:before="59"/>
                              <w:ind w:left="89"/>
                              <w:rPr>
                                <w:b/>
                                <w:sz w:val="20"/>
                              </w:rPr>
                            </w:pPr>
                            <w:r>
                              <w:rPr>
                                <w:b/>
                                <w:color w:val="105C84"/>
                                <w:spacing w:val="-2"/>
                                <w:sz w:val="20"/>
                              </w:rPr>
                              <w:t>Livingston</w:t>
                            </w:r>
                          </w:p>
                        </w:tc>
                        <w:tc>
                          <w:tcPr>
                            <w:tcW w:w="1965" w:type="dxa"/>
                          </w:tcPr>
                          <w:p>
                            <w:pPr>
                              <w:pStyle w:val="TableParagraph"/>
                              <w:spacing w:before="59"/>
                              <w:ind w:left="6" w:right="2"/>
                              <w:jc w:val="center"/>
                              <w:rPr>
                                <w:sz w:val="20"/>
                              </w:rPr>
                            </w:pPr>
                            <w:r>
                              <w:rPr>
                                <w:color w:val="105C84"/>
                                <w:spacing w:val="-10"/>
                                <w:sz w:val="20"/>
                              </w:rPr>
                              <w:t>6</w:t>
                            </w:r>
                          </w:p>
                        </w:tc>
                        <w:tc>
                          <w:tcPr>
                            <w:tcW w:w="1965" w:type="dxa"/>
                          </w:tcPr>
                          <w:p>
                            <w:pPr>
                              <w:pStyle w:val="TableParagraph"/>
                              <w:spacing w:before="59"/>
                              <w:ind w:left="6"/>
                              <w:jc w:val="center"/>
                              <w:rPr>
                                <w:sz w:val="20"/>
                              </w:rPr>
                            </w:pPr>
                            <w:r>
                              <w:rPr>
                                <w:color w:val="105C84"/>
                                <w:spacing w:val="-5"/>
                                <w:sz w:val="20"/>
                              </w:rPr>
                              <w:t>39</w:t>
                            </w:r>
                          </w:p>
                        </w:tc>
                        <w:tc>
                          <w:tcPr>
                            <w:tcW w:w="1965" w:type="dxa"/>
                          </w:tcPr>
                          <w:p>
                            <w:pPr>
                              <w:pStyle w:val="TableParagraph"/>
                              <w:spacing w:before="59"/>
                              <w:ind w:left="6" w:right="2"/>
                              <w:jc w:val="center"/>
                              <w:rPr>
                                <w:sz w:val="20"/>
                              </w:rPr>
                            </w:pPr>
                            <w:r>
                              <w:rPr>
                                <w:color w:val="105C84"/>
                                <w:spacing w:val="-10"/>
                                <w:sz w:val="20"/>
                              </w:rPr>
                              <w:t>5</w:t>
                            </w:r>
                          </w:p>
                        </w:tc>
                        <w:tc>
                          <w:tcPr>
                            <w:tcW w:w="1965" w:type="dxa"/>
                          </w:tcPr>
                          <w:p>
                            <w:pPr>
                              <w:pStyle w:val="TableParagraph"/>
                              <w:spacing w:before="59"/>
                              <w:ind w:left="6"/>
                              <w:jc w:val="center"/>
                              <w:rPr>
                                <w:sz w:val="20"/>
                              </w:rPr>
                            </w:pPr>
                            <w:r>
                              <w:rPr>
                                <w:color w:val="105C84"/>
                                <w:spacing w:val="-5"/>
                                <w:sz w:val="20"/>
                              </w:rPr>
                              <w:t>43</w:t>
                            </w:r>
                          </w:p>
                        </w:tc>
                      </w:tr>
                      <w:tr>
                        <w:trPr>
                          <w:trHeight w:val="331" w:hRule="atLeast"/>
                        </w:trPr>
                        <w:tc>
                          <w:tcPr>
                            <w:tcW w:w="1861" w:type="dxa"/>
                            <w:shd w:val="clear" w:color="auto" w:fill="DCDDDE"/>
                          </w:tcPr>
                          <w:p>
                            <w:pPr>
                              <w:pStyle w:val="TableParagraph"/>
                              <w:spacing w:before="59"/>
                              <w:ind w:left="89"/>
                              <w:rPr>
                                <w:b/>
                                <w:sz w:val="20"/>
                              </w:rPr>
                            </w:pPr>
                            <w:r>
                              <w:rPr>
                                <w:b/>
                                <w:color w:val="105C84"/>
                                <w:spacing w:val="-2"/>
                                <w:sz w:val="20"/>
                              </w:rPr>
                              <w:t>Ontario</w:t>
                            </w:r>
                          </w:p>
                        </w:tc>
                        <w:tc>
                          <w:tcPr>
                            <w:tcW w:w="1965" w:type="dxa"/>
                          </w:tcPr>
                          <w:p>
                            <w:pPr>
                              <w:pStyle w:val="TableParagraph"/>
                              <w:spacing w:before="59"/>
                              <w:ind w:left="6" w:right="2"/>
                              <w:jc w:val="center"/>
                              <w:rPr>
                                <w:sz w:val="20"/>
                              </w:rPr>
                            </w:pPr>
                            <w:r>
                              <w:rPr>
                                <w:color w:val="105C84"/>
                                <w:spacing w:val="-10"/>
                                <w:sz w:val="20"/>
                              </w:rPr>
                              <w:t>7</w:t>
                            </w:r>
                          </w:p>
                        </w:tc>
                        <w:tc>
                          <w:tcPr>
                            <w:tcW w:w="1965" w:type="dxa"/>
                          </w:tcPr>
                          <w:p>
                            <w:pPr>
                              <w:pStyle w:val="TableParagraph"/>
                              <w:spacing w:before="59"/>
                              <w:ind w:left="6"/>
                              <w:jc w:val="center"/>
                              <w:rPr>
                                <w:sz w:val="20"/>
                              </w:rPr>
                            </w:pPr>
                            <w:r>
                              <w:rPr>
                                <w:color w:val="105C84"/>
                                <w:spacing w:val="-5"/>
                                <w:sz w:val="20"/>
                              </w:rPr>
                              <w:t>34</w:t>
                            </w:r>
                          </w:p>
                        </w:tc>
                        <w:tc>
                          <w:tcPr>
                            <w:tcW w:w="1965" w:type="dxa"/>
                          </w:tcPr>
                          <w:p>
                            <w:pPr>
                              <w:pStyle w:val="TableParagraph"/>
                              <w:spacing w:before="59"/>
                              <w:ind w:left="6" w:right="2"/>
                              <w:jc w:val="center"/>
                              <w:rPr>
                                <w:sz w:val="20"/>
                              </w:rPr>
                            </w:pPr>
                            <w:r>
                              <w:rPr>
                                <w:color w:val="105C84"/>
                                <w:spacing w:val="-10"/>
                                <w:sz w:val="20"/>
                              </w:rPr>
                              <w:t>5</w:t>
                            </w:r>
                          </w:p>
                        </w:tc>
                        <w:tc>
                          <w:tcPr>
                            <w:tcW w:w="1965" w:type="dxa"/>
                          </w:tcPr>
                          <w:p>
                            <w:pPr>
                              <w:pStyle w:val="TableParagraph"/>
                              <w:spacing w:before="59"/>
                              <w:ind w:left="6"/>
                              <w:jc w:val="center"/>
                              <w:rPr>
                                <w:sz w:val="20"/>
                              </w:rPr>
                            </w:pPr>
                            <w:r>
                              <w:rPr>
                                <w:color w:val="105C84"/>
                                <w:spacing w:val="-5"/>
                                <w:sz w:val="20"/>
                              </w:rPr>
                              <w:t>36</w:t>
                            </w:r>
                          </w:p>
                        </w:tc>
                      </w:tr>
                      <w:tr>
                        <w:trPr>
                          <w:trHeight w:val="331" w:hRule="atLeast"/>
                        </w:trPr>
                        <w:tc>
                          <w:tcPr>
                            <w:tcW w:w="1861" w:type="dxa"/>
                            <w:shd w:val="clear" w:color="auto" w:fill="DCDDDE"/>
                          </w:tcPr>
                          <w:p>
                            <w:pPr>
                              <w:pStyle w:val="TableParagraph"/>
                              <w:spacing w:before="59"/>
                              <w:ind w:left="89"/>
                              <w:rPr>
                                <w:b/>
                                <w:sz w:val="20"/>
                              </w:rPr>
                            </w:pPr>
                            <w:r>
                              <w:rPr>
                                <w:b/>
                                <w:color w:val="105C84"/>
                                <w:spacing w:val="-2"/>
                                <w:sz w:val="20"/>
                              </w:rPr>
                              <w:t>Schuyler</w:t>
                            </w:r>
                          </w:p>
                        </w:tc>
                        <w:tc>
                          <w:tcPr>
                            <w:tcW w:w="1965" w:type="dxa"/>
                          </w:tcPr>
                          <w:p>
                            <w:pPr>
                              <w:pStyle w:val="TableParagraph"/>
                              <w:spacing w:before="59"/>
                              <w:ind w:left="6" w:right="2"/>
                              <w:jc w:val="center"/>
                              <w:rPr>
                                <w:sz w:val="20"/>
                              </w:rPr>
                            </w:pPr>
                            <w:r>
                              <w:rPr>
                                <w:color w:val="105C84"/>
                                <w:spacing w:val="-10"/>
                                <w:sz w:val="20"/>
                              </w:rPr>
                              <w:t>6</w:t>
                            </w:r>
                          </w:p>
                        </w:tc>
                        <w:tc>
                          <w:tcPr>
                            <w:tcW w:w="1965" w:type="dxa"/>
                          </w:tcPr>
                          <w:p>
                            <w:pPr>
                              <w:pStyle w:val="TableParagraph"/>
                              <w:spacing w:before="59"/>
                              <w:ind w:left="6"/>
                              <w:jc w:val="center"/>
                              <w:rPr>
                                <w:sz w:val="20"/>
                              </w:rPr>
                            </w:pPr>
                            <w:r>
                              <w:rPr>
                                <w:color w:val="105C84"/>
                                <w:spacing w:val="-5"/>
                                <w:sz w:val="20"/>
                              </w:rPr>
                              <w:t>41</w:t>
                            </w:r>
                          </w:p>
                        </w:tc>
                        <w:tc>
                          <w:tcPr>
                            <w:tcW w:w="1965" w:type="dxa"/>
                          </w:tcPr>
                          <w:p>
                            <w:pPr>
                              <w:pStyle w:val="TableParagraph"/>
                              <w:spacing w:before="59"/>
                              <w:ind w:left="6" w:right="2"/>
                              <w:jc w:val="center"/>
                              <w:rPr>
                                <w:sz w:val="20"/>
                              </w:rPr>
                            </w:pPr>
                            <w:r>
                              <w:rPr>
                                <w:color w:val="105C84"/>
                                <w:spacing w:val="-10"/>
                                <w:sz w:val="20"/>
                              </w:rPr>
                              <w:t>7</w:t>
                            </w:r>
                          </w:p>
                        </w:tc>
                        <w:tc>
                          <w:tcPr>
                            <w:tcW w:w="1965" w:type="dxa"/>
                          </w:tcPr>
                          <w:p>
                            <w:pPr>
                              <w:pStyle w:val="TableParagraph"/>
                              <w:spacing w:before="59"/>
                              <w:ind w:left="6"/>
                              <w:jc w:val="center"/>
                              <w:rPr>
                                <w:sz w:val="20"/>
                              </w:rPr>
                            </w:pPr>
                            <w:r>
                              <w:rPr>
                                <w:color w:val="105C84"/>
                                <w:spacing w:val="-5"/>
                                <w:sz w:val="20"/>
                              </w:rPr>
                              <w:t>41</w:t>
                            </w:r>
                          </w:p>
                        </w:tc>
                      </w:tr>
                      <w:tr>
                        <w:trPr>
                          <w:trHeight w:val="331" w:hRule="atLeast"/>
                        </w:trPr>
                        <w:tc>
                          <w:tcPr>
                            <w:tcW w:w="1861" w:type="dxa"/>
                            <w:shd w:val="clear" w:color="auto" w:fill="DCDDDE"/>
                          </w:tcPr>
                          <w:p>
                            <w:pPr>
                              <w:pStyle w:val="TableParagraph"/>
                              <w:spacing w:before="59"/>
                              <w:ind w:left="89"/>
                              <w:rPr>
                                <w:b/>
                                <w:sz w:val="20"/>
                              </w:rPr>
                            </w:pPr>
                            <w:r>
                              <w:rPr>
                                <w:b/>
                                <w:color w:val="105C84"/>
                                <w:spacing w:val="-2"/>
                                <w:sz w:val="20"/>
                              </w:rPr>
                              <w:t>Seneca</w:t>
                            </w:r>
                          </w:p>
                        </w:tc>
                        <w:tc>
                          <w:tcPr>
                            <w:tcW w:w="1965" w:type="dxa"/>
                          </w:tcPr>
                          <w:p>
                            <w:pPr>
                              <w:pStyle w:val="TableParagraph"/>
                              <w:spacing w:before="59"/>
                              <w:ind w:left="6" w:right="2"/>
                              <w:jc w:val="center"/>
                              <w:rPr>
                                <w:sz w:val="20"/>
                              </w:rPr>
                            </w:pPr>
                            <w:r>
                              <w:rPr>
                                <w:color w:val="105C84"/>
                                <w:spacing w:val="-10"/>
                                <w:sz w:val="20"/>
                              </w:rPr>
                              <w:t>6</w:t>
                            </w:r>
                          </w:p>
                        </w:tc>
                        <w:tc>
                          <w:tcPr>
                            <w:tcW w:w="1965" w:type="dxa"/>
                          </w:tcPr>
                          <w:p>
                            <w:pPr>
                              <w:pStyle w:val="TableParagraph"/>
                              <w:spacing w:before="59"/>
                              <w:ind w:left="6"/>
                              <w:jc w:val="center"/>
                              <w:rPr>
                                <w:sz w:val="20"/>
                              </w:rPr>
                            </w:pPr>
                            <w:r>
                              <w:rPr>
                                <w:color w:val="105C84"/>
                                <w:spacing w:val="-5"/>
                                <w:sz w:val="20"/>
                              </w:rPr>
                              <w:t>44</w:t>
                            </w:r>
                          </w:p>
                        </w:tc>
                        <w:tc>
                          <w:tcPr>
                            <w:tcW w:w="1965" w:type="dxa"/>
                          </w:tcPr>
                          <w:p>
                            <w:pPr>
                              <w:pStyle w:val="TableParagraph"/>
                              <w:spacing w:before="59"/>
                              <w:ind w:left="6" w:right="2"/>
                              <w:jc w:val="center"/>
                              <w:rPr>
                                <w:sz w:val="20"/>
                              </w:rPr>
                            </w:pPr>
                            <w:r>
                              <w:rPr>
                                <w:color w:val="105C84"/>
                                <w:spacing w:val="-10"/>
                                <w:sz w:val="20"/>
                              </w:rPr>
                              <w:t>5</w:t>
                            </w:r>
                          </w:p>
                        </w:tc>
                        <w:tc>
                          <w:tcPr>
                            <w:tcW w:w="1965" w:type="dxa"/>
                          </w:tcPr>
                          <w:p>
                            <w:pPr>
                              <w:pStyle w:val="TableParagraph"/>
                              <w:spacing w:before="59"/>
                              <w:ind w:left="6"/>
                              <w:jc w:val="center"/>
                              <w:rPr>
                                <w:sz w:val="20"/>
                              </w:rPr>
                            </w:pPr>
                            <w:r>
                              <w:rPr>
                                <w:color w:val="105C84"/>
                                <w:spacing w:val="-5"/>
                                <w:sz w:val="20"/>
                              </w:rPr>
                              <w:t>43</w:t>
                            </w:r>
                          </w:p>
                        </w:tc>
                      </w:tr>
                      <w:tr>
                        <w:trPr>
                          <w:trHeight w:val="331" w:hRule="atLeast"/>
                        </w:trPr>
                        <w:tc>
                          <w:tcPr>
                            <w:tcW w:w="1861" w:type="dxa"/>
                            <w:shd w:val="clear" w:color="auto" w:fill="DCDDDE"/>
                          </w:tcPr>
                          <w:p>
                            <w:pPr>
                              <w:pStyle w:val="TableParagraph"/>
                              <w:spacing w:before="59"/>
                              <w:ind w:left="89"/>
                              <w:rPr>
                                <w:b/>
                                <w:sz w:val="20"/>
                              </w:rPr>
                            </w:pPr>
                            <w:r>
                              <w:rPr>
                                <w:b/>
                                <w:color w:val="105C84"/>
                                <w:spacing w:val="-2"/>
                                <w:sz w:val="20"/>
                              </w:rPr>
                              <w:t>Steuben</w:t>
                            </w:r>
                          </w:p>
                        </w:tc>
                        <w:tc>
                          <w:tcPr>
                            <w:tcW w:w="1965" w:type="dxa"/>
                          </w:tcPr>
                          <w:p>
                            <w:pPr>
                              <w:pStyle w:val="TableParagraph"/>
                              <w:spacing w:before="59"/>
                              <w:ind w:left="6" w:right="2"/>
                              <w:jc w:val="center"/>
                              <w:rPr>
                                <w:sz w:val="20"/>
                              </w:rPr>
                            </w:pPr>
                            <w:r>
                              <w:rPr>
                                <w:color w:val="105C84"/>
                                <w:spacing w:val="-10"/>
                                <w:sz w:val="20"/>
                              </w:rPr>
                              <w:t>9</w:t>
                            </w:r>
                          </w:p>
                        </w:tc>
                        <w:tc>
                          <w:tcPr>
                            <w:tcW w:w="1965" w:type="dxa"/>
                          </w:tcPr>
                          <w:p>
                            <w:pPr>
                              <w:pStyle w:val="TableParagraph"/>
                              <w:spacing w:before="59"/>
                              <w:ind w:left="6"/>
                              <w:jc w:val="center"/>
                              <w:rPr>
                                <w:sz w:val="20"/>
                              </w:rPr>
                            </w:pPr>
                            <w:r>
                              <w:rPr>
                                <w:color w:val="105C84"/>
                                <w:spacing w:val="-5"/>
                                <w:sz w:val="20"/>
                              </w:rPr>
                              <w:t>40</w:t>
                            </w:r>
                          </w:p>
                        </w:tc>
                        <w:tc>
                          <w:tcPr>
                            <w:tcW w:w="1965" w:type="dxa"/>
                          </w:tcPr>
                          <w:p>
                            <w:pPr>
                              <w:pStyle w:val="TableParagraph"/>
                              <w:spacing w:before="59"/>
                              <w:ind w:left="6" w:right="2"/>
                              <w:jc w:val="center"/>
                              <w:rPr>
                                <w:sz w:val="20"/>
                              </w:rPr>
                            </w:pPr>
                            <w:r>
                              <w:rPr>
                                <w:color w:val="105C84"/>
                                <w:spacing w:val="-10"/>
                                <w:sz w:val="20"/>
                              </w:rPr>
                              <w:t>7</w:t>
                            </w:r>
                          </w:p>
                        </w:tc>
                        <w:tc>
                          <w:tcPr>
                            <w:tcW w:w="1965" w:type="dxa"/>
                          </w:tcPr>
                          <w:p>
                            <w:pPr>
                              <w:pStyle w:val="TableParagraph"/>
                              <w:spacing w:before="59"/>
                              <w:ind w:left="6"/>
                              <w:jc w:val="center"/>
                              <w:rPr>
                                <w:sz w:val="20"/>
                              </w:rPr>
                            </w:pPr>
                            <w:r>
                              <w:rPr>
                                <w:color w:val="105C84"/>
                                <w:spacing w:val="-5"/>
                                <w:sz w:val="20"/>
                              </w:rPr>
                              <w:t>41</w:t>
                            </w:r>
                          </w:p>
                        </w:tc>
                      </w:tr>
                      <w:tr>
                        <w:trPr>
                          <w:trHeight w:val="331" w:hRule="atLeast"/>
                        </w:trPr>
                        <w:tc>
                          <w:tcPr>
                            <w:tcW w:w="1861" w:type="dxa"/>
                            <w:shd w:val="clear" w:color="auto" w:fill="DCDDDE"/>
                          </w:tcPr>
                          <w:p>
                            <w:pPr>
                              <w:pStyle w:val="TableParagraph"/>
                              <w:spacing w:before="59"/>
                              <w:ind w:left="89"/>
                              <w:rPr>
                                <w:b/>
                                <w:sz w:val="20"/>
                              </w:rPr>
                            </w:pPr>
                            <w:r>
                              <w:rPr>
                                <w:b/>
                                <w:color w:val="105C84"/>
                                <w:spacing w:val="-2"/>
                                <w:sz w:val="20"/>
                              </w:rPr>
                              <w:t>Wayne</w:t>
                            </w:r>
                          </w:p>
                        </w:tc>
                        <w:tc>
                          <w:tcPr>
                            <w:tcW w:w="1965" w:type="dxa"/>
                          </w:tcPr>
                          <w:p>
                            <w:pPr>
                              <w:pStyle w:val="TableParagraph"/>
                              <w:spacing w:before="59"/>
                              <w:ind w:left="6" w:right="2"/>
                              <w:jc w:val="center"/>
                              <w:rPr>
                                <w:sz w:val="20"/>
                              </w:rPr>
                            </w:pPr>
                            <w:r>
                              <w:rPr>
                                <w:color w:val="105C84"/>
                                <w:spacing w:val="-10"/>
                                <w:sz w:val="20"/>
                              </w:rPr>
                              <w:t>8</w:t>
                            </w:r>
                          </w:p>
                        </w:tc>
                        <w:tc>
                          <w:tcPr>
                            <w:tcW w:w="1965" w:type="dxa"/>
                          </w:tcPr>
                          <w:p>
                            <w:pPr>
                              <w:pStyle w:val="TableParagraph"/>
                              <w:spacing w:before="59"/>
                              <w:ind w:left="6"/>
                              <w:jc w:val="center"/>
                              <w:rPr>
                                <w:sz w:val="20"/>
                              </w:rPr>
                            </w:pPr>
                            <w:r>
                              <w:rPr>
                                <w:color w:val="105C84"/>
                                <w:spacing w:val="-5"/>
                                <w:sz w:val="20"/>
                              </w:rPr>
                              <w:t>34</w:t>
                            </w:r>
                          </w:p>
                        </w:tc>
                        <w:tc>
                          <w:tcPr>
                            <w:tcW w:w="1965" w:type="dxa"/>
                          </w:tcPr>
                          <w:p>
                            <w:pPr>
                              <w:pStyle w:val="TableParagraph"/>
                              <w:spacing w:before="59"/>
                              <w:ind w:left="6" w:right="2"/>
                              <w:jc w:val="center"/>
                              <w:rPr>
                                <w:sz w:val="20"/>
                              </w:rPr>
                            </w:pPr>
                            <w:r>
                              <w:rPr>
                                <w:color w:val="105C84"/>
                                <w:spacing w:val="-10"/>
                                <w:sz w:val="20"/>
                              </w:rPr>
                              <w:t>6</w:t>
                            </w:r>
                          </w:p>
                        </w:tc>
                        <w:tc>
                          <w:tcPr>
                            <w:tcW w:w="1965" w:type="dxa"/>
                          </w:tcPr>
                          <w:p>
                            <w:pPr>
                              <w:pStyle w:val="TableParagraph"/>
                              <w:spacing w:before="59"/>
                              <w:ind w:left="6"/>
                              <w:jc w:val="center"/>
                              <w:rPr>
                                <w:sz w:val="20"/>
                              </w:rPr>
                            </w:pPr>
                            <w:r>
                              <w:rPr>
                                <w:color w:val="105C84"/>
                                <w:spacing w:val="-5"/>
                                <w:sz w:val="20"/>
                              </w:rPr>
                              <w:t>37</w:t>
                            </w:r>
                          </w:p>
                        </w:tc>
                      </w:tr>
                      <w:tr>
                        <w:trPr>
                          <w:trHeight w:val="331" w:hRule="atLeast"/>
                        </w:trPr>
                        <w:tc>
                          <w:tcPr>
                            <w:tcW w:w="1861" w:type="dxa"/>
                            <w:shd w:val="clear" w:color="auto" w:fill="DCDDDE"/>
                          </w:tcPr>
                          <w:p>
                            <w:pPr>
                              <w:pStyle w:val="TableParagraph"/>
                              <w:spacing w:before="59"/>
                              <w:ind w:left="89"/>
                              <w:rPr>
                                <w:b/>
                                <w:sz w:val="20"/>
                              </w:rPr>
                            </w:pPr>
                            <w:r>
                              <w:rPr>
                                <w:b/>
                                <w:color w:val="105C84"/>
                                <w:spacing w:val="-2"/>
                                <w:sz w:val="20"/>
                              </w:rPr>
                              <w:t>Yates</w:t>
                            </w:r>
                          </w:p>
                        </w:tc>
                        <w:tc>
                          <w:tcPr>
                            <w:tcW w:w="1965" w:type="dxa"/>
                          </w:tcPr>
                          <w:p>
                            <w:pPr>
                              <w:pStyle w:val="TableParagraph"/>
                              <w:spacing w:before="59"/>
                              <w:ind w:left="6" w:right="2"/>
                              <w:jc w:val="center"/>
                              <w:rPr>
                                <w:sz w:val="20"/>
                              </w:rPr>
                            </w:pPr>
                            <w:r>
                              <w:rPr>
                                <w:color w:val="105C84"/>
                                <w:spacing w:val="-10"/>
                                <w:sz w:val="20"/>
                              </w:rPr>
                              <w:t>6</w:t>
                            </w:r>
                          </w:p>
                        </w:tc>
                        <w:tc>
                          <w:tcPr>
                            <w:tcW w:w="1965" w:type="dxa"/>
                          </w:tcPr>
                          <w:p>
                            <w:pPr>
                              <w:pStyle w:val="TableParagraph"/>
                              <w:spacing w:before="59"/>
                              <w:ind w:left="6"/>
                              <w:jc w:val="center"/>
                              <w:rPr>
                                <w:sz w:val="20"/>
                              </w:rPr>
                            </w:pPr>
                            <w:r>
                              <w:rPr>
                                <w:color w:val="105C84"/>
                                <w:spacing w:val="-5"/>
                                <w:sz w:val="20"/>
                              </w:rPr>
                              <w:t>38</w:t>
                            </w:r>
                          </w:p>
                        </w:tc>
                        <w:tc>
                          <w:tcPr>
                            <w:tcW w:w="1965" w:type="dxa"/>
                          </w:tcPr>
                          <w:p>
                            <w:pPr>
                              <w:pStyle w:val="TableParagraph"/>
                              <w:spacing w:before="59"/>
                              <w:ind w:left="6" w:right="2"/>
                              <w:jc w:val="center"/>
                              <w:rPr>
                                <w:sz w:val="20"/>
                              </w:rPr>
                            </w:pPr>
                            <w:r>
                              <w:rPr>
                                <w:color w:val="105C84"/>
                                <w:spacing w:val="-10"/>
                                <w:sz w:val="20"/>
                              </w:rPr>
                              <w:t>6</w:t>
                            </w:r>
                          </w:p>
                        </w:tc>
                        <w:tc>
                          <w:tcPr>
                            <w:tcW w:w="1965" w:type="dxa"/>
                          </w:tcPr>
                          <w:p>
                            <w:pPr>
                              <w:pStyle w:val="TableParagraph"/>
                              <w:spacing w:before="59"/>
                              <w:ind w:left="6"/>
                              <w:jc w:val="center"/>
                              <w:rPr>
                                <w:sz w:val="20"/>
                              </w:rPr>
                            </w:pPr>
                            <w:r>
                              <w:rPr>
                                <w:color w:val="105C84"/>
                                <w:spacing w:val="-5"/>
                                <w:sz w:val="20"/>
                              </w:rPr>
                              <w:t>40</w:t>
                            </w:r>
                          </w:p>
                        </w:tc>
                      </w:tr>
                      <w:tr>
                        <w:trPr>
                          <w:trHeight w:val="331" w:hRule="atLeast"/>
                        </w:trPr>
                        <w:tc>
                          <w:tcPr>
                            <w:tcW w:w="1861" w:type="dxa"/>
                            <w:shd w:val="clear" w:color="auto" w:fill="82BF6A"/>
                          </w:tcPr>
                          <w:p>
                            <w:pPr>
                              <w:pStyle w:val="TableParagraph"/>
                              <w:spacing w:before="60"/>
                              <w:ind w:left="89"/>
                              <w:rPr>
                                <w:b/>
                                <w:sz w:val="20"/>
                              </w:rPr>
                            </w:pPr>
                            <w:r>
                              <w:rPr>
                                <w:b/>
                                <w:color w:val="FFFFFF"/>
                                <w:sz w:val="20"/>
                              </w:rPr>
                              <w:t>8</w:t>
                            </w:r>
                            <w:r>
                              <w:rPr>
                                <w:b/>
                                <w:color w:val="FFFFFF"/>
                                <w:spacing w:val="5"/>
                                <w:sz w:val="20"/>
                              </w:rPr>
                              <w:t> </w:t>
                            </w:r>
                            <w:r>
                              <w:rPr>
                                <w:b/>
                                <w:color w:val="FFFFFF"/>
                                <w:sz w:val="20"/>
                              </w:rPr>
                              <w:t>County</w:t>
                            </w:r>
                            <w:r>
                              <w:rPr>
                                <w:b/>
                                <w:color w:val="FFFFFF"/>
                                <w:spacing w:val="5"/>
                                <w:sz w:val="20"/>
                              </w:rPr>
                              <w:t> </w:t>
                            </w:r>
                            <w:r>
                              <w:rPr>
                                <w:b/>
                                <w:color w:val="FFFFFF"/>
                                <w:spacing w:val="-2"/>
                                <w:sz w:val="20"/>
                              </w:rPr>
                              <w:t>Region</w:t>
                            </w:r>
                          </w:p>
                        </w:tc>
                        <w:tc>
                          <w:tcPr>
                            <w:tcW w:w="1965" w:type="dxa"/>
                            <w:shd w:val="clear" w:color="auto" w:fill="82BF6A"/>
                          </w:tcPr>
                          <w:p>
                            <w:pPr>
                              <w:pStyle w:val="TableParagraph"/>
                              <w:spacing w:before="60"/>
                              <w:ind w:left="6" w:right="2"/>
                              <w:jc w:val="center"/>
                              <w:rPr>
                                <w:b/>
                                <w:sz w:val="20"/>
                              </w:rPr>
                            </w:pPr>
                            <w:r>
                              <w:rPr>
                                <w:b/>
                                <w:color w:val="FFFFFF"/>
                                <w:spacing w:val="-10"/>
                                <w:w w:val="105"/>
                                <w:sz w:val="20"/>
                              </w:rPr>
                              <w:t>7</w:t>
                            </w:r>
                          </w:p>
                        </w:tc>
                        <w:tc>
                          <w:tcPr>
                            <w:tcW w:w="1965" w:type="dxa"/>
                            <w:shd w:val="clear" w:color="auto" w:fill="82BF6A"/>
                          </w:tcPr>
                          <w:p>
                            <w:pPr>
                              <w:pStyle w:val="TableParagraph"/>
                              <w:spacing w:before="60"/>
                              <w:ind w:left="6"/>
                              <w:jc w:val="center"/>
                              <w:rPr>
                                <w:b/>
                                <w:sz w:val="20"/>
                              </w:rPr>
                            </w:pPr>
                            <w:r>
                              <w:rPr>
                                <w:b/>
                                <w:color w:val="FFFFFF"/>
                                <w:spacing w:val="-5"/>
                                <w:w w:val="105"/>
                                <w:sz w:val="20"/>
                              </w:rPr>
                              <w:t>38</w:t>
                            </w:r>
                          </w:p>
                        </w:tc>
                        <w:tc>
                          <w:tcPr>
                            <w:tcW w:w="1965" w:type="dxa"/>
                            <w:shd w:val="clear" w:color="auto" w:fill="82BF6A"/>
                          </w:tcPr>
                          <w:p>
                            <w:pPr>
                              <w:pStyle w:val="TableParagraph"/>
                              <w:spacing w:before="60"/>
                              <w:ind w:left="6" w:right="2"/>
                              <w:jc w:val="center"/>
                              <w:rPr>
                                <w:b/>
                                <w:sz w:val="20"/>
                              </w:rPr>
                            </w:pPr>
                            <w:r>
                              <w:rPr>
                                <w:b/>
                                <w:color w:val="FFFFFF"/>
                                <w:spacing w:val="-10"/>
                                <w:w w:val="105"/>
                                <w:sz w:val="20"/>
                              </w:rPr>
                              <w:t>6</w:t>
                            </w:r>
                          </w:p>
                        </w:tc>
                        <w:tc>
                          <w:tcPr>
                            <w:tcW w:w="1965" w:type="dxa"/>
                            <w:shd w:val="clear" w:color="auto" w:fill="82BF6A"/>
                          </w:tcPr>
                          <w:p>
                            <w:pPr>
                              <w:pStyle w:val="TableParagraph"/>
                              <w:spacing w:before="60"/>
                              <w:ind w:left="6"/>
                              <w:jc w:val="center"/>
                              <w:rPr>
                                <w:b/>
                                <w:sz w:val="20"/>
                              </w:rPr>
                            </w:pPr>
                            <w:r>
                              <w:rPr>
                                <w:b/>
                                <w:color w:val="FFFFFF"/>
                                <w:spacing w:val="-5"/>
                                <w:w w:val="105"/>
                                <w:sz w:val="20"/>
                              </w:rPr>
                              <w:t>40</w:t>
                            </w:r>
                          </w:p>
                        </w:tc>
                      </w:tr>
                      <w:tr>
                        <w:trPr>
                          <w:trHeight w:val="331" w:hRule="atLeast"/>
                        </w:trPr>
                        <w:tc>
                          <w:tcPr>
                            <w:tcW w:w="1861" w:type="dxa"/>
                          </w:tcPr>
                          <w:p>
                            <w:pPr>
                              <w:pStyle w:val="TableParagraph"/>
                              <w:spacing w:before="60"/>
                              <w:ind w:left="89"/>
                              <w:rPr>
                                <w:b/>
                                <w:sz w:val="20"/>
                              </w:rPr>
                            </w:pPr>
                            <w:r>
                              <w:rPr>
                                <w:b/>
                                <w:color w:val="105C84"/>
                                <w:spacing w:val="-5"/>
                                <w:sz w:val="20"/>
                              </w:rPr>
                              <w:t>NYS</w:t>
                            </w:r>
                          </w:p>
                        </w:tc>
                        <w:tc>
                          <w:tcPr>
                            <w:tcW w:w="1965" w:type="dxa"/>
                          </w:tcPr>
                          <w:p>
                            <w:pPr>
                              <w:pStyle w:val="TableParagraph"/>
                              <w:spacing w:before="60"/>
                              <w:ind w:left="6" w:right="2"/>
                              <w:jc w:val="center"/>
                              <w:rPr>
                                <w:b/>
                                <w:sz w:val="20"/>
                              </w:rPr>
                            </w:pPr>
                            <w:r>
                              <w:rPr>
                                <w:b/>
                                <w:color w:val="105C84"/>
                                <w:spacing w:val="-10"/>
                                <w:w w:val="105"/>
                                <w:sz w:val="20"/>
                              </w:rPr>
                              <w:t>9</w:t>
                            </w:r>
                          </w:p>
                        </w:tc>
                        <w:tc>
                          <w:tcPr>
                            <w:tcW w:w="1965" w:type="dxa"/>
                          </w:tcPr>
                          <w:p>
                            <w:pPr>
                              <w:pStyle w:val="TableParagraph"/>
                              <w:spacing w:before="60"/>
                              <w:ind w:left="6"/>
                              <w:jc w:val="center"/>
                              <w:rPr>
                                <w:b/>
                                <w:sz w:val="20"/>
                              </w:rPr>
                            </w:pPr>
                            <w:r>
                              <w:rPr>
                                <w:b/>
                                <w:color w:val="105C84"/>
                                <w:spacing w:val="-5"/>
                                <w:w w:val="105"/>
                                <w:sz w:val="20"/>
                              </w:rPr>
                              <w:t>35</w:t>
                            </w:r>
                          </w:p>
                        </w:tc>
                        <w:tc>
                          <w:tcPr>
                            <w:tcW w:w="1965" w:type="dxa"/>
                          </w:tcPr>
                          <w:p>
                            <w:pPr>
                              <w:pStyle w:val="TableParagraph"/>
                              <w:spacing w:before="60"/>
                              <w:ind w:left="6" w:right="2"/>
                              <w:jc w:val="center"/>
                              <w:rPr>
                                <w:b/>
                                <w:sz w:val="20"/>
                              </w:rPr>
                            </w:pPr>
                            <w:r>
                              <w:rPr>
                                <w:b/>
                                <w:color w:val="105C84"/>
                                <w:spacing w:val="-10"/>
                                <w:w w:val="105"/>
                                <w:sz w:val="20"/>
                              </w:rPr>
                              <w:t>7</w:t>
                            </w:r>
                          </w:p>
                        </w:tc>
                        <w:tc>
                          <w:tcPr>
                            <w:tcW w:w="1965" w:type="dxa"/>
                          </w:tcPr>
                          <w:p>
                            <w:pPr>
                              <w:pStyle w:val="TableParagraph"/>
                              <w:spacing w:before="60"/>
                              <w:ind w:left="6"/>
                              <w:jc w:val="center"/>
                              <w:rPr>
                                <w:b/>
                                <w:sz w:val="20"/>
                              </w:rPr>
                            </w:pPr>
                            <w:r>
                              <w:rPr>
                                <w:b/>
                                <w:color w:val="105C84"/>
                                <w:spacing w:val="-5"/>
                                <w:w w:val="105"/>
                                <w:sz w:val="20"/>
                              </w:rPr>
                              <w:t>37</w:t>
                            </w:r>
                          </w:p>
                        </w:tc>
                      </w:tr>
                    </w:tbl>
                    <w:p>
                      <w:pPr>
                        <w:pStyle w:val="BodyText"/>
                      </w:pPr>
                    </w:p>
                  </w:txbxContent>
                </v:textbox>
                <w10:wrap type="none"/>
              </v:shape>
            </w:pict>
          </mc:Fallback>
        </mc:AlternateContent>
      </w:r>
      <w:r>
        <w:rPr>
          <w:color w:val="0C5D86"/>
          <w:spacing w:val="-6"/>
          <w:sz w:val="16"/>
        </w:rPr>
        <w:t>Source:</w:t>
      </w:r>
      <w:r>
        <w:rPr>
          <w:color w:val="0C5D86"/>
          <w:spacing w:val="1"/>
          <w:sz w:val="16"/>
        </w:rPr>
        <w:t> </w:t>
      </w:r>
      <w:r>
        <w:rPr>
          <w:color w:val="0C5D86"/>
          <w:spacing w:val="-6"/>
          <w:sz w:val="16"/>
        </w:rPr>
        <w:t>U.S.</w:t>
      </w:r>
      <w:r>
        <w:rPr>
          <w:color w:val="0C5D86"/>
          <w:spacing w:val="2"/>
          <w:sz w:val="16"/>
        </w:rPr>
        <w:t> </w:t>
      </w:r>
      <w:r>
        <w:rPr>
          <w:color w:val="0C5D86"/>
          <w:spacing w:val="-6"/>
          <w:sz w:val="16"/>
        </w:rPr>
        <w:t>Census</w:t>
      </w:r>
      <w:r>
        <w:rPr>
          <w:color w:val="0C5D86"/>
          <w:spacing w:val="2"/>
          <w:sz w:val="16"/>
        </w:rPr>
        <w:t> </w:t>
      </w:r>
      <w:r>
        <w:rPr>
          <w:color w:val="0C5D86"/>
          <w:spacing w:val="-6"/>
          <w:sz w:val="16"/>
        </w:rPr>
        <w:t>Bureau</w:t>
      </w:r>
      <w:r>
        <w:rPr>
          <w:color w:val="0C5D86"/>
          <w:spacing w:val="1"/>
          <w:sz w:val="16"/>
        </w:rPr>
        <w:t> </w:t>
      </w:r>
      <w:r>
        <w:rPr>
          <w:color w:val="0C5D86"/>
          <w:spacing w:val="-6"/>
          <w:sz w:val="16"/>
        </w:rPr>
        <w:t>American</w:t>
      </w:r>
      <w:r>
        <w:rPr>
          <w:color w:val="0C5D86"/>
          <w:spacing w:val="2"/>
          <w:sz w:val="16"/>
        </w:rPr>
        <w:t> </w:t>
      </w:r>
      <w:r>
        <w:rPr>
          <w:color w:val="0C5D86"/>
          <w:spacing w:val="-6"/>
          <w:sz w:val="16"/>
        </w:rPr>
        <w:t>Community</w:t>
      </w:r>
      <w:r>
        <w:rPr>
          <w:color w:val="0C5D86"/>
          <w:spacing w:val="2"/>
          <w:sz w:val="16"/>
        </w:rPr>
        <w:t> </w:t>
      </w:r>
      <w:r>
        <w:rPr>
          <w:color w:val="0C5D86"/>
          <w:spacing w:val="-6"/>
          <w:sz w:val="16"/>
        </w:rPr>
        <w:t>Survey</w:t>
      </w:r>
      <w:r>
        <w:rPr>
          <w:color w:val="0C5D86"/>
          <w:spacing w:val="2"/>
          <w:sz w:val="16"/>
        </w:rPr>
        <w:t> </w:t>
      </w:r>
      <w:r>
        <w:rPr>
          <w:color w:val="0C5D86"/>
          <w:spacing w:val="-6"/>
          <w:sz w:val="16"/>
        </w:rPr>
        <w:t>2013-2017</w:t>
      </w:r>
    </w:p>
    <w:p>
      <w:pPr>
        <w:pStyle w:val="BodyText"/>
        <w:spacing w:before="106"/>
        <w:rPr>
          <w:sz w:val="16"/>
        </w:rPr>
      </w:pPr>
    </w:p>
    <w:p>
      <w:pPr>
        <w:pStyle w:val="BodyText"/>
        <w:spacing w:line="247" w:lineRule="auto"/>
        <w:ind w:left="1094" w:right="630"/>
      </w:pPr>
      <w:r>
        <w:rPr>
          <w:color w:val="105C84"/>
        </w:rPr>
        <w:t>Unemployed persons under age 65 do not have access to employer-based subsidized health insurance, and are therefore more likely to be uninsured. Health insurance helps individuals access the care that they need. Like the low socioeconomic status population, the uninsured are less likely</w:t>
      </w:r>
      <w:r>
        <w:rPr>
          <w:color w:val="105C84"/>
          <w:spacing w:val="80"/>
        </w:rPr>
        <w:t> </w:t>
      </w:r>
      <w:r>
        <w:rPr>
          <w:color w:val="105C84"/>
        </w:rPr>
        <w:t>to receive or seek preventative care such as health screenings, are less likely to have an established regular healthcare provider and are more likely to use the emergency room for services that could have been rendered in a primary care provider setting. Since the implementation of the Affordable</w:t>
      </w:r>
      <w:r>
        <w:rPr>
          <w:color w:val="105C84"/>
          <w:spacing w:val="80"/>
        </w:rPr>
        <w:t> </w:t>
      </w:r>
      <w:r>
        <w:rPr>
          <w:color w:val="105C84"/>
        </w:rPr>
        <w:t>Care Act, the rate of uninsured individuals has decreased three percentage points over the past six years to 5% of residents. This is a step in the right direction, but health insurance attainment is not</w:t>
      </w:r>
      <w:r>
        <w:rPr>
          <w:color w:val="105C84"/>
          <w:spacing w:val="40"/>
        </w:rPr>
        <w:t> </w:t>
      </w:r>
      <w:r>
        <w:rPr>
          <w:color w:val="105C84"/>
        </w:rPr>
        <w:t>the only barrier to health care. Underinsured individuals, or those who have high deductibles that</w:t>
      </w:r>
      <w:r>
        <w:rPr>
          <w:color w:val="105C84"/>
          <w:spacing w:val="40"/>
        </w:rPr>
        <w:t> </w:t>
      </w:r>
      <w:r>
        <w:rPr>
          <w:color w:val="105C84"/>
        </w:rPr>
        <w:t>affect their ability to access healthcare, is a real concern. Transportation, lack of provider availability (including difficulty scheduling with providers) and cost (i.e. cost of care, time away from work, and childcare) were repeatedly identified as barriers and top concerns in </w:t>
      </w:r>
      <w:r>
        <w:rPr>
          <w:i/>
          <w:color w:val="105C84"/>
        </w:rPr>
        <w:t>My Health Story 2018 </w:t>
      </w:r>
      <w:r>
        <w:rPr>
          <w:color w:val="105C84"/>
        </w:rPr>
        <w:t>survey discussions and are areas that could see improvement.</w:t>
      </w:r>
    </w:p>
    <w:p>
      <w:pPr>
        <w:pStyle w:val="BodyText"/>
        <w:spacing w:after="0" w:line="247" w:lineRule="auto"/>
        <w:sectPr>
          <w:type w:val="continuous"/>
          <w:pgSz w:w="24480" w:h="15840" w:orient="landscape"/>
          <w:pgMar w:header="0" w:footer="0" w:top="0" w:bottom="280" w:left="0" w:right="720"/>
          <w:cols w:num="3" w:equalWidth="0">
            <w:col w:w="5761" w:space="40"/>
            <w:col w:w="4801" w:space="1618"/>
            <w:col w:w="11540"/>
          </w:cols>
        </w:sectPr>
      </w:pPr>
    </w:p>
    <w:p>
      <w:pPr>
        <w:pStyle w:val="BodyText"/>
        <w:rPr>
          <w:sz w:val="14"/>
        </w:rPr>
      </w:pPr>
      <w:r>
        <w:rPr>
          <w:sz w:val="14"/>
        </w:rPr>
        <mc:AlternateContent>
          <mc:Choice Requires="wps">
            <w:drawing>
              <wp:anchor distT="0" distB="0" distL="0" distR="0" allowOverlap="1" layoutInCell="1" locked="0" behindDoc="0" simplePos="0" relativeHeight="15744512">
                <wp:simplePos x="0" y="0"/>
                <wp:positionH relativeFrom="page">
                  <wp:posOffset>7772400</wp:posOffset>
                </wp:positionH>
                <wp:positionV relativeFrom="page">
                  <wp:posOffset>7205471</wp:posOffset>
                </wp:positionV>
                <wp:extent cx="7772400" cy="2853055"/>
                <wp:effectExtent l="0" t="0" r="0" b="0"/>
                <wp:wrapNone/>
                <wp:docPr id="139" name="Group 139"/>
                <wp:cNvGraphicFramePr>
                  <a:graphicFrameLocks/>
                </wp:cNvGraphicFramePr>
                <a:graphic>
                  <a:graphicData uri="http://schemas.microsoft.com/office/word/2010/wordprocessingGroup">
                    <wpg:wgp>
                      <wpg:cNvPr id="139" name="Group 139"/>
                      <wpg:cNvGrpSpPr/>
                      <wpg:grpSpPr>
                        <a:xfrm>
                          <a:off x="0" y="0"/>
                          <a:ext cx="7772400" cy="2853055"/>
                          <a:chExt cx="7772400" cy="2853055"/>
                        </a:xfrm>
                      </wpg:grpSpPr>
                      <pic:pic>
                        <pic:nvPicPr>
                          <pic:cNvPr id="140" name="Image 140"/>
                          <pic:cNvPicPr/>
                        </pic:nvPicPr>
                        <pic:blipFill>
                          <a:blip r:embed="rId38" cstate="print"/>
                          <a:stretch>
                            <a:fillRect/>
                          </a:stretch>
                        </pic:blipFill>
                        <pic:spPr>
                          <a:xfrm>
                            <a:off x="7209156" y="2462631"/>
                            <a:ext cx="563245" cy="184683"/>
                          </a:xfrm>
                          <a:prstGeom prst="rect">
                            <a:avLst/>
                          </a:prstGeom>
                        </pic:spPr>
                      </pic:pic>
                      <pic:pic>
                        <pic:nvPicPr>
                          <pic:cNvPr id="141" name="Image 141"/>
                          <pic:cNvPicPr/>
                        </pic:nvPicPr>
                        <pic:blipFill>
                          <a:blip r:embed="rId51" cstate="print"/>
                          <a:stretch>
                            <a:fillRect/>
                          </a:stretch>
                        </pic:blipFill>
                        <pic:spPr>
                          <a:xfrm>
                            <a:off x="0" y="0"/>
                            <a:ext cx="7772400" cy="2852928"/>
                          </a:xfrm>
                          <a:prstGeom prst="rect">
                            <a:avLst/>
                          </a:prstGeom>
                        </pic:spPr>
                      </pic:pic>
                      <wps:wsp>
                        <wps:cNvPr id="142" name="Graphic 142"/>
                        <wps:cNvSpPr/>
                        <wps:spPr>
                          <a:xfrm>
                            <a:off x="5587" y="2084832"/>
                            <a:ext cx="7767320" cy="768350"/>
                          </a:xfrm>
                          <a:custGeom>
                            <a:avLst/>
                            <a:gdLst/>
                            <a:ahLst/>
                            <a:cxnLst/>
                            <a:rect l="l" t="t" r="r" b="b"/>
                            <a:pathLst>
                              <a:path w="7767320" h="768350">
                                <a:moveTo>
                                  <a:pt x="7766811" y="0"/>
                                </a:moveTo>
                                <a:lnTo>
                                  <a:pt x="0" y="0"/>
                                </a:lnTo>
                                <a:lnTo>
                                  <a:pt x="0" y="768096"/>
                                </a:lnTo>
                                <a:lnTo>
                                  <a:pt x="7766811" y="768096"/>
                                </a:lnTo>
                                <a:lnTo>
                                  <a:pt x="7766811" y="0"/>
                                </a:lnTo>
                                <a:close/>
                              </a:path>
                            </a:pathLst>
                          </a:custGeom>
                          <a:solidFill>
                            <a:srgbClr val="000000">
                              <a:alpha val="63998"/>
                            </a:srgbClr>
                          </a:solidFill>
                        </wps:spPr>
                        <wps:bodyPr wrap="square" lIns="0" tIns="0" rIns="0" bIns="0" rtlCol="0">
                          <a:prstTxWarp prst="textNoShape">
                            <a:avLst/>
                          </a:prstTxWarp>
                          <a:noAutofit/>
                        </wps:bodyPr>
                      </wps:wsp>
                      <wps:wsp>
                        <wps:cNvPr id="143" name="Textbox 143"/>
                        <wps:cNvSpPr txBox="1"/>
                        <wps:spPr>
                          <a:xfrm>
                            <a:off x="707644" y="2358770"/>
                            <a:ext cx="1971039" cy="253365"/>
                          </a:xfrm>
                          <a:prstGeom prst="rect">
                            <a:avLst/>
                          </a:prstGeom>
                        </wps:spPr>
                        <wps:txbx>
                          <w:txbxContent>
                            <w:p>
                              <w:pPr>
                                <w:spacing w:line="235" w:lineRule="auto" w:before="13"/>
                                <w:ind w:left="0" w:right="0" w:firstLine="0"/>
                                <w:jc w:val="left"/>
                                <w:rPr>
                                  <w:sz w:val="16"/>
                                </w:rPr>
                              </w:pPr>
                              <w:r>
                                <w:rPr>
                                  <w:color w:val="FFFFFF"/>
                                  <w:sz w:val="16"/>
                                </w:rPr>
                                <w:t>Ontario: Bristol mountain aerial </w:t>
                              </w:r>
                              <w:r>
                                <w:rPr>
                                  <w:color w:val="FFFFFF"/>
                                  <w:sz w:val="16"/>
                                </w:rPr>
                                <w:t>adventures Photo courtesy of VisitFingerLakes.com</w:t>
                              </w:r>
                            </w:p>
                          </w:txbxContent>
                        </wps:txbx>
                        <wps:bodyPr wrap="square" lIns="0" tIns="0" rIns="0" bIns="0" rtlCol="0">
                          <a:noAutofit/>
                        </wps:bodyPr>
                      </wps:wsp>
                    </wpg:wgp>
                  </a:graphicData>
                </a:graphic>
              </wp:anchor>
            </w:drawing>
          </mc:Choice>
          <mc:Fallback>
            <w:pict>
              <v:group style="position:absolute;margin-left:612pt;margin-top:567.359985pt;width:612pt;height:224.65pt;mso-position-horizontal-relative:page;mso-position-vertical-relative:page;z-index:15744512" id="docshapegroup118" coordorigin="12240,11347" coordsize="12240,4493">
                <v:shape style="position:absolute;left:23593;top:15225;width:887;height:291" type="#_x0000_t75" id="docshape119" stroked="false">
                  <v:imagedata r:id="rId38" o:title=""/>
                </v:shape>
                <v:shape style="position:absolute;left:12240;top:11347;width:12240;height:4493" type="#_x0000_t75" id="docshape120" stroked="false">
                  <v:imagedata r:id="rId51" o:title=""/>
                </v:shape>
                <v:rect style="position:absolute;left:12248;top:14630;width:12232;height:1210" id="docshape121" filled="true" fillcolor="#000000" stroked="false">
                  <v:fill opacity="41942f" type="solid"/>
                </v:rect>
                <v:shape style="position:absolute;left:13354;top:15061;width:3104;height:399" type="#_x0000_t202" id="docshape122" filled="false" stroked="false">
                  <v:textbox inset="0,0,0,0">
                    <w:txbxContent>
                      <w:p>
                        <w:pPr>
                          <w:spacing w:line="235" w:lineRule="auto" w:before="13"/>
                          <w:ind w:left="0" w:right="0" w:firstLine="0"/>
                          <w:jc w:val="left"/>
                          <w:rPr>
                            <w:sz w:val="16"/>
                          </w:rPr>
                        </w:pPr>
                        <w:r>
                          <w:rPr>
                            <w:color w:val="FFFFFF"/>
                            <w:sz w:val="16"/>
                          </w:rPr>
                          <w:t>Ontario: Bristol mountain aerial </w:t>
                        </w:r>
                        <w:r>
                          <w:rPr>
                            <w:color w:val="FFFFFF"/>
                            <w:sz w:val="16"/>
                          </w:rPr>
                          <w:t>adventures Photo courtesy of VisitFingerLakes.com</w:t>
                        </w:r>
                      </w:p>
                    </w:txbxContent>
                  </v:textbox>
                  <w10:wrap type="none"/>
                </v:shape>
                <w10:wrap type="none"/>
              </v:group>
            </w:pict>
          </mc:Fallback>
        </mc:AlternateConten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103"/>
        <w:rPr>
          <w:sz w:val="14"/>
        </w:rPr>
      </w:pPr>
    </w:p>
    <w:p>
      <w:pPr>
        <w:pStyle w:val="ListParagraph"/>
        <w:numPr>
          <w:ilvl w:val="1"/>
          <w:numId w:val="1"/>
        </w:numPr>
        <w:tabs>
          <w:tab w:pos="3428" w:val="left" w:leader="none"/>
        </w:tabs>
        <w:spacing w:line="240" w:lineRule="auto" w:before="0" w:after="0"/>
        <w:ind w:left="3283" w:right="12556" w:firstLine="0"/>
        <w:jc w:val="left"/>
        <w:rPr>
          <w:sz w:val="14"/>
        </w:rPr>
      </w:pPr>
      <w:r>
        <w:rPr>
          <w:sz w:val="14"/>
        </w:rPr>
        <mc:AlternateContent>
          <mc:Choice Requires="wps">
            <w:drawing>
              <wp:anchor distT="0" distB="0" distL="0" distR="0" allowOverlap="1" layoutInCell="1" locked="0" behindDoc="1" simplePos="0" relativeHeight="474970624">
                <wp:simplePos x="0" y="0"/>
                <wp:positionH relativeFrom="page">
                  <wp:posOffset>14698495</wp:posOffset>
                </wp:positionH>
                <wp:positionV relativeFrom="paragraph">
                  <wp:posOffset>229745</wp:posOffset>
                </wp:positionV>
                <wp:extent cx="195580" cy="226060"/>
                <wp:effectExtent l="0" t="0" r="0" b="0"/>
                <wp:wrapNone/>
                <wp:docPr id="144" name="Textbox 144"/>
                <wp:cNvGraphicFramePr>
                  <a:graphicFrameLocks/>
                </wp:cNvGraphicFramePr>
                <a:graphic>
                  <a:graphicData uri="http://schemas.microsoft.com/office/word/2010/wordprocessingShape">
                    <wps:wsp>
                      <wps:cNvPr id="144" name="Textbox 144"/>
                      <wps:cNvSpPr txBox="1"/>
                      <wps:spPr>
                        <a:xfrm>
                          <a:off x="0" y="0"/>
                          <a:ext cx="195580" cy="226060"/>
                        </a:xfrm>
                        <a:prstGeom prst="rect">
                          <a:avLst/>
                        </a:prstGeom>
                      </wps:spPr>
                      <wps:txbx>
                        <w:txbxContent>
                          <w:p>
                            <w:pPr>
                              <w:spacing w:before="16"/>
                              <w:ind w:left="0" w:right="0" w:firstLine="0"/>
                              <w:jc w:val="left"/>
                              <w:rPr>
                                <w:b/>
                                <w:sz w:val="26"/>
                              </w:rPr>
                            </w:pPr>
                            <w:r>
                              <w:rPr>
                                <w:b/>
                                <w:color w:val="939598"/>
                                <w:spacing w:val="-5"/>
                                <w:w w:val="105"/>
                                <w:sz w:val="26"/>
                              </w:rPr>
                              <w:t>16</w:t>
                            </w:r>
                          </w:p>
                        </w:txbxContent>
                      </wps:txbx>
                      <wps:bodyPr wrap="square" lIns="0" tIns="0" rIns="0" bIns="0" rtlCol="0">
                        <a:noAutofit/>
                      </wps:bodyPr>
                    </wps:wsp>
                  </a:graphicData>
                </a:graphic>
              </wp:anchor>
            </w:drawing>
          </mc:Choice>
          <mc:Fallback>
            <w:pict>
              <v:shape style="position:absolute;margin-left:1157.361816pt;margin-top:18.090166pt;width:15.4pt;height:17.8pt;mso-position-horizontal-relative:page;mso-position-vertical-relative:paragraph;z-index:-28345856" type="#_x0000_t202" id="docshape123" filled="false" stroked="false">
                <v:textbox inset="0,0,0,0">
                  <w:txbxContent>
                    <w:p>
                      <w:pPr>
                        <w:spacing w:before="16"/>
                        <w:ind w:left="0" w:right="0" w:firstLine="0"/>
                        <w:jc w:val="left"/>
                        <w:rPr>
                          <w:b/>
                          <w:sz w:val="26"/>
                        </w:rPr>
                      </w:pPr>
                      <w:r>
                        <w:rPr>
                          <w:b/>
                          <w:color w:val="939598"/>
                          <w:spacing w:val="-5"/>
                          <w:w w:val="105"/>
                          <w:sz w:val="26"/>
                        </w:rPr>
                        <w:t>16</w:t>
                      </w:r>
                    </w:p>
                  </w:txbxContent>
                </v:textbox>
                <w10:wrap type="none"/>
              </v:shape>
            </w:pict>
          </mc:Fallback>
        </mc:AlternateContent>
      </w:r>
      <w:r>
        <w:rPr>
          <w:sz w:val="14"/>
        </w:rPr>
        <w:drawing>
          <wp:anchor distT="0" distB="0" distL="0" distR="0" allowOverlap="1" layoutInCell="1" locked="0" behindDoc="0" simplePos="0" relativeHeight="15745024">
            <wp:simplePos x="0" y="0"/>
            <wp:positionH relativeFrom="page">
              <wp:posOffset>0</wp:posOffset>
            </wp:positionH>
            <wp:positionV relativeFrom="paragraph">
              <wp:posOffset>241784</wp:posOffset>
            </wp:positionV>
            <wp:extent cx="568172" cy="184683"/>
            <wp:effectExtent l="0" t="0" r="0" b="0"/>
            <wp:wrapNone/>
            <wp:docPr id="145" name="Image 145"/>
            <wp:cNvGraphicFramePr>
              <a:graphicFrameLocks/>
            </wp:cNvGraphicFramePr>
            <a:graphic>
              <a:graphicData uri="http://schemas.openxmlformats.org/drawingml/2006/picture">
                <pic:pic>
                  <pic:nvPicPr>
                    <pic:cNvPr id="145" name="Image 145"/>
                    <pic:cNvPicPr/>
                  </pic:nvPicPr>
                  <pic:blipFill>
                    <a:blip r:embed="rId39" cstate="print"/>
                    <a:stretch>
                      <a:fillRect/>
                    </a:stretch>
                  </pic:blipFill>
                  <pic:spPr>
                    <a:xfrm>
                      <a:off x="0" y="0"/>
                      <a:ext cx="568172" cy="184683"/>
                    </a:xfrm>
                    <a:prstGeom prst="rect">
                      <a:avLst/>
                    </a:prstGeom>
                  </pic:spPr>
                </pic:pic>
              </a:graphicData>
            </a:graphic>
          </wp:anchor>
        </w:drawing>
      </w:r>
      <w:r>
        <w:rPr>
          <w:sz w:val="14"/>
        </w:rPr>
        <mc:AlternateContent>
          <mc:Choice Requires="wps">
            <w:drawing>
              <wp:anchor distT="0" distB="0" distL="0" distR="0" allowOverlap="1" layoutInCell="1" locked="0" behindDoc="0" simplePos="0" relativeHeight="15746048">
                <wp:simplePos x="0" y="0"/>
                <wp:positionH relativeFrom="page">
                  <wp:posOffset>672186</wp:posOffset>
                </wp:positionH>
                <wp:positionV relativeFrom="paragraph">
                  <wp:posOffset>229745</wp:posOffset>
                </wp:positionV>
                <wp:extent cx="195580" cy="226060"/>
                <wp:effectExtent l="0" t="0" r="0" b="0"/>
                <wp:wrapNone/>
                <wp:docPr id="146" name="Textbox 146"/>
                <wp:cNvGraphicFramePr>
                  <a:graphicFrameLocks/>
                </wp:cNvGraphicFramePr>
                <a:graphic>
                  <a:graphicData uri="http://schemas.microsoft.com/office/word/2010/wordprocessingShape">
                    <wps:wsp>
                      <wps:cNvPr id="146" name="Textbox 146"/>
                      <wps:cNvSpPr txBox="1"/>
                      <wps:spPr>
                        <a:xfrm>
                          <a:off x="0" y="0"/>
                          <a:ext cx="195580" cy="226060"/>
                        </a:xfrm>
                        <a:prstGeom prst="rect">
                          <a:avLst/>
                        </a:prstGeom>
                      </wps:spPr>
                      <wps:txbx>
                        <w:txbxContent>
                          <w:p>
                            <w:pPr>
                              <w:spacing w:before="16"/>
                              <w:ind w:left="0" w:right="0" w:firstLine="0"/>
                              <w:jc w:val="left"/>
                              <w:rPr>
                                <w:b/>
                                <w:sz w:val="26"/>
                              </w:rPr>
                            </w:pPr>
                            <w:r>
                              <w:rPr>
                                <w:b/>
                                <w:color w:val="939598"/>
                                <w:spacing w:val="-5"/>
                                <w:w w:val="105"/>
                                <w:sz w:val="26"/>
                              </w:rPr>
                              <w:t>15</w:t>
                            </w:r>
                          </w:p>
                        </w:txbxContent>
                      </wps:txbx>
                      <wps:bodyPr wrap="square" lIns="0" tIns="0" rIns="0" bIns="0" rtlCol="0">
                        <a:noAutofit/>
                      </wps:bodyPr>
                    </wps:wsp>
                  </a:graphicData>
                </a:graphic>
              </wp:anchor>
            </w:drawing>
          </mc:Choice>
          <mc:Fallback>
            <w:pict>
              <v:shape style="position:absolute;margin-left:52.928101pt;margin-top:18.090166pt;width:15.4pt;height:17.8pt;mso-position-horizontal-relative:page;mso-position-vertical-relative:paragraph;z-index:15746048" type="#_x0000_t202" id="docshape124" filled="false" stroked="false">
                <v:textbox inset="0,0,0,0">
                  <w:txbxContent>
                    <w:p>
                      <w:pPr>
                        <w:spacing w:before="16"/>
                        <w:ind w:left="0" w:right="0" w:firstLine="0"/>
                        <w:jc w:val="left"/>
                        <w:rPr>
                          <w:b/>
                          <w:sz w:val="26"/>
                        </w:rPr>
                      </w:pPr>
                      <w:r>
                        <w:rPr>
                          <w:b/>
                          <w:color w:val="939598"/>
                          <w:spacing w:val="-5"/>
                          <w:w w:val="105"/>
                          <w:sz w:val="26"/>
                        </w:rPr>
                        <w:t>15</w:t>
                      </w:r>
                    </w:p>
                  </w:txbxContent>
                </v:textbox>
                <w10:wrap type="none"/>
              </v:shape>
            </w:pict>
          </mc:Fallback>
        </mc:AlternateContent>
      </w:r>
      <w:r>
        <w:rPr>
          <w:color w:val="636466"/>
          <w:sz w:val="14"/>
        </w:rPr>
        <w:t>The Common Ground Health estimation of socioeconomic status is developed from U.S. Census and American Community</w:t>
      </w:r>
      <w:r>
        <w:rPr>
          <w:color w:val="636466"/>
          <w:spacing w:val="40"/>
          <w:sz w:val="14"/>
        </w:rPr>
        <w:t> </w:t>
      </w:r>
      <w:r>
        <w:rPr>
          <w:color w:val="636466"/>
          <w:sz w:val="14"/>
        </w:rPr>
        <w:t>Survey</w:t>
      </w:r>
      <w:r>
        <w:rPr>
          <w:color w:val="636466"/>
          <w:spacing w:val="-4"/>
          <w:sz w:val="14"/>
        </w:rPr>
        <w:t> </w:t>
      </w:r>
      <w:r>
        <w:rPr>
          <w:color w:val="636466"/>
          <w:sz w:val="14"/>
        </w:rPr>
        <w:t>data</w:t>
      </w:r>
      <w:r>
        <w:rPr>
          <w:color w:val="636466"/>
          <w:spacing w:val="-4"/>
          <w:sz w:val="14"/>
        </w:rPr>
        <w:t> </w:t>
      </w:r>
      <w:r>
        <w:rPr>
          <w:color w:val="636466"/>
          <w:sz w:val="14"/>
        </w:rPr>
        <w:t>by</w:t>
      </w:r>
      <w:r>
        <w:rPr>
          <w:color w:val="636466"/>
          <w:spacing w:val="-4"/>
          <w:sz w:val="14"/>
        </w:rPr>
        <w:t> </w:t>
      </w:r>
      <w:r>
        <w:rPr>
          <w:color w:val="636466"/>
          <w:sz w:val="14"/>
        </w:rPr>
        <w:t>ZIP</w:t>
      </w:r>
      <w:r>
        <w:rPr>
          <w:color w:val="636466"/>
          <w:spacing w:val="-4"/>
          <w:sz w:val="14"/>
        </w:rPr>
        <w:t> </w:t>
      </w:r>
      <w:r>
        <w:rPr>
          <w:color w:val="636466"/>
          <w:sz w:val="14"/>
        </w:rPr>
        <w:t>Code.</w:t>
      </w:r>
      <w:r>
        <w:rPr>
          <w:color w:val="636466"/>
          <w:spacing w:val="-4"/>
          <w:sz w:val="14"/>
        </w:rPr>
        <w:t> </w:t>
      </w:r>
      <w:r>
        <w:rPr>
          <w:color w:val="636466"/>
          <w:sz w:val="14"/>
        </w:rPr>
        <w:t>It</w:t>
      </w:r>
      <w:r>
        <w:rPr>
          <w:color w:val="636466"/>
          <w:spacing w:val="-4"/>
          <w:sz w:val="14"/>
        </w:rPr>
        <w:t> </w:t>
      </w:r>
      <w:r>
        <w:rPr>
          <w:color w:val="636466"/>
          <w:sz w:val="14"/>
        </w:rPr>
        <w:t>is</w:t>
      </w:r>
      <w:r>
        <w:rPr>
          <w:color w:val="636466"/>
          <w:spacing w:val="-4"/>
          <w:sz w:val="14"/>
        </w:rPr>
        <w:t> </w:t>
      </w:r>
      <w:r>
        <w:rPr>
          <w:color w:val="636466"/>
          <w:sz w:val="14"/>
        </w:rPr>
        <w:t>based</w:t>
      </w:r>
      <w:r>
        <w:rPr>
          <w:color w:val="636466"/>
          <w:spacing w:val="-4"/>
          <w:sz w:val="14"/>
        </w:rPr>
        <w:t> </w:t>
      </w:r>
      <w:r>
        <w:rPr>
          <w:color w:val="636466"/>
          <w:sz w:val="14"/>
        </w:rPr>
        <w:t>on</w:t>
      </w:r>
      <w:r>
        <w:rPr>
          <w:color w:val="636466"/>
          <w:spacing w:val="-4"/>
          <w:sz w:val="14"/>
        </w:rPr>
        <w:t> </w:t>
      </w:r>
      <w:r>
        <w:rPr>
          <w:color w:val="636466"/>
          <w:sz w:val="14"/>
        </w:rPr>
        <w:t>the</w:t>
      </w:r>
      <w:r>
        <w:rPr>
          <w:color w:val="636466"/>
          <w:spacing w:val="-4"/>
          <w:sz w:val="14"/>
        </w:rPr>
        <w:t> </w:t>
      </w:r>
      <w:r>
        <w:rPr>
          <w:color w:val="636466"/>
          <w:sz w:val="14"/>
        </w:rPr>
        <w:t>average</w:t>
      </w:r>
      <w:r>
        <w:rPr>
          <w:color w:val="636466"/>
          <w:spacing w:val="-4"/>
          <w:sz w:val="14"/>
        </w:rPr>
        <w:t> </w:t>
      </w:r>
      <w:r>
        <w:rPr>
          <w:color w:val="636466"/>
          <w:sz w:val="14"/>
        </w:rPr>
        <w:t>income,</w:t>
      </w:r>
      <w:r>
        <w:rPr>
          <w:color w:val="636466"/>
          <w:spacing w:val="-4"/>
          <w:sz w:val="14"/>
        </w:rPr>
        <w:t> </w:t>
      </w:r>
      <w:r>
        <w:rPr>
          <w:color w:val="636466"/>
          <w:sz w:val="14"/>
        </w:rPr>
        <w:t>average</w:t>
      </w:r>
      <w:r>
        <w:rPr>
          <w:color w:val="636466"/>
          <w:spacing w:val="-4"/>
          <w:sz w:val="14"/>
        </w:rPr>
        <w:t> </w:t>
      </w:r>
      <w:r>
        <w:rPr>
          <w:color w:val="636466"/>
          <w:sz w:val="14"/>
        </w:rPr>
        <w:t>level</w:t>
      </w:r>
      <w:r>
        <w:rPr>
          <w:color w:val="636466"/>
          <w:spacing w:val="-4"/>
          <w:sz w:val="14"/>
        </w:rPr>
        <w:t> </w:t>
      </w:r>
      <w:r>
        <w:rPr>
          <w:color w:val="636466"/>
          <w:sz w:val="14"/>
        </w:rPr>
        <w:t>of</w:t>
      </w:r>
      <w:r>
        <w:rPr>
          <w:color w:val="636466"/>
          <w:spacing w:val="-4"/>
          <w:sz w:val="14"/>
        </w:rPr>
        <w:t> </w:t>
      </w:r>
      <w:r>
        <w:rPr>
          <w:color w:val="636466"/>
          <w:sz w:val="14"/>
        </w:rPr>
        <w:t>education,</w:t>
      </w:r>
      <w:r>
        <w:rPr>
          <w:color w:val="636466"/>
          <w:spacing w:val="-4"/>
          <w:sz w:val="14"/>
        </w:rPr>
        <w:t> </w:t>
      </w:r>
      <w:r>
        <w:rPr>
          <w:color w:val="636466"/>
          <w:sz w:val="14"/>
        </w:rPr>
        <w:t>occupation</w:t>
      </w:r>
      <w:r>
        <w:rPr>
          <w:color w:val="636466"/>
          <w:spacing w:val="-4"/>
          <w:sz w:val="14"/>
        </w:rPr>
        <w:t> </w:t>
      </w:r>
      <w:r>
        <w:rPr>
          <w:color w:val="636466"/>
          <w:sz w:val="14"/>
        </w:rPr>
        <w:t>composition,</w:t>
      </w:r>
      <w:r>
        <w:rPr>
          <w:color w:val="636466"/>
          <w:spacing w:val="-4"/>
          <w:sz w:val="14"/>
        </w:rPr>
        <w:t> </w:t>
      </w:r>
      <w:r>
        <w:rPr>
          <w:color w:val="636466"/>
          <w:sz w:val="14"/>
        </w:rPr>
        <w:t>average</w:t>
      </w:r>
      <w:r>
        <w:rPr>
          <w:color w:val="636466"/>
          <w:spacing w:val="-4"/>
          <w:sz w:val="14"/>
        </w:rPr>
        <w:t> </w:t>
      </w:r>
      <w:r>
        <w:rPr>
          <w:color w:val="636466"/>
          <w:sz w:val="14"/>
        </w:rPr>
        <w:t>value</w:t>
      </w:r>
      <w:r>
        <w:rPr>
          <w:color w:val="636466"/>
          <w:spacing w:val="40"/>
          <w:sz w:val="14"/>
        </w:rPr>
        <w:t> </w:t>
      </w:r>
      <w:r>
        <w:rPr>
          <w:color w:val="636466"/>
          <w:sz w:val="14"/>
        </w:rPr>
        <w:t>of housing stock, age of the housing stock, a measure of population crowding, percentage of renter-occupied housing, percent</w:t>
      </w:r>
      <w:r>
        <w:rPr>
          <w:color w:val="636466"/>
          <w:spacing w:val="40"/>
          <w:sz w:val="14"/>
        </w:rPr>
        <w:t> </w:t>
      </w:r>
      <w:r>
        <w:rPr>
          <w:color w:val="636466"/>
          <w:sz w:val="14"/>
        </w:rPr>
        <w:t>of persons paying more the 35% of their income on housing, and percent of children living in single parent households.</w:t>
      </w:r>
    </w:p>
    <w:p>
      <w:pPr>
        <w:pStyle w:val="ListParagraph"/>
        <w:spacing w:after="0" w:line="240" w:lineRule="auto"/>
        <w:jc w:val="left"/>
        <w:rPr>
          <w:sz w:val="14"/>
        </w:rPr>
        <w:sectPr>
          <w:type w:val="continuous"/>
          <w:pgSz w:w="24480" w:h="15840" w:orient="landscape"/>
          <w:pgMar w:header="0" w:footer="0" w:top="0" w:bottom="280" w:left="0" w:right="720"/>
        </w:sectPr>
      </w:pPr>
    </w:p>
    <w:p>
      <w:pPr>
        <w:pStyle w:val="BodyText"/>
        <w:rPr>
          <w:sz w:val="20"/>
        </w:rPr>
      </w:pPr>
    </w:p>
    <w:p>
      <w:pPr>
        <w:pStyle w:val="BodyText"/>
        <w:spacing w:before="16"/>
        <w:rPr>
          <w:sz w:val="20"/>
        </w:rPr>
      </w:pPr>
    </w:p>
    <w:p>
      <w:pPr>
        <w:pStyle w:val="BodyText"/>
        <w:spacing w:after="0"/>
        <w:rPr>
          <w:sz w:val="20"/>
        </w:rPr>
        <w:sectPr>
          <w:headerReference w:type="default" r:id="rId52"/>
          <w:pgSz w:w="24480" w:h="15840" w:orient="landscape"/>
          <w:pgMar w:header="0" w:footer="0" w:top="860" w:bottom="0" w:left="0" w:right="720"/>
        </w:sectPr>
      </w:pPr>
    </w:p>
    <w:p>
      <w:pPr>
        <w:spacing w:before="146"/>
        <w:ind w:left="1080" w:right="0" w:firstLine="0"/>
        <w:jc w:val="left"/>
        <w:rPr>
          <w:sz w:val="60"/>
        </w:rPr>
      </w:pPr>
      <w:r>
        <w:rPr>
          <w:color w:val="105C84"/>
          <w:spacing w:val="-13"/>
          <w:sz w:val="60"/>
        </w:rPr>
        <w:t>HEALTH</w:t>
      </w:r>
      <w:r>
        <w:rPr>
          <w:color w:val="105C84"/>
          <w:spacing w:val="-23"/>
          <w:sz w:val="60"/>
        </w:rPr>
        <w:t> </w:t>
      </w:r>
      <w:r>
        <w:rPr>
          <w:color w:val="105C84"/>
          <w:spacing w:val="-11"/>
          <w:sz w:val="60"/>
        </w:rPr>
        <w:t>ASSESSMENT</w:t>
      </w:r>
    </w:p>
    <w:p>
      <w:pPr>
        <w:spacing w:line="361" w:lineRule="exact" w:before="222"/>
        <w:ind w:left="1080" w:right="0" w:firstLine="0"/>
        <w:jc w:val="left"/>
        <w:rPr>
          <w:b/>
          <w:sz w:val="32"/>
        </w:rPr>
      </w:pPr>
      <w:r>
        <w:rPr>
          <w:b/>
          <w:color w:val="82BF6A"/>
          <w:sz w:val="32"/>
        </w:rPr>
        <w:t>EIGHT</w:t>
      </w:r>
      <w:r>
        <w:rPr>
          <w:b/>
          <w:color w:val="82BF6A"/>
          <w:spacing w:val="-10"/>
          <w:sz w:val="32"/>
        </w:rPr>
        <w:t> </w:t>
      </w:r>
      <w:r>
        <w:rPr>
          <w:b/>
          <w:color w:val="82BF6A"/>
          <w:sz w:val="32"/>
        </w:rPr>
        <w:t>COUNTY</w:t>
      </w:r>
      <w:r>
        <w:rPr>
          <w:b/>
          <w:color w:val="82BF6A"/>
          <w:spacing w:val="-10"/>
          <w:sz w:val="32"/>
        </w:rPr>
        <w:t> </w:t>
      </w:r>
      <w:r>
        <w:rPr>
          <w:b/>
          <w:color w:val="82BF6A"/>
          <w:spacing w:val="-2"/>
          <w:sz w:val="32"/>
        </w:rPr>
        <w:t>REGION</w:t>
      </w:r>
    </w:p>
    <w:p>
      <w:pPr>
        <w:pStyle w:val="BodyText"/>
        <w:spacing w:line="247" w:lineRule="auto"/>
        <w:ind w:left="1080" w:right="88"/>
      </w:pPr>
      <w:r>
        <w:rPr>
          <w:color w:val="105C84"/>
        </w:rPr>
        <w:t>At</w:t>
      </w:r>
      <w:r>
        <w:rPr>
          <w:color w:val="105C84"/>
          <w:spacing w:val="28"/>
        </w:rPr>
        <w:t> </w:t>
      </w:r>
      <w:r>
        <w:rPr>
          <w:color w:val="105C84"/>
        </w:rPr>
        <w:t>priority</w:t>
      </w:r>
      <w:r>
        <w:rPr>
          <w:color w:val="105C84"/>
          <w:spacing w:val="28"/>
        </w:rPr>
        <w:t> </w:t>
      </w:r>
      <w:r>
        <w:rPr>
          <w:color w:val="105C84"/>
        </w:rPr>
        <w:t>setting</w:t>
      </w:r>
      <w:r>
        <w:rPr>
          <w:color w:val="105C84"/>
          <w:spacing w:val="28"/>
        </w:rPr>
        <w:t> </w:t>
      </w:r>
      <w:r>
        <w:rPr>
          <w:color w:val="105C84"/>
        </w:rPr>
        <w:t>meetings,</w:t>
      </w:r>
      <w:r>
        <w:rPr>
          <w:color w:val="105C84"/>
          <w:spacing w:val="28"/>
        </w:rPr>
        <w:t> </w:t>
      </w:r>
      <w:r>
        <w:rPr>
          <w:color w:val="105C84"/>
        </w:rPr>
        <w:t>participants</w:t>
      </w:r>
      <w:r>
        <w:rPr>
          <w:color w:val="105C84"/>
          <w:spacing w:val="28"/>
        </w:rPr>
        <w:t> </w:t>
      </w:r>
      <w:r>
        <w:rPr>
          <w:color w:val="105C84"/>
        </w:rPr>
        <w:t>reviewed</w:t>
      </w:r>
      <w:r>
        <w:rPr>
          <w:color w:val="105C84"/>
          <w:spacing w:val="28"/>
        </w:rPr>
        <w:t> </w:t>
      </w:r>
      <w:r>
        <w:rPr>
          <w:color w:val="105C84"/>
        </w:rPr>
        <w:t>and</w:t>
      </w:r>
      <w:r>
        <w:rPr>
          <w:color w:val="105C84"/>
          <w:spacing w:val="28"/>
        </w:rPr>
        <w:t> </w:t>
      </w:r>
      <w:r>
        <w:rPr>
          <w:color w:val="105C84"/>
        </w:rPr>
        <w:t>discussed</w:t>
      </w:r>
      <w:r>
        <w:rPr>
          <w:color w:val="105C84"/>
          <w:spacing w:val="28"/>
        </w:rPr>
        <w:t> </w:t>
      </w:r>
      <w:r>
        <w:rPr>
          <w:color w:val="105C84"/>
        </w:rPr>
        <w:t>data</w:t>
      </w:r>
      <w:r>
        <w:rPr>
          <w:color w:val="105C84"/>
          <w:spacing w:val="28"/>
        </w:rPr>
        <w:t> </w:t>
      </w:r>
      <w:r>
        <w:rPr>
          <w:color w:val="105C84"/>
        </w:rPr>
        <w:t>from</w:t>
      </w:r>
      <w:r>
        <w:rPr>
          <w:color w:val="105C84"/>
          <w:spacing w:val="28"/>
        </w:rPr>
        <w:t> </w:t>
      </w:r>
      <w:r>
        <w:rPr>
          <w:color w:val="105C84"/>
        </w:rPr>
        <w:t>a</w:t>
      </w:r>
      <w:r>
        <w:rPr>
          <w:color w:val="105C84"/>
          <w:spacing w:val="28"/>
        </w:rPr>
        <w:t> </w:t>
      </w:r>
      <w:r>
        <w:rPr>
          <w:color w:val="105C84"/>
        </w:rPr>
        <w:t>variety</w:t>
      </w:r>
      <w:r>
        <w:rPr>
          <w:color w:val="105C84"/>
          <w:spacing w:val="28"/>
        </w:rPr>
        <w:t> </w:t>
      </w:r>
      <w:r>
        <w:rPr>
          <w:color w:val="105C84"/>
        </w:rPr>
        <w:t>of</w:t>
      </w:r>
      <w:r>
        <w:rPr>
          <w:color w:val="105C84"/>
          <w:spacing w:val="28"/>
        </w:rPr>
        <w:t> </w:t>
      </w:r>
      <w:r>
        <w:rPr>
          <w:color w:val="105C84"/>
        </w:rPr>
        <w:t>sources</w:t>
      </w:r>
      <w:r>
        <w:rPr>
          <w:color w:val="105C84"/>
        </w:rPr>
        <w:t> and five different topic areas recommended by the NYS Prevention Agenda. A summary of regional health challenges by topic area are below.</w:t>
      </w:r>
    </w:p>
    <w:p>
      <w:pPr>
        <w:pStyle w:val="BodyText"/>
        <w:spacing w:before="11"/>
      </w:pPr>
    </w:p>
    <w:p>
      <w:pPr>
        <w:pStyle w:val="Heading6"/>
      </w:pPr>
      <w:r>
        <w:rPr>
          <w:color w:val="105C84"/>
          <w:spacing w:val="-6"/>
        </w:rPr>
        <w:t>Prevent Chronic Diseases</w:t>
      </w:r>
    </w:p>
    <w:p>
      <w:pPr>
        <w:pStyle w:val="BodyText"/>
        <w:spacing w:line="247" w:lineRule="auto" w:before="269"/>
        <w:ind w:left="1080" w:right="88"/>
      </w:pPr>
      <w:r>
        <w:rPr>
          <w:color w:val="105C84"/>
        </w:rPr>
        <w:t>Preventing chronic disease has been a long standing priority area in the eight county region. Efforts have largely been focused on reducing illness, disability and death related to hypertension, tobacco</w:t>
      </w:r>
      <w:r>
        <w:rPr>
          <w:color w:val="105C84"/>
          <w:spacing w:val="40"/>
        </w:rPr>
        <w:t> </w:t>
      </w:r>
      <w:r>
        <w:rPr>
          <w:color w:val="105C84"/>
        </w:rPr>
        <w:t>use and second hand smoke, and reducing obesity in children and adults. Rates of obesity in the</w:t>
      </w:r>
      <w:r>
        <w:rPr>
          <w:color w:val="105C84"/>
          <w:spacing w:val="40"/>
        </w:rPr>
        <w:t> </w:t>
      </w:r>
      <w:r>
        <w:rPr>
          <w:color w:val="105C84"/>
        </w:rPr>
        <w:t>eight</w:t>
      </w:r>
      <w:r>
        <w:rPr>
          <w:color w:val="105C84"/>
          <w:spacing w:val="30"/>
        </w:rPr>
        <w:t> </w:t>
      </w:r>
      <w:r>
        <w:rPr>
          <w:color w:val="105C84"/>
        </w:rPr>
        <w:t>county</w:t>
      </w:r>
      <w:r>
        <w:rPr>
          <w:color w:val="105C84"/>
          <w:spacing w:val="30"/>
        </w:rPr>
        <w:t> </w:t>
      </w:r>
      <w:r>
        <w:rPr>
          <w:color w:val="105C84"/>
        </w:rPr>
        <w:t>region</w:t>
      </w:r>
      <w:r>
        <w:rPr>
          <w:color w:val="105C84"/>
          <w:spacing w:val="30"/>
        </w:rPr>
        <w:t> </w:t>
      </w:r>
      <w:r>
        <w:rPr>
          <w:color w:val="105C84"/>
        </w:rPr>
        <w:t>have</w:t>
      </w:r>
      <w:r>
        <w:rPr>
          <w:color w:val="105C84"/>
          <w:spacing w:val="30"/>
        </w:rPr>
        <w:t> </w:t>
      </w:r>
      <w:r>
        <w:rPr>
          <w:color w:val="105C84"/>
        </w:rPr>
        <w:t>not</w:t>
      </w:r>
      <w:r>
        <w:rPr>
          <w:color w:val="105C84"/>
          <w:spacing w:val="30"/>
        </w:rPr>
        <w:t> </w:t>
      </w:r>
      <w:r>
        <w:rPr>
          <w:color w:val="105C84"/>
        </w:rPr>
        <w:t>changed</w:t>
      </w:r>
      <w:r>
        <w:rPr>
          <w:color w:val="105C84"/>
          <w:spacing w:val="30"/>
        </w:rPr>
        <w:t> </w:t>
      </w:r>
      <w:r>
        <w:rPr>
          <w:color w:val="105C84"/>
        </w:rPr>
        <w:t>significantly</w:t>
      </w:r>
      <w:r>
        <w:rPr>
          <w:color w:val="105C84"/>
          <w:spacing w:val="30"/>
        </w:rPr>
        <w:t> </w:t>
      </w:r>
      <w:r>
        <w:rPr>
          <w:color w:val="105C84"/>
        </w:rPr>
        <w:t>in</w:t>
      </w:r>
      <w:r>
        <w:rPr>
          <w:color w:val="105C84"/>
          <w:spacing w:val="30"/>
        </w:rPr>
        <w:t> </w:t>
      </w:r>
      <w:r>
        <w:rPr>
          <w:color w:val="105C84"/>
        </w:rPr>
        <w:t>recent</w:t>
      </w:r>
      <w:r>
        <w:rPr>
          <w:color w:val="105C84"/>
          <w:spacing w:val="30"/>
        </w:rPr>
        <w:t> </w:t>
      </w:r>
      <w:r>
        <w:rPr>
          <w:color w:val="105C84"/>
        </w:rPr>
        <w:t>years.</w:t>
      </w:r>
      <w:r>
        <w:rPr>
          <w:color w:val="105C84"/>
          <w:spacing w:val="30"/>
        </w:rPr>
        <w:t> </w:t>
      </w:r>
      <w:r>
        <w:rPr>
          <w:color w:val="105C84"/>
        </w:rPr>
        <w:t>Affecting</w:t>
      </w:r>
      <w:r>
        <w:rPr>
          <w:color w:val="105C84"/>
          <w:spacing w:val="30"/>
        </w:rPr>
        <w:t> </w:t>
      </w:r>
      <w:r>
        <w:rPr>
          <w:color w:val="105C84"/>
        </w:rPr>
        <w:t>both</w:t>
      </w:r>
      <w:r>
        <w:rPr>
          <w:color w:val="105C84"/>
          <w:spacing w:val="30"/>
        </w:rPr>
        <w:t> </w:t>
      </w:r>
      <w:r>
        <w:rPr>
          <w:color w:val="105C84"/>
        </w:rPr>
        <w:t>adults</w:t>
      </w:r>
      <w:r>
        <w:rPr>
          <w:color w:val="105C84"/>
          <w:spacing w:val="30"/>
        </w:rPr>
        <w:t> </w:t>
      </w:r>
      <w:r>
        <w:rPr>
          <w:color w:val="105C84"/>
        </w:rPr>
        <w:t>(Figure</w:t>
      </w:r>
    </w:p>
    <w:p>
      <w:pPr>
        <w:pStyle w:val="BodyText"/>
        <w:spacing w:line="247" w:lineRule="auto"/>
        <w:ind w:left="1080"/>
      </w:pPr>
      <w:r>
        <w:rPr>
          <w:color w:val="105C84"/>
        </w:rPr>
        <w:t>3) and children (Figure 4), long-term health complications may lead to development of diabetes,</w:t>
      </w:r>
      <w:r>
        <w:rPr>
          <w:color w:val="105C84"/>
          <w:spacing w:val="40"/>
        </w:rPr>
        <w:t> </w:t>
      </w:r>
      <w:r>
        <w:rPr>
          <w:color w:val="105C84"/>
        </w:rPr>
        <w:t>hypertension, and premature mortality due to related conditions. Regionally, respondents to the </w:t>
      </w:r>
      <w:r>
        <w:rPr>
          <w:i/>
          <w:color w:val="105C84"/>
        </w:rPr>
        <w:t>My</w:t>
      </w:r>
      <w:r>
        <w:rPr>
          <w:i/>
          <w:color w:val="105C84"/>
          <w:spacing w:val="80"/>
        </w:rPr>
        <w:t> </w:t>
      </w:r>
      <w:r>
        <w:rPr>
          <w:i/>
          <w:color w:val="105C84"/>
        </w:rPr>
        <w:t>Health Story 2018 </w:t>
      </w:r>
      <w:r>
        <w:rPr>
          <w:color w:val="105C84"/>
        </w:rPr>
        <w:t>survey indicated that better diet, nutrition and physical activity habits would help</w:t>
      </w:r>
      <w:r>
        <w:rPr>
          <w:color w:val="105C84"/>
          <w:spacing w:val="40"/>
        </w:rPr>
        <w:t> </w:t>
      </w:r>
      <w:r>
        <w:rPr>
          <w:color w:val="105C84"/>
        </w:rPr>
        <w:t>them manage their weight better.</w:t>
      </w:r>
    </w:p>
    <w:p>
      <w:pPr>
        <w:pStyle w:val="BodyText"/>
        <w:spacing w:before="14"/>
      </w:pPr>
    </w:p>
    <w:p>
      <w:pPr>
        <w:pStyle w:val="Heading6"/>
        <w:spacing w:before="1"/>
      </w:pPr>
      <w:r>
        <w:rPr>
          <w:color w:val="105C84"/>
        </w:rPr>
        <w:t>FIGURE</w:t>
      </w:r>
      <w:r>
        <w:rPr>
          <w:color w:val="105C84"/>
          <w:spacing w:val="-14"/>
        </w:rPr>
        <w:t> </w:t>
      </w:r>
      <w:r>
        <w:rPr>
          <w:color w:val="105C84"/>
        </w:rPr>
        <w:t>3:</w:t>
      </w:r>
      <w:r>
        <w:rPr>
          <w:color w:val="105C84"/>
          <w:spacing w:val="-13"/>
        </w:rPr>
        <w:t> </w:t>
      </w:r>
      <w:r>
        <w:rPr>
          <w:color w:val="105C84"/>
        </w:rPr>
        <w:t>Percent</w:t>
      </w:r>
      <w:r>
        <w:rPr>
          <w:color w:val="105C84"/>
          <w:spacing w:val="-13"/>
        </w:rPr>
        <w:t> </w:t>
      </w:r>
      <w:r>
        <w:rPr>
          <w:color w:val="105C84"/>
        </w:rPr>
        <w:t>of</w:t>
      </w:r>
      <w:r>
        <w:rPr>
          <w:color w:val="105C84"/>
          <w:spacing w:val="-13"/>
        </w:rPr>
        <w:t> </w:t>
      </w:r>
      <w:r>
        <w:rPr>
          <w:color w:val="105C84"/>
        </w:rPr>
        <w:t>adults</w:t>
      </w:r>
      <w:r>
        <w:rPr>
          <w:color w:val="105C84"/>
          <w:spacing w:val="-13"/>
        </w:rPr>
        <w:t> </w:t>
      </w:r>
      <w:r>
        <w:rPr>
          <w:color w:val="105C84"/>
        </w:rPr>
        <w:t>18+</w:t>
      </w:r>
      <w:r>
        <w:rPr>
          <w:color w:val="105C84"/>
          <w:spacing w:val="-14"/>
        </w:rPr>
        <w:t> </w:t>
      </w:r>
      <w:r>
        <w:rPr>
          <w:color w:val="105C84"/>
        </w:rPr>
        <w:t>who</w:t>
      </w:r>
      <w:r>
        <w:rPr>
          <w:color w:val="105C84"/>
          <w:spacing w:val="-13"/>
        </w:rPr>
        <w:t> </w:t>
      </w:r>
      <w:r>
        <w:rPr>
          <w:color w:val="105C84"/>
        </w:rPr>
        <w:t>are</w:t>
      </w:r>
      <w:r>
        <w:rPr>
          <w:color w:val="105C84"/>
          <w:spacing w:val="-13"/>
        </w:rPr>
        <w:t> </w:t>
      </w:r>
      <w:r>
        <w:rPr>
          <w:color w:val="105C84"/>
          <w:spacing w:val="-2"/>
        </w:rPr>
        <w:t>obese</w:t>
      </w:r>
    </w:p>
    <w:p>
      <w:pPr>
        <w:pStyle w:val="BodyText"/>
        <w:spacing w:before="44"/>
        <w:rPr>
          <w:b/>
          <w:sz w:val="26"/>
        </w:rPr>
      </w:pPr>
    </w:p>
    <w:p>
      <w:pPr>
        <w:spacing w:before="0"/>
        <w:ind w:left="1500" w:right="0" w:firstLine="0"/>
        <w:jc w:val="left"/>
        <w:rPr>
          <w:sz w:val="18"/>
        </w:rPr>
      </w:pPr>
      <w:r>
        <w:rPr>
          <w:sz w:val="18"/>
        </w:rPr>
        <mc:AlternateContent>
          <mc:Choice Requires="wps">
            <w:drawing>
              <wp:anchor distT="0" distB="0" distL="0" distR="0" allowOverlap="1" layoutInCell="1" locked="0" behindDoc="0" simplePos="0" relativeHeight="15747584">
                <wp:simplePos x="0" y="0"/>
                <wp:positionH relativeFrom="page">
                  <wp:posOffset>1278266</wp:posOffset>
                </wp:positionH>
                <wp:positionV relativeFrom="paragraph">
                  <wp:posOffset>-6945</wp:posOffset>
                </wp:positionV>
                <wp:extent cx="5749290" cy="2101850"/>
                <wp:effectExtent l="0" t="0" r="0" b="0"/>
                <wp:wrapNone/>
                <wp:docPr id="152" name="Group 152"/>
                <wp:cNvGraphicFramePr>
                  <a:graphicFrameLocks/>
                </wp:cNvGraphicFramePr>
                <a:graphic>
                  <a:graphicData uri="http://schemas.microsoft.com/office/word/2010/wordprocessingGroup">
                    <wpg:wgp>
                      <wpg:cNvPr id="152" name="Group 152"/>
                      <wpg:cNvGrpSpPr/>
                      <wpg:grpSpPr>
                        <a:xfrm>
                          <a:off x="0" y="0"/>
                          <a:ext cx="5749290" cy="2101850"/>
                          <a:chExt cx="5749290" cy="2101850"/>
                        </a:xfrm>
                      </wpg:grpSpPr>
                      <wps:wsp>
                        <wps:cNvPr id="153" name="Graphic 153"/>
                        <wps:cNvSpPr/>
                        <wps:spPr>
                          <a:xfrm>
                            <a:off x="4736898" y="993675"/>
                            <a:ext cx="142240" cy="1106805"/>
                          </a:xfrm>
                          <a:custGeom>
                            <a:avLst/>
                            <a:gdLst/>
                            <a:ahLst/>
                            <a:cxnLst/>
                            <a:rect l="l" t="t" r="r" b="b"/>
                            <a:pathLst>
                              <a:path w="142240" h="1106805">
                                <a:moveTo>
                                  <a:pt x="141833" y="0"/>
                                </a:moveTo>
                                <a:lnTo>
                                  <a:pt x="0" y="0"/>
                                </a:lnTo>
                                <a:lnTo>
                                  <a:pt x="0" y="1106347"/>
                                </a:lnTo>
                                <a:lnTo>
                                  <a:pt x="141833" y="1106347"/>
                                </a:lnTo>
                                <a:lnTo>
                                  <a:pt x="141833" y="0"/>
                                </a:lnTo>
                                <a:close/>
                              </a:path>
                            </a:pathLst>
                          </a:custGeom>
                          <a:solidFill>
                            <a:srgbClr val="105C84"/>
                          </a:solidFill>
                        </wps:spPr>
                        <wps:bodyPr wrap="square" lIns="0" tIns="0" rIns="0" bIns="0" rtlCol="0">
                          <a:prstTxWarp prst="textNoShape">
                            <a:avLst/>
                          </a:prstTxWarp>
                          <a:noAutofit/>
                        </wps:bodyPr>
                      </wps:wsp>
                      <wps:wsp>
                        <wps:cNvPr id="154" name="Graphic 154"/>
                        <wps:cNvSpPr/>
                        <wps:spPr>
                          <a:xfrm>
                            <a:off x="5389360" y="1192240"/>
                            <a:ext cx="156210" cy="908050"/>
                          </a:xfrm>
                          <a:custGeom>
                            <a:avLst/>
                            <a:gdLst/>
                            <a:ahLst/>
                            <a:cxnLst/>
                            <a:rect l="l" t="t" r="r" b="b"/>
                            <a:pathLst>
                              <a:path w="156210" h="908050">
                                <a:moveTo>
                                  <a:pt x="156019" y="0"/>
                                </a:moveTo>
                                <a:lnTo>
                                  <a:pt x="0" y="0"/>
                                </a:lnTo>
                                <a:lnTo>
                                  <a:pt x="0" y="907783"/>
                                </a:lnTo>
                                <a:lnTo>
                                  <a:pt x="156019" y="907783"/>
                                </a:lnTo>
                                <a:lnTo>
                                  <a:pt x="156019" y="0"/>
                                </a:lnTo>
                                <a:close/>
                              </a:path>
                            </a:pathLst>
                          </a:custGeom>
                          <a:solidFill>
                            <a:srgbClr val="636466"/>
                          </a:solidFill>
                        </wps:spPr>
                        <wps:bodyPr wrap="square" lIns="0" tIns="0" rIns="0" bIns="0" rtlCol="0">
                          <a:prstTxWarp prst="textNoShape">
                            <a:avLst/>
                          </a:prstTxWarp>
                          <a:noAutofit/>
                        </wps:bodyPr>
                      </wps:wsp>
                      <wps:wsp>
                        <wps:cNvPr id="155" name="Graphic 155"/>
                        <wps:cNvSpPr/>
                        <wps:spPr>
                          <a:xfrm>
                            <a:off x="127077" y="639066"/>
                            <a:ext cx="4099560" cy="1461135"/>
                          </a:xfrm>
                          <a:custGeom>
                            <a:avLst/>
                            <a:gdLst/>
                            <a:ahLst/>
                            <a:cxnLst/>
                            <a:rect l="l" t="t" r="r" b="b"/>
                            <a:pathLst>
                              <a:path w="4099560" h="1461135">
                                <a:moveTo>
                                  <a:pt x="156032" y="368782"/>
                                </a:moveTo>
                                <a:lnTo>
                                  <a:pt x="0" y="368782"/>
                                </a:lnTo>
                                <a:lnTo>
                                  <a:pt x="0" y="1460957"/>
                                </a:lnTo>
                                <a:lnTo>
                                  <a:pt x="156032" y="1460957"/>
                                </a:lnTo>
                                <a:lnTo>
                                  <a:pt x="156032" y="368782"/>
                                </a:lnTo>
                                <a:close/>
                              </a:path>
                              <a:path w="4099560" h="1461135">
                                <a:moveTo>
                                  <a:pt x="808482" y="184391"/>
                                </a:moveTo>
                                <a:lnTo>
                                  <a:pt x="666648" y="184391"/>
                                </a:lnTo>
                                <a:lnTo>
                                  <a:pt x="666648" y="1460957"/>
                                </a:lnTo>
                                <a:lnTo>
                                  <a:pt x="808482" y="1460957"/>
                                </a:lnTo>
                                <a:lnTo>
                                  <a:pt x="808482" y="184391"/>
                                </a:lnTo>
                                <a:close/>
                              </a:path>
                              <a:path w="4099560" h="1461135">
                                <a:moveTo>
                                  <a:pt x="1475143" y="212763"/>
                                </a:moveTo>
                                <a:lnTo>
                                  <a:pt x="1319110" y="212763"/>
                                </a:lnTo>
                                <a:lnTo>
                                  <a:pt x="1319110" y="1460969"/>
                                </a:lnTo>
                                <a:lnTo>
                                  <a:pt x="1475143" y="1460969"/>
                                </a:lnTo>
                                <a:lnTo>
                                  <a:pt x="1475143" y="212763"/>
                                </a:lnTo>
                                <a:close/>
                              </a:path>
                              <a:path w="4099560" h="1461135">
                                <a:moveTo>
                                  <a:pt x="2127618" y="297865"/>
                                </a:moveTo>
                                <a:lnTo>
                                  <a:pt x="1985772" y="297865"/>
                                </a:lnTo>
                                <a:lnTo>
                                  <a:pt x="1985772" y="1460957"/>
                                </a:lnTo>
                                <a:lnTo>
                                  <a:pt x="2127618" y="1460957"/>
                                </a:lnTo>
                                <a:lnTo>
                                  <a:pt x="2127618" y="297865"/>
                                </a:lnTo>
                                <a:close/>
                              </a:path>
                              <a:path w="4099560" h="1461135">
                                <a:moveTo>
                                  <a:pt x="2780080" y="0"/>
                                </a:moveTo>
                                <a:lnTo>
                                  <a:pt x="2638234" y="0"/>
                                </a:lnTo>
                                <a:lnTo>
                                  <a:pt x="2638234" y="1460969"/>
                                </a:lnTo>
                                <a:lnTo>
                                  <a:pt x="2780080" y="1460969"/>
                                </a:lnTo>
                                <a:lnTo>
                                  <a:pt x="2780080" y="0"/>
                                </a:lnTo>
                                <a:close/>
                              </a:path>
                              <a:path w="4099560" h="1461135">
                                <a:moveTo>
                                  <a:pt x="3446729" y="397154"/>
                                </a:moveTo>
                                <a:lnTo>
                                  <a:pt x="3290697" y="397154"/>
                                </a:lnTo>
                                <a:lnTo>
                                  <a:pt x="3290697" y="1460969"/>
                                </a:lnTo>
                                <a:lnTo>
                                  <a:pt x="3446729" y="1460969"/>
                                </a:lnTo>
                                <a:lnTo>
                                  <a:pt x="3446729" y="397154"/>
                                </a:lnTo>
                                <a:close/>
                              </a:path>
                              <a:path w="4099560" h="1461135">
                                <a:moveTo>
                                  <a:pt x="4099191" y="212763"/>
                                </a:moveTo>
                                <a:lnTo>
                                  <a:pt x="3957345" y="212763"/>
                                </a:lnTo>
                                <a:lnTo>
                                  <a:pt x="3957345" y="1460969"/>
                                </a:lnTo>
                                <a:lnTo>
                                  <a:pt x="4099191" y="1460969"/>
                                </a:lnTo>
                                <a:lnTo>
                                  <a:pt x="4099191" y="212763"/>
                                </a:lnTo>
                                <a:close/>
                              </a:path>
                            </a:pathLst>
                          </a:custGeom>
                          <a:solidFill>
                            <a:srgbClr val="105C84"/>
                          </a:solidFill>
                        </wps:spPr>
                        <wps:bodyPr wrap="square" lIns="0" tIns="0" rIns="0" bIns="0" rtlCol="0">
                          <a:prstTxWarp prst="textNoShape">
                            <a:avLst/>
                          </a:prstTxWarp>
                          <a:noAutofit/>
                        </wps:bodyPr>
                      </wps:wsp>
                      <wps:wsp>
                        <wps:cNvPr id="156" name="Graphic 156"/>
                        <wps:cNvSpPr/>
                        <wps:spPr>
                          <a:xfrm>
                            <a:off x="4921289" y="1022034"/>
                            <a:ext cx="156210" cy="1078230"/>
                          </a:xfrm>
                          <a:custGeom>
                            <a:avLst/>
                            <a:gdLst/>
                            <a:ahLst/>
                            <a:cxnLst/>
                            <a:rect l="l" t="t" r="r" b="b"/>
                            <a:pathLst>
                              <a:path w="156210" h="1078230">
                                <a:moveTo>
                                  <a:pt x="156032" y="0"/>
                                </a:moveTo>
                                <a:lnTo>
                                  <a:pt x="0" y="0"/>
                                </a:lnTo>
                                <a:lnTo>
                                  <a:pt x="0" y="1077988"/>
                                </a:lnTo>
                                <a:lnTo>
                                  <a:pt x="156032" y="1077988"/>
                                </a:lnTo>
                                <a:lnTo>
                                  <a:pt x="156032" y="0"/>
                                </a:lnTo>
                                <a:close/>
                              </a:path>
                            </a:pathLst>
                          </a:custGeom>
                          <a:solidFill>
                            <a:srgbClr val="81BF6A"/>
                          </a:solidFill>
                        </wps:spPr>
                        <wps:bodyPr wrap="square" lIns="0" tIns="0" rIns="0" bIns="0" rtlCol="0">
                          <a:prstTxWarp prst="textNoShape">
                            <a:avLst/>
                          </a:prstTxWarp>
                          <a:noAutofit/>
                        </wps:bodyPr>
                      </wps:wsp>
                      <wps:wsp>
                        <wps:cNvPr id="157" name="Graphic 157"/>
                        <wps:cNvSpPr/>
                        <wps:spPr>
                          <a:xfrm>
                            <a:off x="5587937" y="1192240"/>
                            <a:ext cx="142240" cy="908050"/>
                          </a:xfrm>
                          <a:custGeom>
                            <a:avLst/>
                            <a:gdLst/>
                            <a:ahLst/>
                            <a:cxnLst/>
                            <a:rect l="l" t="t" r="r" b="b"/>
                            <a:pathLst>
                              <a:path w="142240" h="908050">
                                <a:moveTo>
                                  <a:pt x="141846" y="0"/>
                                </a:moveTo>
                                <a:lnTo>
                                  <a:pt x="0" y="0"/>
                                </a:lnTo>
                                <a:lnTo>
                                  <a:pt x="0" y="907783"/>
                                </a:lnTo>
                                <a:lnTo>
                                  <a:pt x="141846" y="907783"/>
                                </a:lnTo>
                                <a:lnTo>
                                  <a:pt x="141846" y="0"/>
                                </a:lnTo>
                                <a:close/>
                              </a:path>
                            </a:pathLst>
                          </a:custGeom>
                          <a:solidFill>
                            <a:srgbClr val="BCBEC0"/>
                          </a:solidFill>
                        </wps:spPr>
                        <wps:bodyPr wrap="square" lIns="0" tIns="0" rIns="0" bIns="0" rtlCol="0">
                          <a:prstTxWarp prst="textNoShape">
                            <a:avLst/>
                          </a:prstTxWarp>
                          <a:noAutofit/>
                        </wps:bodyPr>
                      </wps:wsp>
                      <wps:wsp>
                        <wps:cNvPr id="158" name="Graphic 158"/>
                        <wps:cNvSpPr/>
                        <wps:spPr>
                          <a:xfrm>
                            <a:off x="325654" y="582335"/>
                            <a:ext cx="4085590" cy="1518285"/>
                          </a:xfrm>
                          <a:custGeom>
                            <a:avLst/>
                            <a:gdLst/>
                            <a:ahLst/>
                            <a:cxnLst/>
                            <a:rect l="l" t="t" r="r" b="b"/>
                            <a:pathLst>
                              <a:path w="4085590" h="1518285">
                                <a:moveTo>
                                  <a:pt x="141833" y="397141"/>
                                </a:moveTo>
                                <a:lnTo>
                                  <a:pt x="0" y="397141"/>
                                </a:lnTo>
                                <a:lnTo>
                                  <a:pt x="0" y="1517675"/>
                                </a:lnTo>
                                <a:lnTo>
                                  <a:pt x="141833" y="1517675"/>
                                </a:lnTo>
                                <a:lnTo>
                                  <a:pt x="141833" y="397141"/>
                                </a:lnTo>
                                <a:close/>
                              </a:path>
                              <a:path w="4085590" h="1518285">
                                <a:moveTo>
                                  <a:pt x="794308" y="269494"/>
                                </a:moveTo>
                                <a:lnTo>
                                  <a:pt x="652475" y="269494"/>
                                </a:lnTo>
                                <a:lnTo>
                                  <a:pt x="652475" y="1517700"/>
                                </a:lnTo>
                                <a:lnTo>
                                  <a:pt x="794308" y="1517700"/>
                                </a:lnTo>
                                <a:lnTo>
                                  <a:pt x="794308" y="269494"/>
                                </a:lnTo>
                                <a:close/>
                              </a:path>
                              <a:path w="4085590" h="1518285">
                                <a:moveTo>
                                  <a:pt x="1460969" y="368782"/>
                                </a:moveTo>
                                <a:lnTo>
                                  <a:pt x="1304937" y="368782"/>
                                </a:lnTo>
                                <a:lnTo>
                                  <a:pt x="1304937" y="1517688"/>
                                </a:lnTo>
                                <a:lnTo>
                                  <a:pt x="1460969" y="1517688"/>
                                </a:lnTo>
                                <a:lnTo>
                                  <a:pt x="1460969" y="368782"/>
                                </a:lnTo>
                                <a:close/>
                              </a:path>
                              <a:path w="4085590" h="1518285">
                                <a:moveTo>
                                  <a:pt x="2113419" y="269494"/>
                                </a:moveTo>
                                <a:lnTo>
                                  <a:pt x="1971586" y="269494"/>
                                </a:lnTo>
                                <a:lnTo>
                                  <a:pt x="1971586" y="1517700"/>
                                </a:lnTo>
                                <a:lnTo>
                                  <a:pt x="2113419" y="1517700"/>
                                </a:lnTo>
                                <a:lnTo>
                                  <a:pt x="2113419" y="269494"/>
                                </a:lnTo>
                                <a:close/>
                              </a:path>
                              <a:path w="4085590" h="1518285">
                                <a:moveTo>
                                  <a:pt x="2765895" y="0"/>
                                </a:moveTo>
                                <a:lnTo>
                                  <a:pt x="2624061" y="0"/>
                                </a:lnTo>
                                <a:lnTo>
                                  <a:pt x="2624061" y="1517688"/>
                                </a:lnTo>
                                <a:lnTo>
                                  <a:pt x="2765895" y="1517688"/>
                                </a:lnTo>
                                <a:lnTo>
                                  <a:pt x="2765895" y="0"/>
                                </a:lnTo>
                                <a:close/>
                              </a:path>
                              <a:path w="4085590" h="1518285">
                                <a:moveTo>
                                  <a:pt x="3432543" y="439699"/>
                                </a:moveTo>
                                <a:lnTo>
                                  <a:pt x="3276523" y="439699"/>
                                </a:lnTo>
                                <a:lnTo>
                                  <a:pt x="3276523" y="1517688"/>
                                </a:lnTo>
                                <a:lnTo>
                                  <a:pt x="3432543" y="1517688"/>
                                </a:lnTo>
                                <a:lnTo>
                                  <a:pt x="3432543" y="439699"/>
                                </a:lnTo>
                                <a:close/>
                              </a:path>
                              <a:path w="4085590" h="1518285">
                                <a:moveTo>
                                  <a:pt x="4085018" y="269494"/>
                                </a:moveTo>
                                <a:lnTo>
                                  <a:pt x="3943172" y="269494"/>
                                </a:lnTo>
                                <a:lnTo>
                                  <a:pt x="3943172" y="1517700"/>
                                </a:lnTo>
                                <a:lnTo>
                                  <a:pt x="4085018" y="1517700"/>
                                </a:lnTo>
                                <a:lnTo>
                                  <a:pt x="4085018" y="269494"/>
                                </a:lnTo>
                                <a:close/>
                              </a:path>
                            </a:pathLst>
                          </a:custGeom>
                          <a:solidFill>
                            <a:srgbClr val="82BF6A"/>
                          </a:solidFill>
                        </wps:spPr>
                        <wps:bodyPr wrap="square" lIns="0" tIns="0" rIns="0" bIns="0" rtlCol="0">
                          <a:prstTxWarp prst="textNoShape">
                            <a:avLst/>
                          </a:prstTxWarp>
                          <a:noAutofit/>
                        </wps:bodyPr>
                      </wps:wsp>
                      <wps:wsp>
                        <wps:cNvPr id="159" name="Graphic 159"/>
                        <wps:cNvSpPr/>
                        <wps:spPr>
                          <a:xfrm>
                            <a:off x="4785068" y="717075"/>
                            <a:ext cx="58419" cy="539115"/>
                          </a:xfrm>
                          <a:custGeom>
                            <a:avLst/>
                            <a:gdLst/>
                            <a:ahLst/>
                            <a:cxnLst/>
                            <a:rect l="l" t="t" r="r" b="b"/>
                            <a:pathLst>
                              <a:path w="58419" h="539115">
                                <a:moveTo>
                                  <a:pt x="29845" y="269506"/>
                                </a:moveTo>
                                <a:lnTo>
                                  <a:pt x="29845" y="539000"/>
                                </a:lnTo>
                              </a:path>
                              <a:path w="58419" h="539115">
                                <a:moveTo>
                                  <a:pt x="29845" y="269506"/>
                                </a:moveTo>
                                <a:lnTo>
                                  <a:pt x="29845" y="0"/>
                                </a:lnTo>
                              </a:path>
                              <a:path w="58419" h="539115">
                                <a:moveTo>
                                  <a:pt x="0" y="539000"/>
                                </a:moveTo>
                                <a:lnTo>
                                  <a:pt x="58204" y="539000"/>
                                </a:lnTo>
                              </a:path>
                              <a:path w="58419" h="539115">
                                <a:moveTo>
                                  <a:pt x="0" y="0"/>
                                </a:moveTo>
                                <a:lnTo>
                                  <a:pt x="58204" y="0"/>
                                </a:lnTo>
                              </a:path>
                            </a:pathLst>
                          </a:custGeom>
                          <a:ln w="9144">
                            <a:solidFill>
                              <a:srgbClr val="939598"/>
                            </a:solidFill>
                            <a:prstDash val="solid"/>
                          </a:ln>
                        </wps:spPr>
                        <wps:bodyPr wrap="square" lIns="0" tIns="0" rIns="0" bIns="0" rtlCol="0">
                          <a:prstTxWarp prst="textNoShape">
                            <a:avLst/>
                          </a:prstTxWarp>
                          <a:noAutofit/>
                        </wps:bodyPr>
                      </wps:wsp>
                      <wps:wsp>
                        <wps:cNvPr id="160" name="Graphic 160"/>
                        <wps:cNvSpPr/>
                        <wps:spPr>
                          <a:xfrm>
                            <a:off x="5439017" y="1156796"/>
                            <a:ext cx="57150" cy="71120"/>
                          </a:xfrm>
                          <a:custGeom>
                            <a:avLst/>
                            <a:gdLst/>
                            <a:ahLst/>
                            <a:cxnLst/>
                            <a:rect l="l" t="t" r="r" b="b"/>
                            <a:pathLst>
                              <a:path w="57150" h="71120">
                                <a:moveTo>
                                  <a:pt x="28359" y="28359"/>
                                </a:moveTo>
                                <a:lnTo>
                                  <a:pt x="28359" y="70916"/>
                                </a:lnTo>
                              </a:path>
                              <a:path w="57150" h="71120">
                                <a:moveTo>
                                  <a:pt x="28359" y="28359"/>
                                </a:moveTo>
                                <a:lnTo>
                                  <a:pt x="28359" y="0"/>
                                </a:lnTo>
                              </a:path>
                              <a:path w="57150" h="71120">
                                <a:moveTo>
                                  <a:pt x="0" y="70916"/>
                                </a:moveTo>
                                <a:lnTo>
                                  <a:pt x="56730" y="70916"/>
                                </a:lnTo>
                              </a:path>
                              <a:path w="57150" h="71120">
                                <a:moveTo>
                                  <a:pt x="0" y="0"/>
                                </a:moveTo>
                                <a:lnTo>
                                  <a:pt x="56730" y="0"/>
                                </a:lnTo>
                              </a:path>
                            </a:pathLst>
                          </a:custGeom>
                          <a:ln w="9144">
                            <a:solidFill>
                              <a:srgbClr val="939598"/>
                            </a:solidFill>
                            <a:prstDash val="solid"/>
                          </a:ln>
                        </wps:spPr>
                        <wps:bodyPr wrap="square" lIns="0" tIns="0" rIns="0" bIns="0" rtlCol="0">
                          <a:prstTxWarp prst="textNoShape">
                            <a:avLst/>
                          </a:prstTxWarp>
                          <a:noAutofit/>
                        </wps:bodyPr>
                      </wps:wsp>
                      <wps:wsp>
                        <wps:cNvPr id="161" name="Graphic 161"/>
                        <wps:cNvSpPr/>
                        <wps:spPr>
                          <a:xfrm>
                            <a:off x="4970938" y="788010"/>
                            <a:ext cx="57150" cy="468630"/>
                          </a:xfrm>
                          <a:custGeom>
                            <a:avLst/>
                            <a:gdLst/>
                            <a:ahLst/>
                            <a:cxnLst/>
                            <a:rect l="l" t="t" r="r" b="b"/>
                            <a:pathLst>
                              <a:path w="57150" h="468630">
                                <a:moveTo>
                                  <a:pt x="28371" y="226936"/>
                                </a:moveTo>
                                <a:lnTo>
                                  <a:pt x="28371" y="468058"/>
                                </a:lnTo>
                              </a:path>
                              <a:path w="57150" h="468630">
                                <a:moveTo>
                                  <a:pt x="28371" y="226936"/>
                                </a:moveTo>
                                <a:lnTo>
                                  <a:pt x="28371" y="0"/>
                                </a:lnTo>
                              </a:path>
                              <a:path w="57150" h="468630">
                                <a:moveTo>
                                  <a:pt x="0" y="468058"/>
                                </a:moveTo>
                                <a:lnTo>
                                  <a:pt x="56730" y="468058"/>
                                </a:lnTo>
                              </a:path>
                              <a:path w="57150" h="468630">
                                <a:moveTo>
                                  <a:pt x="0" y="0"/>
                                </a:moveTo>
                                <a:lnTo>
                                  <a:pt x="56730" y="0"/>
                                </a:lnTo>
                              </a:path>
                            </a:pathLst>
                          </a:custGeom>
                          <a:ln w="9144">
                            <a:solidFill>
                              <a:srgbClr val="939598"/>
                            </a:solidFill>
                            <a:prstDash val="solid"/>
                          </a:ln>
                        </wps:spPr>
                        <wps:bodyPr wrap="square" lIns="0" tIns="0" rIns="0" bIns="0" rtlCol="0">
                          <a:prstTxWarp prst="textNoShape">
                            <a:avLst/>
                          </a:prstTxWarp>
                          <a:noAutofit/>
                        </wps:bodyPr>
                      </wps:wsp>
                      <wps:wsp>
                        <wps:cNvPr id="162" name="Graphic 162"/>
                        <wps:cNvSpPr/>
                        <wps:spPr>
                          <a:xfrm>
                            <a:off x="5623415" y="1156796"/>
                            <a:ext cx="57150" cy="71120"/>
                          </a:xfrm>
                          <a:custGeom>
                            <a:avLst/>
                            <a:gdLst/>
                            <a:ahLst/>
                            <a:cxnLst/>
                            <a:rect l="l" t="t" r="r" b="b"/>
                            <a:pathLst>
                              <a:path w="57150" h="71120">
                                <a:moveTo>
                                  <a:pt x="28359" y="28359"/>
                                </a:moveTo>
                                <a:lnTo>
                                  <a:pt x="28359" y="70916"/>
                                </a:lnTo>
                              </a:path>
                              <a:path w="57150" h="71120">
                                <a:moveTo>
                                  <a:pt x="28359" y="28359"/>
                                </a:moveTo>
                                <a:lnTo>
                                  <a:pt x="28359" y="0"/>
                                </a:lnTo>
                              </a:path>
                              <a:path w="57150" h="71120">
                                <a:moveTo>
                                  <a:pt x="0" y="70916"/>
                                </a:moveTo>
                                <a:lnTo>
                                  <a:pt x="56718" y="70916"/>
                                </a:lnTo>
                              </a:path>
                              <a:path w="57150" h="71120">
                                <a:moveTo>
                                  <a:pt x="0" y="0"/>
                                </a:moveTo>
                                <a:lnTo>
                                  <a:pt x="56718" y="0"/>
                                </a:lnTo>
                              </a:path>
                            </a:pathLst>
                          </a:custGeom>
                          <a:ln w="9144">
                            <a:solidFill>
                              <a:srgbClr val="939598"/>
                            </a:solidFill>
                            <a:prstDash val="solid"/>
                          </a:ln>
                        </wps:spPr>
                        <wps:bodyPr wrap="square" lIns="0" tIns="0" rIns="0" bIns="0" rtlCol="0">
                          <a:prstTxWarp prst="textNoShape">
                            <a:avLst/>
                          </a:prstTxWarp>
                          <a:noAutofit/>
                        </wps:bodyPr>
                      </wps:wsp>
                      <wps:wsp>
                        <wps:cNvPr id="163" name="Graphic 163"/>
                        <wps:cNvSpPr/>
                        <wps:spPr>
                          <a:xfrm>
                            <a:off x="3568" y="24787"/>
                            <a:ext cx="5742305" cy="2073910"/>
                          </a:xfrm>
                          <a:custGeom>
                            <a:avLst/>
                            <a:gdLst/>
                            <a:ahLst/>
                            <a:cxnLst/>
                            <a:rect l="l" t="t" r="r" b="b"/>
                            <a:pathLst>
                              <a:path w="5742305" h="2073910">
                                <a:moveTo>
                                  <a:pt x="5742127" y="2073465"/>
                                </a:moveTo>
                                <a:lnTo>
                                  <a:pt x="5308" y="2073465"/>
                                </a:lnTo>
                                <a:lnTo>
                                  <a:pt x="0" y="0"/>
                                </a:lnTo>
                              </a:path>
                            </a:pathLst>
                          </a:custGeom>
                          <a:ln w="7137">
                            <a:solidFill>
                              <a:srgbClr val="939598"/>
                            </a:solidFill>
                            <a:prstDash val="solid"/>
                          </a:ln>
                        </wps:spPr>
                        <wps:bodyPr wrap="square" lIns="0" tIns="0" rIns="0" bIns="0" rtlCol="0">
                          <a:prstTxWarp prst="textNoShape">
                            <a:avLst/>
                          </a:prstTxWarp>
                          <a:noAutofit/>
                        </wps:bodyPr>
                      </wps:wsp>
                      <wps:wsp>
                        <wps:cNvPr id="164" name="Graphic 164"/>
                        <wps:cNvSpPr/>
                        <wps:spPr>
                          <a:xfrm>
                            <a:off x="248552" y="18569"/>
                            <a:ext cx="85725" cy="85725"/>
                          </a:xfrm>
                          <a:custGeom>
                            <a:avLst/>
                            <a:gdLst/>
                            <a:ahLst/>
                            <a:cxnLst/>
                            <a:rect l="l" t="t" r="r" b="b"/>
                            <a:pathLst>
                              <a:path w="85725" h="85725">
                                <a:moveTo>
                                  <a:pt x="85102" y="0"/>
                                </a:moveTo>
                                <a:lnTo>
                                  <a:pt x="0" y="0"/>
                                </a:lnTo>
                                <a:lnTo>
                                  <a:pt x="0" y="85102"/>
                                </a:lnTo>
                                <a:lnTo>
                                  <a:pt x="85102" y="85102"/>
                                </a:lnTo>
                                <a:lnTo>
                                  <a:pt x="85102" y="0"/>
                                </a:lnTo>
                                <a:close/>
                              </a:path>
                            </a:pathLst>
                          </a:custGeom>
                          <a:solidFill>
                            <a:srgbClr val="105C84"/>
                          </a:solidFill>
                        </wps:spPr>
                        <wps:bodyPr wrap="square" lIns="0" tIns="0" rIns="0" bIns="0" rtlCol="0">
                          <a:prstTxWarp prst="textNoShape">
                            <a:avLst/>
                          </a:prstTxWarp>
                          <a:noAutofit/>
                        </wps:bodyPr>
                      </wps:wsp>
                      <wps:wsp>
                        <wps:cNvPr id="165" name="Graphic 165"/>
                        <wps:cNvSpPr/>
                        <wps:spPr>
                          <a:xfrm>
                            <a:off x="1024446" y="18569"/>
                            <a:ext cx="85725" cy="85725"/>
                          </a:xfrm>
                          <a:custGeom>
                            <a:avLst/>
                            <a:gdLst/>
                            <a:ahLst/>
                            <a:cxnLst/>
                            <a:rect l="l" t="t" r="r" b="b"/>
                            <a:pathLst>
                              <a:path w="85725" h="85725">
                                <a:moveTo>
                                  <a:pt x="85102" y="0"/>
                                </a:moveTo>
                                <a:lnTo>
                                  <a:pt x="0" y="0"/>
                                </a:lnTo>
                                <a:lnTo>
                                  <a:pt x="0" y="85102"/>
                                </a:lnTo>
                                <a:lnTo>
                                  <a:pt x="85102" y="85102"/>
                                </a:lnTo>
                                <a:lnTo>
                                  <a:pt x="85102" y="0"/>
                                </a:lnTo>
                                <a:close/>
                              </a:path>
                            </a:pathLst>
                          </a:custGeom>
                          <a:solidFill>
                            <a:srgbClr val="B0D236"/>
                          </a:solidFill>
                        </wps:spPr>
                        <wps:bodyPr wrap="square" lIns="0" tIns="0" rIns="0" bIns="0" rtlCol="0">
                          <a:prstTxWarp prst="textNoShape">
                            <a:avLst/>
                          </a:prstTxWarp>
                          <a:noAutofit/>
                        </wps:bodyPr>
                      </wps:wsp>
                      <wps:wsp>
                        <wps:cNvPr id="166" name="Graphic 166"/>
                        <wps:cNvSpPr/>
                        <wps:spPr>
                          <a:xfrm>
                            <a:off x="210468" y="783083"/>
                            <a:ext cx="1270" cy="455930"/>
                          </a:xfrm>
                          <a:custGeom>
                            <a:avLst/>
                            <a:gdLst/>
                            <a:ahLst/>
                            <a:cxnLst/>
                            <a:rect l="l" t="t" r="r" b="b"/>
                            <a:pathLst>
                              <a:path w="0" h="455930">
                                <a:moveTo>
                                  <a:pt x="0" y="0"/>
                                </a:moveTo>
                                <a:lnTo>
                                  <a:pt x="0" y="455434"/>
                                </a:lnTo>
                              </a:path>
                            </a:pathLst>
                          </a:custGeom>
                          <a:ln w="9144">
                            <a:solidFill>
                              <a:srgbClr val="939598"/>
                            </a:solidFill>
                            <a:prstDash val="solid"/>
                          </a:ln>
                        </wps:spPr>
                        <wps:bodyPr wrap="square" lIns="0" tIns="0" rIns="0" bIns="0" rtlCol="0">
                          <a:prstTxWarp prst="textNoShape">
                            <a:avLst/>
                          </a:prstTxWarp>
                          <a:noAutofit/>
                        </wps:bodyPr>
                      </wps:wsp>
                      <wps:wsp>
                        <wps:cNvPr id="167" name="Graphic 167"/>
                        <wps:cNvSpPr/>
                        <wps:spPr>
                          <a:xfrm>
                            <a:off x="180747" y="778525"/>
                            <a:ext cx="59690" cy="464820"/>
                          </a:xfrm>
                          <a:custGeom>
                            <a:avLst/>
                            <a:gdLst/>
                            <a:ahLst/>
                            <a:cxnLst/>
                            <a:rect l="l" t="t" r="r" b="b"/>
                            <a:pathLst>
                              <a:path w="59690" h="464820">
                                <a:moveTo>
                                  <a:pt x="59423" y="455434"/>
                                </a:moveTo>
                                <a:lnTo>
                                  <a:pt x="0" y="455434"/>
                                </a:lnTo>
                                <a:lnTo>
                                  <a:pt x="0" y="464553"/>
                                </a:lnTo>
                                <a:lnTo>
                                  <a:pt x="59423" y="464553"/>
                                </a:lnTo>
                                <a:lnTo>
                                  <a:pt x="59423" y="455434"/>
                                </a:lnTo>
                                <a:close/>
                              </a:path>
                              <a:path w="59690" h="464820">
                                <a:moveTo>
                                  <a:pt x="59423" y="0"/>
                                </a:moveTo>
                                <a:lnTo>
                                  <a:pt x="0" y="0"/>
                                </a:lnTo>
                                <a:lnTo>
                                  <a:pt x="0" y="9131"/>
                                </a:lnTo>
                                <a:lnTo>
                                  <a:pt x="59423" y="9131"/>
                                </a:lnTo>
                                <a:lnTo>
                                  <a:pt x="59423" y="0"/>
                                </a:lnTo>
                                <a:close/>
                              </a:path>
                            </a:pathLst>
                          </a:custGeom>
                          <a:solidFill>
                            <a:srgbClr val="939598"/>
                          </a:solidFill>
                        </wps:spPr>
                        <wps:bodyPr wrap="square" lIns="0" tIns="0" rIns="0" bIns="0" rtlCol="0">
                          <a:prstTxWarp prst="textNoShape">
                            <a:avLst/>
                          </a:prstTxWarp>
                          <a:noAutofit/>
                        </wps:bodyPr>
                      </wps:wsp>
                      <wps:wsp>
                        <wps:cNvPr id="168" name="Graphic 168"/>
                        <wps:cNvSpPr/>
                        <wps:spPr>
                          <a:xfrm>
                            <a:off x="1706680" y="713022"/>
                            <a:ext cx="1270" cy="468630"/>
                          </a:xfrm>
                          <a:custGeom>
                            <a:avLst/>
                            <a:gdLst/>
                            <a:ahLst/>
                            <a:cxnLst/>
                            <a:rect l="l" t="t" r="r" b="b"/>
                            <a:pathLst>
                              <a:path w="0" h="468630">
                                <a:moveTo>
                                  <a:pt x="0" y="0"/>
                                </a:moveTo>
                                <a:lnTo>
                                  <a:pt x="0" y="468134"/>
                                </a:lnTo>
                              </a:path>
                            </a:pathLst>
                          </a:custGeom>
                          <a:ln w="9144">
                            <a:solidFill>
                              <a:srgbClr val="939598"/>
                            </a:solidFill>
                            <a:prstDash val="solid"/>
                          </a:ln>
                        </wps:spPr>
                        <wps:bodyPr wrap="square" lIns="0" tIns="0" rIns="0" bIns="0" rtlCol="0">
                          <a:prstTxWarp prst="textNoShape">
                            <a:avLst/>
                          </a:prstTxWarp>
                          <a:noAutofit/>
                        </wps:bodyPr>
                      </wps:wsp>
                      <wps:wsp>
                        <wps:cNvPr id="169" name="Graphic 169"/>
                        <wps:cNvSpPr/>
                        <wps:spPr>
                          <a:xfrm>
                            <a:off x="1676960" y="708446"/>
                            <a:ext cx="59690" cy="477520"/>
                          </a:xfrm>
                          <a:custGeom>
                            <a:avLst/>
                            <a:gdLst/>
                            <a:ahLst/>
                            <a:cxnLst/>
                            <a:rect l="l" t="t" r="r" b="b"/>
                            <a:pathLst>
                              <a:path w="59690" h="477520">
                                <a:moveTo>
                                  <a:pt x="59436" y="468147"/>
                                </a:moveTo>
                                <a:lnTo>
                                  <a:pt x="0" y="468147"/>
                                </a:lnTo>
                                <a:lnTo>
                                  <a:pt x="0" y="477304"/>
                                </a:lnTo>
                                <a:lnTo>
                                  <a:pt x="59436" y="477304"/>
                                </a:lnTo>
                                <a:lnTo>
                                  <a:pt x="59436" y="468147"/>
                                </a:lnTo>
                                <a:close/>
                              </a:path>
                              <a:path w="59690" h="477520">
                                <a:moveTo>
                                  <a:pt x="59436" y="0"/>
                                </a:moveTo>
                                <a:lnTo>
                                  <a:pt x="0" y="0"/>
                                </a:lnTo>
                                <a:lnTo>
                                  <a:pt x="0" y="9144"/>
                                </a:lnTo>
                                <a:lnTo>
                                  <a:pt x="59436" y="9144"/>
                                </a:lnTo>
                                <a:lnTo>
                                  <a:pt x="59436" y="0"/>
                                </a:lnTo>
                                <a:close/>
                              </a:path>
                            </a:pathLst>
                          </a:custGeom>
                          <a:solidFill>
                            <a:srgbClr val="939598"/>
                          </a:solidFill>
                        </wps:spPr>
                        <wps:bodyPr wrap="square" lIns="0" tIns="0" rIns="0" bIns="0" rtlCol="0">
                          <a:prstTxWarp prst="textNoShape">
                            <a:avLst/>
                          </a:prstTxWarp>
                          <a:noAutofit/>
                        </wps:bodyPr>
                      </wps:wsp>
                      <wps:wsp>
                        <wps:cNvPr id="170" name="Graphic 170"/>
                        <wps:cNvSpPr/>
                        <wps:spPr>
                          <a:xfrm>
                            <a:off x="865858" y="572801"/>
                            <a:ext cx="1270" cy="504190"/>
                          </a:xfrm>
                          <a:custGeom>
                            <a:avLst/>
                            <a:gdLst/>
                            <a:ahLst/>
                            <a:cxnLst/>
                            <a:rect l="l" t="t" r="r" b="b"/>
                            <a:pathLst>
                              <a:path w="0" h="504190">
                                <a:moveTo>
                                  <a:pt x="0" y="0"/>
                                </a:moveTo>
                                <a:lnTo>
                                  <a:pt x="0" y="503580"/>
                                </a:lnTo>
                              </a:path>
                            </a:pathLst>
                          </a:custGeom>
                          <a:ln w="9144">
                            <a:solidFill>
                              <a:srgbClr val="939598"/>
                            </a:solidFill>
                            <a:prstDash val="solid"/>
                          </a:ln>
                        </wps:spPr>
                        <wps:bodyPr wrap="square" lIns="0" tIns="0" rIns="0" bIns="0" rtlCol="0">
                          <a:prstTxWarp prst="textNoShape">
                            <a:avLst/>
                          </a:prstTxWarp>
                          <a:noAutofit/>
                        </wps:bodyPr>
                      </wps:wsp>
                      <wps:wsp>
                        <wps:cNvPr id="171" name="Graphic 171"/>
                        <wps:cNvSpPr/>
                        <wps:spPr>
                          <a:xfrm>
                            <a:off x="836131" y="568225"/>
                            <a:ext cx="59690" cy="513080"/>
                          </a:xfrm>
                          <a:custGeom>
                            <a:avLst/>
                            <a:gdLst/>
                            <a:ahLst/>
                            <a:cxnLst/>
                            <a:rect l="l" t="t" r="r" b="b"/>
                            <a:pathLst>
                              <a:path w="59690" h="513080">
                                <a:moveTo>
                                  <a:pt x="59436" y="503580"/>
                                </a:moveTo>
                                <a:lnTo>
                                  <a:pt x="0" y="503580"/>
                                </a:lnTo>
                                <a:lnTo>
                                  <a:pt x="0" y="512724"/>
                                </a:lnTo>
                                <a:lnTo>
                                  <a:pt x="59436" y="512724"/>
                                </a:lnTo>
                                <a:lnTo>
                                  <a:pt x="59436" y="503580"/>
                                </a:lnTo>
                                <a:close/>
                              </a:path>
                              <a:path w="59690" h="513080">
                                <a:moveTo>
                                  <a:pt x="59436" y="0"/>
                                </a:moveTo>
                                <a:lnTo>
                                  <a:pt x="0" y="0"/>
                                </a:lnTo>
                                <a:lnTo>
                                  <a:pt x="0" y="9144"/>
                                </a:lnTo>
                                <a:lnTo>
                                  <a:pt x="59436" y="9144"/>
                                </a:lnTo>
                                <a:lnTo>
                                  <a:pt x="59436" y="0"/>
                                </a:lnTo>
                                <a:close/>
                              </a:path>
                            </a:pathLst>
                          </a:custGeom>
                          <a:solidFill>
                            <a:srgbClr val="939598"/>
                          </a:solidFill>
                        </wps:spPr>
                        <wps:bodyPr wrap="square" lIns="0" tIns="0" rIns="0" bIns="0" rtlCol="0">
                          <a:prstTxWarp prst="textNoShape">
                            <a:avLst/>
                          </a:prstTxWarp>
                          <a:noAutofit/>
                        </wps:bodyPr>
                      </wps:wsp>
                      <wps:wsp>
                        <wps:cNvPr id="172" name="Graphic 172"/>
                        <wps:cNvSpPr/>
                        <wps:spPr>
                          <a:xfrm>
                            <a:off x="1042492" y="572801"/>
                            <a:ext cx="1270" cy="554990"/>
                          </a:xfrm>
                          <a:custGeom>
                            <a:avLst/>
                            <a:gdLst/>
                            <a:ahLst/>
                            <a:cxnLst/>
                            <a:rect l="l" t="t" r="r" b="b"/>
                            <a:pathLst>
                              <a:path w="0" h="554990">
                                <a:moveTo>
                                  <a:pt x="0" y="0"/>
                                </a:moveTo>
                                <a:lnTo>
                                  <a:pt x="0" y="554418"/>
                                </a:lnTo>
                              </a:path>
                            </a:pathLst>
                          </a:custGeom>
                          <a:ln w="9144">
                            <a:solidFill>
                              <a:srgbClr val="939598"/>
                            </a:solidFill>
                            <a:prstDash val="solid"/>
                          </a:ln>
                        </wps:spPr>
                        <wps:bodyPr wrap="square" lIns="0" tIns="0" rIns="0" bIns="0" rtlCol="0">
                          <a:prstTxWarp prst="textNoShape">
                            <a:avLst/>
                          </a:prstTxWarp>
                          <a:noAutofit/>
                        </wps:bodyPr>
                      </wps:wsp>
                      <wps:wsp>
                        <wps:cNvPr id="173" name="Graphic 173"/>
                        <wps:cNvSpPr/>
                        <wps:spPr>
                          <a:xfrm>
                            <a:off x="1012775" y="568225"/>
                            <a:ext cx="59690" cy="563880"/>
                          </a:xfrm>
                          <a:custGeom>
                            <a:avLst/>
                            <a:gdLst/>
                            <a:ahLst/>
                            <a:cxnLst/>
                            <a:rect l="l" t="t" r="r" b="b"/>
                            <a:pathLst>
                              <a:path w="59690" h="563880">
                                <a:moveTo>
                                  <a:pt x="59436" y="554431"/>
                                </a:moveTo>
                                <a:lnTo>
                                  <a:pt x="0" y="554431"/>
                                </a:lnTo>
                                <a:lnTo>
                                  <a:pt x="0" y="563575"/>
                                </a:lnTo>
                                <a:lnTo>
                                  <a:pt x="59436" y="563575"/>
                                </a:lnTo>
                                <a:lnTo>
                                  <a:pt x="59436" y="554431"/>
                                </a:lnTo>
                                <a:close/>
                              </a:path>
                              <a:path w="59690" h="563880">
                                <a:moveTo>
                                  <a:pt x="59436" y="0"/>
                                </a:moveTo>
                                <a:lnTo>
                                  <a:pt x="0" y="0"/>
                                </a:lnTo>
                                <a:lnTo>
                                  <a:pt x="0" y="9144"/>
                                </a:lnTo>
                                <a:lnTo>
                                  <a:pt x="59436" y="9144"/>
                                </a:lnTo>
                                <a:lnTo>
                                  <a:pt x="59436" y="0"/>
                                </a:lnTo>
                                <a:close/>
                              </a:path>
                            </a:pathLst>
                          </a:custGeom>
                          <a:solidFill>
                            <a:srgbClr val="939598"/>
                          </a:solidFill>
                        </wps:spPr>
                        <wps:bodyPr wrap="square" lIns="0" tIns="0" rIns="0" bIns="0" rtlCol="0">
                          <a:prstTxWarp prst="textNoShape">
                            <a:avLst/>
                          </a:prstTxWarp>
                          <a:noAutofit/>
                        </wps:bodyPr>
                      </wps:wsp>
                      <wps:wsp>
                        <wps:cNvPr id="174" name="Graphic 174"/>
                        <wps:cNvSpPr/>
                        <wps:spPr>
                          <a:xfrm>
                            <a:off x="1524502" y="585514"/>
                            <a:ext cx="1270" cy="554990"/>
                          </a:xfrm>
                          <a:custGeom>
                            <a:avLst/>
                            <a:gdLst/>
                            <a:ahLst/>
                            <a:cxnLst/>
                            <a:rect l="l" t="t" r="r" b="b"/>
                            <a:pathLst>
                              <a:path w="0" h="554990">
                                <a:moveTo>
                                  <a:pt x="0" y="0"/>
                                </a:moveTo>
                                <a:lnTo>
                                  <a:pt x="0" y="554418"/>
                                </a:lnTo>
                              </a:path>
                            </a:pathLst>
                          </a:custGeom>
                          <a:ln w="9144">
                            <a:solidFill>
                              <a:srgbClr val="939598"/>
                            </a:solidFill>
                            <a:prstDash val="solid"/>
                          </a:ln>
                        </wps:spPr>
                        <wps:bodyPr wrap="square" lIns="0" tIns="0" rIns="0" bIns="0" rtlCol="0">
                          <a:prstTxWarp prst="textNoShape">
                            <a:avLst/>
                          </a:prstTxWarp>
                          <a:noAutofit/>
                        </wps:bodyPr>
                      </wps:wsp>
                      <wps:wsp>
                        <wps:cNvPr id="175" name="Graphic 175"/>
                        <wps:cNvSpPr/>
                        <wps:spPr>
                          <a:xfrm>
                            <a:off x="1494791" y="580938"/>
                            <a:ext cx="59690" cy="563880"/>
                          </a:xfrm>
                          <a:custGeom>
                            <a:avLst/>
                            <a:gdLst/>
                            <a:ahLst/>
                            <a:cxnLst/>
                            <a:rect l="l" t="t" r="r" b="b"/>
                            <a:pathLst>
                              <a:path w="59690" h="563880">
                                <a:moveTo>
                                  <a:pt x="59423" y="554418"/>
                                </a:moveTo>
                                <a:lnTo>
                                  <a:pt x="0" y="554418"/>
                                </a:lnTo>
                                <a:lnTo>
                                  <a:pt x="0" y="563562"/>
                                </a:lnTo>
                                <a:lnTo>
                                  <a:pt x="59423" y="563562"/>
                                </a:lnTo>
                                <a:lnTo>
                                  <a:pt x="59423" y="554418"/>
                                </a:lnTo>
                                <a:close/>
                              </a:path>
                              <a:path w="59690" h="563880">
                                <a:moveTo>
                                  <a:pt x="59423" y="0"/>
                                </a:moveTo>
                                <a:lnTo>
                                  <a:pt x="0" y="0"/>
                                </a:lnTo>
                                <a:lnTo>
                                  <a:pt x="0" y="9144"/>
                                </a:lnTo>
                                <a:lnTo>
                                  <a:pt x="59423" y="9144"/>
                                </a:lnTo>
                                <a:lnTo>
                                  <a:pt x="59423" y="0"/>
                                </a:lnTo>
                                <a:close/>
                              </a:path>
                            </a:pathLst>
                          </a:custGeom>
                          <a:solidFill>
                            <a:srgbClr val="939598"/>
                          </a:solidFill>
                        </wps:spPr>
                        <wps:bodyPr wrap="square" lIns="0" tIns="0" rIns="0" bIns="0" rtlCol="0">
                          <a:prstTxWarp prst="textNoShape">
                            <a:avLst/>
                          </a:prstTxWarp>
                          <a:noAutofit/>
                        </wps:bodyPr>
                      </wps:wsp>
                      <wps:wsp>
                        <wps:cNvPr id="176" name="Graphic 176"/>
                        <wps:cNvSpPr/>
                        <wps:spPr>
                          <a:xfrm>
                            <a:off x="2186081" y="649065"/>
                            <a:ext cx="1270" cy="554990"/>
                          </a:xfrm>
                          <a:custGeom>
                            <a:avLst/>
                            <a:gdLst/>
                            <a:ahLst/>
                            <a:cxnLst/>
                            <a:rect l="l" t="t" r="r" b="b"/>
                            <a:pathLst>
                              <a:path w="0" h="554990">
                                <a:moveTo>
                                  <a:pt x="0" y="0"/>
                                </a:moveTo>
                                <a:lnTo>
                                  <a:pt x="0" y="554418"/>
                                </a:lnTo>
                              </a:path>
                            </a:pathLst>
                          </a:custGeom>
                          <a:ln w="9144">
                            <a:solidFill>
                              <a:srgbClr val="939598"/>
                            </a:solidFill>
                            <a:prstDash val="solid"/>
                          </a:ln>
                        </wps:spPr>
                        <wps:bodyPr wrap="square" lIns="0" tIns="0" rIns="0" bIns="0" rtlCol="0">
                          <a:prstTxWarp prst="textNoShape">
                            <a:avLst/>
                          </a:prstTxWarp>
                          <a:noAutofit/>
                        </wps:bodyPr>
                      </wps:wsp>
                      <wps:wsp>
                        <wps:cNvPr id="177" name="Graphic 177"/>
                        <wps:cNvSpPr/>
                        <wps:spPr>
                          <a:xfrm>
                            <a:off x="2156372" y="644489"/>
                            <a:ext cx="59690" cy="563880"/>
                          </a:xfrm>
                          <a:custGeom>
                            <a:avLst/>
                            <a:gdLst/>
                            <a:ahLst/>
                            <a:cxnLst/>
                            <a:rect l="l" t="t" r="r" b="b"/>
                            <a:pathLst>
                              <a:path w="59690" h="563880">
                                <a:moveTo>
                                  <a:pt x="59436" y="554418"/>
                                </a:moveTo>
                                <a:lnTo>
                                  <a:pt x="0" y="554418"/>
                                </a:lnTo>
                                <a:lnTo>
                                  <a:pt x="0" y="563562"/>
                                </a:lnTo>
                                <a:lnTo>
                                  <a:pt x="59436" y="563562"/>
                                </a:lnTo>
                                <a:lnTo>
                                  <a:pt x="59436" y="554418"/>
                                </a:lnTo>
                                <a:close/>
                              </a:path>
                              <a:path w="59690" h="563880">
                                <a:moveTo>
                                  <a:pt x="59436" y="0"/>
                                </a:moveTo>
                                <a:lnTo>
                                  <a:pt x="0" y="0"/>
                                </a:lnTo>
                                <a:lnTo>
                                  <a:pt x="0" y="9144"/>
                                </a:lnTo>
                                <a:lnTo>
                                  <a:pt x="59436" y="9144"/>
                                </a:lnTo>
                                <a:lnTo>
                                  <a:pt x="59436" y="0"/>
                                </a:lnTo>
                                <a:close/>
                              </a:path>
                            </a:pathLst>
                          </a:custGeom>
                          <a:solidFill>
                            <a:srgbClr val="939598"/>
                          </a:solidFill>
                        </wps:spPr>
                        <wps:bodyPr wrap="square" lIns="0" tIns="0" rIns="0" bIns="0" rtlCol="0">
                          <a:prstTxWarp prst="textNoShape">
                            <a:avLst/>
                          </a:prstTxWarp>
                          <a:noAutofit/>
                        </wps:bodyPr>
                      </wps:wsp>
                      <wps:wsp>
                        <wps:cNvPr id="178" name="Graphic 178"/>
                        <wps:cNvSpPr/>
                        <wps:spPr>
                          <a:xfrm>
                            <a:off x="2370380" y="572801"/>
                            <a:ext cx="1270" cy="554990"/>
                          </a:xfrm>
                          <a:custGeom>
                            <a:avLst/>
                            <a:gdLst/>
                            <a:ahLst/>
                            <a:cxnLst/>
                            <a:rect l="l" t="t" r="r" b="b"/>
                            <a:pathLst>
                              <a:path w="0" h="554990">
                                <a:moveTo>
                                  <a:pt x="0" y="0"/>
                                </a:moveTo>
                                <a:lnTo>
                                  <a:pt x="0" y="554418"/>
                                </a:lnTo>
                              </a:path>
                            </a:pathLst>
                          </a:custGeom>
                          <a:ln w="9144">
                            <a:solidFill>
                              <a:srgbClr val="939598"/>
                            </a:solidFill>
                            <a:prstDash val="solid"/>
                          </a:ln>
                        </wps:spPr>
                        <wps:bodyPr wrap="square" lIns="0" tIns="0" rIns="0" bIns="0" rtlCol="0">
                          <a:prstTxWarp prst="textNoShape">
                            <a:avLst/>
                          </a:prstTxWarp>
                          <a:noAutofit/>
                        </wps:bodyPr>
                      </wps:wsp>
                      <wps:wsp>
                        <wps:cNvPr id="179" name="Graphic 179"/>
                        <wps:cNvSpPr/>
                        <wps:spPr>
                          <a:xfrm>
                            <a:off x="2340662" y="568225"/>
                            <a:ext cx="59690" cy="563880"/>
                          </a:xfrm>
                          <a:custGeom>
                            <a:avLst/>
                            <a:gdLst/>
                            <a:ahLst/>
                            <a:cxnLst/>
                            <a:rect l="l" t="t" r="r" b="b"/>
                            <a:pathLst>
                              <a:path w="59690" h="563880">
                                <a:moveTo>
                                  <a:pt x="59410" y="554431"/>
                                </a:moveTo>
                                <a:lnTo>
                                  <a:pt x="0" y="554431"/>
                                </a:lnTo>
                                <a:lnTo>
                                  <a:pt x="0" y="563575"/>
                                </a:lnTo>
                                <a:lnTo>
                                  <a:pt x="59410" y="563575"/>
                                </a:lnTo>
                                <a:lnTo>
                                  <a:pt x="59410" y="554431"/>
                                </a:lnTo>
                                <a:close/>
                              </a:path>
                              <a:path w="59690" h="563880">
                                <a:moveTo>
                                  <a:pt x="59410" y="0"/>
                                </a:moveTo>
                                <a:lnTo>
                                  <a:pt x="0" y="0"/>
                                </a:lnTo>
                                <a:lnTo>
                                  <a:pt x="0" y="9144"/>
                                </a:lnTo>
                                <a:lnTo>
                                  <a:pt x="59410" y="9144"/>
                                </a:lnTo>
                                <a:lnTo>
                                  <a:pt x="59410" y="0"/>
                                </a:lnTo>
                                <a:close/>
                              </a:path>
                            </a:pathLst>
                          </a:custGeom>
                          <a:solidFill>
                            <a:srgbClr val="939598"/>
                          </a:solidFill>
                        </wps:spPr>
                        <wps:bodyPr wrap="square" lIns="0" tIns="0" rIns="0" bIns="0" rtlCol="0">
                          <a:prstTxWarp prst="textNoShape">
                            <a:avLst/>
                          </a:prstTxWarp>
                          <a:noAutofit/>
                        </wps:bodyPr>
                      </wps:wsp>
                      <wps:wsp>
                        <wps:cNvPr id="180" name="Graphic 180"/>
                        <wps:cNvSpPr/>
                        <wps:spPr>
                          <a:xfrm>
                            <a:off x="2838215" y="363413"/>
                            <a:ext cx="1270" cy="554990"/>
                          </a:xfrm>
                          <a:custGeom>
                            <a:avLst/>
                            <a:gdLst/>
                            <a:ahLst/>
                            <a:cxnLst/>
                            <a:rect l="l" t="t" r="r" b="b"/>
                            <a:pathLst>
                              <a:path w="0" h="554990">
                                <a:moveTo>
                                  <a:pt x="0" y="0"/>
                                </a:moveTo>
                                <a:lnTo>
                                  <a:pt x="0" y="554418"/>
                                </a:lnTo>
                              </a:path>
                            </a:pathLst>
                          </a:custGeom>
                          <a:ln w="9144">
                            <a:solidFill>
                              <a:srgbClr val="939598"/>
                            </a:solidFill>
                            <a:prstDash val="solid"/>
                          </a:ln>
                        </wps:spPr>
                        <wps:bodyPr wrap="square" lIns="0" tIns="0" rIns="0" bIns="0" rtlCol="0">
                          <a:prstTxWarp prst="textNoShape">
                            <a:avLst/>
                          </a:prstTxWarp>
                          <a:noAutofit/>
                        </wps:bodyPr>
                      </wps:wsp>
                      <wps:wsp>
                        <wps:cNvPr id="181" name="Graphic 181"/>
                        <wps:cNvSpPr/>
                        <wps:spPr>
                          <a:xfrm>
                            <a:off x="2808492" y="358853"/>
                            <a:ext cx="59690" cy="563880"/>
                          </a:xfrm>
                          <a:custGeom>
                            <a:avLst/>
                            <a:gdLst/>
                            <a:ahLst/>
                            <a:cxnLst/>
                            <a:rect l="l" t="t" r="r" b="b"/>
                            <a:pathLst>
                              <a:path w="59690" h="563880">
                                <a:moveTo>
                                  <a:pt x="59436" y="554405"/>
                                </a:moveTo>
                                <a:lnTo>
                                  <a:pt x="0" y="554405"/>
                                </a:lnTo>
                                <a:lnTo>
                                  <a:pt x="0" y="563549"/>
                                </a:lnTo>
                                <a:lnTo>
                                  <a:pt x="59436" y="563549"/>
                                </a:lnTo>
                                <a:lnTo>
                                  <a:pt x="59436" y="554405"/>
                                </a:lnTo>
                                <a:close/>
                              </a:path>
                              <a:path w="59690" h="563880">
                                <a:moveTo>
                                  <a:pt x="59436" y="0"/>
                                </a:moveTo>
                                <a:lnTo>
                                  <a:pt x="0" y="0"/>
                                </a:lnTo>
                                <a:lnTo>
                                  <a:pt x="0" y="9118"/>
                                </a:lnTo>
                                <a:lnTo>
                                  <a:pt x="59436" y="9118"/>
                                </a:lnTo>
                                <a:lnTo>
                                  <a:pt x="59436" y="0"/>
                                </a:lnTo>
                                <a:close/>
                              </a:path>
                            </a:pathLst>
                          </a:custGeom>
                          <a:solidFill>
                            <a:srgbClr val="939598"/>
                          </a:solidFill>
                        </wps:spPr>
                        <wps:bodyPr wrap="square" lIns="0" tIns="0" rIns="0" bIns="0" rtlCol="0">
                          <a:prstTxWarp prst="textNoShape">
                            <a:avLst/>
                          </a:prstTxWarp>
                          <a:noAutofit/>
                        </wps:bodyPr>
                      </wps:wsp>
                      <wps:wsp>
                        <wps:cNvPr id="182" name="Graphic 182"/>
                        <wps:cNvSpPr/>
                        <wps:spPr>
                          <a:xfrm>
                            <a:off x="3022178" y="325282"/>
                            <a:ext cx="1270" cy="504190"/>
                          </a:xfrm>
                          <a:custGeom>
                            <a:avLst/>
                            <a:gdLst/>
                            <a:ahLst/>
                            <a:cxnLst/>
                            <a:rect l="l" t="t" r="r" b="b"/>
                            <a:pathLst>
                              <a:path w="0" h="504190">
                                <a:moveTo>
                                  <a:pt x="0" y="0"/>
                                </a:moveTo>
                                <a:lnTo>
                                  <a:pt x="0" y="503580"/>
                                </a:lnTo>
                              </a:path>
                            </a:pathLst>
                          </a:custGeom>
                          <a:ln w="9144">
                            <a:solidFill>
                              <a:srgbClr val="939598"/>
                            </a:solidFill>
                            <a:prstDash val="solid"/>
                          </a:ln>
                        </wps:spPr>
                        <wps:bodyPr wrap="square" lIns="0" tIns="0" rIns="0" bIns="0" rtlCol="0">
                          <a:prstTxWarp prst="textNoShape">
                            <a:avLst/>
                          </a:prstTxWarp>
                          <a:noAutofit/>
                        </wps:bodyPr>
                      </wps:wsp>
                      <wps:wsp>
                        <wps:cNvPr id="183" name="Graphic 183"/>
                        <wps:cNvSpPr/>
                        <wps:spPr>
                          <a:xfrm>
                            <a:off x="2992464" y="320728"/>
                            <a:ext cx="59690" cy="513080"/>
                          </a:xfrm>
                          <a:custGeom>
                            <a:avLst/>
                            <a:gdLst/>
                            <a:ahLst/>
                            <a:cxnLst/>
                            <a:rect l="l" t="t" r="r" b="b"/>
                            <a:pathLst>
                              <a:path w="59690" h="513080">
                                <a:moveTo>
                                  <a:pt x="59448" y="503567"/>
                                </a:moveTo>
                                <a:lnTo>
                                  <a:pt x="0" y="503567"/>
                                </a:lnTo>
                                <a:lnTo>
                                  <a:pt x="0" y="512686"/>
                                </a:lnTo>
                                <a:lnTo>
                                  <a:pt x="59448" y="512686"/>
                                </a:lnTo>
                                <a:lnTo>
                                  <a:pt x="59448" y="503567"/>
                                </a:lnTo>
                                <a:close/>
                              </a:path>
                              <a:path w="59690" h="513080">
                                <a:moveTo>
                                  <a:pt x="59448" y="0"/>
                                </a:moveTo>
                                <a:lnTo>
                                  <a:pt x="0" y="0"/>
                                </a:lnTo>
                                <a:lnTo>
                                  <a:pt x="0" y="9131"/>
                                </a:lnTo>
                                <a:lnTo>
                                  <a:pt x="59448" y="9131"/>
                                </a:lnTo>
                                <a:lnTo>
                                  <a:pt x="59448" y="0"/>
                                </a:lnTo>
                                <a:close/>
                              </a:path>
                            </a:pathLst>
                          </a:custGeom>
                          <a:solidFill>
                            <a:srgbClr val="939598"/>
                          </a:solidFill>
                        </wps:spPr>
                        <wps:bodyPr wrap="square" lIns="0" tIns="0" rIns="0" bIns="0" rtlCol="0">
                          <a:prstTxWarp prst="textNoShape">
                            <a:avLst/>
                          </a:prstTxWarp>
                          <a:noAutofit/>
                        </wps:bodyPr>
                      </wps:wsp>
                      <wps:wsp>
                        <wps:cNvPr id="184" name="Graphic 184"/>
                        <wps:cNvSpPr/>
                        <wps:spPr>
                          <a:xfrm>
                            <a:off x="3494745" y="774216"/>
                            <a:ext cx="1270" cy="516890"/>
                          </a:xfrm>
                          <a:custGeom>
                            <a:avLst/>
                            <a:gdLst/>
                            <a:ahLst/>
                            <a:cxnLst/>
                            <a:rect l="l" t="t" r="r" b="b"/>
                            <a:pathLst>
                              <a:path w="0" h="516890">
                                <a:moveTo>
                                  <a:pt x="0" y="0"/>
                                </a:moveTo>
                                <a:lnTo>
                                  <a:pt x="0" y="516280"/>
                                </a:lnTo>
                              </a:path>
                            </a:pathLst>
                          </a:custGeom>
                          <a:ln w="9144">
                            <a:solidFill>
                              <a:srgbClr val="939598"/>
                            </a:solidFill>
                            <a:prstDash val="solid"/>
                          </a:ln>
                        </wps:spPr>
                        <wps:bodyPr wrap="square" lIns="0" tIns="0" rIns="0" bIns="0" rtlCol="0">
                          <a:prstTxWarp prst="textNoShape">
                            <a:avLst/>
                          </a:prstTxWarp>
                          <a:noAutofit/>
                        </wps:bodyPr>
                      </wps:wsp>
                      <wps:wsp>
                        <wps:cNvPr id="185" name="Graphic 185"/>
                        <wps:cNvSpPr/>
                        <wps:spPr>
                          <a:xfrm>
                            <a:off x="3465018" y="769634"/>
                            <a:ext cx="59690" cy="525780"/>
                          </a:xfrm>
                          <a:custGeom>
                            <a:avLst/>
                            <a:gdLst/>
                            <a:ahLst/>
                            <a:cxnLst/>
                            <a:rect l="l" t="t" r="r" b="b"/>
                            <a:pathLst>
                              <a:path w="59690" h="525780">
                                <a:moveTo>
                                  <a:pt x="59448" y="516280"/>
                                </a:moveTo>
                                <a:lnTo>
                                  <a:pt x="0" y="516280"/>
                                </a:lnTo>
                                <a:lnTo>
                                  <a:pt x="0" y="525424"/>
                                </a:lnTo>
                                <a:lnTo>
                                  <a:pt x="59448" y="525424"/>
                                </a:lnTo>
                                <a:lnTo>
                                  <a:pt x="59448" y="516280"/>
                                </a:lnTo>
                                <a:close/>
                              </a:path>
                              <a:path w="59690" h="525780">
                                <a:moveTo>
                                  <a:pt x="59448" y="0"/>
                                </a:moveTo>
                                <a:lnTo>
                                  <a:pt x="0" y="0"/>
                                </a:lnTo>
                                <a:lnTo>
                                  <a:pt x="0" y="9144"/>
                                </a:lnTo>
                                <a:lnTo>
                                  <a:pt x="59448" y="9144"/>
                                </a:lnTo>
                                <a:lnTo>
                                  <a:pt x="59448" y="0"/>
                                </a:lnTo>
                                <a:close/>
                              </a:path>
                            </a:pathLst>
                          </a:custGeom>
                          <a:solidFill>
                            <a:srgbClr val="939598"/>
                          </a:solidFill>
                        </wps:spPr>
                        <wps:bodyPr wrap="square" lIns="0" tIns="0" rIns="0" bIns="0" rtlCol="0">
                          <a:prstTxWarp prst="textNoShape">
                            <a:avLst/>
                          </a:prstTxWarp>
                          <a:noAutofit/>
                        </wps:bodyPr>
                      </wps:wsp>
                      <wps:wsp>
                        <wps:cNvPr id="186" name="Graphic 186"/>
                        <wps:cNvSpPr/>
                        <wps:spPr>
                          <a:xfrm>
                            <a:off x="4156323" y="632444"/>
                            <a:ext cx="1270" cy="440055"/>
                          </a:xfrm>
                          <a:custGeom>
                            <a:avLst/>
                            <a:gdLst/>
                            <a:ahLst/>
                            <a:cxnLst/>
                            <a:rect l="l" t="t" r="r" b="b"/>
                            <a:pathLst>
                              <a:path w="0" h="440055">
                                <a:moveTo>
                                  <a:pt x="0" y="0"/>
                                </a:moveTo>
                                <a:lnTo>
                                  <a:pt x="0" y="440016"/>
                                </a:lnTo>
                              </a:path>
                            </a:pathLst>
                          </a:custGeom>
                          <a:ln w="9144">
                            <a:solidFill>
                              <a:srgbClr val="939598"/>
                            </a:solidFill>
                            <a:prstDash val="solid"/>
                          </a:ln>
                        </wps:spPr>
                        <wps:bodyPr wrap="square" lIns="0" tIns="0" rIns="0" bIns="0" rtlCol="0">
                          <a:prstTxWarp prst="textNoShape">
                            <a:avLst/>
                          </a:prstTxWarp>
                          <a:noAutofit/>
                        </wps:bodyPr>
                      </wps:wsp>
                      <wps:wsp>
                        <wps:cNvPr id="187" name="Graphic 187"/>
                        <wps:cNvSpPr/>
                        <wps:spPr>
                          <a:xfrm>
                            <a:off x="4126599" y="627877"/>
                            <a:ext cx="59690" cy="449580"/>
                          </a:xfrm>
                          <a:custGeom>
                            <a:avLst/>
                            <a:gdLst/>
                            <a:ahLst/>
                            <a:cxnLst/>
                            <a:rect l="l" t="t" r="r" b="b"/>
                            <a:pathLst>
                              <a:path w="59690" h="449580">
                                <a:moveTo>
                                  <a:pt x="59436" y="440029"/>
                                </a:moveTo>
                                <a:lnTo>
                                  <a:pt x="0" y="440029"/>
                                </a:lnTo>
                                <a:lnTo>
                                  <a:pt x="0" y="449160"/>
                                </a:lnTo>
                                <a:lnTo>
                                  <a:pt x="59436" y="449160"/>
                                </a:lnTo>
                                <a:lnTo>
                                  <a:pt x="59436" y="440029"/>
                                </a:lnTo>
                                <a:close/>
                              </a:path>
                              <a:path w="59690" h="449580">
                                <a:moveTo>
                                  <a:pt x="59436" y="0"/>
                                </a:moveTo>
                                <a:lnTo>
                                  <a:pt x="0" y="0"/>
                                </a:lnTo>
                                <a:lnTo>
                                  <a:pt x="0" y="9144"/>
                                </a:lnTo>
                                <a:lnTo>
                                  <a:pt x="59436" y="9144"/>
                                </a:lnTo>
                                <a:lnTo>
                                  <a:pt x="59436" y="0"/>
                                </a:lnTo>
                                <a:close/>
                              </a:path>
                            </a:pathLst>
                          </a:custGeom>
                          <a:solidFill>
                            <a:srgbClr val="939598"/>
                          </a:solidFill>
                        </wps:spPr>
                        <wps:bodyPr wrap="square" lIns="0" tIns="0" rIns="0" bIns="0" rtlCol="0">
                          <a:prstTxWarp prst="textNoShape">
                            <a:avLst/>
                          </a:prstTxWarp>
                          <a:noAutofit/>
                        </wps:bodyPr>
                      </wps:wsp>
                      <wps:wsp>
                        <wps:cNvPr id="188" name="Graphic 188"/>
                        <wps:cNvSpPr/>
                        <wps:spPr>
                          <a:xfrm>
                            <a:off x="4340622" y="645151"/>
                            <a:ext cx="1270" cy="414655"/>
                          </a:xfrm>
                          <a:custGeom>
                            <a:avLst/>
                            <a:gdLst/>
                            <a:ahLst/>
                            <a:cxnLst/>
                            <a:rect l="l" t="t" r="r" b="b"/>
                            <a:pathLst>
                              <a:path w="0" h="414655">
                                <a:moveTo>
                                  <a:pt x="0" y="0"/>
                                </a:moveTo>
                                <a:lnTo>
                                  <a:pt x="0" y="414604"/>
                                </a:lnTo>
                              </a:path>
                            </a:pathLst>
                          </a:custGeom>
                          <a:ln w="9144">
                            <a:solidFill>
                              <a:srgbClr val="939598"/>
                            </a:solidFill>
                            <a:prstDash val="solid"/>
                          </a:ln>
                        </wps:spPr>
                        <wps:bodyPr wrap="square" lIns="0" tIns="0" rIns="0" bIns="0" rtlCol="0">
                          <a:prstTxWarp prst="textNoShape">
                            <a:avLst/>
                          </a:prstTxWarp>
                          <a:noAutofit/>
                        </wps:bodyPr>
                      </wps:wsp>
                      <wps:wsp>
                        <wps:cNvPr id="189" name="Graphic 189"/>
                        <wps:cNvSpPr/>
                        <wps:spPr>
                          <a:xfrm>
                            <a:off x="4310889" y="640577"/>
                            <a:ext cx="59690" cy="424180"/>
                          </a:xfrm>
                          <a:custGeom>
                            <a:avLst/>
                            <a:gdLst/>
                            <a:ahLst/>
                            <a:cxnLst/>
                            <a:rect l="l" t="t" r="r" b="b"/>
                            <a:pathLst>
                              <a:path w="59690" h="424180">
                                <a:moveTo>
                                  <a:pt x="59448" y="414616"/>
                                </a:moveTo>
                                <a:lnTo>
                                  <a:pt x="0" y="414616"/>
                                </a:lnTo>
                                <a:lnTo>
                                  <a:pt x="0" y="423760"/>
                                </a:lnTo>
                                <a:lnTo>
                                  <a:pt x="59448" y="423760"/>
                                </a:lnTo>
                                <a:lnTo>
                                  <a:pt x="59448" y="414616"/>
                                </a:lnTo>
                                <a:close/>
                              </a:path>
                              <a:path w="59690" h="424180">
                                <a:moveTo>
                                  <a:pt x="59448" y="0"/>
                                </a:moveTo>
                                <a:lnTo>
                                  <a:pt x="0" y="0"/>
                                </a:lnTo>
                                <a:lnTo>
                                  <a:pt x="0" y="9144"/>
                                </a:lnTo>
                                <a:lnTo>
                                  <a:pt x="59448" y="9144"/>
                                </a:lnTo>
                                <a:lnTo>
                                  <a:pt x="59448" y="0"/>
                                </a:lnTo>
                                <a:close/>
                              </a:path>
                            </a:pathLst>
                          </a:custGeom>
                          <a:solidFill>
                            <a:srgbClr val="939598"/>
                          </a:solidFill>
                        </wps:spPr>
                        <wps:bodyPr wrap="square" lIns="0" tIns="0" rIns="0" bIns="0" rtlCol="0">
                          <a:prstTxWarp prst="textNoShape">
                            <a:avLst/>
                          </a:prstTxWarp>
                          <a:noAutofit/>
                        </wps:bodyPr>
                      </wps:wsp>
                      <wps:wsp>
                        <wps:cNvPr id="190" name="Graphic 190"/>
                        <wps:cNvSpPr/>
                        <wps:spPr>
                          <a:xfrm>
                            <a:off x="3679044" y="799628"/>
                            <a:ext cx="1270" cy="427355"/>
                          </a:xfrm>
                          <a:custGeom>
                            <a:avLst/>
                            <a:gdLst/>
                            <a:ahLst/>
                            <a:cxnLst/>
                            <a:rect l="l" t="t" r="r" b="b"/>
                            <a:pathLst>
                              <a:path w="0" h="427355">
                                <a:moveTo>
                                  <a:pt x="0" y="0"/>
                                </a:moveTo>
                                <a:lnTo>
                                  <a:pt x="0" y="427316"/>
                                </a:lnTo>
                              </a:path>
                            </a:pathLst>
                          </a:custGeom>
                          <a:ln w="9144">
                            <a:solidFill>
                              <a:srgbClr val="939598"/>
                            </a:solidFill>
                            <a:prstDash val="solid"/>
                          </a:ln>
                        </wps:spPr>
                        <wps:bodyPr wrap="square" lIns="0" tIns="0" rIns="0" bIns="0" rtlCol="0">
                          <a:prstTxWarp prst="textNoShape">
                            <a:avLst/>
                          </a:prstTxWarp>
                          <a:noAutofit/>
                        </wps:bodyPr>
                      </wps:wsp>
                      <wps:wsp>
                        <wps:cNvPr id="191" name="Graphic 191"/>
                        <wps:cNvSpPr/>
                        <wps:spPr>
                          <a:xfrm>
                            <a:off x="3649308" y="795060"/>
                            <a:ext cx="59690" cy="436880"/>
                          </a:xfrm>
                          <a:custGeom>
                            <a:avLst/>
                            <a:gdLst/>
                            <a:ahLst/>
                            <a:cxnLst/>
                            <a:rect l="l" t="t" r="r" b="b"/>
                            <a:pathLst>
                              <a:path w="59690" h="436880">
                                <a:moveTo>
                                  <a:pt x="59448" y="427304"/>
                                </a:moveTo>
                                <a:lnTo>
                                  <a:pt x="0" y="427304"/>
                                </a:lnTo>
                                <a:lnTo>
                                  <a:pt x="0" y="436448"/>
                                </a:lnTo>
                                <a:lnTo>
                                  <a:pt x="59448" y="436448"/>
                                </a:lnTo>
                                <a:lnTo>
                                  <a:pt x="59448" y="427304"/>
                                </a:lnTo>
                                <a:close/>
                              </a:path>
                              <a:path w="59690" h="436880">
                                <a:moveTo>
                                  <a:pt x="59448" y="0"/>
                                </a:moveTo>
                                <a:lnTo>
                                  <a:pt x="0" y="0"/>
                                </a:lnTo>
                                <a:lnTo>
                                  <a:pt x="0" y="9144"/>
                                </a:lnTo>
                                <a:lnTo>
                                  <a:pt x="59448" y="9144"/>
                                </a:lnTo>
                                <a:lnTo>
                                  <a:pt x="59448" y="0"/>
                                </a:lnTo>
                                <a:close/>
                              </a:path>
                            </a:pathLst>
                          </a:custGeom>
                          <a:solidFill>
                            <a:srgbClr val="939598"/>
                          </a:solidFill>
                        </wps:spPr>
                        <wps:bodyPr wrap="square" lIns="0" tIns="0" rIns="0" bIns="0" rtlCol="0">
                          <a:prstTxWarp prst="textNoShape">
                            <a:avLst/>
                          </a:prstTxWarp>
                          <a:noAutofit/>
                        </wps:bodyPr>
                      </wps:wsp>
                      <wps:wsp>
                        <wps:cNvPr id="192" name="Textbox 192"/>
                        <wps:cNvSpPr txBox="1"/>
                        <wps:spPr>
                          <a:xfrm>
                            <a:off x="382681" y="0"/>
                            <a:ext cx="469265" cy="139065"/>
                          </a:xfrm>
                          <a:prstGeom prst="rect">
                            <a:avLst/>
                          </a:prstGeom>
                        </wps:spPr>
                        <wps:txbx>
                          <w:txbxContent>
                            <w:p>
                              <w:pPr>
                                <w:spacing w:before="10"/>
                                <w:ind w:left="0" w:right="0" w:firstLine="0"/>
                                <w:jc w:val="left"/>
                                <w:rPr>
                                  <w:sz w:val="16"/>
                                </w:rPr>
                              </w:pPr>
                              <w:r>
                                <w:rPr>
                                  <w:color w:val="105C84"/>
                                  <w:w w:val="90"/>
                                  <w:sz w:val="16"/>
                                </w:rPr>
                                <w:t>2013-</w:t>
                              </w:r>
                              <w:r>
                                <w:rPr>
                                  <w:color w:val="105C84"/>
                                  <w:spacing w:val="-4"/>
                                  <w:sz w:val="16"/>
                                </w:rPr>
                                <w:t>2014</w:t>
                              </w:r>
                            </w:p>
                          </w:txbxContent>
                        </wps:txbx>
                        <wps:bodyPr wrap="square" lIns="0" tIns="0" rIns="0" bIns="0" rtlCol="0">
                          <a:noAutofit/>
                        </wps:bodyPr>
                      </wps:wsp>
                      <wps:wsp>
                        <wps:cNvPr id="193" name="Textbox 193"/>
                        <wps:cNvSpPr txBox="1"/>
                        <wps:spPr>
                          <a:xfrm>
                            <a:off x="1163488" y="0"/>
                            <a:ext cx="224154" cy="139065"/>
                          </a:xfrm>
                          <a:prstGeom prst="rect">
                            <a:avLst/>
                          </a:prstGeom>
                        </wps:spPr>
                        <wps:txbx>
                          <w:txbxContent>
                            <w:p>
                              <w:pPr>
                                <w:spacing w:before="10"/>
                                <w:ind w:left="0" w:right="0" w:firstLine="0"/>
                                <w:jc w:val="left"/>
                                <w:rPr>
                                  <w:sz w:val="16"/>
                                </w:rPr>
                              </w:pPr>
                              <w:r>
                                <w:rPr>
                                  <w:color w:val="105C84"/>
                                  <w:spacing w:val="-5"/>
                                  <w:sz w:val="16"/>
                                </w:rPr>
                                <w:t>2016</w:t>
                              </w:r>
                            </w:p>
                          </w:txbxContent>
                        </wps:txbx>
                        <wps:bodyPr wrap="square" lIns="0" tIns="0" rIns="0" bIns="0" rtlCol="0">
                          <a:noAutofit/>
                        </wps:bodyPr>
                      </wps:wsp>
                    </wpg:wgp>
                  </a:graphicData>
                </a:graphic>
              </wp:anchor>
            </w:drawing>
          </mc:Choice>
          <mc:Fallback>
            <w:pict>
              <v:group style="position:absolute;margin-left:100.650902pt;margin-top:-.546879pt;width:452.7pt;height:165.5pt;mso-position-horizontal-relative:page;mso-position-vertical-relative:paragraph;z-index:15747584" id="docshapegroup130" coordorigin="2013,-11" coordsize="9054,3310">
                <v:rect style="position:absolute;left:9472;top:1553;width:224;height:1743" id="docshape131" filled="true" fillcolor="#105c84" stroked="false">
                  <v:fill type="solid"/>
                </v:rect>
                <v:rect style="position:absolute;left:10500;top:1866;width:246;height:1430" id="docshape132" filled="true" fillcolor="#636466" stroked="false">
                  <v:fill type="solid"/>
                </v:rect>
                <v:shape style="position:absolute;left:2213;top:995;width:6456;height:2301" id="docshape133" coordorigin="2213,995" coordsize="6456,2301" path="m2459,1576l2213,1576,2213,3296,2459,3296,2459,1576xm3486,1286l3263,1286,3263,3296,3486,3296,3486,1286xm4536,1331l4290,1331,4290,3296,4536,3296,4536,1331xm5564,1465l5340,1465,5340,3296,5564,3296,5564,1465xm6591,995l6368,995,6368,3296,6591,3296,6591,995xm7641,1621l7395,1621,7395,3296,7641,3296,7641,1621xm8669,1331l8445,1331,8445,3296,8669,3296,8669,1331xe" filled="true" fillcolor="#105c84" stroked="false">
                  <v:path arrowok="t"/>
                  <v:fill type="solid"/>
                </v:shape>
                <v:rect style="position:absolute;left:9763;top:1598;width:246;height:1698" id="docshape134" filled="true" fillcolor="#81bf6a" stroked="false">
                  <v:fill type="solid"/>
                </v:rect>
                <v:rect style="position:absolute;left:10812;top:1866;width:224;height:1430" id="docshape135" filled="true" fillcolor="#bcbec0" stroked="false">
                  <v:fill type="solid"/>
                </v:rect>
                <v:shape style="position:absolute;left:2525;top:906;width:6434;height:2391" id="docshape136" coordorigin="2526,906" coordsize="6434,2391" path="m2749,1532l2526,1532,2526,3296,2749,3296,2749,1532xm3777,1331l3553,1331,3553,3296,3777,3296,3777,1331xm4827,1487l4581,1487,4581,3296,4827,3296,4827,1487xm5854,1331l5631,1331,5631,3296,5854,3296,5854,1331xm6882,906l6658,906,6658,3296,6882,3296,6882,906xm7931,1599l7686,1599,7686,3296,7931,3296,7931,1599xm8959,1331l8736,1331,8736,3296,8959,3296,8959,1331xe" filled="true" fillcolor="#82bf6a" stroked="false">
                  <v:path arrowok="t"/>
                  <v:fill type="solid"/>
                </v:shape>
                <v:shape style="position:absolute;left:9548;top:1118;width:92;height:849" id="docshape137" coordorigin="9549,1118" coordsize="92,849" path="m9596,1543l9596,1967m9596,1543l9596,1118m9549,1967l9640,1967m9549,1118l9640,1118e" filled="false" stroked="true" strokeweight=".72pt" strokecolor="#939598">
                  <v:path arrowok="t"/>
                  <v:stroke dashstyle="solid"/>
                </v:shape>
                <v:shape style="position:absolute;left:10578;top:1810;width:90;height:112" id="docshape138" coordorigin="10578,1811" coordsize="90,112" path="m10623,1855l10623,1922m10623,1855l10623,1811m10578,1922l10668,1922m10578,1811l10668,1811e" filled="false" stroked="true" strokeweight=".72pt" strokecolor="#939598">
                  <v:path arrowok="t"/>
                  <v:stroke dashstyle="solid"/>
                </v:shape>
                <v:shape style="position:absolute;left:9841;top:1230;width:90;height:738" id="docshape139" coordorigin="9841,1230" coordsize="90,738" path="m9886,1587l9886,1967m9886,1587l9886,1230m9841,1967l9931,1967m9841,1230l9931,1230e" filled="false" stroked="true" strokeweight=".72pt" strokecolor="#939598">
                  <v:path arrowok="t"/>
                  <v:stroke dashstyle="solid"/>
                </v:shape>
                <v:shape style="position:absolute;left:10868;top:1810;width:90;height:112" id="docshape140" coordorigin="10869,1811" coordsize="90,112" path="m10913,1855l10913,1922m10913,1855l10913,1811m10869,1922l10958,1922m10869,1811l10958,1811e" filled="false" stroked="true" strokeweight=".72pt" strokecolor="#939598">
                  <v:path arrowok="t"/>
                  <v:stroke dashstyle="solid"/>
                </v:shape>
                <v:shape style="position:absolute;left:2018;top:28;width:9043;height:3266" id="docshape141" coordorigin="2019,28" coordsize="9043,3266" path="m11061,3293l2027,3293,2019,28e" filled="false" stroked="true" strokeweight=".562pt" strokecolor="#939598">
                  <v:path arrowok="t"/>
                  <v:stroke dashstyle="solid"/>
                </v:shape>
                <v:rect style="position:absolute;left:2404;top:18;width:135;height:135" id="docshape142" filled="true" fillcolor="#105c84" stroked="false">
                  <v:fill type="solid"/>
                </v:rect>
                <v:rect style="position:absolute;left:3626;top:18;width:135;height:135" id="docshape143" filled="true" fillcolor="#b0d236" stroked="false">
                  <v:fill type="solid"/>
                </v:rect>
                <v:line style="position:absolute" from="2344,1222" to="2344,1939" stroked="true" strokeweight=".72pt" strokecolor="#939598">
                  <v:stroke dashstyle="solid"/>
                </v:line>
                <v:shape style="position:absolute;left:2297;top:1215;width:94;height:732" id="docshape144" coordorigin="2298,1215" coordsize="94,732" path="m2391,1932l2298,1932,2298,1947,2391,1947,2391,1932xm2391,1215l2298,1215,2298,1229,2391,1229,2391,1215xe" filled="true" fillcolor="#939598" stroked="false">
                  <v:path arrowok="t"/>
                  <v:fill type="solid"/>
                </v:shape>
                <v:line style="position:absolute" from="4701,1112" to="4701,1849" stroked="true" strokeweight=".72pt" strokecolor="#939598">
                  <v:stroke dashstyle="solid"/>
                </v:line>
                <v:shape style="position:absolute;left:4653;top:1104;width:94;height:752" id="docshape145" coordorigin="4654,1105" coordsize="94,752" path="m4748,1842l4654,1842,4654,1856,4748,1856,4748,1842xm4748,1105l4654,1105,4654,1119,4748,1119,4748,1105xe" filled="true" fillcolor="#939598" stroked="false">
                  <v:path arrowok="t"/>
                  <v:fill type="solid"/>
                </v:shape>
                <v:line style="position:absolute" from="3377,891" to="3377,1684" stroked="true" strokeweight=".72pt" strokecolor="#939598">
                  <v:stroke dashstyle="solid"/>
                </v:line>
                <v:shape style="position:absolute;left:3329;top:883;width:94;height:808" id="docshape146" coordorigin="3330,884" coordsize="94,808" path="m3423,1677l3330,1677,3330,1691,3423,1691,3423,1677xm3423,884l3330,884,3330,898,3423,898,3423,884xe" filled="true" fillcolor="#939598" stroked="false">
                  <v:path arrowok="t"/>
                  <v:fill type="solid"/>
                </v:shape>
                <v:line style="position:absolute" from="3655,891" to="3655,1764" stroked="true" strokeweight=".72pt" strokecolor="#939598">
                  <v:stroke dashstyle="solid"/>
                </v:line>
                <v:shape style="position:absolute;left:3607;top:883;width:94;height:888" id="docshape147" coordorigin="3608,884" coordsize="94,888" path="m3702,1757l3608,1757,3608,1771,3702,1771,3702,1757xm3702,884l3608,884,3608,898,3702,898,3702,884xe" filled="true" fillcolor="#939598" stroked="false">
                  <v:path arrowok="t"/>
                  <v:fill type="solid"/>
                </v:shape>
                <v:line style="position:absolute" from="4414,911" to="4414,1784" stroked="true" strokeweight=".72pt" strokecolor="#939598">
                  <v:stroke dashstyle="solid"/>
                </v:line>
                <v:shape style="position:absolute;left:4367;top:903;width:94;height:888" id="docshape148" coordorigin="4367,904" coordsize="94,888" path="m4461,1777l4367,1777,4367,1791,4461,1791,4461,1777xm4461,904l4367,904,4367,918,4461,918,4461,904xe" filled="true" fillcolor="#939598" stroked="false">
                  <v:path arrowok="t"/>
                  <v:fill type="solid"/>
                </v:shape>
                <v:line style="position:absolute" from="5456,1011" to="5456,1884" stroked="true" strokeweight=".72pt" strokecolor="#939598">
                  <v:stroke dashstyle="solid"/>
                </v:line>
                <v:shape style="position:absolute;left:5408;top:1004;width:94;height:888" id="docshape149" coordorigin="5409,1004" coordsize="94,888" path="m5502,1877l5409,1877,5409,1892,5502,1892,5502,1877xm5502,1004l5409,1004,5409,1018,5502,1018,5502,1004xe" filled="true" fillcolor="#939598" stroked="false">
                  <v:path arrowok="t"/>
                  <v:fill type="solid"/>
                </v:shape>
                <v:line style="position:absolute" from="5746,891" to="5746,1764" stroked="true" strokeweight=".72pt" strokecolor="#939598">
                  <v:stroke dashstyle="solid"/>
                </v:line>
                <v:shape style="position:absolute;left:5699;top:883;width:94;height:888" id="docshape150" coordorigin="5699,884" coordsize="94,888" path="m5793,1757l5699,1757,5699,1771,5793,1771,5793,1757xm5793,884l5699,884,5699,898,5793,898,5793,884xe" filled="true" fillcolor="#939598" stroked="false">
                  <v:path arrowok="t"/>
                  <v:fill type="solid"/>
                </v:shape>
                <v:line style="position:absolute" from="6483,561" to="6483,1434" stroked="true" strokeweight=".72pt" strokecolor="#939598">
                  <v:stroke dashstyle="solid"/>
                </v:line>
                <v:shape style="position:absolute;left:6435;top:554;width:94;height:888" id="docshape151" coordorigin="6436,554" coordsize="94,888" path="m6529,1427l6436,1427,6436,1442,6529,1442,6529,1427xm6529,554l6436,554,6436,569,6529,569,6529,554xe" filled="true" fillcolor="#939598" stroked="false">
                  <v:path arrowok="t"/>
                  <v:fill type="solid"/>
                </v:shape>
                <v:line style="position:absolute" from="6772,501" to="6772,1294" stroked="true" strokeweight=".72pt" strokecolor="#939598">
                  <v:stroke dashstyle="solid"/>
                </v:line>
                <v:shape style="position:absolute;left:6725;top:494;width:94;height:808" id="docshape152" coordorigin="6726,494" coordsize="94,808" path="m6819,1287l6726,1287,6726,1302,6819,1302,6819,1287xm6819,494l6726,494,6726,509,6819,509,6819,494xe" filled="true" fillcolor="#939598" stroked="false">
                  <v:path arrowok="t"/>
                  <v:fill type="solid"/>
                </v:shape>
                <v:line style="position:absolute" from="7517,1208" to="7517,2021" stroked="true" strokeweight=".72pt" strokecolor="#939598">
                  <v:stroke dashstyle="solid"/>
                </v:line>
                <v:shape style="position:absolute;left:7469;top:1201;width:94;height:828" id="docshape153" coordorigin="7470,1201" coordsize="94,828" path="m7563,2014l7470,2014,7470,2029,7563,2029,7563,2014xm7563,1201l7470,1201,7470,1215,7563,1215,7563,1201xe" filled="true" fillcolor="#939598" stroked="false">
                  <v:path arrowok="t"/>
                  <v:fill type="solid"/>
                </v:shape>
                <v:line style="position:absolute" from="8558,985" to="8558,1678" stroked="true" strokeweight=".72pt" strokecolor="#939598">
                  <v:stroke dashstyle="solid"/>
                </v:line>
                <v:shape style="position:absolute;left:8511;top:977;width:94;height:708" id="docshape154" coordorigin="8512,978" coordsize="94,708" path="m8605,1671l8512,1671,8512,1685,8605,1685,8605,1671xm8605,978l8512,978,8512,992,8605,992,8605,978xe" filled="true" fillcolor="#939598" stroked="false">
                  <v:path arrowok="t"/>
                  <v:fill type="solid"/>
                </v:shape>
                <v:line style="position:absolute" from="8849,1005" to="8849,1658" stroked="true" strokeweight=".72pt" strokecolor="#939598">
                  <v:stroke dashstyle="solid"/>
                </v:line>
                <v:shape style="position:absolute;left:8801;top:997;width:94;height:668" id="docshape155" coordorigin="8802,998" coordsize="94,668" path="m8895,1651l8802,1651,8802,1665,8895,1665,8895,1651xm8895,998l8802,998,8802,1012,8895,1012,8895,998xe" filled="true" fillcolor="#939598" stroked="false">
                  <v:path arrowok="t"/>
                  <v:fill type="solid"/>
                </v:shape>
                <v:line style="position:absolute" from="7807,1248" to="7807,1921" stroked="true" strokeweight=".72pt" strokecolor="#939598">
                  <v:stroke dashstyle="solid"/>
                </v:line>
                <v:shape style="position:absolute;left:7759;top:1241;width:94;height:688" id="docshape156" coordorigin="7760,1241" coordsize="94,688" path="m7854,1914l7760,1914,7760,1928,7854,1928,7854,1914xm7854,1241l7760,1241,7760,1256,7854,1256,7854,1241xe" filled="true" fillcolor="#939598" stroked="false">
                  <v:path arrowok="t"/>
                  <v:fill type="solid"/>
                </v:shape>
                <v:shape style="position:absolute;left:2615;top:-11;width:739;height:219" type="#_x0000_t202" id="docshape157" filled="false" stroked="false">
                  <v:textbox inset="0,0,0,0">
                    <w:txbxContent>
                      <w:p>
                        <w:pPr>
                          <w:spacing w:before="10"/>
                          <w:ind w:left="0" w:right="0" w:firstLine="0"/>
                          <w:jc w:val="left"/>
                          <w:rPr>
                            <w:sz w:val="16"/>
                          </w:rPr>
                        </w:pPr>
                        <w:r>
                          <w:rPr>
                            <w:color w:val="105C84"/>
                            <w:w w:val="90"/>
                            <w:sz w:val="16"/>
                          </w:rPr>
                          <w:t>2013-</w:t>
                        </w:r>
                        <w:r>
                          <w:rPr>
                            <w:color w:val="105C84"/>
                            <w:spacing w:val="-4"/>
                            <w:sz w:val="16"/>
                          </w:rPr>
                          <w:t>2014</w:t>
                        </w:r>
                      </w:p>
                    </w:txbxContent>
                  </v:textbox>
                  <w10:wrap type="none"/>
                </v:shape>
                <v:shape style="position:absolute;left:3845;top:-11;width:353;height:219" type="#_x0000_t202" id="docshape158" filled="false" stroked="false">
                  <v:textbox inset="0,0,0,0">
                    <w:txbxContent>
                      <w:p>
                        <w:pPr>
                          <w:spacing w:before="10"/>
                          <w:ind w:left="0" w:right="0" w:firstLine="0"/>
                          <w:jc w:val="left"/>
                          <w:rPr>
                            <w:sz w:val="16"/>
                          </w:rPr>
                        </w:pPr>
                        <w:r>
                          <w:rPr>
                            <w:color w:val="105C84"/>
                            <w:spacing w:val="-5"/>
                            <w:sz w:val="16"/>
                          </w:rPr>
                          <w:t>2016</w:t>
                        </w:r>
                      </w:p>
                    </w:txbxContent>
                  </v:textbox>
                  <w10:wrap type="none"/>
                </v:shape>
                <w10:wrap type="none"/>
              </v:group>
            </w:pict>
          </mc:Fallback>
        </mc:AlternateContent>
      </w:r>
      <w:r>
        <w:rPr>
          <w:color w:val="636466"/>
          <w:spacing w:val="-5"/>
          <w:sz w:val="18"/>
        </w:rPr>
        <w:t>60%</w:t>
      </w:r>
    </w:p>
    <w:p>
      <w:pPr>
        <w:pStyle w:val="BodyText"/>
        <w:spacing w:before="100"/>
        <w:rPr>
          <w:sz w:val="18"/>
        </w:rPr>
      </w:pPr>
    </w:p>
    <w:p>
      <w:pPr>
        <w:spacing w:before="0"/>
        <w:ind w:left="1500" w:right="0" w:firstLine="0"/>
        <w:jc w:val="left"/>
        <w:rPr>
          <w:sz w:val="18"/>
        </w:rPr>
      </w:pPr>
      <w:r>
        <w:rPr>
          <w:color w:val="636466"/>
          <w:spacing w:val="-5"/>
          <w:sz w:val="18"/>
        </w:rPr>
        <w:t>50%</w:t>
      </w:r>
    </w:p>
    <w:p>
      <w:pPr>
        <w:pStyle w:val="BodyText"/>
        <w:spacing w:before="122"/>
        <w:rPr>
          <w:sz w:val="18"/>
        </w:rPr>
      </w:pPr>
    </w:p>
    <w:p>
      <w:pPr>
        <w:spacing w:before="0"/>
        <w:ind w:left="1500" w:right="0" w:firstLine="0"/>
        <w:jc w:val="left"/>
        <w:rPr>
          <w:sz w:val="18"/>
        </w:rPr>
      </w:pPr>
      <w:r>
        <w:rPr>
          <w:sz w:val="18"/>
        </w:rPr>
        <mc:AlternateContent>
          <mc:Choice Requires="wps">
            <w:drawing>
              <wp:anchor distT="0" distB="0" distL="0" distR="0" allowOverlap="1" layoutInCell="1" locked="0" behindDoc="0" simplePos="0" relativeHeight="15748608">
                <wp:simplePos x="0" y="0"/>
                <wp:positionH relativeFrom="page">
                  <wp:posOffset>684672</wp:posOffset>
                </wp:positionH>
                <wp:positionV relativeFrom="paragraph">
                  <wp:posOffset>-69133</wp:posOffset>
                </wp:positionV>
                <wp:extent cx="164465" cy="802640"/>
                <wp:effectExtent l="0" t="0" r="0" b="0"/>
                <wp:wrapNone/>
                <wp:docPr id="194" name="Textbox 194"/>
                <wp:cNvGraphicFramePr>
                  <a:graphicFrameLocks/>
                </wp:cNvGraphicFramePr>
                <a:graphic>
                  <a:graphicData uri="http://schemas.microsoft.com/office/word/2010/wordprocessingShape">
                    <wps:wsp>
                      <wps:cNvPr id="194" name="Textbox 194"/>
                      <wps:cNvSpPr txBox="1"/>
                      <wps:spPr>
                        <a:xfrm>
                          <a:off x="0" y="0"/>
                          <a:ext cx="164465" cy="802640"/>
                        </a:xfrm>
                        <a:prstGeom prst="rect">
                          <a:avLst/>
                        </a:prstGeom>
                      </wps:spPr>
                      <wps:txbx>
                        <w:txbxContent>
                          <w:p>
                            <w:pPr>
                              <w:spacing w:before="30"/>
                              <w:ind w:left="20" w:right="0" w:firstLine="0"/>
                              <w:jc w:val="left"/>
                              <w:rPr>
                                <w:sz w:val="16"/>
                              </w:rPr>
                            </w:pPr>
                            <w:r>
                              <w:rPr>
                                <w:color w:val="105C84"/>
                                <w:sz w:val="16"/>
                              </w:rPr>
                              <w:t>Percent</w:t>
                            </w:r>
                            <w:r>
                              <w:rPr>
                                <w:color w:val="105C84"/>
                                <w:spacing w:val="-5"/>
                                <w:sz w:val="16"/>
                              </w:rPr>
                              <w:t> </w:t>
                            </w:r>
                            <w:r>
                              <w:rPr>
                                <w:color w:val="105C84"/>
                                <w:sz w:val="16"/>
                              </w:rPr>
                              <w:t>of</w:t>
                            </w:r>
                            <w:r>
                              <w:rPr>
                                <w:color w:val="105C84"/>
                                <w:spacing w:val="-5"/>
                                <w:sz w:val="16"/>
                              </w:rPr>
                              <w:t> </w:t>
                            </w:r>
                            <w:r>
                              <w:rPr>
                                <w:color w:val="105C84"/>
                                <w:spacing w:val="-2"/>
                                <w:sz w:val="16"/>
                              </w:rPr>
                              <w:t>Adults</w:t>
                            </w:r>
                          </w:p>
                        </w:txbxContent>
                      </wps:txbx>
                      <wps:bodyPr wrap="square" lIns="0" tIns="0" rIns="0" bIns="0" rtlCol="0" vert="vert270">
                        <a:noAutofit/>
                      </wps:bodyPr>
                    </wps:wsp>
                  </a:graphicData>
                </a:graphic>
              </wp:anchor>
            </w:drawing>
          </mc:Choice>
          <mc:Fallback>
            <w:pict>
              <v:shape style="position:absolute;margin-left:53.911201pt;margin-top:-5.443567pt;width:12.95pt;height:63.2pt;mso-position-horizontal-relative:page;mso-position-vertical-relative:paragraph;z-index:15748608" type="#_x0000_t202" id="docshape159" filled="false" stroked="false">
                <v:textbox inset="0,0,0,0" style="layout-flow:vertical;mso-layout-flow-alt:bottom-to-top">
                  <w:txbxContent>
                    <w:p>
                      <w:pPr>
                        <w:spacing w:before="30"/>
                        <w:ind w:left="20" w:right="0" w:firstLine="0"/>
                        <w:jc w:val="left"/>
                        <w:rPr>
                          <w:sz w:val="16"/>
                        </w:rPr>
                      </w:pPr>
                      <w:r>
                        <w:rPr>
                          <w:color w:val="105C84"/>
                          <w:sz w:val="16"/>
                        </w:rPr>
                        <w:t>Percent</w:t>
                      </w:r>
                      <w:r>
                        <w:rPr>
                          <w:color w:val="105C84"/>
                          <w:spacing w:val="-5"/>
                          <w:sz w:val="16"/>
                        </w:rPr>
                        <w:t> </w:t>
                      </w:r>
                      <w:r>
                        <w:rPr>
                          <w:color w:val="105C84"/>
                          <w:sz w:val="16"/>
                        </w:rPr>
                        <w:t>of</w:t>
                      </w:r>
                      <w:r>
                        <w:rPr>
                          <w:color w:val="105C84"/>
                          <w:spacing w:val="-5"/>
                          <w:sz w:val="16"/>
                        </w:rPr>
                        <w:t> </w:t>
                      </w:r>
                      <w:r>
                        <w:rPr>
                          <w:color w:val="105C84"/>
                          <w:spacing w:val="-2"/>
                          <w:sz w:val="16"/>
                        </w:rPr>
                        <w:t>Adults</w:t>
                      </w:r>
                    </w:p>
                  </w:txbxContent>
                </v:textbox>
                <w10:wrap type="none"/>
              </v:shape>
            </w:pict>
          </mc:Fallback>
        </mc:AlternateContent>
      </w:r>
      <w:r>
        <w:rPr>
          <w:color w:val="636466"/>
          <w:spacing w:val="-5"/>
          <w:sz w:val="18"/>
        </w:rPr>
        <w:t>40%</w:t>
      </w:r>
    </w:p>
    <w:p>
      <w:pPr>
        <w:pStyle w:val="BodyText"/>
        <w:spacing w:before="122"/>
        <w:rPr>
          <w:sz w:val="18"/>
        </w:rPr>
      </w:pPr>
    </w:p>
    <w:p>
      <w:pPr>
        <w:spacing w:before="0"/>
        <w:ind w:left="1500" w:right="0" w:firstLine="0"/>
        <w:jc w:val="left"/>
        <w:rPr>
          <w:sz w:val="18"/>
        </w:rPr>
      </w:pPr>
      <w:r>
        <w:rPr>
          <w:color w:val="636466"/>
          <w:spacing w:val="-5"/>
          <w:sz w:val="18"/>
        </w:rPr>
        <w:t>30%</w:t>
      </w:r>
    </w:p>
    <w:p>
      <w:pPr>
        <w:pStyle w:val="Heading6"/>
        <w:spacing w:before="116"/>
        <w:jc w:val="both"/>
      </w:pPr>
      <w:r>
        <w:rPr>
          <w:b w:val="0"/>
        </w:rPr>
        <w:br w:type="column"/>
      </w:r>
      <w:r>
        <w:rPr>
          <w:color w:val="105C84"/>
          <w:spacing w:val="-2"/>
        </w:rPr>
        <w:t>FIGURE</w:t>
      </w:r>
      <w:r>
        <w:rPr>
          <w:color w:val="105C84"/>
          <w:spacing w:val="-16"/>
        </w:rPr>
        <w:t> </w:t>
      </w:r>
      <w:r>
        <w:rPr>
          <w:color w:val="105C84"/>
          <w:spacing w:val="-2"/>
        </w:rPr>
        <w:t>4:</w:t>
      </w:r>
      <w:r>
        <w:rPr>
          <w:color w:val="105C84"/>
          <w:spacing w:val="-15"/>
        </w:rPr>
        <w:t> </w:t>
      </w:r>
      <w:r>
        <w:rPr>
          <w:color w:val="105C84"/>
          <w:spacing w:val="-2"/>
        </w:rPr>
        <w:t>Percent</w:t>
      </w:r>
      <w:r>
        <w:rPr>
          <w:color w:val="105C84"/>
          <w:spacing w:val="-15"/>
        </w:rPr>
        <w:t> </w:t>
      </w:r>
      <w:r>
        <w:rPr>
          <w:color w:val="105C84"/>
          <w:spacing w:val="-2"/>
        </w:rPr>
        <w:t>of</w:t>
      </w:r>
      <w:r>
        <w:rPr>
          <w:color w:val="105C84"/>
          <w:spacing w:val="-15"/>
        </w:rPr>
        <w:t> </w:t>
      </w:r>
      <w:r>
        <w:rPr>
          <w:color w:val="105C84"/>
          <w:spacing w:val="-2"/>
        </w:rPr>
        <w:t>children</w:t>
      </w:r>
      <w:r>
        <w:rPr>
          <w:color w:val="105C84"/>
          <w:spacing w:val="-15"/>
        </w:rPr>
        <w:t> </w:t>
      </w:r>
      <w:r>
        <w:rPr>
          <w:color w:val="105C84"/>
          <w:spacing w:val="-2"/>
        </w:rPr>
        <w:t>who</w:t>
      </w:r>
      <w:r>
        <w:rPr>
          <w:color w:val="105C84"/>
          <w:spacing w:val="-15"/>
        </w:rPr>
        <w:t> </w:t>
      </w:r>
      <w:r>
        <w:rPr>
          <w:color w:val="105C84"/>
          <w:spacing w:val="-2"/>
        </w:rPr>
        <w:t>are</w:t>
      </w:r>
      <w:r>
        <w:rPr>
          <w:color w:val="105C84"/>
          <w:spacing w:val="-15"/>
        </w:rPr>
        <w:t> </w:t>
      </w:r>
      <w:r>
        <w:rPr>
          <w:color w:val="105C84"/>
          <w:spacing w:val="-2"/>
        </w:rPr>
        <w:t>obese</w:t>
      </w:r>
    </w:p>
    <w:p>
      <w:pPr>
        <w:pStyle w:val="BodyText"/>
        <w:spacing w:before="266"/>
        <w:rPr>
          <w:b/>
          <w:sz w:val="26"/>
        </w:rPr>
      </w:pPr>
    </w:p>
    <w:p>
      <w:pPr>
        <w:spacing w:before="0"/>
        <w:ind w:left="1479" w:right="0" w:firstLine="0"/>
        <w:jc w:val="left"/>
        <w:rPr>
          <w:sz w:val="18"/>
        </w:rPr>
      </w:pPr>
      <w:r>
        <w:rPr>
          <w:sz w:val="18"/>
        </w:rPr>
        <mc:AlternateContent>
          <mc:Choice Requires="wps">
            <w:drawing>
              <wp:anchor distT="0" distB="0" distL="0" distR="0" allowOverlap="1" layoutInCell="1" locked="0" behindDoc="0" simplePos="0" relativeHeight="15748096">
                <wp:simplePos x="0" y="0"/>
                <wp:positionH relativeFrom="page">
                  <wp:posOffset>9054180</wp:posOffset>
                </wp:positionH>
                <wp:positionV relativeFrom="paragraph">
                  <wp:posOffset>-6506</wp:posOffset>
                </wp:positionV>
                <wp:extent cx="5652135" cy="1851660"/>
                <wp:effectExtent l="0" t="0" r="0" b="0"/>
                <wp:wrapNone/>
                <wp:docPr id="195" name="Group 195"/>
                <wp:cNvGraphicFramePr>
                  <a:graphicFrameLocks/>
                </wp:cNvGraphicFramePr>
                <a:graphic>
                  <a:graphicData uri="http://schemas.microsoft.com/office/word/2010/wordprocessingGroup">
                    <wpg:wgp>
                      <wpg:cNvPr id="195" name="Group 195"/>
                      <wpg:cNvGrpSpPr/>
                      <wpg:grpSpPr>
                        <a:xfrm>
                          <a:off x="0" y="0"/>
                          <a:ext cx="5652135" cy="1851660"/>
                          <a:chExt cx="5652135" cy="1851660"/>
                        </a:xfrm>
                      </wpg:grpSpPr>
                      <wps:wsp>
                        <wps:cNvPr id="196" name="Graphic 196"/>
                        <wps:cNvSpPr/>
                        <wps:spPr>
                          <a:xfrm>
                            <a:off x="165448" y="775535"/>
                            <a:ext cx="5109845" cy="1069975"/>
                          </a:xfrm>
                          <a:custGeom>
                            <a:avLst/>
                            <a:gdLst/>
                            <a:ahLst/>
                            <a:cxnLst/>
                            <a:rect l="l" t="t" r="r" b="b"/>
                            <a:pathLst>
                              <a:path w="5109845" h="1069975">
                                <a:moveTo>
                                  <a:pt x="168910" y="0"/>
                                </a:moveTo>
                                <a:lnTo>
                                  <a:pt x="0" y="0"/>
                                </a:lnTo>
                                <a:lnTo>
                                  <a:pt x="0" y="1069784"/>
                                </a:lnTo>
                                <a:lnTo>
                                  <a:pt x="168910" y="1069784"/>
                                </a:lnTo>
                                <a:lnTo>
                                  <a:pt x="168910" y="0"/>
                                </a:lnTo>
                                <a:close/>
                              </a:path>
                              <a:path w="5109845" h="1069975">
                                <a:moveTo>
                                  <a:pt x="872718" y="140754"/>
                                </a:moveTo>
                                <a:lnTo>
                                  <a:pt x="717880" y="140754"/>
                                </a:lnTo>
                                <a:lnTo>
                                  <a:pt x="717880" y="1069784"/>
                                </a:lnTo>
                                <a:lnTo>
                                  <a:pt x="872718" y="1069784"/>
                                </a:lnTo>
                                <a:lnTo>
                                  <a:pt x="872718" y="140754"/>
                                </a:lnTo>
                                <a:close/>
                              </a:path>
                              <a:path w="5109845" h="1069975">
                                <a:moveTo>
                                  <a:pt x="1576527" y="84455"/>
                                </a:moveTo>
                                <a:lnTo>
                                  <a:pt x="1421688" y="84455"/>
                                </a:lnTo>
                                <a:lnTo>
                                  <a:pt x="1421688" y="1069797"/>
                                </a:lnTo>
                                <a:lnTo>
                                  <a:pt x="1576527" y="1069797"/>
                                </a:lnTo>
                                <a:lnTo>
                                  <a:pt x="1576527" y="84455"/>
                                </a:lnTo>
                                <a:close/>
                              </a:path>
                              <a:path w="5109845" h="1069975">
                                <a:moveTo>
                                  <a:pt x="2280335" y="28155"/>
                                </a:moveTo>
                                <a:lnTo>
                                  <a:pt x="2125497" y="28155"/>
                                </a:lnTo>
                                <a:lnTo>
                                  <a:pt x="2125497" y="1069797"/>
                                </a:lnTo>
                                <a:lnTo>
                                  <a:pt x="2280335" y="1069797"/>
                                </a:lnTo>
                                <a:lnTo>
                                  <a:pt x="2280335" y="28155"/>
                                </a:lnTo>
                                <a:close/>
                              </a:path>
                              <a:path w="5109845" h="1069975">
                                <a:moveTo>
                                  <a:pt x="2984144" y="42227"/>
                                </a:moveTo>
                                <a:lnTo>
                                  <a:pt x="2829318" y="42227"/>
                                </a:lnTo>
                                <a:lnTo>
                                  <a:pt x="2829318" y="1069784"/>
                                </a:lnTo>
                                <a:lnTo>
                                  <a:pt x="2984144" y="1069784"/>
                                </a:lnTo>
                                <a:lnTo>
                                  <a:pt x="2984144" y="42227"/>
                                </a:lnTo>
                                <a:close/>
                              </a:path>
                              <a:path w="5109845" h="1069975">
                                <a:moveTo>
                                  <a:pt x="3687953" y="140754"/>
                                </a:moveTo>
                                <a:lnTo>
                                  <a:pt x="3533127" y="140754"/>
                                </a:lnTo>
                                <a:lnTo>
                                  <a:pt x="3533127" y="1069784"/>
                                </a:lnTo>
                                <a:lnTo>
                                  <a:pt x="3687953" y="1069784"/>
                                </a:lnTo>
                                <a:lnTo>
                                  <a:pt x="3687953" y="140754"/>
                                </a:lnTo>
                                <a:close/>
                              </a:path>
                              <a:path w="5109845" h="1069975">
                                <a:moveTo>
                                  <a:pt x="4391761" y="14084"/>
                                </a:moveTo>
                                <a:lnTo>
                                  <a:pt x="4236936" y="14084"/>
                                </a:lnTo>
                                <a:lnTo>
                                  <a:pt x="4236936" y="1069797"/>
                                </a:lnTo>
                                <a:lnTo>
                                  <a:pt x="4391761" y="1069797"/>
                                </a:lnTo>
                                <a:lnTo>
                                  <a:pt x="4391761" y="14084"/>
                                </a:lnTo>
                                <a:close/>
                              </a:path>
                              <a:path w="5109845" h="1069975">
                                <a:moveTo>
                                  <a:pt x="5109654" y="70370"/>
                                </a:moveTo>
                                <a:lnTo>
                                  <a:pt x="4940744" y="70370"/>
                                </a:lnTo>
                                <a:lnTo>
                                  <a:pt x="4940744" y="1069784"/>
                                </a:lnTo>
                                <a:lnTo>
                                  <a:pt x="5109654" y="1069784"/>
                                </a:lnTo>
                                <a:lnTo>
                                  <a:pt x="5109654" y="70370"/>
                                </a:lnTo>
                                <a:close/>
                              </a:path>
                            </a:pathLst>
                          </a:custGeom>
                          <a:solidFill>
                            <a:srgbClr val="105C84"/>
                          </a:solidFill>
                        </wps:spPr>
                        <wps:bodyPr wrap="square" lIns="0" tIns="0" rIns="0" bIns="0" rtlCol="0">
                          <a:prstTxWarp prst="textNoShape">
                            <a:avLst/>
                          </a:prstTxWarp>
                          <a:noAutofit/>
                        </wps:bodyPr>
                      </wps:wsp>
                      <wps:wsp>
                        <wps:cNvPr id="197" name="Graphic 197"/>
                        <wps:cNvSpPr/>
                        <wps:spPr>
                          <a:xfrm>
                            <a:off x="376598" y="775535"/>
                            <a:ext cx="5095875" cy="1069975"/>
                          </a:xfrm>
                          <a:custGeom>
                            <a:avLst/>
                            <a:gdLst/>
                            <a:ahLst/>
                            <a:cxnLst/>
                            <a:rect l="l" t="t" r="r" b="b"/>
                            <a:pathLst>
                              <a:path w="5095875" h="1069975">
                                <a:moveTo>
                                  <a:pt x="154838" y="0"/>
                                </a:moveTo>
                                <a:lnTo>
                                  <a:pt x="0" y="0"/>
                                </a:lnTo>
                                <a:lnTo>
                                  <a:pt x="0" y="1069784"/>
                                </a:lnTo>
                                <a:lnTo>
                                  <a:pt x="154838" y="1069784"/>
                                </a:lnTo>
                                <a:lnTo>
                                  <a:pt x="154838" y="0"/>
                                </a:lnTo>
                                <a:close/>
                              </a:path>
                              <a:path w="5095875" h="1069975">
                                <a:moveTo>
                                  <a:pt x="858634" y="182981"/>
                                </a:moveTo>
                                <a:lnTo>
                                  <a:pt x="703795" y="182981"/>
                                </a:lnTo>
                                <a:lnTo>
                                  <a:pt x="703795" y="1069784"/>
                                </a:lnTo>
                                <a:lnTo>
                                  <a:pt x="858634" y="1069784"/>
                                </a:lnTo>
                                <a:lnTo>
                                  <a:pt x="858634" y="182981"/>
                                </a:lnTo>
                                <a:close/>
                              </a:path>
                              <a:path w="5095875" h="1069975">
                                <a:moveTo>
                                  <a:pt x="1562442" y="182981"/>
                                </a:moveTo>
                                <a:lnTo>
                                  <a:pt x="1407604" y="182981"/>
                                </a:lnTo>
                                <a:lnTo>
                                  <a:pt x="1407604" y="1069784"/>
                                </a:lnTo>
                                <a:lnTo>
                                  <a:pt x="1562442" y="1069784"/>
                                </a:lnTo>
                                <a:lnTo>
                                  <a:pt x="1562442" y="182981"/>
                                </a:lnTo>
                                <a:close/>
                              </a:path>
                              <a:path w="5095875" h="1069975">
                                <a:moveTo>
                                  <a:pt x="2266251" y="239293"/>
                                </a:moveTo>
                                <a:lnTo>
                                  <a:pt x="2111413" y="239293"/>
                                </a:lnTo>
                                <a:lnTo>
                                  <a:pt x="2111413" y="1069797"/>
                                </a:lnTo>
                                <a:lnTo>
                                  <a:pt x="2266251" y="1069797"/>
                                </a:lnTo>
                                <a:lnTo>
                                  <a:pt x="2266251" y="239293"/>
                                </a:lnTo>
                                <a:close/>
                              </a:path>
                              <a:path w="5095875" h="1069975">
                                <a:moveTo>
                                  <a:pt x="2970060" y="0"/>
                                </a:moveTo>
                                <a:lnTo>
                                  <a:pt x="2815221" y="0"/>
                                </a:lnTo>
                                <a:lnTo>
                                  <a:pt x="2815221" y="1069784"/>
                                </a:lnTo>
                                <a:lnTo>
                                  <a:pt x="2970060" y="1069784"/>
                                </a:lnTo>
                                <a:lnTo>
                                  <a:pt x="2970060" y="0"/>
                                </a:lnTo>
                                <a:close/>
                              </a:path>
                              <a:path w="5095875" h="1069975">
                                <a:moveTo>
                                  <a:pt x="3687953" y="126682"/>
                                </a:moveTo>
                                <a:lnTo>
                                  <a:pt x="3519030" y="126682"/>
                                </a:lnTo>
                                <a:lnTo>
                                  <a:pt x="3519030" y="1069797"/>
                                </a:lnTo>
                                <a:lnTo>
                                  <a:pt x="3687953" y="1069797"/>
                                </a:lnTo>
                                <a:lnTo>
                                  <a:pt x="3687953" y="126682"/>
                                </a:lnTo>
                                <a:close/>
                              </a:path>
                              <a:path w="5095875" h="1069975">
                                <a:moveTo>
                                  <a:pt x="4391761" y="70370"/>
                                </a:moveTo>
                                <a:lnTo>
                                  <a:pt x="4222839" y="70370"/>
                                </a:lnTo>
                                <a:lnTo>
                                  <a:pt x="4222839" y="1069784"/>
                                </a:lnTo>
                                <a:lnTo>
                                  <a:pt x="4391761" y="1069784"/>
                                </a:lnTo>
                                <a:lnTo>
                                  <a:pt x="4391761" y="70370"/>
                                </a:lnTo>
                                <a:close/>
                              </a:path>
                              <a:path w="5095875" h="1069975">
                                <a:moveTo>
                                  <a:pt x="5095570" y="0"/>
                                </a:moveTo>
                                <a:lnTo>
                                  <a:pt x="4940732" y="0"/>
                                </a:lnTo>
                                <a:lnTo>
                                  <a:pt x="4940732" y="1069784"/>
                                </a:lnTo>
                                <a:lnTo>
                                  <a:pt x="5095570" y="1069784"/>
                                </a:lnTo>
                                <a:lnTo>
                                  <a:pt x="5095570" y="0"/>
                                </a:lnTo>
                                <a:close/>
                              </a:path>
                            </a:pathLst>
                          </a:custGeom>
                          <a:solidFill>
                            <a:srgbClr val="82BF6A"/>
                          </a:solidFill>
                        </wps:spPr>
                        <wps:bodyPr wrap="square" lIns="0" tIns="0" rIns="0" bIns="0" rtlCol="0">
                          <a:prstTxWarp prst="textNoShape">
                            <a:avLst/>
                          </a:prstTxWarp>
                          <a:noAutofit/>
                        </wps:bodyPr>
                      </wps:wsp>
                      <wps:wsp>
                        <wps:cNvPr id="198" name="Graphic 198"/>
                        <wps:cNvSpPr/>
                        <wps:spPr>
                          <a:xfrm>
                            <a:off x="3568" y="32362"/>
                            <a:ext cx="5645150" cy="1815464"/>
                          </a:xfrm>
                          <a:custGeom>
                            <a:avLst/>
                            <a:gdLst/>
                            <a:ahLst/>
                            <a:cxnLst/>
                            <a:rect l="l" t="t" r="r" b="b"/>
                            <a:pathLst>
                              <a:path w="5645150" h="1815464">
                                <a:moveTo>
                                  <a:pt x="5644553" y="1815376"/>
                                </a:moveTo>
                                <a:lnTo>
                                  <a:pt x="0" y="1815376"/>
                                </a:lnTo>
                                <a:lnTo>
                                  <a:pt x="0" y="0"/>
                                </a:lnTo>
                              </a:path>
                            </a:pathLst>
                          </a:custGeom>
                          <a:ln w="7137">
                            <a:solidFill>
                              <a:srgbClr val="939598"/>
                            </a:solidFill>
                            <a:prstDash val="solid"/>
                          </a:ln>
                        </wps:spPr>
                        <wps:bodyPr wrap="square" lIns="0" tIns="0" rIns="0" bIns="0" rtlCol="0">
                          <a:prstTxWarp prst="textNoShape">
                            <a:avLst/>
                          </a:prstTxWarp>
                          <a:noAutofit/>
                        </wps:bodyPr>
                      </wps:wsp>
                      <wps:wsp>
                        <wps:cNvPr id="199" name="Graphic 199"/>
                        <wps:cNvSpPr/>
                        <wps:spPr>
                          <a:xfrm>
                            <a:off x="399648" y="26921"/>
                            <a:ext cx="78105" cy="79375"/>
                          </a:xfrm>
                          <a:custGeom>
                            <a:avLst/>
                            <a:gdLst/>
                            <a:ahLst/>
                            <a:cxnLst/>
                            <a:rect l="l" t="t" r="r" b="b"/>
                            <a:pathLst>
                              <a:path w="78105" h="79375">
                                <a:moveTo>
                                  <a:pt x="77647" y="0"/>
                                </a:moveTo>
                                <a:lnTo>
                                  <a:pt x="0" y="0"/>
                                </a:lnTo>
                                <a:lnTo>
                                  <a:pt x="0" y="78930"/>
                                </a:lnTo>
                                <a:lnTo>
                                  <a:pt x="77647" y="78930"/>
                                </a:lnTo>
                                <a:lnTo>
                                  <a:pt x="77647" y="0"/>
                                </a:lnTo>
                                <a:close/>
                              </a:path>
                            </a:pathLst>
                          </a:custGeom>
                          <a:solidFill>
                            <a:srgbClr val="0F5D86"/>
                          </a:solidFill>
                        </wps:spPr>
                        <wps:bodyPr wrap="square" lIns="0" tIns="0" rIns="0" bIns="0" rtlCol="0">
                          <a:prstTxWarp prst="textNoShape">
                            <a:avLst/>
                          </a:prstTxWarp>
                          <a:noAutofit/>
                        </wps:bodyPr>
                      </wps:wsp>
                      <wps:wsp>
                        <wps:cNvPr id="200" name="Graphic 200"/>
                        <wps:cNvSpPr/>
                        <wps:spPr>
                          <a:xfrm>
                            <a:off x="1183200" y="26921"/>
                            <a:ext cx="79375" cy="79375"/>
                          </a:xfrm>
                          <a:custGeom>
                            <a:avLst/>
                            <a:gdLst/>
                            <a:ahLst/>
                            <a:cxnLst/>
                            <a:rect l="l" t="t" r="r" b="b"/>
                            <a:pathLst>
                              <a:path w="79375" h="79375">
                                <a:moveTo>
                                  <a:pt x="78917" y="0"/>
                                </a:moveTo>
                                <a:lnTo>
                                  <a:pt x="0" y="0"/>
                                </a:lnTo>
                                <a:lnTo>
                                  <a:pt x="0" y="78930"/>
                                </a:lnTo>
                                <a:lnTo>
                                  <a:pt x="78917" y="78930"/>
                                </a:lnTo>
                                <a:lnTo>
                                  <a:pt x="78917" y="0"/>
                                </a:lnTo>
                                <a:close/>
                              </a:path>
                            </a:pathLst>
                          </a:custGeom>
                          <a:solidFill>
                            <a:srgbClr val="82BF6A"/>
                          </a:solidFill>
                        </wps:spPr>
                        <wps:bodyPr wrap="square" lIns="0" tIns="0" rIns="0" bIns="0" rtlCol="0">
                          <a:prstTxWarp prst="textNoShape">
                            <a:avLst/>
                          </a:prstTxWarp>
                          <a:noAutofit/>
                        </wps:bodyPr>
                      </wps:wsp>
                      <wps:wsp>
                        <wps:cNvPr id="201" name="Textbox 201"/>
                        <wps:cNvSpPr txBox="1"/>
                        <wps:spPr>
                          <a:xfrm>
                            <a:off x="522646" y="0"/>
                            <a:ext cx="469265" cy="139065"/>
                          </a:xfrm>
                          <a:prstGeom prst="rect">
                            <a:avLst/>
                          </a:prstGeom>
                        </wps:spPr>
                        <wps:txbx>
                          <w:txbxContent>
                            <w:p>
                              <w:pPr>
                                <w:spacing w:before="10"/>
                                <w:ind w:left="0" w:right="0" w:firstLine="0"/>
                                <w:jc w:val="left"/>
                                <w:rPr>
                                  <w:sz w:val="16"/>
                                </w:rPr>
                              </w:pPr>
                              <w:r>
                                <w:rPr>
                                  <w:color w:val="105C84"/>
                                  <w:w w:val="90"/>
                                  <w:sz w:val="16"/>
                                </w:rPr>
                                <w:t>2010-</w:t>
                              </w:r>
                              <w:r>
                                <w:rPr>
                                  <w:color w:val="105C84"/>
                                  <w:spacing w:val="-4"/>
                                  <w:sz w:val="16"/>
                                </w:rPr>
                                <w:t>2012</w:t>
                              </w:r>
                            </w:p>
                          </w:txbxContent>
                        </wps:txbx>
                        <wps:bodyPr wrap="square" lIns="0" tIns="0" rIns="0" bIns="0" rtlCol="0">
                          <a:noAutofit/>
                        </wps:bodyPr>
                      </wps:wsp>
                      <wps:wsp>
                        <wps:cNvPr id="202" name="Textbox 202"/>
                        <wps:cNvSpPr txBox="1"/>
                        <wps:spPr>
                          <a:xfrm>
                            <a:off x="1307264" y="0"/>
                            <a:ext cx="469265" cy="139065"/>
                          </a:xfrm>
                          <a:prstGeom prst="rect">
                            <a:avLst/>
                          </a:prstGeom>
                        </wps:spPr>
                        <wps:txbx>
                          <w:txbxContent>
                            <w:p>
                              <w:pPr>
                                <w:spacing w:before="10"/>
                                <w:ind w:left="0" w:right="0" w:firstLine="0"/>
                                <w:jc w:val="left"/>
                                <w:rPr>
                                  <w:sz w:val="16"/>
                                </w:rPr>
                              </w:pPr>
                              <w:r>
                                <w:rPr>
                                  <w:color w:val="105C84"/>
                                  <w:w w:val="90"/>
                                  <w:sz w:val="16"/>
                                </w:rPr>
                                <w:t>2016-</w:t>
                              </w:r>
                              <w:r>
                                <w:rPr>
                                  <w:color w:val="105C84"/>
                                  <w:spacing w:val="-4"/>
                                  <w:sz w:val="16"/>
                                </w:rPr>
                                <w:t>2018</w:t>
                              </w:r>
                            </w:p>
                          </w:txbxContent>
                        </wps:txbx>
                        <wps:bodyPr wrap="square" lIns="0" tIns="0" rIns="0" bIns="0" rtlCol="0">
                          <a:noAutofit/>
                        </wps:bodyPr>
                      </wps:wsp>
                    </wpg:wgp>
                  </a:graphicData>
                </a:graphic>
              </wp:anchor>
            </w:drawing>
          </mc:Choice>
          <mc:Fallback>
            <w:pict>
              <v:group style="position:absolute;margin-left:712.927612pt;margin-top:-.512308pt;width:445.05pt;height:145.8pt;mso-position-horizontal-relative:page;mso-position-vertical-relative:paragraph;z-index:15748096" id="docshapegroup160" coordorigin="14259,-10" coordsize="8901,2916">
                <v:shape style="position:absolute;left:14519;top:1211;width:8047;height:1685" id="docshape161" coordorigin="14519,1211" coordsize="8047,1685" path="m14785,1211l14519,1211,14519,2896,14785,2896,14785,1211xm15893,1433l15650,1433,15650,2896,15893,2896,15893,1433xm17002,1344l16758,1344,16758,2896,17002,2896,17002,1344xm18110,1255l17866,1255,17866,2896,18110,2896,18110,1255xm19219,1278l18975,1278,18975,2896,19219,2896,19219,1278xm20327,1433l20083,1433,20083,2896,20327,2896,20327,1433xm21435,1233l21191,1233,21191,2896,21435,2896,21435,1233xm22566,1322l22300,1322,22300,2896,22566,2896,22566,1322xe" filled="true" fillcolor="#105c84" stroked="false">
                  <v:path arrowok="t"/>
                  <v:fill type="solid"/>
                </v:shape>
                <v:shape style="position:absolute;left:14851;top:1211;width:8025;height:1685" id="docshape162" coordorigin="14852,1211" coordsize="8025,1685" path="m15095,1211l14852,1211,14852,2896,15095,2896,15095,1211xm16204,1499l15960,1499,15960,2896,16204,2896,16204,1499xm17312,1499l17068,1499,17068,2896,17312,2896,17312,1499xm18421,1588l18177,1588,18177,2896,18421,2896,18421,1588xm19529,1211l19285,1211,19285,2896,19529,2896,19529,1211xm20659,1411l20393,1411,20393,2896,20659,2896,20659,1411xm21768,1322l21502,1322,21502,2896,21768,2896,21768,1322xm22876,1211l22632,1211,22632,2896,22876,2896,22876,1211xe" filled="true" fillcolor="#82bf6a" stroked="false">
                  <v:path arrowok="t"/>
                  <v:fill type="solid"/>
                </v:shape>
                <v:shape style="position:absolute;left:14264;top:40;width:8890;height:2859" id="docshape163" coordorigin="14264,41" coordsize="8890,2859" path="m23153,2900l14264,2900,14264,41e" filled="false" stroked="true" strokeweight=".562pt" strokecolor="#939598">
                  <v:path arrowok="t"/>
                  <v:stroke dashstyle="solid"/>
                </v:shape>
                <v:rect style="position:absolute;left:14887;top:32;width:123;height:125" id="docshape164" filled="true" fillcolor="#0f5d86" stroked="false">
                  <v:fill type="solid"/>
                </v:rect>
                <v:rect style="position:absolute;left:16121;top:32;width:125;height:125" id="docshape165" filled="true" fillcolor="#82bf6a" stroked="false">
                  <v:fill type="solid"/>
                </v:rect>
                <v:shape style="position:absolute;left:15081;top:-11;width:739;height:219" type="#_x0000_t202" id="docshape166" filled="false" stroked="false">
                  <v:textbox inset="0,0,0,0">
                    <w:txbxContent>
                      <w:p>
                        <w:pPr>
                          <w:spacing w:before="10"/>
                          <w:ind w:left="0" w:right="0" w:firstLine="0"/>
                          <w:jc w:val="left"/>
                          <w:rPr>
                            <w:sz w:val="16"/>
                          </w:rPr>
                        </w:pPr>
                        <w:r>
                          <w:rPr>
                            <w:color w:val="105C84"/>
                            <w:w w:val="90"/>
                            <w:sz w:val="16"/>
                          </w:rPr>
                          <w:t>2010-</w:t>
                        </w:r>
                        <w:r>
                          <w:rPr>
                            <w:color w:val="105C84"/>
                            <w:spacing w:val="-4"/>
                            <w:sz w:val="16"/>
                          </w:rPr>
                          <w:t>2012</w:t>
                        </w:r>
                      </w:p>
                    </w:txbxContent>
                  </v:textbox>
                  <w10:wrap type="none"/>
                </v:shape>
                <v:shape style="position:absolute;left:16317;top:-11;width:739;height:219" type="#_x0000_t202" id="docshape167" filled="false" stroked="false">
                  <v:textbox inset="0,0,0,0">
                    <w:txbxContent>
                      <w:p>
                        <w:pPr>
                          <w:spacing w:before="10"/>
                          <w:ind w:left="0" w:right="0" w:firstLine="0"/>
                          <w:jc w:val="left"/>
                          <w:rPr>
                            <w:sz w:val="16"/>
                          </w:rPr>
                        </w:pPr>
                        <w:r>
                          <w:rPr>
                            <w:color w:val="105C84"/>
                            <w:w w:val="90"/>
                            <w:sz w:val="16"/>
                          </w:rPr>
                          <w:t>2016-</w:t>
                        </w:r>
                        <w:r>
                          <w:rPr>
                            <w:color w:val="105C84"/>
                            <w:spacing w:val="-4"/>
                            <w:sz w:val="16"/>
                          </w:rPr>
                          <w:t>2018</w:t>
                        </w:r>
                      </w:p>
                    </w:txbxContent>
                  </v:textbox>
                  <w10:wrap type="none"/>
                </v:shape>
                <w10:wrap type="none"/>
              </v:group>
            </w:pict>
          </mc:Fallback>
        </mc:AlternateContent>
      </w:r>
      <w:r>
        <w:rPr>
          <w:color w:val="636466"/>
          <w:spacing w:val="-5"/>
          <w:sz w:val="18"/>
        </w:rPr>
        <w:t>30%</w:t>
      </w:r>
    </w:p>
    <w:p>
      <w:pPr>
        <w:pStyle w:val="BodyText"/>
        <w:spacing w:before="52"/>
        <w:rPr>
          <w:sz w:val="18"/>
        </w:rPr>
      </w:pPr>
    </w:p>
    <w:p>
      <w:pPr>
        <w:spacing w:before="0"/>
        <w:ind w:left="1479" w:right="0" w:firstLine="0"/>
        <w:jc w:val="left"/>
        <w:rPr>
          <w:sz w:val="18"/>
        </w:rPr>
      </w:pPr>
      <w:r>
        <w:rPr>
          <w:sz w:val="18"/>
        </w:rPr>
        <mc:AlternateContent>
          <mc:Choice Requires="wps">
            <w:drawing>
              <wp:anchor distT="0" distB="0" distL="0" distR="0" allowOverlap="1" layoutInCell="1" locked="0" behindDoc="0" simplePos="0" relativeHeight="15749120">
                <wp:simplePos x="0" y="0"/>
                <wp:positionH relativeFrom="page">
                  <wp:posOffset>8466216</wp:posOffset>
                </wp:positionH>
                <wp:positionV relativeFrom="paragraph">
                  <wp:posOffset>187518</wp:posOffset>
                </wp:positionV>
                <wp:extent cx="164465" cy="899160"/>
                <wp:effectExtent l="0" t="0" r="0" b="0"/>
                <wp:wrapNone/>
                <wp:docPr id="203" name="Textbox 203"/>
                <wp:cNvGraphicFramePr>
                  <a:graphicFrameLocks/>
                </wp:cNvGraphicFramePr>
                <a:graphic>
                  <a:graphicData uri="http://schemas.microsoft.com/office/word/2010/wordprocessingShape">
                    <wps:wsp>
                      <wps:cNvPr id="203" name="Textbox 203"/>
                      <wps:cNvSpPr txBox="1"/>
                      <wps:spPr>
                        <a:xfrm>
                          <a:off x="0" y="0"/>
                          <a:ext cx="164465" cy="899160"/>
                        </a:xfrm>
                        <a:prstGeom prst="rect">
                          <a:avLst/>
                        </a:prstGeom>
                      </wps:spPr>
                      <wps:txbx>
                        <w:txbxContent>
                          <w:p>
                            <w:pPr>
                              <w:spacing w:before="30"/>
                              <w:ind w:left="20" w:right="0" w:firstLine="0"/>
                              <w:jc w:val="left"/>
                              <w:rPr>
                                <w:sz w:val="16"/>
                              </w:rPr>
                            </w:pPr>
                            <w:r>
                              <w:rPr>
                                <w:color w:val="105C84"/>
                                <w:sz w:val="16"/>
                              </w:rPr>
                              <w:t>Percent</w:t>
                            </w:r>
                            <w:r>
                              <w:rPr>
                                <w:color w:val="105C84"/>
                                <w:spacing w:val="-5"/>
                                <w:sz w:val="16"/>
                              </w:rPr>
                              <w:t> </w:t>
                            </w:r>
                            <w:r>
                              <w:rPr>
                                <w:color w:val="105C84"/>
                                <w:sz w:val="16"/>
                              </w:rPr>
                              <w:t>of</w:t>
                            </w:r>
                            <w:r>
                              <w:rPr>
                                <w:color w:val="105C84"/>
                                <w:spacing w:val="-5"/>
                                <w:sz w:val="16"/>
                              </w:rPr>
                              <w:t> </w:t>
                            </w:r>
                            <w:r>
                              <w:rPr>
                                <w:color w:val="105C84"/>
                                <w:spacing w:val="-2"/>
                                <w:sz w:val="16"/>
                              </w:rPr>
                              <w:t>Children</w:t>
                            </w:r>
                          </w:p>
                        </w:txbxContent>
                      </wps:txbx>
                      <wps:bodyPr wrap="square" lIns="0" tIns="0" rIns="0" bIns="0" rtlCol="0" vert="vert270">
                        <a:noAutofit/>
                      </wps:bodyPr>
                    </wps:wsp>
                  </a:graphicData>
                </a:graphic>
              </wp:anchor>
            </w:drawing>
          </mc:Choice>
          <mc:Fallback>
            <w:pict>
              <v:shape style="position:absolute;margin-left:666.631226pt;margin-top:14.765246pt;width:12.95pt;height:70.8pt;mso-position-horizontal-relative:page;mso-position-vertical-relative:paragraph;z-index:15749120" type="#_x0000_t202" id="docshape168" filled="false" stroked="false">
                <v:textbox inset="0,0,0,0" style="layout-flow:vertical;mso-layout-flow-alt:bottom-to-top">
                  <w:txbxContent>
                    <w:p>
                      <w:pPr>
                        <w:spacing w:before="30"/>
                        <w:ind w:left="20" w:right="0" w:firstLine="0"/>
                        <w:jc w:val="left"/>
                        <w:rPr>
                          <w:sz w:val="16"/>
                        </w:rPr>
                      </w:pPr>
                      <w:r>
                        <w:rPr>
                          <w:color w:val="105C84"/>
                          <w:sz w:val="16"/>
                        </w:rPr>
                        <w:t>Percent</w:t>
                      </w:r>
                      <w:r>
                        <w:rPr>
                          <w:color w:val="105C84"/>
                          <w:spacing w:val="-5"/>
                          <w:sz w:val="16"/>
                        </w:rPr>
                        <w:t> </w:t>
                      </w:r>
                      <w:r>
                        <w:rPr>
                          <w:color w:val="105C84"/>
                          <w:sz w:val="16"/>
                        </w:rPr>
                        <w:t>of</w:t>
                      </w:r>
                      <w:r>
                        <w:rPr>
                          <w:color w:val="105C84"/>
                          <w:spacing w:val="-5"/>
                          <w:sz w:val="16"/>
                        </w:rPr>
                        <w:t> </w:t>
                      </w:r>
                      <w:r>
                        <w:rPr>
                          <w:color w:val="105C84"/>
                          <w:spacing w:val="-2"/>
                          <w:sz w:val="16"/>
                        </w:rPr>
                        <w:t>Children</w:t>
                      </w:r>
                    </w:p>
                  </w:txbxContent>
                </v:textbox>
                <w10:wrap type="none"/>
              </v:shape>
            </w:pict>
          </mc:Fallback>
        </mc:AlternateContent>
      </w:r>
      <w:r>
        <w:rPr>
          <w:color w:val="636466"/>
          <w:spacing w:val="-5"/>
          <w:sz w:val="18"/>
        </w:rPr>
        <w:t>25%</w:t>
      </w:r>
    </w:p>
    <w:p>
      <w:pPr>
        <w:pStyle w:val="BodyText"/>
        <w:spacing w:before="29"/>
        <w:rPr>
          <w:sz w:val="18"/>
        </w:rPr>
      </w:pPr>
    </w:p>
    <w:p>
      <w:pPr>
        <w:spacing w:before="0"/>
        <w:ind w:left="1479" w:right="0" w:firstLine="0"/>
        <w:jc w:val="left"/>
        <w:rPr>
          <w:sz w:val="18"/>
        </w:rPr>
      </w:pPr>
      <w:r>
        <w:rPr>
          <w:color w:val="636466"/>
          <w:spacing w:val="-5"/>
          <w:sz w:val="18"/>
        </w:rPr>
        <w:t>20%</w:t>
      </w:r>
    </w:p>
    <w:p>
      <w:pPr>
        <w:pStyle w:val="BodyText"/>
        <w:spacing w:before="51"/>
        <w:rPr>
          <w:sz w:val="18"/>
        </w:rPr>
      </w:pPr>
    </w:p>
    <w:p>
      <w:pPr>
        <w:spacing w:before="1"/>
        <w:ind w:left="1479" w:right="0" w:firstLine="0"/>
        <w:jc w:val="left"/>
        <w:rPr>
          <w:sz w:val="18"/>
        </w:rPr>
      </w:pPr>
      <w:r>
        <w:rPr>
          <w:color w:val="636466"/>
          <w:spacing w:val="-5"/>
          <w:sz w:val="18"/>
        </w:rPr>
        <w:t>15%</w:t>
      </w:r>
    </w:p>
    <w:p>
      <w:pPr>
        <w:pStyle w:val="BodyText"/>
        <w:spacing w:before="51"/>
        <w:rPr>
          <w:sz w:val="18"/>
        </w:rPr>
      </w:pPr>
    </w:p>
    <w:p>
      <w:pPr>
        <w:spacing w:before="0"/>
        <w:ind w:left="1479" w:right="0" w:firstLine="0"/>
        <w:jc w:val="left"/>
        <w:rPr>
          <w:sz w:val="18"/>
        </w:rPr>
      </w:pPr>
      <w:r>
        <w:rPr>
          <w:color w:val="636466"/>
          <w:spacing w:val="-5"/>
          <w:sz w:val="18"/>
        </w:rPr>
        <w:t>10%</w:t>
      </w:r>
    </w:p>
    <w:p>
      <w:pPr>
        <w:pStyle w:val="BodyText"/>
        <w:spacing w:before="52"/>
        <w:rPr>
          <w:sz w:val="18"/>
        </w:rPr>
      </w:pPr>
    </w:p>
    <w:p>
      <w:pPr>
        <w:spacing w:before="0"/>
        <w:ind w:left="1591" w:right="0" w:firstLine="0"/>
        <w:jc w:val="left"/>
        <w:rPr>
          <w:sz w:val="18"/>
        </w:rPr>
      </w:pPr>
      <w:r>
        <w:rPr>
          <w:color w:val="636466"/>
          <w:spacing w:val="-5"/>
          <w:sz w:val="18"/>
        </w:rPr>
        <w:t>5%</w:t>
      </w:r>
    </w:p>
    <w:p>
      <w:pPr>
        <w:pStyle w:val="BodyText"/>
        <w:spacing w:before="51"/>
        <w:rPr>
          <w:sz w:val="18"/>
        </w:rPr>
      </w:pPr>
    </w:p>
    <w:p>
      <w:pPr>
        <w:spacing w:before="0"/>
        <w:ind w:left="1591" w:right="0" w:firstLine="0"/>
        <w:jc w:val="left"/>
        <w:rPr>
          <w:sz w:val="18"/>
        </w:rPr>
      </w:pPr>
      <w:r>
        <w:rPr>
          <w:color w:val="636466"/>
          <w:spacing w:val="-5"/>
          <w:sz w:val="18"/>
        </w:rPr>
        <w:t>0%</w:t>
      </w:r>
    </w:p>
    <w:p>
      <w:pPr>
        <w:tabs>
          <w:tab w:pos="3215" w:val="left" w:leader="none"/>
          <w:tab w:pos="4449" w:val="left" w:leader="none"/>
          <w:tab w:pos="5504" w:val="left" w:leader="none"/>
          <w:tab w:pos="6680" w:val="left" w:leader="none"/>
          <w:tab w:pos="7744" w:val="left" w:leader="none"/>
          <w:tab w:pos="8921" w:val="left" w:leader="none"/>
          <w:tab w:pos="10093" w:val="left" w:leader="none"/>
        </w:tabs>
        <w:spacing w:before="37"/>
        <w:ind w:left="2133" w:right="0" w:firstLine="0"/>
        <w:jc w:val="left"/>
        <w:rPr>
          <w:sz w:val="18"/>
        </w:rPr>
      </w:pPr>
      <w:r>
        <w:rPr>
          <w:color w:val="636466"/>
          <w:spacing w:val="-2"/>
          <w:sz w:val="18"/>
        </w:rPr>
        <w:t>Chemung</w:t>
      </w:r>
      <w:r>
        <w:rPr>
          <w:color w:val="636466"/>
          <w:sz w:val="18"/>
        </w:rPr>
        <w:tab/>
      </w:r>
      <w:r>
        <w:rPr>
          <w:color w:val="636466"/>
          <w:spacing w:val="-2"/>
          <w:sz w:val="18"/>
        </w:rPr>
        <w:t>Livingston</w:t>
      </w:r>
      <w:r>
        <w:rPr>
          <w:color w:val="636466"/>
          <w:sz w:val="18"/>
        </w:rPr>
        <w:tab/>
      </w:r>
      <w:r>
        <w:rPr>
          <w:color w:val="636466"/>
          <w:spacing w:val="-2"/>
          <w:sz w:val="18"/>
        </w:rPr>
        <w:t>Ontario</w:t>
      </w:r>
      <w:r>
        <w:rPr>
          <w:color w:val="636466"/>
          <w:sz w:val="18"/>
        </w:rPr>
        <w:tab/>
      </w:r>
      <w:r>
        <w:rPr>
          <w:color w:val="636466"/>
          <w:spacing w:val="-2"/>
          <w:sz w:val="18"/>
        </w:rPr>
        <w:t>Schuyler</w:t>
      </w:r>
      <w:r>
        <w:rPr>
          <w:color w:val="636466"/>
          <w:sz w:val="18"/>
        </w:rPr>
        <w:tab/>
      </w:r>
      <w:r>
        <w:rPr>
          <w:color w:val="636466"/>
          <w:spacing w:val="-2"/>
          <w:sz w:val="18"/>
        </w:rPr>
        <w:t>Seneca</w:t>
      </w:r>
      <w:r>
        <w:rPr>
          <w:color w:val="636466"/>
          <w:sz w:val="18"/>
        </w:rPr>
        <w:tab/>
      </w:r>
      <w:r>
        <w:rPr>
          <w:color w:val="636466"/>
          <w:spacing w:val="-2"/>
          <w:sz w:val="18"/>
        </w:rPr>
        <w:t>Steuben</w:t>
      </w:r>
      <w:r>
        <w:rPr>
          <w:color w:val="636466"/>
          <w:sz w:val="18"/>
        </w:rPr>
        <w:tab/>
      </w:r>
      <w:r>
        <w:rPr>
          <w:color w:val="636466"/>
          <w:spacing w:val="-2"/>
          <w:sz w:val="18"/>
        </w:rPr>
        <w:t>Wayne</w:t>
      </w:r>
      <w:r>
        <w:rPr>
          <w:color w:val="636466"/>
          <w:sz w:val="18"/>
        </w:rPr>
        <w:tab/>
      </w:r>
      <w:r>
        <w:rPr>
          <w:color w:val="636466"/>
          <w:spacing w:val="-2"/>
          <w:sz w:val="18"/>
        </w:rPr>
        <w:t>Yates</w:t>
      </w:r>
    </w:p>
    <w:p>
      <w:pPr>
        <w:pStyle w:val="BodyText"/>
        <w:spacing w:before="9"/>
        <w:rPr>
          <w:sz w:val="18"/>
        </w:rPr>
      </w:pPr>
    </w:p>
    <w:p>
      <w:pPr>
        <w:spacing w:before="0"/>
        <w:ind w:left="2136" w:right="0" w:firstLine="0"/>
        <w:jc w:val="left"/>
        <w:rPr>
          <w:sz w:val="16"/>
        </w:rPr>
      </w:pPr>
      <w:r>
        <w:rPr>
          <w:color w:val="105C84"/>
          <w:sz w:val="16"/>
        </w:rPr>
        <w:t>Source:</w:t>
      </w:r>
      <w:r>
        <w:rPr>
          <w:color w:val="105C84"/>
          <w:spacing w:val="-11"/>
          <w:sz w:val="16"/>
        </w:rPr>
        <w:t> </w:t>
      </w:r>
      <w:r>
        <w:rPr>
          <w:color w:val="105C84"/>
          <w:sz w:val="16"/>
        </w:rPr>
        <w:t>New</w:t>
      </w:r>
      <w:r>
        <w:rPr>
          <w:color w:val="105C84"/>
          <w:spacing w:val="-11"/>
          <w:sz w:val="16"/>
        </w:rPr>
        <w:t> </w:t>
      </w:r>
      <w:r>
        <w:rPr>
          <w:color w:val="105C84"/>
          <w:sz w:val="16"/>
        </w:rPr>
        <w:t>York</w:t>
      </w:r>
      <w:r>
        <w:rPr>
          <w:color w:val="105C84"/>
          <w:spacing w:val="-10"/>
          <w:sz w:val="16"/>
        </w:rPr>
        <w:t> </w:t>
      </w:r>
      <w:r>
        <w:rPr>
          <w:color w:val="105C84"/>
          <w:sz w:val="16"/>
        </w:rPr>
        <w:t>State</w:t>
      </w:r>
      <w:r>
        <w:rPr>
          <w:color w:val="105C84"/>
          <w:spacing w:val="-11"/>
          <w:sz w:val="16"/>
        </w:rPr>
        <w:t> </w:t>
      </w:r>
      <w:r>
        <w:rPr>
          <w:color w:val="105C84"/>
          <w:sz w:val="16"/>
        </w:rPr>
        <w:t>Student</w:t>
      </w:r>
      <w:r>
        <w:rPr>
          <w:color w:val="105C84"/>
          <w:spacing w:val="-10"/>
          <w:sz w:val="16"/>
        </w:rPr>
        <w:t> </w:t>
      </w:r>
      <w:r>
        <w:rPr>
          <w:color w:val="105C84"/>
          <w:sz w:val="16"/>
        </w:rPr>
        <w:t>Weight</w:t>
      </w:r>
      <w:r>
        <w:rPr>
          <w:color w:val="105C84"/>
          <w:spacing w:val="-11"/>
          <w:sz w:val="16"/>
        </w:rPr>
        <w:t> </w:t>
      </w:r>
      <w:r>
        <w:rPr>
          <w:color w:val="105C84"/>
          <w:sz w:val="16"/>
        </w:rPr>
        <w:t>Status</w:t>
      </w:r>
      <w:r>
        <w:rPr>
          <w:color w:val="105C84"/>
          <w:spacing w:val="-11"/>
          <w:sz w:val="16"/>
        </w:rPr>
        <w:t> </w:t>
      </w:r>
      <w:r>
        <w:rPr>
          <w:color w:val="105C84"/>
          <w:spacing w:val="-2"/>
          <w:sz w:val="16"/>
        </w:rPr>
        <w:t>Category</w:t>
      </w:r>
    </w:p>
    <w:p>
      <w:pPr>
        <w:pStyle w:val="BodyText"/>
        <w:spacing w:before="158"/>
        <w:rPr>
          <w:sz w:val="16"/>
        </w:rPr>
      </w:pPr>
    </w:p>
    <w:p>
      <w:pPr>
        <w:pStyle w:val="BodyText"/>
        <w:spacing w:line="247" w:lineRule="auto"/>
        <w:ind w:left="1080" w:right="596"/>
        <w:jc w:val="both"/>
      </w:pPr>
      <w:r>
        <w:rPr>
          <w:color w:val="105C84"/>
        </w:rPr>
        <w:t>Obesity disproportionately affects specific populations. Both the low-income population and those living with a disability have higher rates of obesity than the general population, as shown in Table 2 </w:t>
      </w:r>
      <w:r>
        <w:rPr>
          <w:color w:val="105C84"/>
          <w:spacing w:val="-2"/>
        </w:rPr>
        <w:t>below.</w:t>
      </w:r>
    </w:p>
    <w:p>
      <w:pPr>
        <w:pStyle w:val="BodyText"/>
        <w:spacing w:before="17"/>
      </w:pPr>
    </w:p>
    <w:p>
      <w:pPr>
        <w:pStyle w:val="Heading6"/>
        <w:spacing w:before="1"/>
        <w:jc w:val="both"/>
      </w:pPr>
      <w:r>
        <w:rPr>
          <w:color w:val="105C84"/>
          <w:spacing w:val="-4"/>
        </w:rPr>
        <w:t>TABLE</w:t>
      </w:r>
      <w:r>
        <w:rPr>
          <w:color w:val="105C84"/>
          <w:spacing w:val="-8"/>
        </w:rPr>
        <w:t> </w:t>
      </w:r>
      <w:r>
        <w:rPr>
          <w:color w:val="105C84"/>
          <w:spacing w:val="-4"/>
        </w:rPr>
        <w:t>2:</w:t>
      </w:r>
      <w:r>
        <w:rPr>
          <w:color w:val="105C84"/>
          <w:spacing w:val="-7"/>
        </w:rPr>
        <w:t> </w:t>
      </w:r>
      <w:r>
        <w:rPr>
          <w:color w:val="105C84"/>
          <w:spacing w:val="-4"/>
        </w:rPr>
        <w:t>Obesity</w:t>
      </w:r>
      <w:r>
        <w:rPr>
          <w:color w:val="105C84"/>
          <w:spacing w:val="-8"/>
        </w:rPr>
        <w:t> </w:t>
      </w:r>
      <w:r>
        <w:rPr>
          <w:color w:val="105C84"/>
          <w:spacing w:val="-4"/>
        </w:rPr>
        <w:t>rates</w:t>
      </w:r>
      <w:r>
        <w:rPr>
          <w:color w:val="105C84"/>
          <w:spacing w:val="-7"/>
        </w:rPr>
        <w:t> </w:t>
      </w:r>
      <w:r>
        <w:rPr>
          <w:color w:val="105C84"/>
          <w:spacing w:val="-4"/>
        </w:rPr>
        <w:t>among</w:t>
      </w:r>
      <w:r>
        <w:rPr>
          <w:color w:val="105C84"/>
          <w:spacing w:val="-8"/>
        </w:rPr>
        <w:t> </w:t>
      </w:r>
      <w:r>
        <w:rPr>
          <w:color w:val="105C84"/>
          <w:spacing w:val="-4"/>
        </w:rPr>
        <w:t>low</w:t>
      </w:r>
      <w:r>
        <w:rPr>
          <w:color w:val="105C84"/>
          <w:spacing w:val="-7"/>
        </w:rPr>
        <w:t> </w:t>
      </w:r>
      <w:r>
        <w:rPr>
          <w:color w:val="105C84"/>
          <w:spacing w:val="-4"/>
        </w:rPr>
        <w:t>income</w:t>
      </w:r>
      <w:r>
        <w:rPr>
          <w:color w:val="105C84"/>
          <w:spacing w:val="-8"/>
        </w:rPr>
        <w:t> </w:t>
      </w:r>
      <w:r>
        <w:rPr>
          <w:color w:val="105C84"/>
          <w:spacing w:val="-4"/>
        </w:rPr>
        <w:t>and</w:t>
      </w:r>
      <w:r>
        <w:rPr>
          <w:color w:val="105C84"/>
          <w:spacing w:val="-7"/>
        </w:rPr>
        <w:t> </w:t>
      </w:r>
      <w:r>
        <w:rPr>
          <w:color w:val="105C84"/>
          <w:spacing w:val="-4"/>
        </w:rPr>
        <w:t>those</w:t>
      </w:r>
      <w:r>
        <w:rPr>
          <w:color w:val="105C84"/>
          <w:spacing w:val="-8"/>
        </w:rPr>
        <w:t> </w:t>
      </w:r>
      <w:r>
        <w:rPr>
          <w:color w:val="105C84"/>
          <w:spacing w:val="-4"/>
        </w:rPr>
        <w:t>living</w:t>
      </w:r>
      <w:r>
        <w:rPr>
          <w:color w:val="105C84"/>
          <w:spacing w:val="-7"/>
        </w:rPr>
        <w:t> </w:t>
      </w:r>
      <w:r>
        <w:rPr>
          <w:color w:val="105C84"/>
          <w:spacing w:val="-4"/>
        </w:rPr>
        <w:t>with</w:t>
      </w:r>
      <w:r>
        <w:rPr>
          <w:color w:val="105C84"/>
          <w:spacing w:val="-7"/>
        </w:rPr>
        <w:t> </w:t>
      </w:r>
      <w:r>
        <w:rPr>
          <w:color w:val="105C84"/>
          <w:spacing w:val="-4"/>
        </w:rPr>
        <w:t>a</w:t>
      </w:r>
      <w:r>
        <w:rPr>
          <w:color w:val="105C84"/>
          <w:spacing w:val="-8"/>
        </w:rPr>
        <w:t> </w:t>
      </w:r>
      <w:r>
        <w:rPr>
          <w:color w:val="105C84"/>
          <w:spacing w:val="-4"/>
        </w:rPr>
        <w:t>disability</w:t>
      </w:r>
    </w:p>
    <w:p>
      <w:pPr>
        <w:pStyle w:val="Heading6"/>
        <w:spacing w:after="0"/>
        <w:jc w:val="both"/>
        <w:sectPr>
          <w:type w:val="continuous"/>
          <w:pgSz w:w="24480" w:h="15840" w:orient="landscape"/>
          <w:pgMar w:header="0" w:footer="0" w:top="0" w:bottom="280" w:left="0" w:right="720"/>
          <w:cols w:num="2" w:equalWidth="0">
            <w:col w:w="11050" w:space="1204"/>
            <w:col w:w="11506"/>
          </w:cols>
        </w:sectPr>
      </w:pPr>
    </w:p>
    <w:p>
      <w:pPr>
        <w:pStyle w:val="BodyText"/>
        <w:spacing w:before="11"/>
        <w:rPr>
          <w:b/>
          <w:sz w:val="18"/>
        </w:rPr>
      </w:pPr>
    </w:p>
    <w:p>
      <w:pPr>
        <w:pStyle w:val="BodyText"/>
        <w:spacing w:after="0"/>
        <w:rPr>
          <w:b/>
          <w:sz w:val="18"/>
        </w:rPr>
        <w:sectPr>
          <w:type w:val="continuous"/>
          <w:pgSz w:w="24480" w:h="15840" w:orient="landscape"/>
          <w:pgMar w:header="0" w:footer="0" w:top="0" w:bottom="280" w:left="0" w:right="720"/>
        </w:sectPr>
      </w:pPr>
    </w:p>
    <w:p>
      <w:pPr>
        <w:spacing w:before="111"/>
        <w:ind w:left="0" w:right="17" w:firstLine="0"/>
        <w:jc w:val="right"/>
        <w:rPr>
          <w:sz w:val="18"/>
        </w:rPr>
      </w:pPr>
      <w:r>
        <w:rPr>
          <w:color w:val="636466"/>
          <w:spacing w:val="-5"/>
          <w:sz w:val="18"/>
        </w:rPr>
        <w:t>20%</w:t>
      </w:r>
    </w:p>
    <w:p>
      <w:pPr>
        <w:pStyle w:val="BodyText"/>
        <w:spacing w:before="100"/>
        <w:rPr>
          <w:sz w:val="18"/>
        </w:rPr>
      </w:pPr>
    </w:p>
    <w:p>
      <w:pPr>
        <w:spacing w:before="0"/>
        <w:ind w:left="0" w:right="17" w:firstLine="0"/>
        <w:jc w:val="right"/>
        <w:rPr>
          <w:sz w:val="18"/>
        </w:rPr>
      </w:pPr>
      <w:r>
        <w:rPr>
          <w:color w:val="636466"/>
          <w:spacing w:val="-5"/>
          <w:sz w:val="18"/>
        </w:rPr>
        <w:t>10%</w:t>
      </w:r>
    </w:p>
    <w:p>
      <w:pPr>
        <w:pStyle w:val="BodyText"/>
        <w:spacing w:before="122"/>
        <w:rPr>
          <w:sz w:val="18"/>
        </w:rPr>
      </w:pPr>
    </w:p>
    <w:p>
      <w:pPr>
        <w:spacing w:before="0"/>
        <w:ind w:left="0" w:right="0" w:firstLine="0"/>
        <w:jc w:val="right"/>
        <w:rPr>
          <w:sz w:val="18"/>
        </w:rPr>
      </w:pPr>
      <w:r>
        <w:rPr>
          <w:color w:val="636466"/>
          <w:spacing w:val="-5"/>
          <w:sz w:val="18"/>
        </w:rPr>
        <w:t>0%</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65"/>
        <w:rPr>
          <w:sz w:val="18"/>
        </w:rPr>
      </w:pPr>
    </w:p>
    <w:p>
      <w:pPr>
        <w:tabs>
          <w:tab w:pos="1170" w:val="left" w:leader="none"/>
          <w:tab w:pos="2330" w:val="left" w:leader="none"/>
          <w:tab w:pos="3308" w:val="left" w:leader="none"/>
          <w:tab w:pos="4409" w:val="left" w:leader="none"/>
          <w:tab w:pos="5397" w:val="left" w:leader="none"/>
          <w:tab w:pos="6500" w:val="left" w:leader="none"/>
          <w:tab w:pos="7596" w:val="left" w:leader="none"/>
          <w:tab w:pos="8448" w:val="left" w:leader="none"/>
        </w:tabs>
        <w:spacing w:line="205" w:lineRule="exact" w:before="0"/>
        <w:ind w:left="163" w:right="0" w:firstLine="0"/>
        <w:jc w:val="left"/>
        <w:rPr>
          <w:sz w:val="18"/>
        </w:rPr>
      </w:pPr>
      <w:r>
        <w:rPr>
          <w:sz w:val="18"/>
        </w:rPr>
        <mc:AlternateContent>
          <mc:Choice Requires="wps">
            <w:drawing>
              <wp:anchor distT="0" distB="0" distL="0" distR="0" allowOverlap="1" layoutInCell="1" locked="0" behindDoc="0" simplePos="0" relativeHeight="15749632">
                <wp:simplePos x="0" y="0"/>
                <wp:positionH relativeFrom="page">
                  <wp:posOffset>8429245</wp:posOffset>
                </wp:positionH>
                <wp:positionV relativeFrom="paragraph">
                  <wp:posOffset>-1755563</wp:posOffset>
                </wp:positionV>
                <wp:extent cx="6276340" cy="2603500"/>
                <wp:effectExtent l="0" t="0" r="0" b="0"/>
                <wp:wrapNone/>
                <wp:docPr id="204" name="Textbox 204"/>
                <wp:cNvGraphicFramePr>
                  <a:graphicFrameLocks/>
                </wp:cNvGraphicFramePr>
                <a:graphic>
                  <a:graphicData uri="http://schemas.microsoft.com/office/word/2010/wordprocessingShape">
                    <wps:wsp>
                      <wps:cNvPr id="204" name="Textbox 204"/>
                      <wps:cNvSpPr txBox="1"/>
                      <wps:spPr>
                        <a:xfrm>
                          <a:off x="0" y="0"/>
                          <a:ext cx="6276340" cy="2603500"/>
                        </a:xfrm>
                        <a:prstGeom prst="rect">
                          <a:avLst/>
                        </a:prstGeom>
                      </wps:spPr>
                      <wps:txbx>
                        <w:txbxContent>
                          <w:tbl>
                            <w:tblPr>
                              <w:tblW w:w="0" w:type="auto"/>
                              <w:jc w:val="left"/>
                              <w:tblInd w:w="62"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top w:w="0" w:type="dxa"/>
                                <w:left w:w="0" w:type="dxa"/>
                                <w:bottom w:w="0" w:type="dxa"/>
                                <w:right w:w="0" w:type="dxa"/>
                              </w:tblCellMar>
                              <w:tblLook w:val="01E0"/>
                            </w:tblPr>
                            <w:tblGrid>
                              <w:gridCol w:w="1861"/>
                              <w:gridCol w:w="2633"/>
                              <w:gridCol w:w="2633"/>
                              <w:gridCol w:w="2633"/>
                            </w:tblGrid>
                            <w:tr>
                              <w:trPr>
                                <w:trHeight w:val="743" w:hRule="atLeast"/>
                              </w:trPr>
                              <w:tc>
                                <w:tcPr>
                                  <w:tcW w:w="1861" w:type="dxa"/>
                                  <w:shd w:val="clear" w:color="auto" w:fill="EFEFF0"/>
                                </w:tcPr>
                                <w:p>
                                  <w:pPr>
                                    <w:pStyle w:val="TableParagraph"/>
                                    <w:rPr>
                                      <w:rFonts w:ascii="Times New Roman"/>
                                      <w:sz w:val="20"/>
                                    </w:rPr>
                                  </w:pPr>
                                </w:p>
                              </w:tc>
                              <w:tc>
                                <w:tcPr>
                                  <w:tcW w:w="2633" w:type="dxa"/>
                                  <w:shd w:val="clear" w:color="auto" w:fill="EFEFF0"/>
                                </w:tcPr>
                                <w:p>
                                  <w:pPr>
                                    <w:pStyle w:val="TableParagraph"/>
                                    <w:spacing w:before="35"/>
                                    <w:rPr>
                                      <w:b/>
                                      <w:sz w:val="20"/>
                                    </w:rPr>
                                  </w:pPr>
                                </w:p>
                                <w:p>
                                  <w:pPr>
                                    <w:pStyle w:val="TableParagraph"/>
                                    <w:spacing w:before="1"/>
                                    <w:ind w:left="6" w:right="1"/>
                                    <w:jc w:val="center"/>
                                    <w:rPr>
                                      <w:b/>
                                      <w:sz w:val="20"/>
                                    </w:rPr>
                                  </w:pPr>
                                  <w:r>
                                    <w:rPr>
                                      <w:b/>
                                      <w:color w:val="105C84"/>
                                      <w:spacing w:val="-2"/>
                                      <w:sz w:val="20"/>
                                    </w:rPr>
                                    <w:t>Obesity</w:t>
                                  </w:r>
                                </w:p>
                              </w:tc>
                              <w:tc>
                                <w:tcPr>
                                  <w:tcW w:w="2633" w:type="dxa"/>
                                  <w:shd w:val="clear" w:color="auto" w:fill="EFEFF0"/>
                                </w:tcPr>
                                <w:p>
                                  <w:pPr>
                                    <w:pStyle w:val="TableParagraph"/>
                                    <w:spacing w:line="230" w:lineRule="auto" w:before="163"/>
                                    <w:ind w:left="425" w:hanging="72"/>
                                    <w:rPr>
                                      <w:b/>
                                      <w:sz w:val="20"/>
                                    </w:rPr>
                                  </w:pPr>
                                  <w:r>
                                    <w:rPr>
                                      <w:b/>
                                      <w:color w:val="105C84"/>
                                      <w:sz w:val="20"/>
                                    </w:rPr>
                                    <w:t>Obesity</w:t>
                                  </w:r>
                                  <w:r>
                                    <w:rPr>
                                      <w:b/>
                                      <w:color w:val="105C84"/>
                                      <w:spacing w:val="-7"/>
                                      <w:sz w:val="20"/>
                                    </w:rPr>
                                    <w:t> </w:t>
                                  </w:r>
                                  <w:r>
                                    <w:rPr>
                                      <w:b/>
                                      <w:color w:val="105C84"/>
                                      <w:sz w:val="20"/>
                                    </w:rPr>
                                    <w:t>among</w:t>
                                  </w:r>
                                  <w:r>
                                    <w:rPr>
                                      <w:b/>
                                      <w:color w:val="105C84"/>
                                      <w:spacing w:val="-7"/>
                                      <w:sz w:val="20"/>
                                    </w:rPr>
                                    <w:t> </w:t>
                                  </w:r>
                                  <w:r>
                                    <w:rPr>
                                      <w:b/>
                                      <w:color w:val="105C84"/>
                                      <w:sz w:val="20"/>
                                    </w:rPr>
                                    <w:t>low-income population</w:t>
                                  </w:r>
                                </w:p>
                              </w:tc>
                              <w:tc>
                                <w:tcPr>
                                  <w:tcW w:w="2633" w:type="dxa"/>
                                  <w:shd w:val="clear" w:color="auto" w:fill="EFEFF0"/>
                                </w:tcPr>
                                <w:p>
                                  <w:pPr>
                                    <w:pStyle w:val="TableParagraph"/>
                                    <w:spacing w:line="230" w:lineRule="auto" w:before="163"/>
                                    <w:ind w:left="278" w:firstLine="13"/>
                                    <w:rPr>
                                      <w:b/>
                                      <w:sz w:val="20"/>
                                    </w:rPr>
                                  </w:pPr>
                                  <w:r>
                                    <w:rPr>
                                      <w:b/>
                                      <w:color w:val="105C84"/>
                                      <w:sz w:val="20"/>
                                    </w:rPr>
                                    <w:t>Obesity</w:t>
                                  </w:r>
                                  <w:r>
                                    <w:rPr>
                                      <w:b/>
                                      <w:color w:val="105C84"/>
                                      <w:spacing w:val="-4"/>
                                      <w:sz w:val="20"/>
                                    </w:rPr>
                                    <w:t> </w:t>
                                  </w:r>
                                  <w:r>
                                    <w:rPr>
                                      <w:b/>
                                      <w:color w:val="105C84"/>
                                      <w:sz w:val="20"/>
                                    </w:rPr>
                                    <w:t>among</w:t>
                                  </w:r>
                                  <w:r>
                                    <w:rPr>
                                      <w:b/>
                                      <w:color w:val="105C84"/>
                                      <w:spacing w:val="-4"/>
                                      <w:sz w:val="20"/>
                                    </w:rPr>
                                    <w:t> </w:t>
                                  </w:r>
                                  <w:r>
                                    <w:rPr>
                                      <w:b/>
                                      <w:color w:val="105C84"/>
                                      <w:sz w:val="20"/>
                                    </w:rPr>
                                    <w:t>those living</w:t>
                                  </w:r>
                                  <w:r>
                                    <w:rPr>
                                      <w:b/>
                                      <w:color w:val="105C84"/>
                                      <w:spacing w:val="4"/>
                                      <w:sz w:val="20"/>
                                    </w:rPr>
                                    <w:t> </w:t>
                                  </w:r>
                                  <w:r>
                                    <w:rPr>
                                      <w:b/>
                                      <w:color w:val="105C84"/>
                                      <w:sz w:val="20"/>
                                    </w:rPr>
                                    <w:t>with</w:t>
                                  </w:r>
                                  <w:r>
                                    <w:rPr>
                                      <w:b/>
                                      <w:color w:val="105C84"/>
                                      <w:spacing w:val="4"/>
                                      <w:sz w:val="20"/>
                                    </w:rPr>
                                    <w:t> </w:t>
                                  </w:r>
                                  <w:r>
                                    <w:rPr>
                                      <w:b/>
                                      <w:color w:val="105C84"/>
                                      <w:sz w:val="20"/>
                                    </w:rPr>
                                    <w:t>a</w:t>
                                  </w:r>
                                  <w:r>
                                    <w:rPr>
                                      <w:b/>
                                      <w:color w:val="105C84"/>
                                      <w:spacing w:val="4"/>
                                      <w:sz w:val="20"/>
                                    </w:rPr>
                                    <w:t> </w:t>
                                  </w:r>
                                  <w:r>
                                    <w:rPr>
                                      <w:b/>
                                      <w:color w:val="105C84"/>
                                      <w:spacing w:val="-2"/>
                                      <w:sz w:val="20"/>
                                    </w:rPr>
                                    <w:t>disability</w:t>
                                  </w:r>
                                </w:p>
                              </w:tc>
                            </w:tr>
                            <w:tr>
                              <w:trPr>
                                <w:trHeight w:val="318" w:hRule="atLeast"/>
                              </w:trPr>
                              <w:tc>
                                <w:tcPr>
                                  <w:tcW w:w="1861" w:type="dxa"/>
                                  <w:shd w:val="clear" w:color="auto" w:fill="DCDDDE"/>
                                </w:tcPr>
                                <w:p>
                                  <w:pPr>
                                    <w:pStyle w:val="TableParagraph"/>
                                    <w:spacing w:before="53"/>
                                    <w:ind w:left="90"/>
                                    <w:rPr>
                                      <w:b/>
                                      <w:sz w:val="20"/>
                                    </w:rPr>
                                  </w:pPr>
                                  <w:r>
                                    <w:rPr>
                                      <w:b/>
                                      <w:color w:val="105C84"/>
                                      <w:spacing w:val="-2"/>
                                      <w:sz w:val="20"/>
                                    </w:rPr>
                                    <w:t>Chemung</w:t>
                                  </w:r>
                                </w:p>
                              </w:tc>
                              <w:tc>
                                <w:tcPr>
                                  <w:tcW w:w="2633" w:type="dxa"/>
                                </w:tcPr>
                                <w:p>
                                  <w:pPr>
                                    <w:pStyle w:val="TableParagraph"/>
                                    <w:spacing w:before="53"/>
                                    <w:ind w:left="6" w:right="1"/>
                                    <w:jc w:val="center"/>
                                    <w:rPr>
                                      <w:sz w:val="20"/>
                                    </w:rPr>
                                  </w:pPr>
                                  <w:r>
                                    <w:rPr>
                                      <w:color w:val="105C84"/>
                                      <w:spacing w:val="-5"/>
                                      <w:sz w:val="20"/>
                                    </w:rPr>
                                    <w:t>33%</w:t>
                                  </w:r>
                                </w:p>
                              </w:tc>
                              <w:tc>
                                <w:tcPr>
                                  <w:tcW w:w="2633" w:type="dxa"/>
                                </w:tcPr>
                                <w:p>
                                  <w:pPr>
                                    <w:pStyle w:val="TableParagraph"/>
                                    <w:spacing w:before="53"/>
                                    <w:ind w:left="6" w:right="1"/>
                                    <w:jc w:val="center"/>
                                    <w:rPr>
                                      <w:sz w:val="20"/>
                                    </w:rPr>
                                  </w:pPr>
                                  <w:r>
                                    <w:rPr>
                                      <w:color w:val="105C84"/>
                                      <w:spacing w:val="-5"/>
                                      <w:sz w:val="20"/>
                                    </w:rPr>
                                    <w:t>45%</w:t>
                                  </w:r>
                                </w:p>
                              </w:tc>
                              <w:tc>
                                <w:tcPr>
                                  <w:tcW w:w="2633" w:type="dxa"/>
                                </w:tcPr>
                                <w:p>
                                  <w:pPr>
                                    <w:pStyle w:val="TableParagraph"/>
                                    <w:spacing w:before="53"/>
                                    <w:ind w:left="6" w:right="3"/>
                                    <w:jc w:val="center"/>
                                    <w:rPr>
                                      <w:sz w:val="20"/>
                                    </w:rPr>
                                  </w:pPr>
                                  <w:r>
                                    <w:rPr>
                                      <w:color w:val="105C84"/>
                                      <w:spacing w:val="-5"/>
                                      <w:sz w:val="20"/>
                                    </w:rPr>
                                    <w:t>49%</w:t>
                                  </w:r>
                                </w:p>
                              </w:tc>
                            </w:tr>
                            <w:tr>
                              <w:trPr>
                                <w:trHeight w:val="331" w:hRule="atLeast"/>
                              </w:trPr>
                              <w:tc>
                                <w:tcPr>
                                  <w:tcW w:w="1861" w:type="dxa"/>
                                  <w:shd w:val="clear" w:color="auto" w:fill="DCDDDE"/>
                                </w:tcPr>
                                <w:p>
                                  <w:pPr>
                                    <w:pStyle w:val="TableParagraph"/>
                                    <w:spacing w:before="59"/>
                                    <w:ind w:left="90"/>
                                    <w:rPr>
                                      <w:b/>
                                      <w:sz w:val="20"/>
                                    </w:rPr>
                                  </w:pPr>
                                  <w:r>
                                    <w:rPr>
                                      <w:b/>
                                      <w:color w:val="105C84"/>
                                      <w:spacing w:val="-2"/>
                                      <w:sz w:val="20"/>
                                    </w:rPr>
                                    <w:t>Livingston</w:t>
                                  </w:r>
                                </w:p>
                              </w:tc>
                              <w:tc>
                                <w:tcPr>
                                  <w:tcW w:w="2633" w:type="dxa"/>
                                </w:tcPr>
                                <w:p>
                                  <w:pPr>
                                    <w:pStyle w:val="TableParagraph"/>
                                    <w:spacing w:before="59"/>
                                    <w:ind w:left="6" w:right="1"/>
                                    <w:jc w:val="center"/>
                                    <w:rPr>
                                      <w:sz w:val="20"/>
                                    </w:rPr>
                                  </w:pPr>
                                  <w:r>
                                    <w:rPr>
                                      <w:color w:val="105C84"/>
                                      <w:spacing w:val="-5"/>
                                      <w:sz w:val="20"/>
                                    </w:rPr>
                                    <w:t>38%</w:t>
                                  </w:r>
                                </w:p>
                              </w:tc>
                              <w:tc>
                                <w:tcPr>
                                  <w:tcW w:w="2633" w:type="dxa"/>
                                </w:tcPr>
                                <w:p>
                                  <w:pPr>
                                    <w:pStyle w:val="TableParagraph"/>
                                    <w:spacing w:before="59"/>
                                    <w:ind w:left="6" w:right="1"/>
                                    <w:jc w:val="center"/>
                                    <w:rPr>
                                      <w:sz w:val="20"/>
                                    </w:rPr>
                                  </w:pPr>
                                  <w:r>
                                    <w:rPr>
                                      <w:color w:val="105C84"/>
                                      <w:spacing w:val="-5"/>
                                      <w:sz w:val="20"/>
                                    </w:rPr>
                                    <w:t>39%</w:t>
                                  </w:r>
                                </w:p>
                              </w:tc>
                              <w:tc>
                                <w:tcPr>
                                  <w:tcW w:w="2633" w:type="dxa"/>
                                </w:tcPr>
                                <w:p>
                                  <w:pPr>
                                    <w:pStyle w:val="TableParagraph"/>
                                    <w:spacing w:before="59"/>
                                    <w:ind w:left="6" w:right="3"/>
                                    <w:jc w:val="center"/>
                                    <w:rPr>
                                      <w:sz w:val="20"/>
                                    </w:rPr>
                                  </w:pPr>
                                  <w:r>
                                    <w:rPr>
                                      <w:color w:val="105C84"/>
                                      <w:spacing w:val="-5"/>
                                      <w:sz w:val="20"/>
                                    </w:rPr>
                                    <w:t>48%</w:t>
                                  </w:r>
                                </w:p>
                              </w:tc>
                            </w:tr>
                            <w:tr>
                              <w:trPr>
                                <w:trHeight w:val="331" w:hRule="atLeast"/>
                              </w:trPr>
                              <w:tc>
                                <w:tcPr>
                                  <w:tcW w:w="1861" w:type="dxa"/>
                                  <w:shd w:val="clear" w:color="auto" w:fill="DCDDDE"/>
                                </w:tcPr>
                                <w:p>
                                  <w:pPr>
                                    <w:pStyle w:val="TableParagraph"/>
                                    <w:spacing w:before="59"/>
                                    <w:ind w:left="90"/>
                                    <w:rPr>
                                      <w:b/>
                                      <w:sz w:val="20"/>
                                    </w:rPr>
                                  </w:pPr>
                                  <w:r>
                                    <w:rPr>
                                      <w:b/>
                                      <w:color w:val="105C84"/>
                                      <w:spacing w:val="-2"/>
                                      <w:sz w:val="20"/>
                                    </w:rPr>
                                    <w:t>Ontario</w:t>
                                  </w:r>
                                </w:p>
                              </w:tc>
                              <w:tc>
                                <w:tcPr>
                                  <w:tcW w:w="2633" w:type="dxa"/>
                                </w:tcPr>
                                <w:p>
                                  <w:pPr>
                                    <w:pStyle w:val="TableParagraph"/>
                                    <w:spacing w:before="59"/>
                                    <w:ind w:left="6" w:right="1"/>
                                    <w:jc w:val="center"/>
                                    <w:rPr>
                                      <w:sz w:val="20"/>
                                    </w:rPr>
                                  </w:pPr>
                                  <w:r>
                                    <w:rPr>
                                      <w:color w:val="105C84"/>
                                      <w:spacing w:val="-5"/>
                                      <w:sz w:val="20"/>
                                    </w:rPr>
                                    <w:t>34%</w:t>
                                  </w:r>
                                </w:p>
                              </w:tc>
                              <w:tc>
                                <w:tcPr>
                                  <w:tcW w:w="2633" w:type="dxa"/>
                                </w:tcPr>
                                <w:p>
                                  <w:pPr>
                                    <w:pStyle w:val="TableParagraph"/>
                                    <w:spacing w:before="59"/>
                                    <w:ind w:left="6" w:right="1"/>
                                    <w:jc w:val="center"/>
                                    <w:rPr>
                                      <w:sz w:val="20"/>
                                    </w:rPr>
                                  </w:pPr>
                                  <w:r>
                                    <w:rPr>
                                      <w:color w:val="105C84"/>
                                      <w:spacing w:val="-5"/>
                                      <w:sz w:val="20"/>
                                    </w:rPr>
                                    <w:t>41%</w:t>
                                  </w:r>
                                </w:p>
                              </w:tc>
                              <w:tc>
                                <w:tcPr>
                                  <w:tcW w:w="2633" w:type="dxa"/>
                                </w:tcPr>
                                <w:p>
                                  <w:pPr>
                                    <w:pStyle w:val="TableParagraph"/>
                                    <w:spacing w:before="59"/>
                                    <w:ind w:left="6" w:right="3"/>
                                    <w:jc w:val="center"/>
                                    <w:rPr>
                                      <w:sz w:val="20"/>
                                    </w:rPr>
                                  </w:pPr>
                                  <w:r>
                                    <w:rPr>
                                      <w:color w:val="105C84"/>
                                      <w:spacing w:val="-5"/>
                                      <w:sz w:val="20"/>
                                    </w:rPr>
                                    <w:t>51%</w:t>
                                  </w:r>
                                </w:p>
                              </w:tc>
                            </w:tr>
                            <w:tr>
                              <w:trPr>
                                <w:trHeight w:val="331" w:hRule="atLeast"/>
                              </w:trPr>
                              <w:tc>
                                <w:tcPr>
                                  <w:tcW w:w="1861" w:type="dxa"/>
                                  <w:shd w:val="clear" w:color="auto" w:fill="DCDDDE"/>
                                </w:tcPr>
                                <w:p>
                                  <w:pPr>
                                    <w:pStyle w:val="TableParagraph"/>
                                    <w:spacing w:before="59"/>
                                    <w:ind w:left="90"/>
                                    <w:rPr>
                                      <w:b/>
                                      <w:sz w:val="20"/>
                                    </w:rPr>
                                  </w:pPr>
                                  <w:r>
                                    <w:rPr>
                                      <w:b/>
                                      <w:color w:val="105C84"/>
                                      <w:spacing w:val="-2"/>
                                      <w:sz w:val="20"/>
                                    </w:rPr>
                                    <w:t>Schuyler</w:t>
                                  </w:r>
                                </w:p>
                              </w:tc>
                              <w:tc>
                                <w:tcPr>
                                  <w:tcW w:w="2633" w:type="dxa"/>
                                </w:tcPr>
                                <w:p>
                                  <w:pPr>
                                    <w:pStyle w:val="TableParagraph"/>
                                    <w:spacing w:before="59"/>
                                    <w:ind w:left="6" w:right="1"/>
                                    <w:jc w:val="center"/>
                                    <w:rPr>
                                      <w:sz w:val="20"/>
                                    </w:rPr>
                                  </w:pPr>
                                  <w:r>
                                    <w:rPr>
                                      <w:color w:val="105C84"/>
                                      <w:spacing w:val="-5"/>
                                      <w:sz w:val="20"/>
                                    </w:rPr>
                                    <w:t>37%</w:t>
                                  </w:r>
                                </w:p>
                              </w:tc>
                              <w:tc>
                                <w:tcPr>
                                  <w:tcW w:w="2633" w:type="dxa"/>
                                </w:tcPr>
                                <w:p>
                                  <w:pPr>
                                    <w:pStyle w:val="TableParagraph"/>
                                    <w:spacing w:before="59"/>
                                    <w:ind w:left="6" w:right="1"/>
                                    <w:jc w:val="center"/>
                                    <w:rPr>
                                      <w:sz w:val="20"/>
                                    </w:rPr>
                                  </w:pPr>
                                  <w:r>
                                    <w:rPr>
                                      <w:color w:val="105C84"/>
                                      <w:spacing w:val="-5"/>
                                      <w:sz w:val="20"/>
                                    </w:rPr>
                                    <w:t>54%</w:t>
                                  </w:r>
                                </w:p>
                              </w:tc>
                              <w:tc>
                                <w:tcPr>
                                  <w:tcW w:w="2633" w:type="dxa"/>
                                </w:tcPr>
                                <w:p>
                                  <w:pPr>
                                    <w:pStyle w:val="TableParagraph"/>
                                    <w:spacing w:before="59"/>
                                    <w:ind w:left="6" w:right="3"/>
                                    <w:jc w:val="center"/>
                                    <w:rPr>
                                      <w:sz w:val="20"/>
                                    </w:rPr>
                                  </w:pPr>
                                  <w:r>
                                    <w:rPr>
                                      <w:color w:val="105C84"/>
                                      <w:spacing w:val="-5"/>
                                      <w:sz w:val="20"/>
                                    </w:rPr>
                                    <w:t>46%</w:t>
                                  </w:r>
                                </w:p>
                              </w:tc>
                            </w:tr>
                            <w:tr>
                              <w:trPr>
                                <w:trHeight w:val="331" w:hRule="atLeast"/>
                              </w:trPr>
                              <w:tc>
                                <w:tcPr>
                                  <w:tcW w:w="1861" w:type="dxa"/>
                                  <w:shd w:val="clear" w:color="auto" w:fill="DCDDDE"/>
                                </w:tcPr>
                                <w:p>
                                  <w:pPr>
                                    <w:pStyle w:val="TableParagraph"/>
                                    <w:spacing w:before="59"/>
                                    <w:ind w:left="90"/>
                                    <w:rPr>
                                      <w:b/>
                                      <w:sz w:val="20"/>
                                    </w:rPr>
                                  </w:pPr>
                                  <w:r>
                                    <w:rPr>
                                      <w:b/>
                                      <w:color w:val="105C84"/>
                                      <w:spacing w:val="-2"/>
                                      <w:sz w:val="20"/>
                                    </w:rPr>
                                    <w:t>Seneca</w:t>
                                  </w:r>
                                </w:p>
                              </w:tc>
                              <w:tc>
                                <w:tcPr>
                                  <w:tcW w:w="2633" w:type="dxa"/>
                                </w:tcPr>
                                <w:p>
                                  <w:pPr>
                                    <w:pStyle w:val="TableParagraph"/>
                                    <w:spacing w:before="59"/>
                                    <w:ind w:left="6" w:right="1"/>
                                    <w:jc w:val="center"/>
                                    <w:rPr>
                                      <w:sz w:val="20"/>
                                    </w:rPr>
                                  </w:pPr>
                                  <w:r>
                                    <w:rPr>
                                      <w:color w:val="105C84"/>
                                      <w:spacing w:val="-5"/>
                                      <w:sz w:val="20"/>
                                    </w:rPr>
                                    <w:t>45%</w:t>
                                  </w:r>
                                </w:p>
                              </w:tc>
                              <w:tc>
                                <w:tcPr>
                                  <w:tcW w:w="2633" w:type="dxa"/>
                                </w:tcPr>
                                <w:p>
                                  <w:pPr>
                                    <w:pStyle w:val="TableParagraph"/>
                                    <w:spacing w:before="59"/>
                                    <w:ind w:left="6" w:right="1"/>
                                    <w:jc w:val="center"/>
                                    <w:rPr>
                                      <w:sz w:val="20"/>
                                    </w:rPr>
                                  </w:pPr>
                                  <w:r>
                                    <w:rPr>
                                      <w:color w:val="105C84"/>
                                      <w:spacing w:val="-5"/>
                                      <w:sz w:val="20"/>
                                    </w:rPr>
                                    <w:t>46%</w:t>
                                  </w:r>
                                </w:p>
                              </w:tc>
                              <w:tc>
                                <w:tcPr>
                                  <w:tcW w:w="2633" w:type="dxa"/>
                                </w:tcPr>
                                <w:p>
                                  <w:pPr>
                                    <w:pStyle w:val="TableParagraph"/>
                                    <w:spacing w:before="59"/>
                                    <w:ind w:left="6" w:right="3"/>
                                    <w:jc w:val="center"/>
                                    <w:rPr>
                                      <w:sz w:val="20"/>
                                    </w:rPr>
                                  </w:pPr>
                                  <w:r>
                                    <w:rPr>
                                      <w:color w:val="105C84"/>
                                      <w:spacing w:val="-5"/>
                                      <w:sz w:val="20"/>
                                    </w:rPr>
                                    <w:t>46%</w:t>
                                  </w:r>
                                </w:p>
                              </w:tc>
                            </w:tr>
                            <w:tr>
                              <w:trPr>
                                <w:trHeight w:val="331" w:hRule="atLeast"/>
                              </w:trPr>
                              <w:tc>
                                <w:tcPr>
                                  <w:tcW w:w="1861" w:type="dxa"/>
                                  <w:shd w:val="clear" w:color="auto" w:fill="DCDDDE"/>
                                </w:tcPr>
                                <w:p>
                                  <w:pPr>
                                    <w:pStyle w:val="TableParagraph"/>
                                    <w:spacing w:before="59"/>
                                    <w:ind w:left="90"/>
                                    <w:rPr>
                                      <w:b/>
                                      <w:sz w:val="20"/>
                                    </w:rPr>
                                  </w:pPr>
                                  <w:r>
                                    <w:rPr>
                                      <w:b/>
                                      <w:color w:val="105C84"/>
                                      <w:spacing w:val="-2"/>
                                      <w:sz w:val="20"/>
                                    </w:rPr>
                                    <w:t>Steuben</w:t>
                                  </w:r>
                                </w:p>
                              </w:tc>
                              <w:tc>
                                <w:tcPr>
                                  <w:tcW w:w="2633" w:type="dxa"/>
                                </w:tcPr>
                                <w:p>
                                  <w:pPr>
                                    <w:pStyle w:val="TableParagraph"/>
                                    <w:spacing w:before="59"/>
                                    <w:ind w:left="6" w:right="1"/>
                                    <w:jc w:val="center"/>
                                    <w:rPr>
                                      <w:sz w:val="20"/>
                                    </w:rPr>
                                  </w:pPr>
                                  <w:r>
                                    <w:rPr>
                                      <w:color w:val="105C84"/>
                                      <w:spacing w:val="-5"/>
                                      <w:sz w:val="20"/>
                                    </w:rPr>
                                    <w:t>32%</w:t>
                                  </w:r>
                                </w:p>
                              </w:tc>
                              <w:tc>
                                <w:tcPr>
                                  <w:tcW w:w="2633" w:type="dxa"/>
                                </w:tcPr>
                                <w:p>
                                  <w:pPr>
                                    <w:pStyle w:val="TableParagraph"/>
                                    <w:spacing w:before="59"/>
                                    <w:ind w:left="6" w:right="1"/>
                                    <w:jc w:val="center"/>
                                    <w:rPr>
                                      <w:sz w:val="20"/>
                                    </w:rPr>
                                  </w:pPr>
                                  <w:r>
                                    <w:rPr>
                                      <w:color w:val="105C84"/>
                                      <w:spacing w:val="-5"/>
                                      <w:sz w:val="20"/>
                                    </w:rPr>
                                    <w:t>37%</w:t>
                                  </w:r>
                                </w:p>
                              </w:tc>
                              <w:tc>
                                <w:tcPr>
                                  <w:tcW w:w="2633" w:type="dxa"/>
                                </w:tcPr>
                                <w:p>
                                  <w:pPr>
                                    <w:pStyle w:val="TableParagraph"/>
                                    <w:spacing w:before="59"/>
                                    <w:ind w:left="6" w:right="3"/>
                                    <w:jc w:val="center"/>
                                    <w:rPr>
                                      <w:sz w:val="20"/>
                                    </w:rPr>
                                  </w:pPr>
                                  <w:r>
                                    <w:rPr>
                                      <w:color w:val="105C84"/>
                                      <w:spacing w:val="-5"/>
                                      <w:sz w:val="20"/>
                                    </w:rPr>
                                    <w:t>36%</w:t>
                                  </w:r>
                                </w:p>
                              </w:tc>
                            </w:tr>
                            <w:tr>
                              <w:trPr>
                                <w:trHeight w:val="331" w:hRule="atLeast"/>
                              </w:trPr>
                              <w:tc>
                                <w:tcPr>
                                  <w:tcW w:w="1861" w:type="dxa"/>
                                  <w:shd w:val="clear" w:color="auto" w:fill="DCDDDE"/>
                                </w:tcPr>
                                <w:p>
                                  <w:pPr>
                                    <w:pStyle w:val="TableParagraph"/>
                                    <w:spacing w:before="59"/>
                                    <w:ind w:left="90"/>
                                    <w:rPr>
                                      <w:b/>
                                      <w:sz w:val="20"/>
                                    </w:rPr>
                                  </w:pPr>
                                  <w:r>
                                    <w:rPr>
                                      <w:b/>
                                      <w:color w:val="105C84"/>
                                      <w:spacing w:val="-2"/>
                                      <w:sz w:val="20"/>
                                    </w:rPr>
                                    <w:t>Wayne</w:t>
                                  </w:r>
                                </w:p>
                              </w:tc>
                              <w:tc>
                                <w:tcPr>
                                  <w:tcW w:w="2633" w:type="dxa"/>
                                </w:tcPr>
                                <w:p>
                                  <w:pPr>
                                    <w:pStyle w:val="TableParagraph"/>
                                    <w:spacing w:before="59"/>
                                    <w:ind w:left="6" w:right="1"/>
                                    <w:jc w:val="center"/>
                                    <w:rPr>
                                      <w:sz w:val="20"/>
                                    </w:rPr>
                                  </w:pPr>
                                  <w:r>
                                    <w:rPr>
                                      <w:color w:val="105C84"/>
                                      <w:spacing w:val="-5"/>
                                      <w:sz w:val="20"/>
                                    </w:rPr>
                                    <w:t>37%</w:t>
                                  </w:r>
                                </w:p>
                              </w:tc>
                              <w:tc>
                                <w:tcPr>
                                  <w:tcW w:w="2633" w:type="dxa"/>
                                </w:tcPr>
                                <w:p>
                                  <w:pPr>
                                    <w:pStyle w:val="TableParagraph"/>
                                    <w:spacing w:before="59"/>
                                    <w:ind w:left="6" w:right="1"/>
                                    <w:jc w:val="center"/>
                                    <w:rPr>
                                      <w:sz w:val="20"/>
                                    </w:rPr>
                                  </w:pPr>
                                  <w:r>
                                    <w:rPr>
                                      <w:color w:val="105C84"/>
                                      <w:spacing w:val="-5"/>
                                      <w:sz w:val="20"/>
                                    </w:rPr>
                                    <w:t>42%</w:t>
                                  </w:r>
                                </w:p>
                              </w:tc>
                              <w:tc>
                                <w:tcPr>
                                  <w:tcW w:w="2633" w:type="dxa"/>
                                </w:tcPr>
                                <w:p>
                                  <w:pPr>
                                    <w:pStyle w:val="TableParagraph"/>
                                    <w:spacing w:before="59"/>
                                    <w:ind w:left="6" w:right="3"/>
                                    <w:jc w:val="center"/>
                                    <w:rPr>
                                      <w:sz w:val="20"/>
                                    </w:rPr>
                                  </w:pPr>
                                  <w:r>
                                    <w:rPr>
                                      <w:color w:val="105C84"/>
                                      <w:spacing w:val="-5"/>
                                      <w:sz w:val="20"/>
                                    </w:rPr>
                                    <w:t>45%</w:t>
                                  </w:r>
                                </w:p>
                              </w:tc>
                            </w:tr>
                            <w:tr>
                              <w:trPr>
                                <w:trHeight w:val="331" w:hRule="atLeast"/>
                              </w:trPr>
                              <w:tc>
                                <w:tcPr>
                                  <w:tcW w:w="1861" w:type="dxa"/>
                                  <w:shd w:val="clear" w:color="auto" w:fill="DCDDDE"/>
                                </w:tcPr>
                                <w:p>
                                  <w:pPr>
                                    <w:pStyle w:val="TableParagraph"/>
                                    <w:spacing w:before="59"/>
                                    <w:ind w:left="90"/>
                                    <w:rPr>
                                      <w:b/>
                                      <w:sz w:val="20"/>
                                    </w:rPr>
                                  </w:pPr>
                                  <w:r>
                                    <w:rPr>
                                      <w:b/>
                                      <w:color w:val="105C84"/>
                                      <w:spacing w:val="-2"/>
                                      <w:sz w:val="20"/>
                                    </w:rPr>
                                    <w:t>Yates</w:t>
                                  </w:r>
                                </w:p>
                              </w:tc>
                              <w:tc>
                                <w:tcPr>
                                  <w:tcW w:w="2633" w:type="dxa"/>
                                </w:tcPr>
                                <w:p>
                                  <w:pPr>
                                    <w:pStyle w:val="TableParagraph"/>
                                    <w:spacing w:before="59"/>
                                    <w:ind w:left="6" w:right="1"/>
                                    <w:jc w:val="center"/>
                                    <w:rPr>
                                      <w:sz w:val="20"/>
                                    </w:rPr>
                                  </w:pPr>
                                  <w:r>
                                    <w:rPr>
                                      <w:color w:val="105C84"/>
                                      <w:spacing w:val="-5"/>
                                      <w:sz w:val="20"/>
                                    </w:rPr>
                                    <w:t>32%</w:t>
                                  </w:r>
                                </w:p>
                              </w:tc>
                              <w:tc>
                                <w:tcPr>
                                  <w:tcW w:w="2633" w:type="dxa"/>
                                </w:tcPr>
                                <w:p>
                                  <w:pPr>
                                    <w:pStyle w:val="TableParagraph"/>
                                    <w:spacing w:before="59"/>
                                    <w:ind w:left="6" w:right="1"/>
                                    <w:jc w:val="center"/>
                                    <w:rPr>
                                      <w:sz w:val="20"/>
                                    </w:rPr>
                                  </w:pPr>
                                  <w:r>
                                    <w:rPr>
                                      <w:color w:val="105C84"/>
                                      <w:spacing w:val="-5"/>
                                      <w:sz w:val="20"/>
                                    </w:rPr>
                                    <w:t>29%</w:t>
                                  </w:r>
                                </w:p>
                              </w:tc>
                              <w:tc>
                                <w:tcPr>
                                  <w:tcW w:w="2633" w:type="dxa"/>
                                </w:tcPr>
                                <w:p>
                                  <w:pPr>
                                    <w:pStyle w:val="TableParagraph"/>
                                    <w:spacing w:before="59"/>
                                    <w:ind w:left="6" w:right="3"/>
                                    <w:jc w:val="center"/>
                                    <w:rPr>
                                      <w:sz w:val="20"/>
                                    </w:rPr>
                                  </w:pPr>
                                  <w:r>
                                    <w:rPr>
                                      <w:color w:val="105C84"/>
                                      <w:spacing w:val="-5"/>
                                      <w:sz w:val="20"/>
                                    </w:rPr>
                                    <w:t>48%</w:t>
                                  </w:r>
                                </w:p>
                              </w:tc>
                            </w:tr>
                            <w:tr>
                              <w:trPr>
                                <w:trHeight w:val="331" w:hRule="atLeast"/>
                              </w:trPr>
                              <w:tc>
                                <w:tcPr>
                                  <w:tcW w:w="1861" w:type="dxa"/>
                                  <w:shd w:val="clear" w:color="auto" w:fill="82BF6A"/>
                                </w:tcPr>
                                <w:p>
                                  <w:pPr>
                                    <w:pStyle w:val="TableParagraph"/>
                                    <w:spacing w:before="59"/>
                                    <w:ind w:left="90"/>
                                    <w:rPr>
                                      <w:b/>
                                      <w:sz w:val="20"/>
                                    </w:rPr>
                                  </w:pPr>
                                  <w:r>
                                    <w:rPr>
                                      <w:b/>
                                      <w:color w:val="FFFFFF"/>
                                      <w:sz w:val="20"/>
                                    </w:rPr>
                                    <w:t>8</w:t>
                                  </w:r>
                                  <w:r>
                                    <w:rPr>
                                      <w:b/>
                                      <w:color w:val="FFFFFF"/>
                                      <w:spacing w:val="5"/>
                                      <w:sz w:val="20"/>
                                    </w:rPr>
                                    <w:t> </w:t>
                                  </w:r>
                                  <w:r>
                                    <w:rPr>
                                      <w:b/>
                                      <w:color w:val="FFFFFF"/>
                                      <w:sz w:val="20"/>
                                    </w:rPr>
                                    <w:t>County</w:t>
                                  </w:r>
                                  <w:r>
                                    <w:rPr>
                                      <w:b/>
                                      <w:color w:val="FFFFFF"/>
                                      <w:spacing w:val="5"/>
                                      <w:sz w:val="20"/>
                                    </w:rPr>
                                    <w:t> </w:t>
                                  </w:r>
                                  <w:r>
                                    <w:rPr>
                                      <w:b/>
                                      <w:color w:val="FFFFFF"/>
                                      <w:spacing w:val="-2"/>
                                      <w:sz w:val="20"/>
                                    </w:rPr>
                                    <w:t>Region</w:t>
                                  </w:r>
                                </w:p>
                              </w:tc>
                              <w:tc>
                                <w:tcPr>
                                  <w:tcW w:w="2633" w:type="dxa"/>
                                  <w:shd w:val="clear" w:color="auto" w:fill="82BF6A"/>
                                </w:tcPr>
                                <w:p>
                                  <w:pPr>
                                    <w:pStyle w:val="TableParagraph"/>
                                    <w:spacing w:before="59"/>
                                    <w:ind w:left="6" w:right="1"/>
                                    <w:jc w:val="center"/>
                                    <w:rPr>
                                      <w:b/>
                                      <w:sz w:val="20"/>
                                    </w:rPr>
                                  </w:pPr>
                                  <w:r>
                                    <w:rPr>
                                      <w:b/>
                                      <w:color w:val="FFFFFF"/>
                                      <w:spacing w:val="-5"/>
                                      <w:w w:val="105"/>
                                      <w:sz w:val="20"/>
                                    </w:rPr>
                                    <w:t>35%</w:t>
                                  </w:r>
                                </w:p>
                              </w:tc>
                              <w:tc>
                                <w:tcPr>
                                  <w:tcW w:w="2633" w:type="dxa"/>
                                  <w:shd w:val="clear" w:color="auto" w:fill="82BF6A"/>
                                </w:tcPr>
                                <w:p>
                                  <w:pPr>
                                    <w:pStyle w:val="TableParagraph"/>
                                    <w:spacing w:before="59"/>
                                    <w:ind w:left="6" w:right="1"/>
                                    <w:jc w:val="center"/>
                                    <w:rPr>
                                      <w:b/>
                                      <w:sz w:val="20"/>
                                    </w:rPr>
                                  </w:pPr>
                                  <w:r>
                                    <w:rPr>
                                      <w:b/>
                                      <w:color w:val="FFFFFF"/>
                                      <w:spacing w:val="-5"/>
                                      <w:w w:val="105"/>
                                      <w:sz w:val="20"/>
                                    </w:rPr>
                                    <w:t>41%</w:t>
                                  </w:r>
                                </w:p>
                              </w:tc>
                              <w:tc>
                                <w:tcPr>
                                  <w:tcW w:w="2633" w:type="dxa"/>
                                  <w:shd w:val="clear" w:color="auto" w:fill="82BF6A"/>
                                </w:tcPr>
                                <w:p>
                                  <w:pPr>
                                    <w:pStyle w:val="TableParagraph"/>
                                    <w:spacing w:before="59"/>
                                    <w:ind w:left="6" w:right="2"/>
                                    <w:jc w:val="center"/>
                                    <w:rPr>
                                      <w:b/>
                                      <w:sz w:val="20"/>
                                    </w:rPr>
                                  </w:pPr>
                                  <w:r>
                                    <w:rPr>
                                      <w:b/>
                                      <w:color w:val="FFFFFF"/>
                                      <w:spacing w:val="-5"/>
                                      <w:w w:val="105"/>
                                      <w:sz w:val="20"/>
                                    </w:rPr>
                                    <w:t>45%</w:t>
                                  </w:r>
                                </w:p>
                              </w:tc>
                            </w:tr>
                            <w:tr>
                              <w:trPr>
                                <w:trHeight w:val="331" w:hRule="atLeast"/>
                              </w:trPr>
                              <w:tc>
                                <w:tcPr>
                                  <w:tcW w:w="1861" w:type="dxa"/>
                                </w:tcPr>
                                <w:p>
                                  <w:pPr>
                                    <w:pStyle w:val="TableParagraph"/>
                                    <w:spacing w:before="60"/>
                                    <w:ind w:left="90"/>
                                    <w:rPr>
                                      <w:b/>
                                      <w:sz w:val="20"/>
                                    </w:rPr>
                                  </w:pPr>
                                  <w:r>
                                    <w:rPr>
                                      <w:b/>
                                      <w:color w:val="105C84"/>
                                      <w:spacing w:val="-5"/>
                                      <w:sz w:val="20"/>
                                    </w:rPr>
                                    <w:t>NYS</w:t>
                                  </w:r>
                                </w:p>
                              </w:tc>
                              <w:tc>
                                <w:tcPr>
                                  <w:tcW w:w="2633" w:type="dxa"/>
                                </w:tcPr>
                                <w:p>
                                  <w:pPr>
                                    <w:pStyle w:val="TableParagraph"/>
                                    <w:spacing w:before="60"/>
                                    <w:ind w:left="6"/>
                                    <w:jc w:val="center"/>
                                    <w:rPr>
                                      <w:b/>
                                      <w:sz w:val="20"/>
                                    </w:rPr>
                                  </w:pPr>
                                  <w:r>
                                    <w:rPr>
                                      <w:b/>
                                      <w:color w:val="105C84"/>
                                      <w:spacing w:val="-5"/>
                                      <w:w w:val="105"/>
                                      <w:sz w:val="20"/>
                                    </w:rPr>
                                    <w:t>27%</w:t>
                                  </w:r>
                                </w:p>
                              </w:tc>
                              <w:tc>
                                <w:tcPr>
                                  <w:tcW w:w="2633" w:type="dxa"/>
                                </w:tcPr>
                                <w:p>
                                  <w:pPr>
                                    <w:pStyle w:val="TableParagraph"/>
                                    <w:spacing w:before="60"/>
                                    <w:ind w:left="6" w:right="1"/>
                                    <w:jc w:val="center"/>
                                    <w:rPr>
                                      <w:b/>
                                      <w:sz w:val="20"/>
                                    </w:rPr>
                                  </w:pPr>
                                  <w:r>
                                    <w:rPr>
                                      <w:b/>
                                      <w:color w:val="105C84"/>
                                      <w:spacing w:val="-5"/>
                                      <w:w w:val="105"/>
                                      <w:sz w:val="20"/>
                                    </w:rPr>
                                    <w:t>33%</w:t>
                                  </w:r>
                                </w:p>
                              </w:tc>
                              <w:tc>
                                <w:tcPr>
                                  <w:tcW w:w="2633" w:type="dxa"/>
                                </w:tcPr>
                                <w:p>
                                  <w:pPr>
                                    <w:pStyle w:val="TableParagraph"/>
                                    <w:spacing w:before="60"/>
                                    <w:ind w:left="6" w:right="2"/>
                                    <w:jc w:val="center"/>
                                    <w:rPr>
                                      <w:b/>
                                      <w:sz w:val="20"/>
                                    </w:rPr>
                                  </w:pPr>
                                  <w:r>
                                    <w:rPr>
                                      <w:b/>
                                      <w:color w:val="105C84"/>
                                      <w:spacing w:val="-5"/>
                                      <w:w w:val="105"/>
                                      <w:sz w:val="20"/>
                                    </w:rPr>
                                    <w:t>40%</w:t>
                                  </w:r>
                                </w:p>
                              </w:tc>
                            </w:tr>
                          </w:tbl>
                          <w:p>
                            <w:pPr>
                              <w:pStyle w:val="BodyText"/>
                            </w:pPr>
                          </w:p>
                        </w:txbxContent>
                      </wps:txbx>
                      <wps:bodyPr wrap="square" lIns="0" tIns="0" rIns="0" bIns="0" rtlCol="0">
                        <a:noAutofit/>
                      </wps:bodyPr>
                    </wps:wsp>
                  </a:graphicData>
                </a:graphic>
              </wp:anchor>
            </w:drawing>
          </mc:Choice>
          <mc:Fallback>
            <w:pict>
              <v:shape style="position:absolute;margin-left:663.720093pt;margin-top:-138.233368pt;width:494.2pt;height:205.0pt;mso-position-horizontal-relative:page;mso-position-vertical-relative:paragraph;z-index:15749632" type="#_x0000_t202" id="docshape169" filled="false" stroked="false">
                <v:textbox inset="0,0,0,0">
                  <w:txbxContent>
                    <w:tbl>
                      <w:tblPr>
                        <w:tblW w:w="0" w:type="auto"/>
                        <w:jc w:val="left"/>
                        <w:tblInd w:w="62"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top w:w="0" w:type="dxa"/>
                          <w:left w:w="0" w:type="dxa"/>
                          <w:bottom w:w="0" w:type="dxa"/>
                          <w:right w:w="0" w:type="dxa"/>
                        </w:tblCellMar>
                        <w:tblLook w:val="01E0"/>
                      </w:tblPr>
                      <w:tblGrid>
                        <w:gridCol w:w="1861"/>
                        <w:gridCol w:w="2633"/>
                        <w:gridCol w:w="2633"/>
                        <w:gridCol w:w="2633"/>
                      </w:tblGrid>
                      <w:tr>
                        <w:trPr>
                          <w:trHeight w:val="743" w:hRule="atLeast"/>
                        </w:trPr>
                        <w:tc>
                          <w:tcPr>
                            <w:tcW w:w="1861" w:type="dxa"/>
                            <w:shd w:val="clear" w:color="auto" w:fill="EFEFF0"/>
                          </w:tcPr>
                          <w:p>
                            <w:pPr>
                              <w:pStyle w:val="TableParagraph"/>
                              <w:rPr>
                                <w:rFonts w:ascii="Times New Roman"/>
                                <w:sz w:val="20"/>
                              </w:rPr>
                            </w:pPr>
                          </w:p>
                        </w:tc>
                        <w:tc>
                          <w:tcPr>
                            <w:tcW w:w="2633" w:type="dxa"/>
                            <w:shd w:val="clear" w:color="auto" w:fill="EFEFF0"/>
                          </w:tcPr>
                          <w:p>
                            <w:pPr>
                              <w:pStyle w:val="TableParagraph"/>
                              <w:spacing w:before="35"/>
                              <w:rPr>
                                <w:b/>
                                <w:sz w:val="20"/>
                              </w:rPr>
                            </w:pPr>
                          </w:p>
                          <w:p>
                            <w:pPr>
                              <w:pStyle w:val="TableParagraph"/>
                              <w:spacing w:before="1"/>
                              <w:ind w:left="6" w:right="1"/>
                              <w:jc w:val="center"/>
                              <w:rPr>
                                <w:b/>
                                <w:sz w:val="20"/>
                              </w:rPr>
                            </w:pPr>
                            <w:r>
                              <w:rPr>
                                <w:b/>
                                <w:color w:val="105C84"/>
                                <w:spacing w:val="-2"/>
                                <w:sz w:val="20"/>
                              </w:rPr>
                              <w:t>Obesity</w:t>
                            </w:r>
                          </w:p>
                        </w:tc>
                        <w:tc>
                          <w:tcPr>
                            <w:tcW w:w="2633" w:type="dxa"/>
                            <w:shd w:val="clear" w:color="auto" w:fill="EFEFF0"/>
                          </w:tcPr>
                          <w:p>
                            <w:pPr>
                              <w:pStyle w:val="TableParagraph"/>
                              <w:spacing w:line="230" w:lineRule="auto" w:before="163"/>
                              <w:ind w:left="425" w:hanging="72"/>
                              <w:rPr>
                                <w:b/>
                                <w:sz w:val="20"/>
                              </w:rPr>
                            </w:pPr>
                            <w:r>
                              <w:rPr>
                                <w:b/>
                                <w:color w:val="105C84"/>
                                <w:sz w:val="20"/>
                              </w:rPr>
                              <w:t>Obesity</w:t>
                            </w:r>
                            <w:r>
                              <w:rPr>
                                <w:b/>
                                <w:color w:val="105C84"/>
                                <w:spacing w:val="-7"/>
                                <w:sz w:val="20"/>
                              </w:rPr>
                              <w:t> </w:t>
                            </w:r>
                            <w:r>
                              <w:rPr>
                                <w:b/>
                                <w:color w:val="105C84"/>
                                <w:sz w:val="20"/>
                              </w:rPr>
                              <w:t>among</w:t>
                            </w:r>
                            <w:r>
                              <w:rPr>
                                <w:b/>
                                <w:color w:val="105C84"/>
                                <w:spacing w:val="-7"/>
                                <w:sz w:val="20"/>
                              </w:rPr>
                              <w:t> </w:t>
                            </w:r>
                            <w:r>
                              <w:rPr>
                                <w:b/>
                                <w:color w:val="105C84"/>
                                <w:sz w:val="20"/>
                              </w:rPr>
                              <w:t>low-income population</w:t>
                            </w:r>
                          </w:p>
                        </w:tc>
                        <w:tc>
                          <w:tcPr>
                            <w:tcW w:w="2633" w:type="dxa"/>
                            <w:shd w:val="clear" w:color="auto" w:fill="EFEFF0"/>
                          </w:tcPr>
                          <w:p>
                            <w:pPr>
                              <w:pStyle w:val="TableParagraph"/>
                              <w:spacing w:line="230" w:lineRule="auto" w:before="163"/>
                              <w:ind w:left="278" w:firstLine="13"/>
                              <w:rPr>
                                <w:b/>
                                <w:sz w:val="20"/>
                              </w:rPr>
                            </w:pPr>
                            <w:r>
                              <w:rPr>
                                <w:b/>
                                <w:color w:val="105C84"/>
                                <w:sz w:val="20"/>
                              </w:rPr>
                              <w:t>Obesity</w:t>
                            </w:r>
                            <w:r>
                              <w:rPr>
                                <w:b/>
                                <w:color w:val="105C84"/>
                                <w:spacing w:val="-4"/>
                                <w:sz w:val="20"/>
                              </w:rPr>
                              <w:t> </w:t>
                            </w:r>
                            <w:r>
                              <w:rPr>
                                <w:b/>
                                <w:color w:val="105C84"/>
                                <w:sz w:val="20"/>
                              </w:rPr>
                              <w:t>among</w:t>
                            </w:r>
                            <w:r>
                              <w:rPr>
                                <w:b/>
                                <w:color w:val="105C84"/>
                                <w:spacing w:val="-4"/>
                                <w:sz w:val="20"/>
                              </w:rPr>
                              <w:t> </w:t>
                            </w:r>
                            <w:r>
                              <w:rPr>
                                <w:b/>
                                <w:color w:val="105C84"/>
                                <w:sz w:val="20"/>
                              </w:rPr>
                              <w:t>those living</w:t>
                            </w:r>
                            <w:r>
                              <w:rPr>
                                <w:b/>
                                <w:color w:val="105C84"/>
                                <w:spacing w:val="4"/>
                                <w:sz w:val="20"/>
                              </w:rPr>
                              <w:t> </w:t>
                            </w:r>
                            <w:r>
                              <w:rPr>
                                <w:b/>
                                <w:color w:val="105C84"/>
                                <w:sz w:val="20"/>
                              </w:rPr>
                              <w:t>with</w:t>
                            </w:r>
                            <w:r>
                              <w:rPr>
                                <w:b/>
                                <w:color w:val="105C84"/>
                                <w:spacing w:val="4"/>
                                <w:sz w:val="20"/>
                              </w:rPr>
                              <w:t> </w:t>
                            </w:r>
                            <w:r>
                              <w:rPr>
                                <w:b/>
                                <w:color w:val="105C84"/>
                                <w:sz w:val="20"/>
                              </w:rPr>
                              <w:t>a</w:t>
                            </w:r>
                            <w:r>
                              <w:rPr>
                                <w:b/>
                                <w:color w:val="105C84"/>
                                <w:spacing w:val="4"/>
                                <w:sz w:val="20"/>
                              </w:rPr>
                              <w:t> </w:t>
                            </w:r>
                            <w:r>
                              <w:rPr>
                                <w:b/>
                                <w:color w:val="105C84"/>
                                <w:spacing w:val="-2"/>
                                <w:sz w:val="20"/>
                              </w:rPr>
                              <w:t>disability</w:t>
                            </w:r>
                          </w:p>
                        </w:tc>
                      </w:tr>
                      <w:tr>
                        <w:trPr>
                          <w:trHeight w:val="318" w:hRule="atLeast"/>
                        </w:trPr>
                        <w:tc>
                          <w:tcPr>
                            <w:tcW w:w="1861" w:type="dxa"/>
                            <w:shd w:val="clear" w:color="auto" w:fill="DCDDDE"/>
                          </w:tcPr>
                          <w:p>
                            <w:pPr>
                              <w:pStyle w:val="TableParagraph"/>
                              <w:spacing w:before="53"/>
                              <w:ind w:left="90"/>
                              <w:rPr>
                                <w:b/>
                                <w:sz w:val="20"/>
                              </w:rPr>
                            </w:pPr>
                            <w:r>
                              <w:rPr>
                                <w:b/>
                                <w:color w:val="105C84"/>
                                <w:spacing w:val="-2"/>
                                <w:sz w:val="20"/>
                              </w:rPr>
                              <w:t>Chemung</w:t>
                            </w:r>
                          </w:p>
                        </w:tc>
                        <w:tc>
                          <w:tcPr>
                            <w:tcW w:w="2633" w:type="dxa"/>
                          </w:tcPr>
                          <w:p>
                            <w:pPr>
                              <w:pStyle w:val="TableParagraph"/>
                              <w:spacing w:before="53"/>
                              <w:ind w:left="6" w:right="1"/>
                              <w:jc w:val="center"/>
                              <w:rPr>
                                <w:sz w:val="20"/>
                              </w:rPr>
                            </w:pPr>
                            <w:r>
                              <w:rPr>
                                <w:color w:val="105C84"/>
                                <w:spacing w:val="-5"/>
                                <w:sz w:val="20"/>
                              </w:rPr>
                              <w:t>33%</w:t>
                            </w:r>
                          </w:p>
                        </w:tc>
                        <w:tc>
                          <w:tcPr>
                            <w:tcW w:w="2633" w:type="dxa"/>
                          </w:tcPr>
                          <w:p>
                            <w:pPr>
                              <w:pStyle w:val="TableParagraph"/>
                              <w:spacing w:before="53"/>
                              <w:ind w:left="6" w:right="1"/>
                              <w:jc w:val="center"/>
                              <w:rPr>
                                <w:sz w:val="20"/>
                              </w:rPr>
                            </w:pPr>
                            <w:r>
                              <w:rPr>
                                <w:color w:val="105C84"/>
                                <w:spacing w:val="-5"/>
                                <w:sz w:val="20"/>
                              </w:rPr>
                              <w:t>45%</w:t>
                            </w:r>
                          </w:p>
                        </w:tc>
                        <w:tc>
                          <w:tcPr>
                            <w:tcW w:w="2633" w:type="dxa"/>
                          </w:tcPr>
                          <w:p>
                            <w:pPr>
                              <w:pStyle w:val="TableParagraph"/>
                              <w:spacing w:before="53"/>
                              <w:ind w:left="6" w:right="3"/>
                              <w:jc w:val="center"/>
                              <w:rPr>
                                <w:sz w:val="20"/>
                              </w:rPr>
                            </w:pPr>
                            <w:r>
                              <w:rPr>
                                <w:color w:val="105C84"/>
                                <w:spacing w:val="-5"/>
                                <w:sz w:val="20"/>
                              </w:rPr>
                              <w:t>49%</w:t>
                            </w:r>
                          </w:p>
                        </w:tc>
                      </w:tr>
                      <w:tr>
                        <w:trPr>
                          <w:trHeight w:val="331" w:hRule="atLeast"/>
                        </w:trPr>
                        <w:tc>
                          <w:tcPr>
                            <w:tcW w:w="1861" w:type="dxa"/>
                            <w:shd w:val="clear" w:color="auto" w:fill="DCDDDE"/>
                          </w:tcPr>
                          <w:p>
                            <w:pPr>
                              <w:pStyle w:val="TableParagraph"/>
                              <w:spacing w:before="59"/>
                              <w:ind w:left="90"/>
                              <w:rPr>
                                <w:b/>
                                <w:sz w:val="20"/>
                              </w:rPr>
                            </w:pPr>
                            <w:r>
                              <w:rPr>
                                <w:b/>
                                <w:color w:val="105C84"/>
                                <w:spacing w:val="-2"/>
                                <w:sz w:val="20"/>
                              </w:rPr>
                              <w:t>Livingston</w:t>
                            </w:r>
                          </w:p>
                        </w:tc>
                        <w:tc>
                          <w:tcPr>
                            <w:tcW w:w="2633" w:type="dxa"/>
                          </w:tcPr>
                          <w:p>
                            <w:pPr>
                              <w:pStyle w:val="TableParagraph"/>
                              <w:spacing w:before="59"/>
                              <w:ind w:left="6" w:right="1"/>
                              <w:jc w:val="center"/>
                              <w:rPr>
                                <w:sz w:val="20"/>
                              </w:rPr>
                            </w:pPr>
                            <w:r>
                              <w:rPr>
                                <w:color w:val="105C84"/>
                                <w:spacing w:val="-5"/>
                                <w:sz w:val="20"/>
                              </w:rPr>
                              <w:t>38%</w:t>
                            </w:r>
                          </w:p>
                        </w:tc>
                        <w:tc>
                          <w:tcPr>
                            <w:tcW w:w="2633" w:type="dxa"/>
                          </w:tcPr>
                          <w:p>
                            <w:pPr>
                              <w:pStyle w:val="TableParagraph"/>
                              <w:spacing w:before="59"/>
                              <w:ind w:left="6" w:right="1"/>
                              <w:jc w:val="center"/>
                              <w:rPr>
                                <w:sz w:val="20"/>
                              </w:rPr>
                            </w:pPr>
                            <w:r>
                              <w:rPr>
                                <w:color w:val="105C84"/>
                                <w:spacing w:val="-5"/>
                                <w:sz w:val="20"/>
                              </w:rPr>
                              <w:t>39%</w:t>
                            </w:r>
                          </w:p>
                        </w:tc>
                        <w:tc>
                          <w:tcPr>
                            <w:tcW w:w="2633" w:type="dxa"/>
                          </w:tcPr>
                          <w:p>
                            <w:pPr>
                              <w:pStyle w:val="TableParagraph"/>
                              <w:spacing w:before="59"/>
                              <w:ind w:left="6" w:right="3"/>
                              <w:jc w:val="center"/>
                              <w:rPr>
                                <w:sz w:val="20"/>
                              </w:rPr>
                            </w:pPr>
                            <w:r>
                              <w:rPr>
                                <w:color w:val="105C84"/>
                                <w:spacing w:val="-5"/>
                                <w:sz w:val="20"/>
                              </w:rPr>
                              <w:t>48%</w:t>
                            </w:r>
                          </w:p>
                        </w:tc>
                      </w:tr>
                      <w:tr>
                        <w:trPr>
                          <w:trHeight w:val="331" w:hRule="atLeast"/>
                        </w:trPr>
                        <w:tc>
                          <w:tcPr>
                            <w:tcW w:w="1861" w:type="dxa"/>
                            <w:shd w:val="clear" w:color="auto" w:fill="DCDDDE"/>
                          </w:tcPr>
                          <w:p>
                            <w:pPr>
                              <w:pStyle w:val="TableParagraph"/>
                              <w:spacing w:before="59"/>
                              <w:ind w:left="90"/>
                              <w:rPr>
                                <w:b/>
                                <w:sz w:val="20"/>
                              </w:rPr>
                            </w:pPr>
                            <w:r>
                              <w:rPr>
                                <w:b/>
                                <w:color w:val="105C84"/>
                                <w:spacing w:val="-2"/>
                                <w:sz w:val="20"/>
                              </w:rPr>
                              <w:t>Ontario</w:t>
                            </w:r>
                          </w:p>
                        </w:tc>
                        <w:tc>
                          <w:tcPr>
                            <w:tcW w:w="2633" w:type="dxa"/>
                          </w:tcPr>
                          <w:p>
                            <w:pPr>
                              <w:pStyle w:val="TableParagraph"/>
                              <w:spacing w:before="59"/>
                              <w:ind w:left="6" w:right="1"/>
                              <w:jc w:val="center"/>
                              <w:rPr>
                                <w:sz w:val="20"/>
                              </w:rPr>
                            </w:pPr>
                            <w:r>
                              <w:rPr>
                                <w:color w:val="105C84"/>
                                <w:spacing w:val="-5"/>
                                <w:sz w:val="20"/>
                              </w:rPr>
                              <w:t>34%</w:t>
                            </w:r>
                          </w:p>
                        </w:tc>
                        <w:tc>
                          <w:tcPr>
                            <w:tcW w:w="2633" w:type="dxa"/>
                          </w:tcPr>
                          <w:p>
                            <w:pPr>
                              <w:pStyle w:val="TableParagraph"/>
                              <w:spacing w:before="59"/>
                              <w:ind w:left="6" w:right="1"/>
                              <w:jc w:val="center"/>
                              <w:rPr>
                                <w:sz w:val="20"/>
                              </w:rPr>
                            </w:pPr>
                            <w:r>
                              <w:rPr>
                                <w:color w:val="105C84"/>
                                <w:spacing w:val="-5"/>
                                <w:sz w:val="20"/>
                              </w:rPr>
                              <w:t>41%</w:t>
                            </w:r>
                          </w:p>
                        </w:tc>
                        <w:tc>
                          <w:tcPr>
                            <w:tcW w:w="2633" w:type="dxa"/>
                          </w:tcPr>
                          <w:p>
                            <w:pPr>
                              <w:pStyle w:val="TableParagraph"/>
                              <w:spacing w:before="59"/>
                              <w:ind w:left="6" w:right="3"/>
                              <w:jc w:val="center"/>
                              <w:rPr>
                                <w:sz w:val="20"/>
                              </w:rPr>
                            </w:pPr>
                            <w:r>
                              <w:rPr>
                                <w:color w:val="105C84"/>
                                <w:spacing w:val="-5"/>
                                <w:sz w:val="20"/>
                              </w:rPr>
                              <w:t>51%</w:t>
                            </w:r>
                          </w:p>
                        </w:tc>
                      </w:tr>
                      <w:tr>
                        <w:trPr>
                          <w:trHeight w:val="331" w:hRule="atLeast"/>
                        </w:trPr>
                        <w:tc>
                          <w:tcPr>
                            <w:tcW w:w="1861" w:type="dxa"/>
                            <w:shd w:val="clear" w:color="auto" w:fill="DCDDDE"/>
                          </w:tcPr>
                          <w:p>
                            <w:pPr>
                              <w:pStyle w:val="TableParagraph"/>
                              <w:spacing w:before="59"/>
                              <w:ind w:left="90"/>
                              <w:rPr>
                                <w:b/>
                                <w:sz w:val="20"/>
                              </w:rPr>
                            </w:pPr>
                            <w:r>
                              <w:rPr>
                                <w:b/>
                                <w:color w:val="105C84"/>
                                <w:spacing w:val="-2"/>
                                <w:sz w:val="20"/>
                              </w:rPr>
                              <w:t>Schuyler</w:t>
                            </w:r>
                          </w:p>
                        </w:tc>
                        <w:tc>
                          <w:tcPr>
                            <w:tcW w:w="2633" w:type="dxa"/>
                          </w:tcPr>
                          <w:p>
                            <w:pPr>
                              <w:pStyle w:val="TableParagraph"/>
                              <w:spacing w:before="59"/>
                              <w:ind w:left="6" w:right="1"/>
                              <w:jc w:val="center"/>
                              <w:rPr>
                                <w:sz w:val="20"/>
                              </w:rPr>
                            </w:pPr>
                            <w:r>
                              <w:rPr>
                                <w:color w:val="105C84"/>
                                <w:spacing w:val="-5"/>
                                <w:sz w:val="20"/>
                              </w:rPr>
                              <w:t>37%</w:t>
                            </w:r>
                          </w:p>
                        </w:tc>
                        <w:tc>
                          <w:tcPr>
                            <w:tcW w:w="2633" w:type="dxa"/>
                          </w:tcPr>
                          <w:p>
                            <w:pPr>
                              <w:pStyle w:val="TableParagraph"/>
                              <w:spacing w:before="59"/>
                              <w:ind w:left="6" w:right="1"/>
                              <w:jc w:val="center"/>
                              <w:rPr>
                                <w:sz w:val="20"/>
                              </w:rPr>
                            </w:pPr>
                            <w:r>
                              <w:rPr>
                                <w:color w:val="105C84"/>
                                <w:spacing w:val="-5"/>
                                <w:sz w:val="20"/>
                              </w:rPr>
                              <w:t>54%</w:t>
                            </w:r>
                          </w:p>
                        </w:tc>
                        <w:tc>
                          <w:tcPr>
                            <w:tcW w:w="2633" w:type="dxa"/>
                          </w:tcPr>
                          <w:p>
                            <w:pPr>
                              <w:pStyle w:val="TableParagraph"/>
                              <w:spacing w:before="59"/>
                              <w:ind w:left="6" w:right="3"/>
                              <w:jc w:val="center"/>
                              <w:rPr>
                                <w:sz w:val="20"/>
                              </w:rPr>
                            </w:pPr>
                            <w:r>
                              <w:rPr>
                                <w:color w:val="105C84"/>
                                <w:spacing w:val="-5"/>
                                <w:sz w:val="20"/>
                              </w:rPr>
                              <w:t>46%</w:t>
                            </w:r>
                          </w:p>
                        </w:tc>
                      </w:tr>
                      <w:tr>
                        <w:trPr>
                          <w:trHeight w:val="331" w:hRule="atLeast"/>
                        </w:trPr>
                        <w:tc>
                          <w:tcPr>
                            <w:tcW w:w="1861" w:type="dxa"/>
                            <w:shd w:val="clear" w:color="auto" w:fill="DCDDDE"/>
                          </w:tcPr>
                          <w:p>
                            <w:pPr>
                              <w:pStyle w:val="TableParagraph"/>
                              <w:spacing w:before="59"/>
                              <w:ind w:left="90"/>
                              <w:rPr>
                                <w:b/>
                                <w:sz w:val="20"/>
                              </w:rPr>
                            </w:pPr>
                            <w:r>
                              <w:rPr>
                                <w:b/>
                                <w:color w:val="105C84"/>
                                <w:spacing w:val="-2"/>
                                <w:sz w:val="20"/>
                              </w:rPr>
                              <w:t>Seneca</w:t>
                            </w:r>
                          </w:p>
                        </w:tc>
                        <w:tc>
                          <w:tcPr>
                            <w:tcW w:w="2633" w:type="dxa"/>
                          </w:tcPr>
                          <w:p>
                            <w:pPr>
                              <w:pStyle w:val="TableParagraph"/>
                              <w:spacing w:before="59"/>
                              <w:ind w:left="6" w:right="1"/>
                              <w:jc w:val="center"/>
                              <w:rPr>
                                <w:sz w:val="20"/>
                              </w:rPr>
                            </w:pPr>
                            <w:r>
                              <w:rPr>
                                <w:color w:val="105C84"/>
                                <w:spacing w:val="-5"/>
                                <w:sz w:val="20"/>
                              </w:rPr>
                              <w:t>45%</w:t>
                            </w:r>
                          </w:p>
                        </w:tc>
                        <w:tc>
                          <w:tcPr>
                            <w:tcW w:w="2633" w:type="dxa"/>
                          </w:tcPr>
                          <w:p>
                            <w:pPr>
                              <w:pStyle w:val="TableParagraph"/>
                              <w:spacing w:before="59"/>
                              <w:ind w:left="6" w:right="1"/>
                              <w:jc w:val="center"/>
                              <w:rPr>
                                <w:sz w:val="20"/>
                              </w:rPr>
                            </w:pPr>
                            <w:r>
                              <w:rPr>
                                <w:color w:val="105C84"/>
                                <w:spacing w:val="-5"/>
                                <w:sz w:val="20"/>
                              </w:rPr>
                              <w:t>46%</w:t>
                            </w:r>
                          </w:p>
                        </w:tc>
                        <w:tc>
                          <w:tcPr>
                            <w:tcW w:w="2633" w:type="dxa"/>
                          </w:tcPr>
                          <w:p>
                            <w:pPr>
                              <w:pStyle w:val="TableParagraph"/>
                              <w:spacing w:before="59"/>
                              <w:ind w:left="6" w:right="3"/>
                              <w:jc w:val="center"/>
                              <w:rPr>
                                <w:sz w:val="20"/>
                              </w:rPr>
                            </w:pPr>
                            <w:r>
                              <w:rPr>
                                <w:color w:val="105C84"/>
                                <w:spacing w:val="-5"/>
                                <w:sz w:val="20"/>
                              </w:rPr>
                              <w:t>46%</w:t>
                            </w:r>
                          </w:p>
                        </w:tc>
                      </w:tr>
                      <w:tr>
                        <w:trPr>
                          <w:trHeight w:val="331" w:hRule="atLeast"/>
                        </w:trPr>
                        <w:tc>
                          <w:tcPr>
                            <w:tcW w:w="1861" w:type="dxa"/>
                            <w:shd w:val="clear" w:color="auto" w:fill="DCDDDE"/>
                          </w:tcPr>
                          <w:p>
                            <w:pPr>
                              <w:pStyle w:val="TableParagraph"/>
                              <w:spacing w:before="59"/>
                              <w:ind w:left="90"/>
                              <w:rPr>
                                <w:b/>
                                <w:sz w:val="20"/>
                              </w:rPr>
                            </w:pPr>
                            <w:r>
                              <w:rPr>
                                <w:b/>
                                <w:color w:val="105C84"/>
                                <w:spacing w:val="-2"/>
                                <w:sz w:val="20"/>
                              </w:rPr>
                              <w:t>Steuben</w:t>
                            </w:r>
                          </w:p>
                        </w:tc>
                        <w:tc>
                          <w:tcPr>
                            <w:tcW w:w="2633" w:type="dxa"/>
                          </w:tcPr>
                          <w:p>
                            <w:pPr>
                              <w:pStyle w:val="TableParagraph"/>
                              <w:spacing w:before="59"/>
                              <w:ind w:left="6" w:right="1"/>
                              <w:jc w:val="center"/>
                              <w:rPr>
                                <w:sz w:val="20"/>
                              </w:rPr>
                            </w:pPr>
                            <w:r>
                              <w:rPr>
                                <w:color w:val="105C84"/>
                                <w:spacing w:val="-5"/>
                                <w:sz w:val="20"/>
                              </w:rPr>
                              <w:t>32%</w:t>
                            </w:r>
                          </w:p>
                        </w:tc>
                        <w:tc>
                          <w:tcPr>
                            <w:tcW w:w="2633" w:type="dxa"/>
                          </w:tcPr>
                          <w:p>
                            <w:pPr>
                              <w:pStyle w:val="TableParagraph"/>
                              <w:spacing w:before="59"/>
                              <w:ind w:left="6" w:right="1"/>
                              <w:jc w:val="center"/>
                              <w:rPr>
                                <w:sz w:val="20"/>
                              </w:rPr>
                            </w:pPr>
                            <w:r>
                              <w:rPr>
                                <w:color w:val="105C84"/>
                                <w:spacing w:val="-5"/>
                                <w:sz w:val="20"/>
                              </w:rPr>
                              <w:t>37%</w:t>
                            </w:r>
                          </w:p>
                        </w:tc>
                        <w:tc>
                          <w:tcPr>
                            <w:tcW w:w="2633" w:type="dxa"/>
                          </w:tcPr>
                          <w:p>
                            <w:pPr>
                              <w:pStyle w:val="TableParagraph"/>
                              <w:spacing w:before="59"/>
                              <w:ind w:left="6" w:right="3"/>
                              <w:jc w:val="center"/>
                              <w:rPr>
                                <w:sz w:val="20"/>
                              </w:rPr>
                            </w:pPr>
                            <w:r>
                              <w:rPr>
                                <w:color w:val="105C84"/>
                                <w:spacing w:val="-5"/>
                                <w:sz w:val="20"/>
                              </w:rPr>
                              <w:t>36%</w:t>
                            </w:r>
                          </w:p>
                        </w:tc>
                      </w:tr>
                      <w:tr>
                        <w:trPr>
                          <w:trHeight w:val="331" w:hRule="atLeast"/>
                        </w:trPr>
                        <w:tc>
                          <w:tcPr>
                            <w:tcW w:w="1861" w:type="dxa"/>
                            <w:shd w:val="clear" w:color="auto" w:fill="DCDDDE"/>
                          </w:tcPr>
                          <w:p>
                            <w:pPr>
                              <w:pStyle w:val="TableParagraph"/>
                              <w:spacing w:before="59"/>
                              <w:ind w:left="90"/>
                              <w:rPr>
                                <w:b/>
                                <w:sz w:val="20"/>
                              </w:rPr>
                            </w:pPr>
                            <w:r>
                              <w:rPr>
                                <w:b/>
                                <w:color w:val="105C84"/>
                                <w:spacing w:val="-2"/>
                                <w:sz w:val="20"/>
                              </w:rPr>
                              <w:t>Wayne</w:t>
                            </w:r>
                          </w:p>
                        </w:tc>
                        <w:tc>
                          <w:tcPr>
                            <w:tcW w:w="2633" w:type="dxa"/>
                          </w:tcPr>
                          <w:p>
                            <w:pPr>
                              <w:pStyle w:val="TableParagraph"/>
                              <w:spacing w:before="59"/>
                              <w:ind w:left="6" w:right="1"/>
                              <w:jc w:val="center"/>
                              <w:rPr>
                                <w:sz w:val="20"/>
                              </w:rPr>
                            </w:pPr>
                            <w:r>
                              <w:rPr>
                                <w:color w:val="105C84"/>
                                <w:spacing w:val="-5"/>
                                <w:sz w:val="20"/>
                              </w:rPr>
                              <w:t>37%</w:t>
                            </w:r>
                          </w:p>
                        </w:tc>
                        <w:tc>
                          <w:tcPr>
                            <w:tcW w:w="2633" w:type="dxa"/>
                          </w:tcPr>
                          <w:p>
                            <w:pPr>
                              <w:pStyle w:val="TableParagraph"/>
                              <w:spacing w:before="59"/>
                              <w:ind w:left="6" w:right="1"/>
                              <w:jc w:val="center"/>
                              <w:rPr>
                                <w:sz w:val="20"/>
                              </w:rPr>
                            </w:pPr>
                            <w:r>
                              <w:rPr>
                                <w:color w:val="105C84"/>
                                <w:spacing w:val="-5"/>
                                <w:sz w:val="20"/>
                              </w:rPr>
                              <w:t>42%</w:t>
                            </w:r>
                          </w:p>
                        </w:tc>
                        <w:tc>
                          <w:tcPr>
                            <w:tcW w:w="2633" w:type="dxa"/>
                          </w:tcPr>
                          <w:p>
                            <w:pPr>
                              <w:pStyle w:val="TableParagraph"/>
                              <w:spacing w:before="59"/>
                              <w:ind w:left="6" w:right="3"/>
                              <w:jc w:val="center"/>
                              <w:rPr>
                                <w:sz w:val="20"/>
                              </w:rPr>
                            </w:pPr>
                            <w:r>
                              <w:rPr>
                                <w:color w:val="105C84"/>
                                <w:spacing w:val="-5"/>
                                <w:sz w:val="20"/>
                              </w:rPr>
                              <w:t>45%</w:t>
                            </w:r>
                          </w:p>
                        </w:tc>
                      </w:tr>
                      <w:tr>
                        <w:trPr>
                          <w:trHeight w:val="331" w:hRule="atLeast"/>
                        </w:trPr>
                        <w:tc>
                          <w:tcPr>
                            <w:tcW w:w="1861" w:type="dxa"/>
                            <w:shd w:val="clear" w:color="auto" w:fill="DCDDDE"/>
                          </w:tcPr>
                          <w:p>
                            <w:pPr>
                              <w:pStyle w:val="TableParagraph"/>
                              <w:spacing w:before="59"/>
                              <w:ind w:left="90"/>
                              <w:rPr>
                                <w:b/>
                                <w:sz w:val="20"/>
                              </w:rPr>
                            </w:pPr>
                            <w:r>
                              <w:rPr>
                                <w:b/>
                                <w:color w:val="105C84"/>
                                <w:spacing w:val="-2"/>
                                <w:sz w:val="20"/>
                              </w:rPr>
                              <w:t>Yates</w:t>
                            </w:r>
                          </w:p>
                        </w:tc>
                        <w:tc>
                          <w:tcPr>
                            <w:tcW w:w="2633" w:type="dxa"/>
                          </w:tcPr>
                          <w:p>
                            <w:pPr>
                              <w:pStyle w:val="TableParagraph"/>
                              <w:spacing w:before="59"/>
                              <w:ind w:left="6" w:right="1"/>
                              <w:jc w:val="center"/>
                              <w:rPr>
                                <w:sz w:val="20"/>
                              </w:rPr>
                            </w:pPr>
                            <w:r>
                              <w:rPr>
                                <w:color w:val="105C84"/>
                                <w:spacing w:val="-5"/>
                                <w:sz w:val="20"/>
                              </w:rPr>
                              <w:t>32%</w:t>
                            </w:r>
                          </w:p>
                        </w:tc>
                        <w:tc>
                          <w:tcPr>
                            <w:tcW w:w="2633" w:type="dxa"/>
                          </w:tcPr>
                          <w:p>
                            <w:pPr>
                              <w:pStyle w:val="TableParagraph"/>
                              <w:spacing w:before="59"/>
                              <w:ind w:left="6" w:right="1"/>
                              <w:jc w:val="center"/>
                              <w:rPr>
                                <w:sz w:val="20"/>
                              </w:rPr>
                            </w:pPr>
                            <w:r>
                              <w:rPr>
                                <w:color w:val="105C84"/>
                                <w:spacing w:val="-5"/>
                                <w:sz w:val="20"/>
                              </w:rPr>
                              <w:t>29%</w:t>
                            </w:r>
                          </w:p>
                        </w:tc>
                        <w:tc>
                          <w:tcPr>
                            <w:tcW w:w="2633" w:type="dxa"/>
                          </w:tcPr>
                          <w:p>
                            <w:pPr>
                              <w:pStyle w:val="TableParagraph"/>
                              <w:spacing w:before="59"/>
                              <w:ind w:left="6" w:right="3"/>
                              <w:jc w:val="center"/>
                              <w:rPr>
                                <w:sz w:val="20"/>
                              </w:rPr>
                            </w:pPr>
                            <w:r>
                              <w:rPr>
                                <w:color w:val="105C84"/>
                                <w:spacing w:val="-5"/>
                                <w:sz w:val="20"/>
                              </w:rPr>
                              <w:t>48%</w:t>
                            </w:r>
                          </w:p>
                        </w:tc>
                      </w:tr>
                      <w:tr>
                        <w:trPr>
                          <w:trHeight w:val="331" w:hRule="atLeast"/>
                        </w:trPr>
                        <w:tc>
                          <w:tcPr>
                            <w:tcW w:w="1861" w:type="dxa"/>
                            <w:shd w:val="clear" w:color="auto" w:fill="82BF6A"/>
                          </w:tcPr>
                          <w:p>
                            <w:pPr>
                              <w:pStyle w:val="TableParagraph"/>
                              <w:spacing w:before="59"/>
                              <w:ind w:left="90"/>
                              <w:rPr>
                                <w:b/>
                                <w:sz w:val="20"/>
                              </w:rPr>
                            </w:pPr>
                            <w:r>
                              <w:rPr>
                                <w:b/>
                                <w:color w:val="FFFFFF"/>
                                <w:sz w:val="20"/>
                              </w:rPr>
                              <w:t>8</w:t>
                            </w:r>
                            <w:r>
                              <w:rPr>
                                <w:b/>
                                <w:color w:val="FFFFFF"/>
                                <w:spacing w:val="5"/>
                                <w:sz w:val="20"/>
                              </w:rPr>
                              <w:t> </w:t>
                            </w:r>
                            <w:r>
                              <w:rPr>
                                <w:b/>
                                <w:color w:val="FFFFFF"/>
                                <w:sz w:val="20"/>
                              </w:rPr>
                              <w:t>County</w:t>
                            </w:r>
                            <w:r>
                              <w:rPr>
                                <w:b/>
                                <w:color w:val="FFFFFF"/>
                                <w:spacing w:val="5"/>
                                <w:sz w:val="20"/>
                              </w:rPr>
                              <w:t> </w:t>
                            </w:r>
                            <w:r>
                              <w:rPr>
                                <w:b/>
                                <w:color w:val="FFFFFF"/>
                                <w:spacing w:val="-2"/>
                                <w:sz w:val="20"/>
                              </w:rPr>
                              <w:t>Region</w:t>
                            </w:r>
                          </w:p>
                        </w:tc>
                        <w:tc>
                          <w:tcPr>
                            <w:tcW w:w="2633" w:type="dxa"/>
                            <w:shd w:val="clear" w:color="auto" w:fill="82BF6A"/>
                          </w:tcPr>
                          <w:p>
                            <w:pPr>
                              <w:pStyle w:val="TableParagraph"/>
                              <w:spacing w:before="59"/>
                              <w:ind w:left="6" w:right="1"/>
                              <w:jc w:val="center"/>
                              <w:rPr>
                                <w:b/>
                                <w:sz w:val="20"/>
                              </w:rPr>
                            </w:pPr>
                            <w:r>
                              <w:rPr>
                                <w:b/>
                                <w:color w:val="FFFFFF"/>
                                <w:spacing w:val="-5"/>
                                <w:w w:val="105"/>
                                <w:sz w:val="20"/>
                              </w:rPr>
                              <w:t>35%</w:t>
                            </w:r>
                          </w:p>
                        </w:tc>
                        <w:tc>
                          <w:tcPr>
                            <w:tcW w:w="2633" w:type="dxa"/>
                            <w:shd w:val="clear" w:color="auto" w:fill="82BF6A"/>
                          </w:tcPr>
                          <w:p>
                            <w:pPr>
                              <w:pStyle w:val="TableParagraph"/>
                              <w:spacing w:before="59"/>
                              <w:ind w:left="6" w:right="1"/>
                              <w:jc w:val="center"/>
                              <w:rPr>
                                <w:b/>
                                <w:sz w:val="20"/>
                              </w:rPr>
                            </w:pPr>
                            <w:r>
                              <w:rPr>
                                <w:b/>
                                <w:color w:val="FFFFFF"/>
                                <w:spacing w:val="-5"/>
                                <w:w w:val="105"/>
                                <w:sz w:val="20"/>
                              </w:rPr>
                              <w:t>41%</w:t>
                            </w:r>
                          </w:p>
                        </w:tc>
                        <w:tc>
                          <w:tcPr>
                            <w:tcW w:w="2633" w:type="dxa"/>
                            <w:shd w:val="clear" w:color="auto" w:fill="82BF6A"/>
                          </w:tcPr>
                          <w:p>
                            <w:pPr>
                              <w:pStyle w:val="TableParagraph"/>
                              <w:spacing w:before="59"/>
                              <w:ind w:left="6" w:right="2"/>
                              <w:jc w:val="center"/>
                              <w:rPr>
                                <w:b/>
                                <w:sz w:val="20"/>
                              </w:rPr>
                            </w:pPr>
                            <w:r>
                              <w:rPr>
                                <w:b/>
                                <w:color w:val="FFFFFF"/>
                                <w:spacing w:val="-5"/>
                                <w:w w:val="105"/>
                                <w:sz w:val="20"/>
                              </w:rPr>
                              <w:t>45%</w:t>
                            </w:r>
                          </w:p>
                        </w:tc>
                      </w:tr>
                      <w:tr>
                        <w:trPr>
                          <w:trHeight w:val="331" w:hRule="atLeast"/>
                        </w:trPr>
                        <w:tc>
                          <w:tcPr>
                            <w:tcW w:w="1861" w:type="dxa"/>
                          </w:tcPr>
                          <w:p>
                            <w:pPr>
                              <w:pStyle w:val="TableParagraph"/>
                              <w:spacing w:before="60"/>
                              <w:ind w:left="90"/>
                              <w:rPr>
                                <w:b/>
                                <w:sz w:val="20"/>
                              </w:rPr>
                            </w:pPr>
                            <w:r>
                              <w:rPr>
                                <w:b/>
                                <w:color w:val="105C84"/>
                                <w:spacing w:val="-5"/>
                                <w:sz w:val="20"/>
                              </w:rPr>
                              <w:t>NYS</w:t>
                            </w:r>
                          </w:p>
                        </w:tc>
                        <w:tc>
                          <w:tcPr>
                            <w:tcW w:w="2633" w:type="dxa"/>
                          </w:tcPr>
                          <w:p>
                            <w:pPr>
                              <w:pStyle w:val="TableParagraph"/>
                              <w:spacing w:before="60"/>
                              <w:ind w:left="6"/>
                              <w:jc w:val="center"/>
                              <w:rPr>
                                <w:b/>
                                <w:sz w:val="20"/>
                              </w:rPr>
                            </w:pPr>
                            <w:r>
                              <w:rPr>
                                <w:b/>
                                <w:color w:val="105C84"/>
                                <w:spacing w:val="-5"/>
                                <w:w w:val="105"/>
                                <w:sz w:val="20"/>
                              </w:rPr>
                              <w:t>27%</w:t>
                            </w:r>
                          </w:p>
                        </w:tc>
                        <w:tc>
                          <w:tcPr>
                            <w:tcW w:w="2633" w:type="dxa"/>
                          </w:tcPr>
                          <w:p>
                            <w:pPr>
                              <w:pStyle w:val="TableParagraph"/>
                              <w:spacing w:before="60"/>
                              <w:ind w:left="6" w:right="1"/>
                              <w:jc w:val="center"/>
                              <w:rPr>
                                <w:b/>
                                <w:sz w:val="20"/>
                              </w:rPr>
                            </w:pPr>
                            <w:r>
                              <w:rPr>
                                <w:b/>
                                <w:color w:val="105C84"/>
                                <w:spacing w:val="-5"/>
                                <w:w w:val="105"/>
                                <w:sz w:val="20"/>
                              </w:rPr>
                              <w:t>33%</w:t>
                            </w:r>
                          </w:p>
                        </w:tc>
                        <w:tc>
                          <w:tcPr>
                            <w:tcW w:w="2633" w:type="dxa"/>
                          </w:tcPr>
                          <w:p>
                            <w:pPr>
                              <w:pStyle w:val="TableParagraph"/>
                              <w:spacing w:before="60"/>
                              <w:ind w:left="6" w:right="2"/>
                              <w:jc w:val="center"/>
                              <w:rPr>
                                <w:b/>
                                <w:sz w:val="20"/>
                              </w:rPr>
                            </w:pPr>
                            <w:r>
                              <w:rPr>
                                <w:b/>
                                <w:color w:val="105C84"/>
                                <w:spacing w:val="-5"/>
                                <w:w w:val="105"/>
                                <w:sz w:val="20"/>
                              </w:rPr>
                              <w:t>40%</w:t>
                            </w:r>
                          </w:p>
                        </w:tc>
                      </w:tr>
                    </w:tbl>
                    <w:p>
                      <w:pPr>
                        <w:pStyle w:val="BodyText"/>
                      </w:pPr>
                    </w:p>
                  </w:txbxContent>
                </v:textbox>
                <w10:wrap type="none"/>
              </v:shape>
            </w:pict>
          </mc:Fallback>
        </mc:AlternateContent>
      </w:r>
      <w:r>
        <w:rPr>
          <w:color w:val="636466"/>
          <w:spacing w:val="-2"/>
          <w:sz w:val="18"/>
        </w:rPr>
        <w:t>Chemung</w:t>
      </w:r>
      <w:r>
        <w:rPr>
          <w:color w:val="636466"/>
          <w:sz w:val="18"/>
        </w:rPr>
        <w:tab/>
      </w:r>
      <w:r>
        <w:rPr>
          <w:color w:val="636466"/>
          <w:spacing w:val="-2"/>
          <w:sz w:val="18"/>
        </w:rPr>
        <w:t>Livingston</w:t>
      </w:r>
      <w:r>
        <w:rPr>
          <w:color w:val="636466"/>
          <w:sz w:val="18"/>
        </w:rPr>
        <w:tab/>
      </w:r>
      <w:r>
        <w:rPr>
          <w:color w:val="636466"/>
          <w:spacing w:val="-2"/>
          <w:sz w:val="18"/>
        </w:rPr>
        <w:t>Ontario</w:t>
      </w:r>
      <w:r>
        <w:rPr>
          <w:color w:val="636466"/>
          <w:sz w:val="18"/>
        </w:rPr>
        <w:tab/>
      </w:r>
      <w:r>
        <w:rPr>
          <w:color w:val="636466"/>
          <w:spacing w:val="-2"/>
          <w:sz w:val="18"/>
        </w:rPr>
        <w:t>Schuyler</w:t>
      </w:r>
      <w:r>
        <w:rPr>
          <w:color w:val="636466"/>
          <w:sz w:val="18"/>
        </w:rPr>
        <w:tab/>
      </w:r>
      <w:r>
        <w:rPr>
          <w:color w:val="636466"/>
          <w:spacing w:val="-2"/>
          <w:sz w:val="18"/>
        </w:rPr>
        <w:t>Seneca</w:t>
      </w:r>
      <w:r>
        <w:rPr>
          <w:color w:val="636466"/>
          <w:sz w:val="18"/>
        </w:rPr>
        <w:tab/>
      </w:r>
      <w:r>
        <w:rPr>
          <w:color w:val="636466"/>
          <w:spacing w:val="-2"/>
          <w:sz w:val="18"/>
        </w:rPr>
        <w:t>Steuben</w:t>
      </w:r>
      <w:r>
        <w:rPr>
          <w:color w:val="636466"/>
          <w:sz w:val="18"/>
        </w:rPr>
        <w:tab/>
      </w:r>
      <w:r>
        <w:rPr>
          <w:color w:val="636466"/>
          <w:spacing w:val="-2"/>
          <w:sz w:val="18"/>
        </w:rPr>
        <w:t>Wayne</w:t>
      </w:r>
      <w:r>
        <w:rPr>
          <w:color w:val="636466"/>
          <w:sz w:val="18"/>
        </w:rPr>
        <w:tab/>
      </w:r>
      <w:r>
        <w:rPr>
          <w:color w:val="636466"/>
          <w:spacing w:val="-2"/>
          <w:sz w:val="18"/>
        </w:rPr>
        <w:t>Yates</w:t>
      </w:r>
      <w:r>
        <w:rPr>
          <w:color w:val="636466"/>
          <w:sz w:val="18"/>
        </w:rPr>
        <w:tab/>
      </w:r>
      <w:r>
        <w:rPr>
          <w:color w:val="636466"/>
          <w:w w:val="90"/>
          <w:sz w:val="18"/>
        </w:rPr>
        <w:t>NYS</w:t>
      </w:r>
      <w:r>
        <w:rPr>
          <w:color w:val="636466"/>
          <w:spacing w:val="3"/>
          <w:sz w:val="18"/>
        </w:rPr>
        <w:t> </w:t>
      </w:r>
      <w:r>
        <w:rPr>
          <w:color w:val="636466"/>
          <w:spacing w:val="-2"/>
          <w:sz w:val="18"/>
        </w:rPr>
        <w:t>Excl.</w:t>
      </w:r>
    </w:p>
    <w:p>
      <w:pPr>
        <w:spacing w:line="205" w:lineRule="exact" w:before="0"/>
        <w:ind w:left="0" w:right="4190" w:firstLine="0"/>
        <w:jc w:val="center"/>
        <w:rPr>
          <w:sz w:val="18"/>
        </w:rPr>
      </w:pPr>
      <w:r>
        <w:rPr>
          <w:color w:val="636466"/>
          <w:spacing w:val="-5"/>
          <w:sz w:val="18"/>
        </w:rPr>
        <w:t>NYC</w:t>
      </w:r>
    </w:p>
    <w:p>
      <w:pPr>
        <w:spacing w:after="0" w:line="205" w:lineRule="exact"/>
        <w:jc w:val="center"/>
        <w:rPr>
          <w:sz w:val="18"/>
        </w:rPr>
        <w:sectPr>
          <w:type w:val="continuous"/>
          <w:pgSz w:w="24480" w:h="15840" w:orient="landscape"/>
          <w:pgMar w:header="0" w:footer="0" w:top="0" w:bottom="280" w:left="0" w:right="720"/>
          <w:cols w:num="2" w:equalWidth="0">
            <w:col w:w="1855" w:space="40"/>
            <w:col w:w="21865"/>
          </w:cols>
        </w:sectPr>
      </w:pPr>
    </w:p>
    <w:p>
      <w:pPr>
        <w:spacing w:line="235" w:lineRule="auto" w:before="62"/>
        <w:ind w:left="2069" w:right="38" w:firstLine="0"/>
        <w:jc w:val="left"/>
        <w:rPr>
          <w:sz w:val="16"/>
        </w:rPr>
      </w:pPr>
      <w:r>
        <w:rPr>
          <w:color w:val="105C84"/>
          <w:sz w:val="16"/>
        </w:rPr>
        <w:t>Source:</w:t>
      </w:r>
      <w:r>
        <w:rPr>
          <w:color w:val="105C84"/>
          <w:spacing w:val="-3"/>
          <w:sz w:val="16"/>
        </w:rPr>
        <w:t> </w:t>
      </w:r>
      <w:r>
        <w:rPr>
          <w:color w:val="105C84"/>
          <w:sz w:val="16"/>
        </w:rPr>
        <w:t>Division</w:t>
      </w:r>
      <w:r>
        <w:rPr>
          <w:color w:val="105C84"/>
          <w:spacing w:val="-3"/>
          <w:sz w:val="16"/>
        </w:rPr>
        <w:t> </w:t>
      </w:r>
      <w:r>
        <w:rPr>
          <w:color w:val="105C84"/>
          <w:sz w:val="16"/>
        </w:rPr>
        <w:t>of</w:t>
      </w:r>
      <w:r>
        <w:rPr>
          <w:color w:val="105C84"/>
          <w:spacing w:val="-3"/>
          <w:sz w:val="16"/>
        </w:rPr>
        <w:t> </w:t>
      </w:r>
      <w:r>
        <w:rPr>
          <w:color w:val="105C84"/>
          <w:sz w:val="16"/>
        </w:rPr>
        <w:t>Chronic</w:t>
      </w:r>
      <w:r>
        <w:rPr>
          <w:color w:val="105C84"/>
          <w:spacing w:val="-3"/>
          <w:sz w:val="16"/>
        </w:rPr>
        <w:t> </w:t>
      </w:r>
      <w:r>
        <w:rPr>
          <w:color w:val="105C84"/>
          <w:sz w:val="16"/>
        </w:rPr>
        <w:t>Disease</w:t>
      </w:r>
      <w:r>
        <w:rPr>
          <w:color w:val="105C84"/>
          <w:spacing w:val="-3"/>
          <w:sz w:val="16"/>
        </w:rPr>
        <w:t> </w:t>
      </w:r>
      <w:r>
        <w:rPr>
          <w:color w:val="105C84"/>
          <w:sz w:val="16"/>
        </w:rPr>
        <w:t>and</w:t>
      </w:r>
      <w:r>
        <w:rPr>
          <w:color w:val="105C84"/>
          <w:spacing w:val="-3"/>
          <w:sz w:val="16"/>
        </w:rPr>
        <w:t> </w:t>
      </w:r>
      <w:r>
        <w:rPr>
          <w:color w:val="105C84"/>
          <w:sz w:val="16"/>
        </w:rPr>
        <w:t>Injury</w:t>
      </w:r>
      <w:r>
        <w:rPr>
          <w:color w:val="105C84"/>
          <w:spacing w:val="-3"/>
          <w:sz w:val="16"/>
        </w:rPr>
        <w:t> </w:t>
      </w:r>
      <w:r>
        <w:rPr>
          <w:color w:val="105C84"/>
          <w:sz w:val="16"/>
        </w:rPr>
        <w:t>Prevention,</w:t>
      </w:r>
      <w:r>
        <w:rPr>
          <w:color w:val="105C84"/>
          <w:spacing w:val="-3"/>
          <w:sz w:val="16"/>
        </w:rPr>
        <w:t> </w:t>
      </w:r>
      <w:r>
        <w:rPr>
          <w:color w:val="105C84"/>
          <w:sz w:val="16"/>
        </w:rPr>
        <w:t>Bureau</w:t>
      </w:r>
      <w:r>
        <w:rPr>
          <w:color w:val="105C84"/>
          <w:spacing w:val="-3"/>
          <w:sz w:val="16"/>
        </w:rPr>
        <w:t> </w:t>
      </w:r>
      <w:r>
        <w:rPr>
          <w:color w:val="105C84"/>
          <w:sz w:val="16"/>
        </w:rPr>
        <w:t>of</w:t>
      </w:r>
      <w:r>
        <w:rPr>
          <w:color w:val="105C84"/>
          <w:spacing w:val="-3"/>
          <w:sz w:val="16"/>
        </w:rPr>
        <w:t> </w:t>
      </w:r>
      <w:r>
        <w:rPr>
          <w:color w:val="105C84"/>
          <w:sz w:val="16"/>
        </w:rPr>
        <w:t>Chronic</w:t>
      </w:r>
      <w:r>
        <w:rPr>
          <w:color w:val="105C84"/>
          <w:spacing w:val="-3"/>
          <w:sz w:val="16"/>
        </w:rPr>
        <w:t> </w:t>
      </w:r>
      <w:r>
        <w:rPr>
          <w:color w:val="105C84"/>
          <w:sz w:val="16"/>
        </w:rPr>
        <w:t>Evaluation</w:t>
      </w:r>
      <w:r>
        <w:rPr>
          <w:color w:val="105C84"/>
          <w:spacing w:val="-3"/>
          <w:sz w:val="16"/>
        </w:rPr>
        <w:t> </w:t>
      </w:r>
      <w:r>
        <w:rPr>
          <w:color w:val="105C84"/>
          <w:sz w:val="16"/>
        </w:rPr>
        <w:t>and</w:t>
      </w:r>
      <w:r>
        <w:rPr>
          <w:color w:val="105C84"/>
          <w:spacing w:val="-3"/>
          <w:sz w:val="16"/>
        </w:rPr>
        <w:t> </w:t>
      </w:r>
      <w:r>
        <w:rPr>
          <w:color w:val="105C84"/>
          <w:sz w:val="16"/>
        </w:rPr>
        <w:t>Research,</w:t>
      </w:r>
      <w:r>
        <w:rPr>
          <w:color w:val="105C84"/>
          <w:spacing w:val="-3"/>
          <w:sz w:val="16"/>
        </w:rPr>
        <w:t> </w:t>
      </w:r>
      <w:r>
        <w:rPr>
          <w:color w:val="105C84"/>
          <w:sz w:val="16"/>
        </w:rPr>
        <w:t>New</w:t>
      </w:r>
      <w:r>
        <w:rPr>
          <w:color w:val="105C84"/>
          <w:spacing w:val="-3"/>
          <w:sz w:val="16"/>
        </w:rPr>
        <w:t> </w:t>
      </w:r>
      <w:r>
        <w:rPr>
          <w:color w:val="105C84"/>
          <w:sz w:val="16"/>
        </w:rPr>
        <w:t>York</w:t>
      </w:r>
      <w:r>
        <w:rPr>
          <w:color w:val="105C84"/>
          <w:spacing w:val="-3"/>
          <w:sz w:val="16"/>
        </w:rPr>
        <w:t> </w:t>
      </w:r>
      <w:r>
        <w:rPr>
          <w:color w:val="105C84"/>
          <w:sz w:val="16"/>
        </w:rPr>
        <w:t>State Department</w:t>
      </w:r>
      <w:r>
        <w:rPr>
          <w:color w:val="105C84"/>
          <w:spacing w:val="-11"/>
          <w:sz w:val="16"/>
        </w:rPr>
        <w:t> </w:t>
      </w:r>
      <w:r>
        <w:rPr>
          <w:color w:val="105C84"/>
          <w:sz w:val="16"/>
        </w:rPr>
        <w:t>of</w:t>
      </w:r>
      <w:r>
        <w:rPr>
          <w:color w:val="105C84"/>
          <w:spacing w:val="-11"/>
          <w:sz w:val="16"/>
        </w:rPr>
        <w:t> </w:t>
      </w:r>
      <w:r>
        <w:rPr>
          <w:color w:val="105C84"/>
          <w:sz w:val="16"/>
        </w:rPr>
        <w:t>Health,</w:t>
      </w:r>
      <w:r>
        <w:rPr>
          <w:color w:val="105C84"/>
          <w:spacing w:val="-11"/>
          <w:sz w:val="16"/>
        </w:rPr>
        <w:t> </w:t>
      </w:r>
      <w:r>
        <w:rPr>
          <w:color w:val="105C84"/>
          <w:sz w:val="16"/>
        </w:rPr>
        <w:t>Behavioral</w:t>
      </w:r>
      <w:r>
        <w:rPr>
          <w:color w:val="105C84"/>
          <w:spacing w:val="-11"/>
          <w:sz w:val="16"/>
        </w:rPr>
        <w:t> </w:t>
      </w:r>
      <w:r>
        <w:rPr>
          <w:color w:val="105C84"/>
          <w:sz w:val="16"/>
        </w:rPr>
        <w:t>Risk</w:t>
      </w:r>
      <w:r>
        <w:rPr>
          <w:color w:val="105C84"/>
          <w:spacing w:val="-11"/>
          <w:sz w:val="16"/>
        </w:rPr>
        <w:t> </w:t>
      </w:r>
      <w:r>
        <w:rPr>
          <w:color w:val="105C84"/>
          <w:sz w:val="16"/>
        </w:rPr>
        <w:t>Factor</w:t>
      </w:r>
      <w:r>
        <w:rPr>
          <w:color w:val="105C84"/>
          <w:spacing w:val="-11"/>
          <w:sz w:val="16"/>
        </w:rPr>
        <w:t> </w:t>
      </w:r>
      <w:r>
        <w:rPr>
          <w:color w:val="105C84"/>
          <w:sz w:val="16"/>
        </w:rPr>
        <w:t>Surveillance</w:t>
      </w:r>
      <w:r>
        <w:rPr>
          <w:color w:val="105C84"/>
          <w:spacing w:val="-11"/>
          <w:sz w:val="16"/>
        </w:rPr>
        <w:t> </w:t>
      </w:r>
      <w:r>
        <w:rPr>
          <w:color w:val="105C84"/>
          <w:sz w:val="16"/>
        </w:rPr>
        <w:t>System,</w:t>
      </w:r>
      <w:r>
        <w:rPr>
          <w:color w:val="105C84"/>
          <w:spacing w:val="-11"/>
          <w:sz w:val="16"/>
        </w:rPr>
        <w:t> </w:t>
      </w:r>
      <w:r>
        <w:rPr>
          <w:color w:val="105C84"/>
          <w:sz w:val="16"/>
        </w:rPr>
        <w:t>Year</w:t>
      </w:r>
      <w:r>
        <w:rPr>
          <w:color w:val="105C84"/>
          <w:spacing w:val="-11"/>
          <w:sz w:val="16"/>
        </w:rPr>
        <w:t> </w:t>
      </w:r>
      <w:r>
        <w:rPr>
          <w:color w:val="105C84"/>
          <w:sz w:val="16"/>
        </w:rPr>
        <w:t>2016.</w:t>
      </w:r>
      <w:r>
        <w:rPr>
          <w:color w:val="105C84"/>
          <w:spacing w:val="-11"/>
          <w:sz w:val="16"/>
        </w:rPr>
        <w:t> </w:t>
      </w:r>
      <w:r>
        <w:rPr>
          <w:color w:val="105C84"/>
          <w:sz w:val="16"/>
        </w:rPr>
        <w:t>Analysis</w:t>
      </w:r>
      <w:r>
        <w:rPr>
          <w:color w:val="105C84"/>
          <w:spacing w:val="-11"/>
          <w:sz w:val="16"/>
        </w:rPr>
        <w:t> </w:t>
      </w:r>
      <w:r>
        <w:rPr>
          <w:color w:val="105C84"/>
          <w:sz w:val="16"/>
        </w:rPr>
        <w:t>Completed</w:t>
      </w:r>
      <w:r>
        <w:rPr>
          <w:color w:val="105C84"/>
          <w:spacing w:val="-11"/>
          <w:sz w:val="16"/>
        </w:rPr>
        <w:t> </w:t>
      </w:r>
      <w:r>
        <w:rPr>
          <w:color w:val="105C84"/>
          <w:sz w:val="16"/>
        </w:rPr>
        <w:t>by</w:t>
      </w:r>
      <w:r>
        <w:rPr>
          <w:color w:val="105C84"/>
          <w:spacing w:val="-11"/>
          <w:sz w:val="16"/>
        </w:rPr>
        <w:t> </w:t>
      </w:r>
      <w:r>
        <w:rPr>
          <w:color w:val="105C84"/>
          <w:sz w:val="16"/>
        </w:rPr>
        <w:t>Common</w:t>
      </w:r>
      <w:r>
        <w:rPr>
          <w:color w:val="105C84"/>
          <w:spacing w:val="-11"/>
          <w:sz w:val="16"/>
        </w:rPr>
        <w:t> </w:t>
      </w:r>
      <w:r>
        <w:rPr>
          <w:color w:val="105C84"/>
          <w:sz w:val="16"/>
        </w:rPr>
        <w:t>Ground</w:t>
      </w:r>
      <w:r>
        <w:rPr>
          <w:color w:val="105C84"/>
          <w:spacing w:val="-11"/>
          <w:sz w:val="16"/>
        </w:rPr>
        <w:t> </w:t>
      </w:r>
      <w:r>
        <w:rPr>
          <w:color w:val="105C84"/>
          <w:sz w:val="16"/>
        </w:rPr>
        <w:t>Health</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43"/>
        <w:rPr>
          <w:sz w:val="16"/>
        </w:rPr>
      </w:pPr>
    </w:p>
    <w:p>
      <w:pPr>
        <w:spacing w:before="0"/>
        <w:ind w:left="2069" w:right="0" w:firstLine="0"/>
        <w:jc w:val="left"/>
        <w:rPr>
          <w:sz w:val="16"/>
        </w:rPr>
      </w:pPr>
      <w:r>
        <w:rPr>
          <w:color w:val="0C5D86"/>
          <w:spacing w:val="-4"/>
          <w:sz w:val="16"/>
        </w:rPr>
        <w:t>Source:</w:t>
      </w:r>
      <w:r>
        <w:rPr>
          <w:color w:val="0C5D86"/>
          <w:spacing w:val="5"/>
          <w:sz w:val="16"/>
        </w:rPr>
        <w:t> </w:t>
      </w:r>
      <w:r>
        <w:rPr>
          <w:color w:val="0C5D86"/>
          <w:spacing w:val="-4"/>
          <w:sz w:val="16"/>
        </w:rPr>
        <w:t>Behavioral</w:t>
      </w:r>
      <w:r>
        <w:rPr>
          <w:color w:val="0C5D86"/>
          <w:spacing w:val="6"/>
          <w:sz w:val="16"/>
        </w:rPr>
        <w:t> </w:t>
      </w:r>
      <w:r>
        <w:rPr>
          <w:color w:val="0C5D86"/>
          <w:spacing w:val="-4"/>
          <w:sz w:val="16"/>
        </w:rPr>
        <w:t>Risk</w:t>
      </w:r>
      <w:r>
        <w:rPr>
          <w:color w:val="0C5D86"/>
          <w:spacing w:val="5"/>
          <w:sz w:val="16"/>
        </w:rPr>
        <w:t> </w:t>
      </w:r>
      <w:r>
        <w:rPr>
          <w:color w:val="0C5D86"/>
          <w:spacing w:val="-4"/>
          <w:sz w:val="16"/>
        </w:rPr>
        <w:t>Factor</w:t>
      </w:r>
      <w:r>
        <w:rPr>
          <w:color w:val="0C5D86"/>
          <w:spacing w:val="6"/>
          <w:sz w:val="16"/>
        </w:rPr>
        <w:t> </w:t>
      </w:r>
      <w:r>
        <w:rPr>
          <w:color w:val="0C5D86"/>
          <w:spacing w:val="-4"/>
          <w:sz w:val="16"/>
        </w:rPr>
        <w:t>Surveillance</w:t>
      </w:r>
      <w:r>
        <w:rPr>
          <w:color w:val="0C5D86"/>
          <w:spacing w:val="5"/>
          <w:sz w:val="16"/>
        </w:rPr>
        <w:t> </w:t>
      </w:r>
      <w:r>
        <w:rPr>
          <w:color w:val="0C5D86"/>
          <w:spacing w:val="-4"/>
          <w:sz w:val="16"/>
        </w:rPr>
        <w:t>System,</w:t>
      </w:r>
      <w:r>
        <w:rPr>
          <w:color w:val="0C5D86"/>
          <w:spacing w:val="6"/>
          <w:sz w:val="16"/>
        </w:rPr>
        <w:t> </w:t>
      </w:r>
      <w:r>
        <w:rPr>
          <w:color w:val="0C5D86"/>
          <w:spacing w:val="-4"/>
          <w:sz w:val="16"/>
        </w:rPr>
        <w:t>2016</w:t>
      </w:r>
    </w:p>
    <w:p>
      <w:pPr>
        <w:spacing w:after="0"/>
        <w:jc w:val="left"/>
        <w:rPr>
          <w:sz w:val="16"/>
        </w:rPr>
        <w:sectPr>
          <w:type w:val="continuous"/>
          <w:pgSz w:w="24480" w:h="15840" w:orient="landscape"/>
          <w:pgMar w:header="0" w:footer="0" w:top="0" w:bottom="280" w:left="0" w:right="720"/>
          <w:cols w:num="2" w:equalWidth="0">
            <w:col w:w="11025" w:space="240"/>
            <w:col w:w="12495"/>
          </w:cols>
        </w:sectPr>
      </w:pPr>
    </w:p>
    <w:p>
      <w:pPr>
        <w:pStyle w:val="BodyText"/>
        <w:rPr>
          <w:sz w:val="26"/>
        </w:rPr>
      </w:pPr>
      <w:r>
        <w:rPr>
          <w:sz w:val="26"/>
        </w:rPr>
        <w:drawing>
          <wp:anchor distT="0" distB="0" distL="0" distR="0" allowOverlap="1" layoutInCell="1" locked="0" behindDoc="0" simplePos="0" relativeHeight="15747072">
            <wp:simplePos x="0" y="0"/>
            <wp:positionH relativeFrom="page">
              <wp:posOffset>14981556</wp:posOffset>
            </wp:positionH>
            <wp:positionV relativeFrom="page">
              <wp:posOffset>9668103</wp:posOffset>
            </wp:positionV>
            <wp:extent cx="563245" cy="184683"/>
            <wp:effectExtent l="0" t="0" r="0" b="0"/>
            <wp:wrapNone/>
            <wp:docPr id="205" name="Image 205"/>
            <wp:cNvGraphicFramePr>
              <a:graphicFrameLocks/>
            </wp:cNvGraphicFramePr>
            <a:graphic>
              <a:graphicData uri="http://schemas.openxmlformats.org/drawingml/2006/picture">
                <pic:pic>
                  <pic:nvPicPr>
                    <pic:cNvPr id="205" name="Image 205"/>
                    <pic:cNvPicPr/>
                  </pic:nvPicPr>
                  <pic:blipFill>
                    <a:blip r:embed="rId38" cstate="print"/>
                    <a:stretch>
                      <a:fillRect/>
                    </a:stretch>
                  </pic:blipFill>
                  <pic:spPr>
                    <a:xfrm>
                      <a:off x="0" y="0"/>
                      <a:ext cx="563245" cy="184683"/>
                    </a:xfrm>
                    <a:prstGeom prst="rect">
                      <a:avLst/>
                    </a:prstGeom>
                  </pic:spPr>
                </pic:pic>
              </a:graphicData>
            </a:graphic>
          </wp:anchor>
        </w:drawing>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5"/>
        <w:rPr>
          <w:sz w:val="26"/>
        </w:rPr>
      </w:pPr>
    </w:p>
    <w:p>
      <w:pPr>
        <w:tabs>
          <w:tab w:pos="23147" w:val="left" w:leader="none"/>
        </w:tabs>
        <w:spacing w:before="1"/>
        <w:ind w:left="0" w:right="0" w:firstLine="0"/>
        <w:jc w:val="left"/>
        <w:rPr>
          <w:b/>
          <w:sz w:val="26"/>
        </w:rPr>
      </w:pPr>
      <w:r>
        <w:rPr>
          <w:position w:val="-4"/>
        </w:rPr>
        <w:drawing>
          <wp:inline distT="0" distB="0" distL="0" distR="0">
            <wp:extent cx="568172" cy="184683"/>
            <wp:effectExtent l="0" t="0" r="0" b="0"/>
            <wp:docPr id="206" name="Image 206"/>
            <wp:cNvGraphicFramePr>
              <a:graphicFrameLocks/>
            </wp:cNvGraphicFramePr>
            <a:graphic>
              <a:graphicData uri="http://schemas.openxmlformats.org/drawingml/2006/picture">
                <pic:pic>
                  <pic:nvPicPr>
                    <pic:cNvPr id="206" name="Image 206"/>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80"/>
          <w:w w:val="105"/>
          <w:sz w:val="20"/>
        </w:rPr>
        <w:t> </w:t>
      </w:r>
      <w:r>
        <w:rPr>
          <w:b/>
          <w:color w:val="939598"/>
          <w:w w:val="105"/>
          <w:sz w:val="26"/>
        </w:rPr>
        <w:t>17</w:t>
      </w:r>
      <w:r>
        <w:rPr>
          <w:b/>
          <w:color w:val="939598"/>
          <w:sz w:val="26"/>
        </w:rPr>
        <w:tab/>
      </w:r>
      <w:r>
        <w:rPr>
          <w:b/>
          <w:color w:val="939598"/>
          <w:spacing w:val="-5"/>
          <w:w w:val="105"/>
          <w:sz w:val="26"/>
        </w:rPr>
        <w:t>18</w:t>
      </w:r>
    </w:p>
    <w:p>
      <w:pPr>
        <w:spacing w:after="0"/>
        <w:jc w:val="left"/>
        <w:rPr>
          <w:b/>
          <w:sz w:val="26"/>
        </w:rPr>
        <w:sectPr>
          <w:type w:val="continuous"/>
          <w:pgSz w:w="24480" w:h="15840" w:orient="landscape"/>
          <w:pgMar w:header="0" w:footer="0" w:top="0" w:bottom="280" w:left="0" w:right="720"/>
        </w:sectPr>
      </w:pPr>
    </w:p>
    <w:p>
      <w:pPr>
        <w:pStyle w:val="BodyText"/>
        <w:rPr>
          <w:b/>
          <w:sz w:val="20"/>
        </w:rPr>
      </w:pPr>
    </w:p>
    <w:p>
      <w:pPr>
        <w:pStyle w:val="BodyText"/>
        <w:spacing w:before="16"/>
        <w:rPr>
          <w:b/>
          <w:sz w:val="20"/>
        </w:rPr>
      </w:pPr>
    </w:p>
    <w:p>
      <w:pPr>
        <w:pStyle w:val="BodyText"/>
        <w:spacing w:after="0"/>
        <w:rPr>
          <w:b/>
          <w:sz w:val="20"/>
        </w:rPr>
        <w:sectPr>
          <w:pgSz w:w="24480" w:h="15840" w:orient="landscape"/>
          <w:pgMar w:header="0" w:footer="0" w:top="860" w:bottom="0" w:left="0" w:right="720"/>
        </w:sectPr>
      </w:pPr>
    </w:p>
    <w:p>
      <w:pPr>
        <w:pStyle w:val="BodyText"/>
        <w:spacing w:line="247" w:lineRule="auto" w:before="113"/>
        <w:ind w:left="1094" w:right="122"/>
      </w:pPr>
      <w:r>
        <w:rPr>
          <w:color w:val="105C84"/>
        </w:rPr>
        <w:t>In addition, there are some stark differences in rates of obesity by sex. Data appear to demonstrate that more males are reported obese than females (Table 3).</w:t>
      </w:r>
    </w:p>
    <w:p>
      <w:pPr>
        <w:pStyle w:val="BodyText"/>
        <w:spacing w:before="19"/>
      </w:pPr>
    </w:p>
    <w:p>
      <w:pPr>
        <w:pStyle w:val="Heading6"/>
        <w:ind w:left="1094"/>
      </w:pPr>
      <w:r>
        <w:rPr>
          <w:color w:val="105C84"/>
          <w:spacing w:val="-4"/>
        </w:rPr>
        <w:t>TABLE</w:t>
      </w:r>
      <w:r>
        <w:rPr>
          <w:color w:val="105C84"/>
          <w:spacing w:val="-10"/>
        </w:rPr>
        <w:t> </w:t>
      </w:r>
      <w:r>
        <w:rPr>
          <w:color w:val="105C84"/>
          <w:spacing w:val="-4"/>
        </w:rPr>
        <w:t>3:</w:t>
      </w:r>
      <w:r>
        <w:rPr>
          <w:color w:val="105C84"/>
          <w:spacing w:val="-10"/>
        </w:rPr>
        <w:t> </w:t>
      </w:r>
      <w:r>
        <w:rPr>
          <w:color w:val="105C84"/>
          <w:spacing w:val="-4"/>
        </w:rPr>
        <w:t>Obesity</w:t>
      </w:r>
      <w:r>
        <w:rPr>
          <w:color w:val="105C84"/>
          <w:spacing w:val="-9"/>
        </w:rPr>
        <w:t> </w:t>
      </w:r>
      <w:r>
        <w:rPr>
          <w:color w:val="105C84"/>
          <w:spacing w:val="-4"/>
        </w:rPr>
        <w:t>rates</w:t>
      </w:r>
      <w:r>
        <w:rPr>
          <w:color w:val="105C84"/>
          <w:spacing w:val="-10"/>
        </w:rPr>
        <w:t> </w:t>
      </w:r>
      <w:r>
        <w:rPr>
          <w:color w:val="105C84"/>
          <w:spacing w:val="-4"/>
        </w:rPr>
        <w:t>by</w:t>
      </w:r>
      <w:r>
        <w:rPr>
          <w:color w:val="105C84"/>
          <w:spacing w:val="-10"/>
        </w:rPr>
        <w:t> </w:t>
      </w:r>
      <w:r>
        <w:rPr>
          <w:color w:val="105C84"/>
          <w:spacing w:val="-5"/>
        </w:rPr>
        <w:t>sex</w:t>
      </w:r>
    </w:p>
    <w:p>
      <w:pPr>
        <w:pStyle w:val="BodyText"/>
        <w:spacing w:line="247" w:lineRule="auto" w:before="113"/>
        <w:ind w:left="1094" w:right="485"/>
      </w:pPr>
      <w:r>
        <w:rPr/>
        <w:br w:type="column"/>
      </w:r>
      <w:r>
        <w:rPr>
          <w:color w:val="105C84"/>
        </w:rPr>
        <w:t>There is a four percent difference in hypertension control rate by socioeconomic status in the eight</w:t>
      </w:r>
      <w:r>
        <w:rPr>
          <w:color w:val="105C84"/>
          <w:spacing w:val="40"/>
        </w:rPr>
        <w:t> </w:t>
      </w:r>
      <w:r>
        <w:rPr>
          <w:color w:val="105C84"/>
        </w:rPr>
        <w:t>county region (Figure 6). Reducing the disparity requires engaging patients in taking control of their</w:t>
      </w:r>
      <w:r>
        <w:rPr>
          <w:color w:val="105C84"/>
          <w:spacing w:val="80"/>
        </w:rPr>
        <w:t> </w:t>
      </w:r>
      <w:r>
        <w:rPr>
          <w:color w:val="105C84"/>
        </w:rPr>
        <w:t>blood pressure through various methods including blood pressure medication adherence, being</w:t>
      </w:r>
      <w:r>
        <w:rPr>
          <w:color w:val="105C84"/>
          <w:spacing w:val="80"/>
        </w:rPr>
        <w:t> </w:t>
      </w:r>
      <w:r>
        <w:rPr>
          <w:color w:val="105C84"/>
        </w:rPr>
        <w:t>physically active and eating healthy. Low income patients are less able to afford medications and healthy</w:t>
      </w:r>
      <w:r>
        <w:rPr>
          <w:color w:val="105C84"/>
          <w:spacing w:val="24"/>
        </w:rPr>
        <w:t> </w:t>
      </w:r>
      <w:r>
        <w:rPr>
          <w:color w:val="105C84"/>
        </w:rPr>
        <w:t>foods</w:t>
      </w:r>
      <w:r>
        <w:rPr>
          <w:color w:val="105C84"/>
          <w:spacing w:val="24"/>
        </w:rPr>
        <w:t> </w:t>
      </w:r>
      <w:r>
        <w:rPr>
          <w:color w:val="105C84"/>
        </w:rPr>
        <w:t>and</w:t>
      </w:r>
      <w:r>
        <w:rPr>
          <w:color w:val="105C84"/>
          <w:spacing w:val="24"/>
        </w:rPr>
        <w:t> </w:t>
      </w:r>
      <w:r>
        <w:rPr>
          <w:color w:val="105C84"/>
        </w:rPr>
        <w:t>may</w:t>
      </w:r>
      <w:r>
        <w:rPr>
          <w:color w:val="105C84"/>
          <w:spacing w:val="24"/>
        </w:rPr>
        <w:t> </w:t>
      </w:r>
      <w:r>
        <w:rPr>
          <w:color w:val="105C84"/>
        </w:rPr>
        <w:t>live</w:t>
      </w:r>
      <w:r>
        <w:rPr>
          <w:color w:val="105C84"/>
          <w:spacing w:val="24"/>
        </w:rPr>
        <w:t> </w:t>
      </w:r>
      <w:r>
        <w:rPr>
          <w:color w:val="105C84"/>
        </w:rPr>
        <w:t>in</w:t>
      </w:r>
      <w:r>
        <w:rPr>
          <w:color w:val="105C84"/>
          <w:spacing w:val="24"/>
        </w:rPr>
        <w:t> </w:t>
      </w:r>
      <w:r>
        <w:rPr>
          <w:color w:val="105C84"/>
        </w:rPr>
        <w:t>circumstances</w:t>
      </w:r>
      <w:r>
        <w:rPr>
          <w:color w:val="105C84"/>
          <w:spacing w:val="24"/>
        </w:rPr>
        <w:t> </w:t>
      </w:r>
      <w:r>
        <w:rPr>
          <w:color w:val="105C84"/>
        </w:rPr>
        <w:t>that</w:t>
      </w:r>
      <w:r>
        <w:rPr>
          <w:color w:val="105C84"/>
          <w:spacing w:val="24"/>
        </w:rPr>
        <w:t> </w:t>
      </w:r>
      <w:r>
        <w:rPr>
          <w:color w:val="105C84"/>
        </w:rPr>
        <w:t>limit</w:t>
      </w:r>
      <w:r>
        <w:rPr>
          <w:color w:val="105C84"/>
          <w:spacing w:val="24"/>
        </w:rPr>
        <w:t> </w:t>
      </w:r>
      <w:r>
        <w:rPr>
          <w:color w:val="105C84"/>
        </w:rPr>
        <w:t>their</w:t>
      </w:r>
      <w:r>
        <w:rPr>
          <w:color w:val="105C84"/>
          <w:spacing w:val="24"/>
        </w:rPr>
        <w:t> </w:t>
      </w:r>
      <w:r>
        <w:rPr>
          <w:color w:val="105C84"/>
        </w:rPr>
        <w:t>ability</w:t>
      </w:r>
      <w:r>
        <w:rPr>
          <w:color w:val="105C84"/>
          <w:spacing w:val="24"/>
        </w:rPr>
        <w:t> </w:t>
      </w:r>
      <w:r>
        <w:rPr>
          <w:color w:val="105C84"/>
        </w:rPr>
        <w:t>to</w:t>
      </w:r>
      <w:r>
        <w:rPr>
          <w:color w:val="105C84"/>
          <w:spacing w:val="24"/>
        </w:rPr>
        <w:t> </w:t>
      </w:r>
      <w:r>
        <w:rPr>
          <w:color w:val="105C84"/>
        </w:rPr>
        <w:t>exercise</w:t>
      </w:r>
      <w:r>
        <w:rPr>
          <w:color w:val="105C84"/>
          <w:spacing w:val="24"/>
        </w:rPr>
        <w:t> </w:t>
      </w:r>
      <w:r>
        <w:rPr>
          <w:color w:val="105C84"/>
        </w:rPr>
        <w:t>regularly.</w:t>
      </w:r>
      <w:r>
        <w:rPr>
          <w:color w:val="105C84"/>
          <w:spacing w:val="24"/>
        </w:rPr>
        <w:t> </w:t>
      </w:r>
      <w:r>
        <w:rPr>
          <w:color w:val="105C84"/>
        </w:rPr>
        <w:t>Working</w:t>
      </w:r>
      <w:r>
        <w:rPr>
          <w:color w:val="105C84"/>
        </w:rPr>
        <w:t> with providers to prescribe generic medications covered by insurance, mitigating lack of access to</w:t>
      </w:r>
      <w:r>
        <w:rPr>
          <w:color w:val="105C84"/>
          <w:spacing w:val="40"/>
        </w:rPr>
        <w:t> </w:t>
      </w:r>
      <w:r>
        <w:rPr>
          <w:color w:val="105C84"/>
        </w:rPr>
        <w:t>healthy foods and addressing the built environment are important interventions to consider when</w:t>
      </w:r>
      <w:r>
        <w:rPr>
          <w:color w:val="105C84"/>
          <w:spacing w:val="80"/>
        </w:rPr>
        <w:t> </w:t>
      </w:r>
      <w:r>
        <w:rPr>
          <w:color w:val="105C84"/>
        </w:rPr>
        <w:t>looking to reduce disparities.</w:t>
      </w:r>
    </w:p>
    <w:p>
      <w:pPr>
        <w:pStyle w:val="BodyText"/>
        <w:spacing w:before="15"/>
      </w:pPr>
    </w:p>
    <w:p>
      <w:pPr>
        <w:pStyle w:val="Heading6"/>
        <w:ind w:left="1094"/>
      </w:pPr>
      <w:r>
        <w:rPr>
          <w:color w:val="105C84"/>
          <w:spacing w:val="-6"/>
        </w:rPr>
        <w:t>FIGURE</w:t>
      </w:r>
      <w:r>
        <w:rPr>
          <w:color w:val="105C84"/>
          <w:spacing w:val="-5"/>
        </w:rPr>
        <w:t> </w:t>
      </w:r>
      <w:r>
        <w:rPr>
          <w:color w:val="105C84"/>
          <w:spacing w:val="-6"/>
        </w:rPr>
        <w:t>6:</w:t>
      </w:r>
      <w:r>
        <w:rPr>
          <w:color w:val="105C84"/>
          <w:spacing w:val="-4"/>
        </w:rPr>
        <w:t> </w:t>
      </w:r>
      <w:r>
        <w:rPr>
          <w:color w:val="105C84"/>
          <w:spacing w:val="-6"/>
        </w:rPr>
        <w:t>Regional</w:t>
      </w:r>
      <w:r>
        <w:rPr>
          <w:color w:val="105C84"/>
          <w:spacing w:val="-4"/>
        </w:rPr>
        <w:t> </w:t>
      </w:r>
      <w:r>
        <w:rPr>
          <w:color w:val="105C84"/>
          <w:spacing w:val="-6"/>
        </w:rPr>
        <w:t>control</w:t>
      </w:r>
      <w:r>
        <w:rPr>
          <w:color w:val="105C84"/>
          <w:spacing w:val="-4"/>
        </w:rPr>
        <w:t> </w:t>
      </w:r>
      <w:r>
        <w:rPr>
          <w:color w:val="105C84"/>
          <w:spacing w:val="-6"/>
        </w:rPr>
        <w:t>rate</w:t>
      </w:r>
      <w:r>
        <w:rPr>
          <w:color w:val="105C84"/>
          <w:spacing w:val="-4"/>
        </w:rPr>
        <w:t> </w:t>
      </w:r>
      <w:r>
        <w:rPr>
          <w:color w:val="105C84"/>
          <w:spacing w:val="-6"/>
        </w:rPr>
        <w:t>by</w:t>
      </w:r>
      <w:r>
        <w:rPr>
          <w:color w:val="105C84"/>
          <w:spacing w:val="-4"/>
        </w:rPr>
        <w:t> </w:t>
      </w:r>
      <w:r>
        <w:rPr>
          <w:color w:val="105C84"/>
          <w:spacing w:val="-6"/>
        </w:rPr>
        <w:t>socioeconomic</w:t>
      </w:r>
      <w:r>
        <w:rPr>
          <w:color w:val="105C84"/>
          <w:spacing w:val="-4"/>
        </w:rPr>
        <w:t> </w:t>
      </w:r>
      <w:r>
        <w:rPr>
          <w:color w:val="105C84"/>
          <w:spacing w:val="-6"/>
        </w:rPr>
        <w:t>status</w:t>
      </w:r>
      <w:r>
        <w:rPr>
          <w:color w:val="105C84"/>
          <w:spacing w:val="-4"/>
        </w:rPr>
        <w:t> </w:t>
      </w:r>
      <w:r>
        <w:rPr>
          <w:color w:val="105C84"/>
          <w:spacing w:val="-6"/>
        </w:rPr>
        <w:t>over</w:t>
      </w:r>
      <w:r>
        <w:rPr>
          <w:color w:val="105C84"/>
          <w:spacing w:val="-4"/>
        </w:rPr>
        <w:t> </w:t>
      </w:r>
      <w:r>
        <w:rPr>
          <w:color w:val="105C84"/>
          <w:spacing w:val="-6"/>
        </w:rPr>
        <w:t>time</w:t>
      </w:r>
    </w:p>
    <w:p>
      <w:pPr>
        <w:pStyle w:val="BodyText"/>
        <w:rPr>
          <w:b/>
          <w:sz w:val="26"/>
        </w:rPr>
      </w:pPr>
    </w:p>
    <w:p>
      <w:pPr>
        <w:pStyle w:val="BodyText"/>
        <w:spacing w:before="7"/>
        <w:rPr>
          <w:b/>
          <w:sz w:val="26"/>
        </w:rPr>
      </w:pPr>
    </w:p>
    <w:p>
      <w:pPr>
        <w:spacing w:before="0"/>
        <w:ind w:left="1544" w:right="0" w:firstLine="0"/>
        <w:jc w:val="left"/>
        <w:rPr>
          <w:sz w:val="18"/>
        </w:rPr>
      </w:pPr>
      <w:r>
        <w:rPr>
          <w:sz w:val="18"/>
        </w:rPr>
        <mc:AlternateContent>
          <mc:Choice Requires="wps">
            <w:drawing>
              <wp:anchor distT="0" distB="0" distL="0" distR="0" allowOverlap="1" layoutInCell="1" locked="0" behindDoc="0" simplePos="0" relativeHeight="15752192">
                <wp:simplePos x="0" y="0"/>
                <wp:positionH relativeFrom="page">
                  <wp:posOffset>9113747</wp:posOffset>
                </wp:positionH>
                <wp:positionV relativeFrom="paragraph">
                  <wp:posOffset>13794</wp:posOffset>
                </wp:positionV>
                <wp:extent cx="5428615" cy="3195320"/>
                <wp:effectExtent l="0" t="0" r="0" b="0"/>
                <wp:wrapNone/>
                <wp:docPr id="207" name="Group 207"/>
                <wp:cNvGraphicFramePr>
                  <a:graphicFrameLocks/>
                </wp:cNvGraphicFramePr>
                <a:graphic>
                  <a:graphicData uri="http://schemas.microsoft.com/office/word/2010/wordprocessingGroup">
                    <wpg:wgp>
                      <wpg:cNvPr id="207" name="Group 207"/>
                      <wpg:cNvGrpSpPr/>
                      <wpg:grpSpPr>
                        <a:xfrm>
                          <a:off x="0" y="0"/>
                          <a:ext cx="5428615" cy="3195320"/>
                          <a:chExt cx="5428615" cy="3195320"/>
                        </a:xfrm>
                      </wpg:grpSpPr>
                      <wps:wsp>
                        <wps:cNvPr id="208" name="Graphic 208"/>
                        <wps:cNvSpPr/>
                        <wps:spPr>
                          <a:xfrm>
                            <a:off x="3708" y="3708"/>
                            <a:ext cx="5421630" cy="3165475"/>
                          </a:xfrm>
                          <a:custGeom>
                            <a:avLst/>
                            <a:gdLst/>
                            <a:ahLst/>
                            <a:cxnLst/>
                            <a:rect l="l" t="t" r="r" b="b"/>
                            <a:pathLst>
                              <a:path w="5421630" h="3165475">
                                <a:moveTo>
                                  <a:pt x="5421198" y="3164941"/>
                                </a:moveTo>
                                <a:lnTo>
                                  <a:pt x="0" y="3164941"/>
                                </a:lnTo>
                                <a:lnTo>
                                  <a:pt x="0" y="0"/>
                                </a:lnTo>
                              </a:path>
                            </a:pathLst>
                          </a:custGeom>
                          <a:ln w="7416">
                            <a:solidFill>
                              <a:srgbClr val="939598"/>
                            </a:solidFill>
                            <a:prstDash val="solid"/>
                          </a:ln>
                        </wps:spPr>
                        <wps:bodyPr wrap="square" lIns="0" tIns="0" rIns="0" bIns="0" rtlCol="0">
                          <a:prstTxWarp prst="textNoShape">
                            <a:avLst/>
                          </a:prstTxWarp>
                          <a:noAutofit/>
                        </wps:bodyPr>
                      </wps:wsp>
                      <wps:wsp>
                        <wps:cNvPr id="209" name="Graphic 209"/>
                        <wps:cNvSpPr/>
                        <wps:spPr>
                          <a:xfrm>
                            <a:off x="703731" y="3168650"/>
                            <a:ext cx="4213860" cy="26670"/>
                          </a:xfrm>
                          <a:custGeom>
                            <a:avLst/>
                            <a:gdLst/>
                            <a:ahLst/>
                            <a:cxnLst/>
                            <a:rect l="l" t="t" r="r" b="b"/>
                            <a:pathLst>
                              <a:path w="4213860" h="26670">
                                <a:moveTo>
                                  <a:pt x="0" y="0"/>
                                </a:moveTo>
                                <a:lnTo>
                                  <a:pt x="0" y="26416"/>
                                </a:lnTo>
                              </a:path>
                              <a:path w="4213860" h="26670">
                                <a:moveTo>
                                  <a:pt x="700024" y="0"/>
                                </a:moveTo>
                                <a:lnTo>
                                  <a:pt x="700024" y="26416"/>
                                </a:lnTo>
                              </a:path>
                              <a:path w="4213860" h="26670">
                                <a:moveTo>
                                  <a:pt x="1400048" y="0"/>
                                </a:moveTo>
                                <a:lnTo>
                                  <a:pt x="1400048" y="26416"/>
                                </a:lnTo>
                              </a:path>
                              <a:path w="4213860" h="26670">
                                <a:moveTo>
                                  <a:pt x="2113280" y="0"/>
                                </a:moveTo>
                                <a:lnTo>
                                  <a:pt x="2113280" y="26416"/>
                                </a:lnTo>
                              </a:path>
                              <a:path w="4213860" h="26670">
                                <a:moveTo>
                                  <a:pt x="2813304" y="0"/>
                                </a:moveTo>
                                <a:lnTo>
                                  <a:pt x="2813304" y="26416"/>
                                </a:lnTo>
                              </a:path>
                              <a:path w="4213860" h="26670">
                                <a:moveTo>
                                  <a:pt x="3513328" y="0"/>
                                </a:moveTo>
                                <a:lnTo>
                                  <a:pt x="3513328" y="26416"/>
                                </a:lnTo>
                              </a:path>
                              <a:path w="4213860" h="26670">
                                <a:moveTo>
                                  <a:pt x="4213352" y="0"/>
                                </a:moveTo>
                                <a:lnTo>
                                  <a:pt x="4213352" y="26416"/>
                                </a:lnTo>
                              </a:path>
                            </a:pathLst>
                          </a:custGeom>
                          <a:ln w="13208">
                            <a:solidFill>
                              <a:srgbClr val="E7E8E7"/>
                            </a:solidFill>
                            <a:prstDash val="solid"/>
                          </a:ln>
                        </wps:spPr>
                        <wps:bodyPr wrap="square" lIns="0" tIns="0" rIns="0" bIns="0" rtlCol="0">
                          <a:prstTxWarp prst="textNoShape">
                            <a:avLst/>
                          </a:prstTxWarp>
                          <a:noAutofit/>
                        </wps:bodyPr>
                      </wps:wsp>
                      <wps:wsp>
                        <wps:cNvPr id="210" name="Graphic 210"/>
                        <wps:cNvSpPr/>
                        <wps:spPr>
                          <a:xfrm>
                            <a:off x="4540124" y="2474042"/>
                            <a:ext cx="69850" cy="69850"/>
                          </a:xfrm>
                          <a:custGeom>
                            <a:avLst/>
                            <a:gdLst/>
                            <a:ahLst/>
                            <a:cxnLst/>
                            <a:rect l="l" t="t" r="r" b="b"/>
                            <a:pathLst>
                              <a:path w="69850" h="69850">
                                <a:moveTo>
                                  <a:pt x="69367" y="0"/>
                                </a:moveTo>
                                <a:lnTo>
                                  <a:pt x="0" y="0"/>
                                </a:lnTo>
                                <a:lnTo>
                                  <a:pt x="0" y="69367"/>
                                </a:lnTo>
                                <a:lnTo>
                                  <a:pt x="69367" y="69367"/>
                                </a:lnTo>
                                <a:lnTo>
                                  <a:pt x="69367" y="0"/>
                                </a:lnTo>
                                <a:close/>
                              </a:path>
                            </a:pathLst>
                          </a:custGeom>
                          <a:solidFill>
                            <a:srgbClr val="105B83"/>
                          </a:solidFill>
                        </wps:spPr>
                        <wps:bodyPr wrap="square" lIns="0" tIns="0" rIns="0" bIns="0" rtlCol="0">
                          <a:prstTxWarp prst="textNoShape">
                            <a:avLst/>
                          </a:prstTxWarp>
                          <a:noAutofit/>
                        </wps:bodyPr>
                      </wps:wsp>
                      <wps:wsp>
                        <wps:cNvPr id="211" name="Graphic 211"/>
                        <wps:cNvSpPr/>
                        <wps:spPr>
                          <a:xfrm>
                            <a:off x="4540124" y="2705334"/>
                            <a:ext cx="69850" cy="69850"/>
                          </a:xfrm>
                          <a:custGeom>
                            <a:avLst/>
                            <a:gdLst/>
                            <a:ahLst/>
                            <a:cxnLst/>
                            <a:rect l="l" t="t" r="r" b="b"/>
                            <a:pathLst>
                              <a:path w="69850" h="69850">
                                <a:moveTo>
                                  <a:pt x="69367" y="0"/>
                                </a:moveTo>
                                <a:lnTo>
                                  <a:pt x="0" y="0"/>
                                </a:lnTo>
                                <a:lnTo>
                                  <a:pt x="0" y="69354"/>
                                </a:lnTo>
                                <a:lnTo>
                                  <a:pt x="69367" y="69354"/>
                                </a:lnTo>
                                <a:lnTo>
                                  <a:pt x="69367" y="0"/>
                                </a:lnTo>
                                <a:close/>
                              </a:path>
                            </a:pathLst>
                          </a:custGeom>
                          <a:solidFill>
                            <a:srgbClr val="939598"/>
                          </a:solidFill>
                        </wps:spPr>
                        <wps:bodyPr wrap="square" lIns="0" tIns="0" rIns="0" bIns="0" rtlCol="0">
                          <a:prstTxWarp prst="textNoShape">
                            <a:avLst/>
                          </a:prstTxWarp>
                          <a:noAutofit/>
                        </wps:bodyPr>
                      </wps:wsp>
                      <wps:wsp>
                        <wps:cNvPr id="212" name="Graphic 212"/>
                        <wps:cNvSpPr/>
                        <wps:spPr>
                          <a:xfrm>
                            <a:off x="4540124" y="2922733"/>
                            <a:ext cx="69850" cy="69850"/>
                          </a:xfrm>
                          <a:custGeom>
                            <a:avLst/>
                            <a:gdLst/>
                            <a:ahLst/>
                            <a:cxnLst/>
                            <a:rect l="l" t="t" r="r" b="b"/>
                            <a:pathLst>
                              <a:path w="69850" h="69850">
                                <a:moveTo>
                                  <a:pt x="69367" y="0"/>
                                </a:moveTo>
                                <a:lnTo>
                                  <a:pt x="0" y="0"/>
                                </a:lnTo>
                                <a:lnTo>
                                  <a:pt x="0" y="69354"/>
                                </a:lnTo>
                                <a:lnTo>
                                  <a:pt x="69367" y="69354"/>
                                </a:lnTo>
                                <a:lnTo>
                                  <a:pt x="69367" y="0"/>
                                </a:lnTo>
                                <a:close/>
                              </a:path>
                            </a:pathLst>
                          </a:custGeom>
                          <a:solidFill>
                            <a:srgbClr val="81BF6A"/>
                          </a:solidFill>
                        </wps:spPr>
                        <wps:bodyPr wrap="square" lIns="0" tIns="0" rIns="0" bIns="0" rtlCol="0">
                          <a:prstTxWarp prst="textNoShape">
                            <a:avLst/>
                          </a:prstTxWarp>
                          <a:noAutofit/>
                        </wps:bodyPr>
                      </wps:wsp>
                      <wps:wsp>
                        <wps:cNvPr id="213" name="Graphic 213"/>
                        <wps:cNvSpPr/>
                        <wps:spPr>
                          <a:xfrm>
                            <a:off x="553322" y="812907"/>
                            <a:ext cx="4283710" cy="308610"/>
                          </a:xfrm>
                          <a:custGeom>
                            <a:avLst/>
                            <a:gdLst/>
                            <a:ahLst/>
                            <a:cxnLst/>
                            <a:rect l="l" t="t" r="r" b="b"/>
                            <a:pathLst>
                              <a:path w="4283710" h="308610">
                                <a:moveTo>
                                  <a:pt x="0" y="230530"/>
                                </a:moveTo>
                                <a:lnTo>
                                  <a:pt x="1070876" y="308076"/>
                                </a:lnTo>
                                <a:lnTo>
                                  <a:pt x="2141740" y="61112"/>
                                </a:lnTo>
                                <a:lnTo>
                                  <a:pt x="3212604" y="62699"/>
                                </a:lnTo>
                                <a:lnTo>
                                  <a:pt x="4283481" y="0"/>
                                </a:lnTo>
                              </a:path>
                            </a:pathLst>
                          </a:custGeom>
                          <a:ln w="16154">
                            <a:solidFill>
                              <a:srgbClr val="81BF6A"/>
                            </a:solidFill>
                            <a:prstDash val="solid"/>
                          </a:ln>
                        </wps:spPr>
                        <wps:bodyPr wrap="square" lIns="0" tIns="0" rIns="0" bIns="0" rtlCol="0">
                          <a:prstTxWarp prst="textNoShape">
                            <a:avLst/>
                          </a:prstTxWarp>
                          <a:noAutofit/>
                        </wps:bodyPr>
                      </wps:wsp>
                      <wps:wsp>
                        <wps:cNvPr id="214" name="Graphic 214"/>
                        <wps:cNvSpPr/>
                        <wps:spPr>
                          <a:xfrm>
                            <a:off x="537160" y="796740"/>
                            <a:ext cx="4316095" cy="340995"/>
                          </a:xfrm>
                          <a:custGeom>
                            <a:avLst/>
                            <a:gdLst/>
                            <a:ahLst/>
                            <a:cxnLst/>
                            <a:rect l="l" t="t" r="r" b="b"/>
                            <a:pathLst>
                              <a:path w="4316095" h="340995">
                                <a:moveTo>
                                  <a:pt x="32321" y="237769"/>
                                </a:moveTo>
                                <a:lnTo>
                                  <a:pt x="25082" y="230530"/>
                                </a:lnTo>
                                <a:lnTo>
                                  <a:pt x="7239" y="230530"/>
                                </a:lnTo>
                                <a:lnTo>
                                  <a:pt x="0" y="237769"/>
                                </a:lnTo>
                                <a:lnTo>
                                  <a:pt x="0" y="255612"/>
                                </a:lnTo>
                                <a:lnTo>
                                  <a:pt x="7239" y="262851"/>
                                </a:lnTo>
                                <a:lnTo>
                                  <a:pt x="25082" y="262851"/>
                                </a:lnTo>
                                <a:lnTo>
                                  <a:pt x="32321" y="255612"/>
                                </a:lnTo>
                                <a:lnTo>
                                  <a:pt x="32321" y="246697"/>
                                </a:lnTo>
                                <a:lnTo>
                                  <a:pt x="32321" y="237769"/>
                                </a:lnTo>
                                <a:close/>
                              </a:path>
                              <a:path w="4316095" h="340995">
                                <a:moveTo>
                                  <a:pt x="1103185" y="315315"/>
                                </a:moveTo>
                                <a:lnTo>
                                  <a:pt x="1095946" y="308076"/>
                                </a:lnTo>
                                <a:lnTo>
                                  <a:pt x="1078103" y="308076"/>
                                </a:lnTo>
                                <a:lnTo>
                                  <a:pt x="1070864" y="315315"/>
                                </a:lnTo>
                                <a:lnTo>
                                  <a:pt x="1070864" y="333171"/>
                                </a:lnTo>
                                <a:lnTo>
                                  <a:pt x="1078103" y="340410"/>
                                </a:lnTo>
                                <a:lnTo>
                                  <a:pt x="1095946" y="340410"/>
                                </a:lnTo>
                                <a:lnTo>
                                  <a:pt x="1103185" y="333171"/>
                                </a:lnTo>
                                <a:lnTo>
                                  <a:pt x="1103185" y="324243"/>
                                </a:lnTo>
                                <a:lnTo>
                                  <a:pt x="1103185" y="315315"/>
                                </a:lnTo>
                                <a:close/>
                              </a:path>
                              <a:path w="4316095" h="340995">
                                <a:moveTo>
                                  <a:pt x="2174049" y="68364"/>
                                </a:moveTo>
                                <a:lnTo>
                                  <a:pt x="2166810" y="61125"/>
                                </a:lnTo>
                                <a:lnTo>
                                  <a:pt x="2148979" y="61125"/>
                                </a:lnTo>
                                <a:lnTo>
                                  <a:pt x="2141740" y="68364"/>
                                </a:lnTo>
                                <a:lnTo>
                                  <a:pt x="2141740" y="86220"/>
                                </a:lnTo>
                                <a:lnTo>
                                  <a:pt x="2148979" y="93446"/>
                                </a:lnTo>
                                <a:lnTo>
                                  <a:pt x="2166810" y="93446"/>
                                </a:lnTo>
                                <a:lnTo>
                                  <a:pt x="2174049" y="86220"/>
                                </a:lnTo>
                                <a:lnTo>
                                  <a:pt x="2174049" y="77292"/>
                                </a:lnTo>
                                <a:lnTo>
                                  <a:pt x="2174049" y="68364"/>
                                </a:lnTo>
                                <a:close/>
                              </a:path>
                              <a:path w="4316095" h="340995">
                                <a:moveTo>
                                  <a:pt x="3244939" y="69951"/>
                                </a:moveTo>
                                <a:lnTo>
                                  <a:pt x="3237700" y="62712"/>
                                </a:lnTo>
                                <a:lnTo>
                                  <a:pt x="3219856" y="62712"/>
                                </a:lnTo>
                                <a:lnTo>
                                  <a:pt x="3212617" y="69951"/>
                                </a:lnTo>
                                <a:lnTo>
                                  <a:pt x="3212617" y="87795"/>
                                </a:lnTo>
                                <a:lnTo>
                                  <a:pt x="3219856" y="95034"/>
                                </a:lnTo>
                                <a:lnTo>
                                  <a:pt x="3237700" y="95034"/>
                                </a:lnTo>
                                <a:lnTo>
                                  <a:pt x="3244939" y="87795"/>
                                </a:lnTo>
                                <a:lnTo>
                                  <a:pt x="3244939" y="78879"/>
                                </a:lnTo>
                                <a:lnTo>
                                  <a:pt x="3244939" y="69951"/>
                                </a:lnTo>
                                <a:close/>
                              </a:path>
                              <a:path w="4316095" h="340995">
                                <a:moveTo>
                                  <a:pt x="4315803" y="7239"/>
                                </a:moveTo>
                                <a:lnTo>
                                  <a:pt x="4308564" y="0"/>
                                </a:lnTo>
                                <a:lnTo>
                                  <a:pt x="4290720" y="0"/>
                                </a:lnTo>
                                <a:lnTo>
                                  <a:pt x="4283481" y="7239"/>
                                </a:lnTo>
                                <a:lnTo>
                                  <a:pt x="4283481" y="25095"/>
                                </a:lnTo>
                                <a:lnTo>
                                  <a:pt x="4290720" y="32334"/>
                                </a:lnTo>
                                <a:lnTo>
                                  <a:pt x="4308564" y="32334"/>
                                </a:lnTo>
                                <a:lnTo>
                                  <a:pt x="4315803" y="25095"/>
                                </a:lnTo>
                                <a:lnTo>
                                  <a:pt x="4315803" y="16167"/>
                                </a:lnTo>
                                <a:lnTo>
                                  <a:pt x="4315803" y="7239"/>
                                </a:lnTo>
                                <a:close/>
                              </a:path>
                            </a:pathLst>
                          </a:custGeom>
                          <a:solidFill>
                            <a:srgbClr val="81BF6A"/>
                          </a:solidFill>
                        </wps:spPr>
                        <wps:bodyPr wrap="square" lIns="0" tIns="0" rIns="0" bIns="0" rtlCol="0">
                          <a:prstTxWarp prst="textNoShape">
                            <a:avLst/>
                          </a:prstTxWarp>
                          <a:noAutofit/>
                        </wps:bodyPr>
                      </wps:wsp>
                      <wps:wsp>
                        <wps:cNvPr id="215" name="Graphic 215"/>
                        <wps:cNvSpPr/>
                        <wps:spPr>
                          <a:xfrm>
                            <a:off x="553322" y="910775"/>
                            <a:ext cx="4283710" cy="323850"/>
                          </a:xfrm>
                          <a:custGeom>
                            <a:avLst/>
                            <a:gdLst/>
                            <a:ahLst/>
                            <a:cxnLst/>
                            <a:rect l="l" t="t" r="r" b="b"/>
                            <a:pathLst>
                              <a:path w="4283710" h="323850">
                                <a:moveTo>
                                  <a:pt x="0" y="323468"/>
                                </a:moveTo>
                                <a:lnTo>
                                  <a:pt x="1070876" y="320192"/>
                                </a:lnTo>
                                <a:lnTo>
                                  <a:pt x="2141740" y="202844"/>
                                </a:lnTo>
                                <a:lnTo>
                                  <a:pt x="3212604" y="110439"/>
                                </a:lnTo>
                                <a:lnTo>
                                  <a:pt x="4283481" y="0"/>
                                </a:lnTo>
                              </a:path>
                            </a:pathLst>
                          </a:custGeom>
                          <a:ln w="16154">
                            <a:solidFill>
                              <a:srgbClr val="BCBEC0"/>
                            </a:solidFill>
                            <a:prstDash val="solid"/>
                          </a:ln>
                        </wps:spPr>
                        <wps:bodyPr wrap="square" lIns="0" tIns="0" rIns="0" bIns="0" rtlCol="0">
                          <a:prstTxWarp prst="textNoShape">
                            <a:avLst/>
                          </a:prstTxWarp>
                          <a:noAutofit/>
                        </wps:bodyPr>
                      </wps:wsp>
                      <wps:wsp>
                        <wps:cNvPr id="216" name="Graphic 216"/>
                        <wps:cNvSpPr/>
                        <wps:spPr>
                          <a:xfrm>
                            <a:off x="537160" y="894619"/>
                            <a:ext cx="4316095" cy="356235"/>
                          </a:xfrm>
                          <a:custGeom>
                            <a:avLst/>
                            <a:gdLst/>
                            <a:ahLst/>
                            <a:cxnLst/>
                            <a:rect l="l" t="t" r="r" b="b"/>
                            <a:pathLst>
                              <a:path w="4316095" h="356235">
                                <a:moveTo>
                                  <a:pt x="32321" y="330708"/>
                                </a:moveTo>
                                <a:lnTo>
                                  <a:pt x="25082" y="323469"/>
                                </a:lnTo>
                                <a:lnTo>
                                  <a:pt x="7239" y="323469"/>
                                </a:lnTo>
                                <a:lnTo>
                                  <a:pt x="0" y="330708"/>
                                </a:lnTo>
                                <a:lnTo>
                                  <a:pt x="0" y="348551"/>
                                </a:lnTo>
                                <a:lnTo>
                                  <a:pt x="7239" y="355790"/>
                                </a:lnTo>
                                <a:lnTo>
                                  <a:pt x="25082" y="355790"/>
                                </a:lnTo>
                                <a:lnTo>
                                  <a:pt x="32321" y="348551"/>
                                </a:lnTo>
                                <a:lnTo>
                                  <a:pt x="32321" y="339636"/>
                                </a:lnTo>
                                <a:lnTo>
                                  <a:pt x="32321" y="330708"/>
                                </a:lnTo>
                                <a:close/>
                              </a:path>
                              <a:path w="4316095" h="356235">
                                <a:moveTo>
                                  <a:pt x="1103185" y="327444"/>
                                </a:moveTo>
                                <a:lnTo>
                                  <a:pt x="1095946" y="320205"/>
                                </a:lnTo>
                                <a:lnTo>
                                  <a:pt x="1078103" y="320205"/>
                                </a:lnTo>
                                <a:lnTo>
                                  <a:pt x="1070864" y="327444"/>
                                </a:lnTo>
                                <a:lnTo>
                                  <a:pt x="1070864" y="345287"/>
                                </a:lnTo>
                                <a:lnTo>
                                  <a:pt x="1078103" y="352526"/>
                                </a:lnTo>
                                <a:lnTo>
                                  <a:pt x="1095946" y="352526"/>
                                </a:lnTo>
                                <a:lnTo>
                                  <a:pt x="1103185" y="345287"/>
                                </a:lnTo>
                                <a:lnTo>
                                  <a:pt x="1103185" y="336359"/>
                                </a:lnTo>
                                <a:lnTo>
                                  <a:pt x="1103185" y="327444"/>
                                </a:lnTo>
                                <a:close/>
                              </a:path>
                              <a:path w="4316095" h="356235">
                                <a:moveTo>
                                  <a:pt x="2174049" y="210083"/>
                                </a:moveTo>
                                <a:lnTo>
                                  <a:pt x="2166810" y="202844"/>
                                </a:lnTo>
                                <a:lnTo>
                                  <a:pt x="2148979" y="202844"/>
                                </a:lnTo>
                                <a:lnTo>
                                  <a:pt x="2141740" y="210083"/>
                                </a:lnTo>
                                <a:lnTo>
                                  <a:pt x="2141740" y="227939"/>
                                </a:lnTo>
                                <a:lnTo>
                                  <a:pt x="2148979" y="235165"/>
                                </a:lnTo>
                                <a:lnTo>
                                  <a:pt x="2166810" y="235165"/>
                                </a:lnTo>
                                <a:lnTo>
                                  <a:pt x="2174049" y="227939"/>
                                </a:lnTo>
                                <a:lnTo>
                                  <a:pt x="2174049" y="219011"/>
                                </a:lnTo>
                                <a:lnTo>
                                  <a:pt x="2174049" y="210083"/>
                                </a:lnTo>
                                <a:close/>
                              </a:path>
                              <a:path w="4316095" h="356235">
                                <a:moveTo>
                                  <a:pt x="3244939" y="117678"/>
                                </a:moveTo>
                                <a:lnTo>
                                  <a:pt x="3237700" y="110439"/>
                                </a:lnTo>
                                <a:lnTo>
                                  <a:pt x="3219856" y="110439"/>
                                </a:lnTo>
                                <a:lnTo>
                                  <a:pt x="3212617" y="117678"/>
                                </a:lnTo>
                                <a:lnTo>
                                  <a:pt x="3212617" y="135521"/>
                                </a:lnTo>
                                <a:lnTo>
                                  <a:pt x="3219856" y="142760"/>
                                </a:lnTo>
                                <a:lnTo>
                                  <a:pt x="3237700" y="142760"/>
                                </a:lnTo>
                                <a:lnTo>
                                  <a:pt x="3244939" y="135521"/>
                                </a:lnTo>
                                <a:lnTo>
                                  <a:pt x="3244939" y="126606"/>
                                </a:lnTo>
                                <a:lnTo>
                                  <a:pt x="3244939" y="117678"/>
                                </a:lnTo>
                                <a:close/>
                              </a:path>
                              <a:path w="4316095" h="356235">
                                <a:moveTo>
                                  <a:pt x="4315803" y="7239"/>
                                </a:moveTo>
                                <a:lnTo>
                                  <a:pt x="4308564" y="0"/>
                                </a:lnTo>
                                <a:lnTo>
                                  <a:pt x="4290720" y="0"/>
                                </a:lnTo>
                                <a:lnTo>
                                  <a:pt x="4283481" y="7239"/>
                                </a:lnTo>
                                <a:lnTo>
                                  <a:pt x="4283481" y="25095"/>
                                </a:lnTo>
                                <a:lnTo>
                                  <a:pt x="4290720" y="32334"/>
                                </a:lnTo>
                                <a:lnTo>
                                  <a:pt x="4308564" y="32334"/>
                                </a:lnTo>
                                <a:lnTo>
                                  <a:pt x="4315803" y="25095"/>
                                </a:lnTo>
                                <a:lnTo>
                                  <a:pt x="4315803" y="16167"/>
                                </a:lnTo>
                                <a:lnTo>
                                  <a:pt x="4315803" y="7239"/>
                                </a:lnTo>
                                <a:close/>
                              </a:path>
                            </a:pathLst>
                          </a:custGeom>
                          <a:solidFill>
                            <a:srgbClr val="939598"/>
                          </a:solidFill>
                        </wps:spPr>
                        <wps:bodyPr wrap="square" lIns="0" tIns="0" rIns="0" bIns="0" rtlCol="0">
                          <a:prstTxWarp prst="textNoShape">
                            <a:avLst/>
                          </a:prstTxWarp>
                          <a:noAutofit/>
                        </wps:bodyPr>
                      </wps:wsp>
                      <wps:wsp>
                        <wps:cNvPr id="217" name="Graphic 217"/>
                        <wps:cNvSpPr/>
                        <wps:spPr>
                          <a:xfrm>
                            <a:off x="553322" y="1030921"/>
                            <a:ext cx="4283710" cy="384810"/>
                          </a:xfrm>
                          <a:custGeom>
                            <a:avLst/>
                            <a:gdLst/>
                            <a:ahLst/>
                            <a:cxnLst/>
                            <a:rect l="l" t="t" r="r" b="b"/>
                            <a:pathLst>
                              <a:path w="4283710" h="384810">
                                <a:moveTo>
                                  <a:pt x="0" y="384327"/>
                                </a:moveTo>
                                <a:lnTo>
                                  <a:pt x="1070876" y="371894"/>
                                </a:lnTo>
                                <a:lnTo>
                                  <a:pt x="2141740" y="202095"/>
                                </a:lnTo>
                                <a:lnTo>
                                  <a:pt x="3212604" y="99034"/>
                                </a:lnTo>
                                <a:lnTo>
                                  <a:pt x="4283481" y="0"/>
                                </a:lnTo>
                              </a:path>
                            </a:pathLst>
                          </a:custGeom>
                          <a:ln w="16154">
                            <a:solidFill>
                              <a:srgbClr val="115C85"/>
                            </a:solidFill>
                            <a:prstDash val="solid"/>
                          </a:ln>
                        </wps:spPr>
                        <wps:bodyPr wrap="square" lIns="0" tIns="0" rIns="0" bIns="0" rtlCol="0">
                          <a:prstTxWarp prst="textNoShape">
                            <a:avLst/>
                          </a:prstTxWarp>
                          <a:noAutofit/>
                        </wps:bodyPr>
                      </wps:wsp>
                      <wps:wsp>
                        <wps:cNvPr id="218" name="Graphic 218"/>
                        <wps:cNvSpPr/>
                        <wps:spPr>
                          <a:xfrm>
                            <a:off x="537160" y="1014774"/>
                            <a:ext cx="4316095" cy="417195"/>
                          </a:xfrm>
                          <a:custGeom>
                            <a:avLst/>
                            <a:gdLst/>
                            <a:ahLst/>
                            <a:cxnLst/>
                            <a:rect l="l" t="t" r="r" b="b"/>
                            <a:pathLst>
                              <a:path w="4316095" h="417195">
                                <a:moveTo>
                                  <a:pt x="32321" y="391553"/>
                                </a:moveTo>
                                <a:lnTo>
                                  <a:pt x="25082" y="384314"/>
                                </a:lnTo>
                                <a:lnTo>
                                  <a:pt x="7239" y="384314"/>
                                </a:lnTo>
                                <a:lnTo>
                                  <a:pt x="0" y="391553"/>
                                </a:lnTo>
                                <a:lnTo>
                                  <a:pt x="0" y="409409"/>
                                </a:lnTo>
                                <a:lnTo>
                                  <a:pt x="7239" y="416636"/>
                                </a:lnTo>
                                <a:lnTo>
                                  <a:pt x="25082" y="416636"/>
                                </a:lnTo>
                                <a:lnTo>
                                  <a:pt x="32321" y="409409"/>
                                </a:lnTo>
                                <a:lnTo>
                                  <a:pt x="32321" y="400481"/>
                                </a:lnTo>
                                <a:lnTo>
                                  <a:pt x="32321" y="391553"/>
                                </a:lnTo>
                                <a:close/>
                              </a:path>
                              <a:path w="4316095" h="417195">
                                <a:moveTo>
                                  <a:pt x="1103185" y="379133"/>
                                </a:moveTo>
                                <a:lnTo>
                                  <a:pt x="1095946" y="371894"/>
                                </a:lnTo>
                                <a:lnTo>
                                  <a:pt x="1078103" y="371894"/>
                                </a:lnTo>
                                <a:lnTo>
                                  <a:pt x="1070864" y="379133"/>
                                </a:lnTo>
                                <a:lnTo>
                                  <a:pt x="1070864" y="396976"/>
                                </a:lnTo>
                                <a:lnTo>
                                  <a:pt x="1078103" y="404215"/>
                                </a:lnTo>
                                <a:lnTo>
                                  <a:pt x="1095946" y="404215"/>
                                </a:lnTo>
                                <a:lnTo>
                                  <a:pt x="1103185" y="396976"/>
                                </a:lnTo>
                                <a:lnTo>
                                  <a:pt x="1103185" y="388048"/>
                                </a:lnTo>
                                <a:lnTo>
                                  <a:pt x="1103185" y="379133"/>
                                </a:lnTo>
                                <a:close/>
                              </a:path>
                              <a:path w="4316095" h="417195">
                                <a:moveTo>
                                  <a:pt x="2174049" y="209321"/>
                                </a:moveTo>
                                <a:lnTo>
                                  <a:pt x="2166810" y="202082"/>
                                </a:lnTo>
                                <a:lnTo>
                                  <a:pt x="2148979" y="202082"/>
                                </a:lnTo>
                                <a:lnTo>
                                  <a:pt x="2141740" y="209321"/>
                                </a:lnTo>
                                <a:lnTo>
                                  <a:pt x="2141740" y="227177"/>
                                </a:lnTo>
                                <a:lnTo>
                                  <a:pt x="2148979" y="234403"/>
                                </a:lnTo>
                                <a:lnTo>
                                  <a:pt x="2166810" y="234403"/>
                                </a:lnTo>
                                <a:lnTo>
                                  <a:pt x="2174049" y="227177"/>
                                </a:lnTo>
                                <a:lnTo>
                                  <a:pt x="2174049" y="218249"/>
                                </a:lnTo>
                                <a:lnTo>
                                  <a:pt x="2174049" y="209321"/>
                                </a:lnTo>
                                <a:close/>
                              </a:path>
                              <a:path w="4316095" h="417195">
                                <a:moveTo>
                                  <a:pt x="3244939" y="106260"/>
                                </a:moveTo>
                                <a:lnTo>
                                  <a:pt x="3237700" y="99021"/>
                                </a:lnTo>
                                <a:lnTo>
                                  <a:pt x="3219856" y="99021"/>
                                </a:lnTo>
                                <a:lnTo>
                                  <a:pt x="3212617" y="106260"/>
                                </a:lnTo>
                                <a:lnTo>
                                  <a:pt x="3212617" y="124104"/>
                                </a:lnTo>
                                <a:lnTo>
                                  <a:pt x="3219856" y="131343"/>
                                </a:lnTo>
                                <a:lnTo>
                                  <a:pt x="3237700" y="131343"/>
                                </a:lnTo>
                                <a:lnTo>
                                  <a:pt x="3244939" y="124104"/>
                                </a:lnTo>
                                <a:lnTo>
                                  <a:pt x="3244939" y="115189"/>
                                </a:lnTo>
                                <a:lnTo>
                                  <a:pt x="3244939" y="106260"/>
                                </a:lnTo>
                                <a:close/>
                              </a:path>
                              <a:path w="4316095" h="417195">
                                <a:moveTo>
                                  <a:pt x="4315803" y="7239"/>
                                </a:moveTo>
                                <a:lnTo>
                                  <a:pt x="4308564" y="0"/>
                                </a:lnTo>
                                <a:lnTo>
                                  <a:pt x="4290720" y="0"/>
                                </a:lnTo>
                                <a:lnTo>
                                  <a:pt x="4283481" y="7239"/>
                                </a:lnTo>
                                <a:lnTo>
                                  <a:pt x="4283481" y="25082"/>
                                </a:lnTo>
                                <a:lnTo>
                                  <a:pt x="4290720" y="32321"/>
                                </a:lnTo>
                                <a:lnTo>
                                  <a:pt x="4308564" y="32321"/>
                                </a:lnTo>
                                <a:lnTo>
                                  <a:pt x="4315803" y="25082"/>
                                </a:lnTo>
                                <a:lnTo>
                                  <a:pt x="4315803" y="16154"/>
                                </a:lnTo>
                                <a:lnTo>
                                  <a:pt x="4315803" y="7239"/>
                                </a:lnTo>
                                <a:close/>
                              </a:path>
                            </a:pathLst>
                          </a:custGeom>
                          <a:solidFill>
                            <a:srgbClr val="105B83"/>
                          </a:solidFill>
                        </wps:spPr>
                        <wps:bodyPr wrap="square" lIns="0" tIns="0" rIns="0" bIns="0" rtlCol="0">
                          <a:prstTxWarp prst="textNoShape">
                            <a:avLst/>
                          </a:prstTxWarp>
                          <a:noAutofit/>
                        </wps:bodyPr>
                      </wps:wsp>
                      <wps:wsp>
                        <wps:cNvPr id="219" name="Textbox 219"/>
                        <wps:cNvSpPr txBox="1"/>
                        <wps:spPr>
                          <a:xfrm>
                            <a:off x="2622284" y="735123"/>
                            <a:ext cx="185420" cy="126364"/>
                          </a:xfrm>
                          <a:prstGeom prst="rect">
                            <a:avLst/>
                          </a:prstGeom>
                        </wps:spPr>
                        <wps:txbx>
                          <w:txbxContent>
                            <w:p>
                              <w:pPr>
                                <w:spacing w:before="14"/>
                                <w:ind w:left="0" w:right="0" w:firstLine="0"/>
                                <w:jc w:val="left"/>
                                <w:rPr>
                                  <w:sz w:val="14"/>
                                </w:rPr>
                              </w:pPr>
                              <w:r>
                                <w:rPr>
                                  <w:color w:val="636466"/>
                                  <w:spacing w:val="-5"/>
                                  <w:sz w:val="14"/>
                                </w:rPr>
                                <w:t>83%</w:t>
                              </w:r>
                            </w:p>
                          </w:txbxContent>
                        </wps:txbx>
                        <wps:bodyPr wrap="square" lIns="0" tIns="0" rIns="0" bIns="0" rtlCol="0">
                          <a:noAutofit/>
                        </wps:bodyPr>
                      </wps:wsp>
                      <wps:wsp>
                        <wps:cNvPr id="220" name="Textbox 220"/>
                        <wps:cNvSpPr txBox="1"/>
                        <wps:spPr>
                          <a:xfrm>
                            <a:off x="332981" y="978097"/>
                            <a:ext cx="189230" cy="499109"/>
                          </a:xfrm>
                          <a:prstGeom prst="rect">
                            <a:avLst/>
                          </a:prstGeom>
                        </wps:spPr>
                        <wps:txbx>
                          <w:txbxContent>
                            <w:p>
                              <w:pPr>
                                <w:spacing w:before="14"/>
                                <w:ind w:left="0" w:right="0" w:firstLine="0"/>
                                <w:jc w:val="left"/>
                                <w:rPr>
                                  <w:sz w:val="14"/>
                                </w:rPr>
                              </w:pPr>
                              <w:r>
                                <w:rPr>
                                  <w:color w:val="636466"/>
                                  <w:spacing w:val="-5"/>
                                  <w:sz w:val="14"/>
                                </w:rPr>
                                <w:t>80%</w:t>
                              </w:r>
                            </w:p>
                            <w:p>
                              <w:pPr>
                                <w:spacing w:before="144"/>
                                <w:ind w:left="6" w:right="0" w:firstLine="0"/>
                                <w:jc w:val="left"/>
                                <w:rPr>
                                  <w:sz w:val="14"/>
                                </w:rPr>
                              </w:pPr>
                              <w:r>
                                <w:rPr>
                                  <w:color w:val="636466"/>
                                  <w:spacing w:val="-5"/>
                                  <w:sz w:val="14"/>
                                </w:rPr>
                                <w:t>77%</w:t>
                              </w:r>
                            </w:p>
                            <w:p>
                              <w:pPr>
                                <w:spacing w:before="121"/>
                                <w:ind w:left="0" w:right="0" w:firstLine="0"/>
                                <w:jc w:val="left"/>
                                <w:rPr>
                                  <w:sz w:val="14"/>
                                </w:rPr>
                              </w:pPr>
                              <w:r>
                                <w:rPr>
                                  <w:color w:val="636466"/>
                                  <w:spacing w:val="-5"/>
                                  <w:sz w:val="14"/>
                                </w:rPr>
                                <w:t>74%</w:t>
                              </w:r>
                            </w:p>
                          </w:txbxContent>
                        </wps:txbx>
                        <wps:bodyPr wrap="square" lIns="0" tIns="0" rIns="0" bIns="0" rtlCol="0">
                          <a:noAutofit/>
                        </wps:bodyPr>
                      </wps:wsp>
                      <wps:wsp>
                        <wps:cNvPr id="221" name="Textbox 221"/>
                        <wps:cNvSpPr txBox="1"/>
                        <wps:spPr>
                          <a:xfrm>
                            <a:off x="1496540" y="978005"/>
                            <a:ext cx="185420" cy="126364"/>
                          </a:xfrm>
                          <a:prstGeom prst="rect">
                            <a:avLst/>
                          </a:prstGeom>
                        </wps:spPr>
                        <wps:txbx>
                          <w:txbxContent>
                            <w:p>
                              <w:pPr>
                                <w:spacing w:before="14"/>
                                <w:ind w:left="0" w:right="0" w:firstLine="0"/>
                                <w:jc w:val="left"/>
                                <w:rPr>
                                  <w:sz w:val="14"/>
                                </w:rPr>
                              </w:pPr>
                              <w:r>
                                <w:rPr>
                                  <w:color w:val="636466"/>
                                  <w:spacing w:val="-5"/>
                                  <w:sz w:val="14"/>
                                </w:rPr>
                                <w:t>79%</w:t>
                              </w:r>
                            </w:p>
                          </w:txbxContent>
                        </wps:txbx>
                        <wps:bodyPr wrap="square" lIns="0" tIns="0" rIns="0" bIns="0" rtlCol="0">
                          <a:noAutofit/>
                        </wps:bodyPr>
                      </wps:wsp>
                      <wps:wsp>
                        <wps:cNvPr id="222" name="Textbox 222"/>
                        <wps:cNvSpPr txBox="1"/>
                        <wps:spPr>
                          <a:xfrm>
                            <a:off x="2708268" y="993815"/>
                            <a:ext cx="185420" cy="126364"/>
                          </a:xfrm>
                          <a:prstGeom prst="rect">
                            <a:avLst/>
                          </a:prstGeom>
                        </wps:spPr>
                        <wps:txbx>
                          <w:txbxContent>
                            <w:p>
                              <w:pPr>
                                <w:spacing w:before="14"/>
                                <w:ind w:left="0" w:right="0" w:firstLine="0"/>
                                <w:jc w:val="left"/>
                                <w:rPr>
                                  <w:sz w:val="14"/>
                                </w:rPr>
                              </w:pPr>
                              <w:r>
                                <w:rPr>
                                  <w:color w:val="636466"/>
                                  <w:spacing w:val="-5"/>
                                  <w:sz w:val="14"/>
                                </w:rPr>
                                <w:t>79%</w:t>
                              </w:r>
                            </w:p>
                          </w:txbxContent>
                        </wps:txbx>
                        <wps:bodyPr wrap="square" lIns="0" tIns="0" rIns="0" bIns="0" rtlCol="0">
                          <a:noAutofit/>
                        </wps:bodyPr>
                      </wps:wsp>
                      <wps:wsp>
                        <wps:cNvPr id="223" name="Textbox 223"/>
                        <wps:cNvSpPr txBox="1"/>
                        <wps:spPr>
                          <a:xfrm>
                            <a:off x="3699581" y="731702"/>
                            <a:ext cx="244475" cy="292100"/>
                          </a:xfrm>
                          <a:prstGeom prst="rect">
                            <a:avLst/>
                          </a:prstGeom>
                        </wps:spPr>
                        <wps:txbx>
                          <w:txbxContent>
                            <w:p>
                              <w:pPr>
                                <w:spacing w:before="14"/>
                                <w:ind w:left="0" w:right="0" w:firstLine="0"/>
                                <w:jc w:val="left"/>
                                <w:rPr>
                                  <w:sz w:val="14"/>
                                </w:rPr>
                              </w:pPr>
                              <w:r>
                                <w:rPr>
                                  <w:color w:val="636466"/>
                                  <w:spacing w:val="-5"/>
                                  <w:sz w:val="14"/>
                                </w:rPr>
                                <w:t>83%</w:t>
                              </w:r>
                            </w:p>
                            <w:p>
                              <w:pPr>
                                <w:spacing w:before="99"/>
                                <w:ind w:left="92" w:right="0" w:firstLine="0"/>
                                <w:jc w:val="left"/>
                                <w:rPr>
                                  <w:sz w:val="14"/>
                                </w:rPr>
                              </w:pPr>
                              <w:r>
                                <w:rPr>
                                  <w:color w:val="636466"/>
                                  <w:spacing w:val="-5"/>
                                  <w:sz w:val="14"/>
                                </w:rPr>
                                <w:t>80%</w:t>
                              </w:r>
                            </w:p>
                          </w:txbxContent>
                        </wps:txbx>
                        <wps:bodyPr wrap="square" lIns="0" tIns="0" rIns="0" bIns="0" rtlCol="0">
                          <a:noAutofit/>
                        </wps:bodyPr>
                      </wps:wsp>
                      <wps:wsp>
                        <wps:cNvPr id="224" name="Textbox 224"/>
                        <wps:cNvSpPr txBox="1"/>
                        <wps:spPr>
                          <a:xfrm>
                            <a:off x="4883295" y="723474"/>
                            <a:ext cx="191770" cy="372745"/>
                          </a:xfrm>
                          <a:prstGeom prst="rect">
                            <a:avLst/>
                          </a:prstGeom>
                        </wps:spPr>
                        <wps:txbx>
                          <w:txbxContent>
                            <w:p>
                              <w:pPr>
                                <w:spacing w:before="14"/>
                                <w:ind w:left="10" w:right="0" w:firstLine="0"/>
                                <w:jc w:val="left"/>
                                <w:rPr>
                                  <w:sz w:val="14"/>
                                </w:rPr>
                              </w:pPr>
                              <w:r>
                                <w:rPr>
                                  <w:color w:val="636466"/>
                                  <w:spacing w:val="-5"/>
                                  <w:sz w:val="14"/>
                                </w:rPr>
                                <w:t>84%</w:t>
                              </w:r>
                            </w:p>
                            <w:p>
                              <w:pPr>
                                <w:spacing w:before="35"/>
                                <w:ind w:left="6" w:right="0" w:firstLine="0"/>
                                <w:jc w:val="left"/>
                                <w:rPr>
                                  <w:sz w:val="14"/>
                                </w:rPr>
                              </w:pPr>
                              <w:r>
                                <w:rPr>
                                  <w:color w:val="636466"/>
                                  <w:spacing w:val="-5"/>
                                  <w:sz w:val="14"/>
                                </w:rPr>
                                <w:t>82%</w:t>
                              </w:r>
                            </w:p>
                            <w:p>
                              <w:pPr>
                                <w:spacing w:before="30"/>
                                <w:ind w:left="0" w:right="0" w:firstLine="0"/>
                                <w:jc w:val="left"/>
                                <w:rPr>
                                  <w:sz w:val="14"/>
                                </w:rPr>
                              </w:pPr>
                              <w:r>
                                <w:rPr>
                                  <w:color w:val="636466"/>
                                  <w:spacing w:val="-5"/>
                                  <w:sz w:val="14"/>
                                </w:rPr>
                                <w:t>80%</w:t>
                              </w:r>
                            </w:p>
                          </w:txbxContent>
                        </wps:txbx>
                        <wps:bodyPr wrap="square" lIns="0" tIns="0" rIns="0" bIns="0" rtlCol="0">
                          <a:noAutofit/>
                        </wps:bodyPr>
                      </wps:wsp>
                      <wps:wsp>
                        <wps:cNvPr id="225" name="Textbox 225"/>
                        <wps:cNvSpPr txBox="1"/>
                        <wps:spPr>
                          <a:xfrm>
                            <a:off x="1512257" y="1233646"/>
                            <a:ext cx="266700" cy="313690"/>
                          </a:xfrm>
                          <a:prstGeom prst="rect">
                            <a:avLst/>
                          </a:prstGeom>
                        </wps:spPr>
                        <wps:txbx>
                          <w:txbxContent>
                            <w:p>
                              <w:pPr>
                                <w:spacing w:before="14"/>
                                <w:ind w:left="128" w:right="0" w:firstLine="0"/>
                                <w:jc w:val="left"/>
                                <w:rPr>
                                  <w:sz w:val="14"/>
                                </w:rPr>
                              </w:pPr>
                              <w:r>
                                <w:rPr>
                                  <w:color w:val="636466"/>
                                  <w:spacing w:val="-5"/>
                                  <w:sz w:val="14"/>
                                </w:rPr>
                                <w:t>77%</w:t>
                              </w:r>
                            </w:p>
                            <w:p>
                              <w:pPr>
                                <w:spacing w:before="134"/>
                                <w:ind w:left="0" w:right="0" w:firstLine="0"/>
                                <w:jc w:val="left"/>
                                <w:rPr>
                                  <w:sz w:val="14"/>
                                </w:rPr>
                              </w:pPr>
                              <w:r>
                                <w:rPr>
                                  <w:color w:val="636466"/>
                                  <w:spacing w:val="-5"/>
                                  <w:sz w:val="14"/>
                                </w:rPr>
                                <w:t>74%</w:t>
                              </w:r>
                            </w:p>
                          </w:txbxContent>
                        </wps:txbx>
                        <wps:bodyPr wrap="square" lIns="0" tIns="0" rIns="0" bIns="0" rtlCol="0">
                          <a:noAutofit/>
                        </wps:bodyPr>
                      </wps:wsp>
                      <wps:wsp>
                        <wps:cNvPr id="226" name="Textbox 226"/>
                        <wps:cNvSpPr txBox="1"/>
                        <wps:spPr>
                          <a:xfrm>
                            <a:off x="2626722" y="1265543"/>
                            <a:ext cx="185420" cy="126364"/>
                          </a:xfrm>
                          <a:prstGeom prst="rect">
                            <a:avLst/>
                          </a:prstGeom>
                        </wps:spPr>
                        <wps:txbx>
                          <w:txbxContent>
                            <w:p>
                              <w:pPr>
                                <w:spacing w:before="14"/>
                                <w:ind w:left="0" w:right="0" w:firstLine="0"/>
                                <w:jc w:val="left"/>
                                <w:rPr>
                                  <w:sz w:val="14"/>
                                </w:rPr>
                              </w:pPr>
                              <w:r>
                                <w:rPr>
                                  <w:color w:val="636466"/>
                                  <w:spacing w:val="-5"/>
                                  <w:sz w:val="14"/>
                                </w:rPr>
                                <w:t>77%</w:t>
                              </w:r>
                            </w:p>
                          </w:txbxContent>
                        </wps:txbx>
                        <wps:bodyPr wrap="square" lIns="0" tIns="0" rIns="0" bIns="0" rtlCol="0">
                          <a:noAutofit/>
                        </wps:bodyPr>
                      </wps:wsp>
                      <wps:wsp>
                        <wps:cNvPr id="227" name="Textbox 227"/>
                        <wps:cNvSpPr txBox="1"/>
                        <wps:spPr>
                          <a:xfrm>
                            <a:off x="3683032" y="1191578"/>
                            <a:ext cx="185420" cy="126364"/>
                          </a:xfrm>
                          <a:prstGeom prst="rect">
                            <a:avLst/>
                          </a:prstGeom>
                        </wps:spPr>
                        <wps:txbx>
                          <w:txbxContent>
                            <w:p>
                              <w:pPr>
                                <w:spacing w:before="14"/>
                                <w:ind w:left="0" w:right="0" w:firstLine="0"/>
                                <w:jc w:val="left"/>
                                <w:rPr>
                                  <w:sz w:val="14"/>
                                </w:rPr>
                              </w:pPr>
                              <w:r>
                                <w:rPr>
                                  <w:color w:val="636466"/>
                                  <w:spacing w:val="-5"/>
                                  <w:sz w:val="14"/>
                                </w:rPr>
                                <w:t>78%</w:t>
                              </w:r>
                            </w:p>
                          </w:txbxContent>
                        </wps:txbx>
                        <wps:bodyPr wrap="square" lIns="0" tIns="0" rIns="0" bIns="0" rtlCol="0">
                          <a:noAutofit/>
                        </wps:bodyPr>
                      </wps:wsp>
                      <wps:wsp>
                        <wps:cNvPr id="228" name="Textbox 228"/>
                        <wps:cNvSpPr txBox="1"/>
                        <wps:spPr>
                          <a:xfrm>
                            <a:off x="187638" y="2882936"/>
                            <a:ext cx="2519680" cy="144780"/>
                          </a:xfrm>
                          <a:prstGeom prst="rect">
                            <a:avLst/>
                          </a:prstGeom>
                        </wps:spPr>
                        <wps:txbx>
                          <w:txbxContent>
                            <w:p>
                              <w:pPr>
                                <w:spacing w:before="16"/>
                                <w:ind w:left="0" w:right="0" w:firstLine="0"/>
                                <w:jc w:val="left"/>
                                <w:rPr>
                                  <w:sz w:val="16"/>
                                </w:rPr>
                              </w:pPr>
                              <w:r>
                                <w:rPr>
                                  <w:color w:val="105B83"/>
                                  <w:sz w:val="16"/>
                                </w:rPr>
                                <w:t>Source:</w:t>
                              </w:r>
                              <w:r>
                                <w:rPr>
                                  <w:color w:val="105B83"/>
                                  <w:spacing w:val="7"/>
                                  <w:sz w:val="16"/>
                                </w:rPr>
                                <w:t> </w:t>
                              </w:r>
                              <w:r>
                                <w:rPr>
                                  <w:color w:val="105B83"/>
                                  <w:sz w:val="16"/>
                                </w:rPr>
                                <w:t>December</w:t>
                              </w:r>
                              <w:r>
                                <w:rPr>
                                  <w:color w:val="105B83"/>
                                  <w:spacing w:val="7"/>
                                  <w:sz w:val="16"/>
                                </w:rPr>
                                <w:t> </w:t>
                              </w:r>
                              <w:r>
                                <w:rPr>
                                  <w:color w:val="105B83"/>
                                  <w:sz w:val="16"/>
                                </w:rPr>
                                <w:t>2018</w:t>
                              </w:r>
                              <w:r>
                                <w:rPr>
                                  <w:color w:val="105B83"/>
                                  <w:spacing w:val="7"/>
                                  <w:sz w:val="16"/>
                                </w:rPr>
                                <w:t> </w:t>
                              </w:r>
                              <w:r>
                                <w:rPr>
                                  <w:color w:val="105B83"/>
                                  <w:sz w:val="16"/>
                                </w:rPr>
                                <w:t>High</w:t>
                              </w:r>
                              <w:r>
                                <w:rPr>
                                  <w:color w:val="105B83"/>
                                  <w:spacing w:val="7"/>
                                  <w:sz w:val="16"/>
                                </w:rPr>
                                <w:t> </w:t>
                              </w:r>
                              <w:r>
                                <w:rPr>
                                  <w:color w:val="105B83"/>
                                  <w:sz w:val="16"/>
                                </w:rPr>
                                <w:t>Blood</w:t>
                              </w:r>
                              <w:r>
                                <w:rPr>
                                  <w:color w:val="105B83"/>
                                  <w:spacing w:val="8"/>
                                  <w:sz w:val="16"/>
                                </w:rPr>
                                <w:t> </w:t>
                              </w:r>
                              <w:r>
                                <w:rPr>
                                  <w:color w:val="105B83"/>
                                  <w:sz w:val="16"/>
                                </w:rPr>
                                <w:t>Pressure</w:t>
                              </w:r>
                              <w:r>
                                <w:rPr>
                                  <w:color w:val="105B83"/>
                                  <w:spacing w:val="7"/>
                                  <w:sz w:val="16"/>
                                </w:rPr>
                                <w:t> </w:t>
                              </w:r>
                              <w:r>
                                <w:rPr>
                                  <w:color w:val="105B83"/>
                                  <w:spacing w:val="-2"/>
                                  <w:sz w:val="16"/>
                                </w:rPr>
                                <w:t>Registry</w:t>
                              </w:r>
                            </w:p>
                          </w:txbxContent>
                        </wps:txbx>
                        <wps:bodyPr wrap="square" lIns="0" tIns="0" rIns="0" bIns="0" rtlCol="0">
                          <a:noAutofit/>
                        </wps:bodyPr>
                      </wps:wsp>
                      <wps:wsp>
                        <wps:cNvPr id="229" name="Textbox 229"/>
                        <wps:cNvSpPr txBox="1"/>
                        <wps:spPr>
                          <a:xfrm>
                            <a:off x="4678410" y="2442493"/>
                            <a:ext cx="567055" cy="593725"/>
                          </a:xfrm>
                          <a:prstGeom prst="rect">
                            <a:avLst/>
                          </a:prstGeom>
                        </wps:spPr>
                        <wps:txbx>
                          <w:txbxContent>
                            <w:p>
                              <w:pPr>
                                <w:numPr>
                                  <w:ilvl w:val="0"/>
                                  <w:numId w:val="13"/>
                                </w:numPr>
                                <w:tabs>
                                  <w:tab w:pos="141" w:val="left" w:leader="none"/>
                                </w:tabs>
                                <w:spacing w:before="16"/>
                                <w:ind w:left="141" w:right="0" w:hanging="141"/>
                                <w:jc w:val="left"/>
                                <w:rPr>
                                  <w:sz w:val="16"/>
                                </w:rPr>
                              </w:pPr>
                              <w:r>
                                <w:rPr>
                                  <w:color w:val="105B83"/>
                                  <w:spacing w:val="-5"/>
                                  <w:sz w:val="16"/>
                                </w:rPr>
                                <w:t>Low</w:t>
                              </w:r>
                            </w:p>
                            <w:p>
                              <w:pPr>
                                <w:numPr>
                                  <w:ilvl w:val="0"/>
                                  <w:numId w:val="13"/>
                                </w:numPr>
                                <w:tabs>
                                  <w:tab w:pos="141" w:val="left" w:leader="none"/>
                                </w:tabs>
                                <w:spacing w:line="350" w:lineRule="atLeast" w:before="4"/>
                                <w:ind w:left="0" w:right="18" w:firstLine="0"/>
                                <w:jc w:val="left"/>
                                <w:rPr>
                                  <w:sz w:val="16"/>
                                </w:rPr>
                              </w:pPr>
                              <w:r>
                                <w:rPr>
                                  <w:color w:val="105B83"/>
                                  <w:spacing w:val="-2"/>
                                  <w:w w:val="105"/>
                                  <w:sz w:val="16"/>
                                </w:rPr>
                                <w:t>Moderate 3-High</w:t>
                              </w:r>
                            </w:p>
                          </w:txbxContent>
                        </wps:txbx>
                        <wps:bodyPr wrap="square" lIns="0" tIns="0" rIns="0" bIns="0" rtlCol="0">
                          <a:noAutofit/>
                        </wps:bodyPr>
                      </wps:wsp>
                    </wpg:wgp>
                  </a:graphicData>
                </a:graphic>
              </wp:anchor>
            </w:drawing>
          </mc:Choice>
          <mc:Fallback>
            <w:pict>
              <v:group style="position:absolute;margin-left:717.61792pt;margin-top:1.086187pt;width:427.45pt;height:251.6pt;mso-position-horizontal-relative:page;mso-position-vertical-relative:paragraph;z-index:15752192" id="docshapegroup170" coordorigin="14352,22" coordsize="8549,5032">
                <v:shape style="position:absolute;left:14358;top:27;width:8538;height:4985" id="docshape171" coordorigin="14358,28" coordsize="8538,4985" path="m22896,5012l14358,5012,14358,28e" filled="false" stroked="true" strokeweight=".584pt" strokecolor="#939598">
                  <v:path arrowok="t"/>
                  <v:stroke dashstyle="solid"/>
                </v:shape>
                <v:shape style="position:absolute;left:15460;top:5011;width:6636;height:42" id="docshape172" coordorigin="15461,5012" coordsize="6636,42" path="m15461,5012l15461,5053m16563,5012l16563,5053m17665,5012l17665,5053m18789,5012l18789,5053m19891,5012l19891,5053m20993,5012l20993,5053m22096,5012l22096,5053e" filled="false" stroked="true" strokeweight="1.04pt" strokecolor="#e7e8e7">
                  <v:path arrowok="t"/>
                  <v:stroke dashstyle="solid"/>
                </v:shape>
                <v:rect style="position:absolute;left:21502;top:3917;width:110;height:110" id="docshape173" filled="true" fillcolor="#105b83" stroked="false">
                  <v:fill type="solid"/>
                </v:rect>
                <v:rect style="position:absolute;left:21502;top:4282;width:110;height:110" id="docshape174" filled="true" fillcolor="#939598" stroked="false">
                  <v:fill type="solid"/>
                </v:rect>
                <v:rect style="position:absolute;left:21502;top:4624;width:110;height:110" id="docshape175" filled="true" fillcolor="#81bf6a" stroked="false">
                  <v:fill type="solid"/>
                </v:rect>
                <v:shape style="position:absolute;left:15223;top:1301;width:6746;height:486" id="docshape176" coordorigin="15224,1302" coordsize="6746,486" path="m15224,1665l16910,1787,18597,1398,20283,1401,21969,1302e" filled="false" stroked="true" strokeweight="1.272pt" strokecolor="#81bf6a">
                  <v:path arrowok="t"/>
                  <v:stroke dashstyle="solid"/>
                </v:shape>
                <v:shape style="position:absolute;left:15198;top:1276;width:6797;height:537" id="docshape177" coordorigin="15198,1276" coordsize="6797,537" path="m15249,1651l15238,1639,15210,1639,15198,1651,15198,1679,15210,1690,15238,1690,15249,1679,15249,1665,15249,1651xm16936,1773l16924,1762,16896,1762,16885,1773,16885,1801,16896,1813,16924,1813,16936,1801,16936,1787,16936,1773xm18622,1384l18611,1373,18583,1373,18571,1384,18571,1412,18583,1424,18611,1424,18622,1412,18622,1398,18622,1384xm20308,1387l20297,1375,20269,1375,20258,1387,20258,1415,20269,1426,20297,1426,20308,1415,20308,1401,20308,1387xm21995,1288l21983,1276,21955,1276,21944,1288,21944,1316,21955,1327,21983,1327,21995,1316,21995,1302,21995,1288xe" filled="true" fillcolor="#81bf6a" stroked="false">
                  <v:path arrowok="t"/>
                  <v:fill type="solid"/>
                </v:shape>
                <v:shape style="position:absolute;left:15223;top:1456;width:6746;height:510" id="docshape178" coordorigin="15224,1456" coordsize="6746,510" path="m15224,1965l16910,1960,18597,1775,20283,1630,21969,1456e" filled="false" stroked="true" strokeweight="1.272pt" strokecolor="#bcbec0">
                  <v:path arrowok="t"/>
                  <v:stroke dashstyle="solid"/>
                </v:shape>
                <v:shape style="position:absolute;left:15198;top:1430;width:6797;height:561" id="docshape179" coordorigin="15198,1431" coordsize="6797,561" path="m15249,1951l15238,1940,15210,1940,15198,1951,15198,1979,15210,1991,15238,1991,15249,1979,15249,1965,15249,1951xm16936,1946l16924,1935,16896,1935,16885,1946,16885,1974,16896,1986,16924,1986,16936,1974,16936,1960,16936,1946xm18622,1761l18611,1750,18583,1750,18571,1761,18571,1790,18583,1801,18611,1801,18622,1790,18622,1775,18622,1761xm20308,1616l20297,1604,20269,1604,20258,1616,20258,1644,20269,1655,20297,1655,20308,1644,20308,1630,20308,1616xm21995,1442l21983,1431,21955,1431,21944,1442,21944,1470,21955,1481,21983,1481,21995,1470,21995,1456,21995,1442xe" filled="true" fillcolor="#939598" stroked="false">
                  <v:path arrowok="t"/>
                  <v:fill type="solid"/>
                </v:shape>
                <v:shape style="position:absolute;left:15223;top:1645;width:6746;height:606" id="docshape180" coordorigin="15224,1645" coordsize="6746,606" path="m15224,2250l16910,2231,18597,1963,20283,1801,21969,1645e" filled="false" stroked="true" strokeweight="1.272pt" strokecolor="#115c85">
                  <v:path arrowok="t"/>
                  <v:stroke dashstyle="solid"/>
                </v:shape>
                <v:shape style="position:absolute;left:15198;top:1619;width:6797;height:657" id="docshape181" coordorigin="15198,1620" coordsize="6797,657" path="m15249,2236l15238,2225,15210,2225,15198,2236,15198,2265,15210,2276,15238,2276,15249,2265,15249,2250,15249,2236xm16936,2217l16924,2205,16896,2205,16885,2217,16885,2245,16896,2256,16924,2256,16936,2245,16936,2231,16936,2217xm18622,1949l18611,1938,18583,1938,18571,1949,18571,1978,18583,1989,18611,1989,18622,1978,18622,1963,18622,1949xm20308,1787l20297,1776,20269,1776,20258,1787,20258,1815,20269,1827,20297,1827,20308,1815,20308,1801,20308,1787xm21995,1631l21983,1620,21955,1620,21944,1631,21944,1659,21955,1671,21983,1671,21995,1659,21995,1645,21995,1631xe" filled="true" fillcolor="#105b83" stroked="false">
                  <v:path arrowok="t"/>
                  <v:fill type="solid"/>
                </v:shape>
                <v:shape style="position:absolute;left:18481;top:1179;width:292;height:199" type="#_x0000_t202" id="docshape182" filled="false" stroked="false">
                  <v:textbox inset="0,0,0,0">
                    <w:txbxContent>
                      <w:p>
                        <w:pPr>
                          <w:spacing w:before="14"/>
                          <w:ind w:left="0" w:right="0" w:firstLine="0"/>
                          <w:jc w:val="left"/>
                          <w:rPr>
                            <w:sz w:val="14"/>
                          </w:rPr>
                        </w:pPr>
                        <w:r>
                          <w:rPr>
                            <w:color w:val="636466"/>
                            <w:spacing w:val="-5"/>
                            <w:sz w:val="14"/>
                          </w:rPr>
                          <w:t>83%</w:t>
                        </w:r>
                      </w:p>
                    </w:txbxContent>
                  </v:textbox>
                  <w10:wrap type="none"/>
                </v:shape>
                <v:shape style="position:absolute;left:14876;top:1562;width:298;height:786" type="#_x0000_t202" id="docshape183" filled="false" stroked="false">
                  <v:textbox inset="0,0,0,0">
                    <w:txbxContent>
                      <w:p>
                        <w:pPr>
                          <w:spacing w:before="14"/>
                          <w:ind w:left="0" w:right="0" w:firstLine="0"/>
                          <w:jc w:val="left"/>
                          <w:rPr>
                            <w:sz w:val="14"/>
                          </w:rPr>
                        </w:pPr>
                        <w:r>
                          <w:rPr>
                            <w:color w:val="636466"/>
                            <w:spacing w:val="-5"/>
                            <w:sz w:val="14"/>
                          </w:rPr>
                          <w:t>80%</w:t>
                        </w:r>
                      </w:p>
                      <w:p>
                        <w:pPr>
                          <w:spacing w:before="144"/>
                          <w:ind w:left="6" w:right="0" w:firstLine="0"/>
                          <w:jc w:val="left"/>
                          <w:rPr>
                            <w:sz w:val="14"/>
                          </w:rPr>
                        </w:pPr>
                        <w:r>
                          <w:rPr>
                            <w:color w:val="636466"/>
                            <w:spacing w:val="-5"/>
                            <w:sz w:val="14"/>
                          </w:rPr>
                          <w:t>77%</w:t>
                        </w:r>
                      </w:p>
                      <w:p>
                        <w:pPr>
                          <w:spacing w:before="121"/>
                          <w:ind w:left="0" w:right="0" w:firstLine="0"/>
                          <w:jc w:val="left"/>
                          <w:rPr>
                            <w:sz w:val="14"/>
                          </w:rPr>
                        </w:pPr>
                        <w:r>
                          <w:rPr>
                            <w:color w:val="636466"/>
                            <w:spacing w:val="-5"/>
                            <w:sz w:val="14"/>
                          </w:rPr>
                          <w:t>74%</w:t>
                        </w:r>
                      </w:p>
                    </w:txbxContent>
                  </v:textbox>
                  <w10:wrap type="none"/>
                </v:shape>
                <v:shape style="position:absolute;left:16709;top:1561;width:292;height:199" type="#_x0000_t202" id="docshape184" filled="false" stroked="false">
                  <v:textbox inset="0,0,0,0">
                    <w:txbxContent>
                      <w:p>
                        <w:pPr>
                          <w:spacing w:before="14"/>
                          <w:ind w:left="0" w:right="0" w:firstLine="0"/>
                          <w:jc w:val="left"/>
                          <w:rPr>
                            <w:sz w:val="14"/>
                          </w:rPr>
                        </w:pPr>
                        <w:r>
                          <w:rPr>
                            <w:color w:val="636466"/>
                            <w:spacing w:val="-5"/>
                            <w:sz w:val="14"/>
                          </w:rPr>
                          <w:t>79%</w:t>
                        </w:r>
                      </w:p>
                    </w:txbxContent>
                  </v:textbox>
                  <w10:wrap type="none"/>
                </v:shape>
                <v:shape style="position:absolute;left:18617;top:1586;width:292;height:199" type="#_x0000_t202" id="docshape185" filled="false" stroked="false">
                  <v:textbox inset="0,0,0,0">
                    <w:txbxContent>
                      <w:p>
                        <w:pPr>
                          <w:spacing w:before="14"/>
                          <w:ind w:left="0" w:right="0" w:firstLine="0"/>
                          <w:jc w:val="left"/>
                          <w:rPr>
                            <w:sz w:val="14"/>
                          </w:rPr>
                        </w:pPr>
                        <w:r>
                          <w:rPr>
                            <w:color w:val="636466"/>
                            <w:spacing w:val="-5"/>
                            <w:sz w:val="14"/>
                          </w:rPr>
                          <w:t>79%</w:t>
                        </w:r>
                      </w:p>
                    </w:txbxContent>
                  </v:textbox>
                  <w10:wrap type="none"/>
                </v:shape>
                <v:shape style="position:absolute;left:20178;top:1174;width:385;height:460" type="#_x0000_t202" id="docshape186" filled="false" stroked="false">
                  <v:textbox inset="0,0,0,0">
                    <w:txbxContent>
                      <w:p>
                        <w:pPr>
                          <w:spacing w:before="14"/>
                          <w:ind w:left="0" w:right="0" w:firstLine="0"/>
                          <w:jc w:val="left"/>
                          <w:rPr>
                            <w:sz w:val="14"/>
                          </w:rPr>
                        </w:pPr>
                        <w:r>
                          <w:rPr>
                            <w:color w:val="636466"/>
                            <w:spacing w:val="-5"/>
                            <w:sz w:val="14"/>
                          </w:rPr>
                          <w:t>83%</w:t>
                        </w:r>
                      </w:p>
                      <w:p>
                        <w:pPr>
                          <w:spacing w:before="99"/>
                          <w:ind w:left="92" w:right="0" w:firstLine="0"/>
                          <w:jc w:val="left"/>
                          <w:rPr>
                            <w:sz w:val="14"/>
                          </w:rPr>
                        </w:pPr>
                        <w:r>
                          <w:rPr>
                            <w:color w:val="636466"/>
                            <w:spacing w:val="-5"/>
                            <w:sz w:val="14"/>
                          </w:rPr>
                          <w:t>80%</w:t>
                        </w:r>
                      </w:p>
                    </w:txbxContent>
                  </v:textbox>
                  <w10:wrap type="none"/>
                </v:shape>
                <v:shape style="position:absolute;left:22042;top:1161;width:302;height:587" type="#_x0000_t202" id="docshape187" filled="false" stroked="false">
                  <v:textbox inset="0,0,0,0">
                    <w:txbxContent>
                      <w:p>
                        <w:pPr>
                          <w:spacing w:before="14"/>
                          <w:ind w:left="10" w:right="0" w:firstLine="0"/>
                          <w:jc w:val="left"/>
                          <w:rPr>
                            <w:sz w:val="14"/>
                          </w:rPr>
                        </w:pPr>
                        <w:r>
                          <w:rPr>
                            <w:color w:val="636466"/>
                            <w:spacing w:val="-5"/>
                            <w:sz w:val="14"/>
                          </w:rPr>
                          <w:t>84%</w:t>
                        </w:r>
                      </w:p>
                      <w:p>
                        <w:pPr>
                          <w:spacing w:before="35"/>
                          <w:ind w:left="6" w:right="0" w:firstLine="0"/>
                          <w:jc w:val="left"/>
                          <w:rPr>
                            <w:sz w:val="14"/>
                          </w:rPr>
                        </w:pPr>
                        <w:r>
                          <w:rPr>
                            <w:color w:val="636466"/>
                            <w:spacing w:val="-5"/>
                            <w:sz w:val="14"/>
                          </w:rPr>
                          <w:t>82%</w:t>
                        </w:r>
                      </w:p>
                      <w:p>
                        <w:pPr>
                          <w:spacing w:before="30"/>
                          <w:ind w:left="0" w:right="0" w:firstLine="0"/>
                          <w:jc w:val="left"/>
                          <w:rPr>
                            <w:sz w:val="14"/>
                          </w:rPr>
                        </w:pPr>
                        <w:r>
                          <w:rPr>
                            <w:color w:val="636466"/>
                            <w:spacing w:val="-5"/>
                            <w:sz w:val="14"/>
                          </w:rPr>
                          <w:t>80%</w:t>
                        </w:r>
                      </w:p>
                    </w:txbxContent>
                  </v:textbox>
                  <w10:wrap type="none"/>
                </v:shape>
                <v:shape style="position:absolute;left:16733;top:1964;width:420;height:494" type="#_x0000_t202" id="docshape188" filled="false" stroked="false">
                  <v:textbox inset="0,0,0,0">
                    <w:txbxContent>
                      <w:p>
                        <w:pPr>
                          <w:spacing w:before="14"/>
                          <w:ind w:left="128" w:right="0" w:firstLine="0"/>
                          <w:jc w:val="left"/>
                          <w:rPr>
                            <w:sz w:val="14"/>
                          </w:rPr>
                        </w:pPr>
                        <w:r>
                          <w:rPr>
                            <w:color w:val="636466"/>
                            <w:spacing w:val="-5"/>
                            <w:sz w:val="14"/>
                          </w:rPr>
                          <w:t>77%</w:t>
                        </w:r>
                      </w:p>
                      <w:p>
                        <w:pPr>
                          <w:spacing w:before="134"/>
                          <w:ind w:left="0" w:right="0" w:firstLine="0"/>
                          <w:jc w:val="left"/>
                          <w:rPr>
                            <w:sz w:val="14"/>
                          </w:rPr>
                        </w:pPr>
                        <w:r>
                          <w:rPr>
                            <w:color w:val="636466"/>
                            <w:spacing w:val="-5"/>
                            <w:sz w:val="14"/>
                          </w:rPr>
                          <w:t>74%</w:t>
                        </w:r>
                      </w:p>
                    </w:txbxContent>
                  </v:textbox>
                  <w10:wrap type="none"/>
                </v:shape>
                <v:shape style="position:absolute;left:18488;top:2014;width:292;height:199" type="#_x0000_t202" id="docshape189" filled="false" stroked="false">
                  <v:textbox inset="0,0,0,0">
                    <w:txbxContent>
                      <w:p>
                        <w:pPr>
                          <w:spacing w:before="14"/>
                          <w:ind w:left="0" w:right="0" w:firstLine="0"/>
                          <w:jc w:val="left"/>
                          <w:rPr>
                            <w:sz w:val="14"/>
                          </w:rPr>
                        </w:pPr>
                        <w:r>
                          <w:rPr>
                            <w:color w:val="636466"/>
                            <w:spacing w:val="-5"/>
                            <w:sz w:val="14"/>
                          </w:rPr>
                          <w:t>77%</w:t>
                        </w:r>
                      </w:p>
                    </w:txbxContent>
                  </v:textbox>
                  <w10:wrap type="none"/>
                </v:shape>
                <v:shape style="position:absolute;left:20152;top:1898;width:292;height:199" type="#_x0000_t202" id="docshape190" filled="false" stroked="false">
                  <v:textbox inset="0,0,0,0">
                    <w:txbxContent>
                      <w:p>
                        <w:pPr>
                          <w:spacing w:before="14"/>
                          <w:ind w:left="0" w:right="0" w:firstLine="0"/>
                          <w:jc w:val="left"/>
                          <w:rPr>
                            <w:sz w:val="14"/>
                          </w:rPr>
                        </w:pPr>
                        <w:r>
                          <w:rPr>
                            <w:color w:val="636466"/>
                            <w:spacing w:val="-5"/>
                            <w:sz w:val="14"/>
                          </w:rPr>
                          <w:t>78%</w:t>
                        </w:r>
                      </w:p>
                    </w:txbxContent>
                  </v:textbox>
                  <w10:wrap type="none"/>
                </v:shape>
                <v:shape style="position:absolute;left:14647;top:4561;width:3968;height:228" type="#_x0000_t202" id="docshape191" filled="false" stroked="false">
                  <v:textbox inset="0,0,0,0">
                    <w:txbxContent>
                      <w:p>
                        <w:pPr>
                          <w:spacing w:before="16"/>
                          <w:ind w:left="0" w:right="0" w:firstLine="0"/>
                          <w:jc w:val="left"/>
                          <w:rPr>
                            <w:sz w:val="16"/>
                          </w:rPr>
                        </w:pPr>
                        <w:r>
                          <w:rPr>
                            <w:color w:val="105B83"/>
                            <w:sz w:val="16"/>
                          </w:rPr>
                          <w:t>Source:</w:t>
                        </w:r>
                        <w:r>
                          <w:rPr>
                            <w:color w:val="105B83"/>
                            <w:spacing w:val="7"/>
                            <w:sz w:val="16"/>
                          </w:rPr>
                          <w:t> </w:t>
                        </w:r>
                        <w:r>
                          <w:rPr>
                            <w:color w:val="105B83"/>
                            <w:sz w:val="16"/>
                          </w:rPr>
                          <w:t>December</w:t>
                        </w:r>
                        <w:r>
                          <w:rPr>
                            <w:color w:val="105B83"/>
                            <w:spacing w:val="7"/>
                            <w:sz w:val="16"/>
                          </w:rPr>
                          <w:t> </w:t>
                        </w:r>
                        <w:r>
                          <w:rPr>
                            <w:color w:val="105B83"/>
                            <w:sz w:val="16"/>
                          </w:rPr>
                          <w:t>2018</w:t>
                        </w:r>
                        <w:r>
                          <w:rPr>
                            <w:color w:val="105B83"/>
                            <w:spacing w:val="7"/>
                            <w:sz w:val="16"/>
                          </w:rPr>
                          <w:t> </w:t>
                        </w:r>
                        <w:r>
                          <w:rPr>
                            <w:color w:val="105B83"/>
                            <w:sz w:val="16"/>
                          </w:rPr>
                          <w:t>High</w:t>
                        </w:r>
                        <w:r>
                          <w:rPr>
                            <w:color w:val="105B83"/>
                            <w:spacing w:val="7"/>
                            <w:sz w:val="16"/>
                          </w:rPr>
                          <w:t> </w:t>
                        </w:r>
                        <w:r>
                          <w:rPr>
                            <w:color w:val="105B83"/>
                            <w:sz w:val="16"/>
                          </w:rPr>
                          <w:t>Blood</w:t>
                        </w:r>
                        <w:r>
                          <w:rPr>
                            <w:color w:val="105B83"/>
                            <w:spacing w:val="8"/>
                            <w:sz w:val="16"/>
                          </w:rPr>
                          <w:t> </w:t>
                        </w:r>
                        <w:r>
                          <w:rPr>
                            <w:color w:val="105B83"/>
                            <w:sz w:val="16"/>
                          </w:rPr>
                          <w:t>Pressure</w:t>
                        </w:r>
                        <w:r>
                          <w:rPr>
                            <w:color w:val="105B83"/>
                            <w:spacing w:val="7"/>
                            <w:sz w:val="16"/>
                          </w:rPr>
                          <w:t> </w:t>
                        </w:r>
                        <w:r>
                          <w:rPr>
                            <w:color w:val="105B83"/>
                            <w:spacing w:val="-2"/>
                            <w:sz w:val="16"/>
                          </w:rPr>
                          <w:t>Registry</w:t>
                        </w:r>
                      </w:p>
                    </w:txbxContent>
                  </v:textbox>
                  <w10:wrap type="none"/>
                </v:shape>
                <v:shape style="position:absolute;left:21719;top:3868;width:893;height:935" type="#_x0000_t202" id="docshape192" filled="false" stroked="false">
                  <v:textbox inset="0,0,0,0">
                    <w:txbxContent>
                      <w:p>
                        <w:pPr>
                          <w:numPr>
                            <w:ilvl w:val="0"/>
                            <w:numId w:val="13"/>
                          </w:numPr>
                          <w:tabs>
                            <w:tab w:pos="141" w:val="left" w:leader="none"/>
                          </w:tabs>
                          <w:spacing w:before="16"/>
                          <w:ind w:left="141" w:right="0" w:hanging="141"/>
                          <w:jc w:val="left"/>
                          <w:rPr>
                            <w:sz w:val="16"/>
                          </w:rPr>
                        </w:pPr>
                        <w:r>
                          <w:rPr>
                            <w:color w:val="105B83"/>
                            <w:spacing w:val="-5"/>
                            <w:sz w:val="16"/>
                          </w:rPr>
                          <w:t>Low</w:t>
                        </w:r>
                      </w:p>
                      <w:p>
                        <w:pPr>
                          <w:numPr>
                            <w:ilvl w:val="0"/>
                            <w:numId w:val="13"/>
                          </w:numPr>
                          <w:tabs>
                            <w:tab w:pos="141" w:val="left" w:leader="none"/>
                          </w:tabs>
                          <w:spacing w:line="350" w:lineRule="atLeast" w:before="4"/>
                          <w:ind w:left="0" w:right="18" w:firstLine="0"/>
                          <w:jc w:val="left"/>
                          <w:rPr>
                            <w:sz w:val="16"/>
                          </w:rPr>
                        </w:pPr>
                        <w:r>
                          <w:rPr>
                            <w:color w:val="105B83"/>
                            <w:spacing w:val="-2"/>
                            <w:w w:val="105"/>
                            <w:sz w:val="16"/>
                          </w:rPr>
                          <w:t>Moderate 3-High</w:t>
                        </w:r>
                      </w:p>
                    </w:txbxContent>
                  </v:textbox>
                  <w10:wrap type="none"/>
                </v:shape>
                <w10:wrap type="none"/>
              </v:group>
            </w:pict>
          </mc:Fallback>
        </mc:AlternateContent>
      </w:r>
      <w:r>
        <w:rPr>
          <w:sz w:val="18"/>
        </w:rPr>
        <mc:AlternateContent>
          <mc:Choice Requires="wps">
            <w:drawing>
              <wp:anchor distT="0" distB="0" distL="0" distR="0" allowOverlap="1" layoutInCell="1" locked="0" behindDoc="0" simplePos="0" relativeHeight="15752704">
                <wp:simplePos x="0" y="0"/>
                <wp:positionH relativeFrom="page">
                  <wp:posOffset>13385494</wp:posOffset>
                </wp:positionH>
                <wp:positionV relativeFrom="paragraph">
                  <wp:posOffset>-1420</wp:posOffset>
                </wp:positionV>
                <wp:extent cx="184785" cy="3227705"/>
                <wp:effectExtent l="0" t="0" r="0" b="0"/>
                <wp:wrapNone/>
                <wp:docPr id="230" name="Textbox 230"/>
                <wp:cNvGraphicFramePr>
                  <a:graphicFrameLocks/>
                </wp:cNvGraphicFramePr>
                <a:graphic>
                  <a:graphicData uri="http://schemas.microsoft.com/office/word/2010/wordprocessingShape">
                    <wps:wsp>
                      <wps:cNvPr id="230" name="Textbox 230"/>
                      <wps:cNvSpPr txBox="1"/>
                      <wps:spPr>
                        <a:xfrm>
                          <a:off x="0" y="0"/>
                          <a:ext cx="184785" cy="3227705"/>
                        </a:xfrm>
                        <a:prstGeom prst="rect">
                          <a:avLst/>
                        </a:prstGeom>
                      </wps:spPr>
                      <wps:txbx>
                        <w:txbxContent>
                          <w:p>
                            <w:pPr>
                              <w:spacing w:before="28"/>
                              <w:ind w:left="20" w:right="0" w:firstLine="0"/>
                              <w:jc w:val="left"/>
                              <w:rPr>
                                <w:rFonts w:ascii="Cambria"/>
                                <w:sz w:val="20"/>
                              </w:rPr>
                            </w:pPr>
                            <w:r>
                              <w:rPr>
                                <w:rFonts w:ascii="Cambria"/>
                                <w:color w:val="939598"/>
                                <w:spacing w:val="40"/>
                                <w:w w:val="105"/>
                                <w:sz w:val="20"/>
                              </w:rPr>
                              <w:t>.......................................................... </w:t>
                            </w:r>
                          </w:p>
                        </w:txbxContent>
                      </wps:txbx>
                      <wps:bodyPr wrap="square" lIns="0" tIns="0" rIns="0" bIns="0" rtlCol="0" vert="vert">
                        <a:noAutofit/>
                      </wps:bodyPr>
                    </wps:wsp>
                  </a:graphicData>
                </a:graphic>
              </wp:anchor>
            </w:drawing>
          </mc:Choice>
          <mc:Fallback>
            <w:pict>
              <v:shape style="position:absolute;margin-left:1053.975952pt;margin-top:-.111813pt;width:14.55pt;height:254.15pt;mso-position-horizontal-relative:page;mso-position-vertical-relative:paragraph;z-index:15752704" type="#_x0000_t202" id="docshape193" filled="false" stroked="false">
                <v:textbox inset="0,0,0,0" style="layout-flow:vertical">
                  <w:txbxContent>
                    <w:p>
                      <w:pPr>
                        <w:spacing w:before="28"/>
                        <w:ind w:left="20" w:right="0" w:firstLine="0"/>
                        <w:jc w:val="left"/>
                        <w:rPr>
                          <w:rFonts w:ascii="Cambria"/>
                          <w:sz w:val="20"/>
                        </w:rPr>
                      </w:pPr>
                      <w:r>
                        <w:rPr>
                          <w:rFonts w:ascii="Cambria"/>
                          <w:color w:val="939598"/>
                          <w:spacing w:val="40"/>
                          <w:w w:val="105"/>
                          <w:sz w:val="20"/>
                        </w:rPr>
                        <w:t>.......................................................... </w:t>
                      </w:r>
                    </w:p>
                  </w:txbxContent>
                </v:textbox>
                <w10:wrap type="none"/>
              </v:shape>
            </w:pict>
          </mc:Fallback>
        </mc:AlternateContent>
      </w:r>
      <w:r>
        <w:rPr>
          <w:sz w:val="18"/>
        </w:rPr>
        <mc:AlternateContent>
          <mc:Choice Requires="wps">
            <w:drawing>
              <wp:anchor distT="0" distB="0" distL="0" distR="0" allowOverlap="1" layoutInCell="1" locked="0" behindDoc="0" simplePos="0" relativeHeight="15753216">
                <wp:simplePos x="0" y="0"/>
                <wp:positionH relativeFrom="page">
                  <wp:posOffset>12309198</wp:posOffset>
                </wp:positionH>
                <wp:positionV relativeFrom="paragraph">
                  <wp:posOffset>-1420</wp:posOffset>
                </wp:positionV>
                <wp:extent cx="184785" cy="3227705"/>
                <wp:effectExtent l="0" t="0" r="0" b="0"/>
                <wp:wrapNone/>
                <wp:docPr id="231" name="Textbox 231"/>
                <wp:cNvGraphicFramePr>
                  <a:graphicFrameLocks/>
                </wp:cNvGraphicFramePr>
                <a:graphic>
                  <a:graphicData uri="http://schemas.microsoft.com/office/word/2010/wordprocessingShape">
                    <wps:wsp>
                      <wps:cNvPr id="231" name="Textbox 231"/>
                      <wps:cNvSpPr txBox="1"/>
                      <wps:spPr>
                        <a:xfrm>
                          <a:off x="0" y="0"/>
                          <a:ext cx="184785" cy="3227705"/>
                        </a:xfrm>
                        <a:prstGeom prst="rect">
                          <a:avLst/>
                        </a:prstGeom>
                      </wps:spPr>
                      <wps:txbx>
                        <w:txbxContent>
                          <w:p>
                            <w:pPr>
                              <w:spacing w:before="28"/>
                              <w:ind w:left="20" w:right="0" w:firstLine="0"/>
                              <w:jc w:val="left"/>
                              <w:rPr>
                                <w:rFonts w:ascii="Cambria"/>
                                <w:sz w:val="20"/>
                              </w:rPr>
                            </w:pPr>
                            <w:r>
                              <w:rPr>
                                <w:rFonts w:ascii="Cambria"/>
                                <w:color w:val="939598"/>
                                <w:spacing w:val="40"/>
                                <w:w w:val="105"/>
                                <w:sz w:val="20"/>
                              </w:rPr>
                              <w:t>.......................................................... </w:t>
                            </w:r>
                          </w:p>
                        </w:txbxContent>
                      </wps:txbx>
                      <wps:bodyPr wrap="square" lIns="0" tIns="0" rIns="0" bIns="0" rtlCol="0" vert="vert">
                        <a:noAutofit/>
                      </wps:bodyPr>
                    </wps:wsp>
                  </a:graphicData>
                </a:graphic>
              </wp:anchor>
            </w:drawing>
          </mc:Choice>
          <mc:Fallback>
            <w:pict>
              <v:shape style="position:absolute;margin-left:969.22821pt;margin-top:-.111813pt;width:14.55pt;height:254.15pt;mso-position-horizontal-relative:page;mso-position-vertical-relative:paragraph;z-index:15753216" type="#_x0000_t202" id="docshape194" filled="false" stroked="false">
                <v:textbox inset="0,0,0,0" style="layout-flow:vertical">
                  <w:txbxContent>
                    <w:p>
                      <w:pPr>
                        <w:spacing w:before="28"/>
                        <w:ind w:left="20" w:right="0" w:firstLine="0"/>
                        <w:jc w:val="left"/>
                        <w:rPr>
                          <w:rFonts w:ascii="Cambria"/>
                          <w:sz w:val="20"/>
                        </w:rPr>
                      </w:pPr>
                      <w:r>
                        <w:rPr>
                          <w:rFonts w:ascii="Cambria"/>
                          <w:color w:val="939598"/>
                          <w:spacing w:val="40"/>
                          <w:w w:val="105"/>
                          <w:sz w:val="20"/>
                        </w:rPr>
                        <w:t>.......................................................... </w:t>
                      </w:r>
                    </w:p>
                  </w:txbxContent>
                </v:textbox>
                <w10:wrap type="none"/>
              </v:shape>
            </w:pict>
          </mc:Fallback>
        </mc:AlternateContent>
      </w:r>
      <w:r>
        <w:rPr>
          <w:sz w:val="18"/>
        </w:rPr>
        <mc:AlternateContent>
          <mc:Choice Requires="wps">
            <w:drawing>
              <wp:anchor distT="0" distB="0" distL="0" distR="0" allowOverlap="1" layoutInCell="1" locked="0" behindDoc="0" simplePos="0" relativeHeight="15753728">
                <wp:simplePos x="0" y="0"/>
                <wp:positionH relativeFrom="page">
                  <wp:posOffset>11225534</wp:posOffset>
                </wp:positionH>
                <wp:positionV relativeFrom="paragraph">
                  <wp:posOffset>-1420</wp:posOffset>
                </wp:positionV>
                <wp:extent cx="184785" cy="3227705"/>
                <wp:effectExtent l="0" t="0" r="0" b="0"/>
                <wp:wrapNone/>
                <wp:docPr id="232" name="Textbox 232"/>
                <wp:cNvGraphicFramePr>
                  <a:graphicFrameLocks/>
                </wp:cNvGraphicFramePr>
                <a:graphic>
                  <a:graphicData uri="http://schemas.microsoft.com/office/word/2010/wordprocessingShape">
                    <wps:wsp>
                      <wps:cNvPr id="232" name="Textbox 232"/>
                      <wps:cNvSpPr txBox="1"/>
                      <wps:spPr>
                        <a:xfrm>
                          <a:off x="0" y="0"/>
                          <a:ext cx="184785" cy="3227705"/>
                        </a:xfrm>
                        <a:prstGeom prst="rect">
                          <a:avLst/>
                        </a:prstGeom>
                      </wps:spPr>
                      <wps:txbx>
                        <w:txbxContent>
                          <w:p>
                            <w:pPr>
                              <w:spacing w:before="28"/>
                              <w:ind w:left="20" w:right="0" w:firstLine="0"/>
                              <w:jc w:val="left"/>
                              <w:rPr>
                                <w:rFonts w:ascii="Cambria"/>
                                <w:sz w:val="20"/>
                              </w:rPr>
                            </w:pPr>
                            <w:r>
                              <w:rPr>
                                <w:rFonts w:ascii="Cambria"/>
                                <w:color w:val="939598"/>
                                <w:spacing w:val="40"/>
                                <w:w w:val="105"/>
                                <w:sz w:val="20"/>
                              </w:rPr>
                              <w:t>.......................................................... </w:t>
                            </w:r>
                          </w:p>
                        </w:txbxContent>
                      </wps:txbx>
                      <wps:bodyPr wrap="square" lIns="0" tIns="0" rIns="0" bIns="0" rtlCol="0" vert="vert">
                        <a:noAutofit/>
                      </wps:bodyPr>
                    </wps:wsp>
                  </a:graphicData>
                </a:graphic>
              </wp:anchor>
            </w:drawing>
          </mc:Choice>
          <mc:Fallback>
            <w:pict>
              <v:shape style="position:absolute;margin-left:883.900391pt;margin-top:-.111813pt;width:14.55pt;height:254.15pt;mso-position-horizontal-relative:page;mso-position-vertical-relative:paragraph;z-index:15753728" type="#_x0000_t202" id="docshape195" filled="false" stroked="false">
                <v:textbox inset="0,0,0,0" style="layout-flow:vertical">
                  <w:txbxContent>
                    <w:p>
                      <w:pPr>
                        <w:spacing w:before="28"/>
                        <w:ind w:left="20" w:right="0" w:firstLine="0"/>
                        <w:jc w:val="left"/>
                        <w:rPr>
                          <w:rFonts w:ascii="Cambria"/>
                          <w:sz w:val="20"/>
                        </w:rPr>
                      </w:pPr>
                      <w:r>
                        <w:rPr>
                          <w:rFonts w:ascii="Cambria"/>
                          <w:color w:val="939598"/>
                          <w:spacing w:val="40"/>
                          <w:w w:val="105"/>
                          <w:sz w:val="20"/>
                        </w:rPr>
                        <w:t>.......................................................... </w:t>
                      </w:r>
                    </w:p>
                  </w:txbxContent>
                </v:textbox>
                <w10:wrap type="none"/>
              </v:shape>
            </w:pict>
          </mc:Fallback>
        </mc:AlternateContent>
      </w:r>
      <w:r>
        <w:rPr>
          <w:sz w:val="18"/>
        </w:rPr>
        <mc:AlternateContent>
          <mc:Choice Requires="wps">
            <w:drawing>
              <wp:anchor distT="0" distB="0" distL="0" distR="0" allowOverlap="1" layoutInCell="1" locked="0" behindDoc="0" simplePos="0" relativeHeight="15754240">
                <wp:simplePos x="0" y="0"/>
                <wp:positionH relativeFrom="page">
                  <wp:posOffset>10149237</wp:posOffset>
                </wp:positionH>
                <wp:positionV relativeFrom="paragraph">
                  <wp:posOffset>-1420</wp:posOffset>
                </wp:positionV>
                <wp:extent cx="184785" cy="3227705"/>
                <wp:effectExtent l="0" t="0" r="0" b="0"/>
                <wp:wrapNone/>
                <wp:docPr id="233" name="Textbox 233"/>
                <wp:cNvGraphicFramePr>
                  <a:graphicFrameLocks/>
                </wp:cNvGraphicFramePr>
                <a:graphic>
                  <a:graphicData uri="http://schemas.microsoft.com/office/word/2010/wordprocessingShape">
                    <wps:wsp>
                      <wps:cNvPr id="233" name="Textbox 233"/>
                      <wps:cNvSpPr txBox="1"/>
                      <wps:spPr>
                        <a:xfrm>
                          <a:off x="0" y="0"/>
                          <a:ext cx="184785" cy="3227705"/>
                        </a:xfrm>
                        <a:prstGeom prst="rect">
                          <a:avLst/>
                        </a:prstGeom>
                      </wps:spPr>
                      <wps:txbx>
                        <w:txbxContent>
                          <w:p>
                            <w:pPr>
                              <w:spacing w:before="28"/>
                              <w:ind w:left="20" w:right="0" w:firstLine="0"/>
                              <w:jc w:val="left"/>
                              <w:rPr>
                                <w:rFonts w:ascii="Cambria"/>
                                <w:sz w:val="20"/>
                              </w:rPr>
                            </w:pPr>
                            <w:r>
                              <w:rPr>
                                <w:rFonts w:ascii="Cambria"/>
                                <w:color w:val="939598"/>
                                <w:spacing w:val="40"/>
                                <w:w w:val="105"/>
                                <w:sz w:val="20"/>
                              </w:rPr>
                              <w:t>.......................................................... </w:t>
                            </w:r>
                          </w:p>
                        </w:txbxContent>
                      </wps:txbx>
                      <wps:bodyPr wrap="square" lIns="0" tIns="0" rIns="0" bIns="0" rtlCol="0" vert="vert">
                        <a:noAutofit/>
                      </wps:bodyPr>
                    </wps:wsp>
                  </a:graphicData>
                </a:graphic>
              </wp:anchor>
            </w:drawing>
          </mc:Choice>
          <mc:Fallback>
            <w:pict>
              <v:shape style="position:absolute;margin-left:799.152588pt;margin-top:-.111813pt;width:14.55pt;height:254.15pt;mso-position-horizontal-relative:page;mso-position-vertical-relative:paragraph;z-index:15754240" type="#_x0000_t202" id="docshape196" filled="false" stroked="false">
                <v:textbox inset="0,0,0,0" style="layout-flow:vertical">
                  <w:txbxContent>
                    <w:p>
                      <w:pPr>
                        <w:spacing w:before="28"/>
                        <w:ind w:left="20" w:right="0" w:firstLine="0"/>
                        <w:jc w:val="left"/>
                        <w:rPr>
                          <w:rFonts w:ascii="Cambria"/>
                          <w:sz w:val="20"/>
                        </w:rPr>
                      </w:pPr>
                      <w:r>
                        <w:rPr>
                          <w:rFonts w:ascii="Cambria"/>
                          <w:color w:val="939598"/>
                          <w:spacing w:val="40"/>
                          <w:w w:val="105"/>
                          <w:sz w:val="20"/>
                        </w:rPr>
                        <w:t>.......................................................... </w:t>
                      </w:r>
                    </w:p>
                  </w:txbxContent>
                </v:textbox>
                <w10:wrap type="none"/>
              </v:shape>
            </w:pict>
          </mc:Fallback>
        </mc:AlternateContent>
      </w:r>
      <w:r>
        <w:rPr>
          <w:color w:val="636466"/>
          <w:spacing w:val="-4"/>
          <w:sz w:val="18"/>
        </w:rPr>
        <w:t>100%</w:t>
      </w:r>
    </w:p>
    <w:p>
      <w:pPr>
        <w:pStyle w:val="BodyText"/>
        <w:rPr>
          <w:sz w:val="18"/>
        </w:rPr>
      </w:pPr>
    </w:p>
    <w:p>
      <w:pPr>
        <w:pStyle w:val="BodyText"/>
        <w:spacing w:before="183"/>
        <w:rPr>
          <w:sz w:val="18"/>
        </w:rPr>
      </w:pPr>
    </w:p>
    <w:p>
      <w:pPr>
        <w:spacing w:before="0"/>
        <w:ind w:left="1648" w:right="0" w:firstLine="0"/>
        <w:jc w:val="left"/>
        <w:rPr>
          <w:sz w:val="18"/>
        </w:rPr>
      </w:pPr>
      <w:r>
        <w:rPr>
          <w:color w:val="636466"/>
          <w:spacing w:val="-5"/>
          <w:sz w:val="18"/>
        </w:rPr>
        <w:t>90%</w:t>
      </w:r>
    </w:p>
    <w:p>
      <w:pPr>
        <w:spacing w:after="0"/>
        <w:jc w:val="left"/>
        <w:rPr>
          <w:sz w:val="18"/>
        </w:rPr>
        <w:sectPr>
          <w:type w:val="continuous"/>
          <w:pgSz w:w="24480" w:h="15840" w:orient="landscape"/>
          <w:pgMar w:header="0" w:footer="0" w:top="0" w:bottom="280" w:left="0" w:right="720"/>
          <w:cols w:num="2" w:equalWidth="0">
            <w:col w:w="11198" w:space="1028"/>
            <w:col w:w="11534"/>
          </w:cols>
        </w:sectPr>
      </w:pPr>
    </w:p>
    <w:p>
      <w:pPr>
        <w:pStyle w:val="BodyText"/>
        <w:rPr>
          <w:sz w:val="20"/>
        </w:rPr>
      </w:pPr>
    </w:p>
    <w:p>
      <w:pPr>
        <w:pStyle w:val="BodyText"/>
        <w:spacing w:before="26"/>
        <w:rPr>
          <w:sz w:val="20"/>
        </w:rPr>
      </w:pPr>
    </w:p>
    <w:p>
      <w:pPr>
        <w:pStyle w:val="BodyText"/>
        <w:spacing w:after="0"/>
        <w:rPr>
          <w:sz w:val="20"/>
        </w:rPr>
        <w:sectPr>
          <w:type w:val="continuous"/>
          <w:pgSz w:w="24480" w:h="15840" w:orient="landscape"/>
          <w:pgMar w:header="0" w:footer="0" w:top="0" w:bottom="280" w:left="0" w:right="720"/>
        </w:sectPr>
      </w:pPr>
    </w:p>
    <w:p>
      <w:pPr>
        <w:pStyle w:val="BodyText"/>
        <w:rPr>
          <w:sz w:val="16"/>
        </w:rPr>
      </w:pPr>
    </w:p>
    <w:p>
      <w:pPr>
        <w:pStyle w:val="BodyText"/>
        <w:spacing w:before="113"/>
        <w:rPr>
          <w:sz w:val="16"/>
        </w:rPr>
      </w:pPr>
    </w:p>
    <w:p>
      <w:pPr>
        <w:spacing w:line="235" w:lineRule="auto" w:before="0"/>
        <w:ind w:left="1094" w:right="0" w:firstLine="0"/>
        <w:jc w:val="left"/>
        <w:rPr>
          <w:sz w:val="16"/>
        </w:rPr>
      </w:pPr>
      <w:r>
        <w:rPr>
          <w:sz w:val="16"/>
        </w:rPr>
        <mc:AlternateContent>
          <mc:Choice Requires="wps">
            <w:drawing>
              <wp:anchor distT="0" distB="0" distL="0" distR="0" allowOverlap="1" layoutInCell="1" locked="0" behindDoc="0" simplePos="0" relativeHeight="15756288">
                <wp:simplePos x="0" y="0"/>
                <wp:positionH relativeFrom="page">
                  <wp:posOffset>656844</wp:posOffset>
                </wp:positionH>
                <wp:positionV relativeFrom="paragraph">
                  <wp:posOffset>-2385863</wp:posOffset>
                </wp:positionV>
                <wp:extent cx="6468110" cy="2243455"/>
                <wp:effectExtent l="0" t="0" r="0" b="0"/>
                <wp:wrapNone/>
                <wp:docPr id="234" name="Textbox 234"/>
                <wp:cNvGraphicFramePr>
                  <a:graphicFrameLocks/>
                </wp:cNvGraphicFramePr>
                <a:graphic>
                  <a:graphicData uri="http://schemas.microsoft.com/office/word/2010/wordprocessingShape">
                    <wps:wsp>
                      <wps:cNvPr id="234" name="Textbox 234"/>
                      <wps:cNvSpPr txBox="1"/>
                      <wps:spPr>
                        <a:xfrm>
                          <a:off x="0" y="0"/>
                          <a:ext cx="6468110" cy="2243455"/>
                        </a:xfrm>
                        <a:prstGeom prst="rect">
                          <a:avLst/>
                        </a:prstGeom>
                      </wps:spPr>
                      <wps:txbx>
                        <w:txbxContent>
                          <w:tbl>
                            <w:tblPr>
                              <w:tblW w:w="0" w:type="auto"/>
                              <w:jc w:val="left"/>
                              <w:tblInd w:w="62"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top w:w="0" w:type="dxa"/>
                                <w:left w:w="0" w:type="dxa"/>
                                <w:bottom w:w="0" w:type="dxa"/>
                                <w:right w:w="0" w:type="dxa"/>
                              </w:tblCellMar>
                              <w:tblLook w:val="01E0"/>
                            </w:tblPr>
                            <w:tblGrid>
                              <w:gridCol w:w="2186"/>
                              <w:gridCol w:w="3937"/>
                              <w:gridCol w:w="3937"/>
                            </w:tblGrid>
                            <w:tr>
                              <w:trPr>
                                <w:trHeight w:val="512" w:hRule="atLeast"/>
                              </w:trPr>
                              <w:tc>
                                <w:tcPr>
                                  <w:tcW w:w="2186" w:type="dxa"/>
                                  <w:shd w:val="clear" w:color="auto" w:fill="EFEFF0"/>
                                </w:tcPr>
                                <w:p>
                                  <w:pPr>
                                    <w:pStyle w:val="TableParagraph"/>
                                    <w:rPr>
                                      <w:rFonts w:ascii="Times New Roman"/>
                                      <w:sz w:val="20"/>
                                    </w:rPr>
                                  </w:pPr>
                                </w:p>
                              </w:tc>
                              <w:tc>
                                <w:tcPr>
                                  <w:tcW w:w="3937" w:type="dxa"/>
                                  <w:shd w:val="clear" w:color="auto" w:fill="EFEFF0"/>
                                </w:tcPr>
                                <w:p>
                                  <w:pPr>
                                    <w:pStyle w:val="TableParagraph"/>
                                    <w:spacing w:before="141"/>
                                    <w:ind w:left="8" w:right="1"/>
                                    <w:jc w:val="center"/>
                                    <w:rPr>
                                      <w:b/>
                                      <w:sz w:val="22"/>
                                    </w:rPr>
                                  </w:pPr>
                                  <w:r>
                                    <w:rPr>
                                      <w:b/>
                                      <w:color w:val="105C84"/>
                                      <w:sz w:val="22"/>
                                    </w:rPr>
                                    <w:t>Obesity-</w:t>
                                  </w:r>
                                  <w:r>
                                    <w:rPr>
                                      <w:b/>
                                      <w:color w:val="105C84"/>
                                      <w:spacing w:val="13"/>
                                      <w:sz w:val="22"/>
                                    </w:rPr>
                                    <w:t> </w:t>
                                  </w:r>
                                  <w:r>
                                    <w:rPr>
                                      <w:b/>
                                      <w:color w:val="105C84"/>
                                      <w:spacing w:val="-2"/>
                                      <w:sz w:val="22"/>
                                    </w:rPr>
                                    <w:t>Males</w:t>
                                  </w:r>
                                </w:p>
                              </w:tc>
                              <w:tc>
                                <w:tcPr>
                                  <w:tcW w:w="3937" w:type="dxa"/>
                                  <w:shd w:val="clear" w:color="auto" w:fill="EFEFF0"/>
                                </w:tcPr>
                                <w:p>
                                  <w:pPr>
                                    <w:pStyle w:val="TableParagraph"/>
                                    <w:spacing w:before="141"/>
                                    <w:ind w:left="8"/>
                                    <w:jc w:val="center"/>
                                    <w:rPr>
                                      <w:b/>
                                      <w:sz w:val="22"/>
                                    </w:rPr>
                                  </w:pPr>
                                  <w:r>
                                    <w:rPr>
                                      <w:b/>
                                      <w:color w:val="105C84"/>
                                      <w:sz w:val="22"/>
                                    </w:rPr>
                                    <w:t>Obesity-</w:t>
                                  </w:r>
                                  <w:r>
                                    <w:rPr>
                                      <w:b/>
                                      <w:color w:val="105C84"/>
                                      <w:spacing w:val="13"/>
                                      <w:sz w:val="22"/>
                                    </w:rPr>
                                    <w:t> </w:t>
                                  </w:r>
                                  <w:r>
                                    <w:rPr>
                                      <w:b/>
                                      <w:color w:val="105C84"/>
                                      <w:spacing w:val="-2"/>
                                      <w:sz w:val="22"/>
                                    </w:rPr>
                                    <w:t>Females</w:t>
                                  </w:r>
                                </w:p>
                              </w:tc>
                            </w:tr>
                            <w:tr>
                              <w:trPr>
                                <w:trHeight w:val="318" w:hRule="atLeast"/>
                              </w:trPr>
                              <w:tc>
                                <w:tcPr>
                                  <w:tcW w:w="2186" w:type="dxa"/>
                                  <w:shd w:val="clear" w:color="auto" w:fill="DCDDDE"/>
                                </w:tcPr>
                                <w:p>
                                  <w:pPr>
                                    <w:pStyle w:val="TableParagraph"/>
                                    <w:spacing w:before="53"/>
                                    <w:ind w:left="90"/>
                                    <w:rPr>
                                      <w:b/>
                                      <w:sz w:val="20"/>
                                    </w:rPr>
                                  </w:pPr>
                                  <w:r>
                                    <w:rPr>
                                      <w:b/>
                                      <w:color w:val="105C84"/>
                                      <w:spacing w:val="-2"/>
                                      <w:sz w:val="20"/>
                                    </w:rPr>
                                    <w:t>Chemung</w:t>
                                  </w:r>
                                </w:p>
                              </w:tc>
                              <w:tc>
                                <w:tcPr>
                                  <w:tcW w:w="3937" w:type="dxa"/>
                                </w:tcPr>
                                <w:p>
                                  <w:pPr>
                                    <w:pStyle w:val="TableParagraph"/>
                                    <w:spacing w:before="53"/>
                                    <w:ind w:left="8" w:right="1"/>
                                    <w:jc w:val="center"/>
                                    <w:rPr>
                                      <w:sz w:val="20"/>
                                    </w:rPr>
                                  </w:pPr>
                                  <w:r>
                                    <w:rPr>
                                      <w:color w:val="105C84"/>
                                      <w:spacing w:val="-5"/>
                                      <w:sz w:val="20"/>
                                    </w:rPr>
                                    <w:t>34%</w:t>
                                  </w:r>
                                </w:p>
                              </w:tc>
                              <w:tc>
                                <w:tcPr>
                                  <w:tcW w:w="3937" w:type="dxa"/>
                                </w:tcPr>
                                <w:p>
                                  <w:pPr>
                                    <w:pStyle w:val="TableParagraph"/>
                                    <w:spacing w:before="53"/>
                                    <w:ind w:left="8"/>
                                    <w:jc w:val="center"/>
                                    <w:rPr>
                                      <w:sz w:val="20"/>
                                    </w:rPr>
                                  </w:pPr>
                                  <w:r>
                                    <w:rPr>
                                      <w:color w:val="105C84"/>
                                      <w:spacing w:val="-5"/>
                                      <w:sz w:val="20"/>
                                    </w:rPr>
                                    <w:t>30%</w:t>
                                  </w:r>
                                </w:p>
                              </w:tc>
                            </w:tr>
                            <w:tr>
                              <w:trPr>
                                <w:trHeight w:val="331" w:hRule="atLeast"/>
                              </w:trPr>
                              <w:tc>
                                <w:tcPr>
                                  <w:tcW w:w="2186" w:type="dxa"/>
                                  <w:shd w:val="clear" w:color="auto" w:fill="DCDDDE"/>
                                </w:tcPr>
                                <w:p>
                                  <w:pPr>
                                    <w:pStyle w:val="TableParagraph"/>
                                    <w:spacing w:before="59"/>
                                    <w:ind w:left="90"/>
                                    <w:rPr>
                                      <w:b/>
                                      <w:sz w:val="20"/>
                                    </w:rPr>
                                  </w:pPr>
                                  <w:r>
                                    <w:rPr>
                                      <w:b/>
                                      <w:color w:val="105C84"/>
                                      <w:spacing w:val="-2"/>
                                      <w:sz w:val="20"/>
                                    </w:rPr>
                                    <w:t>Livingston</w:t>
                                  </w:r>
                                </w:p>
                              </w:tc>
                              <w:tc>
                                <w:tcPr>
                                  <w:tcW w:w="3937" w:type="dxa"/>
                                </w:tcPr>
                                <w:p>
                                  <w:pPr>
                                    <w:pStyle w:val="TableParagraph"/>
                                    <w:spacing w:before="59"/>
                                    <w:ind w:left="8" w:right="1"/>
                                    <w:jc w:val="center"/>
                                    <w:rPr>
                                      <w:sz w:val="20"/>
                                    </w:rPr>
                                  </w:pPr>
                                  <w:r>
                                    <w:rPr>
                                      <w:color w:val="105C84"/>
                                      <w:spacing w:val="-5"/>
                                      <w:sz w:val="20"/>
                                    </w:rPr>
                                    <w:t>31%</w:t>
                                  </w:r>
                                </w:p>
                              </w:tc>
                              <w:tc>
                                <w:tcPr>
                                  <w:tcW w:w="3937" w:type="dxa"/>
                                </w:tcPr>
                                <w:p>
                                  <w:pPr>
                                    <w:pStyle w:val="TableParagraph"/>
                                    <w:spacing w:before="59"/>
                                    <w:ind w:left="8"/>
                                    <w:jc w:val="center"/>
                                    <w:rPr>
                                      <w:sz w:val="20"/>
                                    </w:rPr>
                                  </w:pPr>
                                  <w:r>
                                    <w:rPr>
                                      <w:color w:val="105C84"/>
                                      <w:spacing w:val="-5"/>
                                      <w:sz w:val="20"/>
                                    </w:rPr>
                                    <w:t>40%</w:t>
                                  </w:r>
                                </w:p>
                              </w:tc>
                            </w:tr>
                            <w:tr>
                              <w:trPr>
                                <w:trHeight w:val="331" w:hRule="atLeast"/>
                              </w:trPr>
                              <w:tc>
                                <w:tcPr>
                                  <w:tcW w:w="2186" w:type="dxa"/>
                                  <w:shd w:val="clear" w:color="auto" w:fill="DCDDDE"/>
                                </w:tcPr>
                                <w:p>
                                  <w:pPr>
                                    <w:pStyle w:val="TableParagraph"/>
                                    <w:spacing w:before="59"/>
                                    <w:ind w:left="90"/>
                                    <w:rPr>
                                      <w:b/>
                                      <w:sz w:val="20"/>
                                    </w:rPr>
                                  </w:pPr>
                                  <w:r>
                                    <w:rPr>
                                      <w:b/>
                                      <w:color w:val="105C84"/>
                                      <w:spacing w:val="-2"/>
                                      <w:sz w:val="20"/>
                                    </w:rPr>
                                    <w:t>Ontario</w:t>
                                  </w:r>
                                </w:p>
                              </w:tc>
                              <w:tc>
                                <w:tcPr>
                                  <w:tcW w:w="3937" w:type="dxa"/>
                                </w:tcPr>
                                <w:p>
                                  <w:pPr>
                                    <w:pStyle w:val="TableParagraph"/>
                                    <w:spacing w:before="59"/>
                                    <w:ind w:left="8" w:right="1"/>
                                    <w:jc w:val="center"/>
                                    <w:rPr>
                                      <w:sz w:val="20"/>
                                    </w:rPr>
                                  </w:pPr>
                                  <w:r>
                                    <w:rPr>
                                      <w:color w:val="105C84"/>
                                      <w:spacing w:val="-5"/>
                                      <w:sz w:val="20"/>
                                    </w:rPr>
                                    <w:t>40%</w:t>
                                  </w:r>
                                </w:p>
                              </w:tc>
                              <w:tc>
                                <w:tcPr>
                                  <w:tcW w:w="3937" w:type="dxa"/>
                                </w:tcPr>
                                <w:p>
                                  <w:pPr>
                                    <w:pStyle w:val="TableParagraph"/>
                                    <w:spacing w:before="59"/>
                                    <w:ind w:left="8"/>
                                    <w:jc w:val="center"/>
                                    <w:rPr>
                                      <w:sz w:val="20"/>
                                    </w:rPr>
                                  </w:pPr>
                                  <w:r>
                                    <w:rPr>
                                      <w:color w:val="105C84"/>
                                      <w:spacing w:val="-5"/>
                                      <w:sz w:val="20"/>
                                    </w:rPr>
                                    <w:t>36%</w:t>
                                  </w:r>
                                </w:p>
                              </w:tc>
                            </w:tr>
                            <w:tr>
                              <w:trPr>
                                <w:trHeight w:val="331" w:hRule="atLeast"/>
                              </w:trPr>
                              <w:tc>
                                <w:tcPr>
                                  <w:tcW w:w="2186" w:type="dxa"/>
                                  <w:shd w:val="clear" w:color="auto" w:fill="DCDDDE"/>
                                </w:tcPr>
                                <w:p>
                                  <w:pPr>
                                    <w:pStyle w:val="TableParagraph"/>
                                    <w:spacing w:before="59"/>
                                    <w:ind w:left="90"/>
                                    <w:rPr>
                                      <w:b/>
                                      <w:sz w:val="20"/>
                                    </w:rPr>
                                  </w:pPr>
                                  <w:r>
                                    <w:rPr>
                                      <w:b/>
                                      <w:color w:val="105C84"/>
                                      <w:spacing w:val="-2"/>
                                      <w:sz w:val="20"/>
                                    </w:rPr>
                                    <w:t>Schuyler</w:t>
                                  </w:r>
                                </w:p>
                              </w:tc>
                              <w:tc>
                                <w:tcPr>
                                  <w:tcW w:w="3937" w:type="dxa"/>
                                </w:tcPr>
                                <w:p>
                                  <w:pPr>
                                    <w:pStyle w:val="TableParagraph"/>
                                    <w:spacing w:before="59"/>
                                    <w:ind w:left="8" w:right="1"/>
                                    <w:jc w:val="center"/>
                                    <w:rPr>
                                      <w:sz w:val="20"/>
                                    </w:rPr>
                                  </w:pPr>
                                  <w:r>
                                    <w:rPr>
                                      <w:color w:val="105C84"/>
                                      <w:spacing w:val="-5"/>
                                      <w:sz w:val="20"/>
                                    </w:rPr>
                                    <w:t>24%</w:t>
                                  </w:r>
                                </w:p>
                              </w:tc>
                              <w:tc>
                                <w:tcPr>
                                  <w:tcW w:w="3937" w:type="dxa"/>
                                </w:tcPr>
                                <w:p>
                                  <w:pPr>
                                    <w:pStyle w:val="TableParagraph"/>
                                    <w:spacing w:before="59"/>
                                    <w:ind w:left="8"/>
                                    <w:jc w:val="center"/>
                                    <w:rPr>
                                      <w:sz w:val="20"/>
                                    </w:rPr>
                                  </w:pPr>
                                  <w:r>
                                    <w:rPr>
                                      <w:color w:val="105C84"/>
                                      <w:spacing w:val="-5"/>
                                      <w:sz w:val="20"/>
                                    </w:rPr>
                                    <w:t>42%</w:t>
                                  </w:r>
                                </w:p>
                              </w:tc>
                            </w:tr>
                            <w:tr>
                              <w:trPr>
                                <w:trHeight w:val="331" w:hRule="atLeast"/>
                              </w:trPr>
                              <w:tc>
                                <w:tcPr>
                                  <w:tcW w:w="2186" w:type="dxa"/>
                                  <w:shd w:val="clear" w:color="auto" w:fill="DCDDDE"/>
                                </w:tcPr>
                                <w:p>
                                  <w:pPr>
                                    <w:pStyle w:val="TableParagraph"/>
                                    <w:spacing w:before="59"/>
                                    <w:ind w:left="90"/>
                                    <w:rPr>
                                      <w:b/>
                                      <w:sz w:val="20"/>
                                    </w:rPr>
                                  </w:pPr>
                                  <w:r>
                                    <w:rPr>
                                      <w:b/>
                                      <w:color w:val="105C84"/>
                                      <w:spacing w:val="-2"/>
                                      <w:sz w:val="20"/>
                                    </w:rPr>
                                    <w:t>Seneca</w:t>
                                  </w:r>
                                </w:p>
                              </w:tc>
                              <w:tc>
                                <w:tcPr>
                                  <w:tcW w:w="3937" w:type="dxa"/>
                                </w:tcPr>
                                <w:p>
                                  <w:pPr>
                                    <w:pStyle w:val="TableParagraph"/>
                                    <w:spacing w:before="59"/>
                                    <w:ind w:left="8" w:right="1"/>
                                    <w:jc w:val="center"/>
                                    <w:rPr>
                                      <w:sz w:val="20"/>
                                    </w:rPr>
                                  </w:pPr>
                                  <w:r>
                                    <w:rPr>
                                      <w:color w:val="105C84"/>
                                      <w:spacing w:val="-5"/>
                                      <w:sz w:val="20"/>
                                    </w:rPr>
                                    <w:t>56%</w:t>
                                  </w:r>
                                </w:p>
                              </w:tc>
                              <w:tc>
                                <w:tcPr>
                                  <w:tcW w:w="3937" w:type="dxa"/>
                                </w:tcPr>
                                <w:p>
                                  <w:pPr>
                                    <w:pStyle w:val="TableParagraph"/>
                                    <w:spacing w:before="59"/>
                                    <w:ind w:left="8"/>
                                    <w:jc w:val="center"/>
                                    <w:rPr>
                                      <w:sz w:val="20"/>
                                    </w:rPr>
                                  </w:pPr>
                                  <w:r>
                                    <w:rPr>
                                      <w:color w:val="105C84"/>
                                      <w:spacing w:val="-5"/>
                                      <w:sz w:val="20"/>
                                    </w:rPr>
                                    <w:t>35%</w:t>
                                  </w:r>
                                </w:p>
                              </w:tc>
                            </w:tr>
                            <w:tr>
                              <w:trPr>
                                <w:trHeight w:val="331" w:hRule="atLeast"/>
                              </w:trPr>
                              <w:tc>
                                <w:tcPr>
                                  <w:tcW w:w="2186" w:type="dxa"/>
                                  <w:shd w:val="clear" w:color="auto" w:fill="DCDDDE"/>
                                </w:tcPr>
                                <w:p>
                                  <w:pPr>
                                    <w:pStyle w:val="TableParagraph"/>
                                    <w:spacing w:before="59"/>
                                    <w:ind w:left="90"/>
                                    <w:rPr>
                                      <w:b/>
                                      <w:sz w:val="20"/>
                                    </w:rPr>
                                  </w:pPr>
                                  <w:r>
                                    <w:rPr>
                                      <w:b/>
                                      <w:color w:val="105C84"/>
                                      <w:spacing w:val="-2"/>
                                      <w:sz w:val="20"/>
                                    </w:rPr>
                                    <w:t>Steuben</w:t>
                                  </w:r>
                                </w:p>
                              </w:tc>
                              <w:tc>
                                <w:tcPr>
                                  <w:tcW w:w="3937" w:type="dxa"/>
                                </w:tcPr>
                                <w:p>
                                  <w:pPr>
                                    <w:pStyle w:val="TableParagraph"/>
                                    <w:spacing w:before="59"/>
                                    <w:ind w:left="8" w:right="1"/>
                                    <w:jc w:val="center"/>
                                    <w:rPr>
                                      <w:sz w:val="20"/>
                                    </w:rPr>
                                  </w:pPr>
                                  <w:r>
                                    <w:rPr>
                                      <w:color w:val="105C84"/>
                                      <w:spacing w:val="-5"/>
                                      <w:sz w:val="20"/>
                                    </w:rPr>
                                    <w:t>33%</w:t>
                                  </w:r>
                                </w:p>
                              </w:tc>
                              <w:tc>
                                <w:tcPr>
                                  <w:tcW w:w="3937" w:type="dxa"/>
                                </w:tcPr>
                                <w:p>
                                  <w:pPr>
                                    <w:pStyle w:val="TableParagraph"/>
                                    <w:spacing w:before="59"/>
                                    <w:ind w:left="8"/>
                                    <w:jc w:val="center"/>
                                    <w:rPr>
                                      <w:sz w:val="20"/>
                                    </w:rPr>
                                  </w:pPr>
                                  <w:r>
                                    <w:rPr>
                                      <w:color w:val="105C84"/>
                                      <w:spacing w:val="-5"/>
                                      <w:sz w:val="20"/>
                                    </w:rPr>
                                    <w:t>31%</w:t>
                                  </w:r>
                                </w:p>
                              </w:tc>
                            </w:tr>
                            <w:tr>
                              <w:trPr>
                                <w:trHeight w:val="331" w:hRule="atLeast"/>
                              </w:trPr>
                              <w:tc>
                                <w:tcPr>
                                  <w:tcW w:w="2186" w:type="dxa"/>
                                  <w:shd w:val="clear" w:color="auto" w:fill="DCDDDE"/>
                                </w:tcPr>
                                <w:p>
                                  <w:pPr>
                                    <w:pStyle w:val="TableParagraph"/>
                                    <w:spacing w:before="59"/>
                                    <w:ind w:left="90"/>
                                    <w:rPr>
                                      <w:b/>
                                      <w:sz w:val="20"/>
                                    </w:rPr>
                                  </w:pPr>
                                  <w:r>
                                    <w:rPr>
                                      <w:b/>
                                      <w:color w:val="105C84"/>
                                      <w:spacing w:val="-2"/>
                                      <w:sz w:val="20"/>
                                    </w:rPr>
                                    <w:t>Wayne</w:t>
                                  </w:r>
                                </w:p>
                              </w:tc>
                              <w:tc>
                                <w:tcPr>
                                  <w:tcW w:w="3937" w:type="dxa"/>
                                </w:tcPr>
                                <w:p>
                                  <w:pPr>
                                    <w:pStyle w:val="TableParagraph"/>
                                    <w:spacing w:before="59"/>
                                    <w:ind w:left="8" w:right="1"/>
                                    <w:jc w:val="center"/>
                                    <w:rPr>
                                      <w:sz w:val="20"/>
                                    </w:rPr>
                                  </w:pPr>
                                  <w:r>
                                    <w:rPr>
                                      <w:color w:val="105C84"/>
                                      <w:spacing w:val="-5"/>
                                      <w:sz w:val="20"/>
                                    </w:rPr>
                                    <w:t>43%</w:t>
                                  </w:r>
                                </w:p>
                              </w:tc>
                              <w:tc>
                                <w:tcPr>
                                  <w:tcW w:w="3937" w:type="dxa"/>
                                </w:tcPr>
                                <w:p>
                                  <w:pPr>
                                    <w:pStyle w:val="TableParagraph"/>
                                    <w:spacing w:before="59"/>
                                    <w:ind w:left="8"/>
                                    <w:jc w:val="center"/>
                                    <w:rPr>
                                      <w:sz w:val="20"/>
                                    </w:rPr>
                                  </w:pPr>
                                  <w:r>
                                    <w:rPr>
                                      <w:color w:val="105C84"/>
                                      <w:spacing w:val="-5"/>
                                      <w:sz w:val="20"/>
                                    </w:rPr>
                                    <w:t>31%</w:t>
                                  </w:r>
                                </w:p>
                              </w:tc>
                            </w:tr>
                            <w:tr>
                              <w:trPr>
                                <w:trHeight w:val="331" w:hRule="atLeast"/>
                              </w:trPr>
                              <w:tc>
                                <w:tcPr>
                                  <w:tcW w:w="2186" w:type="dxa"/>
                                  <w:shd w:val="clear" w:color="auto" w:fill="DCDDDE"/>
                                </w:tcPr>
                                <w:p>
                                  <w:pPr>
                                    <w:pStyle w:val="TableParagraph"/>
                                    <w:spacing w:before="59"/>
                                    <w:ind w:left="90"/>
                                    <w:rPr>
                                      <w:b/>
                                      <w:sz w:val="20"/>
                                    </w:rPr>
                                  </w:pPr>
                                  <w:r>
                                    <w:rPr>
                                      <w:b/>
                                      <w:color w:val="105C84"/>
                                      <w:spacing w:val="-2"/>
                                      <w:sz w:val="20"/>
                                    </w:rPr>
                                    <w:t>Yates</w:t>
                                  </w:r>
                                </w:p>
                              </w:tc>
                              <w:tc>
                                <w:tcPr>
                                  <w:tcW w:w="3937" w:type="dxa"/>
                                </w:tcPr>
                                <w:p>
                                  <w:pPr>
                                    <w:pStyle w:val="TableParagraph"/>
                                    <w:spacing w:before="59"/>
                                    <w:ind w:left="8" w:right="1"/>
                                    <w:jc w:val="center"/>
                                    <w:rPr>
                                      <w:sz w:val="20"/>
                                    </w:rPr>
                                  </w:pPr>
                                  <w:r>
                                    <w:rPr>
                                      <w:color w:val="105C84"/>
                                      <w:spacing w:val="-5"/>
                                      <w:sz w:val="20"/>
                                    </w:rPr>
                                    <w:t>31%</w:t>
                                  </w:r>
                                </w:p>
                              </w:tc>
                              <w:tc>
                                <w:tcPr>
                                  <w:tcW w:w="3937" w:type="dxa"/>
                                </w:tcPr>
                                <w:p>
                                  <w:pPr>
                                    <w:pStyle w:val="TableParagraph"/>
                                    <w:spacing w:before="59"/>
                                    <w:ind w:left="8"/>
                                    <w:jc w:val="center"/>
                                    <w:rPr>
                                      <w:sz w:val="20"/>
                                    </w:rPr>
                                  </w:pPr>
                                  <w:r>
                                    <w:rPr>
                                      <w:color w:val="105C84"/>
                                      <w:spacing w:val="-5"/>
                                      <w:sz w:val="20"/>
                                    </w:rPr>
                                    <w:t>30%</w:t>
                                  </w:r>
                                </w:p>
                              </w:tc>
                            </w:tr>
                            <w:tr>
                              <w:trPr>
                                <w:trHeight w:val="331" w:hRule="atLeast"/>
                              </w:trPr>
                              <w:tc>
                                <w:tcPr>
                                  <w:tcW w:w="2186" w:type="dxa"/>
                                  <w:shd w:val="clear" w:color="auto" w:fill="82BF6A"/>
                                </w:tcPr>
                                <w:p>
                                  <w:pPr>
                                    <w:pStyle w:val="TableParagraph"/>
                                    <w:spacing w:before="59"/>
                                    <w:ind w:left="90"/>
                                    <w:rPr>
                                      <w:b/>
                                      <w:sz w:val="20"/>
                                    </w:rPr>
                                  </w:pPr>
                                  <w:r>
                                    <w:rPr>
                                      <w:b/>
                                      <w:color w:val="FFFFFF"/>
                                      <w:sz w:val="20"/>
                                    </w:rPr>
                                    <w:t>8</w:t>
                                  </w:r>
                                  <w:r>
                                    <w:rPr>
                                      <w:b/>
                                      <w:color w:val="FFFFFF"/>
                                      <w:spacing w:val="5"/>
                                      <w:sz w:val="20"/>
                                    </w:rPr>
                                    <w:t> </w:t>
                                  </w:r>
                                  <w:r>
                                    <w:rPr>
                                      <w:b/>
                                      <w:color w:val="FFFFFF"/>
                                      <w:sz w:val="20"/>
                                    </w:rPr>
                                    <w:t>County</w:t>
                                  </w:r>
                                  <w:r>
                                    <w:rPr>
                                      <w:b/>
                                      <w:color w:val="FFFFFF"/>
                                      <w:spacing w:val="5"/>
                                      <w:sz w:val="20"/>
                                    </w:rPr>
                                    <w:t> </w:t>
                                  </w:r>
                                  <w:r>
                                    <w:rPr>
                                      <w:b/>
                                      <w:color w:val="FFFFFF"/>
                                      <w:spacing w:val="-2"/>
                                      <w:sz w:val="20"/>
                                    </w:rPr>
                                    <w:t>Region</w:t>
                                  </w:r>
                                </w:p>
                              </w:tc>
                              <w:tc>
                                <w:tcPr>
                                  <w:tcW w:w="3937" w:type="dxa"/>
                                  <w:shd w:val="clear" w:color="auto" w:fill="82BF6A"/>
                                </w:tcPr>
                                <w:p>
                                  <w:pPr>
                                    <w:pStyle w:val="TableParagraph"/>
                                    <w:spacing w:before="59"/>
                                    <w:ind w:left="8" w:right="1"/>
                                    <w:jc w:val="center"/>
                                    <w:rPr>
                                      <w:b/>
                                      <w:sz w:val="20"/>
                                    </w:rPr>
                                  </w:pPr>
                                  <w:r>
                                    <w:rPr>
                                      <w:b/>
                                      <w:color w:val="FFFFFF"/>
                                      <w:spacing w:val="-5"/>
                                      <w:w w:val="105"/>
                                      <w:sz w:val="20"/>
                                    </w:rPr>
                                    <w:t>37%</w:t>
                                  </w:r>
                                </w:p>
                              </w:tc>
                              <w:tc>
                                <w:tcPr>
                                  <w:tcW w:w="3937" w:type="dxa"/>
                                  <w:shd w:val="clear" w:color="auto" w:fill="82BF6A"/>
                                </w:tcPr>
                                <w:p>
                                  <w:pPr>
                                    <w:pStyle w:val="TableParagraph"/>
                                    <w:spacing w:before="59"/>
                                    <w:ind w:left="8"/>
                                    <w:jc w:val="center"/>
                                    <w:rPr>
                                      <w:b/>
                                      <w:sz w:val="20"/>
                                    </w:rPr>
                                  </w:pPr>
                                  <w:r>
                                    <w:rPr>
                                      <w:b/>
                                      <w:color w:val="FFFFFF"/>
                                      <w:spacing w:val="-5"/>
                                      <w:w w:val="105"/>
                                      <w:sz w:val="20"/>
                                    </w:rPr>
                                    <w:t>34%</w:t>
                                  </w:r>
                                </w:p>
                              </w:tc>
                            </w:tr>
                          </w:tbl>
                          <w:p>
                            <w:pPr>
                              <w:pStyle w:val="BodyText"/>
                            </w:pPr>
                          </w:p>
                        </w:txbxContent>
                      </wps:txbx>
                      <wps:bodyPr wrap="square" lIns="0" tIns="0" rIns="0" bIns="0" rtlCol="0">
                        <a:noAutofit/>
                      </wps:bodyPr>
                    </wps:wsp>
                  </a:graphicData>
                </a:graphic>
              </wp:anchor>
            </w:drawing>
          </mc:Choice>
          <mc:Fallback>
            <w:pict>
              <v:shape style="position:absolute;margin-left:51.720001pt;margin-top:-187.863281pt;width:509.3pt;height:176.65pt;mso-position-horizontal-relative:page;mso-position-vertical-relative:paragraph;z-index:15756288" type="#_x0000_t202" id="docshape197" filled="false" stroked="false">
                <v:textbox inset="0,0,0,0">
                  <w:txbxContent>
                    <w:tbl>
                      <w:tblPr>
                        <w:tblW w:w="0" w:type="auto"/>
                        <w:jc w:val="left"/>
                        <w:tblInd w:w="62"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top w:w="0" w:type="dxa"/>
                          <w:left w:w="0" w:type="dxa"/>
                          <w:bottom w:w="0" w:type="dxa"/>
                          <w:right w:w="0" w:type="dxa"/>
                        </w:tblCellMar>
                        <w:tblLook w:val="01E0"/>
                      </w:tblPr>
                      <w:tblGrid>
                        <w:gridCol w:w="2186"/>
                        <w:gridCol w:w="3937"/>
                        <w:gridCol w:w="3937"/>
                      </w:tblGrid>
                      <w:tr>
                        <w:trPr>
                          <w:trHeight w:val="512" w:hRule="atLeast"/>
                        </w:trPr>
                        <w:tc>
                          <w:tcPr>
                            <w:tcW w:w="2186" w:type="dxa"/>
                            <w:shd w:val="clear" w:color="auto" w:fill="EFEFF0"/>
                          </w:tcPr>
                          <w:p>
                            <w:pPr>
                              <w:pStyle w:val="TableParagraph"/>
                              <w:rPr>
                                <w:rFonts w:ascii="Times New Roman"/>
                                <w:sz w:val="20"/>
                              </w:rPr>
                            </w:pPr>
                          </w:p>
                        </w:tc>
                        <w:tc>
                          <w:tcPr>
                            <w:tcW w:w="3937" w:type="dxa"/>
                            <w:shd w:val="clear" w:color="auto" w:fill="EFEFF0"/>
                          </w:tcPr>
                          <w:p>
                            <w:pPr>
                              <w:pStyle w:val="TableParagraph"/>
                              <w:spacing w:before="141"/>
                              <w:ind w:left="8" w:right="1"/>
                              <w:jc w:val="center"/>
                              <w:rPr>
                                <w:b/>
                                <w:sz w:val="22"/>
                              </w:rPr>
                            </w:pPr>
                            <w:r>
                              <w:rPr>
                                <w:b/>
                                <w:color w:val="105C84"/>
                                <w:sz w:val="22"/>
                              </w:rPr>
                              <w:t>Obesity-</w:t>
                            </w:r>
                            <w:r>
                              <w:rPr>
                                <w:b/>
                                <w:color w:val="105C84"/>
                                <w:spacing w:val="13"/>
                                <w:sz w:val="22"/>
                              </w:rPr>
                              <w:t> </w:t>
                            </w:r>
                            <w:r>
                              <w:rPr>
                                <w:b/>
                                <w:color w:val="105C84"/>
                                <w:spacing w:val="-2"/>
                                <w:sz w:val="22"/>
                              </w:rPr>
                              <w:t>Males</w:t>
                            </w:r>
                          </w:p>
                        </w:tc>
                        <w:tc>
                          <w:tcPr>
                            <w:tcW w:w="3937" w:type="dxa"/>
                            <w:shd w:val="clear" w:color="auto" w:fill="EFEFF0"/>
                          </w:tcPr>
                          <w:p>
                            <w:pPr>
                              <w:pStyle w:val="TableParagraph"/>
                              <w:spacing w:before="141"/>
                              <w:ind w:left="8"/>
                              <w:jc w:val="center"/>
                              <w:rPr>
                                <w:b/>
                                <w:sz w:val="22"/>
                              </w:rPr>
                            </w:pPr>
                            <w:r>
                              <w:rPr>
                                <w:b/>
                                <w:color w:val="105C84"/>
                                <w:sz w:val="22"/>
                              </w:rPr>
                              <w:t>Obesity-</w:t>
                            </w:r>
                            <w:r>
                              <w:rPr>
                                <w:b/>
                                <w:color w:val="105C84"/>
                                <w:spacing w:val="13"/>
                                <w:sz w:val="22"/>
                              </w:rPr>
                              <w:t> </w:t>
                            </w:r>
                            <w:r>
                              <w:rPr>
                                <w:b/>
                                <w:color w:val="105C84"/>
                                <w:spacing w:val="-2"/>
                                <w:sz w:val="22"/>
                              </w:rPr>
                              <w:t>Females</w:t>
                            </w:r>
                          </w:p>
                        </w:tc>
                      </w:tr>
                      <w:tr>
                        <w:trPr>
                          <w:trHeight w:val="318" w:hRule="atLeast"/>
                        </w:trPr>
                        <w:tc>
                          <w:tcPr>
                            <w:tcW w:w="2186" w:type="dxa"/>
                            <w:shd w:val="clear" w:color="auto" w:fill="DCDDDE"/>
                          </w:tcPr>
                          <w:p>
                            <w:pPr>
                              <w:pStyle w:val="TableParagraph"/>
                              <w:spacing w:before="53"/>
                              <w:ind w:left="90"/>
                              <w:rPr>
                                <w:b/>
                                <w:sz w:val="20"/>
                              </w:rPr>
                            </w:pPr>
                            <w:r>
                              <w:rPr>
                                <w:b/>
                                <w:color w:val="105C84"/>
                                <w:spacing w:val="-2"/>
                                <w:sz w:val="20"/>
                              </w:rPr>
                              <w:t>Chemung</w:t>
                            </w:r>
                          </w:p>
                        </w:tc>
                        <w:tc>
                          <w:tcPr>
                            <w:tcW w:w="3937" w:type="dxa"/>
                          </w:tcPr>
                          <w:p>
                            <w:pPr>
                              <w:pStyle w:val="TableParagraph"/>
                              <w:spacing w:before="53"/>
                              <w:ind w:left="8" w:right="1"/>
                              <w:jc w:val="center"/>
                              <w:rPr>
                                <w:sz w:val="20"/>
                              </w:rPr>
                            </w:pPr>
                            <w:r>
                              <w:rPr>
                                <w:color w:val="105C84"/>
                                <w:spacing w:val="-5"/>
                                <w:sz w:val="20"/>
                              </w:rPr>
                              <w:t>34%</w:t>
                            </w:r>
                          </w:p>
                        </w:tc>
                        <w:tc>
                          <w:tcPr>
                            <w:tcW w:w="3937" w:type="dxa"/>
                          </w:tcPr>
                          <w:p>
                            <w:pPr>
                              <w:pStyle w:val="TableParagraph"/>
                              <w:spacing w:before="53"/>
                              <w:ind w:left="8"/>
                              <w:jc w:val="center"/>
                              <w:rPr>
                                <w:sz w:val="20"/>
                              </w:rPr>
                            </w:pPr>
                            <w:r>
                              <w:rPr>
                                <w:color w:val="105C84"/>
                                <w:spacing w:val="-5"/>
                                <w:sz w:val="20"/>
                              </w:rPr>
                              <w:t>30%</w:t>
                            </w:r>
                          </w:p>
                        </w:tc>
                      </w:tr>
                      <w:tr>
                        <w:trPr>
                          <w:trHeight w:val="331" w:hRule="atLeast"/>
                        </w:trPr>
                        <w:tc>
                          <w:tcPr>
                            <w:tcW w:w="2186" w:type="dxa"/>
                            <w:shd w:val="clear" w:color="auto" w:fill="DCDDDE"/>
                          </w:tcPr>
                          <w:p>
                            <w:pPr>
                              <w:pStyle w:val="TableParagraph"/>
                              <w:spacing w:before="59"/>
                              <w:ind w:left="90"/>
                              <w:rPr>
                                <w:b/>
                                <w:sz w:val="20"/>
                              </w:rPr>
                            </w:pPr>
                            <w:r>
                              <w:rPr>
                                <w:b/>
                                <w:color w:val="105C84"/>
                                <w:spacing w:val="-2"/>
                                <w:sz w:val="20"/>
                              </w:rPr>
                              <w:t>Livingston</w:t>
                            </w:r>
                          </w:p>
                        </w:tc>
                        <w:tc>
                          <w:tcPr>
                            <w:tcW w:w="3937" w:type="dxa"/>
                          </w:tcPr>
                          <w:p>
                            <w:pPr>
                              <w:pStyle w:val="TableParagraph"/>
                              <w:spacing w:before="59"/>
                              <w:ind w:left="8" w:right="1"/>
                              <w:jc w:val="center"/>
                              <w:rPr>
                                <w:sz w:val="20"/>
                              </w:rPr>
                            </w:pPr>
                            <w:r>
                              <w:rPr>
                                <w:color w:val="105C84"/>
                                <w:spacing w:val="-5"/>
                                <w:sz w:val="20"/>
                              </w:rPr>
                              <w:t>31%</w:t>
                            </w:r>
                          </w:p>
                        </w:tc>
                        <w:tc>
                          <w:tcPr>
                            <w:tcW w:w="3937" w:type="dxa"/>
                          </w:tcPr>
                          <w:p>
                            <w:pPr>
                              <w:pStyle w:val="TableParagraph"/>
                              <w:spacing w:before="59"/>
                              <w:ind w:left="8"/>
                              <w:jc w:val="center"/>
                              <w:rPr>
                                <w:sz w:val="20"/>
                              </w:rPr>
                            </w:pPr>
                            <w:r>
                              <w:rPr>
                                <w:color w:val="105C84"/>
                                <w:spacing w:val="-5"/>
                                <w:sz w:val="20"/>
                              </w:rPr>
                              <w:t>40%</w:t>
                            </w:r>
                          </w:p>
                        </w:tc>
                      </w:tr>
                      <w:tr>
                        <w:trPr>
                          <w:trHeight w:val="331" w:hRule="atLeast"/>
                        </w:trPr>
                        <w:tc>
                          <w:tcPr>
                            <w:tcW w:w="2186" w:type="dxa"/>
                            <w:shd w:val="clear" w:color="auto" w:fill="DCDDDE"/>
                          </w:tcPr>
                          <w:p>
                            <w:pPr>
                              <w:pStyle w:val="TableParagraph"/>
                              <w:spacing w:before="59"/>
                              <w:ind w:left="90"/>
                              <w:rPr>
                                <w:b/>
                                <w:sz w:val="20"/>
                              </w:rPr>
                            </w:pPr>
                            <w:r>
                              <w:rPr>
                                <w:b/>
                                <w:color w:val="105C84"/>
                                <w:spacing w:val="-2"/>
                                <w:sz w:val="20"/>
                              </w:rPr>
                              <w:t>Ontario</w:t>
                            </w:r>
                          </w:p>
                        </w:tc>
                        <w:tc>
                          <w:tcPr>
                            <w:tcW w:w="3937" w:type="dxa"/>
                          </w:tcPr>
                          <w:p>
                            <w:pPr>
                              <w:pStyle w:val="TableParagraph"/>
                              <w:spacing w:before="59"/>
                              <w:ind w:left="8" w:right="1"/>
                              <w:jc w:val="center"/>
                              <w:rPr>
                                <w:sz w:val="20"/>
                              </w:rPr>
                            </w:pPr>
                            <w:r>
                              <w:rPr>
                                <w:color w:val="105C84"/>
                                <w:spacing w:val="-5"/>
                                <w:sz w:val="20"/>
                              </w:rPr>
                              <w:t>40%</w:t>
                            </w:r>
                          </w:p>
                        </w:tc>
                        <w:tc>
                          <w:tcPr>
                            <w:tcW w:w="3937" w:type="dxa"/>
                          </w:tcPr>
                          <w:p>
                            <w:pPr>
                              <w:pStyle w:val="TableParagraph"/>
                              <w:spacing w:before="59"/>
                              <w:ind w:left="8"/>
                              <w:jc w:val="center"/>
                              <w:rPr>
                                <w:sz w:val="20"/>
                              </w:rPr>
                            </w:pPr>
                            <w:r>
                              <w:rPr>
                                <w:color w:val="105C84"/>
                                <w:spacing w:val="-5"/>
                                <w:sz w:val="20"/>
                              </w:rPr>
                              <w:t>36%</w:t>
                            </w:r>
                          </w:p>
                        </w:tc>
                      </w:tr>
                      <w:tr>
                        <w:trPr>
                          <w:trHeight w:val="331" w:hRule="atLeast"/>
                        </w:trPr>
                        <w:tc>
                          <w:tcPr>
                            <w:tcW w:w="2186" w:type="dxa"/>
                            <w:shd w:val="clear" w:color="auto" w:fill="DCDDDE"/>
                          </w:tcPr>
                          <w:p>
                            <w:pPr>
                              <w:pStyle w:val="TableParagraph"/>
                              <w:spacing w:before="59"/>
                              <w:ind w:left="90"/>
                              <w:rPr>
                                <w:b/>
                                <w:sz w:val="20"/>
                              </w:rPr>
                            </w:pPr>
                            <w:r>
                              <w:rPr>
                                <w:b/>
                                <w:color w:val="105C84"/>
                                <w:spacing w:val="-2"/>
                                <w:sz w:val="20"/>
                              </w:rPr>
                              <w:t>Schuyler</w:t>
                            </w:r>
                          </w:p>
                        </w:tc>
                        <w:tc>
                          <w:tcPr>
                            <w:tcW w:w="3937" w:type="dxa"/>
                          </w:tcPr>
                          <w:p>
                            <w:pPr>
                              <w:pStyle w:val="TableParagraph"/>
                              <w:spacing w:before="59"/>
                              <w:ind w:left="8" w:right="1"/>
                              <w:jc w:val="center"/>
                              <w:rPr>
                                <w:sz w:val="20"/>
                              </w:rPr>
                            </w:pPr>
                            <w:r>
                              <w:rPr>
                                <w:color w:val="105C84"/>
                                <w:spacing w:val="-5"/>
                                <w:sz w:val="20"/>
                              </w:rPr>
                              <w:t>24%</w:t>
                            </w:r>
                          </w:p>
                        </w:tc>
                        <w:tc>
                          <w:tcPr>
                            <w:tcW w:w="3937" w:type="dxa"/>
                          </w:tcPr>
                          <w:p>
                            <w:pPr>
                              <w:pStyle w:val="TableParagraph"/>
                              <w:spacing w:before="59"/>
                              <w:ind w:left="8"/>
                              <w:jc w:val="center"/>
                              <w:rPr>
                                <w:sz w:val="20"/>
                              </w:rPr>
                            </w:pPr>
                            <w:r>
                              <w:rPr>
                                <w:color w:val="105C84"/>
                                <w:spacing w:val="-5"/>
                                <w:sz w:val="20"/>
                              </w:rPr>
                              <w:t>42%</w:t>
                            </w:r>
                          </w:p>
                        </w:tc>
                      </w:tr>
                      <w:tr>
                        <w:trPr>
                          <w:trHeight w:val="331" w:hRule="atLeast"/>
                        </w:trPr>
                        <w:tc>
                          <w:tcPr>
                            <w:tcW w:w="2186" w:type="dxa"/>
                            <w:shd w:val="clear" w:color="auto" w:fill="DCDDDE"/>
                          </w:tcPr>
                          <w:p>
                            <w:pPr>
                              <w:pStyle w:val="TableParagraph"/>
                              <w:spacing w:before="59"/>
                              <w:ind w:left="90"/>
                              <w:rPr>
                                <w:b/>
                                <w:sz w:val="20"/>
                              </w:rPr>
                            </w:pPr>
                            <w:r>
                              <w:rPr>
                                <w:b/>
                                <w:color w:val="105C84"/>
                                <w:spacing w:val="-2"/>
                                <w:sz w:val="20"/>
                              </w:rPr>
                              <w:t>Seneca</w:t>
                            </w:r>
                          </w:p>
                        </w:tc>
                        <w:tc>
                          <w:tcPr>
                            <w:tcW w:w="3937" w:type="dxa"/>
                          </w:tcPr>
                          <w:p>
                            <w:pPr>
                              <w:pStyle w:val="TableParagraph"/>
                              <w:spacing w:before="59"/>
                              <w:ind w:left="8" w:right="1"/>
                              <w:jc w:val="center"/>
                              <w:rPr>
                                <w:sz w:val="20"/>
                              </w:rPr>
                            </w:pPr>
                            <w:r>
                              <w:rPr>
                                <w:color w:val="105C84"/>
                                <w:spacing w:val="-5"/>
                                <w:sz w:val="20"/>
                              </w:rPr>
                              <w:t>56%</w:t>
                            </w:r>
                          </w:p>
                        </w:tc>
                        <w:tc>
                          <w:tcPr>
                            <w:tcW w:w="3937" w:type="dxa"/>
                          </w:tcPr>
                          <w:p>
                            <w:pPr>
                              <w:pStyle w:val="TableParagraph"/>
                              <w:spacing w:before="59"/>
                              <w:ind w:left="8"/>
                              <w:jc w:val="center"/>
                              <w:rPr>
                                <w:sz w:val="20"/>
                              </w:rPr>
                            </w:pPr>
                            <w:r>
                              <w:rPr>
                                <w:color w:val="105C84"/>
                                <w:spacing w:val="-5"/>
                                <w:sz w:val="20"/>
                              </w:rPr>
                              <w:t>35%</w:t>
                            </w:r>
                          </w:p>
                        </w:tc>
                      </w:tr>
                      <w:tr>
                        <w:trPr>
                          <w:trHeight w:val="331" w:hRule="atLeast"/>
                        </w:trPr>
                        <w:tc>
                          <w:tcPr>
                            <w:tcW w:w="2186" w:type="dxa"/>
                            <w:shd w:val="clear" w:color="auto" w:fill="DCDDDE"/>
                          </w:tcPr>
                          <w:p>
                            <w:pPr>
                              <w:pStyle w:val="TableParagraph"/>
                              <w:spacing w:before="59"/>
                              <w:ind w:left="90"/>
                              <w:rPr>
                                <w:b/>
                                <w:sz w:val="20"/>
                              </w:rPr>
                            </w:pPr>
                            <w:r>
                              <w:rPr>
                                <w:b/>
                                <w:color w:val="105C84"/>
                                <w:spacing w:val="-2"/>
                                <w:sz w:val="20"/>
                              </w:rPr>
                              <w:t>Steuben</w:t>
                            </w:r>
                          </w:p>
                        </w:tc>
                        <w:tc>
                          <w:tcPr>
                            <w:tcW w:w="3937" w:type="dxa"/>
                          </w:tcPr>
                          <w:p>
                            <w:pPr>
                              <w:pStyle w:val="TableParagraph"/>
                              <w:spacing w:before="59"/>
                              <w:ind w:left="8" w:right="1"/>
                              <w:jc w:val="center"/>
                              <w:rPr>
                                <w:sz w:val="20"/>
                              </w:rPr>
                            </w:pPr>
                            <w:r>
                              <w:rPr>
                                <w:color w:val="105C84"/>
                                <w:spacing w:val="-5"/>
                                <w:sz w:val="20"/>
                              </w:rPr>
                              <w:t>33%</w:t>
                            </w:r>
                          </w:p>
                        </w:tc>
                        <w:tc>
                          <w:tcPr>
                            <w:tcW w:w="3937" w:type="dxa"/>
                          </w:tcPr>
                          <w:p>
                            <w:pPr>
                              <w:pStyle w:val="TableParagraph"/>
                              <w:spacing w:before="59"/>
                              <w:ind w:left="8"/>
                              <w:jc w:val="center"/>
                              <w:rPr>
                                <w:sz w:val="20"/>
                              </w:rPr>
                            </w:pPr>
                            <w:r>
                              <w:rPr>
                                <w:color w:val="105C84"/>
                                <w:spacing w:val="-5"/>
                                <w:sz w:val="20"/>
                              </w:rPr>
                              <w:t>31%</w:t>
                            </w:r>
                          </w:p>
                        </w:tc>
                      </w:tr>
                      <w:tr>
                        <w:trPr>
                          <w:trHeight w:val="331" w:hRule="atLeast"/>
                        </w:trPr>
                        <w:tc>
                          <w:tcPr>
                            <w:tcW w:w="2186" w:type="dxa"/>
                            <w:shd w:val="clear" w:color="auto" w:fill="DCDDDE"/>
                          </w:tcPr>
                          <w:p>
                            <w:pPr>
                              <w:pStyle w:val="TableParagraph"/>
                              <w:spacing w:before="59"/>
                              <w:ind w:left="90"/>
                              <w:rPr>
                                <w:b/>
                                <w:sz w:val="20"/>
                              </w:rPr>
                            </w:pPr>
                            <w:r>
                              <w:rPr>
                                <w:b/>
                                <w:color w:val="105C84"/>
                                <w:spacing w:val="-2"/>
                                <w:sz w:val="20"/>
                              </w:rPr>
                              <w:t>Wayne</w:t>
                            </w:r>
                          </w:p>
                        </w:tc>
                        <w:tc>
                          <w:tcPr>
                            <w:tcW w:w="3937" w:type="dxa"/>
                          </w:tcPr>
                          <w:p>
                            <w:pPr>
                              <w:pStyle w:val="TableParagraph"/>
                              <w:spacing w:before="59"/>
                              <w:ind w:left="8" w:right="1"/>
                              <w:jc w:val="center"/>
                              <w:rPr>
                                <w:sz w:val="20"/>
                              </w:rPr>
                            </w:pPr>
                            <w:r>
                              <w:rPr>
                                <w:color w:val="105C84"/>
                                <w:spacing w:val="-5"/>
                                <w:sz w:val="20"/>
                              </w:rPr>
                              <w:t>43%</w:t>
                            </w:r>
                          </w:p>
                        </w:tc>
                        <w:tc>
                          <w:tcPr>
                            <w:tcW w:w="3937" w:type="dxa"/>
                          </w:tcPr>
                          <w:p>
                            <w:pPr>
                              <w:pStyle w:val="TableParagraph"/>
                              <w:spacing w:before="59"/>
                              <w:ind w:left="8"/>
                              <w:jc w:val="center"/>
                              <w:rPr>
                                <w:sz w:val="20"/>
                              </w:rPr>
                            </w:pPr>
                            <w:r>
                              <w:rPr>
                                <w:color w:val="105C84"/>
                                <w:spacing w:val="-5"/>
                                <w:sz w:val="20"/>
                              </w:rPr>
                              <w:t>31%</w:t>
                            </w:r>
                          </w:p>
                        </w:tc>
                      </w:tr>
                      <w:tr>
                        <w:trPr>
                          <w:trHeight w:val="331" w:hRule="atLeast"/>
                        </w:trPr>
                        <w:tc>
                          <w:tcPr>
                            <w:tcW w:w="2186" w:type="dxa"/>
                            <w:shd w:val="clear" w:color="auto" w:fill="DCDDDE"/>
                          </w:tcPr>
                          <w:p>
                            <w:pPr>
                              <w:pStyle w:val="TableParagraph"/>
                              <w:spacing w:before="59"/>
                              <w:ind w:left="90"/>
                              <w:rPr>
                                <w:b/>
                                <w:sz w:val="20"/>
                              </w:rPr>
                            </w:pPr>
                            <w:r>
                              <w:rPr>
                                <w:b/>
                                <w:color w:val="105C84"/>
                                <w:spacing w:val="-2"/>
                                <w:sz w:val="20"/>
                              </w:rPr>
                              <w:t>Yates</w:t>
                            </w:r>
                          </w:p>
                        </w:tc>
                        <w:tc>
                          <w:tcPr>
                            <w:tcW w:w="3937" w:type="dxa"/>
                          </w:tcPr>
                          <w:p>
                            <w:pPr>
                              <w:pStyle w:val="TableParagraph"/>
                              <w:spacing w:before="59"/>
                              <w:ind w:left="8" w:right="1"/>
                              <w:jc w:val="center"/>
                              <w:rPr>
                                <w:sz w:val="20"/>
                              </w:rPr>
                            </w:pPr>
                            <w:r>
                              <w:rPr>
                                <w:color w:val="105C84"/>
                                <w:spacing w:val="-5"/>
                                <w:sz w:val="20"/>
                              </w:rPr>
                              <w:t>31%</w:t>
                            </w:r>
                          </w:p>
                        </w:tc>
                        <w:tc>
                          <w:tcPr>
                            <w:tcW w:w="3937" w:type="dxa"/>
                          </w:tcPr>
                          <w:p>
                            <w:pPr>
                              <w:pStyle w:val="TableParagraph"/>
                              <w:spacing w:before="59"/>
                              <w:ind w:left="8"/>
                              <w:jc w:val="center"/>
                              <w:rPr>
                                <w:sz w:val="20"/>
                              </w:rPr>
                            </w:pPr>
                            <w:r>
                              <w:rPr>
                                <w:color w:val="105C84"/>
                                <w:spacing w:val="-5"/>
                                <w:sz w:val="20"/>
                              </w:rPr>
                              <w:t>30%</w:t>
                            </w:r>
                          </w:p>
                        </w:tc>
                      </w:tr>
                      <w:tr>
                        <w:trPr>
                          <w:trHeight w:val="331" w:hRule="atLeast"/>
                        </w:trPr>
                        <w:tc>
                          <w:tcPr>
                            <w:tcW w:w="2186" w:type="dxa"/>
                            <w:shd w:val="clear" w:color="auto" w:fill="82BF6A"/>
                          </w:tcPr>
                          <w:p>
                            <w:pPr>
                              <w:pStyle w:val="TableParagraph"/>
                              <w:spacing w:before="59"/>
                              <w:ind w:left="90"/>
                              <w:rPr>
                                <w:b/>
                                <w:sz w:val="20"/>
                              </w:rPr>
                            </w:pPr>
                            <w:r>
                              <w:rPr>
                                <w:b/>
                                <w:color w:val="FFFFFF"/>
                                <w:sz w:val="20"/>
                              </w:rPr>
                              <w:t>8</w:t>
                            </w:r>
                            <w:r>
                              <w:rPr>
                                <w:b/>
                                <w:color w:val="FFFFFF"/>
                                <w:spacing w:val="5"/>
                                <w:sz w:val="20"/>
                              </w:rPr>
                              <w:t> </w:t>
                            </w:r>
                            <w:r>
                              <w:rPr>
                                <w:b/>
                                <w:color w:val="FFFFFF"/>
                                <w:sz w:val="20"/>
                              </w:rPr>
                              <w:t>County</w:t>
                            </w:r>
                            <w:r>
                              <w:rPr>
                                <w:b/>
                                <w:color w:val="FFFFFF"/>
                                <w:spacing w:val="5"/>
                                <w:sz w:val="20"/>
                              </w:rPr>
                              <w:t> </w:t>
                            </w:r>
                            <w:r>
                              <w:rPr>
                                <w:b/>
                                <w:color w:val="FFFFFF"/>
                                <w:spacing w:val="-2"/>
                                <w:sz w:val="20"/>
                              </w:rPr>
                              <w:t>Region</w:t>
                            </w:r>
                          </w:p>
                        </w:tc>
                        <w:tc>
                          <w:tcPr>
                            <w:tcW w:w="3937" w:type="dxa"/>
                            <w:shd w:val="clear" w:color="auto" w:fill="82BF6A"/>
                          </w:tcPr>
                          <w:p>
                            <w:pPr>
                              <w:pStyle w:val="TableParagraph"/>
                              <w:spacing w:before="59"/>
                              <w:ind w:left="8" w:right="1"/>
                              <w:jc w:val="center"/>
                              <w:rPr>
                                <w:b/>
                                <w:sz w:val="20"/>
                              </w:rPr>
                            </w:pPr>
                            <w:r>
                              <w:rPr>
                                <w:b/>
                                <w:color w:val="FFFFFF"/>
                                <w:spacing w:val="-5"/>
                                <w:w w:val="105"/>
                                <w:sz w:val="20"/>
                              </w:rPr>
                              <w:t>37%</w:t>
                            </w:r>
                          </w:p>
                        </w:tc>
                        <w:tc>
                          <w:tcPr>
                            <w:tcW w:w="3937" w:type="dxa"/>
                            <w:shd w:val="clear" w:color="auto" w:fill="82BF6A"/>
                          </w:tcPr>
                          <w:p>
                            <w:pPr>
                              <w:pStyle w:val="TableParagraph"/>
                              <w:spacing w:before="59"/>
                              <w:ind w:left="8"/>
                              <w:jc w:val="center"/>
                              <w:rPr>
                                <w:b/>
                                <w:sz w:val="20"/>
                              </w:rPr>
                            </w:pPr>
                            <w:r>
                              <w:rPr>
                                <w:b/>
                                <w:color w:val="FFFFFF"/>
                                <w:spacing w:val="-5"/>
                                <w:w w:val="105"/>
                                <w:sz w:val="20"/>
                              </w:rPr>
                              <w:t>34%</w:t>
                            </w:r>
                          </w:p>
                        </w:tc>
                      </w:tr>
                    </w:tbl>
                    <w:p>
                      <w:pPr>
                        <w:pStyle w:val="BodyText"/>
                      </w:pPr>
                    </w:p>
                  </w:txbxContent>
                </v:textbox>
                <w10:wrap type="none"/>
              </v:shape>
            </w:pict>
          </mc:Fallback>
        </mc:AlternateContent>
      </w:r>
      <w:r>
        <w:rPr>
          <w:color w:val="0C5D86"/>
          <w:sz w:val="16"/>
        </w:rPr>
        <w:t>Source:</w:t>
      </w:r>
      <w:r>
        <w:rPr>
          <w:color w:val="0C5D86"/>
          <w:spacing w:val="-10"/>
          <w:sz w:val="16"/>
        </w:rPr>
        <w:t> </w:t>
      </w:r>
      <w:r>
        <w:rPr>
          <w:color w:val="0C5D86"/>
          <w:sz w:val="16"/>
        </w:rPr>
        <w:t>Division</w:t>
      </w:r>
      <w:r>
        <w:rPr>
          <w:color w:val="0C5D86"/>
          <w:spacing w:val="-10"/>
          <w:sz w:val="16"/>
        </w:rPr>
        <w:t> </w:t>
      </w:r>
      <w:r>
        <w:rPr>
          <w:color w:val="0C5D86"/>
          <w:sz w:val="16"/>
        </w:rPr>
        <w:t>of</w:t>
      </w:r>
      <w:r>
        <w:rPr>
          <w:color w:val="0C5D86"/>
          <w:spacing w:val="-10"/>
          <w:sz w:val="16"/>
        </w:rPr>
        <w:t> </w:t>
      </w:r>
      <w:r>
        <w:rPr>
          <w:color w:val="0C5D86"/>
          <w:sz w:val="16"/>
        </w:rPr>
        <w:t>Chronic</w:t>
      </w:r>
      <w:r>
        <w:rPr>
          <w:color w:val="0C5D86"/>
          <w:spacing w:val="-10"/>
          <w:sz w:val="16"/>
        </w:rPr>
        <w:t> </w:t>
      </w:r>
      <w:r>
        <w:rPr>
          <w:color w:val="0C5D86"/>
          <w:sz w:val="16"/>
        </w:rPr>
        <w:t>Disease</w:t>
      </w:r>
      <w:r>
        <w:rPr>
          <w:color w:val="0C5D86"/>
          <w:spacing w:val="-10"/>
          <w:sz w:val="16"/>
        </w:rPr>
        <w:t> </w:t>
      </w:r>
      <w:r>
        <w:rPr>
          <w:color w:val="0C5D86"/>
          <w:sz w:val="16"/>
        </w:rPr>
        <w:t>and</w:t>
      </w:r>
      <w:r>
        <w:rPr>
          <w:color w:val="0C5D86"/>
          <w:spacing w:val="-10"/>
          <w:sz w:val="16"/>
        </w:rPr>
        <w:t> </w:t>
      </w:r>
      <w:r>
        <w:rPr>
          <w:color w:val="0C5D86"/>
          <w:sz w:val="16"/>
        </w:rPr>
        <w:t>Injury</w:t>
      </w:r>
      <w:r>
        <w:rPr>
          <w:color w:val="0C5D86"/>
          <w:spacing w:val="-10"/>
          <w:sz w:val="16"/>
        </w:rPr>
        <w:t> </w:t>
      </w:r>
      <w:r>
        <w:rPr>
          <w:color w:val="0C5D86"/>
          <w:sz w:val="16"/>
        </w:rPr>
        <w:t>Prevention,</w:t>
      </w:r>
      <w:r>
        <w:rPr>
          <w:color w:val="0C5D86"/>
          <w:spacing w:val="-10"/>
          <w:sz w:val="16"/>
        </w:rPr>
        <w:t> </w:t>
      </w:r>
      <w:r>
        <w:rPr>
          <w:color w:val="0C5D86"/>
          <w:sz w:val="16"/>
        </w:rPr>
        <w:t>Bureau</w:t>
      </w:r>
      <w:r>
        <w:rPr>
          <w:color w:val="0C5D86"/>
          <w:spacing w:val="-10"/>
          <w:sz w:val="16"/>
        </w:rPr>
        <w:t> </w:t>
      </w:r>
      <w:r>
        <w:rPr>
          <w:color w:val="0C5D86"/>
          <w:sz w:val="16"/>
        </w:rPr>
        <w:t>of</w:t>
      </w:r>
      <w:r>
        <w:rPr>
          <w:color w:val="0C5D86"/>
          <w:spacing w:val="-10"/>
          <w:sz w:val="16"/>
        </w:rPr>
        <w:t> </w:t>
      </w:r>
      <w:r>
        <w:rPr>
          <w:color w:val="0C5D86"/>
          <w:sz w:val="16"/>
        </w:rPr>
        <w:t>Chronic</w:t>
      </w:r>
      <w:r>
        <w:rPr>
          <w:color w:val="0C5D86"/>
          <w:spacing w:val="-10"/>
          <w:sz w:val="16"/>
        </w:rPr>
        <w:t> </w:t>
      </w:r>
      <w:r>
        <w:rPr>
          <w:color w:val="0C5D86"/>
          <w:sz w:val="16"/>
        </w:rPr>
        <w:t>Evaluation</w:t>
      </w:r>
      <w:r>
        <w:rPr>
          <w:color w:val="0C5D86"/>
          <w:spacing w:val="-10"/>
          <w:sz w:val="16"/>
        </w:rPr>
        <w:t> </w:t>
      </w:r>
      <w:r>
        <w:rPr>
          <w:color w:val="0C5D86"/>
          <w:sz w:val="16"/>
        </w:rPr>
        <w:t>and</w:t>
      </w:r>
      <w:r>
        <w:rPr>
          <w:color w:val="0C5D86"/>
          <w:spacing w:val="-10"/>
          <w:sz w:val="16"/>
        </w:rPr>
        <w:t> </w:t>
      </w:r>
      <w:r>
        <w:rPr>
          <w:color w:val="0C5D86"/>
          <w:sz w:val="16"/>
        </w:rPr>
        <w:t>Research,</w:t>
      </w:r>
      <w:r>
        <w:rPr>
          <w:color w:val="0C5D86"/>
          <w:spacing w:val="-10"/>
          <w:sz w:val="16"/>
        </w:rPr>
        <w:t> </w:t>
      </w:r>
      <w:r>
        <w:rPr>
          <w:color w:val="0C5D86"/>
          <w:sz w:val="16"/>
        </w:rPr>
        <w:t>New</w:t>
      </w:r>
      <w:r>
        <w:rPr>
          <w:color w:val="0C5D86"/>
          <w:spacing w:val="-10"/>
          <w:sz w:val="16"/>
        </w:rPr>
        <w:t> </w:t>
      </w:r>
      <w:r>
        <w:rPr>
          <w:color w:val="0C5D86"/>
          <w:sz w:val="16"/>
        </w:rPr>
        <w:t>York</w:t>
      </w:r>
      <w:r>
        <w:rPr>
          <w:color w:val="0C5D86"/>
          <w:spacing w:val="-10"/>
          <w:sz w:val="16"/>
        </w:rPr>
        <w:t> </w:t>
      </w:r>
      <w:r>
        <w:rPr>
          <w:color w:val="0C5D86"/>
          <w:sz w:val="16"/>
        </w:rPr>
        <w:t>State</w:t>
      </w:r>
      <w:r>
        <w:rPr>
          <w:color w:val="0C5D86"/>
          <w:spacing w:val="-10"/>
          <w:sz w:val="16"/>
        </w:rPr>
        <w:t> </w:t>
      </w:r>
      <w:r>
        <w:rPr>
          <w:color w:val="0C5D86"/>
          <w:sz w:val="16"/>
        </w:rPr>
        <w:t>Department</w:t>
      </w:r>
      <w:r>
        <w:rPr>
          <w:color w:val="0C5D86"/>
          <w:spacing w:val="-10"/>
          <w:sz w:val="16"/>
        </w:rPr>
        <w:t> </w:t>
      </w:r>
      <w:r>
        <w:rPr>
          <w:color w:val="0C5D86"/>
          <w:sz w:val="16"/>
        </w:rPr>
        <w:t>of</w:t>
      </w:r>
      <w:r>
        <w:rPr>
          <w:color w:val="0C5D86"/>
          <w:spacing w:val="-10"/>
          <w:sz w:val="16"/>
        </w:rPr>
        <w:t> </w:t>
      </w:r>
      <w:r>
        <w:rPr>
          <w:color w:val="0C5D86"/>
          <w:sz w:val="16"/>
        </w:rPr>
        <w:t>Health, Behavioral</w:t>
      </w:r>
      <w:r>
        <w:rPr>
          <w:color w:val="0C5D86"/>
          <w:spacing w:val="-1"/>
          <w:sz w:val="16"/>
        </w:rPr>
        <w:t> </w:t>
      </w:r>
      <w:r>
        <w:rPr>
          <w:color w:val="0C5D86"/>
          <w:sz w:val="16"/>
        </w:rPr>
        <w:t>Risk</w:t>
      </w:r>
      <w:r>
        <w:rPr>
          <w:color w:val="0C5D86"/>
          <w:spacing w:val="-1"/>
          <w:sz w:val="16"/>
        </w:rPr>
        <w:t> </w:t>
      </w:r>
      <w:r>
        <w:rPr>
          <w:color w:val="0C5D86"/>
          <w:sz w:val="16"/>
        </w:rPr>
        <w:t>Factor</w:t>
      </w:r>
      <w:r>
        <w:rPr>
          <w:color w:val="0C5D86"/>
          <w:spacing w:val="-1"/>
          <w:sz w:val="16"/>
        </w:rPr>
        <w:t> </w:t>
      </w:r>
      <w:r>
        <w:rPr>
          <w:color w:val="0C5D86"/>
          <w:sz w:val="16"/>
        </w:rPr>
        <w:t>Surveillance</w:t>
      </w:r>
      <w:r>
        <w:rPr>
          <w:color w:val="0C5D86"/>
          <w:spacing w:val="-1"/>
          <w:sz w:val="16"/>
        </w:rPr>
        <w:t> </w:t>
      </w:r>
      <w:r>
        <w:rPr>
          <w:color w:val="0C5D86"/>
          <w:sz w:val="16"/>
        </w:rPr>
        <w:t>System,</w:t>
      </w:r>
      <w:r>
        <w:rPr>
          <w:color w:val="0C5D86"/>
          <w:spacing w:val="-1"/>
          <w:sz w:val="16"/>
        </w:rPr>
        <w:t> </w:t>
      </w:r>
      <w:r>
        <w:rPr>
          <w:color w:val="0C5D86"/>
          <w:sz w:val="16"/>
        </w:rPr>
        <w:t>Year</w:t>
      </w:r>
      <w:r>
        <w:rPr>
          <w:color w:val="0C5D86"/>
          <w:spacing w:val="-1"/>
          <w:sz w:val="16"/>
        </w:rPr>
        <w:t> </w:t>
      </w:r>
      <w:r>
        <w:rPr>
          <w:color w:val="0C5D86"/>
          <w:sz w:val="16"/>
        </w:rPr>
        <w:t>2016.</w:t>
      </w:r>
      <w:r>
        <w:rPr>
          <w:color w:val="0C5D86"/>
          <w:spacing w:val="-1"/>
          <w:sz w:val="16"/>
        </w:rPr>
        <w:t> </w:t>
      </w:r>
      <w:r>
        <w:rPr>
          <w:color w:val="0C5D86"/>
          <w:sz w:val="16"/>
        </w:rPr>
        <w:t>Analysis</w:t>
      </w:r>
      <w:r>
        <w:rPr>
          <w:color w:val="0C5D86"/>
          <w:spacing w:val="-1"/>
          <w:sz w:val="16"/>
        </w:rPr>
        <w:t> </w:t>
      </w:r>
      <w:r>
        <w:rPr>
          <w:color w:val="0C5D86"/>
          <w:sz w:val="16"/>
        </w:rPr>
        <w:t>Completed</w:t>
      </w:r>
      <w:r>
        <w:rPr>
          <w:color w:val="0C5D86"/>
          <w:spacing w:val="-1"/>
          <w:sz w:val="16"/>
        </w:rPr>
        <w:t> </w:t>
      </w:r>
      <w:r>
        <w:rPr>
          <w:color w:val="0C5D86"/>
          <w:sz w:val="16"/>
        </w:rPr>
        <w:t>by</w:t>
      </w:r>
      <w:r>
        <w:rPr>
          <w:color w:val="0C5D86"/>
          <w:spacing w:val="-1"/>
          <w:sz w:val="16"/>
        </w:rPr>
        <w:t> </w:t>
      </w:r>
      <w:r>
        <w:rPr>
          <w:color w:val="0C5D86"/>
          <w:sz w:val="16"/>
        </w:rPr>
        <w:t>Common</w:t>
      </w:r>
      <w:r>
        <w:rPr>
          <w:color w:val="0C5D86"/>
          <w:spacing w:val="-1"/>
          <w:sz w:val="16"/>
        </w:rPr>
        <w:t> </w:t>
      </w:r>
      <w:r>
        <w:rPr>
          <w:color w:val="0C5D86"/>
          <w:sz w:val="16"/>
        </w:rPr>
        <w:t>Ground</w:t>
      </w:r>
      <w:r>
        <w:rPr>
          <w:color w:val="0C5D86"/>
          <w:spacing w:val="-1"/>
          <w:sz w:val="16"/>
        </w:rPr>
        <w:t> </w:t>
      </w:r>
      <w:r>
        <w:rPr>
          <w:color w:val="0C5D86"/>
          <w:sz w:val="16"/>
        </w:rPr>
        <w:t>Health</w:t>
      </w:r>
    </w:p>
    <w:p>
      <w:pPr>
        <w:pStyle w:val="BodyText"/>
        <w:rPr>
          <w:sz w:val="16"/>
        </w:rPr>
      </w:pPr>
    </w:p>
    <w:p>
      <w:pPr>
        <w:pStyle w:val="BodyText"/>
        <w:spacing w:before="12"/>
        <w:rPr>
          <w:sz w:val="16"/>
        </w:rPr>
      </w:pPr>
    </w:p>
    <w:p>
      <w:pPr>
        <w:pStyle w:val="BodyText"/>
        <w:spacing w:line="247" w:lineRule="auto"/>
        <w:ind w:left="1094" w:right="58"/>
      </w:pPr>
      <w:r>
        <w:rPr>
          <w:color w:val="105C84"/>
        </w:rPr>
        <w:t>An estimated 36% of adults in the region have been diagnosed with hypertension. However, it is important</w:t>
      </w:r>
      <w:r>
        <w:rPr>
          <w:color w:val="105C84"/>
          <w:spacing w:val="23"/>
        </w:rPr>
        <w:t> </w:t>
      </w:r>
      <w:r>
        <w:rPr>
          <w:color w:val="105C84"/>
        </w:rPr>
        <w:t>to</w:t>
      </w:r>
      <w:r>
        <w:rPr>
          <w:color w:val="105C84"/>
          <w:spacing w:val="23"/>
        </w:rPr>
        <w:t> </w:t>
      </w:r>
      <w:r>
        <w:rPr>
          <w:color w:val="105C84"/>
        </w:rPr>
        <w:t>note</w:t>
      </w:r>
      <w:r>
        <w:rPr>
          <w:color w:val="105C84"/>
          <w:spacing w:val="23"/>
        </w:rPr>
        <w:t> </w:t>
      </w:r>
      <w:r>
        <w:rPr>
          <w:color w:val="105C84"/>
        </w:rPr>
        <w:t>the</w:t>
      </w:r>
      <w:r>
        <w:rPr>
          <w:color w:val="105C84"/>
          <w:spacing w:val="23"/>
        </w:rPr>
        <w:t> </w:t>
      </w:r>
      <w:r>
        <w:rPr>
          <w:color w:val="105C84"/>
        </w:rPr>
        <w:t>hypertension</w:t>
      </w:r>
      <w:r>
        <w:rPr>
          <w:color w:val="105C84"/>
          <w:spacing w:val="23"/>
        </w:rPr>
        <w:t> </w:t>
      </w:r>
      <w:r>
        <w:rPr>
          <w:color w:val="105C84"/>
        </w:rPr>
        <w:t>control</w:t>
      </w:r>
      <w:r>
        <w:rPr>
          <w:color w:val="105C84"/>
          <w:spacing w:val="23"/>
        </w:rPr>
        <w:t> </w:t>
      </w:r>
      <w:r>
        <w:rPr>
          <w:color w:val="105C84"/>
        </w:rPr>
        <w:t>rate</w:t>
      </w:r>
      <w:r>
        <w:rPr>
          <w:color w:val="105C84"/>
          <w:spacing w:val="23"/>
        </w:rPr>
        <w:t> </w:t>
      </w:r>
      <w:r>
        <w:rPr>
          <w:color w:val="105C84"/>
        </w:rPr>
        <w:t>for</w:t>
      </w:r>
      <w:r>
        <w:rPr>
          <w:color w:val="105C84"/>
          <w:spacing w:val="23"/>
        </w:rPr>
        <w:t> </w:t>
      </w:r>
      <w:r>
        <w:rPr>
          <w:color w:val="105C84"/>
        </w:rPr>
        <w:t>residents.</w:t>
      </w:r>
      <w:r>
        <w:rPr>
          <w:color w:val="105C84"/>
          <w:spacing w:val="23"/>
        </w:rPr>
        <w:t> </w:t>
      </w:r>
      <w:r>
        <w:rPr>
          <w:color w:val="105C84"/>
        </w:rPr>
        <w:t>According</w:t>
      </w:r>
      <w:r>
        <w:rPr>
          <w:color w:val="105C84"/>
          <w:spacing w:val="23"/>
        </w:rPr>
        <w:t> </w:t>
      </w:r>
      <w:r>
        <w:rPr>
          <w:color w:val="105C84"/>
        </w:rPr>
        <w:t>to</w:t>
      </w:r>
      <w:r>
        <w:rPr>
          <w:color w:val="105C84"/>
          <w:spacing w:val="23"/>
        </w:rPr>
        <w:t> </w:t>
      </w:r>
      <w:r>
        <w:rPr>
          <w:color w:val="105C84"/>
        </w:rPr>
        <w:t>the</w:t>
      </w:r>
      <w:r>
        <w:rPr>
          <w:color w:val="105C84"/>
          <w:spacing w:val="23"/>
        </w:rPr>
        <w:t> </w:t>
      </w:r>
      <w:r>
        <w:rPr>
          <w:color w:val="105C84"/>
        </w:rPr>
        <w:t>December</w:t>
      </w:r>
      <w:r>
        <w:rPr>
          <w:color w:val="105C84"/>
          <w:spacing w:val="23"/>
        </w:rPr>
        <w:t> </w:t>
      </w:r>
      <w:r>
        <w:rPr>
          <w:color w:val="105C84"/>
        </w:rPr>
        <w:t>2018</w:t>
      </w:r>
      <w:r>
        <w:rPr>
          <w:color w:val="105C84"/>
          <w:spacing w:val="23"/>
        </w:rPr>
        <w:t> </w:t>
      </w:r>
      <w:r>
        <w:rPr>
          <w:color w:val="105C84"/>
        </w:rPr>
        <w:t>High Blood Pressure Registry</w:t>
      </w:r>
      <w:r>
        <w:rPr>
          <w:color w:val="105C84"/>
          <w:position w:val="7"/>
          <w:sz w:val="13"/>
        </w:rPr>
        <w:t>7</w:t>
      </w:r>
      <w:r>
        <w:rPr>
          <w:color w:val="105C84"/>
        </w:rPr>
        <w:t>, 79% of hypertensive patients in the region are in control of their blood pressure. Rates of blood pressure control in the eight county region range from 72-87%, with an overall target of 85% control (Figure 5). Maintaining greater control of blood pressure can lead to</w:t>
      </w:r>
      <w:r>
        <w:rPr>
          <w:color w:val="105C84"/>
          <w:spacing w:val="80"/>
        </w:rPr>
        <w:t> </w:t>
      </w:r>
      <w:r>
        <w:rPr>
          <w:color w:val="105C84"/>
        </w:rPr>
        <w:t>lower</w:t>
      </w:r>
      <w:r>
        <w:rPr>
          <w:color w:val="105C84"/>
          <w:spacing w:val="27"/>
        </w:rPr>
        <w:t> </w:t>
      </w:r>
      <w:r>
        <w:rPr>
          <w:color w:val="105C84"/>
        </w:rPr>
        <w:t>risk</w:t>
      </w:r>
      <w:r>
        <w:rPr>
          <w:color w:val="105C84"/>
          <w:spacing w:val="27"/>
        </w:rPr>
        <w:t> </w:t>
      </w:r>
      <w:r>
        <w:rPr>
          <w:color w:val="105C84"/>
        </w:rPr>
        <w:t>of</w:t>
      </w:r>
      <w:r>
        <w:rPr>
          <w:color w:val="105C84"/>
          <w:spacing w:val="27"/>
        </w:rPr>
        <w:t> </w:t>
      </w:r>
      <w:r>
        <w:rPr>
          <w:color w:val="105C84"/>
        </w:rPr>
        <w:t>heart</w:t>
      </w:r>
      <w:r>
        <w:rPr>
          <w:color w:val="105C84"/>
          <w:spacing w:val="27"/>
        </w:rPr>
        <w:t> </w:t>
      </w:r>
      <w:r>
        <w:rPr>
          <w:color w:val="105C84"/>
        </w:rPr>
        <w:t>attack,</w:t>
      </w:r>
      <w:r>
        <w:rPr>
          <w:color w:val="105C84"/>
          <w:spacing w:val="27"/>
        </w:rPr>
        <w:t> </w:t>
      </w:r>
      <w:r>
        <w:rPr>
          <w:color w:val="105C84"/>
        </w:rPr>
        <w:t>stroke</w:t>
      </w:r>
      <w:r>
        <w:rPr>
          <w:color w:val="105C84"/>
          <w:spacing w:val="27"/>
        </w:rPr>
        <w:t> </w:t>
      </w:r>
      <w:r>
        <w:rPr>
          <w:color w:val="105C84"/>
        </w:rPr>
        <w:t>and</w:t>
      </w:r>
      <w:r>
        <w:rPr>
          <w:color w:val="105C84"/>
          <w:spacing w:val="27"/>
        </w:rPr>
        <w:t> </w:t>
      </w:r>
      <w:r>
        <w:rPr>
          <w:color w:val="105C84"/>
        </w:rPr>
        <w:t>death.</w:t>
      </w:r>
      <w:r>
        <w:rPr>
          <w:color w:val="105C84"/>
          <w:spacing w:val="27"/>
        </w:rPr>
        <w:t> </w:t>
      </w:r>
      <w:r>
        <w:rPr>
          <w:color w:val="105C84"/>
        </w:rPr>
        <w:t>Among</w:t>
      </w:r>
      <w:r>
        <w:rPr>
          <w:color w:val="105C84"/>
          <w:spacing w:val="27"/>
        </w:rPr>
        <w:t> </w:t>
      </w:r>
      <w:r>
        <w:rPr>
          <w:color w:val="105C84"/>
        </w:rPr>
        <w:t>those</w:t>
      </w:r>
      <w:r>
        <w:rPr>
          <w:color w:val="105C84"/>
          <w:spacing w:val="27"/>
        </w:rPr>
        <w:t> </w:t>
      </w:r>
      <w:r>
        <w:rPr>
          <w:color w:val="105C84"/>
        </w:rPr>
        <w:t>who</w:t>
      </w:r>
      <w:r>
        <w:rPr>
          <w:color w:val="105C84"/>
          <w:spacing w:val="27"/>
        </w:rPr>
        <w:t> </w:t>
      </w:r>
      <w:r>
        <w:rPr>
          <w:color w:val="105C84"/>
        </w:rPr>
        <w:t>reported</w:t>
      </w:r>
      <w:r>
        <w:rPr>
          <w:color w:val="105C84"/>
          <w:spacing w:val="27"/>
        </w:rPr>
        <w:t> </w:t>
      </w:r>
      <w:r>
        <w:rPr>
          <w:color w:val="105C84"/>
        </w:rPr>
        <w:t>they</w:t>
      </w:r>
      <w:r>
        <w:rPr>
          <w:color w:val="105C84"/>
          <w:spacing w:val="27"/>
        </w:rPr>
        <w:t> </w:t>
      </w:r>
      <w:r>
        <w:rPr>
          <w:color w:val="105C84"/>
        </w:rPr>
        <w:t>were</w:t>
      </w:r>
      <w:r>
        <w:rPr>
          <w:color w:val="105C84"/>
          <w:spacing w:val="27"/>
        </w:rPr>
        <w:t> </w:t>
      </w:r>
      <w:r>
        <w:rPr>
          <w:color w:val="105C84"/>
        </w:rPr>
        <w:t>not</w:t>
      </w:r>
      <w:r>
        <w:rPr>
          <w:color w:val="105C84"/>
          <w:spacing w:val="27"/>
        </w:rPr>
        <w:t> </w:t>
      </w:r>
      <w:r>
        <w:rPr>
          <w:color w:val="105C84"/>
        </w:rPr>
        <w:t>managing their high blood pressure well in the </w:t>
      </w:r>
      <w:r>
        <w:rPr>
          <w:i/>
          <w:color w:val="105C84"/>
        </w:rPr>
        <w:t>My Health Story 2018 </w:t>
      </w:r>
      <w:r>
        <w:rPr>
          <w:color w:val="105C84"/>
        </w:rPr>
        <w:t>survey, respondents indicated that prescriptions</w:t>
      </w:r>
      <w:r>
        <w:rPr>
          <w:color w:val="105C84"/>
          <w:spacing w:val="38"/>
        </w:rPr>
        <w:t> </w:t>
      </w:r>
      <w:r>
        <w:rPr>
          <w:color w:val="105C84"/>
        </w:rPr>
        <w:t>and</w:t>
      </w:r>
      <w:r>
        <w:rPr>
          <w:color w:val="105C84"/>
          <w:spacing w:val="38"/>
        </w:rPr>
        <w:t> </w:t>
      </w:r>
      <w:r>
        <w:rPr>
          <w:color w:val="105C84"/>
        </w:rPr>
        <w:t>better</w:t>
      </w:r>
      <w:r>
        <w:rPr>
          <w:color w:val="105C84"/>
          <w:spacing w:val="38"/>
        </w:rPr>
        <w:t> </w:t>
      </w:r>
      <w:r>
        <w:rPr>
          <w:color w:val="105C84"/>
        </w:rPr>
        <w:t>diet</w:t>
      </w:r>
      <w:r>
        <w:rPr>
          <w:color w:val="105C84"/>
          <w:spacing w:val="38"/>
        </w:rPr>
        <w:t> </w:t>
      </w:r>
      <w:r>
        <w:rPr>
          <w:color w:val="105C84"/>
        </w:rPr>
        <w:t>and</w:t>
      </w:r>
      <w:r>
        <w:rPr>
          <w:color w:val="105C84"/>
          <w:spacing w:val="38"/>
        </w:rPr>
        <w:t> </w:t>
      </w:r>
      <w:r>
        <w:rPr>
          <w:color w:val="105C84"/>
        </w:rPr>
        <w:t>nutrition</w:t>
      </w:r>
      <w:r>
        <w:rPr>
          <w:color w:val="105C84"/>
          <w:spacing w:val="38"/>
        </w:rPr>
        <w:t> </w:t>
      </w:r>
      <w:r>
        <w:rPr>
          <w:color w:val="105C84"/>
        </w:rPr>
        <w:t>would</w:t>
      </w:r>
      <w:r>
        <w:rPr>
          <w:color w:val="105C84"/>
          <w:spacing w:val="38"/>
        </w:rPr>
        <w:t> </w:t>
      </w:r>
      <w:r>
        <w:rPr>
          <w:color w:val="105C84"/>
        </w:rPr>
        <w:t>help</w:t>
      </w:r>
      <w:r>
        <w:rPr>
          <w:color w:val="105C84"/>
          <w:spacing w:val="38"/>
        </w:rPr>
        <w:t> </w:t>
      </w:r>
      <w:r>
        <w:rPr>
          <w:color w:val="105C84"/>
        </w:rPr>
        <w:t>them</w:t>
      </w:r>
      <w:r>
        <w:rPr>
          <w:color w:val="105C84"/>
          <w:spacing w:val="38"/>
        </w:rPr>
        <w:t> </w:t>
      </w:r>
      <w:r>
        <w:rPr>
          <w:color w:val="105C84"/>
        </w:rPr>
        <w:t>manage</w:t>
      </w:r>
      <w:r>
        <w:rPr>
          <w:color w:val="105C84"/>
          <w:spacing w:val="38"/>
        </w:rPr>
        <w:t> </w:t>
      </w:r>
      <w:r>
        <w:rPr>
          <w:color w:val="105C84"/>
        </w:rPr>
        <w:t>their</w:t>
      </w:r>
      <w:r>
        <w:rPr>
          <w:color w:val="105C84"/>
          <w:spacing w:val="38"/>
        </w:rPr>
        <w:t> </w:t>
      </w:r>
      <w:r>
        <w:rPr>
          <w:color w:val="105C84"/>
        </w:rPr>
        <w:t>disease</w:t>
      </w:r>
      <w:r>
        <w:rPr>
          <w:color w:val="105C84"/>
          <w:spacing w:val="38"/>
        </w:rPr>
        <w:t> </w:t>
      </w:r>
      <w:r>
        <w:rPr>
          <w:color w:val="105C84"/>
        </w:rPr>
        <w:t>better.</w:t>
      </w:r>
    </w:p>
    <w:p>
      <w:pPr>
        <w:pStyle w:val="BodyText"/>
        <w:spacing w:before="15"/>
      </w:pPr>
    </w:p>
    <w:p>
      <w:pPr>
        <w:pStyle w:val="Heading6"/>
        <w:ind w:left="1094" w:right="55"/>
      </w:pPr>
      <w:r>
        <w:rPr>
          <w:color w:val="105C84"/>
        </w:rPr>
        <w:t>FIGURE</w:t>
      </w:r>
      <w:r>
        <w:rPr>
          <w:color w:val="105C84"/>
          <w:spacing w:val="-19"/>
        </w:rPr>
        <w:t> </w:t>
      </w:r>
      <w:r>
        <w:rPr>
          <w:color w:val="105C84"/>
        </w:rPr>
        <w:t>5:</w:t>
      </w:r>
      <w:r>
        <w:rPr>
          <w:color w:val="105C84"/>
          <w:spacing w:val="-18"/>
        </w:rPr>
        <w:t> </w:t>
      </w:r>
      <w:r>
        <w:rPr>
          <w:color w:val="105C84"/>
        </w:rPr>
        <w:t>Percent</w:t>
      </w:r>
      <w:r>
        <w:rPr>
          <w:color w:val="105C84"/>
          <w:spacing w:val="-18"/>
        </w:rPr>
        <w:t> </w:t>
      </w:r>
      <w:r>
        <w:rPr>
          <w:color w:val="105C84"/>
        </w:rPr>
        <w:t>of</w:t>
      </w:r>
      <w:r>
        <w:rPr>
          <w:color w:val="105C84"/>
          <w:spacing w:val="-18"/>
        </w:rPr>
        <w:t> </w:t>
      </w:r>
      <w:r>
        <w:rPr>
          <w:color w:val="105C84"/>
        </w:rPr>
        <w:t>patients</w:t>
      </w:r>
      <w:r>
        <w:rPr>
          <w:color w:val="105C84"/>
          <w:spacing w:val="-18"/>
        </w:rPr>
        <w:t> </w:t>
      </w:r>
      <w:r>
        <w:rPr>
          <w:color w:val="105C84"/>
        </w:rPr>
        <w:t>with</w:t>
      </w:r>
      <w:r>
        <w:rPr>
          <w:color w:val="105C84"/>
          <w:spacing w:val="-18"/>
        </w:rPr>
        <w:t> </w:t>
      </w:r>
      <w:r>
        <w:rPr>
          <w:color w:val="105C84"/>
        </w:rPr>
        <w:t>blood</w:t>
      </w:r>
      <w:r>
        <w:rPr>
          <w:color w:val="105C84"/>
          <w:spacing w:val="-18"/>
        </w:rPr>
        <w:t> </w:t>
      </w:r>
      <w:r>
        <w:rPr>
          <w:color w:val="105C84"/>
        </w:rPr>
        <w:t>pressure</w:t>
      </w:r>
      <w:r>
        <w:rPr>
          <w:color w:val="105C84"/>
          <w:spacing w:val="-18"/>
        </w:rPr>
        <w:t> </w:t>
      </w:r>
      <w:r>
        <w:rPr>
          <w:color w:val="105C84"/>
        </w:rPr>
        <w:t>controlled,</w:t>
      </w:r>
      <w:r>
        <w:rPr>
          <w:color w:val="105C84"/>
          <w:spacing w:val="-18"/>
        </w:rPr>
        <w:t> </w:t>
      </w:r>
      <w:r>
        <w:rPr>
          <w:color w:val="105C84"/>
        </w:rPr>
        <w:t>December</w:t>
      </w:r>
      <w:r>
        <w:rPr>
          <w:color w:val="105C84"/>
          <w:spacing w:val="-18"/>
        </w:rPr>
        <w:t> </w:t>
      </w:r>
      <w:r>
        <w:rPr>
          <w:color w:val="105C84"/>
        </w:rPr>
        <w:t>2018 high blood pressure registry</w:t>
      </w:r>
    </w:p>
    <w:p>
      <w:pPr>
        <w:spacing w:before="118"/>
        <w:ind w:left="0" w:right="0" w:firstLine="0"/>
        <w:jc w:val="right"/>
        <w:rPr>
          <w:sz w:val="18"/>
        </w:rPr>
      </w:pPr>
      <w:r>
        <w:rPr/>
        <w:br w:type="column"/>
      </w:r>
      <w:r>
        <w:rPr>
          <w:color w:val="636466"/>
          <w:spacing w:val="-5"/>
          <w:sz w:val="18"/>
        </w:rPr>
        <w:t>80%</w:t>
      </w:r>
    </w:p>
    <w:p>
      <w:pPr>
        <w:pStyle w:val="BodyText"/>
        <w:rPr>
          <w:sz w:val="18"/>
        </w:rPr>
      </w:pPr>
    </w:p>
    <w:p>
      <w:pPr>
        <w:pStyle w:val="BodyText"/>
        <w:spacing w:before="148"/>
        <w:rPr>
          <w:sz w:val="18"/>
        </w:rPr>
      </w:pPr>
    </w:p>
    <w:p>
      <w:pPr>
        <w:spacing w:before="0"/>
        <w:ind w:left="0" w:right="21" w:firstLine="0"/>
        <w:jc w:val="right"/>
        <w:rPr>
          <w:sz w:val="18"/>
        </w:rPr>
      </w:pPr>
      <w:r>
        <w:rPr>
          <w:sz w:val="18"/>
        </w:rPr>
        <mc:AlternateContent>
          <mc:Choice Requires="wps">
            <w:drawing>
              <wp:anchor distT="0" distB="0" distL="0" distR="0" allowOverlap="1" layoutInCell="1" locked="0" behindDoc="0" simplePos="0" relativeHeight="15755264">
                <wp:simplePos x="0" y="0"/>
                <wp:positionH relativeFrom="page">
                  <wp:posOffset>8457537</wp:posOffset>
                </wp:positionH>
                <wp:positionV relativeFrom="paragraph">
                  <wp:posOffset>-367173</wp:posOffset>
                </wp:positionV>
                <wp:extent cx="170180" cy="914400"/>
                <wp:effectExtent l="0" t="0" r="0" b="0"/>
                <wp:wrapNone/>
                <wp:docPr id="235" name="Textbox 235"/>
                <wp:cNvGraphicFramePr>
                  <a:graphicFrameLocks/>
                </wp:cNvGraphicFramePr>
                <a:graphic>
                  <a:graphicData uri="http://schemas.microsoft.com/office/word/2010/wordprocessingShape">
                    <wps:wsp>
                      <wps:cNvPr id="235" name="Textbox 235"/>
                      <wps:cNvSpPr txBox="1"/>
                      <wps:spPr>
                        <a:xfrm>
                          <a:off x="0" y="0"/>
                          <a:ext cx="170180" cy="914400"/>
                        </a:xfrm>
                        <a:prstGeom prst="rect">
                          <a:avLst/>
                        </a:prstGeom>
                      </wps:spPr>
                      <wps:txbx>
                        <w:txbxContent>
                          <w:p>
                            <w:pPr>
                              <w:spacing w:before="36"/>
                              <w:ind w:left="20" w:right="0" w:firstLine="0"/>
                              <w:jc w:val="left"/>
                              <w:rPr>
                                <w:sz w:val="16"/>
                              </w:rPr>
                            </w:pPr>
                            <w:r>
                              <w:rPr>
                                <w:color w:val="105B83"/>
                                <w:sz w:val="16"/>
                              </w:rPr>
                              <w:t>Percent</w:t>
                            </w:r>
                            <w:r>
                              <w:rPr>
                                <w:color w:val="105B83"/>
                                <w:spacing w:val="9"/>
                                <w:sz w:val="16"/>
                              </w:rPr>
                              <w:t> </w:t>
                            </w:r>
                            <w:r>
                              <w:rPr>
                                <w:color w:val="105B83"/>
                                <w:spacing w:val="-2"/>
                                <w:sz w:val="16"/>
                              </w:rPr>
                              <w:t>Controlled</w:t>
                            </w:r>
                          </w:p>
                        </w:txbxContent>
                      </wps:txbx>
                      <wps:bodyPr wrap="square" lIns="0" tIns="0" rIns="0" bIns="0" rtlCol="0" vert="vert270">
                        <a:noAutofit/>
                      </wps:bodyPr>
                    </wps:wsp>
                  </a:graphicData>
                </a:graphic>
              </wp:anchor>
            </w:drawing>
          </mc:Choice>
          <mc:Fallback>
            <w:pict>
              <v:shape style="position:absolute;margin-left:665.947815pt;margin-top:-28.911308pt;width:13.4pt;height:72pt;mso-position-horizontal-relative:page;mso-position-vertical-relative:paragraph;z-index:15755264" type="#_x0000_t202" id="docshape198" filled="false" stroked="false">
                <v:textbox inset="0,0,0,0" style="layout-flow:vertical;mso-layout-flow-alt:bottom-to-top">
                  <w:txbxContent>
                    <w:p>
                      <w:pPr>
                        <w:spacing w:before="36"/>
                        <w:ind w:left="20" w:right="0" w:firstLine="0"/>
                        <w:jc w:val="left"/>
                        <w:rPr>
                          <w:sz w:val="16"/>
                        </w:rPr>
                      </w:pPr>
                      <w:r>
                        <w:rPr>
                          <w:color w:val="105B83"/>
                          <w:sz w:val="16"/>
                        </w:rPr>
                        <w:t>Percent</w:t>
                      </w:r>
                      <w:r>
                        <w:rPr>
                          <w:color w:val="105B83"/>
                          <w:spacing w:val="9"/>
                          <w:sz w:val="16"/>
                        </w:rPr>
                        <w:t> </w:t>
                      </w:r>
                      <w:r>
                        <w:rPr>
                          <w:color w:val="105B83"/>
                          <w:spacing w:val="-2"/>
                          <w:sz w:val="16"/>
                        </w:rPr>
                        <w:t>Controlled</w:t>
                      </w:r>
                    </w:p>
                  </w:txbxContent>
                </v:textbox>
                <w10:wrap type="none"/>
              </v:shape>
            </w:pict>
          </mc:Fallback>
        </mc:AlternateContent>
      </w:r>
      <w:r>
        <w:rPr>
          <w:color w:val="636466"/>
          <w:spacing w:val="-5"/>
          <w:sz w:val="18"/>
        </w:rPr>
        <w:t>70%</w:t>
      </w:r>
    </w:p>
    <w:p>
      <w:pPr>
        <w:pStyle w:val="BodyText"/>
        <w:rPr>
          <w:sz w:val="18"/>
        </w:rPr>
      </w:pPr>
    </w:p>
    <w:p>
      <w:pPr>
        <w:pStyle w:val="BodyText"/>
        <w:spacing w:before="203"/>
        <w:rPr>
          <w:sz w:val="18"/>
        </w:rPr>
      </w:pPr>
    </w:p>
    <w:p>
      <w:pPr>
        <w:spacing w:before="0"/>
        <w:ind w:left="0" w:right="0" w:firstLine="0"/>
        <w:jc w:val="right"/>
        <w:rPr>
          <w:sz w:val="18"/>
        </w:rPr>
      </w:pPr>
      <w:r>
        <w:rPr>
          <w:color w:val="636466"/>
          <w:spacing w:val="-5"/>
          <w:sz w:val="18"/>
        </w:rPr>
        <w:t>60%</w:t>
      </w:r>
    </w:p>
    <w:p>
      <w:pPr>
        <w:pStyle w:val="BodyText"/>
        <w:rPr>
          <w:sz w:val="18"/>
        </w:rPr>
      </w:pPr>
    </w:p>
    <w:p>
      <w:pPr>
        <w:pStyle w:val="BodyText"/>
        <w:rPr>
          <w:sz w:val="18"/>
        </w:rPr>
      </w:pPr>
    </w:p>
    <w:p>
      <w:pPr>
        <w:pStyle w:val="BodyText"/>
        <w:spacing w:before="3"/>
        <w:rPr>
          <w:sz w:val="18"/>
        </w:rPr>
      </w:pPr>
    </w:p>
    <w:p>
      <w:pPr>
        <w:spacing w:before="0"/>
        <w:ind w:left="0" w:right="21" w:firstLine="0"/>
        <w:jc w:val="right"/>
        <w:rPr>
          <w:sz w:val="18"/>
        </w:rPr>
      </w:pPr>
      <w:r>
        <w:rPr>
          <w:color w:val="636466"/>
          <w:spacing w:val="-5"/>
          <w:sz w:val="18"/>
        </w:rPr>
        <w:t>50%</w:t>
      </w:r>
    </w:p>
    <w:p>
      <w:pPr>
        <w:pStyle w:val="BodyText"/>
        <w:rPr>
          <w:sz w:val="18"/>
        </w:rPr>
      </w:pPr>
    </w:p>
    <w:p>
      <w:pPr>
        <w:pStyle w:val="BodyText"/>
        <w:spacing w:before="199"/>
        <w:rPr>
          <w:sz w:val="18"/>
        </w:rPr>
      </w:pPr>
    </w:p>
    <w:p>
      <w:pPr>
        <w:spacing w:before="0"/>
        <w:ind w:left="0" w:right="21" w:firstLine="0"/>
        <w:jc w:val="right"/>
        <w:rPr>
          <w:sz w:val="18"/>
        </w:rPr>
      </w:pPr>
      <w:r>
        <w:rPr>
          <w:color w:val="636466"/>
          <w:spacing w:val="-5"/>
          <w:sz w:val="18"/>
        </w:rPr>
        <w:t>40%</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4"/>
        <w:rPr>
          <w:sz w:val="18"/>
        </w:rPr>
      </w:pPr>
    </w:p>
    <w:p>
      <w:pPr>
        <w:tabs>
          <w:tab w:pos="2405" w:val="left" w:leader="none"/>
          <w:tab w:pos="4085" w:val="left" w:leader="none"/>
          <w:tab w:pos="5790" w:val="left" w:leader="none"/>
          <w:tab w:pos="7527" w:val="left" w:leader="none"/>
        </w:tabs>
        <w:spacing w:before="0"/>
        <w:ind w:left="798" w:right="0" w:firstLine="0"/>
        <w:jc w:val="left"/>
        <w:rPr>
          <w:sz w:val="18"/>
        </w:rPr>
      </w:pPr>
      <w:r>
        <w:rPr>
          <w:color w:val="636466"/>
          <w:spacing w:val="-4"/>
          <w:sz w:val="18"/>
        </w:rPr>
        <w:t>2014</w:t>
      </w:r>
      <w:r>
        <w:rPr>
          <w:color w:val="636466"/>
          <w:sz w:val="18"/>
        </w:rPr>
        <w:tab/>
      </w:r>
      <w:r>
        <w:rPr>
          <w:color w:val="636466"/>
          <w:spacing w:val="-4"/>
          <w:sz w:val="18"/>
        </w:rPr>
        <w:t>2015</w:t>
      </w:r>
      <w:r>
        <w:rPr>
          <w:color w:val="636466"/>
          <w:sz w:val="18"/>
        </w:rPr>
        <w:tab/>
      </w:r>
      <w:r>
        <w:rPr>
          <w:color w:val="636466"/>
          <w:spacing w:val="-4"/>
          <w:sz w:val="18"/>
        </w:rPr>
        <w:t>2016</w:t>
      </w:r>
      <w:r>
        <w:rPr>
          <w:color w:val="636466"/>
          <w:sz w:val="18"/>
        </w:rPr>
        <w:tab/>
      </w:r>
      <w:r>
        <w:rPr>
          <w:color w:val="636466"/>
          <w:spacing w:val="-4"/>
          <w:sz w:val="18"/>
        </w:rPr>
        <w:t>2017</w:t>
      </w:r>
      <w:r>
        <w:rPr>
          <w:color w:val="636466"/>
          <w:sz w:val="18"/>
        </w:rPr>
        <w:tab/>
      </w:r>
      <w:r>
        <w:rPr>
          <w:color w:val="636466"/>
          <w:spacing w:val="-4"/>
          <w:sz w:val="18"/>
        </w:rPr>
        <w:t>2018</w:t>
      </w:r>
    </w:p>
    <w:p>
      <w:pPr>
        <w:spacing w:after="0"/>
        <w:jc w:val="left"/>
        <w:rPr>
          <w:sz w:val="18"/>
        </w:rPr>
        <w:sectPr>
          <w:type w:val="continuous"/>
          <w:pgSz w:w="24480" w:h="15840" w:orient="landscape"/>
          <w:pgMar w:header="0" w:footer="0" w:top="0" w:bottom="280" w:left="0" w:right="720"/>
          <w:cols w:num="3" w:equalWidth="0">
            <w:col w:w="11119" w:space="1659"/>
            <w:col w:w="1465" w:space="39"/>
            <w:col w:w="9478"/>
          </w:cols>
        </w:sectPr>
      </w:pPr>
    </w:p>
    <w:p>
      <w:pPr>
        <w:pStyle w:val="BodyText"/>
        <w:spacing w:before="195"/>
        <w:rPr>
          <w:sz w:val="18"/>
        </w:rPr>
      </w:pPr>
      <w:r>
        <w:rPr>
          <w:sz w:val="18"/>
        </w:rPr>
        <mc:AlternateContent>
          <mc:Choice Requires="wps">
            <w:drawing>
              <wp:anchor distT="0" distB="0" distL="0" distR="0" allowOverlap="1" layoutInCell="1" locked="0" behindDoc="0" simplePos="0" relativeHeight="15750656">
                <wp:simplePos x="0" y="0"/>
                <wp:positionH relativeFrom="page">
                  <wp:posOffset>7772400</wp:posOffset>
                </wp:positionH>
                <wp:positionV relativeFrom="page">
                  <wp:posOffset>6766559</wp:posOffset>
                </wp:positionV>
                <wp:extent cx="7772400" cy="3291840"/>
                <wp:effectExtent l="0" t="0" r="0" b="0"/>
                <wp:wrapNone/>
                <wp:docPr id="236" name="Group 236"/>
                <wp:cNvGraphicFramePr>
                  <a:graphicFrameLocks/>
                </wp:cNvGraphicFramePr>
                <a:graphic>
                  <a:graphicData uri="http://schemas.microsoft.com/office/word/2010/wordprocessingGroup">
                    <wpg:wgp>
                      <wpg:cNvPr id="236" name="Group 236"/>
                      <wpg:cNvGrpSpPr/>
                      <wpg:grpSpPr>
                        <a:xfrm>
                          <a:off x="0" y="0"/>
                          <a:ext cx="7772400" cy="3291840"/>
                          <a:chExt cx="7772400" cy="3291840"/>
                        </a:xfrm>
                      </wpg:grpSpPr>
                      <pic:pic>
                        <pic:nvPicPr>
                          <pic:cNvPr id="237" name="Image 237"/>
                          <pic:cNvPicPr/>
                        </pic:nvPicPr>
                        <pic:blipFill>
                          <a:blip r:embed="rId38" cstate="print"/>
                          <a:stretch>
                            <a:fillRect/>
                          </a:stretch>
                        </pic:blipFill>
                        <pic:spPr>
                          <a:xfrm>
                            <a:off x="7209156" y="2901543"/>
                            <a:ext cx="563245" cy="184683"/>
                          </a:xfrm>
                          <a:prstGeom prst="rect">
                            <a:avLst/>
                          </a:prstGeom>
                        </pic:spPr>
                      </pic:pic>
                      <pic:pic>
                        <pic:nvPicPr>
                          <pic:cNvPr id="238" name="Image 238"/>
                          <pic:cNvPicPr/>
                        </pic:nvPicPr>
                        <pic:blipFill>
                          <a:blip r:embed="rId53" cstate="print"/>
                          <a:stretch>
                            <a:fillRect/>
                          </a:stretch>
                        </pic:blipFill>
                        <pic:spPr>
                          <a:xfrm>
                            <a:off x="0" y="0"/>
                            <a:ext cx="7772400" cy="3291840"/>
                          </a:xfrm>
                          <a:prstGeom prst="rect">
                            <a:avLst/>
                          </a:prstGeom>
                        </pic:spPr>
                      </pic:pic>
                      <wps:wsp>
                        <wps:cNvPr id="239" name="Textbox 239"/>
                        <wps:cNvSpPr txBox="1"/>
                        <wps:spPr>
                          <a:xfrm>
                            <a:off x="5274983" y="2841751"/>
                            <a:ext cx="1807210" cy="253365"/>
                          </a:xfrm>
                          <a:prstGeom prst="rect">
                            <a:avLst/>
                          </a:prstGeom>
                        </wps:spPr>
                        <wps:txbx>
                          <w:txbxContent>
                            <w:p>
                              <w:pPr>
                                <w:spacing w:line="235" w:lineRule="auto" w:before="13"/>
                                <w:ind w:left="0" w:right="0" w:firstLine="296"/>
                                <w:jc w:val="left"/>
                                <w:rPr>
                                  <w:sz w:val="16"/>
                                </w:rPr>
                              </w:pPr>
                              <w:r>
                                <w:rPr>
                                  <w:color w:val="FFFFFF"/>
                                  <w:sz w:val="16"/>
                                </w:rPr>
                                <w:t>Canandaigua</w:t>
                              </w:r>
                              <w:r>
                                <w:rPr>
                                  <w:color w:val="FFFFFF"/>
                                  <w:spacing w:val="-5"/>
                                  <w:sz w:val="16"/>
                                </w:rPr>
                                <w:t> </w:t>
                              </w:r>
                              <w:r>
                                <w:rPr>
                                  <w:color w:val="FFFFFF"/>
                                  <w:sz w:val="16"/>
                                </w:rPr>
                                <w:t>boat</w:t>
                              </w:r>
                              <w:r>
                                <w:rPr>
                                  <w:color w:val="FFFFFF"/>
                                  <w:spacing w:val="-5"/>
                                  <w:sz w:val="16"/>
                                </w:rPr>
                                <w:t> </w:t>
                              </w:r>
                              <w:r>
                                <w:rPr>
                                  <w:color w:val="FFFFFF"/>
                                  <w:sz w:val="16"/>
                                </w:rPr>
                                <w:t>houses</w:t>
                              </w:r>
                              <w:r>
                                <w:rPr>
                                  <w:color w:val="FFFFFF"/>
                                  <w:spacing w:val="-5"/>
                                  <w:sz w:val="16"/>
                                </w:rPr>
                                <w:t> </w:t>
                              </w:r>
                              <w:r>
                                <w:rPr>
                                  <w:color w:val="FFFFFF"/>
                                  <w:sz w:val="16"/>
                                </w:rPr>
                                <w:t>in</w:t>
                              </w:r>
                              <w:r>
                                <w:rPr>
                                  <w:color w:val="FFFFFF"/>
                                  <w:spacing w:val="-5"/>
                                  <w:sz w:val="16"/>
                                </w:rPr>
                                <w:t> </w:t>
                              </w:r>
                              <w:r>
                                <w:rPr>
                                  <w:color w:val="FFFFFF"/>
                                  <w:sz w:val="16"/>
                                </w:rPr>
                                <w:t>winter Photo</w:t>
                              </w:r>
                              <w:r>
                                <w:rPr>
                                  <w:color w:val="FFFFFF"/>
                                  <w:spacing w:val="6"/>
                                  <w:sz w:val="16"/>
                                </w:rPr>
                                <w:t> </w:t>
                              </w:r>
                              <w:r>
                                <w:rPr>
                                  <w:color w:val="FFFFFF"/>
                                  <w:sz w:val="16"/>
                                </w:rPr>
                                <w:t>courtesy</w:t>
                              </w:r>
                              <w:r>
                                <w:rPr>
                                  <w:color w:val="FFFFFF"/>
                                  <w:spacing w:val="6"/>
                                  <w:sz w:val="16"/>
                                </w:rPr>
                                <w:t> </w:t>
                              </w:r>
                              <w:r>
                                <w:rPr>
                                  <w:color w:val="FFFFFF"/>
                                  <w:sz w:val="16"/>
                                </w:rPr>
                                <w:t>of</w:t>
                              </w:r>
                              <w:r>
                                <w:rPr>
                                  <w:color w:val="FFFFFF"/>
                                  <w:spacing w:val="7"/>
                                  <w:sz w:val="16"/>
                                </w:rPr>
                                <w:t> </w:t>
                              </w:r>
                              <w:r>
                                <w:rPr>
                                  <w:color w:val="FFFFFF"/>
                                  <w:spacing w:val="-2"/>
                                  <w:sz w:val="16"/>
                                </w:rPr>
                                <w:t>VisitFingerLakes.com</w:t>
                              </w:r>
                            </w:p>
                          </w:txbxContent>
                        </wps:txbx>
                        <wps:bodyPr wrap="square" lIns="0" tIns="0" rIns="0" bIns="0" rtlCol="0">
                          <a:noAutofit/>
                        </wps:bodyPr>
                      </wps:wsp>
                    </wpg:wgp>
                  </a:graphicData>
                </a:graphic>
              </wp:anchor>
            </w:drawing>
          </mc:Choice>
          <mc:Fallback>
            <w:pict>
              <v:group style="position:absolute;margin-left:612pt;margin-top:532.799988pt;width:612pt;height:259.2pt;mso-position-horizontal-relative:page;mso-position-vertical-relative:page;z-index:15750656" id="docshapegroup199" coordorigin="12240,10656" coordsize="12240,5184">
                <v:shape style="position:absolute;left:23593;top:15225;width:887;height:291" type="#_x0000_t75" id="docshape200" stroked="false">
                  <v:imagedata r:id="rId38" o:title=""/>
                </v:shape>
                <v:shape style="position:absolute;left:12240;top:10656;width:12240;height:5184" type="#_x0000_t75" id="docshape201" stroked="false">
                  <v:imagedata r:id="rId53" o:title=""/>
                </v:shape>
                <v:shape style="position:absolute;left:20547;top:15131;width:2846;height:399" type="#_x0000_t202" id="docshape202" filled="false" stroked="false">
                  <v:textbox inset="0,0,0,0">
                    <w:txbxContent>
                      <w:p>
                        <w:pPr>
                          <w:spacing w:line="235" w:lineRule="auto" w:before="13"/>
                          <w:ind w:left="0" w:right="0" w:firstLine="296"/>
                          <w:jc w:val="left"/>
                          <w:rPr>
                            <w:sz w:val="16"/>
                          </w:rPr>
                        </w:pPr>
                        <w:r>
                          <w:rPr>
                            <w:color w:val="FFFFFF"/>
                            <w:sz w:val="16"/>
                          </w:rPr>
                          <w:t>Canandaigua</w:t>
                        </w:r>
                        <w:r>
                          <w:rPr>
                            <w:color w:val="FFFFFF"/>
                            <w:spacing w:val="-5"/>
                            <w:sz w:val="16"/>
                          </w:rPr>
                          <w:t> </w:t>
                        </w:r>
                        <w:r>
                          <w:rPr>
                            <w:color w:val="FFFFFF"/>
                            <w:sz w:val="16"/>
                          </w:rPr>
                          <w:t>boat</w:t>
                        </w:r>
                        <w:r>
                          <w:rPr>
                            <w:color w:val="FFFFFF"/>
                            <w:spacing w:val="-5"/>
                            <w:sz w:val="16"/>
                          </w:rPr>
                          <w:t> </w:t>
                        </w:r>
                        <w:r>
                          <w:rPr>
                            <w:color w:val="FFFFFF"/>
                            <w:sz w:val="16"/>
                          </w:rPr>
                          <w:t>houses</w:t>
                        </w:r>
                        <w:r>
                          <w:rPr>
                            <w:color w:val="FFFFFF"/>
                            <w:spacing w:val="-5"/>
                            <w:sz w:val="16"/>
                          </w:rPr>
                          <w:t> </w:t>
                        </w:r>
                        <w:r>
                          <w:rPr>
                            <w:color w:val="FFFFFF"/>
                            <w:sz w:val="16"/>
                          </w:rPr>
                          <w:t>in</w:t>
                        </w:r>
                        <w:r>
                          <w:rPr>
                            <w:color w:val="FFFFFF"/>
                            <w:spacing w:val="-5"/>
                            <w:sz w:val="16"/>
                          </w:rPr>
                          <w:t> </w:t>
                        </w:r>
                        <w:r>
                          <w:rPr>
                            <w:color w:val="FFFFFF"/>
                            <w:sz w:val="16"/>
                          </w:rPr>
                          <w:t>winter Photo</w:t>
                        </w:r>
                        <w:r>
                          <w:rPr>
                            <w:color w:val="FFFFFF"/>
                            <w:spacing w:val="6"/>
                            <w:sz w:val="16"/>
                          </w:rPr>
                          <w:t> </w:t>
                        </w:r>
                        <w:r>
                          <w:rPr>
                            <w:color w:val="FFFFFF"/>
                            <w:sz w:val="16"/>
                          </w:rPr>
                          <w:t>courtesy</w:t>
                        </w:r>
                        <w:r>
                          <w:rPr>
                            <w:color w:val="FFFFFF"/>
                            <w:spacing w:val="6"/>
                            <w:sz w:val="16"/>
                          </w:rPr>
                          <w:t> </w:t>
                        </w:r>
                        <w:r>
                          <w:rPr>
                            <w:color w:val="FFFFFF"/>
                            <w:sz w:val="16"/>
                          </w:rPr>
                          <w:t>of</w:t>
                        </w:r>
                        <w:r>
                          <w:rPr>
                            <w:color w:val="FFFFFF"/>
                            <w:spacing w:val="7"/>
                            <w:sz w:val="16"/>
                          </w:rPr>
                          <w:t> </w:t>
                        </w:r>
                        <w:r>
                          <w:rPr>
                            <w:color w:val="FFFFFF"/>
                            <w:spacing w:val="-2"/>
                            <w:sz w:val="16"/>
                          </w:rPr>
                          <w:t>VisitFingerLakes.com</w:t>
                        </w:r>
                      </w:p>
                    </w:txbxContent>
                  </v:textbox>
                  <w10:wrap type="none"/>
                </v:shape>
                <w10:wrap type="none"/>
              </v:group>
            </w:pict>
          </mc:Fallback>
        </mc:AlternateContent>
      </w:r>
    </w:p>
    <w:p>
      <w:pPr>
        <w:spacing w:before="0"/>
        <w:ind w:left="1513" w:right="0" w:firstLine="0"/>
        <w:jc w:val="left"/>
        <w:rPr>
          <w:sz w:val="18"/>
        </w:rPr>
      </w:pPr>
      <w:r>
        <w:rPr>
          <w:sz w:val="18"/>
        </w:rPr>
        <mc:AlternateContent>
          <mc:Choice Requires="wps">
            <w:drawing>
              <wp:anchor distT="0" distB="0" distL="0" distR="0" allowOverlap="1" layoutInCell="1" locked="0" behindDoc="0" simplePos="0" relativeHeight="15751680">
                <wp:simplePos x="0" y="0"/>
                <wp:positionH relativeFrom="page">
                  <wp:posOffset>1240221</wp:posOffset>
                </wp:positionH>
                <wp:positionV relativeFrom="paragraph">
                  <wp:posOffset>-76321</wp:posOffset>
                </wp:positionV>
                <wp:extent cx="4147820" cy="1900555"/>
                <wp:effectExtent l="0" t="0" r="0" b="0"/>
                <wp:wrapNone/>
                <wp:docPr id="240" name="Group 240"/>
                <wp:cNvGraphicFramePr>
                  <a:graphicFrameLocks/>
                </wp:cNvGraphicFramePr>
                <a:graphic>
                  <a:graphicData uri="http://schemas.microsoft.com/office/word/2010/wordprocessingGroup">
                    <wpg:wgp>
                      <wpg:cNvPr id="240" name="Group 240"/>
                      <wpg:cNvGrpSpPr/>
                      <wpg:grpSpPr>
                        <a:xfrm>
                          <a:off x="0" y="0"/>
                          <a:ext cx="4147820" cy="1900555"/>
                          <a:chExt cx="4147820" cy="1900555"/>
                        </a:xfrm>
                      </wpg:grpSpPr>
                      <wps:wsp>
                        <wps:cNvPr id="241" name="Graphic 241"/>
                        <wps:cNvSpPr/>
                        <wps:spPr>
                          <a:xfrm>
                            <a:off x="1499" y="317112"/>
                            <a:ext cx="4110990" cy="1270"/>
                          </a:xfrm>
                          <a:custGeom>
                            <a:avLst/>
                            <a:gdLst/>
                            <a:ahLst/>
                            <a:cxnLst/>
                            <a:rect l="l" t="t" r="r" b="b"/>
                            <a:pathLst>
                              <a:path w="4110990" h="0">
                                <a:moveTo>
                                  <a:pt x="0" y="0"/>
                                </a:moveTo>
                                <a:lnTo>
                                  <a:pt x="4110748" y="0"/>
                                </a:lnTo>
                              </a:path>
                            </a:pathLst>
                          </a:custGeom>
                          <a:ln w="14262">
                            <a:solidFill>
                              <a:srgbClr val="81BF6A"/>
                            </a:solidFill>
                            <a:prstDash val="solid"/>
                          </a:ln>
                        </wps:spPr>
                        <wps:bodyPr wrap="square" lIns="0" tIns="0" rIns="0" bIns="0" rtlCol="0">
                          <a:prstTxWarp prst="textNoShape">
                            <a:avLst/>
                          </a:prstTxWarp>
                          <a:noAutofit/>
                        </wps:bodyPr>
                      </wps:wsp>
                      <wps:wsp>
                        <wps:cNvPr id="242" name="Graphic 242"/>
                        <wps:cNvSpPr/>
                        <wps:spPr>
                          <a:xfrm>
                            <a:off x="3568" y="3568"/>
                            <a:ext cx="4140835" cy="1893570"/>
                          </a:xfrm>
                          <a:custGeom>
                            <a:avLst/>
                            <a:gdLst/>
                            <a:ahLst/>
                            <a:cxnLst/>
                            <a:rect l="l" t="t" r="r" b="b"/>
                            <a:pathLst>
                              <a:path w="4140835" h="1893570">
                                <a:moveTo>
                                  <a:pt x="4140580" y="1893366"/>
                                </a:moveTo>
                                <a:lnTo>
                                  <a:pt x="0" y="1893366"/>
                                </a:lnTo>
                                <a:lnTo>
                                  <a:pt x="0" y="0"/>
                                </a:lnTo>
                              </a:path>
                            </a:pathLst>
                          </a:custGeom>
                          <a:ln w="7137">
                            <a:solidFill>
                              <a:srgbClr val="939598"/>
                            </a:solidFill>
                            <a:prstDash val="solid"/>
                          </a:ln>
                        </wps:spPr>
                        <wps:bodyPr wrap="square" lIns="0" tIns="0" rIns="0" bIns="0" rtlCol="0">
                          <a:prstTxWarp prst="textNoShape">
                            <a:avLst/>
                          </a:prstTxWarp>
                          <a:noAutofit/>
                        </wps:bodyPr>
                      </wps:wsp>
                      <wps:wsp>
                        <wps:cNvPr id="243" name="Graphic 243"/>
                        <wps:cNvSpPr/>
                        <wps:spPr>
                          <a:xfrm>
                            <a:off x="145945" y="187917"/>
                            <a:ext cx="3743325" cy="638810"/>
                          </a:xfrm>
                          <a:custGeom>
                            <a:avLst/>
                            <a:gdLst/>
                            <a:ahLst/>
                            <a:cxnLst/>
                            <a:rect l="l" t="t" r="r" b="b"/>
                            <a:pathLst>
                              <a:path w="3743325" h="638810">
                                <a:moveTo>
                                  <a:pt x="129870" y="573824"/>
                                </a:moveTo>
                                <a:lnTo>
                                  <a:pt x="64935" y="508889"/>
                                </a:lnTo>
                                <a:lnTo>
                                  <a:pt x="0" y="573824"/>
                                </a:lnTo>
                                <a:lnTo>
                                  <a:pt x="64935" y="638759"/>
                                </a:lnTo>
                                <a:lnTo>
                                  <a:pt x="129870" y="573824"/>
                                </a:lnTo>
                                <a:close/>
                              </a:path>
                              <a:path w="3743325" h="638810">
                                <a:moveTo>
                                  <a:pt x="646036" y="375361"/>
                                </a:moveTo>
                                <a:lnTo>
                                  <a:pt x="581101" y="310426"/>
                                </a:lnTo>
                                <a:lnTo>
                                  <a:pt x="516166" y="375361"/>
                                </a:lnTo>
                                <a:lnTo>
                                  <a:pt x="581101" y="440296"/>
                                </a:lnTo>
                                <a:lnTo>
                                  <a:pt x="646036" y="375361"/>
                                </a:lnTo>
                                <a:close/>
                              </a:path>
                              <a:path w="3743325" h="638810">
                                <a:moveTo>
                                  <a:pt x="1162202" y="341363"/>
                                </a:moveTo>
                                <a:lnTo>
                                  <a:pt x="1097267" y="276428"/>
                                </a:lnTo>
                                <a:lnTo>
                                  <a:pt x="1032332" y="341363"/>
                                </a:lnTo>
                                <a:lnTo>
                                  <a:pt x="1097267" y="406298"/>
                                </a:lnTo>
                                <a:lnTo>
                                  <a:pt x="1162202" y="341363"/>
                                </a:lnTo>
                                <a:close/>
                              </a:path>
                              <a:path w="3743325" h="638810">
                                <a:moveTo>
                                  <a:pt x="1678355" y="259994"/>
                                </a:moveTo>
                                <a:lnTo>
                                  <a:pt x="1613420" y="195059"/>
                                </a:lnTo>
                                <a:lnTo>
                                  <a:pt x="1548485" y="259994"/>
                                </a:lnTo>
                                <a:lnTo>
                                  <a:pt x="1613420" y="324929"/>
                                </a:lnTo>
                                <a:lnTo>
                                  <a:pt x="1678355" y="259994"/>
                                </a:lnTo>
                                <a:close/>
                              </a:path>
                              <a:path w="3743325" h="638810">
                                <a:moveTo>
                                  <a:pt x="2194522" y="229857"/>
                                </a:moveTo>
                                <a:lnTo>
                                  <a:pt x="2129586" y="164922"/>
                                </a:lnTo>
                                <a:lnTo>
                                  <a:pt x="2064664" y="229857"/>
                                </a:lnTo>
                                <a:lnTo>
                                  <a:pt x="2129586" y="294792"/>
                                </a:lnTo>
                                <a:lnTo>
                                  <a:pt x="2194522" y="229857"/>
                                </a:lnTo>
                                <a:close/>
                              </a:path>
                              <a:path w="3743325" h="638810">
                                <a:moveTo>
                                  <a:pt x="2710688" y="206781"/>
                                </a:moveTo>
                                <a:lnTo>
                                  <a:pt x="2645765" y="141846"/>
                                </a:lnTo>
                                <a:lnTo>
                                  <a:pt x="2580830" y="206781"/>
                                </a:lnTo>
                                <a:lnTo>
                                  <a:pt x="2645765" y="271716"/>
                                </a:lnTo>
                                <a:lnTo>
                                  <a:pt x="2710688" y="206781"/>
                                </a:lnTo>
                                <a:close/>
                              </a:path>
                              <a:path w="3743325" h="638810">
                                <a:moveTo>
                                  <a:pt x="3226841" y="101841"/>
                                </a:moveTo>
                                <a:lnTo>
                                  <a:pt x="3161919" y="36906"/>
                                </a:lnTo>
                                <a:lnTo>
                                  <a:pt x="3096984" y="101841"/>
                                </a:lnTo>
                                <a:lnTo>
                                  <a:pt x="3161919" y="166776"/>
                                </a:lnTo>
                                <a:lnTo>
                                  <a:pt x="3226841" y="101841"/>
                                </a:lnTo>
                                <a:close/>
                              </a:path>
                              <a:path w="3743325" h="638810">
                                <a:moveTo>
                                  <a:pt x="3743020" y="64935"/>
                                </a:moveTo>
                                <a:lnTo>
                                  <a:pt x="3678085" y="0"/>
                                </a:lnTo>
                                <a:lnTo>
                                  <a:pt x="3613162" y="64935"/>
                                </a:lnTo>
                                <a:lnTo>
                                  <a:pt x="3678085" y="129870"/>
                                </a:lnTo>
                                <a:lnTo>
                                  <a:pt x="3743020" y="64935"/>
                                </a:lnTo>
                                <a:close/>
                              </a:path>
                            </a:pathLst>
                          </a:custGeom>
                          <a:solidFill>
                            <a:srgbClr val="105B83"/>
                          </a:solidFill>
                        </wps:spPr>
                        <wps:bodyPr wrap="square" lIns="0" tIns="0" rIns="0" bIns="0" rtlCol="0">
                          <a:prstTxWarp prst="textNoShape">
                            <a:avLst/>
                          </a:prstTxWarp>
                          <a:noAutofit/>
                        </wps:bodyPr>
                      </wps:wsp>
                      <wps:wsp>
                        <wps:cNvPr id="244" name="Textbox 244"/>
                        <wps:cNvSpPr txBox="1"/>
                        <wps:spPr>
                          <a:xfrm>
                            <a:off x="76013" y="131027"/>
                            <a:ext cx="1273810" cy="156210"/>
                          </a:xfrm>
                          <a:prstGeom prst="rect">
                            <a:avLst/>
                          </a:prstGeom>
                        </wps:spPr>
                        <wps:txbx>
                          <w:txbxContent>
                            <w:p>
                              <w:pPr>
                                <w:spacing w:before="11"/>
                                <w:ind w:left="0" w:right="0" w:firstLine="0"/>
                                <w:jc w:val="left"/>
                                <w:rPr>
                                  <w:sz w:val="18"/>
                                </w:rPr>
                              </w:pPr>
                              <w:r>
                                <w:rPr>
                                  <w:color w:val="636466"/>
                                  <w:spacing w:val="-2"/>
                                  <w:sz w:val="18"/>
                                </w:rPr>
                                <w:t>Target Control Rate:</w:t>
                              </w:r>
                              <w:r>
                                <w:rPr>
                                  <w:color w:val="636466"/>
                                  <w:spacing w:val="-1"/>
                                  <w:sz w:val="18"/>
                                </w:rPr>
                                <w:t> </w:t>
                              </w:r>
                              <w:r>
                                <w:rPr>
                                  <w:color w:val="636466"/>
                                  <w:spacing w:val="-5"/>
                                  <w:sz w:val="18"/>
                                </w:rPr>
                                <w:t>85%</w:t>
                              </w:r>
                            </w:p>
                          </w:txbxContent>
                        </wps:txbx>
                        <wps:bodyPr wrap="square" lIns="0" tIns="0" rIns="0" bIns="0" rtlCol="0">
                          <a:noAutofit/>
                        </wps:bodyPr>
                      </wps:wsp>
                      <wps:wsp>
                        <wps:cNvPr id="245" name="Textbox 245"/>
                        <wps:cNvSpPr txBox="1"/>
                        <wps:spPr>
                          <a:xfrm>
                            <a:off x="1072357" y="603586"/>
                            <a:ext cx="359410" cy="253365"/>
                          </a:xfrm>
                          <a:prstGeom prst="rect">
                            <a:avLst/>
                          </a:prstGeom>
                        </wps:spPr>
                        <wps:txbx>
                          <w:txbxContent>
                            <w:p>
                              <w:pPr>
                                <w:spacing w:line="235" w:lineRule="auto" w:before="13"/>
                                <w:ind w:left="124" w:right="18" w:hanging="125"/>
                                <w:jc w:val="left"/>
                                <w:rPr>
                                  <w:sz w:val="16"/>
                                </w:rPr>
                              </w:pPr>
                              <w:r>
                                <w:rPr>
                                  <w:color w:val="105B83"/>
                                  <w:spacing w:val="-2"/>
                                  <w:sz w:val="16"/>
                                </w:rPr>
                                <w:t>Ontario </w:t>
                              </w:r>
                              <w:r>
                                <w:rPr>
                                  <w:color w:val="105B83"/>
                                  <w:spacing w:val="-4"/>
                                  <w:sz w:val="16"/>
                                </w:rPr>
                                <w:t>79%</w:t>
                              </w:r>
                            </w:p>
                          </w:txbxContent>
                        </wps:txbx>
                        <wps:bodyPr wrap="square" lIns="0" tIns="0" rIns="0" bIns="0" rtlCol="0">
                          <a:noAutofit/>
                        </wps:bodyPr>
                      </wps:wsp>
                      <wps:wsp>
                        <wps:cNvPr id="246" name="Textbox 246"/>
                        <wps:cNvSpPr txBox="1"/>
                        <wps:spPr>
                          <a:xfrm>
                            <a:off x="1637964" y="520579"/>
                            <a:ext cx="257810" cy="253365"/>
                          </a:xfrm>
                          <a:prstGeom prst="rect">
                            <a:avLst/>
                          </a:prstGeom>
                        </wps:spPr>
                        <wps:txbx>
                          <w:txbxContent>
                            <w:p>
                              <w:pPr>
                                <w:spacing w:line="235" w:lineRule="auto" w:before="13"/>
                                <w:ind w:left="44" w:right="18" w:hanging="45"/>
                                <w:jc w:val="left"/>
                                <w:rPr>
                                  <w:sz w:val="16"/>
                                </w:rPr>
                              </w:pPr>
                              <w:r>
                                <w:rPr>
                                  <w:color w:val="105B83"/>
                                  <w:spacing w:val="-8"/>
                                  <w:sz w:val="16"/>
                                </w:rPr>
                                <w:t>Yates</w:t>
                              </w:r>
                              <w:r>
                                <w:rPr>
                                  <w:color w:val="105B83"/>
                                  <w:spacing w:val="-4"/>
                                  <w:sz w:val="16"/>
                                </w:rPr>
                                <w:t> 81%</w:t>
                              </w:r>
                            </w:p>
                          </w:txbxContent>
                        </wps:txbx>
                        <wps:bodyPr wrap="square" lIns="0" tIns="0" rIns="0" bIns="0" rtlCol="0">
                          <a:noAutofit/>
                        </wps:bodyPr>
                      </wps:wsp>
                      <wps:wsp>
                        <wps:cNvPr id="247" name="Textbox 247"/>
                        <wps:cNvSpPr txBox="1"/>
                        <wps:spPr>
                          <a:xfrm>
                            <a:off x="2078502" y="495179"/>
                            <a:ext cx="393065" cy="253365"/>
                          </a:xfrm>
                          <a:prstGeom prst="rect">
                            <a:avLst/>
                          </a:prstGeom>
                        </wps:spPr>
                        <wps:txbx>
                          <w:txbxContent>
                            <w:p>
                              <w:pPr>
                                <w:spacing w:line="235" w:lineRule="auto" w:before="13"/>
                                <w:ind w:left="150" w:right="9" w:hanging="151"/>
                                <w:jc w:val="left"/>
                                <w:rPr>
                                  <w:sz w:val="16"/>
                                </w:rPr>
                              </w:pPr>
                              <w:r>
                                <w:rPr>
                                  <w:color w:val="105B83"/>
                                  <w:spacing w:val="-4"/>
                                  <w:sz w:val="16"/>
                                </w:rPr>
                                <w:t>Schuyler 82%</w:t>
                              </w:r>
                            </w:p>
                          </w:txbxContent>
                        </wps:txbx>
                        <wps:bodyPr wrap="square" lIns="0" tIns="0" rIns="0" bIns="0" rtlCol="0">
                          <a:noAutofit/>
                        </wps:bodyPr>
                      </wps:wsp>
                      <wps:wsp>
                        <wps:cNvPr id="248" name="Textbox 248"/>
                        <wps:cNvSpPr txBox="1"/>
                        <wps:spPr>
                          <a:xfrm>
                            <a:off x="2564150" y="457079"/>
                            <a:ext cx="472440" cy="253365"/>
                          </a:xfrm>
                          <a:prstGeom prst="rect">
                            <a:avLst/>
                          </a:prstGeom>
                        </wps:spPr>
                        <wps:txbx>
                          <w:txbxContent>
                            <w:p>
                              <w:pPr>
                                <w:spacing w:line="235" w:lineRule="auto" w:before="13"/>
                                <w:ind w:left="213" w:right="18" w:hanging="214"/>
                                <w:jc w:val="left"/>
                                <w:rPr>
                                  <w:sz w:val="16"/>
                                </w:rPr>
                              </w:pPr>
                              <w:r>
                                <w:rPr>
                                  <w:color w:val="105B83"/>
                                  <w:spacing w:val="-2"/>
                                  <w:sz w:val="16"/>
                                </w:rPr>
                                <w:t>Livingston </w:t>
                              </w:r>
                              <w:r>
                                <w:rPr>
                                  <w:color w:val="105B83"/>
                                  <w:spacing w:val="-4"/>
                                  <w:sz w:val="16"/>
                                </w:rPr>
                                <w:t>83%</w:t>
                              </w:r>
                            </w:p>
                          </w:txbxContent>
                        </wps:txbx>
                        <wps:bodyPr wrap="square" lIns="0" tIns="0" rIns="0" bIns="0" rtlCol="0">
                          <a:noAutofit/>
                        </wps:bodyPr>
                      </wps:wsp>
                      <wps:wsp>
                        <wps:cNvPr id="249" name="Textbox 249"/>
                        <wps:cNvSpPr txBox="1"/>
                        <wps:spPr>
                          <a:xfrm>
                            <a:off x="3129960" y="361372"/>
                            <a:ext cx="391160" cy="253365"/>
                          </a:xfrm>
                          <a:prstGeom prst="rect">
                            <a:avLst/>
                          </a:prstGeom>
                        </wps:spPr>
                        <wps:txbx>
                          <w:txbxContent>
                            <w:p>
                              <w:pPr>
                                <w:spacing w:line="235" w:lineRule="auto" w:before="13"/>
                                <w:ind w:left="149" w:right="18" w:hanging="150"/>
                                <w:jc w:val="left"/>
                                <w:rPr>
                                  <w:sz w:val="16"/>
                                </w:rPr>
                              </w:pPr>
                              <w:r>
                                <w:rPr>
                                  <w:color w:val="105B83"/>
                                  <w:spacing w:val="-2"/>
                                  <w:sz w:val="16"/>
                                </w:rPr>
                                <w:t>Steuben </w:t>
                              </w:r>
                              <w:r>
                                <w:rPr>
                                  <w:color w:val="105B83"/>
                                  <w:spacing w:val="-4"/>
                                  <w:sz w:val="16"/>
                                </w:rPr>
                                <w:t>86%</w:t>
                              </w:r>
                            </w:p>
                          </w:txbxContent>
                        </wps:txbx>
                        <wps:bodyPr wrap="square" lIns="0" tIns="0" rIns="0" bIns="0" rtlCol="0">
                          <a:noAutofit/>
                        </wps:bodyPr>
                      </wps:wsp>
                      <wps:wsp>
                        <wps:cNvPr id="250" name="Textbox 250"/>
                        <wps:cNvSpPr txBox="1"/>
                        <wps:spPr>
                          <a:xfrm>
                            <a:off x="3597930" y="335972"/>
                            <a:ext cx="459105" cy="253365"/>
                          </a:xfrm>
                          <a:prstGeom prst="rect">
                            <a:avLst/>
                          </a:prstGeom>
                        </wps:spPr>
                        <wps:txbx>
                          <w:txbxContent>
                            <w:p>
                              <w:pPr>
                                <w:spacing w:line="235" w:lineRule="auto" w:before="13"/>
                                <w:ind w:left="202" w:right="18" w:hanging="203"/>
                                <w:jc w:val="left"/>
                                <w:rPr>
                                  <w:sz w:val="16"/>
                                </w:rPr>
                              </w:pPr>
                              <w:r>
                                <w:rPr>
                                  <w:color w:val="105B83"/>
                                  <w:spacing w:val="-2"/>
                                  <w:sz w:val="16"/>
                                </w:rPr>
                                <w:t>Chemung </w:t>
                              </w:r>
                              <w:r>
                                <w:rPr>
                                  <w:color w:val="105B83"/>
                                  <w:spacing w:val="-4"/>
                                  <w:sz w:val="16"/>
                                </w:rPr>
                                <w:t>87%</w:t>
                              </w:r>
                            </w:p>
                          </w:txbxContent>
                        </wps:txbx>
                        <wps:bodyPr wrap="square" lIns="0" tIns="0" rIns="0" bIns="0" rtlCol="0">
                          <a:noAutofit/>
                        </wps:bodyPr>
                      </wps:wsp>
                      <wps:wsp>
                        <wps:cNvPr id="251" name="Textbox 251"/>
                        <wps:cNvSpPr txBox="1"/>
                        <wps:spPr>
                          <a:xfrm>
                            <a:off x="44165" y="835132"/>
                            <a:ext cx="340360" cy="253365"/>
                          </a:xfrm>
                          <a:prstGeom prst="rect">
                            <a:avLst/>
                          </a:prstGeom>
                        </wps:spPr>
                        <wps:txbx>
                          <w:txbxContent>
                            <w:p>
                              <w:pPr>
                                <w:spacing w:line="235" w:lineRule="auto" w:before="13"/>
                                <w:ind w:left="109" w:right="18" w:hanging="110"/>
                                <w:jc w:val="left"/>
                                <w:rPr>
                                  <w:sz w:val="16"/>
                                </w:rPr>
                              </w:pPr>
                              <w:r>
                                <w:rPr>
                                  <w:color w:val="105B83"/>
                                  <w:spacing w:val="-6"/>
                                  <w:sz w:val="16"/>
                                </w:rPr>
                                <w:t>Seneca</w:t>
                              </w:r>
                              <w:r>
                                <w:rPr>
                                  <w:color w:val="105B83"/>
                                  <w:spacing w:val="-4"/>
                                  <w:sz w:val="16"/>
                                </w:rPr>
                                <w:t> 72%</w:t>
                              </w:r>
                            </w:p>
                          </w:txbxContent>
                        </wps:txbx>
                        <wps:bodyPr wrap="square" lIns="0" tIns="0" rIns="0" bIns="0" rtlCol="0">
                          <a:noAutofit/>
                        </wps:bodyPr>
                      </wps:wsp>
                      <wps:wsp>
                        <wps:cNvPr id="252" name="Textbox 252"/>
                        <wps:cNvSpPr txBox="1"/>
                        <wps:spPr>
                          <a:xfrm>
                            <a:off x="576752" y="628986"/>
                            <a:ext cx="321945" cy="253365"/>
                          </a:xfrm>
                          <a:prstGeom prst="rect">
                            <a:avLst/>
                          </a:prstGeom>
                        </wps:spPr>
                        <wps:txbx>
                          <w:txbxContent>
                            <w:p>
                              <w:pPr>
                                <w:spacing w:line="235" w:lineRule="auto" w:before="13"/>
                                <w:ind w:left="94" w:right="18" w:hanging="95"/>
                                <w:jc w:val="left"/>
                                <w:rPr>
                                  <w:sz w:val="16"/>
                                </w:rPr>
                              </w:pPr>
                              <w:r>
                                <w:rPr>
                                  <w:color w:val="105B83"/>
                                  <w:spacing w:val="-4"/>
                                  <w:sz w:val="16"/>
                                </w:rPr>
                                <w:t>Wayne 78%</w:t>
                              </w:r>
                            </w:p>
                          </w:txbxContent>
                        </wps:txbx>
                        <wps:bodyPr wrap="square" lIns="0" tIns="0" rIns="0" bIns="0" rtlCol="0">
                          <a:noAutofit/>
                        </wps:bodyPr>
                      </wps:wsp>
                      <wps:wsp>
                        <wps:cNvPr id="253" name="Textbox 253"/>
                        <wps:cNvSpPr txBox="1"/>
                        <wps:spPr>
                          <a:xfrm>
                            <a:off x="91819" y="1675367"/>
                            <a:ext cx="2423160" cy="139065"/>
                          </a:xfrm>
                          <a:prstGeom prst="rect">
                            <a:avLst/>
                          </a:prstGeom>
                        </wps:spPr>
                        <wps:txbx>
                          <w:txbxContent>
                            <w:p>
                              <w:pPr>
                                <w:spacing w:before="10"/>
                                <w:ind w:left="0" w:right="0" w:firstLine="0"/>
                                <w:jc w:val="left"/>
                                <w:rPr>
                                  <w:sz w:val="16"/>
                                </w:rPr>
                              </w:pPr>
                              <w:r>
                                <w:rPr>
                                  <w:color w:val="105B83"/>
                                  <w:spacing w:val="-2"/>
                                  <w:sz w:val="16"/>
                                </w:rPr>
                                <w:t>Source: December 2018 High</w:t>
                              </w:r>
                              <w:r>
                                <w:rPr>
                                  <w:color w:val="105B83"/>
                                  <w:spacing w:val="-1"/>
                                  <w:sz w:val="16"/>
                                </w:rPr>
                                <w:t> </w:t>
                              </w:r>
                              <w:r>
                                <w:rPr>
                                  <w:color w:val="105B83"/>
                                  <w:spacing w:val="-2"/>
                                  <w:sz w:val="16"/>
                                </w:rPr>
                                <w:t>Blood Pressure Registry</w:t>
                              </w:r>
                            </w:p>
                          </w:txbxContent>
                        </wps:txbx>
                        <wps:bodyPr wrap="square" lIns="0" tIns="0" rIns="0" bIns="0" rtlCol="0">
                          <a:noAutofit/>
                        </wps:bodyPr>
                      </wps:wsp>
                    </wpg:wgp>
                  </a:graphicData>
                </a:graphic>
              </wp:anchor>
            </w:drawing>
          </mc:Choice>
          <mc:Fallback>
            <w:pict>
              <v:group style="position:absolute;margin-left:97.655197pt;margin-top:-6.009544pt;width:326.6pt;height:149.65pt;mso-position-horizontal-relative:page;mso-position-vertical-relative:paragraph;z-index:15751680" id="docshapegroup203" coordorigin="1953,-120" coordsize="6532,2993">
                <v:line style="position:absolute" from="1955,379" to="8429,379" stroked="true" strokeweight="1.123pt" strokecolor="#81bf6a">
                  <v:stroke dashstyle="solid"/>
                </v:line>
                <v:shape style="position:absolute;left:1958;top:-115;width:6521;height:2982" id="docshape204" coordorigin="1959,-115" coordsize="6521,2982" path="m8479,2867l1959,2867,1959,-115e" filled="false" stroked="true" strokeweight=".562pt" strokecolor="#939598">
                  <v:path arrowok="t"/>
                  <v:stroke dashstyle="solid"/>
                </v:shape>
                <v:shape style="position:absolute;left:2182;top:175;width:5895;height:1006" id="docshape205" coordorigin="2183,176" coordsize="5895,1006" path="m2387,1079l2285,977,2183,1079,2285,1182,2387,1079xm3200,767l3098,665,2996,767,3098,869,3200,767xm4013,713l3911,611,3809,713,3911,816,4013,713xm4826,585l4724,483,4622,585,4724,687,4826,585xm5639,538l5537,435,5434,538,5537,640,5639,538xm6452,501l6350,399,6247,501,6350,604,6452,501xm7265,336l7162,234,7060,336,7162,438,7265,336xm8077,278l7975,176,7873,278,7975,380,8077,278xe" filled="true" fillcolor="#105b83" stroked="false">
                  <v:path arrowok="t"/>
                  <v:fill type="solid"/>
                </v:shape>
                <v:shape style="position:absolute;left:2072;top:86;width:2006;height:246" type="#_x0000_t202" id="docshape206" filled="false" stroked="false">
                  <v:textbox inset="0,0,0,0">
                    <w:txbxContent>
                      <w:p>
                        <w:pPr>
                          <w:spacing w:before="11"/>
                          <w:ind w:left="0" w:right="0" w:firstLine="0"/>
                          <w:jc w:val="left"/>
                          <w:rPr>
                            <w:sz w:val="18"/>
                          </w:rPr>
                        </w:pPr>
                        <w:r>
                          <w:rPr>
                            <w:color w:val="636466"/>
                            <w:spacing w:val="-2"/>
                            <w:sz w:val="18"/>
                          </w:rPr>
                          <w:t>Target Control Rate:</w:t>
                        </w:r>
                        <w:r>
                          <w:rPr>
                            <w:color w:val="636466"/>
                            <w:spacing w:val="-1"/>
                            <w:sz w:val="18"/>
                          </w:rPr>
                          <w:t> </w:t>
                        </w:r>
                        <w:r>
                          <w:rPr>
                            <w:color w:val="636466"/>
                            <w:spacing w:val="-5"/>
                            <w:sz w:val="18"/>
                          </w:rPr>
                          <w:t>85%</w:t>
                        </w:r>
                      </w:p>
                    </w:txbxContent>
                  </v:textbox>
                  <w10:wrap type="none"/>
                </v:shape>
                <v:shape style="position:absolute;left:3641;top:830;width:566;height:399" type="#_x0000_t202" id="docshape207" filled="false" stroked="false">
                  <v:textbox inset="0,0,0,0">
                    <w:txbxContent>
                      <w:p>
                        <w:pPr>
                          <w:spacing w:line="235" w:lineRule="auto" w:before="13"/>
                          <w:ind w:left="124" w:right="18" w:hanging="125"/>
                          <w:jc w:val="left"/>
                          <w:rPr>
                            <w:sz w:val="16"/>
                          </w:rPr>
                        </w:pPr>
                        <w:r>
                          <w:rPr>
                            <w:color w:val="105B83"/>
                            <w:spacing w:val="-2"/>
                            <w:sz w:val="16"/>
                          </w:rPr>
                          <w:t>Ontario </w:t>
                        </w:r>
                        <w:r>
                          <w:rPr>
                            <w:color w:val="105B83"/>
                            <w:spacing w:val="-4"/>
                            <w:sz w:val="16"/>
                          </w:rPr>
                          <w:t>79%</w:t>
                        </w:r>
                      </w:p>
                    </w:txbxContent>
                  </v:textbox>
                  <w10:wrap type="none"/>
                </v:shape>
                <v:shape style="position:absolute;left:4532;top:699;width:406;height:399" type="#_x0000_t202" id="docshape208" filled="false" stroked="false">
                  <v:textbox inset="0,0,0,0">
                    <w:txbxContent>
                      <w:p>
                        <w:pPr>
                          <w:spacing w:line="235" w:lineRule="auto" w:before="13"/>
                          <w:ind w:left="44" w:right="18" w:hanging="45"/>
                          <w:jc w:val="left"/>
                          <w:rPr>
                            <w:sz w:val="16"/>
                          </w:rPr>
                        </w:pPr>
                        <w:r>
                          <w:rPr>
                            <w:color w:val="105B83"/>
                            <w:spacing w:val="-8"/>
                            <w:sz w:val="16"/>
                          </w:rPr>
                          <w:t>Yates</w:t>
                        </w:r>
                        <w:r>
                          <w:rPr>
                            <w:color w:val="105B83"/>
                            <w:spacing w:val="-4"/>
                            <w:sz w:val="16"/>
                          </w:rPr>
                          <w:t> 81%</w:t>
                        </w:r>
                      </w:p>
                    </w:txbxContent>
                  </v:textbox>
                  <w10:wrap type="none"/>
                </v:shape>
                <v:shape style="position:absolute;left:5226;top:659;width:619;height:399" type="#_x0000_t202" id="docshape209" filled="false" stroked="false">
                  <v:textbox inset="0,0,0,0">
                    <w:txbxContent>
                      <w:p>
                        <w:pPr>
                          <w:spacing w:line="235" w:lineRule="auto" w:before="13"/>
                          <w:ind w:left="150" w:right="9" w:hanging="151"/>
                          <w:jc w:val="left"/>
                          <w:rPr>
                            <w:sz w:val="16"/>
                          </w:rPr>
                        </w:pPr>
                        <w:r>
                          <w:rPr>
                            <w:color w:val="105B83"/>
                            <w:spacing w:val="-4"/>
                            <w:sz w:val="16"/>
                          </w:rPr>
                          <w:t>Schuyler 82%</w:t>
                        </w:r>
                      </w:p>
                    </w:txbxContent>
                  </v:textbox>
                  <w10:wrap type="none"/>
                </v:shape>
                <v:shape style="position:absolute;left:5991;top:599;width:744;height:399" type="#_x0000_t202" id="docshape210" filled="false" stroked="false">
                  <v:textbox inset="0,0,0,0">
                    <w:txbxContent>
                      <w:p>
                        <w:pPr>
                          <w:spacing w:line="235" w:lineRule="auto" w:before="13"/>
                          <w:ind w:left="213" w:right="18" w:hanging="214"/>
                          <w:jc w:val="left"/>
                          <w:rPr>
                            <w:sz w:val="16"/>
                          </w:rPr>
                        </w:pPr>
                        <w:r>
                          <w:rPr>
                            <w:color w:val="105B83"/>
                            <w:spacing w:val="-2"/>
                            <w:sz w:val="16"/>
                          </w:rPr>
                          <w:t>Livingston </w:t>
                        </w:r>
                        <w:r>
                          <w:rPr>
                            <w:color w:val="105B83"/>
                            <w:spacing w:val="-4"/>
                            <w:sz w:val="16"/>
                          </w:rPr>
                          <w:t>83%</w:t>
                        </w:r>
                      </w:p>
                    </w:txbxContent>
                  </v:textbox>
                  <w10:wrap type="none"/>
                </v:shape>
                <v:shape style="position:absolute;left:6882;top:448;width:616;height:399" type="#_x0000_t202" id="docshape211" filled="false" stroked="false">
                  <v:textbox inset="0,0,0,0">
                    <w:txbxContent>
                      <w:p>
                        <w:pPr>
                          <w:spacing w:line="235" w:lineRule="auto" w:before="13"/>
                          <w:ind w:left="149" w:right="18" w:hanging="150"/>
                          <w:jc w:val="left"/>
                          <w:rPr>
                            <w:sz w:val="16"/>
                          </w:rPr>
                        </w:pPr>
                        <w:r>
                          <w:rPr>
                            <w:color w:val="105B83"/>
                            <w:spacing w:val="-2"/>
                            <w:sz w:val="16"/>
                          </w:rPr>
                          <w:t>Steuben </w:t>
                        </w:r>
                        <w:r>
                          <w:rPr>
                            <w:color w:val="105B83"/>
                            <w:spacing w:val="-4"/>
                            <w:sz w:val="16"/>
                          </w:rPr>
                          <w:t>86%</w:t>
                        </w:r>
                      </w:p>
                    </w:txbxContent>
                  </v:textbox>
                  <w10:wrap type="none"/>
                </v:shape>
                <v:shape style="position:absolute;left:7619;top:408;width:723;height:399" type="#_x0000_t202" id="docshape212" filled="false" stroked="false">
                  <v:textbox inset="0,0,0,0">
                    <w:txbxContent>
                      <w:p>
                        <w:pPr>
                          <w:spacing w:line="235" w:lineRule="auto" w:before="13"/>
                          <w:ind w:left="202" w:right="18" w:hanging="203"/>
                          <w:jc w:val="left"/>
                          <w:rPr>
                            <w:sz w:val="16"/>
                          </w:rPr>
                        </w:pPr>
                        <w:r>
                          <w:rPr>
                            <w:color w:val="105B83"/>
                            <w:spacing w:val="-2"/>
                            <w:sz w:val="16"/>
                          </w:rPr>
                          <w:t>Chemung </w:t>
                        </w:r>
                        <w:r>
                          <w:rPr>
                            <w:color w:val="105B83"/>
                            <w:spacing w:val="-4"/>
                            <w:sz w:val="16"/>
                          </w:rPr>
                          <w:t>87%</w:t>
                        </w:r>
                      </w:p>
                    </w:txbxContent>
                  </v:textbox>
                  <w10:wrap type="none"/>
                </v:shape>
                <v:shape style="position:absolute;left:2022;top:1194;width:536;height:399" type="#_x0000_t202" id="docshape213" filled="false" stroked="false">
                  <v:textbox inset="0,0,0,0">
                    <w:txbxContent>
                      <w:p>
                        <w:pPr>
                          <w:spacing w:line="235" w:lineRule="auto" w:before="13"/>
                          <w:ind w:left="109" w:right="18" w:hanging="110"/>
                          <w:jc w:val="left"/>
                          <w:rPr>
                            <w:sz w:val="16"/>
                          </w:rPr>
                        </w:pPr>
                        <w:r>
                          <w:rPr>
                            <w:color w:val="105B83"/>
                            <w:spacing w:val="-6"/>
                            <w:sz w:val="16"/>
                          </w:rPr>
                          <w:t>Seneca</w:t>
                        </w:r>
                        <w:r>
                          <w:rPr>
                            <w:color w:val="105B83"/>
                            <w:spacing w:val="-4"/>
                            <w:sz w:val="16"/>
                          </w:rPr>
                          <w:t> 72%</w:t>
                        </w:r>
                      </w:p>
                    </w:txbxContent>
                  </v:textbox>
                  <w10:wrap type="none"/>
                </v:shape>
                <v:shape style="position:absolute;left:2861;top:870;width:507;height:399" type="#_x0000_t202" id="docshape214" filled="false" stroked="false">
                  <v:textbox inset="0,0,0,0">
                    <w:txbxContent>
                      <w:p>
                        <w:pPr>
                          <w:spacing w:line="235" w:lineRule="auto" w:before="13"/>
                          <w:ind w:left="94" w:right="18" w:hanging="95"/>
                          <w:jc w:val="left"/>
                          <w:rPr>
                            <w:sz w:val="16"/>
                          </w:rPr>
                        </w:pPr>
                        <w:r>
                          <w:rPr>
                            <w:color w:val="105B83"/>
                            <w:spacing w:val="-4"/>
                            <w:sz w:val="16"/>
                          </w:rPr>
                          <w:t>Wayne 78%</w:t>
                        </w:r>
                      </w:p>
                    </w:txbxContent>
                  </v:textbox>
                  <w10:wrap type="none"/>
                </v:shape>
                <v:shape style="position:absolute;left:2097;top:2518;width:3816;height:219" type="#_x0000_t202" id="docshape215" filled="false" stroked="false">
                  <v:textbox inset="0,0,0,0">
                    <w:txbxContent>
                      <w:p>
                        <w:pPr>
                          <w:spacing w:before="10"/>
                          <w:ind w:left="0" w:right="0" w:firstLine="0"/>
                          <w:jc w:val="left"/>
                          <w:rPr>
                            <w:sz w:val="16"/>
                          </w:rPr>
                        </w:pPr>
                        <w:r>
                          <w:rPr>
                            <w:color w:val="105B83"/>
                            <w:spacing w:val="-2"/>
                            <w:sz w:val="16"/>
                          </w:rPr>
                          <w:t>Source: December 2018 High</w:t>
                        </w:r>
                        <w:r>
                          <w:rPr>
                            <w:color w:val="105B83"/>
                            <w:spacing w:val="-1"/>
                            <w:sz w:val="16"/>
                          </w:rPr>
                          <w:t> </w:t>
                        </w:r>
                        <w:r>
                          <w:rPr>
                            <w:color w:val="105B83"/>
                            <w:spacing w:val="-2"/>
                            <w:sz w:val="16"/>
                          </w:rPr>
                          <w:t>Blood Pressure Registry</w:t>
                        </w:r>
                      </w:p>
                    </w:txbxContent>
                  </v:textbox>
                  <w10:wrap type="none"/>
                </v:shape>
                <w10:wrap type="none"/>
              </v:group>
            </w:pict>
          </mc:Fallback>
        </mc:AlternateContent>
      </w:r>
      <w:r>
        <w:rPr>
          <w:color w:val="636466"/>
          <w:spacing w:val="-5"/>
          <w:sz w:val="18"/>
        </w:rPr>
        <w:t>90%</w:t>
      </w:r>
    </w:p>
    <w:p>
      <w:pPr>
        <w:pStyle w:val="BodyText"/>
        <w:spacing w:before="126"/>
        <w:rPr>
          <w:sz w:val="18"/>
        </w:rPr>
      </w:pPr>
    </w:p>
    <w:p>
      <w:pPr>
        <w:spacing w:before="0"/>
        <w:ind w:left="1513" w:right="0" w:firstLine="0"/>
        <w:jc w:val="left"/>
        <w:rPr>
          <w:sz w:val="18"/>
        </w:rPr>
      </w:pPr>
      <w:r>
        <w:rPr>
          <w:sz w:val="18"/>
        </w:rPr>
        <mc:AlternateContent>
          <mc:Choice Requires="wps">
            <w:drawing>
              <wp:anchor distT="0" distB="0" distL="0" distR="0" allowOverlap="1" layoutInCell="1" locked="0" behindDoc="0" simplePos="0" relativeHeight="15754752">
                <wp:simplePos x="0" y="0"/>
                <wp:positionH relativeFrom="page">
                  <wp:posOffset>693816</wp:posOffset>
                </wp:positionH>
                <wp:positionV relativeFrom="paragraph">
                  <wp:posOffset>58798</wp:posOffset>
                </wp:positionV>
                <wp:extent cx="164465" cy="1000760"/>
                <wp:effectExtent l="0" t="0" r="0" b="0"/>
                <wp:wrapNone/>
                <wp:docPr id="254" name="Textbox 254"/>
                <wp:cNvGraphicFramePr>
                  <a:graphicFrameLocks/>
                </wp:cNvGraphicFramePr>
                <a:graphic>
                  <a:graphicData uri="http://schemas.microsoft.com/office/word/2010/wordprocessingShape">
                    <wps:wsp>
                      <wps:cNvPr id="254" name="Textbox 254"/>
                      <wps:cNvSpPr txBox="1"/>
                      <wps:spPr>
                        <a:xfrm>
                          <a:off x="0" y="0"/>
                          <a:ext cx="164465" cy="1000760"/>
                        </a:xfrm>
                        <a:prstGeom prst="rect">
                          <a:avLst/>
                        </a:prstGeom>
                      </wps:spPr>
                      <wps:txbx>
                        <w:txbxContent>
                          <w:p>
                            <w:pPr>
                              <w:spacing w:before="30"/>
                              <w:ind w:left="20" w:right="0" w:firstLine="0"/>
                              <w:jc w:val="left"/>
                              <w:rPr>
                                <w:sz w:val="16"/>
                              </w:rPr>
                            </w:pPr>
                            <w:r>
                              <w:rPr>
                                <w:color w:val="105B83"/>
                                <w:sz w:val="16"/>
                              </w:rPr>
                              <w:t>Average</w:t>
                            </w:r>
                            <w:r>
                              <w:rPr>
                                <w:color w:val="105B83"/>
                                <w:spacing w:val="4"/>
                                <w:sz w:val="16"/>
                              </w:rPr>
                              <w:t> </w:t>
                            </w:r>
                            <w:r>
                              <w:rPr>
                                <w:color w:val="105B83"/>
                                <w:sz w:val="16"/>
                              </w:rPr>
                              <w:t>Control</w:t>
                            </w:r>
                            <w:r>
                              <w:rPr>
                                <w:color w:val="105B83"/>
                                <w:spacing w:val="4"/>
                                <w:sz w:val="16"/>
                              </w:rPr>
                              <w:t> </w:t>
                            </w:r>
                            <w:r>
                              <w:rPr>
                                <w:color w:val="105B83"/>
                                <w:spacing w:val="-4"/>
                                <w:sz w:val="16"/>
                              </w:rPr>
                              <w:t>Rate</w:t>
                            </w:r>
                          </w:p>
                        </w:txbxContent>
                      </wps:txbx>
                      <wps:bodyPr wrap="square" lIns="0" tIns="0" rIns="0" bIns="0" rtlCol="0" vert="vert270">
                        <a:noAutofit/>
                      </wps:bodyPr>
                    </wps:wsp>
                  </a:graphicData>
                </a:graphic>
              </wp:anchor>
            </w:drawing>
          </mc:Choice>
          <mc:Fallback>
            <w:pict>
              <v:shape style="position:absolute;margin-left:54.631199pt;margin-top:4.62981pt;width:12.95pt;height:78.8pt;mso-position-horizontal-relative:page;mso-position-vertical-relative:paragraph;z-index:15754752" type="#_x0000_t202" id="docshape216" filled="false" stroked="false">
                <v:textbox inset="0,0,0,0" style="layout-flow:vertical;mso-layout-flow-alt:bottom-to-top">
                  <w:txbxContent>
                    <w:p>
                      <w:pPr>
                        <w:spacing w:before="30"/>
                        <w:ind w:left="20" w:right="0" w:firstLine="0"/>
                        <w:jc w:val="left"/>
                        <w:rPr>
                          <w:sz w:val="16"/>
                        </w:rPr>
                      </w:pPr>
                      <w:r>
                        <w:rPr>
                          <w:color w:val="105B83"/>
                          <w:sz w:val="16"/>
                        </w:rPr>
                        <w:t>Average</w:t>
                      </w:r>
                      <w:r>
                        <w:rPr>
                          <w:color w:val="105B83"/>
                          <w:spacing w:val="4"/>
                          <w:sz w:val="16"/>
                        </w:rPr>
                        <w:t> </w:t>
                      </w:r>
                      <w:r>
                        <w:rPr>
                          <w:color w:val="105B83"/>
                          <w:sz w:val="16"/>
                        </w:rPr>
                        <w:t>Control</w:t>
                      </w:r>
                      <w:r>
                        <w:rPr>
                          <w:color w:val="105B83"/>
                          <w:spacing w:val="4"/>
                          <w:sz w:val="16"/>
                        </w:rPr>
                        <w:t> </w:t>
                      </w:r>
                      <w:r>
                        <w:rPr>
                          <w:color w:val="105B83"/>
                          <w:spacing w:val="-4"/>
                          <w:sz w:val="16"/>
                        </w:rPr>
                        <w:t>Rate</w:t>
                      </w:r>
                    </w:p>
                  </w:txbxContent>
                </v:textbox>
                <w10:wrap type="none"/>
              </v:shape>
            </w:pict>
          </mc:Fallback>
        </mc:AlternateContent>
      </w:r>
      <w:r>
        <w:rPr>
          <w:color w:val="636466"/>
          <w:spacing w:val="-5"/>
          <w:sz w:val="18"/>
        </w:rPr>
        <w:t>80%</w:t>
      </w:r>
    </w:p>
    <w:p>
      <w:pPr>
        <w:pStyle w:val="BodyText"/>
        <w:spacing w:before="126"/>
        <w:rPr>
          <w:sz w:val="18"/>
        </w:rPr>
      </w:pPr>
    </w:p>
    <w:p>
      <w:pPr>
        <w:spacing w:before="0"/>
        <w:ind w:left="1513" w:right="0" w:firstLine="0"/>
        <w:jc w:val="left"/>
        <w:rPr>
          <w:sz w:val="18"/>
        </w:rPr>
      </w:pPr>
      <w:r>
        <w:rPr>
          <w:color w:val="636466"/>
          <w:spacing w:val="-5"/>
          <w:sz w:val="18"/>
        </w:rPr>
        <w:t>70%</w:t>
      </w:r>
    </w:p>
    <w:p>
      <w:pPr>
        <w:pStyle w:val="BodyText"/>
        <w:spacing w:before="140"/>
        <w:rPr>
          <w:sz w:val="18"/>
        </w:rPr>
      </w:pPr>
    </w:p>
    <w:p>
      <w:pPr>
        <w:spacing w:before="0"/>
        <w:ind w:left="1513" w:right="0" w:firstLine="0"/>
        <w:jc w:val="left"/>
        <w:rPr>
          <w:sz w:val="18"/>
        </w:rPr>
      </w:pPr>
      <w:r>
        <w:rPr>
          <w:color w:val="636466"/>
          <w:spacing w:val="-5"/>
          <w:sz w:val="18"/>
        </w:rPr>
        <w:t>60%</w:t>
      </w:r>
    </w:p>
    <w:p>
      <w:pPr>
        <w:pStyle w:val="BodyText"/>
        <w:spacing w:before="126"/>
        <w:rPr>
          <w:sz w:val="18"/>
        </w:rPr>
      </w:pPr>
    </w:p>
    <w:p>
      <w:pPr>
        <w:spacing w:before="0"/>
        <w:ind w:left="1513" w:right="0" w:firstLine="0"/>
        <w:jc w:val="left"/>
        <w:rPr>
          <w:sz w:val="18"/>
        </w:rPr>
      </w:pPr>
      <w:r>
        <w:rPr>
          <w:color w:val="636466"/>
          <w:spacing w:val="-5"/>
          <w:sz w:val="18"/>
        </w:rPr>
        <w:t>50%</w:t>
      </w:r>
    </w:p>
    <w:p>
      <w:pPr>
        <w:pStyle w:val="BodyText"/>
        <w:spacing w:before="126"/>
        <w:rPr>
          <w:sz w:val="18"/>
        </w:rPr>
      </w:pPr>
    </w:p>
    <w:p>
      <w:pPr>
        <w:spacing w:before="1"/>
        <w:ind w:left="1513" w:right="0" w:firstLine="0"/>
        <w:jc w:val="left"/>
        <w:rPr>
          <w:sz w:val="18"/>
        </w:rPr>
      </w:pPr>
      <w:r>
        <w:rPr>
          <w:color w:val="636466"/>
          <w:spacing w:val="-5"/>
          <w:sz w:val="18"/>
        </w:rPr>
        <w:t>40%</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25"/>
        <w:rPr>
          <w:sz w:val="14"/>
        </w:rPr>
      </w:pPr>
    </w:p>
    <w:p>
      <w:pPr>
        <w:pStyle w:val="ListParagraph"/>
        <w:numPr>
          <w:ilvl w:val="1"/>
          <w:numId w:val="1"/>
        </w:numPr>
        <w:tabs>
          <w:tab w:pos="5041" w:val="left" w:leader="none"/>
        </w:tabs>
        <w:spacing w:line="240" w:lineRule="auto" w:before="0" w:after="0"/>
        <w:ind w:left="4896" w:right="12534" w:firstLine="0"/>
        <w:jc w:val="left"/>
        <w:rPr>
          <w:sz w:val="14"/>
        </w:rPr>
      </w:pPr>
      <w:r>
        <w:rPr>
          <w:sz w:val="14"/>
        </w:rPr>
        <mc:AlternateContent>
          <mc:Choice Requires="wps">
            <w:drawing>
              <wp:anchor distT="0" distB="0" distL="0" distR="0" allowOverlap="1" layoutInCell="1" locked="0" behindDoc="1" simplePos="0" relativeHeight="474976768">
                <wp:simplePos x="0" y="0"/>
                <wp:positionH relativeFrom="page">
                  <wp:posOffset>14698495</wp:posOffset>
                </wp:positionH>
                <wp:positionV relativeFrom="paragraph">
                  <wp:posOffset>19316</wp:posOffset>
                </wp:positionV>
                <wp:extent cx="195580" cy="226060"/>
                <wp:effectExtent l="0" t="0" r="0" b="0"/>
                <wp:wrapNone/>
                <wp:docPr id="255" name="Textbox 255"/>
                <wp:cNvGraphicFramePr>
                  <a:graphicFrameLocks/>
                </wp:cNvGraphicFramePr>
                <a:graphic>
                  <a:graphicData uri="http://schemas.microsoft.com/office/word/2010/wordprocessingShape">
                    <wps:wsp>
                      <wps:cNvPr id="255" name="Textbox 255"/>
                      <wps:cNvSpPr txBox="1"/>
                      <wps:spPr>
                        <a:xfrm>
                          <a:off x="0" y="0"/>
                          <a:ext cx="195580" cy="226060"/>
                        </a:xfrm>
                        <a:prstGeom prst="rect">
                          <a:avLst/>
                        </a:prstGeom>
                      </wps:spPr>
                      <wps:txbx>
                        <w:txbxContent>
                          <w:p>
                            <w:pPr>
                              <w:spacing w:before="16"/>
                              <w:ind w:left="0" w:right="0" w:firstLine="0"/>
                              <w:jc w:val="left"/>
                              <w:rPr>
                                <w:b/>
                                <w:sz w:val="26"/>
                              </w:rPr>
                            </w:pPr>
                            <w:r>
                              <w:rPr>
                                <w:b/>
                                <w:color w:val="939598"/>
                                <w:spacing w:val="-5"/>
                                <w:w w:val="105"/>
                                <w:sz w:val="26"/>
                              </w:rPr>
                              <w:t>20</w:t>
                            </w:r>
                          </w:p>
                        </w:txbxContent>
                      </wps:txbx>
                      <wps:bodyPr wrap="square" lIns="0" tIns="0" rIns="0" bIns="0" rtlCol="0">
                        <a:noAutofit/>
                      </wps:bodyPr>
                    </wps:wsp>
                  </a:graphicData>
                </a:graphic>
              </wp:anchor>
            </w:drawing>
          </mc:Choice>
          <mc:Fallback>
            <w:pict>
              <v:shape style="position:absolute;margin-left:1157.361816pt;margin-top:1.520977pt;width:15.4pt;height:17.8pt;mso-position-horizontal-relative:page;mso-position-vertical-relative:paragraph;z-index:-28339712" type="#_x0000_t202" id="docshape217" filled="false" stroked="false">
                <v:textbox inset="0,0,0,0">
                  <w:txbxContent>
                    <w:p>
                      <w:pPr>
                        <w:spacing w:before="16"/>
                        <w:ind w:left="0" w:right="0" w:firstLine="0"/>
                        <w:jc w:val="left"/>
                        <w:rPr>
                          <w:b/>
                          <w:sz w:val="26"/>
                        </w:rPr>
                      </w:pPr>
                      <w:r>
                        <w:rPr>
                          <w:b/>
                          <w:color w:val="939598"/>
                          <w:spacing w:val="-5"/>
                          <w:w w:val="105"/>
                          <w:sz w:val="26"/>
                        </w:rPr>
                        <w:t>20</w:t>
                      </w:r>
                    </w:p>
                  </w:txbxContent>
                </v:textbox>
                <w10:wrap type="none"/>
              </v:shape>
            </w:pict>
          </mc:Fallback>
        </mc:AlternateContent>
      </w:r>
      <w:r>
        <w:rPr>
          <w:sz w:val="14"/>
        </w:rPr>
        <w:drawing>
          <wp:anchor distT="0" distB="0" distL="0" distR="0" allowOverlap="1" layoutInCell="1" locked="0" behindDoc="0" simplePos="0" relativeHeight="15751168">
            <wp:simplePos x="0" y="0"/>
            <wp:positionH relativeFrom="page">
              <wp:posOffset>0</wp:posOffset>
            </wp:positionH>
            <wp:positionV relativeFrom="paragraph">
              <wp:posOffset>31355</wp:posOffset>
            </wp:positionV>
            <wp:extent cx="568172" cy="184683"/>
            <wp:effectExtent l="0" t="0" r="0" b="0"/>
            <wp:wrapNone/>
            <wp:docPr id="256" name="Image 256"/>
            <wp:cNvGraphicFramePr>
              <a:graphicFrameLocks/>
            </wp:cNvGraphicFramePr>
            <a:graphic>
              <a:graphicData uri="http://schemas.openxmlformats.org/drawingml/2006/picture">
                <pic:pic>
                  <pic:nvPicPr>
                    <pic:cNvPr id="256" name="Image 256"/>
                    <pic:cNvPicPr/>
                  </pic:nvPicPr>
                  <pic:blipFill>
                    <a:blip r:embed="rId39" cstate="print"/>
                    <a:stretch>
                      <a:fillRect/>
                    </a:stretch>
                  </pic:blipFill>
                  <pic:spPr>
                    <a:xfrm>
                      <a:off x="0" y="0"/>
                      <a:ext cx="568172" cy="184683"/>
                    </a:xfrm>
                    <a:prstGeom prst="rect">
                      <a:avLst/>
                    </a:prstGeom>
                  </pic:spPr>
                </pic:pic>
              </a:graphicData>
            </a:graphic>
          </wp:anchor>
        </w:drawing>
      </w:r>
      <w:r>
        <w:rPr>
          <w:sz w:val="14"/>
        </w:rPr>
        <mc:AlternateContent>
          <mc:Choice Requires="wps">
            <w:drawing>
              <wp:anchor distT="0" distB="0" distL="0" distR="0" allowOverlap="1" layoutInCell="1" locked="0" behindDoc="0" simplePos="0" relativeHeight="15755776">
                <wp:simplePos x="0" y="0"/>
                <wp:positionH relativeFrom="page">
                  <wp:posOffset>672186</wp:posOffset>
                </wp:positionH>
                <wp:positionV relativeFrom="paragraph">
                  <wp:posOffset>19316</wp:posOffset>
                </wp:positionV>
                <wp:extent cx="195580" cy="226060"/>
                <wp:effectExtent l="0" t="0" r="0" b="0"/>
                <wp:wrapNone/>
                <wp:docPr id="257" name="Textbox 257"/>
                <wp:cNvGraphicFramePr>
                  <a:graphicFrameLocks/>
                </wp:cNvGraphicFramePr>
                <a:graphic>
                  <a:graphicData uri="http://schemas.microsoft.com/office/word/2010/wordprocessingShape">
                    <wps:wsp>
                      <wps:cNvPr id="257" name="Textbox 257"/>
                      <wps:cNvSpPr txBox="1"/>
                      <wps:spPr>
                        <a:xfrm>
                          <a:off x="0" y="0"/>
                          <a:ext cx="195580" cy="226060"/>
                        </a:xfrm>
                        <a:prstGeom prst="rect">
                          <a:avLst/>
                        </a:prstGeom>
                      </wps:spPr>
                      <wps:txbx>
                        <w:txbxContent>
                          <w:p>
                            <w:pPr>
                              <w:spacing w:before="16"/>
                              <w:ind w:left="0" w:right="0" w:firstLine="0"/>
                              <w:jc w:val="left"/>
                              <w:rPr>
                                <w:b/>
                                <w:sz w:val="26"/>
                              </w:rPr>
                            </w:pPr>
                            <w:r>
                              <w:rPr>
                                <w:b/>
                                <w:color w:val="939598"/>
                                <w:spacing w:val="-5"/>
                                <w:w w:val="105"/>
                                <w:sz w:val="26"/>
                              </w:rPr>
                              <w:t>19</w:t>
                            </w:r>
                          </w:p>
                        </w:txbxContent>
                      </wps:txbx>
                      <wps:bodyPr wrap="square" lIns="0" tIns="0" rIns="0" bIns="0" rtlCol="0">
                        <a:noAutofit/>
                      </wps:bodyPr>
                    </wps:wsp>
                  </a:graphicData>
                </a:graphic>
              </wp:anchor>
            </w:drawing>
          </mc:Choice>
          <mc:Fallback>
            <w:pict>
              <v:shape style="position:absolute;margin-left:52.928101pt;margin-top:1.520977pt;width:15.4pt;height:17.8pt;mso-position-horizontal-relative:page;mso-position-vertical-relative:paragraph;z-index:15755776" type="#_x0000_t202" id="docshape218" filled="false" stroked="false">
                <v:textbox inset="0,0,0,0">
                  <w:txbxContent>
                    <w:p>
                      <w:pPr>
                        <w:spacing w:before="16"/>
                        <w:ind w:left="0" w:right="0" w:firstLine="0"/>
                        <w:jc w:val="left"/>
                        <w:rPr>
                          <w:b/>
                          <w:sz w:val="26"/>
                        </w:rPr>
                      </w:pPr>
                      <w:r>
                        <w:rPr>
                          <w:b/>
                          <w:color w:val="939598"/>
                          <w:spacing w:val="-5"/>
                          <w:w w:val="105"/>
                          <w:sz w:val="26"/>
                        </w:rPr>
                        <w:t>19</w:t>
                      </w:r>
                    </w:p>
                  </w:txbxContent>
                </v:textbox>
                <w10:wrap type="none"/>
              </v:shape>
            </w:pict>
          </mc:Fallback>
        </mc:AlternateContent>
      </w:r>
      <w:r>
        <w:rPr>
          <w:color w:val="636466"/>
          <w:sz w:val="14"/>
        </w:rPr>
        <w:t>The</w:t>
      </w:r>
      <w:r>
        <w:rPr>
          <w:color w:val="636466"/>
          <w:spacing w:val="-5"/>
          <w:sz w:val="14"/>
        </w:rPr>
        <w:t> </w:t>
      </w:r>
      <w:r>
        <w:rPr>
          <w:color w:val="636466"/>
          <w:sz w:val="14"/>
        </w:rPr>
        <w:t>High</w:t>
      </w:r>
      <w:r>
        <w:rPr>
          <w:color w:val="636466"/>
          <w:spacing w:val="-5"/>
          <w:sz w:val="14"/>
        </w:rPr>
        <w:t> </w:t>
      </w:r>
      <w:r>
        <w:rPr>
          <w:color w:val="636466"/>
          <w:sz w:val="14"/>
        </w:rPr>
        <w:t>Blood</w:t>
      </w:r>
      <w:r>
        <w:rPr>
          <w:color w:val="636466"/>
          <w:spacing w:val="-5"/>
          <w:sz w:val="14"/>
        </w:rPr>
        <w:t> </w:t>
      </w:r>
      <w:r>
        <w:rPr>
          <w:color w:val="636466"/>
          <w:sz w:val="14"/>
        </w:rPr>
        <w:t>Pressure</w:t>
      </w:r>
      <w:r>
        <w:rPr>
          <w:color w:val="636466"/>
          <w:spacing w:val="-5"/>
          <w:sz w:val="14"/>
        </w:rPr>
        <w:t> </w:t>
      </w:r>
      <w:r>
        <w:rPr>
          <w:color w:val="636466"/>
          <w:sz w:val="14"/>
        </w:rPr>
        <w:t>Registry</w:t>
      </w:r>
      <w:r>
        <w:rPr>
          <w:color w:val="636466"/>
          <w:spacing w:val="-5"/>
          <w:sz w:val="14"/>
        </w:rPr>
        <w:t> </w:t>
      </w:r>
      <w:r>
        <w:rPr>
          <w:color w:val="636466"/>
          <w:sz w:val="14"/>
        </w:rPr>
        <w:t>is</w:t>
      </w:r>
      <w:r>
        <w:rPr>
          <w:color w:val="636466"/>
          <w:spacing w:val="-5"/>
          <w:sz w:val="14"/>
        </w:rPr>
        <w:t> </w:t>
      </w:r>
      <w:r>
        <w:rPr>
          <w:color w:val="636466"/>
          <w:sz w:val="14"/>
        </w:rPr>
        <w:t>a</w:t>
      </w:r>
      <w:r>
        <w:rPr>
          <w:color w:val="636466"/>
          <w:spacing w:val="-5"/>
          <w:sz w:val="14"/>
        </w:rPr>
        <w:t> </w:t>
      </w:r>
      <w:r>
        <w:rPr>
          <w:color w:val="636466"/>
          <w:sz w:val="14"/>
        </w:rPr>
        <w:t>biannual</w:t>
      </w:r>
      <w:r>
        <w:rPr>
          <w:color w:val="636466"/>
          <w:spacing w:val="-5"/>
          <w:sz w:val="14"/>
        </w:rPr>
        <w:t> </w:t>
      </w:r>
      <w:r>
        <w:rPr>
          <w:color w:val="636466"/>
          <w:sz w:val="14"/>
        </w:rPr>
        <w:t>effort</w:t>
      </w:r>
      <w:r>
        <w:rPr>
          <w:color w:val="636466"/>
          <w:spacing w:val="-5"/>
          <w:sz w:val="14"/>
        </w:rPr>
        <w:t> </w:t>
      </w:r>
      <w:r>
        <w:rPr>
          <w:color w:val="636466"/>
          <w:sz w:val="14"/>
        </w:rPr>
        <w:t>led</w:t>
      </w:r>
      <w:r>
        <w:rPr>
          <w:color w:val="636466"/>
          <w:spacing w:val="-5"/>
          <w:sz w:val="14"/>
        </w:rPr>
        <w:t> </w:t>
      </w:r>
      <w:r>
        <w:rPr>
          <w:color w:val="636466"/>
          <w:sz w:val="14"/>
        </w:rPr>
        <w:t>by</w:t>
      </w:r>
      <w:r>
        <w:rPr>
          <w:color w:val="636466"/>
          <w:spacing w:val="-5"/>
          <w:sz w:val="14"/>
        </w:rPr>
        <w:t> </w:t>
      </w:r>
      <w:r>
        <w:rPr>
          <w:color w:val="636466"/>
          <w:sz w:val="14"/>
        </w:rPr>
        <w:t>Common</w:t>
      </w:r>
      <w:r>
        <w:rPr>
          <w:color w:val="636466"/>
          <w:spacing w:val="-5"/>
          <w:sz w:val="14"/>
        </w:rPr>
        <w:t> </w:t>
      </w:r>
      <w:r>
        <w:rPr>
          <w:color w:val="636466"/>
          <w:sz w:val="14"/>
        </w:rPr>
        <w:t>Ground</w:t>
      </w:r>
      <w:r>
        <w:rPr>
          <w:color w:val="636466"/>
          <w:spacing w:val="-5"/>
          <w:sz w:val="14"/>
        </w:rPr>
        <w:t> </w:t>
      </w:r>
      <w:r>
        <w:rPr>
          <w:color w:val="636466"/>
          <w:sz w:val="14"/>
        </w:rPr>
        <w:t>Health,</w:t>
      </w:r>
      <w:r>
        <w:rPr>
          <w:color w:val="636466"/>
          <w:spacing w:val="-5"/>
          <w:sz w:val="14"/>
        </w:rPr>
        <w:t> </w:t>
      </w:r>
      <w:r>
        <w:rPr>
          <w:color w:val="636466"/>
          <w:sz w:val="14"/>
        </w:rPr>
        <w:t>which</w:t>
      </w:r>
      <w:r>
        <w:rPr>
          <w:color w:val="636466"/>
          <w:spacing w:val="-5"/>
          <w:sz w:val="14"/>
        </w:rPr>
        <w:t> </w:t>
      </w:r>
      <w:r>
        <w:rPr>
          <w:color w:val="636466"/>
          <w:sz w:val="14"/>
        </w:rPr>
        <w:t>collects</w:t>
      </w:r>
      <w:r>
        <w:rPr>
          <w:color w:val="636466"/>
          <w:spacing w:val="40"/>
          <w:sz w:val="14"/>
        </w:rPr>
        <w:t> </w:t>
      </w:r>
      <w:r>
        <w:rPr>
          <w:color w:val="636466"/>
          <w:sz w:val="14"/>
        </w:rPr>
        <w:t>data on hypertensive patients from healthcare providers in the nine county Finger Lakes region.</w:t>
      </w:r>
    </w:p>
    <w:p>
      <w:pPr>
        <w:pStyle w:val="ListParagraph"/>
        <w:spacing w:after="0" w:line="240" w:lineRule="auto"/>
        <w:jc w:val="left"/>
        <w:rPr>
          <w:sz w:val="14"/>
        </w:rPr>
        <w:sectPr>
          <w:type w:val="continuous"/>
          <w:pgSz w:w="24480" w:h="15840" w:orient="landscape"/>
          <w:pgMar w:header="0" w:footer="0" w:top="0" w:bottom="280" w:left="0" w:right="720"/>
        </w:sectPr>
      </w:pPr>
    </w:p>
    <w:p>
      <w:pPr>
        <w:pStyle w:val="BodyText"/>
        <w:rPr>
          <w:sz w:val="20"/>
        </w:rPr>
      </w:pPr>
    </w:p>
    <w:p>
      <w:pPr>
        <w:pStyle w:val="BodyText"/>
        <w:spacing w:before="16"/>
        <w:rPr>
          <w:sz w:val="20"/>
        </w:rPr>
      </w:pPr>
    </w:p>
    <w:p>
      <w:pPr>
        <w:pStyle w:val="BodyText"/>
        <w:spacing w:after="0"/>
        <w:rPr>
          <w:sz w:val="20"/>
        </w:rPr>
        <w:sectPr>
          <w:pgSz w:w="24480" w:h="15840" w:orient="landscape"/>
          <w:pgMar w:header="0" w:footer="0" w:top="860" w:bottom="0" w:left="0" w:right="720"/>
        </w:sectPr>
      </w:pPr>
    </w:p>
    <w:p>
      <w:pPr>
        <w:pStyle w:val="BodyText"/>
        <w:spacing w:line="247" w:lineRule="auto" w:before="113"/>
        <w:ind w:left="1108" w:right="412"/>
      </w:pPr>
      <w:r>
        <w:rPr>
          <w:color w:val="105C84"/>
        </w:rPr>
        <w:t>Those</w:t>
      </w:r>
      <w:r>
        <w:rPr>
          <w:color w:val="105C84"/>
          <w:spacing w:val="25"/>
        </w:rPr>
        <w:t> </w:t>
      </w:r>
      <w:r>
        <w:rPr>
          <w:color w:val="105C84"/>
        </w:rPr>
        <w:t>diagnosed</w:t>
      </w:r>
      <w:r>
        <w:rPr>
          <w:color w:val="105C84"/>
          <w:spacing w:val="25"/>
        </w:rPr>
        <w:t> </w:t>
      </w:r>
      <w:r>
        <w:rPr>
          <w:color w:val="105C84"/>
        </w:rPr>
        <w:t>with</w:t>
      </w:r>
      <w:r>
        <w:rPr>
          <w:color w:val="105C84"/>
          <w:spacing w:val="25"/>
        </w:rPr>
        <w:t> </w:t>
      </w:r>
      <w:r>
        <w:rPr>
          <w:color w:val="105C84"/>
        </w:rPr>
        <w:t>hypertension</w:t>
      </w:r>
      <w:r>
        <w:rPr>
          <w:color w:val="105C84"/>
          <w:spacing w:val="25"/>
        </w:rPr>
        <w:t> </w:t>
      </w:r>
      <w:r>
        <w:rPr>
          <w:color w:val="105C84"/>
        </w:rPr>
        <w:t>and/or</w:t>
      </w:r>
      <w:r>
        <w:rPr>
          <w:color w:val="105C84"/>
          <w:spacing w:val="25"/>
        </w:rPr>
        <w:t> </w:t>
      </w:r>
      <w:r>
        <w:rPr>
          <w:color w:val="105C84"/>
        </w:rPr>
        <w:t>obesity</w:t>
      </w:r>
      <w:r>
        <w:rPr>
          <w:color w:val="105C84"/>
          <w:spacing w:val="25"/>
        </w:rPr>
        <w:t> </w:t>
      </w:r>
      <w:r>
        <w:rPr>
          <w:color w:val="105C84"/>
        </w:rPr>
        <w:t>are</w:t>
      </w:r>
      <w:r>
        <w:rPr>
          <w:color w:val="105C84"/>
          <w:spacing w:val="25"/>
        </w:rPr>
        <w:t> </w:t>
      </w:r>
      <w:r>
        <w:rPr>
          <w:color w:val="105C84"/>
        </w:rPr>
        <w:t>at</w:t>
      </w:r>
      <w:r>
        <w:rPr>
          <w:color w:val="105C84"/>
          <w:spacing w:val="25"/>
        </w:rPr>
        <w:t> </w:t>
      </w:r>
      <w:r>
        <w:rPr>
          <w:color w:val="105C84"/>
        </w:rPr>
        <w:t>greater</w:t>
      </w:r>
      <w:r>
        <w:rPr>
          <w:color w:val="105C84"/>
          <w:spacing w:val="25"/>
        </w:rPr>
        <w:t> </w:t>
      </w:r>
      <w:r>
        <w:rPr>
          <w:color w:val="105C84"/>
        </w:rPr>
        <w:t>risk</w:t>
      </w:r>
      <w:r>
        <w:rPr>
          <w:color w:val="105C84"/>
          <w:spacing w:val="25"/>
        </w:rPr>
        <w:t> </w:t>
      </w:r>
      <w:r>
        <w:rPr>
          <w:color w:val="105C84"/>
        </w:rPr>
        <w:t>for</w:t>
      </w:r>
      <w:r>
        <w:rPr>
          <w:color w:val="105C84"/>
          <w:spacing w:val="25"/>
        </w:rPr>
        <w:t> </w:t>
      </w:r>
      <w:r>
        <w:rPr>
          <w:color w:val="105C84"/>
        </w:rPr>
        <w:t>other</w:t>
      </w:r>
      <w:r>
        <w:rPr>
          <w:color w:val="105C84"/>
          <w:spacing w:val="25"/>
        </w:rPr>
        <w:t> </w:t>
      </w:r>
      <w:r>
        <w:rPr>
          <w:color w:val="105C84"/>
        </w:rPr>
        <w:t>diseases</w:t>
      </w:r>
      <w:r>
        <w:rPr>
          <w:color w:val="105C84"/>
          <w:spacing w:val="25"/>
        </w:rPr>
        <w:t> </w:t>
      </w:r>
      <w:r>
        <w:rPr>
          <w:color w:val="105C84"/>
        </w:rPr>
        <w:t>such as chronic kidney and cardiovascular (heart) disease. In fact, heart disease is one of the top two</w:t>
      </w:r>
    </w:p>
    <w:p>
      <w:pPr>
        <w:pStyle w:val="BodyText"/>
        <w:spacing w:line="247" w:lineRule="auto"/>
        <w:ind w:left="1108" w:right="57"/>
      </w:pPr>
      <w:r>
        <w:rPr>
          <w:color w:val="105C84"/>
        </w:rPr>
        <w:t>leading causes of death in the eight county region (additional data can be found later in report).</w:t>
      </w:r>
      <w:r>
        <w:rPr>
          <w:color w:val="105C84"/>
          <w:spacing w:val="80"/>
        </w:rPr>
        <w:t> </w:t>
      </w:r>
      <w:r>
        <w:rPr>
          <w:color w:val="105C84"/>
        </w:rPr>
        <w:t>Cardiovascular disease (CVD), similar to its contributing factors (obesity, hypertension and smoking), impacts different populations at varying levels. Data have revealed that those living with a disability</w:t>
      </w:r>
      <w:r>
        <w:rPr>
          <w:color w:val="105C84"/>
          <w:spacing w:val="40"/>
        </w:rPr>
        <w:t> </w:t>
      </w:r>
      <w:r>
        <w:rPr>
          <w:color w:val="105C84"/>
        </w:rPr>
        <w:t>are at greater risk for development of cardiovascular disease (Table 4) and may be a population where health intervention ought to be focused.</w:t>
      </w:r>
    </w:p>
    <w:p>
      <w:pPr>
        <w:pStyle w:val="BodyText"/>
        <w:spacing w:before="16"/>
      </w:pPr>
    </w:p>
    <w:p>
      <w:pPr>
        <w:pStyle w:val="Heading6"/>
        <w:ind w:left="1108"/>
      </w:pPr>
      <w:r>
        <w:rPr>
          <w:color w:val="105C84"/>
          <w:spacing w:val="-10"/>
        </w:rPr>
        <w:t>TABLE</w:t>
      </w:r>
      <w:r>
        <w:rPr>
          <w:color w:val="105C84"/>
          <w:spacing w:val="-1"/>
        </w:rPr>
        <w:t> </w:t>
      </w:r>
      <w:r>
        <w:rPr>
          <w:color w:val="105C84"/>
          <w:spacing w:val="-10"/>
        </w:rPr>
        <w:t>4:</w:t>
      </w:r>
      <w:r>
        <w:rPr>
          <w:color w:val="105C84"/>
        </w:rPr>
        <w:t> </w:t>
      </w:r>
      <w:r>
        <w:rPr>
          <w:color w:val="105C84"/>
          <w:spacing w:val="-10"/>
        </w:rPr>
        <w:t>Cardiovascular</w:t>
      </w:r>
      <w:r>
        <w:rPr>
          <w:color w:val="105C84"/>
        </w:rPr>
        <w:t> </w:t>
      </w:r>
      <w:r>
        <w:rPr>
          <w:color w:val="105C84"/>
          <w:spacing w:val="-10"/>
        </w:rPr>
        <w:t>disease</w:t>
      </w:r>
      <w:r>
        <w:rPr>
          <w:color w:val="105C84"/>
        </w:rPr>
        <w:t> </w:t>
      </w:r>
      <w:r>
        <w:rPr>
          <w:color w:val="105C84"/>
          <w:spacing w:val="-10"/>
        </w:rPr>
        <w:t>by</w:t>
      </w:r>
      <w:r>
        <w:rPr>
          <w:color w:val="105C84"/>
        </w:rPr>
        <w:t> </w:t>
      </w:r>
      <w:r>
        <w:rPr>
          <w:color w:val="105C84"/>
          <w:spacing w:val="-10"/>
        </w:rPr>
        <w:t>demographic</w:t>
      </w:r>
    </w:p>
    <w:p>
      <w:pPr>
        <w:pStyle w:val="Heading6"/>
        <w:spacing w:before="116"/>
        <w:ind w:left="1108"/>
      </w:pPr>
      <w:r>
        <w:rPr>
          <w:b w:val="0"/>
        </w:rPr>
        <w:br w:type="column"/>
      </w:r>
      <w:r>
        <w:rPr>
          <w:color w:val="105C84"/>
        </w:rPr>
        <w:t>FIGURE</w:t>
      </w:r>
      <w:r>
        <w:rPr>
          <w:color w:val="105C84"/>
          <w:spacing w:val="-18"/>
        </w:rPr>
        <w:t> </w:t>
      </w:r>
      <w:r>
        <w:rPr>
          <w:color w:val="105C84"/>
        </w:rPr>
        <w:t>7:</w:t>
      </w:r>
      <w:r>
        <w:rPr>
          <w:color w:val="105C84"/>
          <w:spacing w:val="-17"/>
        </w:rPr>
        <w:t> </w:t>
      </w:r>
      <w:r>
        <w:rPr>
          <w:color w:val="105C84"/>
        </w:rPr>
        <w:t>Percent</w:t>
      </w:r>
      <w:r>
        <w:rPr>
          <w:color w:val="105C84"/>
          <w:spacing w:val="-17"/>
        </w:rPr>
        <w:t> </w:t>
      </w:r>
      <w:r>
        <w:rPr>
          <w:color w:val="105C84"/>
        </w:rPr>
        <w:t>of</w:t>
      </w:r>
      <w:r>
        <w:rPr>
          <w:color w:val="105C84"/>
          <w:spacing w:val="-18"/>
        </w:rPr>
        <w:t> </w:t>
      </w:r>
      <w:r>
        <w:rPr>
          <w:color w:val="105C84"/>
        </w:rPr>
        <w:t>adults</w:t>
      </w:r>
      <w:r>
        <w:rPr>
          <w:color w:val="105C84"/>
          <w:spacing w:val="-17"/>
        </w:rPr>
        <w:t> </w:t>
      </w:r>
      <w:r>
        <w:rPr>
          <w:color w:val="105C84"/>
        </w:rPr>
        <w:t>(18+)</w:t>
      </w:r>
      <w:r>
        <w:rPr>
          <w:color w:val="105C84"/>
          <w:spacing w:val="-17"/>
        </w:rPr>
        <w:t> </w:t>
      </w:r>
      <w:r>
        <w:rPr>
          <w:color w:val="105C84"/>
        </w:rPr>
        <w:t>who</w:t>
      </w:r>
      <w:r>
        <w:rPr>
          <w:color w:val="105C84"/>
          <w:spacing w:val="-17"/>
        </w:rPr>
        <w:t> </w:t>
      </w:r>
      <w:r>
        <w:rPr>
          <w:color w:val="105C84"/>
        </w:rPr>
        <w:t>smoke</w:t>
      </w:r>
      <w:r>
        <w:rPr>
          <w:color w:val="105C84"/>
          <w:spacing w:val="-18"/>
        </w:rPr>
        <w:t> </w:t>
      </w:r>
      <w:r>
        <w:rPr>
          <w:color w:val="105C84"/>
        </w:rPr>
        <w:t>every</w:t>
      </w:r>
      <w:r>
        <w:rPr>
          <w:color w:val="105C84"/>
          <w:spacing w:val="-17"/>
        </w:rPr>
        <w:t> </w:t>
      </w:r>
      <w:r>
        <w:rPr>
          <w:color w:val="105C84"/>
        </w:rPr>
        <w:t>day</w:t>
      </w:r>
      <w:r>
        <w:rPr>
          <w:color w:val="105C84"/>
          <w:spacing w:val="-17"/>
        </w:rPr>
        <w:t> </w:t>
      </w:r>
      <w:r>
        <w:rPr>
          <w:color w:val="105C84"/>
        </w:rPr>
        <w:t>or</w:t>
      </w:r>
      <w:r>
        <w:rPr>
          <w:color w:val="105C84"/>
          <w:spacing w:val="-18"/>
        </w:rPr>
        <w:t> </w:t>
      </w:r>
      <w:r>
        <w:rPr>
          <w:color w:val="105C84"/>
        </w:rPr>
        <w:t>some</w:t>
      </w:r>
      <w:r>
        <w:rPr>
          <w:color w:val="105C84"/>
          <w:spacing w:val="-17"/>
        </w:rPr>
        <w:t> </w:t>
      </w:r>
      <w:r>
        <w:rPr>
          <w:color w:val="105C84"/>
          <w:spacing w:val="-4"/>
        </w:rPr>
        <w:t>days</w:t>
      </w:r>
    </w:p>
    <w:p>
      <w:pPr>
        <w:pStyle w:val="BodyText"/>
        <w:spacing w:before="251"/>
        <w:rPr>
          <w:b/>
          <w:sz w:val="26"/>
        </w:rPr>
      </w:pPr>
    </w:p>
    <w:p>
      <w:pPr>
        <w:spacing w:before="0"/>
        <w:ind w:left="1467" w:right="0" w:firstLine="0"/>
        <w:jc w:val="left"/>
        <w:rPr>
          <w:sz w:val="18"/>
        </w:rPr>
      </w:pPr>
      <w:r>
        <w:rPr>
          <w:sz w:val="18"/>
        </w:rPr>
        <mc:AlternateContent>
          <mc:Choice Requires="wps">
            <w:drawing>
              <wp:anchor distT="0" distB="0" distL="0" distR="0" allowOverlap="1" layoutInCell="1" locked="0" behindDoc="0" simplePos="0" relativeHeight="15757312">
                <wp:simplePos x="0" y="0"/>
                <wp:positionH relativeFrom="page">
                  <wp:posOffset>8985435</wp:posOffset>
                </wp:positionH>
                <wp:positionV relativeFrom="paragraph">
                  <wp:posOffset>-1064</wp:posOffset>
                </wp:positionV>
                <wp:extent cx="5632450" cy="1965960"/>
                <wp:effectExtent l="0" t="0" r="0" b="0"/>
                <wp:wrapNone/>
                <wp:docPr id="258" name="Group 258"/>
                <wp:cNvGraphicFramePr>
                  <a:graphicFrameLocks/>
                </wp:cNvGraphicFramePr>
                <a:graphic>
                  <a:graphicData uri="http://schemas.microsoft.com/office/word/2010/wordprocessingGroup">
                    <wpg:wgp>
                      <wpg:cNvPr id="258" name="Group 258"/>
                      <wpg:cNvGrpSpPr/>
                      <wpg:grpSpPr>
                        <a:xfrm>
                          <a:off x="0" y="0"/>
                          <a:ext cx="5632450" cy="1965960"/>
                          <a:chExt cx="5632450" cy="1965960"/>
                        </a:xfrm>
                      </wpg:grpSpPr>
                      <wps:wsp>
                        <wps:cNvPr id="259" name="Graphic 259"/>
                        <wps:cNvSpPr/>
                        <wps:spPr>
                          <a:xfrm>
                            <a:off x="4539391" y="1463983"/>
                            <a:ext cx="134620" cy="497205"/>
                          </a:xfrm>
                          <a:custGeom>
                            <a:avLst/>
                            <a:gdLst/>
                            <a:ahLst/>
                            <a:cxnLst/>
                            <a:rect l="l" t="t" r="r" b="b"/>
                            <a:pathLst>
                              <a:path w="134620" h="497205">
                                <a:moveTo>
                                  <a:pt x="134251" y="0"/>
                                </a:moveTo>
                                <a:lnTo>
                                  <a:pt x="0" y="0"/>
                                </a:lnTo>
                                <a:lnTo>
                                  <a:pt x="0" y="496735"/>
                                </a:lnTo>
                                <a:lnTo>
                                  <a:pt x="134251" y="496735"/>
                                </a:lnTo>
                                <a:lnTo>
                                  <a:pt x="134251" y="0"/>
                                </a:lnTo>
                                <a:close/>
                              </a:path>
                            </a:pathLst>
                          </a:custGeom>
                          <a:solidFill>
                            <a:srgbClr val="105C84"/>
                          </a:solidFill>
                        </wps:spPr>
                        <wps:bodyPr wrap="square" lIns="0" tIns="0" rIns="0" bIns="0" rtlCol="0">
                          <a:prstTxWarp prst="textNoShape">
                            <a:avLst/>
                          </a:prstTxWarp>
                          <a:noAutofit/>
                        </wps:bodyPr>
                      </wps:wsp>
                      <wps:wsp>
                        <wps:cNvPr id="260" name="Graphic 260"/>
                        <wps:cNvSpPr/>
                        <wps:spPr>
                          <a:xfrm>
                            <a:off x="5156967" y="1356579"/>
                            <a:ext cx="147955" cy="604520"/>
                          </a:xfrm>
                          <a:custGeom>
                            <a:avLst/>
                            <a:gdLst/>
                            <a:ahLst/>
                            <a:cxnLst/>
                            <a:rect l="l" t="t" r="r" b="b"/>
                            <a:pathLst>
                              <a:path w="147955" h="604520">
                                <a:moveTo>
                                  <a:pt x="147675" y="0"/>
                                </a:moveTo>
                                <a:lnTo>
                                  <a:pt x="0" y="0"/>
                                </a:lnTo>
                                <a:lnTo>
                                  <a:pt x="0" y="604139"/>
                                </a:lnTo>
                                <a:lnTo>
                                  <a:pt x="147675" y="604139"/>
                                </a:lnTo>
                                <a:lnTo>
                                  <a:pt x="147675" y="0"/>
                                </a:lnTo>
                                <a:close/>
                              </a:path>
                            </a:pathLst>
                          </a:custGeom>
                          <a:solidFill>
                            <a:srgbClr val="636466"/>
                          </a:solidFill>
                        </wps:spPr>
                        <wps:bodyPr wrap="square" lIns="0" tIns="0" rIns="0" bIns="0" rtlCol="0">
                          <a:prstTxWarp prst="textNoShape">
                            <a:avLst/>
                          </a:prstTxWarp>
                          <a:noAutofit/>
                        </wps:bodyPr>
                      </wps:wsp>
                      <wps:wsp>
                        <wps:cNvPr id="261" name="Graphic 261"/>
                        <wps:cNvSpPr/>
                        <wps:spPr>
                          <a:xfrm>
                            <a:off x="162692" y="980659"/>
                            <a:ext cx="3880485" cy="980440"/>
                          </a:xfrm>
                          <a:custGeom>
                            <a:avLst/>
                            <a:gdLst/>
                            <a:ahLst/>
                            <a:cxnLst/>
                            <a:rect l="l" t="t" r="r" b="b"/>
                            <a:pathLst>
                              <a:path w="3880485" h="980440">
                                <a:moveTo>
                                  <a:pt x="134251" y="0"/>
                                </a:moveTo>
                                <a:lnTo>
                                  <a:pt x="0" y="0"/>
                                </a:lnTo>
                                <a:lnTo>
                                  <a:pt x="0" y="980059"/>
                                </a:lnTo>
                                <a:lnTo>
                                  <a:pt x="134251" y="980059"/>
                                </a:lnTo>
                                <a:lnTo>
                                  <a:pt x="134251" y="0"/>
                                </a:lnTo>
                                <a:close/>
                              </a:path>
                              <a:path w="3880485" h="980440">
                                <a:moveTo>
                                  <a:pt x="765238" y="335635"/>
                                </a:moveTo>
                                <a:lnTo>
                                  <a:pt x="617562" y="335635"/>
                                </a:lnTo>
                                <a:lnTo>
                                  <a:pt x="617562" y="980059"/>
                                </a:lnTo>
                                <a:lnTo>
                                  <a:pt x="765238" y="980059"/>
                                </a:lnTo>
                                <a:lnTo>
                                  <a:pt x="765238" y="335635"/>
                                </a:lnTo>
                                <a:close/>
                              </a:path>
                              <a:path w="3880485" h="980440">
                                <a:moveTo>
                                  <a:pt x="1382826" y="161099"/>
                                </a:moveTo>
                                <a:lnTo>
                                  <a:pt x="1248575" y="161099"/>
                                </a:lnTo>
                                <a:lnTo>
                                  <a:pt x="1248575" y="980046"/>
                                </a:lnTo>
                                <a:lnTo>
                                  <a:pt x="1382826" y="980046"/>
                                </a:lnTo>
                                <a:lnTo>
                                  <a:pt x="1382826" y="161099"/>
                                </a:lnTo>
                                <a:close/>
                              </a:path>
                              <a:path w="3880485" h="980440">
                                <a:moveTo>
                                  <a:pt x="2013813" y="268503"/>
                                </a:moveTo>
                                <a:lnTo>
                                  <a:pt x="1866138" y="268503"/>
                                </a:lnTo>
                                <a:lnTo>
                                  <a:pt x="1866138" y="980046"/>
                                </a:lnTo>
                                <a:lnTo>
                                  <a:pt x="2013813" y="980046"/>
                                </a:lnTo>
                                <a:lnTo>
                                  <a:pt x="2013813" y="268503"/>
                                </a:lnTo>
                                <a:close/>
                              </a:path>
                              <a:path w="3880485" h="980440">
                                <a:moveTo>
                                  <a:pt x="2631389" y="402767"/>
                                </a:moveTo>
                                <a:lnTo>
                                  <a:pt x="2497137" y="402767"/>
                                </a:lnTo>
                                <a:lnTo>
                                  <a:pt x="2497137" y="980059"/>
                                </a:lnTo>
                                <a:lnTo>
                                  <a:pt x="2631389" y="980059"/>
                                </a:lnTo>
                                <a:lnTo>
                                  <a:pt x="2631389" y="402767"/>
                                </a:lnTo>
                                <a:close/>
                              </a:path>
                              <a:path w="3880485" h="980440">
                                <a:moveTo>
                                  <a:pt x="3262376" y="134251"/>
                                </a:moveTo>
                                <a:lnTo>
                                  <a:pt x="3114700" y="134251"/>
                                </a:lnTo>
                                <a:lnTo>
                                  <a:pt x="3114700" y="980071"/>
                                </a:lnTo>
                                <a:lnTo>
                                  <a:pt x="3262376" y="980071"/>
                                </a:lnTo>
                                <a:lnTo>
                                  <a:pt x="3262376" y="134251"/>
                                </a:lnTo>
                                <a:close/>
                              </a:path>
                              <a:path w="3880485" h="980440">
                                <a:moveTo>
                                  <a:pt x="3879939" y="53695"/>
                                </a:moveTo>
                                <a:lnTo>
                                  <a:pt x="3745700" y="53695"/>
                                </a:lnTo>
                                <a:lnTo>
                                  <a:pt x="3745700" y="980046"/>
                                </a:lnTo>
                                <a:lnTo>
                                  <a:pt x="3879939" y="980046"/>
                                </a:lnTo>
                                <a:lnTo>
                                  <a:pt x="3879939" y="53695"/>
                                </a:lnTo>
                                <a:close/>
                              </a:path>
                            </a:pathLst>
                          </a:custGeom>
                          <a:solidFill>
                            <a:srgbClr val="105C84"/>
                          </a:solidFill>
                        </wps:spPr>
                        <wps:bodyPr wrap="square" lIns="0" tIns="0" rIns="0" bIns="0" rtlCol="0">
                          <a:prstTxWarp prst="textNoShape">
                            <a:avLst/>
                          </a:prstTxWarp>
                          <a:noAutofit/>
                        </wps:bodyPr>
                      </wps:wsp>
                      <wps:wsp>
                        <wps:cNvPr id="262" name="Graphic 262"/>
                        <wps:cNvSpPr/>
                        <wps:spPr>
                          <a:xfrm>
                            <a:off x="5338132" y="1813030"/>
                            <a:ext cx="134620" cy="147955"/>
                          </a:xfrm>
                          <a:custGeom>
                            <a:avLst/>
                            <a:gdLst/>
                            <a:ahLst/>
                            <a:cxnLst/>
                            <a:rect l="l" t="t" r="r" b="b"/>
                            <a:pathLst>
                              <a:path w="134620" h="147955">
                                <a:moveTo>
                                  <a:pt x="134391" y="0"/>
                                </a:moveTo>
                                <a:lnTo>
                                  <a:pt x="0" y="0"/>
                                </a:lnTo>
                                <a:lnTo>
                                  <a:pt x="0" y="147688"/>
                                </a:lnTo>
                                <a:lnTo>
                                  <a:pt x="134391" y="147688"/>
                                </a:lnTo>
                                <a:lnTo>
                                  <a:pt x="134391" y="0"/>
                                </a:lnTo>
                                <a:close/>
                              </a:path>
                            </a:pathLst>
                          </a:custGeom>
                          <a:solidFill>
                            <a:srgbClr val="BCBEC0"/>
                          </a:solidFill>
                        </wps:spPr>
                        <wps:bodyPr wrap="square" lIns="0" tIns="0" rIns="0" bIns="0" rtlCol="0">
                          <a:prstTxWarp prst="textNoShape">
                            <a:avLst/>
                          </a:prstTxWarp>
                          <a:noAutofit/>
                        </wps:bodyPr>
                      </wps:wsp>
                      <wps:wsp>
                        <wps:cNvPr id="263" name="Graphic 263"/>
                        <wps:cNvSpPr/>
                        <wps:spPr>
                          <a:xfrm>
                            <a:off x="337228" y="1759321"/>
                            <a:ext cx="3893820" cy="201930"/>
                          </a:xfrm>
                          <a:custGeom>
                            <a:avLst/>
                            <a:gdLst/>
                            <a:ahLst/>
                            <a:cxnLst/>
                            <a:rect l="l" t="t" r="r" b="b"/>
                            <a:pathLst>
                              <a:path w="3893820" h="201930">
                                <a:moveTo>
                                  <a:pt x="134251" y="13436"/>
                                </a:moveTo>
                                <a:lnTo>
                                  <a:pt x="0" y="13436"/>
                                </a:lnTo>
                                <a:lnTo>
                                  <a:pt x="0" y="201396"/>
                                </a:lnTo>
                                <a:lnTo>
                                  <a:pt x="134251" y="201396"/>
                                </a:lnTo>
                                <a:lnTo>
                                  <a:pt x="134251" y="13436"/>
                                </a:lnTo>
                                <a:close/>
                              </a:path>
                              <a:path w="3893820" h="201930">
                                <a:moveTo>
                                  <a:pt x="765238" y="0"/>
                                </a:moveTo>
                                <a:lnTo>
                                  <a:pt x="617562" y="0"/>
                                </a:lnTo>
                                <a:lnTo>
                                  <a:pt x="617562" y="201383"/>
                                </a:lnTo>
                                <a:lnTo>
                                  <a:pt x="765238" y="201383"/>
                                </a:lnTo>
                                <a:lnTo>
                                  <a:pt x="765238" y="0"/>
                                </a:lnTo>
                                <a:close/>
                              </a:path>
                              <a:path w="3893820" h="201930">
                                <a:moveTo>
                                  <a:pt x="1382814" y="80556"/>
                                </a:moveTo>
                                <a:lnTo>
                                  <a:pt x="1248562" y="80556"/>
                                </a:lnTo>
                                <a:lnTo>
                                  <a:pt x="1248562" y="201396"/>
                                </a:lnTo>
                                <a:lnTo>
                                  <a:pt x="1382814" y="201396"/>
                                </a:lnTo>
                                <a:lnTo>
                                  <a:pt x="1382814" y="80556"/>
                                </a:lnTo>
                                <a:close/>
                              </a:path>
                              <a:path w="3893820" h="201930">
                                <a:moveTo>
                                  <a:pt x="2644813" y="147688"/>
                                </a:moveTo>
                                <a:lnTo>
                                  <a:pt x="2497124" y="147688"/>
                                </a:lnTo>
                                <a:lnTo>
                                  <a:pt x="2497124" y="201409"/>
                                </a:lnTo>
                                <a:lnTo>
                                  <a:pt x="2644813" y="201409"/>
                                </a:lnTo>
                                <a:lnTo>
                                  <a:pt x="2644813" y="147688"/>
                                </a:lnTo>
                                <a:close/>
                              </a:path>
                              <a:path w="3893820" h="201930">
                                <a:moveTo>
                                  <a:pt x="3262376" y="40284"/>
                                </a:moveTo>
                                <a:lnTo>
                                  <a:pt x="3128124" y="40284"/>
                                </a:lnTo>
                                <a:lnTo>
                                  <a:pt x="3128124" y="201409"/>
                                </a:lnTo>
                                <a:lnTo>
                                  <a:pt x="3262376" y="201409"/>
                                </a:lnTo>
                                <a:lnTo>
                                  <a:pt x="3262376" y="40284"/>
                                </a:lnTo>
                                <a:close/>
                              </a:path>
                              <a:path w="3893820" h="201930">
                                <a:moveTo>
                                  <a:pt x="3893362" y="26860"/>
                                </a:moveTo>
                                <a:lnTo>
                                  <a:pt x="3745674" y="26860"/>
                                </a:lnTo>
                                <a:lnTo>
                                  <a:pt x="3745674" y="201409"/>
                                </a:lnTo>
                                <a:lnTo>
                                  <a:pt x="3893362" y="201409"/>
                                </a:lnTo>
                                <a:lnTo>
                                  <a:pt x="3893362" y="26860"/>
                                </a:lnTo>
                                <a:close/>
                              </a:path>
                            </a:pathLst>
                          </a:custGeom>
                          <a:solidFill>
                            <a:srgbClr val="82BF6A"/>
                          </a:solidFill>
                        </wps:spPr>
                        <wps:bodyPr wrap="square" lIns="0" tIns="0" rIns="0" bIns="0" rtlCol="0">
                          <a:prstTxWarp prst="textNoShape">
                            <a:avLst/>
                          </a:prstTxWarp>
                          <a:noAutofit/>
                        </wps:bodyPr>
                      </wps:wsp>
                      <wps:wsp>
                        <wps:cNvPr id="264" name="Graphic 264"/>
                        <wps:cNvSpPr/>
                        <wps:spPr>
                          <a:xfrm>
                            <a:off x="205710" y="759129"/>
                            <a:ext cx="53975" cy="443230"/>
                          </a:xfrm>
                          <a:custGeom>
                            <a:avLst/>
                            <a:gdLst/>
                            <a:ahLst/>
                            <a:cxnLst/>
                            <a:rect l="l" t="t" r="r" b="b"/>
                            <a:pathLst>
                              <a:path w="53975" h="443230">
                                <a:moveTo>
                                  <a:pt x="26847" y="228231"/>
                                </a:moveTo>
                                <a:lnTo>
                                  <a:pt x="26847" y="443039"/>
                                </a:lnTo>
                              </a:path>
                              <a:path w="53975" h="443230">
                                <a:moveTo>
                                  <a:pt x="26847" y="228231"/>
                                </a:moveTo>
                                <a:lnTo>
                                  <a:pt x="26847" y="0"/>
                                </a:lnTo>
                              </a:path>
                              <a:path w="53975" h="443230">
                                <a:moveTo>
                                  <a:pt x="0" y="443039"/>
                                </a:moveTo>
                                <a:lnTo>
                                  <a:pt x="53695" y="443039"/>
                                </a:lnTo>
                              </a:path>
                              <a:path w="53975" h="443230">
                                <a:moveTo>
                                  <a:pt x="0" y="0"/>
                                </a:moveTo>
                                <a:lnTo>
                                  <a:pt x="53695" y="0"/>
                                </a:lnTo>
                              </a:path>
                            </a:pathLst>
                          </a:custGeom>
                          <a:ln w="9144">
                            <a:solidFill>
                              <a:srgbClr val="939598"/>
                            </a:solidFill>
                            <a:prstDash val="solid"/>
                          </a:ln>
                        </wps:spPr>
                        <wps:bodyPr wrap="square" lIns="0" tIns="0" rIns="0" bIns="0" rtlCol="0">
                          <a:prstTxWarp prst="textNoShape">
                            <a:avLst/>
                          </a:prstTxWarp>
                          <a:noAutofit/>
                        </wps:bodyPr>
                      </wps:wsp>
                      <wps:wsp>
                        <wps:cNvPr id="265" name="Graphic 265"/>
                        <wps:cNvSpPr/>
                        <wps:spPr>
                          <a:xfrm>
                            <a:off x="827253" y="1094761"/>
                            <a:ext cx="53975" cy="456565"/>
                          </a:xfrm>
                          <a:custGeom>
                            <a:avLst/>
                            <a:gdLst/>
                            <a:ahLst/>
                            <a:cxnLst/>
                            <a:rect l="l" t="t" r="r" b="b"/>
                            <a:pathLst>
                              <a:path w="53975" h="456565">
                                <a:moveTo>
                                  <a:pt x="26847" y="228244"/>
                                </a:moveTo>
                                <a:lnTo>
                                  <a:pt x="26847" y="456476"/>
                                </a:lnTo>
                              </a:path>
                              <a:path w="53975" h="456565">
                                <a:moveTo>
                                  <a:pt x="26847" y="228244"/>
                                </a:moveTo>
                                <a:lnTo>
                                  <a:pt x="26847" y="0"/>
                                </a:lnTo>
                              </a:path>
                              <a:path w="53975" h="456565">
                                <a:moveTo>
                                  <a:pt x="0" y="456476"/>
                                </a:moveTo>
                                <a:lnTo>
                                  <a:pt x="53695" y="456476"/>
                                </a:lnTo>
                              </a:path>
                              <a:path w="53975" h="456565">
                                <a:moveTo>
                                  <a:pt x="0" y="0"/>
                                </a:moveTo>
                                <a:lnTo>
                                  <a:pt x="53695" y="0"/>
                                </a:lnTo>
                              </a:path>
                            </a:pathLst>
                          </a:custGeom>
                          <a:ln w="9144">
                            <a:solidFill>
                              <a:srgbClr val="989A9C"/>
                            </a:solidFill>
                            <a:prstDash val="solid"/>
                          </a:ln>
                        </wps:spPr>
                        <wps:bodyPr wrap="square" lIns="0" tIns="0" rIns="0" bIns="0" rtlCol="0">
                          <a:prstTxWarp prst="textNoShape">
                            <a:avLst/>
                          </a:prstTxWarp>
                          <a:noAutofit/>
                        </wps:bodyPr>
                      </wps:wsp>
                      <wps:wsp>
                        <wps:cNvPr id="266" name="Graphic 266"/>
                        <wps:cNvSpPr/>
                        <wps:spPr>
                          <a:xfrm>
                            <a:off x="1450185" y="906804"/>
                            <a:ext cx="56515" cy="456565"/>
                          </a:xfrm>
                          <a:custGeom>
                            <a:avLst/>
                            <a:gdLst/>
                            <a:ahLst/>
                            <a:cxnLst/>
                            <a:rect l="l" t="t" r="r" b="b"/>
                            <a:pathLst>
                              <a:path w="56515" h="456565">
                                <a:moveTo>
                                  <a:pt x="28511" y="228244"/>
                                </a:moveTo>
                                <a:lnTo>
                                  <a:pt x="28511" y="456476"/>
                                </a:lnTo>
                              </a:path>
                              <a:path w="56515" h="456565">
                                <a:moveTo>
                                  <a:pt x="28511" y="228244"/>
                                </a:moveTo>
                                <a:lnTo>
                                  <a:pt x="28511" y="0"/>
                                </a:lnTo>
                              </a:path>
                              <a:path w="56515" h="456565">
                                <a:moveTo>
                                  <a:pt x="0" y="456476"/>
                                </a:moveTo>
                                <a:lnTo>
                                  <a:pt x="56400" y="456476"/>
                                </a:lnTo>
                              </a:path>
                              <a:path w="56515" h="456565">
                                <a:moveTo>
                                  <a:pt x="0" y="0"/>
                                </a:moveTo>
                                <a:lnTo>
                                  <a:pt x="56400" y="0"/>
                                </a:lnTo>
                              </a:path>
                            </a:pathLst>
                          </a:custGeom>
                          <a:ln w="9144">
                            <a:solidFill>
                              <a:srgbClr val="989A9C"/>
                            </a:solidFill>
                            <a:prstDash val="solid"/>
                          </a:ln>
                        </wps:spPr>
                        <wps:bodyPr wrap="square" lIns="0" tIns="0" rIns="0" bIns="0" rtlCol="0">
                          <a:prstTxWarp prst="textNoShape">
                            <a:avLst/>
                          </a:prstTxWarp>
                          <a:noAutofit/>
                        </wps:bodyPr>
                      </wps:wsp>
                      <wps:wsp>
                        <wps:cNvPr id="267" name="Graphic 267"/>
                        <wps:cNvSpPr/>
                        <wps:spPr>
                          <a:xfrm>
                            <a:off x="2075816" y="1000799"/>
                            <a:ext cx="53975" cy="497205"/>
                          </a:xfrm>
                          <a:custGeom>
                            <a:avLst/>
                            <a:gdLst/>
                            <a:ahLst/>
                            <a:cxnLst/>
                            <a:rect l="l" t="t" r="r" b="b"/>
                            <a:pathLst>
                              <a:path w="53975" h="497205">
                                <a:moveTo>
                                  <a:pt x="26847" y="241655"/>
                                </a:moveTo>
                                <a:lnTo>
                                  <a:pt x="26847" y="496735"/>
                                </a:lnTo>
                              </a:path>
                              <a:path w="53975" h="497205">
                                <a:moveTo>
                                  <a:pt x="26847" y="241655"/>
                                </a:moveTo>
                                <a:lnTo>
                                  <a:pt x="26847" y="0"/>
                                </a:lnTo>
                              </a:path>
                              <a:path w="53975" h="497205">
                                <a:moveTo>
                                  <a:pt x="0" y="496735"/>
                                </a:moveTo>
                                <a:lnTo>
                                  <a:pt x="53695" y="496735"/>
                                </a:lnTo>
                              </a:path>
                              <a:path w="53975" h="497205">
                                <a:moveTo>
                                  <a:pt x="0" y="0"/>
                                </a:moveTo>
                                <a:lnTo>
                                  <a:pt x="53695" y="0"/>
                                </a:lnTo>
                              </a:path>
                            </a:pathLst>
                          </a:custGeom>
                          <a:ln w="9144">
                            <a:solidFill>
                              <a:srgbClr val="989A9C"/>
                            </a:solidFill>
                            <a:prstDash val="solid"/>
                          </a:ln>
                        </wps:spPr>
                        <wps:bodyPr wrap="square" lIns="0" tIns="0" rIns="0" bIns="0" rtlCol="0">
                          <a:prstTxWarp prst="textNoShape">
                            <a:avLst/>
                          </a:prstTxWarp>
                          <a:noAutofit/>
                        </wps:bodyPr>
                      </wps:wsp>
                      <wps:wsp>
                        <wps:cNvPr id="268" name="Graphic 268"/>
                        <wps:cNvSpPr/>
                        <wps:spPr>
                          <a:xfrm>
                            <a:off x="2697397" y="1175321"/>
                            <a:ext cx="59690" cy="416559"/>
                          </a:xfrm>
                          <a:custGeom>
                            <a:avLst/>
                            <a:gdLst/>
                            <a:ahLst/>
                            <a:cxnLst/>
                            <a:rect l="l" t="t" r="r" b="b"/>
                            <a:pathLst>
                              <a:path w="59690" h="416559">
                                <a:moveTo>
                                  <a:pt x="29222" y="214807"/>
                                </a:moveTo>
                                <a:lnTo>
                                  <a:pt x="29222" y="416178"/>
                                </a:lnTo>
                              </a:path>
                              <a:path w="59690" h="416559">
                                <a:moveTo>
                                  <a:pt x="29222" y="214807"/>
                                </a:moveTo>
                                <a:lnTo>
                                  <a:pt x="29222" y="0"/>
                                </a:lnTo>
                              </a:path>
                              <a:path w="59690" h="416559">
                                <a:moveTo>
                                  <a:pt x="0" y="416178"/>
                                </a:moveTo>
                                <a:lnTo>
                                  <a:pt x="59105" y="416178"/>
                                </a:lnTo>
                              </a:path>
                              <a:path w="59690" h="416559">
                                <a:moveTo>
                                  <a:pt x="0" y="0"/>
                                </a:moveTo>
                                <a:lnTo>
                                  <a:pt x="59105" y="0"/>
                                </a:lnTo>
                              </a:path>
                            </a:pathLst>
                          </a:custGeom>
                          <a:ln w="8585">
                            <a:solidFill>
                              <a:srgbClr val="989A9C"/>
                            </a:solidFill>
                            <a:prstDash val="solid"/>
                          </a:ln>
                        </wps:spPr>
                        <wps:bodyPr wrap="square" lIns="0" tIns="0" rIns="0" bIns="0" rtlCol="0">
                          <a:prstTxWarp prst="textNoShape">
                            <a:avLst/>
                          </a:prstTxWarp>
                          <a:noAutofit/>
                        </wps:bodyPr>
                      </wps:wsp>
                      <wps:wsp>
                        <wps:cNvPr id="269" name="Graphic 269"/>
                        <wps:cNvSpPr/>
                        <wps:spPr>
                          <a:xfrm>
                            <a:off x="3324378" y="906815"/>
                            <a:ext cx="53975" cy="416559"/>
                          </a:xfrm>
                          <a:custGeom>
                            <a:avLst/>
                            <a:gdLst/>
                            <a:ahLst/>
                            <a:cxnLst/>
                            <a:rect l="l" t="t" r="r" b="b"/>
                            <a:pathLst>
                              <a:path w="53975" h="416559">
                                <a:moveTo>
                                  <a:pt x="26847" y="201383"/>
                                </a:moveTo>
                                <a:lnTo>
                                  <a:pt x="26847" y="416191"/>
                                </a:lnTo>
                              </a:path>
                              <a:path w="53975" h="416559">
                                <a:moveTo>
                                  <a:pt x="26847" y="201383"/>
                                </a:moveTo>
                                <a:lnTo>
                                  <a:pt x="26847" y="0"/>
                                </a:lnTo>
                              </a:path>
                              <a:path w="53975" h="416559">
                                <a:moveTo>
                                  <a:pt x="0" y="416191"/>
                                </a:moveTo>
                                <a:lnTo>
                                  <a:pt x="53695" y="416191"/>
                                </a:lnTo>
                              </a:path>
                              <a:path w="53975" h="416559">
                                <a:moveTo>
                                  <a:pt x="0" y="0"/>
                                </a:moveTo>
                                <a:lnTo>
                                  <a:pt x="53695" y="0"/>
                                </a:lnTo>
                              </a:path>
                            </a:pathLst>
                          </a:custGeom>
                          <a:ln w="9144">
                            <a:solidFill>
                              <a:srgbClr val="989A9C"/>
                            </a:solidFill>
                            <a:prstDash val="solid"/>
                          </a:ln>
                        </wps:spPr>
                        <wps:bodyPr wrap="square" lIns="0" tIns="0" rIns="0" bIns="0" rtlCol="0">
                          <a:prstTxWarp prst="textNoShape">
                            <a:avLst/>
                          </a:prstTxWarp>
                          <a:noAutofit/>
                        </wps:bodyPr>
                      </wps:wsp>
                      <wps:wsp>
                        <wps:cNvPr id="270" name="Graphic 270"/>
                        <wps:cNvSpPr/>
                        <wps:spPr>
                          <a:xfrm>
                            <a:off x="3949343" y="839693"/>
                            <a:ext cx="52705" cy="403225"/>
                          </a:xfrm>
                          <a:custGeom>
                            <a:avLst/>
                            <a:gdLst/>
                            <a:ahLst/>
                            <a:cxnLst/>
                            <a:rect l="l" t="t" r="r" b="b"/>
                            <a:pathLst>
                              <a:path w="52705" h="403225">
                                <a:moveTo>
                                  <a:pt x="25882" y="201371"/>
                                </a:moveTo>
                                <a:lnTo>
                                  <a:pt x="25882" y="402755"/>
                                </a:lnTo>
                              </a:path>
                              <a:path w="52705" h="403225">
                                <a:moveTo>
                                  <a:pt x="25882" y="201371"/>
                                </a:moveTo>
                                <a:lnTo>
                                  <a:pt x="25882" y="0"/>
                                </a:lnTo>
                              </a:path>
                              <a:path w="52705" h="403225">
                                <a:moveTo>
                                  <a:pt x="0" y="402755"/>
                                </a:moveTo>
                                <a:lnTo>
                                  <a:pt x="52336" y="402755"/>
                                </a:lnTo>
                              </a:path>
                              <a:path w="52705" h="403225">
                                <a:moveTo>
                                  <a:pt x="0" y="0"/>
                                </a:moveTo>
                                <a:lnTo>
                                  <a:pt x="52336" y="0"/>
                                </a:lnTo>
                              </a:path>
                            </a:pathLst>
                          </a:custGeom>
                          <a:ln w="9144">
                            <a:solidFill>
                              <a:srgbClr val="989A9C"/>
                            </a:solidFill>
                            <a:prstDash val="solid"/>
                          </a:ln>
                        </wps:spPr>
                        <wps:bodyPr wrap="square" lIns="0" tIns="0" rIns="0" bIns="0" rtlCol="0">
                          <a:prstTxWarp prst="textNoShape">
                            <a:avLst/>
                          </a:prstTxWarp>
                          <a:noAutofit/>
                        </wps:bodyPr>
                      </wps:wsp>
                      <wps:wsp>
                        <wps:cNvPr id="271" name="Graphic 271"/>
                        <wps:cNvSpPr/>
                        <wps:spPr>
                          <a:xfrm>
                            <a:off x="4580041" y="1269302"/>
                            <a:ext cx="53975" cy="375920"/>
                          </a:xfrm>
                          <a:custGeom>
                            <a:avLst/>
                            <a:gdLst/>
                            <a:ahLst/>
                            <a:cxnLst/>
                            <a:rect l="l" t="t" r="r" b="b"/>
                            <a:pathLst>
                              <a:path w="53975" h="375920">
                                <a:moveTo>
                                  <a:pt x="26847" y="187947"/>
                                </a:moveTo>
                                <a:lnTo>
                                  <a:pt x="26847" y="375907"/>
                                </a:lnTo>
                              </a:path>
                              <a:path w="53975" h="375920">
                                <a:moveTo>
                                  <a:pt x="26847" y="187947"/>
                                </a:moveTo>
                                <a:lnTo>
                                  <a:pt x="26847" y="0"/>
                                </a:lnTo>
                              </a:path>
                              <a:path w="53975" h="375920">
                                <a:moveTo>
                                  <a:pt x="0" y="375907"/>
                                </a:moveTo>
                                <a:lnTo>
                                  <a:pt x="53695" y="375907"/>
                                </a:lnTo>
                              </a:path>
                              <a:path w="53975" h="375920">
                                <a:moveTo>
                                  <a:pt x="0" y="0"/>
                                </a:moveTo>
                                <a:lnTo>
                                  <a:pt x="53695" y="0"/>
                                </a:lnTo>
                              </a:path>
                            </a:pathLst>
                          </a:custGeom>
                          <a:ln w="9144">
                            <a:solidFill>
                              <a:srgbClr val="989A9C"/>
                            </a:solidFill>
                            <a:prstDash val="solid"/>
                          </a:ln>
                        </wps:spPr>
                        <wps:bodyPr wrap="square" lIns="0" tIns="0" rIns="0" bIns="0" rtlCol="0">
                          <a:prstTxWarp prst="textNoShape">
                            <a:avLst/>
                          </a:prstTxWarp>
                          <a:noAutofit/>
                        </wps:bodyPr>
                      </wps:wsp>
                      <wps:wsp>
                        <wps:cNvPr id="272" name="Graphic 272"/>
                        <wps:cNvSpPr/>
                        <wps:spPr>
                          <a:xfrm>
                            <a:off x="5209987" y="1309573"/>
                            <a:ext cx="41910" cy="80645"/>
                          </a:xfrm>
                          <a:custGeom>
                            <a:avLst/>
                            <a:gdLst/>
                            <a:ahLst/>
                            <a:cxnLst/>
                            <a:rect l="l" t="t" r="r" b="b"/>
                            <a:pathLst>
                              <a:path w="41910" h="80645">
                                <a:moveTo>
                                  <a:pt x="20802" y="40271"/>
                                </a:moveTo>
                                <a:lnTo>
                                  <a:pt x="20802" y="80556"/>
                                </a:lnTo>
                              </a:path>
                              <a:path w="41910" h="80645">
                                <a:moveTo>
                                  <a:pt x="20802" y="40271"/>
                                </a:moveTo>
                                <a:lnTo>
                                  <a:pt x="20802" y="0"/>
                                </a:lnTo>
                              </a:path>
                              <a:path w="41910" h="80645">
                                <a:moveTo>
                                  <a:pt x="0" y="80556"/>
                                </a:moveTo>
                                <a:lnTo>
                                  <a:pt x="41617" y="80556"/>
                                </a:lnTo>
                              </a:path>
                              <a:path w="41910" h="80645">
                                <a:moveTo>
                                  <a:pt x="0" y="0"/>
                                </a:moveTo>
                                <a:lnTo>
                                  <a:pt x="41617" y="0"/>
                                </a:lnTo>
                              </a:path>
                            </a:pathLst>
                          </a:custGeom>
                          <a:ln w="9144">
                            <a:solidFill>
                              <a:srgbClr val="989A9C"/>
                            </a:solidFill>
                            <a:prstDash val="solid"/>
                          </a:ln>
                        </wps:spPr>
                        <wps:bodyPr wrap="square" lIns="0" tIns="0" rIns="0" bIns="0" rtlCol="0">
                          <a:prstTxWarp prst="textNoShape">
                            <a:avLst/>
                          </a:prstTxWarp>
                          <a:noAutofit/>
                        </wps:bodyPr>
                      </wps:wsp>
                      <wps:wsp>
                        <wps:cNvPr id="273" name="Graphic 273"/>
                        <wps:cNvSpPr/>
                        <wps:spPr>
                          <a:xfrm>
                            <a:off x="374817" y="1672059"/>
                            <a:ext cx="59690" cy="215265"/>
                          </a:xfrm>
                          <a:custGeom>
                            <a:avLst/>
                            <a:gdLst/>
                            <a:ahLst/>
                            <a:cxnLst/>
                            <a:rect l="l" t="t" r="r" b="b"/>
                            <a:pathLst>
                              <a:path w="59690" h="215265">
                                <a:moveTo>
                                  <a:pt x="31280" y="107403"/>
                                </a:moveTo>
                                <a:lnTo>
                                  <a:pt x="31280" y="214807"/>
                                </a:lnTo>
                              </a:path>
                              <a:path w="59690" h="215265">
                                <a:moveTo>
                                  <a:pt x="31280" y="107403"/>
                                </a:moveTo>
                                <a:lnTo>
                                  <a:pt x="31280" y="0"/>
                                </a:lnTo>
                              </a:path>
                              <a:path w="59690" h="215265">
                                <a:moveTo>
                                  <a:pt x="0" y="214807"/>
                                </a:moveTo>
                                <a:lnTo>
                                  <a:pt x="59067" y="214807"/>
                                </a:lnTo>
                              </a:path>
                              <a:path w="59690" h="215265">
                                <a:moveTo>
                                  <a:pt x="0" y="0"/>
                                </a:moveTo>
                                <a:lnTo>
                                  <a:pt x="59067" y="0"/>
                                </a:lnTo>
                              </a:path>
                            </a:pathLst>
                          </a:custGeom>
                          <a:ln w="9144">
                            <a:solidFill>
                              <a:srgbClr val="989A9C"/>
                            </a:solidFill>
                            <a:prstDash val="solid"/>
                          </a:ln>
                        </wps:spPr>
                        <wps:bodyPr wrap="square" lIns="0" tIns="0" rIns="0" bIns="0" rtlCol="0">
                          <a:prstTxWarp prst="textNoShape">
                            <a:avLst/>
                          </a:prstTxWarp>
                          <a:noAutofit/>
                        </wps:bodyPr>
                      </wps:wsp>
                      <wps:wsp>
                        <wps:cNvPr id="274" name="Graphic 274"/>
                        <wps:cNvSpPr/>
                        <wps:spPr>
                          <a:xfrm>
                            <a:off x="1001786" y="1618361"/>
                            <a:ext cx="53975" cy="281940"/>
                          </a:xfrm>
                          <a:custGeom>
                            <a:avLst/>
                            <a:gdLst/>
                            <a:ahLst/>
                            <a:cxnLst/>
                            <a:rect l="l" t="t" r="r" b="b"/>
                            <a:pathLst>
                              <a:path w="53975" h="281940">
                                <a:moveTo>
                                  <a:pt x="26847" y="134251"/>
                                </a:moveTo>
                                <a:lnTo>
                                  <a:pt x="26847" y="281940"/>
                                </a:lnTo>
                              </a:path>
                              <a:path w="53975" h="281940">
                                <a:moveTo>
                                  <a:pt x="26847" y="134251"/>
                                </a:moveTo>
                                <a:lnTo>
                                  <a:pt x="26847" y="0"/>
                                </a:lnTo>
                              </a:path>
                              <a:path w="53975" h="281940">
                                <a:moveTo>
                                  <a:pt x="0" y="281940"/>
                                </a:moveTo>
                                <a:lnTo>
                                  <a:pt x="53695" y="281940"/>
                                </a:lnTo>
                              </a:path>
                              <a:path w="53975" h="281940">
                                <a:moveTo>
                                  <a:pt x="0" y="0"/>
                                </a:moveTo>
                                <a:lnTo>
                                  <a:pt x="53695" y="0"/>
                                </a:lnTo>
                              </a:path>
                            </a:pathLst>
                          </a:custGeom>
                          <a:ln w="9144">
                            <a:solidFill>
                              <a:srgbClr val="989A9C"/>
                            </a:solidFill>
                            <a:prstDash val="solid"/>
                          </a:ln>
                        </wps:spPr>
                        <wps:bodyPr wrap="square" lIns="0" tIns="0" rIns="0" bIns="0" rtlCol="0">
                          <a:prstTxWarp prst="textNoShape">
                            <a:avLst/>
                          </a:prstTxWarp>
                          <a:noAutofit/>
                        </wps:bodyPr>
                      </wps:wsp>
                      <wps:wsp>
                        <wps:cNvPr id="275" name="Graphic 275"/>
                        <wps:cNvSpPr/>
                        <wps:spPr>
                          <a:xfrm>
                            <a:off x="1622041" y="1735646"/>
                            <a:ext cx="62230" cy="205104"/>
                          </a:xfrm>
                          <a:custGeom>
                            <a:avLst/>
                            <a:gdLst/>
                            <a:ahLst/>
                            <a:cxnLst/>
                            <a:rect l="l" t="t" r="r" b="b"/>
                            <a:pathLst>
                              <a:path w="62230" h="205104">
                                <a:moveTo>
                                  <a:pt x="29438" y="107403"/>
                                </a:moveTo>
                                <a:lnTo>
                                  <a:pt x="29438" y="201371"/>
                                </a:lnTo>
                              </a:path>
                              <a:path w="62230" h="205104">
                                <a:moveTo>
                                  <a:pt x="29438" y="107403"/>
                                </a:moveTo>
                                <a:lnTo>
                                  <a:pt x="29438" y="0"/>
                                </a:lnTo>
                              </a:path>
                              <a:path w="62230" h="205104">
                                <a:moveTo>
                                  <a:pt x="0" y="204927"/>
                                </a:moveTo>
                                <a:lnTo>
                                  <a:pt x="61747" y="204927"/>
                                </a:lnTo>
                              </a:path>
                              <a:path w="62230" h="205104">
                                <a:moveTo>
                                  <a:pt x="0" y="3543"/>
                                </a:moveTo>
                                <a:lnTo>
                                  <a:pt x="61747" y="3543"/>
                                </a:lnTo>
                              </a:path>
                            </a:pathLst>
                          </a:custGeom>
                          <a:ln w="9144">
                            <a:solidFill>
                              <a:srgbClr val="989A9C"/>
                            </a:solidFill>
                            <a:prstDash val="solid"/>
                          </a:ln>
                        </wps:spPr>
                        <wps:bodyPr wrap="square" lIns="0" tIns="0" rIns="0" bIns="0" rtlCol="0">
                          <a:prstTxWarp prst="textNoShape">
                            <a:avLst/>
                          </a:prstTxWarp>
                          <a:noAutofit/>
                        </wps:bodyPr>
                      </wps:wsp>
                      <wps:wsp>
                        <wps:cNvPr id="276" name="Graphic 276"/>
                        <wps:cNvSpPr/>
                        <wps:spPr>
                          <a:xfrm>
                            <a:off x="2881342" y="1846597"/>
                            <a:ext cx="53975" cy="109220"/>
                          </a:xfrm>
                          <a:custGeom>
                            <a:avLst/>
                            <a:gdLst/>
                            <a:ahLst/>
                            <a:cxnLst/>
                            <a:rect l="l" t="t" r="r" b="b"/>
                            <a:pathLst>
                              <a:path w="53975" h="109220">
                                <a:moveTo>
                                  <a:pt x="26847" y="67119"/>
                                </a:moveTo>
                                <a:lnTo>
                                  <a:pt x="26847" y="108826"/>
                                </a:lnTo>
                              </a:path>
                              <a:path w="53975" h="109220">
                                <a:moveTo>
                                  <a:pt x="26847" y="67119"/>
                                </a:moveTo>
                                <a:lnTo>
                                  <a:pt x="26847" y="0"/>
                                </a:lnTo>
                              </a:path>
                              <a:path w="53975" h="109220">
                                <a:moveTo>
                                  <a:pt x="0" y="0"/>
                                </a:moveTo>
                                <a:lnTo>
                                  <a:pt x="53695" y="0"/>
                                </a:lnTo>
                              </a:path>
                            </a:pathLst>
                          </a:custGeom>
                          <a:ln w="9144">
                            <a:solidFill>
                              <a:srgbClr val="989A9C"/>
                            </a:solidFill>
                            <a:prstDash val="solid"/>
                          </a:ln>
                        </wps:spPr>
                        <wps:bodyPr wrap="square" lIns="0" tIns="0" rIns="0" bIns="0" rtlCol="0">
                          <a:prstTxWarp prst="textNoShape">
                            <a:avLst/>
                          </a:prstTxWarp>
                          <a:noAutofit/>
                        </wps:bodyPr>
                      </wps:wsp>
                      <wps:wsp>
                        <wps:cNvPr id="277" name="Graphic 277"/>
                        <wps:cNvSpPr/>
                        <wps:spPr>
                          <a:xfrm>
                            <a:off x="3505098" y="1698910"/>
                            <a:ext cx="55244" cy="201930"/>
                          </a:xfrm>
                          <a:custGeom>
                            <a:avLst/>
                            <a:gdLst/>
                            <a:ahLst/>
                            <a:cxnLst/>
                            <a:rect l="l" t="t" r="r" b="b"/>
                            <a:pathLst>
                              <a:path w="55244" h="201930">
                                <a:moveTo>
                                  <a:pt x="27685" y="107403"/>
                                </a:moveTo>
                                <a:lnTo>
                                  <a:pt x="27685" y="201383"/>
                                </a:lnTo>
                              </a:path>
                              <a:path w="55244" h="201930">
                                <a:moveTo>
                                  <a:pt x="27685" y="107403"/>
                                </a:moveTo>
                                <a:lnTo>
                                  <a:pt x="27685" y="0"/>
                                </a:lnTo>
                              </a:path>
                              <a:path w="55244" h="201930">
                                <a:moveTo>
                                  <a:pt x="0" y="201383"/>
                                </a:moveTo>
                                <a:lnTo>
                                  <a:pt x="54749" y="201383"/>
                                </a:lnTo>
                              </a:path>
                              <a:path w="55244" h="201930">
                                <a:moveTo>
                                  <a:pt x="0" y="0"/>
                                </a:moveTo>
                                <a:lnTo>
                                  <a:pt x="54749" y="0"/>
                                </a:lnTo>
                              </a:path>
                            </a:pathLst>
                          </a:custGeom>
                          <a:ln w="9144">
                            <a:solidFill>
                              <a:srgbClr val="989A9C"/>
                            </a:solidFill>
                            <a:prstDash val="solid"/>
                          </a:ln>
                        </wps:spPr>
                        <wps:bodyPr wrap="square" lIns="0" tIns="0" rIns="0" bIns="0" rtlCol="0">
                          <a:prstTxWarp prst="textNoShape">
                            <a:avLst/>
                          </a:prstTxWarp>
                          <a:noAutofit/>
                        </wps:bodyPr>
                      </wps:wsp>
                      <wps:wsp>
                        <wps:cNvPr id="278" name="Graphic 278"/>
                        <wps:cNvSpPr/>
                        <wps:spPr>
                          <a:xfrm>
                            <a:off x="4129911" y="1698915"/>
                            <a:ext cx="53975" cy="187960"/>
                          </a:xfrm>
                          <a:custGeom>
                            <a:avLst/>
                            <a:gdLst/>
                            <a:ahLst/>
                            <a:cxnLst/>
                            <a:rect l="l" t="t" r="r" b="b"/>
                            <a:pathLst>
                              <a:path w="53975" h="187960">
                                <a:moveTo>
                                  <a:pt x="26847" y="93979"/>
                                </a:moveTo>
                                <a:lnTo>
                                  <a:pt x="26847" y="187947"/>
                                </a:lnTo>
                              </a:path>
                              <a:path w="53975" h="187960">
                                <a:moveTo>
                                  <a:pt x="26847" y="93979"/>
                                </a:moveTo>
                                <a:lnTo>
                                  <a:pt x="26847" y="0"/>
                                </a:lnTo>
                              </a:path>
                              <a:path w="53975" h="187960">
                                <a:moveTo>
                                  <a:pt x="0" y="187947"/>
                                </a:moveTo>
                                <a:lnTo>
                                  <a:pt x="53695" y="187947"/>
                                </a:lnTo>
                              </a:path>
                              <a:path w="53975" h="187960">
                                <a:moveTo>
                                  <a:pt x="0" y="0"/>
                                </a:moveTo>
                                <a:lnTo>
                                  <a:pt x="53695" y="0"/>
                                </a:lnTo>
                              </a:path>
                            </a:pathLst>
                          </a:custGeom>
                          <a:ln w="9144">
                            <a:solidFill>
                              <a:srgbClr val="989A9C"/>
                            </a:solidFill>
                            <a:prstDash val="solid"/>
                          </a:ln>
                        </wps:spPr>
                        <wps:bodyPr wrap="square" lIns="0" tIns="0" rIns="0" bIns="0" rtlCol="0">
                          <a:prstTxWarp prst="textNoShape">
                            <a:avLst/>
                          </a:prstTxWarp>
                          <a:noAutofit/>
                        </wps:bodyPr>
                      </wps:wsp>
                      <wps:wsp>
                        <wps:cNvPr id="279" name="Graphic 279"/>
                        <wps:cNvSpPr/>
                        <wps:spPr>
                          <a:xfrm>
                            <a:off x="5387012" y="1788185"/>
                            <a:ext cx="41275" cy="52069"/>
                          </a:xfrm>
                          <a:custGeom>
                            <a:avLst/>
                            <a:gdLst/>
                            <a:ahLst/>
                            <a:cxnLst/>
                            <a:rect l="l" t="t" r="r" b="b"/>
                            <a:pathLst>
                              <a:path w="41275" h="52069">
                                <a:moveTo>
                                  <a:pt x="20599" y="17348"/>
                                </a:moveTo>
                                <a:lnTo>
                                  <a:pt x="20599" y="52057"/>
                                </a:lnTo>
                              </a:path>
                              <a:path w="41275" h="52069">
                                <a:moveTo>
                                  <a:pt x="20599" y="17348"/>
                                </a:moveTo>
                                <a:lnTo>
                                  <a:pt x="20599" y="0"/>
                                </a:lnTo>
                              </a:path>
                              <a:path w="41275" h="52069">
                                <a:moveTo>
                                  <a:pt x="0" y="52057"/>
                                </a:moveTo>
                                <a:lnTo>
                                  <a:pt x="41211" y="52057"/>
                                </a:lnTo>
                              </a:path>
                              <a:path w="41275" h="52069">
                                <a:moveTo>
                                  <a:pt x="0" y="0"/>
                                </a:moveTo>
                                <a:lnTo>
                                  <a:pt x="41211" y="0"/>
                                </a:lnTo>
                              </a:path>
                            </a:pathLst>
                          </a:custGeom>
                          <a:ln w="9105">
                            <a:solidFill>
                              <a:srgbClr val="989A9C"/>
                            </a:solidFill>
                            <a:prstDash val="solid"/>
                          </a:ln>
                        </wps:spPr>
                        <wps:bodyPr wrap="square" lIns="0" tIns="0" rIns="0" bIns="0" rtlCol="0">
                          <a:prstTxWarp prst="textNoShape">
                            <a:avLst/>
                          </a:prstTxWarp>
                          <a:noAutofit/>
                        </wps:bodyPr>
                      </wps:wsp>
                      <wps:wsp>
                        <wps:cNvPr id="280" name="Graphic 280"/>
                        <wps:cNvSpPr/>
                        <wps:spPr>
                          <a:xfrm>
                            <a:off x="3568" y="7814"/>
                            <a:ext cx="5625465" cy="1954530"/>
                          </a:xfrm>
                          <a:custGeom>
                            <a:avLst/>
                            <a:gdLst/>
                            <a:ahLst/>
                            <a:cxnLst/>
                            <a:rect l="l" t="t" r="r" b="b"/>
                            <a:pathLst>
                              <a:path w="5625465" h="1954530">
                                <a:moveTo>
                                  <a:pt x="5625261" y="1954174"/>
                                </a:moveTo>
                                <a:lnTo>
                                  <a:pt x="0" y="1954161"/>
                                </a:lnTo>
                                <a:lnTo>
                                  <a:pt x="4724" y="0"/>
                                </a:lnTo>
                              </a:path>
                            </a:pathLst>
                          </a:custGeom>
                          <a:ln w="7137">
                            <a:solidFill>
                              <a:srgbClr val="939598"/>
                            </a:solidFill>
                            <a:prstDash val="solid"/>
                          </a:ln>
                        </wps:spPr>
                        <wps:bodyPr wrap="square" lIns="0" tIns="0" rIns="0" bIns="0" rtlCol="0">
                          <a:prstTxWarp prst="textNoShape">
                            <a:avLst/>
                          </a:prstTxWarp>
                          <a:noAutofit/>
                        </wps:bodyPr>
                      </wps:wsp>
                      <wps:wsp>
                        <wps:cNvPr id="281" name="Graphic 281"/>
                        <wps:cNvSpPr/>
                        <wps:spPr>
                          <a:xfrm>
                            <a:off x="491812" y="20336"/>
                            <a:ext cx="93980" cy="93980"/>
                          </a:xfrm>
                          <a:custGeom>
                            <a:avLst/>
                            <a:gdLst/>
                            <a:ahLst/>
                            <a:cxnLst/>
                            <a:rect l="l" t="t" r="r" b="b"/>
                            <a:pathLst>
                              <a:path w="93980" h="93980">
                                <a:moveTo>
                                  <a:pt x="93979" y="0"/>
                                </a:moveTo>
                                <a:lnTo>
                                  <a:pt x="0" y="0"/>
                                </a:lnTo>
                                <a:lnTo>
                                  <a:pt x="0" y="93979"/>
                                </a:lnTo>
                                <a:lnTo>
                                  <a:pt x="93979" y="93979"/>
                                </a:lnTo>
                                <a:lnTo>
                                  <a:pt x="93979" y="0"/>
                                </a:lnTo>
                                <a:close/>
                              </a:path>
                            </a:pathLst>
                          </a:custGeom>
                          <a:solidFill>
                            <a:srgbClr val="0F5D86"/>
                          </a:solidFill>
                        </wps:spPr>
                        <wps:bodyPr wrap="square" lIns="0" tIns="0" rIns="0" bIns="0" rtlCol="0">
                          <a:prstTxWarp prst="textNoShape">
                            <a:avLst/>
                          </a:prstTxWarp>
                          <a:noAutofit/>
                        </wps:bodyPr>
                      </wps:wsp>
                      <wps:wsp>
                        <wps:cNvPr id="282" name="Graphic 282"/>
                        <wps:cNvSpPr/>
                        <wps:spPr>
                          <a:xfrm>
                            <a:off x="1326062" y="20336"/>
                            <a:ext cx="93980" cy="93980"/>
                          </a:xfrm>
                          <a:custGeom>
                            <a:avLst/>
                            <a:gdLst/>
                            <a:ahLst/>
                            <a:cxnLst/>
                            <a:rect l="l" t="t" r="r" b="b"/>
                            <a:pathLst>
                              <a:path w="93980" h="93980">
                                <a:moveTo>
                                  <a:pt x="93979" y="0"/>
                                </a:moveTo>
                                <a:lnTo>
                                  <a:pt x="0" y="0"/>
                                </a:lnTo>
                                <a:lnTo>
                                  <a:pt x="0" y="93979"/>
                                </a:lnTo>
                                <a:lnTo>
                                  <a:pt x="93979" y="93979"/>
                                </a:lnTo>
                                <a:lnTo>
                                  <a:pt x="93979" y="0"/>
                                </a:lnTo>
                                <a:close/>
                              </a:path>
                            </a:pathLst>
                          </a:custGeom>
                          <a:solidFill>
                            <a:srgbClr val="82BF6A"/>
                          </a:solidFill>
                        </wps:spPr>
                        <wps:bodyPr wrap="square" lIns="0" tIns="0" rIns="0" bIns="0" rtlCol="0">
                          <a:prstTxWarp prst="textNoShape">
                            <a:avLst/>
                          </a:prstTxWarp>
                          <a:noAutofit/>
                        </wps:bodyPr>
                      </wps:wsp>
                      <wps:wsp>
                        <wps:cNvPr id="283" name="Textbox 283"/>
                        <wps:cNvSpPr txBox="1"/>
                        <wps:spPr>
                          <a:xfrm>
                            <a:off x="621384" y="0"/>
                            <a:ext cx="481330" cy="139065"/>
                          </a:xfrm>
                          <a:prstGeom prst="rect">
                            <a:avLst/>
                          </a:prstGeom>
                        </wps:spPr>
                        <wps:txbx>
                          <w:txbxContent>
                            <w:p>
                              <w:pPr>
                                <w:spacing w:before="10"/>
                                <w:ind w:left="0" w:right="0" w:firstLine="0"/>
                                <w:jc w:val="left"/>
                                <w:rPr>
                                  <w:sz w:val="16"/>
                                </w:rPr>
                              </w:pPr>
                              <w:r>
                                <w:rPr>
                                  <w:color w:val="105C84"/>
                                  <w:spacing w:val="-2"/>
                                  <w:sz w:val="16"/>
                                </w:rPr>
                                <w:t>Cigarettes</w:t>
                              </w:r>
                            </w:p>
                          </w:txbxContent>
                        </wps:txbx>
                        <wps:bodyPr wrap="square" lIns="0" tIns="0" rIns="0" bIns="0" rtlCol="0">
                          <a:noAutofit/>
                        </wps:bodyPr>
                      </wps:wsp>
                      <wps:wsp>
                        <wps:cNvPr id="284" name="Textbox 284"/>
                        <wps:cNvSpPr txBox="1"/>
                        <wps:spPr>
                          <a:xfrm>
                            <a:off x="1458741" y="0"/>
                            <a:ext cx="553085" cy="139065"/>
                          </a:xfrm>
                          <a:prstGeom prst="rect">
                            <a:avLst/>
                          </a:prstGeom>
                        </wps:spPr>
                        <wps:txbx>
                          <w:txbxContent>
                            <w:p>
                              <w:pPr>
                                <w:spacing w:before="10"/>
                                <w:ind w:left="0" w:right="0" w:firstLine="0"/>
                                <w:jc w:val="left"/>
                                <w:rPr>
                                  <w:sz w:val="16"/>
                                </w:rPr>
                              </w:pPr>
                              <w:r>
                                <w:rPr>
                                  <w:color w:val="105C84"/>
                                  <w:w w:val="90"/>
                                  <w:sz w:val="16"/>
                                </w:rPr>
                                <w:t>E-</w:t>
                              </w:r>
                              <w:r>
                                <w:rPr>
                                  <w:color w:val="105C84"/>
                                  <w:spacing w:val="-2"/>
                                  <w:sz w:val="16"/>
                                </w:rPr>
                                <w:t>cigarettes</w:t>
                              </w:r>
                            </w:p>
                          </w:txbxContent>
                        </wps:txbx>
                        <wps:bodyPr wrap="square" lIns="0" tIns="0" rIns="0" bIns="0" rtlCol="0">
                          <a:noAutofit/>
                        </wps:bodyPr>
                      </wps:wsp>
                    </wpg:wgp>
                  </a:graphicData>
                </a:graphic>
              </wp:anchor>
            </w:drawing>
          </mc:Choice>
          <mc:Fallback>
            <w:pict>
              <v:group style="position:absolute;margin-left:707.514587pt;margin-top:-.083808pt;width:443.5pt;height:154.8pt;mso-position-horizontal-relative:page;mso-position-vertical-relative:paragraph;z-index:15757312" id="docshapegroup219" coordorigin="14150,-2" coordsize="8870,3096">
                <v:rect style="position:absolute;left:21298;top:2303;width:212;height:783" id="docshape220" filled="true" fillcolor="#105c84" stroked="false">
                  <v:fill type="solid"/>
                </v:rect>
                <v:rect style="position:absolute;left:22271;top:2134;width:233;height:952" id="docshape221" filled="true" fillcolor="#636466" stroked="false">
                  <v:fill type="solid"/>
                </v:rect>
                <v:shape style="position:absolute;left:14406;top:1542;width:6111;height:1544" id="docshape222" coordorigin="14407,1543" coordsize="6111,1544" path="m14618,1543l14407,1543,14407,3086,14618,3086,14618,1543xm15612,2071l15379,2071,15379,3086,15612,3086,15612,2071xm16584,1796l16373,1796,16373,3086,16584,3086,16584,1796xm17578,1966l17345,1966,17345,3086,17578,3086,17578,1966xm18550,2177l18339,2177,18339,3086,18550,3086,18550,2177xm19544,1754l19312,1754,19312,3086,19544,3086,19544,1754xm20517,1627l20305,1627,20305,3086,20517,3086,20517,1627xe" filled="true" fillcolor="#105c84" stroked="false">
                  <v:path arrowok="t"/>
                  <v:fill type="solid"/>
                </v:shape>
                <v:rect style="position:absolute;left:22556;top:2853;width:212;height:233" id="docshape223" filled="true" fillcolor="#bcbec0" stroked="false">
                  <v:fill type="solid"/>
                </v:rect>
                <v:shape style="position:absolute;left:14681;top:2768;width:6132;height:318" id="docshape224" coordorigin="14681,2769" coordsize="6132,318" path="m14893,2790l14681,2790,14681,3086,14893,3086,14893,2790xm15886,2769l15654,2769,15654,3086,15886,3086,15886,2769xm16859,2896l16648,2896,16648,3086,16859,3086,16859,2896xm18846,3001l18614,3001,18614,3086,18846,3086,18846,3001xm19819,2832l19608,2832,19608,3086,19819,3086,19819,2832xm20813,2811l20580,2811,20580,3086,20813,3086,20813,2811xe" filled="true" fillcolor="#82bf6a" stroked="false">
                  <v:path arrowok="t"/>
                  <v:fill type="solid"/>
                </v:shape>
                <v:shape style="position:absolute;left:14474;top:1193;width:85;height:698" id="docshape225" coordorigin="14474,1194" coordsize="85,698" path="m14517,1553l14517,1892m14517,1553l14517,1194m14474,1892l14559,1892m14474,1194l14559,1194e" filled="false" stroked="true" strokeweight=".72pt" strokecolor="#939598">
                  <v:path arrowok="t"/>
                  <v:stroke dashstyle="solid"/>
                </v:shape>
                <v:shape style="position:absolute;left:15453;top:1722;width:85;height:719" id="docshape226" coordorigin="15453,1722" coordsize="85,719" path="m15495,2082l15495,2441m15495,2082l15495,1722m15453,2441l15538,2441m15453,1722l15538,1722e" filled="false" stroked="true" strokeweight=".72pt" strokecolor="#989a9c">
                  <v:path arrowok="t"/>
                  <v:stroke dashstyle="solid"/>
                </v:shape>
                <v:shape style="position:absolute;left:16434;top:1426;width:89;height:719" id="docshape227" coordorigin="16434,1426" coordsize="89,719" path="m16479,1786l16479,2145m16479,1786l16479,1426m16434,2145l16523,2145m16434,1426l16523,1426e" filled="false" stroked="true" strokeweight=".72pt" strokecolor="#989a9c">
                  <v:path arrowok="t"/>
                  <v:stroke dashstyle="solid"/>
                </v:shape>
                <v:shape style="position:absolute;left:17419;top:1574;width:85;height:783" id="docshape228" coordorigin="17419,1574" coordsize="85,783" path="m17462,1955l17462,2357m17462,1955l17462,1574m17419,2357l17504,2357m17419,1574l17504,1574e" filled="false" stroked="true" strokeweight=".72pt" strokecolor="#989a9c">
                  <v:path arrowok="t"/>
                  <v:stroke dashstyle="solid"/>
                </v:shape>
                <v:shape style="position:absolute;left:18398;top:1849;width:94;height:656" id="docshape229" coordorigin="18398,1849" coordsize="94,656" path="m18444,2188l18444,2505m18444,2188l18444,1849m18398,2505l18491,2505m18398,1849l18491,1849e" filled="false" stroked="true" strokeweight=".676pt" strokecolor="#989a9c">
                  <v:path arrowok="t"/>
                  <v:stroke dashstyle="solid"/>
                </v:shape>
                <v:shape style="position:absolute;left:19385;top:1426;width:85;height:656" id="docshape230" coordorigin="19386,1426" coordsize="85,656" path="m19428,1744l19428,2082m19428,1744l19428,1426m19386,2082l19470,2082m19386,1426l19470,1426e" filled="false" stroked="true" strokeweight=".72pt" strokecolor="#989a9c">
                  <v:path arrowok="t"/>
                  <v:stroke dashstyle="solid"/>
                </v:shape>
                <v:shape style="position:absolute;left:20369;top:1320;width:83;height:635" id="docshape231" coordorigin="20370,1321" coordsize="83,635" path="m20410,1638l20410,1955m20410,1638l20410,1321m20370,1955l20452,1955m20370,1321l20452,1321e" filled="false" stroked="true" strokeweight=".72pt" strokecolor="#989a9c">
                  <v:path arrowok="t"/>
                  <v:stroke dashstyle="solid"/>
                </v:shape>
                <v:shape style="position:absolute;left:21362;top:1997;width:85;height:592" id="docshape232" coordorigin="21363,1997" coordsize="85,592" path="m21405,2293l21405,2589m21405,2293l21405,1997m21363,2589l21448,2589m21363,1997l21448,1997e" filled="false" stroked="true" strokeweight=".72pt" strokecolor="#989a9c">
                  <v:path arrowok="t"/>
                  <v:stroke dashstyle="solid"/>
                </v:shape>
                <v:shape style="position:absolute;left:22355;top:2060;width:66;height:127" id="docshape233" coordorigin="22355,2061" coordsize="66,127" path="m22388,2124l22388,2188m22388,2124l22388,2061m22355,2188l22421,2188m22355,2061l22421,2061e" filled="false" stroked="true" strokeweight=".72pt" strokecolor="#989a9c">
                  <v:path arrowok="t"/>
                  <v:stroke dashstyle="solid"/>
                </v:shape>
                <v:shape style="position:absolute;left:14740;top:2631;width:94;height:339" id="docshape234" coordorigin="14741,2631" coordsize="94,339" path="m14790,2801l14790,2970m14790,2801l14790,2631m14741,2970l14834,2970m14741,2631l14834,2631e" filled="false" stroked="true" strokeweight=".72pt" strokecolor="#989a9c">
                  <v:path arrowok="t"/>
                  <v:stroke dashstyle="solid"/>
                </v:shape>
                <v:shape style="position:absolute;left:15727;top:2546;width:85;height:444" id="docshape235" coordorigin="15728,2547" coordsize="85,444" path="m15770,2758l15770,2991m15770,2758l15770,2547m15728,2991l15812,2991m15728,2547l15812,2547e" filled="false" stroked="true" strokeweight=".72pt" strokecolor="#989a9c">
                  <v:path arrowok="t"/>
                  <v:stroke dashstyle="solid"/>
                </v:shape>
                <v:shape style="position:absolute;left:16704;top:2731;width:98;height:323" id="docshape236" coordorigin="16705,2732" coordsize="98,323" path="m16751,2901l16751,3049m16751,2901l16751,2732m16705,3054l16802,3054m16705,2737l16802,2737e" filled="false" stroked="true" strokeweight=".72pt" strokecolor="#989a9c">
                  <v:path arrowok="t"/>
                  <v:stroke dashstyle="solid"/>
                </v:shape>
                <v:shape style="position:absolute;left:18687;top:2906;width:85;height:172" id="docshape237" coordorigin="18688,2906" coordsize="85,172" path="m18730,3012l18730,3078m18730,3012l18730,2906m18688,2906l18772,2906e" filled="false" stroked="true" strokeweight=".72pt" strokecolor="#989a9c">
                  <v:path arrowok="t"/>
                  <v:stroke dashstyle="solid"/>
                </v:shape>
                <v:shape style="position:absolute;left:19670;top:2673;width:87;height:318" id="docshape238" coordorigin="19670,2674" coordsize="87,318" path="m19714,2843l19714,2991m19714,2843l19714,2674m19670,2991l19756,2991m19670,2674l19756,2674e" filled="false" stroked="true" strokeweight=".72pt" strokecolor="#989a9c">
                  <v:path arrowok="t"/>
                  <v:stroke dashstyle="solid"/>
                </v:shape>
                <v:shape style="position:absolute;left:20654;top:2673;width:85;height:296" id="docshape239" coordorigin="20654,2674" coordsize="85,296" path="m20696,2822l20696,2970m20696,2822l20696,2674m20654,2970l20739,2970m20654,2674l20739,2674e" filled="false" stroked="true" strokeweight=".72pt" strokecolor="#989a9c">
                  <v:path arrowok="t"/>
                  <v:stroke dashstyle="solid"/>
                </v:shape>
                <v:shape style="position:absolute;left:22633;top:2814;width:65;height:82" id="docshape240" coordorigin="22634,2814" coordsize="65,82" path="m22666,2842l22666,2896m22666,2842l22666,2814m22634,2896l22699,2896m22634,2814l22699,2814e" filled="false" stroked="true" strokeweight=".717pt" strokecolor="#989a9c">
                  <v:path arrowok="t"/>
                  <v:stroke dashstyle="solid"/>
                </v:shape>
                <v:shape style="position:absolute;left:14155;top:10;width:8859;height:3078" id="docshape241" coordorigin="14156,11" coordsize="8859,3078" path="m23015,3088l14156,3088,14163,11e" filled="false" stroked="true" strokeweight=".562pt" strokecolor="#939598">
                  <v:path arrowok="t"/>
                  <v:stroke dashstyle="solid"/>
                </v:shape>
                <v:rect style="position:absolute;left:14924;top:30;width:148;height:148" id="docshape242" filled="true" fillcolor="#0f5d86" stroked="false">
                  <v:fill type="solid"/>
                </v:rect>
                <v:rect style="position:absolute;left:16238;top:30;width:148;height:148" id="docshape243" filled="true" fillcolor="#82bf6a" stroked="false">
                  <v:fill type="solid"/>
                </v:rect>
                <v:shape style="position:absolute;left:15128;top:-2;width:758;height:219" type="#_x0000_t202" id="docshape244" filled="false" stroked="false">
                  <v:textbox inset="0,0,0,0">
                    <w:txbxContent>
                      <w:p>
                        <w:pPr>
                          <w:spacing w:before="10"/>
                          <w:ind w:left="0" w:right="0" w:firstLine="0"/>
                          <w:jc w:val="left"/>
                          <w:rPr>
                            <w:sz w:val="16"/>
                          </w:rPr>
                        </w:pPr>
                        <w:r>
                          <w:rPr>
                            <w:color w:val="105C84"/>
                            <w:spacing w:val="-2"/>
                            <w:sz w:val="16"/>
                          </w:rPr>
                          <w:t>Cigarettes</w:t>
                        </w:r>
                      </w:p>
                    </w:txbxContent>
                  </v:textbox>
                  <w10:wrap type="none"/>
                </v:shape>
                <v:shape style="position:absolute;left:16447;top:-2;width:871;height:219" type="#_x0000_t202" id="docshape245" filled="false" stroked="false">
                  <v:textbox inset="0,0,0,0">
                    <w:txbxContent>
                      <w:p>
                        <w:pPr>
                          <w:spacing w:before="10"/>
                          <w:ind w:left="0" w:right="0" w:firstLine="0"/>
                          <w:jc w:val="left"/>
                          <w:rPr>
                            <w:sz w:val="16"/>
                          </w:rPr>
                        </w:pPr>
                        <w:r>
                          <w:rPr>
                            <w:color w:val="105C84"/>
                            <w:w w:val="90"/>
                            <w:sz w:val="16"/>
                          </w:rPr>
                          <w:t>E-</w:t>
                        </w:r>
                        <w:r>
                          <w:rPr>
                            <w:color w:val="105C84"/>
                            <w:spacing w:val="-2"/>
                            <w:sz w:val="16"/>
                          </w:rPr>
                          <w:t>cigarettes</w:t>
                        </w:r>
                      </w:p>
                    </w:txbxContent>
                  </v:textbox>
                  <w10:wrap type="none"/>
                </v:shape>
                <w10:wrap type="none"/>
              </v:group>
            </w:pict>
          </mc:Fallback>
        </mc:AlternateContent>
      </w:r>
      <w:r>
        <w:rPr>
          <w:color w:val="636466"/>
          <w:spacing w:val="-5"/>
          <w:sz w:val="18"/>
        </w:rPr>
        <w:t>50%</w:t>
      </w:r>
    </w:p>
    <w:p>
      <w:pPr>
        <w:spacing w:before="89"/>
        <w:ind w:left="1467" w:right="0" w:firstLine="0"/>
        <w:jc w:val="left"/>
        <w:rPr>
          <w:sz w:val="18"/>
        </w:rPr>
      </w:pPr>
      <w:r>
        <w:rPr>
          <w:color w:val="636466"/>
          <w:spacing w:val="-5"/>
          <w:sz w:val="18"/>
        </w:rPr>
        <w:t>45%</w:t>
      </w:r>
    </w:p>
    <w:p>
      <w:pPr>
        <w:spacing w:before="89"/>
        <w:ind w:left="1467" w:right="0" w:firstLine="0"/>
        <w:jc w:val="left"/>
        <w:rPr>
          <w:sz w:val="18"/>
        </w:rPr>
      </w:pPr>
      <w:r>
        <w:rPr>
          <w:sz w:val="18"/>
        </w:rPr>
        <mc:AlternateContent>
          <mc:Choice Requires="wps">
            <w:drawing>
              <wp:anchor distT="0" distB="0" distL="0" distR="0" allowOverlap="1" layoutInCell="1" locked="0" behindDoc="0" simplePos="0" relativeHeight="15757824">
                <wp:simplePos x="0" y="0"/>
                <wp:positionH relativeFrom="page">
                  <wp:posOffset>8457072</wp:posOffset>
                </wp:positionH>
                <wp:positionV relativeFrom="paragraph">
                  <wp:posOffset>173694</wp:posOffset>
                </wp:positionV>
                <wp:extent cx="164465" cy="1002665"/>
                <wp:effectExtent l="0" t="0" r="0" b="0"/>
                <wp:wrapNone/>
                <wp:docPr id="285" name="Textbox 285"/>
                <wp:cNvGraphicFramePr>
                  <a:graphicFrameLocks/>
                </wp:cNvGraphicFramePr>
                <a:graphic>
                  <a:graphicData uri="http://schemas.microsoft.com/office/word/2010/wordprocessingShape">
                    <wps:wsp>
                      <wps:cNvPr id="285" name="Textbox 285"/>
                      <wps:cNvSpPr txBox="1"/>
                      <wps:spPr>
                        <a:xfrm>
                          <a:off x="0" y="0"/>
                          <a:ext cx="164465" cy="1002665"/>
                        </a:xfrm>
                        <a:prstGeom prst="rect">
                          <a:avLst/>
                        </a:prstGeom>
                      </wps:spPr>
                      <wps:txbx>
                        <w:txbxContent>
                          <w:p>
                            <w:pPr>
                              <w:spacing w:before="30"/>
                              <w:ind w:left="20" w:right="0" w:firstLine="0"/>
                              <w:jc w:val="left"/>
                              <w:rPr>
                                <w:sz w:val="16"/>
                              </w:rPr>
                            </w:pPr>
                            <w:r>
                              <w:rPr>
                                <w:color w:val="105C84"/>
                                <w:sz w:val="16"/>
                              </w:rPr>
                              <w:t>Percent</w:t>
                            </w:r>
                            <w:r>
                              <w:rPr>
                                <w:color w:val="105C84"/>
                                <w:spacing w:val="-5"/>
                                <w:sz w:val="16"/>
                              </w:rPr>
                              <w:t> </w:t>
                            </w:r>
                            <w:r>
                              <w:rPr>
                                <w:color w:val="105C84"/>
                                <w:sz w:val="16"/>
                              </w:rPr>
                              <w:t>of</w:t>
                            </w:r>
                            <w:r>
                              <w:rPr>
                                <w:color w:val="105C84"/>
                                <w:spacing w:val="-5"/>
                                <w:sz w:val="16"/>
                              </w:rPr>
                              <w:t> </w:t>
                            </w:r>
                            <w:r>
                              <w:rPr>
                                <w:color w:val="105C84"/>
                                <w:spacing w:val="-2"/>
                                <w:sz w:val="16"/>
                              </w:rPr>
                              <w:t>Population</w:t>
                            </w:r>
                          </w:p>
                        </w:txbxContent>
                      </wps:txbx>
                      <wps:bodyPr wrap="square" lIns="0" tIns="0" rIns="0" bIns="0" rtlCol="0" vert="vert270">
                        <a:noAutofit/>
                      </wps:bodyPr>
                    </wps:wsp>
                  </a:graphicData>
                </a:graphic>
              </wp:anchor>
            </w:drawing>
          </mc:Choice>
          <mc:Fallback>
            <w:pict>
              <v:shape style="position:absolute;margin-left:665.911194pt;margin-top:13.676746pt;width:12.95pt;height:78.95pt;mso-position-horizontal-relative:page;mso-position-vertical-relative:paragraph;z-index:15757824" type="#_x0000_t202" id="docshape246" filled="false" stroked="false">
                <v:textbox inset="0,0,0,0" style="layout-flow:vertical;mso-layout-flow-alt:bottom-to-top">
                  <w:txbxContent>
                    <w:p>
                      <w:pPr>
                        <w:spacing w:before="30"/>
                        <w:ind w:left="20" w:right="0" w:firstLine="0"/>
                        <w:jc w:val="left"/>
                        <w:rPr>
                          <w:sz w:val="16"/>
                        </w:rPr>
                      </w:pPr>
                      <w:r>
                        <w:rPr>
                          <w:color w:val="105C84"/>
                          <w:sz w:val="16"/>
                        </w:rPr>
                        <w:t>Percent</w:t>
                      </w:r>
                      <w:r>
                        <w:rPr>
                          <w:color w:val="105C84"/>
                          <w:spacing w:val="-5"/>
                          <w:sz w:val="16"/>
                        </w:rPr>
                        <w:t> </w:t>
                      </w:r>
                      <w:r>
                        <w:rPr>
                          <w:color w:val="105C84"/>
                          <w:sz w:val="16"/>
                        </w:rPr>
                        <w:t>of</w:t>
                      </w:r>
                      <w:r>
                        <w:rPr>
                          <w:color w:val="105C84"/>
                          <w:spacing w:val="-5"/>
                          <w:sz w:val="16"/>
                        </w:rPr>
                        <w:t> </w:t>
                      </w:r>
                      <w:r>
                        <w:rPr>
                          <w:color w:val="105C84"/>
                          <w:spacing w:val="-2"/>
                          <w:sz w:val="16"/>
                        </w:rPr>
                        <w:t>Population</w:t>
                      </w:r>
                    </w:p>
                  </w:txbxContent>
                </v:textbox>
                <w10:wrap type="none"/>
              </v:shape>
            </w:pict>
          </mc:Fallback>
        </mc:AlternateContent>
      </w:r>
      <w:r>
        <w:rPr>
          <w:color w:val="636466"/>
          <w:spacing w:val="-5"/>
          <w:sz w:val="18"/>
        </w:rPr>
        <w:t>40%</w:t>
      </w:r>
    </w:p>
    <w:p>
      <w:pPr>
        <w:spacing w:before="89"/>
        <w:ind w:left="1467" w:right="0" w:firstLine="0"/>
        <w:jc w:val="left"/>
        <w:rPr>
          <w:sz w:val="18"/>
        </w:rPr>
      </w:pPr>
      <w:r>
        <w:rPr>
          <w:color w:val="636466"/>
          <w:spacing w:val="-5"/>
          <w:sz w:val="18"/>
        </w:rPr>
        <w:t>35%</w:t>
      </w:r>
    </w:p>
    <w:p>
      <w:pPr>
        <w:spacing w:before="89"/>
        <w:ind w:left="1467" w:right="0" w:firstLine="0"/>
        <w:jc w:val="left"/>
        <w:rPr>
          <w:sz w:val="18"/>
        </w:rPr>
      </w:pPr>
      <w:r>
        <w:rPr>
          <w:color w:val="636466"/>
          <w:spacing w:val="-5"/>
          <w:sz w:val="18"/>
        </w:rPr>
        <w:t>30%</w:t>
      </w:r>
    </w:p>
    <w:p>
      <w:pPr>
        <w:spacing w:before="89"/>
        <w:ind w:left="1467" w:right="0" w:firstLine="0"/>
        <w:jc w:val="left"/>
        <w:rPr>
          <w:sz w:val="18"/>
        </w:rPr>
      </w:pPr>
      <w:r>
        <w:rPr>
          <w:color w:val="636466"/>
          <w:spacing w:val="-5"/>
          <w:sz w:val="18"/>
        </w:rPr>
        <w:t>25%</w:t>
      </w:r>
    </w:p>
    <w:p>
      <w:pPr>
        <w:spacing w:before="89"/>
        <w:ind w:left="1467" w:right="0" w:firstLine="0"/>
        <w:jc w:val="left"/>
        <w:rPr>
          <w:sz w:val="18"/>
        </w:rPr>
      </w:pPr>
      <w:r>
        <w:rPr>
          <w:color w:val="636466"/>
          <w:spacing w:val="-5"/>
          <w:sz w:val="18"/>
        </w:rPr>
        <w:t>20%</w:t>
      </w:r>
    </w:p>
    <w:p>
      <w:pPr>
        <w:spacing w:before="89"/>
        <w:ind w:left="1467" w:right="0" w:firstLine="0"/>
        <w:jc w:val="left"/>
        <w:rPr>
          <w:sz w:val="18"/>
        </w:rPr>
      </w:pPr>
      <w:r>
        <w:rPr>
          <w:color w:val="636466"/>
          <w:spacing w:val="-5"/>
          <w:sz w:val="18"/>
        </w:rPr>
        <w:t>15%</w:t>
      </w:r>
    </w:p>
    <w:p>
      <w:pPr>
        <w:spacing w:before="89"/>
        <w:ind w:left="1467" w:right="0" w:firstLine="0"/>
        <w:jc w:val="left"/>
        <w:rPr>
          <w:sz w:val="18"/>
        </w:rPr>
      </w:pPr>
      <w:r>
        <w:rPr>
          <w:color w:val="636466"/>
          <w:spacing w:val="-5"/>
          <w:sz w:val="18"/>
        </w:rPr>
        <w:t>10%</w:t>
      </w:r>
    </w:p>
    <w:p>
      <w:pPr>
        <w:spacing w:before="88"/>
        <w:ind w:left="1574" w:right="0" w:firstLine="0"/>
        <w:jc w:val="left"/>
        <w:rPr>
          <w:sz w:val="18"/>
        </w:rPr>
      </w:pPr>
      <w:r>
        <w:rPr>
          <w:color w:val="636466"/>
          <w:spacing w:val="-5"/>
          <w:sz w:val="18"/>
        </w:rPr>
        <w:t>5%</w:t>
      </w:r>
    </w:p>
    <w:p>
      <w:pPr>
        <w:spacing w:before="89"/>
        <w:ind w:left="1574" w:right="0" w:firstLine="0"/>
        <w:jc w:val="left"/>
        <w:rPr>
          <w:sz w:val="18"/>
        </w:rPr>
      </w:pPr>
      <w:r>
        <w:rPr>
          <w:color w:val="636466"/>
          <w:spacing w:val="-5"/>
          <w:sz w:val="18"/>
        </w:rPr>
        <w:t>0%</w:t>
      </w:r>
    </w:p>
    <w:p>
      <w:pPr>
        <w:spacing w:after="0"/>
        <w:jc w:val="left"/>
        <w:rPr>
          <w:sz w:val="18"/>
        </w:rPr>
        <w:sectPr>
          <w:type w:val="continuous"/>
          <w:pgSz w:w="24480" w:h="15840" w:orient="landscape"/>
          <w:pgMar w:header="0" w:footer="0" w:top="0" w:bottom="280" w:left="0" w:right="720"/>
          <w:cols w:num="2" w:equalWidth="0">
            <w:col w:w="11083" w:space="1128"/>
            <w:col w:w="11549"/>
          </w:cols>
        </w:sect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55"/>
        <w:rPr>
          <w:sz w:val="16"/>
        </w:rPr>
      </w:pPr>
    </w:p>
    <w:p>
      <w:pPr>
        <w:spacing w:before="0"/>
        <w:ind w:left="1108" w:right="0" w:firstLine="0"/>
        <w:jc w:val="left"/>
        <w:rPr>
          <w:sz w:val="16"/>
        </w:rPr>
      </w:pPr>
      <w:r>
        <w:rPr>
          <w:sz w:val="16"/>
        </w:rPr>
        <mc:AlternateContent>
          <mc:Choice Requires="wps">
            <w:drawing>
              <wp:anchor distT="0" distB="0" distL="0" distR="0" allowOverlap="1" layoutInCell="1" locked="0" behindDoc="0" simplePos="0" relativeHeight="15758336">
                <wp:simplePos x="0" y="0"/>
                <wp:positionH relativeFrom="page">
                  <wp:posOffset>665987</wp:posOffset>
                </wp:positionH>
                <wp:positionV relativeFrom="paragraph">
                  <wp:posOffset>-2575231</wp:posOffset>
                </wp:positionV>
                <wp:extent cx="6477000" cy="2434590"/>
                <wp:effectExtent l="0" t="0" r="0" b="0"/>
                <wp:wrapNone/>
                <wp:docPr id="286" name="Textbox 286"/>
                <wp:cNvGraphicFramePr>
                  <a:graphicFrameLocks/>
                </wp:cNvGraphicFramePr>
                <a:graphic>
                  <a:graphicData uri="http://schemas.microsoft.com/office/word/2010/wordprocessingShape">
                    <wps:wsp>
                      <wps:cNvPr id="286" name="Textbox 286"/>
                      <wps:cNvSpPr txBox="1"/>
                      <wps:spPr>
                        <a:xfrm>
                          <a:off x="0" y="0"/>
                          <a:ext cx="6477000" cy="2434590"/>
                        </a:xfrm>
                        <a:prstGeom prst="rect">
                          <a:avLst/>
                        </a:prstGeom>
                      </wps:spPr>
                      <wps:txbx>
                        <w:txbxContent>
                          <w:tbl>
                            <w:tblPr>
                              <w:tblW w:w="0" w:type="auto"/>
                              <w:jc w:val="left"/>
                              <w:tblInd w:w="62"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top w:w="0" w:type="dxa"/>
                                <w:left w:w="0" w:type="dxa"/>
                                <w:bottom w:w="0" w:type="dxa"/>
                                <w:right w:w="0" w:type="dxa"/>
                              </w:tblCellMar>
                              <w:tblLook w:val="01E0"/>
                            </w:tblPr>
                            <w:tblGrid>
                              <w:gridCol w:w="2186"/>
                              <w:gridCol w:w="3944"/>
                              <w:gridCol w:w="3944"/>
                            </w:tblGrid>
                            <w:tr>
                              <w:trPr>
                                <w:trHeight w:val="472" w:hRule="atLeast"/>
                              </w:trPr>
                              <w:tc>
                                <w:tcPr>
                                  <w:tcW w:w="2186" w:type="dxa"/>
                                  <w:shd w:val="clear" w:color="auto" w:fill="EFEFF0"/>
                                </w:tcPr>
                                <w:p>
                                  <w:pPr>
                                    <w:pStyle w:val="TableParagraph"/>
                                    <w:rPr>
                                      <w:rFonts w:ascii="Times New Roman"/>
                                      <w:sz w:val="20"/>
                                    </w:rPr>
                                  </w:pPr>
                                </w:p>
                              </w:tc>
                              <w:tc>
                                <w:tcPr>
                                  <w:tcW w:w="3944" w:type="dxa"/>
                                  <w:shd w:val="clear" w:color="auto" w:fill="EFEFF0"/>
                                </w:tcPr>
                                <w:p>
                                  <w:pPr>
                                    <w:pStyle w:val="TableParagraph"/>
                                    <w:spacing w:before="121"/>
                                    <w:ind w:left="9" w:right="1"/>
                                    <w:jc w:val="center"/>
                                    <w:rPr>
                                      <w:b/>
                                      <w:sz w:val="22"/>
                                    </w:rPr>
                                  </w:pPr>
                                  <w:r>
                                    <w:rPr>
                                      <w:b/>
                                      <w:color w:val="105C84"/>
                                      <w:spacing w:val="-5"/>
                                      <w:sz w:val="22"/>
                                    </w:rPr>
                                    <w:t>CVD</w:t>
                                  </w:r>
                                </w:p>
                              </w:tc>
                              <w:tc>
                                <w:tcPr>
                                  <w:tcW w:w="3944" w:type="dxa"/>
                                  <w:shd w:val="clear" w:color="auto" w:fill="EFEFF0"/>
                                </w:tcPr>
                                <w:p>
                                  <w:pPr>
                                    <w:pStyle w:val="TableParagraph"/>
                                    <w:spacing w:before="121"/>
                                    <w:ind w:left="9"/>
                                    <w:jc w:val="center"/>
                                    <w:rPr>
                                      <w:b/>
                                      <w:sz w:val="22"/>
                                    </w:rPr>
                                  </w:pPr>
                                  <w:r>
                                    <w:rPr>
                                      <w:b/>
                                      <w:color w:val="105C84"/>
                                      <w:sz w:val="22"/>
                                    </w:rPr>
                                    <w:t>CVD-</w:t>
                                  </w:r>
                                  <w:r>
                                    <w:rPr>
                                      <w:b/>
                                      <w:color w:val="105C84"/>
                                      <w:spacing w:val="3"/>
                                      <w:sz w:val="22"/>
                                    </w:rPr>
                                    <w:t> </w:t>
                                  </w:r>
                                  <w:r>
                                    <w:rPr>
                                      <w:b/>
                                      <w:color w:val="105C84"/>
                                      <w:sz w:val="22"/>
                                    </w:rPr>
                                    <w:t>those</w:t>
                                  </w:r>
                                  <w:r>
                                    <w:rPr>
                                      <w:b/>
                                      <w:color w:val="105C84"/>
                                      <w:spacing w:val="4"/>
                                      <w:sz w:val="22"/>
                                    </w:rPr>
                                    <w:t> </w:t>
                                  </w:r>
                                  <w:r>
                                    <w:rPr>
                                      <w:b/>
                                      <w:color w:val="105C84"/>
                                      <w:sz w:val="22"/>
                                    </w:rPr>
                                    <w:t>living</w:t>
                                  </w:r>
                                  <w:r>
                                    <w:rPr>
                                      <w:b/>
                                      <w:color w:val="105C84"/>
                                      <w:spacing w:val="4"/>
                                      <w:sz w:val="22"/>
                                    </w:rPr>
                                    <w:t> </w:t>
                                  </w:r>
                                  <w:r>
                                    <w:rPr>
                                      <w:b/>
                                      <w:color w:val="105C84"/>
                                      <w:sz w:val="22"/>
                                    </w:rPr>
                                    <w:t>with</w:t>
                                  </w:r>
                                  <w:r>
                                    <w:rPr>
                                      <w:b/>
                                      <w:color w:val="105C84"/>
                                      <w:spacing w:val="3"/>
                                      <w:sz w:val="22"/>
                                    </w:rPr>
                                    <w:t> </w:t>
                                  </w:r>
                                  <w:r>
                                    <w:rPr>
                                      <w:b/>
                                      <w:color w:val="105C84"/>
                                      <w:sz w:val="22"/>
                                    </w:rPr>
                                    <w:t>a</w:t>
                                  </w:r>
                                  <w:r>
                                    <w:rPr>
                                      <w:b/>
                                      <w:color w:val="105C84"/>
                                      <w:spacing w:val="4"/>
                                      <w:sz w:val="22"/>
                                    </w:rPr>
                                    <w:t> </w:t>
                                  </w:r>
                                  <w:r>
                                    <w:rPr>
                                      <w:b/>
                                      <w:color w:val="105C84"/>
                                      <w:spacing w:val="-2"/>
                                      <w:sz w:val="22"/>
                                    </w:rPr>
                                    <w:t>disability</w:t>
                                  </w:r>
                                </w:p>
                              </w:tc>
                            </w:tr>
                            <w:tr>
                              <w:trPr>
                                <w:trHeight w:val="318" w:hRule="atLeast"/>
                              </w:trPr>
                              <w:tc>
                                <w:tcPr>
                                  <w:tcW w:w="2186" w:type="dxa"/>
                                  <w:shd w:val="clear" w:color="auto" w:fill="DCDDDE"/>
                                </w:tcPr>
                                <w:p>
                                  <w:pPr>
                                    <w:pStyle w:val="TableParagraph"/>
                                    <w:spacing w:before="53"/>
                                    <w:ind w:left="90"/>
                                    <w:rPr>
                                      <w:b/>
                                      <w:sz w:val="20"/>
                                    </w:rPr>
                                  </w:pPr>
                                  <w:r>
                                    <w:rPr>
                                      <w:b/>
                                      <w:color w:val="105C84"/>
                                      <w:spacing w:val="-2"/>
                                      <w:sz w:val="20"/>
                                    </w:rPr>
                                    <w:t>Chemung</w:t>
                                  </w:r>
                                </w:p>
                              </w:tc>
                              <w:tc>
                                <w:tcPr>
                                  <w:tcW w:w="3944" w:type="dxa"/>
                                </w:tcPr>
                                <w:p>
                                  <w:pPr>
                                    <w:pStyle w:val="TableParagraph"/>
                                    <w:spacing w:before="53"/>
                                    <w:ind w:left="9" w:right="1"/>
                                    <w:jc w:val="center"/>
                                    <w:rPr>
                                      <w:sz w:val="20"/>
                                    </w:rPr>
                                  </w:pPr>
                                  <w:r>
                                    <w:rPr>
                                      <w:color w:val="105C84"/>
                                      <w:spacing w:val="-5"/>
                                      <w:sz w:val="20"/>
                                    </w:rPr>
                                    <w:t>13%</w:t>
                                  </w:r>
                                </w:p>
                              </w:tc>
                              <w:tc>
                                <w:tcPr>
                                  <w:tcW w:w="3944" w:type="dxa"/>
                                </w:tcPr>
                                <w:p>
                                  <w:pPr>
                                    <w:pStyle w:val="TableParagraph"/>
                                    <w:spacing w:before="53"/>
                                    <w:ind w:left="9" w:right="1"/>
                                    <w:jc w:val="center"/>
                                    <w:rPr>
                                      <w:sz w:val="20"/>
                                    </w:rPr>
                                  </w:pPr>
                                  <w:r>
                                    <w:rPr>
                                      <w:color w:val="105C84"/>
                                      <w:spacing w:val="-5"/>
                                      <w:sz w:val="20"/>
                                    </w:rPr>
                                    <w:t>24%</w:t>
                                  </w:r>
                                </w:p>
                              </w:tc>
                            </w:tr>
                            <w:tr>
                              <w:trPr>
                                <w:trHeight w:val="336" w:hRule="atLeast"/>
                              </w:trPr>
                              <w:tc>
                                <w:tcPr>
                                  <w:tcW w:w="2186" w:type="dxa"/>
                                  <w:shd w:val="clear" w:color="auto" w:fill="DCDDDE"/>
                                </w:tcPr>
                                <w:p>
                                  <w:pPr>
                                    <w:pStyle w:val="TableParagraph"/>
                                    <w:spacing w:before="62"/>
                                    <w:ind w:left="90"/>
                                    <w:rPr>
                                      <w:b/>
                                      <w:sz w:val="20"/>
                                    </w:rPr>
                                  </w:pPr>
                                  <w:r>
                                    <w:rPr>
                                      <w:b/>
                                      <w:color w:val="105C84"/>
                                      <w:spacing w:val="-2"/>
                                      <w:sz w:val="20"/>
                                    </w:rPr>
                                    <w:t>Livingston</w:t>
                                  </w:r>
                                </w:p>
                              </w:tc>
                              <w:tc>
                                <w:tcPr>
                                  <w:tcW w:w="3944" w:type="dxa"/>
                                </w:tcPr>
                                <w:p>
                                  <w:pPr>
                                    <w:pStyle w:val="TableParagraph"/>
                                    <w:spacing w:before="62"/>
                                    <w:ind w:left="9" w:right="1"/>
                                    <w:jc w:val="center"/>
                                    <w:rPr>
                                      <w:sz w:val="20"/>
                                    </w:rPr>
                                  </w:pPr>
                                  <w:r>
                                    <w:rPr>
                                      <w:color w:val="105C84"/>
                                      <w:spacing w:val="-5"/>
                                      <w:sz w:val="20"/>
                                    </w:rPr>
                                    <w:t>9%</w:t>
                                  </w:r>
                                </w:p>
                              </w:tc>
                              <w:tc>
                                <w:tcPr>
                                  <w:tcW w:w="3944" w:type="dxa"/>
                                </w:tcPr>
                                <w:p>
                                  <w:pPr>
                                    <w:pStyle w:val="TableParagraph"/>
                                    <w:spacing w:before="62"/>
                                    <w:ind w:left="9" w:right="1"/>
                                    <w:jc w:val="center"/>
                                    <w:rPr>
                                      <w:sz w:val="20"/>
                                    </w:rPr>
                                  </w:pPr>
                                  <w:r>
                                    <w:rPr>
                                      <w:color w:val="105C84"/>
                                      <w:spacing w:val="-5"/>
                                      <w:sz w:val="20"/>
                                    </w:rPr>
                                    <w:t>20%</w:t>
                                  </w:r>
                                </w:p>
                              </w:tc>
                            </w:tr>
                            <w:tr>
                              <w:trPr>
                                <w:trHeight w:val="331" w:hRule="atLeast"/>
                              </w:trPr>
                              <w:tc>
                                <w:tcPr>
                                  <w:tcW w:w="2186" w:type="dxa"/>
                                  <w:shd w:val="clear" w:color="auto" w:fill="DCDDDE"/>
                                </w:tcPr>
                                <w:p>
                                  <w:pPr>
                                    <w:pStyle w:val="TableParagraph"/>
                                    <w:spacing w:before="59"/>
                                    <w:ind w:left="89"/>
                                    <w:rPr>
                                      <w:b/>
                                      <w:sz w:val="20"/>
                                    </w:rPr>
                                  </w:pPr>
                                  <w:r>
                                    <w:rPr>
                                      <w:b/>
                                      <w:color w:val="105C84"/>
                                      <w:spacing w:val="-2"/>
                                      <w:sz w:val="20"/>
                                    </w:rPr>
                                    <w:t>Ontario</w:t>
                                  </w:r>
                                </w:p>
                              </w:tc>
                              <w:tc>
                                <w:tcPr>
                                  <w:tcW w:w="3944" w:type="dxa"/>
                                </w:tcPr>
                                <w:p>
                                  <w:pPr>
                                    <w:pStyle w:val="TableParagraph"/>
                                    <w:spacing w:before="59"/>
                                    <w:ind w:left="9" w:right="1"/>
                                    <w:jc w:val="center"/>
                                    <w:rPr>
                                      <w:sz w:val="20"/>
                                    </w:rPr>
                                  </w:pPr>
                                  <w:r>
                                    <w:rPr>
                                      <w:color w:val="105C84"/>
                                      <w:spacing w:val="-5"/>
                                      <w:sz w:val="20"/>
                                    </w:rPr>
                                    <w:t>8%</w:t>
                                  </w:r>
                                </w:p>
                              </w:tc>
                              <w:tc>
                                <w:tcPr>
                                  <w:tcW w:w="3944" w:type="dxa"/>
                                </w:tcPr>
                                <w:p>
                                  <w:pPr>
                                    <w:pStyle w:val="TableParagraph"/>
                                    <w:spacing w:before="59"/>
                                    <w:ind w:left="9" w:right="1"/>
                                    <w:jc w:val="center"/>
                                    <w:rPr>
                                      <w:sz w:val="20"/>
                                    </w:rPr>
                                  </w:pPr>
                                  <w:r>
                                    <w:rPr>
                                      <w:color w:val="105C84"/>
                                      <w:spacing w:val="-5"/>
                                      <w:sz w:val="20"/>
                                    </w:rPr>
                                    <w:t>16%</w:t>
                                  </w:r>
                                </w:p>
                              </w:tc>
                            </w:tr>
                            <w:tr>
                              <w:trPr>
                                <w:trHeight w:val="331" w:hRule="atLeast"/>
                              </w:trPr>
                              <w:tc>
                                <w:tcPr>
                                  <w:tcW w:w="2186" w:type="dxa"/>
                                  <w:shd w:val="clear" w:color="auto" w:fill="DCDDDE"/>
                                </w:tcPr>
                                <w:p>
                                  <w:pPr>
                                    <w:pStyle w:val="TableParagraph"/>
                                    <w:spacing w:before="59"/>
                                    <w:ind w:left="89"/>
                                    <w:rPr>
                                      <w:b/>
                                      <w:sz w:val="20"/>
                                    </w:rPr>
                                  </w:pPr>
                                  <w:r>
                                    <w:rPr>
                                      <w:b/>
                                      <w:color w:val="105C84"/>
                                      <w:spacing w:val="-2"/>
                                      <w:sz w:val="20"/>
                                    </w:rPr>
                                    <w:t>Schuyler</w:t>
                                  </w:r>
                                </w:p>
                              </w:tc>
                              <w:tc>
                                <w:tcPr>
                                  <w:tcW w:w="3944" w:type="dxa"/>
                                </w:tcPr>
                                <w:p>
                                  <w:pPr>
                                    <w:pStyle w:val="TableParagraph"/>
                                    <w:spacing w:before="59"/>
                                    <w:ind w:left="9" w:right="1"/>
                                    <w:jc w:val="center"/>
                                    <w:rPr>
                                      <w:sz w:val="20"/>
                                    </w:rPr>
                                  </w:pPr>
                                  <w:r>
                                    <w:rPr>
                                      <w:color w:val="105C84"/>
                                      <w:spacing w:val="-5"/>
                                      <w:sz w:val="20"/>
                                    </w:rPr>
                                    <w:t>9%</w:t>
                                  </w:r>
                                </w:p>
                              </w:tc>
                              <w:tc>
                                <w:tcPr>
                                  <w:tcW w:w="3944" w:type="dxa"/>
                                </w:tcPr>
                                <w:p>
                                  <w:pPr>
                                    <w:pStyle w:val="TableParagraph"/>
                                    <w:spacing w:before="59"/>
                                    <w:ind w:left="9" w:right="1"/>
                                    <w:jc w:val="center"/>
                                    <w:rPr>
                                      <w:sz w:val="20"/>
                                    </w:rPr>
                                  </w:pPr>
                                  <w:r>
                                    <w:rPr>
                                      <w:color w:val="105C84"/>
                                      <w:spacing w:val="-5"/>
                                      <w:sz w:val="20"/>
                                    </w:rPr>
                                    <w:t>27%</w:t>
                                  </w:r>
                                </w:p>
                              </w:tc>
                            </w:tr>
                            <w:tr>
                              <w:trPr>
                                <w:trHeight w:val="331" w:hRule="atLeast"/>
                              </w:trPr>
                              <w:tc>
                                <w:tcPr>
                                  <w:tcW w:w="2186" w:type="dxa"/>
                                  <w:shd w:val="clear" w:color="auto" w:fill="DCDDDE"/>
                                </w:tcPr>
                                <w:p>
                                  <w:pPr>
                                    <w:pStyle w:val="TableParagraph"/>
                                    <w:spacing w:before="59"/>
                                    <w:ind w:left="89"/>
                                    <w:rPr>
                                      <w:b/>
                                      <w:sz w:val="20"/>
                                    </w:rPr>
                                  </w:pPr>
                                  <w:r>
                                    <w:rPr>
                                      <w:b/>
                                      <w:color w:val="105C84"/>
                                      <w:spacing w:val="-2"/>
                                      <w:sz w:val="20"/>
                                    </w:rPr>
                                    <w:t>Seneca</w:t>
                                  </w:r>
                                </w:p>
                              </w:tc>
                              <w:tc>
                                <w:tcPr>
                                  <w:tcW w:w="3944" w:type="dxa"/>
                                </w:tcPr>
                                <w:p>
                                  <w:pPr>
                                    <w:pStyle w:val="TableParagraph"/>
                                    <w:spacing w:before="59"/>
                                    <w:ind w:left="9" w:right="1"/>
                                    <w:jc w:val="center"/>
                                    <w:rPr>
                                      <w:sz w:val="20"/>
                                    </w:rPr>
                                  </w:pPr>
                                  <w:r>
                                    <w:rPr>
                                      <w:color w:val="105C84"/>
                                      <w:spacing w:val="-5"/>
                                      <w:sz w:val="20"/>
                                    </w:rPr>
                                    <w:t>13%</w:t>
                                  </w:r>
                                </w:p>
                              </w:tc>
                              <w:tc>
                                <w:tcPr>
                                  <w:tcW w:w="3944" w:type="dxa"/>
                                </w:tcPr>
                                <w:p>
                                  <w:pPr>
                                    <w:pStyle w:val="TableParagraph"/>
                                    <w:spacing w:before="59"/>
                                    <w:ind w:left="9" w:right="1"/>
                                    <w:jc w:val="center"/>
                                    <w:rPr>
                                      <w:sz w:val="20"/>
                                    </w:rPr>
                                  </w:pPr>
                                  <w:r>
                                    <w:rPr>
                                      <w:color w:val="105C84"/>
                                      <w:spacing w:val="-5"/>
                                      <w:sz w:val="20"/>
                                    </w:rPr>
                                    <w:t>28%</w:t>
                                  </w:r>
                                </w:p>
                              </w:tc>
                            </w:tr>
                            <w:tr>
                              <w:trPr>
                                <w:trHeight w:val="331" w:hRule="atLeast"/>
                              </w:trPr>
                              <w:tc>
                                <w:tcPr>
                                  <w:tcW w:w="2186" w:type="dxa"/>
                                  <w:shd w:val="clear" w:color="auto" w:fill="DCDDDE"/>
                                </w:tcPr>
                                <w:p>
                                  <w:pPr>
                                    <w:pStyle w:val="TableParagraph"/>
                                    <w:spacing w:before="59"/>
                                    <w:ind w:left="89"/>
                                    <w:rPr>
                                      <w:b/>
                                      <w:sz w:val="20"/>
                                    </w:rPr>
                                  </w:pPr>
                                  <w:r>
                                    <w:rPr>
                                      <w:b/>
                                      <w:color w:val="105C84"/>
                                      <w:spacing w:val="-2"/>
                                      <w:sz w:val="20"/>
                                    </w:rPr>
                                    <w:t>Steuben</w:t>
                                  </w:r>
                                </w:p>
                              </w:tc>
                              <w:tc>
                                <w:tcPr>
                                  <w:tcW w:w="3944" w:type="dxa"/>
                                </w:tcPr>
                                <w:p>
                                  <w:pPr>
                                    <w:pStyle w:val="TableParagraph"/>
                                    <w:spacing w:before="59"/>
                                    <w:ind w:left="9" w:right="1"/>
                                    <w:jc w:val="center"/>
                                    <w:rPr>
                                      <w:sz w:val="20"/>
                                    </w:rPr>
                                  </w:pPr>
                                  <w:r>
                                    <w:rPr>
                                      <w:color w:val="105C84"/>
                                      <w:spacing w:val="-5"/>
                                      <w:sz w:val="20"/>
                                    </w:rPr>
                                    <w:t>15%</w:t>
                                  </w:r>
                                </w:p>
                              </w:tc>
                              <w:tc>
                                <w:tcPr>
                                  <w:tcW w:w="3944" w:type="dxa"/>
                                </w:tcPr>
                                <w:p>
                                  <w:pPr>
                                    <w:pStyle w:val="TableParagraph"/>
                                    <w:spacing w:before="59"/>
                                    <w:ind w:left="9" w:right="1"/>
                                    <w:jc w:val="center"/>
                                    <w:rPr>
                                      <w:sz w:val="20"/>
                                    </w:rPr>
                                  </w:pPr>
                                  <w:r>
                                    <w:rPr>
                                      <w:color w:val="105C84"/>
                                      <w:spacing w:val="-5"/>
                                      <w:sz w:val="20"/>
                                    </w:rPr>
                                    <w:t>37%</w:t>
                                  </w:r>
                                </w:p>
                              </w:tc>
                            </w:tr>
                            <w:tr>
                              <w:trPr>
                                <w:trHeight w:val="331" w:hRule="atLeast"/>
                              </w:trPr>
                              <w:tc>
                                <w:tcPr>
                                  <w:tcW w:w="2186" w:type="dxa"/>
                                  <w:shd w:val="clear" w:color="auto" w:fill="DCDDDE"/>
                                </w:tcPr>
                                <w:p>
                                  <w:pPr>
                                    <w:pStyle w:val="TableParagraph"/>
                                    <w:spacing w:before="59"/>
                                    <w:ind w:left="89"/>
                                    <w:rPr>
                                      <w:b/>
                                      <w:sz w:val="20"/>
                                    </w:rPr>
                                  </w:pPr>
                                  <w:r>
                                    <w:rPr>
                                      <w:b/>
                                      <w:color w:val="105C84"/>
                                      <w:spacing w:val="-2"/>
                                      <w:sz w:val="20"/>
                                    </w:rPr>
                                    <w:t>Wayne</w:t>
                                  </w:r>
                                </w:p>
                              </w:tc>
                              <w:tc>
                                <w:tcPr>
                                  <w:tcW w:w="3944" w:type="dxa"/>
                                </w:tcPr>
                                <w:p>
                                  <w:pPr>
                                    <w:pStyle w:val="TableParagraph"/>
                                    <w:spacing w:before="59"/>
                                    <w:ind w:left="9" w:right="1"/>
                                    <w:jc w:val="center"/>
                                    <w:rPr>
                                      <w:sz w:val="20"/>
                                    </w:rPr>
                                  </w:pPr>
                                  <w:r>
                                    <w:rPr>
                                      <w:color w:val="105C84"/>
                                      <w:spacing w:val="-5"/>
                                      <w:sz w:val="20"/>
                                    </w:rPr>
                                    <w:t>10%</w:t>
                                  </w:r>
                                </w:p>
                              </w:tc>
                              <w:tc>
                                <w:tcPr>
                                  <w:tcW w:w="3944" w:type="dxa"/>
                                </w:tcPr>
                                <w:p>
                                  <w:pPr>
                                    <w:pStyle w:val="TableParagraph"/>
                                    <w:spacing w:before="59"/>
                                    <w:ind w:left="9" w:right="1"/>
                                    <w:jc w:val="center"/>
                                    <w:rPr>
                                      <w:sz w:val="20"/>
                                    </w:rPr>
                                  </w:pPr>
                                  <w:r>
                                    <w:rPr>
                                      <w:color w:val="105C84"/>
                                      <w:spacing w:val="-5"/>
                                      <w:sz w:val="20"/>
                                    </w:rPr>
                                    <w:t>21%</w:t>
                                  </w:r>
                                </w:p>
                              </w:tc>
                            </w:tr>
                            <w:tr>
                              <w:trPr>
                                <w:trHeight w:val="331" w:hRule="atLeast"/>
                              </w:trPr>
                              <w:tc>
                                <w:tcPr>
                                  <w:tcW w:w="2186" w:type="dxa"/>
                                  <w:shd w:val="clear" w:color="auto" w:fill="DCDDDE"/>
                                </w:tcPr>
                                <w:p>
                                  <w:pPr>
                                    <w:pStyle w:val="TableParagraph"/>
                                    <w:spacing w:before="59"/>
                                    <w:ind w:left="89"/>
                                    <w:rPr>
                                      <w:b/>
                                      <w:sz w:val="20"/>
                                    </w:rPr>
                                  </w:pPr>
                                  <w:r>
                                    <w:rPr>
                                      <w:b/>
                                      <w:color w:val="105C84"/>
                                      <w:spacing w:val="-2"/>
                                      <w:sz w:val="20"/>
                                    </w:rPr>
                                    <w:t>Yates</w:t>
                                  </w:r>
                                </w:p>
                              </w:tc>
                              <w:tc>
                                <w:tcPr>
                                  <w:tcW w:w="3944" w:type="dxa"/>
                                </w:tcPr>
                                <w:p>
                                  <w:pPr>
                                    <w:pStyle w:val="TableParagraph"/>
                                    <w:spacing w:before="59"/>
                                    <w:ind w:left="9" w:right="1"/>
                                    <w:jc w:val="center"/>
                                    <w:rPr>
                                      <w:sz w:val="20"/>
                                    </w:rPr>
                                  </w:pPr>
                                  <w:r>
                                    <w:rPr>
                                      <w:color w:val="105C84"/>
                                      <w:spacing w:val="-5"/>
                                      <w:sz w:val="20"/>
                                    </w:rPr>
                                    <w:t>8%</w:t>
                                  </w:r>
                                </w:p>
                              </w:tc>
                              <w:tc>
                                <w:tcPr>
                                  <w:tcW w:w="3944" w:type="dxa"/>
                                </w:tcPr>
                                <w:p>
                                  <w:pPr>
                                    <w:pStyle w:val="TableParagraph"/>
                                    <w:spacing w:before="59"/>
                                    <w:ind w:left="9" w:right="1"/>
                                    <w:jc w:val="center"/>
                                    <w:rPr>
                                      <w:sz w:val="20"/>
                                    </w:rPr>
                                  </w:pPr>
                                  <w:r>
                                    <w:rPr>
                                      <w:color w:val="105C84"/>
                                      <w:spacing w:val="-5"/>
                                      <w:sz w:val="20"/>
                                    </w:rPr>
                                    <w:t>24%</w:t>
                                  </w:r>
                                </w:p>
                              </w:tc>
                            </w:tr>
                            <w:tr>
                              <w:trPr>
                                <w:trHeight w:val="331" w:hRule="atLeast"/>
                              </w:trPr>
                              <w:tc>
                                <w:tcPr>
                                  <w:tcW w:w="2186" w:type="dxa"/>
                                  <w:shd w:val="clear" w:color="auto" w:fill="82BF6A"/>
                                </w:tcPr>
                                <w:p>
                                  <w:pPr>
                                    <w:pStyle w:val="TableParagraph"/>
                                    <w:spacing w:before="59"/>
                                    <w:ind w:left="89"/>
                                    <w:rPr>
                                      <w:b/>
                                      <w:sz w:val="20"/>
                                    </w:rPr>
                                  </w:pPr>
                                  <w:r>
                                    <w:rPr>
                                      <w:b/>
                                      <w:color w:val="FFFFFF"/>
                                      <w:sz w:val="20"/>
                                    </w:rPr>
                                    <w:t>8</w:t>
                                  </w:r>
                                  <w:r>
                                    <w:rPr>
                                      <w:b/>
                                      <w:color w:val="FFFFFF"/>
                                      <w:spacing w:val="5"/>
                                      <w:sz w:val="20"/>
                                    </w:rPr>
                                    <w:t> </w:t>
                                  </w:r>
                                  <w:r>
                                    <w:rPr>
                                      <w:b/>
                                      <w:color w:val="FFFFFF"/>
                                      <w:sz w:val="20"/>
                                    </w:rPr>
                                    <w:t>County</w:t>
                                  </w:r>
                                  <w:r>
                                    <w:rPr>
                                      <w:b/>
                                      <w:color w:val="FFFFFF"/>
                                      <w:spacing w:val="5"/>
                                      <w:sz w:val="20"/>
                                    </w:rPr>
                                    <w:t> </w:t>
                                  </w:r>
                                  <w:r>
                                    <w:rPr>
                                      <w:b/>
                                      <w:color w:val="FFFFFF"/>
                                      <w:spacing w:val="-2"/>
                                      <w:sz w:val="20"/>
                                    </w:rPr>
                                    <w:t>Region</w:t>
                                  </w:r>
                                </w:p>
                              </w:tc>
                              <w:tc>
                                <w:tcPr>
                                  <w:tcW w:w="3944" w:type="dxa"/>
                                  <w:shd w:val="clear" w:color="auto" w:fill="82BF6A"/>
                                </w:tcPr>
                                <w:p>
                                  <w:pPr>
                                    <w:pStyle w:val="TableParagraph"/>
                                    <w:spacing w:before="59"/>
                                    <w:ind w:left="9" w:right="1"/>
                                    <w:jc w:val="center"/>
                                    <w:rPr>
                                      <w:b/>
                                      <w:sz w:val="20"/>
                                    </w:rPr>
                                  </w:pPr>
                                  <w:r>
                                    <w:rPr>
                                      <w:b/>
                                      <w:color w:val="FFFFFF"/>
                                      <w:spacing w:val="-5"/>
                                      <w:w w:val="105"/>
                                      <w:sz w:val="20"/>
                                    </w:rPr>
                                    <w:t>11%</w:t>
                                  </w:r>
                                </w:p>
                              </w:tc>
                              <w:tc>
                                <w:tcPr>
                                  <w:tcW w:w="3944" w:type="dxa"/>
                                  <w:shd w:val="clear" w:color="auto" w:fill="82BF6A"/>
                                </w:tcPr>
                                <w:p>
                                  <w:pPr>
                                    <w:pStyle w:val="TableParagraph"/>
                                    <w:spacing w:before="59"/>
                                    <w:ind w:left="9" w:right="1"/>
                                    <w:jc w:val="center"/>
                                    <w:rPr>
                                      <w:b/>
                                      <w:sz w:val="20"/>
                                    </w:rPr>
                                  </w:pPr>
                                  <w:r>
                                    <w:rPr>
                                      <w:b/>
                                      <w:color w:val="FFFFFF"/>
                                      <w:spacing w:val="-5"/>
                                      <w:w w:val="105"/>
                                      <w:sz w:val="20"/>
                                    </w:rPr>
                                    <w:t>25%</w:t>
                                  </w:r>
                                </w:p>
                              </w:tc>
                            </w:tr>
                            <w:tr>
                              <w:trPr>
                                <w:trHeight w:val="331" w:hRule="atLeast"/>
                              </w:trPr>
                              <w:tc>
                                <w:tcPr>
                                  <w:tcW w:w="2186" w:type="dxa"/>
                                </w:tcPr>
                                <w:p>
                                  <w:pPr>
                                    <w:pStyle w:val="TableParagraph"/>
                                    <w:spacing w:before="59"/>
                                    <w:ind w:left="89"/>
                                    <w:rPr>
                                      <w:b/>
                                      <w:sz w:val="20"/>
                                    </w:rPr>
                                  </w:pPr>
                                  <w:r>
                                    <w:rPr>
                                      <w:b/>
                                      <w:color w:val="0C5D86"/>
                                      <w:spacing w:val="-5"/>
                                      <w:sz w:val="20"/>
                                    </w:rPr>
                                    <w:t>NYS</w:t>
                                  </w:r>
                                </w:p>
                              </w:tc>
                              <w:tc>
                                <w:tcPr>
                                  <w:tcW w:w="3944" w:type="dxa"/>
                                </w:tcPr>
                                <w:p>
                                  <w:pPr>
                                    <w:pStyle w:val="TableParagraph"/>
                                    <w:spacing w:before="59"/>
                                    <w:ind w:left="9" w:right="1"/>
                                    <w:jc w:val="center"/>
                                    <w:rPr>
                                      <w:b/>
                                      <w:sz w:val="20"/>
                                    </w:rPr>
                                  </w:pPr>
                                  <w:r>
                                    <w:rPr>
                                      <w:b/>
                                      <w:color w:val="0C5D86"/>
                                      <w:spacing w:val="-5"/>
                                      <w:w w:val="105"/>
                                      <w:sz w:val="20"/>
                                    </w:rPr>
                                    <w:t>9%</w:t>
                                  </w:r>
                                </w:p>
                              </w:tc>
                              <w:tc>
                                <w:tcPr>
                                  <w:tcW w:w="3944" w:type="dxa"/>
                                </w:tcPr>
                                <w:p>
                                  <w:pPr>
                                    <w:pStyle w:val="TableParagraph"/>
                                    <w:spacing w:before="59"/>
                                    <w:ind w:left="9" w:right="1"/>
                                    <w:jc w:val="center"/>
                                    <w:rPr>
                                      <w:b/>
                                      <w:sz w:val="20"/>
                                    </w:rPr>
                                  </w:pPr>
                                  <w:r>
                                    <w:rPr>
                                      <w:b/>
                                      <w:color w:val="0C5D86"/>
                                      <w:spacing w:val="-5"/>
                                      <w:w w:val="105"/>
                                      <w:sz w:val="20"/>
                                    </w:rPr>
                                    <w:t>21%</w:t>
                                  </w:r>
                                </w:p>
                              </w:tc>
                            </w:tr>
                          </w:tbl>
                          <w:p>
                            <w:pPr>
                              <w:pStyle w:val="BodyText"/>
                            </w:pPr>
                          </w:p>
                        </w:txbxContent>
                      </wps:txbx>
                      <wps:bodyPr wrap="square" lIns="0" tIns="0" rIns="0" bIns="0" rtlCol="0">
                        <a:noAutofit/>
                      </wps:bodyPr>
                    </wps:wsp>
                  </a:graphicData>
                </a:graphic>
              </wp:anchor>
            </w:drawing>
          </mc:Choice>
          <mc:Fallback>
            <w:pict>
              <v:shape style="position:absolute;margin-left:52.439999pt;margin-top:-202.774124pt;width:510pt;height:191.7pt;mso-position-horizontal-relative:page;mso-position-vertical-relative:paragraph;z-index:15758336" type="#_x0000_t202" id="docshape247" filled="false" stroked="false">
                <v:textbox inset="0,0,0,0">
                  <w:txbxContent>
                    <w:tbl>
                      <w:tblPr>
                        <w:tblW w:w="0" w:type="auto"/>
                        <w:jc w:val="left"/>
                        <w:tblInd w:w="62"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top w:w="0" w:type="dxa"/>
                          <w:left w:w="0" w:type="dxa"/>
                          <w:bottom w:w="0" w:type="dxa"/>
                          <w:right w:w="0" w:type="dxa"/>
                        </w:tblCellMar>
                        <w:tblLook w:val="01E0"/>
                      </w:tblPr>
                      <w:tblGrid>
                        <w:gridCol w:w="2186"/>
                        <w:gridCol w:w="3944"/>
                        <w:gridCol w:w="3944"/>
                      </w:tblGrid>
                      <w:tr>
                        <w:trPr>
                          <w:trHeight w:val="472" w:hRule="atLeast"/>
                        </w:trPr>
                        <w:tc>
                          <w:tcPr>
                            <w:tcW w:w="2186" w:type="dxa"/>
                            <w:shd w:val="clear" w:color="auto" w:fill="EFEFF0"/>
                          </w:tcPr>
                          <w:p>
                            <w:pPr>
                              <w:pStyle w:val="TableParagraph"/>
                              <w:rPr>
                                <w:rFonts w:ascii="Times New Roman"/>
                                <w:sz w:val="20"/>
                              </w:rPr>
                            </w:pPr>
                          </w:p>
                        </w:tc>
                        <w:tc>
                          <w:tcPr>
                            <w:tcW w:w="3944" w:type="dxa"/>
                            <w:shd w:val="clear" w:color="auto" w:fill="EFEFF0"/>
                          </w:tcPr>
                          <w:p>
                            <w:pPr>
                              <w:pStyle w:val="TableParagraph"/>
                              <w:spacing w:before="121"/>
                              <w:ind w:left="9" w:right="1"/>
                              <w:jc w:val="center"/>
                              <w:rPr>
                                <w:b/>
                                <w:sz w:val="22"/>
                              </w:rPr>
                            </w:pPr>
                            <w:r>
                              <w:rPr>
                                <w:b/>
                                <w:color w:val="105C84"/>
                                <w:spacing w:val="-5"/>
                                <w:sz w:val="22"/>
                              </w:rPr>
                              <w:t>CVD</w:t>
                            </w:r>
                          </w:p>
                        </w:tc>
                        <w:tc>
                          <w:tcPr>
                            <w:tcW w:w="3944" w:type="dxa"/>
                            <w:shd w:val="clear" w:color="auto" w:fill="EFEFF0"/>
                          </w:tcPr>
                          <w:p>
                            <w:pPr>
                              <w:pStyle w:val="TableParagraph"/>
                              <w:spacing w:before="121"/>
                              <w:ind w:left="9"/>
                              <w:jc w:val="center"/>
                              <w:rPr>
                                <w:b/>
                                <w:sz w:val="22"/>
                              </w:rPr>
                            </w:pPr>
                            <w:r>
                              <w:rPr>
                                <w:b/>
                                <w:color w:val="105C84"/>
                                <w:sz w:val="22"/>
                              </w:rPr>
                              <w:t>CVD-</w:t>
                            </w:r>
                            <w:r>
                              <w:rPr>
                                <w:b/>
                                <w:color w:val="105C84"/>
                                <w:spacing w:val="3"/>
                                <w:sz w:val="22"/>
                              </w:rPr>
                              <w:t> </w:t>
                            </w:r>
                            <w:r>
                              <w:rPr>
                                <w:b/>
                                <w:color w:val="105C84"/>
                                <w:sz w:val="22"/>
                              </w:rPr>
                              <w:t>those</w:t>
                            </w:r>
                            <w:r>
                              <w:rPr>
                                <w:b/>
                                <w:color w:val="105C84"/>
                                <w:spacing w:val="4"/>
                                <w:sz w:val="22"/>
                              </w:rPr>
                              <w:t> </w:t>
                            </w:r>
                            <w:r>
                              <w:rPr>
                                <w:b/>
                                <w:color w:val="105C84"/>
                                <w:sz w:val="22"/>
                              </w:rPr>
                              <w:t>living</w:t>
                            </w:r>
                            <w:r>
                              <w:rPr>
                                <w:b/>
                                <w:color w:val="105C84"/>
                                <w:spacing w:val="4"/>
                                <w:sz w:val="22"/>
                              </w:rPr>
                              <w:t> </w:t>
                            </w:r>
                            <w:r>
                              <w:rPr>
                                <w:b/>
                                <w:color w:val="105C84"/>
                                <w:sz w:val="22"/>
                              </w:rPr>
                              <w:t>with</w:t>
                            </w:r>
                            <w:r>
                              <w:rPr>
                                <w:b/>
                                <w:color w:val="105C84"/>
                                <w:spacing w:val="3"/>
                                <w:sz w:val="22"/>
                              </w:rPr>
                              <w:t> </w:t>
                            </w:r>
                            <w:r>
                              <w:rPr>
                                <w:b/>
                                <w:color w:val="105C84"/>
                                <w:sz w:val="22"/>
                              </w:rPr>
                              <w:t>a</w:t>
                            </w:r>
                            <w:r>
                              <w:rPr>
                                <w:b/>
                                <w:color w:val="105C84"/>
                                <w:spacing w:val="4"/>
                                <w:sz w:val="22"/>
                              </w:rPr>
                              <w:t> </w:t>
                            </w:r>
                            <w:r>
                              <w:rPr>
                                <w:b/>
                                <w:color w:val="105C84"/>
                                <w:spacing w:val="-2"/>
                                <w:sz w:val="22"/>
                              </w:rPr>
                              <w:t>disability</w:t>
                            </w:r>
                          </w:p>
                        </w:tc>
                      </w:tr>
                      <w:tr>
                        <w:trPr>
                          <w:trHeight w:val="318" w:hRule="atLeast"/>
                        </w:trPr>
                        <w:tc>
                          <w:tcPr>
                            <w:tcW w:w="2186" w:type="dxa"/>
                            <w:shd w:val="clear" w:color="auto" w:fill="DCDDDE"/>
                          </w:tcPr>
                          <w:p>
                            <w:pPr>
                              <w:pStyle w:val="TableParagraph"/>
                              <w:spacing w:before="53"/>
                              <w:ind w:left="90"/>
                              <w:rPr>
                                <w:b/>
                                <w:sz w:val="20"/>
                              </w:rPr>
                            </w:pPr>
                            <w:r>
                              <w:rPr>
                                <w:b/>
                                <w:color w:val="105C84"/>
                                <w:spacing w:val="-2"/>
                                <w:sz w:val="20"/>
                              </w:rPr>
                              <w:t>Chemung</w:t>
                            </w:r>
                          </w:p>
                        </w:tc>
                        <w:tc>
                          <w:tcPr>
                            <w:tcW w:w="3944" w:type="dxa"/>
                          </w:tcPr>
                          <w:p>
                            <w:pPr>
                              <w:pStyle w:val="TableParagraph"/>
                              <w:spacing w:before="53"/>
                              <w:ind w:left="9" w:right="1"/>
                              <w:jc w:val="center"/>
                              <w:rPr>
                                <w:sz w:val="20"/>
                              </w:rPr>
                            </w:pPr>
                            <w:r>
                              <w:rPr>
                                <w:color w:val="105C84"/>
                                <w:spacing w:val="-5"/>
                                <w:sz w:val="20"/>
                              </w:rPr>
                              <w:t>13%</w:t>
                            </w:r>
                          </w:p>
                        </w:tc>
                        <w:tc>
                          <w:tcPr>
                            <w:tcW w:w="3944" w:type="dxa"/>
                          </w:tcPr>
                          <w:p>
                            <w:pPr>
                              <w:pStyle w:val="TableParagraph"/>
                              <w:spacing w:before="53"/>
                              <w:ind w:left="9" w:right="1"/>
                              <w:jc w:val="center"/>
                              <w:rPr>
                                <w:sz w:val="20"/>
                              </w:rPr>
                            </w:pPr>
                            <w:r>
                              <w:rPr>
                                <w:color w:val="105C84"/>
                                <w:spacing w:val="-5"/>
                                <w:sz w:val="20"/>
                              </w:rPr>
                              <w:t>24%</w:t>
                            </w:r>
                          </w:p>
                        </w:tc>
                      </w:tr>
                      <w:tr>
                        <w:trPr>
                          <w:trHeight w:val="336" w:hRule="atLeast"/>
                        </w:trPr>
                        <w:tc>
                          <w:tcPr>
                            <w:tcW w:w="2186" w:type="dxa"/>
                            <w:shd w:val="clear" w:color="auto" w:fill="DCDDDE"/>
                          </w:tcPr>
                          <w:p>
                            <w:pPr>
                              <w:pStyle w:val="TableParagraph"/>
                              <w:spacing w:before="62"/>
                              <w:ind w:left="90"/>
                              <w:rPr>
                                <w:b/>
                                <w:sz w:val="20"/>
                              </w:rPr>
                            </w:pPr>
                            <w:r>
                              <w:rPr>
                                <w:b/>
                                <w:color w:val="105C84"/>
                                <w:spacing w:val="-2"/>
                                <w:sz w:val="20"/>
                              </w:rPr>
                              <w:t>Livingston</w:t>
                            </w:r>
                          </w:p>
                        </w:tc>
                        <w:tc>
                          <w:tcPr>
                            <w:tcW w:w="3944" w:type="dxa"/>
                          </w:tcPr>
                          <w:p>
                            <w:pPr>
                              <w:pStyle w:val="TableParagraph"/>
                              <w:spacing w:before="62"/>
                              <w:ind w:left="9" w:right="1"/>
                              <w:jc w:val="center"/>
                              <w:rPr>
                                <w:sz w:val="20"/>
                              </w:rPr>
                            </w:pPr>
                            <w:r>
                              <w:rPr>
                                <w:color w:val="105C84"/>
                                <w:spacing w:val="-5"/>
                                <w:sz w:val="20"/>
                              </w:rPr>
                              <w:t>9%</w:t>
                            </w:r>
                          </w:p>
                        </w:tc>
                        <w:tc>
                          <w:tcPr>
                            <w:tcW w:w="3944" w:type="dxa"/>
                          </w:tcPr>
                          <w:p>
                            <w:pPr>
                              <w:pStyle w:val="TableParagraph"/>
                              <w:spacing w:before="62"/>
                              <w:ind w:left="9" w:right="1"/>
                              <w:jc w:val="center"/>
                              <w:rPr>
                                <w:sz w:val="20"/>
                              </w:rPr>
                            </w:pPr>
                            <w:r>
                              <w:rPr>
                                <w:color w:val="105C84"/>
                                <w:spacing w:val="-5"/>
                                <w:sz w:val="20"/>
                              </w:rPr>
                              <w:t>20%</w:t>
                            </w:r>
                          </w:p>
                        </w:tc>
                      </w:tr>
                      <w:tr>
                        <w:trPr>
                          <w:trHeight w:val="331" w:hRule="atLeast"/>
                        </w:trPr>
                        <w:tc>
                          <w:tcPr>
                            <w:tcW w:w="2186" w:type="dxa"/>
                            <w:shd w:val="clear" w:color="auto" w:fill="DCDDDE"/>
                          </w:tcPr>
                          <w:p>
                            <w:pPr>
                              <w:pStyle w:val="TableParagraph"/>
                              <w:spacing w:before="59"/>
                              <w:ind w:left="89"/>
                              <w:rPr>
                                <w:b/>
                                <w:sz w:val="20"/>
                              </w:rPr>
                            </w:pPr>
                            <w:r>
                              <w:rPr>
                                <w:b/>
                                <w:color w:val="105C84"/>
                                <w:spacing w:val="-2"/>
                                <w:sz w:val="20"/>
                              </w:rPr>
                              <w:t>Ontario</w:t>
                            </w:r>
                          </w:p>
                        </w:tc>
                        <w:tc>
                          <w:tcPr>
                            <w:tcW w:w="3944" w:type="dxa"/>
                          </w:tcPr>
                          <w:p>
                            <w:pPr>
                              <w:pStyle w:val="TableParagraph"/>
                              <w:spacing w:before="59"/>
                              <w:ind w:left="9" w:right="1"/>
                              <w:jc w:val="center"/>
                              <w:rPr>
                                <w:sz w:val="20"/>
                              </w:rPr>
                            </w:pPr>
                            <w:r>
                              <w:rPr>
                                <w:color w:val="105C84"/>
                                <w:spacing w:val="-5"/>
                                <w:sz w:val="20"/>
                              </w:rPr>
                              <w:t>8%</w:t>
                            </w:r>
                          </w:p>
                        </w:tc>
                        <w:tc>
                          <w:tcPr>
                            <w:tcW w:w="3944" w:type="dxa"/>
                          </w:tcPr>
                          <w:p>
                            <w:pPr>
                              <w:pStyle w:val="TableParagraph"/>
                              <w:spacing w:before="59"/>
                              <w:ind w:left="9" w:right="1"/>
                              <w:jc w:val="center"/>
                              <w:rPr>
                                <w:sz w:val="20"/>
                              </w:rPr>
                            </w:pPr>
                            <w:r>
                              <w:rPr>
                                <w:color w:val="105C84"/>
                                <w:spacing w:val="-5"/>
                                <w:sz w:val="20"/>
                              </w:rPr>
                              <w:t>16%</w:t>
                            </w:r>
                          </w:p>
                        </w:tc>
                      </w:tr>
                      <w:tr>
                        <w:trPr>
                          <w:trHeight w:val="331" w:hRule="atLeast"/>
                        </w:trPr>
                        <w:tc>
                          <w:tcPr>
                            <w:tcW w:w="2186" w:type="dxa"/>
                            <w:shd w:val="clear" w:color="auto" w:fill="DCDDDE"/>
                          </w:tcPr>
                          <w:p>
                            <w:pPr>
                              <w:pStyle w:val="TableParagraph"/>
                              <w:spacing w:before="59"/>
                              <w:ind w:left="89"/>
                              <w:rPr>
                                <w:b/>
                                <w:sz w:val="20"/>
                              </w:rPr>
                            </w:pPr>
                            <w:r>
                              <w:rPr>
                                <w:b/>
                                <w:color w:val="105C84"/>
                                <w:spacing w:val="-2"/>
                                <w:sz w:val="20"/>
                              </w:rPr>
                              <w:t>Schuyler</w:t>
                            </w:r>
                          </w:p>
                        </w:tc>
                        <w:tc>
                          <w:tcPr>
                            <w:tcW w:w="3944" w:type="dxa"/>
                          </w:tcPr>
                          <w:p>
                            <w:pPr>
                              <w:pStyle w:val="TableParagraph"/>
                              <w:spacing w:before="59"/>
                              <w:ind w:left="9" w:right="1"/>
                              <w:jc w:val="center"/>
                              <w:rPr>
                                <w:sz w:val="20"/>
                              </w:rPr>
                            </w:pPr>
                            <w:r>
                              <w:rPr>
                                <w:color w:val="105C84"/>
                                <w:spacing w:val="-5"/>
                                <w:sz w:val="20"/>
                              </w:rPr>
                              <w:t>9%</w:t>
                            </w:r>
                          </w:p>
                        </w:tc>
                        <w:tc>
                          <w:tcPr>
                            <w:tcW w:w="3944" w:type="dxa"/>
                          </w:tcPr>
                          <w:p>
                            <w:pPr>
                              <w:pStyle w:val="TableParagraph"/>
                              <w:spacing w:before="59"/>
                              <w:ind w:left="9" w:right="1"/>
                              <w:jc w:val="center"/>
                              <w:rPr>
                                <w:sz w:val="20"/>
                              </w:rPr>
                            </w:pPr>
                            <w:r>
                              <w:rPr>
                                <w:color w:val="105C84"/>
                                <w:spacing w:val="-5"/>
                                <w:sz w:val="20"/>
                              </w:rPr>
                              <w:t>27%</w:t>
                            </w:r>
                          </w:p>
                        </w:tc>
                      </w:tr>
                      <w:tr>
                        <w:trPr>
                          <w:trHeight w:val="331" w:hRule="atLeast"/>
                        </w:trPr>
                        <w:tc>
                          <w:tcPr>
                            <w:tcW w:w="2186" w:type="dxa"/>
                            <w:shd w:val="clear" w:color="auto" w:fill="DCDDDE"/>
                          </w:tcPr>
                          <w:p>
                            <w:pPr>
                              <w:pStyle w:val="TableParagraph"/>
                              <w:spacing w:before="59"/>
                              <w:ind w:left="89"/>
                              <w:rPr>
                                <w:b/>
                                <w:sz w:val="20"/>
                              </w:rPr>
                            </w:pPr>
                            <w:r>
                              <w:rPr>
                                <w:b/>
                                <w:color w:val="105C84"/>
                                <w:spacing w:val="-2"/>
                                <w:sz w:val="20"/>
                              </w:rPr>
                              <w:t>Seneca</w:t>
                            </w:r>
                          </w:p>
                        </w:tc>
                        <w:tc>
                          <w:tcPr>
                            <w:tcW w:w="3944" w:type="dxa"/>
                          </w:tcPr>
                          <w:p>
                            <w:pPr>
                              <w:pStyle w:val="TableParagraph"/>
                              <w:spacing w:before="59"/>
                              <w:ind w:left="9" w:right="1"/>
                              <w:jc w:val="center"/>
                              <w:rPr>
                                <w:sz w:val="20"/>
                              </w:rPr>
                            </w:pPr>
                            <w:r>
                              <w:rPr>
                                <w:color w:val="105C84"/>
                                <w:spacing w:val="-5"/>
                                <w:sz w:val="20"/>
                              </w:rPr>
                              <w:t>13%</w:t>
                            </w:r>
                          </w:p>
                        </w:tc>
                        <w:tc>
                          <w:tcPr>
                            <w:tcW w:w="3944" w:type="dxa"/>
                          </w:tcPr>
                          <w:p>
                            <w:pPr>
                              <w:pStyle w:val="TableParagraph"/>
                              <w:spacing w:before="59"/>
                              <w:ind w:left="9" w:right="1"/>
                              <w:jc w:val="center"/>
                              <w:rPr>
                                <w:sz w:val="20"/>
                              </w:rPr>
                            </w:pPr>
                            <w:r>
                              <w:rPr>
                                <w:color w:val="105C84"/>
                                <w:spacing w:val="-5"/>
                                <w:sz w:val="20"/>
                              </w:rPr>
                              <w:t>28%</w:t>
                            </w:r>
                          </w:p>
                        </w:tc>
                      </w:tr>
                      <w:tr>
                        <w:trPr>
                          <w:trHeight w:val="331" w:hRule="atLeast"/>
                        </w:trPr>
                        <w:tc>
                          <w:tcPr>
                            <w:tcW w:w="2186" w:type="dxa"/>
                            <w:shd w:val="clear" w:color="auto" w:fill="DCDDDE"/>
                          </w:tcPr>
                          <w:p>
                            <w:pPr>
                              <w:pStyle w:val="TableParagraph"/>
                              <w:spacing w:before="59"/>
                              <w:ind w:left="89"/>
                              <w:rPr>
                                <w:b/>
                                <w:sz w:val="20"/>
                              </w:rPr>
                            </w:pPr>
                            <w:r>
                              <w:rPr>
                                <w:b/>
                                <w:color w:val="105C84"/>
                                <w:spacing w:val="-2"/>
                                <w:sz w:val="20"/>
                              </w:rPr>
                              <w:t>Steuben</w:t>
                            </w:r>
                          </w:p>
                        </w:tc>
                        <w:tc>
                          <w:tcPr>
                            <w:tcW w:w="3944" w:type="dxa"/>
                          </w:tcPr>
                          <w:p>
                            <w:pPr>
                              <w:pStyle w:val="TableParagraph"/>
                              <w:spacing w:before="59"/>
                              <w:ind w:left="9" w:right="1"/>
                              <w:jc w:val="center"/>
                              <w:rPr>
                                <w:sz w:val="20"/>
                              </w:rPr>
                            </w:pPr>
                            <w:r>
                              <w:rPr>
                                <w:color w:val="105C84"/>
                                <w:spacing w:val="-5"/>
                                <w:sz w:val="20"/>
                              </w:rPr>
                              <w:t>15%</w:t>
                            </w:r>
                          </w:p>
                        </w:tc>
                        <w:tc>
                          <w:tcPr>
                            <w:tcW w:w="3944" w:type="dxa"/>
                          </w:tcPr>
                          <w:p>
                            <w:pPr>
                              <w:pStyle w:val="TableParagraph"/>
                              <w:spacing w:before="59"/>
                              <w:ind w:left="9" w:right="1"/>
                              <w:jc w:val="center"/>
                              <w:rPr>
                                <w:sz w:val="20"/>
                              </w:rPr>
                            </w:pPr>
                            <w:r>
                              <w:rPr>
                                <w:color w:val="105C84"/>
                                <w:spacing w:val="-5"/>
                                <w:sz w:val="20"/>
                              </w:rPr>
                              <w:t>37%</w:t>
                            </w:r>
                          </w:p>
                        </w:tc>
                      </w:tr>
                      <w:tr>
                        <w:trPr>
                          <w:trHeight w:val="331" w:hRule="atLeast"/>
                        </w:trPr>
                        <w:tc>
                          <w:tcPr>
                            <w:tcW w:w="2186" w:type="dxa"/>
                            <w:shd w:val="clear" w:color="auto" w:fill="DCDDDE"/>
                          </w:tcPr>
                          <w:p>
                            <w:pPr>
                              <w:pStyle w:val="TableParagraph"/>
                              <w:spacing w:before="59"/>
                              <w:ind w:left="89"/>
                              <w:rPr>
                                <w:b/>
                                <w:sz w:val="20"/>
                              </w:rPr>
                            </w:pPr>
                            <w:r>
                              <w:rPr>
                                <w:b/>
                                <w:color w:val="105C84"/>
                                <w:spacing w:val="-2"/>
                                <w:sz w:val="20"/>
                              </w:rPr>
                              <w:t>Wayne</w:t>
                            </w:r>
                          </w:p>
                        </w:tc>
                        <w:tc>
                          <w:tcPr>
                            <w:tcW w:w="3944" w:type="dxa"/>
                          </w:tcPr>
                          <w:p>
                            <w:pPr>
                              <w:pStyle w:val="TableParagraph"/>
                              <w:spacing w:before="59"/>
                              <w:ind w:left="9" w:right="1"/>
                              <w:jc w:val="center"/>
                              <w:rPr>
                                <w:sz w:val="20"/>
                              </w:rPr>
                            </w:pPr>
                            <w:r>
                              <w:rPr>
                                <w:color w:val="105C84"/>
                                <w:spacing w:val="-5"/>
                                <w:sz w:val="20"/>
                              </w:rPr>
                              <w:t>10%</w:t>
                            </w:r>
                          </w:p>
                        </w:tc>
                        <w:tc>
                          <w:tcPr>
                            <w:tcW w:w="3944" w:type="dxa"/>
                          </w:tcPr>
                          <w:p>
                            <w:pPr>
                              <w:pStyle w:val="TableParagraph"/>
                              <w:spacing w:before="59"/>
                              <w:ind w:left="9" w:right="1"/>
                              <w:jc w:val="center"/>
                              <w:rPr>
                                <w:sz w:val="20"/>
                              </w:rPr>
                            </w:pPr>
                            <w:r>
                              <w:rPr>
                                <w:color w:val="105C84"/>
                                <w:spacing w:val="-5"/>
                                <w:sz w:val="20"/>
                              </w:rPr>
                              <w:t>21%</w:t>
                            </w:r>
                          </w:p>
                        </w:tc>
                      </w:tr>
                      <w:tr>
                        <w:trPr>
                          <w:trHeight w:val="331" w:hRule="atLeast"/>
                        </w:trPr>
                        <w:tc>
                          <w:tcPr>
                            <w:tcW w:w="2186" w:type="dxa"/>
                            <w:shd w:val="clear" w:color="auto" w:fill="DCDDDE"/>
                          </w:tcPr>
                          <w:p>
                            <w:pPr>
                              <w:pStyle w:val="TableParagraph"/>
                              <w:spacing w:before="59"/>
                              <w:ind w:left="89"/>
                              <w:rPr>
                                <w:b/>
                                <w:sz w:val="20"/>
                              </w:rPr>
                            </w:pPr>
                            <w:r>
                              <w:rPr>
                                <w:b/>
                                <w:color w:val="105C84"/>
                                <w:spacing w:val="-2"/>
                                <w:sz w:val="20"/>
                              </w:rPr>
                              <w:t>Yates</w:t>
                            </w:r>
                          </w:p>
                        </w:tc>
                        <w:tc>
                          <w:tcPr>
                            <w:tcW w:w="3944" w:type="dxa"/>
                          </w:tcPr>
                          <w:p>
                            <w:pPr>
                              <w:pStyle w:val="TableParagraph"/>
                              <w:spacing w:before="59"/>
                              <w:ind w:left="9" w:right="1"/>
                              <w:jc w:val="center"/>
                              <w:rPr>
                                <w:sz w:val="20"/>
                              </w:rPr>
                            </w:pPr>
                            <w:r>
                              <w:rPr>
                                <w:color w:val="105C84"/>
                                <w:spacing w:val="-5"/>
                                <w:sz w:val="20"/>
                              </w:rPr>
                              <w:t>8%</w:t>
                            </w:r>
                          </w:p>
                        </w:tc>
                        <w:tc>
                          <w:tcPr>
                            <w:tcW w:w="3944" w:type="dxa"/>
                          </w:tcPr>
                          <w:p>
                            <w:pPr>
                              <w:pStyle w:val="TableParagraph"/>
                              <w:spacing w:before="59"/>
                              <w:ind w:left="9" w:right="1"/>
                              <w:jc w:val="center"/>
                              <w:rPr>
                                <w:sz w:val="20"/>
                              </w:rPr>
                            </w:pPr>
                            <w:r>
                              <w:rPr>
                                <w:color w:val="105C84"/>
                                <w:spacing w:val="-5"/>
                                <w:sz w:val="20"/>
                              </w:rPr>
                              <w:t>24%</w:t>
                            </w:r>
                          </w:p>
                        </w:tc>
                      </w:tr>
                      <w:tr>
                        <w:trPr>
                          <w:trHeight w:val="331" w:hRule="atLeast"/>
                        </w:trPr>
                        <w:tc>
                          <w:tcPr>
                            <w:tcW w:w="2186" w:type="dxa"/>
                            <w:shd w:val="clear" w:color="auto" w:fill="82BF6A"/>
                          </w:tcPr>
                          <w:p>
                            <w:pPr>
                              <w:pStyle w:val="TableParagraph"/>
                              <w:spacing w:before="59"/>
                              <w:ind w:left="89"/>
                              <w:rPr>
                                <w:b/>
                                <w:sz w:val="20"/>
                              </w:rPr>
                            </w:pPr>
                            <w:r>
                              <w:rPr>
                                <w:b/>
                                <w:color w:val="FFFFFF"/>
                                <w:sz w:val="20"/>
                              </w:rPr>
                              <w:t>8</w:t>
                            </w:r>
                            <w:r>
                              <w:rPr>
                                <w:b/>
                                <w:color w:val="FFFFFF"/>
                                <w:spacing w:val="5"/>
                                <w:sz w:val="20"/>
                              </w:rPr>
                              <w:t> </w:t>
                            </w:r>
                            <w:r>
                              <w:rPr>
                                <w:b/>
                                <w:color w:val="FFFFFF"/>
                                <w:sz w:val="20"/>
                              </w:rPr>
                              <w:t>County</w:t>
                            </w:r>
                            <w:r>
                              <w:rPr>
                                <w:b/>
                                <w:color w:val="FFFFFF"/>
                                <w:spacing w:val="5"/>
                                <w:sz w:val="20"/>
                              </w:rPr>
                              <w:t> </w:t>
                            </w:r>
                            <w:r>
                              <w:rPr>
                                <w:b/>
                                <w:color w:val="FFFFFF"/>
                                <w:spacing w:val="-2"/>
                                <w:sz w:val="20"/>
                              </w:rPr>
                              <w:t>Region</w:t>
                            </w:r>
                          </w:p>
                        </w:tc>
                        <w:tc>
                          <w:tcPr>
                            <w:tcW w:w="3944" w:type="dxa"/>
                            <w:shd w:val="clear" w:color="auto" w:fill="82BF6A"/>
                          </w:tcPr>
                          <w:p>
                            <w:pPr>
                              <w:pStyle w:val="TableParagraph"/>
                              <w:spacing w:before="59"/>
                              <w:ind w:left="9" w:right="1"/>
                              <w:jc w:val="center"/>
                              <w:rPr>
                                <w:b/>
                                <w:sz w:val="20"/>
                              </w:rPr>
                            </w:pPr>
                            <w:r>
                              <w:rPr>
                                <w:b/>
                                <w:color w:val="FFFFFF"/>
                                <w:spacing w:val="-5"/>
                                <w:w w:val="105"/>
                                <w:sz w:val="20"/>
                              </w:rPr>
                              <w:t>11%</w:t>
                            </w:r>
                          </w:p>
                        </w:tc>
                        <w:tc>
                          <w:tcPr>
                            <w:tcW w:w="3944" w:type="dxa"/>
                            <w:shd w:val="clear" w:color="auto" w:fill="82BF6A"/>
                          </w:tcPr>
                          <w:p>
                            <w:pPr>
                              <w:pStyle w:val="TableParagraph"/>
                              <w:spacing w:before="59"/>
                              <w:ind w:left="9" w:right="1"/>
                              <w:jc w:val="center"/>
                              <w:rPr>
                                <w:b/>
                                <w:sz w:val="20"/>
                              </w:rPr>
                            </w:pPr>
                            <w:r>
                              <w:rPr>
                                <w:b/>
                                <w:color w:val="FFFFFF"/>
                                <w:spacing w:val="-5"/>
                                <w:w w:val="105"/>
                                <w:sz w:val="20"/>
                              </w:rPr>
                              <w:t>25%</w:t>
                            </w:r>
                          </w:p>
                        </w:tc>
                      </w:tr>
                      <w:tr>
                        <w:trPr>
                          <w:trHeight w:val="331" w:hRule="atLeast"/>
                        </w:trPr>
                        <w:tc>
                          <w:tcPr>
                            <w:tcW w:w="2186" w:type="dxa"/>
                          </w:tcPr>
                          <w:p>
                            <w:pPr>
                              <w:pStyle w:val="TableParagraph"/>
                              <w:spacing w:before="59"/>
                              <w:ind w:left="89"/>
                              <w:rPr>
                                <w:b/>
                                <w:sz w:val="20"/>
                              </w:rPr>
                            </w:pPr>
                            <w:r>
                              <w:rPr>
                                <w:b/>
                                <w:color w:val="0C5D86"/>
                                <w:spacing w:val="-5"/>
                                <w:sz w:val="20"/>
                              </w:rPr>
                              <w:t>NYS</w:t>
                            </w:r>
                          </w:p>
                        </w:tc>
                        <w:tc>
                          <w:tcPr>
                            <w:tcW w:w="3944" w:type="dxa"/>
                          </w:tcPr>
                          <w:p>
                            <w:pPr>
                              <w:pStyle w:val="TableParagraph"/>
                              <w:spacing w:before="59"/>
                              <w:ind w:left="9" w:right="1"/>
                              <w:jc w:val="center"/>
                              <w:rPr>
                                <w:b/>
                                <w:sz w:val="20"/>
                              </w:rPr>
                            </w:pPr>
                            <w:r>
                              <w:rPr>
                                <w:b/>
                                <w:color w:val="0C5D86"/>
                                <w:spacing w:val="-5"/>
                                <w:w w:val="105"/>
                                <w:sz w:val="20"/>
                              </w:rPr>
                              <w:t>9%</w:t>
                            </w:r>
                          </w:p>
                        </w:tc>
                        <w:tc>
                          <w:tcPr>
                            <w:tcW w:w="3944" w:type="dxa"/>
                          </w:tcPr>
                          <w:p>
                            <w:pPr>
                              <w:pStyle w:val="TableParagraph"/>
                              <w:spacing w:before="59"/>
                              <w:ind w:left="9" w:right="1"/>
                              <w:jc w:val="center"/>
                              <w:rPr>
                                <w:b/>
                                <w:sz w:val="20"/>
                              </w:rPr>
                            </w:pPr>
                            <w:r>
                              <w:rPr>
                                <w:b/>
                                <w:color w:val="0C5D86"/>
                                <w:spacing w:val="-5"/>
                                <w:w w:val="105"/>
                                <w:sz w:val="20"/>
                              </w:rPr>
                              <w:t>21%</w:t>
                            </w:r>
                          </w:p>
                        </w:tc>
                      </w:tr>
                    </w:tbl>
                    <w:p>
                      <w:pPr>
                        <w:pStyle w:val="BodyText"/>
                      </w:pPr>
                    </w:p>
                  </w:txbxContent>
                </v:textbox>
                <w10:wrap type="none"/>
              </v:shape>
            </w:pict>
          </mc:Fallback>
        </mc:AlternateContent>
      </w:r>
      <w:r>
        <w:rPr>
          <w:color w:val="0C5D86"/>
          <w:spacing w:val="-4"/>
          <w:sz w:val="16"/>
        </w:rPr>
        <w:t>Source:</w:t>
      </w:r>
      <w:r>
        <w:rPr>
          <w:color w:val="0C5D86"/>
          <w:spacing w:val="5"/>
          <w:sz w:val="16"/>
        </w:rPr>
        <w:t> </w:t>
      </w:r>
      <w:r>
        <w:rPr>
          <w:color w:val="0C5D86"/>
          <w:spacing w:val="-4"/>
          <w:sz w:val="16"/>
        </w:rPr>
        <w:t>Behavioral</w:t>
      </w:r>
      <w:r>
        <w:rPr>
          <w:color w:val="0C5D86"/>
          <w:spacing w:val="6"/>
          <w:sz w:val="16"/>
        </w:rPr>
        <w:t> </w:t>
      </w:r>
      <w:r>
        <w:rPr>
          <w:color w:val="0C5D86"/>
          <w:spacing w:val="-4"/>
          <w:sz w:val="16"/>
        </w:rPr>
        <w:t>Risk</w:t>
      </w:r>
      <w:r>
        <w:rPr>
          <w:color w:val="0C5D86"/>
          <w:spacing w:val="5"/>
          <w:sz w:val="16"/>
        </w:rPr>
        <w:t> </w:t>
      </w:r>
      <w:r>
        <w:rPr>
          <w:color w:val="0C5D86"/>
          <w:spacing w:val="-4"/>
          <w:sz w:val="16"/>
        </w:rPr>
        <w:t>Factor</w:t>
      </w:r>
      <w:r>
        <w:rPr>
          <w:color w:val="0C5D86"/>
          <w:spacing w:val="6"/>
          <w:sz w:val="16"/>
        </w:rPr>
        <w:t> </w:t>
      </w:r>
      <w:r>
        <w:rPr>
          <w:color w:val="0C5D86"/>
          <w:spacing w:val="-4"/>
          <w:sz w:val="16"/>
        </w:rPr>
        <w:t>Surveillance</w:t>
      </w:r>
      <w:r>
        <w:rPr>
          <w:color w:val="0C5D86"/>
          <w:spacing w:val="5"/>
          <w:sz w:val="16"/>
        </w:rPr>
        <w:t> </w:t>
      </w:r>
      <w:r>
        <w:rPr>
          <w:color w:val="0C5D86"/>
          <w:spacing w:val="-4"/>
          <w:sz w:val="16"/>
        </w:rPr>
        <w:t>System,</w:t>
      </w:r>
      <w:r>
        <w:rPr>
          <w:color w:val="0C5D86"/>
          <w:spacing w:val="6"/>
          <w:sz w:val="16"/>
        </w:rPr>
        <w:t> </w:t>
      </w:r>
      <w:r>
        <w:rPr>
          <w:color w:val="0C5D86"/>
          <w:spacing w:val="-4"/>
          <w:sz w:val="16"/>
        </w:rPr>
        <w:t>2016</w:t>
      </w:r>
    </w:p>
    <w:p>
      <w:pPr>
        <w:pStyle w:val="BodyText"/>
        <w:rPr>
          <w:sz w:val="16"/>
        </w:rPr>
      </w:pPr>
    </w:p>
    <w:p>
      <w:pPr>
        <w:pStyle w:val="BodyText"/>
        <w:spacing w:before="92"/>
        <w:rPr>
          <w:sz w:val="16"/>
        </w:rPr>
      </w:pPr>
    </w:p>
    <w:p>
      <w:pPr>
        <w:pStyle w:val="BodyText"/>
        <w:spacing w:line="247" w:lineRule="auto"/>
        <w:ind w:left="1108" w:right="97"/>
      </w:pPr>
      <w:r>
        <w:rPr>
          <w:color w:val="105C84"/>
        </w:rPr>
        <w:t>Tobacco use increases the risk of cardiovascular disease. An emerging issue identified in the region is the use of e-cigarettes and other nicotine delivery systems, especially among younger adults.</w:t>
      </w:r>
    </w:p>
    <w:p>
      <w:pPr>
        <w:pStyle w:val="BodyText"/>
        <w:spacing w:line="247" w:lineRule="auto"/>
        <w:ind w:left="1108" w:right="97"/>
      </w:pPr>
      <w:r>
        <w:rPr>
          <w:color w:val="105C84"/>
        </w:rPr>
        <w:t>Nicotine is addictive – regardless of the form in which it is consumed - and has deleterious effects</w:t>
      </w:r>
      <w:r>
        <w:rPr>
          <w:color w:val="105C84"/>
          <w:spacing w:val="80"/>
        </w:rPr>
        <w:t> </w:t>
      </w:r>
      <w:r>
        <w:rPr>
          <w:color w:val="105C84"/>
        </w:rPr>
        <w:t>on</w:t>
      </w:r>
      <w:r>
        <w:rPr>
          <w:color w:val="105C84"/>
          <w:spacing w:val="22"/>
        </w:rPr>
        <w:t> </w:t>
      </w:r>
      <w:r>
        <w:rPr>
          <w:color w:val="105C84"/>
        </w:rPr>
        <w:t>developing</w:t>
      </w:r>
      <w:r>
        <w:rPr>
          <w:color w:val="105C84"/>
          <w:spacing w:val="22"/>
        </w:rPr>
        <w:t> </w:t>
      </w:r>
      <w:r>
        <w:rPr>
          <w:color w:val="105C84"/>
        </w:rPr>
        <w:t>fetuses</w:t>
      </w:r>
      <w:r>
        <w:rPr>
          <w:color w:val="105C84"/>
          <w:spacing w:val="22"/>
        </w:rPr>
        <w:t> </w:t>
      </w:r>
      <w:r>
        <w:rPr>
          <w:color w:val="105C84"/>
        </w:rPr>
        <w:t>and</w:t>
      </w:r>
      <w:r>
        <w:rPr>
          <w:color w:val="105C84"/>
          <w:spacing w:val="22"/>
        </w:rPr>
        <w:t> </w:t>
      </w:r>
      <w:r>
        <w:rPr>
          <w:color w:val="105C84"/>
        </w:rPr>
        <w:t>underdeveloped</w:t>
      </w:r>
      <w:r>
        <w:rPr>
          <w:color w:val="105C84"/>
          <w:spacing w:val="22"/>
        </w:rPr>
        <w:t> </w:t>
      </w:r>
      <w:r>
        <w:rPr>
          <w:color w:val="105C84"/>
        </w:rPr>
        <w:t>brains</w:t>
      </w:r>
      <w:r>
        <w:rPr>
          <w:color w:val="105C84"/>
          <w:spacing w:val="22"/>
        </w:rPr>
        <w:t> </w:t>
      </w:r>
      <w:r>
        <w:rPr>
          <w:color w:val="105C84"/>
        </w:rPr>
        <w:t>in</w:t>
      </w:r>
      <w:r>
        <w:rPr>
          <w:color w:val="105C84"/>
          <w:spacing w:val="22"/>
        </w:rPr>
        <w:t> </w:t>
      </w:r>
      <w:r>
        <w:rPr>
          <w:color w:val="105C84"/>
        </w:rPr>
        <w:t>children</w:t>
      </w:r>
      <w:r>
        <w:rPr>
          <w:color w:val="105C84"/>
          <w:spacing w:val="22"/>
        </w:rPr>
        <w:t> </w:t>
      </w:r>
      <w:r>
        <w:rPr>
          <w:color w:val="105C84"/>
        </w:rPr>
        <w:t>and</w:t>
      </w:r>
      <w:r>
        <w:rPr>
          <w:color w:val="105C84"/>
          <w:spacing w:val="22"/>
        </w:rPr>
        <w:t> </w:t>
      </w:r>
      <w:r>
        <w:rPr>
          <w:color w:val="105C84"/>
        </w:rPr>
        <w:t>adolescents.</w:t>
      </w:r>
      <w:r>
        <w:rPr>
          <w:color w:val="105C84"/>
          <w:spacing w:val="22"/>
        </w:rPr>
        <w:t> </w:t>
      </w:r>
      <w:r>
        <w:rPr>
          <w:color w:val="105C84"/>
        </w:rPr>
        <w:t>Unregulated</w:t>
      </w:r>
      <w:r>
        <w:rPr>
          <w:color w:val="105C84"/>
          <w:spacing w:val="22"/>
        </w:rPr>
        <w:t> </w:t>
      </w:r>
      <w:r>
        <w:rPr>
          <w:color w:val="105C84"/>
        </w:rPr>
        <w:t>child-friendly flavorings and colorings found in vaping and other devices damage the oral mucosa and</w:t>
      </w:r>
      <w:r>
        <w:rPr>
          <w:color w:val="105C84"/>
          <w:spacing w:val="40"/>
        </w:rPr>
        <w:t> </w:t>
      </w:r>
      <w:r>
        <w:rPr>
          <w:color w:val="105C84"/>
        </w:rPr>
        <w:t>airway.</w:t>
      </w:r>
      <w:r>
        <w:rPr>
          <w:color w:val="105C84"/>
          <w:spacing w:val="21"/>
        </w:rPr>
        <w:t> </w:t>
      </w:r>
      <w:r>
        <w:rPr>
          <w:color w:val="105C84"/>
        </w:rPr>
        <w:t>There</w:t>
      </w:r>
      <w:r>
        <w:rPr>
          <w:color w:val="105C84"/>
          <w:spacing w:val="21"/>
        </w:rPr>
        <w:t> </w:t>
      </w:r>
      <w:r>
        <w:rPr>
          <w:color w:val="105C84"/>
        </w:rPr>
        <w:t>is</w:t>
      </w:r>
      <w:r>
        <w:rPr>
          <w:color w:val="105C84"/>
          <w:spacing w:val="21"/>
        </w:rPr>
        <w:t> </w:t>
      </w:r>
      <w:r>
        <w:rPr>
          <w:color w:val="105C84"/>
        </w:rPr>
        <w:t>much</w:t>
      </w:r>
      <w:r>
        <w:rPr>
          <w:color w:val="105C84"/>
          <w:spacing w:val="21"/>
        </w:rPr>
        <w:t> </w:t>
      </w:r>
      <w:r>
        <w:rPr>
          <w:color w:val="105C84"/>
        </w:rPr>
        <w:t>still</w:t>
      </w:r>
      <w:r>
        <w:rPr>
          <w:color w:val="105C84"/>
          <w:spacing w:val="21"/>
        </w:rPr>
        <w:t> </w:t>
      </w:r>
      <w:r>
        <w:rPr>
          <w:color w:val="105C84"/>
        </w:rPr>
        <w:t>unknown</w:t>
      </w:r>
      <w:r>
        <w:rPr>
          <w:color w:val="105C84"/>
          <w:spacing w:val="21"/>
        </w:rPr>
        <w:t> </w:t>
      </w:r>
      <w:r>
        <w:rPr>
          <w:color w:val="105C84"/>
        </w:rPr>
        <w:t>about</w:t>
      </w:r>
      <w:r>
        <w:rPr>
          <w:color w:val="105C84"/>
          <w:spacing w:val="21"/>
        </w:rPr>
        <w:t> </w:t>
      </w:r>
      <w:r>
        <w:rPr>
          <w:color w:val="105C84"/>
        </w:rPr>
        <w:t>the</w:t>
      </w:r>
      <w:r>
        <w:rPr>
          <w:color w:val="105C84"/>
          <w:spacing w:val="21"/>
        </w:rPr>
        <w:t> </w:t>
      </w:r>
      <w:r>
        <w:rPr>
          <w:color w:val="105C84"/>
        </w:rPr>
        <w:t>full</w:t>
      </w:r>
      <w:r>
        <w:rPr>
          <w:color w:val="105C84"/>
          <w:spacing w:val="21"/>
        </w:rPr>
        <w:t> </w:t>
      </w:r>
      <w:r>
        <w:rPr>
          <w:color w:val="105C84"/>
        </w:rPr>
        <w:t>health</w:t>
      </w:r>
      <w:r>
        <w:rPr>
          <w:color w:val="105C84"/>
          <w:spacing w:val="21"/>
        </w:rPr>
        <w:t> </w:t>
      </w:r>
      <w:r>
        <w:rPr>
          <w:color w:val="105C84"/>
        </w:rPr>
        <w:t>effects</w:t>
      </w:r>
      <w:r>
        <w:rPr>
          <w:color w:val="105C84"/>
          <w:spacing w:val="21"/>
        </w:rPr>
        <w:t> </w:t>
      </w:r>
      <w:r>
        <w:rPr>
          <w:color w:val="105C84"/>
        </w:rPr>
        <w:t>of</w:t>
      </w:r>
      <w:r>
        <w:rPr>
          <w:color w:val="105C84"/>
          <w:spacing w:val="21"/>
        </w:rPr>
        <w:t> </w:t>
      </w:r>
      <w:r>
        <w:rPr>
          <w:color w:val="105C84"/>
        </w:rPr>
        <w:t>electronic</w:t>
      </w:r>
      <w:r>
        <w:rPr>
          <w:color w:val="105C84"/>
          <w:spacing w:val="21"/>
        </w:rPr>
        <w:t> </w:t>
      </w:r>
      <w:r>
        <w:rPr>
          <w:color w:val="105C84"/>
        </w:rPr>
        <w:t>cigarettes.</w:t>
      </w:r>
      <w:r>
        <w:rPr>
          <w:color w:val="105C84"/>
          <w:spacing w:val="21"/>
        </w:rPr>
        <w:t> </w:t>
      </w:r>
      <w:r>
        <w:rPr>
          <w:color w:val="105C84"/>
        </w:rPr>
        <w:t>A</w:t>
      </w:r>
      <w:r>
        <w:rPr>
          <w:color w:val="105C84"/>
          <w:spacing w:val="21"/>
        </w:rPr>
        <w:t> </w:t>
      </w:r>
      <w:r>
        <w:rPr>
          <w:color w:val="105C84"/>
        </w:rPr>
        <w:t>recent NY State DOH Health Alert (August 15, 2019) of severe pulmonary disease among ten NY State residents related to vaping highlights the need for public health professionals to address this issue</w:t>
      </w:r>
      <w:r>
        <w:rPr>
          <w:color w:val="105C84"/>
          <w:spacing w:val="80"/>
        </w:rPr>
        <w:t> </w:t>
      </w:r>
      <w:r>
        <w:rPr>
          <w:color w:val="105C84"/>
        </w:rPr>
        <w:t>in the coming years. While data at this time are sparse, the popularity of these devices has grown substantially. It is likely use is actually much higher than the estimates shown in Figure 7.</w:t>
      </w:r>
    </w:p>
    <w:p>
      <w:pPr>
        <w:tabs>
          <w:tab w:pos="4090" w:val="left" w:leader="none"/>
          <w:tab w:pos="5020" w:val="left" w:leader="none"/>
          <w:tab w:pos="6067" w:val="left" w:leader="none"/>
          <w:tab w:pos="7007" w:val="left" w:leader="none"/>
          <w:tab w:pos="8055" w:val="left" w:leader="none"/>
          <w:tab w:pos="9097" w:val="left" w:leader="none"/>
          <w:tab w:pos="9908" w:val="left" w:leader="none"/>
        </w:tabs>
        <w:spacing w:before="27"/>
        <w:ind w:left="2030" w:right="0" w:firstLine="0"/>
        <w:jc w:val="left"/>
        <w:rPr>
          <w:sz w:val="18"/>
        </w:rPr>
      </w:pPr>
      <w:r>
        <w:rPr/>
        <w:br w:type="column"/>
      </w:r>
      <w:r>
        <w:rPr>
          <w:color w:val="636466"/>
          <w:sz w:val="18"/>
        </w:rPr>
        <w:t>Chemung</w:t>
      </w:r>
      <w:r>
        <w:rPr>
          <w:color w:val="636466"/>
          <w:spacing w:val="37"/>
          <w:sz w:val="18"/>
        </w:rPr>
        <w:t>  </w:t>
      </w:r>
      <w:r>
        <w:rPr>
          <w:color w:val="636466"/>
          <w:spacing w:val="-2"/>
          <w:sz w:val="18"/>
        </w:rPr>
        <w:t>Livingston</w:t>
      </w:r>
      <w:r>
        <w:rPr>
          <w:color w:val="636466"/>
          <w:sz w:val="18"/>
        </w:rPr>
        <w:tab/>
      </w:r>
      <w:r>
        <w:rPr>
          <w:color w:val="636466"/>
          <w:spacing w:val="-2"/>
          <w:sz w:val="18"/>
        </w:rPr>
        <w:t>Ontario</w:t>
      </w:r>
      <w:r>
        <w:rPr>
          <w:color w:val="636466"/>
          <w:sz w:val="18"/>
        </w:rPr>
        <w:tab/>
      </w:r>
      <w:r>
        <w:rPr>
          <w:color w:val="636466"/>
          <w:spacing w:val="-2"/>
          <w:sz w:val="18"/>
        </w:rPr>
        <w:t>Schuyler</w:t>
      </w:r>
      <w:r>
        <w:rPr>
          <w:color w:val="636466"/>
          <w:sz w:val="18"/>
        </w:rPr>
        <w:tab/>
      </w:r>
      <w:r>
        <w:rPr>
          <w:color w:val="636466"/>
          <w:spacing w:val="-2"/>
          <w:sz w:val="18"/>
        </w:rPr>
        <w:t>Seneca</w:t>
      </w:r>
      <w:r>
        <w:rPr>
          <w:color w:val="636466"/>
          <w:sz w:val="18"/>
        </w:rPr>
        <w:tab/>
      </w:r>
      <w:r>
        <w:rPr>
          <w:color w:val="636466"/>
          <w:spacing w:val="-2"/>
          <w:sz w:val="18"/>
        </w:rPr>
        <w:t>Steuben</w:t>
      </w:r>
      <w:r>
        <w:rPr>
          <w:color w:val="636466"/>
          <w:sz w:val="18"/>
        </w:rPr>
        <w:tab/>
      </w:r>
      <w:r>
        <w:rPr>
          <w:color w:val="636466"/>
          <w:spacing w:val="-2"/>
          <w:sz w:val="18"/>
        </w:rPr>
        <w:t>Wayne</w:t>
      </w:r>
      <w:r>
        <w:rPr>
          <w:color w:val="636466"/>
          <w:sz w:val="18"/>
        </w:rPr>
        <w:tab/>
      </w:r>
      <w:r>
        <w:rPr>
          <w:color w:val="636466"/>
          <w:spacing w:val="-2"/>
          <w:sz w:val="18"/>
        </w:rPr>
        <w:t>Yates</w:t>
      </w:r>
      <w:r>
        <w:rPr>
          <w:color w:val="636466"/>
          <w:sz w:val="18"/>
        </w:rPr>
        <w:tab/>
      </w:r>
      <w:r>
        <w:rPr>
          <w:color w:val="636466"/>
          <w:w w:val="90"/>
          <w:sz w:val="18"/>
        </w:rPr>
        <w:t>NYS</w:t>
      </w:r>
      <w:r>
        <w:rPr>
          <w:color w:val="636466"/>
          <w:spacing w:val="3"/>
          <w:sz w:val="18"/>
        </w:rPr>
        <w:t> </w:t>
      </w:r>
      <w:r>
        <w:rPr>
          <w:color w:val="636466"/>
          <w:spacing w:val="-2"/>
          <w:sz w:val="18"/>
        </w:rPr>
        <w:t>Excl.</w:t>
      </w:r>
    </w:p>
    <w:p>
      <w:pPr>
        <w:spacing w:before="4"/>
        <w:ind w:left="0" w:right="1078" w:firstLine="0"/>
        <w:jc w:val="right"/>
        <w:rPr>
          <w:sz w:val="18"/>
        </w:rPr>
      </w:pPr>
      <w:r>
        <w:rPr>
          <w:color w:val="636466"/>
          <w:spacing w:val="-5"/>
          <w:sz w:val="18"/>
        </w:rPr>
        <w:t>NYC</w:t>
      </w:r>
    </w:p>
    <w:p>
      <w:pPr>
        <w:spacing w:line="235" w:lineRule="auto" w:before="167"/>
        <w:ind w:left="2062" w:right="0" w:firstLine="0"/>
        <w:jc w:val="left"/>
        <w:rPr>
          <w:sz w:val="16"/>
        </w:rPr>
      </w:pPr>
      <w:r>
        <w:rPr>
          <w:color w:val="105C84"/>
          <w:sz w:val="16"/>
        </w:rPr>
        <w:t>Data</w:t>
      </w:r>
      <w:r>
        <w:rPr>
          <w:color w:val="105C84"/>
          <w:spacing w:val="-3"/>
          <w:sz w:val="16"/>
        </w:rPr>
        <w:t> </w:t>
      </w:r>
      <w:r>
        <w:rPr>
          <w:color w:val="105C84"/>
          <w:sz w:val="16"/>
        </w:rPr>
        <w:t>Source:</w:t>
      </w:r>
      <w:r>
        <w:rPr>
          <w:color w:val="105C84"/>
          <w:spacing w:val="-3"/>
          <w:sz w:val="16"/>
        </w:rPr>
        <w:t> </w:t>
      </w:r>
      <w:r>
        <w:rPr>
          <w:color w:val="105C84"/>
          <w:sz w:val="16"/>
        </w:rPr>
        <w:t>Division</w:t>
      </w:r>
      <w:r>
        <w:rPr>
          <w:color w:val="105C84"/>
          <w:spacing w:val="-3"/>
          <w:sz w:val="16"/>
        </w:rPr>
        <w:t> </w:t>
      </w:r>
      <w:r>
        <w:rPr>
          <w:color w:val="105C84"/>
          <w:sz w:val="16"/>
        </w:rPr>
        <w:t>of</w:t>
      </w:r>
      <w:r>
        <w:rPr>
          <w:color w:val="105C84"/>
          <w:spacing w:val="-3"/>
          <w:sz w:val="16"/>
        </w:rPr>
        <w:t> </w:t>
      </w:r>
      <w:r>
        <w:rPr>
          <w:color w:val="105C84"/>
          <w:sz w:val="16"/>
        </w:rPr>
        <w:t>Chronic</w:t>
      </w:r>
      <w:r>
        <w:rPr>
          <w:color w:val="105C84"/>
          <w:spacing w:val="-3"/>
          <w:sz w:val="16"/>
        </w:rPr>
        <w:t> </w:t>
      </w:r>
      <w:r>
        <w:rPr>
          <w:color w:val="105C84"/>
          <w:sz w:val="16"/>
        </w:rPr>
        <w:t>Disease</w:t>
      </w:r>
      <w:r>
        <w:rPr>
          <w:color w:val="105C84"/>
          <w:spacing w:val="-3"/>
          <w:sz w:val="16"/>
        </w:rPr>
        <w:t> </w:t>
      </w:r>
      <w:r>
        <w:rPr>
          <w:color w:val="105C84"/>
          <w:sz w:val="16"/>
        </w:rPr>
        <w:t>and</w:t>
      </w:r>
      <w:r>
        <w:rPr>
          <w:color w:val="105C84"/>
          <w:spacing w:val="-3"/>
          <w:sz w:val="16"/>
        </w:rPr>
        <w:t> </w:t>
      </w:r>
      <w:r>
        <w:rPr>
          <w:color w:val="105C84"/>
          <w:sz w:val="16"/>
        </w:rPr>
        <w:t>Injury</w:t>
      </w:r>
      <w:r>
        <w:rPr>
          <w:color w:val="105C84"/>
          <w:spacing w:val="-3"/>
          <w:sz w:val="16"/>
        </w:rPr>
        <w:t> </w:t>
      </w:r>
      <w:r>
        <w:rPr>
          <w:color w:val="105C84"/>
          <w:sz w:val="16"/>
        </w:rPr>
        <w:t>Prevention,</w:t>
      </w:r>
      <w:r>
        <w:rPr>
          <w:color w:val="105C84"/>
          <w:spacing w:val="-3"/>
          <w:sz w:val="16"/>
        </w:rPr>
        <w:t> </w:t>
      </w:r>
      <w:r>
        <w:rPr>
          <w:color w:val="105C84"/>
          <w:sz w:val="16"/>
        </w:rPr>
        <w:t>Bureau</w:t>
      </w:r>
      <w:r>
        <w:rPr>
          <w:color w:val="105C84"/>
          <w:spacing w:val="-3"/>
          <w:sz w:val="16"/>
        </w:rPr>
        <w:t> </w:t>
      </w:r>
      <w:r>
        <w:rPr>
          <w:color w:val="105C84"/>
          <w:sz w:val="16"/>
        </w:rPr>
        <w:t>of</w:t>
      </w:r>
      <w:r>
        <w:rPr>
          <w:color w:val="105C84"/>
          <w:spacing w:val="-3"/>
          <w:sz w:val="16"/>
        </w:rPr>
        <w:t> </w:t>
      </w:r>
      <w:r>
        <w:rPr>
          <w:color w:val="105C84"/>
          <w:sz w:val="16"/>
        </w:rPr>
        <w:t>Chronic</w:t>
      </w:r>
      <w:r>
        <w:rPr>
          <w:color w:val="105C84"/>
          <w:spacing w:val="-3"/>
          <w:sz w:val="16"/>
        </w:rPr>
        <w:t> </w:t>
      </w:r>
      <w:r>
        <w:rPr>
          <w:color w:val="105C84"/>
          <w:sz w:val="16"/>
        </w:rPr>
        <w:t>Evaluation</w:t>
      </w:r>
      <w:r>
        <w:rPr>
          <w:color w:val="105C84"/>
          <w:spacing w:val="-3"/>
          <w:sz w:val="16"/>
        </w:rPr>
        <w:t> </w:t>
      </w:r>
      <w:r>
        <w:rPr>
          <w:color w:val="105C84"/>
          <w:sz w:val="16"/>
        </w:rPr>
        <w:t>and</w:t>
      </w:r>
      <w:r>
        <w:rPr>
          <w:color w:val="105C84"/>
          <w:spacing w:val="-3"/>
          <w:sz w:val="16"/>
        </w:rPr>
        <w:t> </w:t>
      </w:r>
      <w:r>
        <w:rPr>
          <w:color w:val="105C84"/>
          <w:sz w:val="16"/>
        </w:rPr>
        <w:t>Research,</w:t>
      </w:r>
      <w:r>
        <w:rPr>
          <w:color w:val="105C84"/>
          <w:spacing w:val="-3"/>
          <w:sz w:val="16"/>
        </w:rPr>
        <w:t> </w:t>
      </w:r>
      <w:r>
        <w:rPr>
          <w:color w:val="105C84"/>
          <w:sz w:val="16"/>
        </w:rPr>
        <w:t>New</w:t>
      </w:r>
      <w:r>
        <w:rPr>
          <w:color w:val="105C84"/>
          <w:spacing w:val="-3"/>
          <w:sz w:val="16"/>
        </w:rPr>
        <w:t> </w:t>
      </w:r>
      <w:r>
        <w:rPr>
          <w:color w:val="105C84"/>
          <w:sz w:val="16"/>
        </w:rPr>
        <w:t>York</w:t>
      </w:r>
      <w:r>
        <w:rPr>
          <w:color w:val="105C84"/>
          <w:spacing w:val="-3"/>
          <w:sz w:val="16"/>
        </w:rPr>
        <w:t> </w:t>
      </w:r>
      <w:r>
        <w:rPr>
          <w:color w:val="105C84"/>
          <w:sz w:val="16"/>
        </w:rPr>
        <w:t>State Department</w:t>
      </w:r>
      <w:r>
        <w:rPr>
          <w:color w:val="105C84"/>
          <w:spacing w:val="-11"/>
          <w:sz w:val="16"/>
        </w:rPr>
        <w:t> </w:t>
      </w:r>
      <w:r>
        <w:rPr>
          <w:color w:val="105C84"/>
          <w:sz w:val="16"/>
        </w:rPr>
        <w:t>of</w:t>
      </w:r>
      <w:r>
        <w:rPr>
          <w:color w:val="105C84"/>
          <w:spacing w:val="-11"/>
          <w:sz w:val="16"/>
        </w:rPr>
        <w:t> </w:t>
      </w:r>
      <w:r>
        <w:rPr>
          <w:color w:val="105C84"/>
          <w:sz w:val="16"/>
        </w:rPr>
        <w:t>Health,</w:t>
      </w:r>
      <w:r>
        <w:rPr>
          <w:color w:val="105C84"/>
          <w:spacing w:val="-11"/>
          <w:sz w:val="16"/>
        </w:rPr>
        <w:t> </w:t>
      </w:r>
      <w:r>
        <w:rPr>
          <w:color w:val="105C84"/>
          <w:sz w:val="16"/>
        </w:rPr>
        <w:t>Behavioral</w:t>
      </w:r>
      <w:r>
        <w:rPr>
          <w:color w:val="105C84"/>
          <w:spacing w:val="-11"/>
          <w:sz w:val="16"/>
        </w:rPr>
        <w:t> </w:t>
      </w:r>
      <w:r>
        <w:rPr>
          <w:color w:val="105C84"/>
          <w:sz w:val="16"/>
        </w:rPr>
        <w:t>Risk</w:t>
      </w:r>
      <w:r>
        <w:rPr>
          <w:color w:val="105C84"/>
          <w:spacing w:val="-11"/>
          <w:sz w:val="16"/>
        </w:rPr>
        <w:t> </w:t>
      </w:r>
      <w:r>
        <w:rPr>
          <w:color w:val="105C84"/>
          <w:sz w:val="16"/>
        </w:rPr>
        <w:t>Factor</w:t>
      </w:r>
      <w:r>
        <w:rPr>
          <w:color w:val="105C84"/>
          <w:spacing w:val="-11"/>
          <w:sz w:val="16"/>
        </w:rPr>
        <w:t> </w:t>
      </w:r>
      <w:r>
        <w:rPr>
          <w:color w:val="105C84"/>
          <w:sz w:val="16"/>
        </w:rPr>
        <w:t>Surveillance</w:t>
      </w:r>
      <w:r>
        <w:rPr>
          <w:color w:val="105C84"/>
          <w:spacing w:val="-11"/>
          <w:sz w:val="16"/>
        </w:rPr>
        <w:t> </w:t>
      </w:r>
      <w:r>
        <w:rPr>
          <w:color w:val="105C84"/>
          <w:sz w:val="16"/>
        </w:rPr>
        <w:t>System,</w:t>
      </w:r>
      <w:r>
        <w:rPr>
          <w:color w:val="105C84"/>
          <w:spacing w:val="-11"/>
          <w:sz w:val="16"/>
        </w:rPr>
        <w:t> </w:t>
      </w:r>
      <w:r>
        <w:rPr>
          <w:color w:val="105C84"/>
          <w:sz w:val="16"/>
        </w:rPr>
        <w:t>Year</w:t>
      </w:r>
      <w:r>
        <w:rPr>
          <w:color w:val="105C84"/>
          <w:spacing w:val="-11"/>
          <w:sz w:val="16"/>
        </w:rPr>
        <w:t> </w:t>
      </w:r>
      <w:r>
        <w:rPr>
          <w:color w:val="105C84"/>
          <w:sz w:val="16"/>
        </w:rPr>
        <w:t>2016.</w:t>
      </w:r>
      <w:r>
        <w:rPr>
          <w:color w:val="105C84"/>
          <w:spacing w:val="-11"/>
          <w:sz w:val="16"/>
        </w:rPr>
        <w:t> </w:t>
      </w:r>
      <w:r>
        <w:rPr>
          <w:color w:val="105C84"/>
          <w:sz w:val="16"/>
        </w:rPr>
        <w:t>Analysis</w:t>
      </w:r>
      <w:r>
        <w:rPr>
          <w:color w:val="105C84"/>
          <w:spacing w:val="-11"/>
          <w:sz w:val="16"/>
        </w:rPr>
        <w:t> </w:t>
      </w:r>
      <w:r>
        <w:rPr>
          <w:color w:val="105C84"/>
          <w:sz w:val="16"/>
        </w:rPr>
        <w:t>Completed</w:t>
      </w:r>
      <w:r>
        <w:rPr>
          <w:color w:val="105C84"/>
          <w:spacing w:val="-11"/>
          <w:sz w:val="16"/>
        </w:rPr>
        <w:t> </w:t>
      </w:r>
      <w:r>
        <w:rPr>
          <w:color w:val="105C84"/>
          <w:sz w:val="16"/>
        </w:rPr>
        <w:t>by</w:t>
      </w:r>
      <w:r>
        <w:rPr>
          <w:color w:val="105C84"/>
          <w:spacing w:val="-11"/>
          <w:sz w:val="16"/>
        </w:rPr>
        <w:t> </w:t>
      </w:r>
      <w:r>
        <w:rPr>
          <w:color w:val="105C84"/>
          <w:sz w:val="16"/>
        </w:rPr>
        <w:t>Common</w:t>
      </w:r>
      <w:r>
        <w:rPr>
          <w:color w:val="105C84"/>
          <w:spacing w:val="-11"/>
          <w:sz w:val="16"/>
        </w:rPr>
        <w:t> </w:t>
      </w:r>
      <w:r>
        <w:rPr>
          <w:color w:val="105C84"/>
          <w:sz w:val="16"/>
        </w:rPr>
        <w:t>Ground</w:t>
      </w:r>
      <w:r>
        <w:rPr>
          <w:color w:val="105C84"/>
          <w:spacing w:val="-11"/>
          <w:sz w:val="16"/>
        </w:rPr>
        <w:t> </w:t>
      </w:r>
      <w:r>
        <w:rPr>
          <w:color w:val="105C84"/>
          <w:sz w:val="16"/>
        </w:rPr>
        <w:t>Health</w:t>
      </w:r>
    </w:p>
    <w:p>
      <w:pPr>
        <w:pStyle w:val="BodyText"/>
        <w:rPr>
          <w:sz w:val="16"/>
        </w:rPr>
      </w:pPr>
    </w:p>
    <w:p>
      <w:pPr>
        <w:pStyle w:val="BodyText"/>
        <w:spacing w:before="52"/>
        <w:rPr>
          <w:sz w:val="16"/>
        </w:rPr>
      </w:pPr>
    </w:p>
    <w:p>
      <w:pPr>
        <w:pStyle w:val="BodyText"/>
        <w:spacing w:line="247" w:lineRule="auto"/>
        <w:ind w:left="1108" w:right="818"/>
        <w:jc w:val="both"/>
      </w:pPr>
      <w:r>
        <w:rPr>
          <w:color w:val="105C84"/>
        </w:rPr>
        <w:t>Smoking rates vary by demographic. For instance, the low-income population has higher rates of smoking than the general population, as shown in Table 5 below. Additionally, those living with a disability</w:t>
      </w:r>
      <w:r>
        <w:rPr>
          <w:color w:val="105C84"/>
          <w:spacing w:val="33"/>
        </w:rPr>
        <w:t> </w:t>
      </w:r>
      <w:r>
        <w:rPr>
          <w:color w:val="105C84"/>
        </w:rPr>
        <w:t>are</w:t>
      </w:r>
      <w:r>
        <w:rPr>
          <w:color w:val="105C84"/>
          <w:spacing w:val="33"/>
        </w:rPr>
        <w:t> </w:t>
      </w:r>
      <w:r>
        <w:rPr>
          <w:color w:val="105C84"/>
        </w:rPr>
        <w:t>also</w:t>
      </w:r>
      <w:r>
        <w:rPr>
          <w:color w:val="105C84"/>
          <w:spacing w:val="33"/>
        </w:rPr>
        <w:t> </w:t>
      </w:r>
      <w:r>
        <w:rPr>
          <w:color w:val="105C84"/>
        </w:rPr>
        <w:t>estimated</w:t>
      </w:r>
      <w:r>
        <w:rPr>
          <w:color w:val="105C84"/>
          <w:spacing w:val="33"/>
        </w:rPr>
        <w:t> </w:t>
      </w:r>
      <w:r>
        <w:rPr>
          <w:color w:val="105C84"/>
        </w:rPr>
        <w:t>to</w:t>
      </w:r>
      <w:r>
        <w:rPr>
          <w:color w:val="105C84"/>
          <w:spacing w:val="33"/>
        </w:rPr>
        <w:t> </w:t>
      </w:r>
      <w:r>
        <w:rPr>
          <w:color w:val="105C84"/>
        </w:rPr>
        <w:t>have</w:t>
      </w:r>
      <w:r>
        <w:rPr>
          <w:color w:val="105C84"/>
          <w:spacing w:val="33"/>
        </w:rPr>
        <w:t> </w:t>
      </w:r>
      <w:r>
        <w:rPr>
          <w:color w:val="105C84"/>
        </w:rPr>
        <w:t>higher</w:t>
      </w:r>
      <w:r>
        <w:rPr>
          <w:color w:val="105C84"/>
          <w:spacing w:val="33"/>
        </w:rPr>
        <w:t> </w:t>
      </w:r>
      <w:r>
        <w:rPr>
          <w:color w:val="105C84"/>
        </w:rPr>
        <w:t>rates</w:t>
      </w:r>
      <w:r>
        <w:rPr>
          <w:color w:val="105C84"/>
          <w:spacing w:val="33"/>
        </w:rPr>
        <w:t> </w:t>
      </w:r>
      <w:r>
        <w:rPr>
          <w:color w:val="105C84"/>
        </w:rPr>
        <w:t>than</w:t>
      </w:r>
      <w:r>
        <w:rPr>
          <w:color w:val="105C84"/>
          <w:spacing w:val="33"/>
        </w:rPr>
        <w:t> </w:t>
      </w:r>
      <w:r>
        <w:rPr>
          <w:color w:val="105C84"/>
        </w:rPr>
        <w:t>the</w:t>
      </w:r>
      <w:r>
        <w:rPr>
          <w:color w:val="105C84"/>
          <w:spacing w:val="33"/>
        </w:rPr>
        <w:t> </w:t>
      </w:r>
      <w:r>
        <w:rPr>
          <w:color w:val="105C84"/>
        </w:rPr>
        <w:t>general</w:t>
      </w:r>
      <w:r>
        <w:rPr>
          <w:color w:val="105C84"/>
          <w:spacing w:val="33"/>
        </w:rPr>
        <w:t> </w:t>
      </w:r>
      <w:r>
        <w:rPr>
          <w:color w:val="105C84"/>
        </w:rPr>
        <w:t>population.</w:t>
      </w:r>
    </w:p>
    <w:p>
      <w:pPr>
        <w:pStyle w:val="BodyText"/>
        <w:spacing w:before="18"/>
      </w:pPr>
    </w:p>
    <w:p>
      <w:pPr>
        <w:pStyle w:val="Heading6"/>
        <w:ind w:left="1108"/>
        <w:jc w:val="both"/>
      </w:pPr>
      <w:r>
        <w:rPr>
          <w:color w:val="105C84"/>
          <w:spacing w:val="-6"/>
        </w:rPr>
        <w:t>TABLE</w:t>
      </w:r>
      <w:r>
        <w:rPr>
          <w:color w:val="105C84"/>
          <w:spacing w:val="-12"/>
        </w:rPr>
        <w:t> </w:t>
      </w:r>
      <w:r>
        <w:rPr>
          <w:color w:val="105C84"/>
          <w:spacing w:val="-6"/>
        </w:rPr>
        <w:t>5:</w:t>
      </w:r>
      <w:r>
        <w:rPr>
          <w:color w:val="105C84"/>
          <w:spacing w:val="-12"/>
        </w:rPr>
        <w:t> </w:t>
      </w:r>
      <w:r>
        <w:rPr>
          <w:color w:val="105C84"/>
          <w:spacing w:val="-6"/>
        </w:rPr>
        <w:t>Smoking</w:t>
      </w:r>
      <w:r>
        <w:rPr>
          <w:color w:val="105C84"/>
          <w:spacing w:val="-12"/>
        </w:rPr>
        <w:t> </w:t>
      </w:r>
      <w:r>
        <w:rPr>
          <w:color w:val="105C84"/>
          <w:spacing w:val="-6"/>
        </w:rPr>
        <w:t>rates</w:t>
      </w:r>
      <w:r>
        <w:rPr>
          <w:color w:val="105C84"/>
          <w:spacing w:val="-12"/>
        </w:rPr>
        <w:t> </w:t>
      </w:r>
      <w:r>
        <w:rPr>
          <w:color w:val="105C84"/>
          <w:spacing w:val="-6"/>
        </w:rPr>
        <w:t>by</w:t>
      </w:r>
      <w:r>
        <w:rPr>
          <w:color w:val="105C84"/>
          <w:spacing w:val="-12"/>
        </w:rPr>
        <w:t> </w:t>
      </w:r>
      <w:r>
        <w:rPr>
          <w:color w:val="105C84"/>
          <w:spacing w:val="-6"/>
        </w:rPr>
        <w:t>demographic</w:t>
      </w:r>
    </w:p>
    <w:p>
      <w:pPr>
        <w:pStyle w:val="BodyText"/>
        <w:spacing w:before="155"/>
        <w:rPr>
          <w:b/>
          <w:sz w:val="20"/>
        </w:rPr>
      </w:pPr>
    </w:p>
    <w:tbl>
      <w:tblPr>
        <w:tblW w:w="0" w:type="auto"/>
        <w:jc w:val="left"/>
        <w:tblInd w:w="1113"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top w:w="0" w:type="dxa"/>
          <w:left w:w="0" w:type="dxa"/>
          <w:bottom w:w="0" w:type="dxa"/>
          <w:right w:w="0" w:type="dxa"/>
        </w:tblCellMar>
        <w:tblLook w:val="01E0"/>
      </w:tblPr>
      <w:tblGrid>
        <w:gridCol w:w="2186"/>
        <w:gridCol w:w="2629"/>
        <w:gridCol w:w="2629"/>
        <w:gridCol w:w="2629"/>
      </w:tblGrid>
      <w:tr>
        <w:trPr>
          <w:trHeight w:val="598" w:hRule="atLeast"/>
        </w:trPr>
        <w:tc>
          <w:tcPr>
            <w:tcW w:w="2186" w:type="dxa"/>
            <w:shd w:val="clear" w:color="auto" w:fill="EFEFF0"/>
          </w:tcPr>
          <w:p>
            <w:pPr>
              <w:pStyle w:val="TableParagraph"/>
              <w:rPr>
                <w:rFonts w:ascii="Times New Roman"/>
                <w:sz w:val="20"/>
              </w:rPr>
            </w:pPr>
          </w:p>
        </w:tc>
        <w:tc>
          <w:tcPr>
            <w:tcW w:w="2629" w:type="dxa"/>
            <w:shd w:val="clear" w:color="auto" w:fill="EFEFF0"/>
          </w:tcPr>
          <w:p>
            <w:pPr>
              <w:pStyle w:val="TableParagraph"/>
              <w:spacing w:before="184"/>
              <w:ind w:left="10" w:right="2"/>
              <w:jc w:val="center"/>
              <w:rPr>
                <w:b/>
                <w:sz w:val="22"/>
              </w:rPr>
            </w:pPr>
            <w:r>
              <w:rPr>
                <w:b/>
                <w:color w:val="105C84"/>
                <w:sz w:val="22"/>
              </w:rPr>
              <w:t>Current</w:t>
            </w:r>
            <w:r>
              <w:rPr>
                <w:b/>
                <w:color w:val="105C84"/>
                <w:spacing w:val="4"/>
                <w:sz w:val="22"/>
              </w:rPr>
              <w:t> </w:t>
            </w:r>
            <w:r>
              <w:rPr>
                <w:b/>
                <w:color w:val="105C84"/>
                <w:spacing w:val="-2"/>
                <w:sz w:val="22"/>
              </w:rPr>
              <w:t>smoker</w:t>
            </w:r>
          </w:p>
        </w:tc>
        <w:tc>
          <w:tcPr>
            <w:tcW w:w="2629" w:type="dxa"/>
            <w:shd w:val="clear" w:color="auto" w:fill="EFEFF0"/>
          </w:tcPr>
          <w:p>
            <w:pPr>
              <w:pStyle w:val="TableParagraph"/>
              <w:spacing w:line="208" w:lineRule="auto" w:before="101"/>
              <w:ind w:left="939" w:right="128" w:hanging="689"/>
              <w:rPr>
                <w:b/>
                <w:sz w:val="22"/>
              </w:rPr>
            </w:pPr>
            <w:r>
              <w:rPr>
                <w:b/>
                <w:color w:val="105C84"/>
                <w:sz w:val="22"/>
              </w:rPr>
              <w:t>Current</w:t>
            </w:r>
            <w:r>
              <w:rPr>
                <w:b/>
                <w:color w:val="105C84"/>
                <w:spacing w:val="-16"/>
                <w:sz w:val="22"/>
              </w:rPr>
              <w:t> </w:t>
            </w:r>
            <w:r>
              <w:rPr>
                <w:b/>
                <w:color w:val="105C84"/>
                <w:sz w:val="22"/>
              </w:rPr>
              <w:t>smoker-</w:t>
            </w:r>
            <w:r>
              <w:rPr>
                <w:b/>
                <w:color w:val="105C84"/>
                <w:spacing w:val="-15"/>
                <w:sz w:val="22"/>
              </w:rPr>
              <w:t> </w:t>
            </w:r>
            <w:r>
              <w:rPr>
                <w:b/>
                <w:color w:val="105C84"/>
                <w:sz w:val="22"/>
              </w:rPr>
              <w:t>low </w:t>
            </w:r>
            <w:r>
              <w:rPr>
                <w:b/>
                <w:color w:val="105C84"/>
                <w:spacing w:val="-2"/>
                <w:sz w:val="22"/>
              </w:rPr>
              <w:t>income</w:t>
            </w:r>
          </w:p>
        </w:tc>
        <w:tc>
          <w:tcPr>
            <w:tcW w:w="2629" w:type="dxa"/>
            <w:shd w:val="clear" w:color="auto" w:fill="EFEFF0"/>
          </w:tcPr>
          <w:p>
            <w:pPr>
              <w:pStyle w:val="TableParagraph"/>
              <w:spacing w:line="247" w:lineRule="auto" w:before="54"/>
              <w:ind w:left="175" w:right="128" w:hanging="28"/>
              <w:rPr>
                <w:b/>
                <w:sz w:val="22"/>
              </w:rPr>
            </w:pPr>
            <w:r>
              <w:rPr>
                <w:b/>
                <w:color w:val="105C84"/>
                <w:sz w:val="22"/>
              </w:rPr>
              <w:t>Current</w:t>
            </w:r>
            <w:r>
              <w:rPr>
                <w:b/>
                <w:color w:val="105C84"/>
                <w:spacing w:val="-16"/>
                <w:sz w:val="22"/>
              </w:rPr>
              <w:t> </w:t>
            </w:r>
            <w:r>
              <w:rPr>
                <w:b/>
                <w:color w:val="105C84"/>
                <w:sz w:val="22"/>
              </w:rPr>
              <w:t>smoker-</w:t>
            </w:r>
            <w:r>
              <w:rPr>
                <w:b/>
                <w:color w:val="105C84"/>
                <w:spacing w:val="-15"/>
                <w:sz w:val="22"/>
              </w:rPr>
              <w:t> </w:t>
            </w:r>
            <w:r>
              <w:rPr>
                <w:b/>
                <w:color w:val="105C84"/>
                <w:sz w:val="22"/>
              </w:rPr>
              <w:t>those living</w:t>
            </w:r>
            <w:r>
              <w:rPr>
                <w:b/>
                <w:color w:val="105C84"/>
                <w:spacing w:val="4"/>
                <w:sz w:val="22"/>
              </w:rPr>
              <w:t> </w:t>
            </w:r>
            <w:r>
              <w:rPr>
                <w:b/>
                <w:color w:val="105C84"/>
                <w:sz w:val="22"/>
              </w:rPr>
              <w:t>with</w:t>
            </w:r>
            <w:r>
              <w:rPr>
                <w:b/>
                <w:color w:val="105C84"/>
                <w:spacing w:val="4"/>
                <w:sz w:val="22"/>
              </w:rPr>
              <w:t> </w:t>
            </w:r>
            <w:r>
              <w:rPr>
                <w:b/>
                <w:color w:val="105C84"/>
                <w:sz w:val="22"/>
              </w:rPr>
              <w:t>a</w:t>
            </w:r>
            <w:r>
              <w:rPr>
                <w:b/>
                <w:color w:val="105C84"/>
                <w:spacing w:val="5"/>
                <w:sz w:val="22"/>
              </w:rPr>
              <w:t> </w:t>
            </w:r>
            <w:r>
              <w:rPr>
                <w:b/>
                <w:color w:val="105C84"/>
                <w:spacing w:val="-2"/>
                <w:sz w:val="22"/>
              </w:rPr>
              <w:t>disability</w:t>
            </w:r>
          </w:p>
        </w:tc>
      </w:tr>
      <w:tr>
        <w:trPr>
          <w:trHeight w:val="318" w:hRule="atLeast"/>
        </w:trPr>
        <w:tc>
          <w:tcPr>
            <w:tcW w:w="2186" w:type="dxa"/>
            <w:shd w:val="clear" w:color="auto" w:fill="DCDDDE"/>
          </w:tcPr>
          <w:p>
            <w:pPr>
              <w:pStyle w:val="TableParagraph"/>
              <w:spacing w:before="53"/>
              <w:ind w:left="90"/>
              <w:rPr>
                <w:b/>
                <w:sz w:val="20"/>
              </w:rPr>
            </w:pPr>
            <w:r>
              <w:rPr>
                <w:b/>
                <w:color w:val="105C84"/>
                <w:spacing w:val="-2"/>
                <w:sz w:val="20"/>
              </w:rPr>
              <w:t>Chemung</w:t>
            </w:r>
          </w:p>
        </w:tc>
        <w:tc>
          <w:tcPr>
            <w:tcW w:w="2629" w:type="dxa"/>
          </w:tcPr>
          <w:p>
            <w:pPr>
              <w:pStyle w:val="TableParagraph"/>
              <w:spacing w:before="53"/>
              <w:ind w:left="10" w:right="2"/>
              <w:jc w:val="center"/>
              <w:rPr>
                <w:sz w:val="20"/>
              </w:rPr>
            </w:pPr>
            <w:r>
              <w:rPr>
                <w:color w:val="105C84"/>
                <w:spacing w:val="-5"/>
                <w:sz w:val="20"/>
              </w:rPr>
              <w:t>26%</w:t>
            </w:r>
          </w:p>
        </w:tc>
        <w:tc>
          <w:tcPr>
            <w:tcW w:w="2629" w:type="dxa"/>
          </w:tcPr>
          <w:p>
            <w:pPr>
              <w:pStyle w:val="TableParagraph"/>
              <w:spacing w:before="53"/>
              <w:ind w:left="10" w:right="1"/>
              <w:jc w:val="center"/>
              <w:rPr>
                <w:sz w:val="20"/>
              </w:rPr>
            </w:pPr>
            <w:r>
              <w:rPr>
                <w:color w:val="105C84"/>
                <w:spacing w:val="-5"/>
                <w:sz w:val="20"/>
              </w:rPr>
              <w:t>37%</w:t>
            </w:r>
          </w:p>
        </w:tc>
        <w:tc>
          <w:tcPr>
            <w:tcW w:w="2629" w:type="dxa"/>
          </w:tcPr>
          <w:p>
            <w:pPr>
              <w:pStyle w:val="TableParagraph"/>
              <w:spacing w:before="53"/>
              <w:ind w:left="10"/>
              <w:jc w:val="center"/>
              <w:rPr>
                <w:sz w:val="20"/>
              </w:rPr>
            </w:pPr>
            <w:r>
              <w:rPr>
                <w:color w:val="105C84"/>
                <w:spacing w:val="-5"/>
                <w:sz w:val="20"/>
              </w:rPr>
              <w:t>34%</w:t>
            </w:r>
          </w:p>
        </w:tc>
      </w:tr>
      <w:tr>
        <w:trPr>
          <w:trHeight w:val="331" w:hRule="atLeast"/>
        </w:trPr>
        <w:tc>
          <w:tcPr>
            <w:tcW w:w="2186" w:type="dxa"/>
            <w:shd w:val="clear" w:color="auto" w:fill="DCDDDE"/>
          </w:tcPr>
          <w:p>
            <w:pPr>
              <w:pStyle w:val="TableParagraph"/>
              <w:spacing w:before="59"/>
              <w:ind w:left="90"/>
              <w:rPr>
                <w:b/>
                <w:sz w:val="20"/>
              </w:rPr>
            </w:pPr>
            <w:r>
              <w:rPr>
                <w:b/>
                <w:color w:val="105C84"/>
                <w:spacing w:val="-2"/>
                <w:sz w:val="20"/>
              </w:rPr>
              <w:t>Livingston</w:t>
            </w:r>
          </w:p>
        </w:tc>
        <w:tc>
          <w:tcPr>
            <w:tcW w:w="2629" w:type="dxa"/>
          </w:tcPr>
          <w:p>
            <w:pPr>
              <w:pStyle w:val="TableParagraph"/>
              <w:spacing w:before="59"/>
              <w:ind w:left="10" w:right="2"/>
              <w:jc w:val="center"/>
              <w:rPr>
                <w:sz w:val="20"/>
              </w:rPr>
            </w:pPr>
            <w:r>
              <w:rPr>
                <w:color w:val="105C84"/>
                <w:spacing w:val="-5"/>
                <w:sz w:val="20"/>
              </w:rPr>
              <w:t>17%</w:t>
            </w:r>
          </w:p>
        </w:tc>
        <w:tc>
          <w:tcPr>
            <w:tcW w:w="2629" w:type="dxa"/>
          </w:tcPr>
          <w:p>
            <w:pPr>
              <w:pStyle w:val="TableParagraph"/>
              <w:spacing w:before="59"/>
              <w:ind w:left="10" w:right="1"/>
              <w:jc w:val="center"/>
              <w:rPr>
                <w:sz w:val="20"/>
              </w:rPr>
            </w:pPr>
            <w:r>
              <w:rPr>
                <w:color w:val="105C84"/>
                <w:spacing w:val="-5"/>
                <w:sz w:val="20"/>
              </w:rPr>
              <w:t>20%</w:t>
            </w:r>
          </w:p>
        </w:tc>
        <w:tc>
          <w:tcPr>
            <w:tcW w:w="2629" w:type="dxa"/>
          </w:tcPr>
          <w:p>
            <w:pPr>
              <w:pStyle w:val="TableParagraph"/>
              <w:spacing w:before="59"/>
              <w:ind w:left="10"/>
              <w:jc w:val="center"/>
              <w:rPr>
                <w:sz w:val="20"/>
              </w:rPr>
            </w:pPr>
            <w:r>
              <w:rPr>
                <w:color w:val="105C84"/>
                <w:spacing w:val="-5"/>
                <w:sz w:val="20"/>
              </w:rPr>
              <w:t>20%</w:t>
            </w:r>
          </w:p>
        </w:tc>
      </w:tr>
      <w:tr>
        <w:trPr>
          <w:trHeight w:val="331" w:hRule="atLeast"/>
        </w:trPr>
        <w:tc>
          <w:tcPr>
            <w:tcW w:w="2186" w:type="dxa"/>
            <w:shd w:val="clear" w:color="auto" w:fill="DCDDDE"/>
          </w:tcPr>
          <w:p>
            <w:pPr>
              <w:pStyle w:val="TableParagraph"/>
              <w:spacing w:before="59"/>
              <w:ind w:left="90"/>
              <w:rPr>
                <w:b/>
                <w:sz w:val="20"/>
              </w:rPr>
            </w:pPr>
            <w:r>
              <w:rPr>
                <w:b/>
                <w:color w:val="105C84"/>
                <w:spacing w:val="-2"/>
                <w:sz w:val="20"/>
              </w:rPr>
              <w:t>Ontario</w:t>
            </w:r>
          </w:p>
        </w:tc>
        <w:tc>
          <w:tcPr>
            <w:tcW w:w="2629" w:type="dxa"/>
          </w:tcPr>
          <w:p>
            <w:pPr>
              <w:pStyle w:val="TableParagraph"/>
              <w:spacing w:before="59"/>
              <w:ind w:left="10" w:right="2"/>
              <w:jc w:val="center"/>
              <w:rPr>
                <w:sz w:val="20"/>
              </w:rPr>
            </w:pPr>
            <w:r>
              <w:rPr>
                <w:color w:val="105C84"/>
                <w:spacing w:val="-5"/>
                <w:sz w:val="20"/>
              </w:rPr>
              <w:t>22%</w:t>
            </w:r>
          </w:p>
        </w:tc>
        <w:tc>
          <w:tcPr>
            <w:tcW w:w="2629" w:type="dxa"/>
          </w:tcPr>
          <w:p>
            <w:pPr>
              <w:pStyle w:val="TableParagraph"/>
              <w:spacing w:before="59"/>
              <w:ind w:left="10" w:right="1"/>
              <w:jc w:val="center"/>
              <w:rPr>
                <w:sz w:val="20"/>
              </w:rPr>
            </w:pPr>
            <w:r>
              <w:rPr>
                <w:color w:val="105C84"/>
                <w:spacing w:val="-5"/>
                <w:sz w:val="20"/>
              </w:rPr>
              <w:t>45%</w:t>
            </w:r>
          </w:p>
        </w:tc>
        <w:tc>
          <w:tcPr>
            <w:tcW w:w="2629" w:type="dxa"/>
          </w:tcPr>
          <w:p>
            <w:pPr>
              <w:pStyle w:val="TableParagraph"/>
              <w:spacing w:before="59"/>
              <w:ind w:left="10"/>
              <w:jc w:val="center"/>
              <w:rPr>
                <w:sz w:val="20"/>
              </w:rPr>
            </w:pPr>
            <w:r>
              <w:rPr>
                <w:color w:val="105C84"/>
                <w:spacing w:val="-5"/>
                <w:sz w:val="20"/>
              </w:rPr>
              <w:t>29%</w:t>
            </w:r>
          </w:p>
        </w:tc>
      </w:tr>
      <w:tr>
        <w:trPr>
          <w:trHeight w:val="331" w:hRule="atLeast"/>
        </w:trPr>
        <w:tc>
          <w:tcPr>
            <w:tcW w:w="2186" w:type="dxa"/>
            <w:shd w:val="clear" w:color="auto" w:fill="DCDDDE"/>
          </w:tcPr>
          <w:p>
            <w:pPr>
              <w:pStyle w:val="TableParagraph"/>
              <w:spacing w:before="59"/>
              <w:ind w:left="90"/>
              <w:rPr>
                <w:b/>
                <w:sz w:val="20"/>
              </w:rPr>
            </w:pPr>
            <w:r>
              <w:rPr>
                <w:b/>
                <w:color w:val="105C84"/>
                <w:spacing w:val="-2"/>
                <w:sz w:val="20"/>
              </w:rPr>
              <w:t>Schuyler</w:t>
            </w:r>
          </w:p>
        </w:tc>
        <w:tc>
          <w:tcPr>
            <w:tcW w:w="2629" w:type="dxa"/>
          </w:tcPr>
          <w:p>
            <w:pPr>
              <w:pStyle w:val="TableParagraph"/>
              <w:spacing w:before="59"/>
              <w:ind w:left="10" w:right="2"/>
              <w:jc w:val="center"/>
              <w:rPr>
                <w:sz w:val="20"/>
              </w:rPr>
            </w:pPr>
            <w:r>
              <w:rPr>
                <w:color w:val="105C84"/>
                <w:spacing w:val="-5"/>
                <w:sz w:val="20"/>
              </w:rPr>
              <w:t>19%</w:t>
            </w:r>
          </w:p>
        </w:tc>
        <w:tc>
          <w:tcPr>
            <w:tcW w:w="2629" w:type="dxa"/>
          </w:tcPr>
          <w:p>
            <w:pPr>
              <w:pStyle w:val="TableParagraph"/>
              <w:spacing w:before="59"/>
              <w:ind w:left="10" w:right="1"/>
              <w:jc w:val="center"/>
              <w:rPr>
                <w:sz w:val="20"/>
              </w:rPr>
            </w:pPr>
            <w:r>
              <w:rPr>
                <w:color w:val="105C84"/>
                <w:spacing w:val="-5"/>
                <w:sz w:val="20"/>
              </w:rPr>
              <w:t>32%</w:t>
            </w:r>
          </w:p>
        </w:tc>
        <w:tc>
          <w:tcPr>
            <w:tcW w:w="2629" w:type="dxa"/>
          </w:tcPr>
          <w:p>
            <w:pPr>
              <w:pStyle w:val="TableParagraph"/>
              <w:spacing w:before="59"/>
              <w:ind w:left="10"/>
              <w:jc w:val="center"/>
              <w:rPr>
                <w:sz w:val="20"/>
              </w:rPr>
            </w:pPr>
            <w:r>
              <w:rPr>
                <w:color w:val="105C84"/>
                <w:spacing w:val="-5"/>
                <w:sz w:val="20"/>
              </w:rPr>
              <w:t>32%</w:t>
            </w:r>
          </w:p>
        </w:tc>
      </w:tr>
      <w:tr>
        <w:trPr>
          <w:trHeight w:val="331" w:hRule="atLeast"/>
        </w:trPr>
        <w:tc>
          <w:tcPr>
            <w:tcW w:w="2186" w:type="dxa"/>
            <w:shd w:val="clear" w:color="auto" w:fill="DCDDDE"/>
          </w:tcPr>
          <w:p>
            <w:pPr>
              <w:pStyle w:val="TableParagraph"/>
              <w:spacing w:before="59"/>
              <w:ind w:left="90"/>
              <w:rPr>
                <w:b/>
                <w:sz w:val="20"/>
              </w:rPr>
            </w:pPr>
            <w:r>
              <w:rPr>
                <w:b/>
                <w:color w:val="105C84"/>
                <w:spacing w:val="-2"/>
                <w:sz w:val="20"/>
              </w:rPr>
              <w:t>Seneca</w:t>
            </w:r>
          </w:p>
        </w:tc>
        <w:tc>
          <w:tcPr>
            <w:tcW w:w="2629" w:type="dxa"/>
          </w:tcPr>
          <w:p>
            <w:pPr>
              <w:pStyle w:val="TableParagraph"/>
              <w:spacing w:before="59"/>
              <w:ind w:left="10" w:right="2"/>
              <w:jc w:val="center"/>
              <w:rPr>
                <w:sz w:val="20"/>
              </w:rPr>
            </w:pPr>
            <w:r>
              <w:rPr>
                <w:color w:val="105C84"/>
                <w:spacing w:val="-5"/>
                <w:sz w:val="20"/>
              </w:rPr>
              <w:t>15%</w:t>
            </w:r>
          </w:p>
        </w:tc>
        <w:tc>
          <w:tcPr>
            <w:tcW w:w="2629" w:type="dxa"/>
          </w:tcPr>
          <w:p>
            <w:pPr>
              <w:pStyle w:val="TableParagraph"/>
              <w:spacing w:before="59"/>
              <w:ind w:left="10" w:right="1"/>
              <w:jc w:val="center"/>
              <w:rPr>
                <w:sz w:val="20"/>
              </w:rPr>
            </w:pPr>
            <w:r>
              <w:rPr>
                <w:color w:val="105C84"/>
                <w:spacing w:val="-5"/>
                <w:sz w:val="20"/>
              </w:rPr>
              <w:t>33%</w:t>
            </w:r>
          </w:p>
        </w:tc>
        <w:tc>
          <w:tcPr>
            <w:tcW w:w="2629" w:type="dxa"/>
          </w:tcPr>
          <w:p>
            <w:pPr>
              <w:pStyle w:val="TableParagraph"/>
              <w:spacing w:before="59"/>
              <w:ind w:left="10"/>
              <w:jc w:val="center"/>
              <w:rPr>
                <w:sz w:val="20"/>
              </w:rPr>
            </w:pPr>
            <w:r>
              <w:rPr>
                <w:color w:val="105C84"/>
                <w:spacing w:val="-5"/>
                <w:sz w:val="20"/>
              </w:rPr>
              <w:t>20%</w:t>
            </w:r>
          </w:p>
        </w:tc>
      </w:tr>
      <w:tr>
        <w:trPr>
          <w:trHeight w:val="331" w:hRule="atLeast"/>
        </w:trPr>
        <w:tc>
          <w:tcPr>
            <w:tcW w:w="2186" w:type="dxa"/>
            <w:shd w:val="clear" w:color="auto" w:fill="DCDDDE"/>
          </w:tcPr>
          <w:p>
            <w:pPr>
              <w:pStyle w:val="TableParagraph"/>
              <w:spacing w:before="59"/>
              <w:ind w:left="90"/>
              <w:rPr>
                <w:b/>
                <w:sz w:val="20"/>
              </w:rPr>
            </w:pPr>
            <w:r>
              <w:rPr>
                <w:b/>
                <w:color w:val="105C84"/>
                <w:spacing w:val="-2"/>
                <w:sz w:val="20"/>
              </w:rPr>
              <w:t>Steuben</w:t>
            </w:r>
          </w:p>
        </w:tc>
        <w:tc>
          <w:tcPr>
            <w:tcW w:w="2629" w:type="dxa"/>
          </w:tcPr>
          <w:p>
            <w:pPr>
              <w:pStyle w:val="TableParagraph"/>
              <w:spacing w:before="59"/>
              <w:ind w:left="10" w:right="2"/>
              <w:jc w:val="center"/>
              <w:rPr>
                <w:sz w:val="20"/>
              </w:rPr>
            </w:pPr>
            <w:r>
              <w:rPr>
                <w:color w:val="105C84"/>
                <w:spacing w:val="-5"/>
                <w:sz w:val="20"/>
              </w:rPr>
              <w:t>23%</w:t>
            </w:r>
          </w:p>
        </w:tc>
        <w:tc>
          <w:tcPr>
            <w:tcW w:w="2629" w:type="dxa"/>
          </w:tcPr>
          <w:p>
            <w:pPr>
              <w:pStyle w:val="TableParagraph"/>
              <w:spacing w:before="59"/>
              <w:ind w:left="10" w:right="1"/>
              <w:jc w:val="center"/>
              <w:rPr>
                <w:sz w:val="20"/>
              </w:rPr>
            </w:pPr>
            <w:r>
              <w:rPr>
                <w:color w:val="105C84"/>
                <w:spacing w:val="-5"/>
                <w:sz w:val="20"/>
              </w:rPr>
              <w:t>31%</w:t>
            </w:r>
          </w:p>
        </w:tc>
        <w:tc>
          <w:tcPr>
            <w:tcW w:w="2629" w:type="dxa"/>
          </w:tcPr>
          <w:p>
            <w:pPr>
              <w:pStyle w:val="TableParagraph"/>
              <w:spacing w:before="59"/>
              <w:ind w:left="10"/>
              <w:jc w:val="center"/>
              <w:rPr>
                <w:sz w:val="20"/>
              </w:rPr>
            </w:pPr>
            <w:r>
              <w:rPr>
                <w:color w:val="105C84"/>
                <w:spacing w:val="-5"/>
                <w:sz w:val="20"/>
              </w:rPr>
              <w:t>29%</w:t>
            </w:r>
          </w:p>
        </w:tc>
      </w:tr>
      <w:tr>
        <w:trPr>
          <w:trHeight w:val="331" w:hRule="atLeast"/>
        </w:trPr>
        <w:tc>
          <w:tcPr>
            <w:tcW w:w="2186" w:type="dxa"/>
            <w:shd w:val="clear" w:color="auto" w:fill="DCDDDE"/>
          </w:tcPr>
          <w:p>
            <w:pPr>
              <w:pStyle w:val="TableParagraph"/>
              <w:spacing w:before="59"/>
              <w:ind w:left="90"/>
              <w:rPr>
                <w:b/>
                <w:sz w:val="20"/>
              </w:rPr>
            </w:pPr>
            <w:r>
              <w:rPr>
                <w:b/>
                <w:color w:val="105C84"/>
                <w:spacing w:val="-2"/>
                <w:sz w:val="20"/>
              </w:rPr>
              <w:t>Wayne</w:t>
            </w:r>
          </w:p>
        </w:tc>
        <w:tc>
          <w:tcPr>
            <w:tcW w:w="2629" w:type="dxa"/>
          </w:tcPr>
          <w:p>
            <w:pPr>
              <w:pStyle w:val="TableParagraph"/>
              <w:spacing w:before="59"/>
              <w:ind w:left="10" w:right="2"/>
              <w:jc w:val="center"/>
              <w:rPr>
                <w:sz w:val="20"/>
              </w:rPr>
            </w:pPr>
            <w:r>
              <w:rPr>
                <w:color w:val="105C84"/>
                <w:spacing w:val="-5"/>
                <w:sz w:val="20"/>
              </w:rPr>
              <w:t>25%</w:t>
            </w:r>
          </w:p>
        </w:tc>
        <w:tc>
          <w:tcPr>
            <w:tcW w:w="2629" w:type="dxa"/>
          </w:tcPr>
          <w:p>
            <w:pPr>
              <w:pStyle w:val="TableParagraph"/>
              <w:spacing w:before="59"/>
              <w:ind w:left="10" w:right="1"/>
              <w:jc w:val="center"/>
              <w:rPr>
                <w:sz w:val="20"/>
              </w:rPr>
            </w:pPr>
            <w:r>
              <w:rPr>
                <w:color w:val="105C84"/>
                <w:spacing w:val="-5"/>
                <w:sz w:val="20"/>
              </w:rPr>
              <w:t>32%</w:t>
            </w:r>
          </w:p>
        </w:tc>
        <w:tc>
          <w:tcPr>
            <w:tcW w:w="2629" w:type="dxa"/>
          </w:tcPr>
          <w:p>
            <w:pPr>
              <w:pStyle w:val="TableParagraph"/>
              <w:spacing w:before="59"/>
              <w:ind w:left="10"/>
              <w:jc w:val="center"/>
              <w:rPr>
                <w:sz w:val="20"/>
              </w:rPr>
            </w:pPr>
            <w:r>
              <w:rPr>
                <w:color w:val="105C84"/>
                <w:spacing w:val="-5"/>
                <w:sz w:val="20"/>
              </w:rPr>
              <w:t>30%</w:t>
            </w:r>
          </w:p>
        </w:tc>
      </w:tr>
      <w:tr>
        <w:trPr>
          <w:trHeight w:val="331" w:hRule="atLeast"/>
        </w:trPr>
        <w:tc>
          <w:tcPr>
            <w:tcW w:w="2186" w:type="dxa"/>
            <w:shd w:val="clear" w:color="auto" w:fill="DCDDDE"/>
          </w:tcPr>
          <w:p>
            <w:pPr>
              <w:pStyle w:val="TableParagraph"/>
              <w:spacing w:before="59"/>
              <w:ind w:left="90"/>
              <w:rPr>
                <w:b/>
                <w:sz w:val="20"/>
              </w:rPr>
            </w:pPr>
            <w:r>
              <w:rPr>
                <w:b/>
                <w:color w:val="105C84"/>
                <w:spacing w:val="-2"/>
                <w:sz w:val="20"/>
              </w:rPr>
              <w:t>Yates</w:t>
            </w:r>
          </w:p>
        </w:tc>
        <w:tc>
          <w:tcPr>
            <w:tcW w:w="2629" w:type="dxa"/>
          </w:tcPr>
          <w:p>
            <w:pPr>
              <w:pStyle w:val="TableParagraph"/>
              <w:spacing w:before="59"/>
              <w:ind w:left="10" w:right="2"/>
              <w:jc w:val="center"/>
              <w:rPr>
                <w:sz w:val="20"/>
              </w:rPr>
            </w:pPr>
            <w:r>
              <w:rPr>
                <w:color w:val="105C84"/>
                <w:spacing w:val="-5"/>
                <w:sz w:val="20"/>
              </w:rPr>
              <w:t>13%</w:t>
            </w:r>
          </w:p>
        </w:tc>
        <w:tc>
          <w:tcPr>
            <w:tcW w:w="2629" w:type="dxa"/>
          </w:tcPr>
          <w:p>
            <w:pPr>
              <w:pStyle w:val="TableParagraph"/>
              <w:spacing w:before="59"/>
              <w:ind w:left="10" w:right="1"/>
              <w:jc w:val="center"/>
              <w:rPr>
                <w:sz w:val="20"/>
              </w:rPr>
            </w:pPr>
            <w:r>
              <w:rPr>
                <w:color w:val="105C84"/>
                <w:spacing w:val="-5"/>
                <w:sz w:val="20"/>
              </w:rPr>
              <w:t>30%</w:t>
            </w:r>
          </w:p>
        </w:tc>
        <w:tc>
          <w:tcPr>
            <w:tcW w:w="2629" w:type="dxa"/>
          </w:tcPr>
          <w:p>
            <w:pPr>
              <w:pStyle w:val="TableParagraph"/>
              <w:spacing w:before="59"/>
              <w:ind w:left="10"/>
              <w:jc w:val="center"/>
              <w:rPr>
                <w:sz w:val="20"/>
              </w:rPr>
            </w:pPr>
            <w:r>
              <w:rPr>
                <w:color w:val="105C84"/>
                <w:spacing w:val="-5"/>
                <w:sz w:val="20"/>
              </w:rPr>
              <w:t>27%</w:t>
            </w:r>
          </w:p>
        </w:tc>
      </w:tr>
      <w:tr>
        <w:trPr>
          <w:trHeight w:val="331" w:hRule="atLeast"/>
        </w:trPr>
        <w:tc>
          <w:tcPr>
            <w:tcW w:w="2186" w:type="dxa"/>
            <w:shd w:val="clear" w:color="auto" w:fill="82BF6A"/>
          </w:tcPr>
          <w:p>
            <w:pPr>
              <w:pStyle w:val="TableParagraph"/>
              <w:spacing w:before="59"/>
              <w:ind w:left="90"/>
              <w:rPr>
                <w:b/>
                <w:sz w:val="20"/>
              </w:rPr>
            </w:pPr>
            <w:r>
              <w:rPr>
                <w:b/>
                <w:color w:val="FFFFFF"/>
                <w:sz w:val="20"/>
              </w:rPr>
              <w:t>8</w:t>
            </w:r>
            <w:r>
              <w:rPr>
                <w:b/>
                <w:color w:val="FFFFFF"/>
                <w:spacing w:val="5"/>
                <w:sz w:val="20"/>
              </w:rPr>
              <w:t> </w:t>
            </w:r>
            <w:r>
              <w:rPr>
                <w:b/>
                <w:color w:val="FFFFFF"/>
                <w:sz w:val="20"/>
              </w:rPr>
              <w:t>County</w:t>
            </w:r>
            <w:r>
              <w:rPr>
                <w:b/>
                <w:color w:val="FFFFFF"/>
                <w:spacing w:val="5"/>
                <w:sz w:val="20"/>
              </w:rPr>
              <w:t> </w:t>
            </w:r>
            <w:r>
              <w:rPr>
                <w:b/>
                <w:color w:val="FFFFFF"/>
                <w:spacing w:val="-2"/>
                <w:sz w:val="20"/>
              </w:rPr>
              <w:t>Region</w:t>
            </w:r>
          </w:p>
        </w:tc>
        <w:tc>
          <w:tcPr>
            <w:tcW w:w="2629" w:type="dxa"/>
            <w:shd w:val="clear" w:color="auto" w:fill="82BF6A"/>
          </w:tcPr>
          <w:p>
            <w:pPr>
              <w:pStyle w:val="TableParagraph"/>
              <w:spacing w:before="59"/>
              <w:ind w:left="10" w:right="2"/>
              <w:jc w:val="center"/>
              <w:rPr>
                <w:b/>
                <w:sz w:val="20"/>
              </w:rPr>
            </w:pPr>
            <w:r>
              <w:rPr>
                <w:b/>
                <w:color w:val="FFFFFF"/>
                <w:spacing w:val="-5"/>
                <w:w w:val="105"/>
                <w:sz w:val="20"/>
              </w:rPr>
              <w:t>26%</w:t>
            </w:r>
          </w:p>
        </w:tc>
        <w:tc>
          <w:tcPr>
            <w:tcW w:w="2629" w:type="dxa"/>
            <w:shd w:val="clear" w:color="auto" w:fill="82BF6A"/>
          </w:tcPr>
          <w:p>
            <w:pPr>
              <w:pStyle w:val="TableParagraph"/>
              <w:spacing w:before="59"/>
              <w:ind w:left="10" w:right="1"/>
              <w:jc w:val="center"/>
              <w:rPr>
                <w:b/>
                <w:sz w:val="20"/>
              </w:rPr>
            </w:pPr>
            <w:r>
              <w:rPr>
                <w:b/>
                <w:color w:val="FFFFFF"/>
                <w:spacing w:val="-5"/>
                <w:w w:val="105"/>
                <w:sz w:val="20"/>
              </w:rPr>
              <w:t>33%</w:t>
            </w:r>
          </w:p>
        </w:tc>
        <w:tc>
          <w:tcPr>
            <w:tcW w:w="2629" w:type="dxa"/>
            <w:shd w:val="clear" w:color="auto" w:fill="82BF6A"/>
          </w:tcPr>
          <w:p>
            <w:pPr>
              <w:pStyle w:val="TableParagraph"/>
              <w:spacing w:before="59"/>
              <w:ind w:left="10"/>
              <w:jc w:val="center"/>
              <w:rPr>
                <w:b/>
                <w:sz w:val="20"/>
              </w:rPr>
            </w:pPr>
            <w:r>
              <w:rPr>
                <w:b/>
                <w:color w:val="FFFFFF"/>
                <w:spacing w:val="-5"/>
                <w:w w:val="105"/>
                <w:sz w:val="20"/>
              </w:rPr>
              <w:t>28%</w:t>
            </w:r>
          </w:p>
        </w:tc>
      </w:tr>
      <w:tr>
        <w:trPr>
          <w:trHeight w:val="331" w:hRule="atLeast"/>
        </w:trPr>
        <w:tc>
          <w:tcPr>
            <w:tcW w:w="2186" w:type="dxa"/>
          </w:tcPr>
          <w:p>
            <w:pPr>
              <w:pStyle w:val="TableParagraph"/>
              <w:spacing w:before="60"/>
              <w:ind w:left="90"/>
              <w:rPr>
                <w:b/>
                <w:sz w:val="20"/>
              </w:rPr>
            </w:pPr>
            <w:r>
              <w:rPr>
                <w:b/>
                <w:color w:val="0C5D86"/>
                <w:spacing w:val="-5"/>
                <w:sz w:val="20"/>
              </w:rPr>
              <w:t>NYS</w:t>
            </w:r>
          </w:p>
        </w:tc>
        <w:tc>
          <w:tcPr>
            <w:tcW w:w="2629" w:type="dxa"/>
          </w:tcPr>
          <w:p>
            <w:pPr>
              <w:pStyle w:val="TableParagraph"/>
              <w:spacing w:before="60"/>
              <w:ind w:left="10" w:right="2"/>
              <w:jc w:val="center"/>
              <w:rPr>
                <w:b/>
                <w:sz w:val="20"/>
              </w:rPr>
            </w:pPr>
            <w:r>
              <w:rPr>
                <w:b/>
                <w:color w:val="0C5D86"/>
                <w:spacing w:val="-5"/>
                <w:w w:val="105"/>
                <w:sz w:val="20"/>
              </w:rPr>
              <w:t>16%</w:t>
            </w:r>
          </w:p>
        </w:tc>
        <w:tc>
          <w:tcPr>
            <w:tcW w:w="2629" w:type="dxa"/>
          </w:tcPr>
          <w:p>
            <w:pPr>
              <w:pStyle w:val="TableParagraph"/>
              <w:spacing w:before="60"/>
              <w:ind w:left="10" w:right="1"/>
              <w:jc w:val="center"/>
              <w:rPr>
                <w:b/>
                <w:sz w:val="20"/>
              </w:rPr>
            </w:pPr>
            <w:r>
              <w:rPr>
                <w:b/>
                <w:color w:val="0C5D86"/>
                <w:spacing w:val="-5"/>
                <w:w w:val="105"/>
                <w:sz w:val="20"/>
              </w:rPr>
              <w:t>25%</w:t>
            </w:r>
          </w:p>
        </w:tc>
        <w:tc>
          <w:tcPr>
            <w:tcW w:w="2629" w:type="dxa"/>
          </w:tcPr>
          <w:p>
            <w:pPr>
              <w:pStyle w:val="TableParagraph"/>
              <w:spacing w:before="60"/>
              <w:ind w:left="10"/>
              <w:jc w:val="center"/>
              <w:rPr>
                <w:b/>
                <w:sz w:val="20"/>
              </w:rPr>
            </w:pPr>
            <w:r>
              <w:rPr>
                <w:b/>
                <w:color w:val="105C84"/>
                <w:spacing w:val="-5"/>
                <w:w w:val="105"/>
                <w:sz w:val="20"/>
              </w:rPr>
              <w:t>23%</w:t>
            </w:r>
          </w:p>
        </w:tc>
      </w:tr>
    </w:tbl>
    <w:p>
      <w:pPr>
        <w:spacing w:line="235" w:lineRule="auto" w:before="224"/>
        <w:ind w:left="1108" w:right="0" w:firstLine="0"/>
        <w:jc w:val="left"/>
        <w:rPr>
          <w:sz w:val="16"/>
        </w:rPr>
      </w:pPr>
      <w:r>
        <w:rPr>
          <w:color w:val="0C5D86"/>
          <w:sz w:val="16"/>
        </w:rPr>
        <w:t>Source:</w:t>
      </w:r>
      <w:r>
        <w:rPr>
          <w:color w:val="0C5D86"/>
          <w:spacing w:val="-10"/>
          <w:sz w:val="16"/>
        </w:rPr>
        <w:t> </w:t>
      </w:r>
      <w:r>
        <w:rPr>
          <w:color w:val="0C5D86"/>
          <w:sz w:val="16"/>
        </w:rPr>
        <w:t>Division</w:t>
      </w:r>
      <w:r>
        <w:rPr>
          <w:color w:val="0C5D86"/>
          <w:spacing w:val="-10"/>
          <w:sz w:val="16"/>
        </w:rPr>
        <w:t> </w:t>
      </w:r>
      <w:r>
        <w:rPr>
          <w:color w:val="0C5D86"/>
          <w:sz w:val="16"/>
        </w:rPr>
        <w:t>of</w:t>
      </w:r>
      <w:r>
        <w:rPr>
          <w:color w:val="0C5D86"/>
          <w:spacing w:val="-10"/>
          <w:sz w:val="16"/>
        </w:rPr>
        <w:t> </w:t>
      </w:r>
      <w:r>
        <w:rPr>
          <w:color w:val="0C5D86"/>
          <w:sz w:val="16"/>
        </w:rPr>
        <w:t>Chronic</w:t>
      </w:r>
      <w:r>
        <w:rPr>
          <w:color w:val="0C5D86"/>
          <w:spacing w:val="-10"/>
          <w:sz w:val="16"/>
        </w:rPr>
        <w:t> </w:t>
      </w:r>
      <w:r>
        <w:rPr>
          <w:color w:val="0C5D86"/>
          <w:sz w:val="16"/>
        </w:rPr>
        <w:t>Disease</w:t>
      </w:r>
      <w:r>
        <w:rPr>
          <w:color w:val="0C5D86"/>
          <w:spacing w:val="-10"/>
          <w:sz w:val="16"/>
        </w:rPr>
        <w:t> </w:t>
      </w:r>
      <w:r>
        <w:rPr>
          <w:color w:val="0C5D86"/>
          <w:sz w:val="16"/>
        </w:rPr>
        <w:t>and</w:t>
      </w:r>
      <w:r>
        <w:rPr>
          <w:color w:val="0C5D86"/>
          <w:spacing w:val="-10"/>
          <w:sz w:val="16"/>
        </w:rPr>
        <w:t> </w:t>
      </w:r>
      <w:r>
        <w:rPr>
          <w:color w:val="0C5D86"/>
          <w:sz w:val="16"/>
        </w:rPr>
        <w:t>Injury</w:t>
      </w:r>
      <w:r>
        <w:rPr>
          <w:color w:val="0C5D86"/>
          <w:spacing w:val="-10"/>
          <w:sz w:val="16"/>
        </w:rPr>
        <w:t> </w:t>
      </w:r>
      <w:r>
        <w:rPr>
          <w:color w:val="0C5D86"/>
          <w:sz w:val="16"/>
        </w:rPr>
        <w:t>Prevention,</w:t>
      </w:r>
      <w:r>
        <w:rPr>
          <w:color w:val="0C5D86"/>
          <w:spacing w:val="-10"/>
          <w:sz w:val="16"/>
        </w:rPr>
        <w:t> </w:t>
      </w:r>
      <w:r>
        <w:rPr>
          <w:color w:val="0C5D86"/>
          <w:sz w:val="16"/>
        </w:rPr>
        <w:t>Bureau</w:t>
      </w:r>
      <w:r>
        <w:rPr>
          <w:color w:val="0C5D86"/>
          <w:spacing w:val="-10"/>
          <w:sz w:val="16"/>
        </w:rPr>
        <w:t> </w:t>
      </w:r>
      <w:r>
        <w:rPr>
          <w:color w:val="0C5D86"/>
          <w:sz w:val="16"/>
        </w:rPr>
        <w:t>of</w:t>
      </w:r>
      <w:r>
        <w:rPr>
          <w:color w:val="0C5D86"/>
          <w:spacing w:val="-10"/>
          <w:sz w:val="16"/>
        </w:rPr>
        <w:t> </w:t>
      </w:r>
      <w:r>
        <w:rPr>
          <w:color w:val="0C5D86"/>
          <w:sz w:val="16"/>
        </w:rPr>
        <w:t>Chronic</w:t>
      </w:r>
      <w:r>
        <w:rPr>
          <w:color w:val="0C5D86"/>
          <w:spacing w:val="-10"/>
          <w:sz w:val="16"/>
        </w:rPr>
        <w:t> </w:t>
      </w:r>
      <w:r>
        <w:rPr>
          <w:color w:val="0C5D86"/>
          <w:sz w:val="16"/>
        </w:rPr>
        <w:t>Evaluation</w:t>
      </w:r>
      <w:r>
        <w:rPr>
          <w:color w:val="0C5D86"/>
          <w:spacing w:val="-10"/>
          <w:sz w:val="16"/>
        </w:rPr>
        <w:t> </w:t>
      </w:r>
      <w:r>
        <w:rPr>
          <w:color w:val="0C5D86"/>
          <w:sz w:val="16"/>
        </w:rPr>
        <w:t>and</w:t>
      </w:r>
      <w:r>
        <w:rPr>
          <w:color w:val="0C5D86"/>
          <w:spacing w:val="-10"/>
          <w:sz w:val="16"/>
        </w:rPr>
        <w:t> </w:t>
      </w:r>
      <w:r>
        <w:rPr>
          <w:color w:val="0C5D86"/>
          <w:sz w:val="16"/>
        </w:rPr>
        <w:t>Research,</w:t>
      </w:r>
      <w:r>
        <w:rPr>
          <w:color w:val="0C5D86"/>
          <w:spacing w:val="-10"/>
          <w:sz w:val="16"/>
        </w:rPr>
        <w:t> </w:t>
      </w:r>
      <w:r>
        <w:rPr>
          <w:color w:val="0C5D86"/>
          <w:sz w:val="16"/>
        </w:rPr>
        <w:t>New</w:t>
      </w:r>
      <w:r>
        <w:rPr>
          <w:color w:val="0C5D86"/>
          <w:spacing w:val="-10"/>
          <w:sz w:val="16"/>
        </w:rPr>
        <w:t> </w:t>
      </w:r>
      <w:r>
        <w:rPr>
          <w:color w:val="0C5D86"/>
          <w:sz w:val="16"/>
        </w:rPr>
        <w:t>York</w:t>
      </w:r>
      <w:r>
        <w:rPr>
          <w:color w:val="0C5D86"/>
          <w:spacing w:val="-10"/>
          <w:sz w:val="16"/>
        </w:rPr>
        <w:t> </w:t>
      </w:r>
      <w:r>
        <w:rPr>
          <w:color w:val="0C5D86"/>
          <w:sz w:val="16"/>
        </w:rPr>
        <w:t>State</w:t>
      </w:r>
      <w:r>
        <w:rPr>
          <w:color w:val="0C5D86"/>
          <w:spacing w:val="-10"/>
          <w:sz w:val="16"/>
        </w:rPr>
        <w:t> </w:t>
      </w:r>
      <w:r>
        <w:rPr>
          <w:color w:val="0C5D86"/>
          <w:sz w:val="16"/>
        </w:rPr>
        <w:t>Department</w:t>
      </w:r>
      <w:r>
        <w:rPr>
          <w:color w:val="0C5D86"/>
          <w:spacing w:val="-10"/>
          <w:sz w:val="16"/>
        </w:rPr>
        <w:t> </w:t>
      </w:r>
      <w:r>
        <w:rPr>
          <w:color w:val="0C5D86"/>
          <w:sz w:val="16"/>
        </w:rPr>
        <w:t>of</w:t>
      </w:r>
      <w:r>
        <w:rPr>
          <w:color w:val="0C5D86"/>
          <w:spacing w:val="-10"/>
          <w:sz w:val="16"/>
        </w:rPr>
        <w:t> </w:t>
      </w:r>
      <w:r>
        <w:rPr>
          <w:color w:val="0C5D86"/>
          <w:sz w:val="16"/>
        </w:rPr>
        <w:t>Health, Behavioral</w:t>
      </w:r>
      <w:r>
        <w:rPr>
          <w:color w:val="0C5D86"/>
          <w:spacing w:val="-1"/>
          <w:sz w:val="16"/>
        </w:rPr>
        <w:t> </w:t>
      </w:r>
      <w:r>
        <w:rPr>
          <w:color w:val="0C5D86"/>
          <w:sz w:val="16"/>
        </w:rPr>
        <w:t>Risk</w:t>
      </w:r>
      <w:r>
        <w:rPr>
          <w:color w:val="0C5D86"/>
          <w:spacing w:val="-1"/>
          <w:sz w:val="16"/>
        </w:rPr>
        <w:t> </w:t>
      </w:r>
      <w:r>
        <w:rPr>
          <w:color w:val="0C5D86"/>
          <w:sz w:val="16"/>
        </w:rPr>
        <w:t>Factor</w:t>
      </w:r>
      <w:r>
        <w:rPr>
          <w:color w:val="0C5D86"/>
          <w:spacing w:val="-1"/>
          <w:sz w:val="16"/>
        </w:rPr>
        <w:t> </w:t>
      </w:r>
      <w:r>
        <w:rPr>
          <w:color w:val="0C5D86"/>
          <w:sz w:val="16"/>
        </w:rPr>
        <w:t>Surveillance</w:t>
      </w:r>
      <w:r>
        <w:rPr>
          <w:color w:val="0C5D86"/>
          <w:spacing w:val="-1"/>
          <w:sz w:val="16"/>
        </w:rPr>
        <w:t> </w:t>
      </w:r>
      <w:r>
        <w:rPr>
          <w:color w:val="0C5D86"/>
          <w:sz w:val="16"/>
        </w:rPr>
        <w:t>System,</w:t>
      </w:r>
      <w:r>
        <w:rPr>
          <w:color w:val="0C5D86"/>
          <w:spacing w:val="-1"/>
          <w:sz w:val="16"/>
        </w:rPr>
        <w:t> </w:t>
      </w:r>
      <w:r>
        <w:rPr>
          <w:color w:val="0C5D86"/>
          <w:sz w:val="16"/>
        </w:rPr>
        <w:t>Year</w:t>
      </w:r>
      <w:r>
        <w:rPr>
          <w:color w:val="0C5D86"/>
          <w:spacing w:val="-1"/>
          <w:sz w:val="16"/>
        </w:rPr>
        <w:t> </w:t>
      </w:r>
      <w:r>
        <w:rPr>
          <w:color w:val="0C5D86"/>
          <w:sz w:val="16"/>
        </w:rPr>
        <w:t>2016.</w:t>
      </w:r>
      <w:r>
        <w:rPr>
          <w:color w:val="0C5D86"/>
          <w:spacing w:val="-1"/>
          <w:sz w:val="16"/>
        </w:rPr>
        <w:t> </w:t>
      </w:r>
      <w:r>
        <w:rPr>
          <w:color w:val="0C5D86"/>
          <w:sz w:val="16"/>
        </w:rPr>
        <w:t>Analysis</w:t>
      </w:r>
      <w:r>
        <w:rPr>
          <w:color w:val="0C5D86"/>
          <w:spacing w:val="-1"/>
          <w:sz w:val="16"/>
        </w:rPr>
        <w:t> </w:t>
      </w:r>
      <w:r>
        <w:rPr>
          <w:color w:val="0C5D86"/>
          <w:sz w:val="16"/>
        </w:rPr>
        <w:t>Completed</w:t>
      </w:r>
      <w:r>
        <w:rPr>
          <w:color w:val="0C5D86"/>
          <w:spacing w:val="-1"/>
          <w:sz w:val="16"/>
        </w:rPr>
        <w:t> </w:t>
      </w:r>
      <w:r>
        <w:rPr>
          <w:color w:val="0C5D86"/>
          <w:sz w:val="16"/>
        </w:rPr>
        <w:t>by</w:t>
      </w:r>
      <w:r>
        <w:rPr>
          <w:color w:val="0C5D86"/>
          <w:spacing w:val="-1"/>
          <w:sz w:val="16"/>
        </w:rPr>
        <w:t> </w:t>
      </w:r>
      <w:r>
        <w:rPr>
          <w:color w:val="0C5D86"/>
          <w:sz w:val="16"/>
        </w:rPr>
        <w:t>Common</w:t>
      </w:r>
      <w:r>
        <w:rPr>
          <w:color w:val="0C5D86"/>
          <w:spacing w:val="-1"/>
          <w:sz w:val="16"/>
        </w:rPr>
        <w:t> </w:t>
      </w:r>
      <w:r>
        <w:rPr>
          <w:color w:val="0C5D86"/>
          <w:sz w:val="16"/>
        </w:rPr>
        <w:t>Ground</w:t>
      </w:r>
      <w:r>
        <w:rPr>
          <w:color w:val="0C5D86"/>
          <w:spacing w:val="-1"/>
          <w:sz w:val="16"/>
        </w:rPr>
        <w:t> </w:t>
      </w:r>
      <w:r>
        <w:rPr>
          <w:color w:val="0C5D86"/>
          <w:sz w:val="16"/>
        </w:rPr>
        <w:t>Health</w:t>
      </w:r>
    </w:p>
    <w:p>
      <w:pPr>
        <w:spacing w:after="0" w:line="235" w:lineRule="auto"/>
        <w:jc w:val="left"/>
        <w:rPr>
          <w:sz w:val="16"/>
        </w:rPr>
        <w:sectPr>
          <w:type w:val="continuous"/>
          <w:pgSz w:w="24480" w:h="15840" w:orient="landscape"/>
          <w:pgMar w:header="0" w:footer="0" w:top="0" w:bottom="280" w:left="0" w:right="720"/>
          <w:cols w:num="2" w:equalWidth="0">
            <w:col w:w="11000" w:space="1212"/>
            <w:col w:w="11548"/>
          </w:cols>
        </w:sectPr>
      </w:pPr>
    </w:p>
    <w:p>
      <w:pPr>
        <w:pStyle w:val="BodyText"/>
        <w:rPr>
          <w:sz w:val="26"/>
        </w:rPr>
      </w:pPr>
      <w:r>
        <w:rPr>
          <w:sz w:val="26"/>
        </w:rPr>
        <w:drawing>
          <wp:anchor distT="0" distB="0" distL="0" distR="0" allowOverlap="1" layoutInCell="1" locked="0" behindDoc="0" simplePos="0" relativeHeight="15756800">
            <wp:simplePos x="0" y="0"/>
            <wp:positionH relativeFrom="page">
              <wp:posOffset>14981556</wp:posOffset>
            </wp:positionH>
            <wp:positionV relativeFrom="page">
              <wp:posOffset>9668103</wp:posOffset>
            </wp:positionV>
            <wp:extent cx="563245" cy="184683"/>
            <wp:effectExtent l="0" t="0" r="0" b="0"/>
            <wp:wrapNone/>
            <wp:docPr id="287" name="Image 287"/>
            <wp:cNvGraphicFramePr>
              <a:graphicFrameLocks/>
            </wp:cNvGraphicFramePr>
            <a:graphic>
              <a:graphicData uri="http://schemas.openxmlformats.org/drawingml/2006/picture">
                <pic:pic>
                  <pic:nvPicPr>
                    <pic:cNvPr id="287" name="Image 287"/>
                    <pic:cNvPicPr/>
                  </pic:nvPicPr>
                  <pic:blipFill>
                    <a:blip r:embed="rId38" cstate="print"/>
                    <a:stretch>
                      <a:fillRect/>
                    </a:stretch>
                  </pic:blipFill>
                  <pic:spPr>
                    <a:xfrm>
                      <a:off x="0" y="0"/>
                      <a:ext cx="563245" cy="184683"/>
                    </a:xfrm>
                    <a:prstGeom prst="rect">
                      <a:avLst/>
                    </a:prstGeom>
                  </pic:spPr>
                </pic:pic>
              </a:graphicData>
            </a:graphic>
          </wp:anchor>
        </w:drawing>
      </w: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289"/>
        <w:rPr>
          <w:sz w:val="26"/>
        </w:rPr>
      </w:pPr>
    </w:p>
    <w:p>
      <w:pPr>
        <w:tabs>
          <w:tab w:pos="23147" w:val="left" w:leader="none"/>
        </w:tabs>
        <w:spacing w:before="0"/>
        <w:ind w:left="0" w:right="0" w:firstLine="0"/>
        <w:jc w:val="left"/>
        <w:rPr>
          <w:b/>
          <w:sz w:val="26"/>
        </w:rPr>
      </w:pPr>
      <w:r>
        <w:rPr>
          <w:position w:val="-4"/>
        </w:rPr>
        <w:drawing>
          <wp:inline distT="0" distB="0" distL="0" distR="0">
            <wp:extent cx="568172" cy="184683"/>
            <wp:effectExtent l="0" t="0" r="0" b="0"/>
            <wp:docPr id="288" name="Image 288"/>
            <wp:cNvGraphicFramePr>
              <a:graphicFrameLocks/>
            </wp:cNvGraphicFramePr>
            <a:graphic>
              <a:graphicData uri="http://schemas.openxmlformats.org/drawingml/2006/picture">
                <pic:pic>
                  <pic:nvPicPr>
                    <pic:cNvPr id="288" name="Image 288"/>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80"/>
          <w:w w:val="105"/>
          <w:sz w:val="20"/>
        </w:rPr>
        <w:t> </w:t>
      </w:r>
      <w:r>
        <w:rPr>
          <w:b/>
          <w:color w:val="939598"/>
          <w:w w:val="105"/>
          <w:sz w:val="26"/>
        </w:rPr>
        <w:t>21</w:t>
      </w:r>
      <w:r>
        <w:rPr>
          <w:b/>
          <w:color w:val="939598"/>
          <w:sz w:val="26"/>
        </w:rPr>
        <w:tab/>
      </w:r>
      <w:r>
        <w:rPr>
          <w:b/>
          <w:color w:val="939598"/>
          <w:spacing w:val="-5"/>
          <w:w w:val="105"/>
          <w:sz w:val="26"/>
        </w:rPr>
        <w:t>22</w:t>
      </w:r>
    </w:p>
    <w:p>
      <w:pPr>
        <w:spacing w:after="0"/>
        <w:jc w:val="left"/>
        <w:rPr>
          <w:b/>
          <w:sz w:val="26"/>
        </w:rPr>
        <w:sectPr>
          <w:type w:val="continuous"/>
          <w:pgSz w:w="24480" w:h="15840" w:orient="landscape"/>
          <w:pgMar w:header="0" w:footer="0" w:top="0" w:bottom="280" w:left="0" w:right="720"/>
        </w:sectPr>
      </w:pPr>
    </w:p>
    <w:p>
      <w:pPr>
        <w:pStyle w:val="BodyText"/>
        <w:rPr>
          <w:b/>
          <w:sz w:val="20"/>
        </w:rPr>
      </w:pPr>
    </w:p>
    <w:p>
      <w:pPr>
        <w:pStyle w:val="BodyText"/>
        <w:spacing w:before="16"/>
        <w:rPr>
          <w:b/>
          <w:sz w:val="20"/>
        </w:rPr>
      </w:pPr>
    </w:p>
    <w:p>
      <w:pPr>
        <w:pStyle w:val="BodyText"/>
        <w:spacing w:after="0"/>
        <w:rPr>
          <w:b/>
          <w:sz w:val="20"/>
        </w:rPr>
        <w:sectPr>
          <w:pgSz w:w="24480" w:h="15840" w:orient="landscape"/>
          <w:pgMar w:header="0" w:footer="0" w:top="860" w:bottom="0" w:left="0" w:right="720"/>
        </w:sectPr>
      </w:pPr>
    </w:p>
    <w:p>
      <w:pPr>
        <w:pStyle w:val="BodyText"/>
        <w:spacing w:line="247" w:lineRule="auto" w:before="113"/>
        <w:ind w:left="1088"/>
      </w:pPr>
      <w:r>
        <w:rPr>
          <w:color w:val="105C84"/>
        </w:rPr>
        <w:t>There are also differences in rates of smoking by sex (Table 6). Some counties, such as Chemung, Seneca and Livingston Counties, see a fairly big difference in smoking rates by sex. In these counties, males are upwards of 10% more likely to report smoking than females. Targeting public health interventions towards males and the above mentioned disparate populations may help to reduce</w:t>
      </w:r>
      <w:r>
        <w:rPr>
          <w:color w:val="105C84"/>
          <w:spacing w:val="80"/>
        </w:rPr>
        <w:t> </w:t>
      </w:r>
      <w:r>
        <w:rPr>
          <w:color w:val="105C84"/>
          <w:spacing w:val="-2"/>
        </w:rPr>
        <w:t>disparities.</w:t>
      </w:r>
    </w:p>
    <w:p>
      <w:pPr>
        <w:pStyle w:val="BodyText"/>
        <w:spacing w:before="17"/>
      </w:pPr>
    </w:p>
    <w:p>
      <w:pPr>
        <w:pStyle w:val="Heading6"/>
        <w:ind w:left="1088"/>
      </w:pPr>
      <w:r>
        <w:rPr>
          <w:color w:val="105C84"/>
          <w:spacing w:val="-6"/>
        </w:rPr>
        <w:t>TABLE</w:t>
      </w:r>
      <w:r>
        <w:rPr>
          <w:color w:val="105C84"/>
          <w:spacing w:val="-12"/>
        </w:rPr>
        <w:t> </w:t>
      </w:r>
      <w:r>
        <w:rPr>
          <w:color w:val="105C84"/>
          <w:spacing w:val="-6"/>
        </w:rPr>
        <w:t>6:</w:t>
      </w:r>
      <w:r>
        <w:rPr>
          <w:color w:val="105C84"/>
          <w:spacing w:val="-12"/>
        </w:rPr>
        <w:t> </w:t>
      </w:r>
      <w:r>
        <w:rPr>
          <w:color w:val="105C84"/>
          <w:spacing w:val="-6"/>
        </w:rPr>
        <w:t>Smoking</w:t>
      </w:r>
      <w:r>
        <w:rPr>
          <w:color w:val="105C84"/>
          <w:spacing w:val="-12"/>
        </w:rPr>
        <w:t> </w:t>
      </w:r>
      <w:r>
        <w:rPr>
          <w:color w:val="105C84"/>
          <w:spacing w:val="-6"/>
        </w:rPr>
        <w:t>rates</w:t>
      </w:r>
      <w:r>
        <w:rPr>
          <w:color w:val="105C84"/>
          <w:spacing w:val="-12"/>
        </w:rPr>
        <w:t> </w:t>
      </w:r>
      <w:r>
        <w:rPr>
          <w:color w:val="105C84"/>
          <w:spacing w:val="-6"/>
        </w:rPr>
        <w:t>by</w:t>
      </w:r>
      <w:r>
        <w:rPr>
          <w:color w:val="105C84"/>
          <w:spacing w:val="-12"/>
        </w:rPr>
        <w:t> </w:t>
      </w:r>
      <w:r>
        <w:rPr>
          <w:color w:val="105C84"/>
          <w:spacing w:val="-6"/>
        </w:rPr>
        <w:t>sex</w:t>
      </w:r>
    </w:p>
    <w:p>
      <w:pPr>
        <w:pStyle w:val="BodyText"/>
        <w:spacing w:before="155"/>
        <w:rPr>
          <w:b/>
          <w:sz w:val="20"/>
        </w:rPr>
      </w:pPr>
    </w:p>
    <w:tbl>
      <w:tblPr>
        <w:tblW w:w="0" w:type="auto"/>
        <w:jc w:val="left"/>
        <w:tblInd w:w="1093"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top w:w="0" w:type="dxa"/>
          <w:left w:w="0" w:type="dxa"/>
          <w:bottom w:w="0" w:type="dxa"/>
          <w:right w:w="0" w:type="dxa"/>
        </w:tblCellMar>
        <w:tblLook w:val="01E0"/>
      </w:tblPr>
      <w:tblGrid>
        <w:gridCol w:w="2186"/>
        <w:gridCol w:w="3817"/>
        <w:gridCol w:w="3817"/>
      </w:tblGrid>
      <w:tr>
        <w:trPr>
          <w:trHeight w:val="472" w:hRule="atLeast"/>
        </w:trPr>
        <w:tc>
          <w:tcPr>
            <w:tcW w:w="2186" w:type="dxa"/>
            <w:shd w:val="clear" w:color="auto" w:fill="EFEFF0"/>
          </w:tcPr>
          <w:p>
            <w:pPr>
              <w:pStyle w:val="TableParagraph"/>
              <w:rPr>
                <w:rFonts w:ascii="Times New Roman"/>
                <w:sz w:val="20"/>
              </w:rPr>
            </w:pPr>
          </w:p>
        </w:tc>
        <w:tc>
          <w:tcPr>
            <w:tcW w:w="3817" w:type="dxa"/>
            <w:shd w:val="clear" w:color="auto" w:fill="EFEFF0"/>
          </w:tcPr>
          <w:p>
            <w:pPr>
              <w:pStyle w:val="TableParagraph"/>
              <w:spacing w:before="121"/>
              <w:ind w:left="9" w:right="1"/>
              <w:jc w:val="center"/>
              <w:rPr>
                <w:b/>
                <w:sz w:val="22"/>
              </w:rPr>
            </w:pPr>
            <w:r>
              <w:rPr>
                <w:b/>
                <w:color w:val="105C84"/>
                <w:sz w:val="22"/>
              </w:rPr>
              <w:t>Current</w:t>
            </w:r>
            <w:r>
              <w:rPr>
                <w:b/>
                <w:color w:val="105C84"/>
                <w:spacing w:val="-12"/>
                <w:sz w:val="22"/>
              </w:rPr>
              <w:t> </w:t>
            </w:r>
            <w:r>
              <w:rPr>
                <w:b/>
                <w:color w:val="105C84"/>
                <w:sz w:val="22"/>
              </w:rPr>
              <w:t>smoker-</w:t>
            </w:r>
            <w:r>
              <w:rPr>
                <w:b/>
                <w:color w:val="105C84"/>
                <w:spacing w:val="-12"/>
                <w:sz w:val="22"/>
              </w:rPr>
              <w:t> </w:t>
            </w:r>
            <w:r>
              <w:rPr>
                <w:b/>
                <w:color w:val="105C84"/>
                <w:spacing w:val="-2"/>
                <w:sz w:val="22"/>
              </w:rPr>
              <w:t>Males</w:t>
            </w:r>
          </w:p>
        </w:tc>
        <w:tc>
          <w:tcPr>
            <w:tcW w:w="3817" w:type="dxa"/>
            <w:shd w:val="clear" w:color="auto" w:fill="EFEFF0"/>
          </w:tcPr>
          <w:p>
            <w:pPr>
              <w:pStyle w:val="TableParagraph"/>
              <w:spacing w:before="121"/>
              <w:ind w:left="9"/>
              <w:jc w:val="center"/>
              <w:rPr>
                <w:b/>
                <w:sz w:val="22"/>
              </w:rPr>
            </w:pPr>
            <w:r>
              <w:rPr>
                <w:b/>
                <w:color w:val="105C84"/>
                <w:sz w:val="22"/>
              </w:rPr>
              <w:t>Current</w:t>
            </w:r>
            <w:r>
              <w:rPr>
                <w:b/>
                <w:color w:val="105C84"/>
                <w:spacing w:val="-12"/>
                <w:sz w:val="22"/>
              </w:rPr>
              <w:t> </w:t>
            </w:r>
            <w:r>
              <w:rPr>
                <w:b/>
                <w:color w:val="105C84"/>
                <w:sz w:val="22"/>
              </w:rPr>
              <w:t>smoker-</w:t>
            </w:r>
            <w:r>
              <w:rPr>
                <w:b/>
                <w:color w:val="105C84"/>
                <w:spacing w:val="-12"/>
                <w:sz w:val="22"/>
              </w:rPr>
              <w:t> </w:t>
            </w:r>
            <w:r>
              <w:rPr>
                <w:b/>
                <w:color w:val="105C84"/>
                <w:spacing w:val="-2"/>
                <w:sz w:val="22"/>
              </w:rPr>
              <w:t>Females</w:t>
            </w:r>
          </w:p>
        </w:tc>
      </w:tr>
      <w:tr>
        <w:trPr>
          <w:trHeight w:val="318" w:hRule="atLeast"/>
        </w:trPr>
        <w:tc>
          <w:tcPr>
            <w:tcW w:w="2186" w:type="dxa"/>
            <w:shd w:val="clear" w:color="auto" w:fill="DCDDDE"/>
          </w:tcPr>
          <w:p>
            <w:pPr>
              <w:pStyle w:val="TableParagraph"/>
              <w:spacing w:before="53"/>
              <w:ind w:left="90"/>
              <w:rPr>
                <w:b/>
                <w:sz w:val="20"/>
              </w:rPr>
            </w:pPr>
            <w:r>
              <w:rPr>
                <w:b/>
                <w:color w:val="105C84"/>
                <w:spacing w:val="-2"/>
                <w:sz w:val="20"/>
              </w:rPr>
              <w:t>Chemung</w:t>
            </w:r>
          </w:p>
        </w:tc>
        <w:tc>
          <w:tcPr>
            <w:tcW w:w="3817" w:type="dxa"/>
          </w:tcPr>
          <w:p>
            <w:pPr>
              <w:pStyle w:val="TableParagraph"/>
              <w:spacing w:before="53"/>
              <w:ind w:left="9" w:right="1"/>
              <w:jc w:val="center"/>
              <w:rPr>
                <w:sz w:val="20"/>
              </w:rPr>
            </w:pPr>
            <w:r>
              <w:rPr>
                <w:color w:val="105C84"/>
                <w:spacing w:val="-5"/>
                <w:sz w:val="20"/>
              </w:rPr>
              <w:t>32%</w:t>
            </w:r>
          </w:p>
        </w:tc>
        <w:tc>
          <w:tcPr>
            <w:tcW w:w="3817" w:type="dxa"/>
          </w:tcPr>
          <w:p>
            <w:pPr>
              <w:pStyle w:val="TableParagraph"/>
              <w:spacing w:before="53"/>
              <w:ind w:left="9"/>
              <w:jc w:val="center"/>
              <w:rPr>
                <w:sz w:val="20"/>
              </w:rPr>
            </w:pPr>
            <w:r>
              <w:rPr>
                <w:color w:val="105C84"/>
                <w:spacing w:val="-5"/>
                <w:sz w:val="20"/>
              </w:rPr>
              <w:t>22%</w:t>
            </w:r>
          </w:p>
        </w:tc>
      </w:tr>
      <w:tr>
        <w:trPr>
          <w:trHeight w:val="331" w:hRule="atLeast"/>
        </w:trPr>
        <w:tc>
          <w:tcPr>
            <w:tcW w:w="2186" w:type="dxa"/>
            <w:shd w:val="clear" w:color="auto" w:fill="DCDDDE"/>
          </w:tcPr>
          <w:p>
            <w:pPr>
              <w:pStyle w:val="TableParagraph"/>
              <w:spacing w:before="59"/>
              <w:ind w:left="90"/>
              <w:rPr>
                <w:b/>
                <w:sz w:val="20"/>
              </w:rPr>
            </w:pPr>
            <w:r>
              <w:rPr>
                <w:b/>
                <w:color w:val="105C84"/>
                <w:spacing w:val="-2"/>
                <w:sz w:val="20"/>
              </w:rPr>
              <w:t>Livingston</w:t>
            </w:r>
          </w:p>
        </w:tc>
        <w:tc>
          <w:tcPr>
            <w:tcW w:w="3817" w:type="dxa"/>
          </w:tcPr>
          <w:p>
            <w:pPr>
              <w:pStyle w:val="TableParagraph"/>
              <w:spacing w:before="59"/>
              <w:ind w:left="9" w:right="1"/>
              <w:jc w:val="center"/>
              <w:rPr>
                <w:sz w:val="20"/>
              </w:rPr>
            </w:pPr>
            <w:r>
              <w:rPr>
                <w:color w:val="105C84"/>
                <w:spacing w:val="-5"/>
                <w:sz w:val="20"/>
              </w:rPr>
              <w:t>11%</w:t>
            </w:r>
          </w:p>
        </w:tc>
        <w:tc>
          <w:tcPr>
            <w:tcW w:w="3817" w:type="dxa"/>
          </w:tcPr>
          <w:p>
            <w:pPr>
              <w:pStyle w:val="TableParagraph"/>
              <w:spacing w:before="59"/>
              <w:ind w:left="9"/>
              <w:jc w:val="center"/>
              <w:rPr>
                <w:sz w:val="20"/>
              </w:rPr>
            </w:pPr>
            <w:r>
              <w:rPr>
                <w:color w:val="105C84"/>
                <w:spacing w:val="-5"/>
                <w:sz w:val="20"/>
              </w:rPr>
              <w:t>19%</w:t>
            </w:r>
          </w:p>
        </w:tc>
      </w:tr>
      <w:tr>
        <w:trPr>
          <w:trHeight w:val="331" w:hRule="atLeast"/>
        </w:trPr>
        <w:tc>
          <w:tcPr>
            <w:tcW w:w="2186" w:type="dxa"/>
            <w:shd w:val="clear" w:color="auto" w:fill="DCDDDE"/>
          </w:tcPr>
          <w:p>
            <w:pPr>
              <w:pStyle w:val="TableParagraph"/>
              <w:spacing w:before="59"/>
              <w:ind w:left="90"/>
              <w:rPr>
                <w:b/>
                <w:sz w:val="20"/>
              </w:rPr>
            </w:pPr>
            <w:r>
              <w:rPr>
                <w:b/>
                <w:color w:val="105C84"/>
                <w:spacing w:val="-2"/>
                <w:sz w:val="20"/>
              </w:rPr>
              <w:t>Ontario</w:t>
            </w:r>
          </w:p>
        </w:tc>
        <w:tc>
          <w:tcPr>
            <w:tcW w:w="3817" w:type="dxa"/>
          </w:tcPr>
          <w:p>
            <w:pPr>
              <w:pStyle w:val="TableParagraph"/>
              <w:spacing w:before="59"/>
              <w:ind w:left="9" w:right="1"/>
              <w:jc w:val="center"/>
              <w:rPr>
                <w:sz w:val="20"/>
              </w:rPr>
            </w:pPr>
            <w:r>
              <w:rPr>
                <w:color w:val="105C84"/>
                <w:spacing w:val="-5"/>
                <w:sz w:val="20"/>
              </w:rPr>
              <w:t>22%</w:t>
            </w:r>
          </w:p>
        </w:tc>
        <w:tc>
          <w:tcPr>
            <w:tcW w:w="3817" w:type="dxa"/>
          </w:tcPr>
          <w:p>
            <w:pPr>
              <w:pStyle w:val="TableParagraph"/>
              <w:spacing w:before="59"/>
              <w:ind w:left="9"/>
              <w:jc w:val="center"/>
              <w:rPr>
                <w:sz w:val="20"/>
              </w:rPr>
            </w:pPr>
            <w:r>
              <w:rPr>
                <w:color w:val="105C84"/>
                <w:spacing w:val="-5"/>
                <w:sz w:val="20"/>
              </w:rPr>
              <w:t>21%</w:t>
            </w:r>
          </w:p>
        </w:tc>
      </w:tr>
      <w:tr>
        <w:trPr>
          <w:trHeight w:val="331" w:hRule="atLeast"/>
        </w:trPr>
        <w:tc>
          <w:tcPr>
            <w:tcW w:w="2186" w:type="dxa"/>
            <w:shd w:val="clear" w:color="auto" w:fill="DCDDDE"/>
          </w:tcPr>
          <w:p>
            <w:pPr>
              <w:pStyle w:val="TableParagraph"/>
              <w:spacing w:before="59"/>
              <w:ind w:left="90"/>
              <w:rPr>
                <w:b/>
                <w:sz w:val="20"/>
              </w:rPr>
            </w:pPr>
            <w:r>
              <w:rPr>
                <w:b/>
                <w:color w:val="105C84"/>
                <w:spacing w:val="-2"/>
                <w:sz w:val="20"/>
              </w:rPr>
              <w:t>Schuyler</w:t>
            </w:r>
          </w:p>
        </w:tc>
        <w:tc>
          <w:tcPr>
            <w:tcW w:w="3817" w:type="dxa"/>
          </w:tcPr>
          <w:p>
            <w:pPr>
              <w:pStyle w:val="TableParagraph"/>
              <w:spacing w:before="59"/>
              <w:ind w:left="9" w:right="1"/>
              <w:jc w:val="center"/>
              <w:rPr>
                <w:sz w:val="20"/>
              </w:rPr>
            </w:pPr>
            <w:r>
              <w:rPr>
                <w:color w:val="105C84"/>
                <w:spacing w:val="-5"/>
                <w:sz w:val="20"/>
              </w:rPr>
              <w:t>18%</w:t>
            </w:r>
          </w:p>
        </w:tc>
        <w:tc>
          <w:tcPr>
            <w:tcW w:w="3817" w:type="dxa"/>
          </w:tcPr>
          <w:p>
            <w:pPr>
              <w:pStyle w:val="TableParagraph"/>
              <w:spacing w:before="59"/>
              <w:ind w:left="9"/>
              <w:jc w:val="center"/>
              <w:rPr>
                <w:sz w:val="20"/>
              </w:rPr>
            </w:pPr>
            <w:r>
              <w:rPr>
                <w:color w:val="105C84"/>
                <w:spacing w:val="-5"/>
                <w:sz w:val="20"/>
              </w:rPr>
              <w:t>21%</w:t>
            </w:r>
          </w:p>
        </w:tc>
      </w:tr>
      <w:tr>
        <w:trPr>
          <w:trHeight w:val="331" w:hRule="atLeast"/>
        </w:trPr>
        <w:tc>
          <w:tcPr>
            <w:tcW w:w="2186" w:type="dxa"/>
            <w:shd w:val="clear" w:color="auto" w:fill="DCDDDE"/>
          </w:tcPr>
          <w:p>
            <w:pPr>
              <w:pStyle w:val="TableParagraph"/>
              <w:spacing w:before="59"/>
              <w:ind w:left="90"/>
              <w:rPr>
                <w:b/>
                <w:sz w:val="20"/>
              </w:rPr>
            </w:pPr>
            <w:r>
              <w:rPr>
                <w:b/>
                <w:color w:val="105C84"/>
                <w:spacing w:val="-2"/>
                <w:sz w:val="20"/>
              </w:rPr>
              <w:t>Seneca</w:t>
            </w:r>
          </w:p>
        </w:tc>
        <w:tc>
          <w:tcPr>
            <w:tcW w:w="3817" w:type="dxa"/>
          </w:tcPr>
          <w:p>
            <w:pPr>
              <w:pStyle w:val="TableParagraph"/>
              <w:spacing w:before="59"/>
              <w:ind w:left="9" w:right="1"/>
              <w:jc w:val="center"/>
              <w:rPr>
                <w:sz w:val="20"/>
              </w:rPr>
            </w:pPr>
            <w:r>
              <w:rPr>
                <w:color w:val="105C84"/>
                <w:spacing w:val="-5"/>
                <w:sz w:val="20"/>
              </w:rPr>
              <w:t>19%</w:t>
            </w:r>
          </w:p>
        </w:tc>
        <w:tc>
          <w:tcPr>
            <w:tcW w:w="3817" w:type="dxa"/>
          </w:tcPr>
          <w:p>
            <w:pPr>
              <w:pStyle w:val="TableParagraph"/>
              <w:spacing w:before="59"/>
              <w:ind w:left="9"/>
              <w:jc w:val="center"/>
              <w:rPr>
                <w:sz w:val="20"/>
              </w:rPr>
            </w:pPr>
            <w:r>
              <w:rPr>
                <w:color w:val="105C84"/>
                <w:spacing w:val="-5"/>
                <w:sz w:val="20"/>
              </w:rPr>
              <w:t>11%</w:t>
            </w:r>
          </w:p>
        </w:tc>
      </w:tr>
      <w:tr>
        <w:trPr>
          <w:trHeight w:val="331" w:hRule="atLeast"/>
        </w:trPr>
        <w:tc>
          <w:tcPr>
            <w:tcW w:w="2186" w:type="dxa"/>
            <w:shd w:val="clear" w:color="auto" w:fill="DCDDDE"/>
          </w:tcPr>
          <w:p>
            <w:pPr>
              <w:pStyle w:val="TableParagraph"/>
              <w:spacing w:before="59"/>
              <w:ind w:left="90"/>
              <w:rPr>
                <w:b/>
                <w:sz w:val="20"/>
              </w:rPr>
            </w:pPr>
            <w:r>
              <w:rPr>
                <w:b/>
                <w:color w:val="105C84"/>
                <w:spacing w:val="-2"/>
                <w:sz w:val="20"/>
              </w:rPr>
              <w:t>Steuben</w:t>
            </w:r>
          </w:p>
        </w:tc>
        <w:tc>
          <w:tcPr>
            <w:tcW w:w="3817" w:type="dxa"/>
          </w:tcPr>
          <w:p>
            <w:pPr>
              <w:pStyle w:val="TableParagraph"/>
              <w:spacing w:before="59"/>
              <w:ind w:left="9" w:right="1"/>
              <w:jc w:val="center"/>
              <w:rPr>
                <w:sz w:val="20"/>
              </w:rPr>
            </w:pPr>
            <w:r>
              <w:rPr>
                <w:color w:val="105C84"/>
                <w:spacing w:val="-5"/>
                <w:sz w:val="20"/>
              </w:rPr>
              <w:t>24%</w:t>
            </w:r>
          </w:p>
        </w:tc>
        <w:tc>
          <w:tcPr>
            <w:tcW w:w="3817" w:type="dxa"/>
          </w:tcPr>
          <w:p>
            <w:pPr>
              <w:pStyle w:val="TableParagraph"/>
              <w:spacing w:before="59"/>
              <w:ind w:left="9"/>
              <w:jc w:val="center"/>
              <w:rPr>
                <w:sz w:val="20"/>
              </w:rPr>
            </w:pPr>
            <w:r>
              <w:rPr>
                <w:color w:val="105C84"/>
                <w:spacing w:val="-5"/>
                <w:sz w:val="20"/>
              </w:rPr>
              <w:t>25%</w:t>
            </w:r>
          </w:p>
        </w:tc>
      </w:tr>
      <w:tr>
        <w:trPr>
          <w:trHeight w:val="331" w:hRule="atLeast"/>
        </w:trPr>
        <w:tc>
          <w:tcPr>
            <w:tcW w:w="2186" w:type="dxa"/>
            <w:shd w:val="clear" w:color="auto" w:fill="DCDDDE"/>
          </w:tcPr>
          <w:p>
            <w:pPr>
              <w:pStyle w:val="TableParagraph"/>
              <w:spacing w:before="59"/>
              <w:ind w:left="90"/>
              <w:rPr>
                <w:b/>
                <w:sz w:val="20"/>
              </w:rPr>
            </w:pPr>
            <w:r>
              <w:rPr>
                <w:b/>
                <w:color w:val="105C84"/>
                <w:spacing w:val="-2"/>
                <w:sz w:val="20"/>
              </w:rPr>
              <w:t>Wayne</w:t>
            </w:r>
          </w:p>
        </w:tc>
        <w:tc>
          <w:tcPr>
            <w:tcW w:w="3817" w:type="dxa"/>
          </w:tcPr>
          <w:p>
            <w:pPr>
              <w:pStyle w:val="TableParagraph"/>
              <w:spacing w:before="59"/>
              <w:ind w:left="9" w:right="1"/>
              <w:jc w:val="center"/>
              <w:rPr>
                <w:sz w:val="20"/>
              </w:rPr>
            </w:pPr>
            <w:r>
              <w:rPr>
                <w:color w:val="105C84"/>
                <w:spacing w:val="-5"/>
                <w:sz w:val="20"/>
              </w:rPr>
              <w:t>27%</w:t>
            </w:r>
          </w:p>
        </w:tc>
        <w:tc>
          <w:tcPr>
            <w:tcW w:w="3817" w:type="dxa"/>
          </w:tcPr>
          <w:p>
            <w:pPr>
              <w:pStyle w:val="TableParagraph"/>
              <w:spacing w:before="59"/>
              <w:ind w:left="9"/>
              <w:jc w:val="center"/>
              <w:rPr>
                <w:sz w:val="20"/>
              </w:rPr>
            </w:pPr>
            <w:r>
              <w:rPr>
                <w:color w:val="105C84"/>
                <w:spacing w:val="-5"/>
                <w:sz w:val="20"/>
              </w:rPr>
              <w:t>21%</w:t>
            </w:r>
          </w:p>
        </w:tc>
      </w:tr>
      <w:tr>
        <w:trPr>
          <w:trHeight w:val="331" w:hRule="atLeast"/>
        </w:trPr>
        <w:tc>
          <w:tcPr>
            <w:tcW w:w="2186" w:type="dxa"/>
            <w:shd w:val="clear" w:color="auto" w:fill="DCDDDE"/>
          </w:tcPr>
          <w:p>
            <w:pPr>
              <w:pStyle w:val="TableParagraph"/>
              <w:spacing w:before="59"/>
              <w:ind w:left="90"/>
              <w:rPr>
                <w:b/>
                <w:sz w:val="20"/>
              </w:rPr>
            </w:pPr>
            <w:r>
              <w:rPr>
                <w:b/>
                <w:color w:val="105C84"/>
                <w:spacing w:val="-2"/>
                <w:sz w:val="20"/>
              </w:rPr>
              <w:t>Yates</w:t>
            </w:r>
          </w:p>
        </w:tc>
        <w:tc>
          <w:tcPr>
            <w:tcW w:w="3817" w:type="dxa"/>
          </w:tcPr>
          <w:p>
            <w:pPr>
              <w:pStyle w:val="TableParagraph"/>
              <w:spacing w:before="59"/>
              <w:ind w:left="9" w:right="1"/>
              <w:jc w:val="center"/>
              <w:rPr>
                <w:sz w:val="20"/>
              </w:rPr>
            </w:pPr>
            <w:r>
              <w:rPr>
                <w:color w:val="105C84"/>
                <w:spacing w:val="-5"/>
                <w:sz w:val="20"/>
              </w:rPr>
              <w:t>13%</w:t>
            </w:r>
          </w:p>
        </w:tc>
        <w:tc>
          <w:tcPr>
            <w:tcW w:w="3817" w:type="dxa"/>
          </w:tcPr>
          <w:p>
            <w:pPr>
              <w:pStyle w:val="TableParagraph"/>
              <w:spacing w:before="59"/>
              <w:ind w:left="9"/>
              <w:jc w:val="center"/>
              <w:rPr>
                <w:sz w:val="20"/>
              </w:rPr>
            </w:pPr>
            <w:r>
              <w:rPr>
                <w:color w:val="105C84"/>
                <w:spacing w:val="-5"/>
                <w:sz w:val="20"/>
              </w:rPr>
              <w:t>14%</w:t>
            </w:r>
          </w:p>
        </w:tc>
      </w:tr>
      <w:tr>
        <w:trPr>
          <w:trHeight w:val="331" w:hRule="atLeast"/>
        </w:trPr>
        <w:tc>
          <w:tcPr>
            <w:tcW w:w="2186" w:type="dxa"/>
            <w:shd w:val="clear" w:color="auto" w:fill="82BF6A"/>
          </w:tcPr>
          <w:p>
            <w:pPr>
              <w:pStyle w:val="TableParagraph"/>
              <w:spacing w:before="59"/>
              <w:ind w:left="90"/>
              <w:rPr>
                <w:b/>
                <w:sz w:val="20"/>
              </w:rPr>
            </w:pPr>
            <w:r>
              <w:rPr>
                <w:b/>
                <w:color w:val="FFFFFF"/>
                <w:sz w:val="20"/>
              </w:rPr>
              <w:t>8</w:t>
            </w:r>
            <w:r>
              <w:rPr>
                <w:b/>
                <w:color w:val="FFFFFF"/>
                <w:spacing w:val="5"/>
                <w:sz w:val="20"/>
              </w:rPr>
              <w:t> </w:t>
            </w:r>
            <w:r>
              <w:rPr>
                <w:b/>
                <w:color w:val="FFFFFF"/>
                <w:sz w:val="20"/>
              </w:rPr>
              <w:t>County</w:t>
            </w:r>
            <w:r>
              <w:rPr>
                <w:b/>
                <w:color w:val="FFFFFF"/>
                <w:spacing w:val="5"/>
                <w:sz w:val="20"/>
              </w:rPr>
              <w:t> </w:t>
            </w:r>
            <w:r>
              <w:rPr>
                <w:b/>
                <w:color w:val="FFFFFF"/>
                <w:spacing w:val="-2"/>
                <w:sz w:val="20"/>
              </w:rPr>
              <w:t>Region</w:t>
            </w:r>
          </w:p>
        </w:tc>
        <w:tc>
          <w:tcPr>
            <w:tcW w:w="3817" w:type="dxa"/>
            <w:shd w:val="clear" w:color="auto" w:fill="82BF6A"/>
          </w:tcPr>
          <w:p>
            <w:pPr>
              <w:pStyle w:val="TableParagraph"/>
              <w:spacing w:before="59"/>
              <w:ind w:left="9" w:right="1"/>
              <w:jc w:val="center"/>
              <w:rPr>
                <w:b/>
                <w:sz w:val="20"/>
              </w:rPr>
            </w:pPr>
            <w:r>
              <w:rPr>
                <w:b/>
                <w:color w:val="FFFFFF"/>
                <w:spacing w:val="-5"/>
                <w:w w:val="105"/>
                <w:sz w:val="20"/>
              </w:rPr>
              <w:t>21%</w:t>
            </w:r>
          </w:p>
        </w:tc>
        <w:tc>
          <w:tcPr>
            <w:tcW w:w="3817" w:type="dxa"/>
            <w:shd w:val="clear" w:color="auto" w:fill="82BF6A"/>
          </w:tcPr>
          <w:p>
            <w:pPr>
              <w:pStyle w:val="TableParagraph"/>
              <w:spacing w:before="59"/>
              <w:ind w:left="9"/>
              <w:jc w:val="center"/>
              <w:rPr>
                <w:b/>
                <w:sz w:val="20"/>
              </w:rPr>
            </w:pPr>
            <w:r>
              <w:rPr>
                <w:b/>
                <w:color w:val="FFFFFF"/>
                <w:spacing w:val="-5"/>
                <w:w w:val="105"/>
                <w:sz w:val="20"/>
              </w:rPr>
              <w:t>23%</w:t>
            </w:r>
          </w:p>
        </w:tc>
      </w:tr>
    </w:tbl>
    <w:p>
      <w:pPr>
        <w:spacing w:line="235" w:lineRule="auto" w:before="225"/>
        <w:ind w:left="1088" w:right="0" w:firstLine="0"/>
        <w:jc w:val="left"/>
        <w:rPr>
          <w:sz w:val="16"/>
        </w:rPr>
      </w:pPr>
      <w:r>
        <w:rPr>
          <w:color w:val="0C5D86"/>
          <w:sz w:val="16"/>
        </w:rPr>
        <w:t>Source:</w:t>
      </w:r>
      <w:r>
        <w:rPr>
          <w:color w:val="0C5D86"/>
          <w:spacing w:val="-10"/>
          <w:sz w:val="16"/>
        </w:rPr>
        <w:t> </w:t>
      </w:r>
      <w:r>
        <w:rPr>
          <w:color w:val="0C5D86"/>
          <w:sz w:val="16"/>
        </w:rPr>
        <w:t>Division</w:t>
      </w:r>
      <w:r>
        <w:rPr>
          <w:color w:val="0C5D86"/>
          <w:spacing w:val="-10"/>
          <w:sz w:val="16"/>
        </w:rPr>
        <w:t> </w:t>
      </w:r>
      <w:r>
        <w:rPr>
          <w:color w:val="0C5D86"/>
          <w:sz w:val="16"/>
        </w:rPr>
        <w:t>of</w:t>
      </w:r>
      <w:r>
        <w:rPr>
          <w:color w:val="0C5D86"/>
          <w:spacing w:val="-10"/>
          <w:sz w:val="16"/>
        </w:rPr>
        <w:t> </w:t>
      </w:r>
      <w:r>
        <w:rPr>
          <w:color w:val="0C5D86"/>
          <w:sz w:val="16"/>
        </w:rPr>
        <w:t>Chronic</w:t>
      </w:r>
      <w:r>
        <w:rPr>
          <w:color w:val="0C5D86"/>
          <w:spacing w:val="-10"/>
          <w:sz w:val="16"/>
        </w:rPr>
        <w:t> </w:t>
      </w:r>
      <w:r>
        <w:rPr>
          <w:color w:val="0C5D86"/>
          <w:sz w:val="16"/>
        </w:rPr>
        <w:t>Disease</w:t>
      </w:r>
      <w:r>
        <w:rPr>
          <w:color w:val="0C5D86"/>
          <w:spacing w:val="-10"/>
          <w:sz w:val="16"/>
        </w:rPr>
        <w:t> </w:t>
      </w:r>
      <w:r>
        <w:rPr>
          <w:color w:val="0C5D86"/>
          <w:sz w:val="16"/>
        </w:rPr>
        <w:t>and</w:t>
      </w:r>
      <w:r>
        <w:rPr>
          <w:color w:val="0C5D86"/>
          <w:spacing w:val="-10"/>
          <w:sz w:val="16"/>
        </w:rPr>
        <w:t> </w:t>
      </w:r>
      <w:r>
        <w:rPr>
          <w:color w:val="0C5D86"/>
          <w:sz w:val="16"/>
        </w:rPr>
        <w:t>Injury</w:t>
      </w:r>
      <w:r>
        <w:rPr>
          <w:color w:val="0C5D86"/>
          <w:spacing w:val="-10"/>
          <w:sz w:val="16"/>
        </w:rPr>
        <w:t> </w:t>
      </w:r>
      <w:r>
        <w:rPr>
          <w:color w:val="0C5D86"/>
          <w:sz w:val="16"/>
        </w:rPr>
        <w:t>Prevention,</w:t>
      </w:r>
      <w:r>
        <w:rPr>
          <w:color w:val="0C5D86"/>
          <w:spacing w:val="-10"/>
          <w:sz w:val="16"/>
        </w:rPr>
        <w:t> </w:t>
      </w:r>
      <w:r>
        <w:rPr>
          <w:color w:val="0C5D86"/>
          <w:sz w:val="16"/>
        </w:rPr>
        <w:t>Bureau</w:t>
      </w:r>
      <w:r>
        <w:rPr>
          <w:color w:val="0C5D86"/>
          <w:spacing w:val="-10"/>
          <w:sz w:val="16"/>
        </w:rPr>
        <w:t> </w:t>
      </w:r>
      <w:r>
        <w:rPr>
          <w:color w:val="0C5D86"/>
          <w:sz w:val="16"/>
        </w:rPr>
        <w:t>of</w:t>
      </w:r>
      <w:r>
        <w:rPr>
          <w:color w:val="0C5D86"/>
          <w:spacing w:val="-10"/>
          <w:sz w:val="16"/>
        </w:rPr>
        <w:t> </w:t>
      </w:r>
      <w:r>
        <w:rPr>
          <w:color w:val="0C5D86"/>
          <w:sz w:val="16"/>
        </w:rPr>
        <w:t>Chronic</w:t>
      </w:r>
      <w:r>
        <w:rPr>
          <w:color w:val="0C5D86"/>
          <w:spacing w:val="-10"/>
          <w:sz w:val="16"/>
        </w:rPr>
        <w:t> </w:t>
      </w:r>
      <w:r>
        <w:rPr>
          <w:color w:val="0C5D86"/>
          <w:sz w:val="16"/>
        </w:rPr>
        <w:t>Evaluation</w:t>
      </w:r>
      <w:r>
        <w:rPr>
          <w:color w:val="0C5D86"/>
          <w:spacing w:val="-10"/>
          <w:sz w:val="16"/>
        </w:rPr>
        <w:t> </w:t>
      </w:r>
      <w:r>
        <w:rPr>
          <w:color w:val="0C5D86"/>
          <w:sz w:val="16"/>
        </w:rPr>
        <w:t>and</w:t>
      </w:r>
      <w:r>
        <w:rPr>
          <w:color w:val="0C5D86"/>
          <w:spacing w:val="-10"/>
          <w:sz w:val="16"/>
        </w:rPr>
        <w:t> </w:t>
      </w:r>
      <w:r>
        <w:rPr>
          <w:color w:val="0C5D86"/>
          <w:sz w:val="16"/>
        </w:rPr>
        <w:t>Research,</w:t>
      </w:r>
      <w:r>
        <w:rPr>
          <w:color w:val="0C5D86"/>
          <w:spacing w:val="-10"/>
          <w:sz w:val="16"/>
        </w:rPr>
        <w:t> </w:t>
      </w:r>
      <w:r>
        <w:rPr>
          <w:color w:val="0C5D86"/>
          <w:sz w:val="16"/>
        </w:rPr>
        <w:t>New</w:t>
      </w:r>
      <w:r>
        <w:rPr>
          <w:color w:val="0C5D86"/>
          <w:spacing w:val="-10"/>
          <w:sz w:val="16"/>
        </w:rPr>
        <w:t> </w:t>
      </w:r>
      <w:r>
        <w:rPr>
          <w:color w:val="0C5D86"/>
          <w:sz w:val="16"/>
        </w:rPr>
        <w:t>York</w:t>
      </w:r>
      <w:r>
        <w:rPr>
          <w:color w:val="0C5D86"/>
          <w:spacing w:val="-10"/>
          <w:sz w:val="16"/>
        </w:rPr>
        <w:t> </w:t>
      </w:r>
      <w:r>
        <w:rPr>
          <w:color w:val="0C5D86"/>
          <w:sz w:val="16"/>
        </w:rPr>
        <w:t>State</w:t>
      </w:r>
      <w:r>
        <w:rPr>
          <w:color w:val="0C5D86"/>
          <w:spacing w:val="-10"/>
          <w:sz w:val="16"/>
        </w:rPr>
        <w:t> </w:t>
      </w:r>
      <w:r>
        <w:rPr>
          <w:color w:val="0C5D86"/>
          <w:sz w:val="16"/>
        </w:rPr>
        <w:t>Department</w:t>
      </w:r>
      <w:r>
        <w:rPr>
          <w:color w:val="0C5D86"/>
          <w:spacing w:val="-10"/>
          <w:sz w:val="16"/>
        </w:rPr>
        <w:t> </w:t>
      </w:r>
      <w:r>
        <w:rPr>
          <w:color w:val="0C5D86"/>
          <w:sz w:val="16"/>
        </w:rPr>
        <w:t>of</w:t>
      </w:r>
      <w:r>
        <w:rPr>
          <w:color w:val="0C5D86"/>
          <w:spacing w:val="-10"/>
          <w:sz w:val="16"/>
        </w:rPr>
        <w:t> </w:t>
      </w:r>
      <w:r>
        <w:rPr>
          <w:color w:val="0C5D86"/>
          <w:sz w:val="16"/>
        </w:rPr>
        <w:t>Health, Behavioral</w:t>
      </w:r>
      <w:r>
        <w:rPr>
          <w:color w:val="0C5D86"/>
          <w:spacing w:val="-1"/>
          <w:sz w:val="16"/>
        </w:rPr>
        <w:t> </w:t>
      </w:r>
      <w:r>
        <w:rPr>
          <w:color w:val="0C5D86"/>
          <w:sz w:val="16"/>
        </w:rPr>
        <w:t>Risk</w:t>
      </w:r>
      <w:r>
        <w:rPr>
          <w:color w:val="0C5D86"/>
          <w:spacing w:val="-1"/>
          <w:sz w:val="16"/>
        </w:rPr>
        <w:t> </w:t>
      </w:r>
      <w:r>
        <w:rPr>
          <w:color w:val="0C5D86"/>
          <w:sz w:val="16"/>
        </w:rPr>
        <w:t>Factor</w:t>
      </w:r>
      <w:r>
        <w:rPr>
          <w:color w:val="0C5D86"/>
          <w:spacing w:val="-1"/>
          <w:sz w:val="16"/>
        </w:rPr>
        <w:t> </w:t>
      </w:r>
      <w:r>
        <w:rPr>
          <w:color w:val="0C5D86"/>
          <w:sz w:val="16"/>
        </w:rPr>
        <w:t>Surveillance</w:t>
      </w:r>
      <w:r>
        <w:rPr>
          <w:color w:val="0C5D86"/>
          <w:spacing w:val="-1"/>
          <w:sz w:val="16"/>
        </w:rPr>
        <w:t> </w:t>
      </w:r>
      <w:r>
        <w:rPr>
          <w:color w:val="0C5D86"/>
          <w:sz w:val="16"/>
        </w:rPr>
        <w:t>System,</w:t>
      </w:r>
      <w:r>
        <w:rPr>
          <w:color w:val="0C5D86"/>
          <w:spacing w:val="-1"/>
          <w:sz w:val="16"/>
        </w:rPr>
        <w:t> </w:t>
      </w:r>
      <w:r>
        <w:rPr>
          <w:color w:val="0C5D86"/>
          <w:sz w:val="16"/>
        </w:rPr>
        <w:t>Year</w:t>
      </w:r>
      <w:r>
        <w:rPr>
          <w:color w:val="0C5D86"/>
          <w:spacing w:val="-1"/>
          <w:sz w:val="16"/>
        </w:rPr>
        <w:t> </w:t>
      </w:r>
      <w:r>
        <w:rPr>
          <w:color w:val="0C5D86"/>
          <w:sz w:val="16"/>
        </w:rPr>
        <w:t>2016.</w:t>
      </w:r>
      <w:r>
        <w:rPr>
          <w:color w:val="0C5D86"/>
          <w:spacing w:val="-1"/>
          <w:sz w:val="16"/>
        </w:rPr>
        <w:t> </w:t>
      </w:r>
      <w:r>
        <w:rPr>
          <w:color w:val="0C5D86"/>
          <w:sz w:val="16"/>
        </w:rPr>
        <w:t>Analysis</w:t>
      </w:r>
      <w:r>
        <w:rPr>
          <w:color w:val="0C5D86"/>
          <w:spacing w:val="-1"/>
          <w:sz w:val="16"/>
        </w:rPr>
        <w:t> </w:t>
      </w:r>
      <w:r>
        <w:rPr>
          <w:color w:val="0C5D86"/>
          <w:sz w:val="16"/>
        </w:rPr>
        <w:t>Completed</w:t>
      </w:r>
      <w:r>
        <w:rPr>
          <w:color w:val="0C5D86"/>
          <w:spacing w:val="-1"/>
          <w:sz w:val="16"/>
        </w:rPr>
        <w:t> </w:t>
      </w:r>
      <w:r>
        <w:rPr>
          <w:color w:val="0C5D86"/>
          <w:sz w:val="16"/>
        </w:rPr>
        <w:t>by</w:t>
      </w:r>
      <w:r>
        <w:rPr>
          <w:color w:val="0C5D86"/>
          <w:spacing w:val="-1"/>
          <w:sz w:val="16"/>
        </w:rPr>
        <w:t> </w:t>
      </w:r>
      <w:r>
        <w:rPr>
          <w:color w:val="0C5D86"/>
          <w:sz w:val="16"/>
        </w:rPr>
        <w:t>Common</w:t>
      </w:r>
      <w:r>
        <w:rPr>
          <w:color w:val="0C5D86"/>
          <w:spacing w:val="-1"/>
          <w:sz w:val="16"/>
        </w:rPr>
        <w:t> </w:t>
      </w:r>
      <w:r>
        <w:rPr>
          <w:color w:val="0C5D86"/>
          <w:sz w:val="16"/>
        </w:rPr>
        <w:t>Ground</w:t>
      </w:r>
      <w:r>
        <w:rPr>
          <w:color w:val="0C5D86"/>
          <w:spacing w:val="-1"/>
          <w:sz w:val="16"/>
        </w:rPr>
        <w:t> </w:t>
      </w:r>
      <w:r>
        <w:rPr>
          <w:color w:val="0C5D86"/>
          <w:sz w:val="16"/>
        </w:rPr>
        <w:t>Health</w:t>
      </w:r>
    </w:p>
    <w:p>
      <w:pPr>
        <w:pStyle w:val="BodyText"/>
        <w:rPr>
          <w:sz w:val="16"/>
        </w:rPr>
      </w:pPr>
    </w:p>
    <w:p>
      <w:pPr>
        <w:pStyle w:val="BodyText"/>
        <w:rPr>
          <w:sz w:val="16"/>
        </w:rPr>
      </w:pPr>
    </w:p>
    <w:p>
      <w:pPr>
        <w:pStyle w:val="BodyText"/>
        <w:spacing w:before="88"/>
        <w:rPr>
          <w:sz w:val="16"/>
        </w:rPr>
      </w:pPr>
    </w:p>
    <w:p>
      <w:pPr>
        <w:pStyle w:val="BodyText"/>
        <w:spacing w:line="247" w:lineRule="auto"/>
        <w:ind w:left="1088" w:right="57"/>
      </w:pPr>
      <w:r>
        <w:rPr>
          <w:color w:val="105C84"/>
        </w:rPr>
        <w:t>Healthy</w:t>
      </w:r>
      <w:r>
        <w:rPr>
          <w:color w:val="105C84"/>
          <w:spacing w:val="29"/>
        </w:rPr>
        <w:t> </w:t>
      </w:r>
      <w:r>
        <w:rPr>
          <w:color w:val="105C84"/>
        </w:rPr>
        <w:t>eating</w:t>
      </w:r>
      <w:r>
        <w:rPr>
          <w:color w:val="105C84"/>
          <w:spacing w:val="29"/>
        </w:rPr>
        <w:t> </w:t>
      </w:r>
      <w:r>
        <w:rPr>
          <w:color w:val="105C84"/>
        </w:rPr>
        <w:t>habits</w:t>
      </w:r>
      <w:r>
        <w:rPr>
          <w:color w:val="105C84"/>
          <w:spacing w:val="29"/>
        </w:rPr>
        <w:t> </w:t>
      </w:r>
      <w:r>
        <w:rPr>
          <w:color w:val="105C84"/>
        </w:rPr>
        <w:t>are</w:t>
      </w:r>
      <w:r>
        <w:rPr>
          <w:color w:val="105C84"/>
          <w:spacing w:val="29"/>
        </w:rPr>
        <w:t> </w:t>
      </w:r>
      <w:r>
        <w:rPr>
          <w:color w:val="105C84"/>
        </w:rPr>
        <w:t>important</w:t>
      </w:r>
      <w:r>
        <w:rPr>
          <w:color w:val="105C84"/>
          <w:spacing w:val="29"/>
        </w:rPr>
        <w:t> </w:t>
      </w:r>
      <w:r>
        <w:rPr>
          <w:color w:val="105C84"/>
        </w:rPr>
        <w:t>when</w:t>
      </w:r>
      <w:r>
        <w:rPr>
          <w:color w:val="105C84"/>
          <w:spacing w:val="29"/>
        </w:rPr>
        <w:t> </w:t>
      </w:r>
      <w:r>
        <w:rPr>
          <w:color w:val="105C84"/>
        </w:rPr>
        <w:t>it</w:t>
      </w:r>
      <w:r>
        <w:rPr>
          <w:color w:val="105C84"/>
          <w:spacing w:val="29"/>
        </w:rPr>
        <w:t> </w:t>
      </w:r>
      <w:r>
        <w:rPr>
          <w:color w:val="105C84"/>
        </w:rPr>
        <w:t>comes</w:t>
      </w:r>
      <w:r>
        <w:rPr>
          <w:color w:val="105C84"/>
          <w:spacing w:val="29"/>
        </w:rPr>
        <w:t> </w:t>
      </w:r>
      <w:r>
        <w:rPr>
          <w:color w:val="105C84"/>
        </w:rPr>
        <w:t>to</w:t>
      </w:r>
      <w:r>
        <w:rPr>
          <w:color w:val="105C84"/>
          <w:spacing w:val="29"/>
        </w:rPr>
        <w:t> </w:t>
      </w:r>
      <w:r>
        <w:rPr>
          <w:color w:val="105C84"/>
        </w:rPr>
        <w:t>decreasing</w:t>
      </w:r>
      <w:r>
        <w:rPr>
          <w:color w:val="105C84"/>
          <w:spacing w:val="29"/>
        </w:rPr>
        <w:t> </w:t>
      </w:r>
      <w:r>
        <w:rPr>
          <w:color w:val="105C84"/>
        </w:rPr>
        <w:t>the</w:t>
      </w:r>
      <w:r>
        <w:rPr>
          <w:color w:val="105C84"/>
          <w:spacing w:val="29"/>
        </w:rPr>
        <w:t> </w:t>
      </w:r>
      <w:r>
        <w:rPr>
          <w:color w:val="105C84"/>
        </w:rPr>
        <w:t>burden</w:t>
      </w:r>
      <w:r>
        <w:rPr>
          <w:color w:val="105C84"/>
          <w:spacing w:val="29"/>
        </w:rPr>
        <w:t> </w:t>
      </w:r>
      <w:r>
        <w:rPr>
          <w:color w:val="105C84"/>
        </w:rPr>
        <w:t>of</w:t>
      </w:r>
      <w:r>
        <w:rPr>
          <w:color w:val="105C84"/>
          <w:spacing w:val="29"/>
        </w:rPr>
        <w:t> </w:t>
      </w:r>
      <w:r>
        <w:rPr>
          <w:color w:val="105C84"/>
        </w:rPr>
        <w:t>obesity</w:t>
      </w:r>
      <w:r>
        <w:rPr>
          <w:color w:val="105C84"/>
          <w:spacing w:val="29"/>
        </w:rPr>
        <w:t> </w:t>
      </w:r>
      <w:r>
        <w:rPr>
          <w:color w:val="105C84"/>
        </w:rPr>
        <w:t>in</w:t>
      </w:r>
      <w:r>
        <w:rPr>
          <w:color w:val="105C84"/>
          <w:spacing w:val="29"/>
        </w:rPr>
        <w:t> </w:t>
      </w:r>
      <w:r>
        <w:rPr>
          <w:color w:val="105C84"/>
        </w:rPr>
        <w:t>children and adults. According to </w:t>
      </w:r>
      <w:r>
        <w:rPr>
          <w:i/>
          <w:color w:val="105C84"/>
        </w:rPr>
        <w:t>My Health Story 2018 </w:t>
      </w:r>
      <w:r>
        <w:rPr>
          <w:color w:val="105C84"/>
        </w:rPr>
        <w:t>survey data, 9% of the region’s respondents reported the nearest grocery store is 20+ minutes away, where vehicles are needed to access them. Of</w:t>
      </w:r>
    </w:p>
    <w:p>
      <w:pPr>
        <w:pStyle w:val="BodyText"/>
        <w:spacing w:line="247" w:lineRule="auto"/>
        <w:ind w:left="1088" w:right="57"/>
      </w:pPr>
      <w:r>
        <w:rPr>
          <w:color w:val="105C84"/>
        </w:rPr>
        <w:t>note, the majority of residents (75%) indicated they usually get their fruits and vegetables from a supermarket or grocery store or local grocery store (47%). A substantial amount utilize local farm stands</w:t>
      </w:r>
      <w:r>
        <w:rPr>
          <w:color w:val="105C84"/>
          <w:spacing w:val="-2"/>
        </w:rPr>
        <w:t> </w:t>
      </w:r>
      <w:r>
        <w:rPr>
          <w:color w:val="105C84"/>
        </w:rPr>
        <w:t>(39%),</w:t>
      </w:r>
      <w:r>
        <w:rPr>
          <w:color w:val="105C84"/>
          <w:spacing w:val="-2"/>
        </w:rPr>
        <w:t> </w:t>
      </w:r>
      <w:r>
        <w:rPr>
          <w:color w:val="105C84"/>
        </w:rPr>
        <w:t>farmers</w:t>
      </w:r>
      <w:r>
        <w:rPr>
          <w:color w:val="105C84"/>
          <w:spacing w:val="-2"/>
        </w:rPr>
        <w:t> </w:t>
      </w:r>
      <w:r>
        <w:rPr>
          <w:color w:val="105C84"/>
        </w:rPr>
        <w:t>markets</w:t>
      </w:r>
      <w:r>
        <w:rPr>
          <w:color w:val="105C84"/>
          <w:spacing w:val="-2"/>
        </w:rPr>
        <w:t> </w:t>
      </w:r>
      <w:r>
        <w:rPr>
          <w:color w:val="105C84"/>
        </w:rPr>
        <w:t>(29%),</w:t>
      </w:r>
      <w:r>
        <w:rPr>
          <w:color w:val="105C84"/>
          <w:spacing w:val="-2"/>
        </w:rPr>
        <w:t> </w:t>
      </w:r>
      <w:r>
        <w:rPr>
          <w:color w:val="105C84"/>
        </w:rPr>
        <w:t>or</w:t>
      </w:r>
      <w:r>
        <w:rPr>
          <w:color w:val="105C84"/>
          <w:spacing w:val="-2"/>
        </w:rPr>
        <w:t> </w:t>
      </w:r>
      <w:r>
        <w:rPr>
          <w:color w:val="105C84"/>
        </w:rPr>
        <w:t>grow</w:t>
      </w:r>
      <w:r>
        <w:rPr>
          <w:color w:val="105C84"/>
          <w:spacing w:val="-2"/>
        </w:rPr>
        <w:t> </w:t>
      </w:r>
      <w:r>
        <w:rPr>
          <w:color w:val="105C84"/>
        </w:rPr>
        <w:t>their</w:t>
      </w:r>
      <w:r>
        <w:rPr>
          <w:color w:val="105C84"/>
          <w:spacing w:val="-2"/>
        </w:rPr>
        <w:t> </w:t>
      </w:r>
      <w:r>
        <w:rPr>
          <w:color w:val="105C84"/>
        </w:rPr>
        <w:t>own</w:t>
      </w:r>
      <w:r>
        <w:rPr>
          <w:color w:val="105C84"/>
          <w:spacing w:val="-2"/>
        </w:rPr>
        <w:t> </w:t>
      </w:r>
      <w:r>
        <w:rPr>
          <w:color w:val="105C84"/>
        </w:rPr>
        <w:t>in</w:t>
      </w:r>
      <w:r>
        <w:rPr>
          <w:color w:val="105C84"/>
          <w:spacing w:val="-2"/>
        </w:rPr>
        <w:t> </w:t>
      </w:r>
      <w:r>
        <w:rPr>
          <w:color w:val="105C84"/>
        </w:rPr>
        <w:t>their</w:t>
      </w:r>
      <w:r>
        <w:rPr>
          <w:color w:val="105C84"/>
          <w:spacing w:val="-2"/>
        </w:rPr>
        <w:t> </w:t>
      </w:r>
      <w:r>
        <w:rPr>
          <w:color w:val="105C84"/>
        </w:rPr>
        <w:t>garden</w:t>
      </w:r>
      <w:r>
        <w:rPr>
          <w:color w:val="105C84"/>
          <w:spacing w:val="-2"/>
        </w:rPr>
        <w:t> </w:t>
      </w:r>
      <w:r>
        <w:rPr>
          <w:color w:val="105C84"/>
        </w:rPr>
        <w:t>(22%),</w:t>
      </w:r>
      <w:r>
        <w:rPr>
          <w:color w:val="105C84"/>
          <w:spacing w:val="-2"/>
        </w:rPr>
        <w:t> </w:t>
      </w:r>
      <w:r>
        <w:rPr>
          <w:color w:val="105C84"/>
        </w:rPr>
        <w:t>with</w:t>
      </w:r>
      <w:r>
        <w:rPr>
          <w:color w:val="105C84"/>
          <w:spacing w:val="-2"/>
        </w:rPr>
        <w:t> </w:t>
      </w:r>
      <w:r>
        <w:rPr>
          <w:color w:val="105C84"/>
        </w:rPr>
        <w:t>estimates</w:t>
      </w:r>
      <w:r>
        <w:rPr>
          <w:color w:val="105C84"/>
          <w:spacing w:val="-2"/>
        </w:rPr>
        <w:t> </w:t>
      </w:r>
      <w:r>
        <w:rPr>
          <w:color w:val="105C84"/>
        </w:rPr>
        <w:t>higher</w:t>
      </w:r>
      <w:r>
        <w:rPr>
          <w:color w:val="105C84"/>
          <w:spacing w:val="-2"/>
        </w:rPr>
        <w:t> </w:t>
      </w:r>
      <w:r>
        <w:rPr>
          <w:color w:val="105C84"/>
        </w:rPr>
        <w:t>in Schuyler, Seneca, Wayne and Yates Counties.</w:t>
      </w:r>
    </w:p>
    <w:p>
      <w:pPr>
        <w:pStyle w:val="BodyText"/>
        <w:spacing w:line="247" w:lineRule="auto" w:before="176"/>
        <w:ind w:left="1088" w:right="57"/>
      </w:pPr>
      <w:r>
        <w:rPr>
          <w:i/>
          <w:color w:val="105C84"/>
        </w:rPr>
        <w:t>My Health Story 2018 </w:t>
      </w:r>
      <w:r>
        <w:rPr>
          <w:color w:val="105C84"/>
        </w:rPr>
        <w:t>respondents were also asked the biggest challenges or barriers keeping them from eating healthier. Table 7 reveals barriers reported by residents. The biggest barrier to eating healthier, particularly for those with low income, is that healthy food is too expensive. Other issues which</w:t>
      </w:r>
      <w:r>
        <w:rPr>
          <w:color w:val="105C84"/>
          <w:spacing w:val="19"/>
        </w:rPr>
        <w:t> </w:t>
      </w:r>
      <w:r>
        <w:rPr>
          <w:color w:val="105C84"/>
        </w:rPr>
        <w:t>rose</w:t>
      </w:r>
      <w:r>
        <w:rPr>
          <w:color w:val="105C84"/>
          <w:spacing w:val="19"/>
        </w:rPr>
        <w:t> </w:t>
      </w:r>
      <w:r>
        <w:rPr>
          <w:color w:val="105C84"/>
        </w:rPr>
        <w:t>to</w:t>
      </w:r>
      <w:r>
        <w:rPr>
          <w:color w:val="105C84"/>
          <w:spacing w:val="19"/>
        </w:rPr>
        <w:t> </w:t>
      </w:r>
      <w:r>
        <w:rPr>
          <w:color w:val="105C84"/>
        </w:rPr>
        <w:t>the</w:t>
      </w:r>
      <w:r>
        <w:rPr>
          <w:color w:val="105C84"/>
          <w:spacing w:val="19"/>
        </w:rPr>
        <w:t> </w:t>
      </w:r>
      <w:r>
        <w:rPr>
          <w:color w:val="105C84"/>
        </w:rPr>
        <w:t>top</w:t>
      </w:r>
      <w:r>
        <w:rPr>
          <w:color w:val="105C84"/>
          <w:spacing w:val="19"/>
        </w:rPr>
        <w:t> </w:t>
      </w:r>
      <w:r>
        <w:rPr>
          <w:color w:val="105C84"/>
        </w:rPr>
        <w:t>were</w:t>
      </w:r>
      <w:r>
        <w:rPr>
          <w:color w:val="105C84"/>
          <w:spacing w:val="19"/>
        </w:rPr>
        <w:t> </w:t>
      </w:r>
      <w:r>
        <w:rPr>
          <w:color w:val="105C84"/>
        </w:rPr>
        <w:t>not</w:t>
      </w:r>
      <w:r>
        <w:rPr>
          <w:color w:val="105C84"/>
          <w:spacing w:val="19"/>
        </w:rPr>
        <w:t> </w:t>
      </w:r>
      <w:r>
        <w:rPr>
          <w:color w:val="105C84"/>
        </w:rPr>
        <w:t>enough</w:t>
      </w:r>
      <w:r>
        <w:rPr>
          <w:color w:val="105C84"/>
          <w:spacing w:val="19"/>
        </w:rPr>
        <w:t> </w:t>
      </w:r>
      <w:r>
        <w:rPr>
          <w:color w:val="105C84"/>
        </w:rPr>
        <w:t>time</w:t>
      </w:r>
      <w:r>
        <w:rPr>
          <w:color w:val="105C84"/>
          <w:spacing w:val="19"/>
        </w:rPr>
        <w:t> </w:t>
      </w:r>
      <w:r>
        <w:rPr>
          <w:color w:val="105C84"/>
        </w:rPr>
        <w:t>and</w:t>
      </w:r>
      <w:r>
        <w:rPr>
          <w:color w:val="105C84"/>
          <w:spacing w:val="19"/>
        </w:rPr>
        <w:t> </w:t>
      </w:r>
      <w:r>
        <w:rPr>
          <w:color w:val="105C84"/>
        </w:rPr>
        <w:t>lack</w:t>
      </w:r>
      <w:r>
        <w:rPr>
          <w:color w:val="105C84"/>
          <w:spacing w:val="19"/>
        </w:rPr>
        <w:t> </w:t>
      </w:r>
      <w:r>
        <w:rPr>
          <w:color w:val="105C84"/>
        </w:rPr>
        <w:t>of</w:t>
      </w:r>
      <w:r>
        <w:rPr>
          <w:color w:val="105C84"/>
          <w:spacing w:val="19"/>
        </w:rPr>
        <w:t> </w:t>
      </w:r>
      <w:r>
        <w:rPr>
          <w:color w:val="105C84"/>
        </w:rPr>
        <w:t>knowledge</w:t>
      </w:r>
      <w:r>
        <w:rPr>
          <w:color w:val="105C84"/>
          <w:spacing w:val="19"/>
        </w:rPr>
        <w:t> </w:t>
      </w:r>
      <w:r>
        <w:rPr>
          <w:color w:val="105C84"/>
        </w:rPr>
        <w:t>of</w:t>
      </w:r>
      <w:r>
        <w:rPr>
          <w:color w:val="105C84"/>
          <w:spacing w:val="19"/>
        </w:rPr>
        <w:t> </w:t>
      </w:r>
      <w:r>
        <w:rPr>
          <w:color w:val="105C84"/>
        </w:rPr>
        <w:t>how</w:t>
      </w:r>
      <w:r>
        <w:rPr>
          <w:color w:val="105C84"/>
          <w:spacing w:val="19"/>
        </w:rPr>
        <w:t> </w:t>
      </w:r>
      <w:r>
        <w:rPr>
          <w:color w:val="105C84"/>
        </w:rPr>
        <w:t>to</w:t>
      </w:r>
      <w:r>
        <w:rPr>
          <w:color w:val="105C84"/>
          <w:spacing w:val="19"/>
        </w:rPr>
        <w:t> </w:t>
      </w:r>
      <w:r>
        <w:rPr>
          <w:color w:val="105C84"/>
        </w:rPr>
        <w:t>shop</w:t>
      </w:r>
      <w:r>
        <w:rPr>
          <w:color w:val="105C84"/>
          <w:spacing w:val="19"/>
        </w:rPr>
        <w:t> </w:t>
      </w:r>
      <w:r>
        <w:rPr>
          <w:color w:val="105C84"/>
        </w:rPr>
        <w:t>for</w:t>
      </w:r>
      <w:r>
        <w:rPr>
          <w:color w:val="105C84"/>
          <w:spacing w:val="19"/>
        </w:rPr>
        <w:t> </w:t>
      </w:r>
      <w:r>
        <w:rPr>
          <w:color w:val="105C84"/>
        </w:rPr>
        <w:t>and</w:t>
      </w:r>
      <w:r>
        <w:rPr>
          <w:color w:val="105C84"/>
          <w:spacing w:val="19"/>
        </w:rPr>
        <w:t> </w:t>
      </w:r>
      <w:r>
        <w:rPr>
          <w:color w:val="105C84"/>
        </w:rPr>
        <w:t>prepare the food.</w:t>
      </w:r>
    </w:p>
    <w:p>
      <w:pPr>
        <w:pStyle w:val="Heading6"/>
        <w:spacing w:before="116"/>
        <w:ind w:left="1088"/>
      </w:pPr>
      <w:r>
        <w:rPr>
          <w:b w:val="0"/>
        </w:rPr>
        <w:br w:type="column"/>
      </w:r>
      <w:r>
        <w:rPr>
          <w:color w:val="105C84"/>
          <w:spacing w:val="-4"/>
        </w:rPr>
        <w:t>TABLE</w:t>
      </w:r>
      <w:r>
        <w:rPr>
          <w:color w:val="105C84"/>
          <w:spacing w:val="-14"/>
        </w:rPr>
        <w:t> </w:t>
      </w:r>
      <w:r>
        <w:rPr>
          <w:color w:val="105C84"/>
          <w:spacing w:val="-4"/>
        </w:rPr>
        <w:t>7:</w:t>
      </w:r>
      <w:r>
        <w:rPr>
          <w:color w:val="105C84"/>
          <w:spacing w:val="-14"/>
        </w:rPr>
        <w:t> </w:t>
      </w:r>
      <w:r>
        <w:rPr>
          <w:color w:val="105C84"/>
          <w:spacing w:val="-4"/>
        </w:rPr>
        <w:t>Barriers</w:t>
      </w:r>
      <w:r>
        <w:rPr>
          <w:color w:val="105C84"/>
          <w:spacing w:val="-13"/>
        </w:rPr>
        <w:t> </w:t>
      </w:r>
      <w:r>
        <w:rPr>
          <w:color w:val="105C84"/>
          <w:spacing w:val="-4"/>
        </w:rPr>
        <w:t>to</w:t>
      </w:r>
      <w:r>
        <w:rPr>
          <w:color w:val="105C84"/>
          <w:spacing w:val="-14"/>
        </w:rPr>
        <w:t> </w:t>
      </w:r>
      <w:r>
        <w:rPr>
          <w:color w:val="105C84"/>
          <w:spacing w:val="-4"/>
        </w:rPr>
        <w:t>eating</w:t>
      </w:r>
      <w:r>
        <w:rPr>
          <w:color w:val="105C84"/>
          <w:spacing w:val="-13"/>
        </w:rPr>
        <w:t> </w:t>
      </w:r>
      <w:r>
        <w:rPr>
          <w:color w:val="105C84"/>
          <w:spacing w:val="-4"/>
        </w:rPr>
        <w:t>healthy</w:t>
      </w:r>
    </w:p>
    <w:p>
      <w:pPr>
        <w:pStyle w:val="BodyText"/>
        <w:spacing w:before="95"/>
        <w:rPr>
          <w:b/>
          <w:sz w:val="20"/>
        </w:rPr>
      </w:pPr>
    </w:p>
    <w:tbl>
      <w:tblPr>
        <w:tblW w:w="0" w:type="auto"/>
        <w:jc w:val="left"/>
        <w:tblInd w:w="1093"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top w:w="0" w:type="dxa"/>
          <w:left w:w="0" w:type="dxa"/>
          <w:bottom w:w="0" w:type="dxa"/>
          <w:right w:w="0" w:type="dxa"/>
        </w:tblCellMar>
        <w:tblLook w:val="01E0"/>
      </w:tblPr>
      <w:tblGrid>
        <w:gridCol w:w="4116"/>
        <w:gridCol w:w="1354"/>
        <w:gridCol w:w="1238"/>
        <w:gridCol w:w="1238"/>
        <w:gridCol w:w="1238"/>
        <w:gridCol w:w="1065"/>
      </w:tblGrid>
      <w:tr>
        <w:trPr>
          <w:trHeight w:val="453" w:hRule="atLeast"/>
        </w:trPr>
        <w:tc>
          <w:tcPr>
            <w:tcW w:w="4116" w:type="dxa"/>
            <w:vMerge w:val="restart"/>
            <w:tcBorders>
              <w:bottom w:val="single" w:sz="8" w:space="0" w:color="939598"/>
              <w:right w:val="single" w:sz="8" w:space="0" w:color="939598"/>
            </w:tcBorders>
          </w:tcPr>
          <w:p>
            <w:pPr>
              <w:pStyle w:val="TableParagraph"/>
              <w:rPr>
                <w:rFonts w:ascii="Times New Roman"/>
                <w:sz w:val="20"/>
              </w:rPr>
            </w:pPr>
          </w:p>
        </w:tc>
        <w:tc>
          <w:tcPr>
            <w:tcW w:w="6133" w:type="dxa"/>
            <w:gridSpan w:val="5"/>
            <w:tcBorders>
              <w:left w:val="single" w:sz="8" w:space="0" w:color="939598"/>
              <w:bottom w:val="nil"/>
            </w:tcBorders>
            <w:shd w:val="clear" w:color="auto" w:fill="00A79E"/>
          </w:tcPr>
          <w:p>
            <w:pPr>
              <w:pStyle w:val="TableParagraph"/>
              <w:spacing w:before="124"/>
              <w:ind w:right="1"/>
              <w:jc w:val="center"/>
              <w:rPr>
                <w:b/>
                <w:sz w:val="20"/>
              </w:rPr>
            </w:pPr>
            <w:r>
              <w:rPr>
                <w:b/>
                <w:color w:val="FFFFFF"/>
                <w:sz w:val="20"/>
              </w:rPr>
              <w:t>8</w:t>
            </w:r>
            <w:r>
              <w:rPr>
                <w:b/>
                <w:color w:val="FFFFFF"/>
                <w:spacing w:val="15"/>
                <w:sz w:val="20"/>
              </w:rPr>
              <w:t> </w:t>
            </w:r>
            <w:r>
              <w:rPr>
                <w:b/>
                <w:color w:val="FFFFFF"/>
                <w:sz w:val="20"/>
              </w:rPr>
              <w:t>COUNTY</w:t>
            </w:r>
            <w:r>
              <w:rPr>
                <w:b/>
                <w:color w:val="FFFFFF"/>
                <w:spacing w:val="15"/>
                <w:sz w:val="20"/>
              </w:rPr>
              <w:t> </w:t>
            </w:r>
            <w:r>
              <w:rPr>
                <w:b/>
                <w:color w:val="FFFFFF"/>
                <w:spacing w:val="-2"/>
                <w:sz w:val="20"/>
              </w:rPr>
              <w:t>REGION</w:t>
            </w:r>
          </w:p>
        </w:tc>
      </w:tr>
      <w:tr>
        <w:trPr>
          <w:trHeight w:val="671" w:hRule="atLeast"/>
        </w:trPr>
        <w:tc>
          <w:tcPr>
            <w:tcW w:w="4116" w:type="dxa"/>
            <w:vMerge/>
            <w:tcBorders>
              <w:top w:val="nil"/>
              <w:bottom w:val="single" w:sz="8" w:space="0" w:color="939598"/>
              <w:right w:val="single" w:sz="8" w:space="0" w:color="939598"/>
            </w:tcBorders>
          </w:tcPr>
          <w:p>
            <w:pPr>
              <w:rPr>
                <w:sz w:val="2"/>
                <w:szCs w:val="2"/>
              </w:rPr>
            </w:pPr>
          </w:p>
        </w:tc>
        <w:tc>
          <w:tcPr>
            <w:tcW w:w="6133" w:type="dxa"/>
            <w:gridSpan w:val="5"/>
            <w:tcBorders>
              <w:top w:val="nil"/>
              <w:left w:val="single" w:sz="8" w:space="0" w:color="939598"/>
              <w:bottom w:val="single" w:sz="8" w:space="0" w:color="939598"/>
            </w:tcBorders>
            <w:shd w:val="clear" w:color="auto" w:fill="82BF6A"/>
          </w:tcPr>
          <w:p>
            <w:pPr>
              <w:pStyle w:val="TableParagraph"/>
              <w:tabs>
                <w:tab w:pos="1472" w:val="left" w:leader="none"/>
                <w:tab w:pos="1546" w:val="left" w:leader="none"/>
                <w:tab w:pos="2710" w:val="left" w:leader="none"/>
                <w:tab w:pos="2784" w:val="left" w:leader="none"/>
                <w:tab w:pos="3948" w:val="left" w:leader="none"/>
                <w:tab w:pos="4108" w:val="left" w:leader="none"/>
                <w:tab w:pos="5227" w:val="left" w:leader="none"/>
              </w:tabs>
              <w:spacing w:line="151" w:lineRule="auto" w:before="119"/>
              <w:ind w:left="82" w:right="159" w:firstLine="94"/>
              <w:rPr>
                <w:position w:val="-1"/>
                <w:sz w:val="22"/>
              </w:rPr>
            </w:pPr>
            <w:r>
              <w:rPr>
                <w:color w:val="FFFFFF"/>
                <w:position w:val="-1"/>
                <w:sz w:val="22"/>
              </w:rPr>
              <w:t>8 County:</w:t>
              <w:tab/>
            </w:r>
            <w:r>
              <w:rPr>
                <w:color w:val="FFFFFF"/>
                <w:sz w:val="22"/>
              </w:rPr>
              <w:t>8 County:</w:t>
              <w:tab/>
            </w:r>
            <w:r>
              <w:rPr>
                <w:color w:val="FFFFFF"/>
                <w:position w:val="-1"/>
                <w:sz w:val="22"/>
              </w:rPr>
              <w:t>8 County:</w:t>
              <w:tab/>
            </w:r>
            <w:r>
              <w:rPr>
                <w:color w:val="FFFFFF"/>
                <w:sz w:val="22"/>
              </w:rPr>
              <w:t>8 County:</w:t>
              <w:tab/>
            </w:r>
            <w:r>
              <w:rPr>
                <w:color w:val="FFFFFF"/>
                <w:spacing w:val="-2"/>
                <w:position w:val="-12"/>
                <w:sz w:val="22"/>
              </w:rPr>
              <w:t>Overal</w:t>
            </w:r>
            <w:r>
              <w:rPr>
                <w:color w:val="FFFFFF"/>
                <w:spacing w:val="-2"/>
                <w:position w:val="-12"/>
                <w:sz w:val="22"/>
              </w:rPr>
              <w:t>l</w:t>
            </w:r>
            <w:r>
              <w:rPr>
                <w:color w:val="FFFFFF"/>
                <w:spacing w:val="-2"/>
                <w:position w:val="-12"/>
                <w:sz w:val="22"/>
              </w:rPr>
              <w:t> </w:t>
            </w:r>
            <w:r>
              <w:rPr>
                <w:color w:val="FFFFFF"/>
                <w:sz w:val="22"/>
              </w:rPr>
              <w:t>under $25K</w:t>
              <w:tab/>
              <w:tab/>
            </w:r>
            <w:r>
              <w:rPr>
                <w:color w:val="FFFFFF"/>
                <w:spacing w:val="-2"/>
                <w:position w:val="-1"/>
                <w:sz w:val="22"/>
              </w:rPr>
              <w:t>$25-50K</w:t>
            </w:r>
            <w:r>
              <w:rPr>
                <w:color w:val="FFFFFF"/>
                <w:position w:val="-1"/>
                <w:sz w:val="22"/>
              </w:rPr>
              <w:tab/>
              <w:tab/>
            </w:r>
            <w:r>
              <w:rPr>
                <w:color w:val="FFFFFF"/>
                <w:spacing w:val="-2"/>
                <w:sz w:val="22"/>
              </w:rPr>
              <w:t>$50-75K</w:t>
            </w:r>
            <w:r>
              <w:rPr>
                <w:color w:val="FFFFFF"/>
                <w:sz w:val="22"/>
              </w:rPr>
              <w:tab/>
              <w:tab/>
            </w:r>
            <w:r>
              <w:rPr>
                <w:color w:val="FFFFFF"/>
                <w:spacing w:val="-2"/>
                <w:position w:val="-1"/>
                <w:sz w:val="22"/>
              </w:rPr>
              <w:t>$75K+</w:t>
            </w:r>
          </w:p>
        </w:tc>
      </w:tr>
      <w:tr>
        <w:trPr>
          <w:trHeight w:val="419" w:hRule="atLeast"/>
        </w:trPr>
        <w:tc>
          <w:tcPr>
            <w:tcW w:w="4116" w:type="dxa"/>
            <w:tcBorders>
              <w:top w:val="single" w:sz="8" w:space="0" w:color="939598"/>
              <w:right w:val="single" w:sz="8" w:space="0" w:color="939598"/>
            </w:tcBorders>
          </w:tcPr>
          <w:p>
            <w:pPr>
              <w:pStyle w:val="TableParagraph"/>
              <w:spacing w:before="100"/>
              <w:ind w:left="90"/>
              <w:rPr>
                <w:b/>
                <w:sz w:val="20"/>
              </w:rPr>
            </w:pPr>
            <w:r>
              <w:rPr>
                <w:b/>
                <w:color w:val="105C84"/>
                <w:sz w:val="20"/>
              </w:rPr>
              <w:t>Buying</w:t>
            </w:r>
            <w:r>
              <w:rPr>
                <w:b/>
                <w:color w:val="105C84"/>
                <w:spacing w:val="-1"/>
                <w:sz w:val="20"/>
              </w:rPr>
              <w:t> </w:t>
            </w:r>
            <w:r>
              <w:rPr>
                <w:b/>
                <w:color w:val="105C84"/>
                <w:sz w:val="20"/>
              </w:rPr>
              <w:t>healthy food</w:t>
            </w:r>
            <w:r>
              <w:rPr>
                <w:b/>
                <w:color w:val="105C84"/>
                <w:spacing w:val="-1"/>
                <w:sz w:val="20"/>
              </w:rPr>
              <w:t> </w:t>
            </w:r>
            <w:r>
              <w:rPr>
                <w:b/>
                <w:color w:val="105C84"/>
                <w:sz w:val="20"/>
              </w:rPr>
              <w:t>is too</w:t>
            </w:r>
            <w:r>
              <w:rPr>
                <w:b/>
                <w:color w:val="105C84"/>
                <w:spacing w:val="-1"/>
                <w:sz w:val="20"/>
              </w:rPr>
              <w:t> </w:t>
            </w:r>
            <w:r>
              <w:rPr>
                <w:b/>
                <w:color w:val="105C84"/>
                <w:spacing w:val="-2"/>
                <w:sz w:val="20"/>
              </w:rPr>
              <w:t>expensive</w:t>
            </w:r>
          </w:p>
        </w:tc>
        <w:tc>
          <w:tcPr>
            <w:tcW w:w="1354" w:type="dxa"/>
            <w:tcBorders>
              <w:top w:val="single" w:sz="8" w:space="0" w:color="939598"/>
              <w:left w:val="single" w:sz="8" w:space="0" w:color="939598"/>
            </w:tcBorders>
          </w:tcPr>
          <w:p>
            <w:pPr>
              <w:pStyle w:val="TableParagraph"/>
              <w:spacing w:before="100"/>
              <w:ind w:left="1" w:right="2"/>
              <w:jc w:val="center"/>
              <w:rPr>
                <w:sz w:val="20"/>
              </w:rPr>
            </w:pPr>
            <w:r>
              <w:rPr>
                <w:color w:val="105C84"/>
                <w:spacing w:val="-5"/>
                <w:sz w:val="20"/>
              </w:rPr>
              <w:t>57%</w:t>
            </w:r>
          </w:p>
        </w:tc>
        <w:tc>
          <w:tcPr>
            <w:tcW w:w="1238" w:type="dxa"/>
            <w:tcBorders>
              <w:top w:val="single" w:sz="8" w:space="0" w:color="939598"/>
            </w:tcBorders>
          </w:tcPr>
          <w:p>
            <w:pPr>
              <w:pStyle w:val="TableParagraph"/>
              <w:spacing w:before="100"/>
              <w:ind w:left="6"/>
              <w:jc w:val="center"/>
              <w:rPr>
                <w:sz w:val="20"/>
              </w:rPr>
            </w:pPr>
            <w:r>
              <w:rPr>
                <w:color w:val="105C84"/>
                <w:spacing w:val="-5"/>
                <w:sz w:val="20"/>
              </w:rPr>
              <w:t>50%</w:t>
            </w:r>
          </w:p>
        </w:tc>
        <w:tc>
          <w:tcPr>
            <w:tcW w:w="1238" w:type="dxa"/>
            <w:tcBorders>
              <w:top w:val="single" w:sz="8" w:space="0" w:color="939598"/>
            </w:tcBorders>
          </w:tcPr>
          <w:p>
            <w:pPr>
              <w:pStyle w:val="TableParagraph"/>
              <w:spacing w:before="100"/>
              <w:ind w:left="6" w:right="1"/>
              <w:jc w:val="center"/>
              <w:rPr>
                <w:sz w:val="20"/>
              </w:rPr>
            </w:pPr>
            <w:r>
              <w:rPr>
                <w:color w:val="105C84"/>
                <w:spacing w:val="-5"/>
                <w:sz w:val="20"/>
              </w:rPr>
              <w:t>43%</w:t>
            </w:r>
          </w:p>
        </w:tc>
        <w:tc>
          <w:tcPr>
            <w:tcW w:w="1238" w:type="dxa"/>
            <w:tcBorders>
              <w:top w:val="single" w:sz="8" w:space="0" w:color="939598"/>
            </w:tcBorders>
          </w:tcPr>
          <w:p>
            <w:pPr>
              <w:pStyle w:val="TableParagraph"/>
              <w:spacing w:before="100"/>
              <w:ind w:left="6" w:right="1"/>
              <w:jc w:val="center"/>
              <w:rPr>
                <w:sz w:val="20"/>
              </w:rPr>
            </w:pPr>
            <w:r>
              <w:rPr>
                <w:color w:val="105C84"/>
                <w:spacing w:val="-5"/>
                <w:sz w:val="20"/>
              </w:rPr>
              <w:t>24%</w:t>
            </w:r>
          </w:p>
        </w:tc>
        <w:tc>
          <w:tcPr>
            <w:tcW w:w="1065" w:type="dxa"/>
            <w:tcBorders>
              <w:top w:val="single" w:sz="8" w:space="0" w:color="939598"/>
            </w:tcBorders>
          </w:tcPr>
          <w:p>
            <w:pPr>
              <w:pStyle w:val="TableParagraph"/>
              <w:spacing w:before="100"/>
              <w:ind w:left="5" w:right="1"/>
              <w:jc w:val="center"/>
              <w:rPr>
                <w:sz w:val="20"/>
              </w:rPr>
            </w:pPr>
            <w:r>
              <w:rPr>
                <w:color w:val="105C84"/>
                <w:spacing w:val="-5"/>
                <w:sz w:val="20"/>
              </w:rPr>
              <w:t>42%</w:t>
            </w:r>
          </w:p>
        </w:tc>
      </w:tr>
      <w:tr>
        <w:trPr>
          <w:trHeight w:val="331" w:hRule="atLeast"/>
        </w:trPr>
        <w:tc>
          <w:tcPr>
            <w:tcW w:w="4116" w:type="dxa"/>
            <w:tcBorders>
              <w:right w:val="single" w:sz="8" w:space="0" w:color="939598"/>
            </w:tcBorders>
            <w:shd w:val="clear" w:color="auto" w:fill="E9E9EA"/>
          </w:tcPr>
          <w:p>
            <w:pPr>
              <w:pStyle w:val="TableParagraph"/>
              <w:spacing w:before="59"/>
              <w:ind w:left="89"/>
              <w:rPr>
                <w:b/>
                <w:sz w:val="20"/>
              </w:rPr>
            </w:pPr>
            <w:r>
              <w:rPr>
                <w:b/>
                <w:color w:val="105C84"/>
                <w:sz w:val="20"/>
              </w:rPr>
              <w:t>I</w:t>
            </w:r>
            <w:r>
              <w:rPr>
                <w:b/>
                <w:color w:val="105C84"/>
                <w:spacing w:val="9"/>
                <w:sz w:val="20"/>
              </w:rPr>
              <w:t> </w:t>
            </w:r>
            <w:r>
              <w:rPr>
                <w:b/>
                <w:color w:val="105C84"/>
                <w:sz w:val="20"/>
              </w:rPr>
              <w:t>don’t</w:t>
            </w:r>
            <w:r>
              <w:rPr>
                <w:b/>
                <w:color w:val="105C84"/>
                <w:spacing w:val="9"/>
                <w:sz w:val="20"/>
              </w:rPr>
              <w:t> </w:t>
            </w:r>
            <w:r>
              <w:rPr>
                <w:b/>
                <w:color w:val="105C84"/>
                <w:sz w:val="20"/>
              </w:rPr>
              <w:t>enjoy</w:t>
            </w:r>
            <w:r>
              <w:rPr>
                <w:b/>
                <w:color w:val="105C84"/>
                <w:spacing w:val="9"/>
                <w:sz w:val="20"/>
              </w:rPr>
              <w:t> </w:t>
            </w:r>
            <w:r>
              <w:rPr>
                <w:b/>
                <w:color w:val="105C84"/>
                <w:sz w:val="20"/>
              </w:rPr>
              <w:t>the</w:t>
            </w:r>
            <w:r>
              <w:rPr>
                <w:b/>
                <w:color w:val="105C84"/>
                <w:spacing w:val="9"/>
                <w:sz w:val="20"/>
              </w:rPr>
              <w:t> </w:t>
            </w:r>
            <w:r>
              <w:rPr>
                <w:b/>
                <w:color w:val="105C84"/>
                <w:sz w:val="20"/>
              </w:rPr>
              <w:t>taste</w:t>
            </w:r>
            <w:r>
              <w:rPr>
                <w:b/>
                <w:color w:val="105C84"/>
                <w:spacing w:val="9"/>
                <w:sz w:val="20"/>
              </w:rPr>
              <w:t> </w:t>
            </w:r>
            <w:r>
              <w:rPr>
                <w:b/>
                <w:color w:val="105C84"/>
                <w:sz w:val="20"/>
              </w:rPr>
              <w:t>of</w:t>
            </w:r>
            <w:r>
              <w:rPr>
                <w:b/>
                <w:color w:val="105C84"/>
                <w:spacing w:val="9"/>
                <w:sz w:val="20"/>
              </w:rPr>
              <w:t> </w:t>
            </w:r>
            <w:r>
              <w:rPr>
                <w:b/>
                <w:color w:val="105C84"/>
                <w:sz w:val="20"/>
              </w:rPr>
              <w:t>healthy</w:t>
            </w:r>
            <w:r>
              <w:rPr>
                <w:b/>
                <w:color w:val="105C84"/>
                <w:spacing w:val="9"/>
                <w:sz w:val="20"/>
              </w:rPr>
              <w:t> </w:t>
            </w:r>
            <w:r>
              <w:rPr>
                <w:b/>
                <w:color w:val="105C84"/>
                <w:spacing w:val="-4"/>
                <w:sz w:val="20"/>
              </w:rPr>
              <w:t>food</w:t>
            </w:r>
          </w:p>
        </w:tc>
        <w:tc>
          <w:tcPr>
            <w:tcW w:w="1354" w:type="dxa"/>
            <w:tcBorders>
              <w:left w:val="single" w:sz="8" w:space="0" w:color="939598"/>
            </w:tcBorders>
            <w:shd w:val="clear" w:color="auto" w:fill="E9E9EA"/>
          </w:tcPr>
          <w:p>
            <w:pPr>
              <w:pStyle w:val="TableParagraph"/>
              <w:spacing w:before="59"/>
              <w:ind w:left="1" w:right="2"/>
              <w:jc w:val="center"/>
              <w:rPr>
                <w:sz w:val="20"/>
              </w:rPr>
            </w:pPr>
            <w:r>
              <w:rPr>
                <w:color w:val="105C84"/>
                <w:spacing w:val="-5"/>
                <w:sz w:val="20"/>
              </w:rPr>
              <w:t>3%</w:t>
            </w:r>
          </w:p>
        </w:tc>
        <w:tc>
          <w:tcPr>
            <w:tcW w:w="1238" w:type="dxa"/>
            <w:shd w:val="clear" w:color="auto" w:fill="E9E9EA"/>
          </w:tcPr>
          <w:p>
            <w:pPr>
              <w:pStyle w:val="TableParagraph"/>
              <w:spacing w:before="59"/>
              <w:ind w:left="6" w:right="1"/>
              <w:jc w:val="center"/>
              <w:rPr>
                <w:sz w:val="20"/>
              </w:rPr>
            </w:pPr>
            <w:r>
              <w:rPr>
                <w:color w:val="105C84"/>
                <w:spacing w:val="-5"/>
                <w:sz w:val="20"/>
              </w:rPr>
              <w:t>6%</w:t>
            </w:r>
          </w:p>
        </w:tc>
        <w:tc>
          <w:tcPr>
            <w:tcW w:w="1238" w:type="dxa"/>
            <w:shd w:val="clear" w:color="auto" w:fill="E9E9EA"/>
          </w:tcPr>
          <w:p>
            <w:pPr>
              <w:pStyle w:val="TableParagraph"/>
              <w:spacing w:before="59"/>
              <w:ind w:left="6" w:right="1"/>
              <w:jc w:val="center"/>
              <w:rPr>
                <w:sz w:val="20"/>
              </w:rPr>
            </w:pPr>
            <w:r>
              <w:rPr>
                <w:color w:val="105C84"/>
                <w:spacing w:val="-5"/>
                <w:sz w:val="20"/>
              </w:rPr>
              <w:t>11%</w:t>
            </w:r>
          </w:p>
        </w:tc>
        <w:tc>
          <w:tcPr>
            <w:tcW w:w="1238" w:type="dxa"/>
            <w:shd w:val="clear" w:color="auto" w:fill="E9E9EA"/>
          </w:tcPr>
          <w:p>
            <w:pPr>
              <w:pStyle w:val="TableParagraph"/>
              <w:spacing w:before="59"/>
              <w:ind w:left="6" w:right="1"/>
              <w:jc w:val="center"/>
              <w:rPr>
                <w:sz w:val="20"/>
              </w:rPr>
            </w:pPr>
            <w:r>
              <w:rPr>
                <w:color w:val="105C84"/>
                <w:spacing w:val="-5"/>
                <w:sz w:val="20"/>
              </w:rPr>
              <w:t>8%</w:t>
            </w:r>
          </w:p>
        </w:tc>
        <w:tc>
          <w:tcPr>
            <w:tcW w:w="1065" w:type="dxa"/>
            <w:shd w:val="clear" w:color="auto" w:fill="E9E9EA"/>
          </w:tcPr>
          <w:p>
            <w:pPr>
              <w:pStyle w:val="TableParagraph"/>
              <w:spacing w:before="59"/>
              <w:ind w:left="5"/>
              <w:jc w:val="center"/>
              <w:rPr>
                <w:sz w:val="20"/>
              </w:rPr>
            </w:pPr>
            <w:r>
              <w:rPr>
                <w:color w:val="105C84"/>
                <w:spacing w:val="-5"/>
                <w:sz w:val="20"/>
              </w:rPr>
              <w:t>7%</w:t>
            </w:r>
          </w:p>
        </w:tc>
      </w:tr>
      <w:tr>
        <w:trPr>
          <w:trHeight w:val="538" w:hRule="atLeast"/>
        </w:trPr>
        <w:tc>
          <w:tcPr>
            <w:tcW w:w="4116" w:type="dxa"/>
            <w:tcBorders>
              <w:right w:val="single" w:sz="8" w:space="0" w:color="939598"/>
            </w:tcBorders>
          </w:tcPr>
          <w:p>
            <w:pPr>
              <w:pStyle w:val="TableParagraph"/>
              <w:spacing w:line="230" w:lineRule="auto" w:before="60"/>
              <w:ind w:left="89"/>
              <w:rPr>
                <w:b/>
                <w:sz w:val="20"/>
              </w:rPr>
            </w:pPr>
            <w:r>
              <w:rPr>
                <w:b/>
                <w:color w:val="105C84"/>
                <w:sz w:val="20"/>
              </w:rPr>
              <w:t>I don’t have any place nearby to </w:t>
            </w:r>
            <w:r>
              <w:rPr>
                <w:b/>
                <w:color w:val="105C84"/>
                <w:sz w:val="20"/>
              </w:rPr>
              <w:t>buy healthy food</w:t>
            </w:r>
          </w:p>
        </w:tc>
        <w:tc>
          <w:tcPr>
            <w:tcW w:w="1354" w:type="dxa"/>
            <w:tcBorders>
              <w:left w:val="single" w:sz="8" w:space="0" w:color="939598"/>
            </w:tcBorders>
          </w:tcPr>
          <w:p>
            <w:pPr>
              <w:pStyle w:val="TableParagraph"/>
              <w:spacing w:before="163"/>
              <w:ind w:left="1" w:right="2"/>
              <w:jc w:val="center"/>
              <w:rPr>
                <w:sz w:val="20"/>
              </w:rPr>
            </w:pPr>
            <w:r>
              <w:rPr>
                <w:color w:val="105C84"/>
                <w:spacing w:val="-5"/>
                <w:sz w:val="20"/>
              </w:rPr>
              <w:t>4%</w:t>
            </w:r>
          </w:p>
        </w:tc>
        <w:tc>
          <w:tcPr>
            <w:tcW w:w="1238" w:type="dxa"/>
          </w:tcPr>
          <w:p>
            <w:pPr>
              <w:pStyle w:val="TableParagraph"/>
              <w:spacing w:before="163"/>
              <w:ind w:left="6"/>
              <w:jc w:val="center"/>
              <w:rPr>
                <w:sz w:val="20"/>
              </w:rPr>
            </w:pPr>
            <w:r>
              <w:rPr>
                <w:color w:val="105C84"/>
                <w:spacing w:val="-5"/>
                <w:sz w:val="20"/>
              </w:rPr>
              <w:t>5%</w:t>
            </w:r>
          </w:p>
        </w:tc>
        <w:tc>
          <w:tcPr>
            <w:tcW w:w="1238" w:type="dxa"/>
          </w:tcPr>
          <w:p>
            <w:pPr>
              <w:pStyle w:val="TableParagraph"/>
              <w:spacing w:before="163"/>
              <w:ind w:left="6"/>
              <w:jc w:val="center"/>
              <w:rPr>
                <w:sz w:val="20"/>
              </w:rPr>
            </w:pPr>
            <w:r>
              <w:rPr>
                <w:color w:val="105C84"/>
                <w:spacing w:val="-5"/>
                <w:sz w:val="20"/>
              </w:rPr>
              <w:t>2%</w:t>
            </w:r>
          </w:p>
        </w:tc>
        <w:tc>
          <w:tcPr>
            <w:tcW w:w="1238" w:type="dxa"/>
          </w:tcPr>
          <w:p>
            <w:pPr>
              <w:pStyle w:val="TableParagraph"/>
              <w:spacing w:before="163"/>
              <w:ind w:left="6"/>
              <w:jc w:val="center"/>
              <w:rPr>
                <w:sz w:val="20"/>
              </w:rPr>
            </w:pPr>
            <w:r>
              <w:rPr>
                <w:color w:val="105C84"/>
                <w:spacing w:val="-5"/>
                <w:sz w:val="20"/>
              </w:rPr>
              <w:t>3%</w:t>
            </w:r>
          </w:p>
        </w:tc>
        <w:tc>
          <w:tcPr>
            <w:tcW w:w="1065" w:type="dxa"/>
          </w:tcPr>
          <w:p>
            <w:pPr>
              <w:pStyle w:val="TableParagraph"/>
              <w:spacing w:before="163"/>
              <w:ind w:left="5"/>
              <w:jc w:val="center"/>
              <w:rPr>
                <w:sz w:val="20"/>
              </w:rPr>
            </w:pPr>
            <w:r>
              <w:rPr>
                <w:color w:val="105C84"/>
                <w:spacing w:val="-5"/>
                <w:sz w:val="20"/>
              </w:rPr>
              <w:t>3%</w:t>
            </w:r>
          </w:p>
        </w:tc>
      </w:tr>
      <w:tr>
        <w:trPr>
          <w:trHeight w:val="538" w:hRule="atLeast"/>
        </w:trPr>
        <w:tc>
          <w:tcPr>
            <w:tcW w:w="4116" w:type="dxa"/>
            <w:tcBorders>
              <w:right w:val="single" w:sz="8" w:space="0" w:color="939598"/>
            </w:tcBorders>
            <w:shd w:val="clear" w:color="auto" w:fill="E9E9EA"/>
          </w:tcPr>
          <w:p>
            <w:pPr>
              <w:pStyle w:val="TableParagraph"/>
              <w:spacing w:line="230" w:lineRule="auto" w:before="60"/>
              <w:ind w:left="90"/>
              <w:rPr>
                <w:b/>
                <w:sz w:val="20"/>
              </w:rPr>
            </w:pPr>
            <w:r>
              <w:rPr>
                <w:b/>
                <w:color w:val="105C84"/>
                <w:sz w:val="20"/>
              </w:rPr>
              <w:t>I don’t have the supplies and </w:t>
            </w:r>
            <w:r>
              <w:rPr>
                <w:b/>
                <w:color w:val="105C84"/>
                <w:sz w:val="20"/>
              </w:rPr>
              <w:t>equipment I’d need to cook healthy food</w:t>
            </w:r>
          </w:p>
        </w:tc>
        <w:tc>
          <w:tcPr>
            <w:tcW w:w="1354" w:type="dxa"/>
            <w:tcBorders>
              <w:left w:val="single" w:sz="8" w:space="0" w:color="939598"/>
            </w:tcBorders>
            <w:shd w:val="clear" w:color="auto" w:fill="E9E9EA"/>
          </w:tcPr>
          <w:p>
            <w:pPr>
              <w:pStyle w:val="TableParagraph"/>
              <w:spacing w:before="163"/>
              <w:ind w:left="2" w:right="2"/>
              <w:jc w:val="center"/>
              <w:rPr>
                <w:sz w:val="20"/>
              </w:rPr>
            </w:pPr>
            <w:r>
              <w:rPr>
                <w:color w:val="105C84"/>
                <w:spacing w:val="-5"/>
                <w:sz w:val="20"/>
              </w:rPr>
              <w:t>8%</w:t>
            </w:r>
          </w:p>
        </w:tc>
        <w:tc>
          <w:tcPr>
            <w:tcW w:w="1238" w:type="dxa"/>
            <w:shd w:val="clear" w:color="auto" w:fill="E9E9EA"/>
          </w:tcPr>
          <w:p>
            <w:pPr>
              <w:pStyle w:val="TableParagraph"/>
              <w:spacing w:before="163"/>
              <w:ind w:left="6"/>
              <w:jc w:val="center"/>
              <w:rPr>
                <w:sz w:val="20"/>
              </w:rPr>
            </w:pPr>
            <w:r>
              <w:rPr>
                <w:color w:val="105C84"/>
                <w:spacing w:val="-5"/>
                <w:sz w:val="20"/>
              </w:rPr>
              <w:t>4%</w:t>
            </w:r>
          </w:p>
        </w:tc>
        <w:tc>
          <w:tcPr>
            <w:tcW w:w="1238" w:type="dxa"/>
            <w:shd w:val="clear" w:color="auto" w:fill="E9E9EA"/>
          </w:tcPr>
          <w:p>
            <w:pPr>
              <w:pStyle w:val="TableParagraph"/>
              <w:spacing w:before="163"/>
              <w:ind w:left="6"/>
              <w:jc w:val="center"/>
              <w:rPr>
                <w:sz w:val="20"/>
              </w:rPr>
            </w:pPr>
            <w:r>
              <w:rPr>
                <w:color w:val="105C84"/>
                <w:spacing w:val="-5"/>
                <w:sz w:val="20"/>
              </w:rPr>
              <w:t>3%</w:t>
            </w:r>
          </w:p>
        </w:tc>
        <w:tc>
          <w:tcPr>
            <w:tcW w:w="1238" w:type="dxa"/>
            <w:shd w:val="clear" w:color="auto" w:fill="E9E9EA"/>
          </w:tcPr>
          <w:p>
            <w:pPr>
              <w:pStyle w:val="TableParagraph"/>
              <w:spacing w:before="163"/>
              <w:ind w:left="6"/>
              <w:jc w:val="center"/>
              <w:rPr>
                <w:sz w:val="20"/>
              </w:rPr>
            </w:pPr>
            <w:r>
              <w:rPr>
                <w:color w:val="105C84"/>
                <w:spacing w:val="-5"/>
                <w:sz w:val="20"/>
              </w:rPr>
              <w:t>1%</w:t>
            </w:r>
          </w:p>
        </w:tc>
        <w:tc>
          <w:tcPr>
            <w:tcW w:w="1065" w:type="dxa"/>
            <w:shd w:val="clear" w:color="auto" w:fill="E9E9EA"/>
          </w:tcPr>
          <w:p>
            <w:pPr>
              <w:pStyle w:val="TableParagraph"/>
              <w:spacing w:before="163"/>
              <w:ind w:left="5"/>
              <w:jc w:val="center"/>
              <w:rPr>
                <w:sz w:val="20"/>
              </w:rPr>
            </w:pPr>
            <w:r>
              <w:rPr>
                <w:color w:val="105C84"/>
                <w:spacing w:val="-5"/>
                <w:sz w:val="20"/>
              </w:rPr>
              <w:t>4%</w:t>
            </w:r>
          </w:p>
        </w:tc>
      </w:tr>
      <w:tr>
        <w:trPr>
          <w:trHeight w:val="538" w:hRule="atLeast"/>
        </w:trPr>
        <w:tc>
          <w:tcPr>
            <w:tcW w:w="4116" w:type="dxa"/>
            <w:tcBorders>
              <w:right w:val="single" w:sz="8" w:space="0" w:color="939598"/>
            </w:tcBorders>
          </w:tcPr>
          <w:p>
            <w:pPr>
              <w:pStyle w:val="TableParagraph"/>
              <w:spacing w:line="230" w:lineRule="auto" w:before="60"/>
              <w:ind w:left="90"/>
              <w:rPr>
                <w:b/>
                <w:sz w:val="20"/>
              </w:rPr>
            </w:pPr>
            <w:r>
              <w:rPr>
                <w:b/>
                <w:color w:val="105C84"/>
                <w:sz w:val="20"/>
              </w:rPr>
              <w:t>I don’t have the time to shop for, </w:t>
            </w:r>
            <w:r>
              <w:rPr>
                <w:b/>
                <w:color w:val="105C84"/>
                <w:sz w:val="20"/>
              </w:rPr>
              <w:t>and prepare, healthy food</w:t>
            </w:r>
          </w:p>
        </w:tc>
        <w:tc>
          <w:tcPr>
            <w:tcW w:w="1354" w:type="dxa"/>
            <w:tcBorders>
              <w:left w:val="single" w:sz="8" w:space="0" w:color="939598"/>
            </w:tcBorders>
          </w:tcPr>
          <w:p>
            <w:pPr>
              <w:pStyle w:val="TableParagraph"/>
              <w:spacing w:before="163"/>
              <w:ind w:left="2" w:right="2"/>
              <w:jc w:val="center"/>
              <w:rPr>
                <w:sz w:val="20"/>
              </w:rPr>
            </w:pPr>
            <w:r>
              <w:rPr>
                <w:color w:val="105C84"/>
                <w:spacing w:val="-5"/>
                <w:sz w:val="20"/>
              </w:rPr>
              <w:t>15%</w:t>
            </w:r>
          </w:p>
        </w:tc>
        <w:tc>
          <w:tcPr>
            <w:tcW w:w="1238" w:type="dxa"/>
          </w:tcPr>
          <w:p>
            <w:pPr>
              <w:pStyle w:val="TableParagraph"/>
              <w:spacing w:before="163"/>
              <w:ind w:left="6"/>
              <w:jc w:val="center"/>
              <w:rPr>
                <w:sz w:val="20"/>
              </w:rPr>
            </w:pPr>
            <w:r>
              <w:rPr>
                <w:color w:val="105C84"/>
                <w:spacing w:val="-5"/>
                <w:sz w:val="20"/>
              </w:rPr>
              <w:t>18%</w:t>
            </w:r>
          </w:p>
        </w:tc>
        <w:tc>
          <w:tcPr>
            <w:tcW w:w="1238" w:type="dxa"/>
          </w:tcPr>
          <w:p>
            <w:pPr>
              <w:pStyle w:val="TableParagraph"/>
              <w:spacing w:before="163"/>
              <w:ind w:left="6"/>
              <w:jc w:val="center"/>
              <w:rPr>
                <w:sz w:val="20"/>
              </w:rPr>
            </w:pPr>
            <w:r>
              <w:rPr>
                <w:color w:val="105C84"/>
                <w:spacing w:val="-5"/>
                <w:sz w:val="20"/>
              </w:rPr>
              <w:t>22%</w:t>
            </w:r>
          </w:p>
        </w:tc>
        <w:tc>
          <w:tcPr>
            <w:tcW w:w="1238" w:type="dxa"/>
          </w:tcPr>
          <w:p>
            <w:pPr>
              <w:pStyle w:val="TableParagraph"/>
              <w:spacing w:before="163"/>
              <w:ind w:left="6" w:right="1"/>
              <w:jc w:val="center"/>
              <w:rPr>
                <w:sz w:val="20"/>
              </w:rPr>
            </w:pPr>
            <w:r>
              <w:rPr>
                <w:color w:val="105C84"/>
                <w:spacing w:val="-5"/>
                <w:sz w:val="20"/>
              </w:rPr>
              <w:t>22%</w:t>
            </w:r>
          </w:p>
        </w:tc>
        <w:tc>
          <w:tcPr>
            <w:tcW w:w="1065" w:type="dxa"/>
          </w:tcPr>
          <w:p>
            <w:pPr>
              <w:pStyle w:val="TableParagraph"/>
              <w:spacing w:before="163"/>
              <w:ind w:left="5"/>
              <w:jc w:val="center"/>
              <w:rPr>
                <w:sz w:val="20"/>
              </w:rPr>
            </w:pPr>
            <w:r>
              <w:rPr>
                <w:color w:val="105C84"/>
                <w:spacing w:val="-5"/>
                <w:sz w:val="20"/>
              </w:rPr>
              <w:t>19%</w:t>
            </w:r>
          </w:p>
        </w:tc>
      </w:tr>
      <w:tr>
        <w:trPr>
          <w:trHeight w:val="538" w:hRule="atLeast"/>
        </w:trPr>
        <w:tc>
          <w:tcPr>
            <w:tcW w:w="4116" w:type="dxa"/>
            <w:tcBorders>
              <w:right w:val="single" w:sz="8" w:space="0" w:color="939598"/>
            </w:tcBorders>
            <w:shd w:val="clear" w:color="auto" w:fill="E9E9EA"/>
          </w:tcPr>
          <w:p>
            <w:pPr>
              <w:pStyle w:val="TableParagraph"/>
              <w:spacing w:line="230" w:lineRule="auto" w:before="60"/>
              <w:ind w:left="90"/>
              <w:rPr>
                <w:b/>
                <w:sz w:val="20"/>
              </w:rPr>
            </w:pPr>
            <w:r>
              <w:rPr>
                <w:b/>
                <w:color w:val="105C84"/>
                <w:sz w:val="20"/>
              </w:rPr>
              <w:t>I don’t have the transportation to </w:t>
            </w:r>
            <w:r>
              <w:rPr>
                <w:b/>
                <w:color w:val="105C84"/>
                <w:sz w:val="20"/>
              </w:rPr>
              <w:t>go shopping for healthy food</w:t>
            </w:r>
          </w:p>
        </w:tc>
        <w:tc>
          <w:tcPr>
            <w:tcW w:w="1354" w:type="dxa"/>
            <w:tcBorders>
              <w:left w:val="single" w:sz="8" w:space="0" w:color="939598"/>
            </w:tcBorders>
            <w:shd w:val="clear" w:color="auto" w:fill="E9E9EA"/>
          </w:tcPr>
          <w:p>
            <w:pPr>
              <w:pStyle w:val="TableParagraph"/>
              <w:spacing w:before="163"/>
              <w:ind w:left="1" w:right="2"/>
              <w:jc w:val="center"/>
              <w:rPr>
                <w:sz w:val="20"/>
              </w:rPr>
            </w:pPr>
            <w:r>
              <w:rPr>
                <w:color w:val="105C84"/>
                <w:spacing w:val="-5"/>
                <w:sz w:val="20"/>
              </w:rPr>
              <w:t>11%</w:t>
            </w:r>
          </w:p>
        </w:tc>
        <w:tc>
          <w:tcPr>
            <w:tcW w:w="1238" w:type="dxa"/>
            <w:shd w:val="clear" w:color="auto" w:fill="E9E9EA"/>
          </w:tcPr>
          <w:p>
            <w:pPr>
              <w:pStyle w:val="TableParagraph"/>
              <w:spacing w:before="163"/>
              <w:ind w:left="6"/>
              <w:jc w:val="center"/>
              <w:rPr>
                <w:sz w:val="20"/>
              </w:rPr>
            </w:pPr>
            <w:r>
              <w:rPr>
                <w:color w:val="105C84"/>
                <w:spacing w:val="-5"/>
                <w:sz w:val="20"/>
              </w:rPr>
              <w:t>1%</w:t>
            </w:r>
          </w:p>
        </w:tc>
        <w:tc>
          <w:tcPr>
            <w:tcW w:w="1238" w:type="dxa"/>
            <w:shd w:val="clear" w:color="auto" w:fill="E9E9EA"/>
          </w:tcPr>
          <w:p>
            <w:pPr>
              <w:pStyle w:val="TableParagraph"/>
              <w:spacing w:before="163"/>
              <w:ind w:left="6"/>
              <w:jc w:val="center"/>
              <w:rPr>
                <w:sz w:val="20"/>
              </w:rPr>
            </w:pPr>
            <w:r>
              <w:rPr>
                <w:color w:val="105C84"/>
                <w:spacing w:val="-5"/>
                <w:sz w:val="20"/>
              </w:rPr>
              <w:t>0%</w:t>
            </w:r>
          </w:p>
        </w:tc>
        <w:tc>
          <w:tcPr>
            <w:tcW w:w="1238" w:type="dxa"/>
            <w:shd w:val="clear" w:color="auto" w:fill="E9E9EA"/>
          </w:tcPr>
          <w:p>
            <w:pPr>
              <w:pStyle w:val="TableParagraph"/>
              <w:spacing w:before="163"/>
              <w:ind w:left="6" w:right="1"/>
              <w:jc w:val="center"/>
              <w:rPr>
                <w:sz w:val="20"/>
              </w:rPr>
            </w:pPr>
            <w:r>
              <w:rPr>
                <w:color w:val="105C84"/>
                <w:spacing w:val="-5"/>
                <w:sz w:val="20"/>
              </w:rPr>
              <w:t>0%</w:t>
            </w:r>
          </w:p>
        </w:tc>
        <w:tc>
          <w:tcPr>
            <w:tcW w:w="1065" w:type="dxa"/>
            <w:shd w:val="clear" w:color="auto" w:fill="E9E9EA"/>
          </w:tcPr>
          <w:p>
            <w:pPr>
              <w:pStyle w:val="TableParagraph"/>
              <w:spacing w:before="163"/>
              <w:ind w:left="5"/>
              <w:jc w:val="center"/>
              <w:rPr>
                <w:sz w:val="20"/>
              </w:rPr>
            </w:pPr>
            <w:r>
              <w:rPr>
                <w:color w:val="105C84"/>
                <w:spacing w:val="-5"/>
                <w:sz w:val="20"/>
              </w:rPr>
              <w:t>3%</w:t>
            </w:r>
          </w:p>
        </w:tc>
      </w:tr>
      <w:tr>
        <w:trPr>
          <w:trHeight w:val="538" w:hRule="atLeast"/>
        </w:trPr>
        <w:tc>
          <w:tcPr>
            <w:tcW w:w="4116" w:type="dxa"/>
            <w:tcBorders>
              <w:right w:val="single" w:sz="8" w:space="0" w:color="939598"/>
            </w:tcBorders>
          </w:tcPr>
          <w:p>
            <w:pPr>
              <w:pStyle w:val="TableParagraph"/>
              <w:spacing w:line="230" w:lineRule="auto" w:before="60"/>
              <w:ind w:left="90"/>
              <w:rPr>
                <w:b/>
                <w:sz w:val="20"/>
              </w:rPr>
            </w:pPr>
            <w:r>
              <w:rPr>
                <w:b/>
                <w:color w:val="105C84"/>
                <w:sz w:val="20"/>
              </w:rPr>
              <w:t>I don’t know how to cook and </w:t>
            </w:r>
            <w:r>
              <w:rPr>
                <w:b/>
                <w:color w:val="105C84"/>
                <w:sz w:val="20"/>
              </w:rPr>
              <w:t>prepare healthy meals that taste good</w:t>
            </w:r>
          </w:p>
        </w:tc>
        <w:tc>
          <w:tcPr>
            <w:tcW w:w="1354" w:type="dxa"/>
            <w:tcBorders>
              <w:left w:val="single" w:sz="8" w:space="0" w:color="939598"/>
            </w:tcBorders>
          </w:tcPr>
          <w:p>
            <w:pPr>
              <w:pStyle w:val="TableParagraph"/>
              <w:spacing w:before="163"/>
              <w:ind w:left="1" w:right="2"/>
              <w:jc w:val="center"/>
              <w:rPr>
                <w:sz w:val="20"/>
              </w:rPr>
            </w:pPr>
            <w:r>
              <w:rPr>
                <w:color w:val="105C84"/>
                <w:spacing w:val="-5"/>
                <w:sz w:val="20"/>
              </w:rPr>
              <w:t>16%</w:t>
            </w:r>
          </w:p>
        </w:tc>
        <w:tc>
          <w:tcPr>
            <w:tcW w:w="1238" w:type="dxa"/>
          </w:tcPr>
          <w:p>
            <w:pPr>
              <w:pStyle w:val="TableParagraph"/>
              <w:spacing w:before="163"/>
              <w:ind w:left="6"/>
              <w:jc w:val="center"/>
              <w:rPr>
                <w:sz w:val="20"/>
              </w:rPr>
            </w:pPr>
            <w:r>
              <w:rPr>
                <w:color w:val="105C84"/>
                <w:spacing w:val="-5"/>
                <w:sz w:val="20"/>
              </w:rPr>
              <w:t>15%</w:t>
            </w:r>
          </w:p>
        </w:tc>
        <w:tc>
          <w:tcPr>
            <w:tcW w:w="1238" w:type="dxa"/>
          </w:tcPr>
          <w:p>
            <w:pPr>
              <w:pStyle w:val="TableParagraph"/>
              <w:spacing w:before="163"/>
              <w:ind w:left="6" w:right="1"/>
              <w:jc w:val="center"/>
              <w:rPr>
                <w:sz w:val="20"/>
              </w:rPr>
            </w:pPr>
            <w:r>
              <w:rPr>
                <w:color w:val="105C84"/>
                <w:spacing w:val="-5"/>
                <w:sz w:val="20"/>
              </w:rPr>
              <w:t>14%</w:t>
            </w:r>
          </w:p>
        </w:tc>
        <w:tc>
          <w:tcPr>
            <w:tcW w:w="1238" w:type="dxa"/>
          </w:tcPr>
          <w:p>
            <w:pPr>
              <w:pStyle w:val="TableParagraph"/>
              <w:spacing w:before="163"/>
              <w:ind w:left="6" w:right="1"/>
              <w:jc w:val="center"/>
              <w:rPr>
                <w:sz w:val="20"/>
              </w:rPr>
            </w:pPr>
            <w:r>
              <w:rPr>
                <w:color w:val="105C84"/>
                <w:spacing w:val="-5"/>
                <w:sz w:val="20"/>
              </w:rPr>
              <w:t>9%</w:t>
            </w:r>
          </w:p>
        </w:tc>
        <w:tc>
          <w:tcPr>
            <w:tcW w:w="1065" w:type="dxa"/>
          </w:tcPr>
          <w:p>
            <w:pPr>
              <w:pStyle w:val="TableParagraph"/>
              <w:spacing w:before="163"/>
              <w:ind w:left="5"/>
              <w:jc w:val="center"/>
              <w:rPr>
                <w:sz w:val="20"/>
              </w:rPr>
            </w:pPr>
            <w:r>
              <w:rPr>
                <w:color w:val="105C84"/>
                <w:spacing w:val="-5"/>
                <w:sz w:val="20"/>
              </w:rPr>
              <w:t>13%</w:t>
            </w:r>
          </w:p>
        </w:tc>
      </w:tr>
      <w:tr>
        <w:trPr>
          <w:trHeight w:val="578" w:hRule="atLeast"/>
        </w:trPr>
        <w:tc>
          <w:tcPr>
            <w:tcW w:w="4116" w:type="dxa"/>
            <w:tcBorders>
              <w:right w:val="single" w:sz="8" w:space="0" w:color="939598"/>
            </w:tcBorders>
            <w:shd w:val="clear" w:color="auto" w:fill="E9E9EA"/>
          </w:tcPr>
          <w:p>
            <w:pPr>
              <w:pStyle w:val="TableParagraph"/>
              <w:spacing w:line="260" w:lineRule="atLeast" w:before="23"/>
              <w:ind w:left="90"/>
              <w:rPr>
                <w:b/>
                <w:sz w:val="20"/>
              </w:rPr>
            </w:pPr>
            <w:r>
              <w:rPr>
                <w:b/>
                <w:color w:val="105C84"/>
                <w:sz w:val="20"/>
              </w:rPr>
              <w:t>The</w:t>
            </w:r>
            <w:r>
              <w:rPr>
                <w:b/>
                <w:color w:val="105C84"/>
                <w:spacing w:val="-3"/>
                <w:sz w:val="20"/>
              </w:rPr>
              <w:t> </w:t>
            </w:r>
            <w:r>
              <w:rPr>
                <w:b/>
                <w:color w:val="105C84"/>
                <w:sz w:val="20"/>
              </w:rPr>
              <w:t>others</w:t>
            </w:r>
            <w:r>
              <w:rPr>
                <w:b/>
                <w:color w:val="105C84"/>
                <w:spacing w:val="-3"/>
                <w:sz w:val="20"/>
              </w:rPr>
              <w:t> </w:t>
            </w:r>
            <w:r>
              <w:rPr>
                <w:b/>
                <w:color w:val="105C84"/>
                <w:sz w:val="20"/>
              </w:rPr>
              <w:t>in</w:t>
            </w:r>
            <w:r>
              <w:rPr>
                <w:b/>
                <w:color w:val="105C84"/>
                <w:spacing w:val="-3"/>
                <w:sz w:val="20"/>
              </w:rPr>
              <w:t> </w:t>
            </w:r>
            <w:r>
              <w:rPr>
                <w:b/>
                <w:color w:val="105C84"/>
                <w:sz w:val="20"/>
              </w:rPr>
              <w:t>my</w:t>
            </w:r>
            <w:r>
              <w:rPr>
                <w:b/>
                <w:color w:val="105C84"/>
                <w:spacing w:val="-3"/>
                <w:sz w:val="20"/>
              </w:rPr>
              <w:t> </w:t>
            </w:r>
            <w:r>
              <w:rPr>
                <w:b/>
                <w:color w:val="105C84"/>
                <w:sz w:val="20"/>
              </w:rPr>
              <w:t>household</w:t>
            </w:r>
            <w:r>
              <w:rPr>
                <w:b/>
                <w:color w:val="105C84"/>
                <w:spacing w:val="-3"/>
                <w:sz w:val="20"/>
              </w:rPr>
              <w:t> </w:t>
            </w:r>
            <w:r>
              <w:rPr>
                <w:b/>
                <w:color w:val="105C84"/>
                <w:sz w:val="20"/>
              </w:rPr>
              <w:t>don’t</w:t>
            </w:r>
            <w:r>
              <w:rPr>
                <w:b/>
                <w:color w:val="105C84"/>
                <w:spacing w:val="-3"/>
                <w:sz w:val="20"/>
              </w:rPr>
              <w:t> </w:t>
            </w:r>
            <w:r>
              <w:rPr>
                <w:b/>
                <w:color w:val="105C84"/>
                <w:sz w:val="20"/>
              </w:rPr>
              <w:t>eat healthy, and we eat together</w:t>
            </w:r>
          </w:p>
        </w:tc>
        <w:tc>
          <w:tcPr>
            <w:tcW w:w="1354" w:type="dxa"/>
            <w:tcBorders>
              <w:left w:val="single" w:sz="8" w:space="0" w:color="939598"/>
            </w:tcBorders>
            <w:shd w:val="clear" w:color="auto" w:fill="E9E9EA"/>
          </w:tcPr>
          <w:p>
            <w:pPr>
              <w:pStyle w:val="TableParagraph"/>
              <w:spacing w:before="183"/>
              <w:ind w:left="1" w:right="2"/>
              <w:jc w:val="center"/>
              <w:rPr>
                <w:sz w:val="20"/>
              </w:rPr>
            </w:pPr>
            <w:r>
              <w:rPr>
                <w:color w:val="105C84"/>
                <w:spacing w:val="-5"/>
                <w:sz w:val="20"/>
              </w:rPr>
              <w:t>14%</w:t>
            </w:r>
          </w:p>
        </w:tc>
        <w:tc>
          <w:tcPr>
            <w:tcW w:w="1238" w:type="dxa"/>
            <w:shd w:val="clear" w:color="auto" w:fill="E9E9EA"/>
          </w:tcPr>
          <w:p>
            <w:pPr>
              <w:pStyle w:val="TableParagraph"/>
              <w:spacing w:before="183"/>
              <w:ind w:left="6"/>
              <w:jc w:val="center"/>
              <w:rPr>
                <w:sz w:val="20"/>
              </w:rPr>
            </w:pPr>
            <w:r>
              <w:rPr>
                <w:color w:val="105C84"/>
                <w:spacing w:val="-5"/>
                <w:sz w:val="20"/>
              </w:rPr>
              <w:t>13%</w:t>
            </w:r>
          </w:p>
        </w:tc>
        <w:tc>
          <w:tcPr>
            <w:tcW w:w="1238" w:type="dxa"/>
            <w:shd w:val="clear" w:color="auto" w:fill="E9E9EA"/>
          </w:tcPr>
          <w:p>
            <w:pPr>
              <w:pStyle w:val="TableParagraph"/>
              <w:spacing w:before="183"/>
              <w:ind w:left="6" w:right="1"/>
              <w:jc w:val="center"/>
              <w:rPr>
                <w:sz w:val="20"/>
              </w:rPr>
            </w:pPr>
            <w:r>
              <w:rPr>
                <w:color w:val="105C84"/>
                <w:spacing w:val="-5"/>
                <w:sz w:val="20"/>
              </w:rPr>
              <w:t>14%</w:t>
            </w:r>
          </w:p>
        </w:tc>
        <w:tc>
          <w:tcPr>
            <w:tcW w:w="1238" w:type="dxa"/>
            <w:shd w:val="clear" w:color="auto" w:fill="E9E9EA"/>
          </w:tcPr>
          <w:p>
            <w:pPr>
              <w:pStyle w:val="TableParagraph"/>
              <w:spacing w:before="183"/>
              <w:ind w:left="6" w:right="1"/>
              <w:jc w:val="center"/>
              <w:rPr>
                <w:sz w:val="20"/>
              </w:rPr>
            </w:pPr>
            <w:r>
              <w:rPr>
                <w:color w:val="105C84"/>
                <w:spacing w:val="-5"/>
                <w:sz w:val="20"/>
              </w:rPr>
              <w:t>13%</w:t>
            </w:r>
          </w:p>
        </w:tc>
        <w:tc>
          <w:tcPr>
            <w:tcW w:w="1065" w:type="dxa"/>
            <w:shd w:val="clear" w:color="auto" w:fill="E9E9EA"/>
          </w:tcPr>
          <w:p>
            <w:pPr>
              <w:pStyle w:val="TableParagraph"/>
              <w:spacing w:before="183"/>
              <w:ind w:left="5" w:right="1"/>
              <w:jc w:val="center"/>
              <w:rPr>
                <w:sz w:val="20"/>
              </w:rPr>
            </w:pPr>
            <w:r>
              <w:rPr>
                <w:color w:val="105C84"/>
                <w:spacing w:val="-5"/>
                <w:sz w:val="20"/>
              </w:rPr>
              <w:t>13%</w:t>
            </w:r>
          </w:p>
        </w:tc>
      </w:tr>
      <w:tr>
        <w:trPr>
          <w:trHeight w:val="578" w:hRule="atLeast"/>
        </w:trPr>
        <w:tc>
          <w:tcPr>
            <w:tcW w:w="4116" w:type="dxa"/>
            <w:tcBorders>
              <w:right w:val="single" w:sz="8" w:space="0" w:color="939598"/>
            </w:tcBorders>
          </w:tcPr>
          <w:p>
            <w:pPr>
              <w:pStyle w:val="TableParagraph"/>
              <w:spacing w:line="260" w:lineRule="atLeast" w:before="23"/>
              <w:ind w:left="89" w:right="245"/>
              <w:rPr>
                <w:b/>
                <w:sz w:val="20"/>
              </w:rPr>
            </w:pPr>
            <w:r>
              <w:rPr>
                <w:b/>
                <w:color w:val="105C84"/>
                <w:sz w:val="20"/>
              </w:rPr>
              <w:t>I</w:t>
            </w:r>
            <w:r>
              <w:rPr>
                <w:b/>
                <w:color w:val="105C84"/>
                <w:spacing w:val="-1"/>
                <w:sz w:val="20"/>
              </w:rPr>
              <w:t> </w:t>
            </w:r>
            <w:r>
              <w:rPr>
                <w:b/>
                <w:color w:val="105C84"/>
                <w:sz w:val="20"/>
              </w:rPr>
              <w:t>really</w:t>
            </w:r>
            <w:r>
              <w:rPr>
                <w:b/>
                <w:color w:val="105C84"/>
                <w:spacing w:val="-1"/>
                <w:sz w:val="20"/>
              </w:rPr>
              <w:t> </w:t>
            </w:r>
            <w:r>
              <w:rPr>
                <w:b/>
                <w:color w:val="105C84"/>
                <w:sz w:val="20"/>
              </w:rPr>
              <w:t>don’t</w:t>
            </w:r>
            <w:r>
              <w:rPr>
                <w:b/>
                <w:color w:val="105C84"/>
                <w:spacing w:val="-1"/>
                <w:sz w:val="20"/>
              </w:rPr>
              <w:t> </w:t>
            </w:r>
            <w:r>
              <w:rPr>
                <w:b/>
                <w:color w:val="105C84"/>
                <w:sz w:val="20"/>
              </w:rPr>
              <w:t>have</w:t>
            </w:r>
            <w:r>
              <w:rPr>
                <w:b/>
                <w:color w:val="105C84"/>
                <w:spacing w:val="-1"/>
                <w:sz w:val="20"/>
              </w:rPr>
              <w:t> </w:t>
            </w:r>
            <w:r>
              <w:rPr>
                <w:b/>
                <w:color w:val="105C84"/>
                <w:sz w:val="20"/>
              </w:rPr>
              <w:t>any</w:t>
            </w:r>
            <w:r>
              <w:rPr>
                <w:b/>
                <w:color w:val="105C84"/>
                <w:spacing w:val="-1"/>
                <w:sz w:val="20"/>
              </w:rPr>
              <w:t> </w:t>
            </w:r>
            <w:r>
              <w:rPr>
                <w:b/>
                <w:color w:val="105C84"/>
                <w:sz w:val="20"/>
              </w:rPr>
              <w:t>barriers</w:t>
            </w:r>
            <w:r>
              <w:rPr>
                <w:b/>
                <w:color w:val="105C84"/>
                <w:spacing w:val="-1"/>
                <w:sz w:val="20"/>
              </w:rPr>
              <w:t> </w:t>
            </w:r>
            <w:r>
              <w:rPr>
                <w:b/>
                <w:color w:val="105C84"/>
                <w:sz w:val="20"/>
              </w:rPr>
              <w:t>keeping me from eating healthy food</w:t>
            </w:r>
          </w:p>
        </w:tc>
        <w:tc>
          <w:tcPr>
            <w:tcW w:w="1354" w:type="dxa"/>
            <w:tcBorders>
              <w:left w:val="single" w:sz="8" w:space="0" w:color="939598"/>
            </w:tcBorders>
          </w:tcPr>
          <w:p>
            <w:pPr>
              <w:pStyle w:val="TableParagraph"/>
              <w:spacing w:before="183"/>
              <w:ind w:left="1" w:right="2"/>
              <w:jc w:val="center"/>
              <w:rPr>
                <w:sz w:val="20"/>
              </w:rPr>
            </w:pPr>
            <w:r>
              <w:rPr>
                <w:color w:val="105C84"/>
                <w:spacing w:val="-5"/>
                <w:sz w:val="20"/>
              </w:rPr>
              <w:t>22%</w:t>
            </w:r>
          </w:p>
        </w:tc>
        <w:tc>
          <w:tcPr>
            <w:tcW w:w="1238" w:type="dxa"/>
          </w:tcPr>
          <w:p>
            <w:pPr>
              <w:pStyle w:val="TableParagraph"/>
              <w:spacing w:before="183"/>
              <w:ind w:left="6" w:right="1"/>
              <w:jc w:val="center"/>
              <w:rPr>
                <w:sz w:val="20"/>
              </w:rPr>
            </w:pPr>
            <w:r>
              <w:rPr>
                <w:color w:val="105C84"/>
                <w:spacing w:val="-5"/>
                <w:sz w:val="20"/>
              </w:rPr>
              <w:t>33%</w:t>
            </w:r>
          </w:p>
        </w:tc>
        <w:tc>
          <w:tcPr>
            <w:tcW w:w="1238" w:type="dxa"/>
          </w:tcPr>
          <w:p>
            <w:pPr>
              <w:pStyle w:val="TableParagraph"/>
              <w:spacing w:before="183"/>
              <w:ind w:left="6" w:right="1"/>
              <w:jc w:val="center"/>
              <w:rPr>
                <w:sz w:val="20"/>
              </w:rPr>
            </w:pPr>
            <w:r>
              <w:rPr>
                <w:color w:val="105C84"/>
                <w:spacing w:val="-5"/>
                <w:sz w:val="20"/>
              </w:rPr>
              <w:t>37%</w:t>
            </w:r>
          </w:p>
        </w:tc>
        <w:tc>
          <w:tcPr>
            <w:tcW w:w="1238" w:type="dxa"/>
          </w:tcPr>
          <w:p>
            <w:pPr>
              <w:pStyle w:val="TableParagraph"/>
              <w:spacing w:before="183"/>
              <w:ind w:left="6" w:right="2"/>
              <w:jc w:val="center"/>
              <w:rPr>
                <w:sz w:val="20"/>
              </w:rPr>
            </w:pPr>
            <w:r>
              <w:rPr>
                <w:color w:val="105C84"/>
                <w:spacing w:val="-5"/>
                <w:sz w:val="20"/>
              </w:rPr>
              <w:t>48%</w:t>
            </w:r>
          </w:p>
        </w:tc>
        <w:tc>
          <w:tcPr>
            <w:tcW w:w="1065" w:type="dxa"/>
          </w:tcPr>
          <w:p>
            <w:pPr>
              <w:pStyle w:val="TableParagraph"/>
              <w:spacing w:before="183"/>
              <w:ind w:left="5" w:right="1"/>
              <w:jc w:val="center"/>
              <w:rPr>
                <w:sz w:val="20"/>
              </w:rPr>
            </w:pPr>
            <w:r>
              <w:rPr>
                <w:color w:val="105C84"/>
                <w:spacing w:val="-5"/>
                <w:sz w:val="20"/>
              </w:rPr>
              <w:t>36%</w:t>
            </w:r>
          </w:p>
        </w:tc>
      </w:tr>
      <w:tr>
        <w:trPr>
          <w:trHeight w:val="598" w:hRule="atLeast"/>
        </w:trPr>
        <w:tc>
          <w:tcPr>
            <w:tcW w:w="4116" w:type="dxa"/>
            <w:tcBorders>
              <w:right w:val="single" w:sz="8" w:space="0" w:color="939598"/>
            </w:tcBorders>
            <w:shd w:val="clear" w:color="auto" w:fill="E9E9EA"/>
          </w:tcPr>
          <w:p>
            <w:pPr>
              <w:pStyle w:val="TableParagraph"/>
              <w:spacing w:line="260" w:lineRule="atLeast" w:before="33"/>
              <w:ind w:left="89" w:right="245"/>
              <w:rPr>
                <w:b/>
                <w:sz w:val="20"/>
              </w:rPr>
            </w:pPr>
            <w:r>
              <w:rPr>
                <w:b/>
                <w:color w:val="105C84"/>
                <w:sz w:val="20"/>
              </w:rPr>
              <w:t>I don’t want or need to eat </w:t>
            </w:r>
            <w:r>
              <w:rPr>
                <w:b/>
                <w:color w:val="105C84"/>
                <w:sz w:val="20"/>
              </w:rPr>
              <w:t>healthier than I already do</w:t>
            </w:r>
          </w:p>
        </w:tc>
        <w:tc>
          <w:tcPr>
            <w:tcW w:w="1354" w:type="dxa"/>
            <w:tcBorders>
              <w:left w:val="single" w:sz="8" w:space="0" w:color="939598"/>
            </w:tcBorders>
            <w:shd w:val="clear" w:color="auto" w:fill="E9E9EA"/>
          </w:tcPr>
          <w:p>
            <w:pPr>
              <w:pStyle w:val="TableParagraph"/>
              <w:spacing w:before="193"/>
              <w:ind w:left="1" w:right="2"/>
              <w:jc w:val="center"/>
              <w:rPr>
                <w:sz w:val="20"/>
              </w:rPr>
            </w:pPr>
            <w:r>
              <w:rPr>
                <w:color w:val="105C84"/>
                <w:spacing w:val="-5"/>
                <w:sz w:val="20"/>
              </w:rPr>
              <w:t>5%</w:t>
            </w:r>
          </w:p>
        </w:tc>
        <w:tc>
          <w:tcPr>
            <w:tcW w:w="1238" w:type="dxa"/>
            <w:shd w:val="clear" w:color="auto" w:fill="E9E9EA"/>
          </w:tcPr>
          <w:p>
            <w:pPr>
              <w:pStyle w:val="TableParagraph"/>
              <w:spacing w:before="193"/>
              <w:ind w:left="6" w:right="1"/>
              <w:jc w:val="center"/>
              <w:rPr>
                <w:sz w:val="20"/>
              </w:rPr>
            </w:pPr>
            <w:r>
              <w:rPr>
                <w:color w:val="105C84"/>
                <w:spacing w:val="-5"/>
                <w:sz w:val="20"/>
              </w:rPr>
              <w:t>6%</w:t>
            </w:r>
          </w:p>
        </w:tc>
        <w:tc>
          <w:tcPr>
            <w:tcW w:w="1238" w:type="dxa"/>
            <w:shd w:val="clear" w:color="auto" w:fill="E9E9EA"/>
          </w:tcPr>
          <w:p>
            <w:pPr>
              <w:pStyle w:val="TableParagraph"/>
              <w:spacing w:before="193"/>
              <w:ind w:left="6" w:right="1"/>
              <w:jc w:val="center"/>
              <w:rPr>
                <w:sz w:val="20"/>
              </w:rPr>
            </w:pPr>
            <w:r>
              <w:rPr>
                <w:color w:val="105C84"/>
                <w:spacing w:val="-5"/>
                <w:sz w:val="20"/>
              </w:rPr>
              <w:t>10%</w:t>
            </w:r>
          </w:p>
        </w:tc>
        <w:tc>
          <w:tcPr>
            <w:tcW w:w="1238" w:type="dxa"/>
            <w:shd w:val="clear" w:color="auto" w:fill="E9E9EA"/>
          </w:tcPr>
          <w:p>
            <w:pPr>
              <w:pStyle w:val="TableParagraph"/>
              <w:spacing w:before="193"/>
              <w:ind w:left="6" w:right="2"/>
              <w:jc w:val="center"/>
              <w:rPr>
                <w:sz w:val="20"/>
              </w:rPr>
            </w:pPr>
            <w:r>
              <w:rPr>
                <w:color w:val="105C84"/>
                <w:spacing w:val="-5"/>
                <w:sz w:val="20"/>
              </w:rPr>
              <w:t>11%</w:t>
            </w:r>
          </w:p>
        </w:tc>
        <w:tc>
          <w:tcPr>
            <w:tcW w:w="1065" w:type="dxa"/>
            <w:shd w:val="clear" w:color="auto" w:fill="E9E9EA"/>
          </w:tcPr>
          <w:p>
            <w:pPr>
              <w:pStyle w:val="TableParagraph"/>
              <w:spacing w:before="193"/>
              <w:ind w:left="5" w:right="1"/>
              <w:jc w:val="center"/>
              <w:rPr>
                <w:sz w:val="20"/>
              </w:rPr>
            </w:pPr>
            <w:r>
              <w:rPr>
                <w:color w:val="105C84"/>
                <w:spacing w:val="-5"/>
                <w:sz w:val="20"/>
              </w:rPr>
              <w:t>8%</w:t>
            </w:r>
          </w:p>
        </w:tc>
      </w:tr>
    </w:tbl>
    <w:p>
      <w:pPr>
        <w:spacing w:line="235" w:lineRule="auto" w:before="225"/>
        <w:ind w:left="1088" w:right="3668" w:firstLine="0"/>
        <w:jc w:val="left"/>
        <w:rPr>
          <w:sz w:val="16"/>
        </w:rPr>
      </w:pPr>
      <w:r>
        <w:rPr>
          <w:color w:val="0C5D86"/>
          <w:sz w:val="16"/>
        </w:rPr>
        <w:t>Source:</w:t>
      </w:r>
      <w:r>
        <w:rPr>
          <w:color w:val="0C5D86"/>
          <w:spacing w:val="-11"/>
          <w:sz w:val="16"/>
        </w:rPr>
        <w:t> </w:t>
      </w:r>
      <w:r>
        <w:rPr>
          <w:color w:val="0C5D86"/>
          <w:sz w:val="16"/>
        </w:rPr>
        <w:t>My</w:t>
      </w:r>
      <w:r>
        <w:rPr>
          <w:color w:val="0C5D86"/>
          <w:spacing w:val="-11"/>
          <w:sz w:val="16"/>
        </w:rPr>
        <w:t> </w:t>
      </w:r>
      <w:r>
        <w:rPr>
          <w:color w:val="0C5D86"/>
          <w:sz w:val="16"/>
        </w:rPr>
        <w:t>Health</w:t>
      </w:r>
      <w:r>
        <w:rPr>
          <w:color w:val="0C5D86"/>
          <w:spacing w:val="-11"/>
          <w:sz w:val="16"/>
        </w:rPr>
        <w:t> </w:t>
      </w:r>
      <w:r>
        <w:rPr>
          <w:color w:val="0C5D86"/>
          <w:sz w:val="16"/>
        </w:rPr>
        <w:t>Story</w:t>
      </w:r>
      <w:r>
        <w:rPr>
          <w:color w:val="0C5D86"/>
          <w:spacing w:val="-11"/>
          <w:sz w:val="16"/>
        </w:rPr>
        <w:t> </w:t>
      </w:r>
      <w:r>
        <w:rPr>
          <w:color w:val="0C5D86"/>
          <w:sz w:val="16"/>
        </w:rPr>
        <w:t>survey</w:t>
      </w:r>
      <w:r>
        <w:rPr>
          <w:color w:val="0C5D86"/>
          <w:spacing w:val="-11"/>
          <w:sz w:val="16"/>
        </w:rPr>
        <w:t> </w:t>
      </w:r>
      <w:r>
        <w:rPr>
          <w:color w:val="0C5D86"/>
          <w:sz w:val="16"/>
        </w:rPr>
        <w:t>2018.</w:t>
      </w:r>
      <w:r>
        <w:rPr>
          <w:color w:val="0C5D86"/>
          <w:spacing w:val="-11"/>
          <w:sz w:val="16"/>
        </w:rPr>
        <w:t> </w:t>
      </w:r>
      <w:r>
        <w:rPr>
          <w:color w:val="0C5D86"/>
          <w:sz w:val="16"/>
        </w:rPr>
        <w:t>Analysis</w:t>
      </w:r>
      <w:r>
        <w:rPr>
          <w:color w:val="0C5D86"/>
          <w:spacing w:val="-11"/>
          <w:sz w:val="16"/>
        </w:rPr>
        <w:t> </w:t>
      </w:r>
      <w:r>
        <w:rPr>
          <w:color w:val="0C5D86"/>
          <w:sz w:val="16"/>
        </w:rPr>
        <w:t>by</w:t>
      </w:r>
      <w:r>
        <w:rPr>
          <w:color w:val="0C5D86"/>
          <w:spacing w:val="-11"/>
          <w:sz w:val="16"/>
        </w:rPr>
        <w:t> </w:t>
      </w:r>
      <w:r>
        <w:rPr>
          <w:color w:val="0C5D86"/>
          <w:sz w:val="16"/>
        </w:rPr>
        <w:t>Common</w:t>
      </w:r>
      <w:r>
        <w:rPr>
          <w:color w:val="0C5D86"/>
          <w:spacing w:val="-11"/>
          <w:sz w:val="16"/>
        </w:rPr>
        <w:t> </w:t>
      </w:r>
      <w:r>
        <w:rPr>
          <w:color w:val="0C5D86"/>
          <w:sz w:val="16"/>
        </w:rPr>
        <w:t>Ground</w:t>
      </w:r>
      <w:r>
        <w:rPr>
          <w:color w:val="0C5D86"/>
          <w:spacing w:val="-11"/>
          <w:sz w:val="16"/>
        </w:rPr>
        <w:t> </w:t>
      </w:r>
      <w:r>
        <w:rPr>
          <w:color w:val="0C5D86"/>
          <w:sz w:val="16"/>
        </w:rPr>
        <w:t>Health</w:t>
      </w:r>
      <w:r>
        <w:rPr>
          <w:color w:val="0C5D86"/>
          <w:spacing w:val="-11"/>
          <w:sz w:val="16"/>
        </w:rPr>
        <w:t> </w:t>
      </w:r>
      <w:r>
        <w:rPr>
          <w:color w:val="0C5D86"/>
          <w:sz w:val="16"/>
        </w:rPr>
        <w:t>incorporates weighting to reflect demographics of each county and the region.</w:t>
      </w:r>
    </w:p>
    <w:p>
      <w:pPr>
        <w:spacing w:after="0" w:line="235" w:lineRule="auto"/>
        <w:jc w:val="left"/>
        <w:rPr>
          <w:sz w:val="16"/>
        </w:rPr>
        <w:sectPr>
          <w:type w:val="continuous"/>
          <w:pgSz w:w="24480" w:h="15840" w:orient="landscape"/>
          <w:pgMar w:header="0" w:footer="0" w:top="0" w:bottom="280" w:left="0" w:right="720"/>
          <w:cols w:num="2" w:equalWidth="0">
            <w:col w:w="11176" w:space="1041"/>
            <w:col w:w="11543"/>
          </w:cols>
        </w:sectPr>
      </w:pPr>
    </w:p>
    <w:p>
      <w:pPr>
        <w:pStyle w:val="BodyText"/>
        <w:rPr>
          <w:sz w:val="26"/>
        </w:rPr>
      </w:pPr>
      <w:r>
        <w:rPr>
          <w:sz w:val="26"/>
        </w:rPr>
        <mc:AlternateContent>
          <mc:Choice Requires="wps">
            <w:drawing>
              <wp:anchor distT="0" distB="0" distL="0" distR="0" allowOverlap="1" layoutInCell="1" locked="0" behindDoc="0" simplePos="0" relativeHeight="15759360">
                <wp:simplePos x="0" y="0"/>
                <wp:positionH relativeFrom="page">
                  <wp:posOffset>7777988</wp:posOffset>
                </wp:positionH>
                <wp:positionV relativeFrom="page">
                  <wp:posOffset>6229350</wp:posOffset>
                </wp:positionV>
                <wp:extent cx="7767320" cy="3829050"/>
                <wp:effectExtent l="0" t="0" r="0" b="0"/>
                <wp:wrapNone/>
                <wp:docPr id="289" name="Group 289"/>
                <wp:cNvGraphicFramePr>
                  <a:graphicFrameLocks/>
                </wp:cNvGraphicFramePr>
                <a:graphic>
                  <a:graphicData uri="http://schemas.microsoft.com/office/word/2010/wordprocessingGroup">
                    <wpg:wgp>
                      <wpg:cNvPr id="289" name="Group 289"/>
                      <wpg:cNvGrpSpPr/>
                      <wpg:grpSpPr>
                        <a:xfrm>
                          <a:off x="0" y="0"/>
                          <a:ext cx="7767320" cy="3829050"/>
                          <a:chExt cx="7767320" cy="3829050"/>
                        </a:xfrm>
                      </wpg:grpSpPr>
                      <pic:pic>
                        <pic:nvPicPr>
                          <pic:cNvPr id="290" name="Image 290"/>
                          <pic:cNvPicPr/>
                        </pic:nvPicPr>
                        <pic:blipFill>
                          <a:blip r:embed="rId38" cstate="print"/>
                          <a:stretch>
                            <a:fillRect/>
                          </a:stretch>
                        </pic:blipFill>
                        <pic:spPr>
                          <a:xfrm>
                            <a:off x="7203568" y="3438753"/>
                            <a:ext cx="563245" cy="184683"/>
                          </a:xfrm>
                          <a:prstGeom prst="rect">
                            <a:avLst/>
                          </a:prstGeom>
                        </pic:spPr>
                      </pic:pic>
                      <pic:pic>
                        <pic:nvPicPr>
                          <pic:cNvPr id="291" name="Image 291"/>
                          <pic:cNvPicPr/>
                        </pic:nvPicPr>
                        <pic:blipFill>
                          <a:blip r:embed="rId54" cstate="print"/>
                          <a:stretch>
                            <a:fillRect/>
                          </a:stretch>
                        </pic:blipFill>
                        <pic:spPr>
                          <a:xfrm>
                            <a:off x="0" y="0"/>
                            <a:ext cx="7766811" cy="3829050"/>
                          </a:xfrm>
                          <a:prstGeom prst="rect">
                            <a:avLst/>
                          </a:prstGeom>
                        </pic:spPr>
                      </pic:pic>
                      <wps:wsp>
                        <wps:cNvPr id="292" name="Graphic 292"/>
                        <wps:cNvSpPr/>
                        <wps:spPr>
                          <a:xfrm>
                            <a:off x="0" y="3115817"/>
                            <a:ext cx="7767320" cy="713740"/>
                          </a:xfrm>
                          <a:custGeom>
                            <a:avLst/>
                            <a:gdLst/>
                            <a:ahLst/>
                            <a:cxnLst/>
                            <a:rect l="l" t="t" r="r" b="b"/>
                            <a:pathLst>
                              <a:path w="7767320" h="713740">
                                <a:moveTo>
                                  <a:pt x="7766811" y="0"/>
                                </a:moveTo>
                                <a:lnTo>
                                  <a:pt x="0" y="0"/>
                                </a:lnTo>
                                <a:lnTo>
                                  <a:pt x="0" y="713231"/>
                                </a:lnTo>
                                <a:lnTo>
                                  <a:pt x="7766811" y="713231"/>
                                </a:lnTo>
                                <a:lnTo>
                                  <a:pt x="7766811" y="0"/>
                                </a:lnTo>
                                <a:close/>
                              </a:path>
                            </a:pathLst>
                          </a:custGeom>
                          <a:solidFill>
                            <a:srgbClr val="000000">
                              <a:alpha val="63000"/>
                            </a:srgbClr>
                          </a:solidFill>
                        </wps:spPr>
                        <wps:bodyPr wrap="square" lIns="0" tIns="0" rIns="0" bIns="0" rtlCol="0">
                          <a:prstTxWarp prst="textNoShape">
                            <a:avLst/>
                          </a:prstTxWarp>
                          <a:noAutofit/>
                        </wps:bodyPr>
                      </wps:wsp>
                      <wps:wsp>
                        <wps:cNvPr id="293" name="Textbox 293"/>
                        <wps:cNvSpPr txBox="1"/>
                        <wps:spPr>
                          <a:xfrm>
                            <a:off x="680214" y="3390150"/>
                            <a:ext cx="2700020" cy="253365"/>
                          </a:xfrm>
                          <a:prstGeom prst="rect">
                            <a:avLst/>
                          </a:prstGeom>
                        </wps:spPr>
                        <wps:txbx>
                          <w:txbxContent>
                            <w:p>
                              <w:pPr>
                                <w:spacing w:line="182" w:lineRule="exact" w:before="10"/>
                                <w:ind w:left="0" w:right="0" w:firstLine="0"/>
                                <w:jc w:val="left"/>
                                <w:rPr>
                                  <w:sz w:val="16"/>
                                </w:rPr>
                              </w:pPr>
                              <w:r>
                                <w:rPr>
                                  <w:color w:val="FFFFFF"/>
                                  <w:sz w:val="16"/>
                                </w:rPr>
                                <w:t>Photo by</w:t>
                              </w:r>
                              <w:r>
                                <w:rPr>
                                  <w:color w:val="FFFFFF"/>
                                  <w:spacing w:val="1"/>
                                  <w:sz w:val="16"/>
                                </w:rPr>
                                <w:t> </w:t>
                              </w:r>
                              <w:r>
                                <w:rPr>
                                  <w:color w:val="FFFFFF"/>
                                  <w:sz w:val="16"/>
                                </w:rPr>
                                <w:t>Chelsie</w:t>
                              </w:r>
                              <w:r>
                                <w:rPr>
                                  <w:color w:val="FFFFFF"/>
                                  <w:spacing w:val="1"/>
                                  <w:sz w:val="16"/>
                                </w:rPr>
                                <w:t> </w:t>
                              </w:r>
                              <w:r>
                                <w:rPr>
                                  <w:color w:val="FFFFFF"/>
                                  <w:spacing w:val="-2"/>
                                  <w:sz w:val="16"/>
                                </w:rPr>
                                <w:t>Renae</w:t>
                              </w:r>
                            </w:p>
                            <w:p>
                              <w:pPr>
                                <w:spacing w:line="182" w:lineRule="exact" w:before="0"/>
                                <w:ind w:left="0" w:right="0" w:firstLine="0"/>
                                <w:jc w:val="left"/>
                                <w:rPr>
                                  <w:sz w:val="16"/>
                                </w:rPr>
                              </w:pPr>
                              <w:r>
                                <w:rPr>
                                  <w:color w:val="FFFFFF"/>
                                  <w:sz w:val="16"/>
                                </w:rPr>
                                <w:t>Photo</w:t>
                              </w:r>
                              <w:r>
                                <w:rPr>
                                  <w:color w:val="FFFFFF"/>
                                  <w:spacing w:val="11"/>
                                  <w:sz w:val="16"/>
                                </w:rPr>
                                <w:t> </w:t>
                              </w:r>
                              <w:r>
                                <w:rPr>
                                  <w:color w:val="FFFFFF"/>
                                  <w:sz w:val="16"/>
                                </w:rPr>
                                <w:t>courtesy</w:t>
                              </w:r>
                              <w:r>
                                <w:rPr>
                                  <w:color w:val="FFFFFF"/>
                                  <w:spacing w:val="12"/>
                                  <w:sz w:val="16"/>
                                </w:rPr>
                                <w:t> </w:t>
                              </w:r>
                              <w:r>
                                <w:rPr>
                                  <w:color w:val="FFFFFF"/>
                                  <w:sz w:val="16"/>
                                </w:rPr>
                                <w:t>of</w:t>
                              </w:r>
                              <w:r>
                                <w:rPr>
                                  <w:color w:val="FFFFFF"/>
                                  <w:spacing w:val="11"/>
                                  <w:sz w:val="16"/>
                                </w:rPr>
                                <w:t> </w:t>
                              </w:r>
                              <w:r>
                                <w:rPr>
                                  <w:color w:val="FFFFFF"/>
                                  <w:sz w:val="16"/>
                                </w:rPr>
                                <w:t>Livingston</w:t>
                              </w:r>
                              <w:r>
                                <w:rPr>
                                  <w:color w:val="FFFFFF"/>
                                  <w:spacing w:val="12"/>
                                  <w:sz w:val="16"/>
                                </w:rPr>
                                <w:t> </w:t>
                              </w:r>
                              <w:r>
                                <w:rPr>
                                  <w:color w:val="FFFFFF"/>
                                  <w:sz w:val="16"/>
                                </w:rPr>
                                <w:t>County</w:t>
                              </w:r>
                              <w:r>
                                <w:rPr>
                                  <w:color w:val="FFFFFF"/>
                                  <w:spacing w:val="11"/>
                                  <w:sz w:val="16"/>
                                </w:rPr>
                                <w:t> </w:t>
                              </w:r>
                              <w:r>
                                <w:rPr>
                                  <w:color w:val="FFFFFF"/>
                                  <w:sz w:val="16"/>
                                </w:rPr>
                                <w:t>Department</w:t>
                              </w:r>
                              <w:r>
                                <w:rPr>
                                  <w:color w:val="FFFFFF"/>
                                  <w:spacing w:val="12"/>
                                  <w:sz w:val="16"/>
                                </w:rPr>
                                <w:t> </w:t>
                              </w:r>
                              <w:r>
                                <w:rPr>
                                  <w:color w:val="FFFFFF"/>
                                  <w:sz w:val="16"/>
                                </w:rPr>
                                <w:t>of</w:t>
                              </w:r>
                              <w:r>
                                <w:rPr>
                                  <w:color w:val="FFFFFF"/>
                                  <w:spacing w:val="11"/>
                                  <w:sz w:val="16"/>
                                </w:rPr>
                                <w:t> </w:t>
                              </w:r>
                              <w:r>
                                <w:rPr>
                                  <w:color w:val="FFFFFF"/>
                                  <w:spacing w:val="-2"/>
                                  <w:sz w:val="16"/>
                                </w:rPr>
                                <w:t>Health</w:t>
                              </w:r>
                            </w:p>
                          </w:txbxContent>
                        </wps:txbx>
                        <wps:bodyPr wrap="square" lIns="0" tIns="0" rIns="0" bIns="0" rtlCol="0">
                          <a:noAutofit/>
                        </wps:bodyPr>
                      </wps:wsp>
                    </wpg:wgp>
                  </a:graphicData>
                </a:graphic>
              </wp:anchor>
            </w:drawing>
          </mc:Choice>
          <mc:Fallback>
            <w:pict>
              <v:group style="position:absolute;margin-left:612.440002pt;margin-top:490.5pt;width:611.6pt;height:301.5pt;mso-position-horizontal-relative:page;mso-position-vertical-relative:page;z-index:15759360" id="docshapegroup248" coordorigin="12249,9810" coordsize="12232,6030">
                <v:shape style="position:absolute;left:23593;top:15225;width:887;height:291" type="#_x0000_t75" id="docshape249" stroked="false">
                  <v:imagedata r:id="rId38" o:title=""/>
                </v:shape>
                <v:shape style="position:absolute;left:12248;top:9810;width:12232;height:6030" type="#_x0000_t75" id="docshape250" stroked="false">
                  <v:imagedata r:id="rId54" o:title=""/>
                </v:shape>
                <v:rect style="position:absolute;left:12248;top:14716;width:12232;height:1124" id="docshape251" filled="true" fillcolor="#000000" stroked="false">
                  <v:fill opacity="41288f" type="solid"/>
                </v:rect>
                <v:shape style="position:absolute;left:13320;top:15148;width:4252;height:399" type="#_x0000_t202" id="docshape252" filled="false" stroked="false">
                  <v:textbox inset="0,0,0,0">
                    <w:txbxContent>
                      <w:p>
                        <w:pPr>
                          <w:spacing w:line="182" w:lineRule="exact" w:before="10"/>
                          <w:ind w:left="0" w:right="0" w:firstLine="0"/>
                          <w:jc w:val="left"/>
                          <w:rPr>
                            <w:sz w:val="16"/>
                          </w:rPr>
                        </w:pPr>
                        <w:r>
                          <w:rPr>
                            <w:color w:val="FFFFFF"/>
                            <w:sz w:val="16"/>
                          </w:rPr>
                          <w:t>Photo by</w:t>
                        </w:r>
                        <w:r>
                          <w:rPr>
                            <w:color w:val="FFFFFF"/>
                            <w:spacing w:val="1"/>
                            <w:sz w:val="16"/>
                          </w:rPr>
                          <w:t> </w:t>
                        </w:r>
                        <w:r>
                          <w:rPr>
                            <w:color w:val="FFFFFF"/>
                            <w:sz w:val="16"/>
                          </w:rPr>
                          <w:t>Chelsie</w:t>
                        </w:r>
                        <w:r>
                          <w:rPr>
                            <w:color w:val="FFFFFF"/>
                            <w:spacing w:val="1"/>
                            <w:sz w:val="16"/>
                          </w:rPr>
                          <w:t> </w:t>
                        </w:r>
                        <w:r>
                          <w:rPr>
                            <w:color w:val="FFFFFF"/>
                            <w:spacing w:val="-2"/>
                            <w:sz w:val="16"/>
                          </w:rPr>
                          <w:t>Renae</w:t>
                        </w:r>
                      </w:p>
                      <w:p>
                        <w:pPr>
                          <w:spacing w:line="182" w:lineRule="exact" w:before="0"/>
                          <w:ind w:left="0" w:right="0" w:firstLine="0"/>
                          <w:jc w:val="left"/>
                          <w:rPr>
                            <w:sz w:val="16"/>
                          </w:rPr>
                        </w:pPr>
                        <w:r>
                          <w:rPr>
                            <w:color w:val="FFFFFF"/>
                            <w:sz w:val="16"/>
                          </w:rPr>
                          <w:t>Photo</w:t>
                        </w:r>
                        <w:r>
                          <w:rPr>
                            <w:color w:val="FFFFFF"/>
                            <w:spacing w:val="11"/>
                            <w:sz w:val="16"/>
                          </w:rPr>
                          <w:t> </w:t>
                        </w:r>
                        <w:r>
                          <w:rPr>
                            <w:color w:val="FFFFFF"/>
                            <w:sz w:val="16"/>
                          </w:rPr>
                          <w:t>courtesy</w:t>
                        </w:r>
                        <w:r>
                          <w:rPr>
                            <w:color w:val="FFFFFF"/>
                            <w:spacing w:val="12"/>
                            <w:sz w:val="16"/>
                          </w:rPr>
                          <w:t> </w:t>
                        </w:r>
                        <w:r>
                          <w:rPr>
                            <w:color w:val="FFFFFF"/>
                            <w:sz w:val="16"/>
                          </w:rPr>
                          <w:t>of</w:t>
                        </w:r>
                        <w:r>
                          <w:rPr>
                            <w:color w:val="FFFFFF"/>
                            <w:spacing w:val="11"/>
                            <w:sz w:val="16"/>
                          </w:rPr>
                          <w:t> </w:t>
                        </w:r>
                        <w:r>
                          <w:rPr>
                            <w:color w:val="FFFFFF"/>
                            <w:sz w:val="16"/>
                          </w:rPr>
                          <w:t>Livingston</w:t>
                        </w:r>
                        <w:r>
                          <w:rPr>
                            <w:color w:val="FFFFFF"/>
                            <w:spacing w:val="12"/>
                            <w:sz w:val="16"/>
                          </w:rPr>
                          <w:t> </w:t>
                        </w:r>
                        <w:r>
                          <w:rPr>
                            <w:color w:val="FFFFFF"/>
                            <w:sz w:val="16"/>
                          </w:rPr>
                          <w:t>County</w:t>
                        </w:r>
                        <w:r>
                          <w:rPr>
                            <w:color w:val="FFFFFF"/>
                            <w:spacing w:val="11"/>
                            <w:sz w:val="16"/>
                          </w:rPr>
                          <w:t> </w:t>
                        </w:r>
                        <w:r>
                          <w:rPr>
                            <w:color w:val="FFFFFF"/>
                            <w:sz w:val="16"/>
                          </w:rPr>
                          <w:t>Department</w:t>
                        </w:r>
                        <w:r>
                          <w:rPr>
                            <w:color w:val="FFFFFF"/>
                            <w:spacing w:val="12"/>
                            <w:sz w:val="16"/>
                          </w:rPr>
                          <w:t> </w:t>
                        </w:r>
                        <w:r>
                          <w:rPr>
                            <w:color w:val="FFFFFF"/>
                            <w:sz w:val="16"/>
                          </w:rPr>
                          <w:t>of</w:t>
                        </w:r>
                        <w:r>
                          <w:rPr>
                            <w:color w:val="FFFFFF"/>
                            <w:spacing w:val="11"/>
                            <w:sz w:val="16"/>
                          </w:rPr>
                          <w:t> </w:t>
                        </w:r>
                        <w:r>
                          <w:rPr>
                            <w:color w:val="FFFFFF"/>
                            <w:spacing w:val="-2"/>
                            <w:sz w:val="16"/>
                          </w:rPr>
                          <w:t>Health</w:t>
                        </w:r>
                      </w:p>
                    </w:txbxContent>
                  </v:textbox>
                  <w10:wrap type="none"/>
                </v:shape>
                <w10:wrap type="none"/>
              </v:group>
            </w:pict>
          </mc:Fallback>
        </mc:AlternateConten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202"/>
        <w:rPr>
          <w:sz w:val="26"/>
        </w:rPr>
      </w:pPr>
    </w:p>
    <w:p>
      <w:pPr>
        <w:spacing w:before="0"/>
        <w:ind w:left="0" w:right="0" w:firstLine="0"/>
        <w:jc w:val="left"/>
        <w:rPr>
          <w:b/>
          <w:sz w:val="26"/>
        </w:rPr>
      </w:pPr>
      <w:r>
        <w:rPr>
          <w:b/>
          <w:sz w:val="26"/>
        </w:rPr>
        <mc:AlternateContent>
          <mc:Choice Requires="wps">
            <w:drawing>
              <wp:anchor distT="0" distB="0" distL="0" distR="0" allowOverlap="1" layoutInCell="1" locked="0" behindDoc="1" simplePos="0" relativeHeight="474985472">
                <wp:simplePos x="0" y="0"/>
                <wp:positionH relativeFrom="page">
                  <wp:posOffset>14698495</wp:posOffset>
                </wp:positionH>
                <wp:positionV relativeFrom="paragraph">
                  <wp:posOffset>-9968</wp:posOffset>
                </wp:positionV>
                <wp:extent cx="195580" cy="226060"/>
                <wp:effectExtent l="0" t="0" r="0" b="0"/>
                <wp:wrapNone/>
                <wp:docPr id="294" name="Textbox 294"/>
                <wp:cNvGraphicFramePr>
                  <a:graphicFrameLocks/>
                </wp:cNvGraphicFramePr>
                <a:graphic>
                  <a:graphicData uri="http://schemas.microsoft.com/office/word/2010/wordprocessingShape">
                    <wps:wsp>
                      <wps:cNvPr id="294" name="Textbox 294"/>
                      <wps:cNvSpPr txBox="1"/>
                      <wps:spPr>
                        <a:xfrm>
                          <a:off x="0" y="0"/>
                          <a:ext cx="195580" cy="226060"/>
                        </a:xfrm>
                        <a:prstGeom prst="rect">
                          <a:avLst/>
                        </a:prstGeom>
                      </wps:spPr>
                      <wps:txbx>
                        <w:txbxContent>
                          <w:p>
                            <w:pPr>
                              <w:spacing w:before="16"/>
                              <w:ind w:left="0" w:right="0" w:firstLine="0"/>
                              <w:jc w:val="left"/>
                              <w:rPr>
                                <w:b/>
                                <w:sz w:val="26"/>
                              </w:rPr>
                            </w:pPr>
                            <w:r>
                              <w:rPr>
                                <w:b/>
                                <w:color w:val="939598"/>
                                <w:spacing w:val="-5"/>
                                <w:w w:val="105"/>
                                <w:sz w:val="26"/>
                              </w:rPr>
                              <w:t>24</w:t>
                            </w:r>
                          </w:p>
                        </w:txbxContent>
                      </wps:txbx>
                      <wps:bodyPr wrap="square" lIns="0" tIns="0" rIns="0" bIns="0" rtlCol="0">
                        <a:noAutofit/>
                      </wps:bodyPr>
                    </wps:wsp>
                  </a:graphicData>
                </a:graphic>
              </wp:anchor>
            </w:drawing>
          </mc:Choice>
          <mc:Fallback>
            <w:pict>
              <v:shape style="position:absolute;margin-left:1157.361816pt;margin-top:-.784883pt;width:15.4pt;height:17.8pt;mso-position-horizontal-relative:page;mso-position-vertical-relative:paragraph;z-index:-28331008" type="#_x0000_t202" id="docshape253" filled="false" stroked="false">
                <v:textbox inset="0,0,0,0">
                  <w:txbxContent>
                    <w:p>
                      <w:pPr>
                        <w:spacing w:before="16"/>
                        <w:ind w:left="0" w:right="0" w:firstLine="0"/>
                        <w:jc w:val="left"/>
                        <w:rPr>
                          <w:b/>
                          <w:sz w:val="26"/>
                        </w:rPr>
                      </w:pPr>
                      <w:r>
                        <w:rPr>
                          <w:b/>
                          <w:color w:val="939598"/>
                          <w:spacing w:val="-5"/>
                          <w:w w:val="105"/>
                          <w:sz w:val="26"/>
                        </w:rPr>
                        <w:t>24</w:t>
                      </w:r>
                    </w:p>
                  </w:txbxContent>
                </v:textbox>
                <w10:wrap type="none"/>
              </v:shape>
            </w:pict>
          </mc:Fallback>
        </mc:AlternateContent>
      </w:r>
      <w:r>
        <w:rPr>
          <w:position w:val="-4"/>
        </w:rPr>
        <w:drawing>
          <wp:inline distT="0" distB="0" distL="0" distR="0">
            <wp:extent cx="568172" cy="184683"/>
            <wp:effectExtent l="0" t="0" r="0" b="0"/>
            <wp:docPr id="295" name="Image 295"/>
            <wp:cNvGraphicFramePr>
              <a:graphicFrameLocks/>
            </wp:cNvGraphicFramePr>
            <a:graphic>
              <a:graphicData uri="http://schemas.openxmlformats.org/drawingml/2006/picture">
                <pic:pic>
                  <pic:nvPicPr>
                    <pic:cNvPr id="295" name="Image 295"/>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80"/>
          <w:w w:val="105"/>
          <w:sz w:val="20"/>
        </w:rPr>
        <w:t> </w:t>
      </w:r>
      <w:r>
        <w:rPr>
          <w:b/>
          <w:color w:val="939598"/>
          <w:w w:val="105"/>
          <w:sz w:val="26"/>
        </w:rPr>
        <w:t>23</w:t>
      </w:r>
    </w:p>
    <w:p>
      <w:pPr>
        <w:spacing w:after="0"/>
        <w:jc w:val="left"/>
        <w:rPr>
          <w:b/>
          <w:sz w:val="26"/>
        </w:rPr>
        <w:sectPr>
          <w:type w:val="continuous"/>
          <w:pgSz w:w="24480" w:h="15840" w:orient="landscape"/>
          <w:pgMar w:header="0" w:footer="0" w:top="0" w:bottom="280" w:left="0" w:right="720"/>
        </w:sectPr>
      </w:pPr>
    </w:p>
    <w:p>
      <w:pPr>
        <w:pStyle w:val="BodyText"/>
        <w:rPr>
          <w:b/>
          <w:sz w:val="20"/>
        </w:rPr>
      </w:pPr>
    </w:p>
    <w:p>
      <w:pPr>
        <w:pStyle w:val="BodyText"/>
        <w:spacing w:before="16"/>
        <w:rPr>
          <w:b/>
          <w:sz w:val="20"/>
        </w:rPr>
      </w:pPr>
    </w:p>
    <w:p>
      <w:pPr>
        <w:pStyle w:val="BodyText"/>
        <w:spacing w:after="0"/>
        <w:rPr>
          <w:b/>
          <w:sz w:val="20"/>
        </w:rPr>
        <w:sectPr>
          <w:pgSz w:w="24480" w:h="15840" w:orient="landscape"/>
          <w:pgMar w:header="0" w:footer="0" w:top="860" w:bottom="0" w:left="0" w:right="720"/>
        </w:sectPr>
      </w:pPr>
    </w:p>
    <w:p>
      <w:pPr>
        <w:pStyle w:val="BodyText"/>
        <w:spacing w:line="247" w:lineRule="auto" w:before="113"/>
        <w:ind w:left="1080"/>
      </w:pPr>
      <w:r>
        <w:rPr>
          <w:color w:val="105C84"/>
        </w:rPr>
        <w:t>In the eight county region, 74% of residents reported engaging in physical activity in the past month</w:t>
      </w:r>
      <w:r>
        <w:rPr>
          <w:color w:val="105C84"/>
          <w:spacing w:val="80"/>
        </w:rPr>
        <w:t> </w:t>
      </w:r>
      <w:r>
        <w:rPr>
          <w:color w:val="105C84"/>
        </w:rPr>
        <w:t>(2016 BRFSS). According to </w:t>
      </w:r>
      <w:r>
        <w:rPr>
          <w:i/>
          <w:color w:val="105C84"/>
        </w:rPr>
        <w:t>My Health Story 2018 </w:t>
      </w:r>
      <w:r>
        <w:rPr>
          <w:color w:val="105C84"/>
        </w:rPr>
        <w:t>data, the main reason for not engaging in more physical activity is lack of time and feeling too tired to exercise (Table 8). Of note, the low income population</w:t>
      </w:r>
      <w:r>
        <w:rPr>
          <w:color w:val="105C84"/>
          <w:spacing w:val="30"/>
        </w:rPr>
        <w:t> </w:t>
      </w:r>
      <w:r>
        <w:rPr>
          <w:color w:val="105C84"/>
        </w:rPr>
        <w:t>reported</w:t>
      </w:r>
      <w:r>
        <w:rPr>
          <w:color w:val="105C84"/>
          <w:spacing w:val="30"/>
        </w:rPr>
        <w:t> </w:t>
      </w:r>
      <w:r>
        <w:rPr>
          <w:color w:val="105C84"/>
        </w:rPr>
        <w:t>inability</w:t>
      </w:r>
      <w:r>
        <w:rPr>
          <w:color w:val="105C84"/>
          <w:spacing w:val="30"/>
        </w:rPr>
        <w:t> </w:t>
      </w:r>
      <w:r>
        <w:rPr>
          <w:color w:val="105C84"/>
        </w:rPr>
        <w:t>to</w:t>
      </w:r>
      <w:r>
        <w:rPr>
          <w:color w:val="105C84"/>
          <w:spacing w:val="30"/>
        </w:rPr>
        <w:t> </w:t>
      </w:r>
      <w:r>
        <w:rPr>
          <w:color w:val="105C84"/>
        </w:rPr>
        <w:t>afford</w:t>
      </w:r>
      <w:r>
        <w:rPr>
          <w:color w:val="105C84"/>
          <w:spacing w:val="30"/>
        </w:rPr>
        <w:t> </w:t>
      </w:r>
      <w:r>
        <w:rPr>
          <w:color w:val="105C84"/>
        </w:rPr>
        <w:t>a</w:t>
      </w:r>
      <w:r>
        <w:rPr>
          <w:color w:val="105C84"/>
          <w:spacing w:val="30"/>
        </w:rPr>
        <w:t> </w:t>
      </w:r>
      <w:r>
        <w:rPr>
          <w:color w:val="105C84"/>
        </w:rPr>
        <w:t>gym</w:t>
      </w:r>
      <w:r>
        <w:rPr>
          <w:color w:val="105C84"/>
          <w:spacing w:val="30"/>
        </w:rPr>
        <w:t> </w:t>
      </w:r>
      <w:r>
        <w:rPr>
          <w:color w:val="105C84"/>
        </w:rPr>
        <w:t>membership</w:t>
      </w:r>
      <w:r>
        <w:rPr>
          <w:color w:val="105C84"/>
          <w:spacing w:val="30"/>
        </w:rPr>
        <w:t> </w:t>
      </w:r>
      <w:r>
        <w:rPr>
          <w:color w:val="105C84"/>
        </w:rPr>
        <w:t>as</w:t>
      </w:r>
      <w:r>
        <w:rPr>
          <w:color w:val="105C84"/>
          <w:spacing w:val="30"/>
        </w:rPr>
        <w:t> </w:t>
      </w:r>
      <w:r>
        <w:rPr>
          <w:color w:val="105C84"/>
        </w:rPr>
        <w:t>the</w:t>
      </w:r>
      <w:r>
        <w:rPr>
          <w:color w:val="105C84"/>
          <w:spacing w:val="30"/>
        </w:rPr>
        <w:t> </w:t>
      </w:r>
      <w:r>
        <w:rPr>
          <w:color w:val="105C84"/>
        </w:rPr>
        <w:t>biggest</w:t>
      </w:r>
      <w:r>
        <w:rPr>
          <w:color w:val="105C84"/>
          <w:spacing w:val="30"/>
        </w:rPr>
        <w:t> </w:t>
      </w:r>
      <w:r>
        <w:rPr>
          <w:color w:val="105C84"/>
        </w:rPr>
        <w:t>barrier</w:t>
      </w:r>
      <w:r>
        <w:rPr>
          <w:color w:val="105C84"/>
          <w:spacing w:val="30"/>
        </w:rPr>
        <w:t> </w:t>
      </w:r>
      <w:r>
        <w:rPr>
          <w:color w:val="105C84"/>
        </w:rPr>
        <w:t>to</w:t>
      </w:r>
      <w:r>
        <w:rPr>
          <w:color w:val="105C84"/>
          <w:spacing w:val="30"/>
        </w:rPr>
        <w:t> </w:t>
      </w:r>
      <w:r>
        <w:rPr>
          <w:color w:val="105C84"/>
        </w:rPr>
        <w:t>being</w:t>
      </w:r>
      <w:r>
        <w:rPr>
          <w:color w:val="105C84"/>
          <w:spacing w:val="30"/>
        </w:rPr>
        <w:t> </w:t>
      </w:r>
      <w:r>
        <w:rPr>
          <w:color w:val="105C84"/>
        </w:rPr>
        <w:t>physically </w:t>
      </w:r>
      <w:r>
        <w:rPr>
          <w:color w:val="105C84"/>
          <w:spacing w:val="-2"/>
        </w:rPr>
        <w:t>active.</w:t>
      </w:r>
    </w:p>
    <w:p>
      <w:pPr>
        <w:pStyle w:val="BodyText"/>
        <w:spacing w:before="17"/>
      </w:pPr>
    </w:p>
    <w:p>
      <w:pPr>
        <w:pStyle w:val="Heading6"/>
      </w:pPr>
      <w:r>
        <w:rPr>
          <w:color w:val="105C84"/>
          <w:spacing w:val="-8"/>
        </w:rPr>
        <w:t>TABLE</w:t>
      </w:r>
      <w:r>
        <w:rPr>
          <w:color w:val="105C84"/>
          <w:spacing w:val="-2"/>
        </w:rPr>
        <w:t> </w:t>
      </w:r>
      <w:r>
        <w:rPr>
          <w:color w:val="105C84"/>
          <w:spacing w:val="-8"/>
        </w:rPr>
        <w:t>8:</w:t>
      </w:r>
      <w:r>
        <w:rPr>
          <w:color w:val="105C84"/>
          <w:spacing w:val="-2"/>
        </w:rPr>
        <w:t> </w:t>
      </w:r>
      <w:r>
        <w:rPr>
          <w:color w:val="105C84"/>
          <w:spacing w:val="-8"/>
        </w:rPr>
        <w:t>Barriers</w:t>
      </w:r>
      <w:r>
        <w:rPr>
          <w:color w:val="105C84"/>
          <w:spacing w:val="-2"/>
        </w:rPr>
        <w:t> </w:t>
      </w:r>
      <w:r>
        <w:rPr>
          <w:color w:val="105C84"/>
          <w:spacing w:val="-8"/>
        </w:rPr>
        <w:t>to</w:t>
      </w:r>
      <w:r>
        <w:rPr>
          <w:color w:val="105C84"/>
          <w:spacing w:val="-2"/>
        </w:rPr>
        <w:t> </w:t>
      </w:r>
      <w:r>
        <w:rPr>
          <w:color w:val="105C84"/>
          <w:spacing w:val="-8"/>
        </w:rPr>
        <w:t>being</w:t>
      </w:r>
      <w:r>
        <w:rPr>
          <w:color w:val="105C84"/>
          <w:spacing w:val="-2"/>
        </w:rPr>
        <w:t> </w:t>
      </w:r>
      <w:r>
        <w:rPr>
          <w:color w:val="105C84"/>
          <w:spacing w:val="-8"/>
        </w:rPr>
        <w:t>physically</w:t>
      </w:r>
      <w:r>
        <w:rPr>
          <w:color w:val="105C84"/>
          <w:spacing w:val="-2"/>
        </w:rPr>
        <w:t> </w:t>
      </w:r>
      <w:r>
        <w:rPr>
          <w:color w:val="105C84"/>
          <w:spacing w:val="-8"/>
        </w:rPr>
        <w:t>active</w:t>
      </w:r>
    </w:p>
    <w:p>
      <w:pPr>
        <w:pStyle w:val="Heading6"/>
        <w:spacing w:before="145"/>
        <w:ind w:right="343"/>
      </w:pPr>
      <w:r>
        <w:rPr>
          <w:b w:val="0"/>
        </w:rPr>
        <w:br w:type="column"/>
      </w:r>
      <w:r>
        <w:rPr>
          <w:color w:val="105C84"/>
          <w:spacing w:val="-2"/>
        </w:rPr>
        <w:t>FIGURE</w:t>
      </w:r>
      <w:r>
        <w:rPr>
          <w:color w:val="105C84"/>
          <w:spacing w:val="-13"/>
        </w:rPr>
        <w:t> </w:t>
      </w:r>
      <w:r>
        <w:rPr>
          <w:color w:val="105C84"/>
          <w:spacing w:val="-2"/>
        </w:rPr>
        <w:t>8:</w:t>
      </w:r>
      <w:r>
        <w:rPr>
          <w:color w:val="105C84"/>
          <w:spacing w:val="-13"/>
        </w:rPr>
        <w:t> </w:t>
      </w:r>
      <w:r>
        <w:rPr>
          <w:color w:val="105C84"/>
          <w:spacing w:val="-2"/>
        </w:rPr>
        <w:t>Percent</w:t>
      </w:r>
      <w:r>
        <w:rPr>
          <w:color w:val="105C84"/>
          <w:spacing w:val="-13"/>
        </w:rPr>
        <w:t> </w:t>
      </w:r>
      <w:r>
        <w:rPr>
          <w:color w:val="105C84"/>
          <w:spacing w:val="-2"/>
        </w:rPr>
        <w:t>of</w:t>
      </w:r>
      <w:r>
        <w:rPr>
          <w:color w:val="105C84"/>
          <w:spacing w:val="-13"/>
        </w:rPr>
        <w:t> </w:t>
      </w:r>
      <w:r>
        <w:rPr>
          <w:color w:val="105C84"/>
          <w:spacing w:val="-2"/>
        </w:rPr>
        <w:t>residents</w:t>
      </w:r>
      <w:r>
        <w:rPr>
          <w:color w:val="105C84"/>
          <w:spacing w:val="-13"/>
        </w:rPr>
        <w:t> </w:t>
      </w:r>
      <w:r>
        <w:rPr>
          <w:color w:val="105C84"/>
          <w:spacing w:val="-2"/>
        </w:rPr>
        <w:t>served</w:t>
      </w:r>
      <w:r>
        <w:rPr>
          <w:color w:val="105C84"/>
          <w:spacing w:val="-13"/>
        </w:rPr>
        <w:t> </w:t>
      </w:r>
      <w:r>
        <w:rPr>
          <w:color w:val="105C84"/>
          <w:spacing w:val="-2"/>
        </w:rPr>
        <w:t>by</w:t>
      </w:r>
      <w:r>
        <w:rPr>
          <w:color w:val="105C84"/>
          <w:spacing w:val="-13"/>
        </w:rPr>
        <w:t> </w:t>
      </w:r>
      <w:r>
        <w:rPr>
          <w:color w:val="105C84"/>
          <w:spacing w:val="-2"/>
        </w:rPr>
        <w:t>community</w:t>
      </w:r>
      <w:r>
        <w:rPr>
          <w:color w:val="105C84"/>
          <w:spacing w:val="-13"/>
        </w:rPr>
        <w:t> </w:t>
      </w:r>
      <w:r>
        <w:rPr>
          <w:color w:val="105C84"/>
          <w:spacing w:val="-2"/>
        </w:rPr>
        <w:t>water</w:t>
      </w:r>
      <w:r>
        <w:rPr>
          <w:color w:val="105C84"/>
          <w:spacing w:val="-13"/>
        </w:rPr>
        <w:t> </w:t>
      </w:r>
      <w:r>
        <w:rPr>
          <w:color w:val="105C84"/>
          <w:spacing w:val="-2"/>
        </w:rPr>
        <w:t>systems</w:t>
      </w:r>
      <w:r>
        <w:rPr>
          <w:color w:val="105C84"/>
          <w:spacing w:val="-13"/>
        </w:rPr>
        <w:t> </w:t>
      </w:r>
      <w:r>
        <w:rPr>
          <w:color w:val="105C84"/>
          <w:spacing w:val="-2"/>
        </w:rPr>
        <w:t>with</w:t>
      </w:r>
      <w:r>
        <w:rPr>
          <w:color w:val="105C84"/>
          <w:spacing w:val="-13"/>
        </w:rPr>
        <w:t> </w:t>
      </w:r>
      <w:r>
        <w:rPr>
          <w:color w:val="105C84"/>
          <w:spacing w:val="-2"/>
        </w:rPr>
        <w:t>optimally </w:t>
      </w:r>
      <w:r>
        <w:rPr>
          <w:color w:val="105C84"/>
        </w:rPr>
        <w:t>fluoridated water</w:t>
      </w:r>
    </w:p>
    <w:p>
      <w:pPr>
        <w:pStyle w:val="BodyText"/>
        <w:rPr>
          <w:b/>
          <w:sz w:val="26"/>
        </w:rPr>
      </w:pPr>
    </w:p>
    <w:p>
      <w:pPr>
        <w:pStyle w:val="BodyText"/>
        <w:spacing w:before="101"/>
        <w:rPr>
          <w:b/>
          <w:sz w:val="26"/>
        </w:rPr>
      </w:pPr>
    </w:p>
    <w:p>
      <w:pPr>
        <w:spacing w:line="602" w:lineRule="auto" w:before="0"/>
        <w:ind w:left="1141" w:right="9514" w:firstLine="57"/>
        <w:jc w:val="right"/>
        <w:rPr>
          <w:sz w:val="18"/>
        </w:rPr>
      </w:pPr>
      <w:r>
        <w:rPr>
          <w:sz w:val="18"/>
        </w:rPr>
        <mc:AlternateContent>
          <mc:Choice Requires="wps">
            <w:drawing>
              <wp:anchor distT="0" distB="0" distL="0" distR="0" allowOverlap="1" layoutInCell="1" locked="0" behindDoc="0" simplePos="0" relativeHeight="15760896">
                <wp:simplePos x="0" y="0"/>
                <wp:positionH relativeFrom="page">
                  <wp:posOffset>9155536</wp:posOffset>
                </wp:positionH>
                <wp:positionV relativeFrom="paragraph">
                  <wp:posOffset>-105403</wp:posOffset>
                </wp:positionV>
                <wp:extent cx="4762500" cy="2319020"/>
                <wp:effectExtent l="0" t="0" r="0" b="0"/>
                <wp:wrapNone/>
                <wp:docPr id="296" name="Group 296"/>
                <wp:cNvGraphicFramePr>
                  <a:graphicFrameLocks/>
                </wp:cNvGraphicFramePr>
                <a:graphic>
                  <a:graphicData uri="http://schemas.microsoft.com/office/word/2010/wordprocessingGroup">
                    <wpg:wgp>
                      <wpg:cNvPr id="296" name="Group 296"/>
                      <wpg:cNvGrpSpPr/>
                      <wpg:grpSpPr>
                        <a:xfrm>
                          <a:off x="0" y="0"/>
                          <a:ext cx="4762500" cy="2319020"/>
                          <a:chExt cx="4762500" cy="2319020"/>
                        </a:xfrm>
                      </wpg:grpSpPr>
                      <wps:wsp>
                        <wps:cNvPr id="297" name="Graphic 297"/>
                        <wps:cNvSpPr/>
                        <wps:spPr>
                          <a:xfrm>
                            <a:off x="9914" y="200424"/>
                            <a:ext cx="4152900" cy="2057400"/>
                          </a:xfrm>
                          <a:custGeom>
                            <a:avLst/>
                            <a:gdLst/>
                            <a:ahLst/>
                            <a:cxnLst/>
                            <a:rect l="l" t="t" r="r" b="b"/>
                            <a:pathLst>
                              <a:path w="4152900" h="2057400">
                                <a:moveTo>
                                  <a:pt x="25400" y="990600"/>
                                </a:moveTo>
                                <a:lnTo>
                                  <a:pt x="0" y="990600"/>
                                </a:lnTo>
                                <a:lnTo>
                                  <a:pt x="0" y="1066800"/>
                                </a:lnTo>
                                <a:lnTo>
                                  <a:pt x="25400" y="1066800"/>
                                </a:lnTo>
                                <a:lnTo>
                                  <a:pt x="25400" y="990600"/>
                                </a:lnTo>
                                <a:close/>
                              </a:path>
                              <a:path w="4152900" h="2057400">
                                <a:moveTo>
                                  <a:pt x="1257300" y="1320800"/>
                                </a:moveTo>
                                <a:lnTo>
                                  <a:pt x="0" y="1320800"/>
                                </a:lnTo>
                                <a:lnTo>
                                  <a:pt x="0" y="1397000"/>
                                </a:lnTo>
                                <a:lnTo>
                                  <a:pt x="1257300" y="1397000"/>
                                </a:lnTo>
                                <a:lnTo>
                                  <a:pt x="1257300" y="1320800"/>
                                </a:lnTo>
                                <a:close/>
                              </a:path>
                              <a:path w="4152900" h="2057400">
                                <a:moveTo>
                                  <a:pt x="2146300" y="330200"/>
                                </a:moveTo>
                                <a:lnTo>
                                  <a:pt x="0" y="330200"/>
                                </a:lnTo>
                                <a:lnTo>
                                  <a:pt x="0" y="406400"/>
                                </a:lnTo>
                                <a:lnTo>
                                  <a:pt x="2146300" y="406400"/>
                                </a:lnTo>
                                <a:lnTo>
                                  <a:pt x="2146300" y="330200"/>
                                </a:lnTo>
                                <a:close/>
                              </a:path>
                              <a:path w="4152900" h="2057400">
                                <a:moveTo>
                                  <a:pt x="3162300" y="660400"/>
                                </a:moveTo>
                                <a:lnTo>
                                  <a:pt x="0" y="660400"/>
                                </a:lnTo>
                                <a:lnTo>
                                  <a:pt x="0" y="736600"/>
                                </a:lnTo>
                                <a:lnTo>
                                  <a:pt x="3162300" y="736600"/>
                                </a:lnTo>
                                <a:lnTo>
                                  <a:pt x="3162300" y="660400"/>
                                </a:lnTo>
                                <a:close/>
                              </a:path>
                              <a:path w="4152900" h="2057400">
                                <a:moveTo>
                                  <a:pt x="3683000" y="1981200"/>
                                </a:moveTo>
                                <a:lnTo>
                                  <a:pt x="0" y="1981200"/>
                                </a:lnTo>
                                <a:lnTo>
                                  <a:pt x="0" y="2057400"/>
                                </a:lnTo>
                                <a:lnTo>
                                  <a:pt x="3683000" y="2057400"/>
                                </a:lnTo>
                                <a:lnTo>
                                  <a:pt x="3683000" y="1981200"/>
                                </a:lnTo>
                                <a:close/>
                              </a:path>
                              <a:path w="4152900" h="2057400">
                                <a:moveTo>
                                  <a:pt x="3898900" y="1651012"/>
                                </a:moveTo>
                                <a:lnTo>
                                  <a:pt x="0" y="1651012"/>
                                </a:lnTo>
                                <a:lnTo>
                                  <a:pt x="0" y="1727200"/>
                                </a:lnTo>
                                <a:lnTo>
                                  <a:pt x="3898900" y="1727200"/>
                                </a:lnTo>
                                <a:lnTo>
                                  <a:pt x="3898900" y="1651012"/>
                                </a:lnTo>
                                <a:close/>
                              </a:path>
                              <a:path w="4152900" h="2057400">
                                <a:moveTo>
                                  <a:pt x="4152900" y="0"/>
                                </a:moveTo>
                                <a:lnTo>
                                  <a:pt x="0" y="0"/>
                                </a:lnTo>
                                <a:lnTo>
                                  <a:pt x="0" y="76200"/>
                                </a:lnTo>
                                <a:lnTo>
                                  <a:pt x="4152900" y="76200"/>
                                </a:lnTo>
                                <a:lnTo>
                                  <a:pt x="4152900" y="0"/>
                                </a:lnTo>
                                <a:close/>
                              </a:path>
                            </a:pathLst>
                          </a:custGeom>
                          <a:solidFill>
                            <a:srgbClr val="105C84"/>
                          </a:solidFill>
                        </wps:spPr>
                        <wps:bodyPr wrap="square" lIns="0" tIns="0" rIns="0" bIns="0" rtlCol="0">
                          <a:prstTxWarp prst="textNoShape">
                            <a:avLst/>
                          </a:prstTxWarp>
                          <a:noAutofit/>
                        </wps:bodyPr>
                      </wps:wsp>
                      <wps:wsp>
                        <wps:cNvPr id="298" name="Graphic 298"/>
                        <wps:cNvSpPr/>
                        <wps:spPr>
                          <a:xfrm>
                            <a:off x="9914" y="136924"/>
                            <a:ext cx="4152900" cy="2044700"/>
                          </a:xfrm>
                          <a:custGeom>
                            <a:avLst/>
                            <a:gdLst/>
                            <a:ahLst/>
                            <a:cxnLst/>
                            <a:rect l="l" t="t" r="r" b="b"/>
                            <a:pathLst>
                              <a:path w="4152900" h="2044700">
                                <a:moveTo>
                                  <a:pt x="25400" y="990600"/>
                                </a:moveTo>
                                <a:lnTo>
                                  <a:pt x="0" y="990600"/>
                                </a:lnTo>
                                <a:lnTo>
                                  <a:pt x="0" y="1054100"/>
                                </a:lnTo>
                                <a:lnTo>
                                  <a:pt x="25400" y="1054100"/>
                                </a:lnTo>
                                <a:lnTo>
                                  <a:pt x="25400" y="990600"/>
                                </a:lnTo>
                                <a:close/>
                              </a:path>
                              <a:path w="4152900" h="2044700">
                                <a:moveTo>
                                  <a:pt x="1257300" y="1320800"/>
                                </a:moveTo>
                                <a:lnTo>
                                  <a:pt x="0" y="1320800"/>
                                </a:lnTo>
                                <a:lnTo>
                                  <a:pt x="0" y="1384300"/>
                                </a:lnTo>
                                <a:lnTo>
                                  <a:pt x="1257300" y="1384300"/>
                                </a:lnTo>
                                <a:lnTo>
                                  <a:pt x="1257300" y="1320800"/>
                                </a:lnTo>
                                <a:close/>
                              </a:path>
                              <a:path w="4152900" h="2044700">
                                <a:moveTo>
                                  <a:pt x="2146300" y="330200"/>
                                </a:moveTo>
                                <a:lnTo>
                                  <a:pt x="0" y="330200"/>
                                </a:lnTo>
                                <a:lnTo>
                                  <a:pt x="0" y="393700"/>
                                </a:lnTo>
                                <a:lnTo>
                                  <a:pt x="2146300" y="393700"/>
                                </a:lnTo>
                                <a:lnTo>
                                  <a:pt x="2146300" y="330200"/>
                                </a:lnTo>
                                <a:close/>
                              </a:path>
                              <a:path w="4152900" h="2044700">
                                <a:moveTo>
                                  <a:pt x="3149600" y="660400"/>
                                </a:moveTo>
                                <a:lnTo>
                                  <a:pt x="0" y="660400"/>
                                </a:lnTo>
                                <a:lnTo>
                                  <a:pt x="0" y="723900"/>
                                </a:lnTo>
                                <a:lnTo>
                                  <a:pt x="3149600" y="723900"/>
                                </a:lnTo>
                                <a:lnTo>
                                  <a:pt x="3149600" y="660400"/>
                                </a:lnTo>
                                <a:close/>
                              </a:path>
                              <a:path w="4152900" h="2044700">
                                <a:moveTo>
                                  <a:pt x="3683000" y="1981200"/>
                                </a:moveTo>
                                <a:lnTo>
                                  <a:pt x="0" y="1981200"/>
                                </a:lnTo>
                                <a:lnTo>
                                  <a:pt x="0" y="2044700"/>
                                </a:lnTo>
                                <a:lnTo>
                                  <a:pt x="3683000" y="2044700"/>
                                </a:lnTo>
                                <a:lnTo>
                                  <a:pt x="3683000" y="1981200"/>
                                </a:lnTo>
                                <a:close/>
                              </a:path>
                              <a:path w="4152900" h="2044700">
                                <a:moveTo>
                                  <a:pt x="4025900" y="1651012"/>
                                </a:moveTo>
                                <a:lnTo>
                                  <a:pt x="0" y="1651012"/>
                                </a:lnTo>
                                <a:lnTo>
                                  <a:pt x="0" y="1714512"/>
                                </a:lnTo>
                                <a:lnTo>
                                  <a:pt x="4025900" y="1714512"/>
                                </a:lnTo>
                                <a:lnTo>
                                  <a:pt x="4025900" y="1651012"/>
                                </a:lnTo>
                                <a:close/>
                              </a:path>
                              <a:path w="4152900" h="2044700">
                                <a:moveTo>
                                  <a:pt x="4152900" y="0"/>
                                </a:moveTo>
                                <a:lnTo>
                                  <a:pt x="0" y="0"/>
                                </a:lnTo>
                                <a:lnTo>
                                  <a:pt x="0" y="63500"/>
                                </a:lnTo>
                                <a:lnTo>
                                  <a:pt x="4152900" y="63500"/>
                                </a:lnTo>
                                <a:lnTo>
                                  <a:pt x="4152900" y="0"/>
                                </a:lnTo>
                                <a:close/>
                              </a:path>
                            </a:pathLst>
                          </a:custGeom>
                          <a:solidFill>
                            <a:srgbClr val="B0D236"/>
                          </a:solidFill>
                        </wps:spPr>
                        <wps:bodyPr wrap="square" lIns="0" tIns="0" rIns="0" bIns="0" rtlCol="0">
                          <a:prstTxWarp prst="textNoShape">
                            <a:avLst/>
                          </a:prstTxWarp>
                          <a:noAutofit/>
                        </wps:bodyPr>
                      </wps:wsp>
                      <wps:wsp>
                        <wps:cNvPr id="299" name="Graphic 299"/>
                        <wps:cNvSpPr/>
                        <wps:spPr>
                          <a:xfrm>
                            <a:off x="9914" y="73424"/>
                            <a:ext cx="4140200" cy="2044700"/>
                          </a:xfrm>
                          <a:custGeom>
                            <a:avLst/>
                            <a:gdLst/>
                            <a:ahLst/>
                            <a:cxnLst/>
                            <a:rect l="l" t="t" r="r" b="b"/>
                            <a:pathLst>
                              <a:path w="4140200" h="2044700">
                                <a:moveTo>
                                  <a:pt x="25400" y="990600"/>
                                </a:moveTo>
                                <a:lnTo>
                                  <a:pt x="0" y="990600"/>
                                </a:lnTo>
                                <a:lnTo>
                                  <a:pt x="0" y="1054100"/>
                                </a:lnTo>
                                <a:lnTo>
                                  <a:pt x="25400" y="1054100"/>
                                </a:lnTo>
                                <a:lnTo>
                                  <a:pt x="25400" y="990600"/>
                                </a:lnTo>
                                <a:close/>
                              </a:path>
                              <a:path w="4140200" h="2044700">
                                <a:moveTo>
                                  <a:pt x="1257300" y="1320800"/>
                                </a:moveTo>
                                <a:lnTo>
                                  <a:pt x="0" y="1320800"/>
                                </a:lnTo>
                                <a:lnTo>
                                  <a:pt x="0" y="1384300"/>
                                </a:lnTo>
                                <a:lnTo>
                                  <a:pt x="1257300" y="1384300"/>
                                </a:lnTo>
                                <a:lnTo>
                                  <a:pt x="1257300" y="1320800"/>
                                </a:lnTo>
                                <a:close/>
                              </a:path>
                              <a:path w="4140200" h="2044700">
                                <a:moveTo>
                                  <a:pt x="2171700" y="330200"/>
                                </a:moveTo>
                                <a:lnTo>
                                  <a:pt x="0" y="330200"/>
                                </a:lnTo>
                                <a:lnTo>
                                  <a:pt x="0" y="393700"/>
                                </a:lnTo>
                                <a:lnTo>
                                  <a:pt x="2171700" y="393700"/>
                                </a:lnTo>
                                <a:lnTo>
                                  <a:pt x="2171700" y="330200"/>
                                </a:lnTo>
                                <a:close/>
                              </a:path>
                              <a:path w="4140200" h="2044700">
                                <a:moveTo>
                                  <a:pt x="3162300" y="660400"/>
                                </a:moveTo>
                                <a:lnTo>
                                  <a:pt x="0" y="660400"/>
                                </a:lnTo>
                                <a:lnTo>
                                  <a:pt x="0" y="723900"/>
                                </a:lnTo>
                                <a:lnTo>
                                  <a:pt x="3162300" y="723900"/>
                                </a:lnTo>
                                <a:lnTo>
                                  <a:pt x="3162300" y="660400"/>
                                </a:lnTo>
                                <a:close/>
                              </a:path>
                              <a:path w="4140200" h="2044700">
                                <a:moveTo>
                                  <a:pt x="3670300" y="1981200"/>
                                </a:moveTo>
                                <a:lnTo>
                                  <a:pt x="0" y="1981200"/>
                                </a:lnTo>
                                <a:lnTo>
                                  <a:pt x="0" y="2044700"/>
                                </a:lnTo>
                                <a:lnTo>
                                  <a:pt x="3670300" y="2044700"/>
                                </a:lnTo>
                                <a:lnTo>
                                  <a:pt x="3670300" y="1981200"/>
                                </a:lnTo>
                                <a:close/>
                              </a:path>
                              <a:path w="4140200" h="2044700">
                                <a:moveTo>
                                  <a:pt x="4025900" y="1651000"/>
                                </a:moveTo>
                                <a:lnTo>
                                  <a:pt x="0" y="1651000"/>
                                </a:lnTo>
                                <a:lnTo>
                                  <a:pt x="0" y="1714512"/>
                                </a:lnTo>
                                <a:lnTo>
                                  <a:pt x="4025900" y="1714512"/>
                                </a:lnTo>
                                <a:lnTo>
                                  <a:pt x="4025900" y="1651000"/>
                                </a:lnTo>
                                <a:close/>
                              </a:path>
                              <a:path w="4140200" h="2044700">
                                <a:moveTo>
                                  <a:pt x="4140200" y="0"/>
                                </a:moveTo>
                                <a:lnTo>
                                  <a:pt x="0" y="0"/>
                                </a:lnTo>
                                <a:lnTo>
                                  <a:pt x="0" y="63500"/>
                                </a:lnTo>
                                <a:lnTo>
                                  <a:pt x="4140200" y="63500"/>
                                </a:lnTo>
                                <a:lnTo>
                                  <a:pt x="4140200" y="0"/>
                                </a:lnTo>
                                <a:close/>
                              </a:path>
                            </a:pathLst>
                          </a:custGeom>
                          <a:solidFill>
                            <a:srgbClr val="00A79E"/>
                          </a:solidFill>
                        </wps:spPr>
                        <wps:bodyPr wrap="square" lIns="0" tIns="0" rIns="0" bIns="0" rtlCol="0">
                          <a:prstTxWarp prst="textNoShape">
                            <a:avLst/>
                          </a:prstTxWarp>
                          <a:noAutofit/>
                        </wps:bodyPr>
                      </wps:wsp>
                      <wps:wsp>
                        <wps:cNvPr id="300" name="Graphic 300"/>
                        <wps:cNvSpPr/>
                        <wps:spPr>
                          <a:xfrm>
                            <a:off x="3568" y="3568"/>
                            <a:ext cx="4754880" cy="2311400"/>
                          </a:xfrm>
                          <a:custGeom>
                            <a:avLst/>
                            <a:gdLst/>
                            <a:ahLst/>
                            <a:cxnLst/>
                            <a:rect l="l" t="t" r="r" b="b"/>
                            <a:pathLst>
                              <a:path w="4754880" h="2311400">
                                <a:moveTo>
                                  <a:pt x="0" y="0"/>
                                </a:moveTo>
                                <a:lnTo>
                                  <a:pt x="0" y="2311400"/>
                                </a:lnTo>
                                <a:lnTo>
                                  <a:pt x="4754753" y="2311400"/>
                                </a:lnTo>
                              </a:path>
                            </a:pathLst>
                          </a:custGeom>
                          <a:ln w="7137">
                            <a:solidFill>
                              <a:srgbClr val="939598"/>
                            </a:solidFill>
                            <a:prstDash val="solid"/>
                          </a:ln>
                        </wps:spPr>
                        <wps:bodyPr wrap="square" lIns="0" tIns="0" rIns="0" bIns="0" rtlCol="0">
                          <a:prstTxWarp prst="textNoShape">
                            <a:avLst/>
                          </a:prstTxWarp>
                          <a:noAutofit/>
                        </wps:bodyPr>
                      </wps:wsp>
                      <wps:wsp>
                        <wps:cNvPr id="301" name="Graphic 301"/>
                        <wps:cNvSpPr/>
                        <wps:spPr>
                          <a:xfrm>
                            <a:off x="4427977" y="70999"/>
                            <a:ext cx="67310" cy="67310"/>
                          </a:xfrm>
                          <a:custGeom>
                            <a:avLst/>
                            <a:gdLst/>
                            <a:ahLst/>
                            <a:cxnLst/>
                            <a:rect l="l" t="t" r="r" b="b"/>
                            <a:pathLst>
                              <a:path w="67310" h="67310">
                                <a:moveTo>
                                  <a:pt x="66700" y="0"/>
                                </a:moveTo>
                                <a:lnTo>
                                  <a:pt x="0" y="0"/>
                                </a:lnTo>
                                <a:lnTo>
                                  <a:pt x="0" y="66687"/>
                                </a:lnTo>
                                <a:lnTo>
                                  <a:pt x="66700" y="66687"/>
                                </a:lnTo>
                                <a:lnTo>
                                  <a:pt x="66700" y="0"/>
                                </a:lnTo>
                                <a:close/>
                              </a:path>
                            </a:pathLst>
                          </a:custGeom>
                          <a:solidFill>
                            <a:srgbClr val="00A79E"/>
                          </a:solidFill>
                        </wps:spPr>
                        <wps:bodyPr wrap="square" lIns="0" tIns="0" rIns="0" bIns="0" rtlCol="0">
                          <a:prstTxWarp prst="textNoShape">
                            <a:avLst/>
                          </a:prstTxWarp>
                          <a:noAutofit/>
                        </wps:bodyPr>
                      </wps:wsp>
                      <wps:wsp>
                        <wps:cNvPr id="302" name="Graphic 302"/>
                        <wps:cNvSpPr/>
                        <wps:spPr>
                          <a:xfrm>
                            <a:off x="4427977" y="293376"/>
                            <a:ext cx="67310" cy="67310"/>
                          </a:xfrm>
                          <a:custGeom>
                            <a:avLst/>
                            <a:gdLst/>
                            <a:ahLst/>
                            <a:cxnLst/>
                            <a:rect l="l" t="t" r="r" b="b"/>
                            <a:pathLst>
                              <a:path w="67310" h="67310">
                                <a:moveTo>
                                  <a:pt x="66700" y="0"/>
                                </a:moveTo>
                                <a:lnTo>
                                  <a:pt x="0" y="0"/>
                                </a:lnTo>
                                <a:lnTo>
                                  <a:pt x="0" y="66700"/>
                                </a:lnTo>
                                <a:lnTo>
                                  <a:pt x="66700" y="66700"/>
                                </a:lnTo>
                                <a:lnTo>
                                  <a:pt x="66700" y="0"/>
                                </a:lnTo>
                                <a:close/>
                              </a:path>
                            </a:pathLst>
                          </a:custGeom>
                          <a:solidFill>
                            <a:srgbClr val="B0D236"/>
                          </a:solidFill>
                        </wps:spPr>
                        <wps:bodyPr wrap="square" lIns="0" tIns="0" rIns="0" bIns="0" rtlCol="0">
                          <a:prstTxWarp prst="textNoShape">
                            <a:avLst/>
                          </a:prstTxWarp>
                          <a:noAutofit/>
                        </wps:bodyPr>
                      </wps:wsp>
                      <wps:wsp>
                        <wps:cNvPr id="303" name="Graphic 303"/>
                        <wps:cNvSpPr/>
                        <wps:spPr>
                          <a:xfrm>
                            <a:off x="4427977" y="502418"/>
                            <a:ext cx="67310" cy="67310"/>
                          </a:xfrm>
                          <a:custGeom>
                            <a:avLst/>
                            <a:gdLst/>
                            <a:ahLst/>
                            <a:cxnLst/>
                            <a:rect l="l" t="t" r="r" b="b"/>
                            <a:pathLst>
                              <a:path w="67310" h="67310">
                                <a:moveTo>
                                  <a:pt x="66700" y="0"/>
                                </a:moveTo>
                                <a:lnTo>
                                  <a:pt x="0" y="0"/>
                                </a:lnTo>
                                <a:lnTo>
                                  <a:pt x="0" y="66687"/>
                                </a:lnTo>
                                <a:lnTo>
                                  <a:pt x="66700" y="66687"/>
                                </a:lnTo>
                                <a:lnTo>
                                  <a:pt x="66700" y="0"/>
                                </a:lnTo>
                                <a:close/>
                              </a:path>
                            </a:pathLst>
                          </a:custGeom>
                          <a:solidFill>
                            <a:srgbClr val="105C84"/>
                          </a:solidFill>
                        </wps:spPr>
                        <wps:bodyPr wrap="square" lIns="0" tIns="0" rIns="0" bIns="0" rtlCol="0">
                          <a:prstTxWarp prst="textNoShape">
                            <a:avLst/>
                          </a:prstTxWarp>
                          <a:noAutofit/>
                        </wps:bodyPr>
                      </wps:wsp>
                      <wps:wsp>
                        <wps:cNvPr id="304" name="Textbox 304"/>
                        <wps:cNvSpPr txBox="1"/>
                        <wps:spPr>
                          <a:xfrm>
                            <a:off x="4522815" y="40651"/>
                            <a:ext cx="224154" cy="570865"/>
                          </a:xfrm>
                          <a:prstGeom prst="rect">
                            <a:avLst/>
                          </a:prstGeom>
                        </wps:spPr>
                        <wps:txbx>
                          <w:txbxContent>
                            <w:p>
                              <w:pPr>
                                <w:spacing w:before="10"/>
                                <w:ind w:left="0" w:right="0" w:firstLine="0"/>
                                <w:jc w:val="left"/>
                                <w:rPr>
                                  <w:sz w:val="16"/>
                                </w:rPr>
                              </w:pPr>
                              <w:r>
                                <w:rPr>
                                  <w:color w:val="105C84"/>
                                  <w:spacing w:val="-5"/>
                                  <w:sz w:val="16"/>
                                </w:rPr>
                                <w:t>2015</w:t>
                              </w:r>
                            </w:p>
                            <w:p>
                              <w:pPr>
                                <w:spacing w:before="156"/>
                                <w:ind w:left="0" w:right="0" w:firstLine="0"/>
                                <w:jc w:val="left"/>
                                <w:rPr>
                                  <w:sz w:val="16"/>
                                </w:rPr>
                              </w:pPr>
                              <w:r>
                                <w:rPr>
                                  <w:color w:val="105C84"/>
                                  <w:spacing w:val="-5"/>
                                  <w:sz w:val="16"/>
                                </w:rPr>
                                <w:t>2016</w:t>
                              </w:r>
                            </w:p>
                            <w:p>
                              <w:pPr>
                                <w:spacing w:before="156"/>
                                <w:ind w:left="0" w:right="0" w:firstLine="0"/>
                                <w:jc w:val="left"/>
                                <w:rPr>
                                  <w:sz w:val="16"/>
                                </w:rPr>
                              </w:pPr>
                              <w:r>
                                <w:rPr>
                                  <w:color w:val="105C84"/>
                                  <w:spacing w:val="-5"/>
                                  <w:sz w:val="16"/>
                                </w:rPr>
                                <w:t>2017</w:t>
                              </w:r>
                            </w:p>
                          </w:txbxContent>
                        </wps:txbx>
                        <wps:bodyPr wrap="square" lIns="0" tIns="0" rIns="0" bIns="0" rtlCol="0">
                          <a:noAutofit/>
                        </wps:bodyPr>
                      </wps:wsp>
                    </wpg:wgp>
                  </a:graphicData>
                </a:graphic>
              </wp:anchor>
            </w:drawing>
          </mc:Choice>
          <mc:Fallback>
            <w:pict>
              <v:group style="position:absolute;margin-left:720.908386pt;margin-top:-8.299469pt;width:375pt;height:182.6pt;mso-position-horizontal-relative:page;mso-position-vertical-relative:paragraph;z-index:15760896" id="docshapegroup254" coordorigin="14418,-166" coordsize="7500,3652">
                <v:shape style="position:absolute;left:14433;top:149;width:6540;height:3240" id="docshape255" coordorigin="14434,150" coordsize="6540,3240" path="m14474,1710l14434,1710,14434,1830,14474,1830,14474,1710xm16414,2230l14434,2230,14434,2350,16414,2350,16414,2230xm17814,670l14434,670,14434,790,17814,790,17814,670xm19414,1190l14434,1190,14434,1310,19414,1310,19414,1190xm20234,3270l14434,3270,14434,3390,20234,3390,20234,3270xm20574,2750l14434,2750,14434,2870,20574,2870,20574,2750xm20974,150l14434,150,14434,270,20974,270,20974,150xe" filled="true" fillcolor="#105c84" stroked="false">
                  <v:path arrowok="t"/>
                  <v:fill type="solid"/>
                </v:shape>
                <v:shape style="position:absolute;left:14433;top:49;width:6540;height:3220" id="docshape256" coordorigin="14434,50" coordsize="6540,3220" path="m14474,1610l14434,1610,14434,1710,14474,1710,14474,1610xm16414,2130l14434,2130,14434,2230,16414,2230,16414,2130xm17814,570l14434,570,14434,670,17814,670,17814,570xm19394,1090l14434,1090,14434,1190,19394,1190,19394,1090xm20234,3170l14434,3170,14434,3270,20234,3270,20234,3170xm20774,2650l14434,2650,14434,2750,20774,2750,20774,2650xm20974,50l14434,50,14434,150,20974,150,20974,50xe" filled="true" fillcolor="#b0d236" stroked="false">
                  <v:path arrowok="t"/>
                  <v:fill type="solid"/>
                </v:shape>
                <v:shape style="position:absolute;left:14433;top:-51;width:6520;height:3220" id="docshape257" coordorigin="14434,-50" coordsize="6520,3220" path="m14474,1510l14434,1510,14434,1610,14474,1610,14474,1510xm16414,2030l14434,2030,14434,2130,16414,2130,16414,2030xm17854,470l14434,470,14434,570,17854,570,17854,470xm19414,990l14434,990,14434,1090,19414,1090,19414,990xm20214,3070l14434,3070,14434,3170,20214,3170,20214,3070xm20774,2550l14434,2550,14434,2650,20774,2650,20774,2550xm20954,-50l14434,-50,14434,50,20954,50,20954,-50xe" filled="true" fillcolor="#00a79e" stroked="false">
                  <v:path arrowok="t"/>
                  <v:fill type="solid"/>
                </v:shape>
                <v:shape style="position:absolute;left:14423;top:-161;width:7488;height:3640" id="docshape258" coordorigin="14424,-160" coordsize="7488,3640" path="m14424,-160l14424,3480,21912,3480e" filled="false" stroked="true" strokeweight=".562pt" strokecolor="#939598">
                  <v:path arrowok="t"/>
                  <v:stroke dashstyle="solid"/>
                </v:shape>
                <v:rect style="position:absolute;left:21391;top:-55;width:106;height:106" id="docshape259" filled="true" fillcolor="#00a79e" stroked="false">
                  <v:fill type="solid"/>
                </v:rect>
                <v:rect style="position:absolute;left:21391;top:296;width:106;height:106" id="docshape260" filled="true" fillcolor="#b0d236" stroked="false">
                  <v:fill type="solid"/>
                </v:rect>
                <v:rect style="position:absolute;left:21391;top:625;width:106;height:106" id="docshape261" filled="true" fillcolor="#105c84" stroked="false">
                  <v:fill type="solid"/>
                </v:rect>
                <v:shape style="position:absolute;left:21540;top:-102;width:353;height:899" type="#_x0000_t202" id="docshape262" filled="false" stroked="false">
                  <v:textbox inset="0,0,0,0">
                    <w:txbxContent>
                      <w:p>
                        <w:pPr>
                          <w:spacing w:before="10"/>
                          <w:ind w:left="0" w:right="0" w:firstLine="0"/>
                          <w:jc w:val="left"/>
                          <w:rPr>
                            <w:sz w:val="16"/>
                          </w:rPr>
                        </w:pPr>
                        <w:r>
                          <w:rPr>
                            <w:color w:val="105C84"/>
                            <w:spacing w:val="-5"/>
                            <w:sz w:val="16"/>
                          </w:rPr>
                          <w:t>2015</w:t>
                        </w:r>
                      </w:p>
                      <w:p>
                        <w:pPr>
                          <w:spacing w:before="156"/>
                          <w:ind w:left="0" w:right="0" w:firstLine="0"/>
                          <w:jc w:val="left"/>
                          <w:rPr>
                            <w:sz w:val="16"/>
                          </w:rPr>
                        </w:pPr>
                        <w:r>
                          <w:rPr>
                            <w:color w:val="105C84"/>
                            <w:spacing w:val="-5"/>
                            <w:sz w:val="16"/>
                          </w:rPr>
                          <w:t>2016</w:t>
                        </w:r>
                      </w:p>
                      <w:p>
                        <w:pPr>
                          <w:spacing w:before="156"/>
                          <w:ind w:left="0" w:right="0" w:firstLine="0"/>
                          <w:jc w:val="left"/>
                          <w:rPr>
                            <w:sz w:val="16"/>
                          </w:rPr>
                        </w:pPr>
                        <w:r>
                          <w:rPr>
                            <w:color w:val="105C84"/>
                            <w:spacing w:val="-5"/>
                            <w:sz w:val="16"/>
                          </w:rPr>
                          <w:t>2017</w:t>
                        </w:r>
                      </w:p>
                    </w:txbxContent>
                  </v:textbox>
                  <w10:wrap type="none"/>
                </v:shape>
                <w10:wrap type="none"/>
              </v:group>
            </w:pict>
          </mc:Fallback>
        </mc:AlternateContent>
      </w:r>
      <w:r>
        <w:rPr>
          <w:color w:val="636466"/>
          <w:spacing w:val="-2"/>
          <w:sz w:val="18"/>
        </w:rPr>
        <w:t>Chemung Livingston</w:t>
      </w:r>
    </w:p>
    <w:p>
      <w:pPr>
        <w:spacing w:line="602" w:lineRule="auto" w:before="1"/>
        <w:ind w:left="1312" w:right="9499" w:firstLine="78"/>
        <w:jc w:val="right"/>
        <w:rPr>
          <w:sz w:val="18"/>
        </w:rPr>
      </w:pPr>
      <w:r>
        <w:rPr>
          <w:color w:val="636466"/>
          <w:spacing w:val="-2"/>
          <w:sz w:val="18"/>
        </w:rPr>
        <w:t>Ontario Seneca Steuben Wayne</w:t>
      </w:r>
    </w:p>
    <w:p>
      <w:pPr>
        <w:spacing w:before="2"/>
        <w:ind w:left="1569" w:right="0" w:firstLine="0"/>
        <w:jc w:val="left"/>
        <w:rPr>
          <w:sz w:val="18"/>
        </w:rPr>
      </w:pPr>
      <w:r>
        <w:rPr>
          <w:color w:val="636466"/>
          <w:spacing w:val="-2"/>
          <w:sz w:val="18"/>
        </w:rPr>
        <w:t>Yates</w:t>
      </w:r>
    </w:p>
    <w:p>
      <w:pPr>
        <w:spacing w:after="0"/>
        <w:jc w:val="left"/>
        <w:rPr>
          <w:sz w:val="18"/>
        </w:rPr>
        <w:sectPr>
          <w:type w:val="continuous"/>
          <w:pgSz w:w="24480" w:h="15840" w:orient="landscape"/>
          <w:pgMar w:header="0" w:footer="0" w:top="0" w:bottom="280" w:left="0" w:right="720"/>
          <w:cols w:num="2" w:equalWidth="0">
            <w:col w:w="11063" w:space="1191"/>
            <w:col w:w="11506"/>
          </w:cols>
        </w:sectPr>
      </w:pPr>
    </w:p>
    <w:p>
      <w:pPr>
        <w:pStyle w:val="BodyText"/>
        <w:spacing w:before="26"/>
        <w:rPr>
          <w:sz w:val="18"/>
        </w:rPr>
      </w:pPr>
    </w:p>
    <w:p>
      <w:pPr>
        <w:tabs>
          <w:tab w:pos="15668" w:val="left" w:leader="none"/>
          <w:tab w:pos="17124" w:val="left" w:leader="none"/>
          <w:tab w:pos="18579" w:val="left" w:leader="none"/>
          <w:tab w:pos="20034" w:val="left" w:leader="none"/>
          <w:tab w:pos="21432" w:val="left" w:leader="none"/>
        </w:tabs>
        <w:spacing w:before="0"/>
        <w:ind w:left="14270" w:right="0" w:firstLine="0"/>
        <w:jc w:val="left"/>
        <w:rPr>
          <w:sz w:val="18"/>
        </w:rPr>
      </w:pPr>
      <w:r>
        <w:rPr>
          <w:sz w:val="18"/>
        </w:rPr>
        <mc:AlternateContent>
          <mc:Choice Requires="wps">
            <w:drawing>
              <wp:anchor distT="0" distB="0" distL="0" distR="0" allowOverlap="1" layoutInCell="1" locked="0" behindDoc="0" simplePos="0" relativeHeight="15762432">
                <wp:simplePos x="0" y="0"/>
                <wp:positionH relativeFrom="page">
                  <wp:posOffset>647700</wp:posOffset>
                </wp:positionH>
                <wp:positionV relativeFrom="paragraph">
                  <wp:posOffset>-1671306</wp:posOffset>
                </wp:positionV>
                <wp:extent cx="6586855" cy="4206874"/>
                <wp:effectExtent l="0" t="0" r="0" b="0"/>
                <wp:wrapNone/>
                <wp:docPr id="305" name="Textbox 305"/>
                <wp:cNvGraphicFramePr>
                  <a:graphicFrameLocks/>
                </wp:cNvGraphicFramePr>
                <a:graphic>
                  <a:graphicData uri="http://schemas.microsoft.com/office/word/2010/wordprocessingShape">
                    <wps:wsp>
                      <wps:cNvPr id="305" name="Textbox 305"/>
                      <wps:cNvSpPr txBox="1"/>
                      <wps:spPr>
                        <a:xfrm>
                          <a:off x="0" y="0"/>
                          <a:ext cx="6586855" cy="4206874"/>
                        </a:xfrm>
                        <a:prstGeom prst="rect">
                          <a:avLst/>
                        </a:prstGeom>
                      </wps:spPr>
                      <wps:txbx>
                        <w:txbxContent>
                          <w:tbl>
                            <w:tblPr>
                              <w:tblW w:w="0" w:type="auto"/>
                              <w:jc w:val="left"/>
                              <w:tblInd w:w="62"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top w:w="0" w:type="dxa"/>
                                <w:left w:w="0" w:type="dxa"/>
                                <w:bottom w:w="0" w:type="dxa"/>
                                <w:right w:w="0" w:type="dxa"/>
                              </w:tblCellMar>
                              <w:tblLook w:val="01E0"/>
                            </w:tblPr>
                            <w:tblGrid>
                              <w:gridCol w:w="4116"/>
                              <w:gridCol w:w="1354"/>
                              <w:gridCol w:w="1238"/>
                              <w:gridCol w:w="1238"/>
                              <w:gridCol w:w="1238"/>
                              <w:gridCol w:w="1065"/>
                            </w:tblGrid>
                            <w:tr>
                              <w:trPr>
                                <w:trHeight w:val="453" w:hRule="atLeast"/>
                              </w:trPr>
                              <w:tc>
                                <w:tcPr>
                                  <w:tcW w:w="4116" w:type="dxa"/>
                                  <w:vMerge w:val="restart"/>
                                  <w:tcBorders>
                                    <w:bottom w:val="single" w:sz="8" w:space="0" w:color="939598"/>
                                    <w:right w:val="single" w:sz="8" w:space="0" w:color="939598"/>
                                  </w:tcBorders>
                                </w:tcPr>
                                <w:p>
                                  <w:pPr>
                                    <w:pStyle w:val="TableParagraph"/>
                                    <w:rPr>
                                      <w:rFonts w:ascii="Times New Roman"/>
                                      <w:sz w:val="20"/>
                                    </w:rPr>
                                  </w:pPr>
                                </w:p>
                              </w:tc>
                              <w:tc>
                                <w:tcPr>
                                  <w:tcW w:w="6133" w:type="dxa"/>
                                  <w:gridSpan w:val="5"/>
                                  <w:tcBorders>
                                    <w:left w:val="single" w:sz="8" w:space="0" w:color="939598"/>
                                    <w:bottom w:val="nil"/>
                                  </w:tcBorders>
                                  <w:shd w:val="clear" w:color="auto" w:fill="00A79E"/>
                                </w:tcPr>
                                <w:p>
                                  <w:pPr>
                                    <w:pStyle w:val="TableParagraph"/>
                                    <w:spacing w:before="124"/>
                                    <w:ind w:right="1"/>
                                    <w:jc w:val="center"/>
                                    <w:rPr>
                                      <w:b/>
                                      <w:sz w:val="20"/>
                                    </w:rPr>
                                  </w:pPr>
                                  <w:r>
                                    <w:rPr>
                                      <w:b/>
                                      <w:color w:val="FFFFFF"/>
                                      <w:sz w:val="20"/>
                                    </w:rPr>
                                    <w:t>8</w:t>
                                  </w:r>
                                  <w:r>
                                    <w:rPr>
                                      <w:b/>
                                      <w:color w:val="FFFFFF"/>
                                      <w:spacing w:val="15"/>
                                      <w:sz w:val="20"/>
                                    </w:rPr>
                                    <w:t> </w:t>
                                  </w:r>
                                  <w:r>
                                    <w:rPr>
                                      <w:b/>
                                      <w:color w:val="FFFFFF"/>
                                      <w:sz w:val="20"/>
                                    </w:rPr>
                                    <w:t>COUNTY</w:t>
                                  </w:r>
                                  <w:r>
                                    <w:rPr>
                                      <w:b/>
                                      <w:color w:val="FFFFFF"/>
                                      <w:spacing w:val="15"/>
                                      <w:sz w:val="20"/>
                                    </w:rPr>
                                    <w:t> </w:t>
                                  </w:r>
                                  <w:r>
                                    <w:rPr>
                                      <w:b/>
                                      <w:color w:val="FFFFFF"/>
                                      <w:spacing w:val="-2"/>
                                      <w:sz w:val="20"/>
                                    </w:rPr>
                                    <w:t>REGION</w:t>
                                  </w:r>
                                </w:p>
                              </w:tc>
                            </w:tr>
                            <w:tr>
                              <w:trPr>
                                <w:trHeight w:val="671" w:hRule="atLeast"/>
                              </w:trPr>
                              <w:tc>
                                <w:tcPr>
                                  <w:tcW w:w="4116" w:type="dxa"/>
                                  <w:vMerge/>
                                  <w:tcBorders>
                                    <w:top w:val="nil"/>
                                    <w:bottom w:val="single" w:sz="8" w:space="0" w:color="939598"/>
                                    <w:right w:val="single" w:sz="8" w:space="0" w:color="939598"/>
                                  </w:tcBorders>
                                </w:tcPr>
                                <w:p>
                                  <w:pPr>
                                    <w:rPr>
                                      <w:sz w:val="2"/>
                                      <w:szCs w:val="2"/>
                                    </w:rPr>
                                  </w:pPr>
                                </w:p>
                              </w:tc>
                              <w:tc>
                                <w:tcPr>
                                  <w:tcW w:w="6133" w:type="dxa"/>
                                  <w:gridSpan w:val="5"/>
                                  <w:tcBorders>
                                    <w:top w:val="nil"/>
                                    <w:left w:val="single" w:sz="8" w:space="0" w:color="939598"/>
                                    <w:bottom w:val="single" w:sz="8" w:space="0" w:color="939598"/>
                                  </w:tcBorders>
                                  <w:shd w:val="clear" w:color="auto" w:fill="82BF6A"/>
                                </w:tcPr>
                                <w:p>
                                  <w:pPr>
                                    <w:pStyle w:val="TableParagraph"/>
                                    <w:tabs>
                                      <w:tab w:pos="1472" w:val="left" w:leader="none"/>
                                      <w:tab w:pos="1546" w:val="left" w:leader="none"/>
                                      <w:tab w:pos="2710" w:val="left" w:leader="none"/>
                                      <w:tab w:pos="2784" w:val="left" w:leader="none"/>
                                      <w:tab w:pos="3948" w:val="left" w:leader="none"/>
                                      <w:tab w:pos="4108" w:val="left" w:leader="none"/>
                                      <w:tab w:pos="5227" w:val="left" w:leader="none"/>
                                    </w:tabs>
                                    <w:spacing w:line="151" w:lineRule="auto" w:before="119"/>
                                    <w:ind w:left="82" w:right="159" w:firstLine="94"/>
                                    <w:rPr>
                                      <w:position w:val="-1"/>
                                      <w:sz w:val="22"/>
                                    </w:rPr>
                                  </w:pPr>
                                  <w:r>
                                    <w:rPr>
                                      <w:color w:val="FFFFFF"/>
                                      <w:position w:val="-1"/>
                                      <w:sz w:val="22"/>
                                    </w:rPr>
                                    <w:t>8 County:</w:t>
                                    <w:tab/>
                                  </w:r>
                                  <w:r>
                                    <w:rPr>
                                      <w:color w:val="FFFFFF"/>
                                      <w:sz w:val="22"/>
                                    </w:rPr>
                                    <w:t>8 County:</w:t>
                                    <w:tab/>
                                  </w:r>
                                  <w:r>
                                    <w:rPr>
                                      <w:color w:val="FFFFFF"/>
                                      <w:position w:val="-1"/>
                                      <w:sz w:val="22"/>
                                    </w:rPr>
                                    <w:t>8 County:</w:t>
                                    <w:tab/>
                                  </w:r>
                                  <w:r>
                                    <w:rPr>
                                      <w:color w:val="FFFFFF"/>
                                      <w:sz w:val="22"/>
                                    </w:rPr>
                                    <w:t>8 County:</w:t>
                                    <w:tab/>
                                  </w:r>
                                  <w:r>
                                    <w:rPr>
                                      <w:color w:val="FFFFFF"/>
                                      <w:spacing w:val="-2"/>
                                      <w:position w:val="-12"/>
                                      <w:sz w:val="22"/>
                                    </w:rPr>
                                    <w:t>Overal</w:t>
                                  </w:r>
                                  <w:r>
                                    <w:rPr>
                                      <w:color w:val="FFFFFF"/>
                                      <w:spacing w:val="-2"/>
                                      <w:position w:val="-12"/>
                                      <w:sz w:val="22"/>
                                    </w:rPr>
                                    <w:t>l</w:t>
                                  </w:r>
                                  <w:r>
                                    <w:rPr>
                                      <w:color w:val="FFFFFF"/>
                                      <w:spacing w:val="-2"/>
                                      <w:position w:val="-12"/>
                                      <w:sz w:val="22"/>
                                    </w:rPr>
                                    <w:t> </w:t>
                                  </w:r>
                                  <w:r>
                                    <w:rPr>
                                      <w:color w:val="FFFFFF"/>
                                      <w:sz w:val="22"/>
                                    </w:rPr>
                                    <w:t>under $25K</w:t>
                                    <w:tab/>
                                    <w:tab/>
                                  </w:r>
                                  <w:r>
                                    <w:rPr>
                                      <w:color w:val="FFFFFF"/>
                                      <w:spacing w:val="-2"/>
                                      <w:position w:val="-1"/>
                                      <w:sz w:val="22"/>
                                    </w:rPr>
                                    <w:t>$25-50K</w:t>
                                  </w:r>
                                  <w:r>
                                    <w:rPr>
                                      <w:color w:val="FFFFFF"/>
                                      <w:position w:val="-1"/>
                                      <w:sz w:val="22"/>
                                    </w:rPr>
                                    <w:tab/>
                                    <w:tab/>
                                  </w:r>
                                  <w:r>
                                    <w:rPr>
                                      <w:color w:val="FFFFFF"/>
                                      <w:spacing w:val="-2"/>
                                      <w:sz w:val="22"/>
                                    </w:rPr>
                                    <w:t>$50-75K</w:t>
                                  </w:r>
                                  <w:r>
                                    <w:rPr>
                                      <w:color w:val="FFFFFF"/>
                                      <w:sz w:val="22"/>
                                    </w:rPr>
                                    <w:tab/>
                                    <w:tab/>
                                  </w:r>
                                  <w:r>
                                    <w:rPr>
                                      <w:color w:val="FFFFFF"/>
                                      <w:spacing w:val="-2"/>
                                      <w:position w:val="-1"/>
                                      <w:sz w:val="22"/>
                                    </w:rPr>
                                    <w:t>$75K+</w:t>
                                  </w:r>
                                </w:p>
                              </w:tc>
                            </w:tr>
                            <w:tr>
                              <w:trPr>
                                <w:trHeight w:val="419" w:hRule="atLeast"/>
                              </w:trPr>
                              <w:tc>
                                <w:tcPr>
                                  <w:tcW w:w="4116" w:type="dxa"/>
                                  <w:tcBorders>
                                    <w:top w:val="single" w:sz="8" w:space="0" w:color="939598"/>
                                    <w:right w:val="single" w:sz="8" w:space="0" w:color="939598"/>
                                  </w:tcBorders>
                                </w:tcPr>
                                <w:p>
                                  <w:pPr>
                                    <w:pStyle w:val="TableParagraph"/>
                                    <w:spacing w:before="100"/>
                                    <w:ind w:left="90"/>
                                    <w:rPr>
                                      <w:b/>
                                      <w:sz w:val="20"/>
                                    </w:rPr>
                                  </w:pPr>
                                  <w:r>
                                    <w:rPr>
                                      <w:b/>
                                      <w:color w:val="105C84"/>
                                      <w:sz w:val="20"/>
                                    </w:rPr>
                                    <w:t>I</w:t>
                                  </w:r>
                                  <w:r>
                                    <w:rPr>
                                      <w:b/>
                                      <w:color w:val="105C84"/>
                                      <w:spacing w:val="9"/>
                                      <w:sz w:val="20"/>
                                    </w:rPr>
                                    <w:t> </w:t>
                                  </w:r>
                                  <w:r>
                                    <w:rPr>
                                      <w:b/>
                                      <w:color w:val="105C84"/>
                                      <w:sz w:val="20"/>
                                    </w:rPr>
                                    <w:t>always</w:t>
                                  </w:r>
                                  <w:r>
                                    <w:rPr>
                                      <w:b/>
                                      <w:color w:val="105C84"/>
                                      <w:spacing w:val="9"/>
                                      <w:sz w:val="20"/>
                                    </w:rPr>
                                    <w:t> </w:t>
                                  </w:r>
                                  <w:r>
                                    <w:rPr>
                                      <w:b/>
                                      <w:color w:val="105C84"/>
                                      <w:sz w:val="20"/>
                                    </w:rPr>
                                    <w:t>seem</w:t>
                                  </w:r>
                                  <w:r>
                                    <w:rPr>
                                      <w:b/>
                                      <w:color w:val="105C84"/>
                                      <w:spacing w:val="10"/>
                                      <w:sz w:val="20"/>
                                    </w:rPr>
                                    <w:t> </w:t>
                                  </w:r>
                                  <w:r>
                                    <w:rPr>
                                      <w:b/>
                                      <w:color w:val="105C84"/>
                                      <w:sz w:val="20"/>
                                    </w:rPr>
                                    <w:t>to</w:t>
                                  </w:r>
                                  <w:r>
                                    <w:rPr>
                                      <w:b/>
                                      <w:color w:val="105C84"/>
                                      <w:spacing w:val="9"/>
                                      <w:sz w:val="20"/>
                                    </w:rPr>
                                    <w:t> </w:t>
                                  </w:r>
                                  <w:r>
                                    <w:rPr>
                                      <w:b/>
                                      <w:color w:val="105C84"/>
                                      <w:sz w:val="20"/>
                                    </w:rPr>
                                    <w:t>be</w:t>
                                  </w:r>
                                  <w:r>
                                    <w:rPr>
                                      <w:b/>
                                      <w:color w:val="105C84"/>
                                      <w:spacing w:val="9"/>
                                      <w:sz w:val="20"/>
                                    </w:rPr>
                                    <w:t> </w:t>
                                  </w:r>
                                  <w:r>
                                    <w:rPr>
                                      <w:b/>
                                      <w:color w:val="105C84"/>
                                      <w:sz w:val="20"/>
                                    </w:rPr>
                                    <w:t>too</w:t>
                                  </w:r>
                                  <w:r>
                                    <w:rPr>
                                      <w:b/>
                                      <w:color w:val="105C84"/>
                                      <w:spacing w:val="10"/>
                                      <w:sz w:val="20"/>
                                    </w:rPr>
                                    <w:t> </w:t>
                                  </w:r>
                                  <w:r>
                                    <w:rPr>
                                      <w:b/>
                                      <w:color w:val="105C84"/>
                                      <w:sz w:val="20"/>
                                    </w:rPr>
                                    <w:t>tired</w:t>
                                  </w:r>
                                  <w:r>
                                    <w:rPr>
                                      <w:b/>
                                      <w:color w:val="105C84"/>
                                      <w:spacing w:val="9"/>
                                      <w:sz w:val="20"/>
                                    </w:rPr>
                                    <w:t> </w:t>
                                  </w:r>
                                  <w:r>
                                    <w:rPr>
                                      <w:b/>
                                      <w:color w:val="105C84"/>
                                      <w:sz w:val="20"/>
                                    </w:rPr>
                                    <w:t>to</w:t>
                                  </w:r>
                                  <w:r>
                                    <w:rPr>
                                      <w:b/>
                                      <w:color w:val="105C84"/>
                                      <w:spacing w:val="10"/>
                                      <w:sz w:val="20"/>
                                    </w:rPr>
                                    <w:t> </w:t>
                                  </w:r>
                                  <w:r>
                                    <w:rPr>
                                      <w:b/>
                                      <w:color w:val="105C84"/>
                                      <w:spacing w:val="-2"/>
                                      <w:sz w:val="20"/>
                                    </w:rPr>
                                    <w:t>exercise</w:t>
                                  </w:r>
                                </w:p>
                              </w:tc>
                              <w:tc>
                                <w:tcPr>
                                  <w:tcW w:w="1354" w:type="dxa"/>
                                  <w:tcBorders>
                                    <w:top w:val="single" w:sz="8" w:space="0" w:color="939598"/>
                                    <w:left w:val="single" w:sz="8" w:space="0" w:color="939598"/>
                                  </w:tcBorders>
                                </w:tcPr>
                                <w:p>
                                  <w:pPr>
                                    <w:pStyle w:val="TableParagraph"/>
                                    <w:spacing w:before="100"/>
                                    <w:ind w:left="1" w:right="2"/>
                                    <w:jc w:val="center"/>
                                    <w:rPr>
                                      <w:sz w:val="20"/>
                                    </w:rPr>
                                  </w:pPr>
                                  <w:r>
                                    <w:rPr>
                                      <w:color w:val="105C84"/>
                                      <w:spacing w:val="-5"/>
                                      <w:sz w:val="20"/>
                                    </w:rPr>
                                    <w:t>29%</w:t>
                                  </w:r>
                                </w:p>
                              </w:tc>
                              <w:tc>
                                <w:tcPr>
                                  <w:tcW w:w="1238" w:type="dxa"/>
                                  <w:tcBorders>
                                    <w:top w:val="single" w:sz="8" w:space="0" w:color="939598"/>
                                  </w:tcBorders>
                                </w:tcPr>
                                <w:p>
                                  <w:pPr>
                                    <w:pStyle w:val="TableParagraph"/>
                                    <w:spacing w:before="100"/>
                                    <w:ind w:left="6"/>
                                    <w:jc w:val="center"/>
                                    <w:rPr>
                                      <w:sz w:val="20"/>
                                    </w:rPr>
                                  </w:pPr>
                                  <w:r>
                                    <w:rPr>
                                      <w:color w:val="105C84"/>
                                      <w:spacing w:val="-5"/>
                                      <w:sz w:val="20"/>
                                    </w:rPr>
                                    <w:t>31%</w:t>
                                  </w:r>
                                </w:p>
                              </w:tc>
                              <w:tc>
                                <w:tcPr>
                                  <w:tcW w:w="1238" w:type="dxa"/>
                                  <w:tcBorders>
                                    <w:top w:val="single" w:sz="8" w:space="0" w:color="939598"/>
                                  </w:tcBorders>
                                </w:tcPr>
                                <w:p>
                                  <w:pPr>
                                    <w:pStyle w:val="TableParagraph"/>
                                    <w:spacing w:before="100"/>
                                    <w:ind w:left="6" w:right="1"/>
                                    <w:jc w:val="center"/>
                                    <w:rPr>
                                      <w:sz w:val="20"/>
                                    </w:rPr>
                                  </w:pPr>
                                  <w:r>
                                    <w:rPr>
                                      <w:color w:val="105C84"/>
                                      <w:spacing w:val="-5"/>
                                      <w:sz w:val="20"/>
                                    </w:rPr>
                                    <w:t>33%</w:t>
                                  </w:r>
                                </w:p>
                              </w:tc>
                              <w:tc>
                                <w:tcPr>
                                  <w:tcW w:w="1238" w:type="dxa"/>
                                  <w:tcBorders>
                                    <w:top w:val="single" w:sz="8" w:space="0" w:color="939598"/>
                                  </w:tcBorders>
                                </w:tcPr>
                                <w:p>
                                  <w:pPr>
                                    <w:pStyle w:val="TableParagraph"/>
                                    <w:spacing w:before="100"/>
                                    <w:ind w:left="6" w:right="1"/>
                                    <w:jc w:val="center"/>
                                    <w:rPr>
                                      <w:sz w:val="20"/>
                                    </w:rPr>
                                  </w:pPr>
                                  <w:r>
                                    <w:rPr>
                                      <w:color w:val="105C84"/>
                                      <w:spacing w:val="-5"/>
                                      <w:sz w:val="20"/>
                                    </w:rPr>
                                    <w:t>26%</w:t>
                                  </w:r>
                                </w:p>
                              </w:tc>
                              <w:tc>
                                <w:tcPr>
                                  <w:tcW w:w="1065" w:type="dxa"/>
                                  <w:tcBorders>
                                    <w:top w:val="single" w:sz="8" w:space="0" w:color="939598"/>
                                  </w:tcBorders>
                                </w:tcPr>
                                <w:p>
                                  <w:pPr>
                                    <w:pStyle w:val="TableParagraph"/>
                                    <w:spacing w:before="100"/>
                                    <w:ind w:left="5" w:right="1"/>
                                    <w:jc w:val="center"/>
                                    <w:rPr>
                                      <w:sz w:val="20"/>
                                    </w:rPr>
                                  </w:pPr>
                                  <w:r>
                                    <w:rPr>
                                      <w:color w:val="105C84"/>
                                      <w:spacing w:val="-5"/>
                                      <w:sz w:val="20"/>
                                    </w:rPr>
                                    <w:t>29%</w:t>
                                  </w:r>
                                </w:p>
                              </w:tc>
                            </w:tr>
                            <w:tr>
                              <w:trPr>
                                <w:trHeight w:val="538" w:hRule="atLeast"/>
                              </w:trPr>
                              <w:tc>
                                <w:tcPr>
                                  <w:tcW w:w="4116" w:type="dxa"/>
                                  <w:tcBorders>
                                    <w:right w:val="single" w:sz="8" w:space="0" w:color="939598"/>
                                  </w:tcBorders>
                                  <w:shd w:val="clear" w:color="auto" w:fill="E9E9EA"/>
                                </w:tcPr>
                                <w:p>
                                  <w:pPr>
                                    <w:pStyle w:val="TableParagraph"/>
                                    <w:spacing w:line="230" w:lineRule="auto" w:before="60"/>
                                    <w:ind w:left="89" w:right="245"/>
                                    <w:rPr>
                                      <w:b/>
                                      <w:sz w:val="20"/>
                                    </w:rPr>
                                  </w:pPr>
                                  <w:r>
                                    <w:rPr>
                                      <w:b/>
                                      <w:color w:val="105C84"/>
                                      <w:sz w:val="20"/>
                                    </w:rPr>
                                    <w:t>I can’t afford a gym membership </w:t>
                                  </w:r>
                                  <w:r>
                                    <w:rPr>
                                      <w:b/>
                                      <w:color w:val="105C84"/>
                                      <w:sz w:val="20"/>
                                    </w:rPr>
                                    <w:t>or other fitness opportunities</w:t>
                                  </w:r>
                                </w:p>
                              </w:tc>
                              <w:tc>
                                <w:tcPr>
                                  <w:tcW w:w="1354" w:type="dxa"/>
                                  <w:tcBorders>
                                    <w:left w:val="single" w:sz="8" w:space="0" w:color="939598"/>
                                  </w:tcBorders>
                                  <w:shd w:val="clear" w:color="auto" w:fill="E9E9EA"/>
                                </w:tcPr>
                                <w:p>
                                  <w:pPr>
                                    <w:pStyle w:val="TableParagraph"/>
                                    <w:spacing w:before="163"/>
                                    <w:ind w:left="1" w:right="2"/>
                                    <w:jc w:val="center"/>
                                    <w:rPr>
                                      <w:sz w:val="20"/>
                                    </w:rPr>
                                  </w:pPr>
                                  <w:r>
                                    <w:rPr>
                                      <w:color w:val="105C84"/>
                                      <w:spacing w:val="-5"/>
                                      <w:sz w:val="20"/>
                                    </w:rPr>
                                    <w:t>46%</w:t>
                                  </w:r>
                                </w:p>
                              </w:tc>
                              <w:tc>
                                <w:tcPr>
                                  <w:tcW w:w="1238" w:type="dxa"/>
                                  <w:shd w:val="clear" w:color="auto" w:fill="E9E9EA"/>
                                </w:tcPr>
                                <w:p>
                                  <w:pPr>
                                    <w:pStyle w:val="TableParagraph"/>
                                    <w:spacing w:before="163"/>
                                    <w:ind w:left="6" w:right="1"/>
                                    <w:jc w:val="center"/>
                                    <w:rPr>
                                      <w:sz w:val="20"/>
                                    </w:rPr>
                                  </w:pPr>
                                  <w:r>
                                    <w:rPr>
                                      <w:color w:val="105C84"/>
                                      <w:spacing w:val="-5"/>
                                      <w:sz w:val="20"/>
                                    </w:rPr>
                                    <w:t>31%</w:t>
                                  </w:r>
                                </w:p>
                              </w:tc>
                              <w:tc>
                                <w:tcPr>
                                  <w:tcW w:w="1238" w:type="dxa"/>
                                  <w:shd w:val="clear" w:color="auto" w:fill="E9E9EA"/>
                                </w:tcPr>
                                <w:p>
                                  <w:pPr>
                                    <w:pStyle w:val="TableParagraph"/>
                                    <w:spacing w:before="163"/>
                                    <w:ind w:left="6" w:right="1"/>
                                    <w:jc w:val="center"/>
                                    <w:rPr>
                                      <w:sz w:val="20"/>
                                    </w:rPr>
                                  </w:pPr>
                                  <w:r>
                                    <w:rPr>
                                      <w:color w:val="105C84"/>
                                      <w:spacing w:val="-5"/>
                                      <w:sz w:val="20"/>
                                    </w:rPr>
                                    <w:t>22%</w:t>
                                  </w:r>
                                </w:p>
                              </w:tc>
                              <w:tc>
                                <w:tcPr>
                                  <w:tcW w:w="1238" w:type="dxa"/>
                                  <w:shd w:val="clear" w:color="auto" w:fill="E9E9EA"/>
                                </w:tcPr>
                                <w:p>
                                  <w:pPr>
                                    <w:pStyle w:val="TableParagraph"/>
                                    <w:spacing w:before="163"/>
                                    <w:ind w:left="6" w:right="2"/>
                                    <w:jc w:val="center"/>
                                    <w:rPr>
                                      <w:sz w:val="20"/>
                                    </w:rPr>
                                  </w:pPr>
                                  <w:r>
                                    <w:rPr>
                                      <w:color w:val="105C84"/>
                                      <w:spacing w:val="-5"/>
                                      <w:sz w:val="20"/>
                                    </w:rPr>
                                    <w:t>10%</w:t>
                                  </w:r>
                                </w:p>
                              </w:tc>
                              <w:tc>
                                <w:tcPr>
                                  <w:tcW w:w="1065" w:type="dxa"/>
                                  <w:shd w:val="clear" w:color="auto" w:fill="E9E9EA"/>
                                </w:tcPr>
                                <w:p>
                                  <w:pPr>
                                    <w:pStyle w:val="TableParagraph"/>
                                    <w:spacing w:before="163"/>
                                    <w:ind w:left="5" w:right="1"/>
                                    <w:jc w:val="center"/>
                                    <w:rPr>
                                      <w:sz w:val="20"/>
                                    </w:rPr>
                                  </w:pPr>
                                  <w:r>
                                    <w:rPr>
                                      <w:color w:val="105C84"/>
                                      <w:spacing w:val="-5"/>
                                      <w:sz w:val="20"/>
                                    </w:rPr>
                                    <w:t>26%</w:t>
                                  </w:r>
                                </w:p>
                              </w:tc>
                            </w:tr>
                            <w:tr>
                              <w:trPr>
                                <w:trHeight w:val="538" w:hRule="atLeast"/>
                              </w:trPr>
                              <w:tc>
                                <w:tcPr>
                                  <w:tcW w:w="4116" w:type="dxa"/>
                                  <w:tcBorders>
                                    <w:right w:val="single" w:sz="8" w:space="0" w:color="939598"/>
                                  </w:tcBorders>
                                </w:tcPr>
                                <w:p>
                                  <w:pPr>
                                    <w:pStyle w:val="TableParagraph"/>
                                    <w:spacing w:line="230" w:lineRule="auto" w:before="60"/>
                                    <w:ind w:left="89"/>
                                    <w:rPr>
                                      <w:b/>
                                      <w:sz w:val="20"/>
                                    </w:rPr>
                                  </w:pPr>
                                  <w:r>
                                    <w:rPr>
                                      <w:b/>
                                      <w:color w:val="105C84"/>
                                      <w:sz w:val="20"/>
                                    </w:rPr>
                                    <w:t>I</w:t>
                                  </w:r>
                                  <w:r>
                                    <w:rPr>
                                      <w:b/>
                                      <w:color w:val="105C84"/>
                                      <w:spacing w:val="-14"/>
                                      <w:sz w:val="20"/>
                                    </w:rPr>
                                    <w:t> </w:t>
                                  </w:r>
                                  <w:r>
                                    <w:rPr>
                                      <w:b/>
                                      <w:color w:val="105C84"/>
                                      <w:sz w:val="20"/>
                                    </w:rPr>
                                    <w:t>can’t</w:t>
                                  </w:r>
                                  <w:r>
                                    <w:rPr>
                                      <w:b/>
                                      <w:color w:val="105C84"/>
                                      <w:spacing w:val="-14"/>
                                      <w:sz w:val="20"/>
                                    </w:rPr>
                                    <w:t> </w:t>
                                  </w:r>
                                  <w:r>
                                    <w:rPr>
                                      <w:b/>
                                      <w:color w:val="105C84"/>
                                      <w:sz w:val="20"/>
                                    </w:rPr>
                                    <w:t>exercise</w:t>
                                  </w:r>
                                  <w:r>
                                    <w:rPr>
                                      <w:b/>
                                      <w:color w:val="105C84"/>
                                      <w:spacing w:val="-14"/>
                                      <w:sz w:val="20"/>
                                    </w:rPr>
                                    <w:t> </w:t>
                                  </w:r>
                                  <w:r>
                                    <w:rPr>
                                      <w:b/>
                                      <w:color w:val="105C84"/>
                                      <w:sz w:val="20"/>
                                    </w:rPr>
                                    <w:t>because</w:t>
                                  </w:r>
                                  <w:r>
                                    <w:rPr>
                                      <w:b/>
                                      <w:color w:val="105C84"/>
                                      <w:spacing w:val="-14"/>
                                      <w:sz w:val="20"/>
                                    </w:rPr>
                                    <w:t> </w:t>
                                  </w:r>
                                  <w:r>
                                    <w:rPr>
                                      <w:b/>
                                      <w:color w:val="105C84"/>
                                      <w:sz w:val="20"/>
                                    </w:rPr>
                                    <w:t>of</w:t>
                                  </w:r>
                                  <w:r>
                                    <w:rPr>
                                      <w:b/>
                                      <w:color w:val="105C84"/>
                                      <w:spacing w:val="-14"/>
                                      <w:sz w:val="20"/>
                                    </w:rPr>
                                    <w:t> </w:t>
                                  </w:r>
                                  <w:r>
                                    <w:rPr>
                                      <w:b/>
                                      <w:color w:val="105C84"/>
                                      <w:sz w:val="20"/>
                                    </w:rPr>
                                    <w:t>a</w:t>
                                  </w:r>
                                  <w:r>
                                    <w:rPr>
                                      <w:b/>
                                      <w:color w:val="105C84"/>
                                      <w:spacing w:val="-14"/>
                                      <w:sz w:val="20"/>
                                    </w:rPr>
                                    <w:t> </w:t>
                                  </w:r>
                                  <w:r>
                                    <w:rPr>
                                      <w:b/>
                                      <w:color w:val="105C84"/>
                                      <w:sz w:val="20"/>
                                    </w:rPr>
                                    <w:t>physical limitation or disability</w:t>
                                  </w:r>
                                </w:p>
                              </w:tc>
                              <w:tc>
                                <w:tcPr>
                                  <w:tcW w:w="1354" w:type="dxa"/>
                                  <w:tcBorders>
                                    <w:left w:val="single" w:sz="8" w:space="0" w:color="939598"/>
                                  </w:tcBorders>
                                </w:tcPr>
                                <w:p>
                                  <w:pPr>
                                    <w:pStyle w:val="TableParagraph"/>
                                    <w:spacing w:before="163"/>
                                    <w:ind w:left="1" w:right="2"/>
                                    <w:jc w:val="center"/>
                                    <w:rPr>
                                      <w:sz w:val="20"/>
                                    </w:rPr>
                                  </w:pPr>
                                  <w:r>
                                    <w:rPr>
                                      <w:color w:val="105C84"/>
                                      <w:spacing w:val="-5"/>
                                      <w:sz w:val="20"/>
                                    </w:rPr>
                                    <w:t>25%</w:t>
                                  </w:r>
                                </w:p>
                              </w:tc>
                              <w:tc>
                                <w:tcPr>
                                  <w:tcW w:w="1238" w:type="dxa"/>
                                </w:tcPr>
                                <w:p>
                                  <w:pPr>
                                    <w:pStyle w:val="TableParagraph"/>
                                    <w:spacing w:before="163"/>
                                    <w:ind w:left="6" w:right="1"/>
                                    <w:jc w:val="center"/>
                                    <w:rPr>
                                      <w:sz w:val="20"/>
                                    </w:rPr>
                                  </w:pPr>
                                  <w:r>
                                    <w:rPr>
                                      <w:color w:val="105C84"/>
                                      <w:spacing w:val="-5"/>
                                      <w:sz w:val="20"/>
                                    </w:rPr>
                                    <w:t>13%</w:t>
                                  </w:r>
                                </w:p>
                              </w:tc>
                              <w:tc>
                                <w:tcPr>
                                  <w:tcW w:w="1238" w:type="dxa"/>
                                </w:tcPr>
                                <w:p>
                                  <w:pPr>
                                    <w:pStyle w:val="TableParagraph"/>
                                    <w:spacing w:before="163"/>
                                    <w:ind w:left="6" w:right="2"/>
                                    <w:jc w:val="center"/>
                                    <w:rPr>
                                      <w:sz w:val="20"/>
                                    </w:rPr>
                                  </w:pPr>
                                  <w:r>
                                    <w:rPr>
                                      <w:color w:val="105C84"/>
                                      <w:spacing w:val="-5"/>
                                      <w:sz w:val="20"/>
                                    </w:rPr>
                                    <w:t>12%</w:t>
                                  </w:r>
                                </w:p>
                              </w:tc>
                              <w:tc>
                                <w:tcPr>
                                  <w:tcW w:w="1238" w:type="dxa"/>
                                </w:tcPr>
                                <w:p>
                                  <w:pPr>
                                    <w:pStyle w:val="TableParagraph"/>
                                    <w:spacing w:before="163"/>
                                    <w:ind w:left="6" w:right="2"/>
                                    <w:jc w:val="center"/>
                                    <w:rPr>
                                      <w:sz w:val="20"/>
                                    </w:rPr>
                                  </w:pPr>
                                  <w:r>
                                    <w:rPr>
                                      <w:color w:val="105C84"/>
                                      <w:spacing w:val="-5"/>
                                      <w:sz w:val="20"/>
                                    </w:rPr>
                                    <w:t>7%</w:t>
                                  </w:r>
                                </w:p>
                              </w:tc>
                              <w:tc>
                                <w:tcPr>
                                  <w:tcW w:w="1065" w:type="dxa"/>
                                </w:tcPr>
                                <w:p>
                                  <w:pPr>
                                    <w:pStyle w:val="TableParagraph"/>
                                    <w:spacing w:before="163"/>
                                    <w:ind w:left="5" w:right="2"/>
                                    <w:jc w:val="center"/>
                                    <w:rPr>
                                      <w:sz w:val="20"/>
                                    </w:rPr>
                                  </w:pPr>
                                  <w:r>
                                    <w:rPr>
                                      <w:color w:val="105C84"/>
                                      <w:spacing w:val="-5"/>
                                      <w:sz w:val="20"/>
                                    </w:rPr>
                                    <w:t>14%</w:t>
                                  </w:r>
                                </w:p>
                              </w:tc>
                            </w:tr>
                            <w:tr>
                              <w:trPr>
                                <w:trHeight w:val="538" w:hRule="atLeast"/>
                              </w:trPr>
                              <w:tc>
                                <w:tcPr>
                                  <w:tcW w:w="4116" w:type="dxa"/>
                                  <w:tcBorders>
                                    <w:right w:val="single" w:sz="8" w:space="0" w:color="939598"/>
                                  </w:tcBorders>
                                  <w:shd w:val="clear" w:color="auto" w:fill="E9E9EA"/>
                                </w:tcPr>
                                <w:p>
                                  <w:pPr>
                                    <w:pStyle w:val="TableParagraph"/>
                                    <w:spacing w:line="230" w:lineRule="auto" w:before="60"/>
                                    <w:ind w:left="89"/>
                                    <w:rPr>
                                      <w:b/>
                                      <w:sz w:val="20"/>
                                    </w:rPr>
                                  </w:pPr>
                                  <w:r>
                                    <w:rPr>
                                      <w:b/>
                                      <w:color w:val="105C84"/>
                                      <w:sz w:val="20"/>
                                    </w:rPr>
                                    <w:t>I don’t have a safe place nearby to </w:t>
                                  </w:r>
                                  <w:r>
                                    <w:rPr>
                                      <w:b/>
                                      <w:color w:val="105C84"/>
                                      <w:sz w:val="20"/>
                                    </w:rPr>
                                    <w:t>get more exercise</w:t>
                                  </w:r>
                                </w:p>
                              </w:tc>
                              <w:tc>
                                <w:tcPr>
                                  <w:tcW w:w="1354" w:type="dxa"/>
                                  <w:tcBorders>
                                    <w:left w:val="single" w:sz="8" w:space="0" w:color="939598"/>
                                  </w:tcBorders>
                                  <w:shd w:val="clear" w:color="auto" w:fill="E9E9EA"/>
                                </w:tcPr>
                                <w:p>
                                  <w:pPr>
                                    <w:pStyle w:val="TableParagraph"/>
                                    <w:spacing w:before="163"/>
                                    <w:ind w:left="2" w:right="2"/>
                                    <w:jc w:val="center"/>
                                    <w:rPr>
                                      <w:sz w:val="20"/>
                                    </w:rPr>
                                  </w:pPr>
                                  <w:r>
                                    <w:rPr>
                                      <w:color w:val="105C84"/>
                                      <w:spacing w:val="-5"/>
                                      <w:sz w:val="20"/>
                                    </w:rPr>
                                    <w:t>9%</w:t>
                                  </w:r>
                                </w:p>
                              </w:tc>
                              <w:tc>
                                <w:tcPr>
                                  <w:tcW w:w="1238" w:type="dxa"/>
                                  <w:shd w:val="clear" w:color="auto" w:fill="E9E9EA"/>
                                </w:tcPr>
                                <w:p>
                                  <w:pPr>
                                    <w:pStyle w:val="TableParagraph"/>
                                    <w:spacing w:before="163"/>
                                    <w:ind w:left="6" w:right="2"/>
                                    <w:jc w:val="center"/>
                                    <w:rPr>
                                      <w:sz w:val="20"/>
                                    </w:rPr>
                                  </w:pPr>
                                  <w:r>
                                    <w:rPr>
                                      <w:color w:val="105C84"/>
                                      <w:spacing w:val="-5"/>
                                      <w:sz w:val="20"/>
                                    </w:rPr>
                                    <w:t>6%</w:t>
                                  </w:r>
                                </w:p>
                              </w:tc>
                              <w:tc>
                                <w:tcPr>
                                  <w:tcW w:w="1238" w:type="dxa"/>
                                  <w:shd w:val="clear" w:color="auto" w:fill="E9E9EA"/>
                                </w:tcPr>
                                <w:p>
                                  <w:pPr>
                                    <w:pStyle w:val="TableParagraph"/>
                                    <w:spacing w:before="163"/>
                                    <w:ind w:left="6" w:right="2"/>
                                    <w:jc w:val="center"/>
                                    <w:rPr>
                                      <w:sz w:val="20"/>
                                    </w:rPr>
                                  </w:pPr>
                                  <w:r>
                                    <w:rPr>
                                      <w:color w:val="105C84"/>
                                      <w:spacing w:val="-5"/>
                                      <w:sz w:val="20"/>
                                    </w:rPr>
                                    <w:t>5%</w:t>
                                  </w:r>
                                </w:p>
                              </w:tc>
                              <w:tc>
                                <w:tcPr>
                                  <w:tcW w:w="1238" w:type="dxa"/>
                                  <w:shd w:val="clear" w:color="auto" w:fill="E9E9EA"/>
                                </w:tcPr>
                                <w:p>
                                  <w:pPr>
                                    <w:pStyle w:val="TableParagraph"/>
                                    <w:spacing w:before="163"/>
                                    <w:ind w:left="6" w:right="2"/>
                                    <w:jc w:val="center"/>
                                    <w:rPr>
                                      <w:sz w:val="20"/>
                                    </w:rPr>
                                  </w:pPr>
                                  <w:r>
                                    <w:rPr>
                                      <w:color w:val="105C84"/>
                                      <w:spacing w:val="-5"/>
                                      <w:sz w:val="20"/>
                                    </w:rPr>
                                    <w:t>3%</w:t>
                                  </w:r>
                                </w:p>
                              </w:tc>
                              <w:tc>
                                <w:tcPr>
                                  <w:tcW w:w="1065" w:type="dxa"/>
                                  <w:shd w:val="clear" w:color="auto" w:fill="E9E9EA"/>
                                </w:tcPr>
                                <w:p>
                                  <w:pPr>
                                    <w:pStyle w:val="TableParagraph"/>
                                    <w:spacing w:before="163"/>
                                    <w:ind w:left="5" w:right="2"/>
                                    <w:jc w:val="center"/>
                                    <w:rPr>
                                      <w:sz w:val="20"/>
                                    </w:rPr>
                                  </w:pPr>
                                  <w:r>
                                    <w:rPr>
                                      <w:color w:val="105C84"/>
                                      <w:spacing w:val="-5"/>
                                      <w:sz w:val="20"/>
                                    </w:rPr>
                                    <w:t>6%</w:t>
                                  </w:r>
                                </w:p>
                              </w:tc>
                            </w:tr>
                            <w:tr>
                              <w:trPr>
                                <w:trHeight w:val="538" w:hRule="atLeast"/>
                              </w:trPr>
                              <w:tc>
                                <w:tcPr>
                                  <w:tcW w:w="4116" w:type="dxa"/>
                                  <w:tcBorders>
                                    <w:right w:val="single" w:sz="8" w:space="0" w:color="939598"/>
                                  </w:tcBorders>
                                </w:tcPr>
                                <w:p>
                                  <w:pPr>
                                    <w:pStyle w:val="TableParagraph"/>
                                    <w:spacing w:line="230" w:lineRule="auto" w:before="60"/>
                                    <w:ind w:left="89"/>
                                    <w:rPr>
                                      <w:b/>
                                      <w:sz w:val="20"/>
                                    </w:rPr>
                                  </w:pPr>
                                  <w:r>
                                    <w:rPr>
                                      <w:b/>
                                      <w:color w:val="105C84"/>
                                      <w:sz w:val="20"/>
                                    </w:rPr>
                                    <w:t>I don’t have anyone to exercise with, </w:t>
                                  </w:r>
                                  <w:r>
                                    <w:rPr>
                                      <w:b/>
                                      <w:color w:val="105C84"/>
                                      <w:sz w:val="20"/>
                                    </w:rPr>
                                    <w:t>and don’t like to exercise alone</w:t>
                                  </w:r>
                                </w:p>
                              </w:tc>
                              <w:tc>
                                <w:tcPr>
                                  <w:tcW w:w="1354" w:type="dxa"/>
                                  <w:tcBorders>
                                    <w:left w:val="single" w:sz="8" w:space="0" w:color="939598"/>
                                  </w:tcBorders>
                                </w:tcPr>
                                <w:p>
                                  <w:pPr>
                                    <w:pStyle w:val="TableParagraph"/>
                                    <w:spacing w:before="163"/>
                                    <w:ind w:left="2" w:right="2"/>
                                    <w:jc w:val="center"/>
                                    <w:rPr>
                                      <w:sz w:val="20"/>
                                    </w:rPr>
                                  </w:pPr>
                                  <w:r>
                                    <w:rPr>
                                      <w:color w:val="105C84"/>
                                      <w:spacing w:val="-5"/>
                                      <w:sz w:val="20"/>
                                    </w:rPr>
                                    <w:t>21%</w:t>
                                  </w:r>
                                </w:p>
                              </w:tc>
                              <w:tc>
                                <w:tcPr>
                                  <w:tcW w:w="1238" w:type="dxa"/>
                                </w:tcPr>
                                <w:p>
                                  <w:pPr>
                                    <w:pStyle w:val="TableParagraph"/>
                                    <w:spacing w:before="163"/>
                                    <w:ind w:left="6" w:right="2"/>
                                    <w:jc w:val="center"/>
                                    <w:rPr>
                                      <w:sz w:val="20"/>
                                    </w:rPr>
                                  </w:pPr>
                                  <w:r>
                                    <w:rPr>
                                      <w:color w:val="105C84"/>
                                      <w:spacing w:val="-5"/>
                                      <w:sz w:val="20"/>
                                    </w:rPr>
                                    <w:t>19%</w:t>
                                  </w:r>
                                </w:p>
                              </w:tc>
                              <w:tc>
                                <w:tcPr>
                                  <w:tcW w:w="1238" w:type="dxa"/>
                                </w:tcPr>
                                <w:p>
                                  <w:pPr>
                                    <w:pStyle w:val="TableParagraph"/>
                                    <w:spacing w:before="163"/>
                                    <w:ind w:left="6" w:right="2"/>
                                    <w:jc w:val="center"/>
                                    <w:rPr>
                                      <w:sz w:val="20"/>
                                    </w:rPr>
                                  </w:pPr>
                                  <w:r>
                                    <w:rPr>
                                      <w:color w:val="105C84"/>
                                      <w:spacing w:val="-5"/>
                                      <w:sz w:val="20"/>
                                    </w:rPr>
                                    <w:t>17%</w:t>
                                  </w:r>
                                </w:p>
                              </w:tc>
                              <w:tc>
                                <w:tcPr>
                                  <w:tcW w:w="1238" w:type="dxa"/>
                                </w:tcPr>
                                <w:p>
                                  <w:pPr>
                                    <w:pStyle w:val="TableParagraph"/>
                                    <w:spacing w:before="163"/>
                                    <w:ind w:left="6" w:right="3"/>
                                    <w:jc w:val="center"/>
                                    <w:rPr>
                                      <w:sz w:val="20"/>
                                    </w:rPr>
                                  </w:pPr>
                                  <w:r>
                                    <w:rPr>
                                      <w:color w:val="105C84"/>
                                      <w:spacing w:val="-5"/>
                                      <w:sz w:val="20"/>
                                    </w:rPr>
                                    <w:t>11%</w:t>
                                  </w:r>
                                </w:p>
                              </w:tc>
                              <w:tc>
                                <w:tcPr>
                                  <w:tcW w:w="1065" w:type="dxa"/>
                                </w:tcPr>
                                <w:p>
                                  <w:pPr>
                                    <w:pStyle w:val="TableParagraph"/>
                                    <w:spacing w:before="163"/>
                                    <w:ind w:left="5" w:right="2"/>
                                    <w:jc w:val="center"/>
                                    <w:rPr>
                                      <w:sz w:val="20"/>
                                    </w:rPr>
                                  </w:pPr>
                                  <w:r>
                                    <w:rPr>
                                      <w:color w:val="105C84"/>
                                      <w:spacing w:val="-5"/>
                                      <w:sz w:val="20"/>
                                    </w:rPr>
                                    <w:t>16%</w:t>
                                  </w:r>
                                </w:p>
                              </w:tc>
                            </w:tr>
                            <w:tr>
                              <w:trPr>
                                <w:trHeight w:val="538" w:hRule="atLeast"/>
                              </w:trPr>
                              <w:tc>
                                <w:tcPr>
                                  <w:tcW w:w="4116" w:type="dxa"/>
                                  <w:tcBorders>
                                    <w:right w:val="single" w:sz="8" w:space="0" w:color="939598"/>
                                  </w:tcBorders>
                                  <w:shd w:val="clear" w:color="auto" w:fill="E9E9EA"/>
                                </w:tcPr>
                                <w:p>
                                  <w:pPr>
                                    <w:pStyle w:val="TableParagraph"/>
                                    <w:spacing w:line="230" w:lineRule="auto" w:before="60"/>
                                    <w:ind w:left="89" w:right="245"/>
                                    <w:rPr>
                                      <w:b/>
                                      <w:sz w:val="20"/>
                                    </w:rPr>
                                  </w:pPr>
                                  <w:r>
                                    <w:rPr>
                                      <w:b/>
                                      <w:color w:val="105C84"/>
                                      <w:sz w:val="20"/>
                                    </w:rPr>
                                    <w:t>I don’t have the time to get </w:t>
                                  </w:r>
                                  <w:r>
                                    <w:rPr>
                                      <w:b/>
                                      <w:color w:val="105C84"/>
                                      <w:sz w:val="20"/>
                                    </w:rPr>
                                    <w:t>more </w:t>
                                  </w:r>
                                  <w:r>
                                    <w:rPr>
                                      <w:b/>
                                      <w:color w:val="105C84"/>
                                      <w:spacing w:val="-2"/>
                                      <w:sz w:val="20"/>
                                    </w:rPr>
                                    <w:t>exercise</w:t>
                                  </w:r>
                                </w:p>
                              </w:tc>
                              <w:tc>
                                <w:tcPr>
                                  <w:tcW w:w="1354" w:type="dxa"/>
                                  <w:tcBorders>
                                    <w:left w:val="single" w:sz="8" w:space="0" w:color="939598"/>
                                  </w:tcBorders>
                                  <w:shd w:val="clear" w:color="auto" w:fill="E9E9EA"/>
                                </w:tcPr>
                                <w:p>
                                  <w:pPr>
                                    <w:pStyle w:val="TableParagraph"/>
                                    <w:spacing w:before="163"/>
                                    <w:ind w:left="1" w:right="2"/>
                                    <w:jc w:val="center"/>
                                    <w:rPr>
                                      <w:sz w:val="20"/>
                                    </w:rPr>
                                  </w:pPr>
                                  <w:r>
                                    <w:rPr>
                                      <w:color w:val="105C84"/>
                                      <w:spacing w:val="-5"/>
                                      <w:sz w:val="20"/>
                                    </w:rPr>
                                    <w:t>17%</w:t>
                                  </w:r>
                                </w:p>
                              </w:tc>
                              <w:tc>
                                <w:tcPr>
                                  <w:tcW w:w="1238" w:type="dxa"/>
                                  <w:shd w:val="clear" w:color="auto" w:fill="E9E9EA"/>
                                </w:tcPr>
                                <w:p>
                                  <w:pPr>
                                    <w:pStyle w:val="TableParagraph"/>
                                    <w:spacing w:before="163"/>
                                    <w:ind w:left="6" w:right="2"/>
                                    <w:jc w:val="center"/>
                                    <w:rPr>
                                      <w:sz w:val="20"/>
                                    </w:rPr>
                                  </w:pPr>
                                  <w:r>
                                    <w:rPr>
                                      <w:color w:val="105C84"/>
                                      <w:spacing w:val="-5"/>
                                      <w:sz w:val="20"/>
                                    </w:rPr>
                                    <w:t>38%</w:t>
                                  </w:r>
                                </w:p>
                              </w:tc>
                              <w:tc>
                                <w:tcPr>
                                  <w:tcW w:w="1238" w:type="dxa"/>
                                  <w:shd w:val="clear" w:color="auto" w:fill="E9E9EA"/>
                                </w:tcPr>
                                <w:p>
                                  <w:pPr>
                                    <w:pStyle w:val="TableParagraph"/>
                                    <w:spacing w:before="163"/>
                                    <w:ind w:left="6" w:right="3"/>
                                    <w:jc w:val="center"/>
                                    <w:rPr>
                                      <w:sz w:val="20"/>
                                    </w:rPr>
                                  </w:pPr>
                                  <w:r>
                                    <w:rPr>
                                      <w:color w:val="105C84"/>
                                      <w:spacing w:val="-5"/>
                                      <w:sz w:val="20"/>
                                    </w:rPr>
                                    <w:t>46%</w:t>
                                  </w:r>
                                </w:p>
                              </w:tc>
                              <w:tc>
                                <w:tcPr>
                                  <w:tcW w:w="1238" w:type="dxa"/>
                                  <w:shd w:val="clear" w:color="auto" w:fill="E9E9EA"/>
                                </w:tcPr>
                                <w:p>
                                  <w:pPr>
                                    <w:pStyle w:val="TableParagraph"/>
                                    <w:spacing w:before="163"/>
                                    <w:ind w:left="6" w:right="3"/>
                                    <w:jc w:val="center"/>
                                    <w:rPr>
                                      <w:sz w:val="20"/>
                                    </w:rPr>
                                  </w:pPr>
                                  <w:r>
                                    <w:rPr>
                                      <w:color w:val="105C84"/>
                                      <w:spacing w:val="-5"/>
                                      <w:sz w:val="20"/>
                                    </w:rPr>
                                    <w:t>54%</w:t>
                                  </w:r>
                                </w:p>
                              </w:tc>
                              <w:tc>
                                <w:tcPr>
                                  <w:tcW w:w="1065" w:type="dxa"/>
                                  <w:shd w:val="clear" w:color="auto" w:fill="E9E9EA"/>
                                </w:tcPr>
                                <w:p>
                                  <w:pPr>
                                    <w:pStyle w:val="TableParagraph"/>
                                    <w:spacing w:before="163"/>
                                    <w:ind w:left="5" w:right="3"/>
                                    <w:jc w:val="center"/>
                                    <w:rPr>
                                      <w:sz w:val="20"/>
                                    </w:rPr>
                                  </w:pPr>
                                  <w:r>
                                    <w:rPr>
                                      <w:color w:val="105C84"/>
                                      <w:spacing w:val="-5"/>
                                      <w:sz w:val="20"/>
                                    </w:rPr>
                                    <w:t>40%</w:t>
                                  </w:r>
                                </w:p>
                              </w:tc>
                            </w:tr>
                            <w:tr>
                              <w:trPr>
                                <w:trHeight w:val="538" w:hRule="atLeast"/>
                              </w:trPr>
                              <w:tc>
                                <w:tcPr>
                                  <w:tcW w:w="4116" w:type="dxa"/>
                                  <w:tcBorders>
                                    <w:right w:val="single" w:sz="8" w:space="0" w:color="939598"/>
                                  </w:tcBorders>
                                </w:tcPr>
                                <w:p>
                                  <w:pPr>
                                    <w:pStyle w:val="TableParagraph"/>
                                    <w:spacing w:line="230" w:lineRule="auto" w:before="60"/>
                                    <w:ind w:left="88"/>
                                    <w:rPr>
                                      <w:b/>
                                      <w:sz w:val="20"/>
                                    </w:rPr>
                                  </w:pPr>
                                  <w:r>
                                    <w:rPr>
                                      <w:b/>
                                      <w:color w:val="105C84"/>
                                      <w:sz w:val="20"/>
                                    </w:rPr>
                                    <w:t>I don’t have transportation to get </w:t>
                                  </w:r>
                                  <w:r>
                                    <w:rPr>
                                      <w:b/>
                                      <w:color w:val="105C84"/>
                                      <w:sz w:val="20"/>
                                    </w:rPr>
                                    <w:t>places where I could get more exercise</w:t>
                                  </w:r>
                                </w:p>
                              </w:tc>
                              <w:tc>
                                <w:tcPr>
                                  <w:tcW w:w="1354" w:type="dxa"/>
                                  <w:tcBorders>
                                    <w:left w:val="single" w:sz="8" w:space="0" w:color="939598"/>
                                  </w:tcBorders>
                                </w:tcPr>
                                <w:p>
                                  <w:pPr>
                                    <w:pStyle w:val="TableParagraph"/>
                                    <w:spacing w:before="163"/>
                                    <w:ind w:left="1" w:right="2"/>
                                    <w:jc w:val="center"/>
                                    <w:rPr>
                                      <w:sz w:val="20"/>
                                    </w:rPr>
                                  </w:pPr>
                                  <w:r>
                                    <w:rPr>
                                      <w:color w:val="105C84"/>
                                      <w:spacing w:val="-5"/>
                                      <w:sz w:val="20"/>
                                    </w:rPr>
                                    <w:t>11%</w:t>
                                  </w:r>
                                </w:p>
                              </w:tc>
                              <w:tc>
                                <w:tcPr>
                                  <w:tcW w:w="1238" w:type="dxa"/>
                                </w:tcPr>
                                <w:p>
                                  <w:pPr>
                                    <w:pStyle w:val="TableParagraph"/>
                                    <w:spacing w:before="163"/>
                                    <w:ind w:left="6" w:right="3"/>
                                    <w:jc w:val="center"/>
                                    <w:rPr>
                                      <w:sz w:val="20"/>
                                    </w:rPr>
                                  </w:pPr>
                                  <w:r>
                                    <w:rPr>
                                      <w:color w:val="105C84"/>
                                      <w:spacing w:val="-5"/>
                                      <w:sz w:val="20"/>
                                    </w:rPr>
                                    <w:t>2%</w:t>
                                  </w:r>
                                </w:p>
                              </w:tc>
                              <w:tc>
                                <w:tcPr>
                                  <w:tcW w:w="1238" w:type="dxa"/>
                                </w:tcPr>
                                <w:p>
                                  <w:pPr>
                                    <w:pStyle w:val="TableParagraph"/>
                                    <w:spacing w:before="163"/>
                                    <w:ind w:left="6" w:right="3"/>
                                    <w:jc w:val="center"/>
                                    <w:rPr>
                                      <w:sz w:val="20"/>
                                    </w:rPr>
                                  </w:pPr>
                                  <w:r>
                                    <w:rPr>
                                      <w:color w:val="105C84"/>
                                      <w:spacing w:val="-5"/>
                                      <w:sz w:val="20"/>
                                    </w:rPr>
                                    <w:t>1%</w:t>
                                  </w:r>
                                </w:p>
                              </w:tc>
                              <w:tc>
                                <w:tcPr>
                                  <w:tcW w:w="1238" w:type="dxa"/>
                                </w:tcPr>
                                <w:p>
                                  <w:pPr>
                                    <w:pStyle w:val="TableParagraph"/>
                                    <w:spacing w:before="163"/>
                                    <w:ind w:left="6" w:right="4"/>
                                    <w:jc w:val="center"/>
                                    <w:rPr>
                                      <w:sz w:val="20"/>
                                    </w:rPr>
                                  </w:pPr>
                                  <w:r>
                                    <w:rPr>
                                      <w:color w:val="105C84"/>
                                      <w:spacing w:val="-5"/>
                                      <w:sz w:val="20"/>
                                    </w:rPr>
                                    <w:t>0%</w:t>
                                  </w:r>
                                </w:p>
                              </w:tc>
                              <w:tc>
                                <w:tcPr>
                                  <w:tcW w:w="1065" w:type="dxa"/>
                                </w:tcPr>
                                <w:p>
                                  <w:pPr>
                                    <w:pStyle w:val="TableParagraph"/>
                                    <w:spacing w:before="163"/>
                                    <w:ind w:left="5" w:right="3"/>
                                    <w:jc w:val="center"/>
                                    <w:rPr>
                                      <w:sz w:val="20"/>
                                    </w:rPr>
                                  </w:pPr>
                                  <w:r>
                                    <w:rPr>
                                      <w:color w:val="105C84"/>
                                      <w:spacing w:val="-5"/>
                                      <w:sz w:val="20"/>
                                    </w:rPr>
                                    <w:t>3%</w:t>
                                  </w:r>
                                </w:p>
                              </w:tc>
                            </w:tr>
                            <w:tr>
                              <w:trPr>
                                <w:trHeight w:val="578" w:hRule="atLeast"/>
                              </w:trPr>
                              <w:tc>
                                <w:tcPr>
                                  <w:tcW w:w="4116" w:type="dxa"/>
                                  <w:tcBorders>
                                    <w:right w:val="single" w:sz="8" w:space="0" w:color="939598"/>
                                  </w:tcBorders>
                                  <w:shd w:val="clear" w:color="auto" w:fill="E9E9EA"/>
                                </w:tcPr>
                                <w:p>
                                  <w:pPr>
                                    <w:pStyle w:val="TableParagraph"/>
                                    <w:spacing w:line="260" w:lineRule="atLeast" w:before="23"/>
                                    <w:ind w:left="88" w:right="245"/>
                                    <w:rPr>
                                      <w:b/>
                                      <w:sz w:val="20"/>
                                    </w:rPr>
                                  </w:pPr>
                                  <w:r>
                                    <w:rPr>
                                      <w:b/>
                                      <w:color w:val="105C84"/>
                                      <w:sz w:val="20"/>
                                    </w:rPr>
                                    <w:t>My life is too complicated to </w:t>
                                  </w:r>
                                  <w:r>
                                    <w:rPr>
                                      <w:b/>
                                      <w:color w:val="105C84"/>
                                      <w:sz w:val="20"/>
                                    </w:rPr>
                                    <w:t>worry about exercise</w:t>
                                  </w:r>
                                </w:p>
                              </w:tc>
                              <w:tc>
                                <w:tcPr>
                                  <w:tcW w:w="1354" w:type="dxa"/>
                                  <w:tcBorders>
                                    <w:left w:val="single" w:sz="8" w:space="0" w:color="939598"/>
                                  </w:tcBorders>
                                  <w:shd w:val="clear" w:color="auto" w:fill="E9E9EA"/>
                                </w:tcPr>
                                <w:p>
                                  <w:pPr>
                                    <w:pStyle w:val="TableParagraph"/>
                                    <w:spacing w:before="183"/>
                                    <w:ind w:left="1" w:right="2"/>
                                    <w:jc w:val="center"/>
                                    <w:rPr>
                                      <w:sz w:val="20"/>
                                    </w:rPr>
                                  </w:pPr>
                                  <w:r>
                                    <w:rPr>
                                      <w:color w:val="105C84"/>
                                      <w:spacing w:val="-5"/>
                                      <w:sz w:val="20"/>
                                    </w:rPr>
                                    <w:t>6%</w:t>
                                  </w:r>
                                </w:p>
                              </w:tc>
                              <w:tc>
                                <w:tcPr>
                                  <w:tcW w:w="1238" w:type="dxa"/>
                                  <w:shd w:val="clear" w:color="auto" w:fill="E9E9EA"/>
                                </w:tcPr>
                                <w:p>
                                  <w:pPr>
                                    <w:pStyle w:val="TableParagraph"/>
                                    <w:spacing w:before="183"/>
                                    <w:ind w:left="6" w:right="3"/>
                                    <w:jc w:val="center"/>
                                    <w:rPr>
                                      <w:sz w:val="20"/>
                                    </w:rPr>
                                  </w:pPr>
                                  <w:r>
                                    <w:rPr>
                                      <w:color w:val="105C84"/>
                                      <w:spacing w:val="-5"/>
                                      <w:sz w:val="20"/>
                                    </w:rPr>
                                    <w:t>10%</w:t>
                                  </w:r>
                                </w:p>
                              </w:tc>
                              <w:tc>
                                <w:tcPr>
                                  <w:tcW w:w="1238" w:type="dxa"/>
                                  <w:shd w:val="clear" w:color="auto" w:fill="E9E9EA"/>
                                </w:tcPr>
                                <w:p>
                                  <w:pPr>
                                    <w:pStyle w:val="TableParagraph"/>
                                    <w:spacing w:before="183"/>
                                    <w:ind w:left="6" w:right="4"/>
                                    <w:jc w:val="center"/>
                                    <w:rPr>
                                      <w:sz w:val="20"/>
                                    </w:rPr>
                                  </w:pPr>
                                  <w:r>
                                    <w:rPr>
                                      <w:color w:val="105C84"/>
                                      <w:spacing w:val="-5"/>
                                      <w:sz w:val="20"/>
                                    </w:rPr>
                                    <w:t>9%</w:t>
                                  </w:r>
                                </w:p>
                              </w:tc>
                              <w:tc>
                                <w:tcPr>
                                  <w:tcW w:w="1238" w:type="dxa"/>
                                  <w:shd w:val="clear" w:color="auto" w:fill="E9E9EA"/>
                                </w:tcPr>
                                <w:p>
                                  <w:pPr>
                                    <w:pStyle w:val="TableParagraph"/>
                                    <w:spacing w:before="183"/>
                                    <w:ind w:left="6" w:right="4"/>
                                    <w:jc w:val="center"/>
                                    <w:rPr>
                                      <w:sz w:val="20"/>
                                    </w:rPr>
                                  </w:pPr>
                                  <w:r>
                                    <w:rPr>
                                      <w:color w:val="105C84"/>
                                      <w:spacing w:val="-5"/>
                                      <w:sz w:val="20"/>
                                    </w:rPr>
                                    <w:t>7%</w:t>
                                  </w:r>
                                </w:p>
                              </w:tc>
                              <w:tc>
                                <w:tcPr>
                                  <w:tcW w:w="1065" w:type="dxa"/>
                                  <w:shd w:val="clear" w:color="auto" w:fill="E9E9EA"/>
                                </w:tcPr>
                                <w:p>
                                  <w:pPr>
                                    <w:pStyle w:val="TableParagraph"/>
                                    <w:spacing w:before="183"/>
                                    <w:ind w:left="5" w:right="4"/>
                                    <w:jc w:val="center"/>
                                    <w:rPr>
                                      <w:sz w:val="20"/>
                                    </w:rPr>
                                  </w:pPr>
                                  <w:r>
                                    <w:rPr>
                                      <w:color w:val="105C84"/>
                                      <w:spacing w:val="-5"/>
                                      <w:sz w:val="20"/>
                                    </w:rPr>
                                    <w:t>8%</w:t>
                                  </w:r>
                                </w:p>
                              </w:tc>
                            </w:tr>
                            <w:tr>
                              <w:trPr>
                                <w:trHeight w:val="603" w:hRule="atLeast"/>
                              </w:trPr>
                              <w:tc>
                                <w:tcPr>
                                  <w:tcW w:w="4116" w:type="dxa"/>
                                  <w:tcBorders>
                                    <w:right w:val="single" w:sz="8" w:space="0" w:color="939598"/>
                                  </w:tcBorders>
                                </w:tcPr>
                                <w:p>
                                  <w:pPr>
                                    <w:pStyle w:val="TableParagraph"/>
                                    <w:spacing w:line="260" w:lineRule="atLeast" w:before="35"/>
                                    <w:ind w:left="88" w:right="245"/>
                                    <w:rPr>
                                      <w:b/>
                                      <w:sz w:val="20"/>
                                    </w:rPr>
                                  </w:pPr>
                                  <w:r>
                                    <w:rPr>
                                      <w:b/>
                                      <w:color w:val="105C84"/>
                                      <w:sz w:val="20"/>
                                    </w:rPr>
                                    <w:t>I</w:t>
                                  </w:r>
                                  <w:r>
                                    <w:rPr>
                                      <w:b/>
                                      <w:color w:val="105C84"/>
                                      <w:spacing w:val="-1"/>
                                      <w:sz w:val="20"/>
                                    </w:rPr>
                                    <w:t> </w:t>
                                  </w:r>
                                  <w:r>
                                    <w:rPr>
                                      <w:b/>
                                      <w:color w:val="105C84"/>
                                      <w:sz w:val="20"/>
                                    </w:rPr>
                                    <w:t>really</w:t>
                                  </w:r>
                                  <w:r>
                                    <w:rPr>
                                      <w:b/>
                                      <w:color w:val="105C84"/>
                                      <w:spacing w:val="-1"/>
                                      <w:sz w:val="20"/>
                                    </w:rPr>
                                    <w:t> </w:t>
                                  </w:r>
                                  <w:r>
                                    <w:rPr>
                                      <w:b/>
                                      <w:color w:val="105C84"/>
                                      <w:sz w:val="20"/>
                                    </w:rPr>
                                    <w:t>don’t</w:t>
                                  </w:r>
                                  <w:r>
                                    <w:rPr>
                                      <w:b/>
                                      <w:color w:val="105C84"/>
                                      <w:spacing w:val="-1"/>
                                      <w:sz w:val="20"/>
                                    </w:rPr>
                                    <w:t> </w:t>
                                  </w:r>
                                  <w:r>
                                    <w:rPr>
                                      <w:b/>
                                      <w:color w:val="105C84"/>
                                      <w:sz w:val="20"/>
                                    </w:rPr>
                                    <w:t>have</w:t>
                                  </w:r>
                                  <w:r>
                                    <w:rPr>
                                      <w:b/>
                                      <w:color w:val="105C84"/>
                                      <w:spacing w:val="-1"/>
                                      <w:sz w:val="20"/>
                                    </w:rPr>
                                    <w:t> </w:t>
                                  </w:r>
                                  <w:r>
                                    <w:rPr>
                                      <w:b/>
                                      <w:color w:val="105C84"/>
                                      <w:sz w:val="20"/>
                                    </w:rPr>
                                    <w:t>any</w:t>
                                  </w:r>
                                  <w:r>
                                    <w:rPr>
                                      <w:b/>
                                      <w:color w:val="105C84"/>
                                      <w:spacing w:val="-1"/>
                                      <w:sz w:val="20"/>
                                    </w:rPr>
                                    <w:t> </w:t>
                                  </w:r>
                                  <w:r>
                                    <w:rPr>
                                      <w:b/>
                                      <w:color w:val="105C84"/>
                                      <w:sz w:val="20"/>
                                    </w:rPr>
                                    <w:t>barriers</w:t>
                                  </w:r>
                                  <w:r>
                                    <w:rPr>
                                      <w:b/>
                                      <w:color w:val="105C84"/>
                                      <w:spacing w:val="-1"/>
                                      <w:sz w:val="20"/>
                                    </w:rPr>
                                    <w:t> </w:t>
                                  </w:r>
                                  <w:r>
                                    <w:rPr>
                                      <w:b/>
                                      <w:color w:val="105C84"/>
                                      <w:sz w:val="20"/>
                                    </w:rPr>
                                    <w:t>keeping me from being physically active</w:t>
                                  </w:r>
                                </w:p>
                              </w:tc>
                              <w:tc>
                                <w:tcPr>
                                  <w:tcW w:w="1354" w:type="dxa"/>
                                  <w:tcBorders>
                                    <w:left w:val="single" w:sz="8" w:space="0" w:color="939598"/>
                                  </w:tcBorders>
                                </w:tcPr>
                                <w:p>
                                  <w:pPr>
                                    <w:pStyle w:val="TableParagraph"/>
                                    <w:spacing w:before="195"/>
                                    <w:ind w:right="2"/>
                                    <w:jc w:val="center"/>
                                    <w:rPr>
                                      <w:sz w:val="20"/>
                                    </w:rPr>
                                  </w:pPr>
                                  <w:r>
                                    <w:rPr>
                                      <w:color w:val="105C84"/>
                                      <w:spacing w:val="-5"/>
                                      <w:sz w:val="20"/>
                                    </w:rPr>
                                    <w:t>16%</w:t>
                                  </w:r>
                                </w:p>
                              </w:tc>
                              <w:tc>
                                <w:tcPr>
                                  <w:tcW w:w="1238" w:type="dxa"/>
                                </w:tcPr>
                                <w:p>
                                  <w:pPr>
                                    <w:pStyle w:val="TableParagraph"/>
                                    <w:spacing w:before="195"/>
                                    <w:ind w:left="6" w:right="4"/>
                                    <w:jc w:val="center"/>
                                    <w:rPr>
                                      <w:sz w:val="20"/>
                                    </w:rPr>
                                  </w:pPr>
                                  <w:r>
                                    <w:rPr>
                                      <w:color w:val="105C84"/>
                                      <w:spacing w:val="-5"/>
                                      <w:sz w:val="20"/>
                                    </w:rPr>
                                    <w:t>27%</w:t>
                                  </w:r>
                                </w:p>
                              </w:tc>
                              <w:tc>
                                <w:tcPr>
                                  <w:tcW w:w="1238" w:type="dxa"/>
                                </w:tcPr>
                                <w:p>
                                  <w:pPr>
                                    <w:pStyle w:val="TableParagraph"/>
                                    <w:spacing w:before="195"/>
                                    <w:ind w:left="6" w:right="4"/>
                                    <w:jc w:val="center"/>
                                    <w:rPr>
                                      <w:sz w:val="20"/>
                                    </w:rPr>
                                  </w:pPr>
                                  <w:r>
                                    <w:rPr>
                                      <w:color w:val="105C84"/>
                                      <w:spacing w:val="-5"/>
                                      <w:sz w:val="20"/>
                                    </w:rPr>
                                    <w:t>20%</w:t>
                                  </w:r>
                                </w:p>
                              </w:tc>
                              <w:tc>
                                <w:tcPr>
                                  <w:tcW w:w="1238" w:type="dxa"/>
                                </w:tcPr>
                                <w:p>
                                  <w:pPr>
                                    <w:pStyle w:val="TableParagraph"/>
                                    <w:spacing w:before="195"/>
                                    <w:ind w:left="6" w:right="4"/>
                                    <w:jc w:val="center"/>
                                    <w:rPr>
                                      <w:sz w:val="20"/>
                                    </w:rPr>
                                  </w:pPr>
                                  <w:r>
                                    <w:rPr>
                                      <w:color w:val="105C84"/>
                                      <w:spacing w:val="-5"/>
                                      <w:sz w:val="20"/>
                                    </w:rPr>
                                    <w:t>30%</w:t>
                                  </w:r>
                                </w:p>
                              </w:tc>
                              <w:tc>
                                <w:tcPr>
                                  <w:tcW w:w="1065" w:type="dxa"/>
                                </w:tcPr>
                                <w:p>
                                  <w:pPr>
                                    <w:pStyle w:val="TableParagraph"/>
                                    <w:spacing w:before="195"/>
                                    <w:ind w:left="5" w:right="4"/>
                                    <w:jc w:val="center"/>
                                    <w:rPr>
                                      <w:sz w:val="20"/>
                                    </w:rPr>
                                  </w:pPr>
                                  <w:r>
                                    <w:rPr>
                                      <w:color w:val="105C84"/>
                                      <w:spacing w:val="-5"/>
                                      <w:sz w:val="20"/>
                                    </w:rPr>
                                    <w:t>24%</w:t>
                                  </w:r>
                                </w:p>
                              </w:tc>
                            </w:tr>
                            <w:tr>
                              <w:trPr>
                                <w:trHeight w:val="578" w:hRule="atLeast"/>
                              </w:trPr>
                              <w:tc>
                                <w:tcPr>
                                  <w:tcW w:w="4116" w:type="dxa"/>
                                  <w:tcBorders>
                                    <w:right w:val="single" w:sz="8" w:space="0" w:color="939598"/>
                                  </w:tcBorders>
                                  <w:shd w:val="clear" w:color="auto" w:fill="E9E9EA"/>
                                </w:tcPr>
                                <w:p>
                                  <w:pPr>
                                    <w:pStyle w:val="TableParagraph"/>
                                    <w:spacing w:line="260" w:lineRule="atLeast" w:before="23"/>
                                    <w:ind w:left="88" w:right="245"/>
                                    <w:rPr>
                                      <w:b/>
                                      <w:sz w:val="20"/>
                                    </w:rPr>
                                  </w:pPr>
                                  <w:r>
                                    <w:rPr>
                                      <w:b/>
                                      <w:color w:val="105C84"/>
                                      <w:sz w:val="20"/>
                                    </w:rPr>
                                    <w:t>I don’t want or need to be more </w:t>
                                  </w:r>
                                  <w:r>
                                    <w:rPr>
                                      <w:b/>
                                      <w:color w:val="105C84"/>
                                      <w:sz w:val="20"/>
                                    </w:rPr>
                                    <w:t>active than I already am</w:t>
                                  </w:r>
                                </w:p>
                              </w:tc>
                              <w:tc>
                                <w:tcPr>
                                  <w:tcW w:w="1354" w:type="dxa"/>
                                  <w:tcBorders>
                                    <w:left w:val="single" w:sz="8" w:space="0" w:color="939598"/>
                                  </w:tcBorders>
                                  <w:shd w:val="clear" w:color="auto" w:fill="E9E9EA"/>
                                </w:tcPr>
                                <w:p>
                                  <w:pPr>
                                    <w:pStyle w:val="TableParagraph"/>
                                    <w:spacing w:before="183"/>
                                    <w:ind w:right="2"/>
                                    <w:jc w:val="center"/>
                                    <w:rPr>
                                      <w:sz w:val="20"/>
                                    </w:rPr>
                                  </w:pPr>
                                  <w:r>
                                    <w:rPr>
                                      <w:color w:val="105C84"/>
                                      <w:spacing w:val="-5"/>
                                      <w:sz w:val="20"/>
                                    </w:rPr>
                                    <w:t>8%</w:t>
                                  </w:r>
                                </w:p>
                              </w:tc>
                              <w:tc>
                                <w:tcPr>
                                  <w:tcW w:w="1238" w:type="dxa"/>
                                  <w:shd w:val="clear" w:color="auto" w:fill="E9E9EA"/>
                                </w:tcPr>
                                <w:p>
                                  <w:pPr>
                                    <w:pStyle w:val="TableParagraph"/>
                                    <w:spacing w:before="183"/>
                                    <w:ind w:left="6" w:right="4"/>
                                    <w:jc w:val="center"/>
                                    <w:rPr>
                                      <w:sz w:val="20"/>
                                    </w:rPr>
                                  </w:pPr>
                                  <w:r>
                                    <w:rPr>
                                      <w:color w:val="105C84"/>
                                      <w:spacing w:val="-5"/>
                                      <w:sz w:val="20"/>
                                    </w:rPr>
                                    <w:t>8%</w:t>
                                  </w:r>
                                </w:p>
                              </w:tc>
                              <w:tc>
                                <w:tcPr>
                                  <w:tcW w:w="1238" w:type="dxa"/>
                                  <w:shd w:val="clear" w:color="auto" w:fill="E9E9EA"/>
                                </w:tcPr>
                                <w:p>
                                  <w:pPr>
                                    <w:pStyle w:val="TableParagraph"/>
                                    <w:spacing w:before="183"/>
                                    <w:ind w:left="6" w:right="4"/>
                                    <w:jc w:val="center"/>
                                    <w:rPr>
                                      <w:sz w:val="20"/>
                                    </w:rPr>
                                  </w:pPr>
                                  <w:r>
                                    <w:rPr>
                                      <w:color w:val="105C84"/>
                                      <w:spacing w:val="-5"/>
                                      <w:sz w:val="20"/>
                                    </w:rPr>
                                    <w:t>10%</w:t>
                                  </w:r>
                                </w:p>
                              </w:tc>
                              <w:tc>
                                <w:tcPr>
                                  <w:tcW w:w="1238" w:type="dxa"/>
                                  <w:shd w:val="clear" w:color="auto" w:fill="E9E9EA"/>
                                </w:tcPr>
                                <w:p>
                                  <w:pPr>
                                    <w:pStyle w:val="TableParagraph"/>
                                    <w:spacing w:before="183"/>
                                    <w:ind w:left="6" w:right="4"/>
                                    <w:jc w:val="center"/>
                                    <w:rPr>
                                      <w:sz w:val="20"/>
                                    </w:rPr>
                                  </w:pPr>
                                  <w:r>
                                    <w:rPr>
                                      <w:color w:val="105C84"/>
                                      <w:spacing w:val="-5"/>
                                      <w:sz w:val="20"/>
                                    </w:rPr>
                                    <w:t>8%</w:t>
                                  </w:r>
                                </w:p>
                              </w:tc>
                              <w:tc>
                                <w:tcPr>
                                  <w:tcW w:w="1065" w:type="dxa"/>
                                  <w:shd w:val="clear" w:color="auto" w:fill="E9E9EA"/>
                                </w:tcPr>
                                <w:p>
                                  <w:pPr>
                                    <w:pStyle w:val="TableParagraph"/>
                                    <w:spacing w:before="183"/>
                                    <w:ind w:left="5" w:right="4"/>
                                    <w:jc w:val="center"/>
                                    <w:rPr>
                                      <w:sz w:val="20"/>
                                    </w:rPr>
                                  </w:pPr>
                                  <w:r>
                                    <w:rPr>
                                      <w:color w:val="105C84"/>
                                      <w:spacing w:val="-5"/>
                                      <w:sz w:val="20"/>
                                    </w:rPr>
                                    <w:t>8%</w:t>
                                  </w:r>
                                </w:p>
                              </w:tc>
                            </w:tr>
                          </w:tbl>
                          <w:p>
                            <w:pPr>
                              <w:pStyle w:val="BodyText"/>
                            </w:pPr>
                          </w:p>
                        </w:txbxContent>
                      </wps:txbx>
                      <wps:bodyPr wrap="square" lIns="0" tIns="0" rIns="0" bIns="0" rtlCol="0">
                        <a:noAutofit/>
                      </wps:bodyPr>
                    </wps:wsp>
                  </a:graphicData>
                </a:graphic>
              </wp:anchor>
            </w:drawing>
          </mc:Choice>
          <mc:Fallback>
            <w:pict>
              <v:shape style="position:absolute;margin-left:51pt;margin-top:-131.598969pt;width:518.65pt;height:331.25pt;mso-position-horizontal-relative:page;mso-position-vertical-relative:paragraph;z-index:15762432" type="#_x0000_t202" id="docshape263" filled="false" stroked="false">
                <v:textbox inset="0,0,0,0">
                  <w:txbxContent>
                    <w:tbl>
                      <w:tblPr>
                        <w:tblW w:w="0" w:type="auto"/>
                        <w:jc w:val="left"/>
                        <w:tblInd w:w="62"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top w:w="0" w:type="dxa"/>
                          <w:left w:w="0" w:type="dxa"/>
                          <w:bottom w:w="0" w:type="dxa"/>
                          <w:right w:w="0" w:type="dxa"/>
                        </w:tblCellMar>
                        <w:tblLook w:val="01E0"/>
                      </w:tblPr>
                      <w:tblGrid>
                        <w:gridCol w:w="4116"/>
                        <w:gridCol w:w="1354"/>
                        <w:gridCol w:w="1238"/>
                        <w:gridCol w:w="1238"/>
                        <w:gridCol w:w="1238"/>
                        <w:gridCol w:w="1065"/>
                      </w:tblGrid>
                      <w:tr>
                        <w:trPr>
                          <w:trHeight w:val="453" w:hRule="atLeast"/>
                        </w:trPr>
                        <w:tc>
                          <w:tcPr>
                            <w:tcW w:w="4116" w:type="dxa"/>
                            <w:vMerge w:val="restart"/>
                            <w:tcBorders>
                              <w:bottom w:val="single" w:sz="8" w:space="0" w:color="939598"/>
                              <w:right w:val="single" w:sz="8" w:space="0" w:color="939598"/>
                            </w:tcBorders>
                          </w:tcPr>
                          <w:p>
                            <w:pPr>
                              <w:pStyle w:val="TableParagraph"/>
                              <w:rPr>
                                <w:rFonts w:ascii="Times New Roman"/>
                                <w:sz w:val="20"/>
                              </w:rPr>
                            </w:pPr>
                          </w:p>
                        </w:tc>
                        <w:tc>
                          <w:tcPr>
                            <w:tcW w:w="6133" w:type="dxa"/>
                            <w:gridSpan w:val="5"/>
                            <w:tcBorders>
                              <w:left w:val="single" w:sz="8" w:space="0" w:color="939598"/>
                              <w:bottom w:val="nil"/>
                            </w:tcBorders>
                            <w:shd w:val="clear" w:color="auto" w:fill="00A79E"/>
                          </w:tcPr>
                          <w:p>
                            <w:pPr>
                              <w:pStyle w:val="TableParagraph"/>
                              <w:spacing w:before="124"/>
                              <w:ind w:right="1"/>
                              <w:jc w:val="center"/>
                              <w:rPr>
                                <w:b/>
                                <w:sz w:val="20"/>
                              </w:rPr>
                            </w:pPr>
                            <w:r>
                              <w:rPr>
                                <w:b/>
                                <w:color w:val="FFFFFF"/>
                                <w:sz w:val="20"/>
                              </w:rPr>
                              <w:t>8</w:t>
                            </w:r>
                            <w:r>
                              <w:rPr>
                                <w:b/>
                                <w:color w:val="FFFFFF"/>
                                <w:spacing w:val="15"/>
                                <w:sz w:val="20"/>
                              </w:rPr>
                              <w:t> </w:t>
                            </w:r>
                            <w:r>
                              <w:rPr>
                                <w:b/>
                                <w:color w:val="FFFFFF"/>
                                <w:sz w:val="20"/>
                              </w:rPr>
                              <w:t>COUNTY</w:t>
                            </w:r>
                            <w:r>
                              <w:rPr>
                                <w:b/>
                                <w:color w:val="FFFFFF"/>
                                <w:spacing w:val="15"/>
                                <w:sz w:val="20"/>
                              </w:rPr>
                              <w:t> </w:t>
                            </w:r>
                            <w:r>
                              <w:rPr>
                                <w:b/>
                                <w:color w:val="FFFFFF"/>
                                <w:spacing w:val="-2"/>
                                <w:sz w:val="20"/>
                              </w:rPr>
                              <w:t>REGION</w:t>
                            </w:r>
                          </w:p>
                        </w:tc>
                      </w:tr>
                      <w:tr>
                        <w:trPr>
                          <w:trHeight w:val="671" w:hRule="atLeast"/>
                        </w:trPr>
                        <w:tc>
                          <w:tcPr>
                            <w:tcW w:w="4116" w:type="dxa"/>
                            <w:vMerge/>
                            <w:tcBorders>
                              <w:top w:val="nil"/>
                              <w:bottom w:val="single" w:sz="8" w:space="0" w:color="939598"/>
                              <w:right w:val="single" w:sz="8" w:space="0" w:color="939598"/>
                            </w:tcBorders>
                          </w:tcPr>
                          <w:p>
                            <w:pPr>
                              <w:rPr>
                                <w:sz w:val="2"/>
                                <w:szCs w:val="2"/>
                              </w:rPr>
                            </w:pPr>
                          </w:p>
                        </w:tc>
                        <w:tc>
                          <w:tcPr>
                            <w:tcW w:w="6133" w:type="dxa"/>
                            <w:gridSpan w:val="5"/>
                            <w:tcBorders>
                              <w:top w:val="nil"/>
                              <w:left w:val="single" w:sz="8" w:space="0" w:color="939598"/>
                              <w:bottom w:val="single" w:sz="8" w:space="0" w:color="939598"/>
                            </w:tcBorders>
                            <w:shd w:val="clear" w:color="auto" w:fill="82BF6A"/>
                          </w:tcPr>
                          <w:p>
                            <w:pPr>
                              <w:pStyle w:val="TableParagraph"/>
                              <w:tabs>
                                <w:tab w:pos="1472" w:val="left" w:leader="none"/>
                                <w:tab w:pos="1546" w:val="left" w:leader="none"/>
                                <w:tab w:pos="2710" w:val="left" w:leader="none"/>
                                <w:tab w:pos="2784" w:val="left" w:leader="none"/>
                                <w:tab w:pos="3948" w:val="left" w:leader="none"/>
                                <w:tab w:pos="4108" w:val="left" w:leader="none"/>
                                <w:tab w:pos="5227" w:val="left" w:leader="none"/>
                              </w:tabs>
                              <w:spacing w:line="151" w:lineRule="auto" w:before="119"/>
                              <w:ind w:left="82" w:right="159" w:firstLine="94"/>
                              <w:rPr>
                                <w:position w:val="-1"/>
                                <w:sz w:val="22"/>
                              </w:rPr>
                            </w:pPr>
                            <w:r>
                              <w:rPr>
                                <w:color w:val="FFFFFF"/>
                                <w:position w:val="-1"/>
                                <w:sz w:val="22"/>
                              </w:rPr>
                              <w:t>8 County:</w:t>
                              <w:tab/>
                            </w:r>
                            <w:r>
                              <w:rPr>
                                <w:color w:val="FFFFFF"/>
                                <w:sz w:val="22"/>
                              </w:rPr>
                              <w:t>8 County:</w:t>
                              <w:tab/>
                            </w:r>
                            <w:r>
                              <w:rPr>
                                <w:color w:val="FFFFFF"/>
                                <w:position w:val="-1"/>
                                <w:sz w:val="22"/>
                              </w:rPr>
                              <w:t>8 County:</w:t>
                              <w:tab/>
                            </w:r>
                            <w:r>
                              <w:rPr>
                                <w:color w:val="FFFFFF"/>
                                <w:sz w:val="22"/>
                              </w:rPr>
                              <w:t>8 County:</w:t>
                              <w:tab/>
                            </w:r>
                            <w:r>
                              <w:rPr>
                                <w:color w:val="FFFFFF"/>
                                <w:spacing w:val="-2"/>
                                <w:position w:val="-12"/>
                                <w:sz w:val="22"/>
                              </w:rPr>
                              <w:t>Overal</w:t>
                            </w:r>
                            <w:r>
                              <w:rPr>
                                <w:color w:val="FFFFFF"/>
                                <w:spacing w:val="-2"/>
                                <w:position w:val="-12"/>
                                <w:sz w:val="22"/>
                              </w:rPr>
                              <w:t>l</w:t>
                            </w:r>
                            <w:r>
                              <w:rPr>
                                <w:color w:val="FFFFFF"/>
                                <w:spacing w:val="-2"/>
                                <w:position w:val="-12"/>
                                <w:sz w:val="22"/>
                              </w:rPr>
                              <w:t> </w:t>
                            </w:r>
                            <w:r>
                              <w:rPr>
                                <w:color w:val="FFFFFF"/>
                                <w:sz w:val="22"/>
                              </w:rPr>
                              <w:t>under $25K</w:t>
                              <w:tab/>
                              <w:tab/>
                            </w:r>
                            <w:r>
                              <w:rPr>
                                <w:color w:val="FFFFFF"/>
                                <w:spacing w:val="-2"/>
                                <w:position w:val="-1"/>
                                <w:sz w:val="22"/>
                              </w:rPr>
                              <w:t>$25-50K</w:t>
                            </w:r>
                            <w:r>
                              <w:rPr>
                                <w:color w:val="FFFFFF"/>
                                <w:position w:val="-1"/>
                                <w:sz w:val="22"/>
                              </w:rPr>
                              <w:tab/>
                              <w:tab/>
                            </w:r>
                            <w:r>
                              <w:rPr>
                                <w:color w:val="FFFFFF"/>
                                <w:spacing w:val="-2"/>
                                <w:sz w:val="22"/>
                              </w:rPr>
                              <w:t>$50-75K</w:t>
                            </w:r>
                            <w:r>
                              <w:rPr>
                                <w:color w:val="FFFFFF"/>
                                <w:sz w:val="22"/>
                              </w:rPr>
                              <w:tab/>
                              <w:tab/>
                            </w:r>
                            <w:r>
                              <w:rPr>
                                <w:color w:val="FFFFFF"/>
                                <w:spacing w:val="-2"/>
                                <w:position w:val="-1"/>
                                <w:sz w:val="22"/>
                              </w:rPr>
                              <w:t>$75K+</w:t>
                            </w:r>
                          </w:p>
                        </w:tc>
                      </w:tr>
                      <w:tr>
                        <w:trPr>
                          <w:trHeight w:val="419" w:hRule="atLeast"/>
                        </w:trPr>
                        <w:tc>
                          <w:tcPr>
                            <w:tcW w:w="4116" w:type="dxa"/>
                            <w:tcBorders>
                              <w:top w:val="single" w:sz="8" w:space="0" w:color="939598"/>
                              <w:right w:val="single" w:sz="8" w:space="0" w:color="939598"/>
                            </w:tcBorders>
                          </w:tcPr>
                          <w:p>
                            <w:pPr>
                              <w:pStyle w:val="TableParagraph"/>
                              <w:spacing w:before="100"/>
                              <w:ind w:left="90"/>
                              <w:rPr>
                                <w:b/>
                                <w:sz w:val="20"/>
                              </w:rPr>
                            </w:pPr>
                            <w:r>
                              <w:rPr>
                                <w:b/>
                                <w:color w:val="105C84"/>
                                <w:sz w:val="20"/>
                              </w:rPr>
                              <w:t>I</w:t>
                            </w:r>
                            <w:r>
                              <w:rPr>
                                <w:b/>
                                <w:color w:val="105C84"/>
                                <w:spacing w:val="9"/>
                                <w:sz w:val="20"/>
                              </w:rPr>
                              <w:t> </w:t>
                            </w:r>
                            <w:r>
                              <w:rPr>
                                <w:b/>
                                <w:color w:val="105C84"/>
                                <w:sz w:val="20"/>
                              </w:rPr>
                              <w:t>always</w:t>
                            </w:r>
                            <w:r>
                              <w:rPr>
                                <w:b/>
                                <w:color w:val="105C84"/>
                                <w:spacing w:val="9"/>
                                <w:sz w:val="20"/>
                              </w:rPr>
                              <w:t> </w:t>
                            </w:r>
                            <w:r>
                              <w:rPr>
                                <w:b/>
                                <w:color w:val="105C84"/>
                                <w:sz w:val="20"/>
                              </w:rPr>
                              <w:t>seem</w:t>
                            </w:r>
                            <w:r>
                              <w:rPr>
                                <w:b/>
                                <w:color w:val="105C84"/>
                                <w:spacing w:val="10"/>
                                <w:sz w:val="20"/>
                              </w:rPr>
                              <w:t> </w:t>
                            </w:r>
                            <w:r>
                              <w:rPr>
                                <w:b/>
                                <w:color w:val="105C84"/>
                                <w:sz w:val="20"/>
                              </w:rPr>
                              <w:t>to</w:t>
                            </w:r>
                            <w:r>
                              <w:rPr>
                                <w:b/>
                                <w:color w:val="105C84"/>
                                <w:spacing w:val="9"/>
                                <w:sz w:val="20"/>
                              </w:rPr>
                              <w:t> </w:t>
                            </w:r>
                            <w:r>
                              <w:rPr>
                                <w:b/>
                                <w:color w:val="105C84"/>
                                <w:sz w:val="20"/>
                              </w:rPr>
                              <w:t>be</w:t>
                            </w:r>
                            <w:r>
                              <w:rPr>
                                <w:b/>
                                <w:color w:val="105C84"/>
                                <w:spacing w:val="9"/>
                                <w:sz w:val="20"/>
                              </w:rPr>
                              <w:t> </w:t>
                            </w:r>
                            <w:r>
                              <w:rPr>
                                <w:b/>
                                <w:color w:val="105C84"/>
                                <w:sz w:val="20"/>
                              </w:rPr>
                              <w:t>too</w:t>
                            </w:r>
                            <w:r>
                              <w:rPr>
                                <w:b/>
                                <w:color w:val="105C84"/>
                                <w:spacing w:val="10"/>
                                <w:sz w:val="20"/>
                              </w:rPr>
                              <w:t> </w:t>
                            </w:r>
                            <w:r>
                              <w:rPr>
                                <w:b/>
                                <w:color w:val="105C84"/>
                                <w:sz w:val="20"/>
                              </w:rPr>
                              <w:t>tired</w:t>
                            </w:r>
                            <w:r>
                              <w:rPr>
                                <w:b/>
                                <w:color w:val="105C84"/>
                                <w:spacing w:val="9"/>
                                <w:sz w:val="20"/>
                              </w:rPr>
                              <w:t> </w:t>
                            </w:r>
                            <w:r>
                              <w:rPr>
                                <w:b/>
                                <w:color w:val="105C84"/>
                                <w:sz w:val="20"/>
                              </w:rPr>
                              <w:t>to</w:t>
                            </w:r>
                            <w:r>
                              <w:rPr>
                                <w:b/>
                                <w:color w:val="105C84"/>
                                <w:spacing w:val="10"/>
                                <w:sz w:val="20"/>
                              </w:rPr>
                              <w:t> </w:t>
                            </w:r>
                            <w:r>
                              <w:rPr>
                                <w:b/>
                                <w:color w:val="105C84"/>
                                <w:spacing w:val="-2"/>
                                <w:sz w:val="20"/>
                              </w:rPr>
                              <w:t>exercise</w:t>
                            </w:r>
                          </w:p>
                        </w:tc>
                        <w:tc>
                          <w:tcPr>
                            <w:tcW w:w="1354" w:type="dxa"/>
                            <w:tcBorders>
                              <w:top w:val="single" w:sz="8" w:space="0" w:color="939598"/>
                              <w:left w:val="single" w:sz="8" w:space="0" w:color="939598"/>
                            </w:tcBorders>
                          </w:tcPr>
                          <w:p>
                            <w:pPr>
                              <w:pStyle w:val="TableParagraph"/>
                              <w:spacing w:before="100"/>
                              <w:ind w:left="1" w:right="2"/>
                              <w:jc w:val="center"/>
                              <w:rPr>
                                <w:sz w:val="20"/>
                              </w:rPr>
                            </w:pPr>
                            <w:r>
                              <w:rPr>
                                <w:color w:val="105C84"/>
                                <w:spacing w:val="-5"/>
                                <w:sz w:val="20"/>
                              </w:rPr>
                              <w:t>29%</w:t>
                            </w:r>
                          </w:p>
                        </w:tc>
                        <w:tc>
                          <w:tcPr>
                            <w:tcW w:w="1238" w:type="dxa"/>
                            <w:tcBorders>
                              <w:top w:val="single" w:sz="8" w:space="0" w:color="939598"/>
                            </w:tcBorders>
                          </w:tcPr>
                          <w:p>
                            <w:pPr>
                              <w:pStyle w:val="TableParagraph"/>
                              <w:spacing w:before="100"/>
                              <w:ind w:left="6"/>
                              <w:jc w:val="center"/>
                              <w:rPr>
                                <w:sz w:val="20"/>
                              </w:rPr>
                            </w:pPr>
                            <w:r>
                              <w:rPr>
                                <w:color w:val="105C84"/>
                                <w:spacing w:val="-5"/>
                                <w:sz w:val="20"/>
                              </w:rPr>
                              <w:t>31%</w:t>
                            </w:r>
                          </w:p>
                        </w:tc>
                        <w:tc>
                          <w:tcPr>
                            <w:tcW w:w="1238" w:type="dxa"/>
                            <w:tcBorders>
                              <w:top w:val="single" w:sz="8" w:space="0" w:color="939598"/>
                            </w:tcBorders>
                          </w:tcPr>
                          <w:p>
                            <w:pPr>
                              <w:pStyle w:val="TableParagraph"/>
                              <w:spacing w:before="100"/>
                              <w:ind w:left="6" w:right="1"/>
                              <w:jc w:val="center"/>
                              <w:rPr>
                                <w:sz w:val="20"/>
                              </w:rPr>
                            </w:pPr>
                            <w:r>
                              <w:rPr>
                                <w:color w:val="105C84"/>
                                <w:spacing w:val="-5"/>
                                <w:sz w:val="20"/>
                              </w:rPr>
                              <w:t>33%</w:t>
                            </w:r>
                          </w:p>
                        </w:tc>
                        <w:tc>
                          <w:tcPr>
                            <w:tcW w:w="1238" w:type="dxa"/>
                            <w:tcBorders>
                              <w:top w:val="single" w:sz="8" w:space="0" w:color="939598"/>
                            </w:tcBorders>
                          </w:tcPr>
                          <w:p>
                            <w:pPr>
                              <w:pStyle w:val="TableParagraph"/>
                              <w:spacing w:before="100"/>
                              <w:ind w:left="6" w:right="1"/>
                              <w:jc w:val="center"/>
                              <w:rPr>
                                <w:sz w:val="20"/>
                              </w:rPr>
                            </w:pPr>
                            <w:r>
                              <w:rPr>
                                <w:color w:val="105C84"/>
                                <w:spacing w:val="-5"/>
                                <w:sz w:val="20"/>
                              </w:rPr>
                              <w:t>26%</w:t>
                            </w:r>
                          </w:p>
                        </w:tc>
                        <w:tc>
                          <w:tcPr>
                            <w:tcW w:w="1065" w:type="dxa"/>
                            <w:tcBorders>
                              <w:top w:val="single" w:sz="8" w:space="0" w:color="939598"/>
                            </w:tcBorders>
                          </w:tcPr>
                          <w:p>
                            <w:pPr>
                              <w:pStyle w:val="TableParagraph"/>
                              <w:spacing w:before="100"/>
                              <w:ind w:left="5" w:right="1"/>
                              <w:jc w:val="center"/>
                              <w:rPr>
                                <w:sz w:val="20"/>
                              </w:rPr>
                            </w:pPr>
                            <w:r>
                              <w:rPr>
                                <w:color w:val="105C84"/>
                                <w:spacing w:val="-5"/>
                                <w:sz w:val="20"/>
                              </w:rPr>
                              <w:t>29%</w:t>
                            </w:r>
                          </w:p>
                        </w:tc>
                      </w:tr>
                      <w:tr>
                        <w:trPr>
                          <w:trHeight w:val="538" w:hRule="atLeast"/>
                        </w:trPr>
                        <w:tc>
                          <w:tcPr>
                            <w:tcW w:w="4116" w:type="dxa"/>
                            <w:tcBorders>
                              <w:right w:val="single" w:sz="8" w:space="0" w:color="939598"/>
                            </w:tcBorders>
                            <w:shd w:val="clear" w:color="auto" w:fill="E9E9EA"/>
                          </w:tcPr>
                          <w:p>
                            <w:pPr>
                              <w:pStyle w:val="TableParagraph"/>
                              <w:spacing w:line="230" w:lineRule="auto" w:before="60"/>
                              <w:ind w:left="89" w:right="245"/>
                              <w:rPr>
                                <w:b/>
                                <w:sz w:val="20"/>
                              </w:rPr>
                            </w:pPr>
                            <w:r>
                              <w:rPr>
                                <w:b/>
                                <w:color w:val="105C84"/>
                                <w:sz w:val="20"/>
                              </w:rPr>
                              <w:t>I can’t afford a gym membership </w:t>
                            </w:r>
                            <w:r>
                              <w:rPr>
                                <w:b/>
                                <w:color w:val="105C84"/>
                                <w:sz w:val="20"/>
                              </w:rPr>
                              <w:t>or other fitness opportunities</w:t>
                            </w:r>
                          </w:p>
                        </w:tc>
                        <w:tc>
                          <w:tcPr>
                            <w:tcW w:w="1354" w:type="dxa"/>
                            <w:tcBorders>
                              <w:left w:val="single" w:sz="8" w:space="0" w:color="939598"/>
                            </w:tcBorders>
                            <w:shd w:val="clear" w:color="auto" w:fill="E9E9EA"/>
                          </w:tcPr>
                          <w:p>
                            <w:pPr>
                              <w:pStyle w:val="TableParagraph"/>
                              <w:spacing w:before="163"/>
                              <w:ind w:left="1" w:right="2"/>
                              <w:jc w:val="center"/>
                              <w:rPr>
                                <w:sz w:val="20"/>
                              </w:rPr>
                            </w:pPr>
                            <w:r>
                              <w:rPr>
                                <w:color w:val="105C84"/>
                                <w:spacing w:val="-5"/>
                                <w:sz w:val="20"/>
                              </w:rPr>
                              <w:t>46%</w:t>
                            </w:r>
                          </w:p>
                        </w:tc>
                        <w:tc>
                          <w:tcPr>
                            <w:tcW w:w="1238" w:type="dxa"/>
                            <w:shd w:val="clear" w:color="auto" w:fill="E9E9EA"/>
                          </w:tcPr>
                          <w:p>
                            <w:pPr>
                              <w:pStyle w:val="TableParagraph"/>
                              <w:spacing w:before="163"/>
                              <w:ind w:left="6" w:right="1"/>
                              <w:jc w:val="center"/>
                              <w:rPr>
                                <w:sz w:val="20"/>
                              </w:rPr>
                            </w:pPr>
                            <w:r>
                              <w:rPr>
                                <w:color w:val="105C84"/>
                                <w:spacing w:val="-5"/>
                                <w:sz w:val="20"/>
                              </w:rPr>
                              <w:t>31%</w:t>
                            </w:r>
                          </w:p>
                        </w:tc>
                        <w:tc>
                          <w:tcPr>
                            <w:tcW w:w="1238" w:type="dxa"/>
                            <w:shd w:val="clear" w:color="auto" w:fill="E9E9EA"/>
                          </w:tcPr>
                          <w:p>
                            <w:pPr>
                              <w:pStyle w:val="TableParagraph"/>
                              <w:spacing w:before="163"/>
                              <w:ind w:left="6" w:right="1"/>
                              <w:jc w:val="center"/>
                              <w:rPr>
                                <w:sz w:val="20"/>
                              </w:rPr>
                            </w:pPr>
                            <w:r>
                              <w:rPr>
                                <w:color w:val="105C84"/>
                                <w:spacing w:val="-5"/>
                                <w:sz w:val="20"/>
                              </w:rPr>
                              <w:t>22%</w:t>
                            </w:r>
                          </w:p>
                        </w:tc>
                        <w:tc>
                          <w:tcPr>
                            <w:tcW w:w="1238" w:type="dxa"/>
                            <w:shd w:val="clear" w:color="auto" w:fill="E9E9EA"/>
                          </w:tcPr>
                          <w:p>
                            <w:pPr>
                              <w:pStyle w:val="TableParagraph"/>
                              <w:spacing w:before="163"/>
                              <w:ind w:left="6" w:right="2"/>
                              <w:jc w:val="center"/>
                              <w:rPr>
                                <w:sz w:val="20"/>
                              </w:rPr>
                            </w:pPr>
                            <w:r>
                              <w:rPr>
                                <w:color w:val="105C84"/>
                                <w:spacing w:val="-5"/>
                                <w:sz w:val="20"/>
                              </w:rPr>
                              <w:t>10%</w:t>
                            </w:r>
                          </w:p>
                        </w:tc>
                        <w:tc>
                          <w:tcPr>
                            <w:tcW w:w="1065" w:type="dxa"/>
                            <w:shd w:val="clear" w:color="auto" w:fill="E9E9EA"/>
                          </w:tcPr>
                          <w:p>
                            <w:pPr>
                              <w:pStyle w:val="TableParagraph"/>
                              <w:spacing w:before="163"/>
                              <w:ind w:left="5" w:right="1"/>
                              <w:jc w:val="center"/>
                              <w:rPr>
                                <w:sz w:val="20"/>
                              </w:rPr>
                            </w:pPr>
                            <w:r>
                              <w:rPr>
                                <w:color w:val="105C84"/>
                                <w:spacing w:val="-5"/>
                                <w:sz w:val="20"/>
                              </w:rPr>
                              <w:t>26%</w:t>
                            </w:r>
                          </w:p>
                        </w:tc>
                      </w:tr>
                      <w:tr>
                        <w:trPr>
                          <w:trHeight w:val="538" w:hRule="atLeast"/>
                        </w:trPr>
                        <w:tc>
                          <w:tcPr>
                            <w:tcW w:w="4116" w:type="dxa"/>
                            <w:tcBorders>
                              <w:right w:val="single" w:sz="8" w:space="0" w:color="939598"/>
                            </w:tcBorders>
                          </w:tcPr>
                          <w:p>
                            <w:pPr>
                              <w:pStyle w:val="TableParagraph"/>
                              <w:spacing w:line="230" w:lineRule="auto" w:before="60"/>
                              <w:ind w:left="89"/>
                              <w:rPr>
                                <w:b/>
                                <w:sz w:val="20"/>
                              </w:rPr>
                            </w:pPr>
                            <w:r>
                              <w:rPr>
                                <w:b/>
                                <w:color w:val="105C84"/>
                                <w:sz w:val="20"/>
                              </w:rPr>
                              <w:t>I</w:t>
                            </w:r>
                            <w:r>
                              <w:rPr>
                                <w:b/>
                                <w:color w:val="105C84"/>
                                <w:spacing w:val="-14"/>
                                <w:sz w:val="20"/>
                              </w:rPr>
                              <w:t> </w:t>
                            </w:r>
                            <w:r>
                              <w:rPr>
                                <w:b/>
                                <w:color w:val="105C84"/>
                                <w:sz w:val="20"/>
                              </w:rPr>
                              <w:t>can’t</w:t>
                            </w:r>
                            <w:r>
                              <w:rPr>
                                <w:b/>
                                <w:color w:val="105C84"/>
                                <w:spacing w:val="-14"/>
                                <w:sz w:val="20"/>
                              </w:rPr>
                              <w:t> </w:t>
                            </w:r>
                            <w:r>
                              <w:rPr>
                                <w:b/>
                                <w:color w:val="105C84"/>
                                <w:sz w:val="20"/>
                              </w:rPr>
                              <w:t>exercise</w:t>
                            </w:r>
                            <w:r>
                              <w:rPr>
                                <w:b/>
                                <w:color w:val="105C84"/>
                                <w:spacing w:val="-14"/>
                                <w:sz w:val="20"/>
                              </w:rPr>
                              <w:t> </w:t>
                            </w:r>
                            <w:r>
                              <w:rPr>
                                <w:b/>
                                <w:color w:val="105C84"/>
                                <w:sz w:val="20"/>
                              </w:rPr>
                              <w:t>because</w:t>
                            </w:r>
                            <w:r>
                              <w:rPr>
                                <w:b/>
                                <w:color w:val="105C84"/>
                                <w:spacing w:val="-14"/>
                                <w:sz w:val="20"/>
                              </w:rPr>
                              <w:t> </w:t>
                            </w:r>
                            <w:r>
                              <w:rPr>
                                <w:b/>
                                <w:color w:val="105C84"/>
                                <w:sz w:val="20"/>
                              </w:rPr>
                              <w:t>of</w:t>
                            </w:r>
                            <w:r>
                              <w:rPr>
                                <w:b/>
                                <w:color w:val="105C84"/>
                                <w:spacing w:val="-14"/>
                                <w:sz w:val="20"/>
                              </w:rPr>
                              <w:t> </w:t>
                            </w:r>
                            <w:r>
                              <w:rPr>
                                <w:b/>
                                <w:color w:val="105C84"/>
                                <w:sz w:val="20"/>
                              </w:rPr>
                              <w:t>a</w:t>
                            </w:r>
                            <w:r>
                              <w:rPr>
                                <w:b/>
                                <w:color w:val="105C84"/>
                                <w:spacing w:val="-14"/>
                                <w:sz w:val="20"/>
                              </w:rPr>
                              <w:t> </w:t>
                            </w:r>
                            <w:r>
                              <w:rPr>
                                <w:b/>
                                <w:color w:val="105C84"/>
                                <w:sz w:val="20"/>
                              </w:rPr>
                              <w:t>physical limitation or disability</w:t>
                            </w:r>
                          </w:p>
                        </w:tc>
                        <w:tc>
                          <w:tcPr>
                            <w:tcW w:w="1354" w:type="dxa"/>
                            <w:tcBorders>
                              <w:left w:val="single" w:sz="8" w:space="0" w:color="939598"/>
                            </w:tcBorders>
                          </w:tcPr>
                          <w:p>
                            <w:pPr>
                              <w:pStyle w:val="TableParagraph"/>
                              <w:spacing w:before="163"/>
                              <w:ind w:left="1" w:right="2"/>
                              <w:jc w:val="center"/>
                              <w:rPr>
                                <w:sz w:val="20"/>
                              </w:rPr>
                            </w:pPr>
                            <w:r>
                              <w:rPr>
                                <w:color w:val="105C84"/>
                                <w:spacing w:val="-5"/>
                                <w:sz w:val="20"/>
                              </w:rPr>
                              <w:t>25%</w:t>
                            </w:r>
                          </w:p>
                        </w:tc>
                        <w:tc>
                          <w:tcPr>
                            <w:tcW w:w="1238" w:type="dxa"/>
                          </w:tcPr>
                          <w:p>
                            <w:pPr>
                              <w:pStyle w:val="TableParagraph"/>
                              <w:spacing w:before="163"/>
                              <w:ind w:left="6" w:right="1"/>
                              <w:jc w:val="center"/>
                              <w:rPr>
                                <w:sz w:val="20"/>
                              </w:rPr>
                            </w:pPr>
                            <w:r>
                              <w:rPr>
                                <w:color w:val="105C84"/>
                                <w:spacing w:val="-5"/>
                                <w:sz w:val="20"/>
                              </w:rPr>
                              <w:t>13%</w:t>
                            </w:r>
                          </w:p>
                        </w:tc>
                        <w:tc>
                          <w:tcPr>
                            <w:tcW w:w="1238" w:type="dxa"/>
                          </w:tcPr>
                          <w:p>
                            <w:pPr>
                              <w:pStyle w:val="TableParagraph"/>
                              <w:spacing w:before="163"/>
                              <w:ind w:left="6" w:right="2"/>
                              <w:jc w:val="center"/>
                              <w:rPr>
                                <w:sz w:val="20"/>
                              </w:rPr>
                            </w:pPr>
                            <w:r>
                              <w:rPr>
                                <w:color w:val="105C84"/>
                                <w:spacing w:val="-5"/>
                                <w:sz w:val="20"/>
                              </w:rPr>
                              <w:t>12%</w:t>
                            </w:r>
                          </w:p>
                        </w:tc>
                        <w:tc>
                          <w:tcPr>
                            <w:tcW w:w="1238" w:type="dxa"/>
                          </w:tcPr>
                          <w:p>
                            <w:pPr>
                              <w:pStyle w:val="TableParagraph"/>
                              <w:spacing w:before="163"/>
                              <w:ind w:left="6" w:right="2"/>
                              <w:jc w:val="center"/>
                              <w:rPr>
                                <w:sz w:val="20"/>
                              </w:rPr>
                            </w:pPr>
                            <w:r>
                              <w:rPr>
                                <w:color w:val="105C84"/>
                                <w:spacing w:val="-5"/>
                                <w:sz w:val="20"/>
                              </w:rPr>
                              <w:t>7%</w:t>
                            </w:r>
                          </w:p>
                        </w:tc>
                        <w:tc>
                          <w:tcPr>
                            <w:tcW w:w="1065" w:type="dxa"/>
                          </w:tcPr>
                          <w:p>
                            <w:pPr>
                              <w:pStyle w:val="TableParagraph"/>
                              <w:spacing w:before="163"/>
                              <w:ind w:left="5" w:right="2"/>
                              <w:jc w:val="center"/>
                              <w:rPr>
                                <w:sz w:val="20"/>
                              </w:rPr>
                            </w:pPr>
                            <w:r>
                              <w:rPr>
                                <w:color w:val="105C84"/>
                                <w:spacing w:val="-5"/>
                                <w:sz w:val="20"/>
                              </w:rPr>
                              <w:t>14%</w:t>
                            </w:r>
                          </w:p>
                        </w:tc>
                      </w:tr>
                      <w:tr>
                        <w:trPr>
                          <w:trHeight w:val="538" w:hRule="atLeast"/>
                        </w:trPr>
                        <w:tc>
                          <w:tcPr>
                            <w:tcW w:w="4116" w:type="dxa"/>
                            <w:tcBorders>
                              <w:right w:val="single" w:sz="8" w:space="0" w:color="939598"/>
                            </w:tcBorders>
                            <w:shd w:val="clear" w:color="auto" w:fill="E9E9EA"/>
                          </w:tcPr>
                          <w:p>
                            <w:pPr>
                              <w:pStyle w:val="TableParagraph"/>
                              <w:spacing w:line="230" w:lineRule="auto" w:before="60"/>
                              <w:ind w:left="89"/>
                              <w:rPr>
                                <w:b/>
                                <w:sz w:val="20"/>
                              </w:rPr>
                            </w:pPr>
                            <w:r>
                              <w:rPr>
                                <w:b/>
                                <w:color w:val="105C84"/>
                                <w:sz w:val="20"/>
                              </w:rPr>
                              <w:t>I don’t have a safe place nearby to </w:t>
                            </w:r>
                            <w:r>
                              <w:rPr>
                                <w:b/>
                                <w:color w:val="105C84"/>
                                <w:sz w:val="20"/>
                              </w:rPr>
                              <w:t>get more exercise</w:t>
                            </w:r>
                          </w:p>
                        </w:tc>
                        <w:tc>
                          <w:tcPr>
                            <w:tcW w:w="1354" w:type="dxa"/>
                            <w:tcBorders>
                              <w:left w:val="single" w:sz="8" w:space="0" w:color="939598"/>
                            </w:tcBorders>
                            <w:shd w:val="clear" w:color="auto" w:fill="E9E9EA"/>
                          </w:tcPr>
                          <w:p>
                            <w:pPr>
                              <w:pStyle w:val="TableParagraph"/>
                              <w:spacing w:before="163"/>
                              <w:ind w:left="2" w:right="2"/>
                              <w:jc w:val="center"/>
                              <w:rPr>
                                <w:sz w:val="20"/>
                              </w:rPr>
                            </w:pPr>
                            <w:r>
                              <w:rPr>
                                <w:color w:val="105C84"/>
                                <w:spacing w:val="-5"/>
                                <w:sz w:val="20"/>
                              </w:rPr>
                              <w:t>9%</w:t>
                            </w:r>
                          </w:p>
                        </w:tc>
                        <w:tc>
                          <w:tcPr>
                            <w:tcW w:w="1238" w:type="dxa"/>
                            <w:shd w:val="clear" w:color="auto" w:fill="E9E9EA"/>
                          </w:tcPr>
                          <w:p>
                            <w:pPr>
                              <w:pStyle w:val="TableParagraph"/>
                              <w:spacing w:before="163"/>
                              <w:ind w:left="6" w:right="2"/>
                              <w:jc w:val="center"/>
                              <w:rPr>
                                <w:sz w:val="20"/>
                              </w:rPr>
                            </w:pPr>
                            <w:r>
                              <w:rPr>
                                <w:color w:val="105C84"/>
                                <w:spacing w:val="-5"/>
                                <w:sz w:val="20"/>
                              </w:rPr>
                              <w:t>6%</w:t>
                            </w:r>
                          </w:p>
                        </w:tc>
                        <w:tc>
                          <w:tcPr>
                            <w:tcW w:w="1238" w:type="dxa"/>
                            <w:shd w:val="clear" w:color="auto" w:fill="E9E9EA"/>
                          </w:tcPr>
                          <w:p>
                            <w:pPr>
                              <w:pStyle w:val="TableParagraph"/>
                              <w:spacing w:before="163"/>
                              <w:ind w:left="6" w:right="2"/>
                              <w:jc w:val="center"/>
                              <w:rPr>
                                <w:sz w:val="20"/>
                              </w:rPr>
                            </w:pPr>
                            <w:r>
                              <w:rPr>
                                <w:color w:val="105C84"/>
                                <w:spacing w:val="-5"/>
                                <w:sz w:val="20"/>
                              </w:rPr>
                              <w:t>5%</w:t>
                            </w:r>
                          </w:p>
                        </w:tc>
                        <w:tc>
                          <w:tcPr>
                            <w:tcW w:w="1238" w:type="dxa"/>
                            <w:shd w:val="clear" w:color="auto" w:fill="E9E9EA"/>
                          </w:tcPr>
                          <w:p>
                            <w:pPr>
                              <w:pStyle w:val="TableParagraph"/>
                              <w:spacing w:before="163"/>
                              <w:ind w:left="6" w:right="2"/>
                              <w:jc w:val="center"/>
                              <w:rPr>
                                <w:sz w:val="20"/>
                              </w:rPr>
                            </w:pPr>
                            <w:r>
                              <w:rPr>
                                <w:color w:val="105C84"/>
                                <w:spacing w:val="-5"/>
                                <w:sz w:val="20"/>
                              </w:rPr>
                              <w:t>3%</w:t>
                            </w:r>
                          </w:p>
                        </w:tc>
                        <w:tc>
                          <w:tcPr>
                            <w:tcW w:w="1065" w:type="dxa"/>
                            <w:shd w:val="clear" w:color="auto" w:fill="E9E9EA"/>
                          </w:tcPr>
                          <w:p>
                            <w:pPr>
                              <w:pStyle w:val="TableParagraph"/>
                              <w:spacing w:before="163"/>
                              <w:ind w:left="5" w:right="2"/>
                              <w:jc w:val="center"/>
                              <w:rPr>
                                <w:sz w:val="20"/>
                              </w:rPr>
                            </w:pPr>
                            <w:r>
                              <w:rPr>
                                <w:color w:val="105C84"/>
                                <w:spacing w:val="-5"/>
                                <w:sz w:val="20"/>
                              </w:rPr>
                              <w:t>6%</w:t>
                            </w:r>
                          </w:p>
                        </w:tc>
                      </w:tr>
                      <w:tr>
                        <w:trPr>
                          <w:trHeight w:val="538" w:hRule="atLeast"/>
                        </w:trPr>
                        <w:tc>
                          <w:tcPr>
                            <w:tcW w:w="4116" w:type="dxa"/>
                            <w:tcBorders>
                              <w:right w:val="single" w:sz="8" w:space="0" w:color="939598"/>
                            </w:tcBorders>
                          </w:tcPr>
                          <w:p>
                            <w:pPr>
                              <w:pStyle w:val="TableParagraph"/>
                              <w:spacing w:line="230" w:lineRule="auto" w:before="60"/>
                              <w:ind w:left="89"/>
                              <w:rPr>
                                <w:b/>
                                <w:sz w:val="20"/>
                              </w:rPr>
                            </w:pPr>
                            <w:r>
                              <w:rPr>
                                <w:b/>
                                <w:color w:val="105C84"/>
                                <w:sz w:val="20"/>
                              </w:rPr>
                              <w:t>I don’t have anyone to exercise with, </w:t>
                            </w:r>
                            <w:r>
                              <w:rPr>
                                <w:b/>
                                <w:color w:val="105C84"/>
                                <w:sz w:val="20"/>
                              </w:rPr>
                              <w:t>and don’t like to exercise alone</w:t>
                            </w:r>
                          </w:p>
                        </w:tc>
                        <w:tc>
                          <w:tcPr>
                            <w:tcW w:w="1354" w:type="dxa"/>
                            <w:tcBorders>
                              <w:left w:val="single" w:sz="8" w:space="0" w:color="939598"/>
                            </w:tcBorders>
                          </w:tcPr>
                          <w:p>
                            <w:pPr>
                              <w:pStyle w:val="TableParagraph"/>
                              <w:spacing w:before="163"/>
                              <w:ind w:left="2" w:right="2"/>
                              <w:jc w:val="center"/>
                              <w:rPr>
                                <w:sz w:val="20"/>
                              </w:rPr>
                            </w:pPr>
                            <w:r>
                              <w:rPr>
                                <w:color w:val="105C84"/>
                                <w:spacing w:val="-5"/>
                                <w:sz w:val="20"/>
                              </w:rPr>
                              <w:t>21%</w:t>
                            </w:r>
                          </w:p>
                        </w:tc>
                        <w:tc>
                          <w:tcPr>
                            <w:tcW w:w="1238" w:type="dxa"/>
                          </w:tcPr>
                          <w:p>
                            <w:pPr>
                              <w:pStyle w:val="TableParagraph"/>
                              <w:spacing w:before="163"/>
                              <w:ind w:left="6" w:right="2"/>
                              <w:jc w:val="center"/>
                              <w:rPr>
                                <w:sz w:val="20"/>
                              </w:rPr>
                            </w:pPr>
                            <w:r>
                              <w:rPr>
                                <w:color w:val="105C84"/>
                                <w:spacing w:val="-5"/>
                                <w:sz w:val="20"/>
                              </w:rPr>
                              <w:t>19%</w:t>
                            </w:r>
                          </w:p>
                        </w:tc>
                        <w:tc>
                          <w:tcPr>
                            <w:tcW w:w="1238" w:type="dxa"/>
                          </w:tcPr>
                          <w:p>
                            <w:pPr>
                              <w:pStyle w:val="TableParagraph"/>
                              <w:spacing w:before="163"/>
                              <w:ind w:left="6" w:right="2"/>
                              <w:jc w:val="center"/>
                              <w:rPr>
                                <w:sz w:val="20"/>
                              </w:rPr>
                            </w:pPr>
                            <w:r>
                              <w:rPr>
                                <w:color w:val="105C84"/>
                                <w:spacing w:val="-5"/>
                                <w:sz w:val="20"/>
                              </w:rPr>
                              <w:t>17%</w:t>
                            </w:r>
                          </w:p>
                        </w:tc>
                        <w:tc>
                          <w:tcPr>
                            <w:tcW w:w="1238" w:type="dxa"/>
                          </w:tcPr>
                          <w:p>
                            <w:pPr>
                              <w:pStyle w:val="TableParagraph"/>
                              <w:spacing w:before="163"/>
                              <w:ind w:left="6" w:right="3"/>
                              <w:jc w:val="center"/>
                              <w:rPr>
                                <w:sz w:val="20"/>
                              </w:rPr>
                            </w:pPr>
                            <w:r>
                              <w:rPr>
                                <w:color w:val="105C84"/>
                                <w:spacing w:val="-5"/>
                                <w:sz w:val="20"/>
                              </w:rPr>
                              <w:t>11%</w:t>
                            </w:r>
                          </w:p>
                        </w:tc>
                        <w:tc>
                          <w:tcPr>
                            <w:tcW w:w="1065" w:type="dxa"/>
                          </w:tcPr>
                          <w:p>
                            <w:pPr>
                              <w:pStyle w:val="TableParagraph"/>
                              <w:spacing w:before="163"/>
                              <w:ind w:left="5" w:right="2"/>
                              <w:jc w:val="center"/>
                              <w:rPr>
                                <w:sz w:val="20"/>
                              </w:rPr>
                            </w:pPr>
                            <w:r>
                              <w:rPr>
                                <w:color w:val="105C84"/>
                                <w:spacing w:val="-5"/>
                                <w:sz w:val="20"/>
                              </w:rPr>
                              <w:t>16%</w:t>
                            </w:r>
                          </w:p>
                        </w:tc>
                      </w:tr>
                      <w:tr>
                        <w:trPr>
                          <w:trHeight w:val="538" w:hRule="atLeast"/>
                        </w:trPr>
                        <w:tc>
                          <w:tcPr>
                            <w:tcW w:w="4116" w:type="dxa"/>
                            <w:tcBorders>
                              <w:right w:val="single" w:sz="8" w:space="0" w:color="939598"/>
                            </w:tcBorders>
                            <w:shd w:val="clear" w:color="auto" w:fill="E9E9EA"/>
                          </w:tcPr>
                          <w:p>
                            <w:pPr>
                              <w:pStyle w:val="TableParagraph"/>
                              <w:spacing w:line="230" w:lineRule="auto" w:before="60"/>
                              <w:ind w:left="89" w:right="245"/>
                              <w:rPr>
                                <w:b/>
                                <w:sz w:val="20"/>
                              </w:rPr>
                            </w:pPr>
                            <w:r>
                              <w:rPr>
                                <w:b/>
                                <w:color w:val="105C84"/>
                                <w:sz w:val="20"/>
                              </w:rPr>
                              <w:t>I don’t have the time to get </w:t>
                            </w:r>
                            <w:r>
                              <w:rPr>
                                <w:b/>
                                <w:color w:val="105C84"/>
                                <w:sz w:val="20"/>
                              </w:rPr>
                              <w:t>more </w:t>
                            </w:r>
                            <w:r>
                              <w:rPr>
                                <w:b/>
                                <w:color w:val="105C84"/>
                                <w:spacing w:val="-2"/>
                                <w:sz w:val="20"/>
                              </w:rPr>
                              <w:t>exercise</w:t>
                            </w:r>
                          </w:p>
                        </w:tc>
                        <w:tc>
                          <w:tcPr>
                            <w:tcW w:w="1354" w:type="dxa"/>
                            <w:tcBorders>
                              <w:left w:val="single" w:sz="8" w:space="0" w:color="939598"/>
                            </w:tcBorders>
                            <w:shd w:val="clear" w:color="auto" w:fill="E9E9EA"/>
                          </w:tcPr>
                          <w:p>
                            <w:pPr>
                              <w:pStyle w:val="TableParagraph"/>
                              <w:spacing w:before="163"/>
                              <w:ind w:left="1" w:right="2"/>
                              <w:jc w:val="center"/>
                              <w:rPr>
                                <w:sz w:val="20"/>
                              </w:rPr>
                            </w:pPr>
                            <w:r>
                              <w:rPr>
                                <w:color w:val="105C84"/>
                                <w:spacing w:val="-5"/>
                                <w:sz w:val="20"/>
                              </w:rPr>
                              <w:t>17%</w:t>
                            </w:r>
                          </w:p>
                        </w:tc>
                        <w:tc>
                          <w:tcPr>
                            <w:tcW w:w="1238" w:type="dxa"/>
                            <w:shd w:val="clear" w:color="auto" w:fill="E9E9EA"/>
                          </w:tcPr>
                          <w:p>
                            <w:pPr>
                              <w:pStyle w:val="TableParagraph"/>
                              <w:spacing w:before="163"/>
                              <w:ind w:left="6" w:right="2"/>
                              <w:jc w:val="center"/>
                              <w:rPr>
                                <w:sz w:val="20"/>
                              </w:rPr>
                            </w:pPr>
                            <w:r>
                              <w:rPr>
                                <w:color w:val="105C84"/>
                                <w:spacing w:val="-5"/>
                                <w:sz w:val="20"/>
                              </w:rPr>
                              <w:t>38%</w:t>
                            </w:r>
                          </w:p>
                        </w:tc>
                        <w:tc>
                          <w:tcPr>
                            <w:tcW w:w="1238" w:type="dxa"/>
                            <w:shd w:val="clear" w:color="auto" w:fill="E9E9EA"/>
                          </w:tcPr>
                          <w:p>
                            <w:pPr>
                              <w:pStyle w:val="TableParagraph"/>
                              <w:spacing w:before="163"/>
                              <w:ind w:left="6" w:right="3"/>
                              <w:jc w:val="center"/>
                              <w:rPr>
                                <w:sz w:val="20"/>
                              </w:rPr>
                            </w:pPr>
                            <w:r>
                              <w:rPr>
                                <w:color w:val="105C84"/>
                                <w:spacing w:val="-5"/>
                                <w:sz w:val="20"/>
                              </w:rPr>
                              <w:t>46%</w:t>
                            </w:r>
                          </w:p>
                        </w:tc>
                        <w:tc>
                          <w:tcPr>
                            <w:tcW w:w="1238" w:type="dxa"/>
                            <w:shd w:val="clear" w:color="auto" w:fill="E9E9EA"/>
                          </w:tcPr>
                          <w:p>
                            <w:pPr>
                              <w:pStyle w:val="TableParagraph"/>
                              <w:spacing w:before="163"/>
                              <w:ind w:left="6" w:right="3"/>
                              <w:jc w:val="center"/>
                              <w:rPr>
                                <w:sz w:val="20"/>
                              </w:rPr>
                            </w:pPr>
                            <w:r>
                              <w:rPr>
                                <w:color w:val="105C84"/>
                                <w:spacing w:val="-5"/>
                                <w:sz w:val="20"/>
                              </w:rPr>
                              <w:t>54%</w:t>
                            </w:r>
                          </w:p>
                        </w:tc>
                        <w:tc>
                          <w:tcPr>
                            <w:tcW w:w="1065" w:type="dxa"/>
                            <w:shd w:val="clear" w:color="auto" w:fill="E9E9EA"/>
                          </w:tcPr>
                          <w:p>
                            <w:pPr>
                              <w:pStyle w:val="TableParagraph"/>
                              <w:spacing w:before="163"/>
                              <w:ind w:left="5" w:right="3"/>
                              <w:jc w:val="center"/>
                              <w:rPr>
                                <w:sz w:val="20"/>
                              </w:rPr>
                            </w:pPr>
                            <w:r>
                              <w:rPr>
                                <w:color w:val="105C84"/>
                                <w:spacing w:val="-5"/>
                                <w:sz w:val="20"/>
                              </w:rPr>
                              <w:t>40%</w:t>
                            </w:r>
                          </w:p>
                        </w:tc>
                      </w:tr>
                      <w:tr>
                        <w:trPr>
                          <w:trHeight w:val="538" w:hRule="atLeast"/>
                        </w:trPr>
                        <w:tc>
                          <w:tcPr>
                            <w:tcW w:w="4116" w:type="dxa"/>
                            <w:tcBorders>
                              <w:right w:val="single" w:sz="8" w:space="0" w:color="939598"/>
                            </w:tcBorders>
                          </w:tcPr>
                          <w:p>
                            <w:pPr>
                              <w:pStyle w:val="TableParagraph"/>
                              <w:spacing w:line="230" w:lineRule="auto" w:before="60"/>
                              <w:ind w:left="88"/>
                              <w:rPr>
                                <w:b/>
                                <w:sz w:val="20"/>
                              </w:rPr>
                            </w:pPr>
                            <w:r>
                              <w:rPr>
                                <w:b/>
                                <w:color w:val="105C84"/>
                                <w:sz w:val="20"/>
                              </w:rPr>
                              <w:t>I don’t have transportation to get </w:t>
                            </w:r>
                            <w:r>
                              <w:rPr>
                                <w:b/>
                                <w:color w:val="105C84"/>
                                <w:sz w:val="20"/>
                              </w:rPr>
                              <w:t>places where I could get more exercise</w:t>
                            </w:r>
                          </w:p>
                        </w:tc>
                        <w:tc>
                          <w:tcPr>
                            <w:tcW w:w="1354" w:type="dxa"/>
                            <w:tcBorders>
                              <w:left w:val="single" w:sz="8" w:space="0" w:color="939598"/>
                            </w:tcBorders>
                          </w:tcPr>
                          <w:p>
                            <w:pPr>
                              <w:pStyle w:val="TableParagraph"/>
                              <w:spacing w:before="163"/>
                              <w:ind w:left="1" w:right="2"/>
                              <w:jc w:val="center"/>
                              <w:rPr>
                                <w:sz w:val="20"/>
                              </w:rPr>
                            </w:pPr>
                            <w:r>
                              <w:rPr>
                                <w:color w:val="105C84"/>
                                <w:spacing w:val="-5"/>
                                <w:sz w:val="20"/>
                              </w:rPr>
                              <w:t>11%</w:t>
                            </w:r>
                          </w:p>
                        </w:tc>
                        <w:tc>
                          <w:tcPr>
                            <w:tcW w:w="1238" w:type="dxa"/>
                          </w:tcPr>
                          <w:p>
                            <w:pPr>
                              <w:pStyle w:val="TableParagraph"/>
                              <w:spacing w:before="163"/>
                              <w:ind w:left="6" w:right="3"/>
                              <w:jc w:val="center"/>
                              <w:rPr>
                                <w:sz w:val="20"/>
                              </w:rPr>
                            </w:pPr>
                            <w:r>
                              <w:rPr>
                                <w:color w:val="105C84"/>
                                <w:spacing w:val="-5"/>
                                <w:sz w:val="20"/>
                              </w:rPr>
                              <w:t>2%</w:t>
                            </w:r>
                          </w:p>
                        </w:tc>
                        <w:tc>
                          <w:tcPr>
                            <w:tcW w:w="1238" w:type="dxa"/>
                          </w:tcPr>
                          <w:p>
                            <w:pPr>
                              <w:pStyle w:val="TableParagraph"/>
                              <w:spacing w:before="163"/>
                              <w:ind w:left="6" w:right="3"/>
                              <w:jc w:val="center"/>
                              <w:rPr>
                                <w:sz w:val="20"/>
                              </w:rPr>
                            </w:pPr>
                            <w:r>
                              <w:rPr>
                                <w:color w:val="105C84"/>
                                <w:spacing w:val="-5"/>
                                <w:sz w:val="20"/>
                              </w:rPr>
                              <w:t>1%</w:t>
                            </w:r>
                          </w:p>
                        </w:tc>
                        <w:tc>
                          <w:tcPr>
                            <w:tcW w:w="1238" w:type="dxa"/>
                          </w:tcPr>
                          <w:p>
                            <w:pPr>
                              <w:pStyle w:val="TableParagraph"/>
                              <w:spacing w:before="163"/>
                              <w:ind w:left="6" w:right="4"/>
                              <w:jc w:val="center"/>
                              <w:rPr>
                                <w:sz w:val="20"/>
                              </w:rPr>
                            </w:pPr>
                            <w:r>
                              <w:rPr>
                                <w:color w:val="105C84"/>
                                <w:spacing w:val="-5"/>
                                <w:sz w:val="20"/>
                              </w:rPr>
                              <w:t>0%</w:t>
                            </w:r>
                          </w:p>
                        </w:tc>
                        <w:tc>
                          <w:tcPr>
                            <w:tcW w:w="1065" w:type="dxa"/>
                          </w:tcPr>
                          <w:p>
                            <w:pPr>
                              <w:pStyle w:val="TableParagraph"/>
                              <w:spacing w:before="163"/>
                              <w:ind w:left="5" w:right="3"/>
                              <w:jc w:val="center"/>
                              <w:rPr>
                                <w:sz w:val="20"/>
                              </w:rPr>
                            </w:pPr>
                            <w:r>
                              <w:rPr>
                                <w:color w:val="105C84"/>
                                <w:spacing w:val="-5"/>
                                <w:sz w:val="20"/>
                              </w:rPr>
                              <w:t>3%</w:t>
                            </w:r>
                          </w:p>
                        </w:tc>
                      </w:tr>
                      <w:tr>
                        <w:trPr>
                          <w:trHeight w:val="578" w:hRule="atLeast"/>
                        </w:trPr>
                        <w:tc>
                          <w:tcPr>
                            <w:tcW w:w="4116" w:type="dxa"/>
                            <w:tcBorders>
                              <w:right w:val="single" w:sz="8" w:space="0" w:color="939598"/>
                            </w:tcBorders>
                            <w:shd w:val="clear" w:color="auto" w:fill="E9E9EA"/>
                          </w:tcPr>
                          <w:p>
                            <w:pPr>
                              <w:pStyle w:val="TableParagraph"/>
                              <w:spacing w:line="260" w:lineRule="atLeast" w:before="23"/>
                              <w:ind w:left="88" w:right="245"/>
                              <w:rPr>
                                <w:b/>
                                <w:sz w:val="20"/>
                              </w:rPr>
                            </w:pPr>
                            <w:r>
                              <w:rPr>
                                <w:b/>
                                <w:color w:val="105C84"/>
                                <w:sz w:val="20"/>
                              </w:rPr>
                              <w:t>My life is too complicated to </w:t>
                            </w:r>
                            <w:r>
                              <w:rPr>
                                <w:b/>
                                <w:color w:val="105C84"/>
                                <w:sz w:val="20"/>
                              </w:rPr>
                              <w:t>worry about exercise</w:t>
                            </w:r>
                          </w:p>
                        </w:tc>
                        <w:tc>
                          <w:tcPr>
                            <w:tcW w:w="1354" w:type="dxa"/>
                            <w:tcBorders>
                              <w:left w:val="single" w:sz="8" w:space="0" w:color="939598"/>
                            </w:tcBorders>
                            <w:shd w:val="clear" w:color="auto" w:fill="E9E9EA"/>
                          </w:tcPr>
                          <w:p>
                            <w:pPr>
                              <w:pStyle w:val="TableParagraph"/>
                              <w:spacing w:before="183"/>
                              <w:ind w:left="1" w:right="2"/>
                              <w:jc w:val="center"/>
                              <w:rPr>
                                <w:sz w:val="20"/>
                              </w:rPr>
                            </w:pPr>
                            <w:r>
                              <w:rPr>
                                <w:color w:val="105C84"/>
                                <w:spacing w:val="-5"/>
                                <w:sz w:val="20"/>
                              </w:rPr>
                              <w:t>6%</w:t>
                            </w:r>
                          </w:p>
                        </w:tc>
                        <w:tc>
                          <w:tcPr>
                            <w:tcW w:w="1238" w:type="dxa"/>
                            <w:shd w:val="clear" w:color="auto" w:fill="E9E9EA"/>
                          </w:tcPr>
                          <w:p>
                            <w:pPr>
                              <w:pStyle w:val="TableParagraph"/>
                              <w:spacing w:before="183"/>
                              <w:ind w:left="6" w:right="3"/>
                              <w:jc w:val="center"/>
                              <w:rPr>
                                <w:sz w:val="20"/>
                              </w:rPr>
                            </w:pPr>
                            <w:r>
                              <w:rPr>
                                <w:color w:val="105C84"/>
                                <w:spacing w:val="-5"/>
                                <w:sz w:val="20"/>
                              </w:rPr>
                              <w:t>10%</w:t>
                            </w:r>
                          </w:p>
                        </w:tc>
                        <w:tc>
                          <w:tcPr>
                            <w:tcW w:w="1238" w:type="dxa"/>
                            <w:shd w:val="clear" w:color="auto" w:fill="E9E9EA"/>
                          </w:tcPr>
                          <w:p>
                            <w:pPr>
                              <w:pStyle w:val="TableParagraph"/>
                              <w:spacing w:before="183"/>
                              <w:ind w:left="6" w:right="4"/>
                              <w:jc w:val="center"/>
                              <w:rPr>
                                <w:sz w:val="20"/>
                              </w:rPr>
                            </w:pPr>
                            <w:r>
                              <w:rPr>
                                <w:color w:val="105C84"/>
                                <w:spacing w:val="-5"/>
                                <w:sz w:val="20"/>
                              </w:rPr>
                              <w:t>9%</w:t>
                            </w:r>
                          </w:p>
                        </w:tc>
                        <w:tc>
                          <w:tcPr>
                            <w:tcW w:w="1238" w:type="dxa"/>
                            <w:shd w:val="clear" w:color="auto" w:fill="E9E9EA"/>
                          </w:tcPr>
                          <w:p>
                            <w:pPr>
                              <w:pStyle w:val="TableParagraph"/>
                              <w:spacing w:before="183"/>
                              <w:ind w:left="6" w:right="4"/>
                              <w:jc w:val="center"/>
                              <w:rPr>
                                <w:sz w:val="20"/>
                              </w:rPr>
                            </w:pPr>
                            <w:r>
                              <w:rPr>
                                <w:color w:val="105C84"/>
                                <w:spacing w:val="-5"/>
                                <w:sz w:val="20"/>
                              </w:rPr>
                              <w:t>7%</w:t>
                            </w:r>
                          </w:p>
                        </w:tc>
                        <w:tc>
                          <w:tcPr>
                            <w:tcW w:w="1065" w:type="dxa"/>
                            <w:shd w:val="clear" w:color="auto" w:fill="E9E9EA"/>
                          </w:tcPr>
                          <w:p>
                            <w:pPr>
                              <w:pStyle w:val="TableParagraph"/>
                              <w:spacing w:before="183"/>
                              <w:ind w:left="5" w:right="4"/>
                              <w:jc w:val="center"/>
                              <w:rPr>
                                <w:sz w:val="20"/>
                              </w:rPr>
                            </w:pPr>
                            <w:r>
                              <w:rPr>
                                <w:color w:val="105C84"/>
                                <w:spacing w:val="-5"/>
                                <w:sz w:val="20"/>
                              </w:rPr>
                              <w:t>8%</w:t>
                            </w:r>
                          </w:p>
                        </w:tc>
                      </w:tr>
                      <w:tr>
                        <w:trPr>
                          <w:trHeight w:val="603" w:hRule="atLeast"/>
                        </w:trPr>
                        <w:tc>
                          <w:tcPr>
                            <w:tcW w:w="4116" w:type="dxa"/>
                            <w:tcBorders>
                              <w:right w:val="single" w:sz="8" w:space="0" w:color="939598"/>
                            </w:tcBorders>
                          </w:tcPr>
                          <w:p>
                            <w:pPr>
                              <w:pStyle w:val="TableParagraph"/>
                              <w:spacing w:line="260" w:lineRule="atLeast" w:before="35"/>
                              <w:ind w:left="88" w:right="245"/>
                              <w:rPr>
                                <w:b/>
                                <w:sz w:val="20"/>
                              </w:rPr>
                            </w:pPr>
                            <w:r>
                              <w:rPr>
                                <w:b/>
                                <w:color w:val="105C84"/>
                                <w:sz w:val="20"/>
                              </w:rPr>
                              <w:t>I</w:t>
                            </w:r>
                            <w:r>
                              <w:rPr>
                                <w:b/>
                                <w:color w:val="105C84"/>
                                <w:spacing w:val="-1"/>
                                <w:sz w:val="20"/>
                              </w:rPr>
                              <w:t> </w:t>
                            </w:r>
                            <w:r>
                              <w:rPr>
                                <w:b/>
                                <w:color w:val="105C84"/>
                                <w:sz w:val="20"/>
                              </w:rPr>
                              <w:t>really</w:t>
                            </w:r>
                            <w:r>
                              <w:rPr>
                                <w:b/>
                                <w:color w:val="105C84"/>
                                <w:spacing w:val="-1"/>
                                <w:sz w:val="20"/>
                              </w:rPr>
                              <w:t> </w:t>
                            </w:r>
                            <w:r>
                              <w:rPr>
                                <w:b/>
                                <w:color w:val="105C84"/>
                                <w:sz w:val="20"/>
                              </w:rPr>
                              <w:t>don’t</w:t>
                            </w:r>
                            <w:r>
                              <w:rPr>
                                <w:b/>
                                <w:color w:val="105C84"/>
                                <w:spacing w:val="-1"/>
                                <w:sz w:val="20"/>
                              </w:rPr>
                              <w:t> </w:t>
                            </w:r>
                            <w:r>
                              <w:rPr>
                                <w:b/>
                                <w:color w:val="105C84"/>
                                <w:sz w:val="20"/>
                              </w:rPr>
                              <w:t>have</w:t>
                            </w:r>
                            <w:r>
                              <w:rPr>
                                <w:b/>
                                <w:color w:val="105C84"/>
                                <w:spacing w:val="-1"/>
                                <w:sz w:val="20"/>
                              </w:rPr>
                              <w:t> </w:t>
                            </w:r>
                            <w:r>
                              <w:rPr>
                                <w:b/>
                                <w:color w:val="105C84"/>
                                <w:sz w:val="20"/>
                              </w:rPr>
                              <w:t>any</w:t>
                            </w:r>
                            <w:r>
                              <w:rPr>
                                <w:b/>
                                <w:color w:val="105C84"/>
                                <w:spacing w:val="-1"/>
                                <w:sz w:val="20"/>
                              </w:rPr>
                              <w:t> </w:t>
                            </w:r>
                            <w:r>
                              <w:rPr>
                                <w:b/>
                                <w:color w:val="105C84"/>
                                <w:sz w:val="20"/>
                              </w:rPr>
                              <w:t>barriers</w:t>
                            </w:r>
                            <w:r>
                              <w:rPr>
                                <w:b/>
                                <w:color w:val="105C84"/>
                                <w:spacing w:val="-1"/>
                                <w:sz w:val="20"/>
                              </w:rPr>
                              <w:t> </w:t>
                            </w:r>
                            <w:r>
                              <w:rPr>
                                <w:b/>
                                <w:color w:val="105C84"/>
                                <w:sz w:val="20"/>
                              </w:rPr>
                              <w:t>keeping me from being physically active</w:t>
                            </w:r>
                          </w:p>
                        </w:tc>
                        <w:tc>
                          <w:tcPr>
                            <w:tcW w:w="1354" w:type="dxa"/>
                            <w:tcBorders>
                              <w:left w:val="single" w:sz="8" w:space="0" w:color="939598"/>
                            </w:tcBorders>
                          </w:tcPr>
                          <w:p>
                            <w:pPr>
                              <w:pStyle w:val="TableParagraph"/>
                              <w:spacing w:before="195"/>
                              <w:ind w:right="2"/>
                              <w:jc w:val="center"/>
                              <w:rPr>
                                <w:sz w:val="20"/>
                              </w:rPr>
                            </w:pPr>
                            <w:r>
                              <w:rPr>
                                <w:color w:val="105C84"/>
                                <w:spacing w:val="-5"/>
                                <w:sz w:val="20"/>
                              </w:rPr>
                              <w:t>16%</w:t>
                            </w:r>
                          </w:p>
                        </w:tc>
                        <w:tc>
                          <w:tcPr>
                            <w:tcW w:w="1238" w:type="dxa"/>
                          </w:tcPr>
                          <w:p>
                            <w:pPr>
                              <w:pStyle w:val="TableParagraph"/>
                              <w:spacing w:before="195"/>
                              <w:ind w:left="6" w:right="4"/>
                              <w:jc w:val="center"/>
                              <w:rPr>
                                <w:sz w:val="20"/>
                              </w:rPr>
                            </w:pPr>
                            <w:r>
                              <w:rPr>
                                <w:color w:val="105C84"/>
                                <w:spacing w:val="-5"/>
                                <w:sz w:val="20"/>
                              </w:rPr>
                              <w:t>27%</w:t>
                            </w:r>
                          </w:p>
                        </w:tc>
                        <w:tc>
                          <w:tcPr>
                            <w:tcW w:w="1238" w:type="dxa"/>
                          </w:tcPr>
                          <w:p>
                            <w:pPr>
                              <w:pStyle w:val="TableParagraph"/>
                              <w:spacing w:before="195"/>
                              <w:ind w:left="6" w:right="4"/>
                              <w:jc w:val="center"/>
                              <w:rPr>
                                <w:sz w:val="20"/>
                              </w:rPr>
                            </w:pPr>
                            <w:r>
                              <w:rPr>
                                <w:color w:val="105C84"/>
                                <w:spacing w:val="-5"/>
                                <w:sz w:val="20"/>
                              </w:rPr>
                              <w:t>20%</w:t>
                            </w:r>
                          </w:p>
                        </w:tc>
                        <w:tc>
                          <w:tcPr>
                            <w:tcW w:w="1238" w:type="dxa"/>
                          </w:tcPr>
                          <w:p>
                            <w:pPr>
                              <w:pStyle w:val="TableParagraph"/>
                              <w:spacing w:before="195"/>
                              <w:ind w:left="6" w:right="4"/>
                              <w:jc w:val="center"/>
                              <w:rPr>
                                <w:sz w:val="20"/>
                              </w:rPr>
                            </w:pPr>
                            <w:r>
                              <w:rPr>
                                <w:color w:val="105C84"/>
                                <w:spacing w:val="-5"/>
                                <w:sz w:val="20"/>
                              </w:rPr>
                              <w:t>30%</w:t>
                            </w:r>
                          </w:p>
                        </w:tc>
                        <w:tc>
                          <w:tcPr>
                            <w:tcW w:w="1065" w:type="dxa"/>
                          </w:tcPr>
                          <w:p>
                            <w:pPr>
                              <w:pStyle w:val="TableParagraph"/>
                              <w:spacing w:before="195"/>
                              <w:ind w:left="5" w:right="4"/>
                              <w:jc w:val="center"/>
                              <w:rPr>
                                <w:sz w:val="20"/>
                              </w:rPr>
                            </w:pPr>
                            <w:r>
                              <w:rPr>
                                <w:color w:val="105C84"/>
                                <w:spacing w:val="-5"/>
                                <w:sz w:val="20"/>
                              </w:rPr>
                              <w:t>24%</w:t>
                            </w:r>
                          </w:p>
                        </w:tc>
                      </w:tr>
                      <w:tr>
                        <w:trPr>
                          <w:trHeight w:val="578" w:hRule="atLeast"/>
                        </w:trPr>
                        <w:tc>
                          <w:tcPr>
                            <w:tcW w:w="4116" w:type="dxa"/>
                            <w:tcBorders>
                              <w:right w:val="single" w:sz="8" w:space="0" w:color="939598"/>
                            </w:tcBorders>
                            <w:shd w:val="clear" w:color="auto" w:fill="E9E9EA"/>
                          </w:tcPr>
                          <w:p>
                            <w:pPr>
                              <w:pStyle w:val="TableParagraph"/>
                              <w:spacing w:line="260" w:lineRule="atLeast" w:before="23"/>
                              <w:ind w:left="88" w:right="245"/>
                              <w:rPr>
                                <w:b/>
                                <w:sz w:val="20"/>
                              </w:rPr>
                            </w:pPr>
                            <w:r>
                              <w:rPr>
                                <w:b/>
                                <w:color w:val="105C84"/>
                                <w:sz w:val="20"/>
                              </w:rPr>
                              <w:t>I don’t want or need to be more </w:t>
                            </w:r>
                            <w:r>
                              <w:rPr>
                                <w:b/>
                                <w:color w:val="105C84"/>
                                <w:sz w:val="20"/>
                              </w:rPr>
                              <w:t>active than I already am</w:t>
                            </w:r>
                          </w:p>
                        </w:tc>
                        <w:tc>
                          <w:tcPr>
                            <w:tcW w:w="1354" w:type="dxa"/>
                            <w:tcBorders>
                              <w:left w:val="single" w:sz="8" w:space="0" w:color="939598"/>
                            </w:tcBorders>
                            <w:shd w:val="clear" w:color="auto" w:fill="E9E9EA"/>
                          </w:tcPr>
                          <w:p>
                            <w:pPr>
                              <w:pStyle w:val="TableParagraph"/>
                              <w:spacing w:before="183"/>
                              <w:ind w:right="2"/>
                              <w:jc w:val="center"/>
                              <w:rPr>
                                <w:sz w:val="20"/>
                              </w:rPr>
                            </w:pPr>
                            <w:r>
                              <w:rPr>
                                <w:color w:val="105C84"/>
                                <w:spacing w:val="-5"/>
                                <w:sz w:val="20"/>
                              </w:rPr>
                              <w:t>8%</w:t>
                            </w:r>
                          </w:p>
                        </w:tc>
                        <w:tc>
                          <w:tcPr>
                            <w:tcW w:w="1238" w:type="dxa"/>
                            <w:shd w:val="clear" w:color="auto" w:fill="E9E9EA"/>
                          </w:tcPr>
                          <w:p>
                            <w:pPr>
                              <w:pStyle w:val="TableParagraph"/>
                              <w:spacing w:before="183"/>
                              <w:ind w:left="6" w:right="4"/>
                              <w:jc w:val="center"/>
                              <w:rPr>
                                <w:sz w:val="20"/>
                              </w:rPr>
                            </w:pPr>
                            <w:r>
                              <w:rPr>
                                <w:color w:val="105C84"/>
                                <w:spacing w:val="-5"/>
                                <w:sz w:val="20"/>
                              </w:rPr>
                              <w:t>8%</w:t>
                            </w:r>
                          </w:p>
                        </w:tc>
                        <w:tc>
                          <w:tcPr>
                            <w:tcW w:w="1238" w:type="dxa"/>
                            <w:shd w:val="clear" w:color="auto" w:fill="E9E9EA"/>
                          </w:tcPr>
                          <w:p>
                            <w:pPr>
                              <w:pStyle w:val="TableParagraph"/>
                              <w:spacing w:before="183"/>
                              <w:ind w:left="6" w:right="4"/>
                              <w:jc w:val="center"/>
                              <w:rPr>
                                <w:sz w:val="20"/>
                              </w:rPr>
                            </w:pPr>
                            <w:r>
                              <w:rPr>
                                <w:color w:val="105C84"/>
                                <w:spacing w:val="-5"/>
                                <w:sz w:val="20"/>
                              </w:rPr>
                              <w:t>10%</w:t>
                            </w:r>
                          </w:p>
                        </w:tc>
                        <w:tc>
                          <w:tcPr>
                            <w:tcW w:w="1238" w:type="dxa"/>
                            <w:shd w:val="clear" w:color="auto" w:fill="E9E9EA"/>
                          </w:tcPr>
                          <w:p>
                            <w:pPr>
                              <w:pStyle w:val="TableParagraph"/>
                              <w:spacing w:before="183"/>
                              <w:ind w:left="6" w:right="4"/>
                              <w:jc w:val="center"/>
                              <w:rPr>
                                <w:sz w:val="20"/>
                              </w:rPr>
                            </w:pPr>
                            <w:r>
                              <w:rPr>
                                <w:color w:val="105C84"/>
                                <w:spacing w:val="-5"/>
                                <w:sz w:val="20"/>
                              </w:rPr>
                              <w:t>8%</w:t>
                            </w:r>
                          </w:p>
                        </w:tc>
                        <w:tc>
                          <w:tcPr>
                            <w:tcW w:w="1065" w:type="dxa"/>
                            <w:shd w:val="clear" w:color="auto" w:fill="E9E9EA"/>
                          </w:tcPr>
                          <w:p>
                            <w:pPr>
                              <w:pStyle w:val="TableParagraph"/>
                              <w:spacing w:before="183"/>
                              <w:ind w:left="5" w:right="4"/>
                              <w:jc w:val="center"/>
                              <w:rPr>
                                <w:sz w:val="20"/>
                              </w:rPr>
                            </w:pPr>
                            <w:r>
                              <w:rPr>
                                <w:color w:val="105C84"/>
                                <w:spacing w:val="-5"/>
                                <w:sz w:val="20"/>
                              </w:rPr>
                              <w:t>8%</w:t>
                            </w:r>
                          </w:p>
                        </w:tc>
                      </w:tr>
                    </w:tbl>
                    <w:p>
                      <w:pPr>
                        <w:pStyle w:val="BodyText"/>
                      </w:pPr>
                    </w:p>
                  </w:txbxContent>
                </v:textbox>
                <w10:wrap type="none"/>
              </v:shape>
            </w:pict>
          </mc:Fallback>
        </mc:AlternateContent>
      </w:r>
      <w:r>
        <w:rPr>
          <w:color w:val="636466"/>
          <w:spacing w:val="-5"/>
          <w:sz w:val="18"/>
        </w:rPr>
        <w:t>0%</w:t>
      </w:r>
      <w:r>
        <w:rPr>
          <w:color w:val="636466"/>
          <w:sz w:val="18"/>
        </w:rPr>
        <w:tab/>
      </w:r>
      <w:r>
        <w:rPr>
          <w:color w:val="636466"/>
          <w:spacing w:val="-5"/>
          <w:sz w:val="18"/>
        </w:rPr>
        <w:t>20%</w:t>
      </w:r>
      <w:r>
        <w:rPr>
          <w:color w:val="636466"/>
          <w:sz w:val="18"/>
        </w:rPr>
        <w:tab/>
      </w:r>
      <w:r>
        <w:rPr>
          <w:color w:val="636466"/>
          <w:spacing w:val="-5"/>
          <w:sz w:val="18"/>
        </w:rPr>
        <w:t>40%</w:t>
      </w:r>
      <w:r>
        <w:rPr>
          <w:color w:val="636466"/>
          <w:sz w:val="18"/>
        </w:rPr>
        <w:tab/>
      </w:r>
      <w:r>
        <w:rPr>
          <w:color w:val="636466"/>
          <w:spacing w:val="-5"/>
          <w:sz w:val="18"/>
        </w:rPr>
        <w:t>60%</w:t>
      </w:r>
      <w:r>
        <w:rPr>
          <w:color w:val="636466"/>
          <w:sz w:val="18"/>
        </w:rPr>
        <w:tab/>
      </w:r>
      <w:r>
        <w:rPr>
          <w:color w:val="636466"/>
          <w:spacing w:val="-5"/>
          <w:sz w:val="18"/>
        </w:rPr>
        <w:t>80%</w:t>
      </w:r>
      <w:r>
        <w:rPr>
          <w:color w:val="636466"/>
          <w:sz w:val="18"/>
        </w:rPr>
        <w:tab/>
      </w:r>
      <w:r>
        <w:rPr>
          <w:color w:val="636466"/>
          <w:spacing w:val="-4"/>
          <w:sz w:val="18"/>
        </w:rPr>
        <w:t>100%</w:t>
      </w:r>
    </w:p>
    <w:p>
      <w:pPr>
        <w:spacing w:before="132"/>
        <w:ind w:left="0" w:right="4640" w:firstLine="0"/>
        <w:jc w:val="right"/>
        <w:rPr>
          <w:sz w:val="16"/>
        </w:rPr>
      </w:pPr>
      <w:r>
        <w:rPr>
          <w:color w:val="105C84"/>
          <w:sz w:val="16"/>
        </w:rPr>
        <w:t>Percentage</w:t>
      </w:r>
      <w:r>
        <w:rPr>
          <w:color w:val="105C84"/>
          <w:spacing w:val="-4"/>
          <w:sz w:val="16"/>
        </w:rPr>
        <w:t> </w:t>
      </w:r>
      <w:r>
        <w:rPr>
          <w:color w:val="105C84"/>
          <w:sz w:val="16"/>
        </w:rPr>
        <w:t>of</w:t>
      </w:r>
      <w:r>
        <w:rPr>
          <w:color w:val="105C84"/>
          <w:spacing w:val="-3"/>
          <w:sz w:val="16"/>
        </w:rPr>
        <w:t> </w:t>
      </w:r>
      <w:r>
        <w:rPr>
          <w:color w:val="105C84"/>
          <w:spacing w:val="-2"/>
          <w:sz w:val="16"/>
        </w:rPr>
        <w:t>Residents</w:t>
      </w:r>
    </w:p>
    <w:p>
      <w:pPr>
        <w:spacing w:after="0"/>
        <w:jc w:val="right"/>
        <w:rPr>
          <w:sz w:val="16"/>
        </w:rPr>
        <w:sectPr>
          <w:type w:val="continuous"/>
          <w:pgSz w:w="24480" w:h="15840" w:orient="landscape"/>
          <w:pgMar w:header="0" w:footer="0" w:top="0" w:bottom="280" w:left="0" w:right="720"/>
        </w:sect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5"/>
        <w:rPr>
          <w:sz w:val="16"/>
        </w:rPr>
      </w:pPr>
    </w:p>
    <w:p>
      <w:pPr>
        <w:spacing w:line="235" w:lineRule="auto" w:before="1"/>
        <w:ind w:left="1080" w:right="3247" w:firstLine="0"/>
        <w:jc w:val="left"/>
        <w:rPr>
          <w:sz w:val="16"/>
        </w:rPr>
      </w:pPr>
      <w:r>
        <w:rPr>
          <w:color w:val="0C5D86"/>
          <w:sz w:val="16"/>
        </w:rPr>
        <w:t>Source:</w:t>
      </w:r>
      <w:r>
        <w:rPr>
          <w:color w:val="0C5D86"/>
          <w:spacing w:val="-11"/>
          <w:sz w:val="16"/>
        </w:rPr>
        <w:t> </w:t>
      </w:r>
      <w:r>
        <w:rPr>
          <w:color w:val="0C5D86"/>
          <w:sz w:val="16"/>
        </w:rPr>
        <w:t>My</w:t>
      </w:r>
      <w:r>
        <w:rPr>
          <w:color w:val="0C5D86"/>
          <w:spacing w:val="-11"/>
          <w:sz w:val="16"/>
        </w:rPr>
        <w:t> </w:t>
      </w:r>
      <w:r>
        <w:rPr>
          <w:color w:val="0C5D86"/>
          <w:sz w:val="16"/>
        </w:rPr>
        <w:t>Health</w:t>
      </w:r>
      <w:r>
        <w:rPr>
          <w:color w:val="0C5D86"/>
          <w:spacing w:val="-11"/>
          <w:sz w:val="16"/>
        </w:rPr>
        <w:t> </w:t>
      </w:r>
      <w:r>
        <w:rPr>
          <w:color w:val="0C5D86"/>
          <w:sz w:val="16"/>
        </w:rPr>
        <w:t>Story</w:t>
      </w:r>
      <w:r>
        <w:rPr>
          <w:color w:val="0C5D86"/>
          <w:spacing w:val="-11"/>
          <w:sz w:val="16"/>
        </w:rPr>
        <w:t> </w:t>
      </w:r>
      <w:r>
        <w:rPr>
          <w:color w:val="0C5D86"/>
          <w:sz w:val="16"/>
        </w:rPr>
        <w:t>survey</w:t>
      </w:r>
      <w:r>
        <w:rPr>
          <w:color w:val="0C5D86"/>
          <w:spacing w:val="-11"/>
          <w:sz w:val="16"/>
        </w:rPr>
        <w:t> </w:t>
      </w:r>
      <w:r>
        <w:rPr>
          <w:color w:val="0C5D86"/>
          <w:sz w:val="16"/>
        </w:rPr>
        <w:t>2018.</w:t>
      </w:r>
      <w:r>
        <w:rPr>
          <w:color w:val="0C5D86"/>
          <w:spacing w:val="-11"/>
          <w:sz w:val="16"/>
        </w:rPr>
        <w:t> </w:t>
      </w:r>
      <w:r>
        <w:rPr>
          <w:color w:val="0C5D86"/>
          <w:sz w:val="16"/>
        </w:rPr>
        <w:t>Analysis</w:t>
      </w:r>
      <w:r>
        <w:rPr>
          <w:color w:val="0C5D86"/>
          <w:spacing w:val="-11"/>
          <w:sz w:val="16"/>
        </w:rPr>
        <w:t> </w:t>
      </w:r>
      <w:r>
        <w:rPr>
          <w:color w:val="0C5D86"/>
          <w:sz w:val="16"/>
        </w:rPr>
        <w:t>by</w:t>
      </w:r>
      <w:r>
        <w:rPr>
          <w:color w:val="0C5D86"/>
          <w:spacing w:val="-11"/>
          <w:sz w:val="16"/>
        </w:rPr>
        <w:t> </w:t>
      </w:r>
      <w:r>
        <w:rPr>
          <w:color w:val="0C5D86"/>
          <w:sz w:val="16"/>
        </w:rPr>
        <w:t>Common</w:t>
      </w:r>
      <w:r>
        <w:rPr>
          <w:color w:val="0C5D86"/>
          <w:spacing w:val="-11"/>
          <w:sz w:val="16"/>
        </w:rPr>
        <w:t> </w:t>
      </w:r>
      <w:r>
        <w:rPr>
          <w:color w:val="0C5D86"/>
          <w:sz w:val="16"/>
        </w:rPr>
        <w:t>Ground</w:t>
      </w:r>
      <w:r>
        <w:rPr>
          <w:color w:val="0C5D86"/>
          <w:spacing w:val="-11"/>
          <w:sz w:val="16"/>
        </w:rPr>
        <w:t> </w:t>
      </w:r>
      <w:r>
        <w:rPr>
          <w:color w:val="0C5D86"/>
          <w:sz w:val="16"/>
        </w:rPr>
        <w:t>Health</w:t>
      </w:r>
      <w:r>
        <w:rPr>
          <w:color w:val="0C5D86"/>
          <w:spacing w:val="-11"/>
          <w:sz w:val="16"/>
        </w:rPr>
        <w:t> </w:t>
      </w:r>
      <w:r>
        <w:rPr>
          <w:color w:val="0C5D86"/>
          <w:sz w:val="16"/>
        </w:rPr>
        <w:t>incorporates weighting to reflect demographics of each county and the region.</w:t>
      </w:r>
    </w:p>
    <w:p>
      <w:pPr>
        <w:pStyle w:val="BodyText"/>
        <w:rPr>
          <w:sz w:val="16"/>
        </w:rPr>
      </w:pPr>
    </w:p>
    <w:p>
      <w:pPr>
        <w:pStyle w:val="BodyText"/>
        <w:spacing w:before="44"/>
        <w:rPr>
          <w:sz w:val="16"/>
        </w:rPr>
      </w:pPr>
    </w:p>
    <w:p>
      <w:pPr>
        <w:pStyle w:val="Heading6"/>
      </w:pPr>
      <w:r>
        <w:rPr>
          <w:color w:val="105C84"/>
        </w:rPr>
        <w:t>Promote</w:t>
      </w:r>
      <w:r>
        <w:rPr>
          <w:color w:val="105C84"/>
          <w:spacing w:val="-16"/>
        </w:rPr>
        <w:t> </w:t>
      </w:r>
      <w:r>
        <w:rPr>
          <w:color w:val="105C84"/>
        </w:rPr>
        <w:t>a</w:t>
      </w:r>
      <w:r>
        <w:rPr>
          <w:color w:val="105C84"/>
          <w:spacing w:val="-16"/>
        </w:rPr>
        <w:t> </w:t>
      </w:r>
      <w:r>
        <w:rPr>
          <w:color w:val="105C84"/>
        </w:rPr>
        <w:t>Healthy</w:t>
      </w:r>
      <w:r>
        <w:rPr>
          <w:color w:val="105C84"/>
          <w:spacing w:val="-15"/>
        </w:rPr>
        <w:t> </w:t>
      </w:r>
      <w:r>
        <w:rPr>
          <w:color w:val="105C84"/>
        </w:rPr>
        <w:t>and</w:t>
      </w:r>
      <w:r>
        <w:rPr>
          <w:color w:val="105C84"/>
          <w:spacing w:val="-16"/>
        </w:rPr>
        <w:t> </w:t>
      </w:r>
      <w:r>
        <w:rPr>
          <w:color w:val="105C84"/>
        </w:rPr>
        <w:t>Safe</w:t>
      </w:r>
      <w:r>
        <w:rPr>
          <w:color w:val="105C84"/>
          <w:spacing w:val="-15"/>
        </w:rPr>
        <w:t> </w:t>
      </w:r>
      <w:r>
        <w:rPr>
          <w:color w:val="105C84"/>
          <w:spacing w:val="-2"/>
        </w:rPr>
        <w:t>Environment</w:t>
      </w:r>
    </w:p>
    <w:p>
      <w:pPr>
        <w:pStyle w:val="BodyText"/>
        <w:spacing w:line="247" w:lineRule="auto" w:before="269"/>
        <w:ind w:left="1080" w:right="104"/>
      </w:pPr>
      <w:r>
        <w:rPr>
          <w:color w:val="105C84"/>
        </w:rPr>
        <w:t>Healthy and safe environments relate to all dimensions of the physical environment(s) in which we</w:t>
      </w:r>
      <w:r>
        <w:rPr>
          <w:color w:val="105C84"/>
          <w:spacing w:val="80"/>
        </w:rPr>
        <w:t> </w:t>
      </w:r>
      <w:r>
        <w:rPr>
          <w:color w:val="105C84"/>
        </w:rPr>
        <w:t>live, work and play that impact health and safety. This includes the air we breathe, the water we drink and utilize for recreational use, interpersonal violence, incidence of injury and more.</w:t>
      </w:r>
    </w:p>
    <w:p>
      <w:pPr>
        <w:pStyle w:val="BodyText"/>
        <w:spacing w:line="247" w:lineRule="auto" w:before="178"/>
        <w:ind w:left="1080" w:right="104"/>
      </w:pPr>
      <w:r>
        <w:rPr>
          <w:color w:val="105C84"/>
        </w:rPr>
        <w:t>Water quality is one way to examine healthy environments and is measured by the percentage of residents served by community water systems with optimally fluoridated water. Fluoridation benefits</w:t>
      </w:r>
      <w:r>
        <w:rPr>
          <w:color w:val="105C84"/>
          <w:spacing w:val="40"/>
        </w:rPr>
        <w:t> </w:t>
      </w:r>
      <w:r>
        <w:rPr>
          <w:color w:val="105C84"/>
        </w:rPr>
        <w:t>both</w:t>
      </w:r>
      <w:r>
        <w:rPr>
          <w:color w:val="105C84"/>
          <w:spacing w:val="24"/>
        </w:rPr>
        <w:t> </w:t>
      </w:r>
      <w:r>
        <w:rPr>
          <w:color w:val="105C84"/>
        </w:rPr>
        <w:t>children</w:t>
      </w:r>
      <w:r>
        <w:rPr>
          <w:color w:val="105C84"/>
          <w:spacing w:val="24"/>
        </w:rPr>
        <w:t> </w:t>
      </w:r>
      <w:r>
        <w:rPr>
          <w:color w:val="105C84"/>
        </w:rPr>
        <w:t>and</w:t>
      </w:r>
      <w:r>
        <w:rPr>
          <w:color w:val="105C84"/>
          <w:spacing w:val="24"/>
        </w:rPr>
        <w:t> </w:t>
      </w:r>
      <w:r>
        <w:rPr>
          <w:color w:val="105C84"/>
        </w:rPr>
        <w:t>adults</w:t>
      </w:r>
      <w:r>
        <w:rPr>
          <w:color w:val="105C84"/>
          <w:spacing w:val="24"/>
        </w:rPr>
        <w:t> </w:t>
      </w:r>
      <w:r>
        <w:rPr>
          <w:color w:val="105C84"/>
        </w:rPr>
        <w:t>by</w:t>
      </w:r>
      <w:r>
        <w:rPr>
          <w:color w:val="105C84"/>
          <w:spacing w:val="24"/>
        </w:rPr>
        <w:t> </w:t>
      </w:r>
      <w:r>
        <w:rPr>
          <w:color w:val="105C84"/>
        </w:rPr>
        <w:t>rebuilding</w:t>
      </w:r>
      <w:r>
        <w:rPr>
          <w:color w:val="105C84"/>
          <w:spacing w:val="24"/>
        </w:rPr>
        <w:t> </w:t>
      </w:r>
      <w:r>
        <w:rPr>
          <w:color w:val="105C84"/>
        </w:rPr>
        <w:t>weakened</w:t>
      </w:r>
      <w:r>
        <w:rPr>
          <w:color w:val="105C84"/>
          <w:spacing w:val="24"/>
        </w:rPr>
        <w:t> </w:t>
      </w:r>
      <w:r>
        <w:rPr>
          <w:color w:val="105C84"/>
        </w:rPr>
        <w:t>tooth</w:t>
      </w:r>
      <w:r>
        <w:rPr>
          <w:color w:val="105C84"/>
          <w:spacing w:val="24"/>
        </w:rPr>
        <w:t> </w:t>
      </w:r>
      <w:r>
        <w:rPr>
          <w:color w:val="105C84"/>
        </w:rPr>
        <w:t>enamel</w:t>
      </w:r>
      <w:r>
        <w:rPr>
          <w:color w:val="105C84"/>
          <w:spacing w:val="24"/>
        </w:rPr>
        <w:t> </w:t>
      </w:r>
      <w:r>
        <w:rPr>
          <w:color w:val="105C84"/>
        </w:rPr>
        <w:t>and</w:t>
      </w:r>
      <w:r>
        <w:rPr>
          <w:color w:val="105C84"/>
          <w:spacing w:val="24"/>
        </w:rPr>
        <w:t> </w:t>
      </w:r>
      <w:r>
        <w:rPr>
          <w:color w:val="105C84"/>
        </w:rPr>
        <w:t>helping</w:t>
      </w:r>
      <w:r>
        <w:rPr>
          <w:color w:val="105C84"/>
          <w:spacing w:val="24"/>
        </w:rPr>
        <w:t> </w:t>
      </w:r>
      <w:r>
        <w:rPr>
          <w:color w:val="105C84"/>
        </w:rPr>
        <w:t>to</w:t>
      </w:r>
      <w:r>
        <w:rPr>
          <w:color w:val="105C84"/>
          <w:spacing w:val="24"/>
        </w:rPr>
        <w:t> </w:t>
      </w:r>
      <w:r>
        <w:rPr>
          <w:color w:val="105C84"/>
        </w:rPr>
        <w:t>prevent</w:t>
      </w:r>
      <w:r>
        <w:rPr>
          <w:color w:val="105C84"/>
          <w:spacing w:val="24"/>
        </w:rPr>
        <w:t> </w:t>
      </w:r>
      <w:r>
        <w:rPr>
          <w:color w:val="105C84"/>
        </w:rPr>
        <w:t>tooth</w:t>
      </w:r>
      <w:r>
        <w:rPr>
          <w:color w:val="105C84"/>
          <w:spacing w:val="24"/>
        </w:rPr>
        <w:t> </w:t>
      </w:r>
      <w:r>
        <w:rPr>
          <w:color w:val="105C84"/>
        </w:rPr>
        <w:t>decay. There are varying levels of optimal water by county as shown in Figure 8. Several counties in the region exceed 50% of residents served by optimally fluoridated water. Progress could be made in Steuben and Seneca Counties.</w:t>
      </w:r>
    </w:p>
    <w:p>
      <w:pPr>
        <w:pStyle w:val="BodyText"/>
        <w:spacing w:before="14"/>
        <w:rPr>
          <w:sz w:val="16"/>
        </w:rPr>
      </w:pPr>
      <w:r>
        <w:rPr/>
        <w:br w:type="column"/>
      </w:r>
      <w:r>
        <w:rPr>
          <w:sz w:val="16"/>
        </w:rPr>
      </w:r>
    </w:p>
    <w:p>
      <w:pPr>
        <w:spacing w:line="182" w:lineRule="exact" w:before="0"/>
        <w:ind w:left="2178" w:right="0" w:firstLine="0"/>
        <w:jc w:val="left"/>
        <w:rPr>
          <w:sz w:val="16"/>
        </w:rPr>
      </w:pPr>
      <w:r>
        <w:rPr>
          <w:color w:val="105C84"/>
          <w:sz w:val="16"/>
        </w:rPr>
        <w:t>Data</w:t>
      </w:r>
      <w:r>
        <w:rPr>
          <w:color w:val="105C84"/>
          <w:spacing w:val="-10"/>
          <w:sz w:val="16"/>
        </w:rPr>
        <w:t> </w:t>
      </w:r>
      <w:r>
        <w:rPr>
          <w:color w:val="105C84"/>
          <w:sz w:val="16"/>
        </w:rPr>
        <w:t>Source:</w:t>
      </w:r>
      <w:r>
        <w:rPr>
          <w:color w:val="105C84"/>
          <w:spacing w:val="-9"/>
          <w:sz w:val="16"/>
        </w:rPr>
        <w:t> </w:t>
      </w:r>
      <w:r>
        <w:rPr>
          <w:color w:val="105C84"/>
          <w:sz w:val="16"/>
        </w:rPr>
        <w:t>Prevention</w:t>
      </w:r>
      <w:r>
        <w:rPr>
          <w:color w:val="105C84"/>
          <w:spacing w:val="-10"/>
          <w:sz w:val="16"/>
        </w:rPr>
        <w:t> </w:t>
      </w:r>
      <w:r>
        <w:rPr>
          <w:color w:val="105C84"/>
          <w:sz w:val="16"/>
        </w:rPr>
        <w:t>Agenda</w:t>
      </w:r>
      <w:r>
        <w:rPr>
          <w:color w:val="105C84"/>
          <w:spacing w:val="-9"/>
          <w:sz w:val="16"/>
        </w:rPr>
        <w:t> </w:t>
      </w:r>
      <w:r>
        <w:rPr>
          <w:color w:val="105C84"/>
          <w:spacing w:val="-4"/>
          <w:sz w:val="16"/>
        </w:rPr>
        <w:t>2016</w:t>
      </w:r>
    </w:p>
    <w:p>
      <w:pPr>
        <w:spacing w:line="182" w:lineRule="exact" w:before="0"/>
        <w:ind w:left="2178" w:right="0" w:firstLine="0"/>
        <w:jc w:val="left"/>
        <w:rPr>
          <w:sz w:val="16"/>
        </w:rPr>
      </w:pPr>
      <w:r>
        <w:rPr>
          <w:color w:val="105C84"/>
          <w:sz w:val="16"/>
        </w:rPr>
        <w:t>Fewer</w:t>
      </w:r>
      <w:r>
        <w:rPr>
          <w:color w:val="105C84"/>
          <w:spacing w:val="-9"/>
          <w:sz w:val="16"/>
        </w:rPr>
        <w:t> </w:t>
      </w:r>
      <w:r>
        <w:rPr>
          <w:color w:val="105C84"/>
          <w:sz w:val="16"/>
        </w:rPr>
        <w:t>than</w:t>
      </w:r>
      <w:r>
        <w:rPr>
          <w:color w:val="105C84"/>
          <w:spacing w:val="-8"/>
          <w:sz w:val="16"/>
        </w:rPr>
        <w:t> </w:t>
      </w:r>
      <w:r>
        <w:rPr>
          <w:color w:val="105C84"/>
          <w:sz w:val="16"/>
        </w:rPr>
        <w:t>10</w:t>
      </w:r>
      <w:r>
        <w:rPr>
          <w:color w:val="105C84"/>
          <w:spacing w:val="-8"/>
          <w:sz w:val="16"/>
        </w:rPr>
        <w:t> </w:t>
      </w:r>
      <w:r>
        <w:rPr>
          <w:color w:val="105C84"/>
          <w:sz w:val="16"/>
        </w:rPr>
        <w:t>events</w:t>
      </w:r>
      <w:r>
        <w:rPr>
          <w:color w:val="105C84"/>
          <w:spacing w:val="-8"/>
          <w:sz w:val="16"/>
        </w:rPr>
        <w:t> </w:t>
      </w:r>
      <w:r>
        <w:rPr>
          <w:color w:val="105C84"/>
          <w:sz w:val="16"/>
        </w:rPr>
        <w:t>in</w:t>
      </w:r>
      <w:r>
        <w:rPr>
          <w:color w:val="105C84"/>
          <w:spacing w:val="-8"/>
          <w:sz w:val="16"/>
        </w:rPr>
        <w:t> </w:t>
      </w:r>
      <w:r>
        <w:rPr>
          <w:color w:val="105C84"/>
          <w:sz w:val="16"/>
        </w:rPr>
        <w:t>Schuyler</w:t>
      </w:r>
      <w:r>
        <w:rPr>
          <w:color w:val="105C84"/>
          <w:spacing w:val="-8"/>
          <w:sz w:val="16"/>
        </w:rPr>
        <w:t> </w:t>
      </w:r>
      <w:r>
        <w:rPr>
          <w:color w:val="105C84"/>
          <w:sz w:val="16"/>
        </w:rPr>
        <w:t>County,</w:t>
      </w:r>
      <w:r>
        <w:rPr>
          <w:color w:val="105C84"/>
          <w:spacing w:val="-8"/>
          <w:sz w:val="16"/>
        </w:rPr>
        <w:t> </w:t>
      </w:r>
      <w:r>
        <w:rPr>
          <w:color w:val="105C84"/>
          <w:sz w:val="16"/>
        </w:rPr>
        <w:t>therefore</w:t>
      </w:r>
      <w:r>
        <w:rPr>
          <w:color w:val="105C84"/>
          <w:spacing w:val="-8"/>
          <w:sz w:val="16"/>
        </w:rPr>
        <w:t> </w:t>
      </w:r>
      <w:r>
        <w:rPr>
          <w:color w:val="105C84"/>
          <w:sz w:val="16"/>
        </w:rPr>
        <w:t>the</w:t>
      </w:r>
      <w:r>
        <w:rPr>
          <w:color w:val="105C84"/>
          <w:spacing w:val="-8"/>
          <w:sz w:val="16"/>
        </w:rPr>
        <w:t> </w:t>
      </w:r>
      <w:r>
        <w:rPr>
          <w:color w:val="105C84"/>
          <w:sz w:val="16"/>
        </w:rPr>
        <w:t>percentage</w:t>
      </w:r>
      <w:r>
        <w:rPr>
          <w:color w:val="105C84"/>
          <w:spacing w:val="-8"/>
          <w:sz w:val="16"/>
        </w:rPr>
        <w:t> </w:t>
      </w:r>
      <w:r>
        <w:rPr>
          <w:color w:val="105C84"/>
          <w:sz w:val="16"/>
        </w:rPr>
        <w:t>is</w:t>
      </w:r>
      <w:r>
        <w:rPr>
          <w:color w:val="105C84"/>
          <w:spacing w:val="-8"/>
          <w:sz w:val="16"/>
        </w:rPr>
        <w:t> </w:t>
      </w:r>
      <w:r>
        <w:rPr>
          <w:color w:val="105C84"/>
          <w:spacing w:val="-2"/>
          <w:sz w:val="16"/>
        </w:rPr>
        <w:t>unstable.</w:t>
      </w:r>
    </w:p>
    <w:p>
      <w:pPr>
        <w:pStyle w:val="BodyText"/>
        <w:rPr>
          <w:sz w:val="16"/>
        </w:rPr>
      </w:pPr>
    </w:p>
    <w:p>
      <w:pPr>
        <w:pStyle w:val="BodyText"/>
        <w:spacing w:before="97"/>
        <w:rPr>
          <w:sz w:val="16"/>
        </w:rPr>
      </w:pPr>
    </w:p>
    <w:p>
      <w:pPr>
        <w:pStyle w:val="BodyText"/>
        <w:spacing w:line="247" w:lineRule="auto"/>
        <w:ind w:left="1080" w:right="491"/>
      </w:pPr>
      <w:r>
        <w:rPr>
          <w:color w:val="105C84"/>
        </w:rPr>
        <w:t>As</w:t>
      </w:r>
      <w:r>
        <w:rPr>
          <w:color w:val="105C84"/>
          <w:spacing w:val="17"/>
        </w:rPr>
        <w:t> </w:t>
      </w:r>
      <w:r>
        <w:rPr>
          <w:color w:val="105C84"/>
        </w:rPr>
        <w:t>previously</w:t>
      </w:r>
      <w:r>
        <w:rPr>
          <w:color w:val="105C84"/>
          <w:spacing w:val="17"/>
        </w:rPr>
        <w:t> </w:t>
      </w:r>
      <w:r>
        <w:rPr>
          <w:color w:val="105C84"/>
        </w:rPr>
        <w:t>discussed,</w:t>
      </w:r>
      <w:r>
        <w:rPr>
          <w:color w:val="105C84"/>
          <w:spacing w:val="17"/>
        </w:rPr>
        <w:t> </w:t>
      </w:r>
      <w:r>
        <w:rPr>
          <w:color w:val="105C84"/>
        </w:rPr>
        <w:t>access</w:t>
      </w:r>
      <w:r>
        <w:rPr>
          <w:color w:val="105C84"/>
          <w:spacing w:val="17"/>
        </w:rPr>
        <w:t> </w:t>
      </w:r>
      <w:r>
        <w:rPr>
          <w:color w:val="105C84"/>
        </w:rPr>
        <w:t>to</w:t>
      </w:r>
      <w:r>
        <w:rPr>
          <w:color w:val="105C84"/>
          <w:spacing w:val="17"/>
        </w:rPr>
        <w:t> </w:t>
      </w:r>
      <w:r>
        <w:rPr>
          <w:color w:val="105C84"/>
        </w:rPr>
        <w:t>a</w:t>
      </w:r>
      <w:r>
        <w:rPr>
          <w:color w:val="105C84"/>
          <w:spacing w:val="17"/>
        </w:rPr>
        <w:t> </w:t>
      </w:r>
      <w:r>
        <w:rPr>
          <w:color w:val="105C84"/>
        </w:rPr>
        <w:t>supermarket</w:t>
      </w:r>
      <w:r>
        <w:rPr>
          <w:color w:val="105C84"/>
          <w:spacing w:val="17"/>
        </w:rPr>
        <w:t> </w:t>
      </w:r>
      <w:r>
        <w:rPr>
          <w:color w:val="105C84"/>
        </w:rPr>
        <w:t>or</w:t>
      </w:r>
      <w:r>
        <w:rPr>
          <w:color w:val="105C84"/>
          <w:spacing w:val="17"/>
        </w:rPr>
        <w:t> </w:t>
      </w:r>
      <w:r>
        <w:rPr>
          <w:color w:val="105C84"/>
        </w:rPr>
        <w:t>grocery</w:t>
      </w:r>
      <w:r>
        <w:rPr>
          <w:color w:val="105C84"/>
          <w:spacing w:val="17"/>
        </w:rPr>
        <w:t> </w:t>
      </w:r>
      <w:r>
        <w:rPr>
          <w:color w:val="105C84"/>
        </w:rPr>
        <w:t>store</w:t>
      </w:r>
      <w:r>
        <w:rPr>
          <w:color w:val="105C84"/>
          <w:spacing w:val="17"/>
        </w:rPr>
        <w:t> </w:t>
      </w:r>
      <w:r>
        <w:rPr>
          <w:color w:val="105C84"/>
        </w:rPr>
        <w:t>is</w:t>
      </w:r>
      <w:r>
        <w:rPr>
          <w:color w:val="105C84"/>
          <w:spacing w:val="17"/>
        </w:rPr>
        <w:t> </w:t>
      </w:r>
      <w:r>
        <w:rPr>
          <w:color w:val="105C84"/>
        </w:rPr>
        <w:t>important</w:t>
      </w:r>
      <w:r>
        <w:rPr>
          <w:color w:val="105C84"/>
          <w:spacing w:val="17"/>
        </w:rPr>
        <w:t> </w:t>
      </w:r>
      <w:r>
        <w:rPr>
          <w:color w:val="105C84"/>
        </w:rPr>
        <w:t>for</w:t>
      </w:r>
      <w:r>
        <w:rPr>
          <w:color w:val="105C84"/>
          <w:spacing w:val="17"/>
        </w:rPr>
        <w:t> </w:t>
      </w:r>
      <w:r>
        <w:rPr>
          <w:color w:val="105C84"/>
        </w:rPr>
        <w:t>accessing</w:t>
      </w:r>
      <w:r>
        <w:rPr>
          <w:color w:val="105C84"/>
        </w:rPr>
        <w:t> healthy foods. In the eight county region, 9% of </w:t>
      </w:r>
      <w:r>
        <w:rPr>
          <w:i/>
          <w:color w:val="105C84"/>
        </w:rPr>
        <w:t>My Health Story 2018 </w:t>
      </w:r>
      <w:r>
        <w:rPr>
          <w:color w:val="105C84"/>
        </w:rPr>
        <w:t>respondents indicated the nearest grocery or supermarket store was 20+ minutes away. Access to a vehicle may be particularly challenging for the low income population. Figure 9 shows the percent of residents who are low</w:t>
      </w:r>
      <w:r>
        <w:rPr>
          <w:color w:val="105C84"/>
          <w:spacing w:val="40"/>
        </w:rPr>
        <w:t> </w:t>
      </w:r>
      <w:r>
        <w:rPr>
          <w:color w:val="105C84"/>
        </w:rPr>
        <w:t>income and have low access to a grocery store.</w:t>
      </w:r>
      <w:r>
        <w:rPr>
          <w:color w:val="105C84"/>
          <w:position w:val="7"/>
          <w:sz w:val="13"/>
        </w:rPr>
        <w:t>8</w:t>
      </w:r>
      <w:r>
        <w:rPr>
          <w:color w:val="105C84"/>
          <w:spacing w:val="31"/>
          <w:position w:val="7"/>
          <w:sz w:val="13"/>
        </w:rPr>
        <w:t> </w:t>
      </w:r>
      <w:r>
        <w:rPr>
          <w:color w:val="105C84"/>
        </w:rPr>
        <w:t>NYS rates are much lower than several counties in the region with the exception of Yates County. Rates of low income and residents with low access have increased since 2010 in Ontario, Schuyler and Seneca Counties.</w:t>
      </w:r>
    </w:p>
    <w:p>
      <w:pPr>
        <w:pStyle w:val="BodyText"/>
        <w:spacing w:before="16"/>
      </w:pPr>
    </w:p>
    <w:p>
      <w:pPr>
        <w:pStyle w:val="Heading6"/>
        <w:ind w:right="1692"/>
      </w:pPr>
      <w:r>
        <w:rPr>
          <w:color w:val="105C84"/>
          <w:spacing w:val="-4"/>
        </w:rPr>
        <w:t>FIGURE</w:t>
      </w:r>
      <w:r>
        <w:rPr>
          <w:color w:val="105C84"/>
          <w:spacing w:val="-10"/>
        </w:rPr>
        <w:t> </w:t>
      </w:r>
      <w:r>
        <w:rPr>
          <w:color w:val="105C84"/>
          <w:spacing w:val="-4"/>
        </w:rPr>
        <w:t>9:</w:t>
      </w:r>
      <w:r>
        <w:rPr>
          <w:color w:val="105C84"/>
          <w:spacing w:val="-10"/>
        </w:rPr>
        <w:t> </w:t>
      </w:r>
      <w:r>
        <w:rPr>
          <w:color w:val="105C84"/>
          <w:spacing w:val="-4"/>
        </w:rPr>
        <w:t>Percent</w:t>
      </w:r>
      <w:r>
        <w:rPr>
          <w:color w:val="105C84"/>
          <w:spacing w:val="-10"/>
        </w:rPr>
        <w:t> </w:t>
      </w:r>
      <w:r>
        <w:rPr>
          <w:color w:val="105C84"/>
          <w:spacing w:val="-4"/>
        </w:rPr>
        <w:t>of</w:t>
      </w:r>
      <w:r>
        <w:rPr>
          <w:color w:val="105C84"/>
          <w:spacing w:val="-10"/>
        </w:rPr>
        <w:t> </w:t>
      </w:r>
      <w:r>
        <w:rPr>
          <w:color w:val="105C84"/>
          <w:spacing w:val="-4"/>
        </w:rPr>
        <w:t>population</w:t>
      </w:r>
      <w:r>
        <w:rPr>
          <w:color w:val="105C84"/>
          <w:spacing w:val="-10"/>
        </w:rPr>
        <w:t> </w:t>
      </w:r>
      <w:r>
        <w:rPr>
          <w:color w:val="105C84"/>
          <w:spacing w:val="-4"/>
        </w:rPr>
        <w:t>that</w:t>
      </w:r>
      <w:r>
        <w:rPr>
          <w:color w:val="105C84"/>
          <w:spacing w:val="-10"/>
        </w:rPr>
        <w:t> </w:t>
      </w:r>
      <w:r>
        <w:rPr>
          <w:color w:val="105C84"/>
          <w:spacing w:val="-4"/>
        </w:rPr>
        <w:t>is</w:t>
      </w:r>
      <w:r>
        <w:rPr>
          <w:color w:val="105C84"/>
          <w:spacing w:val="-10"/>
        </w:rPr>
        <w:t> </w:t>
      </w:r>
      <w:r>
        <w:rPr>
          <w:color w:val="105C84"/>
          <w:spacing w:val="-4"/>
        </w:rPr>
        <w:t>low</w:t>
      </w:r>
      <w:r>
        <w:rPr>
          <w:color w:val="105C84"/>
          <w:spacing w:val="-10"/>
        </w:rPr>
        <w:t> </w:t>
      </w:r>
      <w:r>
        <w:rPr>
          <w:color w:val="105C84"/>
          <w:spacing w:val="-4"/>
        </w:rPr>
        <w:t>income</w:t>
      </w:r>
      <w:r>
        <w:rPr>
          <w:color w:val="105C84"/>
          <w:spacing w:val="-10"/>
        </w:rPr>
        <w:t> </w:t>
      </w:r>
      <w:r>
        <w:rPr>
          <w:color w:val="105C84"/>
          <w:spacing w:val="-4"/>
        </w:rPr>
        <w:t>and</w:t>
      </w:r>
      <w:r>
        <w:rPr>
          <w:color w:val="105C84"/>
          <w:spacing w:val="-10"/>
        </w:rPr>
        <w:t> </w:t>
      </w:r>
      <w:r>
        <w:rPr>
          <w:color w:val="105C84"/>
          <w:spacing w:val="-4"/>
        </w:rPr>
        <w:t>has</w:t>
      </w:r>
      <w:r>
        <w:rPr>
          <w:color w:val="105C84"/>
          <w:spacing w:val="-10"/>
        </w:rPr>
        <w:t> </w:t>
      </w:r>
      <w:r>
        <w:rPr>
          <w:color w:val="105C84"/>
          <w:spacing w:val="-4"/>
        </w:rPr>
        <w:t>low</w:t>
      </w:r>
      <w:r>
        <w:rPr>
          <w:color w:val="105C84"/>
          <w:spacing w:val="-10"/>
        </w:rPr>
        <w:t> </w:t>
      </w:r>
      <w:r>
        <w:rPr>
          <w:color w:val="105C84"/>
          <w:spacing w:val="-4"/>
        </w:rPr>
        <w:t>access </w:t>
      </w:r>
      <w:r>
        <w:rPr>
          <w:color w:val="105C84"/>
        </w:rPr>
        <w:t>to a supermarket or large grocery store</w:t>
      </w:r>
    </w:p>
    <w:p>
      <w:pPr>
        <w:spacing w:before="282"/>
        <w:ind w:left="1449" w:right="0" w:firstLine="0"/>
        <w:jc w:val="left"/>
        <w:rPr>
          <w:sz w:val="18"/>
        </w:rPr>
      </w:pPr>
      <w:r>
        <w:rPr>
          <w:sz w:val="18"/>
        </w:rPr>
        <mc:AlternateContent>
          <mc:Choice Requires="wps">
            <w:drawing>
              <wp:anchor distT="0" distB="0" distL="0" distR="0" allowOverlap="1" layoutInCell="1" locked="0" behindDoc="0" simplePos="0" relativeHeight="15761408">
                <wp:simplePos x="0" y="0"/>
                <wp:positionH relativeFrom="page">
                  <wp:posOffset>9037150</wp:posOffset>
                </wp:positionH>
                <wp:positionV relativeFrom="paragraph">
                  <wp:posOffset>163432</wp:posOffset>
                </wp:positionV>
                <wp:extent cx="5607050" cy="2153285"/>
                <wp:effectExtent l="0" t="0" r="0" b="0"/>
                <wp:wrapNone/>
                <wp:docPr id="306" name="Group 306"/>
                <wp:cNvGraphicFramePr>
                  <a:graphicFrameLocks/>
                </wp:cNvGraphicFramePr>
                <a:graphic>
                  <a:graphicData uri="http://schemas.microsoft.com/office/word/2010/wordprocessingGroup">
                    <wpg:wgp>
                      <wpg:cNvPr id="306" name="Group 306"/>
                      <wpg:cNvGrpSpPr/>
                      <wpg:grpSpPr>
                        <a:xfrm>
                          <a:off x="0" y="0"/>
                          <a:ext cx="5607050" cy="2153285"/>
                          <a:chExt cx="5607050" cy="2153285"/>
                        </a:xfrm>
                      </wpg:grpSpPr>
                      <wps:wsp>
                        <wps:cNvPr id="307" name="Graphic 307"/>
                        <wps:cNvSpPr/>
                        <wps:spPr>
                          <a:xfrm>
                            <a:off x="177435" y="356692"/>
                            <a:ext cx="5223510" cy="1796414"/>
                          </a:xfrm>
                          <a:custGeom>
                            <a:avLst/>
                            <a:gdLst/>
                            <a:ahLst/>
                            <a:cxnLst/>
                            <a:rect l="l" t="t" r="r" b="b"/>
                            <a:pathLst>
                              <a:path w="5223510" h="1796414">
                                <a:moveTo>
                                  <a:pt x="162369" y="566661"/>
                                </a:moveTo>
                                <a:lnTo>
                                  <a:pt x="0" y="566661"/>
                                </a:lnTo>
                                <a:lnTo>
                                  <a:pt x="0" y="1796059"/>
                                </a:lnTo>
                                <a:lnTo>
                                  <a:pt x="162369" y="1796059"/>
                                </a:lnTo>
                                <a:lnTo>
                                  <a:pt x="162369" y="566661"/>
                                </a:lnTo>
                                <a:close/>
                              </a:path>
                              <a:path w="5223510" h="1796414">
                                <a:moveTo>
                                  <a:pt x="893051" y="0"/>
                                </a:moveTo>
                                <a:lnTo>
                                  <a:pt x="730681" y="0"/>
                                </a:lnTo>
                                <a:lnTo>
                                  <a:pt x="730681" y="1796059"/>
                                </a:lnTo>
                                <a:lnTo>
                                  <a:pt x="893051" y="1796059"/>
                                </a:lnTo>
                                <a:lnTo>
                                  <a:pt x="893051" y="0"/>
                                </a:lnTo>
                                <a:close/>
                              </a:path>
                              <a:path w="5223510" h="1796414">
                                <a:moveTo>
                                  <a:pt x="1610220" y="1210170"/>
                                </a:moveTo>
                                <a:lnTo>
                                  <a:pt x="1447838" y="1210170"/>
                                </a:lnTo>
                                <a:lnTo>
                                  <a:pt x="1447838" y="1796059"/>
                                </a:lnTo>
                                <a:lnTo>
                                  <a:pt x="1610220" y="1796059"/>
                                </a:lnTo>
                                <a:lnTo>
                                  <a:pt x="1610220" y="1210170"/>
                                </a:lnTo>
                                <a:close/>
                              </a:path>
                              <a:path w="5223510" h="1796414">
                                <a:moveTo>
                                  <a:pt x="2327376" y="1373454"/>
                                </a:moveTo>
                                <a:lnTo>
                                  <a:pt x="2178532" y="1373454"/>
                                </a:lnTo>
                                <a:lnTo>
                                  <a:pt x="2178532" y="1796046"/>
                                </a:lnTo>
                                <a:lnTo>
                                  <a:pt x="2327376" y="1796046"/>
                                </a:lnTo>
                                <a:lnTo>
                                  <a:pt x="2327376" y="1373454"/>
                                </a:lnTo>
                                <a:close/>
                              </a:path>
                              <a:path w="5223510" h="1796414">
                                <a:moveTo>
                                  <a:pt x="3058058" y="1479092"/>
                                </a:moveTo>
                                <a:lnTo>
                                  <a:pt x="2895689" y="1479092"/>
                                </a:lnTo>
                                <a:lnTo>
                                  <a:pt x="2895689" y="1796059"/>
                                </a:lnTo>
                                <a:lnTo>
                                  <a:pt x="3058058" y="1796059"/>
                                </a:lnTo>
                                <a:lnTo>
                                  <a:pt x="3058058" y="1479092"/>
                                </a:lnTo>
                                <a:close/>
                              </a:path>
                              <a:path w="5223510" h="1796414">
                                <a:moveTo>
                                  <a:pt x="3775202" y="941247"/>
                                </a:moveTo>
                                <a:lnTo>
                                  <a:pt x="3612832" y="941247"/>
                                </a:lnTo>
                                <a:lnTo>
                                  <a:pt x="3612832" y="1796059"/>
                                </a:lnTo>
                                <a:lnTo>
                                  <a:pt x="3775202" y="1796059"/>
                                </a:lnTo>
                                <a:lnTo>
                                  <a:pt x="3775202" y="941247"/>
                                </a:lnTo>
                                <a:close/>
                              </a:path>
                              <a:path w="5223510" h="1796414">
                                <a:moveTo>
                                  <a:pt x="4505896" y="1094905"/>
                                </a:moveTo>
                                <a:lnTo>
                                  <a:pt x="4343514" y="1094905"/>
                                </a:lnTo>
                                <a:lnTo>
                                  <a:pt x="4343514" y="1796046"/>
                                </a:lnTo>
                                <a:lnTo>
                                  <a:pt x="4505896" y="1796046"/>
                                </a:lnTo>
                                <a:lnTo>
                                  <a:pt x="4505896" y="1094905"/>
                                </a:lnTo>
                                <a:close/>
                              </a:path>
                              <a:path w="5223510" h="1796414">
                                <a:moveTo>
                                  <a:pt x="5223053" y="1700009"/>
                                </a:moveTo>
                                <a:lnTo>
                                  <a:pt x="5060683" y="1700009"/>
                                </a:lnTo>
                                <a:lnTo>
                                  <a:pt x="5060683" y="1796046"/>
                                </a:lnTo>
                                <a:lnTo>
                                  <a:pt x="5223053" y="1796046"/>
                                </a:lnTo>
                                <a:lnTo>
                                  <a:pt x="5223053" y="1700009"/>
                                </a:lnTo>
                                <a:close/>
                              </a:path>
                            </a:pathLst>
                          </a:custGeom>
                          <a:solidFill>
                            <a:srgbClr val="105C84"/>
                          </a:solidFill>
                        </wps:spPr>
                        <wps:bodyPr wrap="square" lIns="0" tIns="0" rIns="0" bIns="0" rtlCol="0">
                          <a:prstTxWarp prst="textNoShape">
                            <a:avLst/>
                          </a:prstTxWarp>
                          <a:noAutofit/>
                        </wps:bodyPr>
                      </wps:wsp>
                      <wps:wsp>
                        <wps:cNvPr id="308" name="Graphic 308"/>
                        <wps:cNvSpPr/>
                        <wps:spPr>
                          <a:xfrm>
                            <a:off x="380407" y="913752"/>
                            <a:ext cx="5223510" cy="1239520"/>
                          </a:xfrm>
                          <a:custGeom>
                            <a:avLst/>
                            <a:gdLst/>
                            <a:ahLst/>
                            <a:cxnLst/>
                            <a:rect l="l" t="t" r="r" b="b"/>
                            <a:pathLst>
                              <a:path w="5223510" h="1239520">
                                <a:moveTo>
                                  <a:pt x="162369" y="28803"/>
                                </a:moveTo>
                                <a:lnTo>
                                  <a:pt x="0" y="28803"/>
                                </a:lnTo>
                                <a:lnTo>
                                  <a:pt x="0" y="1238986"/>
                                </a:lnTo>
                                <a:lnTo>
                                  <a:pt x="162369" y="1238986"/>
                                </a:lnTo>
                                <a:lnTo>
                                  <a:pt x="162369" y="28803"/>
                                </a:lnTo>
                                <a:close/>
                              </a:path>
                              <a:path w="5223510" h="1239520">
                                <a:moveTo>
                                  <a:pt x="893038" y="153670"/>
                                </a:moveTo>
                                <a:lnTo>
                                  <a:pt x="730681" y="153670"/>
                                </a:lnTo>
                                <a:lnTo>
                                  <a:pt x="730681" y="1238986"/>
                                </a:lnTo>
                                <a:lnTo>
                                  <a:pt x="893038" y="1238986"/>
                                </a:lnTo>
                                <a:lnTo>
                                  <a:pt x="893038" y="153670"/>
                                </a:lnTo>
                                <a:close/>
                              </a:path>
                              <a:path w="5223510" h="1239520">
                                <a:moveTo>
                                  <a:pt x="1610220" y="172872"/>
                                </a:moveTo>
                                <a:lnTo>
                                  <a:pt x="1447838" y="172872"/>
                                </a:lnTo>
                                <a:lnTo>
                                  <a:pt x="1447838" y="1238986"/>
                                </a:lnTo>
                                <a:lnTo>
                                  <a:pt x="1610220" y="1238986"/>
                                </a:lnTo>
                                <a:lnTo>
                                  <a:pt x="1610220" y="172872"/>
                                </a:lnTo>
                                <a:close/>
                              </a:path>
                              <a:path w="5223510" h="1239520">
                                <a:moveTo>
                                  <a:pt x="2340889" y="614692"/>
                                </a:moveTo>
                                <a:lnTo>
                                  <a:pt x="2178520" y="614692"/>
                                </a:lnTo>
                                <a:lnTo>
                                  <a:pt x="2178520" y="1238986"/>
                                </a:lnTo>
                                <a:lnTo>
                                  <a:pt x="2340889" y="1238986"/>
                                </a:lnTo>
                                <a:lnTo>
                                  <a:pt x="2340889" y="614692"/>
                                </a:lnTo>
                                <a:close/>
                              </a:path>
                              <a:path w="5223510" h="1239520">
                                <a:moveTo>
                                  <a:pt x="3058058" y="0"/>
                                </a:moveTo>
                                <a:lnTo>
                                  <a:pt x="2895676" y="0"/>
                                </a:lnTo>
                                <a:lnTo>
                                  <a:pt x="2895676" y="1238999"/>
                                </a:lnTo>
                                <a:lnTo>
                                  <a:pt x="3058058" y="1238999"/>
                                </a:lnTo>
                                <a:lnTo>
                                  <a:pt x="3058058" y="0"/>
                                </a:lnTo>
                                <a:close/>
                              </a:path>
                              <a:path w="5223510" h="1239520">
                                <a:moveTo>
                                  <a:pt x="3788740" y="624293"/>
                                </a:moveTo>
                                <a:lnTo>
                                  <a:pt x="3626358" y="624293"/>
                                </a:lnTo>
                                <a:lnTo>
                                  <a:pt x="3626358" y="1238999"/>
                                </a:lnTo>
                                <a:lnTo>
                                  <a:pt x="3788740" y="1238999"/>
                                </a:lnTo>
                                <a:lnTo>
                                  <a:pt x="3788740" y="624293"/>
                                </a:lnTo>
                                <a:close/>
                              </a:path>
                              <a:path w="5223510" h="1239520">
                                <a:moveTo>
                                  <a:pt x="4505896" y="509041"/>
                                </a:moveTo>
                                <a:lnTo>
                                  <a:pt x="4343527" y="509041"/>
                                </a:lnTo>
                                <a:lnTo>
                                  <a:pt x="4343527" y="1238999"/>
                                </a:lnTo>
                                <a:lnTo>
                                  <a:pt x="4505896" y="1238999"/>
                                </a:lnTo>
                                <a:lnTo>
                                  <a:pt x="4505896" y="509041"/>
                                </a:lnTo>
                                <a:close/>
                              </a:path>
                              <a:path w="5223510" h="1239520">
                                <a:moveTo>
                                  <a:pt x="5223053" y="1142949"/>
                                </a:moveTo>
                                <a:lnTo>
                                  <a:pt x="5060683" y="1142949"/>
                                </a:lnTo>
                                <a:lnTo>
                                  <a:pt x="5060683" y="1238986"/>
                                </a:lnTo>
                                <a:lnTo>
                                  <a:pt x="5223053" y="1238986"/>
                                </a:lnTo>
                                <a:lnTo>
                                  <a:pt x="5223053" y="1142949"/>
                                </a:lnTo>
                                <a:close/>
                              </a:path>
                            </a:pathLst>
                          </a:custGeom>
                          <a:solidFill>
                            <a:srgbClr val="82BF6A"/>
                          </a:solidFill>
                        </wps:spPr>
                        <wps:bodyPr wrap="square" lIns="0" tIns="0" rIns="0" bIns="0" rtlCol="0">
                          <a:prstTxWarp prst="textNoShape">
                            <a:avLst/>
                          </a:prstTxWarp>
                          <a:noAutofit/>
                        </wps:bodyPr>
                      </wps:wsp>
                      <wps:wsp>
                        <wps:cNvPr id="309" name="Graphic 309"/>
                        <wps:cNvSpPr/>
                        <wps:spPr>
                          <a:xfrm>
                            <a:off x="3568" y="26046"/>
                            <a:ext cx="5600065" cy="2121535"/>
                          </a:xfrm>
                          <a:custGeom>
                            <a:avLst/>
                            <a:gdLst/>
                            <a:ahLst/>
                            <a:cxnLst/>
                            <a:rect l="l" t="t" r="r" b="b"/>
                            <a:pathLst>
                              <a:path w="5600065" h="2121535">
                                <a:moveTo>
                                  <a:pt x="5599887" y="2121382"/>
                                </a:moveTo>
                                <a:lnTo>
                                  <a:pt x="0" y="2121382"/>
                                </a:lnTo>
                                <a:lnTo>
                                  <a:pt x="4724" y="0"/>
                                </a:lnTo>
                              </a:path>
                            </a:pathLst>
                          </a:custGeom>
                          <a:ln w="7137">
                            <a:solidFill>
                              <a:srgbClr val="939598"/>
                            </a:solidFill>
                            <a:prstDash val="solid"/>
                          </a:ln>
                        </wps:spPr>
                        <wps:bodyPr wrap="square" lIns="0" tIns="0" rIns="0" bIns="0" rtlCol="0">
                          <a:prstTxWarp prst="textNoShape">
                            <a:avLst/>
                          </a:prstTxWarp>
                          <a:noAutofit/>
                        </wps:bodyPr>
                      </wps:wsp>
                      <wps:wsp>
                        <wps:cNvPr id="310" name="Graphic 310"/>
                        <wps:cNvSpPr/>
                        <wps:spPr>
                          <a:xfrm>
                            <a:off x="164722" y="30861"/>
                            <a:ext cx="70485" cy="70485"/>
                          </a:xfrm>
                          <a:custGeom>
                            <a:avLst/>
                            <a:gdLst/>
                            <a:ahLst/>
                            <a:cxnLst/>
                            <a:rect l="l" t="t" r="r" b="b"/>
                            <a:pathLst>
                              <a:path w="70485" h="70485">
                                <a:moveTo>
                                  <a:pt x="69951" y="0"/>
                                </a:moveTo>
                                <a:lnTo>
                                  <a:pt x="0" y="0"/>
                                </a:lnTo>
                                <a:lnTo>
                                  <a:pt x="0" y="69951"/>
                                </a:lnTo>
                                <a:lnTo>
                                  <a:pt x="69951" y="69951"/>
                                </a:lnTo>
                                <a:lnTo>
                                  <a:pt x="69951" y="0"/>
                                </a:lnTo>
                                <a:close/>
                              </a:path>
                            </a:pathLst>
                          </a:custGeom>
                          <a:solidFill>
                            <a:srgbClr val="105C84"/>
                          </a:solidFill>
                        </wps:spPr>
                        <wps:bodyPr wrap="square" lIns="0" tIns="0" rIns="0" bIns="0" rtlCol="0">
                          <a:prstTxWarp prst="textNoShape">
                            <a:avLst/>
                          </a:prstTxWarp>
                          <a:noAutofit/>
                        </wps:bodyPr>
                      </wps:wsp>
                      <wps:wsp>
                        <wps:cNvPr id="311" name="Graphic 311"/>
                        <wps:cNvSpPr/>
                        <wps:spPr>
                          <a:xfrm>
                            <a:off x="684876" y="30861"/>
                            <a:ext cx="70485" cy="70485"/>
                          </a:xfrm>
                          <a:custGeom>
                            <a:avLst/>
                            <a:gdLst/>
                            <a:ahLst/>
                            <a:cxnLst/>
                            <a:rect l="l" t="t" r="r" b="b"/>
                            <a:pathLst>
                              <a:path w="70485" h="70485">
                                <a:moveTo>
                                  <a:pt x="69951" y="0"/>
                                </a:moveTo>
                                <a:lnTo>
                                  <a:pt x="0" y="0"/>
                                </a:lnTo>
                                <a:lnTo>
                                  <a:pt x="0" y="69951"/>
                                </a:lnTo>
                                <a:lnTo>
                                  <a:pt x="69951" y="69951"/>
                                </a:lnTo>
                                <a:lnTo>
                                  <a:pt x="69951" y="0"/>
                                </a:lnTo>
                                <a:close/>
                              </a:path>
                            </a:pathLst>
                          </a:custGeom>
                          <a:solidFill>
                            <a:srgbClr val="82BF6A"/>
                          </a:solidFill>
                        </wps:spPr>
                        <wps:bodyPr wrap="square" lIns="0" tIns="0" rIns="0" bIns="0" rtlCol="0">
                          <a:prstTxWarp prst="textNoShape">
                            <a:avLst/>
                          </a:prstTxWarp>
                          <a:noAutofit/>
                        </wps:bodyPr>
                      </wps:wsp>
                      <wps:wsp>
                        <wps:cNvPr id="312" name="Textbox 312"/>
                        <wps:cNvSpPr txBox="1"/>
                        <wps:spPr>
                          <a:xfrm>
                            <a:off x="280653" y="0"/>
                            <a:ext cx="224154" cy="139065"/>
                          </a:xfrm>
                          <a:prstGeom prst="rect">
                            <a:avLst/>
                          </a:prstGeom>
                        </wps:spPr>
                        <wps:txbx>
                          <w:txbxContent>
                            <w:p>
                              <w:pPr>
                                <w:spacing w:before="10"/>
                                <w:ind w:left="0" w:right="0" w:firstLine="0"/>
                                <w:jc w:val="left"/>
                                <w:rPr>
                                  <w:sz w:val="16"/>
                                </w:rPr>
                              </w:pPr>
                              <w:r>
                                <w:rPr>
                                  <w:color w:val="105C84"/>
                                  <w:spacing w:val="-5"/>
                                  <w:sz w:val="16"/>
                                </w:rPr>
                                <w:t>2010</w:t>
                              </w:r>
                            </w:p>
                          </w:txbxContent>
                        </wps:txbx>
                        <wps:bodyPr wrap="square" lIns="0" tIns="0" rIns="0" bIns="0" rtlCol="0">
                          <a:noAutofit/>
                        </wps:bodyPr>
                      </wps:wsp>
                      <wps:wsp>
                        <wps:cNvPr id="313" name="Textbox 313"/>
                        <wps:cNvSpPr txBox="1"/>
                        <wps:spPr>
                          <a:xfrm>
                            <a:off x="803134" y="0"/>
                            <a:ext cx="224154" cy="139065"/>
                          </a:xfrm>
                          <a:prstGeom prst="rect">
                            <a:avLst/>
                          </a:prstGeom>
                        </wps:spPr>
                        <wps:txbx>
                          <w:txbxContent>
                            <w:p>
                              <w:pPr>
                                <w:spacing w:before="10"/>
                                <w:ind w:left="0" w:right="0" w:firstLine="0"/>
                                <w:jc w:val="left"/>
                                <w:rPr>
                                  <w:sz w:val="16"/>
                                </w:rPr>
                              </w:pPr>
                              <w:r>
                                <w:rPr>
                                  <w:color w:val="105C84"/>
                                  <w:spacing w:val="-5"/>
                                  <w:sz w:val="16"/>
                                </w:rPr>
                                <w:t>2015</w:t>
                              </w:r>
                            </w:p>
                          </w:txbxContent>
                        </wps:txbx>
                        <wps:bodyPr wrap="square" lIns="0" tIns="0" rIns="0" bIns="0" rtlCol="0">
                          <a:noAutofit/>
                        </wps:bodyPr>
                      </wps:wsp>
                    </wpg:wgp>
                  </a:graphicData>
                </a:graphic>
              </wp:anchor>
            </w:drawing>
          </mc:Choice>
          <mc:Fallback>
            <w:pict>
              <v:group style="position:absolute;margin-left:711.58667pt;margin-top:12.868669pt;width:441.5pt;height:169.55pt;mso-position-horizontal-relative:page;mso-position-vertical-relative:paragraph;z-index:15761408" id="docshapegroup264" coordorigin="14232,257" coordsize="8830,3391">
                <v:shape style="position:absolute;left:14511;top:819;width:8226;height:2829" id="docshape265" coordorigin="14511,819" coordsize="8226,2829" path="m14767,1711l14511,1711,14511,3648,14767,3648,14767,1711xm15918,819l15662,819,15662,3648,15918,3648,15918,819xm17047,2725l16791,2725,16791,3648,17047,3648,17047,2725xm18176,2982l17942,2982,17942,3648,18176,3648,18176,2982xm19327,3148l19071,3148,19071,3648,19327,3648,19327,3148xm20456,2301l20201,2301,20201,3648,20456,3648,20456,2301xm21607,2543l21351,2543,21351,3648,21607,3648,21607,2543xm22736,3496l22481,3496,22481,3648,22736,3648,22736,3496xe" filled="true" fillcolor="#105c84" stroked="false">
                  <v:path arrowok="t"/>
                  <v:fill type="solid"/>
                </v:shape>
                <v:shape style="position:absolute;left:14830;top:1696;width:8226;height:1952" id="docshape266" coordorigin="14831,1696" coordsize="8226,1952" path="m15087,1742l14831,1742,14831,3648,15087,3648,15087,1742xm16237,1938l15981,1938,15981,3648,16237,3648,16237,1938xm17367,1969l17111,1969,17111,3648,17367,3648,17367,1969xm18517,2664l18262,2664,18262,3648,18517,3648,18517,2664xm19647,1696l19391,1696,19391,3648,19647,3648,19647,1696xm20797,2679l20542,2679,20542,3648,20797,3648,20797,2679xm21927,2498l21671,2498,21671,3648,21927,3648,21927,2498xm23056,3496l22800,3496,22800,3648,23056,3648,23056,3496xe" filled="true" fillcolor="#82bf6a" stroked="false">
                  <v:path arrowok="t"/>
                  <v:fill type="solid"/>
                </v:shape>
                <v:shape style="position:absolute;left:14237;top:298;width:8819;height:3341" id="docshape267" coordorigin="14237,298" coordsize="8819,3341" path="m23056,3639l14237,3639,14245,298e" filled="false" stroked="true" strokeweight=".562pt" strokecolor="#939598">
                  <v:path arrowok="t"/>
                  <v:stroke dashstyle="solid"/>
                </v:shape>
                <v:rect style="position:absolute;left:14491;top:305;width:111;height:111" id="docshape268" filled="true" fillcolor="#105c84" stroked="false">
                  <v:fill type="solid"/>
                </v:rect>
                <v:rect style="position:absolute;left:15310;top:305;width:111;height:111" id="docshape269" filled="true" fillcolor="#82bf6a" stroked="false">
                  <v:fill type="solid"/>
                </v:rect>
                <v:shape style="position:absolute;left:14673;top:257;width:353;height:219" type="#_x0000_t202" id="docshape270" filled="false" stroked="false">
                  <v:textbox inset="0,0,0,0">
                    <w:txbxContent>
                      <w:p>
                        <w:pPr>
                          <w:spacing w:before="10"/>
                          <w:ind w:left="0" w:right="0" w:firstLine="0"/>
                          <w:jc w:val="left"/>
                          <w:rPr>
                            <w:sz w:val="16"/>
                          </w:rPr>
                        </w:pPr>
                        <w:r>
                          <w:rPr>
                            <w:color w:val="105C84"/>
                            <w:spacing w:val="-5"/>
                            <w:sz w:val="16"/>
                          </w:rPr>
                          <w:t>2010</w:t>
                        </w:r>
                      </w:p>
                    </w:txbxContent>
                  </v:textbox>
                  <w10:wrap type="none"/>
                </v:shape>
                <v:shape style="position:absolute;left:15496;top:257;width:353;height:219" type="#_x0000_t202" id="docshape271" filled="false" stroked="false">
                  <v:textbox inset="0,0,0,0">
                    <w:txbxContent>
                      <w:p>
                        <w:pPr>
                          <w:spacing w:before="10"/>
                          <w:ind w:left="0" w:right="0" w:firstLine="0"/>
                          <w:jc w:val="left"/>
                          <w:rPr>
                            <w:sz w:val="16"/>
                          </w:rPr>
                        </w:pPr>
                        <w:r>
                          <w:rPr>
                            <w:color w:val="105C84"/>
                            <w:spacing w:val="-5"/>
                            <w:sz w:val="16"/>
                          </w:rPr>
                          <w:t>2015</w:t>
                        </w:r>
                      </w:p>
                    </w:txbxContent>
                  </v:textbox>
                  <w10:wrap type="none"/>
                </v:shape>
                <w10:wrap type="none"/>
              </v:group>
            </w:pict>
          </mc:Fallback>
        </mc:AlternateContent>
      </w:r>
      <w:r>
        <w:rPr>
          <w:color w:val="636466"/>
          <w:spacing w:val="-5"/>
          <w:sz w:val="18"/>
        </w:rPr>
        <w:t>10%</w:t>
      </w:r>
    </w:p>
    <w:p>
      <w:pPr>
        <w:pStyle w:val="BodyText"/>
        <w:rPr>
          <w:sz w:val="18"/>
        </w:rPr>
      </w:pPr>
    </w:p>
    <w:p>
      <w:pPr>
        <w:pStyle w:val="BodyText"/>
        <w:spacing w:before="30"/>
        <w:rPr>
          <w:sz w:val="18"/>
        </w:rPr>
      </w:pPr>
    </w:p>
    <w:p>
      <w:pPr>
        <w:spacing w:before="0"/>
        <w:ind w:left="1551" w:right="0" w:firstLine="0"/>
        <w:jc w:val="left"/>
        <w:rPr>
          <w:sz w:val="18"/>
        </w:rPr>
      </w:pPr>
      <w:r>
        <w:rPr>
          <w:sz w:val="18"/>
        </w:rPr>
        <mc:AlternateContent>
          <mc:Choice Requires="wps">
            <w:drawing>
              <wp:anchor distT="0" distB="0" distL="0" distR="0" allowOverlap="1" layoutInCell="1" locked="0" behindDoc="0" simplePos="0" relativeHeight="15761920">
                <wp:simplePos x="0" y="0"/>
                <wp:positionH relativeFrom="page">
                  <wp:posOffset>8466216</wp:posOffset>
                </wp:positionH>
                <wp:positionV relativeFrom="paragraph">
                  <wp:posOffset>120967</wp:posOffset>
                </wp:positionV>
                <wp:extent cx="164465" cy="1174115"/>
                <wp:effectExtent l="0" t="0" r="0" b="0"/>
                <wp:wrapNone/>
                <wp:docPr id="314" name="Textbox 314"/>
                <wp:cNvGraphicFramePr>
                  <a:graphicFrameLocks/>
                </wp:cNvGraphicFramePr>
                <a:graphic>
                  <a:graphicData uri="http://schemas.microsoft.com/office/word/2010/wordprocessingShape">
                    <wps:wsp>
                      <wps:cNvPr id="314" name="Textbox 314"/>
                      <wps:cNvSpPr txBox="1"/>
                      <wps:spPr>
                        <a:xfrm>
                          <a:off x="0" y="0"/>
                          <a:ext cx="164465" cy="1174115"/>
                        </a:xfrm>
                        <a:prstGeom prst="rect">
                          <a:avLst/>
                        </a:prstGeom>
                      </wps:spPr>
                      <wps:txbx>
                        <w:txbxContent>
                          <w:p>
                            <w:pPr>
                              <w:spacing w:before="30"/>
                              <w:ind w:left="20" w:right="0" w:firstLine="0"/>
                              <w:jc w:val="left"/>
                              <w:rPr>
                                <w:sz w:val="16"/>
                              </w:rPr>
                            </w:pPr>
                            <w:r>
                              <w:rPr>
                                <w:color w:val="105C84"/>
                                <w:sz w:val="16"/>
                              </w:rPr>
                              <w:t>Percentage</w:t>
                            </w:r>
                            <w:r>
                              <w:rPr>
                                <w:color w:val="105C84"/>
                                <w:spacing w:val="-4"/>
                                <w:sz w:val="16"/>
                              </w:rPr>
                              <w:t> </w:t>
                            </w:r>
                            <w:r>
                              <w:rPr>
                                <w:color w:val="105C84"/>
                                <w:sz w:val="16"/>
                              </w:rPr>
                              <w:t>of</w:t>
                            </w:r>
                            <w:r>
                              <w:rPr>
                                <w:color w:val="105C84"/>
                                <w:spacing w:val="-3"/>
                                <w:sz w:val="16"/>
                              </w:rPr>
                              <w:t> </w:t>
                            </w:r>
                            <w:r>
                              <w:rPr>
                                <w:color w:val="105C84"/>
                                <w:spacing w:val="-2"/>
                                <w:sz w:val="16"/>
                              </w:rPr>
                              <w:t>Population</w:t>
                            </w:r>
                          </w:p>
                        </w:txbxContent>
                      </wps:txbx>
                      <wps:bodyPr wrap="square" lIns="0" tIns="0" rIns="0" bIns="0" rtlCol="0" vert="vert270">
                        <a:noAutofit/>
                      </wps:bodyPr>
                    </wps:wsp>
                  </a:graphicData>
                </a:graphic>
              </wp:anchor>
            </w:drawing>
          </mc:Choice>
          <mc:Fallback>
            <w:pict>
              <v:shape style="position:absolute;margin-left:666.631226pt;margin-top:9.525002pt;width:12.95pt;height:92.45pt;mso-position-horizontal-relative:page;mso-position-vertical-relative:paragraph;z-index:15761920" type="#_x0000_t202" id="docshape272" filled="false" stroked="false">
                <v:textbox inset="0,0,0,0" style="layout-flow:vertical;mso-layout-flow-alt:bottom-to-top">
                  <w:txbxContent>
                    <w:p>
                      <w:pPr>
                        <w:spacing w:before="30"/>
                        <w:ind w:left="20" w:right="0" w:firstLine="0"/>
                        <w:jc w:val="left"/>
                        <w:rPr>
                          <w:sz w:val="16"/>
                        </w:rPr>
                      </w:pPr>
                      <w:r>
                        <w:rPr>
                          <w:color w:val="105C84"/>
                          <w:sz w:val="16"/>
                        </w:rPr>
                        <w:t>Percentage</w:t>
                      </w:r>
                      <w:r>
                        <w:rPr>
                          <w:color w:val="105C84"/>
                          <w:spacing w:val="-4"/>
                          <w:sz w:val="16"/>
                        </w:rPr>
                        <w:t> </w:t>
                      </w:r>
                      <w:r>
                        <w:rPr>
                          <w:color w:val="105C84"/>
                          <w:sz w:val="16"/>
                        </w:rPr>
                        <w:t>of</w:t>
                      </w:r>
                      <w:r>
                        <w:rPr>
                          <w:color w:val="105C84"/>
                          <w:spacing w:val="-3"/>
                          <w:sz w:val="16"/>
                        </w:rPr>
                        <w:t> </w:t>
                      </w:r>
                      <w:r>
                        <w:rPr>
                          <w:color w:val="105C84"/>
                          <w:spacing w:val="-2"/>
                          <w:sz w:val="16"/>
                        </w:rPr>
                        <w:t>Population</w:t>
                      </w:r>
                    </w:p>
                  </w:txbxContent>
                </v:textbox>
                <w10:wrap type="none"/>
              </v:shape>
            </w:pict>
          </mc:Fallback>
        </mc:AlternateContent>
      </w:r>
      <w:r>
        <w:rPr>
          <w:color w:val="636466"/>
          <w:spacing w:val="-5"/>
          <w:sz w:val="18"/>
        </w:rPr>
        <w:t>8%</w:t>
      </w:r>
    </w:p>
    <w:p>
      <w:pPr>
        <w:pStyle w:val="BodyText"/>
        <w:rPr>
          <w:sz w:val="18"/>
        </w:rPr>
      </w:pPr>
    </w:p>
    <w:p>
      <w:pPr>
        <w:pStyle w:val="BodyText"/>
        <w:spacing w:before="14"/>
        <w:rPr>
          <w:sz w:val="18"/>
        </w:rPr>
      </w:pPr>
    </w:p>
    <w:p>
      <w:pPr>
        <w:spacing w:before="0"/>
        <w:ind w:left="1551" w:right="0" w:firstLine="0"/>
        <w:jc w:val="left"/>
        <w:rPr>
          <w:sz w:val="18"/>
        </w:rPr>
      </w:pPr>
      <w:r>
        <w:rPr>
          <w:color w:val="636466"/>
          <w:spacing w:val="-5"/>
          <w:sz w:val="18"/>
        </w:rPr>
        <w:t>6%</w:t>
      </w:r>
    </w:p>
    <w:p>
      <w:pPr>
        <w:pStyle w:val="BodyText"/>
        <w:rPr>
          <w:sz w:val="18"/>
        </w:rPr>
      </w:pPr>
    </w:p>
    <w:p>
      <w:pPr>
        <w:pStyle w:val="BodyText"/>
        <w:spacing w:before="29"/>
        <w:rPr>
          <w:sz w:val="18"/>
        </w:rPr>
      </w:pPr>
    </w:p>
    <w:p>
      <w:pPr>
        <w:spacing w:before="0"/>
        <w:ind w:left="1551" w:right="0" w:firstLine="0"/>
        <w:jc w:val="left"/>
        <w:rPr>
          <w:sz w:val="18"/>
        </w:rPr>
      </w:pPr>
      <w:r>
        <w:rPr>
          <w:color w:val="636466"/>
          <w:spacing w:val="-5"/>
          <w:sz w:val="18"/>
        </w:rPr>
        <w:t>4%</w:t>
      </w:r>
    </w:p>
    <w:p>
      <w:pPr>
        <w:pStyle w:val="BodyText"/>
        <w:rPr>
          <w:sz w:val="18"/>
        </w:rPr>
      </w:pPr>
    </w:p>
    <w:p>
      <w:pPr>
        <w:pStyle w:val="BodyText"/>
        <w:spacing w:before="30"/>
        <w:rPr>
          <w:sz w:val="18"/>
        </w:rPr>
      </w:pPr>
    </w:p>
    <w:p>
      <w:pPr>
        <w:spacing w:before="0"/>
        <w:ind w:left="1551" w:right="0" w:firstLine="0"/>
        <w:jc w:val="left"/>
        <w:rPr>
          <w:sz w:val="18"/>
        </w:rPr>
      </w:pPr>
      <w:r>
        <w:rPr>
          <w:color w:val="636466"/>
          <w:spacing w:val="-5"/>
          <w:sz w:val="18"/>
        </w:rPr>
        <w:t>2%</w:t>
      </w:r>
    </w:p>
    <w:p>
      <w:pPr>
        <w:pStyle w:val="BodyText"/>
        <w:rPr>
          <w:sz w:val="18"/>
        </w:rPr>
      </w:pPr>
    </w:p>
    <w:p>
      <w:pPr>
        <w:pStyle w:val="BodyText"/>
        <w:spacing w:before="14"/>
        <w:rPr>
          <w:sz w:val="18"/>
        </w:rPr>
      </w:pPr>
    </w:p>
    <w:p>
      <w:pPr>
        <w:spacing w:before="0"/>
        <w:ind w:left="1551" w:right="0" w:firstLine="0"/>
        <w:jc w:val="left"/>
        <w:rPr>
          <w:sz w:val="18"/>
        </w:rPr>
      </w:pPr>
      <w:r>
        <w:rPr>
          <w:color w:val="636466"/>
          <w:spacing w:val="-5"/>
          <w:sz w:val="18"/>
        </w:rPr>
        <w:t>0%</w:t>
      </w:r>
    </w:p>
    <w:p>
      <w:pPr>
        <w:tabs>
          <w:tab w:pos="3279" w:val="left" w:leader="none"/>
          <w:tab w:pos="4510" w:val="left" w:leader="none"/>
          <w:tab w:pos="5628" w:val="left" w:leader="none"/>
          <w:tab w:pos="6797" w:val="left" w:leader="none"/>
          <w:tab w:pos="7905" w:val="left" w:leader="none"/>
          <w:tab w:pos="9136" w:val="left" w:leader="none"/>
          <w:tab w:pos="10280" w:val="left" w:leader="none"/>
        </w:tabs>
        <w:spacing w:before="117"/>
        <w:ind w:left="2151" w:right="0" w:firstLine="0"/>
        <w:jc w:val="left"/>
        <w:rPr>
          <w:sz w:val="18"/>
        </w:rPr>
      </w:pPr>
      <w:r>
        <w:rPr>
          <w:color w:val="636466"/>
          <w:spacing w:val="-2"/>
          <w:sz w:val="18"/>
        </w:rPr>
        <w:t>Chemung</w:t>
      </w:r>
      <w:r>
        <w:rPr>
          <w:color w:val="636466"/>
          <w:sz w:val="18"/>
        </w:rPr>
        <w:tab/>
      </w:r>
      <w:r>
        <w:rPr>
          <w:color w:val="636466"/>
          <w:spacing w:val="-2"/>
          <w:sz w:val="18"/>
        </w:rPr>
        <w:t>Livingston</w:t>
      </w:r>
      <w:r>
        <w:rPr>
          <w:color w:val="636466"/>
          <w:sz w:val="18"/>
        </w:rPr>
        <w:tab/>
      </w:r>
      <w:r>
        <w:rPr>
          <w:color w:val="636466"/>
          <w:spacing w:val="-2"/>
          <w:sz w:val="18"/>
        </w:rPr>
        <w:t>Ontario</w:t>
      </w:r>
      <w:r>
        <w:rPr>
          <w:color w:val="636466"/>
          <w:sz w:val="18"/>
        </w:rPr>
        <w:tab/>
      </w:r>
      <w:r>
        <w:rPr>
          <w:color w:val="636466"/>
          <w:spacing w:val="-2"/>
          <w:sz w:val="18"/>
        </w:rPr>
        <w:t>Schuyler</w:t>
      </w:r>
      <w:r>
        <w:rPr>
          <w:color w:val="636466"/>
          <w:sz w:val="18"/>
        </w:rPr>
        <w:tab/>
      </w:r>
      <w:r>
        <w:rPr>
          <w:color w:val="636466"/>
          <w:spacing w:val="-2"/>
          <w:sz w:val="18"/>
        </w:rPr>
        <w:t>Seneca</w:t>
      </w:r>
      <w:r>
        <w:rPr>
          <w:color w:val="636466"/>
          <w:sz w:val="18"/>
        </w:rPr>
        <w:tab/>
      </w:r>
      <w:r>
        <w:rPr>
          <w:color w:val="636466"/>
          <w:spacing w:val="-2"/>
          <w:sz w:val="18"/>
        </w:rPr>
        <w:t>Steuben</w:t>
      </w:r>
      <w:r>
        <w:rPr>
          <w:color w:val="636466"/>
          <w:sz w:val="18"/>
        </w:rPr>
        <w:tab/>
      </w:r>
      <w:r>
        <w:rPr>
          <w:color w:val="636466"/>
          <w:spacing w:val="-2"/>
          <w:sz w:val="18"/>
        </w:rPr>
        <w:t>Wayne</w:t>
      </w:r>
      <w:r>
        <w:rPr>
          <w:color w:val="636466"/>
          <w:sz w:val="18"/>
        </w:rPr>
        <w:tab/>
      </w:r>
      <w:r>
        <w:rPr>
          <w:color w:val="636466"/>
          <w:spacing w:val="-2"/>
          <w:sz w:val="18"/>
        </w:rPr>
        <w:t>Yates</w:t>
      </w:r>
    </w:p>
    <w:p>
      <w:pPr>
        <w:pStyle w:val="BodyText"/>
        <w:spacing w:before="10"/>
        <w:rPr>
          <w:sz w:val="18"/>
        </w:rPr>
      </w:pPr>
    </w:p>
    <w:p>
      <w:pPr>
        <w:spacing w:before="0"/>
        <w:ind w:left="2162" w:right="0" w:firstLine="0"/>
        <w:jc w:val="left"/>
        <w:rPr>
          <w:sz w:val="16"/>
        </w:rPr>
      </w:pPr>
      <w:r>
        <w:rPr>
          <w:color w:val="105C84"/>
          <w:sz w:val="16"/>
        </w:rPr>
        <w:t>Data</w:t>
      </w:r>
      <w:r>
        <w:rPr>
          <w:color w:val="105C84"/>
          <w:spacing w:val="-11"/>
          <w:sz w:val="16"/>
        </w:rPr>
        <w:t> </w:t>
      </w:r>
      <w:r>
        <w:rPr>
          <w:color w:val="105C84"/>
          <w:sz w:val="16"/>
        </w:rPr>
        <w:t>Source:</w:t>
      </w:r>
      <w:r>
        <w:rPr>
          <w:color w:val="105C84"/>
          <w:spacing w:val="-11"/>
          <w:sz w:val="16"/>
        </w:rPr>
        <w:t> </w:t>
      </w:r>
      <w:r>
        <w:rPr>
          <w:color w:val="105C84"/>
          <w:sz w:val="16"/>
        </w:rPr>
        <w:t>Prevention</w:t>
      </w:r>
      <w:r>
        <w:rPr>
          <w:color w:val="105C84"/>
          <w:spacing w:val="-11"/>
          <w:sz w:val="16"/>
        </w:rPr>
        <w:t> </w:t>
      </w:r>
      <w:r>
        <w:rPr>
          <w:color w:val="105C84"/>
          <w:sz w:val="16"/>
        </w:rPr>
        <w:t>Agenda,</w:t>
      </w:r>
      <w:r>
        <w:rPr>
          <w:color w:val="105C84"/>
          <w:spacing w:val="-10"/>
          <w:sz w:val="16"/>
        </w:rPr>
        <w:t> </w:t>
      </w:r>
      <w:r>
        <w:rPr>
          <w:color w:val="105C84"/>
          <w:spacing w:val="-4"/>
          <w:sz w:val="16"/>
        </w:rPr>
        <w:t>2016</w:t>
      </w:r>
    </w:p>
    <w:p>
      <w:pPr>
        <w:spacing w:after="0"/>
        <w:jc w:val="left"/>
        <w:rPr>
          <w:sz w:val="16"/>
        </w:rPr>
        <w:sectPr>
          <w:type w:val="continuous"/>
          <w:pgSz w:w="24480" w:h="15840" w:orient="landscape"/>
          <w:pgMar w:header="0" w:footer="0" w:top="0" w:bottom="280" w:left="0" w:right="720"/>
          <w:cols w:num="2" w:equalWidth="0">
            <w:col w:w="11114" w:space="1140"/>
            <w:col w:w="11506"/>
          </w:cols>
        </w:sectPr>
      </w:pPr>
    </w:p>
    <w:p>
      <w:pPr>
        <w:tabs>
          <w:tab w:pos="13356" w:val="left" w:leader="none"/>
          <w:tab w:pos="23454" w:val="right" w:leader="none"/>
        </w:tabs>
        <w:spacing w:before="204"/>
        <w:ind w:left="1058" w:right="0" w:firstLine="0"/>
        <w:jc w:val="left"/>
        <w:rPr>
          <w:b/>
          <w:sz w:val="26"/>
        </w:rPr>
      </w:pPr>
      <w:r>
        <w:rPr>
          <w:b/>
          <w:sz w:val="26"/>
        </w:rPr>
        <w:drawing>
          <wp:anchor distT="0" distB="0" distL="0" distR="0" allowOverlap="1" layoutInCell="1" locked="0" behindDoc="0" simplePos="0" relativeHeight="15759872">
            <wp:simplePos x="0" y="0"/>
            <wp:positionH relativeFrom="page">
              <wp:posOffset>14981556</wp:posOffset>
            </wp:positionH>
            <wp:positionV relativeFrom="page">
              <wp:posOffset>9668103</wp:posOffset>
            </wp:positionV>
            <wp:extent cx="563245" cy="184683"/>
            <wp:effectExtent l="0" t="0" r="0" b="0"/>
            <wp:wrapNone/>
            <wp:docPr id="315" name="Image 315"/>
            <wp:cNvGraphicFramePr>
              <a:graphicFrameLocks/>
            </wp:cNvGraphicFramePr>
            <a:graphic>
              <a:graphicData uri="http://schemas.openxmlformats.org/drawingml/2006/picture">
                <pic:pic>
                  <pic:nvPicPr>
                    <pic:cNvPr id="315" name="Image 315"/>
                    <pic:cNvPicPr/>
                  </pic:nvPicPr>
                  <pic:blipFill>
                    <a:blip r:embed="rId38" cstate="print"/>
                    <a:stretch>
                      <a:fillRect/>
                    </a:stretch>
                  </pic:blipFill>
                  <pic:spPr>
                    <a:xfrm>
                      <a:off x="0" y="0"/>
                      <a:ext cx="563245" cy="184683"/>
                    </a:xfrm>
                    <a:prstGeom prst="rect">
                      <a:avLst/>
                    </a:prstGeom>
                  </pic:spPr>
                </pic:pic>
              </a:graphicData>
            </a:graphic>
          </wp:anchor>
        </w:drawing>
      </w:r>
      <w:r>
        <w:rPr>
          <w:b/>
          <w:sz w:val="26"/>
        </w:rPr>
        <w:drawing>
          <wp:anchor distT="0" distB="0" distL="0" distR="0" allowOverlap="1" layoutInCell="1" locked="0" behindDoc="0" simplePos="0" relativeHeight="15760384">
            <wp:simplePos x="0" y="0"/>
            <wp:positionH relativeFrom="page">
              <wp:posOffset>0</wp:posOffset>
            </wp:positionH>
            <wp:positionV relativeFrom="paragraph">
              <wp:posOffset>131384</wp:posOffset>
            </wp:positionV>
            <wp:extent cx="568172" cy="184683"/>
            <wp:effectExtent l="0" t="0" r="0" b="0"/>
            <wp:wrapNone/>
            <wp:docPr id="316" name="Image 316"/>
            <wp:cNvGraphicFramePr>
              <a:graphicFrameLocks/>
            </wp:cNvGraphicFramePr>
            <a:graphic>
              <a:graphicData uri="http://schemas.openxmlformats.org/drawingml/2006/picture">
                <pic:pic>
                  <pic:nvPicPr>
                    <pic:cNvPr id="316" name="Image 316"/>
                    <pic:cNvPicPr/>
                  </pic:nvPicPr>
                  <pic:blipFill>
                    <a:blip r:embed="rId39" cstate="print"/>
                    <a:stretch>
                      <a:fillRect/>
                    </a:stretch>
                  </pic:blipFill>
                  <pic:spPr>
                    <a:xfrm>
                      <a:off x="0" y="0"/>
                      <a:ext cx="568172" cy="184683"/>
                    </a:xfrm>
                    <a:prstGeom prst="rect">
                      <a:avLst/>
                    </a:prstGeom>
                  </pic:spPr>
                </pic:pic>
              </a:graphicData>
            </a:graphic>
          </wp:anchor>
        </w:drawing>
      </w:r>
      <w:r>
        <w:rPr>
          <w:b/>
          <w:color w:val="939598"/>
          <w:spacing w:val="-5"/>
          <w:sz w:val="26"/>
        </w:rPr>
        <w:t>25</w:t>
      </w:r>
      <w:r>
        <w:rPr>
          <w:b/>
          <w:color w:val="939598"/>
          <w:sz w:val="26"/>
        </w:rPr>
        <w:tab/>
      </w:r>
      <w:r>
        <w:rPr>
          <w:color w:val="636466"/>
          <w:spacing w:val="-2"/>
          <w:sz w:val="14"/>
        </w:rPr>
        <w:t>8.</w:t>
      </w:r>
      <w:r>
        <w:rPr>
          <w:color w:val="636466"/>
          <w:spacing w:val="-3"/>
          <w:sz w:val="14"/>
        </w:rPr>
        <w:t> </w:t>
      </w:r>
      <w:r>
        <w:rPr>
          <w:color w:val="636466"/>
          <w:spacing w:val="-2"/>
          <w:sz w:val="14"/>
        </w:rPr>
        <w:t>Source: NYS Prevention Agenda Dashboard</w:t>
      </w:r>
      <w:r>
        <w:rPr>
          <w:rFonts w:ascii="Times New Roman"/>
          <w:color w:val="636466"/>
          <w:sz w:val="14"/>
        </w:rPr>
        <w:tab/>
      </w:r>
      <w:r>
        <w:rPr>
          <w:b/>
          <w:color w:val="939598"/>
          <w:spacing w:val="-5"/>
          <w:sz w:val="26"/>
        </w:rPr>
        <w:t>26</w:t>
      </w:r>
    </w:p>
    <w:p>
      <w:pPr>
        <w:spacing w:after="0"/>
        <w:jc w:val="left"/>
        <w:rPr>
          <w:b/>
          <w:sz w:val="26"/>
        </w:rPr>
        <w:sectPr>
          <w:type w:val="continuous"/>
          <w:pgSz w:w="24480" w:h="15840" w:orient="landscape"/>
          <w:pgMar w:header="0" w:footer="0" w:top="0" w:bottom="280" w:left="0" w:right="720"/>
        </w:sectPr>
      </w:pPr>
    </w:p>
    <w:p>
      <w:pPr>
        <w:pStyle w:val="BodyText"/>
        <w:rPr>
          <w:b/>
          <w:sz w:val="20"/>
        </w:rPr>
      </w:pPr>
    </w:p>
    <w:p>
      <w:pPr>
        <w:pStyle w:val="BodyText"/>
        <w:spacing w:before="16"/>
        <w:rPr>
          <w:b/>
          <w:sz w:val="20"/>
        </w:rPr>
      </w:pPr>
    </w:p>
    <w:p>
      <w:pPr>
        <w:pStyle w:val="BodyText"/>
        <w:spacing w:after="0"/>
        <w:rPr>
          <w:b/>
          <w:sz w:val="20"/>
        </w:rPr>
        <w:sectPr>
          <w:pgSz w:w="24480" w:h="15840" w:orient="landscape"/>
          <w:pgMar w:header="0" w:footer="0" w:top="860" w:bottom="0" w:left="0" w:right="720"/>
        </w:sectPr>
      </w:pPr>
    </w:p>
    <w:p>
      <w:pPr>
        <w:pStyle w:val="BodyText"/>
        <w:spacing w:line="247" w:lineRule="auto" w:before="129"/>
        <w:ind w:left="1088" w:right="16"/>
      </w:pPr>
      <w:r>
        <w:rPr>
          <w:color w:val="105C84"/>
        </w:rPr>
        <w:t>Over</w:t>
      </w:r>
      <w:r>
        <w:rPr>
          <w:color w:val="105C84"/>
          <w:spacing w:val="24"/>
        </w:rPr>
        <w:t> </w:t>
      </w:r>
      <w:r>
        <w:rPr>
          <w:color w:val="105C84"/>
        </w:rPr>
        <w:t>22%</w:t>
      </w:r>
      <w:r>
        <w:rPr>
          <w:color w:val="105C84"/>
          <w:spacing w:val="24"/>
        </w:rPr>
        <w:t> </w:t>
      </w:r>
      <w:r>
        <w:rPr>
          <w:color w:val="105C84"/>
        </w:rPr>
        <w:t>of</w:t>
      </w:r>
      <w:r>
        <w:rPr>
          <w:color w:val="105C84"/>
          <w:spacing w:val="24"/>
        </w:rPr>
        <w:t> </w:t>
      </w:r>
      <w:r>
        <w:rPr>
          <w:color w:val="105C84"/>
        </w:rPr>
        <w:t>the</w:t>
      </w:r>
      <w:r>
        <w:rPr>
          <w:color w:val="105C84"/>
          <w:spacing w:val="24"/>
        </w:rPr>
        <w:t> </w:t>
      </w:r>
      <w:r>
        <w:rPr>
          <w:color w:val="105C84"/>
        </w:rPr>
        <w:t>regional</w:t>
      </w:r>
      <w:r>
        <w:rPr>
          <w:color w:val="105C84"/>
          <w:spacing w:val="24"/>
        </w:rPr>
        <w:t> </w:t>
      </w:r>
      <w:r>
        <w:rPr>
          <w:color w:val="105C84"/>
        </w:rPr>
        <w:t>population</w:t>
      </w:r>
      <w:r>
        <w:rPr>
          <w:color w:val="105C84"/>
          <w:spacing w:val="24"/>
        </w:rPr>
        <w:t> </w:t>
      </w:r>
      <w:r>
        <w:rPr>
          <w:color w:val="105C84"/>
        </w:rPr>
        <w:t>reported</w:t>
      </w:r>
      <w:r>
        <w:rPr>
          <w:color w:val="105C84"/>
          <w:spacing w:val="24"/>
        </w:rPr>
        <w:t> </w:t>
      </w:r>
      <w:r>
        <w:rPr>
          <w:color w:val="105C84"/>
        </w:rPr>
        <w:t>experiencing</w:t>
      </w:r>
      <w:r>
        <w:rPr>
          <w:color w:val="105C84"/>
          <w:spacing w:val="24"/>
        </w:rPr>
        <w:t> </w:t>
      </w:r>
      <w:r>
        <w:rPr>
          <w:color w:val="105C84"/>
        </w:rPr>
        <w:t>food</w:t>
      </w:r>
      <w:r>
        <w:rPr>
          <w:color w:val="105C84"/>
          <w:spacing w:val="24"/>
        </w:rPr>
        <w:t> </w:t>
      </w:r>
      <w:r>
        <w:rPr>
          <w:color w:val="105C84"/>
        </w:rPr>
        <w:t>insecurity</w:t>
      </w:r>
      <w:r>
        <w:rPr>
          <w:color w:val="105C84"/>
          <w:spacing w:val="24"/>
        </w:rPr>
        <w:t> </w:t>
      </w:r>
      <w:r>
        <w:rPr>
          <w:color w:val="105C84"/>
        </w:rPr>
        <w:t>in</w:t>
      </w:r>
      <w:r>
        <w:rPr>
          <w:color w:val="105C84"/>
          <w:spacing w:val="24"/>
        </w:rPr>
        <w:t> </w:t>
      </w:r>
      <w:r>
        <w:rPr>
          <w:color w:val="105C84"/>
        </w:rPr>
        <w:t>the</w:t>
      </w:r>
      <w:r>
        <w:rPr>
          <w:color w:val="105C84"/>
          <w:spacing w:val="24"/>
        </w:rPr>
        <w:t> </w:t>
      </w:r>
      <w:r>
        <w:rPr>
          <w:color w:val="105C84"/>
        </w:rPr>
        <w:t>past</w:t>
      </w:r>
      <w:r>
        <w:rPr>
          <w:color w:val="105C84"/>
          <w:spacing w:val="24"/>
        </w:rPr>
        <w:t> </w:t>
      </w:r>
      <w:r>
        <w:rPr>
          <w:color w:val="105C84"/>
        </w:rPr>
        <w:t>12</w:t>
      </w:r>
      <w:r>
        <w:rPr>
          <w:color w:val="105C84"/>
          <w:spacing w:val="24"/>
        </w:rPr>
        <w:t> </w:t>
      </w:r>
      <w:r>
        <w:rPr>
          <w:color w:val="105C84"/>
        </w:rPr>
        <w:t>months. Of note, 14% of </w:t>
      </w:r>
      <w:r>
        <w:rPr>
          <w:i/>
          <w:color w:val="105C84"/>
        </w:rPr>
        <w:t>My Health Story 2018 </w:t>
      </w:r>
      <w:r>
        <w:rPr>
          <w:color w:val="105C84"/>
        </w:rPr>
        <w:t>respondents reported they are always stressed about having enough money to afford healthy food. Map 4 shows the food insecurity rates by census tract in the eight county region. Higher rates of food insecurity are found in previously identified low income</w:t>
      </w:r>
      <w:r>
        <w:rPr>
          <w:color w:val="105C84"/>
          <w:spacing w:val="80"/>
          <w:w w:val="150"/>
        </w:rPr>
        <w:t> </w:t>
      </w:r>
      <w:r>
        <w:rPr>
          <w:color w:val="105C84"/>
        </w:rPr>
        <w:t>areas such as Geneva, Mount Morris and Elmira. In addition, Steuben County has the highest reported</w:t>
      </w:r>
      <w:r>
        <w:rPr>
          <w:color w:val="105C84"/>
          <w:spacing w:val="40"/>
        </w:rPr>
        <w:t> </w:t>
      </w:r>
      <w:r>
        <w:rPr>
          <w:color w:val="105C84"/>
        </w:rPr>
        <w:t>food</w:t>
      </w:r>
      <w:r>
        <w:rPr>
          <w:color w:val="105C84"/>
          <w:spacing w:val="40"/>
        </w:rPr>
        <w:t> </w:t>
      </w:r>
      <w:r>
        <w:rPr>
          <w:color w:val="105C84"/>
        </w:rPr>
        <w:t>insecurity</w:t>
      </w:r>
      <w:r>
        <w:rPr>
          <w:color w:val="105C84"/>
          <w:spacing w:val="40"/>
        </w:rPr>
        <w:t> </w:t>
      </w:r>
      <w:r>
        <w:rPr>
          <w:color w:val="105C84"/>
        </w:rPr>
        <w:t>rate</w:t>
      </w:r>
      <w:r>
        <w:rPr>
          <w:color w:val="105C84"/>
          <w:spacing w:val="40"/>
        </w:rPr>
        <w:t> </w:t>
      </w:r>
      <w:r>
        <w:rPr>
          <w:color w:val="105C84"/>
        </w:rPr>
        <w:t>with</w:t>
      </w:r>
      <w:r>
        <w:rPr>
          <w:color w:val="105C84"/>
          <w:spacing w:val="40"/>
        </w:rPr>
        <w:t> </w:t>
      </w:r>
      <w:r>
        <w:rPr>
          <w:color w:val="105C84"/>
        </w:rPr>
        <w:t>insecurity</w:t>
      </w:r>
      <w:r>
        <w:rPr>
          <w:color w:val="105C84"/>
          <w:spacing w:val="40"/>
        </w:rPr>
        <w:t> </w:t>
      </w:r>
      <w:r>
        <w:rPr>
          <w:color w:val="105C84"/>
        </w:rPr>
        <w:t>noted</w:t>
      </w:r>
      <w:r>
        <w:rPr>
          <w:color w:val="105C84"/>
          <w:spacing w:val="40"/>
        </w:rPr>
        <w:t> </w:t>
      </w:r>
      <w:r>
        <w:rPr>
          <w:color w:val="105C84"/>
        </w:rPr>
        <w:t>in</w:t>
      </w:r>
      <w:r>
        <w:rPr>
          <w:color w:val="105C84"/>
          <w:spacing w:val="40"/>
        </w:rPr>
        <w:t> </w:t>
      </w:r>
      <w:r>
        <w:rPr>
          <w:color w:val="105C84"/>
        </w:rPr>
        <w:t>communities</w:t>
      </w:r>
      <w:r>
        <w:rPr>
          <w:color w:val="105C84"/>
          <w:spacing w:val="40"/>
        </w:rPr>
        <w:t> </w:t>
      </w:r>
      <w:r>
        <w:rPr>
          <w:color w:val="105C84"/>
        </w:rPr>
        <w:t>throughout</w:t>
      </w:r>
      <w:r>
        <w:rPr>
          <w:color w:val="105C84"/>
          <w:spacing w:val="40"/>
        </w:rPr>
        <w:t> </w:t>
      </w:r>
      <w:r>
        <w:rPr>
          <w:color w:val="105C84"/>
        </w:rPr>
        <w:t>the</w:t>
      </w:r>
      <w:r>
        <w:rPr>
          <w:color w:val="105C84"/>
          <w:spacing w:val="40"/>
        </w:rPr>
        <w:t> </w:t>
      </w:r>
      <w:r>
        <w:rPr>
          <w:color w:val="105C84"/>
        </w:rPr>
        <w:t>county.</w:t>
      </w:r>
    </w:p>
    <w:p>
      <w:pPr>
        <w:pStyle w:val="BodyText"/>
        <w:spacing w:before="16"/>
      </w:pPr>
    </w:p>
    <w:p>
      <w:pPr>
        <w:pStyle w:val="Heading6"/>
        <w:ind w:left="1088"/>
      </w:pPr>
      <w:r>
        <w:rPr>
          <w:color w:val="105C84"/>
          <w:spacing w:val="-4"/>
        </w:rPr>
        <w:t>MAP</w:t>
      </w:r>
      <w:r>
        <w:rPr>
          <w:color w:val="105C84"/>
          <w:spacing w:val="-9"/>
        </w:rPr>
        <w:t> </w:t>
      </w:r>
      <w:r>
        <w:rPr>
          <w:color w:val="105C84"/>
          <w:spacing w:val="-4"/>
        </w:rPr>
        <w:t>4:</w:t>
      </w:r>
      <w:r>
        <w:rPr>
          <w:color w:val="105C84"/>
          <w:spacing w:val="-8"/>
        </w:rPr>
        <w:t> </w:t>
      </w:r>
      <w:r>
        <w:rPr>
          <w:color w:val="105C84"/>
          <w:spacing w:val="-4"/>
        </w:rPr>
        <w:t>Food</w:t>
      </w:r>
      <w:r>
        <w:rPr>
          <w:color w:val="105C84"/>
          <w:spacing w:val="-8"/>
        </w:rPr>
        <w:t> </w:t>
      </w:r>
      <w:r>
        <w:rPr>
          <w:color w:val="105C84"/>
          <w:spacing w:val="-4"/>
        </w:rPr>
        <w:t>insecurity</w:t>
      </w:r>
      <w:r>
        <w:rPr>
          <w:color w:val="105C84"/>
          <w:spacing w:val="-8"/>
        </w:rPr>
        <w:t> </w:t>
      </w:r>
      <w:r>
        <w:rPr>
          <w:color w:val="105C84"/>
          <w:spacing w:val="-4"/>
        </w:rPr>
        <w:t>rate</w:t>
      </w:r>
      <w:r>
        <w:rPr>
          <w:color w:val="105C84"/>
          <w:spacing w:val="-8"/>
        </w:rPr>
        <w:t> </w:t>
      </w:r>
      <w:r>
        <w:rPr>
          <w:color w:val="105C84"/>
          <w:spacing w:val="-4"/>
        </w:rPr>
        <w:t>by</w:t>
      </w:r>
      <w:r>
        <w:rPr>
          <w:color w:val="105C84"/>
          <w:spacing w:val="-8"/>
        </w:rPr>
        <w:t> </w:t>
      </w:r>
      <w:r>
        <w:rPr>
          <w:color w:val="105C84"/>
          <w:spacing w:val="-4"/>
        </w:rPr>
        <w:t>census</w:t>
      </w:r>
      <w:r>
        <w:rPr>
          <w:color w:val="105C84"/>
          <w:spacing w:val="-9"/>
        </w:rPr>
        <w:t> </w:t>
      </w:r>
      <w:r>
        <w:rPr>
          <w:color w:val="105C84"/>
          <w:spacing w:val="-4"/>
        </w:rPr>
        <w:t>tract</w:t>
      </w:r>
    </w:p>
    <w:p>
      <w:pPr>
        <w:pStyle w:val="BodyText"/>
        <w:spacing w:line="247" w:lineRule="auto" w:before="113"/>
        <w:ind w:left="1088" w:right="503"/>
      </w:pPr>
      <w:r>
        <w:rPr/>
        <w:br w:type="column"/>
      </w:r>
      <w:r>
        <w:rPr>
          <w:color w:val="105C84"/>
        </w:rPr>
        <w:t>Falls in the 65+ population are another indicator of environmental health and safety. In the eight</w:t>
      </w:r>
      <w:r>
        <w:rPr>
          <w:color w:val="105C84"/>
          <w:spacing w:val="40"/>
        </w:rPr>
        <w:t> </w:t>
      </w:r>
      <w:r>
        <w:rPr>
          <w:color w:val="105C84"/>
        </w:rPr>
        <w:t>county region, an average of 30% of residents aged 65+ have fallen in the past year though the rate varies by county (Figure 10). The results of falls in the elderly can be devastating. These may include death, decreased life expectancy, chronic pain, loss of mobility and resultant loss of independence. Several counties in the region have partnered with their Office for the Aging to offer evidence-based</w:t>
      </w:r>
      <w:r>
        <w:rPr>
          <w:color w:val="105C84"/>
          <w:spacing w:val="80"/>
        </w:rPr>
        <w:t> </w:t>
      </w:r>
      <w:r>
        <w:rPr>
          <w:color w:val="105C84"/>
        </w:rPr>
        <w:t>classes on fall prevention.</w:t>
      </w:r>
    </w:p>
    <w:p>
      <w:pPr>
        <w:pStyle w:val="BodyText"/>
        <w:spacing w:before="106"/>
      </w:pPr>
    </w:p>
    <w:p>
      <w:pPr>
        <w:pStyle w:val="Heading6"/>
        <w:ind w:left="1088"/>
      </w:pPr>
      <w:r>
        <w:rPr>
          <w:color w:val="105C84"/>
        </w:rPr>
        <w:t>FIGURE</w:t>
      </w:r>
      <w:r>
        <w:rPr>
          <w:color w:val="105C84"/>
          <w:spacing w:val="-13"/>
        </w:rPr>
        <w:t> </w:t>
      </w:r>
      <w:r>
        <w:rPr>
          <w:color w:val="105C84"/>
        </w:rPr>
        <w:t>10:</w:t>
      </w:r>
      <w:r>
        <w:rPr>
          <w:color w:val="105C84"/>
          <w:spacing w:val="-13"/>
        </w:rPr>
        <w:t> </w:t>
      </w:r>
      <w:r>
        <w:rPr>
          <w:color w:val="105C84"/>
        </w:rPr>
        <w:t>Reported</w:t>
      </w:r>
      <w:r>
        <w:rPr>
          <w:color w:val="105C84"/>
          <w:spacing w:val="-12"/>
        </w:rPr>
        <w:t> </w:t>
      </w:r>
      <w:r>
        <w:rPr>
          <w:color w:val="105C84"/>
        </w:rPr>
        <w:t>falls</w:t>
      </w:r>
      <w:r>
        <w:rPr>
          <w:color w:val="105C84"/>
          <w:spacing w:val="-13"/>
        </w:rPr>
        <w:t> </w:t>
      </w:r>
      <w:r>
        <w:rPr>
          <w:color w:val="105C84"/>
        </w:rPr>
        <w:t>in</w:t>
      </w:r>
      <w:r>
        <w:rPr>
          <w:color w:val="105C84"/>
          <w:spacing w:val="-13"/>
        </w:rPr>
        <w:t> </w:t>
      </w:r>
      <w:r>
        <w:rPr>
          <w:color w:val="105C84"/>
        </w:rPr>
        <w:t>65+</w:t>
      </w:r>
      <w:r>
        <w:rPr>
          <w:color w:val="105C84"/>
          <w:spacing w:val="-12"/>
        </w:rPr>
        <w:t> </w:t>
      </w:r>
      <w:r>
        <w:rPr>
          <w:color w:val="105C84"/>
          <w:spacing w:val="-2"/>
        </w:rPr>
        <w:t>population</w:t>
      </w:r>
    </w:p>
    <w:p>
      <w:pPr>
        <w:pStyle w:val="Heading6"/>
        <w:spacing w:after="0"/>
        <w:sectPr>
          <w:type w:val="continuous"/>
          <w:pgSz w:w="24480" w:h="15840" w:orient="landscape"/>
          <w:pgMar w:header="0" w:footer="0" w:top="0" w:bottom="280" w:left="0" w:right="720"/>
          <w:cols w:num="2" w:equalWidth="0">
            <w:col w:w="10917" w:space="1314"/>
            <w:col w:w="11529"/>
          </w:cols>
        </w:sectPr>
      </w:pPr>
    </w:p>
    <w:p>
      <w:pPr>
        <w:pStyle w:val="BodyText"/>
        <w:rPr>
          <w:b/>
          <w:sz w:val="18"/>
        </w:rPr>
      </w:pPr>
    </w:p>
    <w:p>
      <w:pPr>
        <w:pStyle w:val="BodyText"/>
        <w:rPr>
          <w:b/>
          <w:sz w:val="18"/>
        </w:rPr>
      </w:pPr>
    </w:p>
    <w:p>
      <w:pPr>
        <w:pStyle w:val="BodyText"/>
        <w:spacing w:before="2"/>
        <w:rPr>
          <w:b/>
          <w:sz w:val="18"/>
        </w:rPr>
      </w:pPr>
    </w:p>
    <w:p>
      <w:pPr>
        <w:spacing w:before="0"/>
        <w:ind w:left="4159" w:right="0" w:firstLine="0"/>
        <w:jc w:val="center"/>
        <w:rPr>
          <w:sz w:val="18"/>
        </w:rPr>
      </w:pPr>
      <w:r>
        <w:rPr>
          <w:sz w:val="18"/>
        </w:rPr>
        <mc:AlternateContent>
          <mc:Choice Requires="wps">
            <w:drawing>
              <wp:anchor distT="0" distB="0" distL="0" distR="0" allowOverlap="1" layoutInCell="1" locked="0" behindDoc="0" simplePos="0" relativeHeight="15763968">
                <wp:simplePos x="0" y="0"/>
                <wp:positionH relativeFrom="page">
                  <wp:posOffset>9088531</wp:posOffset>
                </wp:positionH>
                <wp:positionV relativeFrom="paragraph">
                  <wp:posOffset>4820</wp:posOffset>
                </wp:positionV>
                <wp:extent cx="5188585" cy="2001520"/>
                <wp:effectExtent l="0" t="0" r="0" b="0"/>
                <wp:wrapNone/>
                <wp:docPr id="317" name="Group 317"/>
                <wp:cNvGraphicFramePr>
                  <a:graphicFrameLocks/>
                </wp:cNvGraphicFramePr>
                <a:graphic>
                  <a:graphicData uri="http://schemas.microsoft.com/office/word/2010/wordprocessingGroup">
                    <wpg:wgp>
                      <wpg:cNvPr id="317" name="Group 317"/>
                      <wpg:cNvGrpSpPr/>
                      <wpg:grpSpPr>
                        <a:xfrm>
                          <a:off x="0" y="0"/>
                          <a:ext cx="5188585" cy="2001520"/>
                          <a:chExt cx="5188585" cy="2001520"/>
                        </a:xfrm>
                      </wpg:grpSpPr>
                      <wps:wsp>
                        <wps:cNvPr id="318" name="Graphic 318"/>
                        <wps:cNvSpPr/>
                        <wps:spPr>
                          <a:xfrm>
                            <a:off x="225826" y="636117"/>
                            <a:ext cx="4953000" cy="1333500"/>
                          </a:xfrm>
                          <a:custGeom>
                            <a:avLst/>
                            <a:gdLst/>
                            <a:ahLst/>
                            <a:cxnLst/>
                            <a:rect l="l" t="t" r="r" b="b"/>
                            <a:pathLst>
                              <a:path w="4953000" h="1333500">
                                <a:moveTo>
                                  <a:pt x="215900" y="355600"/>
                                </a:moveTo>
                                <a:lnTo>
                                  <a:pt x="0" y="355600"/>
                                </a:lnTo>
                                <a:lnTo>
                                  <a:pt x="0" y="1333500"/>
                                </a:lnTo>
                                <a:lnTo>
                                  <a:pt x="215900" y="1333500"/>
                                </a:lnTo>
                                <a:lnTo>
                                  <a:pt x="215900" y="355600"/>
                                </a:lnTo>
                                <a:close/>
                              </a:path>
                              <a:path w="4953000" h="1333500">
                                <a:moveTo>
                                  <a:pt x="889000" y="342900"/>
                                </a:moveTo>
                                <a:lnTo>
                                  <a:pt x="685800" y="342900"/>
                                </a:lnTo>
                                <a:lnTo>
                                  <a:pt x="685800" y="1333500"/>
                                </a:lnTo>
                                <a:lnTo>
                                  <a:pt x="889000" y="1333500"/>
                                </a:lnTo>
                                <a:lnTo>
                                  <a:pt x="889000" y="342900"/>
                                </a:lnTo>
                                <a:close/>
                              </a:path>
                              <a:path w="4953000" h="1333500">
                                <a:moveTo>
                                  <a:pt x="1574800" y="660400"/>
                                </a:moveTo>
                                <a:lnTo>
                                  <a:pt x="1358900" y="660400"/>
                                </a:lnTo>
                                <a:lnTo>
                                  <a:pt x="1358900" y="1333500"/>
                                </a:lnTo>
                                <a:lnTo>
                                  <a:pt x="1574800" y="1333500"/>
                                </a:lnTo>
                                <a:lnTo>
                                  <a:pt x="1574800" y="660400"/>
                                </a:lnTo>
                                <a:close/>
                              </a:path>
                              <a:path w="4953000" h="1333500">
                                <a:moveTo>
                                  <a:pt x="2247900" y="0"/>
                                </a:moveTo>
                                <a:lnTo>
                                  <a:pt x="2032000" y="0"/>
                                </a:lnTo>
                                <a:lnTo>
                                  <a:pt x="2032000" y="1333500"/>
                                </a:lnTo>
                                <a:lnTo>
                                  <a:pt x="2247900" y="1333500"/>
                                </a:lnTo>
                                <a:lnTo>
                                  <a:pt x="2247900" y="0"/>
                                </a:lnTo>
                                <a:close/>
                              </a:path>
                              <a:path w="4953000" h="1333500">
                                <a:moveTo>
                                  <a:pt x="2921000" y="177800"/>
                                </a:moveTo>
                                <a:lnTo>
                                  <a:pt x="2705100" y="177800"/>
                                </a:lnTo>
                                <a:lnTo>
                                  <a:pt x="2705100" y="1333500"/>
                                </a:lnTo>
                                <a:lnTo>
                                  <a:pt x="2921000" y="1333500"/>
                                </a:lnTo>
                                <a:lnTo>
                                  <a:pt x="2921000" y="177800"/>
                                </a:lnTo>
                                <a:close/>
                              </a:path>
                              <a:path w="4953000" h="1333500">
                                <a:moveTo>
                                  <a:pt x="3594100" y="152400"/>
                                </a:moveTo>
                                <a:lnTo>
                                  <a:pt x="3390900" y="152400"/>
                                </a:lnTo>
                                <a:lnTo>
                                  <a:pt x="3390900" y="1333500"/>
                                </a:lnTo>
                                <a:lnTo>
                                  <a:pt x="3594100" y="1333500"/>
                                </a:lnTo>
                                <a:lnTo>
                                  <a:pt x="3594100" y="152400"/>
                                </a:lnTo>
                                <a:close/>
                              </a:path>
                              <a:path w="4953000" h="1333500">
                                <a:moveTo>
                                  <a:pt x="4279900" y="457200"/>
                                </a:moveTo>
                                <a:lnTo>
                                  <a:pt x="4064000" y="457200"/>
                                </a:lnTo>
                                <a:lnTo>
                                  <a:pt x="4064000" y="1333500"/>
                                </a:lnTo>
                                <a:lnTo>
                                  <a:pt x="4279900" y="1333500"/>
                                </a:lnTo>
                                <a:lnTo>
                                  <a:pt x="4279900" y="457200"/>
                                </a:lnTo>
                                <a:close/>
                              </a:path>
                              <a:path w="4953000" h="1333500">
                                <a:moveTo>
                                  <a:pt x="4953000" y="368300"/>
                                </a:moveTo>
                                <a:lnTo>
                                  <a:pt x="4737100" y="368300"/>
                                </a:lnTo>
                                <a:lnTo>
                                  <a:pt x="4737100" y="1333500"/>
                                </a:lnTo>
                                <a:lnTo>
                                  <a:pt x="4953000" y="1333500"/>
                                </a:lnTo>
                                <a:lnTo>
                                  <a:pt x="4953000" y="368300"/>
                                </a:lnTo>
                                <a:close/>
                              </a:path>
                            </a:pathLst>
                          </a:custGeom>
                          <a:solidFill>
                            <a:srgbClr val="0F5D86"/>
                          </a:solidFill>
                        </wps:spPr>
                        <wps:bodyPr wrap="square" lIns="0" tIns="0" rIns="0" bIns="0" rtlCol="0">
                          <a:prstTxWarp prst="textNoShape">
                            <a:avLst/>
                          </a:prstTxWarp>
                          <a:noAutofit/>
                        </wps:bodyPr>
                      </wps:wsp>
                      <wps:wsp>
                        <wps:cNvPr id="319" name="Graphic 319"/>
                        <wps:cNvSpPr/>
                        <wps:spPr>
                          <a:xfrm>
                            <a:off x="306011" y="708329"/>
                            <a:ext cx="63500" cy="571500"/>
                          </a:xfrm>
                          <a:custGeom>
                            <a:avLst/>
                            <a:gdLst/>
                            <a:ahLst/>
                            <a:cxnLst/>
                            <a:rect l="l" t="t" r="r" b="b"/>
                            <a:pathLst>
                              <a:path w="63500" h="571500">
                                <a:moveTo>
                                  <a:pt x="32486" y="279399"/>
                                </a:moveTo>
                                <a:lnTo>
                                  <a:pt x="32486" y="571499"/>
                                </a:lnTo>
                              </a:path>
                              <a:path w="63500" h="571500">
                                <a:moveTo>
                                  <a:pt x="32486" y="279399"/>
                                </a:moveTo>
                                <a:lnTo>
                                  <a:pt x="32486" y="0"/>
                                </a:lnTo>
                              </a:path>
                              <a:path w="63500" h="571500">
                                <a:moveTo>
                                  <a:pt x="0" y="571499"/>
                                </a:moveTo>
                                <a:lnTo>
                                  <a:pt x="63499" y="571499"/>
                                </a:lnTo>
                              </a:path>
                              <a:path w="63500" h="571500">
                                <a:moveTo>
                                  <a:pt x="0" y="0"/>
                                </a:moveTo>
                                <a:lnTo>
                                  <a:pt x="63499" y="0"/>
                                </a:lnTo>
                              </a:path>
                            </a:pathLst>
                          </a:custGeom>
                          <a:ln w="9144">
                            <a:solidFill>
                              <a:srgbClr val="989A9C"/>
                            </a:solidFill>
                            <a:prstDash val="solid"/>
                          </a:ln>
                        </wps:spPr>
                        <wps:bodyPr wrap="square" lIns="0" tIns="0" rIns="0" bIns="0" rtlCol="0">
                          <a:prstTxWarp prst="textNoShape">
                            <a:avLst/>
                          </a:prstTxWarp>
                          <a:noAutofit/>
                        </wps:bodyPr>
                      </wps:wsp>
                      <wps:wsp>
                        <wps:cNvPr id="320" name="Graphic 320"/>
                        <wps:cNvSpPr/>
                        <wps:spPr>
                          <a:xfrm>
                            <a:off x="981469" y="629767"/>
                            <a:ext cx="63500" cy="701040"/>
                          </a:xfrm>
                          <a:custGeom>
                            <a:avLst/>
                            <a:gdLst/>
                            <a:ahLst/>
                            <a:cxnLst/>
                            <a:rect l="l" t="t" r="r" b="b"/>
                            <a:pathLst>
                              <a:path w="63500" h="701040">
                                <a:moveTo>
                                  <a:pt x="31013" y="357962"/>
                                </a:moveTo>
                                <a:lnTo>
                                  <a:pt x="31013" y="700862"/>
                                </a:lnTo>
                              </a:path>
                              <a:path w="63500" h="701040">
                                <a:moveTo>
                                  <a:pt x="31013" y="357962"/>
                                </a:moveTo>
                                <a:lnTo>
                                  <a:pt x="31013" y="2362"/>
                                </a:lnTo>
                              </a:path>
                              <a:path w="63500" h="701040">
                                <a:moveTo>
                                  <a:pt x="0" y="698499"/>
                                </a:moveTo>
                                <a:lnTo>
                                  <a:pt x="63500" y="698499"/>
                                </a:lnTo>
                              </a:path>
                              <a:path w="63500" h="701040">
                                <a:moveTo>
                                  <a:pt x="0" y="0"/>
                                </a:moveTo>
                                <a:lnTo>
                                  <a:pt x="63500" y="0"/>
                                </a:lnTo>
                              </a:path>
                            </a:pathLst>
                          </a:custGeom>
                          <a:ln w="9144">
                            <a:solidFill>
                              <a:srgbClr val="989A9C"/>
                            </a:solidFill>
                            <a:prstDash val="solid"/>
                          </a:ln>
                        </wps:spPr>
                        <wps:bodyPr wrap="square" lIns="0" tIns="0" rIns="0" bIns="0" rtlCol="0">
                          <a:prstTxWarp prst="textNoShape">
                            <a:avLst/>
                          </a:prstTxWarp>
                          <a:noAutofit/>
                        </wps:bodyPr>
                      </wps:wsp>
                      <wps:wsp>
                        <wps:cNvPr id="321" name="Graphic 321"/>
                        <wps:cNvSpPr/>
                        <wps:spPr>
                          <a:xfrm>
                            <a:off x="1667271" y="985367"/>
                            <a:ext cx="50800" cy="635000"/>
                          </a:xfrm>
                          <a:custGeom>
                            <a:avLst/>
                            <a:gdLst/>
                            <a:ahLst/>
                            <a:cxnLst/>
                            <a:rect l="l" t="t" r="r" b="b"/>
                            <a:pathLst>
                              <a:path w="50800" h="635000">
                                <a:moveTo>
                                  <a:pt x="25400" y="317500"/>
                                </a:moveTo>
                                <a:lnTo>
                                  <a:pt x="25400" y="635000"/>
                                </a:lnTo>
                              </a:path>
                              <a:path w="50800" h="635000">
                                <a:moveTo>
                                  <a:pt x="25400" y="317500"/>
                                </a:moveTo>
                                <a:lnTo>
                                  <a:pt x="25400" y="0"/>
                                </a:lnTo>
                              </a:path>
                              <a:path w="50800" h="635000">
                                <a:moveTo>
                                  <a:pt x="0" y="635000"/>
                                </a:moveTo>
                                <a:lnTo>
                                  <a:pt x="50800" y="635000"/>
                                </a:lnTo>
                              </a:path>
                              <a:path w="50800" h="635000">
                                <a:moveTo>
                                  <a:pt x="0" y="0"/>
                                </a:moveTo>
                                <a:lnTo>
                                  <a:pt x="50800" y="0"/>
                                </a:lnTo>
                              </a:path>
                            </a:pathLst>
                          </a:custGeom>
                          <a:ln w="9144">
                            <a:solidFill>
                              <a:srgbClr val="989A9C"/>
                            </a:solidFill>
                            <a:prstDash val="solid"/>
                          </a:ln>
                        </wps:spPr>
                        <wps:bodyPr wrap="square" lIns="0" tIns="0" rIns="0" bIns="0" rtlCol="0">
                          <a:prstTxWarp prst="textNoShape">
                            <a:avLst/>
                          </a:prstTxWarp>
                          <a:noAutofit/>
                        </wps:bodyPr>
                      </wps:wsp>
                      <wps:wsp>
                        <wps:cNvPr id="322" name="Graphic 322"/>
                        <wps:cNvSpPr/>
                        <wps:spPr>
                          <a:xfrm>
                            <a:off x="2340371" y="261468"/>
                            <a:ext cx="50800" cy="762000"/>
                          </a:xfrm>
                          <a:custGeom>
                            <a:avLst/>
                            <a:gdLst/>
                            <a:ahLst/>
                            <a:cxnLst/>
                            <a:rect l="l" t="t" r="r" b="b"/>
                            <a:pathLst>
                              <a:path w="50800" h="762000">
                                <a:moveTo>
                                  <a:pt x="25400" y="381000"/>
                                </a:moveTo>
                                <a:lnTo>
                                  <a:pt x="25400" y="762000"/>
                                </a:lnTo>
                              </a:path>
                              <a:path w="50800" h="762000">
                                <a:moveTo>
                                  <a:pt x="25400" y="381000"/>
                                </a:moveTo>
                                <a:lnTo>
                                  <a:pt x="25400" y="0"/>
                                </a:lnTo>
                              </a:path>
                              <a:path w="50800" h="762000">
                                <a:moveTo>
                                  <a:pt x="0" y="762000"/>
                                </a:moveTo>
                                <a:lnTo>
                                  <a:pt x="50800" y="762000"/>
                                </a:lnTo>
                              </a:path>
                              <a:path w="50800" h="762000">
                                <a:moveTo>
                                  <a:pt x="0" y="0"/>
                                </a:moveTo>
                                <a:lnTo>
                                  <a:pt x="50800" y="0"/>
                                </a:lnTo>
                              </a:path>
                            </a:pathLst>
                          </a:custGeom>
                          <a:ln w="9144">
                            <a:solidFill>
                              <a:srgbClr val="989A9C"/>
                            </a:solidFill>
                            <a:prstDash val="solid"/>
                          </a:ln>
                        </wps:spPr>
                        <wps:bodyPr wrap="square" lIns="0" tIns="0" rIns="0" bIns="0" rtlCol="0">
                          <a:prstTxWarp prst="textNoShape">
                            <a:avLst/>
                          </a:prstTxWarp>
                          <a:noAutofit/>
                        </wps:bodyPr>
                      </wps:wsp>
                      <wps:wsp>
                        <wps:cNvPr id="323" name="Graphic 323"/>
                        <wps:cNvSpPr/>
                        <wps:spPr>
                          <a:xfrm>
                            <a:off x="3015607" y="502768"/>
                            <a:ext cx="59690" cy="635000"/>
                          </a:xfrm>
                          <a:custGeom>
                            <a:avLst/>
                            <a:gdLst/>
                            <a:ahLst/>
                            <a:cxnLst/>
                            <a:rect l="l" t="t" r="r" b="b"/>
                            <a:pathLst>
                              <a:path w="59690" h="635000">
                                <a:moveTo>
                                  <a:pt x="30302" y="317500"/>
                                </a:moveTo>
                                <a:lnTo>
                                  <a:pt x="30302" y="635000"/>
                                </a:lnTo>
                              </a:path>
                              <a:path w="59690" h="635000">
                                <a:moveTo>
                                  <a:pt x="30302" y="317500"/>
                                </a:moveTo>
                                <a:lnTo>
                                  <a:pt x="30302" y="0"/>
                                </a:lnTo>
                              </a:path>
                              <a:path w="59690" h="635000">
                                <a:moveTo>
                                  <a:pt x="0" y="635000"/>
                                </a:moveTo>
                                <a:lnTo>
                                  <a:pt x="59232" y="635000"/>
                                </a:lnTo>
                              </a:path>
                              <a:path w="59690" h="635000">
                                <a:moveTo>
                                  <a:pt x="0" y="0"/>
                                </a:moveTo>
                                <a:lnTo>
                                  <a:pt x="59232" y="0"/>
                                </a:lnTo>
                              </a:path>
                            </a:pathLst>
                          </a:custGeom>
                          <a:ln w="9144">
                            <a:solidFill>
                              <a:srgbClr val="989A9C"/>
                            </a:solidFill>
                            <a:prstDash val="solid"/>
                          </a:ln>
                        </wps:spPr>
                        <wps:bodyPr wrap="square" lIns="0" tIns="0" rIns="0" bIns="0" rtlCol="0">
                          <a:prstTxWarp prst="textNoShape">
                            <a:avLst/>
                          </a:prstTxWarp>
                          <a:noAutofit/>
                        </wps:bodyPr>
                      </wps:wsp>
                      <wps:wsp>
                        <wps:cNvPr id="324" name="Graphic 324"/>
                        <wps:cNvSpPr/>
                        <wps:spPr>
                          <a:xfrm>
                            <a:off x="3693131" y="502768"/>
                            <a:ext cx="50800" cy="571500"/>
                          </a:xfrm>
                          <a:custGeom>
                            <a:avLst/>
                            <a:gdLst/>
                            <a:ahLst/>
                            <a:cxnLst/>
                            <a:rect l="l" t="t" r="r" b="b"/>
                            <a:pathLst>
                              <a:path w="50800" h="571500">
                                <a:moveTo>
                                  <a:pt x="24599" y="292100"/>
                                </a:moveTo>
                                <a:lnTo>
                                  <a:pt x="24599" y="571500"/>
                                </a:lnTo>
                              </a:path>
                              <a:path w="50800" h="571500">
                                <a:moveTo>
                                  <a:pt x="24599" y="292100"/>
                                </a:moveTo>
                                <a:lnTo>
                                  <a:pt x="24599" y="0"/>
                                </a:lnTo>
                              </a:path>
                              <a:path w="50800" h="571500">
                                <a:moveTo>
                                  <a:pt x="0" y="571500"/>
                                </a:moveTo>
                                <a:lnTo>
                                  <a:pt x="50368" y="571500"/>
                                </a:lnTo>
                              </a:path>
                              <a:path w="50800" h="571500">
                                <a:moveTo>
                                  <a:pt x="0" y="0"/>
                                </a:moveTo>
                                <a:lnTo>
                                  <a:pt x="50368" y="0"/>
                                </a:lnTo>
                              </a:path>
                            </a:pathLst>
                          </a:custGeom>
                          <a:ln w="9144">
                            <a:solidFill>
                              <a:srgbClr val="989A9C"/>
                            </a:solidFill>
                            <a:prstDash val="solid"/>
                          </a:ln>
                        </wps:spPr>
                        <wps:bodyPr wrap="square" lIns="0" tIns="0" rIns="0" bIns="0" rtlCol="0">
                          <a:prstTxWarp prst="textNoShape">
                            <a:avLst/>
                          </a:prstTxWarp>
                          <a:noAutofit/>
                        </wps:bodyPr>
                      </wps:wsp>
                      <wps:wsp>
                        <wps:cNvPr id="325" name="Graphic 325"/>
                        <wps:cNvSpPr/>
                        <wps:spPr>
                          <a:xfrm>
                            <a:off x="4372378" y="845667"/>
                            <a:ext cx="50800" cy="508000"/>
                          </a:xfrm>
                          <a:custGeom>
                            <a:avLst/>
                            <a:gdLst/>
                            <a:ahLst/>
                            <a:cxnLst/>
                            <a:rect l="l" t="t" r="r" b="b"/>
                            <a:pathLst>
                              <a:path w="50800" h="508000">
                                <a:moveTo>
                                  <a:pt x="25400" y="254000"/>
                                </a:moveTo>
                                <a:lnTo>
                                  <a:pt x="25400" y="508000"/>
                                </a:lnTo>
                              </a:path>
                              <a:path w="50800" h="508000">
                                <a:moveTo>
                                  <a:pt x="25400" y="254000"/>
                                </a:moveTo>
                                <a:lnTo>
                                  <a:pt x="25400" y="0"/>
                                </a:lnTo>
                              </a:path>
                              <a:path w="50800" h="508000">
                                <a:moveTo>
                                  <a:pt x="0" y="508000"/>
                                </a:moveTo>
                                <a:lnTo>
                                  <a:pt x="50800" y="508000"/>
                                </a:lnTo>
                              </a:path>
                              <a:path w="50800" h="508000">
                                <a:moveTo>
                                  <a:pt x="0" y="0"/>
                                </a:moveTo>
                                <a:lnTo>
                                  <a:pt x="50800" y="0"/>
                                </a:lnTo>
                              </a:path>
                            </a:pathLst>
                          </a:custGeom>
                          <a:ln w="9144">
                            <a:solidFill>
                              <a:srgbClr val="989A9C"/>
                            </a:solidFill>
                            <a:prstDash val="solid"/>
                          </a:ln>
                        </wps:spPr>
                        <wps:bodyPr wrap="square" lIns="0" tIns="0" rIns="0" bIns="0" rtlCol="0">
                          <a:prstTxWarp prst="textNoShape">
                            <a:avLst/>
                          </a:prstTxWarp>
                          <a:noAutofit/>
                        </wps:bodyPr>
                      </wps:wsp>
                      <wps:wsp>
                        <wps:cNvPr id="326" name="Graphic 326"/>
                        <wps:cNvSpPr/>
                        <wps:spPr>
                          <a:xfrm>
                            <a:off x="5045477" y="655167"/>
                            <a:ext cx="50800" cy="698500"/>
                          </a:xfrm>
                          <a:custGeom>
                            <a:avLst/>
                            <a:gdLst/>
                            <a:ahLst/>
                            <a:cxnLst/>
                            <a:rect l="l" t="t" r="r" b="b"/>
                            <a:pathLst>
                              <a:path w="50800" h="698500">
                                <a:moveTo>
                                  <a:pt x="25400" y="355600"/>
                                </a:moveTo>
                                <a:lnTo>
                                  <a:pt x="25400" y="698500"/>
                                </a:lnTo>
                              </a:path>
                              <a:path w="50800" h="698500">
                                <a:moveTo>
                                  <a:pt x="25400" y="355600"/>
                                </a:moveTo>
                                <a:lnTo>
                                  <a:pt x="25400" y="0"/>
                                </a:lnTo>
                              </a:path>
                              <a:path w="50800" h="698500">
                                <a:moveTo>
                                  <a:pt x="0" y="698500"/>
                                </a:moveTo>
                                <a:lnTo>
                                  <a:pt x="50800" y="698500"/>
                                </a:lnTo>
                              </a:path>
                              <a:path w="50800" h="698500">
                                <a:moveTo>
                                  <a:pt x="0" y="0"/>
                                </a:moveTo>
                                <a:lnTo>
                                  <a:pt x="50800" y="0"/>
                                </a:lnTo>
                              </a:path>
                            </a:pathLst>
                          </a:custGeom>
                          <a:ln w="9144">
                            <a:solidFill>
                              <a:srgbClr val="989A9C"/>
                            </a:solidFill>
                            <a:prstDash val="solid"/>
                          </a:ln>
                        </wps:spPr>
                        <wps:bodyPr wrap="square" lIns="0" tIns="0" rIns="0" bIns="0" rtlCol="0">
                          <a:prstTxWarp prst="textNoShape">
                            <a:avLst/>
                          </a:prstTxWarp>
                          <a:noAutofit/>
                        </wps:bodyPr>
                      </wps:wsp>
                      <wps:wsp>
                        <wps:cNvPr id="327" name="Graphic 327"/>
                        <wps:cNvSpPr/>
                        <wps:spPr>
                          <a:xfrm>
                            <a:off x="3568" y="3568"/>
                            <a:ext cx="5181600" cy="1972945"/>
                          </a:xfrm>
                          <a:custGeom>
                            <a:avLst/>
                            <a:gdLst/>
                            <a:ahLst/>
                            <a:cxnLst/>
                            <a:rect l="l" t="t" r="r" b="b"/>
                            <a:pathLst>
                              <a:path w="5181600" h="1972945">
                                <a:moveTo>
                                  <a:pt x="5181422" y="1972398"/>
                                </a:moveTo>
                                <a:lnTo>
                                  <a:pt x="0" y="1972398"/>
                                </a:lnTo>
                                <a:lnTo>
                                  <a:pt x="0" y="0"/>
                                </a:lnTo>
                              </a:path>
                            </a:pathLst>
                          </a:custGeom>
                          <a:ln w="7137">
                            <a:solidFill>
                              <a:srgbClr val="939598"/>
                            </a:solidFill>
                            <a:prstDash val="solid"/>
                          </a:ln>
                        </wps:spPr>
                        <wps:bodyPr wrap="square" lIns="0" tIns="0" rIns="0" bIns="0" rtlCol="0">
                          <a:prstTxWarp prst="textNoShape">
                            <a:avLst/>
                          </a:prstTxWarp>
                          <a:noAutofit/>
                        </wps:bodyPr>
                      </wps:wsp>
                      <wps:wsp>
                        <wps:cNvPr id="328" name="Graphic 328"/>
                        <wps:cNvSpPr/>
                        <wps:spPr>
                          <a:xfrm>
                            <a:off x="676671" y="1975967"/>
                            <a:ext cx="4051300" cy="25400"/>
                          </a:xfrm>
                          <a:custGeom>
                            <a:avLst/>
                            <a:gdLst/>
                            <a:ahLst/>
                            <a:cxnLst/>
                            <a:rect l="l" t="t" r="r" b="b"/>
                            <a:pathLst>
                              <a:path w="4051300" h="25400">
                                <a:moveTo>
                                  <a:pt x="0" y="0"/>
                                </a:moveTo>
                                <a:lnTo>
                                  <a:pt x="0" y="25400"/>
                                </a:lnTo>
                              </a:path>
                              <a:path w="4051300" h="25400">
                                <a:moveTo>
                                  <a:pt x="673100" y="0"/>
                                </a:moveTo>
                                <a:lnTo>
                                  <a:pt x="673100" y="25400"/>
                                </a:lnTo>
                              </a:path>
                              <a:path w="4051300" h="25400">
                                <a:moveTo>
                                  <a:pt x="1346200" y="0"/>
                                </a:moveTo>
                                <a:lnTo>
                                  <a:pt x="1346200" y="25400"/>
                                </a:lnTo>
                              </a:path>
                              <a:path w="4051300" h="25400">
                                <a:moveTo>
                                  <a:pt x="2032000" y="0"/>
                                </a:moveTo>
                                <a:lnTo>
                                  <a:pt x="2032000" y="25400"/>
                                </a:lnTo>
                              </a:path>
                              <a:path w="4051300" h="25400">
                                <a:moveTo>
                                  <a:pt x="2705100" y="0"/>
                                </a:moveTo>
                                <a:lnTo>
                                  <a:pt x="2705100" y="25400"/>
                                </a:lnTo>
                              </a:path>
                              <a:path w="4051300" h="25400">
                                <a:moveTo>
                                  <a:pt x="3378200" y="0"/>
                                </a:moveTo>
                                <a:lnTo>
                                  <a:pt x="3378200" y="25400"/>
                                </a:lnTo>
                              </a:path>
                              <a:path w="4051300" h="25400">
                                <a:moveTo>
                                  <a:pt x="4051300" y="0"/>
                                </a:moveTo>
                                <a:lnTo>
                                  <a:pt x="4051300" y="25400"/>
                                </a:lnTo>
                              </a:path>
                            </a:pathLst>
                          </a:custGeom>
                          <a:ln w="12700">
                            <a:solidFill>
                              <a:srgbClr val="E7E8E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15.632385pt;margin-top:.379572pt;width:408.55pt;height:157.6pt;mso-position-horizontal-relative:page;mso-position-vertical-relative:paragraph;z-index:15763968" id="docshapegroup273" coordorigin="14313,8" coordsize="8171,3152">
                <v:shape style="position:absolute;left:14668;top:1009;width:7800;height:2100" id="docshape274" coordorigin="14668,1009" coordsize="7800,2100" path="m15008,1569l14668,1569,14668,3109,15008,3109,15008,1569xm16068,1549l15748,1549,15748,3109,16068,3109,16068,1549xm17148,2049l16808,2049,16808,3109,17148,3109,17148,2049xm18208,1009l17868,1009,17868,3109,18208,3109,18208,1009xm19268,1289l18928,1289,18928,3109,19268,3109,19268,1289xm20328,1249l20008,1249,20008,3109,20328,3109,20328,1249xm21408,1729l21068,1729,21068,3109,21408,3109,21408,1729xm22468,1589l22128,1589,22128,3109,22468,3109,22468,1589xe" filled="true" fillcolor="#0f5d86" stroked="false">
                  <v:path arrowok="t"/>
                  <v:fill type="solid"/>
                </v:shape>
                <v:shape style="position:absolute;left:14794;top:1123;width:100;height:900" id="docshape275" coordorigin="14795,1123" coordsize="100,900" path="m14846,1563l14846,2023m14846,1563l14846,1123m14795,2023l14895,2023m14795,1123l14895,1123e" filled="false" stroked="true" strokeweight=".72pt" strokecolor="#989a9c">
                  <v:path arrowok="t"/>
                  <v:stroke dashstyle="solid"/>
                </v:shape>
                <v:shape style="position:absolute;left:15858;top:999;width:100;height:1104" id="docshape276" coordorigin="15858,999" coordsize="100,1104" path="m15907,1563l15907,2103m15907,1563l15907,1003m15858,2099l15958,2099m15858,999l15958,999e" filled="false" stroked="true" strokeweight=".72pt" strokecolor="#989a9c">
                  <v:path arrowok="t"/>
                  <v:stroke dashstyle="solid"/>
                </v:shape>
                <v:shape style="position:absolute;left:16938;top:1559;width:80;height:1000" id="docshape277" coordorigin="16938,1559" coordsize="80,1000" path="m16978,2059l16978,2559m16978,2059l16978,1559m16938,2559l17018,2559m16938,1559l17018,1559e" filled="false" stroked="true" strokeweight=".72pt" strokecolor="#989a9c">
                  <v:path arrowok="t"/>
                  <v:stroke dashstyle="solid"/>
                </v:shape>
                <v:shape style="position:absolute;left:17998;top:419;width:80;height:1200" id="docshape278" coordorigin="17998,419" coordsize="80,1200" path="m18038,1019l18038,1619m18038,1019l18038,419m17998,1619l18078,1619m17998,419l18078,419e" filled="false" stroked="true" strokeweight=".72pt" strokecolor="#989a9c">
                  <v:path arrowok="t"/>
                  <v:stroke dashstyle="solid"/>
                </v:shape>
                <v:shape style="position:absolute;left:19061;top:799;width:94;height:1000" id="docshape279" coordorigin="19062,799" coordsize="94,1000" path="m19109,1299l19109,1799m19109,1299l19109,799m19062,1799l19155,1799m19062,799l19155,799e" filled="false" stroked="true" strokeweight=".72pt" strokecolor="#989a9c">
                  <v:path arrowok="t"/>
                  <v:stroke dashstyle="solid"/>
                </v:shape>
                <v:shape style="position:absolute;left:20128;top:799;width:80;height:900" id="docshape280" coordorigin="20129,799" coordsize="80,900" path="m20167,1259l20167,1699m20167,1259l20167,799m20129,1699l20208,1699m20129,799l20208,799e" filled="false" stroked="true" strokeweight=".72pt" strokecolor="#989a9c">
                  <v:path arrowok="t"/>
                  <v:stroke dashstyle="solid"/>
                </v:shape>
                <v:shape style="position:absolute;left:21198;top:1339;width:80;height:800" id="docshape281" coordorigin="21198,1339" coordsize="80,800" path="m21238,1739l21238,2139m21238,1739l21238,1339m21198,2139l21278,2139m21198,1339l21278,1339e" filled="false" stroked="true" strokeweight=".72pt" strokecolor="#989a9c">
                  <v:path arrowok="t"/>
                  <v:stroke dashstyle="solid"/>
                </v:shape>
                <v:shape style="position:absolute;left:22258;top:1039;width:80;height:1100" id="docshape282" coordorigin="22258,1039" coordsize="80,1100" path="m22298,1599l22298,2139m22298,1599l22298,1039m22258,2139l22338,2139m22258,1039l22338,1039e" filled="false" stroked="true" strokeweight=".72pt" strokecolor="#989a9c">
                  <v:path arrowok="t"/>
                  <v:stroke dashstyle="solid"/>
                </v:shape>
                <v:shape style="position:absolute;left:14318;top:13;width:8160;height:3107" id="docshape283" coordorigin="14318,13" coordsize="8160,3107" path="m22478,3119l14318,3119,14318,13e" filled="false" stroked="true" strokeweight=".562pt" strokecolor="#939598">
                  <v:path arrowok="t"/>
                  <v:stroke dashstyle="solid"/>
                </v:shape>
                <v:shape style="position:absolute;left:15378;top:3119;width:6380;height:40" id="docshape284" coordorigin="15378,3119" coordsize="6380,40" path="m15378,3119l15378,3159m16438,3119l16438,3159m17498,3119l17498,3159m18578,3119l18578,3159m19638,3119l19638,3159m20698,3119l20698,3159m21758,3119l21758,3159e" filled="false" stroked="true" strokeweight="1pt" strokecolor="#e7e8e8">
                  <v:path arrowok="t"/>
                  <v:stroke dashstyle="solid"/>
                </v:shape>
                <w10:wrap type="none"/>
              </v:group>
            </w:pict>
          </mc:Fallback>
        </mc:AlternateContent>
      </w:r>
      <w:r>
        <w:rPr>
          <w:sz w:val="18"/>
        </w:rPr>
        <mc:AlternateContent>
          <mc:Choice Requires="wps">
            <w:drawing>
              <wp:anchor distT="0" distB="0" distL="0" distR="0" allowOverlap="1" layoutInCell="1" locked="0" behindDoc="0" simplePos="0" relativeHeight="15764480">
                <wp:simplePos x="0" y="0"/>
                <wp:positionH relativeFrom="page">
                  <wp:posOffset>676903</wp:posOffset>
                </wp:positionH>
                <wp:positionV relativeFrom="paragraph">
                  <wp:posOffset>-90971</wp:posOffset>
                </wp:positionV>
                <wp:extent cx="5538470" cy="5116830"/>
                <wp:effectExtent l="0" t="0" r="0" b="0"/>
                <wp:wrapNone/>
                <wp:docPr id="329" name="Group 329"/>
                <wp:cNvGraphicFramePr>
                  <a:graphicFrameLocks/>
                </wp:cNvGraphicFramePr>
                <a:graphic>
                  <a:graphicData uri="http://schemas.microsoft.com/office/word/2010/wordprocessingGroup">
                    <wpg:wgp>
                      <wpg:cNvPr id="329" name="Group 329"/>
                      <wpg:cNvGrpSpPr/>
                      <wpg:grpSpPr>
                        <a:xfrm>
                          <a:off x="0" y="0"/>
                          <a:ext cx="5538470" cy="5116830"/>
                          <a:chExt cx="5538470" cy="5116830"/>
                        </a:xfrm>
                      </wpg:grpSpPr>
                      <pic:pic>
                        <pic:nvPicPr>
                          <pic:cNvPr id="330" name="Image 330"/>
                          <pic:cNvPicPr/>
                        </pic:nvPicPr>
                        <pic:blipFill>
                          <a:blip r:embed="rId55" cstate="print"/>
                          <a:stretch>
                            <a:fillRect/>
                          </a:stretch>
                        </pic:blipFill>
                        <pic:spPr>
                          <a:xfrm>
                            <a:off x="0" y="0"/>
                            <a:ext cx="5538278" cy="5116606"/>
                          </a:xfrm>
                          <a:prstGeom prst="rect">
                            <a:avLst/>
                          </a:prstGeom>
                        </pic:spPr>
                      </pic:pic>
                      <wps:wsp>
                        <wps:cNvPr id="331" name="Textbox 331"/>
                        <wps:cNvSpPr txBox="1"/>
                        <wps:spPr>
                          <a:xfrm>
                            <a:off x="0" y="0"/>
                            <a:ext cx="5538470" cy="5116830"/>
                          </a:xfrm>
                          <a:prstGeom prst="rect">
                            <a:avLst/>
                          </a:prstGeom>
                        </wps:spPr>
                        <wps:txbx>
                          <w:txbxContent>
                            <w:p>
                              <w:pPr>
                                <w:spacing w:line="259" w:lineRule="auto" w:before="231"/>
                                <w:ind w:left="6568" w:right="47" w:firstLine="0"/>
                                <w:jc w:val="left"/>
                                <w:rPr>
                                  <w:sz w:val="21"/>
                                </w:rPr>
                              </w:pPr>
                              <w:r>
                                <w:rPr>
                                  <w:color w:val="636466"/>
                                  <w:sz w:val="21"/>
                                </w:rPr>
                                <w:t>Food insecurity </w:t>
                              </w:r>
                              <w:r>
                                <w:rPr>
                                  <w:color w:val="636466"/>
                                  <w:sz w:val="21"/>
                                </w:rPr>
                                <w:t>rate </w:t>
                              </w:r>
                              <w:r>
                                <w:rPr>
                                  <w:color w:val="636466"/>
                                  <w:w w:val="110"/>
                                  <w:sz w:val="21"/>
                                </w:rPr>
                                <w:t>(% of population)</w:t>
                              </w:r>
                            </w:p>
                            <w:p>
                              <w:pPr>
                                <w:spacing w:line="240" w:lineRule="auto" w:before="38"/>
                                <w:rPr>
                                  <w:sz w:val="21"/>
                                </w:rPr>
                              </w:pPr>
                            </w:p>
                            <w:p>
                              <w:pPr>
                                <w:spacing w:before="0"/>
                                <w:ind w:left="7219" w:right="0" w:firstLine="0"/>
                                <w:jc w:val="left"/>
                                <w:rPr>
                                  <w:sz w:val="18"/>
                                </w:rPr>
                              </w:pPr>
                              <w:r>
                                <w:rPr>
                                  <w:color w:val="636466"/>
                                  <w:sz w:val="18"/>
                                </w:rPr>
                                <w:t>less</w:t>
                              </w:r>
                              <w:r>
                                <w:rPr>
                                  <w:color w:val="636466"/>
                                  <w:spacing w:val="-10"/>
                                  <w:sz w:val="18"/>
                                </w:rPr>
                                <w:t> </w:t>
                              </w:r>
                              <w:r>
                                <w:rPr>
                                  <w:color w:val="636466"/>
                                  <w:sz w:val="18"/>
                                </w:rPr>
                                <w:t>than</w:t>
                              </w:r>
                              <w:r>
                                <w:rPr>
                                  <w:color w:val="636466"/>
                                  <w:spacing w:val="-9"/>
                                  <w:sz w:val="18"/>
                                </w:rPr>
                                <w:t> </w:t>
                              </w:r>
                              <w:r>
                                <w:rPr>
                                  <w:color w:val="636466"/>
                                  <w:spacing w:val="-5"/>
                                  <w:sz w:val="18"/>
                                </w:rPr>
                                <w:t>9%</w:t>
                              </w:r>
                            </w:p>
                            <w:p>
                              <w:pPr>
                                <w:spacing w:before="131"/>
                                <w:ind w:left="7219" w:right="0" w:firstLine="0"/>
                                <w:jc w:val="left"/>
                                <w:rPr>
                                  <w:sz w:val="18"/>
                                </w:rPr>
                              </w:pPr>
                              <w:r>
                                <w:rPr>
                                  <w:color w:val="636466"/>
                                  <w:spacing w:val="-2"/>
                                  <w:sz w:val="18"/>
                                </w:rPr>
                                <w:t>9-</w:t>
                              </w:r>
                              <w:r>
                                <w:rPr>
                                  <w:color w:val="636466"/>
                                  <w:spacing w:val="-5"/>
                                  <w:sz w:val="18"/>
                                </w:rPr>
                                <w:t>11%</w:t>
                              </w:r>
                            </w:p>
                            <w:p>
                              <w:pPr>
                                <w:spacing w:before="116"/>
                                <w:ind w:left="7219" w:right="0" w:firstLine="0"/>
                                <w:jc w:val="left"/>
                                <w:rPr>
                                  <w:sz w:val="18"/>
                                </w:rPr>
                              </w:pPr>
                              <w:r>
                                <w:rPr>
                                  <w:color w:val="636466"/>
                                  <w:spacing w:val="-2"/>
                                  <w:sz w:val="18"/>
                                </w:rPr>
                                <w:t>12-</w:t>
                              </w:r>
                              <w:r>
                                <w:rPr>
                                  <w:color w:val="636466"/>
                                  <w:spacing w:val="-5"/>
                                  <w:sz w:val="18"/>
                                </w:rPr>
                                <w:t>14%</w:t>
                              </w:r>
                            </w:p>
                            <w:p>
                              <w:pPr>
                                <w:spacing w:before="159"/>
                                <w:ind w:left="7219" w:right="0" w:firstLine="0"/>
                                <w:jc w:val="left"/>
                                <w:rPr>
                                  <w:sz w:val="18"/>
                                </w:rPr>
                              </w:pPr>
                              <w:r>
                                <w:rPr>
                                  <w:color w:val="636466"/>
                                  <w:spacing w:val="-2"/>
                                  <w:sz w:val="18"/>
                                </w:rPr>
                                <w:t>15-</w:t>
                              </w:r>
                              <w:r>
                                <w:rPr>
                                  <w:color w:val="636466"/>
                                  <w:spacing w:val="-5"/>
                                  <w:sz w:val="18"/>
                                </w:rPr>
                                <w:t>19%</w:t>
                              </w:r>
                            </w:p>
                            <w:p>
                              <w:pPr>
                                <w:spacing w:before="145"/>
                                <w:ind w:left="7219" w:right="0" w:firstLine="0"/>
                                <w:jc w:val="left"/>
                                <w:rPr>
                                  <w:sz w:val="18"/>
                                </w:rPr>
                              </w:pPr>
                              <w:r>
                                <w:rPr>
                                  <w:color w:val="636466"/>
                                  <w:spacing w:val="-4"/>
                                  <w:sz w:val="18"/>
                                </w:rPr>
                                <w:t>20%+</w:t>
                              </w:r>
                            </w:p>
                          </w:txbxContent>
                        </wps:txbx>
                        <wps:bodyPr wrap="square" lIns="0" tIns="0" rIns="0" bIns="0" rtlCol="0">
                          <a:noAutofit/>
                        </wps:bodyPr>
                      </wps:wsp>
                    </wpg:wgp>
                  </a:graphicData>
                </a:graphic>
              </wp:anchor>
            </w:drawing>
          </mc:Choice>
          <mc:Fallback>
            <w:pict>
              <v:group style="position:absolute;margin-left:53.2995pt;margin-top:-7.163128pt;width:436.1pt;height:402.9pt;mso-position-horizontal-relative:page;mso-position-vertical-relative:paragraph;z-index:15764480" id="docshapegroup285" coordorigin="1066,-143" coordsize="8722,8058">
                <v:shape style="position:absolute;left:1065;top:-144;width:8722;height:8058" type="#_x0000_t75" id="docshape286" stroked="false">
                  <v:imagedata r:id="rId55" o:title=""/>
                </v:shape>
                <v:shape style="position:absolute;left:1065;top:-144;width:8722;height:8058" type="#_x0000_t202" id="docshape287" filled="false" stroked="false">
                  <v:textbox inset="0,0,0,0">
                    <w:txbxContent>
                      <w:p>
                        <w:pPr>
                          <w:spacing w:line="259" w:lineRule="auto" w:before="231"/>
                          <w:ind w:left="6568" w:right="47" w:firstLine="0"/>
                          <w:jc w:val="left"/>
                          <w:rPr>
                            <w:sz w:val="21"/>
                          </w:rPr>
                        </w:pPr>
                        <w:r>
                          <w:rPr>
                            <w:color w:val="636466"/>
                            <w:sz w:val="21"/>
                          </w:rPr>
                          <w:t>Food insecurity </w:t>
                        </w:r>
                        <w:r>
                          <w:rPr>
                            <w:color w:val="636466"/>
                            <w:sz w:val="21"/>
                          </w:rPr>
                          <w:t>rate </w:t>
                        </w:r>
                        <w:r>
                          <w:rPr>
                            <w:color w:val="636466"/>
                            <w:w w:val="110"/>
                            <w:sz w:val="21"/>
                          </w:rPr>
                          <w:t>(% of population)</w:t>
                        </w:r>
                      </w:p>
                      <w:p>
                        <w:pPr>
                          <w:spacing w:line="240" w:lineRule="auto" w:before="38"/>
                          <w:rPr>
                            <w:sz w:val="21"/>
                          </w:rPr>
                        </w:pPr>
                      </w:p>
                      <w:p>
                        <w:pPr>
                          <w:spacing w:before="0"/>
                          <w:ind w:left="7219" w:right="0" w:firstLine="0"/>
                          <w:jc w:val="left"/>
                          <w:rPr>
                            <w:sz w:val="18"/>
                          </w:rPr>
                        </w:pPr>
                        <w:r>
                          <w:rPr>
                            <w:color w:val="636466"/>
                            <w:sz w:val="18"/>
                          </w:rPr>
                          <w:t>less</w:t>
                        </w:r>
                        <w:r>
                          <w:rPr>
                            <w:color w:val="636466"/>
                            <w:spacing w:val="-10"/>
                            <w:sz w:val="18"/>
                          </w:rPr>
                          <w:t> </w:t>
                        </w:r>
                        <w:r>
                          <w:rPr>
                            <w:color w:val="636466"/>
                            <w:sz w:val="18"/>
                          </w:rPr>
                          <w:t>than</w:t>
                        </w:r>
                        <w:r>
                          <w:rPr>
                            <w:color w:val="636466"/>
                            <w:spacing w:val="-9"/>
                            <w:sz w:val="18"/>
                          </w:rPr>
                          <w:t> </w:t>
                        </w:r>
                        <w:r>
                          <w:rPr>
                            <w:color w:val="636466"/>
                            <w:spacing w:val="-5"/>
                            <w:sz w:val="18"/>
                          </w:rPr>
                          <w:t>9%</w:t>
                        </w:r>
                      </w:p>
                      <w:p>
                        <w:pPr>
                          <w:spacing w:before="131"/>
                          <w:ind w:left="7219" w:right="0" w:firstLine="0"/>
                          <w:jc w:val="left"/>
                          <w:rPr>
                            <w:sz w:val="18"/>
                          </w:rPr>
                        </w:pPr>
                        <w:r>
                          <w:rPr>
                            <w:color w:val="636466"/>
                            <w:spacing w:val="-2"/>
                            <w:sz w:val="18"/>
                          </w:rPr>
                          <w:t>9-</w:t>
                        </w:r>
                        <w:r>
                          <w:rPr>
                            <w:color w:val="636466"/>
                            <w:spacing w:val="-5"/>
                            <w:sz w:val="18"/>
                          </w:rPr>
                          <w:t>11%</w:t>
                        </w:r>
                      </w:p>
                      <w:p>
                        <w:pPr>
                          <w:spacing w:before="116"/>
                          <w:ind w:left="7219" w:right="0" w:firstLine="0"/>
                          <w:jc w:val="left"/>
                          <w:rPr>
                            <w:sz w:val="18"/>
                          </w:rPr>
                        </w:pPr>
                        <w:r>
                          <w:rPr>
                            <w:color w:val="636466"/>
                            <w:spacing w:val="-2"/>
                            <w:sz w:val="18"/>
                          </w:rPr>
                          <w:t>12-</w:t>
                        </w:r>
                        <w:r>
                          <w:rPr>
                            <w:color w:val="636466"/>
                            <w:spacing w:val="-5"/>
                            <w:sz w:val="18"/>
                          </w:rPr>
                          <w:t>14%</w:t>
                        </w:r>
                      </w:p>
                      <w:p>
                        <w:pPr>
                          <w:spacing w:before="159"/>
                          <w:ind w:left="7219" w:right="0" w:firstLine="0"/>
                          <w:jc w:val="left"/>
                          <w:rPr>
                            <w:sz w:val="18"/>
                          </w:rPr>
                        </w:pPr>
                        <w:r>
                          <w:rPr>
                            <w:color w:val="636466"/>
                            <w:spacing w:val="-2"/>
                            <w:sz w:val="18"/>
                          </w:rPr>
                          <w:t>15-</w:t>
                        </w:r>
                        <w:r>
                          <w:rPr>
                            <w:color w:val="636466"/>
                            <w:spacing w:val="-5"/>
                            <w:sz w:val="18"/>
                          </w:rPr>
                          <w:t>19%</w:t>
                        </w:r>
                      </w:p>
                      <w:p>
                        <w:pPr>
                          <w:spacing w:before="145"/>
                          <w:ind w:left="7219" w:right="0" w:firstLine="0"/>
                          <w:jc w:val="left"/>
                          <w:rPr>
                            <w:sz w:val="18"/>
                          </w:rPr>
                        </w:pPr>
                        <w:r>
                          <w:rPr>
                            <w:color w:val="636466"/>
                            <w:spacing w:val="-4"/>
                            <w:sz w:val="18"/>
                          </w:rPr>
                          <w:t>20%+</w:t>
                        </w:r>
                      </w:p>
                    </w:txbxContent>
                  </v:textbox>
                  <w10:wrap type="none"/>
                </v:shape>
                <w10:wrap type="none"/>
              </v:group>
            </w:pict>
          </mc:Fallback>
        </mc:AlternateContent>
      </w:r>
      <w:r>
        <w:rPr>
          <w:color w:val="636466"/>
          <w:spacing w:val="-5"/>
          <w:sz w:val="18"/>
        </w:rPr>
        <w:t>60%</w:t>
      </w:r>
    </w:p>
    <w:p>
      <w:pPr>
        <w:pStyle w:val="BodyText"/>
        <w:spacing w:before="86"/>
        <w:rPr>
          <w:sz w:val="18"/>
        </w:rPr>
      </w:pPr>
    </w:p>
    <w:p>
      <w:pPr>
        <w:spacing w:before="0"/>
        <w:ind w:left="4159" w:right="0" w:firstLine="0"/>
        <w:jc w:val="center"/>
        <w:rPr>
          <w:sz w:val="18"/>
        </w:rPr>
      </w:pPr>
      <w:r>
        <w:rPr>
          <w:sz w:val="18"/>
        </w:rPr>
        <mc:AlternateContent>
          <mc:Choice Requires="wps">
            <w:drawing>
              <wp:anchor distT="0" distB="0" distL="0" distR="0" allowOverlap="1" layoutInCell="1" locked="0" behindDoc="0" simplePos="0" relativeHeight="15764992">
                <wp:simplePos x="0" y="0"/>
                <wp:positionH relativeFrom="page">
                  <wp:posOffset>8457073</wp:posOffset>
                </wp:positionH>
                <wp:positionV relativeFrom="paragraph">
                  <wp:posOffset>3605</wp:posOffset>
                </wp:positionV>
                <wp:extent cx="164465" cy="1206500"/>
                <wp:effectExtent l="0" t="0" r="0" b="0"/>
                <wp:wrapNone/>
                <wp:docPr id="332" name="Textbox 332"/>
                <wp:cNvGraphicFramePr>
                  <a:graphicFrameLocks/>
                </wp:cNvGraphicFramePr>
                <a:graphic>
                  <a:graphicData uri="http://schemas.microsoft.com/office/word/2010/wordprocessingShape">
                    <wps:wsp>
                      <wps:cNvPr id="332" name="Textbox 332"/>
                      <wps:cNvSpPr txBox="1"/>
                      <wps:spPr>
                        <a:xfrm>
                          <a:off x="0" y="0"/>
                          <a:ext cx="164465" cy="1206500"/>
                        </a:xfrm>
                        <a:prstGeom prst="rect">
                          <a:avLst/>
                        </a:prstGeom>
                      </wps:spPr>
                      <wps:txbx>
                        <w:txbxContent>
                          <w:p>
                            <w:pPr>
                              <w:spacing w:before="30"/>
                              <w:ind w:left="20" w:right="0" w:firstLine="0"/>
                              <w:jc w:val="left"/>
                              <w:rPr>
                                <w:sz w:val="16"/>
                              </w:rPr>
                            </w:pPr>
                            <w:r>
                              <w:rPr>
                                <w:color w:val="105C84"/>
                                <w:sz w:val="16"/>
                              </w:rPr>
                              <w:t>Percent</w:t>
                            </w:r>
                            <w:r>
                              <w:rPr>
                                <w:color w:val="105C84"/>
                                <w:spacing w:val="-4"/>
                                <w:sz w:val="16"/>
                              </w:rPr>
                              <w:t> </w:t>
                            </w:r>
                            <w:r>
                              <w:rPr>
                                <w:color w:val="105C84"/>
                                <w:sz w:val="16"/>
                              </w:rPr>
                              <w:t>of</w:t>
                            </w:r>
                            <w:r>
                              <w:rPr>
                                <w:color w:val="105C84"/>
                                <w:spacing w:val="-5"/>
                                <w:sz w:val="16"/>
                              </w:rPr>
                              <w:t> </w:t>
                            </w:r>
                            <w:r>
                              <w:rPr>
                                <w:color w:val="105C84"/>
                                <w:sz w:val="16"/>
                              </w:rPr>
                              <w:t>65+</w:t>
                            </w:r>
                            <w:r>
                              <w:rPr>
                                <w:color w:val="105C84"/>
                                <w:spacing w:val="-4"/>
                                <w:sz w:val="16"/>
                              </w:rPr>
                              <w:t> </w:t>
                            </w:r>
                            <w:r>
                              <w:rPr>
                                <w:color w:val="105C84"/>
                                <w:spacing w:val="-2"/>
                                <w:sz w:val="16"/>
                              </w:rPr>
                              <w:t>population</w:t>
                            </w:r>
                          </w:p>
                        </w:txbxContent>
                      </wps:txbx>
                      <wps:bodyPr wrap="square" lIns="0" tIns="0" rIns="0" bIns="0" rtlCol="0" vert="vert270">
                        <a:noAutofit/>
                      </wps:bodyPr>
                    </wps:wsp>
                  </a:graphicData>
                </a:graphic>
              </wp:anchor>
            </w:drawing>
          </mc:Choice>
          <mc:Fallback>
            <w:pict>
              <v:shape style="position:absolute;margin-left:665.911316pt;margin-top:.283926pt;width:12.95pt;height:95pt;mso-position-horizontal-relative:page;mso-position-vertical-relative:paragraph;z-index:15764992" type="#_x0000_t202" id="docshape288" filled="false" stroked="false">
                <v:textbox inset="0,0,0,0" style="layout-flow:vertical;mso-layout-flow-alt:bottom-to-top">
                  <w:txbxContent>
                    <w:p>
                      <w:pPr>
                        <w:spacing w:before="30"/>
                        <w:ind w:left="20" w:right="0" w:firstLine="0"/>
                        <w:jc w:val="left"/>
                        <w:rPr>
                          <w:sz w:val="16"/>
                        </w:rPr>
                      </w:pPr>
                      <w:r>
                        <w:rPr>
                          <w:color w:val="105C84"/>
                          <w:sz w:val="16"/>
                        </w:rPr>
                        <w:t>Percent</w:t>
                      </w:r>
                      <w:r>
                        <w:rPr>
                          <w:color w:val="105C84"/>
                          <w:spacing w:val="-4"/>
                          <w:sz w:val="16"/>
                        </w:rPr>
                        <w:t> </w:t>
                      </w:r>
                      <w:r>
                        <w:rPr>
                          <w:color w:val="105C84"/>
                          <w:sz w:val="16"/>
                        </w:rPr>
                        <w:t>of</w:t>
                      </w:r>
                      <w:r>
                        <w:rPr>
                          <w:color w:val="105C84"/>
                          <w:spacing w:val="-5"/>
                          <w:sz w:val="16"/>
                        </w:rPr>
                        <w:t> </w:t>
                      </w:r>
                      <w:r>
                        <w:rPr>
                          <w:color w:val="105C84"/>
                          <w:sz w:val="16"/>
                        </w:rPr>
                        <w:t>65+</w:t>
                      </w:r>
                      <w:r>
                        <w:rPr>
                          <w:color w:val="105C84"/>
                          <w:spacing w:val="-4"/>
                          <w:sz w:val="16"/>
                        </w:rPr>
                        <w:t> </w:t>
                      </w:r>
                      <w:r>
                        <w:rPr>
                          <w:color w:val="105C84"/>
                          <w:spacing w:val="-2"/>
                          <w:sz w:val="16"/>
                        </w:rPr>
                        <w:t>population</w:t>
                      </w:r>
                    </w:p>
                  </w:txbxContent>
                </v:textbox>
                <w10:wrap type="none"/>
              </v:shape>
            </w:pict>
          </mc:Fallback>
        </mc:AlternateContent>
      </w:r>
      <w:r>
        <w:rPr>
          <w:color w:val="636466"/>
          <w:spacing w:val="-5"/>
          <w:sz w:val="18"/>
        </w:rPr>
        <w:t>50%</w:t>
      </w:r>
    </w:p>
    <w:p>
      <w:pPr>
        <w:pStyle w:val="BodyText"/>
        <w:spacing w:before="86"/>
        <w:rPr>
          <w:sz w:val="18"/>
        </w:rPr>
      </w:pPr>
    </w:p>
    <w:p>
      <w:pPr>
        <w:spacing w:before="0"/>
        <w:ind w:left="4159" w:right="0" w:firstLine="0"/>
        <w:jc w:val="center"/>
        <w:rPr>
          <w:sz w:val="18"/>
        </w:rPr>
      </w:pPr>
      <w:r>
        <w:rPr>
          <w:color w:val="636466"/>
          <w:spacing w:val="-5"/>
          <w:sz w:val="18"/>
        </w:rPr>
        <w:t>40%</w:t>
      </w:r>
    </w:p>
    <w:p>
      <w:pPr>
        <w:pStyle w:val="BodyText"/>
        <w:spacing w:before="86"/>
        <w:rPr>
          <w:sz w:val="18"/>
        </w:rPr>
      </w:pPr>
    </w:p>
    <w:p>
      <w:pPr>
        <w:spacing w:before="0"/>
        <w:ind w:left="4159" w:right="0" w:firstLine="0"/>
        <w:jc w:val="center"/>
        <w:rPr>
          <w:sz w:val="18"/>
        </w:rPr>
      </w:pPr>
      <w:r>
        <w:rPr>
          <w:color w:val="636466"/>
          <w:spacing w:val="-5"/>
          <w:sz w:val="18"/>
        </w:rPr>
        <w:t>30%</w:t>
      </w:r>
    </w:p>
    <w:p>
      <w:pPr>
        <w:pStyle w:val="BodyText"/>
        <w:spacing w:before="86"/>
        <w:rPr>
          <w:sz w:val="18"/>
        </w:rPr>
      </w:pPr>
    </w:p>
    <w:p>
      <w:pPr>
        <w:spacing w:before="0"/>
        <w:ind w:left="4159" w:right="0" w:firstLine="0"/>
        <w:jc w:val="center"/>
        <w:rPr>
          <w:sz w:val="18"/>
        </w:rPr>
      </w:pPr>
      <w:r>
        <w:rPr>
          <w:color w:val="636466"/>
          <w:spacing w:val="-5"/>
          <w:sz w:val="18"/>
        </w:rPr>
        <w:t>20%</w:t>
      </w:r>
    </w:p>
    <w:p>
      <w:pPr>
        <w:pStyle w:val="BodyText"/>
        <w:spacing w:before="9"/>
        <w:rPr>
          <w:sz w:val="15"/>
        </w:rPr>
      </w:pPr>
    </w:p>
    <w:p>
      <w:pPr>
        <w:pStyle w:val="BodyText"/>
        <w:spacing w:after="0"/>
        <w:rPr>
          <w:sz w:val="15"/>
        </w:rPr>
        <w:sectPr>
          <w:type w:val="continuous"/>
          <w:pgSz w:w="24480" w:h="15840" w:orient="landscape"/>
          <w:pgMar w:header="0" w:footer="0" w:top="0" w:bottom="280" w:left="0" w:right="720"/>
        </w:sectPr>
      </w:pPr>
    </w:p>
    <w:p>
      <w:pPr>
        <w:spacing w:before="112"/>
        <w:ind w:left="0" w:right="31" w:firstLine="0"/>
        <w:jc w:val="right"/>
        <w:rPr>
          <w:sz w:val="18"/>
        </w:rPr>
      </w:pPr>
      <w:r>
        <w:rPr>
          <w:color w:val="636466"/>
          <w:spacing w:val="-5"/>
          <w:sz w:val="18"/>
        </w:rPr>
        <w:t>10%</w:t>
      </w:r>
    </w:p>
    <w:p>
      <w:pPr>
        <w:pStyle w:val="BodyText"/>
        <w:spacing w:before="86"/>
        <w:rPr>
          <w:sz w:val="18"/>
        </w:rPr>
      </w:pPr>
    </w:p>
    <w:p>
      <w:pPr>
        <w:spacing w:before="0"/>
        <w:ind w:left="0" w:right="0" w:firstLine="0"/>
        <w:jc w:val="right"/>
        <w:rPr>
          <w:sz w:val="18"/>
        </w:rPr>
      </w:pPr>
      <w:r>
        <w:rPr>
          <w:color w:val="636466"/>
          <w:spacing w:val="-5"/>
          <w:sz w:val="18"/>
        </w:rPr>
        <w:t>0%</w:t>
      </w:r>
    </w:p>
    <w:p>
      <w:pPr>
        <w:pStyle w:val="BodyText"/>
        <w:rPr>
          <w:sz w:val="18"/>
        </w:rPr>
      </w:pPr>
      <w:r>
        <w:rPr/>
        <w:br w:type="column"/>
      </w:r>
      <w:r>
        <w:rPr>
          <w:sz w:val="18"/>
        </w:rPr>
      </w:r>
    </w:p>
    <w:p>
      <w:pPr>
        <w:pStyle w:val="BodyText"/>
        <w:rPr>
          <w:sz w:val="18"/>
        </w:rPr>
      </w:pPr>
    </w:p>
    <w:p>
      <w:pPr>
        <w:pStyle w:val="BodyText"/>
        <w:spacing w:before="191"/>
        <w:rPr>
          <w:sz w:val="18"/>
        </w:rPr>
      </w:pPr>
    </w:p>
    <w:p>
      <w:pPr>
        <w:tabs>
          <w:tab w:pos="1299" w:val="left" w:leader="none"/>
          <w:tab w:pos="2475" w:val="left" w:leader="none"/>
          <w:tab w:pos="3489" w:val="left" w:leader="none"/>
          <w:tab w:pos="4613" w:val="left" w:leader="none"/>
          <w:tab w:pos="5636" w:val="left" w:leader="none"/>
          <w:tab w:pos="6761" w:val="left" w:leader="none"/>
          <w:tab w:pos="7881" w:val="left" w:leader="none"/>
        </w:tabs>
        <w:spacing w:before="0"/>
        <w:ind w:left="260" w:right="0" w:firstLine="0"/>
        <w:jc w:val="left"/>
        <w:rPr>
          <w:sz w:val="18"/>
        </w:rPr>
      </w:pPr>
      <w:r>
        <w:rPr>
          <w:color w:val="636466"/>
          <w:spacing w:val="-2"/>
          <w:sz w:val="18"/>
        </w:rPr>
        <w:t>Chemung</w:t>
      </w:r>
      <w:r>
        <w:rPr>
          <w:color w:val="636466"/>
          <w:sz w:val="18"/>
        </w:rPr>
        <w:tab/>
      </w:r>
      <w:r>
        <w:rPr>
          <w:color w:val="636466"/>
          <w:spacing w:val="-2"/>
          <w:sz w:val="18"/>
        </w:rPr>
        <w:t>Livingston</w:t>
      </w:r>
      <w:r>
        <w:rPr>
          <w:color w:val="636466"/>
          <w:sz w:val="18"/>
        </w:rPr>
        <w:tab/>
      </w:r>
      <w:r>
        <w:rPr>
          <w:color w:val="636466"/>
          <w:spacing w:val="-2"/>
          <w:sz w:val="18"/>
        </w:rPr>
        <w:t>Ontario</w:t>
      </w:r>
      <w:r>
        <w:rPr>
          <w:color w:val="636466"/>
          <w:sz w:val="18"/>
        </w:rPr>
        <w:tab/>
      </w:r>
      <w:r>
        <w:rPr>
          <w:color w:val="636466"/>
          <w:spacing w:val="-2"/>
          <w:sz w:val="18"/>
        </w:rPr>
        <w:t>Schuyler</w:t>
      </w:r>
      <w:r>
        <w:rPr>
          <w:color w:val="636466"/>
          <w:sz w:val="18"/>
        </w:rPr>
        <w:tab/>
      </w:r>
      <w:r>
        <w:rPr>
          <w:color w:val="636466"/>
          <w:spacing w:val="-2"/>
          <w:sz w:val="18"/>
        </w:rPr>
        <w:t>Seneca</w:t>
      </w:r>
      <w:r>
        <w:rPr>
          <w:color w:val="636466"/>
          <w:sz w:val="18"/>
        </w:rPr>
        <w:tab/>
      </w:r>
      <w:r>
        <w:rPr>
          <w:color w:val="636466"/>
          <w:spacing w:val="-2"/>
          <w:sz w:val="18"/>
        </w:rPr>
        <w:t>Steuben</w:t>
      </w:r>
      <w:r>
        <w:rPr>
          <w:color w:val="636466"/>
          <w:sz w:val="18"/>
        </w:rPr>
        <w:tab/>
      </w:r>
      <w:r>
        <w:rPr>
          <w:color w:val="636466"/>
          <w:spacing w:val="-2"/>
          <w:sz w:val="18"/>
        </w:rPr>
        <w:t>Wayne</w:t>
      </w:r>
      <w:r>
        <w:rPr>
          <w:color w:val="636466"/>
          <w:sz w:val="18"/>
        </w:rPr>
        <w:tab/>
      </w:r>
      <w:r>
        <w:rPr>
          <w:color w:val="636466"/>
          <w:spacing w:val="-2"/>
          <w:sz w:val="18"/>
        </w:rPr>
        <w:t>Yates</w:t>
      </w:r>
    </w:p>
    <w:p>
      <w:pPr>
        <w:spacing w:after="0"/>
        <w:jc w:val="left"/>
        <w:rPr>
          <w:sz w:val="18"/>
        </w:rPr>
        <w:sectPr>
          <w:type w:val="continuous"/>
          <w:pgSz w:w="24480" w:h="15840" w:orient="landscape"/>
          <w:pgMar w:header="0" w:footer="0" w:top="0" w:bottom="280" w:left="0" w:right="720"/>
          <w:cols w:num="2" w:equalWidth="0">
            <w:col w:w="14161" w:space="40"/>
            <w:col w:w="9559"/>
          </w:cols>
        </w:sectPr>
      </w:pPr>
    </w:p>
    <w:p>
      <w:pPr>
        <w:pStyle w:val="BodyText"/>
        <w:spacing w:before="54"/>
        <w:rPr>
          <w:sz w:val="20"/>
        </w:rPr>
      </w:pPr>
    </w:p>
    <w:p>
      <w:pPr>
        <w:pStyle w:val="BodyText"/>
        <w:spacing w:after="0"/>
        <w:rPr>
          <w:sz w:val="20"/>
        </w:rPr>
        <w:sectPr>
          <w:type w:val="continuous"/>
          <w:pgSz w:w="24480" w:h="15840" w:orient="landscape"/>
          <w:pgMar w:header="0" w:footer="0" w:top="0" w:bottom="280" w:left="0" w:right="720"/>
        </w:sect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20"/>
        <w:rPr>
          <w:sz w:val="16"/>
        </w:rPr>
      </w:pPr>
    </w:p>
    <w:p>
      <w:pPr>
        <w:spacing w:line="235" w:lineRule="auto" w:before="1"/>
        <w:ind w:left="1080" w:right="38" w:firstLine="0"/>
        <w:jc w:val="left"/>
        <w:rPr>
          <w:sz w:val="16"/>
        </w:rPr>
      </w:pPr>
      <w:r>
        <w:rPr>
          <w:color w:val="0C5D86"/>
          <w:sz w:val="16"/>
        </w:rPr>
        <w:t>Data</w:t>
      </w:r>
      <w:r>
        <w:rPr>
          <w:color w:val="0C5D86"/>
          <w:spacing w:val="-6"/>
          <w:sz w:val="16"/>
        </w:rPr>
        <w:t> </w:t>
      </w:r>
      <w:r>
        <w:rPr>
          <w:color w:val="0C5D86"/>
          <w:sz w:val="16"/>
        </w:rPr>
        <w:t>Source:</w:t>
      </w:r>
      <w:r>
        <w:rPr>
          <w:color w:val="0C5D86"/>
          <w:spacing w:val="-6"/>
          <w:sz w:val="16"/>
        </w:rPr>
        <w:t> </w:t>
      </w:r>
      <w:r>
        <w:rPr>
          <w:color w:val="0C5D86"/>
          <w:sz w:val="16"/>
        </w:rPr>
        <w:t>Gundersen</w:t>
      </w:r>
      <w:r>
        <w:rPr>
          <w:color w:val="0C5D86"/>
          <w:spacing w:val="-6"/>
          <w:sz w:val="16"/>
        </w:rPr>
        <w:t> </w:t>
      </w:r>
      <w:r>
        <w:rPr>
          <w:color w:val="0C5D86"/>
          <w:sz w:val="16"/>
        </w:rPr>
        <w:t>C.,</w:t>
      </w:r>
      <w:r>
        <w:rPr>
          <w:color w:val="0C5D86"/>
          <w:spacing w:val="-6"/>
          <w:sz w:val="16"/>
        </w:rPr>
        <w:t> </w:t>
      </w:r>
      <w:r>
        <w:rPr>
          <w:color w:val="0C5D86"/>
          <w:sz w:val="16"/>
        </w:rPr>
        <w:t>Dewey</w:t>
      </w:r>
      <w:r>
        <w:rPr>
          <w:color w:val="0C5D86"/>
          <w:spacing w:val="-6"/>
          <w:sz w:val="16"/>
        </w:rPr>
        <w:t> </w:t>
      </w:r>
      <w:r>
        <w:rPr>
          <w:color w:val="0C5D86"/>
          <w:sz w:val="16"/>
        </w:rPr>
        <w:t>A,</w:t>
      </w:r>
      <w:r>
        <w:rPr>
          <w:color w:val="0C5D86"/>
          <w:spacing w:val="-6"/>
          <w:sz w:val="16"/>
        </w:rPr>
        <w:t> </w:t>
      </w:r>
      <w:r>
        <w:rPr>
          <w:color w:val="0C5D86"/>
          <w:sz w:val="16"/>
        </w:rPr>
        <w:t>Crumbaugh</w:t>
      </w:r>
      <w:r>
        <w:rPr>
          <w:color w:val="0C5D86"/>
          <w:spacing w:val="-6"/>
          <w:sz w:val="16"/>
        </w:rPr>
        <w:t> </w:t>
      </w:r>
      <w:r>
        <w:rPr>
          <w:color w:val="0C5D86"/>
          <w:sz w:val="16"/>
        </w:rPr>
        <w:t>AS,</w:t>
      </w:r>
      <w:r>
        <w:rPr>
          <w:color w:val="0C5D86"/>
          <w:spacing w:val="-6"/>
          <w:sz w:val="16"/>
        </w:rPr>
        <w:t> </w:t>
      </w:r>
      <w:r>
        <w:rPr>
          <w:color w:val="0C5D86"/>
          <w:sz w:val="16"/>
        </w:rPr>
        <w:t>Kato</w:t>
      </w:r>
      <w:r>
        <w:rPr>
          <w:color w:val="0C5D86"/>
          <w:spacing w:val="-6"/>
          <w:sz w:val="16"/>
        </w:rPr>
        <w:t> </w:t>
      </w:r>
      <w:r>
        <w:rPr>
          <w:color w:val="0C5D86"/>
          <w:sz w:val="16"/>
        </w:rPr>
        <w:t>M</w:t>
      </w:r>
      <w:r>
        <w:rPr>
          <w:color w:val="0C5D86"/>
          <w:spacing w:val="-6"/>
          <w:sz w:val="16"/>
        </w:rPr>
        <w:t> </w:t>
      </w:r>
      <w:r>
        <w:rPr>
          <w:color w:val="0C5D86"/>
          <w:sz w:val="16"/>
        </w:rPr>
        <w:t>&amp;</w:t>
      </w:r>
      <w:r>
        <w:rPr>
          <w:color w:val="0C5D86"/>
          <w:spacing w:val="-6"/>
          <w:sz w:val="16"/>
        </w:rPr>
        <w:t> </w:t>
      </w:r>
      <w:r>
        <w:rPr>
          <w:color w:val="0C5D86"/>
          <w:sz w:val="16"/>
        </w:rPr>
        <w:t>Engelhard</w:t>
      </w:r>
      <w:r>
        <w:rPr>
          <w:color w:val="0C5D86"/>
          <w:spacing w:val="-6"/>
          <w:sz w:val="16"/>
        </w:rPr>
        <w:t> </w:t>
      </w:r>
      <w:r>
        <w:rPr>
          <w:color w:val="0C5D86"/>
          <w:sz w:val="16"/>
        </w:rPr>
        <w:t>E.</w:t>
      </w:r>
      <w:r>
        <w:rPr>
          <w:color w:val="0C5D86"/>
          <w:spacing w:val="-6"/>
          <w:sz w:val="16"/>
        </w:rPr>
        <w:t> </w:t>
      </w:r>
      <w:r>
        <w:rPr>
          <w:color w:val="0C5D86"/>
          <w:sz w:val="16"/>
        </w:rPr>
        <w:t>Map</w:t>
      </w:r>
      <w:r>
        <w:rPr>
          <w:color w:val="0C5D86"/>
          <w:spacing w:val="-6"/>
          <w:sz w:val="16"/>
        </w:rPr>
        <w:t> </w:t>
      </w:r>
      <w:r>
        <w:rPr>
          <w:color w:val="0C5D86"/>
          <w:sz w:val="16"/>
        </w:rPr>
        <w:t>the</w:t>
      </w:r>
      <w:r>
        <w:rPr>
          <w:color w:val="0C5D86"/>
          <w:spacing w:val="-6"/>
          <w:sz w:val="16"/>
        </w:rPr>
        <w:t> </w:t>
      </w:r>
      <w:r>
        <w:rPr>
          <w:color w:val="0C5D86"/>
          <w:sz w:val="16"/>
        </w:rPr>
        <w:t>Meal</w:t>
      </w:r>
      <w:r>
        <w:rPr>
          <w:color w:val="0C5D86"/>
          <w:spacing w:val="-6"/>
          <w:sz w:val="16"/>
        </w:rPr>
        <w:t> </w:t>
      </w:r>
      <w:r>
        <w:rPr>
          <w:color w:val="0C5D86"/>
          <w:sz w:val="16"/>
        </w:rPr>
        <w:t>Gap</w:t>
      </w:r>
      <w:r>
        <w:rPr>
          <w:color w:val="0C5D86"/>
          <w:spacing w:val="-6"/>
          <w:sz w:val="16"/>
        </w:rPr>
        <w:t> </w:t>
      </w:r>
      <w:r>
        <w:rPr>
          <w:color w:val="0C5D86"/>
          <w:sz w:val="16"/>
        </w:rPr>
        <w:t>2018:</w:t>
      </w:r>
      <w:r>
        <w:rPr>
          <w:color w:val="0C5D86"/>
          <w:spacing w:val="-6"/>
          <w:sz w:val="16"/>
        </w:rPr>
        <w:t> </w:t>
      </w:r>
      <w:r>
        <w:rPr>
          <w:color w:val="0C5D86"/>
          <w:sz w:val="16"/>
        </w:rPr>
        <w:t>A</w:t>
      </w:r>
      <w:r>
        <w:rPr>
          <w:color w:val="0C5D86"/>
          <w:spacing w:val="-6"/>
          <w:sz w:val="16"/>
        </w:rPr>
        <w:t> </w:t>
      </w:r>
      <w:r>
        <w:rPr>
          <w:color w:val="0C5D86"/>
          <w:sz w:val="16"/>
        </w:rPr>
        <w:t>Report</w:t>
      </w:r>
      <w:r>
        <w:rPr>
          <w:color w:val="0C5D86"/>
          <w:spacing w:val="-6"/>
          <w:sz w:val="16"/>
        </w:rPr>
        <w:t> </w:t>
      </w:r>
      <w:r>
        <w:rPr>
          <w:color w:val="0C5D86"/>
          <w:sz w:val="16"/>
        </w:rPr>
        <w:t>on</w:t>
      </w:r>
      <w:r>
        <w:rPr>
          <w:color w:val="0C5D86"/>
          <w:spacing w:val="-6"/>
          <w:sz w:val="16"/>
        </w:rPr>
        <w:t> </w:t>
      </w:r>
      <w:r>
        <w:rPr>
          <w:color w:val="0C5D86"/>
          <w:sz w:val="16"/>
        </w:rPr>
        <w:t>County</w:t>
      </w:r>
      <w:r>
        <w:rPr>
          <w:color w:val="0C5D86"/>
          <w:spacing w:val="-6"/>
          <w:sz w:val="16"/>
        </w:rPr>
        <w:t> </w:t>
      </w:r>
      <w:r>
        <w:rPr>
          <w:color w:val="0C5D86"/>
          <w:sz w:val="16"/>
        </w:rPr>
        <w:t>and Congressional District Food Insecurity and County Food Cost in the United States, 2016. Feeding America, 2018.</w:t>
      </w:r>
    </w:p>
    <w:p>
      <w:pPr>
        <w:spacing w:line="235" w:lineRule="auto" w:before="113"/>
        <w:ind w:left="2234" w:right="1050" w:firstLine="0"/>
        <w:jc w:val="left"/>
        <w:rPr>
          <w:sz w:val="16"/>
        </w:rPr>
      </w:pPr>
      <w:r>
        <w:rPr/>
        <w:br w:type="column"/>
      </w:r>
      <w:r>
        <w:rPr>
          <w:color w:val="105C84"/>
          <w:spacing w:val="-2"/>
          <w:sz w:val="16"/>
        </w:rPr>
        <w:t>Source: Division of Chronic Disease and Injury Prevention, Bureau of Chronic Evaluation and Research, New </w:t>
      </w:r>
      <w:r>
        <w:rPr>
          <w:color w:val="105C84"/>
          <w:spacing w:val="-2"/>
          <w:sz w:val="16"/>
        </w:rPr>
        <w:t>York </w:t>
      </w:r>
      <w:r>
        <w:rPr>
          <w:color w:val="105C84"/>
          <w:sz w:val="16"/>
        </w:rPr>
        <w:t>State</w:t>
      </w:r>
      <w:r>
        <w:rPr>
          <w:color w:val="105C84"/>
          <w:spacing w:val="-1"/>
          <w:sz w:val="16"/>
        </w:rPr>
        <w:t> </w:t>
      </w:r>
      <w:r>
        <w:rPr>
          <w:color w:val="105C84"/>
          <w:sz w:val="16"/>
        </w:rPr>
        <w:t>Department</w:t>
      </w:r>
      <w:r>
        <w:rPr>
          <w:color w:val="105C84"/>
          <w:spacing w:val="-1"/>
          <w:sz w:val="16"/>
        </w:rPr>
        <w:t> </w:t>
      </w:r>
      <w:r>
        <w:rPr>
          <w:color w:val="105C84"/>
          <w:sz w:val="16"/>
        </w:rPr>
        <w:t>of</w:t>
      </w:r>
      <w:r>
        <w:rPr>
          <w:color w:val="105C84"/>
          <w:spacing w:val="-1"/>
          <w:sz w:val="16"/>
        </w:rPr>
        <w:t> </w:t>
      </w:r>
      <w:r>
        <w:rPr>
          <w:color w:val="105C84"/>
          <w:sz w:val="16"/>
        </w:rPr>
        <w:t>Health,</w:t>
      </w:r>
      <w:r>
        <w:rPr>
          <w:color w:val="105C84"/>
          <w:spacing w:val="-1"/>
          <w:sz w:val="16"/>
        </w:rPr>
        <w:t> </w:t>
      </w:r>
      <w:r>
        <w:rPr>
          <w:color w:val="105C84"/>
          <w:sz w:val="16"/>
        </w:rPr>
        <w:t>Behavioral</w:t>
      </w:r>
      <w:r>
        <w:rPr>
          <w:color w:val="105C84"/>
          <w:spacing w:val="-1"/>
          <w:sz w:val="16"/>
        </w:rPr>
        <w:t> </w:t>
      </w:r>
      <w:r>
        <w:rPr>
          <w:color w:val="105C84"/>
          <w:sz w:val="16"/>
        </w:rPr>
        <w:t>Risk</w:t>
      </w:r>
      <w:r>
        <w:rPr>
          <w:color w:val="105C84"/>
          <w:spacing w:val="-1"/>
          <w:sz w:val="16"/>
        </w:rPr>
        <w:t> </w:t>
      </w:r>
      <w:r>
        <w:rPr>
          <w:color w:val="105C84"/>
          <w:sz w:val="16"/>
        </w:rPr>
        <w:t>Factor</w:t>
      </w:r>
      <w:r>
        <w:rPr>
          <w:color w:val="105C84"/>
          <w:spacing w:val="-1"/>
          <w:sz w:val="16"/>
        </w:rPr>
        <w:t> </w:t>
      </w:r>
      <w:r>
        <w:rPr>
          <w:color w:val="105C84"/>
          <w:sz w:val="16"/>
        </w:rPr>
        <w:t>Surveillance</w:t>
      </w:r>
      <w:r>
        <w:rPr>
          <w:color w:val="105C84"/>
          <w:spacing w:val="-1"/>
          <w:sz w:val="16"/>
        </w:rPr>
        <w:t> </w:t>
      </w:r>
      <w:r>
        <w:rPr>
          <w:color w:val="105C84"/>
          <w:sz w:val="16"/>
        </w:rPr>
        <w:t>System,</w:t>
      </w:r>
      <w:r>
        <w:rPr>
          <w:color w:val="105C84"/>
          <w:spacing w:val="-1"/>
          <w:sz w:val="16"/>
        </w:rPr>
        <w:t> </w:t>
      </w:r>
      <w:r>
        <w:rPr>
          <w:color w:val="105C84"/>
          <w:sz w:val="16"/>
        </w:rPr>
        <w:t>Year</w:t>
      </w:r>
      <w:r>
        <w:rPr>
          <w:color w:val="105C84"/>
          <w:spacing w:val="-1"/>
          <w:sz w:val="16"/>
        </w:rPr>
        <w:t> </w:t>
      </w:r>
      <w:r>
        <w:rPr>
          <w:color w:val="105C84"/>
          <w:sz w:val="16"/>
        </w:rPr>
        <w:t>2016.</w:t>
      </w:r>
      <w:r>
        <w:rPr>
          <w:color w:val="105C84"/>
          <w:spacing w:val="-1"/>
          <w:sz w:val="16"/>
        </w:rPr>
        <w:t> </w:t>
      </w:r>
      <w:r>
        <w:rPr>
          <w:color w:val="105C84"/>
          <w:sz w:val="16"/>
        </w:rPr>
        <w:t>Analysis</w:t>
      </w:r>
      <w:r>
        <w:rPr>
          <w:color w:val="105C84"/>
          <w:spacing w:val="-1"/>
          <w:sz w:val="16"/>
        </w:rPr>
        <w:t> </w:t>
      </w:r>
      <w:r>
        <w:rPr>
          <w:color w:val="105C84"/>
          <w:sz w:val="16"/>
        </w:rPr>
        <w:t>Completed</w:t>
      </w:r>
      <w:r>
        <w:rPr>
          <w:color w:val="105C84"/>
          <w:spacing w:val="-1"/>
          <w:sz w:val="16"/>
        </w:rPr>
        <w:t> </w:t>
      </w:r>
      <w:r>
        <w:rPr>
          <w:color w:val="105C84"/>
          <w:sz w:val="16"/>
        </w:rPr>
        <w:t>by Common Ground Health</w:t>
      </w:r>
    </w:p>
    <w:p>
      <w:pPr>
        <w:pStyle w:val="BodyText"/>
        <w:spacing w:before="129"/>
        <w:rPr>
          <w:sz w:val="16"/>
        </w:rPr>
      </w:pPr>
    </w:p>
    <w:p>
      <w:pPr>
        <w:pStyle w:val="Heading6"/>
      </w:pPr>
      <w:r>
        <w:rPr>
          <w:color w:val="105C84"/>
          <w:spacing w:val="-2"/>
        </w:rPr>
        <w:t>Promote</w:t>
      </w:r>
      <w:r>
        <w:rPr>
          <w:color w:val="105C84"/>
          <w:spacing w:val="-8"/>
        </w:rPr>
        <w:t> </w:t>
      </w:r>
      <w:r>
        <w:rPr>
          <w:color w:val="105C84"/>
          <w:spacing w:val="-2"/>
        </w:rPr>
        <w:t>Healthy</w:t>
      </w:r>
      <w:r>
        <w:rPr>
          <w:color w:val="105C84"/>
          <w:spacing w:val="-7"/>
        </w:rPr>
        <w:t> </w:t>
      </w:r>
      <w:r>
        <w:rPr>
          <w:color w:val="105C84"/>
          <w:spacing w:val="-2"/>
        </w:rPr>
        <w:t>Women,</w:t>
      </w:r>
      <w:r>
        <w:rPr>
          <w:color w:val="105C84"/>
          <w:spacing w:val="-8"/>
        </w:rPr>
        <w:t> </w:t>
      </w:r>
      <w:r>
        <w:rPr>
          <w:color w:val="105C84"/>
          <w:spacing w:val="-2"/>
        </w:rPr>
        <w:t>Infants</w:t>
      </w:r>
      <w:r>
        <w:rPr>
          <w:color w:val="105C84"/>
          <w:spacing w:val="-7"/>
        </w:rPr>
        <w:t> </w:t>
      </w:r>
      <w:r>
        <w:rPr>
          <w:color w:val="105C84"/>
          <w:spacing w:val="-2"/>
        </w:rPr>
        <w:t>and</w:t>
      </w:r>
      <w:r>
        <w:rPr>
          <w:color w:val="105C84"/>
          <w:spacing w:val="-7"/>
        </w:rPr>
        <w:t> </w:t>
      </w:r>
      <w:r>
        <w:rPr>
          <w:color w:val="105C84"/>
          <w:spacing w:val="-2"/>
        </w:rPr>
        <w:t>Children</w:t>
      </w:r>
    </w:p>
    <w:p>
      <w:pPr>
        <w:pStyle w:val="BodyText"/>
        <w:spacing w:line="247" w:lineRule="auto" w:before="269"/>
        <w:ind w:left="1080" w:right="479"/>
        <w:rPr>
          <w:position w:val="7"/>
          <w:sz w:val="13"/>
        </w:rPr>
      </w:pPr>
      <w:r>
        <w:rPr>
          <w:color w:val="105C84"/>
        </w:rPr>
        <w:t>New</w:t>
      </w:r>
      <w:r>
        <w:rPr>
          <w:color w:val="105C84"/>
          <w:spacing w:val="27"/>
        </w:rPr>
        <w:t> </w:t>
      </w:r>
      <w:r>
        <w:rPr>
          <w:color w:val="105C84"/>
        </w:rPr>
        <w:t>York</w:t>
      </w:r>
      <w:r>
        <w:rPr>
          <w:color w:val="105C84"/>
          <w:spacing w:val="27"/>
        </w:rPr>
        <w:t> </w:t>
      </w:r>
      <w:r>
        <w:rPr>
          <w:color w:val="105C84"/>
        </w:rPr>
        <w:t>State</w:t>
      </w:r>
      <w:r>
        <w:rPr>
          <w:color w:val="105C84"/>
          <w:spacing w:val="27"/>
        </w:rPr>
        <w:t> </w:t>
      </w:r>
      <w:r>
        <w:rPr>
          <w:color w:val="105C84"/>
        </w:rPr>
        <w:t>collects</w:t>
      </w:r>
      <w:r>
        <w:rPr>
          <w:color w:val="105C84"/>
          <w:spacing w:val="27"/>
        </w:rPr>
        <w:t> </w:t>
      </w:r>
      <w:r>
        <w:rPr>
          <w:color w:val="105C84"/>
        </w:rPr>
        <w:t>several</w:t>
      </w:r>
      <w:r>
        <w:rPr>
          <w:color w:val="105C84"/>
          <w:spacing w:val="27"/>
        </w:rPr>
        <w:t> </w:t>
      </w:r>
      <w:r>
        <w:rPr>
          <w:color w:val="105C84"/>
        </w:rPr>
        <w:t>pieces</w:t>
      </w:r>
      <w:r>
        <w:rPr>
          <w:color w:val="105C84"/>
          <w:spacing w:val="27"/>
        </w:rPr>
        <w:t> </w:t>
      </w:r>
      <w:r>
        <w:rPr>
          <w:color w:val="105C84"/>
        </w:rPr>
        <w:t>of</w:t>
      </w:r>
      <w:r>
        <w:rPr>
          <w:color w:val="105C84"/>
          <w:spacing w:val="27"/>
        </w:rPr>
        <w:t> </w:t>
      </w:r>
      <w:r>
        <w:rPr>
          <w:color w:val="105C84"/>
        </w:rPr>
        <w:t>information</w:t>
      </w:r>
      <w:r>
        <w:rPr>
          <w:color w:val="105C84"/>
          <w:spacing w:val="27"/>
        </w:rPr>
        <w:t> </w:t>
      </w:r>
      <w:r>
        <w:rPr>
          <w:color w:val="105C84"/>
        </w:rPr>
        <w:t>on</w:t>
      </w:r>
      <w:r>
        <w:rPr>
          <w:color w:val="105C84"/>
          <w:spacing w:val="27"/>
        </w:rPr>
        <w:t> </w:t>
      </w:r>
      <w:r>
        <w:rPr>
          <w:color w:val="105C84"/>
        </w:rPr>
        <w:t>births</w:t>
      </w:r>
      <w:r>
        <w:rPr>
          <w:color w:val="105C84"/>
          <w:spacing w:val="27"/>
        </w:rPr>
        <w:t> </w:t>
      </w:r>
      <w:r>
        <w:rPr>
          <w:color w:val="105C84"/>
        </w:rPr>
        <w:t>including</w:t>
      </w:r>
      <w:r>
        <w:rPr>
          <w:color w:val="105C84"/>
          <w:spacing w:val="27"/>
        </w:rPr>
        <w:t> </w:t>
      </w:r>
      <w:r>
        <w:rPr>
          <w:color w:val="105C84"/>
        </w:rPr>
        <w:t>the</w:t>
      </w:r>
      <w:r>
        <w:rPr>
          <w:color w:val="105C84"/>
          <w:spacing w:val="27"/>
        </w:rPr>
        <w:t> </w:t>
      </w:r>
      <w:r>
        <w:rPr>
          <w:color w:val="105C84"/>
        </w:rPr>
        <w:t>number</w:t>
      </w:r>
      <w:r>
        <w:rPr>
          <w:color w:val="105C84"/>
          <w:spacing w:val="27"/>
        </w:rPr>
        <w:t> </w:t>
      </w:r>
      <w:r>
        <w:rPr>
          <w:color w:val="105C84"/>
        </w:rPr>
        <w:t>of</w:t>
      </w:r>
      <w:r>
        <w:rPr>
          <w:color w:val="105C84"/>
          <w:spacing w:val="27"/>
        </w:rPr>
        <w:t> </w:t>
      </w:r>
      <w:r>
        <w:rPr>
          <w:color w:val="105C84"/>
        </w:rPr>
        <w:t>premature and low birth weight babies. A baby born prematurely (&lt;37 weeks gestation) is at risk for several health complications including jaundice, anemia, apnea, and more. The earlier a baby is born in pregnancy,</w:t>
      </w:r>
      <w:r>
        <w:rPr>
          <w:color w:val="105C84"/>
          <w:spacing w:val="21"/>
        </w:rPr>
        <w:t> </w:t>
      </w:r>
      <w:r>
        <w:rPr>
          <w:color w:val="105C84"/>
        </w:rPr>
        <w:t>the</w:t>
      </w:r>
      <w:r>
        <w:rPr>
          <w:color w:val="105C84"/>
          <w:spacing w:val="21"/>
        </w:rPr>
        <w:t> </w:t>
      </w:r>
      <w:r>
        <w:rPr>
          <w:color w:val="105C84"/>
        </w:rPr>
        <w:t>more</w:t>
      </w:r>
      <w:r>
        <w:rPr>
          <w:color w:val="105C84"/>
          <w:spacing w:val="21"/>
        </w:rPr>
        <w:t> </w:t>
      </w:r>
      <w:r>
        <w:rPr>
          <w:color w:val="105C84"/>
        </w:rPr>
        <w:t>likely</w:t>
      </w:r>
      <w:r>
        <w:rPr>
          <w:color w:val="105C84"/>
          <w:spacing w:val="21"/>
        </w:rPr>
        <w:t> </w:t>
      </w:r>
      <w:r>
        <w:rPr>
          <w:color w:val="105C84"/>
        </w:rPr>
        <w:t>it</w:t>
      </w:r>
      <w:r>
        <w:rPr>
          <w:color w:val="105C84"/>
          <w:spacing w:val="21"/>
        </w:rPr>
        <w:t> </w:t>
      </w:r>
      <w:r>
        <w:rPr>
          <w:color w:val="105C84"/>
        </w:rPr>
        <w:t>is</w:t>
      </w:r>
      <w:r>
        <w:rPr>
          <w:color w:val="105C84"/>
          <w:spacing w:val="21"/>
        </w:rPr>
        <w:t> </w:t>
      </w:r>
      <w:r>
        <w:rPr>
          <w:color w:val="105C84"/>
        </w:rPr>
        <w:t>that</w:t>
      </w:r>
      <w:r>
        <w:rPr>
          <w:color w:val="105C84"/>
          <w:spacing w:val="21"/>
        </w:rPr>
        <w:t> </w:t>
      </w:r>
      <w:r>
        <w:rPr>
          <w:color w:val="105C84"/>
        </w:rPr>
        <w:t>the</w:t>
      </w:r>
      <w:r>
        <w:rPr>
          <w:color w:val="105C84"/>
          <w:spacing w:val="21"/>
        </w:rPr>
        <w:t> </w:t>
      </w:r>
      <w:r>
        <w:rPr>
          <w:color w:val="105C84"/>
        </w:rPr>
        <w:t>baby</w:t>
      </w:r>
      <w:r>
        <w:rPr>
          <w:color w:val="105C84"/>
          <w:spacing w:val="21"/>
        </w:rPr>
        <w:t> </w:t>
      </w:r>
      <w:r>
        <w:rPr>
          <w:color w:val="105C84"/>
        </w:rPr>
        <w:t>will</w:t>
      </w:r>
      <w:r>
        <w:rPr>
          <w:color w:val="105C84"/>
          <w:spacing w:val="21"/>
        </w:rPr>
        <w:t> </w:t>
      </w:r>
      <w:r>
        <w:rPr>
          <w:color w:val="105C84"/>
        </w:rPr>
        <w:t>need</w:t>
      </w:r>
      <w:r>
        <w:rPr>
          <w:color w:val="105C84"/>
          <w:spacing w:val="21"/>
        </w:rPr>
        <w:t> </w:t>
      </w:r>
      <w:r>
        <w:rPr>
          <w:color w:val="105C84"/>
        </w:rPr>
        <w:t>to</w:t>
      </w:r>
      <w:r>
        <w:rPr>
          <w:color w:val="105C84"/>
          <w:spacing w:val="21"/>
        </w:rPr>
        <w:t> </w:t>
      </w:r>
      <w:r>
        <w:rPr>
          <w:color w:val="105C84"/>
        </w:rPr>
        <w:t>spend</w:t>
      </w:r>
      <w:r>
        <w:rPr>
          <w:color w:val="105C84"/>
          <w:spacing w:val="21"/>
        </w:rPr>
        <w:t> </w:t>
      </w:r>
      <w:r>
        <w:rPr>
          <w:color w:val="105C84"/>
        </w:rPr>
        <w:t>time</w:t>
      </w:r>
      <w:r>
        <w:rPr>
          <w:color w:val="105C84"/>
          <w:spacing w:val="21"/>
        </w:rPr>
        <w:t> </w:t>
      </w:r>
      <w:r>
        <w:rPr>
          <w:color w:val="105C84"/>
        </w:rPr>
        <w:t>in</w:t>
      </w:r>
      <w:r>
        <w:rPr>
          <w:color w:val="105C84"/>
          <w:spacing w:val="21"/>
        </w:rPr>
        <w:t> </w:t>
      </w:r>
      <w:r>
        <w:rPr>
          <w:color w:val="105C84"/>
        </w:rPr>
        <w:t>the</w:t>
      </w:r>
      <w:r>
        <w:rPr>
          <w:color w:val="105C84"/>
          <w:spacing w:val="21"/>
        </w:rPr>
        <w:t> </w:t>
      </w:r>
      <w:r>
        <w:rPr>
          <w:color w:val="105C84"/>
        </w:rPr>
        <w:t>neonatal</w:t>
      </w:r>
      <w:r>
        <w:rPr>
          <w:color w:val="105C84"/>
          <w:spacing w:val="21"/>
        </w:rPr>
        <w:t> </w:t>
      </w:r>
      <w:r>
        <w:rPr>
          <w:color w:val="105C84"/>
        </w:rPr>
        <w:t>intensive</w:t>
      </w:r>
      <w:r>
        <w:rPr>
          <w:color w:val="105C84"/>
          <w:spacing w:val="21"/>
        </w:rPr>
        <w:t> </w:t>
      </w:r>
      <w:r>
        <w:rPr>
          <w:color w:val="105C84"/>
        </w:rPr>
        <w:t>care unit (NICU). Long-term health complications associated with premature birth include intellectual and</w:t>
      </w:r>
      <w:r>
        <w:rPr>
          <w:color w:val="105C84"/>
          <w:spacing w:val="80"/>
        </w:rPr>
        <w:t> </w:t>
      </w:r>
      <w:r>
        <w:rPr>
          <w:color w:val="105C84"/>
        </w:rPr>
        <w:t>developmental</w:t>
      </w:r>
      <w:r>
        <w:rPr>
          <w:color w:val="105C84"/>
          <w:spacing w:val="40"/>
        </w:rPr>
        <w:t> </w:t>
      </w:r>
      <w:r>
        <w:rPr>
          <w:color w:val="105C84"/>
        </w:rPr>
        <w:t>delays,</w:t>
      </w:r>
      <w:r>
        <w:rPr>
          <w:color w:val="105C84"/>
          <w:spacing w:val="40"/>
        </w:rPr>
        <w:t> </w:t>
      </w:r>
      <w:r>
        <w:rPr>
          <w:color w:val="105C84"/>
        </w:rPr>
        <w:t>problems</w:t>
      </w:r>
      <w:r>
        <w:rPr>
          <w:color w:val="105C84"/>
          <w:spacing w:val="40"/>
        </w:rPr>
        <w:t> </w:t>
      </w:r>
      <w:r>
        <w:rPr>
          <w:color w:val="105C84"/>
        </w:rPr>
        <w:t>with</w:t>
      </w:r>
      <w:r>
        <w:rPr>
          <w:color w:val="105C84"/>
          <w:spacing w:val="40"/>
        </w:rPr>
        <w:t> </w:t>
      </w:r>
      <w:r>
        <w:rPr>
          <w:color w:val="105C84"/>
        </w:rPr>
        <w:t>communicating,</w:t>
      </w:r>
      <w:r>
        <w:rPr>
          <w:color w:val="105C84"/>
          <w:spacing w:val="40"/>
        </w:rPr>
        <w:t> </w:t>
      </w:r>
      <w:r>
        <w:rPr>
          <w:color w:val="105C84"/>
        </w:rPr>
        <w:t>getting</w:t>
      </w:r>
      <w:r>
        <w:rPr>
          <w:color w:val="105C84"/>
          <w:spacing w:val="40"/>
        </w:rPr>
        <w:t> </w:t>
      </w:r>
      <w:r>
        <w:rPr>
          <w:color w:val="105C84"/>
        </w:rPr>
        <w:t>along</w:t>
      </w:r>
      <w:r>
        <w:rPr>
          <w:color w:val="105C84"/>
          <w:spacing w:val="40"/>
        </w:rPr>
        <w:t> </w:t>
      </w:r>
      <w:r>
        <w:rPr>
          <w:color w:val="105C84"/>
        </w:rPr>
        <w:t>with</w:t>
      </w:r>
      <w:r>
        <w:rPr>
          <w:color w:val="105C84"/>
          <w:spacing w:val="40"/>
        </w:rPr>
        <w:t> </w:t>
      </w:r>
      <w:r>
        <w:rPr>
          <w:color w:val="105C84"/>
        </w:rPr>
        <w:t>others,</w:t>
      </w:r>
      <w:r>
        <w:rPr>
          <w:color w:val="105C84"/>
          <w:spacing w:val="40"/>
        </w:rPr>
        <w:t> </w:t>
      </w:r>
      <w:r>
        <w:rPr>
          <w:color w:val="105C84"/>
        </w:rPr>
        <w:t>and</w:t>
      </w:r>
      <w:r>
        <w:rPr>
          <w:color w:val="105C84"/>
          <w:spacing w:val="40"/>
        </w:rPr>
        <w:t> </w:t>
      </w:r>
      <w:r>
        <w:rPr>
          <w:color w:val="105C84"/>
        </w:rPr>
        <w:t>even</w:t>
      </w:r>
      <w:r>
        <w:rPr>
          <w:color w:val="105C84"/>
          <w:spacing w:val="40"/>
        </w:rPr>
        <w:t> </w:t>
      </w:r>
      <w:r>
        <w:rPr>
          <w:color w:val="105C84"/>
        </w:rPr>
        <w:t>taking care of him or herself. Neurological disorders, behavioral problems, and asthma may also occur.</w:t>
      </w:r>
      <w:r>
        <w:rPr>
          <w:color w:val="105C84"/>
          <w:position w:val="7"/>
          <w:sz w:val="13"/>
        </w:rPr>
        <w:t>9</w:t>
      </w:r>
    </w:p>
    <w:p>
      <w:pPr>
        <w:pStyle w:val="BodyText"/>
        <w:spacing w:line="247" w:lineRule="auto" w:before="176"/>
        <w:ind w:left="1080" w:right="408"/>
      </w:pPr>
      <w:r>
        <w:rPr>
          <w:color w:val="105C84"/>
        </w:rPr>
        <w:t>Premature</w:t>
      </w:r>
      <w:r>
        <w:rPr>
          <w:color w:val="105C84"/>
          <w:spacing w:val="14"/>
        </w:rPr>
        <w:t> </w:t>
      </w:r>
      <w:r>
        <w:rPr>
          <w:color w:val="105C84"/>
        </w:rPr>
        <w:t>birth</w:t>
      </w:r>
      <w:r>
        <w:rPr>
          <w:color w:val="105C84"/>
          <w:spacing w:val="14"/>
        </w:rPr>
        <w:t> </w:t>
      </w:r>
      <w:r>
        <w:rPr>
          <w:color w:val="105C84"/>
        </w:rPr>
        <w:t>is</w:t>
      </w:r>
      <w:r>
        <w:rPr>
          <w:color w:val="105C84"/>
          <w:spacing w:val="14"/>
        </w:rPr>
        <w:t> </w:t>
      </w:r>
      <w:r>
        <w:rPr>
          <w:color w:val="105C84"/>
        </w:rPr>
        <w:t>the</w:t>
      </w:r>
      <w:r>
        <w:rPr>
          <w:color w:val="105C84"/>
          <w:spacing w:val="14"/>
        </w:rPr>
        <w:t> </w:t>
      </w:r>
      <w:r>
        <w:rPr>
          <w:color w:val="105C84"/>
        </w:rPr>
        <w:t>primary</w:t>
      </w:r>
      <w:r>
        <w:rPr>
          <w:color w:val="105C84"/>
          <w:spacing w:val="14"/>
        </w:rPr>
        <w:t> </w:t>
      </w:r>
      <w:r>
        <w:rPr>
          <w:color w:val="105C84"/>
        </w:rPr>
        <w:t>cause</w:t>
      </w:r>
      <w:r>
        <w:rPr>
          <w:color w:val="105C84"/>
          <w:spacing w:val="14"/>
        </w:rPr>
        <w:t> </w:t>
      </w:r>
      <w:r>
        <w:rPr>
          <w:color w:val="105C84"/>
        </w:rPr>
        <w:t>of</w:t>
      </w:r>
      <w:r>
        <w:rPr>
          <w:color w:val="105C84"/>
          <w:spacing w:val="14"/>
        </w:rPr>
        <w:t> </w:t>
      </w:r>
      <w:r>
        <w:rPr>
          <w:color w:val="105C84"/>
        </w:rPr>
        <w:t>low</w:t>
      </w:r>
      <w:r>
        <w:rPr>
          <w:color w:val="105C84"/>
          <w:spacing w:val="14"/>
        </w:rPr>
        <w:t> </w:t>
      </w:r>
      <w:r>
        <w:rPr>
          <w:color w:val="105C84"/>
        </w:rPr>
        <w:t>birth</w:t>
      </w:r>
      <w:r>
        <w:rPr>
          <w:color w:val="105C84"/>
          <w:spacing w:val="14"/>
        </w:rPr>
        <w:t> </w:t>
      </w:r>
      <w:r>
        <w:rPr>
          <w:color w:val="105C84"/>
        </w:rPr>
        <w:t>weight.</w:t>
      </w:r>
      <w:r>
        <w:rPr>
          <w:color w:val="105C84"/>
          <w:spacing w:val="14"/>
        </w:rPr>
        <w:t> </w:t>
      </w:r>
      <w:r>
        <w:rPr>
          <w:color w:val="105C84"/>
        </w:rPr>
        <w:t>A</w:t>
      </w:r>
      <w:r>
        <w:rPr>
          <w:color w:val="105C84"/>
          <w:spacing w:val="14"/>
        </w:rPr>
        <w:t> </w:t>
      </w:r>
      <w:r>
        <w:rPr>
          <w:color w:val="105C84"/>
        </w:rPr>
        <w:t>child</w:t>
      </w:r>
      <w:r>
        <w:rPr>
          <w:color w:val="105C84"/>
          <w:spacing w:val="14"/>
        </w:rPr>
        <w:t> </w:t>
      </w:r>
      <w:r>
        <w:rPr>
          <w:color w:val="105C84"/>
        </w:rPr>
        <w:t>born</w:t>
      </w:r>
      <w:r>
        <w:rPr>
          <w:color w:val="105C84"/>
          <w:spacing w:val="14"/>
        </w:rPr>
        <w:t> </w:t>
      </w:r>
      <w:r>
        <w:rPr>
          <w:color w:val="105C84"/>
        </w:rPr>
        <w:t>at</w:t>
      </w:r>
      <w:r>
        <w:rPr>
          <w:color w:val="105C84"/>
          <w:spacing w:val="14"/>
        </w:rPr>
        <w:t> </w:t>
      </w:r>
      <w:r>
        <w:rPr>
          <w:color w:val="105C84"/>
        </w:rPr>
        <w:t>a</w:t>
      </w:r>
      <w:r>
        <w:rPr>
          <w:color w:val="105C84"/>
          <w:spacing w:val="14"/>
        </w:rPr>
        <w:t> </w:t>
      </w:r>
      <w:r>
        <w:rPr>
          <w:color w:val="105C84"/>
        </w:rPr>
        <w:t>low</w:t>
      </w:r>
      <w:r>
        <w:rPr>
          <w:color w:val="105C84"/>
          <w:spacing w:val="14"/>
        </w:rPr>
        <w:t> </w:t>
      </w:r>
      <w:r>
        <w:rPr>
          <w:color w:val="105C84"/>
        </w:rPr>
        <w:t>birth</w:t>
      </w:r>
      <w:r>
        <w:rPr>
          <w:color w:val="105C84"/>
          <w:spacing w:val="14"/>
        </w:rPr>
        <w:t> </w:t>
      </w:r>
      <w:r>
        <w:rPr>
          <w:color w:val="105C84"/>
        </w:rPr>
        <w:t>weight</w:t>
      </w:r>
      <w:r>
        <w:rPr>
          <w:color w:val="105C84"/>
          <w:spacing w:val="14"/>
        </w:rPr>
        <w:t> </w:t>
      </w:r>
      <w:r>
        <w:rPr>
          <w:color w:val="105C84"/>
        </w:rPr>
        <w:t>may</w:t>
      </w:r>
      <w:r>
        <w:rPr>
          <w:color w:val="105C84"/>
          <w:spacing w:val="14"/>
        </w:rPr>
        <w:t> </w:t>
      </w:r>
      <w:r>
        <w:rPr>
          <w:color w:val="105C84"/>
        </w:rPr>
        <w:t>suffer a range of health complications at birth. Some of the common issues for a low birth weight newborn</w:t>
      </w:r>
      <w:r>
        <w:rPr>
          <w:color w:val="105C84"/>
          <w:spacing w:val="80"/>
        </w:rPr>
        <w:t> </w:t>
      </w:r>
      <w:r>
        <w:rPr>
          <w:color w:val="105C84"/>
        </w:rPr>
        <w:t>include low oxygen levels, breathing complications due to immature lungs, difficulty feeding and</w:t>
      </w:r>
      <w:r>
        <w:rPr>
          <w:color w:val="105C84"/>
          <w:spacing w:val="80"/>
          <w:w w:val="150"/>
        </w:rPr>
        <w:t> </w:t>
      </w:r>
      <w:r>
        <w:rPr>
          <w:color w:val="105C84"/>
        </w:rPr>
        <w:t>gaining</w:t>
      </w:r>
      <w:r>
        <w:rPr>
          <w:color w:val="105C84"/>
          <w:spacing w:val="25"/>
        </w:rPr>
        <w:t> </w:t>
      </w:r>
      <w:r>
        <w:rPr>
          <w:color w:val="105C84"/>
        </w:rPr>
        <w:t>weight,</w:t>
      </w:r>
      <w:r>
        <w:rPr>
          <w:color w:val="105C84"/>
          <w:spacing w:val="25"/>
        </w:rPr>
        <w:t> </w:t>
      </w:r>
      <w:r>
        <w:rPr>
          <w:color w:val="105C84"/>
        </w:rPr>
        <w:t>neurological</w:t>
      </w:r>
      <w:r>
        <w:rPr>
          <w:color w:val="105C84"/>
          <w:spacing w:val="25"/>
        </w:rPr>
        <w:t> </w:t>
      </w:r>
      <w:r>
        <w:rPr>
          <w:color w:val="105C84"/>
        </w:rPr>
        <w:t>and</w:t>
      </w:r>
      <w:r>
        <w:rPr>
          <w:color w:val="105C84"/>
          <w:spacing w:val="25"/>
        </w:rPr>
        <w:t> </w:t>
      </w:r>
      <w:r>
        <w:rPr>
          <w:color w:val="105C84"/>
        </w:rPr>
        <w:t>gastrointestinal</w:t>
      </w:r>
      <w:r>
        <w:rPr>
          <w:color w:val="105C84"/>
          <w:spacing w:val="25"/>
        </w:rPr>
        <w:t> </w:t>
      </w:r>
      <w:r>
        <w:rPr>
          <w:color w:val="105C84"/>
        </w:rPr>
        <w:t>problems,</w:t>
      </w:r>
      <w:r>
        <w:rPr>
          <w:color w:val="105C84"/>
          <w:spacing w:val="25"/>
        </w:rPr>
        <w:t> </w:t>
      </w:r>
      <w:r>
        <w:rPr>
          <w:color w:val="105C84"/>
        </w:rPr>
        <w:t>infection,</w:t>
      </w:r>
      <w:r>
        <w:rPr>
          <w:color w:val="105C84"/>
          <w:spacing w:val="25"/>
        </w:rPr>
        <w:t> </w:t>
      </w:r>
      <w:r>
        <w:rPr>
          <w:color w:val="105C84"/>
        </w:rPr>
        <w:t>and</w:t>
      </w:r>
      <w:r>
        <w:rPr>
          <w:color w:val="105C84"/>
          <w:spacing w:val="25"/>
        </w:rPr>
        <w:t> </w:t>
      </w:r>
      <w:r>
        <w:rPr>
          <w:color w:val="105C84"/>
        </w:rPr>
        <w:t>more.</w:t>
      </w:r>
      <w:r>
        <w:rPr>
          <w:color w:val="105C84"/>
          <w:position w:val="7"/>
          <w:sz w:val="13"/>
        </w:rPr>
        <w:t>10</w:t>
      </w:r>
      <w:r>
        <w:rPr>
          <w:color w:val="105C84"/>
          <w:spacing w:val="40"/>
          <w:position w:val="7"/>
          <w:sz w:val="13"/>
        </w:rPr>
        <w:t> </w:t>
      </w:r>
      <w:r>
        <w:rPr>
          <w:color w:val="105C84"/>
        </w:rPr>
        <w:t>In</w:t>
      </w:r>
      <w:r>
        <w:rPr>
          <w:color w:val="105C84"/>
          <w:spacing w:val="25"/>
        </w:rPr>
        <w:t> </w:t>
      </w:r>
      <w:r>
        <w:rPr>
          <w:color w:val="105C84"/>
        </w:rPr>
        <w:t>the</w:t>
      </w:r>
      <w:r>
        <w:rPr>
          <w:color w:val="105C84"/>
          <w:spacing w:val="25"/>
        </w:rPr>
        <w:t> </w:t>
      </w:r>
      <w:r>
        <w:rPr>
          <w:color w:val="105C84"/>
        </w:rPr>
        <w:t>eight</w:t>
      </w:r>
      <w:r>
        <w:rPr>
          <w:color w:val="105C84"/>
          <w:spacing w:val="25"/>
        </w:rPr>
        <w:t> </w:t>
      </w:r>
      <w:r>
        <w:rPr>
          <w:color w:val="105C84"/>
        </w:rPr>
        <w:t>county region, rates of premature birth (9.5%) and low birth weight (6.8%) have remained below the NYS excluding NYC average (10.6% and 7.6%).</w:t>
      </w:r>
    </w:p>
    <w:p>
      <w:pPr>
        <w:pStyle w:val="BodyText"/>
        <w:spacing w:line="247" w:lineRule="auto" w:before="177"/>
        <w:ind w:left="1080" w:right="654"/>
      </w:pPr>
      <w:r>
        <w:rPr>
          <w:color w:val="105C84"/>
        </w:rPr>
        <w:t>The rate of infant mortality (deaths that occurred less than 1 year after birth) has increased slightly over the past several years (Figure 11). Causes of infant mortality may be related to prematurity and related</w:t>
      </w:r>
      <w:r>
        <w:rPr>
          <w:color w:val="105C84"/>
          <w:spacing w:val="40"/>
        </w:rPr>
        <w:t> </w:t>
      </w:r>
      <w:r>
        <w:rPr>
          <w:color w:val="105C84"/>
        </w:rPr>
        <w:t>conditions,</w:t>
      </w:r>
      <w:r>
        <w:rPr>
          <w:color w:val="105C84"/>
          <w:spacing w:val="40"/>
        </w:rPr>
        <w:t> </w:t>
      </w:r>
      <w:r>
        <w:rPr>
          <w:color w:val="105C84"/>
        </w:rPr>
        <w:t>infections,</w:t>
      </w:r>
      <w:r>
        <w:rPr>
          <w:color w:val="105C84"/>
          <w:spacing w:val="40"/>
        </w:rPr>
        <w:t> </w:t>
      </w:r>
      <w:r>
        <w:rPr>
          <w:color w:val="105C84"/>
        </w:rPr>
        <w:t>obstetric</w:t>
      </w:r>
      <w:r>
        <w:rPr>
          <w:color w:val="105C84"/>
          <w:spacing w:val="40"/>
        </w:rPr>
        <w:t> </w:t>
      </w:r>
      <w:r>
        <w:rPr>
          <w:color w:val="105C84"/>
        </w:rPr>
        <w:t>conditions,</w:t>
      </w:r>
      <w:r>
        <w:rPr>
          <w:color w:val="105C84"/>
          <w:spacing w:val="40"/>
        </w:rPr>
        <w:t> </w:t>
      </w:r>
      <w:r>
        <w:rPr>
          <w:color w:val="105C84"/>
        </w:rPr>
        <w:t>sudden</w:t>
      </w:r>
      <w:r>
        <w:rPr>
          <w:color w:val="105C84"/>
          <w:spacing w:val="40"/>
        </w:rPr>
        <w:t> </w:t>
      </w:r>
      <w:r>
        <w:rPr>
          <w:color w:val="105C84"/>
        </w:rPr>
        <w:t>unexpected</w:t>
      </w:r>
      <w:r>
        <w:rPr>
          <w:color w:val="105C84"/>
          <w:spacing w:val="40"/>
        </w:rPr>
        <w:t> </w:t>
      </w:r>
      <w:r>
        <w:rPr>
          <w:color w:val="105C84"/>
        </w:rPr>
        <w:t>infant</w:t>
      </w:r>
      <w:r>
        <w:rPr>
          <w:color w:val="105C84"/>
          <w:spacing w:val="40"/>
        </w:rPr>
        <w:t> </w:t>
      </w:r>
      <w:r>
        <w:rPr>
          <w:color w:val="105C84"/>
        </w:rPr>
        <w:t>death</w:t>
      </w:r>
      <w:r>
        <w:rPr>
          <w:color w:val="105C84"/>
          <w:spacing w:val="40"/>
        </w:rPr>
        <w:t> </w:t>
      </w:r>
      <w:r>
        <w:rPr>
          <w:color w:val="105C84"/>
        </w:rPr>
        <w:t>and</w:t>
      </w:r>
      <w:r>
        <w:rPr>
          <w:color w:val="105C84"/>
          <w:spacing w:val="40"/>
        </w:rPr>
        <w:t> </w:t>
      </w:r>
      <w:r>
        <w:rPr>
          <w:color w:val="105C84"/>
        </w:rPr>
        <w:t>external causes such as unsafe sleep practices</w:t>
      </w:r>
    </w:p>
    <w:p>
      <w:pPr>
        <w:pStyle w:val="BodyText"/>
        <w:spacing w:after="0" w:line="247" w:lineRule="auto"/>
        <w:sectPr>
          <w:type w:val="continuous"/>
          <w:pgSz w:w="24480" w:h="15840" w:orient="landscape"/>
          <w:pgMar w:header="0" w:footer="0" w:top="0" w:bottom="280" w:left="0" w:right="720"/>
          <w:cols w:num="2" w:equalWidth="0">
            <w:col w:w="10207" w:space="2033"/>
            <w:col w:w="11520"/>
          </w:cols>
        </w:sectPr>
      </w:pPr>
    </w:p>
    <w:p>
      <w:pPr>
        <w:pStyle w:val="BodyText"/>
        <w:rPr>
          <w:sz w:val="14"/>
        </w:rPr>
      </w:pPr>
      <w:r>
        <w:rPr>
          <w:sz w:val="14"/>
        </w:rPr>
        <w:drawing>
          <wp:anchor distT="0" distB="0" distL="0" distR="0" allowOverlap="1" layoutInCell="1" locked="0" behindDoc="0" simplePos="0" relativeHeight="15762944">
            <wp:simplePos x="0" y="0"/>
            <wp:positionH relativeFrom="page">
              <wp:posOffset>14981556</wp:posOffset>
            </wp:positionH>
            <wp:positionV relativeFrom="page">
              <wp:posOffset>9668103</wp:posOffset>
            </wp:positionV>
            <wp:extent cx="563245" cy="184683"/>
            <wp:effectExtent l="0" t="0" r="0" b="0"/>
            <wp:wrapNone/>
            <wp:docPr id="333" name="Image 333"/>
            <wp:cNvGraphicFramePr>
              <a:graphicFrameLocks/>
            </wp:cNvGraphicFramePr>
            <a:graphic>
              <a:graphicData uri="http://schemas.openxmlformats.org/drawingml/2006/picture">
                <pic:pic>
                  <pic:nvPicPr>
                    <pic:cNvPr id="333" name="Image 333"/>
                    <pic:cNvPicPr/>
                  </pic:nvPicPr>
                  <pic:blipFill>
                    <a:blip r:embed="rId38" cstate="print"/>
                    <a:stretch>
                      <a:fillRect/>
                    </a:stretch>
                  </pic:blipFill>
                  <pic:spPr>
                    <a:xfrm>
                      <a:off x="0" y="0"/>
                      <a:ext cx="563245" cy="184683"/>
                    </a:xfrm>
                    <a:prstGeom prst="rect">
                      <a:avLst/>
                    </a:prstGeom>
                  </pic:spPr>
                </pic:pic>
              </a:graphicData>
            </a:graphic>
          </wp:anchor>
        </w:drawing>
      </w:r>
    </w:p>
    <w:p>
      <w:pPr>
        <w:pStyle w:val="BodyText"/>
        <w:rPr>
          <w:sz w:val="14"/>
        </w:rPr>
      </w:pPr>
    </w:p>
    <w:p>
      <w:pPr>
        <w:pStyle w:val="BodyText"/>
        <w:rPr>
          <w:sz w:val="14"/>
        </w:rPr>
      </w:pPr>
    </w:p>
    <w:p>
      <w:pPr>
        <w:pStyle w:val="BodyText"/>
        <w:spacing w:before="131"/>
        <w:rPr>
          <w:sz w:val="14"/>
        </w:rPr>
      </w:pPr>
    </w:p>
    <w:p>
      <w:pPr>
        <w:spacing w:line="151" w:lineRule="exact" w:before="0"/>
        <w:ind w:left="13320" w:right="0" w:firstLine="0"/>
        <w:jc w:val="left"/>
        <w:rPr>
          <w:sz w:val="14"/>
        </w:rPr>
      </w:pPr>
      <w:r>
        <w:rPr>
          <w:sz w:val="14"/>
        </w:rPr>
        <w:drawing>
          <wp:anchor distT="0" distB="0" distL="0" distR="0" allowOverlap="1" layoutInCell="1" locked="0" behindDoc="0" simplePos="0" relativeHeight="15763456">
            <wp:simplePos x="0" y="0"/>
            <wp:positionH relativeFrom="page">
              <wp:posOffset>0</wp:posOffset>
            </wp:positionH>
            <wp:positionV relativeFrom="paragraph">
              <wp:posOffset>91682</wp:posOffset>
            </wp:positionV>
            <wp:extent cx="568172" cy="184683"/>
            <wp:effectExtent l="0" t="0" r="0" b="0"/>
            <wp:wrapNone/>
            <wp:docPr id="334" name="Image 334"/>
            <wp:cNvGraphicFramePr>
              <a:graphicFrameLocks/>
            </wp:cNvGraphicFramePr>
            <a:graphic>
              <a:graphicData uri="http://schemas.openxmlformats.org/drawingml/2006/picture">
                <pic:pic>
                  <pic:nvPicPr>
                    <pic:cNvPr id="334" name="Image 334"/>
                    <pic:cNvPicPr/>
                  </pic:nvPicPr>
                  <pic:blipFill>
                    <a:blip r:embed="rId39" cstate="print"/>
                    <a:stretch>
                      <a:fillRect/>
                    </a:stretch>
                  </pic:blipFill>
                  <pic:spPr>
                    <a:xfrm>
                      <a:off x="0" y="0"/>
                      <a:ext cx="568172" cy="184683"/>
                    </a:xfrm>
                    <a:prstGeom prst="rect">
                      <a:avLst/>
                    </a:prstGeom>
                  </pic:spPr>
                </pic:pic>
              </a:graphicData>
            </a:graphic>
          </wp:anchor>
        </w:drawing>
      </w:r>
      <w:r>
        <w:rPr>
          <w:color w:val="636466"/>
          <w:sz w:val="14"/>
        </w:rPr>
        <w:t>9.</w:t>
      </w:r>
      <w:r>
        <w:rPr>
          <w:color w:val="636466"/>
          <w:spacing w:val="-9"/>
          <w:sz w:val="14"/>
        </w:rPr>
        <w:t> </w:t>
      </w:r>
      <w:r>
        <w:rPr>
          <w:color w:val="636466"/>
          <w:sz w:val="14"/>
        </w:rPr>
        <w:t>March</w:t>
      </w:r>
      <w:r>
        <w:rPr>
          <w:color w:val="636466"/>
          <w:spacing w:val="-9"/>
          <w:sz w:val="14"/>
        </w:rPr>
        <w:t> </w:t>
      </w:r>
      <w:r>
        <w:rPr>
          <w:color w:val="636466"/>
          <w:sz w:val="14"/>
        </w:rPr>
        <w:t>of</w:t>
      </w:r>
      <w:r>
        <w:rPr>
          <w:color w:val="636466"/>
          <w:spacing w:val="-9"/>
          <w:sz w:val="14"/>
        </w:rPr>
        <w:t> </w:t>
      </w:r>
      <w:r>
        <w:rPr>
          <w:color w:val="636466"/>
          <w:sz w:val="14"/>
        </w:rPr>
        <w:t>Dimes,</w:t>
      </w:r>
      <w:r>
        <w:rPr>
          <w:color w:val="636466"/>
          <w:spacing w:val="-9"/>
          <w:sz w:val="14"/>
        </w:rPr>
        <w:t> </w:t>
      </w:r>
      <w:r>
        <w:rPr>
          <w:color w:val="636466"/>
          <w:sz w:val="14"/>
        </w:rPr>
        <w:t>Premature</w:t>
      </w:r>
      <w:r>
        <w:rPr>
          <w:color w:val="636466"/>
          <w:spacing w:val="-9"/>
          <w:sz w:val="14"/>
        </w:rPr>
        <w:t> </w:t>
      </w:r>
      <w:r>
        <w:rPr>
          <w:color w:val="636466"/>
          <w:sz w:val="14"/>
        </w:rPr>
        <w:t>Babies</w:t>
      </w:r>
      <w:r>
        <w:rPr>
          <w:color w:val="636466"/>
          <w:spacing w:val="-9"/>
          <w:sz w:val="14"/>
        </w:rPr>
        <w:t> </w:t>
      </w:r>
      <w:r>
        <w:rPr>
          <w:color w:val="636466"/>
          <w:sz w:val="14"/>
        </w:rPr>
        <w:t>and</w:t>
      </w:r>
      <w:r>
        <w:rPr>
          <w:color w:val="636466"/>
          <w:spacing w:val="-9"/>
          <w:sz w:val="14"/>
        </w:rPr>
        <w:t> </w:t>
      </w:r>
      <w:r>
        <w:rPr>
          <w:color w:val="636466"/>
          <w:sz w:val="14"/>
        </w:rPr>
        <w:t>Long-Term</w:t>
      </w:r>
      <w:r>
        <w:rPr>
          <w:color w:val="636466"/>
          <w:spacing w:val="-9"/>
          <w:sz w:val="14"/>
        </w:rPr>
        <w:t> </w:t>
      </w:r>
      <w:r>
        <w:rPr>
          <w:color w:val="636466"/>
          <w:sz w:val="14"/>
        </w:rPr>
        <w:t>Health</w:t>
      </w:r>
      <w:r>
        <w:rPr>
          <w:color w:val="636466"/>
          <w:spacing w:val="-9"/>
          <w:sz w:val="14"/>
        </w:rPr>
        <w:t> </w:t>
      </w:r>
      <w:r>
        <w:rPr>
          <w:color w:val="636466"/>
          <w:sz w:val="14"/>
        </w:rPr>
        <w:t>Effects</w:t>
      </w:r>
      <w:r>
        <w:rPr>
          <w:color w:val="636466"/>
          <w:spacing w:val="-9"/>
          <w:sz w:val="14"/>
        </w:rPr>
        <w:t> </w:t>
      </w:r>
      <w:r>
        <w:rPr>
          <w:color w:val="636466"/>
          <w:sz w:val="14"/>
        </w:rPr>
        <w:t>of</w:t>
      </w:r>
      <w:r>
        <w:rPr>
          <w:color w:val="636466"/>
          <w:spacing w:val="-9"/>
          <w:sz w:val="14"/>
        </w:rPr>
        <w:t> </w:t>
      </w:r>
      <w:r>
        <w:rPr>
          <w:color w:val="636466"/>
          <w:sz w:val="14"/>
        </w:rPr>
        <w:t>Premature</w:t>
      </w:r>
      <w:r>
        <w:rPr>
          <w:color w:val="636466"/>
          <w:spacing w:val="-9"/>
          <w:sz w:val="14"/>
        </w:rPr>
        <w:t> </w:t>
      </w:r>
      <w:r>
        <w:rPr>
          <w:color w:val="636466"/>
          <w:sz w:val="14"/>
        </w:rPr>
        <w:t>Birth,</w:t>
      </w:r>
      <w:r>
        <w:rPr>
          <w:color w:val="636466"/>
          <w:spacing w:val="-9"/>
          <w:sz w:val="14"/>
        </w:rPr>
        <w:t> </w:t>
      </w:r>
      <w:hyperlink r:id="rId56">
        <w:r>
          <w:rPr>
            <w:color w:val="636466"/>
            <w:spacing w:val="-2"/>
            <w:sz w:val="14"/>
          </w:rPr>
          <w:t>www.marchofdimes.org.</w:t>
        </w:r>
      </w:hyperlink>
    </w:p>
    <w:p>
      <w:pPr>
        <w:tabs>
          <w:tab w:pos="13319" w:val="left" w:leader="none"/>
          <w:tab w:pos="23454" w:val="right" w:leader="none"/>
        </w:tabs>
        <w:spacing w:line="289" w:lineRule="exact" w:before="0"/>
        <w:ind w:left="1058" w:right="0" w:firstLine="0"/>
        <w:jc w:val="left"/>
        <w:rPr>
          <w:b/>
          <w:sz w:val="26"/>
        </w:rPr>
      </w:pPr>
      <w:r>
        <w:rPr>
          <w:b/>
          <w:color w:val="939598"/>
          <w:spacing w:val="-5"/>
          <w:sz w:val="26"/>
        </w:rPr>
        <w:t>27</w:t>
      </w:r>
      <w:r>
        <w:rPr>
          <w:b/>
          <w:color w:val="939598"/>
          <w:sz w:val="26"/>
        </w:rPr>
        <w:tab/>
      </w:r>
      <w:r>
        <w:rPr>
          <w:color w:val="636466"/>
          <w:spacing w:val="-2"/>
          <w:sz w:val="14"/>
        </w:rPr>
        <w:t>10.</w:t>
      </w:r>
      <w:r>
        <w:rPr>
          <w:color w:val="636466"/>
          <w:spacing w:val="1"/>
          <w:sz w:val="14"/>
        </w:rPr>
        <w:t> </w:t>
      </w:r>
      <w:r>
        <w:rPr>
          <w:color w:val="636466"/>
          <w:spacing w:val="-2"/>
          <w:sz w:val="14"/>
        </w:rPr>
        <w:t>Stanford</w:t>
      </w:r>
      <w:r>
        <w:rPr>
          <w:color w:val="636466"/>
          <w:spacing w:val="1"/>
          <w:sz w:val="14"/>
        </w:rPr>
        <w:t> </w:t>
      </w:r>
      <w:r>
        <w:rPr>
          <w:color w:val="636466"/>
          <w:spacing w:val="-2"/>
          <w:sz w:val="14"/>
        </w:rPr>
        <w:t>Children’s</w:t>
      </w:r>
      <w:r>
        <w:rPr>
          <w:color w:val="636466"/>
          <w:spacing w:val="1"/>
          <w:sz w:val="14"/>
        </w:rPr>
        <w:t> </w:t>
      </w:r>
      <w:r>
        <w:rPr>
          <w:color w:val="636466"/>
          <w:spacing w:val="-2"/>
          <w:sz w:val="14"/>
        </w:rPr>
        <w:t>Health,</w:t>
      </w:r>
      <w:r>
        <w:rPr>
          <w:color w:val="636466"/>
          <w:spacing w:val="1"/>
          <w:sz w:val="14"/>
        </w:rPr>
        <w:t> </w:t>
      </w:r>
      <w:r>
        <w:rPr>
          <w:color w:val="636466"/>
          <w:spacing w:val="-2"/>
          <w:sz w:val="14"/>
        </w:rPr>
        <w:t>Low</w:t>
      </w:r>
      <w:r>
        <w:rPr>
          <w:color w:val="636466"/>
          <w:spacing w:val="1"/>
          <w:sz w:val="14"/>
        </w:rPr>
        <w:t> </w:t>
      </w:r>
      <w:r>
        <w:rPr>
          <w:color w:val="636466"/>
          <w:spacing w:val="-2"/>
          <w:sz w:val="14"/>
        </w:rPr>
        <w:t>Birthweight</w:t>
      </w:r>
      <w:r>
        <w:rPr>
          <w:color w:val="636466"/>
          <w:sz w:val="14"/>
        </w:rPr>
        <w:tab/>
      </w:r>
      <w:r>
        <w:rPr>
          <w:b/>
          <w:color w:val="939598"/>
          <w:spacing w:val="-5"/>
          <w:sz w:val="26"/>
        </w:rPr>
        <w:t>28</w:t>
      </w:r>
    </w:p>
    <w:p>
      <w:pPr>
        <w:spacing w:after="0" w:line="289" w:lineRule="exact"/>
        <w:jc w:val="left"/>
        <w:rPr>
          <w:b/>
          <w:sz w:val="26"/>
        </w:rPr>
        <w:sectPr>
          <w:type w:val="continuous"/>
          <w:pgSz w:w="24480" w:h="15840" w:orient="landscape"/>
          <w:pgMar w:header="0" w:footer="0" w:top="0" w:bottom="280" w:left="0" w:right="720"/>
        </w:sectPr>
      </w:pPr>
    </w:p>
    <w:p>
      <w:pPr>
        <w:pStyle w:val="BodyText"/>
        <w:rPr>
          <w:b/>
          <w:sz w:val="20"/>
        </w:rPr>
      </w:pPr>
    </w:p>
    <w:p>
      <w:pPr>
        <w:pStyle w:val="BodyText"/>
        <w:spacing w:before="16"/>
        <w:rPr>
          <w:b/>
          <w:sz w:val="20"/>
        </w:rPr>
      </w:pPr>
    </w:p>
    <w:p>
      <w:pPr>
        <w:pStyle w:val="BodyText"/>
        <w:spacing w:after="0"/>
        <w:rPr>
          <w:b/>
          <w:sz w:val="20"/>
        </w:rPr>
        <w:sectPr>
          <w:pgSz w:w="24480" w:h="15840" w:orient="landscape"/>
          <w:pgMar w:header="0" w:footer="0" w:top="860" w:bottom="0" w:left="0" w:right="720"/>
        </w:sectPr>
      </w:pPr>
    </w:p>
    <w:p>
      <w:pPr>
        <w:pStyle w:val="Heading6"/>
        <w:spacing w:before="116"/>
        <w:ind w:left="1088"/>
      </w:pPr>
      <w:r>
        <w:rPr>
          <w:color w:val="105C84"/>
        </w:rPr>
        <w:t>FIGURE</w:t>
      </w:r>
      <w:r>
        <w:rPr>
          <w:color w:val="105C84"/>
          <w:spacing w:val="-14"/>
        </w:rPr>
        <w:t> </w:t>
      </w:r>
      <w:r>
        <w:rPr>
          <w:color w:val="105C84"/>
        </w:rPr>
        <w:t>11:</w:t>
      </w:r>
      <w:r>
        <w:rPr>
          <w:color w:val="105C84"/>
          <w:spacing w:val="-13"/>
        </w:rPr>
        <w:t> </w:t>
      </w:r>
      <w:r>
        <w:rPr>
          <w:color w:val="105C84"/>
        </w:rPr>
        <w:t>Rate</w:t>
      </w:r>
      <w:r>
        <w:rPr>
          <w:color w:val="105C84"/>
          <w:spacing w:val="-13"/>
        </w:rPr>
        <w:t> </w:t>
      </w:r>
      <w:r>
        <w:rPr>
          <w:color w:val="105C84"/>
        </w:rPr>
        <w:t>of</w:t>
      </w:r>
      <w:r>
        <w:rPr>
          <w:color w:val="105C84"/>
          <w:spacing w:val="-13"/>
        </w:rPr>
        <w:t> </w:t>
      </w:r>
      <w:r>
        <w:rPr>
          <w:color w:val="105C84"/>
        </w:rPr>
        <w:t>Infant</w:t>
      </w:r>
      <w:r>
        <w:rPr>
          <w:color w:val="105C84"/>
          <w:spacing w:val="-14"/>
        </w:rPr>
        <w:t> </w:t>
      </w:r>
      <w:r>
        <w:rPr>
          <w:color w:val="105C84"/>
          <w:spacing w:val="-2"/>
        </w:rPr>
        <w:t>Mortality</w:t>
      </w:r>
    </w:p>
    <w:p>
      <w:pPr>
        <w:pStyle w:val="BodyText"/>
        <w:spacing w:before="128"/>
        <w:rPr>
          <w:b/>
          <w:sz w:val="26"/>
        </w:rPr>
      </w:pPr>
    </w:p>
    <w:p>
      <w:pPr>
        <w:spacing w:before="0"/>
        <w:ind w:left="1504" w:right="0" w:firstLine="0"/>
        <w:jc w:val="left"/>
        <w:rPr>
          <w:sz w:val="18"/>
        </w:rPr>
      </w:pPr>
      <w:r>
        <w:rPr>
          <w:sz w:val="18"/>
        </w:rPr>
        <mc:AlternateContent>
          <mc:Choice Requires="wps">
            <w:drawing>
              <wp:anchor distT="0" distB="0" distL="0" distR="0" allowOverlap="1" layoutInCell="1" locked="0" behindDoc="0" simplePos="0" relativeHeight="15766528">
                <wp:simplePos x="0" y="0"/>
                <wp:positionH relativeFrom="page">
                  <wp:posOffset>1128407</wp:posOffset>
                </wp:positionH>
                <wp:positionV relativeFrom="paragraph">
                  <wp:posOffset>27061</wp:posOffset>
                </wp:positionV>
                <wp:extent cx="4879975" cy="1906905"/>
                <wp:effectExtent l="0" t="0" r="0" b="0"/>
                <wp:wrapNone/>
                <wp:docPr id="335" name="Group 335"/>
                <wp:cNvGraphicFramePr>
                  <a:graphicFrameLocks/>
                </wp:cNvGraphicFramePr>
                <a:graphic>
                  <a:graphicData uri="http://schemas.microsoft.com/office/word/2010/wordprocessingGroup">
                    <wpg:wgp>
                      <wpg:cNvPr id="335" name="Group 335"/>
                      <wpg:cNvGrpSpPr/>
                      <wpg:grpSpPr>
                        <a:xfrm>
                          <a:off x="0" y="0"/>
                          <a:ext cx="4879975" cy="1906905"/>
                          <a:chExt cx="4879975" cy="1906905"/>
                        </a:xfrm>
                      </wpg:grpSpPr>
                      <wps:wsp>
                        <wps:cNvPr id="336" name="Graphic 336"/>
                        <wps:cNvSpPr/>
                        <wps:spPr>
                          <a:xfrm>
                            <a:off x="3568" y="3568"/>
                            <a:ext cx="4872355" cy="1899920"/>
                          </a:xfrm>
                          <a:custGeom>
                            <a:avLst/>
                            <a:gdLst/>
                            <a:ahLst/>
                            <a:cxnLst/>
                            <a:rect l="l" t="t" r="r" b="b"/>
                            <a:pathLst>
                              <a:path w="4872355" h="1899920">
                                <a:moveTo>
                                  <a:pt x="4872304" y="1899742"/>
                                </a:moveTo>
                                <a:lnTo>
                                  <a:pt x="0" y="1899742"/>
                                </a:lnTo>
                                <a:lnTo>
                                  <a:pt x="0" y="0"/>
                                </a:lnTo>
                              </a:path>
                            </a:pathLst>
                          </a:custGeom>
                          <a:ln w="7137">
                            <a:solidFill>
                              <a:srgbClr val="939598"/>
                            </a:solidFill>
                            <a:prstDash val="solid"/>
                          </a:ln>
                        </wps:spPr>
                        <wps:bodyPr wrap="square" lIns="0" tIns="0" rIns="0" bIns="0" rtlCol="0">
                          <a:prstTxWarp prst="textNoShape">
                            <a:avLst/>
                          </a:prstTxWarp>
                          <a:noAutofit/>
                        </wps:bodyPr>
                      </wps:wsp>
                      <wps:wsp>
                        <wps:cNvPr id="337" name="Graphic 337"/>
                        <wps:cNvSpPr/>
                        <wps:spPr>
                          <a:xfrm>
                            <a:off x="683023" y="258653"/>
                            <a:ext cx="4025900" cy="215900"/>
                          </a:xfrm>
                          <a:custGeom>
                            <a:avLst/>
                            <a:gdLst/>
                            <a:ahLst/>
                            <a:cxnLst/>
                            <a:rect l="l" t="t" r="r" b="b"/>
                            <a:pathLst>
                              <a:path w="4025900" h="215900">
                                <a:moveTo>
                                  <a:pt x="0" y="215900"/>
                                </a:moveTo>
                                <a:lnTo>
                                  <a:pt x="1346200" y="152400"/>
                                </a:lnTo>
                                <a:lnTo>
                                  <a:pt x="2692400" y="38100"/>
                                </a:lnTo>
                                <a:lnTo>
                                  <a:pt x="4025900" y="0"/>
                                </a:lnTo>
                              </a:path>
                            </a:pathLst>
                          </a:custGeom>
                          <a:ln w="25400">
                            <a:solidFill>
                              <a:srgbClr val="82BF6A"/>
                            </a:solidFill>
                            <a:prstDash val="solid"/>
                          </a:ln>
                        </wps:spPr>
                        <wps:bodyPr wrap="square" lIns="0" tIns="0" rIns="0" bIns="0" rtlCol="0">
                          <a:prstTxWarp prst="textNoShape">
                            <a:avLst/>
                          </a:prstTxWarp>
                          <a:noAutofit/>
                        </wps:bodyPr>
                      </wps:wsp>
                      <wps:wsp>
                        <wps:cNvPr id="338" name="Graphic 338"/>
                        <wps:cNvSpPr/>
                        <wps:spPr>
                          <a:xfrm>
                            <a:off x="670196" y="157060"/>
                            <a:ext cx="4010660" cy="176530"/>
                          </a:xfrm>
                          <a:custGeom>
                            <a:avLst/>
                            <a:gdLst/>
                            <a:ahLst/>
                            <a:cxnLst/>
                            <a:rect l="l" t="t" r="r" b="b"/>
                            <a:pathLst>
                              <a:path w="4010660" h="176530">
                                <a:moveTo>
                                  <a:pt x="13068" y="0"/>
                                </a:moveTo>
                                <a:lnTo>
                                  <a:pt x="5925" y="0"/>
                                </a:lnTo>
                                <a:lnTo>
                                  <a:pt x="266" y="5448"/>
                                </a:lnTo>
                                <a:lnTo>
                                  <a:pt x="0" y="19469"/>
                                </a:lnTo>
                                <a:lnTo>
                                  <a:pt x="5575" y="25260"/>
                                </a:lnTo>
                                <a:lnTo>
                                  <a:pt x="95783" y="26962"/>
                                </a:lnTo>
                                <a:lnTo>
                                  <a:pt x="101574" y="21386"/>
                                </a:lnTo>
                                <a:lnTo>
                                  <a:pt x="101841" y="7365"/>
                                </a:lnTo>
                                <a:lnTo>
                                  <a:pt x="96265" y="1574"/>
                                </a:lnTo>
                                <a:lnTo>
                                  <a:pt x="13068" y="0"/>
                                </a:lnTo>
                                <a:close/>
                              </a:path>
                              <a:path w="4010660" h="176530">
                                <a:moveTo>
                                  <a:pt x="183819" y="3213"/>
                                </a:moveTo>
                                <a:lnTo>
                                  <a:pt x="178028" y="8801"/>
                                </a:lnTo>
                                <a:lnTo>
                                  <a:pt x="177761" y="22821"/>
                                </a:lnTo>
                                <a:lnTo>
                                  <a:pt x="183337" y="28613"/>
                                </a:lnTo>
                                <a:lnTo>
                                  <a:pt x="273557" y="30314"/>
                                </a:lnTo>
                                <a:lnTo>
                                  <a:pt x="279349" y="24739"/>
                                </a:lnTo>
                                <a:lnTo>
                                  <a:pt x="279615" y="10718"/>
                                </a:lnTo>
                                <a:lnTo>
                                  <a:pt x="274027" y="4927"/>
                                </a:lnTo>
                                <a:lnTo>
                                  <a:pt x="183819" y="3213"/>
                                </a:lnTo>
                                <a:close/>
                              </a:path>
                              <a:path w="4010660" h="176530">
                                <a:moveTo>
                                  <a:pt x="361594" y="6578"/>
                                </a:moveTo>
                                <a:lnTo>
                                  <a:pt x="355790" y="12153"/>
                                </a:lnTo>
                                <a:lnTo>
                                  <a:pt x="355536" y="26174"/>
                                </a:lnTo>
                                <a:lnTo>
                                  <a:pt x="361111" y="31965"/>
                                </a:lnTo>
                                <a:lnTo>
                                  <a:pt x="451319" y="33667"/>
                                </a:lnTo>
                                <a:lnTo>
                                  <a:pt x="457111" y="28092"/>
                                </a:lnTo>
                                <a:lnTo>
                                  <a:pt x="457377" y="14071"/>
                                </a:lnTo>
                                <a:lnTo>
                                  <a:pt x="451802" y="8280"/>
                                </a:lnTo>
                                <a:lnTo>
                                  <a:pt x="361594" y="6578"/>
                                </a:lnTo>
                                <a:close/>
                              </a:path>
                              <a:path w="4010660" h="176530">
                                <a:moveTo>
                                  <a:pt x="539356" y="9931"/>
                                </a:moveTo>
                                <a:lnTo>
                                  <a:pt x="533565" y="15506"/>
                                </a:lnTo>
                                <a:lnTo>
                                  <a:pt x="533395" y="24434"/>
                                </a:lnTo>
                                <a:lnTo>
                                  <a:pt x="533298" y="29527"/>
                                </a:lnTo>
                                <a:lnTo>
                                  <a:pt x="538873" y="35318"/>
                                </a:lnTo>
                                <a:lnTo>
                                  <a:pt x="629094" y="37033"/>
                                </a:lnTo>
                                <a:lnTo>
                                  <a:pt x="634885" y="31457"/>
                                </a:lnTo>
                                <a:lnTo>
                                  <a:pt x="635012" y="24434"/>
                                </a:lnTo>
                                <a:lnTo>
                                  <a:pt x="635139" y="17424"/>
                                </a:lnTo>
                                <a:lnTo>
                                  <a:pt x="629564" y="11633"/>
                                </a:lnTo>
                                <a:lnTo>
                                  <a:pt x="539356" y="9931"/>
                                </a:lnTo>
                                <a:close/>
                              </a:path>
                              <a:path w="4010660" h="176530">
                                <a:moveTo>
                                  <a:pt x="717130" y="13284"/>
                                </a:moveTo>
                                <a:lnTo>
                                  <a:pt x="711327" y="18859"/>
                                </a:lnTo>
                                <a:lnTo>
                                  <a:pt x="711072" y="32880"/>
                                </a:lnTo>
                                <a:lnTo>
                                  <a:pt x="716648" y="38671"/>
                                </a:lnTo>
                                <a:lnTo>
                                  <a:pt x="806856" y="40386"/>
                                </a:lnTo>
                                <a:lnTo>
                                  <a:pt x="812647" y="34798"/>
                                </a:lnTo>
                                <a:lnTo>
                                  <a:pt x="812914" y="20777"/>
                                </a:lnTo>
                                <a:lnTo>
                                  <a:pt x="807338" y="14986"/>
                                </a:lnTo>
                                <a:lnTo>
                                  <a:pt x="717130" y="13284"/>
                                </a:lnTo>
                                <a:close/>
                              </a:path>
                              <a:path w="4010660" h="176530">
                                <a:moveTo>
                                  <a:pt x="894892" y="16637"/>
                                </a:moveTo>
                                <a:lnTo>
                                  <a:pt x="889101" y="22212"/>
                                </a:lnTo>
                                <a:lnTo>
                                  <a:pt x="888834" y="36245"/>
                                </a:lnTo>
                                <a:lnTo>
                                  <a:pt x="894532" y="42164"/>
                                </a:lnTo>
                                <a:lnTo>
                                  <a:pt x="901433" y="42164"/>
                                </a:lnTo>
                                <a:lnTo>
                                  <a:pt x="984631" y="43738"/>
                                </a:lnTo>
                                <a:lnTo>
                                  <a:pt x="990422" y="38150"/>
                                </a:lnTo>
                                <a:lnTo>
                                  <a:pt x="990688" y="24130"/>
                                </a:lnTo>
                                <a:lnTo>
                                  <a:pt x="985113" y="18338"/>
                                </a:lnTo>
                                <a:lnTo>
                                  <a:pt x="894892" y="16637"/>
                                </a:lnTo>
                                <a:close/>
                              </a:path>
                              <a:path w="4010660" h="176530">
                                <a:moveTo>
                                  <a:pt x="1072667" y="19989"/>
                                </a:moveTo>
                                <a:lnTo>
                                  <a:pt x="1066876" y="25565"/>
                                </a:lnTo>
                                <a:lnTo>
                                  <a:pt x="1066609" y="39598"/>
                                </a:lnTo>
                                <a:lnTo>
                                  <a:pt x="1072184" y="45389"/>
                                </a:lnTo>
                                <a:lnTo>
                                  <a:pt x="1162392" y="47091"/>
                                </a:lnTo>
                                <a:lnTo>
                                  <a:pt x="1168196" y="41516"/>
                                </a:lnTo>
                                <a:lnTo>
                                  <a:pt x="1168450" y="27482"/>
                                </a:lnTo>
                                <a:lnTo>
                                  <a:pt x="1162875" y="21691"/>
                                </a:lnTo>
                                <a:lnTo>
                                  <a:pt x="1072667" y="19989"/>
                                </a:lnTo>
                                <a:close/>
                              </a:path>
                              <a:path w="4010660" h="176530">
                                <a:moveTo>
                                  <a:pt x="1250429" y="23342"/>
                                </a:moveTo>
                                <a:lnTo>
                                  <a:pt x="1244638" y="28917"/>
                                </a:lnTo>
                                <a:lnTo>
                                  <a:pt x="1244371" y="42951"/>
                                </a:lnTo>
                                <a:lnTo>
                                  <a:pt x="1250081" y="48869"/>
                                </a:lnTo>
                                <a:lnTo>
                                  <a:pt x="1256969" y="48869"/>
                                </a:lnTo>
                                <a:lnTo>
                                  <a:pt x="1340167" y="50444"/>
                                </a:lnTo>
                                <a:lnTo>
                                  <a:pt x="1345958" y="44869"/>
                                </a:lnTo>
                                <a:lnTo>
                                  <a:pt x="1346225" y="30835"/>
                                </a:lnTo>
                                <a:lnTo>
                                  <a:pt x="1340650" y="25044"/>
                                </a:lnTo>
                                <a:lnTo>
                                  <a:pt x="1250429" y="23342"/>
                                </a:lnTo>
                                <a:close/>
                              </a:path>
                              <a:path w="4010660" h="176530">
                                <a:moveTo>
                                  <a:pt x="1428495" y="28663"/>
                                </a:moveTo>
                                <a:lnTo>
                                  <a:pt x="1422539" y="34074"/>
                                </a:lnTo>
                                <a:lnTo>
                                  <a:pt x="1421892" y="48082"/>
                                </a:lnTo>
                                <a:lnTo>
                                  <a:pt x="1427289" y="54025"/>
                                </a:lnTo>
                                <a:lnTo>
                                  <a:pt x="1517421" y="58280"/>
                                </a:lnTo>
                                <a:lnTo>
                                  <a:pt x="1523377" y="52870"/>
                                </a:lnTo>
                                <a:lnTo>
                                  <a:pt x="1524038" y="38862"/>
                                </a:lnTo>
                                <a:lnTo>
                                  <a:pt x="1518615" y="32905"/>
                                </a:lnTo>
                                <a:lnTo>
                                  <a:pt x="1428495" y="28663"/>
                                </a:lnTo>
                                <a:close/>
                              </a:path>
                              <a:path w="4010660" h="176530">
                                <a:moveTo>
                                  <a:pt x="1606105" y="37033"/>
                                </a:moveTo>
                                <a:lnTo>
                                  <a:pt x="1600149" y="42443"/>
                                </a:lnTo>
                                <a:lnTo>
                                  <a:pt x="1599488" y="56464"/>
                                </a:lnTo>
                                <a:lnTo>
                                  <a:pt x="1604898" y="62407"/>
                                </a:lnTo>
                                <a:lnTo>
                                  <a:pt x="1695030" y="66662"/>
                                </a:lnTo>
                                <a:lnTo>
                                  <a:pt x="1700974" y="61252"/>
                                </a:lnTo>
                                <a:lnTo>
                                  <a:pt x="1701634" y="47231"/>
                                </a:lnTo>
                                <a:lnTo>
                                  <a:pt x="1696224" y="41287"/>
                                </a:lnTo>
                                <a:lnTo>
                                  <a:pt x="1606105" y="37033"/>
                                </a:lnTo>
                                <a:close/>
                              </a:path>
                              <a:path w="4010660" h="176530">
                                <a:moveTo>
                                  <a:pt x="1783689" y="45415"/>
                                </a:moveTo>
                                <a:lnTo>
                                  <a:pt x="1777758" y="50825"/>
                                </a:lnTo>
                                <a:lnTo>
                                  <a:pt x="1777098" y="64833"/>
                                </a:lnTo>
                                <a:lnTo>
                                  <a:pt x="1782508" y="70789"/>
                                </a:lnTo>
                                <a:lnTo>
                                  <a:pt x="1872627" y="75031"/>
                                </a:lnTo>
                                <a:lnTo>
                                  <a:pt x="1878571" y="69621"/>
                                </a:lnTo>
                                <a:lnTo>
                                  <a:pt x="1879244" y="55613"/>
                                </a:lnTo>
                                <a:lnTo>
                                  <a:pt x="1873821" y="49669"/>
                                </a:lnTo>
                                <a:lnTo>
                                  <a:pt x="1783689" y="45415"/>
                                </a:lnTo>
                                <a:close/>
                              </a:path>
                              <a:path w="4010660" h="176530">
                                <a:moveTo>
                                  <a:pt x="1961299" y="53784"/>
                                </a:moveTo>
                                <a:lnTo>
                                  <a:pt x="1955355" y="59207"/>
                                </a:lnTo>
                                <a:lnTo>
                                  <a:pt x="1954695" y="73215"/>
                                </a:lnTo>
                                <a:lnTo>
                                  <a:pt x="1960105" y="79159"/>
                                </a:lnTo>
                                <a:lnTo>
                                  <a:pt x="2050237" y="83413"/>
                                </a:lnTo>
                                <a:lnTo>
                                  <a:pt x="2056180" y="78003"/>
                                </a:lnTo>
                                <a:lnTo>
                                  <a:pt x="2056841" y="63995"/>
                                </a:lnTo>
                                <a:lnTo>
                                  <a:pt x="2051418" y="58039"/>
                                </a:lnTo>
                                <a:lnTo>
                                  <a:pt x="1961299" y="53784"/>
                                </a:lnTo>
                                <a:close/>
                              </a:path>
                              <a:path w="4010660" h="176530">
                                <a:moveTo>
                                  <a:pt x="2138908" y="62166"/>
                                </a:moveTo>
                                <a:lnTo>
                                  <a:pt x="2132952" y="67576"/>
                                </a:lnTo>
                                <a:lnTo>
                                  <a:pt x="2132304" y="81597"/>
                                </a:lnTo>
                                <a:lnTo>
                                  <a:pt x="2137702" y="87541"/>
                                </a:lnTo>
                                <a:lnTo>
                                  <a:pt x="2227834" y="91795"/>
                                </a:lnTo>
                                <a:lnTo>
                                  <a:pt x="2233790" y="86385"/>
                                </a:lnTo>
                                <a:lnTo>
                                  <a:pt x="2234450" y="72364"/>
                                </a:lnTo>
                                <a:lnTo>
                                  <a:pt x="2229027" y="66421"/>
                                </a:lnTo>
                                <a:lnTo>
                                  <a:pt x="2138908" y="62166"/>
                                </a:lnTo>
                                <a:close/>
                              </a:path>
                              <a:path w="4010660" h="176530">
                                <a:moveTo>
                                  <a:pt x="2316518" y="70548"/>
                                </a:moveTo>
                                <a:lnTo>
                                  <a:pt x="2310561" y="75958"/>
                                </a:lnTo>
                                <a:lnTo>
                                  <a:pt x="2309901" y="89966"/>
                                </a:lnTo>
                                <a:lnTo>
                                  <a:pt x="2315311" y="95923"/>
                                </a:lnTo>
                                <a:lnTo>
                                  <a:pt x="2405430" y="100164"/>
                                </a:lnTo>
                                <a:lnTo>
                                  <a:pt x="2411387" y="94754"/>
                                </a:lnTo>
                                <a:lnTo>
                                  <a:pt x="2412047" y="80746"/>
                                </a:lnTo>
                                <a:lnTo>
                                  <a:pt x="2406637" y="74803"/>
                                </a:lnTo>
                                <a:lnTo>
                                  <a:pt x="2316518" y="70548"/>
                                </a:lnTo>
                                <a:close/>
                              </a:path>
                              <a:path w="4010660" h="176530">
                                <a:moveTo>
                                  <a:pt x="2494114" y="78917"/>
                                </a:moveTo>
                                <a:lnTo>
                                  <a:pt x="2488158" y="84340"/>
                                </a:lnTo>
                                <a:lnTo>
                                  <a:pt x="2487498" y="98348"/>
                                </a:lnTo>
                                <a:lnTo>
                                  <a:pt x="2492908" y="104292"/>
                                </a:lnTo>
                                <a:lnTo>
                                  <a:pt x="2583040" y="108546"/>
                                </a:lnTo>
                                <a:lnTo>
                                  <a:pt x="2588996" y="103136"/>
                                </a:lnTo>
                                <a:lnTo>
                                  <a:pt x="2589644" y="89128"/>
                                </a:lnTo>
                                <a:lnTo>
                                  <a:pt x="2584246" y="83172"/>
                                </a:lnTo>
                                <a:lnTo>
                                  <a:pt x="2494114" y="78917"/>
                                </a:lnTo>
                                <a:close/>
                              </a:path>
                              <a:path w="4010660" h="176530">
                                <a:moveTo>
                                  <a:pt x="2671711" y="87299"/>
                                </a:moveTo>
                                <a:lnTo>
                                  <a:pt x="2665768" y="92710"/>
                                </a:lnTo>
                                <a:lnTo>
                                  <a:pt x="2665107" y="106730"/>
                                </a:lnTo>
                                <a:lnTo>
                                  <a:pt x="2670517" y="112674"/>
                                </a:lnTo>
                                <a:lnTo>
                                  <a:pt x="2760637" y="116941"/>
                                </a:lnTo>
                                <a:lnTo>
                                  <a:pt x="2766580" y="111544"/>
                                </a:lnTo>
                                <a:lnTo>
                                  <a:pt x="2767253" y="97523"/>
                                </a:lnTo>
                                <a:lnTo>
                                  <a:pt x="2761843" y="91579"/>
                                </a:lnTo>
                                <a:lnTo>
                                  <a:pt x="2671711" y="87299"/>
                                </a:lnTo>
                                <a:close/>
                              </a:path>
                              <a:path w="4010660" h="176530">
                                <a:moveTo>
                                  <a:pt x="2849321" y="95745"/>
                                </a:moveTo>
                                <a:lnTo>
                                  <a:pt x="2843364" y="101155"/>
                                </a:lnTo>
                                <a:lnTo>
                                  <a:pt x="2842691" y="115163"/>
                                </a:lnTo>
                                <a:lnTo>
                                  <a:pt x="2848114" y="121119"/>
                                </a:lnTo>
                                <a:lnTo>
                                  <a:pt x="2938233" y="125412"/>
                                </a:lnTo>
                                <a:lnTo>
                                  <a:pt x="2944177" y="120002"/>
                                </a:lnTo>
                                <a:lnTo>
                                  <a:pt x="2944850" y="105981"/>
                                </a:lnTo>
                                <a:lnTo>
                                  <a:pt x="2939440" y="100037"/>
                                </a:lnTo>
                                <a:lnTo>
                                  <a:pt x="2849321" y="95745"/>
                                </a:lnTo>
                                <a:close/>
                              </a:path>
                              <a:path w="4010660" h="176530">
                                <a:moveTo>
                                  <a:pt x="3026918" y="104203"/>
                                </a:moveTo>
                                <a:lnTo>
                                  <a:pt x="3020961" y="109613"/>
                                </a:lnTo>
                                <a:lnTo>
                                  <a:pt x="3020301" y="123621"/>
                                </a:lnTo>
                                <a:lnTo>
                                  <a:pt x="3025698" y="129578"/>
                                </a:lnTo>
                                <a:lnTo>
                                  <a:pt x="3115830" y="133870"/>
                                </a:lnTo>
                                <a:lnTo>
                                  <a:pt x="3121787" y="128460"/>
                                </a:lnTo>
                                <a:lnTo>
                                  <a:pt x="3122447" y="114439"/>
                                </a:lnTo>
                                <a:lnTo>
                                  <a:pt x="3117049" y="108496"/>
                                </a:lnTo>
                                <a:lnTo>
                                  <a:pt x="3026918" y="104203"/>
                                </a:lnTo>
                                <a:close/>
                              </a:path>
                              <a:path w="4010660" h="176530">
                                <a:moveTo>
                                  <a:pt x="3204514" y="112661"/>
                                </a:moveTo>
                                <a:lnTo>
                                  <a:pt x="3198571" y="118071"/>
                                </a:lnTo>
                                <a:lnTo>
                                  <a:pt x="3197898" y="132080"/>
                                </a:lnTo>
                                <a:lnTo>
                                  <a:pt x="3203308" y="138036"/>
                                </a:lnTo>
                                <a:lnTo>
                                  <a:pt x="3293427" y="142328"/>
                                </a:lnTo>
                                <a:lnTo>
                                  <a:pt x="3299383" y="136906"/>
                                </a:lnTo>
                                <a:lnTo>
                                  <a:pt x="3300056" y="122897"/>
                                </a:lnTo>
                                <a:lnTo>
                                  <a:pt x="3294634" y="116941"/>
                                </a:lnTo>
                                <a:lnTo>
                                  <a:pt x="3204514" y="112661"/>
                                </a:lnTo>
                                <a:close/>
                              </a:path>
                              <a:path w="4010660" h="176530">
                                <a:moveTo>
                                  <a:pt x="3382111" y="121119"/>
                                </a:moveTo>
                                <a:lnTo>
                                  <a:pt x="3376167" y="126517"/>
                                </a:lnTo>
                                <a:lnTo>
                                  <a:pt x="3375494" y="140538"/>
                                </a:lnTo>
                                <a:lnTo>
                                  <a:pt x="3380905" y="146481"/>
                                </a:lnTo>
                                <a:lnTo>
                                  <a:pt x="3471037" y="150774"/>
                                </a:lnTo>
                                <a:lnTo>
                                  <a:pt x="3476993" y="145364"/>
                                </a:lnTo>
                                <a:lnTo>
                                  <a:pt x="3477641" y="131356"/>
                                </a:lnTo>
                                <a:lnTo>
                                  <a:pt x="3472230" y="125412"/>
                                </a:lnTo>
                                <a:lnTo>
                                  <a:pt x="3382111" y="121119"/>
                                </a:lnTo>
                                <a:close/>
                              </a:path>
                              <a:path w="4010660" h="176530">
                                <a:moveTo>
                                  <a:pt x="3559708" y="129578"/>
                                </a:moveTo>
                                <a:lnTo>
                                  <a:pt x="3553752" y="134975"/>
                                </a:lnTo>
                                <a:lnTo>
                                  <a:pt x="3553104" y="148996"/>
                                </a:lnTo>
                                <a:lnTo>
                                  <a:pt x="3558501" y="154940"/>
                                </a:lnTo>
                                <a:lnTo>
                                  <a:pt x="3648633" y="159232"/>
                                </a:lnTo>
                                <a:lnTo>
                                  <a:pt x="3654577" y="153822"/>
                                </a:lnTo>
                                <a:lnTo>
                                  <a:pt x="3655250" y="139814"/>
                                </a:lnTo>
                                <a:lnTo>
                                  <a:pt x="3649840" y="133870"/>
                                </a:lnTo>
                                <a:lnTo>
                                  <a:pt x="3559708" y="129578"/>
                                </a:lnTo>
                                <a:close/>
                              </a:path>
                              <a:path w="4010660" h="176530">
                                <a:moveTo>
                                  <a:pt x="3737317" y="138036"/>
                                </a:moveTo>
                                <a:lnTo>
                                  <a:pt x="3731361" y="143433"/>
                                </a:lnTo>
                                <a:lnTo>
                                  <a:pt x="3730688" y="157441"/>
                                </a:lnTo>
                                <a:lnTo>
                                  <a:pt x="3736111" y="163398"/>
                                </a:lnTo>
                                <a:lnTo>
                                  <a:pt x="3826230" y="167690"/>
                                </a:lnTo>
                                <a:lnTo>
                                  <a:pt x="3832174" y="162280"/>
                                </a:lnTo>
                                <a:lnTo>
                                  <a:pt x="3832847" y="148272"/>
                                </a:lnTo>
                                <a:lnTo>
                                  <a:pt x="3827437" y="142328"/>
                                </a:lnTo>
                                <a:lnTo>
                                  <a:pt x="3737317" y="138036"/>
                                </a:lnTo>
                                <a:close/>
                              </a:path>
                              <a:path w="4010660" h="176530">
                                <a:moveTo>
                                  <a:pt x="3914914" y="146481"/>
                                </a:moveTo>
                                <a:lnTo>
                                  <a:pt x="3908958" y="151892"/>
                                </a:lnTo>
                                <a:lnTo>
                                  <a:pt x="3908285" y="165900"/>
                                </a:lnTo>
                                <a:lnTo>
                                  <a:pt x="3913695" y="171856"/>
                                </a:lnTo>
                                <a:lnTo>
                                  <a:pt x="4003827" y="176149"/>
                                </a:lnTo>
                                <a:lnTo>
                                  <a:pt x="4009783" y="170738"/>
                                </a:lnTo>
                                <a:lnTo>
                                  <a:pt x="4010444" y="156730"/>
                                </a:lnTo>
                                <a:lnTo>
                                  <a:pt x="4005046" y="150774"/>
                                </a:lnTo>
                                <a:lnTo>
                                  <a:pt x="3914914" y="146481"/>
                                </a:lnTo>
                                <a:close/>
                              </a:path>
                            </a:pathLst>
                          </a:custGeom>
                          <a:solidFill>
                            <a:srgbClr val="BCBEC0"/>
                          </a:solidFill>
                        </wps:spPr>
                        <wps:bodyPr wrap="square" lIns="0" tIns="0" rIns="0" bIns="0" rtlCol="0">
                          <a:prstTxWarp prst="textNoShape">
                            <a:avLst/>
                          </a:prstTxWarp>
                          <a:noAutofit/>
                        </wps:bodyPr>
                      </wps:wsp>
                      <wps:wsp>
                        <wps:cNvPr id="339" name="Graphic 339"/>
                        <wps:cNvSpPr/>
                        <wps:spPr>
                          <a:xfrm>
                            <a:off x="709330" y="1151492"/>
                            <a:ext cx="266700" cy="1270"/>
                          </a:xfrm>
                          <a:custGeom>
                            <a:avLst/>
                            <a:gdLst/>
                            <a:ahLst/>
                            <a:cxnLst/>
                            <a:rect l="l" t="t" r="r" b="b"/>
                            <a:pathLst>
                              <a:path w="266700" h="0">
                                <a:moveTo>
                                  <a:pt x="0" y="0"/>
                                </a:moveTo>
                                <a:lnTo>
                                  <a:pt x="266661" y="0"/>
                                </a:lnTo>
                              </a:path>
                            </a:pathLst>
                          </a:custGeom>
                          <a:ln w="25400">
                            <a:solidFill>
                              <a:srgbClr val="82BF6A"/>
                            </a:solidFill>
                            <a:prstDash val="solid"/>
                          </a:ln>
                        </wps:spPr>
                        <wps:bodyPr wrap="square" lIns="0" tIns="0" rIns="0" bIns="0" rtlCol="0">
                          <a:prstTxWarp prst="textNoShape">
                            <a:avLst/>
                          </a:prstTxWarp>
                          <a:noAutofit/>
                        </wps:bodyPr>
                      </wps:wsp>
                      <wps:wsp>
                        <wps:cNvPr id="340" name="Graphic 340"/>
                        <wps:cNvSpPr/>
                        <wps:spPr>
                          <a:xfrm>
                            <a:off x="701961" y="1347288"/>
                            <a:ext cx="279400" cy="25400"/>
                          </a:xfrm>
                          <a:custGeom>
                            <a:avLst/>
                            <a:gdLst/>
                            <a:ahLst/>
                            <a:cxnLst/>
                            <a:rect l="l" t="t" r="r" b="b"/>
                            <a:pathLst>
                              <a:path w="279400" h="25400">
                                <a:moveTo>
                                  <a:pt x="95910" y="0"/>
                                </a:moveTo>
                                <a:lnTo>
                                  <a:pt x="5689" y="0"/>
                                </a:lnTo>
                                <a:lnTo>
                                  <a:pt x="0" y="5689"/>
                                </a:lnTo>
                                <a:lnTo>
                                  <a:pt x="0" y="19710"/>
                                </a:lnTo>
                                <a:lnTo>
                                  <a:pt x="5689" y="25400"/>
                                </a:lnTo>
                                <a:lnTo>
                                  <a:pt x="95910" y="25400"/>
                                </a:lnTo>
                                <a:lnTo>
                                  <a:pt x="101600" y="19710"/>
                                </a:lnTo>
                                <a:lnTo>
                                  <a:pt x="101600" y="5689"/>
                                </a:lnTo>
                                <a:lnTo>
                                  <a:pt x="95910" y="0"/>
                                </a:lnTo>
                                <a:close/>
                              </a:path>
                              <a:path w="279400" h="25400">
                                <a:moveTo>
                                  <a:pt x="273710" y="0"/>
                                </a:moveTo>
                                <a:lnTo>
                                  <a:pt x="183489" y="0"/>
                                </a:lnTo>
                                <a:lnTo>
                                  <a:pt x="177800" y="5689"/>
                                </a:lnTo>
                                <a:lnTo>
                                  <a:pt x="177800" y="19710"/>
                                </a:lnTo>
                                <a:lnTo>
                                  <a:pt x="183489" y="25400"/>
                                </a:lnTo>
                                <a:lnTo>
                                  <a:pt x="273710" y="25400"/>
                                </a:lnTo>
                                <a:lnTo>
                                  <a:pt x="279400" y="19710"/>
                                </a:lnTo>
                                <a:lnTo>
                                  <a:pt x="279400" y="5689"/>
                                </a:lnTo>
                                <a:lnTo>
                                  <a:pt x="273710" y="0"/>
                                </a:lnTo>
                                <a:close/>
                              </a:path>
                            </a:pathLst>
                          </a:custGeom>
                          <a:solidFill>
                            <a:srgbClr val="BCBEC0"/>
                          </a:solidFill>
                        </wps:spPr>
                        <wps:bodyPr wrap="square" lIns="0" tIns="0" rIns="0" bIns="0" rtlCol="0">
                          <a:prstTxWarp prst="textNoShape">
                            <a:avLst/>
                          </a:prstTxWarp>
                          <a:noAutofit/>
                        </wps:bodyPr>
                      </wps:wsp>
                      <wps:wsp>
                        <wps:cNvPr id="341" name="Textbox 341"/>
                        <wps:cNvSpPr txBox="1"/>
                        <wps:spPr>
                          <a:xfrm>
                            <a:off x="0" y="0"/>
                            <a:ext cx="4879975" cy="1906905"/>
                          </a:xfrm>
                          <a:prstGeom prst="rect">
                            <a:avLst/>
                          </a:prstGeom>
                        </wps:spPr>
                        <wps:txbx>
                          <w:txbxContent>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67"/>
                                <w:rPr>
                                  <w:b/>
                                  <w:sz w:val="16"/>
                                </w:rPr>
                              </w:pPr>
                            </w:p>
                            <w:p>
                              <w:pPr>
                                <w:spacing w:line="427" w:lineRule="auto" w:before="0"/>
                                <w:ind w:left="1688" w:right="4796" w:firstLine="1"/>
                                <w:jc w:val="left"/>
                                <w:rPr>
                                  <w:sz w:val="16"/>
                                </w:rPr>
                              </w:pPr>
                              <w:r>
                                <w:rPr>
                                  <w:color w:val="105C84"/>
                                  <w:sz w:val="16"/>
                                </w:rPr>
                                <w:t>8-County</w:t>
                              </w:r>
                              <w:r>
                                <w:rPr>
                                  <w:color w:val="105C84"/>
                                  <w:spacing w:val="-12"/>
                                  <w:sz w:val="16"/>
                                </w:rPr>
                                <w:t> </w:t>
                              </w:r>
                              <w:r>
                                <w:rPr>
                                  <w:color w:val="105C84"/>
                                  <w:sz w:val="16"/>
                                </w:rPr>
                                <w:t>Region</w:t>
                              </w:r>
                              <w:r>
                                <w:rPr>
                                  <w:color w:val="105C84"/>
                                  <w:sz w:val="16"/>
                                </w:rPr>
                                <w:t> NYS Excl NYC</w:t>
                              </w:r>
                            </w:p>
                          </w:txbxContent>
                        </wps:txbx>
                        <wps:bodyPr wrap="square" lIns="0" tIns="0" rIns="0" bIns="0" rtlCol="0">
                          <a:noAutofit/>
                        </wps:bodyPr>
                      </wps:wsp>
                    </wpg:wgp>
                  </a:graphicData>
                </a:graphic>
              </wp:anchor>
            </w:drawing>
          </mc:Choice>
          <mc:Fallback>
            <w:pict>
              <v:group style="position:absolute;margin-left:88.850998pt;margin-top:2.130792pt;width:384.25pt;height:150.15pt;mso-position-horizontal-relative:page;mso-position-vertical-relative:paragraph;z-index:15766528" id="docshapegroup289" coordorigin="1777,43" coordsize="7685,3003">
                <v:shape style="position:absolute;left:1782;top:48;width:7673;height:2992" id="docshape290" coordorigin="1783,48" coordsize="7673,2992" path="m9456,3040l1783,3040,1783,48e" filled="false" stroked="true" strokeweight=".562pt" strokecolor="#939598">
                  <v:path arrowok="t"/>
                  <v:stroke dashstyle="solid"/>
                </v:shape>
                <v:shape style="position:absolute;left:2852;top:449;width:6340;height:340" id="docshape291" coordorigin="2853,450" coordsize="6340,340" path="m2853,790l4973,690,7093,510,9193,450e" filled="false" stroked="true" strokeweight="2pt" strokecolor="#82bf6a">
                  <v:path arrowok="t"/>
                  <v:stroke dashstyle="solid"/>
                </v:shape>
                <v:shape style="position:absolute;left:2832;top:289;width:6316;height:278" id="docshape292" coordorigin="2832,290" coordsize="6316,278" path="m2853,290l2842,290,2833,299,2832,321,2841,330,2983,332,2992,324,2993,302,2984,292,2853,290xm3122,295l3113,304,3112,326,3121,335,3263,338,3272,329,3273,307,3264,298,3122,295xm3402,300l3393,309,3392,331,3401,340,3543,343,3552,334,3553,312,3544,303,3402,300xm3682,306l3673,314,3672,328,3672,336,3681,346,3823,348,3832,339,3832,328,3833,317,3824,308,3682,306xm3962,311l3953,320,3952,342,3961,351,4103,354,4112,345,4113,323,4104,314,3962,311xm4242,316l4233,325,4232,347,4241,356,4252,356,4383,359,4392,350,4393,328,4384,319,4242,316xm4522,321l4513,330,4512,352,4521,361,4663,364,4672,355,4673,333,4664,324,4522,321xm4802,327l4793,335,4792,358,4801,367,4812,367,4943,369,4952,361,4952,339,4944,329,4802,327xm5082,335l5073,344,5072,366,5080,375,5222,382,5231,373,5233,351,5224,342,5082,335xm5362,348l5352,357,5351,379,5360,388,5502,395,5511,386,5512,364,5504,355,5362,348xm5641,361l5632,370,5631,392,5640,401,5781,408,5791,400,5792,378,5783,368,5641,361xm5921,375l5912,383,5911,405,5919,415,6061,421,6071,413,6072,391,6063,381,5921,375xm6201,388l6191,396,6190,418,6199,428,6341,435,6350,426,6351,404,6343,395,6201,388xm6481,401l6471,410,6470,432,6479,441,6621,448,6630,439,6631,417,6622,408,6481,401xm6760,414l6751,423,6750,445,6758,454,6900,461,6910,452,6911,430,6902,421,6760,414xm7040,427l7031,436,7029,458,7038,467,7180,474,7189,466,7190,444,7182,434,7040,427xm7320,441l7310,449,7309,471,7318,481,7460,487,7469,479,7470,457,7461,447,7320,441xm7599,454l7590,463,7589,485,7597,494,7739,501,7749,492,7750,470,7741,461,7599,454xm7879,467l7870,476,7869,498,7877,507,8019,514,8028,506,8029,483,8021,474,7879,467xm8159,481l8149,489,8148,511,8157,521,8299,527,8308,519,8309,497,8301,487,8159,481xm8438,494l8429,503,8428,525,8436,534,8578,541,8588,532,8589,510,8580,501,8438,494xm8718,507l8709,516,8708,538,8716,547,8858,554,8867,546,8868,523,8860,514,8718,507xm8998,521l8988,529,8987,551,8996,561,9138,567,9147,559,9148,537,9140,527,8998,521xe" filled="true" fillcolor="#bcbec0" stroked="false">
                  <v:path arrowok="t"/>
                  <v:fill type="solid"/>
                </v:shape>
                <v:line style="position:absolute" from="2894,1856" to="3314,1856" stroked="true" strokeweight="2pt" strokecolor="#82bf6a">
                  <v:stroke dashstyle="solid"/>
                </v:line>
                <v:shape style="position:absolute;left:2882;top:2164;width:440;height:40" id="docshape293" coordorigin="2882,2164" coordsize="440,40" path="m3034,2164l2891,2164,2882,2173,2882,2195,2891,2204,3034,2204,3042,2195,3042,2173,3034,2164xm3314,2164l3171,2164,3162,2173,3162,2195,3171,2204,3314,2204,3322,2195,3322,2173,3314,2164xe" filled="true" fillcolor="#bcbec0" stroked="false">
                  <v:path arrowok="t"/>
                  <v:fill type="solid"/>
                </v:shape>
                <v:shape style="position:absolute;left:1777;top:42;width:7685;height:3003" type="#_x0000_t202" id="docshape294" filled="false" stroked="false">
                  <v:textbox inset="0,0,0,0">
                    <w:txbxContent>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67"/>
                          <w:rPr>
                            <w:b/>
                            <w:sz w:val="16"/>
                          </w:rPr>
                        </w:pPr>
                      </w:p>
                      <w:p>
                        <w:pPr>
                          <w:spacing w:line="427" w:lineRule="auto" w:before="0"/>
                          <w:ind w:left="1688" w:right="4796" w:firstLine="1"/>
                          <w:jc w:val="left"/>
                          <w:rPr>
                            <w:sz w:val="16"/>
                          </w:rPr>
                        </w:pPr>
                        <w:r>
                          <w:rPr>
                            <w:color w:val="105C84"/>
                            <w:sz w:val="16"/>
                          </w:rPr>
                          <w:t>8-County</w:t>
                        </w:r>
                        <w:r>
                          <w:rPr>
                            <w:color w:val="105C84"/>
                            <w:spacing w:val="-12"/>
                            <w:sz w:val="16"/>
                          </w:rPr>
                          <w:t> </w:t>
                        </w:r>
                        <w:r>
                          <w:rPr>
                            <w:color w:val="105C84"/>
                            <w:sz w:val="16"/>
                          </w:rPr>
                          <w:t>Region</w:t>
                        </w:r>
                        <w:r>
                          <w:rPr>
                            <w:color w:val="105C84"/>
                            <w:sz w:val="16"/>
                          </w:rPr>
                          <w:t> NYS Excl NYC</w:t>
                        </w:r>
                      </w:p>
                    </w:txbxContent>
                  </v:textbox>
                  <w10:wrap type="none"/>
                </v:shape>
                <w10:wrap type="none"/>
              </v:group>
            </w:pict>
          </mc:Fallback>
        </mc:AlternateContent>
      </w:r>
      <w:r>
        <w:rPr>
          <w:color w:val="636466"/>
          <w:spacing w:val="-10"/>
          <w:sz w:val="18"/>
        </w:rPr>
        <w:t>6</w:t>
      </w:r>
    </w:p>
    <w:p>
      <w:pPr>
        <w:pStyle w:val="BodyText"/>
        <w:spacing w:before="66"/>
        <w:rPr>
          <w:sz w:val="18"/>
        </w:rPr>
      </w:pPr>
    </w:p>
    <w:p>
      <w:pPr>
        <w:spacing w:before="1"/>
        <w:ind w:left="1504" w:right="0" w:firstLine="0"/>
        <w:jc w:val="left"/>
        <w:rPr>
          <w:sz w:val="18"/>
        </w:rPr>
      </w:pPr>
      <w:r>
        <w:rPr>
          <w:sz w:val="18"/>
        </w:rPr>
        <mc:AlternateContent>
          <mc:Choice Requires="wps">
            <w:drawing>
              <wp:anchor distT="0" distB="0" distL="0" distR="0" allowOverlap="1" layoutInCell="1" locked="0" behindDoc="0" simplePos="0" relativeHeight="15768576">
                <wp:simplePos x="0" y="0"/>
                <wp:positionH relativeFrom="page">
                  <wp:posOffset>690260</wp:posOffset>
                </wp:positionH>
                <wp:positionV relativeFrom="paragraph">
                  <wp:posOffset>149644</wp:posOffset>
                </wp:positionV>
                <wp:extent cx="164465" cy="954405"/>
                <wp:effectExtent l="0" t="0" r="0" b="0"/>
                <wp:wrapNone/>
                <wp:docPr id="342" name="Textbox 342"/>
                <wp:cNvGraphicFramePr>
                  <a:graphicFrameLocks/>
                </wp:cNvGraphicFramePr>
                <a:graphic>
                  <a:graphicData uri="http://schemas.microsoft.com/office/word/2010/wordprocessingShape">
                    <wps:wsp>
                      <wps:cNvPr id="342" name="Textbox 342"/>
                      <wps:cNvSpPr txBox="1"/>
                      <wps:spPr>
                        <a:xfrm>
                          <a:off x="0" y="0"/>
                          <a:ext cx="164465" cy="954405"/>
                        </a:xfrm>
                        <a:prstGeom prst="rect">
                          <a:avLst/>
                        </a:prstGeom>
                      </wps:spPr>
                      <wps:txbx>
                        <w:txbxContent>
                          <w:p>
                            <w:pPr>
                              <w:spacing w:before="30"/>
                              <w:ind w:left="20" w:right="0" w:firstLine="0"/>
                              <w:jc w:val="left"/>
                              <w:rPr>
                                <w:sz w:val="16"/>
                              </w:rPr>
                            </w:pPr>
                            <w:r>
                              <w:rPr>
                                <w:color w:val="105C84"/>
                                <w:spacing w:val="-2"/>
                                <w:sz w:val="16"/>
                              </w:rPr>
                              <w:t>Rate</w:t>
                            </w:r>
                            <w:r>
                              <w:rPr>
                                <w:color w:val="105C84"/>
                                <w:spacing w:val="-9"/>
                                <w:sz w:val="16"/>
                              </w:rPr>
                              <w:t> </w:t>
                            </w:r>
                            <w:r>
                              <w:rPr>
                                <w:color w:val="105C84"/>
                                <w:spacing w:val="-2"/>
                                <w:sz w:val="16"/>
                              </w:rPr>
                              <w:t>per</w:t>
                            </w:r>
                            <w:r>
                              <w:rPr>
                                <w:color w:val="105C84"/>
                                <w:spacing w:val="-9"/>
                                <w:sz w:val="16"/>
                              </w:rPr>
                              <w:t> </w:t>
                            </w:r>
                            <w:r>
                              <w:rPr>
                                <w:color w:val="105C84"/>
                                <w:spacing w:val="-2"/>
                                <w:sz w:val="16"/>
                              </w:rPr>
                              <w:t>1,000</w:t>
                            </w:r>
                            <w:r>
                              <w:rPr>
                                <w:color w:val="105C84"/>
                                <w:spacing w:val="-9"/>
                                <w:sz w:val="16"/>
                              </w:rPr>
                              <w:t> </w:t>
                            </w:r>
                            <w:r>
                              <w:rPr>
                                <w:color w:val="105C84"/>
                                <w:spacing w:val="-2"/>
                                <w:sz w:val="16"/>
                              </w:rPr>
                              <w:t>Births</w:t>
                            </w:r>
                          </w:p>
                        </w:txbxContent>
                      </wps:txbx>
                      <wps:bodyPr wrap="square" lIns="0" tIns="0" rIns="0" bIns="0" rtlCol="0" vert="vert270">
                        <a:noAutofit/>
                      </wps:bodyPr>
                    </wps:wsp>
                  </a:graphicData>
                </a:graphic>
              </wp:anchor>
            </w:drawing>
          </mc:Choice>
          <mc:Fallback>
            <w:pict>
              <v:shape style="position:absolute;margin-left:54.3512pt;margin-top:11.783047pt;width:12.95pt;height:75.150pt;mso-position-horizontal-relative:page;mso-position-vertical-relative:paragraph;z-index:15768576" type="#_x0000_t202" id="docshape295" filled="false" stroked="false">
                <v:textbox inset="0,0,0,0" style="layout-flow:vertical;mso-layout-flow-alt:bottom-to-top">
                  <w:txbxContent>
                    <w:p>
                      <w:pPr>
                        <w:spacing w:before="30"/>
                        <w:ind w:left="20" w:right="0" w:firstLine="0"/>
                        <w:jc w:val="left"/>
                        <w:rPr>
                          <w:sz w:val="16"/>
                        </w:rPr>
                      </w:pPr>
                      <w:r>
                        <w:rPr>
                          <w:color w:val="105C84"/>
                          <w:spacing w:val="-2"/>
                          <w:sz w:val="16"/>
                        </w:rPr>
                        <w:t>Rate</w:t>
                      </w:r>
                      <w:r>
                        <w:rPr>
                          <w:color w:val="105C84"/>
                          <w:spacing w:val="-9"/>
                          <w:sz w:val="16"/>
                        </w:rPr>
                        <w:t> </w:t>
                      </w:r>
                      <w:r>
                        <w:rPr>
                          <w:color w:val="105C84"/>
                          <w:spacing w:val="-2"/>
                          <w:sz w:val="16"/>
                        </w:rPr>
                        <w:t>per</w:t>
                      </w:r>
                      <w:r>
                        <w:rPr>
                          <w:color w:val="105C84"/>
                          <w:spacing w:val="-9"/>
                          <w:sz w:val="16"/>
                        </w:rPr>
                        <w:t> </w:t>
                      </w:r>
                      <w:r>
                        <w:rPr>
                          <w:color w:val="105C84"/>
                          <w:spacing w:val="-2"/>
                          <w:sz w:val="16"/>
                        </w:rPr>
                        <w:t>1,000</w:t>
                      </w:r>
                      <w:r>
                        <w:rPr>
                          <w:color w:val="105C84"/>
                          <w:spacing w:val="-9"/>
                          <w:sz w:val="16"/>
                        </w:rPr>
                        <w:t> </w:t>
                      </w:r>
                      <w:r>
                        <w:rPr>
                          <w:color w:val="105C84"/>
                          <w:spacing w:val="-2"/>
                          <w:sz w:val="16"/>
                        </w:rPr>
                        <w:t>Births</w:t>
                      </w:r>
                    </w:p>
                  </w:txbxContent>
                </v:textbox>
                <w10:wrap type="none"/>
              </v:shape>
            </w:pict>
          </mc:Fallback>
        </mc:AlternateContent>
      </w:r>
      <w:r>
        <w:rPr>
          <w:color w:val="636466"/>
          <w:spacing w:val="-10"/>
          <w:sz w:val="18"/>
        </w:rPr>
        <w:t>5</w:t>
      </w:r>
    </w:p>
    <w:p>
      <w:pPr>
        <w:pStyle w:val="BodyText"/>
        <w:spacing w:before="85"/>
        <w:rPr>
          <w:sz w:val="18"/>
        </w:rPr>
      </w:pPr>
    </w:p>
    <w:p>
      <w:pPr>
        <w:spacing w:before="1"/>
        <w:ind w:left="1504" w:right="0" w:firstLine="0"/>
        <w:jc w:val="left"/>
        <w:rPr>
          <w:sz w:val="18"/>
        </w:rPr>
      </w:pPr>
      <w:r>
        <w:rPr>
          <w:color w:val="636466"/>
          <w:spacing w:val="-10"/>
          <w:sz w:val="18"/>
        </w:rPr>
        <w:t>4</w:t>
      </w:r>
    </w:p>
    <w:p>
      <w:pPr>
        <w:pStyle w:val="BodyText"/>
        <w:spacing w:before="66"/>
        <w:rPr>
          <w:sz w:val="18"/>
        </w:rPr>
      </w:pPr>
    </w:p>
    <w:p>
      <w:pPr>
        <w:spacing w:before="0"/>
        <w:ind w:left="1504" w:right="0" w:firstLine="0"/>
        <w:jc w:val="left"/>
        <w:rPr>
          <w:sz w:val="18"/>
        </w:rPr>
      </w:pPr>
      <w:r>
        <w:rPr>
          <w:color w:val="636466"/>
          <w:spacing w:val="-10"/>
          <w:sz w:val="18"/>
        </w:rPr>
        <w:t>3</w:t>
      </w:r>
    </w:p>
    <w:p>
      <w:pPr>
        <w:pStyle w:val="BodyText"/>
        <w:spacing w:before="66"/>
        <w:rPr>
          <w:sz w:val="18"/>
        </w:rPr>
      </w:pPr>
    </w:p>
    <w:p>
      <w:pPr>
        <w:spacing w:before="0"/>
        <w:ind w:left="1504" w:right="0" w:firstLine="0"/>
        <w:jc w:val="left"/>
        <w:rPr>
          <w:sz w:val="18"/>
        </w:rPr>
      </w:pPr>
      <w:r>
        <w:rPr>
          <w:color w:val="636466"/>
          <w:spacing w:val="-10"/>
          <w:sz w:val="18"/>
        </w:rPr>
        <w:t>2</w:t>
      </w:r>
    </w:p>
    <w:p>
      <w:pPr>
        <w:pStyle w:val="BodyText"/>
        <w:spacing w:before="86"/>
        <w:rPr>
          <w:sz w:val="18"/>
        </w:rPr>
      </w:pPr>
    </w:p>
    <w:p>
      <w:pPr>
        <w:spacing w:before="0"/>
        <w:ind w:left="1504" w:right="0" w:firstLine="0"/>
        <w:jc w:val="left"/>
        <w:rPr>
          <w:sz w:val="18"/>
        </w:rPr>
      </w:pPr>
      <w:r>
        <w:rPr>
          <w:color w:val="636466"/>
          <w:spacing w:val="-10"/>
          <w:sz w:val="18"/>
        </w:rPr>
        <w:t>1</w:t>
      </w:r>
    </w:p>
    <w:p>
      <w:pPr>
        <w:pStyle w:val="BodyText"/>
        <w:spacing w:before="66"/>
        <w:rPr>
          <w:sz w:val="18"/>
        </w:rPr>
      </w:pPr>
    </w:p>
    <w:p>
      <w:pPr>
        <w:spacing w:before="0"/>
        <w:ind w:left="1504" w:right="0" w:firstLine="0"/>
        <w:jc w:val="left"/>
        <w:rPr>
          <w:sz w:val="18"/>
        </w:rPr>
      </w:pPr>
      <w:r>
        <w:rPr>
          <w:color w:val="636466"/>
          <w:spacing w:val="-10"/>
          <w:sz w:val="18"/>
        </w:rPr>
        <w:t>0</w:t>
      </w:r>
    </w:p>
    <w:p>
      <w:pPr>
        <w:pStyle w:val="BodyText"/>
        <w:spacing w:line="247" w:lineRule="auto" w:before="122"/>
        <w:ind w:left="1088" w:right="668"/>
      </w:pPr>
      <w:r>
        <w:rPr/>
        <w:br w:type="column"/>
      </w:r>
      <w:r>
        <w:rPr>
          <w:color w:val="105C84"/>
        </w:rPr>
        <w:t>According to survey data from </w:t>
      </w:r>
      <w:r>
        <w:rPr>
          <w:i/>
          <w:color w:val="105C84"/>
        </w:rPr>
        <w:t>My Health Story 2018</w:t>
      </w:r>
      <w:r>
        <w:rPr>
          <w:color w:val="105C84"/>
        </w:rPr>
        <w:t>, half of the respondents indicated they have dealt with anxiety, fear, depression or sadness (Figure 13). For those who have dealt with mental or emotional health issues, 75% of survey respondents said they got the help they needed. The most commonly reported support was from doctors, counselors and other mental health professionals</w:t>
      </w:r>
      <w:r>
        <w:rPr>
          <w:color w:val="105C84"/>
          <w:spacing w:val="40"/>
        </w:rPr>
        <w:t> </w:t>
      </w:r>
      <w:r>
        <w:rPr>
          <w:color w:val="105C84"/>
        </w:rPr>
        <w:t>followed by support from friends and family.</w:t>
      </w:r>
    </w:p>
    <w:p>
      <w:pPr>
        <w:pStyle w:val="BodyText"/>
        <w:spacing w:before="17"/>
      </w:pPr>
    </w:p>
    <w:p>
      <w:pPr>
        <w:pStyle w:val="Heading6"/>
        <w:ind w:left="1088"/>
      </w:pPr>
      <w:r>
        <w:rPr>
          <w:color w:val="105C84"/>
        </w:rPr>
        <w:t>FIGURE</w:t>
      </w:r>
      <w:r>
        <w:rPr>
          <w:color w:val="105C84"/>
          <w:spacing w:val="-18"/>
        </w:rPr>
        <w:t> </w:t>
      </w:r>
      <w:r>
        <w:rPr>
          <w:color w:val="105C84"/>
        </w:rPr>
        <w:t>13:</w:t>
      </w:r>
      <w:r>
        <w:rPr>
          <w:color w:val="105C84"/>
          <w:spacing w:val="-18"/>
        </w:rPr>
        <w:t> </w:t>
      </w:r>
      <w:r>
        <w:rPr>
          <w:color w:val="105C84"/>
        </w:rPr>
        <w:t>Percent</w:t>
      </w:r>
      <w:r>
        <w:rPr>
          <w:color w:val="105C84"/>
          <w:spacing w:val="-18"/>
        </w:rPr>
        <w:t> </w:t>
      </w:r>
      <w:r>
        <w:rPr>
          <w:color w:val="105C84"/>
        </w:rPr>
        <w:t>of</w:t>
      </w:r>
      <w:r>
        <w:rPr>
          <w:color w:val="105C84"/>
          <w:spacing w:val="-18"/>
        </w:rPr>
        <w:t> </w:t>
      </w:r>
      <w:r>
        <w:rPr>
          <w:color w:val="105C84"/>
        </w:rPr>
        <w:t>adults</w:t>
      </w:r>
      <w:r>
        <w:rPr>
          <w:color w:val="105C84"/>
          <w:spacing w:val="-18"/>
        </w:rPr>
        <w:t> </w:t>
      </w:r>
      <w:r>
        <w:rPr>
          <w:color w:val="105C84"/>
        </w:rPr>
        <w:t>who</w:t>
      </w:r>
      <w:r>
        <w:rPr>
          <w:color w:val="105C84"/>
          <w:spacing w:val="-18"/>
        </w:rPr>
        <w:t> </w:t>
      </w:r>
      <w:r>
        <w:rPr>
          <w:color w:val="105C84"/>
        </w:rPr>
        <w:t>have</w:t>
      </w:r>
      <w:r>
        <w:rPr>
          <w:color w:val="105C84"/>
          <w:spacing w:val="-18"/>
        </w:rPr>
        <w:t> </w:t>
      </w:r>
      <w:r>
        <w:rPr>
          <w:color w:val="105C84"/>
        </w:rPr>
        <w:t>personally</w:t>
      </w:r>
      <w:r>
        <w:rPr>
          <w:color w:val="105C84"/>
          <w:spacing w:val="-18"/>
        </w:rPr>
        <w:t> </w:t>
      </w:r>
      <w:r>
        <w:rPr>
          <w:color w:val="105C84"/>
        </w:rPr>
        <w:t>dealt</w:t>
      </w:r>
      <w:r>
        <w:rPr>
          <w:color w:val="105C84"/>
          <w:spacing w:val="-18"/>
        </w:rPr>
        <w:t> </w:t>
      </w:r>
      <w:r>
        <w:rPr>
          <w:color w:val="105C84"/>
        </w:rPr>
        <w:t>with</w:t>
      </w:r>
      <w:r>
        <w:rPr>
          <w:color w:val="105C84"/>
          <w:spacing w:val="-18"/>
        </w:rPr>
        <w:t> </w:t>
      </w:r>
      <w:r>
        <w:rPr>
          <w:color w:val="105C84"/>
        </w:rPr>
        <w:t>each</w:t>
      </w:r>
      <w:r>
        <w:rPr>
          <w:color w:val="105C84"/>
          <w:spacing w:val="-18"/>
        </w:rPr>
        <w:t> </w:t>
      </w:r>
      <w:r>
        <w:rPr>
          <w:color w:val="105C84"/>
        </w:rPr>
        <w:t>of</w:t>
      </w:r>
      <w:r>
        <w:rPr>
          <w:color w:val="105C84"/>
          <w:spacing w:val="-18"/>
        </w:rPr>
        <w:t> </w:t>
      </w:r>
      <w:r>
        <w:rPr>
          <w:color w:val="105C84"/>
        </w:rPr>
        <w:t>the</w:t>
      </w:r>
      <w:r>
        <w:rPr>
          <w:color w:val="105C84"/>
          <w:spacing w:val="-18"/>
        </w:rPr>
        <w:t> </w:t>
      </w:r>
      <w:r>
        <w:rPr>
          <w:color w:val="105C84"/>
        </w:rPr>
        <w:t>following mental</w:t>
      </w:r>
      <w:r>
        <w:rPr>
          <w:color w:val="105C84"/>
          <w:spacing w:val="-2"/>
        </w:rPr>
        <w:t> </w:t>
      </w:r>
      <w:r>
        <w:rPr>
          <w:color w:val="105C84"/>
        </w:rPr>
        <w:t>or</w:t>
      </w:r>
      <w:r>
        <w:rPr>
          <w:color w:val="105C84"/>
          <w:spacing w:val="-2"/>
        </w:rPr>
        <w:t> </w:t>
      </w:r>
      <w:r>
        <w:rPr>
          <w:color w:val="105C84"/>
        </w:rPr>
        <w:t>emotional</w:t>
      </w:r>
      <w:r>
        <w:rPr>
          <w:color w:val="105C84"/>
          <w:spacing w:val="-2"/>
        </w:rPr>
        <w:t> </w:t>
      </w:r>
      <w:r>
        <w:rPr>
          <w:color w:val="105C84"/>
        </w:rPr>
        <w:t>health</w:t>
      </w:r>
      <w:r>
        <w:rPr>
          <w:color w:val="105C84"/>
          <w:spacing w:val="-2"/>
        </w:rPr>
        <w:t> </w:t>
      </w:r>
      <w:r>
        <w:rPr>
          <w:color w:val="105C84"/>
        </w:rPr>
        <w:t>issues</w:t>
      </w:r>
    </w:p>
    <w:p>
      <w:pPr>
        <w:pStyle w:val="BodyText"/>
        <w:spacing w:before="283"/>
        <w:rPr>
          <w:b/>
          <w:sz w:val="26"/>
        </w:rPr>
      </w:pPr>
    </w:p>
    <w:p>
      <w:pPr>
        <w:spacing w:before="0"/>
        <w:ind w:left="0" w:right="7183" w:firstLine="0"/>
        <w:jc w:val="right"/>
        <w:rPr>
          <w:sz w:val="18"/>
        </w:rPr>
      </w:pPr>
      <w:r>
        <w:rPr>
          <w:sz w:val="18"/>
        </w:rPr>
        <mc:AlternateContent>
          <mc:Choice Requires="wps">
            <w:drawing>
              <wp:anchor distT="0" distB="0" distL="0" distR="0" allowOverlap="1" layoutInCell="1" locked="0" behindDoc="0" simplePos="0" relativeHeight="15767552">
                <wp:simplePos x="0" y="0"/>
                <wp:positionH relativeFrom="page">
                  <wp:posOffset>10680858</wp:posOffset>
                </wp:positionH>
                <wp:positionV relativeFrom="paragraph">
                  <wp:posOffset>-144008</wp:posOffset>
                </wp:positionV>
                <wp:extent cx="3302000" cy="3771900"/>
                <wp:effectExtent l="0" t="0" r="0" b="0"/>
                <wp:wrapNone/>
                <wp:docPr id="343" name="Group 343"/>
                <wp:cNvGraphicFramePr>
                  <a:graphicFrameLocks/>
                </wp:cNvGraphicFramePr>
                <a:graphic>
                  <a:graphicData uri="http://schemas.microsoft.com/office/word/2010/wordprocessingGroup">
                    <wpg:wgp>
                      <wpg:cNvPr id="343" name="Group 343"/>
                      <wpg:cNvGrpSpPr/>
                      <wpg:grpSpPr>
                        <a:xfrm>
                          <a:off x="0" y="0"/>
                          <a:ext cx="3302000" cy="3771900"/>
                          <a:chExt cx="3302000" cy="3771900"/>
                        </a:xfrm>
                      </wpg:grpSpPr>
                      <wps:wsp>
                        <wps:cNvPr id="344" name="Graphic 344"/>
                        <wps:cNvSpPr/>
                        <wps:spPr>
                          <a:xfrm>
                            <a:off x="1645" y="137770"/>
                            <a:ext cx="3263900" cy="3505200"/>
                          </a:xfrm>
                          <a:custGeom>
                            <a:avLst/>
                            <a:gdLst/>
                            <a:ahLst/>
                            <a:cxnLst/>
                            <a:rect l="l" t="t" r="r" b="b"/>
                            <a:pathLst>
                              <a:path w="3263900" h="3505200">
                                <a:moveTo>
                                  <a:pt x="76200" y="3352800"/>
                                </a:moveTo>
                                <a:lnTo>
                                  <a:pt x="0" y="3352800"/>
                                </a:lnTo>
                                <a:lnTo>
                                  <a:pt x="0" y="3505200"/>
                                </a:lnTo>
                                <a:lnTo>
                                  <a:pt x="76200" y="3505200"/>
                                </a:lnTo>
                                <a:lnTo>
                                  <a:pt x="76200" y="3352800"/>
                                </a:lnTo>
                                <a:close/>
                              </a:path>
                              <a:path w="3263900" h="3505200">
                                <a:moveTo>
                                  <a:pt x="457200" y="2933700"/>
                                </a:moveTo>
                                <a:lnTo>
                                  <a:pt x="0" y="2933700"/>
                                </a:lnTo>
                                <a:lnTo>
                                  <a:pt x="0" y="3086100"/>
                                </a:lnTo>
                                <a:lnTo>
                                  <a:pt x="457200" y="3086100"/>
                                </a:lnTo>
                                <a:lnTo>
                                  <a:pt x="457200" y="2933700"/>
                                </a:lnTo>
                                <a:close/>
                              </a:path>
                              <a:path w="3263900" h="3505200">
                                <a:moveTo>
                                  <a:pt x="571500" y="2514600"/>
                                </a:moveTo>
                                <a:lnTo>
                                  <a:pt x="0" y="2514600"/>
                                </a:lnTo>
                                <a:lnTo>
                                  <a:pt x="0" y="2667000"/>
                                </a:lnTo>
                                <a:lnTo>
                                  <a:pt x="571500" y="2667000"/>
                                </a:lnTo>
                                <a:lnTo>
                                  <a:pt x="571500" y="2514600"/>
                                </a:lnTo>
                                <a:close/>
                              </a:path>
                              <a:path w="3263900" h="3505200">
                                <a:moveTo>
                                  <a:pt x="1231900" y="2095500"/>
                                </a:moveTo>
                                <a:lnTo>
                                  <a:pt x="0" y="2095500"/>
                                </a:lnTo>
                                <a:lnTo>
                                  <a:pt x="0" y="2247900"/>
                                </a:lnTo>
                                <a:lnTo>
                                  <a:pt x="1231900" y="2247900"/>
                                </a:lnTo>
                                <a:lnTo>
                                  <a:pt x="1231900" y="2095500"/>
                                </a:lnTo>
                                <a:close/>
                              </a:path>
                              <a:path w="3263900" h="3505200">
                                <a:moveTo>
                                  <a:pt x="1257300" y="1676400"/>
                                </a:moveTo>
                                <a:lnTo>
                                  <a:pt x="0" y="1676400"/>
                                </a:lnTo>
                                <a:lnTo>
                                  <a:pt x="0" y="1828800"/>
                                </a:lnTo>
                                <a:lnTo>
                                  <a:pt x="1257300" y="1828800"/>
                                </a:lnTo>
                                <a:lnTo>
                                  <a:pt x="1257300" y="1676400"/>
                                </a:lnTo>
                                <a:close/>
                              </a:path>
                              <a:path w="3263900" h="3505200">
                                <a:moveTo>
                                  <a:pt x="1333500" y="1257300"/>
                                </a:moveTo>
                                <a:lnTo>
                                  <a:pt x="0" y="1257300"/>
                                </a:lnTo>
                                <a:lnTo>
                                  <a:pt x="0" y="1409700"/>
                                </a:lnTo>
                                <a:lnTo>
                                  <a:pt x="1333500" y="1409700"/>
                                </a:lnTo>
                                <a:lnTo>
                                  <a:pt x="1333500" y="1257300"/>
                                </a:lnTo>
                                <a:close/>
                              </a:path>
                              <a:path w="3263900" h="3505200">
                                <a:moveTo>
                                  <a:pt x="2349500" y="838200"/>
                                </a:moveTo>
                                <a:lnTo>
                                  <a:pt x="0" y="838200"/>
                                </a:lnTo>
                                <a:lnTo>
                                  <a:pt x="0" y="990600"/>
                                </a:lnTo>
                                <a:lnTo>
                                  <a:pt x="2349500" y="990600"/>
                                </a:lnTo>
                                <a:lnTo>
                                  <a:pt x="2349500" y="838200"/>
                                </a:lnTo>
                                <a:close/>
                              </a:path>
                              <a:path w="3263900" h="3505200">
                                <a:moveTo>
                                  <a:pt x="2933700" y="419100"/>
                                </a:moveTo>
                                <a:lnTo>
                                  <a:pt x="0" y="419100"/>
                                </a:lnTo>
                                <a:lnTo>
                                  <a:pt x="0" y="571500"/>
                                </a:lnTo>
                                <a:lnTo>
                                  <a:pt x="2933700" y="571500"/>
                                </a:lnTo>
                                <a:lnTo>
                                  <a:pt x="2933700" y="419100"/>
                                </a:lnTo>
                                <a:close/>
                              </a:path>
                              <a:path w="3263900" h="3505200">
                                <a:moveTo>
                                  <a:pt x="3263900" y="0"/>
                                </a:moveTo>
                                <a:lnTo>
                                  <a:pt x="0" y="0"/>
                                </a:lnTo>
                                <a:lnTo>
                                  <a:pt x="0" y="152400"/>
                                </a:lnTo>
                                <a:lnTo>
                                  <a:pt x="3263900" y="152400"/>
                                </a:lnTo>
                                <a:lnTo>
                                  <a:pt x="3263900" y="0"/>
                                </a:lnTo>
                                <a:close/>
                              </a:path>
                            </a:pathLst>
                          </a:custGeom>
                          <a:solidFill>
                            <a:srgbClr val="82BF6A"/>
                          </a:solidFill>
                        </wps:spPr>
                        <wps:bodyPr wrap="square" lIns="0" tIns="0" rIns="0" bIns="0" rtlCol="0">
                          <a:prstTxWarp prst="textNoShape">
                            <a:avLst/>
                          </a:prstTxWarp>
                          <a:noAutofit/>
                        </wps:bodyPr>
                      </wps:wsp>
                      <wps:wsp>
                        <wps:cNvPr id="345" name="Graphic 345"/>
                        <wps:cNvSpPr/>
                        <wps:spPr>
                          <a:xfrm>
                            <a:off x="8072" y="3547727"/>
                            <a:ext cx="228600" cy="50800"/>
                          </a:xfrm>
                          <a:custGeom>
                            <a:avLst/>
                            <a:gdLst/>
                            <a:ahLst/>
                            <a:cxnLst/>
                            <a:rect l="l" t="t" r="r" b="b"/>
                            <a:pathLst>
                              <a:path w="228600" h="50800">
                                <a:moveTo>
                                  <a:pt x="63423" y="25400"/>
                                </a:moveTo>
                                <a:lnTo>
                                  <a:pt x="0" y="25400"/>
                                </a:lnTo>
                              </a:path>
                              <a:path w="228600" h="50800">
                                <a:moveTo>
                                  <a:pt x="63423" y="25400"/>
                                </a:moveTo>
                                <a:lnTo>
                                  <a:pt x="228523" y="25400"/>
                                </a:lnTo>
                              </a:path>
                              <a:path w="228600" h="50800">
                                <a:moveTo>
                                  <a:pt x="228523" y="0"/>
                                </a:moveTo>
                                <a:lnTo>
                                  <a:pt x="228523" y="50800"/>
                                </a:lnTo>
                              </a:path>
                            </a:pathLst>
                          </a:custGeom>
                          <a:ln w="9144">
                            <a:solidFill>
                              <a:srgbClr val="636466"/>
                            </a:solidFill>
                            <a:prstDash val="solid"/>
                          </a:ln>
                        </wps:spPr>
                        <wps:bodyPr wrap="square" lIns="0" tIns="0" rIns="0" bIns="0" rtlCol="0">
                          <a:prstTxWarp prst="textNoShape">
                            <a:avLst/>
                          </a:prstTxWarp>
                          <a:noAutofit/>
                        </wps:bodyPr>
                      </wps:wsp>
                      <wps:wsp>
                        <wps:cNvPr id="346" name="Graphic 346"/>
                        <wps:cNvSpPr/>
                        <wps:spPr>
                          <a:xfrm>
                            <a:off x="325495" y="3128627"/>
                            <a:ext cx="279400" cy="50800"/>
                          </a:xfrm>
                          <a:custGeom>
                            <a:avLst/>
                            <a:gdLst/>
                            <a:ahLst/>
                            <a:cxnLst/>
                            <a:rect l="l" t="t" r="r" b="b"/>
                            <a:pathLst>
                              <a:path w="279400" h="50800">
                                <a:moveTo>
                                  <a:pt x="139700" y="25400"/>
                                </a:moveTo>
                                <a:lnTo>
                                  <a:pt x="0" y="25400"/>
                                </a:lnTo>
                              </a:path>
                              <a:path w="279400" h="50800">
                                <a:moveTo>
                                  <a:pt x="139700" y="25400"/>
                                </a:moveTo>
                                <a:lnTo>
                                  <a:pt x="279400" y="25400"/>
                                </a:lnTo>
                              </a:path>
                              <a:path w="279400" h="50800">
                                <a:moveTo>
                                  <a:pt x="0" y="0"/>
                                </a:moveTo>
                                <a:lnTo>
                                  <a:pt x="0" y="50800"/>
                                </a:lnTo>
                              </a:path>
                              <a:path w="279400" h="50800">
                                <a:moveTo>
                                  <a:pt x="279400" y="0"/>
                                </a:moveTo>
                                <a:lnTo>
                                  <a:pt x="279400" y="50800"/>
                                </a:lnTo>
                              </a:path>
                            </a:pathLst>
                          </a:custGeom>
                          <a:ln w="9144">
                            <a:solidFill>
                              <a:srgbClr val="636466"/>
                            </a:solidFill>
                            <a:prstDash val="solid"/>
                          </a:ln>
                        </wps:spPr>
                        <wps:bodyPr wrap="square" lIns="0" tIns="0" rIns="0" bIns="0" rtlCol="0">
                          <a:prstTxWarp prst="textNoShape">
                            <a:avLst/>
                          </a:prstTxWarp>
                          <a:noAutofit/>
                        </wps:bodyPr>
                      </wps:wsp>
                      <wps:wsp>
                        <wps:cNvPr id="347" name="Graphic 347"/>
                        <wps:cNvSpPr/>
                        <wps:spPr>
                          <a:xfrm>
                            <a:off x="401695" y="2696828"/>
                            <a:ext cx="330200" cy="63500"/>
                          </a:xfrm>
                          <a:custGeom>
                            <a:avLst/>
                            <a:gdLst/>
                            <a:ahLst/>
                            <a:cxnLst/>
                            <a:rect l="l" t="t" r="r" b="b"/>
                            <a:pathLst>
                              <a:path w="330200" h="63500">
                                <a:moveTo>
                                  <a:pt x="165100" y="32778"/>
                                </a:moveTo>
                                <a:lnTo>
                                  <a:pt x="0" y="32778"/>
                                </a:lnTo>
                              </a:path>
                              <a:path w="330200" h="63500">
                                <a:moveTo>
                                  <a:pt x="165100" y="32778"/>
                                </a:moveTo>
                                <a:lnTo>
                                  <a:pt x="330200" y="32778"/>
                                </a:lnTo>
                              </a:path>
                              <a:path w="330200" h="63500">
                                <a:moveTo>
                                  <a:pt x="0" y="0"/>
                                </a:moveTo>
                                <a:lnTo>
                                  <a:pt x="0" y="63500"/>
                                </a:lnTo>
                              </a:path>
                              <a:path w="330200" h="63500">
                                <a:moveTo>
                                  <a:pt x="330200" y="0"/>
                                </a:moveTo>
                                <a:lnTo>
                                  <a:pt x="330200" y="63500"/>
                                </a:lnTo>
                              </a:path>
                            </a:pathLst>
                          </a:custGeom>
                          <a:ln w="9144">
                            <a:solidFill>
                              <a:srgbClr val="636466"/>
                            </a:solidFill>
                            <a:prstDash val="solid"/>
                          </a:ln>
                        </wps:spPr>
                        <wps:bodyPr wrap="square" lIns="0" tIns="0" rIns="0" bIns="0" rtlCol="0">
                          <a:prstTxWarp prst="textNoShape">
                            <a:avLst/>
                          </a:prstTxWarp>
                          <a:noAutofit/>
                        </wps:bodyPr>
                      </wps:wsp>
                      <wps:wsp>
                        <wps:cNvPr id="348" name="Graphic 348"/>
                        <wps:cNvSpPr/>
                        <wps:spPr>
                          <a:xfrm>
                            <a:off x="1100202" y="2277715"/>
                            <a:ext cx="266700" cy="63500"/>
                          </a:xfrm>
                          <a:custGeom>
                            <a:avLst/>
                            <a:gdLst/>
                            <a:ahLst/>
                            <a:cxnLst/>
                            <a:rect l="l" t="t" r="r" b="b"/>
                            <a:pathLst>
                              <a:path w="266700" h="63500">
                                <a:moveTo>
                                  <a:pt x="139700" y="32791"/>
                                </a:moveTo>
                                <a:lnTo>
                                  <a:pt x="0" y="32791"/>
                                </a:lnTo>
                              </a:path>
                              <a:path w="266700" h="63500">
                                <a:moveTo>
                                  <a:pt x="139700" y="32791"/>
                                </a:moveTo>
                                <a:lnTo>
                                  <a:pt x="266700" y="32791"/>
                                </a:lnTo>
                              </a:path>
                              <a:path w="266700" h="63500">
                                <a:moveTo>
                                  <a:pt x="0" y="0"/>
                                </a:moveTo>
                                <a:lnTo>
                                  <a:pt x="0" y="63499"/>
                                </a:lnTo>
                              </a:path>
                              <a:path w="266700" h="63500">
                                <a:moveTo>
                                  <a:pt x="266700" y="0"/>
                                </a:moveTo>
                                <a:lnTo>
                                  <a:pt x="266700" y="63499"/>
                                </a:lnTo>
                              </a:path>
                            </a:pathLst>
                          </a:custGeom>
                          <a:ln w="9144">
                            <a:solidFill>
                              <a:srgbClr val="636466"/>
                            </a:solidFill>
                            <a:prstDash val="solid"/>
                          </a:ln>
                        </wps:spPr>
                        <wps:bodyPr wrap="square" lIns="0" tIns="0" rIns="0" bIns="0" rtlCol="0">
                          <a:prstTxWarp prst="textNoShape">
                            <a:avLst/>
                          </a:prstTxWarp>
                          <a:noAutofit/>
                        </wps:bodyPr>
                      </wps:wsp>
                      <wps:wsp>
                        <wps:cNvPr id="349" name="Graphic 349"/>
                        <wps:cNvSpPr/>
                        <wps:spPr>
                          <a:xfrm>
                            <a:off x="1087502" y="1858615"/>
                            <a:ext cx="330200" cy="63500"/>
                          </a:xfrm>
                          <a:custGeom>
                            <a:avLst/>
                            <a:gdLst/>
                            <a:ahLst/>
                            <a:cxnLst/>
                            <a:rect l="l" t="t" r="r" b="b"/>
                            <a:pathLst>
                              <a:path w="330200" h="63500">
                                <a:moveTo>
                                  <a:pt x="165100" y="32791"/>
                                </a:moveTo>
                                <a:lnTo>
                                  <a:pt x="0" y="32791"/>
                                </a:lnTo>
                              </a:path>
                              <a:path w="330200" h="63500">
                                <a:moveTo>
                                  <a:pt x="165100" y="32791"/>
                                </a:moveTo>
                                <a:lnTo>
                                  <a:pt x="330200" y="32791"/>
                                </a:lnTo>
                              </a:path>
                              <a:path w="330200" h="63500">
                                <a:moveTo>
                                  <a:pt x="0" y="0"/>
                                </a:moveTo>
                                <a:lnTo>
                                  <a:pt x="0" y="63499"/>
                                </a:lnTo>
                              </a:path>
                              <a:path w="330200" h="63500">
                                <a:moveTo>
                                  <a:pt x="330200" y="0"/>
                                </a:moveTo>
                                <a:lnTo>
                                  <a:pt x="330200" y="63499"/>
                                </a:lnTo>
                              </a:path>
                            </a:pathLst>
                          </a:custGeom>
                          <a:ln w="9144">
                            <a:solidFill>
                              <a:srgbClr val="636466"/>
                            </a:solidFill>
                            <a:prstDash val="solid"/>
                          </a:ln>
                        </wps:spPr>
                        <wps:bodyPr wrap="square" lIns="0" tIns="0" rIns="0" bIns="0" rtlCol="0">
                          <a:prstTxWarp prst="textNoShape">
                            <a:avLst/>
                          </a:prstTxWarp>
                          <a:noAutofit/>
                        </wps:bodyPr>
                      </wps:wsp>
                      <wps:wsp>
                        <wps:cNvPr id="350" name="Graphic 350"/>
                        <wps:cNvSpPr/>
                        <wps:spPr>
                          <a:xfrm>
                            <a:off x="1201802" y="1439515"/>
                            <a:ext cx="266700" cy="63500"/>
                          </a:xfrm>
                          <a:custGeom>
                            <a:avLst/>
                            <a:gdLst/>
                            <a:ahLst/>
                            <a:cxnLst/>
                            <a:rect l="l" t="t" r="r" b="b"/>
                            <a:pathLst>
                              <a:path w="266700" h="63500">
                                <a:moveTo>
                                  <a:pt x="127000" y="32791"/>
                                </a:moveTo>
                                <a:lnTo>
                                  <a:pt x="0" y="32791"/>
                                </a:lnTo>
                              </a:path>
                              <a:path w="266700" h="63500">
                                <a:moveTo>
                                  <a:pt x="127000" y="32791"/>
                                </a:moveTo>
                                <a:lnTo>
                                  <a:pt x="266700" y="32791"/>
                                </a:lnTo>
                              </a:path>
                              <a:path w="266700" h="63500">
                                <a:moveTo>
                                  <a:pt x="0" y="0"/>
                                </a:moveTo>
                                <a:lnTo>
                                  <a:pt x="0" y="63499"/>
                                </a:lnTo>
                              </a:path>
                              <a:path w="266700" h="63500">
                                <a:moveTo>
                                  <a:pt x="266700" y="0"/>
                                </a:moveTo>
                                <a:lnTo>
                                  <a:pt x="266700" y="63499"/>
                                </a:lnTo>
                              </a:path>
                            </a:pathLst>
                          </a:custGeom>
                          <a:ln w="9144">
                            <a:solidFill>
                              <a:srgbClr val="636466"/>
                            </a:solidFill>
                            <a:prstDash val="solid"/>
                          </a:ln>
                        </wps:spPr>
                        <wps:bodyPr wrap="square" lIns="0" tIns="0" rIns="0" bIns="0" rtlCol="0">
                          <a:prstTxWarp prst="textNoShape">
                            <a:avLst/>
                          </a:prstTxWarp>
                          <a:noAutofit/>
                        </wps:bodyPr>
                      </wps:wsp>
                      <wps:wsp>
                        <wps:cNvPr id="351" name="Graphic 351"/>
                        <wps:cNvSpPr/>
                        <wps:spPr>
                          <a:xfrm>
                            <a:off x="2255902" y="1020415"/>
                            <a:ext cx="190500" cy="64135"/>
                          </a:xfrm>
                          <a:custGeom>
                            <a:avLst/>
                            <a:gdLst/>
                            <a:ahLst/>
                            <a:cxnLst/>
                            <a:rect l="l" t="t" r="r" b="b"/>
                            <a:pathLst>
                              <a:path w="190500" h="64135">
                                <a:moveTo>
                                  <a:pt x="101600" y="32791"/>
                                </a:moveTo>
                                <a:lnTo>
                                  <a:pt x="0" y="32791"/>
                                </a:lnTo>
                              </a:path>
                              <a:path w="190500" h="64135">
                                <a:moveTo>
                                  <a:pt x="101600" y="32791"/>
                                </a:moveTo>
                                <a:lnTo>
                                  <a:pt x="190500" y="32791"/>
                                </a:lnTo>
                              </a:path>
                              <a:path w="190500" h="64135">
                                <a:moveTo>
                                  <a:pt x="0" y="0"/>
                                </a:moveTo>
                                <a:lnTo>
                                  <a:pt x="0" y="63512"/>
                                </a:lnTo>
                              </a:path>
                              <a:path w="190500" h="64135">
                                <a:moveTo>
                                  <a:pt x="190500" y="0"/>
                                </a:moveTo>
                                <a:lnTo>
                                  <a:pt x="190500" y="63512"/>
                                </a:lnTo>
                              </a:path>
                            </a:pathLst>
                          </a:custGeom>
                          <a:ln w="9144">
                            <a:solidFill>
                              <a:srgbClr val="636466"/>
                            </a:solidFill>
                            <a:prstDash val="solid"/>
                          </a:ln>
                        </wps:spPr>
                        <wps:bodyPr wrap="square" lIns="0" tIns="0" rIns="0" bIns="0" rtlCol="0">
                          <a:prstTxWarp prst="textNoShape">
                            <a:avLst/>
                          </a:prstTxWarp>
                          <a:noAutofit/>
                        </wps:bodyPr>
                      </wps:wsp>
                      <wps:wsp>
                        <wps:cNvPr id="352" name="Graphic 352"/>
                        <wps:cNvSpPr/>
                        <wps:spPr>
                          <a:xfrm>
                            <a:off x="2840102" y="601319"/>
                            <a:ext cx="177800" cy="64135"/>
                          </a:xfrm>
                          <a:custGeom>
                            <a:avLst/>
                            <a:gdLst/>
                            <a:ahLst/>
                            <a:cxnLst/>
                            <a:rect l="l" t="t" r="r" b="b"/>
                            <a:pathLst>
                              <a:path w="177800" h="64135">
                                <a:moveTo>
                                  <a:pt x="88900" y="31013"/>
                                </a:moveTo>
                                <a:lnTo>
                                  <a:pt x="0" y="31013"/>
                                </a:lnTo>
                              </a:path>
                              <a:path w="177800" h="64135">
                                <a:moveTo>
                                  <a:pt x="88900" y="31013"/>
                                </a:moveTo>
                                <a:lnTo>
                                  <a:pt x="177800" y="31013"/>
                                </a:lnTo>
                              </a:path>
                              <a:path w="177800" h="64135">
                                <a:moveTo>
                                  <a:pt x="0" y="0"/>
                                </a:moveTo>
                                <a:lnTo>
                                  <a:pt x="0" y="63512"/>
                                </a:lnTo>
                              </a:path>
                              <a:path w="177800" h="64135">
                                <a:moveTo>
                                  <a:pt x="177800" y="0"/>
                                </a:moveTo>
                                <a:lnTo>
                                  <a:pt x="177800" y="63512"/>
                                </a:lnTo>
                              </a:path>
                            </a:pathLst>
                          </a:custGeom>
                          <a:ln w="9144">
                            <a:solidFill>
                              <a:srgbClr val="636466"/>
                            </a:solidFill>
                            <a:prstDash val="solid"/>
                          </a:ln>
                        </wps:spPr>
                        <wps:bodyPr wrap="square" lIns="0" tIns="0" rIns="0" bIns="0" rtlCol="0">
                          <a:prstTxWarp prst="textNoShape">
                            <a:avLst/>
                          </a:prstTxWarp>
                          <a:noAutofit/>
                        </wps:bodyPr>
                      </wps:wsp>
                      <wps:wsp>
                        <wps:cNvPr id="353" name="Graphic 353"/>
                        <wps:cNvSpPr/>
                        <wps:spPr>
                          <a:xfrm>
                            <a:off x="3233799" y="182215"/>
                            <a:ext cx="65405" cy="64135"/>
                          </a:xfrm>
                          <a:custGeom>
                            <a:avLst/>
                            <a:gdLst/>
                            <a:ahLst/>
                            <a:cxnLst/>
                            <a:rect l="l" t="t" r="r" b="b"/>
                            <a:pathLst>
                              <a:path w="65405" h="64135">
                                <a:moveTo>
                                  <a:pt x="65201" y="32791"/>
                                </a:moveTo>
                                <a:lnTo>
                                  <a:pt x="0" y="32791"/>
                                </a:lnTo>
                              </a:path>
                              <a:path w="65405" h="64135">
                                <a:moveTo>
                                  <a:pt x="0" y="0"/>
                                </a:moveTo>
                                <a:lnTo>
                                  <a:pt x="0" y="63512"/>
                                </a:lnTo>
                              </a:path>
                              <a:path w="65405" h="64135">
                                <a:moveTo>
                                  <a:pt x="63500" y="0"/>
                                </a:moveTo>
                                <a:lnTo>
                                  <a:pt x="63500" y="63512"/>
                                </a:lnTo>
                              </a:path>
                            </a:pathLst>
                          </a:custGeom>
                          <a:ln w="9144">
                            <a:solidFill>
                              <a:srgbClr val="636466"/>
                            </a:solidFill>
                            <a:prstDash val="solid"/>
                          </a:ln>
                        </wps:spPr>
                        <wps:bodyPr wrap="square" lIns="0" tIns="0" rIns="0" bIns="0" rtlCol="0">
                          <a:prstTxWarp prst="textNoShape">
                            <a:avLst/>
                          </a:prstTxWarp>
                          <a:noAutofit/>
                        </wps:bodyPr>
                      </wps:wsp>
                      <wps:wsp>
                        <wps:cNvPr id="354" name="Graphic 354"/>
                        <wps:cNvSpPr/>
                        <wps:spPr>
                          <a:xfrm>
                            <a:off x="3568" y="0"/>
                            <a:ext cx="1270" cy="3771900"/>
                          </a:xfrm>
                          <a:custGeom>
                            <a:avLst/>
                            <a:gdLst/>
                            <a:ahLst/>
                            <a:cxnLst/>
                            <a:rect l="l" t="t" r="r" b="b"/>
                            <a:pathLst>
                              <a:path w="0" h="3771900">
                                <a:moveTo>
                                  <a:pt x="0" y="3771900"/>
                                </a:moveTo>
                                <a:lnTo>
                                  <a:pt x="0" y="0"/>
                                </a:lnTo>
                              </a:path>
                            </a:pathLst>
                          </a:custGeom>
                          <a:ln w="7137">
                            <a:solidFill>
                              <a:srgbClr val="939598"/>
                            </a:solidFill>
                            <a:prstDash val="solid"/>
                          </a:ln>
                        </wps:spPr>
                        <wps:bodyPr wrap="square" lIns="0" tIns="0" rIns="0" bIns="0" rtlCol="0">
                          <a:prstTxWarp prst="textNoShape">
                            <a:avLst/>
                          </a:prstTxWarp>
                          <a:noAutofit/>
                        </wps:bodyPr>
                      </wps:wsp>
                      <wps:wsp>
                        <wps:cNvPr id="355" name="Textbox 355"/>
                        <wps:cNvSpPr txBox="1"/>
                        <wps:spPr>
                          <a:xfrm>
                            <a:off x="80149" y="137482"/>
                            <a:ext cx="252095" cy="156210"/>
                          </a:xfrm>
                          <a:prstGeom prst="rect">
                            <a:avLst/>
                          </a:prstGeom>
                        </wps:spPr>
                        <wps:txbx>
                          <w:txbxContent>
                            <w:p>
                              <w:pPr>
                                <w:spacing w:before="11"/>
                                <w:ind w:left="0" w:right="0" w:firstLine="0"/>
                                <w:jc w:val="left"/>
                                <w:rPr>
                                  <w:b/>
                                  <w:sz w:val="18"/>
                                </w:rPr>
                              </w:pPr>
                              <w:r>
                                <w:rPr>
                                  <w:b/>
                                  <w:color w:val="FFFFFF"/>
                                  <w:spacing w:val="-5"/>
                                  <w:w w:val="105"/>
                                  <w:sz w:val="18"/>
                                </w:rPr>
                                <w:t>50%</w:t>
                              </w:r>
                            </w:p>
                          </w:txbxContent>
                        </wps:txbx>
                        <wps:bodyPr wrap="square" lIns="0" tIns="0" rIns="0" bIns="0" rtlCol="0">
                          <a:noAutofit/>
                        </wps:bodyPr>
                      </wps:wsp>
                      <wps:wsp>
                        <wps:cNvPr id="356" name="Textbox 356"/>
                        <wps:cNvSpPr txBox="1"/>
                        <wps:spPr>
                          <a:xfrm>
                            <a:off x="80149" y="556620"/>
                            <a:ext cx="252095" cy="156210"/>
                          </a:xfrm>
                          <a:prstGeom prst="rect">
                            <a:avLst/>
                          </a:prstGeom>
                        </wps:spPr>
                        <wps:txbx>
                          <w:txbxContent>
                            <w:p>
                              <w:pPr>
                                <w:spacing w:before="11"/>
                                <w:ind w:left="0" w:right="0" w:firstLine="0"/>
                                <w:jc w:val="left"/>
                                <w:rPr>
                                  <w:b/>
                                  <w:sz w:val="18"/>
                                </w:rPr>
                              </w:pPr>
                              <w:r>
                                <w:rPr>
                                  <w:b/>
                                  <w:color w:val="FFFFFF"/>
                                  <w:spacing w:val="-5"/>
                                  <w:w w:val="105"/>
                                  <w:sz w:val="18"/>
                                </w:rPr>
                                <w:t>45%</w:t>
                              </w:r>
                            </w:p>
                          </w:txbxContent>
                        </wps:txbx>
                        <wps:bodyPr wrap="square" lIns="0" tIns="0" rIns="0" bIns="0" rtlCol="0">
                          <a:noAutofit/>
                        </wps:bodyPr>
                      </wps:wsp>
                      <wps:wsp>
                        <wps:cNvPr id="357" name="Textbox 357"/>
                        <wps:cNvSpPr txBox="1"/>
                        <wps:spPr>
                          <a:xfrm>
                            <a:off x="80149" y="975758"/>
                            <a:ext cx="252095" cy="156210"/>
                          </a:xfrm>
                          <a:prstGeom prst="rect">
                            <a:avLst/>
                          </a:prstGeom>
                        </wps:spPr>
                        <wps:txbx>
                          <w:txbxContent>
                            <w:p>
                              <w:pPr>
                                <w:spacing w:before="11"/>
                                <w:ind w:left="0" w:right="0" w:firstLine="0"/>
                                <w:jc w:val="left"/>
                                <w:rPr>
                                  <w:b/>
                                  <w:sz w:val="18"/>
                                </w:rPr>
                              </w:pPr>
                              <w:r>
                                <w:rPr>
                                  <w:b/>
                                  <w:color w:val="FFFFFF"/>
                                  <w:spacing w:val="-5"/>
                                  <w:w w:val="105"/>
                                  <w:sz w:val="18"/>
                                </w:rPr>
                                <w:t>36%</w:t>
                              </w:r>
                            </w:p>
                          </w:txbxContent>
                        </wps:txbx>
                        <wps:bodyPr wrap="square" lIns="0" tIns="0" rIns="0" bIns="0" rtlCol="0">
                          <a:noAutofit/>
                        </wps:bodyPr>
                      </wps:wsp>
                      <wps:wsp>
                        <wps:cNvPr id="358" name="Textbox 358"/>
                        <wps:cNvSpPr txBox="1"/>
                        <wps:spPr>
                          <a:xfrm>
                            <a:off x="80149" y="1394896"/>
                            <a:ext cx="252095" cy="156210"/>
                          </a:xfrm>
                          <a:prstGeom prst="rect">
                            <a:avLst/>
                          </a:prstGeom>
                        </wps:spPr>
                        <wps:txbx>
                          <w:txbxContent>
                            <w:p>
                              <w:pPr>
                                <w:spacing w:before="11"/>
                                <w:ind w:left="0" w:right="0" w:firstLine="0"/>
                                <w:jc w:val="left"/>
                                <w:rPr>
                                  <w:b/>
                                  <w:sz w:val="18"/>
                                </w:rPr>
                              </w:pPr>
                              <w:r>
                                <w:rPr>
                                  <w:b/>
                                  <w:color w:val="FFFFFF"/>
                                  <w:spacing w:val="-5"/>
                                  <w:w w:val="105"/>
                                  <w:sz w:val="18"/>
                                </w:rPr>
                                <w:t>20%</w:t>
                              </w:r>
                            </w:p>
                          </w:txbxContent>
                        </wps:txbx>
                        <wps:bodyPr wrap="square" lIns="0" tIns="0" rIns="0" bIns="0" rtlCol="0">
                          <a:noAutofit/>
                        </wps:bodyPr>
                      </wps:wsp>
                      <wps:wsp>
                        <wps:cNvPr id="359" name="Textbox 359"/>
                        <wps:cNvSpPr txBox="1"/>
                        <wps:spPr>
                          <a:xfrm>
                            <a:off x="80149" y="1814035"/>
                            <a:ext cx="252095" cy="156210"/>
                          </a:xfrm>
                          <a:prstGeom prst="rect">
                            <a:avLst/>
                          </a:prstGeom>
                        </wps:spPr>
                        <wps:txbx>
                          <w:txbxContent>
                            <w:p>
                              <w:pPr>
                                <w:spacing w:before="11"/>
                                <w:ind w:left="0" w:right="0" w:firstLine="0"/>
                                <w:jc w:val="left"/>
                                <w:rPr>
                                  <w:b/>
                                  <w:sz w:val="18"/>
                                </w:rPr>
                              </w:pPr>
                              <w:r>
                                <w:rPr>
                                  <w:b/>
                                  <w:color w:val="FFFFFF"/>
                                  <w:spacing w:val="-5"/>
                                  <w:w w:val="105"/>
                                  <w:sz w:val="18"/>
                                </w:rPr>
                                <w:t>19%</w:t>
                              </w:r>
                            </w:p>
                          </w:txbxContent>
                        </wps:txbx>
                        <wps:bodyPr wrap="square" lIns="0" tIns="0" rIns="0" bIns="0" rtlCol="0">
                          <a:noAutofit/>
                        </wps:bodyPr>
                      </wps:wsp>
                      <wps:wsp>
                        <wps:cNvPr id="360" name="Textbox 360"/>
                        <wps:cNvSpPr txBox="1"/>
                        <wps:spPr>
                          <a:xfrm>
                            <a:off x="80149" y="2233172"/>
                            <a:ext cx="252095" cy="156210"/>
                          </a:xfrm>
                          <a:prstGeom prst="rect">
                            <a:avLst/>
                          </a:prstGeom>
                        </wps:spPr>
                        <wps:txbx>
                          <w:txbxContent>
                            <w:p>
                              <w:pPr>
                                <w:spacing w:before="11"/>
                                <w:ind w:left="0" w:right="0" w:firstLine="0"/>
                                <w:jc w:val="left"/>
                                <w:rPr>
                                  <w:b/>
                                  <w:sz w:val="18"/>
                                </w:rPr>
                              </w:pPr>
                              <w:r>
                                <w:rPr>
                                  <w:b/>
                                  <w:color w:val="FFFFFF"/>
                                  <w:spacing w:val="-5"/>
                                  <w:w w:val="105"/>
                                  <w:sz w:val="18"/>
                                </w:rPr>
                                <w:t>19%</w:t>
                              </w:r>
                            </w:p>
                          </w:txbxContent>
                        </wps:txbx>
                        <wps:bodyPr wrap="square" lIns="0" tIns="0" rIns="0" bIns="0" rtlCol="0">
                          <a:noAutofit/>
                        </wps:bodyPr>
                      </wps:wsp>
                      <wps:wsp>
                        <wps:cNvPr id="361" name="Textbox 361"/>
                        <wps:cNvSpPr txBox="1"/>
                        <wps:spPr>
                          <a:xfrm>
                            <a:off x="80149" y="2652311"/>
                            <a:ext cx="184150" cy="156210"/>
                          </a:xfrm>
                          <a:prstGeom prst="rect">
                            <a:avLst/>
                          </a:prstGeom>
                        </wps:spPr>
                        <wps:txbx>
                          <w:txbxContent>
                            <w:p>
                              <w:pPr>
                                <w:spacing w:before="11"/>
                                <w:ind w:left="0" w:right="0" w:firstLine="0"/>
                                <w:jc w:val="left"/>
                                <w:rPr>
                                  <w:b/>
                                  <w:sz w:val="18"/>
                                </w:rPr>
                              </w:pPr>
                              <w:r>
                                <w:rPr>
                                  <w:b/>
                                  <w:color w:val="FFFFFF"/>
                                  <w:spacing w:val="-5"/>
                                  <w:w w:val="105"/>
                                  <w:sz w:val="18"/>
                                </w:rPr>
                                <w:t>9%</w:t>
                              </w:r>
                            </w:p>
                          </w:txbxContent>
                        </wps:txbx>
                        <wps:bodyPr wrap="square" lIns="0" tIns="0" rIns="0" bIns="0" rtlCol="0">
                          <a:noAutofit/>
                        </wps:bodyPr>
                      </wps:wsp>
                      <wps:wsp>
                        <wps:cNvPr id="362" name="Textbox 362"/>
                        <wps:cNvSpPr txBox="1"/>
                        <wps:spPr>
                          <a:xfrm>
                            <a:off x="80149" y="3071449"/>
                            <a:ext cx="184150" cy="156210"/>
                          </a:xfrm>
                          <a:prstGeom prst="rect">
                            <a:avLst/>
                          </a:prstGeom>
                        </wps:spPr>
                        <wps:txbx>
                          <w:txbxContent>
                            <w:p>
                              <w:pPr>
                                <w:spacing w:before="11"/>
                                <w:ind w:left="0" w:right="0" w:firstLine="0"/>
                                <w:jc w:val="left"/>
                                <w:rPr>
                                  <w:b/>
                                  <w:sz w:val="18"/>
                                </w:rPr>
                              </w:pPr>
                              <w:r>
                                <w:rPr>
                                  <w:b/>
                                  <w:color w:val="FFFFFF"/>
                                  <w:spacing w:val="-5"/>
                                  <w:w w:val="105"/>
                                  <w:sz w:val="18"/>
                                </w:rPr>
                                <w:t>7%</w:t>
                              </w:r>
                            </w:p>
                          </w:txbxContent>
                        </wps:txbx>
                        <wps:bodyPr wrap="square" lIns="0" tIns="0" rIns="0" bIns="0" rtlCol="0">
                          <a:noAutofit/>
                        </wps:bodyPr>
                      </wps:wsp>
                      <wps:wsp>
                        <wps:cNvPr id="363" name="Textbox 363"/>
                        <wps:cNvSpPr txBox="1"/>
                        <wps:spPr>
                          <a:xfrm>
                            <a:off x="261772" y="3489101"/>
                            <a:ext cx="173990" cy="156210"/>
                          </a:xfrm>
                          <a:prstGeom prst="rect">
                            <a:avLst/>
                          </a:prstGeom>
                        </wps:spPr>
                        <wps:txbx>
                          <w:txbxContent>
                            <w:p>
                              <w:pPr>
                                <w:spacing w:before="11"/>
                                <w:ind w:left="0" w:right="0" w:firstLine="0"/>
                                <w:jc w:val="left"/>
                                <w:rPr>
                                  <w:sz w:val="18"/>
                                </w:rPr>
                              </w:pPr>
                              <w:r>
                                <w:rPr>
                                  <w:color w:val="636466"/>
                                  <w:spacing w:val="-5"/>
                                  <w:sz w:val="18"/>
                                </w:rPr>
                                <w:t>1%</w:t>
                              </w:r>
                            </w:p>
                          </w:txbxContent>
                        </wps:txbx>
                        <wps:bodyPr wrap="square" lIns="0" tIns="0" rIns="0" bIns="0" rtlCol="0">
                          <a:noAutofit/>
                        </wps:bodyPr>
                      </wps:wsp>
                    </wpg:wgp>
                  </a:graphicData>
                </a:graphic>
              </wp:anchor>
            </w:drawing>
          </mc:Choice>
          <mc:Fallback>
            <w:pict>
              <v:group style="position:absolute;margin-left:841.012512pt;margin-top:-11.339231pt;width:260pt;height:297pt;mso-position-horizontal-relative:page;mso-position-vertical-relative:paragraph;z-index:15767552" id="docshapegroup296" coordorigin="16820,-227" coordsize="5200,5940">
                <v:shape style="position:absolute;left:16822;top:-10;width:5140;height:5520" id="docshape297" coordorigin="16823,-10" coordsize="5140,5520" path="m16943,5270l16823,5270,16823,5510,16943,5510,16943,5270xm17543,4610l16823,4610,16823,4850,17543,4850,17543,4610xm17723,3950l16823,3950,16823,4190,17723,4190,17723,3950xm18763,3290l16823,3290,16823,3530,18763,3530,18763,3290xm18803,2630l16823,2630,16823,2870,18803,2870,18803,2630xm18923,1970l16823,1970,16823,2210,18923,2210,18923,1970xm20523,1310l16823,1310,16823,1550,20523,1550,20523,1310xm21443,650l16823,650,16823,890,21443,890,21443,650xm21963,-10l16823,-10,16823,230,21963,230,21963,-10xe" filled="true" fillcolor="#82bf6a" stroked="false">
                  <v:path arrowok="t"/>
                  <v:fill type="solid"/>
                </v:shape>
                <v:shape style="position:absolute;left:16832;top:5360;width:360;height:80" id="docshape298" coordorigin="16833,5360" coordsize="360,80" path="m16933,5400l16833,5400m16933,5400l17193,5400m17193,5360l17193,5440e" filled="false" stroked="true" strokeweight=".72pt" strokecolor="#636466">
                  <v:path arrowok="t"/>
                  <v:stroke dashstyle="solid"/>
                </v:shape>
                <v:shape style="position:absolute;left:17332;top:4700;width:440;height:80" id="docshape299" coordorigin="17333,4700" coordsize="440,80" path="m17553,4740l17333,4740m17553,4740l17773,4740m17333,4700l17333,4780m17773,4700l17773,4780e" filled="false" stroked="true" strokeweight=".72pt" strokecolor="#636466">
                  <v:path arrowok="t"/>
                  <v:stroke dashstyle="solid"/>
                </v:shape>
                <v:shape style="position:absolute;left:17452;top:4020;width:520;height:100" id="docshape300" coordorigin="17453,4020" coordsize="520,100" path="m17713,4072l17453,4072m17713,4072l17973,4072m17453,4020l17453,4120m17973,4020l17973,4120e" filled="false" stroked="true" strokeweight=".72pt" strokecolor="#636466">
                  <v:path arrowok="t"/>
                  <v:stroke dashstyle="solid"/>
                </v:shape>
                <v:shape style="position:absolute;left:18552;top:3360;width:420;height:100" id="docshape301" coordorigin="18553,3360" coordsize="420,100" path="m18773,3412l18553,3412m18773,3412l18973,3412m18553,3360l18553,3460m18973,3360l18973,3460e" filled="false" stroked="true" strokeweight=".72pt" strokecolor="#636466">
                  <v:path arrowok="t"/>
                  <v:stroke dashstyle="solid"/>
                </v:shape>
                <v:shape style="position:absolute;left:18532;top:2700;width:520;height:100" id="docshape302" coordorigin="18533,2700" coordsize="520,100" path="m18793,2752l18533,2752m18793,2752l19053,2752m18533,2700l18533,2800m19053,2700l19053,2800e" filled="false" stroked="true" strokeweight=".72pt" strokecolor="#636466">
                  <v:path arrowok="t"/>
                  <v:stroke dashstyle="solid"/>
                </v:shape>
                <v:shape style="position:absolute;left:18712;top:2040;width:420;height:100" id="docshape303" coordorigin="18713,2040" coordsize="420,100" path="m18913,2092l18713,2092m18913,2092l19133,2092m18713,2040l18713,2140m19133,2040l19133,2140e" filled="false" stroked="true" strokeweight=".72pt" strokecolor="#636466">
                  <v:path arrowok="t"/>
                  <v:stroke dashstyle="solid"/>
                </v:shape>
                <v:shape style="position:absolute;left:20372;top:1380;width:300;height:101" id="docshape304" coordorigin="20373,1380" coordsize="300,101" path="m20533,1432l20373,1432m20533,1432l20673,1432m20373,1380l20373,1480m20673,1380l20673,1480e" filled="false" stroked="true" strokeweight=".72pt" strokecolor="#636466">
                  <v:path arrowok="t"/>
                  <v:stroke dashstyle="solid"/>
                </v:shape>
                <v:shape style="position:absolute;left:21292;top:720;width:280;height:101" id="docshape305" coordorigin="21293,720" coordsize="280,101" path="m21433,769l21293,769m21433,769l21573,769m21293,720l21293,820m21573,720l21573,820e" filled="false" stroked="true" strokeweight=".72pt" strokecolor="#636466">
                  <v:path arrowok="t"/>
                  <v:stroke dashstyle="solid"/>
                </v:shape>
                <v:shape style="position:absolute;left:21912;top:60;width:103;height:101" id="docshape306" coordorigin="21913,60" coordsize="103,101" path="m22016,112l21913,112m21913,60l21913,160m22013,60l22013,160e" filled="false" stroked="true" strokeweight=".72pt" strokecolor="#636466">
                  <v:path arrowok="t"/>
                  <v:stroke dashstyle="solid"/>
                </v:shape>
                <v:line style="position:absolute" from="16826,5713" to="16826,-227" stroked="true" strokeweight=".562pt" strokecolor="#939598">
                  <v:stroke dashstyle="solid"/>
                </v:line>
                <v:shape style="position:absolute;left:16946;top:-11;width:397;height:246" type="#_x0000_t202" id="docshape307" filled="false" stroked="false">
                  <v:textbox inset="0,0,0,0">
                    <w:txbxContent>
                      <w:p>
                        <w:pPr>
                          <w:spacing w:before="11"/>
                          <w:ind w:left="0" w:right="0" w:firstLine="0"/>
                          <w:jc w:val="left"/>
                          <w:rPr>
                            <w:b/>
                            <w:sz w:val="18"/>
                          </w:rPr>
                        </w:pPr>
                        <w:r>
                          <w:rPr>
                            <w:b/>
                            <w:color w:val="FFFFFF"/>
                            <w:spacing w:val="-5"/>
                            <w:w w:val="105"/>
                            <w:sz w:val="18"/>
                          </w:rPr>
                          <w:t>50%</w:t>
                        </w:r>
                      </w:p>
                    </w:txbxContent>
                  </v:textbox>
                  <w10:wrap type="none"/>
                </v:shape>
                <v:shape style="position:absolute;left:16946;top:649;width:397;height:246" type="#_x0000_t202" id="docshape308" filled="false" stroked="false">
                  <v:textbox inset="0,0,0,0">
                    <w:txbxContent>
                      <w:p>
                        <w:pPr>
                          <w:spacing w:before="11"/>
                          <w:ind w:left="0" w:right="0" w:firstLine="0"/>
                          <w:jc w:val="left"/>
                          <w:rPr>
                            <w:b/>
                            <w:sz w:val="18"/>
                          </w:rPr>
                        </w:pPr>
                        <w:r>
                          <w:rPr>
                            <w:b/>
                            <w:color w:val="FFFFFF"/>
                            <w:spacing w:val="-5"/>
                            <w:w w:val="105"/>
                            <w:sz w:val="18"/>
                          </w:rPr>
                          <w:t>45%</w:t>
                        </w:r>
                      </w:p>
                    </w:txbxContent>
                  </v:textbox>
                  <w10:wrap type="none"/>
                </v:shape>
                <v:shape style="position:absolute;left:16946;top:1309;width:397;height:246" type="#_x0000_t202" id="docshape309" filled="false" stroked="false">
                  <v:textbox inset="0,0,0,0">
                    <w:txbxContent>
                      <w:p>
                        <w:pPr>
                          <w:spacing w:before="11"/>
                          <w:ind w:left="0" w:right="0" w:firstLine="0"/>
                          <w:jc w:val="left"/>
                          <w:rPr>
                            <w:b/>
                            <w:sz w:val="18"/>
                          </w:rPr>
                        </w:pPr>
                        <w:r>
                          <w:rPr>
                            <w:b/>
                            <w:color w:val="FFFFFF"/>
                            <w:spacing w:val="-5"/>
                            <w:w w:val="105"/>
                            <w:sz w:val="18"/>
                          </w:rPr>
                          <w:t>36%</w:t>
                        </w:r>
                      </w:p>
                    </w:txbxContent>
                  </v:textbox>
                  <w10:wrap type="none"/>
                </v:shape>
                <v:shape style="position:absolute;left:16946;top:1969;width:397;height:246" type="#_x0000_t202" id="docshape310" filled="false" stroked="false">
                  <v:textbox inset="0,0,0,0">
                    <w:txbxContent>
                      <w:p>
                        <w:pPr>
                          <w:spacing w:before="11"/>
                          <w:ind w:left="0" w:right="0" w:firstLine="0"/>
                          <w:jc w:val="left"/>
                          <w:rPr>
                            <w:b/>
                            <w:sz w:val="18"/>
                          </w:rPr>
                        </w:pPr>
                        <w:r>
                          <w:rPr>
                            <w:b/>
                            <w:color w:val="FFFFFF"/>
                            <w:spacing w:val="-5"/>
                            <w:w w:val="105"/>
                            <w:sz w:val="18"/>
                          </w:rPr>
                          <w:t>20%</w:t>
                        </w:r>
                      </w:p>
                    </w:txbxContent>
                  </v:textbox>
                  <w10:wrap type="none"/>
                </v:shape>
                <v:shape style="position:absolute;left:16946;top:2629;width:397;height:246" type="#_x0000_t202" id="docshape311" filled="false" stroked="false">
                  <v:textbox inset="0,0,0,0">
                    <w:txbxContent>
                      <w:p>
                        <w:pPr>
                          <w:spacing w:before="11"/>
                          <w:ind w:left="0" w:right="0" w:firstLine="0"/>
                          <w:jc w:val="left"/>
                          <w:rPr>
                            <w:b/>
                            <w:sz w:val="18"/>
                          </w:rPr>
                        </w:pPr>
                        <w:r>
                          <w:rPr>
                            <w:b/>
                            <w:color w:val="FFFFFF"/>
                            <w:spacing w:val="-5"/>
                            <w:w w:val="105"/>
                            <w:sz w:val="18"/>
                          </w:rPr>
                          <w:t>19%</w:t>
                        </w:r>
                      </w:p>
                    </w:txbxContent>
                  </v:textbox>
                  <w10:wrap type="none"/>
                </v:shape>
                <v:shape style="position:absolute;left:16946;top:3290;width:397;height:246" type="#_x0000_t202" id="docshape312" filled="false" stroked="false">
                  <v:textbox inset="0,0,0,0">
                    <w:txbxContent>
                      <w:p>
                        <w:pPr>
                          <w:spacing w:before="11"/>
                          <w:ind w:left="0" w:right="0" w:firstLine="0"/>
                          <w:jc w:val="left"/>
                          <w:rPr>
                            <w:b/>
                            <w:sz w:val="18"/>
                          </w:rPr>
                        </w:pPr>
                        <w:r>
                          <w:rPr>
                            <w:b/>
                            <w:color w:val="FFFFFF"/>
                            <w:spacing w:val="-5"/>
                            <w:w w:val="105"/>
                            <w:sz w:val="18"/>
                          </w:rPr>
                          <w:t>19%</w:t>
                        </w:r>
                      </w:p>
                    </w:txbxContent>
                  </v:textbox>
                  <w10:wrap type="none"/>
                </v:shape>
                <v:shape style="position:absolute;left:16946;top:3950;width:290;height:246" type="#_x0000_t202" id="docshape313" filled="false" stroked="false">
                  <v:textbox inset="0,0,0,0">
                    <w:txbxContent>
                      <w:p>
                        <w:pPr>
                          <w:spacing w:before="11"/>
                          <w:ind w:left="0" w:right="0" w:firstLine="0"/>
                          <w:jc w:val="left"/>
                          <w:rPr>
                            <w:b/>
                            <w:sz w:val="18"/>
                          </w:rPr>
                        </w:pPr>
                        <w:r>
                          <w:rPr>
                            <w:b/>
                            <w:color w:val="FFFFFF"/>
                            <w:spacing w:val="-5"/>
                            <w:w w:val="105"/>
                            <w:sz w:val="18"/>
                          </w:rPr>
                          <w:t>9%</w:t>
                        </w:r>
                      </w:p>
                    </w:txbxContent>
                  </v:textbox>
                  <w10:wrap type="none"/>
                </v:shape>
                <v:shape style="position:absolute;left:16946;top:4610;width:290;height:246" type="#_x0000_t202" id="docshape314" filled="false" stroked="false">
                  <v:textbox inset="0,0,0,0">
                    <w:txbxContent>
                      <w:p>
                        <w:pPr>
                          <w:spacing w:before="11"/>
                          <w:ind w:left="0" w:right="0" w:firstLine="0"/>
                          <w:jc w:val="left"/>
                          <w:rPr>
                            <w:b/>
                            <w:sz w:val="18"/>
                          </w:rPr>
                        </w:pPr>
                        <w:r>
                          <w:rPr>
                            <w:b/>
                            <w:color w:val="FFFFFF"/>
                            <w:spacing w:val="-5"/>
                            <w:w w:val="105"/>
                            <w:sz w:val="18"/>
                          </w:rPr>
                          <w:t>7%</w:t>
                        </w:r>
                      </w:p>
                    </w:txbxContent>
                  </v:textbox>
                  <w10:wrap type="none"/>
                </v:shape>
                <v:shape style="position:absolute;left:17232;top:5267;width:274;height:246" type="#_x0000_t202" id="docshape315" filled="false" stroked="false">
                  <v:textbox inset="0,0,0,0">
                    <w:txbxContent>
                      <w:p>
                        <w:pPr>
                          <w:spacing w:before="11"/>
                          <w:ind w:left="0" w:right="0" w:firstLine="0"/>
                          <w:jc w:val="left"/>
                          <w:rPr>
                            <w:sz w:val="18"/>
                          </w:rPr>
                        </w:pPr>
                        <w:r>
                          <w:rPr>
                            <w:color w:val="636466"/>
                            <w:spacing w:val="-5"/>
                            <w:sz w:val="18"/>
                          </w:rPr>
                          <w:t>1%</w:t>
                        </w:r>
                      </w:p>
                    </w:txbxContent>
                  </v:textbox>
                  <w10:wrap type="none"/>
                </v:shape>
                <w10:wrap type="none"/>
              </v:group>
            </w:pict>
          </mc:Fallback>
        </mc:AlternateContent>
      </w:r>
      <w:r>
        <w:rPr>
          <w:color w:val="636466"/>
          <w:sz w:val="18"/>
        </w:rPr>
        <w:t>Depression</w:t>
      </w:r>
      <w:r>
        <w:rPr>
          <w:color w:val="636466"/>
          <w:spacing w:val="-8"/>
          <w:sz w:val="18"/>
        </w:rPr>
        <w:t> </w:t>
      </w:r>
      <w:r>
        <w:rPr>
          <w:color w:val="636466"/>
          <w:sz w:val="18"/>
        </w:rPr>
        <w:t>or</w:t>
      </w:r>
      <w:r>
        <w:rPr>
          <w:color w:val="636466"/>
          <w:spacing w:val="-7"/>
          <w:sz w:val="18"/>
        </w:rPr>
        <w:t> </w:t>
      </w:r>
      <w:r>
        <w:rPr>
          <w:color w:val="636466"/>
          <w:spacing w:val="-2"/>
          <w:sz w:val="18"/>
        </w:rPr>
        <w:t>sadness</w:t>
      </w:r>
    </w:p>
    <w:p>
      <w:pPr>
        <w:pStyle w:val="BodyText"/>
        <w:rPr>
          <w:sz w:val="18"/>
        </w:rPr>
      </w:pPr>
    </w:p>
    <w:p>
      <w:pPr>
        <w:pStyle w:val="BodyText"/>
        <w:spacing w:before="22"/>
        <w:rPr>
          <w:sz w:val="18"/>
        </w:rPr>
      </w:pPr>
    </w:p>
    <w:p>
      <w:pPr>
        <w:spacing w:before="1"/>
        <w:ind w:left="0" w:right="7186" w:firstLine="0"/>
        <w:jc w:val="right"/>
        <w:rPr>
          <w:sz w:val="18"/>
        </w:rPr>
      </w:pPr>
      <w:r>
        <w:rPr>
          <w:color w:val="636466"/>
          <w:sz w:val="18"/>
        </w:rPr>
        <w:t>Anxiety</w:t>
      </w:r>
      <w:r>
        <w:rPr>
          <w:color w:val="636466"/>
          <w:spacing w:val="2"/>
          <w:sz w:val="18"/>
        </w:rPr>
        <w:t> </w:t>
      </w:r>
      <w:r>
        <w:rPr>
          <w:color w:val="636466"/>
          <w:sz w:val="18"/>
        </w:rPr>
        <w:t>or</w:t>
      </w:r>
      <w:r>
        <w:rPr>
          <w:color w:val="636466"/>
          <w:spacing w:val="2"/>
          <w:sz w:val="18"/>
        </w:rPr>
        <w:t> </w:t>
      </w:r>
      <w:r>
        <w:rPr>
          <w:color w:val="636466"/>
          <w:spacing w:val="-4"/>
          <w:sz w:val="18"/>
        </w:rPr>
        <w:t>fear</w:t>
      </w:r>
    </w:p>
    <w:p>
      <w:pPr>
        <w:spacing w:after="0"/>
        <w:jc w:val="right"/>
        <w:rPr>
          <w:sz w:val="18"/>
        </w:rPr>
        <w:sectPr>
          <w:type w:val="continuous"/>
          <w:pgSz w:w="24480" w:h="15840" w:orient="landscape"/>
          <w:pgMar w:header="0" w:footer="0" w:top="0" w:bottom="280" w:left="0" w:right="720"/>
          <w:cols w:num="2" w:equalWidth="0">
            <w:col w:w="5442" w:space="6789"/>
            <w:col w:w="11529"/>
          </w:cols>
        </w:sectPr>
      </w:pPr>
    </w:p>
    <w:p>
      <w:pPr>
        <w:tabs>
          <w:tab w:pos="4580" w:val="left" w:leader="none"/>
          <w:tab w:pos="6698" w:val="left" w:leader="none"/>
          <w:tab w:pos="8816" w:val="left" w:leader="none"/>
        </w:tabs>
        <w:spacing w:before="33"/>
        <w:ind w:left="2463" w:right="0" w:firstLine="0"/>
        <w:jc w:val="left"/>
        <w:rPr>
          <w:sz w:val="18"/>
        </w:rPr>
      </w:pPr>
      <w:r>
        <w:rPr>
          <w:color w:val="636466"/>
          <w:w w:val="90"/>
          <w:sz w:val="18"/>
        </w:rPr>
        <w:t>2010-</w:t>
      </w:r>
      <w:r>
        <w:rPr>
          <w:color w:val="636466"/>
          <w:spacing w:val="-5"/>
          <w:sz w:val="18"/>
        </w:rPr>
        <w:t>12</w:t>
      </w:r>
      <w:r>
        <w:rPr>
          <w:color w:val="636466"/>
          <w:sz w:val="18"/>
        </w:rPr>
        <w:tab/>
      </w:r>
      <w:r>
        <w:rPr>
          <w:color w:val="636466"/>
          <w:w w:val="90"/>
          <w:sz w:val="18"/>
        </w:rPr>
        <w:t>2011-</w:t>
      </w:r>
      <w:r>
        <w:rPr>
          <w:color w:val="636466"/>
          <w:spacing w:val="-5"/>
          <w:sz w:val="18"/>
        </w:rPr>
        <w:t>13</w:t>
      </w:r>
      <w:r>
        <w:rPr>
          <w:color w:val="636466"/>
          <w:sz w:val="18"/>
        </w:rPr>
        <w:tab/>
      </w:r>
      <w:r>
        <w:rPr>
          <w:color w:val="636466"/>
          <w:w w:val="90"/>
          <w:sz w:val="18"/>
        </w:rPr>
        <w:t>2012-</w:t>
      </w:r>
      <w:r>
        <w:rPr>
          <w:color w:val="636466"/>
          <w:spacing w:val="-5"/>
          <w:sz w:val="18"/>
        </w:rPr>
        <w:t>14</w:t>
      </w:r>
      <w:r>
        <w:rPr>
          <w:color w:val="636466"/>
          <w:sz w:val="18"/>
        </w:rPr>
        <w:tab/>
      </w:r>
      <w:r>
        <w:rPr>
          <w:color w:val="636466"/>
          <w:w w:val="90"/>
          <w:sz w:val="18"/>
        </w:rPr>
        <w:t>2014-</w:t>
      </w:r>
      <w:r>
        <w:rPr>
          <w:color w:val="636466"/>
          <w:spacing w:val="-5"/>
          <w:sz w:val="18"/>
        </w:rPr>
        <w:t>16</w:t>
      </w:r>
    </w:p>
    <w:p>
      <w:pPr>
        <w:pStyle w:val="BodyText"/>
        <w:spacing w:before="162"/>
        <w:rPr>
          <w:sz w:val="18"/>
        </w:rPr>
      </w:pPr>
    </w:p>
    <w:p>
      <w:pPr>
        <w:spacing w:before="1"/>
        <w:ind w:left="2464" w:right="0" w:firstLine="0"/>
        <w:jc w:val="left"/>
        <w:rPr>
          <w:sz w:val="16"/>
        </w:rPr>
      </w:pPr>
      <w:r>
        <w:rPr>
          <w:color w:val="105C84"/>
          <w:spacing w:val="-2"/>
          <w:sz w:val="16"/>
        </w:rPr>
        <w:t>Source:</w:t>
      </w:r>
      <w:r>
        <w:rPr>
          <w:color w:val="105C84"/>
          <w:spacing w:val="-8"/>
          <w:sz w:val="16"/>
        </w:rPr>
        <w:t> </w:t>
      </w:r>
      <w:r>
        <w:rPr>
          <w:color w:val="105C84"/>
          <w:spacing w:val="-2"/>
          <w:sz w:val="16"/>
        </w:rPr>
        <w:t>NYS</w:t>
      </w:r>
      <w:r>
        <w:rPr>
          <w:color w:val="105C84"/>
          <w:spacing w:val="-8"/>
          <w:sz w:val="16"/>
        </w:rPr>
        <w:t> </w:t>
      </w:r>
      <w:r>
        <w:rPr>
          <w:color w:val="105C84"/>
          <w:spacing w:val="-2"/>
          <w:sz w:val="16"/>
        </w:rPr>
        <w:t>Perinatal</w:t>
      </w:r>
      <w:r>
        <w:rPr>
          <w:color w:val="105C84"/>
          <w:spacing w:val="-8"/>
          <w:sz w:val="16"/>
        </w:rPr>
        <w:t> </w:t>
      </w:r>
      <w:r>
        <w:rPr>
          <w:color w:val="105C84"/>
          <w:spacing w:val="-2"/>
          <w:sz w:val="16"/>
        </w:rPr>
        <w:t>Data</w:t>
      </w:r>
      <w:r>
        <w:rPr>
          <w:color w:val="105C84"/>
          <w:spacing w:val="-8"/>
          <w:sz w:val="16"/>
        </w:rPr>
        <w:t> </w:t>
      </w:r>
      <w:r>
        <w:rPr>
          <w:color w:val="105C84"/>
          <w:spacing w:val="-2"/>
          <w:sz w:val="16"/>
        </w:rPr>
        <w:t>Profile</w:t>
      </w:r>
    </w:p>
    <w:p>
      <w:pPr>
        <w:pStyle w:val="BodyText"/>
        <w:rPr>
          <w:sz w:val="16"/>
        </w:rPr>
      </w:pPr>
    </w:p>
    <w:p>
      <w:pPr>
        <w:pStyle w:val="BodyText"/>
        <w:spacing w:before="44"/>
        <w:rPr>
          <w:sz w:val="16"/>
        </w:rPr>
      </w:pPr>
    </w:p>
    <w:p>
      <w:pPr>
        <w:pStyle w:val="Heading6"/>
        <w:ind w:left="1088"/>
      </w:pPr>
      <w:r>
        <w:rPr>
          <w:color w:val="105C84"/>
          <w:spacing w:val="-4"/>
        </w:rPr>
        <w:t>Promote</w:t>
      </w:r>
      <w:r>
        <w:rPr>
          <w:color w:val="105C84"/>
          <w:spacing w:val="-6"/>
        </w:rPr>
        <w:t> </w:t>
      </w:r>
      <w:r>
        <w:rPr>
          <w:color w:val="105C84"/>
          <w:spacing w:val="-4"/>
        </w:rPr>
        <w:t>Well-Being</w:t>
      </w:r>
      <w:r>
        <w:rPr>
          <w:color w:val="105C84"/>
          <w:spacing w:val="-6"/>
        </w:rPr>
        <w:t> </w:t>
      </w:r>
      <w:r>
        <w:rPr>
          <w:color w:val="105C84"/>
          <w:spacing w:val="-4"/>
        </w:rPr>
        <w:t>and</w:t>
      </w:r>
      <w:r>
        <w:rPr>
          <w:color w:val="105C84"/>
          <w:spacing w:val="-5"/>
        </w:rPr>
        <w:t> </w:t>
      </w:r>
      <w:r>
        <w:rPr>
          <w:color w:val="105C84"/>
          <w:spacing w:val="-4"/>
        </w:rPr>
        <w:t>Prevent</w:t>
      </w:r>
      <w:r>
        <w:rPr>
          <w:color w:val="105C84"/>
          <w:spacing w:val="-6"/>
        </w:rPr>
        <w:t> </w:t>
      </w:r>
      <w:r>
        <w:rPr>
          <w:color w:val="105C84"/>
          <w:spacing w:val="-4"/>
        </w:rPr>
        <w:t>Mental</w:t>
      </w:r>
      <w:r>
        <w:rPr>
          <w:color w:val="105C84"/>
          <w:spacing w:val="-5"/>
        </w:rPr>
        <w:t> </w:t>
      </w:r>
      <w:r>
        <w:rPr>
          <w:color w:val="105C84"/>
          <w:spacing w:val="-4"/>
        </w:rPr>
        <w:t>and</w:t>
      </w:r>
      <w:r>
        <w:rPr>
          <w:color w:val="105C84"/>
          <w:spacing w:val="-6"/>
        </w:rPr>
        <w:t> </w:t>
      </w:r>
      <w:r>
        <w:rPr>
          <w:color w:val="105C84"/>
          <w:spacing w:val="-4"/>
        </w:rPr>
        <w:t>Substance</w:t>
      </w:r>
      <w:r>
        <w:rPr>
          <w:color w:val="105C84"/>
          <w:spacing w:val="-5"/>
        </w:rPr>
        <w:t> </w:t>
      </w:r>
      <w:r>
        <w:rPr>
          <w:color w:val="105C84"/>
          <w:spacing w:val="-4"/>
        </w:rPr>
        <w:t>Use</w:t>
      </w:r>
      <w:r>
        <w:rPr>
          <w:color w:val="105C84"/>
          <w:spacing w:val="-6"/>
        </w:rPr>
        <w:t> </w:t>
      </w:r>
      <w:r>
        <w:rPr>
          <w:color w:val="105C84"/>
          <w:spacing w:val="-4"/>
        </w:rPr>
        <w:t>Disorders</w:t>
      </w:r>
    </w:p>
    <w:p>
      <w:pPr>
        <w:pStyle w:val="BodyText"/>
        <w:spacing w:line="247" w:lineRule="auto" w:before="269"/>
        <w:ind w:left="1088"/>
      </w:pPr>
      <w:r>
        <w:rPr>
          <w:color w:val="105C84"/>
        </w:rPr>
        <w:t>Data from New York State Opioid Reporting indicate a 23% increase in overdose deaths from 2016 (N=57) to 2017 (N= 74) (Figure 12). Notably, Seneca and Steuben Counties were the only counties that saw a decrease in deaths from 2016. The largest increases in deaths were in Chemung and Ontario Counties. No data are available for Schuyler County.</w:t>
      </w:r>
    </w:p>
    <w:p>
      <w:pPr>
        <w:pStyle w:val="BodyText"/>
        <w:spacing w:before="17"/>
      </w:pPr>
    </w:p>
    <w:p>
      <w:pPr>
        <w:pStyle w:val="Heading6"/>
        <w:ind w:left="1088"/>
      </w:pPr>
      <w:r>
        <w:rPr>
          <w:color w:val="105C84"/>
        </w:rPr>
        <w:t>FIGURE</w:t>
      </w:r>
      <w:r>
        <w:rPr>
          <w:color w:val="105C84"/>
          <w:spacing w:val="-11"/>
        </w:rPr>
        <w:t> </w:t>
      </w:r>
      <w:r>
        <w:rPr>
          <w:color w:val="105C84"/>
        </w:rPr>
        <w:t>12:</w:t>
      </w:r>
      <w:r>
        <w:rPr>
          <w:color w:val="105C84"/>
          <w:spacing w:val="-10"/>
        </w:rPr>
        <w:t> </w:t>
      </w:r>
      <w:r>
        <w:rPr>
          <w:color w:val="105C84"/>
        </w:rPr>
        <w:t>All</w:t>
      </w:r>
      <w:r>
        <w:rPr>
          <w:color w:val="105C84"/>
          <w:spacing w:val="-10"/>
        </w:rPr>
        <w:t> </w:t>
      </w:r>
      <w:r>
        <w:rPr>
          <w:color w:val="105C84"/>
        </w:rPr>
        <w:t>opioid</w:t>
      </w:r>
      <w:r>
        <w:rPr>
          <w:color w:val="105C84"/>
          <w:spacing w:val="-10"/>
        </w:rPr>
        <w:t> </w:t>
      </w:r>
      <w:r>
        <w:rPr>
          <w:color w:val="105C84"/>
        </w:rPr>
        <w:t>overdose</w:t>
      </w:r>
      <w:r>
        <w:rPr>
          <w:color w:val="105C84"/>
          <w:spacing w:val="-10"/>
        </w:rPr>
        <w:t> </w:t>
      </w:r>
      <w:r>
        <w:rPr>
          <w:color w:val="105C84"/>
        </w:rPr>
        <w:t>death</w:t>
      </w:r>
      <w:r>
        <w:rPr>
          <w:color w:val="105C84"/>
          <w:spacing w:val="-10"/>
        </w:rPr>
        <w:t> </w:t>
      </w:r>
      <w:r>
        <w:rPr>
          <w:color w:val="105C84"/>
        </w:rPr>
        <w:t>rates</w:t>
      </w:r>
      <w:r>
        <w:rPr>
          <w:color w:val="105C84"/>
          <w:spacing w:val="-10"/>
        </w:rPr>
        <w:t> </w:t>
      </w:r>
      <w:r>
        <w:rPr>
          <w:color w:val="105C84"/>
        </w:rPr>
        <w:t>per</w:t>
      </w:r>
      <w:r>
        <w:rPr>
          <w:color w:val="105C84"/>
          <w:spacing w:val="-10"/>
        </w:rPr>
        <w:t> </w:t>
      </w:r>
      <w:r>
        <w:rPr>
          <w:color w:val="105C84"/>
        </w:rPr>
        <w:t>100,000</w:t>
      </w:r>
      <w:r>
        <w:rPr>
          <w:color w:val="105C84"/>
          <w:spacing w:val="-10"/>
        </w:rPr>
        <w:t> </w:t>
      </w:r>
      <w:r>
        <w:rPr>
          <w:color w:val="105C84"/>
          <w:spacing w:val="-2"/>
        </w:rPr>
        <w:t>population</w:t>
      </w:r>
    </w:p>
    <w:p>
      <w:pPr>
        <w:pStyle w:val="BodyText"/>
        <w:spacing w:before="171"/>
        <w:rPr>
          <w:b/>
          <w:sz w:val="26"/>
        </w:rPr>
      </w:pPr>
    </w:p>
    <w:p>
      <w:pPr>
        <w:spacing w:before="0"/>
        <w:ind w:left="1399" w:right="0" w:firstLine="0"/>
        <w:jc w:val="left"/>
        <w:rPr>
          <w:sz w:val="18"/>
        </w:rPr>
      </w:pPr>
      <w:r>
        <w:rPr>
          <w:sz w:val="18"/>
        </w:rPr>
        <mc:AlternateContent>
          <mc:Choice Requires="wps">
            <w:drawing>
              <wp:anchor distT="0" distB="0" distL="0" distR="0" allowOverlap="1" layoutInCell="1" locked="0" behindDoc="1" simplePos="0" relativeHeight="474993664">
                <wp:simplePos x="0" y="0"/>
                <wp:positionH relativeFrom="page">
                  <wp:posOffset>1151855</wp:posOffset>
                </wp:positionH>
                <wp:positionV relativeFrom="paragraph">
                  <wp:posOffset>-25795</wp:posOffset>
                </wp:positionV>
                <wp:extent cx="5466080" cy="1522095"/>
                <wp:effectExtent l="0" t="0" r="0" b="0"/>
                <wp:wrapNone/>
                <wp:docPr id="364" name="Group 364"/>
                <wp:cNvGraphicFramePr>
                  <a:graphicFrameLocks/>
                </wp:cNvGraphicFramePr>
                <a:graphic>
                  <a:graphicData uri="http://schemas.microsoft.com/office/word/2010/wordprocessingGroup">
                    <wpg:wgp>
                      <wpg:cNvPr id="364" name="Group 364"/>
                      <wpg:cNvGrpSpPr/>
                      <wpg:grpSpPr>
                        <a:xfrm>
                          <a:off x="0" y="0"/>
                          <a:ext cx="5466080" cy="1522095"/>
                          <a:chExt cx="5466080" cy="1522095"/>
                        </a:xfrm>
                      </wpg:grpSpPr>
                      <wps:wsp>
                        <wps:cNvPr id="365" name="Graphic 365"/>
                        <wps:cNvSpPr/>
                        <wps:spPr>
                          <a:xfrm>
                            <a:off x="169706" y="305695"/>
                            <a:ext cx="5090795" cy="1209675"/>
                          </a:xfrm>
                          <a:custGeom>
                            <a:avLst/>
                            <a:gdLst/>
                            <a:ahLst/>
                            <a:cxnLst/>
                            <a:rect l="l" t="t" r="r" b="b"/>
                            <a:pathLst>
                              <a:path w="5090795" h="1209675">
                                <a:moveTo>
                                  <a:pt x="159486" y="850595"/>
                                </a:moveTo>
                                <a:lnTo>
                                  <a:pt x="0" y="850595"/>
                                </a:lnTo>
                                <a:lnTo>
                                  <a:pt x="0" y="1209446"/>
                                </a:lnTo>
                                <a:lnTo>
                                  <a:pt x="159486" y="1209446"/>
                                </a:lnTo>
                                <a:lnTo>
                                  <a:pt x="159486" y="850595"/>
                                </a:lnTo>
                                <a:close/>
                              </a:path>
                              <a:path w="5090795" h="1209675">
                                <a:moveTo>
                                  <a:pt x="863892" y="425297"/>
                                </a:moveTo>
                                <a:lnTo>
                                  <a:pt x="704405" y="425297"/>
                                </a:lnTo>
                                <a:lnTo>
                                  <a:pt x="704405" y="1209459"/>
                                </a:lnTo>
                                <a:lnTo>
                                  <a:pt x="863892" y="1209459"/>
                                </a:lnTo>
                                <a:lnTo>
                                  <a:pt x="863892" y="425297"/>
                                </a:lnTo>
                                <a:close/>
                              </a:path>
                              <a:path w="5090795" h="1209675">
                                <a:moveTo>
                                  <a:pt x="1568297" y="425297"/>
                                </a:moveTo>
                                <a:lnTo>
                                  <a:pt x="1408811" y="425297"/>
                                </a:lnTo>
                                <a:lnTo>
                                  <a:pt x="1408811" y="1209459"/>
                                </a:lnTo>
                                <a:lnTo>
                                  <a:pt x="1568297" y="1209459"/>
                                </a:lnTo>
                                <a:lnTo>
                                  <a:pt x="1568297" y="425297"/>
                                </a:lnTo>
                                <a:close/>
                              </a:path>
                              <a:path w="5090795" h="1209675">
                                <a:moveTo>
                                  <a:pt x="2977108" y="996797"/>
                                </a:moveTo>
                                <a:lnTo>
                                  <a:pt x="2817622" y="996797"/>
                                </a:lnTo>
                                <a:lnTo>
                                  <a:pt x="2817622" y="1209446"/>
                                </a:lnTo>
                                <a:lnTo>
                                  <a:pt x="2977108" y="1209446"/>
                                </a:lnTo>
                                <a:lnTo>
                                  <a:pt x="2977108" y="996797"/>
                                </a:lnTo>
                                <a:close/>
                              </a:path>
                              <a:path w="5090795" h="1209675">
                                <a:moveTo>
                                  <a:pt x="3681514" y="0"/>
                                </a:moveTo>
                                <a:lnTo>
                                  <a:pt x="3522027" y="0"/>
                                </a:lnTo>
                                <a:lnTo>
                                  <a:pt x="3522027" y="1209459"/>
                                </a:lnTo>
                                <a:lnTo>
                                  <a:pt x="3681514" y="1209459"/>
                                </a:lnTo>
                                <a:lnTo>
                                  <a:pt x="3681514" y="0"/>
                                </a:lnTo>
                                <a:close/>
                              </a:path>
                              <a:path w="5090795" h="1209675">
                                <a:moveTo>
                                  <a:pt x="4385932" y="717689"/>
                                </a:moveTo>
                                <a:lnTo>
                                  <a:pt x="4226433" y="717689"/>
                                </a:lnTo>
                                <a:lnTo>
                                  <a:pt x="4226433" y="1209446"/>
                                </a:lnTo>
                                <a:lnTo>
                                  <a:pt x="4385932" y="1209446"/>
                                </a:lnTo>
                                <a:lnTo>
                                  <a:pt x="4385932" y="717689"/>
                                </a:lnTo>
                                <a:close/>
                              </a:path>
                              <a:path w="5090795" h="1209675">
                                <a:moveTo>
                                  <a:pt x="5090338" y="996797"/>
                                </a:moveTo>
                                <a:lnTo>
                                  <a:pt x="4930838" y="996797"/>
                                </a:lnTo>
                                <a:lnTo>
                                  <a:pt x="4930838" y="1209446"/>
                                </a:lnTo>
                                <a:lnTo>
                                  <a:pt x="5090338" y="1209446"/>
                                </a:lnTo>
                                <a:lnTo>
                                  <a:pt x="5090338" y="996797"/>
                                </a:lnTo>
                                <a:close/>
                              </a:path>
                            </a:pathLst>
                          </a:custGeom>
                          <a:solidFill>
                            <a:srgbClr val="105C84"/>
                          </a:solidFill>
                        </wps:spPr>
                        <wps:bodyPr wrap="square" lIns="0" tIns="0" rIns="0" bIns="0" rtlCol="0">
                          <a:prstTxWarp prst="textNoShape">
                            <a:avLst/>
                          </a:prstTxWarp>
                          <a:noAutofit/>
                        </wps:bodyPr>
                      </wps:wsp>
                      <wps:wsp>
                        <wps:cNvPr id="366" name="Graphic 366"/>
                        <wps:cNvSpPr/>
                        <wps:spPr>
                          <a:xfrm>
                            <a:off x="369070" y="239236"/>
                            <a:ext cx="5090795" cy="1276350"/>
                          </a:xfrm>
                          <a:custGeom>
                            <a:avLst/>
                            <a:gdLst/>
                            <a:ahLst/>
                            <a:cxnLst/>
                            <a:rect l="l" t="t" r="r" b="b"/>
                            <a:pathLst>
                              <a:path w="5090795" h="1276350">
                                <a:moveTo>
                                  <a:pt x="159486" y="425297"/>
                                </a:moveTo>
                                <a:lnTo>
                                  <a:pt x="0" y="425297"/>
                                </a:lnTo>
                                <a:lnTo>
                                  <a:pt x="0" y="1275918"/>
                                </a:lnTo>
                                <a:lnTo>
                                  <a:pt x="159486" y="1275918"/>
                                </a:lnTo>
                                <a:lnTo>
                                  <a:pt x="159486" y="425297"/>
                                </a:lnTo>
                                <a:close/>
                              </a:path>
                              <a:path w="5090795" h="1276350">
                                <a:moveTo>
                                  <a:pt x="863892" y="358851"/>
                                </a:moveTo>
                                <a:lnTo>
                                  <a:pt x="704405" y="358851"/>
                                </a:lnTo>
                                <a:lnTo>
                                  <a:pt x="704405" y="1275905"/>
                                </a:lnTo>
                                <a:lnTo>
                                  <a:pt x="863892" y="1275905"/>
                                </a:lnTo>
                                <a:lnTo>
                                  <a:pt x="863892" y="358851"/>
                                </a:lnTo>
                                <a:close/>
                              </a:path>
                              <a:path w="5090795" h="1276350">
                                <a:moveTo>
                                  <a:pt x="1568297" y="0"/>
                                </a:moveTo>
                                <a:lnTo>
                                  <a:pt x="1408798" y="0"/>
                                </a:lnTo>
                                <a:lnTo>
                                  <a:pt x="1408798" y="1275918"/>
                                </a:lnTo>
                                <a:lnTo>
                                  <a:pt x="1568297" y="1275918"/>
                                </a:lnTo>
                                <a:lnTo>
                                  <a:pt x="1568297" y="0"/>
                                </a:lnTo>
                                <a:close/>
                              </a:path>
                              <a:path w="5090795" h="1276350">
                                <a:moveTo>
                                  <a:pt x="2977121" y="1129703"/>
                                </a:moveTo>
                                <a:lnTo>
                                  <a:pt x="2817622" y="1129703"/>
                                </a:lnTo>
                                <a:lnTo>
                                  <a:pt x="2817622" y="1275905"/>
                                </a:lnTo>
                                <a:lnTo>
                                  <a:pt x="2977121" y="1275905"/>
                                </a:lnTo>
                                <a:lnTo>
                                  <a:pt x="2977121" y="1129703"/>
                                </a:lnTo>
                                <a:close/>
                              </a:path>
                              <a:path w="5090795" h="1276350">
                                <a:moveTo>
                                  <a:pt x="3681514" y="279095"/>
                                </a:moveTo>
                                <a:lnTo>
                                  <a:pt x="3522014" y="279095"/>
                                </a:lnTo>
                                <a:lnTo>
                                  <a:pt x="3522014" y="1275892"/>
                                </a:lnTo>
                                <a:lnTo>
                                  <a:pt x="3681514" y="1275892"/>
                                </a:lnTo>
                                <a:lnTo>
                                  <a:pt x="3681514" y="279095"/>
                                </a:lnTo>
                                <a:close/>
                              </a:path>
                              <a:path w="5090795" h="1276350">
                                <a:moveTo>
                                  <a:pt x="4385919" y="704405"/>
                                </a:moveTo>
                                <a:lnTo>
                                  <a:pt x="4226420" y="704405"/>
                                </a:lnTo>
                                <a:lnTo>
                                  <a:pt x="4226420" y="1275905"/>
                                </a:lnTo>
                                <a:lnTo>
                                  <a:pt x="4385919" y="1275905"/>
                                </a:lnTo>
                                <a:lnTo>
                                  <a:pt x="4385919" y="704405"/>
                                </a:lnTo>
                                <a:close/>
                              </a:path>
                              <a:path w="5090795" h="1276350">
                                <a:moveTo>
                                  <a:pt x="5090325" y="784148"/>
                                </a:moveTo>
                                <a:lnTo>
                                  <a:pt x="4930838" y="784148"/>
                                </a:lnTo>
                                <a:lnTo>
                                  <a:pt x="4930838" y="1275905"/>
                                </a:lnTo>
                                <a:lnTo>
                                  <a:pt x="5090325" y="1275905"/>
                                </a:lnTo>
                                <a:lnTo>
                                  <a:pt x="5090325" y="784148"/>
                                </a:lnTo>
                                <a:close/>
                              </a:path>
                            </a:pathLst>
                          </a:custGeom>
                          <a:solidFill>
                            <a:srgbClr val="81BF6A"/>
                          </a:solidFill>
                        </wps:spPr>
                        <wps:bodyPr wrap="square" lIns="0" tIns="0" rIns="0" bIns="0" rtlCol="0">
                          <a:prstTxWarp prst="textNoShape">
                            <a:avLst/>
                          </a:prstTxWarp>
                          <a:noAutofit/>
                        </wps:bodyPr>
                      </wps:wsp>
                      <wps:wsp>
                        <wps:cNvPr id="367" name="Graphic 367"/>
                        <wps:cNvSpPr/>
                        <wps:spPr>
                          <a:xfrm>
                            <a:off x="369074" y="239242"/>
                            <a:ext cx="5090795" cy="1276350"/>
                          </a:xfrm>
                          <a:custGeom>
                            <a:avLst/>
                            <a:gdLst/>
                            <a:ahLst/>
                            <a:cxnLst/>
                            <a:rect l="l" t="t" r="r" b="b"/>
                            <a:pathLst>
                              <a:path w="5090795" h="1276350">
                                <a:moveTo>
                                  <a:pt x="0" y="425297"/>
                                </a:moveTo>
                                <a:lnTo>
                                  <a:pt x="159486" y="425297"/>
                                </a:lnTo>
                                <a:lnTo>
                                  <a:pt x="159486" y="1275905"/>
                                </a:lnTo>
                                <a:lnTo>
                                  <a:pt x="0" y="1275905"/>
                                </a:lnTo>
                                <a:lnTo>
                                  <a:pt x="0" y="425297"/>
                                </a:lnTo>
                                <a:close/>
                              </a:path>
                              <a:path w="5090795" h="1276350">
                                <a:moveTo>
                                  <a:pt x="704405" y="358851"/>
                                </a:moveTo>
                                <a:lnTo>
                                  <a:pt x="863892" y="358851"/>
                                </a:lnTo>
                                <a:lnTo>
                                  <a:pt x="863892" y="1275905"/>
                                </a:lnTo>
                                <a:lnTo>
                                  <a:pt x="704405" y="1275905"/>
                                </a:lnTo>
                                <a:lnTo>
                                  <a:pt x="704405" y="358851"/>
                                </a:lnTo>
                                <a:close/>
                              </a:path>
                              <a:path w="5090795" h="1276350">
                                <a:moveTo>
                                  <a:pt x="1408798" y="0"/>
                                </a:moveTo>
                                <a:lnTo>
                                  <a:pt x="1568297" y="0"/>
                                </a:lnTo>
                                <a:lnTo>
                                  <a:pt x="1568297" y="1275905"/>
                                </a:lnTo>
                                <a:lnTo>
                                  <a:pt x="1408798" y="1275905"/>
                                </a:lnTo>
                                <a:lnTo>
                                  <a:pt x="1408798" y="0"/>
                                </a:lnTo>
                                <a:close/>
                              </a:path>
                              <a:path w="5090795" h="1276350">
                                <a:moveTo>
                                  <a:pt x="2817622" y="1129703"/>
                                </a:moveTo>
                                <a:lnTo>
                                  <a:pt x="2977121" y="1129703"/>
                                </a:lnTo>
                                <a:lnTo>
                                  <a:pt x="2977121" y="1275905"/>
                                </a:lnTo>
                                <a:lnTo>
                                  <a:pt x="2817622" y="1275905"/>
                                </a:lnTo>
                                <a:lnTo>
                                  <a:pt x="2817622" y="1129703"/>
                                </a:lnTo>
                                <a:close/>
                              </a:path>
                              <a:path w="5090795" h="1276350">
                                <a:moveTo>
                                  <a:pt x="3522014" y="279095"/>
                                </a:moveTo>
                                <a:lnTo>
                                  <a:pt x="3681514" y="279095"/>
                                </a:lnTo>
                                <a:lnTo>
                                  <a:pt x="3681514" y="1275892"/>
                                </a:lnTo>
                                <a:lnTo>
                                  <a:pt x="3522014" y="1275892"/>
                                </a:lnTo>
                                <a:lnTo>
                                  <a:pt x="3522014" y="279095"/>
                                </a:lnTo>
                                <a:close/>
                              </a:path>
                              <a:path w="5090795" h="1276350">
                                <a:moveTo>
                                  <a:pt x="4226420" y="704405"/>
                                </a:moveTo>
                                <a:lnTo>
                                  <a:pt x="4385919" y="704405"/>
                                </a:lnTo>
                                <a:lnTo>
                                  <a:pt x="4385919" y="1275905"/>
                                </a:lnTo>
                                <a:lnTo>
                                  <a:pt x="4226420" y="1275905"/>
                                </a:lnTo>
                                <a:lnTo>
                                  <a:pt x="4226420" y="704405"/>
                                </a:lnTo>
                                <a:close/>
                              </a:path>
                              <a:path w="5090795" h="1276350">
                                <a:moveTo>
                                  <a:pt x="4930838" y="784148"/>
                                </a:moveTo>
                                <a:lnTo>
                                  <a:pt x="5090325" y="784148"/>
                                </a:lnTo>
                                <a:lnTo>
                                  <a:pt x="5090325" y="1275905"/>
                                </a:lnTo>
                                <a:lnTo>
                                  <a:pt x="4930838" y="1275905"/>
                                </a:lnTo>
                                <a:lnTo>
                                  <a:pt x="4930838" y="784148"/>
                                </a:lnTo>
                                <a:close/>
                              </a:path>
                            </a:pathLst>
                          </a:custGeom>
                          <a:ln w="12700">
                            <a:solidFill>
                              <a:srgbClr val="82BF6A"/>
                            </a:solidFill>
                            <a:prstDash val="solid"/>
                          </a:ln>
                        </wps:spPr>
                        <wps:bodyPr wrap="square" lIns="0" tIns="0" rIns="0" bIns="0" rtlCol="0">
                          <a:prstTxWarp prst="textNoShape">
                            <a:avLst/>
                          </a:prstTxWarp>
                          <a:noAutofit/>
                        </wps:bodyPr>
                      </wps:wsp>
                      <wps:wsp>
                        <wps:cNvPr id="368" name="Graphic 368"/>
                        <wps:cNvSpPr/>
                        <wps:spPr>
                          <a:xfrm>
                            <a:off x="3568" y="22190"/>
                            <a:ext cx="5457190" cy="1491615"/>
                          </a:xfrm>
                          <a:custGeom>
                            <a:avLst/>
                            <a:gdLst/>
                            <a:ahLst/>
                            <a:cxnLst/>
                            <a:rect l="l" t="t" r="r" b="b"/>
                            <a:pathLst>
                              <a:path w="5457190" h="1491615">
                                <a:moveTo>
                                  <a:pt x="5456732" y="1491043"/>
                                </a:moveTo>
                                <a:lnTo>
                                  <a:pt x="0" y="1491030"/>
                                </a:lnTo>
                                <a:lnTo>
                                  <a:pt x="0" y="0"/>
                                </a:lnTo>
                              </a:path>
                            </a:pathLst>
                          </a:custGeom>
                          <a:ln w="7137">
                            <a:solidFill>
                              <a:srgbClr val="939598"/>
                            </a:solidFill>
                            <a:prstDash val="solid"/>
                          </a:ln>
                        </wps:spPr>
                        <wps:bodyPr wrap="square" lIns="0" tIns="0" rIns="0" bIns="0" rtlCol="0">
                          <a:prstTxWarp prst="textNoShape">
                            <a:avLst/>
                          </a:prstTxWarp>
                          <a:noAutofit/>
                        </wps:bodyPr>
                      </wps:wsp>
                      <wps:wsp>
                        <wps:cNvPr id="369" name="Graphic 369"/>
                        <wps:cNvSpPr/>
                        <wps:spPr>
                          <a:xfrm>
                            <a:off x="147189" y="34563"/>
                            <a:ext cx="66675" cy="66675"/>
                          </a:xfrm>
                          <a:custGeom>
                            <a:avLst/>
                            <a:gdLst/>
                            <a:ahLst/>
                            <a:cxnLst/>
                            <a:rect l="l" t="t" r="r" b="b"/>
                            <a:pathLst>
                              <a:path w="66675" h="66675">
                                <a:moveTo>
                                  <a:pt x="66446" y="0"/>
                                </a:moveTo>
                                <a:lnTo>
                                  <a:pt x="0" y="0"/>
                                </a:lnTo>
                                <a:lnTo>
                                  <a:pt x="0" y="66446"/>
                                </a:lnTo>
                                <a:lnTo>
                                  <a:pt x="66446" y="66446"/>
                                </a:lnTo>
                                <a:lnTo>
                                  <a:pt x="66446" y="0"/>
                                </a:lnTo>
                                <a:close/>
                              </a:path>
                            </a:pathLst>
                          </a:custGeom>
                          <a:solidFill>
                            <a:srgbClr val="0F5D86"/>
                          </a:solidFill>
                        </wps:spPr>
                        <wps:bodyPr wrap="square" lIns="0" tIns="0" rIns="0" bIns="0" rtlCol="0">
                          <a:prstTxWarp prst="textNoShape">
                            <a:avLst/>
                          </a:prstTxWarp>
                          <a:noAutofit/>
                        </wps:bodyPr>
                      </wps:wsp>
                      <wps:wsp>
                        <wps:cNvPr id="370" name="Graphic 370"/>
                        <wps:cNvSpPr/>
                        <wps:spPr>
                          <a:xfrm>
                            <a:off x="856903" y="34563"/>
                            <a:ext cx="66675" cy="66675"/>
                          </a:xfrm>
                          <a:custGeom>
                            <a:avLst/>
                            <a:gdLst/>
                            <a:ahLst/>
                            <a:cxnLst/>
                            <a:rect l="l" t="t" r="r" b="b"/>
                            <a:pathLst>
                              <a:path w="66675" h="66675">
                                <a:moveTo>
                                  <a:pt x="66459" y="0"/>
                                </a:moveTo>
                                <a:lnTo>
                                  <a:pt x="0" y="0"/>
                                </a:lnTo>
                                <a:lnTo>
                                  <a:pt x="0" y="66446"/>
                                </a:lnTo>
                                <a:lnTo>
                                  <a:pt x="66459" y="66446"/>
                                </a:lnTo>
                                <a:lnTo>
                                  <a:pt x="66459" y="0"/>
                                </a:lnTo>
                                <a:close/>
                              </a:path>
                            </a:pathLst>
                          </a:custGeom>
                          <a:solidFill>
                            <a:srgbClr val="81BF6A"/>
                          </a:solidFill>
                        </wps:spPr>
                        <wps:bodyPr wrap="square" lIns="0" tIns="0" rIns="0" bIns="0" rtlCol="0">
                          <a:prstTxWarp prst="textNoShape">
                            <a:avLst/>
                          </a:prstTxWarp>
                          <a:noAutofit/>
                        </wps:bodyPr>
                      </wps:wsp>
                      <wps:wsp>
                        <wps:cNvPr id="371" name="Textbox 371"/>
                        <wps:cNvSpPr txBox="1"/>
                        <wps:spPr>
                          <a:xfrm>
                            <a:off x="244602" y="0"/>
                            <a:ext cx="480059" cy="139065"/>
                          </a:xfrm>
                          <a:prstGeom prst="rect">
                            <a:avLst/>
                          </a:prstGeom>
                        </wps:spPr>
                        <wps:txbx>
                          <w:txbxContent>
                            <w:p>
                              <w:pPr>
                                <w:spacing w:before="10"/>
                                <w:ind w:left="0" w:right="0" w:firstLine="0"/>
                                <w:jc w:val="left"/>
                                <w:rPr>
                                  <w:sz w:val="16"/>
                                </w:rPr>
                              </w:pPr>
                              <w:r>
                                <w:rPr>
                                  <w:color w:val="105C84"/>
                                  <w:spacing w:val="-6"/>
                                  <w:sz w:val="16"/>
                                </w:rPr>
                                <w:t>2016</w:t>
                              </w:r>
                              <w:r>
                                <w:rPr>
                                  <w:color w:val="105C84"/>
                                  <w:spacing w:val="-4"/>
                                  <w:sz w:val="16"/>
                                </w:rPr>
                                <w:t> </w:t>
                              </w:r>
                              <w:r>
                                <w:rPr>
                                  <w:color w:val="105C84"/>
                                  <w:spacing w:val="-2"/>
                                  <w:sz w:val="16"/>
                                </w:rPr>
                                <w:t>Total</w:t>
                              </w:r>
                            </w:p>
                          </w:txbxContent>
                        </wps:txbx>
                        <wps:bodyPr wrap="square" lIns="0" tIns="0" rIns="0" bIns="0" rtlCol="0">
                          <a:noAutofit/>
                        </wps:bodyPr>
                      </wps:wsp>
                      <wps:wsp>
                        <wps:cNvPr id="372" name="Textbox 372"/>
                        <wps:cNvSpPr txBox="1"/>
                        <wps:spPr>
                          <a:xfrm>
                            <a:off x="971463" y="0"/>
                            <a:ext cx="480059" cy="139065"/>
                          </a:xfrm>
                          <a:prstGeom prst="rect">
                            <a:avLst/>
                          </a:prstGeom>
                        </wps:spPr>
                        <wps:txbx>
                          <w:txbxContent>
                            <w:p>
                              <w:pPr>
                                <w:spacing w:before="10"/>
                                <w:ind w:left="0" w:right="0" w:firstLine="0"/>
                                <w:jc w:val="left"/>
                                <w:rPr>
                                  <w:sz w:val="16"/>
                                </w:rPr>
                              </w:pPr>
                              <w:r>
                                <w:rPr>
                                  <w:color w:val="105C84"/>
                                  <w:spacing w:val="-6"/>
                                  <w:sz w:val="16"/>
                                </w:rPr>
                                <w:t>2017</w:t>
                              </w:r>
                              <w:r>
                                <w:rPr>
                                  <w:color w:val="105C84"/>
                                  <w:spacing w:val="-4"/>
                                  <w:sz w:val="16"/>
                                </w:rPr>
                                <w:t> </w:t>
                              </w:r>
                              <w:r>
                                <w:rPr>
                                  <w:color w:val="105C84"/>
                                  <w:spacing w:val="-2"/>
                                  <w:sz w:val="16"/>
                                </w:rPr>
                                <w:t>Total</w:t>
                              </w:r>
                            </w:p>
                          </w:txbxContent>
                        </wps:txbx>
                        <wps:bodyPr wrap="square" lIns="0" tIns="0" rIns="0" bIns="0" rtlCol="0">
                          <a:noAutofit/>
                        </wps:bodyPr>
                      </wps:wsp>
                    </wpg:wgp>
                  </a:graphicData>
                </a:graphic>
              </wp:anchor>
            </w:drawing>
          </mc:Choice>
          <mc:Fallback>
            <w:pict>
              <v:group style="position:absolute;margin-left:90.697304pt;margin-top:-2.031172pt;width:430.4pt;height:119.85pt;mso-position-horizontal-relative:page;mso-position-vertical-relative:paragraph;z-index:-28322816" id="docshapegroup316" coordorigin="1814,-41" coordsize="8608,2397">
                <v:shape style="position:absolute;left:2081;top:440;width:8017;height:1905" id="docshape317" coordorigin="2081,441" coordsize="8017,1905" path="m2332,1780l2081,1780,2081,2345,2332,2345,2332,1780xm3442,1111l3191,1111,3191,2345,3442,2345,3442,1111xm4551,1111l4300,1111,4300,2345,4551,2345,4551,1111xm6770,2011l6518,2011,6518,2345,6770,2345,6770,2011xm7879,441l7628,441,7628,2345,7879,2345,7879,441xm8988,1571l8737,1571,8737,2345,8988,2345,8988,1571xm10097,2011l9846,2011,9846,2345,10097,2345,10097,2011xe" filled="true" fillcolor="#105c84" stroked="false">
                  <v:path arrowok="t"/>
                  <v:fill type="solid"/>
                </v:shape>
                <v:shape style="position:absolute;left:2395;top:336;width:8017;height:2010" id="docshape318" coordorigin="2395,336" coordsize="8017,2010" path="m2646,1006l2395,1006,2395,2345,2646,2345,2646,1006xm3756,901l3504,901,3504,2345,3756,2345,3756,901xm4865,336l4614,336,4614,2345,4865,2345,4865,336xm7084,2115l6832,2115,6832,2345,7084,2345,7084,2115xm8193,776l7942,776,7942,2345,8193,2345,8193,776xm9302,1445l9051,1445,9051,2345,9302,2345,9302,1445xm10411,1571l10160,1571,10160,2345,10411,2345,10411,1571xe" filled="true" fillcolor="#81bf6a" stroked="false">
                  <v:path arrowok="t"/>
                  <v:fill type="solid"/>
                </v:shape>
                <v:shape style="position:absolute;left:2395;top:336;width:8017;height:2010" id="docshape319" coordorigin="2395,336" coordsize="8017,2010" path="m2395,1006l2646,1006,2646,2345,2395,2345,2395,1006xm3504,901l3756,901,3756,2345,3504,2345,3504,901xm4614,336l4865,336,4865,2345,4614,2345,4614,336xm6832,2115l7084,2115,7084,2345,6832,2345,6832,2115xm7942,776l8193,776,8193,2345,7942,2345,7942,776xm9051,1445l9302,1445,9302,2345,9051,2345,9051,1445xm10160,1571l10411,1571,10411,2345,10160,2345,10160,1571xe" filled="false" stroked="true" strokeweight="1pt" strokecolor="#82bf6a">
                  <v:path arrowok="t"/>
                  <v:stroke dashstyle="solid"/>
                </v:shape>
                <v:shape style="position:absolute;left:1819;top:-6;width:8594;height:2349" id="docshape320" coordorigin="1820,-6" coordsize="8594,2349" path="m10413,2342l1820,2342,1820,-6e" filled="false" stroked="true" strokeweight=".562pt" strokecolor="#939598">
                  <v:path arrowok="t"/>
                  <v:stroke dashstyle="solid"/>
                </v:shape>
                <v:rect style="position:absolute;left:2045;top:13;width:105;height:105" id="docshape321" filled="true" fillcolor="#0f5d86" stroked="false">
                  <v:fill type="solid"/>
                </v:rect>
                <v:rect style="position:absolute;left:3163;top:13;width:105;height:105" id="docshape322" filled="true" fillcolor="#81bf6a" stroked="false">
                  <v:fill type="solid"/>
                </v:rect>
                <v:shape style="position:absolute;left:2199;top:-41;width:756;height:219" type="#_x0000_t202" id="docshape323" filled="false" stroked="false">
                  <v:textbox inset="0,0,0,0">
                    <w:txbxContent>
                      <w:p>
                        <w:pPr>
                          <w:spacing w:before="10"/>
                          <w:ind w:left="0" w:right="0" w:firstLine="0"/>
                          <w:jc w:val="left"/>
                          <w:rPr>
                            <w:sz w:val="16"/>
                          </w:rPr>
                        </w:pPr>
                        <w:r>
                          <w:rPr>
                            <w:color w:val="105C84"/>
                            <w:spacing w:val="-6"/>
                            <w:sz w:val="16"/>
                          </w:rPr>
                          <w:t>2016</w:t>
                        </w:r>
                        <w:r>
                          <w:rPr>
                            <w:color w:val="105C84"/>
                            <w:spacing w:val="-4"/>
                            <w:sz w:val="16"/>
                          </w:rPr>
                          <w:t> </w:t>
                        </w:r>
                        <w:r>
                          <w:rPr>
                            <w:color w:val="105C84"/>
                            <w:spacing w:val="-2"/>
                            <w:sz w:val="16"/>
                          </w:rPr>
                          <w:t>Total</w:t>
                        </w:r>
                      </w:p>
                    </w:txbxContent>
                  </v:textbox>
                  <w10:wrap type="none"/>
                </v:shape>
                <v:shape style="position:absolute;left:3343;top:-41;width:756;height:219" type="#_x0000_t202" id="docshape324" filled="false" stroked="false">
                  <v:textbox inset="0,0,0,0">
                    <w:txbxContent>
                      <w:p>
                        <w:pPr>
                          <w:spacing w:before="10"/>
                          <w:ind w:left="0" w:right="0" w:firstLine="0"/>
                          <w:jc w:val="left"/>
                          <w:rPr>
                            <w:sz w:val="16"/>
                          </w:rPr>
                        </w:pPr>
                        <w:r>
                          <w:rPr>
                            <w:color w:val="105C84"/>
                            <w:spacing w:val="-6"/>
                            <w:sz w:val="16"/>
                          </w:rPr>
                          <w:t>2017</w:t>
                        </w:r>
                        <w:r>
                          <w:rPr>
                            <w:color w:val="105C84"/>
                            <w:spacing w:val="-4"/>
                            <w:sz w:val="16"/>
                          </w:rPr>
                          <w:t> </w:t>
                        </w:r>
                        <w:r>
                          <w:rPr>
                            <w:color w:val="105C84"/>
                            <w:spacing w:val="-2"/>
                            <w:sz w:val="16"/>
                          </w:rPr>
                          <w:t>Total</w:t>
                        </w:r>
                      </w:p>
                    </w:txbxContent>
                  </v:textbox>
                  <w10:wrap type="none"/>
                </v:shape>
                <w10:wrap type="none"/>
              </v:group>
            </w:pict>
          </mc:Fallback>
        </mc:AlternateContent>
      </w:r>
      <w:r>
        <w:rPr>
          <w:sz w:val="18"/>
        </w:rPr>
        <mc:AlternateContent>
          <mc:Choice Requires="wps">
            <w:drawing>
              <wp:anchor distT="0" distB="0" distL="0" distR="0" allowOverlap="1" layoutInCell="1" locked="0" behindDoc="0" simplePos="0" relativeHeight="15768064">
                <wp:simplePos x="0" y="0"/>
                <wp:positionH relativeFrom="page">
                  <wp:posOffset>690260</wp:posOffset>
                </wp:positionH>
                <wp:positionV relativeFrom="paragraph">
                  <wp:posOffset>102557</wp:posOffset>
                </wp:positionV>
                <wp:extent cx="164465" cy="1293495"/>
                <wp:effectExtent l="0" t="0" r="0" b="0"/>
                <wp:wrapNone/>
                <wp:docPr id="373" name="Textbox 373"/>
                <wp:cNvGraphicFramePr>
                  <a:graphicFrameLocks/>
                </wp:cNvGraphicFramePr>
                <a:graphic>
                  <a:graphicData uri="http://schemas.microsoft.com/office/word/2010/wordprocessingShape">
                    <wps:wsp>
                      <wps:cNvPr id="373" name="Textbox 373"/>
                      <wps:cNvSpPr txBox="1"/>
                      <wps:spPr>
                        <a:xfrm>
                          <a:off x="0" y="0"/>
                          <a:ext cx="164465" cy="1293495"/>
                        </a:xfrm>
                        <a:prstGeom prst="rect">
                          <a:avLst/>
                        </a:prstGeom>
                      </wps:spPr>
                      <wps:txbx>
                        <w:txbxContent>
                          <w:p>
                            <w:pPr>
                              <w:spacing w:before="30"/>
                              <w:ind w:left="20" w:right="0" w:firstLine="0"/>
                              <w:jc w:val="left"/>
                              <w:rPr>
                                <w:sz w:val="16"/>
                              </w:rPr>
                            </w:pPr>
                            <w:r>
                              <w:rPr>
                                <w:color w:val="105C84"/>
                                <w:spacing w:val="-4"/>
                                <w:sz w:val="16"/>
                              </w:rPr>
                              <w:t>Rate</w:t>
                            </w:r>
                            <w:r>
                              <w:rPr>
                                <w:color w:val="105C84"/>
                                <w:spacing w:val="-3"/>
                                <w:sz w:val="16"/>
                              </w:rPr>
                              <w:t> </w:t>
                            </w:r>
                            <w:r>
                              <w:rPr>
                                <w:color w:val="105C84"/>
                                <w:spacing w:val="-4"/>
                                <w:sz w:val="16"/>
                              </w:rPr>
                              <w:t>per</w:t>
                            </w:r>
                            <w:r>
                              <w:rPr>
                                <w:color w:val="105C84"/>
                                <w:spacing w:val="-2"/>
                                <w:sz w:val="16"/>
                              </w:rPr>
                              <w:t> </w:t>
                            </w:r>
                            <w:r>
                              <w:rPr>
                                <w:color w:val="105C84"/>
                                <w:spacing w:val="-4"/>
                                <w:sz w:val="16"/>
                              </w:rPr>
                              <w:t>100,000</w:t>
                            </w:r>
                            <w:r>
                              <w:rPr>
                                <w:color w:val="105C84"/>
                                <w:spacing w:val="-2"/>
                                <w:sz w:val="16"/>
                              </w:rPr>
                              <w:t> </w:t>
                            </w:r>
                            <w:r>
                              <w:rPr>
                                <w:color w:val="105C84"/>
                                <w:spacing w:val="-4"/>
                                <w:sz w:val="16"/>
                              </w:rPr>
                              <w:t>Population</w:t>
                            </w:r>
                          </w:p>
                        </w:txbxContent>
                      </wps:txbx>
                      <wps:bodyPr wrap="square" lIns="0" tIns="0" rIns="0" bIns="0" rtlCol="0" vert="vert270">
                        <a:noAutofit/>
                      </wps:bodyPr>
                    </wps:wsp>
                  </a:graphicData>
                </a:graphic>
              </wp:anchor>
            </w:drawing>
          </mc:Choice>
          <mc:Fallback>
            <w:pict>
              <v:shape style="position:absolute;margin-left:54.3512pt;margin-top:8.075423pt;width:12.95pt;height:101.85pt;mso-position-horizontal-relative:page;mso-position-vertical-relative:paragraph;z-index:15768064" type="#_x0000_t202" id="docshape325" filled="false" stroked="false">
                <v:textbox inset="0,0,0,0" style="layout-flow:vertical;mso-layout-flow-alt:bottom-to-top">
                  <w:txbxContent>
                    <w:p>
                      <w:pPr>
                        <w:spacing w:before="30"/>
                        <w:ind w:left="20" w:right="0" w:firstLine="0"/>
                        <w:jc w:val="left"/>
                        <w:rPr>
                          <w:sz w:val="16"/>
                        </w:rPr>
                      </w:pPr>
                      <w:r>
                        <w:rPr>
                          <w:color w:val="105C84"/>
                          <w:spacing w:val="-4"/>
                          <w:sz w:val="16"/>
                        </w:rPr>
                        <w:t>Rate</w:t>
                      </w:r>
                      <w:r>
                        <w:rPr>
                          <w:color w:val="105C84"/>
                          <w:spacing w:val="-3"/>
                          <w:sz w:val="16"/>
                        </w:rPr>
                        <w:t> </w:t>
                      </w:r>
                      <w:r>
                        <w:rPr>
                          <w:color w:val="105C84"/>
                          <w:spacing w:val="-4"/>
                          <w:sz w:val="16"/>
                        </w:rPr>
                        <w:t>per</w:t>
                      </w:r>
                      <w:r>
                        <w:rPr>
                          <w:color w:val="105C84"/>
                          <w:spacing w:val="-2"/>
                          <w:sz w:val="16"/>
                        </w:rPr>
                        <w:t> </w:t>
                      </w:r>
                      <w:r>
                        <w:rPr>
                          <w:color w:val="105C84"/>
                          <w:spacing w:val="-4"/>
                          <w:sz w:val="16"/>
                        </w:rPr>
                        <w:t>100,000</w:t>
                      </w:r>
                      <w:r>
                        <w:rPr>
                          <w:color w:val="105C84"/>
                          <w:spacing w:val="-2"/>
                          <w:sz w:val="16"/>
                        </w:rPr>
                        <w:t> </w:t>
                      </w:r>
                      <w:r>
                        <w:rPr>
                          <w:color w:val="105C84"/>
                          <w:spacing w:val="-4"/>
                          <w:sz w:val="16"/>
                        </w:rPr>
                        <w:t>Population</w:t>
                      </w:r>
                    </w:p>
                  </w:txbxContent>
                </v:textbox>
                <w10:wrap type="none"/>
              </v:shape>
            </w:pict>
          </mc:Fallback>
        </mc:AlternateContent>
      </w:r>
      <w:r>
        <w:rPr>
          <w:color w:val="636466"/>
          <w:spacing w:val="-5"/>
          <w:sz w:val="18"/>
        </w:rPr>
        <w:t>20</w:t>
      </w:r>
    </w:p>
    <w:p>
      <w:pPr>
        <w:pStyle w:val="BodyText"/>
        <w:spacing w:before="151"/>
        <w:rPr>
          <w:sz w:val="18"/>
        </w:rPr>
      </w:pPr>
    </w:p>
    <w:p>
      <w:pPr>
        <w:spacing w:before="0"/>
        <w:ind w:left="1399" w:right="0" w:firstLine="0"/>
        <w:jc w:val="left"/>
        <w:rPr>
          <w:sz w:val="18"/>
        </w:rPr>
      </w:pPr>
      <w:r>
        <w:rPr>
          <w:color w:val="636466"/>
          <w:spacing w:val="-5"/>
          <w:sz w:val="18"/>
        </w:rPr>
        <w:t>15</w:t>
      </w:r>
    </w:p>
    <w:p>
      <w:pPr>
        <w:pStyle w:val="BodyText"/>
        <w:spacing w:before="1"/>
        <w:rPr>
          <w:sz w:val="18"/>
        </w:rPr>
      </w:pPr>
      <w:r>
        <w:rPr/>
        <w:br w:type="column"/>
      </w:r>
      <w:r>
        <w:rPr>
          <w:sz w:val="18"/>
        </w:rPr>
      </w:r>
    </w:p>
    <w:p>
      <w:pPr>
        <w:spacing w:before="1"/>
        <w:ind w:left="0" w:right="7174" w:firstLine="0"/>
        <w:jc w:val="right"/>
        <w:rPr>
          <w:sz w:val="18"/>
        </w:rPr>
      </w:pPr>
      <w:r>
        <w:rPr>
          <w:color w:val="636466"/>
          <w:spacing w:val="-2"/>
          <w:sz w:val="18"/>
        </w:rPr>
        <w:t>Trouble sleeping</w:t>
      </w:r>
    </w:p>
    <w:p>
      <w:pPr>
        <w:pStyle w:val="BodyText"/>
        <w:rPr>
          <w:sz w:val="18"/>
        </w:rPr>
      </w:pPr>
    </w:p>
    <w:p>
      <w:pPr>
        <w:pStyle w:val="BodyText"/>
        <w:spacing w:before="55"/>
        <w:rPr>
          <w:sz w:val="18"/>
        </w:rPr>
      </w:pPr>
    </w:p>
    <w:p>
      <w:pPr>
        <w:spacing w:before="0"/>
        <w:ind w:left="0" w:right="7169" w:firstLine="0"/>
        <w:jc w:val="right"/>
        <w:rPr>
          <w:sz w:val="18"/>
        </w:rPr>
      </w:pPr>
      <w:r>
        <w:rPr>
          <w:color w:val="636466"/>
          <w:sz w:val="18"/>
        </w:rPr>
        <w:t>Grief</w:t>
      </w:r>
      <w:r>
        <w:rPr>
          <w:color w:val="636466"/>
          <w:spacing w:val="-6"/>
          <w:sz w:val="18"/>
        </w:rPr>
        <w:t> </w:t>
      </w:r>
      <w:r>
        <w:rPr>
          <w:color w:val="636466"/>
          <w:sz w:val="18"/>
        </w:rPr>
        <w:t>work</w:t>
      </w:r>
      <w:r>
        <w:rPr>
          <w:color w:val="636466"/>
          <w:spacing w:val="-5"/>
          <w:sz w:val="18"/>
        </w:rPr>
        <w:t> </w:t>
      </w:r>
      <w:r>
        <w:rPr>
          <w:color w:val="636466"/>
          <w:sz w:val="18"/>
        </w:rPr>
        <w:t>around</w:t>
      </w:r>
      <w:r>
        <w:rPr>
          <w:color w:val="636466"/>
          <w:spacing w:val="-5"/>
          <w:sz w:val="18"/>
        </w:rPr>
        <w:t> </w:t>
      </w:r>
      <w:r>
        <w:rPr>
          <w:color w:val="636466"/>
          <w:sz w:val="18"/>
        </w:rPr>
        <w:t>a</w:t>
      </w:r>
      <w:r>
        <w:rPr>
          <w:color w:val="636466"/>
          <w:spacing w:val="-5"/>
          <w:sz w:val="18"/>
        </w:rPr>
        <w:t> </w:t>
      </w:r>
      <w:r>
        <w:rPr>
          <w:color w:val="636466"/>
          <w:sz w:val="18"/>
        </w:rPr>
        <w:t>personal</w:t>
      </w:r>
      <w:r>
        <w:rPr>
          <w:color w:val="636466"/>
          <w:spacing w:val="-5"/>
          <w:sz w:val="18"/>
        </w:rPr>
        <w:t> </w:t>
      </w:r>
      <w:r>
        <w:rPr>
          <w:color w:val="636466"/>
          <w:spacing w:val="-4"/>
          <w:sz w:val="18"/>
        </w:rPr>
        <w:t>loss</w:t>
      </w:r>
    </w:p>
    <w:p>
      <w:pPr>
        <w:pStyle w:val="BodyText"/>
        <w:rPr>
          <w:sz w:val="18"/>
        </w:rPr>
      </w:pPr>
    </w:p>
    <w:p>
      <w:pPr>
        <w:pStyle w:val="BodyText"/>
        <w:spacing w:before="39"/>
        <w:rPr>
          <w:sz w:val="18"/>
        </w:rPr>
      </w:pPr>
    </w:p>
    <w:p>
      <w:pPr>
        <w:spacing w:before="1"/>
        <w:ind w:left="0" w:right="7168" w:firstLine="0"/>
        <w:jc w:val="right"/>
        <w:rPr>
          <w:sz w:val="18"/>
        </w:rPr>
      </w:pPr>
      <w:r>
        <w:rPr>
          <w:color w:val="636466"/>
          <w:spacing w:val="-2"/>
          <w:sz w:val="18"/>
        </w:rPr>
        <w:t>Trouble focusing</w:t>
      </w:r>
    </w:p>
    <w:p>
      <w:pPr>
        <w:pStyle w:val="BodyText"/>
        <w:rPr>
          <w:sz w:val="18"/>
        </w:rPr>
      </w:pPr>
    </w:p>
    <w:p>
      <w:pPr>
        <w:pStyle w:val="BodyText"/>
        <w:spacing w:before="39"/>
        <w:rPr>
          <w:sz w:val="18"/>
        </w:rPr>
      </w:pPr>
    </w:p>
    <w:p>
      <w:pPr>
        <w:spacing w:before="0"/>
        <w:ind w:left="0" w:right="7187" w:firstLine="0"/>
        <w:jc w:val="right"/>
        <w:rPr>
          <w:sz w:val="18"/>
        </w:rPr>
      </w:pPr>
      <w:r>
        <w:rPr>
          <w:color w:val="636466"/>
          <w:sz w:val="18"/>
        </w:rPr>
        <w:t>Feeling</w:t>
      </w:r>
      <w:r>
        <w:rPr>
          <w:color w:val="636466"/>
          <w:spacing w:val="-5"/>
          <w:sz w:val="18"/>
        </w:rPr>
        <w:t> </w:t>
      </w:r>
      <w:r>
        <w:rPr>
          <w:color w:val="636466"/>
          <w:sz w:val="18"/>
        </w:rPr>
        <w:t>helpless</w:t>
      </w:r>
      <w:r>
        <w:rPr>
          <w:color w:val="636466"/>
          <w:spacing w:val="-5"/>
          <w:sz w:val="18"/>
        </w:rPr>
        <w:t> </w:t>
      </w:r>
      <w:r>
        <w:rPr>
          <w:color w:val="636466"/>
          <w:sz w:val="18"/>
        </w:rPr>
        <w:t>or</w:t>
      </w:r>
      <w:r>
        <w:rPr>
          <w:color w:val="636466"/>
          <w:spacing w:val="-4"/>
          <w:sz w:val="18"/>
        </w:rPr>
        <w:t> </w:t>
      </w:r>
      <w:r>
        <w:rPr>
          <w:color w:val="636466"/>
          <w:spacing w:val="-2"/>
          <w:sz w:val="18"/>
        </w:rPr>
        <w:t>hopeless</w:t>
      </w:r>
    </w:p>
    <w:p>
      <w:pPr>
        <w:pStyle w:val="BodyText"/>
        <w:rPr>
          <w:sz w:val="18"/>
        </w:rPr>
      </w:pPr>
    </w:p>
    <w:p>
      <w:pPr>
        <w:pStyle w:val="BodyText"/>
        <w:spacing w:before="39"/>
        <w:rPr>
          <w:sz w:val="18"/>
        </w:rPr>
      </w:pPr>
    </w:p>
    <w:p>
      <w:pPr>
        <w:spacing w:before="0"/>
        <w:ind w:left="0" w:right="7174" w:firstLine="0"/>
        <w:jc w:val="right"/>
        <w:rPr>
          <w:sz w:val="18"/>
        </w:rPr>
      </w:pPr>
      <w:r>
        <w:rPr>
          <w:color w:val="636466"/>
          <w:sz w:val="18"/>
        </w:rPr>
        <w:t>Self</w:t>
      </w:r>
      <w:r>
        <w:rPr>
          <w:color w:val="636466"/>
          <w:spacing w:val="-5"/>
          <w:sz w:val="18"/>
        </w:rPr>
        <w:t> </w:t>
      </w:r>
      <w:r>
        <w:rPr>
          <w:color w:val="636466"/>
          <w:sz w:val="18"/>
        </w:rPr>
        <w:t>destructive</w:t>
      </w:r>
      <w:r>
        <w:rPr>
          <w:color w:val="636466"/>
          <w:spacing w:val="-4"/>
          <w:sz w:val="18"/>
        </w:rPr>
        <w:t> </w:t>
      </w:r>
      <w:r>
        <w:rPr>
          <w:color w:val="636466"/>
          <w:sz w:val="18"/>
        </w:rPr>
        <w:t>or</w:t>
      </w:r>
      <w:r>
        <w:rPr>
          <w:color w:val="636466"/>
          <w:spacing w:val="-4"/>
          <w:sz w:val="18"/>
        </w:rPr>
        <w:t> </w:t>
      </w:r>
      <w:r>
        <w:rPr>
          <w:color w:val="636466"/>
          <w:spacing w:val="-2"/>
          <w:sz w:val="18"/>
        </w:rPr>
        <w:t>suicidal</w:t>
      </w:r>
    </w:p>
    <w:p>
      <w:pPr>
        <w:pStyle w:val="BodyText"/>
        <w:rPr>
          <w:sz w:val="18"/>
        </w:rPr>
      </w:pPr>
    </w:p>
    <w:p>
      <w:pPr>
        <w:pStyle w:val="BodyText"/>
        <w:spacing w:before="39"/>
        <w:rPr>
          <w:sz w:val="18"/>
        </w:rPr>
      </w:pPr>
    </w:p>
    <w:p>
      <w:pPr>
        <w:spacing w:line="650" w:lineRule="auto" w:before="0"/>
        <w:ind w:left="1088" w:right="7166" w:firstLine="1562"/>
        <w:jc w:val="left"/>
        <w:rPr>
          <w:sz w:val="18"/>
        </w:rPr>
      </w:pPr>
      <w:r>
        <w:rPr>
          <w:color w:val="636466"/>
          <w:w w:val="105"/>
          <w:sz w:val="18"/>
        </w:rPr>
        <w:t>Out</w:t>
      </w:r>
      <w:r>
        <w:rPr>
          <w:color w:val="636466"/>
          <w:spacing w:val="-14"/>
          <w:w w:val="105"/>
          <w:sz w:val="18"/>
        </w:rPr>
        <w:t> </w:t>
      </w:r>
      <w:r>
        <w:rPr>
          <w:color w:val="636466"/>
          <w:w w:val="105"/>
          <w:sz w:val="18"/>
        </w:rPr>
        <w:t>of</w:t>
      </w:r>
      <w:r>
        <w:rPr>
          <w:color w:val="636466"/>
          <w:spacing w:val="-13"/>
          <w:w w:val="105"/>
          <w:sz w:val="18"/>
        </w:rPr>
        <w:t> </w:t>
      </w:r>
      <w:r>
        <w:rPr>
          <w:color w:val="636466"/>
          <w:w w:val="105"/>
          <w:sz w:val="18"/>
        </w:rPr>
        <w:t>control</w:t>
      </w:r>
      <w:r>
        <w:rPr>
          <w:color w:val="636466"/>
          <w:spacing w:val="-13"/>
          <w:w w:val="105"/>
          <w:sz w:val="18"/>
        </w:rPr>
        <w:t> </w:t>
      </w:r>
      <w:r>
        <w:rPr>
          <w:color w:val="636466"/>
          <w:w w:val="105"/>
          <w:sz w:val="18"/>
        </w:rPr>
        <w:t>anger </w:t>
      </w:r>
      <w:r>
        <w:rPr>
          <w:color w:val="636466"/>
          <w:sz w:val="18"/>
        </w:rPr>
        <w:t>Abusing</w:t>
      </w:r>
      <w:r>
        <w:rPr>
          <w:color w:val="636466"/>
          <w:spacing w:val="5"/>
          <w:sz w:val="18"/>
        </w:rPr>
        <w:t> </w:t>
      </w:r>
      <w:r>
        <w:rPr>
          <w:color w:val="636466"/>
          <w:sz w:val="18"/>
        </w:rPr>
        <w:t>others/wanting</w:t>
      </w:r>
      <w:r>
        <w:rPr>
          <w:color w:val="636466"/>
          <w:spacing w:val="5"/>
          <w:sz w:val="18"/>
        </w:rPr>
        <w:t> </w:t>
      </w:r>
      <w:r>
        <w:rPr>
          <w:color w:val="636466"/>
          <w:sz w:val="18"/>
        </w:rPr>
        <w:t>to</w:t>
      </w:r>
      <w:r>
        <w:rPr>
          <w:color w:val="636466"/>
          <w:spacing w:val="5"/>
          <w:sz w:val="18"/>
        </w:rPr>
        <w:t> </w:t>
      </w:r>
      <w:r>
        <w:rPr>
          <w:color w:val="636466"/>
          <w:sz w:val="18"/>
        </w:rPr>
        <w:t>abuse</w:t>
      </w:r>
      <w:r>
        <w:rPr>
          <w:color w:val="636466"/>
          <w:spacing w:val="5"/>
          <w:sz w:val="18"/>
        </w:rPr>
        <w:t> </w:t>
      </w:r>
      <w:r>
        <w:rPr>
          <w:color w:val="636466"/>
          <w:spacing w:val="-2"/>
          <w:sz w:val="18"/>
        </w:rPr>
        <w:t>others</w:t>
      </w:r>
    </w:p>
    <w:p>
      <w:pPr>
        <w:spacing w:after="0" w:line="650" w:lineRule="auto"/>
        <w:jc w:val="left"/>
        <w:rPr>
          <w:sz w:val="18"/>
        </w:rPr>
        <w:sectPr>
          <w:type w:val="continuous"/>
          <w:pgSz w:w="24480" w:h="15840" w:orient="landscape"/>
          <w:pgMar w:header="0" w:footer="0" w:top="0" w:bottom="280" w:left="0" w:right="720"/>
          <w:cols w:num="2" w:equalWidth="0">
            <w:col w:w="10898" w:space="1395"/>
            <w:col w:w="11467"/>
          </w:cols>
        </w:sectPr>
      </w:pPr>
    </w:p>
    <w:p>
      <w:pPr>
        <w:pStyle w:val="BodyText"/>
        <w:spacing w:before="111"/>
        <w:rPr>
          <w:sz w:val="16"/>
        </w:rPr>
      </w:pPr>
      <w:r>
        <w:rPr>
          <w:sz w:val="16"/>
        </w:rPr>
        <mc:AlternateContent>
          <mc:Choice Requires="wps">
            <w:drawing>
              <wp:anchor distT="0" distB="0" distL="0" distR="0" allowOverlap="1" layoutInCell="1" locked="0" behindDoc="0" simplePos="0" relativeHeight="15766016">
                <wp:simplePos x="0" y="0"/>
                <wp:positionH relativeFrom="page">
                  <wp:posOffset>7772400</wp:posOffset>
                </wp:positionH>
                <wp:positionV relativeFrom="page">
                  <wp:posOffset>7022592</wp:posOffset>
                </wp:positionV>
                <wp:extent cx="7772400" cy="3035935"/>
                <wp:effectExtent l="0" t="0" r="0" b="0"/>
                <wp:wrapNone/>
                <wp:docPr id="374" name="Group 374"/>
                <wp:cNvGraphicFramePr>
                  <a:graphicFrameLocks/>
                </wp:cNvGraphicFramePr>
                <a:graphic>
                  <a:graphicData uri="http://schemas.microsoft.com/office/word/2010/wordprocessingGroup">
                    <wpg:wgp>
                      <wpg:cNvPr id="374" name="Group 374"/>
                      <wpg:cNvGrpSpPr/>
                      <wpg:grpSpPr>
                        <a:xfrm>
                          <a:off x="0" y="0"/>
                          <a:ext cx="7772400" cy="3035935"/>
                          <a:chExt cx="7772400" cy="3035935"/>
                        </a:xfrm>
                      </wpg:grpSpPr>
                      <pic:pic>
                        <pic:nvPicPr>
                          <pic:cNvPr id="375" name="Image 375"/>
                          <pic:cNvPicPr/>
                        </pic:nvPicPr>
                        <pic:blipFill>
                          <a:blip r:embed="rId38" cstate="print"/>
                          <a:stretch>
                            <a:fillRect/>
                          </a:stretch>
                        </pic:blipFill>
                        <pic:spPr>
                          <a:xfrm>
                            <a:off x="7209156" y="2645511"/>
                            <a:ext cx="563245" cy="184683"/>
                          </a:xfrm>
                          <a:prstGeom prst="rect">
                            <a:avLst/>
                          </a:prstGeom>
                        </pic:spPr>
                      </pic:pic>
                      <pic:pic>
                        <pic:nvPicPr>
                          <pic:cNvPr id="376" name="Image 376"/>
                          <pic:cNvPicPr/>
                        </pic:nvPicPr>
                        <pic:blipFill>
                          <a:blip r:embed="rId57" cstate="print"/>
                          <a:stretch>
                            <a:fillRect/>
                          </a:stretch>
                        </pic:blipFill>
                        <pic:spPr>
                          <a:xfrm>
                            <a:off x="0" y="0"/>
                            <a:ext cx="7772400" cy="3035808"/>
                          </a:xfrm>
                          <a:prstGeom prst="rect">
                            <a:avLst/>
                          </a:prstGeom>
                        </pic:spPr>
                      </pic:pic>
                      <wps:wsp>
                        <wps:cNvPr id="377" name="Graphic 377"/>
                        <wps:cNvSpPr/>
                        <wps:spPr>
                          <a:xfrm>
                            <a:off x="5587" y="2304288"/>
                            <a:ext cx="7767320" cy="731520"/>
                          </a:xfrm>
                          <a:custGeom>
                            <a:avLst/>
                            <a:gdLst/>
                            <a:ahLst/>
                            <a:cxnLst/>
                            <a:rect l="l" t="t" r="r" b="b"/>
                            <a:pathLst>
                              <a:path w="7767320" h="731520">
                                <a:moveTo>
                                  <a:pt x="7766811" y="0"/>
                                </a:moveTo>
                                <a:lnTo>
                                  <a:pt x="0" y="0"/>
                                </a:lnTo>
                                <a:lnTo>
                                  <a:pt x="0" y="731520"/>
                                </a:lnTo>
                                <a:lnTo>
                                  <a:pt x="7766811" y="731520"/>
                                </a:lnTo>
                                <a:lnTo>
                                  <a:pt x="7766811" y="0"/>
                                </a:lnTo>
                                <a:close/>
                              </a:path>
                            </a:pathLst>
                          </a:custGeom>
                          <a:solidFill>
                            <a:srgbClr val="000000">
                              <a:alpha val="63000"/>
                            </a:srgbClr>
                          </a:solidFill>
                        </wps:spPr>
                        <wps:bodyPr wrap="square" lIns="0" tIns="0" rIns="0" bIns="0" rtlCol="0">
                          <a:prstTxWarp prst="textNoShape">
                            <a:avLst/>
                          </a:prstTxWarp>
                          <a:noAutofit/>
                        </wps:bodyPr>
                      </wps:wsp>
                      <wps:wsp>
                        <wps:cNvPr id="378" name="Textbox 378"/>
                        <wps:cNvSpPr txBox="1"/>
                        <wps:spPr>
                          <a:xfrm>
                            <a:off x="731519" y="2596895"/>
                            <a:ext cx="1884680" cy="253365"/>
                          </a:xfrm>
                          <a:prstGeom prst="rect">
                            <a:avLst/>
                          </a:prstGeom>
                        </wps:spPr>
                        <wps:txbx>
                          <w:txbxContent>
                            <w:p>
                              <w:pPr>
                                <w:spacing w:line="182" w:lineRule="exact" w:before="10"/>
                                <w:ind w:left="0" w:right="0" w:firstLine="0"/>
                                <w:jc w:val="left"/>
                                <w:rPr>
                                  <w:sz w:val="16"/>
                                </w:rPr>
                              </w:pPr>
                              <w:r>
                                <w:rPr>
                                  <w:color w:val="FFFFFF"/>
                                  <w:sz w:val="16"/>
                                </w:rPr>
                                <w:t>Photo</w:t>
                              </w:r>
                              <w:r>
                                <w:rPr>
                                  <w:color w:val="FFFFFF"/>
                                  <w:spacing w:val="2"/>
                                  <w:sz w:val="16"/>
                                </w:rPr>
                                <w:t> </w:t>
                              </w:r>
                              <w:r>
                                <w:rPr>
                                  <w:color w:val="FFFFFF"/>
                                  <w:sz w:val="16"/>
                                </w:rPr>
                                <w:t>by</w:t>
                              </w:r>
                              <w:r>
                                <w:rPr>
                                  <w:color w:val="FFFFFF"/>
                                  <w:spacing w:val="2"/>
                                  <w:sz w:val="16"/>
                                </w:rPr>
                                <w:t> </w:t>
                              </w:r>
                              <w:r>
                                <w:rPr>
                                  <w:color w:val="FFFFFF"/>
                                  <w:sz w:val="16"/>
                                </w:rPr>
                                <w:t>Stu</w:t>
                              </w:r>
                              <w:r>
                                <w:rPr>
                                  <w:color w:val="FFFFFF"/>
                                  <w:spacing w:val="2"/>
                                  <w:sz w:val="16"/>
                                </w:rPr>
                                <w:t> </w:t>
                              </w:r>
                              <w:r>
                                <w:rPr>
                                  <w:color w:val="FFFFFF"/>
                                  <w:spacing w:val="-2"/>
                                  <w:sz w:val="16"/>
                                </w:rPr>
                                <w:t>Gallagher</w:t>
                              </w:r>
                            </w:p>
                            <w:p>
                              <w:pPr>
                                <w:spacing w:line="182" w:lineRule="exact" w:before="0"/>
                                <w:ind w:left="0" w:right="0" w:firstLine="0"/>
                                <w:jc w:val="left"/>
                                <w:rPr>
                                  <w:sz w:val="16"/>
                                </w:rPr>
                              </w:pPr>
                              <w:r>
                                <w:rPr>
                                  <w:color w:val="FFFFFF"/>
                                  <w:sz w:val="16"/>
                                </w:rPr>
                                <w:t>Courtesy</w:t>
                              </w:r>
                              <w:r>
                                <w:rPr>
                                  <w:color w:val="FFFFFF"/>
                                  <w:spacing w:val="6"/>
                                  <w:sz w:val="16"/>
                                </w:rPr>
                                <w:t> </w:t>
                              </w:r>
                              <w:r>
                                <w:rPr>
                                  <w:color w:val="FFFFFF"/>
                                  <w:sz w:val="16"/>
                                </w:rPr>
                                <w:t>of</w:t>
                              </w:r>
                              <w:r>
                                <w:rPr>
                                  <w:color w:val="FFFFFF"/>
                                  <w:spacing w:val="7"/>
                                  <w:sz w:val="16"/>
                                </w:rPr>
                                <w:t> </w:t>
                              </w:r>
                              <w:r>
                                <w:rPr>
                                  <w:color w:val="FFFFFF"/>
                                  <w:sz w:val="16"/>
                                </w:rPr>
                                <w:t>the</w:t>
                              </w:r>
                              <w:r>
                                <w:rPr>
                                  <w:color w:val="FFFFFF"/>
                                  <w:spacing w:val="7"/>
                                  <w:sz w:val="16"/>
                                </w:rPr>
                                <w:t> </w:t>
                              </w:r>
                              <w:r>
                                <w:rPr>
                                  <w:color w:val="FFFFFF"/>
                                  <w:spacing w:val="-2"/>
                                  <w:sz w:val="16"/>
                                </w:rPr>
                                <w:t>CorningFingerLakes.com</w:t>
                              </w:r>
                            </w:p>
                          </w:txbxContent>
                        </wps:txbx>
                        <wps:bodyPr wrap="square" lIns="0" tIns="0" rIns="0" bIns="0" rtlCol="0">
                          <a:noAutofit/>
                        </wps:bodyPr>
                      </wps:wsp>
                    </wpg:wgp>
                  </a:graphicData>
                </a:graphic>
              </wp:anchor>
            </w:drawing>
          </mc:Choice>
          <mc:Fallback>
            <w:pict>
              <v:group style="position:absolute;margin-left:612pt;margin-top:552.960022pt;width:612pt;height:239.05pt;mso-position-horizontal-relative:page;mso-position-vertical-relative:page;z-index:15766016" id="docshapegroup326" coordorigin="12240,11059" coordsize="12240,4781">
                <v:shape style="position:absolute;left:23593;top:15225;width:887;height:291" type="#_x0000_t75" id="docshape327" stroked="false">
                  <v:imagedata r:id="rId38" o:title=""/>
                </v:shape>
                <v:shape style="position:absolute;left:12240;top:11059;width:12240;height:4781" type="#_x0000_t75" id="docshape328" stroked="false">
                  <v:imagedata r:id="rId57" o:title=""/>
                </v:shape>
                <v:rect style="position:absolute;left:12248;top:14688;width:12232;height:1152" id="docshape329" filled="true" fillcolor="#000000" stroked="false">
                  <v:fill opacity="41288f" type="solid"/>
                </v:rect>
                <v:shape style="position:absolute;left:13392;top:15148;width:2968;height:399" type="#_x0000_t202" id="docshape330" filled="false" stroked="false">
                  <v:textbox inset="0,0,0,0">
                    <w:txbxContent>
                      <w:p>
                        <w:pPr>
                          <w:spacing w:line="182" w:lineRule="exact" w:before="10"/>
                          <w:ind w:left="0" w:right="0" w:firstLine="0"/>
                          <w:jc w:val="left"/>
                          <w:rPr>
                            <w:sz w:val="16"/>
                          </w:rPr>
                        </w:pPr>
                        <w:r>
                          <w:rPr>
                            <w:color w:val="FFFFFF"/>
                            <w:sz w:val="16"/>
                          </w:rPr>
                          <w:t>Photo</w:t>
                        </w:r>
                        <w:r>
                          <w:rPr>
                            <w:color w:val="FFFFFF"/>
                            <w:spacing w:val="2"/>
                            <w:sz w:val="16"/>
                          </w:rPr>
                          <w:t> </w:t>
                        </w:r>
                        <w:r>
                          <w:rPr>
                            <w:color w:val="FFFFFF"/>
                            <w:sz w:val="16"/>
                          </w:rPr>
                          <w:t>by</w:t>
                        </w:r>
                        <w:r>
                          <w:rPr>
                            <w:color w:val="FFFFFF"/>
                            <w:spacing w:val="2"/>
                            <w:sz w:val="16"/>
                          </w:rPr>
                          <w:t> </w:t>
                        </w:r>
                        <w:r>
                          <w:rPr>
                            <w:color w:val="FFFFFF"/>
                            <w:sz w:val="16"/>
                          </w:rPr>
                          <w:t>Stu</w:t>
                        </w:r>
                        <w:r>
                          <w:rPr>
                            <w:color w:val="FFFFFF"/>
                            <w:spacing w:val="2"/>
                            <w:sz w:val="16"/>
                          </w:rPr>
                          <w:t> </w:t>
                        </w:r>
                        <w:r>
                          <w:rPr>
                            <w:color w:val="FFFFFF"/>
                            <w:spacing w:val="-2"/>
                            <w:sz w:val="16"/>
                          </w:rPr>
                          <w:t>Gallagher</w:t>
                        </w:r>
                      </w:p>
                      <w:p>
                        <w:pPr>
                          <w:spacing w:line="182" w:lineRule="exact" w:before="0"/>
                          <w:ind w:left="0" w:right="0" w:firstLine="0"/>
                          <w:jc w:val="left"/>
                          <w:rPr>
                            <w:sz w:val="16"/>
                          </w:rPr>
                        </w:pPr>
                        <w:r>
                          <w:rPr>
                            <w:color w:val="FFFFFF"/>
                            <w:sz w:val="16"/>
                          </w:rPr>
                          <w:t>Courtesy</w:t>
                        </w:r>
                        <w:r>
                          <w:rPr>
                            <w:color w:val="FFFFFF"/>
                            <w:spacing w:val="6"/>
                            <w:sz w:val="16"/>
                          </w:rPr>
                          <w:t> </w:t>
                        </w:r>
                        <w:r>
                          <w:rPr>
                            <w:color w:val="FFFFFF"/>
                            <w:sz w:val="16"/>
                          </w:rPr>
                          <w:t>of</w:t>
                        </w:r>
                        <w:r>
                          <w:rPr>
                            <w:color w:val="FFFFFF"/>
                            <w:spacing w:val="7"/>
                            <w:sz w:val="16"/>
                          </w:rPr>
                          <w:t> </w:t>
                        </w:r>
                        <w:r>
                          <w:rPr>
                            <w:color w:val="FFFFFF"/>
                            <w:sz w:val="16"/>
                          </w:rPr>
                          <w:t>the</w:t>
                        </w:r>
                        <w:r>
                          <w:rPr>
                            <w:color w:val="FFFFFF"/>
                            <w:spacing w:val="7"/>
                            <w:sz w:val="16"/>
                          </w:rPr>
                          <w:t> </w:t>
                        </w:r>
                        <w:r>
                          <w:rPr>
                            <w:color w:val="FFFFFF"/>
                            <w:spacing w:val="-2"/>
                            <w:sz w:val="16"/>
                          </w:rPr>
                          <w:t>CorningFingerLakes.com</w:t>
                        </w:r>
                      </w:p>
                    </w:txbxContent>
                  </v:textbox>
                  <w10:wrap type="none"/>
                </v:shape>
                <w10:wrap type="none"/>
              </v:group>
            </w:pict>
          </mc:Fallback>
        </mc:AlternateContent>
      </w:r>
    </w:p>
    <w:p>
      <w:pPr>
        <w:tabs>
          <w:tab w:pos="13410" w:val="left" w:leader="none"/>
        </w:tabs>
        <w:spacing w:line="204" w:lineRule="exact" w:before="0"/>
        <w:ind w:left="1399" w:right="0" w:firstLine="0"/>
        <w:jc w:val="left"/>
        <w:rPr>
          <w:sz w:val="16"/>
        </w:rPr>
      </w:pPr>
      <w:r>
        <w:rPr>
          <w:color w:val="636466"/>
          <w:spacing w:val="-5"/>
          <w:position w:val="-3"/>
          <w:sz w:val="18"/>
        </w:rPr>
        <w:t>10</w:t>
      </w:r>
      <w:r>
        <w:rPr>
          <w:color w:val="636466"/>
          <w:position w:val="-3"/>
          <w:sz w:val="18"/>
        </w:rPr>
        <w:tab/>
      </w:r>
      <w:r>
        <w:rPr>
          <w:color w:val="105C84"/>
          <w:sz w:val="16"/>
        </w:rPr>
        <w:t>Source:</w:t>
      </w:r>
      <w:r>
        <w:rPr>
          <w:color w:val="105C84"/>
          <w:spacing w:val="-8"/>
          <w:sz w:val="16"/>
        </w:rPr>
        <w:t> </w:t>
      </w:r>
      <w:r>
        <w:rPr>
          <w:color w:val="105C84"/>
          <w:sz w:val="16"/>
        </w:rPr>
        <w:t>My</w:t>
      </w:r>
      <w:r>
        <w:rPr>
          <w:color w:val="105C84"/>
          <w:spacing w:val="-7"/>
          <w:sz w:val="16"/>
        </w:rPr>
        <w:t> </w:t>
      </w:r>
      <w:r>
        <w:rPr>
          <w:color w:val="105C84"/>
          <w:sz w:val="16"/>
        </w:rPr>
        <w:t>Health</w:t>
      </w:r>
      <w:r>
        <w:rPr>
          <w:color w:val="105C84"/>
          <w:spacing w:val="-7"/>
          <w:sz w:val="16"/>
        </w:rPr>
        <w:t> </w:t>
      </w:r>
      <w:r>
        <w:rPr>
          <w:color w:val="105C84"/>
          <w:sz w:val="16"/>
        </w:rPr>
        <w:t>Story</w:t>
      </w:r>
      <w:r>
        <w:rPr>
          <w:color w:val="105C84"/>
          <w:spacing w:val="-7"/>
          <w:sz w:val="16"/>
        </w:rPr>
        <w:t> </w:t>
      </w:r>
      <w:r>
        <w:rPr>
          <w:color w:val="105C84"/>
          <w:sz w:val="16"/>
        </w:rPr>
        <w:t>survey</w:t>
      </w:r>
      <w:r>
        <w:rPr>
          <w:color w:val="105C84"/>
          <w:spacing w:val="-7"/>
          <w:sz w:val="16"/>
        </w:rPr>
        <w:t> </w:t>
      </w:r>
      <w:r>
        <w:rPr>
          <w:color w:val="105C84"/>
          <w:sz w:val="16"/>
        </w:rPr>
        <w:t>2018.</w:t>
      </w:r>
      <w:r>
        <w:rPr>
          <w:color w:val="105C84"/>
          <w:spacing w:val="30"/>
          <w:sz w:val="16"/>
        </w:rPr>
        <w:t> </w:t>
      </w:r>
      <w:r>
        <w:rPr>
          <w:color w:val="105C84"/>
          <w:sz w:val="16"/>
        </w:rPr>
        <w:t>Analysis</w:t>
      </w:r>
      <w:r>
        <w:rPr>
          <w:color w:val="105C84"/>
          <w:spacing w:val="-7"/>
          <w:sz w:val="16"/>
        </w:rPr>
        <w:t> </w:t>
      </w:r>
      <w:r>
        <w:rPr>
          <w:color w:val="105C84"/>
          <w:sz w:val="16"/>
        </w:rPr>
        <w:t>by</w:t>
      </w:r>
      <w:r>
        <w:rPr>
          <w:color w:val="105C84"/>
          <w:spacing w:val="-7"/>
          <w:sz w:val="16"/>
        </w:rPr>
        <w:t> </w:t>
      </w:r>
      <w:r>
        <w:rPr>
          <w:color w:val="105C84"/>
          <w:sz w:val="16"/>
        </w:rPr>
        <w:t>Common</w:t>
      </w:r>
      <w:r>
        <w:rPr>
          <w:color w:val="105C84"/>
          <w:spacing w:val="-7"/>
          <w:sz w:val="16"/>
        </w:rPr>
        <w:t> </w:t>
      </w:r>
      <w:r>
        <w:rPr>
          <w:color w:val="105C84"/>
          <w:sz w:val="16"/>
        </w:rPr>
        <w:t>Ground</w:t>
      </w:r>
      <w:r>
        <w:rPr>
          <w:color w:val="105C84"/>
          <w:spacing w:val="-7"/>
          <w:sz w:val="16"/>
        </w:rPr>
        <w:t> </w:t>
      </w:r>
      <w:r>
        <w:rPr>
          <w:color w:val="105C84"/>
          <w:sz w:val="16"/>
        </w:rPr>
        <w:t>Health</w:t>
      </w:r>
      <w:r>
        <w:rPr>
          <w:color w:val="105C84"/>
          <w:spacing w:val="-7"/>
          <w:sz w:val="16"/>
        </w:rPr>
        <w:t> </w:t>
      </w:r>
      <w:r>
        <w:rPr>
          <w:color w:val="105C84"/>
          <w:sz w:val="16"/>
        </w:rPr>
        <w:t>incorporates</w:t>
      </w:r>
      <w:r>
        <w:rPr>
          <w:color w:val="105C84"/>
          <w:spacing w:val="-7"/>
          <w:sz w:val="16"/>
        </w:rPr>
        <w:t> </w:t>
      </w:r>
      <w:r>
        <w:rPr>
          <w:color w:val="105C84"/>
          <w:sz w:val="16"/>
        </w:rPr>
        <w:t>weighting</w:t>
      </w:r>
      <w:r>
        <w:rPr>
          <w:color w:val="105C84"/>
          <w:spacing w:val="-7"/>
          <w:sz w:val="16"/>
        </w:rPr>
        <w:t> </w:t>
      </w:r>
      <w:r>
        <w:rPr>
          <w:color w:val="105C84"/>
          <w:sz w:val="16"/>
        </w:rPr>
        <w:t>to</w:t>
      </w:r>
      <w:r>
        <w:rPr>
          <w:color w:val="105C84"/>
          <w:spacing w:val="-8"/>
          <w:sz w:val="16"/>
        </w:rPr>
        <w:t> </w:t>
      </w:r>
      <w:r>
        <w:rPr>
          <w:color w:val="105C84"/>
          <w:sz w:val="16"/>
        </w:rPr>
        <w:t>normalize</w:t>
      </w:r>
      <w:r>
        <w:rPr>
          <w:color w:val="105C84"/>
          <w:spacing w:val="-7"/>
          <w:sz w:val="16"/>
        </w:rPr>
        <w:t> </w:t>
      </w:r>
      <w:r>
        <w:rPr>
          <w:color w:val="105C84"/>
          <w:sz w:val="16"/>
        </w:rPr>
        <w:t>survey</w:t>
      </w:r>
      <w:r>
        <w:rPr>
          <w:color w:val="105C84"/>
          <w:spacing w:val="-7"/>
          <w:sz w:val="16"/>
        </w:rPr>
        <w:t> </w:t>
      </w:r>
      <w:r>
        <w:rPr>
          <w:color w:val="105C84"/>
          <w:spacing w:val="-2"/>
          <w:sz w:val="16"/>
        </w:rPr>
        <w:t>partici-</w:t>
      </w:r>
    </w:p>
    <w:p>
      <w:pPr>
        <w:spacing w:line="160" w:lineRule="exact" w:before="0"/>
        <w:ind w:left="13410" w:right="0" w:firstLine="0"/>
        <w:jc w:val="left"/>
        <w:rPr>
          <w:sz w:val="16"/>
        </w:rPr>
      </w:pPr>
      <w:r>
        <w:rPr>
          <w:color w:val="105C84"/>
          <w:sz w:val="16"/>
        </w:rPr>
        <w:t>pants</w:t>
      </w:r>
      <w:r>
        <w:rPr>
          <w:color w:val="105C84"/>
          <w:spacing w:val="-7"/>
          <w:sz w:val="16"/>
        </w:rPr>
        <w:t> </w:t>
      </w:r>
      <w:r>
        <w:rPr>
          <w:color w:val="105C84"/>
          <w:sz w:val="16"/>
        </w:rPr>
        <w:t>to</w:t>
      </w:r>
      <w:r>
        <w:rPr>
          <w:color w:val="105C84"/>
          <w:spacing w:val="-6"/>
          <w:sz w:val="16"/>
        </w:rPr>
        <w:t> </w:t>
      </w:r>
      <w:r>
        <w:rPr>
          <w:color w:val="105C84"/>
          <w:sz w:val="16"/>
        </w:rPr>
        <w:t>demographics</w:t>
      </w:r>
      <w:r>
        <w:rPr>
          <w:color w:val="105C84"/>
          <w:spacing w:val="-6"/>
          <w:sz w:val="16"/>
        </w:rPr>
        <w:t> </w:t>
      </w:r>
      <w:r>
        <w:rPr>
          <w:color w:val="105C84"/>
          <w:sz w:val="16"/>
        </w:rPr>
        <w:t>of</w:t>
      </w:r>
      <w:r>
        <w:rPr>
          <w:color w:val="105C84"/>
          <w:spacing w:val="-7"/>
          <w:sz w:val="16"/>
        </w:rPr>
        <w:t> </w:t>
      </w:r>
      <w:r>
        <w:rPr>
          <w:color w:val="105C84"/>
          <w:sz w:val="16"/>
        </w:rPr>
        <w:t>each</w:t>
      </w:r>
      <w:r>
        <w:rPr>
          <w:color w:val="105C84"/>
          <w:spacing w:val="-6"/>
          <w:sz w:val="16"/>
        </w:rPr>
        <w:t> </w:t>
      </w:r>
      <w:r>
        <w:rPr>
          <w:color w:val="105C84"/>
          <w:sz w:val="16"/>
        </w:rPr>
        <w:t>county.</w:t>
      </w:r>
      <w:r>
        <w:rPr>
          <w:color w:val="105C84"/>
          <w:spacing w:val="-6"/>
          <w:sz w:val="16"/>
        </w:rPr>
        <w:t> </w:t>
      </w:r>
      <w:r>
        <w:rPr>
          <w:color w:val="105C84"/>
          <w:sz w:val="16"/>
        </w:rPr>
        <w:t>Estimates</w:t>
      </w:r>
      <w:r>
        <w:rPr>
          <w:color w:val="105C84"/>
          <w:spacing w:val="-6"/>
          <w:sz w:val="16"/>
        </w:rPr>
        <w:t> </w:t>
      </w:r>
      <w:r>
        <w:rPr>
          <w:color w:val="105C84"/>
          <w:sz w:val="16"/>
        </w:rPr>
        <w:t>shown</w:t>
      </w:r>
      <w:r>
        <w:rPr>
          <w:color w:val="105C84"/>
          <w:spacing w:val="-7"/>
          <w:sz w:val="16"/>
        </w:rPr>
        <w:t> </w:t>
      </w:r>
      <w:r>
        <w:rPr>
          <w:color w:val="105C84"/>
          <w:sz w:val="16"/>
        </w:rPr>
        <w:t>with</w:t>
      </w:r>
      <w:r>
        <w:rPr>
          <w:color w:val="105C84"/>
          <w:spacing w:val="-6"/>
          <w:sz w:val="16"/>
        </w:rPr>
        <w:t> </w:t>
      </w:r>
      <w:r>
        <w:rPr>
          <w:color w:val="105C84"/>
          <w:sz w:val="16"/>
        </w:rPr>
        <w:t>95%</w:t>
      </w:r>
      <w:r>
        <w:rPr>
          <w:color w:val="105C84"/>
          <w:spacing w:val="-6"/>
          <w:sz w:val="16"/>
        </w:rPr>
        <w:t> </w:t>
      </w:r>
      <w:r>
        <w:rPr>
          <w:color w:val="105C84"/>
          <w:sz w:val="16"/>
        </w:rPr>
        <w:t>confidence</w:t>
      </w:r>
      <w:r>
        <w:rPr>
          <w:color w:val="105C84"/>
          <w:spacing w:val="-7"/>
          <w:sz w:val="16"/>
        </w:rPr>
        <w:t> </w:t>
      </w:r>
      <w:r>
        <w:rPr>
          <w:color w:val="105C84"/>
          <w:spacing w:val="-2"/>
          <w:sz w:val="16"/>
        </w:rPr>
        <w:t>intervals.</w:t>
      </w:r>
    </w:p>
    <w:p>
      <w:pPr>
        <w:pStyle w:val="BodyText"/>
        <w:spacing w:before="38"/>
        <w:rPr>
          <w:sz w:val="16"/>
        </w:rPr>
      </w:pPr>
    </w:p>
    <w:p>
      <w:pPr>
        <w:spacing w:before="1"/>
        <w:ind w:left="1519" w:right="0" w:firstLine="0"/>
        <w:jc w:val="left"/>
        <w:rPr>
          <w:sz w:val="18"/>
        </w:rPr>
      </w:pPr>
      <w:r>
        <w:rPr>
          <w:color w:val="636466"/>
          <w:spacing w:val="-10"/>
          <w:sz w:val="18"/>
        </w:rPr>
        <w:t>5</w:t>
      </w:r>
    </w:p>
    <w:p>
      <w:pPr>
        <w:pStyle w:val="BodyText"/>
        <w:spacing w:before="151"/>
        <w:rPr>
          <w:sz w:val="18"/>
        </w:rPr>
      </w:pPr>
    </w:p>
    <w:p>
      <w:pPr>
        <w:spacing w:before="0"/>
        <w:ind w:left="1519" w:right="0" w:firstLine="0"/>
        <w:jc w:val="left"/>
        <w:rPr>
          <w:sz w:val="18"/>
        </w:rPr>
      </w:pPr>
      <w:r>
        <w:rPr>
          <w:color w:val="636466"/>
          <w:spacing w:val="-10"/>
          <w:sz w:val="18"/>
        </w:rPr>
        <w:t>0</w:t>
      </w:r>
    </w:p>
    <w:p>
      <w:pPr>
        <w:tabs>
          <w:tab w:pos="3050" w:val="left" w:leader="none"/>
          <w:tab w:pos="4274" w:val="left" w:leader="none"/>
          <w:tab w:pos="5328" w:val="left" w:leader="none"/>
          <w:tab w:pos="6497" w:val="left" w:leader="none"/>
          <w:tab w:pos="7561" w:val="left" w:leader="none"/>
          <w:tab w:pos="8731" w:val="left" w:leader="none"/>
          <w:tab w:pos="9897" w:val="left" w:leader="none"/>
        </w:tabs>
        <w:spacing w:before="2"/>
        <w:ind w:left="1969" w:right="0" w:firstLine="0"/>
        <w:jc w:val="left"/>
        <w:rPr>
          <w:sz w:val="18"/>
        </w:rPr>
      </w:pPr>
      <w:r>
        <w:rPr>
          <w:color w:val="636466"/>
          <w:spacing w:val="-2"/>
          <w:sz w:val="18"/>
        </w:rPr>
        <w:t>Chemung</w:t>
      </w:r>
      <w:r>
        <w:rPr>
          <w:color w:val="636466"/>
          <w:sz w:val="18"/>
        </w:rPr>
        <w:tab/>
      </w:r>
      <w:r>
        <w:rPr>
          <w:color w:val="636466"/>
          <w:spacing w:val="-2"/>
          <w:sz w:val="18"/>
        </w:rPr>
        <w:t>Livingston</w:t>
      </w:r>
      <w:r>
        <w:rPr>
          <w:color w:val="636466"/>
          <w:sz w:val="18"/>
        </w:rPr>
        <w:tab/>
      </w:r>
      <w:r>
        <w:rPr>
          <w:color w:val="636466"/>
          <w:spacing w:val="-2"/>
          <w:sz w:val="18"/>
        </w:rPr>
        <w:t>Ontario</w:t>
      </w:r>
      <w:r>
        <w:rPr>
          <w:color w:val="636466"/>
          <w:sz w:val="18"/>
        </w:rPr>
        <w:tab/>
      </w:r>
      <w:r>
        <w:rPr>
          <w:color w:val="636466"/>
          <w:spacing w:val="-2"/>
          <w:sz w:val="18"/>
        </w:rPr>
        <w:t>Schuyler</w:t>
      </w:r>
      <w:r>
        <w:rPr>
          <w:color w:val="636466"/>
          <w:sz w:val="18"/>
        </w:rPr>
        <w:tab/>
      </w:r>
      <w:r>
        <w:rPr>
          <w:color w:val="636466"/>
          <w:spacing w:val="-2"/>
          <w:sz w:val="18"/>
        </w:rPr>
        <w:t>Seneca</w:t>
      </w:r>
      <w:r>
        <w:rPr>
          <w:color w:val="636466"/>
          <w:sz w:val="18"/>
        </w:rPr>
        <w:tab/>
      </w:r>
      <w:r>
        <w:rPr>
          <w:color w:val="636466"/>
          <w:spacing w:val="-2"/>
          <w:sz w:val="18"/>
        </w:rPr>
        <w:t>Steuben</w:t>
      </w:r>
      <w:r>
        <w:rPr>
          <w:color w:val="636466"/>
          <w:sz w:val="18"/>
        </w:rPr>
        <w:tab/>
      </w:r>
      <w:r>
        <w:rPr>
          <w:color w:val="636466"/>
          <w:spacing w:val="-2"/>
          <w:sz w:val="18"/>
        </w:rPr>
        <w:t>Wayne</w:t>
      </w:r>
      <w:r>
        <w:rPr>
          <w:color w:val="636466"/>
          <w:sz w:val="18"/>
        </w:rPr>
        <w:tab/>
      </w:r>
      <w:r>
        <w:rPr>
          <w:color w:val="636466"/>
          <w:spacing w:val="-2"/>
          <w:sz w:val="18"/>
        </w:rPr>
        <w:t>Yates</w:t>
      </w:r>
    </w:p>
    <w:p>
      <w:pPr>
        <w:pStyle w:val="BodyText"/>
        <w:spacing w:before="2"/>
        <w:rPr>
          <w:sz w:val="18"/>
        </w:rPr>
      </w:pPr>
    </w:p>
    <w:p>
      <w:pPr>
        <w:spacing w:before="1"/>
        <w:ind w:left="1991" w:right="0" w:firstLine="0"/>
        <w:jc w:val="left"/>
        <w:rPr>
          <w:sz w:val="16"/>
        </w:rPr>
      </w:pPr>
      <w:r>
        <w:rPr>
          <w:color w:val="105C84"/>
          <w:sz w:val="16"/>
        </w:rPr>
        <w:t>Data</w:t>
      </w:r>
      <w:r>
        <w:rPr>
          <w:color w:val="105C84"/>
          <w:spacing w:val="-5"/>
          <w:sz w:val="16"/>
        </w:rPr>
        <w:t> </w:t>
      </w:r>
      <w:r>
        <w:rPr>
          <w:color w:val="105C84"/>
          <w:sz w:val="16"/>
        </w:rPr>
        <w:t>Source:</w:t>
      </w:r>
      <w:r>
        <w:rPr>
          <w:color w:val="105C84"/>
          <w:spacing w:val="-5"/>
          <w:sz w:val="16"/>
        </w:rPr>
        <w:t> </w:t>
      </w:r>
      <w:r>
        <w:rPr>
          <w:color w:val="105C84"/>
          <w:sz w:val="16"/>
        </w:rPr>
        <w:t>NYS</w:t>
      </w:r>
      <w:r>
        <w:rPr>
          <w:color w:val="105C84"/>
          <w:spacing w:val="-5"/>
          <w:sz w:val="16"/>
        </w:rPr>
        <w:t> </w:t>
      </w:r>
      <w:r>
        <w:rPr>
          <w:color w:val="105C84"/>
          <w:sz w:val="16"/>
        </w:rPr>
        <w:t>Quarterly</w:t>
      </w:r>
      <w:r>
        <w:rPr>
          <w:color w:val="105C84"/>
          <w:spacing w:val="-5"/>
          <w:sz w:val="16"/>
        </w:rPr>
        <w:t> </w:t>
      </w:r>
      <w:r>
        <w:rPr>
          <w:color w:val="105C84"/>
          <w:sz w:val="16"/>
        </w:rPr>
        <w:t>Opioid</w:t>
      </w:r>
      <w:r>
        <w:rPr>
          <w:color w:val="105C84"/>
          <w:spacing w:val="-5"/>
          <w:sz w:val="16"/>
        </w:rPr>
        <w:t> </w:t>
      </w:r>
      <w:r>
        <w:rPr>
          <w:color w:val="105C84"/>
          <w:spacing w:val="-2"/>
          <w:sz w:val="16"/>
        </w:rPr>
        <w:t>Reporting</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8"/>
        <w:rPr>
          <w:sz w:val="26"/>
        </w:rPr>
      </w:pPr>
    </w:p>
    <w:p>
      <w:pPr>
        <w:spacing w:before="0"/>
        <w:ind w:left="0" w:right="0" w:firstLine="0"/>
        <w:jc w:val="left"/>
        <w:rPr>
          <w:b/>
          <w:sz w:val="26"/>
        </w:rPr>
      </w:pPr>
      <w:r>
        <w:rPr>
          <w:b/>
          <w:sz w:val="26"/>
        </w:rPr>
        <mc:AlternateContent>
          <mc:Choice Requires="wps">
            <w:drawing>
              <wp:anchor distT="0" distB="0" distL="0" distR="0" allowOverlap="1" layoutInCell="1" locked="0" behindDoc="1" simplePos="0" relativeHeight="474992128">
                <wp:simplePos x="0" y="0"/>
                <wp:positionH relativeFrom="page">
                  <wp:posOffset>14698495</wp:posOffset>
                </wp:positionH>
                <wp:positionV relativeFrom="paragraph">
                  <wp:posOffset>-9804</wp:posOffset>
                </wp:positionV>
                <wp:extent cx="195580" cy="226060"/>
                <wp:effectExtent l="0" t="0" r="0" b="0"/>
                <wp:wrapNone/>
                <wp:docPr id="379" name="Textbox 379"/>
                <wp:cNvGraphicFramePr>
                  <a:graphicFrameLocks/>
                </wp:cNvGraphicFramePr>
                <a:graphic>
                  <a:graphicData uri="http://schemas.microsoft.com/office/word/2010/wordprocessingShape">
                    <wps:wsp>
                      <wps:cNvPr id="379" name="Textbox 379"/>
                      <wps:cNvSpPr txBox="1"/>
                      <wps:spPr>
                        <a:xfrm>
                          <a:off x="0" y="0"/>
                          <a:ext cx="195580" cy="226060"/>
                        </a:xfrm>
                        <a:prstGeom prst="rect">
                          <a:avLst/>
                        </a:prstGeom>
                      </wps:spPr>
                      <wps:txbx>
                        <w:txbxContent>
                          <w:p>
                            <w:pPr>
                              <w:spacing w:before="16"/>
                              <w:ind w:left="0" w:right="0" w:firstLine="0"/>
                              <w:jc w:val="left"/>
                              <w:rPr>
                                <w:b/>
                                <w:sz w:val="26"/>
                              </w:rPr>
                            </w:pPr>
                            <w:r>
                              <w:rPr>
                                <w:b/>
                                <w:color w:val="939598"/>
                                <w:spacing w:val="-5"/>
                                <w:w w:val="105"/>
                                <w:sz w:val="26"/>
                              </w:rPr>
                              <w:t>30</w:t>
                            </w:r>
                          </w:p>
                        </w:txbxContent>
                      </wps:txbx>
                      <wps:bodyPr wrap="square" lIns="0" tIns="0" rIns="0" bIns="0" rtlCol="0">
                        <a:noAutofit/>
                      </wps:bodyPr>
                    </wps:wsp>
                  </a:graphicData>
                </a:graphic>
              </wp:anchor>
            </w:drawing>
          </mc:Choice>
          <mc:Fallback>
            <w:pict>
              <v:shape style="position:absolute;margin-left:1157.361816pt;margin-top:-.772041pt;width:15.4pt;height:17.8pt;mso-position-horizontal-relative:page;mso-position-vertical-relative:paragraph;z-index:-28324352" type="#_x0000_t202" id="docshape331" filled="false" stroked="false">
                <v:textbox inset="0,0,0,0">
                  <w:txbxContent>
                    <w:p>
                      <w:pPr>
                        <w:spacing w:before="16"/>
                        <w:ind w:left="0" w:right="0" w:firstLine="0"/>
                        <w:jc w:val="left"/>
                        <w:rPr>
                          <w:b/>
                          <w:sz w:val="26"/>
                        </w:rPr>
                      </w:pPr>
                      <w:r>
                        <w:rPr>
                          <w:b/>
                          <w:color w:val="939598"/>
                          <w:spacing w:val="-5"/>
                          <w:w w:val="105"/>
                          <w:sz w:val="26"/>
                        </w:rPr>
                        <w:t>30</w:t>
                      </w:r>
                    </w:p>
                  </w:txbxContent>
                </v:textbox>
                <w10:wrap type="none"/>
              </v:shape>
            </w:pict>
          </mc:Fallback>
        </mc:AlternateContent>
      </w:r>
      <w:r>
        <w:rPr>
          <w:position w:val="-4"/>
        </w:rPr>
        <w:drawing>
          <wp:inline distT="0" distB="0" distL="0" distR="0">
            <wp:extent cx="568172" cy="184683"/>
            <wp:effectExtent l="0" t="0" r="0" b="0"/>
            <wp:docPr id="380" name="Image 380"/>
            <wp:cNvGraphicFramePr>
              <a:graphicFrameLocks/>
            </wp:cNvGraphicFramePr>
            <a:graphic>
              <a:graphicData uri="http://schemas.openxmlformats.org/drawingml/2006/picture">
                <pic:pic>
                  <pic:nvPicPr>
                    <pic:cNvPr id="380" name="Image 380"/>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80"/>
          <w:w w:val="105"/>
          <w:sz w:val="20"/>
        </w:rPr>
        <w:t> </w:t>
      </w:r>
      <w:r>
        <w:rPr>
          <w:b/>
          <w:color w:val="939598"/>
          <w:w w:val="105"/>
          <w:sz w:val="26"/>
        </w:rPr>
        <w:t>29</w:t>
      </w:r>
    </w:p>
    <w:p>
      <w:pPr>
        <w:spacing w:after="0"/>
        <w:jc w:val="left"/>
        <w:rPr>
          <w:b/>
          <w:sz w:val="26"/>
        </w:rPr>
        <w:sectPr>
          <w:type w:val="continuous"/>
          <w:pgSz w:w="24480" w:h="15840" w:orient="landscape"/>
          <w:pgMar w:header="0" w:footer="0" w:top="0" w:bottom="280" w:left="0" w:right="720"/>
        </w:sectPr>
      </w:pPr>
    </w:p>
    <w:p>
      <w:pPr>
        <w:pStyle w:val="BodyText"/>
        <w:rPr>
          <w:b/>
          <w:sz w:val="20"/>
        </w:rPr>
      </w:pPr>
    </w:p>
    <w:p>
      <w:pPr>
        <w:pStyle w:val="BodyText"/>
        <w:spacing w:before="16"/>
        <w:rPr>
          <w:b/>
          <w:sz w:val="20"/>
        </w:rPr>
      </w:pPr>
    </w:p>
    <w:p>
      <w:pPr>
        <w:pStyle w:val="BodyText"/>
        <w:spacing w:after="0"/>
        <w:rPr>
          <w:b/>
          <w:sz w:val="20"/>
        </w:rPr>
        <w:sectPr>
          <w:pgSz w:w="24480" w:h="15840" w:orient="landscape"/>
          <w:pgMar w:header="0" w:footer="0" w:top="860" w:bottom="0" w:left="0" w:right="720"/>
        </w:sectPr>
      </w:pPr>
    </w:p>
    <w:p>
      <w:pPr>
        <w:pStyle w:val="Heading6"/>
        <w:spacing w:before="116"/>
      </w:pPr>
      <w:r>
        <w:rPr>
          <w:color w:val="105C84"/>
          <w:spacing w:val="-6"/>
        </w:rPr>
        <w:t>Prevent Communicable</w:t>
      </w:r>
      <w:r>
        <w:rPr>
          <w:color w:val="105C84"/>
          <w:spacing w:val="-5"/>
        </w:rPr>
        <w:t> </w:t>
      </w:r>
      <w:r>
        <w:rPr>
          <w:color w:val="105C84"/>
          <w:spacing w:val="-6"/>
        </w:rPr>
        <w:t>Diseases</w:t>
      </w:r>
    </w:p>
    <w:p>
      <w:pPr>
        <w:pStyle w:val="BodyText"/>
        <w:spacing w:line="247" w:lineRule="auto" w:before="268"/>
        <w:ind w:left="1080" w:right="105"/>
      </w:pPr>
      <w:r>
        <w:rPr>
          <w:color w:val="105C84"/>
        </w:rPr>
        <w:t>Sexually transmitted diseases are a prominent issue in New York State, including all eight counties in the region. Historical data are available on the incidence of chlamydia and gonorrhea. In comparison</w:t>
      </w:r>
      <w:r>
        <w:rPr>
          <w:color w:val="105C84"/>
          <w:spacing w:val="80"/>
        </w:rPr>
        <w:t> </w:t>
      </w:r>
      <w:r>
        <w:rPr>
          <w:color w:val="105C84"/>
        </w:rPr>
        <w:t>to NYS excluding NYC, all eight counties have lower rates of chlamydia in recent years. Typically,</w:t>
      </w:r>
      <w:r>
        <w:rPr>
          <w:color w:val="105C84"/>
          <w:spacing w:val="40"/>
        </w:rPr>
        <w:t> </w:t>
      </w:r>
      <w:r>
        <w:rPr>
          <w:color w:val="105C84"/>
        </w:rPr>
        <w:t>rates</w:t>
      </w:r>
      <w:r>
        <w:rPr>
          <w:color w:val="105C84"/>
          <w:spacing w:val="16"/>
        </w:rPr>
        <w:t> </w:t>
      </w:r>
      <w:r>
        <w:rPr>
          <w:color w:val="105C84"/>
        </w:rPr>
        <w:t>of</w:t>
      </w:r>
      <w:r>
        <w:rPr>
          <w:color w:val="105C84"/>
          <w:spacing w:val="16"/>
        </w:rPr>
        <w:t> </w:t>
      </w:r>
      <w:r>
        <w:rPr>
          <w:color w:val="105C84"/>
        </w:rPr>
        <w:t>gonorrhea</w:t>
      </w:r>
      <w:r>
        <w:rPr>
          <w:color w:val="105C84"/>
          <w:spacing w:val="16"/>
        </w:rPr>
        <w:t> </w:t>
      </w:r>
      <w:r>
        <w:rPr>
          <w:color w:val="105C84"/>
        </w:rPr>
        <w:t>in</w:t>
      </w:r>
      <w:r>
        <w:rPr>
          <w:color w:val="105C84"/>
          <w:spacing w:val="16"/>
        </w:rPr>
        <w:t> </w:t>
      </w:r>
      <w:r>
        <w:rPr>
          <w:color w:val="105C84"/>
        </w:rPr>
        <w:t>the</w:t>
      </w:r>
      <w:r>
        <w:rPr>
          <w:color w:val="105C84"/>
          <w:spacing w:val="16"/>
        </w:rPr>
        <w:t> </w:t>
      </w:r>
      <w:r>
        <w:rPr>
          <w:color w:val="105C84"/>
        </w:rPr>
        <w:t>region</w:t>
      </w:r>
      <w:r>
        <w:rPr>
          <w:color w:val="105C84"/>
          <w:spacing w:val="16"/>
        </w:rPr>
        <w:t> </w:t>
      </w:r>
      <w:r>
        <w:rPr>
          <w:color w:val="105C84"/>
        </w:rPr>
        <w:t>are</w:t>
      </w:r>
      <w:r>
        <w:rPr>
          <w:color w:val="105C84"/>
          <w:spacing w:val="16"/>
        </w:rPr>
        <w:t> </w:t>
      </w:r>
      <w:r>
        <w:rPr>
          <w:color w:val="105C84"/>
        </w:rPr>
        <w:t>lower</w:t>
      </w:r>
      <w:r>
        <w:rPr>
          <w:color w:val="105C84"/>
          <w:spacing w:val="16"/>
        </w:rPr>
        <w:t> </w:t>
      </w:r>
      <w:r>
        <w:rPr>
          <w:color w:val="105C84"/>
        </w:rPr>
        <w:t>than</w:t>
      </w:r>
      <w:r>
        <w:rPr>
          <w:color w:val="105C84"/>
          <w:spacing w:val="16"/>
        </w:rPr>
        <w:t> </w:t>
      </w:r>
      <w:r>
        <w:rPr>
          <w:color w:val="105C84"/>
        </w:rPr>
        <w:t>NYS</w:t>
      </w:r>
      <w:r>
        <w:rPr>
          <w:color w:val="105C84"/>
          <w:spacing w:val="16"/>
        </w:rPr>
        <w:t> </w:t>
      </w:r>
      <w:r>
        <w:rPr>
          <w:color w:val="105C84"/>
        </w:rPr>
        <w:t>excluding</w:t>
      </w:r>
      <w:r>
        <w:rPr>
          <w:color w:val="105C84"/>
          <w:spacing w:val="16"/>
        </w:rPr>
        <w:t> </w:t>
      </w:r>
      <w:r>
        <w:rPr>
          <w:color w:val="105C84"/>
        </w:rPr>
        <w:t>NYC.</w:t>
      </w:r>
      <w:r>
        <w:rPr>
          <w:color w:val="105C84"/>
          <w:spacing w:val="16"/>
        </w:rPr>
        <w:t> </w:t>
      </w:r>
      <w:r>
        <w:rPr>
          <w:color w:val="105C84"/>
        </w:rPr>
        <w:t>However,</w:t>
      </w:r>
      <w:r>
        <w:rPr>
          <w:color w:val="105C84"/>
          <w:spacing w:val="16"/>
        </w:rPr>
        <w:t> </w:t>
      </w:r>
      <w:r>
        <w:rPr>
          <w:color w:val="105C84"/>
        </w:rPr>
        <w:t>rates</w:t>
      </w:r>
      <w:r>
        <w:rPr>
          <w:color w:val="105C84"/>
          <w:spacing w:val="16"/>
        </w:rPr>
        <w:t> </w:t>
      </w:r>
      <w:r>
        <w:rPr>
          <w:color w:val="105C84"/>
        </w:rPr>
        <w:t>spiked</w:t>
      </w:r>
      <w:r>
        <w:rPr>
          <w:color w:val="105C84"/>
          <w:spacing w:val="16"/>
        </w:rPr>
        <w:t> </w:t>
      </w:r>
      <w:r>
        <w:rPr>
          <w:color w:val="105C84"/>
        </w:rPr>
        <w:t>in</w:t>
      </w:r>
      <w:r>
        <w:rPr>
          <w:color w:val="105C84"/>
          <w:spacing w:val="16"/>
        </w:rPr>
        <w:t> </w:t>
      </w:r>
      <w:r>
        <w:rPr>
          <w:color w:val="105C84"/>
        </w:rPr>
        <w:t>2016 for several counties in the region including Ontario, Seneca and Wayne which could be due to an outbreak or increased testing and diagnosis. (Figure 14).</w:t>
      </w:r>
    </w:p>
    <w:p>
      <w:pPr>
        <w:pStyle w:val="BodyText"/>
        <w:spacing w:before="16"/>
      </w:pPr>
    </w:p>
    <w:p>
      <w:pPr>
        <w:pStyle w:val="Heading6"/>
        <w:spacing w:before="1"/>
      </w:pPr>
      <w:r>
        <w:rPr>
          <w:color w:val="105C84"/>
        </w:rPr>
        <w:t>FIGURE</w:t>
      </w:r>
      <w:r>
        <w:rPr>
          <w:color w:val="105C84"/>
          <w:spacing w:val="-15"/>
        </w:rPr>
        <w:t> </w:t>
      </w:r>
      <w:r>
        <w:rPr>
          <w:color w:val="105C84"/>
        </w:rPr>
        <w:t>14:</w:t>
      </w:r>
      <w:r>
        <w:rPr>
          <w:color w:val="105C84"/>
          <w:spacing w:val="-15"/>
        </w:rPr>
        <w:t> </w:t>
      </w:r>
      <w:r>
        <w:rPr>
          <w:color w:val="105C84"/>
        </w:rPr>
        <w:t>Rate</w:t>
      </w:r>
      <w:r>
        <w:rPr>
          <w:color w:val="105C84"/>
          <w:spacing w:val="-15"/>
        </w:rPr>
        <w:t> </w:t>
      </w:r>
      <w:r>
        <w:rPr>
          <w:color w:val="105C84"/>
        </w:rPr>
        <w:t>of</w:t>
      </w:r>
      <w:r>
        <w:rPr>
          <w:color w:val="105C84"/>
          <w:spacing w:val="-15"/>
        </w:rPr>
        <w:t> </w:t>
      </w:r>
      <w:r>
        <w:rPr>
          <w:color w:val="105C84"/>
        </w:rPr>
        <w:t>gonorrhea</w:t>
      </w:r>
      <w:r>
        <w:rPr>
          <w:color w:val="105C84"/>
          <w:spacing w:val="-15"/>
        </w:rPr>
        <w:t> </w:t>
      </w:r>
      <w:r>
        <w:rPr>
          <w:color w:val="105C84"/>
        </w:rPr>
        <w:t>per</w:t>
      </w:r>
      <w:r>
        <w:rPr>
          <w:color w:val="105C84"/>
          <w:spacing w:val="-15"/>
        </w:rPr>
        <w:t> </w:t>
      </w:r>
      <w:r>
        <w:rPr>
          <w:color w:val="105C84"/>
          <w:spacing w:val="-2"/>
        </w:rPr>
        <w:t>100,000</w:t>
      </w:r>
    </w:p>
    <w:p>
      <w:pPr>
        <w:pStyle w:val="BodyText"/>
        <w:rPr>
          <w:b/>
          <w:sz w:val="26"/>
        </w:rPr>
      </w:pPr>
    </w:p>
    <w:p>
      <w:pPr>
        <w:pStyle w:val="BodyText"/>
        <w:spacing w:before="121"/>
        <w:rPr>
          <w:b/>
          <w:sz w:val="26"/>
        </w:rPr>
      </w:pPr>
    </w:p>
    <w:p>
      <w:pPr>
        <w:spacing w:before="0"/>
        <w:ind w:left="1421" w:right="0" w:firstLine="0"/>
        <w:jc w:val="left"/>
        <w:rPr>
          <w:sz w:val="18"/>
        </w:rPr>
      </w:pPr>
      <w:r>
        <w:rPr>
          <w:sz w:val="18"/>
        </w:rPr>
        <mc:AlternateContent>
          <mc:Choice Requires="wps">
            <w:drawing>
              <wp:anchor distT="0" distB="0" distL="0" distR="0" allowOverlap="1" layoutInCell="1" locked="0" behindDoc="0" simplePos="0" relativeHeight="15769600">
                <wp:simplePos x="0" y="0"/>
                <wp:positionH relativeFrom="page">
                  <wp:posOffset>1189104</wp:posOffset>
                </wp:positionH>
                <wp:positionV relativeFrom="paragraph">
                  <wp:posOffset>-20417</wp:posOffset>
                </wp:positionV>
                <wp:extent cx="6103620" cy="2670810"/>
                <wp:effectExtent l="0" t="0" r="0" b="0"/>
                <wp:wrapNone/>
                <wp:docPr id="381" name="Group 381"/>
                <wp:cNvGraphicFramePr>
                  <a:graphicFrameLocks/>
                </wp:cNvGraphicFramePr>
                <a:graphic>
                  <a:graphicData uri="http://schemas.microsoft.com/office/word/2010/wordprocessingGroup">
                    <wpg:wgp>
                      <wpg:cNvPr id="381" name="Group 381"/>
                      <wpg:cNvGrpSpPr/>
                      <wpg:grpSpPr>
                        <a:xfrm>
                          <a:off x="0" y="0"/>
                          <a:ext cx="6103620" cy="2670810"/>
                          <a:chExt cx="6103620" cy="2670810"/>
                        </a:xfrm>
                      </wpg:grpSpPr>
                      <wps:wsp>
                        <wps:cNvPr id="382" name="Graphic 382"/>
                        <wps:cNvSpPr/>
                        <wps:spPr>
                          <a:xfrm>
                            <a:off x="5559814" y="1423573"/>
                            <a:ext cx="114300" cy="1244600"/>
                          </a:xfrm>
                          <a:custGeom>
                            <a:avLst/>
                            <a:gdLst/>
                            <a:ahLst/>
                            <a:cxnLst/>
                            <a:rect l="l" t="t" r="r" b="b"/>
                            <a:pathLst>
                              <a:path w="114300" h="1244600">
                                <a:moveTo>
                                  <a:pt x="114300" y="0"/>
                                </a:moveTo>
                                <a:lnTo>
                                  <a:pt x="0" y="0"/>
                                </a:lnTo>
                                <a:lnTo>
                                  <a:pt x="0" y="1244600"/>
                                </a:lnTo>
                                <a:lnTo>
                                  <a:pt x="114300" y="1244600"/>
                                </a:lnTo>
                                <a:lnTo>
                                  <a:pt x="114300" y="0"/>
                                </a:lnTo>
                                <a:close/>
                              </a:path>
                            </a:pathLst>
                          </a:custGeom>
                          <a:solidFill>
                            <a:srgbClr val="BCBEC0"/>
                          </a:solidFill>
                        </wps:spPr>
                        <wps:bodyPr wrap="square" lIns="0" tIns="0" rIns="0" bIns="0" rtlCol="0">
                          <a:prstTxWarp prst="textNoShape">
                            <a:avLst/>
                          </a:prstTxWarp>
                          <a:noAutofit/>
                        </wps:bodyPr>
                      </wps:wsp>
                      <wps:wsp>
                        <wps:cNvPr id="383" name="Graphic 383"/>
                        <wps:cNvSpPr/>
                        <wps:spPr>
                          <a:xfrm>
                            <a:off x="136914" y="1588673"/>
                            <a:ext cx="4864100" cy="1079500"/>
                          </a:xfrm>
                          <a:custGeom>
                            <a:avLst/>
                            <a:gdLst/>
                            <a:ahLst/>
                            <a:cxnLst/>
                            <a:rect l="l" t="t" r="r" b="b"/>
                            <a:pathLst>
                              <a:path w="4864100" h="1079500">
                                <a:moveTo>
                                  <a:pt x="114300" y="0"/>
                                </a:moveTo>
                                <a:lnTo>
                                  <a:pt x="0" y="0"/>
                                </a:lnTo>
                                <a:lnTo>
                                  <a:pt x="0" y="1079500"/>
                                </a:lnTo>
                                <a:lnTo>
                                  <a:pt x="114300" y="1079500"/>
                                </a:lnTo>
                                <a:lnTo>
                                  <a:pt x="114300" y="0"/>
                                </a:lnTo>
                                <a:close/>
                              </a:path>
                              <a:path w="4864100" h="1079500">
                                <a:moveTo>
                                  <a:pt x="787400" y="876300"/>
                                </a:moveTo>
                                <a:lnTo>
                                  <a:pt x="673100" y="876300"/>
                                </a:lnTo>
                                <a:lnTo>
                                  <a:pt x="673100" y="1079500"/>
                                </a:lnTo>
                                <a:lnTo>
                                  <a:pt x="787400" y="1079500"/>
                                </a:lnTo>
                                <a:lnTo>
                                  <a:pt x="787400" y="876300"/>
                                </a:lnTo>
                                <a:close/>
                              </a:path>
                              <a:path w="4864100" h="1079500">
                                <a:moveTo>
                                  <a:pt x="1473200" y="444500"/>
                                </a:moveTo>
                                <a:lnTo>
                                  <a:pt x="1346200" y="444500"/>
                                </a:lnTo>
                                <a:lnTo>
                                  <a:pt x="1346200" y="1079500"/>
                                </a:lnTo>
                                <a:lnTo>
                                  <a:pt x="1473200" y="1079500"/>
                                </a:lnTo>
                                <a:lnTo>
                                  <a:pt x="1473200" y="444500"/>
                                </a:lnTo>
                                <a:close/>
                              </a:path>
                              <a:path w="4864100" h="1079500">
                                <a:moveTo>
                                  <a:pt x="2146300" y="546100"/>
                                </a:moveTo>
                                <a:lnTo>
                                  <a:pt x="2032000" y="546100"/>
                                </a:lnTo>
                                <a:lnTo>
                                  <a:pt x="2032000" y="1079500"/>
                                </a:lnTo>
                                <a:lnTo>
                                  <a:pt x="2146300" y="1079500"/>
                                </a:lnTo>
                                <a:lnTo>
                                  <a:pt x="2146300" y="546100"/>
                                </a:lnTo>
                                <a:close/>
                              </a:path>
                              <a:path w="4864100" h="1079500">
                                <a:moveTo>
                                  <a:pt x="2819400" y="609600"/>
                                </a:moveTo>
                                <a:lnTo>
                                  <a:pt x="2705100" y="609600"/>
                                </a:lnTo>
                                <a:lnTo>
                                  <a:pt x="2705100" y="1079500"/>
                                </a:lnTo>
                                <a:lnTo>
                                  <a:pt x="2819400" y="1079500"/>
                                </a:lnTo>
                                <a:lnTo>
                                  <a:pt x="2819400" y="609600"/>
                                </a:lnTo>
                                <a:close/>
                              </a:path>
                              <a:path w="4864100" h="1079500">
                                <a:moveTo>
                                  <a:pt x="3505200" y="482600"/>
                                </a:moveTo>
                                <a:lnTo>
                                  <a:pt x="3378200" y="482600"/>
                                </a:lnTo>
                                <a:lnTo>
                                  <a:pt x="3378200" y="1079500"/>
                                </a:lnTo>
                                <a:lnTo>
                                  <a:pt x="3505200" y="1079500"/>
                                </a:lnTo>
                                <a:lnTo>
                                  <a:pt x="3505200" y="482600"/>
                                </a:lnTo>
                                <a:close/>
                              </a:path>
                              <a:path w="4864100" h="1079500">
                                <a:moveTo>
                                  <a:pt x="4178300" y="660400"/>
                                </a:moveTo>
                                <a:lnTo>
                                  <a:pt x="4064000" y="660400"/>
                                </a:lnTo>
                                <a:lnTo>
                                  <a:pt x="4064000" y="1079500"/>
                                </a:lnTo>
                                <a:lnTo>
                                  <a:pt x="4178300" y="1079500"/>
                                </a:lnTo>
                                <a:lnTo>
                                  <a:pt x="4178300" y="660400"/>
                                </a:lnTo>
                                <a:close/>
                              </a:path>
                              <a:path w="4864100" h="1079500">
                                <a:moveTo>
                                  <a:pt x="4864100" y="1016000"/>
                                </a:moveTo>
                                <a:lnTo>
                                  <a:pt x="4737100" y="1016000"/>
                                </a:lnTo>
                                <a:lnTo>
                                  <a:pt x="4737100" y="1079500"/>
                                </a:lnTo>
                                <a:lnTo>
                                  <a:pt x="4864100" y="1079500"/>
                                </a:lnTo>
                                <a:lnTo>
                                  <a:pt x="4864100" y="1016000"/>
                                </a:lnTo>
                                <a:close/>
                              </a:path>
                            </a:pathLst>
                          </a:custGeom>
                          <a:solidFill>
                            <a:srgbClr val="105C84"/>
                          </a:solidFill>
                        </wps:spPr>
                        <wps:bodyPr wrap="square" lIns="0" tIns="0" rIns="0" bIns="0" rtlCol="0">
                          <a:prstTxWarp prst="textNoShape">
                            <a:avLst/>
                          </a:prstTxWarp>
                          <a:noAutofit/>
                        </wps:bodyPr>
                      </wps:wsp>
                      <wps:wsp>
                        <wps:cNvPr id="384" name="Graphic 384"/>
                        <wps:cNvSpPr/>
                        <wps:spPr>
                          <a:xfrm>
                            <a:off x="5699514" y="1233073"/>
                            <a:ext cx="127000" cy="1435100"/>
                          </a:xfrm>
                          <a:custGeom>
                            <a:avLst/>
                            <a:gdLst/>
                            <a:ahLst/>
                            <a:cxnLst/>
                            <a:rect l="l" t="t" r="r" b="b"/>
                            <a:pathLst>
                              <a:path w="127000" h="1435100">
                                <a:moveTo>
                                  <a:pt x="127000" y="0"/>
                                </a:moveTo>
                                <a:lnTo>
                                  <a:pt x="0" y="0"/>
                                </a:lnTo>
                                <a:lnTo>
                                  <a:pt x="0" y="1435100"/>
                                </a:lnTo>
                                <a:lnTo>
                                  <a:pt x="127000" y="1435100"/>
                                </a:lnTo>
                                <a:lnTo>
                                  <a:pt x="127000" y="0"/>
                                </a:lnTo>
                                <a:close/>
                              </a:path>
                            </a:pathLst>
                          </a:custGeom>
                          <a:solidFill>
                            <a:srgbClr val="636466"/>
                          </a:solidFill>
                        </wps:spPr>
                        <wps:bodyPr wrap="square" lIns="0" tIns="0" rIns="0" bIns="0" rtlCol="0">
                          <a:prstTxWarp prst="textNoShape">
                            <a:avLst/>
                          </a:prstTxWarp>
                          <a:noAutofit/>
                        </wps:bodyPr>
                      </wps:wsp>
                      <wps:wsp>
                        <wps:cNvPr id="385" name="Graphic 385"/>
                        <wps:cNvSpPr/>
                        <wps:spPr>
                          <a:xfrm>
                            <a:off x="276614" y="331373"/>
                            <a:ext cx="4864100" cy="2336800"/>
                          </a:xfrm>
                          <a:custGeom>
                            <a:avLst/>
                            <a:gdLst/>
                            <a:ahLst/>
                            <a:cxnLst/>
                            <a:rect l="l" t="t" r="r" b="b"/>
                            <a:pathLst>
                              <a:path w="4864100" h="2336800">
                                <a:moveTo>
                                  <a:pt x="127000" y="1409700"/>
                                </a:moveTo>
                                <a:lnTo>
                                  <a:pt x="0" y="1409700"/>
                                </a:lnTo>
                                <a:lnTo>
                                  <a:pt x="0" y="2336800"/>
                                </a:lnTo>
                                <a:lnTo>
                                  <a:pt x="127000" y="2336800"/>
                                </a:lnTo>
                                <a:lnTo>
                                  <a:pt x="127000" y="1409700"/>
                                </a:lnTo>
                                <a:close/>
                              </a:path>
                              <a:path w="4864100" h="2336800">
                                <a:moveTo>
                                  <a:pt x="800100" y="1981200"/>
                                </a:moveTo>
                                <a:lnTo>
                                  <a:pt x="685800" y="1981200"/>
                                </a:lnTo>
                                <a:lnTo>
                                  <a:pt x="685800" y="2336800"/>
                                </a:lnTo>
                                <a:lnTo>
                                  <a:pt x="800100" y="2336800"/>
                                </a:lnTo>
                                <a:lnTo>
                                  <a:pt x="800100" y="1981200"/>
                                </a:lnTo>
                                <a:close/>
                              </a:path>
                              <a:path w="4864100" h="2336800">
                                <a:moveTo>
                                  <a:pt x="1473200" y="1346200"/>
                                </a:moveTo>
                                <a:lnTo>
                                  <a:pt x="1358900" y="1346200"/>
                                </a:lnTo>
                                <a:lnTo>
                                  <a:pt x="1358900" y="2336800"/>
                                </a:lnTo>
                                <a:lnTo>
                                  <a:pt x="1473200" y="2336800"/>
                                </a:lnTo>
                                <a:lnTo>
                                  <a:pt x="1473200" y="1346200"/>
                                </a:lnTo>
                                <a:close/>
                              </a:path>
                              <a:path w="4864100" h="2336800">
                                <a:moveTo>
                                  <a:pt x="2832100" y="1320800"/>
                                </a:moveTo>
                                <a:lnTo>
                                  <a:pt x="2717800" y="1320800"/>
                                </a:lnTo>
                                <a:lnTo>
                                  <a:pt x="2717800" y="2336800"/>
                                </a:lnTo>
                                <a:lnTo>
                                  <a:pt x="2832100" y="2336800"/>
                                </a:lnTo>
                                <a:lnTo>
                                  <a:pt x="2832100" y="1320800"/>
                                </a:lnTo>
                                <a:close/>
                              </a:path>
                              <a:path w="4864100" h="2336800">
                                <a:moveTo>
                                  <a:pt x="3517900" y="1955800"/>
                                </a:moveTo>
                                <a:lnTo>
                                  <a:pt x="3390900" y="1955800"/>
                                </a:lnTo>
                                <a:lnTo>
                                  <a:pt x="3390900" y="2336800"/>
                                </a:lnTo>
                                <a:lnTo>
                                  <a:pt x="3517900" y="2336800"/>
                                </a:lnTo>
                                <a:lnTo>
                                  <a:pt x="3517900" y="1955800"/>
                                </a:lnTo>
                                <a:close/>
                              </a:path>
                              <a:path w="4864100" h="2336800">
                                <a:moveTo>
                                  <a:pt x="4191000" y="0"/>
                                </a:moveTo>
                                <a:lnTo>
                                  <a:pt x="4076700" y="0"/>
                                </a:lnTo>
                                <a:lnTo>
                                  <a:pt x="4076700" y="2336800"/>
                                </a:lnTo>
                                <a:lnTo>
                                  <a:pt x="4191000" y="2336800"/>
                                </a:lnTo>
                                <a:lnTo>
                                  <a:pt x="4191000" y="0"/>
                                </a:lnTo>
                                <a:close/>
                              </a:path>
                              <a:path w="4864100" h="2336800">
                                <a:moveTo>
                                  <a:pt x="4864100" y="1879600"/>
                                </a:moveTo>
                                <a:lnTo>
                                  <a:pt x="4749800" y="1879600"/>
                                </a:lnTo>
                                <a:lnTo>
                                  <a:pt x="4749800" y="2336800"/>
                                </a:lnTo>
                                <a:lnTo>
                                  <a:pt x="4864100" y="2336800"/>
                                </a:lnTo>
                                <a:lnTo>
                                  <a:pt x="4864100" y="1879600"/>
                                </a:lnTo>
                                <a:close/>
                              </a:path>
                            </a:pathLst>
                          </a:custGeom>
                          <a:solidFill>
                            <a:srgbClr val="B0D236"/>
                          </a:solidFill>
                        </wps:spPr>
                        <wps:bodyPr wrap="square" lIns="0" tIns="0" rIns="0" bIns="0" rtlCol="0">
                          <a:prstTxWarp prst="textNoShape">
                            <a:avLst/>
                          </a:prstTxWarp>
                          <a:noAutofit/>
                        </wps:bodyPr>
                      </wps:wsp>
                      <wps:wsp>
                        <wps:cNvPr id="386" name="Graphic 386"/>
                        <wps:cNvSpPr/>
                        <wps:spPr>
                          <a:xfrm>
                            <a:off x="5851914" y="1144173"/>
                            <a:ext cx="127000" cy="1524000"/>
                          </a:xfrm>
                          <a:custGeom>
                            <a:avLst/>
                            <a:gdLst/>
                            <a:ahLst/>
                            <a:cxnLst/>
                            <a:rect l="l" t="t" r="r" b="b"/>
                            <a:pathLst>
                              <a:path w="127000" h="1524000">
                                <a:moveTo>
                                  <a:pt x="127000" y="0"/>
                                </a:moveTo>
                                <a:lnTo>
                                  <a:pt x="0" y="0"/>
                                </a:lnTo>
                                <a:lnTo>
                                  <a:pt x="0" y="1524000"/>
                                </a:lnTo>
                                <a:lnTo>
                                  <a:pt x="127000" y="1524000"/>
                                </a:lnTo>
                                <a:lnTo>
                                  <a:pt x="127000" y="0"/>
                                </a:lnTo>
                                <a:close/>
                              </a:path>
                            </a:pathLst>
                          </a:custGeom>
                          <a:solidFill>
                            <a:srgbClr val="414042"/>
                          </a:solidFill>
                        </wps:spPr>
                        <wps:bodyPr wrap="square" lIns="0" tIns="0" rIns="0" bIns="0" rtlCol="0">
                          <a:prstTxWarp prst="textNoShape">
                            <a:avLst/>
                          </a:prstTxWarp>
                          <a:noAutofit/>
                        </wps:bodyPr>
                      </wps:wsp>
                      <wps:wsp>
                        <wps:cNvPr id="387" name="Graphic 387"/>
                        <wps:cNvSpPr/>
                        <wps:spPr>
                          <a:xfrm>
                            <a:off x="429014" y="1563273"/>
                            <a:ext cx="4864100" cy="1104900"/>
                          </a:xfrm>
                          <a:custGeom>
                            <a:avLst/>
                            <a:gdLst/>
                            <a:ahLst/>
                            <a:cxnLst/>
                            <a:rect l="l" t="t" r="r" b="b"/>
                            <a:pathLst>
                              <a:path w="4864100" h="1104900">
                                <a:moveTo>
                                  <a:pt x="114300" y="444500"/>
                                </a:moveTo>
                                <a:lnTo>
                                  <a:pt x="0" y="444500"/>
                                </a:lnTo>
                                <a:lnTo>
                                  <a:pt x="0" y="1104900"/>
                                </a:lnTo>
                                <a:lnTo>
                                  <a:pt x="114300" y="1104900"/>
                                </a:lnTo>
                                <a:lnTo>
                                  <a:pt x="114300" y="444500"/>
                                </a:lnTo>
                                <a:close/>
                              </a:path>
                              <a:path w="4864100" h="1104900">
                                <a:moveTo>
                                  <a:pt x="800100" y="850900"/>
                                </a:moveTo>
                                <a:lnTo>
                                  <a:pt x="685800" y="850900"/>
                                </a:lnTo>
                                <a:lnTo>
                                  <a:pt x="685800" y="1104900"/>
                                </a:lnTo>
                                <a:lnTo>
                                  <a:pt x="800100" y="1104900"/>
                                </a:lnTo>
                                <a:lnTo>
                                  <a:pt x="800100" y="850900"/>
                                </a:lnTo>
                                <a:close/>
                              </a:path>
                              <a:path w="4864100" h="1104900">
                                <a:moveTo>
                                  <a:pt x="1473200" y="139700"/>
                                </a:moveTo>
                                <a:lnTo>
                                  <a:pt x="1358900" y="139700"/>
                                </a:lnTo>
                                <a:lnTo>
                                  <a:pt x="1358900" y="1104900"/>
                                </a:lnTo>
                                <a:lnTo>
                                  <a:pt x="1473200" y="1104900"/>
                                </a:lnTo>
                                <a:lnTo>
                                  <a:pt x="1473200" y="139700"/>
                                </a:lnTo>
                                <a:close/>
                              </a:path>
                              <a:path w="4864100" h="1104900">
                                <a:moveTo>
                                  <a:pt x="2832100" y="635000"/>
                                </a:moveTo>
                                <a:lnTo>
                                  <a:pt x="2717800" y="635000"/>
                                </a:lnTo>
                                <a:lnTo>
                                  <a:pt x="2717800" y="1104900"/>
                                </a:lnTo>
                                <a:lnTo>
                                  <a:pt x="2832100" y="1104900"/>
                                </a:lnTo>
                                <a:lnTo>
                                  <a:pt x="2832100" y="635000"/>
                                </a:lnTo>
                                <a:close/>
                              </a:path>
                              <a:path w="4864100" h="1104900">
                                <a:moveTo>
                                  <a:pt x="3505200" y="685800"/>
                                </a:moveTo>
                                <a:lnTo>
                                  <a:pt x="3390900" y="685800"/>
                                </a:lnTo>
                                <a:lnTo>
                                  <a:pt x="3390900" y="1104900"/>
                                </a:lnTo>
                                <a:lnTo>
                                  <a:pt x="3505200" y="1104900"/>
                                </a:lnTo>
                                <a:lnTo>
                                  <a:pt x="3505200" y="685800"/>
                                </a:lnTo>
                                <a:close/>
                              </a:path>
                              <a:path w="4864100" h="1104900">
                                <a:moveTo>
                                  <a:pt x="4191000" y="0"/>
                                </a:moveTo>
                                <a:lnTo>
                                  <a:pt x="4076700" y="0"/>
                                </a:lnTo>
                                <a:lnTo>
                                  <a:pt x="4076700" y="1104900"/>
                                </a:lnTo>
                                <a:lnTo>
                                  <a:pt x="4191000" y="1104900"/>
                                </a:lnTo>
                                <a:lnTo>
                                  <a:pt x="4191000" y="0"/>
                                </a:lnTo>
                                <a:close/>
                              </a:path>
                              <a:path w="4864100" h="1104900">
                                <a:moveTo>
                                  <a:pt x="4864100" y="774700"/>
                                </a:moveTo>
                                <a:lnTo>
                                  <a:pt x="4749800" y="774700"/>
                                </a:lnTo>
                                <a:lnTo>
                                  <a:pt x="4749800" y="1104900"/>
                                </a:lnTo>
                                <a:lnTo>
                                  <a:pt x="4864100" y="1104900"/>
                                </a:lnTo>
                                <a:lnTo>
                                  <a:pt x="4864100" y="774700"/>
                                </a:lnTo>
                                <a:close/>
                              </a:path>
                            </a:pathLst>
                          </a:custGeom>
                          <a:solidFill>
                            <a:srgbClr val="00A79E"/>
                          </a:solidFill>
                        </wps:spPr>
                        <wps:bodyPr wrap="square" lIns="0" tIns="0" rIns="0" bIns="0" rtlCol="0">
                          <a:prstTxWarp prst="textNoShape">
                            <a:avLst/>
                          </a:prstTxWarp>
                          <a:noAutofit/>
                        </wps:bodyPr>
                      </wps:wsp>
                      <wps:wsp>
                        <wps:cNvPr id="388" name="Graphic 388"/>
                        <wps:cNvSpPr/>
                        <wps:spPr>
                          <a:xfrm>
                            <a:off x="3568" y="31101"/>
                            <a:ext cx="6096000" cy="2635885"/>
                          </a:xfrm>
                          <a:custGeom>
                            <a:avLst/>
                            <a:gdLst/>
                            <a:ahLst/>
                            <a:cxnLst/>
                            <a:rect l="l" t="t" r="r" b="b"/>
                            <a:pathLst>
                              <a:path w="6096000" h="2635885">
                                <a:moveTo>
                                  <a:pt x="6096000" y="2635694"/>
                                </a:moveTo>
                                <a:lnTo>
                                  <a:pt x="0" y="2635694"/>
                                </a:lnTo>
                                <a:lnTo>
                                  <a:pt x="0" y="0"/>
                                </a:lnTo>
                              </a:path>
                            </a:pathLst>
                          </a:custGeom>
                          <a:ln w="7137">
                            <a:solidFill>
                              <a:srgbClr val="939598"/>
                            </a:solidFill>
                            <a:prstDash val="solid"/>
                          </a:ln>
                        </wps:spPr>
                        <wps:bodyPr wrap="square" lIns="0" tIns="0" rIns="0" bIns="0" rtlCol="0">
                          <a:prstTxWarp prst="textNoShape">
                            <a:avLst/>
                          </a:prstTxWarp>
                          <a:noAutofit/>
                        </wps:bodyPr>
                      </wps:wsp>
                      <wps:wsp>
                        <wps:cNvPr id="389" name="Graphic 389"/>
                        <wps:cNvSpPr/>
                        <wps:spPr>
                          <a:xfrm>
                            <a:off x="296782" y="33812"/>
                            <a:ext cx="67945" cy="67945"/>
                          </a:xfrm>
                          <a:custGeom>
                            <a:avLst/>
                            <a:gdLst/>
                            <a:ahLst/>
                            <a:cxnLst/>
                            <a:rect l="l" t="t" r="r" b="b"/>
                            <a:pathLst>
                              <a:path w="67945" h="67945">
                                <a:moveTo>
                                  <a:pt x="67805" y="0"/>
                                </a:moveTo>
                                <a:lnTo>
                                  <a:pt x="0" y="0"/>
                                </a:lnTo>
                                <a:lnTo>
                                  <a:pt x="0" y="67792"/>
                                </a:lnTo>
                                <a:lnTo>
                                  <a:pt x="67805" y="67792"/>
                                </a:lnTo>
                                <a:lnTo>
                                  <a:pt x="67805" y="0"/>
                                </a:lnTo>
                                <a:close/>
                              </a:path>
                            </a:pathLst>
                          </a:custGeom>
                          <a:solidFill>
                            <a:srgbClr val="0F5D86"/>
                          </a:solidFill>
                        </wps:spPr>
                        <wps:bodyPr wrap="square" lIns="0" tIns="0" rIns="0" bIns="0" rtlCol="0">
                          <a:prstTxWarp prst="textNoShape">
                            <a:avLst/>
                          </a:prstTxWarp>
                          <a:noAutofit/>
                        </wps:bodyPr>
                      </wps:wsp>
                      <wps:wsp>
                        <wps:cNvPr id="390" name="Graphic 390"/>
                        <wps:cNvSpPr/>
                        <wps:spPr>
                          <a:xfrm>
                            <a:off x="790190" y="33812"/>
                            <a:ext cx="67945" cy="67945"/>
                          </a:xfrm>
                          <a:custGeom>
                            <a:avLst/>
                            <a:gdLst/>
                            <a:ahLst/>
                            <a:cxnLst/>
                            <a:rect l="l" t="t" r="r" b="b"/>
                            <a:pathLst>
                              <a:path w="67945" h="67945">
                                <a:moveTo>
                                  <a:pt x="67805" y="0"/>
                                </a:moveTo>
                                <a:lnTo>
                                  <a:pt x="0" y="0"/>
                                </a:lnTo>
                                <a:lnTo>
                                  <a:pt x="0" y="67792"/>
                                </a:lnTo>
                                <a:lnTo>
                                  <a:pt x="67805" y="67792"/>
                                </a:lnTo>
                                <a:lnTo>
                                  <a:pt x="67805" y="0"/>
                                </a:lnTo>
                                <a:close/>
                              </a:path>
                            </a:pathLst>
                          </a:custGeom>
                          <a:solidFill>
                            <a:srgbClr val="B0D236"/>
                          </a:solidFill>
                        </wps:spPr>
                        <wps:bodyPr wrap="square" lIns="0" tIns="0" rIns="0" bIns="0" rtlCol="0">
                          <a:prstTxWarp prst="textNoShape">
                            <a:avLst/>
                          </a:prstTxWarp>
                          <a:noAutofit/>
                        </wps:bodyPr>
                      </wps:wsp>
                      <wps:wsp>
                        <wps:cNvPr id="391" name="Graphic 391"/>
                        <wps:cNvSpPr/>
                        <wps:spPr>
                          <a:xfrm>
                            <a:off x="1288322" y="33812"/>
                            <a:ext cx="67945" cy="67945"/>
                          </a:xfrm>
                          <a:custGeom>
                            <a:avLst/>
                            <a:gdLst/>
                            <a:ahLst/>
                            <a:cxnLst/>
                            <a:rect l="l" t="t" r="r" b="b"/>
                            <a:pathLst>
                              <a:path w="67945" h="67945">
                                <a:moveTo>
                                  <a:pt x="67805" y="0"/>
                                </a:moveTo>
                                <a:lnTo>
                                  <a:pt x="0" y="0"/>
                                </a:lnTo>
                                <a:lnTo>
                                  <a:pt x="0" y="67792"/>
                                </a:lnTo>
                                <a:lnTo>
                                  <a:pt x="67805" y="67792"/>
                                </a:lnTo>
                                <a:lnTo>
                                  <a:pt x="67805" y="0"/>
                                </a:lnTo>
                                <a:close/>
                              </a:path>
                            </a:pathLst>
                          </a:custGeom>
                          <a:solidFill>
                            <a:srgbClr val="00A79D"/>
                          </a:solidFill>
                        </wps:spPr>
                        <wps:bodyPr wrap="square" lIns="0" tIns="0" rIns="0" bIns="0" rtlCol="0">
                          <a:prstTxWarp prst="textNoShape">
                            <a:avLst/>
                          </a:prstTxWarp>
                          <a:noAutofit/>
                        </wps:bodyPr>
                      </wps:wsp>
                      <wps:wsp>
                        <wps:cNvPr id="392" name="Textbox 392"/>
                        <wps:cNvSpPr txBox="1"/>
                        <wps:spPr>
                          <a:xfrm>
                            <a:off x="386100" y="0"/>
                            <a:ext cx="224154" cy="139065"/>
                          </a:xfrm>
                          <a:prstGeom prst="rect">
                            <a:avLst/>
                          </a:prstGeom>
                        </wps:spPr>
                        <wps:txbx>
                          <w:txbxContent>
                            <w:p>
                              <w:pPr>
                                <w:spacing w:before="10"/>
                                <w:ind w:left="0" w:right="0" w:firstLine="0"/>
                                <w:jc w:val="left"/>
                                <w:rPr>
                                  <w:sz w:val="16"/>
                                </w:rPr>
                              </w:pPr>
                              <w:r>
                                <w:rPr>
                                  <w:color w:val="105C84"/>
                                  <w:spacing w:val="-5"/>
                                  <w:sz w:val="16"/>
                                </w:rPr>
                                <w:t>2015</w:t>
                              </w:r>
                            </w:p>
                          </w:txbxContent>
                        </wps:txbx>
                        <wps:bodyPr wrap="square" lIns="0" tIns="0" rIns="0" bIns="0" rtlCol="0">
                          <a:noAutofit/>
                        </wps:bodyPr>
                      </wps:wsp>
                      <wps:wsp>
                        <wps:cNvPr id="393" name="Textbox 393"/>
                        <wps:cNvSpPr txBox="1"/>
                        <wps:spPr>
                          <a:xfrm>
                            <a:off x="886324" y="0"/>
                            <a:ext cx="224154" cy="139065"/>
                          </a:xfrm>
                          <a:prstGeom prst="rect">
                            <a:avLst/>
                          </a:prstGeom>
                        </wps:spPr>
                        <wps:txbx>
                          <w:txbxContent>
                            <w:p>
                              <w:pPr>
                                <w:spacing w:before="10"/>
                                <w:ind w:left="0" w:right="0" w:firstLine="0"/>
                                <w:jc w:val="left"/>
                                <w:rPr>
                                  <w:sz w:val="16"/>
                                </w:rPr>
                              </w:pPr>
                              <w:r>
                                <w:rPr>
                                  <w:color w:val="105C84"/>
                                  <w:spacing w:val="-5"/>
                                  <w:sz w:val="16"/>
                                </w:rPr>
                                <w:t>2016</w:t>
                              </w:r>
                            </w:p>
                          </w:txbxContent>
                        </wps:txbx>
                        <wps:bodyPr wrap="square" lIns="0" tIns="0" rIns="0" bIns="0" rtlCol="0">
                          <a:noAutofit/>
                        </wps:bodyPr>
                      </wps:wsp>
                      <wps:wsp>
                        <wps:cNvPr id="394" name="Textbox 394"/>
                        <wps:cNvSpPr txBox="1"/>
                        <wps:spPr>
                          <a:xfrm>
                            <a:off x="1386540" y="0"/>
                            <a:ext cx="224154" cy="139065"/>
                          </a:xfrm>
                          <a:prstGeom prst="rect">
                            <a:avLst/>
                          </a:prstGeom>
                        </wps:spPr>
                        <wps:txbx>
                          <w:txbxContent>
                            <w:p>
                              <w:pPr>
                                <w:spacing w:before="10"/>
                                <w:ind w:left="0" w:right="0" w:firstLine="0"/>
                                <w:jc w:val="left"/>
                                <w:rPr>
                                  <w:sz w:val="16"/>
                                </w:rPr>
                              </w:pPr>
                              <w:r>
                                <w:rPr>
                                  <w:color w:val="105C84"/>
                                  <w:spacing w:val="-5"/>
                                  <w:sz w:val="16"/>
                                </w:rPr>
                                <w:t>2017</w:t>
                              </w:r>
                            </w:p>
                          </w:txbxContent>
                        </wps:txbx>
                        <wps:bodyPr wrap="square" lIns="0" tIns="0" rIns="0" bIns="0" rtlCol="0">
                          <a:noAutofit/>
                        </wps:bodyPr>
                      </wps:wsp>
                    </wpg:wgp>
                  </a:graphicData>
                </a:graphic>
              </wp:anchor>
            </w:drawing>
          </mc:Choice>
          <mc:Fallback>
            <w:pict>
              <v:group style="position:absolute;margin-left:93.630302pt;margin-top:-1.607656pt;width:480.6pt;height:210.3pt;mso-position-horizontal-relative:page;mso-position-vertical-relative:paragraph;z-index:15769600" id="docshapegroup332" coordorigin="1873,-32" coordsize="9612,4206">
                <v:rect style="position:absolute;left:10628;top:2209;width:180;height:1960" id="docshape333" filled="true" fillcolor="#bcbec0" stroked="false">
                  <v:fill type="solid"/>
                </v:rect>
                <v:shape style="position:absolute;left:2088;top:2469;width:7660;height:1700" id="docshape334" coordorigin="2088,2470" coordsize="7660,1700" path="m2268,2470l2088,2470,2088,4170,2268,4170,2268,2470xm3328,3850l3148,3850,3148,4170,3328,4170,3328,3850xm4408,3170l4208,3170,4208,4170,4408,4170,4408,3170xm5468,3330l5288,3330,5288,4170,5468,4170,5468,3330xm6528,3430l6348,3430,6348,4170,6528,4170,6528,3430xm7608,3230l7408,3230,7408,4170,7608,4170,7608,3230xm8668,3510l8488,3510,8488,4170,8668,4170,8668,3510xm9748,4070l9548,4070,9548,4170,9748,4170,9748,4070xe" filled="true" fillcolor="#105c84" stroked="false">
                  <v:path arrowok="t"/>
                  <v:fill type="solid"/>
                </v:shape>
                <v:rect style="position:absolute;left:10848;top:1909;width:200;height:2260" id="docshape335" filled="true" fillcolor="#636466" stroked="false">
                  <v:fill type="solid"/>
                </v:rect>
                <v:shape style="position:absolute;left:2308;top:489;width:7660;height:3680" id="docshape336" coordorigin="2308,490" coordsize="7660,3680" path="m2508,2710l2308,2710,2308,4170,2508,4170,2508,2710xm3568,3610l3388,3610,3388,4170,3568,4170,3568,3610xm4628,2610l4448,2610,4448,4170,4628,4170,4628,2610xm6768,2570l6588,2570,6588,4170,6768,4170,6768,2570xm7848,3570l7648,3570,7648,4170,7848,4170,7848,3570xm8908,490l8728,490,8728,4170,8908,4170,8908,490xm9968,3450l9788,3450,9788,4170,9968,4170,9968,3450xe" filled="true" fillcolor="#b0d236" stroked="false">
                  <v:path arrowok="t"/>
                  <v:fill type="solid"/>
                </v:shape>
                <v:rect style="position:absolute;left:11088;top:1769;width:200;height:2400" id="docshape337" filled="true" fillcolor="#414042" stroked="false">
                  <v:fill type="solid"/>
                </v:rect>
                <v:shape style="position:absolute;left:2548;top:2429;width:7660;height:1740" id="docshape338" coordorigin="2548,2430" coordsize="7660,1740" path="m2728,3130l2548,3130,2548,4170,2728,4170,2728,3130xm3808,3770l3628,3770,3628,4170,3808,4170,3808,3770xm4868,2650l4688,2650,4688,4170,4868,4170,4868,2650xm7008,3430l6828,3430,6828,4170,7008,4170,7008,3430xm8068,3510l7888,3510,7888,4170,8068,4170,8068,3510xm9148,2430l8968,2430,8968,4170,9148,4170,9148,2430xm10208,3650l10028,3650,10028,4170,10208,4170,10208,3650xe" filled="true" fillcolor="#00a79e" stroked="false">
                  <v:path arrowok="t"/>
                  <v:fill type="solid"/>
                </v:shape>
                <v:shape style="position:absolute;left:1878;top:16;width:9600;height:4151" id="docshape339" coordorigin="1878,17" coordsize="9600,4151" path="m11478,4168l1878,4168,1878,17e" filled="false" stroked="true" strokeweight=".562pt" strokecolor="#939598">
                  <v:path arrowok="t"/>
                  <v:stroke dashstyle="solid"/>
                </v:shape>
                <v:rect style="position:absolute;left:2339;top:21;width:107;height:107" id="docshape340" filled="true" fillcolor="#0f5d86" stroked="false">
                  <v:fill type="solid"/>
                </v:rect>
                <v:rect style="position:absolute;left:3117;top:21;width:107;height:107" id="docshape341" filled="true" fillcolor="#b0d236" stroked="false">
                  <v:fill type="solid"/>
                </v:rect>
                <v:rect style="position:absolute;left:3901;top:21;width:107;height:107" id="docshape342" filled="true" fillcolor="#00a79d" stroked="false">
                  <v:fill type="solid"/>
                </v:rect>
                <v:shape style="position:absolute;left:2480;top:-33;width:353;height:219" type="#_x0000_t202" id="docshape343" filled="false" stroked="false">
                  <v:textbox inset="0,0,0,0">
                    <w:txbxContent>
                      <w:p>
                        <w:pPr>
                          <w:spacing w:before="10"/>
                          <w:ind w:left="0" w:right="0" w:firstLine="0"/>
                          <w:jc w:val="left"/>
                          <w:rPr>
                            <w:sz w:val="16"/>
                          </w:rPr>
                        </w:pPr>
                        <w:r>
                          <w:rPr>
                            <w:color w:val="105C84"/>
                            <w:spacing w:val="-5"/>
                            <w:sz w:val="16"/>
                          </w:rPr>
                          <w:t>2015</w:t>
                        </w:r>
                      </w:p>
                    </w:txbxContent>
                  </v:textbox>
                  <w10:wrap type="none"/>
                </v:shape>
                <v:shape style="position:absolute;left:3268;top:-33;width:353;height:219" type="#_x0000_t202" id="docshape344" filled="false" stroked="false">
                  <v:textbox inset="0,0,0,0">
                    <w:txbxContent>
                      <w:p>
                        <w:pPr>
                          <w:spacing w:before="10"/>
                          <w:ind w:left="0" w:right="0" w:firstLine="0"/>
                          <w:jc w:val="left"/>
                          <w:rPr>
                            <w:sz w:val="16"/>
                          </w:rPr>
                        </w:pPr>
                        <w:r>
                          <w:rPr>
                            <w:color w:val="105C84"/>
                            <w:spacing w:val="-5"/>
                            <w:sz w:val="16"/>
                          </w:rPr>
                          <w:t>2016</w:t>
                        </w:r>
                      </w:p>
                    </w:txbxContent>
                  </v:textbox>
                  <w10:wrap type="none"/>
                </v:shape>
                <v:shape style="position:absolute;left:4056;top:-33;width:353;height:219" type="#_x0000_t202" id="docshape345" filled="false" stroked="false">
                  <v:textbox inset="0,0,0,0">
                    <w:txbxContent>
                      <w:p>
                        <w:pPr>
                          <w:spacing w:before="10"/>
                          <w:ind w:left="0" w:right="0" w:firstLine="0"/>
                          <w:jc w:val="left"/>
                          <w:rPr>
                            <w:sz w:val="16"/>
                          </w:rPr>
                        </w:pPr>
                        <w:r>
                          <w:rPr>
                            <w:color w:val="105C84"/>
                            <w:spacing w:val="-5"/>
                            <w:sz w:val="16"/>
                          </w:rPr>
                          <w:t>2017</w:t>
                        </w:r>
                      </w:p>
                    </w:txbxContent>
                  </v:textbox>
                  <w10:wrap type="none"/>
                </v:shape>
                <w10:wrap type="none"/>
              </v:group>
            </w:pict>
          </mc:Fallback>
        </mc:AlternateContent>
      </w:r>
      <w:r>
        <w:rPr>
          <w:color w:val="636466"/>
          <w:spacing w:val="-5"/>
          <w:sz w:val="18"/>
        </w:rPr>
        <w:t>160</w:t>
      </w:r>
    </w:p>
    <w:p>
      <w:pPr>
        <w:pStyle w:val="BodyText"/>
        <w:spacing w:before="86"/>
        <w:rPr>
          <w:sz w:val="18"/>
        </w:rPr>
      </w:pPr>
    </w:p>
    <w:p>
      <w:pPr>
        <w:spacing w:before="0"/>
        <w:ind w:left="1421" w:right="0" w:firstLine="0"/>
        <w:jc w:val="left"/>
        <w:rPr>
          <w:sz w:val="18"/>
        </w:rPr>
      </w:pPr>
      <w:r>
        <w:rPr>
          <w:sz w:val="18"/>
        </w:rPr>
        <mc:AlternateContent>
          <mc:Choice Requires="wps">
            <w:drawing>
              <wp:anchor distT="0" distB="0" distL="0" distR="0" allowOverlap="1" layoutInCell="1" locked="0" behindDoc="0" simplePos="0" relativeHeight="15770624">
                <wp:simplePos x="0" y="0"/>
                <wp:positionH relativeFrom="page">
                  <wp:posOffset>684673</wp:posOffset>
                </wp:positionH>
                <wp:positionV relativeFrom="paragraph">
                  <wp:posOffset>231200</wp:posOffset>
                </wp:positionV>
                <wp:extent cx="164465" cy="1297305"/>
                <wp:effectExtent l="0" t="0" r="0" b="0"/>
                <wp:wrapNone/>
                <wp:docPr id="395" name="Textbox 395"/>
                <wp:cNvGraphicFramePr>
                  <a:graphicFrameLocks/>
                </wp:cNvGraphicFramePr>
                <a:graphic>
                  <a:graphicData uri="http://schemas.microsoft.com/office/word/2010/wordprocessingShape">
                    <wps:wsp>
                      <wps:cNvPr id="395" name="Textbox 395"/>
                      <wps:cNvSpPr txBox="1"/>
                      <wps:spPr>
                        <a:xfrm>
                          <a:off x="0" y="0"/>
                          <a:ext cx="164465" cy="1297305"/>
                        </a:xfrm>
                        <a:prstGeom prst="rect">
                          <a:avLst/>
                        </a:prstGeom>
                      </wps:spPr>
                      <wps:txbx>
                        <w:txbxContent>
                          <w:p>
                            <w:pPr>
                              <w:spacing w:before="30"/>
                              <w:ind w:left="20" w:right="0" w:firstLine="0"/>
                              <w:jc w:val="left"/>
                              <w:rPr>
                                <w:sz w:val="16"/>
                              </w:rPr>
                            </w:pPr>
                            <w:r>
                              <w:rPr>
                                <w:color w:val="105C84"/>
                                <w:spacing w:val="-4"/>
                                <w:sz w:val="16"/>
                              </w:rPr>
                              <w:t>Rate</w:t>
                            </w:r>
                            <w:r>
                              <w:rPr>
                                <w:color w:val="105C84"/>
                                <w:spacing w:val="-3"/>
                                <w:sz w:val="16"/>
                              </w:rPr>
                              <w:t> </w:t>
                            </w:r>
                            <w:r>
                              <w:rPr>
                                <w:color w:val="105C84"/>
                                <w:spacing w:val="-4"/>
                                <w:sz w:val="16"/>
                              </w:rPr>
                              <w:t>per</w:t>
                            </w:r>
                            <w:r>
                              <w:rPr>
                                <w:color w:val="105C84"/>
                                <w:spacing w:val="-2"/>
                                <w:sz w:val="16"/>
                              </w:rPr>
                              <w:t> </w:t>
                            </w:r>
                            <w:r>
                              <w:rPr>
                                <w:color w:val="105C84"/>
                                <w:spacing w:val="-4"/>
                                <w:sz w:val="16"/>
                              </w:rPr>
                              <w:t>100,000</w:t>
                            </w:r>
                            <w:r>
                              <w:rPr>
                                <w:color w:val="105C84"/>
                                <w:spacing w:val="-2"/>
                                <w:sz w:val="16"/>
                              </w:rPr>
                              <w:t> </w:t>
                            </w:r>
                            <w:r>
                              <w:rPr>
                                <w:color w:val="105C84"/>
                                <w:spacing w:val="-4"/>
                                <w:sz w:val="16"/>
                              </w:rPr>
                              <w:t>population</w:t>
                            </w:r>
                          </w:p>
                        </w:txbxContent>
                      </wps:txbx>
                      <wps:bodyPr wrap="square" lIns="0" tIns="0" rIns="0" bIns="0" rtlCol="0" vert="vert270">
                        <a:noAutofit/>
                      </wps:bodyPr>
                    </wps:wsp>
                  </a:graphicData>
                </a:graphic>
              </wp:anchor>
            </w:drawing>
          </mc:Choice>
          <mc:Fallback>
            <w:pict>
              <v:shape style="position:absolute;margin-left:53.911301pt;margin-top:18.204798pt;width:12.95pt;height:102.15pt;mso-position-horizontal-relative:page;mso-position-vertical-relative:paragraph;z-index:15770624" type="#_x0000_t202" id="docshape346" filled="false" stroked="false">
                <v:textbox inset="0,0,0,0" style="layout-flow:vertical;mso-layout-flow-alt:bottom-to-top">
                  <w:txbxContent>
                    <w:p>
                      <w:pPr>
                        <w:spacing w:before="30"/>
                        <w:ind w:left="20" w:right="0" w:firstLine="0"/>
                        <w:jc w:val="left"/>
                        <w:rPr>
                          <w:sz w:val="16"/>
                        </w:rPr>
                      </w:pPr>
                      <w:r>
                        <w:rPr>
                          <w:color w:val="105C84"/>
                          <w:spacing w:val="-4"/>
                          <w:sz w:val="16"/>
                        </w:rPr>
                        <w:t>Rate</w:t>
                      </w:r>
                      <w:r>
                        <w:rPr>
                          <w:color w:val="105C84"/>
                          <w:spacing w:val="-3"/>
                          <w:sz w:val="16"/>
                        </w:rPr>
                        <w:t> </w:t>
                      </w:r>
                      <w:r>
                        <w:rPr>
                          <w:color w:val="105C84"/>
                          <w:spacing w:val="-4"/>
                          <w:sz w:val="16"/>
                        </w:rPr>
                        <w:t>per</w:t>
                      </w:r>
                      <w:r>
                        <w:rPr>
                          <w:color w:val="105C84"/>
                          <w:spacing w:val="-2"/>
                          <w:sz w:val="16"/>
                        </w:rPr>
                        <w:t> </w:t>
                      </w:r>
                      <w:r>
                        <w:rPr>
                          <w:color w:val="105C84"/>
                          <w:spacing w:val="-4"/>
                          <w:sz w:val="16"/>
                        </w:rPr>
                        <w:t>100,000</w:t>
                      </w:r>
                      <w:r>
                        <w:rPr>
                          <w:color w:val="105C84"/>
                          <w:spacing w:val="-2"/>
                          <w:sz w:val="16"/>
                        </w:rPr>
                        <w:t> </w:t>
                      </w:r>
                      <w:r>
                        <w:rPr>
                          <w:color w:val="105C84"/>
                          <w:spacing w:val="-4"/>
                          <w:sz w:val="16"/>
                        </w:rPr>
                        <w:t>population</w:t>
                      </w:r>
                    </w:p>
                  </w:txbxContent>
                </v:textbox>
                <w10:wrap type="none"/>
              </v:shape>
            </w:pict>
          </mc:Fallback>
        </mc:AlternateContent>
      </w:r>
      <w:r>
        <w:rPr>
          <w:color w:val="636466"/>
          <w:spacing w:val="-5"/>
          <w:sz w:val="18"/>
        </w:rPr>
        <w:t>140</w:t>
      </w:r>
    </w:p>
    <w:p>
      <w:pPr>
        <w:pStyle w:val="BodyText"/>
        <w:spacing w:before="106"/>
        <w:rPr>
          <w:sz w:val="18"/>
        </w:rPr>
      </w:pPr>
    </w:p>
    <w:p>
      <w:pPr>
        <w:spacing w:before="0"/>
        <w:ind w:left="1421" w:right="0" w:firstLine="0"/>
        <w:jc w:val="left"/>
        <w:rPr>
          <w:sz w:val="18"/>
        </w:rPr>
      </w:pPr>
      <w:r>
        <w:rPr>
          <w:color w:val="636466"/>
          <w:spacing w:val="-5"/>
          <w:sz w:val="18"/>
        </w:rPr>
        <w:t>120</w:t>
      </w:r>
    </w:p>
    <w:p>
      <w:pPr>
        <w:pStyle w:val="Heading6"/>
        <w:spacing w:before="116"/>
      </w:pPr>
      <w:r>
        <w:rPr>
          <w:b w:val="0"/>
        </w:rPr>
        <w:br w:type="column"/>
      </w:r>
      <w:r>
        <w:rPr>
          <w:color w:val="105C84"/>
          <w:spacing w:val="-4"/>
        </w:rPr>
        <w:t>FIGURE</w:t>
      </w:r>
      <w:r>
        <w:rPr>
          <w:color w:val="105C84"/>
          <w:spacing w:val="-10"/>
        </w:rPr>
        <w:t> </w:t>
      </w:r>
      <w:r>
        <w:rPr>
          <w:color w:val="105C84"/>
          <w:spacing w:val="-4"/>
        </w:rPr>
        <w:t>15:</w:t>
      </w:r>
      <w:r>
        <w:rPr>
          <w:color w:val="105C84"/>
          <w:spacing w:val="-9"/>
        </w:rPr>
        <w:t> </w:t>
      </w:r>
      <w:r>
        <w:rPr>
          <w:color w:val="105C84"/>
          <w:spacing w:val="-4"/>
        </w:rPr>
        <w:t>Rate</w:t>
      </w:r>
      <w:r>
        <w:rPr>
          <w:color w:val="105C84"/>
          <w:spacing w:val="-9"/>
        </w:rPr>
        <w:t> </w:t>
      </w:r>
      <w:r>
        <w:rPr>
          <w:color w:val="105C84"/>
          <w:spacing w:val="-4"/>
        </w:rPr>
        <w:t>of</w:t>
      </w:r>
      <w:r>
        <w:rPr>
          <w:color w:val="105C84"/>
          <w:spacing w:val="-9"/>
        </w:rPr>
        <w:t> </w:t>
      </w:r>
      <w:r>
        <w:rPr>
          <w:color w:val="105C84"/>
          <w:spacing w:val="-4"/>
        </w:rPr>
        <w:t>vaccine</w:t>
      </w:r>
      <w:r>
        <w:rPr>
          <w:color w:val="105C84"/>
          <w:spacing w:val="-9"/>
        </w:rPr>
        <w:t> </w:t>
      </w:r>
      <w:r>
        <w:rPr>
          <w:color w:val="105C84"/>
          <w:spacing w:val="-4"/>
        </w:rPr>
        <w:t>preventable</w:t>
      </w:r>
    </w:p>
    <w:p>
      <w:pPr>
        <w:pStyle w:val="BodyText"/>
        <w:rPr>
          <w:b/>
          <w:sz w:val="26"/>
        </w:rPr>
      </w:pPr>
    </w:p>
    <w:p>
      <w:pPr>
        <w:pStyle w:val="BodyText"/>
        <w:spacing w:before="98"/>
        <w:rPr>
          <w:b/>
          <w:sz w:val="26"/>
        </w:rPr>
      </w:pPr>
    </w:p>
    <w:p>
      <w:pPr>
        <w:spacing w:before="0"/>
        <w:ind w:left="1491" w:right="0" w:firstLine="0"/>
        <w:jc w:val="left"/>
        <w:rPr>
          <w:sz w:val="18"/>
        </w:rPr>
      </w:pPr>
      <w:r>
        <w:rPr>
          <w:sz w:val="18"/>
        </w:rPr>
        <mc:AlternateContent>
          <mc:Choice Requires="wps">
            <w:drawing>
              <wp:anchor distT="0" distB="0" distL="0" distR="0" allowOverlap="1" layoutInCell="1" locked="0" behindDoc="0" simplePos="0" relativeHeight="15770112">
                <wp:simplePos x="0" y="0"/>
                <wp:positionH relativeFrom="page">
                  <wp:posOffset>8965175</wp:posOffset>
                </wp:positionH>
                <wp:positionV relativeFrom="paragraph">
                  <wp:posOffset>16936</wp:posOffset>
                </wp:positionV>
                <wp:extent cx="5963920" cy="2487930"/>
                <wp:effectExtent l="0" t="0" r="0" b="0"/>
                <wp:wrapNone/>
                <wp:docPr id="396" name="Group 396"/>
                <wp:cNvGraphicFramePr>
                  <a:graphicFrameLocks/>
                </wp:cNvGraphicFramePr>
                <a:graphic>
                  <a:graphicData uri="http://schemas.microsoft.com/office/word/2010/wordprocessingGroup">
                    <wpg:wgp>
                      <wpg:cNvPr id="396" name="Group 396"/>
                      <wpg:cNvGrpSpPr/>
                      <wpg:grpSpPr>
                        <a:xfrm>
                          <a:off x="0" y="0"/>
                          <a:ext cx="5963920" cy="2487930"/>
                          <a:chExt cx="5963920" cy="2487930"/>
                        </a:xfrm>
                      </wpg:grpSpPr>
                      <wps:wsp>
                        <wps:cNvPr id="397" name="Graphic 397"/>
                        <wps:cNvSpPr/>
                        <wps:spPr>
                          <a:xfrm>
                            <a:off x="481300" y="45849"/>
                            <a:ext cx="70485" cy="70485"/>
                          </a:xfrm>
                          <a:custGeom>
                            <a:avLst/>
                            <a:gdLst/>
                            <a:ahLst/>
                            <a:cxnLst/>
                            <a:rect l="l" t="t" r="r" b="b"/>
                            <a:pathLst>
                              <a:path w="70485" h="70485">
                                <a:moveTo>
                                  <a:pt x="69951" y="0"/>
                                </a:moveTo>
                                <a:lnTo>
                                  <a:pt x="0" y="0"/>
                                </a:lnTo>
                                <a:lnTo>
                                  <a:pt x="0" y="69938"/>
                                </a:lnTo>
                                <a:lnTo>
                                  <a:pt x="69951" y="69938"/>
                                </a:lnTo>
                                <a:lnTo>
                                  <a:pt x="69951" y="0"/>
                                </a:lnTo>
                                <a:close/>
                              </a:path>
                            </a:pathLst>
                          </a:custGeom>
                          <a:solidFill>
                            <a:srgbClr val="105C84"/>
                          </a:solidFill>
                        </wps:spPr>
                        <wps:bodyPr wrap="square" lIns="0" tIns="0" rIns="0" bIns="0" rtlCol="0">
                          <a:prstTxWarp prst="textNoShape">
                            <a:avLst/>
                          </a:prstTxWarp>
                          <a:noAutofit/>
                        </wps:bodyPr>
                      </wps:wsp>
                      <wps:wsp>
                        <wps:cNvPr id="398" name="Graphic 398"/>
                        <wps:cNvSpPr/>
                        <wps:spPr>
                          <a:xfrm>
                            <a:off x="1001454" y="45849"/>
                            <a:ext cx="70485" cy="70485"/>
                          </a:xfrm>
                          <a:custGeom>
                            <a:avLst/>
                            <a:gdLst/>
                            <a:ahLst/>
                            <a:cxnLst/>
                            <a:rect l="l" t="t" r="r" b="b"/>
                            <a:pathLst>
                              <a:path w="70485" h="70485">
                                <a:moveTo>
                                  <a:pt x="69951" y="0"/>
                                </a:moveTo>
                                <a:lnTo>
                                  <a:pt x="0" y="0"/>
                                </a:lnTo>
                                <a:lnTo>
                                  <a:pt x="0" y="69938"/>
                                </a:lnTo>
                                <a:lnTo>
                                  <a:pt x="69951" y="69938"/>
                                </a:lnTo>
                                <a:lnTo>
                                  <a:pt x="69951" y="0"/>
                                </a:lnTo>
                                <a:close/>
                              </a:path>
                            </a:pathLst>
                          </a:custGeom>
                          <a:solidFill>
                            <a:srgbClr val="B0D236"/>
                          </a:solidFill>
                        </wps:spPr>
                        <wps:bodyPr wrap="square" lIns="0" tIns="0" rIns="0" bIns="0" rtlCol="0">
                          <a:prstTxWarp prst="textNoShape">
                            <a:avLst/>
                          </a:prstTxWarp>
                          <a:noAutofit/>
                        </wps:bodyPr>
                      </wps:wsp>
                      <wps:wsp>
                        <wps:cNvPr id="399" name="Graphic 399"/>
                        <wps:cNvSpPr/>
                        <wps:spPr>
                          <a:xfrm>
                            <a:off x="175015" y="1919111"/>
                            <a:ext cx="5435600" cy="558800"/>
                          </a:xfrm>
                          <a:custGeom>
                            <a:avLst/>
                            <a:gdLst/>
                            <a:ahLst/>
                            <a:cxnLst/>
                            <a:rect l="l" t="t" r="r" b="b"/>
                            <a:pathLst>
                              <a:path w="5435600" h="558800">
                                <a:moveTo>
                                  <a:pt x="139700" y="0"/>
                                </a:moveTo>
                                <a:lnTo>
                                  <a:pt x="0" y="0"/>
                                </a:lnTo>
                                <a:lnTo>
                                  <a:pt x="0" y="558800"/>
                                </a:lnTo>
                                <a:lnTo>
                                  <a:pt x="139700" y="558800"/>
                                </a:lnTo>
                                <a:lnTo>
                                  <a:pt x="139700" y="0"/>
                                </a:lnTo>
                                <a:close/>
                              </a:path>
                              <a:path w="5435600" h="558800">
                                <a:moveTo>
                                  <a:pt x="800100" y="482587"/>
                                </a:moveTo>
                                <a:lnTo>
                                  <a:pt x="660400" y="482587"/>
                                </a:lnTo>
                                <a:lnTo>
                                  <a:pt x="660400" y="558787"/>
                                </a:lnTo>
                                <a:lnTo>
                                  <a:pt x="800100" y="558787"/>
                                </a:lnTo>
                                <a:lnTo>
                                  <a:pt x="800100" y="482587"/>
                                </a:lnTo>
                                <a:close/>
                              </a:path>
                              <a:path w="5435600" h="558800">
                                <a:moveTo>
                                  <a:pt x="1460500" y="215887"/>
                                </a:moveTo>
                                <a:lnTo>
                                  <a:pt x="1320800" y="215887"/>
                                </a:lnTo>
                                <a:lnTo>
                                  <a:pt x="1320800" y="558787"/>
                                </a:lnTo>
                                <a:lnTo>
                                  <a:pt x="1460500" y="558787"/>
                                </a:lnTo>
                                <a:lnTo>
                                  <a:pt x="1460500" y="215887"/>
                                </a:lnTo>
                                <a:close/>
                              </a:path>
                              <a:path w="5435600" h="558800">
                                <a:moveTo>
                                  <a:pt x="3454400" y="457187"/>
                                </a:moveTo>
                                <a:lnTo>
                                  <a:pt x="3302000" y="457187"/>
                                </a:lnTo>
                                <a:lnTo>
                                  <a:pt x="3302000" y="558787"/>
                                </a:lnTo>
                                <a:lnTo>
                                  <a:pt x="3454400" y="558787"/>
                                </a:lnTo>
                                <a:lnTo>
                                  <a:pt x="3454400" y="457187"/>
                                </a:lnTo>
                                <a:close/>
                              </a:path>
                              <a:path w="5435600" h="558800">
                                <a:moveTo>
                                  <a:pt x="4114800" y="342887"/>
                                </a:moveTo>
                                <a:lnTo>
                                  <a:pt x="3962400" y="342887"/>
                                </a:lnTo>
                                <a:lnTo>
                                  <a:pt x="3962400" y="558787"/>
                                </a:lnTo>
                                <a:lnTo>
                                  <a:pt x="4114800" y="558787"/>
                                </a:lnTo>
                                <a:lnTo>
                                  <a:pt x="4114800" y="342887"/>
                                </a:lnTo>
                                <a:close/>
                              </a:path>
                              <a:path w="5435600" h="558800">
                                <a:moveTo>
                                  <a:pt x="4775200" y="457187"/>
                                </a:moveTo>
                                <a:lnTo>
                                  <a:pt x="4622800" y="457187"/>
                                </a:lnTo>
                                <a:lnTo>
                                  <a:pt x="4622800" y="558787"/>
                                </a:lnTo>
                                <a:lnTo>
                                  <a:pt x="4775200" y="558787"/>
                                </a:lnTo>
                                <a:lnTo>
                                  <a:pt x="4775200" y="457187"/>
                                </a:lnTo>
                                <a:close/>
                              </a:path>
                              <a:path w="5435600" h="558800">
                                <a:moveTo>
                                  <a:pt x="5435600" y="342887"/>
                                </a:moveTo>
                                <a:lnTo>
                                  <a:pt x="5283200" y="342887"/>
                                </a:lnTo>
                                <a:lnTo>
                                  <a:pt x="5283200" y="558787"/>
                                </a:lnTo>
                                <a:lnTo>
                                  <a:pt x="5435600" y="558787"/>
                                </a:lnTo>
                                <a:lnTo>
                                  <a:pt x="5435600" y="342887"/>
                                </a:lnTo>
                                <a:close/>
                              </a:path>
                            </a:pathLst>
                          </a:custGeom>
                          <a:solidFill>
                            <a:srgbClr val="105C84"/>
                          </a:solidFill>
                        </wps:spPr>
                        <wps:bodyPr wrap="square" lIns="0" tIns="0" rIns="0" bIns="0" rtlCol="0">
                          <a:prstTxWarp prst="textNoShape">
                            <a:avLst/>
                          </a:prstTxWarp>
                          <a:noAutofit/>
                        </wps:bodyPr>
                      </wps:wsp>
                      <wps:wsp>
                        <wps:cNvPr id="400" name="Graphic 400"/>
                        <wps:cNvSpPr/>
                        <wps:spPr>
                          <a:xfrm>
                            <a:off x="1013215" y="217311"/>
                            <a:ext cx="4787900" cy="2261235"/>
                          </a:xfrm>
                          <a:custGeom>
                            <a:avLst/>
                            <a:gdLst/>
                            <a:ahLst/>
                            <a:cxnLst/>
                            <a:rect l="l" t="t" r="r" b="b"/>
                            <a:pathLst>
                              <a:path w="4787900" h="2261235">
                                <a:moveTo>
                                  <a:pt x="152400" y="1676400"/>
                                </a:moveTo>
                                <a:lnTo>
                                  <a:pt x="0" y="1676400"/>
                                </a:lnTo>
                                <a:lnTo>
                                  <a:pt x="0" y="2260600"/>
                                </a:lnTo>
                                <a:lnTo>
                                  <a:pt x="152400" y="2260600"/>
                                </a:lnTo>
                                <a:lnTo>
                                  <a:pt x="152400" y="1676400"/>
                                </a:lnTo>
                                <a:close/>
                              </a:path>
                              <a:path w="4787900" h="2261235">
                                <a:moveTo>
                                  <a:pt x="812800" y="1816087"/>
                                </a:moveTo>
                                <a:lnTo>
                                  <a:pt x="673100" y="1816087"/>
                                </a:lnTo>
                                <a:lnTo>
                                  <a:pt x="673100" y="2260587"/>
                                </a:lnTo>
                                <a:lnTo>
                                  <a:pt x="812800" y="2260587"/>
                                </a:lnTo>
                                <a:lnTo>
                                  <a:pt x="812800" y="1816087"/>
                                </a:lnTo>
                                <a:close/>
                              </a:path>
                              <a:path w="4787900" h="2261235">
                                <a:moveTo>
                                  <a:pt x="1473200" y="1371587"/>
                                </a:moveTo>
                                <a:lnTo>
                                  <a:pt x="1333500" y="1371587"/>
                                </a:lnTo>
                                <a:lnTo>
                                  <a:pt x="1333500" y="2260600"/>
                                </a:lnTo>
                                <a:lnTo>
                                  <a:pt x="1473200" y="2260600"/>
                                </a:lnTo>
                                <a:lnTo>
                                  <a:pt x="1473200" y="1371587"/>
                                </a:lnTo>
                                <a:close/>
                              </a:path>
                              <a:path w="4787900" h="2261235">
                                <a:moveTo>
                                  <a:pt x="2133600" y="2184387"/>
                                </a:moveTo>
                                <a:lnTo>
                                  <a:pt x="1993900" y="2184387"/>
                                </a:lnTo>
                                <a:lnTo>
                                  <a:pt x="1993900" y="2260587"/>
                                </a:lnTo>
                                <a:lnTo>
                                  <a:pt x="2133600" y="2260587"/>
                                </a:lnTo>
                                <a:lnTo>
                                  <a:pt x="2133600" y="2184387"/>
                                </a:lnTo>
                                <a:close/>
                              </a:path>
                              <a:path w="4787900" h="2261235">
                                <a:moveTo>
                                  <a:pt x="2794000" y="1930387"/>
                                </a:moveTo>
                                <a:lnTo>
                                  <a:pt x="2654300" y="1930387"/>
                                </a:lnTo>
                                <a:lnTo>
                                  <a:pt x="2654300" y="2260587"/>
                                </a:lnTo>
                                <a:lnTo>
                                  <a:pt x="2794000" y="2260587"/>
                                </a:lnTo>
                                <a:lnTo>
                                  <a:pt x="2794000" y="1930387"/>
                                </a:lnTo>
                                <a:close/>
                              </a:path>
                              <a:path w="4787900" h="2261235">
                                <a:moveTo>
                                  <a:pt x="3467100" y="2146287"/>
                                </a:moveTo>
                                <a:lnTo>
                                  <a:pt x="3314700" y="2146287"/>
                                </a:lnTo>
                                <a:lnTo>
                                  <a:pt x="3314700" y="2260587"/>
                                </a:lnTo>
                                <a:lnTo>
                                  <a:pt x="3467100" y="2260587"/>
                                </a:lnTo>
                                <a:lnTo>
                                  <a:pt x="3467100" y="2146287"/>
                                </a:lnTo>
                                <a:close/>
                              </a:path>
                              <a:path w="4787900" h="2261235">
                                <a:moveTo>
                                  <a:pt x="4127500" y="0"/>
                                </a:moveTo>
                                <a:lnTo>
                                  <a:pt x="3975100" y="0"/>
                                </a:lnTo>
                                <a:lnTo>
                                  <a:pt x="3975100" y="2260612"/>
                                </a:lnTo>
                                <a:lnTo>
                                  <a:pt x="4127500" y="2260612"/>
                                </a:lnTo>
                                <a:lnTo>
                                  <a:pt x="4127500" y="0"/>
                                </a:lnTo>
                                <a:close/>
                              </a:path>
                              <a:path w="4787900" h="2261235">
                                <a:moveTo>
                                  <a:pt x="4787900" y="1981187"/>
                                </a:moveTo>
                                <a:lnTo>
                                  <a:pt x="4635500" y="1981187"/>
                                </a:lnTo>
                                <a:lnTo>
                                  <a:pt x="4635500" y="2260587"/>
                                </a:lnTo>
                                <a:lnTo>
                                  <a:pt x="4787900" y="2260587"/>
                                </a:lnTo>
                                <a:lnTo>
                                  <a:pt x="4787900" y="1981187"/>
                                </a:lnTo>
                                <a:close/>
                              </a:path>
                            </a:pathLst>
                          </a:custGeom>
                          <a:solidFill>
                            <a:srgbClr val="B0D236"/>
                          </a:solidFill>
                        </wps:spPr>
                        <wps:bodyPr wrap="square" lIns="0" tIns="0" rIns="0" bIns="0" rtlCol="0">
                          <a:prstTxWarp prst="textNoShape">
                            <a:avLst/>
                          </a:prstTxWarp>
                          <a:noAutofit/>
                        </wps:bodyPr>
                      </wps:wsp>
                      <wps:wsp>
                        <wps:cNvPr id="401" name="Graphic 401"/>
                        <wps:cNvSpPr/>
                        <wps:spPr>
                          <a:xfrm>
                            <a:off x="3568" y="3568"/>
                            <a:ext cx="5956300" cy="2480945"/>
                          </a:xfrm>
                          <a:custGeom>
                            <a:avLst/>
                            <a:gdLst/>
                            <a:ahLst/>
                            <a:cxnLst/>
                            <a:rect l="l" t="t" r="r" b="b"/>
                            <a:pathLst>
                              <a:path w="5956300" h="2480945">
                                <a:moveTo>
                                  <a:pt x="5956300" y="2480691"/>
                                </a:moveTo>
                                <a:lnTo>
                                  <a:pt x="0" y="2480678"/>
                                </a:lnTo>
                                <a:lnTo>
                                  <a:pt x="0" y="0"/>
                                </a:lnTo>
                              </a:path>
                            </a:pathLst>
                          </a:custGeom>
                          <a:ln w="7137">
                            <a:solidFill>
                              <a:srgbClr val="939598"/>
                            </a:solidFill>
                            <a:prstDash val="solid"/>
                          </a:ln>
                        </wps:spPr>
                        <wps:bodyPr wrap="square" lIns="0" tIns="0" rIns="0" bIns="0" rtlCol="0">
                          <a:prstTxWarp prst="textNoShape">
                            <a:avLst/>
                          </a:prstTxWarp>
                          <a:noAutofit/>
                        </wps:bodyPr>
                      </wps:wsp>
                      <wps:wsp>
                        <wps:cNvPr id="402" name="Textbox 402"/>
                        <wps:cNvSpPr txBox="1"/>
                        <wps:spPr>
                          <a:xfrm>
                            <a:off x="584531" y="14979"/>
                            <a:ext cx="224154" cy="139065"/>
                          </a:xfrm>
                          <a:prstGeom prst="rect">
                            <a:avLst/>
                          </a:prstGeom>
                        </wps:spPr>
                        <wps:txbx>
                          <w:txbxContent>
                            <w:p>
                              <w:pPr>
                                <w:spacing w:before="10"/>
                                <w:ind w:left="0" w:right="0" w:firstLine="0"/>
                                <w:jc w:val="left"/>
                                <w:rPr>
                                  <w:sz w:val="16"/>
                                </w:rPr>
                              </w:pPr>
                              <w:r>
                                <w:rPr>
                                  <w:color w:val="105C84"/>
                                  <w:spacing w:val="-5"/>
                                  <w:sz w:val="16"/>
                                </w:rPr>
                                <w:t>2000</w:t>
                              </w:r>
                            </w:p>
                          </w:txbxContent>
                        </wps:txbx>
                        <wps:bodyPr wrap="square" lIns="0" tIns="0" rIns="0" bIns="0" rtlCol="0">
                          <a:noAutofit/>
                        </wps:bodyPr>
                      </wps:wsp>
                      <wps:wsp>
                        <wps:cNvPr id="403" name="Textbox 403"/>
                        <wps:cNvSpPr txBox="1"/>
                        <wps:spPr>
                          <a:xfrm>
                            <a:off x="1107010" y="14979"/>
                            <a:ext cx="224154" cy="139065"/>
                          </a:xfrm>
                          <a:prstGeom prst="rect">
                            <a:avLst/>
                          </a:prstGeom>
                        </wps:spPr>
                        <wps:txbx>
                          <w:txbxContent>
                            <w:p>
                              <w:pPr>
                                <w:spacing w:before="10"/>
                                <w:ind w:left="0" w:right="0" w:firstLine="0"/>
                                <w:jc w:val="left"/>
                                <w:rPr>
                                  <w:sz w:val="16"/>
                                </w:rPr>
                              </w:pPr>
                              <w:r>
                                <w:rPr>
                                  <w:color w:val="105C84"/>
                                  <w:spacing w:val="-5"/>
                                  <w:sz w:val="16"/>
                                </w:rPr>
                                <w:t>2017</w:t>
                              </w:r>
                            </w:p>
                          </w:txbxContent>
                        </wps:txbx>
                        <wps:bodyPr wrap="square" lIns="0" tIns="0" rIns="0" bIns="0" rtlCol="0">
                          <a:noAutofit/>
                        </wps:bodyPr>
                      </wps:wsp>
                    </wpg:wgp>
                  </a:graphicData>
                </a:graphic>
              </wp:anchor>
            </w:drawing>
          </mc:Choice>
          <mc:Fallback>
            <w:pict>
              <v:group style="position:absolute;margin-left:705.919312pt;margin-top:1.333562pt;width:469.6pt;height:195.9pt;mso-position-horizontal-relative:page;mso-position-vertical-relative:paragraph;z-index:15770112" id="docshapegroup347" coordorigin="14118,27" coordsize="9392,3918">
                <v:rect style="position:absolute;left:14876;top:98;width:111;height:111" id="docshape348" filled="true" fillcolor="#105c84" stroked="false">
                  <v:fill type="solid"/>
                </v:rect>
                <v:rect style="position:absolute;left:15695;top:98;width:111;height:111" id="docshape349" filled="true" fillcolor="#b0d236" stroked="false">
                  <v:fill type="solid"/>
                </v:rect>
                <v:shape style="position:absolute;left:14394;top:3048;width:8560;height:880" id="docshape350" coordorigin="14394,3049" coordsize="8560,880" path="m14614,3049l14394,3049,14394,3929,14614,3929,14614,3049xm15654,3809l15434,3809,15434,3929,15654,3929,15654,3809xm16694,3389l16474,3389,16474,3929,16694,3929,16694,3389xm19834,3769l19594,3769,19594,3929,19834,3929,19834,3769xm20874,3589l20634,3589,20634,3929,20874,3929,20874,3589xm21914,3769l21674,3769,21674,3929,21914,3929,21914,3769xm22954,3589l22714,3589,22714,3929,22954,3929,22954,3589xe" filled="true" fillcolor="#105c84" stroked="false">
                  <v:path arrowok="t"/>
                  <v:fill type="solid"/>
                </v:shape>
                <v:shape style="position:absolute;left:15714;top:368;width:7540;height:3561" id="docshape351" coordorigin="15714,369" coordsize="7540,3561" path="m15954,3009l15714,3009,15714,3929,15954,3929,15954,3009xm16994,3229l16774,3229,16774,3929,16994,3929,16994,3229xm18034,2529l17814,2529,17814,3929,18034,3929,18034,2529xm19074,3809l18854,3809,18854,3929,19074,3929,19074,3809xm20114,3409l19894,3409,19894,3929,20114,3929,20114,3409xm21174,3749l20934,3749,20934,3929,21174,3929,21174,3749xm22214,369l21974,369,21974,3929,22214,3929,22214,369xm23254,3489l23014,3489,23014,3929,23254,3929,23254,3489xe" filled="true" fillcolor="#b0d236" stroked="false">
                  <v:path arrowok="t"/>
                  <v:fill type="solid"/>
                </v:shape>
                <v:shape style="position:absolute;left:14124;top:32;width:9380;height:3907" id="docshape352" coordorigin="14124,32" coordsize="9380,3907" path="m23504,3939l14124,3939,14124,32e" filled="false" stroked="true" strokeweight=".562pt" strokecolor="#939598">
                  <v:path arrowok="t"/>
                  <v:stroke dashstyle="solid"/>
                </v:shape>
                <v:shape style="position:absolute;left:15038;top:50;width:353;height:219" type="#_x0000_t202" id="docshape353" filled="false" stroked="false">
                  <v:textbox inset="0,0,0,0">
                    <w:txbxContent>
                      <w:p>
                        <w:pPr>
                          <w:spacing w:before="10"/>
                          <w:ind w:left="0" w:right="0" w:firstLine="0"/>
                          <w:jc w:val="left"/>
                          <w:rPr>
                            <w:sz w:val="16"/>
                          </w:rPr>
                        </w:pPr>
                        <w:r>
                          <w:rPr>
                            <w:color w:val="105C84"/>
                            <w:spacing w:val="-5"/>
                            <w:sz w:val="16"/>
                          </w:rPr>
                          <w:t>2000</w:t>
                        </w:r>
                      </w:p>
                    </w:txbxContent>
                  </v:textbox>
                  <w10:wrap type="none"/>
                </v:shape>
                <v:shape style="position:absolute;left:15861;top:50;width:353;height:219" type="#_x0000_t202" id="docshape354" filled="false" stroked="false">
                  <v:textbox inset="0,0,0,0">
                    <w:txbxContent>
                      <w:p>
                        <w:pPr>
                          <w:spacing w:before="10"/>
                          <w:ind w:left="0" w:right="0" w:firstLine="0"/>
                          <w:jc w:val="left"/>
                          <w:rPr>
                            <w:sz w:val="16"/>
                          </w:rPr>
                        </w:pPr>
                        <w:r>
                          <w:rPr>
                            <w:color w:val="105C84"/>
                            <w:spacing w:val="-5"/>
                            <w:sz w:val="16"/>
                          </w:rPr>
                          <w:t>2017</w:t>
                        </w:r>
                      </w:p>
                    </w:txbxContent>
                  </v:textbox>
                  <w10:wrap type="none"/>
                </v:shape>
                <w10:wrap type="none"/>
              </v:group>
            </w:pict>
          </mc:Fallback>
        </mc:AlternateContent>
      </w:r>
      <w:r>
        <w:rPr>
          <w:color w:val="636466"/>
          <w:spacing w:val="-5"/>
          <w:sz w:val="18"/>
        </w:rPr>
        <w:t>90</w:t>
      </w:r>
    </w:p>
    <w:p>
      <w:pPr>
        <w:pStyle w:val="BodyText"/>
        <w:spacing w:before="6"/>
        <w:rPr>
          <w:sz w:val="18"/>
        </w:rPr>
      </w:pPr>
    </w:p>
    <w:p>
      <w:pPr>
        <w:spacing w:before="0"/>
        <w:ind w:left="1491" w:right="0" w:firstLine="0"/>
        <w:jc w:val="left"/>
        <w:rPr>
          <w:sz w:val="18"/>
        </w:rPr>
      </w:pPr>
      <w:r>
        <w:rPr>
          <w:sz w:val="18"/>
        </w:rPr>
        <mc:AlternateContent>
          <mc:Choice Requires="wps">
            <w:drawing>
              <wp:anchor distT="0" distB="0" distL="0" distR="0" allowOverlap="1" layoutInCell="1" locked="0" behindDoc="0" simplePos="0" relativeHeight="15771136">
                <wp:simplePos x="0" y="0"/>
                <wp:positionH relativeFrom="page">
                  <wp:posOffset>8457073</wp:posOffset>
                </wp:positionH>
                <wp:positionV relativeFrom="paragraph">
                  <wp:posOffset>125985</wp:posOffset>
                </wp:positionV>
                <wp:extent cx="164465" cy="1577340"/>
                <wp:effectExtent l="0" t="0" r="0" b="0"/>
                <wp:wrapNone/>
                <wp:docPr id="404" name="Textbox 404"/>
                <wp:cNvGraphicFramePr>
                  <a:graphicFrameLocks/>
                </wp:cNvGraphicFramePr>
                <a:graphic>
                  <a:graphicData uri="http://schemas.microsoft.com/office/word/2010/wordprocessingShape">
                    <wps:wsp>
                      <wps:cNvPr id="404" name="Textbox 404"/>
                      <wps:cNvSpPr txBox="1"/>
                      <wps:spPr>
                        <a:xfrm>
                          <a:off x="0" y="0"/>
                          <a:ext cx="164465" cy="1577340"/>
                        </a:xfrm>
                        <a:prstGeom prst="rect">
                          <a:avLst/>
                        </a:prstGeom>
                      </wps:spPr>
                      <wps:txbx>
                        <w:txbxContent>
                          <w:p>
                            <w:pPr>
                              <w:spacing w:before="30"/>
                              <w:ind w:left="20" w:right="0" w:firstLine="0"/>
                              <w:jc w:val="left"/>
                              <w:rPr>
                                <w:sz w:val="16"/>
                              </w:rPr>
                            </w:pPr>
                            <w:r>
                              <w:rPr>
                                <w:color w:val="105C84"/>
                                <w:sz w:val="16"/>
                              </w:rPr>
                              <w:t>Crude</w:t>
                            </w:r>
                            <w:r>
                              <w:rPr>
                                <w:color w:val="105C84"/>
                                <w:spacing w:val="-10"/>
                                <w:sz w:val="16"/>
                              </w:rPr>
                              <w:t> </w:t>
                            </w:r>
                            <w:r>
                              <w:rPr>
                                <w:color w:val="105C84"/>
                                <w:sz w:val="16"/>
                              </w:rPr>
                              <w:t>rate</w:t>
                            </w:r>
                            <w:r>
                              <w:rPr>
                                <w:color w:val="105C84"/>
                                <w:spacing w:val="-10"/>
                                <w:sz w:val="16"/>
                              </w:rPr>
                              <w:t> </w:t>
                            </w:r>
                            <w:r>
                              <w:rPr>
                                <w:color w:val="105C84"/>
                                <w:sz w:val="16"/>
                              </w:rPr>
                              <w:t>per</w:t>
                            </w:r>
                            <w:r>
                              <w:rPr>
                                <w:color w:val="105C84"/>
                                <w:spacing w:val="-9"/>
                                <w:sz w:val="16"/>
                              </w:rPr>
                              <w:t> </w:t>
                            </w:r>
                            <w:r>
                              <w:rPr>
                                <w:color w:val="105C84"/>
                                <w:sz w:val="16"/>
                              </w:rPr>
                              <w:t>100,000</w:t>
                            </w:r>
                            <w:r>
                              <w:rPr>
                                <w:color w:val="105C84"/>
                                <w:spacing w:val="-10"/>
                                <w:sz w:val="16"/>
                              </w:rPr>
                              <w:t> </w:t>
                            </w:r>
                            <w:r>
                              <w:rPr>
                                <w:color w:val="105C84"/>
                                <w:spacing w:val="-2"/>
                                <w:sz w:val="16"/>
                              </w:rPr>
                              <w:t>population</w:t>
                            </w:r>
                          </w:p>
                        </w:txbxContent>
                      </wps:txbx>
                      <wps:bodyPr wrap="square" lIns="0" tIns="0" rIns="0" bIns="0" rtlCol="0" vert="vert270">
                        <a:noAutofit/>
                      </wps:bodyPr>
                    </wps:wsp>
                  </a:graphicData>
                </a:graphic>
              </wp:anchor>
            </w:drawing>
          </mc:Choice>
          <mc:Fallback>
            <w:pict>
              <v:shape style="position:absolute;margin-left:665.911316pt;margin-top:9.920115pt;width:12.95pt;height:124.2pt;mso-position-horizontal-relative:page;mso-position-vertical-relative:paragraph;z-index:15771136" type="#_x0000_t202" id="docshape355" filled="false" stroked="false">
                <v:textbox inset="0,0,0,0" style="layout-flow:vertical;mso-layout-flow-alt:bottom-to-top">
                  <w:txbxContent>
                    <w:p>
                      <w:pPr>
                        <w:spacing w:before="30"/>
                        <w:ind w:left="20" w:right="0" w:firstLine="0"/>
                        <w:jc w:val="left"/>
                        <w:rPr>
                          <w:sz w:val="16"/>
                        </w:rPr>
                      </w:pPr>
                      <w:r>
                        <w:rPr>
                          <w:color w:val="105C84"/>
                          <w:sz w:val="16"/>
                        </w:rPr>
                        <w:t>Crude</w:t>
                      </w:r>
                      <w:r>
                        <w:rPr>
                          <w:color w:val="105C84"/>
                          <w:spacing w:val="-10"/>
                          <w:sz w:val="16"/>
                        </w:rPr>
                        <w:t> </w:t>
                      </w:r>
                      <w:r>
                        <w:rPr>
                          <w:color w:val="105C84"/>
                          <w:sz w:val="16"/>
                        </w:rPr>
                        <w:t>rate</w:t>
                      </w:r>
                      <w:r>
                        <w:rPr>
                          <w:color w:val="105C84"/>
                          <w:spacing w:val="-10"/>
                          <w:sz w:val="16"/>
                        </w:rPr>
                        <w:t> </w:t>
                      </w:r>
                      <w:r>
                        <w:rPr>
                          <w:color w:val="105C84"/>
                          <w:sz w:val="16"/>
                        </w:rPr>
                        <w:t>per</w:t>
                      </w:r>
                      <w:r>
                        <w:rPr>
                          <w:color w:val="105C84"/>
                          <w:spacing w:val="-9"/>
                          <w:sz w:val="16"/>
                        </w:rPr>
                        <w:t> </w:t>
                      </w:r>
                      <w:r>
                        <w:rPr>
                          <w:color w:val="105C84"/>
                          <w:sz w:val="16"/>
                        </w:rPr>
                        <w:t>100,000</w:t>
                      </w:r>
                      <w:r>
                        <w:rPr>
                          <w:color w:val="105C84"/>
                          <w:spacing w:val="-10"/>
                          <w:sz w:val="16"/>
                        </w:rPr>
                        <w:t> </w:t>
                      </w:r>
                      <w:r>
                        <w:rPr>
                          <w:color w:val="105C84"/>
                          <w:spacing w:val="-2"/>
                          <w:sz w:val="16"/>
                        </w:rPr>
                        <w:t>population</w:t>
                      </w:r>
                    </w:p>
                  </w:txbxContent>
                </v:textbox>
                <w10:wrap type="none"/>
              </v:shape>
            </w:pict>
          </mc:Fallback>
        </mc:AlternateContent>
      </w:r>
      <w:r>
        <w:rPr>
          <w:color w:val="636466"/>
          <w:spacing w:val="-5"/>
          <w:sz w:val="18"/>
        </w:rPr>
        <w:t>80</w:t>
      </w:r>
    </w:p>
    <w:p>
      <w:pPr>
        <w:pStyle w:val="BodyText"/>
        <w:spacing w:before="6"/>
        <w:rPr>
          <w:sz w:val="18"/>
        </w:rPr>
      </w:pPr>
    </w:p>
    <w:p>
      <w:pPr>
        <w:spacing w:before="0"/>
        <w:ind w:left="1491" w:right="0" w:firstLine="0"/>
        <w:jc w:val="left"/>
        <w:rPr>
          <w:sz w:val="18"/>
        </w:rPr>
      </w:pPr>
      <w:r>
        <w:rPr>
          <w:color w:val="636466"/>
          <w:spacing w:val="-5"/>
          <w:sz w:val="18"/>
        </w:rPr>
        <w:t>70</w:t>
      </w:r>
    </w:p>
    <w:p>
      <w:pPr>
        <w:pStyle w:val="BodyText"/>
        <w:spacing w:before="26"/>
        <w:rPr>
          <w:sz w:val="18"/>
        </w:rPr>
      </w:pPr>
    </w:p>
    <w:p>
      <w:pPr>
        <w:spacing w:before="0"/>
        <w:ind w:left="1491" w:right="0" w:firstLine="0"/>
        <w:jc w:val="left"/>
        <w:rPr>
          <w:sz w:val="18"/>
        </w:rPr>
      </w:pPr>
      <w:r>
        <w:rPr>
          <w:color w:val="636466"/>
          <w:spacing w:val="-5"/>
          <w:sz w:val="18"/>
        </w:rPr>
        <w:t>60</w:t>
      </w:r>
    </w:p>
    <w:p>
      <w:pPr>
        <w:pStyle w:val="BodyText"/>
        <w:spacing w:before="6"/>
        <w:rPr>
          <w:sz w:val="18"/>
        </w:rPr>
      </w:pPr>
    </w:p>
    <w:p>
      <w:pPr>
        <w:spacing w:before="0"/>
        <w:ind w:left="1491" w:right="0" w:firstLine="0"/>
        <w:jc w:val="left"/>
        <w:rPr>
          <w:sz w:val="18"/>
        </w:rPr>
      </w:pPr>
      <w:r>
        <w:rPr>
          <w:color w:val="636466"/>
          <w:spacing w:val="-5"/>
          <w:sz w:val="18"/>
        </w:rPr>
        <w:t>50</w:t>
      </w:r>
    </w:p>
    <w:p>
      <w:pPr>
        <w:pStyle w:val="BodyText"/>
        <w:spacing w:before="6"/>
        <w:rPr>
          <w:sz w:val="18"/>
        </w:rPr>
      </w:pPr>
    </w:p>
    <w:p>
      <w:pPr>
        <w:spacing w:before="0"/>
        <w:ind w:left="1491" w:right="0" w:firstLine="0"/>
        <w:jc w:val="left"/>
        <w:rPr>
          <w:sz w:val="18"/>
        </w:rPr>
      </w:pPr>
      <w:r>
        <w:rPr>
          <w:color w:val="636466"/>
          <w:spacing w:val="-5"/>
          <w:sz w:val="18"/>
        </w:rPr>
        <w:t>40</w:t>
      </w:r>
    </w:p>
    <w:p>
      <w:pPr>
        <w:pStyle w:val="BodyText"/>
        <w:spacing w:before="6"/>
        <w:rPr>
          <w:sz w:val="18"/>
        </w:rPr>
      </w:pPr>
    </w:p>
    <w:p>
      <w:pPr>
        <w:spacing w:before="0"/>
        <w:ind w:left="1491" w:right="0" w:firstLine="0"/>
        <w:jc w:val="left"/>
        <w:rPr>
          <w:sz w:val="18"/>
        </w:rPr>
      </w:pPr>
      <w:r>
        <w:rPr>
          <w:color w:val="636466"/>
          <w:spacing w:val="-5"/>
          <w:sz w:val="18"/>
        </w:rPr>
        <w:t>30</w:t>
      </w:r>
    </w:p>
    <w:p>
      <w:pPr>
        <w:pStyle w:val="BodyText"/>
        <w:spacing w:before="26"/>
        <w:rPr>
          <w:sz w:val="18"/>
        </w:rPr>
      </w:pPr>
    </w:p>
    <w:p>
      <w:pPr>
        <w:spacing w:before="0"/>
        <w:ind w:left="1491" w:right="0" w:firstLine="0"/>
        <w:jc w:val="left"/>
        <w:rPr>
          <w:sz w:val="18"/>
        </w:rPr>
      </w:pPr>
      <w:r>
        <w:rPr>
          <w:color w:val="636466"/>
          <w:spacing w:val="-5"/>
          <w:sz w:val="18"/>
        </w:rPr>
        <w:t>20</w:t>
      </w:r>
    </w:p>
    <w:p>
      <w:pPr>
        <w:pStyle w:val="BodyText"/>
        <w:spacing w:before="6"/>
        <w:rPr>
          <w:sz w:val="18"/>
        </w:rPr>
      </w:pPr>
    </w:p>
    <w:p>
      <w:pPr>
        <w:spacing w:before="0"/>
        <w:ind w:left="1491" w:right="0" w:firstLine="0"/>
        <w:jc w:val="left"/>
        <w:rPr>
          <w:sz w:val="18"/>
        </w:rPr>
      </w:pPr>
      <w:r>
        <w:rPr>
          <w:color w:val="636466"/>
          <w:spacing w:val="-5"/>
          <w:sz w:val="18"/>
        </w:rPr>
        <w:t>10</w:t>
      </w:r>
    </w:p>
    <w:p>
      <w:pPr>
        <w:spacing w:after="0"/>
        <w:jc w:val="left"/>
        <w:rPr>
          <w:sz w:val="18"/>
        </w:rPr>
        <w:sectPr>
          <w:type w:val="continuous"/>
          <w:pgSz w:w="24480" w:h="15840" w:orient="landscape"/>
          <w:pgMar w:header="0" w:footer="0" w:top="0" w:bottom="280" w:left="0" w:right="720"/>
          <w:cols w:num="2" w:equalWidth="0">
            <w:col w:w="11128" w:space="1112"/>
            <w:col w:w="11520"/>
          </w:cols>
        </w:sectPr>
      </w:pPr>
    </w:p>
    <w:p>
      <w:pPr>
        <w:pStyle w:val="BodyText"/>
        <w:spacing w:before="86"/>
        <w:rPr>
          <w:sz w:val="18"/>
        </w:rPr>
      </w:pPr>
    </w:p>
    <w:p>
      <w:pPr>
        <w:spacing w:before="1"/>
        <w:ind w:left="1421" w:right="0" w:firstLine="0"/>
        <w:jc w:val="left"/>
        <w:rPr>
          <w:sz w:val="18"/>
        </w:rPr>
      </w:pPr>
      <w:r>
        <w:rPr>
          <w:color w:val="636466"/>
          <w:spacing w:val="-5"/>
          <w:sz w:val="18"/>
        </w:rPr>
        <w:t>100</w:t>
      </w:r>
    </w:p>
    <w:p>
      <w:pPr>
        <w:pStyle w:val="BodyText"/>
        <w:spacing w:before="85"/>
        <w:rPr>
          <w:sz w:val="18"/>
        </w:rPr>
      </w:pPr>
    </w:p>
    <w:p>
      <w:pPr>
        <w:spacing w:before="1"/>
        <w:ind w:left="1515" w:right="0" w:firstLine="0"/>
        <w:jc w:val="left"/>
        <w:rPr>
          <w:sz w:val="18"/>
        </w:rPr>
      </w:pPr>
      <w:r>
        <w:rPr>
          <w:color w:val="636466"/>
          <w:spacing w:val="-5"/>
          <w:sz w:val="18"/>
        </w:rPr>
        <w:t>80</w:t>
      </w:r>
    </w:p>
    <w:p>
      <w:pPr>
        <w:pStyle w:val="BodyText"/>
        <w:spacing w:before="85"/>
        <w:rPr>
          <w:sz w:val="18"/>
        </w:rPr>
      </w:pPr>
    </w:p>
    <w:p>
      <w:pPr>
        <w:spacing w:before="1"/>
        <w:ind w:left="1515" w:right="0" w:firstLine="0"/>
        <w:jc w:val="left"/>
        <w:rPr>
          <w:sz w:val="18"/>
        </w:rPr>
      </w:pPr>
      <w:r>
        <w:rPr>
          <w:color w:val="636466"/>
          <w:spacing w:val="-5"/>
          <w:sz w:val="18"/>
        </w:rPr>
        <w:t>60</w:t>
      </w:r>
    </w:p>
    <w:p>
      <w:pPr>
        <w:pStyle w:val="BodyText"/>
        <w:spacing w:before="106"/>
        <w:rPr>
          <w:sz w:val="18"/>
        </w:rPr>
      </w:pPr>
    </w:p>
    <w:p>
      <w:pPr>
        <w:spacing w:before="0"/>
        <w:ind w:left="1515" w:right="0" w:firstLine="0"/>
        <w:jc w:val="left"/>
        <w:rPr>
          <w:sz w:val="18"/>
        </w:rPr>
      </w:pPr>
      <w:r>
        <w:rPr>
          <w:color w:val="636466"/>
          <w:spacing w:val="-5"/>
          <w:sz w:val="18"/>
        </w:rPr>
        <w:t>40</w:t>
      </w:r>
    </w:p>
    <w:p>
      <w:pPr>
        <w:pStyle w:val="BodyText"/>
        <w:spacing w:before="86"/>
        <w:rPr>
          <w:sz w:val="18"/>
        </w:rPr>
      </w:pPr>
    </w:p>
    <w:p>
      <w:pPr>
        <w:spacing w:before="0"/>
        <w:ind w:left="1515" w:right="0" w:firstLine="0"/>
        <w:jc w:val="left"/>
        <w:rPr>
          <w:sz w:val="18"/>
        </w:rPr>
      </w:pPr>
      <w:r>
        <w:rPr>
          <w:color w:val="636466"/>
          <w:spacing w:val="-5"/>
          <w:sz w:val="18"/>
        </w:rPr>
        <w:t>20</w:t>
      </w:r>
    </w:p>
    <w:p>
      <w:pPr>
        <w:pStyle w:val="BodyText"/>
        <w:spacing w:before="86"/>
        <w:rPr>
          <w:sz w:val="18"/>
        </w:rPr>
      </w:pPr>
    </w:p>
    <w:p>
      <w:pPr>
        <w:spacing w:before="0"/>
        <w:ind w:left="1610" w:right="0" w:firstLine="0"/>
        <w:jc w:val="left"/>
        <w:rPr>
          <w:sz w:val="18"/>
        </w:rPr>
      </w:pPr>
      <w:r>
        <w:rPr>
          <w:color w:val="636466"/>
          <w:spacing w:val="-10"/>
          <w:sz w:val="18"/>
        </w:rPr>
        <w:t>0</w:t>
      </w:r>
    </w:p>
    <w:p>
      <w:pPr>
        <w:tabs>
          <w:tab w:pos="3056" w:val="left" w:leader="none"/>
          <w:tab w:pos="4228" w:val="left" w:leader="none"/>
          <w:tab w:pos="5239" w:val="left" w:leader="none"/>
          <w:tab w:pos="6392" w:val="left" w:leader="none"/>
          <w:tab w:pos="7412" w:val="left" w:leader="none"/>
          <w:tab w:pos="8567" w:val="left" w:leader="none"/>
          <w:tab w:pos="9697" w:val="left" w:leader="none"/>
          <w:tab w:pos="10612" w:val="left" w:leader="none"/>
        </w:tabs>
        <w:spacing w:before="53"/>
        <w:ind w:left="1997" w:right="0" w:firstLine="0"/>
        <w:jc w:val="left"/>
        <w:rPr>
          <w:sz w:val="18"/>
        </w:rPr>
      </w:pPr>
      <w:r>
        <w:rPr>
          <w:color w:val="636466"/>
          <w:spacing w:val="-2"/>
          <w:sz w:val="18"/>
        </w:rPr>
        <w:t>Chemung</w:t>
      </w:r>
      <w:r>
        <w:rPr>
          <w:color w:val="636466"/>
          <w:sz w:val="18"/>
        </w:rPr>
        <w:tab/>
      </w:r>
      <w:r>
        <w:rPr>
          <w:color w:val="636466"/>
          <w:spacing w:val="-2"/>
          <w:sz w:val="18"/>
        </w:rPr>
        <w:t>Livingston</w:t>
      </w:r>
      <w:r>
        <w:rPr>
          <w:color w:val="636466"/>
          <w:sz w:val="18"/>
        </w:rPr>
        <w:tab/>
      </w:r>
      <w:r>
        <w:rPr>
          <w:color w:val="636466"/>
          <w:spacing w:val="-2"/>
          <w:sz w:val="18"/>
        </w:rPr>
        <w:t>Ontario</w:t>
      </w:r>
      <w:r>
        <w:rPr>
          <w:color w:val="636466"/>
          <w:sz w:val="18"/>
        </w:rPr>
        <w:tab/>
      </w:r>
      <w:r>
        <w:rPr>
          <w:color w:val="636466"/>
          <w:spacing w:val="-2"/>
          <w:sz w:val="18"/>
        </w:rPr>
        <w:t>Schuyler</w:t>
      </w:r>
      <w:r>
        <w:rPr>
          <w:color w:val="636466"/>
          <w:sz w:val="18"/>
        </w:rPr>
        <w:tab/>
      </w:r>
      <w:r>
        <w:rPr>
          <w:color w:val="636466"/>
          <w:spacing w:val="-2"/>
          <w:sz w:val="18"/>
        </w:rPr>
        <w:t>Seneca</w:t>
      </w:r>
      <w:r>
        <w:rPr>
          <w:color w:val="636466"/>
          <w:sz w:val="18"/>
        </w:rPr>
        <w:tab/>
      </w:r>
      <w:r>
        <w:rPr>
          <w:color w:val="636466"/>
          <w:spacing w:val="-2"/>
          <w:sz w:val="18"/>
        </w:rPr>
        <w:t>Steuben</w:t>
      </w:r>
      <w:r>
        <w:rPr>
          <w:color w:val="636466"/>
          <w:sz w:val="18"/>
        </w:rPr>
        <w:tab/>
      </w:r>
      <w:r>
        <w:rPr>
          <w:color w:val="636466"/>
          <w:spacing w:val="-2"/>
          <w:sz w:val="18"/>
        </w:rPr>
        <w:t>Wayne</w:t>
      </w:r>
      <w:r>
        <w:rPr>
          <w:color w:val="636466"/>
          <w:sz w:val="18"/>
        </w:rPr>
        <w:tab/>
      </w:r>
      <w:r>
        <w:rPr>
          <w:color w:val="636466"/>
          <w:spacing w:val="-2"/>
          <w:sz w:val="18"/>
        </w:rPr>
        <w:t>Yates</w:t>
      </w:r>
      <w:r>
        <w:rPr>
          <w:color w:val="636466"/>
          <w:sz w:val="18"/>
        </w:rPr>
        <w:tab/>
      </w:r>
      <w:r>
        <w:rPr>
          <w:color w:val="636466"/>
          <w:w w:val="90"/>
          <w:sz w:val="18"/>
        </w:rPr>
        <w:t>NYS</w:t>
      </w:r>
      <w:r>
        <w:rPr>
          <w:color w:val="636466"/>
          <w:spacing w:val="3"/>
          <w:sz w:val="18"/>
        </w:rPr>
        <w:t> </w:t>
      </w:r>
      <w:r>
        <w:rPr>
          <w:color w:val="636466"/>
          <w:spacing w:val="-4"/>
          <w:sz w:val="18"/>
        </w:rPr>
        <w:t>Excl</w:t>
      </w:r>
    </w:p>
    <w:p>
      <w:pPr>
        <w:spacing w:before="13"/>
        <w:ind w:left="0" w:right="209" w:firstLine="0"/>
        <w:jc w:val="right"/>
        <w:rPr>
          <w:sz w:val="18"/>
        </w:rPr>
      </w:pPr>
      <w:r>
        <w:rPr>
          <w:color w:val="636466"/>
          <w:spacing w:val="-5"/>
          <w:sz w:val="18"/>
        </w:rPr>
        <w:t>NYC</w:t>
      </w:r>
    </w:p>
    <w:p>
      <w:pPr>
        <w:pStyle w:val="BodyText"/>
        <w:spacing w:before="16"/>
        <w:rPr>
          <w:sz w:val="18"/>
        </w:rPr>
      </w:pPr>
    </w:p>
    <w:p>
      <w:pPr>
        <w:spacing w:before="0"/>
        <w:ind w:left="2005" w:right="0" w:firstLine="0"/>
        <w:jc w:val="left"/>
        <w:rPr>
          <w:sz w:val="16"/>
        </w:rPr>
      </w:pPr>
      <w:r>
        <w:rPr>
          <w:color w:val="105C84"/>
          <w:spacing w:val="-2"/>
          <w:sz w:val="16"/>
        </w:rPr>
        <w:t>Data</w:t>
      </w:r>
      <w:r>
        <w:rPr>
          <w:color w:val="105C84"/>
          <w:spacing w:val="-4"/>
          <w:sz w:val="16"/>
        </w:rPr>
        <w:t> </w:t>
      </w:r>
      <w:r>
        <w:rPr>
          <w:color w:val="105C84"/>
          <w:spacing w:val="-2"/>
          <w:sz w:val="16"/>
        </w:rPr>
        <w:t>Source:</w:t>
      </w:r>
      <w:r>
        <w:rPr>
          <w:color w:val="105C84"/>
          <w:spacing w:val="-4"/>
          <w:sz w:val="16"/>
        </w:rPr>
        <w:t> </w:t>
      </w:r>
      <w:r>
        <w:rPr>
          <w:color w:val="105C84"/>
          <w:spacing w:val="-2"/>
          <w:sz w:val="16"/>
        </w:rPr>
        <w:t>NYS</w:t>
      </w:r>
      <w:r>
        <w:rPr>
          <w:color w:val="105C84"/>
          <w:spacing w:val="-4"/>
          <w:sz w:val="16"/>
        </w:rPr>
        <w:t> </w:t>
      </w:r>
      <w:r>
        <w:rPr>
          <w:color w:val="105C84"/>
          <w:spacing w:val="-2"/>
          <w:sz w:val="16"/>
        </w:rPr>
        <w:t>Communicable</w:t>
      </w:r>
      <w:r>
        <w:rPr>
          <w:color w:val="105C84"/>
          <w:spacing w:val="-4"/>
          <w:sz w:val="16"/>
        </w:rPr>
        <w:t> </w:t>
      </w:r>
      <w:r>
        <w:rPr>
          <w:color w:val="105C84"/>
          <w:spacing w:val="-2"/>
          <w:sz w:val="16"/>
        </w:rPr>
        <w:t>Disease</w:t>
      </w:r>
      <w:r>
        <w:rPr>
          <w:color w:val="105C84"/>
          <w:spacing w:val="-3"/>
          <w:sz w:val="16"/>
        </w:rPr>
        <w:t> </w:t>
      </w:r>
      <w:r>
        <w:rPr>
          <w:color w:val="105C84"/>
          <w:spacing w:val="-2"/>
          <w:sz w:val="16"/>
        </w:rPr>
        <w:t>Report</w:t>
      </w:r>
    </w:p>
    <w:p>
      <w:pPr>
        <w:spacing w:before="169"/>
        <w:ind w:left="1947" w:right="0" w:firstLine="0"/>
        <w:jc w:val="left"/>
        <w:rPr>
          <w:sz w:val="18"/>
        </w:rPr>
      </w:pPr>
      <w:r>
        <w:rPr/>
        <w:br w:type="column"/>
      </w:r>
      <w:r>
        <w:rPr>
          <w:color w:val="636466"/>
          <w:spacing w:val="-10"/>
          <w:sz w:val="18"/>
        </w:rPr>
        <w:t>0</w:t>
      </w:r>
    </w:p>
    <w:p>
      <w:pPr>
        <w:tabs>
          <w:tab w:pos="3374" w:val="left" w:leader="none"/>
          <w:tab w:pos="4500" w:val="left" w:leader="none"/>
          <w:tab w:pos="5564" w:val="left" w:leader="none"/>
          <w:tab w:pos="6691" w:val="left" w:leader="none"/>
          <w:tab w:pos="7665" w:val="left" w:leader="none"/>
          <w:tab w:pos="8774" w:val="left" w:leader="none"/>
          <w:tab w:pos="9857" w:val="left" w:leader="none"/>
          <w:tab w:pos="10726" w:val="left" w:leader="none"/>
        </w:tabs>
        <w:spacing w:before="34"/>
        <w:ind w:left="2321" w:right="0" w:firstLine="0"/>
        <w:jc w:val="left"/>
        <w:rPr>
          <w:sz w:val="18"/>
        </w:rPr>
      </w:pPr>
      <w:r>
        <w:rPr>
          <w:color w:val="636466"/>
          <w:spacing w:val="-2"/>
          <w:sz w:val="18"/>
        </w:rPr>
        <w:t>Chemung</w:t>
      </w:r>
      <w:r>
        <w:rPr>
          <w:color w:val="636466"/>
          <w:sz w:val="18"/>
        </w:rPr>
        <w:tab/>
      </w:r>
      <w:r>
        <w:rPr>
          <w:color w:val="636466"/>
          <w:spacing w:val="-2"/>
          <w:sz w:val="18"/>
        </w:rPr>
        <w:t>Livingston</w:t>
      </w:r>
      <w:r>
        <w:rPr>
          <w:color w:val="636466"/>
          <w:sz w:val="18"/>
        </w:rPr>
        <w:tab/>
      </w:r>
      <w:r>
        <w:rPr>
          <w:color w:val="636466"/>
          <w:spacing w:val="-2"/>
          <w:sz w:val="18"/>
        </w:rPr>
        <w:t>Ontario</w:t>
      </w:r>
      <w:r>
        <w:rPr>
          <w:color w:val="636466"/>
          <w:sz w:val="18"/>
        </w:rPr>
        <w:tab/>
      </w:r>
      <w:r>
        <w:rPr>
          <w:color w:val="636466"/>
          <w:spacing w:val="-2"/>
          <w:sz w:val="18"/>
        </w:rPr>
        <w:t>Schuyler</w:t>
      </w:r>
      <w:r>
        <w:rPr>
          <w:color w:val="636466"/>
          <w:sz w:val="18"/>
        </w:rPr>
        <w:tab/>
      </w:r>
      <w:r>
        <w:rPr>
          <w:color w:val="636466"/>
          <w:spacing w:val="-2"/>
          <w:sz w:val="18"/>
        </w:rPr>
        <w:t>Seneca</w:t>
      </w:r>
      <w:r>
        <w:rPr>
          <w:color w:val="636466"/>
          <w:sz w:val="18"/>
        </w:rPr>
        <w:tab/>
      </w:r>
      <w:r>
        <w:rPr>
          <w:color w:val="636466"/>
          <w:spacing w:val="-2"/>
          <w:sz w:val="18"/>
        </w:rPr>
        <w:t>Steuben</w:t>
      </w:r>
      <w:r>
        <w:rPr>
          <w:color w:val="636466"/>
          <w:sz w:val="18"/>
        </w:rPr>
        <w:tab/>
      </w:r>
      <w:r>
        <w:rPr>
          <w:color w:val="636466"/>
          <w:spacing w:val="-2"/>
          <w:sz w:val="18"/>
        </w:rPr>
        <w:t>Wayne</w:t>
      </w:r>
      <w:r>
        <w:rPr>
          <w:color w:val="636466"/>
          <w:sz w:val="18"/>
        </w:rPr>
        <w:tab/>
      </w:r>
      <w:r>
        <w:rPr>
          <w:color w:val="636466"/>
          <w:spacing w:val="-2"/>
          <w:sz w:val="18"/>
        </w:rPr>
        <w:t>Yates</w:t>
      </w:r>
      <w:r>
        <w:rPr>
          <w:color w:val="636466"/>
          <w:sz w:val="18"/>
        </w:rPr>
        <w:tab/>
      </w:r>
      <w:r>
        <w:rPr>
          <w:color w:val="636466"/>
          <w:w w:val="90"/>
          <w:sz w:val="18"/>
        </w:rPr>
        <w:t>NYS</w:t>
      </w:r>
      <w:r>
        <w:rPr>
          <w:color w:val="636466"/>
          <w:spacing w:val="3"/>
          <w:sz w:val="18"/>
        </w:rPr>
        <w:t> </w:t>
      </w:r>
      <w:r>
        <w:rPr>
          <w:color w:val="636466"/>
          <w:spacing w:val="-4"/>
          <w:sz w:val="18"/>
        </w:rPr>
        <w:t>Excl</w:t>
      </w:r>
    </w:p>
    <w:p>
      <w:pPr>
        <w:spacing w:before="13"/>
        <w:ind w:left="0" w:right="570" w:firstLine="0"/>
        <w:jc w:val="right"/>
        <w:rPr>
          <w:sz w:val="18"/>
        </w:rPr>
      </w:pPr>
      <w:r>
        <w:rPr>
          <w:color w:val="636466"/>
          <w:spacing w:val="-5"/>
          <w:sz w:val="18"/>
        </w:rPr>
        <w:t>NYC</w:t>
      </w:r>
    </w:p>
    <w:p>
      <w:pPr>
        <w:pStyle w:val="BodyText"/>
        <w:spacing w:before="17"/>
        <w:rPr>
          <w:sz w:val="18"/>
        </w:rPr>
      </w:pPr>
    </w:p>
    <w:p>
      <w:pPr>
        <w:spacing w:before="0"/>
        <w:ind w:left="2316" w:right="0" w:firstLine="0"/>
        <w:jc w:val="left"/>
        <w:rPr>
          <w:sz w:val="16"/>
        </w:rPr>
      </w:pPr>
      <w:r>
        <w:rPr>
          <w:color w:val="105C84"/>
          <w:spacing w:val="-2"/>
          <w:sz w:val="16"/>
        </w:rPr>
        <w:t>Source:</w:t>
      </w:r>
      <w:r>
        <w:rPr>
          <w:color w:val="105C84"/>
          <w:spacing w:val="-1"/>
          <w:sz w:val="16"/>
        </w:rPr>
        <w:t> </w:t>
      </w:r>
      <w:r>
        <w:rPr>
          <w:color w:val="105C84"/>
          <w:spacing w:val="-2"/>
          <w:sz w:val="16"/>
        </w:rPr>
        <w:t>NYS</w:t>
      </w:r>
      <w:r>
        <w:rPr>
          <w:color w:val="105C84"/>
          <w:spacing w:val="-1"/>
          <w:sz w:val="16"/>
        </w:rPr>
        <w:t> </w:t>
      </w:r>
      <w:r>
        <w:rPr>
          <w:color w:val="105C84"/>
          <w:spacing w:val="-2"/>
          <w:sz w:val="16"/>
        </w:rPr>
        <w:t>Communicable</w:t>
      </w:r>
      <w:r>
        <w:rPr>
          <w:color w:val="105C84"/>
          <w:spacing w:val="-1"/>
          <w:sz w:val="16"/>
        </w:rPr>
        <w:t> </w:t>
      </w:r>
      <w:r>
        <w:rPr>
          <w:color w:val="105C84"/>
          <w:spacing w:val="-2"/>
          <w:sz w:val="16"/>
        </w:rPr>
        <w:t>Disease</w:t>
      </w:r>
      <w:r>
        <w:rPr>
          <w:color w:val="105C84"/>
          <w:spacing w:val="-1"/>
          <w:sz w:val="16"/>
        </w:rPr>
        <w:t> </w:t>
      </w:r>
      <w:r>
        <w:rPr>
          <w:color w:val="105C84"/>
          <w:spacing w:val="-2"/>
          <w:sz w:val="16"/>
        </w:rPr>
        <w:t>Reporting</w:t>
      </w:r>
      <w:r>
        <w:rPr>
          <w:color w:val="105C84"/>
          <w:spacing w:val="-1"/>
          <w:sz w:val="16"/>
        </w:rPr>
        <w:t> </w:t>
      </w:r>
      <w:r>
        <w:rPr>
          <w:color w:val="105C84"/>
          <w:spacing w:val="-2"/>
          <w:sz w:val="16"/>
        </w:rPr>
        <w:t>2000</w:t>
      </w:r>
      <w:r>
        <w:rPr>
          <w:color w:val="105C84"/>
          <w:spacing w:val="-1"/>
          <w:sz w:val="16"/>
        </w:rPr>
        <w:t> </w:t>
      </w:r>
      <w:r>
        <w:rPr>
          <w:color w:val="105C84"/>
          <w:spacing w:val="-2"/>
          <w:sz w:val="16"/>
        </w:rPr>
        <w:t>and</w:t>
      </w:r>
      <w:r>
        <w:rPr>
          <w:color w:val="105C84"/>
          <w:sz w:val="16"/>
        </w:rPr>
        <w:t> </w:t>
      </w:r>
      <w:r>
        <w:rPr>
          <w:color w:val="105C84"/>
          <w:spacing w:val="-4"/>
          <w:sz w:val="16"/>
        </w:rPr>
        <w:t>2017</w:t>
      </w:r>
    </w:p>
    <w:p>
      <w:pPr>
        <w:pStyle w:val="BodyText"/>
        <w:rPr>
          <w:sz w:val="16"/>
        </w:rPr>
      </w:pPr>
    </w:p>
    <w:p>
      <w:pPr>
        <w:pStyle w:val="BodyText"/>
        <w:rPr>
          <w:sz w:val="16"/>
        </w:rPr>
      </w:pPr>
    </w:p>
    <w:p>
      <w:pPr>
        <w:pStyle w:val="BodyText"/>
        <w:spacing w:before="158"/>
        <w:rPr>
          <w:sz w:val="16"/>
        </w:rPr>
      </w:pPr>
    </w:p>
    <w:p>
      <w:pPr>
        <w:pStyle w:val="Heading6"/>
        <w:ind w:left="1421"/>
      </w:pPr>
      <w:r>
        <w:rPr>
          <w:color w:val="105C84"/>
          <w:spacing w:val="-2"/>
          <w:w w:val="105"/>
        </w:rPr>
        <w:t>Mortality</w:t>
      </w:r>
    </w:p>
    <w:p>
      <w:pPr>
        <w:pStyle w:val="BodyText"/>
        <w:spacing w:line="247" w:lineRule="auto" w:before="252"/>
        <w:ind w:left="1421" w:right="363"/>
      </w:pPr>
      <w:r>
        <w:rPr>
          <w:color w:val="105C84"/>
        </w:rPr>
        <w:t>Each of the behavioral, environmental and socioeconomic factors previously discussed have a collective impact on one major health outcome: life expectancy. Community members who engage in</w:t>
      </w:r>
      <w:r>
        <w:rPr>
          <w:color w:val="105C84"/>
          <w:spacing w:val="40"/>
        </w:rPr>
        <w:t> </w:t>
      </w:r>
      <w:r>
        <w:rPr>
          <w:color w:val="105C84"/>
        </w:rPr>
        <w:t>risky health behaviors, are socioeconomically disadvantaged, and live in environments that negatively impact</w:t>
      </w:r>
      <w:r>
        <w:rPr>
          <w:color w:val="105C84"/>
          <w:spacing w:val="27"/>
        </w:rPr>
        <w:t> </w:t>
      </w:r>
      <w:r>
        <w:rPr>
          <w:color w:val="105C84"/>
        </w:rPr>
        <w:t>health</w:t>
      </w:r>
      <w:r>
        <w:rPr>
          <w:color w:val="105C84"/>
          <w:spacing w:val="27"/>
        </w:rPr>
        <w:t> </w:t>
      </w:r>
      <w:r>
        <w:rPr>
          <w:color w:val="105C84"/>
        </w:rPr>
        <w:t>have</w:t>
      </w:r>
      <w:r>
        <w:rPr>
          <w:color w:val="105C84"/>
          <w:spacing w:val="27"/>
        </w:rPr>
        <w:t> </w:t>
      </w:r>
      <w:r>
        <w:rPr>
          <w:color w:val="105C84"/>
        </w:rPr>
        <w:t>a</w:t>
      </w:r>
      <w:r>
        <w:rPr>
          <w:color w:val="105C84"/>
          <w:spacing w:val="27"/>
        </w:rPr>
        <w:t> </w:t>
      </w:r>
      <w:r>
        <w:rPr>
          <w:color w:val="105C84"/>
        </w:rPr>
        <w:t>greater</w:t>
      </w:r>
      <w:r>
        <w:rPr>
          <w:color w:val="105C84"/>
          <w:spacing w:val="27"/>
        </w:rPr>
        <w:t> </w:t>
      </w:r>
      <w:r>
        <w:rPr>
          <w:color w:val="105C84"/>
        </w:rPr>
        <w:t>risk</w:t>
      </w:r>
      <w:r>
        <w:rPr>
          <w:color w:val="105C84"/>
          <w:spacing w:val="27"/>
        </w:rPr>
        <w:t> </w:t>
      </w:r>
      <w:r>
        <w:rPr>
          <w:color w:val="105C84"/>
        </w:rPr>
        <w:t>of</w:t>
      </w:r>
      <w:r>
        <w:rPr>
          <w:color w:val="105C84"/>
          <w:spacing w:val="27"/>
        </w:rPr>
        <w:t> </w:t>
      </w:r>
      <w:r>
        <w:rPr>
          <w:color w:val="105C84"/>
        </w:rPr>
        <w:t>dying</w:t>
      </w:r>
      <w:r>
        <w:rPr>
          <w:color w:val="105C84"/>
          <w:spacing w:val="27"/>
        </w:rPr>
        <w:t> </w:t>
      </w:r>
      <w:r>
        <w:rPr>
          <w:color w:val="105C84"/>
        </w:rPr>
        <w:t>sooner</w:t>
      </w:r>
      <w:r>
        <w:rPr>
          <w:color w:val="105C84"/>
          <w:spacing w:val="27"/>
        </w:rPr>
        <w:t> </w:t>
      </w:r>
      <w:r>
        <w:rPr>
          <w:color w:val="105C84"/>
        </w:rPr>
        <w:t>than</w:t>
      </w:r>
      <w:r>
        <w:rPr>
          <w:color w:val="105C84"/>
          <w:spacing w:val="27"/>
        </w:rPr>
        <w:t> </w:t>
      </w:r>
      <w:r>
        <w:rPr>
          <w:color w:val="105C84"/>
        </w:rPr>
        <w:t>someone</w:t>
      </w:r>
      <w:r>
        <w:rPr>
          <w:color w:val="105C84"/>
          <w:spacing w:val="27"/>
        </w:rPr>
        <w:t> </w:t>
      </w:r>
      <w:r>
        <w:rPr>
          <w:color w:val="105C84"/>
        </w:rPr>
        <w:t>on</w:t>
      </w:r>
      <w:r>
        <w:rPr>
          <w:color w:val="105C84"/>
          <w:spacing w:val="27"/>
        </w:rPr>
        <w:t> </w:t>
      </w:r>
      <w:r>
        <w:rPr>
          <w:color w:val="105C84"/>
        </w:rPr>
        <w:t>the</w:t>
      </w:r>
      <w:r>
        <w:rPr>
          <w:color w:val="105C84"/>
          <w:spacing w:val="27"/>
        </w:rPr>
        <w:t> </w:t>
      </w:r>
      <w:r>
        <w:rPr>
          <w:color w:val="105C84"/>
        </w:rPr>
        <w:t>opposite</w:t>
      </w:r>
      <w:r>
        <w:rPr>
          <w:color w:val="105C84"/>
          <w:spacing w:val="27"/>
        </w:rPr>
        <w:t> </w:t>
      </w:r>
      <w:r>
        <w:rPr>
          <w:color w:val="105C84"/>
        </w:rPr>
        <w:t>spectrum.</w:t>
      </w:r>
      <w:r>
        <w:rPr>
          <w:color w:val="105C84"/>
          <w:spacing w:val="27"/>
        </w:rPr>
        <w:t> </w:t>
      </w:r>
      <w:r>
        <w:rPr>
          <w:color w:val="105C84"/>
        </w:rPr>
        <w:t>Within our region, we find pockets of lower life expectancy (under 75 years) in communities such Lyons, Geneva, Mount Morris, Bath and portions of Elmira (Map 5). Of note, a death which occurs before</w:t>
      </w:r>
    </w:p>
    <w:p>
      <w:pPr>
        <w:pStyle w:val="BodyText"/>
        <w:spacing w:after="0" w:line="247" w:lineRule="auto"/>
        <w:sectPr>
          <w:type w:val="continuous"/>
          <w:pgSz w:w="24480" w:h="15840" w:orient="landscape"/>
          <w:pgMar w:header="0" w:footer="0" w:top="0" w:bottom="280" w:left="0" w:right="720"/>
          <w:cols w:num="2" w:equalWidth="0">
            <w:col w:w="11367" w:space="532"/>
            <w:col w:w="11861"/>
          </w:cols>
        </w:sectPr>
      </w:pPr>
    </w:p>
    <w:p>
      <w:pPr>
        <w:pStyle w:val="BodyText"/>
        <w:spacing w:line="247" w:lineRule="auto" w:before="193"/>
        <w:ind w:left="1080" w:right="38"/>
      </w:pPr>
      <w:r>
        <w:rPr>
          <w:color w:val="105C84"/>
        </w:rPr>
        <w:t>Vaccine preventable diseases are on the rise in the region. An average of 10 patients were diagnosed with vaccine preventable diseases in 2017 in the region with a range by county from 0 to 21 patients.</w:t>
      </w:r>
      <w:r>
        <w:rPr>
          <w:color w:val="105C84"/>
          <w:spacing w:val="80"/>
        </w:rPr>
        <w:t> </w:t>
      </w:r>
      <w:r>
        <w:rPr>
          <w:color w:val="105C84"/>
        </w:rPr>
        <w:t>In 2000, the average was 6 patients with a range of 0 to 18 by county. With the increased number of those who choose not to vaccinate, it is important now more than ever to increase education and</w:t>
      </w:r>
      <w:r>
        <w:rPr>
          <w:color w:val="105C84"/>
          <w:spacing w:val="40"/>
        </w:rPr>
        <w:t> </w:t>
      </w:r>
      <w:r>
        <w:rPr>
          <w:color w:val="105C84"/>
        </w:rPr>
        <w:t>awareness of the benefits of vaccinating children. Herd immunity occurs when the majority of the population is immune to infection or disease. It helps to reduce risk of disease for those who are</w:t>
      </w:r>
      <w:r>
        <w:rPr>
          <w:color w:val="105C84"/>
          <w:spacing w:val="80"/>
        </w:rPr>
        <w:t> </w:t>
      </w:r>
      <w:r>
        <w:rPr>
          <w:color w:val="105C84"/>
        </w:rPr>
        <w:t>unable to be vaccinated due to age, health conditions or other factors. The rise of those who choose</w:t>
      </w:r>
      <w:r>
        <w:rPr>
          <w:color w:val="105C84"/>
          <w:spacing w:val="40"/>
        </w:rPr>
        <w:t> </w:t>
      </w:r>
      <w:r>
        <w:rPr>
          <w:color w:val="105C84"/>
        </w:rPr>
        <w:t>not to vaccinate negatively impacts the effectiveness of herd immunity. The majority of vaccine preventable diseases in the region are cases of pertussis (Figure 15).</w:t>
      </w:r>
    </w:p>
    <w:p>
      <w:pPr>
        <w:pStyle w:val="BodyText"/>
        <w:spacing w:line="247" w:lineRule="auto" w:before="13"/>
        <w:ind w:left="1080" w:right="479"/>
      </w:pPr>
      <w:r>
        <w:rPr/>
        <w:br w:type="column"/>
      </w:r>
      <w:r>
        <w:rPr>
          <w:color w:val="105C84"/>
        </w:rPr>
        <w:t>age 75 is considered premature. Therefore, communities with life expectancies under 75 years (highlighted</w:t>
      </w:r>
      <w:r>
        <w:rPr>
          <w:color w:val="105C84"/>
          <w:spacing w:val="21"/>
        </w:rPr>
        <w:t> </w:t>
      </w:r>
      <w:r>
        <w:rPr>
          <w:color w:val="105C84"/>
        </w:rPr>
        <w:t>in</w:t>
      </w:r>
      <w:r>
        <w:rPr>
          <w:color w:val="105C84"/>
          <w:spacing w:val="21"/>
        </w:rPr>
        <w:t> </w:t>
      </w:r>
      <w:r>
        <w:rPr>
          <w:color w:val="105C84"/>
        </w:rPr>
        <w:t>dark</w:t>
      </w:r>
      <w:r>
        <w:rPr>
          <w:color w:val="105C84"/>
          <w:spacing w:val="21"/>
        </w:rPr>
        <w:t> </w:t>
      </w:r>
      <w:r>
        <w:rPr>
          <w:color w:val="105C84"/>
        </w:rPr>
        <w:t>blue</w:t>
      </w:r>
      <w:r>
        <w:rPr>
          <w:color w:val="105C84"/>
          <w:spacing w:val="21"/>
        </w:rPr>
        <w:t> </w:t>
      </w:r>
      <w:r>
        <w:rPr>
          <w:color w:val="105C84"/>
        </w:rPr>
        <w:t>below)</w:t>
      </w:r>
      <w:r>
        <w:rPr>
          <w:color w:val="105C84"/>
          <w:spacing w:val="21"/>
        </w:rPr>
        <w:t> </w:t>
      </w:r>
      <w:r>
        <w:rPr>
          <w:color w:val="105C84"/>
        </w:rPr>
        <w:t>are</w:t>
      </w:r>
      <w:r>
        <w:rPr>
          <w:color w:val="105C84"/>
          <w:spacing w:val="21"/>
        </w:rPr>
        <w:t> </w:t>
      </w:r>
      <w:r>
        <w:rPr>
          <w:color w:val="105C84"/>
        </w:rPr>
        <w:t>considered</w:t>
      </w:r>
      <w:r>
        <w:rPr>
          <w:color w:val="105C84"/>
          <w:spacing w:val="21"/>
        </w:rPr>
        <w:t> </w:t>
      </w:r>
      <w:r>
        <w:rPr>
          <w:color w:val="105C84"/>
        </w:rPr>
        <w:t>as</w:t>
      </w:r>
      <w:r>
        <w:rPr>
          <w:color w:val="105C84"/>
          <w:spacing w:val="21"/>
        </w:rPr>
        <w:t> </w:t>
      </w:r>
      <w:r>
        <w:rPr>
          <w:color w:val="105C84"/>
        </w:rPr>
        <w:t>communities</w:t>
      </w:r>
      <w:r>
        <w:rPr>
          <w:color w:val="105C84"/>
          <w:spacing w:val="21"/>
        </w:rPr>
        <w:t> </w:t>
      </w:r>
      <w:r>
        <w:rPr>
          <w:color w:val="105C84"/>
        </w:rPr>
        <w:t>experiencing</w:t>
      </w:r>
      <w:r>
        <w:rPr>
          <w:color w:val="105C84"/>
          <w:spacing w:val="21"/>
        </w:rPr>
        <w:t> </w:t>
      </w:r>
      <w:r>
        <w:rPr>
          <w:color w:val="105C84"/>
        </w:rPr>
        <w:t>health</w:t>
      </w:r>
      <w:r>
        <w:rPr>
          <w:color w:val="105C84"/>
          <w:spacing w:val="21"/>
        </w:rPr>
        <w:t> </w:t>
      </w:r>
      <w:r>
        <w:rPr>
          <w:color w:val="105C84"/>
        </w:rPr>
        <w:t>inequities.</w:t>
      </w:r>
    </w:p>
    <w:p>
      <w:pPr>
        <w:pStyle w:val="BodyText"/>
        <w:spacing w:after="0" w:line="247" w:lineRule="auto"/>
        <w:sectPr>
          <w:type w:val="continuous"/>
          <w:pgSz w:w="24480" w:h="15840" w:orient="landscape"/>
          <w:pgMar w:header="0" w:footer="0" w:top="0" w:bottom="280" w:left="0" w:right="720"/>
          <w:cols w:num="2" w:equalWidth="0">
            <w:col w:w="11171" w:space="1069"/>
            <w:col w:w="11520"/>
          </w:cols>
        </w:sectPr>
      </w:pPr>
    </w:p>
    <w:p>
      <w:pPr>
        <w:pStyle w:val="BodyText"/>
        <w:rPr>
          <w:sz w:val="26"/>
        </w:rPr>
      </w:pPr>
      <w:r>
        <w:rPr>
          <w:sz w:val="26"/>
        </w:rPr>
        <w:drawing>
          <wp:anchor distT="0" distB="0" distL="0" distR="0" allowOverlap="1" layoutInCell="1" locked="0" behindDoc="0" simplePos="0" relativeHeight="15769088">
            <wp:simplePos x="0" y="0"/>
            <wp:positionH relativeFrom="page">
              <wp:posOffset>14981556</wp:posOffset>
            </wp:positionH>
            <wp:positionV relativeFrom="page">
              <wp:posOffset>9668103</wp:posOffset>
            </wp:positionV>
            <wp:extent cx="563245" cy="184683"/>
            <wp:effectExtent l="0" t="0" r="0" b="0"/>
            <wp:wrapNone/>
            <wp:docPr id="405" name="Image 405"/>
            <wp:cNvGraphicFramePr>
              <a:graphicFrameLocks/>
            </wp:cNvGraphicFramePr>
            <a:graphic>
              <a:graphicData uri="http://schemas.openxmlformats.org/drawingml/2006/picture">
                <pic:pic>
                  <pic:nvPicPr>
                    <pic:cNvPr id="405" name="Image 405"/>
                    <pic:cNvPicPr/>
                  </pic:nvPicPr>
                  <pic:blipFill>
                    <a:blip r:embed="rId38" cstate="print"/>
                    <a:stretch>
                      <a:fillRect/>
                    </a:stretch>
                  </pic:blipFill>
                  <pic:spPr>
                    <a:xfrm>
                      <a:off x="0" y="0"/>
                      <a:ext cx="563245" cy="184683"/>
                    </a:xfrm>
                    <a:prstGeom prst="rect">
                      <a:avLst/>
                    </a:prstGeom>
                  </pic:spPr>
                </pic:pic>
              </a:graphicData>
            </a:graphic>
          </wp:anchor>
        </w:drawing>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22"/>
        <w:rPr>
          <w:sz w:val="26"/>
        </w:rPr>
      </w:pPr>
    </w:p>
    <w:p>
      <w:pPr>
        <w:tabs>
          <w:tab w:pos="23147" w:val="left" w:leader="none"/>
        </w:tabs>
        <w:spacing w:before="0"/>
        <w:ind w:left="0" w:right="0" w:firstLine="0"/>
        <w:jc w:val="left"/>
        <w:rPr>
          <w:b/>
          <w:sz w:val="26"/>
        </w:rPr>
      </w:pPr>
      <w:r>
        <w:rPr>
          <w:position w:val="-4"/>
        </w:rPr>
        <w:drawing>
          <wp:inline distT="0" distB="0" distL="0" distR="0">
            <wp:extent cx="568172" cy="184683"/>
            <wp:effectExtent l="0" t="0" r="0" b="0"/>
            <wp:docPr id="406" name="Image 406"/>
            <wp:cNvGraphicFramePr>
              <a:graphicFrameLocks/>
            </wp:cNvGraphicFramePr>
            <a:graphic>
              <a:graphicData uri="http://schemas.openxmlformats.org/drawingml/2006/picture">
                <pic:pic>
                  <pic:nvPicPr>
                    <pic:cNvPr id="406" name="Image 406"/>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80"/>
          <w:w w:val="105"/>
          <w:sz w:val="20"/>
        </w:rPr>
        <w:t> </w:t>
      </w:r>
      <w:r>
        <w:rPr>
          <w:b/>
          <w:color w:val="939598"/>
          <w:w w:val="105"/>
          <w:sz w:val="26"/>
        </w:rPr>
        <w:t>31</w:t>
      </w:r>
      <w:r>
        <w:rPr>
          <w:b/>
          <w:color w:val="939598"/>
          <w:sz w:val="26"/>
        </w:rPr>
        <w:tab/>
      </w:r>
      <w:r>
        <w:rPr>
          <w:b/>
          <w:color w:val="939598"/>
          <w:spacing w:val="-5"/>
          <w:w w:val="105"/>
          <w:sz w:val="26"/>
        </w:rPr>
        <w:t>32</w:t>
      </w:r>
    </w:p>
    <w:p>
      <w:pPr>
        <w:spacing w:after="0"/>
        <w:jc w:val="left"/>
        <w:rPr>
          <w:b/>
          <w:sz w:val="26"/>
        </w:rPr>
        <w:sectPr>
          <w:type w:val="continuous"/>
          <w:pgSz w:w="24480" w:h="15840" w:orient="landscape"/>
          <w:pgMar w:header="0" w:footer="0" w:top="0" w:bottom="280" w:left="0" w:right="720"/>
        </w:sectPr>
      </w:pPr>
    </w:p>
    <w:p>
      <w:pPr>
        <w:pStyle w:val="BodyText"/>
        <w:spacing w:before="293"/>
        <w:rPr>
          <w:b/>
          <w:sz w:val="26"/>
        </w:rPr>
      </w:pPr>
    </w:p>
    <w:p>
      <w:pPr>
        <w:pStyle w:val="Heading6"/>
        <w:tabs>
          <w:tab w:pos="13319" w:val="left" w:leader="none"/>
        </w:tabs>
        <w:ind w:left="1065"/>
      </w:pPr>
      <w:r>
        <w:rPr>
          <w:color w:val="105C84"/>
        </w:rPr>
        <w:t>MAP</w:t>
      </w:r>
      <w:r>
        <w:rPr>
          <w:color w:val="105C84"/>
          <w:spacing w:val="-14"/>
        </w:rPr>
        <w:t> </w:t>
      </w:r>
      <w:r>
        <w:rPr>
          <w:color w:val="105C84"/>
        </w:rPr>
        <w:t>5:</w:t>
      </w:r>
      <w:r>
        <w:rPr>
          <w:color w:val="105C84"/>
          <w:spacing w:val="-13"/>
        </w:rPr>
        <w:t> </w:t>
      </w:r>
      <w:r>
        <w:rPr>
          <w:color w:val="105C84"/>
        </w:rPr>
        <w:t>Life</w:t>
      </w:r>
      <w:r>
        <w:rPr>
          <w:color w:val="105C84"/>
          <w:spacing w:val="-13"/>
        </w:rPr>
        <w:t> </w:t>
      </w:r>
      <w:r>
        <w:rPr>
          <w:color w:val="105C84"/>
        </w:rPr>
        <w:t>expectancy</w:t>
      </w:r>
      <w:r>
        <w:rPr>
          <w:color w:val="105C84"/>
          <w:spacing w:val="-13"/>
        </w:rPr>
        <w:t> </w:t>
      </w:r>
      <w:r>
        <w:rPr>
          <w:color w:val="105C84"/>
        </w:rPr>
        <w:t>by</w:t>
      </w:r>
      <w:r>
        <w:rPr>
          <w:color w:val="105C84"/>
          <w:spacing w:val="-13"/>
        </w:rPr>
        <w:t> </w:t>
      </w:r>
      <w:r>
        <w:rPr>
          <w:color w:val="105C84"/>
        </w:rPr>
        <w:t>ZIP</w:t>
      </w:r>
      <w:r>
        <w:rPr>
          <w:color w:val="105C84"/>
          <w:spacing w:val="-13"/>
        </w:rPr>
        <w:t> </w:t>
      </w:r>
      <w:r>
        <w:rPr>
          <w:color w:val="105C84"/>
          <w:spacing w:val="-4"/>
        </w:rPr>
        <w:t>code</w:t>
      </w:r>
      <w:r>
        <w:rPr>
          <w:color w:val="105C84"/>
        </w:rPr>
        <w:tab/>
      </w:r>
      <w:r>
        <w:rPr>
          <w:color w:val="105C84"/>
          <w:spacing w:val="-2"/>
        </w:rPr>
        <w:t>FIGURE</w:t>
      </w:r>
      <w:r>
        <w:rPr>
          <w:color w:val="105C84"/>
          <w:spacing w:val="-9"/>
        </w:rPr>
        <w:t> </w:t>
      </w:r>
      <w:r>
        <w:rPr>
          <w:color w:val="105C84"/>
          <w:spacing w:val="-2"/>
        </w:rPr>
        <w:t>16:</w:t>
      </w:r>
      <w:r>
        <w:rPr>
          <w:color w:val="105C84"/>
          <w:spacing w:val="-9"/>
        </w:rPr>
        <w:t> </w:t>
      </w:r>
      <w:r>
        <w:rPr>
          <w:color w:val="105C84"/>
          <w:spacing w:val="-2"/>
        </w:rPr>
        <w:t>Rates</w:t>
      </w:r>
      <w:r>
        <w:rPr>
          <w:color w:val="105C84"/>
          <w:spacing w:val="-9"/>
        </w:rPr>
        <w:t> </w:t>
      </w:r>
      <w:r>
        <w:rPr>
          <w:color w:val="105C84"/>
          <w:spacing w:val="-2"/>
        </w:rPr>
        <w:t>of</w:t>
      </w:r>
      <w:r>
        <w:rPr>
          <w:color w:val="105C84"/>
          <w:spacing w:val="-8"/>
        </w:rPr>
        <w:t> </w:t>
      </w:r>
      <w:r>
        <w:rPr>
          <w:color w:val="105C84"/>
          <w:spacing w:val="-2"/>
        </w:rPr>
        <w:t>premature</w:t>
      </w:r>
      <w:r>
        <w:rPr>
          <w:color w:val="105C84"/>
          <w:spacing w:val="-9"/>
        </w:rPr>
        <w:t> </w:t>
      </w:r>
      <w:r>
        <w:rPr>
          <w:color w:val="105C84"/>
          <w:spacing w:val="-2"/>
        </w:rPr>
        <w:t>mortality</w:t>
      </w:r>
      <w:r>
        <w:rPr>
          <w:color w:val="105C84"/>
          <w:spacing w:val="-9"/>
        </w:rPr>
        <w:t> </w:t>
      </w:r>
      <w:r>
        <w:rPr>
          <w:color w:val="105C84"/>
          <w:spacing w:val="-2"/>
        </w:rPr>
        <w:t>disparities</w:t>
      </w:r>
      <w:r>
        <w:rPr>
          <w:color w:val="105C84"/>
          <w:spacing w:val="-9"/>
        </w:rPr>
        <w:t> </w:t>
      </w:r>
      <w:r>
        <w:rPr>
          <w:color w:val="105C84"/>
          <w:spacing w:val="-2"/>
        </w:rPr>
        <w:t>for</w:t>
      </w:r>
      <w:r>
        <w:rPr>
          <w:color w:val="105C84"/>
          <w:spacing w:val="-8"/>
        </w:rPr>
        <w:t> </w:t>
      </w:r>
      <w:r>
        <w:rPr>
          <w:color w:val="105C84"/>
          <w:spacing w:val="-2"/>
        </w:rPr>
        <w:t>eight</w:t>
      </w:r>
      <w:r>
        <w:rPr>
          <w:color w:val="105C84"/>
          <w:spacing w:val="-9"/>
        </w:rPr>
        <w:t> </w:t>
      </w:r>
      <w:r>
        <w:rPr>
          <w:color w:val="105C84"/>
          <w:spacing w:val="-2"/>
        </w:rPr>
        <w:t>county</w:t>
      </w:r>
      <w:r>
        <w:rPr>
          <w:color w:val="105C84"/>
          <w:spacing w:val="-9"/>
        </w:rPr>
        <w:t> </w:t>
      </w:r>
      <w:r>
        <w:rPr>
          <w:color w:val="105C84"/>
          <w:spacing w:val="-2"/>
        </w:rPr>
        <w:t>region</w:t>
      </w:r>
    </w:p>
    <w:p>
      <w:pPr>
        <w:pStyle w:val="BodyText"/>
        <w:rPr>
          <w:b/>
          <w:sz w:val="17"/>
        </w:rPr>
      </w:pPr>
    </w:p>
    <w:p>
      <w:pPr>
        <w:pStyle w:val="BodyText"/>
        <w:rPr>
          <w:b/>
          <w:sz w:val="17"/>
        </w:rPr>
      </w:pPr>
    </w:p>
    <w:p>
      <w:pPr>
        <w:pStyle w:val="BodyText"/>
        <w:spacing w:before="27"/>
        <w:rPr>
          <w:b/>
          <w:sz w:val="17"/>
        </w:rPr>
      </w:pPr>
    </w:p>
    <w:p>
      <w:pPr>
        <w:spacing w:before="1"/>
        <w:ind w:left="0" w:right="9666" w:firstLine="0"/>
        <w:jc w:val="right"/>
        <w:rPr>
          <w:sz w:val="17"/>
        </w:rPr>
      </w:pPr>
      <w:r>
        <w:rPr>
          <w:sz w:val="17"/>
        </w:rPr>
        <mc:AlternateContent>
          <mc:Choice Requires="wps">
            <w:drawing>
              <wp:anchor distT="0" distB="0" distL="0" distR="0" allowOverlap="1" layoutInCell="1" locked="0" behindDoc="0" simplePos="0" relativeHeight="15772160">
                <wp:simplePos x="0" y="0"/>
                <wp:positionH relativeFrom="page">
                  <wp:posOffset>674141</wp:posOffset>
                </wp:positionH>
                <wp:positionV relativeFrom="paragraph">
                  <wp:posOffset>-217398</wp:posOffset>
                </wp:positionV>
                <wp:extent cx="5848985" cy="5653405"/>
                <wp:effectExtent l="0" t="0" r="0" b="0"/>
                <wp:wrapNone/>
                <wp:docPr id="407" name="Group 407"/>
                <wp:cNvGraphicFramePr>
                  <a:graphicFrameLocks/>
                </wp:cNvGraphicFramePr>
                <a:graphic>
                  <a:graphicData uri="http://schemas.microsoft.com/office/word/2010/wordprocessingGroup">
                    <wpg:wgp>
                      <wpg:cNvPr id="407" name="Group 407"/>
                      <wpg:cNvGrpSpPr/>
                      <wpg:grpSpPr>
                        <a:xfrm>
                          <a:off x="0" y="0"/>
                          <a:ext cx="5848985" cy="5653405"/>
                          <a:chExt cx="5848985" cy="5653405"/>
                        </a:xfrm>
                      </wpg:grpSpPr>
                      <pic:pic>
                        <pic:nvPicPr>
                          <pic:cNvPr id="408" name="Image 408"/>
                          <pic:cNvPicPr/>
                        </pic:nvPicPr>
                        <pic:blipFill>
                          <a:blip r:embed="rId58" cstate="print"/>
                          <a:stretch>
                            <a:fillRect/>
                          </a:stretch>
                        </pic:blipFill>
                        <pic:spPr>
                          <a:xfrm>
                            <a:off x="0" y="0"/>
                            <a:ext cx="5848607" cy="5653304"/>
                          </a:xfrm>
                          <a:prstGeom prst="rect">
                            <a:avLst/>
                          </a:prstGeom>
                        </pic:spPr>
                      </pic:pic>
                      <wps:wsp>
                        <wps:cNvPr id="409" name="Textbox 409"/>
                        <wps:cNvSpPr txBox="1"/>
                        <wps:spPr>
                          <a:xfrm>
                            <a:off x="4550079" y="171358"/>
                            <a:ext cx="981075" cy="541655"/>
                          </a:xfrm>
                          <a:prstGeom prst="rect">
                            <a:avLst/>
                          </a:prstGeom>
                        </wps:spPr>
                        <wps:txbx>
                          <w:txbxContent>
                            <w:p>
                              <w:pPr>
                                <w:spacing w:before="20"/>
                                <w:ind w:left="0" w:right="0" w:firstLine="0"/>
                                <w:jc w:val="left"/>
                                <w:rPr>
                                  <w:sz w:val="26"/>
                                </w:rPr>
                              </w:pPr>
                              <w:r>
                                <w:rPr>
                                  <w:color w:val="095C83"/>
                                  <w:spacing w:val="-2"/>
                                  <w:w w:val="105"/>
                                  <w:sz w:val="26"/>
                                </w:rPr>
                                <w:t>Legend</w:t>
                              </w:r>
                            </w:p>
                            <w:p>
                              <w:pPr>
                                <w:spacing w:before="258"/>
                                <w:ind w:left="0" w:right="0" w:firstLine="0"/>
                                <w:jc w:val="left"/>
                                <w:rPr>
                                  <w:sz w:val="21"/>
                                </w:rPr>
                              </w:pPr>
                              <w:r>
                                <w:rPr>
                                  <w:color w:val="636467"/>
                                  <w:sz w:val="21"/>
                                </w:rPr>
                                <w:t>Life</w:t>
                              </w:r>
                              <w:r>
                                <w:rPr>
                                  <w:color w:val="636467"/>
                                  <w:spacing w:val="14"/>
                                  <w:sz w:val="21"/>
                                </w:rPr>
                                <w:t> </w:t>
                              </w:r>
                              <w:r>
                                <w:rPr>
                                  <w:color w:val="636467"/>
                                  <w:spacing w:val="-2"/>
                                  <w:sz w:val="21"/>
                                </w:rPr>
                                <w:t>Expectancy</w:t>
                              </w:r>
                            </w:p>
                          </w:txbxContent>
                        </wps:txbx>
                        <wps:bodyPr wrap="square" lIns="0" tIns="0" rIns="0" bIns="0" rtlCol="0">
                          <a:noAutofit/>
                        </wps:bodyPr>
                      </wps:wsp>
                      <wps:wsp>
                        <wps:cNvPr id="410" name="Textbox 410"/>
                        <wps:cNvSpPr txBox="1"/>
                        <wps:spPr>
                          <a:xfrm>
                            <a:off x="3210923" y="871936"/>
                            <a:ext cx="286385" cy="143510"/>
                          </a:xfrm>
                          <a:prstGeom prst="rect">
                            <a:avLst/>
                          </a:prstGeom>
                        </wps:spPr>
                        <wps:txbx>
                          <w:txbxContent>
                            <w:p>
                              <w:pPr>
                                <w:spacing w:before="15"/>
                                <w:ind w:left="0" w:right="0" w:firstLine="0"/>
                                <w:jc w:val="left"/>
                                <w:rPr>
                                  <w:sz w:val="16"/>
                                </w:rPr>
                              </w:pPr>
                              <w:r>
                                <w:rPr>
                                  <w:color w:val="FFFFFF"/>
                                  <w:spacing w:val="-2"/>
                                  <w:sz w:val="16"/>
                                </w:rPr>
                                <w:t>Lyons</w:t>
                              </w:r>
                            </w:p>
                          </w:txbxContent>
                        </wps:txbx>
                        <wps:bodyPr wrap="square" lIns="0" tIns="0" rIns="0" bIns="0" rtlCol="0">
                          <a:noAutofit/>
                        </wps:bodyPr>
                      </wps:wsp>
                      <wps:wsp>
                        <wps:cNvPr id="411" name="Textbox 411"/>
                        <wps:cNvSpPr txBox="1"/>
                        <wps:spPr>
                          <a:xfrm>
                            <a:off x="2625880" y="1198217"/>
                            <a:ext cx="389255" cy="143510"/>
                          </a:xfrm>
                          <a:prstGeom prst="rect">
                            <a:avLst/>
                          </a:prstGeom>
                        </wps:spPr>
                        <wps:txbx>
                          <w:txbxContent>
                            <w:p>
                              <w:pPr>
                                <w:spacing w:before="15"/>
                                <w:ind w:left="0" w:right="0" w:firstLine="0"/>
                                <w:jc w:val="left"/>
                                <w:rPr>
                                  <w:sz w:val="16"/>
                                </w:rPr>
                              </w:pPr>
                              <w:r>
                                <w:rPr>
                                  <w:color w:val="FFFFFF"/>
                                  <w:spacing w:val="-2"/>
                                  <w:sz w:val="16"/>
                                </w:rPr>
                                <w:t>Palmyra</w:t>
                              </w:r>
                            </w:p>
                          </w:txbxContent>
                        </wps:txbx>
                        <wps:bodyPr wrap="square" lIns="0" tIns="0" rIns="0" bIns="0" rtlCol="0">
                          <a:noAutofit/>
                        </wps:bodyPr>
                      </wps:wsp>
                      <wps:wsp>
                        <wps:cNvPr id="412" name="Textbox 412"/>
                        <wps:cNvSpPr txBox="1"/>
                        <wps:spPr>
                          <a:xfrm>
                            <a:off x="4956312" y="795512"/>
                            <a:ext cx="608965" cy="794385"/>
                          </a:xfrm>
                          <a:prstGeom prst="rect">
                            <a:avLst/>
                          </a:prstGeom>
                        </wps:spPr>
                        <wps:txbx>
                          <w:txbxContent>
                            <w:p>
                              <w:pPr>
                                <w:spacing w:before="9"/>
                                <w:ind w:left="0" w:right="0" w:firstLine="0"/>
                                <w:jc w:val="left"/>
                                <w:rPr>
                                  <w:sz w:val="18"/>
                                </w:rPr>
                              </w:pPr>
                              <w:r>
                                <w:rPr>
                                  <w:color w:val="636467"/>
                                  <w:sz w:val="18"/>
                                </w:rPr>
                                <w:t>65-75</w:t>
                              </w:r>
                              <w:r>
                                <w:rPr>
                                  <w:color w:val="636467"/>
                                  <w:spacing w:val="-3"/>
                                  <w:sz w:val="18"/>
                                </w:rPr>
                                <w:t> </w:t>
                              </w:r>
                              <w:r>
                                <w:rPr>
                                  <w:color w:val="636467"/>
                                  <w:spacing w:val="-2"/>
                                  <w:sz w:val="18"/>
                                </w:rPr>
                                <w:t>years</w:t>
                              </w:r>
                            </w:p>
                            <w:p>
                              <w:pPr>
                                <w:spacing w:before="124"/>
                                <w:ind w:left="0" w:right="0" w:firstLine="0"/>
                                <w:jc w:val="left"/>
                                <w:rPr>
                                  <w:sz w:val="18"/>
                                </w:rPr>
                              </w:pPr>
                              <w:r>
                                <w:rPr>
                                  <w:color w:val="636467"/>
                                  <w:sz w:val="18"/>
                                </w:rPr>
                                <w:t>75-77</w:t>
                              </w:r>
                              <w:r>
                                <w:rPr>
                                  <w:color w:val="636467"/>
                                  <w:spacing w:val="-11"/>
                                  <w:sz w:val="18"/>
                                </w:rPr>
                                <w:t> </w:t>
                              </w:r>
                              <w:r>
                                <w:rPr>
                                  <w:color w:val="636467"/>
                                  <w:spacing w:val="-2"/>
                                  <w:sz w:val="18"/>
                                </w:rPr>
                                <w:t>years</w:t>
                              </w:r>
                            </w:p>
                            <w:p>
                              <w:pPr>
                                <w:spacing w:before="111"/>
                                <w:ind w:left="0" w:right="0" w:firstLine="0"/>
                                <w:jc w:val="left"/>
                                <w:rPr>
                                  <w:sz w:val="18"/>
                                </w:rPr>
                              </w:pPr>
                              <w:r>
                                <w:rPr>
                                  <w:color w:val="636467"/>
                                  <w:sz w:val="18"/>
                                </w:rPr>
                                <w:t>77-79</w:t>
                              </w:r>
                              <w:r>
                                <w:rPr>
                                  <w:color w:val="636467"/>
                                  <w:spacing w:val="-11"/>
                                  <w:sz w:val="18"/>
                                </w:rPr>
                                <w:t> </w:t>
                              </w:r>
                              <w:r>
                                <w:rPr>
                                  <w:color w:val="636467"/>
                                  <w:spacing w:val="-2"/>
                                  <w:sz w:val="18"/>
                                </w:rPr>
                                <w:t>years</w:t>
                              </w:r>
                            </w:p>
                            <w:p>
                              <w:pPr>
                                <w:spacing w:before="152"/>
                                <w:ind w:left="0" w:right="0" w:firstLine="0"/>
                                <w:jc w:val="left"/>
                                <w:rPr>
                                  <w:sz w:val="18"/>
                                </w:rPr>
                              </w:pPr>
                              <w:r>
                                <w:rPr>
                                  <w:color w:val="636467"/>
                                  <w:sz w:val="18"/>
                                </w:rPr>
                                <w:t>79-83</w:t>
                              </w:r>
                              <w:r>
                                <w:rPr>
                                  <w:color w:val="636467"/>
                                  <w:spacing w:val="-11"/>
                                  <w:sz w:val="18"/>
                                </w:rPr>
                                <w:t> </w:t>
                              </w:r>
                              <w:r>
                                <w:rPr>
                                  <w:color w:val="636467"/>
                                  <w:spacing w:val="-2"/>
                                  <w:sz w:val="18"/>
                                </w:rPr>
                                <w:t>years</w:t>
                              </w:r>
                            </w:p>
                          </w:txbxContent>
                        </wps:txbx>
                        <wps:bodyPr wrap="square" lIns="0" tIns="0" rIns="0" bIns="0" rtlCol="0">
                          <a:noAutofit/>
                        </wps:bodyPr>
                      </wps:wsp>
                      <wps:wsp>
                        <wps:cNvPr id="413" name="Textbox 413"/>
                        <wps:cNvSpPr txBox="1"/>
                        <wps:spPr>
                          <a:xfrm>
                            <a:off x="699469" y="1763554"/>
                            <a:ext cx="259715" cy="143510"/>
                          </a:xfrm>
                          <a:prstGeom prst="rect">
                            <a:avLst/>
                          </a:prstGeom>
                        </wps:spPr>
                        <wps:txbx>
                          <w:txbxContent>
                            <w:p>
                              <w:pPr>
                                <w:spacing w:before="15"/>
                                <w:ind w:left="0" w:right="0" w:firstLine="0"/>
                                <w:jc w:val="left"/>
                                <w:rPr>
                                  <w:sz w:val="16"/>
                                </w:rPr>
                              </w:pPr>
                              <w:r>
                                <w:rPr>
                                  <w:color w:val="FFFFFF"/>
                                  <w:spacing w:val="-4"/>
                                  <w:w w:val="105"/>
                                  <w:sz w:val="16"/>
                                </w:rPr>
                                <w:t>Avon</w:t>
                              </w:r>
                            </w:p>
                          </w:txbxContent>
                        </wps:txbx>
                        <wps:bodyPr wrap="square" lIns="0" tIns="0" rIns="0" bIns="0" rtlCol="0">
                          <a:noAutofit/>
                        </wps:bodyPr>
                      </wps:wsp>
                      <wps:wsp>
                        <wps:cNvPr id="414" name="Textbox 414"/>
                        <wps:cNvSpPr txBox="1"/>
                        <wps:spPr>
                          <a:xfrm>
                            <a:off x="3068117" y="1640518"/>
                            <a:ext cx="917575" cy="245745"/>
                          </a:xfrm>
                          <a:prstGeom prst="rect">
                            <a:avLst/>
                          </a:prstGeom>
                        </wps:spPr>
                        <wps:txbx>
                          <w:txbxContent>
                            <w:p>
                              <w:pPr>
                                <w:spacing w:line="172" w:lineRule="exact" w:before="15"/>
                                <w:ind w:left="0" w:right="0" w:firstLine="0"/>
                                <w:jc w:val="left"/>
                                <w:rPr>
                                  <w:sz w:val="16"/>
                                </w:rPr>
                              </w:pPr>
                              <w:r>
                                <w:rPr>
                                  <w:color w:val="FFFFFF"/>
                                  <w:spacing w:val="-2"/>
                                  <w:sz w:val="16"/>
                                </w:rPr>
                                <w:t>Geneva</w:t>
                              </w:r>
                            </w:p>
                            <w:p>
                              <w:pPr>
                                <w:spacing w:line="172" w:lineRule="exact" w:before="0"/>
                                <w:ind w:left="514" w:right="0" w:firstLine="0"/>
                                <w:jc w:val="left"/>
                                <w:rPr>
                                  <w:sz w:val="16"/>
                                </w:rPr>
                              </w:pPr>
                              <w:r>
                                <w:rPr>
                                  <w:color w:val="FFFFFF"/>
                                  <w:spacing w:val="-2"/>
                                  <w:sz w:val="16"/>
                                </w:rPr>
                                <w:t>Seneca</w:t>
                              </w:r>
                              <w:r>
                                <w:rPr>
                                  <w:color w:val="FFFFFF"/>
                                  <w:spacing w:val="-4"/>
                                  <w:sz w:val="16"/>
                                </w:rPr>
                                <w:t> </w:t>
                              </w:r>
                              <w:r>
                                <w:rPr>
                                  <w:color w:val="FFFFFF"/>
                                  <w:spacing w:val="-2"/>
                                  <w:sz w:val="16"/>
                                </w:rPr>
                                <w:t>Falls</w:t>
                              </w:r>
                            </w:p>
                          </w:txbxContent>
                        </wps:txbx>
                        <wps:bodyPr wrap="square" lIns="0" tIns="0" rIns="0" bIns="0" rtlCol="0">
                          <a:noAutofit/>
                        </wps:bodyPr>
                      </wps:wsp>
                      <wps:wsp>
                        <wps:cNvPr id="415" name="Textbox 415"/>
                        <wps:cNvSpPr txBox="1"/>
                        <wps:spPr>
                          <a:xfrm>
                            <a:off x="2190448" y="2028265"/>
                            <a:ext cx="631825" cy="143510"/>
                          </a:xfrm>
                          <a:prstGeom prst="rect">
                            <a:avLst/>
                          </a:prstGeom>
                        </wps:spPr>
                        <wps:txbx>
                          <w:txbxContent>
                            <w:p>
                              <w:pPr>
                                <w:spacing w:before="15"/>
                                <w:ind w:left="0" w:right="0" w:firstLine="0"/>
                                <w:jc w:val="left"/>
                                <w:rPr>
                                  <w:sz w:val="16"/>
                                </w:rPr>
                              </w:pPr>
                              <w:r>
                                <w:rPr>
                                  <w:color w:val="FFFFFF"/>
                                  <w:spacing w:val="-2"/>
                                  <w:sz w:val="16"/>
                                </w:rPr>
                                <w:t>Canandaigua</w:t>
                              </w:r>
                            </w:p>
                          </w:txbxContent>
                        </wps:txbx>
                        <wps:bodyPr wrap="square" lIns="0" tIns="0" rIns="0" bIns="0" rtlCol="0">
                          <a:noAutofit/>
                        </wps:bodyPr>
                      </wps:wsp>
                      <wps:wsp>
                        <wps:cNvPr id="416" name="Textbox 416"/>
                        <wps:cNvSpPr txBox="1"/>
                        <wps:spPr>
                          <a:xfrm>
                            <a:off x="485470" y="2763130"/>
                            <a:ext cx="660400" cy="143510"/>
                          </a:xfrm>
                          <a:prstGeom prst="rect">
                            <a:avLst/>
                          </a:prstGeom>
                        </wps:spPr>
                        <wps:txbx>
                          <w:txbxContent>
                            <w:p>
                              <w:pPr>
                                <w:spacing w:before="15"/>
                                <w:ind w:left="0" w:right="0" w:firstLine="0"/>
                                <w:jc w:val="left"/>
                                <w:rPr>
                                  <w:sz w:val="16"/>
                                </w:rPr>
                              </w:pPr>
                              <w:r>
                                <w:rPr>
                                  <w:color w:val="FFFFFF"/>
                                  <w:w w:val="110"/>
                                  <w:sz w:val="16"/>
                                </w:rPr>
                                <w:t>Mount</w:t>
                              </w:r>
                              <w:r>
                                <w:rPr>
                                  <w:color w:val="FFFFFF"/>
                                  <w:spacing w:val="-4"/>
                                  <w:w w:val="110"/>
                                  <w:sz w:val="16"/>
                                </w:rPr>
                                <w:t> </w:t>
                              </w:r>
                              <w:r>
                                <w:rPr>
                                  <w:color w:val="FFFFFF"/>
                                  <w:spacing w:val="-2"/>
                                  <w:w w:val="110"/>
                                  <w:sz w:val="16"/>
                                </w:rPr>
                                <w:t>Morris</w:t>
                              </w:r>
                            </w:p>
                          </w:txbxContent>
                        </wps:txbx>
                        <wps:bodyPr wrap="square" lIns="0" tIns="0" rIns="0" bIns="0" rtlCol="0">
                          <a:noAutofit/>
                        </wps:bodyPr>
                      </wps:wsp>
                      <wps:wsp>
                        <wps:cNvPr id="417" name="Textbox 417"/>
                        <wps:cNvSpPr txBox="1"/>
                        <wps:spPr>
                          <a:xfrm>
                            <a:off x="2809622" y="2824387"/>
                            <a:ext cx="455295" cy="143510"/>
                          </a:xfrm>
                          <a:prstGeom prst="rect">
                            <a:avLst/>
                          </a:prstGeom>
                        </wps:spPr>
                        <wps:txbx>
                          <w:txbxContent>
                            <w:p>
                              <w:pPr>
                                <w:spacing w:before="15"/>
                                <w:ind w:left="0" w:right="0" w:firstLine="0"/>
                                <w:jc w:val="left"/>
                                <w:rPr>
                                  <w:sz w:val="16"/>
                                </w:rPr>
                              </w:pPr>
                              <w:r>
                                <w:rPr>
                                  <w:color w:val="FFFFFF"/>
                                  <w:sz w:val="16"/>
                                </w:rPr>
                                <w:t>Penn</w:t>
                              </w:r>
                              <w:r>
                                <w:rPr>
                                  <w:color w:val="FFFFFF"/>
                                  <w:spacing w:val="-3"/>
                                  <w:sz w:val="16"/>
                                </w:rPr>
                                <w:t> </w:t>
                              </w:r>
                              <w:r>
                                <w:rPr>
                                  <w:color w:val="FFFFFF"/>
                                  <w:spacing w:val="-5"/>
                                  <w:sz w:val="16"/>
                                </w:rPr>
                                <w:t>Yan</w:t>
                              </w:r>
                            </w:p>
                          </w:txbxContent>
                        </wps:txbx>
                        <wps:bodyPr wrap="square" lIns="0" tIns="0" rIns="0" bIns="0" rtlCol="0">
                          <a:noAutofit/>
                        </wps:bodyPr>
                      </wps:wsp>
                      <wps:wsp>
                        <wps:cNvPr id="418" name="Textbox 418"/>
                        <wps:cNvSpPr txBox="1"/>
                        <wps:spPr>
                          <a:xfrm>
                            <a:off x="925089" y="3337159"/>
                            <a:ext cx="435609" cy="143510"/>
                          </a:xfrm>
                          <a:prstGeom prst="rect">
                            <a:avLst/>
                          </a:prstGeom>
                        </wps:spPr>
                        <wps:txbx>
                          <w:txbxContent>
                            <w:p>
                              <w:pPr>
                                <w:spacing w:before="15"/>
                                <w:ind w:left="0" w:right="0" w:firstLine="0"/>
                                <w:jc w:val="left"/>
                                <w:rPr>
                                  <w:sz w:val="16"/>
                                </w:rPr>
                              </w:pPr>
                              <w:r>
                                <w:rPr>
                                  <w:color w:val="FFFFFF"/>
                                  <w:spacing w:val="-2"/>
                                  <w:sz w:val="16"/>
                                </w:rPr>
                                <w:t>Dansville</w:t>
                              </w:r>
                            </w:p>
                          </w:txbxContent>
                        </wps:txbx>
                        <wps:bodyPr wrap="square" lIns="0" tIns="0" rIns="0" bIns="0" rtlCol="0">
                          <a:noAutofit/>
                        </wps:bodyPr>
                      </wps:wsp>
                      <wps:wsp>
                        <wps:cNvPr id="419" name="Textbox 419"/>
                        <wps:cNvSpPr txBox="1"/>
                        <wps:spPr>
                          <a:xfrm>
                            <a:off x="2088474" y="4150977"/>
                            <a:ext cx="230504" cy="143510"/>
                          </a:xfrm>
                          <a:prstGeom prst="rect">
                            <a:avLst/>
                          </a:prstGeom>
                        </wps:spPr>
                        <wps:txbx>
                          <w:txbxContent>
                            <w:p>
                              <w:pPr>
                                <w:spacing w:before="15"/>
                                <w:ind w:left="0" w:right="0" w:firstLine="0"/>
                                <w:jc w:val="left"/>
                                <w:rPr>
                                  <w:sz w:val="16"/>
                                </w:rPr>
                              </w:pPr>
                              <w:r>
                                <w:rPr>
                                  <w:color w:val="FFFFFF"/>
                                  <w:spacing w:val="-4"/>
                                  <w:w w:val="105"/>
                                  <w:sz w:val="16"/>
                                </w:rPr>
                                <w:t>Bath</w:t>
                              </w:r>
                            </w:p>
                          </w:txbxContent>
                        </wps:txbx>
                        <wps:bodyPr wrap="square" lIns="0" tIns="0" rIns="0" bIns="0" rtlCol="0">
                          <a:noAutofit/>
                        </wps:bodyPr>
                      </wps:wsp>
                      <wps:wsp>
                        <wps:cNvPr id="420" name="Textbox 420"/>
                        <wps:cNvSpPr txBox="1"/>
                        <wps:spPr>
                          <a:xfrm>
                            <a:off x="2959338" y="5001443"/>
                            <a:ext cx="393065" cy="143510"/>
                          </a:xfrm>
                          <a:prstGeom prst="rect">
                            <a:avLst/>
                          </a:prstGeom>
                        </wps:spPr>
                        <wps:txbx>
                          <w:txbxContent>
                            <w:p>
                              <w:pPr>
                                <w:spacing w:before="15"/>
                                <w:ind w:left="0" w:right="0" w:firstLine="0"/>
                                <w:jc w:val="left"/>
                                <w:rPr>
                                  <w:sz w:val="16"/>
                                </w:rPr>
                              </w:pPr>
                              <w:r>
                                <w:rPr>
                                  <w:color w:val="FFFFFF"/>
                                  <w:spacing w:val="-2"/>
                                  <w:w w:val="105"/>
                                  <w:sz w:val="16"/>
                                </w:rPr>
                                <w:t>Corning</w:t>
                              </w:r>
                            </w:p>
                          </w:txbxContent>
                        </wps:txbx>
                        <wps:bodyPr wrap="square" lIns="0" tIns="0" rIns="0" bIns="0" rtlCol="0">
                          <a:noAutofit/>
                        </wps:bodyPr>
                      </wps:wsp>
                      <wps:wsp>
                        <wps:cNvPr id="421" name="Textbox 421"/>
                        <wps:cNvSpPr txBox="1"/>
                        <wps:spPr>
                          <a:xfrm>
                            <a:off x="3868311" y="5103537"/>
                            <a:ext cx="309245" cy="143510"/>
                          </a:xfrm>
                          <a:prstGeom prst="rect">
                            <a:avLst/>
                          </a:prstGeom>
                        </wps:spPr>
                        <wps:txbx>
                          <w:txbxContent>
                            <w:p>
                              <w:pPr>
                                <w:spacing w:before="15"/>
                                <w:ind w:left="0" w:right="0" w:firstLine="0"/>
                                <w:jc w:val="left"/>
                                <w:rPr>
                                  <w:sz w:val="16"/>
                                </w:rPr>
                              </w:pPr>
                              <w:r>
                                <w:rPr>
                                  <w:color w:val="FFFFFF"/>
                                  <w:spacing w:val="-2"/>
                                  <w:sz w:val="16"/>
                                </w:rPr>
                                <w:t>Elmira</w:t>
                              </w:r>
                            </w:p>
                          </w:txbxContent>
                        </wps:txbx>
                        <wps:bodyPr wrap="square" lIns="0" tIns="0" rIns="0" bIns="0" rtlCol="0">
                          <a:noAutofit/>
                        </wps:bodyPr>
                      </wps:wsp>
                    </wpg:wgp>
                  </a:graphicData>
                </a:graphic>
              </wp:anchor>
            </w:drawing>
          </mc:Choice>
          <mc:Fallback>
            <w:pict>
              <v:group style="position:absolute;margin-left:53.082001pt;margin-top:-17.117987pt;width:460.55pt;height:445.15pt;mso-position-horizontal-relative:page;mso-position-vertical-relative:paragraph;z-index:15772160" id="docshapegroup356" coordorigin="1062,-342" coordsize="9211,8903">
                <v:shape style="position:absolute;left:1061;top:-343;width:9211;height:8903" type="#_x0000_t75" id="docshape357" stroked="false">
                  <v:imagedata r:id="rId58" o:title=""/>
                </v:shape>
                <v:shape style="position:absolute;left:8227;top:-73;width:1545;height:853" type="#_x0000_t202" id="docshape358" filled="false" stroked="false">
                  <v:textbox inset="0,0,0,0">
                    <w:txbxContent>
                      <w:p>
                        <w:pPr>
                          <w:spacing w:before="20"/>
                          <w:ind w:left="0" w:right="0" w:firstLine="0"/>
                          <w:jc w:val="left"/>
                          <w:rPr>
                            <w:sz w:val="26"/>
                          </w:rPr>
                        </w:pPr>
                        <w:r>
                          <w:rPr>
                            <w:color w:val="095C83"/>
                            <w:spacing w:val="-2"/>
                            <w:w w:val="105"/>
                            <w:sz w:val="26"/>
                          </w:rPr>
                          <w:t>Legend</w:t>
                        </w:r>
                      </w:p>
                      <w:p>
                        <w:pPr>
                          <w:spacing w:before="258"/>
                          <w:ind w:left="0" w:right="0" w:firstLine="0"/>
                          <w:jc w:val="left"/>
                          <w:rPr>
                            <w:sz w:val="21"/>
                          </w:rPr>
                        </w:pPr>
                        <w:r>
                          <w:rPr>
                            <w:color w:val="636467"/>
                            <w:sz w:val="21"/>
                          </w:rPr>
                          <w:t>Life</w:t>
                        </w:r>
                        <w:r>
                          <w:rPr>
                            <w:color w:val="636467"/>
                            <w:spacing w:val="14"/>
                            <w:sz w:val="21"/>
                          </w:rPr>
                          <w:t> </w:t>
                        </w:r>
                        <w:r>
                          <w:rPr>
                            <w:color w:val="636467"/>
                            <w:spacing w:val="-2"/>
                            <w:sz w:val="21"/>
                          </w:rPr>
                          <w:t>Expectancy</w:t>
                        </w:r>
                      </w:p>
                    </w:txbxContent>
                  </v:textbox>
                  <w10:wrap type="none"/>
                </v:shape>
                <v:shape style="position:absolute;left:6118;top:1030;width:451;height:226" type="#_x0000_t202" id="docshape359" filled="false" stroked="false">
                  <v:textbox inset="0,0,0,0">
                    <w:txbxContent>
                      <w:p>
                        <w:pPr>
                          <w:spacing w:before="15"/>
                          <w:ind w:left="0" w:right="0" w:firstLine="0"/>
                          <w:jc w:val="left"/>
                          <w:rPr>
                            <w:sz w:val="16"/>
                          </w:rPr>
                        </w:pPr>
                        <w:r>
                          <w:rPr>
                            <w:color w:val="FFFFFF"/>
                            <w:spacing w:val="-2"/>
                            <w:sz w:val="16"/>
                          </w:rPr>
                          <w:t>Lyons</w:t>
                        </w:r>
                      </w:p>
                    </w:txbxContent>
                  </v:textbox>
                  <w10:wrap type="none"/>
                </v:shape>
                <v:shape style="position:absolute;left:5196;top:1544;width:613;height:226" type="#_x0000_t202" id="docshape360" filled="false" stroked="false">
                  <v:textbox inset="0,0,0,0">
                    <w:txbxContent>
                      <w:p>
                        <w:pPr>
                          <w:spacing w:before="15"/>
                          <w:ind w:left="0" w:right="0" w:firstLine="0"/>
                          <w:jc w:val="left"/>
                          <w:rPr>
                            <w:sz w:val="16"/>
                          </w:rPr>
                        </w:pPr>
                        <w:r>
                          <w:rPr>
                            <w:color w:val="FFFFFF"/>
                            <w:spacing w:val="-2"/>
                            <w:sz w:val="16"/>
                          </w:rPr>
                          <w:t>Palmyra</w:t>
                        </w:r>
                      </w:p>
                    </w:txbxContent>
                  </v:textbox>
                  <w10:wrap type="none"/>
                </v:shape>
                <v:shape style="position:absolute;left:8866;top:910;width:959;height:1251" type="#_x0000_t202" id="docshape361" filled="false" stroked="false">
                  <v:textbox inset="0,0,0,0">
                    <w:txbxContent>
                      <w:p>
                        <w:pPr>
                          <w:spacing w:before="9"/>
                          <w:ind w:left="0" w:right="0" w:firstLine="0"/>
                          <w:jc w:val="left"/>
                          <w:rPr>
                            <w:sz w:val="18"/>
                          </w:rPr>
                        </w:pPr>
                        <w:r>
                          <w:rPr>
                            <w:color w:val="636467"/>
                            <w:sz w:val="18"/>
                          </w:rPr>
                          <w:t>65-75</w:t>
                        </w:r>
                        <w:r>
                          <w:rPr>
                            <w:color w:val="636467"/>
                            <w:spacing w:val="-3"/>
                            <w:sz w:val="18"/>
                          </w:rPr>
                          <w:t> </w:t>
                        </w:r>
                        <w:r>
                          <w:rPr>
                            <w:color w:val="636467"/>
                            <w:spacing w:val="-2"/>
                            <w:sz w:val="18"/>
                          </w:rPr>
                          <w:t>years</w:t>
                        </w:r>
                      </w:p>
                      <w:p>
                        <w:pPr>
                          <w:spacing w:before="124"/>
                          <w:ind w:left="0" w:right="0" w:firstLine="0"/>
                          <w:jc w:val="left"/>
                          <w:rPr>
                            <w:sz w:val="18"/>
                          </w:rPr>
                        </w:pPr>
                        <w:r>
                          <w:rPr>
                            <w:color w:val="636467"/>
                            <w:sz w:val="18"/>
                          </w:rPr>
                          <w:t>75-77</w:t>
                        </w:r>
                        <w:r>
                          <w:rPr>
                            <w:color w:val="636467"/>
                            <w:spacing w:val="-11"/>
                            <w:sz w:val="18"/>
                          </w:rPr>
                          <w:t> </w:t>
                        </w:r>
                        <w:r>
                          <w:rPr>
                            <w:color w:val="636467"/>
                            <w:spacing w:val="-2"/>
                            <w:sz w:val="18"/>
                          </w:rPr>
                          <w:t>years</w:t>
                        </w:r>
                      </w:p>
                      <w:p>
                        <w:pPr>
                          <w:spacing w:before="111"/>
                          <w:ind w:left="0" w:right="0" w:firstLine="0"/>
                          <w:jc w:val="left"/>
                          <w:rPr>
                            <w:sz w:val="18"/>
                          </w:rPr>
                        </w:pPr>
                        <w:r>
                          <w:rPr>
                            <w:color w:val="636467"/>
                            <w:sz w:val="18"/>
                          </w:rPr>
                          <w:t>77-79</w:t>
                        </w:r>
                        <w:r>
                          <w:rPr>
                            <w:color w:val="636467"/>
                            <w:spacing w:val="-11"/>
                            <w:sz w:val="18"/>
                          </w:rPr>
                          <w:t> </w:t>
                        </w:r>
                        <w:r>
                          <w:rPr>
                            <w:color w:val="636467"/>
                            <w:spacing w:val="-2"/>
                            <w:sz w:val="18"/>
                          </w:rPr>
                          <w:t>years</w:t>
                        </w:r>
                      </w:p>
                      <w:p>
                        <w:pPr>
                          <w:spacing w:before="152"/>
                          <w:ind w:left="0" w:right="0" w:firstLine="0"/>
                          <w:jc w:val="left"/>
                          <w:rPr>
                            <w:sz w:val="18"/>
                          </w:rPr>
                        </w:pPr>
                        <w:r>
                          <w:rPr>
                            <w:color w:val="636467"/>
                            <w:sz w:val="18"/>
                          </w:rPr>
                          <w:t>79-83</w:t>
                        </w:r>
                        <w:r>
                          <w:rPr>
                            <w:color w:val="636467"/>
                            <w:spacing w:val="-11"/>
                            <w:sz w:val="18"/>
                          </w:rPr>
                          <w:t> </w:t>
                        </w:r>
                        <w:r>
                          <w:rPr>
                            <w:color w:val="636467"/>
                            <w:spacing w:val="-2"/>
                            <w:sz w:val="18"/>
                          </w:rPr>
                          <w:t>years</w:t>
                        </w:r>
                      </w:p>
                    </w:txbxContent>
                  </v:textbox>
                  <w10:wrap type="none"/>
                </v:shape>
                <v:shape style="position:absolute;left:2163;top:2434;width:409;height:226" type="#_x0000_t202" id="docshape362" filled="false" stroked="false">
                  <v:textbox inset="0,0,0,0">
                    <w:txbxContent>
                      <w:p>
                        <w:pPr>
                          <w:spacing w:before="15"/>
                          <w:ind w:left="0" w:right="0" w:firstLine="0"/>
                          <w:jc w:val="left"/>
                          <w:rPr>
                            <w:sz w:val="16"/>
                          </w:rPr>
                        </w:pPr>
                        <w:r>
                          <w:rPr>
                            <w:color w:val="FFFFFF"/>
                            <w:spacing w:val="-4"/>
                            <w:w w:val="105"/>
                            <w:sz w:val="16"/>
                          </w:rPr>
                          <w:t>Avon</w:t>
                        </w:r>
                      </w:p>
                    </w:txbxContent>
                  </v:textbox>
                  <w10:wrap type="none"/>
                </v:shape>
                <v:shape style="position:absolute;left:5893;top:2241;width:1445;height:387" type="#_x0000_t202" id="docshape363" filled="false" stroked="false">
                  <v:textbox inset="0,0,0,0">
                    <w:txbxContent>
                      <w:p>
                        <w:pPr>
                          <w:spacing w:line="172" w:lineRule="exact" w:before="15"/>
                          <w:ind w:left="0" w:right="0" w:firstLine="0"/>
                          <w:jc w:val="left"/>
                          <w:rPr>
                            <w:sz w:val="16"/>
                          </w:rPr>
                        </w:pPr>
                        <w:r>
                          <w:rPr>
                            <w:color w:val="FFFFFF"/>
                            <w:spacing w:val="-2"/>
                            <w:sz w:val="16"/>
                          </w:rPr>
                          <w:t>Geneva</w:t>
                        </w:r>
                      </w:p>
                      <w:p>
                        <w:pPr>
                          <w:spacing w:line="172" w:lineRule="exact" w:before="0"/>
                          <w:ind w:left="514" w:right="0" w:firstLine="0"/>
                          <w:jc w:val="left"/>
                          <w:rPr>
                            <w:sz w:val="16"/>
                          </w:rPr>
                        </w:pPr>
                        <w:r>
                          <w:rPr>
                            <w:color w:val="FFFFFF"/>
                            <w:spacing w:val="-2"/>
                            <w:sz w:val="16"/>
                          </w:rPr>
                          <w:t>Seneca</w:t>
                        </w:r>
                        <w:r>
                          <w:rPr>
                            <w:color w:val="FFFFFF"/>
                            <w:spacing w:val="-4"/>
                            <w:sz w:val="16"/>
                          </w:rPr>
                          <w:t> </w:t>
                        </w:r>
                        <w:r>
                          <w:rPr>
                            <w:color w:val="FFFFFF"/>
                            <w:spacing w:val="-2"/>
                            <w:sz w:val="16"/>
                          </w:rPr>
                          <w:t>Falls</w:t>
                        </w:r>
                      </w:p>
                    </w:txbxContent>
                  </v:textbox>
                  <w10:wrap type="none"/>
                </v:shape>
                <v:shape style="position:absolute;left:4511;top:2851;width:995;height:226" type="#_x0000_t202" id="docshape364" filled="false" stroked="false">
                  <v:textbox inset="0,0,0,0">
                    <w:txbxContent>
                      <w:p>
                        <w:pPr>
                          <w:spacing w:before="15"/>
                          <w:ind w:left="0" w:right="0" w:firstLine="0"/>
                          <w:jc w:val="left"/>
                          <w:rPr>
                            <w:sz w:val="16"/>
                          </w:rPr>
                        </w:pPr>
                        <w:r>
                          <w:rPr>
                            <w:color w:val="FFFFFF"/>
                            <w:spacing w:val="-2"/>
                            <w:sz w:val="16"/>
                          </w:rPr>
                          <w:t>Canandaigua</w:t>
                        </w:r>
                      </w:p>
                    </w:txbxContent>
                  </v:textbox>
                  <w10:wrap type="none"/>
                </v:shape>
                <v:shape style="position:absolute;left:1826;top:4009;width:1040;height:226" type="#_x0000_t202" id="docshape365" filled="false" stroked="false">
                  <v:textbox inset="0,0,0,0">
                    <w:txbxContent>
                      <w:p>
                        <w:pPr>
                          <w:spacing w:before="15"/>
                          <w:ind w:left="0" w:right="0" w:firstLine="0"/>
                          <w:jc w:val="left"/>
                          <w:rPr>
                            <w:sz w:val="16"/>
                          </w:rPr>
                        </w:pPr>
                        <w:r>
                          <w:rPr>
                            <w:color w:val="FFFFFF"/>
                            <w:w w:val="110"/>
                            <w:sz w:val="16"/>
                          </w:rPr>
                          <w:t>Mount</w:t>
                        </w:r>
                        <w:r>
                          <w:rPr>
                            <w:color w:val="FFFFFF"/>
                            <w:spacing w:val="-4"/>
                            <w:w w:val="110"/>
                            <w:sz w:val="16"/>
                          </w:rPr>
                          <w:t> </w:t>
                        </w:r>
                        <w:r>
                          <w:rPr>
                            <w:color w:val="FFFFFF"/>
                            <w:spacing w:val="-2"/>
                            <w:w w:val="110"/>
                            <w:sz w:val="16"/>
                          </w:rPr>
                          <w:t>Morris</w:t>
                        </w:r>
                      </w:p>
                    </w:txbxContent>
                  </v:textbox>
                  <w10:wrap type="none"/>
                </v:shape>
                <v:shape style="position:absolute;left:5486;top:4105;width:717;height:226" type="#_x0000_t202" id="docshape366" filled="false" stroked="false">
                  <v:textbox inset="0,0,0,0">
                    <w:txbxContent>
                      <w:p>
                        <w:pPr>
                          <w:spacing w:before="15"/>
                          <w:ind w:left="0" w:right="0" w:firstLine="0"/>
                          <w:jc w:val="left"/>
                          <w:rPr>
                            <w:sz w:val="16"/>
                          </w:rPr>
                        </w:pPr>
                        <w:r>
                          <w:rPr>
                            <w:color w:val="FFFFFF"/>
                            <w:sz w:val="16"/>
                          </w:rPr>
                          <w:t>Penn</w:t>
                        </w:r>
                        <w:r>
                          <w:rPr>
                            <w:color w:val="FFFFFF"/>
                            <w:spacing w:val="-3"/>
                            <w:sz w:val="16"/>
                          </w:rPr>
                          <w:t> </w:t>
                        </w:r>
                        <w:r>
                          <w:rPr>
                            <w:color w:val="FFFFFF"/>
                            <w:spacing w:val="-5"/>
                            <w:sz w:val="16"/>
                          </w:rPr>
                          <w:t>Yan</w:t>
                        </w:r>
                      </w:p>
                    </w:txbxContent>
                  </v:textbox>
                  <w10:wrap type="none"/>
                </v:shape>
                <v:shape style="position:absolute;left:2518;top:4913;width:686;height:226" type="#_x0000_t202" id="docshape367" filled="false" stroked="false">
                  <v:textbox inset="0,0,0,0">
                    <w:txbxContent>
                      <w:p>
                        <w:pPr>
                          <w:spacing w:before="15"/>
                          <w:ind w:left="0" w:right="0" w:firstLine="0"/>
                          <w:jc w:val="left"/>
                          <w:rPr>
                            <w:sz w:val="16"/>
                          </w:rPr>
                        </w:pPr>
                        <w:r>
                          <w:rPr>
                            <w:color w:val="FFFFFF"/>
                            <w:spacing w:val="-2"/>
                            <w:sz w:val="16"/>
                          </w:rPr>
                          <w:t>Dansville</w:t>
                        </w:r>
                      </w:p>
                    </w:txbxContent>
                  </v:textbox>
                  <w10:wrap type="none"/>
                </v:shape>
                <v:shape style="position:absolute;left:4350;top:6194;width:363;height:226" type="#_x0000_t202" id="docshape368" filled="false" stroked="false">
                  <v:textbox inset="0,0,0,0">
                    <w:txbxContent>
                      <w:p>
                        <w:pPr>
                          <w:spacing w:before="15"/>
                          <w:ind w:left="0" w:right="0" w:firstLine="0"/>
                          <w:jc w:val="left"/>
                          <w:rPr>
                            <w:sz w:val="16"/>
                          </w:rPr>
                        </w:pPr>
                        <w:r>
                          <w:rPr>
                            <w:color w:val="FFFFFF"/>
                            <w:spacing w:val="-4"/>
                            <w:w w:val="105"/>
                            <w:sz w:val="16"/>
                          </w:rPr>
                          <w:t>Bath</w:t>
                        </w:r>
                      </w:p>
                    </w:txbxContent>
                  </v:textbox>
                  <w10:wrap type="none"/>
                </v:shape>
                <v:shape style="position:absolute;left:5722;top:7533;width:619;height:226" type="#_x0000_t202" id="docshape369" filled="false" stroked="false">
                  <v:textbox inset="0,0,0,0">
                    <w:txbxContent>
                      <w:p>
                        <w:pPr>
                          <w:spacing w:before="15"/>
                          <w:ind w:left="0" w:right="0" w:firstLine="0"/>
                          <w:jc w:val="left"/>
                          <w:rPr>
                            <w:sz w:val="16"/>
                          </w:rPr>
                        </w:pPr>
                        <w:r>
                          <w:rPr>
                            <w:color w:val="FFFFFF"/>
                            <w:spacing w:val="-2"/>
                            <w:w w:val="105"/>
                            <w:sz w:val="16"/>
                          </w:rPr>
                          <w:t>Corning</w:t>
                        </w:r>
                      </w:p>
                    </w:txbxContent>
                  </v:textbox>
                  <w10:wrap type="none"/>
                </v:shape>
                <v:shape style="position:absolute;left:7153;top:7694;width:487;height:226" type="#_x0000_t202" id="docshape370" filled="false" stroked="false">
                  <v:textbox inset="0,0,0,0">
                    <w:txbxContent>
                      <w:p>
                        <w:pPr>
                          <w:spacing w:before="15"/>
                          <w:ind w:left="0" w:right="0" w:firstLine="0"/>
                          <w:jc w:val="left"/>
                          <w:rPr>
                            <w:sz w:val="16"/>
                          </w:rPr>
                        </w:pPr>
                        <w:r>
                          <w:rPr>
                            <w:color w:val="FFFFFF"/>
                            <w:spacing w:val="-2"/>
                            <w:sz w:val="16"/>
                          </w:rPr>
                          <w:t>Elmira</w:t>
                        </w:r>
                      </w:p>
                    </w:txbxContent>
                  </v:textbox>
                  <w10:wrap type="none"/>
                </v:shape>
                <w10:wrap type="none"/>
              </v:group>
            </w:pict>
          </mc:Fallback>
        </mc:AlternateContent>
      </w:r>
      <w:r>
        <w:rPr>
          <w:sz w:val="17"/>
        </w:rPr>
        <mc:AlternateContent>
          <mc:Choice Requires="wps">
            <w:drawing>
              <wp:anchor distT="0" distB="0" distL="0" distR="0" allowOverlap="1" layoutInCell="1" locked="0" behindDoc="0" simplePos="0" relativeHeight="15772672">
                <wp:simplePos x="0" y="0"/>
                <wp:positionH relativeFrom="page">
                  <wp:posOffset>9048817</wp:posOffset>
                </wp:positionH>
                <wp:positionV relativeFrom="paragraph">
                  <wp:posOffset>12102</wp:posOffset>
                </wp:positionV>
                <wp:extent cx="5784850" cy="3086735"/>
                <wp:effectExtent l="0" t="0" r="0" b="0"/>
                <wp:wrapNone/>
                <wp:docPr id="422" name="Group 422"/>
                <wp:cNvGraphicFramePr>
                  <a:graphicFrameLocks/>
                </wp:cNvGraphicFramePr>
                <a:graphic>
                  <a:graphicData uri="http://schemas.microsoft.com/office/word/2010/wordprocessingGroup">
                    <wpg:wgp>
                      <wpg:cNvPr id="422" name="Group 422"/>
                      <wpg:cNvGrpSpPr/>
                      <wpg:grpSpPr>
                        <a:xfrm>
                          <a:off x="0" y="0"/>
                          <a:ext cx="5784850" cy="3086735"/>
                          <a:chExt cx="5784850" cy="3086735"/>
                        </a:xfrm>
                      </wpg:grpSpPr>
                      <wps:wsp>
                        <wps:cNvPr id="423" name="Textbox 423"/>
                        <wps:cNvSpPr txBox="1"/>
                        <wps:spPr>
                          <a:xfrm>
                            <a:off x="330018" y="1525042"/>
                            <a:ext cx="258445" cy="897255"/>
                          </a:xfrm>
                          <a:prstGeom prst="rect">
                            <a:avLst/>
                          </a:prstGeom>
                          <a:solidFill>
                            <a:srgbClr val="00A79E"/>
                          </a:solidFill>
                        </wps:spPr>
                        <wps:txbx>
                          <w:txbxContent>
                            <w:p>
                              <w:pPr>
                                <w:spacing w:line="240" w:lineRule="auto" w:before="0"/>
                                <w:rPr>
                                  <w:b/>
                                  <w:color w:val="000000"/>
                                  <w:sz w:val="13"/>
                                </w:rPr>
                              </w:pPr>
                            </w:p>
                            <w:p>
                              <w:pPr>
                                <w:spacing w:line="240" w:lineRule="auto" w:before="0"/>
                                <w:rPr>
                                  <w:b/>
                                  <w:color w:val="000000"/>
                                  <w:sz w:val="13"/>
                                </w:rPr>
                              </w:pPr>
                            </w:p>
                            <w:p>
                              <w:pPr>
                                <w:spacing w:line="240" w:lineRule="auto" w:before="0"/>
                                <w:rPr>
                                  <w:b/>
                                  <w:color w:val="000000"/>
                                  <w:sz w:val="13"/>
                                </w:rPr>
                              </w:pPr>
                            </w:p>
                            <w:p>
                              <w:pPr>
                                <w:spacing w:line="240" w:lineRule="auto" w:before="37"/>
                                <w:rPr>
                                  <w:b/>
                                  <w:color w:val="000000"/>
                                  <w:sz w:val="13"/>
                                </w:rPr>
                              </w:pPr>
                            </w:p>
                            <w:p>
                              <w:pPr>
                                <w:spacing w:before="0"/>
                                <w:ind w:left="90" w:right="0" w:firstLine="0"/>
                                <w:jc w:val="left"/>
                                <w:rPr>
                                  <w:b/>
                                  <w:color w:val="000000"/>
                                  <w:sz w:val="13"/>
                                </w:rPr>
                              </w:pPr>
                              <w:r>
                                <w:rPr>
                                  <w:b/>
                                  <w:color w:val="FFFFFF"/>
                                  <w:spacing w:val="-5"/>
                                  <w:w w:val="110"/>
                                  <w:sz w:val="13"/>
                                </w:rPr>
                                <w:t>606</w:t>
                              </w:r>
                            </w:p>
                          </w:txbxContent>
                        </wps:txbx>
                        <wps:bodyPr wrap="square" lIns="0" tIns="0" rIns="0" bIns="0" rtlCol="0">
                          <a:noAutofit/>
                        </wps:bodyPr>
                      </wps:wsp>
                      <wps:wsp>
                        <wps:cNvPr id="424" name="Graphic 424"/>
                        <wps:cNvSpPr/>
                        <wps:spPr>
                          <a:xfrm>
                            <a:off x="1542881" y="742760"/>
                            <a:ext cx="2698750" cy="1679575"/>
                          </a:xfrm>
                          <a:custGeom>
                            <a:avLst/>
                            <a:gdLst/>
                            <a:ahLst/>
                            <a:cxnLst/>
                            <a:rect l="l" t="t" r="r" b="b"/>
                            <a:pathLst>
                              <a:path w="2698750" h="1679575">
                                <a:moveTo>
                                  <a:pt x="265544" y="0"/>
                                </a:moveTo>
                                <a:lnTo>
                                  <a:pt x="0" y="0"/>
                                </a:lnTo>
                                <a:lnTo>
                                  <a:pt x="0" y="1679371"/>
                                </a:lnTo>
                                <a:lnTo>
                                  <a:pt x="265544" y="1679371"/>
                                </a:lnTo>
                                <a:lnTo>
                                  <a:pt x="265544" y="0"/>
                                </a:lnTo>
                                <a:close/>
                              </a:path>
                              <a:path w="2698750" h="1679575">
                                <a:moveTo>
                                  <a:pt x="2698470" y="1593253"/>
                                </a:moveTo>
                                <a:lnTo>
                                  <a:pt x="2432913" y="1593253"/>
                                </a:lnTo>
                                <a:lnTo>
                                  <a:pt x="2432913" y="1679371"/>
                                </a:lnTo>
                                <a:lnTo>
                                  <a:pt x="2698470" y="1679371"/>
                                </a:lnTo>
                                <a:lnTo>
                                  <a:pt x="2698470" y="1593253"/>
                                </a:lnTo>
                                <a:close/>
                              </a:path>
                            </a:pathLst>
                          </a:custGeom>
                          <a:solidFill>
                            <a:srgbClr val="00A79E"/>
                          </a:solidFill>
                        </wps:spPr>
                        <wps:bodyPr wrap="square" lIns="0" tIns="0" rIns="0" bIns="0" rtlCol="0">
                          <a:prstTxWarp prst="textNoShape">
                            <a:avLst/>
                          </a:prstTxWarp>
                          <a:noAutofit/>
                        </wps:bodyPr>
                      </wps:wsp>
                      <wps:wsp>
                        <wps:cNvPr id="425" name="Graphic 425"/>
                        <wps:cNvSpPr/>
                        <wps:spPr>
                          <a:xfrm>
                            <a:off x="1241459" y="427000"/>
                            <a:ext cx="2698750" cy="1995170"/>
                          </a:xfrm>
                          <a:custGeom>
                            <a:avLst/>
                            <a:gdLst/>
                            <a:ahLst/>
                            <a:cxnLst/>
                            <a:rect l="l" t="t" r="r" b="b"/>
                            <a:pathLst>
                              <a:path w="2698750" h="1995170">
                                <a:moveTo>
                                  <a:pt x="265544" y="0"/>
                                </a:moveTo>
                                <a:lnTo>
                                  <a:pt x="0" y="0"/>
                                </a:lnTo>
                                <a:lnTo>
                                  <a:pt x="0" y="1995144"/>
                                </a:lnTo>
                                <a:lnTo>
                                  <a:pt x="265544" y="1995144"/>
                                </a:lnTo>
                                <a:lnTo>
                                  <a:pt x="265544" y="0"/>
                                </a:lnTo>
                                <a:close/>
                              </a:path>
                              <a:path w="2698750" h="1995170">
                                <a:moveTo>
                                  <a:pt x="2698470" y="1743964"/>
                                </a:moveTo>
                                <a:lnTo>
                                  <a:pt x="2432926" y="1743964"/>
                                </a:lnTo>
                                <a:lnTo>
                                  <a:pt x="2432926" y="1995144"/>
                                </a:lnTo>
                                <a:lnTo>
                                  <a:pt x="2698470" y="1995144"/>
                                </a:lnTo>
                                <a:lnTo>
                                  <a:pt x="2698470" y="1743964"/>
                                </a:lnTo>
                                <a:close/>
                              </a:path>
                            </a:pathLst>
                          </a:custGeom>
                          <a:solidFill>
                            <a:srgbClr val="105C84"/>
                          </a:solidFill>
                        </wps:spPr>
                        <wps:bodyPr wrap="square" lIns="0" tIns="0" rIns="0" bIns="0" rtlCol="0">
                          <a:prstTxWarp prst="textNoShape">
                            <a:avLst/>
                          </a:prstTxWarp>
                          <a:noAutofit/>
                        </wps:bodyPr>
                      </wps:wsp>
                      <wps:wsp>
                        <wps:cNvPr id="426" name="Graphic 426"/>
                        <wps:cNvSpPr/>
                        <wps:spPr>
                          <a:xfrm>
                            <a:off x="1844305" y="427008"/>
                            <a:ext cx="1485900" cy="1356995"/>
                          </a:xfrm>
                          <a:custGeom>
                            <a:avLst/>
                            <a:gdLst/>
                            <a:ahLst/>
                            <a:cxnLst/>
                            <a:rect l="l" t="t" r="r" b="b"/>
                            <a:pathLst>
                              <a:path w="1485900" h="1356995">
                                <a:moveTo>
                                  <a:pt x="0" y="0"/>
                                </a:moveTo>
                                <a:lnTo>
                                  <a:pt x="265544" y="0"/>
                                </a:lnTo>
                                <a:lnTo>
                                  <a:pt x="265544" y="315772"/>
                                </a:lnTo>
                                <a:lnTo>
                                  <a:pt x="0" y="315772"/>
                                </a:lnTo>
                                <a:lnTo>
                                  <a:pt x="0" y="0"/>
                                </a:lnTo>
                                <a:close/>
                              </a:path>
                              <a:path w="1485900" h="1356995">
                                <a:moveTo>
                                  <a:pt x="1220050" y="1062164"/>
                                </a:moveTo>
                                <a:lnTo>
                                  <a:pt x="1485595" y="1062164"/>
                                </a:lnTo>
                                <a:lnTo>
                                  <a:pt x="1485595" y="1356410"/>
                                </a:lnTo>
                                <a:lnTo>
                                  <a:pt x="1220050" y="1356410"/>
                                </a:lnTo>
                                <a:lnTo>
                                  <a:pt x="1220050" y="1062164"/>
                                </a:lnTo>
                                <a:close/>
                              </a:path>
                            </a:pathLst>
                          </a:custGeom>
                          <a:ln w="8851">
                            <a:solidFill>
                              <a:srgbClr val="636466"/>
                            </a:solidFill>
                            <a:prstDash val="solid"/>
                          </a:ln>
                        </wps:spPr>
                        <wps:bodyPr wrap="square" lIns="0" tIns="0" rIns="0" bIns="0" rtlCol="0">
                          <a:prstTxWarp prst="textNoShape">
                            <a:avLst/>
                          </a:prstTxWarp>
                          <a:noAutofit/>
                        </wps:bodyPr>
                      </wps:wsp>
                      <wps:wsp>
                        <wps:cNvPr id="427" name="Graphic 427"/>
                        <wps:cNvSpPr/>
                        <wps:spPr>
                          <a:xfrm>
                            <a:off x="3454" y="3454"/>
                            <a:ext cx="5777865" cy="2415540"/>
                          </a:xfrm>
                          <a:custGeom>
                            <a:avLst/>
                            <a:gdLst/>
                            <a:ahLst/>
                            <a:cxnLst/>
                            <a:rect l="l" t="t" r="r" b="b"/>
                            <a:pathLst>
                              <a:path w="5777865" h="2415540">
                                <a:moveTo>
                                  <a:pt x="5777318" y="2415095"/>
                                </a:moveTo>
                                <a:lnTo>
                                  <a:pt x="0" y="2415095"/>
                                </a:lnTo>
                                <a:lnTo>
                                  <a:pt x="0" y="0"/>
                                </a:lnTo>
                              </a:path>
                            </a:pathLst>
                          </a:custGeom>
                          <a:ln w="6908">
                            <a:solidFill>
                              <a:srgbClr val="939598"/>
                            </a:solidFill>
                            <a:prstDash val="solid"/>
                          </a:ln>
                        </wps:spPr>
                        <wps:bodyPr wrap="square" lIns="0" tIns="0" rIns="0" bIns="0" rtlCol="0">
                          <a:prstTxWarp prst="textNoShape">
                            <a:avLst/>
                          </a:prstTxWarp>
                          <a:noAutofit/>
                        </wps:bodyPr>
                      </wps:wsp>
                      <wps:wsp>
                        <wps:cNvPr id="428" name="Graphic 428"/>
                        <wps:cNvSpPr/>
                        <wps:spPr>
                          <a:xfrm>
                            <a:off x="3467" y="2417589"/>
                            <a:ext cx="5777865" cy="633095"/>
                          </a:xfrm>
                          <a:custGeom>
                            <a:avLst/>
                            <a:gdLst/>
                            <a:ahLst/>
                            <a:cxnLst/>
                            <a:rect l="l" t="t" r="r" b="b"/>
                            <a:pathLst>
                              <a:path w="5777865" h="633095">
                                <a:moveTo>
                                  <a:pt x="5165623" y="0"/>
                                </a:moveTo>
                                <a:lnTo>
                                  <a:pt x="5165623" y="308178"/>
                                </a:lnTo>
                              </a:path>
                              <a:path w="5777865" h="633095">
                                <a:moveTo>
                                  <a:pt x="5477243" y="0"/>
                                </a:moveTo>
                                <a:lnTo>
                                  <a:pt x="5477243" y="308178"/>
                                </a:lnTo>
                              </a:path>
                              <a:path w="5777865" h="633095">
                                <a:moveTo>
                                  <a:pt x="3951122" y="0"/>
                                </a:moveTo>
                                <a:lnTo>
                                  <a:pt x="3951122" y="308178"/>
                                </a:lnTo>
                              </a:path>
                              <a:path w="5777865" h="633095">
                                <a:moveTo>
                                  <a:pt x="4262755" y="0"/>
                                </a:moveTo>
                                <a:lnTo>
                                  <a:pt x="4262755" y="308178"/>
                                </a:lnTo>
                              </a:path>
                              <a:path w="5777865" h="633095">
                                <a:moveTo>
                                  <a:pt x="2736634" y="0"/>
                                </a:moveTo>
                                <a:lnTo>
                                  <a:pt x="2736634" y="308178"/>
                                </a:lnTo>
                              </a:path>
                              <a:path w="5777865" h="633095">
                                <a:moveTo>
                                  <a:pt x="3048241" y="0"/>
                                </a:moveTo>
                                <a:lnTo>
                                  <a:pt x="3048241" y="308178"/>
                                </a:lnTo>
                              </a:path>
                              <a:path w="5777865" h="633095">
                                <a:moveTo>
                                  <a:pt x="1522133" y="0"/>
                                </a:moveTo>
                                <a:lnTo>
                                  <a:pt x="1522133" y="308178"/>
                                </a:lnTo>
                              </a:path>
                              <a:path w="5777865" h="633095">
                                <a:moveTo>
                                  <a:pt x="1833740" y="0"/>
                                </a:moveTo>
                                <a:lnTo>
                                  <a:pt x="1833740" y="308178"/>
                                </a:lnTo>
                              </a:path>
                              <a:path w="5777865" h="633095">
                                <a:moveTo>
                                  <a:pt x="300761" y="0"/>
                                </a:moveTo>
                                <a:lnTo>
                                  <a:pt x="300761" y="308178"/>
                                </a:lnTo>
                              </a:path>
                              <a:path w="5777865" h="633095">
                                <a:moveTo>
                                  <a:pt x="612368" y="0"/>
                                </a:moveTo>
                                <a:lnTo>
                                  <a:pt x="612368" y="308178"/>
                                </a:lnTo>
                              </a:path>
                              <a:path w="5777865" h="633095">
                                <a:moveTo>
                                  <a:pt x="0" y="0"/>
                                </a:moveTo>
                                <a:lnTo>
                                  <a:pt x="0" y="632523"/>
                                </a:lnTo>
                              </a:path>
                              <a:path w="5777865" h="633095">
                                <a:moveTo>
                                  <a:pt x="911453" y="0"/>
                                </a:moveTo>
                                <a:lnTo>
                                  <a:pt x="911453" y="632523"/>
                                </a:lnTo>
                              </a:path>
                              <a:path w="5777865" h="633095">
                                <a:moveTo>
                                  <a:pt x="1212862" y="0"/>
                                </a:moveTo>
                                <a:lnTo>
                                  <a:pt x="1212862" y="632523"/>
                                </a:lnTo>
                              </a:path>
                              <a:path w="5777865" h="633095">
                                <a:moveTo>
                                  <a:pt x="2131504" y="0"/>
                                </a:moveTo>
                                <a:lnTo>
                                  <a:pt x="2131504" y="632523"/>
                                </a:lnTo>
                              </a:path>
                              <a:path w="5777865" h="633095">
                                <a:moveTo>
                                  <a:pt x="2432913" y="0"/>
                                </a:moveTo>
                                <a:lnTo>
                                  <a:pt x="2432913" y="632523"/>
                                </a:lnTo>
                              </a:path>
                              <a:path w="5777865" h="633095">
                                <a:moveTo>
                                  <a:pt x="3344367" y="0"/>
                                </a:moveTo>
                                <a:lnTo>
                                  <a:pt x="3344367" y="632523"/>
                                </a:lnTo>
                              </a:path>
                              <a:path w="5777865" h="633095">
                                <a:moveTo>
                                  <a:pt x="3645801" y="0"/>
                                </a:moveTo>
                                <a:lnTo>
                                  <a:pt x="3645801" y="632523"/>
                                </a:lnTo>
                              </a:path>
                              <a:path w="5777865" h="633095">
                                <a:moveTo>
                                  <a:pt x="4564430" y="0"/>
                                </a:moveTo>
                                <a:lnTo>
                                  <a:pt x="4564430" y="632523"/>
                                </a:lnTo>
                              </a:path>
                              <a:path w="5777865" h="633095">
                                <a:moveTo>
                                  <a:pt x="4865852" y="0"/>
                                </a:moveTo>
                                <a:lnTo>
                                  <a:pt x="4865852" y="632523"/>
                                </a:lnTo>
                              </a:path>
                              <a:path w="5777865" h="633095">
                                <a:moveTo>
                                  <a:pt x="5777306" y="0"/>
                                </a:moveTo>
                                <a:lnTo>
                                  <a:pt x="5777306" y="632523"/>
                                </a:lnTo>
                              </a:path>
                            </a:pathLst>
                          </a:custGeom>
                          <a:ln w="6908">
                            <a:solidFill>
                              <a:srgbClr val="939598"/>
                            </a:solidFill>
                            <a:prstDash val="solid"/>
                          </a:ln>
                        </wps:spPr>
                        <wps:bodyPr wrap="square" lIns="0" tIns="0" rIns="0" bIns="0" rtlCol="0">
                          <a:prstTxWarp prst="textNoShape">
                            <a:avLst/>
                          </a:prstTxWarp>
                          <a:noAutofit/>
                        </wps:bodyPr>
                      </wps:wsp>
                      <wps:wsp>
                        <wps:cNvPr id="429" name="Graphic 429"/>
                        <wps:cNvSpPr/>
                        <wps:spPr>
                          <a:xfrm>
                            <a:off x="718648" y="2510227"/>
                            <a:ext cx="90170" cy="86995"/>
                          </a:xfrm>
                          <a:custGeom>
                            <a:avLst/>
                            <a:gdLst/>
                            <a:ahLst/>
                            <a:cxnLst/>
                            <a:rect l="l" t="t" r="r" b="b"/>
                            <a:pathLst>
                              <a:path w="90170" h="86995">
                                <a:moveTo>
                                  <a:pt x="89966" y="86906"/>
                                </a:moveTo>
                                <a:lnTo>
                                  <a:pt x="44983" y="0"/>
                                </a:lnTo>
                                <a:lnTo>
                                  <a:pt x="0" y="86906"/>
                                </a:lnTo>
                                <a:lnTo>
                                  <a:pt x="89966" y="86906"/>
                                </a:lnTo>
                                <a:close/>
                              </a:path>
                            </a:pathLst>
                          </a:custGeom>
                          <a:ln w="8851">
                            <a:solidFill>
                              <a:srgbClr val="636466"/>
                            </a:solidFill>
                            <a:prstDash val="solid"/>
                          </a:ln>
                        </wps:spPr>
                        <wps:bodyPr wrap="square" lIns="0" tIns="0" rIns="0" bIns="0" rtlCol="0">
                          <a:prstTxWarp prst="textNoShape">
                            <a:avLst/>
                          </a:prstTxWarp>
                          <a:noAutofit/>
                        </wps:bodyPr>
                      </wps:wsp>
                      <wps:wsp>
                        <wps:cNvPr id="430" name="Graphic 430"/>
                        <wps:cNvSpPr/>
                        <wps:spPr>
                          <a:xfrm>
                            <a:off x="1933149" y="2510227"/>
                            <a:ext cx="90170" cy="86995"/>
                          </a:xfrm>
                          <a:custGeom>
                            <a:avLst/>
                            <a:gdLst/>
                            <a:ahLst/>
                            <a:cxnLst/>
                            <a:rect l="l" t="t" r="r" b="b"/>
                            <a:pathLst>
                              <a:path w="90170" h="86995">
                                <a:moveTo>
                                  <a:pt x="89966" y="86906"/>
                                </a:moveTo>
                                <a:lnTo>
                                  <a:pt x="44983" y="0"/>
                                </a:lnTo>
                                <a:lnTo>
                                  <a:pt x="0" y="86906"/>
                                </a:lnTo>
                                <a:lnTo>
                                  <a:pt x="89966" y="86906"/>
                                </a:lnTo>
                                <a:close/>
                              </a:path>
                            </a:pathLst>
                          </a:custGeom>
                          <a:ln w="8851">
                            <a:solidFill>
                              <a:srgbClr val="636466"/>
                            </a:solidFill>
                            <a:prstDash val="solid"/>
                          </a:ln>
                        </wps:spPr>
                        <wps:bodyPr wrap="square" lIns="0" tIns="0" rIns="0" bIns="0" rtlCol="0">
                          <a:prstTxWarp prst="textNoShape">
                            <a:avLst/>
                          </a:prstTxWarp>
                          <a:noAutofit/>
                        </wps:bodyPr>
                      </wps:wsp>
                      <wps:wsp>
                        <wps:cNvPr id="431" name="Graphic 431"/>
                        <wps:cNvSpPr/>
                        <wps:spPr>
                          <a:xfrm>
                            <a:off x="3161377" y="2510227"/>
                            <a:ext cx="90170" cy="86995"/>
                          </a:xfrm>
                          <a:custGeom>
                            <a:avLst/>
                            <a:gdLst/>
                            <a:ahLst/>
                            <a:cxnLst/>
                            <a:rect l="l" t="t" r="r" b="b"/>
                            <a:pathLst>
                              <a:path w="90170" h="86995">
                                <a:moveTo>
                                  <a:pt x="89966" y="86906"/>
                                </a:moveTo>
                                <a:lnTo>
                                  <a:pt x="44983" y="0"/>
                                </a:lnTo>
                                <a:lnTo>
                                  <a:pt x="0" y="86906"/>
                                </a:lnTo>
                                <a:lnTo>
                                  <a:pt x="89966" y="86906"/>
                                </a:lnTo>
                                <a:close/>
                              </a:path>
                            </a:pathLst>
                          </a:custGeom>
                          <a:ln w="8851">
                            <a:solidFill>
                              <a:srgbClr val="636466"/>
                            </a:solidFill>
                            <a:prstDash val="solid"/>
                          </a:ln>
                        </wps:spPr>
                        <wps:bodyPr wrap="square" lIns="0" tIns="0" rIns="0" bIns="0" rtlCol="0">
                          <a:prstTxWarp prst="textNoShape">
                            <a:avLst/>
                          </a:prstTxWarp>
                          <a:noAutofit/>
                        </wps:bodyPr>
                      </wps:wsp>
                      <wps:wsp>
                        <wps:cNvPr id="432" name="Graphic 432"/>
                        <wps:cNvSpPr/>
                        <wps:spPr>
                          <a:xfrm>
                            <a:off x="4375885" y="2510227"/>
                            <a:ext cx="90170" cy="86995"/>
                          </a:xfrm>
                          <a:custGeom>
                            <a:avLst/>
                            <a:gdLst/>
                            <a:ahLst/>
                            <a:cxnLst/>
                            <a:rect l="l" t="t" r="r" b="b"/>
                            <a:pathLst>
                              <a:path w="90170" h="86995">
                                <a:moveTo>
                                  <a:pt x="89954" y="86906"/>
                                </a:moveTo>
                                <a:lnTo>
                                  <a:pt x="44970" y="0"/>
                                </a:lnTo>
                                <a:lnTo>
                                  <a:pt x="0" y="86906"/>
                                </a:lnTo>
                                <a:lnTo>
                                  <a:pt x="89954" y="86906"/>
                                </a:lnTo>
                                <a:close/>
                              </a:path>
                            </a:pathLst>
                          </a:custGeom>
                          <a:ln w="8851">
                            <a:solidFill>
                              <a:srgbClr val="636466"/>
                            </a:solidFill>
                            <a:prstDash val="solid"/>
                          </a:ln>
                        </wps:spPr>
                        <wps:bodyPr wrap="square" lIns="0" tIns="0" rIns="0" bIns="0" rtlCol="0">
                          <a:prstTxWarp prst="textNoShape">
                            <a:avLst/>
                          </a:prstTxWarp>
                          <a:noAutofit/>
                        </wps:bodyPr>
                      </wps:wsp>
                      <wps:wsp>
                        <wps:cNvPr id="433" name="Graphic 433"/>
                        <wps:cNvSpPr/>
                        <wps:spPr>
                          <a:xfrm>
                            <a:off x="5591197" y="2510227"/>
                            <a:ext cx="90170" cy="86995"/>
                          </a:xfrm>
                          <a:custGeom>
                            <a:avLst/>
                            <a:gdLst/>
                            <a:ahLst/>
                            <a:cxnLst/>
                            <a:rect l="l" t="t" r="r" b="b"/>
                            <a:pathLst>
                              <a:path w="90170" h="86995">
                                <a:moveTo>
                                  <a:pt x="89954" y="86906"/>
                                </a:moveTo>
                                <a:lnTo>
                                  <a:pt x="44983" y="0"/>
                                </a:lnTo>
                                <a:lnTo>
                                  <a:pt x="0" y="86906"/>
                                </a:lnTo>
                                <a:lnTo>
                                  <a:pt x="89954" y="86906"/>
                                </a:lnTo>
                                <a:close/>
                              </a:path>
                            </a:pathLst>
                          </a:custGeom>
                          <a:ln w="8851">
                            <a:solidFill>
                              <a:srgbClr val="636466"/>
                            </a:solidFill>
                            <a:prstDash val="solid"/>
                          </a:ln>
                        </wps:spPr>
                        <wps:bodyPr wrap="square" lIns="0" tIns="0" rIns="0" bIns="0" rtlCol="0">
                          <a:prstTxWarp prst="textNoShape">
                            <a:avLst/>
                          </a:prstTxWarp>
                          <a:noAutofit/>
                        </wps:bodyPr>
                      </wps:wsp>
                      <wps:wsp>
                        <wps:cNvPr id="434" name="Textbox 434"/>
                        <wps:cNvSpPr txBox="1"/>
                        <wps:spPr>
                          <a:xfrm>
                            <a:off x="1899430" y="534837"/>
                            <a:ext cx="165735" cy="118110"/>
                          </a:xfrm>
                          <a:prstGeom prst="rect">
                            <a:avLst/>
                          </a:prstGeom>
                        </wps:spPr>
                        <wps:txbx>
                          <w:txbxContent>
                            <w:p>
                              <w:pPr>
                                <w:spacing w:before="13"/>
                                <w:ind w:left="0" w:right="0" w:firstLine="0"/>
                                <w:jc w:val="left"/>
                                <w:rPr>
                                  <w:b/>
                                  <w:sz w:val="13"/>
                                </w:rPr>
                              </w:pPr>
                              <w:r>
                                <w:rPr>
                                  <w:b/>
                                  <w:color w:val="636466"/>
                                  <w:spacing w:val="-5"/>
                                  <w:w w:val="110"/>
                                  <w:sz w:val="13"/>
                                </w:rPr>
                                <w:t>213</w:t>
                              </w:r>
                            </w:p>
                          </w:txbxContent>
                        </wps:txbx>
                        <wps:bodyPr wrap="square" lIns="0" tIns="0" rIns="0" bIns="0" rtlCol="0">
                          <a:noAutofit/>
                        </wps:bodyPr>
                      </wps:wsp>
                      <wps:wsp>
                        <wps:cNvPr id="435" name="Textbox 435"/>
                        <wps:cNvSpPr txBox="1"/>
                        <wps:spPr>
                          <a:xfrm>
                            <a:off x="1275951" y="1367261"/>
                            <a:ext cx="216535" cy="118110"/>
                          </a:xfrm>
                          <a:prstGeom prst="rect">
                            <a:avLst/>
                          </a:prstGeom>
                        </wps:spPr>
                        <wps:txbx>
                          <w:txbxContent>
                            <w:p>
                              <w:pPr>
                                <w:spacing w:before="13"/>
                                <w:ind w:left="0" w:right="0" w:firstLine="0"/>
                                <w:jc w:val="left"/>
                                <w:rPr>
                                  <w:b/>
                                  <w:sz w:val="13"/>
                                </w:rPr>
                              </w:pPr>
                              <w:r>
                                <w:rPr>
                                  <w:b/>
                                  <w:color w:val="FFFFFF"/>
                                  <w:spacing w:val="-4"/>
                                  <w:w w:val="110"/>
                                  <w:sz w:val="13"/>
                                </w:rPr>
                                <w:t>1348</w:t>
                              </w:r>
                            </w:p>
                          </w:txbxContent>
                        </wps:txbx>
                        <wps:bodyPr wrap="square" lIns="0" tIns="0" rIns="0" bIns="0" rtlCol="0">
                          <a:noAutofit/>
                        </wps:bodyPr>
                      </wps:wsp>
                      <wps:wsp>
                        <wps:cNvPr id="436" name="Textbox 436"/>
                        <wps:cNvSpPr txBox="1"/>
                        <wps:spPr>
                          <a:xfrm>
                            <a:off x="1579988" y="1525175"/>
                            <a:ext cx="216535" cy="118110"/>
                          </a:xfrm>
                          <a:prstGeom prst="rect">
                            <a:avLst/>
                          </a:prstGeom>
                        </wps:spPr>
                        <wps:txbx>
                          <w:txbxContent>
                            <w:p>
                              <w:pPr>
                                <w:spacing w:before="13"/>
                                <w:ind w:left="0" w:right="0" w:firstLine="0"/>
                                <w:jc w:val="left"/>
                                <w:rPr>
                                  <w:b/>
                                  <w:sz w:val="13"/>
                                </w:rPr>
                              </w:pPr>
                              <w:r>
                                <w:rPr>
                                  <w:b/>
                                  <w:color w:val="FFFFFF"/>
                                  <w:spacing w:val="-4"/>
                                  <w:w w:val="110"/>
                                  <w:sz w:val="13"/>
                                </w:rPr>
                                <w:t>1135</w:t>
                              </w:r>
                            </w:p>
                          </w:txbxContent>
                        </wps:txbx>
                        <wps:bodyPr wrap="square" lIns="0" tIns="0" rIns="0" bIns="0" rtlCol="0">
                          <a:noAutofit/>
                        </wps:bodyPr>
                      </wps:wsp>
                      <wps:wsp>
                        <wps:cNvPr id="437" name="Textbox 437"/>
                        <wps:cNvSpPr txBox="1"/>
                        <wps:spPr>
                          <a:xfrm>
                            <a:off x="3115666" y="1589804"/>
                            <a:ext cx="165735" cy="118110"/>
                          </a:xfrm>
                          <a:prstGeom prst="rect">
                            <a:avLst/>
                          </a:prstGeom>
                        </wps:spPr>
                        <wps:txbx>
                          <w:txbxContent>
                            <w:p>
                              <w:pPr>
                                <w:spacing w:before="13"/>
                                <w:ind w:left="0" w:right="0" w:firstLine="0"/>
                                <w:jc w:val="left"/>
                                <w:rPr>
                                  <w:b/>
                                  <w:sz w:val="13"/>
                                </w:rPr>
                              </w:pPr>
                              <w:r>
                                <w:rPr>
                                  <w:b/>
                                  <w:color w:val="636466"/>
                                  <w:spacing w:val="-5"/>
                                  <w:w w:val="110"/>
                                  <w:sz w:val="13"/>
                                </w:rPr>
                                <w:t>199</w:t>
                              </w:r>
                            </w:p>
                          </w:txbxContent>
                        </wps:txbx>
                        <wps:bodyPr wrap="square" lIns="0" tIns="0" rIns="0" bIns="0" rtlCol="0">
                          <a:noAutofit/>
                        </wps:bodyPr>
                      </wps:wsp>
                      <wps:wsp>
                        <wps:cNvPr id="438" name="Textbox 438"/>
                        <wps:cNvSpPr txBox="1"/>
                        <wps:spPr>
                          <a:xfrm>
                            <a:off x="3732260" y="2242886"/>
                            <a:ext cx="165735" cy="118110"/>
                          </a:xfrm>
                          <a:prstGeom prst="rect">
                            <a:avLst/>
                          </a:prstGeom>
                        </wps:spPr>
                        <wps:txbx>
                          <w:txbxContent>
                            <w:p>
                              <w:pPr>
                                <w:spacing w:before="13"/>
                                <w:ind w:left="0" w:right="0" w:firstLine="0"/>
                                <w:jc w:val="left"/>
                                <w:rPr>
                                  <w:b/>
                                  <w:sz w:val="13"/>
                                </w:rPr>
                              </w:pPr>
                              <w:r>
                                <w:rPr>
                                  <w:b/>
                                  <w:color w:val="FFFFFF"/>
                                  <w:spacing w:val="-5"/>
                                  <w:w w:val="110"/>
                                  <w:sz w:val="13"/>
                                </w:rPr>
                                <w:t>166</w:t>
                              </w:r>
                            </w:p>
                          </w:txbxContent>
                        </wps:txbx>
                        <wps:bodyPr wrap="square" lIns="0" tIns="0" rIns="0" bIns="0" rtlCol="0">
                          <a:noAutofit/>
                        </wps:bodyPr>
                      </wps:wsp>
                      <wps:wsp>
                        <wps:cNvPr id="439" name="Textbox 439"/>
                        <wps:cNvSpPr txBox="1"/>
                        <wps:spPr>
                          <a:xfrm>
                            <a:off x="4060308" y="2329029"/>
                            <a:ext cx="114935" cy="118110"/>
                          </a:xfrm>
                          <a:prstGeom prst="rect">
                            <a:avLst/>
                          </a:prstGeom>
                        </wps:spPr>
                        <wps:txbx>
                          <w:txbxContent>
                            <w:p>
                              <w:pPr>
                                <w:spacing w:before="13"/>
                                <w:ind w:left="0" w:right="0" w:firstLine="0"/>
                                <w:jc w:val="left"/>
                                <w:rPr>
                                  <w:b/>
                                  <w:sz w:val="13"/>
                                </w:rPr>
                              </w:pPr>
                              <w:r>
                                <w:rPr>
                                  <w:b/>
                                  <w:color w:val="FFFFFF"/>
                                  <w:spacing w:val="-5"/>
                                  <w:w w:val="110"/>
                                  <w:sz w:val="13"/>
                                </w:rPr>
                                <w:t>55</w:t>
                              </w:r>
                            </w:p>
                          </w:txbxContent>
                        </wps:txbx>
                        <wps:bodyPr wrap="square" lIns="0" tIns="0" rIns="0" bIns="0" rtlCol="0">
                          <a:noAutofit/>
                        </wps:bodyPr>
                      </wps:wsp>
                      <wps:wsp>
                        <wps:cNvPr id="440" name="Textbox 440"/>
                        <wps:cNvSpPr txBox="1"/>
                        <wps:spPr>
                          <a:xfrm>
                            <a:off x="55094" y="2476637"/>
                            <a:ext cx="505459" cy="273685"/>
                          </a:xfrm>
                          <a:prstGeom prst="rect">
                            <a:avLst/>
                          </a:prstGeom>
                        </wps:spPr>
                        <wps:txbx>
                          <w:txbxContent>
                            <w:p>
                              <w:pPr>
                                <w:spacing w:line="194" w:lineRule="exact" w:before="14"/>
                                <w:ind w:left="0" w:right="0" w:firstLine="0"/>
                                <w:jc w:val="left"/>
                                <w:rPr>
                                  <w:sz w:val="17"/>
                                </w:rPr>
                              </w:pPr>
                              <w:r>
                                <w:rPr>
                                  <w:color w:val="105C84"/>
                                  <w:w w:val="95"/>
                                  <w:sz w:val="17"/>
                                </w:rPr>
                                <w:t>SES</w:t>
                              </w:r>
                              <w:r>
                                <w:rPr>
                                  <w:color w:val="105C84"/>
                                  <w:spacing w:val="29"/>
                                  <w:sz w:val="17"/>
                                </w:rPr>
                                <w:t>  </w:t>
                              </w:r>
                              <w:r>
                                <w:rPr>
                                  <w:color w:val="00A79E"/>
                                  <w:spacing w:val="-5"/>
                                  <w:w w:val="90"/>
                                  <w:sz w:val="17"/>
                                </w:rPr>
                                <w:t>SES</w:t>
                              </w:r>
                            </w:p>
                            <w:p>
                              <w:pPr>
                                <w:tabs>
                                  <w:tab w:pos="500" w:val="left" w:leader="none"/>
                                </w:tabs>
                                <w:spacing w:line="194" w:lineRule="exact" w:before="0"/>
                                <w:ind w:left="21" w:right="0" w:firstLine="0"/>
                                <w:jc w:val="left"/>
                                <w:rPr>
                                  <w:sz w:val="17"/>
                                </w:rPr>
                              </w:pPr>
                              <w:r>
                                <w:rPr>
                                  <w:color w:val="105C84"/>
                                  <w:spacing w:val="-4"/>
                                  <w:sz w:val="17"/>
                                </w:rPr>
                                <w:t>1-</w:t>
                              </w:r>
                              <w:r>
                                <w:rPr>
                                  <w:color w:val="105C84"/>
                                  <w:spacing w:val="-10"/>
                                  <w:sz w:val="17"/>
                                </w:rPr>
                                <w:t>2</w:t>
                              </w:r>
                              <w:r>
                                <w:rPr>
                                  <w:color w:val="105C84"/>
                                  <w:sz w:val="17"/>
                                </w:rPr>
                                <w:tab/>
                              </w:r>
                              <w:r>
                                <w:rPr>
                                  <w:color w:val="00A79E"/>
                                  <w:spacing w:val="-4"/>
                                  <w:sz w:val="17"/>
                                </w:rPr>
                                <w:t>3-</w:t>
                              </w:r>
                              <w:r>
                                <w:rPr>
                                  <w:color w:val="00A79E"/>
                                  <w:spacing w:val="-10"/>
                                  <w:sz w:val="17"/>
                                </w:rPr>
                                <w:t>5</w:t>
                              </w:r>
                            </w:p>
                          </w:txbxContent>
                        </wps:txbx>
                        <wps:bodyPr wrap="square" lIns="0" tIns="0" rIns="0" bIns="0" rtlCol="0">
                          <a:noAutofit/>
                        </wps:bodyPr>
                      </wps:wsp>
                      <wps:wsp>
                        <wps:cNvPr id="441" name="Textbox 441"/>
                        <wps:cNvSpPr txBox="1"/>
                        <wps:spPr>
                          <a:xfrm>
                            <a:off x="1283570" y="2476637"/>
                            <a:ext cx="505459" cy="273685"/>
                          </a:xfrm>
                          <a:prstGeom prst="rect">
                            <a:avLst/>
                          </a:prstGeom>
                        </wps:spPr>
                        <wps:txbx>
                          <w:txbxContent>
                            <w:p>
                              <w:pPr>
                                <w:spacing w:line="194" w:lineRule="exact" w:before="14"/>
                                <w:ind w:left="0" w:right="0" w:firstLine="0"/>
                                <w:jc w:val="left"/>
                                <w:rPr>
                                  <w:sz w:val="17"/>
                                </w:rPr>
                              </w:pPr>
                              <w:r>
                                <w:rPr>
                                  <w:color w:val="105C84"/>
                                  <w:w w:val="95"/>
                                  <w:sz w:val="17"/>
                                </w:rPr>
                                <w:t>SES</w:t>
                              </w:r>
                              <w:r>
                                <w:rPr>
                                  <w:color w:val="105C84"/>
                                  <w:spacing w:val="29"/>
                                  <w:sz w:val="17"/>
                                </w:rPr>
                                <w:t>  </w:t>
                              </w:r>
                              <w:r>
                                <w:rPr>
                                  <w:color w:val="00A79E"/>
                                  <w:spacing w:val="-5"/>
                                  <w:w w:val="90"/>
                                  <w:sz w:val="17"/>
                                </w:rPr>
                                <w:t>SES</w:t>
                              </w:r>
                            </w:p>
                            <w:p>
                              <w:pPr>
                                <w:tabs>
                                  <w:tab w:pos="500" w:val="left" w:leader="none"/>
                                </w:tabs>
                                <w:spacing w:line="194" w:lineRule="exact" w:before="0"/>
                                <w:ind w:left="21" w:right="0" w:firstLine="0"/>
                                <w:jc w:val="left"/>
                                <w:rPr>
                                  <w:sz w:val="17"/>
                                </w:rPr>
                              </w:pPr>
                              <w:r>
                                <w:rPr>
                                  <w:color w:val="105C84"/>
                                  <w:spacing w:val="-4"/>
                                  <w:sz w:val="17"/>
                                </w:rPr>
                                <w:t>1-</w:t>
                              </w:r>
                              <w:r>
                                <w:rPr>
                                  <w:color w:val="105C84"/>
                                  <w:spacing w:val="-10"/>
                                  <w:sz w:val="17"/>
                                </w:rPr>
                                <w:t>2</w:t>
                              </w:r>
                              <w:r>
                                <w:rPr>
                                  <w:color w:val="105C84"/>
                                  <w:sz w:val="17"/>
                                </w:rPr>
                                <w:tab/>
                              </w:r>
                              <w:r>
                                <w:rPr>
                                  <w:color w:val="00A79E"/>
                                  <w:spacing w:val="-4"/>
                                  <w:sz w:val="17"/>
                                </w:rPr>
                                <w:t>3-</w:t>
                              </w:r>
                              <w:r>
                                <w:rPr>
                                  <w:color w:val="00A79E"/>
                                  <w:spacing w:val="-10"/>
                                  <w:sz w:val="17"/>
                                </w:rPr>
                                <w:t>5</w:t>
                              </w:r>
                            </w:p>
                          </w:txbxContent>
                        </wps:txbx>
                        <wps:bodyPr wrap="square" lIns="0" tIns="0" rIns="0" bIns="0" rtlCol="0">
                          <a:noAutofit/>
                        </wps:bodyPr>
                      </wps:wsp>
                      <wps:wsp>
                        <wps:cNvPr id="442" name="Textbox 442"/>
                        <wps:cNvSpPr txBox="1"/>
                        <wps:spPr>
                          <a:xfrm>
                            <a:off x="2487374" y="2476637"/>
                            <a:ext cx="826135" cy="610235"/>
                          </a:xfrm>
                          <a:prstGeom prst="rect">
                            <a:avLst/>
                          </a:prstGeom>
                        </wps:spPr>
                        <wps:txbx>
                          <w:txbxContent>
                            <w:p>
                              <w:pPr>
                                <w:tabs>
                                  <w:tab w:pos="498" w:val="left" w:leader="none"/>
                                </w:tabs>
                                <w:spacing w:line="194" w:lineRule="exact" w:before="14"/>
                                <w:ind w:left="0" w:right="0" w:firstLine="0"/>
                                <w:jc w:val="left"/>
                                <w:rPr>
                                  <w:sz w:val="17"/>
                                </w:rPr>
                              </w:pPr>
                              <w:r>
                                <w:rPr>
                                  <w:color w:val="105C84"/>
                                  <w:spacing w:val="-5"/>
                                  <w:w w:val="95"/>
                                  <w:sz w:val="17"/>
                                </w:rPr>
                                <w:t>SES</w:t>
                              </w:r>
                              <w:r>
                                <w:rPr>
                                  <w:color w:val="105C84"/>
                                  <w:sz w:val="17"/>
                                </w:rPr>
                                <w:tab/>
                              </w:r>
                              <w:r>
                                <w:rPr>
                                  <w:color w:val="00A79E"/>
                                  <w:spacing w:val="-5"/>
                                  <w:w w:val="95"/>
                                  <w:sz w:val="17"/>
                                </w:rPr>
                                <w:t>SES</w:t>
                              </w:r>
                            </w:p>
                            <w:p>
                              <w:pPr>
                                <w:tabs>
                                  <w:tab w:pos="539" w:val="left" w:leader="none"/>
                                </w:tabs>
                                <w:spacing w:line="194" w:lineRule="exact" w:before="0"/>
                                <w:ind w:left="21" w:right="0" w:firstLine="0"/>
                                <w:jc w:val="left"/>
                                <w:rPr>
                                  <w:sz w:val="17"/>
                                </w:rPr>
                              </w:pPr>
                              <w:r>
                                <w:rPr>
                                  <w:color w:val="105C84"/>
                                  <w:spacing w:val="-4"/>
                                  <w:sz w:val="17"/>
                                </w:rPr>
                                <w:t>1-</w:t>
                              </w:r>
                              <w:r>
                                <w:rPr>
                                  <w:color w:val="105C84"/>
                                  <w:spacing w:val="-10"/>
                                  <w:sz w:val="17"/>
                                </w:rPr>
                                <w:t>2</w:t>
                              </w:r>
                              <w:r>
                                <w:rPr>
                                  <w:color w:val="105C84"/>
                                  <w:sz w:val="17"/>
                                </w:rPr>
                                <w:tab/>
                              </w:r>
                              <w:r>
                                <w:rPr>
                                  <w:color w:val="00A79E"/>
                                  <w:spacing w:val="-4"/>
                                  <w:sz w:val="17"/>
                                </w:rPr>
                                <w:t>3-</w:t>
                              </w:r>
                              <w:r>
                                <w:rPr>
                                  <w:color w:val="00A79E"/>
                                  <w:spacing w:val="-10"/>
                                  <w:sz w:val="17"/>
                                </w:rPr>
                                <w:t>5</w:t>
                              </w:r>
                            </w:p>
                            <w:p>
                              <w:pPr>
                                <w:spacing w:before="187"/>
                                <w:ind w:left="372" w:right="0" w:hanging="372"/>
                                <w:jc w:val="left"/>
                                <w:rPr>
                                  <w:sz w:val="15"/>
                                </w:rPr>
                              </w:pPr>
                              <w:r>
                                <w:rPr>
                                  <w:color w:val="636466"/>
                                  <w:spacing w:val="-2"/>
                                  <w:sz w:val="15"/>
                                </w:rPr>
                                <w:t>UNINTENTIONAL</w:t>
                              </w:r>
                              <w:r>
                                <w:rPr>
                                  <w:color w:val="636466"/>
                                  <w:sz w:val="15"/>
                                </w:rPr>
                                <w:t> </w:t>
                              </w:r>
                              <w:r>
                                <w:rPr>
                                  <w:color w:val="636466"/>
                                  <w:spacing w:val="-2"/>
                                  <w:sz w:val="15"/>
                                </w:rPr>
                                <w:t>INJURY</w:t>
                              </w:r>
                            </w:p>
                          </w:txbxContent>
                        </wps:txbx>
                        <wps:bodyPr wrap="square" lIns="0" tIns="0" rIns="0" bIns="0" rtlCol="0">
                          <a:noAutofit/>
                        </wps:bodyPr>
                      </wps:wsp>
                      <wps:wsp>
                        <wps:cNvPr id="443" name="Textbox 443"/>
                        <wps:cNvSpPr txBox="1"/>
                        <wps:spPr>
                          <a:xfrm>
                            <a:off x="3686915" y="2476637"/>
                            <a:ext cx="861694" cy="610235"/>
                          </a:xfrm>
                          <a:prstGeom prst="rect">
                            <a:avLst/>
                          </a:prstGeom>
                        </wps:spPr>
                        <wps:txbx>
                          <w:txbxContent>
                            <w:p>
                              <w:pPr>
                                <w:tabs>
                                  <w:tab w:pos="524" w:val="left" w:leader="none"/>
                                </w:tabs>
                                <w:spacing w:line="194" w:lineRule="exact" w:before="14"/>
                                <w:ind w:left="26" w:right="0" w:firstLine="0"/>
                                <w:jc w:val="left"/>
                                <w:rPr>
                                  <w:sz w:val="17"/>
                                </w:rPr>
                              </w:pPr>
                              <w:r>
                                <w:rPr>
                                  <w:color w:val="105C84"/>
                                  <w:spacing w:val="-5"/>
                                  <w:w w:val="95"/>
                                  <w:sz w:val="17"/>
                                </w:rPr>
                                <w:t>SES</w:t>
                              </w:r>
                              <w:r>
                                <w:rPr>
                                  <w:color w:val="105C84"/>
                                  <w:sz w:val="17"/>
                                </w:rPr>
                                <w:tab/>
                              </w:r>
                              <w:r>
                                <w:rPr>
                                  <w:color w:val="00A79E"/>
                                  <w:spacing w:val="-5"/>
                                  <w:w w:val="95"/>
                                  <w:sz w:val="17"/>
                                </w:rPr>
                                <w:t>SES</w:t>
                              </w:r>
                            </w:p>
                            <w:p>
                              <w:pPr>
                                <w:tabs>
                                  <w:tab w:pos="545" w:val="left" w:leader="none"/>
                                </w:tabs>
                                <w:spacing w:line="194" w:lineRule="exact" w:before="0"/>
                                <w:ind w:left="47" w:right="0" w:firstLine="0"/>
                                <w:jc w:val="left"/>
                                <w:rPr>
                                  <w:sz w:val="17"/>
                                </w:rPr>
                              </w:pPr>
                              <w:r>
                                <w:rPr>
                                  <w:color w:val="105C84"/>
                                  <w:spacing w:val="-4"/>
                                  <w:sz w:val="17"/>
                                </w:rPr>
                                <w:t>1-</w:t>
                              </w:r>
                              <w:r>
                                <w:rPr>
                                  <w:color w:val="105C84"/>
                                  <w:spacing w:val="-10"/>
                                  <w:sz w:val="17"/>
                                </w:rPr>
                                <w:t>2</w:t>
                              </w:r>
                              <w:r>
                                <w:rPr>
                                  <w:color w:val="105C84"/>
                                  <w:sz w:val="17"/>
                                </w:rPr>
                                <w:tab/>
                              </w:r>
                              <w:r>
                                <w:rPr>
                                  <w:color w:val="00A79E"/>
                                  <w:spacing w:val="-4"/>
                                  <w:sz w:val="17"/>
                                </w:rPr>
                                <w:t>3-</w:t>
                              </w:r>
                              <w:r>
                                <w:rPr>
                                  <w:color w:val="00A79E"/>
                                  <w:spacing w:val="-10"/>
                                  <w:sz w:val="17"/>
                                </w:rPr>
                                <w:t>5</w:t>
                              </w:r>
                            </w:p>
                            <w:p>
                              <w:pPr>
                                <w:spacing w:before="187"/>
                                <w:ind w:left="0" w:right="16" w:firstLine="216"/>
                                <w:jc w:val="left"/>
                                <w:rPr>
                                  <w:sz w:val="15"/>
                                </w:rPr>
                              </w:pPr>
                              <w:r>
                                <w:rPr>
                                  <w:color w:val="636466"/>
                                  <w:spacing w:val="-2"/>
                                  <w:sz w:val="15"/>
                                </w:rPr>
                                <w:t>PREMATURE</w:t>
                              </w:r>
                              <w:r>
                                <w:rPr>
                                  <w:color w:val="636466"/>
                                  <w:sz w:val="15"/>
                                </w:rPr>
                                <w:t> </w:t>
                              </w:r>
                              <w:r>
                                <w:rPr>
                                  <w:color w:val="636466"/>
                                  <w:spacing w:val="-4"/>
                                  <w:sz w:val="15"/>
                                </w:rPr>
                                <w:t>BIRTH</w:t>
                              </w:r>
                              <w:r>
                                <w:rPr>
                                  <w:color w:val="636466"/>
                                  <w:spacing w:val="-7"/>
                                  <w:sz w:val="15"/>
                                </w:rPr>
                                <w:t> </w:t>
                              </w:r>
                              <w:r>
                                <w:rPr>
                                  <w:color w:val="636466"/>
                                  <w:spacing w:val="-4"/>
                                  <w:sz w:val="15"/>
                                </w:rPr>
                                <w:t>DISORDERS</w:t>
                              </w:r>
                            </w:p>
                          </w:txbxContent>
                        </wps:txbx>
                        <wps:bodyPr wrap="square" lIns="0" tIns="0" rIns="0" bIns="0" rtlCol="0">
                          <a:noAutofit/>
                        </wps:bodyPr>
                      </wps:wsp>
                      <wps:wsp>
                        <wps:cNvPr id="444" name="Textbox 444"/>
                        <wps:cNvSpPr txBox="1"/>
                        <wps:spPr>
                          <a:xfrm>
                            <a:off x="4919653" y="2476637"/>
                            <a:ext cx="505459" cy="273685"/>
                          </a:xfrm>
                          <a:prstGeom prst="rect">
                            <a:avLst/>
                          </a:prstGeom>
                        </wps:spPr>
                        <wps:txbx>
                          <w:txbxContent>
                            <w:p>
                              <w:pPr>
                                <w:spacing w:line="194" w:lineRule="exact" w:before="14"/>
                                <w:ind w:left="0" w:right="0" w:firstLine="0"/>
                                <w:jc w:val="left"/>
                                <w:rPr>
                                  <w:sz w:val="17"/>
                                </w:rPr>
                              </w:pPr>
                              <w:r>
                                <w:rPr>
                                  <w:color w:val="105C84"/>
                                  <w:w w:val="95"/>
                                  <w:sz w:val="17"/>
                                </w:rPr>
                                <w:t>SES</w:t>
                              </w:r>
                              <w:r>
                                <w:rPr>
                                  <w:color w:val="105C84"/>
                                  <w:spacing w:val="29"/>
                                  <w:sz w:val="17"/>
                                </w:rPr>
                                <w:t>  </w:t>
                              </w:r>
                              <w:r>
                                <w:rPr>
                                  <w:color w:val="00A79E"/>
                                  <w:spacing w:val="-5"/>
                                  <w:w w:val="90"/>
                                  <w:sz w:val="17"/>
                                </w:rPr>
                                <w:t>SES</w:t>
                              </w:r>
                            </w:p>
                            <w:p>
                              <w:pPr>
                                <w:tabs>
                                  <w:tab w:pos="500" w:val="left" w:leader="none"/>
                                </w:tabs>
                                <w:spacing w:line="194" w:lineRule="exact" w:before="0"/>
                                <w:ind w:left="21" w:right="0" w:firstLine="0"/>
                                <w:jc w:val="left"/>
                                <w:rPr>
                                  <w:sz w:val="17"/>
                                </w:rPr>
                              </w:pPr>
                              <w:r>
                                <w:rPr>
                                  <w:color w:val="105C84"/>
                                  <w:spacing w:val="-4"/>
                                  <w:sz w:val="17"/>
                                </w:rPr>
                                <w:t>1-</w:t>
                              </w:r>
                              <w:r>
                                <w:rPr>
                                  <w:color w:val="105C84"/>
                                  <w:spacing w:val="-10"/>
                                  <w:sz w:val="17"/>
                                </w:rPr>
                                <w:t>2</w:t>
                              </w:r>
                              <w:r>
                                <w:rPr>
                                  <w:color w:val="105C84"/>
                                  <w:sz w:val="17"/>
                                </w:rPr>
                                <w:tab/>
                              </w:r>
                              <w:r>
                                <w:rPr>
                                  <w:color w:val="00A79E"/>
                                  <w:spacing w:val="-4"/>
                                  <w:sz w:val="17"/>
                                </w:rPr>
                                <w:t>3-</w:t>
                              </w:r>
                              <w:r>
                                <w:rPr>
                                  <w:color w:val="00A79E"/>
                                  <w:spacing w:val="-10"/>
                                  <w:sz w:val="17"/>
                                </w:rPr>
                                <w:t>5</w:t>
                              </w:r>
                            </w:p>
                          </w:txbxContent>
                        </wps:txbx>
                        <wps:bodyPr wrap="square" lIns="0" tIns="0" rIns="0" bIns="0" rtlCol="0">
                          <a:noAutofit/>
                        </wps:bodyPr>
                      </wps:wsp>
                      <wps:wsp>
                        <wps:cNvPr id="445" name="Textbox 445"/>
                        <wps:cNvSpPr txBox="1"/>
                        <wps:spPr>
                          <a:xfrm>
                            <a:off x="270960" y="2890887"/>
                            <a:ext cx="380365" cy="151765"/>
                          </a:xfrm>
                          <a:prstGeom prst="rect">
                            <a:avLst/>
                          </a:prstGeom>
                        </wps:spPr>
                        <wps:txbx>
                          <w:txbxContent>
                            <w:p>
                              <w:pPr>
                                <w:spacing w:before="14"/>
                                <w:ind w:left="0" w:right="0" w:firstLine="0"/>
                                <w:jc w:val="left"/>
                                <w:rPr>
                                  <w:sz w:val="17"/>
                                </w:rPr>
                              </w:pPr>
                              <w:r>
                                <w:rPr>
                                  <w:color w:val="636466"/>
                                  <w:spacing w:val="-2"/>
                                  <w:sz w:val="17"/>
                                </w:rPr>
                                <w:t>HEART</w:t>
                              </w:r>
                            </w:p>
                          </w:txbxContent>
                        </wps:txbx>
                        <wps:bodyPr wrap="square" lIns="0" tIns="0" rIns="0" bIns="0" rtlCol="0">
                          <a:noAutofit/>
                        </wps:bodyPr>
                      </wps:wsp>
                      <wps:wsp>
                        <wps:cNvPr id="446" name="Textbox 446"/>
                        <wps:cNvSpPr txBox="1"/>
                        <wps:spPr>
                          <a:xfrm>
                            <a:off x="1451638" y="2890887"/>
                            <a:ext cx="486409" cy="151765"/>
                          </a:xfrm>
                          <a:prstGeom prst="rect">
                            <a:avLst/>
                          </a:prstGeom>
                        </wps:spPr>
                        <wps:txbx>
                          <w:txbxContent>
                            <w:p>
                              <w:pPr>
                                <w:spacing w:before="14"/>
                                <w:ind w:left="0" w:right="0" w:firstLine="0"/>
                                <w:jc w:val="left"/>
                                <w:rPr>
                                  <w:sz w:val="17"/>
                                </w:rPr>
                              </w:pPr>
                              <w:r>
                                <w:rPr>
                                  <w:color w:val="636466"/>
                                  <w:spacing w:val="-2"/>
                                  <w:sz w:val="17"/>
                                </w:rPr>
                                <w:t>CANCER</w:t>
                              </w:r>
                            </w:p>
                          </w:txbxContent>
                        </wps:txbx>
                        <wps:bodyPr wrap="square" lIns="0" tIns="0" rIns="0" bIns="0" rtlCol="0">
                          <a:noAutofit/>
                        </wps:bodyPr>
                      </wps:wsp>
                      <wps:wsp>
                        <wps:cNvPr id="447" name="Textbox 447"/>
                        <wps:cNvSpPr txBox="1"/>
                        <wps:spPr>
                          <a:xfrm>
                            <a:off x="5131673" y="2890776"/>
                            <a:ext cx="341630" cy="151765"/>
                          </a:xfrm>
                          <a:prstGeom prst="rect">
                            <a:avLst/>
                          </a:prstGeom>
                        </wps:spPr>
                        <wps:txbx>
                          <w:txbxContent>
                            <w:p>
                              <w:pPr>
                                <w:spacing w:before="14"/>
                                <w:ind w:left="0" w:right="0" w:firstLine="0"/>
                                <w:jc w:val="left"/>
                                <w:rPr>
                                  <w:sz w:val="17"/>
                                </w:rPr>
                              </w:pPr>
                              <w:r>
                                <w:rPr>
                                  <w:color w:val="636466"/>
                                  <w:spacing w:val="-4"/>
                                  <w:sz w:val="17"/>
                                </w:rPr>
                                <w:t>COPD</w:t>
                              </w:r>
                            </w:p>
                          </w:txbxContent>
                        </wps:txbx>
                        <wps:bodyPr wrap="square" lIns="0" tIns="0" rIns="0" bIns="0" rtlCol="0">
                          <a:noAutofit/>
                        </wps:bodyPr>
                      </wps:wsp>
                      <wps:wsp>
                        <wps:cNvPr id="448" name="Textbox 448"/>
                        <wps:cNvSpPr txBox="1"/>
                        <wps:spPr>
                          <a:xfrm>
                            <a:off x="631430" y="1187738"/>
                            <a:ext cx="266065" cy="337820"/>
                          </a:xfrm>
                          <a:prstGeom prst="rect">
                            <a:avLst/>
                          </a:prstGeom>
                          <a:ln w="8851">
                            <a:solidFill>
                              <a:srgbClr val="636466"/>
                            </a:solidFill>
                            <a:prstDash val="solid"/>
                          </a:ln>
                        </wps:spPr>
                        <wps:txbx>
                          <w:txbxContent>
                            <w:p>
                              <w:pPr>
                                <w:spacing w:line="240" w:lineRule="auto" w:before="38"/>
                                <w:rPr>
                                  <w:b/>
                                  <w:sz w:val="13"/>
                                </w:rPr>
                              </w:pPr>
                            </w:p>
                            <w:p>
                              <w:pPr>
                                <w:spacing w:before="0"/>
                                <w:ind w:left="74" w:right="0" w:firstLine="0"/>
                                <w:jc w:val="left"/>
                                <w:rPr>
                                  <w:b/>
                                  <w:sz w:val="13"/>
                                </w:rPr>
                              </w:pPr>
                              <w:r>
                                <w:rPr>
                                  <w:b/>
                                  <w:color w:val="636466"/>
                                  <w:spacing w:val="-5"/>
                                  <w:w w:val="110"/>
                                  <w:sz w:val="13"/>
                                </w:rPr>
                                <w:t>227</w:t>
                              </w:r>
                            </w:p>
                          </w:txbxContent>
                        </wps:txbx>
                        <wps:bodyPr wrap="square" lIns="0" tIns="0" rIns="0" bIns="0" rtlCol="0">
                          <a:noAutofit/>
                        </wps:bodyPr>
                      </wps:wsp>
                      <wps:wsp>
                        <wps:cNvPr id="449" name="Textbox 449"/>
                        <wps:cNvSpPr txBox="1"/>
                        <wps:spPr>
                          <a:xfrm>
                            <a:off x="21408" y="1187743"/>
                            <a:ext cx="266065" cy="1234440"/>
                          </a:xfrm>
                          <a:prstGeom prst="rect">
                            <a:avLst/>
                          </a:prstGeom>
                          <a:solidFill>
                            <a:srgbClr val="105C84"/>
                          </a:solidFill>
                        </wps:spPr>
                        <wps:txbx>
                          <w:txbxContent>
                            <w:p>
                              <w:pPr>
                                <w:spacing w:line="240" w:lineRule="auto" w:before="0"/>
                                <w:rPr>
                                  <w:b/>
                                  <w:color w:val="000000"/>
                                  <w:sz w:val="13"/>
                                </w:rPr>
                              </w:pPr>
                            </w:p>
                            <w:p>
                              <w:pPr>
                                <w:spacing w:line="240" w:lineRule="auto" w:before="0"/>
                                <w:rPr>
                                  <w:b/>
                                  <w:color w:val="000000"/>
                                  <w:sz w:val="13"/>
                                </w:rPr>
                              </w:pPr>
                            </w:p>
                            <w:p>
                              <w:pPr>
                                <w:spacing w:line="240" w:lineRule="auto" w:before="0"/>
                                <w:rPr>
                                  <w:b/>
                                  <w:color w:val="000000"/>
                                  <w:sz w:val="13"/>
                                </w:rPr>
                              </w:pPr>
                            </w:p>
                            <w:p>
                              <w:pPr>
                                <w:spacing w:line="240" w:lineRule="auto" w:before="0"/>
                                <w:rPr>
                                  <w:b/>
                                  <w:color w:val="000000"/>
                                  <w:sz w:val="13"/>
                                </w:rPr>
                              </w:pPr>
                            </w:p>
                            <w:p>
                              <w:pPr>
                                <w:spacing w:line="240" w:lineRule="auto" w:before="0"/>
                                <w:rPr>
                                  <w:b/>
                                  <w:color w:val="000000"/>
                                  <w:sz w:val="13"/>
                                </w:rPr>
                              </w:pPr>
                            </w:p>
                            <w:p>
                              <w:pPr>
                                <w:spacing w:line="240" w:lineRule="auto" w:before="9"/>
                                <w:rPr>
                                  <w:b/>
                                  <w:color w:val="000000"/>
                                  <w:sz w:val="13"/>
                                </w:rPr>
                              </w:pPr>
                            </w:p>
                            <w:p>
                              <w:pPr>
                                <w:spacing w:before="0"/>
                                <w:ind w:left="98" w:right="0" w:firstLine="0"/>
                                <w:jc w:val="left"/>
                                <w:rPr>
                                  <w:b/>
                                  <w:color w:val="000000"/>
                                  <w:sz w:val="13"/>
                                </w:rPr>
                              </w:pPr>
                              <w:r>
                                <w:rPr>
                                  <w:b/>
                                  <w:color w:val="FFFFFF"/>
                                  <w:spacing w:val="-5"/>
                                  <w:w w:val="110"/>
                                  <w:sz w:val="13"/>
                                </w:rPr>
                                <w:t>832</w:t>
                              </w:r>
                            </w:p>
                          </w:txbxContent>
                        </wps:txbx>
                        <wps:bodyPr wrap="square" lIns="0" tIns="0" rIns="0" bIns="0" rtlCol="0">
                          <a:noAutofit/>
                        </wps:bodyPr>
                      </wps:wsp>
                      <wps:wsp>
                        <wps:cNvPr id="450" name="Textbox 450"/>
                        <wps:cNvSpPr txBox="1"/>
                        <wps:spPr>
                          <a:xfrm>
                            <a:off x="5195858" y="2242719"/>
                            <a:ext cx="258445" cy="179705"/>
                          </a:xfrm>
                          <a:prstGeom prst="rect">
                            <a:avLst/>
                          </a:prstGeom>
                          <a:solidFill>
                            <a:srgbClr val="00A79E"/>
                          </a:solidFill>
                        </wps:spPr>
                        <wps:txbx>
                          <w:txbxContent>
                            <w:p>
                              <w:pPr>
                                <w:spacing w:before="70"/>
                                <w:ind w:left="89" w:right="0" w:firstLine="0"/>
                                <w:jc w:val="left"/>
                                <w:rPr>
                                  <w:b/>
                                  <w:color w:val="000000"/>
                                  <w:sz w:val="13"/>
                                </w:rPr>
                              </w:pPr>
                              <w:r>
                                <w:rPr>
                                  <w:b/>
                                  <w:color w:val="FFFFFF"/>
                                  <w:spacing w:val="-5"/>
                                  <w:w w:val="110"/>
                                  <w:sz w:val="13"/>
                                </w:rPr>
                                <w:t>122</w:t>
                              </w:r>
                            </w:p>
                          </w:txbxContent>
                        </wps:txbx>
                        <wps:bodyPr wrap="square" lIns="0" tIns="0" rIns="0" bIns="0" rtlCol="0">
                          <a:noAutofit/>
                        </wps:bodyPr>
                      </wps:wsp>
                      <wps:wsp>
                        <wps:cNvPr id="451" name="Textbox 451"/>
                        <wps:cNvSpPr txBox="1"/>
                        <wps:spPr>
                          <a:xfrm>
                            <a:off x="4887260" y="2149425"/>
                            <a:ext cx="266065" cy="273050"/>
                          </a:xfrm>
                          <a:prstGeom prst="rect">
                            <a:avLst/>
                          </a:prstGeom>
                          <a:solidFill>
                            <a:srgbClr val="105C84"/>
                          </a:solidFill>
                        </wps:spPr>
                        <wps:txbx>
                          <w:txbxContent>
                            <w:p>
                              <w:pPr>
                                <w:spacing w:before="138"/>
                                <w:ind w:left="96" w:right="0" w:firstLine="0"/>
                                <w:jc w:val="left"/>
                                <w:rPr>
                                  <w:b/>
                                  <w:color w:val="000000"/>
                                  <w:sz w:val="13"/>
                                </w:rPr>
                              </w:pPr>
                              <w:r>
                                <w:rPr>
                                  <w:b/>
                                  <w:color w:val="FFFFFF"/>
                                  <w:spacing w:val="-5"/>
                                  <w:w w:val="110"/>
                                  <w:sz w:val="13"/>
                                </w:rPr>
                                <w:t>182</w:t>
                              </w:r>
                            </w:p>
                          </w:txbxContent>
                        </wps:txbx>
                        <wps:bodyPr wrap="square" lIns="0" tIns="0" rIns="0" bIns="0" rtlCol="0">
                          <a:noAutofit/>
                        </wps:bodyPr>
                      </wps:wsp>
                      <wps:wsp>
                        <wps:cNvPr id="452" name="Textbox 452"/>
                        <wps:cNvSpPr txBox="1"/>
                        <wps:spPr>
                          <a:xfrm>
                            <a:off x="2762931" y="1783398"/>
                            <a:ext cx="258445" cy="638810"/>
                          </a:xfrm>
                          <a:prstGeom prst="rect">
                            <a:avLst/>
                          </a:prstGeom>
                          <a:solidFill>
                            <a:srgbClr val="00A79E"/>
                          </a:solidFill>
                        </wps:spPr>
                        <wps:txbx>
                          <w:txbxContent>
                            <w:p>
                              <w:pPr>
                                <w:spacing w:line="240" w:lineRule="auto" w:before="0"/>
                                <w:rPr>
                                  <w:b/>
                                  <w:color w:val="000000"/>
                                  <w:sz w:val="13"/>
                                </w:rPr>
                              </w:pPr>
                            </w:p>
                            <w:p>
                              <w:pPr>
                                <w:spacing w:line="240" w:lineRule="auto" w:before="133"/>
                                <w:rPr>
                                  <w:b/>
                                  <w:color w:val="000000"/>
                                  <w:sz w:val="13"/>
                                </w:rPr>
                              </w:pPr>
                            </w:p>
                            <w:p>
                              <w:pPr>
                                <w:spacing w:before="0"/>
                                <w:ind w:left="90" w:right="0" w:firstLine="0"/>
                                <w:jc w:val="left"/>
                                <w:rPr>
                                  <w:b/>
                                  <w:color w:val="000000"/>
                                  <w:sz w:val="13"/>
                                </w:rPr>
                              </w:pPr>
                              <w:r>
                                <w:rPr>
                                  <w:b/>
                                  <w:color w:val="FFFFFF"/>
                                  <w:spacing w:val="-5"/>
                                  <w:w w:val="110"/>
                                  <w:sz w:val="13"/>
                                </w:rPr>
                                <w:t>428</w:t>
                              </w:r>
                            </w:p>
                          </w:txbxContent>
                        </wps:txbx>
                        <wps:bodyPr wrap="square" lIns="0" tIns="0" rIns="0" bIns="0" rtlCol="0">
                          <a:noAutofit/>
                        </wps:bodyPr>
                      </wps:wsp>
                      <wps:wsp>
                        <wps:cNvPr id="453" name="Textbox 453"/>
                        <wps:cNvSpPr txBox="1"/>
                        <wps:spPr>
                          <a:xfrm>
                            <a:off x="2454321" y="1489165"/>
                            <a:ext cx="266065" cy="933450"/>
                          </a:xfrm>
                          <a:prstGeom prst="rect">
                            <a:avLst/>
                          </a:prstGeom>
                          <a:solidFill>
                            <a:srgbClr val="105C84"/>
                          </a:solidFill>
                        </wps:spPr>
                        <wps:txbx>
                          <w:txbxContent>
                            <w:p>
                              <w:pPr>
                                <w:spacing w:line="240" w:lineRule="auto" w:before="0"/>
                                <w:rPr>
                                  <w:b/>
                                  <w:color w:val="000000"/>
                                  <w:sz w:val="13"/>
                                </w:rPr>
                              </w:pPr>
                            </w:p>
                            <w:p>
                              <w:pPr>
                                <w:spacing w:line="240" w:lineRule="auto" w:before="0"/>
                                <w:rPr>
                                  <w:b/>
                                  <w:color w:val="000000"/>
                                  <w:sz w:val="13"/>
                                </w:rPr>
                              </w:pPr>
                            </w:p>
                            <w:p>
                              <w:pPr>
                                <w:spacing w:line="240" w:lineRule="auto" w:before="0"/>
                                <w:rPr>
                                  <w:b/>
                                  <w:color w:val="000000"/>
                                  <w:sz w:val="13"/>
                                </w:rPr>
                              </w:pPr>
                            </w:p>
                            <w:p>
                              <w:pPr>
                                <w:spacing w:line="240" w:lineRule="auto" w:before="71"/>
                                <w:rPr>
                                  <w:b/>
                                  <w:color w:val="000000"/>
                                  <w:sz w:val="13"/>
                                </w:rPr>
                              </w:pPr>
                            </w:p>
                            <w:p>
                              <w:pPr>
                                <w:spacing w:before="0"/>
                                <w:ind w:left="97" w:right="0" w:firstLine="0"/>
                                <w:jc w:val="left"/>
                                <w:rPr>
                                  <w:b/>
                                  <w:color w:val="000000"/>
                                  <w:sz w:val="13"/>
                                </w:rPr>
                              </w:pPr>
                              <w:r>
                                <w:rPr>
                                  <w:b/>
                                  <w:color w:val="FFFFFF"/>
                                  <w:spacing w:val="-5"/>
                                  <w:w w:val="110"/>
                                  <w:sz w:val="13"/>
                                </w:rPr>
                                <w:t>627</w:t>
                              </w:r>
                            </w:p>
                          </w:txbxContent>
                        </wps:txbx>
                        <wps:bodyPr wrap="square" lIns="0" tIns="0" rIns="0" bIns="0" rtlCol="0">
                          <a:noAutofit/>
                        </wps:bodyPr>
                      </wps:wsp>
                      <wps:wsp>
                        <wps:cNvPr id="454" name="Textbox 454"/>
                        <wps:cNvSpPr txBox="1"/>
                        <wps:spPr>
                          <a:xfrm>
                            <a:off x="4277231" y="2170959"/>
                            <a:ext cx="266065" cy="165100"/>
                          </a:xfrm>
                          <a:prstGeom prst="rect">
                            <a:avLst/>
                          </a:prstGeom>
                          <a:ln w="8851">
                            <a:solidFill>
                              <a:srgbClr val="636466"/>
                            </a:solidFill>
                            <a:prstDash val="solid"/>
                          </a:ln>
                        </wps:spPr>
                        <wps:txbx>
                          <w:txbxContent>
                            <w:p>
                              <w:pPr>
                                <w:spacing w:before="52"/>
                                <w:ind w:left="79" w:right="0" w:firstLine="0"/>
                                <w:jc w:val="left"/>
                                <w:rPr>
                                  <w:b/>
                                  <w:sz w:val="13"/>
                                </w:rPr>
                              </w:pPr>
                              <w:r>
                                <w:rPr>
                                  <w:b/>
                                  <w:color w:val="636466"/>
                                  <w:spacing w:val="-5"/>
                                  <w:w w:val="110"/>
                                  <w:sz w:val="13"/>
                                </w:rPr>
                                <w:t>111</w:t>
                              </w:r>
                            </w:p>
                          </w:txbxContent>
                        </wps:txbx>
                        <wps:bodyPr wrap="square" lIns="0" tIns="0" rIns="0" bIns="0" rtlCol="0">
                          <a:noAutofit/>
                        </wps:bodyPr>
                      </wps:wsp>
                      <wps:wsp>
                        <wps:cNvPr id="455" name="Textbox 455"/>
                        <wps:cNvSpPr txBox="1"/>
                        <wps:spPr>
                          <a:xfrm>
                            <a:off x="5497282" y="2149420"/>
                            <a:ext cx="266065" cy="93345"/>
                          </a:xfrm>
                          <a:prstGeom prst="rect">
                            <a:avLst/>
                          </a:prstGeom>
                          <a:ln w="8851">
                            <a:solidFill>
                              <a:srgbClr val="636466"/>
                            </a:solidFill>
                            <a:prstDash val="solid"/>
                          </a:ln>
                        </wps:spPr>
                        <wps:txbx>
                          <w:txbxContent>
                            <w:p>
                              <w:pPr>
                                <w:spacing w:line="133" w:lineRule="exact" w:before="0"/>
                                <w:ind w:left="115" w:right="0" w:firstLine="0"/>
                                <w:jc w:val="left"/>
                                <w:rPr>
                                  <w:b/>
                                  <w:sz w:val="13"/>
                                </w:rPr>
                              </w:pPr>
                              <w:r>
                                <w:rPr>
                                  <w:b/>
                                  <w:color w:val="636466"/>
                                  <w:spacing w:val="-5"/>
                                  <w:w w:val="110"/>
                                  <w:sz w:val="13"/>
                                </w:rPr>
                                <w:t>60</w:t>
                              </w:r>
                            </w:p>
                          </w:txbxContent>
                        </wps:txbx>
                        <wps:bodyPr wrap="square" lIns="0" tIns="0" rIns="0" bIns="0" rtlCol="0">
                          <a:noAutofit/>
                        </wps:bodyPr>
                      </wps:wsp>
                    </wpg:wgp>
                  </a:graphicData>
                </a:graphic>
              </wp:anchor>
            </w:drawing>
          </mc:Choice>
          <mc:Fallback>
            <w:pict>
              <v:group style="position:absolute;margin-left:712.50531pt;margin-top:.952929pt;width:455.5pt;height:243.05pt;mso-position-horizontal-relative:page;mso-position-vertical-relative:paragraph;z-index:15772672" id="docshapegroup371" coordorigin="14250,19" coordsize="9110,4861">
                <v:shape style="position:absolute;left:14769;top:2420;width:407;height:1413" type="#_x0000_t202" id="docshape372" filled="true" fillcolor="#00a79e" stroked="false">
                  <v:textbox inset="0,0,0,0">
                    <w:txbxContent>
                      <w:p>
                        <w:pPr>
                          <w:spacing w:line="240" w:lineRule="auto" w:before="0"/>
                          <w:rPr>
                            <w:b/>
                            <w:color w:val="000000"/>
                            <w:sz w:val="13"/>
                          </w:rPr>
                        </w:pPr>
                      </w:p>
                      <w:p>
                        <w:pPr>
                          <w:spacing w:line="240" w:lineRule="auto" w:before="0"/>
                          <w:rPr>
                            <w:b/>
                            <w:color w:val="000000"/>
                            <w:sz w:val="13"/>
                          </w:rPr>
                        </w:pPr>
                      </w:p>
                      <w:p>
                        <w:pPr>
                          <w:spacing w:line="240" w:lineRule="auto" w:before="0"/>
                          <w:rPr>
                            <w:b/>
                            <w:color w:val="000000"/>
                            <w:sz w:val="13"/>
                          </w:rPr>
                        </w:pPr>
                      </w:p>
                      <w:p>
                        <w:pPr>
                          <w:spacing w:line="240" w:lineRule="auto" w:before="37"/>
                          <w:rPr>
                            <w:b/>
                            <w:color w:val="000000"/>
                            <w:sz w:val="13"/>
                          </w:rPr>
                        </w:pPr>
                      </w:p>
                      <w:p>
                        <w:pPr>
                          <w:spacing w:before="0"/>
                          <w:ind w:left="90" w:right="0" w:firstLine="0"/>
                          <w:jc w:val="left"/>
                          <w:rPr>
                            <w:b/>
                            <w:color w:val="000000"/>
                            <w:sz w:val="13"/>
                          </w:rPr>
                        </w:pPr>
                        <w:r>
                          <w:rPr>
                            <w:b/>
                            <w:color w:val="FFFFFF"/>
                            <w:spacing w:val="-5"/>
                            <w:w w:val="110"/>
                            <w:sz w:val="13"/>
                          </w:rPr>
                          <w:t>606</w:t>
                        </w:r>
                      </w:p>
                    </w:txbxContent>
                  </v:textbox>
                  <v:fill type="solid"/>
                  <w10:wrap type="none"/>
                </v:shape>
                <v:shape style="position:absolute;left:16679;top:1188;width:4250;height:2645" id="docshape373" coordorigin="16680,1189" coordsize="4250,2645" path="m17098,1189l16680,1189,16680,3833,17098,3833,17098,1189xm20929,3698l20511,3698,20511,3833,20929,3833,20929,3698xe" filled="true" fillcolor="#00a79e" stroked="false">
                  <v:path arrowok="t"/>
                  <v:fill type="solid"/>
                </v:shape>
                <v:shape style="position:absolute;left:16205;top:691;width:4250;height:3142" id="docshape374" coordorigin="16205,691" coordsize="4250,3142" path="m16623,691l16205,691,16205,3833,16623,3833,16623,691xm20455,3438l20037,3438,20037,3833,20455,3833,20455,3438xe" filled="true" fillcolor="#105c84" stroked="false">
                  <v:path arrowok="t"/>
                  <v:fill type="solid"/>
                </v:shape>
                <v:shape style="position:absolute;left:17154;top:691;width:2340;height:2137" id="docshape375" coordorigin="17155,692" coordsize="2340,2137" path="m17155,692l17573,692,17573,1189,17155,1189,17155,692xm19076,2364l19494,2364,19494,2828,19076,2828,19076,2364xe" filled="false" stroked="true" strokeweight=".697pt" strokecolor="#636466">
                  <v:path arrowok="t"/>
                  <v:stroke dashstyle="solid"/>
                </v:shape>
                <v:shape style="position:absolute;left:14255;top:24;width:9099;height:3804" id="docshape376" coordorigin="14256,24" coordsize="9099,3804" path="m23354,3828l14256,3828,14256,24e" filled="false" stroked="true" strokeweight=".544pt" strokecolor="#939598">
                  <v:path arrowok="t"/>
                  <v:stroke dashstyle="solid"/>
                </v:shape>
                <v:shape style="position:absolute;left:14255;top:3826;width:9099;height:997" id="docshape377" coordorigin="14256,3826" coordsize="9099,997" path="m22390,3826l22390,4312m22881,3826l22881,4312m20478,3826l20478,4312m20969,3826l20969,4312m18565,3826l18565,4312m19056,3826l19056,4312m16653,3826l16653,4312m17143,3826l17143,4312m14729,3826l14729,4312m15220,3826l15220,4312m14256,3826l14256,4822m15691,3826l15691,4822m16166,3826l16166,4822m17612,3826l17612,4822m18087,3826l18087,4822m19522,3826l19522,4822m19997,3826l19997,4822m21444,3826l21444,4822m21918,3826l21918,4822m23354,3826l23354,4822e" filled="false" stroked="true" strokeweight=".544pt" strokecolor="#939598">
                  <v:path arrowok="t"/>
                  <v:stroke dashstyle="solid"/>
                </v:shape>
                <v:shape style="position:absolute;left:15381;top:3972;width:142;height:137" id="docshape378" coordorigin="15382,3972" coordsize="142,137" path="m15524,4109l15453,3972,15382,4109,15524,4109xe" filled="false" stroked="true" strokeweight=".697pt" strokecolor="#636466">
                  <v:path arrowok="t"/>
                  <v:stroke dashstyle="solid"/>
                </v:shape>
                <v:shape style="position:absolute;left:17294;top:3972;width:142;height:137" id="docshape379" coordorigin="17294,3972" coordsize="142,137" path="m17436,4109l17365,3972,17294,4109,17436,4109xe" filled="false" stroked="true" strokeweight=".697pt" strokecolor="#636466">
                  <v:path arrowok="t"/>
                  <v:stroke dashstyle="solid"/>
                </v:shape>
                <v:shape style="position:absolute;left:19228;top:3972;width:142;height:137" id="docshape380" coordorigin="19229,3972" coordsize="142,137" path="m19370,4109l19299,3972,19229,4109,19370,4109xe" filled="false" stroked="true" strokeweight=".697pt" strokecolor="#636466">
                  <v:path arrowok="t"/>
                  <v:stroke dashstyle="solid"/>
                </v:shape>
                <v:shape style="position:absolute;left:21141;top:3972;width:142;height:137" id="docshape381" coordorigin="21141,3972" coordsize="142,137" path="m21283,4109l21212,3972,21141,4109,21283,4109xe" filled="false" stroked="true" strokeweight=".697pt" strokecolor="#636466">
                  <v:path arrowok="t"/>
                  <v:stroke dashstyle="solid"/>
                </v:shape>
                <v:shape style="position:absolute;left:23055;top:3972;width:142;height:137" id="docshape382" coordorigin="23055,3972" coordsize="142,137" path="m23197,4109l23126,3972,23055,4109,23197,4109xe" filled="false" stroked="true" strokeweight=".697pt" strokecolor="#636466">
                  <v:path arrowok="t"/>
                  <v:stroke dashstyle="solid"/>
                </v:shape>
                <v:shape style="position:absolute;left:17241;top:861;width:261;height:186" type="#_x0000_t202" id="docshape383" filled="false" stroked="false">
                  <v:textbox inset="0,0,0,0">
                    <w:txbxContent>
                      <w:p>
                        <w:pPr>
                          <w:spacing w:before="13"/>
                          <w:ind w:left="0" w:right="0" w:firstLine="0"/>
                          <w:jc w:val="left"/>
                          <w:rPr>
                            <w:b/>
                            <w:sz w:val="13"/>
                          </w:rPr>
                        </w:pPr>
                        <w:r>
                          <w:rPr>
                            <w:b/>
                            <w:color w:val="636466"/>
                            <w:spacing w:val="-5"/>
                            <w:w w:val="110"/>
                            <w:sz w:val="13"/>
                          </w:rPr>
                          <w:t>213</w:t>
                        </w:r>
                      </w:p>
                    </w:txbxContent>
                  </v:textbox>
                  <w10:wrap type="none"/>
                </v:shape>
                <v:shape style="position:absolute;left:16259;top:2172;width:341;height:186" type="#_x0000_t202" id="docshape384" filled="false" stroked="false">
                  <v:textbox inset="0,0,0,0">
                    <w:txbxContent>
                      <w:p>
                        <w:pPr>
                          <w:spacing w:before="13"/>
                          <w:ind w:left="0" w:right="0" w:firstLine="0"/>
                          <w:jc w:val="left"/>
                          <w:rPr>
                            <w:b/>
                            <w:sz w:val="13"/>
                          </w:rPr>
                        </w:pPr>
                        <w:r>
                          <w:rPr>
                            <w:b/>
                            <w:color w:val="FFFFFF"/>
                            <w:spacing w:val="-4"/>
                            <w:w w:val="110"/>
                            <w:sz w:val="13"/>
                          </w:rPr>
                          <w:t>1348</w:t>
                        </w:r>
                      </w:p>
                    </w:txbxContent>
                  </v:textbox>
                  <w10:wrap type="none"/>
                </v:shape>
                <v:shape style="position:absolute;left:16738;top:2420;width:341;height:186" type="#_x0000_t202" id="docshape385" filled="false" stroked="false">
                  <v:textbox inset="0,0,0,0">
                    <w:txbxContent>
                      <w:p>
                        <w:pPr>
                          <w:spacing w:before="13"/>
                          <w:ind w:left="0" w:right="0" w:firstLine="0"/>
                          <w:jc w:val="left"/>
                          <w:rPr>
                            <w:b/>
                            <w:sz w:val="13"/>
                          </w:rPr>
                        </w:pPr>
                        <w:r>
                          <w:rPr>
                            <w:b/>
                            <w:color w:val="FFFFFF"/>
                            <w:spacing w:val="-4"/>
                            <w:w w:val="110"/>
                            <w:sz w:val="13"/>
                          </w:rPr>
                          <w:t>1135</w:t>
                        </w:r>
                      </w:p>
                    </w:txbxContent>
                  </v:textbox>
                  <w10:wrap type="none"/>
                </v:shape>
                <v:shape style="position:absolute;left:19156;top:2522;width:261;height:186" type="#_x0000_t202" id="docshape386" filled="false" stroked="false">
                  <v:textbox inset="0,0,0,0">
                    <w:txbxContent>
                      <w:p>
                        <w:pPr>
                          <w:spacing w:before="13"/>
                          <w:ind w:left="0" w:right="0" w:firstLine="0"/>
                          <w:jc w:val="left"/>
                          <w:rPr>
                            <w:b/>
                            <w:sz w:val="13"/>
                          </w:rPr>
                        </w:pPr>
                        <w:r>
                          <w:rPr>
                            <w:b/>
                            <w:color w:val="636466"/>
                            <w:spacing w:val="-5"/>
                            <w:w w:val="110"/>
                            <w:sz w:val="13"/>
                          </w:rPr>
                          <w:t>199</w:t>
                        </w:r>
                      </w:p>
                    </w:txbxContent>
                  </v:textbox>
                  <w10:wrap type="none"/>
                </v:shape>
                <v:shape style="position:absolute;left:20127;top:3551;width:261;height:186" type="#_x0000_t202" id="docshape387" filled="false" stroked="false">
                  <v:textbox inset="0,0,0,0">
                    <w:txbxContent>
                      <w:p>
                        <w:pPr>
                          <w:spacing w:before="13"/>
                          <w:ind w:left="0" w:right="0" w:firstLine="0"/>
                          <w:jc w:val="left"/>
                          <w:rPr>
                            <w:b/>
                            <w:sz w:val="13"/>
                          </w:rPr>
                        </w:pPr>
                        <w:r>
                          <w:rPr>
                            <w:b/>
                            <w:color w:val="FFFFFF"/>
                            <w:spacing w:val="-5"/>
                            <w:w w:val="110"/>
                            <w:sz w:val="13"/>
                          </w:rPr>
                          <w:t>166</w:t>
                        </w:r>
                      </w:p>
                    </w:txbxContent>
                  </v:textbox>
                  <w10:wrap type="none"/>
                </v:shape>
                <v:shape style="position:absolute;left:20644;top:3686;width:181;height:186" type="#_x0000_t202" id="docshape388" filled="false" stroked="false">
                  <v:textbox inset="0,0,0,0">
                    <w:txbxContent>
                      <w:p>
                        <w:pPr>
                          <w:spacing w:before="13"/>
                          <w:ind w:left="0" w:right="0" w:firstLine="0"/>
                          <w:jc w:val="left"/>
                          <w:rPr>
                            <w:b/>
                            <w:sz w:val="13"/>
                          </w:rPr>
                        </w:pPr>
                        <w:r>
                          <w:rPr>
                            <w:b/>
                            <w:color w:val="FFFFFF"/>
                            <w:spacing w:val="-5"/>
                            <w:w w:val="110"/>
                            <w:sz w:val="13"/>
                          </w:rPr>
                          <w:t>55</w:t>
                        </w:r>
                      </w:p>
                    </w:txbxContent>
                  </v:textbox>
                  <w10:wrap type="none"/>
                </v:shape>
                <v:shape style="position:absolute;left:14336;top:3919;width:796;height:431" type="#_x0000_t202" id="docshape389" filled="false" stroked="false">
                  <v:textbox inset="0,0,0,0">
                    <w:txbxContent>
                      <w:p>
                        <w:pPr>
                          <w:spacing w:line="194" w:lineRule="exact" w:before="14"/>
                          <w:ind w:left="0" w:right="0" w:firstLine="0"/>
                          <w:jc w:val="left"/>
                          <w:rPr>
                            <w:sz w:val="17"/>
                          </w:rPr>
                        </w:pPr>
                        <w:r>
                          <w:rPr>
                            <w:color w:val="105C84"/>
                            <w:w w:val="95"/>
                            <w:sz w:val="17"/>
                          </w:rPr>
                          <w:t>SES</w:t>
                        </w:r>
                        <w:r>
                          <w:rPr>
                            <w:color w:val="105C84"/>
                            <w:spacing w:val="29"/>
                            <w:sz w:val="17"/>
                          </w:rPr>
                          <w:t>  </w:t>
                        </w:r>
                        <w:r>
                          <w:rPr>
                            <w:color w:val="00A79E"/>
                            <w:spacing w:val="-5"/>
                            <w:w w:val="90"/>
                            <w:sz w:val="17"/>
                          </w:rPr>
                          <w:t>SES</w:t>
                        </w:r>
                      </w:p>
                      <w:p>
                        <w:pPr>
                          <w:tabs>
                            <w:tab w:pos="500" w:val="left" w:leader="none"/>
                          </w:tabs>
                          <w:spacing w:line="194" w:lineRule="exact" w:before="0"/>
                          <w:ind w:left="21" w:right="0" w:firstLine="0"/>
                          <w:jc w:val="left"/>
                          <w:rPr>
                            <w:sz w:val="17"/>
                          </w:rPr>
                        </w:pPr>
                        <w:r>
                          <w:rPr>
                            <w:color w:val="105C84"/>
                            <w:spacing w:val="-4"/>
                            <w:sz w:val="17"/>
                          </w:rPr>
                          <w:t>1-</w:t>
                        </w:r>
                        <w:r>
                          <w:rPr>
                            <w:color w:val="105C84"/>
                            <w:spacing w:val="-10"/>
                            <w:sz w:val="17"/>
                          </w:rPr>
                          <w:t>2</w:t>
                        </w:r>
                        <w:r>
                          <w:rPr>
                            <w:color w:val="105C84"/>
                            <w:sz w:val="17"/>
                          </w:rPr>
                          <w:tab/>
                        </w:r>
                        <w:r>
                          <w:rPr>
                            <w:color w:val="00A79E"/>
                            <w:spacing w:val="-4"/>
                            <w:sz w:val="17"/>
                          </w:rPr>
                          <w:t>3-</w:t>
                        </w:r>
                        <w:r>
                          <w:rPr>
                            <w:color w:val="00A79E"/>
                            <w:spacing w:val="-10"/>
                            <w:sz w:val="17"/>
                          </w:rPr>
                          <w:t>5</w:t>
                        </w:r>
                      </w:p>
                    </w:txbxContent>
                  </v:textbox>
                  <w10:wrap type="none"/>
                </v:shape>
                <v:shape style="position:absolute;left:16271;top:3919;width:796;height:431" type="#_x0000_t202" id="docshape390" filled="false" stroked="false">
                  <v:textbox inset="0,0,0,0">
                    <w:txbxContent>
                      <w:p>
                        <w:pPr>
                          <w:spacing w:line="194" w:lineRule="exact" w:before="14"/>
                          <w:ind w:left="0" w:right="0" w:firstLine="0"/>
                          <w:jc w:val="left"/>
                          <w:rPr>
                            <w:sz w:val="17"/>
                          </w:rPr>
                        </w:pPr>
                        <w:r>
                          <w:rPr>
                            <w:color w:val="105C84"/>
                            <w:w w:val="95"/>
                            <w:sz w:val="17"/>
                          </w:rPr>
                          <w:t>SES</w:t>
                        </w:r>
                        <w:r>
                          <w:rPr>
                            <w:color w:val="105C84"/>
                            <w:spacing w:val="29"/>
                            <w:sz w:val="17"/>
                          </w:rPr>
                          <w:t>  </w:t>
                        </w:r>
                        <w:r>
                          <w:rPr>
                            <w:color w:val="00A79E"/>
                            <w:spacing w:val="-5"/>
                            <w:w w:val="90"/>
                            <w:sz w:val="17"/>
                          </w:rPr>
                          <w:t>SES</w:t>
                        </w:r>
                      </w:p>
                      <w:p>
                        <w:pPr>
                          <w:tabs>
                            <w:tab w:pos="500" w:val="left" w:leader="none"/>
                          </w:tabs>
                          <w:spacing w:line="194" w:lineRule="exact" w:before="0"/>
                          <w:ind w:left="21" w:right="0" w:firstLine="0"/>
                          <w:jc w:val="left"/>
                          <w:rPr>
                            <w:sz w:val="17"/>
                          </w:rPr>
                        </w:pPr>
                        <w:r>
                          <w:rPr>
                            <w:color w:val="105C84"/>
                            <w:spacing w:val="-4"/>
                            <w:sz w:val="17"/>
                          </w:rPr>
                          <w:t>1-</w:t>
                        </w:r>
                        <w:r>
                          <w:rPr>
                            <w:color w:val="105C84"/>
                            <w:spacing w:val="-10"/>
                            <w:sz w:val="17"/>
                          </w:rPr>
                          <w:t>2</w:t>
                        </w:r>
                        <w:r>
                          <w:rPr>
                            <w:color w:val="105C84"/>
                            <w:sz w:val="17"/>
                          </w:rPr>
                          <w:tab/>
                        </w:r>
                        <w:r>
                          <w:rPr>
                            <w:color w:val="00A79E"/>
                            <w:spacing w:val="-4"/>
                            <w:sz w:val="17"/>
                          </w:rPr>
                          <w:t>3-</w:t>
                        </w:r>
                        <w:r>
                          <w:rPr>
                            <w:color w:val="00A79E"/>
                            <w:spacing w:val="-10"/>
                            <w:sz w:val="17"/>
                          </w:rPr>
                          <w:t>5</w:t>
                        </w:r>
                      </w:p>
                    </w:txbxContent>
                  </v:textbox>
                  <w10:wrap type="none"/>
                </v:shape>
                <v:shape style="position:absolute;left:18167;top:3919;width:1301;height:961" type="#_x0000_t202" id="docshape391" filled="false" stroked="false">
                  <v:textbox inset="0,0,0,0">
                    <w:txbxContent>
                      <w:p>
                        <w:pPr>
                          <w:tabs>
                            <w:tab w:pos="498" w:val="left" w:leader="none"/>
                          </w:tabs>
                          <w:spacing w:line="194" w:lineRule="exact" w:before="14"/>
                          <w:ind w:left="0" w:right="0" w:firstLine="0"/>
                          <w:jc w:val="left"/>
                          <w:rPr>
                            <w:sz w:val="17"/>
                          </w:rPr>
                        </w:pPr>
                        <w:r>
                          <w:rPr>
                            <w:color w:val="105C84"/>
                            <w:spacing w:val="-5"/>
                            <w:w w:val="95"/>
                            <w:sz w:val="17"/>
                          </w:rPr>
                          <w:t>SES</w:t>
                        </w:r>
                        <w:r>
                          <w:rPr>
                            <w:color w:val="105C84"/>
                            <w:sz w:val="17"/>
                          </w:rPr>
                          <w:tab/>
                        </w:r>
                        <w:r>
                          <w:rPr>
                            <w:color w:val="00A79E"/>
                            <w:spacing w:val="-5"/>
                            <w:w w:val="95"/>
                            <w:sz w:val="17"/>
                          </w:rPr>
                          <w:t>SES</w:t>
                        </w:r>
                      </w:p>
                      <w:p>
                        <w:pPr>
                          <w:tabs>
                            <w:tab w:pos="539" w:val="left" w:leader="none"/>
                          </w:tabs>
                          <w:spacing w:line="194" w:lineRule="exact" w:before="0"/>
                          <w:ind w:left="21" w:right="0" w:firstLine="0"/>
                          <w:jc w:val="left"/>
                          <w:rPr>
                            <w:sz w:val="17"/>
                          </w:rPr>
                        </w:pPr>
                        <w:r>
                          <w:rPr>
                            <w:color w:val="105C84"/>
                            <w:spacing w:val="-4"/>
                            <w:sz w:val="17"/>
                          </w:rPr>
                          <w:t>1-</w:t>
                        </w:r>
                        <w:r>
                          <w:rPr>
                            <w:color w:val="105C84"/>
                            <w:spacing w:val="-10"/>
                            <w:sz w:val="17"/>
                          </w:rPr>
                          <w:t>2</w:t>
                        </w:r>
                        <w:r>
                          <w:rPr>
                            <w:color w:val="105C84"/>
                            <w:sz w:val="17"/>
                          </w:rPr>
                          <w:tab/>
                        </w:r>
                        <w:r>
                          <w:rPr>
                            <w:color w:val="00A79E"/>
                            <w:spacing w:val="-4"/>
                            <w:sz w:val="17"/>
                          </w:rPr>
                          <w:t>3-</w:t>
                        </w:r>
                        <w:r>
                          <w:rPr>
                            <w:color w:val="00A79E"/>
                            <w:spacing w:val="-10"/>
                            <w:sz w:val="17"/>
                          </w:rPr>
                          <w:t>5</w:t>
                        </w:r>
                      </w:p>
                      <w:p>
                        <w:pPr>
                          <w:spacing w:before="187"/>
                          <w:ind w:left="372" w:right="0" w:hanging="372"/>
                          <w:jc w:val="left"/>
                          <w:rPr>
                            <w:sz w:val="15"/>
                          </w:rPr>
                        </w:pPr>
                        <w:r>
                          <w:rPr>
                            <w:color w:val="636466"/>
                            <w:spacing w:val="-2"/>
                            <w:sz w:val="15"/>
                          </w:rPr>
                          <w:t>UNINTENTIONAL</w:t>
                        </w:r>
                        <w:r>
                          <w:rPr>
                            <w:color w:val="636466"/>
                            <w:sz w:val="15"/>
                          </w:rPr>
                          <w:t> </w:t>
                        </w:r>
                        <w:r>
                          <w:rPr>
                            <w:color w:val="636466"/>
                            <w:spacing w:val="-2"/>
                            <w:sz w:val="15"/>
                          </w:rPr>
                          <w:t>INJURY</w:t>
                        </w:r>
                      </w:p>
                    </w:txbxContent>
                  </v:textbox>
                  <w10:wrap type="none"/>
                </v:shape>
                <v:shape style="position:absolute;left:20056;top:3919;width:1357;height:961" type="#_x0000_t202" id="docshape392" filled="false" stroked="false">
                  <v:textbox inset="0,0,0,0">
                    <w:txbxContent>
                      <w:p>
                        <w:pPr>
                          <w:tabs>
                            <w:tab w:pos="524" w:val="left" w:leader="none"/>
                          </w:tabs>
                          <w:spacing w:line="194" w:lineRule="exact" w:before="14"/>
                          <w:ind w:left="26" w:right="0" w:firstLine="0"/>
                          <w:jc w:val="left"/>
                          <w:rPr>
                            <w:sz w:val="17"/>
                          </w:rPr>
                        </w:pPr>
                        <w:r>
                          <w:rPr>
                            <w:color w:val="105C84"/>
                            <w:spacing w:val="-5"/>
                            <w:w w:val="95"/>
                            <w:sz w:val="17"/>
                          </w:rPr>
                          <w:t>SES</w:t>
                        </w:r>
                        <w:r>
                          <w:rPr>
                            <w:color w:val="105C84"/>
                            <w:sz w:val="17"/>
                          </w:rPr>
                          <w:tab/>
                        </w:r>
                        <w:r>
                          <w:rPr>
                            <w:color w:val="00A79E"/>
                            <w:spacing w:val="-5"/>
                            <w:w w:val="95"/>
                            <w:sz w:val="17"/>
                          </w:rPr>
                          <w:t>SES</w:t>
                        </w:r>
                      </w:p>
                      <w:p>
                        <w:pPr>
                          <w:tabs>
                            <w:tab w:pos="545" w:val="left" w:leader="none"/>
                          </w:tabs>
                          <w:spacing w:line="194" w:lineRule="exact" w:before="0"/>
                          <w:ind w:left="47" w:right="0" w:firstLine="0"/>
                          <w:jc w:val="left"/>
                          <w:rPr>
                            <w:sz w:val="17"/>
                          </w:rPr>
                        </w:pPr>
                        <w:r>
                          <w:rPr>
                            <w:color w:val="105C84"/>
                            <w:spacing w:val="-4"/>
                            <w:sz w:val="17"/>
                          </w:rPr>
                          <w:t>1-</w:t>
                        </w:r>
                        <w:r>
                          <w:rPr>
                            <w:color w:val="105C84"/>
                            <w:spacing w:val="-10"/>
                            <w:sz w:val="17"/>
                          </w:rPr>
                          <w:t>2</w:t>
                        </w:r>
                        <w:r>
                          <w:rPr>
                            <w:color w:val="105C84"/>
                            <w:sz w:val="17"/>
                          </w:rPr>
                          <w:tab/>
                        </w:r>
                        <w:r>
                          <w:rPr>
                            <w:color w:val="00A79E"/>
                            <w:spacing w:val="-4"/>
                            <w:sz w:val="17"/>
                          </w:rPr>
                          <w:t>3-</w:t>
                        </w:r>
                        <w:r>
                          <w:rPr>
                            <w:color w:val="00A79E"/>
                            <w:spacing w:val="-10"/>
                            <w:sz w:val="17"/>
                          </w:rPr>
                          <w:t>5</w:t>
                        </w:r>
                      </w:p>
                      <w:p>
                        <w:pPr>
                          <w:spacing w:before="187"/>
                          <w:ind w:left="0" w:right="16" w:firstLine="216"/>
                          <w:jc w:val="left"/>
                          <w:rPr>
                            <w:sz w:val="15"/>
                          </w:rPr>
                        </w:pPr>
                        <w:r>
                          <w:rPr>
                            <w:color w:val="636466"/>
                            <w:spacing w:val="-2"/>
                            <w:sz w:val="15"/>
                          </w:rPr>
                          <w:t>PREMATURE</w:t>
                        </w:r>
                        <w:r>
                          <w:rPr>
                            <w:color w:val="636466"/>
                            <w:sz w:val="15"/>
                          </w:rPr>
                          <w:t> </w:t>
                        </w:r>
                        <w:r>
                          <w:rPr>
                            <w:color w:val="636466"/>
                            <w:spacing w:val="-4"/>
                            <w:sz w:val="15"/>
                          </w:rPr>
                          <w:t>BIRTH</w:t>
                        </w:r>
                        <w:r>
                          <w:rPr>
                            <w:color w:val="636466"/>
                            <w:spacing w:val="-7"/>
                            <w:sz w:val="15"/>
                          </w:rPr>
                          <w:t> </w:t>
                        </w:r>
                        <w:r>
                          <w:rPr>
                            <w:color w:val="636466"/>
                            <w:spacing w:val="-4"/>
                            <w:sz w:val="15"/>
                          </w:rPr>
                          <w:t>DISORDERS</w:t>
                        </w:r>
                      </w:p>
                    </w:txbxContent>
                  </v:textbox>
                  <w10:wrap type="none"/>
                </v:shape>
                <v:shape style="position:absolute;left:21997;top:3919;width:796;height:431" type="#_x0000_t202" id="docshape393" filled="false" stroked="false">
                  <v:textbox inset="0,0,0,0">
                    <w:txbxContent>
                      <w:p>
                        <w:pPr>
                          <w:spacing w:line="194" w:lineRule="exact" w:before="14"/>
                          <w:ind w:left="0" w:right="0" w:firstLine="0"/>
                          <w:jc w:val="left"/>
                          <w:rPr>
                            <w:sz w:val="17"/>
                          </w:rPr>
                        </w:pPr>
                        <w:r>
                          <w:rPr>
                            <w:color w:val="105C84"/>
                            <w:w w:val="95"/>
                            <w:sz w:val="17"/>
                          </w:rPr>
                          <w:t>SES</w:t>
                        </w:r>
                        <w:r>
                          <w:rPr>
                            <w:color w:val="105C84"/>
                            <w:spacing w:val="29"/>
                            <w:sz w:val="17"/>
                          </w:rPr>
                          <w:t>  </w:t>
                        </w:r>
                        <w:r>
                          <w:rPr>
                            <w:color w:val="00A79E"/>
                            <w:spacing w:val="-5"/>
                            <w:w w:val="90"/>
                            <w:sz w:val="17"/>
                          </w:rPr>
                          <w:t>SES</w:t>
                        </w:r>
                      </w:p>
                      <w:p>
                        <w:pPr>
                          <w:tabs>
                            <w:tab w:pos="500" w:val="left" w:leader="none"/>
                          </w:tabs>
                          <w:spacing w:line="194" w:lineRule="exact" w:before="0"/>
                          <w:ind w:left="21" w:right="0" w:firstLine="0"/>
                          <w:jc w:val="left"/>
                          <w:rPr>
                            <w:sz w:val="17"/>
                          </w:rPr>
                        </w:pPr>
                        <w:r>
                          <w:rPr>
                            <w:color w:val="105C84"/>
                            <w:spacing w:val="-4"/>
                            <w:sz w:val="17"/>
                          </w:rPr>
                          <w:t>1-</w:t>
                        </w:r>
                        <w:r>
                          <w:rPr>
                            <w:color w:val="105C84"/>
                            <w:spacing w:val="-10"/>
                            <w:sz w:val="17"/>
                          </w:rPr>
                          <w:t>2</w:t>
                        </w:r>
                        <w:r>
                          <w:rPr>
                            <w:color w:val="105C84"/>
                            <w:sz w:val="17"/>
                          </w:rPr>
                          <w:tab/>
                        </w:r>
                        <w:r>
                          <w:rPr>
                            <w:color w:val="00A79E"/>
                            <w:spacing w:val="-4"/>
                            <w:sz w:val="17"/>
                          </w:rPr>
                          <w:t>3-</w:t>
                        </w:r>
                        <w:r>
                          <w:rPr>
                            <w:color w:val="00A79E"/>
                            <w:spacing w:val="-10"/>
                            <w:sz w:val="17"/>
                          </w:rPr>
                          <w:t>5</w:t>
                        </w:r>
                      </w:p>
                    </w:txbxContent>
                  </v:textbox>
                  <w10:wrap type="none"/>
                </v:shape>
                <v:shape style="position:absolute;left:14676;top:4571;width:599;height:239" type="#_x0000_t202" id="docshape394" filled="false" stroked="false">
                  <v:textbox inset="0,0,0,0">
                    <w:txbxContent>
                      <w:p>
                        <w:pPr>
                          <w:spacing w:before="14"/>
                          <w:ind w:left="0" w:right="0" w:firstLine="0"/>
                          <w:jc w:val="left"/>
                          <w:rPr>
                            <w:sz w:val="17"/>
                          </w:rPr>
                        </w:pPr>
                        <w:r>
                          <w:rPr>
                            <w:color w:val="636466"/>
                            <w:spacing w:val="-2"/>
                            <w:sz w:val="17"/>
                          </w:rPr>
                          <w:t>HEART</w:t>
                        </w:r>
                      </w:p>
                    </w:txbxContent>
                  </v:textbox>
                  <w10:wrap type="none"/>
                </v:shape>
                <v:shape style="position:absolute;left:16536;top:4571;width:766;height:239" type="#_x0000_t202" id="docshape395" filled="false" stroked="false">
                  <v:textbox inset="0,0,0,0">
                    <w:txbxContent>
                      <w:p>
                        <w:pPr>
                          <w:spacing w:before="14"/>
                          <w:ind w:left="0" w:right="0" w:firstLine="0"/>
                          <w:jc w:val="left"/>
                          <w:rPr>
                            <w:sz w:val="17"/>
                          </w:rPr>
                        </w:pPr>
                        <w:r>
                          <w:rPr>
                            <w:color w:val="636466"/>
                            <w:spacing w:val="-2"/>
                            <w:sz w:val="17"/>
                          </w:rPr>
                          <w:t>CANCER</w:t>
                        </w:r>
                      </w:p>
                    </w:txbxContent>
                  </v:textbox>
                  <w10:wrap type="none"/>
                </v:shape>
                <v:shape style="position:absolute;left:22331;top:4571;width:538;height:239" type="#_x0000_t202" id="docshape396" filled="false" stroked="false">
                  <v:textbox inset="0,0,0,0">
                    <w:txbxContent>
                      <w:p>
                        <w:pPr>
                          <w:spacing w:before="14"/>
                          <w:ind w:left="0" w:right="0" w:firstLine="0"/>
                          <w:jc w:val="left"/>
                          <w:rPr>
                            <w:sz w:val="17"/>
                          </w:rPr>
                        </w:pPr>
                        <w:r>
                          <w:rPr>
                            <w:color w:val="636466"/>
                            <w:spacing w:val="-4"/>
                            <w:sz w:val="17"/>
                          </w:rPr>
                          <w:t>COPD</w:t>
                        </w:r>
                      </w:p>
                    </w:txbxContent>
                  </v:textbox>
                  <w10:wrap type="none"/>
                </v:shape>
                <v:shape style="position:absolute;left:15244;top:1889;width:419;height:532" type="#_x0000_t202" id="docshape397" filled="false" stroked="true" strokeweight=".697pt" strokecolor="#636466">
                  <v:textbox inset="0,0,0,0">
                    <w:txbxContent>
                      <w:p>
                        <w:pPr>
                          <w:spacing w:line="240" w:lineRule="auto" w:before="38"/>
                          <w:rPr>
                            <w:b/>
                            <w:sz w:val="13"/>
                          </w:rPr>
                        </w:pPr>
                      </w:p>
                      <w:p>
                        <w:pPr>
                          <w:spacing w:before="0"/>
                          <w:ind w:left="74" w:right="0" w:firstLine="0"/>
                          <w:jc w:val="left"/>
                          <w:rPr>
                            <w:b/>
                            <w:sz w:val="13"/>
                          </w:rPr>
                        </w:pPr>
                        <w:r>
                          <w:rPr>
                            <w:b/>
                            <w:color w:val="636466"/>
                            <w:spacing w:val="-5"/>
                            <w:w w:val="110"/>
                            <w:sz w:val="13"/>
                          </w:rPr>
                          <w:t>227</w:t>
                        </w:r>
                      </w:p>
                    </w:txbxContent>
                  </v:textbox>
                  <v:stroke dashstyle="solid"/>
                  <w10:wrap type="none"/>
                </v:shape>
                <v:shape style="position:absolute;left:14283;top:1889;width:419;height:1944" type="#_x0000_t202" id="docshape398" filled="true" fillcolor="#105c84" stroked="false">
                  <v:textbox inset="0,0,0,0">
                    <w:txbxContent>
                      <w:p>
                        <w:pPr>
                          <w:spacing w:line="240" w:lineRule="auto" w:before="0"/>
                          <w:rPr>
                            <w:b/>
                            <w:color w:val="000000"/>
                            <w:sz w:val="13"/>
                          </w:rPr>
                        </w:pPr>
                      </w:p>
                      <w:p>
                        <w:pPr>
                          <w:spacing w:line="240" w:lineRule="auto" w:before="0"/>
                          <w:rPr>
                            <w:b/>
                            <w:color w:val="000000"/>
                            <w:sz w:val="13"/>
                          </w:rPr>
                        </w:pPr>
                      </w:p>
                      <w:p>
                        <w:pPr>
                          <w:spacing w:line="240" w:lineRule="auto" w:before="0"/>
                          <w:rPr>
                            <w:b/>
                            <w:color w:val="000000"/>
                            <w:sz w:val="13"/>
                          </w:rPr>
                        </w:pPr>
                      </w:p>
                      <w:p>
                        <w:pPr>
                          <w:spacing w:line="240" w:lineRule="auto" w:before="0"/>
                          <w:rPr>
                            <w:b/>
                            <w:color w:val="000000"/>
                            <w:sz w:val="13"/>
                          </w:rPr>
                        </w:pPr>
                      </w:p>
                      <w:p>
                        <w:pPr>
                          <w:spacing w:line="240" w:lineRule="auto" w:before="0"/>
                          <w:rPr>
                            <w:b/>
                            <w:color w:val="000000"/>
                            <w:sz w:val="13"/>
                          </w:rPr>
                        </w:pPr>
                      </w:p>
                      <w:p>
                        <w:pPr>
                          <w:spacing w:line="240" w:lineRule="auto" w:before="9"/>
                          <w:rPr>
                            <w:b/>
                            <w:color w:val="000000"/>
                            <w:sz w:val="13"/>
                          </w:rPr>
                        </w:pPr>
                      </w:p>
                      <w:p>
                        <w:pPr>
                          <w:spacing w:before="0"/>
                          <w:ind w:left="98" w:right="0" w:firstLine="0"/>
                          <w:jc w:val="left"/>
                          <w:rPr>
                            <w:b/>
                            <w:color w:val="000000"/>
                            <w:sz w:val="13"/>
                          </w:rPr>
                        </w:pPr>
                        <w:r>
                          <w:rPr>
                            <w:b/>
                            <w:color w:val="FFFFFF"/>
                            <w:spacing w:val="-5"/>
                            <w:w w:val="110"/>
                            <w:sz w:val="13"/>
                          </w:rPr>
                          <w:t>832</w:t>
                        </w:r>
                      </w:p>
                    </w:txbxContent>
                  </v:textbox>
                  <v:fill type="solid"/>
                  <w10:wrap type="none"/>
                </v:shape>
                <v:shape style="position:absolute;left:22432;top:3550;width:407;height:283" type="#_x0000_t202" id="docshape399" filled="true" fillcolor="#00a79e" stroked="false">
                  <v:textbox inset="0,0,0,0">
                    <w:txbxContent>
                      <w:p>
                        <w:pPr>
                          <w:spacing w:before="70"/>
                          <w:ind w:left="89" w:right="0" w:firstLine="0"/>
                          <w:jc w:val="left"/>
                          <w:rPr>
                            <w:b/>
                            <w:color w:val="000000"/>
                            <w:sz w:val="13"/>
                          </w:rPr>
                        </w:pPr>
                        <w:r>
                          <w:rPr>
                            <w:b/>
                            <w:color w:val="FFFFFF"/>
                            <w:spacing w:val="-5"/>
                            <w:w w:val="110"/>
                            <w:sz w:val="13"/>
                          </w:rPr>
                          <w:t>122</w:t>
                        </w:r>
                      </w:p>
                    </w:txbxContent>
                  </v:textbox>
                  <v:fill type="solid"/>
                  <w10:wrap type="none"/>
                </v:shape>
                <v:shape style="position:absolute;left:21946;top:3403;width:419;height:430" type="#_x0000_t202" id="docshape400" filled="true" fillcolor="#105c84" stroked="false">
                  <v:textbox inset="0,0,0,0">
                    <w:txbxContent>
                      <w:p>
                        <w:pPr>
                          <w:spacing w:before="138"/>
                          <w:ind w:left="96" w:right="0" w:firstLine="0"/>
                          <w:jc w:val="left"/>
                          <w:rPr>
                            <w:b/>
                            <w:color w:val="000000"/>
                            <w:sz w:val="13"/>
                          </w:rPr>
                        </w:pPr>
                        <w:r>
                          <w:rPr>
                            <w:b/>
                            <w:color w:val="FFFFFF"/>
                            <w:spacing w:val="-5"/>
                            <w:w w:val="110"/>
                            <w:sz w:val="13"/>
                          </w:rPr>
                          <w:t>182</w:t>
                        </w:r>
                      </w:p>
                    </w:txbxContent>
                  </v:textbox>
                  <v:fill type="solid"/>
                  <w10:wrap type="none"/>
                </v:shape>
                <v:shape style="position:absolute;left:18601;top:2827;width:407;height:1006" type="#_x0000_t202" id="docshape401" filled="true" fillcolor="#00a79e" stroked="false">
                  <v:textbox inset="0,0,0,0">
                    <w:txbxContent>
                      <w:p>
                        <w:pPr>
                          <w:spacing w:line="240" w:lineRule="auto" w:before="0"/>
                          <w:rPr>
                            <w:b/>
                            <w:color w:val="000000"/>
                            <w:sz w:val="13"/>
                          </w:rPr>
                        </w:pPr>
                      </w:p>
                      <w:p>
                        <w:pPr>
                          <w:spacing w:line="240" w:lineRule="auto" w:before="133"/>
                          <w:rPr>
                            <w:b/>
                            <w:color w:val="000000"/>
                            <w:sz w:val="13"/>
                          </w:rPr>
                        </w:pPr>
                      </w:p>
                      <w:p>
                        <w:pPr>
                          <w:spacing w:before="0"/>
                          <w:ind w:left="90" w:right="0" w:firstLine="0"/>
                          <w:jc w:val="left"/>
                          <w:rPr>
                            <w:b/>
                            <w:color w:val="000000"/>
                            <w:sz w:val="13"/>
                          </w:rPr>
                        </w:pPr>
                        <w:r>
                          <w:rPr>
                            <w:b/>
                            <w:color w:val="FFFFFF"/>
                            <w:spacing w:val="-5"/>
                            <w:w w:val="110"/>
                            <w:sz w:val="13"/>
                          </w:rPr>
                          <w:t>428</w:t>
                        </w:r>
                      </w:p>
                    </w:txbxContent>
                  </v:textbox>
                  <v:fill type="solid"/>
                  <w10:wrap type="none"/>
                </v:shape>
                <v:shape style="position:absolute;left:18115;top:2364;width:419;height:1470" type="#_x0000_t202" id="docshape402" filled="true" fillcolor="#105c84" stroked="false">
                  <v:textbox inset="0,0,0,0">
                    <w:txbxContent>
                      <w:p>
                        <w:pPr>
                          <w:spacing w:line="240" w:lineRule="auto" w:before="0"/>
                          <w:rPr>
                            <w:b/>
                            <w:color w:val="000000"/>
                            <w:sz w:val="13"/>
                          </w:rPr>
                        </w:pPr>
                      </w:p>
                      <w:p>
                        <w:pPr>
                          <w:spacing w:line="240" w:lineRule="auto" w:before="0"/>
                          <w:rPr>
                            <w:b/>
                            <w:color w:val="000000"/>
                            <w:sz w:val="13"/>
                          </w:rPr>
                        </w:pPr>
                      </w:p>
                      <w:p>
                        <w:pPr>
                          <w:spacing w:line="240" w:lineRule="auto" w:before="0"/>
                          <w:rPr>
                            <w:b/>
                            <w:color w:val="000000"/>
                            <w:sz w:val="13"/>
                          </w:rPr>
                        </w:pPr>
                      </w:p>
                      <w:p>
                        <w:pPr>
                          <w:spacing w:line="240" w:lineRule="auto" w:before="71"/>
                          <w:rPr>
                            <w:b/>
                            <w:color w:val="000000"/>
                            <w:sz w:val="13"/>
                          </w:rPr>
                        </w:pPr>
                      </w:p>
                      <w:p>
                        <w:pPr>
                          <w:spacing w:before="0"/>
                          <w:ind w:left="97" w:right="0" w:firstLine="0"/>
                          <w:jc w:val="left"/>
                          <w:rPr>
                            <w:b/>
                            <w:color w:val="000000"/>
                            <w:sz w:val="13"/>
                          </w:rPr>
                        </w:pPr>
                        <w:r>
                          <w:rPr>
                            <w:b/>
                            <w:color w:val="FFFFFF"/>
                            <w:spacing w:val="-5"/>
                            <w:w w:val="110"/>
                            <w:sz w:val="13"/>
                          </w:rPr>
                          <w:t>627</w:t>
                        </w:r>
                      </w:p>
                    </w:txbxContent>
                  </v:textbox>
                  <v:fill type="solid"/>
                  <w10:wrap type="none"/>
                </v:shape>
                <v:shape style="position:absolute;left:20985;top:3437;width:419;height:260" type="#_x0000_t202" id="docshape403" filled="false" stroked="true" strokeweight=".697pt" strokecolor="#636466">
                  <v:textbox inset="0,0,0,0">
                    <w:txbxContent>
                      <w:p>
                        <w:pPr>
                          <w:spacing w:before="52"/>
                          <w:ind w:left="79" w:right="0" w:firstLine="0"/>
                          <w:jc w:val="left"/>
                          <w:rPr>
                            <w:b/>
                            <w:sz w:val="13"/>
                          </w:rPr>
                        </w:pPr>
                        <w:r>
                          <w:rPr>
                            <w:b/>
                            <w:color w:val="636466"/>
                            <w:spacing w:val="-5"/>
                            <w:w w:val="110"/>
                            <w:sz w:val="13"/>
                          </w:rPr>
                          <w:t>111</w:t>
                        </w:r>
                      </w:p>
                    </w:txbxContent>
                  </v:textbox>
                  <v:stroke dashstyle="solid"/>
                  <w10:wrap type="none"/>
                </v:shape>
                <v:shape style="position:absolute;left:22907;top:3403;width:419;height:147" type="#_x0000_t202" id="docshape404" filled="false" stroked="true" strokeweight=".697pt" strokecolor="#636466">
                  <v:textbox inset="0,0,0,0">
                    <w:txbxContent>
                      <w:p>
                        <w:pPr>
                          <w:spacing w:line="133" w:lineRule="exact" w:before="0"/>
                          <w:ind w:left="115" w:right="0" w:firstLine="0"/>
                          <w:jc w:val="left"/>
                          <w:rPr>
                            <w:b/>
                            <w:sz w:val="13"/>
                          </w:rPr>
                        </w:pPr>
                        <w:r>
                          <w:rPr>
                            <w:b/>
                            <w:color w:val="636466"/>
                            <w:spacing w:val="-5"/>
                            <w:w w:val="110"/>
                            <w:sz w:val="13"/>
                          </w:rPr>
                          <w:t>60</w:t>
                        </w:r>
                      </w:p>
                    </w:txbxContent>
                  </v:textbox>
                  <v:stroke dashstyle="solid"/>
                  <w10:wrap type="none"/>
                </v:shape>
                <w10:wrap type="none"/>
              </v:group>
            </w:pict>
          </mc:Fallback>
        </mc:AlternateContent>
      </w:r>
      <w:r>
        <w:rPr>
          <w:color w:val="636466"/>
          <w:spacing w:val="-4"/>
          <w:sz w:val="17"/>
        </w:rPr>
        <w:t>1600</w:t>
      </w:r>
    </w:p>
    <w:p>
      <w:pPr>
        <w:pStyle w:val="BodyText"/>
        <w:spacing w:before="72"/>
        <w:rPr>
          <w:sz w:val="17"/>
        </w:rPr>
      </w:pPr>
    </w:p>
    <w:p>
      <w:pPr>
        <w:spacing w:before="0"/>
        <w:ind w:left="0" w:right="9666" w:firstLine="0"/>
        <w:jc w:val="right"/>
        <w:rPr>
          <w:sz w:val="17"/>
        </w:rPr>
      </w:pPr>
      <w:r>
        <w:rPr>
          <w:sz w:val="17"/>
        </w:rPr>
        <mc:AlternateContent>
          <mc:Choice Requires="wps">
            <w:drawing>
              <wp:anchor distT="0" distB="0" distL="0" distR="0" allowOverlap="1" layoutInCell="1" locked="0" behindDoc="0" simplePos="0" relativeHeight="15773184">
                <wp:simplePos x="0" y="0"/>
                <wp:positionH relativeFrom="page">
                  <wp:posOffset>8456702</wp:posOffset>
                </wp:positionH>
                <wp:positionV relativeFrom="paragraph">
                  <wp:posOffset>-50150</wp:posOffset>
                </wp:positionV>
                <wp:extent cx="160020" cy="1897380"/>
                <wp:effectExtent l="0" t="0" r="0" b="0"/>
                <wp:wrapNone/>
                <wp:docPr id="456" name="Textbox 456"/>
                <wp:cNvGraphicFramePr>
                  <a:graphicFrameLocks/>
                </wp:cNvGraphicFramePr>
                <a:graphic>
                  <a:graphicData uri="http://schemas.microsoft.com/office/word/2010/wordprocessingShape">
                    <wps:wsp>
                      <wps:cNvPr id="456" name="Textbox 456"/>
                      <wps:cNvSpPr txBox="1"/>
                      <wps:spPr>
                        <a:xfrm>
                          <a:off x="0" y="0"/>
                          <a:ext cx="160020" cy="1897380"/>
                        </a:xfrm>
                        <a:prstGeom prst="rect">
                          <a:avLst/>
                        </a:prstGeom>
                      </wps:spPr>
                      <wps:txbx>
                        <w:txbxContent>
                          <w:p>
                            <w:pPr>
                              <w:spacing w:before="34"/>
                              <w:ind w:left="20" w:right="0" w:firstLine="0"/>
                              <w:jc w:val="left"/>
                              <w:rPr>
                                <w:sz w:val="15"/>
                              </w:rPr>
                            </w:pPr>
                            <w:r>
                              <w:rPr>
                                <w:color w:val="105C84"/>
                                <w:sz w:val="15"/>
                              </w:rPr>
                              <w:t>Mortality</w:t>
                            </w:r>
                            <w:r>
                              <w:rPr>
                                <w:color w:val="105C84"/>
                                <w:spacing w:val="7"/>
                                <w:sz w:val="15"/>
                              </w:rPr>
                              <w:t> </w:t>
                            </w:r>
                            <w:r>
                              <w:rPr>
                                <w:color w:val="105C84"/>
                                <w:sz w:val="15"/>
                              </w:rPr>
                              <w:t>rate</w:t>
                            </w:r>
                            <w:r>
                              <w:rPr>
                                <w:color w:val="105C84"/>
                                <w:spacing w:val="8"/>
                                <w:sz w:val="15"/>
                              </w:rPr>
                              <w:t> </w:t>
                            </w:r>
                            <w:r>
                              <w:rPr>
                                <w:color w:val="105C84"/>
                                <w:sz w:val="15"/>
                              </w:rPr>
                              <w:t>(deaths</w:t>
                            </w:r>
                            <w:r>
                              <w:rPr>
                                <w:color w:val="105C84"/>
                                <w:spacing w:val="7"/>
                                <w:sz w:val="15"/>
                              </w:rPr>
                              <w:t> </w:t>
                            </w:r>
                            <w:r>
                              <w:rPr>
                                <w:color w:val="105C84"/>
                                <w:sz w:val="15"/>
                              </w:rPr>
                              <w:t>per</w:t>
                            </w:r>
                            <w:r>
                              <w:rPr>
                                <w:color w:val="105C84"/>
                                <w:spacing w:val="8"/>
                                <w:sz w:val="15"/>
                              </w:rPr>
                              <w:t> </w:t>
                            </w:r>
                            <w:r>
                              <w:rPr>
                                <w:color w:val="105C84"/>
                                <w:sz w:val="15"/>
                              </w:rPr>
                              <w:t>100K</w:t>
                            </w:r>
                            <w:r>
                              <w:rPr>
                                <w:color w:val="105C84"/>
                                <w:spacing w:val="7"/>
                                <w:sz w:val="15"/>
                              </w:rPr>
                              <w:t> </w:t>
                            </w:r>
                            <w:r>
                              <w:rPr>
                                <w:color w:val="105C84"/>
                                <w:spacing w:val="-2"/>
                                <w:sz w:val="15"/>
                              </w:rPr>
                              <w:t>population)</w:t>
                            </w:r>
                          </w:p>
                        </w:txbxContent>
                      </wps:txbx>
                      <wps:bodyPr wrap="square" lIns="0" tIns="0" rIns="0" bIns="0" rtlCol="0" vert="vert270">
                        <a:noAutofit/>
                      </wps:bodyPr>
                    </wps:wsp>
                  </a:graphicData>
                </a:graphic>
              </wp:anchor>
            </w:drawing>
          </mc:Choice>
          <mc:Fallback>
            <w:pict>
              <v:shape style="position:absolute;margin-left:665.88208pt;margin-top:-3.948886pt;width:12.6pt;height:149.4pt;mso-position-horizontal-relative:page;mso-position-vertical-relative:paragraph;z-index:15773184" type="#_x0000_t202" id="docshape405" filled="false" stroked="false">
                <v:textbox inset="0,0,0,0" style="layout-flow:vertical;mso-layout-flow-alt:bottom-to-top">
                  <w:txbxContent>
                    <w:p>
                      <w:pPr>
                        <w:spacing w:before="34"/>
                        <w:ind w:left="20" w:right="0" w:firstLine="0"/>
                        <w:jc w:val="left"/>
                        <w:rPr>
                          <w:sz w:val="15"/>
                        </w:rPr>
                      </w:pPr>
                      <w:r>
                        <w:rPr>
                          <w:color w:val="105C84"/>
                          <w:sz w:val="15"/>
                        </w:rPr>
                        <w:t>Mortality</w:t>
                      </w:r>
                      <w:r>
                        <w:rPr>
                          <w:color w:val="105C84"/>
                          <w:spacing w:val="7"/>
                          <w:sz w:val="15"/>
                        </w:rPr>
                        <w:t> </w:t>
                      </w:r>
                      <w:r>
                        <w:rPr>
                          <w:color w:val="105C84"/>
                          <w:sz w:val="15"/>
                        </w:rPr>
                        <w:t>rate</w:t>
                      </w:r>
                      <w:r>
                        <w:rPr>
                          <w:color w:val="105C84"/>
                          <w:spacing w:val="8"/>
                          <w:sz w:val="15"/>
                        </w:rPr>
                        <w:t> </w:t>
                      </w:r>
                      <w:r>
                        <w:rPr>
                          <w:color w:val="105C84"/>
                          <w:sz w:val="15"/>
                        </w:rPr>
                        <w:t>(deaths</w:t>
                      </w:r>
                      <w:r>
                        <w:rPr>
                          <w:color w:val="105C84"/>
                          <w:spacing w:val="7"/>
                          <w:sz w:val="15"/>
                        </w:rPr>
                        <w:t> </w:t>
                      </w:r>
                      <w:r>
                        <w:rPr>
                          <w:color w:val="105C84"/>
                          <w:sz w:val="15"/>
                        </w:rPr>
                        <w:t>per</w:t>
                      </w:r>
                      <w:r>
                        <w:rPr>
                          <w:color w:val="105C84"/>
                          <w:spacing w:val="8"/>
                          <w:sz w:val="15"/>
                        </w:rPr>
                        <w:t> </w:t>
                      </w:r>
                      <w:r>
                        <w:rPr>
                          <w:color w:val="105C84"/>
                          <w:sz w:val="15"/>
                        </w:rPr>
                        <w:t>100K</w:t>
                      </w:r>
                      <w:r>
                        <w:rPr>
                          <w:color w:val="105C84"/>
                          <w:spacing w:val="7"/>
                          <w:sz w:val="15"/>
                        </w:rPr>
                        <w:t> </w:t>
                      </w:r>
                      <w:r>
                        <w:rPr>
                          <w:color w:val="105C84"/>
                          <w:spacing w:val="-2"/>
                          <w:sz w:val="15"/>
                        </w:rPr>
                        <w:t>population)</w:t>
                      </w:r>
                    </w:p>
                  </w:txbxContent>
                </v:textbox>
                <w10:wrap type="none"/>
              </v:shape>
            </w:pict>
          </mc:Fallback>
        </mc:AlternateContent>
      </w:r>
      <w:r>
        <w:rPr>
          <w:color w:val="636466"/>
          <w:spacing w:val="-4"/>
          <w:sz w:val="17"/>
        </w:rPr>
        <w:t>1400</w:t>
      </w:r>
    </w:p>
    <w:p>
      <w:pPr>
        <w:pStyle w:val="BodyText"/>
        <w:spacing w:before="72"/>
        <w:rPr>
          <w:sz w:val="17"/>
        </w:rPr>
      </w:pPr>
    </w:p>
    <w:p>
      <w:pPr>
        <w:spacing w:before="0"/>
        <w:ind w:left="0" w:right="9666" w:firstLine="0"/>
        <w:jc w:val="right"/>
        <w:rPr>
          <w:sz w:val="17"/>
        </w:rPr>
      </w:pPr>
      <w:r>
        <w:rPr>
          <w:color w:val="636466"/>
          <w:spacing w:val="-4"/>
          <w:sz w:val="17"/>
        </w:rPr>
        <w:t>1200</w:t>
      </w:r>
    </w:p>
    <w:p>
      <w:pPr>
        <w:pStyle w:val="BodyText"/>
        <w:spacing w:before="73"/>
        <w:rPr>
          <w:sz w:val="17"/>
        </w:rPr>
      </w:pPr>
    </w:p>
    <w:p>
      <w:pPr>
        <w:spacing w:before="0"/>
        <w:ind w:left="0" w:right="9666" w:firstLine="0"/>
        <w:jc w:val="right"/>
        <w:rPr>
          <w:sz w:val="17"/>
        </w:rPr>
      </w:pPr>
      <w:r>
        <w:rPr>
          <w:color w:val="636466"/>
          <w:spacing w:val="-4"/>
          <w:sz w:val="17"/>
        </w:rPr>
        <w:t>1000</w:t>
      </w:r>
    </w:p>
    <w:p>
      <w:pPr>
        <w:pStyle w:val="BodyText"/>
        <w:spacing w:before="83"/>
        <w:rPr>
          <w:sz w:val="17"/>
        </w:rPr>
      </w:pPr>
    </w:p>
    <w:p>
      <w:pPr>
        <w:spacing w:before="0"/>
        <w:ind w:left="0" w:right="9657" w:firstLine="0"/>
        <w:jc w:val="right"/>
        <w:rPr>
          <w:sz w:val="17"/>
        </w:rPr>
      </w:pPr>
      <w:r>
        <w:rPr>
          <w:color w:val="636466"/>
          <w:spacing w:val="-5"/>
          <w:sz w:val="17"/>
        </w:rPr>
        <w:t>800</w:t>
      </w:r>
    </w:p>
    <w:p>
      <w:pPr>
        <w:pStyle w:val="BodyText"/>
        <w:spacing w:before="73"/>
        <w:rPr>
          <w:sz w:val="17"/>
        </w:rPr>
      </w:pPr>
    </w:p>
    <w:p>
      <w:pPr>
        <w:spacing w:before="0"/>
        <w:ind w:left="0" w:right="9657" w:firstLine="0"/>
        <w:jc w:val="right"/>
        <w:rPr>
          <w:sz w:val="17"/>
        </w:rPr>
      </w:pPr>
      <w:r>
        <w:rPr>
          <w:color w:val="636466"/>
          <w:spacing w:val="-5"/>
          <w:sz w:val="17"/>
        </w:rPr>
        <w:t>600</w:t>
      </w:r>
    </w:p>
    <w:p>
      <w:pPr>
        <w:pStyle w:val="BodyText"/>
        <w:spacing w:before="72"/>
        <w:rPr>
          <w:sz w:val="17"/>
        </w:rPr>
      </w:pPr>
    </w:p>
    <w:p>
      <w:pPr>
        <w:spacing w:before="0"/>
        <w:ind w:left="0" w:right="9657" w:firstLine="0"/>
        <w:jc w:val="right"/>
        <w:rPr>
          <w:sz w:val="17"/>
        </w:rPr>
      </w:pPr>
      <w:r>
        <w:rPr>
          <w:color w:val="636466"/>
          <w:spacing w:val="-5"/>
          <w:sz w:val="17"/>
        </w:rPr>
        <w:t>400</w:t>
      </w:r>
    </w:p>
    <w:p>
      <w:pPr>
        <w:pStyle w:val="BodyText"/>
        <w:spacing w:before="72"/>
        <w:rPr>
          <w:sz w:val="17"/>
        </w:rPr>
      </w:pPr>
    </w:p>
    <w:p>
      <w:pPr>
        <w:spacing w:before="1"/>
        <w:ind w:left="0" w:right="9657" w:firstLine="0"/>
        <w:jc w:val="right"/>
        <w:rPr>
          <w:sz w:val="17"/>
        </w:rPr>
      </w:pPr>
      <w:r>
        <w:rPr>
          <w:color w:val="636466"/>
          <w:spacing w:val="-5"/>
          <w:sz w:val="17"/>
        </w:rPr>
        <w:t>200</w:t>
      </w:r>
    </w:p>
    <w:p>
      <w:pPr>
        <w:pStyle w:val="BodyText"/>
        <w:spacing w:before="72"/>
        <w:rPr>
          <w:sz w:val="17"/>
        </w:rPr>
      </w:pPr>
    </w:p>
    <w:p>
      <w:pPr>
        <w:spacing w:before="0"/>
        <w:ind w:left="0" w:right="9642" w:firstLine="0"/>
        <w:jc w:val="right"/>
        <w:rPr>
          <w:sz w:val="17"/>
        </w:rPr>
      </w:pPr>
      <w:r>
        <w:rPr>
          <w:color w:val="636466"/>
          <w:spacing w:val="-10"/>
          <w:sz w:val="17"/>
        </w:rPr>
        <w:t>0</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37"/>
        <w:rPr>
          <w:sz w:val="20"/>
        </w:rPr>
      </w:pPr>
    </w:p>
    <w:p>
      <w:pPr>
        <w:pStyle w:val="BodyText"/>
        <w:spacing w:after="0"/>
        <w:rPr>
          <w:sz w:val="20"/>
        </w:rPr>
        <w:sectPr>
          <w:pgSz w:w="24480" w:h="15840" w:orient="landscape"/>
          <w:pgMar w:header="0" w:footer="0" w:top="860" w:bottom="0" w:left="0" w:right="720"/>
        </w:sect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26"/>
        <w:rPr>
          <w:sz w:val="16"/>
        </w:rPr>
      </w:pPr>
    </w:p>
    <w:p>
      <w:pPr>
        <w:spacing w:before="0"/>
        <w:ind w:left="1065" w:right="0" w:firstLine="0"/>
        <w:jc w:val="left"/>
        <w:rPr>
          <w:sz w:val="16"/>
        </w:rPr>
      </w:pPr>
      <w:r>
        <w:rPr>
          <w:color w:val="0C5D86"/>
          <w:spacing w:val="-2"/>
          <w:sz w:val="16"/>
        </w:rPr>
        <w:t>Source:</w:t>
      </w:r>
      <w:r>
        <w:rPr>
          <w:color w:val="0C5D86"/>
          <w:spacing w:val="3"/>
          <w:sz w:val="16"/>
        </w:rPr>
        <w:t> </w:t>
      </w:r>
      <w:r>
        <w:rPr>
          <w:color w:val="0C5D86"/>
          <w:spacing w:val="-2"/>
          <w:sz w:val="16"/>
        </w:rPr>
        <w:t>NYSDOH</w:t>
      </w:r>
      <w:r>
        <w:rPr>
          <w:color w:val="0C5D86"/>
          <w:spacing w:val="4"/>
          <w:sz w:val="16"/>
        </w:rPr>
        <w:t> </w:t>
      </w:r>
      <w:r>
        <w:rPr>
          <w:color w:val="0C5D86"/>
          <w:spacing w:val="-2"/>
          <w:sz w:val="16"/>
        </w:rPr>
        <w:t>Vital</w:t>
      </w:r>
      <w:r>
        <w:rPr>
          <w:color w:val="0C5D86"/>
          <w:spacing w:val="3"/>
          <w:sz w:val="16"/>
        </w:rPr>
        <w:t> </w:t>
      </w:r>
      <w:r>
        <w:rPr>
          <w:color w:val="0C5D86"/>
          <w:spacing w:val="-2"/>
          <w:sz w:val="16"/>
        </w:rPr>
        <w:t>Statistics,</w:t>
      </w:r>
      <w:r>
        <w:rPr>
          <w:color w:val="0C5D86"/>
          <w:spacing w:val="4"/>
          <w:sz w:val="16"/>
        </w:rPr>
        <w:t> </w:t>
      </w:r>
      <w:r>
        <w:rPr>
          <w:color w:val="0C5D86"/>
          <w:spacing w:val="-2"/>
          <w:sz w:val="16"/>
        </w:rPr>
        <w:t>2012-2014.</w:t>
      </w:r>
      <w:r>
        <w:rPr>
          <w:color w:val="0C5D86"/>
          <w:spacing w:val="4"/>
          <w:sz w:val="16"/>
        </w:rPr>
        <w:t> </w:t>
      </w:r>
      <w:r>
        <w:rPr>
          <w:color w:val="0C5D86"/>
          <w:spacing w:val="-2"/>
          <w:sz w:val="16"/>
        </w:rPr>
        <w:t>Calculations</w:t>
      </w:r>
      <w:r>
        <w:rPr>
          <w:color w:val="0C5D86"/>
          <w:spacing w:val="3"/>
          <w:sz w:val="16"/>
        </w:rPr>
        <w:t> </w:t>
      </w:r>
      <w:r>
        <w:rPr>
          <w:color w:val="0C5D86"/>
          <w:spacing w:val="-2"/>
          <w:sz w:val="16"/>
        </w:rPr>
        <w:t>performed</w:t>
      </w:r>
      <w:r>
        <w:rPr>
          <w:color w:val="0C5D86"/>
          <w:spacing w:val="4"/>
          <w:sz w:val="16"/>
        </w:rPr>
        <w:t> </w:t>
      </w:r>
      <w:r>
        <w:rPr>
          <w:color w:val="0C5D86"/>
          <w:spacing w:val="-2"/>
          <w:sz w:val="16"/>
        </w:rPr>
        <w:t>by</w:t>
      </w:r>
      <w:r>
        <w:rPr>
          <w:color w:val="0C5D86"/>
          <w:spacing w:val="4"/>
          <w:sz w:val="16"/>
        </w:rPr>
        <w:t> </w:t>
      </w:r>
      <w:r>
        <w:rPr>
          <w:color w:val="0C5D86"/>
          <w:spacing w:val="-2"/>
          <w:sz w:val="16"/>
        </w:rPr>
        <w:t>Common</w:t>
      </w:r>
      <w:r>
        <w:rPr>
          <w:color w:val="0C5D86"/>
          <w:spacing w:val="3"/>
          <w:sz w:val="16"/>
        </w:rPr>
        <w:t> </w:t>
      </w:r>
      <w:r>
        <w:rPr>
          <w:color w:val="0C5D86"/>
          <w:spacing w:val="-2"/>
          <w:sz w:val="16"/>
        </w:rPr>
        <w:t>Ground</w:t>
      </w:r>
      <w:r>
        <w:rPr>
          <w:color w:val="0C5D86"/>
          <w:spacing w:val="4"/>
          <w:sz w:val="16"/>
        </w:rPr>
        <w:t> </w:t>
      </w:r>
      <w:r>
        <w:rPr>
          <w:color w:val="0C5D86"/>
          <w:spacing w:val="-2"/>
          <w:sz w:val="16"/>
        </w:rPr>
        <w:t>Health</w:t>
      </w:r>
    </w:p>
    <w:p>
      <w:pPr>
        <w:pStyle w:val="BodyText"/>
        <w:rPr>
          <w:sz w:val="16"/>
        </w:rPr>
      </w:pPr>
    </w:p>
    <w:p>
      <w:pPr>
        <w:pStyle w:val="BodyText"/>
        <w:spacing w:before="12"/>
        <w:rPr>
          <w:sz w:val="16"/>
        </w:rPr>
      </w:pPr>
    </w:p>
    <w:p>
      <w:pPr>
        <w:pStyle w:val="BodyText"/>
        <w:spacing w:line="247" w:lineRule="auto"/>
        <w:ind w:left="1065"/>
      </w:pPr>
      <w:r>
        <w:rPr>
          <w:color w:val="105C84"/>
        </w:rPr>
        <w:t>The</w:t>
      </w:r>
      <w:r>
        <w:rPr>
          <w:color w:val="105C84"/>
          <w:spacing w:val="36"/>
        </w:rPr>
        <w:t> </w:t>
      </w:r>
      <w:r>
        <w:rPr>
          <w:color w:val="105C84"/>
        </w:rPr>
        <w:t>largest</w:t>
      </w:r>
      <w:r>
        <w:rPr>
          <w:color w:val="105C84"/>
          <w:spacing w:val="36"/>
        </w:rPr>
        <w:t> </w:t>
      </w:r>
      <w:r>
        <w:rPr>
          <w:color w:val="105C84"/>
        </w:rPr>
        <w:t>force</w:t>
      </w:r>
      <w:r>
        <w:rPr>
          <w:color w:val="105C84"/>
          <w:spacing w:val="36"/>
        </w:rPr>
        <w:t> </w:t>
      </w:r>
      <w:r>
        <w:rPr>
          <w:color w:val="105C84"/>
        </w:rPr>
        <w:t>behind</w:t>
      </w:r>
      <w:r>
        <w:rPr>
          <w:color w:val="105C84"/>
          <w:spacing w:val="36"/>
        </w:rPr>
        <w:t> </w:t>
      </w:r>
      <w:r>
        <w:rPr>
          <w:color w:val="105C84"/>
        </w:rPr>
        <w:t>health</w:t>
      </w:r>
      <w:r>
        <w:rPr>
          <w:color w:val="105C84"/>
          <w:spacing w:val="36"/>
        </w:rPr>
        <w:t> </w:t>
      </w:r>
      <w:r>
        <w:rPr>
          <w:color w:val="105C84"/>
        </w:rPr>
        <w:t>inequity</w:t>
      </w:r>
      <w:r>
        <w:rPr>
          <w:color w:val="105C84"/>
          <w:spacing w:val="36"/>
        </w:rPr>
        <w:t> </w:t>
      </w:r>
      <w:r>
        <w:rPr>
          <w:color w:val="105C84"/>
        </w:rPr>
        <w:t>relates</w:t>
      </w:r>
      <w:r>
        <w:rPr>
          <w:color w:val="105C84"/>
          <w:spacing w:val="36"/>
        </w:rPr>
        <w:t> </w:t>
      </w:r>
      <w:r>
        <w:rPr>
          <w:color w:val="105C84"/>
        </w:rPr>
        <w:t>to</w:t>
      </w:r>
      <w:r>
        <w:rPr>
          <w:color w:val="105C84"/>
          <w:spacing w:val="36"/>
        </w:rPr>
        <w:t> </w:t>
      </w:r>
      <w:r>
        <w:rPr>
          <w:color w:val="105C84"/>
        </w:rPr>
        <w:t>socioeconomic</w:t>
      </w:r>
      <w:r>
        <w:rPr>
          <w:color w:val="105C84"/>
          <w:spacing w:val="36"/>
        </w:rPr>
        <w:t> </w:t>
      </w:r>
      <w:r>
        <w:rPr>
          <w:color w:val="105C84"/>
        </w:rPr>
        <w:t>difference.</w:t>
      </w:r>
      <w:r>
        <w:rPr>
          <w:color w:val="105C84"/>
          <w:spacing w:val="36"/>
        </w:rPr>
        <w:t> </w:t>
      </w:r>
      <w:r>
        <w:rPr>
          <w:color w:val="105C84"/>
        </w:rPr>
        <w:t>Premature</w:t>
      </w:r>
      <w:r>
        <w:rPr>
          <w:color w:val="105C84"/>
          <w:spacing w:val="36"/>
        </w:rPr>
        <w:t> </w:t>
      </w:r>
      <w:r>
        <w:rPr>
          <w:color w:val="105C84"/>
        </w:rPr>
        <w:t>mortality</w:t>
      </w:r>
      <w:r>
        <w:rPr>
          <w:color w:val="105C84"/>
        </w:rPr>
        <w:t> is one measure that can be used to identify health inequities. Communities with low life expectancy</w:t>
      </w:r>
      <w:r>
        <w:rPr>
          <w:color w:val="105C84"/>
          <w:spacing w:val="40"/>
        </w:rPr>
        <w:t> </w:t>
      </w:r>
      <w:r>
        <w:rPr>
          <w:color w:val="105C84"/>
        </w:rPr>
        <w:t>also tend to be communities with higher rates of poverty. Disparities in premature mortality are the</w:t>
      </w:r>
      <w:r>
        <w:rPr>
          <w:color w:val="105C84"/>
          <w:spacing w:val="80"/>
        </w:rPr>
        <w:t> </w:t>
      </w:r>
      <w:r>
        <w:rPr>
          <w:color w:val="105C84"/>
        </w:rPr>
        <w:t>greatest in the top two causes of death – heart disease and cancer – and may be attributed back</w:t>
      </w:r>
    </w:p>
    <w:p>
      <w:pPr>
        <w:pStyle w:val="BodyText"/>
        <w:spacing w:line="247" w:lineRule="auto"/>
        <w:ind w:left="1065"/>
      </w:pPr>
      <w:r>
        <w:rPr>
          <w:color w:val="105C84"/>
        </w:rPr>
        <w:t>to risk factors (such as smoking, obesity, etc.) which are more commonly found in a low income population (Figure 16).</w:t>
      </w:r>
    </w:p>
    <w:p>
      <w:pPr>
        <w:spacing w:before="110"/>
        <w:ind w:left="1065" w:right="0" w:firstLine="0"/>
        <w:jc w:val="left"/>
        <w:rPr>
          <w:sz w:val="16"/>
        </w:rPr>
      </w:pPr>
      <w:r>
        <w:rPr/>
        <w:br w:type="column"/>
      </w:r>
      <w:r>
        <w:rPr>
          <w:color w:val="0C5D86"/>
          <w:spacing w:val="-2"/>
          <w:sz w:val="16"/>
        </w:rPr>
        <w:t>Source:</w:t>
      </w:r>
      <w:r>
        <w:rPr>
          <w:color w:val="0C5D86"/>
          <w:spacing w:val="3"/>
          <w:sz w:val="16"/>
        </w:rPr>
        <w:t> </w:t>
      </w:r>
      <w:r>
        <w:rPr>
          <w:color w:val="0C5D86"/>
          <w:spacing w:val="-2"/>
          <w:sz w:val="16"/>
        </w:rPr>
        <w:t>NYSDOH</w:t>
      </w:r>
      <w:r>
        <w:rPr>
          <w:color w:val="0C5D86"/>
          <w:spacing w:val="4"/>
          <w:sz w:val="16"/>
        </w:rPr>
        <w:t> </w:t>
      </w:r>
      <w:r>
        <w:rPr>
          <w:color w:val="0C5D86"/>
          <w:spacing w:val="-2"/>
          <w:sz w:val="16"/>
        </w:rPr>
        <w:t>Vital</w:t>
      </w:r>
      <w:r>
        <w:rPr>
          <w:color w:val="0C5D86"/>
          <w:spacing w:val="3"/>
          <w:sz w:val="16"/>
        </w:rPr>
        <w:t> </w:t>
      </w:r>
      <w:r>
        <w:rPr>
          <w:color w:val="0C5D86"/>
          <w:spacing w:val="-2"/>
          <w:sz w:val="16"/>
        </w:rPr>
        <w:t>Statistics,</w:t>
      </w:r>
      <w:r>
        <w:rPr>
          <w:color w:val="0C5D86"/>
          <w:spacing w:val="4"/>
          <w:sz w:val="16"/>
        </w:rPr>
        <w:t> </w:t>
      </w:r>
      <w:r>
        <w:rPr>
          <w:color w:val="0C5D86"/>
          <w:spacing w:val="-2"/>
          <w:sz w:val="16"/>
        </w:rPr>
        <w:t>2010-2015.</w:t>
      </w:r>
      <w:r>
        <w:rPr>
          <w:color w:val="0C5D86"/>
          <w:spacing w:val="4"/>
          <w:sz w:val="16"/>
        </w:rPr>
        <w:t> </w:t>
      </w:r>
      <w:r>
        <w:rPr>
          <w:color w:val="0C5D86"/>
          <w:spacing w:val="-2"/>
          <w:sz w:val="16"/>
        </w:rPr>
        <w:t>Calculations</w:t>
      </w:r>
      <w:r>
        <w:rPr>
          <w:color w:val="0C5D86"/>
          <w:spacing w:val="3"/>
          <w:sz w:val="16"/>
        </w:rPr>
        <w:t> </w:t>
      </w:r>
      <w:r>
        <w:rPr>
          <w:color w:val="0C5D86"/>
          <w:spacing w:val="-2"/>
          <w:sz w:val="16"/>
        </w:rPr>
        <w:t>performed</w:t>
      </w:r>
      <w:r>
        <w:rPr>
          <w:color w:val="0C5D86"/>
          <w:spacing w:val="4"/>
          <w:sz w:val="16"/>
        </w:rPr>
        <w:t> </w:t>
      </w:r>
      <w:r>
        <w:rPr>
          <w:color w:val="0C5D86"/>
          <w:spacing w:val="-2"/>
          <w:sz w:val="16"/>
        </w:rPr>
        <w:t>by</w:t>
      </w:r>
      <w:r>
        <w:rPr>
          <w:color w:val="0C5D86"/>
          <w:spacing w:val="4"/>
          <w:sz w:val="16"/>
        </w:rPr>
        <w:t> </w:t>
      </w:r>
      <w:r>
        <w:rPr>
          <w:color w:val="0C5D86"/>
          <w:spacing w:val="-2"/>
          <w:sz w:val="16"/>
        </w:rPr>
        <w:t>Common</w:t>
      </w:r>
      <w:r>
        <w:rPr>
          <w:color w:val="0C5D86"/>
          <w:spacing w:val="3"/>
          <w:sz w:val="16"/>
        </w:rPr>
        <w:t> </w:t>
      </w:r>
      <w:r>
        <w:rPr>
          <w:color w:val="0C5D86"/>
          <w:spacing w:val="-2"/>
          <w:sz w:val="16"/>
        </w:rPr>
        <w:t>Ground</w:t>
      </w:r>
      <w:r>
        <w:rPr>
          <w:color w:val="0C5D86"/>
          <w:spacing w:val="4"/>
          <w:sz w:val="16"/>
        </w:rPr>
        <w:t> </w:t>
      </w:r>
      <w:r>
        <w:rPr>
          <w:color w:val="0C5D86"/>
          <w:spacing w:val="-2"/>
          <w:sz w:val="16"/>
        </w:rPr>
        <w:t>Health</w:t>
      </w:r>
    </w:p>
    <w:p>
      <w:pPr>
        <w:pStyle w:val="BodyText"/>
        <w:spacing w:before="16"/>
        <w:rPr>
          <w:sz w:val="16"/>
        </w:rPr>
      </w:pPr>
    </w:p>
    <w:p>
      <w:pPr>
        <w:pStyle w:val="BodyText"/>
        <w:spacing w:line="247" w:lineRule="auto"/>
        <w:ind w:left="1065" w:right="491"/>
      </w:pPr>
      <w:r>
        <w:rPr>
          <w:color w:val="105C84"/>
        </w:rPr>
        <w:t>In general, males have a lower life expectancy than females. This is partly attributed to biological differences, but perhaps more so behavioral tendency differences in the two sexes. For instance,</w:t>
      </w:r>
      <w:r>
        <w:rPr>
          <w:color w:val="105C84"/>
          <w:spacing w:val="40"/>
        </w:rPr>
        <w:t> </w:t>
      </w:r>
      <w:r>
        <w:rPr>
          <w:color w:val="105C84"/>
        </w:rPr>
        <w:t>males may be more likely to drink excessively, smoke cigarettes, not follow-up with preventative care, etc. Many of these factors may play a role in development of heart disease and cancer later in life.</w:t>
      </w:r>
    </w:p>
    <w:p>
      <w:pPr>
        <w:pStyle w:val="BodyText"/>
        <w:spacing w:line="247" w:lineRule="auto"/>
        <w:ind w:left="1065" w:right="535"/>
      </w:pPr>
      <w:r>
        <w:rPr>
          <w:color w:val="105C84"/>
        </w:rPr>
        <w:t>According to New York State Department of Health Vital Statistics, males tend to have higher rates of death due to heart disease and cancer compared to their female counterparts (Table 9).</w:t>
      </w:r>
    </w:p>
    <w:p>
      <w:pPr>
        <w:pStyle w:val="BodyText"/>
        <w:spacing w:before="16"/>
      </w:pPr>
    </w:p>
    <w:p>
      <w:pPr>
        <w:pStyle w:val="Heading6"/>
        <w:ind w:left="1065"/>
      </w:pPr>
      <w:r>
        <w:rPr>
          <w:color w:val="105C84"/>
          <w:spacing w:val="-4"/>
        </w:rPr>
        <w:t>TABLE</w:t>
      </w:r>
      <w:r>
        <w:rPr>
          <w:color w:val="105C84"/>
          <w:spacing w:val="-12"/>
        </w:rPr>
        <w:t> </w:t>
      </w:r>
      <w:r>
        <w:rPr>
          <w:color w:val="105C84"/>
          <w:spacing w:val="-4"/>
        </w:rPr>
        <w:t>9:</w:t>
      </w:r>
      <w:r>
        <w:rPr>
          <w:color w:val="105C84"/>
          <w:spacing w:val="-11"/>
        </w:rPr>
        <w:t> </w:t>
      </w:r>
      <w:r>
        <w:rPr>
          <w:color w:val="105C84"/>
          <w:spacing w:val="-4"/>
        </w:rPr>
        <w:t>Heart</w:t>
      </w:r>
      <w:r>
        <w:rPr>
          <w:color w:val="105C84"/>
          <w:spacing w:val="-12"/>
        </w:rPr>
        <w:t> </w:t>
      </w:r>
      <w:r>
        <w:rPr>
          <w:color w:val="105C84"/>
          <w:spacing w:val="-4"/>
        </w:rPr>
        <w:t>disease</w:t>
      </w:r>
      <w:r>
        <w:rPr>
          <w:color w:val="105C84"/>
          <w:spacing w:val="-11"/>
        </w:rPr>
        <w:t> </w:t>
      </w:r>
      <w:r>
        <w:rPr>
          <w:color w:val="105C84"/>
          <w:spacing w:val="-4"/>
        </w:rPr>
        <w:t>and</w:t>
      </w:r>
      <w:r>
        <w:rPr>
          <w:color w:val="105C84"/>
          <w:spacing w:val="-11"/>
        </w:rPr>
        <w:t> </w:t>
      </w:r>
      <w:r>
        <w:rPr>
          <w:color w:val="105C84"/>
          <w:spacing w:val="-4"/>
        </w:rPr>
        <w:t>cancer</w:t>
      </w:r>
      <w:r>
        <w:rPr>
          <w:color w:val="105C84"/>
          <w:spacing w:val="-12"/>
        </w:rPr>
        <w:t> </w:t>
      </w:r>
      <w:r>
        <w:rPr>
          <w:color w:val="105C84"/>
          <w:spacing w:val="-4"/>
        </w:rPr>
        <w:t>mortality</w:t>
      </w:r>
      <w:r>
        <w:rPr>
          <w:color w:val="105C84"/>
          <w:spacing w:val="-11"/>
        </w:rPr>
        <w:t> </w:t>
      </w:r>
      <w:r>
        <w:rPr>
          <w:color w:val="105C84"/>
          <w:spacing w:val="-4"/>
        </w:rPr>
        <w:t>by</w:t>
      </w:r>
      <w:r>
        <w:rPr>
          <w:color w:val="105C84"/>
          <w:spacing w:val="-11"/>
        </w:rPr>
        <w:t> </w:t>
      </w:r>
      <w:r>
        <w:rPr>
          <w:color w:val="105C84"/>
          <w:spacing w:val="-5"/>
        </w:rPr>
        <w:t>sex</w:t>
      </w:r>
    </w:p>
    <w:p>
      <w:pPr>
        <w:pStyle w:val="BodyText"/>
        <w:spacing w:before="155"/>
        <w:rPr>
          <w:b/>
          <w:sz w:val="20"/>
        </w:rPr>
      </w:pPr>
    </w:p>
    <w:tbl>
      <w:tblPr>
        <w:tblW w:w="0" w:type="auto"/>
        <w:jc w:val="left"/>
        <w:tblInd w:w="1070" w:type="dxa"/>
        <w:tblBorders>
          <w:top w:val="single" w:sz="2" w:space="0" w:color="636466"/>
          <w:left w:val="single" w:sz="2" w:space="0" w:color="636466"/>
          <w:bottom w:val="single" w:sz="2" w:space="0" w:color="636466"/>
          <w:right w:val="single" w:sz="2" w:space="0" w:color="636466"/>
          <w:insideH w:val="single" w:sz="2" w:space="0" w:color="636466"/>
          <w:insideV w:val="single" w:sz="2" w:space="0" w:color="636466"/>
        </w:tblBorders>
        <w:tblLayout w:type="fixed"/>
        <w:tblCellMar>
          <w:top w:w="0" w:type="dxa"/>
          <w:left w:w="0" w:type="dxa"/>
          <w:bottom w:w="0" w:type="dxa"/>
          <w:right w:w="0" w:type="dxa"/>
        </w:tblCellMar>
        <w:tblLook w:val="01E0"/>
      </w:tblPr>
      <w:tblGrid>
        <w:gridCol w:w="2186"/>
        <w:gridCol w:w="1908"/>
        <w:gridCol w:w="1908"/>
        <w:gridCol w:w="1908"/>
        <w:gridCol w:w="1908"/>
      </w:tblGrid>
      <w:tr>
        <w:trPr>
          <w:trHeight w:val="472" w:hRule="atLeast"/>
        </w:trPr>
        <w:tc>
          <w:tcPr>
            <w:tcW w:w="2186" w:type="dxa"/>
            <w:vMerge w:val="restart"/>
          </w:tcPr>
          <w:p>
            <w:pPr>
              <w:pStyle w:val="TableParagraph"/>
              <w:rPr>
                <w:rFonts w:ascii="Times New Roman"/>
                <w:sz w:val="20"/>
              </w:rPr>
            </w:pPr>
          </w:p>
        </w:tc>
        <w:tc>
          <w:tcPr>
            <w:tcW w:w="3816" w:type="dxa"/>
            <w:gridSpan w:val="2"/>
            <w:shd w:val="clear" w:color="auto" w:fill="1C75BC"/>
          </w:tcPr>
          <w:p>
            <w:pPr>
              <w:pStyle w:val="TableParagraph"/>
              <w:spacing w:before="130"/>
              <w:ind w:left="1128"/>
              <w:rPr>
                <w:b/>
                <w:sz w:val="20"/>
              </w:rPr>
            </w:pPr>
            <w:r>
              <w:rPr>
                <w:b/>
                <w:color w:val="FFFFFF"/>
                <w:spacing w:val="-4"/>
                <w:sz w:val="20"/>
              </w:rPr>
              <w:t>HEART</w:t>
            </w:r>
            <w:r>
              <w:rPr>
                <w:b/>
                <w:color w:val="FFFFFF"/>
                <w:spacing w:val="-6"/>
                <w:sz w:val="20"/>
              </w:rPr>
              <w:t> </w:t>
            </w:r>
            <w:r>
              <w:rPr>
                <w:b/>
                <w:color w:val="FFFFFF"/>
                <w:spacing w:val="-2"/>
                <w:sz w:val="20"/>
              </w:rPr>
              <w:t>DISEASE</w:t>
            </w:r>
          </w:p>
        </w:tc>
        <w:tc>
          <w:tcPr>
            <w:tcW w:w="3816" w:type="dxa"/>
            <w:gridSpan w:val="2"/>
            <w:shd w:val="clear" w:color="auto" w:fill="00A79E"/>
          </w:tcPr>
          <w:p>
            <w:pPr>
              <w:pStyle w:val="TableParagraph"/>
              <w:spacing w:before="130"/>
              <w:ind w:left="12"/>
              <w:jc w:val="center"/>
              <w:rPr>
                <w:b/>
                <w:sz w:val="20"/>
              </w:rPr>
            </w:pPr>
            <w:r>
              <w:rPr>
                <w:b/>
                <w:color w:val="FFFFFF"/>
                <w:spacing w:val="-2"/>
                <w:sz w:val="20"/>
              </w:rPr>
              <w:t>CANCER</w:t>
            </w:r>
          </w:p>
        </w:tc>
      </w:tr>
      <w:tr>
        <w:trPr>
          <w:trHeight w:val="338" w:hRule="atLeast"/>
        </w:trPr>
        <w:tc>
          <w:tcPr>
            <w:tcW w:w="2186" w:type="dxa"/>
            <w:vMerge/>
            <w:tcBorders>
              <w:top w:val="nil"/>
            </w:tcBorders>
          </w:tcPr>
          <w:p>
            <w:pPr>
              <w:rPr>
                <w:sz w:val="2"/>
                <w:szCs w:val="2"/>
              </w:rPr>
            </w:pPr>
          </w:p>
        </w:tc>
        <w:tc>
          <w:tcPr>
            <w:tcW w:w="1908" w:type="dxa"/>
            <w:shd w:val="clear" w:color="auto" w:fill="DCDDDE"/>
          </w:tcPr>
          <w:p>
            <w:pPr>
              <w:pStyle w:val="TableParagraph"/>
              <w:spacing w:before="54"/>
              <w:ind w:left="13" w:right="5"/>
              <w:jc w:val="center"/>
              <w:rPr>
                <w:sz w:val="22"/>
              </w:rPr>
            </w:pPr>
            <w:r>
              <w:rPr>
                <w:color w:val="105C84"/>
                <w:spacing w:val="-4"/>
                <w:sz w:val="22"/>
              </w:rPr>
              <w:t>Male</w:t>
            </w:r>
          </w:p>
        </w:tc>
        <w:tc>
          <w:tcPr>
            <w:tcW w:w="1908" w:type="dxa"/>
            <w:shd w:val="clear" w:color="auto" w:fill="DCDDDE"/>
          </w:tcPr>
          <w:p>
            <w:pPr>
              <w:pStyle w:val="TableParagraph"/>
              <w:spacing w:before="54"/>
              <w:ind w:left="13" w:right="3"/>
              <w:jc w:val="center"/>
              <w:rPr>
                <w:sz w:val="22"/>
              </w:rPr>
            </w:pPr>
            <w:r>
              <w:rPr>
                <w:color w:val="105C84"/>
                <w:spacing w:val="-2"/>
                <w:sz w:val="22"/>
              </w:rPr>
              <w:t>Female</w:t>
            </w:r>
          </w:p>
        </w:tc>
        <w:tc>
          <w:tcPr>
            <w:tcW w:w="1908" w:type="dxa"/>
            <w:shd w:val="clear" w:color="auto" w:fill="DCDDDE"/>
          </w:tcPr>
          <w:p>
            <w:pPr>
              <w:pStyle w:val="TableParagraph"/>
              <w:spacing w:before="54"/>
              <w:ind w:left="13" w:right="2"/>
              <w:jc w:val="center"/>
              <w:rPr>
                <w:sz w:val="22"/>
              </w:rPr>
            </w:pPr>
            <w:r>
              <w:rPr>
                <w:color w:val="007369"/>
                <w:spacing w:val="-4"/>
                <w:sz w:val="22"/>
              </w:rPr>
              <w:t>Male</w:t>
            </w:r>
          </w:p>
        </w:tc>
        <w:tc>
          <w:tcPr>
            <w:tcW w:w="1908" w:type="dxa"/>
            <w:shd w:val="clear" w:color="auto" w:fill="DCDDDE"/>
          </w:tcPr>
          <w:p>
            <w:pPr>
              <w:pStyle w:val="TableParagraph"/>
              <w:spacing w:before="54"/>
              <w:ind w:left="13" w:right="1"/>
              <w:jc w:val="center"/>
              <w:rPr>
                <w:sz w:val="22"/>
              </w:rPr>
            </w:pPr>
            <w:r>
              <w:rPr>
                <w:color w:val="007369"/>
                <w:spacing w:val="-2"/>
                <w:sz w:val="22"/>
              </w:rPr>
              <w:t>Female</w:t>
            </w:r>
          </w:p>
        </w:tc>
      </w:tr>
      <w:tr>
        <w:trPr>
          <w:trHeight w:val="338" w:hRule="atLeast"/>
        </w:trPr>
        <w:tc>
          <w:tcPr>
            <w:tcW w:w="2186" w:type="dxa"/>
            <w:shd w:val="clear" w:color="auto" w:fill="F1F1F2"/>
          </w:tcPr>
          <w:p>
            <w:pPr>
              <w:pStyle w:val="TableParagraph"/>
              <w:spacing w:before="63"/>
              <w:ind w:left="89"/>
              <w:rPr>
                <w:b/>
                <w:sz w:val="20"/>
              </w:rPr>
            </w:pPr>
            <w:r>
              <w:rPr>
                <w:b/>
                <w:color w:val="105C84"/>
                <w:spacing w:val="-2"/>
                <w:sz w:val="20"/>
              </w:rPr>
              <w:t>Chemung</w:t>
            </w:r>
          </w:p>
        </w:tc>
        <w:tc>
          <w:tcPr>
            <w:tcW w:w="1908" w:type="dxa"/>
          </w:tcPr>
          <w:p>
            <w:pPr>
              <w:pStyle w:val="TableParagraph"/>
              <w:spacing w:before="63"/>
              <w:ind w:left="13" w:right="5"/>
              <w:jc w:val="center"/>
              <w:rPr>
                <w:sz w:val="20"/>
              </w:rPr>
            </w:pPr>
            <w:r>
              <w:rPr>
                <w:color w:val="105C84"/>
                <w:spacing w:val="-2"/>
                <w:sz w:val="20"/>
              </w:rPr>
              <w:t>221.9</w:t>
            </w:r>
          </w:p>
        </w:tc>
        <w:tc>
          <w:tcPr>
            <w:tcW w:w="1908" w:type="dxa"/>
          </w:tcPr>
          <w:p>
            <w:pPr>
              <w:pStyle w:val="TableParagraph"/>
              <w:spacing w:before="54"/>
              <w:ind w:left="13" w:right="3"/>
              <w:jc w:val="center"/>
              <w:rPr>
                <w:sz w:val="22"/>
              </w:rPr>
            </w:pPr>
            <w:r>
              <w:rPr>
                <w:color w:val="105C84"/>
                <w:spacing w:val="-2"/>
                <w:sz w:val="22"/>
              </w:rPr>
              <w:t>162.4</w:t>
            </w:r>
          </w:p>
        </w:tc>
        <w:tc>
          <w:tcPr>
            <w:tcW w:w="1908" w:type="dxa"/>
          </w:tcPr>
          <w:p>
            <w:pPr>
              <w:pStyle w:val="TableParagraph"/>
              <w:spacing w:before="63"/>
              <w:ind w:left="13" w:right="2"/>
              <w:jc w:val="center"/>
              <w:rPr>
                <w:sz w:val="20"/>
              </w:rPr>
            </w:pPr>
            <w:r>
              <w:rPr>
                <w:color w:val="007369"/>
                <w:spacing w:val="-2"/>
                <w:sz w:val="20"/>
              </w:rPr>
              <w:t>185.2</w:t>
            </w:r>
          </w:p>
        </w:tc>
        <w:tc>
          <w:tcPr>
            <w:tcW w:w="1908" w:type="dxa"/>
          </w:tcPr>
          <w:p>
            <w:pPr>
              <w:pStyle w:val="TableParagraph"/>
              <w:spacing w:before="54"/>
              <w:ind w:left="13"/>
              <w:jc w:val="center"/>
              <w:rPr>
                <w:sz w:val="22"/>
              </w:rPr>
            </w:pPr>
            <w:r>
              <w:rPr>
                <w:color w:val="007369"/>
                <w:spacing w:val="-2"/>
                <w:sz w:val="22"/>
              </w:rPr>
              <w:t>145.9</w:t>
            </w:r>
          </w:p>
        </w:tc>
      </w:tr>
      <w:tr>
        <w:trPr>
          <w:trHeight w:val="338" w:hRule="atLeast"/>
        </w:trPr>
        <w:tc>
          <w:tcPr>
            <w:tcW w:w="2186" w:type="dxa"/>
            <w:shd w:val="clear" w:color="auto" w:fill="DCDDDE"/>
          </w:tcPr>
          <w:p>
            <w:pPr>
              <w:pStyle w:val="TableParagraph"/>
              <w:spacing w:before="63"/>
              <w:ind w:left="89"/>
              <w:rPr>
                <w:b/>
                <w:sz w:val="20"/>
              </w:rPr>
            </w:pPr>
            <w:r>
              <w:rPr>
                <w:b/>
                <w:color w:val="105C84"/>
                <w:spacing w:val="-2"/>
                <w:sz w:val="20"/>
              </w:rPr>
              <w:t>Livingston</w:t>
            </w:r>
          </w:p>
        </w:tc>
        <w:tc>
          <w:tcPr>
            <w:tcW w:w="1908" w:type="dxa"/>
            <w:shd w:val="clear" w:color="auto" w:fill="EAEFF9"/>
          </w:tcPr>
          <w:p>
            <w:pPr>
              <w:pStyle w:val="TableParagraph"/>
              <w:spacing w:before="63"/>
              <w:ind w:left="13" w:right="5"/>
              <w:jc w:val="center"/>
              <w:rPr>
                <w:sz w:val="20"/>
              </w:rPr>
            </w:pPr>
            <w:r>
              <w:rPr>
                <w:color w:val="105C84"/>
                <w:spacing w:val="-2"/>
                <w:sz w:val="20"/>
              </w:rPr>
              <w:t>155.9</w:t>
            </w:r>
          </w:p>
        </w:tc>
        <w:tc>
          <w:tcPr>
            <w:tcW w:w="1908" w:type="dxa"/>
            <w:shd w:val="clear" w:color="auto" w:fill="EAEFF9"/>
          </w:tcPr>
          <w:p>
            <w:pPr>
              <w:pStyle w:val="TableParagraph"/>
              <w:spacing w:before="54"/>
              <w:ind w:left="13" w:right="3"/>
              <w:jc w:val="center"/>
              <w:rPr>
                <w:sz w:val="22"/>
              </w:rPr>
            </w:pPr>
            <w:r>
              <w:rPr>
                <w:color w:val="105C84"/>
                <w:spacing w:val="-2"/>
                <w:sz w:val="22"/>
              </w:rPr>
              <w:t>106.6</w:t>
            </w:r>
          </w:p>
        </w:tc>
        <w:tc>
          <w:tcPr>
            <w:tcW w:w="1908" w:type="dxa"/>
            <w:shd w:val="clear" w:color="auto" w:fill="D9EEEA"/>
          </w:tcPr>
          <w:p>
            <w:pPr>
              <w:pStyle w:val="TableParagraph"/>
              <w:spacing w:before="63"/>
              <w:ind w:left="13" w:right="2"/>
              <w:jc w:val="center"/>
              <w:rPr>
                <w:sz w:val="20"/>
              </w:rPr>
            </w:pPr>
            <w:r>
              <w:rPr>
                <w:color w:val="007369"/>
                <w:spacing w:val="-2"/>
                <w:sz w:val="20"/>
              </w:rPr>
              <w:t>210.9</w:t>
            </w:r>
          </w:p>
        </w:tc>
        <w:tc>
          <w:tcPr>
            <w:tcW w:w="1908" w:type="dxa"/>
            <w:shd w:val="clear" w:color="auto" w:fill="D9EEEA"/>
          </w:tcPr>
          <w:p>
            <w:pPr>
              <w:pStyle w:val="TableParagraph"/>
              <w:spacing w:before="54"/>
              <w:ind w:left="13"/>
              <w:jc w:val="center"/>
              <w:rPr>
                <w:sz w:val="22"/>
              </w:rPr>
            </w:pPr>
            <w:r>
              <w:rPr>
                <w:color w:val="007369"/>
                <w:sz w:val="22"/>
              </w:rPr>
              <w:t>1</w:t>
            </w:r>
            <w:r>
              <w:rPr>
                <w:color w:val="007369"/>
                <w:spacing w:val="-9"/>
                <w:sz w:val="22"/>
              </w:rPr>
              <w:t> </w:t>
            </w:r>
            <w:r>
              <w:rPr>
                <w:color w:val="007369"/>
                <w:spacing w:val="-4"/>
                <w:sz w:val="22"/>
              </w:rPr>
              <w:t>40.6</w:t>
            </w:r>
          </w:p>
        </w:tc>
      </w:tr>
      <w:tr>
        <w:trPr>
          <w:trHeight w:val="338" w:hRule="atLeast"/>
        </w:trPr>
        <w:tc>
          <w:tcPr>
            <w:tcW w:w="2186" w:type="dxa"/>
            <w:shd w:val="clear" w:color="auto" w:fill="F1F1F2"/>
          </w:tcPr>
          <w:p>
            <w:pPr>
              <w:pStyle w:val="TableParagraph"/>
              <w:spacing w:before="63"/>
              <w:ind w:left="89"/>
              <w:rPr>
                <w:b/>
                <w:sz w:val="20"/>
              </w:rPr>
            </w:pPr>
            <w:r>
              <w:rPr>
                <w:b/>
                <w:color w:val="105C84"/>
                <w:spacing w:val="-2"/>
                <w:sz w:val="20"/>
              </w:rPr>
              <w:t>Ontario</w:t>
            </w:r>
          </w:p>
        </w:tc>
        <w:tc>
          <w:tcPr>
            <w:tcW w:w="1908" w:type="dxa"/>
          </w:tcPr>
          <w:p>
            <w:pPr>
              <w:pStyle w:val="TableParagraph"/>
              <w:spacing w:before="63"/>
              <w:ind w:left="13" w:right="5"/>
              <w:jc w:val="center"/>
              <w:rPr>
                <w:sz w:val="20"/>
              </w:rPr>
            </w:pPr>
            <w:r>
              <w:rPr>
                <w:color w:val="105C84"/>
                <w:spacing w:val="-2"/>
                <w:sz w:val="20"/>
              </w:rPr>
              <w:t>217.9</w:t>
            </w:r>
          </w:p>
        </w:tc>
        <w:tc>
          <w:tcPr>
            <w:tcW w:w="1908" w:type="dxa"/>
          </w:tcPr>
          <w:p>
            <w:pPr>
              <w:pStyle w:val="TableParagraph"/>
              <w:spacing w:before="54"/>
              <w:ind w:left="13" w:right="3"/>
              <w:jc w:val="center"/>
              <w:rPr>
                <w:sz w:val="22"/>
              </w:rPr>
            </w:pPr>
            <w:r>
              <w:rPr>
                <w:color w:val="105C84"/>
                <w:spacing w:val="-4"/>
                <w:sz w:val="22"/>
              </w:rPr>
              <w:t>93.5</w:t>
            </w:r>
          </w:p>
        </w:tc>
        <w:tc>
          <w:tcPr>
            <w:tcW w:w="1908" w:type="dxa"/>
          </w:tcPr>
          <w:p>
            <w:pPr>
              <w:pStyle w:val="TableParagraph"/>
              <w:spacing w:before="63"/>
              <w:ind w:left="13" w:right="2"/>
              <w:jc w:val="center"/>
              <w:rPr>
                <w:sz w:val="20"/>
              </w:rPr>
            </w:pPr>
            <w:r>
              <w:rPr>
                <w:color w:val="007369"/>
                <w:spacing w:val="-2"/>
                <w:sz w:val="20"/>
              </w:rPr>
              <w:t>213.7</w:t>
            </w:r>
          </w:p>
        </w:tc>
        <w:tc>
          <w:tcPr>
            <w:tcW w:w="1908" w:type="dxa"/>
          </w:tcPr>
          <w:p>
            <w:pPr>
              <w:pStyle w:val="TableParagraph"/>
              <w:spacing w:before="54"/>
              <w:ind w:left="13"/>
              <w:jc w:val="center"/>
              <w:rPr>
                <w:sz w:val="22"/>
              </w:rPr>
            </w:pPr>
            <w:r>
              <w:rPr>
                <w:color w:val="007369"/>
                <w:spacing w:val="-2"/>
                <w:sz w:val="22"/>
              </w:rPr>
              <w:t>156.6</w:t>
            </w:r>
          </w:p>
        </w:tc>
      </w:tr>
      <w:tr>
        <w:trPr>
          <w:trHeight w:val="338" w:hRule="atLeast"/>
        </w:trPr>
        <w:tc>
          <w:tcPr>
            <w:tcW w:w="2186" w:type="dxa"/>
            <w:shd w:val="clear" w:color="auto" w:fill="DCDDDE"/>
          </w:tcPr>
          <w:p>
            <w:pPr>
              <w:pStyle w:val="TableParagraph"/>
              <w:spacing w:before="63"/>
              <w:ind w:left="89"/>
              <w:rPr>
                <w:b/>
                <w:sz w:val="20"/>
              </w:rPr>
            </w:pPr>
            <w:r>
              <w:rPr>
                <w:b/>
                <w:color w:val="105C84"/>
                <w:spacing w:val="-2"/>
                <w:sz w:val="20"/>
              </w:rPr>
              <w:t>Schuyler</w:t>
            </w:r>
          </w:p>
        </w:tc>
        <w:tc>
          <w:tcPr>
            <w:tcW w:w="1908" w:type="dxa"/>
            <w:shd w:val="clear" w:color="auto" w:fill="EAEFF9"/>
          </w:tcPr>
          <w:p>
            <w:pPr>
              <w:pStyle w:val="TableParagraph"/>
              <w:spacing w:before="63"/>
              <w:ind w:left="13" w:right="5"/>
              <w:jc w:val="center"/>
              <w:rPr>
                <w:sz w:val="20"/>
              </w:rPr>
            </w:pPr>
            <w:r>
              <w:rPr>
                <w:color w:val="105C84"/>
                <w:spacing w:val="-2"/>
                <w:sz w:val="20"/>
              </w:rPr>
              <w:t>268.5</w:t>
            </w:r>
          </w:p>
        </w:tc>
        <w:tc>
          <w:tcPr>
            <w:tcW w:w="1908" w:type="dxa"/>
            <w:shd w:val="clear" w:color="auto" w:fill="EAEFF9"/>
          </w:tcPr>
          <w:p>
            <w:pPr>
              <w:pStyle w:val="TableParagraph"/>
              <w:spacing w:before="54"/>
              <w:ind w:left="13" w:right="3"/>
              <w:jc w:val="center"/>
              <w:rPr>
                <w:sz w:val="22"/>
              </w:rPr>
            </w:pPr>
            <w:r>
              <w:rPr>
                <w:color w:val="105C84"/>
                <w:spacing w:val="-2"/>
                <w:sz w:val="22"/>
              </w:rPr>
              <w:t>104.9</w:t>
            </w:r>
          </w:p>
        </w:tc>
        <w:tc>
          <w:tcPr>
            <w:tcW w:w="1908" w:type="dxa"/>
            <w:shd w:val="clear" w:color="auto" w:fill="D9EEEA"/>
          </w:tcPr>
          <w:p>
            <w:pPr>
              <w:pStyle w:val="TableParagraph"/>
              <w:spacing w:before="63"/>
              <w:ind w:left="13" w:right="2"/>
              <w:jc w:val="center"/>
              <w:rPr>
                <w:sz w:val="20"/>
              </w:rPr>
            </w:pPr>
            <w:r>
              <w:rPr>
                <w:color w:val="007369"/>
                <w:spacing w:val="-2"/>
                <w:sz w:val="20"/>
              </w:rPr>
              <w:t>216.4</w:t>
            </w:r>
          </w:p>
        </w:tc>
        <w:tc>
          <w:tcPr>
            <w:tcW w:w="1908" w:type="dxa"/>
            <w:shd w:val="clear" w:color="auto" w:fill="D9EEEA"/>
          </w:tcPr>
          <w:p>
            <w:pPr>
              <w:pStyle w:val="TableParagraph"/>
              <w:spacing w:before="54"/>
              <w:ind w:left="13"/>
              <w:jc w:val="center"/>
              <w:rPr>
                <w:sz w:val="22"/>
              </w:rPr>
            </w:pPr>
            <w:r>
              <w:rPr>
                <w:color w:val="007369"/>
                <w:spacing w:val="-2"/>
                <w:sz w:val="22"/>
              </w:rPr>
              <w:t>214.8</w:t>
            </w:r>
          </w:p>
        </w:tc>
      </w:tr>
      <w:tr>
        <w:trPr>
          <w:trHeight w:val="338" w:hRule="atLeast"/>
        </w:trPr>
        <w:tc>
          <w:tcPr>
            <w:tcW w:w="2186" w:type="dxa"/>
            <w:shd w:val="clear" w:color="auto" w:fill="F1F1F2"/>
          </w:tcPr>
          <w:p>
            <w:pPr>
              <w:pStyle w:val="TableParagraph"/>
              <w:spacing w:before="63"/>
              <w:ind w:left="89"/>
              <w:rPr>
                <w:b/>
                <w:sz w:val="20"/>
              </w:rPr>
            </w:pPr>
            <w:r>
              <w:rPr>
                <w:b/>
                <w:color w:val="105C84"/>
                <w:spacing w:val="-2"/>
                <w:sz w:val="20"/>
              </w:rPr>
              <w:t>Seneca</w:t>
            </w:r>
          </w:p>
        </w:tc>
        <w:tc>
          <w:tcPr>
            <w:tcW w:w="1908" w:type="dxa"/>
          </w:tcPr>
          <w:p>
            <w:pPr>
              <w:pStyle w:val="TableParagraph"/>
              <w:spacing w:before="63"/>
              <w:ind w:left="13" w:right="5"/>
              <w:jc w:val="center"/>
              <w:rPr>
                <w:sz w:val="20"/>
              </w:rPr>
            </w:pPr>
            <w:r>
              <w:rPr>
                <w:color w:val="105C84"/>
                <w:spacing w:val="-2"/>
                <w:sz w:val="20"/>
              </w:rPr>
              <w:t>231.1</w:t>
            </w:r>
          </w:p>
        </w:tc>
        <w:tc>
          <w:tcPr>
            <w:tcW w:w="1908" w:type="dxa"/>
          </w:tcPr>
          <w:p>
            <w:pPr>
              <w:pStyle w:val="TableParagraph"/>
              <w:spacing w:before="54"/>
              <w:ind w:left="13" w:right="3"/>
              <w:jc w:val="center"/>
              <w:rPr>
                <w:sz w:val="22"/>
              </w:rPr>
            </w:pPr>
            <w:r>
              <w:rPr>
                <w:color w:val="105C84"/>
                <w:spacing w:val="-2"/>
                <w:sz w:val="22"/>
              </w:rPr>
              <w:t>103.8</w:t>
            </w:r>
          </w:p>
        </w:tc>
        <w:tc>
          <w:tcPr>
            <w:tcW w:w="1908" w:type="dxa"/>
          </w:tcPr>
          <w:p>
            <w:pPr>
              <w:pStyle w:val="TableParagraph"/>
              <w:spacing w:before="63"/>
              <w:ind w:left="13" w:right="2"/>
              <w:jc w:val="center"/>
              <w:rPr>
                <w:sz w:val="20"/>
              </w:rPr>
            </w:pPr>
            <w:r>
              <w:rPr>
                <w:color w:val="007369"/>
                <w:spacing w:val="-2"/>
                <w:sz w:val="20"/>
              </w:rPr>
              <w:t>182.2</w:t>
            </w:r>
          </w:p>
        </w:tc>
        <w:tc>
          <w:tcPr>
            <w:tcW w:w="1908" w:type="dxa"/>
          </w:tcPr>
          <w:p>
            <w:pPr>
              <w:pStyle w:val="TableParagraph"/>
              <w:spacing w:before="54"/>
              <w:ind w:left="13"/>
              <w:jc w:val="center"/>
              <w:rPr>
                <w:sz w:val="22"/>
              </w:rPr>
            </w:pPr>
            <w:r>
              <w:rPr>
                <w:color w:val="007369"/>
                <w:spacing w:val="-2"/>
                <w:sz w:val="22"/>
              </w:rPr>
              <w:t>185.8</w:t>
            </w:r>
          </w:p>
        </w:tc>
      </w:tr>
      <w:tr>
        <w:trPr>
          <w:trHeight w:val="338" w:hRule="atLeast"/>
        </w:trPr>
        <w:tc>
          <w:tcPr>
            <w:tcW w:w="2186" w:type="dxa"/>
            <w:shd w:val="clear" w:color="auto" w:fill="DCDDDE"/>
          </w:tcPr>
          <w:p>
            <w:pPr>
              <w:pStyle w:val="TableParagraph"/>
              <w:spacing w:before="63"/>
              <w:ind w:left="89"/>
              <w:rPr>
                <w:b/>
                <w:sz w:val="20"/>
              </w:rPr>
            </w:pPr>
            <w:r>
              <w:rPr>
                <w:b/>
                <w:color w:val="105C84"/>
                <w:spacing w:val="-2"/>
                <w:sz w:val="20"/>
              </w:rPr>
              <w:t>Steuben</w:t>
            </w:r>
          </w:p>
        </w:tc>
        <w:tc>
          <w:tcPr>
            <w:tcW w:w="1908" w:type="dxa"/>
            <w:shd w:val="clear" w:color="auto" w:fill="EAEFF9"/>
          </w:tcPr>
          <w:p>
            <w:pPr>
              <w:pStyle w:val="TableParagraph"/>
              <w:spacing w:before="63"/>
              <w:ind w:left="13" w:right="5"/>
              <w:jc w:val="center"/>
              <w:rPr>
                <w:sz w:val="20"/>
              </w:rPr>
            </w:pPr>
            <w:r>
              <w:rPr>
                <w:color w:val="105C84"/>
                <w:spacing w:val="-2"/>
                <w:sz w:val="20"/>
              </w:rPr>
              <w:t>188.7</w:t>
            </w:r>
          </w:p>
        </w:tc>
        <w:tc>
          <w:tcPr>
            <w:tcW w:w="1908" w:type="dxa"/>
            <w:shd w:val="clear" w:color="auto" w:fill="EAEFF9"/>
          </w:tcPr>
          <w:p>
            <w:pPr>
              <w:pStyle w:val="TableParagraph"/>
              <w:spacing w:before="54"/>
              <w:ind w:left="13" w:right="3"/>
              <w:jc w:val="center"/>
              <w:rPr>
                <w:sz w:val="22"/>
              </w:rPr>
            </w:pPr>
            <w:r>
              <w:rPr>
                <w:color w:val="105C84"/>
                <w:spacing w:val="-2"/>
                <w:sz w:val="22"/>
              </w:rPr>
              <w:t>165.1</w:t>
            </w:r>
          </w:p>
        </w:tc>
        <w:tc>
          <w:tcPr>
            <w:tcW w:w="1908" w:type="dxa"/>
            <w:shd w:val="clear" w:color="auto" w:fill="D9EEEA"/>
          </w:tcPr>
          <w:p>
            <w:pPr>
              <w:pStyle w:val="TableParagraph"/>
              <w:spacing w:before="63"/>
              <w:ind w:left="13" w:right="2"/>
              <w:jc w:val="center"/>
              <w:rPr>
                <w:sz w:val="20"/>
              </w:rPr>
            </w:pPr>
            <w:r>
              <w:rPr>
                <w:color w:val="007369"/>
                <w:spacing w:val="-2"/>
                <w:sz w:val="20"/>
              </w:rPr>
              <w:t>187.1</w:t>
            </w:r>
          </w:p>
        </w:tc>
        <w:tc>
          <w:tcPr>
            <w:tcW w:w="1908" w:type="dxa"/>
            <w:shd w:val="clear" w:color="auto" w:fill="D9EEEA"/>
          </w:tcPr>
          <w:p>
            <w:pPr>
              <w:pStyle w:val="TableParagraph"/>
              <w:spacing w:before="54"/>
              <w:ind w:left="13"/>
              <w:jc w:val="center"/>
              <w:rPr>
                <w:sz w:val="22"/>
              </w:rPr>
            </w:pPr>
            <w:r>
              <w:rPr>
                <w:color w:val="007369"/>
                <w:spacing w:val="-2"/>
                <w:sz w:val="22"/>
              </w:rPr>
              <w:t>138.2</w:t>
            </w:r>
          </w:p>
        </w:tc>
      </w:tr>
      <w:tr>
        <w:trPr>
          <w:trHeight w:val="338" w:hRule="atLeast"/>
        </w:trPr>
        <w:tc>
          <w:tcPr>
            <w:tcW w:w="2186" w:type="dxa"/>
            <w:shd w:val="clear" w:color="auto" w:fill="F1F1F2"/>
          </w:tcPr>
          <w:p>
            <w:pPr>
              <w:pStyle w:val="TableParagraph"/>
              <w:spacing w:before="63"/>
              <w:ind w:left="89"/>
              <w:rPr>
                <w:b/>
                <w:sz w:val="20"/>
              </w:rPr>
            </w:pPr>
            <w:r>
              <w:rPr>
                <w:b/>
                <w:color w:val="105C84"/>
                <w:spacing w:val="-2"/>
                <w:sz w:val="20"/>
              </w:rPr>
              <w:t>Wayne</w:t>
            </w:r>
          </w:p>
        </w:tc>
        <w:tc>
          <w:tcPr>
            <w:tcW w:w="1908" w:type="dxa"/>
          </w:tcPr>
          <w:p>
            <w:pPr>
              <w:pStyle w:val="TableParagraph"/>
              <w:spacing w:before="63"/>
              <w:ind w:left="13" w:right="5"/>
              <w:jc w:val="center"/>
              <w:rPr>
                <w:sz w:val="20"/>
              </w:rPr>
            </w:pPr>
            <w:r>
              <w:rPr>
                <w:color w:val="105C84"/>
                <w:spacing w:val="-2"/>
                <w:sz w:val="20"/>
              </w:rPr>
              <w:t>174.2</w:t>
            </w:r>
          </w:p>
        </w:tc>
        <w:tc>
          <w:tcPr>
            <w:tcW w:w="1908" w:type="dxa"/>
          </w:tcPr>
          <w:p>
            <w:pPr>
              <w:pStyle w:val="TableParagraph"/>
              <w:spacing w:before="54"/>
              <w:ind w:left="13" w:right="3"/>
              <w:jc w:val="center"/>
              <w:rPr>
                <w:sz w:val="22"/>
              </w:rPr>
            </w:pPr>
            <w:r>
              <w:rPr>
                <w:color w:val="105C84"/>
                <w:spacing w:val="-2"/>
                <w:sz w:val="22"/>
              </w:rPr>
              <w:t>133.9</w:t>
            </w:r>
          </w:p>
        </w:tc>
        <w:tc>
          <w:tcPr>
            <w:tcW w:w="1908" w:type="dxa"/>
          </w:tcPr>
          <w:p>
            <w:pPr>
              <w:pStyle w:val="TableParagraph"/>
              <w:spacing w:before="63"/>
              <w:ind w:left="13" w:right="2"/>
              <w:jc w:val="center"/>
              <w:rPr>
                <w:sz w:val="20"/>
              </w:rPr>
            </w:pPr>
            <w:r>
              <w:rPr>
                <w:color w:val="007369"/>
                <w:spacing w:val="-5"/>
                <w:sz w:val="20"/>
              </w:rPr>
              <w:t>189</w:t>
            </w:r>
          </w:p>
        </w:tc>
        <w:tc>
          <w:tcPr>
            <w:tcW w:w="1908" w:type="dxa"/>
          </w:tcPr>
          <w:p>
            <w:pPr>
              <w:pStyle w:val="TableParagraph"/>
              <w:spacing w:before="54"/>
              <w:ind w:left="13"/>
              <w:jc w:val="center"/>
              <w:rPr>
                <w:sz w:val="22"/>
              </w:rPr>
            </w:pPr>
            <w:r>
              <w:rPr>
                <w:color w:val="007369"/>
                <w:spacing w:val="-2"/>
                <w:sz w:val="22"/>
              </w:rPr>
              <w:t>179.5</w:t>
            </w:r>
          </w:p>
        </w:tc>
      </w:tr>
      <w:tr>
        <w:trPr>
          <w:trHeight w:val="338" w:hRule="atLeast"/>
        </w:trPr>
        <w:tc>
          <w:tcPr>
            <w:tcW w:w="2186" w:type="dxa"/>
            <w:shd w:val="clear" w:color="auto" w:fill="DCDDDE"/>
          </w:tcPr>
          <w:p>
            <w:pPr>
              <w:pStyle w:val="TableParagraph"/>
              <w:spacing w:before="63"/>
              <w:ind w:left="89"/>
              <w:rPr>
                <w:b/>
                <w:sz w:val="20"/>
              </w:rPr>
            </w:pPr>
            <w:r>
              <w:rPr>
                <w:b/>
                <w:color w:val="105C84"/>
                <w:spacing w:val="-2"/>
                <w:sz w:val="20"/>
              </w:rPr>
              <w:t>Yates</w:t>
            </w:r>
          </w:p>
        </w:tc>
        <w:tc>
          <w:tcPr>
            <w:tcW w:w="1908" w:type="dxa"/>
            <w:shd w:val="clear" w:color="auto" w:fill="EAEFF9"/>
          </w:tcPr>
          <w:p>
            <w:pPr>
              <w:pStyle w:val="TableParagraph"/>
              <w:spacing w:before="63"/>
              <w:ind w:left="13" w:right="5"/>
              <w:jc w:val="center"/>
              <w:rPr>
                <w:sz w:val="20"/>
              </w:rPr>
            </w:pPr>
            <w:r>
              <w:rPr>
                <w:color w:val="105C84"/>
                <w:spacing w:val="-2"/>
                <w:sz w:val="20"/>
              </w:rPr>
              <w:t>216.1</w:t>
            </w:r>
          </w:p>
        </w:tc>
        <w:tc>
          <w:tcPr>
            <w:tcW w:w="1908" w:type="dxa"/>
            <w:shd w:val="clear" w:color="auto" w:fill="EAEFF9"/>
          </w:tcPr>
          <w:p>
            <w:pPr>
              <w:pStyle w:val="TableParagraph"/>
              <w:spacing w:before="54"/>
              <w:ind w:left="13" w:right="3"/>
              <w:jc w:val="center"/>
              <w:rPr>
                <w:sz w:val="22"/>
              </w:rPr>
            </w:pPr>
            <w:r>
              <w:rPr>
                <w:color w:val="105C84"/>
                <w:spacing w:val="-2"/>
                <w:sz w:val="22"/>
              </w:rPr>
              <w:t>104.3</w:t>
            </w:r>
          </w:p>
        </w:tc>
        <w:tc>
          <w:tcPr>
            <w:tcW w:w="1908" w:type="dxa"/>
            <w:shd w:val="clear" w:color="auto" w:fill="D9EEEA"/>
          </w:tcPr>
          <w:p>
            <w:pPr>
              <w:pStyle w:val="TableParagraph"/>
              <w:spacing w:before="63"/>
              <w:ind w:left="13" w:right="2"/>
              <w:jc w:val="center"/>
              <w:rPr>
                <w:sz w:val="20"/>
              </w:rPr>
            </w:pPr>
            <w:r>
              <w:rPr>
                <w:color w:val="007369"/>
                <w:spacing w:val="-2"/>
                <w:sz w:val="20"/>
              </w:rPr>
              <w:t>181.2</w:t>
            </w:r>
          </w:p>
        </w:tc>
        <w:tc>
          <w:tcPr>
            <w:tcW w:w="1908" w:type="dxa"/>
            <w:shd w:val="clear" w:color="auto" w:fill="D9EEEA"/>
          </w:tcPr>
          <w:p>
            <w:pPr>
              <w:pStyle w:val="TableParagraph"/>
              <w:spacing w:before="54"/>
              <w:ind w:left="13"/>
              <w:jc w:val="center"/>
              <w:rPr>
                <w:sz w:val="22"/>
              </w:rPr>
            </w:pPr>
            <w:r>
              <w:rPr>
                <w:color w:val="007369"/>
                <w:spacing w:val="-2"/>
                <w:sz w:val="22"/>
              </w:rPr>
              <w:t>124.0</w:t>
            </w:r>
          </w:p>
        </w:tc>
      </w:tr>
    </w:tbl>
    <w:p>
      <w:pPr>
        <w:pStyle w:val="BodyText"/>
        <w:spacing w:before="103"/>
        <w:rPr>
          <w:b/>
          <w:sz w:val="26"/>
        </w:rPr>
      </w:pPr>
    </w:p>
    <w:p>
      <w:pPr>
        <w:spacing w:before="0"/>
        <w:ind w:left="1065" w:right="0" w:firstLine="0"/>
        <w:jc w:val="left"/>
        <w:rPr>
          <w:sz w:val="16"/>
        </w:rPr>
      </w:pPr>
      <w:r>
        <w:rPr>
          <w:color w:val="0C5D86"/>
          <w:spacing w:val="-4"/>
          <w:sz w:val="16"/>
        </w:rPr>
        <w:t>Source:</w:t>
      </w:r>
      <w:r>
        <w:rPr>
          <w:color w:val="0C5D86"/>
          <w:sz w:val="16"/>
        </w:rPr>
        <w:t> </w:t>
      </w:r>
      <w:r>
        <w:rPr>
          <w:color w:val="0C5D86"/>
          <w:spacing w:val="-4"/>
          <w:sz w:val="16"/>
        </w:rPr>
        <w:t>NYSDOH</w:t>
      </w:r>
      <w:r>
        <w:rPr>
          <w:color w:val="0C5D86"/>
          <w:spacing w:val="1"/>
          <w:sz w:val="16"/>
        </w:rPr>
        <w:t> </w:t>
      </w:r>
      <w:r>
        <w:rPr>
          <w:color w:val="0C5D86"/>
          <w:spacing w:val="-4"/>
          <w:sz w:val="16"/>
        </w:rPr>
        <w:t>Vital</w:t>
      </w:r>
      <w:r>
        <w:rPr>
          <w:color w:val="0C5D86"/>
          <w:spacing w:val="1"/>
          <w:sz w:val="16"/>
        </w:rPr>
        <w:t> </w:t>
      </w:r>
      <w:r>
        <w:rPr>
          <w:color w:val="0C5D86"/>
          <w:spacing w:val="-4"/>
          <w:sz w:val="16"/>
        </w:rPr>
        <w:t>Statistics,</w:t>
      </w:r>
      <w:r>
        <w:rPr>
          <w:color w:val="0C5D86"/>
          <w:spacing w:val="1"/>
          <w:sz w:val="16"/>
        </w:rPr>
        <w:t> </w:t>
      </w:r>
      <w:r>
        <w:rPr>
          <w:color w:val="0C5D86"/>
          <w:spacing w:val="-4"/>
          <w:sz w:val="16"/>
        </w:rPr>
        <w:t>2016.</w:t>
      </w:r>
      <w:r>
        <w:rPr>
          <w:color w:val="0C5D86"/>
          <w:sz w:val="16"/>
        </w:rPr>
        <w:t> </w:t>
      </w:r>
      <w:r>
        <w:rPr>
          <w:color w:val="0C5D86"/>
          <w:spacing w:val="-4"/>
          <w:sz w:val="16"/>
        </w:rPr>
        <w:t>Rates</w:t>
      </w:r>
      <w:r>
        <w:rPr>
          <w:color w:val="0C5D86"/>
          <w:spacing w:val="1"/>
          <w:sz w:val="16"/>
        </w:rPr>
        <w:t> </w:t>
      </w:r>
      <w:r>
        <w:rPr>
          <w:color w:val="0C5D86"/>
          <w:spacing w:val="-4"/>
          <w:sz w:val="16"/>
        </w:rPr>
        <w:t>are</w:t>
      </w:r>
      <w:r>
        <w:rPr>
          <w:color w:val="0C5D86"/>
          <w:spacing w:val="1"/>
          <w:sz w:val="16"/>
        </w:rPr>
        <w:t> </w:t>
      </w:r>
      <w:r>
        <w:rPr>
          <w:color w:val="0C5D86"/>
          <w:spacing w:val="-4"/>
          <w:sz w:val="16"/>
        </w:rPr>
        <w:t>per</w:t>
      </w:r>
      <w:r>
        <w:rPr>
          <w:color w:val="0C5D86"/>
          <w:spacing w:val="1"/>
          <w:sz w:val="16"/>
        </w:rPr>
        <w:t> </w:t>
      </w:r>
      <w:r>
        <w:rPr>
          <w:color w:val="0C5D86"/>
          <w:spacing w:val="-4"/>
          <w:sz w:val="16"/>
        </w:rPr>
        <w:t>100,000</w:t>
      </w:r>
      <w:r>
        <w:rPr>
          <w:color w:val="0C5D86"/>
          <w:sz w:val="16"/>
        </w:rPr>
        <w:t> </w:t>
      </w:r>
      <w:r>
        <w:rPr>
          <w:color w:val="0C5D86"/>
          <w:spacing w:val="-4"/>
          <w:sz w:val="16"/>
        </w:rPr>
        <w:t>population</w:t>
      </w:r>
    </w:p>
    <w:p>
      <w:pPr>
        <w:spacing w:after="0"/>
        <w:jc w:val="left"/>
        <w:rPr>
          <w:sz w:val="16"/>
        </w:rPr>
        <w:sectPr>
          <w:type w:val="continuous"/>
          <w:pgSz w:w="24480" w:h="15840" w:orient="landscape"/>
          <w:pgMar w:header="0" w:footer="0" w:top="0" w:bottom="280" w:left="0" w:right="720"/>
          <w:cols w:num="2" w:equalWidth="0">
            <w:col w:w="10977" w:space="1277"/>
            <w:col w:w="11506"/>
          </w:cols>
        </w:sectPr>
      </w:pPr>
    </w:p>
    <w:p>
      <w:pPr>
        <w:pStyle w:val="BodyText"/>
        <w:spacing w:before="188"/>
        <w:rPr>
          <w:sz w:val="26"/>
        </w:rPr>
      </w:pPr>
      <w:r>
        <w:rPr>
          <w:sz w:val="26"/>
        </w:rPr>
        <w:drawing>
          <wp:anchor distT="0" distB="0" distL="0" distR="0" allowOverlap="1" layoutInCell="1" locked="0" behindDoc="0" simplePos="0" relativeHeight="15771648">
            <wp:simplePos x="0" y="0"/>
            <wp:positionH relativeFrom="page">
              <wp:posOffset>14981556</wp:posOffset>
            </wp:positionH>
            <wp:positionV relativeFrom="page">
              <wp:posOffset>9668103</wp:posOffset>
            </wp:positionV>
            <wp:extent cx="563245" cy="184683"/>
            <wp:effectExtent l="0" t="0" r="0" b="0"/>
            <wp:wrapNone/>
            <wp:docPr id="457" name="Image 457"/>
            <wp:cNvGraphicFramePr>
              <a:graphicFrameLocks/>
            </wp:cNvGraphicFramePr>
            <a:graphic>
              <a:graphicData uri="http://schemas.openxmlformats.org/drawingml/2006/picture">
                <pic:pic>
                  <pic:nvPicPr>
                    <pic:cNvPr id="457" name="Image 457"/>
                    <pic:cNvPicPr/>
                  </pic:nvPicPr>
                  <pic:blipFill>
                    <a:blip r:embed="rId38" cstate="print"/>
                    <a:stretch>
                      <a:fillRect/>
                    </a:stretch>
                  </pic:blipFill>
                  <pic:spPr>
                    <a:xfrm>
                      <a:off x="0" y="0"/>
                      <a:ext cx="563245" cy="184683"/>
                    </a:xfrm>
                    <a:prstGeom prst="rect">
                      <a:avLst/>
                    </a:prstGeom>
                  </pic:spPr>
                </pic:pic>
              </a:graphicData>
            </a:graphic>
          </wp:anchor>
        </w:drawing>
      </w:r>
    </w:p>
    <w:p>
      <w:pPr>
        <w:tabs>
          <w:tab w:pos="23147" w:val="left" w:leader="none"/>
        </w:tabs>
        <w:spacing w:before="0"/>
        <w:ind w:left="0" w:right="0" w:firstLine="0"/>
        <w:jc w:val="left"/>
        <w:rPr>
          <w:b/>
          <w:sz w:val="26"/>
        </w:rPr>
      </w:pPr>
      <w:r>
        <w:rPr>
          <w:position w:val="-4"/>
        </w:rPr>
        <w:drawing>
          <wp:inline distT="0" distB="0" distL="0" distR="0">
            <wp:extent cx="568172" cy="184683"/>
            <wp:effectExtent l="0" t="0" r="0" b="0"/>
            <wp:docPr id="458" name="Image 458"/>
            <wp:cNvGraphicFramePr>
              <a:graphicFrameLocks/>
            </wp:cNvGraphicFramePr>
            <a:graphic>
              <a:graphicData uri="http://schemas.openxmlformats.org/drawingml/2006/picture">
                <pic:pic>
                  <pic:nvPicPr>
                    <pic:cNvPr id="458" name="Image 458"/>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80"/>
          <w:w w:val="105"/>
          <w:sz w:val="20"/>
        </w:rPr>
        <w:t> </w:t>
      </w:r>
      <w:r>
        <w:rPr>
          <w:b/>
          <w:color w:val="939598"/>
          <w:w w:val="105"/>
          <w:sz w:val="26"/>
        </w:rPr>
        <w:t>33</w:t>
      </w:r>
      <w:r>
        <w:rPr>
          <w:b/>
          <w:color w:val="939598"/>
          <w:sz w:val="26"/>
        </w:rPr>
        <w:tab/>
      </w:r>
      <w:r>
        <w:rPr>
          <w:b/>
          <w:color w:val="939598"/>
          <w:spacing w:val="-5"/>
          <w:w w:val="105"/>
          <w:sz w:val="26"/>
        </w:rPr>
        <w:t>34</w:t>
      </w:r>
    </w:p>
    <w:p>
      <w:pPr>
        <w:spacing w:after="0"/>
        <w:jc w:val="left"/>
        <w:rPr>
          <w:b/>
          <w:sz w:val="26"/>
        </w:rPr>
        <w:sectPr>
          <w:type w:val="continuous"/>
          <w:pgSz w:w="24480" w:h="15840" w:orient="landscape"/>
          <w:pgMar w:header="0" w:footer="0" w:top="0" w:bottom="280" w:left="0" w:right="720"/>
        </w:sectPr>
      </w:pPr>
    </w:p>
    <w:p>
      <w:pPr>
        <w:pStyle w:val="BodyText"/>
        <w:rPr>
          <w:b/>
          <w:sz w:val="20"/>
        </w:rPr>
      </w:pPr>
    </w:p>
    <w:p>
      <w:pPr>
        <w:pStyle w:val="BodyText"/>
        <w:spacing w:before="16"/>
        <w:rPr>
          <w:b/>
          <w:sz w:val="20"/>
        </w:rPr>
      </w:pPr>
    </w:p>
    <w:p>
      <w:pPr>
        <w:pStyle w:val="BodyText"/>
        <w:spacing w:after="0"/>
        <w:rPr>
          <w:b/>
          <w:sz w:val="20"/>
        </w:rPr>
        <w:sectPr>
          <w:headerReference w:type="default" r:id="rId59"/>
          <w:pgSz w:w="24480" w:h="15840" w:orient="landscape"/>
          <w:pgMar w:header="0" w:footer="0" w:top="860" w:bottom="0" w:left="0" w:right="720"/>
        </w:sectPr>
      </w:pPr>
    </w:p>
    <w:p>
      <w:pPr>
        <w:pStyle w:val="Heading1"/>
        <w:spacing w:line="223" w:lineRule="auto" w:before="176"/>
        <w:ind w:left="1065" w:right="1177"/>
      </w:pPr>
      <w:bookmarkStart w:name="_TOC_250016" w:id="3"/>
      <w:r>
        <w:rPr>
          <w:color w:val="105C84"/>
        </w:rPr>
        <w:t>PLANNING AND </w:t>
      </w:r>
      <w:r>
        <w:rPr>
          <w:color w:val="105C84"/>
          <w:spacing w:val="-24"/>
        </w:rPr>
        <w:t>PRIORITIZATION</w:t>
      </w:r>
      <w:r>
        <w:rPr>
          <w:color w:val="105C84"/>
          <w:spacing w:val="-18"/>
        </w:rPr>
        <w:t> </w:t>
      </w:r>
      <w:bookmarkEnd w:id="3"/>
      <w:r>
        <w:rPr>
          <w:color w:val="105C84"/>
          <w:spacing w:val="-24"/>
        </w:rPr>
        <w:t>PROCESS</w:t>
      </w:r>
    </w:p>
    <w:p>
      <w:pPr>
        <w:spacing w:before="500"/>
        <w:ind w:left="1065" w:right="0" w:firstLine="0"/>
        <w:jc w:val="left"/>
        <w:rPr>
          <w:b/>
          <w:sz w:val="32"/>
        </w:rPr>
      </w:pPr>
      <w:r>
        <w:rPr>
          <w:b/>
          <w:color w:val="82BF6A"/>
          <w:sz w:val="32"/>
        </w:rPr>
        <w:t>EIGHT</w:t>
      </w:r>
      <w:r>
        <w:rPr>
          <w:b/>
          <w:color w:val="82BF6A"/>
          <w:spacing w:val="-10"/>
          <w:sz w:val="32"/>
        </w:rPr>
        <w:t> </w:t>
      </w:r>
      <w:r>
        <w:rPr>
          <w:b/>
          <w:color w:val="82BF6A"/>
          <w:sz w:val="32"/>
        </w:rPr>
        <w:t>COUNTY</w:t>
      </w:r>
      <w:r>
        <w:rPr>
          <w:b/>
          <w:color w:val="82BF6A"/>
          <w:spacing w:val="-10"/>
          <w:sz w:val="32"/>
        </w:rPr>
        <w:t> </w:t>
      </w:r>
      <w:r>
        <w:rPr>
          <w:b/>
          <w:color w:val="82BF6A"/>
          <w:spacing w:val="-2"/>
          <w:sz w:val="32"/>
        </w:rPr>
        <w:t>REGION</w:t>
      </w:r>
    </w:p>
    <w:p>
      <w:pPr>
        <w:pStyle w:val="BodyText"/>
        <w:spacing w:before="238"/>
        <w:rPr>
          <w:b/>
          <w:sz w:val="32"/>
        </w:rPr>
      </w:pPr>
    </w:p>
    <w:p>
      <w:pPr>
        <w:pStyle w:val="BodyText"/>
        <w:spacing w:line="247" w:lineRule="auto"/>
        <w:ind w:left="1065" w:right="38"/>
      </w:pPr>
      <w:r>
        <w:rPr>
          <w:color w:val="105C84"/>
        </w:rPr>
        <w:t>The MAPP (Mobilizing for Action through Planning and Partnerships) process was used by all eight health departments to develop their health assessments and improvement plans. This process</w:t>
      </w:r>
      <w:r>
        <w:rPr>
          <w:color w:val="105C84"/>
          <w:spacing w:val="80"/>
          <w:w w:val="150"/>
        </w:rPr>
        <w:t> </w:t>
      </w:r>
      <w:r>
        <w:rPr>
          <w:color w:val="105C84"/>
        </w:rPr>
        <w:t>includes four community assessments. The first assessment began in the summer of 2018 when local health</w:t>
      </w:r>
      <w:r>
        <w:rPr>
          <w:color w:val="105C84"/>
          <w:spacing w:val="23"/>
        </w:rPr>
        <w:t> </w:t>
      </w:r>
      <w:r>
        <w:rPr>
          <w:color w:val="105C84"/>
        </w:rPr>
        <w:t>departments</w:t>
      </w:r>
      <w:r>
        <w:rPr>
          <w:color w:val="105C84"/>
          <w:spacing w:val="23"/>
        </w:rPr>
        <w:t> </w:t>
      </w:r>
      <w:r>
        <w:rPr>
          <w:color w:val="105C84"/>
        </w:rPr>
        <w:t>partnered</w:t>
      </w:r>
      <w:r>
        <w:rPr>
          <w:color w:val="105C84"/>
          <w:spacing w:val="23"/>
        </w:rPr>
        <w:t> </w:t>
      </w:r>
      <w:r>
        <w:rPr>
          <w:color w:val="105C84"/>
        </w:rPr>
        <w:t>with</w:t>
      </w:r>
      <w:r>
        <w:rPr>
          <w:color w:val="105C84"/>
          <w:spacing w:val="23"/>
        </w:rPr>
        <w:t> </w:t>
      </w:r>
      <w:r>
        <w:rPr>
          <w:color w:val="105C84"/>
        </w:rPr>
        <w:t>Common</w:t>
      </w:r>
      <w:r>
        <w:rPr>
          <w:color w:val="105C84"/>
          <w:spacing w:val="23"/>
        </w:rPr>
        <w:t> </w:t>
      </w:r>
      <w:r>
        <w:rPr>
          <w:color w:val="105C84"/>
        </w:rPr>
        <w:t>Ground</w:t>
      </w:r>
      <w:r>
        <w:rPr>
          <w:color w:val="105C84"/>
          <w:spacing w:val="23"/>
        </w:rPr>
        <w:t> </w:t>
      </w:r>
      <w:r>
        <w:rPr>
          <w:color w:val="105C84"/>
        </w:rPr>
        <w:t>Health</w:t>
      </w:r>
      <w:r>
        <w:rPr>
          <w:color w:val="105C84"/>
          <w:spacing w:val="23"/>
        </w:rPr>
        <w:t> </w:t>
      </w:r>
      <w:r>
        <w:rPr>
          <w:color w:val="105C84"/>
        </w:rPr>
        <w:t>to</w:t>
      </w:r>
      <w:r>
        <w:rPr>
          <w:color w:val="105C84"/>
          <w:spacing w:val="23"/>
        </w:rPr>
        <w:t> </w:t>
      </w:r>
      <w:r>
        <w:rPr>
          <w:color w:val="105C84"/>
        </w:rPr>
        <w:t>conduct</w:t>
      </w:r>
      <w:r>
        <w:rPr>
          <w:color w:val="105C84"/>
          <w:spacing w:val="23"/>
        </w:rPr>
        <w:t> </w:t>
      </w:r>
      <w:r>
        <w:rPr>
          <w:color w:val="105C84"/>
        </w:rPr>
        <w:t>a</w:t>
      </w:r>
      <w:r>
        <w:rPr>
          <w:color w:val="105C84"/>
          <w:spacing w:val="23"/>
        </w:rPr>
        <w:t> </w:t>
      </w:r>
      <w:r>
        <w:rPr>
          <w:color w:val="105C84"/>
        </w:rPr>
        <w:t>nine</w:t>
      </w:r>
      <w:r>
        <w:rPr>
          <w:color w:val="105C84"/>
          <w:spacing w:val="23"/>
        </w:rPr>
        <w:t> </w:t>
      </w:r>
      <w:r>
        <w:rPr>
          <w:color w:val="105C84"/>
        </w:rPr>
        <w:t>county</w:t>
      </w:r>
      <w:r>
        <w:rPr>
          <w:color w:val="105C84"/>
          <w:spacing w:val="23"/>
        </w:rPr>
        <w:t> </w:t>
      </w:r>
      <w:r>
        <w:rPr>
          <w:color w:val="105C84"/>
        </w:rPr>
        <w:t>regional</w:t>
      </w:r>
      <w:r>
        <w:rPr>
          <w:color w:val="105C84"/>
          <w:spacing w:val="23"/>
        </w:rPr>
        <w:t> </w:t>
      </w:r>
      <w:r>
        <w:rPr>
          <w:color w:val="105C84"/>
        </w:rPr>
        <w:t>health survey (</w:t>
      </w:r>
      <w:r>
        <w:rPr>
          <w:i/>
          <w:color w:val="105C84"/>
        </w:rPr>
        <w:t>My Health Story 2018</w:t>
      </w:r>
      <w:r>
        <w:rPr>
          <w:color w:val="105C84"/>
        </w:rPr>
        <w:t>).</w:t>
      </w:r>
      <w:r>
        <w:rPr>
          <w:color w:val="105C84"/>
          <w:position w:val="7"/>
          <w:sz w:val="13"/>
        </w:rPr>
        <w:t>11</w:t>
      </w:r>
      <w:r>
        <w:rPr>
          <w:color w:val="105C84"/>
          <w:spacing w:val="36"/>
          <w:position w:val="7"/>
          <w:sz w:val="13"/>
        </w:rPr>
        <w:t> </w:t>
      </w:r>
      <w:r>
        <w:rPr>
          <w:color w:val="105C84"/>
        </w:rPr>
        <w:t>This survey served as the vehicle for gathering primary qualitative</w:t>
      </w:r>
      <w:r>
        <w:rPr>
          <w:color w:val="105C84"/>
          <w:spacing w:val="80"/>
        </w:rPr>
        <w:t> </w:t>
      </w:r>
      <w:r>
        <w:rPr>
          <w:color w:val="105C84"/>
        </w:rPr>
        <w:t>and quantitative data from Finger Lakes region residents on health issues in each county. Health departments, hospitals, and other local partners were instrumental in distributing the survey to</w:t>
      </w:r>
      <w:r>
        <w:rPr>
          <w:color w:val="105C84"/>
          <w:spacing w:val="40"/>
        </w:rPr>
        <w:t> </w:t>
      </w:r>
      <w:r>
        <w:rPr>
          <w:color w:val="105C84"/>
        </w:rPr>
        <w:t>community members including disparate populations.</w:t>
      </w:r>
    </w:p>
    <w:p>
      <w:pPr>
        <w:pStyle w:val="BodyText"/>
        <w:spacing w:line="247" w:lineRule="auto" w:before="176"/>
        <w:ind w:left="1065" w:right="180"/>
      </w:pPr>
      <w:r>
        <w:rPr>
          <w:color w:val="105C84"/>
        </w:rPr>
        <w:t>The second assessment was of the local public health system completed by stakeholders in each respective county. The survey sought to determine how well the public health system works together</w:t>
      </w:r>
      <w:r>
        <w:rPr>
          <w:color w:val="105C84"/>
          <w:spacing w:val="40"/>
        </w:rPr>
        <w:t> </w:t>
      </w:r>
      <w:r>
        <w:rPr>
          <w:color w:val="105C84"/>
        </w:rPr>
        <w:t>to</w:t>
      </w:r>
      <w:r>
        <w:rPr>
          <w:color w:val="105C84"/>
          <w:spacing w:val="25"/>
        </w:rPr>
        <w:t> </w:t>
      </w:r>
      <w:r>
        <w:rPr>
          <w:color w:val="105C84"/>
        </w:rPr>
        <w:t>address</w:t>
      </w:r>
      <w:r>
        <w:rPr>
          <w:color w:val="105C84"/>
          <w:spacing w:val="25"/>
        </w:rPr>
        <w:t> </w:t>
      </w:r>
      <w:r>
        <w:rPr>
          <w:color w:val="105C84"/>
        </w:rPr>
        <w:t>the</w:t>
      </w:r>
      <w:r>
        <w:rPr>
          <w:color w:val="105C84"/>
          <w:spacing w:val="25"/>
        </w:rPr>
        <w:t> </w:t>
      </w:r>
      <w:r>
        <w:rPr>
          <w:color w:val="105C84"/>
        </w:rPr>
        <w:t>ten</w:t>
      </w:r>
      <w:r>
        <w:rPr>
          <w:color w:val="105C84"/>
          <w:spacing w:val="25"/>
        </w:rPr>
        <w:t> </w:t>
      </w:r>
      <w:r>
        <w:rPr>
          <w:color w:val="105C84"/>
        </w:rPr>
        <w:t>essential</w:t>
      </w:r>
      <w:r>
        <w:rPr>
          <w:color w:val="105C84"/>
          <w:spacing w:val="25"/>
        </w:rPr>
        <w:t> </w:t>
      </w:r>
      <w:r>
        <w:rPr>
          <w:color w:val="105C84"/>
        </w:rPr>
        <w:t>services</w:t>
      </w:r>
      <w:r>
        <w:rPr>
          <w:color w:val="105C84"/>
          <w:spacing w:val="25"/>
        </w:rPr>
        <w:t> </w:t>
      </w:r>
      <w:r>
        <w:rPr>
          <w:color w:val="105C84"/>
        </w:rPr>
        <w:t>and</w:t>
      </w:r>
      <w:r>
        <w:rPr>
          <w:color w:val="105C84"/>
          <w:spacing w:val="25"/>
        </w:rPr>
        <w:t> </w:t>
      </w:r>
      <w:r>
        <w:rPr>
          <w:color w:val="105C84"/>
        </w:rPr>
        <w:t>provides</w:t>
      </w:r>
      <w:r>
        <w:rPr>
          <w:color w:val="105C84"/>
          <w:spacing w:val="25"/>
        </w:rPr>
        <w:t> </w:t>
      </w:r>
      <w:r>
        <w:rPr>
          <w:color w:val="105C84"/>
        </w:rPr>
        <w:t>an</w:t>
      </w:r>
      <w:r>
        <w:rPr>
          <w:color w:val="105C84"/>
          <w:spacing w:val="25"/>
        </w:rPr>
        <w:t> </w:t>
      </w:r>
      <w:r>
        <w:rPr>
          <w:color w:val="105C84"/>
        </w:rPr>
        <w:t>effective</w:t>
      </w:r>
      <w:r>
        <w:rPr>
          <w:color w:val="105C84"/>
          <w:spacing w:val="25"/>
        </w:rPr>
        <w:t> </w:t>
      </w:r>
      <w:r>
        <w:rPr>
          <w:color w:val="105C84"/>
        </w:rPr>
        <w:t>work-flow</w:t>
      </w:r>
      <w:r>
        <w:rPr>
          <w:color w:val="105C84"/>
          <w:spacing w:val="25"/>
        </w:rPr>
        <w:t> </w:t>
      </w:r>
      <w:r>
        <w:rPr>
          <w:color w:val="105C84"/>
        </w:rPr>
        <w:t>that</w:t>
      </w:r>
      <w:r>
        <w:rPr>
          <w:color w:val="105C84"/>
          <w:spacing w:val="25"/>
        </w:rPr>
        <w:t> </w:t>
      </w:r>
      <w:r>
        <w:rPr>
          <w:color w:val="105C84"/>
        </w:rPr>
        <w:t>promotes,</w:t>
      </w:r>
      <w:r>
        <w:rPr>
          <w:color w:val="105C84"/>
          <w:spacing w:val="25"/>
        </w:rPr>
        <w:t> </w:t>
      </w:r>
      <w:r>
        <w:rPr>
          <w:color w:val="105C84"/>
        </w:rPr>
        <w:t>supports and maintains the health of the community. Results from the survey are available in county specific prioritization pre-read documents (available upon request) and, overall, were very positive.</w:t>
      </w:r>
    </w:p>
    <w:p>
      <w:pPr>
        <w:pStyle w:val="BodyText"/>
        <w:spacing w:line="247" w:lineRule="auto" w:before="177"/>
        <w:ind w:left="1065" w:right="338"/>
      </w:pPr>
      <w:r>
        <w:rPr>
          <w:color w:val="105C84"/>
        </w:rPr>
        <w:t>For additional community engagement and feedback, and the third and fourth assessments (forces</w:t>
      </w:r>
      <w:r>
        <w:rPr>
          <w:color w:val="105C84"/>
          <w:spacing w:val="80"/>
          <w:w w:val="150"/>
        </w:rPr>
        <w:t> </w:t>
      </w:r>
      <w:r>
        <w:rPr>
          <w:color w:val="105C84"/>
        </w:rPr>
        <w:t>of change and community themes and strengths), health departments conducted focus groups with</w:t>
      </w:r>
      <w:r>
        <w:rPr>
          <w:color w:val="105C84"/>
          <w:spacing w:val="40"/>
        </w:rPr>
        <w:t> </w:t>
      </w:r>
      <w:r>
        <w:rPr>
          <w:color w:val="105C84"/>
        </w:rPr>
        <w:t>lesser represented survey populations between the months of November and February.</w:t>
      </w:r>
      <w:r>
        <w:rPr>
          <w:color w:val="105C84"/>
          <w:position w:val="7"/>
          <w:sz w:val="13"/>
        </w:rPr>
        <w:t>12</w:t>
      </w:r>
      <w:r>
        <w:rPr>
          <w:color w:val="105C84"/>
          <w:spacing w:val="40"/>
          <w:position w:val="7"/>
          <w:sz w:val="13"/>
        </w:rPr>
        <w:t> </w:t>
      </w:r>
      <w:r>
        <w:rPr>
          <w:color w:val="105C84"/>
        </w:rPr>
        <w:t>Results from the focus groups and a list of attendees are available upon request.</w:t>
      </w:r>
    </w:p>
    <w:p>
      <w:pPr>
        <w:pStyle w:val="BodyText"/>
        <w:spacing w:line="247" w:lineRule="auto" w:before="178"/>
        <w:ind w:left="1065" w:right="202"/>
      </w:pPr>
      <w:r>
        <w:rPr>
          <w:color w:val="105C84"/>
        </w:rPr>
        <w:t>After conducting each of the four assessments above with assistance from either the S2AY Rural Health Network or Genesee Valley Health Partnership, local health departments invited key stakeholders</w:t>
      </w:r>
      <w:r>
        <w:rPr>
          <w:color w:val="105C84"/>
          <w:spacing w:val="24"/>
        </w:rPr>
        <w:t> </w:t>
      </w:r>
      <w:r>
        <w:rPr>
          <w:color w:val="105C84"/>
        </w:rPr>
        <w:t>and</w:t>
      </w:r>
      <w:r>
        <w:rPr>
          <w:color w:val="105C84"/>
          <w:spacing w:val="24"/>
        </w:rPr>
        <w:t> </w:t>
      </w:r>
      <w:r>
        <w:rPr>
          <w:color w:val="105C84"/>
        </w:rPr>
        <w:t>focus</w:t>
      </w:r>
      <w:r>
        <w:rPr>
          <w:color w:val="105C84"/>
          <w:spacing w:val="24"/>
        </w:rPr>
        <w:t> </w:t>
      </w:r>
      <w:r>
        <w:rPr>
          <w:color w:val="105C84"/>
        </w:rPr>
        <w:t>group</w:t>
      </w:r>
      <w:r>
        <w:rPr>
          <w:color w:val="105C84"/>
          <w:spacing w:val="24"/>
        </w:rPr>
        <w:t> </w:t>
      </w:r>
      <w:r>
        <w:rPr>
          <w:color w:val="105C84"/>
        </w:rPr>
        <w:t>attendees</w:t>
      </w:r>
      <w:r>
        <w:rPr>
          <w:color w:val="105C84"/>
          <w:spacing w:val="24"/>
        </w:rPr>
        <w:t> </w:t>
      </w:r>
      <w:r>
        <w:rPr>
          <w:color w:val="105C84"/>
        </w:rPr>
        <w:t>to</w:t>
      </w:r>
      <w:r>
        <w:rPr>
          <w:color w:val="105C84"/>
          <w:spacing w:val="24"/>
        </w:rPr>
        <w:t> </w:t>
      </w:r>
      <w:r>
        <w:rPr>
          <w:color w:val="105C84"/>
        </w:rPr>
        <w:t>participate</w:t>
      </w:r>
      <w:r>
        <w:rPr>
          <w:color w:val="105C84"/>
          <w:spacing w:val="24"/>
        </w:rPr>
        <w:t> </w:t>
      </w:r>
      <w:r>
        <w:rPr>
          <w:color w:val="105C84"/>
        </w:rPr>
        <w:t>in</w:t>
      </w:r>
      <w:r>
        <w:rPr>
          <w:color w:val="105C84"/>
          <w:spacing w:val="24"/>
        </w:rPr>
        <w:t> </w:t>
      </w:r>
      <w:r>
        <w:rPr>
          <w:color w:val="105C84"/>
        </w:rPr>
        <w:t>a</w:t>
      </w:r>
      <w:r>
        <w:rPr>
          <w:color w:val="105C84"/>
          <w:spacing w:val="24"/>
        </w:rPr>
        <w:t> </w:t>
      </w:r>
      <w:r>
        <w:rPr>
          <w:color w:val="105C84"/>
        </w:rPr>
        <w:t>prioritization</w:t>
      </w:r>
      <w:r>
        <w:rPr>
          <w:color w:val="105C84"/>
          <w:spacing w:val="24"/>
        </w:rPr>
        <w:t> </w:t>
      </w:r>
      <w:r>
        <w:rPr>
          <w:color w:val="105C84"/>
        </w:rPr>
        <w:t>meeting</w:t>
      </w:r>
      <w:r>
        <w:rPr>
          <w:color w:val="105C84"/>
          <w:spacing w:val="24"/>
        </w:rPr>
        <w:t> </w:t>
      </w:r>
      <w:r>
        <w:rPr>
          <w:color w:val="105C84"/>
        </w:rPr>
        <w:t>to</w:t>
      </w:r>
      <w:r>
        <w:rPr>
          <w:color w:val="105C84"/>
          <w:spacing w:val="24"/>
        </w:rPr>
        <w:t> </w:t>
      </w:r>
      <w:r>
        <w:rPr>
          <w:color w:val="105C84"/>
        </w:rPr>
        <w:t>help</w:t>
      </w:r>
      <w:r>
        <w:rPr>
          <w:color w:val="105C84"/>
          <w:spacing w:val="24"/>
        </w:rPr>
        <w:t> </w:t>
      </w:r>
      <w:r>
        <w:rPr>
          <w:color w:val="105C84"/>
        </w:rPr>
        <w:t>inform</w:t>
      </w:r>
      <w:r>
        <w:rPr>
          <w:color w:val="105C84"/>
          <w:spacing w:val="24"/>
        </w:rPr>
        <w:t> </w:t>
      </w:r>
      <w:r>
        <w:rPr>
          <w:color w:val="105C84"/>
        </w:rPr>
        <w:t>and select the 2019-2021 priority and focus areas. Participants utilized the Hanlon and PEARL methods</w:t>
      </w:r>
      <w:r>
        <w:rPr>
          <w:color w:val="105C84"/>
          <w:spacing w:val="80"/>
          <w:w w:val="105"/>
        </w:rPr>
        <w:t> </w:t>
      </w:r>
      <w:r>
        <w:rPr>
          <w:color w:val="105C84"/>
          <w:w w:val="105"/>
        </w:rPr>
        <w:t>to rank a list of group identified and/or pre-populated health department identified priorities.</w:t>
      </w:r>
    </w:p>
    <w:p>
      <w:pPr>
        <w:pStyle w:val="BodyText"/>
        <w:spacing w:line="247" w:lineRule="auto"/>
        <w:ind w:left="1065" w:right="801"/>
        <w:jc w:val="both"/>
      </w:pPr>
      <w:r>
        <w:rPr>
          <w:color w:val="105C84"/>
        </w:rPr>
        <w:t>The method rates items based on size and seriousness of the problem as well as effectiveness of interventions. The result of each group scoring led to the selection of the priority areas and disparities and are summarized in greater detail in the county-specific chapters to follow.</w:t>
      </w:r>
    </w:p>
    <w:p>
      <w:pPr>
        <w:pStyle w:val="BodyText"/>
        <w:spacing w:line="247" w:lineRule="auto" w:before="142"/>
        <w:ind w:left="1065" w:right="535"/>
      </w:pPr>
      <w:r>
        <w:rPr/>
        <w:br w:type="column"/>
      </w:r>
      <w:r>
        <w:rPr>
          <w:color w:val="105C84"/>
        </w:rPr>
        <w:t>As demonstrated in the health data section, each county’s residents face their own unique and challenging issues when it comes to their community, yet commonalities remain. There are a number of demographic and socioeconomic indicators which may impact health and are consistent concerns across the region. For example:</w:t>
      </w:r>
    </w:p>
    <w:p>
      <w:pPr>
        <w:pStyle w:val="BodyText"/>
        <w:spacing w:before="17"/>
      </w:pPr>
    </w:p>
    <w:p>
      <w:pPr>
        <w:pStyle w:val="Heading5"/>
        <w:ind w:left="1070"/>
      </w:pPr>
      <w:r>
        <w:rPr>
          <w:color w:val="32BCAA"/>
          <w:spacing w:val="-4"/>
        </w:rPr>
        <w:t>AGE:</w:t>
      </w:r>
    </w:p>
    <w:p>
      <w:pPr>
        <w:pStyle w:val="BodyText"/>
        <w:spacing w:line="247" w:lineRule="auto" w:before="86"/>
        <w:ind w:left="1065" w:right="412"/>
      </w:pPr>
      <w:r>
        <w:rPr>
          <w:color w:val="105C84"/>
        </w:rPr>
        <w:t>Variances in age can impact a community’s health status. Older adults require more frequent medical check-ins, are more prone to illness, falls and unintentional injuries, and often experience more co-morbid</w:t>
      </w:r>
      <w:r>
        <w:rPr>
          <w:color w:val="105C84"/>
          <w:spacing w:val="28"/>
        </w:rPr>
        <w:t> </w:t>
      </w:r>
      <w:r>
        <w:rPr>
          <w:color w:val="105C84"/>
        </w:rPr>
        <w:t>conditions</w:t>
      </w:r>
      <w:r>
        <w:rPr>
          <w:color w:val="105C84"/>
          <w:spacing w:val="28"/>
        </w:rPr>
        <w:t> </w:t>
      </w:r>
      <w:r>
        <w:rPr>
          <w:color w:val="105C84"/>
        </w:rPr>
        <w:t>than</w:t>
      </w:r>
      <w:r>
        <w:rPr>
          <w:color w:val="105C84"/>
          <w:spacing w:val="28"/>
        </w:rPr>
        <w:t> </w:t>
      </w:r>
      <w:r>
        <w:rPr>
          <w:color w:val="105C84"/>
        </w:rPr>
        <w:t>younger</w:t>
      </w:r>
      <w:r>
        <w:rPr>
          <w:color w:val="105C84"/>
          <w:spacing w:val="28"/>
        </w:rPr>
        <w:t> </w:t>
      </w:r>
      <w:r>
        <w:rPr>
          <w:color w:val="105C84"/>
        </w:rPr>
        <w:t>adults</w:t>
      </w:r>
      <w:r>
        <w:rPr>
          <w:color w:val="105C84"/>
          <w:spacing w:val="28"/>
        </w:rPr>
        <w:t> </w:t>
      </w:r>
      <w:r>
        <w:rPr>
          <w:color w:val="105C84"/>
        </w:rPr>
        <w:t>and</w:t>
      </w:r>
      <w:r>
        <w:rPr>
          <w:color w:val="105C84"/>
          <w:spacing w:val="28"/>
        </w:rPr>
        <w:t> </w:t>
      </w:r>
      <w:r>
        <w:rPr>
          <w:color w:val="105C84"/>
        </w:rPr>
        <w:t>children.</w:t>
      </w:r>
      <w:r>
        <w:rPr>
          <w:color w:val="105C84"/>
          <w:spacing w:val="28"/>
        </w:rPr>
        <w:t> </w:t>
      </w:r>
      <w:r>
        <w:rPr>
          <w:color w:val="105C84"/>
        </w:rPr>
        <w:t>In</w:t>
      </w:r>
      <w:r>
        <w:rPr>
          <w:color w:val="105C84"/>
          <w:spacing w:val="28"/>
        </w:rPr>
        <w:t> </w:t>
      </w:r>
      <w:r>
        <w:rPr>
          <w:color w:val="105C84"/>
        </w:rPr>
        <w:t>addition,</w:t>
      </w:r>
      <w:r>
        <w:rPr>
          <w:color w:val="105C84"/>
          <w:spacing w:val="28"/>
        </w:rPr>
        <w:t> </w:t>
      </w:r>
      <w:r>
        <w:rPr>
          <w:color w:val="105C84"/>
        </w:rPr>
        <w:t>aging</w:t>
      </w:r>
      <w:r>
        <w:rPr>
          <w:color w:val="105C84"/>
          <w:spacing w:val="28"/>
        </w:rPr>
        <w:t> </w:t>
      </w:r>
      <w:r>
        <w:rPr>
          <w:color w:val="105C84"/>
        </w:rPr>
        <w:t>adults</w:t>
      </w:r>
      <w:r>
        <w:rPr>
          <w:color w:val="105C84"/>
          <w:spacing w:val="28"/>
        </w:rPr>
        <w:t> </w:t>
      </w:r>
      <w:r>
        <w:rPr>
          <w:color w:val="105C84"/>
        </w:rPr>
        <w:t>may</w:t>
      </w:r>
      <w:r>
        <w:rPr>
          <w:color w:val="105C84"/>
          <w:spacing w:val="28"/>
        </w:rPr>
        <w:t> </w:t>
      </w:r>
      <w:r>
        <w:rPr>
          <w:color w:val="105C84"/>
        </w:rPr>
        <w:t>not</w:t>
      </w:r>
      <w:r>
        <w:rPr>
          <w:color w:val="105C84"/>
          <w:spacing w:val="28"/>
        </w:rPr>
        <w:t> </w:t>
      </w:r>
      <w:r>
        <w:rPr>
          <w:color w:val="105C84"/>
        </w:rPr>
        <w:t>have</w:t>
      </w:r>
      <w:r>
        <w:rPr>
          <w:color w:val="105C84"/>
          <w:spacing w:val="28"/>
        </w:rPr>
        <w:t> </w:t>
      </w:r>
      <w:r>
        <w:rPr>
          <w:color w:val="105C84"/>
        </w:rPr>
        <w:t>access to a vehicle and rely on family, friends or public transportation for accessing basic needs and medical appointments. The strain of caring for an elderly adult may also negatively affect the caregiver. A community with higher rates of elderly adults may have worse reported health outcomes than a younger community.</w:t>
      </w:r>
    </w:p>
    <w:p>
      <w:pPr>
        <w:pStyle w:val="BodyText"/>
        <w:spacing w:before="15"/>
      </w:pPr>
    </w:p>
    <w:p>
      <w:pPr>
        <w:pStyle w:val="Heading5"/>
        <w:ind w:left="1070"/>
      </w:pPr>
      <w:r>
        <w:rPr>
          <w:color w:val="32BCAA"/>
          <w:spacing w:val="-2"/>
        </w:rPr>
        <w:t>POVERTY:</w:t>
      </w:r>
    </w:p>
    <w:p>
      <w:pPr>
        <w:pStyle w:val="BodyText"/>
        <w:spacing w:line="247" w:lineRule="auto" w:before="86"/>
        <w:ind w:left="1065" w:right="535"/>
      </w:pPr>
      <w:r>
        <w:rPr>
          <w:color w:val="105C84"/>
        </w:rPr>
        <w:t>Low income residents are more likely to experience a breadth of health issues not seen as often in wealthier residents. For example, lower socioeconomic status is linked to higher incidence of chronic disease, shorter life expectancy, and lower rates of good social, emotional and physical health. Low income may also force a person to choose between basic needs (such as housing, food, clothing,</w:t>
      </w:r>
      <w:r>
        <w:rPr>
          <w:color w:val="105C84"/>
          <w:spacing w:val="80"/>
          <w:w w:val="150"/>
        </w:rPr>
        <w:t> </w:t>
      </w:r>
      <w:r>
        <w:rPr>
          <w:color w:val="105C84"/>
        </w:rPr>
        <w:t>etc.)</w:t>
      </w:r>
      <w:r>
        <w:rPr>
          <w:color w:val="105C84"/>
          <w:spacing w:val="23"/>
        </w:rPr>
        <w:t> </w:t>
      </w:r>
      <w:r>
        <w:rPr>
          <w:color w:val="105C84"/>
        </w:rPr>
        <w:t>and</w:t>
      </w:r>
      <w:r>
        <w:rPr>
          <w:color w:val="105C84"/>
          <w:spacing w:val="23"/>
        </w:rPr>
        <w:t> </w:t>
      </w:r>
      <w:r>
        <w:rPr>
          <w:color w:val="105C84"/>
        </w:rPr>
        <w:t>preventative</w:t>
      </w:r>
      <w:r>
        <w:rPr>
          <w:color w:val="105C84"/>
          <w:spacing w:val="23"/>
        </w:rPr>
        <w:t> </w:t>
      </w:r>
      <w:r>
        <w:rPr>
          <w:color w:val="105C84"/>
        </w:rPr>
        <w:t>medical</w:t>
      </w:r>
      <w:r>
        <w:rPr>
          <w:color w:val="105C84"/>
          <w:spacing w:val="23"/>
        </w:rPr>
        <w:t> </w:t>
      </w:r>
      <w:r>
        <w:rPr>
          <w:color w:val="105C84"/>
        </w:rPr>
        <w:t>care.</w:t>
      </w:r>
      <w:r>
        <w:rPr>
          <w:color w:val="105C84"/>
          <w:spacing w:val="23"/>
        </w:rPr>
        <w:t> </w:t>
      </w:r>
      <w:r>
        <w:rPr>
          <w:color w:val="105C84"/>
        </w:rPr>
        <w:t>Often,</w:t>
      </w:r>
      <w:r>
        <w:rPr>
          <w:color w:val="105C84"/>
          <w:spacing w:val="23"/>
        </w:rPr>
        <w:t> </w:t>
      </w:r>
      <w:r>
        <w:rPr>
          <w:color w:val="105C84"/>
        </w:rPr>
        <w:t>and</w:t>
      </w:r>
      <w:r>
        <w:rPr>
          <w:color w:val="105C84"/>
          <w:spacing w:val="23"/>
        </w:rPr>
        <w:t> </w:t>
      </w:r>
      <w:r>
        <w:rPr>
          <w:color w:val="105C84"/>
        </w:rPr>
        <w:t>not</w:t>
      </w:r>
      <w:r>
        <w:rPr>
          <w:color w:val="105C84"/>
          <w:spacing w:val="23"/>
        </w:rPr>
        <w:t> </w:t>
      </w:r>
      <w:r>
        <w:rPr>
          <w:color w:val="105C84"/>
        </w:rPr>
        <w:t>surprisingly,</w:t>
      </w:r>
      <w:r>
        <w:rPr>
          <w:color w:val="105C84"/>
          <w:spacing w:val="23"/>
        </w:rPr>
        <w:t> </w:t>
      </w:r>
      <w:r>
        <w:rPr>
          <w:color w:val="105C84"/>
        </w:rPr>
        <w:t>the</w:t>
      </w:r>
      <w:r>
        <w:rPr>
          <w:color w:val="105C84"/>
          <w:spacing w:val="23"/>
        </w:rPr>
        <w:t> </w:t>
      </w:r>
      <w:r>
        <w:rPr>
          <w:color w:val="105C84"/>
        </w:rPr>
        <w:t>person</w:t>
      </w:r>
      <w:r>
        <w:rPr>
          <w:color w:val="105C84"/>
          <w:spacing w:val="23"/>
        </w:rPr>
        <w:t> </w:t>
      </w:r>
      <w:r>
        <w:rPr>
          <w:color w:val="105C84"/>
        </w:rPr>
        <w:t>will</w:t>
      </w:r>
      <w:r>
        <w:rPr>
          <w:color w:val="105C84"/>
          <w:spacing w:val="23"/>
        </w:rPr>
        <w:t> </w:t>
      </w:r>
      <w:r>
        <w:rPr>
          <w:color w:val="105C84"/>
        </w:rPr>
        <w:t>choose</w:t>
      </w:r>
      <w:r>
        <w:rPr>
          <w:color w:val="105C84"/>
          <w:spacing w:val="23"/>
        </w:rPr>
        <w:t> </w:t>
      </w:r>
      <w:r>
        <w:rPr>
          <w:color w:val="105C84"/>
        </w:rPr>
        <w:t>the</w:t>
      </w:r>
      <w:r>
        <w:rPr>
          <w:color w:val="105C84"/>
          <w:spacing w:val="23"/>
        </w:rPr>
        <w:t> </w:t>
      </w:r>
      <w:r>
        <w:rPr>
          <w:color w:val="105C84"/>
        </w:rPr>
        <w:t>basic need</w:t>
      </w:r>
      <w:r>
        <w:rPr>
          <w:color w:val="105C84"/>
          <w:spacing w:val="28"/>
        </w:rPr>
        <w:t> </w:t>
      </w:r>
      <w:r>
        <w:rPr>
          <w:color w:val="105C84"/>
        </w:rPr>
        <w:t>over</w:t>
      </w:r>
      <w:r>
        <w:rPr>
          <w:color w:val="105C84"/>
          <w:spacing w:val="28"/>
        </w:rPr>
        <w:t> </w:t>
      </w:r>
      <w:r>
        <w:rPr>
          <w:color w:val="105C84"/>
        </w:rPr>
        <w:t>preventative</w:t>
      </w:r>
      <w:r>
        <w:rPr>
          <w:color w:val="105C84"/>
          <w:spacing w:val="28"/>
        </w:rPr>
        <w:t> </w:t>
      </w:r>
      <w:r>
        <w:rPr>
          <w:color w:val="105C84"/>
        </w:rPr>
        <w:t>medical</w:t>
      </w:r>
      <w:r>
        <w:rPr>
          <w:color w:val="105C84"/>
          <w:spacing w:val="28"/>
        </w:rPr>
        <w:t> </w:t>
      </w:r>
      <w:r>
        <w:rPr>
          <w:color w:val="105C84"/>
        </w:rPr>
        <w:t>care.</w:t>
      </w:r>
      <w:r>
        <w:rPr>
          <w:color w:val="105C84"/>
          <w:spacing w:val="28"/>
        </w:rPr>
        <w:t> </w:t>
      </w:r>
      <w:r>
        <w:rPr>
          <w:color w:val="105C84"/>
        </w:rPr>
        <w:t>A</w:t>
      </w:r>
      <w:r>
        <w:rPr>
          <w:color w:val="105C84"/>
          <w:spacing w:val="28"/>
        </w:rPr>
        <w:t> </w:t>
      </w:r>
      <w:r>
        <w:rPr>
          <w:color w:val="105C84"/>
        </w:rPr>
        <w:t>community</w:t>
      </w:r>
      <w:r>
        <w:rPr>
          <w:color w:val="105C84"/>
          <w:spacing w:val="28"/>
        </w:rPr>
        <w:t> </w:t>
      </w:r>
      <w:r>
        <w:rPr>
          <w:color w:val="105C84"/>
        </w:rPr>
        <w:t>with</w:t>
      </w:r>
      <w:r>
        <w:rPr>
          <w:color w:val="105C84"/>
          <w:spacing w:val="28"/>
        </w:rPr>
        <w:t> </w:t>
      </w:r>
      <w:r>
        <w:rPr>
          <w:color w:val="105C84"/>
        </w:rPr>
        <w:t>higher</w:t>
      </w:r>
      <w:r>
        <w:rPr>
          <w:color w:val="105C84"/>
          <w:spacing w:val="28"/>
        </w:rPr>
        <w:t> </w:t>
      </w:r>
      <w:r>
        <w:rPr>
          <w:color w:val="105C84"/>
        </w:rPr>
        <w:t>rates</w:t>
      </w:r>
      <w:r>
        <w:rPr>
          <w:color w:val="105C84"/>
          <w:spacing w:val="28"/>
        </w:rPr>
        <w:t> </w:t>
      </w:r>
      <w:r>
        <w:rPr>
          <w:color w:val="105C84"/>
        </w:rPr>
        <w:t>of</w:t>
      </w:r>
      <w:r>
        <w:rPr>
          <w:color w:val="105C84"/>
          <w:spacing w:val="28"/>
        </w:rPr>
        <w:t> </w:t>
      </w:r>
      <w:r>
        <w:rPr>
          <w:color w:val="105C84"/>
        </w:rPr>
        <w:t>impoverished</w:t>
      </w:r>
      <w:r>
        <w:rPr>
          <w:color w:val="105C84"/>
          <w:spacing w:val="28"/>
        </w:rPr>
        <w:t> </w:t>
      </w:r>
      <w:r>
        <w:rPr>
          <w:color w:val="105C84"/>
        </w:rPr>
        <w:t>residents</w:t>
      </w:r>
      <w:r>
        <w:rPr>
          <w:color w:val="105C84"/>
          <w:spacing w:val="28"/>
        </w:rPr>
        <w:t> </w:t>
      </w:r>
      <w:r>
        <w:rPr>
          <w:color w:val="105C84"/>
        </w:rPr>
        <w:t>is likely to have worse health outcomes than wealthier communities.</w:t>
      </w:r>
    </w:p>
    <w:p>
      <w:pPr>
        <w:pStyle w:val="BodyText"/>
        <w:spacing w:before="15"/>
      </w:pPr>
    </w:p>
    <w:p>
      <w:pPr>
        <w:pStyle w:val="Heading5"/>
        <w:ind w:left="1070"/>
      </w:pPr>
      <w:r>
        <w:rPr>
          <w:color w:val="32BCAA"/>
          <w:spacing w:val="-2"/>
        </w:rPr>
        <w:t>EDUCATION:</w:t>
      </w:r>
    </w:p>
    <w:p>
      <w:pPr>
        <w:pStyle w:val="BodyText"/>
        <w:spacing w:line="247" w:lineRule="auto" w:before="86"/>
        <w:ind w:left="1065" w:right="535"/>
      </w:pPr>
      <w:r>
        <w:rPr>
          <w:color w:val="105C84"/>
        </w:rPr>
        <w:t>Education levels have been known to be a predictor of life expectancy. The Centers for Disease Control and Prevention reports that adults aged 25 without a high school diploma can expect to die</w:t>
      </w:r>
      <w:r>
        <w:rPr>
          <w:color w:val="105C84"/>
          <w:spacing w:val="80"/>
        </w:rPr>
        <w:t> </w:t>
      </w:r>
      <w:r>
        <w:rPr>
          <w:color w:val="105C84"/>
        </w:rPr>
        <w:t>nine years sooner than college graduates. Persons who attain higher education levels are more likely to seek health care, preventative care services, and earn higher wages. A more educated community may, therefore, have better health outcomes than a low educated community.</w:t>
      </w:r>
    </w:p>
    <w:p>
      <w:pPr>
        <w:pStyle w:val="BodyText"/>
        <w:spacing w:before="17"/>
      </w:pPr>
    </w:p>
    <w:p>
      <w:pPr>
        <w:pStyle w:val="Heading5"/>
        <w:ind w:left="1070"/>
      </w:pPr>
      <w:r>
        <w:rPr>
          <w:color w:val="32BCAA"/>
          <w:spacing w:val="-2"/>
        </w:rPr>
        <w:t>HOUSING:</w:t>
      </w:r>
    </w:p>
    <w:p>
      <w:pPr>
        <w:pStyle w:val="BodyText"/>
        <w:spacing w:line="247" w:lineRule="auto" w:before="86"/>
        <w:ind w:left="1065" w:right="412"/>
      </w:pPr>
      <w:r>
        <w:rPr>
          <w:color w:val="105C84"/>
        </w:rPr>
        <w:t>Access to quality and affordable housing is imperative to ensuring basic needs are met. Housing structures that are safe, clean, up to code and affordable help to improve community health. When</w:t>
      </w:r>
      <w:r>
        <w:rPr>
          <w:color w:val="105C84"/>
          <w:spacing w:val="40"/>
        </w:rPr>
        <w:t> </w:t>
      </w:r>
      <w:r>
        <w:rPr>
          <w:color w:val="105C84"/>
        </w:rPr>
        <w:t>incomes are consumed on rent or mortgages, residents may lack funds for preventative care services, medications, and healthy foods. Additionally, outdated, substandard housing puts tenants at risk for</w:t>
      </w:r>
      <w:r>
        <w:rPr>
          <w:color w:val="105C84"/>
          <w:spacing w:val="40"/>
        </w:rPr>
        <w:t> </w:t>
      </w:r>
      <w:r>
        <w:rPr>
          <w:color w:val="105C84"/>
        </w:rPr>
        <w:t>asthma and lead poisoning (especially children).</w:t>
      </w:r>
    </w:p>
    <w:p>
      <w:pPr>
        <w:pStyle w:val="BodyText"/>
        <w:spacing w:line="247" w:lineRule="auto" w:before="177"/>
        <w:ind w:left="1065" w:right="714"/>
      </w:pPr>
      <w:r>
        <w:rPr>
          <w:color w:val="105C84"/>
        </w:rPr>
        <w:t>Each of the above indicators impacts the health of the community. The next several sections take a closer look at these demographic and socioeconomic indicators but also include a review of county</w:t>
      </w:r>
      <w:r>
        <w:rPr>
          <w:color w:val="105C84"/>
          <w:spacing w:val="40"/>
        </w:rPr>
        <w:t> </w:t>
      </w:r>
      <w:r>
        <w:rPr>
          <w:color w:val="105C84"/>
        </w:rPr>
        <w:t>level behavioral and political environments impacting the health of residents. Finally, each chapter</w:t>
      </w:r>
      <w:r>
        <w:rPr>
          <w:color w:val="105C84"/>
          <w:spacing w:val="80"/>
        </w:rPr>
        <w:t> </w:t>
      </w:r>
      <w:r>
        <w:rPr>
          <w:color w:val="105C84"/>
        </w:rPr>
        <w:t>will highlight the community assets and resources that may be leveraged to improve health through</w:t>
      </w:r>
      <w:r>
        <w:rPr>
          <w:color w:val="105C84"/>
          <w:spacing w:val="40"/>
        </w:rPr>
        <w:t> </w:t>
      </w:r>
      <w:r>
        <w:rPr>
          <w:color w:val="105C84"/>
        </w:rPr>
        <w:t>identified evidence-based interventions.</w:t>
      </w:r>
    </w:p>
    <w:p>
      <w:pPr>
        <w:pStyle w:val="BodyText"/>
        <w:spacing w:after="0" w:line="247" w:lineRule="auto"/>
        <w:sectPr>
          <w:type w:val="continuous"/>
          <w:pgSz w:w="24480" w:h="15840" w:orient="landscape"/>
          <w:pgMar w:header="0" w:footer="0" w:top="0" w:bottom="280" w:left="0" w:right="720"/>
          <w:cols w:num="2" w:equalWidth="0">
            <w:col w:w="11187" w:space="1067"/>
            <w:col w:w="11506"/>
          </w:cols>
        </w:sectPr>
      </w:pPr>
    </w:p>
    <w:p>
      <w:pPr>
        <w:pStyle w:val="BodyText"/>
        <w:rPr>
          <w:sz w:val="14"/>
        </w:rPr>
      </w:pPr>
      <w:r>
        <w:rPr>
          <w:sz w:val="14"/>
        </w:rPr>
        <w:drawing>
          <wp:anchor distT="0" distB="0" distL="0" distR="0" allowOverlap="1" layoutInCell="1" locked="0" behindDoc="0" simplePos="0" relativeHeight="15773696">
            <wp:simplePos x="0" y="0"/>
            <wp:positionH relativeFrom="page">
              <wp:posOffset>14981556</wp:posOffset>
            </wp:positionH>
            <wp:positionV relativeFrom="page">
              <wp:posOffset>9668103</wp:posOffset>
            </wp:positionV>
            <wp:extent cx="563245" cy="184683"/>
            <wp:effectExtent l="0" t="0" r="0" b="0"/>
            <wp:wrapNone/>
            <wp:docPr id="464" name="Image 464"/>
            <wp:cNvGraphicFramePr>
              <a:graphicFrameLocks/>
            </wp:cNvGraphicFramePr>
            <a:graphic>
              <a:graphicData uri="http://schemas.openxmlformats.org/drawingml/2006/picture">
                <pic:pic>
                  <pic:nvPicPr>
                    <pic:cNvPr id="464" name="Image 464"/>
                    <pic:cNvPicPr/>
                  </pic:nvPicPr>
                  <pic:blipFill>
                    <a:blip r:embed="rId38" cstate="print"/>
                    <a:stretch>
                      <a:fillRect/>
                    </a:stretch>
                  </pic:blipFill>
                  <pic:spPr>
                    <a:xfrm>
                      <a:off x="0" y="0"/>
                      <a:ext cx="563245" cy="184683"/>
                    </a:xfrm>
                    <a:prstGeom prst="rect">
                      <a:avLst/>
                    </a:prstGeom>
                  </pic:spPr>
                </pic:pic>
              </a:graphicData>
            </a:graphic>
          </wp:anchor>
        </w:drawing>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122"/>
        <w:rPr>
          <w:sz w:val="14"/>
        </w:rPr>
      </w:pPr>
    </w:p>
    <w:p>
      <w:pPr>
        <w:pStyle w:val="ListParagraph"/>
        <w:numPr>
          <w:ilvl w:val="0"/>
          <w:numId w:val="14"/>
        </w:numPr>
        <w:tabs>
          <w:tab w:pos="4220" w:val="left" w:leader="none"/>
        </w:tabs>
        <w:spacing w:line="240" w:lineRule="auto" w:before="0" w:after="0"/>
        <w:ind w:left="4003" w:right="12658" w:firstLine="0"/>
        <w:jc w:val="left"/>
        <w:rPr>
          <w:sz w:val="14"/>
        </w:rPr>
      </w:pPr>
      <w:r>
        <w:rPr>
          <w:color w:val="636466"/>
          <w:sz w:val="14"/>
        </w:rPr>
        <w:t>Common</w:t>
      </w:r>
      <w:r>
        <w:rPr>
          <w:color w:val="636466"/>
          <w:spacing w:val="-3"/>
          <w:sz w:val="14"/>
        </w:rPr>
        <w:t> </w:t>
      </w:r>
      <w:r>
        <w:rPr>
          <w:color w:val="636466"/>
          <w:sz w:val="14"/>
        </w:rPr>
        <w:t>Ground</w:t>
      </w:r>
      <w:r>
        <w:rPr>
          <w:color w:val="636466"/>
          <w:spacing w:val="-3"/>
          <w:sz w:val="14"/>
        </w:rPr>
        <w:t> </w:t>
      </w:r>
      <w:r>
        <w:rPr>
          <w:color w:val="636466"/>
          <w:sz w:val="14"/>
        </w:rPr>
        <w:t>Health</w:t>
      </w:r>
      <w:r>
        <w:rPr>
          <w:color w:val="636466"/>
          <w:spacing w:val="-3"/>
          <w:sz w:val="14"/>
        </w:rPr>
        <w:t> </w:t>
      </w:r>
      <w:r>
        <w:rPr>
          <w:color w:val="636466"/>
          <w:sz w:val="14"/>
        </w:rPr>
        <w:t>services</w:t>
      </w:r>
      <w:r>
        <w:rPr>
          <w:color w:val="636466"/>
          <w:spacing w:val="-3"/>
          <w:sz w:val="14"/>
        </w:rPr>
        <w:t> </w:t>
      </w:r>
      <w:r>
        <w:rPr>
          <w:color w:val="636466"/>
          <w:sz w:val="14"/>
        </w:rPr>
        <w:t>nine</w:t>
      </w:r>
      <w:r>
        <w:rPr>
          <w:color w:val="636466"/>
          <w:spacing w:val="-3"/>
          <w:sz w:val="14"/>
        </w:rPr>
        <w:t> </w:t>
      </w:r>
      <w:r>
        <w:rPr>
          <w:color w:val="636466"/>
          <w:sz w:val="14"/>
        </w:rPr>
        <w:t>counties</w:t>
      </w:r>
      <w:r>
        <w:rPr>
          <w:color w:val="636466"/>
          <w:spacing w:val="-3"/>
          <w:sz w:val="14"/>
        </w:rPr>
        <w:t> </w:t>
      </w:r>
      <w:r>
        <w:rPr>
          <w:color w:val="636466"/>
          <w:sz w:val="14"/>
        </w:rPr>
        <w:t>in</w:t>
      </w:r>
      <w:r>
        <w:rPr>
          <w:color w:val="636466"/>
          <w:spacing w:val="-3"/>
          <w:sz w:val="14"/>
        </w:rPr>
        <w:t> </w:t>
      </w:r>
      <w:r>
        <w:rPr>
          <w:color w:val="636466"/>
          <w:sz w:val="14"/>
        </w:rPr>
        <w:t>the</w:t>
      </w:r>
      <w:r>
        <w:rPr>
          <w:color w:val="636466"/>
          <w:spacing w:val="-3"/>
          <w:sz w:val="14"/>
        </w:rPr>
        <w:t> </w:t>
      </w:r>
      <w:r>
        <w:rPr>
          <w:color w:val="636466"/>
          <w:sz w:val="14"/>
        </w:rPr>
        <w:t>Finger</w:t>
      </w:r>
      <w:r>
        <w:rPr>
          <w:color w:val="636466"/>
          <w:spacing w:val="-3"/>
          <w:sz w:val="14"/>
        </w:rPr>
        <w:t> </w:t>
      </w:r>
      <w:r>
        <w:rPr>
          <w:color w:val="636466"/>
          <w:sz w:val="14"/>
        </w:rPr>
        <w:t>Lakes</w:t>
      </w:r>
      <w:r>
        <w:rPr>
          <w:color w:val="636466"/>
          <w:spacing w:val="-3"/>
          <w:sz w:val="14"/>
        </w:rPr>
        <w:t> </w:t>
      </w:r>
      <w:r>
        <w:rPr>
          <w:color w:val="636466"/>
          <w:sz w:val="14"/>
        </w:rPr>
        <w:t>region.</w:t>
      </w:r>
      <w:r>
        <w:rPr>
          <w:color w:val="636466"/>
          <w:spacing w:val="-3"/>
          <w:sz w:val="14"/>
        </w:rPr>
        <w:t> </w:t>
      </w:r>
      <w:r>
        <w:rPr>
          <w:color w:val="636466"/>
          <w:sz w:val="14"/>
        </w:rPr>
        <w:t>For</w:t>
      </w:r>
      <w:r>
        <w:rPr>
          <w:color w:val="636466"/>
          <w:spacing w:val="-3"/>
          <w:sz w:val="14"/>
        </w:rPr>
        <w:t> </w:t>
      </w:r>
      <w:r>
        <w:rPr>
          <w:color w:val="636466"/>
          <w:sz w:val="14"/>
        </w:rPr>
        <w:t>the</w:t>
      </w:r>
      <w:r>
        <w:rPr>
          <w:color w:val="636466"/>
          <w:spacing w:val="-3"/>
          <w:sz w:val="14"/>
        </w:rPr>
        <w:t> </w:t>
      </w:r>
      <w:r>
        <w:rPr>
          <w:color w:val="636466"/>
          <w:sz w:val="14"/>
        </w:rPr>
        <w:t>purposes</w:t>
      </w:r>
      <w:r>
        <w:rPr>
          <w:color w:val="636466"/>
          <w:spacing w:val="-3"/>
          <w:sz w:val="14"/>
        </w:rPr>
        <w:t> </w:t>
      </w:r>
      <w:r>
        <w:rPr>
          <w:color w:val="636466"/>
          <w:sz w:val="14"/>
        </w:rPr>
        <w:t>of</w:t>
      </w:r>
      <w:r>
        <w:rPr>
          <w:color w:val="636466"/>
          <w:spacing w:val="-3"/>
          <w:sz w:val="14"/>
        </w:rPr>
        <w:t> </w:t>
      </w:r>
      <w:r>
        <w:rPr>
          <w:color w:val="636466"/>
          <w:sz w:val="14"/>
        </w:rPr>
        <w:t>this</w:t>
      </w:r>
      <w:r>
        <w:rPr>
          <w:color w:val="636466"/>
          <w:spacing w:val="-3"/>
          <w:sz w:val="14"/>
        </w:rPr>
        <w:t> </w:t>
      </w:r>
      <w:r>
        <w:rPr>
          <w:color w:val="636466"/>
          <w:sz w:val="14"/>
        </w:rPr>
        <w:t>Community</w:t>
      </w:r>
      <w:r>
        <w:rPr>
          <w:color w:val="636466"/>
          <w:spacing w:val="40"/>
          <w:sz w:val="14"/>
        </w:rPr>
        <w:t> </w:t>
      </w:r>
      <w:r>
        <w:rPr>
          <w:color w:val="636466"/>
          <w:sz w:val="14"/>
        </w:rPr>
        <w:t>Health Assessment, Monroe County was excluded from data analysis.</w:t>
      </w:r>
    </w:p>
    <w:p>
      <w:pPr>
        <w:pStyle w:val="ListParagraph"/>
        <w:numPr>
          <w:ilvl w:val="0"/>
          <w:numId w:val="14"/>
        </w:numPr>
        <w:tabs>
          <w:tab w:pos="4220" w:val="left" w:leader="none"/>
        </w:tabs>
        <w:spacing w:line="240" w:lineRule="auto" w:before="88" w:after="0"/>
        <w:ind w:left="4003" w:right="12723" w:firstLine="0"/>
        <w:jc w:val="left"/>
        <w:rPr>
          <w:sz w:val="14"/>
        </w:rPr>
      </w:pPr>
      <w:r>
        <w:rPr>
          <w:sz w:val="14"/>
        </w:rPr>
        <w:drawing>
          <wp:anchor distT="0" distB="0" distL="0" distR="0" allowOverlap="1" layoutInCell="1" locked="0" behindDoc="0" simplePos="0" relativeHeight="15774208">
            <wp:simplePos x="0" y="0"/>
            <wp:positionH relativeFrom="page">
              <wp:posOffset>0</wp:posOffset>
            </wp:positionH>
            <wp:positionV relativeFrom="paragraph">
              <wp:posOffset>79593</wp:posOffset>
            </wp:positionV>
            <wp:extent cx="568172" cy="184683"/>
            <wp:effectExtent l="0" t="0" r="0" b="0"/>
            <wp:wrapNone/>
            <wp:docPr id="465" name="Image 465"/>
            <wp:cNvGraphicFramePr>
              <a:graphicFrameLocks/>
            </wp:cNvGraphicFramePr>
            <a:graphic>
              <a:graphicData uri="http://schemas.openxmlformats.org/drawingml/2006/picture">
                <pic:pic>
                  <pic:nvPicPr>
                    <pic:cNvPr id="465" name="Image 465"/>
                    <pic:cNvPicPr/>
                  </pic:nvPicPr>
                  <pic:blipFill>
                    <a:blip r:embed="rId39" cstate="print"/>
                    <a:stretch>
                      <a:fillRect/>
                    </a:stretch>
                  </pic:blipFill>
                  <pic:spPr>
                    <a:xfrm>
                      <a:off x="0" y="0"/>
                      <a:ext cx="568172" cy="184683"/>
                    </a:xfrm>
                    <a:prstGeom prst="rect">
                      <a:avLst/>
                    </a:prstGeom>
                  </pic:spPr>
                </pic:pic>
              </a:graphicData>
            </a:graphic>
          </wp:anchor>
        </w:drawing>
      </w:r>
      <w:r>
        <w:rPr>
          <w:sz w:val="14"/>
        </w:rPr>
        <mc:AlternateContent>
          <mc:Choice Requires="wps">
            <w:drawing>
              <wp:anchor distT="0" distB="0" distL="0" distR="0" allowOverlap="1" layoutInCell="1" locked="0" behindDoc="0" simplePos="0" relativeHeight="15774720">
                <wp:simplePos x="0" y="0"/>
                <wp:positionH relativeFrom="page">
                  <wp:posOffset>672186</wp:posOffset>
                </wp:positionH>
                <wp:positionV relativeFrom="paragraph">
                  <wp:posOffset>67554</wp:posOffset>
                </wp:positionV>
                <wp:extent cx="195580" cy="226060"/>
                <wp:effectExtent l="0" t="0" r="0" b="0"/>
                <wp:wrapNone/>
                <wp:docPr id="466" name="Textbox 466"/>
                <wp:cNvGraphicFramePr>
                  <a:graphicFrameLocks/>
                </wp:cNvGraphicFramePr>
                <a:graphic>
                  <a:graphicData uri="http://schemas.microsoft.com/office/word/2010/wordprocessingShape">
                    <wps:wsp>
                      <wps:cNvPr id="466" name="Textbox 466"/>
                      <wps:cNvSpPr txBox="1"/>
                      <wps:spPr>
                        <a:xfrm>
                          <a:off x="0" y="0"/>
                          <a:ext cx="195580" cy="226060"/>
                        </a:xfrm>
                        <a:prstGeom prst="rect">
                          <a:avLst/>
                        </a:prstGeom>
                      </wps:spPr>
                      <wps:txbx>
                        <w:txbxContent>
                          <w:p>
                            <w:pPr>
                              <w:spacing w:before="16"/>
                              <w:ind w:left="0" w:right="0" w:firstLine="0"/>
                              <w:jc w:val="left"/>
                              <w:rPr>
                                <w:b/>
                                <w:sz w:val="26"/>
                              </w:rPr>
                            </w:pPr>
                            <w:r>
                              <w:rPr>
                                <w:b/>
                                <w:color w:val="939598"/>
                                <w:spacing w:val="-5"/>
                                <w:w w:val="105"/>
                                <w:sz w:val="26"/>
                              </w:rPr>
                              <w:t>35</w:t>
                            </w:r>
                          </w:p>
                        </w:txbxContent>
                      </wps:txbx>
                      <wps:bodyPr wrap="square" lIns="0" tIns="0" rIns="0" bIns="0" rtlCol="0">
                        <a:noAutofit/>
                      </wps:bodyPr>
                    </wps:wsp>
                  </a:graphicData>
                </a:graphic>
              </wp:anchor>
            </w:drawing>
          </mc:Choice>
          <mc:Fallback>
            <w:pict>
              <v:shape style="position:absolute;margin-left:52.928101pt;margin-top:5.319243pt;width:15.4pt;height:17.8pt;mso-position-horizontal-relative:page;mso-position-vertical-relative:paragraph;z-index:15774720" type="#_x0000_t202" id="docshape411" filled="false" stroked="false">
                <v:textbox inset="0,0,0,0">
                  <w:txbxContent>
                    <w:p>
                      <w:pPr>
                        <w:spacing w:before="16"/>
                        <w:ind w:left="0" w:right="0" w:firstLine="0"/>
                        <w:jc w:val="left"/>
                        <w:rPr>
                          <w:b/>
                          <w:sz w:val="26"/>
                        </w:rPr>
                      </w:pPr>
                      <w:r>
                        <w:rPr>
                          <w:b/>
                          <w:color w:val="939598"/>
                          <w:spacing w:val="-5"/>
                          <w:w w:val="105"/>
                          <w:sz w:val="26"/>
                        </w:rPr>
                        <w:t>35</w:t>
                      </w:r>
                    </w:p>
                  </w:txbxContent>
                </v:textbox>
                <w10:wrap type="none"/>
              </v:shape>
            </w:pict>
          </mc:Fallback>
        </mc:AlternateContent>
      </w:r>
      <w:r>
        <w:rPr>
          <w:sz w:val="14"/>
        </w:rPr>
        <mc:AlternateContent>
          <mc:Choice Requires="wps">
            <w:drawing>
              <wp:anchor distT="0" distB="0" distL="0" distR="0" allowOverlap="1" layoutInCell="1" locked="0" behindDoc="0" simplePos="0" relativeHeight="15775232">
                <wp:simplePos x="0" y="0"/>
                <wp:positionH relativeFrom="page">
                  <wp:posOffset>14698495</wp:posOffset>
                </wp:positionH>
                <wp:positionV relativeFrom="paragraph">
                  <wp:posOffset>67554</wp:posOffset>
                </wp:positionV>
                <wp:extent cx="195580" cy="226060"/>
                <wp:effectExtent l="0" t="0" r="0" b="0"/>
                <wp:wrapNone/>
                <wp:docPr id="467" name="Textbox 467"/>
                <wp:cNvGraphicFramePr>
                  <a:graphicFrameLocks/>
                </wp:cNvGraphicFramePr>
                <a:graphic>
                  <a:graphicData uri="http://schemas.microsoft.com/office/word/2010/wordprocessingShape">
                    <wps:wsp>
                      <wps:cNvPr id="467" name="Textbox 467"/>
                      <wps:cNvSpPr txBox="1"/>
                      <wps:spPr>
                        <a:xfrm>
                          <a:off x="0" y="0"/>
                          <a:ext cx="195580" cy="226060"/>
                        </a:xfrm>
                        <a:prstGeom prst="rect">
                          <a:avLst/>
                        </a:prstGeom>
                      </wps:spPr>
                      <wps:txbx>
                        <w:txbxContent>
                          <w:p>
                            <w:pPr>
                              <w:spacing w:before="16"/>
                              <w:ind w:left="0" w:right="0" w:firstLine="0"/>
                              <w:jc w:val="left"/>
                              <w:rPr>
                                <w:b/>
                                <w:sz w:val="26"/>
                              </w:rPr>
                            </w:pPr>
                            <w:r>
                              <w:rPr>
                                <w:b/>
                                <w:color w:val="939598"/>
                                <w:spacing w:val="-5"/>
                                <w:w w:val="105"/>
                                <w:sz w:val="26"/>
                              </w:rPr>
                              <w:t>36</w:t>
                            </w:r>
                          </w:p>
                        </w:txbxContent>
                      </wps:txbx>
                      <wps:bodyPr wrap="square" lIns="0" tIns="0" rIns="0" bIns="0" rtlCol="0">
                        <a:noAutofit/>
                      </wps:bodyPr>
                    </wps:wsp>
                  </a:graphicData>
                </a:graphic>
              </wp:anchor>
            </w:drawing>
          </mc:Choice>
          <mc:Fallback>
            <w:pict>
              <v:shape style="position:absolute;margin-left:1157.361816pt;margin-top:5.319243pt;width:15.4pt;height:17.8pt;mso-position-horizontal-relative:page;mso-position-vertical-relative:paragraph;z-index:15775232" type="#_x0000_t202" id="docshape412" filled="false" stroked="false">
                <v:textbox inset="0,0,0,0">
                  <w:txbxContent>
                    <w:p>
                      <w:pPr>
                        <w:spacing w:before="16"/>
                        <w:ind w:left="0" w:right="0" w:firstLine="0"/>
                        <w:jc w:val="left"/>
                        <w:rPr>
                          <w:b/>
                          <w:sz w:val="26"/>
                        </w:rPr>
                      </w:pPr>
                      <w:r>
                        <w:rPr>
                          <w:b/>
                          <w:color w:val="939598"/>
                          <w:spacing w:val="-5"/>
                          <w:w w:val="105"/>
                          <w:sz w:val="26"/>
                        </w:rPr>
                        <w:t>36</w:t>
                      </w:r>
                    </w:p>
                  </w:txbxContent>
                </v:textbox>
                <w10:wrap type="none"/>
              </v:shape>
            </w:pict>
          </mc:Fallback>
        </mc:AlternateContent>
      </w:r>
      <w:r>
        <w:rPr>
          <w:color w:val="636466"/>
          <w:sz w:val="14"/>
        </w:rPr>
        <w:t>The majority of survey respondents were middle aged white women. Common Ground Health staff performed</w:t>
      </w:r>
      <w:r>
        <w:rPr>
          <w:color w:val="636466"/>
          <w:spacing w:val="40"/>
          <w:sz w:val="14"/>
        </w:rPr>
        <w:t> </w:t>
      </w:r>
      <w:r>
        <w:rPr>
          <w:color w:val="636466"/>
          <w:sz w:val="14"/>
        </w:rPr>
        <w:t>weighting calibration to align with each county’s actual demographics, though, results may be biased.</w:t>
      </w:r>
    </w:p>
    <w:p>
      <w:pPr>
        <w:pStyle w:val="ListParagraph"/>
        <w:spacing w:after="0" w:line="240" w:lineRule="auto"/>
        <w:jc w:val="left"/>
        <w:rPr>
          <w:sz w:val="14"/>
        </w:rPr>
        <w:sectPr>
          <w:type w:val="continuous"/>
          <w:pgSz w:w="24480" w:h="15840" w:orient="landscape"/>
          <w:pgMar w:header="0" w:footer="0" w:top="0" w:bottom="280" w:left="0" w:right="720"/>
        </w:sectPr>
      </w:pPr>
    </w:p>
    <w:p>
      <w:pPr>
        <w:pStyle w:val="BodyText"/>
        <w:rPr>
          <w:sz w:val="20"/>
        </w:rPr>
      </w:pPr>
    </w:p>
    <w:p>
      <w:pPr>
        <w:pStyle w:val="BodyText"/>
        <w:spacing w:before="16"/>
        <w:rPr>
          <w:sz w:val="20"/>
        </w:rPr>
      </w:pPr>
    </w:p>
    <w:p>
      <w:pPr>
        <w:pStyle w:val="BodyText"/>
        <w:spacing w:after="0"/>
        <w:rPr>
          <w:sz w:val="20"/>
        </w:rPr>
        <w:sectPr>
          <w:headerReference w:type="default" r:id="rId60"/>
          <w:pgSz w:w="24480" w:h="15840" w:orient="landscape"/>
          <w:pgMar w:header="0" w:footer="0" w:top="860" w:bottom="0" w:left="0" w:right="720"/>
        </w:sectPr>
      </w:pPr>
    </w:p>
    <w:p>
      <w:pPr>
        <w:pStyle w:val="Heading3"/>
        <w:spacing w:before="120"/>
        <w:ind w:left="1080"/>
      </w:pPr>
      <w:bookmarkStart w:name="_TOC_250015" w:id="4"/>
      <w:r>
        <w:rPr>
          <w:color w:val="82BF6A"/>
        </w:rPr>
        <w:t>CHEMUNG</w:t>
      </w:r>
      <w:r>
        <w:rPr>
          <w:color w:val="82BF6A"/>
          <w:spacing w:val="21"/>
        </w:rPr>
        <w:t> </w:t>
      </w:r>
      <w:bookmarkEnd w:id="4"/>
      <w:r>
        <w:rPr>
          <w:color w:val="82BF6A"/>
          <w:spacing w:val="-2"/>
        </w:rPr>
        <w:t>COUNTY</w:t>
      </w:r>
    </w:p>
    <w:p>
      <w:pPr>
        <w:pStyle w:val="Heading6"/>
        <w:spacing w:before="258"/>
      </w:pPr>
      <w:r>
        <w:rPr>
          <w:color w:val="105C84"/>
          <w:spacing w:val="-6"/>
        </w:rPr>
        <w:t>Demographic</w:t>
      </w:r>
      <w:r>
        <w:rPr>
          <w:color w:val="105C84"/>
          <w:spacing w:val="-8"/>
        </w:rPr>
        <w:t> </w:t>
      </w:r>
      <w:r>
        <w:rPr>
          <w:color w:val="105C84"/>
          <w:spacing w:val="-6"/>
        </w:rPr>
        <w:t>and</w:t>
      </w:r>
      <w:r>
        <w:rPr>
          <w:color w:val="105C84"/>
          <w:spacing w:val="-8"/>
        </w:rPr>
        <w:t> </w:t>
      </w:r>
      <w:r>
        <w:rPr>
          <w:color w:val="105C84"/>
          <w:spacing w:val="-6"/>
        </w:rPr>
        <w:t>Socioeconomic</w:t>
      </w:r>
      <w:r>
        <w:rPr>
          <w:color w:val="105C84"/>
          <w:spacing w:val="-8"/>
        </w:rPr>
        <w:t> </w:t>
      </w:r>
      <w:r>
        <w:rPr>
          <w:color w:val="105C84"/>
          <w:spacing w:val="-6"/>
        </w:rPr>
        <w:t>Health</w:t>
      </w:r>
      <w:r>
        <w:rPr>
          <w:color w:val="105C84"/>
          <w:spacing w:val="-7"/>
        </w:rPr>
        <w:t> </w:t>
      </w:r>
      <w:r>
        <w:rPr>
          <w:color w:val="105C84"/>
          <w:spacing w:val="-6"/>
        </w:rPr>
        <w:t>Indicators</w:t>
      </w:r>
    </w:p>
    <w:p>
      <w:pPr>
        <w:pStyle w:val="BodyText"/>
        <w:spacing w:line="247" w:lineRule="auto" w:before="113"/>
        <w:ind w:left="1080" w:right="575"/>
      </w:pPr>
      <w:r>
        <w:rPr/>
        <w:br w:type="column"/>
      </w:r>
      <w:r>
        <w:rPr>
          <w:color w:val="105C84"/>
        </w:rPr>
        <w:t>Over the past 5 years, there has been a shift in educational attainment where there are more residents aged 25+ with a Bachelor’s degree or higher than in years past (Figure 17).</w:t>
      </w:r>
    </w:p>
    <w:p>
      <w:pPr>
        <w:pStyle w:val="BodyText"/>
        <w:spacing w:before="19"/>
      </w:pPr>
    </w:p>
    <w:p>
      <w:pPr>
        <w:pStyle w:val="Heading6"/>
      </w:pPr>
      <w:r>
        <w:rPr>
          <w:color w:val="105C84"/>
          <w:spacing w:val="-2"/>
        </w:rPr>
        <w:t>FIGURE</w:t>
      </w:r>
      <w:r>
        <w:rPr>
          <w:color w:val="105C84"/>
          <w:spacing w:val="-16"/>
        </w:rPr>
        <w:t> </w:t>
      </w:r>
      <w:r>
        <w:rPr>
          <w:color w:val="105C84"/>
          <w:spacing w:val="-2"/>
        </w:rPr>
        <w:t>17:</w:t>
      </w:r>
      <w:r>
        <w:rPr>
          <w:color w:val="105C84"/>
          <w:spacing w:val="-15"/>
        </w:rPr>
        <w:t> </w:t>
      </w:r>
      <w:r>
        <w:rPr>
          <w:color w:val="105C84"/>
          <w:spacing w:val="-2"/>
        </w:rPr>
        <w:t>Educational</w:t>
      </w:r>
      <w:r>
        <w:rPr>
          <w:color w:val="105C84"/>
          <w:spacing w:val="-15"/>
        </w:rPr>
        <w:t> </w:t>
      </w:r>
      <w:r>
        <w:rPr>
          <w:color w:val="105C84"/>
          <w:spacing w:val="-2"/>
        </w:rPr>
        <w:t>attainment</w:t>
      </w:r>
      <w:r>
        <w:rPr>
          <w:color w:val="105C84"/>
          <w:spacing w:val="-15"/>
        </w:rPr>
        <w:t> </w:t>
      </w:r>
      <w:r>
        <w:rPr>
          <w:color w:val="105C84"/>
          <w:spacing w:val="-2"/>
        </w:rPr>
        <w:t>for</w:t>
      </w:r>
      <w:r>
        <w:rPr>
          <w:color w:val="105C84"/>
          <w:spacing w:val="-16"/>
        </w:rPr>
        <w:t> </w:t>
      </w:r>
      <w:r>
        <w:rPr>
          <w:color w:val="105C84"/>
          <w:spacing w:val="-2"/>
        </w:rPr>
        <w:t>Chemung</w:t>
      </w:r>
      <w:r>
        <w:rPr>
          <w:color w:val="105C84"/>
          <w:spacing w:val="-15"/>
        </w:rPr>
        <w:t> </w:t>
      </w:r>
      <w:r>
        <w:rPr>
          <w:color w:val="105C84"/>
          <w:spacing w:val="-2"/>
        </w:rPr>
        <w:t>County</w:t>
      </w:r>
      <w:r>
        <w:rPr>
          <w:color w:val="105C84"/>
          <w:spacing w:val="-15"/>
        </w:rPr>
        <w:t> </w:t>
      </w:r>
      <w:r>
        <w:rPr>
          <w:color w:val="105C84"/>
          <w:spacing w:val="-2"/>
        </w:rPr>
        <w:t>by</w:t>
      </w:r>
      <w:r>
        <w:rPr>
          <w:color w:val="105C84"/>
          <w:spacing w:val="-15"/>
        </w:rPr>
        <w:t> </w:t>
      </w:r>
      <w:r>
        <w:rPr>
          <w:color w:val="105C84"/>
          <w:spacing w:val="-4"/>
        </w:rPr>
        <w:t>year</w:t>
      </w:r>
    </w:p>
    <w:p>
      <w:pPr>
        <w:pStyle w:val="Heading6"/>
        <w:spacing w:after="0"/>
        <w:sectPr>
          <w:type w:val="continuous"/>
          <w:pgSz w:w="24480" w:h="15840" w:orient="landscape"/>
          <w:pgMar w:header="0" w:footer="0" w:top="0" w:bottom="280" w:left="0" w:right="720"/>
          <w:cols w:num="2" w:equalWidth="0">
            <w:col w:w="7247" w:space="5008"/>
            <w:col w:w="11505"/>
          </w:cols>
        </w:sectPr>
      </w:pPr>
    </w:p>
    <w:p>
      <w:pPr>
        <w:pStyle w:val="BodyText"/>
        <w:spacing w:line="247" w:lineRule="auto" w:before="198"/>
        <w:ind w:left="1080" w:right="156"/>
        <w:rPr>
          <w:position w:val="7"/>
          <w:sz w:val="13"/>
        </w:rPr>
      </w:pPr>
      <w:r>
        <w:rPr>
          <w:color w:val="105C84"/>
        </w:rPr>
        <w:t>Chemung County is home to one city, eleven towns and five villages and is located in the</w:t>
      </w:r>
      <w:r>
        <w:rPr>
          <w:color w:val="105C84"/>
          <w:spacing w:val="80"/>
        </w:rPr>
        <w:t> </w:t>
      </w:r>
      <w:r>
        <w:rPr>
          <w:color w:val="105C84"/>
        </w:rPr>
        <w:t>southeastern border of the Finger Lakes region. It borders the New York/Pennsylvania state line and has an estimated 86,883 residents. The majority of its residents (88%) are White Non-Hispanic and</w:t>
      </w:r>
      <w:r>
        <w:rPr>
          <w:color w:val="105C84"/>
          <w:spacing w:val="80"/>
        </w:rPr>
        <w:t> </w:t>
      </w:r>
      <w:r>
        <w:rPr>
          <w:color w:val="105C84"/>
        </w:rPr>
        <w:t>the population is heavily centered in the City of Elmira. It is estimated that 16% of the population are</w:t>
      </w:r>
      <w:r>
        <w:rPr>
          <w:color w:val="105C84"/>
          <w:spacing w:val="80"/>
        </w:rPr>
        <w:t> </w:t>
      </w:r>
      <w:r>
        <w:rPr>
          <w:color w:val="105C84"/>
        </w:rPr>
        <w:t>women</w:t>
      </w:r>
      <w:r>
        <w:rPr>
          <w:color w:val="105C84"/>
          <w:spacing w:val="26"/>
        </w:rPr>
        <w:t> </w:t>
      </w:r>
      <w:r>
        <w:rPr>
          <w:color w:val="105C84"/>
        </w:rPr>
        <w:t>of</w:t>
      </w:r>
      <w:r>
        <w:rPr>
          <w:color w:val="105C84"/>
          <w:spacing w:val="26"/>
        </w:rPr>
        <w:t> </w:t>
      </w:r>
      <w:r>
        <w:rPr>
          <w:color w:val="105C84"/>
        </w:rPr>
        <w:t>childbearing</w:t>
      </w:r>
      <w:r>
        <w:rPr>
          <w:color w:val="105C84"/>
          <w:spacing w:val="26"/>
        </w:rPr>
        <w:t> </w:t>
      </w:r>
      <w:r>
        <w:rPr>
          <w:color w:val="105C84"/>
        </w:rPr>
        <w:t>age,</w:t>
      </w:r>
      <w:r>
        <w:rPr>
          <w:color w:val="105C84"/>
          <w:spacing w:val="26"/>
        </w:rPr>
        <w:t> </w:t>
      </w:r>
      <w:r>
        <w:rPr>
          <w:color w:val="105C84"/>
        </w:rPr>
        <w:t>and</w:t>
      </w:r>
      <w:r>
        <w:rPr>
          <w:color w:val="105C84"/>
          <w:spacing w:val="26"/>
        </w:rPr>
        <w:t> </w:t>
      </w:r>
      <w:r>
        <w:rPr>
          <w:color w:val="105C84"/>
        </w:rPr>
        <w:t>25%</w:t>
      </w:r>
      <w:r>
        <w:rPr>
          <w:color w:val="105C84"/>
          <w:spacing w:val="26"/>
        </w:rPr>
        <w:t> </w:t>
      </w:r>
      <w:r>
        <w:rPr>
          <w:color w:val="105C84"/>
        </w:rPr>
        <w:t>of</w:t>
      </w:r>
      <w:r>
        <w:rPr>
          <w:color w:val="105C84"/>
          <w:spacing w:val="26"/>
        </w:rPr>
        <w:t> </w:t>
      </w:r>
      <w:r>
        <w:rPr>
          <w:color w:val="105C84"/>
        </w:rPr>
        <w:t>the</w:t>
      </w:r>
      <w:r>
        <w:rPr>
          <w:color w:val="105C84"/>
          <w:spacing w:val="26"/>
        </w:rPr>
        <w:t> </w:t>
      </w:r>
      <w:r>
        <w:rPr>
          <w:color w:val="105C84"/>
        </w:rPr>
        <w:t>18+</w:t>
      </w:r>
      <w:r>
        <w:rPr>
          <w:color w:val="105C84"/>
          <w:spacing w:val="26"/>
        </w:rPr>
        <w:t> </w:t>
      </w:r>
      <w:r>
        <w:rPr>
          <w:color w:val="105C84"/>
        </w:rPr>
        <w:t>population</w:t>
      </w:r>
      <w:r>
        <w:rPr>
          <w:color w:val="105C84"/>
          <w:spacing w:val="26"/>
        </w:rPr>
        <w:t> </w:t>
      </w:r>
      <w:r>
        <w:rPr>
          <w:color w:val="105C84"/>
        </w:rPr>
        <w:t>are</w:t>
      </w:r>
      <w:r>
        <w:rPr>
          <w:color w:val="105C84"/>
          <w:spacing w:val="26"/>
        </w:rPr>
        <w:t> </w:t>
      </w:r>
      <w:r>
        <w:rPr>
          <w:color w:val="105C84"/>
        </w:rPr>
        <w:t>living</w:t>
      </w:r>
      <w:r>
        <w:rPr>
          <w:color w:val="105C84"/>
          <w:spacing w:val="26"/>
        </w:rPr>
        <w:t> </w:t>
      </w:r>
      <w:r>
        <w:rPr>
          <w:color w:val="105C84"/>
        </w:rPr>
        <w:t>with</w:t>
      </w:r>
      <w:r>
        <w:rPr>
          <w:color w:val="105C84"/>
          <w:spacing w:val="26"/>
        </w:rPr>
        <w:t> </w:t>
      </w:r>
      <w:r>
        <w:rPr>
          <w:color w:val="105C84"/>
        </w:rPr>
        <w:t>a</w:t>
      </w:r>
      <w:r>
        <w:rPr>
          <w:color w:val="105C84"/>
          <w:spacing w:val="26"/>
        </w:rPr>
        <w:t> </w:t>
      </w:r>
      <w:r>
        <w:rPr>
          <w:color w:val="105C84"/>
        </w:rPr>
        <w:t>disability.</w:t>
      </w:r>
      <w:r>
        <w:rPr>
          <w:color w:val="105C84"/>
          <w:position w:val="7"/>
          <w:sz w:val="13"/>
        </w:rPr>
        <w:t>13</w:t>
      </w:r>
    </w:p>
    <w:p>
      <w:pPr>
        <w:pStyle w:val="BodyText"/>
        <w:spacing w:before="14"/>
      </w:pPr>
    </w:p>
    <w:p>
      <w:pPr>
        <w:pStyle w:val="BodyText"/>
        <w:spacing w:line="247" w:lineRule="auto"/>
        <w:ind w:left="1079" w:right="156"/>
      </w:pPr>
      <w:r>
        <w:rPr>
          <w:color w:val="105C84"/>
        </w:rPr>
        <w:t>2017 estimates reveal 30% of the 65+ population (N=4,492) are living alone. This rate is down 9 percent from 2012 when 33% of the 65+ population (N=4,562) was living alone.</w:t>
      </w:r>
    </w:p>
    <w:p>
      <w:pPr>
        <w:pStyle w:val="BodyText"/>
        <w:spacing w:line="247" w:lineRule="auto" w:before="165"/>
        <w:ind w:left="1079"/>
      </w:pPr>
      <w:r>
        <w:rPr>
          <w:color w:val="105C84"/>
        </w:rPr>
        <w:t>In Chemung County, 16% of residents are living below the federal poverty level, and another 19% live near</w:t>
      </w:r>
      <w:r>
        <w:rPr>
          <w:color w:val="105C84"/>
          <w:spacing w:val="20"/>
        </w:rPr>
        <w:t> </w:t>
      </w:r>
      <w:r>
        <w:rPr>
          <w:color w:val="105C84"/>
        </w:rPr>
        <w:t>it.</w:t>
      </w:r>
      <w:r>
        <w:rPr>
          <w:color w:val="105C84"/>
          <w:spacing w:val="20"/>
        </w:rPr>
        <w:t> </w:t>
      </w:r>
      <w:r>
        <w:rPr>
          <w:color w:val="105C84"/>
        </w:rPr>
        <w:t>The</w:t>
      </w:r>
      <w:r>
        <w:rPr>
          <w:color w:val="105C84"/>
          <w:spacing w:val="20"/>
        </w:rPr>
        <w:t> </w:t>
      </w:r>
      <w:r>
        <w:rPr>
          <w:color w:val="105C84"/>
        </w:rPr>
        <w:t>distribution</w:t>
      </w:r>
      <w:r>
        <w:rPr>
          <w:color w:val="105C84"/>
          <w:spacing w:val="20"/>
        </w:rPr>
        <w:t> </w:t>
      </w:r>
      <w:r>
        <w:rPr>
          <w:color w:val="105C84"/>
        </w:rPr>
        <w:t>of</w:t>
      </w:r>
      <w:r>
        <w:rPr>
          <w:color w:val="105C84"/>
          <w:spacing w:val="20"/>
        </w:rPr>
        <w:t> </w:t>
      </w:r>
      <w:r>
        <w:rPr>
          <w:color w:val="105C84"/>
        </w:rPr>
        <w:t>poverty</w:t>
      </w:r>
      <w:r>
        <w:rPr>
          <w:color w:val="105C84"/>
          <w:spacing w:val="20"/>
        </w:rPr>
        <w:t> </w:t>
      </w:r>
      <w:r>
        <w:rPr>
          <w:color w:val="105C84"/>
        </w:rPr>
        <w:t>in</w:t>
      </w:r>
      <w:r>
        <w:rPr>
          <w:color w:val="105C84"/>
          <w:spacing w:val="20"/>
        </w:rPr>
        <w:t> </w:t>
      </w:r>
      <w:r>
        <w:rPr>
          <w:color w:val="105C84"/>
        </w:rPr>
        <w:t>the</w:t>
      </w:r>
      <w:r>
        <w:rPr>
          <w:color w:val="105C84"/>
          <w:spacing w:val="20"/>
        </w:rPr>
        <w:t> </w:t>
      </w:r>
      <w:r>
        <w:rPr>
          <w:color w:val="105C84"/>
        </w:rPr>
        <w:t>county</w:t>
      </w:r>
      <w:r>
        <w:rPr>
          <w:color w:val="105C84"/>
          <w:spacing w:val="20"/>
        </w:rPr>
        <w:t> </w:t>
      </w:r>
      <w:r>
        <w:rPr>
          <w:color w:val="105C84"/>
        </w:rPr>
        <w:t>is</w:t>
      </w:r>
      <w:r>
        <w:rPr>
          <w:color w:val="105C84"/>
          <w:spacing w:val="20"/>
        </w:rPr>
        <w:t> </w:t>
      </w:r>
      <w:r>
        <w:rPr>
          <w:color w:val="105C84"/>
        </w:rPr>
        <w:t>shown</w:t>
      </w:r>
      <w:r>
        <w:rPr>
          <w:color w:val="105C84"/>
          <w:spacing w:val="20"/>
        </w:rPr>
        <w:t> </w:t>
      </w:r>
      <w:r>
        <w:rPr>
          <w:color w:val="105C84"/>
        </w:rPr>
        <w:t>below</w:t>
      </w:r>
      <w:r>
        <w:rPr>
          <w:color w:val="105C84"/>
          <w:spacing w:val="20"/>
        </w:rPr>
        <w:t> </w:t>
      </w:r>
      <w:r>
        <w:rPr>
          <w:color w:val="105C84"/>
        </w:rPr>
        <w:t>in</w:t>
      </w:r>
      <w:r>
        <w:rPr>
          <w:color w:val="105C84"/>
          <w:spacing w:val="20"/>
        </w:rPr>
        <w:t> </w:t>
      </w:r>
      <w:r>
        <w:rPr>
          <w:color w:val="105C84"/>
        </w:rPr>
        <w:t>Map</w:t>
      </w:r>
      <w:r>
        <w:rPr>
          <w:color w:val="105C84"/>
          <w:spacing w:val="20"/>
        </w:rPr>
        <w:t> </w:t>
      </w:r>
      <w:r>
        <w:rPr>
          <w:color w:val="105C84"/>
        </w:rPr>
        <w:t>6.</w:t>
      </w:r>
      <w:r>
        <w:rPr>
          <w:color w:val="105C84"/>
          <w:spacing w:val="20"/>
        </w:rPr>
        <w:t> </w:t>
      </w:r>
      <w:r>
        <w:rPr>
          <w:color w:val="105C84"/>
        </w:rPr>
        <w:t>Interestingly,</w:t>
      </w:r>
      <w:r>
        <w:rPr>
          <w:color w:val="105C84"/>
          <w:spacing w:val="20"/>
        </w:rPr>
        <w:t> </w:t>
      </w:r>
      <w:r>
        <w:rPr>
          <w:color w:val="105C84"/>
        </w:rPr>
        <w:t>the</w:t>
      </w:r>
      <w:r>
        <w:rPr>
          <w:color w:val="105C84"/>
          <w:spacing w:val="20"/>
        </w:rPr>
        <w:t> </w:t>
      </w:r>
      <w:r>
        <w:rPr>
          <w:color w:val="105C84"/>
        </w:rPr>
        <w:t>two</w:t>
      </w:r>
      <w:r>
        <w:rPr>
          <w:color w:val="105C84"/>
          <w:spacing w:val="20"/>
        </w:rPr>
        <w:t> </w:t>
      </w:r>
      <w:r>
        <w:rPr>
          <w:color w:val="105C84"/>
        </w:rPr>
        <w:t>ZIP</w:t>
      </w:r>
    </w:p>
    <w:p>
      <w:pPr>
        <w:pStyle w:val="BodyText"/>
        <w:spacing w:before="84"/>
        <w:rPr>
          <w:sz w:val="18"/>
        </w:rPr>
      </w:pPr>
      <w:r>
        <w:rPr/>
        <w:br w:type="column"/>
      </w:r>
      <w:r>
        <w:rPr>
          <w:sz w:val="18"/>
        </w:rPr>
      </w:r>
    </w:p>
    <w:p>
      <w:pPr>
        <w:spacing w:before="0"/>
        <w:ind w:left="0" w:right="0" w:firstLine="0"/>
        <w:jc w:val="right"/>
        <w:rPr>
          <w:sz w:val="18"/>
        </w:rPr>
      </w:pPr>
      <w:r>
        <w:rPr>
          <w:sz w:val="18"/>
        </w:rPr>
        <mc:AlternateContent>
          <mc:Choice Requires="wps">
            <w:drawing>
              <wp:anchor distT="0" distB="0" distL="0" distR="0" allowOverlap="1" layoutInCell="1" locked="0" behindDoc="0" simplePos="0" relativeHeight="15780352">
                <wp:simplePos x="0" y="0"/>
                <wp:positionH relativeFrom="page">
                  <wp:posOffset>8481664</wp:posOffset>
                </wp:positionH>
                <wp:positionV relativeFrom="paragraph">
                  <wp:posOffset>196151</wp:posOffset>
                </wp:positionV>
                <wp:extent cx="146050" cy="1473200"/>
                <wp:effectExtent l="0" t="0" r="0" b="0"/>
                <wp:wrapNone/>
                <wp:docPr id="473" name="Textbox 473"/>
                <wp:cNvGraphicFramePr>
                  <a:graphicFrameLocks/>
                </wp:cNvGraphicFramePr>
                <a:graphic>
                  <a:graphicData uri="http://schemas.microsoft.com/office/word/2010/wordprocessingShape">
                    <wps:wsp>
                      <wps:cNvPr id="473" name="Textbox 473"/>
                      <wps:cNvSpPr txBox="1"/>
                      <wps:spPr>
                        <a:xfrm>
                          <a:off x="0" y="0"/>
                          <a:ext cx="146050" cy="1473200"/>
                        </a:xfrm>
                        <a:prstGeom prst="rect">
                          <a:avLst/>
                        </a:prstGeom>
                      </wps:spPr>
                      <wps:txbx>
                        <w:txbxContent>
                          <w:p>
                            <w:pPr>
                              <w:spacing w:before="19"/>
                              <w:ind w:left="20" w:right="0" w:firstLine="0"/>
                              <w:jc w:val="left"/>
                              <w:rPr>
                                <w:sz w:val="16"/>
                              </w:rPr>
                            </w:pPr>
                            <w:r>
                              <w:rPr>
                                <w:color w:val="105C84"/>
                                <w:sz w:val="16"/>
                              </w:rPr>
                              <w:t>Percent</w:t>
                            </w:r>
                            <w:r>
                              <w:rPr>
                                <w:color w:val="105C84"/>
                                <w:spacing w:val="-2"/>
                                <w:sz w:val="16"/>
                              </w:rPr>
                              <w:t> </w:t>
                            </w:r>
                            <w:r>
                              <w:rPr>
                                <w:color w:val="105C84"/>
                                <w:sz w:val="16"/>
                              </w:rPr>
                              <w:t>of</w:t>
                            </w:r>
                            <w:r>
                              <w:rPr>
                                <w:color w:val="105C84"/>
                                <w:spacing w:val="-2"/>
                                <w:sz w:val="16"/>
                              </w:rPr>
                              <w:t> </w:t>
                            </w:r>
                            <w:r>
                              <w:rPr>
                                <w:color w:val="105C84"/>
                                <w:sz w:val="16"/>
                              </w:rPr>
                              <w:t>Population</w:t>
                            </w:r>
                            <w:r>
                              <w:rPr>
                                <w:color w:val="105C84"/>
                                <w:spacing w:val="-2"/>
                                <w:sz w:val="16"/>
                              </w:rPr>
                              <w:t> </w:t>
                            </w:r>
                            <w:r>
                              <w:rPr>
                                <w:color w:val="105C84"/>
                                <w:sz w:val="16"/>
                              </w:rPr>
                              <w:t>25+</w:t>
                            </w:r>
                            <w:r>
                              <w:rPr>
                                <w:color w:val="105C84"/>
                                <w:spacing w:val="-2"/>
                                <w:sz w:val="16"/>
                              </w:rPr>
                              <w:t> </w:t>
                            </w:r>
                            <w:r>
                              <w:rPr>
                                <w:color w:val="105C84"/>
                                <w:spacing w:val="-4"/>
                                <w:sz w:val="16"/>
                              </w:rPr>
                              <w:t>Years</w:t>
                            </w:r>
                          </w:p>
                        </w:txbxContent>
                      </wps:txbx>
                      <wps:bodyPr wrap="square" lIns="0" tIns="0" rIns="0" bIns="0" rtlCol="0" vert="vert270">
                        <a:noAutofit/>
                      </wps:bodyPr>
                    </wps:wsp>
                  </a:graphicData>
                </a:graphic>
              </wp:anchor>
            </w:drawing>
          </mc:Choice>
          <mc:Fallback>
            <w:pict>
              <v:shape style="position:absolute;margin-left:667.847595pt;margin-top:15.444983pt;width:11.5pt;height:116pt;mso-position-horizontal-relative:page;mso-position-vertical-relative:paragraph;z-index:15780352" type="#_x0000_t202" id="docshape418" filled="false" stroked="false">
                <v:textbox inset="0,0,0,0" style="layout-flow:vertical;mso-layout-flow-alt:bottom-to-top">
                  <w:txbxContent>
                    <w:p>
                      <w:pPr>
                        <w:spacing w:before="19"/>
                        <w:ind w:left="20" w:right="0" w:firstLine="0"/>
                        <w:jc w:val="left"/>
                        <w:rPr>
                          <w:sz w:val="16"/>
                        </w:rPr>
                      </w:pPr>
                      <w:r>
                        <w:rPr>
                          <w:color w:val="105C84"/>
                          <w:sz w:val="16"/>
                        </w:rPr>
                        <w:t>Percent</w:t>
                      </w:r>
                      <w:r>
                        <w:rPr>
                          <w:color w:val="105C84"/>
                          <w:spacing w:val="-2"/>
                          <w:sz w:val="16"/>
                        </w:rPr>
                        <w:t> </w:t>
                      </w:r>
                      <w:r>
                        <w:rPr>
                          <w:color w:val="105C84"/>
                          <w:sz w:val="16"/>
                        </w:rPr>
                        <w:t>of</w:t>
                      </w:r>
                      <w:r>
                        <w:rPr>
                          <w:color w:val="105C84"/>
                          <w:spacing w:val="-2"/>
                          <w:sz w:val="16"/>
                        </w:rPr>
                        <w:t> </w:t>
                      </w:r>
                      <w:r>
                        <w:rPr>
                          <w:color w:val="105C84"/>
                          <w:sz w:val="16"/>
                        </w:rPr>
                        <w:t>Population</w:t>
                      </w:r>
                      <w:r>
                        <w:rPr>
                          <w:color w:val="105C84"/>
                          <w:spacing w:val="-2"/>
                          <w:sz w:val="16"/>
                        </w:rPr>
                        <w:t> </w:t>
                      </w:r>
                      <w:r>
                        <w:rPr>
                          <w:color w:val="105C84"/>
                          <w:sz w:val="16"/>
                        </w:rPr>
                        <w:t>25+</w:t>
                      </w:r>
                      <w:r>
                        <w:rPr>
                          <w:color w:val="105C84"/>
                          <w:spacing w:val="-2"/>
                          <w:sz w:val="16"/>
                        </w:rPr>
                        <w:t> </w:t>
                      </w:r>
                      <w:r>
                        <w:rPr>
                          <w:color w:val="105C84"/>
                          <w:spacing w:val="-4"/>
                          <w:sz w:val="16"/>
                        </w:rPr>
                        <w:t>Years</w:t>
                      </w:r>
                    </w:p>
                  </w:txbxContent>
                </v:textbox>
                <w10:wrap type="none"/>
              </v:shape>
            </w:pict>
          </mc:Fallback>
        </mc:AlternateContent>
      </w:r>
      <w:r>
        <w:rPr>
          <w:color w:val="636466"/>
          <w:spacing w:val="-5"/>
          <w:sz w:val="18"/>
        </w:rPr>
        <w:t>41%</w:t>
      </w:r>
    </w:p>
    <w:p>
      <w:pPr>
        <w:pStyle w:val="BodyText"/>
        <w:spacing w:before="184"/>
        <w:rPr>
          <w:sz w:val="18"/>
        </w:rPr>
      </w:pPr>
      <w:r>
        <w:rPr/>
        <w:br w:type="column"/>
      </w:r>
      <w:r>
        <w:rPr>
          <w:sz w:val="18"/>
        </w:rPr>
      </w:r>
    </w:p>
    <w:p>
      <w:pPr>
        <w:spacing w:before="0"/>
        <w:ind w:left="513" w:right="0" w:firstLine="0"/>
        <w:jc w:val="left"/>
        <w:rPr>
          <w:sz w:val="18"/>
        </w:rPr>
      </w:pPr>
      <w:r>
        <w:rPr>
          <w:sz w:val="18"/>
        </w:rPr>
        <mc:AlternateContent>
          <mc:Choice Requires="wps">
            <w:drawing>
              <wp:anchor distT="0" distB="0" distL="0" distR="0" allowOverlap="1" layoutInCell="1" locked="0" behindDoc="0" simplePos="0" relativeHeight="15778304">
                <wp:simplePos x="0" y="0"/>
                <wp:positionH relativeFrom="page">
                  <wp:posOffset>8725433</wp:posOffset>
                </wp:positionH>
                <wp:positionV relativeFrom="paragraph">
                  <wp:posOffset>125348</wp:posOffset>
                </wp:positionV>
                <wp:extent cx="5949950" cy="1480820"/>
                <wp:effectExtent l="0" t="0" r="0" b="0"/>
                <wp:wrapNone/>
                <wp:docPr id="474" name="Group 474"/>
                <wp:cNvGraphicFramePr>
                  <a:graphicFrameLocks/>
                </wp:cNvGraphicFramePr>
                <a:graphic>
                  <a:graphicData uri="http://schemas.microsoft.com/office/word/2010/wordprocessingGroup">
                    <wpg:wgp>
                      <wpg:cNvPr id="474" name="Group 474"/>
                      <wpg:cNvGrpSpPr/>
                      <wpg:grpSpPr>
                        <a:xfrm>
                          <a:off x="0" y="0"/>
                          <a:ext cx="5949950" cy="1480820"/>
                          <a:chExt cx="5949950" cy="1480820"/>
                        </a:xfrm>
                      </wpg:grpSpPr>
                      <pic:pic>
                        <pic:nvPicPr>
                          <pic:cNvPr id="475" name="Image 475"/>
                          <pic:cNvPicPr/>
                        </pic:nvPicPr>
                        <pic:blipFill>
                          <a:blip r:embed="rId61" cstate="print"/>
                          <a:stretch>
                            <a:fillRect/>
                          </a:stretch>
                        </pic:blipFill>
                        <pic:spPr>
                          <a:xfrm>
                            <a:off x="404037" y="7371"/>
                            <a:ext cx="444449" cy="33870"/>
                          </a:xfrm>
                          <a:prstGeom prst="rect">
                            <a:avLst/>
                          </a:prstGeom>
                        </pic:spPr>
                      </pic:pic>
                      <pic:pic>
                        <pic:nvPicPr>
                          <pic:cNvPr id="476" name="Image 476"/>
                          <pic:cNvPicPr/>
                        </pic:nvPicPr>
                        <pic:blipFill>
                          <a:blip r:embed="rId62" cstate="print"/>
                          <a:stretch>
                            <a:fillRect/>
                          </a:stretch>
                        </pic:blipFill>
                        <pic:spPr>
                          <a:xfrm>
                            <a:off x="404037" y="41216"/>
                            <a:ext cx="444449" cy="101625"/>
                          </a:xfrm>
                          <a:prstGeom prst="rect">
                            <a:avLst/>
                          </a:prstGeom>
                        </pic:spPr>
                      </pic:pic>
                      <pic:pic>
                        <pic:nvPicPr>
                          <pic:cNvPr id="477" name="Image 477"/>
                          <pic:cNvPicPr/>
                        </pic:nvPicPr>
                        <pic:blipFill>
                          <a:blip r:embed="rId63" cstate="print"/>
                          <a:stretch>
                            <a:fillRect/>
                          </a:stretch>
                        </pic:blipFill>
                        <pic:spPr>
                          <a:xfrm>
                            <a:off x="404037" y="142803"/>
                            <a:ext cx="444449" cy="101676"/>
                          </a:xfrm>
                          <a:prstGeom prst="rect">
                            <a:avLst/>
                          </a:prstGeom>
                        </pic:spPr>
                      </pic:pic>
                      <pic:pic>
                        <pic:nvPicPr>
                          <pic:cNvPr id="478" name="Image 478"/>
                          <pic:cNvPicPr/>
                        </pic:nvPicPr>
                        <pic:blipFill>
                          <a:blip r:embed="rId64" cstate="print"/>
                          <a:stretch>
                            <a:fillRect/>
                          </a:stretch>
                        </pic:blipFill>
                        <pic:spPr>
                          <a:xfrm>
                            <a:off x="2385186" y="185183"/>
                            <a:ext cx="444487" cy="160832"/>
                          </a:xfrm>
                          <a:prstGeom prst="rect">
                            <a:avLst/>
                          </a:prstGeom>
                        </pic:spPr>
                      </pic:pic>
                      <pic:pic>
                        <pic:nvPicPr>
                          <pic:cNvPr id="479" name="Image 479"/>
                          <pic:cNvPicPr/>
                        </pic:nvPicPr>
                        <pic:blipFill>
                          <a:blip r:embed="rId65" cstate="print"/>
                          <a:stretch>
                            <a:fillRect/>
                          </a:stretch>
                        </pic:blipFill>
                        <pic:spPr>
                          <a:xfrm>
                            <a:off x="404037" y="244454"/>
                            <a:ext cx="444449" cy="101561"/>
                          </a:xfrm>
                          <a:prstGeom prst="rect">
                            <a:avLst/>
                          </a:prstGeom>
                        </pic:spPr>
                      </pic:pic>
                      <pic:pic>
                        <pic:nvPicPr>
                          <pic:cNvPr id="480" name="Image 480"/>
                          <pic:cNvPicPr/>
                        </pic:nvPicPr>
                        <pic:blipFill>
                          <a:blip r:embed="rId66" cstate="print"/>
                          <a:stretch>
                            <a:fillRect/>
                          </a:stretch>
                        </pic:blipFill>
                        <pic:spPr>
                          <a:xfrm>
                            <a:off x="2385186" y="244454"/>
                            <a:ext cx="444487" cy="203187"/>
                          </a:xfrm>
                          <a:prstGeom prst="rect">
                            <a:avLst/>
                          </a:prstGeom>
                        </pic:spPr>
                      </pic:pic>
                      <pic:pic>
                        <pic:nvPicPr>
                          <pic:cNvPr id="481" name="Image 481"/>
                          <pic:cNvPicPr/>
                        </pic:nvPicPr>
                        <pic:blipFill>
                          <a:blip r:embed="rId65" cstate="print"/>
                          <a:stretch>
                            <a:fillRect/>
                          </a:stretch>
                        </pic:blipFill>
                        <pic:spPr>
                          <a:xfrm>
                            <a:off x="404037" y="346054"/>
                            <a:ext cx="444449" cy="101587"/>
                          </a:xfrm>
                          <a:prstGeom prst="rect">
                            <a:avLst/>
                          </a:prstGeom>
                        </pic:spPr>
                      </pic:pic>
                      <pic:pic>
                        <pic:nvPicPr>
                          <pic:cNvPr id="482" name="Image 482"/>
                          <pic:cNvPicPr/>
                        </pic:nvPicPr>
                        <pic:blipFill>
                          <a:blip r:embed="rId66" cstate="print"/>
                          <a:stretch>
                            <a:fillRect/>
                          </a:stretch>
                        </pic:blipFill>
                        <pic:spPr>
                          <a:xfrm>
                            <a:off x="2385186" y="346054"/>
                            <a:ext cx="444487" cy="203161"/>
                          </a:xfrm>
                          <a:prstGeom prst="rect">
                            <a:avLst/>
                          </a:prstGeom>
                        </pic:spPr>
                      </pic:pic>
                      <pic:pic>
                        <pic:nvPicPr>
                          <pic:cNvPr id="483" name="Image 483"/>
                          <pic:cNvPicPr/>
                        </pic:nvPicPr>
                        <pic:blipFill>
                          <a:blip r:embed="rId65" cstate="print"/>
                          <a:stretch>
                            <a:fillRect/>
                          </a:stretch>
                        </pic:blipFill>
                        <pic:spPr>
                          <a:xfrm>
                            <a:off x="404037" y="447629"/>
                            <a:ext cx="444449" cy="101587"/>
                          </a:xfrm>
                          <a:prstGeom prst="rect">
                            <a:avLst/>
                          </a:prstGeom>
                        </pic:spPr>
                      </pic:pic>
                      <pic:pic>
                        <pic:nvPicPr>
                          <pic:cNvPr id="484" name="Image 484"/>
                          <pic:cNvPicPr/>
                        </pic:nvPicPr>
                        <pic:blipFill>
                          <a:blip r:embed="rId67" cstate="print"/>
                          <a:stretch>
                            <a:fillRect/>
                          </a:stretch>
                        </pic:blipFill>
                        <pic:spPr>
                          <a:xfrm>
                            <a:off x="2385186" y="447629"/>
                            <a:ext cx="444487" cy="203250"/>
                          </a:xfrm>
                          <a:prstGeom prst="rect">
                            <a:avLst/>
                          </a:prstGeom>
                        </pic:spPr>
                      </pic:pic>
                      <pic:pic>
                        <pic:nvPicPr>
                          <pic:cNvPr id="485" name="Image 485"/>
                          <pic:cNvPicPr/>
                        </pic:nvPicPr>
                        <pic:blipFill>
                          <a:blip r:embed="rId65" cstate="print"/>
                          <a:stretch>
                            <a:fillRect/>
                          </a:stretch>
                        </pic:blipFill>
                        <pic:spPr>
                          <a:xfrm>
                            <a:off x="404037" y="549229"/>
                            <a:ext cx="444449" cy="101650"/>
                          </a:xfrm>
                          <a:prstGeom prst="rect">
                            <a:avLst/>
                          </a:prstGeom>
                        </pic:spPr>
                      </pic:pic>
                      <pic:pic>
                        <pic:nvPicPr>
                          <pic:cNvPr id="486" name="Image 486"/>
                          <pic:cNvPicPr/>
                        </pic:nvPicPr>
                        <pic:blipFill>
                          <a:blip r:embed="rId68" cstate="print"/>
                          <a:stretch>
                            <a:fillRect/>
                          </a:stretch>
                        </pic:blipFill>
                        <pic:spPr>
                          <a:xfrm>
                            <a:off x="2385186" y="549229"/>
                            <a:ext cx="444487" cy="203250"/>
                          </a:xfrm>
                          <a:prstGeom prst="rect">
                            <a:avLst/>
                          </a:prstGeom>
                        </pic:spPr>
                      </pic:pic>
                      <pic:pic>
                        <pic:nvPicPr>
                          <pic:cNvPr id="487" name="Image 487"/>
                          <pic:cNvPicPr/>
                        </pic:nvPicPr>
                        <pic:blipFill>
                          <a:blip r:embed="rId69" cstate="print"/>
                          <a:stretch>
                            <a:fillRect/>
                          </a:stretch>
                        </pic:blipFill>
                        <pic:spPr>
                          <a:xfrm>
                            <a:off x="4366361" y="629683"/>
                            <a:ext cx="444525" cy="21170"/>
                          </a:xfrm>
                          <a:prstGeom prst="rect">
                            <a:avLst/>
                          </a:prstGeom>
                        </pic:spPr>
                      </pic:pic>
                      <pic:pic>
                        <pic:nvPicPr>
                          <pic:cNvPr id="488" name="Image 488"/>
                          <pic:cNvPicPr/>
                        </pic:nvPicPr>
                        <pic:blipFill>
                          <a:blip r:embed="rId65" cstate="print"/>
                          <a:stretch>
                            <a:fillRect/>
                          </a:stretch>
                        </pic:blipFill>
                        <pic:spPr>
                          <a:xfrm>
                            <a:off x="404037" y="650803"/>
                            <a:ext cx="444449" cy="101676"/>
                          </a:xfrm>
                          <a:prstGeom prst="rect">
                            <a:avLst/>
                          </a:prstGeom>
                        </pic:spPr>
                      </pic:pic>
                      <pic:pic>
                        <pic:nvPicPr>
                          <pic:cNvPr id="489" name="Image 489"/>
                          <pic:cNvPicPr/>
                        </pic:nvPicPr>
                        <pic:blipFill>
                          <a:blip r:embed="rId70" cstate="print"/>
                          <a:stretch>
                            <a:fillRect/>
                          </a:stretch>
                        </pic:blipFill>
                        <pic:spPr>
                          <a:xfrm>
                            <a:off x="2385186" y="650803"/>
                            <a:ext cx="444487" cy="203263"/>
                          </a:xfrm>
                          <a:prstGeom prst="rect">
                            <a:avLst/>
                          </a:prstGeom>
                        </pic:spPr>
                      </pic:pic>
                      <pic:pic>
                        <pic:nvPicPr>
                          <pic:cNvPr id="490" name="Image 490"/>
                          <pic:cNvPicPr/>
                        </pic:nvPicPr>
                        <pic:blipFill>
                          <a:blip r:embed="rId65" cstate="print"/>
                          <a:stretch>
                            <a:fillRect/>
                          </a:stretch>
                        </pic:blipFill>
                        <pic:spPr>
                          <a:xfrm>
                            <a:off x="4366361" y="650803"/>
                            <a:ext cx="444525" cy="101676"/>
                          </a:xfrm>
                          <a:prstGeom prst="rect">
                            <a:avLst/>
                          </a:prstGeom>
                        </pic:spPr>
                      </pic:pic>
                      <pic:pic>
                        <pic:nvPicPr>
                          <pic:cNvPr id="491" name="Image 491"/>
                          <pic:cNvPicPr/>
                        </pic:nvPicPr>
                        <pic:blipFill>
                          <a:blip r:embed="rId71" cstate="print"/>
                          <a:stretch>
                            <a:fillRect/>
                          </a:stretch>
                        </pic:blipFill>
                        <pic:spPr>
                          <a:xfrm>
                            <a:off x="404037" y="752454"/>
                            <a:ext cx="444449" cy="101612"/>
                          </a:xfrm>
                          <a:prstGeom prst="rect">
                            <a:avLst/>
                          </a:prstGeom>
                        </pic:spPr>
                      </pic:pic>
                      <pic:pic>
                        <pic:nvPicPr>
                          <pic:cNvPr id="492" name="Image 492"/>
                          <pic:cNvPicPr/>
                        </pic:nvPicPr>
                        <pic:blipFill>
                          <a:blip r:embed="rId72" cstate="print"/>
                          <a:stretch>
                            <a:fillRect/>
                          </a:stretch>
                        </pic:blipFill>
                        <pic:spPr>
                          <a:xfrm>
                            <a:off x="2385186" y="752467"/>
                            <a:ext cx="444487" cy="203187"/>
                          </a:xfrm>
                          <a:prstGeom prst="rect">
                            <a:avLst/>
                          </a:prstGeom>
                        </pic:spPr>
                      </pic:pic>
                      <pic:pic>
                        <pic:nvPicPr>
                          <pic:cNvPr id="493" name="Image 493"/>
                          <pic:cNvPicPr/>
                        </pic:nvPicPr>
                        <pic:blipFill>
                          <a:blip r:embed="rId65" cstate="print"/>
                          <a:stretch>
                            <a:fillRect/>
                          </a:stretch>
                        </pic:blipFill>
                        <pic:spPr>
                          <a:xfrm>
                            <a:off x="4366361" y="752467"/>
                            <a:ext cx="444525" cy="101600"/>
                          </a:xfrm>
                          <a:prstGeom prst="rect">
                            <a:avLst/>
                          </a:prstGeom>
                        </pic:spPr>
                      </pic:pic>
                      <pic:pic>
                        <pic:nvPicPr>
                          <pic:cNvPr id="494" name="Image 494"/>
                          <pic:cNvPicPr/>
                        </pic:nvPicPr>
                        <pic:blipFill>
                          <a:blip r:embed="rId65" cstate="print"/>
                          <a:stretch>
                            <a:fillRect/>
                          </a:stretch>
                        </pic:blipFill>
                        <pic:spPr>
                          <a:xfrm>
                            <a:off x="404037" y="854092"/>
                            <a:ext cx="444449" cy="101561"/>
                          </a:xfrm>
                          <a:prstGeom prst="rect">
                            <a:avLst/>
                          </a:prstGeom>
                        </pic:spPr>
                      </pic:pic>
                      <pic:pic>
                        <pic:nvPicPr>
                          <pic:cNvPr id="495" name="Image 495"/>
                          <pic:cNvPicPr/>
                        </pic:nvPicPr>
                        <pic:blipFill>
                          <a:blip r:embed="rId67" cstate="print"/>
                          <a:stretch>
                            <a:fillRect/>
                          </a:stretch>
                        </pic:blipFill>
                        <pic:spPr>
                          <a:xfrm>
                            <a:off x="2385186" y="854092"/>
                            <a:ext cx="444487" cy="203136"/>
                          </a:xfrm>
                          <a:prstGeom prst="rect">
                            <a:avLst/>
                          </a:prstGeom>
                        </pic:spPr>
                      </pic:pic>
                      <pic:pic>
                        <pic:nvPicPr>
                          <pic:cNvPr id="496" name="Image 496"/>
                          <pic:cNvPicPr/>
                        </pic:nvPicPr>
                        <pic:blipFill>
                          <a:blip r:embed="rId65" cstate="print"/>
                          <a:stretch>
                            <a:fillRect/>
                          </a:stretch>
                        </pic:blipFill>
                        <pic:spPr>
                          <a:xfrm>
                            <a:off x="4366361" y="854092"/>
                            <a:ext cx="444525" cy="101561"/>
                          </a:xfrm>
                          <a:prstGeom prst="rect">
                            <a:avLst/>
                          </a:prstGeom>
                        </pic:spPr>
                      </pic:pic>
                      <pic:pic>
                        <pic:nvPicPr>
                          <pic:cNvPr id="497" name="Image 497"/>
                          <pic:cNvPicPr/>
                        </pic:nvPicPr>
                        <pic:blipFill>
                          <a:blip r:embed="rId65" cstate="print"/>
                          <a:stretch>
                            <a:fillRect/>
                          </a:stretch>
                        </pic:blipFill>
                        <pic:spPr>
                          <a:xfrm>
                            <a:off x="404037" y="955641"/>
                            <a:ext cx="444449" cy="101587"/>
                          </a:xfrm>
                          <a:prstGeom prst="rect">
                            <a:avLst/>
                          </a:prstGeom>
                        </pic:spPr>
                      </pic:pic>
                      <pic:pic>
                        <pic:nvPicPr>
                          <pic:cNvPr id="498" name="Image 498"/>
                          <pic:cNvPicPr/>
                        </pic:nvPicPr>
                        <pic:blipFill>
                          <a:blip r:embed="rId66" cstate="print"/>
                          <a:stretch>
                            <a:fillRect/>
                          </a:stretch>
                        </pic:blipFill>
                        <pic:spPr>
                          <a:xfrm>
                            <a:off x="2385186" y="955641"/>
                            <a:ext cx="444487" cy="203161"/>
                          </a:xfrm>
                          <a:prstGeom prst="rect">
                            <a:avLst/>
                          </a:prstGeom>
                        </pic:spPr>
                      </pic:pic>
                      <pic:pic>
                        <pic:nvPicPr>
                          <pic:cNvPr id="499" name="Image 499"/>
                          <pic:cNvPicPr/>
                        </pic:nvPicPr>
                        <pic:blipFill>
                          <a:blip r:embed="rId65" cstate="print"/>
                          <a:stretch>
                            <a:fillRect/>
                          </a:stretch>
                        </pic:blipFill>
                        <pic:spPr>
                          <a:xfrm>
                            <a:off x="4366361" y="955641"/>
                            <a:ext cx="444525" cy="101587"/>
                          </a:xfrm>
                          <a:prstGeom prst="rect">
                            <a:avLst/>
                          </a:prstGeom>
                        </pic:spPr>
                      </pic:pic>
                      <pic:pic>
                        <pic:nvPicPr>
                          <pic:cNvPr id="500" name="Image 500"/>
                          <pic:cNvPicPr/>
                        </pic:nvPicPr>
                        <pic:blipFill>
                          <a:blip r:embed="rId65" cstate="print"/>
                          <a:stretch>
                            <a:fillRect/>
                          </a:stretch>
                        </pic:blipFill>
                        <pic:spPr>
                          <a:xfrm>
                            <a:off x="404037" y="1057216"/>
                            <a:ext cx="444449" cy="101600"/>
                          </a:xfrm>
                          <a:prstGeom prst="rect">
                            <a:avLst/>
                          </a:prstGeom>
                        </pic:spPr>
                      </pic:pic>
                      <pic:pic>
                        <pic:nvPicPr>
                          <pic:cNvPr id="501" name="Image 501"/>
                          <pic:cNvPicPr/>
                        </pic:nvPicPr>
                        <pic:blipFill>
                          <a:blip r:embed="rId72" cstate="print"/>
                          <a:stretch>
                            <a:fillRect/>
                          </a:stretch>
                        </pic:blipFill>
                        <pic:spPr>
                          <a:xfrm>
                            <a:off x="2385186" y="1057216"/>
                            <a:ext cx="444487" cy="203212"/>
                          </a:xfrm>
                          <a:prstGeom prst="rect">
                            <a:avLst/>
                          </a:prstGeom>
                        </pic:spPr>
                      </pic:pic>
                      <pic:pic>
                        <pic:nvPicPr>
                          <pic:cNvPr id="502" name="Image 502"/>
                          <pic:cNvPicPr/>
                        </pic:nvPicPr>
                        <pic:blipFill>
                          <a:blip r:embed="rId65" cstate="print"/>
                          <a:stretch>
                            <a:fillRect/>
                          </a:stretch>
                        </pic:blipFill>
                        <pic:spPr>
                          <a:xfrm>
                            <a:off x="4366361" y="1057216"/>
                            <a:ext cx="444525" cy="101600"/>
                          </a:xfrm>
                          <a:prstGeom prst="rect">
                            <a:avLst/>
                          </a:prstGeom>
                        </pic:spPr>
                      </pic:pic>
                      <pic:pic>
                        <pic:nvPicPr>
                          <pic:cNvPr id="503" name="Image 503"/>
                          <pic:cNvPicPr/>
                        </pic:nvPicPr>
                        <pic:blipFill>
                          <a:blip r:embed="rId65" cstate="print"/>
                          <a:stretch>
                            <a:fillRect/>
                          </a:stretch>
                        </pic:blipFill>
                        <pic:spPr>
                          <a:xfrm>
                            <a:off x="404037" y="1158867"/>
                            <a:ext cx="444449" cy="101561"/>
                          </a:xfrm>
                          <a:prstGeom prst="rect">
                            <a:avLst/>
                          </a:prstGeom>
                        </pic:spPr>
                      </pic:pic>
                      <pic:pic>
                        <pic:nvPicPr>
                          <pic:cNvPr id="504" name="Image 504"/>
                          <pic:cNvPicPr/>
                        </pic:nvPicPr>
                        <pic:blipFill>
                          <a:blip r:embed="rId66" cstate="print"/>
                          <a:stretch>
                            <a:fillRect/>
                          </a:stretch>
                        </pic:blipFill>
                        <pic:spPr>
                          <a:xfrm>
                            <a:off x="2385186" y="1158867"/>
                            <a:ext cx="444487" cy="203200"/>
                          </a:xfrm>
                          <a:prstGeom prst="rect">
                            <a:avLst/>
                          </a:prstGeom>
                        </pic:spPr>
                      </pic:pic>
                      <pic:pic>
                        <pic:nvPicPr>
                          <pic:cNvPr id="505" name="Image 505"/>
                          <pic:cNvPicPr/>
                        </pic:nvPicPr>
                        <pic:blipFill>
                          <a:blip r:embed="rId65" cstate="print"/>
                          <a:stretch>
                            <a:fillRect/>
                          </a:stretch>
                        </pic:blipFill>
                        <pic:spPr>
                          <a:xfrm>
                            <a:off x="4366361" y="1158867"/>
                            <a:ext cx="444525" cy="101561"/>
                          </a:xfrm>
                          <a:prstGeom prst="rect">
                            <a:avLst/>
                          </a:prstGeom>
                        </pic:spPr>
                      </pic:pic>
                      <pic:pic>
                        <pic:nvPicPr>
                          <pic:cNvPr id="506" name="Image 506"/>
                          <pic:cNvPicPr/>
                        </pic:nvPicPr>
                        <pic:blipFill>
                          <a:blip r:embed="rId65" cstate="print"/>
                          <a:stretch>
                            <a:fillRect/>
                          </a:stretch>
                        </pic:blipFill>
                        <pic:spPr>
                          <a:xfrm>
                            <a:off x="404037" y="1260480"/>
                            <a:ext cx="444449" cy="101587"/>
                          </a:xfrm>
                          <a:prstGeom prst="rect">
                            <a:avLst/>
                          </a:prstGeom>
                        </pic:spPr>
                      </pic:pic>
                      <pic:pic>
                        <pic:nvPicPr>
                          <pic:cNvPr id="507" name="Image 507"/>
                          <pic:cNvPicPr/>
                        </pic:nvPicPr>
                        <pic:blipFill>
                          <a:blip r:embed="rId66" cstate="print"/>
                          <a:stretch>
                            <a:fillRect/>
                          </a:stretch>
                        </pic:blipFill>
                        <pic:spPr>
                          <a:xfrm>
                            <a:off x="2385186" y="1260480"/>
                            <a:ext cx="444487" cy="203174"/>
                          </a:xfrm>
                          <a:prstGeom prst="rect">
                            <a:avLst/>
                          </a:prstGeom>
                        </pic:spPr>
                      </pic:pic>
                      <pic:pic>
                        <pic:nvPicPr>
                          <pic:cNvPr id="508" name="Image 508"/>
                          <pic:cNvPicPr/>
                        </pic:nvPicPr>
                        <pic:blipFill>
                          <a:blip r:embed="rId65" cstate="print"/>
                          <a:stretch>
                            <a:fillRect/>
                          </a:stretch>
                        </pic:blipFill>
                        <pic:spPr>
                          <a:xfrm>
                            <a:off x="4366361" y="1260480"/>
                            <a:ext cx="444525" cy="101587"/>
                          </a:xfrm>
                          <a:prstGeom prst="rect">
                            <a:avLst/>
                          </a:prstGeom>
                        </pic:spPr>
                      </pic:pic>
                      <pic:pic>
                        <pic:nvPicPr>
                          <pic:cNvPr id="509" name="Image 509"/>
                          <pic:cNvPicPr/>
                        </pic:nvPicPr>
                        <pic:blipFill>
                          <a:blip r:embed="rId73" cstate="print"/>
                          <a:stretch>
                            <a:fillRect/>
                          </a:stretch>
                        </pic:blipFill>
                        <pic:spPr>
                          <a:xfrm>
                            <a:off x="404037" y="1362067"/>
                            <a:ext cx="444449" cy="105803"/>
                          </a:xfrm>
                          <a:prstGeom prst="rect">
                            <a:avLst/>
                          </a:prstGeom>
                        </pic:spPr>
                      </pic:pic>
                      <pic:pic>
                        <pic:nvPicPr>
                          <pic:cNvPr id="510" name="Image 510"/>
                          <pic:cNvPicPr/>
                        </pic:nvPicPr>
                        <pic:blipFill>
                          <a:blip r:embed="rId74" cstate="print"/>
                          <a:stretch>
                            <a:fillRect/>
                          </a:stretch>
                        </pic:blipFill>
                        <pic:spPr>
                          <a:xfrm>
                            <a:off x="2385186" y="1362067"/>
                            <a:ext cx="444487" cy="105803"/>
                          </a:xfrm>
                          <a:prstGeom prst="rect">
                            <a:avLst/>
                          </a:prstGeom>
                        </pic:spPr>
                      </pic:pic>
                      <pic:pic>
                        <pic:nvPicPr>
                          <pic:cNvPr id="511" name="Image 511"/>
                          <pic:cNvPicPr/>
                        </pic:nvPicPr>
                        <pic:blipFill>
                          <a:blip r:embed="rId73" cstate="print"/>
                          <a:stretch>
                            <a:fillRect/>
                          </a:stretch>
                        </pic:blipFill>
                        <pic:spPr>
                          <a:xfrm>
                            <a:off x="4366361" y="1362067"/>
                            <a:ext cx="444525" cy="105803"/>
                          </a:xfrm>
                          <a:prstGeom prst="rect">
                            <a:avLst/>
                          </a:prstGeom>
                        </pic:spPr>
                      </pic:pic>
                      <wps:wsp>
                        <wps:cNvPr id="512" name="Graphic 512"/>
                        <wps:cNvSpPr/>
                        <wps:spPr>
                          <a:xfrm>
                            <a:off x="962800" y="70870"/>
                            <a:ext cx="4406900" cy="1397000"/>
                          </a:xfrm>
                          <a:custGeom>
                            <a:avLst/>
                            <a:gdLst/>
                            <a:ahLst/>
                            <a:cxnLst/>
                            <a:rect l="l" t="t" r="r" b="b"/>
                            <a:pathLst>
                              <a:path w="4406900" h="1397000">
                                <a:moveTo>
                                  <a:pt x="444500" y="0"/>
                                </a:moveTo>
                                <a:lnTo>
                                  <a:pt x="0" y="0"/>
                                </a:lnTo>
                                <a:lnTo>
                                  <a:pt x="0" y="1397000"/>
                                </a:lnTo>
                                <a:lnTo>
                                  <a:pt x="444500" y="1397000"/>
                                </a:lnTo>
                                <a:lnTo>
                                  <a:pt x="444500" y="0"/>
                                </a:lnTo>
                                <a:close/>
                              </a:path>
                              <a:path w="4406900" h="1397000">
                                <a:moveTo>
                                  <a:pt x="2425700" y="203200"/>
                                </a:moveTo>
                                <a:lnTo>
                                  <a:pt x="1981200" y="203200"/>
                                </a:lnTo>
                                <a:lnTo>
                                  <a:pt x="1981200" y="1397000"/>
                                </a:lnTo>
                                <a:lnTo>
                                  <a:pt x="2425700" y="1397000"/>
                                </a:lnTo>
                                <a:lnTo>
                                  <a:pt x="2425700" y="203200"/>
                                </a:lnTo>
                                <a:close/>
                              </a:path>
                              <a:path w="4406900" h="1397000">
                                <a:moveTo>
                                  <a:pt x="4406900" y="406400"/>
                                </a:moveTo>
                                <a:lnTo>
                                  <a:pt x="3962400" y="406400"/>
                                </a:lnTo>
                                <a:lnTo>
                                  <a:pt x="3962400" y="1397000"/>
                                </a:lnTo>
                                <a:lnTo>
                                  <a:pt x="4406900" y="1397000"/>
                                </a:lnTo>
                                <a:lnTo>
                                  <a:pt x="4406900" y="406400"/>
                                </a:lnTo>
                                <a:close/>
                              </a:path>
                            </a:pathLst>
                          </a:custGeom>
                          <a:solidFill>
                            <a:srgbClr val="0F5D86"/>
                          </a:solidFill>
                        </wps:spPr>
                        <wps:bodyPr wrap="square" lIns="0" tIns="0" rIns="0" bIns="0" rtlCol="0">
                          <a:prstTxWarp prst="textNoShape">
                            <a:avLst/>
                          </a:prstTxWarp>
                          <a:noAutofit/>
                        </wps:bodyPr>
                      </wps:wsp>
                      <wps:wsp>
                        <wps:cNvPr id="513" name="Graphic 513"/>
                        <wps:cNvSpPr/>
                        <wps:spPr>
                          <a:xfrm>
                            <a:off x="0" y="0"/>
                            <a:ext cx="5949950" cy="1480820"/>
                          </a:xfrm>
                          <a:custGeom>
                            <a:avLst/>
                            <a:gdLst/>
                            <a:ahLst/>
                            <a:cxnLst/>
                            <a:rect l="l" t="t" r="r" b="b"/>
                            <a:pathLst>
                              <a:path w="5949950" h="1480820">
                                <a:moveTo>
                                  <a:pt x="12700" y="0"/>
                                </a:moveTo>
                                <a:lnTo>
                                  <a:pt x="0" y="0"/>
                                </a:lnTo>
                                <a:lnTo>
                                  <a:pt x="0" y="1477721"/>
                                </a:lnTo>
                                <a:lnTo>
                                  <a:pt x="2844" y="1480566"/>
                                </a:lnTo>
                                <a:lnTo>
                                  <a:pt x="5949950" y="1480578"/>
                                </a:lnTo>
                                <a:lnTo>
                                  <a:pt x="5949950" y="1467878"/>
                                </a:lnTo>
                                <a:lnTo>
                                  <a:pt x="12700" y="1467866"/>
                                </a:lnTo>
                                <a:lnTo>
                                  <a:pt x="12700" y="0"/>
                                </a:lnTo>
                                <a:close/>
                              </a:path>
                            </a:pathLst>
                          </a:custGeom>
                          <a:solidFill>
                            <a:srgbClr val="BCBEC0"/>
                          </a:solidFill>
                        </wps:spPr>
                        <wps:bodyPr wrap="square" lIns="0" tIns="0" rIns="0" bIns="0" rtlCol="0">
                          <a:prstTxWarp prst="textNoShape">
                            <a:avLst/>
                          </a:prstTxWarp>
                          <a:noAutofit/>
                        </wps:bodyPr>
                      </wps:wsp>
                      <wps:wsp>
                        <wps:cNvPr id="514" name="Textbox 514"/>
                        <wps:cNvSpPr txBox="1"/>
                        <wps:spPr>
                          <a:xfrm>
                            <a:off x="2494540" y="2023"/>
                            <a:ext cx="224790" cy="135890"/>
                          </a:xfrm>
                          <a:prstGeom prst="rect">
                            <a:avLst/>
                          </a:prstGeom>
                        </wps:spPr>
                        <wps:txbx>
                          <w:txbxContent>
                            <w:p>
                              <w:pPr>
                                <w:spacing w:line="207" w:lineRule="exact" w:before="0"/>
                                <w:ind w:left="0" w:right="0" w:firstLine="0"/>
                                <w:jc w:val="left"/>
                                <w:rPr>
                                  <w:sz w:val="18"/>
                                </w:rPr>
                              </w:pPr>
                              <w:r>
                                <w:rPr>
                                  <w:color w:val="636466"/>
                                  <w:spacing w:val="-7"/>
                                  <w:sz w:val="18"/>
                                </w:rPr>
                                <w:t>36%</w:t>
                              </w:r>
                            </w:p>
                          </w:txbxContent>
                        </wps:txbx>
                        <wps:bodyPr wrap="square" lIns="0" tIns="0" rIns="0" bIns="0" rtlCol="0">
                          <a:noAutofit/>
                        </wps:bodyPr>
                      </wps:wsp>
                      <wps:wsp>
                        <wps:cNvPr id="515" name="Textbox 515"/>
                        <wps:cNvSpPr txBox="1"/>
                        <wps:spPr>
                          <a:xfrm>
                            <a:off x="3032779" y="90948"/>
                            <a:ext cx="224790" cy="135890"/>
                          </a:xfrm>
                          <a:prstGeom prst="rect">
                            <a:avLst/>
                          </a:prstGeom>
                        </wps:spPr>
                        <wps:txbx>
                          <w:txbxContent>
                            <w:p>
                              <w:pPr>
                                <w:spacing w:line="207" w:lineRule="exact" w:before="0"/>
                                <w:ind w:left="0" w:right="0" w:firstLine="0"/>
                                <w:jc w:val="left"/>
                                <w:rPr>
                                  <w:sz w:val="18"/>
                                </w:rPr>
                              </w:pPr>
                              <w:r>
                                <w:rPr>
                                  <w:color w:val="636466"/>
                                  <w:spacing w:val="-7"/>
                                  <w:sz w:val="18"/>
                                </w:rPr>
                                <w:t>33%</w:t>
                              </w:r>
                            </w:p>
                          </w:txbxContent>
                        </wps:txbx>
                        <wps:bodyPr wrap="square" lIns="0" tIns="0" rIns="0" bIns="0" rtlCol="0">
                          <a:noAutofit/>
                        </wps:bodyPr>
                      </wps:wsp>
                      <wps:wsp>
                        <wps:cNvPr id="516" name="Textbox 516"/>
                        <wps:cNvSpPr txBox="1"/>
                        <wps:spPr>
                          <a:xfrm>
                            <a:off x="5038058" y="281486"/>
                            <a:ext cx="224790" cy="135890"/>
                          </a:xfrm>
                          <a:prstGeom prst="rect">
                            <a:avLst/>
                          </a:prstGeom>
                        </wps:spPr>
                        <wps:txbx>
                          <w:txbxContent>
                            <w:p>
                              <w:pPr>
                                <w:spacing w:line="207" w:lineRule="exact" w:before="0"/>
                                <w:ind w:left="0" w:right="0" w:firstLine="0"/>
                                <w:jc w:val="left"/>
                                <w:rPr>
                                  <w:sz w:val="18"/>
                                </w:rPr>
                              </w:pPr>
                              <w:r>
                                <w:rPr>
                                  <w:color w:val="636466"/>
                                  <w:spacing w:val="-7"/>
                                  <w:sz w:val="18"/>
                                </w:rPr>
                                <w:t>28%</w:t>
                              </w:r>
                            </w:p>
                          </w:txbxContent>
                        </wps:txbx>
                        <wps:bodyPr wrap="square" lIns="0" tIns="0" rIns="0" bIns="0" rtlCol="0">
                          <a:noAutofit/>
                        </wps:bodyPr>
                      </wps:wsp>
                      <wps:wsp>
                        <wps:cNvPr id="517" name="Textbox 517"/>
                        <wps:cNvSpPr txBox="1"/>
                        <wps:spPr>
                          <a:xfrm>
                            <a:off x="4474330" y="446535"/>
                            <a:ext cx="224790" cy="135890"/>
                          </a:xfrm>
                          <a:prstGeom prst="rect">
                            <a:avLst/>
                          </a:prstGeom>
                        </wps:spPr>
                        <wps:txbx>
                          <w:txbxContent>
                            <w:p>
                              <w:pPr>
                                <w:spacing w:line="207" w:lineRule="exact" w:before="0"/>
                                <w:ind w:left="0" w:right="0" w:firstLine="0"/>
                                <w:jc w:val="left"/>
                                <w:rPr>
                                  <w:sz w:val="18"/>
                                </w:rPr>
                              </w:pPr>
                              <w:r>
                                <w:rPr>
                                  <w:color w:val="636466"/>
                                  <w:spacing w:val="-7"/>
                                  <w:sz w:val="18"/>
                                </w:rPr>
                                <w:t>23%</w:t>
                              </w:r>
                            </w:p>
                          </w:txbxContent>
                        </wps:txbx>
                        <wps:bodyPr wrap="square" lIns="0" tIns="0" rIns="0" bIns="0" rtlCol="0">
                          <a:noAutofit/>
                        </wps:bodyPr>
                      </wps:wsp>
                    </wpg:wgp>
                  </a:graphicData>
                </a:graphic>
              </wp:anchor>
            </w:drawing>
          </mc:Choice>
          <mc:Fallback>
            <w:pict>
              <v:group style="position:absolute;margin-left:687.041992pt;margin-top:9.869988pt;width:468.5pt;height:116.6pt;mso-position-horizontal-relative:page;mso-position-vertical-relative:paragraph;z-index:15778304" id="docshapegroup419" coordorigin="13741,197" coordsize="9370,2332">
                <v:shape style="position:absolute;left:14377;top:209;width:700;height:54" type="#_x0000_t75" id="docshape420" stroked="false">
                  <v:imagedata r:id="rId61" o:title=""/>
                </v:shape>
                <v:shape style="position:absolute;left:14377;top:262;width:700;height:161" type="#_x0000_t75" id="docshape421" stroked="false">
                  <v:imagedata r:id="rId62" o:title=""/>
                </v:shape>
                <v:shape style="position:absolute;left:14377;top:422;width:700;height:161" type="#_x0000_t75" id="docshape422" stroked="false">
                  <v:imagedata r:id="rId63" o:title=""/>
                </v:shape>
                <v:shape style="position:absolute;left:17497;top:489;width:700;height:254" type="#_x0000_t75" id="docshape423" stroked="false">
                  <v:imagedata r:id="rId64" o:title=""/>
                </v:shape>
                <v:shape style="position:absolute;left:14377;top:582;width:700;height:160" type="#_x0000_t75" id="docshape424" stroked="false">
                  <v:imagedata r:id="rId65" o:title=""/>
                </v:shape>
                <v:shape style="position:absolute;left:17497;top:582;width:700;height:320" type="#_x0000_t75" id="docshape425" stroked="false">
                  <v:imagedata r:id="rId66" o:title=""/>
                </v:shape>
                <v:shape style="position:absolute;left:14377;top:742;width:700;height:160" type="#_x0000_t75" id="docshape426" stroked="false">
                  <v:imagedata r:id="rId65" o:title=""/>
                </v:shape>
                <v:shape style="position:absolute;left:17497;top:742;width:700;height:320" type="#_x0000_t75" id="docshape427" stroked="false">
                  <v:imagedata r:id="rId66" o:title=""/>
                </v:shape>
                <v:shape style="position:absolute;left:14377;top:902;width:700;height:160" type="#_x0000_t75" id="docshape428" stroked="false">
                  <v:imagedata r:id="rId65" o:title=""/>
                </v:shape>
                <v:shape style="position:absolute;left:17497;top:902;width:700;height:321" type="#_x0000_t75" id="docshape429" stroked="false">
                  <v:imagedata r:id="rId67" o:title=""/>
                </v:shape>
                <v:shape style="position:absolute;left:14377;top:1062;width:700;height:161" type="#_x0000_t75" id="docshape430" stroked="false">
                  <v:imagedata r:id="rId65" o:title=""/>
                </v:shape>
                <v:shape style="position:absolute;left:17497;top:1062;width:700;height:321" type="#_x0000_t75" id="docshape431" stroked="false">
                  <v:imagedata r:id="rId68" o:title=""/>
                </v:shape>
                <v:shape style="position:absolute;left:20617;top:1189;width:701;height:34" type="#_x0000_t75" id="docshape432" stroked="false">
                  <v:imagedata r:id="rId69" o:title=""/>
                </v:shape>
                <v:shape style="position:absolute;left:14377;top:1222;width:700;height:161" type="#_x0000_t75" id="docshape433" stroked="false">
                  <v:imagedata r:id="rId65" o:title=""/>
                </v:shape>
                <v:shape style="position:absolute;left:17497;top:1222;width:700;height:321" type="#_x0000_t75" id="docshape434" stroked="false">
                  <v:imagedata r:id="rId70" o:title=""/>
                </v:shape>
                <v:shape style="position:absolute;left:20617;top:1222;width:701;height:161" type="#_x0000_t75" id="docshape435" stroked="false">
                  <v:imagedata r:id="rId65" o:title=""/>
                </v:shape>
                <v:shape style="position:absolute;left:14377;top:1382;width:700;height:161" type="#_x0000_t75" id="docshape436" stroked="false">
                  <v:imagedata r:id="rId71" o:title=""/>
                </v:shape>
                <v:shape style="position:absolute;left:17497;top:1382;width:700;height:320" type="#_x0000_t75" id="docshape437" stroked="false">
                  <v:imagedata r:id="rId72" o:title=""/>
                </v:shape>
                <v:shape style="position:absolute;left:20617;top:1382;width:701;height:160" type="#_x0000_t75" id="docshape438" stroked="false">
                  <v:imagedata r:id="rId65" o:title=""/>
                </v:shape>
                <v:shape style="position:absolute;left:14377;top:1542;width:700;height:160" type="#_x0000_t75" id="docshape439" stroked="false">
                  <v:imagedata r:id="rId65" o:title=""/>
                </v:shape>
                <v:shape style="position:absolute;left:17497;top:1542;width:700;height:320" type="#_x0000_t75" id="docshape440" stroked="false">
                  <v:imagedata r:id="rId67" o:title=""/>
                </v:shape>
                <v:shape style="position:absolute;left:20617;top:1542;width:701;height:160" type="#_x0000_t75" id="docshape441" stroked="false">
                  <v:imagedata r:id="rId65" o:title=""/>
                </v:shape>
                <v:shape style="position:absolute;left:14377;top:1702;width:700;height:160" type="#_x0000_t75" id="docshape442" stroked="false">
                  <v:imagedata r:id="rId65" o:title=""/>
                </v:shape>
                <v:shape style="position:absolute;left:17497;top:1702;width:700;height:320" type="#_x0000_t75" id="docshape443" stroked="false">
                  <v:imagedata r:id="rId66" o:title=""/>
                </v:shape>
                <v:shape style="position:absolute;left:20617;top:1702;width:701;height:160" type="#_x0000_t75" id="docshape444" stroked="false">
                  <v:imagedata r:id="rId65" o:title=""/>
                </v:shape>
                <v:shape style="position:absolute;left:14377;top:1862;width:700;height:160" type="#_x0000_t75" id="docshape445" stroked="false">
                  <v:imagedata r:id="rId65" o:title=""/>
                </v:shape>
                <v:shape style="position:absolute;left:17497;top:1862;width:700;height:321" type="#_x0000_t75" id="docshape446" stroked="false">
                  <v:imagedata r:id="rId72" o:title=""/>
                </v:shape>
                <v:shape style="position:absolute;left:20617;top:1862;width:701;height:160" type="#_x0000_t75" id="docshape447" stroked="false">
                  <v:imagedata r:id="rId65" o:title=""/>
                </v:shape>
                <v:shape style="position:absolute;left:14377;top:2022;width:700;height:160" type="#_x0000_t75" id="docshape448" stroked="false">
                  <v:imagedata r:id="rId65" o:title=""/>
                </v:shape>
                <v:shape style="position:absolute;left:17497;top:2022;width:700;height:320" type="#_x0000_t75" id="docshape449" stroked="false">
                  <v:imagedata r:id="rId66" o:title=""/>
                </v:shape>
                <v:shape style="position:absolute;left:20617;top:2022;width:701;height:160" type="#_x0000_t75" id="docshape450" stroked="false">
                  <v:imagedata r:id="rId65" o:title=""/>
                </v:shape>
                <v:shape style="position:absolute;left:14377;top:2182;width:700;height:160" type="#_x0000_t75" id="docshape451" stroked="false">
                  <v:imagedata r:id="rId65" o:title=""/>
                </v:shape>
                <v:shape style="position:absolute;left:17497;top:2182;width:700;height:320" type="#_x0000_t75" id="docshape452" stroked="false">
                  <v:imagedata r:id="rId66" o:title=""/>
                </v:shape>
                <v:shape style="position:absolute;left:20617;top:2182;width:701;height:160" type="#_x0000_t75" id="docshape453" stroked="false">
                  <v:imagedata r:id="rId65" o:title=""/>
                </v:shape>
                <v:shape style="position:absolute;left:14377;top:2342;width:700;height:167" type="#_x0000_t75" id="docshape454" stroked="false">
                  <v:imagedata r:id="rId73" o:title=""/>
                </v:shape>
                <v:shape style="position:absolute;left:17497;top:2342;width:700;height:167" type="#_x0000_t75" id="docshape455" stroked="false">
                  <v:imagedata r:id="rId74" o:title=""/>
                </v:shape>
                <v:shape style="position:absolute;left:20617;top:2342;width:701;height:167" type="#_x0000_t75" id="docshape456" stroked="false">
                  <v:imagedata r:id="rId73" o:title=""/>
                </v:shape>
                <v:shape style="position:absolute;left:15257;top:309;width:6940;height:2200" id="docshape457" coordorigin="15257,309" coordsize="6940,2200" path="m15957,309l15257,309,15257,2509,15957,2509,15957,309xm19077,629l18377,629,18377,2509,19077,2509,19077,629xm22197,949l21497,949,21497,2509,22197,2509,22197,949xe" filled="true" fillcolor="#0f5d86" stroked="false">
                  <v:path arrowok="t"/>
                  <v:fill type="solid"/>
                </v:shape>
                <v:shape style="position:absolute;left:13740;top:197;width:9370;height:2332" id="docshape458" coordorigin="13741,197" coordsize="9370,2332" path="m13761,197l13741,197,13741,2525,13745,2529,23111,2529,23111,2509,13761,2509,13761,197xe" filled="true" fillcolor="#bcbec0" stroked="false">
                  <v:path arrowok="t"/>
                  <v:fill type="solid"/>
                </v:shape>
                <v:shape style="position:absolute;left:17669;top:200;width:354;height:214" type="#_x0000_t202" id="docshape459" filled="false" stroked="false">
                  <v:textbox inset="0,0,0,0">
                    <w:txbxContent>
                      <w:p>
                        <w:pPr>
                          <w:spacing w:line="207" w:lineRule="exact" w:before="0"/>
                          <w:ind w:left="0" w:right="0" w:firstLine="0"/>
                          <w:jc w:val="left"/>
                          <w:rPr>
                            <w:sz w:val="18"/>
                          </w:rPr>
                        </w:pPr>
                        <w:r>
                          <w:rPr>
                            <w:color w:val="636466"/>
                            <w:spacing w:val="-7"/>
                            <w:sz w:val="18"/>
                          </w:rPr>
                          <w:t>36%</w:t>
                        </w:r>
                      </w:p>
                    </w:txbxContent>
                  </v:textbox>
                  <w10:wrap type="none"/>
                </v:shape>
                <v:shape style="position:absolute;left:18516;top:340;width:354;height:214" type="#_x0000_t202" id="docshape460" filled="false" stroked="false">
                  <v:textbox inset="0,0,0,0">
                    <w:txbxContent>
                      <w:p>
                        <w:pPr>
                          <w:spacing w:line="207" w:lineRule="exact" w:before="0"/>
                          <w:ind w:left="0" w:right="0" w:firstLine="0"/>
                          <w:jc w:val="left"/>
                          <w:rPr>
                            <w:sz w:val="18"/>
                          </w:rPr>
                        </w:pPr>
                        <w:r>
                          <w:rPr>
                            <w:color w:val="636466"/>
                            <w:spacing w:val="-7"/>
                            <w:sz w:val="18"/>
                          </w:rPr>
                          <w:t>33%</w:t>
                        </w:r>
                      </w:p>
                    </w:txbxContent>
                  </v:textbox>
                  <w10:wrap type="none"/>
                </v:shape>
                <v:shape style="position:absolute;left:21674;top:640;width:354;height:214" type="#_x0000_t202" id="docshape461" filled="false" stroked="false">
                  <v:textbox inset="0,0,0,0">
                    <w:txbxContent>
                      <w:p>
                        <w:pPr>
                          <w:spacing w:line="207" w:lineRule="exact" w:before="0"/>
                          <w:ind w:left="0" w:right="0" w:firstLine="0"/>
                          <w:jc w:val="left"/>
                          <w:rPr>
                            <w:sz w:val="18"/>
                          </w:rPr>
                        </w:pPr>
                        <w:r>
                          <w:rPr>
                            <w:color w:val="636466"/>
                            <w:spacing w:val="-7"/>
                            <w:sz w:val="18"/>
                          </w:rPr>
                          <w:t>28%</w:t>
                        </w:r>
                      </w:p>
                    </w:txbxContent>
                  </v:textbox>
                  <w10:wrap type="none"/>
                </v:shape>
                <v:shape style="position:absolute;left:20787;top:900;width:354;height:214" type="#_x0000_t202" id="docshape462" filled="false" stroked="false">
                  <v:textbox inset="0,0,0,0">
                    <w:txbxContent>
                      <w:p>
                        <w:pPr>
                          <w:spacing w:line="207" w:lineRule="exact" w:before="0"/>
                          <w:ind w:left="0" w:right="0" w:firstLine="0"/>
                          <w:jc w:val="left"/>
                          <w:rPr>
                            <w:sz w:val="18"/>
                          </w:rPr>
                        </w:pPr>
                        <w:r>
                          <w:rPr>
                            <w:color w:val="636466"/>
                            <w:spacing w:val="-7"/>
                            <w:sz w:val="18"/>
                          </w:rPr>
                          <w:t>23%</w:t>
                        </w:r>
                      </w:p>
                    </w:txbxContent>
                  </v:textbox>
                  <w10:wrap type="none"/>
                </v:shape>
                <w10:wrap type="none"/>
              </v:group>
            </w:pict>
          </mc:Fallback>
        </mc:AlternateContent>
      </w:r>
      <w:r>
        <w:rPr>
          <w:color w:val="636466"/>
          <w:spacing w:val="-5"/>
          <w:sz w:val="18"/>
        </w:rPr>
        <w:t>39%</w:t>
      </w:r>
    </w:p>
    <w:p>
      <w:pPr>
        <w:pStyle w:val="BodyText"/>
        <w:spacing w:before="72"/>
        <w:rPr>
          <w:sz w:val="18"/>
        </w:rPr>
      </w:pPr>
      <w:r>
        <w:rPr/>
        <w:br w:type="column"/>
      </w:r>
      <w:r>
        <w:rPr>
          <w:sz w:val="18"/>
        </w:rPr>
      </w:r>
    </w:p>
    <w:p>
      <w:pPr>
        <w:tabs>
          <w:tab w:pos="1673" w:val="left" w:leader="none"/>
        </w:tabs>
        <w:spacing w:before="0"/>
        <w:ind w:left="933" w:right="0" w:firstLine="0"/>
        <w:jc w:val="left"/>
        <w:rPr>
          <w:sz w:val="18"/>
        </w:rPr>
      </w:pPr>
      <w:r>
        <w:rPr/>
        <w:drawing>
          <wp:inline distT="0" distB="0" distL="0" distR="0">
            <wp:extent cx="63500" cy="63500"/>
            <wp:effectExtent l="0" t="0" r="0" b="0"/>
            <wp:docPr id="518" name="Image 518"/>
            <wp:cNvGraphicFramePr>
              <a:graphicFrameLocks/>
            </wp:cNvGraphicFramePr>
            <a:graphic>
              <a:graphicData uri="http://schemas.openxmlformats.org/drawingml/2006/picture">
                <pic:pic>
                  <pic:nvPicPr>
                    <pic:cNvPr id="518" name="Image 518"/>
                    <pic:cNvPicPr/>
                  </pic:nvPicPr>
                  <pic:blipFill>
                    <a:blip r:embed="rId75" cstate="print"/>
                    <a:stretch>
                      <a:fillRect/>
                    </a:stretch>
                  </pic:blipFill>
                  <pic:spPr>
                    <a:xfrm>
                      <a:off x="0" y="0"/>
                      <a:ext cx="63500" cy="63500"/>
                    </a:xfrm>
                    <a:prstGeom prst="rect">
                      <a:avLst/>
                    </a:prstGeom>
                  </pic:spPr>
                </pic:pic>
              </a:graphicData>
            </a:graphic>
          </wp:inline>
        </w:drawing>
      </w:r>
      <w:r>
        <w:rPr/>
      </w:r>
      <w:r>
        <w:rPr>
          <w:rFonts w:ascii="Times New Roman"/>
          <w:sz w:val="20"/>
        </w:rPr>
        <w:t> </w:t>
      </w:r>
      <w:r>
        <w:rPr>
          <w:color w:val="636466"/>
          <w:sz w:val="18"/>
        </w:rPr>
        <w:t>2012</w:t>
        <w:tab/>
      </w:r>
      <w:r>
        <w:rPr>
          <w:color w:val="636466"/>
          <w:sz w:val="18"/>
        </w:rPr>
        <w:drawing>
          <wp:inline distT="0" distB="0" distL="0" distR="0">
            <wp:extent cx="63500" cy="63500"/>
            <wp:effectExtent l="0" t="0" r="0" b="0"/>
            <wp:docPr id="519" name="Image 519"/>
            <wp:cNvGraphicFramePr>
              <a:graphicFrameLocks/>
            </wp:cNvGraphicFramePr>
            <a:graphic>
              <a:graphicData uri="http://schemas.openxmlformats.org/drawingml/2006/picture">
                <pic:pic>
                  <pic:nvPicPr>
                    <pic:cNvPr id="519" name="Image 519"/>
                    <pic:cNvPicPr/>
                  </pic:nvPicPr>
                  <pic:blipFill>
                    <a:blip r:embed="rId76" cstate="print"/>
                    <a:stretch>
                      <a:fillRect/>
                    </a:stretch>
                  </pic:blipFill>
                  <pic:spPr>
                    <a:xfrm>
                      <a:off x="0" y="0"/>
                      <a:ext cx="63500" cy="63500"/>
                    </a:xfrm>
                    <a:prstGeom prst="rect">
                      <a:avLst/>
                    </a:prstGeom>
                  </pic:spPr>
                </pic:pic>
              </a:graphicData>
            </a:graphic>
          </wp:inline>
        </w:drawing>
      </w:r>
      <w:r>
        <w:rPr>
          <w:color w:val="636466"/>
          <w:sz w:val="18"/>
        </w:rPr>
      </w:r>
      <w:r>
        <w:rPr>
          <w:rFonts w:ascii="Times New Roman"/>
          <w:color w:val="636466"/>
          <w:sz w:val="18"/>
        </w:rPr>
        <w:t> </w:t>
      </w:r>
      <w:r>
        <w:rPr>
          <w:color w:val="636466"/>
          <w:sz w:val="18"/>
        </w:rPr>
        <w:t>2017</w:t>
      </w:r>
    </w:p>
    <w:p>
      <w:pPr>
        <w:spacing w:after="0"/>
        <w:jc w:val="left"/>
        <w:rPr>
          <w:sz w:val="18"/>
        </w:rPr>
        <w:sectPr>
          <w:type w:val="continuous"/>
          <w:pgSz w:w="24480" w:h="15840" w:orient="landscape"/>
          <w:pgMar w:header="0" w:footer="0" w:top="0" w:bottom="280" w:left="0" w:right="720"/>
          <w:cols w:num="4" w:equalWidth="0">
            <w:col w:w="11167" w:space="2265"/>
            <w:col w:w="1414" w:space="39"/>
            <w:col w:w="888" w:space="4204"/>
            <w:col w:w="3783"/>
          </w:cols>
        </w:sectPr>
      </w:pPr>
    </w:p>
    <w:p>
      <w:pPr>
        <w:pStyle w:val="BodyText"/>
        <w:spacing w:line="247" w:lineRule="auto" w:before="13"/>
        <w:ind w:left="1079"/>
      </w:pPr>
      <w:r>
        <w:rPr>
          <w:color w:val="105C84"/>
        </w:rPr>
        <w:t>codes which make up the City of Elmira are polar opposites when it comes to income- one half of the</w:t>
      </w:r>
      <w:r>
        <w:rPr>
          <w:color w:val="105C84"/>
          <w:spacing w:val="40"/>
        </w:rPr>
        <w:t> </w:t>
      </w:r>
      <w:r>
        <w:rPr>
          <w:color w:val="105C84"/>
        </w:rPr>
        <w:t>City is very poor, while the other half is rather wealthy.</w:t>
      </w:r>
    </w:p>
    <w:p>
      <w:pPr>
        <w:pStyle w:val="BodyText"/>
        <w:spacing w:before="18"/>
      </w:pPr>
    </w:p>
    <w:p>
      <w:pPr>
        <w:pStyle w:val="Heading6"/>
        <w:spacing w:before="1"/>
      </w:pPr>
      <w:r>
        <w:rPr>
          <w:color w:val="105C84"/>
        </w:rPr>
        <w:t>MAP</w:t>
      </w:r>
      <w:r>
        <w:rPr>
          <w:color w:val="105C84"/>
          <w:spacing w:val="-5"/>
        </w:rPr>
        <w:t> </w:t>
      </w:r>
      <w:r>
        <w:rPr>
          <w:color w:val="105C84"/>
        </w:rPr>
        <w:t>6:</w:t>
      </w:r>
      <w:r>
        <w:rPr>
          <w:color w:val="105C84"/>
          <w:spacing w:val="-4"/>
        </w:rPr>
        <w:t> </w:t>
      </w:r>
      <w:r>
        <w:rPr>
          <w:color w:val="105C84"/>
        </w:rPr>
        <w:t>Poverty</w:t>
      </w:r>
      <w:r>
        <w:rPr>
          <w:color w:val="105C84"/>
          <w:spacing w:val="-5"/>
        </w:rPr>
        <w:t> </w:t>
      </w:r>
      <w:r>
        <w:rPr>
          <w:color w:val="105C84"/>
        </w:rPr>
        <w:t>rates</w:t>
      </w:r>
      <w:r>
        <w:rPr>
          <w:color w:val="105C84"/>
          <w:spacing w:val="-4"/>
        </w:rPr>
        <w:t> </w:t>
      </w:r>
      <w:r>
        <w:rPr>
          <w:color w:val="105C84"/>
        </w:rPr>
        <w:t>by</w:t>
      </w:r>
      <w:r>
        <w:rPr>
          <w:color w:val="105C84"/>
          <w:spacing w:val="-5"/>
        </w:rPr>
        <w:t> </w:t>
      </w:r>
      <w:r>
        <w:rPr>
          <w:color w:val="105C84"/>
        </w:rPr>
        <w:t>ZIP</w:t>
      </w:r>
      <w:r>
        <w:rPr>
          <w:color w:val="105C84"/>
          <w:spacing w:val="-4"/>
        </w:rPr>
        <w:t> code</w:t>
      </w:r>
    </w:p>
    <w:p>
      <w:pPr>
        <w:tabs>
          <w:tab w:pos="5028" w:val="left" w:leader="none"/>
          <w:tab w:pos="8019" w:val="left" w:leader="none"/>
        </w:tabs>
        <w:spacing w:before="56"/>
        <w:ind w:left="1534" w:right="0" w:firstLine="0"/>
        <w:jc w:val="left"/>
        <w:rPr>
          <w:sz w:val="18"/>
        </w:rPr>
      </w:pPr>
      <w:r>
        <w:rPr/>
        <w:br w:type="column"/>
      </w:r>
      <w:r>
        <w:rPr>
          <w:color w:val="636466"/>
          <w:sz w:val="18"/>
        </w:rPr>
        <w:t>High School</w:t>
      </w:r>
      <w:r>
        <w:rPr>
          <w:color w:val="636466"/>
          <w:spacing w:val="1"/>
          <w:sz w:val="18"/>
        </w:rPr>
        <w:t> </w:t>
      </w:r>
      <w:r>
        <w:rPr>
          <w:color w:val="636466"/>
          <w:sz w:val="18"/>
        </w:rPr>
        <w:t>Degree or</w:t>
      </w:r>
      <w:r>
        <w:rPr>
          <w:color w:val="636466"/>
          <w:spacing w:val="1"/>
          <w:sz w:val="18"/>
        </w:rPr>
        <w:t> </w:t>
      </w:r>
      <w:r>
        <w:rPr>
          <w:color w:val="636466"/>
          <w:spacing w:val="-2"/>
          <w:sz w:val="18"/>
        </w:rPr>
        <w:t>Equivalent</w:t>
      </w:r>
      <w:r>
        <w:rPr>
          <w:color w:val="636466"/>
          <w:sz w:val="18"/>
        </w:rPr>
        <w:tab/>
        <w:t>Some</w:t>
      </w:r>
      <w:r>
        <w:rPr>
          <w:color w:val="636466"/>
          <w:spacing w:val="-2"/>
          <w:sz w:val="18"/>
        </w:rPr>
        <w:t> </w:t>
      </w:r>
      <w:r>
        <w:rPr>
          <w:color w:val="636466"/>
          <w:sz w:val="18"/>
        </w:rPr>
        <w:t>College</w:t>
      </w:r>
      <w:r>
        <w:rPr>
          <w:color w:val="636466"/>
          <w:spacing w:val="-2"/>
          <w:sz w:val="18"/>
        </w:rPr>
        <w:t> Experience</w:t>
      </w:r>
      <w:r>
        <w:rPr>
          <w:color w:val="636466"/>
          <w:sz w:val="18"/>
        </w:rPr>
        <w:tab/>
        <w:t>Bachelor's</w:t>
      </w:r>
      <w:r>
        <w:rPr>
          <w:color w:val="636466"/>
          <w:spacing w:val="-1"/>
          <w:sz w:val="18"/>
        </w:rPr>
        <w:t> </w:t>
      </w:r>
      <w:r>
        <w:rPr>
          <w:color w:val="636466"/>
          <w:sz w:val="18"/>
        </w:rPr>
        <w:t>Degree</w:t>
      </w:r>
      <w:r>
        <w:rPr>
          <w:color w:val="636466"/>
          <w:spacing w:val="-1"/>
          <w:sz w:val="18"/>
        </w:rPr>
        <w:t> </w:t>
      </w:r>
      <w:r>
        <w:rPr>
          <w:color w:val="636466"/>
          <w:sz w:val="18"/>
        </w:rPr>
        <w:t>or</w:t>
      </w:r>
      <w:r>
        <w:rPr>
          <w:color w:val="636466"/>
          <w:spacing w:val="-1"/>
          <w:sz w:val="18"/>
        </w:rPr>
        <w:t> </w:t>
      </w:r>
      <w:r>
        <w:rPr>
          <w:color w:val="636466"/>
          <w:spacing w:val="-2"/>
          <w:sz w:val="18"/>
        </w:rPr>
        <w:t>Higher</w:t>
      </w:r>
    </w:p>
    <w:p>
      <w:pPr>
        <w:pStyle w:val="BodyText"/>
        <w:spacing w:before="125"/>
        <w:rPr>
          <w:sz w:val="18"/>
        </w:rPr>
      </w:pPr>
    </w:p>
    <w:p>
      <w:pPr>
        <w:spacing w:before="0"/>
        <w:ind w:left="1550" w:right="0" w:firstLine="0"/>
        <w:jc w:val="left"/>
        <w:rPr>
          <w:sz w:val="16"/>
        </w:rPr>
      </w:pPr>
      <w:r>
        <w:rPr>
          <w:color w:val="105C84"/>
          <w:spacing w:val="-2"/>
          <w:sz w:val="16"/>
        </w:rPr>
        <w:t>Data</w:t>
      </w:r>
      <w:r>
        <w:rPr>
          <w:color w:val="105C84"/>
          <w:spacing w:val="-8"/>
          <w:sz w:val="16"/>
        </w:rPr>
        <w:t> </w:t>
      </w:r>
      <w:r>
        <w:rPr>
          <w:color w:val="105C84"/>
          <w:spacing w:val="-2"/>
          <w:sz w:val="16"/>
        </w:rPr>
        <w:t>Source:</w:t>
      </w:r>
      <w:r>
        <w:rPr>
          <w:color w:val="105C84"/>
          <w:spacing w:val="-8"/>
          <w:sz w:val="16"/>
        </w:rPr>
        <w:t> </w:t>
      </w:r>
      <w:r>
        <w:rPr>
          <w:color w:val="105C84"/>
          <w:spacing w:val="-2"/>
          <w:sz w:val="16"/>
        </w:rPr>
        <w:t>U.S.</w:t>
      </w:r>
      <w:r>
        <w:rPr>
          <w:color w:val="105C84"/>
          <w:spacing w:val="-8"/>
          <w:sz w:val="16"/>
        </w:rPr>
        <w:t> </w:t>
      </w:r>
      <w:r>
        <w:rPr>
          <w:color w:val="105C84"/>
          <w:spacing w:val="-2"/>
          <w:sz w:val="16"/>
        </w:rPr>
        <w:t>Census</w:t>
      </w:r>
      <w:r>
        <w:rPr>
          <w:color w:val="105C84"/>
          <w:spacing w:val="-8"/>
          <w:sz w:val="16"/>
        </w:rPr>
        <w:t> </w:t>
      </w:r>
      <w:r>
        <w:rPr>
          <w:color w:val="105C84"/>
          <w:spacing w:val="-2"/>
          <w:sz w:val="16"/>
        </w:rPr>
        <w:t>Bureau</w:t>
      </w:r>
      <w:r>
        <w:rPr>
          <w:color w:val="105C84"/>
          <w:spacing w:val="-8"/>
          <w:sz w:val="16"/>
        </w:rPr>
        <w:t> </w:t>
      </w:r>
      <w:r>
        <w:rPr>
          <w:color w:val="105C84"/>
          <w:spacing w:val="-2"/>
          <w:sz w:val="16"/>
        </w:rPr>
        <w:t>American</w:t>
      </w:r>
      <w:r>
        <w:rPr>
          <w:color w:val="105C84"/>
          <w:spacing w:val="-8"/>
          <w:sz w:val="16"/>
        </w:rPr>
        <w:t> </w:t>
      </w:r>
      <w:r>
        <w:rPr>
          <w:color w:val="105C84"/>
          <w:spacing w:val="-2"/>
          <w:sz w:val="16"/>
        </w:rPr>
        <w:t>Communtiy</w:t>
      </w:r>
      <w:r>
        <w:rPr>
          <w:color w:val="105C84"/>
          <w:spacing w:val="-8"/>
          <w:sz w:val="16"/>
        </w:rPr>
        <w:t> </w:t>
      </w:r>
      <w:r>
        <w:rPr>
          <w:color w:val="105C84"/>
          <w:spacing w:val="-2"/>
          <w:sz w:val="16"/>
        </w:rPr>
        <w:t>Survey</w:t>
      </w:r>
      <w:r>
        <w:rPr>
          <w:color w:val="105C84"/>
          <w:spacing w:val="-8"/>
          <w:sz w:val="16"/>
        </w:rPr>
        <w:t> </w:t>
      </w:r>
      <w:r>
        <w:rPr>
          <w:color w:val="105C84"/>
          <w:spacing w:val="-2"/>
          <w:sz w:val="16"/>
        </w:rPr>
        <w:t>5-Year</w:t>
      </w:r>
      <w:r>
        <w:rPr>
          <w:color w:val="105C84"/>
          <w:spacing w:val="-8"/>
          <w:sz w:val="16"/>
        </w:rPr>
        <w:t> </w:t>
      </w:r>
      <w:r>
        <w:rPr>
          <w:color w:val="105C84"/>
          <w:spacing w:val="-2"/>
          <w:sz w:val="16"/>
        </w:rPr>
        <w:t>Estimates</w:t>
      </w:r>
    </w:p>
    <w:p>
      <w:pPr>
        <w:pStyle w:val="BodyText"/>
        <w:rPr>
          <w:sz w:val="16"/>
        </w:rPr>
      </w:pPr>
    </w:p>
    <w:p>
      <w:pPr>
        <w:pStyle w:val="BodyText"/>
        <w:rPr>
          <w:sz w:val="16"/>
        </w:rPr>
      </w:pPr>
    </w:p>
    <w:p>
      <w:pPr>
        <w:pStyle w:val="BodyText"/>
        <w:spacing w:before="82"/>
        <w:rPr>
          <w:sz w:val="16"/>
        </w:rPr>
      </w:pPr>
    </w:p>
    <w:p>
      <w:pPr>
        <w:pStyle w:val="BodyText"/>
        <w:spacing w:line="247" w:lineRule="auto"/>
        <w:ind w:left="1079" w:right="405"/>
      </w:pPr>
      <w:r>
        <w:rPr>
          <w:color w:val="105C84"/>
        </w:rPr>
        <w:t>Data below show the trend in uninsured rates over the past 5 years compared to the eight county region and NYS which has decreased 35% since 2012 for Chemung County (Figure 18).</w:t>
      </w:r>
    </w:p>
    <w:p>
      <w:pPr>
        <w:pStyle w:val="BodyText"/>
        <w:spacing w:before="18"/>
      </w:pPr>
    </w:p>
    <w:p>
      <w:pPr>
        <w:pStyle w:val="Heading6"/>
        <w:spacing w:before="1"/>
        <w:ind w:left="1079"/>
      </w:pPr>
      <w:r>
        <w:rPr>
          <w:color w:val="105C84"/>
        </w:rPr>
        <w:t>Figure</w:t>
      </w:r>
      <w:r>
        <w:rPr>
          <w:color w:val="105C84"/>
          <w:spacing w:val="-18"/>
        </w:rPr>
        <w:t> </w:t>
      </w:r>
      <w:r>
        <w:rPr>
          <w:color w:val="105C84"/>
        </w:rPr>
        <w:t>18:</w:t>
      </w:r>
      <w:r>
        <w:rPr>
          <w:color w:val="105C84"/>
          <w:spacing w:val="-17"/>
        </w:rPr>
        <w:t> </w:t>
      </w:r>
      <w:r>
        <w:rPr>
          <w:color w:val="105C84"/>
        </w:rPr>
        <w:t>Percent</w:t>
      </w:r>
      <w:r>
        <w:rPr>
          <w:color w:val="105C84"/>
          <w:spacing w:val="-17"/>
        </w:rPr>
        <w:t> </w:t>
      </w:r>
      <w:r>
        <w:rPr>
          <w:color w:val="105C84"/>
        </w:rPr>
        <w:t>of</w:t>
      </w:r>
      <w:r>
        <w:rPr>
          <w:color w:val="105C84"/>
          <w:spacing w:val="-18"/>
        </w:rPr>
        <w:t> </w:t>
      </w:r>
      <w:r>
        <w:rPr>
          <w:color w:val="105C84"/>
        </w:rPr>
        <w:t>population</w:t>
      </w:r>
      <w:r>
        <w:rPr>
          <w:color w:val="105C84"/>
          <w:spacing w:val="-17"/>
        </w:rPr>
        <w:t> </w:t>
      </w:r>
      <w:r>
        <w:rPr>
          <w:color w:val="105C84"/>
        </w:rPr>
        <w:t>that</w:t>
      </w:r>
      <w:r>
        <w:rPr>
          <w:color w:val="105C84"/>
          <w:spacing w:val="-17"/>
        </w:rPr>
        <w:t> </w:t>
      </w:r>
      <w:r>
        <w:rPr>
          <w:color w:val="105C84"/>
        </w:rPr>
        <w:t>is</w:t>
      </w:r>
      <w:r>
        <w:rPr>
          <w:color w:val="105C84"/>
          <w:spacing w:val="-18"/>
        </w:rPr>
        <w:t> </w:t>
      </w:r>
      <w:r>
        <w:rPr>
          <w:color w:val="105C84"/>
          <w:spacing w:val="-2"/>
        </w:rPr>
        <w:t>uninsured</w:t>
      </w:r>
    </w:p>
    <w:p>
      <w:pPr>
        <w:pStyle w:val="BodyText"/>
        <w:spacing w:before="228"/>
        <w:rPr>
          <w:b/>
          <w:sz w:val="26"/>
        </w:rPr>
      </w:pPr>
    </w:p>
    <w:p>
      <w:pPr>
        <w:tabs>
          <w:tab w:pos="2462" w:val="left" w:leader="none"/>
          <w:tab w:pos="4295" w:val="left" w:leader="none"/>
        </w:tabs>
        <w:spacing w:before="0"/>
        <w:ind w:left="0" w:right="178" w:firstLine="0"/>
        <w:jc w:val="center"/>
        <w:rPr>
          <w:sz w:val="18"/>
        </w:rPr>
      </w:pPr>
      <w:r>
        <w:rPr>
          <w:sz w:val="18"/>
        </w:rPr>
        <mc:AlternateContent>
          <mc:Choice Requires="wps">
            <w:drawing>
              <wp:anchor distT="0" distB="0" distL="0" distR="0" allowOverlap="1" layoutInCell="1" locked="0" behindDoc="0" simplePos="0" relativeHeight="15778816">
                <wp:simplePos x="0" y="0"/>
                <wp:positionH relativeFrom="page">
                  <wp:posOffset>9361627</wp:posOffset>
                </wp:positionH>
                <wp:positionV relativeFrom="paragraph">
                  <wp:posOffset>69474</wp:posOffset>
                </wp:positionV>
                <wp:extent cx="317500" cy="1270"/>
                <wp:effectExtent l="0" t="0" r="0" b="0"/>
                <wp:wrapNone/>
                <wp:docPr id="520" name="Graphic 520"/>
                <wp:cNvGraphicFramePr>
                  <a:graphicFrameLocks/>
                </wp:cNvGraphicFramePr>
                <a:graphic>
                  <a:graphicData uri="http://schemas.microsoft.com/office/word/2010/wordprocessingShape">
                    <wps:wsp>
                      <wps:cNvPr id="520" name="Graphic 520"/>
                      <wps:cNvSpPr/>
                      <wps:spPr>
                        <a:xfrm>
                          <a:off x="0" y="0"/>
                          <a:ext cx="317500" cy="1270"/>
                        </a:xfrm>
                        <a:custGeom>
                          <a:avLst/>
                          <a:gdLst/>
                          <a:ahLst/>
                          <a:cxnLst/>
                          <a:rect l="l" t="t" r="r" b="b"/>
                          <a:pathLst>
                            <a:path w="317500" h="0">
                              <a:moveTo>
                                <a:pt x="0" y="0"/>
                              </a:moveTo>
                              <a:lnTo>
                                <a:pt x="317500" y="0"/>
                              </a:lnTo>
                            </a:path>
                          </a:pathLst>
                        </a:custGeom>
                        <a:ln w="25400">
                          <a:solidFill>
                            <a:srgbClr val="105C84"/>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78816" from="737.135986pt,5.470451pt" to="762.135986pt,5.470451pt" stroked="true" strokeweight="2pt" strokecolor="#105c84">
                <v:stroke dashstyle="solid"/>
                <w10:wrap type="none"/>
              </v:line>
            </w:pict>
          </mc:Fallback>
        </mc:AlternateContent>
      </w:r>
      <w:r>
        <w:rPr>
          <w:sz w:val="18"/>
        </w:rPr>
        <mc:AlternateContent>
          <mc:Choice Requires="wps">
            <w:drawing>
              <wp:anchor distT="0" distB="0" distL="0" distR="0" allowOverlap="1" layoutInCell="1" locked="0" behindDoc="1" simplePos="0" relativeHeight="475005952">
                <wp:simplePos x="0" y="0"/>
                <wp:positionH relativeFrom="page">
                  <wp:posOffset>10923727</wp:posOffset>
                </wp:positionH>
                <wp:positionV relativeFrom="paragraph">
                  <wp:posOffset>69474</wp:posOffset>
                </wp:positionV>
                <wp:extent cx="330200" cy="1270"/>
                <wp:effectExtent l="0" t="0" r="0" b="0"/>
                <wp:wrapNone/>
                <wp:docPr id="521" name="Graphic 521"/>
                <wp:cNvGraphicFramePr>
                  <a:graphicFrameLocks/>
                </wp:cNvGraphicFramePr>
                <a:graphic>
                  <a:graphicData uri="http://schemas.microsoft.com/office/word/2010/wordprocessingShape">
                    <wps:wsp>
                      <wps:cNvPr id="521" name="Graphic 521"/>
                      <wps:cNvSpPr/>
                      <wps:spPr>
                        <a:xfrm>
                          <a:off x="0" y="0"/>
                          <a:ext cx="330200" cy="1270"/>
                        </a:xfrm>
                        <a:custGeom>
                          <a:avLst/>
                          <a:gdLst/>
                          <a:ahLst/>
                          <a:cxnLst/>
                          <a:rect l="l" t="t" r="r" b="b"/>
                          <a:pathLst>
                            <a:path w="330200" h="0">
                              <a:moveTo>
                                <a:pt x="0" y="0"/>
                              </a:moveTo>
                              <a:lnTo>
                                <a:pt x="330200" y="0"/>
                              </a:lnTo>
                            </a:path>
                          </a:pathLst>
                        </a:custGeom>
                        <a:ln w="25400">
                          <a:solidFill>
                            <a:srgbClr val="82BF6A"/>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8310528" from="860.135986pt,5.470451pt" to="886.135986pt,5.470451pt" stroked="true" strokeweight="2pt" strokecolor="#82bf6a">
                <v:stroke dashstyle="solid"/>
                <w10:wrap type="none"/>
              </v:line>
            </w:pict>
          </mc:Fallback>
        </mc:AlternateContent>
      </w:r>
      <w:r>
        <w:rPr>
          <w:color w:val="636466"/>
          <w:sz w:val="18"/>
        </w:rPr>
        <w:t>Chemung</w:t>
      </w:r>
      <w:r>
        <w:rPr>
          <w:color w:val="636466"/>
          <w:spacing w:val="3"/>
          <w:sz w:val="18"/>
        </w:rPr>
        <w:t> </w:t>
      </w:r>
      <w:r>
        <w:rPr>
          <w:color w:val="636466"/>
          <w:spacing w:val="-2"/>
          <w:sz w:val="18"/>
        </w:rPr>
        <w:t>County</w:t>
      </w:r>
      <w:r>
        <w:rPr>
          <w:color w:val="636466"/>
          <w:sz w:val="18"/>
        </w:rPr>
        <w:tab/>
        <w:t>8-County</w:t>
      </w:r>
      <w:r>
        <w:rPr>
          <w:color w:val="636466"/>
          <w:spacing w:val="-4"/>
          <w:sz w:val="18"/>
        </w:rPr>
        <w:t> </w:t>
      </w:r>
      <w:r>
        <w:rPr>
          <w:color w:val="636466"/>
          <w:spacing w:val="-2"/>
          <w:sz w:val="18"/>
        </w:rPr>
        <w:t>Region</w:t>
      </w:r>
      <w:r>
        <w:rPr>
          <w:color w:val="636466"/>
          <w:sz w:val="18"/>
        </w:rPr>
        <w:tab/>
      </w:r>
      <w:r>
        <w:rPr>
          <w:color w:val="636466"/>
          <w:position w:val="4"/>
          <w:sz w:val="18"/>
        </w:rPr>
        <w:drawing>
          <wp:inline distT="0" distB="0" distL="0" distR="0">
            <wp:extent cx="279400" cy="25400"/>
            <wp:effectExtent l="0" t="0" r="0" b="0"/>
            <wp:docPr id="522" name="Image 522"/>
            <wp:cNvGraphicFramePr>
              <a:graphicFrameLocks/>
            </wp:cNvGraphicFramePr>
            <a:graphic>
              <a:graphicData uri="http://schemas.openxmlformats.org/drawingml/2006/picture">
                <pic:pic>
                  <pic:nvPicPr>
                    <pic:cNvPr id="522" name="Image 522"/>
                    <pic:cNvPicPr/>
                  </pic:nvPicPr>
                  <pic:blipFill>
                    <a:blip r:embed="rId77" cstate="print"/>
                    <a:stretch>
                      <a:fillRect/>
                    </a:stretch>
                  </pic:blipFill>
                  <pic:spPr>
                    <a:xfrm>
                      <a:off x="0" y="0"/>
                      <a:ext cx="279400" cy="25400"/>
                    </a:xfrm>
                    <a:prstGeom prst="rect">
                      <a:avLst/>
                    </a:prstGeom>
                  </pic:spPr>
                </pic:pic>
              </a:graphicData>
            </a:graphic>
          </wp:inline>
        </w:drawing>
      </w:r>
      <w:r>
        <w:rPr>
          <w:color w:val="636466"/>
          <w:position w:val="4"/>
          <w:sz w:val="18"/>
        </w:rPr>
      </w:r>
      <w:r>
        <w:rPr>
          <w:rFonts w:ascii="Times New Roman"/>
          <w:color w:val="636466"/>
          <w:spacing w:val="80"/>
          <w:sz w:val="18"/>
        </w:rPr>
        <w:t> </w:t>
      </w:r>
      <w:r>
        <w:rPr>
          <w:color w:val="636466"/>
          <w:sz w:val="18"/>
        </w:rPr>
        <w:t>NYS</w:t>
      </w:r>
    </w:p>
    <w:p>
      <w:pPr>
        <w:spacing w:after="0"/>
        <w:jc w:val="center"/>
        <w:rPr>
          <w:sz w:val="18"/>
        </w:rPr>
        <w:sectPr>
          <w:type w:val="continuous"/>
          <w:pgSz w:w="24480" w:h="15840" w:orient="landscape"/>
          <w:pgMar w:header="0" w:footer="0" w:top="0" w:bottom="280" w:left="0" w:right="720"/>
          <w:cols w:num="2" w:equalWidth="0">
            <w:col w:w="11172" w:space="1083"/>
            <w:col w:w="11505"/>
          </w:cols>
        </w:sectPr>
      </w:pPr>
    </w:p>
    <w:p>
      <w:pPr>
        <w:pStyle w:val="BodyText"/>
        <w:spacing w:before="4"/>
        <w:rPr>
          <w:sz w:val="20"/>
        </w:rPr>
      </w:pPr>
    </w:p>
    <w:p>
      <w:pPr>
        <w:pStyle w:val="BodyText"/>
        <w:spacing w:after="0"/>
        <w:rPr>
          <w:sz w:val="20"/>
        </w:rPr>
        <w:sectPr>
          <w:type w:val="continuous"/>
          <w:pgSz w:w="24480" w:h="15840" w:orient="landscape"/>
          <w:pgMar w:header="0" w:footer="0" w:top="0" w:bottom="280" w:left="0" w:right="720"/>
        </w:sectPr>
      </w:pPr>
    </w:p>
    <w:p>
      <w:pPr>
        <w:spacing w:before="100"/>
        <w:ind w:left="0" w:right="0" w:firstLine="0"/>
        <w:jc w:val="right"/>
        <w:rPr>
          <w:sz w:val="18"/>
        </w:rPr>
      </w:pPr>
      <w:r>
        <w:rPr>
          <w:sz w:val="18"/>
        </w:rPr>
        <mc:AlternateContent>
          <mc:Choice Requires="wps">
            <w:drawing>
              <wp:anchor distT="0" distB="0" distL="0" distR="0" allowOverlap="1" layoutInCell="1" locked="0" behindDoc="0" simplePos="0" relativeHeight="15777280">
                <wp:simplePos x="0" y="0"/>
                <wp:positionH relativeFrom="page">
                  <wp:posOffset>685799</wp:posOffset>
                </wp:positionH>
                <wp:positionV relativeFrom="paragraph">
                  <wp:posOffset>-1296077</wp:posOffset>
                </wp:positionV>
                <wp:extent cx="3810635" cy="3498850"/>
                <wp:effectExtent l="0" t="0" r="0" b="0"/>
                <wp:wrapNone/>
                <wp:docPr id="523" name="Group 523"/>
                <wp:cNvGraphicFramePr>
                  <a:graphicFrameLocks/>
                </wp:cNvGraphicFramePr>
                <a:graphic>
                  <a:graphicData uri="http://schemas.microsoft.com/office/word/2010/wordprocessingGroup">
                    <wpg:wgp>
                      <wpg:cNvPr id="523" name="Group 523"/>
                      <wpg:cNvGrpSpPr/>
                      <wpg:grpSpPr>
                        <a:xfrm>
                          <a:off x="0" y="0"/>
                          <a:ext cx="3810635" cy="3498850"/>
                          <a:chExt cx="3810635" cy="3498850"/>
                        </a:xfrm>
                      </wpg:grpSpPr>
                      <pic:pic>
                        <pic:nvPicPr>
                          <pic:cNvPr id="524" name="Image 524"/>
                          <pic:cNvPicPr/>
                        </pic:nvPicPr>
                        <pic:blipFill>
                          <a:blip r:embed="rId78" cstate="print"/>
                          <a:stretch>
                            <a:fillRect/>
                          </a:stretch>
                        </pic:blipFill>
                        <pic:spPr>
                          <a:xfrm>
                            <a:off x="0" y="0"/>
                            <a:ext cx="3810122" cy="3498311"/>
                          </a:xfrm>
                          <a:prstGeom prst="rect">
                            <a:avLst/>
                          </a:prstGeom>
                        </pic:spPr>
                      </pic:pic>
                      <wps:wsp>
                        <wps:cNvPr id="525" name="Textbox 525"/>
                        <wps:cNvSpPr txBox="1"/>
                        <wps:spPr>
                          <a:xfrm>
                            <a:off x="3083842" y="583981"/>
                            <a:ext cx="572135" cy="172085"/>
                          </a:xfrm>
                          <a:prstGeom prst="rect">
                            <a:avLst/>
                          </a:prstGeom>
                        </wps:spPr>
                        <wps:txbx>
                          <w:txbxContent>
                            <w:p>
                              <w:pPr>
                                <w:spacing w:before="10"/>
                                <w:ind w:left="0" w:right="0" w:firstLine="0"/>
                                <w:jc w:val="left"/>
                                <w:rPr>
                                  <w:sz w:val="20"/>
                                </w:rPr>
                              </w:pPr>
                              <w:r>
                                <w:rPr>
                                  <w:color w:val="636466"/>
                                  <w:spacing w:val="-6"/>
                                  <w:sz w:val="20"/>
                                </w:rPr>
                                <w:t>Van</w:t>
                              </w:r>
                              <w:r>
                                <w:rPr>
                                  <w:color w:val="636466"/>
                                  <w:spacing w:val="-5"/>
                                  <w:sz w:val="20"/>
                                </w:rPr>
                                <w:t> </w:t>
                              </w:r>
                              <w:r>
                                <w:rPr>
                                  <w:color w:val="636466"/>
                                  <w:spacing w:val="-4"/>
                                  <w:sz w:val="20"/>
                                </w:rPr>
                                <w:t>Etten</w:t>
                              </w:r>
                            </w:p>
                          </w:txbxContent>
                        </wps:txbx>
                        <wps:bodyPr wrap="square" lIns="0" tIns="0" rIns="0" bIns="0" rtlCol="0">
                          <a:noAutofit/>
                        </wps:bodyPr>
                      </wps:wsp>
                      <wps:wsp>
                        <wps:cNvPr id="526" name="Textbox 526"/>
                        <wps:cNvSpPr txBox="1"/>
                        <wps:spPr>
                          <a:xfrm>
                            <a:off x="578797" y="1094696"/>
                            <a:ext cx="690880" cy="172085"/>
                          </a:xfrm>
                          <a:prstGeom prst="rect">
                            <a:avLst/>
                          </a:prstGeom>
                        </wps:spPr>
                        <wps:txbx>
                          <w:txbxContent>
                            <w:p>
                              <w:pPr>
                                <w:spacing w:before="10"/>
                                <w:ind w:left="0" w:right="0" w:firstLine="0"/>
                                <w:jc w:val="left"/>
                                <w:rPr>
                                  <w:sz w:val="20"/>
                                </w:rPr>
                              </w:pPr>
                              <w:r>
                                <w:rPr>
                                  <w:color w:val="636466"/>
                                  <w:spacing w:val="-2"/>
                                  <w:sz w:val="20"/>
                                </w:rPr>
                                <w:t>Horseheads</w:t>
                              </w:r>
                            </w:p>
                          </w:txbxContent>
                        </wps:txbx>
                        <wps:bodyPr wrap="square" lIns="0" tIns="0" rIns="0" bIns="0" rtlCol="0">
                          <a:noAutofit/>
                        </wps:bodyPr>
                      </wps:wsp>
                      <wps:wsp>
                        <wps:cNvPr id="527" name="Textbox 527"/>
                        <wps:cNvSpPr txBox="1"/>
                        <wps:spPr>
                          <a:xfrm>
                            <a:off x="2359637" y="1187233"/>
                            <a:ext cx="579120" cy="172085"/>
                          </a:xfrm>
                          <a:prstGeom prst="rect">
                            <a:avLst/>
                          </a:prstGeom>
                        </wps:spPr>
                        <wps:txbx>
                          <w:txbxContent>
                            <w:p>
                              <w:pPr>
                                <w:spacing w:before="10"/>
                                <w:ind w:left="0" w:right="0" w:firstLine="0"/>
                                <w:jc w:val="left"/>
                                <w:rPr>
                                  <w:sz w:val="20"/>
                                </w:rPr>
                              </w:pPr>
                              <w:r>
                                <w:rPr>
                                  <w:color w:val="636466"/>
                                  <w:spacing w:val="-2"/>
                                  <w:sz w:val="20"/>
                                </w:rPr>
                                <w:t>Breesport</w:t>
                              </w:r>
                            </w:p>
                          </w:txbxContent>
                        </wps:txbx>
                        <wps:bodyPr wrap="square" lIns="0" tIns="0" rIns="0" bIns="0" rtlCol="0">
                          <a:noAutofit/>
                        </wps:bodyPr>
                      </wps:wsp>
                      <wps:wsp>
                        <wps:cNvPr id="528" name="Textbox 528"/>
                        <wps:cNvSpPr txBox="1"/>
                        <wps:spPr>
                          <a:xfrm>
                            <a:off x="1520892" y="2189302"/>
                            <a:ext cx="368935" cy="172085"/>
                          </a:xfrm>
                          <a:prstGeom prst="rect">
                            <a:avLst/>
                          </a:prstGeom>
                        </wps:spPr>
                        <wps:txbx>
                          <w:txbxContent>
                            <w:p>
                              <w:pPr>
                                <w:spacing w:before="10"/>
                                <w:ind w:left="0" w:right="0" w:firstLine="0"/>
                                <w:jc w:val="left"/>
                                <w:rPr>
                                  <w:sz w:val="20"/>
                                </w:rPr>
                              </w:pPr>
                              <w:r>
                                <w:rPr>
                                  <w:color w:val="FFFFFF"/>
                                  <w:spacing w:val="-2"/>
                                  <w:sz w:val="20"/>
                                </w:rPr>
                                <w:t>Elmira</w:t>
                              </w:r>
                            </w:p>
                          </w:txbxContent>
                        </wps:txbx>
                        <wps:bodyPr wrap="square" lIns="0" tIns="0" rIns="0" bIns="0" rtlCol="0">
                          <a:noAutofit/>
                        </wps:bodyPr>
                      </wps:wsp>
                      <wps:wsp>
                        <wps:cNvPr id="529" name="Textbox 529"/>
                        <wps:cNvSpPr txBox="1"/>
                        <wps:spPr>
                          <a:xfrm>
                            <a:off x="3252320" y="2797835"/>
                            <a:ext cx="471805" cy="172085"/>
                          </a:xfrm>
                          <a:prstGeom prst="rect">
                            <a:avLst/>
                          </a:prstGeom>
                        </wps:spPr>
                        <wps:txbx>
                          <w:txbxContent>
                            <w:p>
                              <w:pPr>
                                <w:spacing w:before="10"/>
                                <w:ind w:left="0" w:right="0" w:firstLine="0"/>
                                <w:jc w:val="left"/>
                                <w:rPr>
                                  <w:sz w:val="20"/>
                                </w:rPr>
                              </w:pPr>
                              <w:r>
                                <w:rPr>
                                  <w:color w:val="636466"/>
                                  <w:spacing w:val="-2"/>
                                  <w:sz w:val="20"/>
                                </w:rPr>
                                <w:t>Waverly</w:t>
                              </w:r>
                            </w:p>
                          </w:txbxContent>
                        </wps:txbx>
                        <wps:bodyPr wrap="square" lIns="0" tIns="0" rIns="0" bIns="0" rtlCol="0">
                          <a:noAutofit/>
                        </wps:bodyPr>
                      </wps:wsp>
                      <wps:wsp>
                        <wps:cNvPr id="530" name="Textbox 530"/>
                        <wps:cNvSpPr txBox="1"/>
                        <wps:spPr>
                          <a:xfrm>
                            <a:off x="219335" y="3017108"/>
                            <a:ext cx="520700" cy="172085"/>
                          </a:xfrm>
                          <a:prstGeom prst="rect">
                            <a:avLst/>
                          </a:prstGeom>
                        </wps:spPr>
                        <wps:txbx>
                          <w:txbxContent>
                            <w:p>
                              <w:pPr>
                                <w:spacing w:before="10"/>
                                <w:ind w:left="0" w:right="0" w:firstLine="0"/>
                                <w:jc w:val="left"/>
                                <w:rPr>
                                  <w:sz w:val="20"/>
                                </w:rPr>
                              </w:pPr>
                              <w:r>
                                <w:rPr>
                                  <w:color w:val="636466"/>
                                  <w:spacing w:val="-2"/>
                                  <w:sz w:val="20"/>
                                </w:rPr>
                                <w:t>Pine</w:t>
                              </w:r>
                              <w:r>
                                <w:rPr>
                                  <w:color w:val="636466"/>
                                  <w:spacing w:val="-10"/>
                                  <w:sz w:val="20"/>
                                </w:rPr>
                                <w:t> </w:t>
                              </w:r>
                              <w:r>
                                <w:rPr>
                                  <w:color w:val="636466"/>
                                  <w:spacing w:val="-4"/>
                                  <w:sz w:val="20"/>
                                </w:rPr>
                                <w:t>City</w:t>
                              </w:r>
                            </w:p>
                          </w:txbxContent>
                        </wps:txbx>
                        <wps:bodyPr wrap="square" lIns="0" tIns="0" rIns="0" bIns="0" rtlCol="0">
                          <a:noAutofit/>
                        </wps:bodyPr>
                      </wps:wsp>
                    </wpg:wgp>
                  </a:graphicData>
                </a:graphic>
              </wp:anchor>
            </w:drawing>
          </mc:Choice>
          <mc:Fallback>
            <w:pict>
              <v:group style="position:absolute;margin-left:53.999985pt;margin-top:-102.053375pt;width:300.05pt;height:275.5pt;mso-position-horizontal-relative:page;mso-position-vertical-relative:paragraph;z-index:15777280" id="docshapegroup463" coordorigin="1080,-2041" coordsize="6001,5510">
                <v:shape style="position:absolute;left:1080;top:-2042;width:6001;height:5510" type="#_x0000_t75" id="docshape464" stroked="false">
                  <v:imagedata r:id="rId78" o:title=""/>
                </v:shape>
                <v:shape style="position:absolute;left:5936;top:-1122;width:901;height:271" type="#_x0000_t202" id="docshape465" filled="false" stroked="false">
                  <v:textbox inset="0,0,0,0">
                    <w:txbxContent>
                      <w:p>
                        <w:pPr>
                          <w:spacing w:before="10"/>
                          <w:ind w:left="0" w:right="0" w:firstLine="0"/>
                          <w:jc w:val="left"/>
                          <w:rPr>
                            <w:sz w:val="20"/>
                          </w:rPr>
                        </w:pPr>
                        <w:r>
                          <w:rPr>
                            <w:color w:val="636466"/>
                            <w:spacing w:val="-6"/>
                            <w:sz w:val="20"/>
                          </w:rPr>
                          <w:t>Van</w:t>
                        </w:r>
                        <w:r>
                          <w:rPr>
                            <w:color w:val="636466"/>
                            <w:spacing w:val="-5"/>
                            <w:sz w:val="20"/>
                          </w:rPr>
                          <w:t> </w:t>
                        </w:r>
                        <w:r>
                          <w:rPr>
                            <w:color w:val="636466"/>
                            <w:spacing w:val="-4"/>
                            <w:sz w:val="20"/>
                          </w:rPr>
                          <w:t>Etten</w:t>
                        </w:r>
                      </w:p>
                    </w:txbxContent>
                  </v:textbox>
                  <w10:wrap type="none"/>
                </v:shape>
                <v:shape style="position:absolute;left:1991;top:-318;width:1088;height:271" type="#_x0000_t202" id="docshape466" filled="false" stroked="false">
                  <v:textbox inset="0,0,0,0">
                    <w:txbxContent>
                      <w:p>
                        <w:pPr>
                          <w:spacing w:before="10"/>
                          <w:ind w:left="0" w:right="0" w:firstLine="0"/>
                          <w:jc w:val="left"/>
                          <w:rPr>
                            <w:sz w:val="20"/>
                          </w:rPr>
                        </w:pPr>
                        <w:r>
                          <w:rPr>
                            <w:color w:val="636466"/>
                            <w:spacing w:val="-2"/>
                            <w:sz w:val="20"/>
                          </w:rPr>
                          <w:t>Horseheads</w:t>
                        </w:r>
                      </w:p>
                    </w:txbxContent>
                  </v:textbox>
                  <w10:wrap type="none"/>
                </v:shape>
                <v:shape style="position:absolute;left:4795;top:-172;width:912;height:271" type="#_x0000_t202" id="docshape467" filled="false" stroked="false">
                  <v:textbox inset="0,0,0,0">
                    <w:txbxContent>
                      <w:p>
                        <w:pPr>
                          <w:spacing w:before="10"/>
                          <w:ind w:left="0" w:right="0" w:firstLine="0"/>
                          <w:jc w:val="left"/>
                          <w:rPr>
                            <w:sz w:val="20"/>
                          </w:rPr>
                        </w:pPr>
                        <w:r>
                          <w:rPr>
                            <w:color w:val="636466"/>
                            <w:spacing w:val="-2"/>
                            <w:sz w:val="20"/>
                          </w:rPr>
                          <w:t>Breesport</w:t>
                        </w:r>
                      </w:p>
                    </w:txbxContent>
                  </v:textbox>
                  <w10:wrap type="none"/>
                </v:shape>
                <v:shape style="position:absolute;left:3475;top:1406;width:581;height:271" type="#_x0000_t202" id="docshape468" filled="false" stroked="false">
                  <v:textbox inset="0,0,0,0">
                    <w:txbxContent>
                      <w:p>
                        <w:pPr>
                          <w:spacing w:before="10"/>
                          <w:ind w:left="0" w:right="0" w:firstLine="0"/>
                          <w:jc w:val="left"/>
                          <w:rPr>
                            <w:sz w:val="20"/>
                          </w:rPr>
                        </w:pPr>
                        <w:r>
                          <w:rPr>
                            <w:color w:val="FFFFFF"/>
                            <w:spacing w:val="-2"/>
                            <w:sz w:val="20"/>
                          </w:rPr>
                          <w:t>Elmira</w:t>
                        </w:r>
                      </w:p>
                    </w:txbxContent>
                  </v:textbox>
                  <w10:wrap type="none"/>
                </v:shape>
                <v:shape style="position:absolute;left:6201;top:2364;width:743;height:271" type="#_x0000_t202" id="docshape469" filled="false" stroked="false">
                  <v:textbox inset="0,0,0,0">
                    <w:txbxContent>
                      <w:p>
                        <w:pPr>
                          <w:spacing w:before="10"/>
                          <w:ind w:left="0" w:right="0" w:firstLine="0"/>
                          <w:jc w:val="left"/>
                          <w:rPr>
                            <w:sz w:val="20"/>
                          </w:rPr>
                        </w:pPr>
                        <w:r>
                          <w:rPr>
                            <w:color w:val="636466"/>
                            <w:spacing w:val="-2"/>
                            <w:sz w:val="20"/>
                          </w:rPr>
                          <w:t>Waverly</w:t>
                        </w:r>
                      </w:p>
                    </w:txbxContent>
                  </v:textbox>
                  <w10:wrap type="none"/>
                </v:shape>
                <v:shape style="position:absolute;left:1425;top:2710;width:820;height:271" type="#_x0000_t202" id="docshape470" filled="false" stroked="false">
                  <v:textbox inset="0,0,0,0">
                    <w:txbxContent>
                      <w:p>
                        <w:pPr>
                          <w:spacing w:before="10"/>
                          <w:ind w:left="0" w:right="0" w:firstLine="0"/>
                          <w:jc w:val="left"/>
                          <w:rPr>
                            <w:sz w:val="20"/>
                          </w:rPr>
                        </w:pPr>
                        <w:r>
                          <w:rPr>
                            <w:color w:val="636466"/>
                            <w:spacing w:val="-2"/>
                            <w:sz w:val="20"/>
                          </w:rPr>
                          <w:t>Pine</w:t>
                        </w:r>
                        <w:r>
                          <w:rPr>
                            <w:color w:val="636466"/>
                            <w:spacing w:val="-10"/>
                            <w:sz w:val="20"/>
                          </w:rPr>
                          <w:t> </w:t>
                        </w:r>
                        <w:r>
                          <w:rPr>
                            <w:color w:val="636466"/>
                            <w:spacing w:val="-4"/>
                            <w:sz w:val="20"/>
                          </w:rPr>
                          <w:t>City</w:t>
                        </w:r>
                      </w:p>
                    </w:txbxContent>
                  </v:textbox>
                  <w10:wrap type="none"/>
                </v:shape>
                <w10:wrap type="none"/>
              </v:group>
            </w:pict>
          </mc:Fallback>
        </mc:AlternateContent>
      </w:r>
      <w:r>
        <w:rPr>
          <w:sz w:val="18"/>
        </w:rPr>
        <mc:AlternateContent>
          <mc:Choice Requires="wps">
            <w:drawing>
              <wp:anchor distT="0" distB="0" distL="0" distR="0" allowOverlap="1" layoutInCell="1" locked="0" behindDoc="0" simplePos="0" relativeHeight="15777792">
                <wp:simplePos x="0" y="0"/>
                <wp:positionH relativeFrom="page">
                  <wp:posOffset>4974335</wp:posOffset>
                </wp:positionH>
                <wp:positionV relativeFrom="paragraph">
                  <wp:posOffset>-1168062</wp:posOffset>
                </wp:positionV>
                <wp:extent cx="1810385" cy="2198370"/>
                <wp:effectExtent l="0" t="0" r="0" b="0"/>
                <wp:wrapNone/>
                <wp:docPr id="531" name="Group 531"/>
                <wp:cNvGraphicFramePr>
                  <a:graphicFrameLocks/>
                </wp:cNvGraphicFramePr>
                <a:graphic>
                  <a:graphicData uri="http://schemas.microsoft.com/office/word/2010/wordprocessingGroup">
                    <wpg:wgp>
                      <wpg:cNvPr id="531" name="Group 531"/>
                      <wpg:cNvGrpSpPr/>
                      <wpg:grpSpPr>
                        <a:xfrm>
                          <a:off x="0" y="0"/>
                          <a:ext cx="1810385" cy="2198370"/>
                          <a:chExt cx="1810385" cy="2198370"/>
                        </a:xfrm>
                      </wpg:grpSpPr>
                      <wps:wsp>
                        <wps:cNvPr id="532" name="Graphic 532"/>
                        <wps:cNvSpPr/>
                        <wps:spPr>
                          <a:xfrm>
                            <a:off x="166204" y="806970"/>
                            <a:ext cx="393700" cy="189230"/>
                          </a:xfrm>
                          <a:custGeom>
                            <a:avLst/>
                            <a:gdLst/>
                            <a:ahLst/>
                            <a:cxnLst/>
                            <a:rect l="l" t="t" r="r" b="b"/>
                            <a:pathLst>
                              <a:path w="393700" h="189230">
                                <a:moveTo>
                                  <a:pt x="393407" y="0"/>
                                </a:moveTo>
                                <a:lnTo>
                                  <a:pt x="0" y="0"/>
                                </a:lnTo>
                                <a:lnTo>
                                  <a:pt x="0" y="188645"/>
                                </a:lnTo>
                                <a:lnTo>
                                  <a:pt x="393407" y="188645"/>
                                </a:lnTo>
                                <a:lnTo>
                                  <a:pt x="393407" y="0"/>
                                </a:lnTo>
                                <a:close/>
                              </a:path>
                            </a:pathLst>
                          </a:custGeom>
                          <a:solidFill>
                            <a:srgbClr val="DEF0E7"/>
                          </a:solidFill>
                        </wps:spPr>
                        <wps:bodyPr wrap="square" lIns="0" tIns="0" rIns="0" bIns="0" rtlCol="0">
                          <a:prstTxWarp prst="textNoShape">
                            <a:avLst/>
                          </a:prstTxWarp>
                          <a:noAutofit/>
                        </wps:bodyPr>
                      </wps:wsp>
                      <wps:wsp>
                        <wps:cNvPr id="533" name="Graphic 533"/>
                        <wps:cNvSpPr/>
                        <wps:spPr>
                          <a:xfrm>
                            <a:off x="166204" y="1060157"/>
                            <a:ext cx="393700" cy="189230"/>
                          </a:xfrm>
                          <a:custGeom>
                            <a:avLst/>
                            <a:gdLst/>
                            <a:ahLst/>
                            <a:cxnLst/>
                            <a:rect l="l" t="t" r="r" b="b"/>
                            <a:pathLst>
                              <a:path w="393700" h="189230">
                                <a:moveTo>
                                  <a:pt x="393407" y="0"/>
                                </a:moveTo>
                                <a:lnTo>
                                  <a:pt x="0" y="0"/>
                                </a:lnTo>
                                <a:lnTo>
                                  <a:pt x="0" y="188645"/>
                                </a:lnTo>
                                <a:lnTo>
                                  <a:pt x="393407" y="188645"/>
                                </a:lnTo>
                                <a:lnTo>
                                  <a:pt x="393407" y="0"/>
                                </a:lnTo>
                                <a:close/>
                              </a:path>
                            </a:pathLst>
                          </a:custGeom>
                          <a:solidFill>
                            <a:srgbClr val="A6CFB4"/>
                          </a:solidFill>
                        </wps:spPr>
                        <wps:bodyPr wrap="square" lIns="0" tIns="0" rIns="0" bIns="0" rtlCol="0">
                          <a:prstTxWarp prst="textNoShape">
                            <a:avLst/>
                          </a:prstTxWarp>
                          <a:noAutofit/>
                        </wps:bodyPr>
                      </wps:wsp>
                      <wps:wsp>
                        <wps:cNvPr id="534" name="Graphic 534"/>
                        <wps:cNvSpPr/>
                        <wps:spPr>
                          <a:xfrm>
                            <a:off x="166204" y="1320063"/>
                            <a:ext cx="393700" cy="189230"/>
                          </a:xfrm>
                          <a:custGeom>
                            <a:avLst/>
                            <a:gdLst/>
                            <a:ahLst/>
                            <a:cxnLst/>
                            <a:rect l="l" t="t" r="r" b="b"/>
                            <a:pathLst>
                              <a:path w="393700" h="189230">
                                <a:moveTo>
                                  <a:pt x="393407" y="0"/>
                                </a:moveTo>
                                <a:lnTo>
                                  <a:pt x="0" y="0"/>
                                </a:lnTo>
                                <a:lnTo>
                                  <a:pt x="0" y="188645"/>
                                </a:lnTo>
                                <a:lnTo>
                                  <a:pt x="393407" y="188645"/>
                                </a:lnTo>
                                <a:lnTo>
                                  <a:pt x="393407" y="0"/>
                                </a:lnTo>
                                <a:close/>
                              </a:path>
                            </a:pathLst>
                          </a:custGeom>
                          <a:solidFill>
                            <a:srgbClr val="77A781"/>
                          </a:solidFill>
                        </wps:spPr>
                        <wps:bodyPr wrap="square" lIns="0" tIns="0" rIns="0" bIns="0" rtlCol="0">
                          <a:prstTxWarp prst="textNoShape">
                            <a:avLst/>
                          </a:prstTxWarp>
                          <a:noAutofit/>
                        </wps:bodyPr>
                      </wps:wsp>
                      <wps:wsp>
                        <wps:cNvPr id="535" name="Graphic 535"/>
                        <wps:cNvSpPr/>
                        <wps:spPr>
                          <a:xfrm>
                            <a:off x="166204" y="1579968"/>
                            <a:ext cx="393700" cy="189230"/>
                          </a:xfrm>
                          <a:custGeom>
                            <a:avLst/>
                            <a:gdLst/>
                            <a:ahLst/>
                            <a:cxnLst/>
                            <a:rect l="l" t="t" r="r" b="b"/>
                            <a:pathLst>
                              <a:path w="393700" h="189230">
                                <a:moveTo>
                                  <a:pt x="393407" y="0"/>
                                </a:moveTo>
                                <a:lnTo>
                                  <a:pt x="0" y="0"/>
                                </a:lnTo>
                                <a:lnTo>
                                  <a:pt x="0" y="188645"/>
                                </a:lnTo>
                                <a:lnTo>
                                  <a:pt x="393407" y="188645"/>
                                </a:lnTo>
                                <a:lnTo>
                                  <a:pt x="393407" y="0"/>
                                </a:lnTo>
                                <a:close/>
                              </a:path>
                            </a:pathLst>
                          </a:custGeom>
                          <a:solidFill>
                            <a:srgbClr val="4B8758"/>
                          </a:solidFill>
                        </wps:spPr>
                        <wps:bodyPr wrap="square" lIns="0" tIns="0" rIns="0" bIns="0" rtlCol="0">
                          <a:prstTxWarp prst="textNoShape">
                            <a:avLst/>
                          </a:prstTxWarp>
                          <a:noAutofit/>
                        </wps:bodyPr>
                      </wps:wsp>
                      <wps:wsp>
                        <wps:cNvPr id="536" name="Graphic 536"/>
                        <wps:cNvSpPr/>
                        <wps:spPr>
                          <a:xfrm>
                            <a:off x="166204" y="1839874"/>
                            <a:ext cx="393700" cy="189230"/>
                          </a:xfrm>
                          <a:custGeom>
                            <a:avLst/>
                            <a:gdLst/>
                            <a:ahLst/>
                            <a:cxnLst/>
                            <a:rect l="l" t="t" r="r" b="b"/>
                            <a:pathLst>
                              <a:path w="393700" h="189230">
                                <a:moveTo>
                                  <a:pt x="393407" y="0"/>
                                </a:moveTo>
                                <a:lnTo>
                                  <a:pt x="0" y="0"/>
                                </a:lnTo>
                                <a:lnTo>
                                  <a:pt x="0" y="188645"/>
                                </a:lnTo>
                                <a:lnTo>
                                  <a:pt x="393407" y="188645"/>
                                </a:lnTo>
                                <a:lnTo>
                                  <a:pt x="393407" y="0"/>
                                </a:lnTo>
                                <a:close/>
                              </a:path>
                            </a:pathLst>
                          </a:custGeom>
                          <a:solidFill>
                            <a:srgbClr val="236533"/>
                          </a:solidFill>
                        </wps:spPr>
                        <wps:bodyPr wrap="square" lIns="0" tIns="0" rIns="0" bIns="0" rtlCol="0">
                          <a:prstTxWarp prst="textNoShape">
                            <a:avLst/>
                          </a:prstTxWarp>
                          <a:noAutofit/>
                        </wps:bodyPr>
                      </wps:wsp>
                      <wps:wsp>
                        <wps:cNvPr id="537" name="Textbox 537"/>
                        <wps:cNvSpPr txBox="1"/>
                        <wps:spPr>
                          <a:xfrm>
                            <a:off x="3175" y="3175"/>
                            <a:ext cx="1804035" cy="2192020"/>
                          </a:xfrm>
                          <a:prstGeom prst="rect">
                            <a:avLst/>
                          </a:prstGeom>
                          <a:ln w="6350">
                            <a:solidFill>
                              <a:srgbClr val="636366"/>
                            </a:solidFill>
                            <a:prstDash val="solid"/>
                          </a:ln>
                        </wps:spPr>
                        <wps:txbx>
                          <w:txbxContent>
                            <w:p>
                              <w:pPr>
                                <w:spacing w:before="188"/>
                                <w:ind w:left="277" w:right="0" w:firstLine="0"/>
                                <w:jc w:val="left"/>
                                <w:rPr>
                                  <w:sz w:val="30"/>
                                </w:rPr>
                              </w:pPr>
                              <w:r>
                                <w:rPr>
                                  <w:color w:val="105C84"/>
                                  <w:spacing w:val="-2"/>
                                  <w:sz w:val="30"/>
                                </w:rPr>
                                <w:t>Legend</w:t>
                              </w:r>
                            </w:p>
                            <w:p>
                              <w:pPr>
                                <w:spacing w:before="301"/>
                                <w:ind w:left="262" w:right="0" w:firstLine="0"/>
                                <w:jc w:val="left"/>
                                <w:rPr>
                                  <w:sz w:val="20"/>
                                </w:rPr>
                              </w:pPr>
                              <w:r>
                                <w:rPr>
                                  <w:color w:val="6D6E71"/>
                                  <w:spacing w:val="-2"/>
                                  <w:sz w:val="20"/>
                                </w:rPr>
                                <w:t>POVERTY</w:t>
                              </w:r>
                            </w:p>
                            <w:p>
                              <w:pPr>
                                <w:spacing w:before="218"/>
                                <w:ind w:left="1054" w:right="0" w:firstLine="0"/>
                                <w:jc w:val="left"/>
                                <w:rPr>
                                  <w:sz w:val="20"/>
                                </w:rPr>
                              </w:pPr>
                              <w:r>
                                <w:rPr>
                                  <w:color w:val="6D6E71"/>
                                  <w:sz w:val="20"/>
                                </w:rPr>
                                <w:t>less</w:t>
                              </w:r>
                              <w:r>
                                <w:rPr>
                                  <w:color w:val="6D6E71"/>
                                  <w:spacing w:val="-5"/>
                                  <w:sz w:val="20"/>
                                </w:rPr>
                                <w:t> </w:t>
                              </w:r>
                              <w:r>
                                <w:rPr>
                                  <w:color w:val="6D6E71"/>
                                  <w:sz w:val="20"/>
                                </w:rPr>
                                <w:t>than</w:t>
                              </w:r>
                              <w:r>
                                <w:rPr>
                                  <w:color w:val="6D6E71"/>
                                  <w:spacing w:val="-4"/>
                                  <w:sz w:val="20"/>
                                </w:rPr>
                                <w:t> </w:t>
                              </w:r>
                              <w:r>
                                <w:rPr>
                                  <w:color w:val="6D6E71"/>
                                  <w:spacing w:val="-5"/>
                                  <w:sz w:val="20"/>
                                </w:rPr>
                                <w:t>10%</w:t>
                              </w:r>
                            </w:p>
                            <w:p>
                              <w:pPr>
                                <w:spacing w:before="180"/>
                                <w:ind w:left="1054" w:right="0" w:firstLine="0"/>
                                <w:jc w:val="left"/>
                                <w:rPr>
                                  <w:sz w:val="20"/>
                                </w:rPr>
                              </w:pPr>
                              <w:r>
                                <w:rPr>
                                  <w:color w:val="6D6E71"/>
                                  <w:sz w:val="20"/>
                                </w:rPr>
                                <w:t>10-</w:t>
                              </w:r>
                              <w:r>
                                <w:rPr>
                                  <w:color w:val="6D6E71"/>
                                  <w:spacing w:val="-5"/>
                                  <w:sz w:val="20"/>
                                </w:rPr>
                                <w:t>15%</w:t>
                              </w:r>
                            </w:p>
                            <w:p>
                              <w:pPr>
                                <w:spacing w:before="180"/>
                                <w:ind w:left="1054" w:right="0" w:firstLine="0"/>
                                <w:jc w:val="left"/>
                                <w:rPr>
                                  <w:sz w:val="20"/>
                                </w:rPr>
                              </w:pPr>
                              <w:r>
                                <w:rPr>
                                  <w:color w:val="6D6E71"/>
                                  <w:sz w:val="20"/>
                                </w:rPr>
                                <w:t>15-</w:t>
                              </w:r>
                              <w:r>
                                <w:rPr>
                                  <w:color w:val="6D6E71"/>
                                  <w:spacing w:val="-5"/>
                                  <w:sz w:val="20"/>
                                </w:rPr>
                                <w:t>20%</w:t>
                              </w:r>
                            </w:p>
                            <w:p>
                              <w:pPr>
                                <w:spacing w:before="180"/>
                                <w:ind w:left="1054" w:right="0" w:firstLine="0"/>
                                <w:jc w:val="left"/>
                                <w:rPr>
                                  <w:sz w:val="20"/>
                                </w:rPr>
                              </w:pPr>
                              <w:r>
                                <w:rPr>
                                  <w:color w:val="6D6E71"/>
                                  <w:sz w:val="20"/>
                                </w:rPr>
                                <w:t>20-</w:t>
                              </w:r>
                              <w:r>
                                <w:rPr>
                                  <w:color w:val="6D6E71"/>
                                  <w:spacing w:val="-5"/>
                                  <w:sz w:val="20"/>
                                </w:rPr>
                                <w:t>25%</w:t>
                              </w:r>
                            </w:p>
                            <w:p>
                              <w:pPr>
                                <w:spacing w:before="180"/>
                                <w:ind w:left="1054" w:right="0" w:firstLine="0"/>
                                <w:jc w:val="left"/>
                                <w:rPr>
                                  <w:sz w:val="20"/>
                                </w:rPr>
                              </w:pPr>
                              <w:r>
                                <w:rPr>
                                  <w:color w:val="6D6E71"/>
                                  <w:sz w:val="20"/>
                                </w:rPr>
                                <w:t>greater</w:t>
                              </w:r>
                              <w:r>
                                <w:rPr>
                                  <w:color w:val="6D6E71"/>
                                  <w:spacing w:val="16"/>
                                  <w:sz w:val="20"/>
                                </w:rPr>
                                <w:t> </w:t>
                              </w:r>
                              <w:r>
                                <w:rPr>
                                  <w:color w:val="6D6E71"/>
                                  <w:sz w:val="20"/>
                                </w:rPr>
                                <w:t>than</w:t>
                              </w:r>
                              <w:r>
                                <w:rPr>
                                  <w:color w:val="6D6E71"/>
                                  <w:spacing w:val="16"/>
                                  <w:sz w:val="20"/>
                                </w:rPr>
                                <w:t> </w:t>
                              </w:r>
                              <w:r>
                                <w:rPr>
                                  <w:color w:val="6D6E71"/>
                                  <w:spacing w:val="-5"/>
                                  <w:sz w:val="20"/>
                                </w:rPr>
                                <w:t>25%</w:t>
                              </w:r>
                            </w:p>
                          </w:txbxContent>
                        </wps:txbx>
                        <wps:bodyPr wrap="square" lIns="0" tIns="0" rIns="0" bIns="0" rtlCol="0">
                          <a:noAutofit/>
                        </wps:bodyPr>
                      </wps:wsp>
                    </wpg:wgp>
                  </a:graphicData>
                </a:graphic>
              </wp:anchor>
            </w:drawing>
          </mc:Choice>
          <mc:Fallback>
            <w:pict>
              <v:group style="position:absolute;margin-left:391.679993pt;margin-top:-91.973396pt;width:142.550pt;height:173.1pt;mso-position-horizontal-relative:page;mso-position-vertical-relative:paragraph;z-index:15777792" id="docshapegroup471" coordorigin="7834,-1839" coordsize="2851,3462">
                <v:rect style="position:absolute;left:8095;top:-569;width:620;height:298" id="docshape472" filled="true" fillcolor="#def0e7" stroked="false">
                  <v:fill type="solid"/>
                </v:rect>
                <v:rect style="position:absolute;left:8095;top:-170;width:620;height:298" id="docshape473" filled="true" fillcolor="#a6cfb4" stroked="false">
                  <v:fill type="solid"/>
                </v:rect>
                <v:rect style="position:absolute;left:8095;top:239;width:620;height:298" id="docshape474" filled="true" fillcolor="#77a781" stroked="false">
                  <v:fill type="solid"/>
                </v:rect>
                <v:rect style="position:absolute;left:8095;top:648;width:620;height:298" id="docshape475" filled="true" fillcolor="#4b8758" stroked="false">
                  <v:fill type="solid"/>
                </v:rect>
                <v:rect style="position:absolute;left:8095;top:1057;width:620;height:298" id="docshape476" filled="true" fillcolor="#236533" stroked="false">
                  <v:fill type="solid"/>
                </v:rect>
                <v:shape style="position:absolute;left:7838;top:-1835;width:2841;height:3452" type="#_x0000_t202" id="docshape477" filled="false" stroked="true" strokeweight=".5pt" strokecolor="#636366">
                  <v:textbox inset="0,0,0,0">
                    <w:txbxContent>
                      <w:p>
                        <w:pPr>
                          <w:spacing w:before="188"/>
                          <w:ind w:left="277" w:right="0" w:firstLine="0"/>
                          <w:jc w:val="left"/>
                          <w:rPr>
                            <w:sz w:val="30"/>
                          </w:rPr>
                        </w:pPr>
                        <w:r>
                          <w:rPr>
                            <w:color w:val="105C84"/>
                            <w:spacing w:val="-2"/>
                            <w:sz w:val="30"/>
                          </w:rPr>
                          <w:t>Legend</w:t>
                        </w:r>
                      </w:p>
                      <w:p>
                        <w:pPr>
                          <w:spacing w:before="301"/>
                          <w:ind w:left="262" w:right="0" w:firstLine="0"/>
                          <w:jc w:val="left"/>
                          <w:rPr>
                            <w:sz w:val="20"/>
                          </w:rPr>
                        </w:pPr>
                        <w:r>
                          <w:rPr>
                            <w:color w:val="6D6E71"/>
                            <w:spacing w:val="-2"/>
                            <w:sz w:val="20"/>
                          </w:rPr>
                          <w:t>POVERTY</w:t>
                        </w:r>
                      </w:p>
                      <w:p>
                        <w:pPr>
                          <w:spacing w:before="218"/>
                          <w:ind w:left="1054" w:right="0" w:firstLine="0"/>
                          <w:jc w:val="left"/>
                          <w:rPr>
                            <w:sz w:val="20"/>
                          </w:rPr>
                        </w:pPr>
                        <w:r>
                          <w:rPr>
                            <w:color w:val="6D6E71"/>
                            <w:sz w:val="20"/>
                          </w:rPr>
                          <w:t>less</w:t>
                        </w:r>
                        <w:r>
                          <w:rPr>
                            <w:color w:val="6D6E71"/>
                            <w:spacing w:val="-5"/>
                            <w:sz w:val="20"/>
                          </w:rPr>
                          <w:t> </w:t>
                        </w:r>
                        <w:r>
                          <w:rPr>
                            <w:color w:val="6D6E71"/>
                            <w:sz w:val="20"/>
                          </w:rPr>
                          <w:t>than</w:t>
                        </w:r>
                        <w:r>
                          <w:rPr>
                            <w:color w:val="6D6E71"/>
                            <w:spacing w:val="-4"/>
                            <w:sz w:val="20"/>
                          </w:rPr>
                          <w:t> </w:t>
                        </w:r>
                        <w:r>
                          <w:rPr>
                            <w:color w:val="6D6E71"/>
                            <w:spacing w:val="-5"/>
                            <w:sz w:val="20"/>
                          </w:rPr>
                          <w:t>10%</w:t>
                        </w:r>
                      </w:p>
                      <w:p>
                        <w:pPr>
                          <w:spacing w:before="180"/>
                          <w:ind w:left="1054" w:right="0" w:firstLine="0"/>
                          <w:jc w:val="left"/>
                          <w:rPr>
                            <w:sz w:val="20"/>
                          </w:rPr>
                        </w:pPr>
                        <w:r>
                          <w:rPr>
                            <w:color w:val="6D6E71"/>
                            <w:sz w:val="20"/>
                          </w:rPr>
                          <w:t>10-</w:t>
                        </w:r>
                        <w:r>
                          <w:rPr>
                            <w:color w:val="6D6E71"/>
                            <w:spacing w:val="-5"/>
                            <w:sz w:val="20"/>
                          </w:rPr>
                          <w:t>15%</w:t>
                        </w:r>
                      </w:p>
                      <w:p>
                        <w:pPr>
                          <w:spacing w:before="180"/>
                          <w:ind w:left="1054" w:right="0" w:firstLine="0"/>
                          <w:jc w:val="left"/>
                          <w:rPr>
                            <w:sz w:val="20"/>
                          </w:rPr>
                        </w:pPr>
                        <w:r>
                          <w:rPr>
                            <w:color w:val="6D6E71"/>
                            <w:sz w:val="20"/>
                          </w:rPr>
                          <w:t>15-</w:t>
                        </w:r>
                        <w:r>
                          <w:rPr>
                            <w:color w:val="6D6E71"/>
                            <w:spacing w:val="-5"/>
                            <w:sz w:val="20"/>
                          </w:rPr>
                          <w:t>20%</w:t>
                        </w:r>
                      </w:p>
                      <w:p>
                        <w:pPr>
                          <w:spacing w:before="180"/>
                          <w:ind w:left="1054" w:right="0" w:firstLine="0"/>
                          <w:jc w:val="left"/>
                          <w:rPr>
                            <w:sz w:val="20"/>
                          </w:rPr>
                        </w:pPr>
                        <w:r>
                          <w:rPr>
                            <w:color w:val="6D6E71"/>
                            <w:sz w:val="20"/>
                          </w:rPr>
                          <w:t>20-</w:t>
                        </w:r>
                        <w:r>
                          <w:rPr>
                            <w:color w:val="6D6E71"/>
                            <w:spacing w:val="-5"/>
                            <w:sz w:val="20"/>
                          </w:rPr>
                          <w:t>25%</w:t>
                        </w:r>
                      </w:p>
                      <w:p>
                        <w:pPr>
                          <w:spacing w:before="180"/>
                          <w:ind w:left="1054" w:right="0" w:firstLine="0"/>
                          <w:jc w:val="left"/>
                          <w:rPr>
                            <w:sz w:val="20"/>
                          </w:rPr>
                        </w:pPr>
                        <w:r>
                          <w:rPr>
                            <w:color w:val="6D6E71"/>
                            <w:sz w:val="20"/>
                          </w:rPr>
                          <w:t>greater</w:t>
                        </w:r>
                        <w:r>
                          <w:rPr>
                            <w:color w:val="6D6E71"/>
                            <w:spacing w:val="16"/>
                            <w:sz w:val="20"/>
                          </w:rPr>
                          <w:t> </w:t>
                        </w:r>
                        <w:r>
                          <w:rPr>
                            <w:color w:val="6D6E71"/>
                            <w:sz w:val="20"/>
                          </w:rPr>
                          <w:t>than</w:t>
                        </w:r>
                        <w:r>
                          <w:rPr>
                            <w:color w:val="6D6E71"/>
                            <w:spacing w:val="16"/>
                            <w:sz w:val="20"/>
                          </w:rPr>
                          <w:t> </w:t>
                        </w:r>
                        <w:r>
                          <w:rPr>
                            <w:color w:val="6D6E71"/>
                            <w:spacing w:val="-5"/>
                            <w:sz w:val="20"/>
                          </w:rPr>
                          <w:t>25%</w:t>
                        </w:r>
                      </w:p>
                    </w:txbxContent>
                  </v:textbox>
                  <v:stroke dashstyle="solid"/>
                  <w10:wrap type="none"/>
                </v:shape>
                <w10:wrap type="none"/>
              </v:group>
            </w:pict>
          </mc:Fallback>
        </mc:AlternateContent>
      </w:r>
      <w:r>
        <w:rPr>
          <w:color w:val="636466"/>
          <w:spacing w:val="-5"/>
          <w:sz w:val="18"/>
        </w:rPr>
        <w:t>16%</w:t>
      </w:r>
    </w:p>
    <w:p>
      <w:pPr>
        <w:spacing w:before="77"/>
        <w:ind w:left="0" w:right="0" w:firstLine="0"/>
        <w:jc w:val="right"/>
        <w:rPr>
          <w:sz w:val="18"/>
        </w:rPr>
      </w:pPr>
      <w:r>
        <w:rPr>
          <w:sz w:val="18"/>
        </w:rPr>
        <mc:AlternateContent>
          <mc:Choice Requires="wps">
            <w:drawing>
              <wp:anchor distT="0" distB="0" distL="0" distR="0" allowOverlap="1" layoutInCell="1" locked="0" behindDoc="0" simplePos="0" relativeHeight="15779840">
                <wp:simplePos x="0" y="0"/>
                <wp:positionH relativeFrom="page">
                  <wp:posOffset>8488010</wp:posOffset>
                </wp:positionH>
                <wp:positionV relativeFrom="paragraph">
                  <wp:posOffset>80985</wp:posOffset>
                </wp:positionV>
                <wp:extent cx="146050" cy="1002665"/>
                <wp:effectExtent l="0" t="0" r="0" b="0"/>
                <wp:wrapNone/>
                <wp:docPr id="538" name="Textbox 538"/>
                <wp:cNvGraphicFramePr>
                  <a:graphicFrameLocks/>
                </wp:cNvGraphicFramePr>
                <a:graphic>
                  <a:graphicData uri="http://schemas.microsoft.com/office/word/2010/wordprocessingShape">
                    <wps:wsp>
                      <wps:cNvPr id="538" name="Textbox 538"/>
                      <wps:cNvSpPr txBox="1"/>
                      <wps:spPr>
                        <a:xfrm>
                          <a:off x="0" y="0"/>
                          <a:ext cx="146050" cy="1002665"/>
                        </a:xfrm>
                        <a:prstGeom prst="rect">
                          <a:avLst/>
                        </a:prstGeom>
                      </wps:spPr>
                      <wps:txbx>
                        <w:txbxContent>
                          <w:p>
                            <w:pPr>
                              <w:spacing w:before="19"/>
                              <w:ind w:left="20" w:right="0" w:firstLine="0"/>
                              <w:jc w:val="left"/>
                              <w:rPr>
                                <w:sz w:val="16"/>
                              </w:rPr>
                            </w:pPr>
                            <w:r>
                              <w:rPr>
                                <w:color w:val="105C84"/>
                                <w:sz w:val="16"/>
                              </w:rPr>
                              <w:t>Percent</w:t>
                            </w:r>
                            <w:r>
                              <w:rPr>
                                <w:color w:val="105C84"/>
                                <w:spacing w:val="-5"/>
                                <w:sz w:val="16"/>
                              </w:rPr>
                              <w:t> </w:t>
                            </w:r>
                            <w:r>
                              <w:rPr>
                                <w:color w:val="105C84"/>
                                <w:sz w:val="16"/>
                              </w:rPr>
                              <w:t>of</w:t>
                            </w:r>
                            <w:r>
                              <w:rPr>
                                <w:color w:val="105C84"/>
                                <w:spacing w:val="-5"/>
                                <w:sz w:val="16"/>
                              </w:rPr>
                              <w:t> </w:t>
                            </w:r>
                            <w:r>
                              <w:rPr>
                                <w:color w:val="105C84"/>
                                <w:spacing w:val="-2"/>
                                <w:sz w:val="16"/>
                              </w:rPr>
                              <w:t>Population</w:t>
                            </w:r>
                          </w:p>
                        </w:txbxContent>
                      </wps:txbx>
                      <wps:bodyPr wrap="square" lIns="0" tIns="0" rIns="0" bIns="0" rtlCol="0" vert="vert270">
                        <a:noAutofit/>
                      </wps:bodyPr>
                    </wps:wsp>
                  </a:graphicData>
                </a:graphic>
              </wp:anchor>
            </w:drawing>
          </mc:Choice>
          <mc:Fallback>
            <w:pict>
              <v:shape style="position:absolute;margin-left:668.347290pt;margin-top:6.376781pt;width:11.5pt;height:78.95pt;mso-position-horizontal-relative:page;mso-position-vertical-relative:paragraph;z-index:15779840" type="#_x0000_t202" id="docshape478" filled="false" stroked="false">
                <v:textbox inset="0,0,0,0" style="layout-flow:vertical;mso-layout-flow-alt:bottom-to-top">
                  <w:txbxContent>
                    <w:p>
                      <w:pPr>
                        <w:spacing w:before="19"/>
                        <w:ind w:left="20" w:right="0" w:firstLine="0"/>
                        <w:jc w:val="left"/>
                        <w:rPr>
                          <w:sz w:val="16"/>
                        </w:rPr>
                      </w:pPr>
                      <w:r>
                        <w:rPr>
                          <w:color w:val="105C84"/>
                          <w:sz w:val="16"/>
                        </w:rPr>
                        <w:t>Percent</w:t>
                      </w:r>
                      <w:r>
                        <w:rPr>
                          <w:color w:val="105C84"/>
                          <w:spacing w:val="-5"/>
                          <w:sz w:val="16"/>
                        </w:rPr>
                        <w:t> </w:t>
                      </w:r>
                      <w:r>
                        <w:rPr>
                          <w:color w:val="105C84"/>
                          <w:sz w:val="16"/>
                        </w:rPr>
                        <w:t>of</w:t>
                      </w:r>
                      <w:r>
                        <w:rPr>
                          <w:color w:val="105C84"/>
                          <w:spacing w:val="-5"/>
                          <w:sz w:val="16"/>
                        </w:rPr>
                        <w:t> </w:t>
                      </w:r>
                      <w:r>
                        <w:rPr>
                          <w:color w:val="105C84"/>
                          <w:spacing w:val="-2"/>
                          <w:sz w:val="16"/>
                        </w:rPr>
                        <w:t>Population</w:t>
                      </w:r>
                    </w:p>
                  </w:txbxContent>
                </v:textbox>
                <w10:wrap type="none"/>
              </v:shape>
            </w:pict>
          </mc:Fallback>
        </mc:AlternateContent>
      </w:r>
      <w:r>
        <w:rPr>
          <w:color w:val="636466"/>
          <w:spacing w:val="-5"/>
          <w:sz w:val="18"/>
        </w:rPr>
        <w:t>14%</w:t>
      </w:r>
    </w:p>
    <w:p>
      <w:pPr>
        <w:spacing w:before="78"/>
        <w:ind w:left="0" w:right="0" w:firstLine="0"/>
        <w:jc w:val="right"/>
        <w:rPr>
          <w:sz w:val="18"/>
        </w:rPr>
      </w:pPr>
      <w:r>
        <w:rPr>
          <w:color w:val="636466"/>
          <w:spacing w:val="-5"/>
          <w:sz w:val="18"/>
        </w:rPr>
        <w:t>12%</w:t>
      </w:r>
    </w:p>
    <w:p>
      <w:pPr>
        <w:spacing w:before="78"/>
        <w:ind w:left="0" w:right="0" w:firstLine="0"/>
        <w:jc w:val="right"/>
        <w:rPr>
          <w:sz w:val="18"/>
        </w:rPr>
      </w:pPr>
      <w:r>
        <w:rPr>
          <w:color w:val="636466"/>
          <w:spacing w:val="-5"/>
          <w:sz w:val="18"/>
        </w:rPr>
        <w:t>10%</w:t>
      </w:r>
    </w:p>
    <w:p>
      <w:pPr>
        <w:spacing w:before="78"/>
        <w:ind w:left="0" w:right="0" w:firstLine="0"/>
        <w:jc w:val="right"/>
        <w:rPr>
          <w:sz w:val="18"/>
        </w:rPr>
      </w:pPr>
      <w:r>
        <w:rPr>
          <w:color w:val="636466"/>
          <w:spacing w:val="-5"/>
          <w:sz w:val="18"/>
        </w:rPr>
        <w:t>8%</w:t>
      </w:r>
    </w:p>
    <w:p>
      <w:pPr>
        <w:spacing w:before="78"/>
        <w:ind w:left="0" w:right="0" w:firstLine="0"/>
        <w:jc w:val="right"/>
        <w:rPr>
          <w:sz w:val="18"/>
        </w:rPr>
      </w:pPr>
      <w:r>
        <w:rPr>
          <w:color w:val="636466"/>
          <w:spacing w:val="-5"/>
          <w:sz w:val="18"/>
        </w:rPr>
        <w:t>6%</w:t>
      </w:r>
    </w:p>
    <w:p>
      <w:pPr>
        <w:spacing w:before="78"/>
        <w:ind w:left="0" w:right="0" w:firstLine="0"/>
        <w:jc w:val="right"/>
        <w:rPr>
          <w:sz w:val="18"/>
        </w:rPr>
      </w:pPr>
      <w:r>
        <w:rPr>
          <w:color w:val="636466"/>
          <w:spacing w:val="-5"/>
          <w:sz w:val="18"/>
        </w:rPr>
        <w:t>4%</w:t>
      </w:r>
    </w:p>
    <w:p>
      <w:pPr>
        <w:spacing w:before="78"/>
        <w:ind w:left="0" w:right="0" w:firstLine="0"/>
        <w:jc w:val="right"/>
        <w:rPr>
          <w:sz w:val="18"/>
        </w:rPr>
      </w:pPr>
      <w:r>
        <w:rPr>
          <w:color w:val="636466"/>
          <w:spacing w:val="-5"/>
          <w:sz w:val="18"/>
        </w:rPr>
        <w:t>2%</w:t>
      </w:r>
    </w:p>
    <w:p>
      <w:pPr>
        <w:spacing w:before="63"/>
        <w:ind w:left="0" w:right="0" w:firstLine="0"/>
        <w:jc w:val="right"/>
        <w:rPr>
          <w:sz w:val="18"/>
        </w:rPr>
      </w:pPr>
      <w:r>
        <w:rPr>
          <w:color w:val="636466"/>
          <w:spacing w:val="-5"/>
          <w:sz w:val="18"/>
        </w:rPr>
        <w:t>0%</w:t>
      </w:r>
    </w:p>
    <w:p>
      <w:pPr>
        <w:pStyle w:val="BodyText"/>
        <w:spacing w:before="11" w:after="24"/>
        <w:rPr>
          <w:sz w:val="11"/>
        </w:rPr>
      </w:pPr>
      <w:r>
        <w:rPr/>
        <w:br w:type="column"/>
      </w:r>
      <w:r>
        <w:rPr>
          <w:sz w:val="11"/>
        </w:rPr>
      </w:r>
    </w:p>
    <w:p>
      <w:pPr>
        <w:spacing w:line="240" w:lineRule="auto"/>
        <w:ind w:left="57" w:right="0" w:firstLine="0"/>
        <w:rPr>
          <w:sz w:val="20"/>
        </w:rPr>
      </w:pPr>
      <w:r>
        <w:rPr>
          <w:sz w:val="20"/>
        </w:rPr>
        <mc:AlternateContent>
          <mc:Choice Requires="wps">
            <w:drawing>
              <wp:inline distT="0" distB="0" distL="0" distR="0">
                <wp:extent cx="4672330" cy="1487805"/>
                <wp:effectExtent l="9525" t="0" r="0" b="7619"/>
                <wp:docPr id="539" name="Group 539"/>
                <wp:cNvGraphicFramePr>
                  <a:graphicFrameLocks/>
                </wp:cNvGraphicFramePr>
                <a:graphic>
                  <a:graphicData uri="http://schemas.microsoft.com/office/word/2010/wordprocessingGroup">
                    <wpg:wgp>
                      <wpg:cNvPr id="539" name="Group 539"/>
                      <wpg:cNvGrpSpPr/>
                      <wpg:grpSpPr>
                        <a:xfrm>
                          <a:off x="0" y="0"/>
                          <a:ext cx="4672330" cy="1487805"/>
                          <a:chExt cx="4672330" cy="1487805"/>
                        </a:xfrm>
                      </wpg:grpSpPr>
                      <wps:wsp>
                        <wps:cNvPr id="540" name="Graphic 540"/>
                        <wps:cNvSpPr/>
                        <wps:spPr>
                          <a:xfrm>
                            <a:off x="5499" y="5499"/>
                            <a:ext cx="4660900" cy="1476375"/>
                          </a:xfrm>
                          <a:custGeom>
                            <a:avLst/>
                            <a:gdLst/>
                            <a:ahLst/>
                            <a:cxnLst/>
                            <a:rect l="l" t="t" r="r" b="b"/>
                            <a:pathLst>
                              <a:path w="4660900" h="1476375">
                                <a:moveTo>
                                  <a:pt x="4660747" y="1476273"/>
                                </a:moveTo>
                                <a:lnTo>
                                  <a:pt x="0" y="1476273"/>
                                </a:lnTo>
                                <a:lnTo>
                                  <a:pt x="0" y="0"/>
                                </a:lnTo>
                              </a:path>
                            </a:pathLst>
                          </a:custGeom>
                          <a:ln w="10998">
                            <a:solidFill>
                              <a:srgbClr val="BCBEC0"/>
                            </a:solidFill>
                            <a:prstDash val="solid"/>
                          </a:ln>
                        </wps:spPr>
                        <wps:bodyPr wrap="square" lIns="0" tIns="0" rIns="0" bIns="0" rtlCol="0">
                          <a:prstTxWarp prst="textNoShape">
                            <a:avLst/>
                          </a:prstTxWarp>
                          <a:noAutofit/>
                        </wps:bodyPr>
                      </wps:wsp>
                      <wps:wsp>
                        <wps:cNvPr id="541" name="Graphic 541"/>
                        <wps:cNvSpPr/>
                        <wps:spPr>
                          <a:xfrm>
                            <a:off x="405549" y="724534"/>
                            <a:ext cx="4038600" cy="266700"/>
                          </a:xfrm>
                          <a:custGeom>
                            <a:avLst/>
                            <a:gdLst/>
                            <a:ahLst/>
                            <a:cxnLst/>
                            <a:rect l="l" t="t" r="r" b="b"/>
                            <a:pathLst>
                              <a:path w="4038600" h="266700">
                                <a:moveTo>
                                  <a:pt x="0" y="0"/>
                                </a:moveTo>
                                <a:lnTo>
                                  <a:pt x="812800" y="0"/>
                                </a:lnTo>
                                <a:lnTo>
                                  <a:pt x="1612900" y="76200"/>
                                </a:lnTo>
                                <a:lnTo>
                                  <a:pt x="2425700" y="152400"/>
                                </a:lnTo>
                                <a:lnTo>
                                  <a:pt x="3238500" y="190500"/>
                                </a:lnTo>
                                <a:lnTo>
                                  <a:pt x="4038600" y="266700"/>
                                </a:lnTo>
                              </a:path>
                            </a:pathLst>
                          </a:custGeom>
                          <a:ln w="21996">
                            <a:solidFill>
                              <a:srgbClr val="105C84"/>
                            </a:solidFill>
                            <a:prstDash val="solid"/>
                          </a:ln>
                        </wps:spPr>
                        <wps:bodyPr wrap="square" lIns="0" tIns="0" rIns="0" bIns="0" rtlCol="0">
                          <a:prstTxWarp prst="textNoShape">
                            <a:avLst/>
                          </a:prstTxWarp>
                          <a:noAutofit/>
                        </wps:bodyPr>
                      </wps:wsp>
                      <wps:wsp>
                        <wps:cNvPr id="542" name="Graphic 542"/>
                        <wps:cNvSpPr/>
                        <wps:spPr>
                          <a:xfrm>
                            <a:off x="405549" y="581659"/>
                            <a:ext cx="4038600" cy="266700"/>
                          </a:xfrm>
                          <a:custGeom>
                            <a:avLst/>
                            <a:gdLst/>
                            <a:ahLst/>
                            <a:cxnLst/>
                            <a:rect l="l" t="t" r="r" b="b"/>
                            <a:pathLst>
                              <a:path w="4038600" h="266700">
                                <a:moveTo>
                                  <a:pt x="0" y="0"/>
                                </a:moveTo>
                                <a:lnTo>
                                  <a:pt x="812800" y="0"/>
                                </a:lnTo>
                                <a:lnTo>
                                  <a:pt x="1612900" y="95250"/>
                                </a:lnTo>
                                <a:lnTo>
                                  <a:pt x="2425700" y="180975"/>
                                </a:lnTo>
                                <a:lnTo>
                                  <a:pt x="3238500" y="180975"/>
                                </a:lnTo>
                                <a:lnTo>
                                  <a:pt x="4038600" y="266700"/>
                                </a:lnTo>
                              </a:path>
                            </a:pathLst>
                          </a:custGeom>
                          <a:ln w="21996">
                            <a:solidFill>
                              <a:srgbClr val="82BF6A"/>
                            </a:solidFill>
                            <a:prstDash val="solid"/>
                          </a:ln>
                        </wps:spPr>
                        <wps:bodyPr wrap="square" lIns="0" tIns="0" rIns="0" bIns="0" rtlCol="0">
                          <a:prstTxWarp prst="textNoShape">
                            <a:avLst/>
                          </a:prstTxWarp>
                          <a:noAutofit/>
                        </wps:bodyPr>
                      </wps:wsp>
                      <wps:wsp>
                        <wps:cNvPr id="543" name="Graphic 543"/>
                        <wps:cNvSpPr/>
                        <wps:spPr>
                          <a:xfrm>
                            <a:off x="392849" y="124456"/>
                            <a:ext cx="3979545" cy="372110"/>
                          </a:xfrm>
                          <a:custGeom>
                            <a:avLst/>
                            <a:gdLst/>
                            <a:ahLst/>
                            <a:cxnLst/>
                            <a:rect l="l" t="t" r="r" b="b"/>
                            <a:pathLst>
                              <a:path w="3979545" h="372110">
                                <a:moveTo>
                                  <a:pt x="95910" y="0"/>
                                </a:moveTo>
                                <a:lnTo>
                                  <a:pt x="5676" y="0"/>
                                </a:lnTo>
                                <a:lnTo>
                                  <a:pt x="0" y="4267"/>
                                </a:lnTo>
                                <a:lnTo>
                                  <a:pt x="0" y="14795"/>
                                </a:lnTo>
                                <a:lnTo>
                                  <a:pt x="5676" y="19050"/>
                                </a:lnTo>
                                <a:lnTo>
                                  <a:pt x="95910" y="19050"/>
                                </a:lnTo>
                                <a:lnTo>
                                  <a:pt x="101600" y="14795"/>
                                </a:lnTo>
                                <a:lnTo>
                                  <a:pt x="101600" y="4267"/>
                                </a:lnTo>
                                <a:lnTo>
                                  <a:pt x="95910" y="0"/>
                                </a:lnTo>
                                <a:close/>
                              </a:path>
                              <a:path w="3979545" h="372110">
                                <a:moveTo>
                                  <a:pt x="273710" y="0"/>
                                </a:moveTo>
                                <a:lnTo>
                                  <a:pt x="183476" y="0"/>
                                </a:lnTo>
                                <a:lnTo>
                                  <a:pt x="177800" y="4267"/>
                                </a:lnTo>
                                <a:lnTo>
                                  <a:pt x="177800" y="14795"/>
                                </a:lnTo>
                                <a:lnTo>
                                  <a:pt x="183476" y="19050"/>
                                </a:lnTo>
                                <a:lnTo>
                                  <a:pt x="273710" y="19050"/>
                                </a:lnTo>
                                <a:lnTo>
                                  <a:pt x="279400" y="14795"/>
                                </a:lnTo>
                                <a:lnTo>
                                  <a:pt x="279400" y="4267"/>
                                </a:lnTo>
                                <a:lnTo>
                                  <a:pt x="273710" y="0"/>
                                </a:lnTo>
                                <a:close/>
                              </a:path>
                              <a:path w="3979545" h="372110">
                                <a:moveTo>
                                  <a:pt x="451510" y="0"/>
                                </a:moveTo>
                                <a:lnTo>
                                  <a:pt x="361276" y="0"/>
                                </a:lnTo>
                                <a:lnTo>
                                  <a:pt x="355600" y="4267"/>
                                </a:lnTo>
                                <a:lnTo>
                                  <a:pt x="355600" y="14795"/>
                                </a:lnTo>
                                <a:lnTo>
                                  <a:pt x="361276" y="19050"/>
                                </a:lnTo>
                                <a:lnTo>
                                  <a:pt x="451510" y="19050"/>
                                </a:lnTo>
                                <a:lnTo>
                                  <a:pt x="457200" y="14795"/>
                                </a:lnTo>
                                <a:lnTo>
                                  <a:pt x="457200" y="4267"/>
                                </a:lnTo>
                                <a:lnTo>
                                  <a:pt x="451510" y="0"/>
                                </a:lnTo>
                                <a:close/>
                              </a:path>
                              <a:path w="3979545" h="372110">
                                <a:moveTo>
                                  <a:pt x="629310" y="0"/>
                                </a:moveTo>
                                <a:lnTo>
                                  <a:pt x="539076" y="0"/>
                                </a:lnTo>
                                <a:lnTo>
                                  <a:pt x="533400" y="4267"/>
                                </a:lnTo>
                                <a:lnTo>
                                  <a:pt x="533400" y="14795"/>
                                </a:lnTo>
                                <a:lnTo>
                                  <a:pt x="539076" y="19050"/>
                                </a:lnTo>
                                <a:lnTo>
                                  <a:pt x="629310" y="19050"/>
                                </a:lnTo>
                                <a:lnTo>
                                  <a:pt x="635000" y="14795"/>
                                </a:lnTo>
                                <a:lnTo>
                                  <a:pt x="635000" y="4267"/>
                                </a:lnTo>
                                <a:lnTo>
                                  <a:pt x="629310" y="0"/>
                                </a:lnTo>
                                <a:close/>
                              </a:path>
                              <a:path w="3979545" h="372110">
                                <a:moveTo>
                                  <a:pt x="807110" y="0"/>
                                </a:moveTo>
                                <a:lnTo>
                                  <a:pt x="716876" y="0"/>
                                </a:lnTo>
                                <a:lnTo>
                                  <a:pt x="711200" y="4267"/>
                                </a:lnTo>
                                <a:lnTo>
                                  <a:pt x="711200" y="14795"/>
                                </a:lnTo>
                                <a:lnTo>
                                  <a:pt x="716876" y="19050"/>
                                </a:lnTo>
                                <a:lnTo>
                                  <a:pt x="807110" y="19050"/>
                                </a:lnTo>
                                <a:lnTo>
                                  <a:pt x="812800" y="14795"/>
                                </a:lnTo>
                                <a:lnTo>
                                  <a:pt x="812800" y="4267"/>
                                </a:lnTo>
                                <a:lnTo>
                                  <a:pt x="807110" y="0"/>
                                </a:lnTo>
                                <a:close/>
                              </a:path>
                              <a:path w="3979545" h="372110">
                                <a:moveTo>
                                  <a:pt x="895781" y="7442"/>
                                </a:moveTo>
                                <a:lnTo>
                                  <a:pt x="889355" y="11061"/>
                                </a:lnTo>
                                <a:lnTo>
                                  <a:pt x="887374" y="21463"/>
                                </a:lnTo>
                                <a:lnTo>
                                  <a:pt x="892200" y="26288"/>
                                </a:lnTo>
                                <a:lnTo>
                                  <a:pt x="981519" y="35864"/>
                                </a:lnTo>
                                <a:lnTo>
                                  <a:pt x="987945" y="32245"/>
                                </a:lnTo>
                                <a:lnTo>
                                  <a:pt x="989926" y="21831"/>
                                </a:lnTo>
                                <a:lnTo>
                                  <a:pt x="985100" y="17005"/>
                                </a:lnTo>
                                <a:lnTo>
                                  <a:pt x="895781" y="7442"/>
                                </a:lnTo>
                                <a:close/>
                              </a:path>
                              <a:path w="3979545" h="372110">
                                <a:moveTo>
                                  <a:pt x="1071803" y="26288"/>
                                </a:moveTo>
                                <a:lnTo>
                                  <a:pt x="1065364" y="29908"/>
                                </a:lnTo>
                                <a:lnTo>
                                  <a:pt x="1063383" y="40322"/>
                                </a:lnTo>
                                <a:lnTo>
                                  <a:pt x="1068197" y="45148"/>
                                </a:lnTo>
                                <a:lnTo>
                                  <a:pt x="1157528" y="54724"/>
                                </a:lnTo>
                                <a:lnTo>
                                  <a:pt x="1163955" y="51104"/>
                                </a:lnTo>
                                <a:lnTo>
                                  <a:pt x="1165948" y="40690"/>
                                </a:lnTo>
                                <a:lnTo>
                                  <a:pt x="1161122" y="35864"/>
                                </a:lnTo>
                                <a:lnTo>
                                  <a:pt x="1071803" y="26288"/>
                                </a:lnTo>
                                <a:close/>
                              </a:path>
                              <a:path w="3979545" h="372110">
                                <a:moveTo>
                                  <a:pt x="1247813" y="45148"/>
                                </a:moveTo>
                                <a:lnTo>
                                  <a:pt x="1241374" y="48768"/>
                                </a:lnTo>
                                <a:lnTo>
                                  <a:pt x="1239393" y="59194"/>
                                </a:lnTo>
                                <a:lnTo>
                                  <a:pt x="1244219" y="64020"/>
                                </a:lnTo>
                                <a:lnTo>
                                  <a:pt x="1333538" y="73583"/>
                                </a:lnTo>
                                <a:lnTo>
                                  <a:pt x="1339977" y="69964"/>
                                </a:lnTo>
                                <a:lnTo>
                                  <a:pt x="1341958" y="59550"/>
                                </a:lnTo>
                                <a:lnTo>
                                  <a:pt x="1337132" y="54724"/>
                                </a:lnTo>
                                <a:lnTo>
                                  <a:pt x="1247813" y="45148"/>
                                </a:lnTo>
                                <a:close/>
                              </a:path>
                              <a:path w="3979545" h="372110">
                                <a:moveTo>
                                  <a:pt x="1423822" y="64020"/>
                                </a:moveTo>
                                <a:lnTo>
                                  <a:pt x="1417396" y="67627"/>
                                </a:lnTo>
                                <a:lnTo>
                                  <a:pt x="1415402" y="78054"/>
                                </a:lnTo>
                                <a:lnTo>
                                  <a:pt x="1420228" y="82867"/>
                                </a:lnTo>
                                <a:lnTo>
                                  <a:pt x="1509547" y="92443"/>
                                </a:lnTo>
                                <a:lnTo>
                                  <a:pt x="1515986" y="88823"/>
                                </a:lnTo>
                                <a:lnTo>
                                  <a:pt x="1517967" y="78409"/>
                                </a:lnTo>
                                <a:lnTo>
                                  <a:pt x="1513141" y="73583"/>
                                </a:lnTo>
                                <a:lnTo>
                                  <a:pt x="1423822" y="64020"/>
                                </a:lnTo>
                                <a:close/>
                              </a:path>
                              <a:path w="3979545" h="372110">
                                <a:moveTo>
                                  <a:pt x="1599831" y="82867"/>
                                </a:moveTo>
                                <a:lnTo>
                                  <a:pt x="1593405" y="86487"/>
                                </a:lnTo>
                                <a:lnTo>
                                  <a:pt x="1591424" y="96901"/>
                                </a:lnTo>
                                <a:lnTo>
                                  <a:pt x="1596250" y="101727"/>
                                </a:lnTo>
                                <a:lnTo>
                                  <a:pt x="1685277" y="111887"/>
                                </a:lnTo>
                                <a:lnTo>
                                  <a:pt x="1691767" y="108330"/>
                                </a:lnTo>
                                <a:lnTo>
                                  <a:pt x="1693938" y="97929"/>
                                </a:lnTo>
                                <a:lnTo>
                                  <a:pt x="1689201" y="93065"/>
                                </a:lnTo>
                                <a:lnTo>
                                  <a:pt x="1599831" y="82867"/>
                                </a:lnTo>
                                <a:close/>
                              </a:path>
                              <a:path w="3979545" h="372110">
                                <a:moveTo>
                                  <a:pt x="1775726" y="103212"/>
                                </a:moveTo>
                                <a:lnTo>
                                  <a:pt x="1769224" y="106756"/>
                                </a:lnTo>
                                <a:lnTo>
                                  <a:pt x="1767065" y="117157"/>
                                </a:lnTo>
                                <a:lnTo>
                                  <a:pt x="1771802" y="122021"/>
                                </a:lnTo>
                                <a:lnTo>
                                  <a:pt x="1860943" y="132473"/>
                                </a:lnTo>
                                <a:lnTo>
                                  <a:pt x="1867446" y="128917"/>
                                </a:lnTo>
                                <a:lnTo>
                                  <a:pt x="1869605" y="118529"/>
                                </a:lnTo>
                                <a:lnTo>
                                  <a:pt x="1864868" y="113652"/>
                                </a:lnTo>
                                <a:lnTo>
                                  <a:pt x="1775726" y="103212"/>
                                </a:lnTo>
                                <a:close/>
                              </a:path>
                              <a:path w="3979545" h="372110">
                                <a:moveTo>
                                  <a:pt x="1951393" y="123799"/>
                                </a:moveTo>
                                <a:lnTo>
                                  <a:pt x="1944903" y="127342"/>
                                </a:lnTo>
                                <a:lnTo>
                                  <a:pt x="1942731" y="137744"/>
                                </a:lnTo>
                                <a:lnTo>
                                  <a:pt x="1947468" y="142608"/>
                                </a:lnTo>
                                <a:lnTo>
                                  <a:pt x="2036610" y="153060"/>
                                </a:lnTo>
                                <a:lnTo>
                                  <a:pt x="2043112" y="149504"/>
                                </a:lnTo>
                                <a:lnTo>
                                  <a:pt x="2045271" y="139115"/>
                                </a:lnTo>
                                <a:lnTo>
                                  <a:pt x="2040534" y="134239"/>
                                </a:lnTo>
                                <a:lnTo>
                                  <a:pt x="1951393" y="123799"/>
                                </a:lnTo>
                                <a:close/>
                              </a:path>
                              <a:path w="3979545" h="372110">
                                <a:moveTo>
                                  <a:pt x="2127059" y="144373"/>
                                </a:moveTo>
                                <a:lnTo>
                                  <a:pt x="2120569" y="147929"/>
                                </a:lnTo>
                                <a:lnTo>
                                  <a:pt x="2118398" y="158330"/>
                                </a:lnTo>
                                <a:lnTo>
                                  <a:pt x="2123135" y="163195"/>
                                </a:lnTo>
                                <a:lnTo>
                                  <a:pt x="2212289" y="173647"/>
                                </a:lnTo>
                                <a:lnTo>
                                  <a:pt x="2218778" y="170091"/>
                                </a:lnTo>
                                <a:lnTo>
                                  <a:pt x="2219871" y="164896"/>
                                </a:lnTo>
                                <a:lnTo>
                                  <a:pt x="2220937" y="159689"/>
                                </a:lnTo>
                                <a:lnTo>
                                  <a:pt x="2216200" y="154825"/>
                                </a:lnTo>
                                <a:lnTo>
                                  <a:pt x="2127059" y="144373"/>
                                </a:lnTo>
                                <a:close/>
                              </a:path>
                              <a:path w="3979545" h="372110">
                                <a:moveTo>
                                  <a:pt x="2302725" y="164960"/>
                                </a:moveTo>
                                <a:lnTo>
                                  <a:pt x="2296236" y="168516"/>
                                </a:lnTo>
                                <a:lnTo>
                                  <a:pt x="2294064" y="178917"/>
                                </a:lnTo>
                                <a:lnTo>
                                  <a:pt x="2298801" y="183781"/>
                                </a:lnTo>
                                <a:lnTo>
                                  <a:pt x="2387955" y="194233"/>
                                </a:lnTo>
                                <a:lnTo>
                                  <a:pt x="2394458" y="190677"/>
                                </a:lnTo>
                                <a:lnTo>
                                  <a:pt x="2396617" y="180276"/>
                                </a:lnTo>
                                <a:lnTo>
                                  <a:pt x="2391867" y="175412"/>
                                </a:lnTo>
                                <a:lnTo>
                                  <a:pt x="2302725" y="164960"/>
                                </a:lnTo>
                                <a:close/>
                              </a:path>
                              <a:path w="3979545" h="372110">
                                <a:moveTo>
                                  <a:pt x="2478290" y="185089"/>
                                </a:moveTo>
                                <a:lnTo>
                                  <a:pt x="2471864" y="188722"/>
                                </a:lnTo>
                                <a:lnTo>
                                  <a:pt x="2469908" y="199136"/>
                                </a:lnTo>
                                <a:lnTo>
                                  <a:pt x="2474760" y="203949"/>
                                </a:lnTo>
                                <a:lnTo>
                                  <a:pt x="2564104" y="213385"/>
                                </a:lnTo>
                                <a:lnTo>
                                  <a:pt x="2570530" y="209740"/>
                                </a:lnTo>
                                <a:lnTo>
                                  <a:pt x="2572473" y="199326"/>
                                </a:lnTo>
                                <a:lnTo>
                                  <a:pt x="2567635" y="194513"/>
                                </a:lnTo>
                                <a:lnTo>
                                  <a:pt x="2478290" y="185089"/>
                                </a:lnTo>
                                <a:close/>
                              </a:path>
                              <a:path w="3979545" h="372110">
                                <a:moveTo>
                                  <a:pt x="2654363" y="203657"/>
                                </a:moveTo>
                                <a:lnTo>
                                  <a:pt x="2647937" y="207289"/>
                                </a:lnTo>
                                <a:lnTo>
                                  <a:pt x="2645981" y="217703"/>
                                </a:lnTo>
                                <a:lnTo>
                                  <a:pt x="2650820" y="222516"/>
                                </a:lnTo>
                                <a:lnTo>
                                  <a:pt x="2740164" y="231940"/>
                                </a:lnTo>
                                <a:lnTo>
                                  <a:pt x="2746590" y="228320"/>
                                </a:lnTo>
                                <a:lnTo>
                                  <a:pt x="2748546" y="217893"/>
                                </a:lnTo>
                                <a:lnTo>
                                  <a:pt x="2743708" y="213080"/>
                                </a:lnTo>
                                <a:lnTo>
                                  <a:pt x="2654363" y="203657"/>
                                </a:lnTo>
                                <a:close/>
                              </a:path>
                              <a:path w="3979545" h="372110">
                                <a:moveTo>
                                  <a:pt x="2830423" y="222224"/>
                                </a:moveTo>
                                <a:lnTo>
                                  <a:pt x="2824010" y="225856"/>
                                </a:lnTo>
                                <a:lnTo>
                                  <a:pt x="2822054" y="236270"/>
                                </a:lnTo>
                                <a:lnTo>
                                  <a:pt x="2826893" y="241096"/>
                                </a:lnTo>
                                <a:lnTo>
                                  <a:pt x="2916237" y="250520"/>
                                </a:lnTo>
                                <a:lnTo>
                                  <a:pt x="2922663" y="246888"/>
                                </a:lnTo>
                                <a:lnTo>
                                  <a:pt x="2924619" y="236461"/>
                                </a:lnTo>
                                <a:lnTo>
                                  <a:pt x="2919780" y="231647"/>
                                </a:lnTo>
                                <a:lnTo>
                                  <a:pt x="2830423" y="222224"/>
                                </a:lnTo>
                                <a:close/>
                              </a:path>
                              <a:path w="3979545" h="372110">
                                <a:moveTo>
                                  <a:pt x="3006496" y="240792"/>
                                </a:moveTo>
                                <a:lnTo>
                                  <a:pt x="3000070" y="244424"/>
                                </a:lnTo>
                                <a:lnTo>
                                  <a:pt x="2998114" y="254850"/>
                                </a:lnTo>
                                <a:lnTo>
                                  <a:pt x="3002953" y="259664"/>
                                </a:lnTo>
                                <a:lnTo>
                                  <a:pt x="3092310" y="269087"/>
                                </a:lnTo>
                                <a:lnTo>
                                  <a:pt x="3098723" y="265455"/>
                                </a:lnTo>
                                <a:lnTo>
                                  <a:pt x="3100679" y="255041"/>
                                </a:lnTo>
                                <a:lnTo>
                                  <a:pt x="3095840" y="250215"/>
                                </a:lnTo>
                                <a:lnTo>
                                  <a:pt x="3006496" y="240792"/>
                                </a:lnTo>
                                <a:close/>
                              </a:path>
                              <a:path w="3979545" h="372110">
                                <a:moveTo>
                                  <a:pt x="3182556" y="259372"/>
                                </a:moveTo>
                                <a:lnTo>
                                  <a:pt x="3176143" y="262991"/>
                                </a:lnTo>
                                <a:lnTo>
                                  <a:pt x="3174187" y="273418"/>
                                </a:lnTo>
                                <a:lnTo>
                                  <a:pt x="3179025" y="278231"/>
                                </a:lnTo>
                                <a:lnTo>
                                  <a:pt x="3249422" y="285648"/>
                                </a:lnTo>
                                <a:lnTo>
                                  <a:pt x="3268103" y="287883"/>
                                </a:lnTo>
                                <a:lnTo>
                                  <a:pt x="3274606" y="284340"/>
                                </a:lnTo>
                                <a:lnTo>
                                  <a:pt x="3276815" y="273951"/>
                                </a:lnTo>
                                <a:lnTo>
                                  <a:pt x="3272091" y="269062"/>
                                </a:lnTo>
                                <a:lnTo>
                                  <a:pt x="3252965" y="266788"/>
                                </a:lnTo>
                                <a:lnTo>
                                  <a:pt x="3182556" y="259372"/>
                                </a:lnTo>
                                <a:close/>
                              </a:path>
                              <a:path w="3979545" h="372110">
                                <a:moveTo>
                                  <a:pt x="3358578" y="279361"/>
                                </a:moveTo>
                                <a:lnTo>
                                  <a:pt x="3352063" y="282905"/>
                                </a:lnTo>
                                <a:lnTo>
                                  <a:pt x="3349866" y="293293"/>
                                </a:lnTo>
                                <a:lnTo>
                                  <a:pt x="3354590" y="298183"/>
                                </a:lnTo>
                                <a:lnTo>
                                  <a:pt x="3443706" y="308787"/>
                                </a:lnTo>
                                <a:lnTo>
                                  <a:pt x="3450209" y="305244"/>
                                </a:lnTo>
                                <a:lnTo>
                                  <a:pt x="3452406" y="294855"/>
                                </a:lnTo>
                                <a:lnTo>
                                  <a:pt x="3447681" y="289966"/>
                                </a:lnTo>
                                <a:lnTo>
                                  <a:pt x="3358578" y="279361"/>
                                </a:lnTo>
                                <a:close/>
                              </a:path>
                              <a:path w="3979545" h="372110">
                                <a:moveTo>
                                  <a:pt x="3534168" y="300266"/>
                                </a:moveTo>
                                <a:lnTo>
                                  <a:pt x="3527666" y="303809"/>
                                </a:lnTo>
                                <a:lnTo>
                                  <a:pt x="3525469" y="314198"/>
                                </a:lnTo>
                                <a:lnTo>
                                  <a:pt x="3530193" y="319087"/>
                                </a:lnTo>
                                <a:lnTo>
                                  <a:pt x="3619296" y="329692"/>
                                </a:lnTo>
                                <a:lnTo>
                                  <a:pt x="3625811" y="326148"/>
                                </a:lnTo>
                                <a:lnTo>
                                  <a:pt x="3628009" y="315760"/>
                                </a:lnTo>
                                <a:lnTo>
                                  <a:pt x="3623284" y="310870"/>
                                </a:lnTo>
                                <a:lnTo>
                                  <a:pt x="3534168" y="300266"/>
                                </a:lnTo>
                                <a:close/>
                              </a:path>
                              <a:path w="3979545" h="372110">
                                <a:moveTo>
                                  <a:pt x="3709771" y="321170"/>
                                </a:moveTo>
                                <a:lnTo>
                                  <a:pt x="3703269" y="324713"/>
                                </a:lnTo>
                                <a:lnTo>
                                  <a:pt x="3701072" y="335102"/>
                                </a:lnTo>
                                <a:lnTo>
                                  <a:pt x="3705796" y="339991"/>
                                </a:lnTo>
                                <a:lnTo>
                                  <a:pt x="3794912" y="350596"/>
                                </a:lnTo>
                                <a:lnTo>
                                  <a:pt x="3801414" y="347052"/>
                                </a:lnTo>
                                <a:lnTo>
                                  <a:pt x="3803611" y="336664"/>
                                </a:lnTo>
                                <a:lnTo>
                                  <a:pt x="3798887" y="331787"/>
                                </a:lnTo>
                                <a:lnTo>
                                  <a:pt x="3709771" y="321170"/>
                                </a:lnTo>
                                <a:close/>
                              </a:path>
                              <a:path w="3979545" h="372110">
                                <a:moveTo>
                                  <a:pt x="3885374" y="342074"/>
                                </a:moveTo>
                                <a:lnTo>
                                  <a:pt x="3878872" y="345617"/>
                                </a:lnTo>
                                <a:lnTo>
                                  <a:pt x="3876675" y="356006"/>
                                </a:lnTo>
                                <a:lnTo>
                                  <a:pt x="3881399" y="360895"/>
                                </a:lnTo>
                                <a:lnTo>
                                  <a:pt x="3970502" y="371500"/>
                                </a:lnTo>
                                <a:lnTo>
                                  <a:pt x="3977017" y="367957"/>
                                </a:lnTo>
                                <a:lnTo>
                                  <a:pt x="3979214" y="357568"/>
                                </a:lnTo>
                                <a:lnTo>
                                  <a:pt x="3974490" y="352691"/>
                                </a:lnTo>
                                <a:lnTo>
                                  <a:pt x="3885374" y="342074"/>
                                </a:lnTo>
                                <a:close/>
                              </a:path>
                            </a:pathLst>
                          </a:custGeom>
                          <a:solidFill>
                            <a:srgbClr val="BCBEC0"/>
                          </a:solidFill>
                        </wps:spPr>
                        <wps:bodyPr wrap="square" lIns="0" tIns="0" rIns="0" bIns="0" rtlCol="0">
                          <a:prstTxWarp prst="textNoShape">
                            <a:avLst/>
                          </a:prstTxWarp>
                          <a:noAutofit/>
                        </wps:bodyPr>
                      </wps:wsp>
                    </wpg:wgp>
                  </a:graphicData>
                </a:graphic>
              </wp:inline>
            </w:drawing>
          </mc:Choice>
          <mc:Fallback>
            <w:pict>
              <v:group style="width:367.9pt;height:117.15pt;mso-position-horizontal-relative:char;mso-position-vertical-relative:line" id="docshapegroup479" coordorigin="0,0" coordsize="7358,2343">
                <v:shape style="position:absolute;left:8;top:8;width:7340;height:2325" id="docshape480" coordorigin="9,9" coordsize="7340,2325" path="m7348,2333l9,2333,9,9e" filled="false" stroked="true" strokeweight=".866pt" strokecolor="#bcbec0">
                  <v:path arrowok="t"/>
                  <v:stroke dashstyle="solid"/>
                </v:shape>
                <v:shape style="position:absolute;left:638;top:1141;width:6360;height:420" id="docshape481" coordorigin="639,1141" coordsize="6360,420" path="m639,1141l1919,1141,3179,1261,4459,1381,5739,1441,6999,1561e" filled="false" stroked="true" strokeweight="1.732pt" strokecolor="#105c84">
                  <v:path arrowok="t"/>
                  <v:stroke dashstyle="solid"/>
                </v:shape>
                <v:shape style="position:absolute;left:638;top:916;width:6360;height:420" id="docshape482" coordorigin="639,916" coordsize="6360,420" path="m639,916l1919,916,3179,1066,4459,1201,5739,1201,6999,1336e" filled="false" stroked="true" strokeweight="1.732pt" strokecolor="#82bf6a">
                  <v:path arrowok="t"/>
                  <v:stroke dashstyle="solid"/>
                </v:shape>
                <v:shape style="position:absolute;left:618;top:196;width:6267;height:586" id="docshape483" coordorigin="619,196" coordsize="6267,586" path="m770,196l628,196,619,203,619,219,628,226,770,226,779,219,779,203,770,196xm1050,196l908,196,899,203,899,219,908,226,1050,226,1059,219,1059,203,1050,196xm1330,196l1188,196,1179,203,1179,219,1188,226,1330,226,1339,219,1339,203,1330,196xm1610,196l1468,196,1459,203,1459,219,1468,226,1610,226,1619,219,1619,203,1610,196xm1890,196l1748,196,1739,203,1739,219,1748,226,1890,226,1899,219,1899,203,1890,196xm2029,208l2019,213,2016,230,2024,237,2164,252,2174,247,2178,230,2170,223,2029,208xm2307,237l2296,243,2293,259,2301,267,2442,282,2452,276,2455,260,2447,252,2307,237xm2584,267l2574,273,2570,289,2578,297,2719,312,2729,306,2732,290,2724,282,2584,267xm2861,297l2851,302,2848,319,2855,326,2996,342,3006,336,3009,319,3002,312,2861,297xm3138,326l3128,332,3125,349,3132,356,3273,372,3283,367,3286,350,3279,343,3138,326xm3415,359l3405,364,3401,380,3409,388,3549,405,3560,399,3563,383,3555,375,3415,359xm3692,391l3682,397,3678,413,3686,421,3826,437,3836,431,3840,415,3832,407,3692,391xm3968,423l3958,429,3955,445,3962,453,4103,469,4113,464,4115,456,4116,447,4109,440,3968,423xm4245,456l4235,461,4231,478,4239,485,4379,502,4389,496,4393,480,4385,472,4245,456xm4521,487l4511,493,4508,510,4516,517,4657,532,4667,526,4670,510,4662,502,4521,487xm4799,517l4789,522,4786,539,4793,546,4934,561,4944,556,4947,539,4939,532,4799,517xm5076,546l5066,552,5063,568,5070,576,5211,591,5221,585,5224,568,5217,561,5076,546xm5353,575l5343,581,5340,597,5348,605,5488,620,5499,614,5502,598,5494,590,5353,575xm5631,604l5620,610,5617,627,5625,634,5736,646,5765,649,5776,644,5779,627,5772,620,5741,616,5631,604xm5908,636l5898,642,5894,658,5901,666,6042,682,6052,677,6056,660,6048,653,5908,636xm6184,669l6174,674,6171,691,6178,698,6318,715,6329,710,6332,693,6325,686,6184,669xm6461,702l6451,707,6447,724,6455,731,6595,748,6605,743,6609,726,6601,718,6461,702xm6737,735l6727,740,6724,757,6731,764,6871,781,6882,775,6885,759,6878,751,6737,735xe" filled="true" fillcolor="#bcbec0" stroked="false">
                  <v:path arrowok="t"/>
                  <v:fill type="solid"/>
                </v:shape>
              </v:group>
            </w:pict>
          </mc:Fallback>
        </mc:AlternateContent>
      </w:r>
      <w:r>
        <w:rPr>
          <w:sz w:val="20"/>
        </w:rPr>
      </w:r>
    </w:p>
    <w:p>
      <w:pPr>
        <w:tabs>
          <w:tab w:pos="1739" w:val="left" w:leader="none"/>
          <w:tab w:pos="3013" w:val="left" w:leader="none"/>
          <w:tab w:pos="4287" w:val="left" w:leader="none"/>
          <w:tab w:pos="5560" w:val="left" w:leader="none"/>
          <w:tab w:pos="6834" w:val="left" w:leader="none"/>
        </w:tabs>
        <w:spacing w:before="35"/>
        <w:ind w:left="465" w:right="0" w:firstLine="0"/>
        <w:jc w:val="left"/>
        <w:rPr>
          <w:sz w:val="18"/>
        </w:rPr>
      </w:pPr>
      <w:r>
        <w:rPr>
          <w:color w:val="636466"/>
          <w:spacing w:val="-4"/>
          <w:sz w:val="18"/>
        </w:rPr>
        <w:t>2012</w:t>
      </w:r>
      <w:r>
        <w:rPr>
          <w:color w:val="636466"/>
          <w:sz w:val="18"/>
        </w:rPr>
        <w:tab/>
      </w:r>
      <w:r>
        <w:rPr>
          <w:color w:val="636466"/>
          <w:spacing w:val="-4"/>
          <w:sz w:val="18"/>
        </w:rPr>
        <w:t>2013</w:t>
      </w:r>
      <w:r>
        <w:rPr>
          <w:color w:val="636466"/>
          <w:sz w:val="18"/>
        </w:rPr>
        <w:tab/>
      </w:r>
      <w:r>
        <w:rPr>
          <w:color w:val="636466"/>
          <w:spacing w:val="-4"/>
          <w:sz w:val="18"/>
        </w:rPr>
        <w:t>2014</w:t>
      </w:r>
      <w:r>
        <w:rPr>
          <w:color w:val="636466"/>
          <w:sz w:val="18"/>
        </w:rPr>
        <w:tab/>
      </w:r>
      <w:r>
        <w:rPr>
          <w:color w:val="636466"/>
          <w:spacing w:val="-4"/>
          <w:sz w:val="18"/>
        </w:rPr>
        <w:t>2015</w:t>
      </w:r>
      <w:r>
        <w:rPr>
          <w:color w:val="636466"/>
          <w:sz w:val="18"/>
        </w:rPr>
        <w:tab/>
      </w:r>
      <w:r>
        <w:rPr>
          <w:color w:val="636466"/>
          <w:spacing w:val="-4"/>
          <w:sz w:val="18"/>
        </w:rPr>
        <w:t>2016</w:t>
      </w:r>
      <w:r>
        <w:rPr>
          <w:color w:val="636466"/>
          <w:sz w:val="18"/>
        </w:rPr>
        <w:tab/>
      </w:r>
      <w:r>
        <w:rPr>
          <w:color w:val="636466"/>
          <w:spacing w:val="-4"/>
          <w:sz w:val="18"/>
        </w:rPr>
        <w:t>2017</w:t>
      </w:r>
    </w:p>
    <w:p>
      <w:pPr>
        <w:spacing w:after="0"/>
        <w:jc w:val="left"/>
        <w:rPr>
          <w:sz w:val="18"/>
        </w:rPr>
        <w:sectPr>
          <w:type w:val="continuous"/>
          <w:pgSz w:w="24480" w:h="15840" w:orient="landscape"/>
          <w:pgMar w:header="0" w:footer="0" w:top="0" w:bottom="280" w:left="0" w:right="720"/>
          <w:cols w:num="2" w:equalWidth="0">
            <w:col w:w="14127" w:space="40"/>
            <w:col w:w="9593"/>
          </w:cols>
        </w:sectPr>
      </w:pPr>
    </w:p>
    <w:p>
      <w:pPr>
        <w:pStyle w:val="BodyText"/>
        <w:spacing w:before="87"/>
        <w:rPr>
          <w:sz w:val="16"/>
        </w:rPr>
      </w:pPr>
    </w:p>
    <w:p>
      <w:pPr>
        <w:spacing w:before="0"/>
        <w:ind w:left="14184" w:right="0" w:firstLine="0"/>
        <w:jc w:val="left"/>
        <w:rPr>
          <w:sz w:val="16"/>
        </w:rPr>
      </w:pPr>
      <w:r>
        <w:rPr>
          <w:color w:val="105C84"/>
          <w:spacing w:val="-2"/>
          <w:sz w:val="16"/>
        </w:rPr>
        <w:t>Data</w:t>
      </w:r>
      <w:r>
        <w:rPr>
          <w:color w:val="105C84"/>
          <w:spacing w:val="-8"/>
          <w:sz w:val="16"/>
        </w:rPr>
        <w:t> </w:t>
      </w:r>
      <w:r>
        <w:rPr>
          <w:color w:val="105C84"/>
          <w:spacing w:val="-2"/>
          <w:sz w:val="16"/>
        </w:rPr>
        <w:t>Source:</w:t>
      </w:r>
      <w:r>
        <w:rPr>
          <w:color w:val="105C84"/>
          <w:spacing w:val="-8"/>
          <w:sz w:val="16"/>
        </w:rPr>
        <w:t> </w:t>
      </w:r>
      <w:r>
        <w:rPr>
          <w:color w:val="105C84"/>
          <w:spacing w:val="-2"/>
          <w:sz w:val="16"/>
        </w:rPr>
        <w:t>U.S.</w:t>
      </w:r>
      <w:r>
        <w:rPr>
          <w:color w:val="105C84"/>
          <w:spacing w:val="-8"/>
          <w:sz w:val="16"/>
        </w:rPr>
        <w:t> </w:t>
      </w:r>
      <w:r>
        <w:rPr>
          <w:color w:val="105C84"/>
          <w:spacing w:val="-2"/>
          <w:sz w:val="16"/>
        </w:rPr>
        <w:t>Census</w:t>
      </w:r>
      <w:r>
        <w:rPr>
          <w:color w:val="105C84"/>
          <w:spacing w:val="-8"/>
          <w:sz w:val="16"/>
        </w:rPr>
        <w:t> </w:t>
      </w:r>
      <w:r>
        <w:rPr>
          <w:color w:val="105C84"/>
          <w:spacing w:val="-2"/>
          <w:sz w:val="16"/>
        </w:rPr>
        <w:t>Bureau</w:t>
      </w:r>
      <w:r>
        <w:rPr>
          <w:color w:val="105C84"/>
          <w:spacing w:val="-8"/>
          <w:sz w:val="16"/>
        </w:rPr>
        <w:t> </w:t>
      </w:r>
      <w:r>
        <w:rPr>
          <w:color w:val="105C84"/>
          <w:spacing w:val="-2"/>
          <w:sz w:val="16"/>
        </w:rPr>
        <w:t>American</w:t>
      </w:r>
      <w:r>
        <w:rPr>
          <w:color w:val="105C84"/>
          <w:spacing w:val="-8"/>
          <w:sz w:val="16"/>
        </w:rPr>
        <w:t> </w:t>
      </w:r>
      <w:r>
        <w:rPr>
          <w:color w:val="105C84"/>
          <w:spacing w:val="-2"/>
          <w:sz w:val="16"/>
        </w:rPr>
        <w:t>Community</w:t>
      </w:r>
      <w:r>
        <w:rPr>
          <w:color w:val="105C84"/>
          <w:spacing w:val="-8"/>
          <w:sz w:val="16"/>
        </w:rPr>
        <w:t> </w:t>
      </w:r>
      <w:r>
        <w:rPr>
          <w:color w:val="105C84"/>
          <w:spacing w:val="-2"/>
          <w:sz w:val="16"/>
        </w:rPr>
        <w:t>Survey</w:t>
      </w:r>
      <w:r>
        <w:rPr>
          <w:color w:val="105C84"/>
          <w:spacing w:val="-8"/>
          <w:sz w:val="16"/>
        </w:rPr>
        <w:t> </w:t>
      </w:r>
      <w:r>
        <w:rPr>
          <w:color w:val="105C84"/>
          <w:spacing w:val="-2"/>
          <w:sz w:val="16"/>
        </w:rPr>
        <w:t>5-Year</w:t>
      </w:r>
      <w:r>
        <w:rPr>
          <w:color w:val="105C84"/>
          <w:spacing w:val="-8"/>
          <w:sz w:val="16"/>
        </w:rPr>
        <w:t> </w:t>
      </w:r>
      <w:r>
        <w:rPr>
          <w:color w:val="105C84"/>
          <w:spacing w:val="-2"/>
          <w:sz w:val="16"/>
        </w:rPr>
        <w:t>Estimate</w:t>
      </w:r>
      <w:r>
        <w:rPr>
          <w:color w:val="989A9C"/>
          <w:spacing w:val="-2"/>
          <w:sz w:val="16"/>
        </w:rPr>
        <w:t>-</w:t>
      </w:r>
    </w:p>
    <w:p>
      <w:pPr>
        <w:pStyle w:val="BodyText"/>
        <w:spacing w:before="73"/>
        <w:rPr>
          <w:sz w:val="20"/>
        </w:rPr>
      </w:pPr>
    </w:p>
    <w:p>
      <w:pPr>
        <w:pStyle w:val="BodyText"/>
        <w:spacing w:after="0"/>
        <w:rPr>
          <w:sz w:val="20"/>
        </w:rPr>
        <w:sectPr>
          <w:type w:val="continuous"/>
          <w:pgSz w:w="24480" w:h="15840" w:orient="landscape"/>
          <w:pgMar w:header="0" w:footer="0" w:top="0" w:bottom="280" w:left="0" w:right="720"/>
        </w:sectPr>
      </w:pPr>
    </w:p>
    <w:p>
      <w:pPr>
        <w:spacing w:before="110"/>
        <w:ind w:left="1080" w:right="0" w:firstLine="0"/>
        <w:jc w:val="left"/>
        <w:rPr>
          <w:sz w:val="16"/>
        </w:rPr>
      </w:pPr>
      <w:r>
        <w:rPr>
          <w:sz w:val="16"/>
        </w:rPr>
        <w:drawing>
          <wp:anchor distT="0" distB="0" distL="0" distR="0" allowOverlap="1" layoutInCell="1" locked="0" behindDoc="0" simplePos="0" relativeHeight="15776256">
            <wp:simplePos x="0" y="0"/>
            <wp:positionH relativeFrom="page">
              <wp:posOffset>14981556</wp:posOffset>
            </wp:positionH>
            <wp:positionV relativeFrom="page">
              <wp:posOffset>9668103</wp:posOffset>
            </wp:positionV>
            <wp:extent cx="563245" cy="184683"/>
            <wp:effectExtent l="0" t="0" r="0" b="0"/>
            <wp:wrapNone/>
            <wp:docPr id="544" name="Image 544"/>
            <wp:cNvGraphicFramePr>
              <a:graphicFrameLocks/>
            </wp:cNvGraphicFramePr>
            <a:graphic>
              <a:graphicData uri="http://schemas.openxmlformats.org/drawingml/2006/picture">
                <pic:pic>
                  <pic:nvPicPr>
                    <pic:cNvPr id="544" name="Image 544"/>
                    <pic:cNvPicPr/>
                  </pic:nvPicPr>
                  <pic:blipFill>
                    <a:blip r:embed="rId38" cstate="print"/>
                    <a:stretch>
                      <a:fillRect/>
                    </a:stretch>
                  </pic:blipFill>
                  <pic:spPr>
                    <a:xfrm>
                      <a:off x="0" y="0"/>
                      <a:ext cx="563245" cy="184683"/>
                    </a:xfrm>
                    <a:prstGeom prst="rect">
                      <a:avLst/>
                    </a:prstGeom>
                  </pic:spPr>
                </pic:pic>
              </a:graphicData>
            </a:graphic>
          </wp:anchor>
        </w:drawing>
      </w:r>
      <w:r>
        <w:rPr>
          <w:color w:val="0C5D86"/>
          <w:spacing w:val="-4"/>
          <w:sz w:val="16"/>
        </w:rPr>
        <w:t>Source:</w:t>
      </w:r>
      <w:r>
        <w:rPr>
          <w:color w:val="0C5D86"/>
          <w:spacing w:val="-2"/>
          <w:sz w:val="16"/>
        </w:rPr>
        <w:t> </w:t>
      </w:r>
      <w:r>
        <w:rPr>
          <w:color w:val="0C5D86"/>
          <w:spacing w:val="-4"/>
          <w:sz w:val="16"/>
        </w:rPr>
        <w:t>U.S.</w:t>
      </w:r>
      <w:r>
        <w:rPr>
          <w:color w:val="0C5D86"/>
          <w:spacing w:val="-1"/>
          <w:sz w:val="16"/>
        </w:rPr>
        <w:t> </w:t>
      </w:r>
      <w:r>
        <w:rPr>
          <w:color w:val="0C5D86"/>
          <w:spacing w:val="-4"/>
          <w:sz w:val="16"/>
        </w:rPr>
        <w:t>Census</w:t>
      </w:r>
      <w:r>
        <w:rPr>
          <w:color w:val="0C5D86"/>
          <w:spacing w:val="-1"/>
          <w:sz w:val="16"/>
        </w:rPr>
        <w:t> </w:t>
      </w:r>
      <w:r>
        <w:rPr>
          <w:color w:val="0C5D86"/>
          <w:spacing w:val="-4"/>
          <w:sz w:val="16"/>
        </w:rPr>
        <w:t>Bureau</w:t>
      </w:r>
      <w:r>
        <w:rPr>
          <w:color w:val="0C5D86"/>
          <w:spacing w:val="-1"/>
          <w:sz w:val="16"/>
        </w:rPr>
        <w:t> </w:t>
      </w:r>
      <w:r>
        <w:rPr>
          <w:color w:val="0C5D86"/>
          <w:spacing w:val="-4"/>
          <w:sz w:val="16"/>
        </w:rPr>
        <w:t>American</w:t>
      </w:r>
      <w:r>
        <w:rPr>
          <w:color w:val="0C5D86"/>
          <w:spacing w:val="-1"/>
          <w:sz w:val="16"/>
        </w:rPr>
        <w:t> </w:t>
      </w:r>
      <w:r>
        <w:rPr>
          <w:color w:val="0C5D86"/>
          <w:spacing w:val="-4"/>
          <w:sz w:val="16"/>
        </w:rPr>
        <w:t>Community</w:t>
      </w:r>
      <w:r>
        <w:rPr>
          <w:color w:val="0C5D86"/>
          <w:spacing w:val="-1"/>
          <w:sz w:val="16"/>
        </w:rPr>
        <w:t> </w:t>
      </w:r>
      <w:r>
        <w:rPr>
          <w:color w:val="0C5D86"/>
          <w:spacing w:val="-4"/>
          <w:sz w:val="16"/>
        </w:rPr>
        <w:t>Survey</w:t>
      </w:r>
      <w:r>
        <w:rPr>
          <w:color w:val="0C5D86"/>
          <w:spacing w:val="-1"/>
          <w:sz w:val="16"/>
        </w:rPr>
        <w:t> </w:t>
      </w:r>
      <w:r>
        <w:rPr>
          <w:color w:val="0C5D86"/>
          <w:spacing w:val="-4"/>
          <w:sz w:val="16"/>
        </w:rPr>
        <w:t>2013-2017</w:t>
      </w:r>
      <w:r>
        <w:rPr>
          <w:color w:val="0C5D86"/>
          <w:spacing w:val="-1"/>
          <w:sz w:val="16"/>
        </w:rPr>
        <w:t> </w:t>
      </w:r>
      <w:r>
        <w:rPr>
          <w:color w:val="0C5D86"/>
          <w:spacing w:val="-4"/>
          <w:sz w:val="16"/>
        </w:rPr>
        <w:t>5-Year</w:t>
      </w:r>
      <w:r>
        <w:rPr>
          <w:color w:val="0C5D86"/>
          <w:spacing w:val="-1"/>
          <w:sz w:val="16"/>
        </w:rPr>
        <w:t> </w:t>
      </w:r>
      <w:r>
        <w:rPr>
          <w:color w:val="0C5D86"/>
          <w:spacing w:val="-4"/>
          <w:sz w:val="16"/>
        </w:rPr>
        <w:t>estimates</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14"/>
        <w:rPr>
          <w:sz w:val="16"/>
        </w:rPr>
      </w:pPr>
    </w:p>
    <w:p>
      <w:pPr>
        <w:pStyle w:val="ListParagraph"/>
        <w:numPr>
          <w:ilvl w:val="0"/>
          <w:numId w:val="14"/>
        </w:numPr>
        <w:tabs>
          <w:tab w:pos="4565" w:val="left" w:leader="none"/>
        </w:tabs>
        <w:spacing w:line="240" w:lineRule="auto" w:before="0" w:after="0"/>
        <w:ind w:left="4348" w:right="0" w:firstLine="0"/>
        <w:jc w:val="left"/>
        <w:rPr>
          <w:sz w:val="14"/>
        </w:rPr>
      </w:pPr>
      <w:r>
        <w:rPr>
          <w:sz w:val="14"/>
        </w:rPr>
        <w:drawing>
          <wp:anchor distT="0" distB="0" distL="0" distR="0" allowOverlap="1" layoutInCell="1" locked="0" behindDoc="0" simplePos="0" relativeHeight="15776768">
            <wp:simplePos x="0" y="0"/>
            <wp:positionH relativeFrom="page">
              <wp:posOffset>0</wp:posOffset>
            </wp:positionH>
            <wp:positionV relativeFrom="paragraph">
              <wp:posOffset>170605</wp:posOffset>
            </wp:positionV>
            <wp:extent cx="568172" cy="184683"/>
            <wp:effectExtent l="0" t="0" r="0" b="0"/>
            <wp:wrapNone/>
            <wp:docPr id="545" name="Image 545"/>
            <wp:cNvGraphicFramePr>
              <a:graphicFrameLocks/>
            </wp:cNvGraphicFramePr>
            <a:graphic>
              <a:graphicData uri="http://schemas.openxmlformats.org/drawingml/2006/picture">
                <pic:pic>
                  <pic:nvPicPr>
                    <pic:cNvPr id="545" name="Image 545"/>
                    <pic:cNvPicPr/>
                  </pic:nvPicPr>
                  <pic:blipFill>
                    <a:blip r:embed="rId39" cstate="print"/>
                    <a:stretch>
                      <a:fillRect/>
                    </a:stretch>
                  </pic:blipFill>
                  <pic:spPr>
                    <a:xfrm>
                      <a:off x="0" y="0"/>
                      <a:ext cx="568172" cy="184683"/>
                    </a:xfrm>
                    <a:prstGeom prst="rect">
                      <a:avLst/>
                    </a:prstGeom>
                  </pic:spPr>
                </pic:pic>
              </a:graphicData>
            </a:graphic>
          </wp:anchor>
        </w:drawing>
      </w:r>
      <w:r>
        <w:rPr>
          <w:color w:val="636466"/>
          <w:w w:val="105"/>
          <w:sz w:val="14"/>
        </w:rPr>
        <w:t>Disability</w:t>
      </w:r>
      <w:r>
        <w:rPr>
          <w:color w:val="636466"/>
          <w:spacing w:val="-8"/>
          <w:w w:val="105"/>
          <w:sz w:val="14"/>
        </w:rPr>
        <w:t> </w:t>
      </w:r>
      <w:r>
        <w:rPr>
          <w:color w:val="636466"/>
          <w:w w:val="105"/>
          <w:sz w:val="14"/>
        </w:rPr>
        <w:t>in</w:t>
      </w:r>
      <w:r>
        <w:rPr>
          <w:color w:val="636466"/>
          <w:spacing w:val="-9"/>
          <w:w w:val="105"/>
          <w:sz w:val="14"/>
        </w:rPr>
        <w:t> </w:t>
      </w:r>
      <w:r>
        <w:rPr>
          <w:color w:val="636466"/>
          <w:w w:val="105"/>
          <w:sz w:val="14"/>
        </w:rPr>
        <w:t>this</w:t>
      </w:r>
      <w:r>
        <w:rPr>
          <w:color w:val="636466"/>
          <w:spacing w:val="-8"/>
          <w:w w:val="105"/>
          <w:sz w:val="14"/>
        </w:rPr>
        <w:t> </w:t>
      </w:r>
      <w:r>
        <w:rPr>
          <w:color w:val="636466"/>
          <w:w w:val="105"/>
          <w:sz w:val="14"/>
        </w:rPr>
        <w:t>context</w:t>
      </w:r>
      <w:r>
        <w:rPr>
          <w:color w:val="636466"/>
          <w:spacing w:val="-9"/>
          <w:w w:val="105"/>
          <w:sz w:val="14"/>
        </w:rPr>
        <w:t> </w:t>
      </w:r>
      <w:r>
        <w:rPr>
          <w:color w:val="636466"/>
          <w:w w:val="105"/>
          <w:sz w:val="14"/>
        </w:rPr>
        <w:t>is</w:t>
      </w:r>
      <w:r>
        <w:rPr>
          <w:color w:val="636466"/>
          <w:spacing w:val="-8"/>
          <w:w w:val="105"/>
          <w:sz w:val="14"/>
        </w:rPr>
        <w:t> </w:t>
      </w:r>
      <w:r>
        <w:rPr>
          <w:color w:val="636466"/>
          <w:w w:val="105"/>
          <w:sz w:val="14"/>
        </w:rPr>
        <w:t>defined</w:t>
      </w:r>
      <w:r>
        <w:rPr>
          <w:color w:val="636466"/>
          <w:spacing w:val="-9"/>
          <w:w w:val="105"/>
          <w:sz w:val="14"/>
        </w:rPr>
        <w:t> </w:t>
      </w:r>
      <w:r>
        <w:rPr>
          <w:color w:val="636466"/>
          <w:w w:val="105"/>
          <w:sz w:val="14"/>
        </w:rPr>
        <w:t>as</w:t>
      </w:r>
      <w:r>
        <w:rPr>
          <w:color w:val="636466"/>
          <w:spacing w:val="-8"/>
          <w:w w:val="105"/>
          <w:sz w:val="14"/>
        </w:rPr>
        <w:t> </w:t>
      </w:r>
      <w:r>
        <w:rPr>
          <w:color w:val="636466"/>
          <w:w w:val="105"/>
          <w:sz w:val="14"/>
        </w:rPr>
        <w:t>impairment</w:t>
      </w:r>
      <w:r>
        <w:rPr>
          <w:color w:val="636466"/>
          <w:spacing w:val="-9"/>
          <w:w w:val="105"/>
          <w:sz w:val="14"/>
        </w:rPr>
        <w:t> </w:t>
      </w:r>
      <w:r>
        <w:rPr>
          <w:color w:val="636466"/>
          <w:w w:val="105"/>
          <w:sz w:val="14"/>
        </w:rPr>
        <w:t>to</w:t>
      </w:r>
      <w:r>
        <w:rPr>
          <w:color w:val="636466"/>
          <w:spacing w:val="-8"/>
          <w:w w:val="105"/>
          <w:sz w:val="14"/>
        </w:rPr>
        <w:t> </w:t>
      </w:r>
      <w:r>
        <w:rPr>
          <w:color w:val="636466"/>
          <w:w w:val="105"/>
          <w:sz w:val="14"/>
        </w:rPr>
        <w:t>body</w:t>
      </w:r>
      <w:r>
        <w:rPr>
          <w:color w:val="636466"/>
          <w:spacing w:val="-9"/>
          <w:w w:val="105"/>
          <w:sz w:val="14"/>
        </w:rPr>
        <w:t> </w:t>
      </w:r>
      <w:r>
        <w:rPr>
          <w:color w:val="636466"/>
          <w:w w:val="105"/>
          <w:sz w:val="14"/>
        </w:rPr>
        <w:t>structure</w:t>
      </w:r>
      <w:r>
        <w:rPr>
          <w:color w:val="636466"/>
          <w:spacing w:val="-8"/>
          <w:w w:val="105"/>
          <w:sz w:val="14"/>
        </w:rPr>
        <w:t> </w:t>
      </w:r>
      <w:r>
        <w:rPr>
          <w:color w:val="636466"/>
          <w:w w:val="105"/>
          <w:sz w:val="14"/>
        </w:rPr>
        <w:t>or</w:t>
      </w:r>
      <w:r>
        <w:rPr>
          <w:color w:val="636466"/>
          <w:spacing w:val="-9"/>
          <w:w w:val="105"/>
          <w:sz w:val="14"/>
        </w:rPr>
        <w:t> </w:t>
      </w:r>
      <w:r>
        <w:rPr>
          <w:color w:val="636466"/>
          <w:w w:val="105"/>
          <w:sz w:val="14"/>
        </w:rPr>
        <w:t>mental</w:t>
      </w:r>
      <w:r>
        <w:rPr>
          <w:color w:val="636466"/>
          <w:spacing w:val="-8"/>
          <w:w w:val="105"/>
          <w:sz w:val="14"/>
        </w:rPr>
        <w:t> </w:t>
      </w:r>
      <w:r>
        <w:rPr>
          <w:color w:val="636466"/>
          <w:w w:val="105"/>
          <w:sz w:val="14"/>
        </w:rPr>
        <w:t>functioning,</w:t>
      </w:r>
      <w:r>
        <w:rPr>
          <w:color w:val="636466"/>
          <w:spacing w:val="-9"/>
          <w:w w:val="105"/>
          <w:sz w:val="14"/>
        </w:rPr>
        <w:t> </w:t>
      </w:r>
      <w:r>
        <w:rPr>
          <w:color w:val="636466"/>
          <w:w w:val="105"/>
          <w:sz w:val="14"/>
        </w:rPr>
        <w:t>activity </w:t>
      </w:r>
      <w:r>
        <w:rPr>
          <w:color w:val="636466"/>
          <w:sz w:val="14"/>
        </w:rPr>
        <w:t>limitation such as difficulty hearing, moving or problem-solving, and participation restrictions in daily </w:t>
      </w:r>
      <w:r>
        <w:rPr>
          <w:color w:val="636466"/>
          <w:sz w:val="14"/>
        </w:rPr>
        <w:t>activities</w:t>
      </w:r>
    </w:p>
    <w:p>
      <w:pPr>
        <w:tabs>
          <w:tab w:pos="4348" w:val="left" w:leader="none"/>
        </w:tabs>
        <w:spacing w:line="244" w:lineRule="exact" w:before="0"/>
        <w:ind w:left="1058" w:right="0" w:firstLine="0"/>
        <w:jc w:val="left"/>
        <w:rPr>
          <w:sz w:val="14"/>
        </w:rPr>
      </w:pPr>
      <w:r>
        <w:rPr>
          <w:b/>
          <w:color w:val="939598"/>
          <w:spacing w:val="-5"/>
          <w:position w:val="-5"/>
          <w:sz w:val="26"/>
        </w:rPr>
        <w:t>37</w:t>
      </w:r>
      <w:r>
        <w:rPr>
          <w:b/>
          <w:color w:val="939598"/>
          <w:position w:val="-5"/>
          <w:sz w:val="26"/>
        </w:rPr>
        <w:tab/>
      </w:r>
      <w:r>
        <w:rPr>
          <w:color w:val="636466"/>
          <w:sz w:val="14"/>
        </w:rPr>
        <w:t>such</w:t>
      </w:r>
      <w:r>
        <w:rPr>
          <w:color w:val="636466"/>
          <w:spacing w:val="-2"/>
          <w:sz w:val="14"/>
        </w:rPr>
        <w:t> </w:t>
      </w:r>
      <w:r>
        <w:rPr>
          <w:color w:val="636466"/>
          <w:sz w:val="14"/>
        </w:rPr>
        <w:t>as</w:t>
      </w:r>
      <w:r>
        <w:rPr>
          <w:color w:val="636466"/>
          <w:spacing w:val="-2"/>
          <w:sz w:val="14"/>
        </w:rPr>
        <w:t> </w:t>
      </w:r>
      <w:r>
        <w:rPr>
          <w:color w:val="636466"/>
          <w:sz w:val="14"/>
        </w:rPr>
        <w:t>working,</w:t>
      </w:r>
      <w:r>
        <w:rPr>
          <w:color w:val="636466"/>
          <w:spacing w:val="-1"/>
          <w:sz w:val="14"/>
        </w:rPr>
        <w:t> </w:t>
      </w:r>
      <w:r>
        <w:rPr>
          <w:color w:val="636466"/>
          <w:sz w:val="14"/>
        </w:rPr>
        <w:t>engaging</w:t>
      </w:r>
      <w:r>
        <w:rPr>
          <w:color w:val="636466"/>
          <w:spacing w:val="-2"/>
          <w:sz w:val="14"/>
        </w:rPr>
        <w:t> </w:t>
      </w:r>
      <w:r>
        <w:rPr>
          <w:color w:val="636466"/>
          <w:sz w:val="14"/>
        </w:rPr>
        <w:t>in</w:t>
      </w:r>
      <w:r>
        <w:rPr>
          <w:color w:val="636466"/>
          <w:spacing w:val="-1"/>
          <w:sz w:val="14"/>
        </w:rPr>
        <w:t> </w:t>
      </w:r>
      <w:r>
        <w:rPr>
          <w:color w:val="636466"/>
          <w:sz w:val="14"/>
        </w:rPr>
        <w:t>social/recreational</w:t>
      </w:r>
      <w:r>
        <w:rPr>
          <w:color w:val="636466"/>
          <w:spacing w:val="-2"/>
          <w:sz w:val="14"/>
        </w:rPr>
        <w:t> </w:t>
      </w:r>
      <w:r>
        <w:rPr>
          <w:color w:val="636466"/>
          <w:sz w:val="14"/>
        </w:rPr>
        <w:t>activities</w:t>
      </w:r>
      <w:r>
        <w:rPr>
          <w:color w:val="636466"/>
          <w:spacing w:val="-1"/>
          <w:sz w:val="14"/>
        </w:rPr>
        <w:t> </w:t>
      </w:r>
      <w:r>
        <w:rPr>
          <w:color w:val="636466"/>
          <w:sz w:val="14"/>
        </w:rPr>
        <w:t>or</w:t>
      </w:r>
      <w:r>
        <w:rPr>
          <w:color w:val="636466"/>
          <w:spacing w:val="-2"/>
          <w:sz w:val="14"/>
        </w:rPr>
        <w:t> </w:t>
      </w:r>
      <w:r>
        <w:rPr>
          <w:color w:val="636466"/>
          <w:sz w:val="14"/>
        </w:rPr>
        <w:t>obtaining</w:t>
      </w:r>
      <w:r>
        <w:rPr>
          <w:color w:val="636466"/>
          <w:spacing w:val="-1"/>
          <w:sz w:val="14"/>
        </w:rPr>
        <w:t> </w:t>
      </w:r>
      <w:r>
        <w:rPr>
          <w:color w:val="636466"/>
          <w:sz w:val="14"/>
        </w:rPr>
        <w:t>healthcare</w:t>
      </w:r>
      <w:r>
        <w:rPr>
          <w:color w:val="636466"/>
          <w:spacing w:val="-2"/>
          <w:sz w:val="14"/>
        </w:rPr>
        <w:t> </w:t>
      </w:r>
      <w:r>
        <w:rPr>
          <w:color w:val="636466"/>
          <w:sz w:val="14"/>
        </w:rPr>
        <w:t>or</w:t>
      </w:r>
      <w:r>
        <w:rPr>
          <w:color w:val="636466"/>
          <w:spacing w:val="-2"/>
          <w:sz w:val="14"/>
        </w:rPr>
        <w:t> </w:t>
      </w:r>
      <w:r>
        <w:rPr>
          <w:color w:val="636466"/>
          <w:sz w:val="14"/>
        </w:rPr>
        <w:t>preventative</w:t>
      </w:r>
      <w:r>
        <w:rPr>
          <w:color w:val="636466"/>
          <w:spacing w:val="-1"/>
          <w:sz w:val="14"/>
        </w:rPr>
        <w:t> </w:t>
      </w:r>
      <w:r>
        <w:rPr>
          <w:color w:val="636466"/>
          <w:spacing w:val="-2"/>
          <w:sz w:val="14"/>
        </w:rPr>
        <w:t>services.</w:t>
      </w:r>
    </w:p>
    <w:p>
      <w:pPr>
        <w:pStyle w:val="BodyText"/>
        <w:spacing w:before="135"/>
      </w:pPr>
      <w:r>
        <w:rPr/>
        <w:br w:type="column"/>
      </w:r>
      <w:r>
        <w:rPr/>
      </w:r>
    </w:p>
    <w:p>
      <w:pPr>
        <w:pStyle w:val="BodyText"/>
        <w:spacing w:line="247" w:lineRule="auto"/>
        <w:ind w:left="14" w:right="459"/>
        <w:rPr>
          <w:position w:val="7"/>
          <w:sz w:val="13"/>
        </w:rPr>
      </w:pPr>
      <w:r>
        <w:rPr>
          <w:color w:val="105C84"/>
        </w:rPr>
        <w:t>Finally, 32% of Chemung County residents rent vs. own their home. In addition, 11% of occupied housing units have no vehicles available. Another 34% have access to one vehicle. Of note, the average household size for occupied housing is greater than two people. Approximately 44% of</w:t>
      </w:r>
      <w:r>
        <w:rPr>
          <w:color w:val="105C84"/>
          <w:spacing w:val="40"/>
        </w:rPr>
        <w:t> </w:t>
      </w:r>
      <w:r>
        <w:rPr>
          <w:color w:val="105C84"/>
        </w:rPr>
        <w:t>residents are paying more than 35% or more of their household income in rent costs.</w:t>
      </w:r>
      <w:r>
        <w:rPr>
          <w:color w:val="105C84"/>
          <w:position w:val="7"/>
          <w:sz w:val="13"/>
        </w:rPr>
        <w:t>14</w:t>
      </w:r>
    </w:p>
    <w:p>
      <w:pPr>
        <w:pStyle w:val="BodyText"/>
      </w:pPr>
    </w:p>
    <w:p>
      <w:pPr>
        <w:pStyle w:val="BodyText"/>
      </w:pPr>
    </w:p>
    <w:p>
      <w:pPr>
        <w:pStyle w:val="BodyText"/>
      </w:pPr>
    </w:p>
    <w:p>
      <w:pPr>
        <w:pStyle w:val="BodyText"/>
      </w:pPr>
    </w:p>
    <w:p>
      <w:pPr>
        <w:pStyle w:val="BodyText"/>
        <w:spacing w:before="6"/>
      </w:pPr>
    </w:p>
    <w:p>
      <w:pPr>
        <w:pStyle w:val="ListParagraph"/>
        <w:numPr>
          <w:ilvl w:val="0"/>
          <w:numId w:val="14"/>
        </w:numPr>
        <w:tabs>
          <w:tab w:pos="217" w:val="left" w:leader="none"/>
          <w:tab w:pos="10134" w:val="right" w:leader="none"/>
        </w:tabs>
        <w:spacing w:line="240" w:lineRule="auto" w:before="0" w:after="0"/>
        <w:ind w:left="217" w:right="0" w:hanging="217"/>
        <w:jc w:val="left"/>
        <w:rPr>
          <w:b/>
          <w:position w:val="1"/>
          <w:sz w:val="26"/>
        </w:rPr>
      </w:pPr>
      <w:r>
        <w:rPr>
          <w:color w:val="636466"/>
          <w:spacing w:val="-4"/>
          <w:sz w:val="14"/>
        </w:rPr>
        <w:t>Source:</w:t>
      </w:r>
      <w:r>
        <w:rPr>
          <w:color w:val="636466"/>
          <w:spacing w:val="1"/>
          <w:sz w:val="14"/>
        </w:rPr>
        <w:t> </w:t>
      </w:r>
      <w:r>
        <w:rPr>
          <w:color w:val="636466"/>
          <w:spacing w:val="-4"/>
          <w:sz w:val="14"/>
        </w:rPr>
        <w:t>US</w:t>
      </w:r>
      <w:r>
        <w:rPr>
          <w:color w:val="636466"/>
          <w:spacing w:val="2"/>
          <w:sz w:val="14"/>
        </w:rPr>
        <w:t> </w:t>
      </w:r>
      <w:r>
        <w:rPr>
          <w:color w:val="636466"/>
          <w:spacing w:val="-4"/>
          <w:sz w:val="14"/>
        </w:rPr>
        <w:t>Census</w:t>
      </w:r>
      <w:r>
        <w:rPr>
          <w:color w:val="636466"/>
          <w:spacing w:val="2"/>
          <w:sz w:val="14"/>
        </w:rPr>
        <w:t> </w:t>
      </w:r>
      <w:r>
        <w:rPr>
          <w:color w:val="636466"/>
          <w:spacing w:val="-4"/>
          <w:sz w:val="14"/>
        </w:rPr>
        <w:t>Bureau</w:t>
      </w:r>
      <w:r>
        <w:rPr>
          <w:color w:val="636466"/>
          <w:spacing w:val="2"/>
          <w:sz w:val="14"/>
        </w:rPr>
        <w:t> </w:t>
      </w:r>
      <w:r>
        <w:rPr>
          <w:color w:val="636466"/>
          <w:spacing w:val="-4"/>
          <w:sz w:val="14"/>
        </w:rPr>
        <w:t>American</w:t>
      </w:r>
      <w:r>
        <w:rPr>
          <w:color w:val="636466"/>
          <w:spacing w:val="2"/>
          <w:sz w:val="14"/>
        </w:rPr>
        <w:t> </w:t>
      </w:r>
      <w:r>
        <w:rPr>
          <w:color w:val="636466"/>
          <w:spacing w:val="-4"/>
          <w:sz w:val="14"/>
        </w:rPr>
        <w:t>Community</w:t>
      </w:r>
      <w:r>
        <w:rPr>
          <w:color w:val="636466"/>
          <w:spacing w:val="1"/>
          <w:sz w:val="14"/>
        </w:rPr>
        <w:t> </w:t>
      </w:r>
      <w:r>
        <w:rPr>
          <w:color w:val="636466"/>
          <w:spacing w:val="-4"/>
          <w:sz w:val="14"/>
        </w:rPr>
        <w:t>Survey</w:t>
      </w:r>
      <w:r>
        <w:rPr>
          <w:color w:val="636466"/>
          <w:spacing w:val="2"/>
          <w:sz w:val="14"/>
        </w:rPr>
        <w:t> </w:t>
      </w:r>
      <w:r>
        <w:rPr>
          <w:color w:val="636466"/>
          <w:spacing w:val="-4"/>
          <w:sz w:val="14"/>
        </w:rPr>
        <w:t>2013-2017</w:t>
      </w:r>
      <w:r>
        <w:rPr>
          <w:color w:val="636466"/>
          <w:spacing w:val="2"/>
          <w:sz w:val="14"/>
        </w:rPr>
        <w:t> </w:t>
      </w:r>
      <w:r>
        <w:rPr>
          <w:color w:val="636466"/>
          <w:spacing w:val="-4"/>
          <w:sz w:val="14"/>
        </w:rPr>
        <w:t>5-Year</w:t>
      </w:r>
      <w:r>
        <w:rPr>
          <w:color w:val="636466"/>
          <w:spacing w:val="2"/>
          <w:sz w:val="14"/>
        </w:rPr>
        <w:t> </w:t>
      </w:r>
      <w:r>
        <w:rPr>
          <w:color w:val="636466"/>
          <w:spacing w:val="-4"/>
          <w:sz w:val="14"/>
        </w:rPr>
        <w:t>Estimates</w:t>
      </w:r>
      <w:r>
        <w:rPr>
          <w:rFonts w:ascii="Times New Roman"/>
          <w:color w:val="636466"/>
          <w:sz w:val="14"/>
        </w:rPr>
        <w:tab/>
      </w:r>
      <w:r>
        <w:rPr>
          <w:b/>
          <w:color w:val="939598"/>
          <w:spacing w:val="-5"/>
          <w:position w:val="1"/>
          <w:sz w:val="26"/>
        </w:rPr>
        <w:t>38</w:t>
      </w:r>
    </w:p>
    <w:p>
      <w:pPr>
        <w:pStyle w:val="ListParagraph"/>
        <w:spacing w:after="0" w:line="240" w:lineRule="auto"/>
        <w:jc w:val="left"/>
        <w:rPr>
          <w:b/>
          <w:position w:val="1"/>
          <w:sz w:val="26"/>
        </w:rPr>
        <w:sectPr>
          <w:type w:val="continuous"/>
          <w:pgSz w:w="24480" w:h="15840" w:orient="landscape"/>
          <w:pgMar w:header="0" w:footer="0" w:top="0" w:bottom="280" w:left="0" w:right="720"/>
          <w:cols w:num="2" w:equalWidth="0">
            <w:col w:w="11129" w:space="2191"/>
            <w:col w:w="10440"/>
          </w:cols>
        </w:sectPr>
      </w:pPr>
    </w:p>
    <w:p>
      <w:pPr>
        <w:pStyle w:val="BodyText"/>
        <w:rPr>
          <w:b/>
          <w:sz w:val="20"/>
        </w:rPr>
      </w:pPr>
    </w:p>
    <w:p>
      <w:pPr>
        <w:pStyle w:val="BodyText"/>
        <w:spacing w:before="16"/>
        <w:rPr>
          <w:b/>
          <w:sz w:val="20"/>
        </w:rPr>
      </w:pPr>
    </w:p>
    <w:p>
      <w:pPr>
        <w:pStyle w:val="BodyText"/>
        <w:spacing w:after="0"/>
        <w:rPr>
          <w:b/>
          <w:sz w:val="20"/>
        </w:rPr>
        <w:sectPr>
          <w:pgSz w:w="24480" w:h="15840" w:orient="landscape"/>
          <w:pgMar w:header="0" w:footer="0" w:top="860" w:bottom="0" w:left="0" w:right="720"/>
        </w:sectPr>
      </w:pPr>
    </w:p>
    <w:p>
      <w:pPr>
        <w:pStyle w:val="Heading6"/>
        <w:spacing w:before="116"/>
        <w:ind w:left="1094"/>
      </w:pPr>
      <w:r>
        <w:rPr/>
        <w:drawing>
          <wp:anchor distT="0" distB="0" distL="0" distR="0" allowOverlap="1" layoutInCell="1" locked="0" behindDoc="0" simplePos="0" relativeHeight="15780864">
            <wp:simplePos x="0" y="0"/>
            <wp:positionH relativeFrom="page">
              <wp:posOffset>14981556</wp:posOffset>
            </wp:positionH>
            <wp:positionV relativeFrom="page">
              <wp:posOffset>9668103</wp:posOffset>
            </wp:positionV>
            <wp:extent cx="563245" cy="184683"/>
            <wp:effectExtent l="0" t="0" r="0" b="0"/>
            <wp:wrapNone/>
            <wp:docPr id="546" name="Image 546"/>
            <wp:cNvGraphicFramePr>
              <a:graphicFrameLocks/>
            </wp:cNvGraphicFramePr>
            <a:graphic>
              <a:graphicData uri="http://schemas.openxmlformats.org/drawingml/2006/picture">
                <pic:pic>
                  <pic:nvPicPr>
                    <pic:cNvPr id="546" name="Image 546"/>
                    <pic:cNvPicPr/>
                  </pic:nvPicPr>
                  <pic:blipFill>
                    <a:blip r:embed="rId38" cstate="print"/>
                    <a:stretch>
                      <a:fillRect/>
                    </a:stretch>
                  </pic:blipFill>
                  <pic:spPr>
                    <a:xfrm>
                      <a:off x="0" y="0"/>
                      <a:ext cx="563245" cy="184683"/>
                    </a:xfrm>
                    <a:prstGeom prst="rect">
                      <a:avLst/>
                    </a:prstGeom>
                  </pic:spPr>
                </pic:pic>
              </a:graphicData>
            </a:graphic>
          </wp:anchor>
        </w:drawing>
      </w:r>
      <w:r>
        <w:rPr>
          <w:color w:val="105C84"/>
        </w:rPr>
        <w:t>Main</w:t>
      </w:r>
      <w:r>
        <w:rPr>
          <w:color w:val="105C84"/>
          <w:spacing w:val="-7"/>
        </w:rPr>
        <w:t> </w:t>
      </w:r>
      <w:r>
        <w:rPr>
          <w:color w:val="105C84"/>
        </w:rPr>
        <w:t>Health</w:t>
      </w:r>
      <w:r>
        <w:rPr>
          <w:color w:val="105C84"/>
          <w:spacing w:val="-6"/>
        </w:rPr>
        <w:t> </w:t>
      </w:r>
      <w:r>
        <w:rPr>
          <w:color w:val="105C84"/>
          <w:spacing w:val="-2"/>
        </w:rPr>
        <w:t>Challenges</w:t>
      </w:r>
    </w:p>
    <w:p>
      <w:pPr>
        <w:pStyle w:val="BodyText"/>
        <w:spacing w:line="247" w:lineRule="auto" w:before="268"/>
        <w:ind w:left="1094" w:right="164"/>
      </w:pPr>
      <w:r>
        <w:rPr>
          <w:color w:val="105C84"/>
        </w:rPr>
        <w:t>On April 9, 2019, stakeholders and community members were invited to attend a priority setting</w:t>
      </w:r>
      <w:r>
        <w:rPr>
          <w:color w:val="105C84"/>
          <w:spacing w:val="40"/>
        </w:rPr>
        <w:t> </w:t>
      </w:r>
      <w:r>
        <w:rPr>
          <w:color w:val="105C84"/>
        </w:rPr>
        <w:t>meeting. At this meeting, participants reviewed the MAPP process, as well as relevant qualitative, quantitative, primary and secondary data. Data were reviewed from a variety of different sources including, but not limited to, the American Community Survey, the enhanced Behavioral Risk Factor Surveillance System, Vital Statistics, communicable disease and dental reports and primary data collected from the </w:t>
      </w:r>
      <w:r>
        <w:rPr>
          <w:i/>
          <w:color w:val="105C84"/>
        </w:rPr>
        <w:t>My Health Story 2018 </w:t>
      </w:r>
      <w:r>
        <w:rPr>
          <w:color w:val="105C84"/>
        </w:rPr>
        <w:t>survey. Lively group discussions took place regarding the potential</w:t>
      </w:r>
      <w:r>
        <w:rPr>
          <w:color w:val="105C84"/>
          <w:spacing w:val="34"/>
        </w:rPr>
        <w:t> </w:t>
      </w:r>
      <w:r>
        <w:rPr>
          <w:color w:val="105C84"/>
        </w:rPr>
        <w:t>priority</w:t>
      </w:r>
      <w:r>
        <w:rPr>
          <w:color w:val="105C84"/>
          <w:spacing w:val="34"/>
        </w:rPr>
        <w:t> </w:t>
      </w:r>
      <w:r>
        <w:rPr>
          <w:color w:val="105C84"/>
        </w:rPr>
        <w:t>areas.</w:t>
      </w:r>
      <w:r>
        <w:rPr>
          <w:color w:val="105C84"/>
          <w:spacing w:val="34"/>
        </w:rPr>
        <w:t> </w:t>
      </w:r>
      <w:r>
        <w:rPr>
          <w:color w:val="105C84"/>
        </w:rPr>
        <w:t>The</w:t>
      </w:r>
      <w:r>
        <w:rPr>
          <w:color w:val="105C84"/>
          <w:spacing w:val="34"/>
        </w:rPr>
        <w:t> </w:t>
      </w:r>
      <w:r>
        <w:rPr>
          <w:color w:val="105C84"/>
        </w:rPr>
        <w:t>meeting</w:t>
      </w:r>
      <w:r>
        <w:rPr>
          <w:color w:val="105C84"/>
          <w:spacing w:val="34"/>
        </w:rPr>
        <w:t> </w:t>
      </w:r>
      <w:r>
        <w:rPr>
          <w:color w:val="105C84"/>
        </w:rPr>
        <w:t>was</w:t>
      </w:r>
      <w:r>
        <w:rPr>
          <w:color w:val="105C84"/>
          <w:spacing w:val="34"/>
        </w:rPr>
        <w:t> </w:t>
      </w:r>
      <w:r>
        <w:rPr>
          <w:color w:val="105C84"/>
        </w:rPr>
        <w:t>very</w:t>
      </w:r>
      <w:r>
        <w:rPr>
          <w:color w:val="105C84"/>
          <w:spacing w:val="34"/>
        </w:rPr>
        <w:t> </w:t>
      </w:r>
      <w:r>
        <w:rPr>
          <w:color w:val="105C84"/>
        </w:rPr>
        <w:t>well</w:t>
      </w:r>
      <w:r>
        <w:rPr>
          <w:color w:val="105C84"/>
          <w:spacing w:val="34"/>
        </w:rPr>
        <w:t> </w:t>
      </w:r>
      <w:r>
        <w:rPr>
          <w:color w:val="105C84"/>
        </w:rPr>
        <w:t>attended</w:t>
      </w:r>
      <w:r>
        <w:rPr>
          <w:color w:val="105C84"/>
          <w:spacing w:val="34"/>
        </w:rPr>
        <w:t> </w:t>
      </w:r>
      <w:r>
        <w:rPr>
          <w:color w:val="105C84"/>
        </w:rPr>
        <w:t>with</w:t>
      </w:r>
      <w:r>
        <w:rPr>
          <w:color w:val="105C84"/>
          <w:spacing w:val="34"/>
        </w:rPr>
        <w:t> </w:t>
      </w:r>
      <w:r>
        <w:rPr>
          <w:color w:val="105C84"/>
        </w:rPr>
        <w:t>multiple</w:t>
      </w:r>
      <w:r>
        <w:rPr>
          <w:color w:val="105C84"/>
          <w:spacing w:val="34"/>
        </w:rPr>
        <w:t> </w:t>
      </w:r>
      <w:r>
        <w:rPr>
          <w:color w:val="105C84"/>
        </w:rPr>
        <w:t>agencies</w:t>
      </w:r>
      <w:r>
        <w:rPr>
          <w:color w:val="105C84"/>
          <w:spacing w:val="34"/>
        </w:rPr>
        <w:t> </w:t>
      </w:r>
      <w:r>
        <w:rPr>
          <w:color w:val="105C84"/>
        </w:rPr>
        <w:t>represented.</w:t>
      </w:r>
    </w:p>
    <w:p>
      <w:pPr>
        <w:pStyle w:val="BodyText"/>
        <w:spacing w:line="247" w:lineRule="auto"/>
        <w:ind w:left="1094" w:right="164"/>
      </w:pPr>
      <w:r>
        <w:rPr>
          <w:color w:val="105C84"/>
        </w:rPr>
        <w:t>Ultimately, using the Hanlon and PEARL methods, the group selected the following as their priority areas and disparity for the 2019-2021 Community Health Improvement Plan:</w:t>
      </w:r>
    </w:p>
    <w:p>
      <w:pPr>
        <w:pStyle w:val="BodyText"/>
        <w:spacing w:before="14"/>
      </w:pPr>
    </w:p>
    <w:p>
      <w:pPr>
        <w:pStyle w:val="Heading5"/>
        <w:spacing w:before="1"/>
        <w:ind w:left="1098"/>
      </w:pPr>
      <w:r>
        <w:rPr>
          <w:color w:val="32BCAA"/>
          <w:spacing w:val="2"/>
        </w:rPr>
        <w:t>PREVENT</w:t>
      </w:r>
      <w:r>
        <w:rPr>
          <w:color w:val="32BCAA"/>
          <w:spacing w:val="35"/>
        </w:rPr>
        <w:t> </w:t>
      </w:r>
      <w:r>
        <w:rPr>
          <w:color w:val="32BCAA"/>
          <w:spacing w:val="2"/>
        </w:rPr>
        <w:t>CHRONIC</w:t>
      </w:r>
      <w:r>
        <w:rPr>
          <w:color w:val="32BCAA"/>
          <w:spacing w:val="51"/>
        </w:rPr>
        <w:t> </w:t>
      </w:r>
      <w:r>
        <w:rPr>
          <w:color w:val="32BCAA"/>
          <w:spacing w:val="-2"/>
        </w:rPr>
        <w:t>DISEASES</w:t>
      </w:r>
    </w:p>
    <w:p>
      <w:pPr>
        <w:pStyle w:val="ListParagraph"/>
        <w:numPr>
          <w:ilvl w:val="0"/>
          <w:numId w:val="15"/>
        </w:numPr>
        <w:tabs>
          <w:tab w:pos="1653" w:val="left" w:leader="none"/>
        </w:tabs>
        <w:spacing w:line="240" w:lineRule="auto" w:before="65" w:after="0"/>
        <w:ind w:left="1653" w:right="0" w:hanging="239"/>
        <w:jc w:val="left"/>
        <w:rPr>
          <w:sz w:val="22"/>
        </w:rPr>
      </w:pPr>
      <w:r>
        <w:rPr>
          <w:color w:val="105C84"/>
          <w:sz w:val="22"/>
        </w:rPr>
        <w:t>Healthy</w:t>
      </w:r>
      <w:r>
        <w:rPr>
          <w:color w:val="105C84"/>
          <w:spacing w:val="20"/>
          <w:sz w:val="22"/>
        </w:rPr>
        <w:t> </w:t>
      </w:r>
      <w:r>
        <w:rPr>
          <w:color w:val="105C84"/>
          <w:sz w:val="22"/>
        </w:rPr>
        <w:t>eating</w:t>
      </w:r>
      <w:r>
        <w:rPr>
          <w:color w:val="105C84"/>
          <w:spacing w:val="20"/>
          <w:sz w:val="22"/>
        </w:rPr>
        <w:t> </w:t>
      </w:r>
      <w:r>
        <w:rPr>
          <w:color w:val="105C84"/>
          <w:sz w:val="22"/>
        </w:rPr>
        <w:t>and</w:t>
      </w:r>
      <w:r>
        <w:rPr>
          <w:color w:val="105C84"/>
          <w:spacing w:val="20"/>
          <w:sz w:val="22"/>
        </w:rPr>
        <w:t> </w:t>
      </w:r>
      <w:r>
        <w:rPr>
          <w:color w:val="105C84"/>
          <w:sz w:val="22"/>
        </w:rPr>
        <w:t>food</w:t>
      </w:r>
      <w:r>
        <w:rPr>
          <w:color w:val="105C84"/>
          <w:spacing w:val="21"/>
          <w:sz w:val="22"/>
        </w:rPr>
        <w:t> </w:t>
      </w:r>
      <w:r>
        <w:rPr>
          <w:color w:val="105C84"/>
          <w:spacing w:val="-2"/>
          <w:sz w:val="22"/>
        </w:rPr>
        <w:t>security</w:t>
      </w:r>
    </w:p>
    <w:p>
      <w:pPr>
        <w:pStyle w:val="ListParagraph"/>
        <w:numPr>
          <w:ilvl w:val="0"/>
          <w:numId w:val="15"/>
        </w:numPr>
        <w:tabs>
          <w:tab w:pos="1653" w:val="left" w:leader="none"/>
        </w:tabs>
        <w:spacing w:line="240" w:lineRule="auto" w:before="77" w:after="0"/>
        <w:ind w:left="1653" w:right="0" w:hanging="239"/>
        <w:jc w:val="left"/>
        <w:rPr>
          <w:sz w:val="22"/>
        </w:rPr>
      </w:pPr>
      <w:r>
        <w:rPr>
          <w:color w:val="105C84"/>
          <w:w w:val="90"/>
          <w:sz w:val="22"/>
        </w:rPr>
        <w:t>Physical</w:t>
      </w:r>
      <w:r>
        <w:rPr>
          <w:color w:val="105C84"/>
          <w:spacing w:val="38"/>
          <w:sz w:val="22"/>
        </w:rPr>
        <w:t> </w:t>
      </w:r>
      <w:r>
        <w:rPr>
          <w:color w:val="105C84"/>
          <w:spacing w:val="-2"/>
          <w:sz w:val="22"/>
        </w:rPr>
        <w:t>activity</w:t>
      </w:r>
    </w:p>
    <w:p>
      <w:pPr>
        <w:pStyle w:val="ListParagraph"/>
        <w:numPr>
          <w:ilvl w:val="0"/>
          <w:numId w:val="15"/>
        </w:numPr>
        <w:tabs>
          <w:tab w:pos="1653" w:val="left" w:leader="none"/>
        </w:tabs>
        <w:spacing w:line="240" w:lineRule="auto" w:before="77" w:after="0"/>
        <w:ind w:left="1653" w:right="0" w:hanging="239"/>
        <w:jc w:val="left"/>
        <w:rPr>
          <w:sz w:val="22"/>
        </w:rPr>
      </w:pPr>
      <w:r>
        <w:rPr>
          <w:color w:val="105C84"/>
          <w:sz w:val="22"/>
        </w:rPr>
        <w:t>Tobacco</w:t>
      </w:r>
      <w:r>
        <w:rPr>
          <w:color w:val="105C84"/>
          <w:spacing w:val="-16"/>
          <w:sz w:val="22"/>
        </w:rPr>
        <w:t> </w:t>
      </w:r>
      <w:r>
        <w:rPr>
          <w:color w:val="105C84"/>
          <w:spacing w:val="-2"/>
          <w:sz w:val="22"/>
        </w:rPr>
        <w:t>prevention</w:t>
      </w:r>
    </w:p>
    <w:p>
      <w:pPr>
        <w:pStyle w:val="Heading5"/>
        <w:spacing w:before="190"/>
        <w:ind w:left="1098"/>
      </w:pPr>
      <w:r>
        <w:rPr>
          <w:color w:val="32BCAA"/>
        </w:rPr>
        <w:t>DISPARITY:</w:t>
      </w:r>
      <w:r>
        <w:rPr>
          <w:color w:val="32BCAA"/>
          <w:spacing w:val="44"/>
        </w:rPr>
        <w:t> </w:t>
      </w:r>
      <w:r>
        <w:rPr>
          <w:color w:val="32BCAA"/>
        </w:rPr>
        <w:t>REDUCE</w:t>
      </w:r>
      <w:r>
        <w:rPr>
          <w:color w:val="32BCAA"/>
          <w:spacing w:val="38"/>
        </w:rPr>
        <w:t> </w:t>
      </w:r>
      <w:r>
        <w:rPr>
          <w:color w:val="32BCAA"/>
        </w:rPr>
        <w:t>TOBACCO</w:t>
      </w:r>
      <w:r>
        <w:rPr>
          <w:color w:val="32BCAA"/>
          <w:spacing w:val="54"/>
        </w:rPr>
        <w:t> </w:t>
      </w:r>
      <w:r>
        <w:rPr>
          <w:color w:val="32BCAA"/>
        </w:rPr>
        <w:t>USE</w:t>
      </w:r>
      <w:r>
        <w:rPr>
          <w:color w:val="32BCAA"/>
          <w:spacing w:val="53"/>
        </w:rPr>
        <w:t> </w:t>
      </w:r>
      <w:r>
        <w:rPr>
          <w:color w:val="32BCAA"/>
        </w:rPr>
        <w:t>AMONG</w:t>
      </w:r>
      <w:r>
        <w:rPr>
          <w:color w:val="32BCAA"/>
          <w:spacing w:val="54"/>
        </w:rPr>
        <w:t> </w:t>
      </w:r>
      <w:r>
        <w:rPr>
          <w:color w:val="32BCAA"/>
        </w:rPr>
        <w:t>PREGNANT</w:t>
      </w:r>
      <w:r>
        <w:rPr>
          <w:color w:val="32BCAA"/>
          <w:spacing w:val="38"/>
        </w:rPr>
        <w:t> </w:t>
      </w:r>
      <w:r>
        <w:rPr>
          <w:color w:val="32BCAA"/>
          <w:spacing w:val="-2"/>
        </w:rPr>
        <w:t>WOMEN</w:t>
      </w:r>
    </w:p>
    <w:p>
      <w:pPr>
        <w:pStyle w:val="BodyText"/>
        <w:spacing w:line="247" w:lineRule="auto" w:before="86"/>
        <w:ind w:left="1094"/>
      </w:pPr>
      <w:r>
        <w:rPr>
          <w:color w:val="105C84"/>
          <w:w w:val="105"/>
        </w:rPr>
        <w:t>In</w:t>
      </w:r>
      <w:r>
        <w:rPr>
          <w:color w:val="105C84"/>
          <w:spacing w:val="-11"/>
          <w:w w:val="105"/>
        </w:rPr>
        <w:t> </w:t>
      </w:r>
      <w:r>
        <w:rPr>
          <w:color w:val="105C84"/>
          <w:w w:val="105"/>
        </w:rPr>
        <w:t>addition</w:t>
      </w:r>
      <w:r>
        <w:rPr>
          <w:color w:val="105C84"/>
          <w:spacing w:val="-11"/>
          <w:w w:val="105"/>
        </w:rPr>
        <w:t> </w:t>
      </w:r>
      <w:r>
        <w:rPr>
          <w:color w:val="105C84"/>
          <w:w w:val="105"/>
        </w:rPr>
        <w:t>to</w:t>
      </w:r>
      <w:r>
        <w:rPr>
          <w:color w:val="105C84"/>
          <w:spacing w:val="-11"/>
          <w:w w:val="105"/>
        </w:rPr>
        <w:t> </w:t>
      </w:r>
      <w:r>
        <w:rPr>
          <w:color w:val="105C84"/>
          <w:w w:val="105"/>
        </w:rPr>
        <w:t>the</w:t>
      </w:r>
      <w:r>
        <w:rPr>
          <w:color w:val="105C84"/>
          <w:spacing w:val="-11"/>
          <w:w w:val="105"/>
        </w:rPr>
        <w:t> </w:t>
      </w:r>
      <w:r>
        <w:rPr>
          <w:color w:val="105C84"/>
          <w:w w:val="105"/>
        </w:rPr>
        <w:t>group’s</w:t>
      </w:r>
      <w:r>
        <w:rPr>
          <w:color w:val="105C84"/>
          <w:spacing w:val="-11"/>
          <w:w w:val="105"/>
        </w:rPr>
        <w:t> </w:t>
      </w:r>
      <w:r>
        <w:rPr>
          <w:color w:val="105C84"/>
          <w:w w:val="105"/>
        </w:rPr>
        <w:t>thoughts,</w:t>
      </w:r>
      <w:r>
        <w:rPr>
          <w:color w:val="105C84"/>
          <w:spacing w:val="-11"/>
          <w:w w:val="105"/>
        </w:rPr>
        <w:t> </w:t>
      </w:r>
      <w:r>
        <w:rPr>
          <w:i/>
          <w:color w:val="105C84"/>
          <w:w w:val="105"/>
        </w:rPr>
        <w:t>My</w:t>
      </w:r>
      <w:r>
        <w:rPr>
          <w:i/>
          <w:color w:val="105C84"/>
          <w:spacing w:val="-11"/>
          <w:w w:val="105"/>
        </w:rPr>
        <w:t> </w:t>
      </w:r>
      <w:r>
        <w:rPr>
          <w:i/>
          <w:color w:val="105C84"/>
          <w:w w:val="105"/>
        </w:rPr>
        <w:t>Health</w:t>
      </w:r>
      <w:r>
        <w:rPr>
          <w:i/>
          <w:color w:val="105C84"/>
          <w:spacing w:val="-11"/>
          <w:w w:val="105"/>
        </w:rPr>
        <w:t> </w:t>
      </w:r>
      <w:r>
        <w:rPr>
          <w:i/>
          <w:color w:val="105C84"/>
          <w:w w:val="105"/>
        </w:rPr>
        <w:t>Story</w:t>
      </w:r>
      <w:r>
        <w:rPr>
          <w:i/>
          <w:color w:val="105C84"/>
          <w:spacing w:val="-11"/>
          <w:w w:val="105"/>
        </w:rPr>
        <w:t> </w:t>
      </w:r>
      <w:r>
        <w:rPr>
          <w:i/>
          <w:color w:val="105C84"/>
          <w:w w:val="105"/>
        </w:rPr>
        <w:t>2018</w:t>
      </w:r>
      <w:r>
        <w:rPr>
          <w:i/>
          <w:color w:val="105C84"/>
          <w:spacing w:val="-11"/>
          <w:w w:val="105"/>
        </w:rPr>
        <w:t> </w:t>
      </w:r>
      <w:r>
        <w:rPr>
          <w:color w:val="105C84"/>
          <w:w w:val="105"/>
        </w:rPr>
        <w:t>respondents</w:t>
      </w:r>
      <w:r>
        <w:rPr>
          <w:color w:val="105C84"/>
          <w:spacing w:val="-11"/>
          <w:w w:val="105"/>
        </w:rPr>
        <w:t> </w:t>
      </w:r>
      <w:r>
        <w:rPr>
          <w:color w:val="105C84"/>
          <w:w w:val="105"/>
        </w:rPr>
        <w:t>were</w:t>
      </w:r>
      <w:r>
        <w:rPr>
          <w:color w:val="105C84"/>
          <w:spacing w:val="-11"/>
          <w:w w:val="105"/>
        </w:rPr>
        <w:t> </w:t>
      </w:r>
      <w:r>
        <w:rPr>
          <w:color w:val="105C84"/>
          <w:w w:val="105"/>
        </w:rPr>
        <w:t>also</w:t>
      </w:r>
      <w:r>
        <w:rPr>
          <w:color w:val="105C84"/>
          <w:spacing w:val="-11"/>
          <w:w w:val="105"/>
        </w:rPr>
        <w:t> </w:t>
      </w:r>
      <w:r>
        <w:rPr>
          <w:color w:val="105C84"/>
          <w:w w:val="105"/>
        </w:rPr>
        <w:t>asked</w:t>
      </w:r>
      <w:r>
        <w:rPr>
          <w:color w:val="105C84"/>
          <w:spacing w:val="-11"/>
          <w:w w:val="105"/>
        </w:rPr>
        <w:t> </w:t>
      </w:r>
      <w:r>
        <w:rPr>
          <w:color w:val="105C84"/>
          <w:w w:val="105"/>
        </w:rPr>
        <w:t>questions relating</w:t>
      </w:r>
      <w:r>
        <w:rPr>
          <w:color w:val="105C84"/>
          <w:spacing w:val="-3"/>
          <w:w w:val="105"/>
        </w:rPr>
        <w:t> </w:t>
      </w:r>
      <w:r>
        <w:rPr>
          <w:color w:val="105C84"/>
          <w:w w:val="105"/>
        </w:rPr>
        <w:t>to</w:t>
      </w:r>
      <w:r>
        <w:rPr>
          <w:color w:val="105C84"/>
          <w:spacing w:val="-3"/>
          <w:w w:val="105"/>
        </w:rPr>
        <w:t> </w:t>
      </w:r>
      <w:r>
        <w:rPr>
          <w:color w:val="105C84"/>
          <w:w w:val="105"/>
        </w:rPr>
        <w:t>their</w:t>
      </w:r>
      <w:r>
        <w:rPr>
          <w:color w:val="105C84"/>
          <w:spacing w:val="-3"/>
          <w:w w:val="105"/>
        </w:rPr>
        <w:t> </w:t>
      </w:r>
      <w:r>
        <w:rPr>
          <w:color w:val="105C84"/>
          <w:w w:val="105"/>
        </w:rPr>
        <w:t>top</w:t>
      </w:r>
      <w:r>
        <w:rPr>
          <w:color w:val="105C84"/>
          <w:spacing w:val="-3"/>
          <w:w w:val="105"/>
        </w:rPr>
        <w:t> </w:t>
      </w:r>
      <w:r>
        <w:rPr>
          <w:color w:val="105C84"/>
          <w:w w:val="105"/>
        </w:rPr>
        <w:t>concerns</w:t>
      </w:r>
      <w:r>
        <w:rPr>
          <w:color w:val="105C84"/>
          <w:spacing w:val="-3"/>
          <w:w w:val="105"/>
        </w:rPr>
        <w:t> </w:t>
      </w:r>
      <w:r>
        <w:rPr>
          <w:color w:val="105C84"/>
          <w:w w:val="105"/>
        </w:rPr>
        <w:t>for</w:t>
      </w:r>
      <w:r>
        <w:rPr>
          <w:color w:val="105C84"/>
          <w:spacing w:val="-3"/>
          <w:w w:val="105"/>
        </w:rPr>
        <w:t> </w:t>
      </w:r>
      <w:r>
        <w:rPr>
          <w:color w:val="105C84"/>
          <w:w w:val="105"/>
        </w:rPr>
        <w:t>the</w:t>
      </w:r>
      <w:r>
        <w:rPr>
          <w:color w:val="105C84"/>
          <w:spacing w:val="-3"/>
          <w:w w:val="105"/>
        </w:rPr>
        <w:t> </w:t>
      </w:r>
      <w:r>
        <w:rPr>
          <w:color w:val="105C84"/>
          <w:w w:val="105"/>
        </w:rPr>
        <w:t>health</w:t>
      </w:r>
      <w:r>
        <w:rPr>
          <w:color w:val="105C84"/>
          <w:spacing w:val="-3"/>
          <w:w w:val="105"/>
        </w:rPr>
        <w:t> </w:t>
      </w:r>
      <w:r>
        <w:rPr>
          <w:color w:val="105C84"/>
          <w:w w:val="105"/>
        </w:rPr>
        <w:t>of</w:t>
      </w:r>
      <w:r>
        <w:rPr>
          <w:color w:val="105C84"/>
          <w:spacing w:val="-3"/>
          <w:w w:val="105"/>
        </w:rPr>
        <w:t> </w:t>
      </w:r>
      <w:r>
        <w:rPr>
          <w:color w:val="105C84"/>
          <w:w w:val="105"/>
        </w:rPr>
        <w:t>themselves,</w:t>
      </w:r>
      <w:r>
        <w:rPr>
          <w:color w:val="105C84"/>
          <w:spacing w:val="-3"/>
          <w:w w:val="105"/>
        </w:rPr>
        <w:t> </w:t>
      </w:r>
      <w:r>
        <w:rPr>
          <w:color w:val="105C84"/>
          <w:w w:val="105"/>
        </w:rPr>
        <w:t>loved</w:t>
      </w:r>
      <w:r>
        <w:rPr>
          <w:color w:val="105C84"/>
          <w:spacing w:val="-3"/>
          <w:w w:val="105"/>
        </w:rPr>
        <w:t> </w:t>
      </w:r>
      <w:r>
        <w:rPr>
          <w:color w:val="105C84"/>
          <w:w w:val="105"/>
        </w:rPr>
        <w:t>ones,</w:t>
      </w:r>
      <w:r>
        <w:rPr>
          <w:color w:val="105C84"/>
          <w:spacing w:val="-3"/>
          <w:w w:val="105"/>
        </w:rPr>
        <w:t> </w:t>
      </w:r>
      <w:r>
        <w:rPr>
          <w:color w:val="105C84"/>
          <w:w w:val="105"/>
        </w:rPr>
        <w:t>adults</w:t>
      </w:r>
      <w:r>
        <w:rPr>
          <w:color w:val="105C84"/>
          <w:spacing w:val="-3"/>
          <w:w w:val="105"/>
        </w:rPr>
        <w:t> </w:t>
      </w:r>
      <w:r>
        <w:rPr>
          <w:color w:val="105C84"/>
          <w:w w:val="105"/>
        </w:rPr>
        <w:t>and</w:t>
      </w:r>
      <w:r>
        <w:rPr>
          <w:color w:val="105C84"/>
          <w:spacing w:val="-3"/>
          <w:w w:val="105"/>
        </w:rPr>
        <w:t> </w:t>
      </w:r>
      <w:r>
        <w:rPr>
          <w:color w:val="105C84"/>
          <w:w w:val="105"/>
        </w:rPr>
        <w:t>children</w:t>
      </w:r>
      <w:r>
        <w:rPr>
          <w:color w:val="105C84"/>
          <w:spacing w:val="-3"/>
          <w:w w:val="105"/>
        </w:rPr>
        <w:t> </w:t>
      </w:r>
      <w:r>
        <w:rPr>
          <w:color w:val="105C84"/>
          <w:w w:val="105"/>
        </w:rPr>
        <w:t>in</w:t>
      </w:r>
      <w:r>
        <w:rPr>
          <w:color w:val="105C84"/>
          <w:spacing w:val="-3"/>
          <w:w w:val="105"/>
        </w:rPr>
        <w:t> </w:t>
      </w:r>
      <w:r>
        <w:rPr>
          <w:color w:val="105C84"/>
          <w:w w:val="105"/>
        </w:rPr>
        <w:t>the community (and were reviewed at the prioritization meeting). Weight and mental/emotional health issues</w:t>
      </w:r>
      <w:r>
        <w:rPr>
          <w:color w:val="105C84"/>
          <w:spacing w:val="-4"/>
          <w:w w:val="105"/>
        </w:rPr>
        <w:t> </w:t>
      </w:r>
      <w:r>
        <w:rPr>
          <w:color w:val="105C84"/>
          <w:w w:val="105"/>
        </w:rPr>
        <w:t>rose</w:t>
      </w:r>
      <w:r>
        <w:rPr>
          <w:color w:val="105C84"/>
          <w:spacing w:val="-4"/>
          <w:w w:val="105"/>
        </w:rPr>
        <w:t> </w:t>
      </w:r>
      <w:r>
        <w:rPr>
          <w:color w:val="105C84"/>
          <w:w w:val="105"/>
        </w:rPr>
        <w:t>to</w:t>
      </w:r>
      <w:r>
        <w:rPr>
          <w:color w:val="105C84"/>
          <w:spacing w:val="-4"/>
          <w:w w:val="105"/>
        </w:rPr>
        <w:t> </w:t>
      </w:r>
      <w:r>
        <w:rPr>
          <w:color w:val="105C84"/>
          <w:w w:val="105"/>
        </w:rPr>
        <w:t>the</w:t>
      </w:r>
      <w:r>
        <w:rPr>
          <w:color w:val="105C84"/>
          <w:spacing w:val="-4"/>
          <w:w w:val="105"/>
        </w:rPr>
        <w:t> </w:t>
      </w:r>
      <w:r>
        <w:rPr>
          <w:color w:val="105C84"/>
          <w:w w:val="105"/>
        </w:rPr>
        <w:t>top</w:t>
      </w:r>
      <w:r>
        <w:rPr>
          <w:color w:val="105C84"/>
          <w:spacing w:val="-4"/>
          <w:w w:val="105"/>
        </w:rPr>
        <w:t> </w:t>
      </w:r>
      <w:r>
        <w:rPr>
          <w:color w:val="105C84"/>
          <w:w w:val="105"/>
        </w:rPr>
        <w:t>for</w:t>
      </w:r>
      <w:r>
        <w:rPr>
          <w:color w:val="105C84"/>
          <w:spacing w:val="-4"/>
          <w:w w:val="105"/>
        </w:rPr>
        <w:t> </w:t>
      </w:r>
      <w:r>
        <w:rPr>
          <w:color w:val="105C84"/>
          <w:w w:val="105"/>
        </w:rPr>
        <w:t>each</w:t>
      </w:r>
      <w:r>
        <w:rPr>
          <w:color w:val="105C84"/>
          <w:spacing w:val="-4"/>
          <w:w w:val="105"/>
        </w:rPr>
        <w:t> </w:t>
      </w:r>
      <w:r>
        <w:rPr>
          <w:color w:val="105C84"/>
          <w:w w:val="105"/>
        </w:rPr>
        <w:t>of</w:t>
      </w:r>
      <w:r>
        <w:rPr>
          <w:color w:val="105C84"/>
          <w:spacing w:val="-4"/>
          <w:w w:val="105"/>
        </w:rPr>
        <w:t> </w:t>
      </w:r>
      <w:r>
        <w:rPr>
          <w:color w:val="105C84"/>
          <w:w w:val="105"/>
        </w:rPr>
        <w:t>the</w:t>
      </w:r>
      <w:r>
        <w:rPr>
          <w:color w:val="105C84"/>
          <w:spacing w:val="-4"/>
          <w:w w:val="105"/>
        </w:rPr>
        <w:t> </w:t>
      </w:r>
      <w:r>
        <w:rPr>
          <w:color w:val="105C84"/>
          <w:w w:val="105"/>
        </w:rPr>
        <w:t>four</w:t>
      </w:r>
      <w:r>
        <w:rPr>
          <w:color w:val="105C84"/>
          <w:spacing w:val="-4"/>
          <w:w w:val="105"/>
        </w:rPr>
        <w:t> </w:t>
      </w:r>
      <w:r>
        <w:rPr>
          <w:color w:val="105C84"/>
          <w:w w:val="105"/>
        </w:rPr>
        <w:t>categories.</w:t>
      </w:r>
      <w:r>
        <w:rPr>
          <w:color w:val="105C84"/>
          <w:spacing w:val="-4"/>
          <w:w w:val="105"/>
        </w:rPr>
        <w:t> </w:t>
      </w:r>
      <w:r>
        <w:rPr>
          <w:color w:val="105C84"/>
          <w:w w:val="105"/>
        </w:rPr>
        <w:t>Exercise,</w:t>
      </w:r>
      <w:r>
        <w:rPr>
          <w:color w:val="105C84"/>
          <w:spacing w:val="-4"/>
          <w:w w:val="105"/>
        </w:rPr>
        <w:t> </w:t>
      </w:r>
      <w:r>
        <w:rPr>
          <w:color w:val="105C84"/>
          <w:w w:val="105"/>
        </w:rPr>
        <w:t>education</w:t>
      </w:r>
      <w:r>
        <w:rPr>
          <w:color w:val="105C84"/>
          <w:spacing w:val="-4"/>
          <w:w w:val="105"/>
        </w:rPr>
        <w:t> </w:t>
      </w:r>
      <w:r>
        <w:rPr>
          <w:color w:val="105C84"/>
          <w:w w:val="105"/>
        </w:rPr>
        <w:t>and</w:t>
      </w:r>
      <w:r>
        <w:rPr>
          <w:color w:val="105C84"/>
          <w:spacing w:val="-4"/>
          <w:w w:val="105"/>
        </w:rPr>
        <w:t> </w:t>
      </w:r>
      <w:r>
        <w:rPr>
          <w:color w:val="105C84"/>
          <w:w w:val="105"/>
        </w:rPr>
        <w:t>diet/nutrition</w:t>
      </w:r>
      <w:r>
        <w:rPr>
          <w:color w:val="105C84"/>
          <w:spacing w:val="-4"/>
          <w:w w:val="105"/>
        </w:rPr>
        <w:t> </w:t>
      </w:r>
      <w:r>
        <w:rPr>
          <w:color w:val="105C84"/>
          <w:w w:val="105"/>
        </w:rPr>
        <w:t>were </w:t>
      </w:r>
      <w:r>
        <w:rPr>
          <w:color w:val="105C84"/>
        </w:rPr>
        <w:t>concerns for children in the county. Tobacco appeared to be a concern for adults in the county. Chronic </w:t>
      </w:r>
      <w:r>
        <w:rPr>
          <w:color w:val="105C84"/>
          <w:w w:val="105"/>
        </w:rPr>
        <w:t>conditions</w:t>
      </w:r>
      <w:r>
        <w:rPr>
          <w:color w:val="105C84"/>
          <w:spacing w:val="-9"/>
          <w:w w:val="105"/>
        </w:rPr>
        <w:t> </w:t>
      </w:r>
      <w:r>
        <w:rPr>
          <w:color w:val="105C84"/>
          <w:w w:val="105"/>
        </w:rPr>
        <w:t>such</w:t>
      </w:r>
      <w:r>
        <w:rPr>
          <w:color w:val="105C84"/>
          <w:spacing w:val="-9"/>
          <w:w w:val="105"/>
        </w:rPr>
        <w:t> </w:t>
      </w:r>
      <w:r>
        <w:rPr>
          <w:color w:val="105C84"/>
          <w:w w:val="105"/>
        </w:rPr>
        <w:t>as</w:t>
      </w:r>
      <w:r>
        <w:rPr>
          <w:color w:val="105C84"/>
          <w:spacing w:val="-9"/>
          <w:w w:val="105"/>
        </w:rPr>
        <w:t> </w:t>
      </w:r>
      <w:r>
        <w:rPr>
          <w:color w:val="105C84"/>
          <w:w w:val="105"/>
        </w:rPr>
        <w:t>cancer</w:t>
      </w:r>
      <w:r>
        <w:rPr>
          <w:color w:val="105C84"/>
          <w:spacing w:val="-9"/>
          <w:w w:val="105"/>
        </w:rPr>
        <w:t> </w:t>
      </w:r>
      <w:r>
        <w:rPr>
          <w:color w:val="105C84"/>
          <w:w w:val="105"/>
        </w:rPr>
        <w:t>and</w:t>
      </w:r>
      <w:r>
        <w:rPr>
          <w:color w:val="105C84"/>
          <w:spacing w:val="-9"/>
          <w:w w:val="105"/>
        </w:rPr>
        <w:t> </w:t>
      </w:r>
      <w:r>
        <w:rPr>
          <w:color w:val="105C84"/>
          <w:w w:val="105"/>
        </w:rPr>
        <w:t>heart</w:t>
      </w:r>
      <w:r>
        <w:rPr>
          <w:color w:val="105C84"/>
          <w:spacing w:val="-9"/>
          <w:w w:val="105"/>
        </w:rPr>
        <w:t> </w:t>
      </w:r>
      <w:r>
        <w:rPr>
          <w:color w:val="105C84"/>
          <w:w w:val="105"/>
        </w:rPr>
        <w:t>conditions</w:t>
      </w:r>
      <w:r>
        <w:rPr>
          <w:color w:val="105C84"/>
          <w:spacing w:val="-9"/>
          <w:w w:val="105"/>
        </w:rPr>
        <w:t> </w:t>
      </w:r>
      <w:r>
        <w:rPr>
          <w:color w:val="105C84"/>
          <w:w w:val="105"/>
        </w:rPr>
        <w:t>were</w:t>
      </w:r>
      <w:r>
        <w:rPr>
          <w:color w:val="105C84"/>
          <w:spacing w:val="-9"/>
          <w:w w:val="105"/>
        </w:rPr>
        <w:t> </w:t>
      </w:r>
      <w:r>
        <w:rPr>
          <w:color w:val="105C84"/>
          <w:w w:val="105"/>
        </w:rPr>
        <w:t>also</w:t>
      </w:r>
      <w:r>
        <w:rPr>
          <w:color w:val="105C84"/>
          <w:spacing w:val="-9"/>
          <w:w w:val="105"/>
        </w:rPr>
        <w:t> </w:t>
      </w:r>
      <w:r>
        <w:rPr>
          <w:color w:val="105C84"/>
          <w:w w:val="105"/>
        </w:rPr>
        <w:t>highlighted</w:t>
      </w:r>
      <w:r>
        <w:rPr>
          <w:color w:val="105C84"/>
          <w:spacing w:val="-9"/>
          <w:w w:val="105"/>
        </w:rPr>
        <w:t> </w:t>
      </w:r>
      <w:r>
        <w:rPr>
          <w:color w:val="105C84"/>
          <w:w w:val="105"/>
        </w:rPr>
        <w:t>as</w:t>
      </w:r>
      <w:r>
        <w:rPr>
          <w:color w:val="105C84"/>
          <w:spacing w:val="-9"/>
          <w:w w:val="105"/>
        </w:rPr>
        <w:t> </w:t>
      </w:r>
      <w:r>
        <w:rPr>
          <w:color w:val="105C84"/>
          <w:w w:val="105"/>
        </w:rPr>
        <w:t>respondents’</w:t>
      </w:r>
      <w:r>
        <w:rPr>
          <w:color w:val="105C84"/>
          <w:spacing w:val="-9"/>
          <w:w w:val="105"/>
        </w:rPr>
        <w:t> </w:t>
      </w:r>
      <w:r>
        <w:rPr>
          <w:color w:val="105C84"/>
          <w:w w:val="105"/>
        </w:rPr>
        <w:t>top</w:t>
      </w:r>
      <w:r>
        <w:rPr>
          <w:color w:val="105C84"/>
          <w:spacing w:val="-9"/>
          <w:w w:val="105"/>
        </w:rPr>
        <w:t> </w:t>
      </w:r>
      <w:r>
        <w:rPr>
          <w:color w:val="105C84"/>
          <w:w w:val="105"/>
        </w:rPr>
        <w:t>fears</w:t>
      </w:r>
      <w:r>
        <w:rPr>
          <w:color w:val="105C84"/>
          <w:spacing w:val="-9"/>
          <w:w w:val="105"/>
        </w:rPr>
        <w:t> </w:t>
      </w:r>
      <w:r>
        <w:rPr>
          <w:color w:val="105C84"/>
          <w:w w:val="105"/>
        </w:rPr>
        <w:t>for themselves</w:t>
      </w:r>
      <w:r>
        <w:rPr>
          <w:color w:val="105C84"/>
          <w:spacing w:val="-2"/>
          <w:w w:val="105"/>
        </w:rPr>
        <w:t> </w:t>
      </w:r>
      <w:r>
        <w:rPr>
          <w:color w:val="105C84"/>
          <w:w w:val="105"/>
        </w:rPr>
        <w:t>and</w:t>
      </w:r>
      <w:r>
        <w:rPr>
          <w:color w:val="105C84"/>
          <w:spacing w:val="-2"/>
          <w:w w:val="105"/>
        </w:rPr>
        <w:t> </w:t>
      </w:r>
      <w:r>
        <w:rPr>
          <w:color w:val="105C84"/>
          <w:w w:val="105"/>
        </w:rPr>
        <w:t>for</w:t>
      </w:r>
      <w:r>
        <w:rPr>
          <w:color w:val="105C84"/>
          <w:spacing w:val="-2"/>
          <w:w w:val="105"/>
        </w:rPr>
        <w:t> </w:t>
      </w:r>
      <w:r>
        <w:rPr>
          <w:color w:val="105C84"/>
          <w:w w:val="105"/>
        </w:rPr>
        <w:t>others.</w:t>
      </w:r>
      <w:r>
        <w:rPr>
          <w:color w:val="105C84"/>
          <w:spacing w:val="-2"/>
          <w:w w:val="105"/>
        </w:rPr>
        <w:t> </w:t>
      </w:r>
      <w:r>
        <w:rPr>
          <w:color w:val="105C84"/>
          <w:w w:val="105"/>
        </w:rPr>
        <w:t>All</w:t>
      </w:r>
      <w:r>
        <w:rPr>
          <w:color w:val="105C84"/>
          <w:spacing w:val="-2"/>
          <w:w w:val="105"/>
        </w:rPr>
        <w:t> </w:t>
      </w:r>
      <w:r>
        <w:rPr>
          <w:color w:val="105C84"/>
          <w:w w:val="105"/>
        </w:rPr>
        <w:t>of</w:t>
      </w:r>
      <w:r>
        <w:rPr>
          <w:color w:val="105C84"/>
          <w:spacing w:val="-2"/>
          <w:w w:val="105"/>
        </w:rPr>
        <w:t> </w:t>
      </w:r>
      <w:r>
        <w:rPr>
          <w:color w:val="105C84"/>
          <w:w w:val="105"/>
        </w:rPr>
        <w:t>these</w:t>
      </w:r>
      <w:r>
        <w:rPr>
          <w:color w:val="105C84"/>
          <w:spacing w:val="-2"/>
          <w:w w:val="105"/>
        </w:rPr>
        <w:t> </w:t>
      </w:r>
      <w:r>
        <w:rPr>
          <w:color w:val="105C84"/>
          <w:w w:val="105"/>
        </w:rPr>
        <w:t>findings</w:t>
      </w:r>
      <w:r>
        <w:rPr>
          <w:color w:val="105C84"/>
          <w:spacing w:val="-2"/>
          <w:w w:val="105"/>
        </w:rPr>
        <w:t> </w:t>
      </w:r>
      <w:r>
        <w:rPr>
          <w:color w:val="105C84"/>
          <w:w w:val="105"/>
        </w:rPr>
        <w:t>help</w:t>
      </w:r>
      <w:r>
        <w:rPr>
          <w:color w:val="105C84"/>
          <w:spacing w:val="-2"/>
          <w:w w:val="105"/>
        </w:rPr>
        <w:t> </w:t>
      </w:r>
      <w:r>
        <w:rPr>
          <w:color w:val="105C84"/>
          <w:w w:val="105"/>
        </w:rPr>
        <w:t>support</w:t>
      </w:r>
      <w:r>
        <w:rPr>
          <w:color w:val="105C84"/>
          <w:spacing w:val="-2"/>
          <w:w w:val="105"/>
        </w:rPr>
        <w:t> </w:t>
      </w:r>
      <w:r>
        <w:rPr>
          <w:color w:val="105C84"/>
          <w:w w:val="105"/>
        </w:rPr>
        <w:t>the</w:t>
      </w:r>
      <w:r>
        <w:rPr>
          <w:color w:val="105C84"/>
          <w:spacing w:val="-2"/>
          <w:w w:val="105"/>
        </w:rPr>
        <w:t> </w:t>
      </w:r>
      <w:r>
        <w:rPr>
          <w:color w:val="105C84"/>
          <w:w w:val="105"/>
        </w:rPr>
        <w:t>decision</w:t>
      </w:r>
      <w:r>
        <w:rPr>
          <w:color w:val="105C84"/>
          <w:spacing w:val="-2"/>
          <w:w w:val="105"/>
        </w:rPr>
        <w:t> </w:t>
      </w:r>
      <w:r>
        <w:rPr>
          <w:color w:val="105C84"/>
          <w:w w:val="105"/>
        </w:rPr>
        <w:t>to</w:t>
      </w:r>
      <w:r>
        <w:rPr>
          <w:color w:val="105C84"/>
          <w:spacing w:val="-2"/>
          <w:w w:val="105"/>
        </w:rPr>
        <w:t> </w:t>
      </w:r>
      <w:r>
        <w:rPr>
          <w:color w:val="105C84"/>
          <w:w w:val="105"/>
        </w:rPr>
        <w:t>move</w:t>
      </w:r>
      <w:r>
        <w:rPr>
          <w:color w:val="105C84"/>
          <w:spacing w:val="-2"/>
          <w:w w:val="105"/>
        </w:rPr>
        <w:t> </w:t>
      </w:r>
      <w:r>
        <w:rPr>
          <w:color w:val="105C84"/>
          <w:w w:val="105"/>
        </w:rPr>
        <w:t>forward</w:t>
      </w:r>
      <w:r>
        <w:rPr>
          <w:color w:val="105C84"/>
          <w:spacing w:val="-2"/>
          <w:w w:val="105"/>
        </w:rPr>
        <w:t> </w:t>
      </w:r>
      <w:r>
        <w:rPr>
          <w:color w:val="105C84"/>
          <w:w w:val="105"/>
        </w:rPr>
        <w:t>with</w:t>
      </w:r>
      <w:r>
        <w:rPr>
          <w:color w:val="105C84"/>
          <w:spacing w:val="-2"/>
          <w:w w:val="105"/>
        </w:rPr>
        <w:t> </w:t>
      </w:r>
      <w:r>
        <w:rPr>
          <w:color w:val="105C84"/>
          <w:w w:val="105"/>
        </w:rPr>
        <w:t>the above mentioned priority areas.</w:t>
      </w:r>
    </w:p>
    <w:p>
      <w:pPr>
        <w:pStyle w:val="BodyText"/>
        <w:spacing w:before="14"/>
      </w:pPr>
    </w:p>
    <w:p>
      <w:pPr>
        <w:pStyle w:val="Heading6"/>
        <w:spacing w:before="1"/>
        <w:ind w:left="1094" w:right="679"/>
      </w:pPr>
      <w:r>
        <w:rPr>
          <w:color w:val="105C84"/>
          <w:spacing w:val="-4"/>
        </w:rPr>
        <w:t>FIGURE</w:t>
      </w:r>
      <w:r>
        <w:rPr>
          <w:color w:val="105C84"/>
          <w:spacing w:val="-9"/>
        </w:rPr>
        <w:t> </w:t>
      </w:r>
      <w:r>
        <w:rPr>
          <w:color w:val="105C84"/>
          <w:spacing w:val="-4"/>
        </w:rPr>
        <w:t>19:</w:t>
      </w:r>
      <w:r>
        <w:rPr>
          <w:color w:val="105C84"/>
          <w:spacing w:val="-9"/>
        </w:rPr>
        <w:t> </w:t>
      </w:r>
      <w:r>
        <w:rPr>
          <w:color w:val="105C84"/>
          <w:spacing w:val="-4"/>
        </w:rPr>
        <w:t>Chemung</w:t>
      </w:r>
      <w:r>
        <w:rPr>
          <w:color w:val="105C84"/>
          <w:spacing w:val="-9"/>
        </w:rPr>
        <w:t> </w:t>
      </w:r>
      <w:r>
        <w:rPr>
          <w:color w:val="105C84"/>
          <w:spacing w:val="-4"/>
        </w:rPr>
        <w:t>County</w:t>
      </w:r>
      <w:r>
        <w:rPr>
          <w:color w:val="105C84"/>
          <w:spacing w:val="-9"/>
        </w:rPr>
        <w:t> </w:t>
      </w:r>
      <w:r>
        <w:rPr>
          <w:color w:val="105C84"/>
          <w:spacing w:val="-4"/>
        </w:rPr>
        <w:t>summary</w:t>
      </w:r>
      <w:r>
        <w:rPr>
          <w:color w:val="105C84"/>
          <w:spacing w:val="-9"/>
        </w:rPr>
        <w:t> </w:t>
      </w:r>
      <w:r>
        <w:rPr>
          <w:color w:val="105C84"/>
          <w:spacing w:val="-4"/>
        </w:rPr>
        <w:t>of</w:t>
      </w:r>
      <w:r>
        <w:rPr>
          <w:color w:val="105C84"/>
          <w:spacing w:val="-9"/>
        </w:rPr>
        <w:t> </w:t>
      </w:r>
      <w:r>
        <w:rPr>
          <w:color w:val="105C84"/>
          <w:spacing w:val="-4"/>
        </w:rPr>
        <w:t>health-related</w:t>
      </w:r>
      <w:r>
        <w:rPr>
          <w:color w:val="105C84"/>
          <w:spacing w:val="-9"/>
        </w:rPr>
        <w:t> </w:t>
      </w:r>
      <w:r>
        <w:rPr>
          <w:color w:val="105C84"/>
          <w:spacing w:val="-4"/>
        </w:rPr>
        <w:t>concerns</w:t>
      </w:r>
      <w:r>
        <w:rPr>
          <w:color w:val="105C84"/>
          <w:spacing w:val="-9"/>
        </w:rPr>
        <w:t> </w:t>
      </w:r>
      <w:r>
        <w:rPr>
          <w:color w:val="105C84"/>
          <w:spacing w:val="-4"/>
        </w:rPr>
        <w:t>for</w:t>
      </w:r>
      <w:r>
        <w:rPr>
          <w:color w:val="105C84"/>
          <w:spacing w:val="-9"/>
        </w:rPr>
        <w:t> </w:t>
      </w:r>
      <w:r>
        <w:rPr>
          <w:color w:val="105C84"/>
          <w:spacing w:val="-4"/>
        </w:rPr>
        <w:t>self, </w:t>
      </w:r>
      <w:r>
        <w:rPr>
          <w:color w:val="105C84"/>
        </w:rPr>
        <w:t>loved ones and county to prioritize</w:t>
      </w:r>
    </w:p>
    <w:p>
      <w:pPr>
        <w:pStyle w:val="BodyText"/>
        <w:rPr>
          <w:b/>
          <w:sz w:val="14"/>
        </w:rPr>
      </w:pPr>
      <w:r>
        <w:rPr>
          <w:b/>
          <w:sz w:val="14"/>
        </w:rPr>
        <mc:AlternateContent>
          <mc:Choice Requires="wps">
            <w:drawing>
              <wp:anchor distT="0" distB="0" distL="0" distR="0" allowOverlap="1" layoutInCell="1" locked="0" behindDoc="1" simplePos="0" relativeHeight="487587840">
                <wp:simplePos x="0" y="0"/>
                <wp:positionH relativeFrom="page">
                  <wp:posOffset>694944</wp:posOffset>
                </wp:positionH>
                <wp:positionV relativeFrom="paragraph">
                  <wp:posOffset>117970</wp:posOffset>
                </wp:positionV>
                <wp:extent cx="2891155" cy="1374775"/>
                <wp:effectExtent l="0" t="0" r="0" b="0"/>
                <wp:wrapTopAndBottom/>
                <wp:docPr id="547" name="Textbox 547"/>
                <wp:cNvGraphicFramePr>
                  <a:graphicFrameLocks/>
                </wp:cNvGraphicFramePr>
                <a:graphic>
                  <a:graphicData uri="http://schemas.microsoft.com/office/word/2010/wordprocessingShape">
                    <wps:wsp>
                      <wps:cNvPr id="547" name="Textbox 547"/>
                      <wps:cNvSpPr txBox="1"/>
                      <wps:spPr>
                        <a:xfrm>
                          <a:off x="0" y="0"/>
                          <a:ext cx="2891155" cy="1374775"/>
                        </a:xfrm>
                        <a:prstGeom prst="rect">
                          <a:avLst/>
                        </a:prstGeom>
                      </wps:spPr>
                      <wps:txbx>
                        <w:txbxContent>
                          <w:tbl>
                            <w:tblPr>
                              <w:tblW w:w="0" w:type="auto"/>
                              <w:jc w:val="left"/>
                              <w:tblInd w:w="2" w:type="dxa"/>
                              <w:tblBorders>
                                <w:top w:val="single" w:sz="2" w:space="0" w:color="636466"/>
                                <w:left w:val="single" w:sz="2" w:space="0" w:color="636466"/>
                                <w:bottom w:val="single" w:sz="2" w:space="0" w:color="636466"/>
                                <w:right w:val="single" w:sz="2" w:space="0" w:color="636466"/>
                                <w:insideH w:val="single" w:sz="2" w:space="0" w:color="636466"/>
                                <w:insideV w:val="single" w:sz="2" w:space="0" w:color="636466"/>
                              </w:tblBorders>
                              <w:tblLayout w:type="fixed"/>
                              <w:tblCellMar>
                                <w:top w:w="0" w:type="dxa"/>
                                <w:left w:w="0" w:type="dxa"/>
                                <w:bottom w:w="0" w:type="dxa"/>
                                <w:right w:w="0" w:type="dxa"/>
                              </w:tblCellMar>
                              <w:tblLook w:val="01E0"/>
                            </w:tblPr>
                            <w:tblGrid>
                              <w:gridCol w:w="4548"/>
                            </w:tblGrid>
                            <w:tr>
                              <w:trPr>
                                <w:trHeight w:val="355" w:hRule="atLeast"/>
                              </w:trPr>
                              <w:tc>
                                <w:tcPr>
                                  <w:tcW w:w="4548" w:type="dxa"/>
                                  <w:shd w:val="clear" w:color="auto" w:fill="82BF6A"/>
                                </w:tcPr>
                                <w:p>
                                  <w:pPr>
                                    <w:pStyle w:val="TableParagraph"/>
                                    <w:spacing w:before="90"/>
                                    <w:ind w:left="80"/>
                                    <w:rPr>
                                      <w:b/>
                                      <w:sz w:val="20"/>
                                    </w:rPr>
                                  </w:pPr>
                                  <w:r>
                                    <w:rPr>
                                      <w:b/>
                                      <w:color w:val="FFFFFF"/>
                                      <w:sz w:val="20"/>
                                    </w:rPr>
                                    <w:t>BIGGEST</w:t>
                                  </w:r>
                                  <w:r>
                                    <w:rPr>
                                      <w:b/>
                                      <w:color w:val="FFFFFF"/>
                                      <w:spacing w:val="-10"/>
                                      <w:sz w:val="20"/>
                                    </w:rPr>
                                    <w:t> </w:t>
                                  </w:r>
                                  <w:r>
                                    <w:rPr>
                                      <w:b/>
                                      <w:color w:val="FFFFFF"/>
                                      <w:sz w:val="20"/>
                                    </w:rPr>
                                    <w:t>FEAR</w:t>
                                  </w:r>
                                  <w:r>
                                    <w:rPr>
                                      <w:b/>
                                      <w:color w:val="FFFFFF"/>
                                      <w:spacing w:val="-10"/>
                                      <w:sz w:val="20"/>
                                    </w:rPr>
                                    <w:t> </w:t>
                                  </w:r>
                                  <w:r>
                                    <w:rPr>
                                      <w:b/>
                                      <w:color w:val="FFFFFF"/>
                                      <w:sz w:val="20"/>
                                    </w:rPr>
                                    <w:t>-</w:t>
                                  </w:r>
                                  <w:r>
                                    <w:rPr>
                                      <w:b/>
                                      <w:color w:val="FFFFFF"/>
                                      <w:spacing w:val="-9"/>
                                      <w:sz w:val="20"/>
                                    </w:rPr>
                                    <w:t> </w:t>
                                  </w:r>
                                  <w:r>
                                    <w:rPr>
                                      <w:b/>
                                      <w:color w:val="FFFFFF"/>
                                      <w:sz w:val="20"/>
                                    </w:rPr>
                                    <w:t>FOR</w:t>
                                  </w:r>
                                  <w:r>
                                    <w:rPr>
                                      <w:b/>
                                      <w:color w:val="FFFFFF"/>
                                      <w:spacing w:val="-10"/>
                                      <w:sz w:val="20"/>
                                    </w:rPr>
                                    <w:t> </w:t>
                                  </w:r>
                                  <w:r>
                                    <w:rPr>
                                      <w:b/>
                                      <w:color w:val="FFFFFF"/>
                                      <w:spacing w:val="-4"/>
                                      <w:sz w:val="20"/>
                                    </w:rPr>
                                    <w:t>SELF</w:t>
                                  </w:r>
                                </w:p>
                              </w:tc>
                            </w:tr>
                            <w:tr>
                              <w:trPr>
                                <w:trHeight w:val="355" w:hRule="atLeast"/>
                              </w:trPr>
                              <w:tc>
                                <w:tcPr>
                                  <w:tcW w:w="4548" w:type="dxa"/>
                                </w:tcPr>
                                <w:p>
                                  <w:pPr>
                                    <w:pStyle w:val="TableParagraph"/>
                                    <w:spacing w:before="90"/>
                                    <w:ind w:left="80"/>
                                    <w:rPr>
                                      <w:sz w:val="20"/>
                                    </w:rPr>
                                  </w:pPr>
                                  <w:r>
                                    <w:rPr>
                                      <w:color w:val="105C84"/>
                                      <w:sz w:val="20"/>
                                    </w:rPr>
                                    <w:t>Weight</w:t>
                                  </w:r>
                                  <w:r>
                                    <w:rPr>
                                      <w:color w:val="105C84"/>
                                      <w:spacing w:val="27"/>
                                      <w:sz w:val="20"/>
                                    </w:rPr>
                                    <w:t> </w:t>
                                  </w:r>
                                  <w:r>
                                    <w:rPr>
                                      <w:color w:val="105C84"/>
                                      <w:spacing w:val="-2"/>
                                      <w:sz w:val="20"/>
                                    </w:rPr>
                                    <w:t>(14.1%)</w:t>
                                  </w:r>
                                </w:p>
                              </w:tc>
                            </w:tr>
                            <w:tr>
                              <w:trPr>
                                <w:trHeight w:val="355" w:hRule="atLeast"/>
                              </w:trPr>
                              <w:tc>
                                <w:tcPr>
                                  <w:tcW w:w="4548" w:type="dxa"/>
                                </w:tcPr>
                                <w:p>
                                  <w:pPr>
                                    <w:pStyle w:val="TableParagraph"/>
                                    <w:spacing w:before="90"/>
                                    <w:ind w:left="80"/>
                                    <w:rPr>
                                      <w:sz w:val="20"/>
                                    </w:rPr>
                                  </w:pPr>
                                  <w:r>
                                    <w:rPr>
                                      <w:color w:val="105C84"/>
                                      <w:sz w:val="20"/>
                                    </w:rPr>
                                    <w:t>Cost</w:t>
                                  </w:r>
                                  <w:r>
                                    <w:rPr>
                                      <w:color w:val="105C84"/>
                                      <w:spacing w:val="4"/>
                                      <w:sz w:val="20"/>
                                    </w:rPr>
                                    <w:t> </w:t>
                                  </w:r>
                                  <w:r>
                                    <w:rPr>
                                      <w:color w:val="105C84"/>
                                      <w:spacing w:val="-2"/>
                                      <w:sz w:val="20"/>
                                    </w:rPr>
                                    <w:t>(8.9%)</w:t>
                                  </w:r>
                                </w:p>
                              </w:tc>
                            </w:tr>
                            <w:tr>
                              <w:trPr>
                                <w:trHeight w:val="355" w:hRule="atLeast"/>
                              </w:trPr>
                              <w:tc>
                                <w:tcPr>
                                  <w:tcW w:w="4548" w:type="dxa"/>
                                </w:tcPr>
                                <w:p>
                                  <w:pPr>
                                    <w:pStyle w:val="TableParagraph"/>
                                    <w:spacing w:before="90"/>
                                    <w:ind w:left="80"/>
                                    <w:rPr>
                                      <w:sz w:val="20"/>
                                    </w:rPr>
                                  </w:pPr>
                                  <w:r>
                                    <w:rPr>
                                      <w:color w:val="105C84"/>
                                      <w:sz w:val="20"/>
                                    </w:rPr>
                                    <w:t>Mental</w:t>
                                  </w:r>
                                  <w:r>
                                    <w:rPr>
                                      <w:color w:val="105C84"/>
                                      <w:spacing w:val="13"/>
                                      <w:sz w:val="20"/>
                                    </w:rPr>
                                    <w:t> </w:t>
                                  </w:r>
                                  <w:r>
                                    <w:rPr>
                                      <w:color w:val="105C84"/>
                                      <w:sz w:val="20"/>
                                    </w:rPr>
                                    <w:t>/</w:t>
                                  </w:r>
                                  <w:r>
                                    <w:rPr>
                                      <w:color w:val="105C84"/>
                                      <w:spacing w:val="13"/>
                                      <w:sz w:val="20"/>
                                    </w:rPr>
                                    <w:t> </w:t>
                                  </w:r>
                                  <w:r>
                                    <w:rPr>
                                      <w:color w:val="105C84"/>
                                      <w:sz w:val="20"/>
                                    </w:rPr>
                                    <w:t>emotional</w:t>
                                  </w:r>
                                  <w:r>
                                    <w:rPr>
                                      <w:color w:val="105C84"/>
                                      <w:spacing w:val="13"/>
                                      <w:sz w:val="20"/>
                                    </w:rPr>
                                    <w:t> </w:t>
                                  </w:r>
                                  <w:r>
                                    <w:rPr>
                                      <w:color w:val="105C84"/>
                                      <w:sz w:val="20"/>
                                    </w:rPr>
                                    <w:t>health</w:t>
                                  </w:r>
                                  <w:r>
                                    <w:rPr>
                                      <w:color w:val="105C84"/>
                                      <w:spacing w:val="13"/>
                                      <w:sz w:val="20"/>
                                    </w:rPr>
                                    <w:t> </w:t>
                                  </w:r>
                                  <w:r>
                                    <w:rPr>
                                      <w:color w:val="105C84"/>
                                      <w:sz w:val="20"/>
                                    </w:rPr>
                                    <w:t>issues</w:t>
                                  </w:r>
                                  <w:r>
                                    <w:rPr>
                                      <w:color w:val="105C84"/>
                                      <w:spacing w:val="13"/>
                                      <w:sz w:val="20"/>
                                    </w:rPr>
                                    <w:t> </w:t>
                                  </w:r>
                                  <w:r>
                                    <w:rPr>
                                      <w:color w:val="105C84"/>
                                      <w:spacing w:val="-2"/>
                                      <w:sz w:val="20"/>
                                    </w:rPr>
                                    <w:t>(8.6%)</w:t>
                                  </w:r>
                                </w:p>
                              </w:tc>
                            </w:tr>
                            <w:tr>
                              <w:trPr>
                                <w:trHeight w:val="355" w:hRule="atLeast"/>
                              </w:trPr>
                              <w:tc>
                                <w:tcPr>
                                  <w:tcW w:w="4548" w:type="dxa"/>
                                </w:tcPr>
                                <w:p>
                                  <w:pPr>
                                    <w:pStyle w:val="TableParagraph"/>
                                    <w:spacing w:before="90"/>
                                    <w:ind w:left="80"/>
                                    <w:rPr>
                                      <w:sz w:val="20"/>
                                    </w:rPr>
                                  </w:pPr>
                                  <w:r>
                                    <w:rPr>
                                      <w:color w:val="105C84"/>
                                      <w:sz w:val="20"/>
                                    </w:rPr>
                                    <w:t>Cancer</w:t>
                                  </w:r>
                                  <w:r>
                                    <w:rPr>
                                      <w:color w:val="105C84"/>
                                      <w:spacing w:val="-10"/>
                                      <w:sz w:val="20"/>
                                    </w:rPr>
                                    <w:t> </w:t>
                                  </w:r>
                                  <w:r>
                                    <w:rPr>
                                      <w:color w:val="105C84"/>
                                      <w:spacing w:val="-2"/>
                                      <w:sz w:val="20"/>
                                    </w:rPr>
                                    <w:t>(7.0%)</w:t>
                                  </w:r>
                                </w:p>
                              </w:tc>
                            </w:tr>
                            <w:tr>
                              <w:trPr>
                                <w:trHeight w:val="355" w:hRule="atLeast"/>
                              </w:trPr>
                              <w:tc>
                                <w:tcPr>
                                  <w:tcW w:w="4548" w:type="dxa"/>
                                </w:tcPr>
                                <w:p>
                                  <w:pPr>
                                    <w:pStyle w:val="TableParagraph"/>
                                    <w:spacing w:before="90"/>
                                    <w:ind w:left="80"/>
                                    <w:rPr>
                                      <w:sz w:val="20"/>
                                    </w:rPr>
                                  </w:pPr>
                                  <w:r>
                                    <w:rPr>
                                      <w:color w:val="105C84"/>
                                      <w:sz w:val="20"/>
                                    </w:rPr>
                                    <w:t>Aging</w:t>
                                  </w:r>
                                  <w:r>
                                    <w:rPr>
                                      <w:color w:val="105C84"/>
                                      <w:spacing w:val="33"/>
                                      <w:sz w:val="20"/>
                                    </w:rPr>
                                    <w:t> </w:t>
                                  </w:r>
                                  <w:r>
                                    <w:rPr>
                                      <w:color w:val="105C84"/>
                                      <w:spacing w:val="-2"/>
                                      <w:sz w:val="20"/>
                                    </w:rPr>
                                    <w:t>(6.8%)</w:t>
                                  </w:r>
                                </w:p>
                              </w:tc>
                            </w:tr>
                          </w:tbl>
                          <w:p>
                            <w:pPr>
                              <w:pStyle w:val="BodyText"/>
                            </w:pPr>
                          </w:p>
                        </w:txbxContent>
                      </wps:txbx>
                      <wps:bodyPr wrap="square" lIns="0" tIns="0" rIns="0" bIns="0" rtlCol="0">
                        <a:noAutofit/>
                      </wps:bodyPr>
                    </wps:wsp>
                  </a:graphicData>
                </a:graphic>
              </wp:anchor>
            </w:drawing>
          </mc:Choice>
          <mc:Fallback>
            <w:pict>
              <v:shape style="position:absolute;margin-left:54.720001pt;margin-top:9.288989pt;width:227.65pt;height:108.25pt;mso-position-horizontal-relative:page;mso-position-vertical-relative:paragraph;z-index:-15728640;mso-wrap-distance-left:0;mso-wrap-distance-right:0" type="#_x0000_t202" id="docshape484" filled="false" stroked="false">
                <v:textbox inset="0,0,0,0">
                  <w:txbxContent>
                    <w:tbl>
                      <w:tblPr>
                        <w:tblW w:w="0" w:type="auto"/>
                        <w:jc w:val="left"/>
                        <w:tblInd w:w="2" w:type="dxa"/>
                        <w:tblBorders>
                          <w:top w:val="single" w:sz="2" w:space="0" w:color="636466"/>
                          <w:left w:val="single" w:sz="2" w:space="0" w:color="636466"/>
                          <w:bottom w:val="single" w:sz="2" w:space="0" w:color="636466"/>
                          <w:right w:val="single" w:sz="2" w:space="0" w:color="636466"/>
                          <w:insideH w:val="single" w:sz="2" w:space="0" w:color="636466"/>
                          <w:insideV w:val="single" w:sz="2" w:space="0" w:color="636466"/>
                        </w:tblBorders>
                        <w:tblLayout w:type="fixed"/>
                        <w:tblCellMar>
                          <w:top w:w="0" w:type="dxa"/>
                          <w:left w:w="0" w:type="dxa"/>
                          <w:bottom w:w="0" w:type="dxa"/>
                          <w:right w:w="0" w:type="dxa"/>
                        </w:tblCellMar>
                        <w:tblLook w:val="01E0"/>
                      </w:tblPr>
                      <w:tblGrid>
                        <w:gridCol w:w="4548"/>
                      </w:tblGrid>
                      <w:tr>
                        <w:trPr>
                          <w:trHeight w:val="355" w:hRule="atLeast"/>
                        </w:trPr>
                        <w:tc>
                          <w:tcPr>
                            <w:tcW w:w="4548" w:type="dxa"/>
                            <w:shd w:val="clear" w:color="auto" w:fill="82BF6A"/>
                          </w:tcPr>
                          <w:p>
                            <w:pPr>
                              <w:pStyle w:val="TableParagraph"/>
                              <w:spacing w:before="90"/>
                              <w:ind w:left="80"/>
                              <w:rPr>
                                <w:b/>
                                <w:sz w:val="20"/>
                              </w:rPr>
                            </w:pPr>
                            <w:r>
                              <w:rPr>
                                <w:b/>
                                <w:color w:val="FFFFFF"/>
                                <w:sz w:val="20"/>
                              </w:rPr>
                              <w:t>BIGGEST</w:t>
                            </w:r>
                            <w:r>
                              <w:rPr>
                                <w:b/>
                                <w:color w:val="FFFFFF"/>
                                <w:spacing w:val="-10"/>
                                <w:sz w:val="20"/>
                              </w:rPr>
                              <w:t> </w:t>
                            </w:r>
                            <w:r>
                              <w:rPr>
                                <w:b/>
                                <w:color w:val="FFFFFF"/>
                                <w:sz w:val="20"/>
                              </w:rPr>
                              <w:t>FEAR</w:t>
                            </w:r>
                            <w:r>
                              <w:rPr>
                                <w:b/>
                                <w:color w:val="FFFFFF"/>
                                <w:spacing w:val="-10"/>
                                <w:sz w:val="20"/>
                              </w:rPr>
                              <w:t> </w:t>
                            </w:r>
                            <w:r>
                              <w:rPr>
                                <w:b/>
                                <w:color w:val="FFFFFF"/>
                                <w:sz w:val="20"/>
                              </w:rPr>
                              <w:t>-</w:t>
                            </w:r>
                            <w:r>
                              <w:rPr>
                                <w:b/>
                                <w:color w:val="FFFFFF"/>
                                <w:spacing w:val="-9"/>
                                <w:sz w:val="20"/>
                              </w:rPr>
                              <w:t> </w:t>
                            </w:r>
                            <w:r>
                              <w:rPr>
                                <w:b/>
                                <w:color w:val="FFFFFF"/>
                                <w:sz w:val="20"/>
                              </w:rPr>
                              <w:t>FOR</w:t>
                            </w:r>
                            <w:r>
                              <w:rPr>
                                <w:b/>
                                <w:color w:val="FFFFFF"/>
                                <w:spacing w:val="-10"/>
                                <w:sz w:val="20"/>
                              </w:rPr>
                              <w:t> </w:t>
                            </w:r>
                            <w:r>
                              <w:rPr>
                                <w:b/>
                                <w:color w:val="FFFFFF"/>
                                <w:spacing w:val="-4"/>
                                <w:sz w:val="20"/>
                              </w:rPr>
                              <w:t>SELF</w:t>
                            </w:r>
                          </w:p>
                        </w:tc>
                      </w:tr>
                      <w:tr>
                        <w:trPr>
                          <w:trHeight w:val="355" w:hRule="atLeast"/>
                        </w:trPr>
                        <w:tc>
                          <w:tcPr>
                            <w:tcW w:w="4548" w:type="dxa"/>
                          </w:tcPr>
                          <w:p>
                            <w:pPr>
                              <w:pStyle w:val="TableParagraph"/>
                              <w:spacing w:before="90"/>
                              <w:ind w:left="80"/>
                              <w:rPr>
                                <w:sz w:val="20"/>
                              </w:rPr>
                            </w:pPr>
                            <w:r>
                              <w:rPr>
                                <w:color w:val="105C84"/>
                                <w:sz w:val="20"/>
                              </w:rPr>
                              <w:t>Weight</w:t>
                            </w:r>
                            <w:r>
                              <w:rPr>
                                <w:color w:val="105C84"/>
                                <w:spacing w:val="27"/>
                                <w:sz w:val="20"/>
                              </w:rPr>
                              <w:t> </w:t>
                            </w:r>
                            <w:r>
                              <w:rPr>
                                <w:color w:val="105C84"/>
                                <w:spacing w:val="-2"/>
                                <w:sz w:val="20"/>
                              </w:rPr>
                              <w:t>(14.1%)</w:t>
                            </w:r>
                          </w:p>
                        </w:tc>
                      </w:tr>
                      <w:tr>
                        <w:trPr>
                          <w:trHeight w:val="355" w:hRule="atLeast"/>
                        </w:trPr>
                        <w:tc>
                          <w:tcPr>
                            <w:tcW w:w="4548" w:type="dxa"/>
                          </w:tcPr>
                          <w:p>
                            <w:pPr>
                              <w:pStyle w:val="TableParagraph"/>
                              <w:spacing w:before="90"/>
                              <w:ind w:left="80"/>
                              <w:rPr>
                                <w:sz w:val="20"/>
                              </w:rPr>
                            </w:pPr>
                            <w:r>
                              <w:rPr>
                                <w:color w:val="105C84"/>
                                <w:sz w:val="20"/>
                              </w:rPr>
                              <w:t>Cost</w:t>
                            </w:r>
                            <w:r>
                              <w:rPr>
                                <w:color w:val="105C84"/>
                                <w:spacing w:val="4"/>
                                <w:sz w:val="20"/>
                              </w:rPr>
                              <w:t> </w:t>
                            </w:r>
                            <w:r>
                              <w:rPr>
                                <w:color w:val="105C84"/>
                                <w:spacing w:val="-2"/>
                                <w:sz w:val="20"/>
                              </w:rPr>
                              <w:t>(8.9%)</w:t>
                            </w:r>
                          </w:p>
                        </w:tc>
                      </w:tr>
                      <w:tr>
                        <w:trPr>
                          <w:trHeight w:val="355" w:hRule="atLeast"/>
                        </w:trPr>
                        <w:tc>
                          <w:tcPr>
                            <w:tcW w:w="4548" w:type="dxa"/>
                          </w:tcPr>
                          <w:p>
                            <w:pPr>
                              <w:pStyle w:val="TableParagraph"/>
                              <w:spacing w:before="90"/>
                              <w:ind w:left="80"/>
                              <w:rPr>
                                <w:sz w:val="20"/>
                              </w:rPr>
                            </w:pPr>
                            <w:r>
                              <w:rPr>
                                <w:color w:val="105C84"/>
                                <w:sz w:val="20"/>
                              </w:rPr>
                              <w:t>Mental</w:t>
                            </w:r>
                            <w:r>
                              <w:rPr>
                                <w:color w:val="105C84"/>
                                <w:spacing w:val="13"/>
                                <w:sz w:val="20"/>
                              </w:rPr>
                              <w:t> </w:t>
                            </w:r>
                            <w:r>
                              <w:rPr>
                                <w:color w:val="105C84"/>
                                <w:sz w:val="20"/>
                              </w:rPr>
                              <w:t>/</w:t>
                            </w:r>
                            <w:r>
                              <w:rPr>
                                <w:color w:val="105C84"/>
                                <w:spacing w:val="13"/>
                                <w:sz w:val="20"/>
                              </w:rPr>
                              <w:t> </w:t>
                            </w:r>
                            <w:r>
                              <w:rPr>
                                <w:color w:val="105C84"/>
                                <w:sz w:val="20"/>
                              </w:rPr>
                              <w:t>emotional</w:t>
                            </w:r>
                            <w:r>
                              <w:rPr>
                                <w:color w:val="105C84"/>
                                <w:spacing w:val="13"/>
                                <w:sz w:val="20"/>
                              </w:rPr>
                              <w:t> </w:t>
                            </w:r>
                            <w:r>
                              <w:rPr>
                                <w:color w:val="105C84"/>
                                <w:sz w:val="20"/>
                              </w:rPr>
                              <w:t>health</w:t>
                            </w:r>
                            <w:r>
                              <w:rPr>
                                <w:color w:val="105C84"/>
                                <w:spacing w:val="13"/>
                                <w:sz w:val="20"/>
                              </w:rPr>
                              <w:t> </w:t>
                            </w:r>
                            <w:r>
                              <w:rPr>
                                <w:color w:val="105C84"/>
                                <w:sz w:val="20"/>
                              </w:rPr>
                              <w:t>issues</w:t>
                            </w:r>
                            <w:r>
                              <w:rPr>
                                <w:color w:val="105C84"/>
                                <w:spacing w:val="13"/>
                                <w:sz w:val="20"/>
                              </w:rPr>
                              <w:t> </w:t>
                            </w:r>
                            <w:r>
                              <w:rPr>
                                <w:color w:val="105C84"/>
                                <w:spacing w:val="-2"/>
                                <w:sz w:val="20"/>
                              </w:rPr>
                              <w:t>(8.6%)</w:t>
                            </w:r>
                          </w:p>
                        </w:tc>
                      </w:tr>
                      <w:tr>
                        <w:trPr>
                          <w:trHeight w:val="355" w:hRule="atLeast"/>
                        </w:trPr>
                        <w:tc>
                          <w:tcPr>
                            <w:tcW w:w="4548" w:type="dxa"/>
                          </w:tcPr>
                          <w:p>
                            <w:pPr>
                              <w:pStyle w:val="TableParagraph"/>
                              <w:spacing w:before="90"/>
                              <w:ind w:left="80"/>
                              <w:rPr>
                                <w:sz w:val="20"/>
                              </w:rPr>
                            </w:pPr>
                            <w:r>
                              <w:rPr>
                                <w:color w:val="105C84"/>
                                <w:sz w:val="20"/>
                              </w:rPr>
                              <w:t>Cancer</w:t>
                            </w:r>
                            <w:r>
                              <w:rPr>
                                <w:color w:val="105C84"/>
                                <w:spacing w:val="-10"/>
                                <w:sz w:val="20"/>
                              </w:rPr>
                              <w:t> </w:t>
                            </w:r>
                            <w:r>
                              <w:rPr>
                                <w:color w:val="105C84"/>
                                <w:spacing w:val="-2"/>
                                <w:sz w:val="20"/>
                              </w:rPr>
                              <w:t>(7.0%)</w:t>
                            </w:r>
                          </w:p>
                        </w:tc>
                      </w:tr>
                      <w:tr>
                        <w:trPr>
                          <w:trHeight w:val="355" w:hRule="atLeast"/>
                        </w:trPr>
                        <w:tc>
                          <w:tcPr>
                            <w:tcW w:w="4548" w:type="dxa"/>
                          </w:tcPr>
                          <w:p>
                            <w:pPr>
                              <w:pStyle w:val="TableParagraph"/>
                              <w:spacing w:before="90"/>
                              <w:ind w:left="80"/>
                              <w:rPr>
                                <w:sz w:val="20"/>
                              </w:rPr>
                            </w:pPr>
                            <w:r>
                              <w:rPr>
                                <w:color w:val="105C84"/>
                                <w:sz w:val="20"/>
                              </w:rPr>
                              <w:t>Aging</w:t>
                            </w:r>
                            <w:r>
                              <w:rPr>
                                <w:color w:val="105C84"/>
                                <w:spacing w:val="33"/>
                                <w:sz w:val="20"/>
                              </w:rPr>
                              <w:t> </w:t>
                            </w:r>
                            <w:r>
                              <w:rPr>
                                <w:color w:val="105C84"/>
                                <w:spacing w:val="-2"/>
                                <w:sz w:val="20"/>
                              </w:rPr>
                              <w:t>(6.8%)</w:t>
                            </w:r>
                          </w:p>
                        </w:tc>
                      </w:tr>
                    </w:tbl>
                    <w:p>
                      <w:pPr>
                        <w:pStyle w:val="BodyText"/>
                      </w:pPr>
                    </w:p>
                  </w:txbxContent>
                </v:textbox>
                <w10:wrap type="topAndBottom"/>
              </v:shape>
            </w:pict>
          </mc:Fallback>
        </mc:AlternateContent>
      </w:r>
      <w:r>
        <w:rPr>
          <w:b/>
          <w:sz w:val="14"/>
        </w:rPr>
        <mc:AlternateContent>
          <mc:Choice Requires="wps">
            <w:drawing>
              <wp:anchor distT="0" distB="0" distL="0" distR="0" allowOverlap="1" layoutInCell="1" locked="0" behindDoc="1" simplePos="0" relativeHeight="487587840">
                <wp:simplePos x="0" y="0"/>
                <wp:positionH relativeFrom="page">
                  <wp:posOffset>3930332</wp:posOffset>
                </wp:positionH>
                <wp:positionV relativeFrom="paragraph">
                  <wp:posOffset>117970</wp:posOffset>
                </wp:positionV>
                <wp:extent cx="3037840" cy="1374775"/>
                <wp:effectExtent l="0" t="0" r="0" b="0"/>
                <wp:wrapTopAndBottom/>
                <wp:docPr id="548" name="Textbox 548"/>
                <wp:cNvGraphicFramePr>
                  <a:graphicFrameLocks/>
                </wp:cNvGraphicFramePr>
                <a:graphic>
                  <a:graphicData uri="http://schemas.microsoft.com/office/word/2010/wordprocessingShape">
                    <wps:wsp>
                      <wps:cNvPr id="548" name="Textbox 548"/>
                      <wps:cNvSpPr txBox="1"/>
                      <wps:spPr>
                        <a:xfrm>
                          <a:off x="0" y="0"/>
                          <a:ext cx="3037840" cy="1374775"/>
                        </a:xfrm>
                        <a:prstGeom prst="rect">
                          <a:avLst/>
                        </a:prstGeom>
                      </wps:spPr>
                      <wps:txbx>
                        <w:txbxContent>
                          <w:tbl>
                            <w:tblPr>
                              <w:tblW w:w="0" w:type="auto"/>
                              <w:jc w:val="left"/>
                              <w:tblInd w:w="2" w:type="dxa"/>
                              <w:tblBorders>
                                <w:top w:val="single" w:sz="2" w:space="0" w:color="636466"/>
                                <w:left w:val="single" w:sz="2" w:space="0" w:color="636466"/>
                                <w:bottom w:val="single" w:sz="2" w:space="0" w:color="636466"/>
                                <w:right w:val="single" w:sz="2" w:space="0" w:color="636466"/>
                                <w:insideH w:val="single" w:sz="2" w:space="0" w:color="636466"/>
                                <w:insideV w:val="single" w:sz="2" w:space="0" w:color="636466"/>
                              </w:tblBorders>
                              <w:tblLayout w:type="fixed"/>
                              <w:tblCellMar>
                                <w:top w:w="0" w:type="dxa"/>
                                <w:left w:w="0" w:type="dxa"/>
                                <w:bottom w:w="0" w:type="dxa"/>
                                <w:right w:w="0" w:type="dxa"/>
                              </w:tblCellMar>
                              <w:tblLook w:val="01E0"/>
                            </w:tblPr>
                            <w:tblGrid>
                              <w:gridCol w:w="4778"/>
                            </w:tblGrid>
                            <w:tr>
                              <w:trPr>
                                <w:trHeight w:val="355" w:hRule="atLeast"/>
                              </w:trPr>
                              <w:tc>
                                <w:tcPr>
                                  <w:tcW w:w="4778" w:type="dxa"/>
                                  <w:shd w:val="clear" w:color="auto" w:fill="00A79E"/>
                                </w:tcPr>
                                <w:p>
                                  <w:pPr>
                                    <w:pStyle w:val="TableParagraph"/>
                                    <w:spacing w:before="90"/>
                                    <w:ind w:left="79"/>
                                    <w:rPr>
                                      <w:b/>
                                      <w:sz w:val="20"/>
                                    </w:rPr>
                                  </w:pPr>
                                  <w:r>
                                    <w:rPr>
                                      <w:b/>
                                      <w:color w:val="FFFFFF"/>
                                      <w:spacing w:val="-2"/>
                                      <w:sz w:val="20"/>
                                    </w:rPr>
                                    <w:t>BIGGEST</w:t>
                                  </w:r>
                                  <w:r>
                                    <w:rPr>
                                      <w:b/>
                                      <w:color w:val="FFFFFF"/>
                                      <w:spacing w:val="-6"/>
                                      <w:sz w:val="20"/>
                                    </w:rPr>
                                    <w:t> </w:t>
                                  </w:r>
                                  <w:r>
                                    <w:rPr>
                                      <w:b/>
                                      <w:color w:val="FFFFFF"/>
                                      <w:spacing w:val="-2"/>
                                      <w:sz w:val="20"/>
                                    </w:rPr>
                                    <w:t>FEAR</w:t>
                                  </w:r>
                                  <w:r>
                                    <w:rPr>
                                      <w:b/>
                                      <w:color w:val="FFFFFF"/>
                                      <w:spacing w:val="-6"/>
                                      <w:sz w:val="20"/>
                                    </w:rPr>
                                    <w:t> </w:t>
                                  </w:r>
                                  <w:r>
                                    <w:rPr>
                                      <w:b/>
                                      <w:color w:val="FFFFFF"/>
                                      <w:spacing w:val="-2"/>
                                      <w:sz w:val="20"/>
                                    </w:rPr>
                                    <w:t>-FOR</w:t>
                                  </w:r>
                                  <w:r>
                                    <w:rPr>
                                      <w:b/>
                                      <w:color w:val="FFFFFF"/>
                                      <w:spacing w:val="-5"/>
                                      <w:sz w:val="20"/>
                                    </w:rPr>
                                    <w:t> </w:t>
                                  </w:r>
                                  <w:r>
                                    <w:rPr>
                                      <w:b/>
                                      <w:color w:val="FFFFFF"/>
                                      <w:spacing w:val="-2"/>
                                      <w:sz w:val="20"/>
                                    </w:rPr>
                                    <w:t>OTHERS</w:t>
                                  </w:r>
                                </w:p>
                              </w:tc>
                            </w:tr>
                            <w:tr>
                              <w:trPr>
                                <w:trHeight w:val="355" w:hRule="atLeast"/>
                              </w:trPr>
                              <w:tc>
                                <w:tcPr>
                                  <w:tcW w:w="4778" w:type="dxa"/>
                                </w:tcPr>
                                <w:p>
                                  <w:pPr>
                                    <w:pStyle w:val="TableParagraph"/>
                                    <w:spacing w:before="90"/>
                                    <w:ind w:left="79"/>
                                    <w:rPr>
                                      <w:sz w:val="20"/>
                                    </w:rPr>
                                  </w:pPr>
                                  <w:r>
                                    <w:rPr>
                                      <w:color w:val="105C84"/>
                                      <w:sz w:val="20"/>
                                    </w:rPr>
                                    <w:t>Weight</w:t>
                                  </w:r>
                                  <w:r>
                                    <w:rPr>
                                      <w:color w:val="105C84"/>
                                      <w:spacing w:val="27"/>
                                      <w:sz w:val="20"/>
                                    </w:rPr>
                                    <w:t> </w:t>
                                  </w:r>
                                  <w:r>
                                    <w:rPr>
                                      <w:color w:val="105C84"/>
                                      <w:spacing w:val="-2"/>
                                      <w:sz w:val="20"/>
                                    </w:rPr>
                                    <w:t>(9.3%)</w:t>
                                  </w:r>
                                </w:p>
                              </w:tc>
                            </w:tr>
                            <w:tr>
                              <w:trPr>
                                <w:trHeight w:val="355" w:hRule="atLeast"/>
                              </w:trPr>
                              <w:tc>
                                <w:tcPr>
                                  <w:tcW w:w="4778" w:type="dxa"/>
                                </w:tcPr>
                                <w:p>
                                  <w:pPr>
                                    <w:pStyle w:val="TableParagraph"/>
                                    <w:spacing w:before="90"/>
                                    <w:ind w:left="79"/>
                                    <w:rPr>
                                      <w:sz w:val="20"/>
                                    </w:rPr>
                                  </w:pPr>
                                  <w:r>
                                    <w:rPr>
                                      <w:color w:val="105C84"/>
                                      <w:sz w:val="20"/>
                                    </w:rPr>
                                    <w:t>Cancer</w:t>
                                  </w:r>
                                  <w:r>
                                    <w:rPr>
                                      <w:color w:val="105C84"/>
                                      <w:spacing w:val="-10"/>
                                      <w:sz w:val="20"/>
                                    </w:rPr>
                                    <w:t> </w:t>
                                  </w:r>
                                  <w:r>
                                    <w:rPr>
                                      <w:color w:val="105C84"/>
                                      <w:spacing w:val="-2"/>
                                      <w:sz w:val="20"/>
                                    </w:rPr>
                                    <w:t>(7.1%)</w:t>
                                  </w:r>
                                </w:p>
                              </w:tc>
                            </w:tr>
                            <w:tr>
                              <w:trPr>
                                <w:trHeight w:val="355" w:hRule="atLeast"/>
                              </w:trPr>
                              <w:tc>
                                <w:tcPr>
                                  <w:tcW w:w="4778" w:type="dxa"/>
                                </w:tcPr>
                                <w:p>
                                  <w:pPr>
                                    <w:pStyle w:val="TableParagraph"/>
                                    <w:spacing w:before="90"/>
                                    <w:ind w:left="79"/>
                                    <w:rPr>
                                      <w:sz w:val="20"/>
                                    </w:rPr>
                                  </w:pPr>
                                  <w:r>
                                    <w:rPr>
                                      <w:color w:val="105C84"/>
                                      <w:sz w:val="20"/>
                                    </w:rPr>
                                    <w:t>Mental</w:t>
                                  </w:r>
                                  <w:r>
                                    <w:rPr>
                                      <w:color w:val="105C84"/>
                                      <w:spacing w:val="13"/>
                                      <w:sz w:val="20"/>
                                    </w:rPr>
                                    <w:t> </w:t>
                                  </w:r>
                                  <w:r>
                                    <w:rPr>
                                      <w:color w:val="105C84"/>
                                      <w:sz w:val="20"/>
                                    </w:rPr>
                                    <w:t>/</w:t>
                                  </w:r>
                                  <w:r>
                                    <w:rPr>
                                      <w:color w:val="105C84"/>
                                      <w:spacing w:val="13"/>
                                      <w:sz w:val="20"/>
                                    </w:rPr>
                                    <w:t> </w:t>
                                  </w:r>
                                  <w:r>
                                    <w:rPr>
                                      <w:color w:val="105C84"/>
                                      <w:sz w:val="20"/>
                                    </w:rPr>
                                    <w:t>emotional</w:t>
                                  </w:r>
                                  <w:r>
                                    <w:rPr>
                                      <w:color w:val="105C84"/>
                                      <w:spacing w:val="13"/>
                                      <w:sz w:val="20"/>
                                    </w:rPr>
                                    <w:t> </w:t>
                                  </w:r>
                                  <w:r>
                                    <w:rPr>
                                      <w:color w:val="105C84"/>
                                      <w:sz w:val="20"/>
                                    </w:rPr>
                                    <w:t>health</w:t>
                                  </w:r>
                                  <w:r>
                                    <w:rPr>
                                      <w:color w:val="105C84"/>
                                      <w:spacing w:val="13"/>
                                      <w:sz w:val="20"/>
                                    </w:rPr>
                                    <w:t> </w:t>
                                  </w:r>
                                  <w:r>
                                    <w:rPr>
                                      <w:color w:val="105C84"/>
                                      <w:sz w:val="20"/>
                                    </w:rPr>
                                    <w:t>issues</w:t>
                                  </w:r>
                                  <w:r>
                                    <w:rPr>
                                      <w:color w:val="105C84"/>
                                      <w:spacing w:val="13"/>
                                      <w:sz w:val="20"/>
                                    </w:rPr>
                                    <w:t> </w:t>
                                  </w:r>
                                  <w:r>
                                    <w:rPr>
                                      <w:color w:val="105C84"/>
                                      <w:spacing w:val="-2"/>
                                      <w:sz w:val="20"/>
                                    </w:rPr>
                                    <w:t>(6.7%)</w:t>
                                  </w:r>
                                </w:p>
                              </w:tc>
                            </w:tr>
                            <w:tr>
                              <w:trPr>
                                <w:trHeight w:val="355" w:hRule="atLeast"/>
                              </w:trPr>
                              <w:tc>
                                <w:tcPr>
                                  <w:tcW w:w="4778" w:type="dxa"/>
                                </w:tcPr>
                                <w:p>
                                  <w:pPr>
                                    <w:pStyle w:val="TableParagraph"/>
                                    <w:spacing w:before="90"/>
                                    <w:ind w:left="79"/>
                                    <w:rPr>
                                      <w:sz w:val="20"/>
                                    </w:rPr>
                                  </w:pPr>
                                  <w:r>
                                    <w:rPr>
                                      <w:color w:val="105C84"/>
                                      <w:sz w:val="20"/>
                                    </w:rPr>
                                    <w:t>Heart</w:t>
                                  </w:r>
                                  <w:r>
                                    <w:rPr>
                                      <w:color w:val="105C84"/>
                                      <w:spacing w:val="22"/>
                                      <w:sz w:val="20"/>
                                    </w:rPr>
                                    <w:t> </w:t>
                                  </w:r>
                                  <w:r>
                                    <w:rPr>
                                      <w:color w:val="105C84"/>
                                      <w:sz w:val="20"/>
                                    </w:rPr>
                                    <w:t>conditions</w:t>
                                  </w:r>
                                  <w:r>
                                    <w:rPr>
                                      <w:color w:val="105C84"/>
                                      <w:spacing w:val="23"/>
                                      <w:sz w:val="20"/>
                                    </w:rPr>
                                    <w:t> </w:t>
                                  </w:r>
                                  <w:r>
                                    <w:rPr>
                                      <w:color w:val="105C84"/>
                                      <w:spacing w:val="-2"/>
                                      <w:sz w:val="20"/>
                                    </w:rPr>
                                    <w:t>(6.3%)</w:t>
                                  </w:r>
                                </w:p>
                              </w:tc>
                            </w:tr>
                            <w:tr>
                              <w:trPr>
                                <w:trHeight w:val="355" w:hRule="atLeast"/>
                              </w:trPr>
                              <w:tc>
                                <w:tcPr>
                                  <w:tcW w:w="4778" w:type="dxa"/>
                                </w:tcPr>
                                <w:p>
                                  <w:pPr>
                                    <w:pStyle w:val="TableParagraph"/>
                                    <w:spacing w:before="90"/>
                                    <w:ind w:left="79"/>
                                    <w:rPr>
                                      <w:sz w:val="20"/>
                                    </w:rPr>
                                  </w:pPr>
                                  <w:r>
                                    <w:rPr>
                                      <w:color w:val="105C84"/>
                                      <w:sz w:val="20"/>
                                    </w:rPr>
                                    <w:t>Cost</w:t>
                                  </w:r>
                                  <w:r>
                                    <w:rPr>
                                      <w:color w:val="105C84"/>
                                      <w:spacing w:val="4"/>
                                      <w:sz w:val="20"/>
                                    </w:rPr>
                                    <w:t> </w:t>
                                  </w:r>
                                  <w:r>
                                    <w:rPr>
                                      <w:color w:val="105C84"/>
                                      <w:spacing w:val="-2"/>
                                      <w:sz w:val="20"/>
                                    </w:rPr>
                                    <w:t>(6.0%)</w:t>
                                  </w:r>
                                </w:p>
                              </w:tc>
                            </w:tr>
                          </w:tbl>
                          <w:p>
                            <w:pPr>
                              <w:pStyle w:val="BodyText"/>
                            </w:pPr>
                          </w:p>
                        </w:txbxContent>
                      </wps:txbx>
                      <wps:bodyPr wrap="square" lIns="0" tIns="0" rIns="0" bIns="0" rtlCol="0">
                        <a:noAutofit/>
                      </wps:bodyPr>
                    </wps:wsp>
                  </a:graphicData>
                </a:graphic>
              </wp:anchor>
            </w:drawing>
          </mc:Choice>
          <mc:Fallback>
            <w:pict>
              <v:shape style="position:absolute;margin-left:309.475006pt;margin-top:9.288989pt;width:239.2pt;height:108.25pt;mso-position-horizontal-relative:page;mso-position-vertical-relative:paragraph;z-index:-15728640;mso-wrap-distance-left:0;mso-wrap-distance-right:0" type="#_x0000_t202" id="docshape485" filled="false" stroked="false">
                <v:textbox inset="0,0,0,0">
                  <w:txbxContent>
                    <w:tbl>
                      <w:tblPr>
                        <w:tblW w:w="0" w:type="auto"/>
                        <w:jc w:val="left"/>
                        <w:tblInd w:w="2" w:type="dxa"/>
                        <w:tblBorders>
                          <w:top w:val="single" w:sz="2" w:space="0" w:color="636466"/>
                          <w:left w:val="single" w:sz="2" w:space="0" w:color="636466"/>
                          <w:bottom w:val="single" w:sz="2" w:space="0" w:color="636466"/>
                          <w:right w:val="single" w:sz="2" w:space="0" w:color="636466"/>
                          <w:insideH w:val="single" w:sz="2" w:space="0" w:color="636466"/>
                          <w:insideV w:val="single" w:sz="2" w:space="0" w:color="636466"/>
                        </w:tblBorders>
                        <w:tblLayout w:type="fixed"/>
                        <w:tblCellMar>
                          <w:top w:w="0" w:type="dxa"/>
                          <w:left w:w="0" w:type="dxa"/>
                          <w:bottom w:w="0" w:type="dxa"/>
                          <w:right w:w="0" w:type="dxa"/>
                        </w:tblCellMar>
                        <w:tblLook w:val="01E0"/>
                      </w:tblPr>
                      <w:tblGrid>
                        <w:gridCol w:w="4778"/>
                      </w:tblGrid>
                      <w:tr>
                        <w:trPr>
                          <w:trHeight w:val="355" w:hRule="atLeast"/>
                        </w:trPr>
                        <w:tc>
                          <w:tcPr>
                            <w:tcW w:w="4778" w:type="dxa"/>
                            <w:shd w:val="clear" w:color="auto" w:fill="00A79E"/>
                          </w:tcPr>
                          <w:p>
                            <w:pPr>
                              <w:pStyle w:val="TableParagraph"/>
                              <w:spacing w:before="90"/>
                              <w:ind w:left="79"/>
                              <w:rPr>
                                <w:b/>
                                <w:sz w:val="20"/>
                              </w:rPr>
                            </w:pPr>
                            <w:r>
                              <w:rPr>
                                <w:b/>
                                <w:color w:val="FFFFFF"/>
                                <w:spacing w:val="-2"/>
                                <w:sz w:val="20"/>
                              </w:rPr>
                              <w:t>BIGGEST</w:t>
                            </w:r>
                            <w:r>
                              <w:rPr>
                                <w:b/>
                                <w:color w:val="FFFFFF"/>
                                <w:spacing w:val="-6"/>
                                <w:sz w:val="20"/>
                              </w:rPr>
                              <w:t> </w:t>
                            </w:r>
                            <w:r>
                              <w:rPr>
                                <w:b/>
                                <w:color w:val="FFFFFF"/>
                                <w:spacing w:val="-2"/>
                                <w:sz w:val="20"/>
                              </w:rPr>
                              <w:t>FEAR</w:t>
                            </w:r>
                            <w:r>
                              <w:rPr>
                                <w:b/>
                                <w:color w:val="FFFFFF"/>
                                <w:spacing w:val="-6"/>
                                <w:sz w:val="20"/>
                              </w:rPr>
                              <w:t> </w:t>
                            </w:r>
                            <w:r>
                              <w:rPr>
                                <w:b/>
                                <w:color w:val="FFFFFF"/>
                                <w:spacing w:val="-2"/>
                                <w:sz w:val="20"/>
                              </w:rPr>
                              <w:t>-FOR</w:t>
                            </w:r>
                            <w:r>
                              <w:rPr>
                                <w:b/>
                                <w:color w:val="FFFFFF"/>
                                <w:spacing w:val="-5"/>
                                <w:sz w:val="20"/>
                              </w:rPr>
                              <w:t> </w:t>
                            </w:r>
                            <w:r>
                              <w:rPr>
                                <w:b/>
                                <w:color w:val="FFFFFF"/>
                                <w:spacing w:val="-2"/>
                                <w:sz w:val="20"/>
                              </w:rPr>
                              <w:t>OTHERS</w:t>
                            </w:r>
                          </w:p>
                        </w:tc>
                      </w:tr>
                      <w:tr>
                        <w:trPr>
                          <w:trHeight w:val="355" w:hRule="atLeast"/>
                        </w:trPr>
                        <w:tc>
                          <w:tcPr>
                            <w:tcW w:w="4778" w:type="dxa"/>
                          </w:tcPr>
                          <w:p>
                            <w:pPr>
                              <w:pStyle w:val="TableParagraph"/>
                              <w:spacing w:before="90"/>
                              <w:ind w:left="79"/>
                              <w:rPr>
                                <w:sz w:val="20"/>
                              </w:rPr>
                            </w:pPr>
                            <w:r>
                              <w:rPr>
                                <w:color w:val="105C84"/>
                                <w:sz w:val="20"/>
                              </w:rPr>
                              <w:t>Weight</w:t>
                            </w:r>
                            <w:r>
                              <w:rPr>
                                <w:color w:val="105C84"/>
                                <w:spacing w:val="27"/>
                                <w:sz w:val="20"/>
                              </w:rPr>
                              <w:t> </w:t>
                            </w:r>
                            <w:r>
                              <w:rPr>
                                <w:color w:val="105C84"/>
                                <w:spacing w:val="-2"/>
                                <w:sz w:val="20"/>
                              </w:rPr>
                              <w:t>(9.3%)</w:t>
                            </w:r>
                          </w:p>
                        </w:tc>
                      </w:tr>
                      <w:tr>
                        <w:trPr>
                          <w:trHeight w:val="355" w:hRule="atLeast"/>
                        </w:trPr>
                        <w:tc>
                          <w:tcPr>
                            <w:tcW w:w="4778" w:type="dxa"/>
                          </w:tcPr>
                          <w:p>
                            <w:pPr>
                              <w:pStyle w:val="TableParagraph"/>
                              <w:spacing w:before="90"/>
                              <w:ind w:left="79"/>
                              <w:rPr>
                                <w:sz w:val="20"/>
                              </w:rPr>
                            </w:pPr>
                            <w:r>
                              <w:rPr>
                                <w:color w:val="105C84"/>
                                <w:sz w:val="20"/>
                              </w:rPr>
                              <w:t>Cancer</w:t>
                            </w:r>
                            <w:r>
                              <w:rPr>
                                <w:color w:val="105C84"/>
                                <w:spacing w:val="-10"/>
                                <w:sz w:val="20"/>
                              </w:rPr>
                              <w:t> </w:t>
                            </w:r>
                            <w:r>
                              <w:rPr>
                                <w:color w:val="105C84"/>
                                <w:spacing w:val="-2"/>
                                <w:sz w:val="20"/>
                              </w:rPr>
                              <w:t>(7.1%)</w:t>
                            </w:r>
                          </w:p>
                        </w:tc>
                      </w:tr>
                      <w:tr>
                        <w:trPr>
                          <w:trHeight w:val="355" w:hRule="atLeast"/>
                        </w:trPr>
                        <w:tc>
                          <w:tcPr>
                            <w:tcW w:w="4778" w:type="dxa"/>
                          </w:tcPr>
                          <w:p>
                            <w:pPr>
                              <w:pStyle w:val="TableParagraph"/>
                              <w:spacing w:before="90"/>
                              <w:ind w:left="79"/>
                              <w:rPr>
                                <w:sz w:val="20"/>
                              </w:rPr>
                            </w:pPr>
                            <w:r>
                              <w:rPr>
                                <w:color w:val="105C84"/>
                                <w:sz w:val="20"/>
                              </w:rPr>
                              <w:t>Mental</w:t>
                            </w:r>
                            <w:r>
                              <w:rPr>
                                <w:color w:val="105C84"/>
                                <w:spacing w:val="13"/>
                                <w:sz w:val="20"/>
                              </w:rPr>
                              <w:t> </w:t>
                            </w:r>
                            <w:r>
                              <w:rPr>
                                <w:color w:val="105C84"/>
                                <w:sz w:val="20"/>
                              </w:rPr>
                              <w:t>/</w:t>
                            </w:r>
                            <w:r>
                              <w:rPr>
                                <w:color w:val="105C84"/>
                                <w:spacing w:val="13"/>
                                <w:sz w:val="20"/>
                              </w:rPr>
                              <w:t> </w:t>
                            </w:r>
                            <w:r>
                              <w:rPr>
                                <w:color w:val="105C84"/>
                                <w:sz w:val="20"/>
                              </w:rPr>
                              <w:t>emotional</w:t>
                            </w:r>
                            <w:r>
                              <w:rPr>
                                <w:color w:val="105C84"/>
                                <w:spacing w:val="13"/>
                                <w:sz w:val="20"/>
                              </w:rPr>
                              <w:t> </w:t>
                            </w:r>
                            <w:r>
                              <w:rPr>
                                <w:color w:val="105C84"/>
                                <w:sz w:val="20"/>
                              </w:rPr>
                              <w:t>health</w:t>
                            </w:r>
                            <w:r>
                              <w:rPr>
                                <w:color w:val="105C84"/>
                                <w:spacing w:val="13"/>
                                <w:sz w:val="20"/>
                              </w:rPr>
                              <w:t> </w:t>
                            </w:r>
                            <w:r>
                              <w:rPr>
                                <w:color w:val="105C84"/>
                                <w:sz w:val="20"/>
                              </w:rPr>
                              <w:t>issues</w:t>
                            </w:r>
                            <w:r>
                              <w:rPr>
                                <w:color w:val="105C84"/>
                                <w:spacing w:val="13"/>
                                <w:sz w:val="20"/>
                              </w:rPr>
                              <w:t> </w:t>
                            </w:r>
                            <w:r>
                              <w:rPr>
                                <w:color w:val="105C84"/>
                                <w:spacing w:val="-2"/>
                                <w:sz w:val="20"/>
                              </w:rPr>
                              <w:t>(6.7%)</w:t>
                            </w:r>
                          </w:p>
                        </w:tc>
                      </w:tr>
                      <w:tr>
                        <w:trPr>
                          <w:trHeight w:val="355" w:hRule="atLeast"/>
                        </w:trPr>
                        <w:tc>
                          <w:tcPr>
                            <w:tcW w:w="4778" w:type="dxa"/>
                          </w:tcPr>
                          <w:p>
                            <w:pPr>
                              <w:pStyle w:val="TableParagraph"/>
                              <w:spacing w:before="90"/>
                              <w:ind w:left="79"/>
                              <w:rPr>
                                <w:sz w:val="20"/>
                              </w:rPr>
                            </w:pPr>
                            <w:r>
                              <w:rPr>
                                <w:color w:val="105C84"/>
                                <w:sz w:val="20"/>
                              </w:rPr>
                              <w:t>Heart</w:t>
                            </w:r>
                            <w:r>
                              <w:rPr>
                                <w:color w:val="105C84"/>
                                <w:spacing w:val="22"/>
                                <w:sz w:val="20"/>
                              </w:rPr>
                              <w:t> </w:t>
                            </w:r>
                            <w:r>
                              <w:rPr>
                                <w:color w:val="105C84"/>
                                <w:sz w:val="20"/>
                              </w:rPr>
                              <w:t>conditions</w:t>
                            </w:r>
                            <w:r>
                              <w:rPr>
                                <w:color w:val="105C84"/>
                                <w:spacing w:val="23"/>
                                <w:sz w:val="20"/>
                              </w:rPr>
                              <w:t> </w:t>
                            </w:r>
                            <w:r>
                              <w:rPr>
                                <w:color w:val="105C84"/>
                                <w:spacing w:val="-2"/>
                                <w:sz w:val="20"/>
                              </w:rPr>
                              <w:t>(6.3%)</w:t>
                            </w:r>
                          </w:p>
                        </w:tc>
                      </w:tr>
                      <w:tr>
                        <w:trPr>
                          <w:trHeight w:val="355" w:hRule="atLeast"/>
                        </w:trPr>
                        <w:tc>
                          <w:tcPr>
                            <w:tcW w:w="4778" w:type="dxa"/>
                          </w:tcPr>
                          <w:p>
                            <w:pPr>
                              <w:pStyle w:val="TableParagraph"/>
                              <w:spacing w:before="90"/>
                              <w:ind w:left="79"/>
                              <w:rPr>
                                <w:sz w:val="20"/>
                              </w:rPr>
                            </w:pPr>
                            <w:r>
                              <w:rPr>
                                <w:color w:val="105C84"/>
                                <w:sz w:val="20"/>
                              </w:rPr>
                              <w:t>Cost</w:t>
                            </w:r>
                            <w:r>
                              <w:rPr>
                                <w:color w:val="105C84"/>
                                <w:spacing w:val="4"/>
                                <w:sz w:val="20"/>
                              </w:rPr>
                              <w:t> </w:t>
                            </w:r>
                            <w:r>
                              <w:rPr>
                                <w:color w:val="105C84"/>
                                <w:spacing w:val="-2"/>
                                <w:sz w:val="20"/>
                              </w:rPr>
                              <w:t>(6.0%)</w:t>
                            </w:r>
                          </w:p>
                        </w:tc>
                      </w:tr>
                    </w:tbl>
                    <w:p>
                      <w:pPr>
                        <w:pStyle w:val="BodyText"/>
                      </w:pPr>
                    </w:p>
                  </w:txbxContent>
                </v:textbox>
                <w10:wrap type="topAndBottom"/>
              </v:shape>
            </w:pict>
          </mc:Fallback>
        </mc:AlternateContent>
      </w:r>
      <w:r>
        <w:rPr>
          <w:b/>
          <w:sz w:val="14"/>
        </w:rPr>
        <mc:AlternateContent>
          <mc:Choice Requires="wps">
            <w:drawing>
              <wp:anchor distT="0" distB="0" distL="0" distR="0" allowOverlap="1" layoutInCell="1" locked="0" behindDoc="1" simplePos="0" relativeHeight="487587840">
                <wp:simplePos x="0" y="0"/>
                <wp:positionH relativeFrom="page">
                  <wp:posOffset>694944</wp:posOffset>
                </wp:positionH>
                <wp:positionV relativeFrom="paragraph">
                  <wp:posOffset>1602282</wp:posOffset>
                </wp:positionV>
                <wp:extent cx="2891155" cy="1374775"/>
                <wp:effectExtent l="0" t="0" r="0" b="0"/>
                <wp:wrapTopAndBottom/>
                <wp:docPr id="549" name="Textbox 549"/>
                <wp:cNvGraphicFramePr>
                  <a:graphicFrameLocks/>
                </wp:cNvGraphicFramePr>
                <a:graphic>
                  <a:graphicData uri="http://schemas.microsoft.com/office/word/2010/wordprocessingShape">
                    <wps:wsp>
                      <wps:cNvPr id="549" name="Textbox 549"/>
                      <wps:cNvSpPr txBox="1"/>
                      <wps:spPr>
                        <a:xfrm>
                          <a:off x="0" y="0"/>
                          <a:ext cx="2891155" cy="1374775"/>
                        </a:xfrm>
                        <a:prstGeom prst="rect">
                          <a:avLst/>
                        </a:prstGeom>
                      </wps:spPr>
                      <wps:txbx>
                        <w:txbxContent>
                          <w:tbl>
                            <w:tblPr>
                              <w:tblW w:w="0" w:type="auto"/>
                              <w:jc w:val="left"/>
                              <w:tblInd w:w="2" w:type="dxa"/>
                              <w:tblBorders>
                                <w:top w:val="single" w:sz="2" w:space="0" w:color="636466"/>
                                <w:left w:val="single" w:sz="2" w:space="0" w:color="636466"/>
                                <w:bottom w:val="single" w:sz="2" w:space="0" w:color="636466"/>
                                <w:right w:val="single" w:sz="2" w:space="0" w:color="636466"/>
                                <w:insideH w:val="single" w:sz="2" w:space="0" w:color="636466"/>
                                <w:insideV w:val="single" w:sz="2" w:space="0" w:color="636466"/>
                              </w:tblBorders>
                              <w:tblLayout w:type="fixed"/>
                              <w:tblCellMar>
                                <w:top w:w="0" w:type="dxa"/>
                                <w:left w:w="0" w:type="dxa"/>
                                <w:bottom w:w="0" w:type="dxa"/>
                                <w:right w:w="0" w:type="dxa"/>
                              </w:tblCellMar>
                              <w:tblLook w:val="01E0"/>
                            </w:tblPr>
                            <w:tblGrid>
                              <w:gridCol w:w="4548"/>
                            </w:tblGrid>
                            <w:tr>
                              <w:trPr>
                                <w:trHeight w:val="355" w:hRule="atLeast"/>
                              </w:trPr>
                              <w:tc>
                                <w:tcPr>
                                  <w:tcW w:w="4548" w:type="dxa"/>
                                  <w:shd w:val="clear" w:color="auto" w:fill="939598"/>
                                </w:tcPr>
                                <w:p>
                                  <w:pPr>
                                    <w:pStyle w:val="TableParagraph"/>
                                    <w:spacing w:before="90"/>
                                    <w:ind w:left="80"/>
                                    <w:rPr>
                                      <w:b/>
                                      <w:sz w:val="20"/>
                                    </w:rPr>
                                  </w:pPr>
                                  <w:r>
                                    <w:rPr>
                                      <w:b/>
                                      <w:color w:val="FFFFFF"/>
                                      <w:sz w:val="20"/>
                                    </w:rPr>
                                    <w:t>COUNTY</w:t>
                                  </w:r>
                                  <w:r>
                                    <w:rPr>
                                      <w:b/>
                                      <w:color w:val="FFFFFF"/>
                                      <w:spacing w:val="2"/>
                                      <w:sz w:val="20"/>
                                    </w:rPr>
                                    <w:t> </w:t>
                                  </w:r>
                                  <w:r>
                                    <w:rPr>
                                      <w:b/>
                                      <w:color w:val="FFFFFF"/>
                                      <w:sz w:val="20"/>
                                    </w:rPr>
                                    <w:t>PRIORITY</w:t>
                                  </w:r>
                                  <w:r>
                                    <w:rPr>
                                      <w:b/>
                                      <w:color w:val="FFFFFF"/>
                                      <w:spacing w:val="3"/>
                                      <w:sz w:val="20"/>
                                    </w:rPr>
                                    <w:t> </w:t>
                                  </w:r>
                                  <w:r>
                                    <w:rPr>
                                      <w:b/>
                                      <w:color w:val="FFFFFF"/>
                                      <w:sz w:val="20"/>
                                    </w:rPr>
                                    <w:t>-</w:t>
                                  </w:r>
                                  <w:r>
                                    <w:rPr>
                                      <w:b/>
                                      <w:color w:val="FFFFFF"/>
                                      <w:spacing w:val="2"/>
                                      <w:sz w:val="20"/>
                                    </w:rPr>
                                    <w:t> </w:t>
                                  </w:r>
                                  <w:r>
                                    <w:rPr>
                                      <w:b/>
                                      <w:color w:val="FFFFFF"/>
                                      <w:sz w:val="20"/>
                                    </w:rPr>
                                    <w:t>FOR</w:t>
                                  </w:r>
                                  <w:r>
                                    <w:rPr>
                                      <w:b/>
                                      <w:color w:val="FFFFFF"/>
                                      <w:spacing w:val="3"/>
                                      <w:sz w:val="20"/>
                                    </w:rPr>
                                    <w:t> </w:t>
                                  </w:r>
                                  <w:r>
                                    <w:rPr>
                                      <w:b/>
                                      <w:color w:val="FFFFFF"/>
                                      <w:spacing w:val="-2"/>
                                      <w:sz w:val="20"/>
                                    </w:rPr>
                                    <w:t>ADULTS</w:t>
                                  </w:r>
                                </w:p>
                              </w:tc>
                            </w:tr>
                            <w:tr>
                              <w:trPr>
                                <w:trHeight w:val="355" w:hRule="atLeast"/>
                              </w:trPr>
                              <w:tc>
                                <w:tcPr>
                                  <w:tcW w:w="4548" w:type="dxa"/>
                                </w:tcPr>
                                <w:p>
                                  <w:pPr>
                                    <w:pStyle w:val="TableParagraph"/>
                                    <w:spacing w:before="90"/>
                                    <w:ind w:left="80"/>
                                    <w:rPr>
                                      <w:sz w:val="20"/>
                                    </w:rPr>
                                  </w:pPr>
                                  <w:r>
                                    <w:rPr>
                                      <w:color w:val="105C84"/>
                                      <w:sz w:val="20"/>
                                    </w:rPr>
                                    <w:t>Substance</w:t>
                                  </w:r>
                                  <w:r>
                                    <w:rPr>
                                      <w:color w:val="105C84"/>
                                      <w:spacing w:val="-11"/>
                                      <w:sz w:val="20"/>
                                    </w:rPr>
                                    <w:t> </w:t>
                                  </w:r>
                                  <w:r>
                                    <w:rPr>
                                      <w:color w:val="105C84"/>
                                      <w:sz w:val="20"/>
                                    </w:rPr>
                                    <w:t>abuse</w:t>
                                  </w:r>
                                  <w:r>
                                    <w:rPr>
                                      <w:color w:val="105C84"/>
                                      <w:spacing w:val="-10"/>
                                      <w:sz w:val="20"/>
                                    </w:rPr>
                                    <w:t> </w:t>
                                  </w:r>
                                  <w:r>
                                    <w:rPr>
                                      <w:color w:val="105C84"/>
                                      <w:spacing w:val="-2"/>
                                      <w:sz w:val="20"/>
                                    </w:rPr>
                                    <w:t>(21.9%)</w:t>
                                  </w:r>
                                </w:p>
                              </w:tc>
                            </w:tr>
                            <w:tr>
                              <w:trPr>
                                <w:trHeight w:val="355" w:hRule="atLeast"/>
                              </w:trPr>
                              <w:tc>
                                <w:tcPr>
                                  <w:tcW w:w="4548" w:type="dxa"/>
                                </w:tcPr>
                                <w:p>
                                  <w:pPr>
                                    <w:pStyle w:val="TableParagraph"/>
                                    <w:spacing w:before="90"/>
                                    <w:ind w:left="80"/>
                                    <w:rPr>
                                      <w:sz w:val="20"/>
                                    </w:rPr>
                                  </w:pPr>
                                  <w:r>
                                    <w:rPr>
                                      <w:color w:val="105C84"/>
                                      <w:sz w:val="20"/>
                                    </w:rPr>
                                    <w:t>Weight</w:t>
                                  </w:r>
                                  <w:r>
                                    <w:rPr>
                                      <w:color w:val="105C84"/>
                                      <w:spacing w:val="27"/>
                                      <w:sz w:val="20"/>
                                    </w:rPr>
                                    <w:t> </w:t>
                                  </w:r>
                                  <w:r>
                                    <w:rPr>
                                      <w:color w:val="105C84"/>
                                      <w:spacing w:val="-2"/>
                                      <w:sz w:val="20"/>
                                    </w:rPr>
                                    <w:t>(21.2%)</w:t>
                                  </w:r>
                                </w:p>
                              </w:tc>
                            </w:tr>
                            <w:tr>
                              <w:trPr>
                                <w:trHeight w:val="355" w:hRule="atLeast"/>
                              </w:trPr>
                              <w:tc>
                                <w:tcPr>
                                  <w:tcW w:w="4548" w:type="dxa"/>
                                </w:tcPr>
                                <w:p>
                                  <w:pPr>
                                    <w:pStyle w:val="TableParagraph"/>
                                    <w:spacing w:before="90"/>
                                    <w:ind w:left="80"/>
                                    <w:rPr>
                                      <w:sz w:val="20"/>
                                    </w:rPr>
                                  </w:pPr>
                                  <w:r>
                                    <w:rPr>
                                      <w:color w:val="105C84"/>
                                      <w:sz w:val="20"/>
                                    </w:rPr>
                                    <w:t>Mental</w:t>
                                  </w:r>
                                  <w:r>
                                    <w:rPr>
                                      <w:color w:val="105C84"/>
                                      <w:spacing w:val="13"/>
                                      <w:sz w:val="20"/>
                                    </w:rPr>
                                    <w:t> </w:t>
                                  </w:r>
                                  <w:r>
                                    <w:rPr>
                                      <w:color w:val="105C84"/>
                                      <w:sz w:val="20"/>
                                    </w:rPr>
                                    <w:t>/</w:t>
                                  </w:r>
                                  <w:r>
                                    <w:rPr>
                                      <w:color w:val="105C84"/>
                                      <w:spacing w:val="13"/>
                                      <w:sz w:val="20"/>
                                    </w:rPr>
                                    <w:t> </w:t>
                                  </w:r>
                                  <w:r>
                                    <w:rPr>
                                      <w:color w:val="105C84"/>
                                      <w:sz w:val="20"/>
                                    </w:rPr>
                                    <w:t>emotional</w:t>
                                  </w:r>
                                  <w:r>
                                    <w:rPr>
                                      <w:color w:val="105C84"/>
                                      <w:spacing w:val="13"/>
                                      <w:sz w:val="20"/>
                                    </w:rPr>
                                    <w:t> </w:t>
                                  </w:r>
                                  <w:r>
                                    <w:rPr>
                                      <w:color w:val="105C84"/>
                                      <w:sz w:val="20"/>
                                    </w:rPr>
                                    <w:t>health</w:t>
                                  </w:r>
                                  <w:r>
                                    <w:rPr>
                                      <w:color w:val="105C84"/>
                                      <w:spacing w:val="13"/>
                                      <w:sz w:val="20"/>
                                    </w:rPr>
                                    <w:t> </w:t>
                                  </w:r>
                                  <w:r>
                                    <w:rPr>
                                      <w:color w:val="105C84"/>
                                      <w:sz w:val="20"/>
                                    </w:rPr>
                                    <w:t>issues</w:t>
                                  </w:r>
                                  <w:r>
                                    <w:rPr>
                                      <w:color w:val="105C84"/>
                                      <w:spacing w:val="13"/>
                                      <w:sz w:val="20"/>
                                    </w:rPr>
                                    <w:t> </w:t>
                                  </w:r>
                                  <w:r>
                                    <w:rPr>
                                      <w:color w:val="105C84"/>
                                      <w:spacing w:val="-2"/>
                                      <w:sz w:val="20"/>
                                    </w:rPr>
                                    <w:t>(17.4%)</w:t>
                                  </w:r>
                                </w:p>
                              </w:tc>
                            </w:tr>
                            <w:tr>
                              <w:trPr>
                                <w:trHeight w:val="355" w:hRule="atLeast"/>
                              </w:trPr>
                              <w:tc>
                                <w:tcPr>
                                  <w:tcW w:w="4548" w:type="dxa"/>
                                </w:tcPr>
                                <w:p>
                                  <w:pPr>
                                    <w:pStyle w:val="TableParagraph"/>
                                    <w:spacing w:before="90"/>
                                    <w:ind w:left="80"/>
                                    <w:rPr>
                                      <w:sz w:val="20"/>
                                    </w:rPr>
                                  </w:pPr>
                                  <w:r>
                                    <w:rPr>
                                      <w:color w:val="105C84"/>
                                      <w:sz w:val="20"/>
                                    </w:rPr>
                                    <w:t>Cost</w:t>
                                  </w:r>
                                  <w:r>
                                    <w:rPr>
                                      <w:color w:val="105C84"/>
                                      <w:spacing w:val="6"/>
                                      <w:sz w:val="20"/>
                                    </w:rPr>
                                    <w:t> </w:t>
                                  </w:r>
                                  <w:r>
                                    <w:rPr>
                                      <w:color w:val="105C84"/>
                                      <w:spacing w:val="-2"/>
                                      <w:sz w:val="20"/>
                                    </w:rPr>
                                    <w:t>(14.3%)</w:t>
                                  </w:r>
                                </w:p>
                              </w:tc>
                            </w:tr>
                            <w:tr>
                              <w:trPr>
                                <w:trHeight w:val="355" w:hRule="atLeast"/>
                              </w:trPr>
                              <w:tc>
                                <w:tcPr>
                                  <w:tcW w:w="4548" w:type="dxa"/>
                                </w:tcPr>
                                <w:p>
                                  <w:pPr>
                                    <w:pStyle w:val="TableParagraph"/>
                                    <w:spacing w:before="90"/>
                                    <w:ind w:left="80"/>
                                    <w:rPr>
                                      <w:sz w:val="20"/>
                                    </w:rPr>
                                  </w:pPr>
                                  <w:r>
                                    <w:rPr>
                                      <w:color w:val="105C84"/>
                                      <w:sz w:val="20"/>
                                    </w:rPr>
                                    <w:t>Tobacco</w:t>
                                  </w:r>
                                  <w:r>
                                    <w:rPr>
                                      <w:color w:val="105C84"/>
                                      <w:spacing w:val="-13"/>
                                      <w:sz w:val="20"/>
                                    </w:rPr>
                                    <w:t> </w:t>
                                  </w:r>
                                  <w:r>
                                    <w:rPr>
                                      <w:color w:val="105C84"/>
                                      <w:spacing w:val="-2"/>
                                      <w:sz w:val="20"/>
                                    </w:rPr>
                                    <w:t>(12.1%)</w:t>
                                  </w:r>
                                </w:p>
                              </w:tc>
                            </w:tr>
                          </w:tbl>
                          <w:p>
                            <w:pPr>
                              <w:pStyle w:val="BodyText"/>
                            </w:pPr>
                          </w:p>
                        </w:txbxContent>
                      </wps:txbx>
                      <wps:bodyPr wrap="square" lIns="0" tIns="0" rIns="0" bIns="0" rtlCol="0">
                        <a:noAutofit/>
                      </wps:bodyPr>
                    </wps:wsp>
                  </a:graphicData>
                </a:graphic>
              </wp:anchor>
            </w:drawing>
          </mc:Choice>
          <mc:Fallback>
            <w:pict>
              <v:shape style="position:absolute;margin-left:54.720001pt;margin-top:126.163986pt;width:227.65pt;height:108.25pt;mso-position-horizontal-relative:page;mso-position-vertical-relative:paragraph;z-index:-15728640;mso-wrap-distance-left:0;mso-wrap-distance-right:0" type="#_x0000_t202" id="docshape486" filled="false" stroked="false">
                <v:textbox inset="0,0,0,0">
                  <w:txbxContent>
                    <w:tbl>
                      <w:tblPr>
                        <w:tblW w:w="0" w:type="auto"/>
                        <w:jc w:val="left"/>
                        <w:tblInd w:w="2" w:type="dxa"/>
                        <w:tblBorders>
                          <w:top w:val="single" w:sz="2" w:space="0" w:color="636466"/>
                          <w:left w:val="single" w:sz="2" w:space="0" w:color="636466"/>
                          <w:bottom w:val="single" w:sz="2" w:space="0" w:color="636466"/>
                          <w:right w:val="single" w:sz="2" w:space="0" w:color="636466"/>
                          <w:insideH w:val="single" w:sz="2" w:space="0" w:color="636466"/>
                          <w:insideV w:val="single" w:sz="2" w:space="0" w:color="636466"/>
                        </w:tblBorders>
                        <w:tblLayout w:type="fixed"/>
                        <w:tblCellMar>
                          <w:top w:w="0" w:type="dxa"/>
                          <w:left w:w="0" w:type="dxa"/>
                          <w:bottom w:w="0" w:type="dxa"/>
                          <w:right w:w="0" w:type="dxa"/>
                        </w:tblCellMar>
                        <w:tblLook w:val="01E0"/>
                      </w:tblPr>
                      <w:tblGrid>
                        <w:gridCol w:w="4548"/>
                      </w:tblGrid>
                      <w:tr>
                        <w:trPr>
                          <w:trHeight w:val="355" w:hRule="atLeast"/>
                        </w:trPr>
                        <w:tc>
                          <w:tcPr>
                            <w:tcW w:w="4548" w:type="dxa"/>
                            <w:shd w:val="clear" w:color="auto" w:fill="939598"/>
                          </w:tcPr>
                          <w:p>
                            <w:pPr>
                              <w:pStyle w:val="TableParagraph"/>
                              <w:spacing w:before="90"/>
                              <w:ind w:left="80"/>
                              <w:rPr>
                                <w:b/>
                                <w:sz w:val="20"/>
                              </w:rPr>
                            </w:pPr>
                            <w:r>
                              <w:rPr>
                                <w:b/>
                                <w:color w:val="FFFFFF"/>
                                <w:sz w:val="20"/>
                              </w:rPr>
                              <w:t>COUNTY</w:t>
                            </w:r>
                            <w:r>
                              <w:rPr>
                                <w:b/>
                                <w:color w:val="FFFFFF"/>
                                <w:spacing w:val="2"/>
                                <w:sz w:val="20"/>
                              </w:rPr>
                              <w:t> </w:t>
                            </w:r>
                            <w:r>
                              <w:rPr>
                                <w:b/>
                                <w:color w:val="FFFFFF"/>
                                <w:sz w:val="20"/>
                              </w:rPr>
                              <w:t>PRIORITY</w:t>
                            </w:r>
                            <w:r>
                              <w:rPr>
                                <w:b/>
                                <w:color w:val="FFFFFF"/>
                                <w:spacing w:val="3"/>
                                <w:sz w:val="20"/>
                              </w:rPr>
                              <w:t> </w:t>
                            </w:r>
                            <w:r>
                              <w:rPr>
                                <w:b/>
                                <w:color w:val="FFFFFF"/>
                                <w:sz w:val="20"/>
                              </w:rPr>
                              <w:t>-</w:t>
                            </w:r>
                            <w:r>
                              <w:rPr>
                                <w:b/>
                                <w:color w:val="FFFFFF"/>
                                <w:spacing w:val="2"/>
                                <w:sz w:val="20"/>
                              </w:rPr>
                              <w:t> </w:t>
                            </w:r>
                            <w:r>
                              <w:rPr>
                                <w:b/>
                                <w:color w:val="FFFFFF"/>
                                <w:sz w:val="20"/>
                              </w:rPr>
                              <w:t>FOR</w:t>
                            </w:r>
                            <w:r>
                              <w:rPr>
                                <w:b/>
                                <w:color w:val="FFFFFF"/>
                                <w:spacing w:val="3"/>
                                <w:sz w:val="20"/>
                              </w:rPr>
                              <w:t> </w:t>
                            </w:r>
                            <w:r>
                              <w:rPr>
                                <w:b/>
                                <w:color w:val="FFFFFF"/>
                                <w:spacing w:val="-2"/>
                                <w:sz w:val="20"/>
                              </w:rPr>
                              <w:t>ADULTS</w:t>
                            </w:r>
                          </w:p>
                        </w:tc>
                      </w:tr>
                      <w:tr>
                        <w:trPr>
                          <w:trHeight w:val="355" w:hRule="atLeast"/>
                        </w:trPr>
                        <w:tc>
                          <w:tcPr>
                            <w:tcW w:w="4548" w:type="dxa"/>
                          </w:tcPr>
                          <w:p>
                            <w:pPr>
                              <w:pStyle w:val="TableParagraph"/>
                              <w:spacing w:before="90"/>
                              <w:ind w:left="80"/>
                              <w:rPr>
                                <w:sz w:val="20"/>
                              </w:rPr>
                            </w:pPr>
                            <w:r>
                              <w:rPr>
                                <w:color w:val="105C84"/>
                                <w:sz w:val="20"/>
                              </w:rPr>
                              <w:t>Substance</w:t>
                            </w:r>
                            <w:r>
                              <w:rPr>
                                <w:color w:val="105C84"/>
                                <w:spacing w:val="-11"/>
                                <w:sz w:val="20"/>
                              </w:rPr>
                              <w:t> </w:t>
                            </w:r>
                            <w:r>
                              <w:rPr>
                                <w:color w:val="105C84"/>
                                <w:sz w:val="20"/>
                              </w:rPr>
                              <w:t>abuse</w:t>
                            </w:r>
                            <w:r>
                              <w:rPr>
                                <w:color w:val="105C84"/>
                                <w:spacing w:val="-10"/>
                                <w:sz w:val="20"/>
                              </w:rPr>
                              <w:t> </w:t>
                            </w:r>
                            <w:r>
                              <w:rPr>
                                <w:color w:val="105C84"/>
                                <w:spacing w:val="-2"/>
                                <w:sz w:val="20"/>
                              </w:rPr>
                              <w:t>(21.9%)</w:t>
                            </w:r>
                          </w:p>
                        </w:tc>
                      </w:tr>
                      <w:tr>
                        <w:trPr>
                          <w:trHeight w:val="355" w:hRule="atLeast"/>
                        </w:trPr>
                        <w:tc>
                          <w:tcPr>
                            <w:tcW w:w="4548" w:type="dxa"/>
                          </w:tcPr>
                          <w:p>
                            <w:pPr>
                              <w:pStyle w:val="TableParagraph"/>
                              <w:spacing w:before="90"/>
                              <w:ind w:left="80"/>
                              <w:rPr>
                                <w:sz w:val="20"/>
                              </w:rPr>
                            </w:pPr>
                            <w:r>
                              <w:rPr>
                                <w:color w:val="105C84"/>
                                <w:sz w:val="20"/>
                              </w:rPr>
                              <w:t>Weight</w:t>
                            </w:r>
                            <w:r>
                              <w:rPr>
                                <w:color w:val="105C84"/>
                                <w:spacing w:val="27"/>
                                <w:sz w:val="20"/>
                              </w:rPr>
                              <w:t> </w:t>
                            </w:r>
                            <w:r>
                              <w:rPr>
                                <w:color w:val="105C84"/>
                                <w:spacing w:val="-2"/>
                                <w:sz w:val="20"/>
                              </w:rPr>
                              <w:t>(21.2%)</w:t>
                            </w:r>
                          </w:p>
                        </w:tc>
                      </w:tr>
                      <w:tr>
                        <w:trPr>
                          <w:trHeight w:val="355" w:hRule="atLeast"/>
                        </w:trPr>
                        <w:tc>
                          <w:tcPr>
                            <w:tcW w:w="4548" w:type="dxa"/>
                          </w:tcPr>
                          <w:p>
                            <w:pPr>
                              <w:pStyle w:val="TableParagraph"/>
                              <w:spacing w:before="90"/>
                              <w:ind w:left="80"/>
                              <w:rPr>
                                <w:sz w:val="20"/>
                              </w:rPr>
                            </w:pPr>
                            <w:r>
                              <w:rPr>
                                <w:color w:val="105C84"/>
                                <w:sz w:val="20"/>
                              </w:rPr>
                              <w:t>Mental</w:t>
                            </w:r>
                            <w:r>
                              <w:rPr>
                                <w:color w:val="105C84"/>
                                <w:spacing w:val="13"/>
                                <w:sz w:val="20"/>
                              </w:rPr>
                              <w:t> </w:t>
                            </w:r>
                            <w:r>
                              <w:rPr>
                                <w:color w:val="105C84"/>
                                <w:sz w:val="20"/>
                              </w:rPr>
                              <w:t>/</w:t>
                            </w:r>
                            <w:r>
                              <w:rPr>
                                <w:color w:val="105C84"/>
                                <w:spacing w:val="13"/>
                                <w:sz w:val="20"/>
                              </w:rPr>
                              <w:t> </w:t>
                            </w:r>
                            <w:r>
                              <w:rPr>
                                <w:color w:val="105C84"/>
                                <w:sz w:val="20"/>
                              </w:rPr>
                              <w:t>emotional</w:t>
                            </w:r>
                            <w:r>
                              <w:rPr>
                                <w:color w:val="105C84"/>
                                <w:spacing w:val="13"/>
                                <w:sz w:val="20"/>
                              </w:rPr>
                              <w:t> </w:t>
                            </w:r>
                            <w:r>
                              <w:rPr>
                                <w:color w:val="105C84"/>
                                <w:sz w:val="20"/>
                              </w:rPr>
                              <w:t>health</w:t>
                            </w:r>
                            <w:r>
                              <w:rPr>
                                <w:color w:val="105C84"/>
                                <w:spacing w:val="13"/>
                                <w:sz w:val="20"/>
                              </w:rPr>
                              <w:t> </w:t>
                            </w:r>
                            <w:r>
                              <w:rPr>
                                <w:color w:val="105C84"/>
                                <w:sz w:val="20"/>
                              </w:rPr>
                              <w:t>issues</w:t>
                            </w:r>
                            <w:r>
                              <w:rPr>
                                <w:color w:val="105C84"/>
                                <w:spacing w:val="13"/>
                                <w:sz w:val="20"/>
                              </w:rPr>
                              <w:t> </w:t>
                            </w:r>
                            <w:r>
                              <w:rPr>
                                <w:color w:val="105C84"/>
                                <w:spacing w:val="-2"/>
                                <w:sz w:val="20"/>
                              </w:rPr>
                              <w:t>(17.4%)</w:t>
                            </w:r>
                          </w:p>
                        </w:tc>
                      </w:tr>
                      <w:tr>
                        <w:trPr>
                          <w:trHeight w:val="355" w:hRule="atLeast"/>
                        </w:trPr>
                        <w:tc>
                          <w:tcPr>
                            <w:tcW w:w="4548" w:type="dxa"/>
                          </w:tcPr>
                          <w:p>
                            <w:pPr>
                              <w:pStyle w:val="TableParagraph"/>
                              <w:spacing w:before="90"/>
                              <w:ind w:left="80"/>
                              <w:rPr>
                                <w:sz w:val="20"/>
                              </w:rPr>
                            </w:pPr>
                            <w:r>
                              <w:rPr>
                                <w:color w:val="105C84"/>
                                <w:sz w:val="20"/>
                              </w:rPr>
                              <w:t>Cost</w:t>
                            </w:r>
                            <w:r>
                              <w:rPr>
                                <w:color w:val="105C84"/>
                                <w:spacing w:val="6"/>
                                <w:sz w:val="20"/>
                              </w:rPr>
                              <w:t> </w:t>
                            </w:r>
                            <w:r>
                              <w:rPr>
                                <w:color w:val="105C84"/>
                                <w:spacing w:val="-2"/>
                                <w:sz w:val="20"/>
                              </w:rPr>
                              <w:t>(14.3%)</w:t>
                            </w:r>
                          </w:p>
                        </w:tc>
                      </w:tr>
                      <w:tr>
                        <w:trPr>
                          <w:trHeight w:val="355" w:hRule="atLeast"/>
                        </w:trPr>
                        <w:tc>
                          <w:tcPr>
                            <w:tcW w:w="4548" w:type="dxa"/>
                          </w:tcPr>
                          <w:p>
                            <w:pPr>
                              <w:pStyle w:val="TableParagraph"/>
                              <w:spacing w:before="90"/>
                              <w:ind w:left="80"/>
                              <w:rPr>
                                <w:sz w:val="20"/>
                              </w:rPr>
                            </w:pPr>
                            <w:r>
                              <w:rPr>
                                <w:color w:val="105C84"/>
                                <w:sz w:val="20"/>
                              </w:rPr>
                              <w:t>Tobacco</w:t>
                            </w:r>
                            <w:r>
                              <w:rPr>
                                <w:color w:val="105C84"/>
                                <w:spacing w:val="-13"/>
                                <w:sz w:val="20"/>
                              </w:rPr>
                              <w:t> </w:t>
                            </w:r>
                            <w:r>
                              <w:rPr>
                                <w:color w:val="105C84"/>
                                <w:spacing w:val="-2"/>
                                <w:sz w:val="20"/>
                              </w:rPr>
                              <w:t>(12.1%)</w:t>
                            </w:r>
                          </w:p>
                        </w:tc>
                      </w:tr>
                    </w:tbl>
                    <w:p>
                      <w:pPr>
                        <w:pStyle w:val="BodyText"/>
                      </w:pPr>
                    </w:p>
                  </w:txbxContent>
                </v:textbox>
                <w10:wrap type="topAndBottom"/>
              </v:shape>
            </w:pict>
          </mc:Fallback>
        </mc:AlternateContent>
      </w:r>
      <w:r>
        <w:rPr>
          <w:b/>
          <w:sz w:val="14"/>
        </w:rPr>
        <mc:AlternateContent>
          <mc:Choice Requires="wps">
            <w:drawing>
              <wp:anchor distT="0" distB="0" distL="0" distR="0" allowOverlap="1" layoutInCell="1" locked="0" behindDoc="1" simplePos="0" relativeHeight="487587840">
                <wp:simplePos x="0" y="0"/>
                <wp:positionH relativeFrom="page">
                  <wp:posOffset>3930332</wp:posOffset>
                </wp:positionH>
                <wp:positionV relativeFrom="paragraph">
                  <wp:posOffset>1602282</wp:posOffset>
                </wp:positionV>
                <wp:extent cx="3037840" cy="1374775"/>
                <wp:effectExtent l="0" t="0" r="0" b="0"/>
                <wp:wrapTopAndBottom/>
                <wp:docPr id="550" name="Textbox 550"/>
                <wp:cNvGraphicFramePr>
                  <a:graphicFrameLocks/>
                </wp:cNvGraphicFramePr>
                <a:graphic>
                  <a:graphicData uri="http://schemas.microsoft.com/office/word/2010/wordprocessingShape">
                    <wps:wsp>
                      <wps:cNvPr id="550" name="Textbox 550"/>
                      <wps:cNvSpPr txBox="1"/>
                      <wps:spPr>
                        <a:xfrm>
                          <a:off x="0" y="0"/>
                          <a:ext cx="3037840" cy="1374775"/>
                        </a:xfrm>
                        <a:prstGeom prst="rect">
                          <a:avLst/>
                        </a:prstGeom>
                      </wps:spPr>
                      <wps:txbx>
                        <w:txbxContent>
                          <w:tbl>
                            <w:tblPr>
                              <w:tblW w:w="0" w:type="auto"/>
                              <w:jc w:val="left"/>
                              <w:tblInd w:w="2" w:type="dxa"/>
                              <w:tblBorders>
                                <w:top w:val="single" w:sz="2" w:space="0" w:color="636466"/>
                                <w:left w:val="single" w:sz="2" w:space="0" w:color="636466"/>
                                <w:bottom w:val="single" w:sz="2" w:space="0" w:color="636466"/>
                                <w:right w:val="single" w:sz="2" w:space="0" w:color="636466"/>
                                <w:insideH w:val="single" w:sz="2" w:space="0" w:color="636466"/>
                                <w:insideV w:val="single" w:sz="2" w:space="0" w:color="636466"/>
                              </w:tblBorders>
                              <w:tblLayout w:type="fixed"/>
                              <w:tblCellMar>
                                <w:top w:w="0" w:type="dxa"/>
                                <w:left w:w="0" w:type="dxa"/>
                                <w:bottom w:w="0" w:type="dxa"/>
                                <w:right w:w="0" w:type="dxa"/>
                              </w:tblCellMar>
                              <w:tblLook w:val="01E0"/>
                            </w:tblPr>
                            <w:tblGrid>
                              <w:gridCol w:w="4778"/>
                            </w:tblGrid>
                            <w:tr>
                              <w:trPr>
                                <w:trHeight w:val="355" w:hRule="atLeast"/>
                              </w:trPr>
                              <w:tc>
                                <w:tcPr>
                                  <w:tcW w:w="4778" w:type="dxa"/>
                                  <w:shd w:val="clear" w:color="auto" w:fill="1C75BC"/>
                                </w:tcPr>
                                <w:p>
                                  <w:pPr>
                                    <w:pStyle w:val="TableParagraph"/>
                                    <w:spacing w:before="90"/>
                                    <w:ind w:left="79"/>
                                    <w:rPr>
                                      <w:b/>
                                      <w:sz w:val="20"/>
                                    </w:rPr>
                                  </w:pPr>
                                  <w:r>
                                    <w:rPr>
                                      <w:b/>
                                      <w:color w:val="FFFFFF"/>
                                      <w:sz w:val="20"/>
                                    </w:rPr>
                                    <w:t>COUNTY</w:t>
                                  </w:r>
                                  <w:r>
                                    <w:rPr>
                                      <w:b/>
                                      <w:color w:val="FFFFFF"/>
                                      <w:spacing w:val="2"/>
                                      <w:sz w:val="20"/>
                                    </w:rPr>
                                    <w:t> </w:t>
                                  </w:r>
                                  <w:r>
                                    <w:rPr>
                                      <w:b/>
                                      <w:color w:val="FFFFFF"/>
                                      <w:sz w:val="20"/>
                                    </w:rPr>
                                    <w:t>PRIORITY</w:t>
                                  </w:r>
                                  <w:r>
                                    <w:rPr>
                                      <w:b/>
                                      <w:color w:val="FFFFFF"/>
                                      <w:spacing w:val="3"/>
                                      <w:sz w:val="20"/>
                                    </w:rPr>
                                    <w:t> </w:t>
                                  </w:r>
                                  <w:r>
                                    <w:rPr>
                                      <w:b/>
                                      <w:color w:val="FFFFFF"/>
                                      <w:sz w:val="20"/>
                                    </w:rPr>
                                    <w:t>-</w:t>
                                  </w:r>
                                  <w:r>
                                    <w:rPr>
                                      <w:b/>
                                      <w:color w:val="FFFFFF"/>
                                      <w:spacing w:val="2"/>
                                      <w:sz w:val="20"/>
                                    </w:rPr>
                                    <w:t> </w:t>
                                  </w:r>
                                  <w:r>
                                    <w:rPr>
                                      <w:b/>
                                      <w:color w:val="FFFFFF"/>
                                      <w:sz w:val="20"/>
                                    </w:rPr>
                                    <w:t>FOR</w:t>
                                  </w:r>
                                  <w:r>
                                    <w:rPr>
                                      <w:b/>
                                      <w:color w:val="FFFFFF"/>
                                      <w:spacing w:val="3"/>
                                      <w:sz w:val="20"/>
                                    </w:rPr>
                                    <w:t> </w:t>
                                  </w:r>
                                  <w:r>
                                    <w:rPr>
                                      <w:b/>
                                      <w:color w:val="FFFFFF"/>
                                      <w:spacing w:val="-2"/>
                                      <w:sz w:val="20"/>
                                    </w:rPr>
                                    <w:t>CHILDREN</w:t>
                                  </w:r>
                                </w:p>
                              </w:tc>
                            </w:tr>
                            <w:tr>
                              <w:trPr>
                                <w:trHeight w:val="355" w:hRule="atLeast"/>
                              </w:trPr>
                              <w:tc>
                                <w:tcPr>
                                  <w:tcW w:w="4778" w:type="dxa"/>
                                </w:tcPr>
                                <w:p>
                                  <w:pPr>
                                    <w:pStyle w:val="TableParagraph"/>
                                    <w:spacing w:before="90"/>
                                    <w:ind w:left="79"/>
                                    <w:rPr>
                                      <w:sz w:val="20"/>
                                    </w:rPr>
                                  </w:pPr>
                                  <w:r>
                                    <w:rPr>
                                      <w:color w:val="105C84"/>
                                      <w:sz w:val="20"/>
                                    </w:rPr>
                                    <w:t>Diet</w:t>
                                  </w:r>
                                  <w:r>
                                    <w:rPr>
                                      <w:color w:val="105C84"/>
                                      <w:spacing w:val="30"/>
                                      <w:sz w:val="20"/>
                                    </w:rPr>
                                    <w:t> </w:t>
                                  </w:r>
                                  <w:r>
                                    <w:rPr>
                                      <w:color w:val="105C84"/>
                                      <w:sz w:val="20"/>
                                    </w:rPr>
                                    <w:t>/</w:t>
                                  </w:r>
                                  <w:r>
                                    <w:rPr>
                                      <w:color w:val="105C84"/>
                                      <w:spacing w:val="30"/>
                                      <w:sz w:val="20"/>
                                    </w:rPr>
                                    <w:t> </w:t>
                                  </w:r>
                                  <w:r>
                                    <w:rPr>
                                      <w:color w:val="105C84"/>
                                      <w:sz w:val="20"/>
                                    </w:rPr>
                                    <w:t>nutrition</w:t>
                                  </w:r>
                                  <w:r>
                                    <w:rPr>
                                      <w:color w:val="105C84"/>
                                      <w:spacing w:val="31"/>
                                      <w:sz w:val="20"/>
                                    </w:rPr>
                                    <w:t> </w:t>
                                  </w:r>
                                  <w:r>
                                    <w:rPr>
                                      <w:color w:val="105C84"/>
                                      <w:spacing w:val="-2"/>
                                      <w:sz w:val="20"/>
                                    </w:rPr>
                                    <w:t>(19.0%)</w:t>
                                  </w:r>
                                </w:p>
                              </w:tc>
                            </w:tr>
                            <w:tr>
                              <w:trPr>
                                <w:trHeight w:val="355" w:hRule="atLeast"/>
                              </w:trPr>
                              <w:tc>
                                <w:tcPr>
                                  <w:tcW w:w="4778" w:type="dxa"/>
                                </w:tcPr>
                                <w:p>
                                  <w:pPr>
                                    <w:pStyle w:val="TableParagraph"/>
                                    <w:spacing w:before="90"/>
                                    <w:ind w:left="79"/>
                                    <w:rPr>
                                      <w:sz w:val="20"/>
                                    </w:rPr>
                                  </w:pPr>
                                  <w:r>
                                    <w:rPr>
                                      <w:color w:val="105C84"/>
                                      <w:sz w:val="20"/>
                                    </w:rPr>
                                    <w:t>Weight</w:t>
                                  </w:r>
                                  <w:r>
                                    <w:rPr>
                                      <w:color w:val="105C84"/>
                                      <w:spacing w:val="27"/>
                                      <w:sz w:val="20"/>
                                    </w:rPr>
                                    <w:t> </w:t>
                                  </w:r>
                                  <w:r>
                                    <w:rPr>
                                      <w:color w:val="105C84"/>
                                      <w:spacing w:val="-2"/>
                                      <w:sz w:val="20"/>
                                    </w:rPr>
                                    <w:t>(17.7%)</w:t>
                                  </w:r>
                                </w:p>
                              </w:tc>
                            </w:tr>
                            <w:tr>
                              <w:trPr>
                                <w:trHeight w:val="355" w:hRule="atLeast"/>
                              </w:trPr>
                              <w:tc>
                                <w:tcPr>
                                  <w:tcW w:w="4778" w:type="dxa"/>
                                </w:tcPr>
                                <w:p>
                                  <w:pPr>
                                    <w:pStyle w:val="TableParagraph"/>
                                    <w:spacing w:before="90"/>
                                    <w:ind w:left="79"/>
                                    <w:rPr>
                                      <w:sz w:val="20"/>
                                    </w:rPr>
                                  </w:pPr>
                                  <w:r>
                                    <w:rPr>
                                      <w:color w:val="105C84"/>
                                      <w:sz w:val="20"/>
                                    </w:rPr>
                                    <w:t>Education</w:t>
                                  </w:r>
                                  <w:r>
                                    <w:rPr>
                                      <w:color w:val="105C84"/>
                                      <w:spacing w:val="20"/>
                                      <w:sz w:val="20"/>
                                    </w:rPr>
                                    <w:t> </w:t>
                                  </w:r>
                                  <w:r>
                                    <w:rPr>
                                      <w:color w:val="105C84"/>
                                      <w:spacing w:val="-2"/>
                                      <w:sz w:val="20"/>
                                    </w:rPr>
                                    <w:t>(16.5%)</w:t>
                                  </w:r>
                                </w:p>
                              </w:tc>
                            </w:tr>
                            <w:tr>
                              <w:trPr>
                                <w:trHeight w:val="355" w:hRule="atLeast"/>
                              </w:trPr>
                              <w:tc>
                                <w:tcPr>
                                  <w:tcW w:w="4778" w:type="dxa"/>
                                </w:tcPr>
                                <w:p>
                                  <w:pPr>
                                    <w:pStyle w:val="TableParagraph"/>
                                    <w:spacing w:before="90"/>
                                    <w:ind w:left="79"/>
                                    <w:rPr>
                                      <w:sz w:val="20"/>
                                    </w:rPr>
                                  </w:pPr>
                                  <w:r>
                                    <w:rPr>
                                      <w:color w:val="105C84"/>
                                      <w:sz w:val="20"/>
                                    </w:rPr>
                                    <w:t>Mental</w:t>
                                  </w:r>
                                  <w:r>
                                    <w:rPr>
                                      <w:color w:val="105C84"/>
                                      <w:spacing w:val="13"/>
                                      <w:sz w:val="20"/>
                                    </w:rPr>
                                    <w:t> </w:t>
                                  </w:r>
                                  <w:r>
                                    <w:rPr>
                                      <w:color w:val="105C84"/>
                                      <w:sz w:val="20"/>
                                    </w:rPr>
                                    <w:t>/</w:t>
                                  </w:r>
                                  <w:r>
                                    <w:rPr>
                                      <w:color w:val="105C84"/>
                                      <w:spacing w:val="13"/>
                                      <w:sz w:val="20"/>
                                    </w:rPr>
                                    <w:t> </w:t>
                                  </w:r>
                                  <w:r>
                                    <w:rPr>
                                      <w:color w:val="105C84"/>
                                      <w:sz w:val="20"/>
                                    </w:rPr>
                                    <w:t>emotional</w:t>
                                  </w:r>
                                  <w:r>
                                    <w:rPr>
                                      <w:color w:val="105C84"/>
                                      <w:spacing w:val="13"/>
                                      <w:sz w:val="20"/>
                                    </w:rPr>
                                    <w:t> </w:t>
                                  </w:r>
                                  <w:r>
                                    <w:rPr>
                                      <w:color w:val="105C84"/>
                                      <w:sz w:val="20"/>
                                    </w:rPr>
                                    <w:t>health</w:t>
                                  </w:r>
                                  <w:r>
                                    <w:rPr>
                                      <w:color w:val="105C84"/>
                                      <w:spacing w:val="13"/>
                                      <w:sz w:val="20"/>
                                    </w:rPr>
                                    <w:t> </w:t>
                                  </w:r>
                                  <w:r>
                                    <w:rPr>
                                      <w:color w:val="105C84"/>
                                      <w:sz w:val="20"/>
                                    </w:rPr>
                                    <w:t>issues</w:t>
                                  </w:r>
                                  <w:r>
                                    <w:rPr>
                                      <w:color w:val="105C84"/>
                                      <w:spacing w:val="13"/>
                                      <w:sz w:val="20"/>
                                    </w:rPr>
                                    <w:t> </w:t>
                                  </w:r>
                                  <w:r>
                                    <w:rPr>
                                      <w:color w:val="105C84"/>
                                      <w:spacing w:val="-2"/>
                                      <w:sz w:val="20"/>
                                    </w:rPr>
                                    <w:t>(13.8%)</w:t>
                                  </w:r>
                                </w:p>
                              </w:tc>
                            </w:tr>
                            <w:tr>
                              <w:trPr>
                                <w:trHeight w:val="355" w:hRule="atLeast"/>
                              </w:trPr>
                              <w:tc>
                                <w:tcPr>
                                  <w:tcW w:w="4778" w:type="dxa"/>
                                </w:tcPr>
                                <w:p>
                                  <w:pPr>
                                    <w:pStyle w:val="TableParagraph"/>
                                    <w:spacing w:before="90"/>
                                    <w:ind w:left="79"/>
                                    <w:rPr>
                                      <w:sz w:val="20"/>
                                    </w:rPr>
                                  </w:pPr>
                                  <w:r>
                                    <w:rPr>
                                      <w:color w:val="105C84"/>
                                      <w:spacing w:val="-4"/>
                                      <w:sz w:val="20"/>
                                    </w:rPr>
                                    <w:t>Exercise</w:t>
                                  </w:r>
                                  <w:r>
                                    <w:rPr>
                                      <w:color w:val="105C84"/>
                                      <w:spacing w:val="3"/>
                                      <w:sz w:val="20"/>
                                    </w:rPr>
                                    <w:t> </w:t>
                                  </w:r>
                                  <w:r>
                                    <w:rPr>
                                      <w:color w:val="105C84"/>
                                      <w:spacing w:val="-2"/>
                                      <w:sz w:val="20"/>
                                    </w:rPr>
                                    <w:t>(13.4%)</w:t>
                                  </w:r>
                                </w:p>
                              </w:tc>
                            </w:tr>
                          </w:tbl>
                          <w:p>
                            <w:pPr>
                              <w:pStyle w:val="BodyText"/>
                            </w:pPr>
                          </w:p>
                        </w:txbxContent>
                      </wps:txbx>
                      <wps:bodyPr wrap="square" lIns="0" tIns="0" rIns="0" bIns="0" rtlCol="0">
                        <a:noAutofit/>
                      </wps:bodyPr>
                    </wps:wsp>
                  </a:graphicData>
                </a:graphic>
              </wp:anchor>
            </w:drawing>
          </mc:Choice>
          <mc:Fallback>
            <w:pict>
              <v:shape style="position:absolute;margin-left:309.475006pt;margin-top:126.163986pt;width:239.2pt;height:108.25pt;mso-position-horizontal-relative:page;mso-position-vertical-relative:paragraph;z-index:-15728640;mso-wrap-distance-left:0;mso-wrap-distance-right:0" type="#_x0000_t202" id="docshape487" filled="false" stroked="false">
                <v:textbox inset="0,0,0,0">
                  <w:txbxContent>
                    <w:tbl>
                      <w:tblPr>
                        <w:tblW w:w="0" w:type="auto"/>
                        <w:jc w:val="left"/>
                        <w:tblInd w:w="2" w:type="dxa"/>
                        <w:tblBorders>
                          <w:top w:val="single" w:sz="2" w:space="0" w:color="636466"/>
                          <w:left w:val="single" w:sz="2" w:space="0" w:color="636466"/>
                          <w:bottom w:val="single" w:sz="2" w:space="0" w:color="636466"/>
                          <w:right w:val="single" w:sz="2" w:space="0" w:color="636466"/>
                          <w:insideH w:val="single" w:sz="2" w:space="0" w:color="636466"/>
                          <w:insideV w:val="single" w:sz="2" w:space="0" w:color="636466"/>
                        </w:tblBorders>
                        <w:tblLayout w:type="fixed"/>
                        <w:tblCellMar>
                          <w:top w:w="0" w:type="dxa"/>
                          <w:left w:w="0" w:type="dxa"/>
                          <w:bottom w:w="0" w:type="dxa"/>
                          <w:right w:w="0" w:type="dxa"/>
                        </w:tblCellMar>
                        <w:tblLook w:val="01E0"/>
                      </w:tblPr>
                      <w:tblGrid>
                        <w:gridCol w:w="4778"/>
                      </w:tblGrid>
                      <w:tr>
                        <w:trPr>
                          <w:trHeight w:val="355" w:hRule="atLeast"/>
                        </w:trPr>
                        <w:tc>
                          <w:tcPr>
                            <w:tcW w:w="4778" w:type="dxa"/>
                            <w:shd w:val="clear" w:color="auto" w:fill="1C75BC"/>
                          </w:tcPr>
                          <w:p>
                            <w:pPr>
                              <w:pStyle w:val="TableParagraph"/>
                              <w:spacing w:before="90"/>
                              <w:ind w:left="79"/>
                              <w:rPr>
                                <w:b/>
                                <w:sz w:val="20"/>
                              </w:rPr>
                            </w:pPr>
                            <w:r>
                              <w:rPr>
                                <w:b/>
                                <w:color w:val="FFFFFF"/>
                                <w:sz w:val="20"/>
                              </w:rPr>
                              <w:t>COUNTY</w:t>
                            </w:r>
                            <w:r>
                              <w:rPr>
                                <w:b/>
                                <w:color w:val="FFFFFF"/>
                                <w:spacing w:val="2"/>
                                <w:sz w:val="20"/>
                              </w:rPr>
                              <w:t> </w:t>
                            </w:r>
                            <w:r>
                              <w:rPr>
                                <w:b/>
                                <w:color w:val="FFFFFF"/>
                                <w:sz w:val="20"/>
                              </w:rPr>
                              <w:t>PRIORITY</w:t>
                            </w:r>
                            <w:r>
                              <w:rPr>
                                <w:b/>
                                <w:color w:val="FFFFFF"/>
                                <w:spacing w:val="3"/>
                                <w:sz w:val="20"/>
                              </w:rPr>
                              <w:t> </w:t>
                            </w:r>
                            <w:r>
                              <w:rPr>
                                <w:b/>
                                <w:color w:val="FFFFFF"/>
                                <w:sz w:val="20"/>
                              </w:rPr>
                              <w:t>-</w:t>
                            </w:r>
                            <w:r>
                              <w:rPr>
                                <w:b/>
                                <w:color w:val="FFFFFF"/>
                                <w:spacing w:val="2"/>
                                <w:sz w:val="20"/>
                              </w:rPr>
                              <w:t> </w:t>
                            </w:r>
                            <w:r>
                              <w:rPr>
                                <w:b/>
                                <w:color w:val="FFFFFF"/>
                                <w:sz w:val="20"/>
                              </w:rPr>
                              <w:t>FOR</w:t>
                            </w:r>
                            <w:r>
                              <w:rPr>
                                <w:b/>
                                <w:color w:val="FFFFFF"/>
                                <w:spacing w:val="3"/>
                                <w:sz w:val="20"/>
                              </w:rPr>
                              <w:t> </w:t>
                            </w:r>
                            <w:r>
                              <w:rPr>
                                <w:b/>
                                <w:color w:val="FFFFFF"/>
                                <w:spacing w:val="-2"/>
                                <w:sz w:val="20"/>
                              </w:rPr>
                              <w:t>CHILDREN</w:t>
                            </w:r>
                          </w:p>
                        </w:tc>
                      </w:tr>
                      <w:tr>
                        <w:trPr>
                          <w:trHeight w:val="355" w:hRule="atLeast"/>
                        </w:trPr>
                        <w:tc>
                          <w:tcPr>
                            <w:tcW w:w="4778" w:type="dxa"/>
                          </w:tcPr>
                          <w:p>
                            <w:pPr>
                              <w:pStyle w:val="TableParagraph"/>
                              <w:spacing w:before="90"/>
                              <w:ind w:left="79"/>
                              <w:rPr>
                                <w:sz w:val="20"/>
                              </w:rPr>
                            </w:pPr>
                            <w:r>
                              <w:rPr>
                                <w:color w:val="105C84"/>
                                <w:sz w:val="20"/>
                              </w:rPr>
                              <w:t>Diet</w:t>
                            </w:r>
                            <w:r>
                              <w:rPr>
                                <w:color w:val="105C84"/>
                                <w:spacing w:val="30"/>
                                <w:sz w:val="20"/>
                              </w:rPr>
                              <w:t> </w:t>
                            </w:r>
                            <w:r>
                              <w:rPr>
                                <w:color w:val="105C84"/>
                                <w:sz w:val="20"/>
                              </w:rPr>
                              <w:t>/</w:t>
                            </w:r>
                            <w:r>
                              <w:rPr>
                                <w:color w:val="105C84"/>
                                <w:spacing w:val="30"/>
                                <w:sz w:val="20"/>
                              </w:rPr>
                              <w:t> </w:t>
                            </w:r>
                            <w:r>
                              <w:rPr>
                                <w:color w:val="105C84"/>
                                <w:sz w:val="20"/>
                              </w:rPr>
                              <w:t>nutrition</w:t>
                            </w:r>
                            <w:r>
                              <w:rPr>
                                <w:color w:val="105C84"/>
                                <w:spacing w:val="31"/>
                                <w:sz w:val="20"/>
                              </w:rPr>
                              <w:t> </w:t>
                            </w:r>
                            <w:r>
                              <w:rPr>
                                <w:color w:val="105C84"/>
                                <w:spacing w:val="-2"/>
                                <w:sz w:val="20"/>
                              </w:rPr>
                              <w:t>(19.0%)</w:t>
                            </w:r>
                          </w:p>
                        </w:tc>
                      </w:tr>
                      <w:tr>
                        <w:trPr>
                          <w:trHeight w:val="355" w:hRule="atLeast"/>
                        </w:trPr>
                        <w:tc>
                          <w:tcPr>
                            <w:tcW w:w="4778" w:type="dxa"/>
                          </w:tcPr>
                          <w:p>
                            <w:pPr>
                              <w:pStyle w:val="TableParagraph"/>
                              <w:spacing w:before="90"/>
                              <w:ind w:left="79"/>
                              <w:rPr>
                                <w:sz w:val="20"/>
                              </w:rPr>
                            </w:pPr>
                            <w:r>
                              <w:rPr>
                                <w:color w:val="105C84"/>
                                <w:sz w:val="20"/>
                              </w:rPr>
                              <w:t>Weight</w:t>
                            </w:r>
                            <w:r>
                              <w:rPr>
                                <w:color w:val="105C84"/>
                                <w:spacing w:val="27"/>
                                <w:sz w:val="20"/>
                              </w:rPr>
                              <w:t> </w:t>
                            </w:r>
                            <w:r>
                              <w:rPr>
                                <w:color w:val="105C84"/>
                                <w:spacing w:val="-2"/>
                                <w:sz w:val="20"/>
                              </w:rPr>
                              <w:t>(17.7%)</w:t>
                            </w:r>
                          </w:p>
                        </w:tc>
                      </w:tr>
                      <w:tr>
                        <w:trPr>
                          <w:trHeight w:val="355" w:hRule="atLeast"/>
                        </w:trPr>
                        <w:tc>
                          <w:tcPr>
                            <w:tcW w:w="4778" w:type="dxa"/>
                          </w:tcPr>
                          <w:p>
                            <w:pPr>
                              <w:pStyle w:val="TableParagraph"/>
                              <w:spacing w:before="90"/>
                              <w:ind w:left="79"/>
                              <w:rPr>
                                <w:sz w:val="20"/>
                              </w:rPr>
                            </w:pPr>
                            <w:r>
                              <w:rPr>
                                <w:color w:val="105C84"/>
                                <w:sz w:val="20"/>
                              </w:rPr>
                              <w:t>Education</w:t>
                            </w:r>
                            <w:r>
                              <w:rPr>
                                <w:color w:val="105C84"/>
                                <w:spacing w:val="20"/>
                                <w:sz w:val="20"/>
                              </w:rPr>
                              <w:t> </w:t>
                            </w:r>
                            <w:r>
                              <w:rPr>
                                <w:color w:val="105C84"/>
                                <w:spacing w:val="-2"/>
                                <w:sz w:val="20"/>
                              </w:rPr>
                              <w:t>(16.5%)</w:t>
                            </w:r>
                          </w:p>
                        </w:tc>
                      </w:tr>
                      <w:tr>
                        <w:trPr>
                          <w:trHeight w:val="355" w:hRule="atLeast"/>
                        </w:trPr>
                        <w:tc>
                          <w:tcPr>
                            <w:tcW w:w="4778" w:type="dxa"/>
                          </w:tcPr>
                          <w:p>
                            <w:pPr>
                              <w:pStyle w:val="TableParagraph"/>
                              <w:spacing w:before="90"/>
                              <w:ind w:left="79"/>
                              <w:rPr>
                                <w:sz w:val="20"/>
                              </w:rPr>
                            </w:pPr>
                            <w:r>
                              <w:rPr>
                                <w:color w:val="105C84"/>
                                <w:sz w:val="20"/>
                              </w:rPr>
                              <w:t>Mental</w:t>
                            </w:r>
                            <w:r>
                              <w:rPr>
                                <w:color w:val="105C84"/>
                                <w:spacing w:val="13"/>
                                <w:sz w:val="20"/>
                              </w:rPr>
                              <w:t> </w:t>
                            </w:r>
                            <w:r>
                              <w:rPr>
                                <w:color w:val="105C84"/>
                                <w:sz w:val="20"/>
                              </w:rPr>
                              <w:t>/</w:t>
                            </w:r>
                            <w:r>
                              <w:rPr>
                                <w:color w:val="105C84"/>
                                <w:spacing w:val="13"/>
                                <w:sz w:val="20"/>
                              </w:rPr>
                              <w:t> </w:t>
                            </w:r>
                            <w:r>
                              <w:rPr>
                                <w:color w:val="105C84"/>
                                <w:sz w:val="20"/>
                              </w:rPr>
                              <w:t>emotional</w:t>
                            </w:r>
                            <w:r>
                              <w:rPr>
                                <w:color w:val="105C84"/>
                                <w:spacing w:val="13"/>
                                <w:sz w:val="20"/>
                              </w:rPr>
                              <w:t> </w:t>
                            </w:r>
                            <w:r>
                              <w:rPr>
                                <w:color w:val="105C84"/>
                                <w:sz w:val="20"/>
                              </w:rPr>
                              <w:t>health</w:t>
                            </w:r>
                            <w:r>
                              <w:rPr>
                                <w:color w:val="105C84"/>
                                <w:spacing w:val="13"/>
                                <w:sz w:val="20"/>
                              </w:rPr>
                              <w:t> </w:t>
                            </w:r>
                            <w:r>
                              <w:rPr>
                                <w:color w:val="105C84"/>
                                <w:sz w:val="20"/>
                              </w:rPr>
                              <w:t>issues</w:t>
                            </w:r>
                            <w:r>
                              <w:rPr>
                                <w:color w:val="105C84"/>
                                <w:spacing w:val="13"/>
                                <w:sz w:val="20"/>
                              </w:rPr>
                              <w:t> </w:t>
                            </w:r>
                            <w:r>
                              <w:rPr>
                                <w:color w:val="105C84"/>
                                <w:spacing w:val="-2"/>
                                <w:sz w:val="20"/>
                              </w:rPr>
                              <w:t>(13.8%)</w:t>
                            </w:r>
                          </w:p>
                        </w:tc>
                      </w:tr>
                      <w:tr>
                        <w:trPr>
                          <w:trHeight w:val="355" w:hRule="atLeast"/>
                        </w:trPr>
                        <w:tc>
                          <w:tcPr>
                            <w:tcW w:w="4778" w:type="dxa"/>
                          </w:tcPr>
                          <w:p>
                            <w:pPr>
                              <w:pStyle w:val="TableParagraph"/>
                              <w:spacing w:before="90"/>
                              <w:ind w:left="79"/>
                              <w:rPr>
                                <w:sz w:val="20"/>
                              </w:rPr>
                            </w:pPr>
                            <w:r>
                              <w:rPr>
                                <w:color w:val="105C84"/>
                                <w:spacing w:val="-4"/>
                                <w:sz w:val="20"/>
                              </w:rPr>
                              <w:t>Exercise</w:t>
                            </w:r>
                            <w:r>
                              <w:rPr>
                                <w:color w:val="105C84"/>
                                <w:spacing w:val="3"/>
                                <w:sz w:val="20"/>
                              </w:rPr>
                              <w:t> </w:t>
                            </w:r>
                            <w:r>
                              <w:rPr>
                                <w:color w:val="105C84"/>
                                <w:spacing w:val="-2"/>
                                <w:sz w:val="20"/>
                              </w:rPr>
                              <w:t>(13.4%)</w:t>
                            </w:r>
                          </w:p>
                        </w:tc>
                      </w:tr>
                    </w:tbl>
                    <w:p>
                      <w:pPr>
                        <w:pStyle w:val="BodyText"/>
                      </w:pPr>
                    </w:p>
                  </w:txbxContent>
                </v:textbox>
                <w10:wrap type="topAndBottom"/>
              </v:shape>
            </w:pict>
          </mc:Fallback>
        </mc:AlternateContent>
      </w:r>
    </w:p>
    <w:p>
      <w:pPr>
        <w:pStyle w:val="BodyText"/>
        <w:spacing w:before="10"/>
        <w:rPr>
          <w:b/>
          <w:sz w:val="12"/>
        </w:rPr>
      </w:pPr>
    </w:p>
    <w:p>
      <w:pPr>
        <w:spacing w:line="208" w:lineRule="auto" w:before="109"/>
        <w:ind w:left="1094" w:right="0" w:firstLine="0"/>
        <w:jc w:val="left"/>
        <w:rPr>
          <w:sz w:val="16"/>
        </w:rPr>
      </w:pPr>
      <w:r>
        <w:rPr>
          <w:color w:val="0C5D86"/>
          <w:spacing w:val="-2"/>
          <w:sz w:val="16"/>
        </w:rPr>
        <w:t>Source:</w:t>
      </w:r>
      <w:r>
        <w:rPr>
          <w:color w:val="0C5D86"/>
          <w:spacing w:val="-3"/>
          <w:sz w:val="16"/>
        </w:rPr>
        <w:t> </w:t>
      </w:r>
      <w:r>
        <w:rPr>
          <w:color w:val="0C5D86"/>
          <w:spacing w:val="-2"/>
          <w:sz w:val="16"/>
        </w:rPr>
        <w:t>My</w:t>
      </w:r>
      <w:r>
        <w:rPr>
          <w:color w:val="0C5D86"/>
          <w:spacing w:val="-3"/>
          <w:sz w:val="16"/>
        </w:rPr>
        <w:t> </w:t>
      </w:r>
      <w:r>
        <w:rPr>
          <w:color w:val="0C5D86"/>
          <w:spacing w:val="-2"/>
          <w:sz w:val="16"/>
        </w:rPr>
        <w:t>Health</w:t>
      </w:r>
      <w:r>
        <w:rPr>
          <w:color w:val="0C5D86"/>
          <w:spacing w:val="-3"/>
          <w:sz w:val="16"/>
        </w:rPr>
        <w:t> </w:t>
      </w:r>
      <w:r>
        <w:rPr>
          <w:color w:val="0C5D86"/>
          <w:spacing w:val="-2"/>
          <w:sz w:val="16"/>
        </w:rPr>
        <w:t>Story</w:t>
      </w:r>
      <w:r>
        <w:rPr>
          <w:color w:val="0C5D86"/>
          <w:spacing w:val="-3"/>
          <w:sz w:val="16"/>
        </w:rPr>
        <w:t> </w:t>
      </w:r>
      <w:r>
        <w:rPr>
          <w:color w:val="0C5D86"/>
          <w:spacing w:val="-2"/>
          <w:sz w:val="16"/>
        </w:rPr>
        <w:t>survey</w:t>
      </w:r>
      <w:r>
        <w:rPr>
          <w:color w:val="0C5D86"/>
          <w:spacing w:val="-3"/>
          <w:sz w:val="16"/>
        </w:rPr>
        <w:t> </w:t>
      </w:r>
      <w:r>
        <w:rPr>
          <w:color w:val="0C5D86"/>
          <w:spacing w:val="-2"/>
          <w:sz w:val="16"/>
        </w:rPr>
        <w:t>2018.</w:t>
      </w:r>
      <w:r>
        <w:rPr>
          <w:color w:val="0C5D86"/>
          <w:spacing w:val="-3"/>
          <w:sz w:val="16"/>
        </w:rPr>
        <w:t> </w:t>
      </w:r>
      <w:r>
        <w:rPr>
          <w:color w:val="0C5D86"/>
          <w:spacing w:val="-2"/>
          <w:sz w:val="16"/>
        </w:rPr>
        <w:t>Analysis</w:t>
      </w:r>
      <w:r>
        <w:rPr>
          <w:color w:val="0C5D86"/>
          <w:spacing w:val="-3"/>
          <w:sz w:val="16"/>
        </w:rPr>
        <w:t> </w:t>
      </w:r>
      <w:r>
        <w:rPr>
          <w:color w:val="0C5D86"/>
          <w:spacing w:val="-2"/>
          <w:sz w:val="16"/>
        </w:rPr>
        <w:t>by</w:t>
      </w:r>
      <w:r>
        <w:rPr>
          <w:color w:val="0C5D86"/>
          <w:spacing w:val="-3"/>
          <w:sz w:val="16"/>
        </w:rPr>
        <w:t> </w:t>
      </w:r>
      <w:r>
        <w:rPr>
          <w:color w:val="0C5D86"/>
          <w:spacing w:val="-2"/>
          <w:sz w:val="16"/>
        </w:rPr>
        <w:t>Common</w:t>
      </w:r>
      <w:r>
        <w:rPr>
          <w:color w:val="0C5D86"/>
          <w:spacing w:val="-3"/>
          <w:sz w:val="16"/>
        </w:rPr>
        <w:t> </w:t>
      </w:r>
      <w:r>
        <w:rPr>
          <w:color w:val="0C5D86"/>
          <w:spacing w:val="-2"/>
          <w:sz w:val="16"/>
        </w:rPr>
        <w:t>Ground</w:t>
      </w:r>
      <w:r>
        <w:rPr>
          <w:color w:val="0C5D86"/>
          <w:spacing w:val="-3"/>
          <w:sz w:val="16"/>
        </w:rPr>
        <w:t> </w:t>
      </w:r>
      <w:r>
        <w:rPr>
          <w:color w:val="0C5D86"/>
          <w:spacing w:val="-2"/>
          <w:sz w:val="16"/>
        </w:rPr>
        <w:t>Health</w:t>
      </w:r>
      <w:r>
        <w:rPr>
          <w:color w:val="0C5D86"/>
          <w:spacing w:val="-3"/>
          <w:sz w:val="16"/>
        </w:rPr>
        <w:t> </w:t>
      </w:r>
      <w:r>
        <w:rPr>
          <w:color w:val="0C5D86"/>
          <w:spacing w:val="-2"/>
          <w:sz w:val="16"/>
        </w:rPr>
        <w:t>incorporates</w:t>
      </w:r>
      <w:r>
        <w:rPr>
          <w:color w:val="0C5D86"/>
          <w:spacing w:val="-3"/>
          <w:sz w:val="16"/>
        </w:rPr>
        <w:t> </w:t>
      </w:r>
      <w:r>
        <w:rPr>
          <w:color w:val="0C5D86"/>
          <w:spacing w:val="-2"/>
          <w:sz w:val="16"/>
        </w:rPr>
        <w:t>weighting</w:t>
      </w:r>
      <w:r>
        <w:rPr>
          <w:color w:val="0C5D86"/>
          <w:spacing w:val="-3"/>
          <w:sz w:val="16"/>
        </w:rPr>
        <w:t> </w:t>
      </w:r>
      <w:r>
        <w:rPr>
          <w:color w:val="0C5D86"/>
          <w:spacing w:val="-2"/>
          <w:sz w:val="16"/>
        </w:rPr>
        <w:t>to</w:t>
      </w:r>
      <w:r>
        <w:rPr>
          <w:color w:val="0C5D86"/>
          <w:spacing w:val="-3"/>
          <w:sz w:val="16"/>
        </w:rPr>
        <w:t> </w:t>
      </w:r>
      <w:r>
        <w:rPr>
          <w:color w:val="0C5D86"/>
          <w:spacing w:val="-2"/>
          <w:sz w:val="16"/>
        </w:rPr>
        <w:t>normalize</w:t>
      </w:r>
      <w:r>
        <w:rPr>
          <w:color w:val="0C5D86"/>
          <w:spacing w:val="-3"/>
          <w:sz w:val="16"/>
        </w:rPr>
        <w:t> </w:t>
      </w:r>
      <w:r>
        <w:rPr>
          <w:color w:val="0C5D86"/>
          <w:spacing w:val="-2"/>
          <w:sz w:val="16"/>
        </w:rPr>
        <w:t>survey</w:t>
      </w:r>
      <w:r>
        <w:rPr>
          <w:color w:val="0C5D86"/>
          <w:spacing w:val="-3"/>
          <w:sz w:val="16"/>
        </w:rPr>
        <w:t> </w:t>
      </w:r>
      <w:r>
        <w:rPr>
          <w:color w:val="0C5D86"/>
          <w:spacing w:val="-2"/>
          <w:sz w:val="16"/>
        </w:rPr>
        <w:t>participants</w:t>
      </w:r>
      <w:r>
        <w:rPr>
          <w:color w:val="0C5D86"/>
          <w:spacing w:val="-3"/>
          <w:sz w:val="16"/>
        </w:rPr>
        <w:t> </w:t>
      </w:r>
      <w:r>
        <w:rPr>
          <w:color w:val="0C5D86"/>
          <w:spacing w:val="-2"/>
          <w:sz w:val="16"/>
        </w:rPr>
        <w:t>to</w:t>
      </w:r>
      <w:r>
        <w:rPr>
          <w:color w:val="0C5D86"/>
          <w:spacing w:val="-3"/>
          <w:sz w:val="16"/>
        </w:rPr>
        <w:t> </w:t>
      </w:r>
      <w:r>
        <w:rPr>
          <w:color w:val="0C5D86"/>
          <w:spacing w:val="-2"/>
          <w:sz w:val="16"/>
        </w:rPr>
        <w:t>demographics </w:t>
      </w:r>
      <w:r>
        <w:rPr>
          <w:color w:val="0C5D86"/>
          <w:sz w:val="16"/>
        </w:rPr>
        <w:t>of</w:t>
      </w:r>
      <w:r>
        <w:rPr>
          <w:color w:val="0C5D86"/>
          <w:spacing w:val="-11"/>
          <w:sz w:val="16"/>
        </w:rPr>
        <w:t> </w:t>
      </w:r>
      <w:r>
        <w:rPr>
          <w:color w:val="0C5D86"/>
          <w:sz w:val="16"/>
        </w:rPr>
        <w:t>each</w:t>
      </w:r>
      <w:r>
        <w:rPr>
          <w:color w:val="0C5D86"/>
          <w:spacing w:val="-11"/>
          <w:sz w:val="16"/>
        </w:rPr>
        <w:t> </w:t>
      </w:r>
      <w:r>
        <w:rPr>
          <w:color w:val="0C5D86"/>
          <w:sz w:val="16"/>
        </w:rPr>
        <w:t>county.</w:t>
      </w:r>
      <w:r>
        <w:rPr>
          <w:color w:val="0C5D86"/>
          <w:spacing w:val="25"/>
          <w:sz w:val="16"/>
        </w:rPr>
        <w:t> </w:t>
      </w:r>
      <w:r>
        <w:rPr>
          <w:color w:val="0C5D86"/>
          <w:sz w:val="16"/>
        </w:rPr>
        <w:t>Top</w:t>
      </w:r>
      <w:r>
        <w:rPr>
          <w:color w:val="0C5D86"/>
          <w:spacing w:val="-11"/>
          <w:sz w:val="16"/>
        </w:rPr>
        <w:t> </w:t>
      </w:r>
      <w:r>
        <w:rPr>
          <w:color w:val="0C5D86"/>
          <w:sz w:val="16"/>
        </w:rPr>
        <w:t>5</w:t>
      </w:r>
      <w:r>
        <w:rPr>
          <w:color w:val="0C5D86"/>
          <w:spacing w:val="-11"/>
          <w:sz w:val="16"/>
        </w:rPr>
        <w:t> </w:t>
      </w:r>
      <w:r>
        <w:rPr>
          <w:color w:val="0C5D86"/>
          <w:sz w:val="16"/>
        </w:rPr>
        <w:t>issues</w:t>
      </w:r>
      <w:r>
        <w:rPr>
          <w:color w:val="0C5D86"/>
          <w:spacing w:val="-11"/>
          <w:sz w:val="16"/>
        </w:rPr>
        <w:t> </w:t>
      </w:r>
      <w:r>
        <w:rPr>
          <w:color w:val="0C5D86"/>
          <w:sz w:val="16"/>
        </w:rPr>
        <w:t>shown</w:t>
      </w:r>
      <w:r>
        <w:rPr>
          <w:color w:val="0C5D86"/>
          <w:spacing w:val="-11"/>
          <w:sz w:val="16"/>
        </w:rPr>
        <w:t> </w:t>
      </w:r>
      <w:r>
        <w:rPr>
          <w:color w:val="0C5D86"/>
          <w:sz w:val="16"/>
        </w:rPr>
        <w:t>for</w:t>
      </w:r>
      <w:r>
        <w:rPr>
          <w:color w:val="0C5D86"/>
          <w:spacing w:val="-11"/>
          <w:sz w:val="16"/>
        </w:rPr>
        <w:t> </w:t>
      </w:r>
      <w:r>
        <w:rPr>
          <w:color w:val="0C5D86"/>
          <w:sz w:val="16"/>
        </w:rPr>
        <w:t>each</w:t>
      </w:r>
      <w:r>
        <w:rPr>
          <w:color w:val="0C5D86"/>
          <w:spacing w:val="-11"/>
          <w:sz w:val="16"/>
        </w:rPr>
        <w:t> </w:t>
      </w:r>
      <w:r>
        <w:rPr>
          <w:color w:val="0C5D86"/>
          <w:sz w:val="16"/>
        </w:rPr>
        <w:t>question.</w:t>
      </w:r>
      <w:r>
        <w:rPr>
          <w:color w:val="0C5D86"/>
          <w:spacing w:val="25"/>
          <w:sz w:val="16"/>
        </w:rPr>
        <w:t> </w:t>
      </w:r>
      <w:r>
        <w:rPr>
          <w:color w:val="0C5D86"/>
          <w:sz w:val="16"/>
        </w:rPr>
        <w:t>Data</w:t>
      </w:r>
      <w:r>
        <w:rPr>
          <w:color w:val="0C5D86"/>
          <w:spacing w:val="-11"/>
          <w:sz w:val="16"/>
        </w:rPr>
        <w:t> </w:t>
      </w:r>
      <w:r>
        <w:rPr>
          <w:color w:val="0C5D86"/>
          <w:sz w:val="16"/>
        </w:rPr>
        <w:t>shown</w:t>
      </w:r>
      <w:r>
        <w:rPr>
          <w:color w:val="0C5D86"/>
          <w:spacing w:val="-11"/>
          <w:sz w:val="16"/>
        </w:rPr>
        <w:t> </w:t>
      </w:r>
      <w:r>
        <w:rPr>
          <w:color w:val="0C5D86"/>
          <w:sz w:val="16"/>
        </w:rPr>
        <w:t>are</w:t>
      </w:r>
      <w:r>
        <w:rPr>
          <w:color w:val="0C5D86"/>
          <w:spacing w:val="-11"/>
          <w:sz w:val="16"/>
        </w:rPr>
        <w:t> </w:t>
      </w:r>
      <w:r>
        <w:rPr>
          <w:color w:val="0C5D86"/>
          <w:sz w:val="16"/>
        </w:rPr>
        <w:t>the</w:t>
      </w:r>
      <w:r>
        <w:rPr>
          <w:color w:val="0C5D86"/>
          <w:spacing w:val="-11"/>
          <w:sz w:val="16"/>
        </w:rPr>
        <w:t> </w:t>
      </w:r>
      <w:r>
        <w:rPr>
          <w:color w:val="0C5D86"/>
          <w:sz w:val="16"/>
        </w:rPr>
        <w:t>percent</w:t>
      </w:r>
      <w:r>
        <w:rPr>
          <w:color w:val="0C5D86"/>
          <w:spacing w:val="-11"/>
          <w:sz w:val="16"/>
        </w:rPr>
        <w:t> </w:t>
      </w:r>
      <w:r>
        <w:rPr>
          <w:color w:val="0C5D86"/>
          <w:sz w:val="16"/>
        </w:rPr>
        <w:t>of</w:t>
      </w:r>
      <w:r>
        <w:rPr>
          <w:color w:val="0C5D86"/>
          <w:spacing w:val="-11"/>
          <w:sz w:val="16"/>
        </w:rPr>
        <w:t> </w:t>
      </w:r>
      <w:r>
        <w:rPr>
          <w:color w:val="0C5D86"/>
          <w:sz w:val="16"/>
        </w:rPr>
        <w:t>participants</w:t>
      </w:r>
      <w:r>
        <w:rPr>
          <w:color w:val="0C5D86"/>
          <w:spacing w:val="-11"/>
          <w:sz w:val="16"/>
        </w:rPr>
        <w:t> </w:t>
      </w:r>
      <w:r>
        <w:rPr>
          <w:color w:val="0C5D86"/>
          <w:sz w:val="16"/>
        </w:rPr>
        <w:t>with</w:t>
      </w:r>
      <w:r>
        <w:rPr>
          <w:color w:val="0C5D86"/>
          <w:spacing w:val="-11"/>
          <w:sz w:val="16"/>
        </w:rPr>
        <w:t> </w:t>
      </w:r>
      <w:r>
        <w:rPr>
          <w:color w:val="0C5D86"/>
          <w:sz w:val="16"/>
        </w:rPr>
        <w:t>responses</w:t>
      </w:r>
      <w:r>
        <w:rPr>
          <w:color w:val="0C5D86"/>
          <w:spacing w:val="-11"/>
          <w:sz w:val="16"/>
        </w:rPr>
        <w:t> </w:t>
      </w:r>
      <w:r>
        <w:rPr>
          <w:color w:val="0C5D86"/>
          <w:sz w:val="16"/>
        </w:rPr>
        <w:t>in</w:t>
      </w:r>
      <w:r>
        <w:rPr>
          <w:color w:val="0C5D86"/>
          <w:spacing w:val="-11"/>
          <w:sz w:val="16"/>
        </w:rPr>
        <w:t> </w:t>
      </w:r>
      <w:r>
        <w:rPr>
          <w:color w:val="0C5D86"/>
          <w:sz w:val="16"/>
        </w:rPr>
        <w:t>each</w:t>
      </w:r>
      <w:r>
        <w:rPr>
          <w:color w:val="0C5D86"/>
          <w:spacing w:val="-11"/>
          <w:sz w:val="16"/>
        </w:rPr>
        <w:t> </w:t>
      </w:r>
      <w:r>
        <w:rPr>
          <w:color w:val="0C5D86"/>
          <w:sz w:val="16"/>
        </w:rPr>
        <w:t>category.</w:t>
      </w:r>
    </w:p>
    <w:p>
      <w:pPr>
        <w:pStyle w:val="BodyText"/>
        <w:rPr>
          <w:sz w:val="16"/>
        </w:rPr>
      </w:pPr>
    </w:p>
    <w:p>
      <w:pPr>
        <w:pStyle w:val="BodyText"/>
        <w:rPr>
          <w:sz w:val="16"/>
        </w:rPr>
      </w:pPr>
    </w:p>
    <w:p>
      <w:pPr>
        <w:pStyle w:val="BodyText"/>
        <w:spacing w:before="108"/>
        <w:rPr>
          <w:sz w:val="16"/>
        </w:rPr>
      </w:pPr>
    </w:p>
    <w:p>
      <w:pPr>
        <w:spacing w:before="1"/>
        <w:ind w:left="0" w:right="0" w:firstLine="0"/>
        <w:jc w:val="left"/>
        <w:rPr>
          <w:b/>
          <w:sz w:val="26"/>
        </w:rPr>
      </w:pPr>
      <w:r>
        <w:rPr>
          <w:position w:val="-4"/>
        </w:rPr>
        <w:drawing>
          <wp:inline distT="0" distB="0" distL="0" distR="0">
            <wp:extent cx="568172" cy="184683"/>
            <wp:effectExtent l="0" t="0" r="0" b="0"/>
            <wp:docPr id="551" name="Image 551"/>
            <wp:cNvGraphicFramePr>
              <a:graphicFrameLocks/>
            </wp:cNvGraphicFramePr>
            <a:graphic>
              <a:graphicData uri="http://schemas.openxmlformats.org/drawingml/2006/picture">
                <pic:pic>
                  <pic:nvPicPr>
                    <pic:cNvPr id="551" name="Image 551"/>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80"/>
          <w:w w:val="105"/>
          <w:sz w:val="20"/>
        </w:rPr>
        <w:t> </w:t>
      </w:r>
      <w:r>
        <w:rPr>
          <w:b/>
          <w:color w:val="939598"/>
          <w:w w:val="105"/>
          <w:sz w:val="26"/>
        </w:rPr>
        <w:t>39</w:t>
      </w:r>
    </w:p>
    <w:p>
      <w:pPr>
        <w:pStyle w:val="Heading6"/>
        <w:spacing w:before="133"/>
        <w:ind w:left="0"/>
      </w:pPr>
      <w:r>
        <w:rPr>
          <w:b w:val="0"/>
        </w:rPr>
        <w:br w:type="column"/>
      </w:r>
      <w:r>
        <w:rPr>
          <w:color w:val="105C84"/>
          <w:spacing w:val="-8"/>
        </w:rPr>
        <w:t>Behavioral Risk Factors</w:t>
      </w:r>
    </w:p>
    <w:p>
      <w:pPr>
        <w:pStyle w:val="BodyText"/>
        <w:spacing w:line="247" w:lineRule="auto" w:before="269"/>
        <w:ind w:right="459"/>
      </w:pPr>
      <w:r>
        <w:rPr>
          <w:color w:val="105C84"/>
        </w:rPr>
        <w:t>Approximately one in three adults in Chemung County are obese. The disease affects an estimated 20,000 adults and 625 children, and a higher percentage of the low income population (45%) and those living with a disability (49%).</w:t>
      </w:r>
      <w:r>
        <w:rPr>
          <w:color w:val="105C84"/>
          <w:position w:val="7"/>
          <w:sz w:val="13"/>
        </w:rPr>
        <w:t>15</w:t>
      </w:r>
      <w:r>
        <w:rPr>
          <w:color w:val="105C84"/>
          <w:spacing w:val="40"/>
          <w:position w:val="7"/>
          <w:sz w:val="13"/>
        </w:rPr>
        <w:t> </w:t>
      </w:r>
      <w:r>
        <w:rPr>
          <w:color w:val="105C84"/>
        </w:rPr>
        <w:t>Long-term health complications associated with obesity include increased risk for development of diabetes and hypertension and premature mortality due to related</w:t>
      </w:r>
      <w:r>
        <w:rPr>
          <w:color w:val="105C84"/>
          <w:spacing w:val="80"/>
          <w:w w:val="150"/>
        </w:rPr>
        <w:t> </w:t>
      </w:r>
      <w:r>
        <w:rPr>
          <w:color w:val="105C84"/>
        </w:rPr>
        <w:t>conditions.</w:t>
      </w:r>
      <w:r>
        <w:rPr>
          <w:color w:val="105C84"/>
          <w:position w:val="7"/>
          <w:sz w:val="13"/>
        </w:rPr>
        <w:t>16</w:t>
      </w:r>
      <w:r>
        <w:rPr>
          <w:color w:val="105C84"/>
          <w:spacing w:val="40"/>
          <w:position w:val="7"/>
          <w:sz w:val="13"/>
        </w:rPr>
        <w:t> </w:t>
      </w:r>
      <w:r>
        <w:rPr>
          <w:color w:val="105C84"/>
        </w:rPr>
        <w:t>Respondents to the </w:t>
      </w:r>
      <w:r>
        <w:rPr>
          <w:i/>
          <w:color w:val="105C84"/>
        </w:rPr>
        <w:t>My Health Story 2018 </w:t>
      </w:r>
      <w:r>
        <w:rPr>
          <w:color w:val="105C84"/>
        </w:rPr>
        <w:t>survey revealed 15% of Chemung County residents</w:t>
      </w:r>
      <w:r>
        <w:rPr>
          <w:color w:val="105C84"/>
          <w:spacing w:val="28"/>
        </w:rPr>
        <w:t> </w:t>
      </w:r>
      <w:r>
        <w:rPr>
          <w:color w:val="105C84"/>
        </w:rPr>
        <w:t>reported</w:t>
      </w:r>
      <w:r>
        <w:rPr>
          <w:color w:val="105C84"/>
          <w:spacing w:val="28"/>
        </w:rPr>
        <w:t> </w:t>
      </w:r>
      <w:r>
        <w:rPr>
          <w:color w:val="105C84"/>
        </w:rPr>
        <w:t>poor</w:t>
      </w:r>
      <w:r>
        <w:rPr>
          <w:color w:val="105C84"/>
          <w:spacing w:val="28"/>
        </w:rPr>
        <w:t> </w:t>
      </w:r>
      <w:r>
        <w:rPr>
          <w:color w:val="105C84"/>
        </w:rPr>
        <w:t>or</w:t>
      </w:r>
      <w:r>
        <w:rPr>
          <w:color w:val="105C84"/>
          <w:spacing w:val="28"/>
        </w:rPr>
        <w:t> </w:t>
      </w:r>
      <w:r>
        <w:rPr>
          <w:color w:val="105C84"/>
        </w:rPr>
        <w:t>fair</w:t>
      </w:r>
      <w:r>
        <w:rPr>
          <w:color w:val="105C84"/>
          <w:spacing w:val="28"/>
        </w:rPr>
        <w:t> </w:t>
      </w:r>
      <w:r>
        <w:rPr>
          <w:color w:val="105C84"/>
        </w:rPr>
        <w:t>general</w:t>
      </w:r>
      <w:r>
        <w:rPr>
          <w:color w:val="105C84"/>
          <w:spacing w:val="28"/>
        </w:rPr>
        <w:t> </w:t>
      </w:r>
      <w:r>
        <w:rPr>
          <w:color w:val="105C84"/>
        </w:rPr>
        <w:t>health</w:t>
      </w:r>
      <w:r>
        <w:rPr>
          <w:color w:val="105C84"/>
          <w:spacing w:val="28"/>
        </w:rPr>
        <w:t> </w:t>
      </w:r>
      <w:r>
        <w:rPr>
          <w:color w:val="105C84"/>
        </w:rPr>
        <w:t>and</w:t>
      </w:r>
      <w:r>
        <w:rPr>
          <w:color w:val="105C84"/>
          <w:spacing w:val="28"/>
        </w:rPr>
        <w:t> </w:t>
      </w:r>
      <w:r>
        <w:rPr>
          <w:color w:val="105C84"/>
        </w:rPr>
        <w:t>one</w:t>
      </w:r>
      <w:r>
        <w:rPr>
          <w:color w:val="105C84"/>
          <w:spacing w:val="28"/>
        </w:rPr>
        <w:t> </w:t>
      </w:r>
      <w:r>
        <w:rPr>
          <w:color w:val="105C84"/>
        </w:rPr>
        <w:t>in</w:t>
      </w:r>
      <w:r>
        <w:rPr>
          <w:color w:val="105C84"/>
          <w:spacing w:val="28"/>
        </w:rPr>
        <w:t> </w:t>
      </w:r>
      <w:r>
        <w:rPr>
          <w:color w:val="105C84"/>
        </w:rPr>
        <w:t>five</w:t>
      </w:r>
      <w:r>
        <w:rPr>
          <w:color w:val="105C84"/>
          <w:spacing w:val="28"/>
        </w:rPr>
        <w:t> </w:t>
      </w:r>
      <w:r>
        <w:rPr>
          <w:color w:val="105C84"/>
        </w:rPr>
        <w:t>reported</w:t>
      </w:r>
      <w:r>
        <w:rPr>
          <w:color w:val="105C84"/>
          <w:spacing w:val="28"/>
        </w:rPr>
        <w:t> </w:t>
      </w:r>
      <w:r>
        <w:rPr>
          <w:color w:val="105C84"/>
        </w:rPr>
        <w:t>poor</w:t>
      </w:r>
      <w:r>
        <w:rPr>
          <w:color w:val="105C84"/>
          <w:spacing w:val="28"/>
        </w:rPr>
        <w:t> </w:t>
      </w:r>
      <w:r>
        <w:rPr>
          <w:color w:val="105C84"/>
        </w:rPr>
        <w:t>or</w:t>
      </w:r>
      <w:r>
        <w:rPr>
          <w:color w:val="105C84"/>
          <w:spacing w:val="28"/>
        </w:rPr>
        <w:t> </w:t>
      </w:r>
      <w:r>
        <w:rPr>
          <w:color w:val="105C84"/>
        </w:rPr>
        <w:t>fair</w:t>
      </w:r>
      <w:r>
        <w:rPr>
          <w:color w:val="105C84"/>
          <w:spacing w:val="28"/>
        </w:rPr>
        <w:t> </w:t>
      </w:r>
      <w:r>
        <w:rPr>
          <w:color w:val="105C84"/>
        </w:rPr>
        <w:t>physical</w:t>
      </w:r>
      <w:r>
        <w:rPr>
          <w:color w:val="105C84"/>
          <w:spacing w:val="28"/>
        </w:rPr>
        <w:t> </w:t>
      </w:r>
      <w:r>
        <w:rPr>
          <w:color w:val="105C84"/>
        </w:rPr>
        <w:t>health.</w:t>
      </w:r>
    </w:p>
    <w:p>
      <w:pPr>
        <w:pStyle w:val="BodyText"/>
        <w:spacing w:line="247" w:lineRule="auto" w:before="177"/>
        <w:ind w:right="763"/>
        <w:rPr>
          <w:i/>
        </w:rPr>
      </w:pPr>
      <w:r>
        <w:rPr>
          <w:color w:val="105C84"/>
        </w:rPr>
        <w:t>Two contributing factors to poor health are poor diet and lack of physical activity. Data retrieved</w:t>
      </w:r>
      <w:r>
        <w:rPr>
          <w:color w:val="105C84"/>
          <w:spacing w:val="40"/>
        </w:rPr>
        <w:t> </w:t>
      </w:r>
      <w:r>
        <w:rPr>
          <w:color w:val="105C84"/>
        </w:rPr>
        <w:t>from the 2016 Behavioral Risk Factor Surveillance System estimates that only two out of five residents</w:t>
      </w:r>
      <w:r>
        <w:rPr>
          <w:color w:val="105C84"/>
          <w:spacing w:val="32"/>
        </w:rPr>
        <w:t> </w:t>
      </w:r>
      <w:r>
        <w:rPr>
          <w:color w:val="105C84"/>
        </w:rPr>
        <w:t>reported</w:t>
      </w:r>
      <w:r>
        <w:rPr>
          <w:color w:val="105C84"/>
          <w:spacing w:val="32"/>
        </w:rPr>
        <w:t> </w:t>
      </w:r>
      <w:r>
        <w:rPr>
          <w:color w:val="105C84"/>
        </w:rPr>
        <w:t>eating</w:t>
      </w:r>
      <w:r>
        <w:rPr>
          <w:color w:val="105C84"/>
          <w:spacing w:val="32"/>
        </w:rPr>
        <w:t> </w:t>
      </w:r>
      <w:r>
        <w:rPr>
          <w:color w:val="105C84"/>
        </w:rPr>
        <w:t>fruits</w:t>
      </w:r>
      <w:r>
        <w:rPr>
          <w:color w:val="105C84"/>
          <w:spacing w:val="32"/>
        </w:rPr>
        <w:t> </w:t>
      </w:r>
      <w:r>
        <w:rPr>
          <w:color w:val="105C84"/>
        </w:rPr>
        <w:t>and</w:t>
      </w:r>
      <w:r>
        <w:rPr>
          <w:color w:val="105C84"/>
          <w:spacing w:val="32"/>
        </w:rPr>
        <w:t> </w:t>
      </w:r>
      <w:r>
        <w:rPr>
          <w:color w:val="105C84"/>
        </w:rPr>
        <w:t>three</w:t>
      </w:r>
      <w:r>
        <w:rPr>
          <w:color w:val="105C84"/>
          <w:spacing w:val="32"/>
        </w:rPr>
        <w:t> </w:t>
      </w:r>
      <w:r>
        <w:rPr>
          <w:color w:val="105C84"/>
        </w:rPr>
        <w:t>out</w:t>
      </w:r>
      <w:r>
        <w:rPr>
          <w:color w:val="105C84"/>
          <w:spacing w:val="32"/>
        </w:rPr>
        <w:t> </w:t>
      </w:r>
      <w:r>
        <w:rPr>
          <w:color w:val="105C84"/>
        </w:rPr>
        <w:t>of</w:t>
      </w:r>
      <w:r>
        <w:rPr>
          <w:color w:val="105C84"/>
          <w:spacing w:val="32"/>
        </w:rPr>
        <w:t> </w:t>
      </w:r>
      <w:r>
        <w:rPr>
          <w:color w:val="105C84"/>
        </w:rPr>
        <w:t>five</w:t>
      </w:r>
      <w:r>
        <w:rPr>
          <w:color w:val="105C84"/>
          <w:spacing w:val="32"/>
        </w:rPr>
        <w:t> </w:t>
      </w:r>
      <w:r>
        <w:rPr>
          <w:color w:val="105C84"/>
        </w:rPr>
        <w:t>reported</w:t>
      </w:r>
      <w:r>
        <w:rPr>
          <w:color w:val="105C84"/>
          <w:spacing w:val="32"/>
        </w:rPr>
        <w:t> </w:t>
      </w:r>
      <w:r>
        <w:rPr>
          <w:color w:val="105C84"/>
        </w:rPr>
        <w:t>eating</w:t>
      </w:r>
      <w:r>
        <w:rPr>
          <w:color w:val="105C84"/>
          <w:spacing w:val="32"/>
        </w:rPr>
        <w:t> </w:t>
      </w:r>
      <w:r>
        <w:rPr>
          <w:color w:val="105C84"/>
        </w:rPr>
        <w:t>vegetables</w:t>
      </w:r>
      <w:r>
        <w:rPr>
          <w:color w:val="105C84"/>
          <w:spacing w:val="32"/>
        </w:rPr>
        <w:t> </w:t>
      </w:r>
      <w:r>
        <w:rPr>
          <w:color w:val="105C84"/>
        </w:rPr>
        <w:t>on</w:t>
      </w:r>
      <w:r>
        <w:rPr>
          <w:color w:val="105C84"/>
          <w:spacing w:val="32"/>
        </w:rPr>
        <w:t> </w:t>
      </w:r>
      <w:r>
        <w:rPr>
          <w:color w:val="105C84"/>
        </w:rPr>
        <w:t>a</w:t>
      </w:r>
      <w:r>
        <w:rPr>
          <w:color w:val="105C84"/>
          <w:spacing w:val="32"/>
        </w:rPr>
        <w:t> </w:t>
      </w:r>
      <w:r>
        <w:rPr>
          <w:color w:val="105C84"/>
        </w:rPr>
        <w:t>regular basis. Approximately one in three reported daily sugary drink consumption. </w:t>
      </w:r>
      <w:r>
        <w:rPr>
          <w:i/>
          <w:color w:val="105C84"/>
        </w:rPr>
        <w:t>My Health Story 2018</w:t>
      </w:r>
    </w:p>
    <w:p>
      <w:pPr>
        <w:pStyle w:val="BodyText"/>
        <w:spacing w:line="247" w:lineRule="auto"/>
        <w:ind w:right="175"/>
      </w:pPr>
      <w:r>
        <w:rPr>
          <w:color w:val="105C84"/>
        </w:rPr>
        <w:t>respondents were asked the biggest challenges or barriers keeping them from eating healthier. The biggest</w:t>
      </w:r>
      <w:r>
        <w:rPr>
          <w:color w:val="105C84"/>
          <w:spacing w:val="28"/>
        </w:rPr>
        <w:t> </w:t>
      </w:r>
      <w:r>
        <w:rPr>
          <w:color w:val="105C84"/>
        </w:rPr>
        <w:t>barrier</w:t>
      </w:r>
      <w:r>
        <w:rPr>
          <w:color w:val="105C84"/>
          <w:spacing w:val="28"/>
        </w:rPr>
        <w:t> </w:t>
      </w:r>
      <w:r>
        <w:rPr>
          <w:color w:val="105C84"/>
        </w:rPr>
        <w:t>to</w:t>
      </w:r>
      <w:r>
        <w:rPr>
          <w:color w:val="105C84"/>
          <w:spacing w:val="28"/>
        </w:rPr>
        <w:t> </w:t>
      </w:r>
      <w:r>
        <w:rPr>
          <w:color w:val="105C84"/>
        </w:rPr>
        <w:t>eating</w:t>
      </w:r>
      <w:r>
        <w:rPr>
          <w:color w:val="105C84"/>
          <w:spacing w:val="28"/>
        </w:rPr>
        <w:t> </w:t>
      </w:r>
      <w:r>
        <w:rPr>
          <w:color w:val="105C84"/>
        </w:rPr>
        <w:t>healthier,</w:t>
      </w:r>
      <w:r>
        <w:rPr>
          <w:color w:val="105C84"/>
          <w:spacing w:val="28"/>
        </w:rPr>
        <w:t> </w:t>
      </w:r>
      <w:r>
        <w:rPr>
          <w:color w:val="105C84"/>
        </w:rPr>
        <w:t>particularly</w:t>
      </w:r>
      <w:r>
        <w:rPr>
          <w:color w:val="105C84"/>
          <w:spacing w:val="28"/>
        </w:rPr>
        <w:t> </w:t>
      </w:r>
      <w:r>
        <w:rPr>
          <w:color w:val="105C84"/>
        </w:rPr>
        <w:t>for</w:t>
      </w:r>
      <w:r>
        <w:rPr>
          <w:color w:val="105C84"/>
          <w:spacing w:val="28"/>
        </w:rPr>
        <w:t> </w:t>
      </w:r>
      <w:r>
        <w:rPr>
          <w:color w:val="105C84"/>
        </w:rPr>
        <w:t>low</w:t>
      </w:r>
      <w:r>
        <w:rPr>
          <w:color w:val="105C84"/>
          <w:spacing w:val="28"/>
        </w:rPr>
        <w:t> </w:t>
      </w:r>
      <w:r>
        <w:rPr>
          <w:color w:val="105C84"/>
        </w:rPr>
        <w:t>income</w:t>
      </w:r>
      <w:r>
        <w:rPr>
          <w:color w:val="105C84"/>
          <w:spacing w:val="28"/>
        </w:rPr>
        <w:t> </w:t>
      </w:r>
      <w:r>
        <w:rPr>
          <w:color w:val="105C84"/>
        </w:rPr>
        <w:t>populations,</w:t>
      </w:r>
      <w:r>
        <w:rPr>
          <w:color w:val="105C84"/>
          <w:spacing w:val="28"/>
        </w:rPr>
        <w:t> </w:t>
      </w:r>
      <w:r>
        <w:rPr>
          <w:color w:val="105C84"/>
        </w:rPr>
        <w:t>is</w:t>
      </w:r>
      <w:r>
        <w:rPr>
          <w:color w:val="105C84"/>
          <w:spacing w:val="28"/>
        </w:rPr>
        <w:t> </w:t>
      </w:r>
      <w:r>
        <w:rPr>
          <w:color w:val="105C84"/>
        </w:rPr>
        <w:t>that</w:t>
      </w:r>
      <w:r>
        <w:rPr>
          <w:color w:val="105C84"/>
          <w:spacing w:val="28"/>
        </w:rPr>
        <w:t> </w:t>
      </w:r>
      <w:r>
        <w:rPr>
          <w:color w:val="105C84"/>
        </w:rPr>
        <w:t>healthy</w:t>
      </w:r>
      <w:r>
        <w:rPr>
          <w:color w:val="105C84"/>
          <w:spacing w:val="28"/>
        </w:rPr>
        <w:t> </w:t>
      </w:r>
      <w:r>
        <w:rPr>
          <w:color w:val="105C84"/>
        </w:rPr>
        <w:t>food</w:t>
      </w:r>
      <w:r>
        <w:rPr>
          <w:color w:val="105C84"/>
          <w:spacing w:val="28"/>
        </w:rPr>
        <w:t> </w:t>
      </w:r>
      <w:r>
        <w:rPr>
          <w:color w:val="105C84"/>
        </w:rPr>
        <w:t>is</w:t>
      </w:r>
      <w:r>
        <w:rPr>
          <w:color w:val="105C84"/>
          <w:spacing w:val="28"/>
        </w:rPr>
        <w:t> </w:t>
      </w:r>
      <w:r>
        <w:rPr>
          <w:color w:val="105C84"/>
        </w:rPr>
        <w:t>too expensive. Other issues which rose to the top were not enough time and lack of knowledge of how to</w:t>
      </w:r>
      <w:r>
        <w:rPr>
          <w:color w:val="105C84"/>
          <w:spacing w:val="40"/>
        </w:rPr>
        <w:t> </w:t>
      </w:r>
      <w:r>
        <w:rPr>
          <w:color w:val="105C84"/>
        </w:rPr>
        <w:t>shop for and prepare the food.</w:t>
      </w:r>
    </w:p>
    <w:p>
      <w:pPr>
        <w:pStyle w:val="BodyText"/>
        <w:spacing w:line="247" w:lineRule="auto" w:before="175"/>
        <w:ind w:right="459"/>
      </w:pPr>
      <w:r>
        <w:rPr>
          <w:color w:val="105C84"/>
        </w:rPr>
        <w:t>In</w:t>
      </w:r>
      <w:r>
        <w:rPr>
          <w:color w:val="105C84"/>
          <w:spacing w:val="23"/>
        </w:rPr>
        <w:t> </w:t>
      </w:r>
      <w:r>
        <w:rPr>
          <w:color w:val="105C84"/>
        </w:rPr>
        <w:t>Chemung</w:t>
      </w:r>
      <w:r>
        <w:rPr>
          <w:color w:val="105C84"/>
          <w:spacing w:val="23"/>
        </w:rPr>
        <w:t> </w:t>
      </w:r>
      <w:r>
        <w:rPr>
          <w:color w:val="105C84"/>
        </w:rPr>
        <w:t>County,</w:t>
      </w:r>
      <w:r>
        <w:rPr>
          <w:color w:val="105C84"/>
          <w:spacing w:val="23"/>
        </w:rPr>
        <w:t> </w:t>
      </w:r>
      <w:r>
        <w:rPr>
          <w:color w:val="105C84"/>
        </w:rPr>
        <w:t>77%</w:t>
      </w:r>
      <w:r>
        <w:rPr>
          <w:color w:val="105C84"/>
          <w:spacing w:val="23"/>
        </w:rPr>
        <w:t> </w:t>
      </w:r>
      <w:r>
        <w:rPr>
          <w:color w:val="105C84"/>
        </w:rPr>
        <w:t>of</w:t>
      </w:r>
      <w:r>
        <w:rPr>
          <w:color w:val="105C84"/>
          <w:spacing w:val="23"/>
        </w:rPr>
        <w:t> </w:t>
      </w:r>
      <w:r>
        <w:rPr>
          <w:color w:val="105C84"/>
        </w:rPr>
        <w:t>residents</w:t>
      </w:r>
      <w:r>
        <w:rPr>
          <w:color w:val="105C84"/>
          <w:spacing w:val="23"/>
        </w:rPr>
        <w:t> </w:t>
      </w:r>
      <w:r>
        <w:rPr>
          <w:color w:val="105C84"/>
        </w:rPr>
        <w:t>engaged</w:t>
      </w:r>
      <w:r>
        <w:rPr>
          <w:color w:val="105C84"/>
          <w:spacing w:val="23"/>
        </w:rPr>
        <w:t> </w:t>
      </w:r>
      <w:r>
        <w:rPr>
          <w:color w:val="105C84"/>
        </w:rPr>
        <w:t>in</w:t>
      </w:r>
      <w:r>
        <w:rPr>
          <w:color w:val="105C84"/>
          <w:spacing w:val="23"/>
        </w:rPr>
        <w:t> </w:t>
      </w:r>
      <w:r>
        <w:rPr>
          <w:color w:val="105C84"/>
        </w:rPr>
        <w:t>physical</w:t>
      </w:r>
      <w:r>
        <w:rPr>
          <w:color w:val="105C84"/>
          <w:spacing w:val="23"/>
        </w:rPr>
        <w:t> </w:t>
      </w:r>
      <w:r>
        <w:rPr>
          <w:color w:val="105C84"/>
        </w:rPr>
        <w:t>activity</w:t>
      </w:r>
      <w:r>
        <w:rPr>
          <w:color w:val="105C84"/>
          <w:spacing w:val="23"/>
        </w:rPr>
        <w:t> </w:t>
      </w:r>
      <w:r>
        <w:rPr>
          <w:color w:val="105C84"/>
        </w:rPr>
        <w:t>in</w:t>
      </w:r>
      <w:r>
        <w:rPr>
          <w:color w:val="105C84"/>
          <w:spacing w:val="23"/>
        </w:rPr>
        <w:t> </w:t>
      </w:r>
      <w:r>
        <w:rPr>
          <w:color w:val="105C84"/>
        </w:rPr>
        <w:t>the</w:t>
      </w:r>
      <w:r>
        <w:rPr>
          <w:color w:val="105C84"/>
          <w:spacing w:val="23"/>
        </w:rPr>
        <w:t> </w:t>
      </w:r>
      <w:r>
        <w:rPr>
          <w:color w:val="105C84"/>
        </w:rPr>
        <w:t>past</w:t>
      </w:r>
      <w:r>
        <w:rPr>
          <w:color w:val="105C84"/>
          <w:spacing w:val="23"/>
        </w:rPr>
        <w:t> </w:t>
      </w:r>
      <w:r>
        <w:rPr>
          <w:color w:val="105C84"/>
        </w:rPr>
        <w:t>month.</w:t>
      </w:r>
      <w:r>
        <w:rPr>
          <w:color w:val="105C84"/>
          <w:spacing w:val="23"/>
        </w:rPr>
        <w:t> </w:t>
      </w:r>
      <w:r>
        <w:rPr>
          <w:color w:val="105C84"/>
        </w:rPr>
        <w:t>According</w:t>
      </w:r>
      <w:r>
        <w:rPr>
          <w:color w:val="105C84"/>
          <w:spacing w:val="23"/>
        </w:rPr>
        <w:t> </w:t>
      </w:r>
      <w:r>
        <w:rPr>
          <w:color w:val="105C84"/>
        </w:rPr>
        <w:t>to </w:t>
      </w:r>
      <w:r>
        <w:rPr>
          <w:i/>
          <w:color w:val="105C84"/>
        </w:rPr>
        <w:t>My Health Story 2018 </w:t>
      </w:r>
      <w:r>
        <w:rPr>
          <w:color w:val="105C84"/>
        </w:rPr>
        <w:t>data, the main reason for not engaging in more physical activity are lack of time and</w:t>
      </w:r>
      <w:r>
        <w:rPr>
          <w:color w:val="105C84"/>
          <w:spacing w:val="39"/>
        </w:rPr>
        <w:t> </w:t>
      </w:r>
      <w:r>
        <w:rPr>
          <w:color w:val="105C84"/>
        </w:rPr>
        <w:t>feeling</w:t>
      </w:r>
      <w:r>
        <w:rPr>
          <w:color w:val="105C84"/>
          <w:spacing w:val="39"/>
        </w:rPr>
        <w:t> </w:t>
      </w:r>
      <w:r>
        <w:rPr>
          <w:color w:val="105C84"/>
        </w:rPr>
        <w:t>too</w:t>
      </w:r>
      <w:r>
        <w:rPr>
          <w:color w:val="105C84"/>
          <w:spacing w:val="39"/>
        </w:rPr>
        <w:t> </w:t>
      </w:r>
      <w:r>
        <w:rPr>
          <w:color w:val="105C84"/>
        </w:rPr>
        <w:t>tired</w:t>
      </w:r>
      <w:r>
        <w:rPr>
          <w:color w:val="105C84"/>
          <w:spacing w:val="39"/>
        </w:rPr>
        <w:t> </w:t>
      </w:r>
      <w:r>
        <w:rPr>
          <w:color w:val="105C84"/>
        </w:rPr>
        <w:t>to</w:t>
      </w:r>
      <w:r>
        <w:rPr>
          <w:color w:val="105C84"/>
          <w:spacing w:val="39"/>
        </w:rPr>
        <w:t> </w:t>
      </w:r>
      <w:r>
        <w:rPr>
          <w:color w:val="105C84"/>
        </w:rPr>
        <w:t>exercise.</w:t>
      </w:r>
      <w:r>
        <w:rPr>
          <w:color w:val="105C84"/>
          <w:spacing w:val="39"/>
        </w:rPr>
        <w:t> </w:t>
      </w:r>
      <w:r>
        <w:rPr>
          <w:color w:val="105C84"/>
        </w:rPr>
        <w:t>Of</w:t>
      </w:r>
      <w:r>
        <w:rPr>
          <w:color w:val="105C84"/>
          <w:spacing w:val="39"/>
        </w:rPr>
        <w:t> </w:t>
      </w:r>
      <w:r>
        <w:rPr>
          <w:color w:val="105C84"/>
        </w:rPr>
        <w:t>note,</w:t>
      </w:r>
      <w:r>
        <w:rPr>
          <w:color w:val="105C84"/>
          <w:spacing w:val="39"/>
        </w:rPr>
        <w:t> </w:t>
      </w:r>
      <w:r>
        <w:rPr>
          <w:color w:val="105C84"/>
        </w:rPr>
        <w:t>the</w:t>
      </w:r>
      <w:r>
        <w:rPr>
          <w:color w:val="105C84"/>
          <w:spacing w:val="39"/>
        </w:rPr>
        <w:t> </w:t>
      </w:r>
      <w:r>
        <w:rPr>
          <w:color w:val="105C84"/>
        </w:rPr>
        <w:t>low</w:t>
      </w:r>
      <w:r>
        <w:rPr>
          <w:color w:val="105C84"/>
          <w:spacing w:val="39"/>
        </w:rPr>
        <w:t> </w:t>
      </w:r>
      <w:r>
        <w:rPr>
          <w:color w:val="105C84"/>
        </w:rPr>
        <w:t>income</w:t>
      </w:r>
      <w:r>
        <w:rPr>
          <w:color w:val="105C84"/>
          <w:spacing w:val="39"/>
        </w:rPr>
        <w:t> </w:t>
      </w:r>
      <w:r>
        <w:rPr>
          <w:color w:val="105C84"/>
        </w:rPr>
        <w:t>population</w:t>
      </w:r>
      <w:r>
        <w:rPr>
          <w:color w:val="105C84"/>
          <w:spacing w:val="39"/>
        </w:rPr>
        <w:t> </w:t>
      </w:r>
      <w:r>
        <w:rPr>
          <w:color w:val="105C84"/>
        </w:rPr>
        <w:t>reported</w:t>
      </w:r>
      <w:r>
        <w:rPr>
          <w:color w:val="105C84"/>
          <w:spacing w:val="39"/>
        </w:rPr>
        <w:t> </w:t>
      </w:r>
      <w:r>
        <w:rPr>
          <w:color w:val="105C84"/>
        </w:rPr>
        <w:t>that</w:t>
      </w:r>
      <w:r>
        <w:rPr>
          <w:color w:val="105C84"/>
          <w:spacing w:val="39"/>
        </w:rPr>
        <w:t> </w:t>
      </w:r>
      <w:r>
        <w:rPr>
          <w:color w:val="105C84"/>
        </w:rPr>
        <w:t>their</w:t>
      </w:r>
      <w:r>
        <w:rPr>
          <w:color w:val="105C84"/>
          <w:spacing w:val="39"/>
        </w:rPr>
        <w:t> </w:t>
      </w:r>
      <w:r>
        <w:rPr>
          <w:color w:val="105C84"/>
        </w:rPr>
        <w:t>biggest barrier to being physically active is that they cannot afford a gym membership.</w:t>
      </w:r>
    </w:p>
    <w:p>
      <w:pPr>
        <w:pStyle w:val="BodyText"/>
        <w:spacing w:line="247" w:lineRule="auto" w:before="178"/>
        <w:ind w:right="557"/>
        <w:rPr>
          <w:position w:val="7"/>
          <w:sz w:val="13"/>
        </w:rPr>
      </w:pPr>
      <w:r>
        <w:rPr>
          <w:color w:val="105C84"/>
        </w:rPr>
        <w:t>Further evidence to support the priority area decisions are the rates of tobacco use in Chemung</w:t>
      </w:r>
      <w:r>
        <w:rPr>
          <w:color w:val="105C84"/>
          <w:spacing w:val="40"/>
        </w:rPr>
        <w:t> </w:t>
      </w:r>
      <w:r>
        <w:rPr>
          <w:color w:val="105C84"/>
        </w:rPr>
        <w:t>County. Rates of tobacco use among adults in the county are the highest in the eight-county region</w:t>
      </w:r>
      <w:r>
        <w:rPr>
          <w:color w:val="105C84"/>
          <w:spacing w:val="40"/>
        </w:rPr>
        <w:t> </w:t>
      </w:r>
      <w:r>
        <w:rPr>
          <w:color w:val="105C84"/>
        </w:rPr>
        <w:t>(26% of adults) and are particularly high among the low-income population (38%).</w:t>
      </w:r>
      <w:r>
        <w:rPr>
          <w:color w:val="105C84"/>
          <w:position w:val="7"/>
          <w:sz w:val="13"/>
        </w:rPr>
        <w:t>17</w:t>
      </w:r>
      <w:r>
        <w:rPr>
          <w:color w:val="105C84"/>
          <w:spacing w:val="32"/>
          <w:position w:val="7"/>
          <w:sz w:val="13"/>
        </w:rPr>
        <w:t> </w:t>
      </w:r>
      <w:r>
        <w:rPr>
          <w:color w:val="105C84"/>
        </w:rPr>
        <w:t>Reported use of e-cigarettes is also highest in Chemung County where 5% of adults report using e-cigarettes. It is important to note that e-cigarette use is frequently seen more often in youth and data are relatively</w:t>
      </w:r>
      <w:r>
        <w:rPr>
          <w:color w:val="105C84"/>
          <w:spacing w:val="80"/>
        </w:rPr>
        <w:t> </w:t>
      </w:r>
      <w:r>
        <w:rPr>
          <w:color w:val="105C84"/>
        </w:rPr>
        <w:t>new. In actuality, rates of use are likely much higher than 5%.</w:t>
      </w:r>
      <w:r>
        <w:rPr>
          <w:color w:val="105C84"/>
          <w:position w:val="7"/>
          <w:sz w:val="13"/>
        </w:rPr>
        <w:t>18</w:t>
      </w:r>
    </w:p>
    <w:p>
      <w:pPr>
        <w:pStyle w:val="BodyText"/>
        <w:spacing w:line="247" w:lineRule="auto" w:before="176"/>
        <w:ind w:right="459"/>
      </w:pPr>
      <w:r>
        <w:rPr>
          <w:color w:val="105C84"/>
        </w:rPr>
        <w:t>Of particular concern in Chemung County are the rates of reported tobacco use among pregnant</w:t>
      </w:r>
      <w:r>
        <w:rPr>
          <w:color w:val="105C84"/>
          <w:spacing w:val="80"/>
        </w:rPr>
        <w:t> </w:t>
      </w:r>
      <w:r>
        <w:rPr>
          <w:color w:val="105C84"/>
        </w:rPr>
        <w:t>women. Almost one in three pregnant women have reported smoking during pregnancy (Figure 20). Smoking during pregnancy poses significant risks to the baby’s health in the womb as exposure to smoke increases rates of premature birth, low birth weight, birth defects, and infant death. Rates of reported tobacco use are substantially higher than New York State and significantly higher than the Healthy People 2020 objective of less than 1.4%.</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0"/>
      </w:pPr>
    </w:p>
    <w:p>
      <w:pPr>
        <w:pStyle w:val="ListParagraph"/>
        <w:numPr>
          <w:ilvl w:val="0"/>
          <w:numId w:val="14"/>
        </w:numPr>
        <w:tabs>
          <w:tab w:pos="217" w:val="left" w:leader="none"/>
        </w:tabs>
        <w:spacing w:line="240" w:lineRule="auto" w:before="0" w:after="0"/>
        <w:ind w:left="0" w:right="2804" w:firstLine="0"/>
        <w:jc w:val="left"/>
        <w:rPr>
          <w:sz w:val="14"/>
        </w:rPr>
      </w:pPr>
      <w:r>
        <w:rPr>
          <w:color w:val="636466"/>
          <w:spacing w:val="-2"/>
          <w:sz w:val="14"/>
        </w:rPr>
        <w:t>Source: Behavioral Risk Factor Surveillance System 2016 and Student Weight Categorizing Reporting System 2016-2018.</w:t>
      </w:r>
      <w:r>
        <w:rPr>
          <w:color w:val="636466"/>
          <w:spacing w:val="40"/>
          <w:sz w:val="14"/>
        </w:rPr>
        <w:t> </w:t>
      </w:r>
      <w:r>
        <w:rPr>
          <w:color w:val="636466"/>
          <w:sz w:val="14"/>
        </w:rPr>
        <w:t>Note: low income data are unreliable due to large standard error.</w:t>
      </w:r>
    </w:p>
    <w:p>
      <w:pPr>
        <w:pStyle w:val="ListParagraph"/>
        <w:numPr>
          <w:ilvl w:val="0"/>
          <w:numId w:val="14"/>
        </w:numPr>
        <w:tabs>
          <w:tab w:pos="217" w:val="left" w:leader="none"/>
        </w:tabs>
        <w:spacing w:line="240" w:lineRule="auto" w:before="88" w:after="0"/>
        <w:ind w:left="217" w:right="0" w:hanging="217"/>
        <w:jc w:val="left"/>
        <w:rPr>
          <w:sz w:val="14"/>
        </w:rPr>
      </w:pPr>
      <w:r>
        <w:rPr>
          <w:color w:val="636466"/>
          <w:spacing w:val="-2"/>
          <w:sz w:val="14"/>
        </w:rPr>
        <w:t>Source:</w:t>
      </w:r>
      <w:r>
        <w:rPr>
          <w:color w:val="636466"/>
          <w:sz w:val="14"/>
        </w:rPr>
        <w:t> </w:t>
      </w:r>
      <w:r>
        <w:rPr>
          <w:color w:val="636466"/>
          <w:spacing w:val="-2"/>
          <w:sz w:val="14"/>
        </w:rPr>
        <w:t>Behavioral</w:t>
      </w:r>
      <w:r>
        <w:rPr>
          <w:color w:val="636466"/>
          <w:spacing w:val="1"/>
          <w:sz w:val="14"/>
        </w:rPr>
        <w:t> </w:t>
      </w:r>
      <w:r>
        <w:rPr>
          <w:color w:val="636466"/>
          <w:spacing w:val="-2"/>
          <w:sz w:val="14"/>
        </w:rPr>
        <w:t>Risk</w:t>
      </w:r>
      <w:r>
        <w:rPr>
          <w:color w:val="636466"/>
          <w:sz w:val="14"/>
        </w:rPr>
        <w:t> </w:t>
      </w:r>
      <w:r>
        <w:rPr>
          <w:color w:val="636466"/>
          <w:spacing w:val="-2"/>
          <w:sz w:val="14"/>
        </w:rPr>
        <w:t>Factor</w:t>
      </w:r>
      <w:r>
        <w:rPr>
          <w:color w:val="636466"/>
          <w:spacing w:val="1"/>
          <w:sz w:val="14"/>
        </w:rPr>
        <w:t> </w:t>
      </w:r>
      <w:r>
        <w:rPr>
          <w:color w:val="636466"/>
          <w:spacing w:val="-2"/>
          <w:sz w:val="14"/>
        </w:rPr>
        <w:t>Surveillance</w:t>
      </w:r>
      <w:r>
        <w:rPr>
          <w:color w:val="636466"/>
          <w:sz w:val="14"/>
        </w:rPr>
        <w:t> </w:t>
      </w:r>
      <w:r>
        <w:rPr>
          <w:color w:val="636466"/>
          <w:spacing w:val="-2"/>
          <w:sz w:val="14"/>
        </w:rPr>
        <w:t>System</w:t>
      </w:r>
      <w:r>
        <w:rPr>
          <w:color w:val="636466"/>
          <w:spacing w:val="1"/>
          <w:sz w:val="14"/>
        </w:rPr>
        <w:t> </w:t>
      </w:r>
      <w:r>
        <w:rPr>
          <w:color w:val="636466"/>
          <w:spacing w:val="-2"/>
          <w:sz w:val="14"/>
        </w:rPr>
        <w:t>2016</w:t>
      </w:r>
      <w:r>
        <w:rPr>
          <w:color w:val="636466"/>
          <w:sz w:val="14"/>
        </w:rPr>
        <w:t> </w:t>
      </w:r>
      <w:r>
        <w:rPr>
          <w:color w:val="636466"/>
          <w:spacing w:val="-2"/>
          <w:sz w:val="14"/>
        </w:rPr>
        <w:t>and</w:t>
      </w:r>
      <w:r>
        <w:rPr>
          <w:color w:val="636466"/>
          <w:spacing w:val="1"/>
          <w:sz w:val="14"/>
        </w:rPr>
        <w:t> </w:t>
      </w:r>
      <w:r>
        <w:rPr>
          <w:color w:val="636466"/>
          <w:spacing w:val="-2"/>
          <w:sz w:val="14"/>
        </w:rPr>
        <w:t>Student</w:t>
      </w:r>
      <w:r>
        <w:rPr>
          <w:color w:val="636466"/>
          <w:sz w:val="14"/>
        </w:rPr>
        <w:t> </w:t>
      </w:r>
      <w:r>
        <w:rPr>
          <w:color w:val="636466"/>
          <w:spacing w:val="-2"/>
          <w:sz w:val="14"/>
        </w:rPr>
        <w:t>Weight</w:t>
      </w:r>
      <w:r>
        <w:rPr>
          <w:color w:val="636466"/>
          <w:spacing w:val="1"/>
          <w:sz w:val="14"/>
        </w:rPr>
        <w:t> </w:t>
      </w:r>
      <w:r>
        <w:rPr>
          <w:color w:val="636466"/>
          <w:spacing w:val="-2"/>
          <w:sz w:val="14"/>
        </w:rPr>
        <w:t>Categorizing</w:t>
      </w:r>
      <w:r>
        <w:rPr>
          <w:color w:val="636466"/>
          <w:sz w:val="14"/>
        </w:rPr>
        <w:t> </w:t>
      </w:r>
      <w:r>
        <w:rPr>
          <w:color w:val="636466"/>
          <w:spacing w:val="-2"/>
          <w:sz w:val="14"/>
        </w:rPr>
        <w:t>Reporting</w:t>
      </w:r>
      <w:r>
        <w:rPr>
          <w:color w:val="636466"/>
          <w:spacing w:val="1"/>
          <w:sz w:val="14"/>
        </w:rPr>
        <w:t> </w:t>
      </w:r>
      <w:r>
        <w:rPr>
          <w:color w:val="636466"/>
          <w:spacing w:val="-2"/>
          <w:sz w:val="14"/>
        </w:rPr>
        <w:t>System</w:t>
      </w:r>
      <w:r>
        <w:rPr>
          <w:color w:val="636466"/>
          <w:sz w:val="14"/>
        </w:rPr>
        <w:t> </w:t>
      </w:r>
      <w:r>
        <w:rPr>
          <w:color w:val="636466"/>
          <w:spacing w:val="-2"/>
          <w:sz w:val="14"/>
        </w:rPr>
        <w:t>2016-</w:t>
      </w:r>
      <w:r>
        <w:rPr>
          <w:color w:val="636466"/>
          <w:spacing w:val="-4"/>
          <w:sz w:val="14"/>
        </w:rPr>
        <w:t>2018</w:t>
      </w:r>
    </w:p>
    <w:p>
      <w:pPr>
        <w:pStyle w:val="ListParagraph"/>
        <w:numPr>
          <w:ilvl w:val="0"/>
          <w:numId w:val="14"/>
        </w:numPr>
        <w:tabs>
          <w:tab w:pos="217" w:val="left" w:leader="none"/>
        </w:tabs>
        <w:spacing w:line="144" w:lineRule="exact" w:before="89" w:after="0"/>
        <w:ind w:left="217" w:right="0" w:hanging="217"/>
        <w:jc w:val="left"/>
        <w:rPr>
          <w:sz w:val="14"/>
        </w:rPr>
      </w:pPr>
      <w:r>
        <w:rPr>
          <w:color w:val="636466"/>
          <w:spacing w:val="-2"/>
          <w:sz w:val="14"/>
        </w:rPr>
        <w:t>Data</w:t>
      </w:r>
      <w:r>
        <w:rPr>
          <w:color w:val="636466"/>
          <w:spacing w:val="-1"/>
          <w:sz w:val="14"/>
        </w:rPr>
        <w:t> </w:t>
      </w:r>
      <w:r>
        <w:rPr>
          <w:color w:val="636466"/>
          <w:spacing w:val="-2"/>
          <w:sz w:val="14"/>
        </w:rPr>
        <w:t>are</w:t>
      </w:r>
      <w:r>
        <w:rPr>
          <w:color w:val="636466"/>
          <w:spacing w:val="-1"/>
          <w:sz w:val="14"/>
        </w:rPr>
        <w:t> </w:t>
      </w:r>
      <w:r>
        <w:rPr>
          <w:color w:val="636466"/>
          <w:spacing w:val="-2"/>
          <w:sz w:val="14"/>
        </w:rPr>
        <w:t>unreliable</w:t>
      </w:r>
      <w:r>
        <w:rPr>
          <w:color w:val="636466"/>
          <w:spacing w:val="-1"/>
          <w:sz w:val="14"/>
        </w:rPr>
        <w:t> </w:t>
      </w:r>
      <w:r>
        <w:rPr>
          <w:color w:val="636466"/>
          <w:spacing w:val="-2"/>
          <w:sz w:val="14"/>
        </w:rPr>
        <w:t>due</w:t>
      </w:r>
      <w:r>
        <w:rPr>
          <w:color w:val="636466"/>
          <w:sz w:val="14"/>
        </w:rPr>
        <w:t> </w:t>
      </w:r>
      <w:r>
        <w:rPr>
          <w:color w:val="636466"/>
          <w:spacing w:val="-2"/>
          <w:sz w:val="14"/>
        </w:rPr>
        <w:t>to</w:t>
      </w:r>
      <w:r>
        <w:rPr>
          <w:color w:val="636466"/>
          <w:spacing w:val="-1"/>
          <w:sz w:val="14"/>
        </w:rPr>
        <w:t> </w:t>
      </w:r>
      <w:r>
        <w:rPr>
          <w:color w:val="636466"/>
          <w:spacing w:val="-2"/>
          <w:sz w:val="14"/>
        </w:rPr>
        <w:t>large</w:t>
      </w:r>
      <w:r>
        <w:rPr>
          <w:color w:val="636466"/>
          <w:spacing w:val="-1"/>
          <w:sz w:val="14"/>
        </w:rPr>
        <w:t> </w:t>
      </w:r>
      <w:r>
        <w:rPr>
          <w:color w:val="636466"/>
          <w:spacing w:val="-2"/>
          <w:sz w:val="14"/>
        </w:rPr>
        <w:t>standard</w:t>
      </w:r>
      <w:r>
        <w:rPr>
          <w:color w:val="636466"/>
          <w:spacing w:val="-1"/>
          <w:sz w:val="14"/>
        </w:rPr>
        <w:t> </w:t>
      </w:r>
      <w:r>
        <w:rPr>
          <w:color w:val="636466"/>
          <w:spacing w:val="-2"/>
          <w:sz w:val="14"/>
        </w:rPr>
        <w:t>error.</w:t>
      </w:r>
      <w:r>
        <w:rPr>
          <w:color w:val="636466"/>
          <w:sz w:val="14"/>
        </w:rPr>
        <w:t> </w:t>
      </w:r>
      <w:r>
        <w:rPr>
          <w:color w:val="636466"/>
          <w:spacing w:val="-2"/>
          <w:sz w:val="14"/>
        </w:rPr>
        <w:t>Source:</w:t>
      </w:r>
      <w:r>
        <w:rPr>
          <w:color w:val="636466"/>
          <w:spacing w:val="-1"/>
          <w:sz w:val="14"/>
        </w:rPr>
        <w:t> </w:t>
      </w:r>
      <w:r>
        <w:rPr>
          <w:color w:val="636466"/>
          <w:spacing w:val="-2"/>
          <w:sz w:val="14"/>
        </w:rPr>
        <w:t>Behavioral</w:t>
      </w:r>
      <w:r>
        <w:rPr>
          <w:color w:val="636466"/>
          <w:spacing w:val="-1"/>
          <w:sz w:val="14"/>
        </w:rPr>
        <w:t> </w:t>
      </w:r>
      <w:r>
        <w:rPr>
          <w:color w:val="636466"/>
          <w:spacing w:val="-2"/>
          <w:sz w:val="14"/>
        </w:rPr>
        <w:t>Risk</w:t>
      </w:r>
      <w:r>
        <w:rPr>
          <w:color w:val="636466"/>
          <w:spacing w:val="-1"/>
          <w:sz w:val="14"/>
        </w:rPr>
        <w:t> </w:t>
      </w:r>
      <w:r>
        <w:rPr>
          <w:color w:val="636466"/>
          <w:spacing w:val="-2"/>
          <w:sz w:val="14"/>
        </w:rPr>
        <w:t>Factor</w:t>
      </w:r>
      <w:r>
        <w:rPr>
          <w:color w:val="636466"/>
          <w:sz w:val="14"/>
        </w:rPr>
        <w:t> </w:t>
      </w:r>
      <w:r>
        <w:rPr>
          <w:color w:val="636466"/>
          <w:spacing w:val="-2"/>
          <w:sz w:val="14"/>
        </w:rPr>
        <w:t>Surveillance</w:t>
      </w:r>
      <w:r>
        <w:rPr>
          <w:color w:val="636466"/>
          <w:spacing w:val="-1"/>
          <w:sz w:val="14"/>
        </w:rPr>
        <w:t> </w:t>
      </w:r>
      <w:r>
        <w:rPr>
          <w:color w:val="636466"/>
          <w:spacing w:val="-2"/>
          <w:sz w:val="14"/>
        </w:rPr>
        <w:t>System</w:t>
      </w:r>
      <w:r>
        <w:rPr>
          <w:color w:val="636466"/>
          <w:spacing w:val="-1"/>
          <w:sz w:val="14"/>
        </w:rPr>
        <w:t> </w:t>
      </w:r>
      <w:r>
        <w:rPr>
          <w:color w:val="636466"/>
          <w:spacing w:val="-2"/>
          <w:sz w:val="14"/>
        </w:rPr>
        <w:t>2013-2014.</w:t>
      </w:r>
    </w:p>
    <w:p>
      <w:pPr>
        <w:pStyle w:val="ListParagraph"/>
        <w:numPr>
          <w:ilvl w:val="0"/>
          <w:numId w:val="14"/>
        </w:numPr>
        <w:tabs>
          <w:tab w:pos="217" w:val="left" w:leader="none"/>
          <w:tab w:pos="10135" w:val="right" w:leader="none"/>
        </w:tabs>
        <w:spacing w:line="282" w:lineRule="exact" w:before="0" w:after="0"/>
        <w:ind w:left="217" w:right="0" w:hanging="217"/>
        <w:jc w:val="left"/>
        <w:rPr>
          <w:b/>
          <w:position w:val="1"/>
          <w:sz w:val="26"/>
        </w:rPr>
      </w:pPr>
      <w:r>
        <w:rPr>
          <w:color w:val="636466"/>
          <w:spacing w:val="-2"/>
          <w:sz w:val="14"/>
        </w:rPr>
        <w:t>Source:</w:t>
      </w:r>
      <w:r>
        <w:rPr>
          <w:color w:val="636466"/>
          <w:spacing w:val="-8"/>
          <w:sz w:val="14"/>
        </w:rPr>
        <w:t> </w:t>
      </w:r>
      <w:r>
        <w:rPr>
          <w:color w:val="636466"/>
          <w:spacing w:val="-2"/>
          <w:sz w:val="14"/>
        </w:rPr>
        <w:t>Behavioral</w:t>
      </w:r>
      <w:r>
        <w:rPr>
          <w:color w:val="636466"/>
          <w:spacing w:val="-7"/>
          <w:sz w:val="14"/>
        </w:rPr>
        <w:t> </w:t>
      </w:r>
      <w:r>
        <w:rPr>
          <w:color w:val="636466"/>
          <w:spacing w:val="-2"/>
          <w:sz w:val="14"/>
        </w:rPr>
        <w:t>Risk</w:t>
      </w:r>
      <w:r>
        <w:rPr>
          <w:color w:val="636466"/>
          <w:spacing w:val="-7"/>
          <w:sz w:val="14"/>
        </w:rPr>
        <w:t> </w:t>
      </w:r>
      <w:r>
        <w:rPr>
          <w:color w:val="636466"/>
          <w:spacing w:val="-2"/>
          <w:sz w:val="14"/>
        </w:rPr>
        <w:t>Factor</w:t>
      </w:r>
      <w:r>
        <w:rPr>
          <w:color w:val="636466"/>
          <w:spacing w:val="-7"/>
          <w:sz w:val="14"/>
        </w:rPr>
        <w:t> </w:t>
      </w:r>
      <w:r>
        <w:rPr>
          <w:color w:val="636466"/>
          <w:spacing w:val="-2"/>
          <w:sz w:val="14"/>
        </w:rPr>
        <w:t>Surveillance</w:t>
      </w:r>
      <w:r>
        <w:rPr>
          <w:color w:val="636466"/>
          <w:spacing w:val="-7"/>
          <w:sz w:val="14"/>
        </w:rPr>
        <w:t> </w:t>
      </w:r>
      <w:r>
        <w:rPr>
          <w:color w:val="636466"/>
          <w:spacing w:val="-2"/>
          <w:sz w:val="14"/>
        </w:rPr>
        <w:t>System</w:t>
      </w:r>
      <w:r>
        <w:rPr>
          <w:color w:val="636466"/>
          <w:spacing w:val="-7"/>
          <w:sz w:val="14"/>
        </w:rPr>
        <w:t> </w:t>
      </w:r>
      <w:r>
        <w:rPr>
          <w:color w:val="636466"/>
          <w:spacing w:val="-2"/>
          <w:sz w:val="14"/>
        </w:rPr>
        <w:t>2016.</w:t>
      </w:r>
      <w:r>
        <w:rPr>
          <w:rFonts w:ascii="Times New Roman"/>
          <w:color w:val="636466"/>
          <w:sz w:val="14"/>
        </w:rPr>
        <w:tab/>
      </w:r>
      <w:r>
        <w:rPr>
          <w:b/>
          <w:color w:val="939598"/>
          <w:spacing w:val="-5"/>
          <w:position w:val="1"/>
          <w:sz w:val="26"/>
        </w:rPr>
        <w:t>40</w:t>
      </w:r>
    </w:p>
    <w:p>
      <w:pPr>
        <w:pStyle w:val="ListParagraph"/>
        <w:spacing w:after="0" w:line="282" w:lineRule="exact"/>
        <w:jc w:val="left"/>
        <w:rPr>
          <w:b/>
          <w:position w:val="1"/>
          <w:sz w:val="26"/>
        </w:rPr>
        <w:sectPr>
          <w:type w:val="continuous"/>
          <w:pgSz w:w="24480" w:h="15840" w:orient="landscape"/>
          <w:pgMar w:header="0" w:footer="0" w:top="0" w:bottom="280" w:left="0" w:right="720"/>
          <w:cols w:num="2" w:equalWidth="0">
            <w:col w:w="11339" w:space="1981"/>
            <w:col w:w="10440"/>
          </w:cols>
        </w:sectPr>
      </w:pPr>
    </w:p>
    <w:p>
      <w:pPr>
        <w:pStyle w:val="BodyText"/>
        <w:spacing w:before="293"/>
        <w:rPr>
          <w:b/>
          <w:sz w:val="26"/>
        </w:rPr>
      </w:pPr>
    </w:p>
    <w:p>
      <w:pPr>
        <w:pStyle w:val="Heading6"/>
      </w:pPr>
      <w:r>
        <w:rPr>
          <w:color w:val="105C84"/>
          <w:spacing w:val="-2"/>
        </w:rPr>
        <w:t>FIGURE</w:t>
      </w:r>
      <w:r>
        <w:rPr>
          <w:color w:val="105C84"/>
          <w:spacing w:val="-10"/>
        </w:rPr>
        <w:t> </w:t>
      </w:r>
      <w:r>
        <w:rPr>
          <w:color w:val="105C84"/>
          <w:spacing w:val="-2"/>
        </w:rPr>
        <w:t>20:</w:t>
      </w:r>
      <w:r>
        <w:rPr>
          <w:color w:val="105C84"/>
          <w:spacing w:val="-9"/>
        </w:rPr>
        <w:t> </w:t>
      </w:r>
      <w:r>
        <w:rPr>
          <w:color w:val="105C84"/>
          <w:spacing w:val="-2"/>
        </w:rPr>
        <w:t>Percent</w:t>
      </w:r>
      <w:r>
        <w:rPr>
          <w:color w:val="105C84"/>
          <w:spacing w:val="-9"/>
        </w:rPr>
        <w:t> </w:t>
      </w:r>
      <w:r>
        <w:rPr>
          <w:color w:val="105C84"/>
          <w:spacing w:val="-2"/>
        </w:rPr>
        <w:t>of</w:t>
      </w:r>
      <w:r>
        <w:rPr>
          <w:color w:val="105C84"/>
          <w:spacing w:val="-9"/>
        </w:rPr>
        <w:t> </w:t>
      </w:r>
      <w:r>
        <w:rPr>
          <w:color w:val="105C84"/>
          <w:spacing w:val="-2"/>
        </w:rPr>
        <w:t>births</w:t>
      </w:r>
      <w:r>
        <w:rPr>
          <w:color w:val="105C84"/>
          <w:spacing w:val="-9"/>
        </w:rPr>
        <w:t> </w:t>
      </w:r>
      <w:r>
        <w:rPr>
          <w:color w:val="105C84"/>
          <w:spacing w:val="-2"/>
        </w:rPr>
        <w:t>with</w:t>
      </w:r>
      <w:r>
        <w:rPr>
          <w:color w:val="105C84"/>
          <w:spacing w:val="-9"/>
        </w:rPr>
        <w:t> </w:t>
      </w:r>
      <w:r>
        <w:rPr>
          <w:color w:val="105C84"/>
          <w:spacing w:val="-2"/>
        </w:rPr>
        <w:t>reported</w:t>
      </w:r>
      <w:r>
        <w:rPr>
          <w:color w:val="105C84"/>
          <w:spacing w:val="-9"/>
        </w:rPr>
        <w:t> </w:t>
      </w:r>
      <w:r>
        <w:rPr>
          <w:color w:val="105C84"/>
          <w:spacing w:val="-2"/>
        </w:rPr>
        <w:t>tobacco</w:t>
      </w:r>
      <w:r>
        <w:rPr>
          <w:color w:val="105C84"/>
          <w:spacing w:val="-9"/>
        </w:rPr>
        <w:t> </w:t>
      </w:r>
      <w:r>
        <w:rPr>
          <w:color w:val="105C84"/>
          <w:spacing w:val="-2"/>
        </w:rPr>
        <w:t>use</w:t>
      </w:r>
      <w:r>
        <w:rPr>
          <w:color w:val="105C84"/>
          <w:spacing w:val="-9"/>
        </w:rPr>
        <w:t> </w:t>
      </w:r>
      <w:r>
        <w:rPr>
          <w:color w:val="105C84"/>
          <w:spacing w:val="-2"/>
        </w:rPr>
        <w:t>during</w:t>
      </w:r>
      <w:r>
        <w:rPr>
          <w:color w:val="105C84"/>
          <w:spacing w:val="-9"/>
        </w:rPr>
        <w:t> </w:t>
      </w:r>
      <w:r>
        <w:rPr>
          <w:color w:val="105C84"/>
          <w:spacing w:val="-2"/>
        </w:rPr>
        <w:t>pregnancy</w:t>
      </w:r>
    </w:p>
    <w:p>
      <w:pPr>
        <w:pStyle w:val="BodyText"/>
        <w:spacing w:before="230"/>
        <w:rPr>
          <w:b/>
          <w:sz w:val="26"/>
        </w:rPr>
      </w:pPr>
    </w:p>
    <w:p>
      <w:pPr>
        <w:spacing w:before="0"/>
        <w:ind w:left="1432" w:right="0" w:firstLine="0"/>
        <w:jc w:val="left"/>
        <w:rPr>
          <w:sz w:val="16"/>
        </w:rPr>
      </w:pPr>
      <w:r>
        <w:rPr>
          <w:sz w:val="16"/>
        </w:rPr>
        <mc:AlternateContent>
          <mc:Choice Requires="wps">
            <w:drawing>
              <wp:anchor distT="0" distB="0" distL="0" distR="0" allowOverlap="1" layoutInCell="1" locked="0" behindDoc="0" simplePos="0" relativeHeight="15781888">
                <wp:simplePos x="0" y="0"/>
                <wp:positionH relativeFrom="page">
                  <wp:posOffset>1178736</wp:posOffset>
                </wp:positionH>
                <wp:positionV relativeFrom="paragraph">
                  <wp:posOffset>2194</wp:posOffset>
                </wp:positionV>
                <wp:extent cx="4505325" cy="2102485"/>
                <wp:effectExtent l="0" t="0" r="0" b="0"/>
                <wp:wrapNone/>
                <wp:docPr id="552" name="Group 552"/>
                <wp:cNvGraphicFramePr>
                  <a:graphicFrameLocks/>
                </wp:cNvGraphicFramePr>
                <a:graphic>
                  <a:graphicData uri="http://schemas.microsoft.com/office/word/2010/wordprocessingGroup">
                    <wpg:wgp>
                      <wpg:cNvPr id="552" name="Group 552"/>
                      <wpg:cNvGrpSpPr/>
                      <wpg:grpSpPr>
                        <a:xfrm>
                          <a:off x="0" y="0"/>
                          <a:ext cx="4505325" cy="2102485"/>
                          <a:chExt cx="4505325" cy="2102485"/>
                        </a:xfrm>
                      </wpg:grpSpPr>
                      <wps:wsp>
                        <wps:cNvPr id="553" name="Graphic 553"/>
                        <wps:cNvSpPr/>
                        <wps:spPr>
                          <a:xfrm>
                            <a:off x="290069" y="302640"/>
                            <a:ext cx="3838575" cy="1791970"/>
                          </a:xfrm>
                          <a:custGeom>
                            <a:avLst/>
                            <a:gdLst/>
                            <a:ahLst/>
                            <a:cxnLst/>
                            <a:rect l="l" t="t" r="r" b="b"/>
                            <a:pathLst>
                              <a:path w="3838575" h="1791970">
                                <a:moveTo>
                                  <a:pt x="272859" y="154622"/>
                                </a:moveTo>
                                <a:lnTo>
                                  <a:pt x="0" y="154622"/>
                                </a:lnTo>
                                <a:lnTo>
                                  <a:pt x="0" y="1791754"/>
                                </a:lnTo>
                                <a:lnTo>
                                  <a:pt x="272859" y="1791754"/>
                                </a:lnTo>
                                <a:lnTo>
                                  <a:pt x="272859" y="154622"/>
                                </a:lnTo>
                                <a:close/>
                              </a:path>
                              <a:path w="3838575" h="1791970">
                                <a:moveTo>
                                  <a:pt x="1455216" y="0"/>
                                </a:moveTo>
                                <a:lnTo>
                                  <a:pt x="1191450" y="0"/>
                                </a:lnTo>
                                <a:lnTo>
                                  <a:pt x="1191450" y="1791741"/>
                                </a:lnTo>
                                <a:lnTo>
                                  <a:pt x="1455216" y="1791741"/>
                                </a:lnTo>
                                <a:lnTo>
                                  <a:pt x="1455216" y="0"/>
                                </a:lnTo>
                                <a:close/>
                              </a:path>
                              <a:path w="3838575" h="1791970">
                                <a:moveTo>
                                  <a:pt x="2646680" y="263766"/>
                                </a:moveTo>
                                <a:lnTo>
                                  <a:pt x="2382913" y="263766"/>
                                </a:lnTo>
                                <a:lnTo>
                                  <a:pt x="2382913" y="1791741"/>
                                </a:lnTo>
                                <a:lnTo>
                                  <a:pt x="2646680" y="1791741"/>
                                </a:lnTo>
                                <a:lnTo>
                                  <a:pt x="2646680" y="263766"/>
                                </a:lnTo>
                                <a:close/>
                              </a:path>
                              <a:path w="3838575" h="1791970">
                                <a:moveTo>
                                  <a:pt x="3838143" y="281952"/>
                                </a:moveTo>
                                <a:lnTo>
                                  <a:pt x="3574377" y="281952"/>
                                </a:lnTo>
                                <a:lnTo>
                                  <a:pt x="3574377" y="1791741"/>
                                </a:lnTo>
                                <a:lnTo>
                                  <a:pt x="3838143" y="1791741"/>
                                </a:lnTo>
                                <a:lnTo>
                                  <a:pt x="3838143" y="281952"/>
                                </a:lnTo>
                                <a:close/>
                              </a:path>
                            </a:pathLst>
                          </a:custGeom>
                          <a:solidFill>
                            <a:srgbClr val="105C84"/>
                          </a:solidFill>
                        </wps:spPr>
                        <wps:bodyPr wrap="square" lIns="0" tIns="0" rIns="0" bIns="0" rtlCol="0">
                          <a:prstTxWarp prst="textNoShape">
                            <a:avLst/>
                          </a:prstTxWarp>
                          <a:noAutofit/>
                        </wps:bodyPr>
                      </wps:wsp>
                      <wps:wsp>
                        <wps:cNvPr id="554" name="Graphic 554"/>
                        <wps:cNvSpPr/>
                        <wps:spPr>
                          <a:xfrm>
                            <a:off x="626581" y="1721485"/>
                            <a:ext cx="273050" cy="373380"/>
                          </a:xfrm>
                          <a:custGeom>
                            <a:avLst/>
                            <a:gdLst/>
                            <a:ahLst/>
                            <a:cxnLst/>
                            <a:rect l="l" t="t" r="r" b="b"/>
                            <a:pathLst>
                              <a:path w="273050" h="373380">
                                <a:moveTo>
                                  <a:pt x="272859" y="0"/>
                                </a:moveTo>
                                <a:lnTo>
                                  <a:pt x="0" y="0"/>
                                </a:lnTo>
                                <a:lnTo>
                                  <a:pt x="0" y="372897"/>
                                </a:lnTo>
                                <a:lnTo>
                                  <a:pt x="272859" y="372897"/>
                                </a:lnTo>
                                <a:lnTo>
                                  <a:pt x="272859" y="0"/>
                                </a:lnTo>
                                <a:close/>
                              </a:path>
                            </a:pathLst>
                          </a:custGeom>
                          <a:solidFill>
                            <a:srgbClr val="B0D236"/>
                          </a:solidFill>
                        </wps:spPr>
                        <wps:bodyPr wrap="square" lIns="0" tIns="0" rIns="0" bIns="0" rtlCol="0">
                          <a:prstTxWarp prst="textNoShape">
                            <a:avLst/>
                          </a:prstTxWarp>
                          <a:noAutofit/>
                        </wps:bodyPr>
                      </wps:wsp>
                      <wps:wsp>
                        <wps:cNvPr id="555" name="Graphic 555"/>
                        <wps:cNvSpPr/>
                        <wps:spPr>
                          <a:xfrm>
                            <a:off x="3568" y="45065"/>
                            <a:ext cx="4498340" cy="2054225"/>
                          </a:xfrm>
                          <a:custGeom>
                            <a:avLst/>
                            <a:gdLst/>
                            <a:ahLst/>
                            <a:cxnLst/>
                            <a:rect l="l" t="t" r="r" b="b"/>
                            <a:pathLst>
                              <a:path w="4498340" h="2054225">
                                <a:moveTo>
                                  <a:pt x="4497946" y="2053856"/>
                                </a:moveTo>
                                <a:lnTo>
                                  <a:pt x="0" y="2053856"/>
                                </a:lnTo>
                                <a:lnTo>
                                  <a:pt x="0" y="0"/>
                                </a:lnTo>
                              </a:path>
                            </a:pathLst>
                          </a:custGeom>
                          <a:ln w="7137">
                            <a:solidFill>
                              <a:srgbClr val="939598"/>
                            </a:solidFill>
                            <a:prstDash val="solid"/>
                          </a:ln>
                        </wps:spPr>
                        <wps:bodyPr wrap="square" lIns="0" tIns="0" rIns="0" bIns="0" rtlCol="0">
                          <a:prstTxWarp prst="textNoShape">
                            <a:avLst/>
                          </a:prstTxWarp>
                          <a:noAutofit/>
                        </wps:bodyPr>
                      </wps:wsp>
                      <wps:wsp>
                        <wps:cNvPr id="556" name="Graphic 556"/>
                        <wps:cNvSpPr/>
                        <wps:spPr>
                          <a:xfrm>
                            <a:off x="3108046" y="32207"/>
                            <a:ext cx="67945" cy="67945"/>
                          </a:xfrm>
                          <a:custGeom>
                            <a:avLst/>
                            <a:gdLst/>
                            <a:ahLst/>
                            <a:cxnLst/>
                            <a:rect l="l" t="t" r="r" b="b"/>
                            <a:pathLst>
                              <a:path w="67945" h="67945">
                                <a:moveTo>
                                  <a:pt x="67881" y="0"/>
                                </a:moveTo>
                                <a:lnTo>
                                  <a:pt x="0" y="0"/>
                                </a:lnTo>
                                <a:lnTo>
                                  <a:pt x="0" y="67881"/>
                                </a:lnTo>
                                <a:lnTo>
                                  <a:pt x="67881" y="67881"/>
                                </a:lnTo>
                                <a:lnTo>
                                  <a:pt x="67881" y="0"/>
                                </a:lnTo>
                                <a:close/>
                              </a:path>
                            </a:pathLst>
                          </a:custGeom>
                          <a:solidFill>
                            <a:srgbClr val="105C84"/>
                          </a:solidFill>
                        </wps:spPr>
                        <wps:bodyPr wrap="square" lIns="0" tIns="0" rIns="0" bIns="0" rtlCol="0">
                          <a:prstTxWarp prst="textNoShape">
                            <a:avLst/>
                          </a:prstTxWarp>
                          <a:noAutofit/>
                        </wps:bodyPr>
                      </wps:wsp>
                      <wps:wsp>
                        <wps:cNvPr id="557" name="Graphic 557"/>
                        <wps:cNvSpPr/>
                        <wps:spPr>
                          <a:xfrm>
                            <a:off x="4116312" y="32207"/>
                            <a:ext cx="67945" cy="67945"/>
                          </a:xfrm>
                          <a:custGeom>
                            <a:avLst/>
                            <a:gdLst/>
                            <a:ahLst/>
                            <a:cxnLst/>
                            <a:rect l="l" t="t" r="r" b="b"/>
                            <a:pathLst>
                              <a:path w="67945" h="67945">
                                <a:moveTo>
                                  <a:pt x="67881" y="0"/>
                                </a:moveTo>
                                <a:lnTo>
                                  <a:pt x="0" y="0"/>
                                </a:lnTo>
                                <a:lnTo>
                                  <a:pt x="0" y="67881"/>
                                </a:lnTo>
                                <a:lnTo>
                                  <a:pt x="67881" y="67881"/>
                                </a:lnTo>
                                <a:lnTo>
                                  <a:pt x="67881" y="0"/>
                                </a:lnTo>
                                <a:close/>
                              </a:path>
                            </a:pathLst>
                          </a:custGeom>
                          <a:solidFill>
                            <a:srgbClr val="B0D236"/>
                          </a:solidFill>
                        </wps:spPr>
                        <wps:bodyPr wrap="square" lIns="0" tIns="0" rIns="0" bIns="0" rtlCol="0">
                          <a:prstTxWarp prst="textNoShape">
                            <a:avLst/>
                          </a:prstTxWarp>
                          <a:noAutofit/>
                        </wps:bodyPr>
                      </wps:wsp>
                      <wps:wsp>
                        <wps:cNvPr id="558" name="Textbox 558"/>
                        <wps:cNvSpPr txBox="1"/>
                        <wps:spPr>
                          <a:xfrm>
                            <a:off x="3200862" y="0"/>
                            <a:ext cx="1218565" cy="139065"/>
                          </a:xfrm>
                          <a:prstGeom prst="rect">
                            <a:avLst/>
                          </a:prstGeom>
                        </wps:spPr>
                        <wps:txbx>
                          <w:txbxContent>
                            <w:p>
                              <w:pPr>
                                <w:tabs>
                                  <w:tab w:pos="1593" w:val="left" w:leader="none"/>
                                </w:tabs>
                                <w:spacing w:before="10"/>
                                <w:ind w:left="0" w:right="0" w:firstLine="0"/>
                                <w:jc w:val="left"/>
                                <w:rPr>
                                  <w:sz w:val="16"/>
                                </w:rPr>
                              </w:pPr>
                              <w:r>
                                <w:rPr>
                                  <w:color w:val="636466"/>
                                  <w:sz w:val="16"/>
                                </w:rPr>
                                <w:t>Chemung</w:t>
                              </w:r>
                              <w:r>
                                <w:rPr>
                                  <w:color w:val="636466"/>
                                  <w:spacing w:val="3"/>
                                  <w:sz w:val="16"/>
                                </w:rPr>
                                <w:t> </w:t>
                              </w:r>
                              <w:r>
                                <w:rPr>
                                  <w:color w:val="636466"/>
                                  <w:spacing w:val="-2"/>
                                  <w:sz w:val="16"/>
                                </w:rPr>
                                <w:t>County</w:t>
                              </w:r>
                              <w:r>
                                <w:rPr>
                                  <w:color w:val="636466"/>
                                  <w:sz w:val="16"/>
                                </w:rPr>
                                <w:tab/>
                              </w:r>
                              <w:r>
                                <w:rPr>
                                  <w:color w:val="636466"/>
                                  <w:spacing w:val="-6"/>
                                  <w:sz w:val="16"/>
                                </w:rPr>
                                <w:t>NYS</w:t>
                              </w:r>
                            </w:p>
                          </w:txbxContent>
                        </wps:txbx>
                        <wps:bodyPr wrap="square" lIns="0" tIns="0" rIns="0" bIns="0" rtlCol="0">
                          <a:noAutofit/>
                        </wps:bodyPr>
                      </wps:wsp>
                      <wps:wsp>
                        <wps:cNvPr id="559" name="Textbox 559"/>
                        <wps:cNvSpPr txBox="1"/>
                        <wps:spPr>
                          <a:xfrm>
                            <a:off x="1519241" y="137413"/>
                            <a:ext cx="201295" cy="139065"/>
                          </a:xfrm>
                          <a:prstGeom prst="rect">
                            <a:avLst/>
                          </a:prstGeom>
                        </wps:spPr>
                        <wps:txbx>
                          <w:txbxContent>
                            <w:p>
                              <w:pPr>
                                <w:spacing w:before="10"/>
                                <w:ind w:left="0" w:right="0" w:firstLine="0"/>
                                <w:jc w:val="left"/>
                                <w:rPr>
                                  <w:sz w:val="16"/>
                                </w:rPr>
                              </w:pPr>
                              <w:r>
                                <w:rPr>
                                  <w:color w:val="636466"/>
                                  <w:spacing w:val="-6"/>
                                  <w:sz w:val="16"/>
                                </w:rPr>
                                <w:t>35%</w:t>
                              </w:r>
                            </w:p>
                          </w:txbxContent>
                        </wps:txbx>
                        <wps:bodyPr wrap="square" lIns="0" tIns="0" rIns="0" bIns="0" rtlCol="0">
                          <a:noAutofit/>
                        </wps:bodyPr>
                      </wps:wsp>
                      <wps:wsp>
                        <wps:cNvPr id="560" name="Textbox 560"/>
                        <wps:cNvSpPr txBox="1"/>
                        <wps:spPr>
                          <a:xfrm>
                            <a:off x="329606" y="301091"/>
                            <a:ext cx="201295" cy="139065"/>
                          </a:xfrm>
                          <a:prstGeom prst="rect">
                            <a:avLst/>
                          </a:prstGeom>
                        </wps:spPr>
                        <wps:txbx>
                          <w:txbxContent>
                            <w:p>
                              <w:pPr>
                                <w:spacing w:before="10"/>
                                <w:ind w:left="0" w:right="0" w:firstLine="0"/>
                                <w:jc w:val="left"/>
                                <w:rPr>
                                  <w:sz w:val="16"/>
                                </w:rPr>
                              </w:pPr>
                              <w:r>
                                <w:rPr>
                                  <w:color w:val="636466"/>
                                  <w:spacing w:val="-6"/>
                                  <w:sz w:val="16"/>
                                </w:rPr>
                                <w:t>32%</w:t>
                              </w:r>
                            </w:p>
                          </w:txbxContent>
                        </wps:txbx>
                        <wps:bodyPr wrap="square" lIns="0" tIns="0" rIns="0" bIns="0" rtlCol="0">
                          <a:noAutofit/>
                        </wps:bodyPr>
                      </wps:wsp>
                      <wps:wsp>
                        <wps:cNvPr id="561" name="Textbox 561"/>
                        <wps:cNvSpPr txBox="1"/>
                        <wps:spPr>
                          <a:xfrm>
                            <a:off x="2708875" y="410311"/>
                            <a:ext cx="201295" cy="139065"/>
                          </a:xfrm>
                          <a:prstGeom prst="rect">
                            <a:avLst/>
                          </a:prstGeom>
                        </wps:spPr>
                        <wps:txbx>
                          <w:txbxContent>
                            <w:p>
                              <w:pPr>
                                <w:spacing w:before="10"/>
                                <w:ind w:left="0" w:right="0" w:firstLine="0"/>
                                <w:jc w:val="left"/>
                                <w:rPr>
                                  <w:sz w:val="16"/>
                                </w:rPr>
                              </w:pPr>
                              <w:r>
                                <w:rPr>
                                  <w:color w:val="636466"/>
                                  <w:spacing w:val="-6"/>
                                  <w:sz w:val="16"/>
                                </w:rPr>
                                <w:t>30%</w:t>
                              </w:r>
                            </w:p>
                          </w:txbxContent>
                        </wps:txbx>
                        <wps:bodyPr wrap="square" lIns="0" tIns="0" rIns="0" bIns="0" rtlCol="0">
                          <a:noAutofit/>
                        </wps:bodyPr>
                      </wps:wsp>
                      <wps:wsp>
                        <wps:cNvPr id="562" name="Textbox 562"/>
                        <wps:cNvSpPr txBox="1"/>
                        <wps:spPr>
                          <a:xfrm>
                            <a:off x="3898510" y="419455"/>
                            <a:ext cx="201295" cy="139065"/>
                          </a:xfrm>
                          <a:prstGeom prst="rect">
                            <a:avLst/>
                          </a:prstGeom>
                        </wps:spPr>
                        <wps:txbx>
                          <w:txbxContent>
                            <w:p>
                              <w:pPr>
                                <w:spacing w:before="10"/>
                                <w:ind w:left="0" w:right="0" w:firstLine="0"/>
                                <w:jc w:val="left"/>
                                <w:rPr>
                                  <w:sz w:val="16"/>
                                </w:rPr>
                              </w:pPr>
                              <w:r>
                                <w:rPr>
                                  <w:color w:val="636466"/>
                                  <w:spacing w:val="-6"/>
                                  <w:sz w:val="16"/>
                                </w:rPr>
                                <w:t>30%</w:t>
                              </w:r>
                            </w:p>
                          </w:txbxContent>
                        </wps:txbx>
                        <wps:bodyPr wrap="square" lIns="0" tIns="0" rIns="0" bIns="0" rtlCol="0">
                          <a:noAutofit/>
                        </wps:bodyPr>
                      </wps:wsp>
                      <wps:wsp>
                        <wps:cNvPr id="563" name="Textbox 563"/>
                        <wps:cNvSpPr txBox="1"/>
                        <wps:spPr>
                          <a:xfrm>
                            <a:off x="694350" y="1565402"/>
                            <a:ext cx="148590" cy="139065"/>
                          </a:xfrm>
                          <a:prstGeom prst="rect">
                            <a:avLst/>
                          </a:prstGeom>
                        </wps:spPr>
                        <wps:txbx>
                          <w:txbxContent>
                            <w:p>
                              <w:pPr>
                                <w:spacing w:before="10"/>
                                <w:ind w:left="0" w:right="0" w:firstLine="0"/>
                                <w:jc w:val="left"/>
                                <w:rPr>
                                  <w:sz w:val="16"/>
                                </w:rPr>
                              </w:pPr>
                              <w:r>
                                <w:rPr>
                                  <w:color w:val="636466"/>
                                  <w:spacing w:val="-5"/>
                                  <w:sz w:val="16"/>
                                </w:rPr>
                                <w:t>7%</w:t>
                              </w:r>
                            </w:p>
                          </w:txbxContent>
                        </wps:txbx>
                        <wps:bodyPr wrap="square" lIns="0" tIns="0" rIns="0" bIns="0" rtlCol="0">
                          <a:noAutofit/>
                        </wps:bodyPr>
                      </wps:wsp>
                    </wpg:wgp>
                  </a:graphicData>
                </a:graphic>
              </wp:anchor>
            </w:drawing>
          </mc:Choice>
          <mc:Fallback>
            <w:pict>
              <v:group style="position:absolute;margin-left:92.813904pt;margin-top:.172809pt;width:354.75pt;height:165.55pt;mso-position-horizontal-relative:page;mso-position-vertical-relative:paragraph;z-index:15781888" id="docshapegroup488" coordorigin="1856,3" coordsize="7095,3311">
                <v:shape style="position:absolute;left:2313;top:480;width:6045;height:2822" id="docshape489" coordorigin="2313,480" coordsize="6045,2822" path="m2743,724l2313,724,2313,3302,2743,3302,2743,724xm4605,480l4189,480,4189,3302,4605,3302,4605,480xm6481,895l6066,895,6066,3302,6481,3302,6481,895xm8357,924l7942,924,7942,3302,8357,3302,8357,924xe" filled="true" fillcolor="#105c84" stroked="false">
                  <v:path arrowok="t"/>
                  <v:fill type="solid"/>
                </v:shape>
                <v:rect style="position:absolute;left:2843;top:2714;width:430;height:588" id="docshape490" filled="true" fillcolor="#b0d236" stroked="false">
                  <v:fill type="solid"/>
                </v:rect>
                <v:shape style="position:absolute;left:1861;top:74;width:7084;height:3235" id="docshape491" coordorigin="1862,74" coordsize="7084,3235" path="m8945,3309l1862,3309,1862,74e" filled="false" stroked="true" strokeweight=".562pt" strokecolor="#939598">
                  <v:path arrowok="t"/>
                  <v:stroke dashstyle="solid"/>
                </v:shape>
                <v:rect style="position:absolute;left:6750;top:54;width:107;height:107" id="docshape492" filled="true" fillcolor="#105c84" stroked="false">
                  <v:fill type="solid"/>
                </v:rect>
                <v:rect style="position:absolute;left:8338;top:54;width:107;height:107" id="docshape493" filled="true" fillcolor="#b0d236" stroked="false">
                  <v:fill type="solid"/>
                </v:rect>
                <v:shape style="position:absolute;left:6897;top:3;width:1919;height:219" type="#_x0000_t202" id="docshape494" filled="false" stroked="false">
                  <v:textbox inset="0,0,0,0">
                    <w:txbxContent>
                      <w:p>
                        <w:pPr>
                          <w:tabs>
                            <w:tab w:pos="1593" w:val="left" w:leader="none"/>
                          </w:tabs>
                          <w:spacing w:before="10"/>
                          <w:ind w:left="0" w:right="0" w:firstLine="0"/>
                          <w:jc w:val="left"/>
                          <w:rPr>
                            <w:sz w:val="16"/>
                          </w:rPr>
                        </w:pPr>
                        <w:r>
                          <w:rPr>
                            <w:color w:val="636466"/>
                            <w:sz w:val="16"/>
                          </w:rPr>
                          <w:t>Chemung</w:t>
                        </w:r>
                        <w:r>
                          <w:rPr>
                            <w:color w:val="636466"/>
                            <w:spacing w:val="3"/>
                            <w:sz w:val="16"/>
                          </w:rPr>
                          <w:t> </w:t>
                        </w:r>
                        <w:r>
                          <w:rPr>
                            <w:color w:val="636466"/>
                            <w:spacing w:val="-2"/>
                            <w:sz w:val="16"/>
                          </w:rPr>
                          <w:t>County</w:t>
                        </w:r>
                        <w:r>
                          <w:rPr>
                            <w:color w:val="636466"/>
                            <w:sz w:val="16"/>
                          </w:rPr>
                          <w:tab/>
                        </w:r>
                        <w:r>
                          <w:rPr>
                            <w:color w:val="636466"/>
                            <w:spacing w:val="-6"/>
                            <w:sz w:val="16"/>
                          </w:rPr>
                          <w:t>NYS</w:t>
                        </w:r>
                      </w:p>
                    </w:txbxContent>
                  </v:textbox>
                  <w10:wrap type="none"/>
                </v:shape>
                <v:shape style="position:absolute;left:4248;top:219;width:317;height:219" type="#_x0000_t202" id="docshape495" filled="false" stroked="false">
                  <v:textbox inset="0,0,0,0">
                    <w:txbxContent>
                      <w:p>
                        <w:pPr>
                          <w:spacing w:before="10"/>
                          <w:ind w:left="0" w:right="0" w:firstLine="0"/>
                          <w:jc w:val="left"/>
                          <w:rPr>
                            <w:sz w:val="16"/>
                          </w:rPr>
                        </w:pPr>
                        <w:r>
                          <w:rPr>
                            <w:color w:val="636466"/>
                            <w:spacing w:val="-6"/>
                            <w:sz w:val="16"/>
                          </w:rPr>
                          <w:t>35%</w:t>
                        </w:r>
                      </w:p>
                    </w:txbxContent>
                  </v:textbox>
                  <w10:wrap type="none"/>
                </v:shape>
                <v:shape style="position:absolute;left:2375;top:477;width:317;height:219" type="#_x0000_t202" id="docshape496" filled="false" stroked="false">
                  <v:textbox inset="0,0,0,0">
                    <w:txbxContent>
                      <w:p>
                        <w:pPr>
                          <w:spacing w:before="10"/>
                          <w:ind w:left="0" w:right="0" w:firstLine="0"/>
                          <w:jc w:val="left"/>
                          <w:rPr>
                            <w:sz w:val="16"/>
                          </w:rPr>
                        </w:pPr>
                        <w:r>
                          <w:rPr>
                            <w:color w:val="636466"/>
                            <w:spacing w:val="-6"/>
                            <w:sz w:val="16"/>
                          </w:rPr>
                          <w:t>32%</w:t>
                        </w:r>
                      </w:p>
                    </w:txbxContent>
                  </v:textbox>
                  <w10:wrap type="none"/>
                </v:shape>
                <v:shape style="position:absolute;left:6122;top:649;width:317;height:219" type="#_x0000_t202" id="docshape497" filled="false" stroked="false">
                  <v:textbox inset="0,0,0,0">
                    <w:txbxContent>
                      <w:p>
                        <w:pPr>
                          <w:spacing w:before="10"/>
                          <w:ind w:left="0" w:right="0" w:firstLine="0"/>
                          <w:jc w:val="left"/>
                          <w:rPr>
                            <w:sz w:val="16"/>
                          </w:rPr>
                        </w:pPr>
                        <w:r>
                          <w:rPr>
                            <w:color w:val="636466"/>
                            <w:spacing w:val="-6"/>
                            <w:sz w:val="16"/>
                          </w:rPr>
                          <w:t>30%</w:t>
                        </w:r>
                      </w:p>
                    </w:txbxContent>
                  </v:textbox>
                  <w10:wrap type="none"/>
                </v:shape>
                <v:shape style="position:absolute;left:7995;top:664;width:317;height:219" type="#_x0000_t202" id="docshape498" filled="false" stroked="false">
                  <v:textbox inset="0,0,0,0">
                    <w:txbxContent>
                      <w:p>
                        <w:pPr>
                          <w:spacing w:before="10"/>
                          <w:ind w:left="0" w:right="0" w:firstLine="0"/>
                          <w:jc w:val="left"/>
                          <w:rPr>
                            <w:sz w:val="16"/>
                          </w:rPr>
                        </w:pPr>
                        <w:r>
                          <w:rPr>
                            <w:color w:val="636466"/>
                            <w:spacing w:val="-6"/>
                            <w:sz w:val="16"/>
                          </w:rPr>
                          <w:t>30%</w:t>
                        </w:r>
                      </w:p>
                    </w:txbxContent>
                  </v:textbox>
                  <w10:wrap type="none"/>
                </v:shape>
                <v:shape style="position:absolute;left:2949;top:2468;width:234;height:219" type="#_x0000_t202" id="docshape499" filled="false" stroked="false">
                  <v:textbox inset="0,0,0,0">
                    <w:txbxContent>
                      <w:p>
                        <w:pPr>
                          <w:spacing w:before="10"/>
                          <w:ind w:left="0" w:right="0" w:firstLine="0"/>
                          <w:jc w:val="left"/>
                          <w:rPr>
                            <w:sz w:val="16"/>
                          </w:rPr>
                        </w:pPr>
                        <w:r>
                          <w:rPr>
                            <w:color w:val="636466"/>
                            <w:spacing w:val="-5"/>
                            <w:sz w:val="16"/>
                          </w:rPr>
                          <w:t>7%</w:t>
                        </w:r>
                      </w:p>
                    </w:txbxContent>
                  </v:textbox>
                  <w10:wrap type="none"/>
                </v:shape>
                <w10:wrap type="none"/>
              </v:group>
            </w:pict>
          </mc:Fallback>
        </mc:AlternateContent>
      </w:r>
      <w:r>
        <w:rPr>
          <w:color w:val="636466"/>
          <w:spacing w:val="-5"/>
          <w:sz w:val="16"/>
        </w:rPr>
        <w:t>40%</w:t>
      </w:r>
    </w:p>
    <w:p>
      <w:pPr>
        <w:pStyle w:val="BodyText"/>
        <w:spacing w:before="33"/>
        <w:rPr>
          <w:sz w:val="16"/>
        </w:rPr>
      </w:pPr>
    </w:p>
    <w:p>
      <w:pPr>
        <w:spacing w:before="1"/>
        <w:ind w:left="1432" w:right="0" w:firstLine="0"/>
        <w:jc w:val="left"/>
        <w:rPr>
          <w:sz w:val="16"/>
        </w:rPr>
      </w:pPr>
      <w:r>
        <w:rPr>
          <w:color w:val="636466"/>
          <w:spacing w:val="-5"/>
          <w:sz w:val="16"/>
        </w:rPr>
        <w:t>35%</w:t>
      </w:r>
    </w:p>
    <w:p>
      <w:pPr>
        <w:pStyle w:val="BodyText"/>
        <w:spacing w:before="32"/>
        <w:rPr>
          <w:sz w:val="16"/>
        </w:rPr>
      </w:pPr>
    </w:p>
    <w:p>
      <w:pPr>
        <w:spacing w:before="1"/>
        <w:ind w:left="1432" w:right="0" w:firstLine="0"/>
        <w:jc w:val="left"/>
        <w:rPr>
          <w:sz w:val="16"/>
        </w:rPr>
      </w:pPr>
      <w:r>
        <w:rPr>
          <w:sz w:val="16"/>
        </w:rPr>
        <mc:AlternateContent>
          <mc:Choice Requires="wps">
            <w:drawing>
              <wp:anchor distT="0" distB="0" distL="0" distR="0" allowOverlap="1" layoutInCell="1" locked="0" behindDoc="0" simplePos="0" relativeHeight="15782400">
                <wp:simplePos x="0" y="0"/>
                <wp:positionH relativeFrom="page">
                  <wp:posOffset>684672</wp:posOffset>
                </wp:positionH>
                <wp:positionV relativeFrom="paragraph">
                  <wp:posOffset>161075</wp:posOffset>
                </wp:positionV>
                <wp:extent cx="164465" cy="767080"/>
                <wp:effectExtent l="0" t="0" r="0" b="0"/>
                <wp:wrapNone/>
                <wp:docPr id="564" name="Textbox 564"/>
                <wp:cNvGraphicFramePr>
                  <a:graphicFrameLocks/>
                </wp:cNvGraphicFramePr>
                <a:graphic>
                  <a:graphicData uri="http://schemas.microsoft.com/office/word/2010/wordprocessingShape">
                    <wps:wsp>
                      <wps:cNvPr id="564" name="Textbox 564"/>
                      <wps:cNvSpPr txBox="1"/>
                      <wps:spPr>
                        <a:xfrm>
                          <a:off x="0" y="0"/>
                          <a:ext cx="164465" cy="767080"/>
                        </a:xfrm>
                        <a:prstGeom prst="rect">
                          <a:avLst/>
                        </a:prstGeom>
                      </wps:spPr>
                      <wps:txbx>
                        <w:txbxContent>
                          <w:p>
                            <w:pPr>
                              <w:spacing w:before="30"/>
                              <w:ind w:left="20" w:right="0" w:firstLine="0"/>
                              <w:jc w:val="left"/>
                              <w:rPr>
                                <w:sz w:val="16"/>
                              </w:rPr>
                            </w:pPr>
                            <w:r>
                              <w:rPr>
                                <w:color w:val="105C84"/>
                                <w:sz w:val="16"/>
                              </w:rPr>
                              <w:t>Percent</w:t>
                            </w:r>
                            <w:r>
                              <w:rPr>
                                <w:color w:val="105C84"/>
                                <w:spacing w:val="-5"/>
                                <w:sz w:val="16"/>
                              </w:rPr>
                              <w:t> </w:t>
                            </w:r>
                            <w:r>
                              <w:rPr>
                                <w:color w:val="105C84"/>
                                <w:sz w:val="16"/>
                              </w:rPr>
                              <w:t>of</w:t>
                            </w:r>
                            <w:r>
                              <w:rPr>
                                <w:color w:val="105C84"/>
                                <w:spacing w:val="-5"/>
                                <w:sz w:val="16"/>
                              </w:rPr>
                              <w:t> </w:t>
                            </w:r>
                            <w:r>
                              <w:rPr>
                                <w:color w:val="105C84"/>
                                <w:spacing w:val="-2"/>
                                <w:sz w:val="16"/>
                              </w:rPr>
                              <w:t>births</w:t>
                            </w:r>
                          </w:p>
                        </w:txbxContent>
                      </wps:txbx>
                      <wps:bodyPr wrap="square" lIns="0" tIns="0" rIns="0" bIns="0" rtlCol="0" vert="vert270">
                        <a:noAutofit/>
                      </wps:bodyPr>
                    </wps:wsp>
                  </a:graphicData>
                </a:graphic>
              </wp:anchor>
            </w:drawing>
          </mc:Choice>
          <mc:Fallback>
            <w:pict>
              <v:shape style="position:absolute;margin-left:53.911201pt;margin-top:12.68313pt;width:12.95pt;height:60.4pt;mso-position-horizontal-relative:page;mso-position-vertical-relative:paragraph;z-index:15782400" type="#_x0000_t202" id="docshape500" filled="false" stroked="false">
                <v:textbox inset="0,0,0,0" style="layout-flow:vertical;mso-layout-flow-alt:bottom-to-top">
                  <w:txbxContent>
                    <w:p>
                      <w:pPr>
                        <w:spacing w:before="30"/>
                        <w:ind w:left="20" w:right="0" w:firstLine="0"/>
                        <w:jc w:val="left"/>
                        <w:rPr>
                          <w:sz w:val="16"/>
                        </w:rPr>
                      </w:pPr>
                      <w:r>
                        <w:rPr>
                          <w:color w:val="105C84"/>
                          <w:sz w:val="16"/>
                        </w:rPr>
                        <w:t>Percent</w:t>
                      </w:r>
                      <w:r>
                        <w:rPr>
                          <w:color w:val="105C84"/>
                          <w:spacing w:val="-5"/>
                          <w:sz w:val="16"/>
                        </w:rPr>
                        <w:t> </w:t>
                      </w:r>
                      <w:r>
                        <w:rPr>
                          <w:color w:val="105C84"/>
                          <w:sz w:val="16"/>
                        </w:rPr>
                        <w:t>of</w:t>
                      </w:r>
                      <w:r>
                        <w:rPr>
                          <w:color w:val="105C84"/>
                          <w:spacing w:val="-5"/>
                          <w:sz w:val="16"/>
                        </w:rPr>
                        <w:t> </w:t>
                      </w:r>
                      <w:r>
                        <w:rPr>
                          <w:color w:val="105C84"/>
                          <w:spacing w:val="-2"/>
                          <w:sz w:val="16"/>
                        </w:rPr>
                        <w:t>births</w:t>
                      </w:r>
                    </w:p>
                  </w:txbxContent>
                </v:textbox>
                <w10:wrap type="none"/>
              </v:shape>
            </w:pict>
          </mc:Fallback>
        </mc:AlternateContent>
      </w:r>
      <w:r>
        <w:rPr>
          <w:color w:val="636466"/>
          <w:spacing w:val="-5"/>
          <w:sz w:val="16"/>
        </w:rPr>
        <w:t>30%</w:t>
      </w:r>
    </w:p>
    <w:p>
      <w:pPr>
        <w:pStyle w:val="BodyText"/>
        <w:spacing w:before="32"/>
        <w:rPr>
          <w:sz w:val="16"/>
        </w:rPr>
      </w:pPr>
    </w:p>
    <w:p>
      <w:pPr>
        <w:spacing w:before="1"/>
        <w:ind w:left="1432" w:right="0" w:firstLine="0"/>
        <w:jc w:val="left"/>
        <w:rPr>
          <w:sz w:val="16"/>
        </w:rPr>
      </w:pPr>
      <w:r>
        <w:rPr>
          <w:color w:val="636466"/>
          <w:spacing w:val="-5"/>
          <w:sz w:val="16"/>
        </w:rPr>
        <w:t>25%</w:t>
      </w:r>
    </w:p>
    <w:p>
      <w:pPr>
        <w:pStyle w:val="BodyText"/>
        <w:spacing w:before="18"/>
        <w:rPr>
          <w:sz w:val="16"/>
        </w:rPr>
      </w:pPr>
    </w:p>
    <w:p>
      <w:pPr>
        <w:spacing w:before="0"/>
        <w:ind w:left="1432" w:right="0" w:firstLine="0"/>
        <w:jc w:val="left"/>
        <w:rPr>
          <w:sz w:val="16"/>
        </w:rPr>
      </w:pPr>
      <w:r>
        <w:rPr>
          <w:color w:val="636466"/>
          <w:spacing w:val="-5"/>
          <w:sz w:val="16"/>
        </w:rPr>
        <w:t>20%</w:t>
      </w:r>
    </w:p>
    <w:p>
      <w:pPr>
        <w:pStyle w:val="BodyText"/>
        <w:spacing w:before="33"/>
        <w:rPr>
          <w:sz w:val="16"/>
        </w:rPr>
      </w:pPr>
    </w:p>
    <w:p>
      <w:pPr>
        <w:spacing w:before="0"/>
        <w:ind w:left="1432" w:right="0" w:firstLine="0"/>
        <w:jc w:val="left"/>
        <w:rPr>
          <w:sz w:val="16"/>
        </w:rPr>
      </w:pPr>
      <w:r>
        <w:rPr>
          <w:color w:val="636466"/>
          <w:spacing w:val="-5"/>
          <w:sz w:val="16"/>
        </w:rPr>
        <w:t>15%</w:t>
      </w:r>
    </w:p>
    <w:p>
      <w:pPr>
        <w:pStyle w:val="BodyText"/>
        <w:spacing w:before="33"/>
        <w:rPr>
          <w:sz w:val="16"/>
        </w:rPr>
      </w:pPr>
    </w:p>
    <w:p>
      <w:pPr>
        <w:spacing w:before="1"/>
        <w:ind w:left="1432" w:right="0" w:firstLine="0"/>
        <w:jc w:val="left"/>
        <w:rPr>
          <w:sz w:val="16"/>
        </w:rPr>
      </w:pPr>
      <w:r>
        <w:rPr>
          <w:color w:val="636466"/>
          <w:spacing w:val="-5"/>
          <w:sz w:val="16"/>
        </w:rPr>
        <w:t>10%</w:t>
      </w:r>
    </w:p>
    <w:p>
      <w:pPr>
        <w:pStyle w:val="BodyText"/>
        <w:spacing w:before="33"/>
        <w:rPr>
          <w:sz w:val="16"/>
        </w:rPr>
      </w:pPr>
    </w:p>
    <w:p>
      <w:pPr>
        <w:spacing w:before="0"/>
        <w:ind w:left="1514" w:right="0" w:firstLine="0"/>
        <w:jc w:val="left"/>
        <w:rPr>
          <w:sz w:val="16"/>
        </w:rPr>
      </w:pPr>
      <w:r>
        <w:rPr>
          <w:color w:val="636466"/>
          <w:spacing w:val="-5"/>
          <w:sz w:val="16"/>
        </w:rPr>
        <w:t>5%</w:t>
      </w:r>
    </w:p>
    <w:p>
      <w:pPr>
        <w:pStyle w:val="BodyText"/>
        <w:spacing w:before="32"/>
        <w:rPr>
          <w:sz w:val="16"/>
        </w:rPr>
      </w:pPr>
    </w:p>
    <w:p>
      <w:pPr>
        <w:spacing w:line="178" w:lineRule="exact" w:before="1"/>
        <w:ind w:left="1514" w:right="0" w:firstLine="0"/>
        <w:jc w:val="left"/>
        <w:rPr>
          <w:sz w:val="16"/>
        </w:rPr>
      </w:pPr>
      <w:r>
        <w:rPr>
          <w:color w:val="636466"/>
          <w:spacing w:val="-5"/>
          <w:sz w:val="16"/>
        </w:rPr>
        <w:t>0%</w:t>
      </w:r>
    </w:p>
    <w:p>
      <w:pPr>
        <w:tabs>
          <w:tab w:pos="4220" w:val="left" w:leader="none"/>
          <w:tab w:pos="6089" w:val="left" w:leader="none"/>
          <w:tab w:pos="7985" w:val="left" w:leader="none"/>
        </w:tabs>
        <w:spacing w:line="178" w:lineRule="exact" w:before="0"/>
        <w:ind w:left="2629" w:right="0" w:firstLine="0"/>
        <w:jc w:val="left"/>
        <w:rPr>
          <w:sz w:val="16"/>
        </w:rPr>
      </w:pPr>
      <w:r>
        <w:rPr>
          <w:color w:val="636466"/>
          <w:spacing w:val="-4"/>
          <w:sz w:val="16"/>
        </w:rPr>
        <w:t>2015</w:t>
      </w:r>
      <w:r>
        <w:rPr>
          <w:color w:val="636466"/>
          <w:sz w:val="16"/>
        </w:rPr>
        <w:tab/>
      </w:r>
      <w:r>
        <w:rPr>
          <w:color w:val="636466"/>
          <w:spacing w:val="-2"/>
          <w:sz w:val="16"/>
        </w:rPr>
        <w:t>2016*</w:t>
      </w:r>
      <w:r>
        <w:rPr>
          <w:color w:val="636466"/>
          <w:sz w:val="16"/>
        </w:rPr>
        <w:tab/>
      </w:r>
      <w:r>
        <w:rPr>
          <w:color w:val="636466"/>
          <w:spacing w:val="-2"/>
          <w:sz w:val="16"/>
        </w:rPr>
        <w:t>2017*</w:t>
      </w:r>
      <w:r>
        <w:rPr>
          <w:color w:val="636466"/>
          <w:sz w:val="16"/>
        </w:rPr>
        <w:tab/>
      </w:r>
      <w:r>
        <w:rPr>
          <w:color w:val="636466"/>
          <w:spacing w:val="-2"/>
          <w:sz w:val="16"/>
        </w:rPr>
        <w:t>2018*</w:t>
      </w:r>
    </w:p>
    <w:p>
      <w:pPr>
        <w:pStyle w:val="BodyText"/>
        <w:spacing w:before="37"/>
        <w:rPr>
          <w:sz w:val="16"/>
        </w:rPr>
      </w:pPr>
    </w:p>
    <w:p>
      <w:pPr>
        <w:spacing w:before="0"/>
        <w:ind w:left="1856" w:right="0" w:firstLine="0"/>
        <w:jc w:val="left"/>
        <w:rPr>
          <w:sz w:val="16"/>
        </w:rPr>
      </w:pPr>
      <w:r>
        <w:rPr>
          <w:color w:val="105C84"/>
          <w:spacing w:val="-4"/>
          <w:sz w:val="16"/>
        </w:rPr>
        <w:t>Data</w:t>
      </w:r>
      <w:r>
        <w:rPr>
          <w:color w:val="105C84"/>
          <w:spacing w:val="-1"/>
          <w:sz w:val="16"/>
        </w:rPr>
        <w:t> </w:t>
      </w:r>
      <w:r>
        <w:rPr>
          <w:color w:val="105C84"/>
          <w:spacing w:val="-4"/>
          <w:sz w:val="16"/>
        </w:rPr>
        <w:t>Source:</w:t>
      </w:r>
      <w:r>
        <w:rPr>
          <w:color w:val="105C84"/>
          <w:sz w:val="16"/>
        </w:rPr>
        <w:t> </w:t>
      </w:r>
      <w:r>
        <w:rPr>
          <w:color w:val="105C84"/>
          <w:spacing w:val="-4"/>
          <w:sz w:val="16"/>
        </w:rPr>
        <w:t>NYS</w:t>
      </w:r>
      <w:r>
        <w:rPr>
          <w:color w:val="105C84"/>
          <w:spacing w:val="-1"/>
          <w:sz w:val="16"/>
        </w:rPr>
        <w:t> </w:t>
      </w:r>
      <w:r>
        <w:rPr>
          <w:color w:val="105C84"/>
          <w:spacing w:val="-4"/>
          <w:sz w:val="16"/>
        </w:rPr>
        <w:t>SPDS</w:t>
      </w:r>
      <w:r>
        <w:rPr>
          <w:color w:val="105C84"/>
          <w:sz w:val="16"/>
        </w:rPr>
        <w:t> </w:t>
      </w:r>
      <w:r>
        <w:rPr>
          <w:color w:val="105C84"/>
          <w:spacing w:val="-4"/>
          <w:sz w:val="16"/>
        </w:rPr>
        <w:t>Data</w:t>
      </w:r>
      <w:r>
        <w:rPr>
          <w:color w:val="105C84"/>
          <w:sz w:val="16"/>
        </w:rPr>
        <w:t> </w:t>
      </w:r>
      <w:r>
        <w:rPr>
          <w:color w:val="105C84"/>
          <w:spacing w:val="-4"/>
          <w:sz w:val="16"/>
        </w:rPr>
        <w:t>Child</w:t>
      </w:r>
      <w:r>
        <w:rPr>
          <w:color w:val="105C84"/>
          <w:spacing w:val="-1"/>
          <w:sz w:val="16"/>
        </w:rPr>
        <w:t> </w:t>
      </w:r>
      <w:r>
        <w:rPr>
          <w:color w:val="105C84"/>
          <w:spacing w:val="-4"/>
          <w:sz w:val="16"/>
        </w:rPr>
        <w:t>Abuse.</w:t>
      </w:r>
    </w:p>
    <w:p>
      <w:pPr>
        <w:spacing w:before="8"/>
        <w:ind w:left="1856" w:right="0" w:firstLine="0"/>
        <w:jc w:val="left"/>
        <w:rPr>
          <w:sz w:val="16"/>
        </w:rPr>
      </w:pPr>
      <w:r>
        <w:rPr>
          <w:color w:val="105C84"/>
          <w:sz w:val="16"/>
        </w:rPr>
        <w:t>*Preliminary</w:t>
      </w:r>
      <w:r>
        <w:rPr>
          <w:color w:val="105C84"/>
          <w:spacing w:val="-5"/>
          <w:sz w:val="16"/>
        </w:rPr>
        <w:t> </w:t>
      </w:r>
      <w:r>
        <w:rPr>
          <w:color w:val="105C84"/>
          <w:sz w:val="16"/>
        </w:rPr>
        <w:t>data.</w:t>
      </w:r>
      <w:r>
        <w:rPr>
          <w:color w:val="105C84"/>
          <w:spacing w:val="-4"/>
          <w:sz w:val="16"/>
        </w:rPr>
        <w:t> </w:t>
      </w:r>
      <w:r>
        <w:rPr>
          <w:color w:val="105C84"/>
          <w:sz w:val="16"/>
        </w:rPr>
        <w:t>Note</w:t>
      </w:r>
      <w:r>
        <w:rPr>
          <w:color w:val="105C84"/>
          <w:spacing w:val="-4"/>
          <w:sz w:val="16"/>
        </w:rPr>
        <w:t> </w:t>
      </w:r>
      <w:r>
        <w:rPr>
          <w:color w:val="105C84"/>
          <w:sz w:val="16"/>
        </w:rPr>
        <w:t>NYS</w:t>
      </w:r>
      <w:r>
        <w:rPr>
          <w:color w:val="105C84"/>
          <w:spacing w:val="-4"/>
          <w:sz w:val="16"/>
        </w:rPr>
        <w:t> </w:t>
      </w:r>
      <w:r>
        <w:rPr>
          <w:color w:val="105C84"/>
          <w:sz w:val="16"/>
        </w:rPr>
        <w:t>data</w:t>
      </w:r>
      <w:r>
        <w:rPr>
          <w:color w:val="105C84"/>
          <w:spacing w:val="-4"/>
          <w:sz w:val="16"/>
        </w:rPr>
        <w:t> </w:t>
      </w:r>
      <w:r>
        <w:rPr>
          <w:color w:val="105C84"/>
          <w:sz w:val="16"/>
        </w:rPr>
        <w:t>are</w:t>
      </w:r>
      <w:r>
        <w:rPr>
          <w:color w:val="105C84"/>
          <w:spacing w:val="-4"/>
          <w:sz w:val="16"/>
        </w:rPr>
        <w:t> </w:t>
      </w:r>
      <w:r>
        <w:rPr>
          <w:color w:val="105C84"/>
          <w:sz w:val="16"/>
        </w:rPr>
        <w:t>not</w:t>
      </w:r>
      <w:r>
        <w:rPr>
          <w:color w:val="105C84"/>
          <w:spacing w:val="-4"/>
          <w:sz w:val="16"/>
        </w:rPr>
        <w:t> </w:t>
      </w:r>
      <w:r>
        <w:rPr>
          <w:color w:val="105C84"/>
          <w:sz w:val="16"/>
        </w:rPr>
        <w:t>available</w:t>
      </w:r>
      <w:r>
        <w:rPr>
          <w:color w:val="105C84"/>
          <w:spacing w:val="-4"/>
          <w:sz w:val="16"/>
        </w:rPr>
        <w:t> </w:t>
      </w:r>
      <w:r>
        <w:rPr>
          <w:color w:val="105C84"/>
          <w:sz w:val="16"/>
        </w:rPr>
        <w:t>past</w:t>
      </w:r>
      <w:r>
        <w:rPr>
          <w:color w:val="105C84"/>
          <w:spacing w:val="-4"/>
          <w:sz w:val="16"/>
        </w:rPr>
        <w:t> </w:t>
      </w:r>
      <w:r>
        <w:rPr>
          <w:color w:val="105C84"/>
          <w:sz w:val="16"/>
        </w:rPr>
        <w:t>2015</w:t>
      </w:r>
      <w:r>
        <w:rPr>
          <w:color w:val="105C84"/>
          <w:spacing w:val="-4"/>
          <w:sz w:val="16"/>
        </w:rPr>
        <w:t> </w:t>
      </w:r>
      <w:r>
        <w:rPr>
          <w:color w:val="105C84"/>
          <w:sz w:val="16"/>
        </w:rPr>
        <w:t>at</w:t>
      </w:r>
      <w:r>
        <w:rPr>
          <w:color w:val="105C84"/>
          <w:spacing w:val="-4"/>
          <w:sz w:val="16"/>
        </w:rPr>
        <w:t> </w:t>
      </w:r>
      <w:r>
        <w:rPr>
          <w:color w:val="105C84"/>
          <w:sz w:val="16"/>
        </w:rPr>
        <w:t>the</w:t>
      </w:r>
      <w:r>
        <w:rPr>
          <w:color w:val="105C84"/>
          <w:spacing w:val="-4"/>
          <w:sz w:val="16"/>
        </w:rPr>
        <w:t> </w:t>
      </w:r>
      <w:r>
        <w:rPr>
          <w:color w:val="105C84"/>
          <w:sz w:val="16"/>
        </w:rPr>
        <w:t>time</w:t>
      </w:r>
      <w:r>
        <w:rPr>
          <w:color w:val="105C84"/>
          <w:spacing w:val="-4"/>
          <w:sz w:val="16"/>
        </w:rPr>
        <w:t> </w:t>
      </w:r>
      <w:r>
        <w:rPr>
          <w:color w:val="105C84"/>
          <w:sz w:val="16"/>
        </w:rPr>
        <w:t>of</w:t>
      </w:r>
      <w:r>
        <w:rPr>
          <w:color w:val="105C84"/>
          <w:spacing w:val="-4"/>
          <w:sz w:val="16"/>
        </w:rPr>
        <w:t> </w:t>
      </w:r>
      <w:r>
        <w:rPr>
          <w:color w:val="105C84"/>
          <w:sz w:val="16"/>
        </w:rPr>
        <w:t>this</w:t>
      </w:r>
      <w:r>
        <w:rPr>
          <w:color w:val="105C84"/>
          <w:spacing w:val="-4"/>
          <w:sz w:val="16"/>
        </w:rPr>
        <w:t> </w:t>
      </w:r>
      <w:r>
        <w:rPr>
          <w:color w:val="105C84"/>
          <w:spacing w:val="-2"/>
          <w:sz w:val="16"/>
        </w:rPr>
        <w:t>report.</w:t>
      </w:r>
    </w:p>
    <w:p>
      <w:pPr>
        <w:pStyle w:val="BodyText"/>
        <w:spacing w:before="120"/>
        <w:rPr>
          <w:sz w:val="16"/>
        </w:rPr>
      </w:pPr>
    </w:p>
    <w:p>
      <w:pPr>
        <w:pStyle w:val="Heading6"/>
      </w:pPr>
      <w:r>
        <w:rPr>
          <w:color w:val="105C84"/>
          <w:spacing w:val="-6"/>
        </w:rPr>
        <w:t>Policy</w:t>
      </w:r>
      <w:r>
        <w:rPr>
          <w:color w:val="105C84"/>
          <w:spacing w:val="-8"/>
        </w:rPr>
        <w:t> </w:t>
      </w:r>
      <w:r>
        <w:rPr>
          <w:color w:val="105C84"/>
          <w:spacing w:val="-6"/>
        </w:rPr>
        <w:t>and</w:t>
      </w:r>
      <w:r>
        <w:rPr>
          <w:color w:val="105C84"/>
          <w:spacing w:val="-8"/>
        </w:rPr>
        <w:t> </w:t>
      </w:r>
      <w:r>
        <w:rPr>
          <w:color w:val="105C84"/>
          <w:spacing w:val="-6"/>
        </w:rPr>
        <w:t>Environmental</w:t>
      </w:r>
      <w:r>
        <w:rPr>
          <w:color w:val="105C84"/>
          <w:spacing w:val="-8"/>
        </w:rPr>
        <w:t> </w:t>
      </w:r>
      <w:r>
        <w:rPr>
          <w:color w:val="105C84"/>
          <w:spacing w:val="-6"/>
        </w:rPr>
        <w:t>Factors</w:t>
      </w:r>
    </w:p>
    <w:p>
      <w:pPr>
        <w:pStyle w:val="BodyText"/>
        <w:spacing w:line="247" w:lineRule="auto" w:before="269"/>
        <w:ind w:left="1080" w:right="268"/>
      </w:pPr>
      <w:r>
        <w:rPr>
          <w:color w:val="105C84"/>
        </w:rPr>
        <w:t>Current policies in the county help to deter smoking in public places. The Southern Tier Tobacco</w:t>
      </w:r>
      <w:r>
        <w:rPr>
          <w:color w:val="105C84"/>
          <w:spacing w:val="40"/>
        </w:rPr>
        <w:t> </w:t>
      </w:r>
      <w:r>
        <w:rPr>
          <w:color w:val="105C84"/>
        </w:rPr>
        <w:t>Awareness</w:t>
      </w:r>
      <w:r>
        <w:rPr>
          <w:color w:val="105C84"/>
          <w:spacing w:val="23"/>
        </w:rPr>
        <w:t> </w:t>
      </w:r>
      <w:r>
        <w:rPr>
          <w:color w:val="105C84"/>
        </w:rPr>
        <w:t>Coalition</w:t>
      </w:r>
      <w:r>
        <w:rPr>
          <w:color w:val="105C84"/>
          <w:spacing w:val="23"/>
        </w:rPr>
        <w:t> </w:t>
      </w:r>
      <w:r>
        <w:rPr>
          <w:color w:val="105C84"/>
        </w:rPr>
        <w:t>(STTAC)</w:t>
      </w:r>
      <w:r>
        <w:rPr>
          <w:color w:val="105C84"/>
          <w:spacing w:val="23"/>
        </w:rPr>
        <w:t> </w:t>
      </w:r>
      <w:r>
        <w:rPr>
          <w:color w:val="105C84"/>
        </w:rPr>
        <w:t>has</w:t>
      </w:r>
      <w:r>
        <w:rPr>
          <w:color w:val="105C84"/>
          <w:spacing w:val="23"/>
        </w:rPr>
        <w:t> </w:t>
      </w:r>
      <w:r>
        <w:rPr>
          <w:color w:val="105C84"/>
        </w:rPr>
        <w:t>done</w:t>
      </w:r>
      <w:r>
        <w:rPr>
          <w:color w:val="105C84"/>
          <w:spacing w:val="23"/>
        </w:rPr>
        <w:t> </w:t>
      </w:r>
      <w:r>
        <w:rPr>
          <w:color w:val="105C84"/>
        </w:rPr>
        <w:t>tremendous</w:t>
      </w:r>
      <w:r>
        <w:rPr>
          <w:color w:val="105C84"/>
          <w:spacing w:val="23"/>
        </w:rPr>
        <w:t> </w:t>
      </w:r>
      <w:r>
        <w:rPr>
          <w:color w:val="105C84"/>
        </w:rPr>
        <w:t>work</w:t>
      </w:r>
      <w:r>
        <w:rPr>
          <w:color w:val="105C84"/>
          <w:spacing w:val="23"/>
        </w:rPr>
        <w:t> </w:t>
      </w:r>
      <w:r>
        <w:rPr>
          <w:color w:val="105C84"/>
        </w:rPr>
        <w:t>in</w:t>
      </w:r>
      <w:r>
        <w:rPr>
          <w:color w:val="105C84"/>
          <w:spacing w:val="23"/>
        </w:rPr>
        <w:t> </w:t>
      </w:r>
      <w:r>
        <w:rPr>
          <w:color w:val="105C84"/>
        </w:rPr>
        <w:t>tobacco</w:t>
      </w:r>
      <w:r>
        <w:rPr>
          <w:color w:val="105C84"/>
          <w:spacing w:val="23"/>
        </w:rPr>
        <w:t> </w:t>
      </w:r>
      <w:r>
        <w:rPr>
          <w:color w:val="105C84"/>
        </w:rPr>
        <w:t>free</w:t>
      </w:r>
      <w:r>
        <w:rPr>
          <w:color w:val="105C84"/>
          <w:spacing w:val="23"/>
        </w:rPr>
        <w:t> </w:t>
      </w:r>
      <w:r>
        <w:rPr>
          <w:color w:val="105C84"/>
        </w:rPr>
        <w:t>outdoor</w:t>
      </w:r>
      <w:r>
        <w:rPr>
          <w:color w:val="105C84"/>
          <w:spacing w:val="23"/>
        </w:rPr>
        <w:t> </w:t>
      </w:r>
      <w:r>
        <w:rPr>
          <w:color w:val="105C84"/>
        </w:rPr>
        <w:t>policies.</w:t>
      </w:r>
      <w:r>
        <w:rPr>
          <w:color w:val="105C84"/>
          <w:spacing w:val="23"/>
        </w:rPr>
        <w:t> </w:t>
      </w:r>
      <w:r>
        <w:rPr>
          <w:color w:val="105C84"/>
        </w:rPr>
        <w:t>Over 50</w:t>
      </w:r>
      <w:r>
        <w:rPr>
          <w:color w:val="105C84"/>
          <w:spacing w:val="21"/>
        </w:rPr>
        <w:t> </w:t>
      </w:r>
      <w:r>
        <w:rPr>
          <w:color w:val="105C84"/>
        </w:rPr>
        <w:t>agencies</w:t>
      </w:r>
      <w:r>
        <w:rPr>
          <w:color w:val="105C84"/>
          <w:spacing w:val="21"/>
        </w:rPr>
        <w:t> </w:t>
      </w:r>
      <w:r>
        <w:rPr>
          <w:color w:val="105C84"/>
        </w:rPr>
        <w:t>located</w:t>
      </w:r>
      <w:r>
        <w:rPr>
          <w:color w:val="105C84"/>
          <w:spacing w:val="21"/>
        </w:rPr>
        <w:t> </w:t>
      </w:r>
      <w:r>
        <w:rPr>
          <w:color w:val="105C84"/>
        </w:rPr>
        <w:t>in</w:t>
      </w:r>
      <w:r>
        <w:rPr>
          <w:color w:val="105C84"/>
          <w:spacing w:val="21"/>
        </w:rPr>
        <w:t> </w:t>
      </w:r>
      <w:r>
        <w:rPr>
          <w:color w:val="105C84"/>
        </w:rPr>
        <w:t>the</w:t>
      </w:r>
      <w:r>
        <w:rPr>
          <w:color w:val="105C84"/>
          <w:spacing w:val="21"/>
        </w:rPr>
        <w:t> </w:t>
      </w:r>
      <w:r>
        <w:rPr>
          <w:color w:val="105C84"/>
        </w:rPr>
        <w:t>county</w:t>
      </w:r>
      <w:r>
        <w:rPr>
          <w:color w:val="105C84"/>
          <w:spacing w:val="21"/>
        </w:rPr>
        <w:t> </w:t>
      </w:r>
      <w:r>
        <w:rPr>
          <w:color w:val="105C84"/>
        </w:rPr>
        <w:t>have</w:t>
      </w:r>
      <w:r>
        <w:rPr>
          <w:color w:val="105C84"/>
          <w:spacing w:val="21"/>
        </w:rPr>
        <w:t> </w:t>
      </w:r>
      <w:r>
        <w:rPr>
          <w:color w:val="105C84"/>
        </w:rPr>
        <w:t>documented</w:t>
      </w:r>
      <w:r>
        <w:rPr>
          <w:color w:val="105C84"/>
          <w:spacing w:val="21"/>
        </w:rPr>
        <w:t> </w:t>
      </w:r>
      <w:r>
        <w:rPr>
          <w:color w:val="105C84"/>
        </w:rPr>
        <w:t>tobacco</w:t>
      </w:r>
      <w:r>
        <w:rPr>
          <w:color w:val="105C84"/>
          <w:spacing w:val="21"/>
        </w:rPr>
        <w:t> </w:t>
      </w:r>
      <w:r>
        <w:rPr>
          <w:color w:val="105C84"/>
        </w:rPr>
        <w:t>free</w:t>
      </w:r>
      <w:r>
        <w:rPr>
          <w:color w:val="105C84"/>
          <w:spacing w:val="21"/>
        </w:rPr>
        <w:t> </w:t>
      </w:r>
      <w:r>
        <w:rPr>
          <w:color w:val="105C84"/>
        </w:rPr>
        <w:t>outdoor</w:t>
      </w:r>
      <w:r>
        <w:rPr>
          <w:color w:val="105C84"/>
          <w:spacing w:val="21"/>
        </w:rPr>
        <w:t> </w:t>
      </w:r>
      <w:r>
        <w:rPr>
          <w:color w:val="105C84"/>
        </w:rPr>
        <w:t>policies</w:t>
      </w:r>
      <w:r>
        <w:rPr>
          <w:color w:val="105C84"/>
          <w:spacing w:val="21"/>
        </w:rPr>
        <w:t> </w:t>
      </w:r>
      <w:r>
        <w:rPr>
          <w:color w:val="105C84"/>
        </w:rPr>
        <w:t>dating</w:t>
      </w:r>
      <w:r>
        <w:rPr>
          <w:color w:val="105C84"/>
          <w:spacing w:val="21"/>
        </w:rPr>
        <w:t> </w:t>
      </w:r>
      <w:r>
        <w:rPr>
          <w:color w:val="105C84"/>
        </w:rPr>
        <w:t>back</w:t>
      </w:r>
      <w:r>
        <w:rPr>
          <w:color w:val="105C84"/>
          <w:spacing w:val="21"/>
        </w:rPr>
        <w:t> </w:t>
      </w:r>
      <w:r>
        <w:rPr>
          <w:color w:val="105C84"/>
        </w:rPr>
        <w:t>to</w:t>
      </w:r>
    </w:p>
    <w:p>
      <w:pPr>
        <w:pStyle w:val="BodyText"/>
        <w:spacing w:line="247" w:lineRule="auto"/>
        <w:ind w:left="1080" w:right="84"/>
      </w:pPr>
      <w:r>
        <w:rPr>
          <w:color w:val="105C84"/>
        </w:rPr>
        <w:t>2005. Part of the agency’s success may be due to resident support for tobacco free outdoor policies. According to the agency’s 2017 Community Tobacco Survey of Adult Residents of Chemung, Schuyler and</w:t>
      </w:r>
      <w:r>
        <w:rPr>
          <w:color w:val="105C84"/>
          <w:spacing w:val="33"/>
        </w:rPr>
        <w:t> </w:t>
      </w:r>
      <w:r>
        <w:rPr>
          <w:color w:val="105C84"/>
        </w:rPr>
        <w:t>Steuben</w:t>
      </w:r>
      <w:r>
        <w:rPr>
          <w:color w:val="105C84"/>
          <w:spacing w:val="33"/>
        </w:rPr>
        <w:t> </w:t>
      </w:r>
      <w:r>
        <w:rPr>
          <w:color w:val="105C84"/>
        </w:rPr>
        <w:t>Counties,</w:t>
      </w:r>
      <w:r>
        <w:rPr>
          <w:color w:val="105C84"/>
          <w:spacing w:val="33"/>
        </w:rPr>
        <w:t> </w:t>
      </w:r>
      <w:r>
        <w:rPr>
          <w:color w:val="105C84"/>
        </w:rPr>
        <w:t>80%</w:t>
      </w:r>
      <w:r>
        <w:rPr>
          <w:color w:val="105C84"/>
          <w:spacing w:val="33"/>
        </w:rPr>
        <w:t> </w:t>
      </w:r>
      <w:r>
        <w:rPr>
          <w:color w:val="105C84"/>
        </w:rPr>
        <w:t>of</w:t>
      </w:r>
      <w:r>
        <w:rPr>
          <w:color w:val="105C84"/>
          <w:spacing w:val="33"/>
        </w:rPr>
        <w:t> </w:t>
      </w:r>
      <w:r>
        <w:rPr>
          <w:color w:val="105C84"/>
        </w:rPr>
        <w:t>Chemung</w:t>
      </w:r>
      <w:r>
        <w:rPr>
          <w:color w:val="105C84"/>
          <w:spacing w:val="33"/>
        </w:rPr>
        <w:t> </w:t>
      </w:r>
      <w:r>
        <w:rPr>
          <w:color w:val="105C84"/>
        </w:rPr>
        <w:t>County</w:t>
      </w:r>
      <w:r>
        <w:rPr>
          <w:color w:val="105C84"/>
          <w:spacing w:val="33"/>
        </w:rPr>
        <w:t> </w:t>
      </w:r>
      <w:r>
        <w:rPr>
          <w:color w:val="105C84"/>
        </w:rPr>
        <w:t>residents</w:t>
      </w:r>
      <w:r>
        <w:rPr>
          <w:color w:val="105C84"/>
          <w:spacing w:val="33"/>
        </w:rPr>
        <w:t> </w:t>
      </w:r>
      <w:r>
        <w:rPr>
          <w:color w:val="105C84"/>
        </w:rPr>
        <w:t>favor</w:t>
      </w:r>
      <w:r>
        <w:rPr>
          <w:color w:val="105C84"/>
          <w:spacing w:val="33"/>
        </w:rPr>
        <w:t> </w:t>
      </w:r>
      <w:r>
        <w:rPr>
          <w:color w:val="105C84"/>
        </w:rPr>
        <w:t>policies</w:t>
      </w:r>
      <w:r>
        <w:rPr>
          <w:color w:val="105C84"/>
          <w:spacing w:val="33"/>
        </w:rPr>
        <w:t> </w:t>
      </w:r>
      <w:r>
        <w:rPr>
          <w:color w:val="105C84"/>
        </w:rPr>
        <w:t>prohibiting</w:t>
      </w:r>
      <w:r>
        <w:rPr>
          <w:color w:val="105C84"/>
          <w:spacing w:val="33"/>
        </w:rPr>
        <w:t> </w:t>
      </w:r>
      <w:r>
        <w:rPr>
          <w:color w:val="105C84"/>
        </w:rPr>
        <w:t>smoking cigarettes in entrances of public buildings and workplaces. The majority of respondents also reported</w:t>
      </w:r>
      <w:r>
        <w:rPr>
          <w:color w:val="105C84"/>
          <w:spacing w:val="40"/>
        </w:rPr>
        <w:t> </w:t>
      </w:r>
      <w:r>
        <w:rPr>
          <w:color w:val="105C84"/>
        </w:rPr>
        <w:t>favoring policies prohibiting smoking in public parks or outdoor recreational areas (49%), at outdoor</w:t>
      </w:r>
      <w:r>
        <w:rPr>
          <w:color w:val="105C84"/>
          <w:spacing w:val="80"/>
        </w:rPr>
        <w:t> </w:t>
      </w:r>
      <w:r>
        <w:rPr>
          <w:color w:val="105C84"/>
        </w:rPr>
        <w:t>public community events (55%), in apartment buildings (49%), on workplace grounds (55%), and in</w:t>
      </w:r>
      <w:r>
        <w:rPr>
          <w:color w:val="105C84"/>
          <w:spacing w:val="40"/>
        </w:rPr>
        <w:t> </w:t>
      </w:r>
      <w:r>
        <w:rPr>
          <w:color w:val="105C84"/>
        </w:rPr>
        <w:t>cars with children (82%). Of note, 54% favor policies prohibiting use of electronic cigarettes inside</w:t>
      </w:r>
    </w:p>
    <w:p>
      <w:pPr>
        <w:pStyle w:val="BodyText"/>
        <w:spacing w:line="247" w:lineRule="auto"/>
        <w:ind w:left="1080"/>
      </w:pPr>
      <w:r>
        <w:rPr>
          <w:color w:val="105C84"/>
        </w:rPr>
        <w:t>all public places. Significantly, 72% of respondents indicated they would support raising the tobacco</w:t>
      </w:r>
      <w:r>
        <w:rPr>
          <w:color w:val="105C84"/>
          <w:spacing w:val="40"/>
        </w:rPr>
        <w:t> </w:t>
      </w:r>
      <w:r>
        <w:rPr>
          <w:color w:val="105C84"/>
        </w:rPr>
        <w:t>purchasing age to 21, a law that was recently signed by Governor Cuomo.</w:t>
      </w:r>
    </w:p>
    <w:p>
      <w:pPr>
        <w:pStyle w:val="BodyText"/>
        <w:spacing w:line="247" w:lineRule="auto" w:before="174"/>
        <w:ind w:left="1080" w:right="268"/>
      </w:pPr>
      <w:r>
        <w:rPr>
          <w:color w:val="105C84"/>
        </w:rPr>
        <w:t>Walkability is another environmental factor which may impact resident health. In January 2017, the Empire State Poverty Reduction Initiative released a report on Elmira, New York – “The Community Resources and Opportunities are Aligned. It’s a new day in Elmira, New York.” Within the report, residents stated their concerns with walkability in the City of Elmira. While many residents reported they do not feel safe walking in certain areas of the City, the total number of crimes in the area has decreased, which is positive and may help to improve perceived neighborhood safety. To further assist in ensuring a safe and welcoming built environment, the local zoning board is working to help</w:t>
      </w:r>
      <w:r>
        <w:rPr>
          <w:color w:val="105C84"/>
          <w:spacing w:val="40"/>
        </w:rPr>
        <w:t> </w:t>
      </w:r>
      <w:r>
        <w:rPr>
          <w:color w:val="105C84"/>
        </w:rPr>
        <w:t>implement the 2016 Comprehensive Plan recommendations. One of those recommendations is</w:t>
      </w:r>
    </w:p>
    <w:p>
      <w:pPr>
        <w:pStyle w:val="BodyText"/>
        <w:spacing w:line="247" w:lineRule="auto"/>
        <w:ind w:left="1080"/>
      </w:pPr>
      <w:r>
        <w:rPr>
          <w:color w:val="105C84"/>
          <w:w w:val="105"/>
        </w:rPr>
        <w:t>to</w:t>
      </w:r>
      <w:r>
        <w:rPr>
          <w:color w:val="105C84"/>
          <w:spacing w:val="-5"/>
          <w:w w:val="105"/>
        </w:rPr>
        <w:t> </w:t>
      </w:r>
      <w:r>
        <w:rPr>
          <w:color w:val="105C84"/>
          <w:w w:val="105"/>
        </w:rPr>
        <w:t>“revise</w:t>
      </w:r>
      <w:r>
        <w:rPr>
          <w:color w:val="105C84"/>
          <w:spacing w:val="-5"/>
          <w:w w:val="105"/>
        </w:rPr>
        <w:t> </w:t>
      </w:r>
      <w:r>
        <w:rPr>
          <w:color w:val="105C84"/>
          <w:w w:val="105"/>
        </w:rPr>
        <w:t>its</w:t>
      </w:r>
      <w:r>
        <w:rPr>
          <w:color w:val="105C84"/>
          <w:spacing w:val="-5"/>
          <w:w w:val="105"/>
        </w:rPr>
        <w:t> </w:t>
      </w:r>
      <w:r>
        <w:rPr>
          <w:color w:val="105C84"/>
          <w:w w:val="105"/>
        </w:rPr>
        <w:t>zoning</w:t>
      </w:r>
      <w:r>
        <w:rPr>
          <w:color w:val="105C84"/>
          <w:spacing w:val="-5"/>
          <w:w w:val="105"/>
        </w:rPr>
        <w:t> </w:t>
      </w:r>
      <w:r>
        <w:rPr>
          <w:color w:val="105C84"/>
          <w:w w:val="105"/>
        </w:rPr>
        <w:t>ordinance</w:t>
      </w:r>
      <w:r>
        <w:rPr>
          <w:color w:val="105C84"/>
          <w:spacing w:val="-5"/>
          <w:w w:val="105"/>
        </w:rPr>
        <w:t> </w:t>
      </w:r>
      <w:r>
        <w:rPr>
          <w:color w:val="105C84"/>
          <w:w w:val="105"/>
        </w:rPr>
        <w:t>to</w:t>
      </w:r>
      <w:r>
        <w:rPr>
          <w:color w:val="105C84"/>
          <w:spacing w:val="-5"/>
          <w:w w:val="105"/>
        </w:rPr>
        <w:t> </w:t>
      </w:r>
      <w:r>
        <w:rPr>
          <w:color w:val="105C84"/>
          <w:w w:val="105"/>
        </w:rPr>
        <w:t>implement</w:t>
      </w:r>
      <w:r>
        <w:rPr>
          <w:color w:val="105C84"/>
          <w:spacing w:val="-5"/>
          <w:w w:val="105"/>
        </w:rPr>
        <w:t> </w:t>
      </w:r>
      <w:r>
        <w:rPr>
          <w:color w:val="105C84"/>
          <w:w w:val="105"/>
        </w:rPr>
        <w:t>the</w:t>
      </w:r>
      <w:r>
        <w:rPr>
          <w:color w:val="105C84"/>
          <w:spacing w:val="-5"/>
          <w:w w:val="105"/>
        </w:rPr>
        <w:t> </w:t>
      </w:r>
      <w:r>
        <w:rPr>
          <w:color w:val="105C84"/>
          <w:w w:val="105"/>
        </w:rPr>
        <w:t>community’s</w:t>
      </w:r>
      <w:r>
        <w:rPr>
          <w:color w:val="105C84"/>
          <w:spacing w:val="-5"/>
          <w:w w:val="105"/>
        </w:rPr>
        <w:t> </w:t>
      </w:r>
      <w:r>
        <w:rPr>
          <w:color w:val="105C84"/>
          <w:w w:val="105"/>
        </w:rPr>
        <w:t>vision</w:t>
      </w:r>
      <w:r>
        <w:rPr>
          <w:color w:val="105C84"/>
          <w:spacing w:val="-5"/>
          <w:w w:val="105"/>
        </w:rPr>
        <w:t> </w:t>
      </w:r>
      <w:r>
        <w:rPr>
          <w:color w:val="105C84"/>
          <w:w w:val="105"/>
        </w:rPr>
        <w:t>and</w:t>
      </w:r>
      <w:r>
        <w:rPr>
          <w:color w:val="105C84"/>
          <w:spacing w:val="-5"/>
          <w:w w:val="105"/>
        </w:rPr>
        <w:t> </w:t>
      </w:r>
      <w:r>
        <w:rPr>
          <w:color w:val="105C84"/>
          <w:w w:val="105"/>
        </w:rPr>
        <w:t>encourage</w:t>
      </w:r>
      <w:r>
        <w:rPr>
          <w:color w:val="105C84"/>
          <w:spacing w:val="-5"/>
          <w:w w:val="105"/>
        </w:rPr>
        <w:t> </w:t>
      </w:r>
      <w:r>
        <w:rPr>
          <w:color w:val="105C84"/>
          <w:w w:val="105"/>
        </w:rPr>
        <w:t>healthy</w:t>
      </w:r>
      <w:r>
        <w:rPr>
          <w:color w:val="105C84"/>
          <w:spacing w:val="-5"/>
          <w:w w:val="105"/>
        </w:rPr>
        <w:t> </w:t>
      </w:r>
      <w:r>
        <w:rPr>
          <w:color w:val="105C84"/>
          <w:w w:val="105"/>
        </w:rPr>
        <w:t>urban </w:t>
      </w:r>
      <w:r>
        <w:rPr>
          <w:color w:val="105C84"/>
        </w:rPr>
        <w:t>growth.” The new vision will encourage “walkable urbanism over suburban-style more vehicle-centric</w:t>
      </w:r>
      <w:r>
        <w:rPr>
          <w:color w:val="105C84"/>
          <w:spacing w:val="40"/>
          <w:w w:val="105"/>
        </w:rPr>
        <w:t> </w:t>
      </w:r>
      <w:r>
        <w:rPr>
          <w:color w:val="105C84"/>
          <w:w w:val="105"/>
        </w:rPr>
        <w:t>development.”</w:t>
      </w:r>
      <w:r>
        <w:rPr>
          <w:color w:val="105C84"/>
          <w:spacing w:val="-4"/>
          <w:w w:val="105"/>
        </w:rPr>
        <w:t> </w:t>
      </w:r>
      <w:r>
        <w:rPr>
          <w:color w:val="105C84"/>
          <w:w w:val="105"/>
        </w:rPr>
        <w:t>Greater</w:t>
      </w:r>
      <w:r>
        <w:rPr>
          <w:color w:val="105C84"/>
          <w:spacing w:val="-4"/>
          <w:w w:val="105"/>
        </w:rPr>
        <w:t> </w:t>
      </w:r>
      <w:r>
        <w:rPr>
          <w:color w:val="105C84"/>
          <w:w w:val="105"/>
        </w:rPr>
        <w:t>opportunity</w:t>
      </w:r>
      <w:r>
        <w:rPr>
          <w:color w:val="105C84"/>
          <w:spacing w:val="-4"/>
          <w:w w:val="105"/>
        </w:rPr>
        <w:t> </w:t>
      </w:r>
      <w:r>
        <w:rPr>
          <w:color w:val="105C84"/>
          <w:w w:val="105"/>
        </w:rPr>
        <w:t>for</w:t>
      </w:r>
      <w:r>
        <w:rPr>
          <w:color w:val="105C84"/>
          <w:spacing w:val="-4"/>
          <w:w w:val="105"/>
        </w:rPr>
        <w:t> </w:t>
      </w:r>
      <w:r>
        <w:rPr>
          <w:color w:val="105C84"/>
          <w:w w:val="105"/>
        </w:rPr>
        <w:t>physical</w:t>
      </w:r>
      <w:r>
        <w:rPr>
          <w:color w:val="105C84"/>
          <w:spacing w:val="-4"/>
          <w:w w:val="105"/>
        </w:rPr>
        <w:t> </w:t>
      </w:r>
      <w:r>
        <w:rPr>
          <w:color w:val="105C84"/>
          <w:w w:val="105"/>
        </w:rPr>
        <w:t>activity</w:t>
      </w:r>
      <w:r>
        <w:rPr>
          <w:color w:val="105C84"/>
          <w:spacing w:val="-4"/>
          <w:w w:val="105"/>
        </w:rPr>
        <w:t> </w:t>
      </w:r>
      <w:r>
        <w:rPr>
          <w:color w:val="105C84"/>
          <w:w w:val="105"/>
        </w:rPr>
        <w:t>will</w:t>
      </w:r>
      <w:r>
        <w:rPr>
          <w:color w:val="105C84"/>
          <w:spacing w:val="-4"/>
          <w:w w:val="105"/>
        </w:rPr>
        <w:t> </w:t>
      </w:r>
      <w:r>
        <w:rPr>
          <w:color w:val="105C84"/>
          <w:w w:val="105"/>
        </w:rPr>
        <w:t>occur</w:t>
      </w:r>
      <w:r>
        <w:rPr>
          <w:color w:val="105C84"/>
          <w:spacing w:val="-4"/>
          <w:w w:val="105"/>
        </w:rPr>
        <w:t> </w:t>
      </w:r>
      <w:r>
        <w:rPr>
          <w:color w:val="105C84"/>
          <w:w w:val="105"/>
        </w:rPr>
        <w:t>when</w:t>
      </w:r>
      <w:r>
        <w:rPr>
          <w:color w:val="105C84"/>
          <w:spacing w:val="-4"/>
          <w:w w:val="105"/>
        </w:rPr>
        <w:t> </w:t>
      </w:r>
      <w:r>
        <w:rPr>
          <w:color w:val="105C84"/>
          <w:w w:val="105"/>
        </w:rPr>
        <w:t>the</w:t>
      </w:r>
      <w:r>
        <w:rPr>
          <w:color w:val="105C84"/>
          <w:spacing w:val="-4"/>
          <w:w w:val="105"/>
        </w:rPr>
        <w:t> </w:t>
      </w:r>
      <w:r>
        <w:rPr>
          <w:color w:val="105C84"/>
          <w:w w:val="105"/>
        </w:rPr>
        <w:t>plans</w:t>
      </w:r>
      <w:r>
        <w:rPr>
          <w:color w:val="105C84"/>
          <w:spacing w:val="-4"/>
          <w:w w:val="105"/>
        </w:rPr>
        <w:t> </w:t>
      </w:r>
      <w:r>
        <w:rPr>
          <w:color w:val="105C84"/>
          <w:w w:val="105"/>
        </w:rPr>
        <w:t>are</w:t>
      </w:r>
      <w:r>
        <w:rPr>
          <w:color w:val="105C84"/>
          <w:spacing w:val="-4"/>
          <w:w w:val="105"/>
        </w:rPr>
        <w:t> </w:t>
      </w:r>
      <w:r>
        <w:rPr>
          <w:color w:val="105C84"/>
          <w:w w:val="105"/>
        </w:rPr>
        <w:t>put</w:t>
      </w:r>
      <w:r>
        <w:rPr>
          <w:color w:val="105C84"/>
          <w:spacing w:val="-4"/>
          <w:w w:val="105"/>
        </w:rPr>
        <w:t> </w:t>
      </w:r>
      <w:r>
        <w:rPr>
          <w:color w:val="105C84"/>
          <w:w w:val="105"/>
        </w:rPr>
        <w:t>into</w:t>
      </w:r>
      <w:r>
        <w:rPr>
          <w:color w:val="105C84"/>
          <w:spacing w:val="-4"/>
          <w:w w:val="105"/>
        </w:rPr>
        <w:t> </w:t>
      </w:r>
      <w:r>
        <w:rPr>
          <w:color w:val="105C84"/>
          <w:w w:val="105"/>
        </w:rPr>
        <w:t>place.</w:t>
      </w:r>
    </w:p>
    <w:p>
      <w:pPr>
        <w:pStyle w:val="BodyText"/>
        <w:rPr>
          <w:sz w:val="26"/>
        </w:rPr>
      </w:pPr>
      <w:r>
        <w:rPr/>
        <w:br w:type="column"/>
      </w:r>
      <w:r>
        <w:rPr>
          <w:sz w:val="26"/>
        </w:rPr>
      </w:r>
    </w:p>
    <w:p>
      <w:pPr>
        <w:pStyle w:val="BodyText"/>
        <w:spacing w:before="2"/>
        <w:rPr>
          <w:sz w:val="26"/>
        </w:rPr>
      </w:pPr>
    </w:p>
    <w:p>
      <w:pPr>
        <w:pStyle w:val="Heading6"/>
        <w:spacing w:before="1"/>
      </w:pPr>
      <w:r>
        <w:rPr>
          <w:color w:val="105C84"/>
          <w:spacing w:val="-4"/>
        </w:rPr>
        <w:t>Unique Characteristics</w:t>
      </w:r>
      <w:r>
        <w:rPr>
          <w:color w:val="105C84"/>
          <w:spacing w:val="-3"/>
        </w:rPr>
        <w:t> </w:t>
      </w:r>
      <w:r>
        <w:rPr>
          <w:color w:val="105C84"/>
          <w:spacing w:val="-4"/>
        </w:rPr>
        <w:t>Contributing</w:t>
      </w:r>
      <w:r>
        <w:rPr>
          <w:color w:val="105C84"/>
          <w:spacing w:val="-3"/>
        </w:rPr>
        <w:t> </w:t>
      </w:r>
      <w:r>
        <w:rPr>
          <w:color w:val="105C84"/>
          <w:spacing w:val="-4"/>
        </w:rPr>
        <w:t>to Health</w:t>
      </w:r>
      <w:r>
        <w:rPr>
          <w:color w:val="105C84"/>
          <w:spacing w:val="-3"/>
        </w:rPr>
        <w:t> </w:t>
      </w:r>
      <w:r>
        <w:rPr>
          <w:color w:val="105C84"/>
          <w:spacing w:val="-4"/>
        </w:rPr>
        <w:t>Status</w:t>
      </w:r>
    </w:p>
    <w:p>
      <w:pPr>
        <w:pStyle w:val="BodyText"/>
        <w:spacing w:line="247" w:lineRule="auto" w:before="268"/>
        <w:ind w:left="1080" w:right="470"/>
      </w:pPr>
      <w:r>
        <w:rPr>
          <w:color w:val="105C84"/>
        </w:rPr>
        <w:t>Chemung County has experienced nursing and other staff shortages over the past several years at its local health department. Staff note they are currently in short supply and state it is difficult to attract</w:t>
      </w:r>
      <w:r>
        <w:rPr>
          <w:color w:val="105C84"/>
          <w:spacing w:val="80"/>
        </w:rPr>
        <w:t> </w:t>
      </w:r>
      <w:r>
        <w:rPr>
          <w:color w:val="105C84"/>
        </w:rPr>
        <w:t>new employees for a variety of different reasons. Most notably, all local healthcare providers are fighting</w:t>
      </w:r>
      <w:r>
        <w:rPr>
          <w:color w:val="105C84"/>
          <w:spacing w:val="22"/>
        </w:rPr>
        <w:t> </w:t>
      </w:r>
      <w:r>
        <w:rPr>
          <w:color w:val="105C84"/>
        </w:rPr>
        <w:t>for</w:t>
      </w:r>
      <w:r>
        <w:rPr>
          <w:color w:val="105C84"/>
          <w:spacing w:val="22"/>
        </w:rPr>
        <w:t> </w:t>
      </w:r>
      <w:r>
        <w:rPr>
          <w:color w:val="105C84"/>
        </w:rPr>
        <w:t>the</w:t>
      </w:r>
      <w:r>
        <w:rPr>
          <w:color w:val="105C84"/>
          <w:spacing w:val="22"/>
        </w:rPr>
        <w:t> </w:t>
      </w:r>
      <w:r>
        <w:rPr>
          <w:color w:val="105C84"/>
        </w:rPr>
        <w:t>same</w:t>
      </w:r>
      <w:r>
        <w:rPr>
          <w:color w:val="105C84"/>
          <w:spacing w:val="22"/>
        </w:rPr>
        <w:t> </w:t>
      </w:r>
      <w:r>
        <w:rPr>
          <w:color w:val="105C84"/>
        </w:rPr>
        <w:t>staff</w:t>
      </w:r>
      <w:r>
        <w:rPr>
          <w:color w:val="105C84"/>
          <w:spacing w:val="22"/>
        </w:rPr>
        <w:t> </w:t>
      </w:r>
      <w:r>
        <w:rPr>
          <w:color w:val="105C84"/>
        </w:rPr>
        <w:t>and</w:t>
      </w:r>
      <w:r>
        <w:rPr>
          <w:color w:val="105C84"/>
          <w:spacing w:val="22"/>
        </w:rPr>
        <w:t> </w:t>
      </w:r>
      <w:r>
        <w:rPr>
          <w:color w:val="105C84"/>
        </w:rPr>
        <w:t>some</w:t>
      </w:r>
      <w:r>
        <w:rPr>
          <w:color w:val="105C84"/>
          <w:spacing w:val="22"/>
        </w:rPr>
        <w:t> </w:t>
      </w:r>
      <w:r>
        <w:rPr>
          <w:color w:val="105C84"/>
        </w:rPr>
        <w:t>agencies</w:t>
      </w:r>
      <w:r>
        <w:rPr>
          <w:color w:val="105C84"/>
          <w:spacing w:val="22"/>
        </w:rPr>
        <w:t> </w:t>
      </w:r>
      <w:r>
        <w:rPr>
          <w:color w:val="105C84"/>
        </w:rPr>
        <w:t>are</w:t>
      </w:r>
      <w:r>
        <w:rPr>
          <w:color w:val="105C84"/>
          <w:spacing w:val="22"/>
        </w:rPr>
        <w:t> </w:t>
      </w:r>
      <w:r>
        <w:rPr>
          <w:color w:val="105C84"/>
        </w:rPr>
        <w:t>unable</w:t>
      </w:r>
      <w:r>
        <w:rPr>
          <w:color w:val="105C84"/>
          <w:spacing w:val="22"/>
        </w:rPr>
        <w:t> </w:t>
      </w:r>
      <w:r>
        <w:rPr>
          <w:color w:val="105C84"/>
        </w:rPr>
        <w:t>to</w:t>
      </w:r>
      <w:r>
        <w:rPr>
          <w:color w:val="105C84"/>
          <w:spacing w:val="22"/>
        </w:rPr>
        <w:t> </w:t>
      </w:r>
      <w:r>
        <w:rPr>
          <w:color w:val="105C84"/>
        </w:rPr>
        <w:t>compete</w:t>
      </w:r>
      <w:r>
        <w:rPr>
          <w:color w:val="105C84"/>
          <w:spacing w:val="22"/>
        </w:rPr>
        <w:t> </w:t>
      </w:r>
      <w:r>
        <w:rPr>
          <w:color w:val="105C84"/>
        </w:rPr>
        <w:t>with</w:t>
      </w:r>
      <w:r>
        <w:rPr>
          <w:color w:val="105C84"/>
          <w:spacing w:val="22"/>
        </w:rPr>
        <w:t> </w:t>
      </w:r>
      <w:r>
        <w:rPr>
          <w:color w:val="105C84"/>
        </w:rPr>
        <w:t>external</w:t>
      </w:r>
      <w:r>
        <w:rPr>
          <w:color w:val="105C84"/>
          <w:spacing w:val="22"/>
        </w:rPr>
        <w:t> </w:t>
      </w:r>
      <w:r>
        <w:rPr>
          <w:color w:val="105C84"/>
        </w:rPr>
        <w:t>wages.</w:t>
      </w:r>
      <w:r>
        <w:rPr>
          <w:color w:val="105C84"/>
          <w:spacing w:val="22"/>
        </w:rPr>
        <w:t> </w:t>
      </w:r>
      <w:r>
        <w:rPr>
          <w:color w:val="105C84"/>
        </w:rPr>
        <w:t>As</w:t>
      </w:r>
      <w:r>
        <w:rPr>
          <w:color w:val="105C84"/>
          <w:spacing w:val="22"/>
        </w:rPr>
        <w:t> </w:t>
      </w:r>
      <w:r>
        <w:rPr>
          <w:color w:val="105C84"/>
        </w:rPr>
        <w:t>part</w:t>
      </w:r>
    </w:p>
    <w:p>
      <w:pPr>
        <w:pStyle w:val="BodyText"/>
        <w:spacing w:line="247" w:lineRule="auto"/>
        <w:ind w:left="1080" w:right="500"/>
        <w:jc w:val="both"/>
      </w:pPr>
      <w:r>
        <w:rPr>
          <w:color w:val="105C84"/>
        </w:rPr>
        <w:t>of the ten essential public health services, it is necessary to ensure a competent public and personal healthcare workforce. The inability for healthcare agencies to remain fully staffed negatively impacts the community by inadvertently creating decreased access to services.</w:t>
      </w:r>
    </w:p>
    <w:p>
      <w:pPr>
        <w:pStyle w:val="BodyText"/>
        <w:spacing w:line="247" w:lineRule="auto" w:before="176"/>
        <w:ind w:left="1080" w:right="470"/>
      </w:pPr>
      <w:r>
        <w:rPr>
          <w:color w:val="105C84"/>
        </w:rPr>
        <w:t>Another</w:t>
      </w:r>
      <w:r>
        <w:rPr>
          <w:color w:val="105C84"/>
          <w:spacing w:val="25"/>
        </w:rPr>
        <w:t> </w:t>
      </w:r>
      <w:r>
        <w:rPr>
          <w:color w:val="105C84"/>
        </w:rPr>
        <w:t>unique</w:t>
      </w:r>
      <w:r>
        <w:rPr>
          <w:color w:val="105C84"/>
          <w:spacing w:val="25"/>
        </w:rPr>
        <w:t> </w:t>
      </w:r>
      <w:r>
        <w:rPr>
          <w:color w:val="105C84"/>
        </w:rPr>
        <w:t>challenge</w:t>
      </w:r>
      <w:r>
        <w:rPr>
          <w:color w:val="105C84"/>
          <w:spacing w:val="25"/>
        </w:rPr>
        <w:t> </w:t>
      </w:r>
      <w:r>
        <w:rPr>
          <w:color w:val="105C84"/>
        </w:rPr>
        <w:t>Chemung</w:t>
      </w:r>
      <w:r>
        <w:rPr>
          <w:color w:val="105C84"/>
          <w:spacing w:val="25"/>
        </w:rPr>
        <w:t> </w:t>
      </w:r>
      <w:r>
        <w:rPr>
          <w:color w:val="105C84"/>
        </w:rPr>
        <w:t>County</w:t>
      </w:r>
      <w:r>
        <w:rPr>
          <w:color w:val="105C84"/>
          <w:spacing w:val="25"/>
        </w:rPr>
        <w:t> </w:t>
      </w:r>
      <w:r>
        <w:rPr>
          <w:color w:val="105C84"/>
        </w:rPr>
        <w:t>faces</w:t>
      </w:r>
      <w:r>
        <w:rPr>
          <w:color w:val="105C84"/>
          <w:spacing w:val="25"/>
        </w:rPr>
        <w:t> </w:t>
      </w:r>
      <w:r>
        <w:rPr>
          <w:color w:val="105C84"/>
        </w:rPr>
        <w:t>is</w:t>
      </w:r>
      <w:r>
        <w:rPr>
          <w:color w:val="105C84"/>
          <w:spacing w:val="25"/>
        </w:rPr>
        <w:t> </w:t>
      </w:r>
      <w:r>
        <w:rPr>
          <w:color w:val="105C84"/>
        </w:rPr>
        <w:t>the</w:t>
      </w:r>
      <w:r>
        <w:rPr>
          <w:color w:val="105C84"/>
          <w:spacing w:val="25"/>
        </w:rPr>
        <w:t> </w:t>
      </w:r>
      <w:r>
        <w:rPr>
          <w:color w:val="105C84"/>
        </w:rPr>
        <w:t>decline</w:t>
      </w:r>
      <w:r>
        <w:rPr>
          <w:color w:val="105C84"/>
          <w:spacing w:val="25"/>
        </w:rPr>
        <w:t> </w:t>
      </w:r>
      <w:r>
        <w:rPr>
          <w:color w:val="105C84"/>
        </w:rPr>
        <w:t>in</w:t>
      </w:r>
      <w:r>
        <w:rPr>
          <w:color w:val="105C84"/>
          <w:spacing w:val="25"/>
        </w:rPr>
        <w:t> </w:t>
      </w:r>
      <w:r>
        <w:rPr>
          <w:color w:val="105C84"/>
        </w:rPr>
        <w:t>brick</w:t>
      </w:r>
      <w:r>
        <w:rPr>
          <w:color w:val="105C84"/>
          <w:spacing w:val="25"/>
        </w:rPr>
        <w:t> </w:t>
      </w:r>
      <w:r>
        <w:rPr>
          <w:color w:val="105C84"/>
        </w:rPr>
        <w:t>and</w:t>
      </w:r>
      <w:r>
        <w:rPr>
          <w:color w:val="105C84"/>
          <w:spacing w:val="25"/>
        </w:rPr>
        <w:t> </w:t>
      </w:r>
      <w:r>
        <w:rPr>
          <w:color w:val="105C84"/>
        </w:rPr>
        <w:t>mortar</w:t>
      </w:r>
      <w:r>
        <w:rPr>
          <w:color w:val="105C84"/>
          <w:spacing w:val="25"/>
        </w:rPr>
        <w:t> </w:t>
      </w:r>
      <w:r>
        <w:rPr>
          <w:color w:val="105C84"/>
        </w:rPr>
        <w:t>stores.</w:t>
      </w:r>
      <w:r>
        <w:rPr>
          <w:color w:val="105C84"/>
          <w:spacing w:val="25"/>
        </w:rPr>
        <w:t> </w:t>
      </w:r>
      <w:r>
        <w:rPr>
          <w:color w:val="105C84"/>
        </w:rPr>
        <w:t>The</w:t>
      </w:r>
      <w:r>
        <w:rPr>
          <w:color w:val="105C84"/>
        </w:rPr>
        <w:t> area was once a booming shopping area with a variety of entry-level, managerial, and executive job opportunities,</w:t>
      </w:r>
      <w:r>
        <w:rPr>
          <w:color w:val="105C84"/>
          <w:spacing w:val="23"/>
        </w:rPr>
        <w:t> </w:t>
      </w:r>
      <w:r>
        <w:rPr>
          <w:color w:val="105C84"/>
        </w:rPr>
        <w:t>though</w:t>
      </w:r>
      <w:r>
        <w:rPr>
          <w:color w:val="105C84"/>
          <w:spacing w:val="23"/>
        </w:rPr>
        <w:t> </w:t>
      </w:r>
      <w:r>
        <w:rPr>
          <w:color w:val="105C84"/>
        </w:rPr>
        <w:t>the</w:t>
      </w:r>
      <w:r>
        <w:rPr>
          <w:color w:val="105C84"/>
          <w:spacing w:val="23"/>
        </w:rPr>
        <w:t> </w:t>
      </w:r>
      <w:r>
        <w:rPr>
          <w:color w:val="105C84"/>
        </w:rPr>
        <w:t>rise</w:t>
      </w:r>
      <w:r>
        <w:rPr>
          <w:color w:val="105C84"/>
          <w:spacing w:val="23"/>
        </w:rPr>
        <w:t> </w:t>
      </w:r>
      <w:r>
        <w:rPr>
          <w:color w:val="105C84"/>
        </w:rPr>
        <w:t>in</w:t>
      </w:r>
      <w:r>
        <w:rPr>
          <w:color w:val="105C84"/>
          <w:spacing w:val="23"/>
        </w:rPr>
        <w:t> </w:t>
      </w:r>
      <w:r>
        <w:rPr>
          <w:color w:val="105C84"/>
        </w:rPr>
        <w:t>online</w:t>
      </w:r>
      <w:r>
        <w:rPr>
          <w:color w:val="105C84"/>
          <w:spacing w:val="23"/>
        </w:rPr>
        <w:t> </w:t>
      </w:r>
      <w:r>
        <w:rPr>
          <w:color w:val="105C84"/>
        </w:rPr>
        <w:t>shopping</w:t>
      </w:r>
      <w:r>
        <w:rPr>
          <w:color w:val="105C84"/>
          <w:spacing w:val="23"/>
        </w:rPr>
        <w:t> </w:t>
      </w:r>
      <w:r>
        <w:rPr>
          <w:color w:val="105C84"/>
        </w:rPr>
        <w:t>has</w:t>
      </w:r>
      <w:r>
        <w:rPr>
          <w:color w:val="105C84"/>
          <w:spacing w:val="23"/>
        </w:rPr>
        <w:t> </w:t>
      </w:r>
      <w:r>
        <w:rPr>
          <w:color w:val="105C84"/>
        </w:rPr>
        <w:t>dramatically</w:t>
      </w:r>
      <w:r>
        <w:rPr>
          <w:color w:val="105C84"/>
          <w:spacing w:val="23"/>
        </w:rPr>
        <w:t> </w:t>
      </w:r>
      <w:r>
        <w:rPr>
          <w:color w:val="105C84"/>
        </w:rPr>
        <w:t>decreased</w:t>
      </w:r>
      <w:r>
        <w:rPr>
          <w:color w:val="105C84"/>
          <w:spacing w:val="23"/>
        </w:rPr>
        <w:t> </w:t>
      </w:r>
      <w:r>
        <w:rPr>
          <w:color w:val="105C84"/>
        </w:rPr>
        <w:t>the</w:t>
      </w:r>
      <w:r>
        <w:rPr>
          <w:color w:val="105C84"/>
          <w:spacing w:val="23"/>
        </w:rPr>
        <w:t> </w:t>
      </w:r>
      <w:r>
        <w:rPr>
          <w:color w:val="105C84"/>
        </w:rPr>
        <w:t>need</w:t>
      </w:r>
      <w:r>
        <w:rPr>
          <w:color w:val="105C84"/>
          <w:spacing w:val="23"/>
        </w:rPr>
        <w:t> </w:t>
      </w:r>
      <w:r>
        <w:rPr>
          <w:color w:val="105C84"/>
        </w:rPr>
        <w:t>for</w:t>
      </w:r>
      <w:r>
        <w:rPr>
          <w:color w:val="105C84"/>
          <w:spacing w:val="23"/>
        </w:rPr>
        <w:t> </w:t>
      </w:r>
      <w:r>
        <w:rPr>
          <w:color w:val="105C84"/>
        </w:rPr>
        <w:t>shopping plazas and malls. Brick and mortar stores which have now closed leave large empty and unused</w:t>
      </w:r>
    </w:p>
    <w:p>
      <w:pPr>
        <w:pStyle w:val="BodyText"/>
        <w:spacing w:line="247" w:lineRule="auto"/>
        <w:ind w:left="1080" w:right="470"/>
      </w:pPr>
      <w:r>
        <w:rPr>
          <w:color w:val="105C84"/>
        </w:rPr>
        <w:t>space- each one a missed opportunity for job creation and economic gain for the area. It is important</w:t>
      </w:r>
      <w:r>
        <w:rPr>
          <w:color w:val="105C84"/>
          <w:spacing w:val="80"/>
        </w:rPr>
        <w:t> </w:t>
      </w:r>
      <w:r>
        <w:rPr>
          <w:color w:val="105C84"/>
        </w:rPr>
        <w:t>for entry-level positions to be sustained to help those entering the workforce learn generic job skills</w:t>
      </w:r>
      <w:r>
        <w:rPr>
          <w:color w:val="105C84"/>
          <w:spacing w:val="80"/>
        </w:rPr>
        <w:t> </w:t>
      </w:r>
      <w:r>
        <w:rPr>
          <w:color w:val="105C84"/>
        </w:rPr>
        <w:t>training and, eventually, obtain greater responsibilities in new positions.</w:t>
      </w:r>
    </w:p>
    <w:p>
      <w:pPr>
        <w:pStyle w:val="BodyText"/>
        <w:spacing w:before="16"/>
      </w:pPr>
    </w:p>
    <w:p>
      <w:pPr>
        <w:pStyle w:val="Heading6"/>
        <w:jc w:val="both"/>
      </w:pPr>
      <w:r>
        <w:rPr>
          <w:color w:val="105C84"/>
          <w:spacing w:val="-6"/>
        </w:rPr>
        <w:t>Community</w:t>
      </w:r>
      <w:r>
        <w:rPr>
          <w:color w:val="105C84"/>
          <w:spacing w:val="-9"/>
        </w:rPr>
        <w:t> </w:t>
      </w:r>
      <w:r>
        <w:rPr>
          <w:color w:val="105C84"/>
          <w:spacing w:val="-6"/>
        </w:rPr>
        <w:t>Assets</w:t>
      </w:r>
      <w:r>
        <w:rPr>
          <w:color w:val="105C84"/>
          <w:spacing w:val="-9"/>
        </w:rPr>
        <w:t> </w:t>
      </w:r>
      <w:r>
        <w:rPr>
          <w:color w:val="105C84"/>
          <w:spacing w:val="-6"/>
        </w:rPr>
        <w:t>and</w:t>
      </w:r>
      <w:r>
        <w:rPr>
          <w:color w:val="105C84"/>
          <w:spacing w:val="-8"/>
        </w:rPr>
        <w:t> </w:t>
      </w:r>
      <w:r>
        <w:rPr>
          <w:color w:val="105C84"/>
          <w:spacing w:val="-6"/>
        </w:rPr>
        <w:t>Resources</w:t>
      </w:r>
      <w:r>
        <w:rPr>
          <w:color w:val="105C84"/>
          <w:spacing w:val="-9"/>
        </w:rPr>
        <w:t> </w:t>
      </w:r>
      <w:r>
        <w:rPr>
          <w:color w:val="105C84"/>
          <w:spacing w:val="-6"/>
        </w:rPr>
        <w:t>to</w:t>
      </w:r>
      <w:r>
        <w:rPr>
          <w:color w:val="105C84"/>
          <w:spacing w:val="-8"/>
        </w:rPr>
        <w:t> </w:t>
      </w:r>
      <w:r>
        <w:rPr>
          <w:color w:val="105C84"/>
          <w:spacing w:val="-6"/>
        </w:rPr>
        <w:t>be</w:t>
      </w:r>
      <w:r>
        <w:rPr>
          <w:color w:val="105C84"/>
          <w:spacing w:val="-9"/>
        </w:rPr>
        <w:t> </w:t>
      </w:r>
      <w:r>
        <w:rPr>
          <w:color w:val="105C84"/>
          <w:spacing w:val="-6"/>
        </w:rPr>
        <w:t>Mobilized</w:t>
      </w:r>
    </w:p>
    <w:p>
      <w:pPr>
        <w:pStyle w:val="BodyText"/>
        <w:spacing w:line="247" w:lineRule="auto" w:before="268"/>
        <w:ind w:left="1080" w:right="551"/>
      </w:pPr>
      <w:r>
        <w:rPr>
          <w:color w:val="105C84"/>
        </w:rPr>
        <w:t>During focus groups completed in late 2018 and early 2019, community members identified several assets and resources in Chemung County. For example, focus group attendees identified local farmers’ markets, supplemental food programs (i.e. backpack programs, Meals on Wheels, etc.), school based programming (Guess Club and SADD), Special Olympics, and Planned Parenthood as community strengths and resources. A comprehensive list of identified strengths and resources can be found in focus group summaries and are available upon request.</w:t>
      </w:r>
    </w:p>
    <w:p>
      <w:pPr>
        <w:pStyle w:val="BodyText"/>
        <w:spacing w:line="247" w:lineRule="auto" w:before="177"/>
        <w:ind w:left="1080" w:right="470"/>
      </w:pPr>
      <w:r>
        <w:rPr>
          <w:color w:val="105C84"/>
          <w:w w:val="105"/>
        </w:rPr>
        <w:t>Through</w:t>
      </w:r>
      <w:r>
        <w:rPr>
          <w:color w:val="105C84"/>
          <w:spacing w:val="-3"/>
          <w:w w:val="105"/>
        </w:rPr>
        <w:t> </w:t>
      </w:r>
      <w:r>
        <w:rPr>
          <w:color w:val="105C84"/>
          <w:w w:val="105"/>
        </w:rPr>
        <w:t>implementation</w:t>
      </w:r>
      <w:r>
        <w:rPr>
          <w:color w:val="105C84"/>
          <w:spacing w:val="-3"/>
          <w:w w:val="105"/>
        </w:rPr>
        <w:t> </w:t>
      </w:r>
      <w:r>
        <w:rPr>
          <w:color w:val="105C84"/>
          <w:w w:val="105"/>
        </w:rPr>
        <w:t>of</w:t>
      </w:r>
      <w:r>
        <w:rPr>
          <w:color w:val="105C84"/>
          <w:spacing w:val="-3"/>
          <w:w w:val="105"/>
        </w:rPr>
        <w:t> </w:t>
      </w:r>
      <w:r>
        <w:rPr>
          <w:color w:val="105C84"/>
          <w:w w:val="105"/>
        </w:rPr>
        <w:t>the</w:t>
      </w:r>
      <w:r>
        <w:rPr>
          <w:color w:val="105C84"/>
          <w:spacing w:val="-3"/>
          <w:w w:val="105"/>
        </w:rPr>
        <w:t> </w:t>
      </w:r>
      <w:r>
        <w:rPr>
          <w:color w:val="105C84"/>
          <w:w w:val="105"/>
        </w:rPr>
        <w:t>Community</w:t>
      </w:r>
      <w:r>
        <w:rPr>
          <w:color w:val="105C84"/>
          <w:spacing w:val="-3"/>
          <w:w w:val="105"/>
        </w:rPr>
        <w:t> </w:t>
      </w:r>
      <w:r>
        <w:rPr>
          <w:color w:val="105C84"/>
          <w:w w:val="105"/>
        </w:rPr>
        <w:t>Health</w:t>
      </w:r>
      <w:r>
        <w:rPr>
          <w:color w:val="105C84"/>
          <w:spacing w:val="-3"/>
          <w:w w:val="105"/>
        </w:rPr>
        <w:t> </w:t>
      </w:r>
      <w:r>
        <w:rPr>
          <w:color w:val="105C84"/>
          <w:w w:val="105"/>
        </w:rPr>
        <w:t>Improvement</w:t>
      </w:r>
      <w:r>
        <w:rPr>
          <w:color w:val="105C84"/>
          <w:spacing w:val="-3"/>
          <w:w w:val="105"/>
        </w:rPr>
        <w:t> </w:t>
      </w:r>
      <w:r>
        <w:rPr>
          <w:color w:val="105C84"/>
          <w:w w:val="105"/>
        </w:rPr>
        <w:t>Plan,</w:t>
      </w:r>
      <w:r>
        <w:rPr>
          <w:color w:val="105C84"/>
          <w:spacing w:val="-3"/>
          <w:w w:val="105"/>
        </w:rPr>
        <w:t> </w:t>
      </w:r>
      <w:r>
        <w:rPr>
          <w:color w:val="105C84"/>
          <w:w w:val="105"/>
        </w:rPr>
        <w:t>staff</w:t>
      </w:r>
      <w:r>
        <w:rPr>
          <w:color w:val="105C84"/>
          <w:spacing w:val="-3"/>
          <w:w w:val="105"/>
        </w:rPr>
        <w:t> </w:t>
      </w:r>
      <w:r>
        <w:rPr>
          <w:color w:val="105C84"/>
          <w:w w:val="105"/>
        </w:rPr>
        <w:t>will</w:t>
      </w:r>
      <w:r>
        <w:rPr>
          <w:color w:val="105C84"/>
          <w:spacing w:val="-3"/>
          <w:w w:val="105"/>
        </w:rPr>
        <w:t> </w:t>
      </w:r>
      <w:r>
        <w:rPr>
          <w:color w:val="105C84"/>
          <w:w w:val="105"/>
        </w:rPr>
        <w:t>work</w:t>
      </w:r>
      <w:r>
        <w:rPr>
          <w:color w:val="105C84"/>
          <w:spacing w:val="-3"/>
          <w:w w:val="105"/>
        </w:rPr>
        <w:t> </w:t>
      </w:r>
      <w:r>
        <w:rPr>
          <w:color w:val="105C84"/>
          <w:w w:val="105"/>
        </w:rPr>
        <w:t>to</w:t>
      </w:r>
      <w:r>
        <w:rPr>
          <w:color w:val="105C84"/>
          <w:spacing w:val="-3"/>
          <w:w w:val="105"/>
        </w:rPr>
        <w:t> </w:t>
      </w:r>
      <w:r>
        <w:rPr>
          <w:color w:val="105C84"/>
          <w:w w:val="105"/>
        </w:rPr>
        <w:t>leverage </w:t>
      </w:r>
      <w:r>
        <w:rPr>
          <w:color w:val="105C84"/>
        </w:rPr>
        <w:t>these</w:t>
      </w:r>
      <w:r>
        <w:rPr>
          <w:color w:val="105C84"/>
          <w:spacing w:val="26"/>
        </w:rPr>
        <w:t> </w:t>
      </w:r>
      <w:r>
        <w:rPr>
          <w:color w:val="105C84"/>
        </w:rPr>
        <w:t>pre-existing</w:t>
      </w:r>
      <w:r>
        <w:rPr>
          <w:color w:val="105C84"/>
          <w:spacing w:val="26"/>
        </w:rPr>
        <w:t> </w:t>
      </w:r>
      <w:r>
        <w:rPr>
          <w:color w:val="105C84"/>
        </w:rPr>
        <w:t>agencies</w:t>
      </w:r>
      <w:r>
        <w:rPr>
          <w:color w:val="105C84"/>
          <w:spacing w:val="26"/>
        </w:rPr>
        <w:t> </w:t>
      </w:r>
      <w:r>
        <w:rPr>
          <w:color w:val="105C84"/>
        </w:rPr>
        <w:t>and</w:t>
      </w:r>
      <w:r>
        <w:rPr>
          <w:color w:val="105C84"/>
          <w:spacing w:val="26"/>
        </w:rPr>
        <w:t> </w:t>
      </w:r>
      <w:r>
        <w:rPr>
          <w:color w:val="105C84"/>
        </w:rPr>
        <w:t>services.</w:t>
      </w:r>
      <w:r>
        <w:rPr>
          <w:color w:val="105C84"/>
          <w:spacing w:val="26"/>
        </w:rPr>
        <w:t> </w:t>
      </w:r>
      <w:r>
        <w:rPr>
          <w:color w:val="105C84"/>
        </w:rPr>
        <w:t>A</w:t>
      </w:r>
      <w:r>
        <w:rPr>
          <w:color w:val="105C84"/>
          <w:spacing w:val="26"/>
        </w:rPr>
        <w:t> </w:t>
      </w:r>
      <w:r>
        <w:rPr>
          <w:color w:val="105C84"/>
        </w:rPr>
        <w:t>full</w:t>
      </w:r>
      <w:r>
        <w:rPr>
          <w:color w:val="105C84"/>
          <w:spacing w:val="26"/>
        </w:rPr>
        <w:t> </w:t>
      </w:r>
      <w:r>
        <w:rPr>
          <w:color w:val="105C84"/>
        </w:rPr>
        <w:t>description</w:t>
      </w:r>
      <w:r>
        <w:rPr>
          <w:color w:val="105C84"/>
          <w:spacing w:val="26"/>
        </w:rPr>
        <w:t> </w:t>
      </w:r>
      <w:r>
        <w:rPr>
          <w:color w:val="105C84"/>
        </w:rPr>
        <w:t>of</w:t>
      </w:r>
      <w:r>
        <w:rPr>
          <w:color w:val="105C84"/>
          <w:spacing w:val="26"/>
        </w:rPr>
        <w:t> </w:t>
      </w:r>
      <w:r>
        <w:rPr>
          <w:color w:val="105C84"/>
        </w:rPr>
        <w:t>interventions</w:t>
      </w:r>
      <w:r>
        <w:rPr>
          <w:color w:val="105C84"/>
          <w:spacing w:val="26"/>
        </w:rPr>
        <w:t> </w:t>
      </w:r>
      <w:r>
        <w:rPr>
          <w:color w:val="105C84"/>
        </w:rPr>
        <w:t>and</w:t>
      </w:r>
      <w:r>
        <w:rPr>
          <w:color w:val="105C84"/>
          <w:spacing w:val="26"/>
        </w:rPr>
        <w:t> </w:t>
      </w:r>
      <w:r>
        <w:rPr>
          <w:color w:val="105C84"/>
        </w:rPr>
        <w:t>partner</w:t>
      </w:r>
      <w:r>
        <w:rPr>
          <w:color w:val="105C84"/>
          <w:spacing w:val="26"/>
        </w:rPr>
        <w:t> </w:t>
      </w:r>
      <w:r>
        <w:rPr>
          <w:color w:val="105C84"/>
        </w:rPr>
        <w:t>roles</w:t>
      </w:r>
      <w:r>
        <w:rPr>
          <w:color w:val="105C84"/>
          <w:spacing w:val="26"/>
        </w:rPr>
        <w:t> </w:t>
      </w:r>
      <w:r>
        <w:rPr>
          <w:color w:val="105C84"/>
        </w:rPr>
        <w:t>can be found in the Chemung County Community Health Improvement Plan document. Partnering and</w:t>
      </w:r>
      <w:r>
        <w:rPr>
          <w:color w:val="105C84"/>
          <w:spacing w:val="80"/>
        </w:rPr>
        <w:t> </w:t>
      </w:r>
      <w:r>
        <w:rPr>
          <w:color w:val="105C84"/>
        </w:rPr>
        <w:t>leveraging the assets and resources of local community agencies will be imperative to achieving </w:t>
      </w:r>
      <w:r>
        <w:rPr>
          <w:color w:val="105C84"/>
          <w:w w:val="105"/>
        </w:rPr>
        <w:t>success in the plan.</w:t>
      </w:r>
    </w:p>
    <w:p>
      <w:pPr>
        <w:pStyle w:val="BodyText"/>
        <w:spacing w:after="0" w:line="247" w:lineRule="auto"/>
        <w:sectPr>
          <w:pgSz w:w="24480" w:h="15840" w:orient="landscape"/>
          <w:pgMar w:header="0" w:footer="0" w:top="860" w:bottom="0" w:left="0" w:right="720"/>
          <w:cols w:num="2" w:equalWidth="0">
            <w:col w:w="11204" w:space="1039"/>
            <w:col w:w="11517"/>
          </w:cols>
        </w:sectPr>
      </w:pPr>
    </w:p>
    <w:p>
      <w:pPr>
        <w:pStyle w:val="BodyText"/>
        <w:rPr>
          <w:sz w:val="26"/>
        </w:rPr>
      </w:pPr>
      <w:r>
        <w:rPr>
          <w:sz w:val="26"/>
        </w:rPr>
        <w:drawing>
          <wp:anchor distT="0" distB="0" distL="0" distR="0" allowOverlap="1" layoutInCell="1" locked="0" behindDoc="0" simplePos="0" relativeHeight="15781376">
            <wp:simplePos x="0" y="0"/>
            <wp:positionH relativeFrom="page">
              <wp:posOffset>14981556</wp:posOffset>
            </wp:positionH>
            <wp:positionV relativeFrom="page">
              <wp:posOffset>9668103</wp:posOffset>
            </wp:positionV>
            <wp:extent cx="563245" cy="184683"/>
            <wp:effectExtent l="0" t="0" r="0" b="0"/>
            <wp:wrapNone/>
            <wp:docPr id="565" name="Image 565"/>
            <wp:cNvGraphicFramePr>
              <a:graphicFrameLocks/>
            </wp:cNvGraphicFramePr>
            <a:graphic>
              <a:graphicData uri="http://schemas.openxmlformats.org/drawingml/2006/picture">
                <pic:pic>
                  <pic:nvPicPr>
                    <pic:cNvPr id="565" name="Image 565"/>
                    <pic:cNvPicPr/>
                  </pic:nvPicPr>
                  <pic:blipFill>
                    <a:blip r:embed="rId38" cstate="print"/>
                    <a:stretch>
                      <a:fillRect/>
                    </a:stretch>
                  </pic:blipFill>
                  <pic:spPr>
                    <a:xfrm>
                      <a:off x="0" y="0"/>
                      <a:ext cx="563245" cy="184683"/>
                    </a:xfrm>
                    <a:prstGeom prst="rect">
                      <a:avLst/>
                    </a:prstGeom>
                  </pic:spPr>
                </pic:pic>
              </a:graphicData>
            </a:graphic>
          </wp:anchor>
        </w:drawing>
      </w:r>
    </w:p>
    <w:p>
      <w:pPr>
        <w:pStyle w:val="BodyText"/>
        <w:rPr>
          <w:sz w:val="26"/>
        </w:rPr>
      </w:pPr>
    </w:p>
    <w:p>
      <w:pPr>
        <w:pStyle w:val="BodyText"/>
        <w:rPr>
          <w:sz w:val="26"/>
        </w:rPr>
      </w:pPr>
    </w:p>
    <w:p>
      <w:pPr>
        <w:pStyle w:val="BodyText"/>
        <w:rPr>
          <w:sz w:val="26"/>
        </w:rPr>
      </w:pPr>
    </w:p>
    <w:p>
      <w:pPr>
        <w:pStyle w:val="BodyText"/>
        <w:spacing w:before="257"/>
        <w:rPr>
          <w:sz w:val="26"/>
        </w:rPr>
      </w:pPr>
    </w:p>
    <w:p>
      <w:pPr>
        <w:tabs>
          <w:tab w:pos="23147" w:val="left" w:leader="none"/>
        </w:tabs>
        <w:spacing w:before="0"/>
        <w:ind w:left="0" w:right="0" w:firstLine="0"/>
        <w:jc w:val="left"/>
        <w:rPr>
          <w:b/>
          <w:sz w:val="26"/>
        </w:rPr>
      </w:pPr>
      <w:r>
        <w:rPr>
          <w:position w:val="-4"/>
        </w:rPr>
        <w:drawing>
          <wp:inline distT="0" distB="0" distL="0" distR="0">
            <wp:extent cx="568172" cy="184683"/>
            <wp:effectExtent l="0" t="0" r="0" b="0"/>
            <wp:docPr id="566" name="Image 566"/>
            <wp:cNvGraphicFramePr>
              <a:graphicFrameLocks/>
            </wp:cNvGraphicFramePr>
            <a:graphic>
              <a:graphicData uri="http://schemas.openxmlformats.org/drawingml/2006/picture">
                <pic:pic>
                  <pic:nvPicPr>
                    <pic:cNvPr id="566" name="Image 566"/>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80"/>
          <w:w w:val="105"/>
          <w:sz w:val="20"/>
        </w:rPr>
        <w:t> </w:t>
      </w:r>
      <w:r>
        <w:rPr>
          <w:b/>
          <w:color w:val="939598"/>
          <w:w w:val="105"/>
          <w:sz w:val="26"/>
        </w:rPr>
        <w:t>41</w:t>
      </w:r>
      <w:r>
        <w:rPr>
          <w:b/>
          <w:color w:val="939598"/>
          <w:sz w:val="26"/>
        </w:rPr>
        <w:tab/>
      </w:r>
      <w:r>
        <w:rPr>
          <w:b/>
          <w:color w:val="939598"/>
          <w:spacing w:val="-5"/>
          <w:w w:val="105"/>
          <w:sz w:val="26"/>
        </w:rPr>
        <w:t>42</w:t>
      </w:r>
    </w:p>
    <w:p>
      <w:pPr>
        <w:spacing w:after="0"/>
        <w:jc w:val="left"/>
        <w:rPr>
          <w:b/>
          <w:sz w:val="26"/>
        </w:rPr>
        <w:sectPr>
          <w:type w:val="continuous"/>
          <w:pgSz w:w="24480" w:h="15840" w:orient="landscape"/>
          <w:pgMar w:header="0" w:footer="0" w:top="0" w:bottom="280" w:left="0" w:right="720"/>
        </w:sectPr>
      </w:pPr>
    </w:p>
    <w:p>
      <w:pPr>
        <w:pStyle w:val="BodyText"/>
        <w:rPr>
          <w:b/>
          <w:sz w:val="20"/>
        </w:rPr>
      </w:pPr>
    </w:p>
    <w:p>
      <w:pPr>
        <w:pStyle w:val="BodyText"/>
        <w:spacing w:before="16"/>
        <w:rPr>
          <w:b/>
          <w:sz w:val="20"/>
        </w:rPr>
      </w:pPr>
    </w:p>
    <w:p>
      <w:pPr>
        <w:pStyle w:val="BodyText"/>
        <w:spacing w:after="0"/>
        <w:rPr>
          <w:b/>
          <w:sz w:val="20"/>
        </w:rPr>
        <w:sectPr>
          <w:pgSz w:w="24480" w:h="15840" w:orient="landscape"/>
          <w:pgMar w:header="0" w:footer="0" w:top="860" w:bottom="0" w:left="0" w:right="720"/>
        </w:sectPr>
      </w:pPr>
    </w:p>
    <w:p>
      <w:pPr>
        <w:pStyle w:val="Heading6"/>
        <w:spacing w:before="145"/>
      </w:pPr>
      <w:r>
        <w:rPr>
          <w:color w:val="105C84"/>
          <w:spacing w:val="-4"/>
        </w:rPr>
        <w:t>Community</w:t>
      </w:r>
      <w:r>
        <w:rPr>
          <w:color w:val="105C84"/>
          <w:spacing w:val="-2"/>
        </w:rPr>
        <w:t> </w:t>
      </w:r>
      <w:r>
        <w:rPr>
          <w:color w:val="105C84"/>
          <w:spacing w:val="-4"/>
        </w:rPr>
        <w:t>Health</w:t>
      </w:r>
      <w:r>
        <w:rPr>
          <w:color w:val="105C84"/>
          <w:spacing w:val="-2"/>
        </w:rPr>
        <w:t> </w:t>
      </w:r>
      <w:r>
        <w:rPr>
          <w:color w:val="105C84"/>
          <w:spacing w:val="-4"/>
        </w:rPr>
        <w:t>Improvement</w:t>
      </w:r>
      <w:r>
        <w:rPr>
          <w:color w:val="105C84"/>
          <w:spacing w:val="-2"/>
        </w:rPr>
        <w:t> </w:t>
      </w:r>
      <w:r>
        <w:rPr>
          <w:color w:val="105C84"/>
          <w:spacing w:val="-4"/>
        </w:rPr>
        <w:t>Plan/Community</w:t>
      </w:r>
      <w:r>
        <w:rPr>
          <w:color w:val="105C84"/>
          <w:spacing w:val="-2"/>
        </w:rPr>
        <w:t> </w:t>
      </w:r>
      <w:r>
        <w:rPr>
          <w:color w:val="105C84"/>
          <w:spacing w:val="-4"/>
        </w:rPr>
        <w:t>Service</w:t>
      </w:r>
      <w:r>
        <w:rPr>
          <w:color w:val="105C84"/>
          <w:spacing w:val="-2"/>
        </w:rPr>
        <w:t> </w:t>
      </w:r>
      <w:r>
        <w:rPr>
          <w:color w:val="105C84"/>
          <w:spacing w:val="-4"/>
        </w:rPr>
        <w:t>Plan</w:t>
      </w:r>
    </w:p>
    <w:p>
      <w:pPr>
        <w:pStyle w:val="BodyText"/>
        <w:spacing w:line="247" w:lineRule="auto" w:before="268"/>
        <w:ind w:left="1080"/>
      </w:pPr>
      <w:r>
        <w:rPr>
          <w:color w:val="105C84"/>
        </w:rPr>
        <w:t>As previously discussed in the executive summary, the MAPP process was utilized to help create the Community Health Assessment and Community Health Improvement Plan. County specific pre-read documents were provided to prioritization and Health Planning Partnership (HP2) group members which included updated data measures for each of the five priority areas outlined in the Prevention</w:t>
      </w:r>
      <w:r>
        <w:rPr>
          <w:color w:val="105C84"/>
          <w:spacing w:val="40"/>
        </w:rPr>
        <w:t> </w:t>
      </w:r>
      <w:r>
        <w:rPr>
          <w:color w:val="105C84"/>
        </w:rPr>
        <w:t>Agenda (please see executive summary for more information on pre-read documents).</w:t>
      </w:r>
    </w:p>
    <w:p>
      <w:pPr>
        <w:pStyle w:val="Heading8"/>
        <w:spacing w:line="250" w:lineRule="exact"/>
      </w:pPr>
      <w:r>
        <w:rPr/>
        <mc:AlternateContent>
          <mc:Choice Requires="wps">
            <w:drawing>
              <wp:anchor distT="0" distB="0" distL="0" distR="0" allowOverlap="1" layoutInCell="1" locked="0" behindDoc="1" simplePos="0" relativeHeight="475010560">
                <wp:simplePos x="0" y="0"/>
                <wp:positionH relativeFrom="page">
                  <wp:posOffset>685800</wp:posOffset>
                </wp:positionH>
                <wp:positionV relativeFrom="paragraph">
                  <wp:posOffset>294655</wp:posOffset>
                </wp:positionV>
                <wp:extent cx="6315710" cy="3291204"/>
                <wp:effectExtent l="0" t="0" r="0" b="0"/>
                <wp:wrapNone/>
                <wp:docPr id="567" name="Group 567"/>
                <wp:cNvGraphicFramePr>
                  <a:graphicFrameLocks/>
                </wp:cNvGraphicFramePr>
                <a:graphic>
                  <a:graphicData uri="http://schemas.microsoft.com/office/word/2010/wordprocessingGroup">
                    <wpg:wgp>
                      <wpg:cNvPr id="567" name="Group 567"/>
                      <wpg:cNvGrpSpPr/>
                      <wpg:grpSpPr>
                        <a:xfrm>
                          <a:off x="0" y="0"/>
                          <a:ext cx="6315710" cy="3291204"/>
                          <a:chExt cx="6315710" cy="3291204"/>
                        </a:xfrm>
                      </wpg:grpSpPr>
                      <wps:wsp>
                        <wps:cNvPr id="568" name="Graphic 568"/>
                        <wps:cNvSpPr/>
                        <wps:spPr>
                          <a:xfrm>
                            <a:off x="0" y="1587"/>
                            <a:ext cx="6315710" cy="376555"/>
                          </a:xfrm>
                          <a:custGeom>
                            <a:avLst/>
                            <a:gdLst/>
                            <a:ahLst/>
                            <a:cxnLst/>
                            <a:rect l="l" t="t" r="r" b="b"/>
                            <a:pathLst>
                              <a:path w="6315710" h="376555">
                                <a:moveTo>
                                  <a:pt x="6315329" y="0"/>
                                </a:moveTo>
                                <a:lnTo>
                                  <a:pt x="0" y="0"/>
                                </a:lnTo>
                                <a:lnTo>
                                  <a:pt x="0" y="376110"/>
                                </a:lnTo>
                                <a:lnTo>
                                  <a:pt x="6315329" y="376110"/>
                                </a:lnTo>
                                <a:lnTo>
                                  <a:pt x="6315329" y="0"/>
                                </a:lnTo>
                                <a:close/>
                              </a:path>
                            </a:pathLst>
                          </a:custGeom>
                          <a:solidFill>
                            <a:srgbClr val="939598"/>
                          </a:solidFill>
                        </wps:spPr>
                        <wps:bodyPr wrap="square" lIns="0" tIns="0" rIns="0" bIns="0" rtlCol="0">
                          <a:prstTxWarp prst="textNoShape">
                            <a:avLst/>
                          </a:prstTxWarp>
                          <a:noAutofit/>
                        </wps:bodyPr>
                      </wps:wsp>
                      <wps:wsp>
                        <wps:cNvPr id="569" name="Graphic 569"/>
                        <wps:cNvSpPr/>
                        <wps:spPr>
                          <a:xfrm>
                            <a:off x="2256980" y="720598"/>
                            <a:ext cx="1701164" cy="1270"/>
                          </a:xfrm>
                          <a:custGeom>
                            <a:avLst/>
                            <a:gdLst/>
                            <a:ahLst/>
                            <a:cxnLst/>
                            <a:rect l="l" t="t" r="r" b="b"/>
                            <a:pathLst>
                              <a:path w="1701164" h="0">
                                <a:moveTo>
                                  <a:pt x="0" y="0"/>
                                </a:moveTo>
                                <a:lnTo>
                                  <a:pt x="1700783" y="0"/>
                                </a:lnTo>
                              </a:path>
                            </a:pathLst>
                          </a:custGeom>
                          <a:ln w="3175">
                            <a:solidFill>
                              <a:srgbClr val="636466"/>
                            </a:solidFill>
                            <a:prstDash val="solid"/>
                          </a:ln>
                        </wps:spPr>
                        <wps:bodyPr wrap="square" lIns="0" tIns="0" rIns="0" bIns="0" rtlCol="0">
                          <a:prstTxWarp prst="textNoShape">
                            <a:avLst/>
                          </a:prstTxWarp>
                          <a:noAutofit/>
                        </wps:bodyPr>
                      </wps:wsp>
                      <wps:wsp>
                        <wps:cNvPr id="570" name="Graphic 570"/>
                        <wps:cNvSpPr/>
                        <wps:spPr>
                          <a:xfrm>
                            <a:off x="2256980" y="2485898"/>
                            <a:ext cx="1701164" cy="1270"/>
                          </a:xfrm>
                          <a:custGeom>
                            <a:avLst/>
                            <a:gdLst/>
                            <a:ahLst/>
                            <a:cxnLst/>
                            <a:rect l="l" t="t" r="r" b="b"/>
                            <a:pathLst>
                              <a:path w="1701164" h="0">
                                <a:moveTo>
                                  <a:pt x="0" y="0"/>
                                </a:moveTo>
                                <a:lnTo>
                                  <a:pt x="1700783" y="0"/>
                                </a:lnTo>
                              </a:path>
                            </a:pathLst>
                          </a:custGeom>
                          <a:ln w="3175">
                            <a:solidFill>
                              <a:srgbClr val="636466"/>
                            </a:solidFill>
                            <a:prstDash val="solid"/>
                          </a:ln>
                        </wps:spPr>
                        <wps:bodyPr wrap="square" lIns="0" tIns="0" rIns="0" bIns="0" rtlCol="0">
                          <a:prstTxWarp prst="textNoShape">
                            <a:avLst/>
                          </a:prstTxWarp>
                          <a:noAutofit/>
                        </wps:bodyPr>
                      </wps:wsp>
                      <wps:wsp>
                        <wps:cNvPr id="571" name="Graphic 571"/>
                        <wps:cNvSpPr/>
                        <wps:spPr>
                          <a:xfrm>
                            <a:off x="2256980" y="2879598"/>
                            <a:ext cx="1701164" cy="1270"/>
                          </a:xfrm>
                          <a:custGeom>
                            <a:avLst/>
                            <a:gdLst/>
                            <a:ahLst/>
                            <a:cxnLst/>
                            <a:rect l="l" t="t" r="r" b="b"/>
                            <a:pathLst>
                              <a:path w="1701164" h="0">
                                <a:moveTo>
                                  <a:pt x="0" y="0"/>
                                </a:moveTo>
                                <a:lnTo>
                                  <a:pt x="1700783" y="0"/>
                                </a:lnTo>
                              </a:path>
                            </a:pathLst>
                          </a:custGeom>
                          <a:ln w="3175">
                            <a:solidFill>
                              <a:srgbClr val="636466"/>
                            </a:solidFill>
                            <a:prstDash val="solid"/>
                          </a:ln>
                        </wps:spPr>
                        <wps:bodyPr wrap="square" lIns="0" tIns="0" rIns="0" bIns="0" rtlCol="0">
                          <a:prstTxWarp prst="textNoShape">
                            <a:avLst/>
                          </a:prstTxWarp>
                          <a:noAutofit/>
                        </wps:bodyPr>
                      </wps:wsp>
                      <wps:wsp>
                        <wps:cNvPr id="572" name="Graphic 572"/>
                        <wps:cNvSpPr/>
                        <wps:spPr>
                          <a:xfrm>
                            <a:off x="0" y="720598"/>
                            <a:ext cx="1983105" cy="1270"/>
                          </a:xfrm>
                          <a:custGeom>
                            <a:avLst/>
                            <a:gdLst/>
                            <a:ahLst/>
                            <a:cxnLst/>
                            <a:rect l="l" t="t" r="r" b="b"/>
                            <a:pathLst>
                              <a:path w="1983105" h="0">
                                <a:moveTo>
                                  <a:pt x="0" y="0"/>
                                </a:moveTo>
                                <a:lnTo>
                                  <a:pt x="1982660" y="0"/>
                                </a:lnTo>
                              </a:path>
                            </a:pathLst>
                          </a:custGeom>
                          <a:ln w="3175">
                            <a:solidFill>
                              <a:srgbClr val="636466"/>
                            </a:solidFill>
                            <a:prstDash val="solid"/>
                          </a:ln>
                        </wps:spPr>
                        <wps:bodyPr wrap="square" lIns="0" tIns="0" rIns="0" bIns="0" rtlCol="0">
                          <a:prstTxWarp prst="textNoShape">
                            <a:avLst/>
                          </a:prstTxWarp>
                          <a:noAutofit/>
                        </wps:bodyPr>
                      </wps:wsp>
                      <wps:wsp>
                        <wps:cNvPr id="573" name="Graphic 573"/>
                        <wps:cNvSpPr/>
                        <wps:spPr>
                          <a:xfrm>
                            <a:off x="4213796" y="720598"/>
                            <a:ext cx="2101850" cy="1270"/>
                          </a:xfrm>
                          <a:custGeom>
                            <a:avLst/>
                            <a:gdLst/>
                            <a:ahLst/>
                            <a:cxnLst/>
                            <a:rect l="l" t="t" r="r" b="b"/>
                            <a:pathLst>
                              <a:path w="2101850" h="0">
                                <a:moveTo>
                                  <a:pt x="0" y="0"/>
                                </a:moveTo>
                                <a:lnTo>
                                  <a:pt x="2101532" y="0"/>
                                </a:lnTo>
                              </a:path>
                            </a:pathLst>
                          </a:custGeom>
                          <a:ln w="3175">
                            <a:solidFill>
                              <a:srgbClr val="636466"/>
                            </a:solidFill>
                            <a:prstDash val="solid"/>
                          </a:ln>
                        </wps:spPr>
                        <wps:bodyPr wrap="square" lIns="0" tIns="0" rIns="0" bIns="0" rtlCol="0">
                          <a:prstTxWarp prst="textNoShape">
                            <a:avLst/>
                          </a:prstTxWarp>
                          <a:noAutofit/>
                        </wps:bodyPr>
                      </wps:wsp>
                      <wps:wsp>
                        <wps:cNvPr id="574" name="Graphic 574"/>
                        <wps:cNvSpPr/>
                        <wps:spPr>
                          <a:xfrm>
                            <a:off x="0" y="2485898"/>
                            <a:ext cx="1983105" cy="1270"/>
                          </a:xfrm>
                          <a:custGeom>
                            <a:avLst/>
                            <a:gdLst/>
                            <a:ahLst/>
                            <a:cxnLst/>
                            <a:rect l="l" t="t" r="r" b="b"/>
                            <a:pathLst>
                              <a:path w="1983105" h="0">
                                <a:moveTo>
                                  <a:pt x="0" y="0"/>
                                </a:moveTo>
                                <a:lnTo>
                                  <a:pt x="1982660" y="0"/>
                                </a:lnTo>
                              </a:path>
                            </a:pathLst>
                          </a:custGeom>
                          <a:ln w="3175">
                            <a:solidFill>
                              <a:srgbClr val="636466"/>
                            </a:solidFill>
                            <a:prstDash val="solid"/>
                          </a:ln>
                        </wps:spPr>
                        <wps:bodyPr wrap="square" lIns="0" tIns="0" rIns="0" bIns="0" rtlCol="0">
                          <a:prstTxWarp prst="textNoShape">
                            <a:avLst/>
                          </a:prstTxWarp>
                          <a:noAutofit/>
                        </wps:bodyPr>
                      </wps:wsp>
                      <wps:wsp>
                        <wps:cNvPr id="575" name="Graphic 575"/>
                        <wps:cNvSpPr/>
                        <wps:spPr>
                          <a:xfrm>
                            <a:off x="4213796" y="2485898"/>
                            <a:ext cx="2101850" cy="1270"/>
                          </a:xfrm>
                          <a:custGeom>
                            <a:avLst/>
                            <a:gdLst/>
                            <a:ahLst/>
                            <a:cxnLst/>
                            <a:rect l="l" t="t" r="r" b="b"/>
                            <a:pathLst>
                              <a:path w="2101850" h="0">
                                <a:moveTo>
                                  <a:pt x="0" y="0"/>
                                </a:moveTo>
                                <a:lnTo>
                                  <a:pt x="2101532" y="0"/>
                                </a:lnTo>
                              </a:path>
                            </a:pathLst>
                          </a:custGeom>
                          <a:ln w="3175">
                            <a:solidFill>
                              <a:srgbClr val="636466"/>
                            </a:solidFill>
                            <a:prstDash val="solid"/>
                          </a:ln>
                        </wps:spPr>
                        <wps:bodyPr wrap="square" lIns="0" tIns="0" rIns="0" bIns="0" rtlCol="0">
                          <a:prstTxWarp prst="textNoShape">
                            <a:avLst/>
                          </a:prstTxWarp>
                          <a:noAutofit/>
                        </wps:bodyPr>
                      </wps:wsp>
                      <wps:wsp>
                        <wps:cNvPr id="576" name="Graphic 576"/>
                        <wps:cNvSpPr/>
                        <wps:spPr>
                          <a:xfrm>
                            <a:off x="0" y="2879598"/>
                            <a:ext cx="1983105" cy="1270"/>
                          </a:xfrm>
                          <a:custGeom>
                            <a:avLst/>
                            <a:gdLst/>
                            <a:ahLst/>
                            <a:cxnLst/>
                            <a:rect l="l" t="t" r="r" b="b"/>
                            <a:pathLst>
                              <a:path w="1983105" h="0">
                                <a:moveTo>
                                  <a:pt x="0" y="0"/>
                                </a:moveTo>
                                <a:lnTo>
                                  <a:pt x="1982660" y="0"/>
                                </a:lnTo>
                              </a:path>
                            </a:pathLst>
                          </a:custGeom>
                          <a:ln w="3175">
                            <a:solidFill>
                              <a:srgbClr val="636466"/>
                            </a:solidFill>
                            <a:prstDash val="solid"/>
                          </a:ln>
                        </wps:spPr>
                        <wps:bodyPr wrap="square" lIns="0" tIns="0" rIns="0" bIns="0" rtlCol="0">
                          <a:prstTxWarp prst="textNoShape">
                            <a:avLst/>
                          </a:prstTxWarp>
                          <a:noAutofit/>
                        </wps:bodyPr>
                      </wps:wsp>
                      <wps:wsp>
                        <wps:cNvPr id="577" name="Graphic 577"/>
                        <wps:cNvSpPr/>
                        <wps:spPr>
                          <a:xfrm>
                            <a:off x="4213796" y="2879598"/>
                            <a:ext cx="2101850" cy="1270"/>
                          </a:xfrm>
                          <a:custGeom>
                            <a:avLst/>
                            <a:gdLst/>
                            <a:ahLst/>
                            <a:cxnLst/>
                            <a:rect l="l" t="t" r="r" b="b"/>
                            <a:pathLst>
                              <a:path w="2101850" h="0">
                                <a:moveTo>
                                  <a:pt x="0" y="0"/>
                                </a:moveTo>
                                <a:lnTo>
                                  <a:pt x="2101532" y="0"/>
                                </a:lnTo>
                              </a:path>
                            </a:pathLst>
                          </a:custGeom>
                          <a:ln w="3175">
                            <a:solidFill>
                              <a:srgbClr val="636466"/>
                            </a:solidFill>
                            <a:prstDash val="solid"/>
                          </a:ln>
                        </wps:spPr>
                        <wps:bodyPr wrap="square" lIns="0" tIns="0" rIns="0" bIns="0" rtlCol="0">
                          <a:prstTxWarp prst="textNoShape">
                            <a:avLst/>
                          </a:prstTxWarp>
                          <a:noAutofit/>
                        </wps:bodyPr>
                      </wps:wsp>
                      <wps:wsp>
                        <wps:cNvPr id="578" name="Graphic 578"/>
                        <wps:cNvSpPr/>
                        <wps:spPr>
                          <a:xfrm>
                            <a:off x="0" y="3289300"/>
                            <a:ext cx="1983105" cy="1270"/>
                          </a:xfrm>
                          <a:custGeom>
                            <a:avLst/>
                            <a:gdLst/>
                            <a:ahLst/>
                            <a:cxnLst/>
                            <a:rect l="l" t="t" r="r" b="b"/>
                            <a:pathLst>
                              <a:path w="1983105" h="0">
                                <a:moveTo>
                                  <a:pt x="0" y="0"/>
                                </a:moveTo>
                                <a:lnTo>
                                  <a:pt x="1982660" y="0"/>
                                </a:lnTo>
                              </a:path>
                            </a:pathLst>
                          </a:custGeom>
                          <a:ln w="3175">
                            <a:solidFill>
                              <a:srgbClr val="636466"/>
                            </a:solidFill>
                            <a:prstDash val="solid"/>
                          </a:ln>
                        </wps:spPr>
                        <wps:bodyPr wrap="square" lIns="0" tIns="0" rIns="0" bIns="0" rtlCol="0">
                          <a:prstTxWarp prst="textNoShape">
                            <a:avLst/>
                          </a:prstTxWarp>
                          <a:noAutofit/>
                        </wps:bodyPr>
                      </wps:wsp>
                      <wps:wsp>
                        <wps:cNvPr id="579" name="Graphic 579"/>
                        <wps:cNvSpPr/>
                        <wps:spPr>
                          <a:xfrm>
                            <a:off x="4213796" y="3289300"/>
                            <a:ext cx="2101850" cy="1270"/>
                          </a:xfrm>
                          <a:custGeom>
                            <a:avLst/>
                            <a:gdLst/>
                            <a:ahLst/>
                            <a:cxnLst/>
                            <a:rect l="l" t="t" r="r" b="b"/>
                            <a:pathLst>
                              <a:path w="2101850" h="0">
                                <a:moveTo>
                                  <a:pt x="0" y="0"/>
                                </a:moveTo>
                                <a:lnTo>
                                  <a:pt x="2101532" y="0"/>
                                </a:lnTo>
                              </a:path>
                            </a:pathLst>
                          </a:custGeom>
                          <a:ln w="3175">
                            <a:solidFill>
                              <a:srgbClr val="636466"/>
                            </a:solidFill>
                            <a:prstDash val="solid"/>
                          </a:ln>
                        </wps:spPr>
                        <wps:bodyPr wrap="square" lIns="0" tIns="0" rIns="0" bIns="0" rtlCol="0">
                          <a:prstTxWarp prst="textNoShape">
                            <a:avLst/>
                          </a:prstTxWarp>
                          <a:noAutofit/>
                        </wps:bodyPr>
                      </wps:wsp>
                      <wps:wsp>
                        <wps:cNvPr id="580" name="Graphic 580"/>
                        <wps:cNvSpPr/>
                        <wps:spPr>
                          <a:xfrm>
                            <a:off x="2256980" y="3289300"/>
                            <a:ext cx="1701164" cy="1270"/>
                          </a:xfrm>
                          <a:custGeom>
                            <a:avLst/>
                            <a:gdLst/>
                            <a:ahLst/>
                            <a:cxnLst/>
                            <a:rect l="l" t="t" r="r" b="b"/>
                            <a:pathLst>
                              <a:path w="1701164" h="0">
                                <a:moveTo>
                                  <a:pt x="0" y="0"/>
                                </a:moveTo>
                                <a:lnTo>
                                  <a:pt x="1700783" y="0"/>
                                </a:lnTo>
                              </a:path>
                            </a:pathLst>
                          </a:custGeom>
                          <a:ln w="3175">
                            <a:solidFill>
                              <a:srgbClr val="636466"/>
                            </a:solidFill>
                            <a:prstDash val="solid"/>
                          </a:ln>
                        </wps:spPr>
                        <wps:bodyPr wrap="square" lIns="0" tIns="0" rIns="0" bIns="0" rtlCol="0">
                          <a:prstTxWarp prst="textNoShape">
                            <a:avLst/>
                          </a:prstTxWarp>
                          <a:noAutofit/>
                        </wps:bodyPr>
                      </wps:wsp>
                      <wps:wsp>
                        <wps:cNvPr id="581" name="Graphic 581"/>
                        <wps:cNvSpPr/>
                        <wps:spPr>
                          <a:xfrm>
                            <a:off x="0" y="1587"/>
                            <a:ext cx="1983105" cy="1270"/>
                          </a:xfrm>
                          <a:custGeom>
                            <a:avLst/>
                            <a:gdLst/>
                            <a:ahLst/>
                            <a:cxnLst/>
                            <a:rect l="l" t="t" r="r" b="b"/>
                            <a:pathLst>
                              <a:path w="1983105" h="0">
                                <a:moveTo>
                                  <a:pt x="0" y="0"/>
                                </a:moveTo>
                                <a:lnTo>
                                  <a:pt x="1982660" y="0"/>
                                </a:lnTo>
                              </a:path>
                            </a:pathLst>
                          </a:custGeom>
                          <a:ln w="3175">
                            <a:solidFill>
                              <a:srgbClr val="636466"/>
                            </a:solidFill>
                            <a:prstDash val="solid"/>
                          </a:ln>
                        </wps:spPr>
                        <wps:bodyPr wrap="square" lIns="0" tIns="0" rIns="0" bIns="0" rtlCol="0">
                          <a:prstTxWarp prst="textNoShape">
                            <a:avLst/>
                          </a:prstTxWarp>
                          <a:noAutofit/>
                        </wps:bodyPr>
                      </wps:wsp>
                      <wps:wsp>
                        <wps:cNvPr id="582" name="Graphic 582"/>
                        <wps:cNvSpPr/>
                        <wps:spPr>
                          <a:xfrm>
                            <a:off x="1982660" y="1587"/>
                            <a:ext cx="274320" cy="1270"/>
                          </a:xfrm>
                          <a:custGeom>
                            <a:avLst/>
                            <a:gdLst/>
                            <a:ahLst/>
                            <a:cxnLst/>
                            <a:rect l="l" t="t" r="r" b="b"/>
                            <a:pathLst>
                              <a:path w="274320" h="0">
                                <a:moveTo>
                                  <a:pt x="0" y="0"/>
                                </a:moveTo>
                                <a:lnTo>
                                  <a:pt x="274320" y="0"/>
                                </a:lnTo>
                              </a:path>
                            </a:pathLst>
                          </a:custGeom>
                          <a:ln w="3175">
                            <a:solidFill>
                              <a:srgbClr val="636466"/>
                            </a:solidFill>
                            <a:prstDash val="solid"/>
                          </a:ln>
                        </wps:spPr>
                        <wps:bodyPr wrap="square" lIns="0" tIns="0" rIns="0" bIns="0" rtlCol="0">
                          <a:prstTxWarp prst="textNoShape">
                            <a:avLst/>
                          </a:prstTxWarp>
                          <a:noAutofit/>
                        </wps:bodyPr>
                      </wps:wsp>
                      <wps:wsp>
                        <wps:cNvPr id="583" name="Graphic 583"/>
                        <wps:cNvSpPr/>
                        <wps:spPr>
                          <a:xfrm>
                            <a:off x="2256980" y="1587"/>
                            <a:ext cx="1701164" cy="1270"/>
                          </a:xfrm>
                          <a:custGeom>
                            <a:avLst/>
                            <a:gdLst/>
                            <a:ahLst/>
                            <a:cxnLst/>
                            <a:rect l="l" t="t" r="r" b="b"/>
                            <a:pathLst>
                              <a:path w="1701164" h="0">
                                <a:moveTo>
                                  <a:pt x="0" y="0"/>
                                </a:moveTo>
                                <a:lnTo>
                                  <a:pt x="1700783" y="0"/>
                                </a:lnTo>
                              </a:path>
                            </a:pathLst>
                          </a:custGeom>
                          <a:ln w="3175">
                            <a:solidFill>
                              <a:srgbClr val="636466"/>
                            </a:solidFill>
                            <a:prstDash val="solid"/>
                          </a:ln>
                        </wps:spPr>
                        <wps:bodyPr wrap="square" lIns="0" tIns="0" rIns="0" bIns="0" rtlCol="0">
                          <a:prstTxWarp prst="textNoShape">
                            <a:avLst/>
                          </a:prstTxWarp>
                          <a:noAutofit/>
                        </wps:bodyPr>
                      </wps:wsp>
                      <wps:wsp>
                        <wps:cNvPr id="584" name="Graphic 584"/>
                        <wps:cNvSpPr/>
                        <wps:spPr>
                          <a:xfrm>
                            <a:off x="3957764" y="1587"/>
                            <a:ext cx="256540" cy="1270"/>
                          </a:xfrm>
                          <a:custGeom>
                            <a:avLst/>
                            <a:gdLst/>
                            <a:ahLst/>
                            <a:cxnLst/>
                            <a:rect l="l" t="t" r="r" b="b"/>
                            <a:pathLst>
                              <a:path w="256540" h="0">
                                <a:moveTo>
                                  <a:pt x="0" y="0"/>
                                </a:moveTo>
                                <a:lnTo>
                                  <a:pt x="256032" y="0"/>
                                </a:lnTo>
                              </a:path>
                            </a:pathLst>
                          </a:custGeom>
                          <a:ln w="3175">
                            <a:solidFill>
                              <a:srgbClr val="636466"/>
                            </a:solidFill>
                            <a:prstDash val="solid"/>
                          </a:ln>
                        </wps:spPr>
                        <wps:bodyPr wrap="square" lIns="0" tIns="0" rIns="0" bIns="0" rtlCol="0">
                          <a:prstTxWarp prst="textNoShape">
                            <a:avLst/>
                          </a:prstTxWarp>
                          <a:noAutofit/>
                        </wps:bodyPr>
                      </wps:wsp>
                      <wps:wsp>
                        <wps:cNvPr id="585" name="Graphic 585"/>
                        <wps:cNvSpPr/>
                        <wps:spPr>
                          <a:xfrm>
                            <a:off x="4213796" y="1587"/>
                            <a:ext cx="2101850" cy="1270"/>
                          </a:xfrm>
                          <a:custGeom>
                            <a:avLst/>
                            <a:gdLst/>
                            <a:ahLst/>
                            <a:cxnLst/>
                            <a:rect l="l" t="t" r="r" b="b"/>
                            <a:pathLst>
                              <a:path w="2101850" h="0">
                                <a:moveTo>
                                  <a:pt x="0" y="0"/>
                                </a:moveTo>
                                <a:lnTo>
                                  <a:pt x="2101532" y="0"/>
                                </a:lnTo>
                              </a:path>
                            </a:pathLst>
                          </a:custGeom>
                          <a:ln w="3175">
                            <a:solidFill>
                              <a:srgbClr val="636466"/>
                            </a:solidFill>
                            <a:prstDash val="solid"/>
                          </a:ln>
                        </wps:spPr>
                        <wps:bodyPr wrap="square" lIns="0" tIns="0" rIns="0" bIns="0" rtlCol="0">
                          <a:prstTxWarp prst="textNoShape">
                            <a:avLst/>
                          </a:prstTxWarp>
                          <a:noAutofit/>
                        </wps:bodyPr>
                      </wps:wsp>
                      <wps:wsp>
                        <wps:cNvPr id="586" name="Graphic 586"/>
                        <wps:cNvSpPr/>
                        <wps:spPr>
                          <a:xfrm>
                            <a:off x="0" y="377697"/>
                            <a:ext cx="1983105" cy="1270"/>
                          </a:xfrm>
                          <a:custGeom>
                            <a:avLst/>
                            <a:gdLst/>
                            <a:ahLst/>
                            <a:cxnLst/>
                            <a:rect l="l" t="t" r="r" b="b"/>
                            <a:pathLst>
                              <a:path w="1983105" h="0">
                                <a:moveTo>
                                  <a:pt x="0" y="0"/>
                                </a:moveTo>
                                <a:lnTo>
                                  <a:pt x="1982660" y="0"/>
                                </a:lnTo>
                              </a:path>
                            </a:pathLst>
                          </a:custGeom>
                          <a:ln w="3175">
                            <a:solidFill>
                              <a:srgbClr val="636466"/>
                            </a:solidFill>
                            <a:prstDash val="solid"/>
                          </a:ln>
                        </wps:spPr>
                        <wps:bodyPr wrap="square" lIns="0" tIns="0" rIns="0" bIns="0" rtlCol="0">
                          <a:prstTxWarp prst="textNoShape">
                            <a:avLst/>
                          </a:prstTxWarp>
                          <a:noAutofit/>
                        </wps:bodyPr>
                      </wps:wsp>
                      <wps:wsp>
                        <wps:cNvPr id="587" name="Graphic 587"/>
                        <wps:cNvSpPr/>
                        <wps:spPr>
                          <a:xfrm>
                            <a:off x="1982660" y="377697"/>
                            <a:ext cx="274320" cy="1270"/>
                          </a:xfrm>
                          <a:custGeom>
                            <a:avLst/>
                            <a:gdLst/>
                            <a:ahLst/>
                            <a:cxnLst/>
                            <a:rect l="l" t="t" r="r" b="b"/>
                            <a:pathLst>
                              <a:path w="274320" h="0">
                                <a:moveTo>
                                  <a:pt x="0" y="0"/>
                                </a:moveTo>
                                <a:lnTo>
                                  <a:pt x="274320" y="0"/>
                                </a:lnTo>
                              </a:path>
                            </a:pathLst>
                          </a:custGeom>
                          <a:ln w="3175">
                            <a:solidFill>
                              <a:srgbClr val="636466"/>
                            </a:solidFill>
                            <a:prstDash val="solid"/>
                          </a:ln>
                        </wps:spPr>
                        <wps:bodyPr wrap="square" lIns="0" tIns="0" rIns="0" bIns="0" rtlCol="0">
                          <a:prstTxWarp prst="textNoShape">
                            <a:avLst/>
                          </a:prstTxWarp>
                          <a:noAutofit/>
                        </wps:bodyPr>
                      </wps:wsp>
                      <wps:wsp>
                        <wps:cNvPr id="588" name="Graphic 588"/>
                        <wps:cNvSpPr/>
                        <wps:spPr>
                          <a:xfrm>
                            <a:off x="2256980" y="377697"/>
                            <a:ext cx="1701164" cy="1270"/>
                          </a:xfrm>
                          <a:custGeom>
                            <a:avLst/>
                            <a:gdLst/>
                            <a:ahLst/>
                            <a:cxnLst/>
                            <a:rect l="l" t="t" r="r" b="b"/>
                            <a:pathLst>
                              <a:path w="1701164" h="0">
                                <a:moveTo>
                                  <a:pt x="0" y="0"/>
                                </a:moveTo>
                                <a:lnTo>
                                  <a:pt x="1700783" y="0"/>
                                </a:lnTo>
                              </a:path>
                            </a:pathLst>
                          </a:custGeom>
                          <a:ln w="3175">
                            <a:solidFill>
                              <a:srgbClr val="636466"/>
                            </a:solidFill>
                            <a:prstDash val="solid"/>
                          </a:ln>
                        </wps:spPr>
                        <wps:bodyPr wrap="square" lIns="0" tIns="0" rIns="0" bIns="0" rtlCol="0">
                          <a:prstTxWarp prst="textNoShape">
                            <a:avLst/>
                          </a:prstTxWarp>
                          <a:noAutofit/>
                        </wps:bodyPr>
                      </wps:wsp>
                      <wps:wsp>
                        <wps:cNvPr id="589" name="Graphic 589"/>
                        <wps:cNvSpPr/>
                        <wps:spPr>
                          <a:xfrm>
                            <a:off x="3957764" y="377697"/>
                            <a:ext cx="256540" cy="1270"/>
                          </a:xfrm>
                          <a:custGeom>
                            <a:avLst/>
                            <a:gdLst/>
                            <a:ahLst/>
                            <a:cxnLst/>
                            <a:rect l="l" t="t" r="r" b="b"/>
                            <a:pathLst>
                              <a:path w="256540" h="0">
                                <a:moveTo>
                                  <a:pt x="0" y="0"/>
                                </a:moveTo>
                                <a:lnTo>
                                  <a:pt x="256032" y="0"/>
                                </a:lnTo>
                              </a:path>
                            </a:pathLst>
                          </a:custGeom>
                          <a:ln w="3175">
                            <a:solidFill>
                              <a:srgbClr val="636466"/>
                            </a:solidFill>
                            <a:prstDash val="solid"/>
                          </a:ln>
                        </wps:spPr>
                        <wps:bodyPr wrap="square" lIns="0" tIns="0" rIns="0" bIns="0" rtlCol="0">
                          <a:prstTxWarp prst="textNoShape">
                            <a:avLst/>
                          </a:prstTxWarp>
                          <a:noAutofit/>
                        </wps:bodyPr>
                      </wps:wsp>
                      <wps:wsp>
                        <wps:cNvPr id="590" name="Graphic 590"/>
                        <wps:cNvSpPr/>
                        <wps:spPr>
                          <a:xfrm>
                            <a:off x="4213796" y="377697"/>
                            <a:ext cx="2101850" cy="1270"/>
                          </a:xfrm>
                          <a:custGeom>
                            <a:avLst/>
                            <a:gdLst/>
                            <a:ahLst/>
                            <a:cxnLst/>
                            <a:rect l="l" t="t" r="r" b="b"/>
                            <a:pathLst>
                              <a:path w="2101850" h="0">
                                <a:moveTo>
                                  <a:pt x="0" y="0"/>
                                </a:moveTo>
                                <a:lnTo>
                                  <a:pt x="2101532" y="0"/>
                                </a:lnTo>
                              </a:path>
                            </a:pathLst>
                          </a:custGeom>
                          <a:ln w="3175">
                            <a:solidFill>
                              <a:srgbClr val="636466"/>
                            </a:solidFill>
                            <a:prstDash val="solid"/>
                          </a:ln>
                        </wps:spPr>
                        <wps:bodyPr wrap="square" lIns="0" tIns="0" rIns="0" bIns="0" rtlCol="0">
                          <a:prstTxWarp prst="textNoShape">
                            <a:avLst/>
                          </a:prstTxWarp>
                          <a:noAutofit/>
                        </wps:bodyPr>
                      </wps:wsp>
                      <wps:wsp>
                        <wps:cNvPr id="591" name="Textbox 591"/>
                        <wps:cNvSpPr txBox="1"/>
                        <wps:spPr>
                          <a:xfrm>
                            <a:off x="57150" y="467359"/>
                            <a:ext cx="1826260" cy="173990"/>
                          </a:xfrm>
                          <a:prstGeom prst="rect">
                            <a:avLst/>
                          </a:prstGeom>
                        </wps:spPr>
                        <wps:txbx>
                          <w:txbxContent>
                            <w:p>
                              <w:pPr>
                                <w:spacing w:before="12"/>
                                <w:ind w:left="0" w:right="0" w:firstLine="0"/>
                                <w:jc w:val="left"/>
                                <w:rPr>
                                  <w:sz w:val="20"/>
                                </w:rPr>
                              </w:pPr>
                              <w:r>
                                <w:rPr>
                                  <w:color w:val="105C84"/>
                                  <w:sz w:val="20"/>
                                </w:rPr>
                                <w:t>Chemung</w:t>
                              </w:r>
                              <w:r>
                                <w:rPr>
                                  <w:color w:val="105C84"/>
                                  <w:spacing w:val="12"/>
                                  <w:sz w:val="20"/>
                                </w:rPr>
                                <w:t> </w:t>
                              </w:r>
                              <w:r>
                                <w:rPr>
                                  <w:color w:val="105C84"/>
                                  <w:sz w:val="20"/>
                                </w:rPr>
                                <w:t>County</w:t>
                              </w:r>
                              <w:r>
                                <w:rPr>
                                  <w:color w:val="105C84"/>
                                  <w:spacing w:val="13"/>
                                  <w:sz w:val="20"/>
                                </w:rPr>
                                <w:t> </w:t>
                              </w:r>
                              <w:r>
                                <w:rPr>
                                  <w:color w:val="105C84"/>
                                  <w:sz w:val="20"/>
                                </w:rPr>
                                <w:t>Public</w:t>
                              </w:r>
                              <w:r>
                                <w:rPr>
                                  <w:color w:val="105C84"/>
                                  <w:spacing w:val="12"/>
                                  <w:sz w:val="20"/>
                                </w:rPr>
                                <w:t> </w:t>
                              </w:r>
                              <w:r>
                                <w:rPr>
                                  <w:color w:val="105C84"/>
                                  <w:spacing w:val="-2"/>
                                  <w:sz w:val="20"/>
                                </w:rPr>
                                <w:t>Health</w:t>
                              </w:r>
                            </w:p>
                          </w:txbxContent>
                        </wps:txbx>
                        <wps:bodyPr wrap="square" lIns="0" tIns="0" rIns="0" bIns="0" rtlCol="0">
                          <a:noAutofit/>
                        </wps:bodyPr>
                      </wps:wsp>
                      <wps:wsp>
                        <wps:cNvPr id="592" name="Textbox 592"/>
                        <wps:cNvSpPr txBox="1"/>
                        <wps:spPr>
                          <a:xfrm>
                            <a:off x="2314067" y="467359"/>
                            <a:ext cx="1567180" cy="173990"/>
                          </a:xfrm>
                          <a:prstGeom prst="rect">
                            <a:avLst/>
                          </a:prstGeom>
                        </wps:spPr>
                        <wps:txbx>
                          <w:txbxContent>
                            <w:p>
                              <w:pPr>
                                <w:spacing w:before="12"/>
                                <w:ind w:left="0" w:right="0" w:firstLine="0"/>
                                <w:jc w:val="left"/>
                                <w:rPr>
                                  <w:sz w:val="20"/>
                                </w:rPr>
                              </w:pPr>
                              <w:r>
                                <w:rPr>
                                  <w:color w:val="105C84"/>
                                  <w:spacing w:val="-2"/>
                                  <w:sz w:val="20"/>
                                </w:rPr>
                                <w:t>S2AY</w:t>
                              </w:r>
                              <w:r>
                                <w:rPr>
                                  <w:color w:val="105C84"/>
                                  <w:spacing w:val="-12"/>
                                  <w:sz w:val="20"/>
                                </w:rPr>
                                <w:t> </w:t>
                              </w:r>
                              <w:r>
                                <w:rPr>
                                  <w:color w:val="105C84"/>
                                  <w:spacing w:val="-2"/>
                                  <w:sz w:val="20"/>
                                </w:rPr>
                                <w:t>Rural</w:t>
                              </w:r>
                              <w:r>
                                <w:rPr>
                                  <w:color w:val="105C84"/>
                                  <w:spacing w:val="-11"/>
                                  <w:sz w:val="20"/>
                                </w:rPr>
                                <w:t> </w:t>
                              </w:r>
                              <w:r>
                                <w:rPr>
                                  <w:color w:val="105C84"/>
                                  <w:spacing w:val="-2"/>
                                  <w:sz w:val="20"/>
                                </w:rPr>
                                <w:t>Health</w:t>
                              </w:r>
                              <w:r>
                                <w:rPr>
                                  <w:color w:val="105C84"/>
                                  <w:spacing w:val="-12"/>
                                  <w:sz w:val="20"/>
                                </w:rPr>
                                <w:t> </w:t>
                              </w:r>
                              <w:r>
                                <w:rPr>
                                  <w:color w:val="105C84"/>
                                  <w:spacing w:val="-2"/>
                                  <w:sz w:val="20"/>
                                </w:rPr>
                                <w:t>Network</w:t>
                              </w:r>
                            </w:p>
                          </w:txbxContent>
                        </wps:txbx>
                        <wps:bodyPr wrap="square" lIns="0" tIns="0" rIns="0" bIns="0" rtlCol="0">
                          <a:noAutofit/>
                        </wps:bodyPr>
                      </wps:wsp>
                      <wps:wsp>
                        <wps:cNvPr id="593" name="Textbox 593"/>
                        <wps:cNvSpPr txBox="1"/>
                        <wps:spPr>
                          <a:xfrm>
                            <a:off x="4270883" y="467359"/>
                            <a:ext cx="1435100" cy="173990"/>
                          </a:xfrm>
                          <a:prstGeom prst="rect">
                            <a:avLst/>
                          </a:prstGeom>
                        </wps:spPr>
                        <wps:txbx>
                          <w:txbxContent>
                            <w:p>
                              <w:pPr>
                                <w:spacing w:before="12"/>
                                <w:ind w:left="0" w:right="0" w:firstLine="0"/>
                                <w:jc w:val="left"/>
                                <w:rPr>
                                  <w:sz w:val="20"/>
                                </w:rPr>
                              </w:pPr>
                              <w:r>
                                <w:rPr>
                                  <w:color w:val="105C84"/>
                                  <w:sz w:val="20"/>
                                </w:rPr>
                                <w:t>Common</w:t>
                              </w:r>
                              <w:r>
                                <w:rPr>
                                  <w:color w:val="105C84"/>
                                  <w:spacing w:val="25"/>
                                  <w:sz w:val="20"/>
                                </w:rPr>
                                <w:t> </w:t>
                              </w:r>
                              <w:r>
                                <w:rPr>
                                  <w:color w:val="105C84"/>
                                  <w:sz w:val="20"/>
                                </w:rPr>
                                <w:t>Ground</w:t>
                              </w:r>
                              <w:r>
                                <w:rPr>
                                  <w:color w:val="105C84"/>
                                  <w:spacing w:val="25"/>
                                  <w:sz w:val="20"/>
                                </w:rPr>
                                <w:t> </w:t>
                              </w:r>
                              <w:r>
                                <w:rPr>
                                  <w:color w:val="105C84"/>
                                  <w:spacing w:val="-2"/>
                                  <w:sz w:val="20"/>
                                </w:rPr>
                                <w:t>Health</w:t>
                              </w:r>
                            </w:p>
                          </w:txbxContent>
                        </wps:txbx>
                        <wps:bodyPr wrap="square" lIns="0" tIns="0" rIns="0" bIns="0" rtlCol="0">
                          <a:noAutofit/>
                        </wps:bodyPr>
                      </wps:wsp>
                      <wps:wsp>
                        <wps:cNvPr id="594" name="Textbox 594"/>
                        <wps:cNvSpPr txBox="1"/>
                        <wps:spPr>
                          <a:xfrm>
                            <a:off x="57150" y="2131060"/>
                            <a:ext cx="1785620" cy="643890"/>
                          </a:xfrm>
                          <a:prstGeom prst="rect">
                            <a:avLst/>
                          </a:prstGeom>
                        </wps:spPr>
                        <wps:txbx>
                          <w:txbxContent>
                            <w:p>
                              <w:pPr>
                                <w:spacing w:line="249" w:lineRule="auto" w:before="12"/>
                                <w:ind w:left="0" w:right="249" w:firstLine="0"/>
                                <w:jc w:val="left"/>
                                <w:rPr>
                                  <w:sz w:val="20"/>
                                </w:rPr>
                              </w:pPr>
                              <w:r>
                                <w:rPr>
                                  <w:color w:val="105C84"/>
                                  <w:sz w:val="20"/>
                                </w:rPr>
                                <w:t>Creating</w:t>
                              </w:r>
                              <w:r>
                                <w:rPr>
                                  <w:color w:val="105C84"/>
                                  <w:spacing w:val="-4"/>
                                  <w:sz w:val="20"/>
                                </w:rPr>
                                <w:t> </w:t>
                              </w:r>
                              <w:r>
                                <w:rPr>
                                  <w:color w:val="105C84"/>
                                  <w:sz w:val="20"/>
                                </w:rPr>
                                <w:t>Healthy</w:t>
                              </w:r>
                              <w:r>
                                <w:rPr>
                                  <w:color w:val="105C84"/>
                                  <w:spacing w:val="-4"/>
                                  <w:sz w:val="20"/>
                                </w:rPr>
                                <w:t> </w:t>
                              </w:r>
                              <w:r>
                                <w:rPr>
                                  <w:color w:val="105C84"/>
                                  <w:sz w:val="20"/>
                                </w:rPr>
                                <w:t>Schools and Communities</w:t>
                              </w:r>
                            </w:p>
                            <w:p>
                              <w:pPr>
                                <w:spacing w:line="240" w:lineRule="auto" w:before="32"/>
                                <w:rPr>
                                  <w:sz w:val="20"/>
                                </w:rPr>
                              </w:pPr>
                            </w:p>
                            <w:p>
                              <w:pPr>
                                <w:spacing w:before="0"/>
                                <w:ind w:left="0" w:right="0" w:firstLine="0"/>
                                <w:jc w:val="left"/>
                                <w:rPr>
                                  <w:sz w:val="20"/>
                                </w:rPr>
                              </w:pPr>
                              <w:r>
                                <w:rPr>
                                  <w:color w:val="105C84"/>
                                  <w:sz w:val="20"/>
                                </w:rPr>
                                <w:t>Foodbank</w:t>
                              </w:r>
                              <w:r>
                                <w:rPr>
                                  <w:color w:val="105C84"/>
                                  <w:spacing w:val="13"/>
                                  <w:sz w:val="20"/>
                                </w:rPr>
                                <w:t> </w:t>
                              </w:r>
                              <w:r>
                                <w:rPr>
                                  <w:color w:val="105C84"/>
                                  <w:sz w:val="20"/>
                                </w:rPr>
                                <w:t>of</w:t>
                              </w:r>
                              <w:r>
                                <w:rPr>
                                  <w:color w:val="105C84"/>
                                  <w:spacing w:val="13"/>
                                  <w:sz w:val="20"/>
                                </w:rPr>
                                <w:t> </w:t>
                              </w:r>
                              <w:r>
                                <w:rPr>
                                  <w:color w:val="105C84"/>
                                  <w:sz w:val="20"/>
                                </w:rPr>
                                <w:t>the</w:t>
                              </w:r>
                              <w:r>
                                <w:rPr>
                                  <w:color w:val="105C84"/>
                                  <w:spacing w:val="14"/>
                                  <w:sz w:val="20"/>
                                </w:rPr>
                                <w:t> </w:t>
                              </w:r>
                              <w:r>
                                <w:rPr>
                                  <w:color w:val="105C84"/>
                                  <w:sz w:val="20"/>
                                </w:rPr>
                                <w:t>Southern</w:t>
                              </w:r>
                              <w:r>
                                <w:rPr>
                                  <w:color w:val="105C84"/>
                                  <w:spacing w:val="13"/>
                                  <w:sz w:val="20"/>
                                </w:rPr>
                                <w:t> </w:t>
                              </w:r>
                              <w:r>
                                <w:rPr>
                                  <w:color w:val="105C84"/>
                                  <w:spacing w:val="-4"/>
                                  <w:sz w:val="20"/>
                                </w:rPr>
                                <w:t>Tier</w:t>
                              </w:r>
                            </w:p>
                          </w:txbxContent>
                        </wps:txbx>
                        <wps:bodyPr wrap="square" lIns="0" tIns="0" rIns="0" bIns="0" rtlCol="0">
                          <a:noAutofit/>
                        </wps:bodyPr>
                      </wps:wsp>
                      <wps:wsp>
                        <wps:cNvPr id="595" name="Textbox 595"/>
                        <wps:cNvSpPr txBox="1"/>
                        <wps:spPr>
                          <a:xfrm>
                            <a:off x="2314067" y="2207260"/>
                            <a:ext cx="1028700" cy="1045210"/>
                          </a:xfrm>
                          <a:prstGeom prst="rect">
                            <a:avLst/>
                          </a:prstGeom>
                        </wps:spPr>
                        <wps:txbx>
                          <w:txbxContent>
                            <w:p>
                              <w:pPr>
                                <w:spacing w:before="12"/>
                                <w:ind w:left="0" w:right="0" w:firstLine="0"/>
                                <w:jc w:val="left"/>
                                <w:rPr>
                                  <w:sz w:val="20"/>
                                </w:rPr>
                              </w:pPr>
                              <w:r>
                                <w:rPr>
                                  <w:color w:val="105C84"/>
                                  <w:spacing w:val="-4"/>
                                  <w:sz w:val="20"/>
                                </w:rPr>
                                <w:t>CASA-</w:t>
                              </w:r>
                              <w:r>
                                <w:rPr>
                                  <w:color w:val="105C84"/>
                                  <w:spacing w:val="-2"/>
                                  <w:sz w:val="20"/>
                                </w:rPr>
                                <w:t>Trinity</w:t>
                              </w:r>
                            </w:p>
                            <w:p>
                              <w:pPr>
                                <w:spacing w:line="240" w:lineRule="auto" w:before="40"/>
                                <w:rPr>
                                  <w:sz w:val="20"/>
                                </w:rPr>
                              </w:pPr>
                            </w:p>
                            <w:p>
                              <w:pPr>
                                <w:spacing w:line="249" w:lineRule="auto" w:before="0"/>
                                <w:ind w:left="0" w:right="0" w:firstLine="0"/>
                                <w:jc w:val="left"/>
                                <w:rPr>
                                  <w:sz w:val="20"/>
                                </w:rPr>
                              </w:pPr>
                              <w:r>
                                <w:rPr>
                                  <w:color w:val="105C84"/>
                                  <w:sz w:val="20"/>
                                </w:rPr>
                                <w:t>Chemung </w:t>
                              </w:r>
                              <w:r>
                                <w:rPr>
                                  <w:color w:val="105C84"/>
                                  <w:sz w:val="20"/>
                                </w:rPr>
                                <w:t>County </w:t>
                              </w:r>
                              <w:r>
                                <w:rPr>
                                  <w:color w:val="105C84"/>
                                  <w:w w:val="105"/>
                                  <w:sz w:val="20"/>
                                </w:rPr>
                                <w:t>Office of Aging</w:t>
                              </w:r>
                            </w:p>
                            <w:p>
                              <w:pPr>
                                <w:spacing w:line="249" w:lineRule="auto" w:before="154"/>
                                <w:ind w:left="0" w:right="0" w:firstLine="0"/>
                                <w:jc w:val="left"/>
                                <w:rPr>
                                  <w:sz w:val="20"/>
                                </w:rPr>
                              </w:pPr>
                              <w:r>
                                <w:rPr>
                                  <w:color w:val="105C84"/>
                                  <w:sz w:val="20"/>
                                </w:rPr>
                                <w:t>Chemung </w:t>
                              </w:r>
                              <w:r>
                                <w:rPr>
                                  <w:color w:val="105C84"/>
                                  <w:sz w:val="20"/>
                                </w:rPr>
                                <w:t>County Mental Health</w:t>
                              </w:r>
                            </w:p>
                          </w:txbxContent>
                        </wps:txbx>
                        <wps:bodyPr wrap="square" lIns="0" tIns="0" rIns="0" bIns="0" rtlCol="0">
                          <a:noAutofit/>
                        </wps:bodyPr>
                      </wps:wsp>
                      <wps:wsp>
                        <wps:cNvPr id="596" name="Textbox 596"/>
                        <wps:cNvSpPr txBox="1"/>
                        <wps:spPr>
                          <a:xfrm>
                            <a:off x="4270883" y="2207260"/>
                            <a:ext cx="1829435" cy="567690"/>
                          </a:xfrm>
                          <a:prstGeom prst="rect">
                            <a:avLst/>
                          </a:prstGeom>
                        </wps:spPr>
                        <wps:txbx>
                          <w:txbxContent>
                            <w:p>
                              <w:pPr>
                                <w:spacing w:before="12"/>
                                <w:ind w:left="0" w:right="0" w:firstLine="0"/>
                                <w:jc w:val="left"/>
                                <w:rPr>
                                  <w:sz w:val="20"/>
                                </w:rPr>
                              </w:pPr>
                              <w:r>
                                <w:rPr>
                                  <w:color w:val="105C84"/>
                                  <w:w w:val="105"/>
                                  <w:sz w:val="20"/>
                                </w:rPr>
                                <w:t>Arnot </w:t>
                              </w:r>
                              <w:r>
                                <w:rPr>
                                  <w:color w:val="105C84"/>
                                  <w:spacing w:val="-2"/>
                                  <w:w w:val="105"/>
                                  <w:sz w:val="20"/>
                                </w:rPr>
                                <w:t>Health</w:t>
                              </w:r>
                            </w:p>
                            <w:p>
                              <w:pPr>
                                <w:spacing w:line="240" w:lineRule="auto" w:before="160"/>
                                <w:rPr>
                                  <w:sz w:val="20"/>
                                </w:rPr>
                              </w:pPr>
                            </w:p>
                            <w:p>
                              <w:pPr>
                                <w:spacing w:before="0"/>
                                <w:ind w:left="0" w:right="0" w:firstLine="0"/>
                                <w:jc w:val="left"/>
                                <w:rPr>
                                  <w:sz w:val="20"/>
                                </w:rPr>
                              </w:pPr>
                              <w:r>
                                <w:rPr>
                                  <w:color w:val="105C84"/>
                                  <w:sz w:val="20"/>
                                </w:rPr>
                                <w:t>Chemung</w:t>
                              </w:r>
                              <w:r>
                                <w:rPr>
                                  <w:color w:val="105C84"/>
                                  <w:spacing w:val="7"/>
                                  <w:sz w:val="20"/>
                                </w:rPr>
                                <w:t> </w:t>
                              </w:r>
                              <w:r>
                                <w:rPr>
                                  <w:color w:val="105C84"/>
                                  <w:sz w:val="20"/>
                                </w:rPr>
                                <w:t>County</w:t>
                              </w:r>
                              <w:r>
                                <w:rPr>
                                  <w:color w:val="105C84"/>
                                  <w:spacing w:val="8"/>
                                  <w:sz w:val="20"/>
                                </w:rPr>
                                <w:t> </w:t>
                              </w:r>
                              <w:r>
                                <w:rPr>
                                  <w:color w:val="105C84"/>
                                  <w:sz w:val="20"/>
                                </w:rPr>
                                <w:t>Youth</w:t>
                              </w:r>
                              <w:r>
                                <w:rPr>
                                  <w:color w:val="105C84"/>
                                  <w:spacing w:val="7"/>
                                  <w:sz w:val="20"/>
                                </w:rPr>
                                <w:t> </w:t>
                              </w:r>
                              <w:r>
                                <w:rPr>
                                  <w:color w:val="105C84"/>
                                  <w:spacing w:val="-2"/>
                                  <w:sz w:val="20"/>
                                </w:rPr>
                                <w:t>Bureau</w:t>
                              </w:r>
                            </w:p>
                          </w:txbxContent>
                        </wps:txbx>
                        <wps:bodyPr wrap="square" lIns="0" tIns="0" rIns="0" bIns="0" rtlCol="0">
                          <a:noAutofit/>
                        </wps:bodyPr>
                      </wps:wsp>
                      <wps:wsp>
                        <wps:cNvPr id="597" name="Textbox 597"/>
                        <wps:cNvSpPr txBox="1"/>
                        <wps:spPr>
                          <a:xfrm>
                            <a:off x="57150" y="3002660"/>
                            <a:ext cx="305435" cy="173990"/>
                          </a:xfrm>
                          <a:prstGeom prst="rect">
                            <a:avLst/>
                          </a:prstGeom>
                        </wps:spPr>
                        <wps:txbx>
                          <w:txbxContent>
                            <w:p>
                              <w:pPr>
                                <w:spacing w:before="12"/>
                                <w:ind w:left="0" w:right="0" w:firstLine="0"/>
                                <w:jc w:val="left"/>
                                <w:rPr>
                                  <w:sz w:val="20"/>
                                </w:rPr>
                              </w:pPr>
                              <w:r>
                                <w:rPr>
                                  <w:color w:val="105C84"/>
                                  <w:spacing w:val="-4"/>
                                  <w:sz w:val="20"/>
                                </w:rPr>
                                <w:t>CIDS</w:t>
                              </w:r>
                            </w:p>
                          </w:txbxContent>
                        </wps:txbx>
                        <wps:bodyPr wrap="square" lIns="0" tIns="0" rIns="0" bIns="0" rtlCol="0">
                          <a:noAutofit/>
                        </wps:bodyPr>
                      </wps:wsp>
                      <wps:wsp>
                        <wps:cNvPr id="598" name="Textbox 598"/>
                        <wps:cNvSpPr txBox="1"/>
                        <wps:spPr>
                          <a:xfrm>
                            <a:off x="4270883" y="3002660"/>
                            <a:ext cx="268605" cy="173990"/>
                          </a:xfrm>
                          <a:prstGeom prst="rect">
                            <a:avLst/>
                          </a:prstGeom>
                        </wps:spPr>
                        <wps:txbx>
                          <w:txbxContent>
                            <w:p>
                              <w:pPr>
                                <w:spacing w:before="12"/>
                                <w:ind w:left="0" w:right="0" w:firstLine="0"/>
                                <w:jc w:val="left"/>
                                <w:rPr>
                                  <w:sz w:val="20"/>
                                </w:rPr>
                              </w:pPr>
                              <w:r>
                                <w:rPr>
                                  <w:color w:val="105C84"/>
                                  <w:spacing w:val="-5"/>
                                  <w:sz w:val="20"/>
                                </w:rPr>
                                <w:t>CCP</w:t>
                              </w:r>
                            </w:p>
                          </w:txbxContent>
                        </wps:txbx>
                        <wps:bodyPr wrap="square" lIns="0" tIns="0" rIns="0" bIns="0" rtlCol="0">
                          <a:noAutofit/>
                        </wps:bodyPr>
                      </wps:wsp>
                      <wps:wsp>
                        <wps:cNvPr id="599" name="Textbox 599"/>
                        <wps:cNvSpPr txBox="1"/>
                        <wps:spPr>
                          <a:xfrm>
                            <a:off x="0" y="3175"/>
                            <a:ext cx="6315710" cy="373380"/>
                          </a:xfrm>
                          <a:prstGeom prst="rect">
                            <a:avLst/>
                          </a:prstGeom>
                        </wps:spPr>
                        <wps:txbx>
                          <w:txbxContent>
                            <w:p>
                              <w:pPr>
                                <w:spacing w:before="197"/>
                                <w:ind w:left="2" w:right="0" w:firstLine="0"/>
                                <w:jc w:val="center"/>
                                <w:rPr>
                                  <w:b/>
                                  <w:sz w:val="22"/>
                                </w:rPr>
                              </w:pPr>
                              <w:r>
                                <w:rPr>
                                  <w:b/>
                                  <w:color w:val="FFFFFF"/>
                                  <w:sz w:val="22"/>
                                </w:rPr>
                                <w:t>CHEMUNG</w:t>
                              </w:r>
                              <w:r>
                                <w:rPr>
                                  <w:b/>
                                  <w:color w:val="FFFFFF"/>
                                  <w:spacing w:val="33"/>
                                  <w:sz w:val="22"/>
                                </w:rPr>
                                <w:t> </w:t>
                              </w:r>
                              <w:r>
                                <w:rPr>
                                  <w:b/>
                                  <w:color w:val="FFFFFF"/>
                                  <w:sz w:val="22"/>
                                </w:rPr>
                                <w:t>COUNTY</w:t>
                              </w:r>
                              <w:r>
                                <w:rPr>
                                  <w:b/>
                                  <w:color w:val="FFFFFF"/>
                                  <w:spacing w:val="34"/>
                                  <w:sz w:val="22"/>
                                </w:rPr>
                                <w:t> </w:t>
                              </w:r>
                              <w:r>
                                <w:rPr>
                                  <w:b/>
                                  <w:color w:val="FFFFFF"/>
                                  <w:sz w:val="22"/>
                                </w:rPr>
                                <w:t>PRIORITIZATION</w:t>
                              </w:r>
                              <w:r>
                                <w:rPr>
                                  <w:b/>
                                  <w:color w:val="FFFFFF"/>
                                  <w:spacing w:val="34"/>
                                  <w:sz w:val="22"/>
                                </w:rPr>
                                <w:t> </w:t>
                              </w:r>
                              <w:r>
                                <w:rPr>
                                  <w:b/>
                                  <w:color w:val="FFFFFF"/>
                                  <w:spacing w:val="-2"/>
                                  <w:sz w:val="22"/>
                                </w:rPr>
                                <w:t>AGENCIES</w:t>
                              </w:r>
                            </w:p>
                          </w:txbxContent>
                        </wps:txbx>
                        <wps:bodyPr wrap="square" lIns="0" tIns="0" rIns="0" bIns="0" rtlCol="0">
                          <a:noAutofit/>
                        </wps:bodyPr>
                      </wps:wsp>
                    </wpg:wgp>
                  </a:graphicData>
                </a:graphic>
              </wp:anchor>
            </w:drawing>
          </mc:Choice>
          <mc:Fallback>
            <w:pict>
              <v:group style="position:absolute;margin-left:54pt;margin-top:23.201256pt;width:497.3pt;height:259.1500pt;mso-position-horizontal-relative:page;mso-position-vertical-relative:paragraph;z-index:-28305920" id="docshapegroup501" coordorigin="1080,464" coordsize="9946,5183">
                <v:rect style="position:absolute;left:1080;top:466;width:9946;height:593" id="docshape502" filled="true" fillcolor="#939598" stroked="false">
                  <v:fill type="solid"/>
                </v:rect>
                <v:line style="position:absolute" from="4634,1599" to="7313,1599" stroked="true" strokeweight=".25pt" strokecolor="#636466">
                  <v:stroke dashstyle="solid"/>
                </v:line>
                <v:line style="position:absolute" from="4634,4379" to="7313,4379" stroked="true" strokeweight=".25pt" strokecolor="#636466">
                  <v:stroke dashstyle="solid"/>
                </v:line>
                <v:line style="position:absolute" from="4634,4999" to="7313,4999" stroked="true" strokeweight=".25pt" strokecolor="#636466">
                  <v:stroke dashstyle="solid"/>
                </v:line>
                <v:line style="position:absolute" from="1080,1599" to="4202,1599" stroked="true" strokeweight=".25pt" strokecolor="#636466">
                  <v:stroke dashstyle="solid"/>
                </v:line>
                <v:line style="position:absolute" from="7716,1599" to="11025,1599" stroked="true" strokeweight=".25pt" strokecolor="#636466">
                  <v:stroke dashstyle="solid"/>
                </v:line>
                <v:line style="position:absolute" from="1080,4379" to="4202,4379" stroked="true" strokeweight=".25pt" strokecolor="#636466">
                  <v:stroke dashstyle="solid"/>
                </v:line>
                <v:line style="position:absolute" from="7716,4379" to="11025,4379" stroked="true" strokeweight=".25pt" strokecolor="#636466">
                  <v:stroke dashstyle="solid"/>
                </v:line>
                <v:line style="position:absolute" from="1080,4999" to="4202,4999" stroked="true" strokeweight=".25pt" strokecolor="#636466">
                  <v:stroke dashstyle="solid"/>
                </v:line>
                <v:line style="position:absolute" from="7716,4999" to="11025,4999" stroked="true" strokeweight=".25pt" strokecolor="#636466">
                  <v:stroke dashstyle="solid"/>
                </v:line>
                <v:line style="position:absolute" from="1080,5644" to="4202,5644" stroked="true" strokeweight=".25pt" strokecolor="#636466">
                  <v:stroke dashstyle="solid"/>
                </v:line>
                <v:line style="position:absolute" from="7716,5644" to="11025,5644" stroked="true" strokeweight=".25pt" strokecolor="#636466">
                  <v:stroke dashstyle="solid"/>
                </v:line>
                <v:line style="position:absolute" from="4634,5644" to="7313,5644" stroked="true" strokeweight=".25pt" strokecolor="#636466">
                  <v:stroke dashstyle="solid"/>
                </v:line>
                <v:line style="position:absolute" from="1080,467" to="4202,467" stroked="true" strokeweight=".25pt" strokecolor="#636466">
                  <v:stroke dashstyle="solid"/>
                </v:line>
                <v:line style="position:absolute" from="4202,467" to="4634,467" stroked="true" strokeweight=".25pt" strokecolor="#636466">
                  <v:stroke dashstyle="solid"/>
                </v:line>
                <v:line style="position:absolute" from="4634,467" to="7313,467" stroked="true" strokeweight=".25pt" strokecolor="#636466">
                  <v:stroke dashstyle="solid"/>
                </v:line>
                <v:line style="position:absolute" from="7313,467" to="7716,467" stroked="true" strokeweight=".25pt" strokecolor="#636466">
                  <v:stroke dashstyle="solid"/>
                </v:line>
                <v:line style="position:absolute" from="7716,467" to="11025,467" stroked="true" strokeweight=".25pt" strokecolor="#636466">
                  <v:stroke dashstyle="solid"/>
                </v:line>
                <v:line style="position:absolute" from="1080,1059" to="4202,1059" stroked="true" strokeweight=".25pt" strokecolor="#636466">
                  <v:stroke dashstyle="solid"/>
                </v:line>
                <v:line style="position:absolute" from="4202,1059" to="4634,1059" stroked="true" strokeweight=".25pt" strokecolor="#636466">
                  <v:stroke dashstyle="solid"/>
                </v:line>
                <v:line style="position:absolute" from="4634,1059" to="7313,1059" stroked="true" strokeweight=".25pt" strokecolor="#636466">
                  <v:stroke dashstyle="solid"/>
                </v:line>
                <v:line style="position:absolute" from="7313,1059" to="7716,1059" stroked="true" strokeweight=".25pt" strokecolor="#636466">
                  <v:stroke dashstyle="solid"/>
                </v:line>
                <v:line style="position:absolute" from="7716,1059" to="11025,1059" stroked="true" strokeweight=".25pt" strokecolor="#636466">
                  <v:stroke dashstyle="solid"/>
                </v:line>
                <v:shape style="position:absolute;left:1170;top:1200;width:2876;height:274" type="#_x0000_t202" id="docshape503" filled="false" stroked="false">
                  <v:textbox inset="0,0,0,0">
                    <w:txbxContent>
                      <w:p>
                        <w:pPr>
                          <w:spacing w:before="12"/>
                          <w:ind w:left="0" w:right="0" w:firstLine="0"/>
                          <w:jc w:val="left"/>
                          <w:rPr>
                            <w:sz w:val="20"/>
                          </w:rPr>
                        </w:pPr>
                        <w:r>
                          <w:rPr>
                            <w:color w:val="105C84"/>
                            <w:sz w:val="20"/>
                          </w:rPr>
                          <w:t>Chemung</w:t>
                        </w:r>
                        <w:r>
                          <w:rPr>
                            <w:color w:val="105C84"/>
                            <w:spacing w:val="12"/>
                            <w:sz w:val="20"/>
                          </w:rPr>
                          <w:t> </w:t>
                        </w:r>
                        <w:r>
                          <w:rPr>
                            <w:color w:val="105C84"/>
                            <w:sz w:val="20"/>
                          </w:rPr>
                          <w:t>County</w:t>
                        </w:r>
                        <w:r>
                          <w:rPr>
                            <w:color w:val="105C84"/>
                            <w:spacing w:val="13"/>
                            <w:sz w:val="20"/>
                          </w:rPr>
                          <w:t> </w:t>
                        </w:r>
                        <w:r>
                          <w:rPr>
                            <w:color w:val="105C84"/>
                            <w:sz w:val="20"/>
                          </w:rPr>
                          <w:t>Public</w:t>
                        </w:r>
                        <w:r>
                          <w:rPr>
                            <w:color w:val="105C84"/>
                            <w:spacing w:val="12"/>
                            <w:sz w:val="20"/>
                          </w:rPr>
                          <w:t> </w:t>
                        </w:r>
                        <w:r>
                          <w:rPr>
                            <w:color w:val="105C84"/>
                            <w:spacing w:val="-2"/>
                            <w:sz w:val="20"/>
                          </w:rPr>
                          <w:t>Health</w:t>
                        </w:r>
                      </w:p>
                    </w:txbxContent>
                  </v:textbox>
                  <w10:wrap type="none"/>
                </v:shape>
                <v:shape style="position:absolute;left:4724;top:1200;width:2468;height:274" type="#_x0000_t202" id="docshape504" filled="false" stroked="false">
                  <v:textbox inset="0,0,0,0">
                    <w:txbxContent>
                      <w:p>
                        <w:pPr>
                          <w:spacing w:before="12"/>
                          <w:ind w:left="0" w:right="0" w:firstLine="0"/>
                          <w:jc w:val="left"/>
                          <w:rPr>
                            <w:sz w:val="20"/>
                          </w:rPr>
                        </w:pPr>
                        <w:r>
                          <w:rPr>
                            <w:color w:val="105C84"/>
                            <w:spacing w:val="-2"/>
                            <w:sz w:val="20"/>
                          </w:rPr>
                          <w:t>S2AY</w:t>
                        </w:r>
                        <w:r>
                          <w:rPr>
                            <w:color w:val="105C84"/>
                            <w:spacing w:val="-12"/>
                            <w:sz w:val="20"/>
                          </w:rPr>
                          <w:t> </w:t>
                        </w:r>
                        <w:r>
                          <w:rPr>
                            <w:color w:val="105C84"/>
                            <w:spacing w:val="-2"/>
                            <w:sz w:val="20"/>
                          </w:rPr>
                          <w:t>Rural</w:t>
                        </w:r>
                        <w:r>
                          <w:rPr>
                            <w:color w:val="105C84"/>
                            <w:spacing w:val="-11"/>
                            <w:sz w:val="20"/>
                          </w:rPr>
                          <w:t> </w:t>
                        </w:r>
                        <w:r>
                          <w:rPr>
                            <w:color w:val="105C84"/>
                            <w:spacing w:val="-2"/>
                            <w:sz w:val="20"/>
                          </w:rPr>
                          <w:t>Health</w:t>
                        </w:r>
                        <w:r>
                          <w:rPr>
                            <w:color w:val="105C84"/>
                            <w:spacing w:val="-12"/>
                            <w:sz w:val="20"/>
                          </w:rPr>
                          <w:t> </w:t>
                        </w:r>
                        <w:r>
                          <w:rPr>
                            <w:color w:val="105C84"/>
                            <w:spacing w:val="-2"/>
                            <w:sz w:val="20"/>
                          </w:rPr>
                          <w:t>Network</w:t>
                        </w:r>
                      </w:p>
                    </w:txbxContent>
                  </v:textbox>
                  <w10:wrap type="none"/>
                </v:shape>
                <v:shape style="position:absolute;left:7805;top:1200;width:2260;height:274" type="#_x0000_t202" id="docshape505" filled="false" stroked="false">
                  <v:textbox inset="0,0,0,0">
                    <w:txbxContent>
                      <w:p>
                        <w:pPr>
                          <w:spacing w:before="12"/>
                          <w:ind w:left="0" w:right="0" w:firstLine="0"/>
                          <w:jc w:val="left"/>
                          <w:rPr>
                            <w:sz w:val="20"/>
                          </w:rPr>
                        </w:pPr>
                        <w:r>
                          <w:rPr>
                            <w:color w:val="105C84"/>
                            <w:sz w:val="20"/>
                          </w:rPr>
                          <w:t>Common</w:t>
                        </w:r>
                        <w:r>
                          <w:rPr>
                            <w:color w:val="105C84"/>
                            <w:spacing w:val="25"/>
                            <w:sz w:val="20"/>
                          </w:rPr>
                          <w:t> </w:t>
                        </w:r>
                        <w:r>
                          <w:rPr>
                            <w:color w:val="105C84"/>
                            <w:sz w:val="20"/>
                          </w:rPr>
                          <w:t>Ground</w:t>
                        </w:r>
                        <w:r>
                          <w:rPr>
                            <w:color w:val="105C84"/>
                            <w:spacing w:val="25"/>
                            <w:sz w:val="20"/>
                          </w:rPr>
                          <w:t> </w:t>
                        </w:r>
                        <w:r>
                          <w:rPr>
                            <w:color w:val="105C84"/>
                            <w:spacing w:val="-2"/>
                            <w:sz w:val="20"/>
                          </w:rPr>
                          <w:t>Health</w:t>
                        </w:r>
                      </w:p>
                    </w:txbxContent>
                  </v:textbox>
                  <w10:wrap type="none"/>
                </v:shape>
                <v:shape style="position:absolute;left:1170;top:3820;width:2812;height:1014" type="#_x0000_t202" id="docshape506" filled="false" stroked="false">
                  <v:textbox inset="0,0,0,0">
                    <w:txbxContent>
                      <w:p>
                        <w:pPr>
                          <w:spacing w:line="249" w:lineRule="auto" w:before="12"/>
                          <w:ind w:left="0" w:right="249" w:firstLine="0"/>
                          <w:jc w:val="left"/>
                          <w:rPr>
                            <w:sz w:val="20"/>
                          </w:rPr>
                        </w:pPr>
                        <w:r>
                          <w:rPr>
                            <w:color w:val="105C84"/>
                            <w:sz w:val="20"/>
                          </w:rPr>
                          <w:t>Creating</w:t>
                        </w:r>
                        <w:r>
                          <w:rPr>
                            <w:color w:val="105C84"/>
                            <w:spacing w:val="-4"/>
                            <w:sz w:val="20"/>
                          </w:rPr>
                          <w:t> </w:t>
                        </w:r>
                        <w:r>
                          <w:rPr>
                            <w:color w:val="105C84"/>
                            <w:sz w:val="20"/>
                          </w:rPr>
                          <w:t>Healthy</w:t>
                        </w:r>
                        <w:r>
                          <w:rPr>
                            <w:color w:val="105C84"/>
                            <w:spacing w:val="-4"/>
                            <w:sz w:val="20"/>
                          </w:rPr>
                          <w:t> </w:t>
                        </w:r>
                        <w:r>
                          <w:rPr>
                            <w:color w:val="105C84"/>
                            <w:sz w:val="20"/>
                          </w:rPr>
                          <w:t>Schools and Communities</w:t>
                        </w:r>
                      </w:p>
                      <w:p>
                        <w:pPr>
                          <w:spacing w:line="240" w:lineRule="auto" w:before="32"/>
                          <w:rPr>
                            <w:sz w:val="20"/>
                          </w:rPr>
                        </w:pPr>
                      </w:p>
                      <w:p>
                        <w:pPr>
                          <w:spacing w:before="0"/>
                          <w:ind w:left="0" w:right="0" w:firstLine="0"/>
                          <w:jc w:val="left"/>
                          <w:rPr>
                            <w:sz w:val="20"/>
                          </w:rPr>
                        </w:pPr>
                        <w:r>
                          <w:rPr>
                            <w:color w:val="105C84"/>
                            <w:sz w:val="20"/>
                          </w:rPr>
                          <w:t>Foodbank</w:t>
                        </w:r>
                        <w:r>
                          <w:rPr>
                            <w:color w:val="105C84"/>
                            <w:spacing w:val="13"/>
                            <w:sz w:val="20"/>
                          </w:rPr>
                          <w:t> </w:t>
                        </w:r>
                        <w:r>
                          <w:rPr>
                            <w:color w:val="105C84"/>
                            <w:sz w:val="20"/>
                          </w:rPr>
                          <w:t>of</w:t>
                        </w:r>
                        <w:r>
                          <w:rPr>
                            <w:color w:val="105C84"/>
                            <w:spacing w:val="13"/>
                            <w:sz w:val="20"/>
                          </w:rPr>
                          <w:t> </w:t>
                        </w:r>
                        <w:r>
                          <w:rPr>
                            <w:color w:val="105C84"/>
                            <w:sz w:val="20"/>
                          </w:rPr>
                          <w:t>the</w:t>
                        </w:r>
                        <w:r>
                          <w:rPr>
                            <w:color w:val="105C84"/>
                            <w:spacing w:val="14"/>
                            <w:sz w:val="20"/>
                          </w:rPr>
                          <w:t> </w:t>
                        </w:r>
                        <w:r>
                          <w:rPr>
                            <w:color w:val="105C84"/>
                            <w:sz w:val="20"/>
                          </w:rPr>
                          <w:t>Southern</w:t>
                        </w:r>
                        <w:r>
                          <w:rPr>
                            <w:color w:val="105C84"/>
                            <w:spacing w:val="13"/>
                            <w:sz w:val="20"/>
                          </w:rPr>
                          <w:t> </w:t>
                        </w:r>
                        <w:r>
                          <w:rPr>
                            <w:color w:val="105C84"/>
                            <w:spacing w:val="-4"/>
                            <w:sz w:val="20"/>
                          </w:rPr>
                          <w:t>Tier</w:t>
                        </w:r>
                      </w:p>
                    </w:txbxContent>
                  </v:textbox>
                  <w10:wrap type="none"/>
                </v:shape>
                <v:shape style="position:absolute;left:4724;top:3940;width:1620;height:1646" type="#_x0000_t202" id="docshape507" filled="false" stroked="false">
                  <v:textbox inset="0,0,0,0">
                    <w:txbxContent>
                      <w:p>
                        <w:pPr>
                          <w:spacing w:before="12"/>
                          <w:ind w:left="0" w:right="0" w:firstLine="0"/>
                          <w:jc w:val="left"/>
                          <w:rPr>
                            <w:sz w:val="20"/>
                          </w:rPr>
                        </w:pPr>
                        <w:r>
                          <w:rPr>
                            <w:color w:val="105C84"/>
                            <w:spacing w:val="-4"/>
                            <w:sz w:val="20"/>
                          </w:rPr>
                          <w:t>CASA-</w:t>
                        </w:r>
                        <w:r>
                          <w:rPr>
                            <w:color w:val="105C84"/>
                            <w:spacing w:val="-2"/>
                            <w:sz w:val="20"/>
                          </w:rPr>
                          <w:t>Trinity</w:t>
                        </w:r>
                      </w:p>
                      <w:p>
                        <w:pPr>
                          <w:spacing w:line="240" w:lineRule="auto" w:before="40"/>
                          <w:rPr>
                            <w:sz w:val="20"/>
                          </w:rPr>
                        </w:pPr>
                      </w:p>
                      <w:p>
                        <w:pPr>
                          <w:spacing w:line="249" w:lineRule="auto" w:before="0"/>
                          <w:ind w:left="0" w:right="0" w:firstLine="0"/>
                          <w:jc w:val="left"/>
                          <w:rPr>
                            <w:sz w:val="20"/>
                          </w:rPr>
                        </w:pPr>
                        <w:r>
                          <w:rPr>
                            <w:color w:val="105C84"/>
                            <w:sz w:val="20"/>
                          </w:rPr>
                          <w:t>Chemung </w:t>
                        </w:r>
                        <w:r>
                          <w:rPr>
                            <w:color w:val="105C84"/>
                            <w:sz w:val="20"/>
                          </w:rPr>
                          <w:t>County </w:t>
                        </w:r>
                        <w:r>
                          <w:rPr>
                            <w:color w:val="105C84"/>
                            <w:w w:val="105"/>
                            <w:sz w:val="20"/>
                          </w:rPr>
                          <w:t>Office of Aging</w:t>
                        </w:r>
                      </w:p>
                      <w:p>
                        <w:pPr>
                          <w:spacing w:line="249" w:lineRule="auto" w:before="154"/>
                          <w:ind w:left="0" w:right="0" w:firstLine="0"/>
                          <w:jc w:val="left"/>
                          <w:rPr>
                            <w:sz w:val="20"/>
                          </w:rPr>
                        </w:pPr>
                        <w:r>
                          <w:rPr>
                            <w:color w:val="105C84"/>
                            <w:sz w:val="20"/>
                          </w:rPr>
                          <w:t>Chemung </w:t>
                        </w:r>
                        <w:r>
                          <w:rPr>
                            <w:color w:val="105C84"/>
                            <w:sz w:val="20"/>
                          </w:rPr>
                          <w:t>County Mental Health</w:t>
                        </w:r>
                      </w:p>
                    </w:txbxContent>
                  </v:textbox>
                  <w10:wrap type="none"/>
                </v:shape>
                <v:shape style="position:absolute;left:7805;top:3940;width:2881;height:894" type="#_x0000_t202" id="docshape508" filled="false" stroked="false">
                  <v:textbox inset="0,0,0,0">
                    <w:txbxContent>
                      <w:p>
                        <w:pPr>
                          <w:spacing w:before="12"/>
                          <w:ind w:left="0" w:right="0" w:firstLine="0"/>
                          <w:jc w:val="left"/>
                          <w:rPr>
                            <w:sz w:val="20"/>
                          </w:rPr>
                        </w:pPr>
                        <w:r>
                          <w:rPr>
                            <w:color w:val="105C84"/>
                            <w:w w:val="105"/>
                            <w:sz w:val="20"/>
                          </w:rPr>
                          <w:t>Arnot </w:t>
                        </w:r>
                        <w:r>
                          <w:rPr>
                            <w:color w:val="105C84"/>
                            <w:spacing w:val="-2"/>
                            <w:w w:val="105"/>
                            <w:sz w:val="20"/>
                          </w:rPr>
                          <w:t>Health</w:t>
                        </w:r>
                      </w:p>
                      <w:p>
                        <w:pPr>
                          <w:spacing w:line="240" w:lineRule="auto" w:before="160"/>
                          <w:rPr>
                            <w:sz w:val="20"/>
                          </w:rPr>
                        </w:pPr>
                      </w:p>
                      <w:p>
                        <w:pPr>
                          <w:spacing w:before="0"/>
                          <w:ind w:left="0" w:right="0" w:firstLine="0"/>
                          <w:jc w:val="left"/>
                          <w:rPr>
                            <w:sz w:val="20"/>
                          </w:rPr>
                        </w:pPr>
                        <w:r>
                          <w:rPr>
                            <w:color w:val="105C84"/>
                            <w:sz w:val="20"/>
                          </w:rPr>
                          <w:t>Chemung</w:t>
                        </w:r>
                        <w:r>
                          <w:rPr>
                            <w:color w:val="105C84"/>
                            <w:spacing w:val="7"/>
                            <w:sz w:val="20"/>
                          </w:rPr>
                          <w:t> </w:t>
                        </w:r>
                        <w:r>
                          <w:rPr>
                            <w:color w:val="105C84"/>
                            <w:sz w:val="20"/>
                          </w:rPr>
                          <w:t>County</w:t>
                        </w:r>
                        <w:r>
                          <w:rPr>
                            <w:color w:val="105C84"/>
                            <w:spacing w:val="8"/>
                            <w:sz w:val="20"/>
                          </w:rPr>
                          <w:t> </w:t>
                        </w:r>
                        <w:r>
                          <w:rPr>
                            <w:color w:val="105C84"/>
                            <w:sz w:val="20"/>
                          </w:rPr>
                          <w:t>Youth</w:t>
                        </w:r>
                        <w:r>
                          <w:rPr>
                            <w:color w:val="105C84"/>
                            <w:spacing w:val="7"/>
                            <w:sz w:val="20"/>
                          </w:rPr>
                          <w:t> </w:t>
                        </w:r>
                        <w:r>
                          <w:rPr>
                            <w:color w:val="105C84"/>
                            <w:spacing w:val="-2"/>
                            <w:sz w:val="20"/>
                          </w:rPr>
                          <w:t>Bureau</w:t>
                        </w:r>
                      </w:p>
                    </w:txbxContent>
                  </v:textbox>
                  <w10:wrap type="none"/>
                </v:shape>
                <v:shape style="position:absolute;left:1170;top:5192;width:481;height:274" type="#_x0000_t202" id="docshape509" filled="false" stroked="false">
                  <v:textbox inset="0,0,0,0">
                    <w:txbxContent>
                      <w:p>
                        <w:pPr>
                          <w:spacing w:before="12"/>
                          <w:ind w:left="0" w:right="0" w:firstLine="0"/>
                          <w:jc w:val="left"/>
                          <w:rPr>
                            <w:sz w:val="20"/>
                          </w:rPr>
                        </w:pPr>
                        <w:r>
                          <w:rPr>
                            <w:color w:val="105C84"/>
                            <w:spacing w:val="-4"/>
                            <w:sz w:val="20"/>
                          </w:rPr>
                          <w:t>CIDS</w:t>
                        </w:r>
                      </w:p>
                    </w:txbxContent>
                  </v:textbox>
                  <w10:wrap type="none"/>
                </v:shape>
                <v:shape style="position:absolute;left:7805;top:5192;width:423;height:274" type="#_x0000_t202" id="docshape510" filled="false" stroked="false">
                  <v:textbox inset="0,0,0,0">
                    <w:txbxContent>
                      <w:p>
                        <w:pPr>
                          <w:spacing w:before="12"/>
                          <w:ind w:left="0" w:right="0" w:firstLine="0"/>
                          <w:jc w:val="left"/>
                          <w:rPr>
                            <w:sz w:val="20"/>
                          </w:rPr>
                        </w:pPr>
                        <w:r>
                          <w:rPr>
                            <w:color w:val="105C84"/>
                            <w:spacing w:val="-5"/>
                            <w:sz w:val="20"/>
                          </w:rPr>
                          <w:t>CCP</w:t>
                        </w:r>
                      </w:p>
                    </w:txbxContent>
                  </v:textbox>
                  <w10:wrap type="none"/>
                </v:shape>
                <v:shape style="position:absolute;left:1080;top:469;width:9946;height:588" type="#_x0000_t202" id="docshape511" filled="false" stroked="false">
                  <v:textbox inset="0,0,0,0">
                    <w:txbxContent>
                      <w:p>
                        <w:pPr>
                          <w:spacing w:before="197"/>
                          <w:ind w:left="2" w:right="0" w:firstLine="0"/>
                          <w:jc w:val="center"/>
                          <w:rPr>
                            <w:b/>
                            <w:sz w:val="22"/>
                          </w:rPr>
                        </w:pPr>
                        <w:r>
                          <w:rPr>
                            <w:b/>
                            <w:color w:val="FFFFFF"/>
                            <w:sz w:val="22"/>
                          </w:rPr>
                          <w:t>CHEMUNG</w:t>
                        </w:r>
                        <w:r>
                          <w:rPr>
                            <w:b/>
                            <w:color w:val="FFFFFF"/>
                            <w:spacing w:val="33"/>
                            <w:sz w:val="22"/>
                          </w:rPr>
                          <w:t> </w:t>
                        </w:r>
                        <w:r>
                          <w:rPr>
                            <w:b/>
                            <w:color w:val="FFFFFF"/>
                            <w:sz w:val="22"/>
                          </w:rPr>
                          <w:t>COUNTY</w:t>
                        </w:r>
                        <w:r>
                          <w:rPr>
                            <w:b/>
                            <w:color w:val="FFFFFF"/>
                            <w:spacing w:val="34"/>
                            <w:sz w:val="22"/>
                          </w:rPr>
                          <w:t> </w:t>
                        </w:r>
                        <w:r>
                          <w:rPr>
                            <w:b/>
                            <w:color w:val="FFFFFF"/>
                            <w:sz w:val="22"/>
                          </w:rPr>
                          <w:t>PRIORITIZATION</w:t>
                        </w:r>
                        <w:r>
                          <w:rPr>
                            <w:b/>
                            <w:color w:val="FFFFFF"/>
                            <w:spacing w:val="34"/>
                            <w:sz w:val="22"/>
                          </w:rPr>
                          <w:t> </w:t>
                        </w:r>
                        <w:r>
                          <w:rPr>
                            <w:b/>
                            <w:color w:val="FFFFFF"/>
                            <w:spacing w:val="-2"/>
                            <w:sz w:val="22"/>
                          </w:rPr>
                          <w:t>AGENCIES</w:t>
                        </w:r>
                      </w:p>
                    </w:txbxContent>
                  </v:textbox>
                  <w10:wrap type="none"/>
                </v:shape>
                <w10:wrap type="none"/>
              </v:group>
            </w:pict>
          </mc:Fallback>
        </mc:AlternateContent>
      </w:r>
      <w:r>
        <w:rPr>
          <w:color w:val="105C84"/>
        </w:rPr>
        <w:t>A</w:t>
      </w:r>
      <w:r>
        <w:rPr>
          <w:color w:val="105C84"/>
          <w:spacing w:val="-7"/>
        </w:rPr>
        <w:t> </w:t>
      </w:r>
      <w:r>
        <w:rPr>
          <w:color w:val="105C84"/>
        </w:rPr>
        <w:t>variety</w:t>
      </w:r>
      <w:r>
        <w:rPr>
          <w:color w:val="105C84"/>
          <w:spacing w:val="-6"/>
        </w:rPr>
        <w:t> </w:t>
      </w:r>
      <w:r>
        <w:rPr>
          <w:color w:val="105C84"/>
        </w:rPr>
        <w:t>of</w:t>
      </w:r>
      <w:r>
        <w:rPr>
          <w:color w:val="105C84"/>
          <w:spacing w:val="-6"/>
        </w:rPr>
        <w:t> </w:t>
      </w:r>
      <w:r>
        <w:rPr>
          <w:color w:val="105C84"/>
        </w:rPr>
        <w:t>partners</w:t>
      </w:r>
      <w:r>
        <w:rPr>
          <w:color w:val="105C84"/>
          <w:spacing w:val="-7"/>
        </w:rPr>
        <w:t> </w:t>
      </w:r>
      <w:r>
        <w:rPr>
          <w:color w:val="105C84"/>
        </w:rPr>
        <w:t>were</w:t>
      </w:r>
      <w:r>
        <w:rPr>
          <w:color w:val="105C84"/>
          <w:spacing w:val="-6"/>
        </w:rPr>
        <w:t> </w:t>
      </w:r>
      <w:r>
        <w:rPr>
          <w:color w:val="105C84"/>
        </w:rPr>
        <w:t>engaged</w:t>
      </w:r>
      <w:r>
        <w:rPr>
          <w:color w:val="105C84"/>
          <w:spacing w:val="-6"/>
        </w:rPr>
        <w:t> </w:t>
      </w:r>
      <w:r>
        <w:rPr>
          <w:color w:val="105C84"/>
        </w:rPr>
        <w:t>in</w:t>
      </w:r>
      <w:r>
        <w:rPr>
          <w:color w:val="105C84"/>
          <w:spacing w:val="-6"/>
        </w:rPr>
        <w:t> </w:t>
      </w:r>
      <w:r>
        <w:rPr>
          <w:color w:val="105C84"/>
        </w:rPr>
        <w:t>Chemung</w:t>
      </w:r>
      <w:r>
        <w:rPr>
          <w:color w:val="105C84"/>
          <w:spacing w:val="-7"/>
        </w:rPr>
        <w:t> </w:t>
      </w:r>
      <w:r>
        <w:rPr>
          <w:color w:val="105C84"/>
        </w:rPr>
        <w:t>County’s</w:t>
      </w:r>
      <w:r>
        <w:rPr>
          <w:color w:val="105C84"/>
          <w:spacing w:val="-6"/>
        </w:rPr>
        <w:t> </w:t>
      </w:r>
      <w:r>
        <w:rPr>
          <w:color w:val="105C84"/>
        </w:rPr>
        <w:t>specific</w:t>
      </w:r>
      <w:r>
        <w:rPr>
          <w:color w:val="105C84"/>
          <w:spacing w:val="-6"/>
        </w:rPr>
        <w:t> </w:t>
      </w:r>
      <w:r>
        <w:rPr>
          <w:color w:val="105C84"/>
        </w:rPr>
        <w:t>process</w:t>
      </w:r>
      <w:r>
        <w:rPr>
          <w:color w:val="105C84"/>
          <w:spacing w:val="-6"/>
        </w:rPr>
        <w:t> </w:t>
      </w:r>
      <w:r>
        <w:rPr>
          <w:color w:val="105C84"/>
          <w:spacing w:val="-2"/>
        </w:rPr>
        <w:t>including:</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9" w:after="1"/>
        <w:rPr>
          <w:b/>
          <w:sz w:val="20"/>
        </w:rPr>
      </w:pPr>
    </w:p>
    <w:tbl>
      <w:tblPr>
        <w:tblW w:w="0" w:type="auto"/>
        <w:jc w:val="left"/>
        <w:tblInd w:w="10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22"/>
        <w:gridCol w:w="432"/>
        <w:gridCol w:w="2678"/>
        <w:gridCol w:w="403"/>
        <w:gridCol w:w="3309"/>
      </w:tblGrid>
      <w:tr>
        <w:trPr>
          <w:trHeight w:val="556" w:hRule="atLeast"/>
        </w:trPr>
        <w:tc>
          <w:tcPr>
            <w:tcW w:w="3122" w:type="dxa"/>
            <w:tcBorders>
              <w:bottom w:val="single" w:sz="2" w:space="0" w:color="636466"/>
            </w:tcBorders>
          </w:tcPr>
          <w:p>
            <w:pPr>
              <w:pStyle w:val="TableParagraph"/>
              <w:spacing w:before="132"/>
              <w:ind w:left="89"/>
              <w:rPr>
                <w:sz w:val="20"/>
              </w:rPr>
            </w:pPr>
            <w:r>
              <w:rPr>
                <w:color w:val="105C84"/>
                <w:sz w:val="20"/>
              </w:rPr>
              <w:t>Able</w:t>
            </w:r>
            <w:r>
              <w:rPr>
                <w:color w:val="105C84"/>
                <w:spacing w:val="22"/>
                <w:sz w:val="20"/>
              </w:rPr>
              <w:t> </w:t>
            </w:r>
            <w:r>
              <w:rPr>
                <w:color w:val="105C84"/>
                <w:spacing w:val="-10"/>
                <w:sz w:val="20"/>
              </w:rPr>
              <w:t>2</w:t>
            </w:r>
          </w:p>
        </w:tc>
        <w:tc>
          <w:tcPr>
            <w:tcW w:w="432" w:type="dxa"/>
          </w:tcPr>
          <w:p>
            <w:pPr>
              <w:pStyle w:val="TableParagraph"/>
              <w:rPr>
                <w:rFonts w:ascii="Times New Roman"/>
                <w:sz w:val="20"/>
              </w:rPr>
            </w:pPr>
          </w:p>
        </w:tc>
        <w:tc>
          <w:tcPr>
            <w:tcW w:w="2678" w:type="dxa"/>
            <w:tcBorders>
              <w:bottom w:val="single" w:sz="2" w:space="0" w:color="636466"/>
            </w:tcBorders>
          </w:tcPr>
          <w:p>
            <w:pPr>
              <w:pStyle w:val="TableParagraph"/>
              <w:spacing w:before="132"/>
              <w:ind w:left="90"/>
              <w:rPr>
                <w:sz w:val="20"/>
              </w:rPr>
            </w:pPr>
            <w:r>
              <w:rPr>
                <w:color w:val="105C84"/>
                <w:sz w:val="20"/>
              </w:rPr>
              <w:t>Anglican</w:t>
            </w:r>
            <w:r>
              <w:rPr>
                <w:color w:val="105C84"/>
                <w:spacing w:val="17"/>
                <w:sz w:val="20"/>
              </w:rPr>
              <w:t> </w:t>
            </w:r>
            <w:r>
              <w:rPr>
                <w:color w:val="105C84"/>
                <w:sz w:val="20"/>
              </w:rPr>
              <w:t>Health</w:t>
            </w:r>
            <w:r>
              <w:rPr>
                <w:color w:val="105C84"/>
                <w:spacing w:val="17"/>
                <w:sz w:val="20"/>
              </w:rPr>
              <w:t> </w:t>
            </w:r>
            <w:r>
              <w:rPr>
                <w:color w:val="105C84"/>
                <w:spacing w:val="-2"/>
                <w:sz w:val="20"/>
              </w:rPr>
              <w:t>Ministries</w:t>
            </w:r>
          </w:p>
        </w:tc>
        <w:tc>
          <w:tcPr>
            <w:tcW w:w="403" w:type="dxa"/>
          </w:tcPr>
          <w:p>
            <w:pPr>
              <w:pStyle w:val="TableParagraph"/>
              <w:rPr>
                <w:rFonts w:ascii="Times New Roman"/>
                <w:sz w:val="20"/>
              </w:rPr>
            </w:pPr>
          </w:p>
        </w:tc>
        <w:tc>
          <w:tcPr>
            <w:tcW w:w="3309" w:type="dxa"/>
            <w:tcBorders>
              <w:bottom w:val="single" w:sz="2" w:space="0" w:color="636466"/>
            </w:tcBorders>
          </w:tcPr>
          <w:p>
            <w:pPr>
              <w:pStyle w:val="TableParagraph"/>
              <w:spacing w:line="249" w:lineRule="auto" w:before="12"/>
              <w:ind w:left="90" w:right="678"/>
              <w:rPr>
                <w:sz w:val="20"/>
              </w:rPr>
            </w:pPr>
            <w:r>
              <w:rPr>
                <w:color w:val="105C84"/>
                <w:sz w:val="20"/>
              </w:rPr>
              <w:t>Mothers</w:t>
            </w:r>
            <w:r>
              <w:rPr>
                <w:color w:val="105C84"/>
                <w:spacing w:val="-5"/>
                <w:sz w:val="20"/>
              </w:rPr>
              <w:t> </w:t>
            </w:r>
            <w:r>
              <w:rPr>
                <w:color w:val="105C84"/>
                <w:sz w:val="20"/>
              </w:rPr>
              <w:t>and</w:t>
            </w:r>
            <w:r>
              <w:rPr>
                <w:color w:val="105C84"/>
                <w:spacing w:val="-3"/>
                <w:sz w:val="20"/>
              </w:rPr>
              <w:t> </w:t>
            </w:r>
            <w:r>
              <w:rPr>
                <w:color w:val="105C84"/>
                <w:sz w:val="20"/>
              </w:rPr>
              <w:t>Babies Perinatal Network</w:t>
            </w:r>
          </w:p>
        </w:tc>
      </w:tr>
      <w:tr>
        <w:trPr>
          <w:trHeight w:val="498" w:hRule="atLeast"/>
        </w:trPr>
        <w:tc>
          <w:tcPr>
            <w:tcW w:w="3122" w:type="dxa"/>
            <w:tcBorders>
              <w:top w:val="single" w:sz="2" w:space="0" w:color="636466"/>
              <w:bottom w:val="single" w:sz="2" w:space="0" w:color="636466"/>
            </w:tcBorders>
          </w:tcPr>
          <w:p>
            <w:pPr>
              <w:pStyle w:val="TableParagraph"/>
              <w:spacing w:before="132"/>
              <w:ind w:left="89"/>
              <w:rPr>
                <w:sz w:val="20"/>
              </w:rPr>
            </w:pPr>
            <w:r>
              <w:rPr>
                <w:color w:val="105C84"/>
                <w:spacing w:val="-5"/>
                <w:sz w:val="20"/>
              </w:rPr>
              <w:t>WIC</w:t>
            </w:r>
          </w:p>
        </w:tc>
        <w:tc>
          <w:tcPr>
            <w:tcW w:w="432" w:type="dxa"/>
          </w:tcPr>
          <w:p>
            <w:pPr>
              <w:pStyle w:val="TableParagraph"/>
              <w:rPr>
                <w:rFonts w:ascii="Times New Roman"/>
                <w:sz w:val="20"/>
              </w:rPr>
            </w:pPr>
          </w:p>
        </w:tc>
        <w:tc>
          <w:tcPr>
            <w:tcW w:w="2678" w:type="dxa"/>
            <w:tcBorders>
              <w:top w:val="single" w:sz="2" w:space="0" w:color="636466"/>
              <w:bottom w:val="single" w:sz="2" w:space="0" w:color="636466"/>
            </w:tcBorders>
          </w:tcPr>
          <w:p>
            <w:pPr>
              <w:pStyle w:val="TableParagraph"/>
              <w:spacing w:before="132"/>
              <w:ind w:left="90"/>
              <w:rPr>
                <w:sz w:val="20"/>
              </w:rPr>
            </w:pPr>
            <w:r>
              <w:rPr>
                <w:color w:val="105C84"/>
                <w:spacing w:val="-5"/>
                <w:sz w:val="20"/>
              </w:rPr>
              <w:t>EOP</w:t>
            </w:r>
          </w:p>
        </w:tc>
        <w:tc>
          <w:tcPr>
            <w:tcW w:w="403" w:type="dxa"/>
          </w:tcPr>
          <w:p>
            <w:pPr>
              <w:pStyle w:val="TableParagraph"/>
              <w:rPr>
                <w:rFonts w:ascii="Times New Roman"/>
                <w:sz w:val="20"/>
              </w:rPr>
            </w:pPr>
          </w:p>
        </w:tc>
        <w:tc>
          <w:tcPr>
            <w:tcW w:w="3309" w:type="dxa"/>
            <w:tcBorders>
              <w:top w:val="single" w:sz="2" w:space="0" w:color="636466"/>
              <w:bottom w:val="single" w:sz="2" w:space="0" w:color="636466"/>
            </w:tcBorders>
          </w:tcPr>
          <w:p>
            <w:pPr>
              <w:pStyle w:val="TableParagraph"/>
              <w:spacing w:before="132"/>
              <w:ind w:left="90"/>
              <w:rPr>
                <w:sz w:val="20"/>
              </w:rPr>
            </w:pPr>
            <w:r>
              <w:rPr>
                <w:color w:val="105C84"/>
                <w:spacing w:val="-4"/>
                <w:sz w:val="20"/>
              </w:rPr>
              <w:t>FSCC</w:t>
            </w:r>
          </w:p>
        </w:tc>
      </w:tr>
      <w:tr>
        <w:trPr>
          <w:trHeight w:val="542" w:hRule="atLeast"/>
        </w:trPr>
        <w:tc>
          <w:tcPr>
            <w:tcW w:w="3122" w:type="dxa"/>
            <w:tcBorders>
              <w:top w:val="single" w:sz="2" w:space="0" w:color="636466"/>
              <w:bottom w:val="single" w:sz="2" w:space="0" w:color="636466"/>
            </w:tcBorders>
          </w:tcPr>
          <w:p>
            <w:pPr>
              <w:pStyle w:val="TableParagraph"/>
              <w:spacing w:before="154"/>
              <w:ind w:left="89"/>
              <w:rPr>
                <w:sz w:val="20"/>
              </w:rPr>
            </w:pPr>
            <w:r>
              <w:rPr>
                <w:color w:val="105C84"/>
                <w:spacing w:val="-2"/>
                <w:sz w:val="20"/>
              </w:rPr>
              <w:t>Man2Man</w:t>
            </w:r>
          </w:p>
        </w:tc>
        <w:tc>
          <w:tcPr>
            <w:tcW w:w="432" w:type="dxa"/>
          </w:tcPr>
          <w:p>
            <w:pPr>
              <w:pStyle w:val="TableParagraph"/>
              <w:rPr>
                <w:rFonts w:ascii="Times New Roman"/>
                <w:sz w:val="20"/>
              </w:rPr>
            </w:pPr>
          </w:p>
        </w:tc>
        <w:tc>
          <w:tcPr>
            <w:tcW w:w="2678" w:type="dxa"/>
            <w:tcBorders>
              <w:top w:val="single" w:sz="2" w:space="0" w:color="636466"/>
              <w:bottom w:val="single" w:sz="2" w:space="0" w:color="636466"/>
            </w:tcBorders>
          </w:tcPr>
          <w:p>
            <w:pPr>
              <w:pStyle w:val="TableParagraph"/>
              <w:spacing w:before="154"/>
              <w:ind w:left="90"/>
              <w:rPr>
                <w:sz w:val="20"/>
              </w:rPr>
            </w:pPr>
            <w:r>
              <w:rPr>
                <w:color w:val="105C84"/>
                <w:sz w:val="20"/>
              </w:rPr>
              <w:t>Guthrie</w:t>
            </w:r>
            <w:r>
              <w:rPr>
                <w:color w:val="105C84"/>
                <w:spacing w:val="25"/>
                <w:sz w:val="20"/>
              </w:rPr>
              <w:t> </w:t>
            </w:r>
            <w:r>
              <w:rPr>
                <w:color w:val="105C84"/>
                <w:spacing w:val="-2"/>
                <w:sz w:val="20"/>
              </w:rPr>
              <w:t>Hospital</w:t>
            </w:r>
          </w:p>
        </w:tc>
        <w:tc>
          <w:tcPr>
            <w:tcW w:w="403" w:type="dxa"/>
          </w:tcPr>
          <w:p>
            <w:pPr>
              <w:pStyle w:val="TableParagraph"/>
              <w:rPr>
                <w:rFonts w:ascii="Times New Roman"/>
                <w:sz w:val="20"/>
              </w:rPr>
            </w:pPr>
          </w:p>
        </w:tc>
        <w:tc>
          <w:tcPr>
            <w:tcW w:w="3309" w:type="dxa"/>
            <w:tcBorders>
              <w:top w:val="single" w:sz="2" w:space="0" w:color="636466"/>
              <w:bottom w:val="single" w:sz="2" w:space="0" w:color="636466"/>
            </w:tcBorders>
          </w:tcPr>
          <w:p>
            <w:pPr>
              <w:pStyle w:val="TableParagraph"/>
              <w:spacing w:before="154"/>
              <w:ind w:left="90"/>
              <w:rPr>
                <w:sz w:val="20"/>
              </w:rPr>
            </w:pPr>
            <w:r>
              <w:rPr>
                <w:color w:val="105C84"/>
                <w:spacing w:val="-5"/>
                <w:sz w:val="20"/>
              </w:rPr>
              <w:t>EPC</w:t>
            </w:r>
          </w:p>
        </w:tc>
      </w:tr>
      <w:tr>
        <w:trPr>
          <w:trHeight w:val="484" w:hRule="atLeast"/>
        </w:trPr>
        <w:tc>
          <w:tcPr>
            <w:tcW w:w="3122" w:type="dxa"/>
            <w:tcBorders>
              <w:top w:val="single" w:sz="2" w:space="0" w:color="636466"/>
              <w:bottom w:val="single" w:sz="2" w:space="0" w:color="636466"/>
            </w:tcBorders>
          </w:tcPr>
          <w:p>
            <w:pPr>
              <w:pStyle w:val="TableParagraph"/>
              <w:spacing w:before="126"/>
              <w:ind w:left="89"/>
              <w:rPr>
                <w:sz w:val="20"/>
              </w:rPr>
            </w:pPr>
            <w:r>
              <w:rPr>
                <w:color w:val="105C84"/>
                <w:sz w:val="20"/>
              </w:rPr>
              <w:t>Elmira</w:t>
            </w:r>
            <w:r>
              <w:rPr>
                <w:color w:val="105C84"/>
                <w:spacing w:val="-2"/>
                <w:sz w:val="20"/>
              </w:rPr>
              <w:t> </w:t>
            </w:r>
            <w:r>
              <w:rPr>
                <w:color w:val="105C84"/>
                <w:spacing w:val="-5"/>
                <w:sz w:val="20"/>
              </w:rPr>
              <w:t>CSD</w:t>
            </w:r>
          </w:p>
        </w:tc>
        <w:tc>
          <w:tcPr>
            <w:tcW w:w="432" w:type="dxa"/>
          </w:tcPr>
          <w:p>
            <w:pPr>
              <w:pStyle w:val="TableParagraph"/>
              <w:rPr>
                <w:rFonts w:ascii="Times New Roman"/>
                <w:sz w:val="20"/>
              </w:rPr>
            </w:pPr>
          </w:p>
        </w:tc>
        <w:tc>
          <w:tcPr>
            <w:tcW w:w="2678" w:type="dxa"/>
            <w:tcBorders>
              <w:top w:val="single" w:sz="2" w:space="0" w:color="636466"/>
              <w:bottom w:val="single" w:sz="2" w:space="0" w:color="636466"/>
            </w:tcBorders>
          </w:tcPr>
          <w:p>
            <w:pPr>
              <w:pStyle w:val="TableParagraph"/>
              <w:spacing w:before="126"/>
              <w:ind w:left="90"/>
              <w:rPr>
                <w:sz w:val="20"/>
              </w:rPr>
            </w:pPr>
            <w:r>
              <w:rPr>
                <w:color w:val="105C84"/>
                <w:spacing w:val="-5"/>
                <w:w w:val="105"/>
                <w:sz w:val="20"/>
              </w:rPr>
              <w:t>AIM</w:t>
            </w:r>
          </w:p>
        </w:tc>
        <w:tc>
          <w:tcPr>
            <w:tcW w:w="403" w:type="dxa"/>
          </w:tcPr>
          <w:p>
            <w:pPr>
              <w:pStyle w:val="TableParagraph"/>
              <w:rPr>
                <w:rFonts w:ascii="Times New Roman"/>
                <w:sz w:val="20"/>
              </w:rPr>
            </w:pPr>
          </w:p>
        </w:tc>
        <w:tc>
          <w:tcPr>
            <w:tcW w:w="3309" w:type="dxa"/>
            <w:tcBorders>
              <w:top w:val="single" w:sz="2" w:space="0" w:color="636466"/>
              <w:bottom w:val="single" w:sz="2" w:space="0" w:color="636466"/>
            </w:tcBorders>
          </w:tcPr>
          <w:p>
            <w:pPr>
              <w:pStyle w:val="TableParagraph"/>
              <w:spacing w:before="126"/>
              <w:ind w:left="90"/>
              <w:rPr>
                <w:sz w:val="20"/>
              </w:rPr>
            </w:pPr>
            <w:r>
              <w:rPr>
                <w:color w:val="105C84"/>
                <w:sz w:val="20"/>
              </w:rPr>
              <w:t>Finger</w:t>
            </w:r>
            <w:r>
              <w:rPr>
                <w:color w:val="105C84"/>
                <w:spacing w:val="-9"/>
                <w:sz w:val="20"/>
              </w:rPr>
              <w:t> </w:t>
            </w:r>
            <w:r>
              <w:rPr>
                <w:color w:val="105C84"/>
                <w:sz w:val="20"/>
              </w:rPr>
              <w:t>Lakes</w:t>
            </w:r>
            <w:r>
              <w:rPr>
                <w:color w:val="105C84"/>
                <w:spacing w:val="-9"/>
                <w:sz w:val="20"/>
              </w:rPr>
              <w:t> </w:t>
            </w:r>
            <w:r>
              <w:rPr>
                <w:color w:val="105C84"/>
                <w:sz w:val="20"/>
              </w:rPr>
              <w:t>Eat</w:t>
            </w:r>
            <w:r>
              <w:rPr>
                <w:color w:val="105C84"/>
                <w:spacing w:val="-9"/>
                <w:sz w:val="20"/>
              </w:rPr>
              <w:t> </w:t>
            </w:r>
            <w:r>
              <w:rPr>
                <w:color w:val="105C84"/>
                <w:sz w:val="20"/>
              </w:rPr>
              <w:t>Smart</w:t>
            </w:r>
            <w:r>
              <w:rPr>
                <w:color w:val="105C84"/>
                <w:spacing w:val="-9"/>
                <w:sz w:val="20"/>
              </w:rPr>
              <w:t> </w:t>
            </w:r>
            <w:r>
              <w:rPr>
                <w:color w:val="105C84"/>
                <w:spacing w:val="-2"/>
                <w:sz w:val="20"/>
              </w:rPr>
              <w:t>NY/CDD</w:t>
            </w:r>
          </w:p>
        </w:tc>
      </w:tr>
    </w:tbl>
    <w:p>
      <w:pPr>
        <w:pStyle w:val="Heading6"/>
        <w:spacing w:before="116"/>
      </w:pPr>
      <w:r>
        <w:rPr>
          <w:b w:val="0"/>
        </w:rPr>
        <w:br w:type="column"/>
      </w:r>
      <w:r>
        <w:rPr>
          <w:color w:val="105C84"/>
          <w:spacing w:val="-2"/>
        </w:rPr>
        <w:t>Dissemination</w:t>
      </w:r>
    </w:p>
    <w:p>
      <w:pPr>
        <w:pStyle w:val="Heading8"/>
        <w:spacing w:line="247" w:lineRule="auto" w:before="268"/>
        <w:ind w:right="407"/>
      </w:pPr>
      <w:r>
        <w:rPr>
          <w:color w:val="105C84"/>
        </w:rPr>
        <w:t>This</w:t>
      </w:r>
      <w:r>
        <w:rPr>
          <w:color w:val="105C84"/>
          <w:spacing w:val="-11"/>
        </w:rPr>
        <w:t> </w:t>
      </w:r>
      <w:r>
        <w:rPr>
          <w:color w:val="105C84"/>
        </w:rPr>
        <w:t>Community</w:t>
      </w:r>
      <w:r>
        <w:rPr>
          <w:color w:val="105C84"/>
          <w:spacing w:val="-11"/>
        </w:rPr>
        <w:t> </w:t>
      </w:r>
      <w:r>
        <w:rPr>
          <w:color w:val="105C84"/>
        </w:rPr>
        <w:t>Health</w:t>
      </w:r>
      <w:r>
        <w:rPr>
          <w:color w:val="105C84"/>
          <w:spacing w:val="-11"/>
        </w:rPr>
        <w:t> </w:t>
      </w:r>
      <w:r>
        <w:rPr>
          <w:color w:val="105C84"/>
        </w:rPr>
        <w:t>Assessment</w:t>
      </w:r>
      <w:r>
        <w:rPr>
          <w:color w:val="105C84"/>
          <w:spacing w:val="-11"/>
        </w:rPr>
        <w:t> </w:t>
      </w:r>
      <w:r>
        <w:rPr>
          <w:color w:val="105C84"/>
        </w:rPr>
        <w:t>(CHA)</w:t>
      </w:r>
      <w:r>
        <w:rPr>
          <w:color w:val="105C84"/>
          <w:spacing w:val="-11"/>
        </w:rPr>
        <w:t> </w:t>
      </w:r>
      <w:r>
        <w:rPr>
          <w:color w:val="105C84"/>
        </w:rPr>
        <w:t>and</w:t>
      </w:r>
      <w:r>
        <w:rPr>
          <w:color w:val="105C84"/>
          <w:spacing w:val="-11"/>
        </w:rPr>
        <w:t> </w:t>
      </w:r>
      <w:r>
        <w:rPr>
          <w:color w:val="105C84"/>
        </w:rPr>
        <w:t>Community</w:t>
      </w:r>
      <w:r>
        <w:rPr>
          <w:color w:val="105C84"/>
          <w:spacing w:val="-11"/>
        </w:rPr>
        <w:t> </w:t>
      </w:r>
      <w:r>
        <w:rPr>
          <w:color w:val="105C84"/>
        </w:rPr>
        <w:t>Health</w:t>
      </w:r>
      <w:r>
        <w:rPr>
          <w:color w:val="105C84"/>
          <w:spacing w:val="-11"/>
        </w:rPr>
        <w:t> </w:t>
      </w:r>
      <w:r>
        <w:rPr>
          <w:color w:val="105C84"/>
        </w:rPr>
        <w:t>Improvement</w:t>
      </w:r>
      <w:r>
        <w:rPr>
          <w:color w:val="105C84"/>
          <w:spacing w:val="-11"/>
        </w:rPr>
        <w:t> </w:t>
      </w:r>
      <w:r>
        <w:rPr>
          <w:color w:val="105C84"/>
        </w:rPr>
        <w:t>Plan</w:t>
      </w:r>
      <w:r>
        <w:rPr>
          <w:color w:val="105C84"/>
          <w:spacing w:val="-11"/>
        </w:rPr>
        <w:t> </w:t>
      </w:r>
      <w:r>
        <w:rPr>
          <w:color w:val="105C84"/>
        </w:rPr>
        <w:t>(CHIP)</w:t>
      </w:r>
      <w:r>
        <w:rPr>
          <w:color w:val="105C84"/>
          <w:spacing w:val="-11"/>
        </w:rPr>
        <w:t> </w:t>
      </w:r>
      <w:r>
        <w:rPr>
          <w:color w:val="105C84"/>
        </w:rPr>
        <w:t>was created in partnership between the Chemung County Health Department and Arnot Health. It</w:t>
      </w:r>
      <w:r>
        <w:rPr>
          <w:color w:val="105C84"/>
          <w:spacing w:val="80"/>
        </w:rPr>
        <w:t> </w:t>
      </w:r>
      <w:r>
        <w:rPr>
          <w:color w:val="105C84"/>
        </w:rPr>
        <w:t>will be disseminated to the public in the following ways:</w:t>
      </w:r>
    </w:p>
    <w:p>
      <w:pPr>
        <w:pStyle w:val="ListParagraph"/>
        <w:numPr>
          <w:ilvl w:val="0"/>
          <w:numId w:val="16"/>
        </w:numPr>
        <w:tabs>
          <w:tab w:pos="1518" w:val="left" w:leader="none"/>
          <w:tab w:pos="1520" w:val="left" w:leader="none"/>
        </w:tabs>
        <w:spacing w:line="247" w:lineRule="auto" w:before="179" w:after="0"/>
        <w:ind w:left="1520" w:right="565" w:hanging="241"/>
        <w:jc w:val="left"/>
        <w:rPr>
          <w:sz w:val="22"/>
        </w:rPr>
      </w:pPr>
      <w:r>
        <w:rPr>
          <w:color w:val="105C84"/>
          <w:sz w:val="22"/>
        </w:rPr>
        <w:t>Through a media release summarizing the results and offering the opportunity for the public to</w:t>
      </w:r>
      <w:r>
        <w:rPr>
          <w:color w:val="105C84"/>
          <w:spacing w:val="80"/>
          <w:sz w:val="22"/>
        </w:rPr>
        <w:t> </w:t>
      </w:r>
      <w:r>
        <w:rPr>
          <w:color w:val="105C84"/>
          <w:sz w:val="22"/>
        </w:rPr>
        <w:t>attend Health Priority Partnership meetings.</w:t>
      </w:r>
    </w:p>
    <w:p>
      <w:pPr>
        <w:pStyle w:val="ListParagraph"/>
        <w:numPr>
          <w:ilvl w:val="0"/>
          <w:numId w:val="16"/>
        </w:numPr>
        <w:tabs>
          <w:tab w:pos="1518" w:val="left" w:leader="none"/>
          <w:tab w:pos="1520" w:val="left" w:leader="none"/>
        </w:tabs>
        <w:spacing w:line="247" w:lineRule="auto" w:before="179" w:after="0"/>
        <w:ind w:left="1520" w:right="364" w:hanging="241"/>
        <w:jc w:val="left"/>
        <w:rPr>
          <w:sz w:val="22"/>
        </w:rPr>
      </w:pPr>
      <w:r>
        <w:rPr>
          <w:color w:val="105C84"/>
          <w:sz w:val="22"/>
        </w:rPr>
        <w:t>It will be made publicly available on the Chemung County Health Department, Arnot Health, and</w:t>
      </w:r>
      <w:r>
        <w:rPr>
          <w:color w:val="105C84"/>
          <w:spacing w:val="80"/>
          <w:sz w:val="22"/>
        </w:rPr>
        <w:t> </w:t>
      </w:r>
      <w:r>
        <w:rPr>
          <w:color w:val="105C84"/>
          <w:sz w:val="22"/>
        </w:rPr>
        <w:t>S2AY Rural Health Network websites.</w:t>
      </w:r>
    </w:p>
    <w:p>
      <w:pPr>
        <w:pStyle w:val="ListParagraph"/>
        <w:numPr>
          <w:ilvl w:val="0"/>
          <w:numId w:val="16"/>
        </w:numPr>
        <w:tabs>
          <w:tab w:pos="1518" w:val="left" w:leader="none"/>
          <w:tab w:pos="1520" w:val="left" w:leader="none"/>
        </w:tabs>
        <w:spacing w:line="247" w:lineRule="auto" w:before="179" w:after="0"/>
        <w:ind w:left="1520" w:right="1173" w:hanging="241"/>
        <w:jc w:val="left"/>
        <w:rPr>
          <w:sz w:val="22"/>
        </w:rPr>
      </w:pPr>
      <w:r>
        <w:rPr>
          <w:color w:val="105C84"/>
          <w:sz w:val="22"/>
        </w:rPr>
        <w:t>It will be made publicly available via a shared link on Health Priorities Partnership partner </w:t>
      </w:r>
      <w:r>
        <w:rPr>
          <w:color w:val="105C84"/>
          <w:spacing w:val="-2"/>
          <w:sz w:val="22"/>
        </w:rPr>
        <w:t>websites.</w:t>
      </w:r>
    </w:p>
    <w:p>
      <w:pPr>
        <w:pStyle w:val="ListParagraph"/>
        <w:numPr>
          <w:ilvl w:val="0"/>
          <w:numId w:val="16"/>
        </w:numPr>
        <w:tabs>
          <w:tab w:pos="1518" w:val="left" w:leader="none"/>
          <w:tab w:pos="1520" w:val="left" w:leader="none"/>
        </w:tabs>
        <w:spacing w:line="247" w:lineRule="auto" w:before="178" w:after="0"/>
        <w:ind w:left="1520" w:right="639" w:hanging="241"/>
        <w:jc w:val="left"/>
        <w:rPr>
          <w:sz w:val="22"/>
        </w:rPr>
      </w:pPr>
      <w:r>
        <w:rPr>
          <w:color w:val="105C84"/>
          <w:sz w:val="22"/>
        </w:rPr>
        <w:t>Chemung County Health Department and Arnot Health will share the link for the CHA on their</w:t>
      </w:r>
      <w:r>
        <w:rPr>
          <w:color w:val="105C84"/>
          <w:spacing w:val="80"/>
          <w:sz w:val="22"/>
        </w:rPr>
        <w:t> </w:t>
      </w:r>
      <w:r>
        <w:rPr>
          <w:color w:val="105C84"/>
          <w:sz w:val="22"/>
        </w:rPr>
        <w:t>social media accounts.</w:t>
      </w:r>
    </w:p>
    <w:p>
      <w:pPr>
        <w:pStyle w:val="ListParagraph"/>
        <w:numPr>
          <w:ilvl w:val="0"/>
          <w:numId w:val="16"/>
        </w:numPr>
        <w:tabs>
          <w:tab w:pos="1518" w:val="left" w:leader="none"/>
          <w:tab w:pos="1520" w:val="left" w:leader="none"/>
        </w:tabs>
        <w:spacing w:line="247" w:lineRule="auto" w:before="179" w:after="0"/>
        <w:ind w:left="1520" w:right="393" w:hanging="241"/>
        <w:jc w:val="left"/>
        <w:rPr>
          <w:sz w:val="22"/>
        </w:rPr>
      </w:pPr>
      <w:r>
        <w:rPr>
          <w:color w:val="105C84"/>
          <w:sz w:val="22"/>
        </w:rPr>
        <w:t>It will be presented to and reviewed by the Chemung County Board of Health and the governing</w:t>
      </w:r>
      <w:r>
        <w:rPr>
          <w:color w:val="105C84"/>
          <w:spacing w:val="80"/>
          <w:sz w:val="22"/>
        </w:rPr>
        <w:t> </w:t>
      </w:r>
      <w:r>
        <w:rPr>
          <w:color w:val="105C84"/>
          <w:sz w:val="22"/>
        </w:rPr>
        <w:t>board of Arnot Health.</w:t>
      </w:r>
    </w:p>
    <w:p>
      <w:pPr>
        <w:pStyle w:val="Heading8"/>
        <w:spacing w:line="247" w:lineRule="auto" w:before="179"/>
        <w:ind w:right="1549"/>
      </w:pPr>
      <w:r>
        <w:rPr>
          <w:color w:val="105C84"/>
        </w:rPr>
        <w:t>The</w:t>
      </w:r>
      <w:r>
        <w:rPr>
          <w:color w:val="105C84"/>
          <w:spacing w:val="-5"/>
        </w:rPr>
        <w:t> </w:t>
      </w:r>
      <w:r>
        <w:rPr>
          <w:color w:val="105C84"/>
        </w:rPr>
        <w:t>websites</w:t>
      </w:r>
      <w:r>
        <w:rPr>
          <w:color w:val="105C84"/>
          <w:spacing w:val="-5"/>
        </w:rPr>
        <w:t> </w:t>
      </w:r>
      <w:r>
        <w:rPr>
          <w:color w:val="105C84"/>
        </w:rPr>
        <w:t>that</w:t>
      </w:r>
      <w:r>
        <w:rPr>
          <w:color w:val="105C84"/>
          <w:spacing w:val="-5"/>
        </w:rPr>
        <w:t> </w:t>
      </w:r>
      <w:r>
        <w:rPr>
          <w:color w:val="105C84"/>
        </w:rPr>
        <w:t>will</w:t>
      </w:r>
      <w:r>
        <w:rPr>
          <w:color w:val="105C84"/>
          <w:spacing w:val="-5"/>
        </w:rPr>
        <w:t> </w:t>
      </w:r>
      <w:r>
        <w:rPr>
          <w:color w:val="105C84"/>
        </w:rPr>
        <w:t>have</w:t>
      </w:r>
      <w:r>
        <w:rPr>
          <w:color w:val="105C84"/>
          <w:spacing w:val="-5"/>
        </w:rPr>
        <w:t> </w:t>
      </w:r>
      <w:r>
        <w:rPr>
          <w:color w:val="105C84"/>
        </w:rPr>
        <w:t>the</w:t>
      </w:r>
      <w:r>
        <w:rPr>
          <w:color w:val="105C84"/>
          <w:spacing w:val="-5"/>
        </w:rPr>
        <w:t> </w:t>
      </w:r>
      <w:r>
        <w:rPr>
          <w:color w:val="105C84"/>
        </w:rPr>
        <w:t>Chemung</w:t>
      </w:r>
      <w:r>
        <w:rPr>
          <w:color w:val="105C84"/>
          <w:spacing w:val="-5"/>
        </w:rPr>
        <w:t> </w:t>
      </w:r>
      <w:r>
        <w:rPr>
          <w:color w:val="105C84"/>
        </w:rPr>
        <w:t>County</w:t>
      </w:r>
      <w:r>
        <w:rPr>
          <w:color w:val="105C84"/>
          <w:spacing w:val="-5"/>
        </w:rPr>
        <w:t> </w:t>
      </w:r>
      <w:r>
        <w:rPr>
          <w:color w:val="105C84"/>
        </w:rPr>
        <w:t>Community</w:t>
      </w:r>
      <w:r>
        <w:rPr>
          <w:color w:val="105C84"/>
          <w:spacing w:val="-5"/>
        </w:rPr>
        <w:t> </w:t>
      </w:r>
      <w:r>
        <w:rPr>
          <w:color w:val="105C84"/>
        </w:rPr>
        <w:t>Health</w:t>
      </w:r>
      <w:r>
        <w:rPr>
          <w:color w:val="105C84"/>
          <w:spacing w:val="-5"/>
        </w:rPr>
        <w:t> </w:t>
      </w:r>
      <w:r>
        <w:rPr>
          <w:color w:val="105C84"/>
        </w:rPr>
        <w:t>Assessment 2018 – 2021 posted are:</w:t>
      </w:r>
    </w:p>
    <w:p>
      <w:pPr>
        <w:pStyle w:val="BodyText"/>
        <w:spacing w:line="417" w:lineRule="auto" w:before="179"/>
        <w:ind w:left="1080" w:right="3061"/>
      </w:pPr>
      <w:r>
        <w:rPr>
          <w:color w:val="105C84"/>
        </w:rPr>
        <w:t>Chemung County Public Health: </w:t>
      </w:r>
      <w:hyperlink r:id="rId79">
        <w:r>
          <w:rPr>
            <w:color w:val="105C84"/>
          </w:rPr>
          <w:t>http://www.chemungcountyhealth.org/</w:t>
        </w:r>
      </w:hyperlink>
      <w:r>
        <w:rPr>
          <w:color w:val="105C84"/>
          <w:spacing w:val="40"/>
        </w:rPr>
        <w:t> </w:t>
      </w:r>
      <w:r>
        <w:rPr>
          <w:color w:val="105C84"/>
        </w:rPr>
        <w:t>Arnot Health: </w:t>
      </w:r>
      <w:hyperlink r:id="rId80">
        <w:r>
          <w:rPr>
            <w:color w:val="105C84"/>
          </w:rPr>
          <w:t>https://www.arnothealth.org/</w:t>
        </w:r>
      </w:hyperlink>
    </w:p>
    <w:p>
      <w:pPr>
        <w:pStyle w:val="BodyText"/>
        <w:spacing w:line="253" w:lineRule="exact"/>
        <w:ind w:left="1080"/>
      </w:pPr>
      <w:r>
        <w:rPr>
          <w:color w:val="105C84"/>
        </w:rPr>
        <w:t>S2AY</w:t>
      </w:r>
      <w:r>
        <w:rPr>
          <w:color w:val="105C84"/>
          <w:spacing w:val="23"/>
        </w:rPr>
        <w:t> </w:t>
      </w:r>
      <w:r>
        <w:rPr>
          <w:color w:val="105C84"/>
        </w:rPr>
        <w:t>Rural</w:t>
      </w:r>
      <w:r>
        <w:rPr>
          <w:color w:val="105C84"/>
          <w:spacing w:val="23"/>
        </w:rPr>
        <w:t> </w:t>
      </w:r>
      <w:r>
        <w:rPr>
          <w:color w:val="105C84"/>
        </w:rPr>
        <w:t>Health</w:t>
      </w:r>
      <w:r>
        <w:rPr>
          <w:color w:val="105C84"/>
          <w:spacing w:val="23"/>
        </w:rPr>
        <w:t> </w:t>
      </w:r>
      <w:r>
        <w:rPr>
          <w:color w:val="105C84"/>
        </w:rPr>
        <w:t>Network:</w:t>
      </w:r>
      <w:r>
        <w:rPr>
          <w:color w:val="105C84"/>
          <w:spacing w:val="23"/>
        </w:rPr>
        <w:t> </w:t>
      </w:r>
      <w:hyperlink r:id="rId81">
        <w:r>
          <w:rPr>
            <w:color w:val="105C84"/>
          </w:rPr>
          <w:t>http://www.s2aynetwork.org/community-health-</w:t>
        </w:r>
        <w:r>
          <w:rPr>
            <w:color w:val="105C84"/>
            <w:spacing w:val="-2"/>
          </w:rPr>
          <w:t>assessments.html</w:t>
        </w:r>
      </w:hyperlink>
    </w:p>
    <w:p>
      <w:pPr>
        <w:pStyle w:val="BodyText"/>
        <w:spacing w:after="0" w:line="253" w:lineRule="exact"/>
        <w:sectPr>
          <w:type w:val="continuous"/>
          <w:pgSz w:w="24480" w:h="15840" w:orient="landscape"/>
          <w:pgMar w:header="0" w:footer="0" w:top="0" w:bottom="280" w:left="0" w:right="720"/>
          <w:cols w:num="2" w:equalWidth="0">
            <w:col w:w="11024" w:space="1216"/>
            <w:col w:w="11520"/>
          </w:cols>
        </w:sectPr>
      </w:pPr>
    </w:p>
    <w:p>
      <w:pPr>
        <w:pStyle w:val="BodyText"/>
      </w:pPr>
      <w:r>
        <w:rPr/>
        <mc:AlternateContent>
          <mc:Choice Requires="wps">
            <w:drawing>
              <wp:anchor distT="0" distB="0" distL="0" distR="0" allowOverlap="1" layoutInCell="1" locked="0" behindDoc="0" simplePos="0" relativeHeight="15783424">
                <wp:simplePos x="0" y="0"/>
                <wp:positionH relativeFrom="page">
                  <wp:posOffset>7772400</wp:posOffset>
                </wp:positionH>
                <wp:positionV relativeFrom="page">
                  <wp:posOffset>5577840</wp:posOffset>
                </wp:positionV>
                <wp:extent cx="7772400" cy="4480560"/>
                <wp:effectExtent l="0" t="0" r="0" b="0"/>
                <wp:wrapNone/>
                <wp:docPr id="600" name="Group 600"/>
                <wp:cNvGraphicFramePr>
                  <a:graphicFrameLocks/>
                </wp:cNvGraphicFramePr>
                <a:graphic>
                  <a:graphicData uri="http://schemas.microsoft.com/office/word/2010/wordprocessingGroup">
                    <wpg:wgp>
                      <wpg:cNvPr id="600" name="Group 600"/>
                      <wpg:cNvGrpSpPr/>
                      <wpg:grpSpPr>
                        <a:xfrm>
                          <a:off x="0" y="0"/>
                          <a:ext cx="7772400" cy="4480560"/>
                          <a:chExt cx="7772400" cy="4480560"/>
                        </a:xfrm>
                      </wpg:grpSpPr>
                      <pic:pic>
                        <pic:nvPicPr>
                          <pic:cNvPr id="601" name="Image 601"/>
                          <pic:cNvPicPr/>
                        </pic:nvPicPr>
                        <pic:blipFill>
                          <a:blip r:embed="rId38" cstate="print"/>
                          <a:stretch>
                            <a:fillRect/>
                          </a:stretch>
                        </pic:blipFill>
                        <pic:spPr>
                          <a:xfrm>
                            <a:off x="7209156" y="4090263"/>
                            <a:ext cx="563245" cy="184683"/>
                          </a:xfrm>
                          <a:prstGeom prst="rect">
                            <a:avLst/>
                          </a:prstGeom>
                        </pic:spPr>
                      </pic:pic>
                      <pic:pic>
                        <pic:nvPicPr>
                          <pic:cNvPr id="602" name="Image 602"/>
                          <pic:cNvPicPr/>
                        </pic:nvPicPr>
                        <pic:blipFill>
                          <a:blip r:embed="rId82" cstate="print"/>
                          <a:stretch>
                            <a:fillRect/>
                          </a:stretch>
                        </pic:blipFill>
                        <pic:spPr>
                          <a:xfrm>
                            <a:off x="5587" y="0"/>
                            <a:ext cx="7766811" cy="4480560"/>
                          </a:xfrm>
                          <a:prstGeom prst="rect">
                            <a:avLst/>
                          </a:prstGeom>
                        </pic:spPr>
                      </pic:pic>
                      <wps:wsp>
                        <wps:cNvPr id="603" name="Graphic 603"/>
                        <wps:cNvSpPr/>
                        <wps:spPr>
                          <a:xfrm>
                            <a:off x="0" y="3639311"/>
                            <a:ext cx="7772400" cy="841375"/>
                          </a:xfrm>
                          <a:custGeom>
                            <a:avLst/>
                            <a:gdLst/>
                            <a:ahLst/>
                            <a:cxnLst/>
                            <a:rect l="l" t="t" r="r" b="b"/>
                            <a:pathLst>
                              <a:path w="7772400" h="841375">
                                <a:moveTo>
                                  <a:pt x="7772400" y="0"/>
                                </a:moveTo>
                                <a:lnTo>
                                  <a:pt x="0" y="0"/>
                                </a:lnTo>
                                <a:lnTo>
                                  <a:pt x="0" y="841248"/>
                                </a:lnTo>
                                <a:lnTo>
                                  <a:pt x="7772400" y="841248"/>
                                </a:lnTo>
                                <a:lnTo>
                                  <a:pt x="7772400" y="0"/>
                                </a:lnTo>
                                <a:close/>
                              </a:path>
                            </a:pathLst>
                          </a:custGeom>
                          <a:solidFill>
                            <a:srgbClr val="000000">
                              <a:alpha val="54998"/>
                            </a:srgbClr>
                          </a:solidFill>
                        </wps:spPr>
                        <wps:bodyPr wrap="square" lIns="0" tIns="0" rIns="0" bIns="0" rtlCol="0">
                          <a:prstTxWarp prst="textNoShape">
                            <a:avLst/>
                          </a:prstTxWarp>
                          <a:noAutofit/>
                        </wps:bodyPr>
                      </wps:wsp>
                      <wps:wsp>
                        <wps:cNvPr id="604" name="Textbox 604"/>
                        <wps:cNvSpPr txBox="1"/>
                        <wps:spPr>
                          <a:xfrm>
                            <a:off x="5207519" y="4059935"/>
                            <a:ext cx="1892300" cy="253365"/>
                          </a:xfrm>
                          <a:prstGeom prst="rect">
                            <a:avLst/>
                          </a:prstGeom>
                        </wps:spPr>
                        <wps:txbx>
                          <w:txbxContent>
                            <w:p>
                              <w:pPr>
                                <w:spacing w:line="235" w:lineRule="auto" w:before="13"/>
                                <w:ind w:left="0" w:right="0" w:firstLine="1156"/>
                                <w:jc w:val="left"/>
                                <w:rPr>
                                  <w:sz w:val="16"/>
                                </w:rPr>
                              </w:pPr>
                              <w:r>
                                <w:rPr>
                                  <w:color w:val="FFFFFF"/>
                                  <w:sz w:val="16"/>
                                </w:rPr>
                                <w:t>Elmira,</w:t>
                              </w:r>
                              <w:r>
                                <w:rPr>
                                  <w:color w:val="FFFFFF"/>
                                  <w:spacing w:val="-11"/>
                                  <w:sz w:val="16"/>
                                </w:rPr>
                                <w:t> </w:t>
                              </w:r>
                              <w:r>
                                <w:rPr>
                                  <w:color w:val="FFFFFF"/>
                                  <w:sz w:val="16"/>
                                </w:rPr>
                                <w:t>Chemung</w:t>
                              </w:r>
                              <w:r>
                                <w:rPr>
                                  <w:color w:val="FFFFFF"/>
                                  <w:spacing w:val="-11"/>
                                  <w:sz w:val="16"/>
                                </w:rPr>
                                <w:t> </w:t>
                              </w:r>
                              <w:r>
                                <w:rPr>
                                  <w:color w:val="FFFFFF"/>
                                  <w:sz w:val="16"/>
                                </w:rPr>
                                <w:t>County Photo</w:t>
                              </w:r>
                              <w:r>
                                <w:rPr>
                                  <w:color w:val="FFFFFF"/>
                                  <w:spacing w:val="13"/>
                                  <w:sz w:val="16"/>
                                </w:rPr>
                                <w:t> </w:t>
                              </w:r>
                              <w:r>
                                <w:rPr>
                                  <w:color w:val="FFFFFF"/>
                                  <w:sz w:val="16"/>
                                </w:rPr>
                                <w:t>credit:</w:t>
                              </w:r>
                              <w:r>
                                <w:rPr>
                                  <w:color w:val="FFFFFF"/>
                                  <w:spacing w:val="13"/>
                                  <w:sz w:val="16"/>
                                </w:rPr>
                                <w:t> </w:t>
                              </w:r>
                              <w:r>
                                <w:rPr>
                                  <w:color w:val="FFFFFF"/>
                                  <w:spacing w:val="-2"/>
                                  <w:sz w:val="16"/>
                                </w:rPr>
                                <w:t>iStock.com/DenisTangneyJr</w:t>
                              </w:r>
                            </w:p>
                          </w:txbxContent>
                        </wps:txbx>
                        <wps:bodyPr wrap="square" lIns="0" tIns="0" rIns="0" bIns="0" rtlCol="0">
                          <a:noAutofit/>
                        </wps:bodyPr>
                      </wps:wsp>
                    </wpg:wgp>
                  </a:graphicData>
                </a:graphic>
              </wp:anchor>
            </w:drawing>
          </mc:Choice>
          <mc:Fallback>
            <w:pict>
              <v:group style="position:absolute;margin-left:612pt;margin-top:439.200012pt;width:612pt;height:352.8pt;mso-position-horizontal-relative:page;mso-position-vertical-relative:page;z-index:15783424" id="docshapegroup512" coordorigin="12240,8784" coordsize="12240,7056">
                <v:shape style="position:absolute;left:23593;top:15225;width:887;height:291" type="#_x0000_t75" id="docshape513" stroked="false">
                  <v:imagedata r:id="rId38" o:title=""/>
                </v:shape>
                <v:shape style="position:absolute;left:12248;top:8784;width:12232;height:7056" type="#_x0000_t75" id="docshape514" stroked="false">
                  <v:imagedata r:id="rId82" o:title=""/>
                </v:shape>
                <v:rect style="position:absolute;left:12240;top:14515;width:12240;height:1325" id="docshape515" filled="true" fillcolor="#000000" stroked="false">
                  <v:fill opacity="36044f" type="solid"/>
                </v:rect>
                <v:shape style="position:absolute;left:20440;top:15177;width:2980;height:399" type="#_x0000_t202" id="docshape516" filled="false" stroked="false">
                  <v:textbox inset="0,0,0,0">
                    <w:txbxContent>
                      <w:p>
                        <w:pPr>
                          <w:spacing w:line="235" w:lineRule="auto" w:before="13"/>
                          <w:ind w:left="0" w:right="0" w:firstLine="1156"/>
                          <w:jc w:val="left"/>
                          <w:rPr>
                            <w:sz w:val="16"/>
                          </w:rPr>
                        </w:pPr>
                        <w:r>
                          <w:rPr>
                            <w:color w:val="FFFFFF"/>
                            <w:sz w:val="16"/>
                          </w:rPr>
                          <w:t>Elmira,</w:t>
                        </w:r>
                        <w:r>
                          <w:rPr>
                            <w:color w:val="FFFFFF"/>
                            <w:spacing w:val="-11"/>
                            <w:sz w:val="16"/>
                          </w:rPr>
                          <w:t> </w:t>
                        </w:r>
                        <w:r>
                          <w:rPr>
                            <w:color w:val="FFFFFF"/>
                            <w:sz w:val="16"/>
                          </w:rPr>
                          <w:t>Chemung</w:t>
                        </w:r>
                        <w:r>
                          <w:rPr>
                            <w:color w:val="FFFFFF"/>
                            <w:spacing w:val="-11"/>
                            <w:sz w:val="16"/>
                          </w:rPr>
                          <w:t> </w:t>
                        </w:r>
                        <w:r>
                          <w:rPr>
                            <w:color w:val="FFFFFF"/>
                            <w:sz w:val="16"/>
                          </w:rPr>
                          <w:t>County Photo</w:t>
                        </w:r>
                        <w:r>
                          <w:rPr>
                            <w:color w:val="FFFFFF"/>
                            <w:spacing w:val="13"/>
                            <w:sz w:val="16"/>
                          </w:rPr>
                          <w:t> </w:t>
                        </w:r>
                        <w:r>
                          <w:rPr>
                            <w:color w:val="FFFFFF"/>
                            <w:sz w:val="16"/>
                          </w:rPr>
                          <w:t>credit:</w:t>
                        </w:r>
                        <w:r>
                          <w:rPr>
                            <w:color w:val="FFFFFF"/>
                            <w:spacing w:val="13"/>
                            <w:sz w:val="16"/>
                          </w:rPr>
                          <w:t> </w:t>
                        </w:r>
                        <w:r>
                          <w:rPr>
                            <w:color w:val="FFFFFF"/>
                            <w:spacing w:val="-2"/>
                            <w:sz w:val="16"/>
                          </w:rPr>
                          <w:t>iStock.com/DenisTangneyJr</w:t>
                        </w:r>
                      </w:p>
                    </w:txbxContent>
                  </v:textbox>
                  <w10:wrap type="none"/>
                </v:shape>
                <w10:wrap type="none"/>
              </v:group>
            </w:pict>
          </mc:Fallback>
        </mc:AlternateContent>
      </w:r>
    </w:p>
    <w:p>
      <w:pPr>
        <w:pStyle w:val="BodyText"/>
      </w:pPr>
    </w:p>
    <w:p>
      <w:pPr>
        <w:pStyle w:val="BodyText"/>
      </w:pPr>
    </w:p>
    <w:p>
      <w:pPr>
        <w:pStyle w:val="BodyText"/>
        <w:spacing w:before="86"/>
      </w:pPr>
    </w:p>
    <w:p>
      <w:pPr>
        <w:pStyle w:val="BodyText"/>
        <w:spacing w:line="247" w:lineRule="auto"/>
        <w:ind w:left="1080" w:right="12620"/>
      </w:pPr>
      <w:r>
        <w:rPr>
          <w:color w:val="105C84"/>
        </w:rPr>
        <w:t>The community at large was engaged throughout the assessment period via a regional health survey and</w:t>
      </w:r>
      <w:r>
        <w:rPr>
          <w:color w:val="105C84"/>
          <w:spacing w:val="23"/>
        </w:rPr>
        <w:t> </w:t>
      </w:r>
      <w:r>
        <w:rPr>
          <w:color w:val="105C84"/>
        </w:rPr>
        <w:t>focus</w:t>
      </w:r>
      <w:r>
        <w:rPr>
          <w:color w:val="105C84"/>
          <w:spacing w:val="23"/>
        </w:rPr>
        <w:t> </w:t>
      </w:r>
      <w:r>
        <w:rPr>
          <w:color w:val="105C84"/>
        </w:rPr>
        <w:t>groups.</w:t>
      </w:r>
      <w:r>
        <w:rPr>
          <w:color w:val="105C84"/>
          <w:spacing w:val="23"/>
        </w:rPr>
        <w:t> </w:t>
      </w:r>
      <w:r>
        <w:rPr>
          <w:color w:val="105C84"/>
        </w:rPr>
        <w:t>Community</w:t>
      </w:r>
      <w:r>
        <w:rPr>
          <w:color w:val="105C84"/>
          <w:spacing w:val="23"/>
        </w:rPr>
        <w:t> </w:t>
      </w:r>
      <w:r>
        <w:rPr>
          <w:color w:val="105C84"/>
        </w:rPr>
        <w:t>members</w:t>
      </w:r>
      <w:r>
        <w:rPr>
          <w:color w:val="105C84"/>
          <w:spacing w:val="23"/>
        </w:rPr>
        <w:t> </w:t>
      </w:r>
      <w:r>
        <w:rPr>
          <w:color w:val="105C84"/>
        </w:rPr>
        <w:t>were</w:t>
      </w:r>
      <w:r>
        <w:rPr>
          <w:color w:val="105C84"/>
          <w:spacing w:val="23"/>
        </w:rPr>
        <w:t> </w:t>
      </w:r>
      <w:r>
        <w:rPr>
          <w:color w:val="105C84"/>
        </w:rPr>
        <w:t>also</w:t>
      </w:r>
      <w:r>
        <w:rPr>
          <w:color w:val="105C84"/>
          <w:spacing w:val="23"/>
        </w:rPr>
        <w:t> </w:t>
      </w:r>
      <w:r>
        <w:rPr>
          <w:color w:val="105C84"/>
        </w:rPr>
        <w:t>invited</w:t>
      </w:r>
      <w:r>
        <w:rPr>
          <w:color w:val="105C84"/>
          <w:spacing w:val="23"/>
        </w:rPr>
        <w:t> </w:t>
      </w:r>
      <w:r>
        <w:rPr>
          <w:color w:val="105C84"/>
        </w:rPr>
        <w:t>to</w:t>
      </w:r>
      <w:r>
        <w:rPr>
          <w:color w:val="105C84"/>
          <w:spacing w:val="23"/>
        </w:rPr>
        <w:t> </w:t>
      </w:r>
      <w:r>
        <w:rPr>
          <w:color w:val="105C84"/>
        </w:rPr>
        <w:t>attend</w:t>
      </w:r>
      <w:r>
        <w:rPr>
          <w:color w:val="105C84"/>
          <w:spacing w:val="23"/>
        </w:rPr>
        <w:t> </w:t>
      </w:r>
      <w:r>
        <w:rPr>
          <w:color w:val="105C84"/>
        </w:rPr>
        <w:t>the</w:t>
      </w:r>
      <w:r>
        <w:rPr>
          <w:color w:val="105C84"/>
          <w:spacing w:val="23"/>
        </w:rPr>
        <w:t> </w:t>
      </w:r>
      <w:r>
        <w:rPr>
          <w:color w:val="105C84"/>
        </w:rPr>
        <w:t>prioritization</w:t>
      </w:r>
      <w:r>
        <w:rPr>
          <w:color w:val="105C84"/>
          <w:spacing w:val="23"/>
        </w:rPr>
        <w:t> </w:t>
      </w:r>
      <w:r>
        <w:rPr>
          <w:color w:val="105C84"/>
        </w:rPr>
        <w:t>meeting</w:t>
      </w:r>
      <w:r>
        <w:rPr>
          <w:color w:val="105C84"/>
          <w:spacing w:val="23"/>
        </w:rPr>
        <w:t> </w:t>
      </w:r>
      <w:r>
        <w:rPr>
          <w:color w:val="105C84"/>
        </w:rPr>
        <w:t>to</w:t>
      </w:r>
      <w:r>
        <w:rPr>
          <w:color w:val="105C84"/>
          <w:spacing w:val="23"/>
        </w:rPr>
        <w:t> </w:t>
      </w:r>
      <w:r>
        <w:rPr>
          <w:color w:val="105C84"/>
        </w:rPr>
        <w:t>help inform and select the 2019-2021 priority areas. Preliminary findings of the assessment were shared </w:t>
      </w:r>
      <w:r>
        <w:rPr>
          <w:color w:val="105C84"/>
          <w:w w:val="105"/>
        </w:rPr>
        <w:t>with</w:t>
      </w:r>
      <w:r>
        <w:rPr>
          <w:color w:val="105C84"/>
          <w:spacing w:val="-8"/>
          <w:w w:val="105"/>
        </w:rPr>
        <w:t> </w:t>
      </w:r>
      <w:r>
        <w:rPr>
          <w:color w:val="105C84"/>
          <w:w w:val="105"/>
        </w:rPr>
        <w:t>partners</w:t>
      </w:r>
      <w:r>
        <w:rPr>
          <w:color w:val="105C84"/>
          <w:spacing w:val="-8"/>
          <w:w w:val="105"/>
        </w:rPr>
        <w:t> </w:t>
      </w:r>
      <w:r>
        <w:rPr>
          <w:color w:val="105C84"/>
          <w:w w:val="105"/>
        </w:rPr>
        <w:t>at</w:t>
      </w:r>
      <w:r>
        <w:rPr>
          <w:color w:val="105C84"/>
          <w:spacing w:val="-8"/>
          <w:w w:val="105"/>
        </w:rPr>
        <w:t> </w:t>
      </w:r>
      <w:r>
        <w:rPr>
          <w:color w:val="105C84"/>
          <w:w w:val="105"/>
        </w:rPr>
        <w:t>Health</w:t>
      </w:r>
      <w:r>
        <w:rPr>
          <w:color w:val="105C84"/>
          <w:spacing w:val="-8"/>
          <w:w w:val="105"/>
        </w:rPr>
        <w:t> </w:t>
      </w:r>
      <w:r>
        <w:rPr>
          <w:color w:val="105C84"/>
          <w:w w:val="105"/>
        </w:rPr>
        <w:t>Priority</w:t>
      </w:r>
      <w:r>
        <w:rPr>
          <w:color w:val="105C84"/>
          <w:spacing w:val="-8"/>
          <w:w w:val="105"/>
        </w:rPr>
        <w:t> </w:t>
      </w:r>
      <w:r>
        <w:rPr>
          <w:color w:val="105C84"/>
          <w:w w:val="105"/>
        </w:rPr>
        <w:t>Partnership</w:t>
      </w:r>
      <w:r>
        <w:rPr>
          <w:color w:val="105C84"/>
          <w:spacing w:val="-8"/>
          <w:w w:val="105"/>
        </w:rPr>
        <w:t> </w:t>
      </w:r>
      <w:r>
        <w:rPr>
          <w:color w:val="105C84"/>
          <w:w w:val="105"/>
        </w:rPr>
        <w:t>meetings</w:t>
      </w:r>
      <w:r>
        <w:rPr>
          <w:color w:val="105C84"/>
          <w:spacing w:val="-8"/>
          <w:w w:val="105"/>
        </w:rPr>
        <w:t> </w:t>
      </w:r>
      <w:r>
        <w:rPr>
          <w:color w:val="105C84"/>
          <w:w w:val="105"/>
        </w:rPr>
        <w:t>and</w:t>
      </w:r>
      <w:r>
        <w:rPr>
          <w:color w:val="105C84"/>
          <w:spacing w:val="-8"/>
          <w:w w:val="105"/>
        </w:rPr>
        <w:t> </w:t>
      </w:r>
      <w:r>
        <w:rPr>
          <w:color w:val="105C84"/>
          <w:w w:val="105"/>
        </w:rPr>
        <w:t>were</w:t>
      </w:r>
      <w:r>
        <w:rPr>
          <w:color w:val="105C84"/>
          <w:spacing w:val="-8"/>
          <w:w w:val="105"/>
        </w:rPr>
        <w:t> </w:t>
      </w:r>
      <w:r>
        <w:rPr>
          <w:color w:val="105C84"/>
          <w:w w:val="105"/>
        </w:rPr>
        <w:t>shared</w:t>
      </w:r>
      <w:r>
        <w:rPr>
          <w:color w:val="105C84"/>
          <w:spacing w:val="-8"/>
          <w:w w:val="105"/>
        </w:rPr>
        <w:t> </w:t>
      </w:r>
      <w:r>
        <w:rPr>
          <w:color w:val="105C84"/>
          <w:w w:val="105"/>
        </w:rPr>
        <w:t>at</w:t>
      </w:r>
      <w:r>
        <w:rPr>
          <w:color w:val="105C84"/>
          <w:spacing w:val="-8"/>
          <w:w w:val="105"/>
        </w:rPr>
        <w:t> </w:t>
      </w:r>
      <w:r>
        <w:rPr>
          <w:color w:val="105C84"/>
          <w:w w:val="105"/>
        </w:rPr>
        <w:t>coalition</w:t>
      </w:r>
      <w:r>
        <w:rPr>
          <w:color w:val="105C84"/>
          <w:spacing w:val="-8"/>
          <w:w w:val="105"/>
        </w:rPr>
        <w:t> </w:t>
      </w:r>
      <w:r>
        <w:rPr>
          <w:color w:val="105C84"/>
          <w:w w:val="105"/>
        </w:rPr>
        <w:t>meetings</w:t>
      </w:r>
      <w:r>
        <w:rPr>
          <w:color w:val="105C84"/>
          <w:spacing w:val="-8"/>
          <w:w w:val="105"/>
        </w:rPr>
        <w:t> </w:t>
      </w:r>
      <w:r>
        <w:rPr>
          <w:color w:val="105C84"/>
          <w:w w:val="105"/>
        </w:rPr>
        <w:t>that</w:t>
      </w:r>
      <w:r>
        <w:rPr>
          <w:color w:val="105C84"/>
          <w:spacing w:val="-8"/>
          <w:w w:val="105"/>
        </w:rPr>
        <w:t> </w:t>
      </w:r>
      <w:r>
        <w:rPr>
          <w:color w:val="105C84"/>
          <w:w w:val="105"/>
        </w:rPr>
        <w:t>the </w:t>
      </w:r>
      <w:r>
        <w:rPr>
          <w:color w:val="105C84"/>
        </w:rPr>
        <w:t>health department sits on. The public were invited to attend Health Priority Partnership meetings via</w:t>
      </w:r>
      <w:r>
        <w:rPr>
          <w:color w:val="105C84"/>
          <w:spacing w:val="80"/>
          <w:w w:val="105"/>
        </w:rPr>
        <w:t> </w:t>
      </w:r>
      <w:r>
        <w:rPr>
          <w:color w:val="105C84"/>
          <w:spacing w:val="-2"/>
          <w:w w:val="105"/>
        </w:rPr>
        <w:t>Facebook.</w:t>
      </w:r>
    </w:p>
    <w:p>
      <w:pPr>
        <w:pStyle w:val="BodyText"/>
        <w:spacing w:line="247" w:lineRule="auto" w:before="177"/>
        <w:ind w:left="1080" w:right="12684"/>
      </w:pPr>
      <w:r>
        <w:rPr>
          <w:color w:val="105C84"/>
        </w:rPr>
        <w:t>Specific interventions to address the priority areas were selected at HP2 meetings and were a group effort. Each member was expected to highlight where resources already existed and could be leveraged.</w:t>
      </w:r>
      <w:r>
        <w:rPr>
          <w:color w:val="105C84"/>
          <w:spacing w:val="37"/>
        </w:rPr>
        <w:t> </w:t>
      </w:r>
      <w:r>
        <w:rPr>
          <w:color w:val="105C84"/>
        </w:rPr>
        <w:t>Coordinated</w:t>
      </w:r>
      <w:r>
        <w:rPr>
          <w:color w:val="105C84"/>
          <w:spacing w:val="37"/>
        </w:rPr>
        <w:t> </w:t>
      </w:r>
      <w:r>
        <w:rPr>
          <w:color w:val="105C84"/>
        </w:rPr>
        <w:t>efforts</w:t>
      </w:r>
      <w:r>
        <w:rPr>
          <w:color w:val="105C84"/>
          <w:spacing w:val="37"/>
        </w:rPr>
        <w:t> </w:t>
      </w:r>
      <w:r>
        <w:rPr>
          <w:color w:val="105C84"/>
        </w:rPr>
        <w:t>to</w:t>
      </w:r>
      <w:r>
        <w:rPr>
          <w:color w:val="105C84"/>
          <w:spacing w:val="37"/>
        </w:rPr>
        <w:t> </w:t>
      </w:r>
      <w:r>
        <w:rPr>
          <w:color w:val="105C84"/>
        </w:rPr>
        <w:t>promote</w:t>
      </w:r>
      <w:r>
        <w:rPr>
          <w:color w:val="105C84"/>
          <w:spacing w:val="37"/>
        </w:rPr>
        <w:t> </w:t>
      </w:r>
      <w:r>
        <w:rPr>
          <w:color w:val="105C84"/>
        </w:rPr>
        <w:t>and</w:t>
      </w:r>
      <w:r>
        <w:rPr>
          <w:color w:val="105C84"/>
          <w:spacing w:val="37"/>
        </w:rPr>
        <w:t> </w:t>
      </w:r>
      <w:r>
        <w:rPr>
          <w:color w:val="105C84"/>
        </w:rPr>
        <w:t>engage</w:t>
      </w:r>
      <w:r>
        <w:rPr>
          <w:color w:val="105C84"/>
          <w:spacing w:val="37"/>
        </w:rPr>
        <w:t> </w:t>
      </w:r>
      <w:r>
        <w:rPr>
          <w:color w:val="105C84"/>
        </w:rPr>
        <w:t>community</w:t>
      </w:r>
      <w:r>
        <w:rPr>
          <w:color w:val="105C84"/>
          <w:spacing w:val="37"/>
        </w:rPr>
        <w:t> </w:t>
      </w:r>
      <w:r>
        <w:rPr>
          <w:color w:val="105C84"/>
        </w:rPr>
        <w:t>members</w:t>
      </w:r>
      <w:r>
        <w:rPr>
          <w:color w:val="105C84"/>
          <w:spacing w:val="37"/>
        </w:rPr>
        <w:t> </w:t>
      </w:r>
      <w:r>
        <w:rPr>
          <w:color w:val="105C84"/>
        </w:rPr>
        <w:t>in</w:t>
      </w:r>
      <w:r>
        <w:rPr>
          <w:color w:val="105C84"/>
          <w:spacing w:val="37"/>
        </w:rPr>
        <w:t> </w:t>
      </w:r>
      <w:r>
        <w:rPr>
          <w:color w:val="105C84"/>
        </w:rPr>
        <w:t>selected</w:t>
      </w:r>
      <w:r>
        <w:rPr>
          <w:color w:val="105C84"/>
          <w:spacing w:val="37"/>
        </w:rPr>
        <w:t> </w:t>
      </w:r>
      <w:r>
        <w:rPr>
          <w:color w:val="105C84"/>
        </w:rPr>
        <w:t>initiatives will take place. A full description of objectives, interventions, process measures, partner roles and resources</w:t>
      </w:r>
      <w:r>
        <w:rPr>
          <w:color w:val="105C84"/>
          <w:spacing w:val="29"/>
        </w:rPr>
        <w:t> </w:t>
      </w:r>
      <w:r>
        <w:rPr>
          <w:color w:val="105C84"/>
        </w:rPr>
        <w:t>are</w:t>
      </w:r>
      <w:r>
        <w:rPr>
          <w:color w:val="105C84"/>
          <w:spacing w:val="29"/>
        </w:rPr>
        <w:t> </w:t>
      </w:r>
      <w:r>
        <w:rPr>
          <w:color w:val="105C84"/>
        </w:rPr>
        <w:t>available</w:t>
      </w:r>
      <w:r>
        <w:rPr>
          <w:color w:val="105C84"/>
          <w:spacing w:val="29"/>
        </w:rPr>
        <w:t> </w:t>
      </w:r>
      <w:r>
        <w:rPr>
          <w:color w:val="105C84"/>
        </w:rPr>
        <w:t>in</w:t>
      </w:r>
      <w:r>
        <w:rPr>
          <w:color w:val="105C84"/>
          <w:spacing w:val="29"/>
        </w:rPr>
        <w:t> </w:t>
      </w:r>
      <w:r>
        <w:rPr>
          <w:color w:val="105C84"/>
        </w:rPr>
        <w:t>the</w:t>
      </w:r>
      <w:r>
        <w:rPr>
          <w:color w:val="105C84"/>
          <w:spacing w:val="29"/>
        </w:rPr>
        <w:t> </w:t>
      </w:r>
      <w:r>
        <w:rPr>
          <w:color w:val="105C84"/>
        </w:rPr>
        <w:t>Chemung</w:t>
      </w:r>
      <w:r>
        <w:rPr>
          <w:color w:val="105C84"/>
          <w:spacing w:val="29"/>
        </w:rPr>
        <w:t> </w:t>
      </w:r>
      <w:r>
        <w:rPr>
          <w:color w:val="105C84"/>
        </w:rPr>
        <w:t>County</w:t>
      </w:r>
      <w:r>
        <w:rPr>
          <w:color w:val="105C84"/>
          <w:spacing w:val="29"/>
        </w:rPr>
        <w:t> </w:t>
      </w:r>
      <w:r>
        <w:rPr>
          <w:color w:val="105C84"/>
        </w:rPr>
        <w:t>Community</w:t>
      </w:r>
      <w:r>
        <w:rPr>
          <w:color w:val="105C84"/>
          <w:spacing w:val="29"/>
        </w:rPr>
        <w:t> </w:t>
      </w:r>
      <w:r>
        <w:rPr>
          <w:color w:val="105C84"/>
        </w:rPr>
        <w:t>Health</w:t>
      </w:r>
      <w:r>
        <w:rPr>
          <w:color w:val="105C84"/>
          <w:spacing w:val="29"/>
        </w:rPr>
        <w:t> </w:t>
      </w:r>
      <w:r>
        <w:rPr>
          <w:color w:val="105C84"/>
        </w:rPr>
        <w:t>Improvement</w:t>
      </w:r>
      <w:r>
        <w:rPr>
          <w:color w:val="105C84"/>
          <w:spacing w:val="29"/>
        </w:rPr>
        <w:t> </w:t>
      </w:r>
      <w:r>
        <w:rPr>
          <w:color w:val="105C84"/>
        </w:rPr>
        <w:t>Plan</w:t>
      </w:r>
      <w:r>
        <w:rPr>
          <w:color w:val="105C84"/>
          <w:spacing w:val="29"/>
        </w:rPr>
        <w:t> </w:t>
      </w:r>
      <w:r>
        <w:rPr>
          <w:color w:val="105C84"/>
        </w:rPr>
        <w:t>(Appendix</w:t>
      </w:r>
      <w:r>
        <w:rPr>
          <w:color w:val="105C84"/>
        </w:rPr>
        <w:t> A). Interventions selected are evidence based. Special focus will be placed on reducing tobacco use among pregnant women.</w:t>
      </w:r>
    </w:p>
    <w:p>
      <w:pPr>
        <w:pStyle w:val="BodyText"/>
        <w:spacing w:line="247" w:lineRule="auto" w:before="176"/>
        <w:ind w:left="1080" w:right="13001"/>
        <w:jc w:val="both"/>
      </w:pPr>
      <w:r>
        <w:rPr>
          <w:color w:val="105C84"/>
        </w:rPr>
        <w:t>The Community Health Improvement Plan progress and implementation will be overseen by HP2,</w:t>
      </w:r>
      <w:r>
        <w:rPr>
          <w:color w:val="105C84"/>
          <w:spacing w:val="80"/>
          <w:w w:val="105"/>
        </w:rPr>
        <w:t> </w:t>
      </w:r>
      <w:r>
        <w:rPr>
          <w:color w:val="105C84"/>
          <w:w w:val="105"/>
        </w:rPr>
        <w:t>a group that meets bi-monthly and brings together diverse partners to improve the health of its</w:t>
      </w:r>
    </w:p>
    <w:p>
      <w:pPr>
        <w:pStyle w:val="BodyText"/>
        <w:spacing w:line="247" w:lineRule="auto"/>
        <w:ind w:left="1080" w:right="12762"/>
        <w:jc w:val="both"/>
      </w:pPr>
      <w:r>
        <w:rPr>
          <w:color w:val="105C84"/>
        </w:rPr>
        <w:t>residents. Progress and relevant data on each measure will be regularly reviewed at these meetings. Group members will identify and address any mid-course corrections in interventions and processes that need to take place during these meetings.</w:t>
      </w:r>
    </w:p>
    <w:p>
      <w:pPr>
        <w:pStyle w:val="BodyText"/>
        <w:rPr>
          <w:sz w:val="26"/>
        </w:rPr>
      </w:pPr>
    </w:p>
    <w:p>
      <w:pPr>
        <w:pStyle w:val="BodyText"/>
        <w:spacing w:before="167"/>
        <w:rPr>
          <w:sz w:val="26"/>
        </w:rPr>
      </w:pPr>
    </w:p>
    <w:p>
      <w:pPr>
        <w:spacing w:before="0"/>
        <w:ind w:left="0" w:right="0" w:firstLine="0"/>
        <w:jc w:val="left"/>
        <w:rPr>
          <w:b/>
          <w:sz w:val="26"/>
        </w:rPr>
      </w:pPr>
      <w:r>
        <w:rPr>
          <w:b/>
          <w:sz w:val="26"/>
        </w:rPr>
        <mc:AlternateContent>
          <mc:Choice Requires="wps">
            <w:drawing>
              <wp:anchor distT="0" distB="0" distL="0" distR="0" allowOverlap="1" layoutInCell="1" locked="0" behindDoc="1" simplePos="0" relativeHeight="475009536">
                <wp:simplePos x="0" y="0"/>
                <wp:positionH relativeFrom="page">
                  <wp:posOffset>14698495</wp:posOffset>
                </wp:positionH>
                <wp:positionV relativeFrom="paragraph">
                  <wp:posOffset>-10234</wp:posOffset>
                </wp:positionV>
                <wp:extent cx="195580" cy="226060"/>
                <wp:effectExtent l="0" t="0" r="0" b="0"/>
                <wp:wrapNone/>
                <wp:docPr id="605" name="Textbox 605"/>
                <wp:cNvGraphicFramePr>
                  <a:graphicFrameLocks/>
                </wp:cNvGraphicFramePr>
                <a:graphic>
                  <a:graphicData uri="http://schemas.microsoft.com/office/word/2010/wordprocessingShape">
                    <wps:wsp>
                      <wps:cNvPr id="605" name="Textbox 605"/>
                      <wps:cNvSpPr txBox="1"/>
                      <wps:spPr>
                        <a:xfrm>
                          <a:off x="0" y="0"/>
                          <a:ext cx="195580" cy="226060"/>
                        </a:xfrm>
                        <a:prstGeom prst="rect">
                          <a:avLst/>
                        </a:prstGeom>
                      </wps:spPr>
                      <wps:txbx>
                        <w:txbxContent>
                          <w:p>
                            <w:pPr>
                              <w:spacing w:before="16"/>
                              <w:ind w:left="0" w:right="0" w:firstLine="0"/>
                              <w:jc w:val="left"/>
                              <w:rPr>
                                <w:b/>
                                <w:sz w:val="26"/>
                              </w:rPr>
                            </w:pPr>
                            <w:r>
                              <w:rPr>
                                <w:b/>
                                <w:color w:val="939598"/>
                                <w:spacing w:val="-5"/>
                                <w:w w:val="105"/>
                                <w:sz w:val="26"/>
                              </w:rPr>
                              <w:t>44</w:t>
                            </w:r>
                          </w:p>
                        </w:txbxContent>
                      </wps:txbx>
                      <wps:bodyPr wrap="square" lIns="0" tIns="0" rIns="0" bIns="0" rtlCol="0">
                        <a:noAutofit/>
                      </wps:bodyPr>
                    </wps:wsp>
                  </a:graphicData>
                </a:graphic>
              </wp:anchor>
            </w:drawing>
          </mc:Choice>
          <mc:Fallback>
            <w:pict>
              <v:shape style="position:absolute;margin-left:1157.361816pt;margin-top:-.805854pt;width:15.4pt;height:17.8pt;mso-position-horizontal-relative:page;mso-position-vertical-relative:paragraph;z-index:-28306944" type="#_x0000_t202" id="docshape517" filled="false" stroked="false">
                <v:textbox inset="0,0,0,0">
                  <w:txbxContent>
                    <w:p>
                      <w:pPr>
                        <w:spacing w:before="16"/>
                        <w:ind w:left="0" w:right="0" w:firstLine="0"/>
                        <w:jc w:val="left"/>
                        <w:rPr>
                          <w:b/>
                          <w:sz w:val="26"/>
                        </w:rPr>
                      </w:pPr>
                      <w:r>
                        <w:rPr>
                          <w:b/>
                          <w:color w:val="939598"/>
                          <w:spacing w:val="-5"/>
                          <w:w w:val="105"/>
                          <w:sz w:val="26"/>
                        </w:rPr>
                        <w:t>44</w:t>
                      </w:r>
                    </w:p>
                  </w:txbxContent>
                </v:textbox>
                <w10:wrap type="none"/>
              </v:shape>
            </w:pict>
          </mc:Fallback>
        </mc:AlternateContent>
      </w:r>
      <w:r>
        <w:rPr>
          <w:position w:val="-4"/>
        </w:rPr>
        <w:drawing>
          <wp:inline distT="0" distB="0" distL="0" distR="0">
            <wp:extent cx="568172" cy="184683"/>
            <wp:effectExtent l="0" t="0" r="0" b="0"/>
            <wp:docPr id="606" name="Image 606"/>
            <wp:cNvGraphicFramePr>
              <a:graphicFrameLocks/>
            </wp:cNvGraphicFramePr>
            <a:graphic>
              <a:graphicData uri="http://schemas.openxmlformats.org/drawingml/2006/picture">
                <pic:pic>
                  <pic:nvPicPr>
                    <pic:cNvPr id="606" name="Image 606"/>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80"/>
          <w:w w:val="105"/>
          <w:sz w:val="20"/>
        </w:rPr>
        <w:t> </w:t>
      </w:r>
      <w:r>
        <w:rPr>
          <w:b/>
          <w:color w:val="939598"/>
          <w:w w:val="105"/>
          <w:sz w:val="26"/>
        </w:rPr>
        <w:t>43</w:t>
      </w:r>
    </w:p>
    <w:p>
      <w:pPr>
        <w:spacing w:after="0"/>
        <w:jc w:val="left"/>
        <w:rPr>
          <w:b/>
          <w:sz w:val="26"/>
        </w:rPr>
        <w:sectPr>
          <w:type w:val="continuous"/>
          <w:pgSz w:w="24480" w:h="15840" w:orient="landscape"/>
          <w:pgMar w:header="0" w:footer="0" w:top="0" w:bottom="280" w:left="0" w:right="720"/>
        </w:sectPr>
      </w:pPr>
    </w:p>
    <w:p>
      <w:pPr>
        <w:pStyle w:val="BodyText"/>
        <w:rPr>
          <w:b/>
          <w:sz w:val="20"/>
        </w:rPr>
      </w:pPr>
    </w:p>
    <w:p>
      <w:pPr>
        <w:pStyle w:val="BodyText"/>
        <w:spacing w:before="16"/>
        <w:rPr>
          <w:b/>
          <w:sz w:val="20"/>
        </w:rPr>
      </w:pPr>
    </w:p>
    <w:p>
      <w:pPr>
        <w:pStyle w:val="BodyText"/>
        <w:spacing w:after="0"/>
        <w:rPr>
          <w:b/>
          <w:sz w:val="20"/>
        </w:rPr>
        <w:sectPr>
          <w:pgSz w:w="24480" w:h="15840" w:orient="landscape"/>
          <w:pgMar w:header="0" w:footer="0" w:top="860" w:bottom="0" w:left="0" w:right="720"/>
        </w:sectPr>
      </w:pPr>
    </w:p>
    <w:p>
      <w:pPr>
        <w:pStyle w:val="Heading3"/>
        <w:spacing w:before="120"/>
        <w:ind w:left="1080"/>
      </w:pPr>
      <w:bookmarkStart w:name="_TOC_250014" w:id="5"/>
      <w:r>
        <w:rPr>
          <w:color w:val="82BF6A"/>
        </w:rPr>
        <w:t>LIVINGSTON</w:t>
      </w:r>
      <w:r>
        <w:rPr>
          <w:color w:val="82BF6A"/>
          <w:spacing w:val="-15"/>
        </w:rPr>
        <w:t> </w:t>
      </w:r>
      <w:bookmarkEnd w:id="5"/>
      <w:r>
        <w:rPr>
          <w:color w:val="82BF6A"/>
          <w:spacing w:val="-2"/>
        </w:rPr>
        <w:t>COUNTY</w:t>
      </w:r>
    </w:p>
    <w:p>
      <w:pPr>
        <w:pStyle w:val="Heading6"/>
        <w:spacing w:before="258"/>
      </w:pPr>
      <w:r>
        <w:rPr>
          <w:color w:val="105C84"/>
          <w:spacing w:val="-6"/>
        </w:rPr>
        <w:t>Demographic</w:t>
      </w:r>
      <w:r>
        <w:rPr>
          <w:color w:val="105C84"/>
          <w:spacing w:val="-8"/>
        </w:rPr>
        <w:t> </w:t>
      </w:r>
      <w:r>
        <w:rPr>
          <w:color w:val="105C84"/>
          <w:spacing w:val="-6"/>
        </w:rPr>
        <w:t>and</w:t>
      </w:r>
      <w:r>
        <w:rPr>
          <w:color w:val="105C84"/>
          <w:spacing w:val="-8"/>
        </w:rPr>
        <w:t> </w:t>
      </w:r>
      <w:r>
        <w:rPr>
          <w:color w:val="105C84"/>
          <w:spacing w:val="-6"/>
        </w:rPr>
        <w:t>Socioeconomic</w:t>
      </w:r>
      <w:r>
        <w:rPr>
          <w:color w:val="105C84"/>
          <w:spacing w:val="-8"/>
        </w:rPr>
        <w:t> </w:t>
      </w:r>
      <w:r>
        <w:rPr>
          <w:color w:val="105C84"/>
          <w:spacing w:val="-6"/>
        </w:rPr>
        <w:t>Health</w:t>
      </w:r>
      <w:r>
        <w:rPr>
          <w:color w:val="105C84"/>
          <w:spacing w:val="-7"/>
        </w:rPr>
        <w:t> </w:t>
      </w:r>
      <w:r>
        <w:rPr>
          <w:color w:val="105C84"/>
          <w:spacing w:val="-6"/>
        </w:rPr>
        <w:t>Indicators</w:t>
      </w:r>
    </w:p>
    <w:p>
      <w:pPr>
        <w:pStyle w:val="BodyText"/>
        <w:spacing w:line="246" w:lineRule="exact" w:before="268"/>
        <w:ind w:left="1080"/>
      </w:pPr>
      <w:r>
        <w:rPr>
          <w:color w:val="105C84"/>
        </w:rPr>
        <w:t>Livingston</w:t>
      </w:r>
      <w:r>
        <w:rPr>
          <w:color w:val="105C84"/>
          <w:spacing w:val="1"/>
        </w:rPr>
        <w:t> </w:t>
      </w:r>
      <w:r>
        <w:rPr>
          <w:color w:val="105C84"/>
        </w:rPr>
        <w:t>County</w:t>
      </w:r>
      <w:r>
        <w:rPr>
          <w:color w:val="105C84"/>
          <w:spacing w:val="2"/>
        </w:rPr>
        <w:t> </w:t>
      </w:r>
      <w:r>
        <w:rPr>
          <w:color w:val="105C84"/>
        </w:rPr>
        <w:t>is</w:t>
      </w:r>
      <w:r>
        <w:rPr>
          <w:color w:val="105C84"/>
          <w:spacing w:val="1"/>
        </w:rPr>
        <w:t> </w:t>
      </w:r>
      <w:r>
        <w:rPr>
          <w:color w:val="105C84"/>
        </w:rPr>
        <w:t>home</w:t>
      </w:r>
      <w:r>
        <w:rPr>
          <w:color w:val="105C84"/>
          <w:spacing w:val="2"/>
        </w:rPr>
        <w:t> </w:t>
      </w:r>
      <w:r>
        <w:rPr>
          <w:color w:val="105C84"/>
        </w:rPr>
        <w:t>to</w:t>
      </w:r>
      <w:r>
        <w:rPr>
          <w:color w:val="105C84"/>
          <w:spacing w:val="2"/>
        </w:rPr>
        <w:t> </w:t>
      </w:r>
      <w:r>
        <w:rPr>
          <w:color w:val="105C84"/>
        </w:rPr>
        <w:t>Conesus</w:t>
      </w:r>
      <w:r>
        <w:rPr>
          <w:color w:val="105C84"/>
          <w:spacing w:val="1"/>
        </w:rPr>
        <w:t> </w:t>
      </w:r>
      <w:r>
        <w:rPr>
          <w:color w:val="105C84"/>
        </w:rPr>
        <w:t>and</w:t>
      </w:r>
      <w:r>
        <w:rPr>
          <w:color w:val="105C84"/>
          <w:spacing w:val="2"/>
        </w:rPr>
        <w:t> </w:t>
      </w:r>
      <w:r>
        <w:rPr>
          <w:color w:val="105C84"/>
        </w:rPr>
        <w:t>Hemlock</w:t>
      </w:r>
      <w:r>
        <w:rPr>
          <w:color w:val="105C84"/>
          <w:spacing w:val="2"/>
        </w:rPr>
        <w:t> </w:t>
      </w:r>
      <w:r>
        <w:rPr>
          <w:color w:val="105C84"/>
        </w:rPr>
        <w:t>Lakes</w:t>
      </w:r>
      <w:r>
        <w:rPr>
          <w:color w:val="105C84"/>
          <w:spacing w:val="1"/>
        </w:rPr>
        <w:t> </w:t>
      </w:r>
      <w:r>
        <w:rPr>
          <w:color w:val="105C84"/>
        </w:rPr>
        <w:t>and</w:t>
      </w:r>
      <w:r>
        <w:rPr>
          <w:color w:val="105C84"/>
          <w:spacing w:val="2"/>
        </w:rPr>
        <w:t> </w:t>
      </w:r>
      <w:r>
        <w:rPr>
          <w:color w:val="105C84"/>
        </w:rPr>
        <w:t>Letchworth</w:t>
      </w:r>
      <w:r>
        <w:rPr>
          <w:color w:val="105C84"/>
          <w:spacing w:val="2"/>
        </w:rPr>
        <w:t> </w:t>
      </w:r>
      <w:r>
        <w:rPr>
          <w:color w:val="105C84"/>
        </w:rPr>
        <w:t>State</w:t>
      </w:r>
      <w:r>
        <w:rPr>
          <w:color w:val="105C84"/>
          <w:spacing w:val="1"/>
        </w:rPr>
        <w:t> </w:t>
      </w:r>
      <w:r>
        <w:rPr>
          <w:color w:val="105C84"/>
        </w:rPr>
        <w:t>Park.</w:t>
      </w:r>
      <w:r>
        <w:rPr>
          <w:color w:val="105C84"/>
          <w:spacing w:val="2"/>
        </w:rPr>
        <w:t> </w:t>
      </w:r>
      <w:r>
        <w:rPr>
          <w:color w:val="105C84"/>
        </w:rPr>
        <w:t>It</w:t>
      </w:r>
      <w:r>
        <w:rPr>
          <w:color w:val="105C84"/>
          <w:spacing w:val="1"/>
        </w:rPr>
        <w:t> </w:t>
      </w:r>
      <w:r>
        <w:rPr>
          <w:color w:val="105C84"/>
        </w:rPr>
        <w:t>is</w:t>
      </w:r>
      <w:r>
        <w:rPr>
          <w:color w:val="105C84"/>
          <w:spacing w:val="2"/>
        </w:rPr>
        <w:t> </w:t>
      </w:r>
      <w:r>
        <w:rPr>
          <w:color w:val="105C84"/>
          <w:spacing w:val="-2"/>
        </w:rPr>
        <w:t>located</w:t>
      </w:r>
    </w:p>
    <w:p>
      <w:pPr>
        <w:pStyle w:val="BodyText"/>
        <w:spacing w:line="247" w:lineRule="auto" w:before="113"/>
        <w:ind w:left="1080" w:right="472"/>
      </w:pPr>
      <w:r>
        <w:rPr/>
        <w:br w:type="column"/>
      </w:r>
      <w:r>
        <w:rPr>
          <w:color w:val="105C84"/>
        </w:rPr>
        <w:t>Over the past 5 years, there has been a slight shift in educational attainment where there are more residents aged 25+ with a Bachelor’s degree or higher than in years past (Figure 21).</w:t>
      </w:r>
    </w:p>
    <w:p>
      <w:pPr>
        <w:pStyle w:val="BodyText"/>
        <w:spacing w:before="19"/>
      </w:pPr>
    </w:p>
    <w:p>
      <w:pPr>
        <w:pStyle w:val="Heading6"/>
      </w:pPr>
      <w:r>
        <w:rPr>
          <w:color w:val="105C84"/>
          <w:spacing w:val="-4"/>
        </w:rPr>
        <w:t>FIGURE</w:t>
      </w:r>
      <w:r>
        <w:rPr>
          <w:color w:val="105C84"/>
          <w:spacing w:val="-5"/>
        </w:rPr>
        <w:t> </w:t>
      </w:r>
      <w:r>
        <w:rPr>
          <w:color w:val="105C84"/>
          <w:spacing w:val="-4"/>
        </w:rPr>
        <w:t>21:</w:t>
      </w:r>
      <w:r>
        <w:rPr>
          <w:color w:val="105C84"/>
          <w:spacing w:val="-5"/>
        </w:rPr>
        <w:t> </w:t>
      </w:r>
      <w:r>
        <w:rPr>
          <w:color w:val="105C84"/>
          <w:spacing w:val="-4"/>
        </w:rPr>
        <w:t>Educational</w:t>
      </w:r>
      <w:r>
        <w:rPr>
          <w:color w:val="105C84"/>
          <w:spacing w:val="-5"/>
        </w:rPr>
        <w:t> </w:t>
      </w:r>
      <w:r>
        <w:rPr>
          <w:color w:val="105C84"/>
          <w:spacing w:val="-4"/>
        </w:rPr>
        <w:t>attainment</w:t>
      </w:r>
      <w:r>
        <w:rPr>
          <w:color w:val="105C84"/>
          <w:spacing w:val="-5"/>
        </w:rPr>
        <w:t> </w:t>
      </w:r>
      <w:r>
        <w:rPr>
          <w:color w:val="105C84"/>
          <w:spacing w:val="-4"/>
        </w:rPr>
        <w:t>for</w:t>
      </w:r>
      <w:r>
        <w:rPr>
          <w:color w:val="105C84"/>
          <w:spacing w:val="-5"/>
        </w:rPr>
        <w:t> </w:t>
      </w:r>
      <w:r>
        <w:rPr>
          <w:color w:val="105C84"/>
          <w:spacing w:val="-4"/>
        </w:rPr>
        <w:t>Livingston</w:t>
      </w:r>
      <w:r>
        <w:rPr>
          <w:color w:val="105C84"/>
          <w:spacing w:val="-5"/>
        </w:rPr>
        <w:t> </w:t>
      </w:r>
      <w:r>
        <w:rPr>
          <w:color w:val="105C84"/>
          <w:spacing w:val="-4"/>
        </w:rPr>
        <w:t>County</w:t>
      </w:r>
      <w:r>
        <w:rPr>
          <w:color w:val="105C84"/>
          <w:spacing w:val="-5"/>
        </w:rPr>
        <w:t> </w:t>
      </w:r>
      <w:r>
        <w:rPr>
          <w:color w:val="105C84"/>
          <w:spacing w:val="-4"/>
        </w:rPr>
        <w:t>by</w:t>
      </w:r>
      <w:r>
        <w:rPr>
          <w:color w:val="105C84"/>
          <w:spacing w:val="-5"/>
        </w:rPr>
        <w:t> </w:t>
      </w:r>
      <w:r>
        <w:rPr>
          <w:color w:val="105C84"/>
          <w:spacing w:val="-4"/>
        </w:rPr>
        <w:t>year</w:t>
      </w:r>
    </w:p>
    <w:p>
      <w:pPr>
        <w:pStyle w:val="Heading6"/>
        <w:spacing w:after="0"/>
        <w:sectPr>
          <w:type w:val="continuous"/>
          <w:pgSz w:w="24480" w:h="15840" w:orient="landscape"/>
          <w:pgMar w:header="0" w:footer="0" w:top="0" w:bottom="280" w:left="0" w:right="720"/>
          <w:cols w:num="2" w:equalWidth="0">
            <w:col w:w="10873" w:space="1367"/>
            <w:col w:w="11520"/>
          </w:cols>
        </w:sectPr>
      </w:pPr>
    </w:p>
    <w:p>
      <w:pPr>
        <w:pStyle w:val="BodyText"/>
        <w:spacing w:line="247" w:lineRule="auto" w:before="14"/>
        <w:ind w:left="1080" w:right="108"/>
      </w:pPr>
      <w:r>
        <w:rPr/>
        <mc:AlternateContent>
          <mc:Choice Requires="wps">
            <w:drawing>
              <wp:anchor distT="0" distB="0" distL="0" distR="0" allowOverlap="1" layoutInCell="1" locked="0" behindDoc="1" simplePos="0" relativeHeight="475013632">
                <wp:simplePos x="0" y="0"/>
                <wp:positionH relativeFrom="page">
                  <wp:posOffset>8682773</wp:posOffset>
                </wp:positionH>
                <wp:positionV relativeFrom="paragraph">
                  <wp:posOffset>193432</wp:posOffset>
                </wp:positionV>
                <wp:extent cx="5949950" cy="1415415"/>
                <wp:effectExtent l="0" t="0" r="0" b="0"/>
                <wp:wrapNone/>
                <wp:docPr id="607" name="Group 607"/>
                <wp:cNvGraphicFramePr>
                  <a:graphicFrameLocks/>
                </wp:cNvGraphicFramePr>
                <a:graphic>
                  <a:graphicData uri="http://schemas.microsoft.com/office/word/2010/wordprocessingGroup">
                    <wpg:wgp>
                      <wpg:cNvPr id="607" name="Group 607"/>
                      <wpg:cNvGrpSpPr/>
                      <wpg:grpSpPr>
                        <a:xfrm>
                          <a:off x="0" y="0"/>
                          <a:ext cx="5949950" cy="1415415"/>
                          <a:chExt cx="5949950" cy="1415415"/>
                        </a:xfrm>
                      </wpg:grpSpPr>
                      <pic:pic>
                        <pic:nvPicPr>
                          <pic:cNvPr id="608" name="Image 608"/>
                          <pic:cNvPicPr/>
                        </pic:nvPicPr>
                        <pic:blipFill>
                          <a:blip r:embed="rId83" cstate="print"/>
                          <a:stretch>
                            <a:fillRect/>
                          </a:stretch>
                        </pic:blipFill>
                        <pic:spPr>
                          <a:xfrm>
                            <a:off x="396062" y="43497"/>
                            <a:ext cx="444500" cy="160883"/>
                          </a:xfrm>
                          <a:prstGeom prst="rect">
                            <a:avLst/>
                          </a:prstGeom>
                        </pic:spPr>
                      </pic:pic>
                      <pic:pic>
                        <pic:nvPicPr>
                          <pic:cNvPr id="609" name="Image 609"/>
                          <pic:cNvPicPr/>
                        </pic:nvPicPr>
                        <pic:blipFill>
                          <a:blip r:embed="rId84" cstate="print"/>
                          <a:stretch>
                            <a:fillRect/>
                          </a:stretch>
                        </pic:blipFill>
                        <pic:spPr>
                          <a:xfrm>
                            <a:off x="396062" y="102781"/>
                            <a:ext cx="444512" cy="203174"/>
                          </a:xfrm>
                          <a:prstGeom prst="rect">
                            <a:avLst/>
                          </a:prstGeom>
                        </pic:spPr>
                      </pic:pic>
                      <pic:pic>
                        <pic:nvPicPr>
                          <pic:cNvPr id="610" name="Image 610"/>
                          <pic:cNvPicPr/>
                        </pic:nvPicPr>
                        <pic:blipFill>
                          <a:blip r:embed="rId85" cstate="print"/>
                          <a:stretch>
                            <a:fillRect/>
                          </a:stretch>
                        </pic:blipFill>
                        <pic:spPr>
                          <a:xfrm>
                            <a:off x="396062" y="204368"/>
                            <a:ext cx="444512" cy="203263"/>
                          </a:xfrm>
                          <a:prstGeom prst="rect">
                            <a:avLst/>
                          </a:prstGeom>
                        </pic:spPr>
                      </pic:pic>
                      <pic:pic>
                        <pic:nvPicPr>
                          <pic:cNvPr id="611" name="Image 611"/>
                          <pic:cNvPicPr/>
                        </pic:nvPicPr>
                        <pic:blipFill>
                          <a:blip r:embed="rId86" cstate="print"/>
                          <a:stretch>
                            <a:fillRect/>
                          </a:stretch>
                        </pic:blipFill>
                        <pic:spPr>
                          <a:xfrm>
                            <a:off x="2377262" y="195910"/>
                            <a:ext cx="444461" cy="110045"/>
                          </a:xfrm>
                          <a:prstGeom prst="rect">
                            <a:avLst/>
                          </a:prstGeom>
                        </pic:spPr>
                      </pic:pic>
                      <pic:pic>
                        <pic:nvPicPr>
                          <pic:cNvPr id="612" name="Image 612"/>
                          <pic:cNvPicPr/>
                        </pic:nvPicPr>
                        <pic:blipFill>
                          <a:blip r:embed="rId87" cstate="print"/>
                          <a:stretch>
                            <a:fillRect/>
                          </a:stretch>
                        </pic:blipFill>
                        <pic:spPr>
                          <a:xfrm>
                            <a:off x="2377262" y="204368"/>
                            <a:ext cx="444461" cy="203263"/>
                          </a:xfrm>
                          <a:prstGeom prst="rect">
                            <a:avLst/>
                          </a:prstGeom>
                        </pic:spPr>
                      </pic:pic>
                      <pic:pic>
                        <pic:nvPicPr>
                          <pic:cNvPr id="613" name="Image 613"/>
                          <pic:cNvPicPr/>
                        </pic:nvPicPr>
                        <pic:blipFill>
                          <a:blip r:embed="rId88" cstate="print"/>
                          <a:stretch>
                            <a:fillRect/>
                          </a:stretch>
                        </pic:blipFill>
                        <pic:spPr>
                          <a:xfrm>
                            <a:off x="396062" y="305955"/>
                            <a:ext cx="444512" cy="203263"/>
                          </a:xfrm>
                          <a:prstGeom prst="rect">
                            <a:avLst/>
                          </a:prstGeom>
                        </pic:spPr>
                      </pic:pic>
                      <pic:pic>
                        <pic:nvPicPr>
                          <pic:cNvPr id="614" name="Image 614"/>
                          <pic:cNvPicPr/>
                        </pic:nvPicPr>
                        <pic:blipFill>
                          <a:blip r:embed="rId89" cstate="print"/>
                          <a:stretch>
                            <a:fillRect/>
                          </a:stretch>
                        </pic:blipFill>
                        <pic:spPr>
                          <a:xfrm>
                            <a:off x="2377262" y="305955"/>
                            <a:ext cx="444461" cy="203263"/>
                          </a:xfrm>
                          <a:prstGeom prst="rect">
                            <a:avLst/>
                          </a:prstGeom>
                        </pic:spPr>
                      </pic:pic>
                      <pic:pic>
                        <pic:nvPicPr>
                          <pic:cNvPr id="615" name="Image 615"/>
                          <pic:cNvPicPr/>
                        </pic:nvPicPr>
                        <pic:blipFill>
                          <a:blip r:embed="rId84" cstate="print"/>
                          <a:stretch>
                            <a:fillRect/>
                          </a:stretch>
                        </pic:blipFill>
                        <pic:spPr>
                          <a:xfrm>
                            <a:off x="396062" y="407631"/>
                            <a:ext cx="444512" cy="203174"/>
                          </a:xfrm>
                          <a:prstGeom prst="rect">
                            <a:avLst/>
                          </a:prstGeom>
                        </pic:spPr>
                      </pic:pic>
                      <pic:pic>
                        <pic:nvPicPr>
                          <pic:cNvPr id="616" name="Image 616"/>
                          <pic:cNvPicPr/>
                        </pic:nvPicPr>
                        <pic:blipFill>
                          <a:blip r:embed="rId90" cstate="print"/>
                          <a:stretch>
                            <a:fillRect/>
                          </a:stretch>
                        </pic:blipFill>
                        <pic:spPr>
                          <a:xfrm>
                            <a:off x="2377262" y="407631"/>
                            <a:ext cx="444461" cy="203174"/>
                          </a:xfrm>
                          <a:prstGeom prst="rect">
                            <a:avLst/>
                          </a:prstGeom>
                        </pic:spPr>
                      </pic:pic>
                      <pic:pic>
                        <pic:nvPicPr>
                          <pic:cNvPr id="617" name="Image 617"/>
                          <pic:cNvPicPr/>
                        </pic:nvPicPr>
                        <pic:blipFill>
                          <a:blip r:embed="rId91" cstate="print"/>
                          <a:stretch>
                            <a:fillRect/>
                          </a:stretch>
                        </pic:blipFill>
                        <pic:spPr>
                          <a:xfrm>
                            <a:off x="4358462" y="424535"/>
                            <a:ext cx="444512" cy="186270"/>
                          </a:xfrm>
                          <a:prstGeom prst="rect">
                            <a:avLst/>
                          </a:prstGeom>
                        </pic:spPr>
                      </pic:pic>
                      <pic:pic>
                        <pic:nvPicPr>
                          <pic:cNvPr id="618" name="Image 618"/>
                          <pic:cNvPicPr/>
                        </pic:nvPicPr>
                        <pic:blipFill>
                          <a:blip r:embed="rId84" cstate="print"/>
                          <a:stretch>
                            <a:fillRect/>
                          </a:stretch>
                        </pic:blipFill>
                        <pic:spPr>
                          <a:xfrm>
                            <a:off x="396062" y="509206"/>
                            <a:ext cx="444512" cy="203174"/>
                          </a:xfrm>
                          <a:prstGeom prst="rect">
                            <a:avLst/>
                          </a:prstGeom>
                        </pic:spPr>
                      </pic:pic>
                      <pic:pic>
                        <pic:nvPicPr>
                          <pic:cNvPr id="619" name="Image 619"/>
                          <pic:cNvPicPr/>
                        </pic:nvPicPr>
                        <pic:blipFill>
                          <a:blip r:embed="rId90" cstate="print"/>
                          <a:stretch>
                            <a:fillRect/>
                          </a:stretch>
                        </pic:blipFill>
                        <pic:spPr>
                          <a:xfrm>
                            <a:off x="2377262" y="509206"/>
                            <a:ext cx="444461" cy="203174"/>
                          </a:xfrm>
                          <a:prstGeom prst="rect">
                            <a:avLst/>
                          </a:prstGeom>
                        </pic:spPr>
                      </pic:pic>
                      <pic:pic>
                        <pic:nvPicPr>
                          <pic:cNvPr id="620" name="Image 620"/>
                          <pic:cNvPicPr/>
                        </pic:nvPicPr>
                        <pic:blipFill>
                          <a:blip r:embed="rId92" cstate="print"/>
                          <a:stretch>
                            <a:fillRect/>
                          </a:stretch>
                        </pic:blipFill>
                        <pic:spPr>
                          <a:xfrm>
                            <a:off x="4358462" y="509206"/>
                            <a:ext cx="444512" cy="203174"/>
                          </a:xfrm>
                          <a:prstGeom prst="rect">
                            <a:avLst/>
                          </a:prstGeom>
                        </pic:spPr>
                      </pic:pic>
                      <pic:pic>
                        <pic:nvPicPr>
                          <pic:cNvPr id="621" name="Image 621"/>
                          <pic:cNvPicPr/>
                        </pic:nvPicPr>
                        <pic:blipFill>
                          <a:blip r:embed="rId84" cstate="print"/>
                          <a:stretch>
                            <a:fillRect/>
                          </a:stretch>
                        </pic:blipFill>
                        <pic:spPr>
                          <a:xfrm>
                            <a:off x="396062" y="610793"/>
                            <a:ext cx="444512" cy="203161"/>
                          </a:xfrm>
                          <a:prstGeom prst="rect">
                            <a:avLst/>
                          </a:prstGeom>
                        </pic:spPr>
                      </pic:pic>
                      <pic:pic>
                        <pic:nvPicPr>
                          <pic:cNvPr id="622" name="Image 622"/>
                          <pic:cNvPicPr/>
                        </pic:nvPicPr>
                        <pic:blipFill>
                          <a:blip r:embed="rId93" cstate="print"/>
                          <a:stretch>
                            <a:fillRect/>
                          </a:stretch>
                        </pic:blipFill>
                        <pic:spPr>
                          <a:xfrm>
                            <a:off x="2377262" y="610793"/>
                            <a:ext cx="444461" cy="203161"/>
                          </a:xfrm>
                          <a:prstGeom prst="rect">
                            <a:avLst/>
                          </a:prstGeom>
                        </pic:spPr>
                      </pic:pic>
                      <pic:pic>
                        <pic:nvPicPr>
                          <pic:cNvPr id="623" name="Image 623"/>
                          <pic:cNvPicPr/>
                        </pic:nvPicPr>
                        <pic:blipFill>
                          <a:blip r:embed="rId92" cstate="print"/>
                          <a:stretch>
                            <a:fillRect/>
                          </a:stretch>
                        </pic:blipFill>
                        <pic:spPr>
                          <a:xfrm>
                            <a:off x="4358462" y="610793"/>
                            <a:ext cx="444512" cy="203161"/>
                          </a:xfrm>
                          <a:prstGeom prst="rect">
                            <a:avLst/>
                          </a:prstGeom>
                        </pic:spPr>
                      </pic:pic>
                      <pic:pic>
                        <pic:nvPicPr>
                          <pic:cNvPr id="624" name="Image 624"/>
                          <pic:cNvPicPr/>
                        </pic:nvPicPr>
                        <pic:blipFill>
                          <a:blip r:embed="rId85" cstate="print"/>
                          <a:stretch>
                            <a:fillRect/>
                          </a:stretch>
                        </pic:blipFill>
                        <pic:spPr>
                          <a:xfrm>
                            <a:off x="396062" y="712381"/>
                            <a:ext cx="444512" cy="203250"/>
                          </a:xfrm>
                          <a:prstGeom prst="rect">
                            <a:avLst/>
                          </a:prstGeom>
                        </pic:spPr>
                      </pic:pic>
                      <pic:pic>
                        <pic:nvPicPr>
                          <pic:cNvPr id="625" name="Image 625"/>
                          <pic:cNvPicPr/>
                        </pic:nvPicPr>
                        <pic:blipFill>
                          <a:blip r:embed="rId93" cstate="print"/>
                          <a:stretch>
                            <a:fillRect/>
                          </a:stretch>
                        </pic:blipFill>
                        <pic:spPr>
                          <a:xfrm>
                            <a:off x="2377262" y="712381"/>
                            <a:ext cx="444461" cy="203161"/>
                          </a:xfrm>
                          <a:prstGeom prst="rect">
                            <a:avLst/>
                          </a:prstGeom>
                        </pic:spPr>
                      </pic:pic>
                      <pic:pic>
                        <pic:nvPicPr>
                          <pic:cNvPr id="626" name="Image 626"/>
                          <pic:cNvPicPr/>
                        </pic:nvPicPr>
                        <pic:blipFill>
                          <a:blip r:embed="rId94" cstate="print"/>
                          <a:stretch>
                            <a:fillRect/>
                          </a:stretch>
                        </pic:blipFill>
                        <pic:spPr>
                          <a:xfrm>
                            <a:off x="4358462" y="712381"/>
                            <a:ext cx="444512" cy="203250"/>
                          </a:xfrm>
                          <a:prstGeom prst="rect">
                            <a:avLst/>
                          </a:prstGeom>
                        </pic:spPr>
                      </pic:pic>
                      <pic:pic>
                        <pic:nvPicPr>
                          <pic:cNvPr id="627" name="Image 627"/>
                          <pic:cNvPicPr/>
                        </pic:nvPicPr>
                        <pic:blipFill>
                          <a:blip r:embed="rId95" cstate="print"/>
                          <a:stretch>
                            <a:fillRect/>
                          </a:stretch>
                        </pic:blipFill>
                        <pic:spPr>
                          <a:xfrm>
                            <a:off x="396062" y="813955"/>
                            <a:ext cx="444512" cy="203263"/>
                          </a:xfrm>
                          <a:prstGeom prst="rect">
                            <a:avLst/>
                          </a:prstGeom>
                        </pic:spPr>
                      </pic:pic>
                      <pic:pic>
                        <pic:nvPicPr>
                          <pic:cNvPr id="628" name="Image 628"/>
                          <pic:cNvPicPr/>
                        </pic:nvPicPr>
                        <pic:blipFill>
                          <a:blip r:embed="rId89" cstate="print"/>
                          <a:stretch>
                            <a:fillRect/>
                          </a:stretch>
                        </pic:blipFill>
                        <pic:spPr>
                          <a:xfrm>
                            <a:off x="2377262" y="813955"/>
                            <a:ext cx="444461" cy="203263"/>
                          </a:xfrm>
                          <a:prstGeom prst="rect">
                            <a:avLst/>
                          </a:prstGeom>
                        </pic:spPr>
                      </pic:pic>
                      <pic:pic>
                        <pic:nvPicPr>
                          <pic:cNvPr id="629" name="Image 629"/>
                          <pic:cNvPicPr/>
                        </pic:nvPicPr>
                        <pic:blipFill>
                          <a:blip r:embed="rId96" cstate="print"/>
                          <a:stretch>
                            <a:fillRect/>
                          </a:stretch>
                        </pic:blipFill>
                        <pic:spPr>
                          <a:xfrm>
                            <a:off x="4358462" y="813955"/>
                            <a:ext cx="444512" cy="203263"/>
                          </a:xfrm>
                          <a:prstGeom prst="rect">
                            <a:avLst/>
                          </a:prstGeom>
                        </pic:spPr>
                      </pic:pic>
                      <pic:pic>
                        <pic:nvPicPr>
                          <pic:cNvPr id="630" name="Image 630"/>
                          <pic:cNvPicPr/>
                        </pic:nvPicPr>
                        <pic:blipFill>
                          <a:blip r:embed="rId84" cstate="print"/>
                          <a:stretch>
                            <a:fillRect/>
                          </a:stretch>
                        </pic:blipFill>
                        <pic:spPr>
                          <a:xfrm>
                            <a:off x="396062" y="915631"/>
                            <a:ext cx="444512" cy="203174"/>
                          </a:xfrm>
                          <a:prstGeom prst="rect">
                            <a:avLst/>
                          </a:prstGeom>
                        </pic:spPr>
                      </pic:pic>
                      <pic:pic>
                        <pic:nvPicPr>
                          <pic:cNvPr id="631" name="Image 631"/>
                          <pic:cNvPicPr/>
                        </pic:nvPicPr>
                        <pic:blipFill>
                          <a:blip r:embed="rId90" cstate="print"/>
                          <a:stretch>
                            <a:fillRect/>
                          </a:stretch>
                        </pic:blipFill>
                        <pic:spPr>
                          <a:xfrm>
                            <a:off x="2377262" y="915631"/>
                            <a:ext cx="444461" cy="203174"/>
                          </a:xfrm>
                          <a:prstGeom prst="rect">
                            <a:avLst/>
                          </a:prstGeom>
                        </pic:spPr>
                      </pic:pic>
                      <pic:pic>
                        <pic:nvPicPr>
                          <pic:cNvPr id="632" name="Image 632"/>
                          <pic:cNvPicPr/>
                        </pic:nvPicPr>
                        <pic:blipFill>
                          <a:blip r:embed="rId92" cstate="print"/>
                          <a:stretch>
                            <a:fillRect/>
                          </a:stretch>
                        </pic:blipFill>
                        <pic:spPr>
                          <a:xfrm>
                            <a:off x="4358462" y="915631"/>
                            <a:ext cx="444512" cy="203174"/>
                          </a:xfrm>
                          <a:prstGeom prst="rect">
                            <a:avLst/>
                          </a:prstGeom>
                        </pic:spPr>
                      </pic:pic>
                      <pic:pic>
                        <pic:nvPicPr>
                          <pic:cNvPr id="633" name="Image 633"/>
                          <pic:cNvPicPr/>
                        </pic:nvPicPr>
                        <pic:blipFill>
                          <a:blip r:embed="rId84" cstate="print"/>
                          <a:stretch>
                            <a:fillRect/>
                          </a:stretch>
                        </pic:blipFill>
                        <pic:spPr>
                          <a:xfrm>
                            <a:off x="396062" y="1017219"/>
                            <a:ext cx="444512" cy="203161"/>
                          </a:xfrm>
                          <a:prstGeom prst="rect">
                            <a:avLst/>
                          </a:prstGeom>
                        </pic:spPr>
                      </pic:pic>
                      <pic:pic>
                        <pic:nvPicPr>
                          <pic:cNvPr id="634" name="Image 634"/>
                          <pic:cNvPicPr/>
                        </pic:nvPicPr>
                        <pic:blipFill>
                          <a:blip r:embed="rId97" cstate="print"/>
                          <a:stretch>
                            <a:fillRect/>
                          </a:stretch>
                        </pic:blipFill>
                        <pic:spPr>
                          <a:xfrm>
                            <a:off x="2377262" y="1017193"/>
                            <a:ext cx="444461" cy="203187"/>
                          </a:xfrm>
                          <a:prstGeom prst="rect">
                            <a:avLst/>
                          </a:prstGeom>
                        </pic:spPr>
                      </pic:pic>
                      <pic:pic>
                        <pic:nvPicPr>
                          <pic:cNvPr id="635" name="Image 635"/>
                          <pic:cNvPicPr/>
                        </pic:nvPicPr>
                        <pic:blipFill>
                          <a:blip r:embed="rId92" cstate="print"/>
                          <a:stretch>
                            <a:fillRect/>
                          </a:stretch>
                        </pic:blipFill>
                        <pic:spPr>
                          <a:xfrm>
                            <a:off x="4358462" y="1017219"/>
                            <a:ext cx="444512" cy="203161"/>
                          </a:xfrm>
                          <a:prstGeom prst="rect">
                            <a:avLst/>
                          </a:prstGeom>
                        </pic:spPr>
                      </pic:pic>
                      <pic:pic>
                        <pic:nvPicPr>
                          <pic:cNvPr id="636" name="Image 636"/>
                          <pic:cNvPicPr/>
                        </pic:nvPicPr>
                        <pic:blipFill>
                          <a:blip r:embed="rId84" cstate="print"/>
                          <a:stretch>
                            <a:fillRect/>
                          </a:stretch>
                        </pic:blipFill>
                        <pic:spPr>
                          <a:xfrm>
                            <a:off x="396062" y="1118806"/>
                            <a:ext cx="444512" cy="203161"/>
                          </a:xfrm>
                          <a:prstGeom prst="rect">
                            <a:avLst/>
                          </a:prstGeom>
                        </pic:spPr>
                      </pic:pic>
                      <pic:pic>
                        <pic:nvPicPr>
                          <pic:cNvPr id="637" name="Image 637"/>
                          <pic:cNvPicPr/>
                        </pic:nvPicPr>
                        <pic:blipFill>
                          <a:blip r:embed="rId97" cstate="print"/>
                          <a:stretch>
                            <a:fillRect/>
                          </a:stretch>
                        </pic:blipFill>
                        <pic:spPr>
                          <a:xfrm>
                            <a:off x="2377262" y="1118781"/>
                            <a:ext cx="444461" cy="203187"/>
                          </a:xfrm>
                          <a:prstGeom prst="rect">
                            <a:avLst/>
                          </a:prstGeom>
                        </pic:spPr>
                      </pic:pic>
                      <pic:pic>
                        <pic:nvPicPr>
                          <pic:cNvPr id="638" name="Image 638"/>
                          <pic:cNvPicPr/>
                        </pic:nvPicPr>
                        <pic:blipFill>
                          <a:blip r:embed="rId92" cstate="print"/>
                          <a:stretch>
                            <a:fillRect/>
                          </a:stretch>
                        </pic:blipFill>
                        <pic:spPr>
                          <a:xfrm>
                            <a:off x="4358462" y="1118806"/>
                            <a:ext cx="444512" cy="203161"/>
                          </a:xfrm>
                          <a:prstGeom prst="rect">
                            <a:avLst/>
                          </a:prstGeom>
                        </pic:spPr>
                      </pic:pic>
                      <pic:pic>
                        <pic:nvPicPr>
                          <pic:cNvPr id="639" name="Image 639"/>
                          <pic:cNvPicPr/>
                        </pic:nvPicPr>
                        <pic:blipFill>
                          <a:blip r:embed="rId98" cstate="print"/>
                          <a:stretch>
                            <a:fillRect/>
                          </a:stretch>
                        </pic:blipFill>
                        <pic:spPr>
                          <a:xfrm>
                            <a:off x="396062" y="1220381"/>
                            <a:ext cx="444512" cy="194754"/>
                          </a:xfrm>
                          <a:prstGeom prst="rect">
                            <a:avLst/>
                          </a:prstGeom>
                        </pic:spPr>
                      </pic:pic>
                      <pic:pic>
                        <pic:nvPicPr>
                          <pic:cNvPr id="640" name="Image 640"/>
                          <pic:cNvPicPr/>
                        </pic:nvPicPr>
                        <pic:blipFill>
                          <a:blip r:embed="rId99" cstate="print"/>
                          <a:stretch>
                            <a:fillRect/>
                          </a:stretch>
                        </pic:blipFill>
                        <pic:spPr>
                          <a:xfrm>
                            <a:off x="2377262" y="1220381"/>
                            <a:ext cx="444461" cy="194754"/>
                          </a:xfrm>
                          <a:prstGeom prst="rect">
                            <a:avLst/>
                          </a:prstGeom>
                        </pic:spPr>
                      </pic:pic>
                      <pic:pic>
                        <pic:nvPicPr>
                          <pic:cNvPr id="641" name="Image 641"/>
                          <pic:cNvPicPr/>
                        </pic:nvPicPr>
                        <pic:blipFill>
                          <a:blip r:embed="rId100" cstate="print"/>
                          <a:stretch>
                            <a:fillRect/>
                          </a:stretch>
                        </pic:blipFill>
                        <pic:spPr>
                          <a:xfrm>
                            <a:off x="4358462" y="1220381"/>
                            <a:ext cx="444512" cy="194754"/>
                          </a:xfrm>
                          <a:prstGeom prst="rect">
                            <a:avLst/>
                          </a:prstGeom>
                        </pic:spPr>
                      </pic:pic>
                      <pic:pic>
                        <pic:nvPicPr>
                          <pic:cNvPr id="642" name="Image 642"/>
                          <pic:cNvPicPr/>
                        </pic:nvPicPr>
                        <pic:blipFill>
                          <a:blip r:embed="rId101" cstate="print"/>
                          <a:stretch>
                            <a:fillRect/>
                          </a:stretch>
                        </pic:blipFill>
                        <pic:spPr>
                          <a:xfrm>
                            <a:off x="402475" y="1321968"/>
                            <a:ext cx="438086" cy="93167"/>
                          </a:xfrm>
                          <a:prstGeom prst="rect">
                            <a:avLst/>
                          </a:prstGeom>
                        </pic:spPr>
                      </pic:pic>
                      <pic:pic>
                        <pic:nvPicPr>
                          <pic:cNvPr id="643" name="Image 643"/>
                          <pic:cNvPicPr/>
                        </pic:nvPicPr>
                        <pic:blipFill>
                          <a:blip r:embed="rId102" cstate="print"/>
                          <a:stretch>
                            <a:fillRect/>
                          </a:stretch>
                        </pic:blipFill>
                        <pic:spPr>
                          <a:xfrm>
                            <a:off x="2434501" y="1321968"/>
                            <a:ext cx="387223" cy="93167"/>
                          </a:xfrm>
                          <a:prstGeom prst="rect">
                            <a:avLst/>
                          </a:prstGeom>
                        </pic:spPr>
                      </pic:pic>
                      <pic:pic>
                        <pic:nvPicPr>
                          <pic:cNvPr id="644" name="Image 644"/>
                          <pic:cNvPicPr/>
                        </pic:nvPicPr>
                        <pic:blipFill>
                          <a:blip r:embed="rId101" cstate="print"/>
                          <a:stretch>
                            <a:fillRect/>
                          </a:stretch>
                        </pic:blipFill>
                        <pic:spPr>
                          <a:xfrm>
                            <a:off x="4364850" y="1321968"/>
                            <a:ext cx="438124" cy="93167"/>
                          </a:xfrm>
                          <a:prstGeom prst="rect">
                            <a:avLst/>
                          </a:prstGeom>
                        </pic:spPr>
                      </pic:pic>
                      <wps:wsp>
                        <wps:cNvPr id="645" name="Graphic 645"/>
                        <wps:cNvSpPr/>
                        <wps:spPr>
                          <a:xfrm>
                            <a:off x="954862" y="68909"/>
                            <a:ext cx="4406900" cy="1346200"/>
                          </a:xfrm>
                          <a:custGeom>
                            <a:avLst/>
                            <a:gdLst/>
                            <a:ahLst/>
                            <a:cxnLst/>
                            <a:rect l="l" t="t" r="r" b="b"/>
                            <a:pathLst>
                              <a:path w="4406900" h="1346200">
                                <a:moveTo>
                                  <a:pt x="444500" y="0"/>
                                </a:moveTo>
                                <a:lnTo>
                                  <a:pt x="0" y="0"/>
                                </a:lnTo>
                                <a:lnTo>
                                  <a:pt x="0" y="1346200"/>
                                </a:lnTo>
                                <a:lnTo>
                                  <a:pt x="444500" y="1346200"/>
                                </a:lnTo>
                                <a:lnTo>
                                  <a:pt x="444500" y="0"/>
                                </a:lnTo>
                                <a:close/>
                              </a:path>
                              <a:path w="4406900" h="1346200">
                                <a:moveTo>
                                  <a:pt x="2425700" y="50800"/>
                                </a:moveTo>
                                <a:lnTo>
                                  <a:pt x="1981200" y="50800"/>
                                </a:lnTo>
                                <a:lnTo>
                                  <a:pt x="1981200" y="1346200"/>
                                </a:lnTo>
                                <a:lnTo>
                                  <a:pt x="2425700" y="1346200"/>
                                </a:lnTo>
                                <a:lnTo>
                                  <a:pt x="2425700" y="50800"/>
                                </a:lnTo>
                                <a:close/>
                              </a:path>
                              <a:path w="4406900" h="1346200">
                                <a:moveTo>
                                  <a:pt x="4406900" y="393700"/>
                                </a:moveTo>
                                <a:lnTo>
                                  <a:pt x="3962400" y="393700"/>
                                </a:lnTo>
                                <a:lnTo>
                                  <a:pt x="3962400" y="1346200"/>
                                </a:lnTo>
                                <a:lnTo>
                                  <a:pt x="4406900" y="1346200"/>
                                </a:lnTo>
                                <a:lnTo>
                                  <a:pt x="4406900" y="393700"/>
                                </a:lnTo>
                                <a:close/>
                              </a:path>
                            </a:pathLst>
                          </a:custGeom>
                          <a:solidFill>
                            <a:srgbClr val="0F5D86"/>
                          </a:solidFill>
                        </wps:spPr>
                        <wps:bodyPr wrap="square" lIns="0" tIns="0" rIns="0" bIns="0" rtlCol="0">
                          <a:prstTxWarp prst="textNoShape">
                            <a:avLst/>
                          </a:prstTxWarp>
                          <a:noAutofit/>
                        </wps:bodyPr>
                      </wps:wsp>
                      <wps:wsp>
                        <wps:cNvPr id="646" name="Graphic 646"/>
                        <wps:cNvSpPr/>
                        <wps:spPr>
                          <a:xfrm>
                            <a:off x="0" y="34362"/>
                            <a:ext cx="5949950" cy="1381125"/>
                          </a:xfrm>
                          <a:custGeom>
                            <a:avLst/>
                            <a:gdLst/>
                            <a:ahLst/>
                            <a:cxnLst/>
                            <a:rect l="l" t="t" r="r" b="b"/>
                            <a:pathLst>
                              <a:path w="5949950" h="1381125">
                                <a:moveTo>
                                  <a:pt x="12700" y="0"/>
                                </a:moveTo>
                                <a:lnTo>
                                  <a:pt x="0" y="0"/>
                                </a:lnTo>
                                <a:lnTo>
                                  <a:pt x="0" y="1377899"/>
                                </a:lnTo>
                                <a:lnTo>
                                  <a:pt x="2844" y="1380744"/>
                                </a:lnTo>
                                <a:lnTo>
                                  <a:pt x="5949950" y="1380756"/>
                                </a:lnTo>
                                <a:lnTo>
                                  <a:pt x="5949950" y="1368056"/>
                                </a:lnTo>
                                <a:lnTo>
                                  <a:pt x="12700" y="1368044"/>
                                </a:lnTo>
                                <a:lnTo>
                                  <a:pt x="12700" y="0"/>
                                </a:lnTo>
                                <a:close/>
                              </a:path>
                            </a:pathLst>
                          </a:custGeom>
                          <a:solidFill>
                            <a:srgbClr val="BCBEC0"/>
                          </a:solidFill>
                        </wps:spPr>
                        <wps:bodyPr wrap="square" lIns="0" tIns="0" rIns="0" bIns="0" rtlCol="0">
                          <a:prstTxWarp prst="textNoShape">
                            <a:avLst/>
                          </a:prstTxWarp>
                          <a:noAutofit/>
                        </wps:bodyPr>
                      </wps:wsp>
                      <wps:wsp>
                        <wps:cNvPr id="647" name="Textbox 647"/>
                        <wps:cNvSpPr txBox="1"/>
                        <wps:spPr>
                          <a:xfrm>
                            <a:off x="2476378" y="0"/>
                            <a:ext cx="224790" cy="135890"/>
                          </a:xfrm>
                          <a:prstGeom prst="rect">
                            <a:avLst/>
                          </a:prstGeom>
                        </wps:spPr>
                        <wps:txbx>
                          <w:txbxContent>
                            <w:p>
                              <w:pPr>
                                <w:spacing w:line="207" w:lineRule="exact" w:before="0"/>
                                <w:ind w:left="0" w:right="0" w:firstLine="0"/>
                                <w:jc w:val="left"/>
                                <w:rPr>
                                  <w:sz w:val="18"/>
                                </w:rPr>
                              </w:pPr>
                              <w:r>
                                <w:rPr>
                                  <w:color w:val="636466"/>
                                  <w:spacing w:val="-7"/>
                                  <w:sz w:val="18"/>
                                </w:rPr>
                                <w:t>34%</w:t>
                              </w:r>
                            </w:p>
                          </w:txbxContent>
                        </wps:txbx>
                        <wps:bodyPr wrap="square" lIns="0" tIns="0" rIns="0" bIns="0" rtlCol="0">
                          <a:noAutofit/>
                        </wps:bodyPr>
                      </wps:wsp>
                      <wps:wsp>
                        <wps:cNvPr id="648" name="Textbox 648"/>
                        <wps:cNvSpPr txBox="1"/>
                        <wps:spPr>
                          <a:xfrm>
                            <a:off x="4468969" y="228600"/>
                            <a:ext cx="224790" cy="135890"/>
                          </a:xfrm>
                          <a:prstGeom prst="rect">
                            <a:avLst/>
                          </a:prstGeom>
                        </wps:spPr>
                        <wps:txbx>
                          <w:txbxContent>
                            <w:p>
                              <w:pPr>
                                <w:spacing w:line="207" w:lineRule="exact" w:before="0"/>
                                <w:ind w:left="0" w:right="0" w:firstLine="0"/>
                                <w:jc w:val="left"/>
                                <w:rPr>
                                  <w:sz w:val="18"/>
                                </w:rPr>
                              </w:pPr>
                              <w:r>
                                <w:rPr>
                                  <w:color w:val="636466"/>
                                  <w:spacing w:val="-7"/>
                                  <w:sz w:val="18"/>
                                </w:rPr>
                                <w:t>28%</w:t>
                              </w:r>
                            </w:p>
                          </w:txbxContent>
                        </wps:txbx>
                        <wps:bodyPr wrap="square" lIns="0" tIns="0" rIns="0" bIns="0" rtlCol="0">
                          <a:noAutofit/>
                        </wps:bodyPr>
                      </wps:wsp>
                      <wps:wsp>
                        <wps:cNvPr id="649" name="Textbox 649"/>
                        <wps:cNvSpPr txBox="1"/>
                        <wps:spPr>
                          <a:xfrm>
                            <a:off x="5007323" y="266661"/>
                            <a:ext cx="224790" cy="135890"/>
                          </a:xfrm>
                          <a:prstGeom prst="rect">
                            <a:avLst/>
                          </a:prstGeom>
                        </wps:spPr>
                        <wps:txbx>
                          <w:txbxContent>
                            <w:p>
                              <w:pPr>
                                <w:spacing w:line="207" w:lineRule="exact" w:before="0"/>
                                <w:ind w:left="0" w:right="0" w:firstLine="0"/>
                                <w:jc w:val="left"/>
                                <w:rPr>
                                  <w:sz w:val="18"/>
                                </w:rPr>
                              </w:pPr>
                              <w:r>
                                <w:rPr>
                                  <w:color w:val="636466"/>
                                  <w:spacing w:val="-7"/>
                                  <w:sz w:val="18"/>
                                </w:rPr>
                                <w:t>27%</w:t>
                              </w:r>
                            </w:p>
                          </w:txbxContent>
                        </wps:txbx>
                        <wps:bodyPr wrap="square" lIns="0" tIns="0" rIns="0" bIns="0" rtlCol="0">
                          <a:noAutofit/>
                        </wps:bodyPr>
                      </wps:wsp>
                    </wpg:wgp>
                  </a:graphicData>
                </a:graphic>
              </wp:anchor>
            </w:drawing>
          </mc:Choice>
          <mc:Fallback>
            <w:pict>
              <v:group style="position:absolute;margin-left:683.682983pt;margin-top:15.230914pt;width:468.5pt;height:111.45pt;mso-position-horizontal-relative:page;mso-position-vertical-relative:paragraph;z-index:-28302848" id="docshapegroup518" coordorigin="13674,305" coordsize="9370,2229">
                <v:shape style="position:absolute;left:14297;top:373;width:700;height:254" type="#_x0000_t75" id="docshape519" stroked="false">
                  <v:imagedata r:id="rId83" o:title=""/>
                </v:shape>
                <v:shape style="position:absolute;left:14297;top:466;width:701;height:320" type="#_x0000_t75" id="docshape520" stroked="false">
                  <v:imagedata r:id="rId84" o:title=""/>
                </v:shape>
                <v:shape style="position:absolute;left:14297;top:626;width:701;height:321" type="#_x0000_t75" id="docshape521" stroked="false">
                  <v:imagedata r:id="rId85" o:title=""/>
                </v:shape>
                <v:shape style="position:absolute;left:17417;top:613;width:700;height:174" type="#_x0000_t75" id="docshape522" stroked="false">
                  <v:imagedata r:id="rId86" o:title=""/>
                </v:shape>
                <v:shape style="position:absolute;left:17417;top:626;width:700;height:321" type="#_x0000_t75" id="docshape523" stroked="false">
                  <v:imagedata r:id="rId87" o:title=""/>
                </v:shape>
                <v:shape style="position:absolute;left:14297;top:786;width:701;height:321" type="#_x0000_t75" id="docshape524" stroked="false">
                  <v:imagedata r:id="rId88" o:title=""/>
                </v:shape>
                <v:shape style="position:absolute;left:17417;top:786;width:700;height:321" type="#_x0000_t75" id="docshape525" stroked="false">
                  <v:imagedata r:id="rId89" o:title=""/>
                </v:shape>
                <v:shape style="position:absolute;left:14297;top:946;width:701;height:320" type="#_x0000_t75" id="docshape526" stroked="false">
                  <v:imagedata r:id="rId84" o:title=""/>
                </v:shape>
                <v:shape style="position:absolute;left:17417;top:946;width:700;height:320" type="#_x0000_t75" id="docshape527" stroked="false">
                  <v:imagedata r:id="rId90" o:title=""/>
                </v:shape>
                <v:shape style="position:absolute;left:20537;top:973;width:701;height:294" type="#_x0000_t75" id="docshape528" stroked="false">
                  <v:imagedata r:id="rId91" o:title=""/>
                </v:shape>
                <v:shape style="position:absolute;left:14297;top:1106;width:701;height:320" type="#_x0000_t75" id="docshape529" stroked="false">
                  <v:imagedata r:id="rId84" o:title=""/>
                </v:shape>
                <v:shape style="position:absolute;left:17417;top:1106;width:700;height:320" type="#_x0000_t75" id="docshape530" stroked="false">
                  <v:imagedata r:id="rId90" o:title=""/>
                </v:shape>
                <v:shape style="position:absolute;left:20537;top:1106;width:701;height:320" type="#_x0000_t75" id="docshape531" stroked="false">
                  <v:imagedata r:id="rId92" o:title=""/>
                </v:shape>
                <v:shape style="position:absolute;left:14297;top:1266;width:701;height:320" type="#_x0000_t75" id="docshape532" stroked="false">
                  <v:imagedata r:id="rId84" o:title=""/>
                </v:shape>
                <v:shape style="position:absolute;left:17417;top:1266;width:700;height:320" type="#_x0000_t75" id="docshape533" stroked="false">
                  <v:imagedata r:id="rId93" o:title=""/>
                </v:shape>
                <v:shape style="position:absolute;left:20537;top:1266;width:701;height:320" type="#_x0000_t75" id="docshape534" stroked="false">
                  <v:imagedata r:id="rId92" o:title=""/>
                </v:shape>
                <v:shape style="position:absolute;left:14297;top:1426;width:701;height:321" type="#_x0000_t75" id="docshape535" stroked="false">
                  <v:imagedata r:id="rId85" o:title=""/>
                </v:shape>
                <v:shape style="position:absolute;left:17417;top:1426;width:700;height:320" type="#_x0000_t75" id="docshape536" stroked="false">
                  <v:imagedata r:id="rId93" o:title=""/>
                </v:shape>
                <v:shape style="position:absolute;left:20537;top:1426;width:701;height:321" type="#_x0000_t75" id="docshape537" stroked="false">
                  <v:imagedata r:id="rId94" o:title=""/>
                </v:shape>
                <v:shape style="position:absolute;left:14297;top:1586;width:701;height:321" type="#_x0000_t75" id="docshape538" stroked="false">
                  <v:imagedata r:id="rId95" o:title=""/>
                </v:shape>
                <v:shape style="position:absolute;left:17417;top:1586;width:700;height:321" type="#_x0000_t75" id="docshape539" stroked="false">
                  <v:imagedata r:id="rId89" o:title=""/>
                </v:shape>
                <v:shape style="position:absolute;left:20537;top:1586;width:701;height:321" type="#_x0000_t75" id="docshape540" stroked="false">
                  <v:imagedata r:id="rId96" o:title=""/>
                </v:shape>
                <v:shape style="position:absolute;left:14297;top:1746;width:701;height:320" type="#_x0000_t75" id="docshape541" stroked="false">
                  <v:imagedata r:id="rId84" o:title=""/>
                </v:shape>
                <v:shape style="position:absolute;left:17417;top:1746;width:700;height:320" type="#_x0000_t75" id="docshape542" stroked="false">
                  <v:imagedata r:id="rId90" o:title=""/>
                </v:shape>
                <v:shape style="position:absolute;left:20537;top:1746;width:701;height:320" type="#_x0000_t75" id="docshape543" stroked="false">
                  <v:imagedata r:id="rId92" o:title=""/>
                </v:shape>
                <v:shape style="position:absolute;left:14297;top:1906;width:701;height:320" type="#_x0000_t75" id="docshape544" stroked="false">
                  <v:imagedata r:id="rId84" o:title=""/>
                </v:shape>
                <v:shape style="position:absolute;left:17417;top:1906;width:700;height:320" type="#_x0000_t75" id="docshape545" stroked="false">
                  <v:imagedata r:id="rId97" o:title=""/>
                </v:shape>
                <v:shape style="position:absolute;left:20537;top:1906;width:701;height:320" type="#_x0000_t75" id="docshape546" stroked="false">
                  <v:imagedata r:id="rId92" o:title=""/>
                </v:shape>
                <v:shape style="position:absolute;left:14297;top:2066;width:701;height:320" type="#_x0000_t75" id="docshape547" stroked="false">
                  <v:imagedata r:id="rId84" o:title=""/>
                </v:shape>
                <v:shape style="position:absolute;left:17417;top:2066;width:700;height:320" type="#_x0000_t75" id="docshape548" stroked="false">
                  <v:imagedata r:id="rId97" o:title=""/>
                </v:shape>
                <v:shape style="position:absolute;left:20537;top:2066;width:701;height:320" type="#_x0000_t75" id="docshape549" stroked="false">
                  <v:imagedata r:id="rId92" o:title=""/>
                </v:shape>
                <v:shape style="position:absolute;left:14297;top:2226;width:701;height:307" type="#_x0000_t75" id="docshape550" stroked="false">
                  <v:imagedata r:id="rId98" o:title=""/>
                </v:shape>
                <v:shape style="position:absolute;left:17417;top:2226;width:700;height:307" type="#_x0000_t75" id="docshape551" stroked="false">
                  <v:imagedata r:id="rId99" o:title=""/>
                </v:shape>
                <v:shape style="position:absolute;left:20537;top:2226;width:701;height:307" type="#_x0000_t75" id="docshape552" stroked="false">
                  <v:imagedata r:id="rId100" o:title=""/>
                </v:shape>
                <v:shape style="position:absolute;left:14307;top:2386;width:690;height:147" type="#_x0000_t75" id="docshape553" stroked="false">
                  <v:imagedata r:id="rId101" o:title=""/>
                </v:shape>
                <v:shape style="position:absolute;left:17507;top:2386;width:610;height:147" type="#_x0000_t75" id="docshape554" stroked="false">
                  <v:imagedata r:id="rId102" o:title=""/>
                </v:shape>
                <v:shape style="position:absolute;left:20547;top:2386;width:690;height:147" type="#_x0000_t75" id="docshape555" stroked="false">
                  <v:imagedata r:id="rId101" o:title=""/>
                </v:shape>
                <v:shape style="position:absolute;left:15177;top:413;width:6940;height:2120" id="docshape556" coordorigin="15177,413" coordsize="6940,2120" path="m15877,413l15177,413,15177,2533,15877,2533,15877,413xm18997,493l18297,493,18297,2533,18997,2533,18997,493xm22117,1033l21417,1033,21417,2533,22117,2533,22117,1033xe" filled="true" fillcolor="#0f5d86" stroked="false">
                  <v:path arrowok="t"/>
                  <v:fill type="solid"/>
                </v:shape>
                <v:shape style="position:absolute;left:13673;top:358;width:9370;height:2175" id="docshape557" coordorigin="13674,359" coordsize="9370,2175" path="m13694,359l13674,359,13674,2529,13678,2533,23044,2533,23044,2513,13694,2513,13694,359xe" filled="true" fillcolor="#bcbec0" stroked="false">
                  <v:path arrowok="t"/>
                  <v:fill type="solid"/>
                </v:shape>
                <v:shape style="position:absolute;left:17573;top:304;width:354;height:214" type="#_x0000_t202" id="docshape558" filled="false" stroked="false">
                  <v:textbox inset="0,0,0,0">
                    <w:txbxContent>
                      <w:p>
                        <w:pPr>
                          <w:spacing w:line="207" w:lineRule="exact" w:before="0"/>
                          <w:ind w:left="0" w:right="0" w:firstLine="0"/>
                          <w:jc w:val="left"/>
                          <w:rPr>
                            <w:sz w:val="18"/>
                          </w:rPr>
                        </w:pPr>
                        <w:r>
                          <w:rPr>
                            <w:color w:val="636466"/>
                            <w:spacing w:val="-7"/>
                            <w:sz w:val="18"/>
                          </w:rPr>
                          <w:t>34%</w:t>
                        </w:r>
                      </w:p>
                    </w:txbxContent>
                  </v:textbox>
                  <w10:wrap type="none"/>
                </v:shape>
                <v:shape style="position:absolute;left:20711;top:664;width:354;height:214" type="#_x0000_t202" id="docshape559" filled="false" stroked="false">
                  <v:textbox inset="0,0,0,0">
                    <w:txbxContent>
                      <w:p>
                        <w:pPr>
                          <w:spacing w:line="207" w:lineRule="exact" w:before="0"/>
                          <w:ind w:left="0" w:right="0" w:firstLine="0"/>
                          <w:jc w:val="left"/>
                          <w:rPr>
                            <w:sz w:val="18"/>
                          </w:rPr>
                        </w:pPr>
                        <w:r>
                          <w:rPr>
                            <w:color w:val="636466"/>
                            <w:spacing w:val="-7"/>
                            <w:sz w:val="18"/>
                          </w:rPr>
                          <w:t>28%</w:t>
                        </w:r>
                      </w:p>
                    </w:txbxContent>
                  </v:textbox>
                  <w10:wrap type="none"/>
                </v:shape>
                <v:shape style="position:absolute;left:21559;top:724;width:354;height:214" type="#_x0000_t202" id="docshape560" filled="false" stroked="false">
                  <v:textbox inset="0,0,0,0">
                    <w:txbxContent>
                      <w:p>
                        <w:pPr>
                          <w:spacing w:line="207" w:lineRule="exact" w:before="0"/>
                          <w:ind w:left="0" w:right="0" w:firstLine="0"/>
                          <w:jc w:val="left"/>
                          <w:rPr>
                            <w:sz w:val="18"/>
                          </w:rPr>
                        </w:pPr>
                        <w:r>
                          <w:rPr>
                            <w:color w:val="636466"/>
                            <w:spacing w:val="-7"/>
                            <w:sz w:val="18"/>
                          </w:rPr>
                          <w:t>27%</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89056">
                <wp:simplePos x="0" y="0"/>
                <wp:positionH relativeFrom="page">
                  <wp:posOffset>8466963</wp:posOffset>
                </wp:positionH>
                <wp:positionV relativeFrom="paragraph">
                  <wp:posOffset>147975</wp:posOffset>
                </wp:positionV>
                <wp:extent cx="146050" cy="1473200"/>
                <wp:effectExtent l="0" t="0" r="0" b="0"/>
                <wp:wrapNone/>
                <wp:docPr id="650" name="Textbox 650"/>
                <wp:cNvGraphicFramePr>
                  <a:graphicFrameLocks/>
                </wp:cNvGraphicFramePr>
                <a:graphic>
                  <a:graphicData uri="http://schemas.microsoft.com/office/word/2010/wordprocessingShape">
                    <wps:wsp>
                      <wps:cNvPr id="650" name="Textbox 650"/>
                      <wps:cNvSpPr txBox="1"/>
                      <wps:spPr>
                        <a:xfrm>
                          <a:off x="0" y="0"/>
                          <a:ext cx="146050" cy="1473200"/>
                        </a:xfrm>
                        <a:prstGeom prst="rect">
                          <a:avLst/>
                        </a:prstGeom>
                      </wps:spPr>
                      <wps:txbx>
                        <w:txbxContent>
                          <w:p>
                            <w:pPr>
                              <w:spacing w:before="19"/>
                              <w:ind w:left="20" w:right="0" w:firstLine="0"/>
                              <w:jc w:val="left"/>
                              <w:rPr>
                                <w:sz w:val="16"/>
                              </w:rPr>
                            </w:pPr>
                            <w:r>
                              <w:rPr>
                                <w:color w:val="105C84"/>
                                <w:sz w:val="16"/>
                              </w:rPr>
                              <w:t>Percent</w:t>
                            </w:r>
                            <w:r>
                              <w:rPr>
                                <w:color w:val="105C84"/>
                                <w:spacing w:val="-2"/>
                                <w:sz w:val="16"/>
                              </w:rPr>
                              <w:t> </w:t>
                            </w:r>
                            <w:r>
                              <w:rPr>
                                <w:color w:val="105C84"/>
                                <w:sz w:val="16"/>
                              </w:rPr>
                              <w:t>of</w:t>
                            </w:r>
                            <w:r>
                              <w:rPr>
                                <w:color w:val="105C84"/>
                                <w:spacing w:val="-2"/>
                                <w:sz w:val="16"/>
                              </w:rPr>
                              <w:t> </w:t>
                            </w:r>
                            <w:r>
                              <w:rPr>
                                <w:color w:val="105C84"/>
                                <w:sz w:val="16"/>
                              </w:rPr>
                              <w:t>Population</w:t>
                            </w:r>
                            <w:r>
                              <w:rPr>
                                <w:color w:val="105C84"/>
                                <w:spacing w:val="-2"/>
                                <w:sz w:val="16"/>
                              </w:rPr>
                              <w:t> </w:t>
                            </w:r>
                            <w:r>
                              <w:rPr>
                                <w:color w:val="105C84"/>
                                <w:sz w:val="16"/>
                              </w:rPr>
                              <w:t>25+</w:t>
                            </w:r>
                            <w:r>
                              <w:rPr>
                                <w:color w:val="105C84"/>
                                <w:spacing w:val="-2"/>
                                <w:sz w:val="16"/>
                              </w:rPr>
                              <w:t> </w:t>
                            </w:r>
                            <w:r>
                              <w:rPr>
                                <w:color w:val="105C84"/>
                                <w:spacing w:val="-4"/>
                                <w:sz w:val="16"/>
                              </w:rPr>
                              <w:t>Years</w:t>
                            </w:r>
                          </w:p>
                        </w:txbxContent>
                      </wps:txbx>
                      <wps:bodyPr wrap="square" lIns="0" tIns="0" rIns="0" bIns="0" rtlCol="0" vert="vert270">
                        <a:noAutofit/>
                      </wps:bodyPr>
                    </wps:wsp>
                  </a:graphicData>
                </a:graphic>
              </wp:anchor>
            </w:drawing>
          </mc:Choice>
          <mc:Fallback>
            <w:pict>
              <v:shape style="position:absolute;margin-left:666.690002pt;margin-top:11.651608pt;width:11.5pt;height:116pt;mso-position-horizontal-relative:page;mso-position-vertical-relative:paragraph;z-index:15789056" type="#_x0000_t202" id="docshape561" filled="false" stroked="false">
                <v:textbox inset="0,0,0,0" style="layout-flow:vertical;mso-layout-flow-alt:bottom-to-top">
                  <w:txbxContent>
                    <w:p>
                      <w:pPr>
                        <w:spacing w:before="19"/>
                        <w:ind w:left="20" w:right="0" w:firstLine="0"/>
                        <w:jc w:val="left"/>
                        <w:rPr>
                          <w:sz w:val="16"/>
                        </w:rPr>
                      </w:pPr>
                      <w:r>
                        <w:rPr>
                          <w:color w:val="105C84"/>
                          <w:sz w:val="16"/>
                        </w:rPr>
                        <w:t>Percent</w:t>
                      </w:r>
                      <w:r>
                        <w:rPr>
                          <w:color w:val="105C84"/>
                          <w:spacing w:val="-2"/>
                          <w:sz w:val="16"/>
                        </w:rPr>
                        <w:t> </w:t>
                      </w:r>
                      <w:r>
                        <w:rPr>
                          <w:color w:val="105C84"/>
                          <w:sz w:val="16"/>
                        </w:rPr>
                        <w:t>of</w:t>
                      </w:r>
                      <w:r>
                        <w:rPr>
                          <w:color w:val="105C84"/>
                          <w:spacing w:val="-2"/>
                          <w:sz w:val="16"/>
                        </w:rPr>
                        <w:t> </w:t>
                      </w:r>
                      <w:r>
                        <w:rPr>
                          <w:color w:val="105C84"/>
                          <w:sz w:val="16"/>
                        </w:rPr>
                        <w:t>Population</w:t>
                      </w:r>
                      <w:r>
                        <w:rPr>
                          <w:color w:val="105C84"/>
                          <w:spacing w:val="-2"/>
                          <w:sz w:val="16"/>
                        </w:rPr>
                        <w:t> </w:t>
                      </w:r>
                      <w:r>
                        <w:rPr>
                          <w:color w:val="105C84"/>
                          <w:sz w:val="16"/>
                        </w:rPr>
                        <w:t>25+</w:t>
                      </w:r>
                      <w:r>
                        <w:rPr>
                          <w:color w:val="105C84"/>
                          <w:spacing w:val="-2"/>
                          <w:sz w:val="16"/>
                        </w:rPr>
                        <w:t> </w:t>
                      </w:r>
                      <w:r>
                        <w:rPr>
                          <w:color w:val="105C84"/>
                          <w:spacing w:val="-4"/>
                          <w:sz w:val="16"/>
                        </w:rPr>
                        <w:t>Years</w:t>
                      </w:r>
                    </w:p>
                  </w:txbxContent>
                </v:textbox>
                <w10:wrap type="none"/>
              </v:shape>
            </w:pict>
          </mc:Fallback>
        </mc:AlternateContent>
      </w:r>
      <w:r>
        <w:rPr>
          <w:color w:val="105C84"/>
        </w:rPr>
        <w:t>south</w:t>
      </w:r>
      <w:r>
        <w:rPr>
          <w:color w:val="105C84"/>
          <w:spacing w:val="32"/>
        </w:rPr>
        <w:t> </w:t>
      </w:r>
      <w:r>
        <w:rPr>
          <w:color w:val="105C84"/>
        </w:rPr>
        <w:t>of</w:t>
      </w:r>
      <w:r>
        <w:rPr>
          <w:color w:val="105C84"/>
          <w:spacing w:val="32"/>
        </w:rPr>
        <w:t> </w:t>
      </w:r>
      <w:r>
        <w:rPr>
          <w:color w:val="105C84"/>
        </w:rPr>
        <w:t>Monroe</w:t>
      </w:r>
      <w:r>
        <w:rPr>
          <w:color w:val="105C84"/>
          <w:spacing w:val="32"/>
        </w:rPr>
        <w:t> </w:t>
      </w:r>
      <w:r>
        <w:rPr>
          <w:color w:val="105C84"/>
        </w:rPr>
        <w:t>County</w:t>
      </w:r>
      <w:r>
        <w:rPr>
          <w:color w:val="105C84"/>
          <w:spacing w:val="32"/>
        </w:rPr>
        <w:t> </w:t>
      </w:r>
      <w:r>
        <w:rPr>
          <w:color w:val="105C84"/>
        </w:rPr>
        <w:t>and</w:t>
      </w:r>
      <w:r>
        <w:rPr>
          <w:color w:val="105C84"/>
          <w:spacing w:val="32"/>
        </w:rPr>
        <w:t> </w:t>
      </w:r>
      <w:r>
        <w:rPr>
          <w:color w:val="105C84"/>
        </w:rPr>
        <w:t>north</w:t>
      </w:r>
      <w:r>
        <w:rPr>
          <w:color w:val="105C84"/>
          <w:spacing w:val="32"/>
        </w:rPr>
        <w:t> </w:t>
      </w:r>
      <w:r>
        <w:rPr>
          <w:color w:val="105C84"/>
        </w:rPr>
        <w:t>of</w:t>
      </w:r>
      <w:r>
        <w:rPr>
          <w:color w:val="105C84"/>
          <w:spacing w:val="32"/>
        </w:rPr>
        <w:t> </w:t>
      </w:r>
      <w:r>
        <w:rPr>
          <w:color w:val="105C84"/>
        </w:rPr>
        <w:t>Steuben</w:t>
      </w:r>
      <w:r>
        <w:rPr>
          <w:color w:val="105C84"/>
          <w:spacing w:val="32"/>
        </w:rPr>
        <w:t> </w:t>
      </w:r>
      <w:r>
        <w:rPr>
          <w:color w:val="105C84"/>
        </w:rPr>
        <w:t>and</w:t>
      </w:r>
      <w:r>
        <w:rPr>
          <w:color w:val="105C84"/>
          <w:spacing w:val="32"/>
        </w:rPr>
        <w:t> </w:t>
      </w:r>
      <w:r>
        <w:rPr>
          <w:color w:val="105C84"/>
        </w:rPr>
        <w:t>Allegany</w:t>
      </w:r>
      <w:r>
        <w:rPr>
          <w:color w:val="105C84"/>
          <w:spacing w:val="32"/>
        </w:rPr>
        <w:t> </w:t>
      </w:r>
      <w:r>
        <w:rPr>
          <w:color w:val="105C84"/>
        </w:rPr>
        <w:t>Counties.</w:t>
      </w:r>
      <w:r>
        <w:rPr>
          <w:color w:val="105C84"/>
          <w:spacing w:val="32"/>
        </w:rPr>
        <w:t> </w:t>
      </w:r>
      <w:r>
        <w:rPr>
          <w:color w:val="105C84"/>
        </w:rPr>
        <w:t>The</w:t>
      </w:r>
      <w:r>
        <w:rPr>
          <w:color w:val="105C84"/>
          <w:spacing w:val="32"/>
        </w:rPr>
        <w:t> </w:t>
      </w:r>
      <w:r>
        <w:rPr>
          <w:color w:val="105C84"/>
        </w:rPr>
        <w:t>northern</w:t>
      </w:r>
      <w:r>
        <w:rPr>
          <w:color w:val="105C84"/>
          <w:spacing w:val="32"/>
        </w:rPr>
        <w:t> </w:t>
      </w:r>
      <w:r>
        <w:rPr>
          <w:color w:val="105C84"/>
        </w:rPr>
        <w:t>portion</w:t>
      </w:r>
      <w:r>
        <w:rPr>
          <w:color w:val="105C84"/>
          <w:spacing w:val="32"/>
        </w:rPr>
        <w:t> </w:t>
      </w:r>
      <w:r>
        <w:rPr>
          <w:color w:val="105C84"/>
        </w:rPr>
        <w:t>of the</w:t>
      </w:r>
      <w:r>
        <w:rPr>
          <w:color w:val="105C84"/>
          <w:spacing w:val="19"/>
        </w:rPr>
        <w:t> </w:t>
      </w:r>
      <w:r>
        <w:rPr>
          <w:color w:val="105C84"/>
        </w:rPr>
        <w:t>county’s</w:t>
      </w:r>
      <w:r>
        <w:rPr>
          <w:color w:val="105C84"/>
          <w:spacing w:val="19"/>
        </w:rPr>
        <w:t> </w:t>
      </w:r>
      <w:r>
        <w:rPr>
          <w:color w:val="105C84"/>
        </w:rPr>
        <w:t>proximity</w:t>
      </w:r>
      <w:r>
        <w:rPr>
          <w:color w:val="105C84"/>
          <w:spacing w:val="19"/>
        </w:rPr>
        <w:t> </w:t>
      </w:r>
      <w:r>
        <w:rPr>
          <w:color w:val="105C84"/>
        </w:rPr>
        <w:t>to</w:t>
      </w:r>
      <w:r>
        <w:rPr>
          <w:color w:val="105C84"/>
          <w:spacing w:val="19"/>
        </w:rPr>
        <w:t> </w:t>
      </w:r>
      <w:r>
        <w:rPr>
          <w:color w:val="105C84"/>
        </w:rPr>
        <w:t>the</w:t>
      </w:r>
      <w:r>
        <w:rPr>
          <w:color w:val="105C84"/>
          <w:spacing w:val="19"/>
        </w:rPr>
        <w:t> </w:t>
      </w:r>
      <w:r>
        <w:rPr>
          <w:color w:val="105C84"/>
        </w:rPr>
        <w:t>City</w:t>
      </w:r>
      <w:r>
        <w:rPr>
          <w:color w:val="105C84"/>
          <w:spacing w:val="19"/>
        </w:rPr>
        <w:t> </w:t>
      </w:r>
      <w:r>
        <w:rPr>
          <w:color w:val="105C84"/>
        </w:rPr>
        <w:t>of</w:t>
      </w:r>
      <w:r>
        <w:rPr>
          <w:color w:val="105C84"/>
          <w:spacing w:val="19"/>
        </w:rPr>
        <w:t> </w:t>
      </w:r>
      <w:r>
        <w:rPr>
          <w:color w:val="105C84"/>
        </w:rPr>
        <w:t>Rochester</w:t>
      </w:r>
      <w:r>
        <w:rPr>
          <w:color w:val="105C84"/>
          <w:spacing w:val="19"/>
        </w:rPr>
        <w:t> </w:t>
      </w:r>
      <w:r>
        <w:rPr>
          <w:color w:val="105C84"/>
        </w:rPr>
        <w:t>makes</w:t>
      </w:r>
      <w:r>
        <w:rPr>
          <w:color w:val="105C84"/>
          <w:spacing w:val="19"/>
        </w:rPr>
        <w:t> </w:t>
      </w:r>
      <w:r>
        <w:rPr>
          <w:color w:val="105C84"/>
        </w:rPr>
        <w:t>it</w:t>
      </w:r>
      <w:r>
        <w:rPr>
          <w:color w:val="105C84"/>
          <w:spacing w:val="19"/>
        </w:rPr>
        <w:t> </w:t>
      </w:r>
      <w:r>
        <w:rPr>
          <w:color w:val="105C84"/>
        </w:rPr>
        <w:t>easily</w:t>
      </w:r>
      <w:r>
        <w:rPr>
          <w:color w:val="105C84"/>
          <w:spacing w:val="19"/>
        </w:rPr>
        <w:t> </w:t>
      </w:r>
      <w:r>
        <w:rPr>
          <w:color w:val="105C84"/>
        </w:rPr>
        <w:t>accessible</w:t>
      </w:r>
      <w:r>
        <w:rPr>
          <w:color w:val="105C84"/>
          <w:spacing w:val="19"/>
        </w:rPr>
        <w:t> </w:t>
      </w:r>
      <w:r>
        <w:rPr>
          <w:color w:val="105C84"/>
        </w:rPr>
        <w:t>for</w:t>
      </w:r>
      <w:r>
        <w:rPr>
          <w:color w:val="105C84"/>
          <w:spacing w:val="19"/>
        </w:rPr>
        <w:t> </w:t>
      </w:r>
      <w:r>
        <w:rPr>
          <w:color w:val="105C84"/>
        </w:rPr>
        <w:t>jobs</w:t>
      </w:r>
      <w:r>
        <w:rPr>
          <w:color w:val="105C84"/>
          <w:spacing w:val="19"/>
        </w:rPr>
        <w:t> </w:t>
      </w:r>
      <w:r>
        <w:rPr>
          <w:color w:val="105C84"/>
        </w:rPr>
        <w:t>for</w:t>
      </w:r>
      <w:r>
        <w:rPr>
          <w:color w:val="105C84"/>
          <w:spacing w:val="19"/>
        </w:rPr>
        <w:t> </w:t>
      </w:r>
      <w:r>
        <w:rPr>
          <w:color w:val="105C84"/>
        </w:rPr>
        <w:t>those</w:t>
      </w:r>
      <w:r>
        <w:rPr>
          <w:color w:val="105C84"/>
          <w:spacing w:val="19"/>
        </w:rPr>
        <w:t> </w:t>
      </w:r>
      <w:r>
        <w:rPr>
          <w:color w:val="105C84"/>
        </w:rPr>
        <w:t>able</w:t>
      </w:r>
      <w:r>
        <w:rPr>
          <w:color w:val="105C84"/>
        </w:rPr>
        <w:t> to commute. A total of 64,373 persons reside in the county, the majority of which (94%) are White Non-Hispanic.</w:t>
      </w:r>
      <w:r>
        <w:rPr>
          <w:color w:val="105C84"/>
          <w:spacing w:val="13"/>
        </w:rPr>
        <w:t> </w:t>
      </w:r>
      <w:r>
        <w:rPr>
          <w:color w:val="105C84"/>
        </w:rPr>
        <w:t>Women</w:t>
      </w:r>
      <w:r>
        <w:rPr>
          <w:color w:val="105C84"/>
          <w:spacing w:val="13"/>
        </w:rPr>
        <w:t> </w:t>
      </w:r>
      <w:r>
        <w:rPr>
          <w:color w:val="105C84"/>
        </w:rPr>
        <w:t>of</w:t>
      </w:r>
      <w:r>
        <w:rPr>
          <w:color w:val="105C84"/>
          <w:spacing w:val="13"/>
        </w:rPr>
        <w:t> </w:t>
      </w:r>
      <w:r>
        <w:rPr>
          <w:color w:val="105C84"/>
        </w:rPr>
        <w:t>childbearing</w:t>
      </w:r>
      <w:r>
        <w:rPr>
          <w:color w:val="105C84"/>
          <w:spacing w:val="13"/>
        </w:rPr>
        <w:t> </w:t>
      </w:r>
      <w:r>
        <w:rPr>
          <w:color w:val="105C84"/>
        </w:rPr>
        <w:t>age</w:t>
      </w:r>
      <w:r>
        <w:rPr>
          <w:color w:val="105C84"/>
          <w:spacing w:val="13"/>
        </w:rPr>
        <w:t> </w:t>
      </w:r>
      <w:r>
        <w:rPr>
          <w:color w:val="105C84"/>
        </w:rPr>
        <w:t>make</w:t>
      </w:r>
      <w:r>
        <w:rPr>
          <w:color w:val="105C84"/>
          <w:spacing w:val="13"/>
        </w:rPr>
        <w:t> </w:t>
      </w:r>
      <w:r>
        <w:rPr>
          <w:color w:val="105C84"/>
        </w:rPr>
        <w:t>up</w:t>
      </w:r>
      <w:r>
        <w:rPr>
          <w:color w:val="105C84"/>
          <w:spacing w:val="13"/>
        </w:rPr>
        <w:t> </w:t>
      </w:r>
      <w:r>
        <w:rPr>
          <w:color w:val="105C84"/>
        </w:rPr>
        <w:t>18%</w:t>
      </w:r>
      <w:r>
        <w:rPr>
          <w:color w:val="105C84"/>
          <w:spacing w:val="13"/>
        </w:rPr>
        <w:t> </w:t>
      </w:r>
      <w:r>
        <w:rPr>
          <w:color w:val="105C84"/>
        </w:rPr>
        <w:t>of</w:t>
      </w:r>
      <w:r>
        <w:rPr>
          <w:color w:val="105C84"/>
          <w:spacing w:val="13"/>
        </w:rPr>
        <w:t> </w:t>
      </w:r>
      <w:r>
        <w:rPr>
          <w:color w:val="105C84"/>
        </w:rPr>
        <w:t>the</w:t>
      </w:r>
      <w:r>
        <w:rPr>
          <w:color w:val="105C84"/>
          <w:spacing w:val="13"/>
        </w:rPr>
        <w:t> </w:t>
      </w:r>
      <w:r>
        <w:rPr>
          <w:color w:val="105C84"/>
        </w:rPr>
        <w:t>population,</w:t>
      </w:r>
      <w:r>
        <w:rPr>
          <w:color w:val="105C84"/>
          <w:spacing w:val="13"/>
        </w:rPr>
        <w:t> </w:t>
      </w:r>
      <w:r>
        <w:rPr>
          <w:color w:val="105C84"/>
        </w:rPr>
        <w:t>and</w:t>
      </w:r>
      <w:r>
        <w:rPr>
          <w:color w:val="105C84"/>
          <w:spacing w:val="13"/>
        </w:rPr>
        <w:t> </w:t>
      </w:r>
      <w:r>
        <w:rPr>
          <w:color w:val="105C84"/>
        </w:rPr>
        <w:t>25.3%</w:t>
      </w:r>
      <w:r>
        <w:rPr>
          <w:color w:val="105C84"/>
          <w:spacing w:val="13"/>
        </w:rPr>
        <w:t> </w:t>
      </w:r>
      <w:r>
        <w:rPr>
          <w:color w:val="105C84"/>
        </w:rPr>
        <w:t>of</w:t>
      </w:r>
      <w:r>
        <w:rPr>
          <w:color w:val="105C84"/>
          <w:spacing w:val="13"/>
        </w:rPr>
        <w:t> </w:t>
      </w:r>
      <w:r>
        <w:rPr>
          <w:color w:val="105C84"/>
        </w:rPr>
        <w:t>the</w:t>
      </w:r>
      <w:r>
        <w:rPr>
          <w:color w:val="105C84"/>
          <w:spacing w:val="13"/>
        </w:rPr>
        <w:t> </w:t>
      </w:r>
      <w:r>
        <w:rPr>
          <w:color w:val="105C84"/>
        </w:rPr>
        <w:t>18+</w:t>
      </w:r>
    </w:p>
    <w:p>
      <w:pPr>
        <w:pStyle w:val="BodyText"/>
        <w:spacing w:line="247" w:lineRule="auto"/>
        <w:ind w:left="1079" w:right="38"/>
        <w:jc w:val="both"/>
      </w:pPr>
      <w:r>
        <w:rPr>
          <w:color w:val="105C84"/>
        </w:rPr>
        <w:t>population are living with a disability.</w:t>
      </w:r>
      <w:r>
        <w:rPr>
          <w:color w:val="105C84"/>
          <w:position w:val="7"/>
          <w:sz w:val="13"/>
        </w:rPr>
        <w:t>19</w:t>
      </w:r>
      <w:r>
        <w:rPr>
          <w:color w:val="105C84"/>
          <w:spacing w:val="32"/>
          <w:position w:val="7"/>
          <w:sz w:val="13"/>
        </w:rPr>
        <w:t> </w:t>
      </w:r>
      <w:r>
        <w:rPr>
          <w:color w:val="105C84"/>
        </w:rPr>
        <w:t>2017 estimates reveal 31% of the 65+ population (N=3,188) is living alone. This rate is up 19% from 2012 when 26% of the 65+ population (N=2,397) was living </w:t>
      </w:r>
      <w:r>
        <w:rPr>
          <w:color w:val="105C84"/>
          <w:spacing w:val="-2"/>
        </w:rPr>
        <w:t>alone.</w:t>
      </w:r>
    </w:p>
    <w:p>
      <w:pPr>
        <w:pStyle w:val="BodyText"/>
        <w:spacing w:line="247" w:lineRule="auto" w:before="161"/>
        <w:ind w:left="1079" w:right="151"/>
        <w:jc w:val="both"/>
      </w:pPr>
      <w:r>
        <w:rPr>
          <w:color w:val="105C84"/>
        </w:rPr>
        <w:t>A significant number - 14.6% - of Livingston County residents are living below the federal poverty level, and another 16% live near it. The rates are higher in communities such as Geneseo, Mount</w:t>
      </w:r>
    </w:p>
    <w:p>
      <w:pPr>
        <w:spacing w:before="84"/>
        <w:ind w:left="0" w:right="0" w:firstLine="0"/>
        <w:jc w:val="right"/>
        <w:rPr>
          <w:sz w:val="18"/>
        </w:rPr>
      </w:pPr>
      <w:r>
        <w:rPr/>
        <w:br w:type="column"/>
      </w:r>
      <w:r>
        <w:rPr>
          <w:color w:val="636466"/>
          <w:spacing w:val="-5"/>
          <w:sz w:val="18"/>
        </w:rPr>
        <w:t>38%</w:t>
      </w:r>
    </w:p>
    <w:p>
      <w:pPr>
        <w:tabs>
          <w:tab w:pos="3611" w:val="left" w:leader="none"/>
        </w:tabs>
        <w:spacing w:before="124"/>
        <w:ind w:left="514" w:right="0" w:firstLine="0"/>
        <w:jc w:val="left"/>
        <w:rPr>
          <w:position w:val="-7"/>
          <w:sz w:val="18"/>
        </w:rPr>
      </w:pPr>
      <w:r>
        <w:rPr/>
        <w:br w:type="column"/>
      </w:r>
      <w:r>
        <w:rPr>
          <w:color w:val="636466"/>
          <w:spacing w:val="-5"/>
          <w:sz w:val="18"/>
        </w:rPr>
        <w:t>37%</w:t>
      </w:r>
      <w:r>
        <w:rPr>
          <w:color w:val="636466"/>
          <w:sz w:val="18"/>
        </w:rPr>
        <w:tab/>
      </w:r>
      <w:r>
        <w:rPr>
          <w:color w:val="636466"/>
          <w:spacing w:val="-5"/>
          <w:position w:val="-7"/>
          <w:sz w:val="18"/>
        </w:rPr>
        <w:t>36%</w:t>
      </w:r>
    </w:p>
    <w:p>
      <w:pPr>
        <w:tabs>
          <w:tab w:pos="1819" w:val="left" w:leader="none"/>
        </w:tabs>
        <w:spacing w:before="1"/>
        <w:ind w:left="1079" w:right="0" w:firstLine="0"/>
        <w:jc w:val="left"/>
        <w:rPr>
          <w:sz w:val="18"/>
        </w:rPr>
      </w:pPr>
      <w:r>
        <w:rPr/>
        <w:br w:type="column"/>
      </w:r>
      <w:r>
        <w:rPr/>
        <w:drawing>
          <wp:inline distT="0" distB="0" distL="0" distR="0">
            <wp:extent cx="50800" cy="63500"/>
            <wp:effectExtent l="0" t="0" r="0" b="0"/>
            <wp:docPr id="651" name="Image 651"/>
            <wp:cNvGraphicFramePr>
              <a:graphicFrameLocks/>
            </wp:cNvGraphicFramePr>
            <a:graphic>
              <a:graphicData uri="http://schemas.openxmlformats.org/drawingml/2006/picture">
                <pic:pic>
                  <pic:nvPicPr>
                    <pic:cNvPr id="651" name="Image 651"/>
                    <pic:cNvPicPr/>
                  </pic:nvPicPr>
                  <pic:blipFill>
                    <a:blip r:embed="rId103" cstate="print"/>
                    <a:stretch>
                      <a:fillRect/>
                    </a:stretch>
                  </pic:blipFill>
                  <pic:spPr>
                    <a:xfrm>
                      <a:off x="0" y="0"/>
                      <a:ext cx="50800" cy="63500"/>
                    </a:xfrm>
                    <a:prstGeom prst="rect">
                      <a:avLst/>
                    </a:prstGeom>
                  </pic:spPr>
                </pic:pic>
              </a:graphicData>
            </a:graphic>
          </wp:inline>
        </w:drawing>
      </w:r>
      <w:r>
        <w:rPr/>
      </w:r>
      <w:r>
        <w:rPr>
          <w:rFonts w:ascii="Times New Roman"/>
          <w:sz w:val="20"/>
        </w:rPr>
        <w:t> </w:t>
      </w:r>
      <w:r>
        <w:rPr>
          <w:color w:val="636466"/>
          <w:sz w:val="18"/>
        </w:rPr>
        <w:t>2012</w:t>
        <w:tab/>
      </w:r>
      <w:r>
        <w:rPr>
          <w:color w:val="636466"/>
          <w:sz w:val="18"/>
        </w:rPr>
        <w:drawing>
          <wp:inline distT="0" distB="0" distL="0" distR="0">
            <wp:extent cx="63500" cy="63500"/>
            <wp:effectExtent l="0" t="0" r="0" b="0"/>
            <wp:docPr id="652" name="Image 652"/>
            <wp:cNvGraphicFramePr>
              <a:graphicFrameLocks/>
            </wp:cNvGraphicFramePr>
            <a:graphic>
              <a:graphicData uri="http://schemas.openxmlformats.org/drawingml/2006/picture">
                <pic:pic>
                  <pic:nvPicPr>
                    <pic:cNvPr id="652" name="Image 652"/>
                    <pic:cNvPicPr/>
                  </pic:nvPicPr>
                  <pic:blipFill>
                    <a:blip r:embed="rId76" cstate="print"/>
                    <a:stretch>
                      <a:fillRect/>
                    </a:stretch>
                  </pic:blipFill>
                  <pic:spPr>
                    <a:xfrm>
                      <a:off x="0" y="0"/>
                      <a:ext cx="63500" cy="63500"/>
                    </a:xfrm>
                    <a:prstGeom prst="rect">
                      <a:avLst/>
                    </a:prstGeom>
                  </pic:spPr>
                </pic:pic>
              </a:graphicData>
            </a:graphic>
          </wp:inline>
        </w:drawing>
      </w:r>
      <w:r>
        <w:rPr>
          <w:color w:val="636466"/>
          <w:sz w:val="18"/>
        </w:rPr>
      </w:r>
      <w:r>
        <w:rPr>
          <w:rFonts w:ascii="Times New Roman"/>
          <w:color w:val="636466"/>
          <w:spacing w:val="-13"/>
          <w:sz w:val="18"/>
        </w:rPr>
        <w:t> </w:t>
      </w:r>
      <w:r>
        <w:rPr>
          <w:color w:val="636466"/>
          <w:sz w:val="18"/>
        </w:rPr>
        <w:t>2017</w:t>
      </w:r>
    </w:p>
    <w:p>
      <w:pPr>
        <w:spacing w:after="0"/>
        <w:jc w:val="left"/>
        <w:rPr>
          <w:sz w:val="18"/>
        </w:rPr>
        <w:sectPr>
          <w:type w:val="continuous"/>
          <w:pgSz w:w="24480" w:h="15840" w:orient="landscape"/>
          <w:pgMar w:header="0" w:footer="0" w:top="0" w:bottom="280" w:left="0" w:right="720"/>
          <w:cols w:num="4" w:equalWidth="0">
            <w:col w:w="10868" w:space="2528"/>
            <w:col w:w="1414" w:space="39"/>
            <w:col w:w="3986" w:space="936"/>
            <w:col w:w="3989"/>
          </w:cols>
        </w:sectPr>
      </w:pPr>
    </w:p>
    <w:p>
      <w:pPr>
        <w:pStyle w:val="BodyText"/>
        <w:spacing w:before="14"/>
        <w:ind w:left="1079"/>
      </w:pPr>
      <w:r>
        <w:rPr>
          <w:color w:val="105C84"/>
        </w:rPr>
        <w:t>Morris</w:t>
      </w:r>
      <w:r>
        <w:rPr>
          <w:color w:val="105C84"/>
          <w:spacing w:val="12"/>
        </w:rPr>
        <w:t> </w:t>
      </w:r>
      <w:r>
        <w:rPr>
          <w:color w:val="105C84"/>
        </w:rPr>
        <w:t>and</w:t>
      </w:r>
      <w:r>
        <w:rPr>
          <w:color w:val="105C84"/>
          <w:spacing w:val="13"/>
        </w:rPr>
        <w:t> </w:t>
      </w:r>
      <w:r>
        <w:rPr>
          <w:color w:val="105C84"/>
        </w:rPr>
        <w:t>Dansville.</w:t>
      </w:r>
      <w:r>
        <w:rPr>
          <w:color w:val="105C84"/>
          <w:spacing w:val="12"/>
        </w:rPr>
        <w:t> </w:t>
      </w:r>
      <w:r>
        <w:rPr>
          <w:color w:val="105C84"/>
        </w:rPr>
        <w:t>The</w:t>
      </w:r>
      <w:r>
        <w:rPr>
          <w:color w:val="105C84"/>
          <w:spacing w:val="13"/>
        </w:rPr>
        <w:t> </w:t>
      </w:r>
      <w:r>
        <w:rPr>
          <w:color w:val="105C84"/>
        </w:rPr>
        <w:t>distribution</w:t>
      </w:r>
      <w:r>
        <w:rPr>
          <w:color w:val="105C84"/>
          <w:spacing w:val="12"/>
        </w:rPr>
        <w:t> </w:t>
      </w:r>
      <w:r>
        <w:rPr>
          <w:color w:val="105C84"/>
        </w:rPr>
        <w:t>of</w:t>
      </w:r>
      <w:r>
        <w:rPr>
          <w:color w:val="105C84"/>
          <w:spacing w:val="13"/>
        </w:rPr>
        <w:t> </w:t>
      </w:r>
      <w:r>
        <w:rPr>
          <w:color w:val="105C84"/>
        </w:rPr>
        <w:t>poverty</w:t>
      </w:r>
      <w:r>
        <w:rPr>
          <w:color w:val="105C84"/>
          <w:spacing w:val="12"/>
        </w:rPr>
        <w:t> </w:t>
      </w:r>
      <w:r>
        <w:rPr>
          <w:color w:val="105C84"/>
        </w:rPr>
        <w:t>in</w:t>
      </w:r>
      <w:r>
        <w:rPr>
          <w:color w:val="105C84"/>
          <w:spacing w:val="13"/>
        </w:rPr>
        <w:t> </w:t>
      </w:r>
      <w:r>
        <w:rPr>
          <w:color w:val="105C84"/>
        </w:rPr>
        <w:t>the</w:t>
      </w:r>
      <w:r>
        <w:rPr>
          <w:color w:val="105C84"/>
          <w:spacing w:val="12"/>
        </w:rPr>
        <w:t> </w:t>
      </w:r>
      <w:r>
        <w:rPr>
          <w:color w:val="105C84"/>
        </w:rPr>
        <w:t>county</w:t>
      </w:r>
      <w:r>
        <w:rPr>
          <w:color w:val="105C84"/>
          <w:spacing w:val="13"/>
        </w:rPr>
        <w:t> </w:t>
      </w:r>
      <w:r>
        <w:rPr>
          <w:color w:val="105C84"/>
        </w:rPr>
        <w:t>is</w:t>
      </w:r>
      <w:r>
        <w:rPr>
          <w:color w:val="105C84"/>
          <w:spacing w:val="12"/>
        </w:rPr>
        <w:t> </w:t>
      </w:r>
      <w:r>
        <w:rPr>
          <w:color w:val="105C84"/>
        </w:rPr>
        <w:t>shown</w:t>
      </w:r>
      <w:r>
        <w:rPr>
          <w:color w:val="105C84"/>
          <w:spacing w:val="13"/>
        </w:rPr>
        <w:t> </w:t>
      </w:r>
      <w:r>
        <w:rPr>
          <w:color w:val="105C84"/>
        </w:rPr>
        <w:t>below</w:t>
      </w:r>
      <w:r>
        <w:rPr>
          <w:color w:val="105C84"/>
          <w:spacing w:val="12"/>
        </w:rPr>
        <w:t> </w:t>
      </w:r>
      <w:r>
        <w:rPr>
          <w:color w:val="105C84"/>
        </w:rPr>
        <w:t>in</w:t>
      </w:r>
      <w:r>
        <w:rPr>
          <w:color w:val="105C84"/>
          <w:spacing w:val="13"/>
        </w:rPr>
        <w:t> </w:t>
      </w:r>
      <w:r>
        <w:rPr>
          <w:color w:val="105C84"/>
        </w:rPr>
        <w:t>Map</w:t>
      </w:r>
      <w:r>
        <w:rPr>
          <w:color w:val="105C84"/>
          <w:spacing w:val="12"/>
        </w:rPr>
        <w:t> </w:t>
      </w:r>
      <w:r>
        <w:rPr>
          <w:color w:val="105C84"/>
          <w:spacing w:val="-5"/>
        </w:rPr>
        <w:t>7.</w:t>
      </w:r>
    </w:p>
    <w:p>
      <w:pPr>
        <w:pStyle w:val="BodyText"/>
        <w:spacing w:before="26"/>
      </w:pPr>
    </w:p>
    <w:p>
      <w:pPr>
        <w:pStyle w:val="Heading6"/>
      </w:pPr>
      <w:r>
        <w:rPr>
          <w:color w:val="105C84"/>
        </w:rPr>
        <w:t>MAP</w:t>
      </w:r>
      <w:r>
        <w:rPr>
          <w:color w:val="105C84"/>
          <w:spacing w:val="-5"/>
        </w:rPr>
        <w:t> </w:t>
      </w:r>
      <w:r>
        <w:rPr>
          <w:color w:val="105C84"/>
        </w:rPr>
        <w:t>7:</w:t>
      </w:r>
      <w:r>
        <w:rPr>
          <w:color w:val="105C84"/>
          <w:spacing w:val="-4"/>
        </w:rPr>
        <w:t> </w:t>
      </w:r>
      <w:r>
        <w:rPr>
          <w:color w:val="105C84"/>
        </w:rPr>
        <w:t>Poverty</w:t>
      </w:r>
      <w:r>
        <w:rPr>
          <w:color w:val="105C84"/>
          <w:spacing w:val="-5"/>
        </w:rPr>
        <w:t> </w:t>
      </w:r>
      <w:r>
        <w:rPr>
          <w:color w:val="105C84"/>
        </w:rPr>
        <w:t>rates</w:t>
      </w:r>
      <w:r>
        <w:rPr>
          <w:color w:val="105C84"/>
          <w:spacing w:val="-4"/>
        </w:rPr>
        <w:t> </w:t>
      </w:r>
      <w:r>
        <w:rPr>
          <w:color w:val="105C84"/>
        </w:rPr>
        <w:t>by</w:t>
      </w:r>
      <w:r>
        <w:rPr>
          <w:color w:val="105C84"/>
          <w:spacing w:val="-5"/>
        </w:rPr>
        <w:t> </w:t>
      </w:r>
      <w:r>
        <w:rPr>
          <w:color w:val="105C84"/>
        </w:rPr>
        <w:t>ZIP</w:t>
      </w:r>
      <w:r>
        <w:rPr>
          <w:color w:val="105C84"/>
          <w:spacing w:val="-4"/>
        </w:rPr>
        <w:t> code</w:t>
      </w:r>
    </w:p>
    <w:p>
      <w:pPr>
        <w:tabs>
          <w:tab w:pos="4574" w:val="left" w:leader="none"/>
          <w:tab w:pos="7565" w:val="left" w:leader="none"/>
        </w:tabs>
        <w:spacing w:before="144"/>
        <w:ind w:left="1079" w:right="0" w:firstLine="0"/>
        <w:jc w:val="left"/>
        <w:rPr>
          <w:sz w:val="18"/>
        </w:rPr>
      </w:pPr>
      <w:r>
        <w:rPr/>
        <w:br w:type="column"/>
      </w:r>
      <w:r>
        <w:rPr>
          <w:color w:val="636466"/>
          <w:sz w:val="18"/>
        </w:rPr>
        <w:t>High School</w:t>
      </w:r>
      <w:r>
        <w:rPr>
          <w:color w:val="636466"/>
          <w:spacing w:val="1"/>
          <w:sz w:val="18"/>
        </w:rPr>
        <w:t> </w:t>
      </w:r>
      <w:r>
        <w:rPr>
          <w:color w:val="636466"/>
          <w:sz w:val="18"/>
        </w:rPr>
        <w:t>Degree or</w:t>
      </w:r>
      <w:r>
        <w:rPr>
          <w:color w:val="636466"/>
          <w:spacing w:val="1"/>
          <w:sz w:val="18"/>
        </w:rPr>
        <w:t> </w:t>
      </w:r>
      <w:r>
        <w:rPr>
          <w:color w:val="636466"/>
          <w:spacing w:val="-2"/>
          <w:sz w:val="18"/>
        </w:rPr>
        <w:t>Equivalent</w:t>
      </w:r>
      <w:r>
        <w:rPr>
          <w:color w:val="636466"/>
          <w:sz w:val="18"/>
        </w:rPr>
        <w:tab/>
        <w:t>Some</w:t>
      </w:r>
      <w:r>
        <w:rPr>
          <w:color w:val="636466"/>
          <w:spacing w:val="-2"/>
          <w:sz w:val="18"/>
        </w:rPr>
        <w:t> </w:t>
      </w:r>
      <w:r>
        <w:rPr>
          <w:color w:val="636466"/>
          <w:sz w:val="18"/>
        </w:rPr>
        <w:t>College</w:t>
      </w:r>
      <w:r>
        <w:rPr>
          <w:color w:val="636466"/>
          <w:spacing w:val="-2"/>
          <w:sz w:val="18"/>
        </w:rPr>
        <w:t> Experience</w:t>
      </w:r>
      <w:r>
        <w:rPr>
          <w:color w:val="636466"/>
          <w:sz w:val="18"/>
        </w:rPr>
        <w:tab/>
        <w:t>Bachelor's</w:t>
      </w:r>
      <w:r>
        <w:rPr>
          <w:color w:val="636466"/>
          <w:spacing w:val="-1"/>
          <w:sz w:val="18"/>
        </w:rPr>
        <w:t> </w:t>
      </w:r>
      <w:r>
        <w:rPr>
          <w:color w:val="636466"/>
          <w:sz w:val="18"/>
        </w:rPr>
        <w:t>Degree</w:t>
      </w:r>
      <w:r>
        <w:rPr>
          <w:color w:val="636466"/>
          <w:spacing w:val="-1"/>
          <w:sz w:val="18"/>
        </w:rPr>
        <w:t> </w:t>
      </w:r>
      <w:r>
        <w:rPr>
          <w:color w:val="636466"/>
          <w:sz w:val="18"/>
        </w:rPr>
        <w:t>or</w:t>
      </w:r>
      <w:r>
        <w:rPr>
          <w:color w:val="636466"/>
          <w:spacing w:val="-1"/>
          <w:sz w:val="18"/>
        </w:rPr>
        <w:t> </w:t>
      </w:r>
      <w:r>
        <w:rPr>
          <w:color w:val="636466"/>
          <w:spacing w:val="-2"/>
          <w:sz w:val="18"/>
        </w:rPr>
        <w:t>Higher</w:t>
      </w:r>
    </w:p>
    <w:p>
      <w:pPr>
        <w:pStyle w:val="BodyText"/>
        <w:spacing w:before="125"/>
        <w:rPr>
          <w:sz w:val="18"/>
        </w:rPr>
      </w:pPr>
    </w:p>
    <w:p>
      <w:pPr>
        <w:spacing w:before="0"/>
        <w:ind w:left="1096" w:right="0" w:firstLine="0"/>
        <w:jc w:val="left"/>
        <w:rPr>
          <w:sz w:val="16"/>
        </w:rPr>
      </w:pPr>
      <w:r>
        <w:rPr>
          <w:color w:val="105C84"/>
          <w:spacing w:val="-2"/>
          <w:sz w:val="16"/>
        </w:rPr>
        <w:t>Data</w:t>
      </w:r>
      <w:r>
        <w:rPr>
          <w:color w:val="105C84"/>
          <w:spacing w:val="-8"/>
          <w:sz w:val="16"/>
        </w:rPr>
        <w:t> </w:t>
      </w:r>
      <w:r>
        <w:rPr>
          <w:color w:val="105C84"/>
          <w:spacing w:val="-2"/>
          <w:sz w:val="16"/>
        </w:rPr>
        <w:t>Source:</w:t>
      </w:r>
      <w:r>
        <w:rPr>
          <w:color w:val="105C84"/>
          <w:spacing w:val="-8"/>
          <w:sz w:val="16"/>
        </w:rPr>
        <w:t> </w:t>
      </w:r>
      <w:r>
        <w:rPr>
          <w:color w:val="105C84"/>
          <w:spacing w:val="-2"/>
          <w:sz w:val="16"/>
        </w:rPr>
        <w:t>U.S.</w:t>
      </w:r>
      <w:r>
        <w:rPr>
          <w:color w:val="105C84"/>
          <w:spacing w:val="-8"/>
          <w:sz w:val="16"/>
        </w:rPr>
        <w:t> </w:t>
      </w:r>
      <w:r>
        <w:rPr>
          <w:color w:val="105C84"/>
          <w:spacing w:val="-2"/>
          <w:sz w:val="16"/>
        </w:rPr>
        <w:t>Census</w:t>
      </w:r>
      <w:r>
        <w:rPr>
          <w:color w:val="105C84"/>
          <w:spacing w:val="-8"/>
          <w:sz w:val="16"/>
        </w:rPr>
        <w:t> </w:t>
      </w:r>
      <w:r>
        <w:rPr>
          <w:color w:val="105C84"/>
          <w:spacing w:val="-2"/>
          <w:sz w:val="16"/>
        </w:rPr>
        <w:t>Bureau</w:t>
      </w:r>
      <w:r>
        <w:rPr>
          <w:color w:val="105C84"/>
          <w:spacing w:val="-8"/>
          <w:sz w:val="16"/>
        </w:rPr>
        <w:t> </w:t>
      </w:r>
      <w:r>
        <w:rPr>
          <w:color w:val="105C84"/>
          <w:spacing w:val="-2"/>
          <w:sz w:val="16"/>
        </w:rPr>
        <w:t>American</w:t>
      </w:r>
      <w:r>
        <w:rPr>
          <w:color w:val="105C84"/>
          <w:spacing w:val="-8"/>
          <w:sz w:val="16"/>
        </w:rPr>
        <w:t> </w:t>
      </w:r>
      <w:r>
        <w:rPr>
          <w:color w:val="105C84"/>
          <w:spacing w:val="-2"/>
          <w:sz w:val="16"/>
        </w:rPr>
        <w:t>Communtiy</w:t>
      </w:r>
      <w:r>
        <w:rPr>
          <w:color w:val="105C84"/>
          <w:spacing w:val="-8"/>
          <w:sz w:val="16"/>
        </w:rPr>
        <w:t> </w:t>
      </w:r>
      <w:r>
        <w:rPr>
          <w:color w:val="105C84"/>
          <w:spacing w:val="-2"/>
          <w:sz w:val="16"/>
        </w:rPr>
        <w:t>Survey</w:t>
      </w:r>
      <w:r>
        <w:rPr>
          <w:color w:val="105C84"/>
          <w:spacing w:val="-8"/>
          <w:sz w:val="16"/>
        </w:rPr>
        <w:t> </w:t>
      </w:r>
      <w:r>
        <w:rPr>
          <w:color w:val="105C84"/>
          <w:spacing w:val="-2"/>
          <w:sz w:val="16"/>
        </w:rPr>
        <w:t>5-Year</w:t>
      </w:r>
      <w:r>
        <w:rPr>
          <w:color w:val="105C84"/>
          <w:spacing w:val="-8"/>
          <w:sz w:val="16"/>
        </w:rPr>
        <w:t> </w:t>
      </w:r>
      <w:r>
        <w:rPr>
          <w:color w:val="105C84"/>
          <w:spacing w:val="-2"/>
          <w:sz w:val="16"/>
        </w:rPr>
        <w:t>Estimates</w:t>
      </w:r>
    </w:p>
    <w:p>
      <w:pPr>
        <w:spacing w:after="0"/>
        <w:jc w:val="left"/>
        <w:rPr>
          <w:sz w:val="16"/>
        </w:rPr>
        <w:sectPr>
          <w:type w:val="continuous"/>
          <w:pgSz w:w="24480" w:h="15840" w:orient="landscape"/>
          <w:pgMar w:header="0" w:footer="0" w:top="0" w:bottom="280" w:left="0" w:right="720"/>
          <w:cols w:num="2" w:equalWidth="0">
            <w:col w:w="9822" w:space="2824"/>
            <w:col w:w="11114"/>
          </w:cols>
        </w:sectPr>
      </w:pPr>
    </w:p>
    <w:p>
      <w:pPr>
        <w:pStyle w:val="BodyText"/>
        <w:spacing w:before="94"/>
      </w:pPr>
    </w:p>
    <w:p>
      <w:pPr>
        <w:pStyle w:val="BodyText"/>
        <w:spacing w:line="247" w:lineRule="auto"/>
        <w:ind w:left="13320" w:right="557"/>
      </w:pPr>
      <w:r>
        <w:rPr/>
        <mc:AlternateContent>
          <mc:Choice Requires="wps">
            <w:drawing>
              <wp:anchor distT="0" distB="0" distL="0" distR="0" allowOverlap="1" layoutInCell="1" locked="0" behindDoc="0" simplePos="0" relativeHeight="15785984">
                <wp:simplePos x="0" y="0"/>
                <wp:positionH relativeFrom="page">
                  <wp:posOffset>523240</wp:posOffset>
                </wp:positionH>
                <wp:positionV relativeFrom="paragraph">
                  <wp:posOffset>123608</wp:posOffset>
                </wp:positionV>
                <wp:extent cx="4188460" cy="4828540"/>
                <wp:effectExtent l="0" t="0" r="0" b="0"/>
                <wp:wrapNone/>
                <wp:docPr id="653" name="Group 653"/>
                <wp:cNvGraphicFramePr>
                  <a:graphicFrameLocks/>
                </wp:cNvGraphicFramePr>
                <a:graphic>
                  <a:graphicData uri="http://schemas.microsoft.com/office/word/2010/wordprocessingGroup">
                    <wpg:wgp>
                      <wpg:cNvPr id="653" name="Group 653"/>
                      <wpg:cNvGrpSpPr/>
                      <wpg:grpSpPr>
                        <a:xfrm>
                          <a:off x="0" y="0"/>
                          <a:ext cx="4188460" cy="4828540"/>
                          <a:chExt cx="4188460" cy="4828540"/>
                        </a:xfrm>
                      </wpg:grpSpPr>
                      <pic:pic>
                        <pic:nvPicPr>
                          <pic:cNvPr id="654" name="Image 654"/>
                          <pic:cNvPicPr/>
                        </pic:nvPicPr>
                        <pic:blipFill>
                          <a:blip r:embed="rId104" cstate="print"/>
                          <a:stretch>
                            <a:fillRect/>
                          </a:stretch>
                        </pic:blipFill>
                        <pic:spPr>
                          <a:xfrm>
                            <a:off x="0" y="0"/>
                            <a:ext cx="4187952" cy="4828032"/>
                          </a:xfrm>
                          <a:prstGeom prst="rect">
                            <a:avLst/>
                          </a:prstGeom>
                        </pic:spPr>
                      </pic:pic>
                      <pic:pic>
                        <pic:nvPicPr>
                          <pic:cNvPr id="655" name="Image 655"/>
                          <pic:cNvPicPr/>
                        </pic:nvPicPr>
                        <pic:blipFill>
                          <a:blip r:embed="rId105" cstate="print"/>
                          <a:stretch>
                            <a:fillRect/>
                          </a:stretch>
                        </pic:blipFill>
                        <pic:spPr>
                          <a:xfrm>
                            <a:off x="155199" y="48787"/>
                            <a:ext cx="3638602" cy="4442523"/>
                          </a:xfrm>
                          <a:prstGeom prst="rect">
                            <a:avLst/>
                          </a:prstGeom>
                        </pic:spPr>
                      </pic:pic>
                      <wps:wsp>
                        <wps:cNvPr id="656" name="Textbox 656"/>
                        <wps:cNvSpPr txBox="1"/>
                        <wps:spPr>
                          <a:xfrm>
                            <a:off x="1217397" y="400083"/>
                            <a:ext cx="445134" cy="130175"/>
                          </a:xfrm>
                          <a:prstGeom prst="rect">
                            <a:avLst/>
                          </a:prstGeom>
                        </wps:spPr>
                        <wps:txbx>
                          <w:txbxContent>
                            <w:p>
                              <w:pPr>
                                <w:spacing w:before="9"/>
                                <w:ind w:left="0" w:right="0" w:firstLine="0"/>
                                <w:jc w:val="left"/>
                                <w:rPr>
                                  <w:sz w:val="15"/>
                                </w:rPr>
                              </w:pPr>
                              <w:r>
                                <w:rPr>
                                  <w:color w:val="636466"/>
                                  <w:spacing w:val="-2"/>
                                  <w:sz w:val="15"/>
                                </w:rPr>
                                <w:t>Caledonia</w:t>
                              </w:r>
                            </w:p>
                          </w:txbxContent>
                        </wps:txbx>
                        <wps:bodyPr wrap="square" lIns="0" tIns="0" rIns="0" bIns="0" rtlCol="0">
                          <a:noAutofit/>
                        </wps:bodyPr>
                      </wps:wsp>
                      <wps:wsp>
                        <wps:cNvPr id="657" name="Textbox 657"/>
                        <wps:cNvSpPr txBox="1"/>
                        <wps:spPr>
                          <a:xfrm>
                            <a:off x="2859147" y="842430"/>
                            <a:ext cx="215900" cy="130175"/>
                          </a:xfrm>
                          <a:prstGeom prst="rect">
                            <a:avLst/>
                          </a:prstGeom>
                        </wps:spPr>
                        <wps:txbx>
                          <w:txbxContent>
                            <w:p>
                              <w:pPr>
                                <w:spacing w:before="9"/>
                                <w:ind w:left="0" w:right="0" w:firstLine="0"/>
                                <w:jc w:val="left"/>
                                <w:rPr>
                                  <w:sz w:val="15"/>
                                </w:rPr>
                              </w:pPr>
                              <w:r>
                                <w:rPr>
                                  <w:color w:val="636466"/>
                                  <w:spacing w:val="-4"/>
                                  <w:sz w:val="15"/>
                                </w:rPr>
                                <w:t>Lima</w:t>
                              </w:r>
                            </w:p>
                          </w:txbxContent>
                        </wps:txbx>
                        <wps:bodyPr wrap="square" lIns="0" tIns="0" rIns="0" bIns="0" rtlCol="0">
                          <a:noAutofit/>
                        </wps:bodyPr>
                      </wps:wsp>
                      <wps:wsp>
                        <wps:cNvPr id="658" name="Textbox 658"/>
                        <wps:cNvSpPr txBox="1"/>
                        <wps:spPr>
                          <a:xfrm>
                            <a:off x="1749661" y="1395935"/>
                            <a:ext cx="397510" cy="130175"/>
                          </a:xfrm>
                          <a:prstGeom prst="rect">
                            <a:avLst/>
                          </a:prstGeom>
                        </wps:spPr>
                        <wps:txbx>
                          <w:txbxContent>
                            <w:p>
                              <w:pPr>
                                <w:spacing w:before="9"/>
                                <w:ind w:left="0" w:right="0" w:firstLine="0"/>
                                <w:jc w:val="left"/>
                                <w:rPr>
                                  <w:sz w:val="15"/>
                                </w:rPr>
                              </w:pPr>
                              <w:r>
                                <w:rPr>
                                  <w:color w:val="FFFFFF"/>
                                  <w:spacing w:val="-2"/>
                                  <w:sz w:val="15"/>
                                </w:rPr>
                                <w:t>Geneseo</w:t>
                              </w:r>
                            </w:p>
                          </w:txbxContent>
                        </wps:txbx>
                        <wps:bodyPr wrap="square" lIns="0" tIns="0" rIns="0" bIns="0" rtlCol="0">
                          <a:noAutofit/>
                        </wps:bodyPr>
                      </wps:wsp>
                      <wps:wsp>
                        <wps:cNvPr id="659" name="Textbox 659"/>
                        <wps:cNvSpPr txBox="1"/>
                        <wps:spPr>
                          <a:xfrm>
                            <a:off x="1014988" y="2679065"/>
                            <a:ext cx="601980" cy="130175"/>
                          </a:xfrm>
                          <a:prstGeom prst="rect">
                            <a:avLst/>
                          </a:prstGeom>
                        </wps:spPr>
                        <wps:txbx>
                          <w:txbxContent>
                            <w:p>
                              <w:pPr>
                                <w:spacing w:before="9"/>
                                <w:ind w:left="0" w:right="0" w:firstLine="0"/>
                                <w:jc w:val="left"/>
                                <w:rPr>
                                  <w:sz w:val="15"/>
                                </w:rPr>
                              </w:pPr>
                              <w:r>
                                <w:rPr>
                                  <w:color w:val="FFFFFF"/>
                                  <w:w w:val="105"/>
                                  <w:sz w:val="15"/>
                                </w:rPr>
                                <w:t>Mount</w:t>
                              </w:r>
                              <w:r>
                                <w:rPr>
                                  <w:color w:val="FFFFFF"/>
                                  <w:spacing w:val="6"/>
                                  <w:w w:val="105"/>
                                  <w:sz w:val="15"/>
                                </w:rPr>
                                <w:t> </w:t>
                              </w:r>
                              <w:r>
                                <w:rPr>
                                  <w:color w:val="FFFFFF"/>
                                  <w:spacing w:val="-2"/>
                                  <w:w w:val="105"/>
                                  <w:sz w:val="15"/>
                                </w:rPr>
                                <w:t>Morris</w:t>
                              </w:r>
                            </w:p>
                          </w:txbxContent>
                        </wps:txbx>
                        <wps:bodyPr wrap="square" lIns="0" tIns="0" rIns="0" bIns="0" rtlCol="0">
                          <a:noAutofit/>
                        </wps:bodyPr>
                      </wps:wsp>
                      <wps:wsp>
                        <wps:cNvPr id="660" name="Textbox 660"/>
                        <wps:cNvSpPr txBox="1"/>
                        <wps:spPr>
                          <a:xfrm>
                            <a:off x="1779665" y="3571188"/>
                            <a:ext cx="397510" cy="130175"/>
                          </a:xfrm>
                          <a:prstGeom prst="rect">
                            <a:avLst/>
                          </a:prstGeom>
                        </wps:spPr>
                        <wps:txbx>
                          <w:txbxContent>
                            <w:p>
                              <w:pPr>
                                <w:spacing w:before="9"/>
                                <w:ind w:left="0" w:right="0" w:firstLine="0"/>
                                <w:jc w:val="left"/>
                                <w:rPr>
                                  <w:sz w:val="15"/>
                                </w:rPr>
                              </w:pPr>
                              <w:r>
                                <w:rPr>
                                  <w:color w:val="FFFFFF"/>
                                  <w:spacing w:val="-2"/>
                                  <w:sz w:val="15"/>
                                </w:rPr>
                                <w:t>Dansville</w:t>
                              </w:r>
                            </w:p>
                          </w:txbxContent>
                        </wps:txbx>
                        <wps:bodyPr wrap="square" lIns="0" tIns="0" rIns="0" bIns="0" rtlCol="0">
                          <a:noAutofit/>
                        </wps:bodyPr>
                      </wps:wsp>
                      <wps:wsp>
                        <wps:cNvPr id="661" name="Textbox 661"/>
                        <wps:cNvSpPr txBox="1"/>
                        <wps:spPr>
                          <a:xfrm>
                            <a:off x="162560" y="4567935"/>
                            <a:ext cx="3828415" cy="139065"/>
                          </a:xfrm>
                          <a:prstGeom prst="rect">
                            <a:avLst/>
                          </a:prstGeom>
                        </wps:spPr>
                        <wps:txbx>
                          <w:txbxContent>
                            <w:p>
                              <w:pPr>
                                <w:spacing w:before="10"/>
                                <w:ind w:left="0" w:right="0" w:firstLine="0"/>
                                <w:jc w:val="left"/>
                                <w:rPr>
                                  <w:sz w:val="16"/>
                                </w:rPr>
                              </w:pPr>
                              <w:r>
                                <w:rPr>
                                  <w:color w:val="0C5D86"/>
                                  <w:spacing w:val="-4"/>
                                  <w:sz w:val="16"/>
                                </w:rPr>
                                <w:t>Source:</w:t>
                              </w:r>
                              <w:r>
                                <w:rPr>
                                  <w:color w:val="0C5D86"/>
                                  <w:spacing w:val="-2"/>
                                  <w:sz w:val="16"/>
                                </w:rPr>
                                <w:t> </w:t>
                              </w:r>
                              <w:r>
                                <w:rPr>
                                  <w:color w:val="0C5D86"/>
                                  <w:spacing w:val="-4"/>
                                  <w:sz w:val="16"/>
                                </w:rPr>
                                <w:t>U.S.</w:t>
                              </w:r>
                              <w:r>
                                <w:rPr>
                                  <w:color w:val="0C5D86"/>
                                  <w:spacing w:val="-1"/>
                                  <w:sz w:val="16"/>
                                </w:rPr>
                                <w:t> </w:t>
                              </w:r>
                              <w:r>
                                <w:rPr>
                                  <w:color w:val="0C5D86"/>
                                  <w:spacing w:val="-4"/>
                                  <w:sz w:val="16"/>
                                </w:rPr>
                                <w:t>Census</w:t>
                              </w:r>
                              <w:r>
                                <w:rPr>
                                  <w:color w:val="0C5D86"/>
                                  <w:spacing w:val="-1"/>
                                  <w:sz w:val="16"/>
                                </w:rPr>
                                <w:t> </w:t>
                              </w:r>
                              <w:r>
                                <w:rPr>
                                  <w:color w:val="0C5D86"/>
                                  <w:spacing w:val="-4"/>
                                  <w:sz w:val="16"/>
                                </w:rPr>
                                <w:t>Bureau</w:t>
                              </w:r>
                              <w:r>
                                <w:rPr>
                                  <w:color w:val="0C5D86"/>
                                  <w:spacing w:val="-1"/>
                                  <w:sz w:val="16"/>
                                </w:rPr>
                                <w:t> </w:t>
                              </w:r>
                              <w:r>
                                <w:rPr>
                                  <w:color w:val="0C5D86"/>
                                  <w:spacing w:val="-4"/>
                                  <w:sz w:val="16"/>
                                </w:rPr>
                                <w:t>American</w:t>
                              </w:r>
                              <w:r>
                                <w:rPr>
                                  <w:color w:val="0C5D86"/>
                                  <w:spacing w:val="-1"/>
                                  <w:sz w:val="16"/>
                                </w:rPr>
                                <w:t> </w:t>
                              </w:r>
                              <w:r>
                                <w:rPr>
                                  <w:color w:val="0C5D86"/>
                                  <w:spacing w:val="-4"/>
                                  <w:sz w:val="16"/>
                                </w:rPr>
                                <w:t>Community</w:t>
                              </w:r>
                              <w:r>
                                <w:rPr>
                                  <w:color w:val="0C5D86"/>
                                  <w:spacing w:val="-1"/>
                                  <w:sz w:val="16"/>
                                </w:rPr>
                                <w:t> </w:t>
                              </w:r>
                              <w:r>
                                <w:rPr>
                                  <w:color w:val="0C5D86"/>
                                  <w:spacing w:val="-4"/>
                                  <w:sz w:val="16"/>
                                </w:rPr>
                                <w:t>Survey</w:t>
                              </w:r>
                              <w:r>
                                <w:rPr>
                                  <w:color w:val="0C5D86"/>
                                  <w:spacing w:val="-1"/>
                                  <w:sz w:val="16"/>
                                </w:rPr>
                                <w:t> </w:t>
                              </w:r>
                              <w:r>
                                <w:rPr>
                                  <w:color w:val="0C5D86"/>
                                  <w:spacing w:val="-4"/>
                                  <w:sz w:val="16"/>
                                </w:rPr>
                                <w:t>2013-2017</w:t>
                              </w:r>
                              <w:r>
                                <w:rPr>
                                  <w:color w:val="0C5D86"/>
                                  <w:spacing w:val="-1"/>
                                  <w:sz w:val="16"/>
                                </w:rPr>
                                <w:t> </w:t>
                              </w:r>
                              <w:r>
                                <w:rPr>
                                  <w:color w:val="0C5D86"/>
                                  <w:spacing w:val="-4"/>
                                  <w:sz w:val="16"/>
                                </w:rPr>
                                <w:t>5-Year</w:t>
                              </w:r>
                              <w:r>
                                <w:rPr>
                                  <w:color w:val="0C5D86"/>
                                  <w:spacing w:val="-1"/>
                                  <w:sz w:val="16"/>
                                </w:rPr>
                                <w:t> </w:t>
                              </w:r>
                              <w:r>
                                <w:rPr>
                                  <w:color w:val="0C5D86"/>
                                  <w:spacing w:val="-4"/>
                                  <w:sz w:val="16"/>
                                </w:rPr>
                                <w:t>estimates</w:t>
                              </w:r>
                            </w:p>
                          </w:txbxContent>
                        </wps:txbx>
                        <wps:bodyPr wrap="square" lIns="0" tIns="0" rIns="0" bIns="0" rtlCol="0">
                          <a:noAutofit/>
                        </wps:bodyPr>
                      </wps:wsp>
                    </wpg:wgp>
                  </a:graphicData>
                </a:graphic>
              </wp:anchor>
            </w:drawing>
          </mc:Choice>
          <mc:Fallback>
            <w:pict>
              <v:group style="position:absolute;margin-left:41.200001pt;margin-top:9.732985pt;width:329.8pt;height:380.2pt;mso-position-horizontal-relative:page;mso-position-vertical-relative:paragraph;z-index:15785984" id="docshapegroup562" coordorigin="824,195" coordsize="6596,7604">
                <v:shape style="position:absolute;left:824;top:194;width:6596;height:7604" type="#_x0000_t75" id="docshape563" stroked="false">
                  <v:imagedata r:id="rId104" o:title=""/>
                </v:shape>
                <v:shape style="position:absolute;left:1068;top:271;width:5731;height:6997" type="#_x0000_t75" id="docshape564" stroked="false">
                  <v:imagedata r:id="rId105" o:title=""/>
                </v:shape>
                <v:shape style="position:absolute;left:2741;top:824;width:701;height:205" type="#_x0000_t202" id="docshape565" filled="false" stroked="false">
                  <v:textbox inset="0,0,0,0">
                    <w:txbxContent>
                      <w:p>
                        <w:pPr>
                          <w:spacing w:before="9"/>
                          <w:ind w:left="0" w:right="0" w:firstLine="0"/>
                          <w:jc w:val="left"/>
                          <w:rPr>
                            <w:sz w:val="15"/>
                          </w:rPr>
                        </w:pPr>
                        <w:r>
                          <w:rPr>
                            <w:color w:val="636466"/>
                            <w:spacing w:val="-2"/>
                            <w:sz w:val="15"/>
                          </w:rPr>
                          <w:t>Caledonia</w:t>
                        </w:r>
                      </w:p>
                    </w:txbxContent>
                  </v:textbox>
                  <w10:wrap type="none"/>
                </v:shape>
                <v:shape style="position:absolute;left:5326;top:1521;width:340;height:205" type="#_x0000_t202" id="docshape566" filled="false" stroked="false">
                  <v:textbox inset="0,0,0,0">
                    <w:txbxContent>
                      <w:p>
                        <w:pPr>
                          <w:spacing w:before="9"/>
                          <w:ind w:left="0" w:right="0" w:firstLine="0"/>
                          <w:jc w:val="left"/>
                          <w:rPr>
                            <w:sz w:val="15"/>
                          </w:rPr>
                        </w:pPr>
                        <w:r>
                          <w:rPr>
                            <w:color w:val="636466"/>
                            <w:spacing w:val="-4"/>
                            <w:sz w:val="15"/>
                          </w:rPr>
                          <w:t>Lima</w:t>
                        </w:r>
                      </w:p>
                    </w:txbxContent>
                  </v:textbox>
                  <w10:wrap type="none"/>
                </v:shape>
                <v:shape style="position:absolute;left:3579;top:2392;width:626;height:205" type="#_x0000_t202" id="docshape567" filled="false" stroked="false">
                  <v:textbox inset="0,0,0,0">
                    <w:txbxContent>
                      <w:p>
                        <w:pPr>
                          <w:spacing w:before="9"/>
                          <w:ind w:left="0" w:right="0" w:firstLine="0"/>
                          <w:jc w:val="left"/>
                          <w:rPr>
                            <w:sz w:val="15"/>
                          </w:rPr>
                        </w:pPr>
                        <w:r>
                          <w:rPr>
                            <w:color w:val="FFFFFF"/>
                            <w:spacing w:val="-2"/>
                            <w:sz w:val="15"/>
                          </w:rPr>
                          <w:t>Geneseo</w:t>
                        </w:r>
                      </w:p>
                    </w:txbxContent>
                  </v:textbox>
                  <w10:wrap type="none"/>
                </v:shape>
                <v:shape style="position:absolute;left:2422;top:4413;width:948;height:205" type="#_x0000_t202" id="docshape568" filled="false" stroked="false">
                  <v:textbox inset="0,0,0,0">
                    <w:txbxContent>
                      <w:p>
                        <w:pPr>
                          <w:spacing w:before="9"/>
                          <w:ind w:left="0" w:right="0" w:firstLine="0"/>
                          <w:jc w:val="left"/>
                          <w:rPr>
                            <w:sz w:val="15"/>
                          </w:rPr>
                        </w:pPr>
                        <w:r>
                          <w:rPr>
                            <w:color w:val="FFFFFF"/>
                            <w:w w:val="105"/>
                            <w:sz w:val="15"/>
                          </w:rPr>
                          <w:t>Mount</w:t>
                        </w:r>
                        <w:r>
                          <w:rPr>
                            <w:color w:val="FFFFFF"/>
                            <w:spacing w:val="6"/>
                            <w:w w:val="105"/>
                            <w:sz w:val="15"/>
                          </w:rPr>
                          <w:t> </w:t>
                        </w:r>
                        <w:r>
                          <w:rPr>
                            <w:color w:val="FFFFFF"/>
                            <w:spacing w:val="-2"/>
                            <w:w w:val="105"/>
                            <w:sz w:val="15"/>
                          </w:rPr>
                          <w:t>Morris</w:t>
                        </w:r>
                      </w:p>
                    </w:txbxContent>
                  </v:textbox>
                  <w10:wrap type="none"/>
                </v:shape>
                <v:shape style="position:absolute;left:3626;top:5818;width:626;height:205" type="#_x0000_t202" id="docshape569" filled="false" stroked="false">
                  <v:textbox inset="0,0,0,0">
                    <w:txbxContent>
                      <w:p>
                        <w:pPr>
                          <w:spacing w:before="9"/>
                          <w:ind w:left="0" w:right="0" w:firstLine="0"/>
                          <w:jc w:val="left"/>
                          <w:rPr>
                            <w:sz w:val="15"/>
                          </w:rPr>
                        </w:pPr>
                        <w:r>
                          <w:rPr>
                            <w:color w:val="FFFFFF"/>
                            <w:spacing w:val="-2"/>
                            <w:sz w:val="15"/>
                          </w:rPr>
                          <w:t>Dansville</w:t>
                        </w:r>
                      </w:p>
                    </w:txbxContent>
                  </v:textbox>
                  <w10:wrap type="none"/>
                </v:shape>
                <v:shape style="position:absolute;left:1080;top:7388;width:6029;height:219" type="#_x0000_t202" id="docshape570" filled="false" stroked="false">
                  <v:textbox inset="0,0,0,0">
                    <w:txbxContent>
                      <w:p>
                        <w:pPr>
                          <w:spacing w:before="10"/>
                          <w:ind w:left="0" w:right="0" w:firstLine="0"/>
                          <w:jc w:val="left"/>
                          <w:rPr>
                            <w:sz w:val="16"/>
                          </w:rPr>
                        </w:pPr>
                        <w:r>
                          <w:rPr>
                            <w:color w:val="0C5D86"/>
                            <w:spacing w:val="-4"/>
                            <w:sz w:val="16"/>
                          </w:rPr>
                          <w:t>Source:</w:t>
                        </w:r>
                        <w:r>
                          <w:rPr>
                            <w:color w:val="0C5D86"/>
                            <w:spacing w:val="-2"/>
                            <w:sz w:val="16"/>
                          </w:rPr>
                          <w:t> </w:t>
                        </w:r>
                        <w:r>
                          <w:rPr>
                            <w:color w:val="0C5D86"/>
                            <w:spacing w:val="-4"/>
                            <w:sz w:val="16"/>
                          </w:rPr>
                          <w:t>U.S.</w:t>
                        </w:r>
                        <w:r>
                          <w:rPr>
                            <w:color w:val="0C5D86"/>
                            <w:spacing w:val="-1"/>
                            <w:sz w:val="16"/>
                          </w:rPr>
                          <w:t> </w:t>
                        </w:r>
                        <w:r>
                          <w:rPr>
                            <w:color w:val="0C5D86"/>
                            <w:spacing w:val="-4"/>
                            <w:sz w:val="16"/>
                          </w:rPr>
                          <w:t>Census</w:t>
                        </w:r>
                        <w:r>
                          <w:rPr>
                            <w:color w:val="0C5D86"/>
                            <w:spacing w:val="-1"/>
                            <w:sz w:val="16"/>
                          </w:rPr>
                          <w:t> </w:t>
                        </w:r>
                        <w:r>
                          <w:rPr>
                            <w:color w:val="0C5D86"/>
                            <w:spacing w:val="-4"/>
                            <w:sz w:val="16"/>
                          </w:rPr>
                          <w:t>Bureau</w:t>
                        </w:r>
                        <w:r>
                          <w:rPr>
                            <w:color w:val="0C5D86"/>
                            <w:spacing w:val="-1"/>
                            <w:sz w:val="16"/>
                          </w:rPr>
                          <w:t> </w:t>
                        </w:r>
                        <w:r>
                          <w:rPr>
                            <w:color w:val="0C5D86"/>
                            <w:spacing w:val="-4"/>
                            <w:sz w:val="16"/>
                          </w:rPr>
                          <w:t>American</w:t>
                        </w:r>
                        <w:r>
                          <w:rPr>
                            <w:color w:val="0C5D86"/>
                            <w:spacing w:val="-1"/>
                            <w:sz w:val="16"/>
                          </w:rPr>
                          <w:t> </w:t>
                        </w:r>
                        <w:r>
                          <w:rPr>
                            <w:color w:val="0C5D86"/>
                            <w:spacing w:val="-4"/>
                            <w:sz w:val="16"/>
                          </w:rPr>
                          <w:t>Community</w:t>
                        </w:r>
                        <w:r>
                          <w:rPr>
                            <w:color w:val="0C5D86"/>
                            <w:spacing w:val="-1"/>
                            <w:sz w:val="16"/>
                          </w:rPr>
                          <w:t> </w:t>
                        </w:r>
                        <w:r>
                          <w:rPr>
                            <w:color w:val="0C5D86"/>
                            <w:spacing w:val="-4"/>
                            <w:sz w:val="16"/>
                          </w:rPr>
                          <w:t>Survey</w:t>
                        </w:r>
                        <w:r>
                          <w:rPr>
                            <w:color w:val="0C5D86"/>
                            <w:spacing w:val="-1"/>
                            <w:sz w:val="16"/>
                          </w:rPr>
                          <w:t> </w:t>
                        </w:r>
                        <w:r>
                          <w:rPr>
                            <w:color w:val="0C5D86"/>
                            <w:spacing w:val="-4"/>
                            <w:sz w:val="16"/>
                          </w:rPr>
                          <w:t>2013-2017</w:t>
                        </w:r>
                        <w:r>
                          <w:rPr>
                            <w:color w:val="0C5D86"/>
                            <w:spacing w:val="-1"/>
                            <w:sz w:val="16"/>
                          </w:rPr>
                          <w:t> </w:t>
                        </w:r>
                        <w:r>
                          <w:rPr>
                            <w:color w:val="0C5D86"/>
                            <w:spacing w:val="-4"/>
                            <w:sz w:val="16"/>
                          </w:rPr>
                          <w:t>5-Year</w:t>
                        </w:r>
                        <w:r>
                          <w:rPr>
                            <w:color w:val="0C5D86"/>
                            <w:spacing w:val="-1"/>
                            <w:sz w:val="16"/>
                          </w:rPr>
                          <w:t> </w:t>
                        </w:r>
                        <w:r>
                          <w:rPr>
                            <w:color w:val="0C5D86"/>
                            <w:spacing w:val="-4"/>
                            <w:sz w:val="16"/>
                          </w:rPr>
                          <w:t>estimates</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86496">
                <wp:simplePos x="0" y="0"/>
                <wp:positionH relativeFrom="page">
                  <wp:posOffset>4956047</wp:posOffset>
                </wp:positionH>
                <wp:positionV relativeFrom="paragraph">
                  <wp:posOffset>181520</wp:posOffset>
                </wp:positionV>
                <wp:extent cx="1810385" cy="2198370"/>
                <wp:effectExtent l="0" t="0" r="0" b="0"/>
                <wp:wrapNone/>
                <wp:docPr id="662" name="Group 662"/>
                <wp:cNvGraphicFramePr>
                  <a:graphicFrameLocks/>
                </wp:cNvGraphicFramePr>
                <a:graphic>
                  <a:graphicData uri="http://schemas.microsoft.com/office/word/2010/wordprocessingGroup">
                    <wpg:wgp>
                      <wpg:cNvPr id="662" name="Group 662"/>
                      <wpg:cNvGrpSpPr/>
                      <wpg:grpSpPr>
                        <a:xfrm>
                          <a:off x="0" y="0"/>
                          <a:ext cx="1810385" cy="2198370"/>
                          <a:chExt cx="1810385" cy="2198370"/>
                        </a:xfrm>
                      </wpg:grpSpPr>
                      <wps:wsp>
                        <wps:cNvPr id="663" name="Graphic 663"/>
                        <wps:cNvSpPr/>
                        <wps:spPr>
                          <a:xfrm>
                            <a:off x="166204" y="806970"/>
                            <a:ext cx="393700" cy="189230"/>
                          </a:xfrm>
                          <a:custGeom>
                            <a:avLst/>
                            <a:gdLst/>
                            <a:ahLst/>
                            <a:cxnLst/>
                            <a:rect l="l" t="t" r="r" b="b"/>
                            <a:pathLst>
                              <a:path w="393700" h="189230">
                                <a:moveTo>
                                  <a:pt x="393407" y="0"/>
                                </a:moveTo>
                                <a:lnTo>
                                  <a:pt x="0" y="0"/>
                                </a:lnTo>
                                <a:lnTo>
                                  <a:pt x="0" y="188645"/>
                                </a:lnTo>
                                <a:lnTo>
                                  <a:pt x="393407" y="188645"/>
                                </a:lnTo>
                                <a:lnTo>
                                  <a:pt x="393407" y="0"/>
                                </a:lnTo>
                                <a:close/>
                              </a:path>
                            </a:pathLst>
                          </a:custGeom>
                          <a:solidFill>
                            <a:srgbClr val="DEF0E7"/>
                          </a:solidFill>
                        </wps:spPr>
                        <wps:bodyPr wrap="square" lIns="0" tIns="0" rIns="0" bIns="0" rtlCol="0">
                          <a:prstTxWarp prst="textNoShape">
                            <a:avLst/>
                          </a:prstTxWarp>
                          <a:noAutofit/>
                        </wps:bodyPr>
                      </wps:wsp>
                      <wps:wsp>
                        <wps:cNvPr id="664" name="Graphic 664"/>
                        <wps:cNvSpPr/>
                        <wps:spPr>
                          <a:xfrm>
                            <a:off x="166204" y="1060157"/>
                            <a:ext cx="393700" cy="189230"/>
                          </a:xfrm>
                          <a:custGeom>
                            <a:avLst/>
                            <a:gdLst/>
                            <a:ahLst/>
                            <a:cxnLst/>
                            <a:rect l="l" t="t" r="r" b="b"/>
                            <a:pathLst>
                              <a:path w="393700" h="189230">
                                <a:moveTo>
                                  <a:pt x="393407" y="0"/>
                                </a:moveTo>
                                <a:lnTo>
                                  <a:pt x="0" y="0"/>
                                </a:lnTo>
                                <a:lnTo>
                                  <a:pt x="0" y="188645"/>
                                </a:lnTo>
                                <a:lnTo>
                                  <a:pt x="393407" y="188645"/>
                                </a:lnTo>
                                <a:lnTo>
                                  <a:pt x="393407" y="0"/>
                                </a:lnTo>
                                <a:close/>
                              </a:path>
                            </a:pathLst>
                          </a:custGeom>
                          <a:solidFill>
                            <a:srgbClr val="A6CFB4"/>
                          </a:solidFill>
                        </wps:spPr>
                        <wps:bodyPr wrap="square" lIns="0" tIns="0" rIns="0" bIns="0" rtlCol="0">
                          <a:prstTxWarp prst="textNoShape">
                            <a:avLst/>
                          </a:prstTxWarp>
                          <a:noAutofit/>
                        </wps:bodyPr>
                      </wps:wsp>
                      <wps:wsp>
                        <wps:cNvPr id="665" name="Graphic 665"/>
                        <wps:cNvSpPr/>
                        <wps:spPr>
                          <a:xfrm>
                            <a:off x="166204" y="1320063"/>
                            <a:ext cx="393700" cy="189230"/>
                          </a:xfrm>
                          <a:custGeom>
                            <a:avLst/>
                            <a:gdLst/>
                            <a:ahLst/>
                            <a:cxnLst/>
                            <a:rect l="l" t="t" r="r" b="b"/>
                            <a:pathLst>
                              <a:path w="393700" h="189230">
                                <a:moveTo>
                                  <a:pt x="393407" y="0"/>
                                </a:moveTo>
                                <a:lnTo>
                                  <a:pt x="0" y="0"/>
                                </a:lnTo>
                                <a:lnTo>
                                  <a:pt x="0" y="188645"/>
                                </a:lnTo>
                                <a:lnTo>
                                  <a:pt x="393407" y="188645"/>
                                </a:lnTo>
                                <a:lnTo>
                                  <a:pt x="393407" y="0"/>
                                </a:lnTo>
                                <a:close/>
                              </a:path>
                            </a:pathLst>
                          </a:custGeom>
                          <a:solidFill>
                            <a:srgbClr val="77A781"/>
                          </a:solidFill>
                        </wps:spPr>
                        <wps:bodyPr wrap="square" lIns="0" tIns="0" rIns="0" bIns="0" rtlCol="0">
                          <a:prstTxWarp prst="textNoShape">
                            <a:avLst/>
                          </a:prstTxWarp>
                          <a:noAutofit/>
                        </wps:bodyPr>
                      </wps:wsp>
                      <wps:wsp>
                        <wps:cNvPr id="666" name="Graphic 666"/>
                        <wps:cNvSpPr/>
                        <wps:spPr>
                          <a:xfrm>
                            <a:off x="166204" y="1579968"/>
                            <a:ext cx="393700" cy="189230"/>
                          </a:xfrm>
                          <a:custGeom>
                            <a:avLst/>
                            <a:gdLst/>
                            <a:ahLst/>
                            <a:cxnLst/>
                            <a:rect l="l" t="t" r="r" b="b"/>
                            <a:pathLst>
                              <a:path w="393700" h="189230">
                                <a:moveTo>
                                  <a:pt x="393407" y="0"/>
                                </a:moveTo>
                                <a:lnTo>
                                  <a:pt x="0" y="0"/>
                                </a:lnTo>
                                <a:lnTo>
                                  <a:pt x="0" y="188645"/>
                                </a:lnTo>
                                <a:lnTo>
                                  <a:pt x="393407" y="188645"/>
                                </a:lnTo>
                                <a:lnTo>
                                  <a:pt x="393407" y="0"/>
                                </a:lnTo>
                                <a:close/>
                              </a:path>
                            </a:pathLst>
                          </a:custGeom>
                          <a:solidFill>
                            <a:srgbClr val="4B8758"/>
                          </a:solidFill>
                        </wps:spPr>
                        <wps:bodyPr wrap="square" lIns="0" tIns="0" rIns="0" bIns="0" rtlCol="0">
                          <a:prstTxWarp prst="textNoShape">
                            <a:avLst/>
                          </a:prstTxWarp>
                          <a:noAutofit/>
                        </wps:bodyPr>
                      </wps:wsp>
                      <wps:wsp>
                        <wps:cNvPr id="667" name="Graphic 667"/>
                        <wps:cNvSpPr/>
                        <wps:spPr>
                          <a:xfrm>
                            <a:off x="166204" y="1839874"/>
                            <a:ext cx="393700" cy="189230"/>
                          </a:xfrm>
                          <a:custGeom>
                            <a:avLst/>
                            <a:gdLst/>
                            <a:ahLst/>
                            <a:cxnLst/>
                            <a:rect l="l" t="t" r="r" b="b"/>
                            <a:pathLst>
                              <a:path w="393700" h="189230">
                                <a:moveTo>
                                  <a:pt x="393407" y="0"/>
                                </a:moveTo>
                                <a:lnTo>
                                  <a:pt x="0" y="0"/>
                                </a:lnTo>
                                <a:lnTo>
                                  <a:pt x="0" y="188645"/>
                                </a:lnTo>
                                <a:lnTo>
                                  <a:pt x="393407" y="188645"/>
                                </a:lnTo>
                                <a:lnTo>
                                  <a:pt x="393407" y="0"/>
                                </a:lnTo>
                                <a:close/>
                              </a:path>
                            </a:pathLst>
                          </a:custGeom>
                          <a:solidFill>
                            <a:srgbClr val="236533"/>
                          </a:solidFill>
                        </wps:spPr>
                        <wps:bodyPr wrap="square" lIns="0" tIns="0" rIns="0" bIns="0" rtlCol="0">
                          <a:prstTxWarp prst="textNoShape">
                            <a:avLst/>
                          </a:prstTxWarp>
                          <a:noAutofit/>
                        </wps:bodyPr>
                      </wps:wsp>
                      <wps:wsp>
                        <wps:cNvPr id="668" name="Textbox 668"/>
                        <wps:cNvSpPr txBox="1"/>
                        <wps:spPr>
                          <a:xfrm>
                            <a:off x="3175" y="3175"/>
                            <a:ext cx="1804035" cy="2192020"/>
                          </a:xfrm>
                          <a:prstGeom prst="rect">
                            <a:avLst/>
                          </a:prstGeom>
                          <a:ln w="6350">
                            <a:solidFill>
                              <a:srgbClr val="636366"/>
                            </a:solidFill>
                            <a:prstDash val="solid"/>
                          </a:ln>
                        </wps:spPr>
                        <wps:txbx>
                          <w:txbxContent>
                            <w:p>
                              <w:pPr>
                                <w:spacing w:before="188"/>
                                <w:ind w:left="277" w:right="0" w:firstLine="0"/>
                                <w:jc w:val="left"/>
                                <w:rPr>
                                  <w:sz w:val="30"/>
                                </w:rPr>
                              </w:pPr>
                              <w:r>
                                <w:rPr>
                                  <w:color w:val="105C84"/>
                                  <w:spacing w:val="-2"/>
                                  <w:sz w:val="30"/>
                                </w:rPr>
                                <w:t>Legend</w:t>
                              </w:r>
                            </w:p>
                            <w:p>
                              <w:pPr>
                                <w:spacing w:before="301"/>
                                <w:ind w:left="262" w:right="0" w:firstLine="0"/>
                                <w:jc w:val="left"/>
                                <w:rPr>
                                  <w:sz w:val="20"/>
                                </w:rPr>
                              </w:pPr>
                              <w:r>
                                <w:rPr>
                                  <w:color w:val="6D6E71"/>
                                  <w:spacing w:val="-2"/>
                                  <w:sz w:val="20"/>
                                </w:rPr>
                                <w:t>POVERTY</w:t>
                              </w:r>
                            </w:p>
                            <w:p>
                              <w:pPr>
                                <w:spacing w:before="218"/>
                                <w:ind w:left="1054" w:right="0" w:firstLine="0"/>
                                <w:jc w:val="left"/>
                                <w:rPr>
                                  <w:sz w:val="20"/>
                                </w:rPr>
                              </w:pPr>
                              <w:r>
                                <w:rPr>
                                  <w:color w:val="6D6E71"/>
                                  <w:sz w:val="20"/>
                                </w:rPr>
                                <w:t>less</w:t>
                              </w:r>
                              <w:r>
                                <w:rPr>
                                  <w:color w:val="6D6E71"/>
                                  <w:spacing w:val="-5"/>
                                  <w:sz w:val="20"/>
                                </w:rPr>
                                <w:t> </w:t>
                              </w:r>
                              <w:r>
                                <w:rPr>
                                  <w:color w:val="6D6E71"/>
                                  <w:sz w:val="20"/>
                                </w:rPr>
                                <w:t>than</w:t>
                              </w:r>
                              <w:r>
                                <w:rPr>
                                  <w:color w:val="6D6E71"/>
                                  <w:spacing w:val="-4"/>
                                  <w:sz w:val="20"/>
                                </w:rPr>
                                <w:t> </w:t>
                              </w:r>
                              <w:r>
                                <w:rPr>
                                  <w:color w:val="6D6E71"/>
                                  <w:spacing w:val="-5"/>
                                  <w:sz w:val="20"/>
                                </w:rPr>
                                <w:t>10%</w:t>
                              </w:r>
                            </w:p>
                            <w:p>
                              <w:pPr>
                                <w:spacing w:before="180"/>
                                <w:ind w:left="1054" w:right="0" w:firstLine="0"/>
                                <w:jc w:val="left"/>
                                <w:rPr>
                                  <w:sz w:val="20"/>
                                </w:rPr>
                              </w:pPr>
                              <w:r>
                                <w:rPr>
                                  <w:color w:val="6D6E71"/>
                                  <w:sz w:val="20"/>
                                </w:rPr>
                                <w:t>10-</w:t>
                              </w:r>
                              <w:r>
                                <w:rPr>
                                  <w:color w:val="6D6E71"/>
                                  <w:spacing w:val="-5"/>
                                  <w:sz w:val="20"/>
                                </w:rPr>
                                <w:t>15%</w:t>
                              </w:r>
                            </w:p>
                            <w:p>
                              <w:pPr>
                                <w:spacing w:before="180"/>
                                <w:ind w:left="1054" w:right="0" w:firstLine="0"/>
                                <w:jc w:val="left"/>
                                <w:rPr>
                                  <w:sz w:val="20"/>
                                </w:rPr>
                              </w:pPr>
                              <w:r>
                                <w:rPr>
                                  <w:color w:val="6D6E71"/>
                                  <w:sz w:val="20"/>
                                </w:rPr>
                                <w:t>15-</w:t>
                              </w:r>
                              <w:r>
                                <w:rPr>
                                  <w:color w:val="6D6E71"/>
                                  <w:spacing w:val="-5"/>
                                  <w:sz w:val="20"/>
                                </w:rPr>
                                <w:t>20%</w:t>
                              </w:r>
                            </w:p>
                            <w:p>
                              <w:pPr>
                                <w:spacing w:before="180"/>
                                <w:ind w:left="1054" w:right="0" w:firstLine="0"/>
                                <w:jc w:val="left"/>
                                <w:rPr>
                                  <w:sz w:val="20"/>
                                </w:rPr>
                              </w:pPr>
                              <w:r>
                                <w:rPr>
                                  <w:color w:val="6D6E71"/>
                                  <w:sz w:val="20"/>
                                </w:rPr>
                                <w:t>20-</w:t>
                              </w:r>
                              <w:r>
                                <w:rPr>
                                  <w:color w:val="6D6E71"/>
                                  <w:spacing w:val="-5"/>
                                  <w:sz w:val="20"/>
                                </w:rPr>
                                <w:t>25%</w:t>
                              </w:r>
                            </w:p>
                            <w:p>
                              <w:pPr>
                                <w:spacing w:before="180"/>
                                <w:ind w:left="1054" w:right="0" w:firstLine="0"/>
                                <w:jc w:val="left"/>
                                <w:rPr>
                                  <w:sz w:val="20"/>
                                </w:rPr>
                              </w:pPr>
                              <w:r>
                                <w:rPr>
                                  <w:color w:val="6D6E71"/>
                                  <w:sz w:val="20"/>
                                </w:rPr>
                                <w:t>greater</w:t>
                              </w:r>
                              <w:r>
                                <w:rPr>
                                  <w:color w:val="6D6E71"/>
                                  <w:spacing w:val="16"/>
                                  <w:sz w:val="20"/>
                                </w:rPr>
                                <w:t> </w:t>
                              </w:r>
                              <w:r>
                                <w:rPr>
                                  <w:color w:val="6D6E71"/>
                                  <w:sz w:val="20"/>
                                </w:rPr>
                                <w:t>than</w:t>
                              </w:r>
                              <w:r>
                                <w:rPr>
                                  <w:color w:val="6D6E71"/>
                                  <w:spacing w:val="16"/>
                                  <w:sz w:val="20"/>
                                </w:rPr>
                                <w:t> </w:t>
                              </w:r>
                              <w:r>
                                <w:rPr>
                                  <w:color w:val="6D6E71"/>
                                  <w:spacing w:val="-5"/>
                                  <w:sz w:val="20"/>
                                </w:rPr>
                                <w:t>25%</w:t>
                              </w:r>
                            </w:p>
                          </w:txbxContent>
                        </wps:txbx>
                        <wps:bodyPr wrap="square" lIns="0" tIns="0" rIns="0" bIns="0" rtlCol="0">
                          <a:noAutofit/>
                        </wps:bodyPr>
                      </wps:wsp>
                    </wpg:wgp>
                  </a:graphicData>
                </a:graphic>
              </wp:anchor>
            </w:drawing>
          </mc:Choice>
          <mc:Fallback>
            <w:pict>
              <v:group style="position:absolute;margin-left:390.23999pt;margin-top:14.292985pt;width:142.550pt;height:173.1pt;mso-position-horizontal-relative:page;mso-position-vertical-relative:paragraph;z-index:15786496" id="docshapegroup571" coordorigin="7805,286" coordsize="2851,3462">
                <v:rect style="position:absolute;left:8066;top:1556;width:620;height:298" id="docshape572" filled="true" fillcolor="#def0e7" stroked="false">
                  <v:fill type="solid"/>
                </v:rect>
                <v:rect style="position:absolute;left:8066;top:1955;width:620;height:298" id="docshape573" filled="true" fillcolor="#a6cfb4" stroked="false">
                  <v:fill type="solid"/>
                </v:rect>
                <v:rect style="position:absolute;left:8066;top:2364;width:620;height:298" id="docshape574" filled="true" fillcolor="#77a781" stroked="false">
                  <v:fill type="solid"/>
                </v:rect>
                <v:rect style="position:absolute;left:8066;top:2774;width:620;height:298" id="docshape575" filled="true" fillcolor="#4b8758" stroked="false">
                  <v:fill type="solid"/>
                </v:rect>
                <v:rect style="position:absolute;left:8066;top:3183;width:620;height:298" id="docshape576" filled="true" fillcolor="#236533" stroked="false">
                  <v:fill type="solid"/>
                </v:rect>
                <v:shape style="position:absolute;left:7809;top:290;width:2841;height:3452" type="#_x0000_t202" id="docshape577" filled="false" stroked="true" strokeweight=".5pt" strokecolor="#636366">
                  <v:textbox inset="0,0,0,0">
                    <w:txbxContent>
                      <w:p>
                        <w:pPr>
                          <w:spacing w:before="188"/>
                          <w:ind w:left="277" w:right="0" w:firstLine="0"/>
                          <w:jc w:val="left"/>
                          <w:rPr>
                            <w:sz w:val="30"/>
                          </w:rPr>
                        </w:pPr>
                        <w:r>
                          <w:rPr>
                            <w:color w:val="105C84"/>
                            <w:spacing w:val="-2"/>
                            <w:sz w:val="30"/>
                          </w:rPr>
                          <w:t>Legend</w:t>
                        </w:r>
                      </w:p>
                      <w:p>
                        <w:pPr>
                          <w:spacing w:before="301"/>
                          <w:ind w:left="262" w:right="0" w:firstLine="0"/>
                          <w:jc w:val="left"/>
                          <w:rPr>
                            <w:sz w:val="20"/>
                          </w:rPr>
                        </w:pPr>
                        <w:r>
                          <w:rPr>
                            <w:color w:val="6D6E71"/>
                            <w:spacing w:val="-2"/>
                            <w:sz w:val="20"/>
                          </w:rPr>
                          <w:t>POVERTY</w:t>
                        </w:r>
                      </w:p>
                      <w:p>
                        <w:pPr>
                          <w:spacing w:before="218"/>
                          <w:ind w:left="1054" w:right="0" w:firstLine="0"/>
                          <w:jc w:val="left"/>
                          <w:rPr>
                            <w:sz w:val="20"/>
                          </w:rPr>
                        </w:pPr>
                        <w:r>
                          <w:rPr>
                            <w:color w:val="6D6E71"/>
                            <w:sz w:val="20"/>
                          </w:rPr>
                          <w:t>less</w:t>
                        </w:r>
                        <w:r>
                          <w:rPr>
                            <w:color w:val="6D6E71"/>
                            <w:spacing w:val="-5"/>
                            <w:sz w:val="20"/>
                          </w:rPr>
                          <w:t> </w:t>
                        </w:r>
                        <w:r>
                          <w:rPr>
                            <w:color w:val="6D6E71"/>
                            <w:sz w:val="20"/>
                          </w:rPr>
                          <w:t>than</w:t>
                        </w:r>
                        <w:r>
                          <w:rPr>
                            <w:color w:val="6D6E71"/>
                            <w:spacing w:val="-4"/>
                            <w:sz w:val="20"/>
                          </w:rPr>
                          <w:t> </w:t>
                        </w:r>
                        <w:r>
                          <w:rPr>
                            <w:color w:val="6D6E71"/>
                            <w:spacing w:val="-5"/>
                            <w:sz w:val="20"/>
                          </w:rPr>
                          <w:t>10%</w:t>
                        </w:r>
                      </w:p>
                      <w:p>
                        <w:pPr>
                          <w:spacing w:before="180"/>
                          <w:ind w:left="1054" w:right="0" w:firstLine="0"/>
                          <w:jc w:val="left"/>
                          <w:rPr>
                            <w:sz w:val="20"/>
                          </w:rPr>
                        </w:pPr>
                        <w:r>
                          <w:rPr>
                            <w:color w:val="6D6E71"/>
                            <w:sz w:val="20"/>
                          </w:rPr>
                          <w:t>10-</w:t>
                        </w:r>
                        <w:r>
                          <w:rPr>
                            <w:color w:val="6D6E71"/>
                            <w:spacing w:val="-5"/>
                            <w:sz w:val="20"/>
                          </w:rPr>
                          <w:t>15%</w:t>
                        </w:r>
                      </w:p>
                      <w:p>
                        <w:pPr>
                          <w:spacing w:before="180"/>
                          <w:ind w:left="1054" w:right="0" w:firstLine="0"/>
                          <w:jc w:val="left"/>
                          <w:rPr>
                            <w:sz w:val="20"/>
                          </w:rPr>
                        </w:pPr>
                        <w:r>
                          <w:rPr>
                            <w:color w:val="6D6E71"/>
                            <w:sz w:val="20"/>
                          </w:rPr>
                          <w:t>15-</w:t>
                        </w:r>
                        <w:r>
                          <w:rPr>
                            <w:color w:val="6D6E71"/>
                            <w:spacing w:val="-5"/>
                            <w:sz w:val="20"/>
                          </w:rPr>
                          <w:t>20%</w:t>
                        </w:r>
                      </w:p>
                      <w:p>
                        <w:pPr>
                          <w:spacing w:before="180"/>
                          <w:ind w:left="1054" w:right="0" w:firstLine="0"/>
                          <w:jc w:val="left"/>
                          <w:rPr>
                            <w:sz w:val="20"/>
                          </w:rPr>
                        </w:pPr>
                        <w:r>
                          <w:rPr>
                            <w:color w:val="6D6E71"/>
                            <w:sz w:val="20"/>
                          </w:rPr>
                          <w:t>20-</w:t>
                        </w:r>
                        <w:r>
                          <w:rPr>
                            <w:color w:val="6D6E71"/>
                            <w:spacing w:val="-5"/>
                            <w:sz w:val="20"/>
                          </w:rPr>
                          <w:t>25%</w:t>
                        </w:r>
                      </w:p>
                      <w:p>
                        <w:pPr>
                          <w:spacing w:before="180"/>
                          <w:ind w:left="1054" w:right="0" w:firstLine="0"/>
                          <w:jc w:val="left"/>
                          <w:rPr>
                            <w:sz w:val="20"/>
                          </w:rPr>
                        </w:pPr>
                        <w:r>
                          <w:rPr>
                            <w:color w:val="6D6E71"/>
                            <w:sz w:val="20"/>
                          </w:rPr>
                          <w:t>greater</w:t>
                        </w:r>
                        <w:r>
                          <w:rPr>
                            <w:color w:val="6D6E71"/>
                            <w:spacing w:val="16"/>
                            <w:sz w:val="20"/>
                          </w:rPr>
                          <w:t> </w:t>
                        </w:r>
                        <w:r>
                          <w:rPr>
                            <w:color w:val="6D6E71"/>
                            <w:sz w:val="20"/>
                          </w:rPr>
                          <w:t>than</w:t>
                        </w:r>
                        <w:r>
                          <w:rPr>
                            <w:color w:val="6D6E71"/>
                            <w:spacing w:val="16"/>
                            <w:sz w:val="20"/>
                          </w:rPr>
                          <w:t> </w:t>
                        </w:r>
                        <w:r>
                          <w:rPr>
                            <w:color w:val="6D6E71"/>
                            <w:spacing w:val="-5"/>
                            <w:sz w:val="20"/>
                          </w:rPr>
                          <w:t>25%</w:t>
                        </w:r>
                      </w:p>
                    </w:txbxContent>
                  </v:textbox>
                  <v:stroke dashstyle="solid"/>
                  <w10:wrap type="none"/>
                </v:shape>
                <w10:wrap type="none"/>
              </v:group>
            </w:pict>
          </mc:Fallback>
        </mc:AlternateContent>
      </w:r>
      <w:r>
        <w:rPr>
          <w:color w:val="105C84"/>
        </w:rPr>
        <w:t>Data below show the trend in uninsured rates over the past 5 years, which has decreased 33% since 2012 in Livingston County (Figure 22). Of note, uninsured rates in Livingston County are lower than both the eight county and NYS averages.</w:t>
      </w:r>
    </w:p>
    <w:p>
      <w:pPr>
        <w:pStyle w:val="BodyText"/>
        <w:spacing w:before="18"/>
      </w:pPr>
    </w:p>
    <w:p>
      <w:pPr>
        <w:pStyle w:val="Heading6"/>
        <w:ind w:left="13320"/>
      </w:pPr>
      <w:r>
        <w:rPr>
          <w:color w:val="105C84"/>
          <w:spacing w:val="-2"/>
        </w:rPr>
        <w:t>FIGURE</w:t>
      </w:r>
      <w:r>
        <w:rPr>
          <w:color w:val="105C84"/>
          <w:spacing w:val="-10"/>
        </w:rPr>
        <w:t> </w:t>
      </w:r>
      <w:r>
        <w:rPr>
          <w:color w:val="105C84"/>
          <w:spacing w:val="-2"/>
        </w:rPr>
        <w:t>22:</w:t>
      </w:r>
      <w:r>
        <w:rPr>
          <w:color w:val="105C84"/>
          <w:spacing w:val="-10"/>
        </w:rPr>
        <w:t> </w:t>
      </w:r>
      <w:r>
        <w:rPr>
          <w:color w:val="105C84"/>
          <w:spacing w:val="-2"/>
        </w:rPr>
        <w:t>Percent</w:t>
      </w:r>
      <w:r>
        <w:rPr>
          <w:color w:val="105C84"/>
          <w:spacing w:val="-10"/>
        </w:rPr>
        <w:t> </w:t>
      </w:r>
      <w:r>
        <w:rPr>
          <w:color w:val="105C84"/>
          <w:spacing w:val="-2"/>
        </w:rPr>
        <w:t>of</w:t>
      </w:r>
      <w:r>
        <w:rPr>
          <w:color w:val="105C84"/>
          <w:spacing w:val="-10"/>
        </w:rPr>
        <w:t> </w:t>
      </w:r>
      <w:r>
        <w:rPr>
          <w:color w:val="105C84"/>
          <w:spacing w:val="-2"/>
        </w:rPr>
        <w:t>population</w:t>
      </w:r>
      <w:r>
        <w:rPr>
          <w:color w:val="105C84"/>
          <w:spacing w:val="-10"/>
        </w:rPr>
        <w:t> </w:t>
      </w:r>
      <w:r>
        <w:rPr>
          <w:color w:val="105C84"/>
          <w:spacing w:val="-2"/>
        </w:rPr>
        <w:t>that</w:t>
      </w:r>
      <w:r>
        <w:rPr>
          <w:color w:val="105C84"/>
          <w:spacing w:val="-10"/>
        </w:rPr>
        <w:t> </w:t>
      </w:r>
      <w:r>
        <w:rPr>
          <w:color w:val="105C84"/>
          <w:spacing w:val="-2"/>
        </w:rPr>
        <w:t>is</w:t>
      </w:r>
      <w:r>
        <w:rPr>
          <w:color w:val="105C84"/>
          <w:spacing w:val="-9"/>
        </w:rPr>
        <w:t> </w:t>
      </w:r>
      <w:r>
        <w:rPr>
          <w:color w:val="105C84"/>
          <w:spacing w:val="-2"/>
        </w:rPr>
        <w:t>uninsured</w:t>
      </w:r>
    </w:p>
    <w:p>
      <w:pPr>
        <w:tabs>
          <w:tab w:pos="17735" w:val="left" w:leader="none"/>
          <w:tab w:pos="19570" w:val="left" w:leader="none"/>
        </w:tabs>
        <w:spacing w:before="298"/>
        <w:ind w:left="15213" w:right="0" w:firstLine="0"/>
        <w:jc w:val="left"/>
        <w:rPr>
          <w:sz w:val="18"/>
        </w:rPr>
      </w:pPr>
      <w:r>
        <w:rPr>
          <w:sz w:val="18"/>
        </w:rPr>
        <mc:AlternateContent>
          <mc:Choice Requires="wps">
            <w:drawing>
              <wp:anchor distT="0" distB="0" distL="0" distR="0" allowOverlap="1" layoutInCell="1" locked="0" behindDoc="0" simplePos="0" relativeHeight="15787520">
                <wp:simplePos x="0" y="0"/>
                <wp:positionH relativeFrom="page">
                  <wp:posOffset>9303116</wp:posOffset>
                </wp:positionH>
                <wp:positionV relativeFrom="paragraph">
                  <wp:posOffset>258349</wp:posOffset>
                </wp:positionV>
                <wp:extent cx="317500" cy="1270"/>
                <wp:effectExtent l="0" t="0" r="0" b="0"/>
                <wp:wrapNone/>
                <wp:docPr id="669" name="Graphic 669"/>
                <wp:cNvGraphicFramePr>
                  <a:graphicFrameLocks/>
                </wp:cNvGraphicFramePr>
                <a:graphic>
                  <a:graphicData uri="http://schemas.microsoft.com/office/word/2010/wordprocessingShape">
                    <wps:wsp>
                      <wps:cNvPr id="669" name="Graphic 669"/>
                      <wps:cNvSpPr/>
                      <wps:spPr>
                        <a:xfrm>
                          <a:off x="0" y="0"/>
                          <a:ext cx="317500" cy="1270"/>
                        </a:xfrm>
                        <a:custGeom>
                          <a:avLst/>
                          <a:gdLst/>
                          <a:ahLst/>
                          <a:cxnLst/>
                          <a:rect l="l" t="t" r="r" b="b"/>
                          <a:pathLst>
                            <a:path w="317500" h="0">
                              <a:moveTo>
                                <a:pt x="0" y="0"/>
                              </a:moveTo>
                              <a:lnTo>
                                <a:pt x="317500" y="0"/>
                              </a:lnTo>
                            </a:path>
                          </a:pathLst>
                        </a:custGeom>
                        <a:ln w="25400">
                          <a:solidFill>
                            <a:srgbClr val="105C84"/>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87520" from="732.52887pt,20.342449pt" to="757.52887pt,20.342449pt" stroked="true" strokeweight="2pt" strokecolor="#105c84">
                <v:stroke dashstyle="solid"/>
                <w10:wrap type="none"/>
              </v:line>
            </w:pict>
          </mc:Fallback>
        </mc:AlternateContent>
      </w:r>
      <w:r>
        <w:rPr>
          <w:sz w:val="18"/>
        </w:rPr>
        <mc:AlternateContent>
          <mc:Choice Requires="wps">
            <w:drawing>
              <wp:anchor distT="0" distB="0" distL="0" distR="0" allowOverlap="1" layoutInCell="1" locked="0" behindDoc="1" simplePos="0" relativeHeight="475014656">
                <wp:simplePos x="0" y="0"/>
                <wp:positionH relativeFrom="page">
                  <wp:posOffset>10903316</wp:posOffset>
                </wp:positionH>
                <wp:positionV relativeFrom="paragraph">
                  <wp:posOffset>258349</wp:posOffset>
                </wp:positionV>
                <wp:extent cx="317500" cy="1270"/>
                <wp:effectExtent l="0" t="0" r="0" b="0"/>
                <wp:wrapNone/>
                <wp:docPr id="670" name="Graphic 670"/>
                <wp:cNvGraphicFramePr>
                  <a:graphicFrameLocks/>
                </wp:cNvGraphicFramePr>
                <a:graphic>
                  <a:graphicData uri="http://schemas.microsoft.com/office/word/2010/wordprocessingShape">
                    <wps:wsp>
                      <wps:cNvPr id="670" name="Graphic 670"/>
                      <wps:cNvSpPr/>
                      <wps:spPr>
                        <a:xfrm>
                          <a:off x="0" y="0"/>
                          <a:ext cx="317500" cy="1270"/>
                        </a:xfrm>
                        <a:custGeom>
                          <a:avLst/>
                          <a:gdLst/>
                          <a:ahLst/>
                          <a:cxnLst/>
                          <a:rect l="l" t="t" r="r" b="b"/>
                          <a:pathLst>
                            <a:path w="317500" h="0">
                              <a:moveTo>
                                <a:pt x="0" y="0"/>
                              </a:moveTo>
                              <a:lnTo>
                                <a:pt x="317500" y="0"/>
                              </a:lnTo>
                            </a:path>
                          </a:pathLst>
                        </a:custGeom>
                        <a:ln w="25400">
                          <a:solidFill>
                            <a:srgbClr val="82BF6A"/>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8301824" from="858.52887pt,20.342449pt" to="883.52887pt,20.342449pt" stroked="true" strokeweight="2pt" strokecolor="#82bf6a">
                <v:stroke dashstyle="solid"/>
                <w10:wrap type="none"/>
              </v:line>
            </w:pict>
          </mc:Fallback>
        </mc:AlternateContent>
      </w:r>
      <w:r>
        <w:rPr>
          <w:color w:val="636466"/>
          <w:sz w:val="18"/>
        </w:rPr>
        <w:t>Livingston</w:t>
      </w:r>
      <w:r>
        <w:rPr>
          <w:color w:val="636466"/>
          <w:spacing w:val="-4"/>
          <w:sz w:val="18"/>
        </w:rPr>
        <w:t> </w:t>
      </w:r>
      <w:r>
        <w:rPr>
          <w:color w:val="636466"/>
          <w:spacing w:val="-2"/>
          <w:sz w:val="18"/>
        </w:rPr>
        <w:t>County</w:t>
      </w:r>
      <w:r>
        <w:rPr>
          <w:color w:val="636466"/>
          <w:sz w:val="18"/>
        </w:rPr>
        <w:tab/>
        <w:t>8-County</w:t>
      </w:r>
      <w:r>
        <w:rPr>
          <w:color w:val="636466"/>
          <w:spacing w:val="-4"/>
          <w:sz w:val="18"/>
        </w:rPr>
        <w:t> </w:t>
      </w:r>
      <w:r>
        <w:rPr>
          <w:color w:val="636466"/>
          <w:spacing w:val="-2"/>
          <w:sz w:val="18"/>
        </w:rPr>
        <w:t>Region</w:t>
      </w:r>
      <w:r>
        <w:rPr>
          <w:color w:val="636466"/>
          <w:sz w:val="18"/>
        </w:rPr>
        <w:tab/>
      </w:r>
      <w:r>
        <w:rPr>
          <w:color w:val="636466"/>
          <w:position w:val="4"/>
          <w:sz w:val="18"/>
        </w:rPr>
        <w:drawing>
          <wp:inline distT="0" distB="0" distL="0" distR="0">
            <wp:extent cx="279400" cy="25400"/>
            <wp:effectExtent l="0" t="0" r="0" b="0"/>
            <wp:docPr id="671" name="Image 671"/>
            <wp:cNvGraphicFramePr>
              <a:graphicFrameLocks/>
            </wp:cNvGraphicFramePr>
            <a:graphic>
              <a:graphicData uri="http://schemas.openxmlformats.org/drawingml/2006/picture">
                <pic:pic>
                  <pic:nvPicPr>
                    <pic:cNvPr id="671" name="Image 671"/>
                    <pic:cNvPicPr/>
                  </pic:nvPicPr>
                  <pic:blipFill>
                    <a:blip r:embed="rId106" cstate="print"/>
                    <a:stretch>
                      <a:fillRect/>
                    </a:stretch>
                  </pic:blipFill>
                  <pic:spPr>
                    <a:xfrm>
                      <a:off x="0" y="0"/>
                      <a:ext cx="279400" cy="25400"/>
                    </a:xfrm>
                    <a:prstGeom prst="rect">
                      <a:avLst/>
                    </a:prstGeom>
                  </pic:spPr>
                </pic:pic>
              </a:graphicData>
            </a:graphic>
          </wp:inline>
        </w:drawing>
      </w:r>
      <w:r>
        <w:rPr>
          <w:color w:val="636466"/>
          <w:position w:val="4"/>
          <w:sz w:val="18"/>
        </w:rPr>
      </w:r>
      <w:r>
        <w:rPr>
          <w:rFonts w:ascii="Times New Roman"/>
          <w:color w:val="636466"/>
          <w:spacing w:val="80"/>
          <w:sz w:val="18"/>
        </w:rPr>
        <w:t> </w:t>
      </w:r>
      <w:r>
        <w:rPr>
          <w:color w:val="636466"/>
          <w:sz w:val="18"/>
        </w:rPr>
        <w:t>NYS</w:t>
      </w:r>
    </w:p>
    <w:p>
      <w:pPr>
        <w:pStyle w:val="BodyText"/>
        <w:spacing w:before="13"/>
        <w:rPr>
          <w:sz w:val="20"/>
        </w:rPr>
      </w:pPr>
    </w:p>
    <w:p>
      <w:pPr>
        <w:pStyle w:val="BodyText"/>
        <w:spacing w:after="0"/>
        <w:rPr>
          <w:sz w:val="20"/>
        </w:rPr>
        <w:sectPr>
          <w:type w:val="continuous"/>
          <w:pgSz w:w="24480" w:h="15840" w:orient="landscape"/>
          <w:pgMar w:header="0" w:footer="0" w:top="0" w:bottom="280" w:left="0" w:right="720"/>
        </w:sectPr>
      </w:pPr>
    </w:p>
    <w:p>
      <w:pPr>
        <w:spacing w:before="100"/>
        <w:ind w:left="0" w:right="0" w:firstLine="0"/>
        <w:jc w:val="right"/>
        <w:rPr>
          <w:sz w:val="18"/>
        </w:rPr>
      </w:pPr>
      <w:r>
        <w:rPr>
          <w:color w:val="636466"/>
          <w:spacing w:val="-5"/>
          <w:sz w:val="18"/>
        </w:rPr>
        <w:t>16%</w:t>
      </w:r>
    </w:p>
    <w:p>
      <w:pPr>
        <w:spacing w:before="78"/>
        <w:ind w:left="0" w:right="0" w:firstLine="0"/>
        <w:jc w:val="right"/>
        <w:rPr>
          <w:sz w:val="18"/>
        </w:rPr>
      </w:pPr>
      <w:r>
        <w:rPr>
          <w:sz w:val="18"/>
        </w:rPr>
        <mc:AlternateContent>
          <mc:Choice Requires="wps">
            <w:drawing>
              <wp:anchor distT="0" distB="0" distL="0" distR="0" allowOverlap="1" layoutInCell="1" locked="0" behindDoc="0" simplePos="0" relativeHeight="15788544">
                <wp:simplePos x="0" y="0"/>
                <wp:positionH relativeFrom="page">
                  <wp:posOffset>8452367</wp:posOffset>
                </wp:positionH>
                <wp:positionV relativeFrom="paragraph">
                  <wp:posOffset>74925</wp:posOffset>
                </wp:positionV>
                <wp:extent cx="146050" cy="1002665"/>
                <wp:effectExtent l="0" t="0" r="0" b="0"/>
                <wp:wrapNone/>
                <wp:docPr id="672" name="Textbox 672"/>
                <wp:cNvGraphicFramePr>
                  <a:graphicFrameLocks/>
                </wp:cNvGraphicFramePr>
                <a:graphic>
                  <a:graphicData uri="http://schemas.microsoft.com/office/word/2010/wordprocessingShape">
                    <wps:wsp>
                      <wps:cNvPr id="672" name="Textbox 672"/>
                      <wps:cNvSpPr txBox="1"/>
                      <wps:spPr>
                        <a:xfrm>
                          <a:off x="0" y="0"/>
                          <a:ext cx="146050" cy="1002665"/>
                        </a:xfrm>
                        <a:prstGeom prst="rect">
                          <a:avLst/>
                        </a:prstGeom>
                      </wps:spPr>
                      <wps:txbx>
                        <w:txbxContent>
                          <w:p>
                            <w:pPr>
                              <w:spacing w:before="19"/>
                              <w:ind w:left="20" w:right="0" w:firstLine="0"/>
                              <w:jc w:val="left"/>
                              <w:rPr>
                                <w:sz w:val="16"/>
                              </w:rPr>
                            </w:pPr>
                            <w:r>
                              <w:rPr>
                                <w:color w:val="105C84"/>
                                <w:sz w:val="16"/>
                              </w:rPr>
                              <w:t>Percent</w:t>
                            </w:r>
                            <w:r>
                              <w:rPr>
                                <w:color w:val="105C84"/>
                                <w:spacing w:val="-5"/>
                                <w:sz w:val="16"/>
                              </w:rPr>
                              <w:t> </w:t>
                            </w:r>
                            <w:r>
                              <w:rPr>
                                <w:color w:val="105C84"/>
                                <w:sz w:val="16"/>
                              </w:rPr>
                              <w:t>of</w:t>
                            </w:r>
                            <w:r>
                              <w:rPr>
                                <w:color w:val="105C84"/>
                                <w:spacing w:val="-5"/>
                                <w:sz w:val="16"/>
                              </w:rPr>
                              <w:t> </w:t>
                            </w:r>
                            <w:r>
                              <w:rPr>
                                <w:color w:val="105C84"/>
                                <w:spacing w:val="-2"/>
                                <w:sz w:val="16"/>
                              </w:rPr>
                              <w:t>Population</w:t>
                            </w:r>
                          </w:p>
                        </w:txbxContent>
                      </wps:txbx>
                      <wps:bodyPr wrap="square" lIns="0" tIns="0" rIns="0" bIns="0" rtlCol="0" vert="vert270">
                        <a:noAutofit/>
                      </wps:bodyPr>
                    </wps:wsp>
                  </a:graphicData>
                </a:graphic>
              </wp:anchor>
            </w:drawing>
          </mc:Choice>
          <mc:Fallback>
            <w:pict>
              <v:shape style="position:absolute;margin-left:665.54071pt;margin-top:5.899679pt;width:11.5pt;height:78.95pt;mso-position-horizontal-relative:page;mso-position-vertical-relative:paragraph;z-index:15788544" type="#_x0000_t202" id="docshape578" filled="false" stroked="false">
                <v:textbox inset="0,0,0,0" style="layout-flow:vertical;mso-layout-flow-alt:bottom-to-top">
                  <w:txbxContent>
                    <w:p>
                      <w:pPr>
                        <w:spacing w:before="19"/>
                        <w:ind w:left="20" w:right="0" w:firstLine="0"/>
                        <w:jc w:val="left"/>
                        <w:rPr>
                          <w:sz w:val="16"/>
                        </w:rPr>
                      </w:pPr>
                      <w:r>
                        <w:rPr>
                          <w:color w:val="105C84"/>
                          <w:sz w:val="16"/>
                        </w:rPr>
                        <w:t>Percent</w:t>
                      </w:r>
                      <w:r>
                        <w:rPr>
                          <w:color w:val="105C84"/>
                          <w:spacing w:val="-5"/>
                          <w:sz w:val="16"/>
                        </w:rPr>
                        <w:t> </w:t>
                      </w:r>
                      <w:r>
                        <w:rPr>
                          <w:color w:val="105C84"/>
                          <w:sz w:val="16"/>
                        </w:rPr>
                        <w:t>of</w:t>
                      </w:r>
                      <w:r>
                        <w:rPr>
                          <w:color w:val="105C84"/>
                          <w:spacing w:val="-5"/>
                          <w:sz w:val="16"/>
                        </w:rPr>
                        <w:t> </w:t>
                      </w:r>
                      <w:r>
                        <w:rPr>
                          <w:color w:val="105C84"/>
                          <w:spacing w:val="-2"/>
                          <w:sz w:val="16"/>
                        </w:rPr>
                        <w:t>Population</w:t>
                      </w:r>
                    </w:p>
                  </w:txbxContent>
                </v:textbox>
                <w10:wrap type="none"/>
              </v:shape>
            </w:pict>
          </mc:Fallback>
        </mc:AlternateContent>
      </w:r>
      <w:r>
        <w:rPr>
          <w:color w:val="636466"/>
          <w:spacing w:val="-5"/>
          <w:sz w:val="18"/>
        </w:rPr>
        <w:t>14%</w:t>
      </w:r>
    </w:p>
    <w:p>
      <w:pPr>
        <w:spacing w:before="63"/>
        <w:ind w:left="0" w:right="0" w:firstLine="0"/>
        <w:jc w:val="right"/>
        <w:rPr>
          <w:sz w:val="18"/>
        </w:rPr>
      </w:pPr>
      <w:r>
        <w:rPr>
          <w:color w:val="636466"/>
          <w:spacing w:val="-5"/>
          <w:sz w:val="18"/>
        </w:rPr>
        <w:t>12%</w:t>
      </w:r>
    </w:p>
    <w:p>
      <w:pPr>
        <w:spacing w:before="78"/>
        <w:ind w:left="0" w:right="0" w:firstLine="0"/>
        <w:jc w:val="right"/>
        <w:rPr>
          <w:sz w:val="18"/>
        </w:rPr>
      </w:pPr>
      <w:r>
        <w:rPr>
          <w:color w:val="636466"/>
          <w:spacing w:val="-5"/>
          <w:sz w:val="18"/>
        </w:rPr>
        <w:t>10%</w:t>
      </w:r>
    </w:p>
    <w:p>
      <w:pPr>
        <w:spacing w:before="78"/>
        <w:ind w:left="0" w:right="0" w:firstLine="0"/>
        <w:jc w:val="right"/>
        <w:rPr>
          <w:sz w:val="18"/>
        </w:rPr>
      </w:pPr>
      <w:r>
        <w:rPr>
          <w:color w:val="636466"/>
          <w:spacing w:val="-5"/>
          <w:sz w:val="18"/>
        </w:rPr>
        <w:t>8%</w:t>
      </w:r>
    </w:p>
    <w:p>
      <w:pPr>
        <w:spacing w:before="78"/>
        <w:ind w:left="0" w:right="0" w:firstLine="0"/>
        <w:jc w:val="right"/>
        <w:rPr>
          <w:sz w:val="18"/>
        </w:rPr>
      </w:pPr>
      <w:r>
        <w:rPr>
          <w:color w:val="636466"/>
          <w:spacing w:val="-5"/>
          <w:sz w:val="18"/>
        </w:rPr>
        <w:t>6%</w:t>
      </w:r>
    </w:p>
    <w:p>
      <w:pPr>
        <w:spacing w:before="78"/>
        <w:ind w:left="0" w:right="0" w:firstLine="0"/>
        <w:jc w:val="right"/>
        <w:rPr>
          <w:sz w:val="18"/>
        </w:rPr>
      </w:pPr>
      <w:r>
        <w:rPr>
          <w:color w:val="636466"/>
          <w:spacing w:val="-5"/>
          <w:sz w:val="18"/>
        </w:rPr>
        <w:t>4%</w:t>
      </w:r>
    </w:p>
    <w:p>
      <w:pPr>
        <w:spacing w:before="78"/>
        <w:ind w:left="0" w:right="0" w:firstLine="0"/>
        <w:jc w:val="right"/>
        <w:rPr>
          <w:sz w:val="18"/>
        </w:rPr>
      </w:pPr>
      <w:r>
        <w:rPr>
          <w:color w:val="636466"/>
          <w:spacing w:val="-5"/>
          <w:sz w:val="18"/>
        </w:rPr>
        <w:t>2%</w:t>
      </w:r>
    </w:p>
    <w:p>
      <w:pPr>
        <w:spacing w:before="78"/>
        <w:ind w:left="0" w:right="0" w:firstLine="0"/>
        <w:jc w:val="right"/>
        <w:rPr>
          <w:sz w:val="18"/>
        </w:rPr>
      </w:pPr>
      <w:r>
        <w:rPr>
          <w:color w:val="636466"/>
          <w:spacing w:val="-5"/>
          <w:sz w:val="18"/>
        </w:rPr>
        <w:t>0%</w:t>
      </w:r>
    </w:p>
    <w:p>
      <w:pPr>
        <w:pStyle w:val="BodyText"/>
        <w:spacing w:before="3" w:after="25"/>
        <w:rPr>
          <w:sz w:val="12"/>
        </w:rPr>
      </w:pPr>
      <w:r>
        <w:rPr/>
        <w:br w:type="column"/>
      </w:r>
      <w:r>
        <w:rPr>
          <w:sz w:val="12"/>
        </w:rPr>
      </w:r>
    </w:p>
    <w:p>
      <w:pPr>
        <w:spacing w:line="240" w:lineRule="auto"/>
        <w:ind w:left="41" w:right="0" w:firstLine="0"/>
        <w:rPr>
          <w:sz w:val="20"/>
        </w:rPr>
      </w:pPr>
      <w:r>
        <w:rPr>
          <w:sz w:val="20"/>
        </w:rPr>
        <mc:AlternateContent>
          <mc:Choice Requires="wps">
            <w:drawing>
              <wp:inline distT="0" distB="0" distL="0" distR="0">
                <wp:extent cx="4672330" cy="1475740"/>
                <wp:effectExtent l="9525" t="0" r="0" b="634"/>
                <wp:docPr id="673" name="Group 673"/>
                <wp:cNvGraphicFramePr>
                  <a:graphicFrameLocks/>
                </wp:cNvGraphicFramePr>
                <a:graphic>
                  <a:graphicData uri="http://schemas.microsoft.com/office/word/2010/wordprocessingGroup">
                    <wpg:wgp>
                      <wpg:cNvPr id="673" name="Group 673"/>
                      <wpg:cNvGrpSpPr/>
                      <wpg:grpSpPr>
                        <a:xfrm>
                          <a:off x="0" y="0"/>
                          <a:ext cx="4672330" cy="1475740"/>
                          <a:chExt cx="4672330" cy="1475740"/>
                        </a:xfrm>
                      </wpg:grpSpPr>
                      <wps:wsp>
                        <wps:cNvPr id="674" name="Graphic 674"/>
                        <wps:cNvSpPr/>
                        <wps:spPr>
                          <a:xfrm>
                            <a:off x="5499" y="5499"/>
                            <a:ext cx="4660900" cy="1464945"/>
                          </a:xfrm>
                          <a:custGeom>
                            <a:avLst/>
                            <a:gdLst/>
                            <a:ahLst/>
                            <a:cxnLst/>
                            <a:rect l="l" t="t" r="r" b="b"/>
                            <a:pathLst>
                              <a:path w="4660900" h="1464945">
                                <a:moveTo>
                                  <a:pt x="4660747" y="1464525"/>
                                </a:moveTo>
                                <a:lnTo>
                                  <a:pt x="0" y="1464525"/>
                                </a:lnTo>
                                <a:lnTo>
                                  <a:pt x="0" y="0"/>
                                </a:lnTo>
                              </a:path>
                            </a:pathLst>
                          </a:custGeom>
                          <a:ln w="10998">
                            <a:solidFill>
                              <a:srgbClr val="BCBEC0"/>
                            </a:solidFill>
                            <a:prstDash val="solid"/>
                          </a:ln>
                        </wps:spPr>
                        <wps:bodyPr wrap="square" lIns="0" tIns="0" rIns="0" bIns="0" rtlCol="0">
                          <a:prstTxWarp prst="textNoShape">
                            <a:avLst/>
                          </a:prstTxWarp>
                          <a:noAutofit/>
                        </wps:bodyPr>
                      </wps:wsp>
                      <wps:wsp>
                        <wps:cNvPr id="675" name="Graphic 675"/>
                        <wps:cNvSpPr/>
                        <wps:spPr>
                          <a:xfrm>
                            <a:off x="418247" y="855662"/>
                            <a:ext cx="4039235" cy="228600"/>
                          </a:xfrm>
                          <a:custGeom>
                            <a:avLst/>
                            <a:gdLst/>
                            <a:ahLst/>
                            <a:cxnLst/>
                            <a:rect l="l" t="t" r="r" b="b"/>
                            <a:pathLst>
                              <a:path w="4039235" h="228600">
                                <a:moveTo>
                                  <a:pt x="0" y="19050"/>
                                </a:moveTo>
                                <a:lnTo>
                                  <a:pt x="800100" y="0"/>
                                </a:lnTo>
                                <a:lnTo>
                                  <a:pt x="1612900" y="66675"/>
                                </a:lnTo>
                                <a:lnTo>
                                  <a:pt x="2413012" y="85725"/>
                                </a:lnTo>
                                <a:lnTo>
                                  <a:pt x="3225812" y="142875"/>
                                </a:lnTo>
                                <a:lnTo>
                                  <a:pt x="4038612" y="228600"/>
                                </a:lnTo>
                              </a:path>
                            </a:pathLst>
                          </a:custGeom>
                          <a:ln w="21996">
                            <a:solidFill>
                              <a:srgbClr val="105C84"/>
                            </a:solidFill>
                            <a:prstDash val="solid"/>
                          </a:ln>
                        </wps:spPr>
                        <wps:bodyPr wrap="square" lIns="0" tIns="0" rIns="0" bIns="0" rtlCol="0">
                          <a:prstTxWarp prst="textNoShape">
                            <a:avLst/>
                          </a:prstTxWarp>
                          <a:noAutofit/>
                        </wps:bodyPr>
                      </wps:wsp>
                      <wps:wsp>
                        <wps:cNvPr id="676" name="Graphic 676"/>
                        <wps:cNvSpPr/>
                        <wps:spPr>
                          <a:xfrm>
                            <a:off x="418247" y="569912"/>
                            <a:ext cx="4039235" cy="276225"/>
                          </a:xfrm>
                          <a:custGeom>
                            <a:avLst/>
                            <a:gdLst/>
                            <a:ahLst/>
                            <a:cxnLst/>
                            <a:rect l="l" t="t" r="r" b="b"/>
                            <a:pathLst>
                              <a:path w="4039235" h="276225">
                                <a:moveTo>
                                  <a:pt x="0" y="0"/>
                                </a:moveTo>
                                <a:lnTo>
                                  <a:pt x="800100" y="0"/>
                                </a:lnTo>
                                <a:lnTo>
                                  <a:pt x="1612900" y="95250"/>
                                </a:lnTo>
                                <a:lnTo>
                                  <a:pt x="2413012" y="180975"/>
                                </a:lnTo>
                                <a:lnTo>
                                  <a:pt x="3225812" y="180975"/>
                                </a:lnTo>
                                <a:lnTo>
                                  <a:pt x="4038612" y="276225"/>
                                </a:lnTo>
                              </a:path>
                            </a:pathLst>
                          </a:custGeom>
                          <a:ln w="21996">
                            <a:solidFill>
                              <a:srgbClr val="82BF6A"/>
                            </a:solidFill>
                            <a:prstDash val="solid"/>
                          </a:ln>
                        </wps:spPr>
                        <wps:bodyPr wrap="square" lIns="0" tIns="0" rIns="0" bIns="0" rtlCol="0">
                          <a:prstTxWarp prst="textNoShape">
                            <a:avLst/>
                          </a:prstTxWarp>
                          <a:noAutofit/>
                        </wps:bodyPr>
                      </wps:wsp>
                      <wps:wsp>
                        <wps:cNvPr id="677" name="Graphic 677"/>
                        <wps:cNvSpPr/>
                        <wps:spPr>
                          <a:xfrm>
                            <a:off x="405547" y="112711"/>
                            <a:ext cx="3979545" cy="372745"/>
                          </a:xfrm>
                          <a:custGeom>
                            <a:avLst/>
                            <a:gdLst/>
                            <a:ahLst/>
                            <a:cxnLst/>
                            <a:rect l="l" t="t" r="r" b="b"/>
                            <a:pathLst>
                              <a:path w="3979545" h="372745">
                                <a:moveTo>
                                  <a:pt x="95923" y="0"/>
                                </a:moveTo>
                                <a:lnTo>
                                  <a:pt x="5689" y="0"/>
                                </a:lnTo>
                                <a:lnTo>
                                  <a:pt x="0" y="4267"/>
                                </a:lnTo>
                                <a:lnTo>
                                  <a:pt x="0" y="14795"/>
                                </a:lnTo>
                                <a:lnTo>
                                  <a:pt x="5689" y="19050"/>
                                </a:lnTo>
                                <a:lnTo>
                                  <a:pt x="95923" y="19050"/>
                                </a:lnTo>
                                <a:lnTo>
                                  <a:pt x="101600" y="14795"/>
                                </a:lnTo>
                                <a:lnTo>
                                  <a:pt x="101600" y="4267"/>
                                </a:lnTo>
                                <a:lnTo>
                                  <a:pt x="95923" y="0"/>
                                </a:lnTo>
                                <a:close/>
                              </a:path>
                              <a:path w="3979545" h="372745">
                                <a:moveTo>
                                  <a:pt x="273723" y="0"/>
                                </a:moveTo>
                                <a:lnTo>
                                  <a:pt x="183489" y="0"/>
                                </a:lnTo>
                                <a:lnTo>
                                  <a:pt x="177800" y="4267"/>
                                </a:lnTo>
                                <a:lnTo>
                                  <a:pt x="177800" y="14795"/>
                                </a:lnTo>
                                <a:lnTo>
                                  <a:pt x="183489" y="19050"/>
                                </a:lnTo>
                                <a:lnTo>
                                  <a:pt x="273723" y="19050"/>
                                </a:lnTo>
                                <a:lnTo>
                                  <a:pt x="279400" y="14795"/>
                                </a:lnTo>
                                <a:lnTo>
                                  <a:pt x="279400" y="4267"/>
                                </a:lnTo>
                                <a:lnTo>
                                  <a:pt x="273723" y="0"/>
                                </a:lnTo>
                                <a:close/>
                              </a:path>
                              <a:path w="3979545" h="372745">
                                <a:moveTo>
                                  <a:pt x="451523" y="0"/>
                                </a:moveTo>
                                <a:lnTo>
                                  <a:pt x="361289" y="0"/>
                                </a:lnTo>
                                <a:lnTo>
                                  <a:pt x="355600" y="4267"/>
                                </a:lnTo>
                                <a:lnTo>
                                  <a:pt x="355600" y="14795"/>
                                </a:lnTo>
                                <a:lnTo>
                                  <a:pt x="361289" y="19050"/>
                                </a:lnTo>
                                <a:lnTo>
                                  <a:pt x="451523" y="19050"/>
                                </a:lnTo>
                                <a:lnTo>
                                  <a:pt x="457200" y="14795"/>
                                </a:lnTo>
                                <a:lnTo>
                                  <a:pt x="457200" y="4267"/>
                                </a:lnTo>
                                <a:lnTo>
                                  <a:pt x="451523" y="0"/>
                                </a:lnTo>
                                <a:close/>
                              </a:path>
                              <a:path w="3979545" h="372745">
                                <a:moveTo>
                                  <a:pt x="629323" y="0"/>
                                </a:moveTo>
                                <a:lnTo>
                                  <a:pt x="539089" y="0"/>
                                </a:lnTo>
                                <a:lnTo>
                                  <a:pt x="533400" y="4267"/>
                                </a:lnTo>
                                <a:lnTo>
                                  <a:pt x="533400" y="14795"/>
                                </a:lnTo>
                                <a:lnTo>
                                  <a:pt x="539089" y="19050"/>
                                </a:lnTo>
                                <a:lnTo>
                                  <a:pt x="629323" y="19050"/>
                                </a:lnTo>
                                <a:lnTo>
                                  <a:pt x="635000" y="14795"/>
                                </a:lnTo>
                                <a:lnTo>
                                  <a:pt x="635000" y="4267"/>
                                </a:lnTo>
                                <a:lnTo>
                                  <a:pt x="629323" y="0"/>
                                </a:lnTo>
                                <a:close/>
                              </a:path>
                              <a:path w="3979545" h="372745">
                                <a:moveTo>
                                  <a:pt x="807123" y="0"/>
                                </a:moveTo>
                                <a:lnTo>
                                  <a:pt x="716889" y="0"/>
                                </a:lnTo>
                                <a:lnTo>
                                  <a:pt x="711200" y="4267"/>
                                </a:lnTo>
                                <a:lnTo>
                                  <a:pt x="711200" y="14795"/>
                                </a:lnTo>
                                <a:lnTo>
                                  <a:pt x="716889" y="19050"/>
                                </a:lnTo>
                                <a:lnTo>
                                  <a:pt x="807123" y="19050"/>
                                </a:lnTo>
                                <a:lnTo>
                                  <a:pt x="812800" y="14795"/>
                                </a:lnTo>
                                <a:lnTo>
                                  <a:pt x="812800" y="4267"/>
                                </a:lnTo>
                                <a:lnTo>
                                  <a:pt x="807123" y="0"/>
                                </a:lnTo>
                                <a:close/>
                              </a:path>
                              <a:path w="3979545" h="372745">
                                <a:moveTo>
                                  <a:pt x="895667" y="9601"/>
                                </a:moveTo>
                                <a:lnTo>
                                  <a:pt x="889177" y="13157"/>
                                </a:lnTo>
                                <a:lnTo>
                                  <a:pt x="887006" y="23545"/>
                                </a:lnTo>
                                <a:lnTo>
                                  <a:pt x="891755" y="28422"/>
                                </a:lnTo>
                                <a:lnTo>
                                  <a:pt x="980897" y="38874"/>
                                </a:lnTo>
                                <a:lnTo>
                                  <a:pt x="987399" y="35306"/>
                                </a:lnTo>
                                <a:lnTo>
                                  <a:pt x="989558" y="24917"/>
                                </a:lnTo>
                                <a:lnTo>
                                  <a:pt x="984821" y="20040"/>
                                </a:lnTo>
                                <a:lnTo>
                                  <a:pt x="895667" y="9601"/>
                                </a:lnTo>
                                <a:close/>
                              </a:path>
                              <a:path w="3979545" h="372745">
                                <a:moveTo>
                                  <a:pt x="1071333" y="30187"/>
                                </a:moveTo>
                                <a:lnTo>
                                  <a:pt x="1064844" y="33743"/>
                                </a:lnTo>
                                <a:lnTo>
                                  <a:pt x="1062685" y="44132"/>
                                </a:lnTo>
                                <a:lnTo>
                                  <a:pt x="1067422" y="49009"/>
                                </a:lnTo>
                                <a:lnTo>
                                  <a:pt x="1156563" y="59448"/>
                                </a:lnTo>
                                <a:lnTo>
                                  <a:pt x="1163066" y="55892"/>
                                </a:lnTo>
                                <a:lnTo>
                                  <a:pt x="1165225" y="45504"/>
                                </a:lnTo>
                                <a:lnTo>
                                  <a:pt x="1160487" y="40627"/>
                                </a:lnTo>
                                <a:lnTo>
                                  <a:pt x="1071333" y="30187"/>
                                </a:lnTo>
                                <a:close/>
                              </a:path>
                              <a:path w="3979545" h="372745">
                                <a:moveTo>
                                  <a:pt x="1247013" y="50774"/>
                                </a:moveTo>
                                <a:lnTo>
                                  <a:pt x="1240510" y="54317"/>
                                </a:lnTo>
                                <a:lnTo>
                                  <a:pt x="1238351" y="64719"/>
                                </a:lnTo>
                                <a:lnTo>
                                  <a:pt x="1243088" y="69583"/>
                                </a:lnTo>
                                <a:lnTo>
                                  <a:pt x="1332230" y="80035"/>
                                </a:lnTo>
                                <a:lnTo>
                                  <a:pt x="1338732" y="76492"/>
                                </a:lnTo>
                                <a:lnTo>
                                  <a:pt x="1340891" y="66090"/>
                                </a:lnTo>
                                <a:lnTo>
                                  <a:pt x="1336154" y="61214"/>
                                </a:lnTo>
                                <a:lnTo>
                                  <a:pt x="1247013" y="50774"/>
                                </a:lnTo>
                                <a:close/>
                              </a:path>
                              <a:path w="3979545" h="372745">
                                <a:moveTo>
                                  <a:pt x="1422679" y="71361"/>
                                </a:moveTo>
                                <a:lnTo>
                                  <a:pt x="1416177" y="74904"/>
                                </a:lnTo>
                                <a:lnTo>
                                  <a:pt x="1414018" y="85305"/>
                                </a:lnTo>
                                <a:lnTo>
                                  <a:pt x="1418755" y="90182"/>
                                </a:lnTo>
                                <a:lnTo>
                                  <a:pt x="1507896" y="100622"/>
                                </a:lnTo>
                                <a:lnTo>
                                  <a:pt x="1514398" y="97066"/>
                                </a:lnTo>
                                <a:lnTo>
                                  <a:pt x="1516570" y="86677"/>
                                </a:lnTo>
                                <a:lnTo>
                                  <a:pt x="1511820" y="81800"/>
                                </a:lnTo>
                                <a:lnTo>
                                  <a:pt x="1422679" y="71361"/>
                                </a:lnTo>
                                <a:close/>
                              </a:path>
                              <a:path w="3979545" h="372745">
                                <a:moveTo>
                                  <a:pt x="1598345" y="91948"/>
                                </a:moveTo>
                                <a:lnTo>
                                  <a:pt x="1591856" y="95504"/>
                                </a:lnTo>
                                <a:lnTo>
                                  <a:pt x="1589684" y="105892"/>
                                </a:lnTo>
                                <a:lnTo>
                                  <a:pt x="1594421" y="110769"/>
                                </a:lnTo>
                                <a:lnTo>
                                  <a:pt x="1683854" y="120637"/>
                                </a:lnTo>
                                <a:lnTo>
                                  <a:pt x="1690293" y="117017"/>
                                </a:lnTo>
                                <a:lnTo>
                                  <a:pt x="1692262" y="106603"/>
                                </a:lnTo>
                                <a:lnTo>
                                  <a:pt x="1687449" y="101777"/>
                                </a:lnTo>
                                <a:lnTo>
                                  <a:pt x="1627568" y="95364"/>
                                </a:lnTo>
                                <a:lnTo>
                                  <a:pt x="1598345" y="91948"/>
                                </a:lnTo>
                                <a:close/>
                              </a:path>
                              <a:path w="3979545" h="372745">
                                <a:moveTo>
                                  <a:pt x="1774139" y="111074"/>
                                </a:moveTo>
                                <a:lnTo>
                                  <a:pt x="1767700" y="114693"/>
                                </a:lnTo>
                                <a:lnTo>
                                  <a:pt x="1765719" y="125107"/>
                                </a:lnTo>
                                <a:lnTo>
                                  <a:pt x="1770545" y="129921"/>
                                </a:lnTo>
                                <a:lnTo>
                                  <a:pt x="1859864" y="139496"/>
                                </a:lnTo>
                                <a:lnTo>
                                  <a:pt x="1866303" y="135877"/>
                                </a:lnTo>
                                <a:lnTo>
                                  <a:pt x="1868284" y="125463"/>
                                </a:lnTo>
                                <a:lnTo>
                                  <a:pt x="1863458" y="120637"/>
                                </a:lnTo>
                                <a:lnTo>
                                  <a:pt x="1774139" y="111074"/>
                                </a:lnTo>
                                <a:close/>
                              </a:path>
                              <a:path w="3979545" h="372745">
                                <a:moveTo>
                                  <a:pt x="1950148" y="129921"/>
                                </a:moveTo>
                                <a:lnTo>
                                  <a:pt x="1943722" y="133553"/>
                                </a:lnTo>
                                <a:lnTo>
                                  <a:pt x="1941741" y="143967"/>
                                </a:lnTo>
                                <a:lnTo>
                                  <a:pt x="1946554" y="148780"/>
                                </a:lnTo>
                                <a:lnTo>
                                  <a:pt x="2035886" y="158356"/>
                                </a:lnTo>
                                <a:lnTo>
                                  <a:pt x="2042312" y="154736"/>
                                </a:lnTo>
                                <a:lnTo>
                                  <a:pt x="2044293" y="144322"/>
                                </a:lnTo>
                                <a:lnTo>
                                  <a:pt x="2039480" y="139496"/>
                                </a:lnTo>
                                <a:lnTo>
                                  <a:pt x="1950148" y="129921"/>
                                </a:lnTo>
                                <a:close/>
                              </a:path>
                              <a:path w="3979545" h="372745">
                                <a:moveTo>
                                  <a:pt x="2126157" y="148780"/>
                                </a:moveTo>
                                <a:lnTo>
                                  <a:pt x="2119731" y="152400"/>
                                </a:lnTo>
                                <a:lnTo>
                                  <a:pt x="2117750" y="162814"/>
                                </a:lnTo>
                                <a:lnTo>
                                  <a:pt x="2122576" y="167640"/>
                                </a:lnTo>
                                <a:lnTo>
                                  <a:pt x="2211895" y="177215"/>
                                </a:lnTo>
                                <a:lnTo>
                                  <a:pt x="2218334" y="173596"/>
                                </a:lnTo>
                                <a:lnTo>
                                  <a:pt x="2220315" y="163182"/>
                                </a:lnTo>
                                <a:lnTo>
                                  <a:pt x="2215476" y="158356"/>
                                </a:lnTo>
                                <a:lnTo>
                                  <a:pt x="2126157" y="148780"/>
                                </a:lnTo>
                                <a:close/>
                              </a:path>
                              <a:path w="3979545" h="372745">
                                <a:moveTo>
                                  <a:pt x="2302167" y="167640"/>
                                </a:moveTo>
                                <a:lnTo>
                                  <a:pt x="2295753" y="171259"/>
                                </a:lnTo>
                                <a:lnTo>
                                  <a:pt x="2293759" y="181686"/>
                                </a:lnTo>
                                <a:lnTo>
                                  <a:pt x="2298585" y="186499"/>
                                </a:lnTo>
                                <a:lnTo>
                                  <a:pt x="2387904" y="196075"/>
                                </a:lnTo>
                                <a:lnTo>
                                  <a:pt x="2394331" y="192455"/>
                                </a:lnTo>
                                <a:lnTo>
                                  <a:pt x="2396312" y="182041"/>
                                </a:lnTo>
                                <a:lnTo>
                                  <a:pt x="2391498" y="177215"/>
                                </a:lnTo>
                                <a:lnTo>
                                  <a:pt x="2302167" y="167640"/>
                                </a:lnTo>
                                <a:close/>
                              </a:path>
                              <a:path w="3979545" h="372745">
                                <a:moveTo>
                                  <a:pt x="2478265" y="187020"/>
                                </a:moveTo>
                                <a:lnTo>
                                  <a:pt x="2471762" y="190576"/>
                                </a:lnTo>
                                <a:lnTo>
                                  <a:pt x="2469591" y="200964"/>
                                </a:lnTo>
                                <a:lnTo>
                                  <a:pt x="2474328" y="205841"/>
                                </a:lnTo>
                                <a:lnTo>
                                  <a:pt x="2563482" y="216293"/>
                                </a:lnTo>
                                <a:lnTo>
                                  <a:pt x="2569972" y="212737"/>
                                </a:lnTo>
                                <a:lnTo>
                                  <a:pt x="2572143" y="202336"/>
                                </a:lnTo>
                                <a:lnTo>
                                  <a:pt x="2567393" y="197459"/>
                                </a:lnTo>
                                <a:lnTo>
                                  <a:pt x="2478265" y="187020"/>
                                </a:lnTo>
                                <a:close/>
                              </a:path>
                              <a:path w="3979545" h="372745">
                                <a:moveTo>
                                  <a:pt x="2653931" y="207606"/>
                                </a:moveTo>
                                <a:lnTo>
                                  <a:pt x="2647429" y="211162"/>
                                </a:lnTo>
                                <a:lnTo>
                                  <a:pt x="2645257" y="221551"/>
                                </a:lnTo>
                                <a:lnTo>
                                  <a:pt x="2650007" y="226428"/>
                                </a:lnTo>
                                <a:lnTo>
                                  <a:pt x="2739148" y="236867"/>
                                </a:lnTo>
                                <a:lnTo>
                                  <a:pt x="2745638" y="233324"/>
                                </a:lnTo>
                                <a:lnTo>
                                  <a:pt x="2747810" y="222923"/>
                                </a:lnTo>
                                <a:lnTo>
                                  <a:pt x="2743073" y="218046"/>
                                </a:lnTo>
                                <a:lnTo>
                                  <a:pt x="2653931" y="207606"/>
                                </a:lnTo>
                                <a:close/>
                              </a:path>
                              <a:path w="3979545" h="372745">
                                <a:moveTo>
                                  <a:pt x="2829598" y="228193"/>
                                </a:moveTo>
                                <a:lnTo>
                                  <a:pt x="2823095" y="231749"/>
                                </a:lnTo>
                                <a:lnTo>
                                  <a:pt x="2820936" y="242138"/>
                                </a:lnTo>
                                <a:lnTo>
                                  <a:pt x="2825673" y="247015"/>
                                </a:lnTo>
                                <a:lnTo>
                                  <a:pt x="2914827" y="257454"/>
                                </a:lnTo>
                                <a:lnTo>
                                  <a:pt x="2921304" y="253911"/>
                                </a:lnTo>
                                <a:lnTo>
                                  <a:pt x="2923476" y="243509"/>
                                </a:lnTo>
                                <a:lnTo>
                                  <a:pt x="2918739" y="238633"/>
                                </a:lnTo>
                                <a:lnTo>
                                  <a:pt x="2829598" y="228193"/>
                                </a:lnTo>
                                <a:close/>
                              </a:path>
                              <a:path w="3979545" h="372745">
                                <a:moveTo>
                                  <a:pt x="3005264" y="248780"/>
                                </a:moveTo>
                                <a:lnTo>
                                  <a:pt x="2998762" y="252336"/>
                                </a:lnTo>
                                <a:lnTo>
                                  <a:pt x="2996603" y="262724"/>
                                </a:lnTo>
                                <a:lnTo>
                                  <a:pt x="3001340" y="267601"/>
                                </a:lnTo>
                                <a:lnTo>
                                  <a:pt x="3090494" y="278041"/>
                                </a:lnTo>
                                <a:lnTo>
                                  <a:pt x="3096971" y="274497"/>
                                </a:lnTo>
                                <a:lnTo>
                                  <a:pt x="3099142" y="264096"/>
                                </a:lnTo>
                                <a:lnTo>
                                  <a:pt x="3094405" y="259232"/>
                                </a:lnTo>
                                <a:lnTo>
                                  <a:pt x="3005264" y="248780"/>
                                </a:lnTo>
                                <a:close/>
                              </a:path>
                              <a:path w="3979545" h="372745">
                                <a:moveTo>
                                  <a:pt x="3180930" y="269367"/>
                                </a:moveTo>
                                <a:lnTo>
                                  <a:pt x="3174428" y="272923"/>
                                </a:lnTo>
                                <a:lnTo>
                                  <a:pt x="3172269" y="283311"/>
                                </a:lnTo>
                                <a:lnTo>
                                  <a:pt x="3177006" y="288188"/>
                                </a:lnTo>
                                <a:lnTo>
                                  <a:pt x="3236556" y="295160"/>
                                </a:lnTo>
                                <a:lnTo>
                                  <a:pt x="3266414" y="298310"/>
                                </a:lnTo>
                                <a:lnTo>
                                  <a:pt x="3272840" y="294690"/>
                                </a:lnTo>
                                <a:lnTo>
                                  <a:pt x="3274783" y="284264"/>
                                </a:lnTo>
                                <a:lnTo>
                                  <a:pt x="3269957" y="279450"/>
                                </a:lnTo>
                                <a:lnTo>
                                  <a:pt x="3240468" y="276339"/>
                                </a:lnTo>
                                <a:lnTo>
                                  <a:pt x="3180930" y="269367"/>
                                </a:lnTo>
                                <a:close/>
                              </a:path>
                              <a:path w="3979545" h="372745">
                                <a:moveTo>
                                  <a:pt x="3356673" y="288594"/>
                                </a:moveTo>
                                <a:lnTo>
                                  <a:pt x="3350247" y="292227"/>
                                </a:lnTo>
                                <a:lnTo>
                                  <a:pt x="3348291" y="302641"/>
                                </a:lnTo>
                                <a:lnTo>
                                  <a:pt x="3353130" y="307454"/>
                                </a:lnTo>
                                <a:lnTo>
                                  <a:pt x="3442474" y="316890"/>
                                </a:lnTo>
                                <a:lnTo>
                                  <a:pt x="3448900" y="313245"/>
                                </a:lnTo>
                                <a:lnTo>
                                  <a:pt x="3450856" y="302831"/>
                                </a:lnTo>
                                <a:lnTo>
                                  <a:pt x="3446017" y="298018"/>
                                </a:lnTo>
                                <a:lnTo>
                                  <a:pt x="3356673" y="288594"/>
                                </a:lnTo>
                                <a:close/>
                              </a:path>
                              <a:path w="3979545" h="372745">
                                <a:moveTo>
                                  <a:pt x="3532733" y="307162"/>
                                </a:moveTo>
                                <a:lnTo>
                                  <a:pt x="3526320" y="310794"/>
                                </a:lnTo>
                                <a:lnTo>
                                  <a:pt x="3524364" y="321208"/>
                                </a:lnTo>
                                <a:lnTo>
                                  <a:pt x="3529203" y="326021"/>
                                </a:lnTo>
                                <a:lnTo>
                                  <a:pt x="3618547" y="335445"/>
                                </a:lnTo>
                                <a:lnTo>
                                  <a:pt x="3624973" y="331825"/>
                                </a:lnTo>
                                <a:lnTo>
                                  <a:pt x="3626929" y="321411"/>
                                </a:lnTo>
                                <a:lnTo>
                                  <a:pt x="3622090" y="316585"/>
                                </a:lnTo>
                                <a:lnTo>
                                  <a:pt x="3532733" y="307162"/>
                                </a:lnTo>
                                <a:close/>
                              </a:path>
                              <a:path w="3979545" h="372745">
                                <a:moveTo>
                                  <a:pt x="3708806" y="325729"/>
                                </a:moveTo>
                                <a:lnTo>
                                  <a:pt x="3702380" y="329361"/>
                                </a:lnTo>
                                <a:lnTo>
                                  <a:pt x="3700424" y="339775"/>
                                </a:lnTo>
                                <a:lnTo>
                                  <a:pt x="3705275" y="344601"/>
                                </a:lnTo>
                                <a:lnTo>
                                  <a:pt x="3794620" y="354025"/>
                                </a:lnTo>
                                <a:lnTo>
                                  <a:pt x="3801046" y="350393"/>
                                </a:lnTo>
                                <a:lnTo>
                                  <a:pt x="3802989" y="339966"/>
                                </a:lnTo>
                                <a:lnTo>
                                  <a:pt x="3798150" y="335165"/>
                                </a:lnTo>
                                <a:lnTo>
                                  <a:pt x="3708806" y="325729"/>
                                </a:lnTo>
                                <a:close/>
                              </a:path>
                              <a:path w="3979545" h="372745">
                                <a:moveTo>
                                  <a:pt x="3884866" y="344309"/>
                                </a:moveTo>
                                <a:lnTo>
                                  <a:pt x="3878453" y="347929"/>
                                </a:lnTo>
                                <a:lnTo>
                                  <a:pt x="3876497" y="358355"/>
                                </a:lnTo>
                                <a:lnTo>
                                  <a:pt x="3881335" y="363169"/>
                                </a:lnTo>
                                <a:lnTo>
                                  <a:pt x="3970680" y="372592"/>
                                </a:lnTo>
                                <a:lnTo>
                                  <a:pt x="3977106" y="368960"/>
                                </a:lnTo>
                                <a:lnTo>
                                  <a:pt x="3979049" y="358546"/>
                                </a:lnTo>
                                <a:lnTo>
                                  <a:pt x="3974223" y="353720"/>
                                </a:lnTo>
                                <a:lnTo>
                                  <a:pt x="3884866" y="344309"/>
                                </a:lnTo>
                                <a:close/>
                              </a:path>
                            </a:pathLst>
                          </a:custGeom>
                          <a:solidFill>
                            <a:srgbClr val="BCBEC0"/>
                          </a:solidFill>
                        </wps:spPr>
                        <wps:bodyPr wrap="square" lIns="0" tIns="0" rIns="0" bIns="0" rtlCol="0">
                          <a:prstTxWarp prst="textNoShape">
                            <a:avLst/>
                          </a:prstTxWarp>
                          <a:noAutofit/>
                        </wps:bodyPr>
                      </wps:wsp>
                    </wpg:wgp>
                  </a:graphicData>
                </a:graphic>
              </wp:inline>
            </w:drawing>
          </mc:Choice>
          <mc:Fallback>
            <w:pict>
              <v:group style="width:367.9pt;height:116.2pt;mso-position-horizontal-relative:char;mso-position-vertical-relative:line" id="docshapegroup579" coordorigin="0,0" coordsize="7358,2324">
                <v:shape style="position:absolute;left:8;top:8;width:7340;height:2307" id="docshape580" coordorigin="9,9" coordsize="7340,2307" path="m7348,2315l9,2315,9,9e" filled="false" stroked="true" strokeweight=".866pt" strokecolor="#bcbec0">
                  <v:path arrowok="t"/>
                  <v:stroke dashstyle="solid"/>
                </v:shape>
                <v:shape style="position:absolute;left:658;top:1347;width:6361;height:360" id="docshape581" coordorigin="659,1348" coordsize="6361,360" path="m659,1378l1919,1348,3199,1453,4459,1483,5739,1573,7019,1708e" filled="false" stroked="true" strokeweight="1.732pt" strokecolor="#105c84">
                  <v:path arrowok="t"/>
                  <v:stroke dashstyle="solid"/>
                </v:shape>
                <v:shape style="position:absolute;left:658;top:897;width:6361;height:435" id="docshape582" coordorigin="659,898" coordsize="6361,435" path="m659,898l1919,898,3199,1048,4459,1183,5739,1183,7019,1333e" filled="false" stroked="true" strokeweight="1.732pt" strokecolor="#82bf6a">
                  <v:path arrowok="t"/>
                  <v:stroke dashstyle="solid"/>
                </v:shape>
                <v:shape style="position:absolute;left:638;top:177;width:6267;height:587" id="docshape583" coordorigin="639,177" coordsize="6267,587" path="m790,177l648,177,639,184,639,201,648,207,790,207,799,201,799,184,790,177xm1070,177l928,177,919,184,919,201,928,207,1070,207,1079,201,1079,184,1070,177xm1350,177l1208,177,1199,184,1199,201,1208,207,1350,207,1359,201,1359,184,1350,177xm1630,177l1488,177,1479,184,1479,201,1488,207,1630,207,1639,201,1639,184,1630,177xm1910,177l1768,177,1759,184,1759,201,1768,207,1910,207,1919,201,1919,184,1910,177xm2049,193l2039,198,2036,215,2043,222,2183,239,2194,233,2197,217,2190,209,2049,193xm2326,225l2316,231,2312,247,2320,255,2460,271,2470,266,2474,249,2466,241,2326,225xm2602,257l2592,263,2589,279,2596,287,2737,304,2747,298,2750,282,2743,274,2602,257xm2879,290l2869,295,2865,312,2873,320,3013,336,3024,330,3027,314,3019,306,2879,290xm3156,322l3146,328,3142,344,3150,352,3290,367,3301,362,3304,345,3296,338,3202,328,3156,322xm3433,352l3422,358,3419,375,3427,382,3568,397,3578,391,3581,375,3573,367,3433,352xm3710,382l3700,388,3697,404,3704,412,3845,427,3855,421,3858,405,3850,397,3710,382xm3987,412l3977,417,3974,434,3981,441,4122,457,4132,451,4135,434,4128,427,3987,412xm4264,441l4254,447,4251,464,4258,471,4399,486,4409,481,4412,464,4405,457,4264,441xm4541,472l4531,478,4528,494,4535,502,4676,518,4686,513,4689,496,4682,488,4541,472xm4818,504l4808,510,4804,526,4812,534,4952,551,4962,545,4966,529,4958,521,4818,504xm5095,537l5084,542,5081,559,5089,566,5229,583,5239,577,5243,561,5235,553,5095,537xm5371,569l5361,575,5358,591,5365,599,5506,615,5516,610,5519,593,5512,586,5371,569xm5648,602l5638,607,5634,624,5642,631,5736,642,5783,647,5793,642,5796,625,5788,618,5742,613,5648,602xm5925,632l5915,638,5912,654,5919,662,6060,677,6070,671,6073,654,6065,647,5925,632xm6202,661l6192,667,6189,683,6196,691,6337,706,6347,700,6350,684,6343,676,6202,661xm6479,690l6469,696,6466,713,6474,720,6614,735,6625,729,6628,713,6620,705,6479,690xm6757,720l6746,725,6743,742,6751,749,6892,764,6902,759,6905,742,6897,735,6757,720xe" filled="true" fillcolor="#bcbec0" stroked="false">
                  <v:path arrowok="t"/>
                  <v:fill type="solid"/>
                </v:shape>
              </v:group>
            </w:pict>
          </mc:Fallback>
        </mc:AlternateContent>
      </w:r>
      <w:r>
        <w:rPr>
          <w:sz w:val="20"/>
        </w:rPr>
      </w:r>
    </w:p>
    <w:p>
      <w:pPr>
        <w:tabs>
          <w:tab w:pos="1736" w:val="left" w:leader="none"/>
          <w:tab w:pos="3008" w:val="left" w:leader="none"/>
          <w:tab w:pos="4280" w:val="left" w:leader="none"/>
          <w:tab w:pos="5551" w:val="left" w:leader="none"/>
          <w:tab w:pos="6823" w:val="left" w:leader="none"/>
        </w:tabs>
        <w:spacing w:before="51"/>
        <w:ind w:left="464" w:right="0" w:firstLine="0"/>
        <w:jc w:val="left"/>
        <w:rPr>
          <w:sz w:val="18"/>
        </w:rPr>
      </w:pPr>
      <w:r>
        <w:rPr>
          <w:color w:val="636466"/>
          <w:spacing w:val="-4"/>
          <w:sz w:val="18"/>
        </w:rPr>
        <w:t>2012</w:t>
      </w:r>
      <w:r>
        <w:rPr>
          <w:color w:val="636466"/>
          <w:sz w:val="18"/>
        </w:rPr>
        <w:tab/>
      </w:r>
      <w:r>
        <w:rPr>
          <w:color w:val="636466"/>
          <w:spacing w:val="-4"/>
          <w:sz w:val="18"/>
        </w:rPr>
        <w:t>2013</w:t>
      </w:r>
      <w:r>
        <w:rPr>
          <w:color w:val="636466"/>
          <w:sz w:val="18"/>
        </w:rPr>
        <w:tab/>
      </w:r>
      <w:r>
        <w:rPr>
          <w:color w:val="636466"/>
          <w:spacing w:val="-4"/>
          <w:sz w:val="18"/>
        </w:rPr>
        <w:t>2014</w:t>
      </w:r>
      <w:r>
        <w:rPr>
          <w:color w:val="636466"/>
          <w:sz w:val="18"/>
        </w:rPr>
        <w:tab/>
      </w:r>
      <w:r>
        <w:rPr>
          <w:color w:val="636466"/>
          <w:spacing w:val="-4"/>
          <w:sz w:val="18"/>
        </w:rPr>
        <w:t>2015</w:t>
      </w:r>
      <w:r>
        <w:rPr>
          <w:color w:val="636466"/>
          <w:sz w:val="18"/>
        </w:rPr>
        <w:tab/>
      </w:r>
      <w:r>
        <w:rPr>
          <w:color w:val="636466"/>
          <w:spacing w:val="-4"/>
          <w:sz w:val="18"/>
        </w:rPr>
        <w:t>2016</w:t>
      </w:r>
      <w:r>
        <w:rPr>
          <w:color w:val="636466"/>
          <w:sz w:val="18"/>
        </w:rPr>
        <w:tab/>
      </w:r>
      <w:r>
        <w:rPr>
          <w:color w:val="636466"/>
          <w:spacing w:val="-4"/>
          <w:sz w:val="18"/>
        </w:rPr>
        <w:t>2017</w:t>
      </w:r>
    </w:p>
    <w:p>
      <w:pPr>
        <w:spacing w:after="0"/>
        <w:jc w:val="left"/>
        <w:rPr>
          <w:sz w:val="18"/>
        </w:rPr>
        <w:sectPr>
          <w:type w:val="continuous"/>
          <w:pgSz w:w="24480" w:h="15840" w:orient="landscape"/>
          <w:pgMar w:header="0" w:footer="0" w:top="0" w:bottom="280" w:left="0" w:right="720"/>
          <w:cols w:num="2" w:equalWidth="0">
            <w:col w:w="14070" w:space="40"/>
            <w:col w:w="9650"/>
          </w:cols>
        </w:sectPr>
      </w:pPr>
    </w:p>
    <w:p>
      <w:pPr>
        <w:pStyle w:val="BodyText"/>
        <w:spacing w:before="88"/>
        <w:rPr>
          <w:sz w:val="16"/>
        </w:rPr>
      </w:pPr>
      <w:r>
        <w:rPr>
          <w:sz w:val="16"/>
        </w:rPr>
        <w:drawing>
          <wp:anchor distT="0" distB="0" distL="0" distR="0" allowOverlap="1" layoutInCell="1" locked="0" behindDoc="0" simplePos="0" relativeHeight="15784960">
            <wp:simplePos x="0" y="0"/>
            <wp:positionH relativeFrom="page">
              <wp:posOffset>14981556</wp:posOffset>
            </wp:positionH>
            <wp:positionV relativeFrom="page">
              <wp:posOffset>9668103</wp:posOffset>
            </wp:positionV>
            <wp:extent cx="563245" cy="184683"/>
            <wp:effectExtent l="0" t="0" r="0" b="0"/>
            <wp:wrapNone/>
            <wp:docPr id="678" name="Image 678"/>
            <wp:cNvGraphicFramePr>
              <a:graphicFrameLocks/>
            </wp:cNvGraphicFramePr>
            <a:graphic>
              <a:graphicData uri="http://schemas.openxmlformats.org/drawingml/2006/picture">
                <pic:pic>
                  <pic:nvPicPr>
                    <pic:cNvPr id="678" name="Image 678"/>
                    <pic:cNvPicPr/>
                  </pic:nvPicPr>
                  <pic:blipFill>
                    <a:blip r:embed="rId38" cstate="print"/>
                    <a:stretch>
                      <a:fillRect/>
                    </a:stretch>
                  </pic:blipFill>
                  <pic:spPr>
                    <a:xfrm>
                      <a:off x="0" y="0"/>
                      <a:ext cx="563245" cy="184683"/>
                    </a:xfrm>
                    <a:prstGeom prst="rect">
                      <a:avLst/>
                    </a:prstGeom>
                  </pic:spPr>
                </pic:pic>
              </a:graphicData>
            </a:graphic>
          </wp:anchor>
        </w:drawing>
      </w:r>
    </w:p>
    <w:p>
      <w:pPr>
        <w:spacing w:before="0"/>
        <w:ind w:left="14127" w:right="0" w:firstLine="0"/>
        <w:jc w:val="left"/>
        <w:rPr>
          <w:sz w:val="16"/>
        </w:rPr>
      </w:pPr>
      <w:r>
        <w:rPr>
          <w:color w:val="105C84"/>
          <w:spacing w:val="-2"/>
          <w:sz w:val="16"/>
        </w:rPr>
        <w:t>Data</w:t>
      </w:r>
      <w:r>
        <w:rPr>
          <w:color w:val="105C84"/>
          <w:spacing w:val="-8"/>
          <w:sz w:val="16"/>
        </w:rPr>
        <w:t> </w:t>
      </w:r>
      <w:r>
        <w:rPr>
          <w:color w:val="105C84"/>
          <w:spacing w:val="-2"/>
          <w:sz w:val="16"/>
        </w:rPr>
        <w:t>Source:</w:t>
      </w:r>
      <w:r>
        <w:rPr>
          <w:color w:val="105C84"/>
          <w:spacing w:val="-8"/>
          <w:sz w:val="16"/>
        </w:rPr>
        <w:t> </w:t>
      </w:r>
      <w:r>
        <w:rPr>
          <w:color w:val="105C84"/>
          <w:spacing w:val="-2"/>
          <w:sz w:val="16"/>
        </w:rPr>
        <w:t>U.S.</w:t>
      </w:r>
      <w:r>
        <w:rPr>
          <w:color w:val="105C84"/>
          <w:spacing w:val="-8"/>
          <w:sz w:val="16"/>
        </w:rPr>
        <w:t> </w:t>
      </w:r>
      <w:r>
        <w:rPr>
          <w:color w:val="105C84"/>
          <w:spacing w:val="-2"/>
          <w:sz w:val="16"/>
        </w:rPr>
        <w:t>Census</w:t>
      </w:r>
      <w:r>
        <w:rPr>
          <w:color w:val="105C84"/>
          <w:spacing w:val="-8"/>
          <w:sz w:val="16"/>
        </w:rPr>
        <w:t> </w:t>
      </w:r>
      <w:r>
        <w:rPr>
          <w:color w:val="105C84"/>
          <w:spacing w:val="-2"/>
          <w:sz w:val="16"/>
        </w:rPr>
        <w:t>Bureau</w:t>
      </w:r>
      <w:r>
        <w:rPr>
          <w:color w:val="105C84"/>
          <w:spacing w:val="-8"/>
          <w:sz w:val="16"/>
        </w:rPr>
        <w:t> </w:t>
      </w:r>
      <w:r>
        <w:rPr>
          <w:color w:val="105C84"/>
          <w:spacing w:val="-2"/>
          <w:sz w:val="16"/>
        </w:rPr>
        <w:t>American</w:t>
      </w:r>
      <w:r>
        <w:rPr>
          <w:color w:val="105C84"/>
          <w:spacing w:val="-8"/>
          <w:sz w:val="16"/>
        </w:rPr>
        <w:t> </w:t>
      </w:r>
      <w:r>
        <w:rPr>
          <w:color w:val="105C84"/>
          <w:spacing w:val="-2"/>
          <w:sz w:val="16"/>
        </w:rPr>
        <w:t>Community</w:t>
      </w:r>
      <w:r>
        <w:rPr>
          <w:color w:val="105C84"/>
          <w:spacing w:val="-8"/>
          <w:sz w:val="16"/>
        </w:rPr>
        <w:t> </w:t>
      </w:r>
      <w:r>
        <w:rPr>
          <w:color w:val="105C84"/>
          <w:spacing w:val="-2"/>
          <w:sz w:val="16"/>
        </w:rPr>
        <w:t>Survey</w:t>
      </w:r>
      <w:r>
        <w:rPr>
          <w:color w:val="105C84"/>
          <w:spacing w:val="-8"/>
          <w:sz w:val="16"/>
        </w:rPr>
        <w:t> </w:t>
      </w:r>
      <w:r>
        <w:rPr>
          <w:color w:val="105C84"/>
          <w:spacing w:val="-2"/>
          <w:sz w:val="16"/>
        </w:rPr>
        <w:t>5-Year</w:t>
      </w:r>
      <w:r>
        <w:rPr>
          <w:color w:val="105C84"/>
          <w:spacing w:val="-8"/>
          <w:sz w:val="16"/>
        </w:rPr>
        <w:t> </w:t>
      </w:r>
      <w:r>
        <w:rPr>
          <w:color w:val="105C84"/>
          <w:spacing w:val="-2"/>
          <w:sz w:val="16"/>
        </w:rPr>
        <w:t>Estimate</w:t>
      </w:r>
      <w:r>
        <w:rPr>
          <w:color w:val="989A9C"/>
          <w:spacing w:val="-2"/>
          <w:sz w:val="16"/>
        </w:rPr>
        <w:t>-</w:t>
      </w:r>
    </w:p>
    <w:p>
      <w:pPr>
        <w:pStyle w:val="BodyText"/>
        <w:spacing w:before="227"/>
      </w:pPr>
    </w:p>
    <w:p>
      <w:pPr>
        <w:pStyle w:val="BodyText"/>
        <w:spacing w:line="247" w:lineRule="auto" w:before="1"/>
        <w:ind w:left="13320" w:right="557"/>
        <w:rPr>
          <w:position w:val="7"/>
          <w:sz w:val="13"/>
        </w:rPr>
      </w:pPr>
      <w:r>
        <w:rPr>
          <w:color w:val="105C84"/>
        </w:rPr>
        <w:t>Finally, 27% of Livingston County residents rent vs. own their home. In addition, 8% of occupied housing units have no vehicles available. Another 32% have access to one vehicle. Of note, the average household size for occupied housing is greater than two people. Approximately 50% of</w:t>
      </w:r>
      <w:r>
        <w:rPr>
          <w:color w:val="105C84"/>
          <w:spacing w:val="40"/>
        </w:rPr>
        <w:t> </w:t>
      </w:r>
      <w:r>
        <w:rPr>
          <w:color w:val="105C84"/>
        </w:rPr>
        <w:t>residents are paying 35% or more of their household income in rent costs.</w:t>
      </w:r>
      <w:r>
        <w:rPr>
          <w:color w:val="105C84"/>
          <w:position w:val="7"/>
          <w:sz w:val="13"/>
        </w:rPr>
        <w:t>20</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74"/>
        <w:rPr>
          <w:sz w:val="14"/>
        </w:rPr>
      </w:pPr>
    </w:p>
    <w:p>
      <w:pPr>
        <w:spacing w:before="0"/>
        <w:ind w:left="1763" w:right="0" w:firstLine="0"/>
        <w:jc w:val="left"/>
        <w:rPr>
          <w:sz w:val="14"/>
        </w:rPr>
      </w:pPr>
      <w:r>
        <w:rPr>
          <w:sz w:val="14"/>
        </w:rPr>
        <w:drawing>
          <wp:anchor distT="0" distB="0" distL="0" distR="0" allowOverlap="1" layoutInCell="1" locked="0" behindDoc="0" simplePos="0" relativeHeight="15785472">
            <wp:simplePos x="0" y="0"/>
            <wp:positionH relativeFrom="page">
              <wp:posOffset>0</wp:posOffset>
            </wp:positionH>
            <wp:positionV relativeFrom="paragraph">
              <wp:posOffset>41606</wp:posOffset>
            </wp:positionV>
            <wp:extent cx="568172" cy="184683"/>
            <wp:effectExtent l="0" t="0" r="0" b="0"/>
            <wp:wrapNone/>
            <wp:docPr id="679" name="Image 679"/>
            <wp:cNvGraphicFramePr>
              <a:graphicFrameLocks/>
            </wp:cNvGraphicFramePr>
            <a:graphic>
              <a:graphicData uri="http://schemas.openxmlformats.org/drawingml/2006/picture">
                <pic:pic>
                  <pic:nvPicPr>
                    <pic:cNvPr id="679" name="Image 679"/>
                    <pic:cNvPicPr/>
                  </pic:nvPicPr>
                  <pic:blipFill>
                    <a:blip r:embed="rId39" cstate="print"/>
                    <a:stretch>
                      <a:fillRect/>
                    </a:stretch>
                  </pic:blipFill>
                  <pic:spPr>
                    <a:xfrm>
                      <a:off x="0" y="0"/>
                      <a:ext cx="568172" cy="184683"/>
                    </a:xfrm>
                    <a:prstGeom prst="rect">
                      <a:avLst/>
                    </a:prstGeom>
                  </pic:spPr>
                </pic:pic>
              </a:graphicData>
            </a:graphic>
          </wp:anchor>
        </w:drawing>
      </w:r>
      <w:r>
        <w:rPr>
          <w:sz w:val="14"/>
        </w:rPr>
        <mc:AlternateContent>
          <mc:Choice Requires="wps">
            <w:drawing>
              <wp:anchor distT="0" distB="0" distL="0" distR="0" allowOverlap="1" layoutInCell="1" locked="0" behindDoc="0" simplePos="0" relativeHeight="15789568">
                <wp:simplePos x="0" y="0"/>
                <wp:positionH relativeFrom="page">
                  <wp:posOffset>672186</wp:posOffset>
                </wp:positionH>
                <wp:positionV relativeFrom="paragraph">
                  <wp:posOffset>29566</wp:posOffset>
                </wp:positionV>
                <wp:extent cx="195580" cy="226060"/>
                <wp:effectExtent l="0" t="0" r="0" b="0"/>
                <wp:wrapNone/>
                <wp:docPr id="680" name="Textbox 680"/>
                <wp:cNvGraphicFramePr>
                  <a:graphicFrameLocks/>
                </wp:cNvGraphicFramePr>
                <a:graphic>
                  <a:graphicData uri="http://schemas.microsoft.com/office/word/2010/wordprocessingShape">
                    <wps:wsp>
                      <wps:cNvPr id="680" name="Textbox 680"/>
                      <wps:cNvSpPr txBox="1"/>
                      <wps:spPr>
                        <a:xfrm>
                          <a:off x="0" y="0"/>
                          <a:ext cx="195580" cy="226060"/>
                        </a:xfrm>
                        <a:prstGeom prst="rect">
                          <a:avLst/>
                        </a:prstGeom>
                      </wps:spPr>
                      <wps:txbx>
                        <w:txbxContent>
                          <w:p>
                            <w:pPr>
                              <w:spacing w:before="16"/>
                              <w:ind w:left="0" w:right="0" w:firstLine="0"/>
                              <w:jc w:val="left"/>
                              <w:rPr>
                                <w:b/>
                                <w:sz w:val="26"/>
                              </w:rPr>
                            </w:pPr>
                            <w:r>
                              <w:rPr>
                                <w:b/>
                                <w:color w:val="939598"/>
                                <w:spacing w:val="-5"/>
                                <w:w w:val="105"/>
                                <w:sz w:val="26"/>
                              </w:rPr>
                              <w:t>45</w:t>
                            </w:r>
                          </w:p>
                        </w:txbxContent>
                      </wps:txbx>
                      <wps:bodyPr wrap="square" lIns="0" tIns="0" rIns="0" bIns="0" rtlCol="0">
                        <a:noAutofit/>
                      </wps:bodyPr>
                    </wps:wsp>
                  </a:graphicData>
                </a:graphic>
              </wp:anchor>
            </w:drawing>
          </mc:Choice>
          <mc:Fallback>
            <w:pict>
              <v:shape style="position:absolute;margin-left:52.928101pt;margin-top:2.328077pt;width:15.4pt;height:17.8pt;mso-position-horizontal-relative:page;mso-position-vertical-relative:paragraph;z-index:15789568" type="#_x0000_t202" id="docshape584" filled="false" stroked="false">
                <v:textbox inset="0,0,0,0">
                  <w:txbxContent>
                    <w:p>
                      <w:pPr>
                        <w:spacing w:before="16"/>
                        <w:ind w:left="0" w:right="0" w:firstLine="0"/>
                        <w:jc w:val="left"/>
                        <w:rPr>
                          <w:b/>
                          <w:sz w:val="26"/>
                        </w:rPr>
                      </w:pPr>
                      <w:r>
                        <w:rPr>
                          <w:b/>
                          <w:color w:val="939598"/>
                          <w:spacing w:val="-5"/>
                          <w:w w:val="105"/>
                          <w:sz w:val="26"/>
                        </w:rPr>
                        <w:t>45</w:t>
                      </w:r>
                    </w:p>
                  </w:txbxContent>
                </v:textbox>
                <w10:wrap type="none"/>
              </v:shape>
            </w:pict>
          </mc:Fallback>
        </mc:AlternateContent>
      </w:r>
      <w:r>
        <w:rPr>
          <w:sz w:val="14"/>
        </w:rPr>
        <mc:AlternateContent>
          <mc:Choice Requires="wps">
            <w:drawing>
              <wp:anchor distT="0" distB="0" distL="0" distR="0" allowOverlap="1" layoutInCell="1" locked="0" behindDoc="0" simplePos="0" relativeHeight="15790080">
                <wp:simplePos x="0" y="0"/>
                <wp:positionH relativeFrom="page">
                  <wp:posOffset>14698495</wp:posOffset>
                </wp:positionH>
                <wp:positionV relativeFrom="paragraph">
                  <wp:posOffset>29566</wp:posOffset>
                </wp:positionV>
                <wp:extent cx="195580" cy="226060"/>
                <wp:effectExtent l="0" t="0" r="0" b="0"/>
                <wp:wrapNone/>
                <wp:docPr id="681" name="Textbox 681"/>
                <wp:cNvGraphicFramePr>
                  <a:graphicFrameLocks/>
                </wp:cNvGraphicFramePr>
                <a:graphic>
                  <a:graphicData uri="http://schemas.microsoft.com/office/word/2010/wordprocessingShape">
                    <wps:wsp>
                      <wps:cNvPr id="681" name="Textbox 681"/>
                      <wps:cNvSpPr txBox="1"/>
                      <wps:spPr>
                        <a:xfrm>
                          <a:off x="0" y="0"/>
                          <a:ext cx="195580" cy="226060"/>
                        </a:xfrm>
                        <a:prstGeom prst="rect">
                          <a:avLst/>
                        </a:prstGeom>
                      </wps:spPr>
                      <wps:txbx>
                        <w:txbxContent>
                          <w:p>
                            <w:pPr>
                              <w:spacing w:before="16"/>
                              <w:ind w:left="0" w:right="0" w:firstLine="0"/>
                              <w:jc w:val="left"/>
                              <w:rPr>
                                <w:b/>
                                <w:sz w:val="26"/>
                              </w:rPr>
                            </w:pPr>
                            <w:r>
                              <w:rPr>
                                <w:b/>
                                <w:color w:val="939598"/>
                                <w:spacing w:val="-5"/>
                                <w:w w:val="105"/>
                                <w:sz w:val="26"/>
                              </w:rPr>
                              <w:t>46</w:t>
                            </w:r>
                          </w:p>
                        </w:txbxContent>
                      </wps:txbx>
                      <wps:bodyPr wrap="square" lIns="0" tIns="0" rIns="0" bIns="0" rtlCol="0">
                        <a:noAutofit/>
                      </wps:bodyPr>
                    </wps:wsp>
                  </a:graphicData>
                </a:graphic>
              </wp:anchor>
            </w:drawing>
          </mc:Choice>
          <mc:Fallback>
            <w:pict>
              <v:shape style="position:absolute;margin-left:1157.361816pt;margin-top:2.328077pt;width:15.4pt;height:17.8pt;mso-position-horizontal-relative:page;mso-position-vertical-relative:paragraph;z-index:15790080" type="#_x0000_t202" id="docshape585" filled="false" stroked="false">
                <v:textbox inset="0,0,0,0">
                  <w:txbxContent>
                    <w:p>
                      <w:pPr>
                        <w:spacing w:before="16"/>
                        <w:ind w:left="0" w:right="0" w:firstLine="0"/>
                        <w:jc w:val="left"/>
                        <w:rPr>
                          <w:b/>
                          <w:sz w:val="26"/>
                        </w:rPr>
                      </w:pPr>
                      <w:r>
                        <w:rPr>
                          <w:b/>
                          <w:color w:val="939598"/>
                          <w:spacing w:val="-5"/>
                          <w:w w:val="105"/>
                          <w:sz w:val="26"/>
                        </w:rPr>
                        <w:t>46</w:t>
                      </w:r>
                    </w:p>
                  </w:txbxContent>
                </v:textbox>
                <w10:wrap type="none"/>
              </v:shape>
            </w:pict>
          </mc:Fallback>
        </mc:AlternateContent>
      </w:r>
      <w:r>
        <w:rPr>
          <w:color w:val="636466"/>
          <w:sz w:val="14"/>
        </w:rPr>
        <w:t>19.</w:t>
      </w:r>
      <w:r>
        <w:rPr>
          <w:color w:val="636466"/>
          <w:spacing w:val="1"/>
          <w:sz w:val="14"/>
        </w:rPr>
        <w:t> </w:t>
      </w:r>
      <w:r>
        <w:rPr>
          <w:color w:val="636466"/>
          <w:sz w:val="14"/>
        </w:rPr>
        <w:t>Disability</w:t>
      </w:r>
      <w:r>
        <w:rPr>
          <w:color w:val="636466"/>
          <w:spacing w:val="1"/>
          <w:sz w:val="14"/>
        </w:rPr>
        <w:t> </w:t>
      </w:r>
      <w:r>
        <w:rPr>
          <w:color w:val="636466"/>
          <w:sz w:val="14"/>
        </w:rPr>
        <w:t>defined</w:t>
      </w:r>
      <w:r>
        <w:rPr>
          <w:color w:val="636466"/>
          <w:spacing w:val="1"/>
          <w:sz w:val="14"/>
        </w:rPr>
        <w:t> </w:t>
      </w:r>
      <w:r>
        <w:rPr>
          <w:color w:val="636466"/>
          <w:sz w:val="14"/>
        </w:rPr>
        <w:t>as</w:t>
      </w:r>
      <w:r>
        <w:rPr>
          <w:color w:val="636466"/>
          <w:spacing w:val="2"/>
          <w:sz w:val="14"/>
        </w:rPr>
        <w:t> </w:t>
      </w:r>
      <w:r>
        <w:rPr>
          <w:color w:val="636466"/>
          <w:sz w:val="14"/>
        </w:rPr>
        <w:t>impairment</w:t>
      </w:r>
      <w:r>
        <w:rPr>
          <w:color w:val="636466"/>
          <w:spacing w:val="1"/>
          <w:sz w:val="14"/>
        </w:rPr>
        <w:t> </w:t>
      </w:r>
      <w:r>
        <w:rPr>
          <w:color w:val="636466"/>
          <w:sz w:val="14"/>
        </w:rPr>
        <w:t>to</w:t>
      </w:r>
      <w:r>
        <w:rPr>
          <w:color w:val="636466"/>
          <w:spacing w:val="1"/>
          <w:sz w:val="14"/>
        </w:rPr>
        <w:t> </w:t>
      </w:r>
      <w:r>
        <w:rPr>
          <w:color w:val="636466"/>
          <w:sz w:val="14"/>
        </w:rPr>
        <w:t>body</w:t>
      </w:r>
      <w:r>
        <w:rPr>
          <w:color w:val="636466"/>
          <w:spacing w:val="2"/>
          <w:sz w:val="14"/>
        </w:rPr>
        <w:t> </w:t>
      </w:r>
      <w:r>
        <w:rPr>
          <w:color w:val="636466"/>
          <w:sz w:val="14"/>
        </w:rPr>
        <w:t>structure</w:t>
      </w:r>
      <w:r>
        <w:rPr>
          <w:color w:val="636466"/>
          <w:spacing w:val="1"/>
          <w:sz w:val="14"/>
        </w:rPr>
        <w:t> </w:t>
      </w:r>
      <w:r>
        <w:rPr>
          <w:color w:val="636466"/>
          <w:sz w:val="14"/>
        </w:rPr>
        <w:t>or</w:t>
      </w:r>
      <w:r>
        <w:rPr>
          <w:color w:val="636466"/>
          <w:spacing w:val="1"/>
          <w:sz w:val="14"/>
        </w:rPr>
        <w:t> </w:t>
      </w:r>
      <w:r>
        <w:rPr>
          <w:color w:val="636466"/>
          <w:sz w:val="14"/>
        </w:rPr>
        <w:t>mental</w:t>
      </w:r>
      <w:r>
        <w:rPr>
          <w:color w:val="636466"/>
          <w:spacing w:val="2"/>
          <w:sz w:val="14"/>
        </w:rPr>
        <w:t> </w:t>
      </w:r>
      <w:r>
        <w:rPr>
          <w:color w:val="636466"/>
          <w:sz w:val="14"/>
        </w:rPr>
        <w:t>functioning,</w:t>
      </w:r>
      <w:r>
        <w:rPr>
          <w:color w:val="636466"/>
          <w:spacing w:val="1"/>
          <w:sz w:val="14"/>
        </w:rPr>
        <w:t> </w:t>
      </w:r>
      <w:r>
        <w:rPr>
          <w:color w:val="636466"/>
          <w:sz w:val="14"/>
        </w:rPr>
        <w:t>activity</w:t>
      </w:r>
      <w:r>
        <w:rPr>
          <w:color w:val="636466"/>
          <w:spacing w:val="1"/>
          <w:sz w:val="14"/>
        </w:rPr>
        <w:t> </w:t>
      </w:r>
      <w:r>
        <w:rPr>
          <w:color w:val="636466"/>
          <w:sz w:val="14"/>
        </w:rPr>
        <w:t>limitation</w:t>
      </w:r>
      <w:r>
        <w:rPr>
          <w:color w:val="636466"/>
          <w:spacing w:val="2"/>
          <w:sz w:val="14"/>
        </w:rPr>
        <w:t> </w:t>
      </w:r>
      <w:r>
        <w:rPr>
          <w:color w:val="636466"/>
          <w:sz w:val="14"/>
        </w:rPr>
        <w:t>such</w:t>
      </w:r>
      <w:r>
        <w:rPr>
          <w:color w:val="636466"/>
          <w:spacing w:val="1"/>
          <w:sz w:val="14"/>
        </w:rPr>
        <w:t> </w:t>
      </w:r>
      <w:r>
        <w:rPr>
          <w:color w:val="636466"/>
          <w:sz w:val="14"/>
        </w:rPr>
        <w:t>as</w:t>
      </w:r>
      <w:r>
        <w:rPr>
          <w:color w:val="636466"/>
          <w:spacing w:val="1"/>
          <w:sz w:val="14"/>
        </w:rPr>
        <w:t> </w:t>
      </w:r>
      <w:r>
        <w:rPr>
          <w:color w:val="636466"/>
          <w:sz w:val="14"/>
        </w:rPr>
        <w:t>difficulty</w:t>
      </w:r>
      <w:r>
        <w:rPr>
          <w:color w:val="636466"/>
          <w:spacing w:val="1"/>
          <w:sz w:val="14"/>
        </w:rPr>
        <w:t> </w:t>
      </w:r>
      <w:r>
        <w:rPr>
          <w:color w:val="636466"/>
          <w:sz w:val="14"/>
        </w:rPr>
        <w:t>hearing,</w:t>
      </w:r>
      <w:r>
        <w:rPr>
          <w:color w:val="636466"/>
          <w:spacing w:val="2"/>
          <w:sz w:val="14"/>
        </w:rPr>
        <w:t> </w:t>
      </w:r>
      <w:r>
        <w:rPr>
          <w:color w:val="636466"/>
          <w:sz w:val="14"/>
        </w:rPr>
        <w:t>moving</w:t>
      </w:r>
      <w:r>
        <w:rPr>
          <w:color w:val="636466"/>
          <w:spacing w:val="1"/>
          <w:sz w:val="14"/>
        </w:rPr>
        <w:t> </w:t>
      </w:r>
      <w:r>
        <w:rPr>
          <w:color w:val="636466"/>
          <w:sz w:val="14"/>
        </w:rPr>
        <w:t>or</w:t>
      </w:r>
      <w:r>
        <w:rPr>
          <w:color w:val="636466"/>
          <w:spacing w:val="1"/>
          <w:sz w:val="14"/>
        </w:rPr>
        <w:t> </w:t>
      </w:r>
      <w:r>
        <w:rPr>
          <w:color w:val="636466"/>
          <w:sz w:val="14"/>
        </w:rPr>
        <w:t>problem-solving,</w:t>
      </w:r>
      <w:r>
        <w:rPr>
          <w:color w:val="636466"/>
          <w:spacing w:val="2"/>
          <w:sz w:val="14"/>
        </w:rPr>
        <w:t> </w:t>
      </w:r>
      <w:r>
        <w:rPr>
          <w:color w:val="636466"/>
          <w:spacing w:val="-5"/>
          <w:sz w:val="14"/>
        </w:rPr>
        <w:t>and</w:t>
      </w:r>
    </w:p>
    <w:p>
      <w:pPr>
        <w:tabs>
          <w:tab w:pos="13316" w:val="left" w:leader="none"/>
        </w:tabs>
        <w:spacing w:before="3"/>
        <w:ind w:left="1763" w:right="0" w:firstLine="0"/>
        <w:jc w:val="left"/>
        <w:rPr>
          <w:sz w:val="14"/>
        </w:rPr>
      </w:pPr>
      <w:r>
        <w:rPr>
          <w:color w:val="636466"/>
          <w:position w:val="1"/>
          <w:sz w:val="14"/>
        </w:rPr>
        <w:t>participation</w:t>
      </w:r>
      <w:r>
        <w:rPr>
          <w:color w:val="636466"/>
          <w:spacing w:val="-1"/>
          <w:position w:val="1"/>
          <w:sz w:val="14"/>
        </w:rPr>
        <w:t> </w:t>
      </w:r>
      <w:r>
        <w:rPr>
          <w:color w:val="636466"/>
          <w:position w:val="1"/>
          <w:sz w:val="14"/>
        </w:rPr>
        <w:t>restrictions</w:t>
      </w:r>
      <w:r>
        <w:rPr>
          <w:color w:val="636466"/>
          <w:spacing w:val="-1"/>
          <w:position w:val="1"/>
          <w:sz w:val="14"/>
        </w:rPr>
        <w:t> </w:t>
      </w:r>
      <w:r>
        <w:rPr>
          <w:color w:val="636466"/>
          <w:position w:val="1"/>
          <w:sz w:val="14"/>
        </w:rPr>
        <w:t>in</w:t>
      </w:r>
      <w:r>
        <w:rPr>
          <w:color w:val="636466"/>
          <w:spacing w:val="-1"/>
          <w:position w:val="1"/>
          <w:sz w:val="14"/>
        </w:rPr>
        <w:t> </w:t>
      </w:r>
      <w:r>
        <w:rPr>
          <w:color w:val="636466"/>
          <w:position w:val="1"/>
          <w:sz w:val="14"/>
        </w:rPr>
        <w:t>daily</w:t>
      </w:r>
      <w:r>
        <w:rPr>
          <w:color w:val="636466"/>
          <w:spacing w:val="-1"/>
          <w:position w:val="1"/>
          <w:sz w:val="14"/>
        </w:rPr>
        <w:t> </w:t>
      </w:r>
      <w:r>
        <w:rPr>
          <w:color w:val="636466"/>
          <w:position w:val="1"/>
          <w:sz w:val="14"/>
        </w:rPr>
        <w:t>activities such</w:t>
      </w:r>
      <w:r>
        <w:rPr>
          <w:color w:val="636466"/>
          <w:spacing w:val="-1"/>
          <w:position w:val="1"/>
          <w:sz w:val="14"/>
        </w:rPr>
        <w:t> </w:t>
      </w:r>
      <w:r>
        <w:rPr>
          <w:color w:val="636466"/>
          <w:position w:val="1"/>
          <w:sz w:val="14"/>
        </w:rPr>
        <w:t>as</w:t>
      </w:r>
      <w:r>
        <w:rPr>
          <w:color w:val="636466"/>
          <w:spacing w:val="-1"/>
          <w:position w:val="1"/>
          <w:sz w:val="14"/>
        </w:rPr>
        <w:t> </w:t>
      </w:r>
      <w:r>
        <w:rPr>
          <w:color w:val="636466"/>
          <w:position w:val="1"/>
          <w:sz w:val="14"/>
        </w:rPr>
        <w:t>working,</w:t>
      </w:r>
      <w:r>
        <w:rPr>
          <w:color w:val="636466"/>
          <w:spacing w:val="-1"/>
          <w:position w:val="1"/>
          <w:sz w:val="14"/>
        </w:rPr>
        <w:t> </w:t>
      </w:r>
      <w:r>
        <w:rPr>
          <w:color w:val="636466"/>
          <w:position w:val="1"/>
          <w:sz w:val="14"/>
        </w:rPr>
        <w:t>engaging in</w:t>
      </w:r>
      <w:r>
        <w:rPr>
          <w:color w:val="636466"/>
          <w:spacing w:val="-1"/>
          <w:position w:val="1"/>
          <w:sz w:val="14"/>
        </w:rPr>
        <w:t> </w:t>
      </w:r>
      <w:r>
        <w:rPr>
          <w:color w:val="636466"/>
          <w:position w:val="1"/>
          <w:sz w:val="14"/>
        </w:rPr>
        <w:t>social/recreational</w:t>
      </w:r>
      <w:r>
        <w:rPr>
          <w:color w:val="636466"/>
          <w:spacing w:val="-1"/>
          <w:position w:val="1"/>
          <w:sz w:val="14"/>
        </w:rPr>
        <w:t> </w:t>
      </w:r>
      <w:r>
        <w:rPr>
          <w:color w:val="636466"/>
          <w:position w:val="1"/>
          <w:sz w:val="14"/>
        </w:rPr>
        <w:t>activities</w:t>
      </w:r>
      <w:r>
        <w:rPr>
          <w:color w:val="636466"/>
          <w:spacing w:val="-1"/>
          <w:position w:val="1"/>
          <w:sz w:val="14"/>
        </w:rPr>
        <w:t> </w:t>
      </w:r>
      <w:r>
        <w:rPr>
          <w:color w:val="636466"/>
          <w:position w:val="1"/>
          <w:sz w:val="14"/>
        </w:rPr>
        <w:t>or obtaining</w:t>
      </w:r>
      <w:r>
        <w:rPr>
          <w:color w:val="636466"/>
          <w:spacing w:val="-1"/>
          <w:position w:val="1"/>
          <w:sz w:val="14"/>
        </w:rPr>
        <w:t> </w:t>
      </w:r>
      <w:r>
        <w:rPr>
          <w:color w:val="636466"/>
          <w:position w:val="1"/>
          <w:sz w:val="14"/>
        </w:rPr>
        <w:t>healthcare</w:t>
      </w:r>
      <w:r>
        <w:rPr>
          <w:color w:val="636466"/>
          <w:spacing w:val="-1"/>
          <w:position w:val="1"/>
          <w:sz w:val="14"/>
        </w:rPr>
        <w:t> </w:t>
      </w:r>
      <w:r>
        <w:rPr>
          <w:color w:val="636466"/>
          <w:position w:val="1"/>
          <w:sz w:val="14"/>
        </w:rPr>
        <w:t>or</w:t>
      </w:r>
      <w:r>
        <w:rPr>
          <w:color w:val="636466"/>
          <w:spacing w:val="-1"/>
          <w:position w:val="1"/>
          <w:sz w:val="14"/>
        </w:rPr>
        <w:t> </w:t>
      </w:r>
      <w:r>
        <w:rPr>
          <w:color w:val="636466"/>
          <w:position w:val="1"/>
          <w:sz w:val="14"/>
        </w:rPr>
        <w:t>preventative </w:t>
      </w:r>
      <w:r>
        <w:rPr>
          <w:color w:val="636466"/>
          <w:spacing w:val="-2"/>
          <w:position w:val="1"/>
          <w:sz w:val="14"/>
        </w:rPr>
        <w:t>services.</w:t>
      </w:r>
      <w:r>
        <w:rPr>
          <w:color w:val="636466"/>
          <w:position w:val="1"/>
          <w:sz w:val="14"/>
        </w:rPr>
        <w:tab/>
      </w:r>
      <w:r>
        <w:rPr>
          <w:color w:val="636466"/>
          <w:spacing w:val="-4"/>
          <w:sz w:val="14"/>
        </w:rPr>
        <w:t>20.</w:t>
      </w:r>
      <w:r>
        <w:rPr>
          <w:color w:val="636466"/>
          <w:spacing w:val="1"/>
          <w:sz w:val="14"/>
        </w:rPr>
        <w:t> </w:t>
      </w:r>
      <w:r>
        <w:rPr>
          <w:color w:val="636466"/>
          <w:spacing w:val="-4"/>
          <w:sz w:val="14"/>
        </w:rPr>
        <w:t>Source:</w:t>
      </w:r>
      <w:r>
        <w:rPr>
          <w:color w:val="636466"/>
          <w:spacing w:val="1"/>
          <w:sz w:val="14"/>
        </w:rPr>
        <w:t> </w:t>
      </w:r>
      <w:r>
        <w:rPr>
          <w:color w:val="636466"/>
          <w:spacing w:val="-4"/>
          <w:sz w:val="14"/>
        </w:rPr>
        <w:t>US</w:t>
      </w:r>
      <w:r>
        <w:rPr>
          <w:color w:val="636466"/>
          <w:spacing w:val="1"/>
          <w:sz w:val="14"/>
        </w:rPr>
        <w:t> </w:t>
      </w:r>
      <w:r>
        <w:rPr>
          <w:color w:val="636466"/>
          <w:spacing w:val="-4"/>
          <w:sz w:val="14"/>
        </w:rPr>
        <w:t>Census</w:t>
      </w:r>
      <w:r>
        <w:rPr>
          <w:color w:val="636466"/>
          <w:spacing w:val="1"/>
          <w:sz w:val="14"/>
        </w:rPr>
        <w:t> </w:t>
      </w:r>
      <w:r>
        <w:rPr>
          <w:color w:val="636466"/>
          <w:spacing w:val="-4"/>
          <w:sz w:val="14"/>
        </w:rPr>
        <w:t>Bureau</w:t>
      </w:r>
      <w:r>
        <w:rPr>
          <w:color w:val="636466"/>
          <w:spacing w:val="1"/>
          <w:sz w:val="14"/>
        </w:rPr>
        <w:t> </w:t>
      </w:r>
      <w:r>
        <w:rPr>
          <w:color w:val="636466"/>
          <w:spacing w:val="-4"/>
          <w:sz w:val="14"/>
        </w:rPr>
        <w:t>American</w:t>
      </w:r>
      <w:r>
        <w:rPr>
          <w:color w:val="636466"/>
          <w:spacing w:val="2"/>
          <w:sz w:val="14"/>
        </w:rPr>
        <w:t> </w:t>
      </w:r>
      <w:r>
        <w:rPr>
          <w:color w:val="636466"/>
          <w:spacing w:val="-4"/>
          <w:sz w:val="14"/>
        </w:rPr>
        <w:t>Community</w:t>
      </w:r>
      <w:r>
        <w:rPr>
          <w:color w:val="636466"/>
          <w:spacing w:val="1"/>
          <w:sz w:val="14"/>
        </w:rPr>
        <w:t> </w:t>
      </w:r>
      <w:r>
        <w:rPr>
          <w:color w:val="636466"/>
          <w:spacing w:val="-4"/>
          <w:sz w:val="14"/>
        </w:rPr>
        <w:t>Survey</w:t>
      </w:r>
      <w:r>
        <w:rPr>
          <w:color w:val="636466"/>
          <w:spacing w:val="1"/>
          <w:sz w:val="14"/>
        </w:rPr>
        <w:t> </w:t>
      </w:r>
      <w:r>
        <w:rPr>
          <w:color w:val="636466"/>
          <w:spacing w:val="-4"/>
          <w:sz w:val="14"/>
        </w:rPr>
        <w:t>2013-2017</w:t>
      </w:r>
      <w:r>
        <w:rPr>
          <w:color w:val="636466"/>
          <w:spacing w:val="1"/>
          <w:sz w:val="14"/>
        </w:rPr>
        <w:t> </w:t>
      </w:r>
      <w:r>
        <w:rPr>
          <w:color w:val="636466"/>
          <w:spacing w:val="-4"/>
          <w:sz w:val="14"/>
        </w:rPr>
        <w:t>5-Year</w:t>
      </w:r>
      <w:r>
        <w:rPr>
          <w:color w:val="636466"/>
          <w:spacing w:val="1"/>
          <w:sz w:val="14"/>
        </w:rPr>
        <w:t> </w:t>
      </w:r>
      <w:r>
        <w:rPr>
          <w:color w:val="636466"/>
          <w:spacing w:val="-4"/>
          <w:sz w:val="14"/>
        </w:rPr>
        <w:t>Estimates</w:t>
      </w:r>
    </w:p>
    <w:p>
      <w:pPr>
        <w:spacing w:after="0"/>
        <w:jc w:val="left"/>
        <w:rPr>
          <w:sz w:val="14"/>
        </w:rPr>
        <w:sectPr>
          <w:type w:val="continuous"/>
          <w:pgSz w:w="24480" w:h="15840" w:orient="landscape"/>
          <w:pgMar w:header="0" w:footer="0" w:top="0" w:bottom="280" w:left="0" w:right="720"/>
        </w:sectPr>
      </w:pPr>
    </w:p>
    <w:p>
      <w:pPr>
        <w:pStyle w:val="BodyText"/>
        <w:rPr>
          <w:sz w:val="20"/>
        </w:rPr>
      </w:pPr>
    </w:p>
    <w:p>
      <w:pPr>
        <w:pStyle w:val="BodyText"/>
        <w:spacing w:before="16"/>
        <w:rPr>
          <w:sz w:val="20"/>
        </w:rPr>
      </w:pPr>
    </w:p>
    <w:p>
      <w:pPr>
        <w:pStyle w:val="BodyText"/>
        <w:spacing w:after="0"/>
        <w:rPr>
          <w:sz w:val="20"/>
        </w:rPr>
        <w:sectPr>
          <w:pgSz w:w="24480" w:h="15840" w:orient="landscape"/>
          <w:pgMar w:header="0" w:footer="0" w:top="860" w:bottom="0" w:left="0" w:right="720"/>
        </w:sectPr>
      </w:pPr>
    </w:p>
    <w:p>
      <w:pPr>
        <w:pStyle w:val="Heading6"/>
        <w:spacing w:before="116"/>
      </w:pPr>
      <w:r>
        <w:rPr>
          <w:color w:val="105C84"/>
        </w:rPr>
        <w:t>Main</w:t>
      </w:r>
      <w:r>
        <w:rPr>
          <w:color w:val="105C84"/>
          <w:spacing w:val="-7"/>
        </w:rPr>
        <w:t> </w:t>
      </w:r>
      <w:r>
        <w:rPr>
          <w:color w:val="105C84"/>
        </w:rPr>
        <w:t>Health</w:t>
      </w:r>
      <w:r>
        <w:rPr>
          <w:color w:val="105C84"/>
          <w:spacing w:val="-6"/>
        </w:rPr>
        <w:t> </w:t>
      </w:r>
      <w:r>
        <w:rPr>
          <w:color w:val="105C84"/>
          <w:spacing w:val="-2"/>
        </w:rPr>
        <w:t>Challenges</w:t>
      </w:r>
    </w:p>
    <w:p>
      <w:pPr>
        <w:pStyle w:val="BodyText"/>
        <w:spacing w:line="247" w:lineRule="auto" w:before="268"/>
        <w:ind w:left="1080" w:right="50"/>
      </w:pPr>
      <w:r>
        <w:rPr>
          <w:color w:val="105C84"/>
        </w:rPr>
        <w:t>On June 11, 2019, stakeholders and community members were invited to attend a priority setting meeting. At this meeting, participants reviewed the MAPP process, as well as relevant qualitative, quantitative, primary and secondary data. Lively group discussions took place regarding the potential</w:t>
      </w:r>
      <w:r>
        <w:rPr>
          <w:color w:val="105C84"/>
          <w:spacing w:val="40"/>
        </w:rPr>
        <w:t> </w:t>
      </w:r>
      <w:r>
        <w:rPr>
          <w:color w:val="105C84"/>
        </w:rPr>
        <w:t>priority areas. The meeting was very well attended with multiple agencies and a community member</w:t>
      </w:r>
      <w:r>
        <w:rPr>
          <w:color w:val="105C84"/>
          <w:spacing w:val="40"/>
        </w:rPr>
        <w:t> </w:t>
      </w:r>
      <w:r>
        <w:rPr>
          <w:color w:val="105C84"/>
        </w:rPr>
        <w:t>represented. Data were collected and reviewed from a variety of different sources including, but not</w:t>
      </w:r>
      <w:r>
        <w:rPr>
          <w:color w:val="105C84"/>
          <w:spacing w:val="40"/>
        </w:rPr>
        <w:t> </w:t>
      </w:r>
      <w:r>
        <w:rPr>
          <w:color w:val="105C84"/>
        </w:rPr>
        <w:t>limited to, the American Community Survey, the enhanced Behavioral Risk Factor Surveillance System, Vital Statistics, communicable disease and dental reports, primary data collected from the </w:t>
      </w:r>
      <w:r>
        <w:rPr>
          <w:i/>
          <w:color w:val="105C84"/>
        </w:rPr>
        <w:t>My Health</w:t>
      </w:r>
      <w:r>
        <w:rPr>
          <w:i/>
          <w:color w:val="105C84"/>
        </w:rPr>
        <w:t> Story 2018 </w:t>
      </w:r>
      <w:r>
        <w:rPr>
          <w:color w:val="105C84"/>
        </w:rPr>
        <w:t>Survey, and local data sources such as Livingston County’s Prevention Needs Assessment. Ultimately, using the Hanlon and PEARL methods, the group selected the following as their priority areas and disparity for the 2019-2021 Community Health Improvement Plan:</w:t>
      </w:r>
    </w:p>
    <w:p>
      <w:pPr>
        <w:pStyle w:val="BodyText"/>
        <w:spacing w:before="14"/>
      </w:pPr>
    </w:p>
    <w:p>
      <w:pPr>
        <w:pStyle w:val="Heading5"/>
      </w:pPr>
      <w:r>
        <w:rPr>
          <w:color w:val="32BCAA"/>
          <w:spacing w:val="2"/>
        </w:rPr>
        <w:t>PREVENT</w:t>
      </w:r>
      <w:r>
        <w:rPr>
          <w:color w:val="32BCAA"/>
          <w:spacing w:val="35"/>
        </w:rPr>
        <w:t> </w:t>
      </w:r>
      <w:r>
        <w:rPr>
          <w:color w:val="32BCAA"/>
          <w:spacing w:val="2"/>
        </w:rPr>
        <w:t>CHRONIC</w:t>
      </w:r>
      <w:r>
        <w:rPr>
          <w:color w:val="32BCAA"/>
          <w:spacing w:val="51"/>
        </w:rPr>
        <w:t> </w:t>
      </w:r>
      <w:r>
        <w:rPr>
          <w:color w:val="32BCAA"/>
          <w:spacing w:val="-2"/>
        </w:rPr>
        <w:t>DISEASES</w:t>
      </w:r>
    </w:p>
    <w:p>
      <w:pPr>
        <w:pStyle w:val="ListParagraph"/>
        <w:numPr>
          <w:ilvl w:val="0"/>
          <w:numId w:val="17"/>
        </w:numPr>
        <w:tabs>
          <w:tab w:pos="1519" w:val="left" w:leader="none"/>
        </w:tabs>
        <w:spacing w:line="240" w:lineRule="auto" w:before="86" w:after="0"/>
        <w:ind w:left="1519" w:right="0" w:hanging="239"/>
        <w:jc w:val="left"/>
        <w:rPr>
          <w:sz w:val="22"/>
        </w:rPr>
      </w:pPr>
      <w:r>
        <w:rPr>
          <w:color w:val="105C84"/>
          <w:sz w:val="22"/>
        </w:rPr>
        <w:t>Healthy</w:t>
      </w:r>
      <w:r>
        <w:rPr>
          <w:color w:val="105C84"/>
          <w:spacing w:val="20"/>
          <w:sz w:val="22"/>
        </w:rPr>
        <w:t> </w:t>
      </w:r>
      <w:r>
        <w:rPr>
          <w:color w:val="105C84"/>
          <w:sz w:val="22"/>
        </w:rPr>
        <w:t>eating</w:t>
      </w:r>
      <w:r>
        <w:rPr>
          <w:color w:val="105C84"/>
          <w:spacing w:val="20"/>
          <w:sz w:val="22"/>
        </w:rPr>
        <w:t> </w:t>
      </w:r>
      <w:r>
        <w:rPr>
          <w:color w:val="105C84"/>
          <w:sz w:val="22"/>
        </w:rPr>
        <w:t>and</w:t>
      </w:r>
      <w:r>
        <w:rPr>
          <w:color w:val="105C84"/>
          <w:spacing w:val="20"/>
          <w:sz w:val="22"/>
        </w:rPr>
        <w:t> </w:t>
      </w:r>
      <w:r>
        <w:rPr>
          <w:color w:val="105C84"/>
          <w:sz w:val="22"/>
        </w:rPr>
        <w:t>food</w:t>
      </w:r>
      <w:r>
        <w:rPr>
          <w:color w:val="105C84"/>
          <w:spacing w:val="21"/>
          <w:sz w:val="22"/>
        </w:rPr>
        <w:t> </w:t>
      </w:r>
      <w:r>
        <w:rPr>
          <w:color w:val="105C84"/>
          <w:spacing w:val="-2"/>
          <w:sz w:val="22"/>
        </w:rPr>
        <w:t>security</w:t>
      </w:r>
    </w:p>
    <w:p>
      <w:pPr>
        <w:pStyle w:val="ListParagraph"/>
        <w:numPr>
          <w:ilvl w:val="0"/>
          <w:numId w:val="17"/>
        </w:numPr>
        <w:tabs>
          <w:tab w:pos="1519" w:val="left" w:leader="none"/>
        </w:tabs>
        <w:spacing w:line="240" w:lineRule="auto" w:before="187" w:after="0"/>
        <w:ind w:left="1519" w:right="0" w:hanging="239"/>
        <w:jc w:val="left"/>
        <w:rPr>
          <w:sz w:val="22"/>
        </w:rPr>
      </w:pPr>
      <w:r>
        <w:rPr>
          <w:color w:val="105C84"/>
          <w:w w:val="90"/>
          <w:sz w:val="22"/>
        </w:rPr>
        <w:t>Physical</w:t>
      </w:r>
      <w:r>
        <w:rPr>
          <w:color w:val="105C84"/>
          <w:spacing w:val="38"/>
          <w:sz w:val="22"/>
        </w:rPr>
        <w:t> </w:t>
      </w:r>
      <w:r>
        <w:rPr>
          <w:color w:val="105C84"/>
          <w:spacing w:val="-2"/>
          <w:sz w:val="22"/>
        </w:rPr>
        <w:t>activity</w:t>
      </w:r>
    </w:p>
    <w:p>
      <w:pPr>
        <w:pStyle w:val="ListParagraph"/>
        <w:numPr>
          <w:ilvl w:val="0"/>
          <w:numId w:val="17"/>
        </w:numPr>
        <w:tabs>
          <w:tab w:pos="1519" w:val="left" w:leader="none"/>
        </w:tabs>
        <w:spacing w:line="240" w:lineRule="auto" w:before="187" w:after="0"/>
        <w:ind w:left="1519" w:right="0" w:hanging="239"/>
        <w:jc w:val="left"/>
        <w:rPr>
          <w:sz w:val="22"/>
        </w:rPr>
      </w:pPr>
      <w:r>
        <w:rPr>
          <w:color w:val="105C84"/>
          <w:sz w:val="22"/>
        </w:rPr>
        <w:t>Chronic</w:t>
      </w:r>
      <w:r>
        <w:rPr>
          <w:color w:val="105C84"/>
          <w:spacing w:val="2"/>
          <w:sz w:val="22"/>
        </w:rPr>
        <w:t> </w:t>
      </w:r>
      <w:r>
        <w:rPr>
          <w:color w:val="105C84"/>
          <w:sz w:val="22"/>
        </w:rPr>
        <w:t>disease</w:t>
      </w:r>
      <w:r>
        <w:rPr>
          <w:color w:val="105C84"/>
          <w:spacing w:val="3"/>
          <w:sz w:val="22"/>
        </w:rPr>
        <w:t> </w:t>
      </w:r>
      <w:r>
        <w:rPr>
          <w:color w:val="105C84"/>
          <w:sz w:val="22"/>
        </w:rPr>
        <w:t>preventative</w:t>
      </w:r>
      <w:r>
        <w:rPr>
          <w:color w:val="105C84"/>
          <w:spacing w:val="3"/>
          <w:sz w:val="22"/>
        </w:rPr>
        <w:t> </w:t>
      </w:r>
      <w:r>
        <w:rPr>
          <w:color w:val="105C84"/>
          <w:sz w:val="22"/>
        </w:rPr>
        <w:t>care</w:t>
      </w:r>
      <w:r>
        <w:rPr>
          <w:color w:val="105C84"/>
          <w:spacing w:val="3"/>
          <w:sz w:val="22"/>
        </w:rPr>
        <w:t> </w:t>
      </w:r>
      <w:r>
        <w:rPr>
          <w:color w:val="105C84"/>
          <w:sz w:val="22"/>
        </w:rPr>
        <w:t>and</w:t>
      </w:r>
      <w:r>
        <w:rPr>
          <w:color w:val="105C84"/>
          <w:spacing w:val="3"/>
          <w:sz w:val="22"/>
        </w:rPr>
        <w:t> </w:t>
      </w:r>
      <w:r>
        <w:rPr>
          <w:color w:val="105C84"/>
          <w:spacing w:val="-2"/>
          <w:sz w:val="22"/>
        </w:rPr>
        <w:t>management</w:t>
      </w:r>
    </w:p>
    <w:p>
      <w:pPr>
        <w:pStyle w:val="BodyText"/>
        <w:spacing w:before="26"/>
      </w:pPr>
    </w:p>
    <w:p>
      <w:pPr>
        <w:pStyle w:val="Heading5"/>
      </w:pPr>
      <w:r>
        <w:rPr>
          <w:color w:val="32BCAA"/>
        </w:rPr>
        <w:t>PROMOTE</w:t>
      </w:r>
      <w:r>
        <w:rPr>
          <w:color w:val="32BCAA"/>
          <w:spacing w:val="48"/>
        </w:rPr>
        <w:t> </w:t>
      </w:r>
      <w:r>
        <w:rPr>
          <w:color w:val="32BCAA"/>
        </w:rPr>
        <w:t>WELL-BEING</w:t>
      </w:r>
      <w:r>
        <w:rPr>
          <w:color w:val="32BCAA"/>
          <w:spacing w:val="49"/>
        </w:rPr>
        <w:t> </w:t>
      </w:r>
      <w:r>
        <w:rPr>
          <w:color w:val="32BCAA"/>
        </w:rPr>
        <w:t>AND</w:t>
      </w:r>
      <w:r>
        <w:rPr>
          <w:color w:val="32BCAA"/>
          <w:spacing w:val="49"/>
        </w:rPr>
        <w:t> </w:t>
      </w:r>
      <w:r>
        <w:rPr>
          <w:color w:val="32BCAA"/>
        </w:rPr>
        <w:t>PREVENT</w:t>
      </w:r>
      <w:r>
        <w:rPr>
          <w:color w:val="32BCAA"/>
          <w:spacing w:val="34"/>
        </w:rPr>
        <w:t> </w:t>
      </w:r>
      <w:r>
        <w:rPr>
          <w:color w:val="32BCAA"/>
        </w:rPr>
        <w:t>MENTAL</w:t>
      </w:r>
      <w:r>
        <w:rPr>
          <w:color w:val="32BCAA"/>
          <w:spacing w:val="48"/>
        </w:rPr>
        <w:t> </w:t>
      </w:r>
      <w:r>
        <w:rPr>
          <w:color w:val="32BCAA"/>
        </w:rPr>
        <w:t>AND</w:t>
      </w:r>
      <w:r>
        <w:rPr>
          <w:color w:val="32BCAA"/>
          <w:spacing w:val="49"/>
        </w:rPr>
        <w:t> </w:t>
      </w:r>
      <w:r>
        <w:rPr>
          <w:color w:val="32BCAA"/>
        </w:rPr>
        <w:t>SUBSTANCE</w:t>
      </w:r>
      <w:r>
        <w:rPr>
          <w:color w:val="32BCAA"/>
          <w:spacing w:val="49"/>
        </w:rPr>
        <w:t> </w:t>
      </w:r>
      <w:r>
        <w:rPr>
          <w:color w:val="32BCAA"/>
        </w:rPr>
        <w:t>USE</w:t>
      </w:r>
      <w:r>
        <w:rPr>
          <w:color w:val="32BCAA"/>
          <w:spacing w:val="48"/>
        </w:rPr>
        <w:t> </w:t>
      </w:r>
      <w:r>
        <w:rPr>
          <w:color w:val="32BCAA"/>
          <w:spacing w:val="-2"/>
        </w:rPr>
        <w:t>DISORDERS</w:t>
      </w:r>
    </w:p>
    <w:p>
      <w:pPr>
        <w:pStyle w:val="ListParagraph"/>
        <w:numPr>
          <w:ilvl w:val="0"/>
          <w:numId w:val="17"/>
        </w:numPr>
        <w:tabs>
          <w:tab w:pos="1519" w:val="left" w:leader="none"/>
        </w:tabs>
        <w:spacing w:line="240" w:lineRule="auto" w:before="86" w:after="0"/>
        <w:ind w:left="1519" w:right="0" w:hanging="239"/>
        <w:jc w:val="left"/>
        <w:rPr>
          <w:sz w:val="22"/>
        </w:rPr>
      </w:pPr>
      <w:r>
        <w:rPr>
          <w:color w:val="105C84"/>
          <w:sz w:val="22"/>
        </w:rPr>
        <w:t>Promote</w:t>
      </w:r>
      <w:r>
        <w:rPr>
          <w:color w:val="105C84"/>
          <w:spacing w:val="28"/>
          <w:sz w:val="22"/>
        </w:rPr>
        <w:t> </w:t>
      </w:r>
      <w:r>
        <w:rPr>
          <w:color w:val="105C84"/>
          <w:sz w:val="22"/>
        </w:rPr>
        <w:t>well-</w:t>
      </w:r>
      <w:r>
        <w:rPr>
          <w:color w:val="105C84"/>
          <w:spacing w:val="-2"/>
          <w:sz w:val="22"/>
        </w:rPr>
        <w:t>being</w:t>
      </w:r>
    </w:p>
    <w:p>
      <w:pPr>
        <w:pStyle w:val="ListParagraph"/>
        <w:numPr>
          <w:ilvl w:val="0"/>
          <w:numId w:val="17"/>
        </w:numPr>
        <w:tabs>
          <w:tab w:pos="1519" w:val="left" w:leader="none"/>
        </w:tabs>
        <w:spacing w:line="240" w:lineRule="auto" w:before="187" w:after="0"/>
        <w:ind w:left="1519" w:right="0" w:hanging="239"/>
        <w:jc w:val="left"/>
        <w:rPr>
          <w:sz w:val="22"/>
        </w:rPr>
      </w:pPr>
      <w:r>
        <w:rPr>
          <w:color w:val="105C84"/>
          <w:sz w:val="22"/>
        </w:rPr>
        <w:t>Mental</w:t>
      </w:r>
      <w:r>
        <w:rPr>
          <w:color w:val="105C84"/>
          <w:spacing w:val="4"/>
          <w:sz w:val="22"/>
        </w:rPr>
        <w:t> </w:t>
      </w:r>
      <w:r>
        <w:rPr>
          <w:color w:val="105C84"/>
          <w:sz w:val="22"/>
        </w:rPr>
        <w:t>and</w:t>
      </w:r>
      <w:r>
        <w:rPr>
          <w:color w:val="105C84"/>
          <w:spacing w:val="4"/>
          <w:sz w:val="22"/>
        </w:rPr>
        <w:t> </w:t>
      </w:r>
      <w:r>
        <w:rPr>
          <w:color w:val="105C84"/>
          <w:sz w:val="22"/>
        </w:rPr>
        <w:t>substance</w:t>
      </w:r>
      <w:r>
        <w:rPr>
          <w:color w:val="105C84"/>
          <w:spacing w:val="4"/>
          <w:sz w:val="22"/>
        </w:rPr>
        <w:t> </w:t>
      </w:r>
      <w:r>
        <w:rPr>
          <w:color w:val="105C84"/>
          <w:sz w:val="22"/>
        </w:rPr>
        <w:t>use</w:t>
      </w:r>
      <w:r>
        <w:rPr>
          <w:color w:val="105C84"/>
          <w:spacing w:val="5"/>
          <w:sz w:val="22"/>
        </w:rPr>
        <w:t> </w:t>
      </w:r>
      <w:r>
        <w:rPr>
          <w:color w:val="105C84"/>
          <w:sz w:val="22"/>
        </w:rPr>
        <w:t>disorders</w:t>
      </w:r>
      <w:r>
        <w:rPr>
          <w:color w:val="105C84"/>
          <w:spacing w:val="4"/>
          <w:sz w:val="22"/>
        </w:rPr>
        <w:t> </w:t>
      </w:r>
      <w:r>
        <w:rPr>
          <w:color w:val="105C84"/>
          <w:spacing w:val="-2"/>
          <w:sz w:val="22"/>
        </w:rPr>
        <w:t>prevention</w:t>
      </w:r>
    </w:p>
    <w:p>
      <w:pPr>
        <w:pStyle w:val="BodyText"/>
        <w:spacing w:before="26"/>
      </w:pPr>
    </w:p>
    <w:p>
      <w:pPr>
        <w:pStyle w:val="Heading5"/>
      </w:pPr>
      <w:r>
        <w:rPr>
          <w:color w:val="32BCAA"/>
        </w:rPr>
        <w:t>DISPARITY:</w:t>
      </w:r>
      <w:r>
        <w:rPr>
          <w:color w:val="32BCAA"/>
          <w:spacing w:val="36"/>
        </w:rPr>
        <w:t> </w:t>
      </w:r>
      <w:r>
        <w:rPr>
          <w:color w:val="32BCAA"/>
        </w:rPr>
        <w:t>LOW</w:t>
      </w:r>
      <w:r>
        <w:rPr>
          <w:color w:val="32BCAA"/>
          <w:spacing w:val="45"/>
        </w:rPr>
        <w:t> </w:t>
      </w:r>
      <w:r>
        <w:rPr>
          <w:color w:val="32BCAA"/>
        </w:rPr>
        <w:t>SOCIOECONOMIC</w:t>
      </w:r>
      <w:r>
        <w:rPr>
          <w:color w:val="32BCAA"/>
          <w:spacing w:val="45"/>
        </w:rPr>
        <w:t> </w:t>
      </w:r>
      <w:r>
        <w:rPr>
          <w:color w:val="32BCAA"/>
        </w:rPr>
        <w:t>STATUS</w:t>
      </w:r>
      <w:r>
        <w:rPr>
          <w:color w:val="32BCAA"/>
          <w:spacing w:val="45"/>
        </w:rPr>
        <w:t> </w:t>
      </w:r>
      <w:r>
        <w:rPr>
          <w:color w:val="32BCAA"/>
        </w:rPr>
        <w:t>AND</w:t>
      </w:r>
      <w:r>
        <w:rPr>
          <w:color w:val="32BCAA"/>
          <w:spacing w:val="45"/>
        </w:rPr>
        <w:t> </w:t>
      </w:r>
      <w:r>
        <w:rPr>
          <w:color w:val="32BCAA"/>
        </w:rPr>
        <w:t>OLDER</w:t>
      </w:r>
      <w:r>
        <w:rPr>
          <w:color w:val="32BCAA"/>
          <w:spacing w:val="45"/>
        </w:rPr>
        <w:t> </w:t>
      </w:r>
      <w:r>
        <w:rPr>
          <w:color w:val="32BCAA"/>
          <w:spacing w:val="-2"/>
        </w:rPr>
        <w:t>ADULTS</w:t>
      </w:r>
    </w:p>
    <w:p>
      <w:pPr>
        <w:pStyle w:val="BodyText"/>
        <w:spacing w:line="247" w:lineRule="auto" w:before="86"/>
        <w:ind w:left="1080" w:right="140"/>
      </w:pPr>
      <w:r>
        <w:rPr>
          <w:color w:val="105C84"/>
        </w:rPr>
        <w:t>In addition to the group’s thoughts, </w:t>
      </w:r>
      <w:r>
        <w:rPr>
          <w:i/>
          <w:color w:val="105C84"/>
        </w:rPr>
        <w:t>My Health Story 2018 </w:t>
      </w:r>
      <w:r>
        <w:rPr>
          <w:color w:val="105C84"/>
        </w:rPr>
        <w:t>respondents were asked questions relating</w:t>
      </w:r>
      <w:r>
        <w:rPr>
          <w:color w:val="105C84"/>
          <w:spacing w:val="40"/>
          <w:w w:val="105"/>
        </w:rPr>
        <w:t> </w:t>
      </w:r>
      <w:r>
        <w:rPr>
          <w:color w:val="105C84"/>
          <w:w w:val="105"/>
        </w:rPr>
        <w:t>to</w:t>
      </w:r>
      <w:r>
        <w:rPr>
          <w:color w:val="105C84"/>
          <w:spacing w:val="-8"/>
          <w:w w:val="105"/>
        </w:rPr>
        <w:t> </w:t>
      </w:r>
      <w:r>
        <w:rPr>
          <w:color w:val="105C84"/>
          <w:w w:val="105"/>
        </w:rPr>
        <w:t>their</w:t>
      </w:r>
      <w:r>
        <w:rPr>
          <w:color w:val="105C84"/>
          <w:spacing w:val="-8"/>
          <w:w w:val="105"/>
        </w:rPr>
        <w:t> </w:t>
      </w:r>
      <w:r>
        <w:rPr>
          <w:color w:val="105C84"/>
          <w:w w:val="105"/>
        </w:rPr>
        <w:t>top</w:t>
      </w:r>
      <w:r>
        <w:rPr>
          <w:color w:val="105C84"/>
          <w:spacing w:val="-8"/>
          <w:w w:val="105"/>
        </w:rPr>
        <w:t> </w:t>
      </w:r>
      <w:r>
        <w:rPr>
          <w:color w:val="105C84"/>
          <w:w w:val="105"/>
        </w:rPr>
        <w:t>concerns</w:t>
      </w:r>
      <w:r>
        <w:rPr>
          <w:color w:val="105C84"/>
          <w:spacing w:val="-8"/>
          <w:w w:val="105"/>
        </w:rPr>
        <w:t> </w:t>
      </w:r>
      <w:r>
        <w:rPr>
          <w:color w:val="105C84"/>
          <w:w w:val="105"/>
        </w:rPr>
        <w:t>for</w:t>
      </w:r>
      <w:r>
        <w:rPr>
          <w:color w:val="105C84"/>
          <w:spacing w:val="-8"/>
          <w:w w:val="105"/>
        </w:rPr>
        <w:t> </w:t>
      </w:r>
      <w:r>
        <w:rPr>
          <w:color w:val="105C84"/>
          <w:w w:val="105"/>
        </w:rPr>
        <w:t>the</w:t>
      </w:r>
      <w:r>
        <w:rPr>
          <w:color w:val="105C84"/>
          <w:spacing w:val="-8"/>
          <w:w w:val="105"/>
        </w:rPr>
        <w:t> </w:t>
      </w:r>
      <w:r>
        <w:rPr>
          <w:color w:val="105C84"/>
          <w:w w:val="105"/>
        </w:rPr>
        <w:t>health</w:t>
      </w:r>
      <w:r>
        <w:rPr>
          <w:color w:val="105C84"/>
          <w:spacing w:val="-8"/>
          <w:w w:val="105"/>
        </w:rPr>
        <w:t> </w:t>
      </w:r>
      <w:r>
        <w:rPr>
          <w:color w:val="105C84"/>
          <w:w w:val="105"/>
        </w:rPr>
        <w:t>of</w:t>
      </w:r>
      <w:r>
        <w:rPr>
          <w:color w:val="105C84"/>
          <w:spacing w:val="-8"/>
          <w:w w:val="105"/>
        </w:rPr>
        <w:t> </w:t>
      </w:r>
      <w:r>
        <w:rPr>
          <w:color w:val="105C84"/>
          <w:w w:val="105"/>
        </w:rPr>
        <w:t>themselves,</w:t>
      </w:r>
      <w:r>
        <w:rPr>
          <w:color w:val="105C84"/>
          <w:spacing w:val="-8"/>
          <w:w w:val="105"/>
        </w:rPr>
        <w:t> </w:t>
      </w:r>
      <w:r>
        <w:rPr>
          <w:color w:val="105C84"/>
          <w:w w:val="105"/>
        </w:rPr>
        <w:t>loved</w:t>
      </w:r>
      <w:r>
        <w:rPr>
          <w:color w:val="105C84"/>
          <w:spacing w:val="-8"/>
          <w:w w:val="105"/>
        </w:rPr>
        <w:t> </w:t>
      </w:r>
      <w:r>
        <w:rPr>
          <w:color w:val="105C84"/>
          <w:w w:val="105"/>
        </w:rPr>
        <w:t>ones,</w:t>
      </w:r>
      <w:r>
        <w:rPr>
          <w:color w:val="105C84"/>
          <w:spacing w:val="-8"/>
          <w:w w:val="105"/>
        </w:rPr>
        <w:t> </w:t>
      </w:r>
      <w:r>
        <w:rPr>
          <w:color w:val="105C84"/>
          <w:w w:val="105"/>
        </w:rPr>
        <w:t>adults</w:t>
      </w:r>
      <w:r>
        <w:rPr>
          <w:color w:val="105C84"/>
          <w:spacing w:val="-8"/>
          <w:w w:val="105"/>
        </w:rPr>
        <w:t> </w:t>
      </w:r>
      <w:r>
        <w:rPr>
          <w:color w:val="105C84"/>
          <w:w w:val="105"/>
        </w:rPr>
        <w:t>and</w:t>
      </w:r>
      <w:r>
        <w:rPr>
          <w:color w:val="105C84"/>
          <w:spacing w:val="-8"/>
          <w:w w:val="105"/>
        </w:rPr>
        <w:t> </w:t>
      </w:r>
      <w:r>
        <w:rPr>
          <w:color w:val="105C84"/>
          <w:w w:val="105"/>
        </w:rPr>
        <w:t>children</w:t>
      </w:r>
      <w:r>
        <w:rPr>
          <w:color w:val="105C84"/>
          <w:spacing w:val="-8"/>
          <w:w w:val="105"/>
        </w:rPr>
        <w:t> </w:t>
      </w:r>
      <w:r>
        <w:rPr>
          <w:color w:val="105C84"/>
          <w:w w:val="105"/>
        </w:rPr>
        <w:t>in</w:t>
      </w:r>
      <w:r>
        <w:rPr>
          <w:color w:val="105C84"/>
          <w:spacing w:val="-8"/>
          <w:w w:val="105"/>
        </w:rPr>
        <w:t> </w:t>
      </w:r>
      <w:r>
        <w:rPr>
          <w:color w:val="105C84"/>
          <w:w w:val="105"/>
        </w:rPr>
        <w:t>the</w:t>
      </w:r>
      <w:r>
        <w:rPr>
          <w:color w:val="105C84"/>
          <w:spacing w:val="-8"/>
          <w:w w:val="105"/>
        </w:rPr>
        <w:t> </w:t>
      </w:r>
      <w:r>
        <w:rPr>
          <w:color w:val="105C84"/>
          <w:w w:val="105"/>
        </w:rPr>
        <w:t>community (and</w:t>
      </w:r>
      <w:r>
        <w:rPr>
          <w:color w:val="105C84"/>
          <w:spacing w:val="-7"/>
          <w:w w:val="105"/>
        </w:rPr>
        <w:t> </w:t>
      </w:r>
      <w:r>
        <w:rPr>
          <w:color w:val="105C84"/>
          <w:w w:val="105"/>
        </w:rPr>
        <w:t>were</w:t>
      </w:r>
      <w:r>
        <w:rPr>
          <w:color w:val="105C84"/>
          <w:spacing w:val="-7"/>
          <w:w w:val="105"/>
        </w:rPr>
        <w:t> </w:t>
      </w:r>
      <w:r>
        <w:rPr>
          <w:color w:val="105C84"/>
          <w:w w:val="105"/>
        </w:rPr>
        <w:t>reviewed</w:t>
      </w:r>
      <w:r>
        <w:rPr>
          <w:color w:val="105C84"/>
          <w:spacing w:val="-7"/>
          <w:w w:val="105"/>
        </w:rPr>
        <w:t> </w:t>
      </w:r>
      <w:r>
        <w:rPr>
          <w:color w:val="105C84"/>
          <w:w w:val="105"/>
        </w:rPr>
        <w:t>at</w:t>
      </w:r>
      <w:r>
        <w:rPr>
          <w:color w:val="105C84"/>
          <w:spacing w:val="-7"/>
          <w:w w:val="105"/>
        </w:rPr>
        <w:t> </w:t>
      </w:r>
      <w:r>
        <w:rPr>
          <w:color w:val="105C84"/>
          <w:w w:val="105"/>
        </w:rPr>
        <w:t>the</w:t>
      </w:r>
      <w:r>
        <w:rPr>
          <w:color w:val="105C84"/>
          <w:spacing w:val="-7"/>
          <w:w w:val="105"/>
        </w:rPr>
        <w:t> </w:t>
      </w:r>
      <w:r>
        <w:rPr>
          <w:color w:val="105C84"/>
          <w:w w:val="105"/>
        </w:rPr>
        <w:t>prioritization</w:t>
      </w:r>
      <w:r>
        <w:rPr>
          <w:color w:val="105C84"/>
          <w:spacing w:val="-7"/>
          <w:w w:val="105"/>
        </w:rPr>
        <w:t> </w:t>
      </w:r>
      <w:r>
        <w:rPr>
          <w:color w:val="105C84"/>
          <w:w w:val="105"/>
        </w:rPr>
        <w:t>meeting).</w:t>
      </w:r>
      <w:r>
        <w:rPr>
          <w:color w:val="105C84"/>
          <w:spacing w:val="-7"/>
          <w:w w:val="105"/>
        </w:rPr>
        <w:t> </w:t>
      </w:r>
      <w:r>
        <w:rPr>
          <w:color w:val="105C84"/>
          <w:w w:val="105"/>
        </w:rPr>
        <w:t>Weight</w:t>
      </w:r>
      <w:r>
        <w:rPr>
          <w:color w:val="105C84"/>
          <w:spacing w:val="-7"/>
          <w:w w:val="105"/>
        </w:rPr>
        <w:t> </w:t>
      </w:r>
      <w:r>
        <w:rPr>
          <w:color w:val="105C84"/>
          <w:w w:val="105"/>
        </w:rPr>
        <w:t>and</w:t>
      </w:r>
      <w:r>
        <w:rPr>
          <w:color w:val="105C84"/>
          <w:spacing w:val="-7"/>
          <w:w w:val="105"/>
        </w:rPr>
        <w:t> </w:t>
      </w:r>
      <w:r>
        <w:rPr>
          <w:color w:val="105C84"/>
          <w:w w:val="105"/>
        </w:rPr>
        <w:t>mental/emotional</w:t>
      </w:r>
      <w:r>
        <w:rPr>
          <w:color w:val="105C84"/>
          <w:spacing w:val="-7"/>
          <w:w w:val="105"/>
        </w:rPr>
        <w:t> </w:t>
      </w:r>
      <w:r>
        <w:rPr>
          <w:color w:val="105C84"/>
          <w:w w:val="105"/>
        </w:rPr>
        <w:t>health</w:t>
      </w:r>
      <w:r>
        <w:rPr>
          <w:color w:val="105C84"/>
          <w:spacing w:val="-7"/>
          <w:w w:val="105"/>
        </w:rPr>
        <w:t> </w:t>
      </w:r>
      <w:r>
        <w:rPr>
          <w:color w:val="105C84"/>
          <w:w w:val="105"/>
        </w:rPr>
        <w:t>issues</w:t>
      </w:r>
      <w:r>
        <w:rPr>
          <w:color w:val="105C84"/>
          <w:spacing w:val="-7"/>
          <w:w w:val="105"/>
        </w:rPr>
        <w:t> </w:t>
      </w:r>
      <w:r>
        <w:rPr>
          <w:color w:val="105C84"/>
          <w:w w:val="105"/>
        </w:rPr>
        <w:t>have </w:t>
      </w:r>
      <w:r>
        <w:rPr>
          <w:color w:val="105C84"/>
        </w:rPr>
        <w:t>risen to the top for each of the four categories. Of note, substance use, mental/emotional health and</w:t>
      </w:r>
      <w:r>
        <w:rPr>
          <w:color w:val="105C84"/>
          <w:spacing w:val="80"/>
        </w:rPr>
        <w:t> </w:t>
      </w:r>
      <w:r>
        <w:rPr>
          <w:color w:val="105C84"/>
        </w:rPr>
        <w:t>obesity related issues are concerns respondents had for children in the county. Cancer and cost of </w:t>
      </w:r>
      <w:r>
        <w:rPr>
          <w:color w:val="105C84"/>
          <w:w w:val="105"/>
        </w:rPr>
        <w:t>care</w:t>
      </w:r>
      <w:r>
        <w:rPr>
          <w:color w:val="105C84"/>
          <w:spacing w:val="-5"/>
          <w:w w:val="105"/>
        </w:rPr>
        <w:t> </w:t>
      </w:r>
      <w:r>
        <w:rPr>
          <w:color w:val="105C84"/>
          <w:w w:val="105"/>
        </w:rPr>
        <w:t>rose</w:t>
      </w:r>
      <w:r>
        <w:rPr>
          <w:color w:val="105C84"/>
          <w:spacing w:val="-5"/>
          <w:w w:val="105"/>
        </w:rPr>
        <w:t> </w:t>
      </w:r>
      <w:r>
        <w:rPr>
          <w:color w:val="105C84"/>
          <w:w w:val="105"/>
        </w:rPr>
        <w:t>to</w:t>
      </w:r>
      <w:r>
        <w:rPr>
          <w:color w:val="105C84"/>
          <w:spacing w:val="-5"/>
          <w:w w:val="105"/>
        </w:rPr>
        <w:t> </w:t>
      </w:r>
      <w:r>
        <w:rPr>
          <w:color w:val="105C84"/>
          <w:w w:val="105"/>
        </w:rPr>
        <w:t>the</w:t>
      </w:r>
      <w:r>
        <w:rPr>
          <w:color w:val="105C84"/>
          <w:spacing w:val="-5"/>
          <w:w w:val="105"/>
        </w:rPr>
        <w:t> </w:t>
      </w:r>
      <w:r>
        <w:rPr>
          <w:color w:val="105C84"/>
          <w:w w:val="105"/>
        </w:rPr>
        <w:t>top</w:t>
      </w:r>
      <w:r>
        <w:rPr>
          <w:color w:val="105C84"/>
          <w:spacing w:val="-5"/>
          <w:w w:val="105"/>
        </w:rPr>
        <w:t> </w:t>
      </w:r>
      <w:r>
        <w:rPr>
          <w:color w:val="105C84"/>
          <w:w w:val="105"/>
        </w:rPr>
        <w:t>five</w:t>
      </w:r>
      <w:r>
        <w:rPr>
          <w:color w:val="105C84"/>
          <w:spacing w:val="-5"/>
          <w:w w:val="105"/>
        </w:rPr>
        <w:t> </w:t>
      </w:r>
      <w:r>
        <w:rPr>
          <w:color w:val="105C84"/>
          <w:w w:val="105"/>
        </w:rPr>
        <w:t>for</w:t>
      </w:r>
      <w:r>
        <w:rPr>
          <w:color w:val="105C84"/>
          <w:spacing w:val="-5"/>
          <w:w w:val="105"/>
        </w:rPr>
        <w:t> </w:t>
      </w:r>
      <w:r>
        <w:rPr>
          <w:color w:val="105C84"/>
          <w:w w:val="105"/>
        </w:rPr>
        <w:t>respondents’</w:t>
      </w:r>
      <w:r>
        <w:rPr>
          <w:color w:val="105C84"/>
          <w:spacing w:val="-5"/>
          <w:w w:val="105"/>
        </w:rPr>
        <w:t> </w:t>
      </w:r>
      <w:r>
        <w:rPr>
          <w:color w:val="105C84"/>
          <w:w w:val="105"/>
        </w:rPr>
        <w:t>fears</w:t>
      </w:r>
      <w:r>
        <w:rPr>
          <w:color w:val="105C84"/>
          <w:spacing w:val="-5"/>
          <w:w w:val="105"/>
        </w:rPr>
        <w:t> </w:t>
      </w:r>
      <w:r>
        <w:rPr>
          <w:color w:val="105C84"/>
          <w:w w:val="105"/>
        </w:rPr>
        <w:t>for</w:t>
      </w:r>
      <w:r>
        <w:rPr>
          <w:color w:val="105C84"/>
          <w:spacing w:val="-5"/>
          <w:w w:val="105"/>
        </w:rPr>
        <w:t> </w:t>
      </w:r>
      <w:r>
        <w:rPr>
          <w:color w:val="105C84"/>
          <w:w w:val="105"/>
        </w:rPr>
        <w:t>themselves</w:t>
      </w:r>
      <w:r>
        <w:rPr>
          <w:color w:val="105C84"/>
          <w:spacing w:val="-5"/>
          <w:w w:val="105"/>
        </w:rPr>
        <w:t> </w:t>
      </w:r>
      <w:r>
        <w:rPr>
          <w:color w:val="105C84"/>
          <w:w w:val="105"/>
        </w:rPr>
        <w:t>and</w:t>
      </w:r>
      <w:r>
        <w:rPr>
          <w:color w:val="105C84"/>
          <w:spacing w:val="-5"/>
          <w:w w:val="105"/>
        </w:rPr>
        <w:t> </w:t>
      </w:r>
      <w:r>
        <w:rPr>
          <w:color w:val="105C84"/>
          <w:w w:val="105"/>
        </w:rPr>
        <w:t>for</w:t>
      </w:r>
      <w:r>
        <w:rPr>
          <w:color w:val="105C84"/>
          <w:spacing w:val="-5"/>
          <w:w w:val="105"/>
        </w:rPr>
        <w:t> </w:t>
      </w:r>
      <w:r>
        <w:rPr>
          <w:color w:val="105C84"/>
          <w:w w:val="105"/>
        </w:rPr>
        <w:t>others.</w:t>
      </w:r>
    </w:p>
    <w:p>
      <w:pPr>
        <w:pStyle w:val="Heading6"/>
        <w:spacing w:before="121"/>
        <w:ind w:right="479"/>
      </w:pPr>
      <w:r>
        <w:rPr>
          <w:b w:val="0"/>
        </w:rPr>
        <w:br w:type="column"/>
      </w:r>
      <w:r>
        <w:rPr>
          <w:color w:val="105C84"/>
          <w:spacing w:val="-4"/>
        </w:rPr>
        <w:t>FIGURE</w:t>
      </w:r>
      <w:r>
        <w:rPr>
          <w:color w:val="105C84"/>
          <w:spacing w:val="-8"/>
        </w:rPr>
        <w:t> </w:t>
      </w:r>
      <w:r>
        <w:rPr>
          <w:color w:val="105C84"/>
          <w:spacing w:val="-4"/>
        </w:rPr>
        <w:t>23:</w:t>
      </w:r>
      <w:r>
        <w:rPr>
          <w:color w:val="105C84"/>
          <w:spacing w:val="-8"/>
        </w:rPr>
        <w:t> </w:t>
      </w:r>
      <w:r>
        <w:rPr>
          <w:color w:val="105C84"/>
          <w:spacing w:val="-4"/>
        </w:rPr>
        <w:t>Livingston</w:t>
      </w:r>
      <w:r>
        <w:rPr>
          <w:color w:val="105C84"/>
          <w:spacing w:val="-8"/>
        </w:rPr>
        <w:t> </w:t>
      </w:r>
      <w:r>
        <w:rPr>
          <w:color w:val="105C84"/>
          <w:spacing w:val="-4"/>
        </w:rPr>
        <w:t>County</w:t>
      </w:r>
      <w:r>
        <w:rPr>
          <w:color w:val="105C84"/>
          <w:spacing w:val="-8"/>
        </w:rPr>
        <w:t> </w:t>
      </w:r>
      <w:r>
        <w:rPr>
          <w:color w:val="105C84"/>
          <w:spacing w:val="-4"/>
        </w:rPr>
        <w:t>summary</w:t>
      </w:r>
      <w:r>
        <w:rPr>
          <w:color w:val="105C84"/>
          <w:spacing w:val="-8"/>
        </w:rPr>
        <w:t> </w:t>
      </w:r>
      <w:r>
        <w:rPr>
          <w:color w:val="105C84"/>
          <w:spacing w:val="-4"/>
        </w:rPr>
        <w:t>of</w:t>
      </w:r>
      <w:r>
        <w:rPr>
          <w:color w:val="105C84"/>
          <w:spacing w:val="-8"/>
        </w:rPr>
        <w:t> </w:t>
      </w:r>
      <w:r>
        <w:rPr>
          <w:color w:val="105C84"/>
          <w:spacing w:val="-4"/>
        </w:rPr>
        <w:t>health-related</w:t>
      </w:r>
      <w:r>
        <w:rPr>
          <w:color w:val="105C84"/>
          <w:spacing w:val="-8"/>
        </w:rPr>
        <w:t> </w:t>
      </w:r>
      <w:r>
        <w:rPr>
          <w:color w:val="105C84"/>
          <w:spacing w:val="-4"/>
        </w:rPr>
        <w:t>concerns</w:t>
      </w:r>
      <w:r>
        <w:rPr>
          <w:color w:val="105C84"/>
          <w:spacing w:val="-8"/>
        </w:rPr>
        <w:t> </w:t>
      </w:r>
      <w:r>
        <w:rPr>
          <w:color w:val="105C84"/>
          <w:spacing w:val="-4"/>
        </w:rPr>
        <w:t>for</w:t>
      </w:r>
      <w:r>
        <w:rPr>
          <w:color w:val="105C84"/>
          <w:spacing w:val="-8"/>
        </w:rPr>
        <w:t> </w:t>
      </w:r>
      <w:r>
        <w:rPr>
          <w:color w:val="105C84"/>
          <w:spacing w:val="-4"/>
        </w:rPr>
        <w:t>self,</w:t>
      </w:r>
      <w:r>
        <w:rPr>
          <w:color w:val="105C84"/>
          <w:spacing w:val="-8"/>
        </w:rPr>
        <w:t> </w:t>
      </w:r>
      <w:r>
        <w:rPr>
          <w:color w:val="105C84"/>
          <w:spacing w:val="-4"/>
        </w:rPr>
        <w:t>loved </w:t>
      </w:r>
      <w:r>
        <w:rPr>
          <w:color w:val="105C84"/>
        </w:rPr>
        <w:t>ones and county to prioritize</w:t>
      </w:r>
    </w:p>
    <w:p>
      <w:pPr>
        <w:pStyle w:val="BodyText"/>
        <w:spacing w:before="42"/>
        <w:rPr>
          <w:b/>
          <w:sz w:val="20"/>
        </w:rPr>
      </w:pPr>
      <w:r>
        <w:rPr>
          <w:b/>
          <w:sz w:val="20"/>
        </w:rPr>
        <mc:AlternateContent>
          <mc:Choice Requires="wps">
            <w:drawing>
              <wp:anchor distT="0" distB="0" distL="0" distR="0" allowOverlap="1" layoutInCell="1" locked="0" behindDoc="1" simplePos="0" relativeHeight="487587840">
                <wp:simplePos x="0" y="0"/>
                <wp:positionH relativeFrom="page">
                  <wp:posOffset>8458200</wp:posOffset>
                </wp:positionH>
                <wp:positionV relativeFrom="paragraph">
                  <wp:posOffset>188017</wp:posOffset>
                </wp:positionV>
                <wp:extent cx="2891155" cy="1374775"/>
                <wp:effectExtent l="0" t="0" r="0" b="0"/>
                <wp:wrapTopAndBottom/>
                <wp:docPr id="682" name="Textbox 682"/>
                <wp:cNvGraphicFramePr>
                  <a:graphicFrameLocks/>
                </wp:cNvGraphicFramePr>
                <a:graphic>
                  <a:graphicData uri="http://schemas.microsoft.com/office/word/2010/wordprocessingShape">
                    <wps:wsp>
                      <wps:cNvPr id="682" name="Textbox 682"/>
                      <wps:cNvSpPr txBox="1"/>
                      <wps:spPr>
                        <a:xfrm>
                          <a:off x="0" y="0"/>
                          <a:ext cx="2891155" cy="1374775"/>
                        </a:xfrm>
                        <a:prstGeom prst="rect">
                          <a:avLst/>
                        </a:prstGeom>
                      </wps:spPr>
                      <wps:txbx>
                        <w:txbxContent>
                          <w:tbl>
                            <w:tblPr>
                              <w:tblW w:w="0" w:type="auto"/>
                              <w:jc w:val="left"/>
                              <w:tblInd w:w="2" w:type="dxa"/>
                              <w:tblBorders>
                                <w:top w:val="single" w:sz="2" w:space="0" w:color="636466"/>
                                <w:left w:val="single" w:sz="2" w:space="0" w:color="636466"/>
                                <w:bottom w:val="single" w:sz="2" w:space="0" w:color="636466"/>
                                <w:right w:val="single" w:sz="2" w:space="0" w:color="636466"/>
                                <w:insideH w:val="single" w:sz="2" w:space="0" w:color="636466"/>
                                <w:insideV w:val="single" w:sz="2" w:space="0" w:color="636466"/>
                              </w:tblBorders>
                              <w:tblLayout w:type="fixed"/>
                              <w:tblCellMar>
                                <w:top w:w="0" w:type="dxa"/>
                                <w:left w:w="0" w:type="dxa"/>
                                <w:bottom w:w="0" w:type="dxa"/>
                                <w:right w:w="0" w:type="dxa"/>
                              </w:tblCellMar>
                              <w:tblLook w:val="01E0"/>
                            </w:tblPr>
                            <w:tblGrid>
                              <w:gridCol w:w="4548"/>
                            </w:tblGrid>
                            <w:tr>
                              <w:trPr>
                                <w:trHeight w:val="355" w:hRule="atLeast"/>
                              </w:trPr>
                              <w:tc>
                                <w:tcPr>
                                  <w:tcW w:w="4548" w:type="dxa"/>
                                  <w:shd w:val="clear" w:color="auto" w:fill="82BF6A"/>
                                </w:tcPr>
                                <w:p>
                                  <w:pPr>
                                    <w:pStyle w:val="TableParagraph"/>
                                    <w:spacing w:before="90"/>
                                    <w:ind w:left="80"/>
                                    <w:rPr>
                                      <w:b/>
                                      <w:sz w:val="20"/>
                                    </w:rPr>
                                  </w:pPr>
                                  <w:r>
                                    <w:rPr>
                                      <w:b/>
                                      <w:color w:val="FFFFFF"/>
                                      <w:sz w:val="20"/>
                                    </w:rPr>
                                    <w:t>BIGGEST</w:t>
                                  </w:r>
                                  <w:r>
                                    <w:rPr>
                                      <w:b/>
                                      <w:color w:val="FFFFFF"/>
                                      <w:spacing w:val="-10"/>
                                      <w:sz w:val="20"/>
                                    </w:rPr>
                                    <w:t> </w:t>
                                  </w:r>
                                  <w:r>
                                    <w:rPr>
                                      <w:b/>
                                      <w:color w:val="FFFFFF"/>
                                      <w:sz w:val="20"/>
                                    </w:rPr>
                                    <w:t>FEAR</w:t>
                                  </w:r>
                                  <w:r>
                                    <w:rPr>
                                      <w:b/>
                                      <w:color w:val="FFFFFF"/>
                                      <w:spacing w:val="-10"/>
                                      <w:sz w:val="20"/>
                                    </w:rPr>
                                    <w:t> </w:t>
                                  </w:r>
                                  <w:r>
                                    <w:rPr>
                                      <w:b/>
                                      <w:color w:val="FFFFFF"/>
                                      <w:sz w:val="20"/>
                                    </w:rPr>
                                    <w:t>-</w:t>
                                  </w:r>
                                  <w:r>
                                    <w:rPr>
                                      <w:b/>
                                      <w:color w:val="FFFFFF"/>
                                      <w:spacing w:val="-9"/>
                                      <w:sz w:val="20"/>
                                    </w:rPr>
                                    <w:t> </w:t>
                                  </w:r>
                                  <w:r>
                                    <w:rPr>
                                      <w:b/>
                                      <w:color w:val="FFFFFF"/>
                                      <w:sz w:val="20"/>
                                    </w:rPr>
                                    <w:t>FOR</w:t>
                                  </w:r>
                                  <w:r>
                                    <w:rPr>
                                      <w:b/>
                                      <w:color w:val="FFFFFF"/>
                                      <w:spacing w:val="-10"/>
                                      <w:sz w:val="20"/>
                                    </w:rPr>
                                    <w:t> </w:t>
                                  </w:r>
                                  <w:r>
                                    <w:rPr>
                                      <w:b/>
                                      <w:color w:val="FFFFFF"/>
                                      <w:spacing w:val="-4"/>
                                      <w:sz w:val="20"/>
                                    </w:rPr>
                                    <w:t>SELF</w:t>
                                  </w:r>
                                </w:p>
                              </w:tc>
                            </w:tr>
                            <w:tr>
                              <w:trPr>
                                <w:trHeight w:val="355" w:hRule="atLeast"/>
                              </w:trPr>
                              <w:tc>
                                <w:tcPr>
                                  <w:tcW w:w="4548" w:type="dxa"/>
                                </w:tcPr>
                                <w:p>
                                  <w:pPr>
                                    <w:pStyle w:val="TableParagraph"/>
                                    <w:spacing w:before="90"/>
                                    <w:ind w:left="80"/>
                                    <w:rPr>
                                      <w:sz w:val="20"/>
                                    </w:rPr>
                                  </w:pPr>
                                  <w:r>
                                    <w:rPr>
                                      <w:color w:val="105C84"/>
                                      <w:sz w:val="20"/>
                                    </w:rPr>
                                    <w:t>Mental</w:t>
                                  </w:r>
                                  <w:r>
                                    <w:rPr>
                                      <w:color w:val="105C84"/>
                                      <w:spacing w:val="13"/>
                                      <w:sz w:val="20"/>
                                    </w:rPr>
                                    <w:t> </w:t>
                                  </w:r>
                                  <w:r>
                                    <w:rPr>
                                      <w:color w:val="105C84"/>
                                      <w:sz w:val="20"/>
                                    </w:rPr>
                                    <w:t>/</w:t>
                                  </w:r>
                                  <w:r>
                                    <w:rPr>
                                      <w:color w:val="105C84"/>
                                      <w:spacing w:val="13"/>
                                      <w:sz w:val="20"/>
                                    </w:rPr>
                                    <w:t> </w:t>
                                  </w:r>
                                  <w:r>
                                    <w:rPr>
                                      <w:color w:val="105C84"/>
                                      <w:sz w:val="20"/>
                                    </w:rPr>
                                    <w:t>emotional</w:t>
                                  </w:r>
                                  <w:r>
                                    <w:rPr>
                                      <w:color w:val="105C84"/>
                                      <w:spacing w:val="13"/>
                                      <w:sz w:val="20"/>
                                    </w:rPr>
                                    <w:t> </w:t>
                                  </w:r>
                                  <w:r>
                                    <w:rPr>
                                      <w:color w:val="105C84"/>
                                      <w:sz w:val="20"/>
                                    </w:rPr>
                                    <w:t>health</w:t>
                                  </w:r>
                                  <w:r>
                                    <w:rPr>
                                      <w:color w:val="105C84"/>
                                      <w:spacing w:val="13"/>
                                      <w:sz w:val="20"/>
                                    </w:rPr>
                                    <w:t> </w:t>
                                  </w:r>
                                  <w:r>
                                    <w:rPr>
                                      <w:color w:val="105C84"/>
                                      <w:sz w:val="20"/>
                                    </w:rPr>
                                    <w:t>issues</w:t>
                                  </w:r>
                                  <w:r>
                                    <w:rPr>
                                      <w:color w:val="105C84"/>
                                      <w:spacing w:val="13"/>
                                      <w:sz w:val="20"/>
                                    </w:rPr>
                                    <w:t> </w:t>
                                  </w:r>
                                  <w:r>
                                    <w:rPr>
                                      <w:color w:val="105C84"/>
                                      <w:spacing w:val="-2"/>
                                      <w:sz w:val="20"/>
                                    </w:rPr>
                                    <w:t>(17.3%)</w:t>
                                  </w:r>
                                </w:p>
                              </w:tc>
                            </w:tr>
                            <w:tr>
                              <w:trPr>
                                <w:trHeight w:val="355" w:hRule="atLeast"/>
                              </w:trPr>
                              <w:tc>
                                <w:tcPr>
                                  <w:tcW w:w="4548" w:type="dxa"/>
                                </w:tcPr>
                                <w:p>
                                  <w:pPr>
                                    <w:pStyle w:val="TableParagraph"/>
                                    <w:spacing w:before="90"/>
                                    <w:ind w:left="80"/>
                                    <w:rPr>
                                      <w:sz w:val="20"/>
                                    </w:rPr>
                                  </w:pPr>
                                  <w:r>
                                    <w:rPr>
                                      <w:color w:val="105C84"/>
                                      <w:sz w:val="20"/>
                                    </w:rPr>
                                    <w:t>Weight</w:t>
                                  </w:r>
                                  <w:r>
                                    <w:rPr>
                                      <w:color w:val="105C84"/>
                                      <w:spacing w:val="27"/>
                                      <w:sz w:val="20"/>
                                    </w:rPr>
                                    <w:t> </w:t>
                                  </w:r>
                                  <w:r>
                                    <w:rPr>
                                      <w:color w:val="105C84"/>
                                      <w:spacing w:val="-2"/>
                                      <w:sz w:val="20"/>
                                    </w:rPr>
                                    <w:t>(9.8%)</w:t>
                                  </w:r>
                                </w:p>
                              </w:tc>
                            </w:tr>
                            <w:tr>
                              <w:trPr>
                                <w:trHeight w:val="355" w:hRule="atLeast"/>
                              </w:trPr>
                              <w:tc>
                                <w:tcPr>
                                  <w:tcW w:w="4548" w:type="dxa"/>
                                </w:tcPr>
                                <w:p>
                                  <w:pPr>
                                    <w:pStyle w:val="TableParagraph"/>
                                    <w:spacing w:before="90"/>
                                    <w:ind w:left="80"/>
                                    <w:rPr>
                                      <w:sz w:val="20"/>
                                    </w:rPr>
                                  </w:pPr>
                                  <w:r>
                                    <w:rPr>
                                      <w:color w:val="105C84"/>
                                      <w:sz w:val="20"/>
                                    </w:rPr>
                                    <w:t>Cancer</w:t>
                                  </w:r>
                                  <w:r>
                                    <w:rPr>
                                      <w:color w:val="105C84"/>
                                      <w:spacing w:val="-10"/>
                                      <w:sz w:val="20"/>
                                    </w:rPr>
                                    <w:t> </w:t>
                                  </w:r>
                                  <w:r>
                                    <w:rPr>
                                      <w:color w:val="105C84"/>
                                      <w:spacing w:val="-2"/>
                                      <w:sz w:val="20"/>
                                    </w:rPr>
                                    <w:t>(7.0%)</w:t>
                                  </w:r>
                                </w:p>
                              </w:tc>
                            </w:tr>
                            <w:tr>
                              <w:trPr>
                                <w:trHeight w:val="355" w:hRule="atLeast"/>
                              </w:trPr>
                              <w:tc>
                                <w:tcPr>
                                  <w:tcW w:w="4548" w:type="dxa"/>
                                </w:tcPr>
                                <w:p>
                                  <w:pPr>
                                    <w:pStyle w:val="TableParagraph"/>
                                    <w:spacing w:before="90"/>
                                    <w:ind w:left="80"/>
                                    <w:rPr>
                                      <w:sz w:val="20"/>
                                    </w:rPr>
                                  </w:pPr>
                                  <w:r>
                                    <w:rPr>
                                      <w:color w:val="105C84"/>
                                      <w:sz w:val="20"/>
                                    </w:rPr>
                                    <w:t>Heart</w:t>
                                  </w:r>
                                  <w:r>
                                    <w:rPr>
                                      <w:color w:val="105C84"/>
                                      <w:spacing w:val="22"/>
                                      <w:sz w:val="20"/>
                                    </w:rPr>
                                    <w:t> </w:t>
                                  </w:r>
                                  <w:r>
                                    <w:rPr>
                                      <w:color w:val="105C84"/>
                                      <w:sz w:val="20"/>
                                    </w:rPr>
                                    <w:t>conditions</w:t>
                                  </w:r>
                                  <w:r>
                                    <w:rPr>
                                      <w:color w:val="105C84"/>
                                      <w:spacing w:val="23"/>
                                      <w:sz w:val="20"/>
                                    </w:rPr>
                                    <w:t> </w:t>
                                  </w:r>
                                  <w:r>
                                    <w:rPr>
                                      <w:color w:val="105C84"/>
                                      <w:spacing w:val="-2"/>
                                      <w:sz w:val="20"/>
                                    </w:rPr>
                                    <w:t>(6.2%)</w:t>
                                  </w:r>
                                </w:p>
                              </w:tc>
                            </w:tr>
                            <w:tr>
                              <w:trPr>
                                <w:trHeight w:val="355" w:hRule="atLeast"/>
                              </w:trPr>
                              <w:tc>
                                <w:tcPr>
                                  <w:tcW w:w="4548" w:type="dxa"/>
                                </w:tcPr>
                                <w:p>
                                  <w:pPr>
                                    <w:pStyle w:val="TableParagraph"/>
                                    <w:spacing w:before="90"/>
                                    <w:ind w:left="80"/>
                                    <w:rPr>
                                      <w:sz w:val="20"/>
                                    </w:rPr>
                                  </w:pPr>
                                  <w:r>
                                    <w:rPr>
                                      <w:color w:val="105C84"/>
                                      <w:sz w:val="20"/>
                                    </w:rPr>
                                    <w:t>Cost</w:t>
                                  </w:r>
                                  <w:r>
                                    <w:rPr>
                                      <w:color w:val="105C84"/>
                                      <w:spacing w:val="4"/>
                                      <w:sz w:val="20"/>
                                    </w:rPr>
                                    <w:t> </w:t>
                                  </w:r>
                                  <w:r>
                                    <w:rPr>
                                      <w:color w:val="105C84"/>
                                      <w:spacing w:val="-2"/>
                                      <w:sz w:val="20"/>
                                    </w:rPr>
                                    <w:t>(5.8%)</w:t>
                                  </w:r>
                                </w:p>
                              </w:tc>
                            </w:tr>
                          </w:tbl>
                          <w:p>
                            <w:pPr>
                              <w:pStyle w:val="BodyText"/>
                            </w:pPr>
                          </w:p>
                        </w:txbxContent>
                      </wps:txbx>
                      <wps:bodyPr wrap="square" lIns="0" tIns="0" rIns="0" bIns="0" rtlCol="0">
                        <a:noAutofit/>
                      </wps:bodyPr>
                    </wps:wsp>
                  </a:graphicData>
                </a:graphic>
              </wp:anchor>
            </w:drawing>
          </mc:Choice>
          <mc:Fallback>
            <w:pict>
              <v:shape style="position:absolute;margin-left:666pt;margin-top:14.804492pt;width:227.65pt;height:108.25pt;mso-position-horizontal-relative:page;mso-position-vertical-relative:paragraph;z-index:-15728640;mso-wrap-distance-left:0;mso-wrap-distance-right:0" type="#_x0000_t202" id="docshape586" filled="false" stroked="false">
                <v:textbox inset="0,0,0,0">
                  <w:txbxContent>
                    <w:tbl>
                      <w:tblPr>
                        <w:tblW w:w="0" w:type="auto"/>
                        <w:jc w:val="left"/>
                        <w:tblInd w:w="2" w:type="dxa"/>
                        <w:tblBorders>
                          <w:top w:val="single" w:sz="2" w:space="0" w:color="636466"/>
                          <w:left w:val="single" w:sz="2" w:space="0" w:color="636466"/>
                          <w:bottom w:val="single" w:sz="2" w:space="0" w:color="636466"/>
                          <w:right w:val="single" w:sz="2" w:space="0" w:color="636466"/>
                          <w:insideH w:val="single" w:sz="2" w:space="0" w:color="636466"/>
                          <w:insideV w:val="single" w:sz="2" w:space="0" w:color="636466"/>
                        </w:tblBorders>
                        <w:tblLayout w:type="fixed"/>
                        <w:tblCellMar>
                          <w:top w:w="0" w:type="dxa"/>
                          <w:left w:w="0" w:type="dxa"/>
                          <w:bottom w:w="0" w:type="dxa"/>
                          <w:right w:w="0" w:type="dxa"/>
                        </w:tblCellMar>
                        <w:tblLook w:val="01E0"/>
                      </w:tblPr>
                      <w:tblGrid>
                        <w:gridCol w:w="4548"/>
                      </w:tblGrid>
                      <w:tr>
                        <w:trPr>
                          <w:trHeight w:val="355" w:hRule="atLeast"/>
                        </w:trPr>
                        <w:tc>
                          <w:tcPr>
                            <w:tcW w:w="4548" w:type="dxa"/>
                            <w:shd w:val="clear" w:color="auto" w:fill="82BF6A"/>
                          </w:tcPr>
                          <w:p>
                            <w:pPr>
                              <w:pStyle w:val="TableParagraph"/>
                              <w:spacing w:before="90"/>
                              <w:ind w:left="80"/>
                              <w:rPr>
                                <w:b/>
                                <w:sz w:val="20"/>
                              </w:rPr>
                            </w:pPr>
                            <w:r>
                              <w:rPr>
                                <w:b/>
                                <w:color w:val="FFFFFF"/>
                                <w:sz w:val="20"/>
                              </w:rPr>
                              <w:t>BIGGEST</w:t>
                            </w:r>
                            <w:r>
                              <w:rPr>
                                <w:b/>
                                <w:color w:val="FFFFFF"/>
                                <w:spacing w:val="-10"/>
                                <w:sz w:val="20"/>
                              </w:rPr>
                              <w:t> </w:t>
                            </w:r>
                            <w:r>
                              <w:rPr>
                                <w:b/>
                                <w:color w:val="FFFFFF"/>
                                <w:sz w:val="20"/>
                              </w:rPr>
                              <w:t>FEAR</w:t>
                            </w:r>
                            <w:r>
                              <w:rPr>
                                <w:b/>
                                <w:color w:val="FFFFFF"/>
                                <w:spacing w:val="-10"/>
                                <w:sz w:val="20"/>
                              </w:rPr>
                              <w:t> </w:t>
                            </w:r>
                            <w:r>
                              <w:rPr>
                                <w:b/>
                                <w:color w:val="FFFFFF"/>
                                <w:sz w:val="20"/>
                              </w:rPr>
                              <w:t>-</w:t>
                            </w:r>
                            <w:r>
                              <w:rPr>
                                <w:b/>
                                <w:color w:val="FFFFFF"/>
                                <w:spacing w:val="-9"/>
                                <w:sz w:val="20"/>
                              </w:rPr>
                              <w:t> </w:t>
                            </w:r>
                            <w:r>
                              <w:rPr>
                                <w:b/>
                                <w:color w:val="FFFFFF"/>
                                <w:sz w:val="20"/>
                              </w:rPr>
                              <w:t>FOR</w:t>
                            </w:r>
                            <w:r>
                              <w:rPr>
                                <w:b/>
                                <w:color w:val="FFFFFF"/>
                                <w:spacing w:val="-10"/>
                                <w:sz w:val="20"/>
                              </w:rPr>
                              <w:t> </w:t>
                            </w:r>
                            <w:r>
                              <w:rPr>
                                <w:b/>
                                <w:color w:val="FFFFFF"/>
                                <w:spacing w:val="-4"/>
                                <w:sz w:val="20"/>
                              </w:rPr>
                              <w:t>SELF</w:t>
                            </w:r>
                          </w:p>
                        </w:tc>
                      </w:tr>
                      <w:tr>
                        <w:trPr>
                          <w:trHeight w:val="355" w:hRule="atLeast"/>
                        </w:trPr>
                        <w:tc>
                          <w:tcPr>
                            <w:tcW w:w="4548" w:type="dxa"/>
                          </w:tcPr>
                          <w:p>
                            <w:pPr>
                              <w:pStyle w:val="TableParagraph"/>
                              <w:spacing w:before="90"/>
                              <w:ind w:left="80"/>
                              <w:rPr>
                                <w:sz w:val="20"/>
                              </w:rPr>
                            </w:pPr>
                            <w:r>
                              <w:rPr>
                                <w:color w:val="105C84"/>
                                <w:sz w:val="20"/>
                              </w:rPr>
                              <w:t>Mental</w:t>
                            </w:r>
                            <w:r>
                              <w:rPr>
                                <w:color w:val="105C84"/>
                                <w:spacing w:val="13"/>
                                <w:sz w:val="20"/>
                              </w:rPr>
                              <w:t> </w:t>
                            </w:r>
                            <w:r>
                              <w:rPr>
                                <w:color w:val="105C84"/>
                                <w:sz w:val="20"/>
                              </w:rPr>
                              <w:t>/</w:t>
                            </w:r>
                            <w:r>
                              <w:rPr>
                                <w:color w:val="105C84"/>
                                <w:spacing w:val="13"/>
                                <w:sz w:val="20"/>
                              </w:rPr>
                              <w:t> </w:t>
                            </w:r>
                            <w:r>
                              <w:rPr>
                                <w:color w:val="105C84"/>
                                <w:sz w:val="20"/>
                              </w:rPr>
                              <w:t>emotional</w:t>
                            </w:r>
                            <w:r>
                              <w:rPr>
                                <w:color w:val="105C84"/>
                                <w:spacing w:val="13"/>
                                <w:sz w:val="20"/>
                              </w:rPr>
                              <w:t> </w:t>
                            </w:r>
                            <w:r>
                              <w:rPr>
                                <w:color w:val="105C84"/>
                                <w:sz w:val="20"/>
                              </w:rPr>
                              <w:t>health</w:t>
                            </w:r>
                            <w:r>
                              <w:rPr>
                                <w:color w:val="105C84"/>
                                <w:spacing w:val="13"/>
                                <w:sz w:val="20"/>
                              </w:rPr>
                              <w:t> </w:t>
                            </w:r>
                            <w:r>
                              <w:rPr>
                                <w:color w:val="105C84"/>
                                <w:sz w:val="20"/>
                              </w:rPr>
                              <w:t>issues</w:t>
                            </w:r>
                            <w:r>
                              <w:rPr>
                                <w:color w:val="105C84"/>
                                <w:spacing w:val="13"/>
                                <w:sz w:val="20"/>
                              </w:rPr>
                              <w:t> </w:t>
                            </w:r>
                            <w:r>
                              <w:rPr>
                                <w:color w:val="105C84"/>
                                <w:spacing w:val="-2"/>
                                <w:sz w:val="20"/>
                              </w:rPr>
                              <w:t>(17.3%)</w:t>
                            </w:r>
                          </w:p>
                        </w:tc>
                      </w:tr>
                      <w:tr>
                        <w:trPr>
                          <w:trHeight w:val="355" w:hRule="atLeast"/>
                        </w:trPr>
                        <w:tc>
                          <w:tcPr>
                            <w:tcW w:w="4548" w:type="dxa"/>
                          </w:tcPr>
                          <w:p>
                            <w:pPr>
                              <w:pStyle w:val="TableParagraph"/>
                              <w:spacing w:before="90"/>
                              <w:ind w:left="80"/>
                              <w:rPr>
                                <w:sz w:val="20"/>
                              </w:rPr>
                            </w:pPr>
                            <w:r>
                              <w:rPr>
                                <w:color w:val="105C84"/>
                                <w:sz w:val="20"/>
                              </w:rPr>
                              <w:t>Weight</w:t>
                            </w:r>
                            <w:r>
                              <w:rPr>
                                <w:color w:val="105C84"/>
                                <w:spacing w:val="27"/>
                                <w:sz w:val="20"/>
                              </w:rPr>
                              <w:t> </w:t>
                            </w:r>
                            <w:r>
                              <w:rPr>
                                <w:color w:val="105C84"/>
                                <w:spacing w:val="-2"/>
                                <w:sz w:val="20"/>
                              </w:rPr>
                              <w:t>(9.8%)</w:t>
                            </w:r>
                          </w:p>
                        </w:tc>
                      </w:tr>
                      <w:tr>
                        <w:trPr>
                          <w:trHeight w:val="355" w:hRule="atLeast"/>
                        </w:trPr>
                        <w:tc>
                          <w:tcPr>
                            <w:tcW w:w="4548" w:type="dxa"/>
                          </w:tcPr>
                          <w:p>
                            <w:pPr>
                              <w:pStyle w:val="TableParagraph"/>
                              <w:spacing w:before="90"/>
                              <w:ind w:left="80"/>
                              <w:rPr>
                                <w:sz w:val="20"/>
                              </w:rPr>
                            </w:pPr>
                            <w:r>
                              <w:rPr>
                                <w:color w:val="105C84"/>
                                <w:sz w:val="20"/>
                              </w:rPr>
                              <w:t>Cancer</w:t>
                            </w:r>
                            <w:r>
                              <w:rPr>
                                <w:color w:val="105C84"/>
                                <w:spacing w:val="-10"/>
                                <w:sz w:val="20"/>
                              </w:rPr>
                              <w:t> </w:t>
                            </w:r>
                            <w:r>
                              <w:rPr>
                                <w:color w:val="105C84"/>
                                <w:spacing w:val="-2"/>
                                <w:sz w:val="20"/>
                              </w:rPr>
                              <w:t>(7.0%)</w:t>
                            </w:r>
                          </w:p>
                        </w:tc>
                      </w:tr>
                      <w:tr>
                        <w:trPr>
                          <w:trHeight w:val="355" w:hRule="atLeast"/>
                        </w:trPr>
                        <w:tc>
                          <w:tcPr>
                            <w:tcW w:w="4548" w:type="dxa"/>
                          </w:tcPr>
                          <w:p>
                            <w:pPr>
                              <w:pStyle w:val="TableParagraph"/>
                              <w:spacing w:before="90"/>
                              <w:ind w:left="80"/>
                              <w:rPr>
                                <w:sz w:val="20"/>
                              </w:rPr>
                            </w:pPr>
                            <w:r>
                              <w:rPr>
                                <w:color w:val="105C84"/>
                                <w:sz w:val="20"/>
                              </w:rPr>
                              <w:t>Heart</w:t>
                            </w:r>
                            <w:r>
                              <w:rPr>
                                <w:color w:val="105C84"/>
                                <w:spacing w:val="22"/>
                                <w:sz w:val="20"/>
                              </w:rPr>
                              <w:t> </w:t>
                            </w:r>
                            <w:r>
                              <w:rPr>
                                <w:color w:val="105C84"/>
                                <w:sz w:val="20"/>
                              </w:rPr>
                              <w:t>conditions</w:t>
                            </w:r>
                            <w:r>
                              <w:rPr>
                                <w:color w:val="105C84"/>
                                <w:spacing w:val="23"/>
                                <w:sz w:val="20"/>
                              </w:rPr>
                              <w:t> </w:t>
                            </w:r>
                            <w:r>
                              <w:rPr>
                                <w:color w:val="105C84"/>
                                <w:spacing w:val="-2"/>
                                <w:sz w:val="20"/>
                              </w:rPr>
                              <w:t>(6.2%)</w:t>
                            </w:r>
                          </w:p>
                        </w:tc>
                      </w:tr>
                      <w:tr>
                        <w:trPr>
                          <w:trHeight w:val="355" w:hRule="atLeast"/>
                        </w:trPr>
                        <w:tc>
                          <w:tcPr>
                            <w:tcW w:w="4548" w:type="dxa"/>
                          </w:tcPr>
                          <w:p>
                            <w:pPr>
                              <w:pStyle w:val="TableParagraph"/>
                              <w:spacing w:before="90"/>
                              <w:ind w:left="80"/>
                              <w:rPr>
                                <w:sz w:val="20"/>
                              </w:rPr>
                            </w:pPr>
                            <w:r>
                              <w:rPr>
                                <w:color w:val="105C84"/>
                                <w:sz w:val="20"/>
                              </w:rPr>
                              <w:t>Cost</w:t>
                            </w:r>
                            <w:r>
                              <w:rPr>
                                <w:color w:val="105C84"/>
                                <w:spacing w:val="4"/>
                                <w:sz w:val="20"/>
                              </w:rPr>
                              <w:t> </w:t>
                            </w:r>
                            <w:r>
                              <w:rPr>
                                <w:color w:val="105C84"/>
                                <w:spacing w:val="-2"/>
                                <w:sz w:val="20"/>
                              </w:rPr>
                              <w:t>(5.8%)</w:t>
                            </w:r>
                          </w:p>
                        </w:tc>
                      </w:tr>
                    </w:tbl>
                    <w:p>
                      <w:pPr>
                        <w:pStyle w:val="BodyText"/>
                      </w:pPr>
                    </w:p>
                  </w:txbxContent>
                </v:textbox>
                <w10:wrap type="topAndBottom"/>
              </v:shape>
            </w:pict>
          </mc:Fallback>
        </mc:AlternateContent>
      </w:r>
      <w:r>
        <w:rPr>
          <w:b/>
          <w:sz w:val="20"/>
        </w:rPr>
        <mc:AlternateContent>
          <mc:Choice Requires="wps">
            <w:drawing>
              <wp:anchor distT="0" distB="0" distL="0" distR="0" allowOverlap="1" layoutInCell="1" locked="0" behindDoc="1" simplePos="0" relativeHeight="487587840">
                <wp:simplePos x="0" y="0"/>
                <wp:positionH relativeFrom="page">
                  <wp:posOffset>11693588</wp:posOffset>
                </wp:positionH>
                <wp:positionV relativeFrom="paragraph">
                  <wp:posOffset>188017</wp:posOffset>
                </wp:positionV>
                <wp:extent cx="3037840" cy="1374775"/>
                <wp:effectExtent l="0" t="0" r="0" b="0"/>
                <wp:wrapTopAndBottom/>
                <wp:docPr id="683" name="Textbox 683"/>
                <wp:cNvGraphicFramePr>
                  <a:graphicFrameLocks/>
                </wp:cNvGraphicFramePr>
                <a:graphic>
                  <a:graphicData uri="http://schemas.microsoft.com/office/word/2010/wordprocessingShape">
                    <wps:wsp>
                      <wps:cNvPr id="683" name="Textbox 683"/>
                      <wps:cNvSpPr txBox="1"/>
                      <wps:spPr>
                        <a:xfrm>
                          <a:off x="0" y="0"/>
                          <a:ext cx="3037840" cy="1374775"/>
                        </a:xfrm>
                        <a:prstGeom prst="rect">
                          <a:avLst/>
                        </a:prstGeom>
                      </wps:spPr>
                      <wps:txbx>
                        <w:txbxContent>
                          <w:tbl>
                            <w:tblPr>
                              <w:tblW w:w="0" w:type="auto"/>
                              <w:jc w:val="left"/>
                              <w:tblInd w:w="2" w:type="dxa"/>
                              <w:tblBorders>
                                <w:top w:val="single" w:sz="2" w:space="0" w:color="636466"/>
                                <w:left w:val="single" w:sz="2" w:space="0" w:color="636466"/>
                                <w:bottom w:val="single" w:sz="2" w:space="0" w:color="636466"/>
                                <w:right w:val="single" w:sz="2" w:space="0" w:color="636466"/>
                                <w:insideH w:val="single" w:sz="2" w:space="0" w:color="636466"/>
                                <w:insideV w:val="single" w:sz="2" w:space="0" w:color="636466"/>
                              </w:tblBorders>
                              <w:tblLayout w:type="fixed"/>
                              <w:tblCellMar>
                                <w:top w:w="0" w:type="dxa"/>
                                <w:left w:w="0" w:type="dxa"/>
                                <w:bottom w:w="0" w:type="dxa"/>
                                <w:right w:w="0" w:type="dxa"/>
                              </w:tblCellMar>
                              <w:tblLook w:val="01E0"/>
                            </w:tblPr>
                            <w:tblGrid>
                              <w:gridCol w:w="4778"/>
                            </w:tblGrid>
                            <w:tr>
                              <w:trPr>
                                <w:trHeight w:val="355" w:hRule="atLeast"/>
                              </w:trPr>
                              <w:tc>
                                <w:tcPr>
                                  <w:tcW w:w="4778" w:type="dxa"/>
                                  <w:shd w:val="clear" w:color="auto" w:fill="00A79E"/>
                                </w:tcPr>
                                <w:p>
                                  <w:pPr>
                                    <w:pStyle w:val="TableParagraph"/>
                                    <w:spacing w:before="90"/>
                                    <w:ind w:left="79"/>
                                    <w:rPr>
                                      <w:b/>
                                      <w:sz w:val="20"/>
                                    </w:rPr>
                                  </w:pPr>
                                  <w:r>
                                    <w:rPr>
                                      <w:b/>
                                      <w:color w:val="FFFFFF"/>
                                      <w:spacing w:val="-2"/>
                                      <w:sz w:val="20"/>
                                    </w:rPr>
                                    <w:t>BIGGEST</w:t>
                                  </w:r>
                                  <w:r>
                                    <w:rPr>
                                      <w:b/>
                                      <w:color w:val="FFFFFF"/>
                                      <w:spacing w:val="-6"/>
                                      <w:sz w:val="20"/>
                                    </w:rPr>
                                    <w:t> </w:t>
                                  </w:r>
                                  <w:r>
                                    <w:rPr>
                                      <w:b/>
                                      <w:color w:val="FFFFFF"/>
                                      <w:spacing w:val="-2"/>
                                      <w:sz w:val="20"/>
                                    </w:rPr>
                                    <w:t>FEAR</w:t>
                                  </w:r>
                                  <w:r>
                                    <w:rPr>
                                      <w:b/>
                                      <w:color w:val="FFFFFF"/>
                                      <w:spacing w:val="-6"/>
                                      <w:sz w:val="20"/>
                                    </w:rPr>
                                    <w:t> </w:t>
                                  </w:r>
                                  <w:r>
                                    <w:rPr>
                                      <w:b/>
                                      <w:color w:val="FFFFFF"/>
                                      <w:spacing w:val="-2"/>
                                      <w:sz w:val="20"/>
                                    </w:rPr>
                                    <w:t>-FOR</w:t>
                                  </w:r>
                                  <w:r>
                                    <w:rPr>
                                      <w:b/>
                                      <w:color w:val="FFFFFF"/>
                                      <w:spacing w:val="-5"/>
                                      <w:sz w:val="20"/>
                                    </w:rPr>
                                    <w:t> </w:t>
                                  </w:r>
                                  <w:r>
                                    <w:rPr>
                                      <w:b/>
                                      <w:color w:val="FFFFFF"/>
                                      <w:spacing w:val="-2"/>
                                      <w:sz w:val="20"/>
                                    </w:rPr>
                                    <w:t>OTHERS</w:t>
                                  </w:r>
                                </w:p>
                              </w:tc>
                            </w:tr>
                            <w:tr>
                              <w:trPr>
                                <w:trHeight w:val="355" w:hRule="atLeast"/>
                              </w:trPr>
                              <w:tc>
                                <w:tcPr>
                                  <w:tcW w:w="4778" w:type="dxa"/>
                                </w:tcPr>
                                <w:p>
                                  <w:pPr>
                                    <w:pStyle w:val="TableParagraph"/>
                                    <w:spacing w:before="90"/>
                                    <w:ind w:left="79"/>
                                    <w:rPr>
                                      <w:sz w:val="20"/>
                                    </w:rPr>
                                  </w:pPr>
                                  <w:r>
                                    <w:rPr>
                                      <w:color w:val="105C84"/>
                                      <w:sz w:val="20"/>
                                    </w:rPr>
                                    <w:t>Mental</w:t>
                                  </w:r>
                                  <w:r>
                                    <w:rPr>
                                      <w:color w:val="105C84"/>
                                      <w:spacing w:val="13"/>
                                      <w:sz w:val="20"/>
                                    </w:rPr>
                                    <w:t> </w:t>
                                  </w:r>
                                  <w:r>
                                    <w:rPr>
                                      <w:color w:val="105C84"/>
                                      <w:sz w:val="20"/>
                                    </w:rPr>
                                    <w:t>/</w:t>
                                  </w:r>
                                  <w:r>
                                    <w:rPr>
                                      <w:color w:val="105C84"/>
                                      <w:spacing w:val="13"/>
                                      <w:sz w:val="20"/>
                                    </w:rPr>
                                    <w:t> </w:t>
                                  </w:r>
                                  <w:r>
                                    <w:rPr>
                                      <w:color w:val="105C84"/>
                                      <w:sz w:val="20"/>
                                    </w:rPr>
                                    <w:t>emotional</w:t>
                                  </w:r>
                                  <w:r>
                                    <w:rPr>
                                      <w:color w:val="105C84"/>
                                      <w:spacing w:val="13"/>
                                      <w:sz w:val="20"/>
                                    </w:rPr>
                                    <w:t> </w:t>
                                  </w:r>
                                  <w:r>
                                    <w:rPr>
                                      <w:color w:val="105C84"/>
                                      <w:sz w:val="20"/>
                                    </w:rPr>
                                    <w:t>health</w:t>
                                  </w:r>
                                  <w:r>
                                    <w:rPr>
                                      <w:color w:val="105C84"/>
                                      <w:spacing w:val="13"/>
                                      <w:sz w:val="20"/>
                                    </w:rPr>
                                    <w:t> </w:t>
                                  </w:r>
                                  <w:r>
                                    <w:rPr>
                                      <w:color w:val="105C84"/>
                                      <w:sz w:val="20"/>
                                    </w:rPr>
                                    <w:t>issues</w:t>
                                  </w:r>
                                  <w:r>
                                    <w:rPr>
                                      <w:color w:val="105C84"/>
                                      <w:spacing w:val="13"/>
                                      <w:sz w:val="20"/>
                                    </w:rPr>
                                    <w:t> </w:t>
                                  </w:r>
                                  <w:r>
                                    <w:rPr>
                                      <w:color w:val="105C84"/>
                                      <w:spacing w:val="-2"/>
                                      <w:sz w:val="20"/>
                                    </w:rPr>
                                    <w:t>(14.9%)</w:t>
                                  </w:r>
                                </w:p>
                              </w:tc>
                            </w:tr>
                            <w:tr>
                              <w:trPr>
                                <w:trHeight w:val="355" w:hRule="atLeast"/>
                              </w:trPr>
                              <w:tc>
                                <w:tcPr>
                                  <w:tcW w:w="4778" w:type="dxa"/>
                                </w:tcPr>
                                <w:p>
                                  <w:pPr>
                                    <w:pStyle w:val="TableParagraph"/>
                                    <w:spacing w:before="90"/>
                                    <w:ind w:left="79"/>
                                    <w:rPr>
                                      <w:sz w:val="20"/>
                                    </w:rPr>
                                  </w:pPr>
                                  <w:r>
                                    <w:rPr>
                                      <w:color w:val="105C84"/>
                                      <w:sz w:val="20"/>
                                    </w:rPr>
                                    <w:t>Cost</w:t>
                                  </w:r>
                                  <w:r>
                                    <w:rPr>
                                      <w:color w:val="105C84"/>
                                      <w:spacing w:val="6"/>
                                      <w:sz w:val="20"/>
                                    </w:rPr>
                                    <w:t> </w:t>
                                  </w:r>
                                  <w:r>
                                    <w:rPr>
                                      <w:color w:val="105C84"/>
                                      <w:spacing w:val="-2"/>
                                      <w:sz w:val="20"/>
                                    </w:rPr>
                                    <w:t>(10.0%)</w:t>
                                  </w:r>
                                </w:p>
                              </w:tc>
                            </w:tr>
                            <w:tr>
                              <w:trPr>
                                <w:trHeight w:val="355" w:hRule="atLeast"/>
                              </w:trPr>
                              <w:tc>
                                <w:tcPr>
                                  <w:tcW w:w="4778" w:type="dxa"/>
                                </w:tcPr>
                                <w:p>
                                  <w:pPr>
                                    <w:pStyle w:val="TableParagraph"/>
                                    <w:spacing w:before="90"/>
                                    <w:ind w:left="79"/>
                                    <w:rPr>
                                      <w:sz w:val="20"/>
                                    </w:rPr>
                                  </w:pPr>
                                  <w:r>
                                    <w:rPr>
                                      <w:color w:val="105C84"/>
                                      <w:sz w:val="20"/>
                                    </w:rPr>
                                    <w:t>Cancer</w:t>
                                  </w:r>
                                  <w:r>
                                    <w:rPr>
                                      <w:color w:val="105C84"/>
                                      <w:spacing w:val="-10"/>
                                      <w:sz w:val="20"/>
                                    </w:rPr>
                                    <w:t> </w:t>
                                  </w:r>
                                  <w:r>
                                    <w:rPr>
                                      <w:color w:val="105C84"/>
                                      <w:spacing w:val="-2"/>
                                      <w:sz w:val="20"/>
                                    </w:rPr>
                                    <w:t>(9.5%)</w:t>
                                  </w:r>
                                </w:p>
                              </w:tc>
                            </w:tr>
                            <w:tr>
                              <w:trPr>
                                <w:trHeight w:val="355" w:hRule="atLeast"/>
                              </w:trPr>
                              <w:tc>
                                <w:tcPr>
                                  <w:tcW w:w="4778" w:type="dxa"/>
                                </w:tcPr>
                                <w:p>
                                  <w:pPr>
                                    <w:pStyle w:val="TableParagraph"/>
                                    <w:spacing w:before="90"/>
                                    <w:ind w:left="79"/>
                                    <w:rPr>
                                      <w:sz w:val="20"/>
                                    </w:rPr>
                                  </w:pPr>
                                  <w:r>
                                    <w:rPr>
                                      <w:color w:val="105C84"/>
                                      <w:sz w:val="20"/>
                                    </w:rPr>
                                    <w:t>Weight</w:t>
                                  </w:r>
                                  <w:r>
                                    <w:rPr>
                                      <w:color w:val="105C84"/>
                                      <w:spacing w:val="27"/>
                                      <w:sz w:val="20"/>
                                    </w:rPr>
                                    <w:t> </w:t>
                                  </w:r>
                                  <w:r>
                                    <w:rPr>
                                      <w:color w:val="105C84"/>
                                      <w:spacing w:val="-2"/>
                                      <w:sz w:val="20"/>
                                    </w:rPr>
                                    <w:t>(6.7%)</w:t>
                                  </w:r>
                                </w:p>
                              </w:tc>
                            </w:tr>
                            <w:tr>
                              <w:trPr>
                                <w:trHeight w:val="355" w:hRule="atLeast"/>
                              </w:trPr>
                              <w:tc>
                                <w:tcPr>
                                  <w:tcW w:w="4778" w:type="dxa"/>
                                </w:tcPr>
                                <w:p>
                                  <w:pPr>
                                    <w:pStyle w:val="TableParagraph"/>
                                    <w:spacing w:before="90"/>
                                    <w:ind w:left="79"/>
                                    <w:rPr>
                                      <w:sz w:val="20"/>
                                    </w:rPr>
                                  </w:pPr>
                                  <w:r>
                                    <w:rPr>
                                      <w:color w:val="105C84"/>
                                      <w:sz w:val="20"/>
                                    </w:rPr>
                                    <w:t>Diet</w:t>
                                  </w:r>
                                  <w:r>
                                    <w:rPr>
                                      <w:color w:val="105C84"/>
                                      <w:spacing w:val="30"/>
                                      <w:sz w:val="20"/>
                                    </w:rPr>
                                    <w:t> </w:t>
                                  </w:r>
                                  <w:r>
                                    <w:rPr>
                                      <w:color w:val="105C84"/>
                                      <w:sz w:val="20"/>
                                    </w:rPr>
                                    <w:t>/</w:t>
                                  </w:r>
                                  <w:r>
                                    <w:rPr>
                                      <w:color w:val="105C84"/>
                                      <w:spacing w:val="30"/>
                                      <w:sz w:val="20"/>
                                    </w:rPr>
                                    <w:t> </w:t>
                                  </w:r>
                                  <w:r>
                                    <w:rPr>
                                      <w:color w:val="105C84"/>
                                      <w:sz w:val="20"/>
                                    </w:rPr>
                                    <w:t>nutrition</w:t>
                                  </w:r>
                                  <w:r>
                                    <w:rPr>
                                      <w:color w:val="105C84"/>
                                      <w:spacing w:val="31"/>
                                      <w:sz w:val="20"/>
                                    </w:rPr>
                                    <w:t> </w:t>
                                  </w:r>
                                  <w:r>
                                    <w:rPr>
                                      <w:color w:val="105C84"/>
                                      <w:spacing w:val="-2"/>
                                      <w:sz w:val="20"/>
                                    </w:rPr>
                                    <w:t>(6.0%)</w:t>
                                  </w:r>
                                </w:p>
                              </w:tc>
                            </w:tr>
                          </w:tbl>
                          <w:p>
                            <w:pPr>
                              <w:pStyle w:val="BodyText"/>
                            </w:pPr>
                          </w:p>
                        </w:txbxContent>
                      </wps:txbx>
                      <wps:bodyPr wrap="square" lIns="0" tIns="0" rIns="0" bIns="0" rtlCol="0">
                        <a:noAutofit/>
                      </wps:bodyPr>
                    </wps:wsp>
                  </a:graphicData>
                </a:graphic>
              </wp:anchor>
            </w:drawing>
          </mc:Choice>
          <mc:Fallback>
            <w:pict>
              <v:shape style="position:absolute;margin-left:920.755005pt;margin-top:14.804492pt;width:239.2pt;height:108.25pt;mso-position-horizontal-relative:page;mso-position-vertical-relative:paragraph;z-index:-15728640;mso-wrap-distance-left:0;mso-wrap-distance-right:0" type="#_x0000_t202" id="docshape587" filled="false" stroked="false">
                <v:textbox inset="0,0,0,0">
                  <w:txbxContent>
                    <w:tbl>
                      <w:tblPr>
                        <w:tblW w:w="0" w:type="auto"/>
                        <w:jc w:val="left"/>
                        <w:tblInd w:w="2" w:type="dxa"/>
                        <w:tblBorders>
                          <w:top w:val="single" w:sz="2" w:space="0" w:color="636466"/>
                          <w:left w:val="single" w:sz="2" w:space="0" w:color="636466"/>
                          <w:bottom w:val="single" w:sz="2" w:space="0" w:color="636466"/>
                          <w:right w:val="single" w:sz="2" w:space="0" w:color="636466"/>
                          <w:insideH w:val="single" w:sz="2" w:space="0" w:color="636466"/>
                          <w:insideV w:val="single" w:sz="2" w:space="0" w:color="636466"/>
                        </w:tblBorders>
                        <w:tblLayout w:type="fixed"/>
                        <w:tblCellMar>
                          <w:top w:w="0" w:type="dxa"/>
                          <w:left w:w="0" w:type="dxa"/>
                          <w:bottom w:w="0" w:type="dxa"/>
                          <w:right w:w="0" w:type="dxa"/>
                        </w:tblCellMar>
                        <w:tblLook w:val="01E0"/>
                      </w:tblPr>
                      <w:tblGrid>
                        <w:gridCol w:w="4778"/>
                      </w:tblGrid>
                      <w:tr>
                        <w:trPr>
                          <w:trHeight w:val="355" w:hRule="atLeast"/>
                        </w:trPr>
                        <w:tc>
                          <w:tcPr>
                            <w:tcW w:w="4778" w:type="dxa"/>
                            <w:shd w:val="clear" w:color="auto" w:fill="00A79E"/>
                          </w:tcPr>
                          <w:p>
                            <w:pPr>
                              <w:pStyle w:val="TableParagraph"/>
                              <w:spacing w:before="90"/>
                              <w:ind w:left="79"/>
                              <w:rPr>
                                <w:b/>
                                <w:sz w:val="20"/>
                              </w:rPr>
                            </w:pPr>
                            <w:r>
                              <w:rPr>
                                <w:b/>
                                <w:color w:val="FFFFFF"/>
                                <w:spacing w:val="-2"/>
                                <w:sz w:val="20"/>
                              </w:rPr>
                              <w:t>BIGGEST</w:t>
                            </w:r>
                            <w:r>
                              <w:rPr>
                                <w:b/>
                                <w:color w:val="FFFFFF"/>
                                <w:spacing w:val="-6"/>
                                <w:sz w:val="20"/>
                              </w:rPr>
                              <w:t> </w:t>
                            </w:r>
                            <w:r>
                              <w:rPr>
                                <w:b/>
                                <w:color w:val="FFFFFF"/>
                                <w:spacing w:val="-2"/>
                                <w:sz w:val="20"/>
                              </w:rPr>
                              <w:t>FEAR</w:t>
                            </w:r>
                            <w:r>
                              <w:rPr>
                                <w:b/>
                                <w:color w:val="FFFFFF"/>
                                <w:spacing w:val="-6"/>
                                <w:sz w:val="20"/>
                              </w:rPr>
                              <w:t> </w:t>
                            </w:r>
                            <w:r>
                              <w:rPr>
                                <w:b/>
                                <w:color w:val="FFFFFF"/>
                                <w:spacing w:val="-2"/>
                                <w:sz w:val="20"/>
                              </w:rPr>
                              <w:t>-FOR</w:t>
                            </w:r>
                            <w:r>
                              <w:rPr>
                                <w:b/>
                                <w:color w:val="FFFFFF"/>
                                <w:spacing w:val="-5"/>
                                <w:sz w:val="20"/>
                              </w:rPr>
                              <w:t> </w:t>
                            </w:r>
                            <w:r>
                              <w:rPr>
                                <w:b/>
                                <w:color w:val="FFFFFF"/>
                                <w:spacing w:val="-2"/>
                                <w:sz w:val="20"/>
                              </w:rPr>
                              <w:t>OTHERS</w:t>
                            </w:r>
                          </w:p>
                        </w:tc>
                      </w:tr>
                      <w:tr>
                        <w:trPr>
                          <w:trHeight w:val="355" w:hRule="atLeast"/>
                        </w:trPr>
                        <w:tc>
                          <w:tcPr>
                            <w:tcW w:w="4778" w:type="dxa"/>
                          </w:tcPr>
                          <w:p>
                            <w:pPr>
                              <w:pStyle w:val="TableParagraph"/>
                              <w:spacing w:before="90"/>
                              <w:ind w:left="79"/>
                              <w:rPr>
                                <w:sz w:val="20"/>
                              </w:rPr>
                            </w:pPr>
                            <w:r>
                              <w:rPr>
                                <w:color w:val="105C84"/>
                                <w:sz w:val="20"/>
                              </w:rPr>
                              <w:t>Mental</w:t>
                            </w:r>
                            <w:r>
                              <w:rPr>
                                <w:color w:val="105C84"/>
                                <w:spacing w:val="13"/>
                                <w:sz w:val="20"/>
                              </w:rPr>
                              <w:t> </w:t>
                            </w:r>
                            <w:r>
                              <w:rPr>
                                <w:color w:val="105C84"/>
                                <w:sz w:val="20"/>
                              </w:rPr>
                              <w:t>/</w:t>
                            </w:r>
                            <w:r>
                              <w:rPr>
                                <w:color w:val="105C84"/>
                                <w:spacing w:val="13"/>
                                <w:sz w:val="20"/>
                              </w:rPr>
                              <w:t> </w:t>
                            </w:r>
                            <w:r>
                              <w:rPr>
                                <w:color w:val="105C84"/>
                                <w:sz w:val="20"/>
                              </w:rPr>
                              <w:t>emotional</w:t>
                            </w:r>
                            <w:r>
                              <w:rPr>
                                <w:color w:val="105C84"/>
                                <w:spacing w:val="13"/>
                                <w:sz w:val="20"/>
                              </w:rPr>
                              <w:t> </w:t>
                            </w:r>
                            <w:r>
                              <w:rPr>
                                <w:color w:val="105C84"/>
                                <w:sz w:val="20"/>
                              </w:rPr>
                              <w:t>health</w:t>
                            </w:r>
                            <w:r>
                              <w:rPr>
                                <w:color w:val="105C84"/>
                                <w:spacing w:val="13"/>
                                <w:sz w:val="20"/>
                              </w:rPr>
                              <w:t> </w:t>
                            </w:r>
                            <w:r>
                              <w:rPr>
                                <w:color w:val="105C84"/>
                                <w:sz w:val="20"/>
                              </w:rPr>
                              <w:t>issues</w:t>
                            </w:r>
                            <w:r>
                              <w:rPr>
                                <w:color w:val="105C84"/>
                                <w:spacing w:val="13"/>
                                <w:sz w:val="20"/>
                              </w:rPr>
                              <w:t> </w:t>
                            </w:r>
                            <w:r>
                              <w:rPr>
                                <w:color w:val="105C84"/>
                                <w:spacing w:val="-2"/>
                                <w:sz w:val="20"/>
                              </w:rPr>
                              <w:t>(14.9%)</w:t>
                            </w:r>
                          </w:p>
                        </w:tc>
                      </w:tr>
                      <w:tr>
                        <w:trPr>
                          <w:trHeight w:val="355" w:hRule="atLeast"/>
                        </w:trPr>
                        <w:tc>
                          <w:tcPr>
                            <w:tcW w:w="4778" w:type="dxa"/>
                          </w:tcPr>
                          <w:p>
                            <w:pPr>
                              <w:pStyle w:val="TableParagraph"/>
                              <w:spacing w:before="90"/>
                              <w:ind w:left="79"/>
                              <w:rPr>
                                <w:sz w:val="20"/>
                              </w:rPr>
                            </w:pPr>
                            <w:r>
                              <w:rPr>
                                <w:color w:val="105C84"/>
                                <w:sz w:val="20"/>
                              </w:rPr>
                              <w:t>Cost</w:t>
                            </w:r>
                            <w:r>
                              <w:rPr>
                                <w:color w:val="105C84"/>
                                <w:spacing w:val="6"/>
                                <w:sz w:val="20"/>
                              </w:rPr>
                              <w:t> </w:t>
                            </w:r>
                            <w:r>
                              <w:rPr>
                                <w:color w:val="105C84"/>
                                <w:spacing w:val="-2"/>
                                <w:sz w:val="20"/>
                              </w:rPr>
                              <w:t>(10.0%)</w:t>
                            </w:r>
                          </w:p>
                        </w:tc>
                      </w:tr>
                      <w:tr>
                        <w:trPr>
                          <w:trHeight w:val="355" w:hRule="atLeast"/>
                        </w:trPr>
                        <w:tc>
                          <w:tcPr>
                            <w:tcW w:w="4778" w:type="dxa"/>
                          </w:tcPr>
                          <w:p>
                            <w:pPr>
                              <w:pStyle w:val="TableParagraph"/>
                              <w:spacing w:before="90"/>
                              <w:ind w:left="79"/>
                              <w:rPr>
                                <w:sz w:val="20"/>
                              </w:rPr>
                            </w:pPr>
                            <w:r>
                              <w:rPr>
                                <w:color w:val="105C84"/>
                                <w:sz w:val="20"/>
                              </w:rPr>
                              <w:t>Cancer</w:t>
                            </w:r>
                            <w:r>
                              <w:rPr>
                                <w:color w:val="105C84"/>
                                <w:spacing w:val="-10"/>
                                <w:sz w:val="20"/>
                              </w:rPr>
                              <w:t> </w:t>
                            </w:r>
                            <w:r>
                              <w:rPr>
                                <w:color w:val="105C84"/>
                                <w:spacing w:val="-2"/>
                                <w:sz w:val="20"/>
                              </w:rPr>
                              <w:t>(9.5%)</w:t>
                            </w:r>
                          </w:p>
                        </w:tc>
                      </w:tr>
                      <w:tr>
                        <w:trPr>
                          <w:trHeight w:val="355" w:hRule="atLeast"/>
                        </w:trPr>
                        <w:tc>
                          <w:tcPr>
                            <w:tcW w:w="4778" w:type="dxa"/>
                          </w:tcPr>
                          <w:p>
                            <w:pPr>
                              <w:pStyle w:val="TableParagraph"/>
                              <w:spacing w:before="90"/>
                              <w:ind w:left="79"/>
                              <w:rPr>
                                <w:sz w:val="20"/>
                              </w:rPr>
                            </w:pPr>
                            <w:r>
                              <w:rPr>
                                <w:color w:val="105C84"/>
                                <w:sz w:val="20"/>
                              </w:rPr>
                              <w:t>Weight</w:t>
                            </w:r>
                            <w:r>
                              <w:rPr>
                                <w:color w:val="105C84"/>
                                <w:spacing w:val="27"/>
                                <w:sz w:val="20"/>
                              </w:rPr>
                              <w:t> </w:t>
                            </w:r>
                            <w:r>
                              <w:rPr>
                                <w:color w:val="105C84"/>
                                <w:spacing w:val="-2"/>
                                <w:sz w:val="20"/>
                              </w:rPr>
                              <w:t>(6.7%)</w:t>
                            </w:r>
                          </w:p>
                        </w:tc>
                      </w:tr>
                      <w:tr>
                        <w:trPr>
                          <w:trHeight w:val="355" w:hRule="atLeast"/>
                        </w:trPr>
                        <w:tc>
                          <w:tcPr>
                            <w:tcW w:w="4778" w:type="dxa"/>
                          </w:tcPr>
                          <w:p>
                            <w:pPr>
                              <w:pStyle w:val="TableParagraph"/>
                              <w:spacing w:before="90"/>
                              <w:ind w:left="79"/>
                              <w:rPr>
                                <w:sz w:val="20"/>
                              </w:rPr>
                            </w:pPr>
                            <w:r>
                              <w:rPr>
                                <w:color w:val="105C84"/>
                                <w:sz w:val="20"/>
                              </w:rPr>
                              <w:t>Diet</w:t>
                            </w:r>
                            <w:r>
                              <w:rPr>
                                <w:color w:val="105C84"/>
                                <w:spacing w:val="30"/>
                                <w:sz w:val="20"/>
                              </w:rPr>
                              <w:t> </w:t>
                            </w:r>
                            <w:r>
                              <w:rPr>
                                <w:color w:val="105C84"/>
                                <w:sz w:val="20"/>
                              </w:rPr>
                              <w:t>/</w:t>
                            </w:r>
                            <w:r>
                              <w:rPr>
                                <w:color w:val="105C84"/>
                                <w:spacing w:val="30"/>
                                <w:sz w:val="20"/>
                              </w:rPr>
                              <w:t> </w:t>
                            </w:r>
                            <w:r>
                              <w:rPr>
                                <w:color w:val="105C84"/>
                                <w:sz w:val="20"/>
                              </w:rPr>
                              <w:t>nutrition</w:t>
                            </w:r>
                            <w:r>
                              <w:rPr>
                                <w:color w:val="105C84"/>
                                <w:spacing w:val="31"/>
                                <w:sz w:val="20"/>
                              </w:rPr>
                              <w:t> </w:t>
                            </w:r>
                            <w:r>
                              <w:rPr>
                                <w:color w:val="105C84"/>
                                <w:spacing w:val="-2"/>
                                <w:sz w:val="20"/>
                              </w:rPr>
                              <w:t>(6.0%)</w:t>
                            </w:r>
                          </w:p>
                        </w:tc>
                      </w:tr>
                    </w:tbl>
                    <w:p>
                      <w:pPr>
                        <w:pStyle w:val="BodyText"/>
                      </w:pPr>
                    </w:p>
                  </w:txbxContent>
                </v:textbox>
                <w10:wrap type="topAndBottom"/>
              </v:shape>
            </w:pict>
          </mc:Fallback>
        </mc:AlternateContent>
      </w:r>
      <w:r>
        <w:rPr>
          <w:b/>
          <w:sz w:val="20"/>
        </w:rPr>
        <mc:AlternateContent>
          <mc:Choice Requires="wps">
            <w:drawing>
              <wp:anchor distT="0" distB="0" distL="0" distR="0" allowOverlap="1" layoutInCell="1" locked="0" behindDoc="1" simplePos="0" relativeHeight="487587840">
                <wp:simplePos x="0" y="0"/>
                <wp:positionH relativeFrom="page">
                  <wp:posOffset>8458200</wp:posOffset>
                </wp:positionH>
                <wp:positionV relativeFrom="paragraph">
                  <wp:posOffset>1672329</wp:posOffset>
                </wp:positionV>
                <wp:extent cx="2891155" cy="1374775"/>
                <wp:effectExtent l="0" t="0" r="0" b="0"/>
                <wp:wrapTopAndBottom/>
                <wp:docPr id="684" name="Textbox 684"/>
                <wp:cNvGraphicFramePr>
                  <a:graphicFrameLocks/>
                </wp:cNvGraphicFramePr>
                <a:graphic>
                  <a:graphicData uri="http://schemas.microsoft.com/office/word/2010/wordprocessingShape">
                    <wps:wsp>
                      <wps:cNvPr id="684" name="Textbox 684"/>
                      <wps:cNvSpPr txBox="1"/>
                      <wps:spPr>
                        <a:xfrm>
                          <a:off x="0" y="0"/>
                          <a:ext cx="2891155" cy="1374775"/>
                        </a:xfrm>
                        <a:prstGeom prst="rect">
                          <a:avLst/>
                        </a:prstGeom>
                      </wps:spPr>
                      <wps:txbx>
                        <w:txbxContent>
                          <w:tbl>
                            <w:tblPr>
                              <w:tblW w:w="0" w:type="auto"/>
                              <w:jc w:val="left"/>
                              <w:tblInd w:w="2" w:type="dxa"/>
                              <w:tblBorders>
                                <w:top w:val="single" w:sz="2" w:space="0" w:color="636466"/>
                                <w:left w:val="single" w:sz="2" w:space="0" w:color="636466"/>
                                <w:bottom w:val="single" w:sz="2" w:space="0" w:color="636466"/>
                                <w:right w:val="single" w:sz="2" w:space="0" w:color="636466"/>
                                <w:insideH w:val="single" w:sz="2" w:space="0" w:color="636466"/>
                                <w:insideV w:val="single" w:sz="2" w:space="0" w:color="636466"/>
                              </w:tblBorders>
                              <w:tblLayout w:type="fixed"/>
                              <w:tblCellMar>
                                <w:top w:w="0" w:type="dxa"/>
                                <w:left w:w="0" w:type="dxa"/>
                                <w:bottom w:w="0" w:type="dxa"/>
                                <w:right w:w="0" w:type="dxa"/>
                              </w:tblCellMar>
                              <w:tblLook w:val="01E0"/>
                            </w:tblPr>
                            <w:tblGrid>
                              <w:gridCol w:w="4548"/>
                            </w:tblGrid>
                            <w:tr>
                              <w:trPr>
                                <w:trHeight w:val="355" w:hRule="atLeast"/>
                              </w:trPr>
                              <w:tc>
                                <w:tcPr>
                                  <w:tcW w:w="4548" w:type="dxa"/>
                                  <w:shd w:val="clear" w:color="auto" w:fill="939598"/>
                                </w:tcPr>
                                <w:p>
                                  <w:pPr>
                                    <w:pStyle w:val="TableParagraph"/>
                                    <w:spacing w:before="90"/>
                                    <w:ind w:left="80"/>
                                    <w:rPr>
                                      <w:b/>
                                      <w:sz w:val="20"/>
                                    </w:rPr>
                                  </w:pPr>
                                  <w:r>
                                    <w:rPr>
                                      <w:b/>
                                      <w:color w:val="FFFFFF"/>
                                      <w:sz w:val="20"/>
                                    </w:rPr>
                                    <w:t>COUNTY</w:t>
                                  </w:r>
                                  <w:r>
                                    <w:rPr>
                                      <w:b/>
                                      <w:color w:val="FFFFFF"/>
                                      <w:spacing w:val="2"/>
                                      <w:sz w:val="20"/>
                                    </w:rPr>
                                    <w:t> </w:t>
                                  </w:r>
                                  <w:r>
                                    <w:rPr>
                                      <w:b/>
                                      <w:color w:val="FFFFFF"/>
                                      <w:sz w:val="20"/>
                                    </w:rPr>
                                    <w:t>PRIORITY</w:t>
                                  </w:r>
                                  <w:r>
                                    <w:rPr>
                                      <w:b/>
                                      <w:color w:val="FFFFFF"/>
                                      <w:spacing w:val="3"/>
                                      <w:sz w:val="20"/>
                                    </w:rPr>
                                    <w:t> </w:t>
                                  </w:r>
                                  <w:r>
                                    <w:rPr>
                                      <w:b/>
                                      <w:color w:val="FFFFFF"/>
                                      <w:sz w:val="20"/>
                                    </w:rPr>
                                    <w:t>-</w:t>
                                  </w:r>
                                  <w:r>
                                    <w:rPr>
                                      <w:b/>
                                      <w:color w:val="FFFFFF"/>
                                      <w:spacing w:val="2"/>
                                      <w:sz w:val="20"/>
                                    </w:rPr>
                                    <w:t> </w:t>
                                  </w:r>
                                  <w:r>
                                    <w:rPr>
                                      <w:b/>
                                      <w:color w:val="FFFFFF"/>
                                      <w:sz w:val="20"/>
                                    </w:rPr>
                                    <w:t>FOR</w:t>
                                  </w:r>
                                  <w:r>
                                    <w:rPr>
                                      <w:b/>
                                      <w:color w:val="FFFFFF"/>
                                      <w:spacing w:val="3"/>
                                      <w:sz w:val="20"/>
                                    </w:rPr>
                                    <w:t> </w:t>
                                  </w:r>
                                  <w:r>
                                    <w:rPr>
                                      <w:b/>
                                      <w:color w:val="FFFFFF"/>
                                      <w:spacing w:val="-2"/>
                                      <w:sz w:val="20"/>
                                    </w:rPr>
                                    <w:t>ADULTS</w:t>
                                  </w:r>
                                </w:p>
                              </w:tc>
                            </w:tr>
                            <w:tr>
                              <w:trPr>
                                <w:trHeight w:val="355" w:hRule="atLeast"/>
                              </w:trPr>
                              <w:tc>
                                <w:tcPr>
                                  <w:tcW w:w="4548" w:type="dxa"/>
                                </w:tcPr>
                                <w:p>
                                  <w:pPr>
                                    <w:pStyle w:val="TableParagraph"/>
                                    <w:spacing w:before="90"/>
                                    <w:ind w:left="80"/>
                                    <w:rPr>
                                      <w:sz w:val="20"/>
                                    </w:rPr>
                                  </w:pPr>
                                  <w:r>
                                    <w:rPr>
                                      <w:color w:val="105C84"/>
                                      <w:sz w:val="20"/>
                                    </w:rPr>
                                    <w:t>Mental</w:t>
                                  </w:r>
                                  <w:r>
                                    <w:rPr>
                                      <w:color w:val="105C84"/>
                                      <w:spacing w:val="13"/>
                                      <w:sz w:val="20"/>
                                    </w:rPr>
                                    <w:t> </w:t>
                                  </w:r>
                                  <w:r>
                                    <w:rPr>
                                      <w:color w:val="105C84"/>
                                      <w:sz w:val="20"/>
                                    </w:rPr>
                                    <w:t>/</w:t>
                                  </w:r>
                                  <w:r>
                                    <w:rPr>
                                      <w:color w:val="105C84"/>
                                      <w:spacing w:val="13"/>
                                      <w:sz w:val="20"/>
                                    </w:rPr>
                                    <w:t> </w:t>
                                  </w:r>
                                  <w:r>
                                    <w:rPr>
                                      <w:color w:val="105C84"/>
                                      <w:sz w:val="20"/>
                                    </w:rPr>
                                    <w:t>emotional</w:t>
                                  </w:r>
                                  <w:r>
                                    <w:rPr>
                                      <w:color w:val="105C84"/>
                                      <w:spacing w:val="13"/>
                                      <w:sz w:val="20"/>
                                    </w:rPr>
                                    <w:t> </w:t>
                                  </w:r>
                                  <w:r>
                                    <w:rPr>
                                      <w:color w:val="105C84"/>
                                      <w:sz w:val="20"/>
                                    </w:rPr>
                                    <w:t>health</w:t>
                                  </w:r>
                                  <w:r>
                                    <w:rPr>
                                      <w:color w:val="105C84"/>
                                      <w:spacing w:val="13"/>
                                      <w:sz w:val="20"/>
                                    </w:rPr>
                                    <w:t> </w:t>
                                  </w:r>
                                  <w:r>
                                    <w:rPr>
                                      <w:color w:val="105C84"/>
                                      <w:sz w:val="20"/>
                                    </w:rPr>
                                    <w:t>issues</w:t>
                                  </w:r>
                                  <w:r>
                                    <w:rPr>
                                      <w:color w:val="105C84"/>
                                      <w:spacing w:val="13"/>
                                      <w:sz w:val="20"/>
                                    </w:rPr>
                                    <w:t> </w:t>
                                  </w:r>
                                  <w:r>
                                    <w:rPr>
                                      <w:color w:val="105C84"/>
                                      <w:spacing w:val="-2"/>
                                      <w:sz w:val="20"/>
                                    </w:rPr>
                                    <w:t>(22.2%)</w:t>
                                  </w:r>
                                </w:p>
                              </w:tc>
                            </w:tr>
                            <w:tr>
                              <w:trPr>
                                <w:trHeight w:val="355" w:hRule="atLeast"/>
                              </w:trPr>
                              <w:tc>
                                <w:tcPr>
                                  <w:tcW w:w="4548" w:type="dxa"/>
                                </w:tcPr>
                                <w:p>
                                  <w:pPr>
                                    <w:pStyle w:val="TableParagraph"/>
                                    <w:spacing w:before="90"/>
                                    <w:ind w:left="80"/>
                                    <w:rPr>
                                      <w:sz w:val="20"/>
                                    </w:rPr>
                                  </w:pPr>
                                  <w:r>
                                    <w:rPr>
                                      <w:color w:val="105C84"/>
                                      <w:sz w:val="20"/>
                                    </w:rPr>
                                    <w:t>Substance</w:t>
                                  </w:r>
                                  <w:r>
                                    <w:rPr>
                                      <w:color w:val="105C84"/>
                                      <w:spacing w:val="-11"/>
                                      <w:sz w:val="20"/>
                                    </w:rPr>
                                    <w:t> </w:t>
                                  </w:r>
                                  <w:r>
                                    <w:rPr>
                                      <w:color w:val="105C84"/>
                                      <w:sz w:val="20"/>
                                    </w:rPr>
                                    <w:t>abuse</w:t>
                                  </w:r>
                                  <w:r>
                                    <w:rPr>
                                      <w:color w:val="105C84"/>
                                      <w:spacing w:val="-10"/>
                                      <w:sz w:val="20"/>
                                    </w:rPr>
                                    <w:t> </w:t>
                                  </w:r>
                                  <w:r>
                                    <w:rPr>
                                      <w:color w:val="105C84"/>
                                      <w:spacing w:val="-2"/>
                                      <w:sz w:val="20"/>
                                    </w:rPr>
                                    <w:t>(20.5%)</w:t>
                                  </w:r>
                                </w:p>
                              </w:tc>
                            </w:tr>
                            <w:tr>
                              <w:trPr>
                                <w:trHeight w:val="355" w:hRule="atLeast"/>
                              </w:trPr>
                              <w:tc>
                                <w:tcPr>
                                  <w:tcW w:w="4548" w:type="dxa"/>
                                </w:tcPr>
                                <w:p>
                                  <w:pPr>
                                    <w:pStyle w:val="TableParagraph"/>
                                    <w:spacing w:before="90"/>
                                    <w:ind w:left="80"/>
                                    <w:rPr>
                                      <w:sz w:val="20"/>
                                    </w:rPr>
                                  </w:pPr>
                                  <w:r>
                                    <w:rPr>
                                      <w:color w:val="105C84"/>
                                      <w:sz w:val="20"/>
                                    </w:rPr>
                                    <w:t>Weight</w:t>
                                  </w:r>
                                  <w:r>
                                    <w:rPr>
                                      <w:color w:val="105C84"/>
                                      <w:spacing w:val="27"/>
                                      <w:sz w:val="20"/>
                                    </w:rPr>
                                    <w:t> </w:t>
                                  </w:r>
                                  <w:r>
                                    <w:rPr>
                                      <w:color w:val="105C84"/>
                                      <w:spacing w:val="-2"/>
                                      <w:sz w:val="20"/>
                                    </w:rPr>
                                    <w:t>(16.4%)</w:t>
                                  </w:r>
                                </w:p>
                              </w:tc>
                            </w:tr>
                            <w:tr>
                              <w:trPr>
                                <w:trHeight w:val="355" w:hRule="atLeast"/>
                              </w:trPr>
                              <w:tc>
                                <w:tcPr>
                                  <w:tcW w:w="4548" w:type="dxa"/>
                                </w:tcPr>
                                <w:p>
                                  <w:pPr>
                                    <w:pStyle w:val="TableParagraph"/>
                                    <w:spacing w:before="90"/>
                                    <w:ind w:left="80"/>
                                    <w:rPr>
                                      <w:sz w:val="20"/>
                                    </w:rPr>
                                  </w:pPr>
                                  <w:r>
                                    <w:rPr>
                                      <w:color w:val="105C84"/>
                                      <w:sz w:val="20"/>
                                    </w:rPr>
                                    <w:t>Cost</w:t>
                                  </w:r>
                                  <w:r>
                                    <w:rPr>
                                      <w:color w:val="105C84"/>
                                      <w:spacing w:val="6"/>
                                      <w:sz w:val="20"/>
                                    </w:rPr>
                                    <w:t> </w:t>
                                  </w:r>
                                  <w:r>
                                    <w:rPr>
                                      <w:color w:val="105C84"/>
                                      <w:spacing w:val="-2"/>
                                      <w:sz w:val="20"/>
                                    </w:rPr>
                                    <w:t>(10.9%)</w:t>
                                  </w:r>
                                </w:p>
                              </w:tc>
                            </w:tr>
                            <w:tr>
                              <w:trPr>
                                <w:trHeight w:val="355" w:hRule="atLeast"/>
                              </w:trPr>
                              <w:tc>
                                <w:tcPr>
                                  <w:tcW w:w="4548" w:type="dxa"/>
                                </w:tcPr>
                                <w:p>
                                  <w:pPr>
                                    <w:pStyle w:val="TableParagraph"/>
                                    <w:spacing w:before="90"/>
                                    <w:ind w:left="80"/>
                                    <w:rPr>
                                      <w:sz w:val="20"/>
                                    </w:rPr>
                                  </w:pPr>
                                  <w:r>
                                    <w:rPr>
                                      <w:color w:val="105C84"/>
                                      <w:sz w:val="20"/>
                                    </w:rPr>
                                    <w:t>Diet</w:t>
                                  </w:r>
                                  <w:r>
                                    <w:rPr>
                                      <w:color w:val="105C84"/>
                                      <w:spacing w:val="30"/>
                                      <w:sz w:val="20"/>
                                    </w:rPr>
                                    <w:t> </w:t>
                                  </w:r>
                                  <w:r>
                                    <w:rPr>
                                      <w:color w:val="105C84"/>
                                      <w:sz w:val="20"/>
                                    </w:rPr>
                                    <w:t>/</w:t>
                                  </w:r>
                                  <w:r>
                                    <w:rPr>
                                      <w:color w:val="105C84"/>
                                      <w:spacing w:val="30"/>
                                      <w:sz w:val="20"/>
                                    </w:rPr>
                                    <w:t> </w:t>
                                  </w:r>
                                  <w:r>
                                    <w:rPr>
                                      <w:color w:val="105C84"/>
                                      <w:sz w:val="20"/>
                                    </w:rPr>
                                    <w:t>nutrition</w:t>
                                  </w:r>
                                  <w:r>
                                    <w:rPr>
                                      <w:color w:val="105C84"/>
                                      <w:spacing w:val="31"/>
                                      <w:sz w:val="20"/>
                                    </w:rPr>
                                    <w:t> </w:t>
                                  </w:r>
                                  <w:r>
                                    <w:rPr>
                                      <w:color w:val="105C84"/>
                                      <w:spacing w:val="-2"/>
                                      <w:sz w:val="20"/>
                                    </w:rPr>
                                    <w:t>(9.7%)</w:t>
                                  </w:r>
                                </w:p>
                              </w:tc>
                            </w:tr>
                          </w:tbl>
                          <w:p>
                            <w:pPr>
                              <w:pStyle w:val="BodyText"/>
                            </w:pPr>
                          </w:p>
                        </w:txbxContent>
                      </wps:txbx>
                      <wps:bodyPr wrap="square" lIns="0" tIns="0" rIns="0" bIns="0" rtlCol="0">
                        <a:noAutofit/>
                      </wps:bodyPr>
                    </wps:wsp>
                  </a:graphicData>
                </a:graphic>
              </wp:anchor>
            </w:drawing>
          </mc:Choice>
          <mc:Fallback>
            <w:pict>
              <v:shape style="position:absolute;margin-left:666pt;margin-top:131.679489pt;width:227.65pt;height:108.25pt;mso-position-horizontal-relative:page;mso-position-vertical-relative:paragraph;z-index:-15728640;mso-wrap-distance-left:0;mso-wrap-distance-right:0" type="#_x0000_t202" id="docshape588" filled="false" stroked="false">
                <v:textbox inset="0,0,0,0">
                  <w:txbxContent>
                    <w:tbl>
                      <w:tblPr>
                        <w:tblW w:w="0" w:type="auto"/>
                        <w:jc w:val="left"/>
                        <w:tblInd w:w="2" w:type="dxa"/>
                        <w:tblBorders>
                          <w:top w:val="single" w:sz="2" w:space="0" w:color="636466"/>
                          <w:left w:val="single" w:sz="2" w:space="0" w:color="636466"/>
                          <w:bottom w:val="single" w:sz="2" w:space="0" w:color="636466"/>
                          <w:right w:val="single" w:sz="2" w:space="0" w:color="636466"/>
                          <w:insideH w:val="single" w:sz="2" w:space="0" w:color="636466"/>
                          <w:insideV w:val="single" w:sz="2" w:space="0" w:color="636466"/>
                        </w:tblBorders>
                        <w:tblLayout w:type="fixed"/>
                        <w:tblCellMar>
                          <w:top w:w="0" w:type="dxa"/>
                          <w:left w:w="0" w:type="dxa"/>
                          <w:bottom w:w="0" w:type="dxa"/>
                          <w:right w:w="0" w:type="dxa"/>
                        </w:tblCellMar>
                        <w:tblLook w:val="01E0"/>
                      </w:tblPr>
                      <w:tblGrid>
                        <w:gridCol w:w="4548"/>
                      </w:tblGrid>
                      <w:tr>
                        <w:trPr>
                          <w:trHeight w:val="355" w:hRule="atLeast"/>
                        </w:trPr>
                        <w:tc>
                          <w:tcPr>
                            <w:tcW w:w="4548" w:type="dxa"/>
                            <w:shd w:val="clear" w:color="auto" w:fill="939598"/>
                          </w:tcPr>
                          <w:p>
                            <w:pPr>
                              <w:pStyle w:val="TableParagraph"/>
                              <w:spacing w:before="90"/>
                              <w:ind w:left="80"/>
                              <w:rPr>
                                <w:b/>
                                <w:sz w:val="20"/>
                              </w:rPr>
                            </w:pPr>
                            <w:r>
                              <w:rPr>
                                <w:b/>
                                <w:color w:val="FFFFFF"/>
                                <w:sz w:val="20"/>
                              </w:rPr>
                              <w:t>COUNTY</w:t>
                            </w:r>
                            <w:r>
                              <w:rPr>
                                <w:b/>
                                <w:color w:val="FFFFFF"/>
                                <w:spacing w:val="2"/>
                                <w:sz w:val="20"/>
                              </w:rPr>
                              <w:t> </w:t>
                            </w:r>
                            <w:r>
                              <w:rPr>
                                <w:b/>
                                <w:color w:val="FFFFFF"/>
                                <w:sz w:val="20"/>
                              </w:rPr>
                              <w:t>PRIORITY</w:t>
                            </w:r>
                            <w:r>
                              <w:rPr>
                                <w:b/>
                                <w:color w:val="FFFFFF"/>
                                <w:spacing w:val="3"/>
                                <w:sz w:val="20"/>
                              </w:rPr>
                              <w:t> </w:t>
                            </w:r>
                            <w:r>
                              <w:rPr>
                                <w:b/>
                                <w:color w:val="FFFFFF"/>
                                <w:sz w:val="20"/>
                              </w:rPr>
                              <w:t>-</w:t>
                            </w:r>
                            <w:r>
                              <w:rPr>
                                <w:b/>
                                <w:color w:val="FFFFFF"/>
                                <w:spacing w:val="2"/>
                                <w:sz w:val="20"/>
                              </w:rPr>
                              <w:t> </w:t>
                            </w:r>
                            <w:r>
                              <w:rPr>
                                <w:b/>
                                <w:color w:val="FFFFFF"/>
                                <w:sz w:val="20"/>
                              </w:rPr>
                              <w:t>FOR</w:t>
                            </w:r>
                            <w:r>
                              <w:rPr>
                                <w:b/>
                                <w:color w:val="FFFFFF"/>
                                <w:spacing w:val="3"/>
                                <w:sz w:val="20"/>
                              </w:rPr>
                              <w:t> </w:t>
                            </w:r>
                            <w:r>
                              <w:rPr>
                                <w:b/>
                                <w:color w:val="FFFFFF"/>
                                <w:spacing w:val="-2"/>
                                <w:sz w:val="20"/>
                              </w:rPr>
                              <w:t>ADULTS</w:t>
                            </w:r>
                          </w:p>
                        </w:tc>
                      </w:tr>
                      <w:tr>
                        <w:trPr>
                          <w:trHeight w:val="355" w:hRule="atLeast"/>
                        </w:trPr>
                        <w:tc>
                          <w:tcPr>
                            <w:tcW w:w="4548" w:type="dxa"/>
                          </w:tcPr>
                          <w:p>
                            <w:pPr>
                              <w:pStyle w:val="TableParagraph"/>
                              <w:spacing w:before="90"/>
                              <w:ind w:left="80"/>
                              <w:rPr>
                                <w:sz w:val="20"/>
                              </w:rPr>
                            </w:pPr>
                            <w:r>
                              <w:rPr>
                                <w:color w:val="105C84"/>
                                <w:sz w:val="20"/>
                              </w:rPr>
                              <w:t>Mental</w:t>
                            </w:r>
                            <w:r>
                              <w:rPr>
                                <w:color w:val="105C84"/>
                                <w:spacing w:val="13"/>
                                <w:sz w:val="20"/>
                              </w:rPr>
                              <w:t> </w:t>
                            </w:r>
                            <w:r>
                              <w:rPr>
                                <w:color w:val="105C84"/>
                                <w:sz w:val="20"/>
                              </w:rPr>
                              <w:t>/</w:t>
                            </w:r>
                            <w:r>
                              <w:rPr>
                                <w:color w:val="105C84"/>
                                <w:spacing w:val="13"/>
                                <w:sz w:val="20"/>
                              </w:rPr>
                              <w:t> </w:t>
                            </w:r>
                            <w:r>
                              <w:rPr>
                                <w:color w:val="105C84"/>
                                <w:sz w:val="20"/>
                              </w:rPr>
                              <w:t>emotional</w:t>
                            </w:r>
                            <w:r>
                              <w:rPr>
                                <w:color w:val="105C84"/>
                                <w:spacing w:val="13"/>
                                <w:sz w:val="20"/>
                              </w:rPr>
                              <w:t> </w:t>
                            </w:r>
                            <w:r>
                              <w:rPr>
                                <w:color w:val="105C84"/>
                                <w:sz w:val="20"/>
                              </w:rPr>
                              <w:t>health</w:t>
                            </w:r>
                            <w:r>
                              <w:rPr>
                                <w:color w:val="105C84"/>
                                <w:spacing w:val="13"/>
                                <w:sz w:val="20"/>
                              </w:rPr>
                              <w:t> </w:t>
                            </w:r>
                            <w:r>
                              <w:rPr>
                                <w:color w:val="105C84"/>
                                <w:sz w:val="20"/>
                              </w:rPr>
                              <w:t>issues</w:t>
                            </w:r>
                            <w:r>
                              <w:rPr>
                                <w:color w:val="105C84"/>
                                <w:spacing w:val="13"/>
                                <w:sz w:val="20"/>
                              </w:rPr>
                              <w:t> </w:t>
                            </w:r>
                            <w:r>
                              <w:rPr>
                                <w:color w:val="105C84"/>
                                <w:spacing w:val="-2"/>
                                <w:sz w:val="20"/>
                              </w:rPr>
                              <w:t>(22.2%)</w:t>
                            </w:r>
                          </w:p>
                        </w:tc>
                      </w:tr>
                      <w:tr>
                        <w:trPr>
                          <w:trHeight w:val="355" w:hRule="atLeast"/>
                        </w:trPr>
                        <w:tc>
                          <w:tcPr>
                            <w:tcW w:w="4548" w:type="dxa"/>
                          </w:tcPr>
                          <w:p>
                            <w:pPr>
                              <w:pStyle w:val="TableParagraph"/>
                              <w:spacing w:before="90"/>
                              <w:ind w:left="80"/>
                              <w:rPr>
                                <w:sz w:val="20"/>
                              </w:rPr>
                            </w:pPr>
                            <w:r>
                              <w:rPr>
                                <w:color w:val="105C84"/>
                                <w:sz w:val="20"/>
                              </w:rPr>
                              <w:t>Substance</w:t>
                            </w:r>
                            <w:r>
                              <w:rPr>
                                <w:color w:val="105C84"/>
                                <w:spacing w:val="-11"/>
                                <w:sz w:val="20"/>
                              </w:rPr>
                              <w:t> </w:t>
                            </w:r>
                            <w:r>
                              <w:rPr>
                                <w:color w:val="105C84"/>
                                <w:sz w:val="20"/>
                              </w:rPr>
                              <w:t>abuse</w:t>
                            </w:r>
                            <w:r>
                              <w:rPr>
                                <w:color w:val="105C84"/>
                                <w:spacing w:val="-10"/>
                                <w:sz w:val="20"/>
                              </w:rPr>
                              <w:t> </w:t>
                            </w:r>
                            <w:r>
                              <w:rPr>
                                <w:color w:val="105C84"/>
                                <w:spacing w:val="-2"/>
                                <w:sz w:val="20"/>
                              </w:rPr>
                              <w:t>(20.5%)</w:t>
                            </w:r>
                          </w:p>
                        </w:tc>
                      </w:tr>
                      <w:tr>
                        <w:trPr>
                          <w:trHeight w:val="355" w:hRule="atLeast"/>
                        </w:trPr>
                        <w:tc>
                          <w:tcPr>
                            <w:tcW w:w="4548" w:type="dxa"/>
                          </w:tcPr>
                          <w:p>
                            <w:pPr>
                              <w:pStyle w:val="TableParagraph"/>
                              <w:spacing w:before="90"/>
                              <w:ind w:left="80"/>
                              <w:rPr>
                                <w:sz w:val="20"/>
                              </w:rPr>
                            </w:pPr>
                            <w:r>
                              <w:rPr>
                                <w:color w:val="105C84"/>
                                <w:sz w:val="20"/>
                              </w:rPr>
                              <w:t>Weight</w:t>
                            </w:r>
                            <w:r>
                              <w:rPr>
                                <w:color w:val="105C84"/>
                                <w:spacing w:val="27"/>
                                <w:sz w:val="20"/>
                              </w:rPr>
                              <w:t> </w:t>
                            </w:r>
                            <w:r>
                              <w:rPr>
                                <w:color w:val="105C84"/>
                                <w:spacing w:val="-2"/>
                                <w:sz w:val="20"/>
                              </w:rPr>
                              <w:t>(16.4%)</w:t>
                            </w:r>
                          </w:p>
                        </w:tc>
                      </w:tr>
                      <w:tr>
                        <w:trPr>
                          <w:trHeight w:val="355" w:hRule="atLeast"/>
                        </w:trPr>
                        <w:tc>
                          <w:tcPr>
                            <w:tcW w:w="4548" w:type="dxa"/>
                          </w:tcPr>
                          <w:p>
                            <w:pPr>
                              <w:pStyle w:val="TableParagraph"/>
                              <w:spacing w:before="90"/>
                              <w:ind w:left="80"/>
                              <w:rPr>
                                <w:sz w:val="20"/>
                              </w:rPr>
                            </w:pPr>
                            <w:r>
                              <w:rPr>
                                <w:color w:val="105C84"/>
                                <w:sz w:val="20"/>
                              </w:rPr>
                              <w:t>Cost</w:t>
                            </w:r>
                            <w:r>
                              <w:rPr>
                                <w:color w:val="105C84"/>
                                <w:spacing w:val="6"/>
                                <w:sz w:val="20"/>
                              </w:rPr>
                              <w:t> </w:t>
                            </w:r>
                            <w:r>
                              <w:rPr>
                                <w:color w:val="105C84"/>
                                <w:spacing w:val="-2"/>
                                <w:sz w:val="20"/>
                              </w:rPr>
                              <w:t>(10.9%)</w:t>
                            </w:r>
                          </w:p>
                        </w:tc>
                      </w:tr>
                      <w:tr>
                        <w:trPr>
                          <w:trHeight w:val="355" w:hRule="atLeast"/>
                        </w:trPr>
                        <w:tc>
                          <w:tcPr>
                            <w:tcW w:w="4548" w:type="dxa"/>
                          </w:tcPr>
                          <w:p>
                            <w:pPr>
                              <w:pStyle w:val="TableParagraph"/>
                              <w:spacing w:before="90"/>
                              <w:ind w:left="80"/>
                              <w:rPr>
                                <w:sz w:val="20"/>
                              </w:rPr>
                            </w:pPr>
                            <w:r>
                              <w:rPr>
                                <w:color w:val="105C84"/>
                                <w:sz w:val="20"/>
                              </w:rPr>
                              <w:t>Diet</w:t>
                            </w:r>
                            <w:r>
                              <w:rPr>
                                <w:color w:val="105C84"/>
                                <w:spacing w:val="30"/>
                                <w:sz w:val="20"/>
                              </w:rPr>
                              <w:t> </w:t>
                            </w:r>
                            <w:r>
                              <w:rPr>
                                <w:color w:val="105C84"/>
                                <w:sz w:val="20"/>
                              </w:rPr>
                              <w:t>/</w:t>
                            </w:r>
                            <w:r>
                              <w:rPr>
                                <w:color w:val="105C84"/>
                                <w:spacing w:val="30"/>
                                <w:sz w:val="20"/>
                              </w:rPr>
                              <w:t> </w:t>
                            </w:r>
                            <w:r>
                              <w:rPr>
                                <w:color w:val="105C84"/>
                                <w:sz w:val="20"/>
                              </w:rPr>
                              <w:t>nutrition</w:t>
                            </w:r>
                            <w:r>
                              <w:rPr>
                                <w:color w:val="105C84"/>
                                <w:spacing w:val="31"/>
                                <w:sz w:val="20"/>
                              </w:rPr>
                              <w:t> </w:t>
                            </w:r>
                            <w:r>
                              <w:rPr>
                                <w:color w:val="105C84"/>
                                <w:spacing w:val="-2"/>
                                <w:sz w:val="20"/>
                              </w:rPr>
                              <w:t>(9.7%)</w:t>
                            </w:r>
                          </w:p>
                        </w:tc>
                      </w:tr>
                    </w:tbl>
                    <w:p>
                      <w:pPr>
                        <w:pStyle w:val="BodyText"/>
                      </w:pPr>
                    </w:p>
                  </w:txbxContent>
                </v:textbox>
                <w10:wrap type="topAndBottom"/>
              </v:shape>
            </w:pict>
          </mc:Fallback>
        </mc:AlternateContent>
      </w:r>
      <w:r>
        <w:rPr>
          <w:b/>
          <w:sz w:val="20"/>
        </w:rPr>
        <mc:AlternateContent>
          <mc:Choice Requires="wps">
            <w:drawing>
              <wp:anchor distT="0" distB="0" distL="0" distR="0" allowOverlap="1" layoutInCell="1" locked="0" behindDoc="1" simplePos="0" relativeHeight="487587840">
                <wp:simplePos x="0" y="0"/>
                <wp:positionH relativeFrom="page">
                  <wp:posOffset>11693588</wp:posOffset>
                </wp:positionH>
                <wp:positionV relativeFrom="paragraph">
                  <wp:posOffset>1672329</wp:posOffset>
                </wp:positionV>
                <wp:extent cx="3037840" cy="1374775"/>
                <wp:effectExtent l="0" t="0" r="0" b="0"/>
                <wp:wrapTopAndBottom/>
                <wp:docPr id="685" name="Textbox 685"/>
                <wp:cNvGraphicFramePr>
                  <a:graphicFrameLocks/>
                </wp:cNvGraphicFramePr>
                <a:graphic>
                  <a:graphicData uri="http://schemas.microsoft.com/office/word/2010/wordprocessingShape">
                    <wps:wsp>
                      <wps:cNvPr id="685" name="Textbox 685"/>
                      <wps:cNvSpPr txBox="1"/>
                      <wps:spPr>
                        <a:xfrm>
                          <a:off x="0" y="0"/>
                          <a:ext cx="3037840" cy="1374775"/>
                        </a:xfrm>
                        <a:prstGeom prst="rect">
                          <a:avLst/>
                        </a:prstGeom>
                      </wps:spPr>
                      <wps:txbx>
                        <w:txbxContent>
                          <w:tbl>
                            <w:tblPr>
                              <w:tblW w:w="0" w:type="auto"/>
                              <w:jc w:val="left"/>
                              <w:tblInd w:w="2" w:type="dxa"/>
                              <w:tblBorders>
                                <w:top w:val="single" w:sz="2" w:space="0" w:color="636466"/>
                                <w:left w:val="single" w:sz="2" w:space="0" w:color="636466"/>
                                <w:bottom w:val="single" w:sz="2" w:space="0" w:color="636466"/>
                                <w:right w:val="single" w:sz="2" w:space="0" w:color="636466"/>
                                <w:insideH w:val="single" w:sz="2" w:space="0" w:color="636466"/>
                                <w:insideV w:val="single" w:sz="2" w:space="0" w:color="636466"/>
                              </w:tblBorders>
                              <w:tblLayout w:type="fixed"/>
                              <w:tblCellMar>
                                <w:top w:w="0" w:type="dxa"/>
                                <w:left w:w="0" w:type="dxa"/>
                                <w:bottom w:w="0" w:type="dxa"/>
                                <w:right w:w="0" w:type="dxa"/>
                              </w:tblCellMar>
                              <w:tblLook w:val="01E0"/>
                            </w:tblPr>
                            <w:tblGrid>
                              <w:gridCol w:w="4778"/>
                            </w:tblGrid>
                            <w:tr>
                              <w:trPr>
                                <w:trHeight w:val="355" w:hRule="atLeast"/>
                              </w:trPr>
                              <w:tc>
                                <w:tcPr>
                                  <w:tcW w:w="4778" w:type="dxa"/>
                                  <w:shd w:val="clear" w:color="auto" w:fill="1C75BC"/>
                                </w:tcPr>
                                <w:p>
                                  <w:pPr>
                                    <w:pStyle w:val="TableParagraph"/>
                                    <w:spacing w:before="90"/>
                                    <w:ind w:left="79"/>
                                    <w:rPr>
                                      <w:b/>
                                      <w:sz w:val="20"/>
                                    </w:rPr>
                                  </w:pPr>
                                  <w:r>
                                    <w:rPr>
                                      <w:b/>
                                      <w:color w:val="FFFFFF"/>
                                      <w:sz w:val="20"/>
                                    </w:rPr>
                                    <w:t>COUNTY</w:t>
                                  </w:r>
                                  <w:r>
                                    <w:rPr>
                                      <w:b/>
                                      <w:color w:val="FFFFFF"/>
                                      <w:spacing w:val="2"/>
                                      <w:sz w:val="20"/>
                                    </w:rPr>
                                    <w:t> </w:t>
                                  </w:r>
                                  <w:r>
                                    <w:rPr>
                                      <w:b/>
                                      <w:color w:val="FFFFFF"/>
                                      <w:sz w:val="20"/>
                                    </w:rPr>
                                    <w:t>PRIORITY</w:t>
                                  </w:r>
                                  <w:r>
                                    <w:rPr>
                                      <w:b/>
                                      <w:color w:val="FFFFFF"/>
                                      <w:spacing w:val="3"/>
                                      <w:sz w:val="20"/>
                                    </w:rPr>
                                    <w:t> </w:t>
                                  </w:r>
                                  <w:r>
                                    <w:rPr>
                                      <w:b/>
                                      <w:color w:val="FFFFFF"/>
                                      <w:sz w:val="20"/>
                                    </w:rPr>
                                    <w:t>-</w:t>
                                  </w:r>
                                  <w:r>
                                    <w:rPr>
                                      <w:b/>
                                      <w:color w:val="FFFFFF"/>
                                      <w:spacing w:val="2"/>
                                      <w:sz w:val="20"/>
                                    </w:rPr>
                                    <w:t> </w:t>
                                  </w:r>
                                  <w:r>
                                    <w:rPr>
                                      <w:b/>
                                      <w:color w:val="FFFFFF"/>
                                      <w:sz w:val="20"/>
                                    </w:rPr>
                                    <w:t>FOR</w:t>
                                  </w:r>
                                  <w:r>
                                    <w:rPr>
                                      <w:b/>
                                      <w:color w:val="FFFFFF"/>
                                      <w:spacing w:val="3"/>
                                      <w:sz w:val="20"/>
                                    </w:rPr>
                                    <w:t> </w:t>
                                  </w:r>
                                  <w:r>
                                    <w:rPr>
                                      <w:b/>
                                      <w:color w:val="FFFFFF"/>
                                      <w:spacing w:val="-2"/>
                                      <w:sz w:val="20"/>
                                    </w:rPr>
                                    <w:t>CHILDREN</w:t>
                                  </w:r>
                                </w:p>
                              </w:tc>
                            </w:tr>
                            <w:tr>
                              <w:trPr>
                                <w:trHeight w:val="355" w:hRule="atLeast"/>
                              </w:trPr>
                              <w:tc>
                                <w:tcPr>
                                  <w:tcW w:w="4778" w:type="dxa"/>
                                </w:tcPr>
                                <w:p>
                                  <w:pPr>
                                    <w:pStyle w:val="TableParagraph"/>
                                    <w:spacing w:before="90"/>
                                    <w:ind w:left="79"/>
                                    <w:rPr>
                                      <w:sz w:val="20"/>
                                    </w:rPr>
                                  </w:pPr>
                                  <w:r>
                                    <w:rPr>
                                      <w:color w:val="105C84"/>
                                      <w:sz w:val="20"/>
                                    </w:rPr>
                                    <w:t>Diet</w:t>
                                  </w:r>
                                  <w:r>
                                    <w:rPr>
                                      <w:color w:val="105C84"/>
                                      <w:spacing w:val="30"/>
                                      <w:sz w:val="20"/>
                                    </w:rPr>
                                    <w:t> </w:t>
                                  </w:r>
                                  <w:r>
                                    <w:rPr>
                                      <w:color w:val="105C84"/>
                                      <w:sz w:val="20"/>
                                    </w:rPr>
                                    <w:t>/</w:t>
                                  </w:r>
                                  <w:r>
                                    <w:rPr>
                                      <w:color w:val="105C84"/>
                                      <w:spacing w:val="30"/>
                                      <w:sz w:val="20"/>
                                    </w:rPr>
                                    <w:t> </w:t>
                                  </w:r>
                                  <w:r>
                                    <w:rPr>
                                      <w:color w:val="105C84"/>
                                      <w:sz w:val="20"/>
                                    </w:rPr>
                                    <w:t>nutrition</w:t>
                                  </w:r>
                                  <w:r>
                                    <w:rPr>
                                      <w:color w:val="105C84"/>
                                      <w:spacing w:val="31"/>
                                      <w:sz w:val="20"/>
                                    </w:rPr>
                                    <w:t> </w:t>
                                  </w:r>
                                  <w:r>
                                    <w:rPr>
                                      <w:color w:val="105C84"/>
                                      <w:spacing w:val="-2"/>
                                      <w:sz w:val="20"/>
                                    </w:rPr>
                                    <w:t>(21.5%)</w:t>
                                  </w:r>
                                </w:p>
                              </w:tc>
                            </w:tr>
                            <w:tr>
                              <w:trPr>
                                <w:trHeight w:val="355" w:hRule="atLeast"/>
                              </w:trPr>
                              <w:tc>
                                <w:tcPr>
                                  <w:tcW w:w="4778" w:type="dxa"/>
                                </w:tcPr>
                                <w:p>
                                  <w:pPr>
                                    <w:pStyle w:val="TableParagraph"/>
                                    <w:spacing w:before="90"/>
                                    <w:ind w:left="79"/>
                                    <w:rPr>
                                      <w:sz w:val="20"/>
                                    </w:rPr>
                                  </w:pPr>
                                  <w:r>
                                    <w:rPr>
                                      <w:color w:val="105C84"/>
                                      <w:sz w:val="20"/>
                                    </w:rPr>
                                    <w:t>Mental</w:t>
                                  </w:r>
                                  <w:r>
                                    <w:rPr>
                                      <w:color w:val="105C84"/>
                                      <w:spacing w:val="13"/>
                                      <w:sz w:val="20"/>
                                    </w:rPr>
                                    <w:t> </w:t>
                                  </w:r>
                                  <w:r>
                                    <w:rPr>
                                      <w:color w:val="105C84"/>
                                      <w:sz w:val="20"/>
                                    </w:rPr>
                                    <w:t>/</w:t>
                                  </w:r>
                                  <w:r>
                                    <w:rPr>
                                      <w:color w:val="105C84"/>
                                      <w:spacing w:val="13"/>
                                      <w:sz w:val="20"/>
                                    </w:rPr>
                                    <w:t> </w:t>
                                  </w:r>
                                  <w:r>
                                    <w:rPr>
                                      <w:color w:val="105C84"/>
                                      <w:sz w:val="20"/>
                                    </w:rPr>
                                    <w:t>emotional</w:t>
                                  </w:r>
                                  <w:r>
                                    <w:rPr>
                                      <w:color w:val="105C84"/>
                                      <w:spacing w:val="13"/>
                                      <w:sz w:val="20"/>
                                    </w:rPr>
                                    <w:t> </w:t>
                                  </w:r>
                                  <w:r>
                                    <w:rPr>
                                      <w:color w:val="105C84"/>
                                      <w:sz w:val="20"/>
                                    </w:rPr>
                                    <w:t>health</w:t>
                                  </w:r>
                                  <w:r>
                                    <w:rPr>
                                      <w:color w:val="105C84"/>
                                      <w:spacing w:val="13"/>
                                      <w:sz w:val="20"/>
                                    </w:rPr>
                                    <w:t> </w:t>
                                  </w:r>
                                  <w:r>
                                    <w:rPr>
                                      <w:color w:val="105C84"/>
                                      <w:sz w:val="20"/>
                                    </w:rPr>
                                    <w:t>issues</w:t>
                                  </w:r>
                                  <w:r>
                                    <w:rPr>
                                      <w:color w:val="105C84"/>
                                      <w:spacing w:val="13"/>
                                      <w:sz w:val="20"/>
                                    </w:rPr>
                                    <w:t> </w:t>
                                  </w:r>
                                  <w:r>
                                    <w:rPr>
                                      <w:color w:val="105C84"/>
                                      <w:spacing w:val="-2"/>
                                      <w:sz w:val="20"/>
                                    </w:rPr>
                                    <w:t>(17.1%)</w:t>
                                  </w:r>
                                </w:p>
                              </w:tc>
                            </w:tr>
                            <w:tr>
                              <w:trPr>
                                <w:trHeight w:val="355" w:hRule="atLeast"/>
                              </w:trPr>
                              <w:tc>
                                <w:tcPr>
                                  <w:tcW w:w="4778" w:type="dxa"/>
                                </w:tcPr>
                                <w:p>
                                  <w:pPr>
                                    <w:pStyle w:val="TableParagraph"/>
                                    <w:spacing w:before="90"/>
                                    <w:ind w:left="79"/>
                                    <w:rPr>
                                      <w:sz w:val="20"/>
                                    </w:rPr>
                                  </w:pPr>
                                  <w:r>
                                    <w:rPr>
                                      <w:color w:val="105C84"/>
                                      <w:sz w:val="20"/>
                                    </w:rPr>
                                    <w:t>Substance</w:t>
                                  </w:r>
                                  <w:r>
                                    <w:rPr>
                                      <w:color w:val="105C84"/>
                                      <w:spacing w:val="-11"/>
                                      <w:sz w:val="20"/>
                                    </w:rPr>
                                    <w:t> </w:t>
                                  </w:r>
                                  <w:r>
                                    <w:rPr>
                                      <w:color w:val="105C84"/>
                                      <w:sz w:val="20"/>
                                    </w:rPr>
                                    <w:t>abuse</w:t>
                                  </w:r>
                                  <w:r>
                                    <w:rPr>
                                      <w:color w:val="105C84"/>
                                      <w:spacing w:val="-10"/>
                                      <w:sz w:val="20"/>
                                    </w:rPr>
                                    <w:t> </w:t>
                                  </w:r>
                                  <w:r>
                                    <w:rPr>
                                      <w:color w:val="105C84"/>
                                      <w:spacing w:val="-2"/>
                                      <w:sz w:val="20"/>
                                    </w:rPr>
                                    <w:t>(15.9%)</w:t>
                                  </w:r>
                                </w:p>
                              </w:tc>
                            </w:tr>
                            <w:tr>
                              <w:trPr>
                                <w:trHeight w:val="355" w:hRule="atLeast"/>
                              </w:trPr>
                              <w:tc>
                                <w:tcPr>
                                  <w:tcW w:w="4778" w:type="dxa"/>
                                </w:tcPr>
                                <w:p>
                                  <w:pPr>
                                    <w:pStyle w:val="TableParagraph"/>
                                    <w:spacing w:before="90"/>
                                    <w:ind w:left="79"/>
                                    <w:rPr>
                                      <w:sz w:val="20"/>
                                    </w:rPr>
                                  </w:pPr>
                                  <w:r>
                                    <w:rPr>
                                      <w:color w:val="105C84"/>
                                      <w:sz w:val="20"/>
                                    </w:rPr>
                                    <w:t>Weight</w:t>
                                  </w:r>
                                  <w:r>
                                    <w:rPr>
                                      <w:color w:val="105C84"/>
                                      <w:spacing w:val="27"/>
                                      <w:sz w:val="20"/>
                                    </w:rPr>
                                    <w:t> </w:t>
                                  </w:r>
                                  <w:r>
                                    <w:rPr>
                                      <w:color w:val="105C84"/>
                                      <w:spacing w:val="-2"/>
                                      <w:sz w:val="20"/>
                                    </w:rPr>
                                    <w:t>(15.4%)</w:t>
                                  </w:r>
                                </w:p>
                              </w:tc>
                            </w:tr>
                            <w:tr>
                              <w:trPr>
                                <w:trHeight w:val="355" w:hRule="atLeast"/>
                              </w:trPr>
                              <w:tc>
                                <w:tcPr>
                                  <w:tcW w:w="4778" w:type="dxa"/>
                                </w:tcPr>
                                <w:p>
                                  <w:pPr>
                                    <w:pStyle w:val="TableParagraph"/>
                                    <w:spacing w:before="90"/>
                                    <w:ind w:left="79"/>
                                    <w:rPr>
                                      <w:sz w:val="20"/>
                                    </w:rPr>
                                  </w:pPr>
                                  <w:r>
                                    <w:rPr>
                                      <w:color w:val="105C84"/>
                                      <w:spacing w:val="-4"/>
                                      <w:sz w:val="20"/>
                                    </w:rPr>
                                    <w:t>Exercise</w:t>
                                  </w:r>
                                  <w:r>
                                    <w:rPr>
                                      <w:color w:val="105C84"/>
                                      <w:spacing w:val="3"/>
                                      <w:sz w:val="20"/>
                                    </w:rPr>
                                    <w:t> </w:t>
                                  </w:r>
                                  <w:r>
                                    <w:rPr>
                                      <w:color w:val="105C84"/>
                                      <w:spacing w:val="-2"/>
                                      <w:sz w:val="20"/>
                                    </w:rPr>
                                    <w:t>(15.1%)</w:t>
                                  </w:r>
                                </w:p>
                              </w:tc>
                            </w:tr>
                          </w:tbl>
                          <w:p>
                            <w:pPr>
                              <w:pStyle w:val="BodyText"/>
                            </w:pPr>
                          </w:p>
                        </w:txbxContent>
                      </wps:txbx>
                      <wps:bodyPr wrap="square" lIns="0" tIns="0" rIns="0" bIns="0" rtlCol="0">
                        <a:noAutofit/>
                      </wps:bodyPr>
                    </wps:wsp>
                  </a:graphicData>
                </a:graphic>
              </wp:anchor>
            </w:drawing>
          </mc:Choice>
          <mc:Fallback>
            <w:pict>
              <v:shape style="position:absolute;margin-left:920.755005pt;margin-top:131.679489pt;width:239.2pt;height:108.25pt;mso-position-horizontal-relative:page;mso-position-vertical-relative:paragraph;z-index:-15728640;mso-wrap-distance-left:0;mso-wrap-distance-right:0" type="#_x0000_t202" id="docshape589" filled="false" stroked="false">
                <v:textbox inset="0,0,0,0">
                  <w:txbxContent>
                    <w:tbl>
                      <w:tblPr>
                        <w:tblW w:w="0" w:type="auto"/>
                        <w:jc w:val="left"/>
                        <w:tblInd w:w="2" w:type="dxa"/>
                        <w:tblBorders>
                          <w:top w:val="single" w:sz="2" w:space="0" w:color="636466"/>
                          <w:left w:val="single" w:sz="2" w:space="0" w:color="636466"/>
                          <w:bottom w:val="single" w:sz="2" w:space="0" w:color="636466"/>
                          <w:right w:val="single" w:sz="2" w:space="0" w:color="636466"/>
                          <w:insideH w:val="single" w:sz="2" w:space="0" w:color="636466"/>
                          <w:insideV w:val="single" w:sz="2" w:space="0" w:color="636466"/>
                        </w:tblBorders>
                        <w:tblLayout w:type="fixed"/>
                        <w:tblCellMar>
                          <w:top w:w="0" w:type="dxa"/>
                          <w:left w:w="0" w:type="dxa"/>
                          <w:bottom w:w="0" w:type="dxa"/>
                          <w:right w:w="0" w:type="dxa"/>
                        </w:tblCellMar>
                        <w:tblLook w:val="01E0"/>
                      </w:tblPr>
                      <w:tblGrid>
                        <w:gridCol w:w="4778"/>
                      </w:tblGrid>
                      <w:tr>
                        <w:trPr>
                          <w:trHeight w:val="355" w:hRule="atLeast"/>
                        </w:trPr>
                        <w:tc>
                          <w:tcPr>
                            <w:tcW w:w="4778" w:type="dxa"/>
                            <w:shd w:val="clear" w:color="auto" w:fill="1C75BC"/>
                          </w:tcPr>
                          <w:p>
                            <w:pPr>
                              <w:pStyle w:val="TableParagraph"/>
                              <w:spacing w:before="90"/>
                              <w:ind w:left="79"/>
                              <w:rPr>
                                <w:b/>
                                <w:sz w:val="20"/>
                              </w:rPr>
                            </w:pPr>
                            <w:r>
                              <w:rPr>
                                <w:b/>
                                <w:color w:val="FFFFFF"/>
                                <w:sz w:val="20"/>
                              </w:rPr>
                              <w:t>COUNTY</w:t>
                            </w:r>
                            <w:r>
                              <w:rPr>
                                <w:b/>
                                <w:color w:val="FFFFFF"/>
                                <w:spacing w:val="2"/>
                                <w:sz w:val="20"/>
                              </w:rPr>
                              <w:t> </w:t>
                            </w:r>
                            <w:r>
                              <w:rPr>
                                <w:b/>
                                <w:color w:val="FFFFFF"/>
                                <w:sz w:val="20"/>
                              </w:rPr>
                              <w:t>PRIORITY</w:t>
                            </w:r>
                            <w:r>
                              <w:rPr>
                                <w:b/>
                                <w:color w:val="FFFFFF"/>
                                <w:spacing w:val="3"/>
                                <w:sz w:val="20"/>
                              </w:rPr>
                              <w:t> </w:t>
                            </w:r>
                            <w:r>
                              <w:rPr>
                                <w:b/>
                                <w:color w:val="FFFFFF"/>
                                <w:sz w:val="20"/>
                              </w:rPr>
                              <w:t>-</w:t>
                            </w:r>
                            <w:r>
                              <w:rPr>
                                <w:b/>
                                <w:color w:val="FFFFFF"/>
                                <w:spacing w:val="2"/>
                                <w:sz w:val="20"/>
                              </w:rPr>
                              <w:t> </w:t>
                            </w:r>
                            <w:r>
                              <w:rPr>
                                <w:b/>
                                <w:color w:val="FFFFFF"/>
                                <w:sz w:val="20"/>
                              </w:rPr>
                              <w:t>FOR</w:t>
                            </w:r>
                            <w:r>
                              <w:rPr>
                                <w:b/>
                                <w:color w:val="FFFFFF"/>
                                <w:spacing w:val="3"/>
                                <w:sz w:val="20"/>
                              </w:rPr>
                              <w:t> </w:t>
                            </w:r>
                            <w:r>
                              <w:rPr>
                                <w:b/>
                                <w:color w:val="FFFFFF"/>
                                <w:spacing w:val="-2"/>
                                <w:sz w:val="20"/>
                              </w:rPr>
                              <w:t>CHILDREN</w:t>
                            </w:r>
                          </w:p>
                        </w:tc>
                      </w:tr>
                      <w:tr>
                        <w:trPr>
                          <w:trHeight w:val="355" w:hRule="atLeast"/>
                        </w:trPr>
                        <w:tc>
                          <w:tcPr>
                            <w:tcW w:w="4778" w:type="dxa"/>
                          </w:tcPr>
                          <w:p>
                            <w:pPr>
                              <w:pStyle w:val="TableParagraph"/>
                              <w:spacing w:before="90"/>
                              <w:ind w:left="79"/>
                              <w:rPr>
                                <w:sz w:val="20"/>
                              </w:rPr>
                            </w:pPr>
                            <w:r>
                              <w:rPr>
                                <w:color w:val="105C84"/>
                                <w:sz w:val="20"/>
                              </w:rPr>
                              <w:t>Diet</w:t>
                            </w:r>
                            <w:r>
                              <w:rPr>
                                <w:color w:val="105C84"/>
                                <w:spacing w:val="30"/>
                                <w:sz w:val="20"/>
                              </w:rPr>
                              <w:t> </w:t>
                            </w:r>
                            <w:r>
                              <w:rPr>
                                <w:color w:val="105C84"/>
                                <w:sz w:val="20"/>
                              </w:rPr>
                              <w:t>/</w:t>
                            </w:r>
                            <w:r>
                              <w:rPr>
                                <w:color w:val="105C84"/>
                                <w:spacing w:val="30"/>
                                <w:sz w:val="20"/>
                              </w:rPr>
                              <w:t> </w:t>
                            </w:r>
                            <w:r>
                              <w:rPr>
                                <w:color w:val="105C84"/>
                                <w:sz w:val="20"/>
                              </w:rPr>
                              <w:t>nutrition</w:t>
                            </w:r>
                            <w:r>
                              <w:rPr>
                                <w:color w:val="105C84"/>
                                <w:spacing w:val="31"/>
                                <w:sz w:val="20"/>
                              </w:rPr>
                              <w:t> </w:t>
                            </w:r>
                            <w:r>
                              <w:rPr>
                                <w:color w:val="105C84"/>
                                <w:spacing w:val="-2"/>
                                <w:sz w:val="20"/>
                              </w:rPr>
                              <w:t>(21.5%)</w:t>
                            </w:r>
                          </w:p>
                        </w:tc>
                      </w:tr>
                      <w:tr>
                        <w:trPr>
                          <w:trHeight w:val="355" w:hRule="atLeast"/>
                        </w:trPr>
                        <w:tc>
                          <w:tcPr>
                            <w:tcW w:w="4778" w:type="dxa"/>
                          </w:tcPr>
                          <w:p>
                            <w:pPr>
                              <w:pStyle w:val="TableParagraph"/>
                              <w:spacing w:before="90"/>
                              <w:ind w:left="79"/>
                              <w:rPr>
                                <w:sz w:val="20"/>
                              </w:rPr>
                            </w:pPr>
                            <w:r>
                              <w:rPr>
                                <w:color w:val="105C84"/>
                                <w:sz w:val="20"/>
                              </w:rPr>
                              <w:t>Mental</w:t>
                            </w:r>
                            <w:r>
                              <w:rPr>
                                <w:color w:val="105C84"/>
                                <w:spacing w:val="13"/>
                                <w:sz w:val="20"/>
                              </w:rPr>
                              <w:t> </w:t>
                            </w:r>
                            <w:r>
                              <w:rPr>
                                <w:color w:val="105C84"/>
                                <w:sz w:val="20"/>
                              </w:rPr>
                              <w:t>/</w:t>
                            </w:r>
                            <w:r>
                              <w:rPr>
                                <w:color w:val="105C84"/>
                                <w:spacing w:val="13"/>
                                <w:sz w:val="20"/>
                              </w:rPr>
                              <w:t> </w:t>
                            </w:r>
                            <w:r>
                              <w:rPr>
                                <w:color w:val="105C84"/>
                                <w:sz w:val="20"/>
                              </w:rPr>
                              <w:t>emotional</w:t>
                            </w:r>
                            <w:r>
                              <w:rPr>
                                <w:color w:val="105C84"/>
                                <w:spacing w:val="13"/>
                                <w:sz w:val="20"/>
                              </w:rPr>
                              <w:t> </w:t>
                            </w:r>
                            <w:r>
                              <w:rPr>
                                <w:color w:val="105C84"/>
                                <w:sz w:val="20"/>
                              </w:rPr>
                              <w:t>health</w:t>
                            </w:r>
                            <w:r>
                              <w:rPr>
                                <w:color w:val="105C84"/>
                                <w:spacing w:val="13"/>
                                <w:sz w:val="20"/>
                              </w:rPr>
                              <w:t> </w:t>
                            </w:r>
                            <w:r>
                              <w:rPr>
                                <w:color w:val="105C84"/>
                                <w:sz w:val="20"/>
                              </w:rPr>
                              <w:t>issues</w:t>
                            </w:r>
                            <w:r>
                              <w:rPr>
                                <w:color w:val="105C84"/>
                                <w:spacing w:val="13"/>
                                <w:sz w:val="20"/>
                              </w:rPr>
                              <w:t> </w:t>
                            </w:r>
                            <w:r>
                              <w:rPr>
                                <w:color w:val="105C84"/>
                                <w:spacing w:val="-2"/>
                                <w:sz w:val="20"/>
                              </w:rPr>
                              <w:t>(17.1%)</w:t>
                            </w:r>
                          </w:p>
                        </w:tc>
                      </w:tr>
                      <w:tr>
                        <w:trPr>
                          <w:trHeight w:val="355" w:hRule="atLeast"/>
                        </w:trPr>
                        <w:tc>
                          <w:tcPr>
                            <w:tcW w:w="4778" w:type="dxa"/>
                          </w:tcPr>
                          <w:p>
                            <w:pPr>
                              <w:pStyle w:val="TableParagraph"/>
                              <w:spacing w:before="90"/>
                              <w:ind w:left="79"/>
                              <w:rPr>
                                <w:sz w:val="20"/>
                              </w:rPr>
                            </w:pPr>
                            <w:r>
                              <w:rPr>
                                <w:color w:val="105C84"/>
                                <w:sz w:val="20"/>
                              </w:rPr>
                              <w:t>Substance</w:t>
                            </w:r>
                            <w:r>
                              <w:rPr>
                                <w:color w:val="105C84"/>
                                <w:spacing w:val="-11"/>
                                <w:sz w:val="20"/>
                              </w:rPr>
                              <w:t> </w:t>
                            </w:r>
                            <w:r>
                              <w:rPr>
                                <w:color w:val="105C84"/>
                                <w:sz w:val="20"/>
                              </w:rPr>
                              <w:t>abuse</w:t>
                            </w:r>
                            <w:r>
                              <w:rPr>
                                <w:color w:val="105C84"/>
                                <w:spacing w:val="-10"/>
                                <w:sz w:val="20"/>
                              </w:rPr>
                              <w:t> </w:t>
                            </w:r>
                            <w:r>
                              <w:rPr>
                                <w:color w:val="105C84"/>
                                <w:spacing w:val="-2"/>
                                <w:sz w:val="20"/>
                              </w:rPr>
                              <w:t>(15.9%)</w:t>
                            </w:r>
                          </w:p>
                        </w:tc>
                      </w:tr>
                      <w:tr>
                        <w:trPr>
                          <w:trHeight w:val="355" w:hRule="atLeast"/>
                        </w:trPr>
                        <w:tc>
                          <w:tcPr>
                            <w:tcW w:w="4778" w:type="dxa"/>
                          </w:tcPr>
                          <w:p>
                            <w:pPr>
                              <w:pStyle w:val="TableParagraph"/>
                              <w:spacing w:before="90"/>
                              <w:ind w:left="79"/>
                              <w:rPr>
                                <w:sz w:val="20"/>
                              </w:rPr>
                            </w:pPr>
                            <w:r>
                              <w:rPr>
                                <w:color w:val="105C84"/>
                                <w:sz w:val="20"/>
                              </w:rPr>
                              <w:t>Weight</w:t>
                            </w:r>
                            <w:r>
                              <w:rPr>
                                <w:color w:val="105C84"/>
                                <w:spacing w:val="27"/>
                                <w:sz w:val="20"/>
                              </w:rPr>
                              <w:t> </w:t>
                            </w:r>
                            <w:r>
                              <w:rPr>
                                <w:color w:val="105C84"/>
                                <w:spacing w:val="-2"/>
                                <w:sz w:val="20"/>
                              </w:rPr>
                              <w:t>(15.4%)</w:t>
                            </w:r>
                          </w:p>
                        </w:tc>
                      </w:tr>
                      <w:tr>
                        <w:trPr>
                          <w:trHeight w:val="355" w:hRule="atLeast"/>
                        </w:trPr>
                        <w:tc>
                          <w:tcPr>
                            <w:tcW w:w="4778" w:type="dxa"/>
                          </w:tcPr>
                          <w:p>
                            <w:pPr>
                              <w:pStyle w:val="TableParagraph"/>
                              <w:spacing w:before="90"/>
                              <w:ind w:left="79"/>
                              <w:rPr>
                                <w:sz w:val="20"/>
                              </w:rPr>
                            </w:pPr>
                            <w:r>
                              <w:rPr>
                                <w:color w:val="105C84"/>
                                <w:spacing w:val="-4"/>
                                <w:sz w:val="20"/>
                              </w:rPr>
                              <w:t>Exercise</w:t>
                            </w:r>
                            <w:r>
                              <w:rPr>
                                <w:color w:val="105C84"/>
                                <w:spacing w:val="3"/>
                                <w:sz w:val="20"/>
                              </w:rPr>
                              <w:t> </w:t>
                            </w:r>
                            <w:r>
                              <w:rPr>
                                <w:color w:val="105C84"/>
                                <w:spacing w:val="-2"/>
                                <w:sz w:val="20"/>
                              </w:rPr>
                              <w:t>(15.1%)</w:t>
                            </w:r>
                          </w:p>
                        </w:tc>
                      </w:tr>
                    </w:tbl>
                    <w:p>
                      <w:pPr>
                        <w:pStyle w:val="BodyText"/>
                      </w:pPr>
                    </w:p>
                  </w:txbxContent>
                </v:textbox>
                <w10:wrap type="topAndBottom"/>
              </v:shape>
            </w:pict>
          </mc:Fallback>
        </mc:AlternateContent>
      </w:r>
    </w:p>
    <w:p>
      <w:pPr>
        <w:pStyle w:val="BodyText"/>
        <w:spacing w:before="10"/>
        <w:rPr>
          <w:b/>
          <w:sz w:val="12"/>
        </w:rPr>
      </w:pPr>
    </w:p>
    <w:p>
      <w:pPr>
        <w:spacing w:line="235" w:lineRule="auto" w:before="133"/>
        <w:ind w:left="1080" w:right="479" w:firstLine="0"/>
        <w:jc w:val="left"/>
        <w:rPr>
          <w:sz w:val="16"/>
        </w:rPr>
      </w:pPr>
      <w:r>
        <w:rPr>
          <w:color w:val="0C5D86"/>
          <w:sz w:val="16"/>
        </w:rPr>
        <w:t>Source: My Health Story survey 2018. Analysis by Common Ground Health incorporates weighting to normalize survey participants to demographics</w:t>
      </w:r>
      <w:r>
        <w:rPr>
          <w:color w:val="0C5D86"/>
          <w:spacing w:val="-6"/>
          <w:sz w:val="16"/>
        </w:rPr>
        <w:t> </w:t>
      </w:r>
      <w:r>
        <w:rPr>
          <w:color w:val="0C5D86"/>
          <w:sz w:val="16"/>
        </w:rPr>
        <w:t>of</w:t>
      </w:r>
      <w:r>
        <w:rPr>
          <w:color w:val="0C5D86"/>
          <w:spacing w:val="-6"/>
          <w:sz w:val="16"/>
        </w:rPr>
        <w:t> </w:t>
      </w:r>
      <w:r>
        <w:rPr>
          <w:color w:val="0C5D86"/>
          <w:sz w:val="16"/>
        </w:rPr>
        <w:t>each</w:t>
      </w:r>
      <w:r>
        <w:rPr>
          <w:color w:val="0C5D86"/>
          <w:spacing w:val="-6"/>
          <w:sz w:val="16"/>
        </w:rPr>
        <w:t> </w:t>
      </w:r>
      <w:r>
        <w:rPr>
          <w:color w:val="0C5D86"/>
          <w:sz w:val="16"/>
        </w:rPr>
        <w:t>county.</w:t>
      </w:r>
      <w:r>
        <w:rPr>
          <w:color w:val="0C5D86"/>
          <w:spacing w:val="32"/>
          <w:sz w:val="16"/>
        </w:rPr>
        <w:t> </w:t>
      </w:r>
      <w:r>
        <w:rPr>
          <w:color w:val="0C5D86"/>
          <w:sz w:val="16"/>
        </w:rPr>
        <w:t>Top</w:t>
      </w:r>
      <w:r>
        <w:rPr>
          <w:color w:val="0C5D86"/>
          <w:spacing w:val="-6"/>
          <w:sz w:val="16"/>
        </w:rPr>
        <w:t> </w:t>
      </w:r>
      <w:r>
        <w:rPr>
          <w:color w:val="0C5D86"/>
          <w:sz w:val="16"/>
        </w:rPr>
        <w:t>5</w:t>
      </w:r>
      <w:r>
        <w:rPr>
          <w:color w:val="0C5D86"/>
          <w:spacing w:val="-6"/>
          <w:sz w:val="16"/>
        </w:rPr>
        <w:t> </w:t>
      </w:r>
      <w:r>
        <w:rPr>
          <w:color w:val="0C5D86"/>
          <w:sz w:val="16"/>
        </w:rPr>
        <w:t>issues</w:t>
      </w:r>
      <w:r>
        <w:rPr>
          <w:color w:val="0C5D86"/>
          <w:spacing w:val="-6"/>
          <w:sz w:val="16"/>
        </w:rPr>
        <w:t> </w:t>
      </w:r>
      <w:r>
        <w:rPr>
          <w:color w:val="0C5D86"/>
          <w:sz w:val="16"/>
        </w:rPr>
        <w:t>shown</w:t>
      </w:r>
      <w:r>
        <w:rPr>
          <w:color w:val="0C5D86"/>
          <w:spacing w:val="-6"/>
          <w:sz w:val="16"/>
        </w:rPr>
        <w:t> </w:t>
      </w:r>
      <w:r>
        <w:rPr>
          <w:color w:val="0C5D86"/>
          <w:sz w:val="16"/>
        </w:rPr>
        <w:t>for</w:t>
      </w:r>
      <w:r>
        <w:rPr>
          <w:color w:val="0C5D86"/>
          <w:spacing w:val="-6"/>
          <w:sz w:val="16"/>
        </w:rPr>
        <w:t> </w:t>
      </w:r>
      <w:r>
        <w:rPr>
          <w:color w:val="0C5D86"/>
          <w:sz w:val="16"/>
        </w:rPr>
        <w:t>each</w:t>
      </w:r>
      <w:r>
        <w:rPr>
          <w:color w:val="0C5D86"/>
          <w:spacing w:val="-6"/>
          <w:sz w:val="16"/>
        </w:rPr>
        <w:t> </w:t>
      </w:r>
      <w:r>
        <w:rPr>
          <w:color w:val="0C5D86"/>
          <w:sz w:val="16"/>
        </w:rPr>
        <w:t>question.</w:t>
      </w:r>
      <w:r>
        <w:rPr>
          <w:color w:val="0C5D86"/>
          <w:spacing w:val="32"/>
          <w:sz w:val="16"/>
        </w:rPr>
        <w:t> </w:t>
      </w:r>
      <w:r>
        <w:rPr>
          <w:color w:val="0C5D86"/>
          <w:sz w:val="16"/>
        </w:rPr>
        <w:t>Data</w:t>
      </w:r>
      <w:r>
        <w:rPr>
          <w:color w:val="0C5D86"/>
          <w:spacing w:val="-6"/>
          <w:sz w:val="16"/>
        </w:rPr>
        <w:t> </w:t>
      </w:r>
      <w:r>
        <w:rPr>
          <w:color w:val="0C5D86"/>
          <w:sz w:val="16"/>
        </w:rPr>
        <w:t>shown</w:t>
      </w:r>
      <w:r>
        <w:rPr>
          <w:color w:val="0C5D86"/>
          <w:spacing w:val="-6"/>
          <w:sz w:val="16"/>
        </w:rPr>
        <w:t> </w:t>
      </w:r>
      <w:r>
        <w:rPr>
          <w:color w:val="0C5D86"/>
          <w:sz w:val="16"/>
        </w:rPr>
        <w:t>are</w:t>
      </w:r>
      <w:r>
        <w:rPr>
          <w:color w:val="0C5D86"/>
          <w:spacing w:val="-6"/>
          <w:sz w:val="16"/>
        </w:rPr>
        <w:t> </w:t>
      </w:r>
      <w:r>
        <w:rPr>
          <w:color w:val="0C5D86"/>
          <w:sz w:val="16"/>
        </w:rPr>
        <w:t>the</w:t>
      </w:r>
      <w:r>
        <w:rPr>
          <w:color w:val="0C5D86"/>
          <w:spacing w:val="-6"/>
          <w:sz w:val="16"/>
        </w:rPr>
        <w:t> </w:t>
      </w:r>
      <w:r>
        <w:rPr>
          <w:color w:val="0C5D86"/>
          <w:sz w:val="16"/>
        </w:rPr>
        <w:t>percent</w:t>
      </w:r>
      <w:r>
        <w:rPr>
          <w:color w:val="0C5D86"/>
          <w:spacing w:val="-6"/>
          <w:sz w:val="16"/>
        </w:rPr>
        <w:t> </w:t>
      </w:r>
      <w:r>
        <w:rPr>
          <w:color w:val="0C5D86"/>
          <w:sz w:val="16"/>
        </w:rPr>
        <w:t>of</w:t>
      </w:r>
      <w:r>
        <w:rPr>
          <w:color w:val="0C5D86"/>
          <w:spacing w:val="-6"/>
          <w:sz w:val="16"/>
        </w:rPr>
        <w:t> </w:t>
      </w:r>
      <w:r>
        <w:rPr>
          <w:color w:val="0C5D86"/>
          <w:sz w:val="16"/>
        </w:rPr>
        <w:t>participants</w:t>
      </w:r>
      <w:r>
        <w:rPr>
          <w:color w:val="0C5D86"/>
          <w:spacing w:val="-6"/>
          <w:sz w:val="16"/>
        </w:rPr>
        <w:t> </w:t>
      </w:r>
      <w:r>
        <w:rPr>
          <w:color w:val="0C5D86"/>
          <w:sz w:val="16"/>
        </w:rPr>
        <w:t>with</w:t>
      </w:r>
      <w:r>
        <w:rPr>
          <w:color w:val="0C5D86"/>
          <w:spacing w:val="-6"/>
          <w:sz w:val="16"/>
        </w:rPr>
        <w:t> </w:t>
      </w:r>
      <w:r>
        <w:rPr>
          <w:color w:val="0C5D86"/>
          <w:sz w:val="16"/>
        </w:rPr>
        <w:t>responses</w:t>
      </w:r>
      <w:r>
        <w:rPr>
          <w:color w:val="0C5D86"/>
          <w:spacing w:val="-6"/>
          <w:sz w:val="16"/>
        </w:rPr>
        <w:t> </w:t>
      </w:r>
      <w:r>
        <w:rPr>
          <w:color w:val="0C5D86"/>
          <w:sz w:val="16"/>
        </w:rPr>
        <w:t>in</w:t>
      </w:r>
      <w:r>
        <w:rPr>
          <w:color w:val="0C5D86"/>
          <w:spacing w:val="-6"/>
          <w:sz w:val="16"/>
        </w:rPr>
        <w:t> </w:t>
      </w:r>
      <w:r>
        <w:rPr>
          <w:color w:val="0C5D86"/>
          <w:sz w:val="16"/>
        </w:rPr>
        <w:t>each </w:t>
      </w:r>
      <w:r>
        <w:rPr>
          <w:color w:val="0C5D86"/>
          <w:spacing w:val="-2"/>
          <w:sz w:val="16"/>
        </w:rPr>
        <w:t>category.</w:t>
      </w:r>
    </w:p>
    <w:p>
      <w:pPr>
        <w:pStyle w:val="BodyText"/>
        <w:spacing w:before="108"/>
        <w:rPr>
          <w:sz w:val="16"/>
        </w:rPr>
      </w:pPr>
    </w:p>
    <w:p>
      <w:pPr>
        <w:pStyle w:val="Heading6"/>
      </w:pPr>
      <w:r>
        <w:rPr>
          <w:color w:val="105C84"/>
          <w:spacing w:val="-8"/>
        </w:rPr>
        <w:t>Behavioral Risk Factors</w:t>
      </w:r>
    </w:p>
    <w:p>
      <w:pPr>
        <w:pStyle w:val="BodyText"/>
        <w:spacing w:line="247" w:lineRule="auto" w:before="268"/>
        <w:ind w:left="1080" w:right="654"/>
      </w:pPr>
      <w:r>
        <w:rPr>
          <w:color w:val="105C84"/>
        </w:rPr>
        <w:t>The 2016 Behavioral Risk Factor Surveillance System estimates that 38% of Livingston County adults</w:t>
      </w:r>
      <w:r>
        <w:rPr>
          <w:color w:val="105C84"/>
          <w:spacing w:val="26"/>
        </w:rPr>
        <w:t> </w:t>
      </w:r>
      <w:r>
        <w:rPr>
          <w:color w:val="105C84"/>
        </w:rPr>
        <w:t>are</w:t>
      </w:r>
      <w:r>
        <w:rPr>
          <w:color w:val="105C84"/>
          <w:spacing w:val="26"/>
        </w:rPr>
        <w:t> </w:t>
      </w:r>
      <w:r>
        <w:rPr>
          <w:color w:val="105C84"/>
        </w:rPr>
        <w:t>obese</w:t>
      </w:r>
      <w:r>
        <w:rPr>
          <w:color w:val="105C84"/>
          <w:spacing w:val="26"/>
        </w:rPr>
        <w:t> </w:t>
      </w:r>
      <w:r>
        <w:rPr>
          <w:color w:val="105C84"/>
        </w:rPr>
        <w:t>with</w:t>
      </w:r>
      <w:r>
        <w:rPr>
          <w:color w:val="105C84"/>
          <w:spacing w:val="26"/>
        </w:rPr>
        <w:t> </w:t>
      </w:r>
      <w:r>
        <w:rPr>
          <w:color w:val="105C84"/>
        </w:rPr>
        <w:t>rates</w:t>
      </w:r>
      <w:r>
        <w:rPr>
          <w:color w:val="105C84"/>
          <w:spacing w:val="26"/>
        </w:rPr>
        <w:t> </w:t>
      </w:r>
      <w:r>
        <w:rPr>
          <w:color w:val="105C84"/>
        </w:rPr>
        <w:t>slightly</w:t>
      </w:r>
      <w:r>
        <w:rPr>
          <w:color w:val="105C84"/>
          <w:spacing w:val="26"/>
        </w:rPr>
        <w:t> </w:t>
      </w:r>
      <w:r>
        <w:rPr>
          <w:color w:val="105C84"/>
        </w:rPr>
        <w:t>higher</w:t>
      </w:r>
      <w:r>
        <w:rPr>
          <w:color w:val="105C84"/>
          <w:spacing w:val="26"/>
        </w:rPr>
        <w:t> </w:t>
      </w:r>
      <w:r>
        <w:rPr>
          <w:color w:val="105C84"/>
        </w:rPr>
        <w:t>in</w:t>
      </w:r>
      <w:r>
        <w:rPr>
          <w:color w:val="105C84"/>
          <w:spacing w:val="26"/>
        </w:rPr>
        <w:t> </w:t>
      </w:r>
      <w:r>
        <w:rPr>
          <w:color w:val="105C84"/>
        </w:rPr>
        <w:t>the</w:t>
      </w:r>
      <w:r>
        <w:rPr>
          <w:color w:val="105C84"/>
          <w:spacing w:val="26"/>
        </w:rPr>
        <w:t> </w:t>
      </w:r>
      <w:r>
        <w:rPr>
          <w:color w:val="105C84"/>
        </w:rPr>
        <w:t>low-income</w:t>
      </w:r>
      <w:r>
        <w:rPr>
          <w:color w:val="105C84"/>
          <w:spacing w:val="26"/>
        </w:rPr>
        <w:t> </w:t>
      </w:r>
      <w:r>
        <w:rPr>
          <w:color w:val="105C84"/>
        </w:rPr>
        <w:t>population</w:t>
      </w:r>
      <w:r>
        <w:rPr>
          <w:color w:val="105C84"/>
          <w:spacing w:val="26"/>
        </w:rPr>
        <w:t> </w:t>
      </w:r>
      <w:r>
        <w:rPr>
          <w:color w:val="105C84"/>
        </w:rPr>
        <w:t>(40%)</w:t>
      </w:r>
      <w:r>
        <w:rPr>
          <w:color w:val="105C84"/>
          <w:spacing w:val="26"/>
        </w:rPr>
        <w:t> </w:t>
      </w:r>
      <w:r>
        <w:rPr>
          <w:color w:val="105C84"/>
        </w:rPr>
        <w:t>and</w:t>
      </w:r>
      <w:r>
        <w:rPr>
          <w:color w:val="105C84"/>
          <w:spacing w:val="26"/>
        </w:rPr>
        <w:t> </w:t>
      </w:r>
      <w:r>
        <w:rPr>
          <w:color w:val="105C84"/>
        </w:rPr>
        <w:t>those</w:t>
      </w:r>
      <w:r>
        <w:rPr>
          <w:color w:val="105C84"/>
          <w:spacing w:val="26"/>
        </w:rPr>
        <w:t> </w:t>
      </w:r>
      <w:r>
        <w:rPr>
          <w:color w:val="105C84"/>
        </w:rPr>
        <w:t>living with a disability (39%).</w:t>
      </w:r>
      <w:r>
        <w:rPr>
          <w:color w:val="105C84"/>
          <w:position w:val="7"/>
          <w:sz w:val="13"/>
        </w:rPr>
        <w:t>21</w:t>
      </w:r>
      <w:r>
        <w:rPr>
          <w:color w:val="105C84"/>
          <w:spacing w:val="28"/>
          <w:position w:val="7"/>
          <w:sz w:val="13"/>
        </w:rPr>
        <w:t> </w:t>
      </w:r>
      <w:r>
        <w:rPr>
          <w:color w:val="105C84"/>
        </w:rPr>
        <w:t>The chronic condition affects an estimated 17,890 adults and 490 children.</w:t>
      </w:r>
    </w:p>
    <w:p>
      <w:pPr>
        <w:pStyle w:val="BodyText"/>
        <w:spacing w:line="247" w:lineRule="auto"/>
        <w:ind w:left="1080" w:right="749"/>
      </w:pPr>
      <w:r>
        <w:rPr>
          <w:color w:val="105C84"/>
        </w:rPr>
        <w:t>Long-term</w:t>
      </w:r>
      <w:r>
        <w:rPr>
          <w:color w:val="105C84"/>
          <w:spacing w:val="40"/>
        </w:rPr>
        <w:t> </w:t>
      </w:r>
      <w:r>
        <w:rPr>
          <w:color w:val="105C84"/>
        </w:rPr>
        <w:t>health</w:t>
      </w:r>
      <w:r>
        <w:rPr>
          <w:color w:val="105C84"/>
          <w:spacing w:val="40"/>
        </w:rPr>
        <w:t> </w:t>
      </w:r>
      <w:r>
        <w:rPr>
          <w:color w:val="105C84"/>
        </w:rPr>
        <w:t>complications</w:t>
      </w:r>
      <w:r>
        <w:rPr>
          <w:color w:val="105C84"/>
          <w:spacing w:val="40"/>
        </w:rPr>
        <w:t> </w:t>
      </w:r>
      <w:r>
        <w:rPr>
          <w:color w:val="105C84"/>
        </w:rPr>
        <w:t>associated</w:t>
      </w:r>
      <w:r>
        <w:rPr>
          <w:color w:val="105C84"/>
          <w:spacing w:val="40"/>
        </w:rPr>
        <w:t> </w:t>
      </w:r>
      <w:r>
        <w:rPr>
          <w:color w:val="105C84"/>
        </w:rPr>
        <w:t>with</w:t>
      </w:r>
      <w:r>
        <w:rPr>
          <w:color w:val="105C84"/>
          <w:spacing w:val="40"/>
        </w:rPr>
        <w:t> </w:t>
      </w:r>
      <w:r>
        <w:rPr>
          <w:color w:val="105C84"/>
        </w:rPr>
        <w:t>obesity</w:t>
      </w:r>
      <w:r>
        <w:rPr>
          <w:color w:val="105C84"/>
          <w:spacing w:val="40"/>
        </w:rPr>
        <w:t> </w:t>
      </w:r>
      <w:r>
        <w:rPr>
          <w:color w:val="105C84"/>
        </w:rPr>
        <w:t>include</w:t>
      </w:r>
      <w:r>
        <w:rPr>
          <w:color w:val="105C84"/>
          <w:spacing w:val="40"/>
        </w:rPr>
        <w:t> </w:t>
      </w:r>
      <w:r>
        <w:rPr>
          <w:color w:val="105C84"/>
        </w:rPr>
        <w:t>increased</w:t>
      </w:r>
      <w:r>
        <w:rPr>
          <w:color w:val="105C84"/>
          <w:spacing w:val="40"/>
        </w:rPr>
        <w:t> </w:t>
      </w:r>
      <w:r>
        <w:rPr>
          <w:color w:val="105C84"/>
        </w:rPr>
        <w:t>risk</w:t>
      </w:r>
      <w:r>
        <w:rPr>
          <w:color w:val="105C84"/>
          <w:spacing w:val="40"/>
        </w:rPr>
        <w:t> </w:t>
      </w:r>
      <w:r>
        <w:rPr>
          <w:color w:val="105C84"/>
        </w:rPr>
        <w:t>for</w:t>
      </w:r>
      <w:r>
        <w:rPr>
          <w:color w:val="105C84"/>
          <w:spacing w:val="40"/>
        </w:rPr>
        <w:t> </w:t>
      </w:r>
      <w:r>
        <w:rPr>
          <w:color w:val="105C84"/>
        </w:rPr>
        <w:t>development of diabetes, hypertension and premature mortality due to related conditions. Respondents to </w:t>
      </w:r>
      <w:r>
        <w:rPr>
          <w:i/>
          <w:color w:val="105C84"/>
        </w:rPr>
        <w:t>My</w:t>
      </w:r>
      <w:r>
        <w:rPr>
          <w:i/>
          <w:color w:val="105C84"/>
          <w:spacing w:val="80"/>
        </w:rPr>
        <w:t> </w:t>
      </w:r>
      <w:r>
        <w:rPr>
          <w:i/>
          <w:color w:val="105C84"/>
        </w:rPr>
        <w:t>Health Story 2018 </w:t>
      </w:r>
      <w:r>
        <w:rPr>
          <w:color w:val="105C84"/>
        </w:rPr>
        <w:t>indicated that better diet and nutrition and physical activity habits would help</w:t>
      </w:r>
      <w:r>
        <w:rPr>
          <w:color w:val="105C84"/>
          <w:spacing w:val="80"/>
        </w:rPr>
        <w:t> </w:t>
      </w:r>
      <w:r>
        <w:rPr>
          <w:color w:val="105C84"/>
        </w:rPr>
        <w:t>them to manage their weight better.</w:t>
      </w:r>
    </w:p>
    <w:p>
      <w:pPr>
        <w:pStyle w:val="BodyText"/>
        <w:spacing w:line="247" w:lineRule="auto" w:before="177"/>
        <w:ind w:left="1080" w:right="472"/>
      </w:pPr>
      <w:r>
        <w:rPr/>
        <mc:AlternateContent>
          <mc:Choice Requires="wps">
            <w:drawing>
              <wp:anchor distT="0" distB="0" distL="0" distR="0" allowOverlap="1" layoutInCell="1" locked="0" behindDoc="0" simplePos="0" relativeHeight="15791616">
                <wp:simplePos x="0" y="0"/>
                <wp:positionH relativeFrom="page">
                  <wp:posOffset>0</wp:posOffset>
                </wp:positionH>
                <wp:positionV relativeFrom="paragraph">
                  <wp:posOffset>143288</wp:posOffset>
                </wp:positionV>
                <wp:extent cx="7785100" cy="3429000"/>
                <wp:effectExtent l="0" t="0" r="0" b="0"/>
                <wp:wrapNone/>
                <wp:docPr id="686" name="Group 686"/>
                <wp:cNvGraphicFramePr>
                  <a:graphicFrameLocks/>
                </wp:cNvGraphicFramePr>
                <a:graphic>
                  <a:graphicData uri="http://schemas.microsoft.com/office/word/2010/wordprocessingGroup">
                    <wpg:wgp>
                      <wpg:cNvPr id="686" name="Group 686"/>
                      <wpg:cNvGrpSpPr/>
                      <wpg:grpSpPr>
                        <a:xfrm>
                          <a:off x="0" y="0"/>
                          <a:ext cx="7785100" cy="3429000"/>
                          <a:chExt cx="7785100" cy="3429000"/>
                        </a:xfrm>
                      </wpg:grpSpPr>
                      <pic:pic>
                        <pic:nvPicPr>
                          <pic:cNvPr id="687" name="Image 687"/>
                          <pic:cNvPicPr/>
                        </pic:nvPicPr>
                        <pic:blipFill>
                          <a:blip r:embed="rId39" cstate="print"/>
                          <a:stretch>
                            <a:fillRect/>
                          </a:stretch>
                        </pic:blipFill>
                        <pic:spPr>
                          <a:xfrm>
                            <a:off x="0" y="3038703"/>
                            <a:ext cx="568172" cy="184683"/>
                          </a:xfrm>
                          <a:prstGeom prst="rect">
                            <a:avLst/>
                          </a:prstGeom>
                        </pic:spPr>
                      </pic:pic>
                      <pic:pic>
                        <pic:nvPicPr>
                          <pic:cNvPr id="688" name="Image 688"/>
                          <pic:cNvPicPr/>
                        </pic:nvPicPr>
                        <pic:blipFill>
                          <a:blip r:embed="rId107" cstate="print"/>
                          <a:stretch>
                            <a:fillRect/>
                          </a:stretch>
                        </pic:blipFill>
                        <pic:spPr>
                          <a:xfrm>
                            <a:off x="0" y="0"/>
                            <a:ext cx="7772400" cy="3429000"/>
                          </a:xfrm>
                          <a:prstGeom prst="rect">
                            <a:avLst/>
                          </a:prstGeom>
                        </pic:spPr>
                      </pic:pic>
                      <wps:wsp>
                        <wps:cNvPr id="689" name="Graphic 689"/>
                        <wps:cNvSpPr/>
                        <wps:spPr>
                          <a:xfrm>
                            <a:off x="0" y="2625344"/>
                            <a:ext cx="7785100" cy="803910"/>
                          </a:xfrm>
                          <a:custGeom>
                            <a:avLst/>
                            <a:gdLst/>
                            <a:ahLst/>
                            <a:cxnLst/>
                            <a:rect l="l" t="t" r="r" b="b"/>
                            <a:pathLst>
                              <a:path w="7785100" h="803910">
                                <a:moveTo>
                                  <a:pt x="7785100" y="803655"/>
                                </a:moveTo>
                                <a:lnTo>
                                  <a:pt x="7785100" y="0"/>
                                </a:lnTo>
                                <a:lnTo>
                                  <a:pt x="0" y="0"/>
                                </a:lnTo>
                                <a:lnTo>
                                  <a:pt x="0" y="803655"/>
                                </a:lnTo>
                                <a:lnTo>
                                  <a:pt x="7785100" y="803655"/>
                                </a:lnTo>
                                <a:close/>
                              </a:path>
                            </a:pathLst>
                          </a:custGeom>
                          <a:solidFill>
                            <a:srgbClr val="000000">
                              <a:alpha val="54998"/>
                            </a:srgbClr>
                          </a:solidFill>
                        </wps:spPr>
                        <wps:bodyPr wrap="square" lIns="0" tIns="0" rIns="0" bIns="0" rtlCol="0">
                          <a:prstTxWarp prst="textNoShape">
                            <a:avLst/>
                          </a:prstTxWarp>
                          <a:noAutofit/>
                        </wps:bodyPr>
                      </wps:wsp>
                      <wps:wsp>
                        <wps:cNvPr id="690" name="Textbox 690"/>
                        <wps:cNvSpPr txBox="1"/>
                        <wps:spPr>
                          <a:xfrm>
                            <a:off x="694944" y="3074416"/>
                            <a:ext cx="2700020" cy="139065"/>
                          </a:xfrm>
                          <a:prstGeom prst="rect">
                            <a:avLst/>
                          </a:prstGeom>
                        </wps:spPr>
                        <wps:txbx>
                          <w:txbxContent>
                            <w:p>
                              <w:pPr>
                                <w:spacing w:before="10"/>
                                <w:ind w:left="0" w:right="0" w:firstLine="0"/>
                                <w:jc w:val="left"/>
                                <w:rPr>
                                  <w:sz w:val="16"/>
                                </w:rPr>
                              </w:pPr>
                              <w:r>
                                <w:rPr>
                                  <w:color w:val="FFFFFF"/>
                                  <w:sz w:val="16"/>
                                </w:rPr>
                                <w:t>Photo</w:t>
                              </w:r>
                              <w:r>
                                <w:rPr>
                                  <w:color w:val="FFFFFF"/>
                                  <w:spacing w:val="11"/>
                                  <w:sz w:val="16"/>
                                </w:rPr>
                                <w:t> </w:t>
                              </w:r>
                              <w:r>
                                <w:rPr>
                                  <w:color w:val="FFFFFF"/>
                                  <w:sz w:val="16"/>
                                </w:rPr>
                                <w:t>courtesy</w:t>
                              </w:r>
                              <w:r>
                                <w:rPr>
                                  <w:color w:val="FFFFFF"/>
                                  <w:spacing w:val="12"/>
                                  <w:sz w:val="16"/>
                                </w:rPr>
                                <w:t> </w:t>
                              </w:r>
                              <w:r>
                                <w:rPr>
                                  <w:color w:val="FFFFFF"/>
                                  <w:sz w:val="16"/>
                                </w:rPr>
                                <w:t>of</w:t>
                              </w:r>
                              <w:r>
                                <w:rPr>
                                  <w:color w:val="FFFFFF"/>
                                  <w:spacing w:val="11"/>
                                  <w:sz w:val="16"/>
                                </w:rPr>
                                <w:t> </w:t>
                              </w:r>
                              <w:r>
                                <w:rPr>
                                  <w:color w:val="FFFFFF"/>
                                  <w:sz w:val="16"/>
                                </w:rPr>
                                <w:t>Livingston</w:t>
                              </w:r>
                              <w:r>
                                <w:rPr>
                                  <w:color w:val="FFFFFF"/>
                                  <w:spacing w:val="12"/>
                                  <w:sz w:val="16"/>
                                </w:rPr>
                                <w:t> </w:t>
                              </w:r>
                              <w:r>
                                <w:rPr>
                                  <w:color w:val="FFFFFF"/>
                                  <w:sz w:val="16"/>
                                </w:rPr>
                                <w:t>County</w:t>
                              </w:r>
                              <w:r>
                                <w:rPr>
                                  <w:color w:val="FFFFFF"/>
                                  <w:spacing w:val="11"/>
                                  <w:sz w:val="16"/>
                                </w:rPr>
                                <w:t> </w:t>
                              </w:r>
                              <w:r>
                                <w:rPr>
                                  <w:color w:val="FFFFFF"/>
                                  <w:sz w:val="16"/>
                                </w:rPr>
                                <w:t>Department</w:t>
                              </w:r>
                              <w:r>
                                <w:rPr>
                                  <w:color w:val="FFFFFF"/>
                                  <w:spacing w:val="12"/>
                                  <w:sz w:val="16"/>
                                </w:rPr>
                                <w:t> </w:t>
                              </w:r>
                              <w:r>
                                <w:rPr>
                                  <w:color w:val="FFFFFF"/>
                                  <w:sz w:val="16"/>
                                </w:rPr>
                                <w:t>of</w:t>
                              </w:r>
                              <w:r>
                                <w:rPr>
                                  <w:color w:val="FFFFFF"/>
                                  <w:spacing w:val="11"/>
                                  <w:sz w:val="16"/>
                                </w:rPr>
                                <w:t> </w:t>
                              </w:r>
                              <w:r>
                                <w:rPr>
                                  <w:color w:val="FFFFFF"/>
                                  <w:spacing w:val="-2"/>
                                  <w:sz w:val="16"/>
                                </w:rPr>
                                <w:t>Health</w:t>
                              </w:r>
                            </w:p>
                          </w:txbxContent>
                        </wps:txbx>
                        <wps:bodyPr wrap="square" lIns="0" tIns="0" rIns="0" bIns="0" rtlCol="0">
                          <a:noAutofit/>
                        </wps:bodyPr>
                      </wps:wsp>
                    </wpg:wgp>
                  </a:graphicData>
                </a:graphic>
              </wp:anchor>
            </w:drawing>
          </mc:Choice>
          <mc:Fallback>
            <w:pict>
              <v:group style="position:absolute;margin-left:0pt;margin-top:11.282593pt;width:613pt;height:270pt;mso-position-horizontal-relative:page;mso-position-vertical-relative:paragraph;z-index:15791616" id="docshapegroup590" coordorigin="0,226" coordsize="12260,5400">
                <v:shape style="position:absolute;left:0;top:5011;width:895;height:291" type="#_x0000_t75" id="docshape591" stroked="false">
                  <v:imagedata r:id="rId39" o:title=""/>
                </v:shape>
                <v:shape style="position:absolute;left:0;top:225;width:12240;height:5400" type="#_x0000_t75" id="docshape592" stroked="false">
                  <v:imagedata r:id="rId107" o:title=""/>
                </v:shape>
                <v:rect style="position:absolute;left:0;top:4360;width:12260;height:1266" id="docshape593" filled="true" fillcolor="#000000" stroked="false">
                  <v:fill opacity="36044f" type="solid"/>
                </v:rect>
                <v:shape style="position:absolute;left:1094;top:5067;width:4252;height:219" type="#_x0000_t202" id="docshape594" filled="false" stroked="false">
                  <v:textbox inset="0,0,0,0">
                    <w:txbxContent>
                      <w:p>
                        <w:pPr>
                          <w:spacing w:before="10"/>
                          <w:ind w:left="0" w:right="0" w:firstLine="0"/>
                          <w:jc w:val="left"/>
                          <w:rPr>
                            <w:sz w:val="16"/>
                          </w:rPr>
                        </w:pPr>
                        <w:r>
                          <w:rPr>
                            <w:color w:val="FFFFFF"/>
                            <w:sz w:val="16"/>
                          </w:rPr>
                          <w:t>Photo</w:t>
                        </w:r>
                        <w:r>
                          <w:rPr>
                            <w:color w:val="FFFFFF"/>
                            <w:spacing w:val="11"/>
                            <w:sz w:val="16"/>
                          </w:rPr>
                          <w:t> </w:t>
                        </w:r>
                        <w:r>
                          <w:rPr>
                            <w:color w:val="FFFFFF"/>
                            <w:sz w:val="16"/>
                          </w:rPr>
                          <w:t>courtesy</w:t>
                        </w:r>
                        <w:r>
                          <w:rPr>
                            <w:color w:val="FFFFFF"/>
                            <w:spacing w:val="12"/>
                            <w:sz w:val="16"/>
                          </w:rPr>
                          <w:t> </w:t>
                        </w:r>
                        <w:r>
                          <w:rPr>
                            <w:color w:val="FFFFFF"/>
                            <w:sz w:val="16"/>
                          </w:rPr>
                          <w:t>of</w:t>
                        </w:r>
                        <w:r>
                          <w:rPr>
                            <w:color w:val="FFFFFF"/>
                            <w:spacing w:val="11"/>
                            <w:sz w:val="16"/>
                          </w:rPr>
                          <w:t> </w:t>
                        </w:r>
                        <w:r>
                          <w:rPr>
                            <w:color w:val="FFFFFF"/>
                            <w:sz w:val="16"/>
                          </w:rPr>
                          <w:t>Livingston</w:t>
                        </w:r>
                        <w:r>
                          <w:rPr>
                            <w:color w:val="FFFFFF"/>
                            <w:spacing w:val="12"/>
                            <w:sz w:val="16"/>
                          </w:rPr>
                          <w:t> </w:t>
                        </w:r>
                        <w:r>
                          <w:rPr>
                            <w:color w:val="FFFFFF"/>
                            <w:sz w:val="16"/>
                          </w:rPr>
                          <w:t>County</w:t>
                        </w:r>
                        <w:r>
                          <w:rPr>
                            <w:color w:val="FFFFFF"/>
                            <w:spacing w:val="11"/>
                            <w:sz w:val="16"/>
                          </w:rPr>
                          <w:t> </w:t>
                        </w:r>
                        <w:r>
                          <w:rPr>
                            <w:color w:val="FFFFFF"/>
                            <w:sz w:val="16"/>
                          </w:rPr>
                          <w:t>Department</w:t>
                        </w:r>
                        <w:r>
                          <w:rPr>
                            <w:color w:val="FFFFFF"/>
                            <w:spacing w:val="12"/>
                            <w:sz w:val="16"/>
                          </w:rPr>
                          <w:t> </w:t>
                        </w:r>
                        <w:r>
                          <w:rPr>
                            <w:color w:val="FFFFFF"/>
                            <w:sz w:val="16"/>
                          </w:rPr>
                          <w:t>of</w:t>
                        </w:r>
                        <w:r>
                          <w:rPr>
                            <w:color w:val="FFFFFF"/>
                            <w:spacing w:val="11"/>
                            <w:sz w:val="16"/>
                          </w:rPr>
                          <w:t> </w:t>
                        </w:r>
                        <w:r>
                          <w:rPr>
                            <w:color w:val="FFFFFF"/>
                            <w:spacing w:val="-2"/>
                            <w:sz w:val="16"/>
                          </w:rPr>
                          <w:t>Health</w:t>
                        </w:r>
                      </w:p>
                    </w:txbxContent>
                  </v:textbox>
                  <w10:wrap type="none"/>
                </v:shape>
                <w10:wrap type="none"/>
              </v:group>
            </w:pict>
          </mc:Fallback>
        </mc:AlternateContent>
      </w:r>
      <w:r>
        <w:rPr>
          <w:color w:val="105C84"/>
        </w:rPr>
        <w:t>In</w:t>
      </w:r>
      <w:r>
        <w:rPr>
          <w:color w:val="105C84"/>
          <w:spacing w:val="26"/>
        </w:rPr>
        <w:t> </w:t>
      </w:r>
      <w:r>
        <w:rPr>
          <w:color w:val="105C84"/>
        </w:rPr>
        <w:t>terms</w:t>
      </w:r>
      <w:r>
        <w:rPr>
          <w:color w:val="105C84"/>
          <w:spacing w:val="26"/>
        </w:rPr>
        <w:t> </w:t>
      </w:r>
      <w:r>
        <w:rPr>
          <w:color w:val="105C84"/>
        </w:rPr>
        <w:t>of</w:t>
      </w:r>
      <w:r>
        <w:rPr>
          <w:color w:val="105C84"/>
          <w:spacing w:val="26"/>
        </w:rPr>
        <w:t> </w:t>
      </w:r>
      <w:r>
        <w:rPr>
          <w:color w:val="105C84"/>
        </w:rPr>
        <w:t>diet</w:t>
      </w:r>
      <w:r>
        <w:rPr>
          <w:color w:val="105C84"/>
          <w:spacing w:val="26"/>
        </w:rPr>
        <w:t> </w:t>
      </w:r>
      <w:r>
        <w:rPr>
          <w:color w:val="105C84"/>
        </w:rPr>
        <w:t>and</w:t>
      </w:r>
      <w:r>
        <w:rPr>
          <w:color w:val="105C84"/>
          <w:spacing w:val="26"/>
        </w:rPr>
        <w:t> </w:t>
      </w:r>
      <w:r>
        <w:rPr>
          <w:color w:val="105C84"/>
        </w:rPr>
        <w:t>nutrition,</w:t>
      </w:r>
      <w:r>
        <w:rPr>
          <w:color w:val="105C84"/>
          <w:spacing w:val="26"/>
        </w:rPr>
        <w:t> </w:t>
      </w:r>
      <w:r>
        <w:rPr>
          <w:color w:val="105C84"/>
        </w:rPr>
        <w:t>data</w:t>
      </w:r>
      <w:r>
        <w:rPr>
          <w:color w:val="105C84"/>
          <w:spacing w:val="26"/>
        </w:rPr>
        <w:t> </w:t>
      </w:r>
      <w:r>
        <w:rPr>
          <w:color w:val="105C84"/>
        </w:rPr>
        <w:t>demonstrate</w:t>
      </w:r>
      <w:r>
        <w:rPr>
          <w:color w:val="105C84"/>
          <w:spacing w:val="26"/>
        </w:rPr>
        <w:t> </w:t>
      </w:r>
      <w:r>
        <w:rPr>
          <w:color w:val="105C84"/>
        </w:rPr>
        <w:t>that</w:t>
      </w:r>
      <w:r>
        <w:rPr>
          <w:color w:val="105C84"/>
          <w:spacing w:val="26"/>
        </w:rPr>
        <w:t> </w:t>
      </w:r>
      <w:r>
        <w:rPr>
          <w:color w:val="105C84"/>
        </w:rPr>
        <w:t>45%</w:t>
      </w:r>
      <w:r>
        <w:rPr>
          <w:color w:val="105C84"/>
          <w:spacing w:val="26"/>
        </w:rPr>
        <w:t> </w:t>
      </w:r>
      <w:r>
        <w:rPr>
          <w:color w:val="105C84"/>
        </w:rPr>
        <w:t>and</w:t>
      </w:r>
      <w:r>
        <w:rPr>
          <w:color w:val="105C84"/>
          <w:spacing w:val="26"/>
        </w:rPr>
        <w:t> </w:t>
      </w:r>
      <w:r>
        <w:rPr>
          <w:color w:val="105C84"/>
        </w:rPr>
        <w:t>57%</w:t>
      </w:r>
      <w:r>
        <w:rPr>
          <w:color w:val="105C84"/>
          <w:spacing w:val="26"/>
        </w:rPr>
        <w:t> </w:t>
      </w:r>
      <w:r>
        <w:rPr>
          <w:color w:val="105C84"/>
        </w:rPr>
        <w:t>of</w:t>
      </w:r>
      <w:r>
        <w:rPr>
          <w:color w:val="105C84"/>
          <w:spacing w:val="26"/>
        </w:rPr>
        <w:t> </w:t>
      </w:r>
      <w:r>
        <w:rPr>
          <w:color w:val="105C84"/>
        </w:rPr>
        <w:t>the</w:t>
      </w:r>
      <w:r>
        <w:rPr>
          <w:color w:val="105C84"/>
          <w:spacing w:val="26"/>
        </w:rPr>
        <w:t> </w:t>
      </w:r>
      <w:r>
        <w:rPr>
          <w:color w:val="105C84"/>
        </w:rPr>
        <w:t>county’s</w:t>
      </w:r>
      <w:r>
        <w:rPr>
          <w:color w:val="105C84"/>
          <w:spacing w:val="26"/>
        </w:rPr>
        <w:t> </w:t>
      </w:r>
      <w:r>
        <w:rPr>
          <w:color w:val="105C84"/>
        </w:rPr>
        <w:t>population reported eating fruits and vegetables, respectively, on a regular basis. Of note, 33% also report daily sugary drink consumption, which is higher than the eight county region (25%).</w:t>
      </w:r>
      <w:r>
        <w:rPr>
          <w:color w:val="105C84"/>
          <w:position w:val="7"/>
          <w:sz w:val="13"/>
        </w:rPr>
        <w:t>22</w:t>
      </w:r>
      <w:r>
        <w:rPr>
          <w:color w:val="105C84"/>
          <w:spacing w:val="40"/>
          <w:position w:val="7"/>
          <w:sz w:val="13"/>
        </w:rPr>
        <w:t> </w:t>
      </w:r>
      <w:r>
        <w:rPr>
          <w:color w:val="105C84"/>
        </w:rPr>
        <w:t>The majority of </w:t>
      </w:r>
      <w:r>
        <w:rPr>
          <w:i/>
          <w:color w:val="105C84"/>
        </w:rPr>
        <w:t>My</w:t>
      </w:r>
      <w:r>
        <w:rPr>
          <w:i/>
          <w:color w:val="105C84"/>
        </w:rPr>
        <w:t> Health Story 2018 </w:t>
      </w:r>
      <w:r>
        <w:rPr>
          <w:color w:val="105C84"/>
        </w:rPr>
        <w:t>respondents (78%) reported that their primary source of healthy foods are from</w:t>
      </w:r>
    </w:p>
    <w:p>
      <w:pPr>
        <w:pStyle w:val="BodyText"/>
        <w:spacing w:line="247" w:lineRule="auto"/>
        <w:ind w:left="1080" w:right="479"/>
      </w:pPr>
      <w:r>
        <w:rPr>
          <w:color w:val="105C84"/>
        </w:rPr>
        <w:t>a supermarket or grocery store, though a substantial amount grow their own or utilize farm stands (38%) and local farmers markets (28%).</w:t>
      </w:r>
    </w:p>
    <w:p>
      <w:pPr>
        <w:pStyle w:val="BodyText"/>
        <w:spacing w:after="0" w:line="247" w:lineRule="auto"/>
        <w:sectPr>
          <w:type w:val="continuous"/>
          <w:pgSz w:w="24480" w:h="15840" w:orient="landscape"/>
          <w:pgMar w:header="0" w:footer="0" w:top="0" w:bottom="280" w:left="0" w:right="720"/>
          <w:cols w:num="2" w:equalWidth="0">
            <w:col w:w="11256" w:space="984"/>
            <w:col w:w="11520"/>
          </w:cols>
        </w:sectPr>
      </w:pPr>
    </w:p>
    <w:p>
      <w:pPr>
        <w:pStyle w:val="BodyText"/>
        <w:rPr>
          <w:sz w:val="14"/>
        </w:rPr>
      </w:pPr>
      <w:r>
        <w:rPr>
          <w:sz w:val="14"/>
        </w:rPr>
        <w:drawing>
          <wp:anchor distT="0" distB="0" distL="0" distR="0" allowOverlap="1" layoutInCell="1" locked="0" behindDoc="0" simplePos="0" relativeHeight="15791104">
            <wp:simplePos x="0" y="0"/>
            <wp:positionH relativeFrom="page">
              <wp:posOffset>14981556</wp:posOffset>
            </wp:positionH>
            <wp:positionV relativeFrom="page">
              <wp:posOffset>9668103</wp:posOffset>
            </wp:positionV>
            <wp:extent cx="563245" cy="184683"/>
            <wp:effectExtent l="0" t="0" r="0" b="0"/>
            <wp:wrapNone/>
            <wp:docPr id="691" name="Image 691"/>
            <wp:cNvGraphicFramePr>
              <a:graphicFrameLocks/>
            </wp:cNvGraphicFramePr>
            <a:graphic>
              <a:graphicData uri="http://schemas.openxmlformats.org/drawingml/2006/picture">
                <pic:pic>
                  <pic:nvPicPr>
                    <pic:cNvPr id="691" name="Image 691"/>
                    <pic:cNvPicPr/>
                  </pic:nvPicPr>
                  <pic:blipFill>
                    <a:blip r:embed="rId38" cstate="print"/>
                    <a:stretch>
                      <a:fillRect/>
                    </a:stretch>
                  </pic:blipFill>
                  <pic:spPr>
                    <a:xfrm>
                      <a:off x="0" y="0"/>
                      <a:ext cx="563245" cy="184683"/>
                    </a:xfrm>
                    <a:prstGeom prst="rect">
                      <a:avLst/>
                    </a:prstGeom>
                  </pic:spPr>
                </pic:pic>
              </a:graphicData>
            </a:graphic>
          </wp:anchor>
        </w:drawing>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42"/>
        <w:rPr>
          <w:sz w:val="14"/>
        </w:rPr>
      </w:pPr>
    </w:p>
    <w:p>
      <w:pPr>
        <w:pStyle w:val="ListParagraph"/>
        <w:numPr>
          <w:ilvl w:val="1"/>
          <w:numId w:val="17"/>
        </w:numPr>
        <w:tabs>
          <w:tab w:pos="13537" w:val="left" w:leader="none"/>
        </w:tabs>
        <w:spacing w:line="240" w:lineRule="auto" w:before="1" w:after="0"/>
        <w:ind w:left="13320" w:right="5357" w:firstLine="0"/>
        <w:jc w:val="left"/>
        <w:rPr>
          <w:sz w:val="14"/>
        </w:rPr>
      </w:pPr>
      <w:r>
        <w:rPr>
          <w:sz w:val="14"/>
        </w:rPr>
        <mc:AlternateContent>
          <mc:Choice Requires="wps">
            <w:drawing>
              <wp:anchor distT="0" distB="0" distL="0" distR="0" allowOverlap="1" layoutInCell="1" locked="0" behindDoc="1" simplePos="0" relativeHeight="475017216">
                <wp:simplePos x="0" y="0"/>
                <wp:positionH relativeFrom="page">
                  <wp:posOffset>672186</wp:posOffset>
                </wp:positionH>
                <wp:positionV relativeFrom="paragraph">
                  <wp:posOffset>198050</wp:posOffset>
                </wp:positionV>
                <wp:extent cx="195580" cy="226060"/>
                <wp:effectExtent l="0" t="0" r="0" b="0"/>
                <wp:wrapNone/>
                <wp:docPr id="692" name="Textbox 692"/>
                <wp:cNvGraphicFramePr>
                  <a:graphicFrameLocks/>
                </wp:cNvGraphicFramePr>
                <a:graphic>
                  <a:graphicData uri="http://schemas.microsoft.com/office/word/2010/wordprocessingShape">
                    <wps:wsp>
                      <wps:cNvPr id="692" name="Textbox 692"/>
                      <wps:cNvSpPr txBox="1"/>
                      <wps:spPr>
                        <a:xfrm>
                          <a:off x="0" y="0"/>
                          <a:ext cx="195580" cy="226060"/>
                        </a:xfrm>
                        <a:prstGeom prst="rect">
                          <a:avLst/>
                        </a:prstGeom>
                      </wps:spPr>
                      <wps:txbx>
                        <w:txbxContent>
                          <w:p>
                            <w:pPr>
                              <w:spacing w:before="16"/>
                              <w:ind w:left="0" w:right="0" w:firstLine="0"/>
                              <w:jc w:val="left"/>
                              <w:rPr>
                                <w:b/>
                                <w:sz w:val="26"/>
                              </w:rPr>
                            </w:pPr>
                            <w:r>
                              <w:rPr>
                                <w:b/>
                                <w:color w:val="939598"/>
                                <w:spacing w:val="-5"/>
                                <w:w w:val="105"/>
                                <w:sz w:val="26"/>
                              </w:rPr>
                              <w:t>47</w:t>
                            </w:r>
                          </w:p>
                        </w:txbxContent>
                      </wps:txbx>
                      <wps:bodyPr wrap="square" lIns="0" tIns="0" rIns="0" bIns="0" rtlCol="0">
                        <a:noAutofit/>
                      </wps:bodyPr>
                    </wps:wsp>
                  </a:graphicData>
                </a:graphic>
              </wp:anchor>
            </w:drawing>
          </mc:Choice>
          <mc:Fallback>
            <w:pict>
              <v:shape style="position:absolute;margin-left:52.928101pt;margin-top:15.594536pt;width:15.4pt;height:17.8pt;mso-position-horizontal-relative:page;mso-position-vertical-relative:paragraph;z-index:-28299264" type="#_x0000_t202" id="docshape595" filled="false" stroked="false">
                <v:textbox inset="0,0,0,0">
                  <w:txbxContent>
                    <w:p>
                      <w:pPr>
                        <w:spacing w:before="16"/>
                        <w:ind w:left="0" w:right="0" w:firstLine="0"/>
                        <w:jc w:val="left"/>
                        <w:rPr>
                          <w:b/>
                          <w:sz w:val="26"/>
                        </w:rPr>
                      </w:pPr>
                      <w:r>
                        <w:rPr>
                          <w:b/>
                          <w:color w:val="939598"/>
                          <w:spacing w:val="-5"/>
                          <w:w w:val="105"/>
                          <w:sz w:val="26"/>
                        </w:rPr>
                        <w:t>47</w:t>
                      </w:r>
                    </w:p>
                  </w:txbxContent>
                </v:textbox>
                <w10:wrap type="none"/>
              </v:shape>
            </w:pict>
          </mc:Fallback>
        </mc:AlternateContent>
      </w:r>
      <w:r>
        <w:rPr>
          <w:color w:val="636466"/>
          <w:spacing w:val="-2"/>
          <w:sz w:val="14"/>
        </w:rPr>
        <w:t>Source:</w:t>
      </w:r>
      <w:r>
        <w:rPr>
          <w:color w:val="636466"/>
          <w:spacing w:val="-6"/>
          <w:sz w:val="14"/>
        </w:rPr>
        <w:t> </w:t>
      </w:r>
      <w:r>
        <w:rPr>
          <w:color w:val="636466"/>
          <w:spacing w:val="-2"/>
          <w:sz w:val="14"/>
        </w:rPr>
        <w:t>Behavioral</w:t>
      </w:r>
      <w:r>
        <w:rPr>
          <w:color w:val="636466"/>
          <w:spacing w:val="-6"/>
          <w:sz w:val="14"/>
        </w:rPr>
        <w:t> </w:t>
      </w:r>
      <w:r>
        <w:rPr>
          <w:color w:val="636466"/>
          <w:spacing w:val="-2"/>
          <w:sz w:val="14"/>
        </w:rPr>
        <w:t>Risk</w:t>
      </w:r>
      <w:r>
        <w:rPr>
          <w:color w:val="636466"/>
          <w:spacing w:val="-6"/>
          <w:sz w:val="14"/>
        </w:rPr>
        <w:t> </w:t>
      </w:r>
      <w:r>
        <w:rPr>
          <w:color w:val="636466"/>
          <w:spacing w:val="-2"/>
          <w:sz w:val="14"/>
        </w:rPr>
        <w:t>Factor</w:t>
      </w:r>
      <w:r>
        <w:rPr>
          <w:color w:val="636466"/>
          <w:spacing w:val="-6"/>
          <w:sz w:val="14"/>
        </w:rPr>
        <w:t> </w:t>
      </w:r>
      <w:r>
        <w:rPr>
          <w:color w:val="636466"/>
          <w:spacing w:val="-2"/>
          <w:sz w:val="14"/>
        </w:rPr>
        <w:t>Surveillance</w:t>
      </w:r>
      <w:r>
        <w:rPr>
          <w:color w:val="636466"/>
          <w:spacing w:val="-6"/>
          <w:sz w:val="14"/>
        </w:rPr>
        <w:t> </w:t>
      </w:r>
      <w:r>
        <w:rPr>
          <w:color w:val="636466"/>
          <w:spacing w:val="-2"/>
          <w:sz w:val="14"/>
        </w:rPr>
        <w:t>System,</w:t>
      </w:r>
      <w:r>
        <w:rPr>
          <w:color w:val="636466"/>
          <w:spacing w:val="-6"/>
          <w:sz w:val="14"/>
        </w:rPr>
        <w:t> </w:t>
      </w:r>
      <w:r>
        <w:rPr>
          <w:color w:val="636466"/>
          <w:spacing w:val="-2"/>
          <w:sz w:val="14"/>
        </w:rPr>
        <w:t>2016.</w:t>
      </w:r>
      <w:r>
        <w:rPr>
          <w:color w:val="636466"/>
          <w:spacing w:val="-6"/>
          <w:sz w:val="14"/>
        </w:rPr>
        <w:t> </w:t>
      </w:r>
      <w:r>
        <w:rPr>
          <w:color w:val="636466"/>
          <w:spacing w:val="-2"/>
          <w:sz w:val="14"/>
        </w:rPr>
        <w:t>Low-income</w:t>
      </w:r>
      <w:r>
        <w:rPr>
          <w:color w:val="636466"/>
          <w:spacing w:val="-6"/>
          <w:sz w:val="14"/>
        </w:rPr>
        <w:t> </w:t>
      </w:r>
      <w:r>
        <w:rPr>
          <w:color w:val="636466"/>
          <w:spacing w:val="-2"/>
          <w:sz w:val="14"/>
        </w:rPr>
        <w:t>data</w:t>
      </w:r>
      <w:r>
        <w:rPr>
          <w:color w:val="636466"/>
          <w:spacing w:val="-6"/>
          <w:sz w:val="14"/>
        </w:rPr>
        <w:t> </w:t>
      </w:r>
      <w:r>
        <w:rPr>
          <w:color w:val="636466"/>
          <w:spacing w:val="-2"/>
          <w:sz w:val="14"/>
        </w:rPr>
        <w:t>are</w:t>
      </w:r>
      <w:r>
        <w:rPr>
          <w:color w:val="636466"/>
          <w:spacing w:val="40"/>
          <w:sz w:val="14"/>
        </w:rPr>
        <w:t> </w:t>
      </w:r>
      <w:r>
        <w:rPr>
          <w:color w:val="636466"/>
          <w:sz w:val="14"/>
        </w:rPr>
        <w:t>unreliable due to large standard error. Standard error between 26% and 54%.</w:t>
      </w:r>
    </w:p>
    <w:p>
      <w:pPr>
        <w:pStyle w:val="ListParagraph"/>
        <w:numPr>
          <w:ilvl w:val="1"/>
          <w:numId w:val="17"/>
        </w:numPr>
        <w:tabs>
          <w:tab w:pos="13537" w:val="left" w:leader="none"/>
          <w:tab w:pos="23454" w:val="right" w:leader="none"/>
        </w:tabs>
        <w:spacing w:line="240" w:lineRule="auto" w:before="5" w:after="0"/>
        <w:ind w:left="13537" w:right="0" w:hanging="217"/>
        <w:jc w:val="left"/>
        <w:rPr>
          <w:b/>
          <w:position w:val="-2"/>
          <w:sz w:val="26"/>
        </w:rPr>
      </w:pPr>
      <w:r>
        <w:rPr>
          <w:color w:val="636466"/>
          <w:spacing w:val="-2"/>
          <w:sz w:val="14"/>
        </w:rPr>
        <w:t>Source:</w:t>
      </w:r>
      <w:r>
        <w:rPr>
          <w:color w:val="636466"/>
          <w:spacing w:val="-8"/>
          <w:sz w:val="14"/>
        </w:rPr>
        <w:t> </w:t>
      </w:r>
      <w:r>
        <w:rPr>
          <w:color w:val="636466"/>
          <w:spacing w:val="-2"/>
          <w:sz w:val="14"/>
        </w:rPr>
        <w:t>Behavioral</w:t>
      </w:r>
      <w:r>
        <w:rPr>
          <w:color w:val="636466"/>
          <w:spacing w:val="-7"/>
          <w:sz w:val="14"/>
        </w:rPr>
        <w:t> </w:t>
      </w:r>
      <w:r>
        <w:rPr>
          <w:color w:val="636466"/>
          <w:spacing w:val="-2"/>
          <w:sz w:val="14"/>
        </w:rPr>
        <w:t>Risk</w:t>
      </w:r>
      <w:r>
        <w:rPr>
          <w:color w:val="636466"/>
          <w:spacing w:val="-7"/>
          <w:sz w:val="14"/>
        </w:rPr>
        <w:t> </w:t>
      </w:r>
      <w:r>
        <w:rPr>
          <w:color w:val="636466"/>
          <w:spacing w:val="-2"/>
          <w:sz w:val="14"/>
        </w:rPr>
        <w:t>Factor</w:t>
      </w:r>
      <w:r>
        <w:rPr>
          <w:color w:val="636466"/>
          <w:spacing w:val="-7"/>
          <w:sz w:val="14"/>
        </w:rPr>
        <w:t> </w:t>
      </w:r>
      <w:r>
        <w:rPr>
          <w:color w:val="636466"/>
          <w:spacing w:val="-2"/>
          <w:sz w:val="14"/>
        </w:rPr>
        <w:t>Surveillance</w:t>
      </w:r>
      <w:r>
        <w:rPr>
          <w:color w:val="636466"/>
          <w:spacing w:val="-7"/>
          <w:sz w:val="14"/>
        </w:rPr>
        <w:t> </w:t>
      </w:r>
      <w:r>
        <w:rPr>
          <w:color w:val="636466"/>
          <w:spacing w:val="-2"/>
          <w:sz w:val="14"/>
        </w:rPr>
        <w:t>System,</w:t>
      </w:r>
      <w:r>
        <w:rPr>
          <w:color w:val="636466"/>
          <w:spacing w:val="-7"/>
          <w:sz w:val="14"/>
        </w:rPr>
        <w:t> </w:t>
      </w:r>
      <w:r>
        <w:rPr>
          <w:color w:val="636466"/>
          <w:spacing w:val="-4"/>
          <w:sz w:val="14"/>
        </w:rPr>
        <w:t>2016</w:t>
      </w:r>
      <w:r>
        <w:rPr>
          <w:rFonts w:ascii="Times New Roman"/>
          <w:color w:val="636466"/>
          <w:sz w:val="14"/>
        </w:rPr>
        <w:tab/>
      </w:r>
      <w:r>
        <w:rPr>
          <w:b/>
          <w:color w:val="939598"/>
          <w:spacing w:val="-5"/>
          <w:position w:val="-2"/>
          <w:sz w:val="26"/>
        </w:rPr>
        <w:t>48</w:t>
      </w:r>
    </w:p>
    <w:p>
      <w:pPr>
        <w:pStyle w:val="ListParagraph"/>
        <w:spacing w:after="0" w:line="240" w:lineRule="auto"/>
        <w:jc w:val="left"/>
        <w:rPr>
          <w:b/>
          <w:position w:val="-2"/>
          <w:sz w:val="26"/>
        </w:rPr>
        <w:sectPr>
          <w:type w:val="continuous"/>
          <w:pgSz w:w="24480" w:h="15840" w:orient="landscape"/>
          <w:pgMar w:header="0" w:footer="0" w:top="0" w:bottom="280" w:left="0" w:right="720"/>
        </w:sectPr>
      </w:pPr>
    </w:p>
    <w:p>
      <w:pPr>
        <w:pStyle w:val="BodyText"/>
        <w:rPr>
          <w:b/>
          <w:sz w:val="20"/>
        </w:rPr>
      </w:pPr>
    </w:p>
    <w:p>
      <w:pPr>
        <w:pStyle w:val="BodyText"/>
        <w:spacing w:before="16"/>
        <w:rPr>
          <w:b/>
          <w:sz w:val="20"/>
        </w:rPr>
      </w:pPr>
    </w:p>
    <w:p>
      <w:pPr>
        <w:pStyle w:val="BodyText"/>
        <w:spacing w:after="0"/>
        <w:rPr>
          <w:b/>
          <w:sz w:val="20"/>
        </w:rPr>
        <w:sectPr>
          <w:pgSz w:w="24480" w:h="15840" w:orient="landscape"/>
          <w:pgMar w:header="0" w:footer="0" w:top="860" w:bottom="0" w:left="0" w:right="720"/>
        </w:sectPr>
      </w:pPr>
    </w:p>
    <w:p>
      <w:pPr>
        <w:pStyle w:val="BodyText"/>
        <w:spacing w:line="247" w:lineRule="auto" w:before="113"/>
        <w:ind w:left="1080"/>
      </w:pPr>
      <w:r>
        <w:rPr>
          <w:color w:val="105C84"/>
        </w:rPr>
        <w:t>Challenges and barriers to accessing healthy foods in the county are similar to other nearby communities. </w:t>
      </w:r>
      <w:r>
        <w:rPr>
          <w:i/>
          <w:color w:val="105C84"/>
        </w:rPr>
        <w:t>My Health Story 2018 </w:t>
      </w:r>
      <w:r>
        <w:rPr>
          <w:color w:val="105C84"/>
        </w:rPr>
        <w:t>respondents identified expense as a barrier to eating healthier (43%), particularly among the low income population (53%). Other issues which rose to the top were eating</w:t>
      </w:r>
      <w:r>
        <w:rPr>
          <w:color w:val="105C84"/>
          <w:spacing w:val="29"/>
        </w:rPr>
        <w:t> </w:t>
      </w:r>
      <w:r>
        <w:rPr>
          <w:color w:val="105C84"/>
        </w:rPr>
        <w:t>habits</w:t>
      </w:r>
      <w:r>
        <w:rPr>
          <w:color w:val="105C84"/>
          <w:spacing w:val="29"/>
        </w:rPr>
        <w:t> </w:t>
      </w:r>
      <w:r>
        <w:rPr>
          <w:color w:val="105C84"/>
        </w:rPr>
        <w:t>of</w:t>
      </w:r>
      <w:r>
        <w:rPr>
          <w:color w:val="105C84"/>
          <w:spacing w:val="29"/>
        </w:rPr>
        <w:t> </w:t>
      </w:r>
      <w:r>
        <w:rPr>
          <w:color w:val="105C84"/>
        </w:rPr>
        <w:t>other</w:t>
      </w:r>
      <w:r>
        <w:rPr>
          <w:color w:val="105C84"/>
          <w:spacing w:val="29"/>
        </w:rPr>
        <w:t> </w:t>
      </w:r>
      <w:r>
        <w:rPr>
          <w:color w:val="105C84"/>
        </w:rPr>
        <w:t>family</w:t>
      </w:r>
      <w:r>
        <w:rPr>
          <w:color w:val="105C84"/>
          <w:spacing w:val="29"/>
        </w:rPr>
        <w:t> </w:t>
      </w:r>
      <w:r>
        <w:rPr>
          <w:color w:val="105C84"/>
        </w:rPr>
        <w:t>members</w:t>
      </w:r>
      <w:r>
        <w:rPr>
          <w:color w:val="105C84"/>
          <w:spacing w:val="29"/>
        </w:rPr>
        <w:t> </w:t>
      </w:r>
      <w:r>
        <w:rPr>
          <w:color w:val="105C84"/>
        </w:rPr>
        <w:t>and</w:t>
      </w:r>
      <w:r>
        <w:rPr>
          <w:color w:val="105C84"/>
          <w:spacing w:val="29"/>
        </w:rPr>
        <w:t> </w:t>
      </w:r>
      <w:r>
        <w:rPr>
          <w:color w:val="105C84"/>
        </w:rPr>
        <w:t>not</w:t>
      </w:r>
      <w:r>
        <w:rPr>
          <w:color w:val="105C84"/>
          <w:spacing w:val="29"/>
        </w:rPr>
        <w:t> </w:t>
      </w:r>
      <w:r>
        <w:rPr>
          <w:color w:val="105C84"/>
        </w:rPr>
        <w:t>having</w:t>
      </w:r>
      <w:r>
        <w:rPr>
          <w:color w:val="105C84"/>
          <w:spacing w:val="29"/>
        </w:rPr>
        <w:t> </w:t>
      </w:r>
      <w:r>
        <w:rPr>
          <w:color w:val="105C84"/>
        </w:rPr>
        <w:t>enough</w:t>
      </w:r>
      <w:r>
        <w:rPr>
          <w:color w:val="105C84"/>
          <w:spacing w:val="29"/>
        </w:rPr>
        <w:t> </w:t>
      </w:r>
      <w:r>
        <w:rPr>
          <w:color w:val="105C84"/>
        </w:rPr>
        <w:t>time</w:t>
      </w:r>
      <w:r>
        <w:rPr>
          <w:color w:val="105C84"/>
          <w:spacing w:val="29"/>
        </w:rPr>
        <w:t> </w:t>
      </w:r>
      <w:r>
        <w:rPr>
          <w:color w:val="105C84"/>
        </w:rPr>
        <w:t>to</w:t>
      </w:r>
      <w:r>
        <w:rPr>
          <w:color w:val="105C84"/>
          <w:spacing w:val="29"/>
        </w:rPr>
        <w:t> </w:t>
      </w:r>
      <w:r>
        <w:rPr>
          <w:color w:val="105C84"/>
        </w:rPr>
        <w:t>shop</w:t>
      </w:r>
      <w:r>
        <w:rPr>
          <w:color w:val="105C84"/>
          <w:spacing w:val="29"/>
        </w:rPr>
        <w:t> </w:t>
      </w:r>
      <w:r>
        <w:rPr>
          <w:color w:val="105C84"/>
        </w:rPr>
        <w:t>and</w:t>
      </w:r>
      <w:r>
        <w:rPr>
          <w:color w:val="105C84"/>
          <w:spacing w:val="29"/>
        </w:rPr>
        <w:t> </w:t>
      </w:r>
      <w:r>
        <w:rPr>
          <w:color w:val="105C84"/>
        </w:rPr>
        <w:t>prepare</w:t>
      </w:r>
      <w:r>
        <w:rPr>
          <w:color w:val="105C84"/>
          <w:spacing w:val="29"/>
        </w:rPr>
        <w:t> </w:t>
      </w:r>
      <w:r>
        <w:rPr>
          <w:color w:val="105C84"/>
        </w:rPr>
        <w:t>healthy foods (Table 10).</w:t>
      </w:r>
    </w:p>
    <w:p>
      <w:pPr>
        <w:pStyle w:val="BodyText"/>
        <w:spacing w:before="17"/>
      </w:pPr>
    </w:p>
    <w:p>
      <w:pPr>
        <w:pStyle w:val="Heading6"/>
      </w:pPr>
      <w:r>
        <w:rPr>
          <w:color w:val="105C84"/>
          <w:spacing w:val="-6"/>
        </w:rPr>
        <w:t>TABLE</w:t>
      </w:r>
      <w:r>
        <w:rPr>
          <w:color w:val="105C84"/>
          <w:spacing w:val="-5"/>
        </w:rPr>
        <w:t> </w:t>
      </w:r>
      <w:r>
        <w:rPr>
          <w:color w:val="105C84"/>
          <w:spacing w:val="-6"/>
        </w:rPr>
        <w:t>10:</w:t>
      </w:r>
      <w:r>
        <w:rPr>
          <w:color w:val="105C84"/>
          <w:spacing w:val="-5"/>
        </w:rPr>
        <w:t> </w:t>
      </w:r>
      <w:r>
        <w:rPr>
          <w:color w:val="105C84"/>
          <w:spacing w:val="-6"/>
        </w:rPr>
        <w:t>Barriers</w:t>
      </w:r>
      <w:r>
        <w:rPr>
          <w:color w:val="105C84"/>
          <w:spacing w:val="-4"/>
        </w:rPr>
        <w:t> </w:t>
      </w:r>
      <w:r>
        <w:rPr>
          <w:color w:val="105C84"/>
          <w:spacing w:val="-6"/>
        </w:rPr>
        <w:t>to</w:t>
      </w:r>
      <w:r>
        <w:rPr>
          <w:color w:val="105C84"/>
          <w:spacing w:val="-5"/>
        </w:rPr>
        <w:t> </w:t>
      </w:r>
      <w:r>
        <w:rPr>
          <w:color w:val="105C84"/>
          <w:spacing w:val="-6"/>
        </w:rPr>
        <w:t>healthy</w:t>
      </w:r>
      <w:r>
        <w:rPr>
          <w:color w:val="105C84"/>
          <w:spacing w:val="-4"/>
        </w:rPr>
        <w:t> </w:t>
      </w:r>
      <w:r>
        <w:rPr>
          <w:color w:val="105C84"/>
          <w:spacing w:val="-6"/>
        </w:rPr>
        <w:t>eating</w:t>
      </w:r>
    </w:p>
    <w:p>
      <w:pPr>
        <w:pStyle w:val="BodyText"/>
        <w:spacing w:before="65"/>
        <w:rPr>
          <w:b/>
          <w:sz w:val="20"/>
        </w:rPr>
      </w:pPr>
    </w:p>
    <w:tbl>
      <w:tblPr>
        <w:tblW w:w="0" w:type="auto"/>
        <w:jc w:val="left"/>
        <w:tblInd w:w="1085" w:type="dxa"/>
        <w:tblBorders>
          <w:top w:val="single" w:sz="2" w:space="0" w:color="636466"/>
          <w:left w:val="single" w:sz="2" w:space="0" w:color="636466"/>
          <w:bottom w:val="single" w:sz="2" w:space="0" w:color="636466"/>
          <w:right w:val="single" w:sz="2" w:space="0" w:color="636466"/>
          <w:insideH w:val="single" w:sz="2" w:space="0" w:color="636466"/>
          <w:insideV w:val="single" w:sz="2" w:space="0" w:color="636466"/>
        </w:tblBorders>
        <w:tblLayout w:type="fixed"/>
        <w:tblCellMar>
          <w:top w:w="0" w:type="dxa"/>
          <w:left w:w="0" w:type="dxa"/>
          <w:bottom w:w="0" w:type="dxa"/>
          <w:right w:w="0" w:type="dxa"/>
        </w:tblCellMar>
        <w:tblLook w:val="01E0"/>
      </w:tblPr>
      <w:tblGrid>
        <w:gridCol w:w="5513"/>
        <w:gridCol w:w="1671"/>
        <w:gridCol w:w="1527"/>
        <w:gridCol w:w="1308"/>
      </w:tblGrid>
      <w:tr>
        <w:trPr>
          <w:trHeight w:val="461" w:hRule="atLeast"/>
        </w:trPr>
        <w:tc>
          <w:tcPr>
            <w:tcW w:w="5513" w:type="dxa"/>
            <w:vMerge w:val="restart"/>
          </w:tcPr>
          <w:p>
            <w:pPr>
              <w:pStyle w:val="TableParagraph"/>
              <w:rPr>
                <w:rFonts w:ascii="Times New Roman"/>
                <w:sz w:val="20"/>
              </w:rPr>
            </w:pPr>
          </w:p>
        </w:tc>
        <w:tc>
          <w:tcPr>
            <w:tcW w:w="1671" w:type="dxa"/>
            <w:tcBorders>
              <w:top w:val="single" w:sz="8" w:space="0" w:color="939598"/>
              <w:bottom w:val="single" w:sz="2" w:space="0" w:color="FFFFFF"/>
              <w:right w:val="nil"/>
            </w:tcBorders>
            <w:shd w:val="clear" w:color="auto" w:fill="00A79E"/>
          </w:tcPr>
          <w:p>
            <w:pPr>
              <w:pStyle w:val="TableParagraph"/>
              <w:spacing w:before="112"/>
              <w:ind w:left="3" w:right="2"/>
              <w:jc w:val="center"/>
              <w:rPr>
                <w:b/>
                <w:sz w:val="22"/>
              </w:rPr>
            </w:pPr>
            <w:r>
              <w:rPr>
                <w:b/>
                <w:color w:val="FFFFFF"/>
                <w:spacing w:val="-2"/>
                <w:sz w:val="22"/>
              </w:rPr>
              <w:t>LIVINGSTON</w:t>
            </w:r>
          </w:p>
        </w:tc>
        <w:tc>
          <w:tcPr>
            <w:tcW w:w="1527" w:type="dxa"/>
            <w:tcBorders>
              <w:top w:val="single" w:sz="8" w:space="0" w:color="939598"/>
              <w:left w:val="nil"/>
              <w:bottom w:val="single" w:sz="2" w:space="0" w:color="FFFFFF"/>
              <w:right w:val="nil"/>
            </w:tcBorders>
            <w:shd w:val="clear" w:color="auto" w:fill="82BF6A"/>
          </w:tcPr>
          <w:p>
            <w:pPr>
              <w:pStyle w:val="TableParagraph"/>
              <w:spacing w:before="112"/>
              <w:ind w:left="2"/>
              <w:jc w:val="center"/>
              <w:rPr>
                <w:b/>
                <w:sz w:val="22"/>
              </w:rPr>
            </w:pPr>
            <w:r>
              <w:rPr>
                <w:b/>
                <w:color w:val="FFFFFF"/>
                <w:spacing w:val="-2"/>
                <w:sz w:val="22"/>
              </w:rPr>
              <w:t>LIVINGSTON</w:t>
            </w:r>
          </w:p>
        </w:tc>
        <w:tc>
          <w:tcPr>
            <w:tcW w:w="1308" w:type="dxa"/>
            <w:tcBorders>
              <w:top w:val="single" w:sz="8" w:space="0" w:color="939598"/>
              <w:left w:val="nil"/>
              <w:bottom w:val="single" w:sz="2" w:space="0" w:color="FFFFFF"/>
              <w:right w:val="single" w:sz="2" w:space="0" w:color="939598"/>
            </w:tcBorders>
            <w:shd w:val="clear" w:color="auto" w:fill="1C75BC"/>
          </w:tcPr>
          <w:p>
            <w:pPr>
              <w:pStyle w:val="TableParagraph"/>
              <w:spacing w:before="112"/>
              <w:ind w:left="4"/>
              <w:jc w:val="center"/>
              <w:rPr>
                <w:b/>
                <w:sz w:val="22"/>
              </w:rPr>
            </w:pPr>
            <w:r>
              <w:rPr>
                <w:b/>
                <w:color w:val="FFFFFF"/>
                <w:w w:val="105"/>
                <w:sz w:val="22"/>
              </w:rPr>
              <w:t>8</w:t>
            </w:r>
            <w:r>
              <w:rPr>
                <w:b/>
                <w:color w:val="FFFFFF"/>
                <w:spacing w:val="1"/>
                <w:w w:val="105"/>
                <w:sz w:val="22"/>
              </w:rPr>
              <w:t> </w:t>
            </w:r>
            <w:r>
              <w:rPr>
                <w:b/>
                <w:color w:val="FFFFFF"/>
                <w:spacing w:val="-2"/>
                <w:w w:val="105"/>
                <w:sz w:val="22"/>
              </w:rPr>
              <w:t>COUNTY</w:t>
            </w:r>
          </w:p>
        </w:tc>
      </w:tr>
      <w:tr>
        <w:trPr>
          <w:trHeight w:val="657" w:hRule="atLeast"/>
        </w:trPr>
        <w:tc>
          <w:tcPr>
            <w:tcW w:w="5513" w:type="dxa"/>
            <w:vMerge/>
            <w:tcBorders>
              <w:top w:val="nil"/>
            </w:tcBorders>
          </w:tcPr>
          <w:p>
            <w:pPr>
              <w:rPr>
                <w:sz w:val="2"/>
                <w:szCs w:val="2"/>
              </w:rPr>
            </w:pPr>
          </w:p>
        </w:tc>
        <w:tc>
          <w:tcPr>
            <w:tcW w:w="1671" w:type="dxa"/>
            <w:tcBorders>
              <w:top w:val="single" w:sz="2" w:space="0" w:color="FFFFFF"/>
              <w:right w:val="nil"/>
            </w:tcBorders>
            <w:shd w:val="clear" w:color="auto" w:fill="00A79E"/>
          </w:tcPr>
          <w:p>
            <w:pPr>
              <w:pStyle w:val="TableParagraph"/>
              <w:spacing w:before="84"/>
              <w:ind w:left="3"/>
              <w:jc w:val="center"/>
              <w:rPr>
                <w:b/>
                <w:sz w:val="22"/>
              </w:rPr>
            </w:pPr>
            <w:r>
              <w:rPr>
                <w:b/>
                <w:color w:val="FFFFFF"/>
                <w:sz w:val="22"/>
              </w:rPr>
              <w:t>Income</w:t>
            </w:r>
            <w:r>
              <w:rPr>
                <w:b/>
                <w:color w:val="FFFFFF"/>
                <w:spacing w:val="-5"/>
                <w:sz w:val="22"/>
              </w:rPr>
              <w:t> </w:t>
            </w:r>
            <w:r>
              <w:rPr>
                <w:b/>
                <w:color w:val="FFFFFF"/>
                <w:sz w:val="22"/>
              </w:rPr>
              <w:t>up</w:t>
            </w:r>
            <w:r>
              <w:rPr>
                <w:b/>
                <w:color w:val="FFFFFF"/>
                <w:spacing w:val="-4"/>
                <w:sz w:val="22"/>
              </w:rPr>
              <w:t> </w:t>
            </w:r>
            <w:r>
              <w:rPr>
                <w:b/>
                <w:color w:val="FFFFFF"/>
                <w:spacing w:val="-5"/>
                <w:sz w:val="22"/>
              </w:rPr>
              <w:t>to</w:t>
            </w:r>
          </w:p>
          <w:p>
            <w:pPr>
              <w:pStyle w:val="TableParagraph"/>
              <w:spacing w:before="7"/>
              <w:ind w:left="3"/>
              <w:jc w:val="center"/>
              <w:rPr>
                <w:b/>
                <w:sz w:val="22"/>
              </w:rPr>
            </w:pPr>
            <w:r>
              <w:rPr>
                <w:b/>
                <w:color w:val="FFFFFF"/>
                <w:spacing w:val="-4"/>
                <w:sz w:val="22"/>
              </w:rPr>
              <w:t>$50K</w:t>
            </w:r>
          </w:p>
        </w:tc>
        <w:tc>
          <w:tcPr>
            <w:tcW w:w="1527" w:type="dxa"/>
            <w:tcBorders>
              <w:top w:val="single" w:sz="2" w:space="0" w:color="FFFFFF"/>
              <w:left w:val="nil"/>
              <w:right w:val="nil"/>
            </w:tcBorders>
            <w:shd w:val="clear" w:color="auto" w:fill="82BF6A"/>
          </w:tcPr>
          <w:p>
            <w:pPr>
              <w:pStyle w:val="TableParagraph"/>
              <w:spacing w:before="214"/>
              <w:ind w:left="2"/>
              <w:jc w:val="center"/>
              <w:rPr>
                <w:b/>
                <w:sz w:val="22"/>
              </w:rPr>
            </w:pPr>
            <w:r>
              <w:rPr>
                <w:b/>
                <w:color w:val="FFFFFF"/>
                <w:spacing w:val="-2"/>
                <w:sz w:val="22"/>
              </w:rPr>
              <w:t>Overall</w:t>
            </w:r>
          </w:p>
        </w:tc>
        <w:tc>
          <w:tcPr>
            <w:tcW w:w="1308" w:type="dxa"/>
            <w:tcBorders>
              <w:top w:val="single" w:sz="2" w:space="0" w:color="FFFFFF"/>
              <w:left w:val="nil"/>
              <w:right w:val="single" w:sz="2" w:space="0" w:color="939598"/>
            </w:tcBorders>
            <w:shd w:val="clear" w:color="auto" w:fill="1C75BC"/>
          </w:tcPr>
          <w:p>
            <w:pPr>
              <w:pStyle w:val="TableParagraph"/>
              <w:spacing w:before="214"/>
              <w:ind w:left="4"/>
              <w:jc w:val="center"/>
              <w:rPr>
                <w:b/>
                <w:sz w:val="22"/>
              </w:rPr>
            </w:pPr>
            <w:r>
              <w:rPr>
                <w:b/>
                <w:color w:val="FFFFFF"/>
                <w:spacing w:val="-2"/>
                <w:sz w:val="22"/>
              </w:rPr>
              <w:t>Overall</w:t>
            </w:r>
          </w:p>
        </w:tc>
      </w:tr>
      <w:tr>
        <w:trPr>
          <w:trHeight w:val="427" w:hRule="atLeast"/>
        </w:trPr>
        <w:tc>
          <w:tcPr>
            <w:tcW w:w="5513" w:type="dxa"/>
          </w:tcPr>
          <w:p>
            <w:pPr>
              <w:pStyle w:val="TableParagraph"/>
              <w:spacing w:before="107"/>
              <w:ind w:left="90"/>
              <w:rPr>
                <w:b/>
                <w:sz w:val="20"/>
              </w:rPr>
            </w:pPr>
            <w:r>
              <w:rPr>
                <w:b/>
                <w:color w:val="105C84"/>
                <w:sz w:val="20"/>
              </w:rPr>
              <w:t>Buying</w:t>
            </w:r>
            <w:r>
              <w:rPr>
                <w:b/>
                <w:color w:val="105C84"/>
                <w:spacing w:val="-1"/>
                <w:sz w:val="20"/>
              </w:rPr>
              <w:t> </w:t>
            </w:r>
            <w:r>
              <w:rPr>
                <w:b/>
                <w:color w:val="105C84"/>
                <w:sz w:val="20"/>
              </w:rPr>
              <w:t>healthy food</w:t>
            </w:r>
            <w:r>
              <w:rPr>
                <w:b/>
                <w:color w:val="105C84"/>
                <w:spacing w:val="-1"/>
                <w:sz w:val="20"/>
              </w:rPr>
              <w:t> </w:t>
            </w:r>
            <w:r>
              <w:rPr>
                <w:b/>
                <w:color w:val="105C84"/>
                <w:sz w:val="20"/>
              </w:rPr>
              <w:t>is too</w:t>
            </w:r>
            <w:r>
              <w:rPr>
                <w:b/>
                <w:color w:val="105C84"/>
                <w:spacing w:val="-1"/>
                <w:sz w:val="20"/>
              </w:rPr>
              <w:t> </w:t>
            </w:r>
            <w:r>
              <w:rPr>
                <w:b/>
                <w:color w:val="105C84"/>
                <w:spacing w:val="-2"/>
                <w:sz w:val="20"/>
              </w:rPr>
              <w:t>expensive</w:t>
            </w:r>
          </w:p>
        </w:tc>
        <w:tc>
          <w:tcPr>
            <w:tcW w:w="1671" w:type="dxa"/>
          </w:tcPr>
          <w:p>
            <w:pPr>
              <w:pStyle w:val="TableParagraph"/>
              <w:spacing w:before="107"/>
              <w:ind w:left="8" w:right="2"/>
              <w:jc w:val="center"/>
              <w:rPr>
                <w:sz w:val="20"/>
              </w:rPr>
            </w:pPr>
            <w:r>
              <w:rPr>
                <w:color w:val="00A79E"/>
                <w:spacing w:val="-5"/>
                <w:sz w:val="20"/>
              </w:rPr>
              <w:t>53%</w:t>
            </w:r>
          </w:p>
        </w:tc>
        <w:tc>
          <w:tcPr>
            <w:tcW w:w="1527" w:type="dxa"/>
          </w:tcPr>
          <w:p>
            <w:pPr>
              <w:pStyle w:val="TableParagraph"/>
              <w:spacing w:before="107"/>
              <w:ind w:left="7" w:right="3"/>
              <w:jc w:val="center"/>
              <w:rPr>
                <w:sz w:val="20"/>
              </w:rPr>
            </w:pPr>
            <w:r>
              <w:rPr>
                <w:color w:val="82BF6A"/>
                <w:spacing w:val="-5"/>
                <w:sz w:val="20"/>
              </w:rPr>
              <w:t>43%</w:t>
            </w:r>
          </w:p>
        </w:tc>
        <w:tc>
          <w:tcPr>
            <w:tcW w:w="1308" w:type="dxa"/>
          </w:tcPr>
          <w:p>
            <w:pPr>
              <w:pStyle w:val="TableParagraph"/>
              <w:spacing w:before="107"/>
              <w:ind w:left="7" w:right="3"/>
              <w:jc w:val="center"/>
              <w:rPr>
                <w:sz w:val="20"/>
              </w:rPr>
            </w:pPr>
            <w:r>
              <w:rPr>
                <w:color w:val="1C75BC"/>
                <w:spacing w:val="-5"/>
                <w:sz w:val="20"/>
              </w:rPr>
              <w:t>42%</w:t>
            </w:r>
          </w:p>
        </w:tc>
      </w:tr>
      <w:tr>
        <w:trPr>
          <w:trHeight w:val="538" w:hRule="atLeast"/>
        </w:trPr>
        <w:tc>
          <w:tcPr>
            <w:tcW w:w="5513" w:type="dxa"/>
            <w:shd w:val="clear" w:color="auto" w:fill="E9E9EA"/>
          </w:tcPr>
          <w:p>
            <w:pPr>
              <w:pStyle w:val="TableParagraph"/>
              <w:spacing w:line="230" w:lineRule="auto" w:before="60"/>
              <w:ind w:left="90" w:right="743"/>
              <w:rPr>
                <w:b/>
                <w:sz w:val="20"/>
              </w:rPr>
            </w:pPr>
            <w:r>
              <w:rPr>
                <w:b/>
                <w:color w:val="105C84"/>
                <w:sz w:val="20"/>
              </w:rPr>
              <w:t>The</w:t>
            </w:r>
            <w:r>
              <w:rPr>
                <w:b/>
                <w:color w:val="105C84"/>
                <w:spacing w:val="-4"/>
                <w:sz w:val="20"/>
              </w:rPr>
              <w:t> </w:t>
            </w:r>
            <w:r>
              <w:rPr>
                <w:b/>
                <w:color w:val="105C84"/>
                <w:sz w:val="20"/>
              </w:rPr>
              <w:t>others</w:t>
            </w:r>
            <w:r>
              <w:rPr>
                <w:b/>
                <w:color w:val="105C84"/>
                <w:spacing w:val="-4"/>
                <w:sz w:val="20"/>
              </w:rPr>
              <w:t> </w:t>
            </w:r>
            <w:r>
              <w:rPr>
                <w:b/>
                <w:color w:val="105C84"/>
                <w:sz w:val="20"/>
              </w:rPr>
              <w:t>in</w:t>
            </w:r>
            <w:r>
              <w:rPr>
                <w:b/>
                <w:color w:val="105C84"/>
                <w:spacing w:val="-4"/>
                <w:sz w:val="20"/>
              </w:rPr>
              <w:t> </w:t>
            </w:r>
            <w:r>
              <w:rPr>
                <w:b/>
                <w:color w:val="105C84"/>
                <w:sz w:val="20"/>
              </w:rPr>
              <w:t>my</w:t>
            </w:r>
            <w:r>
              <w:rPr>
                <w:b/>
                <w:color w:val="105C84"/>
                <w:spacing w:val="-4"/>
                <w:sz w:val="20"/>
              </w:rPr>
              <w:t> </w:t>
            </w:r>
            <w:r>
              <w:rPr>
                <w:b/>
                <w:color w:val="105C84"/>
                <w:sz w:val="20"/>
              </w:rPr>
              <w:t>household</w:t>
            </w:r>
            <w:r>
              <w:rPr>
                <w:b/>
                <w:color w:val="105C84"/>
                <w:spacing w:val="-4"/>
                <w:sz w:val="20"/>
              </w:rPr>
              <w:t> </w:t>
            </w:r>
            <w:r>
              <w:rPr>
                <w:b/>
                <w:color w:val="105C84"/>
                <w:sz w:val="20"/>
              </w:rPr>
              <w:t>don’t</w:t>
            </w:r>
            <w:r>
              <w:rPr>
                <w:b/>
                <w:color w:val="105C84"/>
                <w:spacing w:val="-4"/>
                <w:sz w:val="20"/>
              </w:rPr>
              <w:t> </w:t>
            </w:r>
            <w:r>
              <w:rPr>
                <w:b/>
                <w:color w:val="105C84"/>
                <w:sz w:val="20"/>
              </w:rPr>
              <w:t>eat</w:t>
            </w:r>
            <w:r>
              <w:rPr>
                <w:b/>
                <w:color w:val="105C84"/>
                <w:spacing w:val="-4"/>
                <w:sz w:val="20"/>
              </w:rPr>
              <w:t> </w:t>
            </w:r>
            <w:r>
              <w:rPr>
                <w:b/>
                <w:color w:val="105C84"/>
                <w:sz w:val="20"/>
              </w:rPr>
              <w:t>healthy, and we eat together</w:t>
            </w:r>
          </w:p>
        </w:tc>
        <w:tc>
          <w:tcPr>
            <w:tcW w:w="1671" w:type="dxa"/>
            <w:shd w:val="clear" w:color="auto" w:fill="E9E9EA"/>
          </w:tcPr>
          <w:p>
            <w:pPr>
              <w:pStyle w:val="TableParagraph"/>
              <w:spacing w:before="163"/>
              <w:ind w:left="8" w:right="2"/>
              <w:jc w:val="center"/>
              <w:rPr>
                <w:sz w:val="20"/>
              </w:rPr>
            </w:pPr>
            <w:r>
              <w:rPr>
                <w:color w:val="00A79E"/>
                <w:spacing w:val="-5"/>
                <w:sz w:val="20"/>
              </w:rPr>
              <w:t>18%</w:t>
            </w:r>
          </w:p>
        </w:tc>
        <w:tc>
          <w:tcPr>
            <w:tcW w:w="1527" w:type="dxa"/>
            <w:shd w:val="clear" w:color="auto" w:fill="E9E9EA"/>
          </w:tcPr>
          <w:p>
            <w:pPr>
              <w:pStyle w:val="TableParagraph"/>
              <w:spacing w:before="163"/>
              <w:ind w:left="7" w:right="2"/>
              <w:jc w:val="center"/>
              <w:rPr>
                <w:sz w:val="20"/>
              </w:rPr>
            </w:pPr>
            <w:r>
              <w:rPr>
                <w:color w:val="82BF6A"/>
                <w:spacing w:val="-5"/>
                <w:sz w:val="20"/>
              </w:rPr>
              <w:t>16%</w:t>
            </w:r>
          </w:p>
        </w:tc>
        <w:tc>
          <w:tcPr>
            <w:tcW w:w="1308" w:type="dxa"/>
            <w:shd w:val="clear" w:color="auto" w:fill="E9E9EA"/>
          </w:tcPr>
          <w:p>
            <w:pPr>
              <w:pStyle w:val="TableParagraph"/>
              <w:spacing w:before="163"/>
              <w:ind w:left="7" w:right="3"/>
              <w:jc w:val="center"/>
              <w:rPr>
                <w:sz w:val="20"/>
              </w:rPr>
            </w:pPr>
            <w:r>
              <w:rPr>
                <w:color w:val="1C75BC"/>
                <w:spacing w:val="-5"/>
                <w:sz w:val="20"/>
              </w:rPr>
              <w:t>13%</w:t>
            </w:r>
          </w:p>
        </w:tc>
      </w:tr>
      <w:tr>
        <w:trPr>
          <w:trHeight w:val="538" w:hRule="atLeast"/>
        </w:trPr>
        <w:tc>
          <w:tcPr>
            <w:tcW w:w="5513" w:type="dxa"/>
          </w:tcPr>
          <w:p>
            <w:pPr>
              <w:pStyle w:val="TableParagraph"/>
              <w:spacing w:line="230" w:lineRule="auto" w:before="60"/>
              <w:ind w:left="90"/>
              <w:rPr>
                <w:b/>
                <w:sz w:val="20"/>
              </w:rPr>
            </w:pPr>
            <w:r>
              <w:rPr>
                <w:b/>
                <w:color w:val="105C84"/>
                <w:sz w:val="20"/>
              </w:rPr>
              <w:t>I don’t have the time to shop for, and prepare, healthy </w:t>
            </w:r>
            <w:r>
              <w:rPr>
                <w:b/>
                <w:color w:val="105C84"/>
                <w:spacing w:val="-4"/>
                <w:sz w:val="20"/>
              </w:rPr>
              <w:t>food</w:t>
            </w:r>
          </w:p>
        </w:tc>
        <w:tc>
          <w:tcPr>
            <w:tcW w:w="1671" w:type="dxa"/>
          </w:tcPr>
          <w:p>
            <w:pPr>
              <w:pStyle w:val="TableParagraph"/>
              <w:spacing w:before="163"/>
              <w:ind w:left="8" w:right="2"/>
              <w:jc w:val="center"/>
              <w:rPr>
                <w:sz w:val="20"/>
              </w:rPr>
            </w:pPr>
            <w:r>
              <w:rPr>
                <w:color w:val="00A79E"/>
                <w:spacing w:val="-5"/>
                <w:sz w:val="20"/>
              </w:rPr>
              <w:t>13%</w:t>
            </w:r>
          </w:p>
        </w:tc>
        <w:tc>
          <w:tcPr>
            <w:tcW w:w="1527" w:type="dxa"/>
          </w:tcPr>
          <w:p>
            <w:pPr>
              <w:pStyle w:val="TableParagraph"/>
              <w:spacing w:before="163"/>
              <w:ind w:left="7" w:right="2"/>
              <w:jc w:val="center"/>
              <w:rPr>
                <w:sz w:val="20"/>
              </w:rPr>
            </w:pPr>
            <w:r>
              <w:rPr>
                <w:color w:val="82BF6A"/>
                <w:spacing w:val="-5"/>
                <w:sz w:val="20"/>
              </w:rPr>
              <w:t>17%</w:t>
            </w:r>
          </w:p>
        </w:tc>
        <w:tc>
          <w:tcPr>
            <w:tcW w:w="1308" w:type="dxa"/>
          </w:tcPr>
          <w:p>
            <w:pPr>
              <w:pStyle w:val="TableParagraph"/>
              <w:spacing w:before="163"/>
              <w:ind w:left="7" w:right="2"/>
              <w:jc w:val="center"/>
              <w:rPr>
                <w:sz w:val="20"/>
              </w:rPr>
            </w:pPr>
            <w:r>
              <w:rPr>
                <w:color w:val="1C75BC"/>
                <w:spacing w:val="-5"/>
                <w:sz w:val="20"/>
              </w:rPr>
              <w:t>19%</w:t>
            </w:r>
          </w:p>
        </w:tc>
      </w:tr>
      <w:tr>
        <w:trPr>
          <w:trHeight w:val="538" w:hRule="atLeast"/>
        </w:trPr>
        <w:tc>
          <w:tcPr>
            <w:tcW w:w="5513" w:type="dxa"/>
            <w:shd w:val="clear" w:color="auto" w:fill="E9E9EA"/>
          </w:tcPr>
          <w:p>
            <w:pPr>
              <w:pStyle w:val="TableParagraph"/>
              <w:spacing w:before="163"/>
              <w:ind w:left="90"/>
              <w:rPr>
                <w:b/>
                <w:sz w:val="20"/>
              </w:rPr>
            </w:pPr>
            <w:r>
              <w:rPr>
                <w:b/>
                <w:color w:val="105C84"/>
                <w:sz w:val="20"/>
              </w:rPr>
              <w:t>I</w:t>
            </w:r>
            <w:r>
              <w:rPr>
                <w:b/>
                <w:color w:val="105C84"/>
                <w:spacing w:val="3"/>
                <w:sz w:val="20"/>
              </w:rPr>
              <w:t> </w:t>
            </w:r>
            <w:r>
              <w:rPr>
                <w:b/>
                <w:color w:val="105C84"/>
                <w:sz w:val="20"/>
              </w:rPr>
              <w:t>don’t</w:t>
            </w:r>
            <w:r>
              <w:rPr>
                <w:b/>
                <w:color w:val="105C84"/>
                <w:spacing w:val="3"/>
                <w:sz w:val="20"/>
              </w:rPr>
              <w:t> </w:t>
            </w:r>
            <w:r>
              <w:rPr>
                <w:b/>
                <w:color w:val="105C84"/>
                <w:sz w:val="20"/>
              </w:rPr>
              <w:t>have</w:t>
            </w:r>
            <w:r>
              <w:rPr>
                <w:b/>
                <w:color w:val="105C84"/>
                <w:spacing w:val="3"/>
                <w:sz w:val="20"/>
              </w:rPr>
              <w:t> </w:t>
            </w:r>
            <w:r>
              <w:rPr>
                <w:b/>
                <w:color w:val="105C84"/>
                <w:sz w:val="20"/>
              </w:rPr>
              <w:t>any</w:t>
            </w:r>
            <w:r>
              <w:rPr>
                <w:b/>
                <w:color w:val="105C84"/>
                <w:spacing w:val="4"/>
                <w:sz w:val="20"/>
              </w:rPr>
              <w:t> </w:t>
            </w:r>
            <w:r>
              <w:rPr>
                <w:b/>
                <w:color w:val="105C84"/>
                <w:sz w:val="20"/>
              </w:rPr>
              <w:t>place</w:t>
            </w:r>
            <w:r>
              <w:rPr>
                <w:b/>
                <w:color w:val="105C84"/>
                <w:spacing w:val="3"/>
                <w:sz w:val="20"/>
              </w:rPr>
              <w:t> </w:t>
            </w:r>
            <w:r>
              <w:rPr>
                <w:b/>
                <w:color w:val="105C84"/>
                <w:sz w:val="20"/>
              </w:rPr>
              <w:t>nearby</w:t>
            </w:r>
            <w:r>
              <w:rPr>
                <w:b/>
                <w:color w:val="105C84"/>
                <w:spacing w:val="3"/>
                <w:sz w:val="20"/>
              </w:rPr>
              <w:t> </w:t>
            </w:r>
            <w:r>
              <w:rPr>
                <w:b/>
                <w:color w:val="105C84"/>
                <w:sz w:val="20"/>
              </w:rPr>
              <w:t>to</w:t>
            </w:r>
            <w:r>
              <w:rPr>
                <w:b/>
                <w:color w:val="105C84"/>
                <w:spacing w:val="4"/>
                <w:sz w:val="20"/>
              </w:rPr>
              <w:t> </w:t>
            </w:r>
            <w:r>
              <w:rPr>
                <w:b/>
                <w:color w:val="105C84"/>
                <w:sz w:val="20"/>
              </w:rPr>
              <w:t>buy</w:t>
            </w:r>
            <w:r>
              <w:rPr>
                <w:b/>
                <w:color w:val="105C84"/>
                <w:spacing w:val="3"/>
                <w:sz w:val="20"/>
              </w:rPr>
              <w:t> </w:t>
            </w:r>
            <w:r>
              <w:rPr>
                <w:b/>
                <w:color w:val="105C84"/>
                <w:sz w:val="20"/>
              </w:rPr>
              <w:t>healthy</w:t>
            </w:r>
            <w:r>
              <w:rPr>
                <w:b/>
                <w:color w:val="105C84"/>
                <w:spacing w:val="3"/>
                <w:sz w:val="20"/>
              </w:rPr>
              <w:t> </w:t>
            </w:r>
            <w:r>
              <w:rPr>
                <w:b/>
                <w:color w:val="105C84"/>
                <w:spacing w:val="-4"/>
                <w:sz w:val="20"/>
              </w:rPr>
              <w:t>food</w:t>
            </w:r>
          </w:p>
        </w:tc>
        <w:tc>
          <w:tcPr>
            <w:tcW w:w="1671" w:type="dxa"/>
            <w:shd w:val="clear" w:color="auto" w:fill="E9E9EA"/>
          </w:tcPr>
          <w:p>
            <w:pPr>
              <w:pStyle w:val="TableParagraph"/>
              <w:spacing w:before="163"/>
              <w:ind w:left="8" w:right="1"/>
              <w:jc w:val="center"/>
              <w:rPr>
                <w:sz w:val="20"/>
              </w:rPr>
            </w:pPr>
            <w:r>
              <w:rPr>
                <w:color w:val="00A79E"/>
                <w:spacing w:val="-5"/>
                <w:sz w:val="20"/>
              </w:rPr>
              <w:t>11%</w:t>
            </w:r>
          </w:p>
        </w:tc>
        <w:tc>
          <w:tcPr>
            <w:tcW w:w="1527" w:type="dxa"/>
            <w:shd w:val="clear" w:color="auto" w:fill="E9E9EA"/>
          </w:tcPr>
          <w:p>
            <w:pPr>
              <w:pStyle w:val="TableParagraph"/>
              <w:spacing w:before="163"/>
              <w:ind w:left="7" w:right="1"/>
              <w:jc w:val="center"/>
              <w:rPr>
                <w:sz w:val="20"/>
              </w:rPr>
            </w:pPr>
            <w:r>
              <w:rPr>
                <w:color w:val="82BF6A"/>
                <w:spacing w:val="-5"/>
                <w:sz w:val="20"/>
              </w:rPr>
              <w:t>6%</w:t>
            </w:r>
          </w:p>
        </w:tc>
        <w:tc>
          <w:tcPr>
            <w:tcW w:w="1308" w:type="dxa"/>
            <w:shd w:val="clear" w:color="auto" w:fill="E9E9EA"/>
          </w:tcPr>
          <w:p>
            <w:pPr>
              <w:pStyle w:val="TableParagraph"/>
              <w:spacing w:before="163"/>
              <w:ind w:left="7" w:right="2"/>
              <w:jc w:val="center"/>
              <w:rPr>
                <w:sz w:val="20"/>
              </w:rPr>
            </w:pPr>
            <w:r>
              <w:rPr>
                <w:color w:val="1C75BC"/>
                <w:spacing w:val="-5"/>
                <w:sz w:val="20"/>
              </w:rPr>
              <w:t>3%</w:t>
            </w:r>
          </w:p>
        </w:tc>
      </w:tr>
      <w:tr>
        <w:trPr>
          <w:trHeight w:val="538" w:hRule="atLeast"/>
        </w:trPr>
        <w:tc>
          <w:tcPr>
            <w:tcW w:w="5513" w:type="dxa"/>
          </w:tcPr>
          <w:p>
            <w:pPr>
              <w:pStyle w:val="TableParagraph"/>
              <w:spacing w:line="230" w:lineRule="auto" w:before="60"/>
              <w:ind w:left="90" w:right="743"/>
              <w:rPr>
                <w:b/>
                <w:sz w:val="20"/>
              </w:rPr>
            </w:pPr>
            <w:r>
              <w:rPr>
                <w:b/>
                <w:color w:val="105C84"/>
                <w:sz w:val="20"/>
              </w:rPr>
              <w:t>I don’t know how to cook and prepare </w:t>
            </w:r>
            <w:r>
              <w:rPr>
                <w:b/>
                <w:color w:val="105C84"/>
                <w:sz w:val="20"/>
              </w:rPr>
              <w:t>healthy meals that taste good</w:t>
            </w:r>
          </w:p>
        </w:tc>
        <w:tc>
          <w:tcPr>
            <w:tcW w:w="1671" w:type="dxa"/>
          </w:tcPr>
          <w:p>
            <w:pPr>
              <w:pStyle w:val="TableParagraph"/>
              <w:spacing w:before="163"/>
              <w:ind w:left="8" w:right="1"/>
              <w:jc w:val="center"/>
              <w:rPr>
                <w:sz w:val="20"/>
              </w:rPr>
            </w:pPr>
            <w:r>
              <w:rPr>
                <w:color w:val="00A79E"/>
                <w:spacing w:val="-5"/>
                <w:sz w:val="20"/>
              </w:rPr>
              <w:t>11%</w:t>
            </w:r>
          </w:p>
        </w:tc>
        <w:tc>
          <w:tcPr>
            <w:tcW w:w="1527" w:type="dxa"/>
          </w:tcPr>
          <w:p>
            <w:pPr>
              <w:pStyle w:val="TableParagraph"/>
              <w:spacing w:before="163"/>
              <w:ind w:left="7" w:right="1"/>
              <w:jc w:val="center"/>
              <w:rPr>
                <w:sz w:val="20"/>
              </w:rPr>
            </w:pPr>
            <w:r>
              <w:rPr>
                <w:color w:val="82BF6A"/>
                <w:spacing w:val="-5"/>
                <w:sz w:val="20"/>
              </w:rPr>
              <w:t>12%</w:t>
            </w:r>
          </w:p>
        </w:tc>
        <w:tc>
          <w:tcPr>
            <w:tcW w:w="1308" w:type="dxa"/>
          </w:tcPr>
          <w:p>
            <w:pPr>
              <w:pStyle w:val="TableParagraph"/>
              <w:spacing w:before="163"/>
              <w:ind w:left="7" w:right="2"/>
              <w:jc w:val="center"/>
              <w:rPr>
                <w:sz w:val="20"/>
              </w:rPr>
            </w:pPr>
            <w:r>
              <w:rPr>
                <w:color w:val="1C75BC"/>
                <w:spacing w:val="-5"/>
                <w:sz w:val="20"/>
              </w:rPr>
              <w:t>13%</w:t>
            </w:r>
          </w:p>
        </w:tc>
      </w:tr>
      <w:tr>
        <w:trPr>
          <w:trHeight w:val="538" w:hRule="atLeast"/>
        </w:trPr>
        <w:tc>
          <w:tcPr>
            <w:tcW w:w="5513" w:type="dxa"/>
            <w:shd w:val="clear" w:color="auto" w:fill="E9E9EA"/>
          </w:tcPr>
          <w:p>
            <w:pPr>
              <w:pStyle w:val="TableParagraph"/>
              <w:spacing w:line="230" w:lineRule="auto" w:before="60"/>
              <w:ind w:left="90" w:right="743"/>
              <w:rPr>
                <w:b/>
                <w:sz w:val="20"/>
              </w:rPr>
            </w:pPr>
            <w:r>
              <w:rPr>
                <w:b/>
                <w:color w:val="105C84"/>
                <w:sz w:val="20"/>
              </w:rPr>
              <w:t>I don’t have the supplies and equipment I’d </w:t>
            </w:r>
            <w:r>
              <w:rPr>
                <w:b/>
                <w:color w:val="105C84"/>
                <w:sz w:val="20"/>
              </w:rPr>
              <w:t>need to cook healthy food</w:t>
            </w:r>
          </w:p>
        </w:tc>
        <w:tc>
          <w:tcPr>
            <w:tcW w:w="1671" w:type="dxa"/>
            <w:shd w:val="clear" w:color="auto" w:fill="E9E9EA"/>
          </w:tcPr>
          <w:p>
            <w:pPr>
              <w:pStyle w:val="TableParagraph"/>
              <w:spacing w:before="163"/>
              <w:ind w:left="8" w:right="1"/>
              <w:jc w:val="center"/>
              <w:rPr>
                <w:sz w:val="20"/>
              </w:rPr>
            </w:pPr>
            <w:r>
              <w:rPr>
                <w:color w:val="00A79E"/>
                <w:spacing w:val="-5"/>
                <w:sz w:val="20"/>
              </w:rPr>
              <w:t>5%</w:t>
            </w:r>
          </w:p>
        </w:tc>
        <w:tc>
          <w:tcPr>
            <w:tcW w:w="1527" w:type="dxa"/>
            <w:shd w:val="clear" w:color="auto" w:fill="E9E9EA"/>
          </w:tcPr>
          <w:p>
            <w:pPr>
              <w:pStyle w:val="TableParagraph"/>
              <w:spacing w:before="163"/>
              <w:ind w:left="7" w:right="1"/>
              <w:jc w:val="center"/>
              <w:rPr>
                <w:sz w:val="20"/>
              </w:rPr>
            </w:pPr>
            <w:r>
              <w:rPr>
                <w:color w:val="82BF6A"/>
                <w:spacing w:val="-5"/>
                <w:sz w:val="20"/>
              </w:rPr>
              <w:t>2%</w:t>
            </w:r>
          </w:p>
        </w:tc>
        <w:tc>
          <w:tcPr>
            <w:tcW w:w="1308" w:type="dxa"/>
            <w:shd w:val="clear" w:color="auto" w:fill="E9E9EA"/>
          </w:tcPr>
          <w:p>
            <w:pPr>
              <w:pStyle w:val="TableParagraph"/>
              <w:spacing w:before="163"/>
              <w:ind w:left="7" w:right="2"/>
              <w:jc w:val="center"/>
              <w:rPr>
                <w:sz w:val="20"/>
              </w:rPr>
            </w:pPr>
            <w:r>
              <w:rPr>
                <w:color w:val="1C75BC"/>
                <w:spacing w:val="-5"/>
                <w:sz w:val="20"/>
              </w:rPr>
              <w:t>4%</w:t>
            </w:r>
          </w:p>
        </w:tc>
      </w:tr>
      <w:tr>
        <w:trPr>
          <w:trHeight w:val="538" w:hRule="atLeast"/>
        </w:trPr>
        <w:tc>
          <w:tcPr>
            <w:tcW w:w="5513" w:type="dxa"/>
          </w:tcPr>
          <w:p>
            <w:pPr>
              <w:pStyle w:val="TableParagraph"/>
              <w:spacing w:line="230" w:lineRule="auto" w:before="60"/>
              <w:ind w:left="90" w:right="793"/>
              <w:rPr>
                <w:b/>
                <w:sz w:val="20"/>
              </w:rPr>
            </w:pPr>
            <w:r>
              <w:rPr>
                <w:b/>
                <w:color w:val="105C84"/>
                <w:sz w:val="20"/>
              </w:rPr>
              <w:t>I don’t have the transportation to go </w:t>
            </w:r>
            <w:r>
              <w:rPr>
                <w:b/>
                <w:color w:val="105C84"/>
                <w:sz w:val="20"/>
              </w:rPr>
              <w:t>shopping for healthy food</w:t>
            </w:r>
          </w:p>
        </w:tc>
        <w:tc>
          <w:tcPr>
            <w:tcW w:w="1671" w:type="dxa"/>
          </w:tcPr>
          <w:p>
            <w:pPr>
              <w:pStyle w:val="TableParagraph"/>
              <w:spacing w:before="163"/>
              <w:ind w:left="8"/>
              <w:jc w:val="center"/>
              <w:rPr>
                <w:sz w:val="20"/>
              </w:rPr>
            </w:pPr>
            <w:r>
              <w:rPr>
                <w:color w:val="00A79E"/>
                <w:spacing w:val="-5"/>
                <w:sz w:val="20"/>
              </w:rPr>
              <w:t>4%</w:t>
            </w:r>
          </w:p>
        </w:tc>
        <w:tc>
          <w:tcPr>
            <w:tcW w:w="1527" w:type="dxa"/>
          </w:tcPr>
          <w:p>
            <w:pPr>
              <w:pStyle w:val="TableParagraph"/>
              <w:spacing w:before="163"/>
              <w:ind w:left="7" w:right="1"/>
              <w:jc w:val="center"/>
              <w:rPr>
                <w:sz w:val="20"/>
              </w:rPr>
            </w:pPr>
            <w:r>
              <w:rPr>
                <w:color w:val="82BF6A"/>
                <w:spacing w:val="-5"/>
                <w:sz w:val="20"/>
              </w:rPr>
              <w:t>2%</w:t>
            </w:r>
          </w:p>
        </w:tc>
        <w:tc>
          <w:tcPr>
            <w:tcW w:w="1308" w:type="dxa"/>
          </w:tcPr>
          <w:p>
            <w:pPr>
              <w:pStyle w:val="TableParagraph"/>
              <w:spacing w:before="163"/>
              <w:ind w:left="7" w:right="1"/>
              <w:jc w:val="center"/>
              <w:rPr>
                <w:sz w:val="20"/>
              </w:rPr>
            </w:pPr>
            <w:r>
              <w:rPr>
                <w:color w:val="1C75BC"/>
                <w:spacing w:val="-5"/>
                <w:sz w:val="20"/>
              </w:rPr>
              <w:t>3%</w:t>
            </w:r>
          </w:p>
        </w:tc>
      </w:tr>
      <w:tr>
        <w:trPr>
          <w:trHeight w:val="331" w:hRule="atLeast"/>
        </w:trPr>
        <w:tc>
          <w:tcPr>
            <w:tcW w:w="5513" w:type="dxa"/>
            <w:shd w:val="clear" w:color="auto" w:fill="E9E9EA"/>
          </w:tcPr>
          <w:p>
            <w:pPr>
              <w:pStyle w:val="TableParagraph"/>
              <w:spacing w:before="59"/>
              <w:ind w:left="91"/>
              <w:rPr>
                <w:b/>
                <w:sz w:val="20"/>
              </w:rPr>
            </w:pPr>
            <w:r>
              <w:rPr>
                <w:b/>
                <w:color w:val="105C84"/>
                <w:sz w:val="20"/>
              </w:rPr>
              <w:t>I</w:t>
            </w:r>
            <w:r>
              <w:rPr>
                <w:b/>
                <w:color w:val="105C84"/>
                <w:spacing w:val="9"/>
                <w:sz w:val="20"/>
              </w:rPr>
              <w:t> </w:t>
            </w:r>
            <w:r>
              <w:rPr>
                <w:b/>
                <w:color w:val="105C84"/>
                <w:sz w:val="20"/>
              </w:rPr>
              <w:t>don’t</w:t>
            </w:r>
            <w:r>
              <w:rPr>
                <w:b/>
                <w:color w:val="105C84"/>
                <w:spacing w:val="9"/>
                <w:sz w:val="20"/>
              </w:rPr>
              <w:t> </w:t>
            </w:r>
            <w:r>
              <w:rPr>
                <w:b/>
                <w:color w:val="105C84"/>
                <w:sz w:val="20"/>
              </w:rPr>
              <w:t>enjoy</w:t>
            </w:r>
            <w:r>
              <w:rPr>
                <w:b/>
                <w:color w:val="105C84"/>
                <w:spacing w:val="9"/>
                <w:sz w:val="20"/>
              </w:rPr>
              <w:t> </w:t>
            </w:r>
            <w:r>
              <w:rPr>
                <w:b/>
                <w:color w:val="105C84"/>
                <w:sz w:val="20"/>
              </w:rPr>
              <w:t>the</w:t>
            </w:r>
            <w:r>
              <w:rPr>
                <w:b/>
                <w:color w:val="105C84"/>
                <w:spacing w:val="9"/>
                <w:sz w:val="20"/>
              </w:rPr>
              <w:t> </w:t>
            </w:r>
            <w:r>
              <w:rPr>
                <w:b/>
                <w:color w:val="105C84"/>
                <w:sz w:val="20"/>
              </w:rPr>
              <w:t>taste</w:t>
            </w:r>
            <w:r>
              <w:rPr>
                <w:b/>
                <w:color w:val="105C84"/>
                <w:spacing w:val="9"/>
                <w:sz w:val="20"/>
              </w:rPr>
              <w:t> </w:t>
            </w:r>
            <w:r>
              <w:rPr>
                <w:b/>
                <w:color w:val="105C84"/>
                <w:sz w:val="20"/>
              </w:rPr>
              <w:t>of</w:t>
            </w:r>
            <w:r>
              <w:rPr>
                <w:b/>
                <w:color w:val="105C84"/>
                <w:spacing w:val="9"/>
                <w:sz w:val="20"/>
              </w:rPr>
              <w:t> </w:t>
            </w:r>
            <w:r>
              <w:rPr>
                <w:b/>
                <w:color w:val="105C84"/>
                <w:sz w:val="20"/>
              </w:rPr>
              <w:t>healthy</w:t>
            </w:r>
            <w:r>
              <w:rPr>
                <w:b/>
                <w:color w:val="105C84"/>
                <w:spacing w:val="9"/>
                <w:sz w:val="20"/>
              </w:rPr>
              <w:t> </w:t>
            </w:r>
            <w:r>
              <w:rPr>
                <w:b/>
                <w:color w:val="105C84"/>
                <w:spacing w:val="-4"/>
                <w:sz w:val="20"/>
              </w:rPr>
              <w:t>food</w:t>
            </w:r>
          </w:p>
        </w:tc>
        <w:tc>
          <w:tcPr>
            <w:tcW w:w="1671" w:type="dxa"/>
            <w:shd w:val="clear" w:color="auto" w:fill="E9E9EA"/>
          </w:tcPr>
          <w:p>
            <w:pPr>
              <w:pStyle w:val="TableParagraph"/>
              <w:spacing w:before="59"/>
              <w:ind w:left="8"/>
              <w:jc w:val="center"/>
              <w:rPr>
                <w:sz w:val="20"/>
              </w:rPr>
            </w:pPr>
            <w:r>
              <w:rPr>
                <w:color w:val="00A79E"/>
                <w:spacing w:val="-5"/>
                <w:sz w:val="20"/>
              </w:rPr>
              <w:t>1%</w:t>
            </w:r>
          </w:p>
        </w:tc>
        <w:tc>
          <w:tcPr>
            <w:tcW w:w="1527" w:type="dxa"/>
            <w:shd w:val="clear" w:color="auto" w:fill="E9E9EA"/>
          </w:tcPr>
          <w:p>
            <w:pPr>
              <w:pStyle w:val="TableParagraph"/>
              <w:spacing w:before="59"/>
              <w:ind w:left="7"/>
              <w:jc w:val="center"/>
              <w:rPr>
                <w:sz w:val="20"/>
              </w:rPr>
            </w:pPr>
            <w:r>
              <w:rPr>
                <w:color w:val="82BF6A"/>
                <w:spacing w:val="-5"/>
                <w:sz w:val="20"/>
              </w:rPr>
              <w:t>5%</w:t>
            </w:r>
          </w:p>
        </w:tc>
        <w:tc>
          <w:tcPr>
            <w:tcW w:w="1308" w:type="dxa"/>
            <w:shd w:val="clear" w:color="auto" w:fill="E9E9EA"/>
          </w:tcPr>
          <w:p>
            <w:pPr>
              <w:pStyle w:val="TableParagraph"/>
              <w:spacing w:before="59"/>
              <w:ind w:left="7" w:right="1"/>
              <w:jc w:val="center"/>
              <w:rPr>
                <w:sz w:val="20"/>
              </w:rPr>
            </w:pPr>
            <w:r>
              <w:rPr>
                <w:color w:val="1C75BC"/>
                <w:spacing w:val="-5"/>
                <w:sz w:val="20"/>
              </w:rPr>
              <w:t>7%</w:t>
            </w:r>
          </w:p>
        </w:tc>
      </w:tr>
      <w:tr>
        <w:trPr>
          <w:trHeight w:val="578" w:hRule="atLeast"/>
        </w:trPr>
        <w:tc>
          <w:tcPr>
            <w:tcW w:w="5513" w:type="dxa"/>
          </w:tcPr>
          <w:p>
            <w:pPr>
              <w:pStyle w:val="TableParagraph"/>
              <w:spacing w:line="260" w:lineRule="atLeast" w:before="23"/>
              <w:ind w:left="91"/>
              <w:rPr>
                <w:b/>
                <w:sz w:val="20"/>
              </w:rPr>
            </w:pPr>
            <w:r>
              <w:rPr>
                <w:b/>
                <w:color w:val="105C84"/>
                <w:sz w:val="20"/>
              </w:rPr>
              <w:t>I really don’t have any barriers keeping me from </w:t>
            </w:r>
            <w:r>
              <w:rPr>
                <w:b/>
                <w:color w:val="105C84"/>
                <w:sz w:val="20"/>
              </w:rPr>
              <w:t>eating healthy food</w:t>
            </w:r>
          </w:p>
        </w:tc>
        <w:tc>
          <w:tcPr>
            <w:tcW w:w="1671" w:type="dxa"/>
          </w:tcPr>
          <w:p>
            <w:pPr>
              <w:pStyle w:val="TableParagraph"/>
              <w:spacing w:before="183"/>
              <w:ind w:left="8"/>
              <w:jc w:val="center"/>
              <w:rPr>
                <w:sz w:val="20"/>
              </w:rPr>
            </w:pPr>
            <w:r>
              <w:rPr>
                <w:color w:val="00A79E"/>
                <w:spacing w:val="-5"/>
                <w:sz w:val="20"/>
              </w:rPr>
              <w:t>20%</w:t>
            </w:r>
          </w:p>
        </w:tc>
        <w:tc>
          <w:tcPr>
            <w:tcW w:w="1527" w:type="dxa"/>
          </w:tcPr>
          <w:p>
            <w:pPr>
              <w:pStyle w:val="TableParagraph"/>
              <w:spacing w:before="183"/>
              <w:ind w:left="7"/>
              <w:jc w:val="center"/>
              <w:rPr>
                <w:sz w:val="20"/>
              </w:rPr>
            </w:pPr>
            <w:r>
              <w:rPr>
                <w:color w:val="82BF6A"/>
                <w:spacing w:val="-5"/>
                <w:sz w:val="20"/>
              </w:rPr>
              <w:t>32%</w:t>
            </w:r>
          </w:p>
        </w:tc>
        <w:tc>
          <w:tcPr>
            <w:tcW w:w="1308" w:type="dxa"/>
          </w:tcPr>
          <w:p>
            <w:pPr>
              <w:pStyle w:val="TableParagraph"/>
              <w:spacing w:before="183"/>
              <w:ind w:left="7"/>
              <w:jc w:val="center"/>
              <w:rPr>
                <w:sz w:val="20"/>
              </w:rPr>
            </w:pPr>
            <w:r>
              <w:rPr>
                <w:color w:val="1C75BC"/>
                <w:spacing w:val="-5"/>
                <w:sz w:val="20"/>
              </w:rPr>
              <w:t>36%</w:t>
            </w:r>
          </w:p>
        </w:tc>
      </w:tr>
      <w:tr>
        <w:trPr>
          <w:trHeight w:val="598" w:hRule="atLeast"/>
        </w:trPr>
        <w:tc>
          <w:tcPr>
            <w:tcW w:w="5513" w:type="dxa"/>
            <w:shd w:val="clear" w:color="auto" w:fill="E9E9EA"/>
          </w:tcPr>
          <w:p>
            <w:pPr>
              <w:pStyle w:val="TableParagraph"/>
              <w:spacing w:before="193"/>
              <w:ind w:left="91"/>
              <w:rPr>
                <w:b/>
                <w:sz w:val="20"/>
              </w:rPr>
            </w:pPr>
            <w:r>
              <w:rPr>
                <w:b/>
                <w:color w:val="105C84"/>
                <w:sz w:val="20"/>
              </w:rPr>
              <w:t>I</w:t>
            </w:r>
            <w:r>
              <w:rPr>
                <w:b/>
                <w:color w:val="105C84"/>
                <w:spacing w:val="10"/>
                <w:sz w:val="20"/>
              </w:rPr>
              <w:t> </w:t>
            </w:r>
            <w:r>
              <w:rPr>
                <w:b/>
                <w:color w:val="105C84"/>
                <w:sz w:val="20"/>
              </w:rPr>
              <w:t>don’t</w:t>
            </w:r>
            <w:r>
              <w:rPr>
                <w:b/>
                <w:color w:val="105C84"/>
                <w:spacing w:val="11"/>
                <w:sz w:val="20"/>
              </w:rPr>
              <w:t> </w:t>
            </w:r>
            <w:r>
              <w:rPr>
                <w:b/>
                <w:color w:val="105C84"/>
                <w:sz w:val="20"/>
              </w:rPr>
              <w:t>want</w:t>
            </w:r>
            <w:r>
              <w:rPr>
                <w:b/>
                <w:color w:val="105C84"/>
                <w:spacing w:val="10"/>
                <w:sz w:val="20"/>
              </w:rPr>
              <w:t> </w:t>
            </w:r>
            <w:r>
              <w:rPr>
                <w:b/>
                <w:color w:val="105C84"/>
                <w:sz w:val="20"/>
              </w:rPr>
              <w:t>or</w:t>
            </w:r>
            <w:r>
              <w:rPr>
                <w:b/>
                <w:color w:val="105C84"/>
                <w:spacing w:val="11"/>
                <w:sz w:val="20"/>
              </w:rPr>
              <w:t> </w:t>
            </w:r>
            <w:r>
              <w:rPr>
                <w:b/>
                <w:color w:val="105C84"/>
                <w:sz w:val="20"/>
              </w:rPr>
              <w:t>need</w:t>
            </w:r>
            <w:r>
              <w:rPr>
                <w:b/>
                <w:color w:val="105C84"/>
                <w:spacing w:val="10"/>
                <w:sz w:val="20"/>
              </w:rPr>
              <w:t> </w:t>
            </w:r>
            <w:r>
              <w:rPr>
                <w:b/>
                <w:color w:val="105C84"/>
                <w:sz w:val="20"/>
              </w:rPr>
              <w:t>to</w:t>
            </w:r>
            <w:r>
              <w:rPr>
                <w:b/>
                <w:color w:val="105C84"/>
                <w:spacing w:val="11"/>
                <w:sz w:val="20"/>
              </w:rPr>
              <w:t> </w:t>
            </w:r>
            <w:r>
              <w:rPr>
                <w:b/>
                <w:color w:val="105C84"/>
                <w:sz w:val="20"/>
              </w:rPr>
              <w:t>eat</w:t>
            </w:r>
            <w:r>
              <w:rPr>
                <w:b/>
                <w:color w:val="105C84"/>
                <w:spacing w:val="10"/>
                <w:sz w:val="20"/>
              </w:rPr>
              <w:t> </w:t>
            </w:r>
            <w:r>
              <w:rPr>
                <w:b/>
                <w:color w:val="105C84"/>
                <w:sz w:val="20"/>
              </w:rPr>
              <w:t>healthier</w:t>
            </w:r>
            <w:r>
              <w:rPr>
                <w:b/>
                <w:color w:val="105C84"/>
                <w:spacing w:val="11"/>
                <w:sz w:val="20"/>
              </w:rPr>
              <w:t> </w:t>
            </w:r>
            <w:r>
              <w:rPr>
                <w:b/>
                <w:color w:val="105C84"/>
                <w:sz w:val="20"/>
              </w:rPr>
              <w:t>than</w:t>
            </w:r>
            <w:r>
              <w:rPr>
                <w:b/>
                <w:color w:val="105C84"/>
                <w:spacing w:val="11"/>
                <w:sz w:val="20"/>
              </w:rPr>
              <w:t> </w:t>
            </w:r>
            <w:r>
              <w:rPr>
                <w:b/>
                <w:color w:val="105C84"/>
                <w:sz w:val="20"/>
              </w:rPr>
              <w:t>I</w:t>
            </w:r>
            <w:r>
              <w:rPr>
                <w:b/>
                <w:color w:val="105C84"/>
                <w:spacing w:val="10"/>
                <w:sz w:val="20"/>
              </w:rPr>
              <w:t> </w:t>
            </w:r>
            <w:r>
              <w:rPr>
                <w:b/>
                <w:color w:val="105C84"/>
                <w:sz w:val="20"/>
              </w:rPr>
              <w:t>already</w:t>
            </w:r>
            <w:r>
              <w:rPr>
                <w:b/>
                <w:color w:val="105C84"/>
                <w:spacing w:val="11"/>
                <w:sz w:val="20"/>
              </w:rPr>
              <w:t> </w:t>
            </w:r>
            <w:r>
              <w:rPr>
                <w:b/>
                <w:color w:val="105C84"/>
                <w:spacing w:val="-5"/>
                <w:sz w:val="20"/>
              </w:rPr>
              <w:t>do</w:t>
            </w:r>
          </w:p>
        </w:tc>
        <w:tc>
          <w:tcPr>
            <w:tcW w:w="1671" w:type="dxa"/>
            <w:shd w:val="clear" w:color="auto" w:fill="E9E9EA"/>
          </w:tcPr>
          <w:p>
            <w:pPr>
              <w:pStyle w:val="TableParagraph"/>
              <w:spacing w:before="193"/>
              <w:ind w:left="8"/>
              <w:jc w:val="center"/>
              <w:rPr>
                <w:sz w:val="20"/>
              </w:rPr>
            </w:pPr>
            <w:r>
              <w:rPr>
                <w:color w:val="00A79E"/>
                <w:spacing w:val="-5"/>
                <w:sz w:val="20"/>
              </w:rPr>
              <w:t>4%</w:t>
            </w:r>
          </w:p>
        </w:tc>
        <w:tc>
          <w:tcPr>
            <w:tcW w:w="1527" w:type="dxa"/>
            <w:shd w:val="clear" w:color="auto" w:fill="E9E9EA"/>
          </w:tcPr>
          <w:p>
            <w:pPr>
              <w:pStyle w:val="TableParagraph"/>
              <w:spacing w:before="193"/>
              <w:ind w:left="7"/>
              <w:jc w:val="center"/>
              <w:rPr>
                <w:sz w:val="20"/>
              </w:rPr>
            </w:pPr>
            <w:r>
              <w:rPr>
                <w:color w:val="82BF6A"/>
                <w:spacing w:val="-5"/>
                <w:sz w:val="20"/>
              </w:rPr>
              <w:t>8%</w:t>
            </w:r>
          </w:p>
        </w:tc>
        <w:tc>
          <w:tcPr>
            <w:tcW w:w="1308" w:type="dxa"/>
            <w:shd w:val="clear" w:color="auto" w:fill="E9E9EA"/>
          </w:tcPr>
          <w:p>
            <w:pPr>
              <w:pStyle w:val="TableParagraph"/>
              <w:spacing w:before="193"/>
              <w:ind w:left="7"/>
              <w:jc w:val="center"/>
              <w:rPr>
                <w:sz w:val="20"/>
              </w:rPr>
            </w:pPr>
            <w:r>
              <w:rPr>
                <w:color w:val="1C75BC"/>
                <w:spacing w:val="-5"/>
                <w:sz w:val="20"/>
              </w:rPr>
              <w:t>8%</w:t>
            </w:r>
          </w:p>
        </w:tc>
      </w:tr>
    </w:tbl>
    <w:p>
      <w:pPr>
        <w:spacing w:line="235" w:lineRule="auto" w:before="135"/>
        <w:ind w:left="1079" w:right="886" w:firstLine="0"/>
        <w:jc w:val="left"/>
        <w:rPr>
          <w:sz w:val="16"/>
        </w:rPr>
      </w:pPr>
      <w:r>
        <w:rPr>
          <w:color w:val="0C5D86"/>
          <w:sz w:val="16"/>
        </w:rPr>
        <w:t>Source:</w:t>
      </w:r>
      <w:r>
        <w:rPr>
          <w:color w:val="0C5D86"/>
          <w:spacing w:val="-4"/>
          <w:sz w:val="16"/>
        </w:rPr>
        <w:t> </w:t>
      </w:r>
      <w:r>
        <w:rPr>
          <w:color w:val="0C5D86"/>
          <w:sz w:val="16"/>
        </w:rPr>
        <w:t>My</w:t>
      </w:r>
      <w:r>
        <w:rPr>
          <w:color w:val="0C5D86"/>
          <w:spacing w:val="-4"/>
          <w:sz w:val="16"/>
        </w:rPr>
        <w:t> </w:t>
      </w:r>
      <w:r>
        <w:rPr>
          <w:color w:val="0C5D86"/>
          <w:sz w:val="16"/>
        </w:rPr>
        <w:t>Health</w:t>
      </w:r>
      <w:r>
        <w:rPr>
          <w:color w:val="0C5D86"/>
          <w:spacing w:val="-4"/>
          <w:sz w:val="16"/>
        </w:rPr>
        <w:t> </w:t>
      </w:r>
      <w:r>
        <w:rPr>
          <w:color w:val="0C5D86"/>
          <w:sz w:val="16"/>
        </w:rPr>
        <w:t>Story</w:t>
      </w:r>
      <w:r>
        <w:rPr>
          <w:color w:val="0C5D86"/>
          <w:spacing w:val="-4"/>
          <w:sz w:val="16"/>
        </w:rPr>
        <w:t> </w:t>
      </w:r>
      <w:r>
        <w:rPr>
          <w:color w:val="0C5D86"/>
          <w:sz w:val="16"/>
        </w:rPr>
        <w:t>survey</w:t>
      </w:r>
      <w:r>
        <w:rPr>
          <w:color w:val="0C5D86"/>
          <w:spacing w:val="-4"/>
          <w:sz w:val="16"/>
        </w:rPr>
        <w:t> </w:t>
      </w:r>
      <w:r>
        <w:rPr>
          <w:color w:val="0C5D86"/>
          <w:sz w:val="16"/>
        </w:rPr>
        <w:t>2018.</w:t>
      </w:r>
      <w:r>
        <w:rPr>
          <w:color w:val="0C5D86"/>
          <w:spacing w:val="-4"/>
          <w:sz w:val="16"/>
        </w:rPr>
        <w:t> </w:t>
      </w:r>
      <w:r>
        <w:rPr>
          <w:color w:val="0C5D86"/>
          <w:sz w:val="16"/>
        </w:rPr>
        <w:t>Analysis</w:t>
      </w:r>
      <w:r>
        <w:rPr>
          <w:color w:val="0C5D86"/>
          <w:spacing w:val="-4"/>
          <w:sz w:val="16"/>
        </w:rPr>
        <w:t> </w:t>
      </w:r>
      <w:r>
        <w:rPr>
          <w:color w:val="0C5D86"/>
          <w:sz w:val="16"/>
        </w:rPr>
        <w:t>by</w:t>
      </w:r>
      <w:r>
        <w:rPr>
          <w:color w:val="0C5D86"/>
          <w:spacing w:val="-4"/>
          <w:sz w:val="16"/>
        </w:rPr>
        <w:t> </w:t>
      </w:r>
      <w:r>
        <w:rPr>
          <w:color w:val="0C5D86"/>
          <w:sz w:val="16"/>
        </w:rPr>
        <w:t>Common</w:t>
      </w:r>
      <w:r>
        <w:rPr>
          <w:color w:val="0C5D86"/>
          <w:spacing w:val="-4"/>
          <w:sz w:val="16"/>
        </w:rPr>
        <w:t> </w:t>
      </w:r>
      <w:r>
        <w:rPr>
          <w:color w:val="0C5D86"/>
          <w:sz w:val="16"/>
        </w:rPr>
        <w:t>Ground</w:t>
      </w:r>
      <w:r>
        <w:rPr>
          <w:color w:val="0C5D86"/>
          <w:spacing w:val="-4"/>
          <w:sz w:val="16"/>
        </w:rPr>
        <w:t> </w:t>
      </w:r>
      <w:r>
        <w:rPr>
          <w:color w:val="0C5D86"/>
          <w:sz w:val="16"/>
        </w:rPr>
        <w:t>Health</w:t>
      </w:r>
      <w:r>
        <w:rPr>
          <w:color w:val="0C5D86"/>
          <w:spacing w:val="-4"/>
          <w:sz w:val="16"/>
        </w:rPr>
        <w:t> </w:t>
      </w:r>
      <w:r>
        <w:rPr>
          <w:color w:val="0C5D86"/>
          <w:sz w:val="16"/>
        </w:rPr>
        <w:t>incorporates</w:t>
      </w:r>
      <w:r>
        <w:rPr>
          <w:color w:val="0C5D86"/>
          <w:spacing w:val="-4"/>
          <w:sz w:val="16"/>
        </w:rPr>
        <w:t> </w:t>
      </w:r>
      <w:r>
        <w:rPr>
          <w:color w:val="0C5D86"/>
          <w:sz w:val="16"/>
        </w:rPr>
        <w:t>weighting</w:t>
      </w:r>
      <w:r>
        <w:rPr>
          <w:color w:val="0C5D86"/>
          <w:spacing w:val="-4"/>
          <w:sz w:val="16"/>
        </w:rPr>
        <w:t> </w:t>
      </w:r>
      <w:r>
        <w:rPr>
          <w:color w:val="0C5D86"/>
          <w:sz w:val="16"/>
        </w:rPr>
        <w:t>to</w:t>
      </w:r>
      <w:r>
        <w:rPr>
          <w:color w:val="0C5D86"/>
          <w:spacing w:val="-4"/>
          <w:sz w:val="16"/>
        </w:rPr>
        <w:t> </w:t>
      </w:r>
      <w:r>
        <w:rPr>
          <w:color w:val="0C5D86"/>
          <w:sz w:val="16"/>
        </w:rPr>
        <w:t>reflect</w:t>
      </w:r>
      <w:r>
        <w:rPr>
          <w:color w:val="0C5D86"/>
          <w:spacing w:val="-4"/>
          <w:sz w:val="16"/>
        </w:rPr>
        <w:t> </w:t>
      </w:r>
      <w:r>
        <w:rPr>
          <w:color w:val="0C5D86"/>
          <w:sz w:val="16"/>
        </w:rPr>
        <w:t>demographics</w:t>
      </w:r>
      <w:r>
        <w:rPr>
          <w:color w:val="0C5D86"/>
          <w:spacing w:val="-4"/>
          <w:sz w:val="16"/>
        </w:rPr>
        <w:t> </w:t>
      </w:r>
      <w:r>
        <w:rPr>
          <w:color w:val="0C5D86"/>
          <w:sz w:val="16"/>
        </w:rPr>
        <w:t>of each county and the region.</w:t>
      </w:r>
    </w:p>
    <w:p>
      <w:pPr>
        <w:pStyle w:val="BodyText"/>
        <w:rPr>
          <w:sz w:val="16"/>
        </w:rPr>
      </w:pPr>
    </w:p>
    <w:p>
      <w:pPr>
        <w:pStyle w:val="BodyText"/>
        <w:rPr>
          <w:sz w:val="16"/>
        </w:rPr>
      </w:pPr>
    </w:p>
    <w:p>
      <w:pPr>
        <w:pStyle w:val="BodyText"/>
        <w:spacing w:before="88"/>
        <w:rPr>
          <w:sz w:val="16"/>
        </w:rPr>
      </w:pPr>
    </w:p>
    <w:p>
      <w:pPr>
        <w:pStyle w:val="BodyText"/>
        <w:spacing w:line="247" w:lineRule="auto"/>
        <w:ind w:left="1079" w:right="110"/>
      </w:pPr>
      <w:r>
        <w:rPr>
          <w:color w:val="105C84"/>
        </w:rPr>
        <w:t>Physical activity is another contributing factor to obesity rates. Livingston County is home to an abundance of parks, trails and recreational opportunities which residents can take advantage of all year round. The most recent Behavioral Risk Factor Surveillance System (2016) estimated that 81% of residents engaged in physical activity in the past month, which is higher than the average for the region (75%). For those who did not partake in physical activity, </w:t>
      </w:r>
      <w:r>
        <w:rPr>
          <w:i/>
          <w:color w:val="105C84"/>
        </w:rPr>
        <w:t>My Health Story 2018 </w:t>
      </w:r>
      <w:r>
        <w:rPr>
          <w:color w:val="105C84"/>
        </w:rPr>
        <w:t>alludes to</w:t>
      </w:r>
    </w:p>
    <w:p>
      <w:pPr>
        <w:pStyle w:val="BodyText"/>
        <w:spacing w:line="247" w:lineRule="auto"/>
        <w:ind w:left="1079"/>
      </w:pPr>
      <w:r>
        <w:rPr>
          <w:color w:val="105C84"/>
        </w:rPr>
        <w:t>inability to afford a gym membership (31%), lack of time (40%) and feeling too tired to exercise (26%) as reasons they did not engage. The low income population was more likely to report in the survey inability to afford a gym membership (43%).</w:t>
      </w:r>
    </w:p>
    <w:p>
      <w:pPr>
        <w:pStyle w:val="BodyText"/>
        <w:spacing w:line="247" w:lineRule="auto" w:before="114"/>
        <w:ind w:left="1079" w:right="479"/>
      </w:pPr>
      <w:r>
        <w:rPr/>
        <w:br w:type="column"/>
      </w:r>
      <w:r>
        <w:rPr>
          <w:color w:val="105C84"/>
        </w:rPr>
        <w:t>During</w:t>
      </w:r>
      <w:r>
        <w:rPr>
          <w:color w:val="105C84"/>
          <w:spacing w:val="28"/>
        </w:rPr>
        <w:t> </w:t>
      </w:r>
      <w:r>
        <w:rPr>
          <w:color w:val="105C84"/>
        </w:rPr>
        <w:t>focus</w:t>
      </w:r>
      <w:r>
        <w:rPr>
          <w:color w:val="105C84"/>
          <w:spacing w:val="28"/>
        </w:rPr>
        <w:t> </w:t>
      </w:r>
      <w:r>
        <w:rPr>
          <w:color w:val="105C84"/>
        </w:rPr>
        <w:t>groups</w:t>
      </w:r>
      <w:r>
        <w:rPr>
          <w:color w:val="105C84"/>
          <w:spacing w:val="28"/>
        </w:rPr>
        <w:t> </w:t>
      </w:r>
      <w:r>
        <w:rPr>
          <w:color w:val="105C84"/>
        </w:rPr>
        <w:t>and</w:t>
      </w:r>
      <w:r>
        <w:rPr>
          <w:color w:val="105C84"/>
          <w:spacing w:val="28"/>
        </w:rPr>
        <w:t> </w:t>
      </w:r>
      <w:r>
        <w:rPr>
          <w:color w:val="105C84"/>
        </w:rPr>
        <w:t>leadership</w:t>
      </w:r>
      <w:r>
        <w:rPr>
          <w:color w:val="105C84"/>
          <w:spacing w:val="28"/>
        </w:rPr>
        <w:t> </w:t>
      </w:r>
      <w:r>
        <w:rPr>
          <w:color w:val="105C84"/>
        </w:rPr>
        <w:t>team</w:t>
      </w:r>
      <w:r>
        <w:rPr>
          <w:color w:val="105C84"/>
          <w:spacing w:val="28"/>
        </w:rPr>
        <w:t> </w:t>
      </w:r>
      <w:r>
        <w:rPr>
          <w:color w:val="105C84"/>
        </w:rPr>
        <w:t>meetings,</w:t>
      </w:r>
      <w:r>
        <w:rPr>
          <w:color w:val="105C84"/>
          <w:spacing w:val="28"/>
        </w:rPr>
        <w:t> </w:t>
      </w:r>
      <w:r>
        <w:rPr>
          <w:color w:val="105C84"/>
        </w:rPr>
        <w:t>mental</w:t>
      </w:r>
      <w:r>
        <w:rPr>
          <w:color w:val="105C84"/>
          <w:spacing w:val="28"/>
        </w:rPr>
        <w:t> </w:t>
      </w:r>
      <w:r>
        <w:rPr>
          <w:color w:val="105C84"/>
        </w:rPr>
        <w:t>well-being</w:t>
      </w:r>
      <w:r>
        <w:rPr>
          <w:color w:val="105C84"/>
          <w:spacing w:val="28"/>
        </w:rPr>
        <w:t> </w:t>
      </w:r>
      <w:r>
        <w:rPr>
          <w:color w:val="105C84"/>
        </w:rPr>
        <w:t>and</w:t>
      </w:r>
      <w:r>
        <w:rPr>
          <w:color w:val="105C84"/>
          <w:spacing w:val="28"/>
        </w:rPr>
        <w:t> </w:t>
      </w:r>
      <w:r>
        <w:rPr>
          <w:color w:val="105C84"/>
        </w:rPr>
        <w:t>substance</w:t>
      </w:r>
      <w:r>
        <w:rPr>
          <w:color w:val="105C84"/>
          <w:spacing w:val="28"/>
        </w:rPr>
        <w:t> </w:t>
      </w:r>
      <w:r>
        <w:rPr>
          <w:color w:val="105C84"/>
        </w:rPr>
        <w:t>use</w:t>
      </w:r>
      <w:r>
        <w:rPr>
          <w:color w:val="105C84"/>
          <w:spacing w:val="28"/>
        </w:rPr>
        <w:t> </w:t>
      </w:r>
      <w:r>
        <w:rPr>
          <w:color w:val="105C84"/>
        </w:rPr>
        <w:t>were noted</w:t>
      </w:r>
      <w:r>
        <w:rPr>
          <w:color w:val="105C84"/>
          <w:spacing w:val="24"/>
        </w:rPr>
        <w:t> </w:t>
      </w:r>
      <w:r>
        <w:rPr>
          <w:color w:val="105C84"/>
        </w:rPr>
        <w:t>as</w:t>
      </w:r>
      <w:r>
        <w:rPr>
          <w:color w:val="105C84"/>
          <w:spacing w:val="24"/>
        </w:rPr>
        <w:t> </w:t>
      </w:r>
      <w:r>
        <w:rPr>
          <w:color w:val="105C84"/>
        </w:rPr>
        <w:t>hot</w:t>
      </w:r>
      <w:r>
        <w:rPr>
          <w:color w:val="105C84"/>
          <w:spacing w:val="24"/>
        </w:rPr>
        <w:t> </w:t>
      </w:r>
      <w:r>
        <w:rPr>
          <w:color w:val="105C84"/>
        </w:rPr>
        <w:t>topics</w:t>
      </w:r>
      <w:r>
        <w:rPr>
          <w:color w:val="105C84"/>
          <w:spacing w:val="24"/>
        </w:rPr>
        <w:t> </w:t>
      </w:r>
      <w:r>
        <w:rPr>
          <w:color w:val="105C84"/>
        </w:rPr>
        <w:t>and</w:t>
      </w:r>
      <w:r>
        <w:rPr>
          <w:color w:val="105C84"/>
          <w:spacing w:val="24"/>
        </w:rPr>
        <w:t> </w:t>
      </w:r>
      <w:r>
        <w:rPr>
          <w:color w:val="105C84"/>
        </w:rPr>
        <w:t>areas</w:t>
      </w:r>
      <w:r>
        <w:rPr>
          <w:color w:val="105C84"/>
          <w:spacing w:val="24"/>
        </w:rPr>
        <w:t> </w:t>
      </w:r>
      <w:r>
        <w:rPr>
          <w:color w:val="105C84"/>
        </w:rPr>
        <w:t>of</w:t>
      </w:r>
      <w:r>
        <w:rPr>
          <w:color w:val="105C84"/>
          <w:spacing w:val="24"/>
        </w:rPr>
        <w:t> </w:t>
      </w:r>
      <w:r>
        <w:rPr>
          <w:color w:val="105C84"/>
        </w:rPr>
        <w:t>concern</w:t>
      </w:r>
      <w:r>
        <w:rPr>
          <w:color w:val="105C84"/>
          <w:spacing w:val="24"/>
        </w:rPr>
        <w:t> </w:t>
      </w:r>
      <w:r>
        <w:rPr>
          <w:color w:val="105C84"/>
        </w:rPr>
        <w:t>for</w:t>
      </w:r>
      <w:r>
        <w:rPr>
          <w:color w:val="105C84"/>
          <w:spacing w:val="24"/>
        </w:rPr>
        <w:t> </w:t>
      </w:r>
      <w:r>
        <w:rPr>
          <w:color w:val="105C84"/>
        </w:rPr>
        <w:t>Livingston</w:t>
      </w:r>
      <w:r>
        <w:rPr>
          <w:color w:val="105C84"/>
          <w:spacing w:val="24"/>
        </w:rPr>
        <w:t> </w:t>
      </w:r>
      <w:r>
        <w:rPr>
          <w:color w:val="105C84"/>
        </w:rPr>
        <w:t>County</w:t>
      </w:r>
      <w:r>
        <w:rPr>
          <w:color w:val="105C84"/>
          <w:spacing w:val="24"/>
        </w:rPr>
        <w:t> </w:t>
      </w:r>
      <w:r>
        <w:rPr>
          <w:color w:val="105C84"/>
        </w:rPr>
        <w:t>residents.</w:t>
      </w:r>
      <w:r>
        <w:rPr>
          <w:color w:val="105C84"/>
          <w:spacing w:val="24"/>
        </w:rPr>
        <w:t> </w:t>
      </w:r>
      <w:r>
        <w:rPr>
          <w:color w:val="105C84"/>
        </w:rPr>
        <w:t>Data</w:t>
      </w:r>
      <w:r>
        <w:rPr>
          <w:color w:val="105C84"/>
          <w:spacing w:val="24"/>
        </w:rPr>
        <w:t> </w:t>
      </w:r>
      <w:r>
        <w:rPr>
          <w:color w:val="105C84"/>
        </w:rPr>
        <w:t>from</w:t>
      </w:r>
      <w:r>
        <w:rPr>
          <w:color w:val="105C84"/>
          <w:spacing w:val="24"/>
        </w:rPr>
        <w:t> </w:t>
      </w:r>
      <w:r>
        <w:rPr>
          <w:color w:val="105C84"/>
        </w:rPr>
        <w:t>the</w:t>
      </w:r>
      <w:r>
        <w:rPr>
          <w:color w:val="105C84"/>
          <w:spacing w:val="24"/>
        </w:rPr>
        <w:t> </w:t>
      </w:r>
      <w:r>
        <w:rPr>
          <w:color w:val="105C84"/>
        </w:rPr>
        <w:t>quarterly New York State Opioid Reporting indicated a 15% increase in opioid overdose deaths in the county from 2016 (N=11) to 2017 (N=13). To date, data show an increase in deaths for the first two quarters</w:t>
      </w:r>
      <w:r>
        <w:rPr>
          <w:color w:val="105C84"/>
          <w:spacing w:val="40"/>
        </w:rPr>
        <w:t> </w:t>
      </w:r>
      <w:r>
        <w:rPr>
          <w:color w:val="105C84"/>
        </w:rPr>
        <w:t>of 2018. It is unknown at this time if this trend continued throughout the rest of the year. However, it should be noted that this is different from surrounding counties where many have seen a decrease in deaths in the first two quarters.</w:t>
      </w:r>
    </w:p>
    <w:p>
      <w:pPr>
        <w:pStyle w:val="BodyText"/>
        <w:spacing w:line="247" w:lineRule="auto" w:before="176"/>
        <w:ind w:left="1079" w:right="479"/>
      </w:pPr>
      <w:r>
        <w:rPr>
          <w:color w:val="105C84"/>
        </w:rPr>
        <w:t>Two areas that may help to alleviate substance use disorders and deaths are chemical dependence treatment</w:t>
      </w:r>
      <w:r>
        <w:rPr>
          <w:color w:val="105C84"/>
          <w:spacing w:val="30"/>
        </w:rPr>
        <w:t> </w:t>
      </w:r>
      <w:r>
        <w:rPr>
          <w:color w:val="105C84"/>
        </w:rPr>
        <w:t>programs</w:t>
      </w:r>
      <w:r>
        <w:rPr>
          <w:color w:val="105C84"/>
          <w:spacing w:val="30"/>
        </w:rPr>
        <w:t> </w:t>
      </w:r>
      <w:r>
        <w:rPr>
          <w:color w:val="105C84"/>
        </w:rPr>
        <w:t>and</w:t>
      </w:r>
      <w:r>
        <w:rPr>
          <w:color w:val="105C84"/>
          <w:spacing w:val="30"/>
        </w:rPr>
        <w:t> </w:t>
      </w:r>
      <w:r>
        <w:rPr>
          <w:color w:val="105C84"/>
        </w:rPr>
        <w:t>Naloxone</w:t>
      </w:r>
      <w:r>
        <w:rPr>
          <w:color w:val="105C84"/>
          <w:spacing w:val="30"/>
        </w:rPr>
        <w:t> </w:t>
      </w:r>
      <w:r>
        <w:rPr>
          <w:color w:val="105C84"/>
        </w:rPr>
        <w:t>administrations.</w:t>
      </w:r>
      <w:r>
        <w:rPr>
          <w:color w:val="105C84"/>
          <w:spacing w:val="30"/>
        </w:rPr>
        <w:t> </w:t>
      </w:r>
      <w:r>
        <w:rPr>
          <w:color w:val="105C84"/>
        </w:rPr>
        <w:t>In</w:t>
      </w:r>
      <w:r>
        <w:rPr>
          <w:color w:val="105C84"/>
          <w:spacing w:val="30"/>
        </w:rPr>
        <w:t> </w:t>
      </w:r>
      <w:r>
        <w:rPr>
          <w:color w:val="105C84"/>
        </w:rPr>
        <w:t>terms</w:t>
      </w:r>
      <w:r>
        <w:rPr>
          <w:color w:val="105C84"/>
          <w:spacing w:val="30"/>
        </w:rPr>
        <w:t> </w:t>
      </w:r>
      <w:r>
        <w:rPr>
          <w:color w:val="105C84"/>
        </w:rPr>
        <w:t>of</w:t>
      </w:r>
      <w:r>
        <w:rPr>
          <w:color w:val="105C84"/>
          <w:spacing w:val="30"/>
        </w:rPr>
        <w:t> </w:t>
      </w:r>
      <w:r>
        <w:rPr>
          <w:color w:val="105C84"/>
        </w:rPr>
        <w:t>treatment</w:t>
      </w:r>
      <w:r>
        <w:rPr>
          <w:color w:val="105C84"/>
          <w:spacing w:val="30"/>
        </w:rPr>
        <w:t> </w:t>
      </w:r>
      <w:r>
        <w:rPr>
          <w:color w:val="105C84"/>
        </w:rPr>
        <w:t>centers,</w:t>
      </w:r>
      <w:r>
        <w:rPr>
          <w:color w:val="105C84"/>
          <w:spacing w:val="30"/>
        </w:rPr>
        <w:t> </w:t>
      </w:r>
      <w:r>
        <w:rPr>
          <w:color w:val="105C84"/>
        </w:rPr>
        <w:t>the</w:t>
      </w:r>
      <w:r>
        <w:rPr>
          <w:color w:val="105C84"/>
          <w:spacing w:val="30"/>
        </w:rPr>
        <w:t> </w:t>
      </w:r>
      <w:r>
        <w:rPr>
          <w:color w:val="105C84"/>
        </w:rPr>
        <w:t>New</w:t>
      </w:r>
      <w:r>
        <w:rPr>
          <w:color w:val="105C84"/>
          <w:spacing w:val="30"/>
        </w:rPr>
        <w:t> </w:t>
      </w:r>
      <w:r>
        <w:rPr>
          <w:color w:val="105C84"/>
        </w:rPr>
        <w:t>York</w:t>
      </w:r>
      <w:r>
        <w:rPr>
          <w:color w:val="105C84"/>
        </w:rPr>
        <w:t> State Department of Health tracks and reports the number of OASAS-certified chemical dependence</w:t>
      </w:r>
      <w:r>
        <w:rPr>
          <w:color w:val="105C84"/>
          <w:spacing w:val="40"/>
        </w:rPr>
        <w:t> </w:t>
      </w:r>
      <w:r>
        <w:rPr>
          <w:color w:val="105C84"/>
        </w:rPr>
        <w:t>treatment program admissions and reports this data through quarterly reports. In Livingston County,</w:t>
      </w:r>
      <w:r>
        <w:rPr>
          <w:color w:val="105C84"/>
          <w:spacing w:val="40"/>
        </w:rPr>
        <w:t> </w:t>
      </w:r>
      <w:r>
        <w:rPr>
          <w:color w:val="105C84"/>
        </w:rPr>
        <w:t>admissions increased from 288 in 2016 to 298 in 2017. The increase in support for residents may</w:t>
      </w:r>
    </w:p>
    <w:p>
      <w:pPr>
        <w:pStyle w:val="BodyText"/>
        <w:spacing w:line="247" w:lineRule="auto"/>
        <w:ind w:left="1079" w:right="654"/>
      </w:pPr>
      <w:r>
        <w:rPr>
          <w:color w:val="105C84"/>
        </w:rPr>
        <w:t>help</w:t>
      </w:r>
      <w:r>
        <w:rPr>
          <w:color w:val="105C84"/>
          <w:spacing w:val="22"/>
        </w:rPr>
        <w:t> </w:t>
      </w:r>
      <w:r>
        <w:rPr>
          <w:color w:val="105C84"/>
        </w:rPr>
        <w:t>to</w:t>
      </w:r>
      <w:r>
        <w:rPr>
          <w:color w:val="105C84"/>
          <w:spacing w:val="22"/>
        </w:rPr>
        <w:t> </w:t>
      </w:r>
      <w:r>
        <w:rPr>
          <w:color w:val="105C84"/>
        </w:rPr>
        <w:t>alleviate</w:t>
      </w:r>
      <w:r>
        <w:rPr>
          <w:color w:val="105C84"/>
          <w:spacing w:val="22"/>
        </w:rPr>
        <w:t> </w:t>
      </w:r>
      <w:r>
        <w:rPr>
          <w:color w:val="105C84"/>
        </w:rPr>
        <w:t>the</w:t>
      </w:r>
      <w:r>
        <w:rPr>
          <w:color w:val="105C84"/>
          <w:spacing w:val="22"/>
        </w:rPr>
        <w:t> </w:t>
      </w:r>
      <w:r>
        <w:rPr>
          <w:color w:val="105C84"/>
        </w:rPr>
        <w:t>number</w:t>
      </w:r>
      <w:r>
        <w:rPr>
          <w:color w:val="105C84"/>
          <w:spacing w:val="22"/>
        </w:rPr>
        <w:t> </w:t>
      </w:r>
      <w:r>
        <w:rPr>
          <w:color w:val="105C84"/>
        </w:rPr>
        <w:t>of</w:t>
      </w:r>
      <w:r>
        <w:rPr>
          <w:color w:val="105C84"/>
          <w:spacing w:val="22"/>
        </w:rPr>
        <w:t> </w:t>
      </w:r>
      <w:r>
        <w:rPr>
          <w:color w:val="105C84"/>
        </w:rPr>
        <w:t>deaths</w:t>
      </w:r>
      <w:r>
        <w:rPr>
          <w:color w:val="105C84"/>
          <w:spacing w:val="22"/>
        </w:rPr>
        <w:t> </w:t>
      </w:r>
      <w:r>
        <w:rPr>
          <w:color w:val="105C84"/>
        </w:rPr>
        <w:t>that</w:t>
      </w:r>
      <w:r>
        <w:rPr>
          <w:color w:val="105C84"/>
          <w:spacing w:val="22"/>
        </w:rPr>
        <w:t> </w:t>
      </w:r>
      <w:r>
        <w:rPr>
          <w:color w:val="105C84"/>
        </w:rPr>
        <w:t>occur</w:t>
      </w:r>
      <w:r>
        <w:rPr>
          <w:color w:val="105C84"/>
          <w:spacing w:val="22"/>
        </w:rPr>
        <w:t> </w:t>
      </w:r>
      <w:r>
        <w:rPr>
          <w:color w:val="105C84"/>
        </w:rPr>
        <w:t>in</w:t>
      </w:r>
      <w:r>
        <w:rPr>
          <w:color w:val="105C84"/>
          <w:spacing w:val="22"/>
        </w:rPr>
        <w:t> </w:t>
      </w:r>
      <w:r>
        <w:rPr>
          <w:color w:val="105C84"/>
        </w:rPr>
        <w:t>the</w:t>
      </w:r>
      <w:r>
        <w:rPr>
          <w:color w:val="105C84"/>
          <w:spacing w:val="22"/>
        </w:rPr>
        <w:t> </w:t>
      </w:r>
      <w:r>
        <w:rPr>
          <w:color w:val="105C84"/>
        </w:rPr>
        <w:t>future.</w:t>
      </w:r>
      <w:r>
        <w:rPr>
          <w:color w:val="105C84"/>
          <w:spacing w:val="22"/>
        </w:rPr>
        <w:t> </w:t>
      </w:r>
      <w:r>
        <w:rPr>
          <w:color w:val="105C84"/>
        </w:rPr>
        <w:t>In</w:t>
      </w:r>
      <w:r>
        <w:rPr>
          <w:color w:val="105C84"/>
          <w:spacing w:val="22"/>
        </w:rPr>
        <w:t> </w:t>
      </w:r>
      <w:r>
        <w:rPr>
          <w:color w:val="105C84"/>
        </w:rPr>
        <w:t>addition,</w:t>
      </w:r>
      <w:r>
        <w:rPr>
          <w:color w:val="105C84"/>
          <w:spacing w:val="22"/>
        </w:rPr>
        <w:t> </w:t>
      </w:r>
      <w:r>
        <w:rPr>
          <w:color w:val="105C84"/>
        </w:rPr>
        <w:t>documented</w:t>
      </w:r>
      <w:r>
        <w:rPr>
          <w:color w:val="105C84"/>
          <w:spacing w:val="22"/>
        </w:rPr>
        <w:t> </w:t>
      </w:r>
      <w:r>
        <w:rPr>
          <w:color w:val="105C84"/>
        </w:rPr>
        <w:t>Naloxone administrations have increased from 43 in 2016 to 57 in 2017. Important to note, however, is that these reports do not include undocumented administrations, which may be completed by family,</w:t>
      </w:r>
      <w:r>
        <w:rPr>
          <w:color w:val="105C84"/>
          <w:spacing w:val="80"/>
        </w:rPr>
        <w:t> </w:t>
      </w:r>
      <w:r>
        <w:rPr>
          <w:color w:val="105C84"/>
        </w:rPr>
        <w:t>friends or bystanders.</w:t>
      </w:r>
    </w:p>
    <w:p>
      <w:pPr>
        <w:pStyle w:val="BodyText"/>
        <w:spacing w:line="247" w:lineRule="auto" w:before="175"/>
        <w:ind w:left="1079" w:right="654"/>
      </w:pPr>
      <w:r>
        <w:rPr>
          <w:color w:val="105C84"/>
        </w:rPr>
        <w:t>The Livingston County Health Department and its partners have worked diligently over the past</w:t>
      </w:r>
      <w:r>
        <w:rPr>
          <w:color w:val="105C84"/>
          <w:spacing w:val="40"/>
        </w:rPr>
        <w:t> </w:t>
      </w:r>
      <w:r>
        <w:rPr>
          <w:color w:val="105C84"/>
        </w:rPr>
        <w:t>several years to help reduce mental and substance use disorders. The Suicide Prevention Coalition of the Genesee Valley Health Partnership formed in 2013 and continues to enhance capacity of</w:t>
      </w:r>
    </w:p>
    <w:p>
      <w:pPr>
        <w:pStyle w:val="BodyText"/>
        <w:spacing w:line="247" w:lineRule="auto"/>
        <w:ind w:left="1079" w:right="499"/>
      </w:pPr>
      <w:r>
        <w:rPr>
          <w:color w:val="105C84"/>
        </w:rPr>
        <w:t>the coalition, provide post-invention services, conduct evidence-based trainings in the community,</w:t>
      </w:r>
      <w:r>
        <w:rPr>
          <w:color w:val="105C84"/>
          <w:spacing w:val="80"/>
        </w:rPr>
        <w:t> </w:t>
      </w:r>
      <w:r>
        <w:rPr>
          <w:color w:val="105C84"/>
        </w:rPr>
        <w:t>and enhance awareness of services to reduce suicides in the county. Their work, however, is not yet done as mental well-being remains a concern in the county. Rates of adults reporting poor mental health</w:t>
      </w:r>
      <w:r>
        <w:rPr>
          <w:color w:val="105C84"/>
          <w:spacing w:val="-1"/>
        </w:rPr>
        <w:t> </w:t>
      </w:r>
      <w:r>
        <w:rPr>
          <w:color w:val="105C84"/>
        </w:rPr>
        <w:t>days</w:t>
      </w:r>
      <w:r>
        <w:rPr>
          <w:color w:val="105C84"/>
          <w:spacing w:val="-1"/>
        </w:rPr>
        <w:t> </w:t>
      </w:r>
      <w:r>
        <w:rPr>
          <w:color w:val="105C84"/>
        </w:rPr>
        <w:t>in</w:t>
      </w:r>
      <w:r>
        <w:rPr>
          <w:color w:val="105C84"/>
          <w:spacing w:val="-1"/>
        </w:rPr>
        <w:t> </w:t>
      </w:r>
      <w:r>
        <w:rPr>
          <w:color w:val="105C84"/>
        </w:rPr>
        <w:t>the</w:t>
      </w:r>
      <w:r>
        <w:rPr>
          <w:color w:val="105C84"/>
          <w:spacing w:val="-1"/>
        </w:rPr>
        <w:t> </w:t>
      </w:r>
      <w:r>
        <w:rPr>
          <w:color w:val="105C84"/>
        </w:rPr>
        <w:t>past</w:t>
      </w:r>
      <w:r>
        <w:rPr>
          <w:color w:val="105C84"/>
          <w:spacing w:val="-1"/>
        </w:rPr>
        <w:t> </w:t>
      </w:r>
      <w:r>
        <w:rPr>
          <w:color w:val="105C84"/>
        </w:rPr>
        <w:t>month</w:t>
      </w:r>
      <w:r>
        <w:rPr>
          <w:color w:val="105C84"/>
          <w:spacing w:val="-1"/>
        </w:rPr>
        <w:t> </w:t>
      </w:r>
      <w:r>
        <w:rPr>
          <w:color w:val="105C84"/>
        </w:rPr>
        <w:t>have</w:t>
      </w:r>
      <w:r>
        <w:rPr>
          <w:color w:val="105C84"/>
          <w:spacing w:val="-1"/>
        </w:rPr>
        <w:t> </w:t>
      </w:r>
      <w:r>
        <w:rPr>
          <w:color w:val="105C84"/>
        </w:rPr>
        <w:t>increased</w:t>
      </w:r>
      <w:r>
        <w:rPr>
          <w:color w:val="105C84"/>
          <w:spacing w:val="-1"/>
        </w:rPr>
        <w:t> </w:t>
      </w:r>
      <w:r>
        <w:rPr>
          <w:color w:val="105C84"/>
        </w:rPr>
        <w:t>from</w:t>
      </w:r>
      <w:r>
        <w:rPr>
          <w:color w:val="105C84"/>
          <w:spacing w:val="-1"/>
        </w:rPr>
        <w:t> </w:t>
      </w:r>
      <w:r>
        <w:rPr>
          <w:color w:val="105C84"/>
        </w:rPr>
        <w:t>12%</w:t>
      </w:r>
      <w:r>
        <w:rPr>
          <w:color w:val="105C84"/>
          <w:spacing w:val="-1"/>
        </w:rPr>
        <w:t> </w:t>
      </w:r>
      <w:r>
        <w:rPr>
          <w:color w:val="105C84"/>
        </w:rPr>
        <w:t>in</w:t>
      </w:r>
      <w:r>
        <w:rPr>
          <w:color w:val="105C84"/>
          <w:spacing w:val="-1"/>
        </w:rPr>
        <w:t> </w:t>
      </w:r>
      <w:r>
        <w:rPr>
          <w:color w:val="105C84"/>
        </w:rPr>
        <w:t>2013-2014</w:t>
      </w:r>
      <w:r>
        <w:rPr>
          <w:color w:val="105C84"/>
          <w:spacing w:val="-1"/>
        </w:rPr>
        <w:t> </w:t>
      </w:r>
      <w:r>
        <w:rPr>
          <w:color w:val="105C84"/>
        </w:rPr>
        <w:t>to</w:t>
      </w:r>
      <w:r>
        <w:rPr>
          <w:color w:val="105C84"/>
          <w:spacing w:val="-1"/>
        </w:rPr>
        <w:t> </w:t>
      </w:r>
      <w:r>
        <w:rPr>
          <w:color w:val="105C84"/>
        </w:rPr>
        <w:t>14%</w:t>
      </w:r>
      <w:r>
        <w:rPr>
          <w:color w:val="105C84"/>
          <w:spacing w:val="-1"/>
        </w:rPr>
        <w:t> </w:t>
      </w:r>
      <w:r>
        <w:rPr>
          <w:color w:val="105C84"/>
        </w:rPr>
        <w:t>in</w:t>
      </w:r>
      <w:r>
        <w:rPr>
          <w:color w:val="105C84"/>
          <w:spacing w:val="-1"/>
        </w:rPr>
        <w:t> </w:t>
      </w:r>
      <w:r>
        <w:rPr>
          <w:color w:val="105C84"/>
        </w:rPr>
        <w:t>2016.</w:t>
      </w:r>
      <w:r>
        <w:rPr>
          <w:color w:val="105C84"/>
          <w:position w:val="7"/>
          <w:sz w:val="13"/>
        </w:rPr>
        <w:t>23</w:t>
      </w:r>
      <w:r>
        <w:rPr>
          <w:color w:val="105C84"/>
          <w:spacing w:val="23"/>
          <w:position w:val="7"/>
          <w:sz w:val="13"/>
        </w:rPr>
        <w:t> </w:t>
      </w:r>
      <w:r>
        <w:rPr>
          <w:color w:val="105C84"/>
        </w:rPr>
        <w:t>Almost</w:t>
      </w:r>
      <w:r>
        <w:rPr>
          <w:color w:val="105C84"/>
          <w:spacing w:val="-1"/>
        </w:rPr>
        <w:t> </w:t>
      </w:r>
      <w:r>
        <w:rPr>
          <w:color w:val="105C84"/>
        </w:rPr>
        <w:t>half</w:t>
      </w:r>
      <w:r>
        <w:rPr>
          <w:color w:val="105C84"/>
          <w:spacing w:val="-1"/>
        </w:rPr>
        <w:t> </w:t>
      </w:r>
      <w:r>
        <w:rPr>
          <w:color w:val="105C84"/>
        </w:rPr>
        <w:t>of county</w:t>
      </w:r>
      <w:r>
        <w:rPr>
          <w:color w:val="105C84"/>
          <w:spacing w:val="26"/>
        </w:rPr>
        <w:t> </w:t>
      </w:r>
      <w:r>
        <w:rPr>
          <w:color w:val="105C84"/>
        </w:rPr>
        <w:t>respondents</w:t>
      </w:r>
      <w:r>
        <w:rPr>
          <w:color w:val="105C84"/>
          <w:spacing w:val="26"/>
        </w:rPr>
        <w:t> </w:t>
      </w:r>
      <w:r>
        <w:rPr>
          <w:color w:val="105C84"/>
        </w:rPr>
        <w:t>to</w:t>
      </w:r>
      <w:r>
        <w:rPr>
          <w:color w:val="105C84"/>
          <w:spacing w:val="26"/>
        </w:rPr>
        <w:t> </w:t>
      </w:r>
      <w:r>
        <w:rPr>
          <w:i/>
          <w:color w:val="105C84"/>
        </w:rPr>
        <w:t>My</w:t>
      </w:r>
      <w:r>
        <w:rPr>
          <w:i/>
          <w:color w:val="105C84"/>
          <w:spacing w:val="26"/>
        </w:rPr>
        <w:t> </w:t>
      </w:r>
      <w:r>
        <w:rPr>
          <w:i/>
          <w:color w:val="105C84"/>
        </w:rPr>
        <w:t>Health</w:t>
      </w:r>
      <w:r>
        <w:rPr>
          <w:i/>
          <w:color w:val="105C84"/>
          <w:spacing w:val="26"/>
        </w:rPr>
        <w:t> </w:t>
      </w:r>
      <w:r>
        <w:rPr>
          <w:i/>
          <w:color w:val="105C84"/>
        </w:rPr>
        <w:t>Story</w:t>
      </w:r>
      <w:r>
        <w:rPr>
          <w:i/>
          <w:color w:val="105C84"/>
          <w:spacing w:val="26"/>
        </w:rPr>
        <w:t> </w:t>
      </w:r>
      <w:r>
        <w:rPr>
          <w:i/>
          <w:color w:val="105C84"/>
        </w:rPr>
        <w:t>2018</w:t>
      </w:r>
      <w:r>
        <w:rPr>
          <w:i/>
          <w:color w:val="105C84"/>
          <w:spacing w:val="26"/>
        </w:rPr>
        <w:t> </w:t>
      </w:r>
      <w:r>
        <w:rPr>
          <w:color w:val="105C84"/>
        </w:rPr>
        <w:t>indicated</w:t>
      </w:r>
      <w:r>
        <w:rPr>
          <w:color w:val="105C84"/>
          <w:spacing w:val="26"/>
        </w:rPr>
        <w:t> </w:t>
      </w:r>
      <w:r>
        <w:rPr>
          <w:color w:val="105C84"/>
        </w:rPr>
        <w:t>they</w:t>
      </w:r>
      <w:r>
        <w:rPr>
          <w:color w:val="105C84"/>
          <w:spacing w:val="26"/>
        </w:rPr>
        <w:t> </w:t>
      </w:r>
      <w:r>
        <w:rPr>
          <w:color w:val="105C84"/>
        </w:rPr>
        <w:t>have</w:t>
      </w:r>
      <w:r>
        <w:rPr>
          <w:color w:val="105C84"/>
          <w:spacing w:val="26"/>
        </w:rPr>
        <w:t> </w:t>
      </w:r>
      <w:r>
        <w:rPr>
          <w:color w:val="105C84"/>
        </w:rPr>
        <w:t>personally</w:t>
      </w:r>
      <w:r>
        <w:rPr>
          <w:color w:val="105C84"/>
          <w:spacing w:val="26"/>
        </w:rPr>
        <w:t> </w:t>
      </w:r>
      <w:r>
        <w:rPr>
          <w:color w:val="105C84"/>
        </w:rPr>
        <w:t>dealt</w:t>
      </w:r>
      <w:r>
        <w:rPr>
          <w:color w:val="105C84"/>
          <w:spacing w:val="26"/>
        </w:rPr>
        <w:t> </w:t>
      </w:r>
      <w:r>
        <w:rPr>
          <w:color w:val="105C84"/>
        </w:rPr>
        <w:t>with</w:t>
      </w:r>
      <w:r>
        <w:rPr>
          <w:color w:val="105C84"/>
          <w:spacing w:val="26"/>
        </w:rPr>
        <w:t> </w:t>
      </w:r>
      <w:r>
        <w:rPr>
          <w:color w:val="105C84"/>
        </w:rPr>
        <w:t>depression</w:t>
      </w:r>
      <w:r>
        <w:rPr>
          <w:color w:val="105C84"/>
        </w:rPr>
        <w:t> or sadness. Many others also reported they have personally dealt with mental or emotional health issues, and 79% of them said they received the help they needed. The most commonly reported support was from doctors, counselors and other mental health professionals (80%) followed by support from friends (52%) and family (51%).</w:t>
      </w:r>
    </w:p>
    <w:p>
      <w:pPr>
        <w:pStyle w:val="BodyText"/>
        <w:spacing w:before="12"/>
      </w:pPr>
    </w:p>
    <w:p>
      <w:pPr>
        <w:pStyle w:val="Heading6"/>
      </w:pPr>
      <w:r>
        <w:rPr>
          <w:color w:val="105C84"/>
          <w:spacing w:val="-6"/>
        </w:rPr>
        <w:t>Policy</w:t>
      </w:r>
      <w:r>
        <w:rPr>
          <w:color w:val="105C84"/>
          <w:spacing w:val="-8"/>
        </w:rPr>
        <w:t> </w:t>
      </w:r>
      <w:r>
        <w:rPr>
          <w:color w:val="105C84"/>
          <w:spacing w:val="-6"/>
        </w:rPr>
        <w:t>and</w:t>
      </w:r>
      <w:r>
        <w:rPr>
          <w:color w:val="105C84"/>
          <w:spacing w:val="-8"/>
        </w:rPr>
        <w:t> </w:t>
      </w:r>
      <w:r>
        <w:rPr>
          <w:color w:val="105C84"/>
          <w:spacing w:val="-6"/>
        </w:rPr>
        <w:t>Environmental</w:t>
      </w:r>
      <w:r>
        <w:rPr>
          <w:color w:val="105C84"/>
          <w:spacing w:val="-8"/>
        </w:rPr>
        <w:t> </w:t>
      </w:r>
      <w:r>
        <w:rPr>
          <w:color w:val="105C84"/>
          <w:spacing w:val="-6"/>
        </w:rPr>
        <w:t>Factors</w:t>
      </w:r>
    </w:p>
    <w:p>
      <w:pPr>
        <w:pStyle w:val="BodyText"/>
        <w:spacing w:line="247" w:lineRule="auto" w:before="269"/>
        <w:ind w:left="1080" w:right="1050"/>
      </w:pPr>
      <w:r>
        <w:rPr>
          <w:color w:val="105C84"/>
        </w:rPr>
        <w:t>Livingston County health officials and partners have worked to promote healthy living through</w:t>
      </w:r>
      <w:r>
        <w:rPr>
          <w:color w:val="105C84"/>
          <w:spacing w:val="40"/>
        </w:rPr>
        <w:t> </w:t>
      </w:r>
      <w:r>
        <w:rPr>
          <w:color w:val="105C84"/>
        </w:rPr>
        <w:t>various systems. Be Well in Livingston, a workgroup comprised of community members and community partners, continues to focus on chronic disease prevention by working to decrease obesity rates among residents in high need areas of the county through policy, systems and environmental change. The slogan of the initiative is “Eat Better, Move More and Stress Less.”</w:t>
      </w:r>
    </w:p>
    <w:p>
      <w:pPr>
        <w:pStyle w:val="BodyText"/>
        <w:spacing w:line="247" w:lineRule="auto" w:before="177"/>
        <w:ind w:left="1080" w:right="479"/>
      </w:pPr>
      <w:r>
        <w:rPr>
          <w:color w:val="105C84"/>
        </w:rPr>
        <w:t>In</w:t>
      </w:r>
      <w:r>
        <w:rPr>
          <w:color w:val="105C84"/>
          <w:spacing w:val="36"/>
        </w:rPr>
        <w:t> </w:t>
      </w:r>
      <w:r>
        <w:rPr>
          <w:color w:val="105C84"/>
        </w:rPr>
        <w:t>2016,</w:t>
      </w:r>
      <w:r>
        <w:rPr>
          <w:color w:val="105C84"/>
          <w:spacing w:val="36"/>
        </w:rPr>
        <w:t> </w:t>
      </w:r>
      <w:r>
        <w:rPr>
          <w:color w:val="105C84"/>
        </w:rPr>
        <w:t>the</w:t>
      </w:r>
      <w:r>
        <w:rPr>
          <w:color w:val="105C84"/>
          <w:spacing w:val="36"/>
        </w:rPr>
        <w:t> </w:t>
      </w:r>
      <w:r>
        <w:rPr>
          <w:color w:val="105C84"/>
        </w:rPr>
        <w:t>group</w:t>
      </w:r>
      <w:r>
        <w:rPr>
          <w:color w:val="105C84"/>
          <w:spacing w:val="36"/>
        </w:rPr>
        <w:t> </w:t>
      </w:r>
      <w:r>
        <w:rPr>
          <w:color w:val="105C84"/>
        </w:rPr>
        <w:t>started</w:t>
      </w:r>
      <w:r>
        <w:rPr>
          <w:color w:val="105C84"/>
          <w:spacing w:val="36"/>
        </w:rPr>
        <w:t> </w:t>
      </w:r>
      <w:r>
        <w:rPr>
          <w:color w:val="105C84"/>
        </w:rPr>
        <w:t>planning</w:t>
      </w:r>
      <w:r>
        <w:rPr>
          <w:color w:val="105C84"/>
          <w:spacing w:val="36"/>
        </w:rPr>
        <w:t> </w:t>
      </w:r>
      <w:r>
        <w:rPr>
          <w:color w:val="105C84"/>
        </w:rPr>
        <w:t>for</w:t>
      </w:r>
      <w:r>
        <w:rPr>
          <w:color w:val="105C84"/>
          <w:spacing w:val="36"/>
        </w:rPr>
        <w:t> </w:t>
      </w:r>
      <w:r>
        <w:rPr>
          <w:color w:val="105C84"/>
        </w:rPr>
        <w:t>community</w:t>
      </w:r>
      <w:r>
        <w:rPr>
          <w:color w:val="105C84"/>
          <w:spacing w:val="36"/>
        </w:rPr>
        <w:t> </w:t>
      </w:r>
      <w:r>
        <w:rPr>
          <w:color w:val="105C84"/>
        </w:rPr>
        <w:t>centered</w:t>
      </w:r>
      <w:r>
        <w:rPr>
          <w:color w:val="105C84"/>
          <w:spacing w:val="36"/>
        </w:rPr>
        <w:t> </w:t>
      </w:r>
      <w:r>
        <w:rPr>
          <w:color w:val="105C84"/>
        </w:rPr>
        <w:t>health</w:t>
      </w:r>
      <w:r>
        <w:rPr>
          <w:color w:val="105C84"/>
          <w:spacing w:val="36"/>
        </w:rPr>
        <w:t> </w:t>
      </w:r>
      <w:r>
        <w:rPr>
          <w:color w:val="105C84"/>
        </w:rPr>
        <w:t>improvement</w:t>
      </w:r>
      <w:r>
        <w:rPr>
          <w:color w:val="105C84"/>
          <w:spacing w:val="36"/>
        </w:rPr>
        <w:t> </w:t>
      </w:r>
      <w:r>
        <w:rPr>
          <w:color w:val="105C84"/>
        </w:rPr>
        <w:t>planning</w:t>
      </w:r>
      <w:r>
        <w:rPr>
          <w:color w:val="105C84"/>
          <w:spacing w:val="36"/>
        </w:rPr>
        <w:t> </w:t>
      </w:r>
      <w:r>
        <w:rPr>
          <w:color w:val="105C84"/>
        </w:rPr>
        <w:t>where they began to focus their health improvement efforts one municipality at a time. The Greater Nunda</w:t>
      </w:r>
      <w:r>
        <w:rPr>
          <w:color w:val="105C84"/>
          <w:spacing w:val="80"/>
        </w:rPr>
        <w:t> </w:t>
      </w:r>
      <w:r>
        <w:rPr>
          <w:color w:val="105C84"/>
        </w:rPr>
        <w:t>Area was chosen based on data review, community resources, and willingness to change efforts.</w:t>
      </w:r>
    </w:p>
    <w:p>
      <w:pPr>
        <w:pStyle w:val="BodyText"/>
        <w:spacing w:line="247" w:lineRule="auto"/>
        <w:ind w:left="1080"/>
      </w:pPr>
      <w:r>
        <w:rPr>
          <w:color w:val="105C84"/>
        </w:rPr>
        <w:t>This work is referred to as “Be Well in Nunda.” 2017 was spent doing focus groups, and assessing. A community committee was then established and continues to be sustained.</w:t>
      </w:r>
    </w:p>
    <w:p>
      <w:pPr>
        <w:pStyle w:val="BodyText"/>
        <w:spacing w:after="0" w:line="247" w:lineRule="auto"/>
        <w:sectPr>
          <w:type w:val="continuous"/>
          <w:pgSz w:w="24480" w:h="15840" w:orient="landscape"/>
          <w:pgMar w:header="0" w:footer="0" w:top="0" w:bottom="280" w:left="0" w:right="720"/>
          <w:cols w:num="2" w:equalWidth="0">
            <w:col w:w="11086" w:space="1154"/>
            <w:col w:w="11520"/>
          </w:cols>
        </w:sectPr>
      </w:pPr>
    </w:p>
    <w:p>
      <w:pPr>
        <w:pStyle w:val="BodyText"/>
        <w:rPr>
          <w:sz w:val="14"/>
        </w:rPr>
      </w:pPr>
      <w:r>
        <w:rPr>
          <w:sz w:val="14"/>
        </w:rPr>
        <w:drawing>
          <wp:anchor distT="0" distB="0" distL="0" distR="0" allowOverlap="1" layoutInCell="1" locked="0" behindDoc="0" simplePos="0" relativeHeight="15792128">
            <wp:simplePos x="0" y="0"/>
            <wp:positionH relativeFrom="page">
              <wp:posOffset>14981556</wp:posOffset>
            </wp:positionH>
            <wp:positionV relativeFrom="page">
              <wp:posOffset>9668103</wp:posOffset>
            </wp:positionV>
            <wp:extent cx="563245" cy="184683"/>
            <wp:effectExtent l="0" t="0" r="0" b="0"/>
            <wp:wrapNone/>
            <wp:docPr id="693" name="Image 693"/>
            <wp:cNvGraphicFramePr>
              <a:graphicFrameLocks/>
            </wp:cNvGraphicFramePr>
            <a:graphic>
              <a:graphicData uri="http://schemas.openxmlformats.org/drawingml/2006/picture">
                <pic:pic>
                  <pic:nvPicPr>
                    <pic:cNvPr id="693" name="Image 693"/>
                    <pic:cNvPicPr/>
                  </pic:nvPicPr>
                  <pic:blipFill>
                    <a:blip r:embed="rId38" cstate="print"/>
                    <a:stretch>
                      <a:fillRect/>
                    </a:stretch>
                  </pic:blipFill>
                  <pic:spPr>
                    <a:xfrm>
                      <a:off x="0" y="0"/>
                      <a:ext cx="563245" cy="184683"/>
                    </a:xfrm>
                    <a:prstGeom prst="rect">
                      <a:avLst/>
                    </a:prstGeom>
                  </pic:spPr>
                </pic:pic>
              </a:graphicData>
            </a:graphic>
          </wp:anchor>
        </w:drawing>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90"/>
        <w:rPr>
          <w:sz w:val="14"/>
        </w:rPr>
      </w:pPr>
    </w:p>
    <w:p>
      <w:pPr>
        <w:tabs>
          <w:tab w:pos="13319" w:val="left" w:leader="none"/>
          <w:tab w:pos="23454" w:val="right" w:leader="none"/>
        </w:tabs>
        <w:spacing w:before="1"/>
        <w:ind w:left="1058" w:right="0" w:firstLine="0"/>
        <w:jc w:val="left"/>
        <w:rPr>
          <w:b/>
          <w:position w:val="-2"/>
          <w:sz w:val="26"/>
        </w:rPr>
      </w:pPr>
      <w:r>
        <w:rPr>
          <w:b/>
          <w:position w:val="-2"/>
          <w:sz w:val="26"/>
        </w:rPr>
        <w:drawing>
          <wp:anchor distT="0" distB="0" distL="0" distR="0" allowOverlap="1" layoutInCell="1" locked="0" behindDoc="0" simplePos="0" relativeHeight="15792640">
            <wp:simplePos x="0" y="0"/>
            <wp:positionH relativeFrom="page">
              <wp:posOffset>0</wp:posOffset>
            </wp:positionH>
            <wp:positionV relativeFrom="paragraph">
              <wp:posOffset>2170</wp:posOffset>
            </wp:positionV>
            <wp:extent cx="568172" cy="184683"/>
            <wp:effectExtent l="0" t="0" r="0" b="0"/>
            <wp:wrapNone/>
            <wp:docPr id="694" name="Image 694"/>
            <wp:cNvGraphicFramePr>
              <a:graphicFrameLocks/>
            </wp:cNvGraphicFramePr>
            <a:graphic>
              <a:graphicData uri="http://schemas.openxmlformats.org/drawingml/2006/picture">
                <pic:pic>
                  <pic:nvPicPr>
                    <pic:cNvPr id="694" name="Image 694"/>
                    <pic:cNvPicPr/>
                  </pic:nvPicPr>
                  <pic:blipFill>
                    <a:blip r:embed="rId39" cstate="print"/>
                    <a:stretch>
                      <a:fillRect/>
                    </a:stretch>
                  </pic:blipFill>
                  <pic:spPr>
                    <a:xfrm>
                      <a:off x="0" y="0"/>
                      <a:ext cx="568172" cy="184683"/>
                    </a:xfrm>
                    <a:prstGeom prst="rect">
                      <a:avLst/>
                    </a:prstGeom>
                  </pic:spPr>
                </pic:pic>
              </a:graphicData>
            </a:graphic>
          </wp:anchor>
        </w:drawing>
      </w:r>
      <w:r>
        <w:rPr>
          <w:b/>
          <w:color w:val="939598"/>
          <w:spacing w:val="-5"/>
          <w:position w:val="-2"/>
          <w:sz w:val="26"/>
        </w:rPr>
        <w:t>49</w:t>
      </w:r>
      <w:r>
        <w:rPr>
          <w:b/>
          <w:color w:val="939598"/>
          <w:position w:val="-2"/>
          <w:sz w:val="26"/>
        </w:rPr>
        <w:tab/>
      </w:r>
      <w:r>
        <w:rPr>
          <w:color w:val="636466"/>
          <w:spacing w:val="-2"/>
          <w:sz w:val="14"/>
        </w:rPr>
        <w:t>23.</w:t>
      </w:r>
      <w:r>
        <w:rPr>
          <w:color w:val="636466"/>
          <w:spacing w:val="-9"/>
          <w:sz w:val="14"/>
        </w:rPr>
        <w:t> </w:t>
      </w:r>
      <w:r>
        <w:rPr>
          <w:color w:val="636466"/>
          <w:spacing w:val="-2"/>
          <w:sz w:val="14"/>
        </w:rPr>
        <w:t>Source:</w:t>
      </w:r>
      <w:r>
        <w:rPr>
          <w:color w:val="636466"/>
          <w:spacing w:val="-6"/>
          <w:sz w:val="14"/>
        </w:rPr>
        <w:t> </w:t>
      </w:r>
      <w:r>
        <w:rPr>
          <w:color w:val="636466"/>
          <w:spacing w:val="-2"/>
          <w:sz w:val="14"/>
        </w:rPr>
        <w:t>Behavioral</w:t>
      </w:r>
      <w:r>
        <w:rPr>
          <w:color w:val="636466"/>
          <w:spacing w:val="-7"/>
          <w:sz w:val="14"/>
        </w:rPr>
        <w:t> </w:t>
      </w:r>
      <w:r>
        <w:rPr>
          <w:color w:val="636466"/>
          <w:spacing w:val="-2"/>
          <w:sz w:val="14"/>
        </w:rPr>
        <w:t>Risk</w:t>
      </w:r>
      <w:r>
        <w:rPr>
          <w:color w:val="636466"/>
          <w:spacing w:val="-6"/>
          <w:sz w:val="14"/>
        </w:rPr>
        <w:t> </w:t>
      </w:r>
      <w:r>
        <w:rPr>
          <w:color w:val="636466"/>
          <w:spacing w:val="-2"/>
          <w:sz w:val="14"/>
        </w:rPr>
        <w:t>Factor</w:t>
      </w:r>
      <w:r>
        <w:rPr>
          <w:color w:val="636466"/>
          <w:spacing w:val="-7"/>
          <w:sz w:val="14"/>
        </w:rPr>
        <w:t> </w:t>
      </w:r>
      <w:r>
        <w:rPr>
          <w:color w:val="636466"/>
          <w:spacing w:val="-2"/>
          <w:sz w:val="14"/>
        </w:rPr>
        <w:t>Surveillance</w:t>
      </w:r>
      <w:r>
        <w:rPr>
          <w:color w:val="636466"/>
          <w:spacing w:val="-6"/>
          <w:sz w:val="14"/>
        </w:rPr>
        <w:t> </w:t>
      </w:r>
      <w:r>
        <w:rPr>
          <w:color w:val="636466"/>
          <w:spacing w:val="-2"/>
          <w:sz w:val="14"/>
        </w:rPr>
        <w:t>System</w:t>
      </w:r>
      <w:r>
        <w:rPr>
          <w:rFonts w:ascii="Times New Roman"/>
          <w:color w:val="636466"/>
          <w:sz w:val="14"/>
        </w:rPr>
        <w:tab/>
      </w:r>
      <w:r>
        <w:rPr>
          <w:b/>
          <w:color w:val="939598"/>
          <w:spacing w:val="-5"/>
          <w:position w:val="-2"/>
          <w:sz w:val="26"/>
        </w:rPr>
        <w:t>50</w:t>
      </w:r>
    </w:p>
    <w:p>
      <w:pPr>
        <w:spacing w:after="0"/>
        <w:jc w:val="left"/>
        <w:rPr>
          <w:b/>
          <w:position w:val="-2"/>
          <w:sz w:val="26"/>
        </w:rPr>
        <w:sectPr>
          <w:type w:val="continuous"/>
          <w:pgSz w:w="24480" w:h="15840" w:orient="landscape"/>
          <w:pgMar w:header="0" w:footer="0" w:top="0" w:bottom="280" w:left="0" w:right="720"/>
        </w:sectPr>
      </w:pPr>
    </w:p>
    <w:p>
      <w:pPr>
        <w:pStyle w:val="BodyText"/>
        <w:rPr>
          <w:b/>
        </w:rPr>
      </w:pPr>
    </w:p>
    <w:p>
      <w:pPr>
        <w:pStyle w:val="BodyText"/>
        <w:spacing w:before="92"/>
        <w:rPr>
          <w:b/>
        </w:rPr>
      </w:pPr>
    </w:p>
    <w:p>
      <w:pPr>
        <w:pStyle w:val="BodyText"/>
        <w:spacing w:line="247" w:lineRule="auto"/>
        <w:ind w:left="1080" w:right="224"/>
      </w:pPr>
      <w:r>
        <w:rPr>
          <w:color w:val="105C84"/>
        </w:rPr>
        <w:t>The Be Well in Nunda initiative works to implement a strategic plan; develop and implement media</w:t>
      </w:r>
      <w:r>
        <w:rPr>
          <w:color w:val="105C84"/>
          <w:spacing w:val="80"/>
        </w:rPr>
        <w:t> </w:t>
      </w:r>
      <w:r>
        <w:rPr>
          <w:color w:val="105C84"/>
        </w:rPr>
        <w:t>and</w:t>
      </w:r>
      <w:r>
        <w:rPr>
          <w:color w:val="105C84"/>
          <w:spacing w:val="24"/>
        </w:rPr>
        <w:t> </w:t>
      </w:r>
      <w:r>
        <w:rPr>
          <w:color w:val="105C84"/>
        </w:rPr>
        <w:t>outreach</w:t>
      </w:r>
      <w:r>
        <w:rPr>
          <w:color w:val="105C84"/>
          <w:spacing w:val="24"/>
        </w:rPr>
        <w:t> </w:t>
      </w:r>
      <w:r>
        <w:rPr>
          <w:color w:val="105C84"/>
        </w:rPr>
        <w:t>plans</w:t>
      </w:r>
      <w:r>
        <w:rPr>
          <w:color w:val="105C84"/>
          <w:spacing w:val="24"/>
        </w:rPr>
        <w:t> </w:t>
      </w:r>
      <w:r>
        <w:rPr>
          <w:color w:val="105C84"/>
        </w:rPr>
        <w:t>including</w:t>
      </w:r>
      <w:r>
        <w:rPr>
          <w:color w:val="105C84"/>
          <w:spacing w:val="24"/>
        </w:rPr>
        <w:t> </w:t>
      </w:r>
      <w:r>
        <w:rPr>
          <w:color w:val="105C84"/>
        </w:rPr>
        <w:t>a</w:t>
      </w:r>
      <w:r>
        <w:rPr>
          <w:color w:val="105C84"/>
          <w:spacing w:val="24"/>
        </w:rPr>
        <w:t> </w:t>
      </w:r>
      <w:r>
        <w:rPr>
          <w:color w:val="105C84"/>
        </w:rPr>
        <w:t>blog</w:t>
      </w:r>
      <w:r>
        <w:rPr>
          <w:color w:val="105C84"/>
          <w:spacing w:val="24"/>
        </w:rPr>
        <w:t> </w:t>
      </w:r>
      <w:r>
        <w:rPr>
          <w:color w:val="105C84"/>
        </w:rPr>
        <w:t>titled</w:t>
      </w:r>
      <w:r>
        <w:rPr>
          <w:color w:val="105C84"/>
          <w:spacing w:val="24"/>
        </w:rPr>
        <w:t> </w:t>
      </w:r>
      <w:r>
        <w:rPr>
          <w:color w:val="105C84"/>
        </w:rPr>
        <w:t>Get</w:t>
      </w:r>
      <w:r>
        <w:rPr>
          <w:color w:val="105C84"/>
          <w:spacing w:val="24"/>
        </w:rPr>
        <w:t> </w:t>
      </w:r>
      <w:r>
        <w:rPr>
          <w:color w:val="105C84"/>
        </w:rPr>
        <w:t>Healthy</w:t>
      </w:r>
      <w:r>
        <w:rPr>
          <w:color w:val="105C84"/>
          <w:spacing w:val="24"/>
        </w:rPr>
        <w:t> </w:t>
      </w:r>
      <w:r>
        <w:rPr>
          <w:color w:val="105C84"/>
        </w:rPr>
        <w:t>with</w:t>
      </w:r>
      <w:r>
        <w:rPr>
          <w:color w:val="105C84"/>
          <w:spacing w:val="24"/>
        </w:rPr>
        <w:t> </w:t>
      </w:r>
      <w:r>
        <w:rPr>
          <w:color w:val="105C84"/>
        </w:rPr>
        <w:t>the</w:t>
      </w:r>
      <w:r>
        <w:rPr>
          <w:color w:val="105C84"/>
          <w:spacing w:val="24"/>
        </w:rPr>
        <w:t> </w:t>
      </w:r>
      <w:r>
        <w:rPr>
          <w:color w:val="105C84"/>
        </w:rPr>
        <w:t>Mayor;</w:t>
      </w:r>
      <w:r>
        <w:rPr>
          <w:color w:val="105C84"/>
          <w:spacing w:val="24"/>
        </w:rPr>
        <w:t> </w:t>
      </w:r>
      <w:r>
        <w:rPr>
          <w:color w:val="105C84"/>
        </w:rPr>
        <w:t>develop</w:t>
      </w:r>
      <w:r>
        <w:rPr>
          <w:color w:val="105C84"/>
          <w:spacing w:val="24"/>
        </w:rPr>
        <w:t> </w:t>
      </w:r>
      <w:r>
        <w:rPr>
          <w:color w:val="105C84"/>
        </w:rPr>
        <w:t>a</w:t>
      </w:r>
      <w:r>
        <w:rPr>
          <w:color w:val="105C84"/>
          <w:spacing w:val="24"/>
        </w:rPr>
        <w:t> </w:t>
      </w:r>
      <w:r>
        <w:rPr>
          <w:color w:val="105C84"/>
        </w:rPr>
        <w:t>nutrition</w:t>
      </w:r>
      <w:r>
        <w:rPr>
          <w:color w:val="105C84"/>
          <w:spacing w:val="24"/>
        </w:rPr>
        <w:t> </w:t>
      </w:r>
      <w:r>
        <w:rPr>
          <w:color w:val="105C84"/>
        </w:rPr>
        <w:t>initiative as per CHIP and community input to focus on CATCH training for school which was conducted in September 2019 for Keshequa and Mt. Morris School staff; work with Foodlink and Finger Lakes</w:t>
      </w:r>
    </w:p>
    <w:p>
      <w:pPr>
        <w:pStyle w:val="BodyText"/>
        <w:spacing w:line="247" w:lineRule="auto"/>
        <w:ind w:left="1080" w:right="224"/>
      </w:pPr>
      <w:r>
        <w:rPr>
          <w:color w:val="105C84"/>
        </w:rPr>
        <w:t>Eat</w:t>
      </w:r>
      <w:r>
        <w:rPr>
          <w:color w:val="105C84"/>
          <w:spacing w:val="-1"/>
        </w:rPr>
        <w:t> </w:t>
      </w:r>
      <w:r>
        <w:rPr>
          <w:color w:val="105C84"/>
        </w:rPr>
        <w:t>Smart</w:t>
      </w:r>
      <w:r>
        <w:rPr>
          <w:color w:val="105C84"/>
          <w:spacing w:val="-1"/>
        </w:rPr>
        <w:t> </w:t>
      </w:r>
      <w:r>
        <w:rPr>
          <w:color w:val="105C84"/>
        </w:rPr>
        <w:t>New</w:t>
      </w:r>
      <w:r>
        <w:rPr>
          <w:color w:val="105C84"/>
          <w:spacing w:val="-1"/>
        </w:rPr>
        <w:t> </w:t>
      </w:r>
      <w:r>
        <w:rPr>
          <w:color w:val="105C84"/>
        </w:rPr>
        <w:t>York</w:t>
      </w:r>
      <w:r>
        <w:rPr>
          <w:color w:val="105C84"/>
          <w:spacing w:val="-1"/>
        </w:rPr>
        <w:t> </w:t>
      </w:r>
      <w:r>
        <w:rPr>
          <w:color w:val="105C84"/>
        </w:rPr>
        <w:t>(FLESNY)</w:t>
      </w:r>
      <w:r>
        <w:rPr>
          <w:color w:val="105C84"/>
          <w:spacing w:val="-1"/>
        </w:rPr>
        <w:t> </w:t>
      </w:r>
      <w:r>
        <w:rPr>
          <w:color w:val="105C84"/>
        </w:rPr>
        <w:t>to</w:t>
      </w:r>
      <w:r>
        <w:rPr>
          <w:color w:val="105C84"/>
          <w:spacing w:val="-1"/>
        </w:rPr>
        <w:t> </w:t>
      </w:r>
      <w:r>
        <w:rPr>
          <w:color w:val="105C84"/>
        </w:rPr>
        <w:t>increase</w:t>
      </w:r>
      <w:r>
        <w:rPr>
          <w:color w:val="105C84"/>
          <w:spacing w:val="-1"/>
        </w:rPr>
        <w:t> </w:t>
      </w:r>
      <w:r>
        <w:rPr>
          <w:color w:val="105C84"/>
        </w:rPr>
        <w:t>education</w:t>
      </w:r>
      <w:r>
        <w:rPr>
          <w:color w:val="105C84"/>
          <w:spacing w:val="-1"/>
        </w:rPr>
        <w:t> </w:t>
      </w:r>
      <w:r>
        <w:rPr>
          <w:color w:val="105C84"/>
        </w:rPr>
        <w:t>and</w:t>
      </w:r>
      <w:r>
        <w:rPr>
          <w:color w:val="105C84"/>
          <w:spacing w:val="-1"/>
        </w:rPr>
        <w:t> </w:t>
      </w:r>
      <w:r>
        <w:rPr>
          <w:color w:val="105C84"/>
        </w:rPr>
        <w:t>access</w:t>
      </w:r>
      <w:r>
        <w:rPr>
          <w:color w:val="105C84"/>
          <w:spacing w:val="-1"/>
        </w:rPr>
        <w:t> </w:t>
      </w:r>
      <w:r>
        <w:rPr>
          <w:color w:val="105C84"/>
        </w:rPr>
        <w:t>regarding</w:t>
      </w:r>
      <w:r>
        <w:rPr>
          <w:color w:val="105C84"/>
          <w:spacing w:val="-1"/>
        </w:rPr>
        <w:t> </w:t>
      </w:r>
      <w:r>
        <w:rPr>
          <w:color w:val="105C84"/>
        </w:rPr>
        <w:t>healthy</w:t>
      </w:r>
      <w:r>
        <w:rPr>
          <w:color w:val="105C84"/>
          <w:spacing w:val="-1"/>
        </w:rPr>
        <w:t> </w:t>
      </w:r>
      <w:r>
        <w:rPr>
          <w:color w:val="105C84"/>
        </w:rPr>
        <w:t>foods</w:t>
      </w:r>
      <w:r>
        <w:rPr>
          <w:color w:val="105C84"/>
          <w:spacing w:val="-1"/>
        </w:rPr>
        <w:t> </w:t>
      </w:r>
      <w:r>
        <w:rPr>
          <w:color w:val="105C84"/>
        </w:rPr>
        <w:t>through churches and community as a whole; and continued discussion on sustainability.</w:t>
      </w:r>
    </w:p>
    <w:p>
      <w:pPr>
        <w:pStyle w:val="BodyText"/>
        <w:spacing w:line="247" w:lineRule="auto" w:before="177"/>
        <w:ind w:left="1080" w:right="224"/>
      </w:pPr>
      <w:r>
        <w:rPr>
          <w:color w:val="105C84"/>
          <w:w w:val="105"/>
        </w:rPr>
        <w:t>In</w:t>
      </w:r>
      <w:r>
        <w:rPr>
          <w:color w:val="105C84"/>
          <w:spacing w:val="-6"/>
          <w:w w:val="105"/>
        </w:rPr>
        <w:t> </w:t>
      </w:r>
      <w:r>
        <w:rPr>
          <w:color w:val="105C84"/>
          <w:w w:val="105"/>
        </w:rPr>
        <w:t>addition,</w:t>
      </w:r>
      <w:r>
        <w:rPr>
          <w:color w:val="105C84"/>
          <w:spacing w:val="-6"/>
          <w:w w:val="105"/>
        </w:rPr>
        <w:t> </w:t>
      </w:r>
      <w:r>
        <w:rPr>
          <w:color w:val="105C84"/>
          <w:w w:val="105"/>
        </w:rPr>
        <w:t>Nunda</w:t>
      </w:r>
      <w:r>
        <w:rPr>
          <w:color w:val="105C84"/>
          <w:spacing w:val="-6"/>
          <w:w w:val="105"/>
        </w:rPr>
        <w:t> </w:t>
      </w:r>
      <w:r>
        <w:rPr>
          <w:color w:val="105C84"/>
          <w:w w:val="105"/>
        </w:rPr>
        <w:t>community</w:t>
      </w:r>
      <w:r>
        <w:rPr>
          <w:color w:val="105C84"/>
          <w:spacing w:val="-6"/>
          <w:w w:val="105"/>
        </w:rPr>
        <w:t> </w:t>
      </w:r>
      <w:r>
        <w:rPr>
          <w:color w:val="105C84"/>
          <w:w w:val="105"/>
        </w:rPr>
        <w:t>members</w:t>
      </w:r>
      <w:r>
        <w:rPr>
          <w:color w:val="105C84"/>
          <w:spacing w:val="-6"/>
          <w:w w:val="105"/>
        </w:rPr>
        <w:t> </w:t>
      </w:r>
      <w:r>
        <w:rPr>
          <w:color w:val="105C84"/>
          <w:w w:val="105"/>
        </w:rPr>
        <w:t>voiced</w:t>
      </w:r>
      <w:r>
        <w:rPr>
          <w:color w:val="105C84"/>
          <w:spacing w:val="-6"/>
          <w:w w:val="105"/>
        </w:rPr>
        <w:t> </w:t>
      </w:r>
      <w:r>
        <w:rPr>
          <w:color w:val="105C84"/>
          <w:w w:val="105"/>
        </w:rPr>
        <w:t>a</w:t>
      </w:r>
      <w:r>
        <w:rPr>
          <w:color w:val="105C84"/>
          <w:spacing w:val="-6"/>
          <w:w w:val="105"/>
        </w:rPr>
        <w:t> </w:t>
      </w:r>
      <w:r>
        <w:rPr>
          <w:color w:val="105C84"/>
          <w:w w:val="105"/>
        </w:rPr>
        <w:t>concern</w:t>
      </w:r>
      <w:r>
        <w:rPr>
          <w:color w:val="105C84"/>
          <w:spacing w:val="-6"/>
          <w:w w:val="105"/>
        </w:rPr>
        <w:t> </w:t>
      </w:r>
      <w:r>
        <w:rPr>
          <w:color w:val="105C84"/>
          <w:w w:val="105"/>
        </w:rPr>
        <w:t>about</w:t>
      </w:r>
      <w:r>
        <w:rPr>
          <w:color w:val="105C84"/>
          <w:spacing w:val="-6"/>
          <w:w w:val="105"/>
        </w:rPr>
        <w:t> </w:t>
      </w:r>
      <w:r>
        <w:rPr>
          <w:color w:val="105C84"/>
          <w:w w:val="105"/>
        </w:rPr>
        <w:t>a</w:t>
      </w:r>
      <w:r>
        <w:rPr>
          <w:color w:val="105C84"/>
          <w:spacing w:val="-6"/>
          <w:w w:val="105"/>
        </w:rPr>
        <w:t> </w:t>
      </w:r>
      <w:r>
        <w:rPr>
          <w:color w:val="105C84"/>
          <w:w w:val="105"/>
        </w:rPr>
        <w:t>lack</w:t>
      </w:r>
      <w:r>
        <w:rPr>
          <w:color w:val="105C84"/>
          <w:spacing w:val="-6"/>
          <w:w w:val="105"/>
        </w:rPr>
        <w:t> </w:t>
      </w:r>
      <w:r>
        <w:rPr>
          <w:color w:val="105C84"/>
          <w:w w:val="105"/>
        </w:rPr>
        <w:t>of</w:t>
      </w:r>
      <w:r>
        <w:rPr>
          <w:color w:val="105C84"/>
          <w:spacing w:val="-6"/>
          <w:w w:val="105"/>
        </w:rPr>
        <w:t> </w:t>
      </w:r>
      <w:r>
        <w:rPr>
          <w:color w:val="105C84"/>
          <w:w w:val="105"/>
        </w:rPr>
        <w:t>physical</w:t>
      </w:r>
      <w:r>
        <w:rPr>
          <w:color w:val="105C84"/>
          <w:spacing w:val="-6"/>
          <w:w w:val="105"/>
        </w:rPr>
        <w:t> </w:t>
      </w:r>
      <w:r>
        <w:rPr>
          <w:color w:val="105C84"/>
          <w:w w:val="105"/>
        </w:rPr>
        <w:t>activity </w:t>
      </w:r>
      <w:r>
        <w:rPr>
          <w:color w:val="105C84"/>
        </w:rPr>
        <w:t>opportunities and awareness of opportunities. Media and outreach titled Fun and Fitness include ads</w:t>
      </w:r>
      <w:r>
        <w:rPr>
          <w:color w:val="105C84"/>
          <w:spacing w:val="40"/>
        </w:rPr>
        <w:t> </w:t>
      </w:r>
      <w:r>
        <w:rPr>
          <w:color w:val="105C84"/>
        </w:rPr>
        <w:t>and flyers to increase awareness and utilization of local physical activity opportunities. In 2018, and in partnership with the Nunda Historical Society, group members created a historical walking tour, which </w:t>
      </w:r>
      <w:r>
        <w:rPr>
          <w:color w:val="105C84"/>
          <w:w w:val="105"/>
        </w:rPr>
        <w:t>was</w:t>
      </w:r>
      <w:r>
        <w:rPr>
          <w:color w:val="105C84"/>
          <w:spacing w:val="-7"/>
          <w:w w:val="105"/>
        </w:rPr>
        <w:t> </w:t>
      </w:r>
      <w:r>
        <w:rPr>
          <w:color w:val="105C84"/>
          <w:w w:val="105"/>
        </w:rPr>
        <w:t>promoted</w:t>
      </w:r>
      <w:r>
        <w:rPr>
          <w:color w:val="105C84"/>
          <w:spacing w:val="-7"/>
          <w:w w:val="105"/>
        </w:rPr>
        <w:t> </w:t>
      </w:r>
      <w:r>
        <w:rPr>
          <w:color w:val="105C84"/>
          <w:w w:val="105"/>
        </w:rPr>
        <w:t>by</w:t>
      </w:r>
      <w:r>
        <w:rPr>
          <w:color w:val="105C84"/>
          <w:spacing w:val="-7"/>
          <w:w w:val="105"/>
        </w:rPr>
        <w:t> </w:t>
      </w:r>
      <w:r>
        <w:rPr>
          <w:color w:val="105C84"/>
          <w:w w:val="105"/>
        </w:rPr>
        <w:t>Fun</w:t>
      </w:r>
      <w:r>
        <w:rPr>
          <w:color w:val="105C84"/>
          <w:spacing w:val="-7"/>
          <w:w w:val="105"/>
        </w:rPr>
        <w:t> </w:t>
      </w:r>
      <w:r>
        <w:rPr>
          <w:color w:val="105C84"/>
          <w:w w:val="105"/>
        </w:rPr>
        <w:t>and</w:t>
      </w:r>
      <w:r>
        <w:rPr>
          <w:color w:val="105C84"/>
          <w:spacing w:val="-7"/>
          <w:w w:val="105"/>
        </w:rPr>
        <w:t> </w:t>
      </w:r>
      <w:r>
        <w:rPr>
          <w:color w:val="105C84"/>
          <w:w w:val="105"/>
        </w:rPr>
        <w:t>Fitness</w:t>
      </w:r>
      <w:r>
        <w:rPr>
          <w:color w:val="105C84"/>
          <w:spacing w:val="-7"/>
          <w:w w:val="105"/>
        </w:rPr>
        <w:t> </w:t>
      </w:r>
      <w:r>
        <w:rPr>
          <w:color w:val="105C84"/>
          <w:w w:val="105"/>
        </w:rPr>
        <w:t>ad/flyers.</w:t>
      </w:r>
      <w:r>
        <w:rPr>
          <w:color w:val="105C84"/>
          <w:spacing w:val="-7"/>
          <w:w w:val="105"/>
        </w:rPr>
        <w:t> </w:t>
      </w:r>
      <w:r>
        <w:rPr>
          <w:color w:val="105C84"/>
          <w:w w:val="105"/>
        </w:rPr>
        <w:t>Upon</w:t>
      </w:r>
      <w:r>
        <w:rPr>
          <w:color w:val="105C84"/>
          <w:spacing w:val="-7"/>
          <w:w w:val="105"/>
        </w:rPr>
        <w:t> </w:t>
      </w:r>
      <w:r>
        <w:rPr>
          <w:color w:val="105C84"/>
          <w:w w:val="105"/>
        </w:rPr>
        <w:t>evaluation</w:t>
      </w:r>
      <w:r>
        <w:rPr>
          <w:color w:val="105C84"/>
          <w:spacing w:val="-7"/>
          <w:w w:val="105"/>
        </w:rPr>
        <w:t> </w:t>
      </w:r>
      <w:r>
        <w:rPr>
          <w:color w:val="105C84"/>
          <w:w w:val="105"/>
        </w:rPr>
        <w:t>of</w:t>
      </w:r>
      <w:r>
        <w:rPr>
          <w:color w:val="105C84"/>
          <w:spacing w:val="-7"/>
          <w:w w:val="105"/>
        </w:rPr>
        <w:t> </w:t>
      </w:r>
      <w:r>
        <w:rPr>
          <w:color w:val="105C84"/>
          <w:w w:val="105"/>
        </w:rPr>
        <w:t>the</w:t>
      </w:r>
      <w:r>
        <w:rPr>
          <w:color w:val="105C84"/>
          <w:spacing w:val="-7"/>
          <w:w w:val="105"/>
        </w:rPr>
        <w:t> </w:t>
      </w:r>
      <w:r>
        <w:rPr>
          <w:color w:val="105C84"/>
          <w:w w:val="105"/>
        </w:rPr>
        <w:t>trail,</w:t>
      </w:r>
      <w:r>
        <w:rPr>
          <w:color w:val="105C84"/>
          <w:spacing w:val="-7"/>
          <w:w w:val="105"/>
        </w:rPr>
        <w:t> </w:t>
      </w:r>
      <w:r>
        <w:rPr>
          <w:color w:val="105C84"/>
          <w:w w:val="105"/>
        </w:rPr>
        <w:t>26</w:t>
      </w:r>
      <w:r>
        <w:rPr>
          <w:color w:val="105C84"/>
          <w:spacing w:val="-7"/>
          <w:w w:val="105"/>
        </w:rPr>
        <w:t> </w:t>
      </w:r>
      <w:r>
        <w:rPr>
          <w:color w:val="105C84"/>
          <w:w w:val="105"/>
        </w:rPr>
        <w:t>individuals</w:t>
      </w:r>
      <w:r>
        <w:rPr>
          <w:color w:val="105C84"/>
          <w:spacing w:val="-7"/>
          <w:w w:val="105"/>
        </w:rPr>
        <w:t> </w:t>
      </w:r>
      <w:r>
        <w:rPr>
          <w:color w:val="105C84"/>
          <w:w w:val="105"/>
        </w:rPr>
        <w:t>completed</w:t>
      </w:r>
    </w:p>
    <w:p>
      <w:pPr>
        <w:pStyle w:val="BodyText"/>
        <w:spacing w:line="247" w:lineRule="auto"/>
        <w:ind w:left="1080" w:right="221"/>
        <w:jc w:val="both"/>
      </w:pPr>
      <w:r>
        <w:rPr>
          <w:color w:val="105C84"/>
        </w:rPr>
        <w:t>a survey with 87% stating the trail increased their community led physical activity opportunities. The walking tour is open to the public and not only increases knowledge regarding the history of Nunda </w:t>
      </w:r>
      <w:r>
        <w:rPr>
          <w:color w:val="105C84"/>
          <w:w w:val="105"/>
        </w:rPr>
        <w:t>but promotes physical activity among its patrons.</w:t>
      </w:r>
    </w:p>
    <w:p>
      <w:pPr>
        <w:pStyle w:val="BodyText"/>
        <w:spacing w:line="247" w:lineRule="auto" w:before="176"/>
        <w:ind w:left="1080" w:right="111"/>
      </w:pPr>
      <w:r>
        <w:rPr>
          <w:color w:val="105C84"/>
        </w:rPr>
        <w:t>In</w:t>
      </w:r>
      <w:r>
        <w:rPr>
          <w:color w:val="105C84"/>
          <w:spacing w:val="25"/>
        </w:rPr>
        <w:t> </w:t>
      </w:r>
      <w:r>
        <w:rPr>
          <w:color w:val="105C84"/>
        </w:rPr>
        <w:t>addition</w:t>
      </w:r>
      <w:r>
        <w:rPr>
          <w:color w:val="105C84"/>
          <w:spacing w:val="25"/>
        </w:rPr>
        <w:t> </w:t>
      </w:r>
      <w:r>
        <w:rPr>
          <w:color w:val="105C84"/>
        </w:rPr>
        <w:t>to</w:t>
      </w:r>
      <w:r>
        <w:rPr>
          <w:color w:val="105C84"/>
          <w:spacing w:val="25"/>
        </w:rPr>
        <w:t> </w:t>
      </w:r>
      <w:r>
        <w:rPr>
          <w:color w:val="105C84"/>
        </w:rPr>
        <w:t>the</w:t>
      </w:r>
      <w:r>
        <w:rPr>
          <w:color w:val="105C84"/>
          <w:spacing w:val="25"/>
        </w:rPr>
        <w:t> </w:t>
      </w:r>
      <w:r>
        <w:rPr>
          <w:color w:val="105C84"/>
        </w:rPr>
        <w:t>tour,</w:t>
      </w:r>
      <w:r>
        <w:rPr>
          <w:color w:val="105C84"/>
          <w:spacing w:val="25"/>
        </w:rPr>
        <w:t> </w:t>
      </w:r>
      <w:r>
        <w:rPr>
          <w:color w:val="105C84"/>
        </w:rPr>
        <w:t>a</w:t>
      </w:r>
      <w:r>
        <w:rPr>
          <w:color w:val="105C84"/>
          <w:spacing w:val="25"/>
        </w:rPr>
        <w:t> </w:t>
      </w:r>
      <w:r>
        <w:rPr>
          <w:color w:val="105C84"/>
        </w:rPr>
        <w:t>walking</w:t>
      </w:r>
      <w:r>
        <w:rPr>
          <w:color w:val="105C84"/>
          <w:spacing w:val="25"/>
        </w:rPr>
        <w:t> </w:t>
      </w:r>
      <w:r>
        <w:rPr>
          <w:color w:val="105C84"/>
        </w:rPr>
        <w:t>trail</w:t>
      </w:r>
      <w:r>
        <w:rPr>
          <w:color w:val="105C84"/>
          <w:spacing w:val="25"/>
        </w:rPr>
        <w:t> </w:t>
      </w:r>
      <w:r>
        <w:rPr>
          <w:color w:val="105C84"/>
        </w:rPr>
        <w:t>and</w:t>
      </w:r>
      <w:r>
        <w:rPr>
          <w:color w:val="105C84"/>
          <w:spacing w:val="25"/>
        </w:rPr>
        <w:t> </w:t>
      </w:r>
      <w:r>
        <w:rPr>
          <w:color w:val="105C84"/>
        </w:rPr>
        <w:t>three</w:t>
      </w:r>
      <w:r>
        <w:rPr>
          <w:color w:val="105C84"/>
          <w:spacing w:val="25"/>
        </w:rPr>
        <w:t> </w:t>
      </w:r>
      <w:r>
        <w:rPr>
          <w:color w:val="105C84"/>
        </w:rPr>
        <w:t>outdoor</w:t>
      </w:r>
      <w:r>
        <w:rPr>
          <w:color w:val="105C84"/>
          <w:spacing w:val="25"/>
        </w:rPr>
        <w:t> </w:t>
      </w:r>
      <w:r>
        <w:rPr>
          <w:color w:val="105C84"/>
        </w:rPr>
        <w:t>exercise</w:t>
      </w:r>
      <w:r>
        <w:rPr>
          <w:color w:val="105C84"/>
          <w:spacing w:val="25"/>
        </w:rPr>
        <w:t> </w:t>
      </w:r>
      <w:r>
        <w:rPr>
          <w:color w:val="105C84"/>
        </w:rPr>
        <w:t>stations</w:t>
      </w:r>
      <w:r>
        <w:rPr>
          <w:color w:val="105C84"/>
          <w:spacing w:val="25"/>
        </w:rPr>
        <w:t> </w:t>
      </w:r>
      <w:r>
        <w:rPr>
          <w:color w:val="105C84"/>
        </w:rPr>
        <w:t>were</w:t>
      </w:r>
      <w:r>
        <w:rPr>
          <w:color w:val="105C84"/>
          <w:spacing w:val="25"/>
        </w:rPr>
        <w:t> </w:t>
      </w:r>
      <w:r>
        <w:rPr>
          <w:color w:val="105C84"/>
        </w:rPr>
        <w:t>added</w:t>
      </w:r>
      <w:r>
        <w:rPr>
          <w:color w:val="105C84"/>
          <w:spacing w:val="25"/>
        </w:rPr>
        <w:t> </w:t>
      </w:r>
      <w:r>
        <w:rPr>
          <w:color w:val="105C84"/>
        </w:rPr>
        <w:t>to</w:t>
      </w:r>
      <w:r>
        <w:rPr>
          <w:color w:val="105C84"/>
          <w:spacing w:val="25"/>
        </w:rPr>
        <w:t> </w:t>
      </w:r>
      <w:r>
        <w:rPr>
          <w:color w:val="105C84"/>
        </w:rPr>
        <w:t>Kiwanis</w:t>
      </w:r>
      <w:r>
        <w:rPr>
          <w:color w:val="105C84"/>
        </w:rPr>
        <w:t> Park</w:t>
      </w:r>
      <w:r>
        <w:rPr>
          <w:color w:val="105C84"/>
          <w:spacing w:val="19"/>
        </w:rPr>
        <w:t> </w:t>
      </w:r>
      <w:r>
        <w:rPr>
          <w:color w:val="105C84"/>
        </w:rPr>
        <w:t>located</w:t>
      </w:r>
      <w:r>
        <w:rPr>
          <w:color w:val="105C84"/>
          <w:spacing w:val="19"/>
        </w:rPr>
        <w:t> </w:t>
      </w:r>
      <w:r>
        <w:rPr>
          <w:color w:val="105C84"/>
        </w:rPr>
        <w:t>within</w:t>
      </w:r>
      <w:r>
        <w:rPr>
          <w:color w:val="105C84"/>
          <w:spacing w:val="19"/>
        </w:rPr>
        <w:t> </w:t>
      </w:r>
      <w:r>
        <w:rPr>
          <w:color w:val="105C84"/>
        </w:rPr>
        <w:t>the</w:t>
      </w:r>
      <w:r>
        <w:rPr>
          <w:color w:val="105C84"/>
          <w:spacing w:val="19"/>
        </w:rPr>
        <w:t> </w:t>
      </w:r>
      <w:r>
        <w:rPr>
          <w:color w:val="105C84"/>
        </w:rPr>
        <w:t>town</w:t>
      </w:r>
      <w:r>
        <w:rPr>
          <w:color w:val="105C84"/>
          <w:spacing w:val="19"/>
        </w:rPr>
        <w:t> </w:t>
      </w:r>
      <w:r>
        <w:rPr>
          <w:color w:val="105C84"/>
        </w:rPr>
        <w:t>to</w:t>
      </w:r>
      <w:r>
        <w:rPr>
          <w:color w:val="105C84"/>
          <w:spacing w:val="19"/>
        </w:rPr>
        <w:t> </w:t>
      </w:r>
      <w:r>
        <w:rPr>
          <w:color w:val="105C84"/>
        </w:rPr>
        <w:t>help</w:t>
      </w:r>
      <w:r>
        <w:rPr>
          <w:color w:val="105C84"/>
          <w:spacing w:val="19"/>
        </w:rPr>
        <w:t> </w:t>
      </w:r>
      <w:r>
        <w:rPr>
          <w:color w:val="105C84"/>
        </w:rPr>
        <w:t>further</w:t>
      </w:r>
      <w:r>
        <w:rPr>
          <w:color w:val="105C84"/>
          <w:spacing w:val="19"/>
        </w:rPr>
        <w:t> </w:t>
      </w:r>
      <w:r>
        <w:rPr>
          <w:color w:val="105C84"/>
        </w:rPr>
        <w:t>engage</w:t>
      </w:r>
      <w:r>
        <w:rPr>
          <w:color w:val="105C84"/>
          <w:spacing w:val="19"/>
        </w:rPr>
        <w:t> </w:t>
      </w:r>
      <w:r>
        <w:rPr>
          <w:color w:val="105C84"/>
        </w:rPr>
        <w:t>and</w:t>
      </w:r>
      <w:r>
        <w:rPr>
          <w:color w:val="105C84"/>
          <w:spacing w:val="19"/>
        </w:rPr>
        <w:t> </w:t>
      </w:r>
      <w:r>
        <w:rPr>
          <w:color w:val="105C84"/>
        </w:rPr>
        <w:t>entice</w:t>
      </w:r>
      <w:r>
        <w:rPr>
          <w:color w:val="105C84"/>
          <w:spacing w:val="19"/>
        </w:rPr>
        <w:t> </w:t>
      </w:r>
      <w:r>
        <w:rPr>
          <w:color w:val="105C84"/>
        </w:rPr>
        <w:t>residents</w:t>
      </w:r>
      <w:r>
        <w:rPr>
          <w:color w:val="105C84"/>
          <w:spacing w:val="19"/>
        </w:rPr>
        <w:t> </w:t>
      </w:r>
      <w:r>
        <w:rPr>
          <w:color w:val="105C84"/>
        </w:rPr>
        <w:t>to</w:t>
      </w:r>
      <w:r>
        <w:rPr>
          <w:color w:val="105C84"/>
          <w:spacing w:val="19"/>
        </w:rPr>
        <w:t> </w:t>
      </w:r>
      <w:r>
        <w:rPr>
          <w:color w:val="105C84"/>
        </w:rPr>
        <w:t>participate</w:t>
      </w:r>
      <w:r>
        <w:rPr>
          <w:color w:val="105C84"/>
          <w:spacing w:val="19"/>
        </w:rPr>
        <w:t> </w:t>
      </w:r>
      <w:r>
        <w:rPr>
          <w:color w:val="105C84"/>
        </w:rPr>
        <w:t>in</w:t>
      </w:r>
      <w:r>
        <w:rPr>
          <w:color w:val="105C84"/>
          <w:spacing w:val="19"/>
        </w:rPr>
        <w:t> </w:t>
      </w:r>
      <w:r>
        <w:rPr>
          <w:color w:val="105C84"/>
        </w:rPr>
        <w:t>activity</w:t>
      </w:r>
      <w:r>
        <w:rPr>
          <w:color w:val="105C84"/>
          <w:spacing w:val="19"/>
        </w:rPr>
        <w:t> </w:t>
      </w:r>
      <w:r>
        <w:rPr>
          <w:color w:val="105C84"/>
        </w:rPr>
        <w:t>and utilize community resources. Evaluation of the trail and stations will occur in 2020. Those involved in</w:t>
      </w:r>
      <w:r>
        <w:rPr>
          <w:color w:val="105C84"/>
          <w:spacing w:val="40"/>
        </w:rPr>
        <w:t> </w:t>
      </w:r>
      <w:r>
        <w:rPr>
          <w:color w:val="105C84"/>
        </w:rPr>
        <w:t>Be Well in Nunda initiatives indicated the need for creating a sidewalk from the Town of Nunda to</w:t>
      </w:r>
      <w:r>
        <w:rPr>
          <w:color w:val="105C84"/>
          <w:spacing w:val="40"/>
        </w:rPr>
        <w:t> </w:t>
      </w:r>
      <w:r>
        <w:rPr>
          <w:color w:val="105C84"/>
        </w:rPr>
        <w:t>Kiwanis Park, however, this was later found to be a challenge to pursue as it is designated as a State Route.</w:t>
      </w:r>
      <w:r>
        <w:rPr>
          <w:color w:val="105C84"/>
          <w:spacing w:val="28"/>
        </w:rPr>
        <w:t> </w:t>
      </w:r>
      <w:r>
        <w:rPr>
          <w:color w:val="105C84"/>
        </w:rPr>
        <w:t>The</w:t>
      </w:r>
      <w:r>
        <w:rPr>
          <w:color w:val="105C84"/>
          <w:spacing w:val="28"/>
        </w:rPr>
        <w:t> </w:t>
      </w:r>
      <w:r>
        <w:rPr>
          <w:color w:val="105C84"/>
        </w:rPr>
        <w:t>town</w:t>
      </w:r>
      <w:r>
        <w:rPr>
          <w:color w:val="105C84"/>
          <w:spacing w:val="28"/>
        </w:rPr>
        <w:t> </w:t>
      </w:r>
      <w:r>
        <w:rPr>
          <w:color w:val="105C84"/>
        </w:rPr>
        <w:t>recently</w:t>
      </w:r>
      <w:r>
        <w:rPr>
          <w:color w:val="105C84"/>
          <w:spacing w:val="28"/>
        </w:rPr>
        <w:t> </w:t>
      </w:r>
      <w:r>
        <w:rPr>
          <w:color w:val="105C84"/>
        </w:rPr>
        <w:t>applied</w:t>
      </w:r>
      <w:r>
        <w:rPr>
          <w:color w:val="105C84"/>
          <w:spacing w:val="28"/>
        </w:rPr>
        <w:t> </w:t>
      </w:r>
      <w:r>
        <w:rPr>
          <w:color w:val="105C84"/>
        </w:rPr>
        <w:t>for</w:t>
      </w:r>
      <w:r>
        <w:rPr>
          <w:color w:val="105C84"/>
          <w:spacing w:val="28"/>
        </w:rPr>
        <w:t> </w:t>
      </w:r>
      <w:r>
        <w:rPr>
          <w:color w:val="105C84"/>
        </w:rPr>
        <w:t>a</w:t>
      </w:r>
      <w:r>
        <w:rPr>
          <w:color w:val="105C84"/>
          <w:spacing w:val="28"/>
        </w:rPr>
        <w:t> </w:t>
      </w:r>
      <w:r>
        <w:rPr>
          <w:color w:val="105C84"/>
        </w:rPr>
        <w:t>grant</w:t>
      </w:r>
      <w:r>
        <w:rPr>
          <w:color w:val="105C84"/>
          <w:spacing w:val="28"/>
        </w:rPr>
        <w:t> </w:t>
      </w:r>
      <w:r>
        <w:rPr>
          <w:color w:val="105C84"/>
        </w:rPr>
        <w:t>to</w:t>
      </w:r>
      <w:r>
        <w:rPr>
          <w:color w:val="105C84"/>
          <w:spacing w:val="28"/>
        </w:rPr>
        <w:t> </w:t>
      </w:r>
      <w:r>
        <w:rPr>
          <w:color w:val="105C84"/>
        </w:rPr>
        <w:t>build</w:t>
      </w:r>
      <w:r>
        <w:rPr>
          <w:color w:val="105C84"/>
          <w:spacing w:val="28"/>
        </w:rPr>
        <w:t> </w:t>
      </w:r>
      <w:r>
        <w:rPr>
          <w:color w:val="105C84"/>
        </w:rPr>
        <w:t>a</w:t>
      </w:r>
      <w:r>
        <w:rPr>
          <w:color w:val="105C84"/>
          <w:spacing w:val="28"/>
        </w:rPr>
        <w:t> </w:t>
      </w:r>
      <w:r>
        <w:rPr>
          <w:color w:val="105C84"/>
        </w:rPr>
        <w:t>sidewalk</w:t>
      </w:r>
      <w:r>
        <w:rPr>
          <w:color w:val="105C84"/>
          <w:spacing w:val="28"/>
        </w:rPr>
        <w:t> </w:t>
      </w:r>
      <w:r>
        <w:rPr>
          <w:color w:val="105C84"/>
        </w:rPr>
        <w:t>to</w:t>
      </w:r>
      <w:r>
        <w:rPr>
          <w:color w:val="105C84"/>
          <w:spacing w:val="28"/>
        </w:rPr>
        <w:t> </w:t>
      </w:r>
      <w:r>
        <w:rPr>
          <w:color w:val="105C84"/>
        </w:rPr>
        <w:t>fulfill</w:t>
      </w:r>
      <w:r>
        <w:rPr>
          <w:color w:val="105C84"/>
          <w:spacing w:val="28"/>
        </w:rPr>
        <w:t> </w:t>
      </w:r>
      <w:r>
        <w:rPr>
          <w:color w:val="105C84"/>
        </w:rPr>
        <w:t>the</w:t>
      </w:r>
      <w:r>
        <w:rPr>
          <w:color w:val="105C84"/>
          <w:spacing w:val="28"/>
        </w:rPr>
        <w:t> </w:t>
      </w:r>
      <w:r>
        <w:rPr>
          <w:color w:val="105C84"/>
        </w:rPr>
        <w:t>need</w:t>
      </w:r>
      <w:r>
        <w:rPr>
          <w:color w:val="105C84"/>
          <w:spacing w:val="28"/>
        </w:rPr>
        <w:t> </w:t>
      </w:r>
      <w:r>
        <w:rPr>
          <w:color w:val="105C84"/>
        </w:rPr>
        <w:t>but</w:t>
      </w:r>
      <w:r>
        <w:rPr>
          <w:color w:val="105C84"/>
          <w:spacing w:val="28"/>
        </w:rPr>
        <w:t> </w:t>
      </w:r>
      <w:r>
        <w:rPr>
          <w:color w:val="105C84"/>
        </w:rPr>
        <w:t>unfortunately did not receive funding. Connecting the town to the park would help to increase physical activity,</w:t>
      </w:r>
      <w:r>
        <w:rPr>
          <w:color w:val="105C84"/>
          <w:spacing w:val="80"/>
        </w:rPr>
        <w:t> </w:t>
      </w:r>
      <w:r>
        <w:rPr>
          <w:color w:val="105C84"/>
        </w:rPr>
        <w:t>universal accessibility, and recreational use of the park. Funding will continue to be pursued through other avenues.</w:t>
      </w:r>
    </w:p>
    <w:p>
      <w:pPr>
        <w:pStyle w:val="BodyText"/>
        <w:spacing w:line="247" w:lineRule="auto" w:before="175"/>
        <w:ind w:left="1080" w:right="224"/>
      </w:pPr>
      <w:r>
        <w:rPr>
          <w:color w:val="105C84"/>
        </w:rPr>
        <w:t>In the years to come, Be Well in Livingston partners plan to expand and enhance the reach of their initiatives. The workgroup has already begun connections to expand their work in the Town of Mount</w:t>
      </w:r>
      <w:r>
        <w:rPr>
          <w:color w:val="105C84"/>
          <w:spacing w:val="40"/>
        </w:rPr>
        <w:t> </w:t>
      </w:r>
      <w:r>
        <w:rPr>
          <w:color w:val="105C84"/>
        </w:rPr>
        <w:t>Morris and, eventually, the Village of Dansville. Both of these communities have been identified as areas with lower life expectancies and high poverty rates.</w:t>
      </w:r>
    </w:p>
    <w:p>
      <w:pPr>
        <w:pStyle w:val="BodyText"/>
        <w:spacing w:line="247" w:lineRule="auto" w:before="178"/>
        <w:ind w:left="1080" w:right="676"/>
      </w:pPr>
      <w:r>
        <w:rPr>
          <w:color w:val="105C84"/>
        </w:rPr>
        <w:t>In relation to cancer screenings, the Mobile Mammography Unit (Rochester Regional Health)</w:t>
      </w:r>
      <w:r>
        <w:rPr>
          <w:color w:val="105C84"/>
          <w:spacing w:val="80"/>
        </w:rPr>
        <w:t> </w:t>
      </w:r>
      <w:r>
        <w:rPr>
          <w:color w:val="105C84"/>
        </w:rPr>
        <w:t>and</w:t>
      </w:r>
      <w:r>
        <w:rPr>
          <w:color w:val="105C84"/>
          <w:spacing w:val="-1"/>
        </w:rPr>
        <w:t> </w:t>
      </w:r>
      <w:r>
        <w:rPr>
          <w:color w:val="105C84"/>
        </w:rPr>
        <w:t>mammography</w:t>
      </w:r>
      <w:r>
        <w:rPr>
          <w:color w:val="105C84"/>
          <w:spacing w:val="-1"/>
        </w:rPr>
        <w:t> </w:t>
      </w:r>
      <w:r>
        <w:rPr>
          <w:color w:val="105C84"/>
        </w:rPr>
        <w:t>screening</w:t>
      </w:r>
      <w:r>
        <w:rPr>
          <w:color w:val="105C84"/>
          <w:spacing w:val="-1"/>
        </w:rPr>
        <w:t> </w:t>
      </w:r>
      <w:r>
        <w:rPr>
          <w:color w:val="105C84"/>
        </w:rPr>
        <w:t>days</w:t>
      </w:r>
      <w:r>
        <w:rPr>
          <w:color w:val="105C84"/>
          <w:spacing w:val="-1"/>
        </w:rPr>
        <w:t> </w:t>
      </w:r>
      <w:r>
        <w:rPr>
          <w:color w:val="105C84"/>
        </w:rPr>
        <w:t>(provided</w:t>
      </w:r>
      <w:r>
        <w:rPr>
          <w:color w:val="105C84"/>
          <w:spacing w:val="-1"/>
        </w:rPr>
        <w:t> </w:t>
      </w:r>
      <w:r>
        <w:rPr>
          <w:color w:val="105C84"/>
        </w:rPr>
        <w:t>by</w:t>
      </w:r>
      <w:r>
        <w:rPr>
          <w:color w:val="105C84"/>
          <w:spacing w:val="-1"/>
        </w:rPr>
        <w:t> </w:t>
      </w:r>
      <w:r>
        <w:rPr>
          <w:color w:val="105C84"/>
        </w:rPr>
        <w:t>the</w:t>
      </w:r>
      <w:r>
        <w:rPr>
          <w:color w:val="105C84"/>
          <w:spacing w:val="-1"/>
        </w:rPr>
        <w:t> </w:t>
      </w:r>
      <w:r>
        <w:rPr>
          <w:color w:val="105C84"/>
        </w:rPr>
        <w:t>Finger</w:t>
      </w:r>
      <w:r>
        <w:rPr>
          <w:color w:val="105C84"/>
          <w:spacing w:val="-1"/>
        </w:rPr>
        <w:t> </w:t>
      </w:r>
      <w:r>
        <w:rPr>
          <w:color w:val="105C84"/>
        </w:rPr>
        <w:t>Lakes</w:t>
      </w:r>
      <w:r>
        <w:rPr>
          <w:color w:val="105C84"/>
          <w:spacing w:val="-1"/>
        </w:rPr>
        <w:t> </w:t>
      </w:r>
      <w:r>
        <w:rPr>
          <w:color w:val="105C84"/>
        </w:rPr>
        <w:t>Cancer</w:t>
      </w:r>
      <w:r>
        <w:rPr>
          <w:color w:val="105C84"/>
          <w:spacing w:val="-1"/>
        </w:rPr>
        <w:t> </w:t>
      </w:r>
      <w:r>
        <w:rPr>
          <w:color w:val="105C84"/>
        </w:rPr>
        <w:t>Services</w:t>
      </w:r>
      <w:r>
        <w:rPr>
          <w:color w:val="105C84"/>
          <w:spacing w:val="-1"/>
        </w:rPr>
        <w:t> </w:t>
      </w:r>
      <w:r>
        <w:rPr>
          <w:color w:val="105C84"/>
        </w:rPr>
        <w:t>Program,</w:t>
      </w:r>
      <w:r>
        <w:rPr>
          <w:color w:val="105C84"/>
          <w:spacing w:val="-1"/>
        </w:rPr>
        <w:t> </w:t>
      </w:r>
      <w:r>
        <w:rPr>
          <w:color w:val="105C84"/>
        </w:rPr>
        <w:t>UR Medicine/Noyes Health and The Elizabeth Wende Breast Care)</w:t>
      </w:r>
      <w:r>
        <w:rPr>
          <w:color w:val="105C84"/>
          <w:spacing w:val="1"/>
        </w:rPr>
        <w:t> </w:t>
      </w:r>
      <w:r>
        <w:rPr>
          <w:color w:val="105C84"/>
        </w:rPr>
        <w:t>have increased access to </w:t>
      </w:r>
      <w:r>
        <w:rPr>
          <w:color w:val="105C84"/>
          <w:spacing w:val="-2"/>
        </w:rPr>
        <w:t>breast</w:t>
      </w:r>
    </w:p>
    <w:p>
      <w:pPr>
        <w:pStyle w:val="BodyText"/>
        <w:spacing w:line="247" w:lineRule="auto"/>
        <w:ind w:left="1080" w:right="224"/>
      </w:pPr>
      <w:r>
        <w:rPr>
          <w:color w:val="105C84"/>
        </w:rPr>
        <w:t>cancer screenings among Livingston County residents. The availability and flexibility of screenings encourages use of preventative care and the potential of early diagnosis and treatment of breast cancer. Doing so would result in less likelihood of long-term chemotherapy for the individual and the</w:t>
      </w:r>
      <w:r>
        <w:rPr>
          <w:color w:val="105C84"/>
          <w:spacing w:val="80"/>
        </w:rPr>
        <w:t> </w:t>
      </w:r>
      <w:r>
        <w:rPr>
          <w:color w:val="105C84"/>
        </w:rPr>
        <w:t>chance for a better quality of life.</w:t>
      </w:r>
    </w:p>
    <w:p>
      <w:pPr>
        <w:pStyle w:val="BodyText"/>
        <w:spacing w:line="247" w:lineRule="auto" w:before="176"/>
        <w:ind w:left="1080" w:right="131"/>
      </w:pPr>
      <w:r>
        <w:rPr>
          <w:color w:val="105C84"/>
        </w:rPr>
        <w:t>Main</w:t>
      </w:r>
      <w:r>
        <w:rPr>
          <w:color w:val="105C84"/>
          <w:spacing w:val="22"/>
        </w:rPr>
        <w:t> </w:t>
      </w:r>
      <w:r>
        <w:rPr>
          <w:color w:val="105C84"/>
        </w:rPr>
        <w:t>Streets</w:t>
      </w:r>
      <w:r>
        <w:rPr>
          <w:color w:val="105C84"/>
          <w:spacing w:val="22"/>
        </w:rPr>
        <w:t> </w:t>
      </w:r>
      <w:r>
        <w:rPr>
          <w:color w:val="105C84"/>
        </w:rPr>
        <w:t>Go</w:t>
      </w:r>
      <w:r>
        <w:rPr>
          <w:color w:val="105C84"/>
          <w:spacing w:val="22"/>
        </w:rPr>
        <w:t> </w:t>
      </w:r>
      <w:r>
        <w:rPr>
          <w:color w:val="105C84"/>
        </w:rPr>
        <w:t>Blue</w:t>
      </w:r>
      <w:r>
        <w:rPr>
          <w:color w:val="105C84"/>
          <w:spacing w:val="22"/>
        </w:rPr>
        <w:t> </w:t>
      </w:r>
      <w:r>
        <w:rPr>
          <w:color w:val="105C84"/>
        </w:rPr>
        <w:t>is</w:t>
      </w:r>
      <w:r>
        <w:rPr>
          <w:color w:val="105C84"/>
          <w:spacing w:val="22"/>
        </w:rPr>
        <w:t> </w:t>
      </w:r>
      <w:r>
        <w:rPr>
          <w:color w:val="105C84"/>
        </w:rPr>
        <w:t>a</w:t>
      </w:r>
      <w:r>
        <w:rPr>
          <w:color w:val="105C84"/>
          <w:spacing w:val="22"/>
        </w:rPr>
        <w:t> </w:t>
      </w:r>
      <w:r>
        <w:rPr>
          <w:color w:val="105C84"/>
        </w:rPr>
        <w:t>NYSDOH</w:t>
      </w:r>
      <w:r>
        <w:rPr>
          <w:color w:val="105C84"/>
          <w:spacing w:val="22"/>
        </w:rPr>
        <w:t> </w:t>
      </w:r>
      <w:r>
        <w:rPr>
          <w:color w:val="105C84"/>
        </w:rPr>
        <w:t>initiative,</w:t>
      </w:r>
      <w:r>
        <w:rPr>
          <w:color w:val="105C84"/>
          <w:spacing w:val="22"/>
        </w:rPr>
        <w:t> </w:t>
      </w:r>
      <w:r>
        <w:rPr>
          <w:color w:val="105C84"/>
        </w:rPr>
        <w:t>which</w:t>
      </w:r>
      <w:r>
        <w:rPr>
          <w:color w:val="105C84"/>
          <w:spacing w:val="22"/>
        </w:rPr>
        <w:t> </w:t>
      </w:r>
      <w:r>
        <w:rPr>
          <w:color w:val="105C84"/>
        </w:rPr>
        <w:t>has</w:t>
      </w:r>
      <w:r>
        <w:rPr>
          <w:color w:val="105C84"/>
          <w:spacing w:val="22"/>
        </w:rPr>
        <w:t> </w:t>
      </w:r>
      <w:r>
        <w:rPr>
          <w:color w:val="105C84"/>
        </w:rPr>
        <w:t>been</w:t>
      </w:r>
      <w:r>
        <w:rPr>
          <w:color w:val="105C84"/>
          <w:spacing w:val="22"/>
        </w:rPr>
        <w:t> </w:t>
      </w:r>
      <w:r>
        <w:rPr>
          <w:color w:val="105C84"/>
        </w:rPr>
        <w:t>implemented</w:t>
      </w:r>
      <w:r>
        <w:rPr>
          <w:color w:val="105C84"/>
          <w:spacing w:val="22"/>
        </w:rPr>
        <w:t> </w:t>
      </w:r>
      <w:r>
        <w:rPr>
          <w:color w:val="105C84"/>
        </w:rPr>
        <w:t>in</w:t>
      </w:r>
      <w:r>
        <w:rPr>
          <w:color w:val="105C84"/>
          <w:spacing w:val="22"/>
        </w:rPr>
        <w:t> </w:t>
      </w:r>
      <w:r>
        <w:rPr>
          <w:color w:val="105C84"/>
        </w:rPr>
        <w:t>Livingston</w:t>
      </w:r>
      <w:r>
        <w:rPr>
          <w:color w:val="105C84"/>
          <w:spacing w:val="22"/>
        </w:rPr>
        <w:t> </w:t>
      </w:r>
      <w:r>
        <w:rPr>
          <w:color w:val="105C84"/>
        </w:rPr>
        <w:t>County</w:t>
      </w:r>
      <w:r>
        <w:rPr>
          <w:color w:val="105C84"/>
        </w:rPr>
        <w:t> since 2011 to increase colon cancer screening rates. The County received a model practice award</w:t>
      </w:r>
      <w:r>
        <w:rPr>
          <w:color w:val="105C84"/>
          <w:spacing w:val="80"/>
        </w:rPr>
        <w:t> </w:t>
      </w:r>
      <w:r>
        <w:rPr>
          <w:color w:val="105C84"/>
        </w:rPr>
        <w:t>from the National Association of County and City Health Organizations as evaluation of the initiative</w:t>
      </w:r>
      <w:r>
        <w:rPr>
          <w:color w:val="105C84"/>
          <w:spacing w:val="40"/>
        </w:rPr>
        <w:t> </w:t>
      </w:r>
      <w:r>
        <w:rPr>
          <w:color w:val="105C84"/>
        </w:rPr>
        <w:t>showed</w:t>
      </w:r>
      <w:r>
        <w:rPr>
          <w:color w:val="105C84"/>
          <w:spacing w:val="22"/>
        </w:rPr>
        <w:t> </w:t>
      </w:r>
      <w:r>
        <w:rPr>
          <w:color w:val="105C84"/>
        </w:rPr>
        <w:t>an</w:t>
      </w:r>
      <w:r>
        <w:rPr>
          <w:color w:val="105C84"/>
          <w:spacing w:val="22"/>
        </w:rPr>
        <w:t> </w:t>
      </w:r>
      <w:r>
        <w:rPr>
          <w:color w:val="105C84"/>
        </w:rPr>
        <w:t>increase</w:t>
      </w:r>
      <w:r>
        <w:rPr>
          <w:color w:val="105C84"/>
          <w:spacing w:val="22"/>
        </w:rPr>
        <w:t> </w:t>
      </w:r>
      <w:r>
        <w:rPr>
          <w:color w:val="105C84"/>
        </w:rPr>
        <w:t>in</w:t>
      </w:r>
      <w:r>
        <w:rPr>
          <w:color w:val="105C84"/>
          <w:spacing w:val="22"/>
        </w:rPr>
        <w:t> </w:t>
      </w:r>
      <w:r>
        <w:rPr>
          <w:color w:val="105C84"/>
        </w:rPr>
        <w:t>colon</w:t>
      </w:r>
      <w:r>
        <w:rPr>
          <w:color w:val="105C84"/>
          <w:spacing w:val="22"/>
        </w:rPr>
        <w:t> </w:t>
      </w:r>
      <w:r>
        <w:rPr>
          <w:color w:val="105C84"/>
        </w:rPr>
        <w:t>cancer</w:t>
      </w:r>
      <w:r>
        <w:rPr>
          <w:color w:val="105C84"/>
          <w:spacing w:val="22"/>
        </w:rPr>
        <w:t> </w:t>
      </w:r>
      <w:r>
        <w:rPr>
          <w:color w:val="105C84"/>
        </w:rPr>
        <w:t>screenings</w:t>
      </w:r>
      <w:r>
        <w:rPr>
          <w:color w:val="105C84"/>
          <w:spacing w:val="22"/>
        </w:rPr>
        <w:t> </w:t>
      </w:r>
      <w:r>
        <w:rPr>
          <w:color w:val="105C84"/>
        </w:rPr>
        <w:t>among</w:t>
      </w:r>
      <w:r>
        <w:rPr>
          <w:color w:val="105C84"/>
          <w:spacing w:val="22"/>
        </w:rPr>
        <w:t> </w:t>
      </w:r>
      <w:r>
        <w:rPr>
          <w:color w:val="105C84"/>
        </w:rPr>
        <w:t>Livingston</w:t>
      </w:r>
      <w:r>
        <w:rPr>
          <w:color w:val="105C84"/>
          <w:spacing w:val="22"/>
        </w:rPr>
        <w:t> </w:t>
      </w:r>
      <w:r>
        <w:rPr>
          <w:color w:val="105C84"/>
        </w:rPr>
        <w:t>County</w:t>
      </w:r>
      <w:r>
        <w:rPr>
          <w:color w:val="105C84"/>
          <w:spacing w:val="22"/>
        </w:rPr>
        <w:t> </w:t>
      </w:r>
      <w:r>
        <w:rPr>
          <w:color w:val="105C84"/>
        </w:rPr>
        <w:t>residents.</w:t>
      </w:r>
      <w:r>
        <w:rPr>
          <w:color w:val="105C84"/>
          <w:spacing w:val="22"/>
        </w:rPr>
        <w:t> </w:t>
      </w:r>
      <w:r>
        <w:rPr>
          <w:color w:val="105C84"/>
        </w:rPr>
        <w:t>This</w:t>
      </w:r>
      <w:r>
        <w:rPr>
          <w:color w:val="105C84"/>
          <w:spacing w:val="22"/>
        </w:rPr>
        <w:t> </w:t>
      </w:r>
      <w:r>
        <w:rPr>
          <w:color w:val="105C84"/>
        </w:rPr>
        <w:t>initiative also led to the County being one of three in the State to achieve 80% colon cancer screening rates by </w:t>
      </w:r>
      <w:r>
        <w:rPr>
          <w:color w:val="105C84"/>
          <w:spacing w:val="-2"/>
        </w:rPr>
        <w:t>2018.</w:t>
      </w:r>
    </w:p>
    <w:p>
      <w:pPr>
        <w:pStyle w:val="BodyText"/>
        <w:spacing w:line="247" w:lineRule="auto" w:before="177"/>
        <w:ind w:left="1080" w:right="93"/>
      </w:pPr>
      <w:r>
        <w:rPr>
          <w:color w:val="105C84"/>
        </w:rPr>
        <w:t>Livingston County’s environment can be quite rural and for those without a vehicle, it can be challenging</w:t>
      </w:r>
      <w:r>
        <w:rPr>
          <w:color w:val="105C84"/>
          <w:spacing w:val="15"/>
        </w:rPr>
        <w:t> </w:t>
      </w:r>
      <w:r>
        <w:rPr>
          <w:color w:val="105C84"/>
        </w:rPr>
        <w:t>to</w:t>
      </w:r>
      <w:r>
        <w:rPr>
          <w:color w:val="105C84"/>
          <w:spacing w:val="15"/>
        </w:rPr>
        <w:t> </w:t>
      </w:r>
      <w:r>
        <w:rPr>
          <w:color w:val="105C84"/>
        </w:rPr>
        <w:t>get</w:t>
      </w:r>
      <w:r>
        <w:rPr>
          <w:color w:val="105C84"/>
          <w:spacing w:val="15"/>
        </w:rPr>
        <w:t> </w:t>
      </w:r>
      <w:r>
        <w:rPr>
          <w:color w:val="105C84"/>
        </w:rPr>
        <w:t>from</w:t>
      </w:r>
      <w:r>
        <w:rPr>
          <w:color w:val="105C84"/>
          <w:spacing w:val="15"/>
        </w:rPr>
        <w:t> </w:t>
      </w:r>
      <w:r>
        <w:rPr>
          <w:color w:val="105C84"/>
        </w:rPr>
        <w:t>place</w:t>
      </w:r>
      <w:r>
        <w:rPr>
          <w:color w:val="105C84"/>
          <w:spacing w:val="15"/>
        </w:rPr>
        <w:t> </w:t>
      </w:r>
      <w:r>
        <w:rPr>
          <w:color w:val="105C84"/>
        </w:rPr>
        <w:t>to</w:t>
      </w:r>
      <w:r>
        <w:rPr>
          <w:color w:val="105C84"/>
          <w:spacing w:val="15"/>
        </w:rPr>
        <w:t> </w:t>
      </w:r>
      <w:r>
        <w:rPr>
          <w:color w:val="105C84"/>
        </w:rPr>
        <w:t>place.</w:t>
      </w:r>
      <w:r>
        <w:rPr>
          <w:color w:val="105C84"/>
          <w:spacing w:val="15"/>
        </w:rPr>
        <w:t> </w:t>
      </w:r>
      <w:r>
        <w:rPr>
          <w:color w:val="105C84"/>
        </w:rPr>
        <w:t>As</w:t>
      </w:r>
      <w:r>
        <w:rPr>
          <w:color w:val="105C84"/>
          <w:spacing w:val="15"/>
        </w:rPr>
        <w:t> </w:t>
      </w:r>
      <w:r>
        <w:rPr>
          <w:color w:val="105C84"/>
        </w:rPr>
        <w:t>such,</w:t>
      </w:r>
      <w:r>
        <w:rPr>
          <w:color w:val="105C84"/>
          <w:spacing w:val="15"/>
        </w:rPr>
        <w:t> </w:t>
      </w:r>
      <w:r>
        <w:rPr>
          <w:color w:val="105C84"/>
        </w:rPr>
        <w:t>transportation</w:t>
      </w:r>
      <w:r>
        <w:rPr>
          <w:color w:val="105C84"/>
          <w:spacing w:val="15"/>
        </w:rPr>
        <w:t> </w:t>
      </w:r>
      <w:r>
        <w:rPr>
          <w:color w:val="105C84"/>
        </w:rPr>
        <w:t>is</w:t>
      </w:r>
      <w:r>
        <w:rPr>
          <w:color w:val="105C84"/>
          <w:spacing w:val="15"/>
        </w:rPr>
        <w:t> </w:t>
      </w:r>
      <w:r>
        <w:rPr>
          <w:color w:val="105C84"/>
        </w:rPr>
        <w:t>often</w:t>
      </w:r>
      <w:r>
        <w:rPr>
          <w:color w:val="105C84"/>
          <w:spacing w:val="15"/>
        </w:rPr>
        <w:t> </w:t>
      </w:r>
      <w:r>
        <w:rPr>
          <w:color w:val="105C84"/>
        </w:rPr>
        <w:t>a</w:t>
      </w:r>
      <w:r>
        <w:rPr>
          <w:color w:val="105C84"/>
          <w:spacing w:val="15"/>
        </w:rPr>
        <w:t> </w:t>
      </w:r>
      <w:r>
        <w:rPr>
          <w:color w:val="105C84"/>
        </w:rPr>
        <w:t>reported</w:t>
      </w:r>
      <w:r>
        <w:rPr>
          <w:color w:val="105C84"/>
          <w:spacing w:val="15"/>
        </w:rPr>
        <w:t> </w:t>
      </w:r>
      <w:r>
        <w:rPr>
          <w:color w:val="105C84"/>
        </w:rPr>
        <w:t>issue</w:t>
      </w:r>
      <w:r>
        <w:rPr>
          <w:color w:val="105C84"/>
          <w:spacing w:val="15"/>
        </w:rPr>
        <w:t> </w:t>
      </w:r>
      <w:r>
        <w:rPr>
          <w:color w:val="105C84"/>
        </w:rPr>
        <w:t>for</w:t>
      </w:r>
      <w:r>
        <w:rPr>
          <w:color w:val="105C84"/>
          <w:spacing w:val="15"/>
        </w:rPr>
        <w:t> </w:t>
      </w:r>
      <w:r>
        <w:rPr>
          <w:color w:val="105C84"/>
        </w:rPr>
        <w:t>residents.</w:t>
      </w:r>
    </w:p>
    <w:p>
      <w:pPr>
        <w:pStyle w:val="BodyText"/>
        <w:spacing w:line="247" w:lineRule="auto"/>
        <w:ind w:left="1080" w:right="298"/>
      </w:pPr>
      <w:r>
        <w:rPr>
          <w:color w:val="105C84"/>
        </w:rPr>
        <w:t>Livingston</w:t>
      </w:r>
      <w:r>
        <w:rPr>
          <w:color w:val="105C84"/>
          <w:spacing w:val="24"/>
        </w:rPr>
        <w:t> </w:t>
      </w:r>
      <w:r>
        <w:rPr>
          <w:color w:val="105C84"/>
        </w:rPr>
        <w:t>County</w:t>
      </w:r>
      <w:r>
        <w:rPr>
          <w:color w:val="105C84"/>
          <w:spacing w:val="24"/>
        </w:rPr>
        <w:t> </w:t>
      </w:r>
      <w:r>
        <w:rPr>
          <w:color w:val="105C84"/>
        </w:rPr>
        <w:t>respondents</w:t>
      </w:r>
      <w:r>
        <w:rPr>
          <w:color w:val="105C84"/>
          <w:spacing w:val="24"/>
        </w:rPr>
        <w:t> </w:t>
      </w:r>
      <w:r>
        <w:rPr>
          <w:color w:val="105C84"/>
        </w:rPr>
        <w:t>to</w:t>
      </w:r>
      <w:r>
        <w:rPr>
          <w:color w:val="105C84"/>
          <w:spacing w:val="24"/>
        </w:rPr>
        <w:t> </w:t>
      </w:r>
      <w:r>
        <w:rPr>
          <w:i/>
          <w:color w:val="105C84"/>
        </w:rPr>
        <w:t>My</w:t>
      </w:r>
      <w:r>
        <w:rPr>
          <w:i/>
          <w:color w:val="105C84"/>
          <w:spacing w:val="24"/>
        </w:rPr>
        <w:t> </w:t>
      </w:r>
      <w:r>
        <w:rPr>
          <w:i/>
          <w:color w:val="105C84"/>
        </w:rPr>
        <w:t>Health</w:t>
      </w:r>
      <w:r>
        <w:rPr>
          <w:i/>
          <w:color w:val="105C84"/>
          <w:spacing w:val="24"/>
        </w:rPr>
        <w:t> </w:t>
      </w:r>
      <w:r>
        <w:rPr>
          <w:i/>
          <w:color w:val="105C84"/>
        </w:rPr>
        <w:t>Story</w:t>
      </w:r>
      <w:r>
        <w:rPr>
          <w:i/>
          <w:color w:val="105C84"/>
          <w:spacing w:val="24"/>
        </w:rPr>
        <w:t> </w:t>
      </w:r>
      <w:r>
        <w:rPr>
          <w:i/>
          <w:color w:val="105C84"/>
        </w:rPr>
        <w:t>2018</w:t>
      </w:r>
      <w:r>
        <w:rPr>
          <w:i/>
          <w:color w:val="105C84"/>
          <w:spacing w:val="24"/>
        </w:rPr>
        <w:t> </w:t>
      </w:r>
      <w:r>
        <w:rPr>
          <w:color w:val="105C84"/>
        </w:rPr>
        <w:t>indicated</w:t>
      </w:r>
      <w:r>
        <w:rPr>
          <w:color w:val="105C84"/>
          <w:spacing w:val="24"/>
        </w:rPr>
        <w:t> </w:t>
      </w:r>
      <w:r>
        <w:rPr>
          <w:color w:val="105C84"/>
        </w:rPr>
        <w:t>transportation</w:t>
      </w:r>
      <w:r>
        <w:rPr>
          <w:color w:val="105C84"/>
          <w:spacing w:val="24"/>
        </w:rPr>
        <w:t> </w:t>
      </w:r>
      <w:r>
        <w:rPr>
          <w:color w:val="105C84"/>
        </w:rPr>
        <w:t>is</w:t>
      </w:r>
      <w:r>
        <w:rPr>
          <w:color w:val="105C84"/>
          <w:spacing w:val="24"/>
        </w:rPr>
        <w:t> </w:t>
      </w:r>
      <w:r>
        <w:rPr>
          <w:color w:val="105C84"/>
        </w:rPr>
        <w:t>an</w:t>
      </w:r>
      <w:r>
        <w:rPr>
          <w:color w:val="105C84"/>
          <w:spacing w:val="24"/>
        </w:rPr>
        <w:t> </w:t>
      </w:r>
      <w:r>
        <w:rPr>
          <w:color w:val="105C84"/>
        </w:rPr>
        <w:t>issue</w:t>
      </w:r>
      <w:r>
        <w:rPr>
          <w:color w:val="105C84"/>
          <w:spacing w:val="24"/>
        </w:rPr>
        <w:t> </w:t>
      </w:r>
      <w:r>
        <w:rPr>
          <w:color w:val="105C84"/>
        </w:rPr>
        <w:t>in terms of accessing healthy and wholesome foods (14% report it is a barrier), medical services (14% report it as a barrier), picking up necessary prescriptions (11%), and more. To address these issues in the county, Ride Livingston was created and is coordinated by the Livingston County Planning Department</w:t>
      </w:r>
      <w:r>
        <w:rPr>
          <w:color w:val="105C84"/>
          <w:spacing w:val="30"/>
        </w:rPr>
        <w:t> </w:t>
      </w:r>
      <w:r>
        <w:rPr>
          <w:color w:val="105C84"/>
        </w:rPr>
        <w:t>in</w:t>
      </w:r>
      <w:r>
        <w:rPr>
          <w:color w:val="105C84"/>
          <w:spacing w:val="30"/>
        </w:rPr>
        <w:t> </w:t>
      </w:r>
      <w:r>
        <w:rPr>
          <w:color w:val="105C84"/>
        </w:rPr>
        <w:t>collaboration</w:t>
      </w:r>
      <w:r>
        <w:rPr>
          <w:color w:val="105C84"/>
          <w:spacing w:val="30"/>
        </w:rPr>
        <w:t> </w:t>
      </w:r>
      <w:r>
        <w:rPr>
          <w:color w:val="105C84"/>
        </w:rPr>
        <w:t>with</w:t>
      </w:r>
      <w:r>
        <w:rPr>
          <w:color w:val="105C84"/>
          <w:spacing w:val="30"/>
        </w:rPr>
        <w:t> </w:t>
      </w:r>
      <w:r>
        <w:rPr>
          <w:color w:val="105C84"/>
        </w:rPr>
        <w:t>community</w:t>
      </w:r>
      <w:r>
        <w:rPr>
          <w:color w:val="105C84"/>
          <w:spacing w:val="30"/>
        </w:rPr>
        <w:t> </w:t>
      </w:r>
      <w:r>
        <w:rPr>
          <w:color w:val="105C84"/>
        </w:rPr>
        <w:t>partners.</w:t>
      </w:r>
      <w:r>
        <w:rPr>
          <w:color w:val="105C84"/>
          <w:spacing w:val="30"/>
        </w:rPr>
        <w:t> </w:t>
      </w:r>
      <w:r>
        <w:rPr>
          <w:color w:val="105C84"/>
        </w:rPr>
        <w:t>The</w:t>
      </w:r>
      <w:r>
        <w:rPr>
          <w:color w:val="105C84"/>
          <w:spacing w:val="30"/>
        </w:rPr>
        <w:t> </w:t>
      </w:r>
      <w:r>
        <w:rPr>
          <w:color w:val="105C84"/>
        </w:rPr>
        <w:t>mobility</w:t>
      </w:r>
      <w:r>
        <w:rPr>
          <w:color w:val="105C84"/>
          <w:spacing w:val="30"/>
        </w:rPr>
        <w:t> </w:t>
      </w:r>
      <w:r>
        <w:rPr>
          <w:color w:val="105C84"/>
        </w:rPr>
        <w:t>management</w:t>
      </w:r>
      <w:r>
        <w:rPr>
          <w:color w:val="105C84"/>
          <w:spacing w:val="30"/>
        </w:rPr>
        <w:t> </w:t>
      </w:r>
      <w:r>
        <w:rPr>
          <w:color w:val="105C84"/>
        </w:rPr>
        <w:t>website</w:t>
      </w:r>
      <w:r>
        <w:rPr>
          <w:color w:val="105C84"/>
          <w:spacing w:val="30"/>
        </w:rPr>
        <w:t> </w:t>
      </w:r>
      <w:r>
        <w:rPr>
          <w:color w:val="105C84"/>
        </w:rPr>
        <w:t>provides</w:t>
      </w:r>
    </w:p>
    <w:p>
      <w:pPr>
        <w:pStyle w:val="BodyText"/>
      </w:pPr>
      <w:r>
        <w:rPr/>
        <w:br w:type="column"/>
      </w:r>
      <w:r>
        <w:rPr/>
      </w:r>
    </w:p>
    <w:p>
      <w:pPr>
        <w:pStyle w:val="BodyText"/>
        <w:spacing w:before="85"/>
      </w:pPr>
    </w:p>
    <w:p>
      <w:pPr>
        <w:pStyle w:val="BodyText"/>
        <w:spacing w:line="247" w:lineRule="auto"/>
        <w:ind w:left="1080" w:right="479"/>
      </w:pPr>
      <w:r>
        <w:rPr>
          <w:color w:val="105C84"/>
        </w:rPr>
        <w:t>information</w:t>
      </w:r>
      <w:r>
        <w:rPr>
          <w:color w:val="105C84"/>
          <w:spacing w:val="28"/>
        </w:rPr>
        <w:t> </w:t>
      </w:r>
      <w:r>
        <w:rPr>
          <w:color w:val="105C84"/>
        </w:rPr>
        <w:t>on</w:t>
      </w:r>
      <w:r>
        <w:rPr>
          <w:color w:val="105C84"/>
          <w:spacing w:val="28"/>
        </w:rPr>
        <w:t> </w:t>
      </w:r>
      <w:r>
        <w:rPr>
          <w:color w:val="105C84"/>
        </w:rPr>
        <w:t>transportation</w:t>
      </w:r>
      <w:r>
        <w:rPr>
          <w:color w:val="105C84"/>
          <w:spacing w:val="28"/>
        </w:rPr>
        <w:t> </w:t>
      </w:r>
      <w:r>
        <w:rPr>
          <w:color w:val="105C84"/>
        </w:rPr>
        <w:t>resources</w:t>
      </w:r>
      <w:r>
        <w:rPr>
          <w:color w:val="105C84"/>
          <w:spacing w:val="28"/>
        </w:rPr>
        <w:t> </w:t>
      </w:r>
      <w:r>
        <w:rPr>
          <w:color w:val="105C84"/>
        </w:rPr>
        <w:t>and</w:t>
      </w:r>
      <w:r>
        <w:rPr>
          <w:color w:val="105C84"/>
          <w:spacing w:val="28"/>
        </w:rPr>
        <w:t> </w:t>
      </w:r>
      <w:r>
        <w:rPr>
          <w:color w:val="105C84"/>
        </w:rPr>
        <w:t>options</w:t>
      </w:r>
      <w:r>
        <w:rPr>
          <w:color w:val="105C84"/>
          <w:spacing w:val="28"/>
        </w:rPr>
        <w:t> </w:t>
      </w:r>
      <w:r>
        <w:rPr>
          <w:color w:val="105C84"/>
        </w:rPr>
        <w:t>available</w:t>
      </w:r>
      <w:r>
        <w:rPr>
          <w:color w:val="105C84"/>
          <w:spacing w:val="28"/>
        </w:rPr>
        <w:t> </w:t>
      </w:r>
      <w:r>
        <w:rPr>
          <w:color w:val="105C84"/>
        </w:rPr>
        <w:t>to</w:t>
      </w:r>
      <w:r>
        <w:rPr>
          <w:color w:val="105C84"/>
          <w:spacing w:val="28"/>
        </w:rPr>
        <w:t> </w:t>
      </w:r>
      <w:r>
        <w:rPr>
          <w:color w:val="105C84"/>
        </w:rPr>
        <w:t>county</w:t>
      </w:r>
      <w:r>
        <w:rPr>
          <w:color w:val="105C84"/>
          <w:spacing w:val="28"/>
        </w:rPr>
        <w:t> </w:t>
      </w:r>
      <w:r>
        <w:rPr>
          <w:color w:val="105C84"/>
        </w:rPr>
        <w:t>residents.</w:t>
      </w:r>
      <w:r>
        <w:rPr>
          <w:color w:val="105C84"/>
          <w:spacing w:val="28"/>
        </w:rPr>
        <w:t> </w:t>
      </w:r>
      <w:r>
        <w:rPr>
          <w:color w:val="105C84"/>
        </w:rPr>
        <w:t>There</w:t>
      </w:r>
      <w:r>
        <w:rPr>
          <w:color w:val="105C84"/>
          <w:spacing w:val="28"/>
        </w:rPr>
        <w:t> </w:t>
      </w:r>
      <w:r>
        <w:rPr>
          <w:color w:val="105C84"/>
        </w:rPr>
        <w:t>is</w:t>
      </w:r>
      <w:r>
        <w:rPr>
          <w:color w:val="105C84"/>
          <w:spacing w:val="28"/>
        </w:rPr>
        <w:t> </w:t>
      </w:r>
      <w:r>
        <w:rPr>
          <w:color w:val="105C84"/>
        </w:rPr>
        <w:t>a specific emphasis on providing information to assist at-risk populations such as older adults, people</w:t>
      </w:r>
      <w:r>
        <w:rPr>
          <w:color w:val="105C84"/>
          <w:spacing w:val="40"/>
        </w:rPr>
        <w:t> </w:t>
      </w:r>
      <w:r>
        <w:rPr>
          <w:color w:val="105C84"/>
        </w:rPr>
        <w:t>with</w:t>
      </w:r>
      <w:r>
        <w:rPr>
          <w:color w:val="105C84"/>
          <w:spacing w:val="31"/>
        </w:rPr>
        <w:t> </w:t>
      </w:r>
      <w:r>
        <w:rPr>
          <w:color w:val="105C84"/>
        </w:rPr>
        <w:t>disabilities</w:t>
      </w:r>
      <w:r>
        <w:rPr>
          <w:color w:val="105C84"/>
          <w:spacing w:val="31"/>
        </w:rPr>
        <w:t> </w:t>
      </w:r>
      <w:r>
        <w:rPr>
          <w:color w:val="105C84"/>
        </w:rPr>
        <w:t>and</w:t>
      </w:r>
      <w:r>
        <w:rPr>
          <w:color w:val="105C84"/>
          <w:spacing w:val="31"/>
        </w:rPr>
        <w:t> </w:t>
      </w:r>
      <w:r>
        <w:rPr>
          <w:color w:val="105C84"/>
        </w:rPr>
        <w:t>individuals</w:t>
      </w:r>
      <w:r>
        <w:rPr>
          <w:color w:val="105C84"/>
          <w:spacing w:val="31"/>
        </w:rPr>
        <w:t> </w:t>
      </w:r>
      <w:r>
        <w:rPr>
          <w:color w:val="105C84"/>
        </w:rPr>
        <w:t>with</w:t>
      </w:r>
      <w:r>
        <w:rPr>
          <w:color w:val="105C84"/>
          <w:spacing w:val="31"/>
        </w:rPr>
        <w:t> </w:t>
      </w:r>
      <w:r>
        <w:rPr>
          <w:color w:val="105C84"/>
        </w:rPr>
        <w:t>lower</w:t>
      </w:r>
      <w:r>
        <w:rPr>
          <w:color w:val="105C84"/>
          <w:spacing w:val="31"/>
        </w:rPr>
        <w:t> </w:t>
      </w:r>
      <w:r>
        <w:rPr>
          <w:color w:val="105C84"/>
        </w:rPr>
        <w:t>incomes</w:t>
      </w:r>
      <w:r>
        <w:rPr>
          <w:color w:val="105C84"/>
          <w:spacing w:val="31"/>
        </w:rPr>
        <w:t> </w:t>
      </w:r>
      <w:r>
        <w:rPr>
          <w:color w:val="105C84"/>
        </w:rPr>
        <w:t>in</w:t>
      </w:r>
      <w:r>
        <w:rPr>
          <w:color w:val="105C84"/>
          <w:spacing w:val="31"/>
        </w:rPr>
        <w:t> </w:t>
      </w:r>
      <w:r>
        <w:rPr>
          <w:color w:val="105C84"/>
        </w:rPr>
        <w:t>need</w:t>
      </w:r>
      <w:r>
        <w:rPr>
          <w:color w:val="105C84"/>
          <w:spacing w:val="31"/>
        </w:rPr>
        <w:t> </w:t>
      </w:r>
      <w:r>
        <w:rPr>
          <w:color w:val="105C84"/>
        </w:rPr>
        <w:t>of</w:t>
      </w:r>
      <w:r>
        <w:rPr>
          <w:color w:val="105C84"/>
          <w:spacing w:val="31"/>
        </w:rPr>
        <w:t> </w:t>
      </w:r>
      <w:r>
        <w:rPr>
          <w:color w:val="105C84"/>
        </w:rPr>
        <w:t>specialized</w:t>
      </w:r>
      <w:r>
        <w:rPr>
          <w:color w:val="105C84"/>
          <w:spacing w:val="31"/>
        </w:rPr>
        <w:t> </w:t>
      </w:r>
      <w:r>
        <w:rPr>
          <w:color w:val="105C84"/>
        </w:rPr>
        <w:t>transportation</w:t>
      </w:r>
      <w:r>
        <w:rPr>
          <w:color w:val="105C84"/>
          <w:spacing w:val="31"/>
        </w:rPr>
        <w:t> </w:t>
      </w:r>
      <w:r>
        <w:rPr>
          <w:color w:val="105C84"/>
        </w:rPr>
        <w:t>services.</w:t>
      </w:r>
    </w:p>
    <w:p>
      <w:pPr>
        <w:pStyle w:val="BodyText"/>
        <w:spacing w:line="247" w:lineRule="auto"/>
        <w:ind w:left="1080" w:right="713"/>
      </w:pPr>
      <w:r>
        <w:rPr>
          <w:color w:val="105C84"/>
        </w:rPr>
        <w:t>Improving access to transportation for the higher risk populations may help to improve the health</w:t>
      </w:r>
      <w:r>
        <w:rPr>
          <w:color w:val="105C84"/>
          <w:spacing w:val="80"/>
        </w:rPr>
        <w:t> </w:t>
      </w:r>
      <w:r>
        <w:rPr>
          <w:color w:val="105C84"/>
        </w:rPr>
        <w:t>and well-being of the community.</w:t>
      </w:r>
    </w:p>
    <w:p>
      <w:pPr>
        <w:pStyle w:val="BodyText"/>
        <w:spacing w:line="247" w:lineRule="auto" w:before="177"/>
        <w:ind w:left="1080" w:right="399"/>
      </w:pPr>
      <w:r>
        <w:rPr>
          <w:color w:val="105C84"/>
        </w:rPr>
        <w:t>As previously mentioned, mental health well-being remains a concern for residents based on data</w:t>
      </w:r>
      <w:r>
        <w:rPr>
          <w:color w:val="105C84"/>
          <w:spacing w:val="40"/>
        </w:rPr>
        <w:t> </w:t>
      </w:r>
      <w:r>
        <w:rPr>
          <w:color w:val="105C84"/>
        </w:rPr>
        <w:t>found in state reporting, </w:t>
      </w:r>
      <w:r>
        <w:rPr>
          <w:i/>
          <w:color w:val="105C84"/>
        </w:rPr>
        <w:t>My Health Story 2018 </w:t>
      </w:r>
      <w:r>
        <w:rPr>
          <w:color w:val="105C84"/>
        </w:rPr>
        <w:t>survey results, and anecdotal stories. Several initiatives have taken place to combat this. First, the county’s 25-bed inpatient residential facility was recently established, and it has operated at full capacity since its opening. The addition of the facility helps</w:t>
      </w:r>
      <w:r>
        <w:rPr>
          <w:color w:val="105C84"/>
          <w:spacing w:val="80"/>
        </w:rPr>
        <w:t> </w:t>
      </w:r>
      <w:r>
        <w:rPr>
          <w:color w:val="105C84"/>
        </w:rPr>
        <w:t>provide local access to necessary services for residents, though additional services may be required. Second, the Suicide and Overdose Grief Support Group provides support for family members and</w:t>
      </w:r>
      <w:r>
        <w:rPr>
          <w:color w:val="105C84"/>
          <w:spacing w:val="40"/>
        </w:rPr>
        <w:t> </w:t>
      </w:r>
      <w:r>
        <w:rPr>
          <w:color w:val="105C84"/>
        </w:rPr>
        <w:t>friends to those who have lost someone due to suicide or overdose. The group meets monthly and</w:t>
      </w:r>
      <w:r>
        <w:rPr>
          <w:color w:val="105C84"/>
          <w:spacing w:val="40"/>
        </w:rPr>
        <w:t> </w:t>
      </w:r>
      <w:r>
        <w:rPr>
          <w:color w:val="105C84"/>
        </w:rPr>
        <w:t>coordinates an annual Suicide Awareness Candlelight Vigil.</w:t>
      </w:r>
    </w:p>
    <w:p>
      <w:pPr>
        <w:pStyle w:val="BodyText"/>
        <w:spacing w:line="247" w:lineRule="auto" w:before="176"/>
        <w:ind w:left="1080" w:right="360"/>
      </w:pPr>
      <w:r>
        <w:rPr>
          <w:color w:val="105C84"/>
        </w:rPr>
        <w:t>In addition, Noyes Wellness and Mental Health Services have responded to growing mental health needs of residents in its rural service area. They provided 16,500 visits in 2017, 20,000 visits in 2018 (a 23% increase), and are projecting 22,500 visits in 2019 (12.5% increase). In response to this growing need, they will be adding two psychiatric nurse practitioners to their current team of 25 full-time</w:t>
      </w:r>
      <w:r>
        <w:rPr>
          <w:color w:val="105C84"/>
          <w:spacing w:val="80"/>
        </w:rPr>
        <w:t> </w:t>
      </w:r>
      <w:r>
        <w:rPr>
          <w:color w:val="105C84"/>
        </w:rPr>
        <w:t>therapists with three current psychiatric providers. Walk-in Crisis hours have been expanded to 8 a.m. to 4 p.m. five days per week resulting in a 50% increase of visits. The clinic has also expanded satellite locations by adding the May Center (BOCES) in Mt. Morris and Canaseraga School district. They have also purchased land in the northern part of Livingston County to open up a new Noyes Mental Health</w:t>
      </w:r>
      <w:r>
        <w:rPr>
          <w:color w:val="105C84"/>
          <w:spacing w:val="40"/>
        </w:rPr>
        <w:t> </w:t>
      </w:r>
      <w:r>
        <w:rPr>
          <w:color w:val="105C84"/>
        </w:rPr>
        <w:t>Clinic in Avon. Building construction will start in 2020.</w:t>
      </w:r>
    </w:p>
    <w:p>
      <w:pPr>
        <w:pStyle w:val="BodyText"/>
        <w:spacing w:line="247" w:lineRule="auto" w:before="175"/>
        <w:ind w:left="1080" w:right="654"/>
      </w:pPr>
      <w:r>
        <w:rPr>
          <w:color w:val="105C84"/>
        </w:rPr>
        <w:t>Livingston County Mental Health increased capacity to serve the Livingston County community to</w:t>
      </w:r>
      <w:r>
        <w:rPr>
          <w:color w:val="105C84"/>
          <w:spacing w:val="80"/>
        </w:rPr>
        <w:t> </w:t>
      </w:r>
      <w:r>
        <w:rPr>
          <w:color w:val="105C84"/>
        </w:rPr>
        <w:t>13</w:t>
      </w:r>
      <w:r>
        <w:rPr>
          <w:color w:val="105C84"/>
          <w:spacing w:val="-2"/>
        </w:rPr>
        <w:t> </w:t>
      </w:r>
      <w:r>
        <w:rPr>
          <w:color w:val="105C84"/>
        </w:rPr>
        <w:t>clinicians.</w:t>
      </w:r>
      <w:r>
        <w:rPr>
          <w:color w:val="105C84"/>
          <w:spacing w:val="-2"/>
        </w:rPr>
        <w:t> </w:t>
      </w:r>
      <w:r>
        <w:rPr>
          <w:color w:val="105C84"/>
        </w:rPr>
        <w:t>There</w:t>
      </w:r>
      <w:r>
        <w:rPr>
          <w:color w:val="105C84"/>
          <w:spacing w:val="-2"/>
        </w:rPr>
        <w:t> </w:t>
      </w:r>
      <w:r>
        <w:rPr>
          <w:color w:val="105C84"/>
        </w:rPr>
        <w:t>was</w:t>
      </w:r>
      <w:r>
        <w:rPr>
          <w:color w:val="105C84"/>
          <w:spacing w:val="-2"/>
        </w:rPr>
        <w:t> </w:t>
      </w:r>
      <w:r>
        <w:rPr>
          <w:color w:val="105C84"/>
        </w:rPr>
        <w:t>an</w:t>
      </w:r>
      <w:r>
        <w:rPr>
          <w:color w:val="105C84"/>
          <w:spacing w:val="-2"/>
        </w:rPr>
        <w:t> </w:t>
      </w:r>
      <w:r>
        <w:rPr>
          <w:color w:val="105C84"/>
        </w:rPr>
        <w:t>increase</w:t>
      </w:r>
      <w:r>
        <w:rPr>
          <w:color w:val="105C84"/>
          <w:spacing w:val="-2"/>
        </w:rPr>
        <w:t> </w:t>
      </w:r>
      <w:r>
        <w:rPr>
          <w:color w:val="105C84"/>
        </w:rPr>
        <w:t>in</w:t>
      </w:r>
      <w:r>
        <w:rPr>
          <w:color w:val="105C84"/>
          <w:spacing w:val="-2"/>
        </w:rPr>
        <w:t> </w:t>
      </w:r>
      <w:r>
        <w:rPr>
          <w:color w:val="105C84"/>
        </w:rPr>
        <w:t>the</w:t>
      </w:r>
      <w:r>
        <w:rPr>
          <w:color w:val="105C84"/>
          <w:spacing w:val="-2"/>
        </w:rPr>
        <w:t> </w:t>
      </w:r>
      <w:r>
        <w:rPr>
          <w:color w:val="105C84"/>
        </w:rPr>
        <w:t>Nurse</w:t>
      </w:r>
      <w:r>
        <w:rPr>
          <w:color w:val="105C84"/>
          <w:spacing w:val="-2"/>
        </w:rPr>
        <w:t> </w:t>
      </w:r>
      <w:r>
        <w:rPr>
          <w:color w:val="105C84"/>
        </w:rPr>
        <w:t>Practitioner</w:t>
      </w:r>
      <w:r>
        <w:rPr>
          <w:color w:val="105C84"/>
          <w:spacing w:val="-2"/>
        </w:rPr>
        <w:t> </w:t>
      </w:r>
      <w:r>
        <w:rPr>
          <w:color w:val="105C84"/>
        </w:rPr>
        <w:t>Psychiatric</w:t>
      </w:r>
      <w:r>
        <w:rPr>
          <w:color w:val="105C84"/>
          <w:spacing w:val="-2"/>
        </w:rPr>
        <w:t> </w:t>
      </w:r>
      <w:r>
        <w:rPr>
          <w:color w:val="105C84"/>
        </w:rPr>
        <w:t>by</w:t>
      </w:r>
      <w:r>
        <w:rPr>
          <w:color w:val="105C84"/>
          <w:spacing w:val="-2"/>
        </w:rPr>
        <w:t> </w:t>
      </w:r>
      <w:r>
        <w:rPr>
          <w:color w:val="105C84"/>
        </w:rPr>
        <w:t>7</w:t>
      </w:r>
      <w:r>
        <w:rPr>
          <w:color w:val="105C84"/>
          <w:spacing w:val="-2"/>
        </w:rPr>
        <w:t> </w:t>
      </w:r>
      <w:r>
        <w:rPr>
          <w:color w:val="105C84"/>
        </w:rPr>
        <w:t>hours</w:t>
      </w:r>
      <w:r>
        <w:rPr>
          <w:color w:val="105C84"/>
          <w:spacing w:val="-2"/>
        </w:rPr>
        <w:t> </w:t>
      </w:r>
      <w:r>
        <w:rPr>
          <w:color w:val="105C84"/>
        </w:rPr>
        <w:t>per</w:t>
      </w:r>
      <w:r>
        <w:rPr>
          <w:color w:val="105C84"/>
          <w:spacing w:val="-2"/>
        </w:rPr>
        <w:t> </w:t>
      </w:r>
      <w:r>
        <w:rPr>
          <w:color w:val="105C84"/>
        </w:rPr>
        <w:t>week</w:t>
      </w:r>
      <w:r>
        <w:rPr>
          <w:color w:val="105C84"/>
          <w:spacing w:val="-2"/>
        </w:rPr>
        <w:t> </w:t>
      </w:r>
      <w:r>
        <w:rPr>
          <w:color w:val="105C84"/>
        </w:rPr>
        <w:t>with</w:t>
      </w:r>
      <w:r>
        <w:rPr>
          <w:color w:val="105C84"/>
          <w:spacing w:val="-2"/>
        </w:rPr>
        <w:t> </w:t>
      </w:r>
      <w:r>
        <w:rPr>
          <w:color w:val="105C84"/>
        </w:rPr>
        <w:t>a 12%</w:t>
      </w:r>
      <w:r>
        <w:rPr>
          <w:color w:val="105C84"/>
          <w:spacing w:val="-4"/>
        </w:rPr>
        <w:t> </w:t>
      </w:r>
      <w:r>
        <w:rPr>
          <w:color w:val="105C84"/>
        </w:rPr>
        <w:t>increase</w:t>
      </w:r>
      <w:r>
        <w:rPr>
          <w:color w:val="105C84"/>
          <w:spacing w:val="-3"/>
        </w:rPr>
        <w:t> </w:t>
      </w:r>
      <w:r>
        <w:rPr>
          <w:color w:val="105C84"/>
        </w:rPr>
        <w:t>in</w:t>
      </w:r>
      <w:r>
        <w:rPr>
          <w:color w:val="105C84"/>
          <w:spacing w:val="-4"/>
        </w:rPr>
        <w:t> </w:t>
      </w:r>
      <w:r>
        <w:rPr>
          <w:color w:val="105C84"/>
        </w:rPr>
        <w:t>the</w:t>
      </w:r>
      <w:r>
        <w:rPr>
          <w:color w:val="105C84"/>
          <w:spacing w:val="-3"/>
        </w:rPr>
        <w:t> </w:t>
      </w:r>
      <w:r>
        <w:rPr>
          <w:color w:val="105C84"/>
        </w:rPr>
        <w:t>number</w:t>
      </w:r>
      <w:r>
        <w:rPr>
          <w:color w:val="105C84"/>
          <w:spacing w:val="-4"/>
        </w:rPr>
        <w:t> </w:t>
      </w:r>
      <w:r>
        <w:rPr>
          <w:color w:val="105C84"/>
        </w:rPr>
        <w:t>of</w:t>
      </w:r>
      <w:r>
        <w:rPr>
          <w:color w:val="105C84"/>
          <w:spacing w:val="-3"/>
        </w:rPr>
        <w:t> </w:t>
      </w:r>
      <w:r>
        <w:rPr>
          <w:color w:val="105C84"/>
        </w:rPr>
        <w:t>visits.</w:t>
      </w:r>
      <w:r>
        <w:rPr>
          <w:color w:val="105C84"/>
          <w:spacing w:val="-4"/>
        </w:rPr>
        <w:t> </w:t>
      </w:r>
      <w:r>
        <w:rPr>
          <w:color w:val="105C84"/>
        </w:rPr>
        <w:t>Open</w:t>
      </w:r>
      <w:r>
        <w:rPr>
          <w:color w:val="105C84"/>
          <w:spacing w:val="-3"/>
        </w:rPr>
        <w:t> </w:t>
      </w:r>
      <w:r>
        <w:rPr>
          <w:color w:val="105C84"/>
        </w:rPr>
        <w:t>access</w:t>
      </w:r>
      <w:r>
        <w:rPr>
          <w:color w:val="105C84"/>
          <w:spacing w:val="-4"/>
        </w:rPr>
        <w:t> </w:t>
      </w:r>
      <w:r>
        <w:rPr>
          <w:color w:val="105C84"/>
        </w:rPr>
        <w:t>which</w:t>
      </w:r>
      <w:r>
        <w:rPr>
          <w:color w:val="105C84"/>
          <w:spacing w:val="-3"/>
        </w:rPr>
        <w:t> </w:t>
      </w:r>
      <w:r>
        <w:rPr>
          <w:color w:val="105C84"/>
        </w:rPr>
        <w:t>provides</w:t>
      </w:r>
      <w:r>
        <w:rPr>
          <w:color w:val="105C84"/>
          <w:spacing w:val="-4"/>
        </w:rPr>
        <w:t> </w:t>
      </w:r>
      <w:r>
        <w:rPr>
          <w:color w:val="105C84"/>
        </w:rPr>
        <w:t>services</w:t>
      </w:r>
      <w:r>
        <w:rPr>
          <w:color w:val="105C84"/>
          <w:spacing w:val="-3"/>
        </w:rPr>
        <w:t> </w:t>
      </w:r>
      <w:r>
        <w:rPr>
          <w:color w:val="105C84"/>
        </w:rPr>
        <w:t>on</w:t>
      </w:r>
      <w:r>
        <w:rPr>
          <w:color w:val="105C84"/>
          <w:spacing w:val="-4"/>
        </w:rPr>
        <w:t> </w:t>
      </w:r>
      <w:r>
        <w:rPr>
          <w:color w:val="105C84"/>
        </w:rPr>
        <w:t>a</w:t>
      </w:r>
      <w:r>
        <w:rPr>
          <w:color w:val="105C84"/>
          <w:spacing w:val="-3"/>
        </w:rPr>
        <w:t> </w:t>
      </w:r>
      <w:r>
        <w:rPr>
          <w:color w:val="105C84"/>
        </w:rPr>
        <w:t>walk-in</w:t>
      </w:r>
      <w:r>
        <w:rPr>
          <w:color w:val="105C84"/>
          <w:spacing w:val="-4"/>
        </w:rPr>
        <w:t> </w:t>
      </w:r>
      <w:r>
        <w:rPr>
          <w:color w:val="105C84"/>
        </w:rPr>
        <w:t>basis</w:t>
      </w:r>
      <w:r>
        <w:rPr>
          <w:color w:val="105C84"/>
          <w:spacing w:val="-3"/>
        </w:rPr>
        <w:t> </w:t>
      </w:r>
      <w:r>
        <w:rPr>
          <w:color w:val="105C84"/>
        </w:rPr>
        <w:t>at</w:t>
      </w:r>
      <w:r>
        <w:rPr>
          <w:color w:val="105C84"/>
          <w:spacing w:val="-3"/>
        </w:rPr>
        <w:t> </w:t>
      </w:r>
      <w:r>
        <w:rPr>
          <w:color w:val="105C84"/>
          <w:spacing w:val="-5"/>
        </w:rPr>
        <w:t>the</w:t>
      </w:r>
    </w:p>
    <w:p>
      <w:pPr>
        <w:pStyle w:val="BodyText"/>
        <w:spacing w:line="247" w:lineRule="auto"/>
        <w:ind w:left="1080" w:right="479"/>
      </w:pPr>
      <w:r>
        <w:rPr>
          <w:color w:val="105C84"/>
        </w:rPr>
        <w:t>Mental Health clinic continues to increase accessibility.</w:t>
      </w:r>
      <w:r>
        <w:rPr>
          <w:color w:val="105C84"/>
          <w:spacing w:val="80"/>
        </w:rPr>
        <w:t> </w:t>
      </w:r>
      <w:r>
        <w:rPr>
          <w:color w:val="105C84"/>
        </w:rPr>
        <w:t>In addition, Livingston County Mental Health continues to increase access and decrease stigma by integrating services at the Department of Social Services and the Livingston County Jail. Mental Health also partners with Public Health to provide media and outreach to the community regarding overall health which includes physical, mental and</w:t>
      </w:r>
      <w:r>
        <w:rPr>
          <w:color w:val="105C84"/>
          <w:spacing w:val="40"/>
        </w:rPr>
        <w:t> </w:t>
      </w:r>
      <w:r>
        <w:rPr>
          <w:color w:val="105C84"/>
        </w:rPr>
        <w:t>social well-being.</w:t>
      </w:r>
    </w:p>
    <w:p>
      <w:pPr>
        <w:pStyle w:val="BodyText"/>
        <w:spacing w:line="247" w:lineRule="auto" w:before="176"/>
        <w:ind w:left="1080" w:right="1201"/>
        <w:jc w:val="both"/>
      </w:pPr>
      <w:r>
        <w:rPr>
          <w:color w:val="105C84"/>
        </w:rPr>
        <w:t>Community members and partners can take part in evidence-based trainings at CASA-Trinity, including Narcan administration, Shawna Has a Secret for parents/guardians, Peer Navigator programs, and community forums/town hall meetings.</w:t>
      </w:r>
    </w:p>
    <w:p>
      <w:pPr>
        <w:pStyle w:val="BodyText"/>
        <w:spacing w:line="247" w:lineRule="auto" w:before="178"/>
        <w:ind w:left="1080" w:right="654"/>
      </w:pPr>
      <w:r>
        <w:rPr>
          <w:color w:val="105C84"/>
        </w:rPr>
        <w:t>A voluntary drug amnesty program also continues to be available for county residents. Community members can voluntarily drop off drugs and/or paraphernalia at the Sheriff’s Office, Livingston County Mental Health Services, CASA-Trinity or Livingston County DSS. Residents will avoid arrest and be scheduled for an immediate appointment at CASA-Trinity in either Geneseo or Dansville. Only a few individuals have utilized the program to date.</w:t>
      </w:r>
    </w:p>
    <w:p>
      <w:pPr>
        <w:pStyle w:val="BodyText"/>
        <w:spacing w:line="247" w:lineRule="auto" w:before="178"/>
        <w:ind w:left="1080" w:right="479"/>
      </w:pPr>
      <w:r>
        <w:rPr>
          <w:color w:val="105C84"/>
        </w:rPr>
        <w:t>Systems change initiatives are also helping to improve mental health access. The Livingston County Mental Health clinic now offers open access for walk-in clients. This service improves the accessibility of services for those in immediate need.</w:t>
      </w:r>
    </w:p>
    <w:p>
      <w:pPr>
        <w:pStyle w:val="BodyText"/>
        <w:spacing w:line="247" w:lineRule="auto" w:before="178"/>
        <w:ind w:left="1080" w:right="479"/>
      </w:pPr>
      <w:r>
        <w:rPr>
          <w:color w:val="105C84"/>
        </w:rPr>
        <w:t>Another systems change example is the creation of the Mobile Crisis Response, which strives to</w:t>
      </w:r>
      <w:r>
        <w:rPr>
          <w:color w:val="105C84"/>
          <w:spacing w:val="40"/>
        </w:rPr>
        <w:t> </w:t>
      </w:r>
      <w:r>
        <w:rPr>
          <w:color w:val="105C84"/>
        </w:rPr>
        <w:t>reduce mental health arrests and ED visits. Livingston County Mental Health Services, UR Medicine/ Noyes Health Mental Health, and CASA-Trinity of Livingston County have collaborated since October 2018 to deploy behavioral health clinicians to attend crisis calls after hours with law enforcement officers,</w:t>
      </w:r>
      <w:r>
        <w:rPr>
          <w:color w:val="105C84"/>
          <w:spacing w:val="30"/>
        </w:rPr>
        <w:t> </w:t>
      </w:r>
      <w:r>
        <w:rPr>
          <w:color w:val="105C84"/>
        </w:rPr>
        <w:t>to</w:t>
      </w:r>
      <w:r>
        <w:rPr>
          <w:color w:val="105C84"/>
          <w:spacing w:val="30"/>
        </w:rPr>
        <w:t> </w:t>
      </w:r>
      <w:r>
        <w:rPr>
          <w:color w:val="105C84"/>
        </w:rPr>
        <w:t>conduct</w:t>
      </w:r>
      <w:r>
        <w:rPr>
          <w:color w:val="105C84"/>
          <w:spacing w:val="30"/>
        </w:rPr>
        <w:t> </w:t>
      </w:r>
      <w:r>
        <w:rPr>
          <w:color w:val="105C84"/>
        </w:rPr>
        <w:t>on-site</w:t>
      </w:r>
      <w:r>
        <w:rPr>
          <w:color w:val="105C84"/>
          <w:spacing w:val="30"/>
        </w:rPr>
        <w:t> </w:t>
      </w:r>
      <w:r>
        <w:rPr>
          <w:color w:val="105C84"/>
        </w:rPr>
        <w:t>behavioral</w:t>
      </w:r>
      <w:r>
        <w:rPr>
          <w:color w:val="105C84"/>
          <w:spacing w:val="30"/>
        </w:rPr>
        <w:t> </w:t>
      </w:r>
      <w:r>
        <w:rPr>
          <w:color w:val="105C84"/>
        </w:rPr>
        <w:t>health</w:t>
      </w:r>
      <w:r>
        <w:rPr>
          <w:color w:val="105C84"/>
          <w:spacing w:val="30"/>
        </w:rPr>
        <w:t> </w:t>
      </w:r>
      <w:r>
        <w:rPr>
          <w:color w:val="105C84"/>
        </w:rPr>
        <w:t>and</w:t>
      </w:r>
      <w:r>
        <w:rPr>
          <w:color w:val="105C84"/>
          <w:spacing w:val="30"/>
        </w:rPr>
        <w:t> </w:t>
      </w:r>
      <w:r>
        <w:rPr>
          <w:color w:val="105C84"/>
        </w:rPr>
        <w:t>substance</w:t>
      </w:r>
      <w:r>
        <w:rPr>
          <w:color w:val="105C84"/>
          <w:spacing w:val="30"/>
        </w:rPr>
        <w:t> </w:t>
      </w:r>
      <w:r>
        <w:rPr>
          <w:color w:val="105C84"/>
        </w:rPr>
        <w:t>use</w:t>
      </w:r>
      <w:r>
        <w:rPr>
          <w:color w:val="105C84"/>
          <w:spacing w:val="30"/>
        </w:rPr>
        <w:t> </w:t>
      </w:r>
      <w:r>
        <w:rPr>
          <w:color w:val="105C84"/>
        </w:rPr>
        <w:t>evaluations,</w:t>
      </w:r>
      <w:r>
        <w:rPr>
          <w:color w:val="105C84"/>
          <w:spacing w:val="30"/>
        </w:rPr>
        <w:t> </w:t>
      </w:r>
      <w:r>
        <w:rPr>
          <w:color w:val="105C84"/>
        </w:rPr>
        <w:t>and</w:t>
      </w:r>
      <w:r>
        <w:rPr>
          <w:color w:val="105C84"/>
          <w:spacing w:val="30"/>
        </w:rPr>
        <w:t> </w:t>
      </w:r>
      <w:r>
        <w:rPr>
          <w:color w:val="105C84"/>
        </w:rPr>
        <w:t>potentially</w:t>
      </w:r>
      <w:r>
        <w:rPr>
          <w:color w:val="105C84"/>
          <w:spacing w:val="30"/>
        </w:rPr>
        <w:t> </w:t>
      </w:r>
      <w:r>
        <w:rPr>
          <w:color w:val="105C84"/>
        </w:rPr>
        <w:t>avoid</w:t>
      </w:r>
    </w:p>
    <w:p>
      <w:pPr>
        <w:pStyle w:val="BodyText"/>
        <w:spacing w:after="0" w:line="247" w:lineRule="auto"/>
        <w:sectPr>
          <w:pgSz w:w="24480" w:h="15840" w:orient="landscape"/>
          <w:pgMar w:header="0" w:footer="0" w:top="860" w:bottom="0" w:left="0" w:right="720"/>
          <w:cols w:num="2" w:equalWidth="0">
            <w:col w:w="11214" w:space="1026"/>
            <w:col w:w="11520"/>
          </w:cols>
        </w:sectPr>
      </w:pPr>
    </w:p>
    <w:p>
      <w:pPr>
        <w:pStyle w:val="BodyText"/>
        <w:spacing w:before="155"/>
        <w:rPr>
          <w:sz w:val="26"/>
        </w:rPr>
      </w:pPr>
      <w:r>
        <w:rPr>
          <w:sz w:val="26"/>
        </w:rPr>
        <w:drawing>
          <wp:anchor distT="0" distB="0" distL="0" distR="0" allowOverlap="1" layoutInCell="1" locked="0" behindDoc="0" simplePos="0" relativeHeight="15793152">
            <wp:simplePos x="0" y="0"/>
            <wp:positionH relativeFrom="page">
              <wp:posOffset>14981556</wp:posOffset>
            </wp:positionH>
            <wp:positionV relativeFrom="page">
              <wp:posOffset>9668103</wp:posOffset>
            </wp:positionV>
            <wp:extent cx="563245" cy="184683"/>
            <wp:effectExtent l="0" t="0" r="0" b="0"/>
            <wp:wrapNone/>
            <wp:docPr id="695" name="Image 695"/>
            <wp:cNvGraphicFramePr>
              <a:graphicFrameLocks/>
            </wp:cNvGraphicFramePr>
            <a:graphic>
              <a:graphicData uri="http://schemas.openxmlformats.org/drawingml/2006/picture">
                <pic:pic>
                  <pic:nvPicPr>
                    <pic:cNvPr id="695" name="Image 695"/>
                    <pic:cNvPicPr/>
                  </pic:nvPicPr>
                  <pic:blipFill>
                    <a:blip r:embed="rId38" cstate="print"/>
                    <a:stretch>
                      <a:fillRect/>
                    </a:stretch>
                  </pic:blipFill>
                  <pic:spPr>
                    <a:xfrm>
                      <a:off x="0" y="0"/>
                      <a:ext cx="563245" cy="184683"/>
                    </a:xfrm>
                    <a:prstGeom prst="rect">
                      <a:avLst/>
                    </a:prstGeom>
                  </pic:spPr>
                </pic:pic>
              </a:graphicData>
            </a:graphic>
          </wp:anchor>
        </w:drawing>
      </w:r>
    </w:p>
    <w:p>
      <w:pPr>
        <w:tabs>
          <w:tab w:pos="23147" w:val="left" w:leader="none"/>
        </w:tabs>
        <w:spacing w:before="1"/>
        <w:ind w:left="0" w:right="0" w:firstLine="0"/>
        <w:jc w:val="left"/>
        <w:rPr>
          <w:b/>
          <w:sz w:val="26"/>
        </w:rPr>
      </w:pPr>
      <w:r>
        <w:rPr>
          <w:position w:val="-4"/>
        </w:rPr>
        <w:drawing>
          <wp:inline distT="0" distB="0" distL="0" distR="0">
            <wp:extent cx="568172" cy="184683"/>
            <wp:effectExtent l="0" t="0" r="0" b="0"/>
            <wp:docPr id="696" name="Image 696"/>
            <wp:cNvGraphicFramePr>
              <a:graphicFrameLocks/>
            </wp:cNvGraphicFramePr>
            <a:graphic>
              <a:graphicData uri="http://schemas.openxmlformats.org/drawingml/2006/picture">
                <pic:pic>
                  <pic:nvPicPr>
                    <pic:cNvPr id="696" name="Image 696"/>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80"/>
          <w:w w:val="105"/>
          <w:sz w:val="20"/>
        </w:rPr>
        <w:t> </w:t>
      </w:r>
      <w:r>
        <w:rPr>
          <w:b/>
          <w:color w:val="939598"/>
          <w:w w:val="105"/>
          <w:sz w:val="26"/>
        </w:rPr>
        <w:t>51</w:t>
      </w:r>
      <w:r>
        <w:rPr>
          <w:b/>
          <w:color w:val="939598"/>
          <w:sz w:val="26"/>
        </w:rPr>
        <w:tab/>
      </w:r>
      <w:r>
        <w:rPr>
          <w:b/>
          <w:color w:val="939598"/>
          <w:spacing w:val="-5"/>
          <w:w w:val="105"/>
          <w:sz w:val="26"/>
        </w:rPr>
        <w:t>52</w:t>
      </w:r>
    </w:p>
    <w:p>
      <w:pPr>
        <w:spacing w:after="0"/>
        <w:jc w:val="left"/>
        <w:rPr>
          <w:b/>
          <w:sz w:val="26"/>
        </w:rPr>
        <w:sectPr>
          <w:type w:val="continuous"/>
          <w:pgSz w:w="24480" w:h="15840" w:orient="landscape"/>
          <w:pgMar w:header="0" w:footer="0" w:top="0" w:bottom="280" w:left="0" w:right="720"/>
        </w:sectPr>
      </w:pPr>
    </w:p>
    <w:p>
      <w:pPr>
        <w:pStyle w:val="BodyText"/>
        <w:rPr>
          <w:b/>
          <w:sz w:val="20"/>
        </w:rPr>
      </w:pPr>
    </w:p>
    <w:p>
      <w:pPr>
        <w:pStyle w:val="BodyText"/>
        <w:spacing w:before="44"/>
        <w:rPr>
          <w:b/>
          <w:sz w:val="20"/>
        </w:rPr>
      </w:pPr>
    </w:p>
    <w:p>
      <w:pPr>
        <w:pStyle w:val="BodyText"/>
        <w:spacing w:after="0"/>
        <w:rPr>
          <w:b/>
          <w:sz w:val="20"/>
        </w:rPr>
        <w:sectPr>
          <w:pgSz w:w="24480" w:h="15840" w:orient="landscape"/>
          <w:pgMar w:header="0" w:footer="0" w:top="860" w:bottom="0" w:left="0" w:right="720"/>
        </w:sectPr>
      </w:pPr>
    </w:p>
    <w:p>
      <w:pPr>
        <w:pStyle w:val="BodyText"/>
        <w:spacing w:line="247" w:lineRule="auto" w:before="114"/>
        <w:ind w:left="1080" w:right="115"/>
      </w:pPr>
      <w:r>
        <w:rPr>
          <w:color w:val="105C84"/>
        </w:rPr>
        <w:t>unnecessary hospital admissions. Safety plans are developed during the crisis encounters, and</w:t>
      </w:r>
      <w:r>
        <w:rPr>
          <w:color w:val="105C84"/>
          <w:spacing w:val="80"/>
        </w:rPr>
        <w:t> </w:t>
      </w:r>
      <w:r>
        <w:rPr>
          <w:color w:val="105C84"/>
        </w:rPr>
        <w:t>follow-up appointments are scheduled at Noyes or Livingston County Mental Health Clinics, or at</w:t>
      </w:r>
      <w:r>
        <w:rPr>
          <w:color w:val="105C84"/>
          <w:spacing w:val="40"/>
        </w:rPr>
        <w:t> </w:t>
      </w:r>
      <w:r>
        <w:rPr>
          <w:color w:val="105C84"/>
        </w:rPr>
        <w:t>CASA Trinity’s outpatient clinic. Transportation to and from follow-up appointments can be arranged</w:t>
      </w:r>
      <w:r>
        <w:rPr>
          <w:color w:val="105C84"/>
          <w:spacing w:val="40"/>
        </w:rPr>
        <w:t> </w:t>
      </w:r>
      <w:r>
        <w:rPr>
          <w:color w:val="105C84"/>
        </w:rPr>
        <w:t>through CASA-Trinity’s Peer Advocate Program. The effort is funded through Behavioral Health</w:t>
      </w:r>
    </w:p>
    <w:p>
      <w:pPr>
        <w:pStyle w:val="BodyText"/>
        <w:spacing w:line="247" w:lineRule="auto"/>
        <w:ind w:left="1080"/>
      </w:pPr>
      <w:r>
        <w:rPr>
          <w:color w:val="105C84"/>
        </w:rPr>
        <w:t>Community Crisis Stabilization funds using Finger Lakes Performing Provider System monies. In 2019, the program’s first full year of funding, the team is on track to respond and assist with 160 municipal calls by year end.</w:t>
      </w:r>
    </w:p>
    <w:p>
      <w:pPr>
        <w:pStyle w:val="BodyText"/>
        <w:spacing w:line="247" w:lineRule="auto" w:before="176"/>
        <w:ind w:left="1080" w:right="115"/>
      </w:pPr>
      <w:r>
        <w:rPr>
          <w:color w:val="105C84"/>
        </w:rPr>
        <w:t>Finally, Livingston County also has access to geographic information system (GIS) data mining regarding</w:t>
      </w:r>
      <w:r>
        <w:rPr>
          <w:color w:val="105C84"/>
          <w:spacing w:val="24"/>
        </w:rPr>
        <w:t> </w:t>
      </w:r>
      <w:r>
        <w:rPr>
          <w:color w:val="105C84"/>
        </w:rPr>
        <w:t>opioids,</w:t>
      </w:r>
      <w:r>
        <w:rPr>
          <w:color w:val="105C84"/>
          <w:spacing w:val="24"/>
        </w:rPr>
        <w:t> </w:t>
      </w:r>
      <w:r>
        <w:rPr>
          <w:color w:val="105C84"/>
        </w:rPr>
        <w:t>which</w:t>
      </w:r>
      <w:r>
        <w:rPr>
          <w:color w:val="105C84"/>
          <w:spacing w:val="24"/>
        </w:rPr>
        <w:t> </w:t>
      </w:r>
      <w:r>
        <w:rPr>
          <w:color w:val="105C84"/>
        </w:rPr>
        <w:t>provides</w:t>
      </w:r>
      <w:r>
        <w:rPr>
          <w:color w:val="105C84"/>
          <w:spacing w:val="24"/>
        </w:rPr>
        <w:t> </w:t>
      </w:r>
      <w:r>
        <w:rPr>
          <w:color w:val="105C84"/>
        </w:rPr>
        <w:t>a</w:t>
      </w:r>
      <w:r>
        <w:rPr>
          <w:color w:val="105C84"/>
          <w:spacing w:val="24"/>
        </w:rPr>
        <w:t> </w:t>
      </w:r>
      <w:r>
        <w:rPr>
          <w:color w:val="105C84"/>
        </w:rPr>
        <w:t>snapshot</w:t>
      </w:r>
      <w:r>
        <w:rPr>
          <w:color w:val="105C84"/>
          <w:spacing w:val="24"/>
        </w:rPr>
        <w:t> </w:t>
      </w:r>
      <w:r>
        <w:rPr>
          <w:color w:val="105C84"/>
        </w:rPr>
        <w:t>of</w:t>
      </w:r>
      <w:r>
        <w:rPr>
          <w:color w:val="105C84"/>
          <w:spacing w:val="24"/>
        </w:rPr>
        <w:t> </w:t>
      </w:r>
      <w:r>
        <w:rPr>
          <w:color w:val="105C84"/>
        </w:rPr>
        <w:t>arrests,</w:t>
      </w:r>
      <w:r>
        <w:rPr>
          <w:color w:val="105C84"/>
          <w:spacing w:val="24"/>
        </w:rPr>
        <w:t> </w:t>
      </w:r>
      <w:r>
        <w:rPr>
          <w:color w:val="105C84"/>
        </w:rPr>
        <w:t>overdoses</w:t>
      </w:r>
      <w:r>
        <w:rPr>
          <w:color w:val="105C84"/>
          <w:spacing w:val="24"/>
        </w:rPr>
        <w:t> </w:t>
      </w:r>
      <w:r>
        <w:rPr>
          <w:color w:val="105C84"/>
        </w:rPr>
        <w:t>and</w:t>
      </w:r>
      <w:r>
        <w:rPr>
          <w:color w:val="105C84"/>
          <w:spacing w:val="24"/>
        </w:rPr>
        <w:t> </w:t>
      </w:r>
      <w:r>
        <w:rPr>
          <w:color w:val="105C84"/>
        </w:rPr>
        <w:t>deaths</w:t>
      </w:r>
      <w:r>
        <w:rPr>
          <w:color w:val="105C84"/>
          <w:spacing w:val="24"/>
        </w:rPr>
        <w:t> </w:t>
      </w:r>
      <w:r>
        <w:rPr>
          <w:color w:val="105C84"/>
        </w:rPr>
        <w:t>in</w:t>
      </w:r>
      <w:r>
        <w:rPr>
          <w:color w:val="105C84"/>
          <w:spacing w:val="24"/>
        </w:rPr>
        <w:t> </w:t>
      </w:r>
      <w:r>
        <w:rPr>
          <w:color w:val="105C84"/>
        </w:rPr>
        <w:t>the</w:t>
      </w:r>
      <w:r>
        <w:rPr>
          <w:color w:val="105C84"/>
          <w:spacing w:val="24"/>
        </w:rPr>
        <w:t> </w:t>
      </w:r>
      <w:r>
        <w:rPr>
          <w:color w:val="105C84"/>
        </w:rPr>
        <w:t>county provided and complied by the county police department. These data assist community partners plan</w:t>
      </w:r>
      <w:r>
        <w:rPr>
          <w:color w:val="105C84"/>
          <w:spacing w:val="80"/>
        </w:rPr>
        <w:t> </w:t>
      </w:r>
      <w:r>
        <w:rPr>
          <w:color w:val="105C84"/>
        </w:rPr>
        <w:t>overdose prevention efforts. All of these services help to increase local access to services, which may help to reduce the burden of mental health diseases and substance use disorder.</w:t>
      </w:r>
    </w:p>
    <w:p>
      <w:pPr>
        <w:pStyle w:val="BodyText"/>
        <w:spacing w:before="17"/>
      </w:pPr>
    </w:p>
    <w:p>
      <w:pPr>
        <w:pStyle w:val="Heading6"/>
      </w:pPr>
      <w:r>
        <w:rPr>
          <w:color w:val="105C84"/>
          <w:spacing w:val="-4"/>
        </w:rPr>
        <w:t>Other</w:t>
      </w:r>
      <w:r>
        <w:rPr>
          <w:color w:val="105C84"/>
          <w:spacing w:val="-7"/>
        </w:rPr>
        <w:t> </w:t>
      </w:r>
      <w:r>
        <w:rPr>
          <w:color w:val="105C84"/>
          <w:spacing w:val="-4"/>
        </w:rPr>
        <w:t>unique</w:t>
      </w:r>
      <w:r>
        <w:rPr>
          <w:color w:val="105C84"/>
          <w:spacing w:val="-6"/>
        </w:rPr>
        <w:t> </w:t>
      </w:r>
      <w:r>
        <w:rPr>
          <w:color w:val="105C84"/>
          <w:spacing w:val="-4"/>
        </w:rPr>
        <w:t>characteristics</w:t>
      </w:r>
      <w:r>
        <w:rPr>
          <w:color w:val="105C84"/>
          <w:spacing w:val="-6"/>
        </w:rPr>
        <w:t> </w:t>
      </w:r>
      <w:r>
        <w:rPr>
          <w:color w:val="105C84"/>
          <w:spacing w:val="-4"/>
        </w:rPr>
        <w:t>contributing</w:t>
      </w:r>
      <w:r>
        <w:rPr>
          <w:color w:val="105C84"/>
          <w:spacing w:val="-6"/>
        </w:rPr>
        <w:t> </w:t>
      </w:r>
      <w:r>
        <w:rPr>
          <w:color w:val="105C84"/>
          <w:spacing w:val="-4"/>
        </w:rPr>
        <w:t>to</w:t>
      </w:r>
      <w:r>
        <w:rPr>
          <w:color w:val="105C84"/>
          <w:spacing w:val="-7"/>
        </w:rPr>
        <w:t> </w:t>
      </w:r>
      <w:r>
        <w:rPr>
          <w:color w:val="105C84"/>
          <w:spacing w:val="-4"/>
        </w:rPr>
        <w:t>health</w:t>
      </w:r>
      <w:r>
        <w:rPr>
          <w:color w:val="105C84"/>
          <w:spacing w:val="-6"/>
        </w:rPr>
        <w:t> </w:t>
      </w:r>
      <w:r>
        <w:rPr>
          <w:color w:val="105C84"/>
          <w:spacing w:val="-4"/>
        </w:rPr>
        <w:t>status</w:t>
      </w:r>
    </w:p>
    <w:p>
      <w:pPr>
        <w:pStyle w:val="BodyText"/>
        <w:spacing w:line="247" w:lineRule="auto" w:before="115"/>
        <w:ind w:left="1080" w:right="535"/>
      </w:pPr>
      <w:r>
        <w:rPr/>
        <w:br w:type="column"/>
      </w:r>
      <w:r>
        <w:rPr>
          <w:color w:val="105C84"/>
          <w:w w:val="105"/>
        </w:rPr>
        <w:t>Through</w:t>
      </w:r>
      <w:r>
        <w:rPr>
          <w:color w:val="105C84"/>
          <w:spacing w:val="-3"/>
          <w:w w:val="105"/>
        </w:rPr>
        <w:t> </w:t>
      </w:r>
      <w:r>
        <w:rPr>
          <w:color w:val="105C84"/>
          <w:w w:val="105"/>
        </w:rPr>
        <w:t>implementation</w:t>
      </w:r>
      <w:r>
        <w:rPr>
          <w:color w:val="105C84"/>
          <w:spacing w:val="-3"/>
          <w:w w:val="105"/>
        </w:rPr>
        <w:t> </w:t>
      </w:r>
      <w:r>
        <w:rPr>
          <w:color w:val="105C84"/>
          <w:w w:val="105"/>
        </w:rPr>
        <w:t>of</w:t>
      </w:r>
      <w:r>
        <w:rPr>
          <w:color w:val="105C84"/>
          <w:spacing w:val="-3"/>
          <w:w w:val="105"/>
        </w:rPr>
        <w:t> </w:t>
      </w:r>
      <w:r>
        <w:rPr>
          <w:color w:val="105C84"/>
          <w:w w:val="105"/>
        </w:rPr>
        <w:t>the</w:t>
      </w:r>
      <w:r>
        <w:rPr>
          <w:color w:val="105C84"/>
          <w:spacing w:val="-3"/>
          <w:w w:val="105"/>
        </w:rPr>
        <w:t> </w:t>
      </w:r>
      <w:r>
        <w:rPr>
          <w:color w:val="105C84"/>
          <w:w w:val="105"/>
        </w:rPr>
        <w:t>Community</w:t>
      </w:r>
      <w:r>
        <w:rPr>
          <w:color w:val="105C84"/>
          <w:spacing w:val="-3"/>
          <w:w w:val="105"/>
        </w:rPr>
        <w:t> </w:t>
      </w:r>
      <w:r>
        <w:rPr>
          <w:color w:val="105C84"/>
          <w:w w:val="105"/>
        </w:rPr>
        <w:t>Health</w:t>
      </w:r>
      <w:r>
        <w:rPr>
          <w:color w:val="105C84"/>
          <w:spacing w:val="-3"/>
          <w:w w:val="105"/>
        </w:rPr>
        <w:t> </w:t>
      </w:r>
      <w:r>
        <w:rPr>
          <w:color w:val="105C84"/>
          <w:w w:val="105"/>
        </w:rPr>
        <w:t>Improvement</w:t>
      </w:r>
      <w:r>
        <w:rPr>
          <w:color w:val="105C84"/>
          <w:spacing w:val="-3"/>
          <w:w w:val="105"/>
        </w:rPr>
        <w:t> </w:t>
      </w:r>
      <w:r>
        <w:rPr>
          <w:color w:val="105C84"/>
          <w:w w:val="105"/>
        </w:rPr>
        <w:t>Plan,</w:t>
      </w:r>
      <w:r>
        <w:rPr>
          <w:color w:val="105C84"/>
          <w:spacing w:val="-3"/>
          <w:w w:val="105"/>
        </w:rPr>
        <w:t> </w:t>
      </w:r>
      <w:r>
        <w:rPr>
          <w:color w:val="105C84"/>
          <w:w w:val="105"/>
        </w:rPr>
        <w:t>staff</w:t>
      </w:r>
      <w:r>
        <w:rPr>
          <w:color w:val="105C84"/>
          <w:spacing w:val="-3"/>
          <w:w w:val="105"/>
        </w:rPr>
        <w:t> </w:t>
      </w:r>
      <w:r>
        <w:rPr>
          <w:color w:val="105C84"/>
          <w:w w:val="105"/>
        </w:rPr>
        <w:t>will</w:t>
      </w:r>
      <w:r>
        <w:rPr>
          <w:color w:val="105C84"/>
          <w:spacing w:val="-3"/>
          <w:w w:val="105"/>
        </w:rPr>
        <w:t> </w:t>
      </w:r>
      <w:r>
        <w:rPr>
          <w:color w:val="105C84"/>
          <w:w w:val="105"/>
        </w:rPr>
        <w:t>work</w:t>
      </w:r>
      <w:r>
        <w:rPr>
          <w:color w:val="105C84"/>
          <w:spacing w:val="-3"/>
          <w:w w:val="105"/>
        </w:rPr>
        <w:t> </w:t>
      </w:r>
      <w:r>
        <w:rPr>
          <w:color w:val="105C84"/>
          <w:w w:val="105"/>
        </w:rPr>
        <w:t>to</w:t>
      </w:r>
      <w:r>
        <w:rPr>
          <w:color w:val="105C84"/>
          <w:spacing w:val="-3"/>
          <w:w w:val="105"/>
        </w:rPr>
        <w:t> </w:t>
      </w:r>
      <w:r>
        <w:rPr>
          <w:color w:val="105C84"/>
          <w:w w:val="105"/>
        </w:rPr>
        <w:t>leverage </w:t>
      </w:r>
      <w:r>
        <w:rPr>
          <w:color w:val="105C84"/>
        </w:rPr>
        <w:t>these</w:t>
      </w:r>
      <w:r>
        <w:rPr>
          <w:color w:val="105C84"/>
          <w:spacing w:val="26"/>
        </w:rPr>
        <w:t> </w:t>
      </w:r>
      <w:r>
        <w:rPr>
          <w:color w:val="105C84"/>
        </w:rPr>
        <w:t>pre-existing</w:t>
      </w:r>
      <w:r>
        <w:rPr>
          <w:color w:val="105C84"/>
          <w:spacing w:val="26"/>
        </w:rPr>
        <w:t> </w:t>
      </w:r>
      <w:r>
        <w:rPr>
          <w:color w:val="105C84"/>
        </w:rPr>
        <w:t>agencies</w:t>
      </w:r>
      <w:r>
        <w:rPr>
          <w:color w:val="105C84"/>
          <w:spacing w:val="26"/>
        </w:rPr>
        <w:t> </w:t>
      </w:r>
      <w:r>
        <w:rPr>
          <w:color w:val="105C84"/>
        </w:rPr>
        <w:t>and</w:t>
      </w:r>
      <w:r>
        <w:rPr>
          <w:color w:val="105C84"/>
          <w:spacing w:val="26"/>
        </w:rPr>
        <w:t> </w:t>
      </w:r>
      <w:r>
        <w:rPr>
          <w:color w:val="105C84"/>
        </w:rPr>
        <w:t>services.</w:t>
      </w:r>
      <w:r>
        <w:rPr>
          <w:color w:val="105C84"/>
          <w:spacing w:val="26"/>
        </w:rPr>
        <w:t> </w:t>
      </w:r>
      <w:r>
        <w:rPr>
          <w:color w:val="105C84"/>
        </w:rPr>
        <w:t>A</w:t>
      </w:r>
      <w:r>
        <w:rPr>
          <w:color w:val="105C84"/>
          <w:spacing w:val="26"/>
        </w:rPr>
        <w:t> </w:t>
      </w:r>
      <w:r>
        <w:rPr>
          <w:color w:val="105C84"/>
        </w:rPr>
        <w:t>full</w:t>
      </w:r>
      <w:r>
        <w:rPr>
          <w:color w:val="105C84"/>
          <w:spacing w:val="26"/>
        </w:rPr>
        <w:t> </w:t>
      </w:r>
      <w:r>
        <w:rPr>
          <w:color w:val="105C84"/>
        </w:rPr>
        <w:t>description</w:t>
      </w:r>
      <w:r>
        <w:rPr>
          <w:color w:val="105C84"/>
          <w:spacing w:val="26"/>
        </w:rPr>
        <w:t> </w:t>
      </w:r>
      <w:r>
        <w:rPr>
          <w:color w:val="105C84"/>
        </w:rPr>
        <w:t>of</w:t>
      </w:r>
      <w:r>
        <w:rPr>
          <w:color w:val="105C84"/>
          <w:spacing w:val="26"/>
        </w:rPr>
        <w:t> </w:t>
      </w:r>
      <w:r>
        <w:rPr>
          <w:color w:val="105C84"/>
        </w:rPr>
        <w:t>interventions</w:t>
      </w:r>
      <w:r>
        <w:rPr>
          <w:color w:val="105C84"/>
          <w:spacing w:val="26"/>
        </w:rPr>
        <w:t> </w:t>
      </w:r>
      <w:r>
        <w:rPr>
          <w:color w:val="105C84"/>
        </w:rPr>
        <w:t>and</w:t>
      </w:r>
      <w:r>
        <w:rPr>
          <w:color w:val="105C84"/>
          <w:spacing w:val="26"/>
        </w:rPr>
        <w:t> </w:t>
      </w:r>
      <w:r>
        <w:rPr>
          <w:color w:val="105C84"/>
        </w:rPr>
        <w:t>partner</w:t>
      </w:r>
      <w:r>
        <w:rPr>
          <w:color w:val="105C84"/>
          <w:spacing w:val="26"/>
        </w:rPr>
        <w:t> </w:t>
      </w:r>
      <w:r>
        <w:rPr>
          <w:color w:val="105C84"/>
        </w:rPr>
        <w:t>roles</w:t>
      </w:r>
      <w:r>
        <w:rPr>
          <w:color w:val="105C84"/>
          <w:spacing w:val="26"/>
        </w:rPr>
        <w:t> </w:t>
      </w:r>
      <w:r>
        <w:rPr>
          <w:color w:val="105C84"/>
        </w:rPr>
        <w:t>can be found in the Livingston County Community Health Improvement Plan document. Partnering and</w:t>
      </w:r>
      <w:r>
        <w:rPr>
          <w:color w:val="105C84"/>
          <w:spacing w:val="40"/>
        </w:rPr>
        <w:t> </w:t>
      </w:r>
      <w:r>
        <w:rPr>
          <w:color w:val="105C84"/>
        </w:rPr>
        <w:t>leveraging the assets and resources of local community agencies will be imperative to achieving </w:t>
      </w:r>
      <w:r>
        <w:rPr>
          <w:color w:val="105C84"/>
          <w:w w:val="105"/>
        </w:rPr>
        <w:t>success in the plan.</w:t>
      </w:r>
    </w:p>
    <w:p>
      <w:pPr>
        <w:pStyle w:val="BodyText"/>
        <w:spacing w:before="16"/>
      </w:pPr>
    </w:p>
    <w:p>
      <w:pPr>
        <w:pStyle w:val="Heading6"/>
      </w:pPr>
      <w:r>
        <w:rPr>
          <w:color w:val="105C84"/>
          <w:spacing w:val="-4"/>
        </w:rPr>
        <w:t>Community</w:t>
      </w:r>
      <w:r>
        <w:rPr>
          <w:color w:val="105C84"/>
          <w:spacing w:val="-2"/>
        </w:rPr>
        <w:t> </w:t>
      </w:r>
      <w:r>
        <w:rPr>
          <w:color w:val="105C84"/>
          <w:spacing w:val="-4"/>
        </w:rPr>
        <w:t>Health</w:t>
      </w:r>
      <w:r>
        <w:rPr>
          <w:color w:val="105C84"/>
          <w:spacing w:val="-2"/>
        </w:rPr>
        <w:t> </w:t>
      </w:r>
      <w:r>
        <w:rPr>
          <w:color w:val="105C84"/>
          <w:spacing w:val="-4"/>
        </w:rPr>
        <w:t>Improvement</w:t>
      </w:r>
      <w:r>
        <w:rPr>
          <w:color w:val="105C84"/>
          <w:spacing w:val="-2"/>
        </w:rPr>
        <w:t> </w:t>
      </w:r>
      <w:r>
        <w:rPr>
          <w:color w:val="105C84"/>
          <w:spacing w:val="-4"/>
        </w:rPr>
        <w:t>Plan/Community</w:t>
      </w:r>
      <w:r>
        <w:rPr>
          <w:color w:val="105C84"/>
          <w:spacing w:val="-2"/>
        </w:rPr>
        <w:t> </w:t>
      </w:r>
      <w:r>
        <w:rPr>
          <w:color w:val="105C84"/>
          <w:spacing w:val="-4"/>
        </w:rPr>
        <w:t>Service</w:t>
      </w:r>
      <w:r>
        <w:rPr>
          <w:color w:val="105C84"/>
          <w:spacing w:val="-2"/>
        </w:rPr>
        <w:t> </w:t>
      </w:r>
      <w:r>
        <w:rPr>
          <w:color w:val="105C84"/>
          <w:spacing w:val="-4"/>
        </w:rPr>
        <w:t>Plan</w:t>
      </w:r>
    </w:p>
    <w:p>
      <w:pPr>
        <w:pStyle w:val="BodyText"/>
        <w:spacing w:line="247" w:lineRule="auto" w:before="268"/>
        <w:ind w:left="1080"/>
      </w:pPr>
      <w:r>
        <w:rPr>
          <w:color w:val="105C84"/>
        </w:rPr>
        <w:t>As previously discussed in the executive summary, the MAPP process was used to help create the Community Health Assessment and Community Health Improvement Plan.</w:t>
      </w:r>
    </w:p>
    <w:p>
      <w:pPr>
        <w:pStyle w:val="BodyText"/>
        <w:spacing w:before="179"/>
        <w:ind w:left="1080"/>
      </w:pPr>
      <w:r>
        <w:rPr>
          <w:color w:val="105C84"/>
        </w:rPr>
        <w:t>A</w:t>
      </w:r>
      <w:r>
        <w:rPr>
          <w:color w:val="105C84"/>
          <w:spacing w:val="5"/>
        </w:rPr>
        <w:t> </w:t>
      </w:r>
      <w:r>
        <w:rPr>
          <w:color w:val="105C84"/>
        </w:rPr>
        <w:t>variety</w:t>
      </w:r>
      <w:r>
        <w:rPr>
          <w:color w:val="105C84"/>
          <w:spacing w:val="6"/>
        </w:rPr>
        <w:t> </w:t>
      </w:r>
      <w:r>
        <w:rPr>
          <w:color w:val="105C84"/>
        </w:rPr>
        <w:t>of</w:t>
      </w:r>
      <w:r>
        <w:rPr>
          <w:color w:val="105C84"/>
          <w:spacing w:val="5"/>
        </w:rPr>
        <w:t> </w:t>
      </w:r>
      <w:r>
        <w:rPr>
          <w:color w:val="105C84"/>
        </w:rPr>
        <w:t>partners</w:t>
      </w:r>
      <w:r>
        <w:rPr>
          <w:color w:val="105C84"/>
          <w:spacing w:val="6"/>
        </w:rPr>
        <w:t> </w:t>
      </w:r>
      <w:r>
        <w:rPr>
          <w:color w:val="105C84"/>
        </w:rPr>
        <w:t>were</w:t>
      </w:r>
      <w:r>
        <w:rPr>
          <w:color w:val="105C84"/>
          <w:spacing w:val="5"/>
        </w:rPr>
        <w:t> </w:t>
      </w:r>
      <w:r>
        <w:rPr>
          <w:color w:val="105C84"/>
        </w:rPr>
        <w:t>engaged</w:t>
      </w:r>
      <w:r>
        <w:rPr>
          <w:color w:val="105C84"/>
          <w:spacing w:val="6"/>
        </w:rPr>
        <w:t> </w:t>
      </w:r>
      <w:r>
        <w:rPr>
          <w:color w:val="105C84"/>
        </w:rPr>
        <w:t>in</w:t>
      </w:r>
      <w:r>
        <w:rPr>
          <w:color w:val="105C84"/>
          <w:spacing w:val="5"/>
        </w:rPr>
        <w:t> </w:t>
      </w:r>
      <w:r>
        <w:rPr>
          <w:color w:val="105C84"/>
        </w:rPr>
        <w:t>Livingston</w:t>
      </w:r>
      <w:r>
        <w:rPr>
          <w:color w:val="105C84"/>
          <w:spacing w:val="6"/>
        </w:rPr>
        <w:t> </w:t>
      </w:r>
      <w:r>
        <w:rPr>
          <w:color w:val="105C84"/>
        </w:rPr>
        <w:t>County’s</w:t>
      </w:r>
      <w:r>
        <w:rPr>
          <w:color w:val="105C84"/>
          <w:spacing w:val="6"/>
        </w:rPr>
        <w:t> </w:t>
      </w:r>
      <w:r>
        <w:rPr>
          <w:color w:val="105C84"/>
        </w:rPr>
        <w:t>specific</w:t>
      </w:r>
      <w:r>
        <w:rPr>
          <w:color w:val="105C84"/>
          <w:spacing w:val="5"/>
        </w:rPr>
        <w:t> </w:t>
      </w:r>
      <w:r>
        <w:rPr>
          <w:color w:val="105C84"/>
        </w:rPr>
        <w:t>process</w:t>
      </w:r>
      <w:r>
        <w:rPr>
          <w:color w:val="105C84"/>
          <w:spacing w:val="6"/>
        </w:rPr>
        <w:t> </w:t>
      </w:r>
      <w:r>
        <w:rPr>
          <w:color w:val="105C84"/>
          <w:spacing w:val="-2"/>
        </w:rPr>
        <w:t>including:</w:t>
      </w:r>
    </w:p>
    <w:p>
      <w:pPr>
        <w:pStyle w:val="BodyText"/>
        <w:spacing w:before="6"/>
        <w:rPr>
          <w:sz w:val="18"/>
        </w:rPr>
      </w:pPr>
    </w:p>
    <w:p>
      <w:pPr>
        <w:spacing w:line="240" w:lineRule="auto"/>
        <w:ind w:left="1079" w:right="0" w:firstLine="0"/>
        <w:rPr>
          <w:sz w:val="20"/>
        </w:rPr>
      </w:pPr>
      <w:r>
        <w:rPr>
          <w:sz w:val="20"/>
        </w:rPr>
        <mc:AlternateContent>
          <mc:Choice Requires="wps">
            <w:drawing>
              <wp:inline distT="0" distB="0" distL="0" distR="0">
                <wp:extent cx="6214745" cy="318770"/>
                <wp:effectExtent l="9525" t="0" r="0" b="5079"/>
                <wp:docPr id="697" name="Textbox 697"/>
                <wp:cNvGraphicFramePr>
                  <a:graphicFrameLocks/>
                </wp:cNvGraphicFramePr>
                <a:graphic>
                  <a:graphicData uri="http://schemas.microsoft.com/office/word/2010/wordprocessingShape">
                    <wps:wsp>
                      <wps:cNvPr id="697" name="Textbox 697"/>
                      <wps:cNvSpPr txBox="1"/>
                      <wps:spPr>
                        <a:xfrm>
                          <a:off x="0" y="0"/>
                          <a:ext cx="6214745" cy="318770"/>
                        </a:xfrm>
                        <a:prstGeom prst="rect">
                          <a:avLst/>
                        </a:prstGeom>
                        <a:solidFill>
                          <a:srgbClr val="939598"/>
                        </a:solidFill>
                        <a:ln w="3175">
                          <a:solidFill>
                            <a:srgbClr val="636466"/>
                          </a:solidFill>
                          <a:prstDash val="solid"/>
                        </a:ln>
                      </wps:spPr>
                      <wps:txbx>
                        <w:txbxContent>
                          <w:p>
                            <w:pPr>
                              <w:spacing w:before="160"/>
                              <w:ind w:left="2" w:right="0" w:firstLine="0"/>
                              <w:jc w:val="center"/>
                              <w:rPr>
                                <w:b/>
                                <w:color w:val="000000"/>
                                <w:sz w:val="20"/>
                              </w:rPr>
                            </w:pPr>
                            <w:r>
                              <w:rPr>
                                <w:b/>
                                <w:color w:val="FFFFFF"/>
                                <w:sz w:val="20"/>
                              </w:rPr>
                              <w:t>LIVINGSTON</w:t>
                            </w:r>
                            <w:r>
                              <w:rPr>
                                <w:b/>
                                <w:color w:val="FFFFFF"/>
                                <w:spacing w:val="25"/>
                                <w:sz w:val="20"/>
                              </w:rPr>
                              <w:t> </w:t>
                            </w:r>
                            <w:r>
                              <w:rPr>
                                <w:b/>
                                <w:color w:val="FFFFFF"/>
                                <w:sz w:val="20"/>
                              </w:rPr>
                              <w:t>COUNTY</w:t>
                            </w:r>
                            <w:r>
                              <w:rPr>
                                <w:b/>
                                <w:color w:val="FFFFFF"/>
                                <w:spacing w:val="26"/>
                                <w:sz w:val="20"/>
                              </w:rPr>
                              <w:t> </w:t>
                            </w:r>
                            <w:r>
                              <w:rPr>
                                <w:b/>
                                <w:color w:val="FFFFFF"/>
                                <w:sz w:val="20"/>
                              </w:rPr>
                              <w:t>PRIORITIZATION</w:t>
                            </w:r>
                            <w:r>
                              <w:rPr>
                                <w:b/>
                                <w:color w:val="FFFFFF"/>
                                <w:spacing w:val="26"/>
                                <w:sz w:val="20"/>
                              </w:rPr>
                              <w:t> </w:t>
                            </w:r>
                            <w:r>
                              <w:rPr>
                                <w:b/>
                                <w:color w:val="FFFFFF"/>
                                <w:spacing w:val="-2"/>
                                <w:sz w:val="20"/>
                              </w:rPr>
                              <w:t>AGENCIES</w:t>
                            </w:r>
                          </w:p>
                        </w:txbxContent>
                      </wps:txbx>
                      <wps:bodyPr wrap="square" lIns="0" tIns="0" rIns="0" bIns="0" rtlCol="0">
                        <a:noAutofit/>
                      </wps:bodyPr>
                    </wps:wsp>
                  </a:graphicData>
                </a:graphic>
              </wp:inline>
            </w:drawing>
          </mc:Choice>
          <mc:Fallback>
            <w:pict>
              <v:shape style="width:489.35pt;height:25.1pt;mso-position-horizontal-relative:char;mso-position-vertical-relative:line" type="#_x0000_t202" id="docshape596" filled="true" fillcolor="#939598" stroked="true" strokeweight=".25pt" strokecolor="#636466">
                <w10:anchorlock/>
                <v:textbox inset="0,0,0,0">
                  <w:txbxContent>
                    <w:p>
                      <w:pPr>
                        <w:spacing w:before="160"/>
                        <w:ind w:left="2" w:right="0" w:firstLine="0"/>
                        <w:jc w:val="center"/>
                        <w:rPr>
                          <w:b/>
                          <w:color w:val="000000"/>
                          <w:sz w:val="20"/>
                        </w:rPr>
                      </w:pPr>
                      <w:r>
                        <w:rPr>
                          <w:b/>
                          <w:color w:val="FFFFFF"/>
                          <w:sz w:val="20"/>
                        </w:rPr>
                        <w:t>LIVINGSTON</w:t>
                      </w:r>
                      <w:r>
                        <w:rPr>
                          <w:b/>
                          <w:color w:val="FFFFFF"/>
                          <w:spacing w:val="25"/>
                          <w:sz w:val="20"/>
                        </w:rPr>
                        <w:t> </w:t>
                      </w:r>
                      <w:r>
                        <w:rPr>
                          <w:b/>
                          <w:color w:val="FFFFFF"/>
                          <w:sz w:val="20"/>
                        </w:rPr>
                        <w:t>COUNTY</w:t>
                      </w:r>
                      <w:r>
                        <w:rPr>
                          <w:b/>
                          <w:color w:val="FFFFFF"/>
                          <w:spacing w:val="26"/>
                          <w:sz w:val="20"/>
                        </w:rPr>
                        <w:t> </w:t>
                      </w:r>
                      <w:r>
                        <w:rPr>
                          <w:b/>
                          <w:color w:val="FFFFFF"/>
                          <w:sz w:val="20"/>
                        </w:rPr>
                        <w:t>PRIORITIZATION</w:t>
                      </w:r>
                      <w:r>
                        <w:rPr>
                          <w:b/>
                          <w:color w:val="FFFFFF"/>
                          <w:spacing w:val="26"/>
                          <w:sz w:val="20"/>
                        </w:rPr>
                        <w:t> </w:t>
                      </w:r>
                      <w:r>
                        <w:rPr>
                          <w:b/>
                          <w:color w:val="FFFFFF"/>
                          <w:spacing w:val="-2"/>
                          <w:sz w:val="20"/>
                        </w:rPr>
                        <w:t>AGENCIES</w:t>
                      </w:r>
                    </w:p>
                  </w:txbxContent>
                </v:textbox>
                <v:fill type="solid"/>
                <v:stroke dashstyle="solid"/>
              </v:shape>
            </w:pict>
          </mc:Fallback>
        </mc:AlternateContent>
      </w:r>
      <w:r>
        <w:rPr>
          <w:sz w:val="20"/>
        </w:rPr>
      </w:r>
    </w:p>
    <w:p>
      <w:pPr>
        <w:pStyle w:val="BodyText"/>
        <w:spacing w:before="8"/>
        <w:rPr>
          <w:sz w:val="4"/>
        </w:rPr>
      </w:pPr>
    </w:p>
    <w:p>
      <w:pPr>
        <w:pStyle w:val="BodyText"/>
        <w:spacing w:after="0"/>
        <w:rPr>
          <w:sz w:val="4"/>
        </w:rPr>
        <w:sectPr>
          <w:type w:val="continuous"/>
          <w:pgSz w:w="24480" w:h="15840" w:orient="landscape"/>
          <w:pgMar w:header="0" w:footer="0" w:top="0" w:bottom="280" w:left="0" w:right="720"/>
          <w:cols w:num="2" w:equalWidth="0">
            <w:col w:w="11166" w:space="1088"/>
            <w:col w:w="11506"/>
          </w:cols>
        </w:sectPr>
      </w:pPr>
    </w:p>
    <w:p>
      <w:pPr>
        <w:pStyle w:val="BodyText"/>
        <w:spacing w:line="260" w:lineRule="atLeast" w:before="193"/>
        <w:ind w:left="1080" w:right="38"/>
      </w:pPr>
      <w:r>
        <w:rPr>
          <w:color w:val="105C84"/>
        </w:rPr>
        <w:t>Similar to other local communities in the Finger Lakes are the accessibility of wineries and breweries. Within Livingston County, the number of breweries has increased to eight (8) and has revived the</w:t>
      </w:r>
    </w:p>
    <w:p>
      <w:pPr>
        <w:spacing w:line="230" w:lineRule="auto" w:before="20"/>
        <w:ind w:left="1080" w:right="0" w:firstLine="0"/>
        <w:jc w:val="left"/>
        <w:rPr>
          <w:sz w:val="20"/>
        </w:rPr>
      </w:pPr>
      <w:r>
        <w:rPr/>
        <w:br w:type="column"/>
      </w:r>
      <w:r>
        <w:rPr>
          <w:color w:val="105C84"/>
          <w:sz w:val="20"/>
        </w:rPr>
        <w:t>Livingston </w:t>
      </w:r>
      <w:r>
        <w:rPr>
          <w:color w:val="105C84"/>
          <w:sz w:val="20"/>
        </w:rPr>
        <w:t>County Public Health</w:t>
      </w:r>
    </w:p>
    <w:p>
      <w:pPr>
        <w:tabs>
          <w:tab w:pos="3715" w:val="left" w:leader="none"/>
        </w:tabs>
        <w:spacing w:before="122"/>
        <w:ind w:left="0" w:right="25" w:firstLine="0"/>
        <w:jc w:val="center"/>
        <w:rPr>
          <w:sz w:val="20"/>
        </w:rPr>
      </w:pPr>
      <w:r>
        <w:rPr/>
        <w:br w:type="column"/>
      </w:r>
      <w:r>
        <w:rPr>
          <w:color w:val="105C84"/>
          <w:spacing w:val="-2"/>
          <w:sz w:val="20"/>
        </w:rPr>
        <w:t>UR</w:t>
      </w:r>
      <w:r>
        <w:rPr>
          <w:color w:val="105C84"/>
          <w:spacing w:val="-9"/>
          <w:sz w:val="20"/>
        </w:rPr>
        <w:t> </w:t>
      </w:r>
      <w:r>
        <w:rPr>
          <w:color w:val="105C84"/>
          <w:spacing w:val="-2"/>
          <w:sz w:val="20"/>
        </w:rPr>
        <w:t>Noyes</w:t>
      </w:r>
      <w:r>
        <w:rPr>
          <w:color w:val="105C84"/>
          <w:spacing w:val="-8"/>
          <w:sz w:val="20"/>
        </w:rPr>
        <w:t> </w:t>
      </w:r>
      <w:r>
        <w:rPr>
          <w:color w:val="105C84"/>
          <w:spacing w:val="-2"/>
          <w:sz w:val="20"/>
        </w:rPr>
        <w:t>Health</w:t>
      </w:r>
      <w:r>
        <w:rPr>
          <w:color w:val="105C84"/>
          <w:sz w:val="20"/>
        </w:rPr>
        <w:tab/>
        <w:t>Common</w:t>
      </w:r>
      <w:r>
        <w:rPr>
          <w:color w:val="105C84"/>
          <w:spacing w:val="25"/>
          <w:sz w:val="20"/>
        </w:rPr>
        <w:t> </w:t>
      </w:r>
      <w:r>
        <w:rPr>
          <w:color w:val="105C84"/>
          <w:sz w:val="20"/>
        </w:rPr>
        <w:t>Ground</w:t>
      </w:r>
      <w:r>
        <w:rPr>
          <w:color w:val="105C84"/>
          <w:spacing w:val="25"/>
          <w:sz w:val="20"/>
        </w:rPr>
        <w:t> </w:t>
      </w:r>
      <w:r>
        <w:rPr>
          <w:color w:val="105C84"/>
          <w:spacing w:val="-2"/>
          <w:sz w:val="20"/>
        </w:rPr>
        <w:t>Health</w:t>
      </w:r>
    </w:p>
    <w:p>
      <w:pPr>
        <w:pStyle w:val="BodyText"/>
        <w:spacing w:before="5"/>
        <w:rPr>
          <w:sz w:val="19"/>
        </w:rPr>
      </w:pPr>
      <w:r>
        <w:rPr>
          <w:sz w:val="19"/>
        </w:rPr>
        <mc:AlternateContent>
          <mc:Choice Requires="wps">
            <w:drawing>
              <wp:anchor distT="0" distB="0" distL="0" distR="0" allowOverlap="1" layoutInCell="1" locked="0" behindDoc="1" simplePos="0" relativeHeight="487653376">
                <wp:simplePos x="0" y="0"/>
                <wp:positionH relativeFrom="page">
                  <wp:posOffset>10552176</wp:posOffset>
                </wp:positionH>
                <wp:positionV relativeFrom="paragraph">
                  <wp:posOffset>157558</wp:posOffset>
                </wp:positionV>
                <wp:extent cx="2194560" cy="1270"/>
                <wp:effectExtent l="0" t="0" r="0" b="0"/>
                <wp:wrapTopAndBottom/>
                <wp:docPr id="698" name="Graphic 698"/>
                <wp:cNvGraphicFramePr>
                  <a:graphicFrameLocks/>
                </wp:cNvGraphicFramePr>
                <a:graphic>
                  <a:graphicData uri="http://schemas.microsoft.com/office/word/2010/wordprocessingShape">
                    <wps:wsp>
                      <wps:cNvPr id="698" name="Graphic 698"/>
                      <wps:cNvSpPr/>
                      <wps:spPr>
                        <a:xfrm>
                          <a:off x="0" y="0"/>
                          <a:ext cx="2194560" cy="1270"/>
                        </a:xfrm>
                        <a:custGeom>
                          <a:avLst/>
                          <a:gdLst/>
                          <a:ahLst/>
                          <a:cxnLst/>
                          <a:rect l="l" t="t" r="r" b="b"/>
                          <a:pathLst>
                            <a:path w="2194560" h="0">
                              <a:moveTo>
                                <a:pt x="0" y="0"/>
                              </a:moveTo>
                              <a:lnTo>
                                <a:pt x="2194560" y="0"/>
                              </a:lnTo>
                            </a:path>
                          </a:pathLst>
                        </a:custGeom>
                        <a:ln w="3175">
                          <a:solidFill>
                            <a:srgbClr val="636466"/>
                          </a:solidFill>
                          <a:prstDash val="solid"/>
                        </a:ln>
                      </wps:spPr>
                      <wps:bodyPr wrap="square" lIns="0" tIns="0" rIns="0" bIns="0" rtlCol="0">
                        <a:prstTxWarp prst="textNoShape">
                          <a:avLst/>
                        </a:prstTxWarp>
                        <a:noAutofit/>
                      </wps:bodyPr>
                    </wps:wsp>
                  </a:graphicData>
                </a:graphic>
              </wp:anchor>
            </w:drawing>
          </mc:Choice>
          <mc:Fallback>
            <w:pict>
              <v:shape style="position:absolute;margin-left:830.880005pt;margin-top:12.406172pt;width:172.8pt;height:.1pt;mso-position-horizontal-relative:page;mso-position-vertical-relative:paragraph;z-index:-15663104;mso-wrap-distance-left:0;mso-wrap-distance-right:0" id="docshape597" coordorigin="16618,248" coordsize="3456,0" path="m16618,248l20074,248e" filled="false" stroked="true" strokeweight=".25pt" strokecolor="#636466">
                <v:path arrowok="t"/>
                <v:stroke dashstyle="solid"/>
                <w10:wrap type="topAndBottom"/>
              </v:shape>
            </w:pict>
          </mc:Fallback>
        </mc:AlternateContent>
      </w:r>
      <w:r>
        <w:rPr>
          <w:sz w:val="19"/>
        </w:rPr>
        <mc:AlternateContent>
          <mc:Choice Requires="wps">
            <w:drawing>
              <wp:anchor distT="0" distB="0" distL="0" distR="0" allowOverlap="1" layoutInCell="1" locked="0" behindDoc="1" simplePos="0" relativeHeight="487653888">
                <wp:simplePos x="0" y="0"/>
                <wp:positionH relativeFrom="page">
                  <wp:posOffset>12911328</wp:posOffset>
                </wp:positionH>
                <wp:positionV relativeFrom="paragraph">
                  <wp:posOffset>157558</wp:posOffset>
                </wp:positionV>
                <wp:extent cx="1772920" cy="1270"/>
                <wp:effectExtent l="0" t="0" r="0" b="0"/>
                <wp:wrapTopAndBottom/>
                <wp:docPr id="699" name="Graphic 699"/>
                <wp:cNvGraphicFramePr>
                  <a:graphicFrameLocks/>
                </wp:cNvGraphicFramePr>
                <a:graphic>
                  <a:graphicData uri="http://schemas.microsoft.com/office/word/2010/wordprocessingShape">
                    <wps:wsp>
                      <wps:cNvPr id="699" name="Graphic 699"/>
                      <wps:cNvSpPr/>
                      <wps:spPr>
                        <a:xfrm>
                          <a:off x="0" y="0"/>
                          <a:ext cx="1772920" cy="1270"/>
                        </a:xfrm>
                        <a:custGeom>
                          <a:avLst/>
                          <a:gdLst/>
                          <a:ahLst/>
                          <a:cxnLst/>
                          <a:rect l="l" t="t" r="r" b="b"/>
                          <a:pathLst>
                            <a:path w="1772920" h="0">
                              <a:moveTo>
                                <a:pt x="0" y="0"/>
                              </a:moveTo>
                              <a:lnTo>
                                <a:pt x="1772348" y="0"/>
                              </a:lnTo>
                            </a:path>
                          </a:pathLst>
                        </a:custGeom>
                        <a:ln w="3175">
                          <a:solidFill>
                            <a:srgbClr val="636466"/>
                          </a:solidFill>
                          <a:prstDash val="solid"/>
                        </a:ln>
                      </wps:spPr>
                      <wps:bodyPr wrap="square" lIns="0" tIns="0" rIns="0" bIns="0" rtlCol="0">
                        <a:prstTxWarp prst="textNoShape">
                          <a:avLst/>
                        </a:prstTxWarp>
                        <a:noAutofit/>
                      </wps:bodyPr>
                    </wps:wsp>
                  </a:graphicData>
                </a:graphic>
              </wp:anchor>
            </w:drawing>
          </mc:Choice>
          <mc:Fallback>
            <w:pict>
              <v:shape style="position:absolute;margin-left:1016.640015pt;margin-top:12.406172pt;width:139.6pt;height:.1pt;mso-position-horizontal-relative:page;mso-position-vertical-relative:paragraph;z-index:-15662592;mso-wrap-distance-left:0;mso-wrap-distance-right:0" id="docshape598" coordorigin="20333,248" coordsize="2792,0" path="m20333,248l23124,248e" filled="false" stroked="true" strokeweight=".25pt" strokecolor="#636466">
                <v:path arrowok="t"/>
                <v:stroke dashstyle="solid"/>
                <w10:wrap type="topAndBottom"/>
              </v:shape>
            </w:pict>
          </mc:Fallback>
        </mc:AlternateContent>
      </w:r>
    </w:p>
    <w:p>
      <w:pPr>
        <w:pStyle w:val="BodyText"/>
        <w:spacing w:before="17"/>
        <w:rPr>
          <w:sz w:val="7"/>
        </w:rPr>
      </w:pPr>
    </w:p>
    <w:p>
      <w:pPr>
        <w:pStyle w:val="BodyText"/>
        <w:spacing w:after="0"/>
        <w:rPr>
          <w:sz w:val="7"/>
        </w:rPr>
        <w:sectPr>
          <w:type w:val="continuous"/>
          <w:pgSz w:w="24480" w:h="15840" w:orient="landscape"/>
          <w:pgMar w:header="0" w:footer="0" w:top="0" w:bottom="280" w:left="0" w:right="720"/>
          <w:cols w:num="3" w:equalWidth="0">
            <w:col w:w="11105" w:space="1232"/>
            <w:col w:w="2752" w:space="529"/>
            <w:col w:w="8142"/>
          </w:cols>
        </w:sectPr>
      </w:pPr>
    </w:p>
    <w:p>
      <w:pPr>
        <w:pStyle w:val="BodyText"/>
        <w:spacing w:line="247" w:lineRule="auto" w:before="30"/>
        <w:ind w:left="1080" w:right="38"/>
      </w:pPr>
      <w:r>
        <w:rPr/>
        <mc:AlternateContent>
          <mc:Choice Requires="wps">
            <w:drawing>
              <wp:anchor distT="0" distB="0" distL="0" distR="0" allowOverlap="1" layoutInCell="1" locked="0" behindDoc="0" simplePos="0" relativeHeight="15803904">
                <wp:simplePos x="0" y="0"/>
                <wp:positionH relativeFrom="page">
                  <wp:posOffset>8468931</wp:posOffset>
                </wp:positionH>
                <wp:positionV relativeFrom="paragraph">
                  <wp:posOffset>-71689</wp:posOffset>
                </wp:positionV>
                <wp:extent cx="1900555" cy="1270"/>
                <wp:effectExtent l="0" t="0" r="0" b="0"/>
                <wp:wrapNone/>
                <wp:docPr id="700" name="Graphic 700"/>
                <wp:cNvGraphicFramePr>
                  <a:graphicFrameLocks/>
                </wp:cNvGraphicFramePr>
                <a:graphic>
                  <a:graphicData uri="http://schemas.microsoft.com/office/word/2010/wordprocessingShape">
                    <wps:wsp>
                      <wps:cNvPr id="700" name="Graphic 700"/>
                      <wps:cNvSpPr/>
                      <wps:spPr>
                        <a:xfrm>
                          <a:off x="0" y="0"/>
                          <a:ext cx="1900555" cy="1270"/>
                        </a:xfrm>
                        <a:custGeom>
                          <a:avLst/>
                          <a:gdLst/>
                          <a:ahLst/>
                          <a:cxnLst/>
                          <a:rect l="l" t="t" r="r" b="b"/>
                          <a:pathLst>
                            <a:path w="1900555" h="0">
                              <a:moveTo>
                                <a:pt x="0" y="0"/>
                              </a:moveTo>
                              <a:lnTo>
                                <a:pt x="1900364" y="0"/>
                              </a:lnTo>
                            </a:path>
                          </a:pathLst>
                        </a:custGeom>
                        <a:ln w="3175">
                          <a:solidFill>
                            <a:srgbClr val="63646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03904" from="666.844971pt,-5.644804pt" to="816.479971pt,-5.644804pt" stroked="true" strokeweight=".25pt" strokecolor="#636466">
                <v:stroke dashstyle="solid"/>
                <w10:wrap type="none"/>
              </v:line>
            </w:pict>
          </mc:Fallback>
        </mc:AlternateContent>
      </w:r>
      <w:r>
        <w:rPr>
          <w:color w:val="105C84"/>
        </w:rPr>
        <w:t>local economy. While the presence of the businesses provides economic boosts and helps to</w:t>
      </w:r>
      <w:r>
        <w:rPr>
          <w:color w:val="105C84"/>
          <w:spacing w:val="40"/>
        </w:rPr>
        <w:t> </w:t>
      </w:r>
      <w:r>
        <w:rPr>
          <w:color w:val="105C84"/>
        </w:rPr>
        <w:t>generate tourism, it is important to consider the implications of access to alcohol has on things such</w:t>
      </w:r>
      <w:r>
        <w:rPr>
          <w:color w:val="105C84"/>
          <w:spacing w:val="40"/>
        </w:rPr>
        <w:t> </w:t>
      </w:r>
      <w:r>
        <w:rPr>
          <w:color w:val="105C84"/>
        </w:rPr>
        <w:t>as underage drinking and alcohol-related accidents. To assist with the challenge, a local community health</w:t>
      </w:r>
      <w:r>
        <w:rPr>
          <w:color w:val="105C84"/>
          <w:spacing w:val="26"/>
        </w:rPr>
        <w:t> </w:t>
      </w:r>
      <w:r>
        <w:rPr>
          <w:color w:val="105C84"/>
        </w:rPr>
        <w:t>coalition</w:t>
      </w:r>
      <w:r>
        <w:rPr>
          <w:color w:val="105C84"/>
          <w:spacing w:val="26"/>
        </w:rPr>
        <w:t> </w:t>
      </w:r>
      <w:r>
        <w:rPr>
          <w:color w:val="105C84"/>
        </w:rPr>
        <w:t>(Healthy</w:t>
      </w:r>
      <w:r>
        <w:rPr>
          <w:color w:val="105C84"/>
          <w:spacing w:val="26"/>
        </w:rPr>
        <w:t> </w:t>
      </w:r>
      <w:r>
        <w:rPr>
          <w:color w:val="105C84"/>
        </w:rPr>
        <w:t>Communities</w:t>
      </w:r>
      <w:r>
        <w:rPr>
          <w:color w:val="105C84"/>
          <w:spacing w:val="26"/>
        </w:rPr>
        <w:t> </w:t>
      </w:r>
      <w:r>
        <w:rPr>
          <w:color w:val="105C84"/>
        </w:rPr>
        <w:t>That</w:t>
      </w:r>
      <w:r>
        <w:rPr>
          <w:color w:val="105C84"/>
          <w:spacing w:val="26"/>
        </w:rPr>
        <w:t> </w:t>
      </w:r>
      <w:r>
        <w:rPr>
          <w:color w:val="105C84"/>
        </w:rPr>
        <w:t>Care</w:t>
      </w:r>
      <w:r>
        <w:rPr>
          <w:color w:val="105C84"/>
          <w:spacing w:val="26"/>
        </w:rPr>
        <w:t> </w:t>
      </w:r>
      <w:r>
        <w:rPr>
          <w:color w:val="105C84"/>
        </w:rPr>
        <w:t>(HCTC))</w:t>
      </w:r>
      <w:r>
        <w:rPr>
          <w:color w:val="105C84"/>
          <w:spacing w:val="26"/>
        </w:rPr>
        <w:t> </w:t>
      </w:r>
      <w:r>
        <w:rPr>
          <w:color w:val="105C84"/>
        </w:rPr>
        <w:t>aims</w:t>
      </w:r>
      <w:r>
        <w:rPr>
          <w:color w:val="105C84"/>
          <w:spacing w:val="26"/>
        </w:rPr>
        <w:t> </w:t>
      </w:r>
      <w:r>
        <w:rPr>
          <w:color w:val="105C84"/>
        </w:rPr>
        <w:t>at</w:t>
      </w:r>
      <w:r>
        <w:rPr>
          <w:color w:val="105C84"/>
          <w:spacing w:val="26"/>
        </w:rPr>
        <w:t> </w:t>
      </w:r>
      <w:r>
        <w:rPr>
          <w:color w:val="105C84"/>
        </w:rPr>
        <w:t>bringing</w:t>
      </w:r>
      <w:r>
        <w:rPr>
          <w:color w:val="105C84"/>
          <w:spacing w:val="26"/>
        </w:rPr>
        <w:t> </w:t>
      </w:r>
      <w:r>
        <w:rPr>
          <w:color w:val="105C84"/>
        </w:rPr>
        <w:t>the</w:t>
      </w:r>
      <w:r>
        <w:rPr>
          <w:color w:val="105C84"/>
          <w:spacing w:val="26"/>
        </w:rPr>
        <w:t> </w:t>
      </w:r>
      <w:r>
        <w:rPr>
          <w:color w:val="105C84"/>
        </w:rPr>
        <w:t>community</w:t>
      </w:r>
      <w:r>
        <w:rPr>
          <w:color w:val="105C84"/>
          <w:spacing w:val="26"/>
        </w:rPr>
        <w:t> </w:t>
      </w:r>
      <w:r>
        <w:rPr>
          <w:color w:val="105C84"/>
        </w:rPr>
        <w:t>together to</w:t>
      </w:r>
      <w:r>
        <w:rPr>
          <w:color w:val="105C84"/>
          <w:spacing w:val="32"/>
        </w:rPr>
        <w:t> </w:t>
      </w:r>
      <w:r>
        <w:rPr>
          <w:color w:val="105C84"/>
        </w:rPr>
        <w:t>implement</w:t>
      </w:r>
      <w:r>
        <w:rPr>
          <w:color w:val="105C84"/>
          <w:spacing w:val="32"/>
        </w:rPr>
        <w:t> </w:t>
      </w:r>
      <w:r>
        <w:rPr>
          <w:color w:val="105C84"/>
        </w:rPr>
        <w:t>strategies</w:t>
      </w:r>
      <w:r>
        <w:rPr>
          <w:color w:val="105C84"/>
          <w:spacing w:val="32"/>
        </w:rPr>
        <w:t> </w:t>
      </w:r>
      <w:r>
        <w:rPr>
          <w:color w:val="105C84"/>
        </w:rPr>
        <w:t>to</w:t>
      </w:r>
      <w:r>
        <w:rPr>
          <w:color w:val="105C84"/>
          <w:spacing w:val="32"/>
        </w:rPr>
        <w:t> </w:t>
      </w:r>
      <w:r>
        <w:rPr>
          <w:color w:val="105C84"/>
        </w:rPr>
        <w:t>reduce</w:t>
      </w:r>
      <w:r>
        <w:rPr>
          <w:color w:val="105C84"/>
          <w:spacing w:val="32"/>
        </w:rPr>
        <w:t> </w:t>
      </w:r>
      <w:r>
        <w:rPr>
          <w:color w:val="105C84"/>
        </w:rPr>
        <w:t>youth</w:t>
      </w:r>
      <w:r>
        <w:rPr>
          <w:color w:val="105C84"/>
          <w:spacing w:val="32"/>
        </w:rPr>
        <w:t> </w:t>
      </w:r>
      <w:r>
        <w:rPr>
          <w:color w:val="105C84"/>
        </w:rPr>
        <w:t>alcohol</w:t>
      </w:r>
      <w:r>
        <w:rPr>
          <w:color w:val="105C84"/>
          <w:spacing w:val="32"/>
        </w:rPr>
        <w:t> </w:t>
      </w:r>
      <w:r>
        <w:rPr>
          <w:color w:val="105C84"/>
        </w:rPr>
        <w:t>and</w:t>
      </w:r>
      <w:r>
        <w:rPr>
          <w:color w:val="105C84"/>
          <w:spacing w:val="32"/>
        </w:rPr>
        <w:t> </w:t>
      </w:r>
      <w:r>
        <w:rPr>
          <w:color w:val="105C84"/>
        </w:rPr>
        <w:t>drug</w:t>
      </w:r>
      <w:r>
        <w:rPr>
          <w:color w:val="105C84"/>
          <w:spacing w:val="32"/>
        </w:rPr>
        <w:t> </w:t>
      </w:r>
      <w:r>
        <w:rPr>
          <w:color w:val="105C84"/>
        </w:rPr>
        <w:t>use.</w:t>
      </w:r>
      <w:r>
        <w:rPr>
          <w:color w:val="105C84"/>
          <w:spacing w:val="32"/>
        </w:rPr>
        <w:t> </w:t>
      </w:r>
      <w:r>
        <w:rPr>
          <w:color w:val="105C84"/>
        </w:rPr>
        <w:t>HCTC</w:t>
      </w:r>
      <w:r>
        <w:rPr>
          <w:color w:val="105C84"/>
          <w:spacing w:val="32"/>
        </w:rPr>
        <w:t> </w:t>
      </w:r>
      <w:r>
        <w:rPr>
          <w:color w:val="105C84"/>
        </w:rPr>
        <w:t>implements</w:t>
      </w:r>
      <w:r>
        <w:rPr>
          <w:color w:val="105C84"/>
          <w:spacing w:val="32"/>
        </w:rPr>
        <w:t> </w:t>
      </w:r>
      <w:r>
        <w:rPr>
          <w:color w:val="105C84"/>
        </w:rPr>
        <w:t>three</w:t>
      </w:r>
      <w:r>
        <w:rPr>
          <w:color w:val="105C84"/>
          <w:spacing w:val="32"/>
        </w:rPr>
        <w:t> </w:t>
      </w:r>
      <w:r>
        <w:rPr>
          <w:color w:val="105C84"/>
        </w:rPr>
        <w:t>strategies to prevent underage drinking in the county: Parents Who Host Lose the Most, Project Sticker Shock,</w:t>
      </w:r>
    </w:p>
    <w:p>
      <w:pPr>
        <w:tabs>
          <w:tab w:pos="4440" w:val="left" w:leader="none"/>
          <w:tab w:pos="8155" w:val="left" w:leader="none"/>
        </w:tabs>
        <w:spacing w:line="230" w:lineRule="exact" w:before="0"/>
        <w:ind w:left="1159" w:right="0" w:firstLine="0"/>
        <w:jc w:val="left"/>
        <w:rPr>
          <w:sz w:val="20"/>
        </w:rPr>
      </w:pPr>
      <w:r>
        <w:rPr/>
        <w:br w:type="column"/>
      </w:r>
      <w:r>
        <w:rPr>
          <w:color w:val="105C84"/>
          <w:sz w:val="20"/>
        </w:rPr>
        <w:t>Excellus</w:t>
      </w:r>
      <w:r>
        <w:rPr>
          <w:color w:val="105C84"/>
          <w:spacing w:val="-10"/>
          <w:sz w:val="20"/>
        </w:rPr>
        <w:t> </w:t>
      </w:r>
      <w:r>
        <w:rPr>
          <w:color w:val="105C84"/>
          <w:sz w:val="20"/>
        </w:rPr>
        <w:t>Blue</w:t>
      </w:r>
      <w:r>
        <w:rPr>
          <w:color w:val="105C84"/>
          <w:spacing w:val="-10"/>
          <w:sz w:val="20"/>
        </w:rPr>
        <w:t> </w:t>
      </w:r>
      <w:r>
        <w:rPr>
          <w:color w:val="105C84"/>
          <w:sz w:val="20"/>
        </w:rPr>
        <w:t>Cross</w:t>
      </w:r>
      <w:r>
        <w:rPr>
          <w:color w:val="105C84"/>
          <w:spacing w:val="-10"/>
          <w:sz w:val="20"/>
        </w:rPr>
        <w:t> </w:t>
      </w:r>
      <w:r>
        <w:rPr>
          <w:color w:val="105C84"/>
          <w:sz w:val="20"/>
        </w:rPr>
        <w:t>Blue</w:t>
      </w:r>
      <w:r>
        <w:rPr>
          <w:color w:val="105C84"/>
          <w:spacing w:val="-10"/>
          <w:sz w:val="20"/>
        </w:rPr>
        <w:t> </w:t>
      </w:r>
      <w:r>
        <w:rPr>
          <w:color w:val="105C84"/>
          <w:spacing w:val="-2"/>
          <w:sz w:val="20"/>
        </w:rPr>
        <w:t>Shield</w:t>
      </w:r>
      <w:r>
        <w:rPr>
          <w:color w:val="105C84"/>
          <w:sz w:val="20"/>
        </w:rPr>
        <w:tab/>
        <w:t>Arc</w:t>
      </w:r>
      <w:r>
        <w:rPr>
          <w:color w:val="105C84"/>
          <w:spacing w:val="8"/>
          <w:sz w:val="20"/>
        </w:rPr>
        <w:t> </w:t>
      </w:r>
      <w:r>
        <w:rPr>
          <w:color w:val="105C84"/>
          <w:sz w:val="20"/>
        </w:rPr>
        <w:t>of</w:t>
      </w:r>
      <w:r>
        <w:rPr>
          <w:color w:val="105C84"/>
          <w:spacing w:val="9"/>
          <w:sz w:val="20"/>
        </w:rPr>
        <w:t> </w:t>
      </w:r>
      <w:r>
        <w:rPr>
          <w:color w:val="105C84"/>
          <w:sz w:val="20"/>
        </w:rPr>
        <w:t>Livingston</w:t>
      </w:r>
      <w:r>
        <w:rPr>
          <w:color w:val="105C84"/>
          <w:spacing w:val="9"/>
          <w:sz w:val="20"/>
        </w:rPr>
        <w:t> </w:t>
      </w:r>
      <w:r>
        <w:rPr>
          <w:color w:val="105C84"/>
          <w:sz w:val="20"/>
        </w:rPr>
        <w:t>and</w:t>
      </w:r>
      <w:r>
        <w:rPr>
          <w:color w:val="105C84"/>
          <w:spacing w:val="9"/>
          <w:sz w:val="20"/>
        </w:rPr>
        <w:t> </w:t>
      </w:r>
      <w:r>
        <w:rPr>
          <w:color w:val="105C84"/>
          <w:spacing w:val="-2"/>
          <w:sz w:val="20"/>
        </w:rPr>
        <w:t>Wayne</w:t>
      </w:r>
      <w:r>
        <w:rPr>
          <w:color w:val="105C84"/>
          <w:sz w:val="20"/>
        </w:rPr>
        <w:tab/>
      </w:r>
      <w:r>
        <w:rPr>
          <w:color w:val="105C84"/>
          <w:spacing w:val="-2"/>
          <w:sz w:val="20"/>
        </w:rPr>
        <w:t>LCCNR</w:t>
      </w:r>
    </w:p>
    <w:p>
      <w:pPr>
        <w:pStyle w:val="BodyText"/>
        <w:spacing w:before="8"/>
        <w:rPr>
          <w:sz w:val="10"/>
        </w:rPr>
      </w:pPr>
      <w:r>
        <w:rPr>
          <w:sz w:val="10"/>
        </w:rPr>
        <mc:AlternateContent>
          <mc:Choice Requires="wps">
            <w:drawing>
              <wp:anchor distT="0" distB="0" distL="0" distR="0" allowOverlap="1" layoutInCell="1" locked="0" behindDoc="1" simplePos="0" relativeHeight="487654400">
                <wp:simplePos x="0" y="0"/>
                <wp:positionH relativeFrom="page">
                  <wp:posOffset>8468931</wp:posOffset>
                </wp:positionH>
                <wp:positionV relativeFrom="paragraph">
                  <wp:posOffset>93705</wp:posOffset>
                </wp:positionV>
                <wp:extent cx="1900555" cy="1270"/>
                <wp:effectExtent l="0" t="0" r="0" b="0"/>
                <wp:wrapTopAndBottom/>
                <wp:docPr id="701" name="Graphic 701"/>
                <wp:cNvGraphicFramePr>
                  <a:graphicFrameLocks/>
                </wp:cNvGraphicFramePr>
                <a:graphic>
                  <a:graphicData uri="http://schemas.microsoft.com/office/word/2010/wordprocessingShape">
                    <wps:wsp>
                      <wps:cNvPr id="701" name="Graphic 701"/>
                      <wps:cNvSpPr/>
                      <wps:spPr>
                        <a:xfrm>
                          <a:off x="0" y="0"/>
                          <a:ext cx="1900555" cy="1270"/>
                        </a:xfrm>
                        <a:custGeom>
                          <a:avLst/>
                          <a:gdLst/>
                          <a:ahLst/>
                          <a:cxnLst/>
                          <a:rect l="l" t="t" r="r" b="b"/>
                          <a:pathLst>
                            <a:path w="1900555" h="0">
                              <a:moveTo>
                                <a:pt x="0" y="0"/>
                              </a:moveTo>
                              <a:lnTo>
                                <a:pt x="1900364" y="0"/>
                              </a:lnTo>
                            </a:path>
                          </a:pathLst>
                        </a:custGeom>
                        <a:ln w="3175">
                          <a:solidFill>
                            <a:srgbClr val="636466"/>
                          </a:solidFill>
                          <a:prstDash val="solid"/>
                        </a:ln>
                      </wps:spPr>
                      <wps:bodyPr wrap="square" lIns="0" tIns="0" rIns="0" bIns="0" rtlCol="0">
                        <a:prstTxWarp prst="textNoShape">
                          <a:avLst/>
                        </a:prstTxWarp>
                        <a:noAutofit/>
                      </wps:bodyPr>
                    </wps:wsp>
                  </a:graphicData>
                </a:graphic>
              </wp:anchor>
            </w:drawing>
          </mc:Choice>
          <mc:Fallback>
            <w:pict>
              <v:shape style="position:absolute;margin-left:666.844971pt;margin-top:7.378362pt;width:149.65pt;height:.1pt;mso-position-horizontal-relative:page;mso-position-vertical-relative:paragraph;z-index:-15662080;mso-wrap-distance-left:0;mso-wrap-distance-right:0" id="docshape599" coordorigin="13337,148" coordsize="2993,0" path="m13337,148l16330,148e" filled="false" stroked="true" strokeweight=".25pt" strokecolor="#636466">
                <v:path arrowok="t"/>
                <v:stroke dashstyle="solid"/>
                <w10:wrap type="topAndBottom"/>
              </v:shape>
            </w:pict>
          </mc:Fallback>
        </mc:AlternateContent>
      </w:r>
      <w:r>
        <w:rPr>
          <w:sz w:val="10"/>
        </w:rPr>
        <mc:AlternateContent>
          <mc:Choice Requires="wps">
            <w:drawing>
              <wp:anchor distT="0" distB="0" distL="0" distR="0" allowOverlap="1" layoutInCell="1" locked="0" behindDoc="1" simplePos="0" relativeHeight="487654912">
                <wp:simplePos x="0" y="0"/>
                <wp:positionH relativeFrom="page">
                  <wp:posOffset>10552176</wp:posOffset>
                </wp:positionH>
                <wp:positionV relativeFrom="paragraph">
                  <wp:posOffset>93705</wp:posOffset>
                </wp:positionV>
                <wp:extent cx="2194560" cy="1270"/>
                <wp:effectExtent l="0" t="0" r="0" b="0"/>
                <wp:wrapTopAndBottom/>
                <wp:docPr id="702" name="Graphic 702"/>
                <wp:cNvGraphicFramePr>
                  <a:graphicFrameLocks/>
                </wp:cNvGraphicFramePr>
                <a:graphic>
                  <a:graphicData uri="http://schemas.microsoft.com/office/word/2010/wordprocessingShape">
                    <wps:wsp>
                      <wps:cNvPr id="702" name="Graphic 702"/>
                      <wps:cNvSpPr/>
                      <wps:spPr>
                        <a:xfrm>
                          <a:off x="0" y="0"/>
                          <a:ext cx="2194560" cy="1270"/>
                        </a:xfrm>
                        <a:custGeom>
                          <a:avLst/>
                          <a:gdLst/>
                          <a:ahLst/>
                          <a:cxnLst/>
                          <a:rect l="l" t="t" r="r" b="b"/>
                          <a:pathLst>
                            <a:path w="2194560" h="0">
                              <a:moveTo>
                                <a:pt x="0" y="0"/>
                              </a:moveTo>
                              <a:lnTo>
                                <a:pt x="2194560" y="0"/>
                              </a:lnTo>
                            </a:path>
                          </a:pathLst>
                        </a:custGeom>
                        <a:ln w="3175">
                          <a:solidFill>
                            <a:srgbClr val="636466"/>
                          </a:solidFill>
                          <a:prstDash val="solid"/>
                        </a:ln>
                      </wps:spPr>
                      <wps:bodyPr wrap="square" lIns="0" tIns="0" rIns="0" bIns="0" rtlCol="0">
                        <a:prstTxWarp prst="textNoShape">
                          <a:avLst/>
                        </a:prstTxWarp>
                        <a:noAutofit/>
                      </wps:bodyPr>
                    </wps:wsp>
                  </a:graphicData>
                </a:graphic>
              </wp:anchor>
            </w:drawing>
          </mc:Choice>
          <mc:Fallback>
            <w:pict>
              <v:shape style="position:absolute;margin-left:830.880005pt;margin-top:7.378362pt;width:172.8pt;height:.1pt;mso-position-horizontal-relative:page;mso-position-vertical-relative:paragraph;z-index:-15661568;mso-wrap-distance-left:0;mso-wrap-distance-right:0" id="docshape600" coordorigin="16618,148" coordsize="3456,0" path="m16618,148l20074,148e" filled="false" stroked="true" strokeweight=".25pt" strokecolor="#636466">
                <v:path arrowok="t"/>
                <v:stroke dashstyle="solid"/>
                <w10:wrap type="topAndBottom"/>
              </v:shape>
            </w:pict>
          </mc:Fallback>
        </mc:AlternateContent>
      </w:r>
      <w:r>
        <w:rPr>
          <w:sz w:val="10"/>
        </w:rPr>
        <mc:AlternateContent>
          <mc:Choice Requires="wps">
            <w:drawing>
              <wp:anchor distT="0" distB="0" distL="0" distR="0" allowOverlap="1" layoutInCell="1" locked="0" behindDoc="1" simplePos="0" relativeHeight="487655424">
                <wp:simplePos x="0" y="0"/>
                <wp:positionH relativeFrom="page">
                  <wp:posOffset>12911328</wp:posOffset>
                </wp:positionH>
                <wp:positionV relativeFrom="paragraph">
                  <wp:posOffset>93705</wp:posOffset>
                </wp:positionV>
                <wp:extent cx="1772920" cy="1270"/>
                <wp:effectExtent l="0" t="0" r="0" b="0"/>
                <wp:wrapTopAndBottom/>
                <wp:docPr id="703" name="Graphic 703"/>
                <wp:cNvGraphicFramePr>
                  <a:graphicFrameLocks/>
                </wp:cNvGraphicFramePr>
                <a:graphic>
                  <a:graphicData uri="http://schemas.microsoft.com/office/word/2010/wordprocessingShape">
                    <wps:wsp>
                      <wps:cNvPr id="703" name="Graphic 703"/>
                      <wps:cNvSpPr/>
                      <wps:spPr>
                        <a:xfrm>
                          <a:off x="0" y="0"/>
                          <a:ext cx="1772920" cy="1270"/>
                        </a:xfrm>
                        <a:custGeom>
                          <a:avLst/>
                          <a:gdLst/>
                          <a:ahLst/>
                          <a:cxnLst/>
                          <a:rect l="l" t="t" r="r" b="b"/>
                          <a:pathLst>
                            <a:path w="1772920" h="0">
                              <a:moveTo>
                                <a:pt x="0" y="0"/>
                              </a:moveTo>
                              <a:lnTo>
                                <a:pt x="1772348" y="0"/>
                              </a:lnTo>
                            </a:path>
                          </a:pathLst>
                        </a:custGeom>
                        <a:ln w="3175">
                          <a:solidFill>
                            <a:srgbClr val="636466"/>
                          </a:solidFill>
                          <a:prstDash val="solid"/>
                        </a:ln>
                      </wps:spPr>
                      <wps:bodyPr wrap="square" lIns="0" tIns="0" rIns="0" bIns="0" rtlCol="0">
                        <a:prstTxWarp prst="textNoShape">
                          <a:avLst/>
                        </a:prstTxWarp>
                        <a:noAutofit/>
                      </wps:bodyPr>
                    </wps:wsp>
                  </a:graphicData>
                </a:graphic>
              </wp:anchor>
            </w:drawing>
          </mc:Choice>
          <mc:Fallback>
            <w:pict>
              <v:shape style="position:absolute;margin-left:1016.640015pt;margin-top:7.378362pt;width:139.6pt;height:.1pt;mso-position-horizontal-relative:page;mso-position-vertical-relative:paragraph;z-index:-15661056;mso-wrap-distance-left:0;mso-wrap-distance-right:0" id="docshape601" coordorigin="20333,148" coordsize="2792,0" path="m20333,148l23124,148e" filled="false" stroked="true" strokeweight=".25pt" strokecolor="#636466">
                <v:path arrowok="t"/>
                <v:stroke dashstyle="solid"/>
                <w10:wrap type="topAndBottom"/>
              </v:shape>
            </w:pict>
          </mc:Fallback>
        </mc:AlternateContent>
      </w:r>
    </w:p>
    <w:p>
      <w:pPr>
        <w:tabs>
          <w:tab w:pos="4440" w:val="left" w:leader="none"/>
          <w:tab w:pos="8155" w:val="left" w:leader="none"/>
        </w:tabs>
        <w:spacing w:before="110"/>
        <w:ind w:left="1080" w:right="0" w:firstLine="0"/>
        <w:jc w:val="left"/>
        <w:rPr>
          <w:sz w:val="20"/>
        </w:rPr>
      </w:pPr>
      <w:r>
        <w:rPr>
          <w:color w:val="105C84"/>
          <w:spacing w:val="24"/>
          <w:position w:val="-9"/>
          <w:sz w:val="22"/>
          <w:u w:val="single" w:color="636466"/>
        </w:rPr>
        <w:t> </w:t>
      </w:r>
      <w:r>
        <w:rPr>
          <w:color w:val="105C84"/>
          <w:sz w:val="20"/>
          <w:u w:val="none"/>
        </w:rPr>
        <w:t>Health</w:t>
      </w:r>
      <w:r>
        <w:rPr>
          <w:color w:val="105C84"/>
          <w:spacing w:val="5"/>
          <w:sz w:val="20"/>
          <w:u w:val="none"/>
        </w:rPr>
        <w:t> </w:t>
      </w:r>
      <w:r>
        <w:rPr>
          <w:color w:val="105C84"/>
          <w:sz w:val="20"/>
          <w:u w:val="none"/>
        </w:rPr>
        <w:t>and</w:t>
      </w:r>
      <w:r>
        <w:rPr>
          <w:color w:val="105C84"/>
          <w:spacing w:val="5"/>
          <w:sz w:val="20"/>
          <w:u w:val="none"/>
        </w:rPr>
        <w:t> </w:t>
      </w:r>
      <w:r>
        <w:rPr>
          <w:color w:val="105C84"/>
          <w:spacing w:val="-2"/>
          <w:sz w:val="20"/>
          <w:u w:val="none"/>
        </w:rPr>
        <w:t>Wellness</w:t>
      </w:r>
      <w:r>
        <w:rPr>
          <w:color w:val="105C84"/>
          <w:sz w:val="20"/>
          <w:u w:val="none"/>
        </w:rPr>
        <w:tab/>
        <w:t>Tri-County</w:t>
      </w:r>
      <w:r>
        <w:rPr>
          <w:color w:val="105C84"/>
          <w:spacing w:val="-5"/>
          <w:sz w:val="20"/>
          <w:u w:val="none"/>
        </w:rPr>
        <w:t> </w:t>
      </w:r>
      <w:r>
        <w:rPr>
          <w:color w:val="105C84"/>
          <w:sz w:val="20"/>
          <w:u w:val="none"/>
        </w:rPr>
        <w:t>Family</w:t>
      </w:r>
      <w:r>
        <w:rPr>
          <w:color w:val="105C84"/>
          <w:spacing w:val="-5"/>
          <w:sz w:val="20"/>
          <w:u w:val="none"/>
        </w:rPr>
        <w:t> </w:t>
      </w:r>
      <w:r>
        <w:rPr>
          <w:color w:val="105C84"/>
          <w:spacing w:val="-2"/>
          <w:sz w:val="20"/>
          <w:u w:val="none"/>
        </w:rPr>
        <w:t>Medicine</w:t>
      </w:r>
      <w:r>
        <w:rPr>
          <w:color w:val="105C84"/>
          <w:sz w:val="20"/>
          <w:u w:val="none"/>
        </w:rPr>
        <w:tab/>
        <w:t>Office</w:t>
      </w:r>
      <w:r>
        <w:rPr>
          <w:color w:val="105C84"/>
          <w:spacing w:val="15"/>
          <w:sz w:val="20"/>
          <w:u w:val="none"/>
        </w:rPr>
        <w:t> </w:t>
      </w:r>
      <w:r>
        <w:rPr>
          <w:color w:val="105C84"/>
          <w:sz w:val="20"/>
          <w:u w:val="none"/>
        </w:rPr>
        <w:t>for</w:t>
      </w:r>
      <w:r>
        <w:rPr>
          <w:color w:val="105C84"/>
          <w:spacing w:val="16"/>
          <w:sz w:val="20"/>
          <w:u w:val="none"/>
        </w:rPr>
        <w:t> </w:t>
      </w:r>
      <w:r>
        <w:rPr>
          <w:color w:val="105C84"/>
          <w:spacing w:val="-2"/>
          <w:sz w:val="20"/>
          <w:u w:val="none"/>
        </w:rPr>
        <w:t>Aging</w:t>
      </w:r>
    </w:p>
    <w:p>
      <w:pPr>
        <w:pStyle w:val="BodyText"/>
        <w:spacing w:before="8"/>
        <w:rPr>
          <w:sz w:val="10"/>
        </w:rPr>
      </w:pPr>
      <w:r>
        <w:rPr>
          <w:sz w:val="10"/>
        </w:rPr>
        <mc:AlternateContent>
          <mc:Choice Requires="wps">
            <w:drawing>
              <wp:anchor distT="0" distB="0" distL="0" distR="0" allowOverlap="1" layoutInCell="1" locked="0" behindDoc="1" simplePos="0" relativeHeight="487655936">
                <wp:simplePos x="0" y="0"/>
                <wp:positionH relativeFrom="page">
                  <wp:posOffset>10552176</wp:posOffset>
                </wp:positionH>
                <wp:positionV relativeFrom="paragraph">
                  <wp:posOffset>93674</wp:posOffset>
                </wp:positionV>
                <wp:extent cx="2194560" cy="1270"/>
                <wp:effectExtent l="0" t="0" r="0" b="0"/>
                <wp:wrapTopAndBottom/>
                <wp:docPr id="704" name="Graphic 704"/>
                <wp:cNvGraphicFramePr>
                  <a:graphicFrameLocks/>
                </wp:cNvGraphicFramePr>
                <a:graphic>
                  <a:graphicData uri="http://schemas.microsoft.com/office/word/2010/wordprocessingShape">
                    <wps:wsp>
                      <wps:cNvPr id="704" name="Graphic 704"/>
                      <wps:cNvSpPr/>
                      <wps:spPr>
                        <a:xfrm>
                          <a:off x="0" y="0"/>
                          <a:ext cx="2194560" cy="1270"/>
                        </a:xfrm>
                        <a:custGeom>
                          <a:avLst/>
                          <a:gdLst/>
                          <a:ahLst/>
                          <a:cxnLst/>
                          <a:rect l="l" t="t" r="r" b="b"/>
                          <a:pathLst>
                            <a:path w="2194560" h="0">
                              <a:moveTo>
                                <a:pt x="0" y="0"/>
                              </a:moveTo>
                              <a:lnTo>
                                <a:pt x="2194560" y="0"/>
                              </a:lnTo>
                            </a:path>
                          </a:pathLst>
                        </a:custGeom>
                        <a:ln w="3175">
                          <a:solidFill>
                            <a:srgbClr val="636466"/>
                          </a:solidFill>
                          <a:prstDash val="solid"/>
                        </a:ln>
                      </wps:spPr>
                      <wps:bodyPr wrap="square" lIns="0" tIns="0" rIns="0" bIns="0" rtlCol="0">
                        <a:prstTxWarp prst="textNoShape">
                          <a:avLst/>
                        </a:prstTxWarp>
                        <a:noAutofit/>
                      </wps:bodyPr>
                    </wps:wsp>
                  </a:graphicData>
                </a:graphic>
              </wp:anchor>
            </w:drawing>
          </mc:Choice>
          <mc:Fallback>
            <w:pict>
              <v:shape style="position:absolute;margin-left:830.880005pt;margin-top:7.375977pt;width:172.8pt;height:.1pt;mso-position-horizontal-relative:page;mso-position-vertical-relative:paragraph;z-index:-15660544;mso-wrap-distance-left:0;mso-wrap-distance-right:0" id="docshape602" coordorigin="16618,148" coordsize="3456,0" path="m16618,148l20074,148e" filled="false" stroked="true" strokeweight=".25pt" strokecolor="#636466">
                <v:path arrowok="t"/>
                <v:stroke dashstyle="solid"/>
                <w10:wrap type="topAndBottom"/>
              </v:shape>
            </w:pict>
          </mc:Fallback>
        </mc:AlternateContent>
      </w:r>
      <w:r>
        <w:rPr>
          <w:sz w:val="10"/>
        </w:rPr>
        <mc:AlternateContent>
          <mc:Choice Requires="wps">
            <w:drawing>
              <wp:anchor distT="0" distB="0" distL="0" distR="0" allowOverlap="1" layoutInCell="1" locked="0" behindDoc="1" simplePos="0" relativeHeight="487656448">
                <wp:simplePos x="0" y="0"/>
                <wp:positionH relativeFrom="page">
                  <wp:posOffset>12911328</wp:posOffset>
                </wp:positionH>
                <wp:positionV relativeFrom="paragraph">
                  <wp:posOffset>93674</wp:posOffset>
                </wp:positionV>
                <wp:extent cx="1772920" cy="1270"/>
                <wp:effectExtent l="0" t="0" r="0" b="0"/>
                <wp:wrapTopAndBottom/>
                <wp:docPr id="705" name="Graphic 705"/>
                <wp:cNvGraphicFramePr>
                  <a:graphicFrameLocks/>
                </wp:cNvGraphicFramePr>
                <a:graphic>
                  <a:graphicData uri="http://schemas.microsoft.com/office/word/2010/wordprocessingShape">
                    <wps:wsp>
                      <wps:cNvPr id="705" name="Graphic 705"/>
                      <wps:cNvSpPr/>
                      <wps:spPr>
                        <a:xfrm>
                          <a:off x="0" y="0"/>
                          <a:ext cx="1772920" cy="1270"/>
                        </a:xfrm>
                        <a:custGeom>
                          <a:avLst/>
                          <a:gdLst/>
                          <a:ahLst/>
                          <a:cxnLst/>
                          <a:rect l="l" t="t" r="r" b="b"/>
                          <a:pathLst>
                            <a:path w="1772920" h="0">
                              <a:moveTo>
                                <a:pt x="0" y="0"/>
                              </a:moveTo>
                              <a:lnTo>
                                <a:pt x="1772348" y="0"/>
                              </a:lnTo>
                            </a:path>
                          </a:pathLst>
                        </a:custGeom>
                        <a:ln w="3175">
                          <a:solidFill>
                            <a:srgbClr val="636466"/>
                          </a:solidFill>
                          <a:prstDash val="solid"/>
                        </a:ln>
                      </wps:spPr>
                      <wps:bodyPr wrap="square" lIns="0" tIns="0" rIns="0" bIns="0" rtlCol="0">
                        <a:prstTxWarp prst="textNoShape">
                          <a:avLst/>
                        </a:prstTxWarp>
                        <a:noAutofit/>
                      </wps:bodyPr>
                    </wps:wsp>
                  </a:graphicData>
                </a:graphic>
              </wp:anchor>
            </w:drawing>
          </mc:Choice>
          <mc:Fallback>
            <w:pict>
              <v:shape style="position:absolute;margin-left:1016.640015pt;margin-top:7.375977pt;width:139.6pt;height:.1pt;mso-position-horizontal-relative:page;mso-position-vertical-relative:paragraph;z-index:-15660032;mso-wrap-distance-left:0;mso-wrap-distance-right:0" id="docshape603" coordorigin="20333,148" coordsize="2792,0" path="m20333,148l23124,148e" filled="false" stroked="true" strokeweight=".25pt" strokecolor="#636466">
                <v:path arrowok="t"/>
                <v:stroke dashstyle="solid"/>
                <w10:wrap type="topAndBottom"/>
              </v:shape>
            </w:pict>
          </mc:Fallback>
        </mc:AlternateContent>
      </w:r>
    </w:p>
    <w:p>
      <w:pPr>
        <w:tabs>
          <w:tab w:pos="4439" w:val="left" w:leader="none"/>
          <w:tab w:pos="8155" w:val="left" w:leader="none"/>
        </w:tabs>
        <w:spacing w:line="280" w:lineRule="exact" w:before="100"/>
        <w:ind w:left="1159" w:right="0" w:firstLine="0"/>
        <w:jc w:val="left"/>
        <w:rPr>
          <w:position w:val="11"/>
          <w:sz w:val="20"/>
        </w:rPr>
      </w:pPr>
      <w:r>
        <w:rPr>
          <w:color w:val="105C84"/>
          <w:spacing w:val="-2"/>
          <w:sz w:val="20"/>
        </w:rPr>
        <w:t>Veterans</w:t>
      </w:r>
      <w:r>
        <w:rPr>
          <w:color w:val="105C84"/>
          <w:sz w:val="20"/>
        </w:rPr>
        <w:tab/>
        <w:t>Genesee</w:t>
      </w:r>
      <w:r>
        <w:rPr>
          <w:color w:val="105C84"/>
          <w:spacing w:val="-6"/>
          <w:sz w:val="20"/>
        </w:rPr>
        <w:t> </w:t>
      </w:r>
      <w:r>
        <w:rPr>
          <w:color w:val="105C84"/>
          <w:sz w:val="20"/>
        </w:rPr>
        <w:t>Valley</w:t>
      </w:r>
      <w:r>
        <w:rPr>
          <w:color w:val="105C84"/>
          <w:spacing w:val="-5"/>
          <w:sz w:val="20"/>
        </w:rPr>
        <w:t> </w:t>
      </w:r>
      <w:r>
        <w:rPr>
          <w:color w:val="105C84"/>
          <w:sz w:val="20"/>
        </w:rPr>
        <w:t>Health</w:t>
      </w:r>
      <w:r>
        <w:rPr>
          <w:color w:val="105C84"/>
          <w:spacing w:val="-5"/>
          <w:sz w:val="20"/>
        </w:rPr>
        <w:t> </w:t>
      </w:r>
      <w:r>
        <w:rPr>
          <w:color w:val="105C84"/>
          <w:spacing w:val="-2"/>
          <w:sz w:val="20"/>
        </w:rPr>
        <w:t>Partnership</w:t>
      </w:r>
      <w:r>
        <w:rPr>
          <w:color w:val="105C84"/>
          <w:sz w:val="20"/>
        </w:rPr>
        <w:tab/>
      </w:r>
      <w:r>
        <w:rPr>
          <w:color w:val="105C84"/>
          <w:position w:val="11"/>
          <w:sz w:val="20"/>
        </w:rPr>
        <w:t>Noyes</w:t>
      </w:r>
      <w:r>
        <w:rPr>
          <w:color w:val="105C84"/>
          <w:spacing w:val="-7"/>
          <w:position w:val="11"/>
          <w:sz w:val="20"/>
        </w:rPr>
        <w:t> </w:t>
      </w:r>
      <w:r>
        <w:rPr>
          <w:color w:val="105C84"/>
          <w:position w:val="11"/>
          <w:sz w:val="20"/>
        </w:rPr>
        <w:t>Wellness</w:t>
      </w:r>
      <w:r>
        <w:rPr>
          <w:color w:val="105C84"/>
          <w:spacing w:val="-6"/>
          <w:position w:val="11"/>
          <w:sz w:val="20"/>
        </w:rPr>
        <w:t> </w:t>
      </w:r>
      <w:r>
        <w:rPr>
          <w:color w:val="105C84"/>
          <w:spacing w:val="-5"/>
          <w:position w:val="11"/>
          <w:sz w:val="20"/>
        </w:rPr>
        <w:t>and</w:t>
      </w:r>
    </w:p>
    <w:p>
      <w:pPr>
        <w:tabs>
          <w:tab w:pos="4072" w:val="left" w:leader="none"/>
          <w:tab w:pos="8155" w:val="left" w:leader="none"/>
        </w:tabs>
        <w:spacing w:line="170" w:lineRule="exact" w:before="0"/>
        <w:ind w:left="1080" w:right="0" w:firstLine="0"/>
        <w:jc w:val="left"/>
        <w:rPr>
          <w:sz w:val="20"/>
        </w:rPr>
      </w:pPr>
      <w:r>
        <w:rPr>
          <w:rFonts w:ascii="Times New Roman"/>
          <w:color w:val="105C84"/>
          <w:position w:val="-17"/>
          <w:sz w:val="22"/>
          <w:u w:val="single" w:color="636466"/>
        </w:rPr>
        <w:tab/>
      </w:r>
      <w:r>
        <w:rPr>
          <w:rFonts w:ascii="Times New Roman"/>
          <w:color w:val="105C84"/>
          <w:position w:val="-17"/>
          <w:sz w:val="22"/>
          <w:u w:val="none"/>
        </w:rPr>
        <w:tab/>
      </w:r>
      <w:r>
        <w:rPr>
          <w:color w:val="105C84"/>
          <w:sz w:val="20"/>
          <w:u w:val="none"/>
        </w:rPr>
        <w:t>Mental</w:t>
      </w:r>
      <w:r>
        <w:rPr>
          <w:color w:val="105C84"/>
          <w:spacing w:val="28"/>
          <w:sz w:val="20"/>
          <w:u w:val="none"/>
        </w:rPr>
        <w:t> </w:t>
      </w:r>
      <w:r>
        <w:rPr>
          <w:color w:val="105C84"/>
          <w:spacing w:val="-2"/>
          <w:sz w:val="20"/>
          <w:u w:val="none"/>
        </w:rPr>
        <w:t>Health</w:t>
      </w:r>
    </w:p>
    <w:p>
      <w:pPr>
        <w:pStyle w:val="BodyText"/>
        <w:spacing w:before="11"/>
        <w:rPr>
          <w:sz w:val="11"/>
        </w:rPr>
      </w:pPr>
    </w:p>
    <w:p>
      <w:pPr>
        <w:tabs>
          <w:tab w:pos="8075" w:val="left" w:leader="none"/>
        </w:tabs>
        <w:spacing w:line="20" w:lineRule="exact"/>
        <w:ind w:left="4360" w:right="0" w:firstLine="0"/>
        <w:rPr>
          <w:sz w:val="2"/>
        </w:rPr>
      </w:pPr>
      <w:r>
        <w:rPr>
          <w:sz w:val="2"/>
        </w:rPr>
        <mc:AlternateContent>
          <mc:Choice Requires="wps">
            <w:drawing>
              <wp:inline distT="0" distB="0" distL="0" distR="0">
                <wp:extent cx="2194560" cy="3175"/>
                <wp:effectExtent l="9525" t="0" r="0" b="6350"/>
                <wp:docPr id="706" name="Group 706"/>
                <wp:cNvGraphicFramePr>
                  <a:graphicFrameLocks/>
                </wp:cNvGraphicFramePr>
                <a:graphic>
                  <a:graphicData uri="http://schemas.microsoft.com/office/word/2010/wordprocessingGroup">
                    <wpg:wgp>
                      <wpg:cNvPr id="706" name="Group 706"/>
                      <wpg:cNvGrpSpPr/>
                      <wpg:grpSpPr>
                        <a:xfrm>
                          <a:off x="0" y="0"/>
                          <a:ext cx="2194560" cy="3175"/>
                          <a:chExt cx="2194560" cy="3175"/>
                        </a:xfrm>
                      </wpg:grpSpPr>
                      <wps:wsp>
                        <wps:cNvPr id="707" name="Graphic 707"/>
                        <wps:cNvSpPr/>
                        <wps:spPr>
                          <a:xfrm>
                            <a:off x="0" y="1587"/>
                            <a:ext cx="2194560" cy="1270"/>
                          </a:xfrm>
                          <a:custGeom>
                            <a:avLst/>
                            <a:gdLst/>
                            <a:ahLst/>
                            <a:cxnLst/>
                            <a:rect l="l" t="t" r="r" b="b"/>
                            <a:pathLst>
                              <a:path w="2194560" h="0">
                                <a:moveTo>
                                  <a:pt x="0" y="0"/>
                                </a:moveTo>
                                <a:lnTo>
                                  <a:pt x="2194560" y="0"/>
                                </a:lnTo>
                              </a:path>
                            </a:pathLst>
                          </a:custGeom>
                          <a:ln w="3175">
                            <a:solidFill>
                              <a:srgbClr val="636466"/>
                            </a:solidFill>
                            <a:prstDash val="solid"/>
                          </a:ln>
                        </wps:spPr>
                        <wps:bodyPr wrap="square" lIns="0" tIns="0" rIns="0" bIns="0" rtlCol="0">
                          <a:prstTxWarp prst="textNoShape">
                            <a:avLst/>
                          </a:prstTxWarp>
                          <a:noAutofit/>
                        </wps:bodyPr>
                      </wps:wsp>
                    </wpg:wgp>
                  </a:graphicData>
                </a:graphic>
              </wp:inline>
            </w:drawing>
          </mc:Choice>
          <mc:Fallback>
            <w:pict>
              <v:group style="width:172.8pt;height:.25pt;mso-position-horizontal-relative:char;mso-position-vertical-relative:line" id="docshapegroup604" coordorigin="0,0" coordsize="3456,5">
                <v:line style="position:absolute" from="0,3" to="3456,3" stroked="true" strokeweight=".25pt" strokecolor="#636466">
                  <v:stroke dashstyle="solid"/>
                </v:line>
              </v:group>
            </w:pict>
          </mc:Fallback>
        </mc:AlternateContent>
      </w:r>
      <w:r>
        <w:rPr>
          <w:sz w:val="2"/>
        </w:rPr>
      </w:r>
      <w:r>
        <w:rPr>
          <w:sz w:val="2"/>
        </w:rPr>
        <w:tab/>
      </w:r>
      <w:r>
        <w:rPr>
          <w:sz w:val="2"/>
        </w:rPr>
        <mc:AlternateContent>
          <mc:Choice Requires="wps">
            <w:drawing>
              <wp:inline distT="0" distB="0" distL="0" distR="0">
                <wp:extent cx="1772920" cy="3175"/>
                <wp:effectExtent l="9525" t="0" r="0" b="6350"/>
                <wp:docPr id="708" name="Group 708"/>
                <wp:cNvGraphicFramePr>
                  <a:graphicFrameLocks/>
                </wp:cNvGraphicFramePr>
                <a:graphic>
                  <a:graphicData uri="http://schemas.microsoft.com/office/word/2010/wordprocessingGroup">
                    <wpg:wgp>
                      <wpg:cNvPr id="708" name="Group 708"/>
                      <wpg:cNvGrpSpPr/>
                      <wpg:grpSpPr>
                        <a:xfrm>
                          <a:off x="0" y="0"/>
                          <a:ext cx="1772920" cy="3175"/>
                          <a:chExt cx="1772920" cy="3175"/>
                        </a:xfrm>
                      </wpg:grpSpPr>
                      <wps:wsp>
                        <wps:cNvPr id="709" name="Graphic 709"/>
                        <wps:cNvSpPr/>
                        <wps:spPr>
                          <a:xfrm>
                            <a:off x="0" y="1587"/>
                            <a:ext cx="1772920" cy="1270"/>
                          </a:xfrm>
                          <a:custGeom>
                            <a:avLst/>
                            <a:gdLst/>
                            <a:ahLst/>
                            <a:cxnLst/>
                            <a:rect l="l" t="t" r="r" b="b"/>
                            <a:pathLst>
                              <a:path w="1772920" h="0">
                                <a:moveTo>
                                  <a:pt x="0" y="0"/>
                                </a:moveTo>
                                <a:lnTo>
                                  <a:pt x="1772348" y="0"/>
                                </a:lnTo>
                              </a:path>
                            </a:pathLst>
                          </a:custGeom>
                          <a:ln w="3175">
                            <a:solidFill>
                              <a:srgbClr val="636466"/>
                            </a:solidFill>
                            <a:prstDash val="solid"/>
                          </a:ln>
                        </wps:spPr>
                        <wps:bodyPr wrap="square" lIns="0" tIns="0" rIns="0" bIns="0" rtlCol="0">
                          <a:prstTxWarp prst="textNoShape">
                            <a:avLst/>
                          </a:prstTxWarp>
                          <a:noAutofit/>
                        </wps:bodyPr>
                      </wps:wsp>
                    </wpg:wgp>
                  </a:graphicData>
                </a:graphic>
              </wp:inline>
            </w:drawing>
          </mc:Choice>
          <mc:Fallback>
            <w:pict>
              <v:group style="width:139.6pt;height:.25pt;mso-position-horizontal-relative:char;mso-position-vertical-relative:line" id="docshapegroup605" coordorigin="0,0" coordsize="2792,5">
                <v:line style="position:absolute" from="0,3" to="2791,3" stroked="true" strokeweight=".25pt" strokecolor="#636466">
                  <v:stroke dashstyle="solid"/>
                </v:line>
              </v:group>
            </w:pict>
          </mc:Fallback>
        </mc:AlternateContent>
      </w:r>
      <w:r>
        <w:rPr>
          <w:sz w:val="2"/>
        </w:rPr>
      </w:r>
    </w:p>
    <w:p>
      <w:pPr>
        <w:spacing w:after="0" w:line="20" w:lineRule="exact"/>
        <w:rPr>
          <w:sz w:val="2"/>
        </w:rPr>
        <w:sectPr>
          <w:type w:val="continuous"/>
          <w:pgSz w:w="24480" w:h="15840" w:orient="landscape"/>
          <w:pgMar w:header="0" w:footer="0" w:top="0" w:bottom="280" w:left="0" w:right="720"/>
          <w:cols w:num="2" w:equalWidth="0">
            <w:col w:w="11071" w:space="1186"/>
            <w:col w:w="11503"/>
          </w:cols>
        </w:sectPr>
      </w:pPr>
    </w:p>
    <w:p>
      <w:pPr>
        <w:pStyle w:val="BodyText"/>
        <w:spacing w:before="14"/>
        <w:ind w:left="1080"/>
      </w:pPr>
      <w:r>
        <w:rPr/>
        <mc:AlternateContent>
          <mc:Choice Requires="wps">
            <w:drawing>
              <wp:anchor distT="0" distB="0" distL="0" distR="0" allowOverlap="1" layoutInCell="1" locked="0" behindDoc="1" simplePos="0" relativeHeight="475031040">
                <wp:simplePos x="0" y="0"/>
                <wp:positionH relativeFrom="page">
                  <wp:posOffset>12961579</wp:posOffset>
                </wp:positionH>
                <wp:positionV relativeFrom="paragraph">
                  <wp:posOffset>173829</wp:posOffset>
                </wp:positionV>
                <wp:extent cx="697230" cy="173990"/>
                <wp:effectExtent l="0" t="0" r="0" b="0"/>
                <wp:wrapNone/>
                <wp:docPr id="710" name="Textbox 710"/>
                <wp:cNvGraphicFramePr>
                  <a:graphicFrameLocks/>
                </wp:cNvGraphicFramePr>
                <a:graphic>
                  <a:graphicData uri="http://schemas.microsoft.com/office/word/2010/wordprocessingShape">
                    <wps:wsp>
                      <wps:cNvPr id="710" name="Textbox 710"/>
                      <wps:cNvSpPr txBox="1"/>
                      <wps:spPr>
                        <a:xfrm>
                          <a:off x="0" y="0"/>
                          <a:ext cx="697230" cy="173990"/>
                        </a:xfrm>
                        <a:prstGeom prst="rect">
                          <a:avLst/>
                        </a:prstGeom>
                      </wps:spPr>
                      <wps:txbx>
                        <w:txbxContent>
                          <w:p>
                            <w:pPr>
                              <w:spacing w:before="12"/>
                              <w:ind w:left="0" w:right="0" w:firstLine="0"/>
                              <w:jc w:val="left"/>
                              <w:rPr>
                                <w:sz w:val="20"/>
                              </w:rPr>
                            </w:pPr>
                            <w:r>
                              <w:rPr>
                                <w:color w:val="105C84"/>
                                <w:spacing w:val="-2"/>
                                <w:sz w:val="20"/>
                              </w:rPr>
                              <w:t>Department</w:t>
                            </w:r>
                          </w:p>
                        </w:txbxContent>
                      </wps:txbx>
                      <wps:bodyPr wrap="square" lIns="0" tIns="0" rIns="0" bIns="0" rtlCol="0">
                        <a:noAutofit/>
                      </wps:bodyPr>
                    </wps:wsp>
                  </a:graphicData>
                </a:graphic>
              </wp:anchor>
            </w:drawing>
          </mc:Choice>
          <mc:Fallback>
            <w:pict>
              <v:shape style="position:absolute;margin-left:1020.596802pt;margin-top:13.687334pt;width:54.9pt;height:13.7pt;mso-position-horizontal-relative:page;mso-position-vertical-relative:paragraph;z-index:-28285440" type="#_x0000_t202" id="docshape606" filled="false" stroked="false">
                <v:textbox inset="0,0,0,0">
                  <w:txbxContent>
                    <w:p>
                      <w:pPr>
                        <w:spacing w:before="12"/>
                        <w:ind w:left="0" w:right="0" w:firstLine="0"/>
                        <w:jc w:val="left"/>
                        <w:rPr>
                          <w:sz w:val="20"/>
                        </w:rPr>
                      </w:pPr>
                      <w:r>
                        <w:rPr>
                          <w:color w:val="105C84"/>
                          <w:spacing w:val="-2"/>
                          <w:sz w:val="20"/>
                        </w:rPr>
                        <w:t>Department</w:t>
                      </w:r>
                    </w:p>
                  </w:txbxContent>
                </v:textbox>
                <w10:wrap type="none"/>
              </v:shape>
            </w:pict>
          </mc:Fallback>
        </mc:AlternateContent>
      </w:r>
      <w:r>
        <w:rPr>
          <w:color w:val="105C84"/>
        </w:rPr>
        <w:t>and</w:t>
      </w:r>
      <w:r>
        <w:rPr>
          <w:color w:val="105C84"/>
          <w:spacing w:val="13"/>
        </w:rPr>
        <w:t> </w:t>
      </w:r>
      <w:r>
        <w:rPr>
          <w:color w:val="105C84"/>
        </w:rPr>
        <w:t>Reducing</w:t>
      </w:r>
      <w:r>
        <w:rPr>
          <w:color w:val="105C84"/>
          <w:spacing w:val="13"/>
        </w:rPr>
        <w:t> </w:t>
      </w:r>
      <w:r>
        <w:rPr>
          <w:color w:val="105C84"/>
        </w:rPr>
        <w:t>Underage</w:t>
      </w:r>
      <w:r>
        <w:rPr>
          <w:color w:val="105C84"/>
          <w:spacing w:val="13"/>
        </w:rPr>
        <w:t> </w:t>
      </w:r>
      <w:r>
        <w:rPr>
          <w:color w:val="105C84"/>
        </w:rPr>
        <w:t>Drinking</w:t>
      </w:r>
      <w:r>
        <w:rPr>
          <w:color w:val="105C84"/>
          <w:spacing w:val="14"/>
        </w:rPr>
        <w:t> </w:t>
      </w:r>
      <w:r>
        <w:rPr>
          <w:color w:val="105C84"/>
        </w:rPr>
        <w:t>Social</w:t>
      </w:r>
      <w:r>
        <w:rPr>
          <w:color w:val="105C84"/>
          <w:spacing w:val="13"/>
        </w:rPr>
        <w:t> </w:t>
      </w:r>
      <w:r>
        <w:rPr>
          <w:color w:val="105C84"/>
        </w:rPr>
        <w:t>Marketing</w:t>
      </w:r>
      <w:r>
        <w:rPr>
          <w:color w:val="105C84"/>
          <w:spacing w:val="13"/>
        </w:rPr>
        <w:t> </w:t>
      </w:r>
      <w:r>
        <w:rPr>
          <w:color w:val="105C84"/>
          <w:spacing w:val="-2"/>
        </w:rPr>
        <w:t>Campaign.</w:t>
      </w:r>
    </w:p>
    <w:p>
      <w:pPr>
        <w:pStyle w:val="BodyText"/>
        <w:spacing w:line="246" w:lineRule="exact" w:before="187"/>
        <w:ind w:left="1080"/>
      </w:pPr>
      <w:r>
        <w:rPr/>
        <mc:AlternateContent>
          <mc:Choice Requires="wps">
            <w:drawing>
              <wp:anchor distT="0" distB="0" distL="0" distR="0" allowOverlap="1" layoutInCell="1" locked="0" behindDoc="0" simplePos="0" relativeHeight="15802880">
                <wp:simplePos x="0" y="0"/>
                <wp:positionH relativeFrom="page">
                  <wp:posOffset>8468931</wp:posOffset>
                </wp:positionH>
                <wp:positionV relativeFrom="paragraph">
                  <wp:posOffset>245566</wp:posOffset>
                </wp:positionV>
                <wp:extent cx="1900555" cy="1270"/>
                <wp:effectExtent l="0" t="0" r="0" b="0"/>
                <wp:wrapNone/>
                <wp:docPr id="711" name="Graphic 711"/>
                <wp:cNvGraphicFramePr>
                  <a:graphicFrameLocks/>
                </wp:cNvGraphicFramePr>
                <a:graphic>
                  <a:graphicData uri="http://schemas.microsoft.com/office/word/2010/wordprocessingShape">
                    <wps:wsp>
                      <wps:cNvPr id="711" name="Graphic 711"/>
                      <wps:cNvSpPr/>
                      <wps:spPr>
                        <a:xfrm>
                          <a:off x="0" y="0"/>
                          <a:ext cx="1900555" cy="1270"/>
                        </a:xfrm>
                        <a:custGeom>
                          <a:avLst/>
                          <a:gdLst/>
                          <a:ahLst/>
                          <a:cxnLst/>
                          <a:rect l="l" t="t" r="r" b="b"/>
                          <a:pathLst>
                            <a:path w="1900555" h="0">
                              <a:moveTo>
                                <a:pt x="0" y="0"/>
                              </a:moveTo>
                              <a:lnTo>
                                <a:pt x="1900364" y="0"/>
                              </a:lnTo>
                            </a:path>
                          </a:pathLst>
                        </a:custGeom>
                        <a:ln w="3175">
                          <a:solidFill>
                            <a:srgbClr val="63646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02880" from="666.844971pt,19.335909pt" to="816.479971pt,19.335909pt" stroked="true" strokeweight=".25pt" strokecolor="#636466">
                <v:stroke dashstyle="solid"/>
                <w10:wrap type="none"/>
              </v:line>
            </w:pict>
          </mc:Fallback>
        </mc:AlternateContent>
      </w:r>
      <w:r>
        <w:rPr>
          <w:color w:val="105C84"/>
        </w:rPr>
        <w:t>In</w:t>
      </w:r>
      <w:r>
        <w:rPr>
          <w:color w:val="105C84"/>
          <w:spacing w:val="5"/>
        </w:rPr>
        <w:t> </w:t>
      </w:r>
      <w:r>
        <w:rPr>
          <w:color w:val="105C84"/>
        </w:rPr>
        <w:t>addition,</w:t>
      </w:r>
      <w:r>
        <w:rPr>
          <w:color w:val="105C84"/>
          <w:spacing w:val="6"/>
        </w:rPr>
        <w:t> </w:t>
      </w:r>
      <w:r>
        <w:rPr>
          <w:color w:val="105C84"/>
        </w:rPr>
        <w:t>Tobacco</w:t>
      </w:r>
      <w:r>
        <w:rPr>
          <w:color w:val="105C84"/>
          <w:spacing w:val="6"/>
        </w:rPr>
        <w:t> </w:t>
      </w:r>
      <w:r>
        <w:rPr>
          <w:color w:val="105C84"/>
        </w:rPr>
        <w:t>21</w:t>
      </w:r>
      <w:r>
        <w:rPr>
          <w:color w:val="105C84"/>
          <w:spacing w:val="6"/>
        </w:rPr>
        <w:t> </w:t>
      </w:r>
      <w:r>
        <w:rPr>
          <w:color w:val="105C84"/>
        </w:rPr>
        <w:t>was</w:t>
      </w:r>
      <w:r>
        <w:rPr>
          <w:color w:val="105C84"/>
          <w:spacing w:val="6"/>
        </w:rPr>
        <w:t> </w:t>
      </w:r>
      <w:r>
        <w:rPr>
          <w:color w:val="105C84"/>
        </w:rPr>
        <w:t>not</w:t>
      </w:r>
      <w:r>
        <w:rPr>
          <w:color w:val="105C84"/>
          <w:spacing w:val="5"/>
        </w:rPr>
        <w:t> </w:t>
      </w:r>
      <w:r>
        <w:rPr>
          <w:color w:val="105C84"/>
        </w:rPr>
        <w:t>passed</w:t>
      </w:r>
      <w:r>
        <w:rPr>
          <w:color w:val="105C84"/>
          <w:spacing w:val="6"/>
        </w:rPr>
        <w:t> </w:t>
      </w:r>
      <w:r>
        <w:rPr>
          <w:color w:val="105C84"/>
        </w:rPr>
        <w:t>locally</w:t>
      </w:r>
      <w:r>
        <w:rPr>
          <w:color w:val="105C84"/>
          <w:spacing w:val="6"/>
        </w:rPr>
        <w:t> </w:t>
      </w:r>
      <w:r>
        <w:rPr>
          <w:color w:val="105C84"/>
        </w:rPr>
        <w:t>in</w:t>
      </w:r>
      <w:r>
        <w:rPr>
          <w:color w:val="105C84"/>
          <w:spacing w:val="6"/>
        </w:rPr>
        <w:t> </w:t>
      </w:r>
      <w:r>
        <w:rPr>
          <w:color w:val="105C84"/>
        </w:rPr>
        <w:t>Livingston</w:t>
      </w:r>
      <w:r>
        <w:rPr>
          <w:color w:val="105C84"/>
          <w:spacing w:val="6"/>
        </w:rPr>
        <w:t> </w:t>
      </w:r>
      <w:r>
        <w:rPr>
          <w:color w:val="105C84"/>
        </w:rPr>
        <w:t>County,</w:t>
      </w:r>
      <w:r>
        <w:rPr>
          <w:color w:val="105C84"/>
          <w:spacing w:val="6"/>
        </w:rPr>
        <w:t> </w:t>
      </w:r>
      <w:r>
        <w:rPr>
          <w:color w:val="105C84"/>
        </w:rPr>
        <w:t>yet</w:t>
      </w:r>
      <w:r>
        <w:rPr>
          <w:color w:val="105C84"/>
          <w:spacing w:val="5"/>
        </w:rPr>
        <w:t> </w:t>
      </w:r>
      <w:r>
        <w:rPr>
          <w:color w:val="105C84"/>
        </w:rPr>
        <w:t>the</w:t>
      </w:r>
      <w:r>
        <w:rPr>
          <w:color w:val="105C84"/>
          <w:spacing w:val="6"/>
        </w:rPr>
        <w:t> </w:t>
      </w:r>
      <w:r>
        <w:rPr>
          <w:color w:val="105C84"/>
        </w:rPr>
        <w:t>law</w:t>
      </w:r>
      <w:r>
        <w:rPr>
          <w:color w:val="105C84"/>
          <w:spacing w:val="6"/>
        </w:rPr>
        <w:t> </w:t>
      </w:r>
      <w:r>
        <w:rPr>
          <w:color w:val="105C84"/>
        </w:rPr>
        <w:t>will</w:t>
      </w:r>
      <w:r>
        <w:rPr>
          <w:color w:val="105C84"/>
          <w:spacing w:val="6"/>
        </w:rPr>
        <w:t> </w:t>
      </w:r>
      <w:r>
        <w:rPr>
          <w:color w:val="105C84"/>
        </w:rPr>
        <w:t>go</w:t>
      </w:r>
      <w:r>
        <w:rPr>
          <w:color w:val="105C84"/>
          <w:spacing w:val="6"/>
        </w:rPr>
        <w:t> </w:t>
      </w:r>
      <w:r>
        <w:rPr>
          <w:color w:val="105C84"/>
        </w:rPr>
        <w:t>into</w:t>
      </w:r>
      <w:r>
        <w:rPr>
          <w:color w:val="105C84"/>
          <w:spacing w:val="6"/>
        </w:rPr>
        <w:t> </w:t>
      </w:r>
      <w:r>
        <w:rPr>
          <w:color w:val="105C84"/>
          <w:spacing w:val="-2"/>
        </w:rPr>
        <w:t>effect</w:t>
      </w:r>
    </w:p>
    <w:p>
      <w:pPr>
        <w:spacing w:line="230" w:lineRule="auto" w:before="73"/>
        <w:ind w:left="1080" w:right="0" w:firstLine="0"/>
        <w:jc w:val="left"/>
        <w:rPr>
          <w:sz w:val="20"/>
        </w:rPr>
      </w:pPr>
      <w:r>
        <w:rPr/>
        <w:br w:type="column"/>
      </w:r>
      <w:r>
        <w:rPr>
          <w:color w:val="105C84"/>
          <w:sz w:val="20"/>
        </w:rPr>
        <w:t>Livingston </w:t>
      </w:r>
      <w:r>
        <w:rPr>
          <w:color w:val="105C84"/>
          <w:sz w:val="20"/>
        </w:rPr>
        <w:t>County Mental Health</w:t>
      </w:r>
    </w:p>
    <w:p>
      <w:pPr>
        <w:tabs>
          <w:tab w:pos="3918" w:val="left" w:leader="none"/>
        </w:tabs>
        <w:spacing w:before="66"/>
        <w:ind w:left="203" w:right="0" w:firstLine="0"/>
        <w:jc w:val="center"/>
        <w:rPr>
          <w:sz w:val="20"/>
        </w:rPr>
      </w:pPr>
      <w:r>
        <w:rPr/>
        <w:br w:type="column"/>
      </w:r>
      <w:r>
        <w:rPr>
          <w:color w:val="105C84"/>
          <w:spacing w:val="-2"/>
          <w:position w:val="-10"/>
          <w:sz w:val="20"/>
        </w:rPr>
        <w:t>CASA/Trinity</w:t>
      </w:r>
      <w:r>
        <w:rPr>
          <w:color w:val="105C84"/>
          <w:position w:val="-10"/>
          <w:sz w:val="20"/>
        </w:rPr>
        <w:tab/>
      </w:r>
      <w:r>
        <w:rPr>
          <w:color w:val="105C84"/>
          <w:sz w:val="20"/>
        </w:rPr>
        <w:t>Livingston</w:t>
      </w:r>
      <w:r>
        <w:rPr>
          <w:color w:val="105C84"/>
          <w:spacing w:val="17"/>
          <w:sz w:val="20"/>
        </w:rPr>
        <w:t> </w:t>
      </w:r>
      <w:r>
        <w:rPr>
          <w:color w:val="105C84"/>
          <w:sz w:val="20"/>
        </w:rPr>
        <w:t>County</w:t>
      </w:r>
      <w:r>
        <w:rPr>
          <w:color w:val="105C84"/>
          <w:spacing w:val="17"/>
          <w:sz w:val="20"/>
        </w:rPr>
        <w:t> </w:t>
      </w:r>
      <w:r>
        <w:rPr>
          <w:color w:val="105C84"/>
          <w:spacing w:val="-2"/>
          <w:sz w:val="20"/>
        </w:rPr>
        <w:t>Planning</w:t>
      </w:r>
    </w:p>
    <w:p>
      <w:pPr>
        <w:pStyle w:val="BodyText"/>
        <w:spacing w:before="17"/>
        <w:rPr>
          <w:sz w:val="20"/>
        </w:rPr>
      </w:pPr>
    </w:p>
    <w:p>
      <w:pPr>
        <w:tabs>
          <w:tab w:pos="4716" w:val="left" w:leader="none"/>
        </w:tabs>
        <w:spacing w:line="20" w:lineRule="exact"/>
        <w:ind w:left="1000" w:right="0" w:firstLine="0"/>
        <w:rPr>
          <w:sz w:val="2"/>
        </w:rPr>
      </w:pPr>
      <w:r>
        <w:rPr>
          <w:sz w:val="2"/>
        </w:rPr>
        <mc:AlternateContent>
          <mc:Choice Requires="wps">
            <w:drawing>
              <wp:inline distT="0" distB="0" distL="0" distR="0">
                <wp:extent cx="2194560" cy="3175"/>
                <wp:effectExtent l="9525" t="0" r="0" b="6350"/>
                <wp:docPr id="712" name="Group 712"/>
                <wp:cNvGraphicFramePr>
                  <a:graphicFrameLocks/>
                </wp:cNvGraphicFramePr>
                <a:graphic>
                  <a:graphicData uri="http://schemas.microsoft.com/office/word/2010/wordprocessingGroup">
                    <wpg:wgp>
                      <wpg:cNvPr id="712" name="Group 712"/>
                      <wpg:cNvGrpSpPr/>
                      <wpg:grpSpPr>
                        <a:xfrm>
                          <a:off x="0" y="0"/>
                          <a:ext cx="2194560" cy="3175"/>
                          <a:chExt cx="2194560" cy="3175"/>
                        </a:xfrm>
                      </wpg:grpSpPr>
                      <wps:wsp>
                        <wps:cNvPr id="713" name="Graphic 713"/>
                        <wps:cNvSpPr/>
                        <wps:spPr>
                          <a:xfrm>
                            <a:off x="0" y="1587"/>
                            <a:ext cx="2194560" cy="1270"/>
                          </a:xfrm>
                          <a:custGeom>
                            <a:avLst/>
                            <a:gdLst/>
                            <a:ahLst/>
                            <a:cxnLst/>
                            <a:rect l="l" t="t" r="r" b="b"/>
                            <a:pathLst>
                              <a:path w="2194560" h="0">
                                <a:moveTo>
                                  <a:pt x="0" y="0"/>
                                </a:moveTo>
                                <a:lnTo>
                                  <a:pt x="2194560" y="0"/>
                                </a:lnTo>
                              </a:path>
                            </a:pathLst>
                          </a:custGeom>
                          <a:ln w="3175">
                            <a:solidFill>
                              <a:srgbClr val="636466"/>
                            </a:solidFill>
                            <a:prstDash val="solid"/>
                          </a:ln>
                        </wps:spPr>
                        <wps:bodyPr wrap="square" lIns="0" tIns="0" rIns="0" bIns="0" rtlCol="0">
                          <a:prstTxWarp prst="textNoShape">
                            <a:avLst/>
                          </a:prstTxWarp>
                          <a:noAutofit/>
                        </wps:bodyPr>
                      </wps:wsp>
                    </wpg:wgp>
                  </a:graphicData>
                </a:graphic>
              </wp:inline>
            </w:drawing>
          </mc:Choice>
          <mc:Fallback>
            <w:pict>
              <v:group style="width:172.8pt;height:.25pt;mso-position-horizontal-relative:char;mso-position-vertical-relative:line" id="docshapegroup607" coordorigin="0,0" coordsize="3456,5">
                <v:line style="position:absolute" from="0,3" to="3456,3" stroked="true" strokeweight=".25pt" strokecolor="#636466">
                  <v:stroke dashstyle="solid"/>
                </v:line>
              </v:group>
            </w:pict>
          </mc:Fallback>
        </mc:AlternateContent>
      </w:r>
      <w:r>
        <w:rPr>
          <w:sz w:val="2"/>
        </w:rPr>
      </w:r>
      <w:r>
        <w:rPr>
          <w:sz w:val="2"/>
        </w:rPr>
        <w:tab/>
      </w:r>
      <w:r>
        <w:rPr>
          <w:sz w:val="2"/>
        </w:rPr>
        <mc:AlternateContent>
          <mc:Choice Requires="wps">
            <w:drawing>
              <wp:inline distT="0" distB="0" distL="0" distR="0">
                <wp:extent cx="1772920" cy="3175"/>
                <wp:effectExtent l="9525" t="0" r="0" b="6350"/>
                <wp:docPr id="714" name="Group 714"/>
                <wp:cNvGraphicFramePr>
                  <a:graphicFrameLocks/>
                </wp:cNvGraphicFramePr>
                <a:graphic>
                  <a:graphicData uri="http://schemas.microsoft.com/office/word/2010/wordprocessingGroup">
                    <wpg:wgp>
                      <wpg:cNvPr id="714" name="Group 714"/>
                      <wpg:cNvGrpSpPr/>
                      <wpg:grpSpPr>
                        <a:xfrm>
                          <a:off x="0" y="0"/>
                          <a:ext cx="1772920" cy="3175"/>
                          <a:chExt cx="1772920" cy="3175"/>
                        </a:xfrm>
                      </wpg:grpSpPr>
                      <wps:wsp>
                        <wps:cNvPr id="715" name="Graphic 715"/>
                        <wps:cNvSpPr/>
                        <wps:spPr>
                          <a:xfrm>
                            <a:off x="0" y="1587"/>
                            <a:ext cx="1772920" cy="1270"/>
                          </a:xfrm>
                          <a:custGeom>
                            <a:avLst/>
                            <a:gdLst/>
                            <a:ahLst/>
                            <a:cxnLst/>
                            <a:rect l="l" t="t" r="r" b="b"/>
                            <a:pathLst>
                              <a:path w="1772920" h="0">
                                <a:moveTo>
                                  <a:pt x="0" y="0"/>
                                </a:moveTo>
                                <a:lnTo>
                                  <a:pt x="1772348" y="0"/>
                                </a:lnTo>
                              </a:path>
                            </a:pathLst>
                          </a:custGeom>
                          <a:ln w="3175">
                            <a:solidFill>
                              <a:srgbClr val="636466"/>
                            </a:solidFill>
                            <a:prstDash val="solid"/>
                          </a:ln>
                        </wps:spPr>
                        <wps:bodyPr wrap="square" lIns="0" tIns="0" rIns="0" bIns="0" rtlCol="0">
                          <a:prstTxWarp prst="textNoShape">
                            <a:avLst/>
                          </a:prstTxWarp>
                          <a:noAutofit/>
                        </wps:bodyPr>
                      </wps:wsp>
                    </wpg:wgp>
                  </a:graphicData>
                </a:graphic>
              </wp:inline>
            </w:drawing>
          </mc:Choice>
          <mc:Fallback>
            <w:pict>
              <v:group style="width:139.6pt;height:.25pt;mso-position-horizontal-relative:char;mso-position-vertical-relative:line" id="docshapegroup608" coordorigin="0,0" coordsize="2792,5">
                <v:line style="position:absolute" from="0,3" to="2791,3" stroked="true" strokeweight=".25pt" strokecolor="#636466">
                  <v:stroke dashstyle="solid"/>
                </v:line>
              </v:group>
            </w:pict>
          </mc:Fallback>
        </mc:AlternateContent>
      </w:r>
      <w:r>
        <w:rPr>
          <w:sz w:val="2"/>
        </w:rPr>
      </w:r>
    </w:p>
    <w:p>
      <w:pPr>
        <w:pStyle w:val="BodyText"/>
        <w:spacing w:before="3"/>
        <w:rPr>
          <w:sz w:val="2"/>
        </w:rPr>
      </w:pPr>
    </w:p>
    <w:p>
      <w:pPr>
        <w:pStyle w:val="BodyText"/>
        <w:spacing w:after="0"/>
        <w:rPr>
          <w:sz w:val="2"/>
        </w:rPr>
        <w:sectPr>
          <w:type w:val="continuous"/>
          <w:pgSz w:w="24480" w:h="15840" w:orient="landscape"/>
          <w:pgMar w:header="0" w:footer="0" w:top="0" w:bottom="280" w:left="0" w:right="720"/>
          <w:cols w:num="3" w:equalWidth="0">
            <w:col w:w="10767" w:space="1569"/>
            <w:col w:w="2752" w:space="529"/>
            <w:col w:w="8143"/>
          </w:cols>
        </w:sectPr>
      </w:pPr>
    </w:p>
    <w:p>
      <w:pPr>
        <w:pStyle w:val="BodyText"/>
        <w:spacing w:line="247" w:lineRule="auto" w:before="13"/>
        <w:ind w:left="1080"/>
      </w:pPr>
      <w:r>
        <w:rPr/>
        <mc:AlternateContent>
          <mc:Choice Requires="wps">
            <w:drawing>
              <wp:anchor distT="0" distB="0" distL="0" distR="0" allowOverlap="1" layoutInCell="1" locked="0" behindDoc="0" simplePos="0" relativeHeight="15804928">
                <wp:simplePos x="0" y="0"/>
                <wp:positionH relativeFrom="page">
                  <wp:posOffset>8519119</wp:posOffset>
                </wp:positionH>
                <wp:positionV relativeFrom="paragraph">
                  <wp:posOffset>97390</wp:posOffset>
                </wp:positionV>
                <wp:extent cx="910590" cy="173990"/>
                <wp:effectExtent l="0" t="0" r="0" b="0"/>
                <wp:wrapNone/>
                <wp:docPr id="716" name="Textbox 716"/>
                <wp:cNvGraphicFramePr>
                  <a:graphicFrameLocks/>
                </wp:cNvGraphicFramePr>
                <a:graphic>
                  <a:graphicData uri="http://schemas.microsoft.com/office/word/2010/wordprocessingShape">
                    <wps:wsp>
                      <wps:cNvPr id="716" name="Textbox 716"/>
                      <wps:cNvSpPr txBox="1"/>
                      <wps:spPr>
                        <a:xfrm>
                          <a:off x="0" y="0"/>
                          <a:ext cx="910590" cy="173990"/>
                        </a:xfrm>
                        <a:prstGeom prst="rect">
                          <a:avLst/>
                        </a:prstGeom>
                      </wps:spPr>
                      <wps:txbx>
                        <w:txbxContent>
                          <w:p>
                            <w:pPr>
                              <w:spacing w:before="12"/>
                              <w:ind w:left="0" w:right="0" w:firstLine="0"/>
                              <w:jc w:val="left"/>
                              <w:rPr>
                                <w:sz w:val="20"/>
                              </w:rPr>
                            </w:pPr>
                            <w:r>
                              <w:rPr>
                                <w:color w:val="105C84"/>
                                <w:sz w:val="20"/>
                              </w:rPr>
                              <w:t>Cancer</w:t>
                            </w:r>
                            <w:r>
                              <w:rPr>
                                <w:color w:val="105C84"/>
                                <w:spacing w:val="-10"/>
                                <w:sz w:val="20"/>
                              </w:rPr>
                              <w:t> </w:t>
                            </w:r>
                            <w:r>
                              <w:rPr>
                                <w:color w:val="105C84"/>
                                <w:spacing w:val="-6"/>
                                <w:sz w:val="20"/>
                              </w:rPr>
                              <w:t>Services</w:t>
                            </w:r>
                          </w:p>
                        </w:txbxContent>
                      </wps:txbx>
                      <wps:bodyPr wrap="square" lIns="0" tIns="0" rIns="0" bIns="0" rtlCol="0">
                        <a:noAutofit/>
                      </wps:bodyPr>
                    </wps:wsp>
                  </a:graphicData>
                </a:graphic>
              </wp:anchor>
            </w:drawing>
          </mc:Choice>
          <mc:Fallback>
            <w:pict>
              <v:shape style="position:absolute;margin-left:670.796814pt;margin-top:7.668531pt;width:71.7pt;height:13.7pt;mso-position-horizontal-relative:page;mso-position-vertical-relative:paragraph;z-index:15804928" type="#_x0000_t202" id="docshape609" filled="false" stroked="false">
                <v:textbox inset="0,0,0,0">
                  <w:txbxContent>
                    <w:p>
                      <w:pPr>
                        <w:spacing w:before="12"/>
                        <w:ind w:left="0" w:right="0" w:firstLine="0"/>
                        <w:jc w:val="left"/>
                        <w:rPr>
                          <w:sz w:val="20"/>
                        </w:rPr>
                      </w:pPr>
                      <w:r>
                        <w:rPr>
                          <w:color w:val="105C84"/>
                          <w:sz w:val="20"/>
                        </w:rPr>
                        <w:t>Cancer</w:t>
                      </w:r>
                      <w:r>
                        <w:rPr>
                          <w:color w:val="105C84"/>
                          <w:spacing w:val="-10"/>
                          <w:sz w:val="20"/>
                        </w:rPr>
                        <w:t> </w:t>
                      </w:r>
                      <w:r>
                        <w:rPr>
                          <w:color w:val="105C84"/>
                          <w:spacing w:val="-6"/>
                          <w:sz w:val="20"/>
                        </w:rPr>
                        <w:t>Services</w:t>
                      </w:r>
                    </w:p>
                  </w:txbxContent>
                </v:textbox>
                <w10:wrap type="none"/>
              </v:shape>
            </w:pict>
          </mc:Fallback>
        </mc:AlternateContent>
      </w:r>
      <w:r>
        <w:rPr>
          <w:color w:val="105C84"/>
        </w:rPr>
        <w:t>in New York State in 2019. This law will raise the age to legally purchase cigarettes and electronic cigarette products to age 21, which will decrease access for minors and, hopefully, reduce initiation and continuation of cigarette and e-cigarette usage.</w:t>
      </w:r>
    </w:p>
    <w:p>
      <w:pPr>
        <w:pStyle w:val="BodyText"/>
        <w:spacing w:line="247" w:lineRule="auto" w:before="164"/>
        <w:ind w:left="1080"/>
      </w:pPr>
      <w:r>
        <w:rPr/>
        <mc:AlternateContent>
          <mc:Choice Requires="wps">
            <w:drawing>
              <wp:anchor distT="0" distB="0" distL="0" distR="0" allowOverlap="1" layoutInCell="1" locked="0" behindDoc="0" simplePos="0" relativeHeight="15802368">
                <wp:simplePos x="0" y="0"/>
                <wp:positionH relativeFrom="page">
                  <wp:posOffset>10552176</wp:posOffset>
                </wp:positionH>
                <wp:positionV relativeFrom="paragraph">
                  <wp:posOffset>202321</wp:posOffset>
                </wp:positionV>
                <wp:extent cx="2194560" cy="1270"/>
                <wp:effectExtent l="0" t="0" r="0" b="0"/>
                <wp:wrapNone/>
                <wp:docPr id="717" name="Graphic 717"/>
                <wp:cNvGraphicFramePr>
                  <a:graphicFrameLocks/>
                </wp:cNvGraphicFramePr>
                <a:graphic>
                  <a:graphicData uri="http://schemas.microsoft.com/office/word/2010/wordprocessingShape">
                    <wps:wsp>
                      <wps:cNvPr id="717" name="Graphic 717"/>
                      <wps:cNvSpPr/>
                      <wps:spPr>
                        <a:xfrm>
                          <a:off x="0" y="0"/>
                          <a:ext cx="2194560" cy="1270"/>
                        </a:xfrm>
                        <a:custGeom>
                          <a:avLst/>
                          <a:gdLst/>
                          <a:ahLst/>
                          <a:cxnLst/>
                          <a:rect l="l" t="t" r="r" b="b"/>
                          <a:pathLst>
                            <a:path w="2194560" h="0">
                              <a:moveTo>
                                <a:pt x="0" y="0"/>
                              </a:moveTo>
                              <a:lnTo>
                                <a:pt x="2194560" y="0"/>
                              </a:lnTo>
                            </a:path>
                          </a:pathLst>
                        </a:custGeom>
                        <a:ln w="3175">
                          <a:solidFill>
                            <a:srgbClr val="63646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02368" from="830.880005pt,15.93085pt" to="1003.680005pt,15.93085pt" stroked="true" strokeweight=".25pt" strokecolor="#636466">
                <v:stroke dashstyle="solid"/>
                <w10:wrap type="none"/>
              </v:line>
            </w:pict>
          </mc:Fallback>
        </mc:AlternateContent>
      </w:r>
      <w:r>
        <w:rPr/>
        <mc:AlternateContent>
          <mc:Choice Requires="wps">
            <w:drawing>
              <wp:anchor distT="0" distB="0" distL="0" distR="0" allowOverlap="1" layoutInCell="1" locked="0" behindDoc="0" simplePos="0" relativeHeight="15803392">
                <wp:simplePos x="0" y="0"/>
                <wp:positionH relativeFrom="page">
                  <wp:posOffset>10552176</wp:posOffset>
                </wp:positionH>
                <wp:positionV relativeFrom="paragraph">
                  <wp:posOffset>-96128</wp:posOffset>
                </wp:positionV>
                <wp:extent cx="2194560" cy="1270"/>
                <wp:effectExtent l="0" t="0" r="0" b="0"/>
                <wp:wrapNone/>
                <wp:docPr id="718" name="Graphic 718"/>
                <wp:cNvGraphicFramePr>
                  <a:graphicFrameLocks/>
                </wp:cNvGraphicFramePr>
                <a:graphic>
                  <a:graphicData uri="http://schemas.microsoft.com/office/word/2010/wordprocessingShape">
                    <wps:wsp>
                      <wps:cNvPr id="718" name="Graphic 718"/>
                      <wps:cNvSpPr/>
                      <wps:spPr>
                        <a:xfrm>
                          <a:off x="0" y="0"/>
                          <a:ext cx="2194560" cy="1270"/>
                        </a:xfrm>
                        <a:custGeom>
                          <a:avLst/>
                          <a:gdLst/>
                          <a:ahLst/>
                          <a:cxnLst/>
                          <a:rect l="l" t="t" r="r" b="b"/>
                          <a:pathLst>
                            <a:path w="2194560" h="0">
                              <a:moveTo>
                                <a:pt x="0" y="0"/>
                              </a:moveTo>
                              <a:lnTo>
                                <a:pt x="2194560" y="0"/>
                              </a:lnTo>
                            </a:path>
                          </a:pathLst>
                        </a:custGeom>
                        <a:ln w="3175">
                          <a:solidFill>
                            <a:srgbClr val="63646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03392" from="830.880005pt,-7.56915pt" to="1003.680005pt,-7.56915pt" stroked="true" strokeweight=".25pt" strokecolor="#636466">
                <v:stroke dashstyle="solid"/>
                <w10:wrap type="none"/>
              </v:line>
            </w:pict>
          </mc:Fallback>
        </mc:AlternateContent>
      </w:r>
      <w:r>
        <w:rPr>
          <w:color w:val="105C84"/>
        </w:rPr>
        <w:t>Finally,</w:t>
      </w:r>
      <w:r>
        <w:rPr>
          <w:color w:val="105C84"/>
          <w:spacing w:val="36"/>
        </w:rPr>
        <w:t> </w:t>
      </w:r>
      <w:r>
        <w:rPr>
          <w:color w:val="105C84"/>
        </w:rPr>
        <w:t>Skybird</w:t>
      </w:r>
      <w:r>
        <w:rPr>
          <w:color w:val="105C84"/>
          <w:spacing w:val="36"/>
        </w:rPr>
        <w:t> </w:t>
      </w:r>
      <w:r>
        <w:rPr>
          <w:color w:val="105C84"/>
        </w:rPr>
        <w:t>Landing</w:t>
      </w:r>
      <w:r>
        <w:rPr>
          <w:color w:val="105C84"/>
          <w:spacing w:val="36"/>
        </w:rPr>
        <w:t> </w:t>
      </w:r>
      <w:r>
        <w:rPr>
          <w:color w:val="105C84"/>
        </w:rPr>
        <w:t>Apartments</w:t>
      </w:r>
      <w:r>
        <w:rPr>
          <w:color w:val="105C84"/>
          <w:spacing w:val="36"/>
        </w:rPr>
        <w:t> </w:t>
      </w:r>
      <w:r>
        <w:rPr>
          <w:color w:val="105C84"/>
        </w:rPr>
        <w:t>provide</w:t>
      </w:r>
      <w:r>
        <w:rPr>
          <w:color w:val="105C84"/>
          <w:spacing w:val="36"/>
        </w:rPr>
        <w:t> </w:t>
      </w:r>
      <w:r>
        <w:rPr>
          <w:color w:val="105C84"/>
        </w:rPr>
        <w:t>quality,</w:t>
      </w:r>
      <w:r>
        <w:rPr>
          <w:color w:val="105C84"/>
          <w:spacing w:val="36"/>
        </w:rPr>
        <w:t> </w:t>
      </w:r>
      <w:r>
        <w:rPr>
          <w:color w:val="105C84"/>
        </w:rPr>
        <w:t>affordable</w:t>
      </w:r>
      <w:r>
        <w:rPr>
          <w:color w:val="105C84"/>
          <w:spacing w:val="36"/>
        </w:rPr>
        <w:t> </w:t>
      </w:r>
      <w:r>
        <w:rPr>
          <w:color w:val="105C84"/>
        </w:rPr>
        <w:t>housing</w:t>
      </w:r>
      <w:r>
        <w:rPr>
          <w:color w:val="105C84"/>
          <w:spacing w:val="36"/>
        </w:rPr>
        <w:t> </w:t>
      </w:r>
      <w:r>
        <w:rPr>
          <w:color w:val="105C84"/>
        </w:rPr>
        <w:t>opportunities</w:t>
      </w:r>
      <w:r>
        <w:rPr>
          <w:color w:val="105C84"/>
          <w:spacing w:val="36"/>
        </w:rPr>
        <w:t> </w:t>
      </w:r>
      <w:r>
        <w:rPr>
          <w:color w:val="105C84"/>
        </w:rPr>
        <w:t>for</w:t>
      </w:r>
      <w:r>
        <w:rPr>
          <w:color w:val="105C84"/>
          <w:spacing w:val="36"/>
        </w:rPr>
        <w:t> </w:t>
      </w:r>
      <w:r>
        <w:rPr>
          <w:color w:val="105C84"/>
        </w:rPr>
        <w:t>severe and</w:t>
      </w:r>
      <w:r>
        <w:rPr>
          <w:color w:val="105C84"/>
          <w:spacing w:val="21"/>
        </w:rPr>
        <w:t> </w:t>
      </w:r>
      <w:r>
        <w:rPr>
          <w:color w:val="105C84"/>
        </w:rPr>
        <w:t>persistent</w:t>
      </w:r>
      <w:r>
        <w:rPr>
          <w:color w:val="105C84"/>
          <w:spacing w:val="21"/>
        </w:rPr>
        <w:t> </w:t>
      </w:r>
      <w:r>
        <w:rPr>
          <w:color w:val="105C84"/>
        </w:rPr>
        <w:t>mental</w:t>
      </w:r>
      <w:r>
        <w:rPr>
          <w:color w:val="105C84"/>
          <w:spacing w:val="21"/>
        </w:rPr>
        <w:t> </w:t>
      </w:r>
      <w:r>
        <w:rPr>
          <w:color w:val="105C84"/>
        </w:rPr>
        <w:t>health/low</w:t>
      </w:r>
      <w:r>
        <w:rPr>
          <w:color w:val="105C84"/>
          <w:spacing w:val="21"/>
        </w:rPr>
        <w:t> </w:t>
      </w:r>
      <w:r>
        <w:rPr>
          <w:color w:val="105C84"/>
        </w:rPr>
        <w:t>income</w:t>
      </w:r>
      <w:r>
        <w:rPr>
          <w:color w:val="105C84"/>
          <w:spacing w:val="21"/>
        </w:rPr>
        <w:t> </w:t>
      </w:r>
      <w:r>
        <w:rPr>
          <w:color w:val="105C84"/>
        </w:rPr>
        <w:t>individuals</w:t>
      </w:r>
      <w:r>
        <w:rPr>
          <w:color w:val="105C84"/>
          <w:spacing w:val="21"/>
        </w:rPr>
        <w:t> </w:t>
      </w:r>
      <w:r>
        <w:rPr>
          <w:color w:val="105C84"/>
        </w:rPr>
        <w:t>and</w:t>
      </w:r>
      <w:r>
        <w:rPr>
          <w:color w:val="105C84"/>
          <w:spacing w:val="21"/>
        </w:rPr>
        <w:t> </w:t>
      </w:r>
      <w:r>
        <w:rPr>
          <w:color w:val="105C84"/>
        </w:rPr>
        <w:t>families.</w:t>
      </w:r>
      <w:r>
        <w:rPr>
          <w:color w:val="105C84"/>
          <w:spacing w:val="21"/>
        </w:rPr>
        <w:t> </w:t>
      </w:r>
      <w:r>
        <w:rPr>
          <w:color w:val="105C84"/>
        </w:rPr>
        <w:t>The</w:t>
      </w:r>
      <w:r>
        <w:rPr>
          <w:color w:val="105C84"/>
          <w:spacing w:val="21"/>
        </w:rPr>
        <w:t> </w:t>
      </w:r>
      <w:r>
        <w:rPr>
          <w:color w:val="105C84"/>
        </w:rPr>
        <w:t>benefits</w:t>
      </w:r>
      <w:r>
        <w:rPr>
          <w:color w:val="105C84"/>
          <w:spacing w:val="21"/>
        </w:rPr>
        <w:t> </w:t>
      </w:r>
      <w:r>
        <w:rPr>
          <w:color w:val="105C84"/>
        </w:rPr>
        <w:t>of</w:t>
      </w:r>
      <w:r>
        <w:rPr>
          <w:color w:val="105C84"/>
          <w:spacing w:val="21"/>
        </w:rPr>
        <w:t> </w:t>
      </w:r>
      <w:r>
        <w:rPr>
          <w:color w:val="105C84"/>
        </w:rPr>
        <w:t>quality</w:t>
      </w:r>
      <w:r>
        <w:rPr>
          <w:color w:val="105C84"/>
          <w:spacing w:val="21"/>
        </w:rPr>
        <w:t> </w:t>
      </w:r>
      <w:r>
        <w:rPr>
          <w:color w:val="105C84"/>
        </w:rPr>
        <w:t>affordable</w:t>
      </w:r>
    </w:p>
    <w:p>
      <w:pPr>
        <w:spacing w:line="230" w:lineRule="auto" w:before="63"/>
        <w:ind w:left="4360" w:right="0" w:firstLine="0"/>
        <w:jc w:val="left"/>
        <w:rPr>
          <w:sz w:val="20"/>
        </w:rPr>
      </w:pPr>
      <w:r>
        <w:rPr/>
        <w:br w:type="column"/>
      </w:r>
      <w:r>
        <w:rPr>
          <w:color w:val="105C84"/>
          <w:sz w:val="20"/>
        </w:rPr>
        <w:t>UR Center for </w:t>
      </w:r>
      <w:r>
        <w:rPr>
          <w:color w:val="105C84"/>
          <w:sz w:val="20"/>
        </w:rPr>
        <w:t>Community Health and Prevention</w:t>
      </w:r>
    </w:p>
    <w:p>
      <w:pPr>
        <w:pStyle w:val="BodyText"/>
        <w:spacing w:before="11"/>
        <w:rPr>
          <w:sz w:val="9"/>
        </w:rPr>
      </w:pPr>
      <w:r>
        <w:rPr>
          <w:sz w:val="9"/>
        </w:rPr>
        <mc:AlternateContent>
          <mc:Choice Requires="wps">
            <w:drawing>
              <wp:anchor distT="0" distB="0" distL="0" distR="0" allowOverlap="1" layoutInCell="1" locked="0" behindDoc="1" simplePos="0" relativeHeight="487659008">
                <wp:simplePos x="0" y="0"/>
                <wp:positionH relativeFrom="page">
                  <wp:posOffset>8468931</wp:posOffset>
                </wp:positionH>
                <wp:positionV relativeFrom="paragraph">
                  <wp:posOffset>88111</wp:posOffset>
                </wp:positionV>
                <wp:extent cx="1900555" cy="1270"/>
                <wp:effectExtent l="0" t="0" r="0" b="0"/>
                <wp:wrapTopAndBottom/>
                <wp:docPr id="719" name="Graphic 719"/>
                <wp:cNvGraphicFramePr>
                  <a:graphicFrameLocks/>
                </wp:cNvGraphicFramePr>
                <a:graphic>
                  <a:graphicData uri="http://schemas.microsoft.com/office/word/2010/wordprocessingShape">
                    <wps:wsp>
                      <wps:cNvPr id="719" name="Graphic 719"/>
                      <wps:cNvSpPr/>
                      <wps:spPr>
                        <a:xfrm>
                          <a:off x="0" y="0"/>
                          <a:ext cx="1900555" cy="1270"/>
                        </a:xfrm>
                        <a:custGeom>
                          <a:avLst/>
                          <a:gdLst/>
                          <a:ahLst/>
                          <a:cxnLst/>
                          <a:rect l="l" t="t" r="r" b="b"/>
                          <a:pathLst>
                            <a:path w="1900555" h="0">
                              <a:moveTo>
                                <a:pt x="0" y="0"/>
                              </a:moveTo>
                              <a:lnTo>
                                <a:pt x="1900364" y="0"/>
                              </a:lnTo>
                            </a:path>
                          </a:pathLst>
                        </a:custGeom>
                        <a:ln w="3175">
                          <a:solidFill>
                            <a:srgbClr val="636466"/>
                          </a:solidFill>
                          <a:prstDash val="solid"/>
                        </a:ln>
                      </wps:spPr>
                      <wps:bodyPr wrap="square" lIns="0" tIns="0" rIns="0" bIns="0" rtlCol="0">
                        <a:prstTxWarp prst="textNoShape">
                          <a:avLst/>
                        </a:prstTxWarp>
                        <a:noAutofit/>
                      </wps:bodyPr>
                    </wps:wsp>
                  </a:graphicData>
                </a:graphic>
              </wp:anchor>
            </w:drawing>
          </mc:Choice>
          <mc:Fallback>
            <w:pict>
              <v:shape style="position:absolute;margin-left:666.844971pt;margin-top:6.937906pt;width:149.65pt;height:.1pt;mso-position-horizontal-relative:page;mso-position-vertical-relative:paragraph;z-index:-15657472;mso-wrap-distance-left:0;mso-wrap-distance-right:0" id="docshape610" coordorigin="13337,139" coordsize="2993,0" path="m13337,139l16330,139e" filled="false" stroked="true" strokeweight=".25pt" strokecolor="#636466">
                <v:path arrowok="t"/>
                <v:stroke dashstyle="solid"/>
                <w10:wrap type="topAndBottom"/>
              </v:shape>
            </w:pict>
          </mc:Fallback>
        </mc:AlternateContent>
      </w:r>
    </w:p>
    <w:p>
      <w:pPr>
        <w:spacing w:before="100"/>
        <w:ind w:left="1080" w:right="0" w:firstLine="0"/>
        <w:jc w:val="left"/>
        <w:rPr>
          <w:sz w:val="20"/>
        </w:rPr>
      </w:pPr>
      <w:r>
        <w:rPr>
          <w:color w:val="105C84"/>
          <w:sz w:val="20"/>
        </w:rPr>
        <w:t>Community</w:t>
      </w:r>
      <w:r>
        <w:rPr>
          <w:color w:val="105C84"/>
          <w:spacing w:val="26"/>
          <w:sz w:val="20"/>
        </w:rPr>
        <w:t> </w:t>
      </w:r>
      <w:r>
        <w:rPr>
          <w:color w:val="105C84"/>
          <w:spacing w:val="-2"/>
          <w:sz w:val="20"/>
        </w:rPr>
        <w:t>member</w:t>
      </w:r>
    </w:p>
    <w:p>
      <w:pPr>
        <w:pStyle w:val="BodyText"/>
        <w:spacing w:before="10"/>
        <w:rPr>
          <w:sz w:val="9"/>
        </w:rPr>
      </w:pPr>
      <w:r>
        <w:rPr>
          <w:sz w:val="9"/>
        </w:rPr>
        <mc:AlternateContent>
          <mc:Choice Requires="wps">
            <w:drawing>
              <wp:anchor distT="0" distB="0" distL="0" distR="0" allowOverlap="1" layoutInCell="1" locked="0" behindDoc="1" simplePos="0" relativeHeight="487659520">
                <wp:simplePos x="0" y="0"/>
                <wp:positionH relativeFrom="page">
                  <wp:posOffset>8468931</wp:posOffset>
                </wp:positionH>
                <wp:positionV relativeFrom="paragraph">
                  <wp:posOffset>87324</wp:posOffset>
                </wp:positionV>
                <wp:extent cx="1900555" cy="1270"/>
                <wp:effectExtent l="0" t="0" r="0" b="0"/>
                <wp:wrapTopAndBottom/>
                <wp:docPr id="720" name="Graphic 720"/>
                <wp:cNvGraphicFramePr>
                  <a:graphicFrameLocks/>
                </wp:cNvGraphicFramePr>
                <a:graphic>
                  <a:graphicData uri="http://schemas.microsoft.com/office/word/2010/wordprocessingShape">
                    <wps:wsp>
                      <wps:cNvPr id="720" name="Graphic 720"/>
                      <wps:cNvSpPr/>
                      <wps:spPr>
                        <a:xfrm>
                          <a:off x="0" y="0"/>
                          <a:ext cx="1900555" cy="1270"/>
                        </a:xfrm>
                        <a:custGeom>
                          <a:avLst/>
                          <a:gdLst/>
                          <a:ahLst/>
                          <a:cxnLst/>
                          <a:rect l="l" t="t" r="r" b="b"/>
                          <a:pathLst>
                            <a:path w="1900555" h="0">
                              <a:moveTo>
                                <a:pt x="0" y="0"/>
                              </a:moveTo>
                              <a:lnTo>
                                <a:pt x="1900364" y="0"/>
                              </a:lnTo>
                            </a:path>
                          </a:pathLst>
                        </a:custGeom>
                        <a:ln w="3175">
                          <a:solidFill>
                            <a:srgbClr val="636466"/>
                          </a:solidFill>
                          <a:prstDash val="solid"/>
                        </a:ln>
                      </wps:spPr>
                      <wps:bodyPr wrap="square" lIns="0" tIns="0" rIns="0" bIns="0" rtlCol="0">
                        <a:prstTxWarp prst="textNoShape">
                          <a:avLst/>
                        </a:prstTxWarp>
                        <a:noAutofit/>
                      </wps:bodyPr>
                    </wps:wsp>
                  </a:graphicData>
                </a:graphic>
              </wp:anchor>
            </w:drawing>
          </mc:Choice>
          <mc:Fallback>
            <w:pict>
              <v:shape style="position:absolute;margin-left:666.844971pt;margin-top:6.875977pt;width:149.65pt;height:.1pt;mso-position-horizontal-relative:page;mso-position-vertical-relative:paragraph;z-index:-15656960;mso-wrap-distance-left:0;mso-wrap-distance-right:0" id="docshape611" coordorigin="13337,138" coordsize="2993,0" path="m13337,138l16330,138e" filled="false" stroked="true" strokeweight=".25pt" strokecolor="#636466">
                <v:path arrowok="t"/>
                <v:stroke dashstyle="solid"/>
                <w10:wrap type="topAndBottom"/>
              </v:shape>
            </w:pict>
          </mc:Fallback>
        </mc:AlternateContent>
      </w:r>
    </w:p>
    <w:p>
      <w:pPr>
        <w:pStyle w:val="BodyText"/>
        <w:spacing w:before="19"/>
        <w:rPr>
          <w:sz w:val="7"/>
        </w:rPr>
      </w:pPr>
    </w:p>
    <w:p>
      <w:pPr>
        <w:spacing w:line="230" w:lineRule="auto" w:before="63"/>
        <w:ind w:left="1080" w:right="1617" w:firstLine="0"/>
        <w:jc w:val="left"/>
        <w:rPr>
          <w:sz w:val="20"/>
        </w:rPr>
      </w:pPr>
      <w:r>
        <w:rPr/>
        <w:br w:type="column"/>
      </w:r>
      <w:r>
        <w:rPr>
          <w:color w:val="105C84"/>
          <w:sz w:val="20"/>
        </w:rPr>
        <w:t>Livingston County Sheriff</w:t>
      </w:r>
      <w:r>
        <w:rPr>
          <w:color w:val="105C84"/>
          <w:spacing w:val="-5"/>
          <w:sz w:val="20"/>
        </w:rPr>
        <w:t> </w:t>
      </w:r>
      <w:r>
        <w:rPr>
          <w:color w:val="105C84"/>
          <w:spacing w:val="-2"/>
          <w:sz w:val="20"/>
        </w:rPr>
        <w:t>Department</w:t>
      </w:r>
    </w:p>
    <w:p>
      <w:pPr>
        <w:pStyle w:val="BodyText"/>
        <w:spacing w:before="11"/>
        <w:rPr>
          <w:sz w:val="9"/>
        </w:rPr>
      </w:pPr>
      <w:r>
        <w:rPr>
          <w:sz w:val="9"/>
        </w:rPr>
        <mc:AlternateContent>
          <mc:Choice Requires="wps">
            <w:drawing>
              <wp:anchor distT="0" distB="0" distL="0" distR="0" allowOverlap="1" layoutInCell="1" locked="0" behindDoc="1" simplePos="0" relativeHeight="487660032">
                <wp:simplePos x="0" y="0"/>
                <wp:positionH relativeFrom="page">
                  <wp:posOffset>12911328</wp:posOffset>
                </wp:positionH>
                <wp:positionV relativeFrom="paragraph">
                  <wp:posOffset>88111</wp:posOffset>
                </wp:positionV>
                <wp:extent cx="1772920" cy="1270"/>
                <wp:effectExtent l="0" t="0" r="0" b="0"/>
                <wp:wrapTopAndBottom/>
                <wp:docPr id="721" name="Graphic 721"/>
                <wp:cNvGraphicFramePr>
                  <a:graphicFrameLocks/>
                </wp:cNvGraphicFramePr>
                <a:graphic>
                  <a:graphicData uri="http://schemas.microsoft.com/office/word/2010/wordprocessingShape">
                    <wps:wsp>
                      <wps:cNvPr id="721" name="Graphic 721"/>
                      <wps:cNvSpPr/>
                      <wps:spPr>
                        <a:xfrm>
                          <a:off x="0" y="0"/>
                          <a:ext cx="1772920" cy="1270"/>
                        </a:xfrm>
                        <a:custGeom>
                          <a:avLst/>
                          <a:gdLst/>
                          <a:ahLst/>
                          <a:cxnLst/>
                          <a:rect l="l" t="t" r="r" b="b"/>
                          <a:pathLst>
                            <a:path w="1772920" h="0">
                              <a:moveTo>
                                <a:pt x="0" y="0"/>
                              </a:moveTo>
                              <a:lnTo>
                                <a:pt x="1772348" y="0"/>
                              </a:lnTo>
                            </a:path>
                          </a:pathLst>
                        </a:custGeom>
                        <a:ln w="3175">
                          <a:solidFill>
                            <a:srgbClr val="636466"/>
                          </a:solidFill>
                          <a:prstDash val="solid"/>
                        </a:ln>
                      </wps:spPr>
                      <wps:bodyPr wrap="square" lIns="0" tIns="0" rIns="0" bIns="0" rtlCol="0">
                        <a:prstTxWarp prst="textNoShape">
                          <a:avLst/>
                        </a:prstTxWarp>
                        <a:noAutofit/>
                      </wps:bodyPr>
                    </wps:wsp>
                  </a:graphicData>
                </a:graphic>
              </wp:anchor>
            </w:drawing>
          </mc:Choice>
          <mc:Fallback>
            <w:pict>
              <v:shape style="position:absolute;margin-left:1016.640015pt;margin-top:6.937906pt;width:139.6pt;height:.1pt;mso-position-horizontal-relative:page;mso-position-vertical-relative:paragraph;z-index:-15656448;mso-wrap-distance-left:0;mso-wrap-distance-right:0" id="docshape612" coordorigin="20333,139" coordsize="2792,0" path="m20333,139l23124,139e" filled="false" stroked="true" strokeweight=".25pt" strokecolor="#636466">
                <v:path arrowok="t"/>
                <v:stroke dashstyle="solid"/>
                <w10:wrap type="topAndBottom"/>
              </v:shape>
            </w:pict>
          </mc:Fallback>
        </mc:AlternateContent>
      </w:r>
      <w:r>
        <w:rPr>
          <w:sz w:val="9"/>
        </w:rPr>
        <mc:AlternateContent>
          <mc:Choice Requires="wps">
            <w:drawing>
              <wp:anchor distT="0" distB="0" distL="0" distR="0" allowOverlap="1" layoutInCell="1" locked="0" behindDoc="1" simplePos="0" relativeHeight="487660544">
                <wp:simplePos x="0" y="0"/>
                <wp:positionH relativeFrom="page">
                  <wp:posOffset>12911328</wp:posOffset>
                </wp:positionH>
                <wp:positionV relativeFrom="paragraph">
                  <wp:posOffset>386561</wp:posOffset>
                </wp:positionV>
                <wp:extent cx="1772920" cy="1270"/>
                <wp:effectExtent l="0" t="0" r="0" b="0"/>
                <wp:wrapTopAndBottom/>
                <wp:docPr id="722" name="Graphic 722"/>
                <wp:cNvGraphicFramePr>
                  <a:graphicFrameLocks/>
                </wp:cNvGraphicFramePr>
                <a:graphic>
                  <a:graphicData uri="http://schemas.microsoft.com/office/word/2010/wordprocessingShape">
                    <wps:wsp>
                      <wps:cNvPr id="722" name="Graphic 722"/>
                      <wps:cNvSpPr/>
                      <wps:spPr>
                        <a:xfrm>
                          <a:off x="0" y="0"/>
                          <a:ext cx="1772920" cy="1270"/>
                        </a:xfrm>
                        <a:custGeom>
                          <a:avLst/>
                          <a:gdLst/>
                          <a:ahLst/>
                          <a:cxnLst/>
                          <a:rect l="l" t="t" r="r" b="b"/>
                          <a:pathLst>
                            <a:path w="1772920" h="0">
                              <a:moveTo>
                                <a:pt x="0" y="0"/>
                              </a:moveTo>
                              <a:lnTo>
                                <a:pt x="1772348" y="0"/>
                              </a:lnTo>
                            </a:path>
                          </a:pathLst>
                        </a:custGeom>
                        <a:ln w="3175">
                          <a:solidFill>
                            <a:srgbClr val="636466"/>
                          </a:solidFill>
                          <a:prstDash val="solid"/>
                        </a:ln>
                      </wps:spPr>
                      <wps:bodyPr wrap="square" lIns="0" tIns="0" rIns="0" bIns="0" rtlCol="0">
                        <a:prstTxWarp prst="textNoShape">
                          <a:avLst/>
                        </a:prstTxWarp>
                        <a:noAutofit/>
                      </wps:bodyPr>
                    </wps:wsp>
                  </a:graphicData>
                </a:graphic>
              </wp:anchor>
            </w:drawing>
          </mc:Choice>
          <mc:Fallback>
            <w:pict>
              <v:shape style="position:absolute;margin-left:1016.640015pt;margin-top:30.437906pt;width:139.6pt;height:.1pt;mso-position-horizontal-relative:page;mso-position-vertical-relative:paragraph;z-index:-15655936;mso-wrap-distance-left:0;mso-wrap-distance-right:0" id="docshape613" coordorigin="20333,609" coordsize="2792,0" path="m20333,609l23124,609e" filled="false" stroked="true" strokeweight=".25pt" strokecolor="#636466">
                <v:path arrowok="t"/>
                <v:stroke dashstyle="solid"/>
                <w10:wrap type="topAndBottom"/>
              </v:shape>
            </w:pict>
          </mc:Fallback>
        </mc:AlternateContent>
      </w:r>
    </w:p>
    <w:p>
      <w:pPr>
        <w:pStyle w:val="BodyText"/>
        <w:spacing w:before="213"/>
        <w:rPr>
          <w:sz w:val="20"/>
        </w:rPr>
      </w:pPr>
    </w:p>
    <w:p>
      <w:pPr>
        <w:pStyle w:val="BodyText"/>
        <w:spacing w:before="19"/>
        <w:rPr>
          <w:sz w:val="7"/>
        </w:rPr>
      </w:pPr>
    </w:p>
    <w:p>
      <w:pPr>
        <w:pStyle w:val="BodyText"/>
        <w:spacing w:after="0"/>
        <w:rPr>
          <w:sz w:val="7"/>
        </w:rPr>
        <w:sectPr>
          <w:type w:val="continuous"/>
          <w:pgSz w:w="24480" w:h="15840" w:orient="landscape"/>
          <w:pgMar w:header="0" w:footer="0" w:top="0" w:bottom="280" w:left="0" w:right="720"/>
          <w:cols w:num="3" w:equalWidth="0">
            <w:col w:w="10982" w:space="1354"/>
            <w:col w:w="6741" w:space="255"/>
            <w:col w:w="4428"/>
          </w:cols>
        </w:sectPr>
      </w:pPr>
    </w:p>
    <w:p>
      <w:pPr>
        <w:pStyle w:val="BodyText"/>
        <w:spacing w:line="247" w:lineRule="auto" w:before="14"/>
        <w:ind w:left="1080"/>
      </w:pPr>
      <w:r>
        <w:rPr>
          <w:color w:val="105C84"/>
        </w:rPr>
        <w:t>housing</w:t>
      </w:r>
      <w:r>
        <w:rPr>
          <w:color w:val="105C84"/>
          <w:spacing w:val="21"/>
        </w:rPr>
        <w:t> </w:t>
      </w:r>
      <w:r>
        <w:rPr>
          <w:color w:val="105C84"/>
        </w:rPr>
        <w:t>profit</w:t>
      </w:r>
      <w:r>
        <w:rPr>
          <w:color w:val="105C84"/>
          <w:spacing w:val="21"/>
        </w:rPr>
        <w:t> </w:t>
      </w:r>
      <w:r>
        <w:rPr>
          <w:color w:val="105C84"/>
        </w:rPr>
        <w:t>the</w:t>
      </w:r>
      <w:r>
        <w:rPr>
          <w:color w:val="105C84"/>
          <w:spacing w:val="21"/>
        </w:rPr>
        <w:t> </w:t>
      </w:r>
      <w:r>
        <w:rPr>
          <w:color w:val="105C84"/>
        </w:rPr>
        <w:t>individual</w:t>
      </w:r>
      <w:r>
        <w:rPr>
          <w:color w:val="105C84"/>
          <w:spacing w:val="21"/>
        </w:rPr>
        <w:t> </w:t>
      </w:r>
      <w:r>
        <w:rPr>
          <w:color w:val="105C84"/>
        </w:rPr>
        <w:t>and/or</w:t>
      </w:r>
      <w:r>
        <w:rPr>
          <w:color w:val="105C84"/>
          <w:spacing w:val="21"/>
        </w:rPr>
        <w:t> </w:t>
      </w:r>
      <w:r>
        <w:rPr>
          <w:color w:val="105C84"/>
        </w:rPr>
        <w:t>family,</w:t>
      </w:r>
      <w:r>
        <w:rPr>
          <w:color w:val="105C84"/>
          <w:spacing w:val="21"/>
        </w:rPr>
        <w:t> </w:t>
      </w:r>
      <w:r>
        <w:rPr>
          <w:color w:val="105C84"/>
        </w:rPr>
        <w:t>as</w:t>
      </w:r>
      <w:r>
        <w:rPr>
          <w:color w:val="105C84"/>
          <w:spacing w:val="21"/>
        </w:rPr>
        <w:t> </w:t>
      </w:r>
      <w:r>
        <w:rPr>
          <w:color w:val="105C84"/>
        </w:rPr>
        <w:t>well</w:t>
      </w:r>
      <w:r>
        <w:rPr>
          <w:color w:val="105C84"/>
          <w:spacing w:val="21"/>
        </w:rPr>
        <w:t> </w:t>
      </w:r>
      <w:r>
        <w:rPr>
          <w:color w:val="105C84"/>
        </w:rPr>
        <w:t>as</w:t>
      </w:r>
      <w:r>
        <w:rPr>
          <w:color w:val="105C84"/>
          <w:spacing w:val="21"/>
        </w:rPr>
        <w:t> </w:t>
      </w:r>
      <w:r>
        <w:rPr>
          <w:color w:val="105C84"/>
        </w:rPr>
        <w:t>community</w:t>
      </w:r>
      <w:r>
        <w:rPr>
          <w:color w:val="105C84"/>
          <w:spacing w:val="21"/>
        </w:rPr>
        <w:t> </w:t>
      </w:r>
      <w:r>
        <w:rPr>
          <w:color w:val="105C84"/>
        </w:rPr>
        <w:t>at</w:t>
      </w:r>
      <w:r>
        <w:rPr>
          <w:color w:val="105C84"/>
          <w:spacing w:val="21"/>
        </w:rPr>
        <w:t> </w:t>
      </w:r>
      <w:r>
        <w:rPr>
          <w:color w:val="105C84"/>
        </w:rPr>
        <w:t>large</w:t>
      </w:r>
      <w:r>
        <w:rPr>
          <w:color w:val="105C84"/>
          <w:spacing w:val="21"/>
        </w:rPr>
        <w:t> </w:t>
      </w:r>
      <w:r>
        <w:rPr>
          <w:color w:val="105C84"/>
        </w:rPr>
        <w:t>by</w:t>
      </w:r>
      <w:r>
        <w:rPr>
          <w:color w:val="105C84"/>
          <w:spacing w:val="21"/>
        </w:rPr>
        <w:t> </w:t>
      </w:r>
      <w:r>
        <w:rPr>
          <w:color w:val="105C84"/>
        </w:rPr>
        <w:t>improving</w:t>
      </w:r>
      <w:r>
        <w:rPr>
          <w:color w:val="105C84"/>
          <w:spacing w:val="21"/>
        </w:rPr>
        <w:t> </w:t>
      </w:r>
      <w:r>
        <w:rPr>
          <w:color w:val="105C84"/>
        </w:rPr>
        <w:t>neighborhood and community appeal. In addition, lower rents potentially free up resources for medications,</w:t>
      </w:r>
      <w:r>
        <w:rPr>
          <w:color w:val="105C84"/>
          <w:spacing w:val="40"/>
        </w:rPr>
        <w:t> </w:t>
      </w:r>
      <w:r>
        <w:rPr>
          <w:color w:val="105C84"/>
        </w:rPr>
        <w:t>preventative care, healthy foods, recreational activities and childcare.</w:t>
      </w:r>
    </w:p>
    <w:p>
      <w:pPr>
        <w:pStyle w:val="BodyText"/>
        <w:spacing w:before="17"/>
      </w:pPr>
    </w:p>
    <w:p>
      <w:pPr>
        <w:pStyle w:val="Heading6"/>
      </w:pPr>
      <w:r>
        <w:rPr>
          <w:color w:val="105C84"/>
          <w:spacing w:val="-6"/>
        </w:rPr>
        <w:t>Community</w:t>
      </w:r>
      <w:r>
        <w:rPr>
          <w:color w:val="105C84"/>
          <w:spacing w:val="-9"/>
        </w:rPr>
        <w:t> </w:t>
      </w:r>
      <w:r>
        <w:rPr>
          <w:color w:val="105C84"/>
          <w:spacing w:val="-6"/>
        </w:rPr>
        <w:t>Assets</w:t>
      </w:r>
      <w:r>
        <w:rPr>
          <w:color w:val="105C84"/>
          <w:spacing w:val="-9"/>
        </w:rPr>
        <w:t> </w:t>
      </w:r>
      <w:r>
        <w:rPr>
          <w:color w:val="105C84"/>
          <w:spacing w:val="-6"/>
        </w:rPr>
        <w:t>and</w:t>
      </w:r>
      <w:r>
        <w:rPr>
          <w:color w:val="105C84"/>
          <w:spacing w:val="-8"/>
        </w:rPr>
        <w:t> </w:t>
      </w:r>
      <w:r>
        <w:rPr>
          <w:color w:val="105C84"/>
          <w:spacing w:val="-6"/>
        </w:rPr>
        <w:t>Resources</w:t>
      </w:r>
      <w:r>
        <w:rPr>
          <w:color w:val="105C84"/>
          <w:spacing w:val="-9"/>
        </w:rPr>
        <w:t> </w:t>
      </w:r>
      <w:r>
        <w:rPr>
          <w:color w:val="105C84"/>
          <w:spacing w:val="-6"/>
        </w:rPr>
        <w:t>to</w:t>
      </w:r>
      <w:r>
        <w:rPr>
          <w:color w:val="105C84"/>
          <w:spacing w:val="-8"/>
        </w:rPr>
        <w:t> </w:t>
      </w:r>
      <w:r>
        <w:rPr>
          <w:color w:val="105C84"/>
          <w:spacing w:val="-6"/>
        </w:rPr>
        <w:t>be</w:t>
      </w:r>
      <w:r>
        <w:rPr>
          <w:color w:val="105C84"/>
          <w:spacing w:val="-9"/>
        </w:rPr>
        <w:t> </w:t>
      </w:r>
      <w:r>
        <w:rPr>
          <w:color w:val="105C84"/>
          <w:spacing w:val="-6"/>
        </w:rPr>
        <w:t>Mobilized</w:t>
      </w:r>
    </w:p>
    <w:p>
      <w:pPr>
        <w:pStyle w:val="BodyText"/>
        <w:spacing w:line="247" w:lineRule="auto" w:before="269"/>
        <w:ind w:left="1080" w:right="307"/>
      </w:pPr>
      <w:r>
        <w:rPr>
          <w:color w:val="105C84"/>
        </w:rPr>
        <w:t>During</w:t>
      </w:r>
      <w:r>
        <w:rPr>
          <w:color w:val="105C84"/>
          <w:spacing w:val="30"/>
        </w:rPr>
        <w:t> </w:t>
      </w:r>
      <w:r>
        <w:rPr>
          <w:color w:val="105C84"/>
        </w:rPr>
        <w:t>focus</w:t>
      </w:r>
      <w:r>
        <w:rPr>
          <w:color w:val="105C84"/>
          <w:spacing w:val="30"/>
        </w:rPr>
        <w:t> </w:t>
      </w:r>
      <w:r>
        <w:rPr>
          <w:color w:val="105C84"/>
        </w:rPr>
        <w:t>groups</w:t>
      </w:r>
      <w:r>
        <w:rPr>
          <w:color w:val="105C84"/>
          <w:spacing w:val="30"/>
        </w:rPr>
        <w:t> </w:t>
      </w:r>
      <w:r>
        <w:rPr>
          <w:color w:val="105C84"/>
        </w:rPr>
        <w:t>completed</w:t>
      </w:r>
      <w:r>
        <w:rPr>
          <w:color w:val="105C84"/>
          <w:spacing w:val="30"/>
        </w:rPr>
        <w:t> </w:t>
      </w:r>
      <w:r>
        <w:rPr>
          <w:color w:val="105C84"/>
        </w:rPr>
        <w:t>in</w:t>
      </w:r>
      <w:r>
        <w:rPr>
          <w:color w:val="105C84"/>
          <w:spacing w:val="30"/>
        </w:rPr>
        <w:t> </w:t>
      </w:r>
      <w:r>
        <w:rPr>
          <w:color w:val="105C84"/>
        </w:rPr>
        <w:t>late</w:t>
      </w:r>
      <w:r>
        <w:rPr>
          <w:color w:val="105C84"/>
          <w:spacing w:val="30"/>
        </w:rPr>
        <w:t> </w:t>
      </w:r>
      <w:r>
        <w:rPr>
          <w:color w:val="105C84"/>
        </w:rPr>
        <w:t>2018</w:t>
      </w:r>
      <w:r>
        <w:rPr>
          <w:color w:val="105C84"/>
          <w:spacing w:val="30"/>
        </w:rPr>
        <w:t> </w:t>
      </w:r>
      <w:r>
        <w:rPr>
          <w:color w:val="105C84"/>
        </w:rPr>
        <w:t>and</w:t>
      </w:r>
      <w:r>
        <w:rPr>
          <w:color w:val="105C84"/>
          <w:spacing w:val="30"/>
        </w:rPr>
        <w:t> </w:t>
      </w:r>
      <w:r>
        <w:rPr>
          <w:color w:val="105C84"/>
        </w:rPr>
        <w:t>early</w:t>
      </w:r>
      <w:r>
        <w:rPr>
          <w:color w:val="105C84"/>
          <w:spacing w:val="30"/>
        </w:rPr>
        <w:t> </w:t>
      </w:r>
      <w:r>
        <w:rPr>
          <w:color w:val="105C84"/>
        </w:rPr>
        <w:t>2019,</w:t>
      </w:r>
      <w:r>
        <w:rPr>
          <w:color w:val="105C84"/>
          <w:spacing w:val="30"/>
        </w:rPr>
        <w:t> </w:t>
      </w:r>
      <w:r>
        <w:rPr>
          <w:color w:val="105C84"/>
        </w:rPr>
        <w:t>community</w:t>
      </w:r>
      <w:r>
        <w:rPr>
          <w:color w:val="105C84"/>
          <w:spacing w:val="30"/>
        </w:rPr>
        <w:t> </w:t>
      </w:r>
      <w:r>
        <w:rPr>
          <w:color w:val="105C84"/>
        </w:rPr>
        <w:t>members</w:t>
      </w:r>
      <w:r>
        <w:rPr>
          <w:color w:val="105C84"/>
          <w:spacing w:val="30"/>
        </w:rPr>
        <w:t> </w:t>
      </w:r>
      <w:r>
        <w:rPr>
          <w:color w:val="105C84"/>
        </w:rPr>
        <w:t>identified several assets and resources in Livingston County. For example, focus group attendees identified county programs (falls and chronic disease prevention), collaboration between agencies, sense of community and volunteerism as community strengths. In addition, access to health care and food (via farmers’ markets and grocery stores) were noted as assets in the area that help a person live healthier. A comprehensive list of identified strengths and resources can be found in focus group summaries and are available upon request. In addition, the CHA Leadership Team implemented a</w:t>
      </w:r>
    </w:p>
    <w:p>
      <w:pPr>
        <w:pStyle w:val="BodyText"/>
        <w:spacing w:line="247" w:lineRule="auto"/>
        <w:ind w:left="1080" w:right="307"/>
      </w:pPr>
      <w:r>
        <w:rPr>
          <w:color w:val="105C84"/>
        </w:rPr>
        <w:t>community asset mapping process which included a list of individuals, groups, agencies and natural resources in the county. This was also utilized to identify gaps in the community such as lack of inpatient mental health facilities and a community center (YMCA).</w:t>
      </w:r>
    </w:p>
    <w:p>
      <w:pPr>
        <w:pStyle w:val="BodyText"/>
        <w:spacing w:line="247" w:lineRule="auto" w:before="49"/>
        <w:ind w:left="1080" w:right="412"/>
      </w:pPr>
      <w:r>
        <w:rPr/>
        <w:br w:type="column"/>
      </w:r>
      <w:r>
        <w:rPr>
          <w:color w:val="105C84"/>
        </w:rPr>
        <w:t>The community at large was engaged throughout the assessment period via a regional health survey and focus groups. Focus groups were conducted with diverse populations, which included law enforcement, seniors, veterans, disabled individuals, Hispanic families and community partners to ensure social determinants of health were considered. Discussions regarding public health priorities occurred</w:t>
      </w:r>
      <w:r>
        <w:rPr>
          <w:color w:val="105C84"/>
          <w:spacing w:val="38"/>
        </w:rPr>
        <w:t> </w:t>
      </w:r>
      <w:r>
        <w:rPr>
          <w:color w:val="105C84"/>
        </w:rPr>
        <w:t>with</w:t>
      </w:r>
      <w:r>
        <w:rPr>
          <w:color w:val="105C84"/>
          <w:spacing w:val="38"/>
        </w:rPr>
        <w:t> </w:t>
      </w:r>
      <w:r>
        <w:rPr>
          <w:color w:val="105C84"/>
        </w:rPr>
        <w:t>“Conversations</w:t>
      </w:r>
      <w:r>
        <w:rPr>
          <w:color w:val="105C84"/>
          <w:spacing w:val="38"/>
        </w:rPr>
        <w:t> </w:t>
      </w:r>
      <w:r>
        <w:rPr>
          <w:color w:val="105C84"/>
        </w:rPr>
        <w:t>around</w:t>
      </w:r>
      <w:r>
        <w:rPr>
          <w:color w:val="105C84"/>
          <w:spacing w:val="38"/>
        </w:rPr>
        <w:t> </w:t>
      </w:r>
      <w:r>
        <w:rPr>
          <w:color w:val="105C84"/>
        </w:rPr>
        <w:t>the</w:t>
      </w:r>
      <w:r>
        <w:rPr>
          <w:color w:val="105C84"/>
          <w:spacing w:val="38"/>
        </w:rPr>
        <w:t> </w:t>
      </w:r>
      <w:r>
        <w:rPr>
          <w:color w:val="105C84"/>
        </w:rPr>
        <w:t>County,”</w:t>
      </w:r>
      <w:r>
        <w:rPr>
          <w:color w:val="105C84"/>
          <w:spacing w:val="38"/>
        </w:rPr>
        <w:t> </w:t>
      </w:r>
      <w:r>
        <w:rPr>
          <w:color w:val="105C84"/>
        </w:rPr>
        <w:t>which</w:t>
      </w:r>
      <w:r>
        <w:rPr>
          <w:color w:val="105C84"/>
          <w:spacing w:val="38"/>
        </w:rPr>
        <w:t> </w:t>
      </w:r>
      <w:r>
        <w:rPr>
          <w:color w:val="105C84"/>
        </w:rPr>
        <w:t>is</w:t>
      </w:r>
      <w:r>
        <w:rPr>
          <w:color w:val="105C84"/>
          <w:spacing w:val="38"/>
        </w:rPr>
        <w:t> </w:t>
      </w:r>
      <w:r>
        <w:rPr>
          <w:color w:val="105C84"/>
        </w:rPr>
        <w:t>facilitated</w:t>
      </w:r>
      <w:r>
        <w:rPr>
          <w:color w:val="105C84"/>
          <w:spacing w:val="38"/>
        </w:rPr>
        <w:t> </w:t>
      </w:r>
      <w:r>
        <w:rPr>
          <w:color w:val="105C84"/>
        </w:rPr>
        <w:t>by</w:t>
      </w:r>
      <w:r>
        <w:rPr>
          <w:color w:val="105C84"/>
          <w:spacing w:val="38"/>
        </w:rPr>
        <w:t> </w:t>
      </w:r>
      <w:r>
        <w:rPr>
          <w:color w:val="105C84"/>
        </w:rPr>
        <w:t>the</w:t>
      </w:r>
      <w:r>
        <w:rPr>
          <w:color w:val="105C84"/>
          <w:spacing w:val="38"/>
        </w:rPr>
        <w:t> </w:t>
      </w:r>
      <w:r>
        <w:rPr>
          <w:color w:val="105C84"/>
        </w:rPr>
        <w:t>County</w:t>
      </w:r>
      <w:r>
        <w:rPr>
          <w:color w:val="105C84"/>
          <w:spacing w:val="38"/>
        </w:rPr>
        <w:t> </w:t>
      </w:r>
      <w:r>
        <w:rPr>
          <w:color w:val="105C84"/>
        </w:rPr>
        <w:t>Administrator in</w:t>
      </w:r>
      <w:r>
        <w:rPr>
          <w:color w:val="105C84"/>
          <w:spacing w:val="29"/>
        </w:rPr>
        <w:t> </w:t>
      </w:r>
      <w:r>
        <w:rPr>
          <w:color w:val="105C84"/>
        </w:rPr>
        <w:t>various</w:t>
      </w:r>
      <w:r>
        <w:rPr>
          <w:color w:val="105C84"/>
          <w:spacing w:val="29"/>
        </w:rPr>
        <w:t> </w:t>
      </w:r>
      <w:r>
        <w:rPr>
          <w:color w:val="105C84"/>
        </w:rPr>
        <w:t>locations</w:t>
      </w:r>
      <w:r>
        <w:rPr>
          <w:color w:val="105C84"/>
          <w:spacing w:val="29"/>
        </w:rPr>
        <w:t> </w:t>
      </w:r>
      <w:r>
        <w:rPr>
          <w:color w:val="105C84"/>
        </w:rPr>
        <w:t>of</w:t>
      </w:r>
      <w:r>
        <w:rPr>
          <w:color w:val="105C84"/>
          <w:spacing w:val="29"/>
        </w:rPr>
        <w:t> </w:t>
      </w:r>
      <w:r>
        <w:rPr>
          <w:color w:val="105C84"/>
        </w:rPr>
        <w:t>the</w:t>
      </w:r>
      <w:r>
        <w:rPr>
          <w:color w:val="105C84"/>
          <w:spacing w:val="29"/>
        </w:rPr>
        <w:t> </w:t>
      </w:r>
      <w:r>
        <w:rPr>
          <w:color w:val="105C84"/>
        </w:rPr>
        <w:t>county</w:t>
      </w:r>
      <w:r>
        <w:rPr>
          <w:color w:val="105C84"/>
          <w:spacing w:val="29"/>
        </w:rPr>
        <w:t> </w:t>
      </w:r>
      <w:r>
        <w:rPr>
          <w:color w:val="105C84"/>
        </w:rPr>
        <w:t>throughout</w:t>
      </w:r>
      <w:r>
        <w:rPr>
          <w:color w:val="105C84"/>
          <w:spacing w:val="29"/>
        </w:rPr>
        <w:t> </w:t>
      </w:r>
      <w:r>
        <w:rPr>
          <w:color w:val="105C84"/>
        </w:rPr>
        <w:t>the</w:t>
      </w:r>
      <w:r>
        <w:rPr>
          <w:color w:val="105C84"/>
          <w:spacing w:val="29"/>
        </w:rPr>
        <w:t> </w:t>
      </w:r>
      <w:r>
        <w:rPr>
          <w:color w:val="105C84"/>
        </w:rPr>
        <w:t>year.</w:t>
      </w:r>
      <w:r>
        <w:rPr>
          <w:color w:val="105C84"/>
          <w:spacing w:val="29"/>
        </w:rPr>
        <w:t> </w:t>
      </w:r>
      <w:r>
        <w:rPr>
          <w:color w:val="105C84"/>
        </w:rPr>
        <w:t>Information</w:t>
      </w:r>
      <w:r>
        <w:rPr>
          <w:color w:val="105C84"/>
          <w:spacing w:val="29"/>
        </w:rPr>
        <w:t> </w:t>
      </w:r>
      <w:r>
        <w:rPr>
          <w:color w:val="105C84"/>
        </w:rPr>
        <w:t>regarding</w:t>
      </w:r>
      <w:r>
        <w:rPr>
          <w:color w:val="105C84"/>
          <w:spacing w:val="29"/>
        </w:rPr>
        <w:t> </w:t>
      </w:r>
      <w:r>
        <w:rPr>
          <w:color w:val="105C84"/>
        </w:rPr>
        <w:t>the</w:t>
      </w:r>
      <w:r>
        <w:rPr>
          <w:color w:val="105C84"/>
          <w:spacing w:val="29"/>
        </w:rPr>
        <w:t> </w:t>
      </w:r>
      <w:r>
        <w:rPr>
          <w:color w:val="105C84"/>
        </w:rPr>
        <w:t>results</w:t>
      </w:r>
      <w:r>
        <w:rPr>
          <w:color w:val="105C84"/>
          <w:spacing w:val="29"/>
        </w:rPr>
        <w:t> </w:t>
      </w:r>
      <w:r>
        <w:rPr>
          <w:color w:val="105C84"/>
        </w:rPr>
        <w:t>of</w:t>
      </w:r>
      <w:r>
        <w:rPr>
          <w:color w:val="105C84"/>
          <w:spacing w:val="29"/>
        </w:rPr>
        <w:t> </w:t>
      </w:r>
      <w:r>
        <w:rPr>
          <w:color w:val="105C84"/>
        </w:rPr>
        <w:t>the</w:t>
      </w:r>
      <w:r>
        <w:rPr>
          <w:color w:val="105C84"/>
        </w:rPr>
        <w:t> MAPP process and prioritization was posted on the Livingston County Department of Health and UR Medicine Noyes Health websites and social media for the community’s input.</w:t>
      </w:r>
    </w:p>
    <w:p>
      <w:pPr>
        <w:pStyle w:val="BodyText"/>
        <w:spacing w:line="247" w:lineRule="auto" w:before="176"/>
        <w:ind w:left="1080" w:right="356"/>
        <w:jc w:val="both"/>
      </w:pPr>
      <w:r>
        <w:rPr>
          <w:color w:val="105C84"/>
        </w:rPr>
        <w:t>Specific interventions to address the priority areas were selected at CHA Leadership meetings, GVHP committees (Trauma Informed Communities and Be Well in Livingston), and were a group effort. Each member</w:t>
      </w:r>
      <w:r>
        <w:rPr>
          <w:color w:val="105C84"/>
          <w:spacing w:val="38"/>
        </w:rPr>
        <w:t> </w:t>
      </w:r>
      <w:r>
        <w:rPr>
          <w:color w:val="105C84"/>
        </w:rPr>
        <w:t>highlighted</w:t>
      </w:r>
      <w:r>
        <w:rPr>
          <w:color w:val="105C84"/>
          <w:spacing w:val="38"/>
        </w:rPr>
        <w:t> </w:t>
      </w:r>
      <w:r>
        <w:rPr>
          <w:color w:val="105C84"/>
        </w:rPr>
        <w:t>where</w:t>
      </w:r>
      <w:r>
        <w:rPr>
          <w:color w:val="105C84"/>
          <w:spacing w:val="38"/>
        </w:rPr>
        <w:t> </w:t>
      </w:r>
      <w:r>
        <w:rPr>
          <w:color w:val="105C84"/>
        </w:rPr>
        <w:t>resources</w:t>
      </w:r>
      <w:r>
        <w:rPr>
          <w:color w:val="105C84"/>
          <w:spacing w:val="38"/>
        </w:rPr>
        <w:t> </w:t>
      </w:r>
      <w:r>
        <w:rPr>
          <w:color w:val="105C84"/>
        </w:rPr>
        <w:t>already</w:t>
      </w:r>
      <w:r>
        <w:rPr>
          <w:color w:val="105C84"/>
          <w:spacing w:val="38"/>
        </w:rPr>
        <w:t> </w:t>
      </w:r>
      <w:r>
        <w:rPr>
          <w:color w:val="105C84"/>
        </w:rPr>
        <w:t>existed</w:t>
      </w:r>
      <w:r>
        <w:rPr>
          <w:color w:val="105C84"/>
          <w:spacing w:val="38"/>
        </w:rPr>
        <w:t> </w:t>
      </w:r>
      <w:r>
        <w:rPr>
          <w:color w:val="105C84"/>
        </w:rPr>
        <w:t>and</w:t>
      </w:r>
      <w:r>
        <w:rPr>
          <w:color w:val="105C84"/>
          <w:spacing w:val="38"/>
        </w:rPr>
        <w:t> </w:t>
      </w:r>
      <w:r>
        <w:rPr>
          <w:color w:val="105C84"/>
        </w:rPr>
        <w:t>could</w:t>
      </w:r>
      <w:r>
        <w:rPr>
          <w:color w:val="105C84"/>
          <w:spacing w:val="38"/>
        </w:rPr>
        <w:t> </w:t>
      </w:r>
      <w:r>
        <w:rPr>
          <w:color w:val="105C84"/>
        </w:rPr>
        <w:t>be</w:t>
      </w:r>
      <w:r>
        <w:rPr>
          <w:color w:val="105C84"/>
          <w:spacing w:val="38"/>
        </w:rPr>
        <w:t> </w:t>
      </w:r>
      <w:r>
        <w:rPr>
          <w:color w:val="105C84"/>
        </w:rPr>
        <w:t>leveraged.</w:t>
      </w:r>
      <w:r>
        <w:rPr>
          <w:color w:val="105C84"/>
          <w:spacing w:val="38"/>
        </w:rPr>
        <w:t> </w:t>
      </w:r>
      <w:r>
        <w:rPr>
          <w:color w:val="105C84"/>
        </w:rPr>
        <w:t>Coordinated</w:t>
      </w:r>
      <w:r>
        <w:rPr>
          <w:color w:val="105C84"/>
          <w:spacing w:val="38"/>
        </w:rPr>
        <w:t> </w:t>
      </w:r>
      <w:r>
        <w:rPr>
          <w:color w:val="105C84"/>
        </w:rPr>
        <w:t>efforts</w:t>
      </w:r>
    </w:p>
    <w:p>
      <w:pPr>
        <w:pStyle w:val="BodyText"/>
        <w:spacing w:line="247" w:lineRule="auto"/>
        <w:ind w:left="1080" w:right="535"/>
      </w:pPr>
      <w:r>
        <w:rPr>
          <w:color w:val="105C84"/>
        </w:rPr>
        <w:t>to</w:t>
      </w:r>
      <w:r>
        <w:rPr>
          <w:color w:val="105C84"/>
          <w:spacing w:val="29"/>
        </w:rPr>
        <w:t> </w:t>
      </w:r>
      <w:r>
        <w:rPr>
          <w:color w:val="105C84"/>
        </w:rPr>
        <w:t>promote</w:t>
      </w:r>
      <w:r>
        <w:rPr>
          <w:color w:val="105C84"/>
          <w:spacing w:val="29"/>
        </w:rPr>
        <w:t> </w:t>
      </w:r>
      <w:r>
        <w:rPr>
          <w:color w:val="105C84"/>
        </w:rPr>
        <w:t>and</w:t>
      </w:r>
      <w:r>
        <w:rPr>
          <w:color w:val="105C84"/>
          <w:spacing w:val="29"/>
        </w:rPr>
        <w:t> </w:t>
      </w:r>
      <w:r>
        <w:rPr>
          <w:color w:val="105C84"/>
        </w:rPr>
        <w:t>engage</w:t>
      </w:r>
      <w:r>
        <w:rPr>
          <w:color w:val="105C84"/>
          <w:spacing w:val="29"/>
        </w:rPr>
        <w:t> </w:t>
      </w:r>
      <w:r>
        <w:rPr>
          <w:color w:val="105C84"/>
        </w:rPr>
        <w:t>community</w:t>
      </w:r>
      <w:r>
        <w:rPr>
          <w:color w:val="105C84"/>
          <w:spacing w:val="29"/>
        </w:rPr>
        <w:t> </w:t>
      </w:r>
      <w:r>
        <w:rPr>
          <w:color w:val="105C84"/>
        </w:rPr>
        <w:t>members</w:t>
      </w:r>
      <w:r>
        <w:rPr>
          <w:color w:val="105C84"/>
          <w:spacing w:val="29"/>
        </w:rPr>
        <w:t> </w:t>
      </w:r>
      <w:r>
        <w:rPr>
          <w:color w:val="105C84"/>
        </w:rPr>
        <w:t>in</w:t>
      </w:r>
      <w:r>
        <w:rPr>
          <w:color w:val="105C84"/>
          <w:spacing w:val="29"/>
        </w:rPr>
        <w:t> </w:t>
      </w:r>
      <w:r>
        <w:rPr>
          <w:color w:val="105C84"/>
        </w:rPr>
        <w:t>selected</w:t>
      </w:r>
      <w:r>
        <w:rPr>
          <w:color w:val="105C84"/>
          <w:spacing w:val="29"/>
        </w:rPr>
        <w:t> </w:t>
      </w:r>
      <w:r>
        <w:rPr>
          <w:color w:val="105C84"/>
        </w:rPr>
        <w:t>initiatives</w:t>
      </w:r>
      <w:r>
        <w:rPr>
          <w:color w:val="105C84"/>
          <w:spacing w:val="29"/>
        </w:rPr>
        <w:t> </w:t>
      </w:r>
      <w:r>
        <w:rPr>
          <w:color w:val="105C84"/>
        </w:rPr>
        <w:t>took</w:t>
      </w:r>
      <w:r>
        <w:rPr>
          <w:color w:val="105C84"/>
          <w:spacing w:val="29"/>
        </w:rPr>
        <w:t> </w:t>
      </w:r>
      <w:r>
        <w:rPr>
          <w:color w:val="105C84"/>
        </w:rPr>
        <w:t>place</w:t>
      </w:r>
      <w:r>
        <w:rPr>
          <w:color w:val="105C84"/>
          <w:spacing w:val="29"/>
        </w:rPr>
        <w:t> </w:t>
      </w:r>
      <w:r>
        <w:rPr>
          <w:color w:val="105C84"/>
        </w:rPr>
        <w:t>via</w:t>
      </w:r>
      <w:r>
        <w:rPr>
          <w:color w:val="105C84"/>
          <w:spacing w:val="29"/>
        </w:rPr>
        <w:t> </w:t>
      </w:r>
      <w:r>
        <w:rPr>
          <w:color w:val="105C84"/>
        </w:rPr>
        <w:t>public</w:t>
      </w:r>
      <w:r>
        <w:rPr>
          <w:color w:val="105C84"/>
          <w:spacing w:val="29"/>
        </w:rPr>
        <w:t> </w:t>
      </w:r>
      <w:r>
        <w:rPr>
          <w:color w:val="105C84"/>
        </w:rPr>
        <w:t>meetings including conversations with the County Administrator and the community was asked for input via a</w:t>
      </w:r>
      <w:r>
        <w:rPr>
          <w:color w:val="105C84"/>
          <w:spacing w:val="40"/>
        </w:rPr>
        <w:t> </w:t>
      </w:r>
      <w:r>
        <w:rPr>
          <w:color w:val="105C84"/>
        </w:rPr>
        <w:t>press release, social media posts and various postings on websites. A full description of objectives, interventions, process measures, partner roles and resources are available in the Livingston County Community Health Improvement Plan (Appendix B). Root cause analyses were discussed while developing the CHIP. Interventions selected are evidence based. Special focus will be placed on increasing food security among older adults and residents with low socioeconomic status.</w:t>
      </w:r>
    </w:p>
    <w:p>
      <w:pPr>
        <w:pStyle w:val="BodyText"/>
        <w:spacing w:after="0" w:line="247" w:lineRule="auto"/>
        <w:sectPr>
          <w:type w:val="continuous"/>
          <w:pgSz w:w="24480" w:h="15840" w:orient="landscape"/>
          <w:pgMar w:header="0" w:footer="0" w:top="0" w:bottom="280" w:left="0" w:right="720"/>
          <w:cols w:num="2" w:equalWidth="0">
            <w:col w:w="11162" w:space="1092"/>
            <w:col w:w="11506"/>
          </w:cols>
        </w:sectPr>
      </w:pPr>
    </w:p>
    <w:p>
      <w:pPr>
        <w:pStyle w:val="BodyText"/>
        <w:spacing w:before="139"/>
        <w:rPr>
          <w:sz w:val="26"/>
        </w:rPr>
      </w:pPr>
      <w:r>
        <w:rPr>
          <w:sz w:val="26"/>
        </w:rPr>
        <w:drawing>
          <wp:anchor distT="0" distB="0" distL="0" distR="0" allowOverlap="1" layoutInCell="1" locked="0" behindDoc="0" simplePos="0" relativeHeight="15801856">
            <wp:simplePos x="0" y="0"/>
            <wp:positionH relativeFrom="page">
              <wp:posOffset>14981556</wp:posOffset>
            </wp:positionH>
            <wp:positionV relativeFrom="page">
              <wp:posOffset>9668103</wp:posOffset>
            </wp:positionV>
            <wp:extent cx="563245" cy="184683"/>
            <wp:effectExtent l="0" t="0" r="0" b="0"/>
            <wp:wrapNone/>
            <wp:docPr id="723" name="Image 723"/>
            <wp:cNvGraphicFramePr>
              <a:graphicFrameLocks/>
            </wp:cNvGraphicFramePr>
            <a:graphic>
              <a:graphicData uri="http://schemas.openxmlformats.org/drawingml/2006/picture">
                <pic:pic>
                  <pic:nvPicPr>
                    <pic:cNvPr id="723" name="Image 723"/>
                    <pic:cNvPicPr/>
                  </pic:nvPicPr>
                  <pic:blipFill>
                    <a:blip r:embed="rId38" cstate="print"/>
                    <a:stretch>
                      <a:fillRect/>
                    </a:stretch>
                  </pic:blipFill>
                  <pic:spPr>
                    <a:xfrm>
                      <a:off x="0" y="0"/>
                      <a:ext cx="563245" cy="184683"/>
                    </a:xfrm>
                    <a:prstGeom prst="rect">
                      <a:avLst/>
                    </a:prstGeom>
                  </pic:spPr>
                </pic:pic>
              </a:graphicData>
            </a:graphic>
          </wp:anchor>
        </w:drawing>
      </w:r>
    </w:p>
    <w:p>
      <w:pPr>
        <w:tabs>
          <w:tab w:pos="23147" w:val="left" w:leader="none"/>
        </w:tabs>
        <w:spacing w:before="0"/>
        <w:ind w:left="0" w:right="0" w:firstLine="0"/>
        <w:jc w:val="left"/>
        <w:rPr>
          <w:b/>
          <w:sz w:val="26"/>
        </w:rPr>
      </w:pPr>
      <w:r>
        <w:rPr>
          <w:position w:val="-4"/>
        </w:rPr>
        <w:drawing>
          <wp:inline distT="0" distB="0" distL="0" distR="0">
            <wp:extent cx="568172" cy="184683"/>
            <wp:effectExtent l="0" t="0" r="0" b="0"/>
            <wp:docPr id="724" name="Image 724"/>
            <wp:cNvGraphicFramePr>
              <a:graphicFrameLocks/>
            </wp:cNvGraphicFramePr>
            <a:graphic>
              <a:graphicData uri="http://schemas.openxmlformats.org/drawingml/2006/picture">
                <pic:pic>
                  <pic:nvPicPr>
                    <pic:cNvPr id="724" name="Image 724"/>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80"/>
          <w:w w:val="105"/>
          <w:sz w:val="20"/>
        </w:rPr>
        <w:t> </w:t>
      </w:r>
      <w:r>
        <w:rPr>
          <w:b/>
          <w:color w:val="939598"/>
          <w:w w:val="105"/>
          <w:sz w:val="26"/>
        </w:rPr>
        <w:t>53</w:t>
      </w:r>
      <w:r>
        <w:rPr>
          <w:b/>
          <w:color w:val="939598"/>
          <w:sz w:val="26"/>
        </w:rPr>
        <w:tab/>
      </w:r>
      <w:r>
        <w:rPr>
          <w:b/>
          <w:color w:val="939598"/>
          <w:spacing w:val="-5"/>
          <w:w w:val="105"/>
          <w:sz w:val="26"/>
        </w:rPr>
        <w:t>54</w:t>
      </w:r>
    </w:p>
    <w:p>
      <w:pPr>
        <w:spacing w:after="0"/>
        <w:jc w:val="left"/>
        <w:rPr>
          <w:b/>
          <w:sz w:val="26"/>
        </w:rPr>
        <w:sectPr>
          <w:type w:val="continuous"/>
          <w:pgSz w:w="24480" w:h="15840" w:orient="landscape"/>
          <w:pgMar w:header="0" w:footer="0" w:top="0" w:bottom="280" w:left="0" w:right="720"/>
        </w:sectPr>
      </w:pPr>
    </w:p>
    <w:p>
      <w:pPr>
        <w:pStyle w:val="BodyText"/>
        <w:rPr>
          <w:b/>
          <w:sz w:val="20"/>
        </w:rPr>
      </w:pPr>
    </w:p>
    <w:p>
      <w:pPr>
        <w:pStyle w:val="BodyText"/>
        <w:spacing w:before="16"/>
        <w:rPr>
          <w:b/>
          <w:sz w:val="20"/>
        </w:rPr>
      </w:pPr>
    </w:p>
    <w:p>
      <w:pPr>
        <w:pStyle w:val="BodyText"/>
        <w:spacing w:after="0"/>
        <w:rPr>
          <w:b/>
          <w:sz w:val="20"/>
        </w:rPr>
        <w:sectPr>
          <w:pgSz w:w="24480" w:h="15840" w:orient="landscape"/>
          <w:pgMar w:header="0" w:footer="0" w:top="860" w:bottom="0" w:left="0" w:right="720"/>
        </w:sectPr>
      </w:pPr>
    </w:p>
    <w:p>
      <w:pPr>
        <w:pStyle w:val="BodyText"/>
        <w:spacing w:line="247" w:lineRule="auto" w:before="113"/>
        <w:ind w:left="1094"/>
      </w:pPr>
      <w:r>
        <w:rPr>
          <w:color w:val="105C84"/>
        </w:rPr>
        <w:t>The Community Health Improvement Plan progress and implementation will be overseen by CHA Leadership and GVHP, a group that meets a minimum of twice per year and brings together diverse partners to improve the health of its residents. Progress and relevant data on each measure will be regularly reviewed at these meetings. Group members will identify and address any mid-course corrections</w:t>
      </w:r>
      <w:r>
        <w:rPr>
          <w:color w:val="105C84"/>
          <w:spacing w:val="30"/>
        </w:rPr>
        <w:t> </w:t>
      </w:r>
      <w:r>
        <w:rPr>
          <w:color w:val="105C84"/>
        </w:rPr>
        <w:t>in</w:t>
      </w:r>
      <w:r>
        <w:rPr>
          <w:color w:val="105C84"/>
          <w:spacing w:val="30"/>
        </w:rPr>
        <w:t> </w:t>
      </w:r>
      <w:r>
        <w:rPr>
          <w:color w:val="105C84"/>
        </w:rPr>
        <w:t>interventions</w:t>
      </w:r>
      <w:r>
        <w:rPr>
          <w:color w:val="105C84"/>
          <w:spacing w:val="30"/>
        </w:rPr>
        <w:t> </w:t>
      </w:r>
      <w:r>
        <w:rPr>
          <w:color w:val="105C84"/>
        </w:rPr>
        <w:t>and</w:t>
      </w:r>
      <w:r>
        <w:rPr>
          <w:color w:val="105C84"/>
          <w:spacing w:val="30"/>
        </w:rPr>
        <w:t> </w:t>
      </w:r>
      <w:r>
        <w:rPr>
          <w:color w:val="105C84"/>
        </w:rPr>
        <w:t>processes</w:t>
      </w:r>
      <w:r>
        <w:rPr>
          <w:color w:val="105C84"/>
          <w:spacing w:val="30"/>
        </w:rPr>
        <w:t> </w:t>
      </w:r>
      <w:r>
        <w:rPr>
          <w:color w:val="105C84"/>
        </w:rPr>
        <w:t>that</w:t>
      </w:r>
      <w:r>
        <w:rPr>
          <w:color w:val="105C84"/>
          <w:spacing w:val="30"/>
        </w:rPr>
        <w:t> </w:t>
      </w:r>
      <w:r>
        <w:rPr>
          <w:color w:val="105C84"/>
        </w:rPr>
        <w:t>need</w:t>
      </w:r>
      <w:r>
        <w:rPr>
          <w:color w:val="105C84"/>
          <w:spacing w:val="30"/>
        </w:rPr>
        <w:t> </w:t>
      </w:r>
      <w:r>
        <w:rPr>
          <w:color w:val="105C84"/>
        </w:rPr>
        <w:t>to</w:t>
      </w:r>
      <w:r>
        <w:rPr>
          <w:color w:val="105C84"/>
          <w:spacing w:val="30"/>
        </w:rPr>
        <w:t> </w:t>
      </w:r>
      <w:r>
        <w:rPr>
          <w:color w:val="105C84"/>
        </w:rPr>
        <w:t>take</w:t>
      </w:r>
      <w:r>
        <w:rPr>
          <w:color w:val="105C84"/>
          <w:spacing w:val="30"/>
        </w:rPr>
        <w:t> </w:t>
      </w:r>
      <w:r>
        <w:rPr>
          <w:color w:val="105C84"/>
        </w:rPr>
        <w:t>place</w:t>
      </w:r>
      <w:r>
        <w:rPr>
          <w:color w:val="105C84"/>
          <w:spacing w:val="30"/>
        </w:rPr>
        <w:t> </w:t>
      </w:r>
      <w:r>
        <w:rPr>
          <w:color w:val="105C84"/>
        </w:rPr>
        <w:t>during</w:t>
      </w:r>
      <w:r>
        <w:rPr>
          <w:color w:val="105C84"/>
          <w:spacing w:val="30"/>
        </w:rPr>
        <w:t> </w:t>
      </w:r>
      <w:r>
        <w:rPr>
          <w:color w:val="105C84"/>
        </w:rPr>
        <w:t>these</w:t>
      </w:r>
      <w:r>
        <w:rPr>
          <w:color w:val="105C84"/>
          <w:spacing w:val="30"/>
        </w:rPr>
        <w:t> </w:t>
      </w:r>
      <w:r>
        <w:rPr>
          <w:color w:val="105C84"/>
        </w:rPr>
        <w:t>meetings.</w:t>
      </w:r>
    </w:p>
    <w:p>
      <w:pPr>
        <w:pStyle w:val="BodyText"/>
        <w:spacing w:before="17"/>
      </w:pPr>
    </w:p>
    <w:p>
      <w:pPr>
        <w:pStyle w:val="Heading6"/>
        <w:ind w:left="1094"/>
      </w:pPr>
      <w:r>
        <w:rPr>
          <w:color w:val="105C84"/>
          <w:spacing w:val="-2"/>
        </w:rPr>
        <w:t>Dissemination</w:t>
      </w:r>
    </w:p>
    <w:p>
      <w:pPr>
        <w:pStyle w:val="Heading8"/>
        <w:spacing w:line="247" w:lineRule="auto" w:before="269"/>
        <w:ind w:left="1094" w:right="28"/>
      </w:pPr>
      <w:r>
        <w:rPr>
          <w:color w:val="105C84"/>
        </w:rPr>
        <w:t>The executive summary of the 2019-2021 Community Health Assessment (CHA) and Community Health Improvement Plan (CHIP) created in partnership between the Livingston County Department of Health and UR Medicine Noyes Health) will be disseminated to the public in the following ways:</w:t>
      </w:r>
    </w:p>
    <w:p>
      <w:pPr>
        <w:pStyle w:val="ListParagraph"/>
        <w:numPr>
          <w:ilvl w:val="0"/>
          <w:numId w:val="18"/>
        </w:numPr>
        <w:tabs>
          <w:tab w:pos="1532" w:val="left" w:leader="none"/>
          <w:tab w:pos="1534" w:val="left" w:leader="none"/>
        </w:tabs>
        <w:spacing w:line="247" w:lineRule="auto" w:before="177" w:after="0"/>
        <w:ind w:left="1534" w:right="77" w:hanging="241"/>
        <w:jc w:val="left"/>
        <w:rPr>
          <w:sz w:val="22"/>
        </w:rPr>
      </w:pPr>
      <w:r>
        <w:rPr>
          <w:color w:val="105C84"/>
          <w:sz w:val="22"/>
        </w:rPr>
        <w:t>Made publicly available on the Livingston County Public Health main website and social media </w:t>
      </w:r>
      <w:r>
        <w:rPr>
          <w:color w:val="105C84"/>
          <w:spacing w:val="-2"/>
          <w:sz w:val="22"/>
        </w:rPr>
        <w:t>sites</w:t>
      </w:r>
    </w:p>
    <w:p>
      <w:pPr>
        <w:pStyle w:val="ListParagraph"/>
        <w:numPr>
          <w:ilvl w:val="0"/>
          <w:numId w:val="18"/>
        </w:numPr>
        <w:tabs>
          <w:tab w:pos="1533" w:val="left" w:leader="none"/>
        </w:tabs>
        <w:spacing w:line="240" w:lineRule="auto" w:before="179" w:after="0"/>
        <w:ind w:left="1533" w:right="0" w:hanging="239"/>
        <w:jc w:val="left"/>
        <w:rPr>
          <w:sz w:val="22"/>
        </w:rPr>
      </w:pPr>
      <w:r>
        <w:rPr>
          <w:color w:val="105C84"/>
          <w:sz w:val="22"/>
        </w:rPr>
        <w:t>Made</w:t>
      </w:r>
      <w:r>
        <w:rPr>
          <w:color w:val="105C84"/>
          <w:spacing w:val="8"/>
          <w:sz w:val="22"/>
        </w:rPr>
        <w:t> </w:t>
      </w:r>
      <w:r>
        <w:rPr>
          <w:color w:val="105C84"/>
          <w:sz w:val="22"/>
        </w:rPr>
        <w:t>publicly</w:t>
      </w:r>
      <w:r>
        <w:rPr>
          <w:color w:val="105C84"/>
          <w:spacing w:val="9"/>
          <w:sz w:val="22"/>
        </w:rPr>
        <w:t> </w:t>
      </w:r>
      <w:r>
        <w:rPr>
          <w:color w:val="105C84"/>
          <w:sz w:val="22"/>
        </w:rPr>
        <w:t>available</w:t>
      </w:r>
      <w:r>
        <w:rPr>
          <w:color w:val="105C84"/>
          <w:spacing w:val="9"/>
          <w:sz w:val="22"/>
        </w:rPr>
        <w:t> </w:t>
      </w:r>
      <w:r>
        <w:rPr>
          <w:color w:val="105C84"/>
          <w:sz w:val="22"/>
        </w:rPr>
        <w:t>on</w:t>
      </w:r>
      <w:r>
        <w:rPr>
          <w:color w:val="105C84"/>
          <w:spacing w:val="9"/>
          <w:sz w:val="22"/>
        </w:rPr>
        <w:t> </w:t>
      </w:r>
      <w:r>
        <w:rPr>
          <w:color w:val="105C84"/>
          <w:sz w:val="22"/>
        </w:rPr>
        <w:t>the</w:t>
      </w:r>
      <w:r>
        <w:rPr>
          <w:color w:val="105C84"/>
          <w:spacing w:val="9"/>
          <w:sz w:val="22"/>
        </w:rPr>
        <w:t> </w:t>
      </w:r>
      <w:r>
        <w:rPr>
          <w:color w:val="105C84"/>
          <w:sz w:val="22"/>
        </w:rPr>
        <w:t>UR</w:t>
      </w:r>
      <w:r>
        <w:rPr>
          <w:color w:val="105C84"/>
          <w:spacing w:val="9"/>
          <w:sz w:val="22"/>
        </w:rPr>
        <w:t> </w:t>
      </w:r>
      <w:r>
        <w:rPr>
          <w:color w:val="105C84"/>
          <w:sz w:val="22"/>
        </w:rPr>
        <w:t>Medicine</w:t>
      </w:r>
      <w:r>
        <w:rPr>
          <w:color w:val="105C84"/>
          <w:spacing w:val="9"/>
          <w:sz w:val="22"/>
        </w:rPr>
        <w:t> </w:t>
      </w:r>
      <w:r>
        <w:rPr>
          <w:color w:val="105C84"/>
          <w:sz w:val="22"/>
        </w:rPr>
        <w:t>Noyes</w:t>
      </w:r>
      <w:r>
        <w:rPr>
          <w:color w:val="105C84"/>
          <w:spacing w:val="9"/>
          <w:sz w:val="22"/>
        </w:rPr>
        <w:t> </w:t>
      </w:r>
      <w:r>
        <w:rPr>
          <w:color w:val="105C84"/>
          <w:sz w:val="22"/>
        </w:rPr>
        <w:t>Health</w:t>
      </w:r>
      <w:r>
        <w:rPr>
          <w:color w:val="105C84"/>
          <w:spacing w:val="9"/>
          <w:sz w:val="22"/>
        </w:rPr>
        <w:t> </w:t>
      </w:r>
      <w:r>
        <w:rPr>
          <w:color w:val="105C84"/>
          <w:sz w:val="22"/>
        </w:rPr>
        <w:t>main</w:t>
      </w:r>
      <w:r>
        <w:rPr>
          <w:color w:val="105C84"/>
          <w:spacing w:val="9"/>
          <w:sz w:val="22"/>
        </w:rPr>
        <w:t> </w:t>
      </w:r>
      <w:r>
        <w:rPr>
          <w:color w:val="105C84"/>
          <w:sz w:val="22"/>
        </w:rPr>
        <w:t>website</w:t>
      </w:r>
      <w:r>
        <w:rPr>
          <w:color w:val="105C84"/>
          <w:spacing w:val="9"/>
          <w:sz w:val="22"/>
        </w:rPr>
        <w:t> </w:t>
      </w:r>
      <w:r>
        <w:rPr>
          <w:color w:val="105C84"/>
          <w:sz w:val="22"/>
        </w:rPr>
        <w:t>and</w:t>
      </w:r>
      <w:r>
        <w:rPr>
          <w:color w:val="105C84"/>
          <w:spacing w:val="9"/>
          <w:sz w:val="22"/>
        </w:rPr>
        <w:t> </w:t>
      </w:r>
      <w:r>
        <w:rPr>
          <w:color w:val="105C84"/>
          <w:sz w:val="22"/>
        </w:rPr>
        <w:t>social</w:t>
      </w:r>
      <w:r>
        <w:rPr>
          <w:color w:val="105C84"/>
          <w:spacing w:val="8"/>
          <w:sz w:val="22"/>
        </w:rPr>
        <w:t> </w:t>
      </w:r>
      <w:r>
        <w:rPr>
          <w:color w:val="105C84"/>
          <w:sz w:val="22"/>
        </w:rPr>
        <w:t>media</w:t>
      </w:r>
      <w:r>
        <w:rPr>
          <w:color w:val="105C84"/>
          <w:spacing w:val="9"/>
          <w:sz w:val="22"/>
        </w:rPr>
        <w:t> </w:t>
      </w:r>
      <w:r>
        <w:rPr>
          <w:color w:val="105C84"/>
          <w:spacing w:val="-2"/>
          <w:sz w:val="22"/>
        </w:rPr>
        <w:t>sites</w:t>
      </w:r>
    </w:p>
    <w:p>
      <w:pPr>
        <w:pStyle w:val="ListParagraph"/>
        <w:numPr>
          <w:ilvl w:val="0"/>
          <w:numId w:val="18"/>
        </w:numPr>
        <w:tabs>
          <w:tab w:pos="1533" w:val="left" w:leader="none"/>
        </w:tabs>
        <w:spacing w:line="240" w:lineRule="auto" w:before="187" w:after="0"/>
        <w:ind w:left="1533" w:right="0" w:hanging="239"/>
        <w:jc w:val="left"/>
        <w:rPr>
          <w:sz w:val="22"/>
        </w:rPr>
      </w:pPr>
      <w:r>
        <w:rPr>
          <w:color w:val="105C84"/>
          <w:sz w:val="22"/>
        </w:rPr>
        <w:t>Made</w:t>
      </w:r>
      <w:r>
        <w:rPr>
          <w:color w:val="105C84"/>
          <w:spacing w:val="5"/>
          <w:sz w:val="22"/>
        </w:rPr>
        <w:t> </w:t>
      </w:r>
      <w:r>
        <w:rPr>
          <w:color w:val="105C84"/>
          <w:sz w:val="22"/>
        </w:rPr>
        <w:t>publicly</w:t>
      </w:r>
      <w:r>
        <w:rPr>
          <w:color w:val="105C84"/>
          <w:spacing w:val="5"/>
          <w:sz w:val="22"/>
        </w:rPr>
        <w:t> </w:t>
      </w:r>
      <w:r>
        <w:rPr>
          <w:color w:val="105C84"/>
          <w:sz w:val="22"/>
        </w:rPr>
        <w:t>available</w:t>
      </w:r>
      <w:r>
        <w:rPr>
          <w:color w:val="105C84"/>
          <w:spacing w:val="5"/>
          <w:sz w:val="22"/>
        </w:rPr>
        <w:t> </w:t>
      </w:r>
      <w:r>
        <w:rPr>
          <w:color w:val="105C84"/>
          <w:sz w:val="22"/>
        </w:rPr>
        <w:t>on</w:t>
      </w:r>
      <w:r>
        <w:rPr>
          <w:color w:val="105C84"/>
          <w:spacing w:val="6"/>
          <w:sz w:val="22"/>
        </w:rPr>
        <w:t> </w:t>
      </w:r>
      <w:r>
        <w:rPr>
          <w:color w:val="105C84"/>
          <w:sz w:val="22"/>
        </w:rPr>
        <w:t>the</w:t>
      </w:r>
      <w:r>
        <w:rPr>
          <w:color w:val="105C84"/>
          <w:spacing w:val="5"/>
          <w:sz w:val="22"/>
        </w:rPr>
        <w:t> </w:t>
      </w:r>
      <w:r>
        <w:rPr>
          <w:color w:val="105C84"/>
          <w:sz w:val="22"/>
        </w:rPr>
        <w:t>Genesee</w:t>
      </w:r>
      <w:r>
        <w:rPr>
          <w:color w:val="105C84"/>
          <w:spacing w:val="5"/>
          <w:sz w:val="22"/>
        </w:rPr>
        <w:t> </w:t>
      </w:r>
      <w:r>
        <w:rPr>
          <w:color w:val="105C84"/>
          <w:sz w:val="22"/>
        </w:rPr>
        <w:t>Valley</w:t>
      </w:r>
      <w:r>
        <w:rPr>
          <w:color w:val="105C84"/>
          <w:spacing w:val="6"/>
          <w:sz w:val="22"/>
        </w:rPr>
        <w:t> </w:t>
      </w:r>
      <w:r>
        <w:rPr>
          <w:color w:val="105C84"/>
          <w:sz w:val="22"/>
        </w:rPr>
        <w:t>Health</w:t>
      </w:r>
      <w:r>
        <w:rPr>
          <w:color w:val="105C84"/>
          <w:spacing w:val="5"/>
          <w:sz w:val="22"/>
        </w:rPr>
        <w:t> </w:t>
      </w:r>
      <w:r>
        <w:rPr>
          <w:color w:val="105C84"/>
          <w:sz w:val="22"/>
        </w:rPr>
        <w:t>Partnership</w:t>
      </w:r>
      <w:r>
        <w:rPr>
          <w:color w:val="105C84"/>
          <w:spacing w:val="5"/>
          <w:sz w:val="22"/>
        </w:rPr>
        <w:t> </w:t>
      </w:r>
      <w:r>
        <w:rPr>
          <w:color w:val="105C84"/>
          <w:spacing w:val="-2"/>
          <w:sz w:val="22"/>
        </w:rPr>
        <w:t>website</w:t>
      </w:r>
    </w:p>
    <w:p>
      <w:pPr>
        <w:pStyle w:val="ListParagraph"/>
        <w:numPr>
          <w:ilvl w:val="0"/>
          <w:numId w:val="18"/>
        </w:numPr>
        <w:tabs>
          <w:tab w:pos="1533" w:val="left" w:leader="none"/>
        </w:tabs>
        <w:spacing w:line="240" w:lineRule="auto" w:before="187" w:after="0"/>
        <w:ind w:left="1533" w:right="0" w:hanging="239"/>
        <w:jc w:val="left"/>
        <w:rPr>
          <w:sz w:val="22"/>
        </w:rPr>
      </w:pPr>
      <w:r>
        <w:rPr>
          <w:color w:val="105C84"/>
          <w:sz w:val="22"/>
        </w:rPr>
        <w:t>Made</w:t>
      </w:r>
      <w:r>
        <w:rPr>
          <w:color w:val="105C84"/>
          <w:spacing w:val="3"/>
          <w:sz w:val="22"/>
        </w:rPr>
        <w:t> </w:t>
      </w:r>
      <w:r>
        <w:rPr>
          <w:color w:val="105C84"/>
          <w:sz w:val="22"/>
        </w:rPr>
        <w:t>publicly</w:t>
      </w:r>
      <w:r>
        <w:rPr>
          <w:color w:val="105C84"/>
          <w:spacing w:val="4"/>
          <w:sz w:val="22"/>
        </w:rPr>
        <w:t> </w:t>
      </w:r>
      <w:r>
        <w:rPr>
          <w:color w:val="105C84"/>
          <w:sz w:val="22"/>
        </w:rPr>
        <w:t>available</w:t>
      </w:r>
      <w:r>
        <w:rPr>
          <w:color w:val="105C84"/>
          <w:spacing w:val="4"/>
          <w:sz w:val="22"/>
        </w:rPr>
        <w:t> </w:t>
      </w:r>
      <w:r>
        <w:rPr>
          <w:color w:val="105C84"/>
          <w:sz w:val="22"/>
        </w:rPr>
        <w:t>on</w:t>
      </w:r>
      <w:r>
        <w:rPr>
          <w:color w:val="105C84"/>
          <w:spacing w:val="3"/>
          <w:sz w:val="22"/>
        </w:rPr>
        <w:t> </w:t>
      </w:r>
      <w:r>
        <w:rPr>
          <w:color w:val="105C84"/>
          <w:sz w:val="22"/>
        </w:rPr>
        <w:t>the</w:t>
      </w:r>
      <w:r>
        <w:rPr>
          <w:color w:val="105C84"/>
          <w:spacing w:val="4"/>
          <w:sz w:val="22"/>
        </w:rPr>
        <w:t> </w:t>
      </w:r>
      <w:r>
        <w:rPr>
          <w:color w:val="105C84"/>
          <w:sz w:val="22"/>
        </w:rPr>
        <w:t>S2AY</w:t>
      </w:r>
      <w:r>
        <w:rPr>
          <w:color w:val="105C84"/>
          <w:spacing w:val="4"/>
          <w:sz w:val="22"/>
        </w:rPr>
        <w:t> </w:t>
      </w:r>
      <w:r>
        <w:rPr>
          <w:color w:val="105C84"/>
          <w:sz w:val="22"/>
        </w:rPr>
        <w:t>Rural</w:t>
      </w:r>
      <w:r>
        <w:rPr>
          <w:color w:val="105C84"/>
          <w:spacing w:val="3"/>
          <w:sz w:val="22"/>
        </w:rPr>
        <w:t> </w:t>
      </w:r>
      <w:r>
        <w:rPr>
          <w:color w:val="105C84"/>
          <w:sz w:val="22"/>
        </w:rPr>
        <w:t>Health</w:t>
      </w:r>
      <w:r>
        <w:rPr>
          <w:color w:val="105C84"/>
          <w:spacing w:val="4"/>
          <w:sz w:val="22"/>
        </w:rPr>
        <w:t> </w:t>
      </w:r>
      <w:r>
        <w:rPr>
          <w:color w:val="105C84"/>
          <w:sz w:val="22"/>
        </w:rPr>
        <w:t>Network</w:t>
      </w:r>
      <w:r>
        <w:rPr>
          <w:color w:val="105C84"/>
          <w:spacing w:val="4"/>
          <w:sz w:val="22"/>
        </w:rPr>
        <w:t> </w:t>
      </w:r>
      <w:r>
        <w:rPr>
          <w:color w:val="105C84"/>
          <w:spacing w:val="-2"/>
          <w:sz w:val="22"/>
        </w:rPr>
        <w:t>website</w:t>
      </w:r>
    </w:p>
    <w:p>
      <w:pPr>
        <w:pStyle w:val="ListParagraph"/>
        <w:numPr>
          <w:ilvl w:val="0"/>
          <w:numId w:val="18"/>
        </w:numPr>
        <w:tabs>
          <w:tab w:pos="1532" w:val="left" w:leader="none"/>
          <w:tab w:pos="1534" w:val="left" w:leader="none"/>
        </w:tabs>
        <w:spacing w:line="247" w:lineRule="auto" w:before="187" w:after="0"/>
        <w:ind w:left="1534" w:right="184" w:hanging="241"/>
        <w:jc w:val="left"/>
        <w:rPr>
          <w:sz w:val="22"/>
        </w:rPr>
      </w:pPr>
      <w:r>
        <w:rPr>
          <w:color w:val="105C84"/>
          <w:sz w:val="22"/>
        </w:rPr>
        <w:t>Made publicly available on additional partners websites (Cornell Cooperative Extension, local</w:t>
      </w:r>
      <w:r>
        <w:rPr>
          <w:color w:val="105C84"/>
          <w:spacing w:val="40"/>
          <w:sz w:val="22"/>
        </w:rPr>
        <w:t> </w:t>
      </w:r>
      <w:r>
        <w:rPr>
          <w:color w:val="105C84"/>
          <w:sz w:val="22"/>
        </w:rPr>
        <w:t>community based organizations, etc.)</w:t>
      </w:r>
    </w:p>
    <w:p>
      <w:pPr>
        <w:pStyle w:val="ListParagraph"/>
        <w:numPr>
          <w:ilvl w:val="0"/>
          <w:numId w:val="18"/>
        </w:numPr>
        <w:tabs>
          <w:tab w:pos="1533" w:val="left" w:leader="none"/>
        </w:tabs>
        <w:spacing w:line="240" w:lineRule="auto" w:before="179" w:after="0"/>
        <w:ind w:left="1533" w:right="0" w:hanging="239"/>
        <w:jc w:val="left"/>
        <w:rPr>
          <w:sz w:val="22"/>
        </w:rPr>
      </w:pPr>
      <w:r>
        <w:rPr>
          <w:color w:val="105C84"/>
          <w:sz w:val="22"/>
        </w:rPr>
        <w:t>Shared</w:t>
      </w:r>
      <w:r>
        <w:rPr>
          <w:color w:val="105C84"/>
          <w:spacing w:val="10"/>
          <w:sz w:val="22"/>
        </w:rPr>
        <w:t> </w:t>
      </w:r>
      <w:r>
        <w:rPr>
          <w:color w:val="105C84"/>
          <w:sz w:val="22"/>
        </w:rPr>
        <w:t>with</w:t>
      </w:r>
      <w:r>
        <w:rPr>
          <w:color w:val="105C84"/>
          <w:spacing w:val="11"/>
          <w:sz w:val="22"/>
        </w:rPr>
        <w:t> </w:t>
      </w:r>
      <w:r>
        <w:rPr>
          <w:color w:val="105C84"/>
          <w:sz w:val="22"/>
        </w:rPr>
        <w:t>all</w:t>
      </w:r>
      <w:r>
        <w:rPr>
          <w:color w:val="105C84"/>
          <w:spacing w:val="11"/>
          <w:sz w:val="22"/>
        </w:rPr>
        <w:t> </w:t>
      </w:r>
      <w:r>
        <w:rPr>
          <w:color w:val="105C84"/>
          <w:sz w:val="22"/>
        </w:rPr>
        <w:t>appropriate</w:t>
      </w:r>
      <w:r>
        <w:rPr>
          <w:color w:val="105C84"/>
          <w:spacing w:val="11"/>
          <w:sz w:val="22"/>
        </w:rPr>
        <w:t> </w:t>
      </w:r>
      <w:r>
        <w:rPr>
          <w:color w:val="105C84"/>
          <w:sz w:val="22"/>
        </w:rPr>
        <w:t>news</w:t>
      </w:r>
      <w:r>
        <w:rPr>
          <w:color w:val="105C84"/>
          <w:spacing w:val="11"/>
          <w:sz w:val="22"/>
        </w:rPr>
        <w:t> </w:t>
      </w:r>
      <w:r>
        <w:rPr>
          <w:color w:val="105C84"/>
          <w:sz w:val="22"/>
        </w:rPr>
        <w:t>outlets</w:t>
      </w:r>
      <w:r>
        <w:rPr>
          <w:color w:val="105C84"/>
          <w:spacing w:val="11"/>
          <w:sz w:val="22"/>
        </w:rPr>
        <w:t> </w:t>
      </w:r>
      <w:r>
        <w:rPr>
          <w:color w:val="105C84"/>
          <w:sz w:val="22"/>
        </w:rPr>
        <w:t>in</w:t>
      </w:r>
      <w:r>
        <w:rPr>
          <w:color w:val="105C84"/>
          <w:spacing w:val="10"/>
          <w:sz w:val="22"/>
        </w:rPr>
        <w:t> </w:t>
      </w:r>
      <w:r>
        <w:rPr>
          <w:color w:val="105C84"/>
          <w:sz w:val="22"/>
        </w:rPr>
        <w:t>the</w:t>
      </w:r>
      <w:r>
        <w:rPr>
          <w:color w:val="105C84"/>
          <w:spacing w:val="11"/>
          <w:sz w:val="22"/>
        </w:rPr>
        <w:t> </w:t>
      </w:r>
      <w:r>
        <w:rPr>
          <w:color w:val="105C84"/>
          <w:sz w:val="22"/>
        </w:rPr>
        <w:t>form</w:t>
      </w:r>
      <w:r>
        <w:rPr>
          <w:color w:val="105C84"/>
          <w:spacing w:val="11"/>
          <w:sz w:val="22"/>
        </w:rPr>
        <w:t> </w:t>
      </w:r>
      <w:r>
        <w:rPr>
          <w:color w:val="105C84"/>
          <w:sz w:val="22"/>
        </w:rPr>
        <w:t>of</w:t>
      </w:r>
      <w:r>
        <w:rPr>
          <w:color w:val="105C84"/>
          <w:spacing w:val="11"/>
          <w:sz w:val="22"/>
        </w:rPr>
        <w:t> </w:t>
      </w:r>
      <w:r>
        <w:rPr>
          <w:color w:val="105C84"/>
          <w:sz w:val="22"/>
        </w:rPr>
        <w:t>a</w:t>
      </w:r>
      <w:r>
        <w:rPr>
          <w:color w:val="105C84"/>
          <w:spacing w:val="11"/>
          <w:sz w:val="22"/>
        </w:rPr>
        <w:t> </w:t>
      </w:r>
      <w:r>
        <w:rPr>
          <w:color w:val="105C84"/>
          <w:sz w:val="22"/>
        </w:rPr>
        <w:t>press/media</w:t>
      </w:r>
      <w:r>
        <w:rPr>
          <w:color w:val="105C84"/>
          <w:spacing w:val="11"/>
          <w:sz w:val="22"/>
        </w:rPr>
        <w:t> </w:t>
      </w:r>
      <w:r>
        <w:rPr>
          <w:color w:val="105C84"/>
          <w:spacing w:val="-2"/>
          <w:sz w:val="22"/>
        </w:rPr>
        <w:t>release</w:t>
      </w:r>
    </w:p>
    <w:p>
      <w:pPr>
        <w:pStyle w:val="ListParagraph"/>
        <w:numPr>
          <w:ilvl w:val="0"/>
          <w:numId w:val="18"/>
        </w:numPr>
        <w:tabs>
          <w:tab w:pos="1532" w:val="left" w:leader="none"/>
          <w:tab w:pos="1534" w:val="left" w:leader="none"/>
        </w:tabs>
        <w:spacing w:line="247" w:lineRule="auto" w:before="187" w:after="0"/>
        <w:ind w:left="1534" w:right="210" w:hanging="241"/>
        <w:jc w:val="left"/>
        <w:rPr>
          <w:sz w:val="22"/>
        </w:rPr>
      </w:pPr>
      <w:r>
        <w:rPr>
          <w:color w:val="105C84"/>
          <w:sz w:val="22"/>
        </w:rPr>
        <w:t>All partners including CHA Leadership Team and GVHP members will share the document via their organizations’ websites as well.</w:t>
      </w:r>
    </w:p>
    <w:p>
      <w:pPr>
        <w:spacing w:line="417" w:lineRule="auto" w:before="179"/>
        <w:ind w:left="1094" w:right="2552" w:firstLine="0"/>
        <w:jc w:val="left"/>
        <w:rPr>
          <w:sz w:val="22"/>
        </w:rPr>
      </w:pPr>
      <w:r>
        <w:rPr>
          <w:b/>
          <w:color w:val="105C84"/>
          <w:sz w:val="22"/>
        </w:rPr>
        <w:t>A list of websites that have the documents posted are included below. </w:t>
      </w:r>
      <w:r>
        <w:rPr>
          <w:color w:val="105C84"/>
          <w:sz w:val="22"/>
        </w:rPr>
        <w:t>Livingston County Public Health: </w:t>
      </w:r>
      <w:hyperlink r:id="rId108">
        <w:r>
          <w:rPr>
            <w:color w:val="105C84"/>
            <w:sz w:val="22"/>
          </w:rPr>
          <w:t>http://www.livingstoncounty.us/doh.htm</w:t>
        </w:r>
      </w:hyperlink>
      <w:r>
        <w:rPr>
          <w:color w:val="105C84"/>
          <w:spacing w:val="80"/>
          <w:sz w:val="22"/>
        </w:rPr>
        <w:t> </w:t>
      </w:r>
      <w:r>
        <w:rPr>
          <w:color w:val="105C84"/>
          <w:sz w:val="22"/>
        </w:rPr>
        <w:t>UR Medicine Noyes Health: </w:t>
      </w:r>
      <w:hyperlink r:id="rId109">
        <w:r>
          <w:rPr>
            <w:color w:val="105C84"/>
            <w:sz w:val="22"/>
          </w:rPr>
          <w:t>https://www.noyeshealth.org</w:t>
        </w:r>
      </w:hyperlink>
    </w:p>
    <w:p>
      <w:pPr>
        <w:pStyle w:val="BodyText"/>
        <w:spacing w:line="252" w:lineRule="exact"/>
        <w:ind w:left="1094"/>
      </w:pPr>
      <w:r>
        <w:rPr>
          <w:color w:val="105C84"/>
        </w:rPr>
        <w:t>Genesee</w:t>
      </w:r>
      <w:r>
        <w:rPr>
          <w:color w:val="105C84"/>
          <w:spacing w:val="-6"/>
        </w:rPr>
        <w:t> </w:t>
      </w:r>
      <w:r>
        <w:rPr>
          <w:color w:val="105C84"/>
        </w:rPr>
        <w:t>Valley</w:t>
      </w:r>
      <w:r>
        <w:rPr>
          <w:color w:val="105C84"/>
          <w:spacing w:val="-6"/>
        </w:rPr>
        <w:t> </w:t>
      </w:r>
      <w:r>
        <w:rPr>
          <w:color w:val="105C84"/>
        </w:rPr>
        <w:t>Health</w:t>
      </w:r>
      <w:r>
        <w:rPr>
          <w:color w:val="105C84"/>
          <w:spacing w:val="-5"/>
        </w:rPr>
        <w:t> </w:t>
      </w:r>
      <w:r>
        <w:rPr>
          <w:color w:val="105C84"/>
        </w:rPr>
        <w:t>Partnership:</w:t>
      </w:r>
      <w:r>
        <w:rPr>
          <w:color w:val="105C84"/>
          <w:spacing w:val="-6"/>
        </w:rPr>
        <w:t> </w:t>
      </w:r>
      <w:hyperlink r:id="rId110">
        <w:r>
          <w:rPr>
            <w:color w:val="105C84"/>
            <w:spacing w:val="-2"/>
          </w:rPr>
          <w:t>www.gvhp.org</w:t>
        </w:r>
      </w:hyperlink>
    </w:p>
    <w:p>
      <w:pPr>
        <w:pStyle w:val="BodyText"/>
        <w:spacing w:line="417" w:lineRule="auto" w:before="187"/>
        <w:ind w:left="1094"/>
      </w:pPr>
      <w:r>
        <w:rPr>
          <w:color w:val="105C84"/>
        </w:rPr>
        <w:t>S2AY Rural Health Network: </w:t>
      </w:r>
      <w:hyperlink r:id="rId81">
        <w:r>
          <w:rPr>
            <w:color w:val="105C84"/>
          </w:rPr>
          <w:t>http://www.s2aynetwork.org/community-health-assessments.html</w:t>
        </w:r>
      </w:hyperlink>
      <w:r>
        <w:rPr>
          <w:color w:val="105C84"/>
        </w:rPr>
        <w:t> Common Ground Health: </w:t>
      </w:r>
      <w:hyperlink r:id="rId111">
        <w:r>
          <w:rPr>
            <w:color w:val="105C84"/>
          </w:rPr>
          <w:t>www.commongroundhealth.org</w:t>
        </w:r>
      </w:hyperlink>
    </w:p>
    <w:p>
      <w:pPr>
        <w:pStyle w:val="Heading3"/>
        <w:spacing w:before="128"/>
        <w:ind w:left="1094"/>
      </w:pPr>
      <w:bookmarkStart w:name="_TOC_250013" w:id="6"/>
      <w:r>
        <w:rPr>
          <w:b w:val="0"/>
        </w:rPr>
        <w:br w:type="column"/>
      </w:r>
      <w:r>
        <w:rPr>
          <w:color w:val="82BF6A"/>
        </w:rPr>
        <w:t>ONTARIO</w:t>
      </w:r>
      <w:r>
        <w:rPr>
          <w:color w:val="82BF6A"/>
          <w:spacing w:val="-20"/>
        </w:rPr>
        <w:t> </w:t>
      </w:r>
      <w:bookmarkEnd w:id="6"/>
      <w:r>
        <w:rPr>
          <w:color w:val="82BF6A"/>
          <w:spacing w:val="-2"/>
        </w:rPr>
        <w:t>COUNTY</w:t>
      </w:r>
    </w:p>
    <w:p>
      <w:pPr>
        <w:pStyle w:val="Heading6"/>
        <w:spacing w:before="259"/>
        <w:ind w:left="1094"/>
      </w:pPr>
      <w:r>
        <w:rPr>
          <w:color w:val="105C84"/>
          <w:spacing w:val="-6"/>
        </w:rPr>
        <w:t>Demographic</w:t>
      </w:r>
      <w:r>
        <w:rPr>
          <w:color w:val="105C84"/>
          <w:spacing w:val="-8"/>
        </w:rPr>
        <w:t> </w:t>
      </w:r>
      <w:r>
        <w:rPr>
          <w:color w:val="105C84"/>
          <w:spacing w:val="-6"/>
        </w:rPr>
        <w:t>and</w:t>
      </w:r>
      <w:r>
        <w:rPr>
          <w:color w:val="105C84"/>
          <w:spacing w:val="-8"/>
        </w:rPr>
        <w:t> </w:t>
      </w:r>
      <w:r>
        <w:rPr>
          <w:color w:val="105C84"/>
          <w:spacing w:val="-6"/>
        </w:rPr>
        <w:t>Socioeconomic</w:t>
      </w:r>
      <w:r>
        <w:rPr>
          <w:color w:val="105C84"/>
          <w:spacing w:val="-8"/>
        </w:rPr>
        <w:t> </w:t>
      </w:r>
      <w:r>
        <w:rPr>
          <w:color w:val="105C84"/>
          <w:spacing w:val="-6"/>
        </w:rPr>
        <w:t>Health</w:t>
      </w:r>
      <w:r>
        <w:rPr>
          <w:color w:val="105C84"/>
          <w:spacing w:val="-7"/>
        </w:rPr>
        <w:t> </w:t>
      </w:r>
      <w:r>
        <w:rPr>
          <w:color w:val="105C84"/>
          <w:spacing w:val="-6"/>
        </w:rPr>
        <w:t>Indicators</w:t>
      </w:r>
    </w:p>
    <w:p>
      <w:pPr>
        <w:pStyle w:val="BodyText"/>
        <w:spacing w:line="247" w:lineRule="auto" w:before="268"/>
        <w:ind w:left="1094" w:right="559"/>
      </w:pPr>
      <w:r>
        <w:rPr>
          <w:color w:val="105C84"/>
        </w:rPr>
        <w:t>Ontario is the most urban of the counties in the S2AY Rural Health Network due to its proximity to</w:t>
      </w:r>
      <w:r>
        <w:rPr>
          <w:color w:val="105C84"/>
          <w:spacing w:val="40"/>
        </w:rPr>
        <w:t> </w:t>
      </w:r>
      <w:r>
        <w:rPr>
          <w:color w:val="105C84"/>
        </w:rPr>
        <w:t>Rochester, but is still predominantly rural with a land mass of 644 square miles. The county is home</w:t>
      </w:r>
      <w:r>
        <w:rPr>
          <w:color w:val="105C84"/>
          <w:spacing w:val="80"/>
        </w:rPr>
        <w:t> </w:t>
      </w:r>
      <w:r>
        <w:rPr>
          <w:color w:val="105C84"/>
        </w:rPr>
        <w:t>to Canandaigua, Honeoye and Canadice Lakes and is located south of Wayne County and southeast of Monroe County. The west side of Seneca Lake provides its eastern border and Hemlock Lake is shared with Livingston County on its southwestern border.</w:t>
      </w:r>
    </w:p>
    <w:p>
      <w:pPr>
        <w:pStyle w:val="BodyText"/>
        <w:spacing w:line="247" w:lineRule="auto" w:before="178"/>
        <w:ind w:left="1094" w:right="954"/>
      </w:pPr>
      <w:r>
        <w:rPr>
          <w:color w:val="105C84"/>
        </w:rPr>
        <w:t>Ontario</w:t>
      </w:r>
      <w:r>
        <w:rPr>
          <w:color w:val="105C84"/>
          <w:spacing w:val="23"/>
        </w:rPr>
        <w:t> </w:t>
      </w:r>
      <w:r>
        <w:rPr>
          <w:color w:val="105C84"/>
        </w:rPr>
        <w:t>County</w:t>
      </w:r>
      <w:r>
        <w:rPr>
          <w:color w:val="105C84"/>
          <w:spacing w:val="23"/>
        </w:rPr>
        <w:t> </w:t>
      </w:r>
      <w:r>
        <w:rPr>
          <w:color w:val="105C84"/>
        </w:rPr>
        <w:t>is</w:t>
      </w:r>
      <w:r>
        <w:rPr>
          <w:color w:val="105C84"/>
          <w:spacing w:val="23"/>
        </w:rPr>
        <w:t> </w:t>
      </w:r>
      <w:r>
        <w:rPr>
          <w:color w:val="105C84"/>
        </w:rPr>
        <w:t>only</w:t>
      </w:r>
      <w:r>
        <w:rPr>
          <w:color w:val="105C84"/>
          <w:spacing w:val="23"/>
        </w:rPr>
        <w:t> </w:t>
      </w:r>
      <w:r>
        <w:rPr>
          <w:color w:val="105C84"/>
        </w:rPr>
        <w:t>one</w:t>
      </w:r>
      <w:r>
        <w:rPr>
          <w:color w:val="105C84"/>
          <w:spacing w:val="23"/>
        </w:rPr>
        <w:t> </w:t>
      </w:r>
      <w:r>
        <w:rPr>
          <w:color w:val="105C84"/>
        </w:rPr>
        <w:t>of</w:t>
      </w:r>
      <w:r>
        <w:rPr>
          <w:color w:val="105C84"/>
          <w:spacing w:val="23"/>
        </w:rPr>
        <w:t> </w:t>
      </w:r>
      <w:r>
        <w:rPr>
          <w:color w:val="105C84"/>
        </w:rPr>
        <w:t>a</w:t>
      </w:r>
      <w:r>
        <w:rPr>
          <w:color w:val="105C84"/>
          <w:spacing w:val="23"/>
        </w:rPr>
        <w:t> </w:t>
      </w:r>
      <w:r>
        <w:rPr>
          <w:color w:val="105C84"/>
        </w:rPr>
        <w:t>few</w:t>
      </w:r>
      <w:r>
        <w:rPr>
          <w:color w:val="105C84"/>
          <w:spacing w:val="23"/>
        </w:rPr>
        <w:t> </w:t>
      </w:r>
      <w:r>
        <w:rPr>
          <w:color w:val="105C84"/>
        </w:rPr>
        <w:t>New</w:t>
      </w:r>
      <w:r>
        <w:rPr>
          <w:color w:val="105C84"/>
          <w:spacing w:val="23"/>
        </w:rPr>
        <w:t> </w:t>
      </w:r>
      <w:r>
        <w:rPr>
          <w:color w:val="105C84"/>
        </w:rPr>
        <w:t>York</w:t>
      </w:r>
      <w:r>
        <w:rPr>
          <w:color w:val="105C84"/>
          <w:spacing w:val="23"/>
        </w:rPr>
        <w:t> </w:t>
      </w:r>
      <w:r>
        <w:rPr>
          <w:color w:val="105C84"/>
        </w:rPr>
        <w:t>counties</w:t>
      </w:r>
      <w:r>
        <w:rPr>
          <w:color w:val="105C84"/>
          <w:spacing w:val="23"/>
        </w:rPr>
        <w:t> </w:t>
      </w:r>
      <w:r>
        <w:rPr>
          <w:color w:val="105C84"/>
        </w:rPr>
        <w:t>experiencing</w:t>
      </w:r>
      <w:r>
        <w:rPr>
          <w:color w:val="105C84"/>
          <w:spacing w:val="23"/>
        </w:rPr>
        <w:t> </w:t>
      </w:r>
      <w:r>
        <w:rPr>
          <w:color w:val="105C84"/>
        </w:rPr>
        <w:t>growth.</w:t>
      </w:r>
      <w:r>
        <w:rPr>
          <w:color w:val="105C84"/>
          <w:spacing w:val="23"/>
        </w:rPr>
        <w:t> </w:t>
      </w:r>
      <w:r>
        <w:rPr>
          <w:color w:val="105C84"/>
        </w:rPr>
        <w:t>Residents</w:t>
      </w:r>
      <w:r>
        <w:rPr>
          <w:color w:val="105C84"/>
          <w:spacing w:val="23"/>
        </w:rPr>
        <w:t> </w:t>
      </w:r>
      <w:r>
        <w:rPr>
          <w:color w:val="105C84"/>
        </w:rPr>
        <w:t>living</w:t>
      </w:r>
      <w:r>
        <w:rPr>
          <w:color w:val="105C84"/>
        </w:rPr>
        <w:t> in the northwestern part of the county are proximal to the City of Rochester, which creates easy</w:t>
      </w:r>
    </w:p>
    <w:p>
      <w:pPr>
        <w:pStyle w:val="BodyText"/>
        <w:spacing w:line="247" w:lineRule="auto"/>
        <w:ind w:left="1094" w:right="485"/>
      </w:pPr>
      <w:r>
        <w:rPr>
          <w:color w:val="105C84"/>
        </w:rPr>
        <w:t>access to higher paying jobs for those able to commute. In recent years, the northwestern area has experienced an influx of residents which has significantly contributed to Ontario County’s population</w:t>
      </w:r>
      <w:r>
        <w:rPr>
          <w:color w:val="105C84"/>
          <w:spacing w:val="80"/>
        </w:rPr>
        <w:t> </w:t>
      </w:r>
      <w:r>
        <w:rPr>
          <w:color w:val="105C84"/>
        </w:rPr>
        <w:t>and has impacted its socioeconomic profile.</w:t>
      </w:r>
    </w:p>
    <w:p>
      <w:pPr>
        <w:pStyle w:val="BodyText"/>
        <w:spacing w:line="247" w:lineRule="auto" w:before="177"/>
        <w:ind w:left="1094" w:right="559"/>
      </w:pPr>
      <w:r>
        <w:rPr>
          <w:color w:val="105C84"/>
        </w:rPr>
        <w:t>A total of 109,491 persons reside in the county, the majority of which (94%) are White Non-Hispanic. Though Ontario County appears to be racially homogenous, there are significant differences in the</w:t>
      </w:r>
      <w:r>
        <w:rPr>
          <w:color w:val="105C84"/>
          <w:spacing w:val="40"/>
        </w:rPr>
        <w:t> </w:t>
      </w:r>
      <w:r>
        <w:rPr>
          <w:color w:val="105C84"/>
        </w:rPr>
        <w:t>racial and cultural composition of the county by location as evidenced in Table 11 below. Since 2010, there has been growth in the Latino/Hispanic population in the City of Geneva. This creates the need</w:t>
      </w:r>
      <w:r>
        <w:rPr>
          <w:color w:val="105C84"/>
          <w:spacing w:val="40"/>
        </w:rPr>
        <w:t> </w:t>
      </w:r>
      <w:r>
        <w:rPr>
          <w:color w:val="105C84"/>
        </w:rPr>
        <w:t>for</w:t>
      </w:r>
      <w:r>
        <w:rPr>
          <w:color w:val="105C84"/>
          <w:spacing w:val="33"/>
        </w:rPr>
        <w:t> </w:t>
      </w:r>
      <w:r>
        <w:rPr>
          <w:color w:val="105C84"/>
        </w:rPr>
        <w:t>practitioners</w:t>
      </w:r>
      <w:r>
        <w:rPr>
          <w:color w:val="105C84"/>
          <w:spacing w:val="33"/>
        </w:rPr>
        <w:t> </w:t>
      </w:r>
      <w:r>
        <w:rPr>
          <w:color w:val="105C84"/>
        </w:rPr>
        <w:t>to</w:t>
      </w:r>
      <w:r>
        <w:rPr>
          <w:color w:val="105C84"/>
          <w:spacing w:val="33"/>
        </w:rPr>
        <w:t> </w:t>
      </w:r>
      <w:r>
        <w:rPr>
          <w:color w:val="105C84"/>
        </w:rPr>
        <w:t>be</w:t>
      </w:r>
      <w:r>
        <w:rPr>
          <w:color w:val="105C84"/>
          <w:spacing w:val="33"/>
        </w:rPr>
        <w:t> </w:t>
      </w:r>
      <w:r>
        <w:rPr>
          <w:color w:val="105C84"/>
        </w:rPr>
        <w:t>culturally</w:t>
      </w:r>
      <w:r>
        <w:rPr>
          <w:color w:val="105C84"/>
          <w:spacing w:val="33"/>
        </w:rPr>
        <w:t> </w:t>
      </w:r>
      <w:r>
        <w:rPr>
          <w:color w:val="105C84"/>
        </w:rPr>
        <w:t>sensitive</w:t>
      </w:r>
      <w:r>
        <w:rPr>
          <w:color w:val="105C84"/>
          <w:spacing w:val="33"/>
        </w:rPr>
        <w:t> </w:t>
      </w:r>
      <w:r>
        <w:rPr>
          <w:color w:val="105C84"/>
        </w:rPr>
        <w:t>and</w:t>
      </w:r>
      <w:r>
        <w:rPr>
          <w:color w:val="105C84"/>
          <w:spacing w:val="33"/>
        </w:rPr>
        <w:t> </w:t>
      </w:r>
      <w:r>
        <w:rPr>
          <w:color w:val="105C84"/>
        </w:rPr>
        <w:t>tailor</w:t>
      </w:r>
      <w:r>
        <w:rPr>
          <w:color w:val="105C84"/>
          <w:spacing w:val="33"/>
        </w:rPr>
        <w:t> </w:t>
      </w:r>
      <w:r>
        <w:rPr>
          <w:color w:val="105C84"/>
        </w:rPr>
        <w:t>prevention</w:t>
      </w:r>
      <w:r>
        <w:rPr>
          <w:color w:val="105C84"/>
          <w:spacing w:val="33"/>
        </w:rPr>
        <w:t> </w:t>
      </w:r>
      <w:r>
        <w:rPr>
          <w:color w:val="105C84"/>
        </w:rPr>
        <w:t>strategies</w:t>
      </w:r>
      <w:r>
        <w:rPr>
          <w:color w:val="105C84"/>
          <w:spacing w:val="33"/>
        </w:rPr>
        <w:t> </w:t>
      </w:r>
      <w:r>
        <w:rPr>
          <w:color w:val="105C84"/>
        </w:rPr>
        <w:t>to</w:t>
      </w:r>
      <w:r>
        <w:rPr>
          <w:color w:val="105C84"/>
          <w:spacing w:val="33"/>
        </w:rPr>
        <w:t> </w:t>
      </w:r>
      <w:r>
        <w:rPr>
          <w:color w:val="105C84"/>
        </w:rPr>
        <w:t>each</w:t>
      </w:r>
      <w:r>
        <w:rPr>
          <w:color w:val="105C84"/>
          <w:spacing w:val="33"/>
        </w:rPr>
        <w:t> </w:t>
      </w:r>
      <w:r>
        <w:rPr>
          <w:color w:val="105C84"/>
        </w:rPr>
        <w:t>community.</w:t>
      </w:r>
    </w:p>
    <w:p>
      <w:pPr>
        <w:pStyle w:val="BodyText"/>
        <w:spacing w:before="16"/>
      </w:pPr>
    </w:p>
    <w:p>
      <w:pPr>
        <w:pStyle w:val="Heading6"/>
        <w:ind w:left="1094"/>
      </w:pPr>
      <w:r>
        <w:rPr>
          <w:color w:val="105C84"/>
          <w:spacing w:val="-4"/>
        </w:rPr>
        <w:t>TABLE</w:t>
      </w:r>
      <w:r>
        <w:rPr>
          <w:color w:val="105C84"/>
          <w:spacing w:val="-10"/>
        </w:rPr>
        <w:t> </w:t>
      </w:r>
      <w:r>
        <w:rPr>
          <w:color w:val="105C84"/>
          <w:spacing w:val="-4"/>
        </w:rPr>
        <w:t>11:</w:t>
      </w:r>
      <w:r>
        <w:rPr>
          <w:color w:val="105C84"/>
          <w:spacing w:val="-9"/>
        </w:rPr>
        <w:t> </w:t>
      </w:r>
      <w:r>
        <w:rPr>
          <w:color w:val="105C84"/>
          <w:spacing w:val="-4"/>
        </w:rPr>
        <w:t>Ontario</w:t>
      </w:r>
      <w:r>
        <w:rPr>
          <w:color w:val="105C84"/>
          <w:spacing w:val="-9"/>
        </w:rPr>
        <w:t> </w:t>
      </w:r>
      <w:r>
        <w:rPr>
          <w:color w:val="105C84"/>
          <w:spacing w:val="-4"/>
        </w:rPr>
        <w:t>County</w:t>
      </w:r>
      <w:r>
        <w:rPr>
          <w:color w:val="105C84"/>
          <w:spacing w:val="-10"/>
        </w:rPr>
        <w:t> </w:t>
      </w:r>
      <w:r>
        <w:rPr>
          <w:color w:val="105C84"/>
          <w:spacing w:val="-4"/>
        </w:rPr>
        <w:t>race/ethnicity</w:t>
      </w:r>
      <w:r>
        <w:rPr>
          <w:color w:val="105C84"/>
          <w:spacing w:val="-9"/>
        </w:rPr>
        <w:t> </w:t>
      </w:r>
      <w:r>
        <w:rPr>
          <w:color w:val="105C84"/>
          <w:spacing w:val="-4"/>
        </w:rPr>
        <w:t>by</w:t>
      </w:r>
      <w:r>
        <w:rPr>
          <w:color w:val="105C84"/>
          <w:spacing w:val="-9"/>
        </w:rPr>
        <w:t> </w:t>
      </w:r>
      <w:r>
        <w:rPr>
          <w:color w:val="105C84"/>
          <w:spacing w:val="-4"/>
        </w:rPr>
        <w:t>county</w:t>
      </w:r>
      <w:r>
        <w:rPr>
          <w:color w:val="105C84"/>
          <w:spacing w:val="-9"/>
        </w:rPr>
        <w:t> </w:t>
      </w:r>
      <w:r>
        <w:rPr>
          <w:color w:val="105C84"/>
          <w:spacing w:val="-4"/>
        </w:rPr>
        <w:t>and</w:t>
      </w:r>
      <w:r>
        <w:rPr>
          <w:color w:val="105C84"/>
          <w:spacing w:val="-10"/>
        </w:rPr>
        <w:t> </w:t>
      </w:r>
      <w:r>
        <w:rPr>
          <w:color w:val="105C84"/>
          <w:spacing w:val="-4"/>
        </w:rPr>
        <w:t>minor</w:t>
      </w:r>
      <w:r>
        <w:rPr>
          <w:color w:val="105C84"/>
          <w:spacing w:val="-9"/>
        </w:rPr>
        <w:t> </w:t>
      </w:r>
      <w:r>
        <w:rPr>
          <w:color w:val="105C84"/>
          <w:spacing w:val="-4"/>
        </w:rPr>
        <w:t>civil</w:t>
      </w:r>
      <w:r>
        <w:rPr>
          <w:color w:val="105C84"/>
          <w:spacing w:val="-9"/>
        </w:rPr>
        <w:t> </w:t>
      </w:r>
      <w:r>
        <w:rPr>
          <w:color w:val="105C84"/>
          <w:spacing w:val="-4"/>
        </w:rPr>
        <w:t>division</w:t>
      </w:r>
    </w:p>
    <w:p>
      <w:pPr>
        <w:pStyle w:val="BodyText"/>
        <w:spacing w:before="155"/>
        <w:rPr>
          <w:b/>
          <w:sz w:val="20"/>
        </w:rPr>
      </w:pPr>
    </w:p>
    <w:tbl>
      <w:tblPr>
        <w:tblW w:w="0" w:type="auto"/>
        <w:jc w:val="left"/>
        <w:tblInd w:w="1099" w:type="dxa"/>
        <w:tblBorders>
          <w:top w:val="single" w:sz="2" w:space="0" w:color="636466"/>
          <w:left w:val="single" w:sz="2" w:space="0" w:color="636466"/>
          <w:bottom w:val="single" w:sz="2" w:space="0" w:color="636466"/>
          <w:right w:val="single" w:sz="2" w:space="0" w:color="636466"/>
          <w:insideH w:val="single" w:sz="2" w:space="0" w:color="636466"/>
          <w:insideV w:val="single" w:sz="2" w:space="0" w:color="636466"/>
        </w:tblBorders>
        <w:tblLayout w:type="fixed"/>
        <w:tblCellMar>
          <w:top w:w="0" w:type="dxa"/>
          <w:left w:w="0" w:type="dxa"/>
          <w:bottom w:w="0" w:type="dxa"/>
          <w:right w:w="0" w:type="dxa"/>
        </w:tblCellMar>
        <w:tblLook w:val="01E0"/>
      </w:tblPr>
      <w:tblGrid>
        <w:gridCol w:w="3365"/>
        <w:gridCol w:w="3365"/>
        <w:gridCol w:w="3365"/>
      </w:tblGrid>
      <w:tr>
        <w:trPr>
          <w:trHeight w:val="527" w:hRule="atLeast"/>
        </w:trPr>
        <w:tc>
          <w:tcPr>
            <w:tcW w:w="3365" w:type="dxa"/>
          </w:tcPr>
          <w:p>
            <w:pPr>
              <w:pStyle w:val="TableParagraph"/>
              <w:rPr>
                <w:rFonts w:ascii="Times New Roman"/>
                <w:sz w:val="20"/>
              </w:rPr>
            </w:pPr>
          </w:p>
        </w:tc>
        <w:tc>
          <w:tcPr>
            <w:tcW w:w="3365" w:type="dxa"/>
            <w:shd w:val="clear" w:color="auto" w:fill="F1F1F2"/>
          </w:tcPr>
          <w:p>
            <w:pPr>
              <w:pStyle w:val="TableParagraph"/>
              <w:spacing w:before="158"/>
              <w:ind w:left="10" w:right="4"/>
              <w:jc w:val="center"/>
              <w:rPr>
                <w:b/>
                <w:sz w:val="24"/>
              </w:rPr>
            </w:pPr>
            <w:r>
              <w:rPr>
                <w:b/>
                <w:color w:val="636466"/>
                <w:spacing w:val="-4"/>
                <w:w w:val="105"/>
                <w:sz w:val="24"/>
              </w:rPr>
              <w:t>2010</w:t>
            </w:r>
          </w:p>
        </w:tc>
        <w:tc>
          <w:tcPr>
            <w:tcW w:w="3365" w:type="dxa"/>
            <w:shd w:val="clear" w:color="auto" w:fill="DCDDDE"/>
          </w:tcPr>
          <w:p>
            <w:pPr>
              <w:pStyle w:val="TableParagraph"/>
              <w:spacing w:before="158"/>
              <w:ind w:left="10" w:right="4"/>
              <w:jc w:val="center"/>
              <w:rPr>
                <w:b/>
                <w:sz w:val="24"/>
              </w:rPr>
            </w:pPr>
            <w:r>
              <w:rPr>
                <w:b/>
                <w:color w:val="636466"/>
                <w:spacing w:val="-4"/>
                <w:w w:val="105"/>
                <w:sz w:val="24"/>
              </w:rPr>
              <w:t>2018</w:t>
            </w:r>
          </w:p>
        </w:tc>
      </w:tr>
      <w:tr>
        <w:trPr>
          <w:trHeight w:val="337" w:hRule="atLeast"/>
        </w:trPr>
        <w:tc>
          <w:tcPr>
            <w:tcW w:w="10095" w:type="dxa"/>
            <w:gridSpan w:val="3"/>
            <w:shd w:val="clear" w:color="auto" w:fill="1C75BC"/>
          </w:tcPr>
          <w:p>
            <w:pPr>
              <w:pStyle w:val="TableParagraph"/>
              <w:spacing w:before="47"/>
              <w:ind w:left="80"/>
              <w:rPr>
                <w:b/>
                <w:sz w:val="22"/>
              </w:rPr>
            </w:pPr>
            <w:r>
              <w:rPr>
                <w:b/>
                <w:color w:val="FFFFFF"/>
                <w:sz w:val="22"/>
              </w:rPr>
              <w:t>Ontario</w:t>
            </w:r>
            <w:r>
              <w:rPr>
                <w:b/>
                <w:color w:val="FFFFFF"/>
                <w:spacing w:val="27"/>
                <w:sz w:val="22"/>
              </w:rPr>
              <w:t> </w:t>
            </w:r>
            <w:r>
              <w:rPr>
                <w:b/>
                <w:color w:val="FFFFFF"/>
                <w:spacing w:val="-2"/>
                <w:sz w:val="22"/>
              </w:rPr>
              <w:t>County</w:t>
            </w:r>
          </w:p>
        </w:tc>
      </w:tr>
      <w:tr>
        <w:trPr>
          <w:trHeight w:val="337" w:hRule="atLeast"/>
        </w:trPr>
        <w:tc>
          <w:tcPr>
            <w:tcW w:w="3365" w:type="dxa"/>
          </w:tcPr>
          <w:p>
            <w:pPr>
              <w:pStyle w:val="TableParagraph"/>
              <w:spacing w:before="47"/>
              <w:ind w:left="80"/>
              <w:rPr>
                <w:sz w:val="22"/>
              </w:rPr>
            </w:pPr>
            <w:r>
              <w:rPr>
                <w:color w:val="105C84"/>
                <w:spacing w:val="-2"/>
                <w:sz w:val="22"/>
              </w:rPr>
              <w:t>White</w:t>
            </w:r>
          </w:p>
        </w:tc>
        <w:tc>
          <w:tcPr>
            <w:tcW w:w="3365" w:type="dxa"/>
            <w:shd w:val="clear" w:color="auto" w:fill="E6E7E8"/>
          </w:tcPr>
          <w:p>
            <w:pPr>
              <w:pStyle w:val="TableParagraph"/>
              <w:spacing w:before="47"/>
              <w:ind w:left="10" w:right="4"/>
              <w:jc w:val="center"/>
              <w:rPr>
                <w:sz w:val="22"/>
              </w:rPr>
            </w:pPr>
            <w:r>
              <w:rPr>
                <w:color w:val="105C84"/>
                <w:spacing w:val="-2"/>
                <w:sz w:val="22"/>
              </w:rPr>
              <w:t>93.7%</w:t>
            </w:r>
          </w:p>
        </w:tc>
        <w:tc>
          <w:tcPr>
            <w:tcW w:w="3365" w:type="dxa"/>
            <w:shd w:val="clear" w:color="auto" w:fill="DCDDDE"/>
          </w:tcPr>
          <w:p>
            <w:pPr>
              <w:pStyle w:val="TableParagraph"/>
              <w:spacing w:before="47"/>
              <w:ind w:left="10" w:right="4"/>
              <w:jc w:val="center"/>
              <w:rPr>
                <w:sz w:val="22"/>
              </w:rPr>
            </w:pPr>
            <w:r>
              <w:rPr>
                <w:color w:val="105C84"/>
                <w:spacing w:val="-2"/>
                <w:sz w:val="22"/>
              </w:rPr>
              <w:t>93.6%</w:t>
            </w:r>
          </w:p>
        </w:tc>
      </w:tr>
      <w:tr>
        <w:trPr>
          <w:trHeight w:val="337" w:hRule="atLeast"/>
        </w:trPr>
        <w:tc>
          <w:tcPr>
            <w:tcW w:w="3365" w:type="dxa"/>
          </w:tcPr>
          <w:p>
            <w:pPr>
              <w:pStyle w:val="TableParagraph"/>
              <w:spacing w:before="47"/>
              <w:ind w:left="80"/>
              <w:rPr>
                <w:sz w:val="22"/>
              </w:rPr>
            </w:pPr>
            <w:r>
              <w:rPr>
                <w:color w:val="105C84"/>
                <w:sz w:val="22"/>
              </w:rPr>
              <w:t>Black/African</w:t>
            </w:r>
            <w:r>
              <w:rPr>
                <w:color w:val="105C84"/>
                <w:spacing w:val="11"/>
                <w:sz w:val="22"/>
              </w:rPr>
              <w:t> </w:t>
            </w:r>
            <w:r>
              <w:rPr>
                <w:color w:val="105C84"/>
                <w:spacing w:val="-2"/>
                <w:sz w:val="22"/>
              </w:rPr>
              <w:t>American</w:t>
            </w:r>
          </w:p>
        </w:tc>
        <w:tc>
          <w:tcPr>
            <w:tcW w:w="3365" w:type="dxa"/>
            <w:shd w:val="clear" w:color="auto" w:fill="E6E7E8"/>
          </w:tcPr>
          <w:p>
            <w:pPr>
              <w:pStyle w:val="TableParagraph"/>
              <w:spacing w:before="47"/>
              <w:ind w:left="10" w:right="3"/>
              <w:jc w:val="center"/>
              <w:rPr>
                <w:sz w:val="22"/>
              </w:rPr>
            </w:pPr>
            <w:r>
              <w:rPr>
                <w:color w:val="105C84"/>
                <w:spacing w:val="-4"/>
                <w:sz w:val="22"/>
              </w:rPr>
              <w:t>2.3%</w:t>
            </w:r>
          </w:p>
        </w:tc>
        <w:tc>
          <w:tcPr>
            <w:tcW w:w="3365" w:type="dxa"/>
            <w:shd w:val="clear" w:color="auto" w:fill="DCDDDE"/>
          </w:tcPr>
          <w:p>
            <w:pPr>
              <w:pStyle w:val="TableParagraph"/>
              <w:spacing w:before="47"/>
              <w:ind w:left="10" w:right="4"/>
              <w:jc w:val="center"/>
              <w:rPr>
                <w:sz w:val="22"/>
              </w:rPr>
            </w:pPr>
            <w:r>
              <w:rPr>
                <w:color w:val="105C84"/>
                <w:spacing w:val="-4"/>
                <w:sz w:val="22"/>
              </w:rPr>
              <w:t>2.8%</w:t>
            </w:r>
          </w:p>
        </w:tc>
      </w:tr>
      <w:tr>
        <w:trPr>
          <w:trHeight w:val="337" w:hRule="atLeast"/>
        </w:trPr>
        <w:tc>
          <w:tcPr>
            <w:tcW w:w="3365" w:type="dxa"/>
          </w:tcPr>
          <w:p>
            <w:pPr>
              <w:pStyle w:val="TableParagraph"/>
              <w:spacing w:before="47"/>
              <w:ind w:left="80"/>
              <w:rPr>
                <w:sz w:val="22"/>
              </w:rPr>
            </w:pPr>
            <w:r>
              <w:rPr>
                <w:color w:val="105C84"/>
                <w:spacing w:val="-2"/>
                <w:sz w:val="22"/>
              </w:rPr>
              <w:t>Latino/Hispanic</w:t>
            </w:r>
          </w:p>
        </w:tc>
        <w:tc>
          <w:tcPr>
            <w:tcW w:w="3365" w:type="dxa"/>
            <w:shd w:val="clear" w:color="auto" w:fill="E6E7E8"/>
          </w:tcPr>
          <w:p>
            <w:pPr>
              <w:pStyle w:val="TableParagraph"/>
              <w:spacing w:before="47"/>
              <w:ind w:left="10" w:right="3"/>
              <w:jc w:val="center"/>
              <w:rPr>
                <w:sz w:val="22"/>
              </w:rPr>
            </w:pPr>
            <w:r>
              <w:rPr>
                <w:color w:val="105C84"/>
                <w:spacing w:val="-4"/>
                <w:sz w:val="22"/>
              </w:rPr>
              <w:t>3.4%</w:t>
            </w:r>
          </w:p>
        </w:tc>
        <w:tc>
          <w:tcPr>
            <w:tcW w:w="3365" w:type="dxa"/>
            <w:shd w:val="clear" w:color="auto" w:fill="DCDDDE"/>
          </w:tcPr>
          <w:p>
            <w:pPr>
              <w:pStyle w:val="TableParagraph"/>
              <w:spacing w:before="47"/>
              <w:ind w:left="10" w:right="3"/>
              <w:jc w:val="center"/>
              <w:rPr>
                <w:sz w:val="22"/>
              </w:rPr>
            </w:pPr>
            <w:r>
              <w:rPr>
                <w:color w:val="105C84"/>
                <w:spacing w:val="-4"/>
                <w:sz w:val="22"/>
              </w:rPr>
              <w:t>5.0%</w:t>
            </w:r>
          </w:p>
        </w:tc>
      </w:tr>
      <w:tr>
        <w:trPr>
          <w:trHeight w:val="337" w:hRule="atLeast"/>
        </w:trPr>
        <w:tc>
          <w:tcPr>
            <w:tcW w:w="10095" w:type="dxa"/>
            <w:gridSpan w:val="3"/>
            <w:shd w:val="clear" w:color="auto" w:fill="82BF6A"/>
          </w:tcPr>
          <w:p>
            <w:pPr>
              <w:pStyle w:val="TableParagraph"/>
              <w:spacing w:before="47"/>
              <w:ind w:left="80"/>
              <w:rPr>
                <w:b/>
                <w:sz w:val="22"/>
              </w:rPr>
            </w:pPr>
            <w:r>
              <w:rPr>
                <w:b/>
                <w:color w:val="FFFFFF"/>
                <w:sz w:val="22"/>
              </w:rPr>
              <w:t>Geneva</w:t>
            </w:r>
            <w:r>
              <w:rPr>
                <w:b/>
                <w:color w:val="FFFFFF"/>
                <w:spacing w:val="2"/>
                <w:sz w:val="22"/>
              </w:rPr>
              <w:t> </w:t>
            </w:r>
            <w:r>
              <w:rPr>
                <w:b/>
                <w:color w:val="FFFFFF"/>
                <w:spacing w:val="-4"/>
                <w:sz w:val="22"/>
              </w:rPr>
              <w:t>City</w:t>
            </w:r>
          </w:p>
        </w:tc>
      </w:tr>
      <w:tr>
        <w:trPr>
          <w:trHeight w:val="337" w:hRule="atLeast"/>
        </w:trPr>
        <w:tc>
          <w:tcPr>
            <w:tcW w:w="3365" w:type="dxa"/>
          </w:tcPr>
          <w:p>
            <w:pPr>
              <w:pStyle w:val="TableParagraph"/>
              <w:spacing w:before="47"/>
              <w:ind w:left="80"/>
              <w:rPr>
                <w:sz w:val="22"/>
              </w:rPr>
            </w:pPr>
            <w:r>
              <w:rPr>
                <w:color w:val="105C84"/>
                <w:spacing w:val="-2"/>
                <w:sz w:val="22"/>
              </w:rPr>
              <w:t>White</w:t>
            </w:r>
          </w:p>
        </w:tc>
        <w:tc>
          <w:tcPr>
            <w:tcW w:w="3365" w:type="dxa"/>
            <w:shd w:val="clear" w:color="auto" w:fill="E6E7E8"/>
          </w:tcPr>
          <w:p>
            <w:pPr>
              <w:pStyle w:val="TableParagraph"/>
              <w:spacing w:before="47"/>
              <w:ind w:left="10" w:right="2"/>
              <w:jc w:val="center"/>
              <w:rPr>
                <w:sz w:val="22"/>
              </w:rPr>
            </w:pPr>
            <w:r>
              <w:rPr>
                <w:color w:val="105C84"/>
                <w:spacing w:val="-2"/>
                <w:sz w:val="22"/>
              </w:rPr>
              <w:t>77.3%</w:t>
            </w:r>
          </w:p>
        </w:tc>
        <w:tc>
          <w:tcPr>
            <w:tcW w:w="3365" w:type="dxa"/>
            <w:shd w:val="clear" w:color="auto" w:fill="DCDDDE"/>
          </w:tcPr>
          <w:p>
            <w:pPr>
              <w:pStyle w:val="TableParagraph"/>
              <w:spacing w:before="47"/>
              <w:ind w:left="10" w:right="3"/>
              <w:jc w:val="center"/>
              <w:rPr>
                <w:sz w:val="22"/>
              </w:rPr>
            </w:pPr>
            <w:r>
              <w:rPr>
                <w:color w:val="105C84"/>
                <w:spacing w:val="-2"/>
                <w:sz w:val="22"/>
              </w:rPr>
              <w:t>75.9%</w:t>
            </w:r>
          </w:p>
        </w:tc>
      </w:tr>
      <w:tr>
        <w:trPr>
          <w:trHeight w:val="337" w:hRule="atLeast"/>
        </w:trPr>
        <w:tc>
          <w:tcPr>
            <w:tcW w:w="3365" w:type="dxa"/>
          </w:tcPr>
          <w:p>
            <w:pPr>
              <w:pStyle w:val="TableParagraph"/>
              <w:spacing w:before="47"/>
              <w:ind w:left="80"/>
              <w:rPr>
                <w:sz w:val="22"/>
              </w:rPr>
            </w:pPr>
            <w:r>
              <w:rPr>
                <w:color w:val="105C84"/>
                <w:sz w:val="22"/>
              </w:rPr>
              <w:t>Black/African</w:t>
            </w:r>
            <w:r>
              <w:rPr>
                <w:color w:val="105C84"/>
                <w:spacing w:val="11"/>
                <w:sz w:val="22"/>
              </w:rPr>
              <w:t> </w:t>
            </w:r>
            <w:r>
              <w:rPr>
                <w:color w:val="105C84"/>
                <w:spacing w:val="-2"/>
                <w:sz w:val="22"/>
              </w:rPr>
              <w:t>American</w:t>
            </w:r>
          </w:p>
        </w:tc>
        <w:tc>
          <w:tcPr>
            <w:tcW w:w="3365" w:type="dxa"/>
            <w:shd w:val="clear" w:color="auto" w:fill="E6E7E8"/>
          </w:tcPr>
          <w:p>
            <w:pPr>
              <w:pStyle w:val="TableParagraph"/>
              <w:spacing w:before="47"/>
              <w:ind w:left="10" w:right="2"/>
              <w:jc w:val="center"/>
              <w:rPr>
                <w:sz w:val="22"/>
              </w:rPr>
            </w:pPr>
            <w:r>
              <w:rPr>
                <w:color w:val="105C84"/>
                <w:spacing w:val="-2"/>
                <w:sz w:val="22"/>
              </w:rPr>
              <w:t>10.5%</w:t>
            </w:r>
          </w:p>
        </w:tc>
        <w:tc>
          <w:tcPr>
            <w:tcW w:w="3365" w:type="dxa"/>
            <w:shd w:val="clear" w:color="auto" w:fill="DCDDDE"/>
          </w:tcPr>
          <w:p>
            <w:pPr>
              <w:pStyle w:val="TableParagraph"/>
              <w:spacing w:before="47"/>
              <w:ind w:left="10" w:right="2"/>
              <w:jc w:val="center"/>
              <w:rPr>
                <w:sz w:val="22"/>
              </w:rPr>
            </w:pPr>
            <w:r>
              <w:rPr>
                <w:color w:val="105C84"/>
                <w:spacing w:val="-2"/>
                <w:sz w:val="22"/>
              </w:rPr>
              <w:t>10.2%</w:t>
            </w:r>
          </w:p>
        </w:tc>
      </w:tr>
      <w:tr>
        <w:trPr>
          <w:trHeight w:val="337" w:hRule="atLeast"/>
        </w:trPr>
        <w:tc>
          <w:tcPr>
            <w:tcW w:w="3365" w:type="dxa"/>
          </w:tcPr>
          <w:p>
            <w:pPr>
              <w:pStyle w:val="TableParagraph"/>
              <w:spacing w:before="47"/>
              <w:ind w:left="81"/>
              <w:rPr>
                <w:sz w:val="22"/>
              </w:rPr>
            </w:pPr>
            <w:r>
              <w:rPr>
                <w:color w:val="105C84"/>
                <w:spacing w:val="-2"/>
                <w:sz w:val="22"/>
              </w:rPr>
              <w:t>Latino/Hispanic</w:t>
            </w:r>
          </w:p>
        </w:tc>
        <w:tc>
          <w:tcPr>
            <w:tcW w:w="3365" w:type="dxa"/>
            <w:shd w:val="clear" w:color="auto" w:fill="E6E7E8"/>
          </w:tcPr>
          <w:p>
            <w:pPr>
              <w:pStyle w:val="TableParagraph"/>
              <w:spacing w:before="47"/>
              <w:ind w:left="10" w:right="2"/>
              <w:jc w:val="center"/>
              <w:rPr>
                <w:sz w:val="22"/>
              </w:rPr>
            </w:pPr>
            <w:r>
              <w:rPr>
                <w:color w:val="105C84"/>
                <w:spacing w:val="-2"/>
                <w:sz w:val="22"/>
              </w:rPr>
              <w:t>13.2%</w:t>
            </w:r>
          </w:p>
        </w:tc>
        <w:tc>
          <w:tcPr>
            <w:tcW w:w="3365" w:type="dxa"/>
            <w:shd w:val="clear" w:color="auto" w:fill="DCDDDE"/>
          </w:tcPr>
          <w:p>
            <w:pPr>
              <w:pStyle w:val="TableParagraph"/>
              <w:spacing w:before="47"/>
              <w:ind w:left="10" w:right="2"/>
              <w:jc w:val="center"/>
              <w:rPr>
                <w:sz w:val="22"/>
              </w:rPr>
            </w:pPr>
            <w:r>
              <w:rPr>
                <w:color w:val="105C84"/>
                <w:spacing w:val="-2"/>
                <w:sz w:val="22"/>
              </w:rPr>
              <w:t>17.4%</w:t>
            </w:r>
          </w:p>
        </w:tc>
      </w:tr>
      <w:tr>
        <w:trPr>
          <w:trHeight w:val="337" w:hRule="atLeast"/>
        </w:trPr>
        <w:tc>
          <w:tcPr>
            <w:tcW w:w="10095" w:type="dxa"/>
            <w:gridSpan w:val="3"/>
            <w:shd w:val="clear" w:color="auto" w:fill="00A79E"/>
          </w:tcPr>
          <w:p>
            <w:pPr>
              <w:pStyle w:val="TableParagraph"/>
              <w:spacing w:before="47"/>
              <w:ind w:left="81"/>
              <w:rPr>
                <w:b/>
                <w:sz w:val="22"/>
              </w:rPr>
            </w:pPr>
            <w:r>
              <w:rPr>
                <w:b/>
                <w:color w:val="FFFFFF"/>
                <w:sz w:val="22"/>
              </w:rPr>
              <w:t>Victor</w:t>
            </w:r>
            <w:r>
              <w:rPr>
                <w:b/>
                <w:color w:val="FFFFFF"/>
                <w:spacing w:val="10"/>
                <w:sz w:val="22"/>
              </w:rPr>
              <w:t> </w:t>
            </w:r>
            <w:r>
              <w:rPr>
                <w:b/>
                <w:color w:val="FFFFFF"/>
                <w:spacing w:val="-4"/>
                <w:sz w:val="22"/>
              </w:rPr>
              <w:t>Town</w:t>
            </w:r>
          </w:p>
        </w:tc>
      </w:tr>
      <w:tr>
        <w:trPr>
          <w:trHeight w:val="337" w:hRule="atLeast"/>
        </w:trPr>
        <w:tc>
          <w:tcPr>
            <w:tcW w:w="3365" w:type="dxa"/>
          </w:tcPr>
          <w:p>
            <w:pPr>
              <w:pStyle w:val="TableParagraph"/>
              <w:spacing w:before="47"/>
              <w:ind w:left="81"/>
              <w:rPr>
                <w:sz w:val="22"/>
              </w:rPr>
            </w:pPr>
            <w:r>
              <w:rPr>
                <w:color w:val="105C84"/>
                <w:spacing w:val="-2"/>
                <w:sz w:val="22"/>
              </w:rPr>
              <w:t>White</w:t>
            </w:r>
          </w:p>
        </w:tc>
        <w:tc>
          <w:tcPr>
            <w:tcW w:w="3365" w:type="dxa"/>
            <w:shd w:val="clear" w:color="auto" w:fill="E6E7E8"/>
          </w:tcPr>
          <w:p>
            <w:pPr>
              <w:pStyle w:val="TableParagraph"/>
              <w:spacing w:before="47"/>
              <w:ind w:left="10" w:right="1"/>
              <w:jc w:val="center"/>
              <w:rPr>
                <w:sz w:val="22"/>
              </w:rPr>
            </w:pPr>
            <w:r>
              <w:rPr>
                <w:color w:val="105C84"/>
                <w:spacing w:val="-2"/>
                <w:sz w:val="22"/>
              </w:rPr>
              <w:t>95.1%</w:t>
            </w:r>
          </w:p>
        </w:tc>
        <w:tc>
          <w:tcPr>
            <w:tcW w:w="3365" w:type="dxa"/>
            <w:shd w:val="clear" w:color="auto" w:fill="DCDDDE"/>
          </w:tcPr>
          <w:p>
            <w:pPr>
              <w:pStyle w:val="TableParagraph"/>
              <w:spacing w:before="47"/>
              <w:ind w:left="10" w:right="1"/>
              <w:jc w:val="center"/>
              <w:rPr>
                <w:sz w:val="22"/>
              </w:rPr>
            </w:pPr>
            <w:r>
              <w:rPr>
                <w:color w:val="105C84"/>
                <w:spacing w:val="-2"/>
                <w:sz w:val="22"/>
              </w:rPr>
              <w:t>95.2%</w:t>
            </w:r>
          </w:p>
        </w:tc>
      </w:tr>
      <w:tr>
        <w:trPr>
          <w:trHeight w:val="337" w:hRule="atLeast"/>
        </w:trPr>
        <w:tc>
          <w:tcPr>
            <w:tcW w:w="3365" w:type="dxa"/>
          </w:tcPr>
          <w:p>
            <w:pPr>
              <w:pStyle w:val="TableParagraph"/>
              <w:spacing w:before="47"/>
              <w:ind w:left="81"/>
              <w:rPr>
                <w:sz w:val="22"/>
              </w:rPr>
            </w:pPr>
            <w:r>
              <w:rPr>
                <w:color w:val="105C84"/>
                <w:sz w:val="22"/>
              </w:rPr>
              <w:t>Black/African</w:t>
            </w:r>
            <w:r>
              <w:rPr>
                <w:color w:val="105C84"/>
                <w:spacing w:val="11"/>
                <w:sz w:val="22"/>
              </w:rPr>
              <w:t> </w:t>
            </w:r>
            <w:r>
              <w:rPr>
                <w:color w:val="105C84"/>
                <w:spacing w:val="-2"/>
                <w:sz w:val="22"/>
              </w:rPr>
              <w:t>American</w:t>
            </w:r>
          </w:p>
        </w:tc>
        <w:tc>
          <w:tcPr>
            <w:tcW w:w="3365" w:type="dxa"/>
            <w:shd w:val="clear" w:color="auto" w:fill="E6E7E8"/>
          </w:tcPr>
          <w:p>
            <w:pPr>
              <w:pStyle w:val="TableParagraph"/>
              <w:spacing w:before="47"/>
              <w:ind w:left="10" w:right="1"/>
              <w:jc w:val="center"/>
              <w:rPr>
                <w:sz w:val="22"/>
              </w:rPr>
            </w:pPr>
            <w:r>
              <w:rPr>
                <w:color w:val="105C84"/>
                <w:spacing w:val="-4"/>
                <w:sz w:val="22"/>
              </w:rPr>
              <w:t>0.8%</w:t>
            </w:r>
          </w:p>
        </w:tc>
        <w:tc>
          <w:tcPr>
            <w:tcW w:w="3365" w:type="dxa"/>
            <w:shd w:val="clear" w:color="auto" w:fill="DCDDDE"/>
          </w:tcPr>
          <w:p>
            <w:pPr>
              <w:pStyle w:val="TableParagraph"/>
              <w:spacing w:before="47"/>
              <w:ind w:left="10" w:right="1"/>
              <w:jc w:val="center"/>
              <w:rPr>
                <w:sz w:val="22"/>
              </w:rPr>
            </w:pPr>
            <w:r>
              <w:rPr>
                <w:color w:val="105C84"/>
                <w:spacing w:val="-4"/>
                <w:sz w:val="22"/>
              </w:rPr>
              <w:t>1.0%</w:t>
            </w:r>
          </w:p>
        </w:tc>
      </w:tr>
      <w:tr>
        <w:trPr>
          <w:trHeight w:val="337" w:hRule="atLeast"/>
        </w:trPr>
        <w:tc>
          <w:tcPr>
            <w:tcW w:w="3365" w:type="dxa"/>
          </w:tcPr>
          <w:p>
            <w:pPr>
              <w:pStyle w:val="TableParagraph"/>
              <w:spacing w:before="47"/>
              <w:ind w:left="81"/>
              <w:rPr>
                <w:sz w:val="22"/>
              </w:rPr>
            </w:pPr>
            <w:r>
              <w:rPr>
                <w:color w:val="105C84"/>
                <w:spacing w:val="-2"/>
                <w:sz w:val="22"/>
              </w:rPr>
              <w:t>Latino/Hispanic</w:t>
            </w:r>
          </w:p>
        </w:tc>
        <w:tc>
          <w:tcPr>
            <w:tcW w:w="3365" w:type="dxa"/>
            <w:shd w:val="clear" w:color="auto" w:fill="E6E7E8"/>
          </w:tcPr>
          <w:p>
            <w:pPr>
              <w:pStyle w:val="TableParagraph"/>
              <w:spacing w:before="47"/>
              <w:ind w:left="10"/>
              <w:jc w:val="center"/>
              <w:rPr>
                <w:sz w:val="22"/>
              </w:rPr>
            </w:pPr>
            <w:r>
              <w:rPr>
                <w:color w:val="105C84"/>
                <w:spacing w:val="-4"/>
                <w:sz w:val="22"/>
              </w:rPr>
              <w:t>1.9%</w:t>
            </w:r>
          </w:p>
        </w:tc>
        <w:tc>
          <w:tcPr>
            <w:tcW w:w="3365" w:type="dxa"/>
            <w:shd w:val="clear" w:color="auto" w:fill="DCDDDE"/>
          </w:tcPr>
          <w:p>
            <w:pPr>
              <w:pStyle w:val="TableParagraph"/>
              <w:spacing w:before="47"/>
              <w:ind w:left="10"/>
              <w:jc w:val="center"/>
              <w:rPr>
                <w:sz w:val="22"/>
              </w:rPr>
            </w:pPr>
            <w:r>
              <w:rPr>
                <w:color w:val="105C84"/>
                <w:spacing w:val="-4"/>
                <w:sz w:val="22"/>
              </w:rPr>
              <w:t>0.5%</w:t>
            </w:r>
          </w:p>
        </w:tc>
      </w:tr>
    </w:tbl>
    <w:p>
      <w:pPr>
        <w:spacing w:before="232"/>
        <w:ind w:left="1094" w:right="0" w:firstLine="0"/>
        <w:jc w:val="left"/>
        <w:rPr>
          <w:sz w:val="16"/>
        </w:rPr>
      </w:pPr>
      <w:r>
        <w:rPr>
          <w:sz w:val="16"/>
        </w:rPr>
        <mc:AlternateContent>
          <mc:Choice Requires="wps">
            <w:drawing>
              <wp:anchor distT="0" distB="0" distL="0" distR="0" allowOverlap="1" layoutInCell="1" locked="0" behindDoc="0" simplePos="0" relativeHeight="15806464">
                <wp:simplePos x="0" y="0"/>
                <wp:positionH relativeFrom="page">
                  <wp:posOffset>0</wp:posOffset>
                </wp:positionH>
                <wp:positionV relativeFrom="paragraph">
                  <wp:posOffset>-616584</wp:posOffset>
                </wp:positionV>
                <wp:extent cx="7785100" cy="2725420"/>
                <wp:effectExtent l="0" t="0" r="0" b="0"/>
                <wp:wrapNone/>
                <wp:docPr id="725" name="Group 725"/>
                <wp:cNvGraphicFramePr>
                  <a:graphicFrameLocks/>
                </wp:cNvGraphicFramePr>
                <a:graphic>
                  <a:graphicData uri="http://schemas.microsoft.com/office/word/2010/wordprocessingGroup">
                    <wpg:wgp>
                      <wpg:cNvPr id="725" name="Group 725"/>
                      <wpg:cNvGrpSpPr/>
                      <wpg:grpSpPr>
                        <a:xfrm>
                          <a:off x="0" y="0"/>
                          <a:ext cx="7785100" cy="2725420"/>
                          <a:chExt cx="7785100" cy="2725420"/>
                        </a:xfrm>
                      </wpg:grpSpPr>
                      <pic:pic>
                        <pic:nvPicPr>
                          <pic:cNvPr id="726" name="Image 726"/>
                          <pic:cNvPicPr/>
                        </pic:nvPicPr>
                        <pic:blipFill>
                          <a:blip r:embed="rId39" cstate="print"/>
                          <a:stretch>
                            <a:fillRect/>
                          </a:stretch>
                        </pic:blipFill>
                        <pic:spPr>
                          <a:xfrm>
                            <a:off x="0" y="2334615"/>
                            <a:ext cx="568172" cy="184683"/>
                          </a:xfrm>
                          <a:prstGeom prst="rect">
                            <a:avLst/>
                          </a:prstGeom>
                        </pic:spPr>
                      </pic:pic>
                      <pic:pic>
                        <pic:nvPicPr>
                          <pic:cNvPr id="727" name="Image 727"/>
                          <pic:cNvPicPr/>
                        </pic:nvPicPr>
                        <pic:blipFill>
                          <a:blip r:embed="rId112" cstate="print"/>
                          <a:stretch>
                            <a:fillRect/>
                          </a:stretch>
                        </pic:blipFill>
                        <pic:spPr>
                          <a:xfrm>
                            <a:off x="0" y="0"/>
                            <a:ext cx="7772399" cy="2724912"/>
                          </a:xfrm>
                          <a:prstGeom prst="rect">
                            <a:avLst/>
                          </a:prstGeom>
                        </pic:spPr>
                      </pic:pic>
                      <wps:wsp>
                        <wps:cNvPr id="728" name="Graphic 728"/>
                        <wps:cNvSpPr/>
                        <wps:spPr>
                          <a:xfrm>
                            <a:off x="0" y="1883664"/>
                            <a:ext cx="7785100" cy="841375"/>
                          </a:xfrm>
                          <a:custGeom>
                            <a:avLst/>
                            <a:gdLst/>
                            <a:ahLst/>
                            <a:cxnLst/>
                            <a:rect l="l" t="t" r="r" b="b"/>
                            <a:pathLst>
                              <a:path w="7785100" h="841375">
                                <a:moveTo>
                                  <a:pt x="7785100" y="841248"/>
                                </a:moveTo>
                                <a:lnTo>
                                  <a:pt x="7785100" y="0"/>
                                </a:lnTo>
                                <a:lnTo>
                                  <a:pt x="0" y="0"/>
                                </a:lnTo>
                                <a:lnTo>
                                  <a:pt x="0" y="841248"/>
                                </a:lnTo>
                                <a:lnTo>
                                  <a:pt x="7785100" y="841248"/>
                                </a:lnTo>
                                <a:close/>
                              </a:path>
                            </a:pathLst>
                          </a:custGeom>
                          <a:solidFill>
                            <a:srgbClr val="000000">
                              <a:alpha val="54998"/>
                            </a:srgbClr>
                          </a:solidFill>
                        </wps:spPr>
                        <wps:bodyPr wrap="square" lIns="0" tIns="0" rIns="0" bIns="0" rtlCol="0">
                          <a:prstTxWarp prst="textNoShape">
                            <a:avLst/>
                          </a:prstTxWarp>
                          <a:noAutofit/>
                        </wps:bodyPr>
                      </wps:wsp>
                      <wps:wsp>
                        <wps:cNvPr id="729" name="Textbox 729"/>
                        <wps:cNvSpPr txBox="1"/>
                        <wps:spPr>
                          <a:xfrm>
                            <a:off x="0" y="0"/>
                            <a:ext cx="7785100" cy="2725420"/>
                          </a:xfrm>
                          <a:prstGeom prst="rect">
                            <a:avLst/>
                          </a:prstGeom>
                        </wps:spPr>
                        <wps:txbx>
                          <w:txbxContent>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79"/>
                                <w:rPr>
                                  <w:b/>
                                  <w:sz w:val="16"/>
                                </w:rPr>
                              </w:pPr>
                            </w:p>
                            <w:p>
                              <w:pPr>
                                <w:spacing w:line="182" w:lineRule="exact" w:before="0"/>
                                <w:ind w:left="1094" w:right="0" w:firstLine="0"/>
                                <w:jc w:val="left"/>
                                <w:rPr>
                                  <w:sz w:val="16"/>
                                </w:rPr>
                              </w:pPr>
                              <w:r>
                                <w:rPr>
                                  <w:color w:val="FFFFFF"/>
                                  <w:sz w:val="16"/>
                                </w:rPr>
                                <w:t>Letchworth</w:t>
                              </w:r>
                              <w:r>
                                <w:rPr>
                                  <w:color w:val="FFFFFF"/>
                                  <w:spacing w:val="9"/>
                                  <w:sz w:val="16"/>
                                </w:rPr>
                                <w:t> </w:t>
                              </w:r>
                              <w:r>
                                <w:rPr>
                                  <w:color w:val="FFFFFF"/>
                                  <w:sz w:val="16"/>
                                </w:rPr>
                                <w:t>State</w:t>
                              </w:r>
                              <w:r>
                                <w:rPr>
                                  <w:color w:val="FFFFFF"/>
                                  <w:spacing w:val="10"/>
                                  <w:sz w:val="16"/>
                                </w:rPr>
                                <w:t> </w:t>
                              </w:r>
                              <w:r>
                                <w:rPr>
                                  <w:color w:val="FFFFFF"/>
                                  <w:spacing w:val="-4"/>
                                  <w:sz w:val="16"/>
                                </w:rPr>
                                <w:t>Park</w:t>
                              </w:r>
                            </w:p>
                            <w:p>
                              <w:pPr>
                                <w:spacing w:line="182" w:lineRule="exact" w:before="0"/>
                                <w:ind w:left="1094" w:right="0" w:firstLine="0"/>
                                <w:jc w:val="left"/>
                                <w:rPr>
                                  <w:sz w:val="16"/>
                                </w:rPr>
                              </w:pPr>
                              <w:r>
                                <w:rPr>
                                  <w:color w:val="FFFFFF"/>
                                  <w:sz w:val="16"/>
                                </w:rPr>
                                <w:t>Photo</w:t>
                              </w:r>
                              <w:r>
                                <w:rPr>
                                  <w:color w:val="FFFFFF"/>
                                  <w:spacing w:val="11"/>
                                  <w:sz w:val="16"/>
                                </w:rPr>
                                <w:t> </w:t>
                              </w:r>
                              <w:r>
                                <w:rPr>
                                  <w:color w:val="FFFFFF"/>
                                  <w:sz w:val="16"/>
                                </w:rPr>
                                <w:t>courtesy</w:t>
                              </w:r>
                              <w:r>
                                <w:rPr>
                                  <w:color w:val="FFFFFF"/>
                                  <w:spacing w:val="12"/>
                                  <w:sz w:val="16"/>
                                </w:rPr>
                                <w:t> </w:t>
                              </w:r>
                              <w:r>
                                <w:rPr>
                                  <w:color w:val="FFFFFF"/>
                                  <w:sz w:val="16"/>
                                </w:rPr>
                                <w:t>of</w:t>
                              </w:r>
                              <w:r>
                                <w:rPr>
                                  <w:color w:val="FFFFFF"/>
                                  <w:spacing w:val="11"/>
                                  <w:sz w:val="16"/>
                                </w:rPr>
                                <w:t> </w:t>
                              </w:r>
                              <w:r>
                                <w:rPr>
                                  <w:color w:val="FFFFFF"/>
                                  <w:sz w:val="16"/>
                                </w:rPr>
                                <w:t>Livingston</w:t>
                              </w:r>
                              <w:r>
                                <w:rPr>
                                  <w:color w:val="FFFFFF"/>
                                  <w:spacing w:val="12"/>
                                  <w:sz w:val="16"/>
                                </w:rPr>
                                <w:t> </w:t>
                              </w:r>
                              <w:r>
                                <w:rPr>
                                  <w:color w:val="FFFFFF"/>
                                  <w:sz w:val="16"/>
                                </w:rPr>
                                <w:t>County</w:t>
                              </w:r>
                              <w:r>
                                <w:rPr>
                                  <w:color w:val="FFFFFF"/>
                                  <w:spacing w:val="11"/>
                                  <w:sz w:val="16"/>
                                </w:rPr>
                                <w:t> </w:t>
                              </w:r>
                              <w:r>
                                <w:rPr>
                                  <w:color w:val="FFFFFF"/>
                                  <w:sz w:val="16"/>
                                </w:rPr>
                                <w:t>Department</w:t>
                              </w:r>
                              <w:r>
                                <w:rPr>
                                  <w:color w:val="FFFFFF"/>
                                  <w:spacing w:val="12"/>
                                  <w:sz w:val="16"/>
                                </w:rPr>
                                <w:t> </w:t>
                              </w:r>
                              <w:r>
                                <w:rPr>
                                  <w:color w:val="FFFFFF"/>
                                  <w:sz w:val="16"/>
                                </w:rPr>
                                <w:t>of</w:t>
                              </w:r>
                              <w:r>
                                <w:rPr>
                                  <w:color w:val="FFFFFF"/>
                                  <w:spacing w:val="11"/>
                                  <w:sz w:val="16"/>
                                </w:rPr>
                                <w:t> </w:t>
                              </w:r>
                              <w:r>
                                <w:rPr>
                                  <w:color w:val="FFFFFF"/>
                                  <w:spacing w:val="-2"/>
                                  <w:sz w:val="16"/>
                                </w:rPr>
                                <w:t>Health</w:t>
                              </w:r>
                            </w:p>
                          </w:txbxContent>
                        </wps:txbx>
                        <wps:bodyPr wrap="square" lIns="0" tIns="0" rIns="0" bIns="0" rtlCol="0">
                          <a:noAutofit/>
                        </wps:bodyPr>
                      </wps:wsp>
                    </wpg:wgp>
                  </a:graphicData>
                </a:graphic>
              </wp:anchor>
            </w:drawing>
          </mc:Choice>
          <mc:Fallback>
            <w:pict>
              <v:group style="position:absolute;margin-left:.0pt;margin-top:-48.549999pt;width:613pt;height:214.6pt;mso-position-horizontal-relative:page;mso-position-vertical-relative:paragraph;z-index:15806464" id="docshapegroup614" coordorigin="0,-971" coordsize="12260,4292">
                <v:shape style="position:absolute;left:0;top:2705;width:895;height:291" type="#_x0000_t75" id="docshape615" stroked="false">
                  <v:imagedata r:id="rId39" o:title=""/>
                </v:shape>
                <v:shape style="position:absolute;left:0;top:-971;width:12240;height:4292" type="#_x0000_t75" id="docshape616" stroked="false">
                  <v:imagedata r:id="rId112" o:title=""/>
                </v:shape>
                <v:rect style="position:absolute;left:0;top:1995;width:12260;height:1325" id="docshape617" filled="true" fillcolor="#000000" stroked="false">
                  <v:fill opacity="36044f" type="solid"/>
                </v:rect>
                <v:shape style="position:absolute;left:0;top:-971;width:12260;height:4292" type="#_x0000_t202" id="docshape618" filled="false" stroked="false">
                  <v:textbox inset="0,0,0,0">
                    <w:txbxContent>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79"/>
                          <w:rPr>
                            <w:b/>
                            <w:sz w:val="16"/>
                          </w:rPr>
                        </w:pPr>
                      </w:p>
                      <w:p>
                        <w:pPr>
                          <w:spacing w:line="182" w:lineRule="exact" w:before="0"/>
                          <w:ind w:left="1094" w:right="0" w:firstLine="0"/>
                          <w:jc w:val="left"/>
                          <w:rPr>
                            <w:sz w:val="16"/>
                          </w:rPr>
                        </w:pPr>
                        <w:r>
                          <w:rPr>
                            <w:color w:val="FFFFFF"/>
                            <w:sz w:val="16"/>
                          </w:rPr>
                          <w:t>Letchworth</w:t>
                        </w:r>
                        <w:r>
                          <w:rPr>
                            <w:color w:val="FFFFFF"/>
                            <w:spacing w:val="9"/>
                            <w:sz w:val="16"/>
                          </w:rPr>
                          <w:t> </w:t>
                        </w:r>
                        <w:r>
                          <w:rPr>
                            <w:color w:val="FFFFFF"/>
                            <w:sz w:val="16"/>
                          </w:rPr>
                          <w:t>State</w:t>
                        </w:r>
                        <w:r>
                          <w:rPr>
                            <w:color w:val="FFFFFF"/>
                            <w:spacing w:val="10"/>
                            <w:sz w:val="16"/>
                          </w:rPr>
                          <w:t> </w:t>
                        </w:r>
                        <w:r>
                          <w:rPr>
                            <w:color w:val="FFFFFF"/>
                            <w:spacing w:val="-4"/>
                            <w:sz w:val="16"/>
                          </w:rPr>
                          <w:t>Park</w:t>
                        </w:r>
                      </w:p>
                      <w:p>
                        <w:pPr>
                          <w:spacing w:line="182" w:lineRule="exact" w:before="0"/>
                          <w:ind w:left="1094" w:right="0" w:firstLine="0"/>
                          <w:jc w:val="left"/>
                          <w:rPr>
                            <w:sz w:val="16"/>
                          </w:rPr>
                        </w:pPr>
                        <w:r>
                          <w:rPr>
                            <w:color w:val="FFFFFF"/>
                            <w:sz w:val="16"/>
                          </w:rPr>
                          <w:t>Photo</w:t>
                        </w:r>
                        <w:r>
                          <w:rPr>
                            <w:color w:val="FFFFFF"/>
                            <w:spacing w:val="11"/>
                            <w:sz w:val="16"/>
                          </w:rPr>
                          <w:t> </w:t>
                        </w:r>
                        <w:r>
                          <w:rPr>
                            <w:color w:val="FFFFFF"/>
                            <w:sz w:val="16"/>
                          </w:rPr>
                          <w:t>courtesy</w:t>
                        </w:r>
                        <w:r>
                          <w:rPr>
                            <w:color w:val="FFFFFF"/>
                            <w:spacing w:val="12"/>
                            <w:sz w:val="16"/>
                          </w:rPr>
                          <w:t> </w:t>
                        </w:r>
                        <w:r>
                          <w:rPr>
                            <w:color w:val="FFFFFF"/>
                            <w:sz w:val="16"/>
                          </w:rPr>
                          <w:t>of</w:t>
                        </w:r>
                        <w:r>
                          <w:rPr>
                            <w:color w:val="FFFFFF"/>
                            <w:spacing w:val="11"/>
                            <w:sz w:val="16"/>
                          </w:rPr>
                          <w:t> </w:t>
                        </w:r>
                        <w:r>
                          <w:rPr>
                            <w:color w:val="FFFFFF"/>
                            <w:sz w:val="16"/>
                          </w:rPr>
                          <w:t>Livingston</w:t>
                        </w:r>
                        <w:r>
                          <w:rPr>
                            <w:color w:val="FFFFFF"/>
                            <w:spacing w:val="12"/>
                            <w:sz w:val="16"/>
                          </w:rPr>
                          <w:t> </w:t>
                        </w:r>
                        <w:r>
                          <w:rPr>
                            <w:color w:val="FFFFFF"/>
                            <w:sz w:val="16"/>
                          </w:rPr>
                          <w:t>County</w:t>
                        </w:r>
                        <w:r>
                          <w:rPr>
                            <w:color w:val="FFFFFF"/>
                            <w:spacing w:val="11"/>
                            <w:sz w:val="16"/>
                          </w:rPr>
                          <w:t> </w:t>
                        </w:r>
                        <w:r>
                          <w:rPr>
                            <w:color w:val="FFFFFF"/>
                            <w:sz w:val="16"/>
                          </w:rPr>
                          <w:t>Department</w:t>
                        </w:r>
                        <w:r>
                          <w:rPr>
                            <w:color w:val="FFFFFF"/>
                            <w:spacing w:val="12"/>
                            <w:sz w:val="16"/>
                          </w:rPr>
                          <w:t> </w:t>
                        </w:r>
                        <w:r>
                          <w:rPr>
                            <w:color w:val="FFFFFF"/>
                            <w:sz w:val="16"/>
                          </w:rPr>
                          <w:t>of</w:t>
                        </w:r>
                        <w:r>
                          <w:rPr>
                            <w:color w:val="FFFFFF"/>
                            <w:spacing w:val="11"/>
                            <w:sz w:val="16"/>
                          </w:rPr>
                          <w:t> </w:t>
                        </w:r>
                        <w:r>
                          <w:rPr>
                            <w:color w:val="FFFFFF"/>
                            <w:spacing w:val="-2"/>
                            <w:sz w:val="16"/>
                          </w:rPr>
                          <w:t>Health</w:t>
                        </w:r>
                      </w:p>
                    </w:txbxContent>
                  </v:textbox>
                  <w10:wrap type="none"/>
                </v:shape>
                <w10:wrap type="none"/>
              </v:group>
            </w:pict>
          </mc:Fallback>
        </mc:AlternateContent>
      </w:r>
      <w:r>
        <w:rPr>
          <w:color w:val="0C5D86"/>
          <w:spacing w:val="-2"/>
          <w:sz w:val="16"/>
        </w:rPr>
        <w:t>Source:</w:t>
      </w:r>
      <w:r>
        <w:rPr>
          <w:color w:val="0C5D86"/>
          <w:spacing w:val="-7"/>
          <w:sz w:val="16"/>
        </w:rPr>
        <w:t> </w:t>
      </w:r>
      <w:r>
        <w:rPr>
          <w:color w:val="0C5D86"/>
          <w:spacing w:val="-2"/>
          <w:sz w:val="16"/>
        </w:rPr>
        <w:t>US</w:t>
      </w:r>
      <w:r>
        <w:rPr>
          <w:color w:val="0C5D86"/>
          <w:spacing w:val="-6"/>
          <w:sz w:val="16"/>
        </w:rPr>
        <w:t> </w:t>
      </w:r>
      <w:r>
        <w:rPr>
          <w:color w:val="0C5D86"/>
          <w:spacing w:val="-2"/>
          <w:sz w:val="16"/>
        </w:rPr>
        <w:t>Census</w:t>
      </w:r>
      <w:r>
        <w:rPr>
          <w:color w:val="0C5D86"/>
          <w:spacing w:val="-7"/>
          <w:sz w:val="16"/>
        </w:rPr>
        <w:t> </w:t>
      </w:r>
      <w:r>
        <w:rPr>
          <w:color w:val="0C5D86"/>
          <w:spacing w:val="-2"/>
          <w:sz w:val="16"/>
        </w:rPr>
        <w:t>Bureau</w:t>
      </w:r>
      <w:r>
        <w:rPr>
          <w:color w:val="0C5D86"/>
          <w:spacing w:val="-6"/>
          <w:sz w:val="16"/>
        </w:rPr>
        <w:t> </w:t>
      </w:r>
      <w:r>
        <w:rPr>
          <w:color w:val="0C5D86"/>
          <w:spacing w:val="-2"/>
          <w:sz w:val="16"/>
        </w:rPr>
        <w:t>2010</w:t>
      </w:r>
      <w:r>
        <w:rPr>
          <w:color w:val="0C5D86"/>
          <w:spacing w:val="-7"/>
          <w:sz w:val="16"/>
        </w:rPr>
        <w:t> </w:t>
      </w:r>
      <w:r>
        <w:rPr>
          <w:color w:val="0C5D86"/>
          <w:spacing w:val="-2"/>
          <w:sz w:val="16"/>
        </w:rPr>
        <w:t>Decennial</w:t>
      </w:r>
      <w:r>
        <w:rPr>
          <w:color w:val="0C5D86"/>
          <w:spacing w:val="-6"/>
          <w:sz w:val="16"/>
        </w:rPr>
        <w:t> </w:t>
      </w:r>
      <w:r>
        <w:rPr>
          <w:color w:val="0C5D86"/>
          <w:spacing w:val="-2"/>
          <w:sz w:val="16"/>
        </w:rPr>
        <w:t>and</w:t>
      </w:r>
      <w:r>
        <w:rPr>
          <w:color w:val="0C5D86"/>
          <w:spacing w:val="-6"/>
          <w:sz w:val="16"/>
        </w:rPr>
        <w:t> </w:t>
      </w:r>
      <w:r>
        <w:rPr>
          <w:color w:val="0C5D86"/>
          <w:spacing w:val="-2"/>
          <w:sz w:val="16"/>
        </w:rPr>
        <w:t>2018</w:t>
      </w:r>
      <w:r>
        <w:rPr>
          <w:color w:val="0C5D86"/>
          <w:spacing w:val="-7"/>
          <w:sz w:val="16"/>
        </w:rPr>
        <w:t> </w:t>
      </w:r>
      <w:r>
        <w:rPr>
          <w:color w:val="0C5D86"/>
          <w:spacing w:val="-2"/>
          <w:sz w:val="16"/>
        </w:rPr>
        <w:t>Population</w:t>
      </w:r>
      <w:r>
        <w:rPr>
          <w:color w:val="0C5D86"/>
          <w:spacing w:val="-6"/>
          <w:sz w:val="16"/>
        </w:rPr>
        <w:t> </w:t>
      </w:r>
      <w:r>
        <w:rPr>
          <w:color w:val="0C5D86"/>
          <w:spacing w:val="-2"/>
          <w:sz w:val="16"/>
        </w:rPr>
        <w:t>Estimates</w:t>
      </w:r>
      <w:r>
        <w:rPr>
          <w:color w:val="0C5D86"/>
          <w:spacing w:val="-7"/>
          <w:sz w:val="16"/>
        </w:rPr>
        <w:t> </w:t>
      </w:r>
      <w:r>
        <w:rPr>
          <w:color w:val="0C5D86"/>
          <w:spacing w:val="-2"/>
          <w:sz w:val="16"/>
        </w:rPr>
        <w:t>Program</w:t>
      </w:r>
    </w:p>
    <w:p>
      <w:pPr>
        <w:spacing w:after="0"/>
        <w:jc w:val="left"/>
        <w:rPr>
          <w:sz w:val="16"/>
        </w:rPr>
        <w:sectPr>
          <w:type w:val="continuous"/>
          <w:pgSz w:w="24480" w:h="15840" w:orient="landscape"/>
          <w:pgMar w:header="0" w:footer="0" w:top="0" w:bottom="280" w:left="0" w:right="720"/>
          <w:cols w:num="2" w:equalWidth="0">
            <w:col w:w="11016" w:space="1210"/>
            <w:col w:w="11534"/>
          </w:cols>
        </w:sectPr>
      </w:pPr>
    </w:p>
    <w:p>
      <w:pPr>
        <w:pStyle w:val="BodyText"/>
        <w:rPr>
          <w:sz w:val="26"/>
        </w:rPr>
      </w:pPr>
      <w:r>
        <w:rPr>
          <w:sz w:val="26"/>
        </w:rPr>
        <w:drawing>
          <wp:anchor distT="0" distB="0" distL="0" distR="0" allowOverlap="1" layoutInCell="1" locked="0" behindDoc="0" simplePos="0" relativeHeight="15805952">
            <wp:simplePos x="0" y="0"/>
            <wp:positionH relativeFrom="page">
              <wp:posOffset>14981556</wp:posOffset>
            </wp:positionH>
            <wp:positionV relativeFrom="page">
              <wp:posOffset>9668103</wp:posOffset>
            </wp:positionV>
            <wp:extent cx="563245" cy="184683"/>
            <wp:effectExtent l="0" t="0" r="0" b="0"/>
            <wp:wrapNone/>
            <wp:docPr id="730" name="Image 730"/>
            <wp:cNvGraphicFramePr>
              <a:graphicFrameLocks/>
            </wp:cNvGraphicFramePr>
            <a:graphic>
              <a:graphicData uri="http://schemas.openxmlformats.org/drawingml/2006/picture">
                <pic:pic>
                  <pic:nvPicPr>
                    <pic:cNvPr id="730" name="Image 730"/>
                    <pic:cNvPicPr/>
                  </pic:nvPicPr>
                  <pic:blipFill>
                    <a:blip r:embed="rId38" cstate="print"/>
                    <a:stretch>
                      <a:fillRect/>
                    </a:stretch>
                  </pic:blipFill>
                  <pic:spPr>
                    <a:xfrm>
                      <a:off x="0" y="0"/>
                      <a:ext cx="563245" cy="184683"/>
                    </a:xfrm>
                    <a:prstGeom prst="rect">
                      <a:avLst/>
                    </a:prstGeom>
                  </pic:spPr>
                </pic:pic>
              </a:graphicData>
            </a:graphic>
          </wp:anchor>
        </w:drawing>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93"/>
        <w:rPr>
          <w:sz w:val="26"/>
        </w:rPr>
      </w:pPr>
    </w:p>
    <w:p>
      <w:pPr>
        <w:pStyle w:val="Heading6"/>
        <w:spacing w:before="1"/>
        <w:ind w:left="0" w:right="302"/>
        <w:jc w:val="right"/>
      </w:pPr>
      <w:r>
        <w:rPr/>
        <mc:AlternateContent>
          <mc:Choice Requires="wps">
            <w:drawing>
              <wp:anchor distT="0" distB="0" distL="0" distR="0" allowOverlap="1" layoutInCell="1" locked="0" behindDoc="1" simplePos="0" relativeHeight="475032064">
                <wp:simplePos x="0" y="0"/>
                <wp:positionH relativeFrom="page">
                  <wp:posOffset>672186</wp:posOffset>
                </wp:positionH>
                <wp:positionV relativeFrom="paragraph">
                  <wp:posOffset>-9656</wp:posOffset>
                </wp:positionV>
                <wp:extent cx="195580" cy="226060"/>
                <wp:effectExtent l="0" t="0" r="0" b="0"/>
                <wp:wrapNone/>
                <wp:docPr id="731" name="Textbox 731"/>
                <wp:cNvGraphicFramePr>
                  <a:graphicFrameLocks/>
                </wp:cNvGraphicFramePr>
                <a:graphic>
                  <a:graphicData uri="http://schemas.microsoft.com/office/word/2010/wordprocessingShape">
                    <wps:wsp>
                      <wps:cNvPr id="731" name="Textbox 731"/>
                      <wps:cNvSpPr txBox="1"/>
                      <wps:spPr>
                        <a:xfrm>
                          <a:off x="0" y="0"/>
                          <a:ext cx="195580" cy="226060"/>
                        </a:xfrm>
                        <a:prstGeom prst="rect">
                          <a:avLst/>
                        </a:prstGeom>
                      </wps:spPr>
                      <wps:txbx>
                        <w:txbxContent>
                          <w:p>
                            <w:pPr>
                              <w:spacing w:before="16"/>
                              <w:ind w:left="0" w:right="0" w:firstLine="0"/>
                              <w:jc w:val="left"/>
                              <w:rPr>
                                <w:b/>
                                <w:sz w:val="26"/>
                              </w:rPr>
                            </w:pPr>
                            <w:r>
                              <w:rPr>
                                <w:b/>
                                <w:color w:val="939598"/>
                                <w:spacing w:val="-5"/>
                                <w:w w:val="105"/>
                                <w:sz w:val="26"/>
                              </w:rPr>
                              <w:t>55</w:t>
                            </w:r>
                          </w:p>
                        </w:txbxContent>
                      </wps:txbx>
                      <wps:bodyPr wrap="square" lIns="0" tIns="0" rIns="0" bIns="0" rtlCol="0">
                        <a:noAutofit/>
                      </wps:bodyPr>
                    </wps:wsp>
                  </a:graphicData>
                </a:graphic>
              </wp:anchor>
            </w:drawing>
          </mc:Choice>
          <mc:Fallback>
            <w:pict>
              <v:shape style="position:absolute;margin-left:52.928101pt;margin-top:-.760332pt;width:15.4pt;height:17.8pt;mso-position-horizontal-relative:page;mso-position-vertical-relative:paragraph;z-index:-28284416" type="#_x0000_t202" id="docshape619" filled="false" stroked="false">
                <v:textbox inset="0,0,0,0">
                  <w:txbxContent>
                    <w:p>
                      <w:pPr>
                        <w:spacing w:before="16"/>
                        <w:ind w:left="0" w:right="0" w:firstLine="0"/>
                        <w:jc w:val="left"/>
                        <w:rPr>
                          <w:b/>
                          <w:sz w:val="26"/>
                        </w:rPr>
                      </w:pPr>
                      <w:r>
                        <w:rPr>
                          <w:b/>
                          <w:color w:val="939598"/>
                          <w:spacing w:val="-5"/>
                          <w:w w:val="105"/>
                          <w:sz w:val="26"/>
                        </w:rPr>
                        <w:t>55</w:t>
                      </w:r>
                    </w:p>
                  </w:txbxContent>
                </v:textbox>
                <w10:wrap type="none"/>
              </v:shape>
            </w:pict>
          </mc:Fallback>
        </mc:AlternateContent>
      </w:r>
      <w:r>
        <w:rPr>
          <w:color w:val="939598"/>
          <w:spacing w:val="-5"/>
          <w:w w:val="105"/>
        </w:rPr>
        <w:t>56</w:t>
      </w:r>
    </w:p>
    <w:p>
      <w:pPr>
        <w:pStyle w:val="Heading6"/>
        <w:spacing w:after="0"/>
        <w:jc w:val="right"/>
        <w:sectPr>
          <w:type w:val="continuous"/>
          <w:pgSz w:w="24480" w:h="15840" w:orient="landscape"/>
          <w:pgMar w:header="0" w:footer="0" w:top="0" w:bottom="280" w:left="0" w:right="720"/>
        </w:sectPr>
      </w:pPr>
    </w:p>
    <w:p>
      <w:pPr>
        <w:pStyle w:val="BodyText"/>
        <w:spacing w:before="223"/>
        <w:rPr>
          <w:b/>
          <w:sz w:val="20"/>
        </w:rPr>
      </w:pPr>
    </w:p>
    <w:p>
      <w:pPr>
        <w:pStyle w:val="BodyText"/>
        <w:spacing w:after="0"/>
        <w:rPr>
          <w:b/>
          <w:sz w:val="20"/>
        </w:rPr>
        <w:sectPr>
          <w:pgSz w:w="24480" w:h="15840" w:orient="landscape"/>
          <w:pgMar w:header="0" w:footer="0" w:top="860" w:bottom="0" w:left="0" w:right="720"/>
        </w:sectPr>
      </w:pPr>
    </w:p>
    <w:p>
      <w:pPr>
        <w:pStyle w:val="BodyText"/>
        <w:spacing w:line="247" w:lineRule="auto" w:before="136"/>
        <w:ind w:left="1094" w:right="51"/>
      </w:pPr>
      <w:r>
        <w:rPr>
          <w:color w:val="105C84"/>
        </w:rPr>
        <w:t>Migrant farm and seasonal workers support many farms in the county, as well as the horseracing</w:t>
      </w:r>
      <w:r>
        <w:rPr>
          <w:color w:val="105C84"/>
          <w:spacing w:val="80"/>
        </w:rPr>
        <w:t> </w:t>
      </w:r>
      <w:r>
        <w:rPr>
          <w:color w:val="105C84"/>
        </w:rPr>
        <w:t>track</w:t>
      </w:r>
      <w:r>
        <w:rPr>
          <w:color w:val="105C84"/>
          <w:spacing w:val="21"/>
        </w:rPr>
        <w:t> </w:t>
      </w:r>
      <w:r>
        <w:rPr>
          <w:color w:val="105C84"/>
        </w:rPr>
        <w:t>in</w:t>
      </w:r>
      <w:r>
        <w:rPr>
          <w:color w:val="105C84"/>
          <w:spacing w:val="21"/>
        </w:rPr>
        <w:t> </w:t>
      </w:r>
      <w:r>
        <w:rPr>
          <w:color w:val="105C84"/>
        </w:rPr>
        <w:t>Farmington.</w:t>
      </w:r>
      <w:r>
        <w:rPr>
          <w:color w:val="105C84"/>
          <w:spacing w:val="21"/>
        </w:rPr>
        <w:t> </w:t>
      </w:r>
      <w:r>
        <w:rPr>
          <w:color w:val="105C84"/>
        </w:rPr>
        <w:t>Migrant</w:t>
      </w:r>
      <w:r>
        <w:rPr>
          <w:color w:val="105C84"/>
          <w:spacing w:val="21"/>
        </w:rPr>
        <w:t> </w:t>
      </w:r>
      <w:r>
        <w:rPr>
          <w:color w:val="105C84"/>
        </w:rPr>
        <w:t>workers</w:t>
      </w:r>
      <w:r>
        <w:rPr>
          <w:color w:val="105C84"/>
          <w:spacing w:val="21"/>
        </w:rPr>
        <w:t> </w:t>
      </w:r>
      <w:r>
        <w:rPr>
          <w:color w:val="105C84"/>
        </w:rPr>
        <w:t>are</w:t>
      </w:r>
      <w:r>
        <w:rPr>
          <w:color w:val="105C84"/>
          <w:spacing w:val="21"/>
        </w:rPr>
        <w:t> </w:t>
      </w:r>
      <w:r>
        <w:rPr>
          <w:color w:val="105C84"/>
        </w:rPr>
        <w:t>often</w:t>
      </w:r>
      <w:r>
        <w:rPr>
          <w:color w:val="105C84"/>
          <w:spacing w:val="21"/>
        </w:rPr>
        <w:t> </w:t>
      </w:r>
      <w:r>
        <w:rPr>
          <w:color w:val="105C84"/>
        </w:rPr>
        <w:t>hard</w:t>
      </w:r>
      <w:r>
        <w:rPr>
          <w:color w:val="105C84"/>
          <w:spacing w:val="21"/>
        </w:rPr>
        <w:t> </w:t>
      </w:r>
      <w:r>
        <w:rPr>
          <w:color w:val="105C84"/>
        </w:rPr>
        <w:t>to</w:t>
      </w:r>
      <w:r>
        <w:rPr>
          <w:color w:val="105C84"/>
          <w:spacing w:val="21"/>
        </w:rPr>
        <w:t> </w:t>
      </w:r>
      <w:r>
        <w:rPr>
          <w:color w:val="105C84"/>
        </w:rPr>
        <w:t>reach</w:t>
      </w:r>
      <w:r>
        <w:rPr>
          <w:color w:val="105C84"/>
          <w:spacing w:val="21"/>
        </w:rPr>
        <w:t> </w:t>
      </w:r>
      <w:r>
        <w:rPr>
          <w:color w:val="105C84"/>
        </w:rPr>
        <w:t>and</w:t>
      </w:r>
      <w:r>
        <w:rPr>
          <w:color w:val="105C84"/>
          <w:spacing w:val="21"/>
        </w:rPr>
        <w:t> </w:t>
      </w:r>
      <w:r>
        <w:rPr>
          <w:color w:val="105C84"/>
        </w:rPr>
        <w:t>have</w:t>
      </w:r>
      <w:r>
        <w:rPr>
          <w:color w:val="105C84"/>
          <w:spacing w:val="21"/>
        </w:rPr>
        <w:t> </w:t>
      </w:r>
      <w:r>
        <w:rPr>
          <w:color w:val="105C84"/>
        </w:rPr>
        <w:t>unique</w:t>
      </w:r>
      <w:r>
        <w:rPr>
          <w:color w:val="105C84"/>
          <w:spacing w:val="21"/>
        </w:rPr>
        <w:t> </w:t>
      </w:r>
      <w:r>
        <w:rPr>
          <w:color w:val="105C84"/>
        </w:rPr>
        <w:t>needs</w:t>
      </w:r>
      <w:r>
        <w:rPr>
          <w:color w:val="105C84"/>
          <w:spacing w:val="21"/>
        </w:rPr>
        <w:t> </w:t>
      </w:r>
      <w:r>
        <w:rPr>
          <w:color w:val="105C84"/>
        </w:rPr>
        <w:t>in</w:t>
      </w:r>
      <w:r>
        <w:rPr>
          <w:color w:val="105C84"/>
          <w:spacing w:val="21"/>
        </w:rPr>
        <w:t> </w:t>
      </w:r>
      <w:r>
        <w:rPr>
          <w:color w:val="105C84"/>
        </w:rPr>
        <w:t>relationship to health promotion and disease prevention. Additionally, language and cultural differences must be</w:t>
      </w:r>
      <w:r>
        <w:rPr>
          <w:color w:val="105C84"/>
          <w:spacing w:val="80"/>
        </w:rPr>
        <w:t> </w:t>
      </w:r>
      <w:r>
        <w:rPr>
          <w:color w:val="105C84"/>
        </w:rPr>
        <w:t>addressed during program development and delivery.</w:t>
      </w:r>
    </w:p>
    <w:p>
      <w:pPr>
        <w:pStyle w:val="BodyText"/>
        <w:spacing w:line="247" w:lineRule="auto" w:before="178"/>
        <w:ind w:left="1094" w:right="51"/>
      </w:pPr>
      <w:r>
        <w:rPr>
          <w:color w:val="105C84"/>
        </w:rPr>
        <w:t>Aging</w:t>
      </w:r>
      <w:r>
        <w:rPr>
          <w:color w:val="105C84"/>
          <w:spacing w:val="39"/>
        </w:rPr>
        <w:t> </w:t>
      </w:r>
      <w:r>
        <w:rPr>
          <w:color w:val="105C84"/>
        </w:rPr>
        <w:t>of</w:t>
      </w:r>
      <w:r>
        <w:rPr>
          <w:color w:val="105C84"/>
          <w:spacing w:val="39"/>
        </w:rPr>
        <w:t> </w:t>
      </w:r>
      <w:r>
        <w:rPr>
          <w:color w:val="105C84"/>
        </w:rPr>
        <w:t>the</w:t>
      </w:r>
      <w:r>
        <w:rPr>
          <w:color w:val="105C84"/>
          <w:spacing w:val="39"/>
        </w:rPr>
        <w:t> </w:t>
      </w:r>
      <w:r>
        <w:rPr>
          <w:color w:val="105C84"/>
        </w:rPr>
        <w:t>population</w:t>
      </w:r>
      <w:r>
        <w:rPr>
          <w:color w:val="105C84"/>
          <w:spacing w:val="39"/>
        </w:rPr>
        <w:t> </w:t>
      </w:r>
      <w:r>
        <w:rPr>
          <w:color w:val="105C84"/>
        </w:rPr>
        <w:t>must</w:t>
      </w:r>
      <w:r>
        <w:rPr>
          <w:color w:val="105C84"/>
          <w:spacing w:val="39"/>
        </w:rPr>
        <w:t> </w:t>
      </w:r>
      <w:r>
        <w:rPr>
          <w:color w:val="105C84"/>
        </w:rPr>
        <w:t>also</w:t>
      </w:r>
      <w:r>
        <w:rPr>
          <w:color w:val="105C84"/>
          <w:spacing w:val="39"/>
        </w:rPr>
        <w:t> </w:t>
      </w:r>
      <w:r>
        <w:rPr>
          <w:color w:val="105C84"/>
        </w:rPr>
        <w:t>be</w:t>
      </w:r>
      <w:r>
        <w:rPr>
          <w:color w:val="105C84"/>
          <w:spacing w:val="39"/>
        </w:rPr>
        <w:t> </w:t>
      </w:r>
      <w:r>
        <w:rPr>
          <w:color w:val="105C84"/>
        </w:rPr>
        <w:t>considered</w:t>
      </w:r>
      <w:r>
        <w:rPr>
          <w:color w:val="105C84"/>
          <w:spacing w:val="39"/>
        </w:rPr>
        <w:t> </w:t>
      </w:r>
      <w:r>
        <w:rPr>
          <w:color w:val="105C84"/>
        </w:rPr>
        <w:t>in</w:t>
      </w:r>
      <w:r>
        <w:rPr>
          <w:color w:val="105C84"/>
          <w:spacing w:val="39"/>
        </w:rPr>
        <w:t> </w:t>
      </w:r>
      <w:r>
        <w:rPr>
          <w:color w:val="105C84"/>
        </w:rPr>
        <w:t>planning</w:t>
      </w:r>
      <w:r>
        <w:rPr>
          <w:color w:val="105C84"/>
          <w:spacing w:val="39"/>
        </w:rPr>
        <w:t> </w:t>
      </w:r>
      <w:r>
        <w:rPr>
          <w:color w:val="105C84"/>
        </w:rPr>
        <w:t>population</w:t>
      </w:r>
      <w:r>
        <w:rPr>
          <w:color w:val="105C84"/>
          <w:spacing w:val="39"/>
        </w:rPr>
        <w:t> </w:t>
      </w:r>
      <w:r>
        <w:rPr>
          <w:color w:val="105C84"/>
        </w:rPr>
        <w:t>health</w:t>
      </w:r>
      <w:r>
        <w:rPr>
          <w:color w:val="105C84"/>
          <w:spacing w:val="39"/>
        </w:rPr>
        <w:t> </w:t>
      </w:r>
      <w:r>
        <w:rPr>
          <w:color w:val="105C84"/>
        </w:rPr>
        <w:t>strategies.</w:t>
      </w:r>
      <w:r>
        <w:rPr>
          <w:color w:val="105C84"/>
          <w:spacing w:val="39"/>
        </w:rPr>
        <w:t> </w:t>
      </w:r>
      <w:r>
        <w:rPr>
          <w:color w:val="105C84"/>
        </w:rPr>
        <w:t>Of potential significance, the City of Canandaigua was voted one of AARP’s top places to live for under</w:t>
      </w:r>
    </w:p>
    <w:p>
      <w:pPr>
        <w:pStyle w:val="BodyText"/>
        <w:spacing w:line="247" w:lineRule="auto"/>
        <w:ind w:left="1094" w:right="51"/>
      </w:pPr>
      <w:r>
        <w:rPr>
          <w:color w:val="105C84"/>
        </w:rPr>
        <w:t>$40,000 a year in 2018, indicating the potential for an increase in individuals of this demographic in future years. 2017 estimates reveal 30% of the 65+ population (N=6,044) is living alone. The rate has increased slightly from 2013 (29%) but the overall number of 65+ living alone has increased fairly substantially (N=4,860 in 2013). These findings highlight the need for development of additional</w:t>
      </w:r>
      <w:r>
        <w:rPr>
          <w:color w:val="105C84"/>
          <w:spacing w:val="40"/>
        </w:rPr>
        <w:t> </w:t>
      </w:r>
      <w:r>
        <w:rPr>
          <w:color w:val="105C84"/>
        </w:rPr>
        <w:t>strategies and services for this growing demographic. It will be challenging to meet the demand for</w:t>
      </w:r>
      <w:r>
        <w:rPr>
          <w:color w:val="105C84"/>
          <w:spacing w:val="80"/>
          <w:w w:val="150"/>
        </w:rPr>
        <w:t> </w:t>
      </w:r>
      <w:r>
        <w:rPr>
          <w:color w:val="105C84"/>
        </w:rPr>
        <w:t>services</w:t>
      </w:r>
      <w:r>
        <w:rPr>
          <w:color w:val="105C84"/>
          <w:spacing w:val="36"/>
        </w:rPr>
        <w:t> </w:t>
      </w:r>
      <w:r>
        <w:rPr>
          <w:color w:val="105C84"/>
        </w:rPr>
        <w:t>needed</w:t>
      </w:r>
      <w:r>
        <w:rPr>
          <w:color w:val="105C84"/>
          <w:spacing w:val="36"/>
        </w:rPr>
        <w:t> </w:t>
      </w:r>
      <w:r>
        <w:rPr>
          <w:color w:val="105C84"/>
        </w:rPr>
        <w:t>if</w:t>
      </w:r>
      <w:r>
        <w:rPr>
          <w:color w:val="105C84"/>
          <w:spacing w:val="36"/>
        </w:rPr>
        <w:t> </w:t>
      </w:r>
      <w:r>
        <w:rPr>
          <w:color w:val="105C84"/>
        </w:rPr>
        <w:t>members</w:t>
      </w:r>
      <w:r>
        <w:rPr>
          <w:color w:val="105C84"/>
          <w:spacing w:val="36"/>
        </w:rPr>
        <w:t> </w:t>
      </w:r>
      <w:r>
        <w:rPr>
          <w:color w:val="105C84"/>
        </w:rPr>
        <w:t>of</w:t>
      </w:r>
      <w:r>
        <w:rPr>
          <w:color w:val="105C84"/>
          <w:spacing w:val="36"/>
        </w:rPr>
        <w:t> </w:t>
      </w:r>
      <w:r>
        <w:rPr>
          <w:color w:val="105C84"/>
        </w:rPr>
        <w:t>this</w:t>
      </w:r>
      <w:r>
        <w:rPr>
          <w:color w:val="105C84"/>
          <w:spacing w:val="36"/>
        </w:rPr>
        <w:t> </w:t>
      </w:r>
      <w:r>
        <w:rPr>
          <w:color w:val="105C84"/>
        </w:rPr>
        <w:t>population</w:t>
      </w:r>
      <w:r>
        <w:rPr>
          <w:color w:val="105C84"/>
          <w:spacing w:val="36"/>
        </w:rPr>
        <w:t> </w:t>
      </w:r>
      <w:r>
        <w:rPr>
          <w:color w:val="105C84"/>
        </w:rPr>
        <w:t>are</w:t>
      </w:r>
      <w:r>
        <w:rPr>
          <w:color w:val="105C84"/>
          <w:spacing w:val="36"/>
        </w:rPr>
        <w:t> </w:t>
      </w:r>
      <w:r>
        <w:rPr>
          <w:color w:val="105C84"/>
        </w:rPr>
        <w:t>to</w:t>
      </w:r>
      <w:r>
        <w:rPr>
          <w:color w:val="105C84"/>
          <w:spacing w:val="36"/>
        </w:rPr>
        <w:t> </w:t>
      </w:r>
      <w:r>
        <w:rPr>
          <w:color w:val="105C84"/>
        </w:rPr>
        <w:t>maintain</w:t>
      </w:r>
      <w:r>
        <w:rPr>
          <w:color w:val="105C84"/>
          <w:spacing w:val="36"/>
        </w:rPr>
        <w:t> </w:t>
      </w:r>
      <w:r>
        <w:rPr>
          <w:color w:val="105C84"/>
        </w:rPr>
        <w:t>their</w:t>
      </w:r>
      <w:r>
        <w:rPr>
          <w:color w:val="105C84"/>
          <w:spacing w:val="36"/>
        </w:rPr>
        <w:t> </w:t>
      </w:r>
      <w:r>
        <w:rPr>
          <w:color w:val="105C84"/>
        </w:rPr>
        <w:t>independence.</w:t>
      </w:r>
    </w:p>
    <w:p>
      <w:pPr>
        <w:pStyle w:val="BodyText"/>
        <w:spacing w:line="247" w:lineRule="auto" w:before="176"/>
        <w:ind w:left="1094" w:right="68"/>
      </w:pPr>
      <w:r>
        <w:rPr>
          <w:color w:val="105C84"/>
        </w:rPr>
        <w:t>The median household income in Ontario County ($61,710) is similar to that of New York State ($62,765) and higher than the eight county regional average of $52,704.</w:t>
      </w:r>
      <w:r>
        <w:rPr>
          <w:color w:val="105C84"/>
          <w:position w:val="7"/>
          <w:sz w:val="13"/>
        </w:rPr>
        <w:t>24</w:t>
      </w:r>
      <w:r>
        <w:rPr>
          <w:color w:val="105C84"/>
          <w:spacing w:val="40"/>
          <w:position w:val="7"/>
          <w:sz w:val="13"/>
        </w:rPr>
        <w:t> </w:t>
      </w:r>
      <w:r>
        <w:rPr>
          <w:color w:val="105C84"/>
        </w:rPr>
        <w:t>However, socioeconomic status varies widely in the county by zip code (Map 7). Median household income varies widely in the county geographically from a low of $40,920 (City of Geneva; population, 12,762) to $98,167 in the town of Victor (population, 15,069). Pockets of substantial wealth surrounding the lakes and an influx</w:t>
      </w:r>
      <w:r>
        <w:rPr>
          <w:color w:val="105C84"/>
          <w:spacing w:val="40"/>
        </w:rPr>
        <w:t> </w:t>
      </w:r>
      <w:r>
        <w:rPr>
          <w:color w:val="105C84"/>
        </w:rPr>
        <w:t>of</w:t>
      </w:r>
      <w:r>
        <w:rPr>
          <w:color w:val="105C84"/>
          <w:spacing w:val="26"/>
        </w:rPr>
        <w:t> </w:t>
      </w:r>
      <w:r>
        <w:rPr>
          <w:color w:val="105C84"/>
        </w:rPr>
        <w:t>high</w:t>
      </w:r>
      <w:r>
        <w:rPr>
          <w:color w:val="105C84"/>
          <w:spacing w:val="26"/>
        </w:rPr>
        <w:t> </w:t>
      </w:r>
      <w:r>
        <w:rPr>
          <w:color w:val="105C84"/>
        </w:rPr>
        <w:t>income</w:t>
      </w:r>
      <w:r>
        <w:rPr>
          <w:color w:val="105C84"/>
          <w:spacing w:val="26"/>
        </w:rPr>
        <w:t> </w:t>
      </w:r>
      <w:r>
        <w:rPr>
          <w:color w:val="105C84"/>
        </w:rPr>
        <w:t>families</w:t>
      </w:r>
      <w:r>
        <w:rPr>
          <w:color w:val="105C84"/>
          <w:spacing w:val="26"/>
        </w:rPr>
        <w:t> </w:t>
      </w:r>
      <w:r>
        <w:rPr>
          <w:color w:val="105C84"/>
        </w:rPr>
        <w:t>on</w:t>
      </w:r>
      <w:r>
        <w:rPr>
          <w:color w:val="105C84"/>
          <w:spacing w:val="26"/>
        </w:rPr>
        <w:t> </w:t>
      </w:r>
      <w:r>
        <w:rPr>
          <w:color w:val="105C84"/>
        </w:rPr>
        <w:t>the</w:t>
      </w:r>
      <w:r>
        <w:rPr>
          <w:color w:val="105C84"/>
          <w:spacing w:val="26"/>
        </w:rPr>
        <w:t> </w:t>
      </w:r>
      <w:r>
        <w:rPr>
          <w:color w:val="105C84"/>
        </w:rPr>
        <w:t>western</w:t>
      </w:r>
      <w:r>
        <w:rPr>
          <w:color w:val="105C84"/>
          <w:spacing w:val="26"/>
        </w:rPr>
        <w:t> </w:t>
      </w:r>
      <w:r>
        <w:rPr>
          <w:color w:val="105C84"/>
        </w:rPr>
        <w:t>border</w:t>
      </w:r>
      <w:r>
        <w:rPr>
          <w:color w:val="105C84"/>
          <w:spacing w:val="26"/>
        </w:rPr>
        <w:t> </w:t>
      </w:r>
      <w:r>
        <w:rPr>
          <w:color w:val="105C84"/>
        </w:rPr>
        <w:t>(Victor</w:t>
      </w:r>
      <w:r>
        <w:rPr>
          <w:color w:val="105C84"/>
          <w:spacing w:val="26"/>
        </w:rPr>
        <w:t> </w:t>
      </w:r>
      <w:r>
        <w:rPr>
          <w:color w:val="105C84"/>
        </w:rPr>
        <w:t>and</w:t>
      </w:r>
      <w:r>
        <w:rPr>
          <w:color w:val="105C84"/>
          <w:spacing w:val="26"/>
        </w:rPr>
        <w:t> </w:t>
      </w:r>
      <w:r>
        <w:rPr>
          <w:color w:val="105C84"/>
        </w:rPr>
        <w:t>parts</w:t>
      </w:r>
      <w:r>
        <w:rPr>
          <w:color w:val="105C84"/>
          <w:spacing w:val="26"/>
        </w:rPr>
        <w:t> </w:t>
      </w:r>
      <w:r>
        <w:rPr>
          <w:color w:val="105C84"/>
        </w:rPr>
        <w:t>of</w:t>
      </w:r>
      <w:r>
        <w:rPr>
          <w:color w:val="105C84"/>
          <w:spacing w:val="26"/>
        </w:rPr>
        <w:t> </w:t>
      </w:r>
      <w:r>
        <w:rPr>
          <w:color w:val="105C84"/>
        </w:rPr>
        <w:t>Farmington)</w:t>
      </w:r>
      <w:r>
        <w:rPr>
          <w:color w:val="105C84"/>
          <w:spacing w:val="26"/>
        </w:rPr>
        <w:t> </w:t>
      </w:r>
      <w:r>
        <w:rPr>
          <w:color w:val="105C84"/>
        </w:rPr>
        <w:t>account</w:t>
      </w:r>
      <w:r>
        <w:rPr>
          <w:color w:val="105C84"/>
          <w:spacing w:val="26"/>
        </w:rPr>
        <w:t> </w:t>
      </w:r>
      <w:r>
        <w:rPr>
          <w:color w:val="105C84"/>
        </w:rPr>
        <w:t>for</w:t>
      </w:r>
      <w:r>
        <w:rPr>
          <w:color w:val="105C84"/>
          <w:spacing w:val="26"/>
        </w:rPr>
        <w:t> </w:t>
      </w:r>
      <w:r>
        <w:rPr>
          <w:color w:val="105C84"/>
        </w:rPr>
        <w:t>much</w:t>
      </w:r>
    </w:p>
    <w:p>
      <w:pPr>
        <w:pStyle w:val="BodyText"/>
        <w:spacing w:line="247" w:lineRule="auto"/>
        <w:ind w:left="1094" w:right="285"/>
      </w:pPr>
      <w:r>
        <w:rPr>
          <w:color w:val="105C84"/>
        </w:rPr>
        <w:t>of the wealth in the county. Conversely, those on the eastern edge of the county experience fewer job options, more racial diversity, lower high school graduation rates and higher rates of poverty. This division of wealth creates unique public health challenges in addressing the needs of very economically and culturally diverse communities.</w:t>
      </w:r>
    </w:p>
    <w:p>
      <w:pPr>
        <w:pStyle w:val="BodyText"/>
        <w:spacing w:before="13"/>
      </w:pPr>
    </w:p>
    <w:p>
      <w:pPr>
        <w:pStyle w:val="Heading6"/>
        <w:ind w:left="1094"/>
      </w:pPr>
      <w:r>
        <w:rPr>
          <w:color w:val="105C84"/>
        </w:rPr>
        <w:t>MAP</w:t>
      </w:r>
      <w:r>
        <w:rPr>
          <w:color w:val="105C84"/>
          <w:spacing w:val="-5"/>
        </w:rPr>
        <w:t> </w:t>
      </w:r>
      <w:r>
        <w:rPr>
          <w:color w:val="105C84"/>
        </w:rPr>
        <w:t>8:</w:t>
      </w:r>
      <w:r>
        <w:rPr>
          <w:color w:val="105C84"/>
          <w:spacing w:val="-4"/>
        </w:rPr>
        <w:t> </w:t>
      </w:r>
      <w:r>
        <w:rPr>
          <w:color w:val="105C84"/>
        </w:rPr>
        <w:t>Poverty</w:t>
      </w:r>
      <w:r>
        <w:rPr>
          <w:color w:val="105C84"/>
          <w:spacing w:val="-5"/>
        </w:rPr>
        <w:t> </w:t>
      </w:r>
      <w:r>
        <w:rPr>
          <w:color w:val="105C84"/>
        </w:rPr>
        <w:t>rates</w:t>
      </w:r>
      <w:r>
        <w:rPr>
          <w:color w:val="105C84"/>
          <w:spacing w:val="-4"/>
        </w:rPr>
        <w:t> </w:t>
      </w:r>
      <w:r>
        <w:rPr>
          <w:color w:val="105C84"/>
        </w:rPr>
        <w:t>by</w:t>
      </w:r>
      <w:r>
        <w:rPr>
          <w:color w:val="105C84"/>
          <w:spacing w:val="-5"/>
        </w:rPr>
        <w:t> </w:t>
      </w:r>
      <w:r>
        <w:rPr>
          <w:color w:val="105C84"/>
        </w:rPr>
        <w:t>ZIP</w:t>
      </w:r>
      <w:r>
        <w:rPr>
          <w:color w:val="105C84"/>
          <w:spacing w:val="-4"/>
        </w:rPr>
        <w:t> code</w:t>
      </w:r>
    </w:p>
    <w:p>
      <w:pPr>
        <w:pStyle w:val="BodyText"/>
        <w:spacing w:line="247" w:lineRule="auto" w:before="114"/>
        <w:ind w:left="1094" w:right="597"/>
      </w:pPr>
      <w:r>
        <w:rPr/>
        <w:br w:type="column"/>
      </w:r>
      <w:r>
        <w:rPr>
          <w:color w:val="105C84"/>
        </w:rPr>
        <w:t>Over</w:t>
      </w:r>
      <w:r>
        <w:rPr>
          <w:color w:val="105C84"/>
          <w:spacing w:val="18"/>
        </w:rPr>
        <w:t> </w:t>
      </w:r>
      <w:r>
        <w:rPr>
          <w:color w:val="105C84"/>
        </w:rPr>
        <w:t>the</w:t>
      </w:r>
      <w:r>
        <w:rPr>
          <w:color w:val="105C84"/>
          <w:spacing w:val="18"/>
        </w:rPr>
        <w:t> </w:t>
      </w:r>
      <w:r>
        <w:rPr>
          <w:color w:val="105C84"/>
        </w:rPr>
        <w:t>past</w:t>
      </w:r>
      <w:r>
        <w:rPr>
          <w:color w:val="105C84"/>
          <w:spacing w:val="18"/>
        </w:rPr>
        <w:t> </w:t>
      </w:r>
      <w:r>
        <w:rPr>
          <w:color w:val="105C84"/>
        </w:rPr>
        <w:t>5</w:t>
      </w:r>
      <w:r>
        <w:rPr>
          <w:color w:val="105C84"/>
          <w:spacing w:val="18"/>
        </w:rPr>
        <w:t> </w:t>
      </w:r>
      <w:r>
        <w:rPr>
          <w:color w:val="105C84"/>
        </w:rPr>
        <w:t>years,</w:t>
      </w:r>
      <w:r>
        <w:rPr>
          <w:color w:val="105C84"/>
          <w:spacing w:val="18"/>
        </w:rPr>
        <w:t> </w:t>
      </w:r>
      <w:r>
        <w:rPr>
          <w:color w:val="105C84"/>
        </w:rPr>
        <w:t>there</w:t>
      </w:r>
      <w:r>
        <w:rPr>
          <w:color w:val="105C84"/>
          <w:spacing w:val="18"/>
        </w:rPr>
        <w:t> </w:t>
      </w:r>
      <w:r>
        <w:rPr>
          <w:color w:val="105C84"/>
        </w:rPr>
        <w:t>has</w:t>
      </w:r>
      <w:r>
        <w:rPr>
          <w:color w:val="105C84"/>
          <w:spacing w:val="18"/>
        </w:rPr>
        <w:t> </w:t>
      </w:r>
      <w:r>
        <w:rPr>
          <w:color w:val="105C84"/>
        </w:rPr>
        <w:t>been</w:t>
      </w:r>
      <w:r>
        <w:rPr>
          <w:color w:val="105C84"/>
          <w:spacing w:val="18"/>
        </w:rPr>
        <w:t> </w:t>
      </w:r>
      <w:r>
        <w:rPr>
          <w:color w:val="105C84"/>
        </w:rPr>
        <w:t>a</w:t>
      </w:r>
      <w:r>
        <w:rPr>
          <w:color w:val="105C84"/>
          <w:spacing w:val="18"/>
        </w:rPr>
        <w:t> </w:t>
      </w:r>
      <w:r>
        <w:rPr>
          <w:color w:val="105C84"/>
        </w:rPr>
        <w:t>shift</w:t>
      </w:r>
      <w:r>
        <w:rPr>
          <w:color w:val="105C84"/>
          <w:spacing w:val="18"/>
        </w:rPr>
        <w:t> </w:t>
      </w:r>
      <w:r>
        <w:rPr>
          <w:color w:val="105C84"/>
        </w:rPr>
        <w:t>in</w:t>
      </w:r>
      <w:r>
        <w:rPr>
          <w:color w:val="105C84"/>
          <w:spacing w:val="18"/>
        </w:rPr>
        <w:t> </w:t>
      </w:r>
      <w:r>
        <w:rPr>
          <w:color w:val="105C84"/>
        </w:rPr>
        <w:t>educational</w:t>
      </w:r>
      <w:r>
        <w:rPr>
          <w:color w:val="105C84"/>
          <w:spacing w:val="18"/>
        </w:rPr>
        <w:t> </w:t>
      </w:r>
      <w:r>
        <w:rPr>
          <w:color w:val="105C84"/>
        </w:rPr>
        <w:t>attainment</w:t>
      </w:r>
      <w:r>
        <w:rPr>
          <w:color w:val="105C84"/>
          <w:spacing w:val="18"/>
        </w:rPr>
        <w:t> </w:t>
      </w:r>
      <w:r>
        <w:rPr>
          <w:color w:val="105C84"/>
        </w:rPr>
        <w:t>in</w:t>
      </w:r>
      <w:r>
        <w:rPr>
          <w:color w:val="105C84"/>
          <w:spacing w:val="18"/>
        </w:rPr>
        <w:t> </w:t>
      </w:r>
      <w:r>
        <w:rPr>
          <w:color w:val="105C84"/>
        </w:rPr>
        <w:t>Ontario</w:t>
      </w:r>
      <w:r>
        <w:rPr>
          <w:color w:val="105C84"/>
          <w:spacing w:val="18"/>
        </w:rPr>
        <w:t> </w:t>
      </w:r>
      <w:r>
        <w:rPr>
          <w:color w:val="105C84"/>
        </w:rPr>
        <w:t>County.</w:t>
      </w:r>
      <w:r>
        <w:rPr>
          <w:color w:val="105C84"/>
          <w:spacing w:val="18"/>
        </w:rPr>
        <w:t> </w:t>
      </w:r>
      <w:r>
        <w:rPr>
          <w:color w:val="105C84"/>
        </w:rPr>
        <w:t>There are</w:t>
      </w:r>
      <w:r>
        <w:rPr>
          <w:color w:val="105C84"/>
          <w:spacing w:val="18"/>
        </w:rPr>
        <w:t> </w:t>
      </w:r>
      <w:r>
        <w:rPr>
          <w:color w:val="105C84"/>
        </w:rPr>
        <w:t>more</w:t>
      </w:r>
      <w:r>
        <w:rPr>
          <w:color w:val="105C84"/>
          <w:spacing w:val="18"/>
        </w:rPr>
        <w:t> </w:t>
      </w:r>
      <w:r>
        <w:rPr>
          <w:color w:val="105C84"/>
        </w:rPr>
        <w:t>residents</w:t>
      </w:r>
      <w:r>
        <w:rPr>
          <w:color w:val="105C84"/>
          <w:spacing w:val="18"/>
        </w:rPr>
        <w:t> </w:t>
      </w:r>
      <w:r>
        <w:rPr>
          <w:color w:val="105C84"/>
        </w:rPr>
        <w:t>aged</w:t>
      </w:r>
      <w:r>
        <w:rPr>
          <w:color w:val="105C84"/>
          <w:spacing w:val="18"/>
        </w:rPr>
        <w:t> </w:t>
      </w:r>
      <w:r>
        <w:rPr>
          <w:color w:val="105C84"/>
        </w:rPr>
        <w:t>25+</w:t>
      </w:r>
      <w:r>
        <w:rPr>
          <w:color w:val="105C84"/>
          <w:spacing w:val="18"/>
        </w:rPr>
        <w:t> </w:t>
      </w:r>
      <w:r>
        <w:rPr>
          <w:color w:val="105C84"/>
        </w:rPr>
        <w:t>attaining</w:t>
      </w:r>
      <w:r>
        <w:rPr>
          <w:color w:val="105C84"/>
          <w:spacing w:val="18"/>
        </w:rPr>
        <w:t> </w:t>
      </w:r>
      <w:r>
        <w:rPr>
          <w:color w:val="105C84"/>
        </w:rPr>
        <w:t>a</w:t>
      </w:r>
      <w:r>
        <w:rPr>
          <w:color w:val="105C84"/>
          <w:spacing w:val="18"/>
        </w:rPr>
        <w:t> </w:t>
      </w:r>
      <w:r>
        <w:rPr>
          <w:color w:val="105C84"/>
        </w:rPr>
        <w:t>Bachelor’s</w:t>
      </w:r>
      <w:r>
        <w:rPr>
          <w:color w:val="105C84"/>
          <w:spacing w:val="18"/>
        </w:rPr>
        <w:t> </w:t>
      </w:r>
      <w:r>
        <w:rPr>
          <w:color w:val="105C84"/>
        </w:rPr>
        <w:t>degree</w:t>
      </w:r>
      <w:r>
        <w:rPr>
          <w:color w:val="105C84"/>
          <w:spacing w:val="18"/>
        </w:rPr>
        <w:t> </w:t>
      </w:r>
      <w:r>
        <w:rPr>
          <w:color w:val="105C84"/>
        </w:rPr>
        <w:t>or</w:t>
      </w:r>
      <w:r>
        <w:rPr>
          <w:color w:val="105C84"/>
          <w:spacing w:val="18"/>
        </w:rPr>
        <w:t> </w:t>
      </w:r>
      <w:r>
        <w:rPr>
          <w:color w:val="105C84"/>
        </w:rPr>
        <w:t>higher</w:t>
      </w:r>
      <w:r>
        <w:rPr>
          <w:color w:val="105C84"/>
          <w:spacing w:val="18"/>
        </w:rPr>
        <w:t> </w:t>
      </w:r>
      <w:r>
        <w:rPr>
          <w:color w:val="105C84"/>
        </w:rPr>
        <w:t>than</w:t>
      </w:r>
      <w:r>
        <w:rPr>
          <w:color w:val="105C84"/>
          <w:spacing w:val="18"/>
        </w:rPr>
        <w:t> </w:t>
      </w:r>
      <w:r>
        <w:rPr>
          <w:color w:val="105C84"/>
        </w:rPr>
        <w:t>in</w:t>
      </w:r>
      <w:r>
        <w:rPr>
          <w:color w:val="105C84"/>
          <w:spacing w:val="18"/>
        </w:rPr>
        <w:t> </w:t>
      </w:r>
      <w:r>
        <w:rPr>
          <w:color w:val="105C84"/>
        </w:rPr>
        <w:t>years</w:t>
      </w:r>
      <w:r>
        <w:rPr>
          <w:color w:val="105C84"/>
          <w:spacing w:val="18"/>
        </w:rPr>
        <w:t> </w:t>
      </w:r>
      <w:r>
        <w:rPr>
          <w:color w:val="105C84"/>
        </w:rPr>
        <w:t>past</w:t>
      </w:r>
      <w:r>
        <w:rPr>
          <w:color w:val="105C84"/>
          <w:spacing w:val="18"/>
        </w:rPr>
        <w:t> </w:t>
      </w:r>
      <w:r>
        <w:rPr>
          <w:color w:val="105C84"/>
        </w:rPr>
        <w:t>(Figure</w:t>
      </w:r>
      <w:r>
        <w:rPr>
          <w:color w:val="105C84"/>
        </w:rPr>
        <w:t> 24). Additionally, the high school graduation rate is 89% which is higher than the state rate of 80%.</w:t>
      </w:r>
    </w:p>
    <w:p>
      <w:pPr>
        <w:pStyle w:val="BodyText"/>
        <w:spacing w:line="247" w:lineRule="auto"/>
        <w:ind w:left="1094" w:right="597"/>
      </w:pPr>
      <w:r>
        <w:rPr>
          <w:color w:val="105C84"/>
        </w:rPr>
        <w:t>Unfortunately, educational inequity is evident moving east across the county. Graduation rates vary by</w:t>
      </w:r>
      <w:r>
        <w:rPr>
          <w:color w:val="105C84"/>
          <w:spacing w:val="23"/>
        </w:rPr>
        <w:t> </w:t>
      </w:r>
      <w:r>
        <w:rPr>
          <w:color w:val="105C84"/>
        </w:rPr>
        <w:t>community/school</w:t>
      </w:r>
      <w:r>
        <w:rPr>
          <w:color w:val="105C84"/>
          <w:spacing w:val="23"/>
        </w:rPr>
        <w:t> </w:t>
      </w:r>
      <w:r>
        <w:rPr>
          <w:color w:val="105C84"/>
        </w:rPr>
        <w:t>district</w:t>
      </w:r>
      <w:r>
        <w:rPr>
          <w:color w:val="105C84"/>
          <w:spacing w:val="23"/>
        </w:rPr>
        <w:t> </w:t>
      </w:r>
      <w:r>
        <w:rPr>
          <w:color w:val="105C84"/>
        </w:rPr>
        <w:t>with</w:t>
      </w:r>
      <w:r>
        <w:rPr>
          <w:color w:val="105C84"/>
          <w:spacing w:val="23"/>
        </w:rPr>
        <w:t> </w:t>
      </w:r>
      <w:r>
        <w:rPr>
          <w:color w:val="105C84"/>
        </w:rPr>
        <w:t>lowest</w:t>
      </w:r>
      <w:r>
        <w:rPr>
          <w:color w:val="105C84"/>
          <w:spacing w:val="23"/>
        </w:rPr>
        <w:t> </w:t>
      </w:r>
      <w:r>
        <w:rPr>
          <w:color w:val="105C84"/>
        </w:rPr>
        <w:t>rates</w:t>
      </w:r>
      <w:r>
        <w:rPr>
          <w:color w:val="105C84"/>
          <w:spacing w:val="23"/>
        </w:rPr>
        <w:t> </w:t>
      </w:r>
      <w:r>
        <w:rPr>
          <w:color w:val="105C84"/>
        </w:rPr>
        <w:t>among</w:t>
      </w:r>
      <w:r>
        <w:rPr>
          <w:color w:val="105C84"/>
          <w:spacing w:val="23"/>
        </w:rPr>
        <w:t> </w:t>
      </w:r>
      <w:r>
        <w:rPr>
          <w:color w:val="105C84"/>
        </w:rPr>
        <w:t>those</w:t>
      </w:r>
      <w:r>
        <w:rPr>
          <w:color w:val="105C84"/>
          <w:spacing w:val="23"/>
        </w:rPr>
        <w:t> </w:t>
      </w:r>
      <w:r>
        <w:rPr>
          <w:color w:val="105C84"/>
        </w:rPr>
        <w:t>living</w:t>
      </w:r>
      <w:r>
        <w:rPr>
          <w:color w:val="105C84"/>
          <w:spacing w:val="23"/>
        </w:rPr>
        <w:t> </w:t>
      </w:r>
      <w:r>
        <w:rPr>
          <w:color w:val="105C84"/>
        </w:rPr>
        <w:t>in</w:t>
      </w:r>
      <w:r>
        <w:rPr>
          <w:color w:val="105C84"/>
          <w:spacing w:val="23"/>
        </w:rPr>
        <w:t> </w:t>
      </w:r>
      <w:r>
        <w:rPr>
          <w:color w:val="105C84"/>
        </w:rPr>
        <w:t>the</w:t>
      </w:r>
      <w:r>
        <w:rPr>
          <w:color w:val="105C84"/>
          <w:spacing w:val="23"/>
        </w:rPr>
        <w:t> </w:t>
      </w:r>
      <w:r>
        <w:rPr>
          <w:color w:val="105C84"/>
        </w:rPr>
        <w:t>Geneva</w:t>
      </w:r>
      <w:r>
        <w:rPr>
          <w:color w:val="105C84"/>
          <w:spacing w:val="23"/>
        </w:rPr>
        <w:t> </w:t>
      </w:r>
      <w:r>
        <w:rPr>
          <w:color w:val="105C84"/>
        </w:rPr>
        <w:t>area.</w:t>
      </w:r>
      <w:r>
        <w:rPr>
          <w:color w:val="105C84"/>
          <w:spacing w:val="23"/>
        </w:rPr>
        <w:t> </w:t>
      </w:r>
      <w:r>
        <w:rPr>
          <w:color w:val="105C84"/>
        </w:rPr>
        <w:t>In</w:t>
      </w:r>
      <w:r>
        <w:rPr>
          <w:color w:val="105C84"/>
          <w:spacing w:val="23"/>
        </w:rPr>
        <w:t> </w:t>
      </w:r>
      <w:r>
        <w:rPr>
          <w:color w:val="105C84"/>
        </w:rPr>
        <w:t>2018, 78% of economically disadvantaged students graduated while 94% of non-disadvantaged students graduated.</w:t>
      </w:r>
      <w:r>
        <w:rPr>
          <w:color w:val="105C84"/>
          <w:spacing w:val="39"/>
        </w:rPr>
        <w:t> </w:t>
      </w:r>
      <w:r>
        <w:rPr>
          <w:color w:val="105C84"/>
        </w:rPr>
        <w:t>Additionally,</w:t>
      </w:r>
      <w:r>
        <w:rPr>
          <w:color w:val="105C84"/>
          <w:spacing w:val="39"/>
        </w:rPr>
        <w:t> </w:t>
      </w:r>
      <w:r>
        <w:rPr>
          <w:color w:val="105C84"/>
        </w:rPr>
        <w:t>graduation</w:t>
      </w:r>
      <w:r>
        <w:rPr>
          <w:color w:val="105C84"/>
          <w:spacing w:val="39"/>
        </w:rPr>
        <w:t> </w:t>
      </w:r>
      <w:r>
        <w:rPr>
          <w:color w:val="105C84"/>
        </w:rPr>
        <w:t>rates</w:t>
      </w:r>
      <w:r>
        <w:rPr>
          <w:color w:val="105C84"/>
          <w:spacing w:val="39"/>
        </w:rPr>
        <w:t> </w:t>
      </w:r>
      <w:r>
        <w:rPr>
          <w:color w:val="105C84"/>
        </w:rPr>
        <w:t>are</w:t>
      </w:r>
      <w:r>
        <w:rPr>
          <w:color w:val="105C84"/>
          <w:spacing w:val="39"/>
        </w:rPr>
        <w:t> </w:t>
      </w:r>
      <w:r>
        <w:rPr>
          <w:color w:val="105C84"/>
        </w:rPr>
        <w:t>lower</w:t>
      </w:r>
      <w:r>
        <w:rPr>
          <w:color w:val="105C84"/>
          <w:spacing w:val="39"/>
        </w:rPr>
        <w:t> </w:t>
      </w:r>
      <w:r>
        <w:rPr>
          <w:color w:val="105C84"/>
        </w:rPr>
        <w:t>and</w:t>
      </w:r>
      <w:r>
        <w:rPr>
          <w:color w:val="105C84"/>
          <w:spacing w:val="39"/>
        </w:rPr>
        <w:t> </w:t>
      </w:r>
      <w:r>
        <w:rPr>
          <w:color w:val="105C84"/>
        </w:rPr>
        <w:t>drop-out</w:t>
      </w:r>
      <w:r>
        <w:rPr>
          <w:color w:val="105C84"/>
          <w:spacing w:val="39"/>
        </w:rPr>
        <w:t> </w:t>
      </w:r>
      <w:r>
        <w:rPr>
          <w:color w:val="105C84"/>
        </w:rPr>
        <w:t>rates</w:t>
      </w:r>
      <w:r>
        <w:rPr>
          <w:color w:val="105C84"/>
          <w:spacing w:val="39"/>
        </w:rPr>
        <w:t> </w:t>
      </w:r>
      <w:r>
        <w:rPr>
          <w:color w:val="105C84"/>
        </w:rPr>
        <w:t>higher</w:t>
      </w:r>
      <w:r>
        <w:rPr>
          <w:color w:val="105C84"/>
          <w:spacing w:val="39"/>
        </w:rPr>
        <w:t> </w:t>
      </w:r>
      <w:r>
        <w:rPr>
          <w:color w:val="105C84"/>
        </w:rPr>
        <w:t>among</w:t>
      </w:r>
      <w:r>
        <w:rPr>
          <w:color w:val="105C84"/>
          <w:spacing w:val="39"/>
        </w:rPr>
        <w:t> </w:t>
      </w:r>
      <w:r>
        <w:rPr>
          <w:color w:val="105C84"/>
        </w:rPr>
        <w:t>the</w:t>
      </w:r>
      <w:r>
        <w:rPr>
          <w:color w:val="105C84"/>
          <w:spacing w:val="39"/>
        </w:rPr>
        <w:t> </w:t>
      </w:r>
      <w:r>
        <w:rPr>
          <w:color w:val="105C84"/>
        </w:rPr>
        <w:t>Latino/ Hispanic population.</w:t>
      </w:r>
    </w:p>
    <w:p>
      <w:pPr>
        <w:pStyle w:val="BodyText"/>
        <w:spacing w:before="15"/>
      </w:pPr>
    </w:p>
    <w:p>
      <w:pPr>
        <w:pStyle w:val="Heading6"/>
        <w:ind w:left="1094"/>
      </w:pPr>
      <w:r>
        <w:rPr>
          <w:color w:val="105C84"/>
          <w:spacing w:val="-2"/>
        </w:rPr>
        <w:t>FIGURE</w:t>
      </w:r>
      <w:r>
        <w:rPr>
          <w:color w:val="105C84"/>
          <w:spacing w:val="-9"/>
        </w:rPr>
        <w:t> </w:t>
      </w:r>
      <w:r>
        <w:rPr>
          <w:color w:val="105C84"/>
          <w:spacing w:val="-2"/>
        </w:rPr>
        <w:t>24:</w:t>
      </w:r>
      <w:r>
        <w:rPr>
          <w:color w:val="105C84"/>
          <w:spacing w:val="-8"/>
        </w:rPr>
        <w:t> </w:t>
      </w:r>
      <w:r>
        <w:rPr>
          <w:color w:val="105C84"/>
          <w:spacing w:val="-2"/>
        </w:rPr>
        <w:t>Educational</w:t>
      </w:r>
      <w:r>
        <w:rPr>
          <w:color w:val="105C84"/>
          <w:spacing w:val="-9"/>
        </w:rPr>
        <w:t> </w:t>
      </w:r>
      <w:r>
        <w:rPr>
          <w:color w:val="105C84"/>
          <w:spacing w:val="-2"/>
        </w:rPr>
        <w:t>attainment</w:t>
      </w:r>
      <w:r>
        <w:rPr>
          <w:color w:val="105C84"/>
          <w:spacing w:val="-8"/>
        </w:rPr>
        <w:t> </w:t>
      </w:r>
      <w:r>
        <w:rPr>
          <w:color w:val="105C84"/>
          <w:spacing w:val="-2"/>
        </w:rPr>
        <w:t>for</w:t>
      </w:r>
      <w:r>
        <w:rPr>
          <w:color w:val="105C84"/>
          <w:spacing w:val="-9"/>
        </w:rPr>
        <w:t> </w:t>
      </w:r>
      <w:r>
        <w:rPr>
          <w:color w:val="105C84"/>
          <w:spacing w:val="-2"/>
        </w:rPr>
        <w:t>Ontario</w:t>
      </w:r>
      <w:r>
        <w:rPr>
          <w:color w:val="105C84"/>
          <w:spacing w:val="-8"/>
        </w:rPr>
        <w:t> </w:t>
      </w:r>
      <w:r>
        <w:rPr>
          <w:color w:val="105C84"/>
          <w:spacing w:val="-2"/>
        </w:rPr>
        <w:t>County</w:t>
      </w:r>
      <w:r>
        <w:rPr>
          <w:color w:val="105C84"/>
          <w:spacing w:val="-9"/>
        </w:rPr>
        <w:t> </w:t>
      </w:r>
      <w:r>
        <w:rPr>
          <w:color w:val="105C84"/>
          <w:spacing w:val="-2"/>
        </w:rPr>
        <w:t>by</w:t>
      </w:r>
      <w:r>
        <w:rPr>
          <w:color w:val="105C84"/>
          <w:spacing w:val="-8"/>
        </w:rPr>
        <w:t> </w:t>
      </w:r>
      <w:r>
        <w:rPr>
          <w:color w:val="105C84"/>
          <w:spacing w:val="-4"/>
        </w:rPr>
        <w:t>year</w:t>
      </w:r>
    </w:p>
    <w:p>
      <w:pPr>
        <w:spacing w:before="260"/>
        <w:ind w:left="0" w:right="1596" w:firstLine="0"/>
        <w:jc w:val="right"/>
        <w:rPr>
          <w:sz w:val="18"/>
        </w:rPr>
      </w:pPr>
      <w:r>
        <w:rPr>
          <w:sz w:val="18"/>
        </w:rPr>
        <mc:AlternateContent>
          <mc:Choice Requires="wps">
            <w:drawing>
              <wp:anchor distT="0" distB="0" distL="0" distR="0" allowOverlap="1" layoutInCell="1" locked="0" behindDoc="0" simplePos="0" relativeHeight="15811584">
                <wp:simplePos x="0" y="0"/>
                <wp:positionH relativeFrom="page">
                  <wp:posOffset>8487097</wp:posOffset>
                </wp:positionH>
                <wp:positionV relativeFrom="paragraph">
                  <wp:posOffset>361352</wp:posOffset>
                </wp:positionV>
                <wp:extent cx="146050" cy="1473200"/>
                <wp:effectExtent l="0" t="0" r="0" b="0"/>
                <wp:wrapNone/>
                <wp:docPr id="732" name="Textbox 732"/>
                <wp:cNvGraphicFramePr>
                  <a:graphicFrameLocks/>
                </wp:cNvGraphicFramePr>
                <a:graphic>
                  <a:graphicData uri="http://schemas.microsoft.com/office/word/2010/wordprocessingShape">
                    <wps:wsp>
                      <wps:cNvPr id="732" name="Textbox 732"/>
                      <wps:cNvSpPr txBox="1"/>
                      <wps:spPr>
                        <a:xfrm>
                          <a:off x="0" y="0"/>
                          <a:ext cx="146050" cy="1473200"/>
                        </a:xfrm>
                        <a:prstGeom prst="rect">
                          <a:avLst/>
                        </a:prstGeom>
                      </wps:spPr>
                      <wps:txbx>
                        <w:txbxContent>
                          <w:p>
                            <w:pPr>
                              <w:spacing w:before="19"/>
                              <w:ind w:left="20" w:right="0" w:firstLine="0"/>
                              <w:jc w:val="left"/>
                              <w:rPr>
                                <w:sz w:val="16"/>
                              </w:rPr>
                            </w:pPr>
                            <w:r>
                              <w:rPr>
                                <w:color w:val="105C84"/>
                                <w:sz w:val="16"/>
                              </w:rPr>
                              <w:t>Percent</w:t>
                            </w:r>
                            <w:r>
                              <w:rPr>
                                <w:color w:val="105C84"/>
                                <w:spacing w:val="-2"/>
                                <w:sz w:val="16"/>
                              </w:rPr>
                              <w:t> </w:t>
                            </w:r>
                            <w:r>
                              <w:rPr>
                                <w:color w:val="105C84"/>
                                <w:sz w:val="16"/>
                              </w:rPr>
                              <w:t>of</w:t>
                            </w:r>
                            <w:r>
                              <w:rPr>
                                <w:color w:val="105C84"/>
                                <w:spacing w:val="-2"/>
                                <w:sz w:val="16"/>
                              </w:rPr>
                              <w:t> </w:t>
                            </w:r>
                            <w:r>
                              <w:rPr>
                                <w:color w:val="105C84"/>
                                <w:sz w:val="16"/>
                              </w:rPr>
                              <w:t>Population</w:t>
                            </w:r>
                            <w:r>
                              <w:rPr>
                                <w:color w:val="105C84"/>
                                <w:spacing w:val="-2"/>
                                <w:sz w:val="16"/>
                              </w:rPr>
                              <w:t> </w:t>
                            </w:r>
                            <w:r>
                              <w:rPr>
                                <w:color w:val="105C84"/>
                                <w:sz w:val="16"/>
                              </w:rPr>
                              <w:t>25+</w:t>
                            </w:r>
                            <w:r>
                              <w:rPr>
                                <w:color w:val="105C84"/>
                                <w:spacing w:val="-2"/>
                                <w:sz w:val="16"/>
                              </w:rPr>
                              <w:t> </w:t>
                            </w:r>
                            <w:r>
                              <w:rPr>
                                <w:color w:val="105C84"/>
                                <w:spacing w:val="-4"/>
                                <w:sz w:val="16"/>
                              </w:rPr>
                              <w:t>Years</w:t>
                            </w:r>
                          </w:p>
                        </w:txbxContent>
                      </wps:txbx>
                      <wps:bodyPr wrap="square" lIns="0" tIns="0" rIns="0" bIns="0" rtlCol="0" vert="vert270">
                        <a:noAutofit/>
                      </wps:bodyPr>
                    </wps:wsp>
                  </a:graphicData>
                </a:graphic>
              </wp:anchor>
            </w:drawing>
          </mc:Choice>
          <mc:Fallback>
            <w:pict>
              <v:shape style="position:absolute;margin-left:668.275391pt;margin-top:28.452967pt;width:11.5pt;height:116pt;mso-position-horizontal-relative:page;mso-position-vertical-relative:paragraph;z-index:15811584" type="#_x0000_t202" id="docshape620" filled="false" stroked="false">
                <v:textbox inset="0,0,0,0" style="layout-flow:vertical;mso-layout-flow-alt:bottom-to-top">
                  <w:txbxContent>
                    <w:p>
                      <w:pPr>
                        <w:spacing w:before="19"/>
                        <w:ind w:left="20" w:right="0" w:firstLine="0"/>
                        <w:jc w:val="left"/>
                        <w:rPr>
                          <w:sz w:val="16"/>
                        </w:rPr>
                      </w:pPr>
                      <w:r>
                        <w:rPr>
                          <w:color w:val="105C84"/>
                          <w:sz w:val="16"/>
                        </w:rPr>
                        <w:t>Percent</w:t>
                      </w:r>
                      <w:r>
                        <w:rPr>
                          <w:color w:val="105C84"/>
                          <w:spacing w:val="-2"/>
                          <w:sz w:val="16"/>
                        </w:rPr>
                        <w:t> </w:t>
                      </w:r>
                      <w:r>
                        <w:rPr>
                          <w:color w:val="105C84"/>
                          <w:sz w:val="16"/>
                        </w:rPr>
                        <w:t>of</w:t>
                      </w:r>
                      <w:r>
                        <w:rPr>
                          <w:color w:val="105C84"/>
                          <w:spacing w:val="-2"/>
                          <w:sz w:val="16"/>
                        </w:rPr>
                        <w:t> </w:t>
                      </w:r>
                      <w:r>
                        <w:rPr>
                          <w:color w:val="105C84"/>
                          <w:sz w:val="16"/>
                        </w:rPr>
                        <w:t>Population</w:t>
                      </w:r>
                      <w:r>
                        <w:rPr>
                          <w:color w:val="105C84"/>
                          <w:spacing w:val="-2"/>
                          <w:sz w:val="16"/>
                        </w:rPr>
                        <w:t> </w:t>
                      </w:r>
                      <w:r>
                        <w:rPr>
                          <w:color w:val="105C84"/>
                          <w:sz w:val="16"/>
                        </w:rPr>
                        <w:t>25+</w:t>
                      </w:r>
                      <w:r>
                        <w:rPr>
                          <w:color w:val="105C84"/>
                          <w:spacing w:val="-2"/>
                          <w:sz w:val="16"/>
                        </w:rPr>
                        <w:t> </w:t>
                      </w:r>
                      <w:r>
                        <w:rPr>
                          <w:color w:val="105C84"/>
                          <w:spacing w:val="-4"/>
                          <w:sz w:val="16"/>
                        </w:rPr>
                        <w:t>Years</w:t>
                      </w:r>
                    </w:p>
                  </w:txbxContent>
                </v:textbox>
                <w10:wrap type="none"/>
              </v:shape>
            </w:pict>
          </mc:Fallback>
        </mc:AlternateContent>
      </w:r>
      <w:r>
        <w:rPr>
          <w:color w:val="636466"/>
          <w:spacing w:val="-5"/>
          <w:sz w:val="18"/>
        </w:rPr>
        <w:t>36%</w:t>
      </w:r>
    </w:p>
    <w:p>
      <w:pPr>
        <w:pStyle w:val="BodyText"/>
        <w:spacing w:before="7"/>
        <w:rPr>
          <w:sz w:val="4"/>
        </w:rPr>
      </w:pPr>
    </w:p>
    <w:p>
      <w:pPr>
        <w:spacing w:line="240" w:lineRule="auto"/>
        <w:ind w:left="1519" w:right="0" w:firstLine="0"/>
        <w:rPr>
          <w:sz w:val="20"/>
        </w:rPr>
      </w:pPr>
      <w:r>
        <w:rPr>
          <w:sz w:val="20"/>
        </w:rPr>
        <mc:AlternateContent>
          <mc:Choice Requires="wps">
            <w:drawing>
              <wp:inline distT="0" distB="0" distL="0" distR="0">
                <wp:extent cx="5949950" cy="1491615"/>
                <wp:effectExtent l="0" t="0" r="0" b="3809"/>
                <wp:docPr id="733" name="Group 733"/>
                <wp:cNvGraphicFramePr>
                  <a:graphicFrameLocks/>
                </wp:cNvGraphicFramePr>
                <a:graphic>
                  <a:graphicData uri="http://schemas.microsoft.com/office/word/2010/wordprocessingGroup">
                    <wpg:wgp>
                      <wpg:cNvPr id="733" name="Group 733"/>
                      <wpg:cNvGrpSpPr/>
                      <wpg:grpSpPr>
                        <a:xfrm>
                          <a:off x="0" y="0"/>
                          <a:ext cx="5949950" cy="1491615"/>
                          <a:chExt cx="5949950" cy="1491615"/>
                        </a:xfrm>
                      </wpg:grpSpPr>
                      <pic:pic>
                        <pic:nvPicPr>
                          <pic:cNvPr id="734" name="Image 734"/>
                          <pic:cNvPicPr/>
                        </pic:nvPicPr>
                        <pic:blipFill>
                          <a:blip r:embed="rId113" cstate="print"/>
                          <a:stretch>
                            <a:fillRect/>
                          </a:stretch>
                        </pic:blipFill>
                        <pic:spPr>
                          <a:xfrm>
                            <a:off x="2476461" y="210035"/>
                            <a:ext cx="444550" cy="8470"/>
                          </a:xfrm>
                          <a:prstGeom prst="rect">
                            <a:avLst/>
                          </a:prstGeom>
                        </pic:spPr>
                      </pic:pic>
                      <pic:pic>
                        <pic:nvPicPr>
                          <pic:cNvPr id="735" name="Image 735"/>
                          <pic:cNvPicPr/>
                        </pic:nvPicPr>
                        <pic:blipFill>
                          <a:blip r:embed="rId114" cstate="print"/>
                          <a:stretch>
                            <a:fillRect/>
                          </a:stretch>
                        </pic:blipFill>
                        <pic:spPr>
                          <a:xfrm>
                            <a:off x="2476461" y="218493"/>
                            <a:ext cx="444550" cy="101650"/>
                          </a:xfrm>
                          <a:prstGeom prst="rect">
                            <a:avLst/>
                          </a:prstGeom>
                        </pic:spPr>
                      </pic:pic>
                      <pic:pic>
                        <pic:nvPicPr>
                          <pic:cNvPr id="736" name="Image 736"/>
                          <pic:cNvPicPr/>
                        </pic:nvPicPr>
                        <pic:blipFill>
                          <a:blip r:embed="rId114" cstate="print"/>
                          <a:stretch>
                            <a:fillRect/>
                          </a:stretch>
                        </pic:blipFill>
                        <pic:spPr>
                          <a:xfrm>
                            <a:off x="2476461" y="320093"/>
                            <a:ext cx="444550" cy="101587"/>
                          </a:xfrm>
                          <a:prstGeom prst="rect">
                            <a:avLst/>
                          </a:prstGeom>
                        </pic:spPr>
                      </pic:pic>
                      <pic:pic>
                        <pic:nvPicPr>
                          <pic:cNvPr id="737" name="Image 737"/>
                          <pic:cNvPicPr/>
                        </pic:nvPicPr>
                        <pic:blipFill>
                          <a:blip r:embed="rId115" cstate="print"/>
                          <a:stretch>
                            <a:fillRect/>
                          </a:stretch>
                        </pic:blipFill>
                        <pic:spPr>
                          <a:xfrm>
                            <a:off x="4457687" y="348249"/>
                            <a:ext cx="444474" cy="175107"/>
                          </a:xfrm>
                          <a:prstGeom prst="rect">
                            <a:avLst/>
                          </a:prstGeom>
                        </pic:spPr>
                      </pic:pic>
                      <pic:pic>
                        <pic:nvPicPr>
                          <pic:cNvPr id="738" name="Image 738"/>
                          <pic:cNvPicPr/>
                        </pic:nvPicPr>
                        <pic:blipFill>
                          <a:blip r:embed="rId114" cstate="print"/>
                          <a:stretch>
                            <a:fillRect/>
                          </a:stretch>
                        </pic:blipFill>
                        <pic:spPr>
                          <a:xfrm>
                            <a:off x="2476461" y="421680"/>
                            <a:ext cx="444550" cy="101676"/>
                          </a:xfrm>
                          <a:prstGeom prst="rect">
                            <a:avLst/>
                          </a:prstGeom>
                        </pic:spPr>
                      </pic:pic>
                      <pic:pic>
                        <pic:nvPicPr>
                          <pic:cNvPr id="739" name="Image 739"/>
                          <pic:cNvPicPr/>
                        </pic:nvPicPr>
                        <pic:blipFill>
                          <a:blip r:embed="rId116" cstate="print"/>
                          <a:stretch>
                            <a:fillRect/>
                          </a:stretch>
                        </pic:blipFill>
                        <pic:spPr>
                          <a:xfrm>
                            <a:off x="4457687" y="421680"/>
                            <a:ext cx="444474" cy="203238"/>
                          </a:xfrm>
                          <a:prstGeom prst="rect">
                            <a:avLst/>
                          </a:prstGeom>
                        </pic:spPr>
                      </pic:pic>
                      <pic:pic>
                        <pic:nvPicPr>
                          <pic:cNvPr id="740" name="Image 740"/>
                          <pic:cNvPicPr/>
                        </pic:nvPicPr>
                        <pic:blipFill>
                          <a:blip r:embed="rId114" cstate="print"/>
                          <a:stretch>
                            <a:fillRect/>
                          </a:stretch>
                        </pic:blipFill>
                        <pic:spPr>
                          <a:xfrm>
                            <a:off x="2476461" y="523344"/>
                            <a:ext cx="444550" cy="101574"/>
                          </a:xfrm>
                          <a:prstGeom prst="rect">
                            <a:avLst/>
                          </a:prstGeom>
                        </pic:spPr>
                      </pic:pic>
                      <pic:pic>
                        <pic:nvPicPr>
                          <pic:cNvPr id="741" name="Image 741"/>
                          <pic:cNvPicPr/>
                        </pic:nvPicPr>
                        <pic:blipFill>
                          <a:blip r:embed="rId117" cstate="print"/>
                          <a:stretch>
                            <a:fillRect/>
                          </a:stretch>
                        </pic:blipFill>
                        <pic:spPr>
                          <a:xfrm>
                            <a:off x="4457687" y="523344"/>
                            <a:ext cx="444474" cy="203174"/>
                          </a:xfrm>
                          <a:prstGeom prst="rect">
                            <a:avLst/>
                          </a:prstGeom>
                        </pic:spPr>
                      </pic:pic>
                      <pic:pic>
                        <pic:nvPicPr>
                          <pic:cNvPr id="742" name="Image 742"/>
                          <pic:cNvPicPr/>
                        </pic:nvPicPr>
                        <pic:blipFill>
                          <a:blip r:embed="rId114" cstate="print"/>
                          <a:stretch>
                            <a:fillRect/>
                          </a:stretch>
                        </pic:blipFill>
                        <pic:spPr>
                          <a:xfrm>
                            <a:off x="2476461" y="624918"/>
                            <a:ext cx="444550" cy="101600"/>
                          </a:xfrm>
                          <a:prstGeom prst="rect">
                            <a:avLst/>
                          </a:prstGeom>
                        </pic:spPr>
                      </pic:pic>
                      <pic:pic>
                        <pic:nvPicPr>
                          <pic:cNvPr id="743" name="Image 743"/>
                          <pic:cNvPicPr/>
                        </pic:nvPicPr>
                        <pic:blipFill>
                          <a:blip r:embed="rId117" cstate="print"/>
                          <a:stretch>
                            <a:fillRect/>
                          </a:stretch>
                        </pic:blipFill>
                        <pic:spPr>
                          <a:xfrm>
                            <a:off x="4457687" y="624931"/>
                            <a:ext cx="444474" cy="203161"/>
                          </a:xfrm>
                          <a:prstGeom prst="rect">
                            <a:avLst/>
                          </a:prstGeom>
                        </pic:spPr>
                      </pic:pic>
                      <pic:pic>
                        <pic:nvPicPr>
                          <pic:cNvPr id="744" name="Image 744"/>
                          <pic:cNvPicPr/>
                        </pic:nvPicPr>
                        <pic:blipFill>
                          <a:blip r:embed="rId114" cstate="print"/>
                          <a:stretch>
                            <a:fillRect/>
                          </a:stretch>
                        </pic:blipFill>
                        <pic:spPr>
                          <a:xfrm>
                            <a:off x="2476461" y="726506"/>
                            <a:ext cx="444550" cy="101600"/>
                          </a:xfrm>
                          <a:prstGeom prst="rect">
                            <a:avLst/>
                          </a:prstGeom>
                        </pic:spPr>
                      </pic:pic>
                      <pic:pic>
                        <pic:nvPicPr>
                          <pic:cNvPr id="745" name="Image 745"/>
                          <pic:cNvPicPr/>
                        </pic:nvPicPr>
                        <pic:blipFill>
                          <a:blip r:embed="rId118" cstate="print"/>
                          <a:stretch>
                            <a:fillRect/>
                          </a:stretch>
                        </pic:blipFill>
                        <pic:spPr>
                          <a:xfrm>
                            <a:off x="4457687" y="726518"/>
                            <a:ext cx="444474" cy="203161"/>
                          </a:xfrm>
                          <a:prstGeom prst="rect">
                            <a:avLst/>
                          </a:prstGeom>
                        </pic:spPr>
                      </pic:pic>
                      <pic:pic>
                        <pic:nvPicPr>
                          <pic:cNvPr id="746" name="Image 746"/>
                          <pic:cNvPicPr/>
                        </pic:nvPicPr>
                        <pic:blipFill>
                          <a:blip r:embed="rId114" cstate="print"/>
                          <a:stretch>
                            <a:fillRect/>
                          </a:stretch>
                        </pic:blipFill>
                        <pic:spPr>
                          <a:xfrm>
                            <a:off x="2476461" y="828118"/>
                            <a:ext cx="444550" cy="101561"/>
                          </a:xfrm>
                          <a:prstGeom prst="rect">
                            <a:avLst/>
                          </a:prstGeom>
                        </pic:spPr>
                      </pic:pic>
                      <pic:pic>
                        <pic:nvPicPr>
                          <pic:cNvPr id="747" name="Image 747"/>
                          <pic:cNvPicPr/>
                        </pic:nvPicPr>
                        <pic:blipFill>
                          <a:blip r:embed="rId119" cstate="print"/>
                          <a:stretch>
                            <a:fillRect/>
                          </a:stretch>
                        </pic:blipFill>
                        <pic:spPr>
                          <a:xfrm>
                            <a:off x="598055" y="919749"/>
                            <a:ext cx="341744" cy="111518"/>
                          </a:xfrm>
                          <a:prstGeom prst="rect">
                            <a:avLst/>
                          </a:prstGeom>
                        </pic:spPr>
                      </pic:pic>
                      <pic:pic>
                        <pic:nvPicPr>
                          <pic:cNvPr id="748" name="Image 748"/>
                          <pic:cNvPicPr/>
                        </pic:nvPicPr>
                        <pic:blipFill>
                          <a:blip r:embed="rId117" cstate="print"/>
                          <a:stretch>
                            <a:fillRect/>
                          </a:stretch>
                        </pic:blipFill>
                        <pic:spPr>
                          <a:xfrm>
                            <a:off x="4457687" y="828118"/>
                            <a:ext cx="444474" cy="203149"/>
                          </a:xfrm>
                          <a:prstGeom prst="rect">
                            <a:avLst/>
                          </a:prstGeom>
                        </pic:spPr>
                      </pic:pic>
                      <pic:pic>
                        <pic:nvPicPr>
                          <pic:cNvPr id="749" name="Image 749"/>
                          <pic:cNvPicPr/>
                        </pic:nvPicPr>
                        <pic:blipFill>
                          <a:blip r:embed="rId120" cstate="print"/>
                          <a:stretch>
                            <a:fillRect/>
                          </a:stretch>
                        </pic:blipFill>
                        <pic:spPr>
                          <a:xfrm>
                            <a:off x="598093" y="929680"/>
                            <a:ext cx="341706" cy="203263"/>
                          </a:xfrm>
                          <a:prstGeom prst="rect">
                            <a:avLst/>
                          </a:prstGeom>
                        </pic:spPr>
                      </pic:pic>
                      <pic:pic>
                        <pic:nvPicPr>
                          <pic:cNvPr id="750" name="Image 750"/>
                          <pic:cNvPicPr/>
                        </pic:nvPicPr>
                        <pic:blipFill>
                          <a:blip r:embed="rId114" cstate="print"/>
                          <a:stretch>
                            <a:fillRect/>
                          </a:stretch>
                        </pic:blipFill>
                        <pic:spPr>
                          <a:xfrm>
                            <a:off x="2476461" y="929680"/>
                            <a:ext cx="444550" cy="101587"/>
                          </a:xfrm>
                          <a:prstGeom prst="rect">
                            <a:avLst/>
                          </a:prstGeom>
                        </pic:spPr>
                      </pic:pic>
                      <pic:pic>
                        <pic:nvPicPr>
                          <pic:cNvPr id="751" name="Image 751"/>
                          <pic:cNvPicPr/>
                        </pic:nvPicPr>
                        <pic:blipFill>
                          <a:blip r:embed="rId121" cstate="print"/>
                          <a:stretch>
                            <a:fillRect/>
                          </a:stretch>
                        </pic:blipFill>
                        <pic:spPr>
                          <a:xfrm>
                            <a:off x="4457687" y="929680"/>
                            <a:ext cx="444474" cy="203263"/>
                          </a:xfrm>
                          <a:prstGeom prst="rect">
                            <a:avLst/>
                          </a:prstGeom>
                        </pic:spPr>
                      </pic:pic>
                      <pic:pic>
                        <pic:nvPicPr>
                          <pic:cNvPr id="752" name="Image 752"/>
                          <pic:cNvPicPr/>
                        </pic:nvPicPr>
                        <pic:blipFill>
                          <a:blip r:embed="rId122" cstate="print"/>
                          <a:stretch>
                            <a:fillRect/>
                          </a:stretch>
                        </pic:blipFill>
                        <pic:spPr>
                          <a:xfrm>
                            <a:off x="598093" y="1031267"/>
                            <a:ext cx="341706" cy="203276"/>
                          </a:xfrm>
                          <a:prstGeom prst="rect">
                            <a:avLst/>
                          </a:prstGeom>
                        </pic:spPr>
                      </pic:pic>
                      <pic:pic>
                        <pic:nvPicPr>
                          <pic:cNvPr id="753" name="Image 753"/>
                          <pic:cNvPicPr/>
                        </pic:nvPicPr>
                        <pic:blipFill>
                          <a:blip r:embed="rId123" cstate="print"/>
                          <a:stretch>
                            <a:fillRect/>
                          </a:stretch>
                        </pic:blipFill>
                        <pic:spPr>
                          <a:xfrm>
                            <a:off x="2476461" y="1031267"/>
                            <a:ext cx="444550" cy="101676"/>
                          </a:xfrm>
                          <a:prstGeom prst="rect">
                            <a:avLst/>
                          </a:prstGeom>
                        </pic:spPr>
                      </pic:pic>
                      <pic:pic>
                        <pic:nvPicPr>
                          <pic:cNvPr id="754" name="Image 754"/>
                          <pic:cNvPicPr/>
                        </pic:nvPicPr>
                        <pic:blipFill>
                          <a:blip r:embed="rId124" cstate="print"/>
                          <a:stretch>
                            <a:fillRect/>
                          </a:stretch>
                        </pic:blipFill>
                        <pic:spPr>
                          <a:xfrm>
                            <a:off x="4457687" y="1031267"/>
                            <a:ext cx="444474" cy="203276"/>
                          </a:xfrm>
                          <a:prstGeom prst="rect">
                            <a:avLst/>
                          </a:prstGeom>
                        </pic:spPr>
                      </pic:pic>
                      <pic:pic>
                        <pic:nvPicPr>
                          <pic:cNvPr id="755" name="Image 755"/>
                          <pic:cNvPicPr/>
                        </pic:nvPicPr>
                        <pic:blipFill>
                          <a:blip r:embed="rId125" cstate="print"/>
                          <a:stretch>
                            <a:fillRect/>
                          </a:stretch>
                        </pic:blipFill>
                        <pic:spPr>
                          <a:xfrm>
                            <a:off x="598093" y="1132893"/>
                            <a:ext cx="341706" cy="203212"/>
                          </a:xfrm>
                          <a:prstGeom prst="rect">
                            <a:avLst/>
                          </a:prstGeom>
                        </pic:spPr>
                      </pic:pic>
                      <pic:pic>
                        <pic:nvPicPr>
                          <pic:cNvPr id="756" name="Image 756"/>
                          <pic:cNvPicPr/>
                        </pic:nvPicPr>
                        <pic:blipFill>
                          <a:blip r:embed="rId114" cstate="print"/>
                          <a:stretch>
                            <a:fillRect/>
                          </a:stretch>
                        </pic:blipFill>
                        <pic:spPr>
                          <a:xfrm>
                            <a:off x="2476461" y="1132893"/>
                            <a:ext cx="444550" cy="101663"/>
                          </a:xfrm>
                          <a:prstGeom prst="rect">
                            <a:avLst/>
                          </a:prstGeom>
                        </pic:spPr>
                      </pic:pic>
                      <pic:pic>
                        <pic:nvPicPr>
                          <pic:cNvPr id="757" name="Image 757"/>
                          <pic:cNvPicPr/>
                        </pic:nvPicPr>
                        <pic:blipFill>
                          <a:blip r:embed="rId116" cstate="print"/>
                          <a:stretch>
                            <a:fillRect/>
                          </a:stretch>
                        </pic:blipFill>
                        <pic:spPr>
                          <a:xfrm>
                            <a:off x="4457687" y="1132893"/>
                            <a:ext cx="444474" cy="203212"/>
                          </a:xfrm>
                          <a:prstGeom prst="rect">
                            <a:avLst/>
                          </a:prstGeom>
                        </pic:spPr>
                      </pic:pic>
                      <pic:pic>
                        <pic:nvPicPr>
                          <pic:cNvPr id="758" name="Image 758"/>
                          <pic:cNvPicPr/>
                        </pic:nvPicPr>
                        <pic:blipFill>
                          <a:blip r:embed="rId126" cstate="print"/>
                          <a:stretch>
                            <a:fillRect/>
                          </a:stretch>
                        </pic:blipFill>
                        <pic:spPr>
                          <a:xfrm>
                            <a:off x="598093" y="1234518"/>
                            <a:ext cx="341706" cy="203174"/>
                          </a:xfrm>
                          <a:prstGeom prst="rect">
                            <a:avLst/>
                          </a:prstGeom>
                        </pic:spPr>
                      </pic:pic>
                      <pic:pic>
                        <pic:nvPicPr>
                          <pic:cNvPr id="759" name="Image 759"/>
                          <pic:cNvPicPr/>
                        </pic:nvPicPr>
                        <pic:blipFill>
                          <a:blip r:embed="rId114" cstate="print"/>
                          <a:stretch>
                            <a:fillRect/>
                          </a:stretch>
                        </pic:blipFill>
                        <pic:spPr>
                          <a:xfrm>
                            <a:off x="2476461" y="1234518"/>
                            <a:ext cx="444550" cy="101587"/>
                          </a:xfrm>
                          <a:prstGeom prst="rect">
                            <a:avLst/>
                          </a:prstGeom>
                        </pic:spPr>
                      </pic:pic>
                      <pic:pic>
                        <pic:nvPicPr>
                          <pic:cNvPr id="760" name="Image 760"/>
                          <pic:cNvPicPr/>
                        </pic:nvPicPr>
                        <pic:blipFill>
                          <a:blip r:embed="rId117" cstate="print"/>
                          <a:stretch>
                            <a:fillRect/>
                          </a:stretch>
                        </pic:blipFill>
                        <pic:spPr>
                          <a:xfrm>
                            <a:off x="4457687" y="1234518"/>
                            <a:ext cx="444474" cy="203174"/>
                          </a:xfrm>
                          <a:prstGeom prst="rect">
                            <a:avLst/>
                          </a:prstGeom>
                        </pic:spPr>
                      </pic:pic>
                      <pic:pic>
                        <pic:nvPicPr>
                          <pic:cNvPr id="761" name="Image 761"/>
                          <pic:cNvPicPr/>
                        </pic:nvPicPr>
                        <pic:blipFill>
                          <a:blip r:embed="rId127" cstate="print"/>
                          <a:stretch>
                            <a:fillRect/>
                          </a:stretch>
                        </pic:blipFill>
                        <pic:spPr>
                          <a:xfrm>
                            <a:off x="598055" y="1336106"/>
                            <a:ext cx="341744" cy="155155"/>
                          </a:xfrm>
                          <a:prstGeom prst="rect">
                            <a:avLst/>
                          </a:prstGeom>
                        </pic:spPr>
                      </pic:pic>
                      <pic:pic>
                        <pic:nvPicPr>
                          <pic:cNvPr id="762" name="Image 762"/>
                          <pic:cNvPicPr/>
                        </pic:nvPicPr>
                        <pic:blipFill>
                          <a:blip r:embed="rId128" cstate="print"/>
                          <a:stretch>
                            <a:fillRect/>
                          </a:stretch>
                        </pic:blipFill>
                        <pic:spPr>
                          <a:xfrm>
                            <a:off x="2476461" y="1336106"/>
                            <a:ext cx="444550" cy="155155"/>
                          </a:xfrm>
                          <a:prstGeom prst="rect">
                            <a:avLst/>
                          </a:prstGeom>
                        </pic:spPr>
                      </pic:pic>
                      <pic:pic>
                        <pic:nvPicPr>
                          <pic:cNvPr id="763" name="Image 763"/>
                          <pic:cNvPicPr/>
                        </pic:nvPicPr>
                        <pic:blipFill>
                          <a:blip r:embed="rId129" cstate="print"/>
                          <a:stretch>
                            <a:fillRect/>
                          </a:stretch>
                        </pic:blipFill>
                        <pic:spPr>
                          <a:xfrm>
                            <a:off x="4457687" y="1336106"/>
                            <a:ext cx="444474" cy="155155"/>
                          </a:xfrm>
                          <a:prstGeom prst="rect">
                            <a:avLst/>
                          </a:prstGeom>
                        </pic:spPr>
                      </pic:pic>
                      <wps:wsp>
                        <wps:cNvPr id="764" name="Graphic 764"/>
                        <wps:cNvSpPr/>
                        <wps:spPr>
                          <a:xfrm>
                            <a:off x="1054100" y="18048"/>
                            <a:ext cx="4406900" cy="1473200"/>
                          </a:xfrm>
                          <a:custGeom>
                            <a:avLst/>
                            <a:gdLst/>
                            <a:ahLst/>
                            <a:cxnLst/>
                            <a:rect l="l" t="t" r="r" b="b"/>
                            <a:pathLst>
                              <a:path w="4406900" h="1473200">
                                <a:moveTo>
                                  <a:pt x="444500" y="952500"/>
                                </a:moveTo>
                                <a:lnTo>
                                  <a:pt x="0" y="952500"/>
                                </a:lnTo>
                                <a:lnTo>
                                  <a:pt x="0" y="1473200"/>
                                </a:lnTo>
                                <a:lnTo>
                                  <a:pt x="444500" y="1473200"/>
                                </a:lnTo>
                                <a:lnTo>
                                  <a:pt x="444500" y="952500"/>
                                </a:lnTo>
                                <a:close/>
                              </a:path>
                              <a:path w="4406900" h="1473200">
                                <a:moveTo>
                                  <a:pt x="2425700" y="393700"/>
                                </a:moveTo>
                                <a:lnTo>
                                  <a:pt x="1981200" y="393700"/>
                                </a:lnTo>
                                <a:lnTo>
                                  <a:pt x="1981200" y="1473200"/>
                                </a:lnTo>
                                <a:lnTo>
                                  <a:pt x="2425700" y="1473200"/>
                                </a:lnTo>
                                <a:lnTo>
                                  <a:pt x="2425700" y="393700"/>
                                </a:lnTo>
                                <a:close/>
                              </a:path>
                              <a:path w="4406900" h="1473200">
                                <a:moveTo>
                                  <a:pt x="4406900" y="0"/>
                                </a:moveTo>
                                <a:lnTo>
                                  <a:pt x="3962400" y="0"/>
                                </a:lnTo>
                                <a:lnTo>
                                  <a:pt x="3962400" y="1473200"/>
                                </a:lnTo>
                                <a:lnTo>
                                  <a:pt x="4406900" y="1473200"/>
                                </a:lnTo>
                                <a:lnTo>
                                  <a:pt x="4406900" y="0"/>
                                </a:lnTo>
                                <a:close/>
                              </a:path>
                            </a:pathLst>
                          </a:custGeom>
                          <a:solidFill>
                            <a:srgbClr val="0F5D86"/>
                          </a:solidFill>
                        </wps:spPr>
                        <wps:bodyPr wrap="square" lIns="0" tIns="0" rIns="0" bIns="0" rtlCol="0">
                          <a:prstTxWarp prst="textNoShape">
                            <a:avLst/>
                          </a:prstTxWarp>
                          <a:noAutofit/>
                        </wps:bodyPr>
                      </wps:wsp>
                      <wps:wsp>
                        <wps:cNvPr id="765" name="Graphic 765"/>
                        <wps:cNvSpPr/>
                        <wps:spPr>
                          <a:xfrm>
                            <a:off x="0" y="60286"/>
                            <a:ext cx="5949950" cy="1431290"/>
                          </a:xfrm>
                          <a:custGeom>
                            <a:avLst/>
                            <a:gdLst/>
                            <a:ahLst/>
                            <a:cxnLst/>
                            <a:rect l="l" t="t" r="r" b="b"/>
                            <a:pathLst>
                              <a:path w="5949950" h="1431290">
                                <a:moveTo>
                                  <a:pt x="12700" y="0"/>
                                </a:moveTo>
                                <a:lnTo>
                                  <a:pt x="0" y="0"/>
                                </a:lnTo>
                                <a:lnTo>
                                  <a:pt x="0" y="1428127"/>
                                </a:lnTo>
                                <a:lnTo>
                                  <a:pt x="2844" y="1430959"/>
                                </a:lnTo>
                                <a:lnTo>
                                  <a:pt x="5949950" y="1430972"/>
                                </a:lnTo>
                                <a:lnTo>
                                  <a:pt x="5949950" y="1418272"/>
                                </a:lnTo>
                                <a:lnTo>
                                  <a:pt x="12700" y="1418259"/>
                                </a:lnTo>
                                <a:lnTo>
                                  <a:pt x="12700" y="0"/>
                                </a:lnTo>
                                <a:close/>
                              </a:path>
                            </a:pathLst>
                          </a:custGeom>
                          <a:solidFill>
                            <a:srgbClr val="BCBEC0"/>
                          </a:solidFill>
                        </wps:spPr>
                        <wps:bodyPr wrap="square" lIns="0" tIns="0" rIns="0" bIns="0" rtlCol="0">
                          <a:prstTxWarp prst="textNoShape">
                            <a:avLst/>
                          </a:prstTxWarp>
                          <a:noAutofit/>
                        </wps:bodyPr>
                      </wps:wsp>
                      <pic:pic>
                        <pic:nvPicPr>
                          <pic:cNvPr id="766" name="Image 766"/>
                          <pic:cNvPicPr/>
                        </pic:nvPicPr>
                        <pic:blipFill>
                          <a:blip r:embed="rId130" cstate="print"/>
                          <a:stretch>
                            <a:fillRect/>
                          </a:stretch>
                        </pic:blipFill>
                        <pic:spPr>
                          <a:xfrm>
                            <a:off x="545503" y="80965"/>
                            <a:ext cx="50800" cy="63500"/>
                          </a:xfrm>
                          <a:prstGeom prst="rect">
                            <a:avLst/>
                          </a:prstGeom>
                        </pic:spPr>
                      </pic:pic>
                      <wps:wsp>
                        <wps:cNvPr id="767" name="Graphic 767"/>
                        <wps:cNvSpPr/>
                        <wps:spPr>
                          <a:xfrm>
                            <a:off x="1015403" y="80965"/>
                            <a:ext cx="63500" cy="63500"/>
                          </a:xfrm>
                          <a:custGeom>
                            <a:avLst/>
                            <a:gdLst/>
                            <a:ahLst/>
                            <a:cxnLst/>
                            <a:rect l="l" t="t" r="r" b="b"/>
                            <a:pathLst>
                              <a:path w="63500" h="63500">
                                <a:moveTo>
                                  <a:pt x="63500" y="0"/>
                                </a:moveTo>
                                <a:lnTo>
                                  <a:pt x="0" y="0"/>
                                </a:lnTo>
                                <a:lnTo>
                                  <a:pt x="0" y="63500"/>
                                </a:lnTo>
                                <a:lnTo>
                                  <a:pt x="63500" y="63500"/>
                                </a:lnTo>
                                <a:lnTo>
                                  <a:pt x="63500" y="0"/>
                                </a:lnTo>
                                <a:close/>
                              </a:path>
                            </a:pathLst>
                          </a:custGeom>
                          <a:solidFill>
                            <a:srgbClr val="0F5D86"/>
                          </a:solidFill>
                        </wps:spPr>
                        <wps:bodyPr wrap="square" lIns="0" tIns="0" rIns="0" bIns="0" rtlCol="0">
                          <a:prstTxWarp prst="textNoShape">
                            <a:avLst/>
                          </a:prstTxWarp>
                          <a:noAutofit/>
                        </wps:bodyPr>
                      </wps:wsp>
                      <wps:wsp>
                        <wps:cNvPr id="768" name="Textbox 768"/>
                        <wps:cNvSpPr txBox="1"/>
                        <wps:spPr>
                          <a:xfrm>
                            <a:off x="628225" y="37477"/>
                            <a:ext cx="250825" cy="135890"/>
                          </a:xfrm>
                          <a:prstGeom prst="rect">
                            <a:avLst/>
                          </a:prstGeom>
                        </wps:spPr>
                        <wps:txbx>
                          <w:txbxContent>
                            <w:p>
                              <w:pPr>
                                <w:spacing w:line="207" w:lineRule="exact" w:before="0"/>
                                <w:ind w:left="0" w:right="0" w:firstLine="0"/>
                                <w:jc w:val="left"/>
                                <w:rPr>
                                  <w:sz w:val="18"/>
                                </w:rPr>
                              </w:pPr>
                              <w:r>
                                <w:rPr>
                                  <w:color w:val="636466"/>
                                  <w:spacing w:val="-5"/>
                                  <w:sz w:val="18"/>
                                </w:rPr>
                                <w:t>2012</w:t>
                              </w:r>
                            </w:p>
                          </w:txbxContent>
                        </wps:txbx>
                        <wps:bodyPr wrap="square" lIns="0" tIns="0" rIns="0" bIns="0" rtlCol="0">
                          <a:noAutofit/>
                        </wps:bodyPr>
                      </wps:wsp>
                      <wps:wsp>
                        <wps:cNvPr id="769" name="Textbox 769"/>
                        <wps:cNvSpPr txBox="1"/>
                        <wps:spPr>
                          <a:xfrm>
                            <a:off x="1099259" y="37477"/>
                            <a:ext cx="250825" cy="135890"/>
                          </a:xfrm>
                          <a:prstGeom prst="rect">
                            <a:avLst/>
                          </a:prstGeom>
                        </wps:spPr>
                        <wps:txbx>
                          <w:txbxContent>
                            <w:p>
                              <w:pPr>
                                <w:spacing w:line="207" w:lineRule="exact" w:before="0"/>
                                <w:ind w:left="0" w:right="0" w:firstLine="0"/>
                                <w:jc w:val="left"/>
                                <w:rPr>
                                  <w:sz w:val="18"/>
                                </w:rPr>
                              </w:pPr>
                              <w:r>
                                <w:rPr>
                                  <w:color w:val="636466"/>
                                  <w:spacing w:val="-5"/>
                                  <w:sz w:val="18"/>
                                </w:rPr>
                                <w:t>2017</w:t>
                              </w:r>
                            </w:p>
                          </w:txbxContent>
                        </wps:txbx>
                        <wps:bodyPr wrap="square" lIns="0" tIns="0" rIns="0" bIns="0" rtlCol="0">
                          <a:noAutofit/>
                        </wps:bodyPr>
                      </wps:wsp>
                      <wps:wsp>
                        <wps:cNvPr id="770" name="Textbox 770"/>
                        <wps:cNvSpPr txBox="1"/>
                        <wps:spPr>
                          <a:xfrm>
                            <a:off x="2613761" y="0"/>
                            <a:ext cx="224790" cy="135890"/>
                          </a:xfrm>
                          <a:prstGeom prst="rect">
                            <a:avLst/>
                          </a:prstGeom>
                        </wps:spPr>
                        <wps:txbx>
                          <w:txbxContent>
                            <w:p>
                              <w:pPr>
                                <w:spacing w:line="207" w:lineRule="exact" w:before="0"/>
                                <w:ind w:left="0" w:right="0" w:firstLine="0"/>
                                <w:jc w:val="left"/>
                                <w:rPr>
                                  <w:sz w:val="18"/>
                                </w:rPr>
                              </w:pPr>
                              <w:r>
                                <w:rPr>
                                  <w:color w:val="636466"/>
                                  <w:spacing w:val="-7"/>
                                  <w:sz w:val="18"/>
                                </w:rPr>
                                <w:t>35%</w:t>
                              </w:r>
                            </w:p>
                          </w:txbxContent>
                        </wps:txbx>
                        <wps:bodyPr wrap="square" lIns="0" tIns="0" rIns="0" bIns="0" rtlCol="0">
                          <a:noAutofit/>
                        </wps:bodyPr>
                      </wps:wsp>
                      <wps:wsp>
                        <wps:cNvPr id="771" name="Textbox 771"/>
                        <wps:cNvSpPr txBox="1"/>
                        <wps:spPr>
                          <a:xfrm>
                            <a:off x="3152114" y="215912"/>
                            <a:ext cx="224790" cy="135890"/>
                          </a:xfrm>
                          <a:prstGeom prst="rect">
                            <a:avLst/>
                          </a:prstGeom>
                        </wps:spPr>
                        <wps:txbx>
                          <w:txbxContent>
                            <w:p>
                              <w:pPr>
                                <w:spacing w:line="207" w:lineRule="exact" w:before="0"/>
                                <w:ind w:left="0" w:right="0" w:firstLine="0"/>
                                <w:jc w:val="left"/>
                                <w:rPr>
                                  <w:sz w:val="18"/>
                                </w:rPr>
                              </w:pPr>
                              <w:r>
                                <w:rPr>
                                  <w:color w:val="636466"/>
                                  <w:spacing w:val="-7"/>
                                  <w:sz w:val="18"/>
                                </w:rPr>
                                <w:t>34%</w:t>
                              </w:r>
                            </w:p>
                          </w:txbxContent>
                        </wps:txbx>
                        <wps:bodyPr wrap="square" lIns="0" tIns="0" rIns="0" bIns="0" rtlCol="0">
                          <a:noAutofit/>
                        </wps:bodyPr>
                      </wps:wsp>
                      <wps:wsp>
                        <wps:cNvPr id="772" name="Textbox 772"/>
                        <wps:cNvSpPr txBox="1"/>
                        <wps:spPr>
                          <a:xfrm>
                            <a:off x="4568177" y="152361"/>
                            <a:ext cx="224790" cy="135890"/>
                          </a:xfrm>
                          <a:prstGeom prst="rect">
                            <a:avLst/>
                          </a:prstGeom>
                        </wps:spPr>
                        <wps:txbx>
                          <w:txbxContent>
                            <w:p>
                              <w:pPr>
                                <w:spacing w:line="207" w:lineRule="exact" w:before="0"/>
                                <w:ind w:left="0" w:right="0" w:firstLine="0"/>
                                <w:jc w:val="left"/>
                                <w:rPr>
                                  <w:sz w:val="18"/>
                                </w:rPr>
                              </w:pPr>
                              <w:r>
                                <w:rPr>
                                  <w:color w:val="636466"/>
                                  <w:spacing w:val="-7"/>
                                  <w:sz w:val="18"/>
                                </w:rPr>
                                <w:t>34%</w:t>
                              </w:r>
                            </w:p>
                          </w:txbxContent>
                        </wps:txbx>
                        <wps:bodyPr wrap="square" lIns="0" tIns="0" rIns="0" bIns="0" rtlCol="0">
                          <a:noAutofit/>
                        </wps:bodyPr>
                      </wps:wsp>
                      <wps:wsp>
                        <wps:cNvPr id="773" name="Textbox 773"/>
                        <wps:cNvSpPr txBox="1"/>
                        <wps:spPr>
                          <a:xfrm>
                            <a:off x="659345" y="723861"/>
                            <a:ext cx="224790" cy="135890"/>
                          </a:xfrm>
                          <a:prstGeom prst="rect">
                            <a:avLst/>
                          </a:prstGeom>
                        </wps:spPr>
                        <wps:txbx>
                          <w:txbxContent>
                            <w:p>
                              <w:pPr>
                                <w:spacing w:line="207" w:lineRule="exact" w:before="0"/>
                                <w:ind w:left="0" w:right="0" w:firstLine="0"/>
                                <w:jc w:val="left"/>
                                <w:rPr>
                                  <w:sz w:val="18"/>
                                </w:rPr>
                              </w:pPr>
                              <w:r>
                                <w:rPr>
                                  <w:color w:val="636466"/>
                                  <w:spacing w:val="-7"/>
                                  <w:sz w:val="18"/>
                                </w:rPr>
                                <w:t>31%</w:t>
                              </w:r>
                            </w:p>
                          </w:txbxContent>
                        </wps:txbx>
                        <wps:bodyPr wrap="square" lIns="0" tIns="0" rIns="0" bIns="0" rtlCol="0">
                          <a:noAutofit/>
                        </wps:bodyPr>
                      </wps:wsp>
                      <wps:wsp>
                        <wps:cNvPr id="774" name="Textbox 774"/>
                        <wps:cNvSpPr txBox="1"/>
                        <wps:spPr>
                          <a:xfrm>
                            <a:off x="1185011" y="787412"/>
                            <a:ext cx="224790" cy="135890"/>
                          </a:xfrm>
                          <a:prstGeom prst="rect">
                            <a:avLst/>
                          </a:prstGeom>
                        </wps:spPr>
                        <wps:txbx>
                          <w:txbxContent>
                            <w:p>
                              <w:pPr>
                                <w:spacing w:line="207" w:lineRule="exact" w:before="0"/>
                                <w:ind w:left="0" w:right="0" w:firstLine="0"/>
                                <w:jc w:val="left"/>
                                <w:rPr>
                                  <w:sz w:val="18"/>
                                </w:rPr>
                              </w:pPr>
                              <w:r>
                                <w:rPr>
                                  <w:color w:val="636466"/>
                                  <w:spacing w:val="-7"/>
                                  <w:sz w:val="18"/>
                                </w:rPr>
                                <w:t>30%</w:t>
                              </w:r>
                            </w:p>
                          </w:txbxContent>
                        </wps:txbx>
                        <wps:bodyPr wrap="square" lIns="0" tIns="0" rIns="0" bIns="0" rtlCol="0">
                          <a:noAutofit/>
                        </wps:bodyPr>
                      </wps:wsp>
                    </wpg:wgp>
                  </a:graphicData>
                </a:graphic>
              </wp:inline>
            </w:drawing>
          </mc:Choice>
          <mc:Fallback>
            <w:pict>
              <v:group style="width:468.5pt;height:117.45pt;mso-position-horizontal-relative:char;mso-position-vertical-relative:line" id="docshapegroup621" coordorigin="0,0" coordsize="9370,2349">
                <v:shape style="position:absolute;left:3899;top:330;width:701;height:14" type="#_x0000_t75" id="docshape622" stroked="false">
                  <v:imagedata r:id="rId113" o:title=""/>
                </v:shape>
                <v:shape style="position:absolute;left:3899;top:344;width:701;height:161" type="#_x0000_t75" id="docshape623" stroked="false">
                  <v:imagedata r:id="rId114" o:title=""/>
                </v:shape>
                <v:shape style="position:absolute;left:3899;top:504;width:701;height:160" type="#_x0000_t75" id="docshape624" stroked="false">
                  <v:imagedata r:id="rId114" o:title=""/>
                </v:shape>
                <v:shape style="position:absolute;left:7019;top:548;width:700;height:276" type="#_x0000_t75" id="docshape625" stroked="false">
                  <v:imagedata r:id="rId115" o:title=""/>
                </v:shape>
                <v:shape style="position:absolute;left:3899;top:664;width:701;height:161" type="#_x0000_t75" id="docshape626" stroked="false">
                  <v:imagedata r:id="rId114" o:title=""/>
                </v:shape>
                <v:shape style="position:absolute;left:7019;top:664;width:700;height:321" type="#_x0000_t75" id="docshape627" stroked="false">
                  <v:imagedata r:id="rId116" o:title=""/>
                </v:shape>
                <v:shape style="position:absolute;left:3899;top:824;width:701;height:160" type="#_x0000_t75" id="docshape628" stroked="false">
                  <v:imagedata r:id="rId114" o:title=""/>
                </v:shape>
                <v:shape style="position:absolute;left:7019;top:824;width:700;height:320" type="#_x0000_t75" id="docshape629" stroked="false">
                  <v:imagedata r:id="rId117" o:title=""/>
                </v:shape>
                <v:shape style="position:absolute;left:3899;top:984;width:701;height:160" type="#_x0000_t75" id="docshape630" stroked="false">
                  <v:imagedata r:id="rId114" o:title=""/>
                </v:shape>
                <v:shape style="position:absolute;left:7019;top:984;width:700;height:320" type="#_x0000_t75" id="docshape631" stroked="false">
                  <v:imagedata r:id="rId117" o:title=""/>
                </v:shape>
                <v:shape style="position:absolute;left:3899;top:1144;width:701;height:160" type="#_x0000_t75" id="docshape632" stroked="false">
                  <v:imagedata r:id="rId114" o:title=""/>
                </v:shape>
                <v:shape style="position:absolute;left:7019;top:1144;width:700;height:320" type="#_x0000_t75" id="docshape633" stroked="false">
                  <v:imagedata r:id="rId118" o:title=""/>
                </v:shape>
                <v:shape style="position:absolute;left:3899;top:1304;width:701;height:160" type="#_x0000_t75" id="docshape634" stroked="false">
                  <v:imagedata r:id="rId114" o:title=""/>
                </v:shape>
                <v:shape style="position:absolute;left:941;top:1448;width:539;height:176" type="#_x0000_t75" id="docshape635" stroked="false">
                  <v:imagedata r:id="rId119" o:title=""/>
                </v:shape>
                <v:shape style="position:absolute;left:7019;top:1304;width:700;height:320" type="#_x0000_t75" id="docshape636" stroked="false">
                  <v:imagedata r:id="rId117" o:title=""/>
                </v:shape>
                <v:shape style="position:absolute;left:941;top:1464;width:539;height:321" type="#_x0000_t75" id="docshape637" stroked="false">
                  <v:imagedata r:id="rId120" o:title=""/>
                </v:shape>
                <v:shape style="position:absolute;left:3899;top:1464;width:701;height:160" type="#_x0000_t75" id="docshape638" stroked="false">
                  <v:imagedata r:id="rId114" o:title=""/>
                </v:shape>
                <v:shape style="position:absolute;left:7019;top:1464;width:700;height:321" type="#_x0000_t75" id="docshape639" stroked="false">
                  <v:imagedata r:id="rId121" o:title=""/>
                </v:shape>
                <v:shape style="position:absolute;left:941;top:1624;width:539;height:321" type="#_x0000_t75" id="docshape640" stroked="false">
                  <v:imagedata r:id="rId122" o:title=""/>
                </v:shape>
                <v:shape style="position:absolute;left:3899;top:1624;width:701;height:161" type="#_x0000_t75" id="docshape641" stroked="false">
                  <v:imagedata r:id="rId123" o:title=""/>
                </v:shape>
                <v:shape style="position:absolute;left:7019;top:1624;width:700;height:321" type="#_x0000_t75" id="docshape642" stroked="false">
                  <v:imagedata r:id="rId124" o:title=""/>
                </v:shape>
                <v:shape style="position:absolute;left:941;top:1784;width:539;height:321" type="#_x0000_t75" id="docshape643" stroked="false">
                  <v:imagedata r:id="rId125" o:title=""/>
                </v:shape>
                <v:shape style="position:absolute;left:3899;top:1784;width:701;height:161" type="#_x0000_t75" id="docshape644" stroked="false">
                  <v:imagedata r:id="rId114" o:title=""/>
                </v:shape>
                <v:shape style="position:absolute;left:7019;top:1784;width:700;height:321" type="#_x0000_t75" id="docshape645" stroked="false">
                  <v:imagedata r:id="rId116" o:title=""/>
                </v:shape>
                <v:shape style="position:absolute;left:941;top:1944;width:539;height:320" type="#_x0000_t75" id="docshape646" stroked="false">
                  <v:imagedata r:id="rId126" o:title=""/>
                </v:shape>
                <v:shape style="position:absolute;left:3899;top:1944;width:701;height:160" type="#_x0000_t75" id="docshape647" stroked="false">
                  <v:imagedata r:id="rId114" o:title=""/>
                </v:shape>
                <v:shape style="position:absolute;left:7019;top:1944;width:700;height:320" type="#_x0000_t75" id="docshape648" stroked="false">
                  <v:imagedata r:id="rId117" o:title=""/>
                </v:shape>
                <v:shape style="position:absolute;left:941;top:2104;width:539;height:245" type="#_x0000_t75" id="docshape649" stroked="false">
                  <v:imagedata r:id="rId127" o:title=""/>
                </v:shape>
                <v:shape style="position:absolute;left:3899;top:2104;width:701;height:245" type="#_x0000_t75" id="docshape650" stroked="false">
                  <v:imagedata r:id="rId128" o:title=""/>
                </v:shape>
                <v:shape style="position:absolute;left:7019;top:2104;width:700;height:245" type="#_x0000_t75" id="docshape651" stroked="false">
                  <v:imagedata r:id="rId129" o:title=""/>
                </v:shape>
                <v:shape style="position:absolute;left:1660;top:28;width:6940;height:2320" id="docshape652" coordorigin="1660,28" coordsize="6940,2320" path="m2360,1528l1660,1528,1660,2348,2360,2348,2360,1528xm5480,648l4780,648,4780,2348,5480,2348,5480,648xm8600,28l7900,28,7900,2348,8600,2348,8600,28xe" filled="true" fillcolor="#0f5d86" stroked="false">
                  <v:path arrowok="t"/>
                  <v:fill type="solid"/>
                </v:shape>
                <v:shape style="position:absolute;left:0;top:94;width:9370;height:2254" id="docshape653" coordorigin="0,95" coordsize="9370,2254" path="m20,95l0,95,0,2344,4,2348,9370,2348,9370,2328,20,2328,20,95xe" filled="true" fillcolor="#bcbec0" stroked="false">
                  <v:path arrowok="t"/>
                  <v:fill type="solid"/>
                </v:shape>
                <v:shape style="position:absolute;left:859;top:127;width:80;height:100" type="#_x0000_t75" id="docshape654" stroked="false">
                  <v:imagedata r:id="rId130" o:title=""/>
                </v:shape>
                <v:rect style="position:absolute;left:1599;top:127;width:100;height:100" id="docshape655" filled="true" fillcolor="#0f5d86" stroked="false">
                  <v:fill type="solid"/>
                </v:rect>
                <v:shape style="position:absolute;left:989;top:59;width:395;height:214" type="#_x0000_t202" id="docshape656" filled="false" stroked="false">
                  <v:textbox inset="0,0,0,0">
                    <w:txbxContent>
                      <w:p>
                        <w:pPr>
                          <w:spacing w:line="207" w:lineRule="exact" w:before="0"/>
                          <w:ind w:left="0" w:right="0" w:firstLine="0"/>
                          <w:jc w:val="left"/>
                          <w:rPr>
                            <w:sz w:val="18"/>
                          </w:rPr>
                        </w:pPr>
                        <w:r>
                          <w:rPr>
                            <w:color w:val="636466"/>
                            <w:spacing w:val="-5"/>
                            <w:sz w:val="18"/>
                          </w:rPr>
                          <w:t>2012</w:t>
                        </w:r>
                      </w:p>
                    </w:txbxContent>
                  </v:textbox>
                  <w10:wrap type="none"/>
                </v:shape>
                <v:shape style="position:absolute;left:1731;top:59;width:395;height:214" type="#_x0000_t202" id="docshape657" filled="false" stroked="false">
                  <v:textbox inset="0,0,0,0">
                    <w:txbxContent>
                      <w:p>
                        <w:pPr>
                          <w:spacing w:line="207" w:lineRule="exact" w:before="0"/>
                          <w:ind w:left="0" w:right="0" w:firstLine="0"/>
                          <w:jc w:val="left"/>
                          <w:rPr>
                            <w:sz w:val="18"/>
                          </w:rPr>
                        </w:pPr>
                        <w:r>
                          <w:rPr>
                            <w:color w:val="636466"/>
                            <w:spacing w:val="-5"/>
                            <w:sz w:val="18"/>
                          </w:rPr>
                          <w:t>2017</w:t>
                        </w:r>
                      </w:p>
                    </w:txbxContent>
                  </v:textbox>
                  <w10:wrap type="none"/>
                </v:shape>
                <v:shape style="position:absolute;left:4116;top:0;width:354;height:214" type="#_x0000_t202" id="docshape658" filled="false" stroked="false">
                  <v:textbox inset="0,0,0,0">
                    <w:txbxContent>
                      <w:p>
                        <w:pPr>
                          <w:spacing w:line="207" w:lineRule="exact" w:before="0"/>
                          <w:ind w:left="0" w:right="0" w:firstLine="0"/>
                          <w:jc w:val="left"/>
                          <w:rPr>
                            <w:sz w:val="18"/>
                          </w:rPr>
                        </w:pPr>
                        <w:r>
                          <w:rPr>
                            <w:color w:val="636466"/>
                            <w:spacing w:val="-7"/>
                            <w:sz w:val="18"/>
                          </w:rPr>
                          <w:t>35%</w:t>
                        </w:r>
                      </w:p>
                    </w:txbxContent>
                  </v:textbox>
                  <w10:wrap type="none"/>
                </v:shape>
                <v:shape style="position:absolute;left:4963;top:340;width:354;height:214" type="#_x0000_t202" id="docshape659" filled="false" stroked="false">
                  <v:textbox inset="0,0,0,0">
                    <w:txbxContent>
                      <w:p>
                        <w:pPr>
                          <w:spacing w:line="207" w:lineRule="exact" w:before="0"/>
                          <w:ind w:left="0" w:right="0" w:firstLine="0"/>
                          <w:jc w:val="left"/>
                          <w:rPr>
                            <w:sz w:val="18"/>
                          </w:rPr>
                        </w:pPr>
                        <w:r>
                          <w:rPr>
                            <w:color w:val="636466"/>
                            <w:spacing w:val="-7"/>
                            <w:sz w:val="18"/>
                          </w:rPr>
                          <w:t>34%</w:t>
                        </w:r>
                      </w:p>
                    </w:txbxContent>
                  </v:textbox>
                  <w10:wrap type="none"/>
                </v:shape>
                <v:shape style="position:absolute;left:7193;top:239;width:354;height:214" type="#_x0000_t202" id="docshape660" filled="false" stroked="false">
                  <v:textbox inset="0,0,0,0">
                    <w:txbxContent>
                      <w:p>
                        <w:pPr>
                          <w:spacing w:line="207" w:lineRule="exact" w:before="0"/>
                          <w:ind w:left="0" w:right="0" w:firstLine="0"/>
                          <w:jc w:val="left"/>
                          <w:rPr>
                            <w:sz w:val="18"/>
                          </w:rPr>
                        </w:pPr>
                        <w:r>
                          <w:rPr>
                            <w:color w:val="636466"/>
                            <w:spacing w:val="-7"/>
                            <w:sz w:val="18"/>
                          </w:rPr>
                          <w:t>34%</w:t>
                        </w:r>
                      </w:p>
                    </w:txbxContent>
                  </v:textbox>
                  <w10:wrap type="none"/>
                </v:shape>
                <v:shape style="position:absolute;left:1038;top:1139;width:354;height:214" type="#_x0000_t202" id="docshape661" filled="false" stroked="false">
                  <v:textbox inset="0,0,0,0">
                    <w:txbxContent>
                      <w:p>
                        <w:pPr>
                          <w:spacing w:line="207" w:lineRule="exact" w:before="0"/>
                          <w:ind w:left="0" w:right="0" w:firstLine="0"/>
                          <w:jc w:val="left"/>
                          <w:rPr>
                            <w:sz w:val="18"/>
                          </w:rPr>
                        </w:pPr>
                        <w:r>
                          <w:rPr>
                            <w:color w:val="636466"/>
                            <w:spacing w:val="-7"/>
                            <w:sz w:val="18"/>
                          </w:rPr>
                          <w:t>31%</w:t>
                        </w:r>
                      </w:p>
                    </w:txbxContent>
                  </v:textbox>
                  <w10:wrap type="none"/>
                </v:shape>
                <v:shape style="position:absolute;left:1866;top:1240;width:354;height:214" type="#_x0000_t202" id="docshape662" filled="false" stroked="false">
                  <v:textbox inset="0,0,0,0">
                    <w:txbxContent>
                      <w:p>
                        <w:pPr>
                          <w:spacing w:line="207" w:lineRule="exact" w:before="0"/>
                          <w:ind w:left="0" w:right="0" w:firstLine="0"/>
                          <w:jc w:val="left"/>
                          <w:rPr>
                            <w:sz w:val="18"/>
                          </w:rPr>
                        </w:pPr>
                        <w:r>
                          <w:rPr>
                            <w:color w:val="636466"/>
                            <w:spacing w:val="-7"/>
                            <w:sz w:val="18"/>
                          </w:rPr>
                          <w:t>30%</w:t>
                        </w:r>
                      </w:p>
                    </w:txbxContent>
                  </v:textbox>
                  <w10:wrap type="none"/>
                </v:shape>
              </v:group>
            </w:pict>
          </mc:Fallback>
        </mc:AlternateContent>
      </w:r>
      <w:r>
        <w:rPr>
          <w:sz w:val="20"/>
        </w:rPr>
      </w:r>
    </w:p>
    <w:p>
      <w:pPr>
        <w:tabs>
          <w:tab w:pos="5066" w:val="left" w:leader="none"/>
          <w:tab w:pos="8056" w:val="left" w:leader="none"/>
        </w:tabs>
        <w:spacing w:before="100"/>
        <w:ind w:left="1571" w:right="0" w:firstLine="0"/>
        <w:jc w:val="left"/>
        <w:rPr>
          <w:sz w:val="18"/>
        </w:rPr>
      </w:pPr>
      <w:r>
        <w:rPr>
          <w:color w:val="636466"/>
          <w:sz w:val="18"/>
        </w:rPr>
        <w:t>High School</w:t>
      </w:r>
      <w:r>
        <w:rPr>
          <w:color w:val="636466"/>
          <w:spacing w:val="1"/>
          <w:sz w:val="18"/>
        </w:rPr>
        <w:t> </w:t>
      </w:r>
      <w:r>
        <w:rPr>
          <w:color w:val="636466"/>
          <w:sz w:val="18"/>
        </w:rPr>
        <w:t>Degree or</w:t>
      </w:r>
      <w:r>
        <w:rPr>
          <w:color w:val="636466"/>
          <w:spacing w:val="1"/>
          <w:sz w:val="18"/>
        </w:rPr>
        <w:t> </w:t>
      </w:r>
      <w:r>
        <w:rPr>
          <w:color w:val="636466"/>
          <w:spacing w:val="-2"/>
          <w:sz w:val="18"/>
        </w:rPr>
        <w:t>Equivalent</w:t>
      </w:r>
      <w:r>
        <w:rPr>
          <w:color w:val="636466"/>
          <w:sz w:val="18"/>
        </w:rPr>
        <w:tab/>
        <w:t>Some</w:t>
      </w:r>
      <w:r>
        <w:rPr>
          <w:color w:val="636466"/>
          <w:spacing w:val="-2"/>
          <w:sz w:val="18"/>
        </w:rPr>
        <w:t> </w:t>
      </w:r>
      <w:r>
        <w:rPr>
          <w:color w:val="636466"/>
          <w:sz w:val="18"/>
        </w:rPr>
        <w:t>College</w:t>
      </w:r>
      <w:r>
        <w:rPr>
          <w:color w:val="636466"/>
          <w:spacing w:val="-2"/>
          <w:sz w:val="18"/>
        </w:rPr>
        <w:t> Experience</w:t>
      </w:r>
      <w:r>
        <w:rPr>
          <w:color w:val="636466"/>
          <w:sz w:val="18"/>
        </w:rPr>
        <w:tab/>
        <w:t>Bachelor's</w:t>
      </w:r>
      <w:r>
        <w:rPr>
          <w:color w:val="636466"/>
          <w:spacing w:val="-1"/>
          <w:sz w:val="18"/>
        </w:rPr>
        <w:t> </w:t>
      </w:r>
      <w:r>
        <w:rPr>
          <w:color w:val="636466"/>
          <w:sz w:val="18"/>
        </w:rPr>
        <w:t>Degree</w:t>
      </w:r>
      <w:r>
        <w:rPr>
          <w:color w:val="636466"/>
          <w:spacing w:val="-1"/>
          <w:sz w:val="18"/>
        </w:rPr>
        <w:t> </w:t>
      </w:r>
      <w:r>
        <w:rPr>
          <w:color w:val="636466"/>
          <w:sz w:val="18"/>
        </w:rPr>
        <w:t>or</w:t>
      </w:r>
      <w:r>
        <w:rPr>
          <w:color w:val="636466"/>
          <w:spacing w:val="-1"/>
          <w:sz w:val="18"/>
        </w:rPr>
        <w:t> </w:t>
      </w:r>
      <w:r>
        <w:rPr>
          <w:color w:val="636466"/>
          <w:spacing w:val="-2"/>
          <w:sz w:val="18"/>
        </w:rPr>
        <w:t>Higher</w:t>
      </w:r>
    </w:p>
    <w:p>
      <w:pPr>
        <w:pStyle w:val="BodyText"/>
        <w:spacing w:before="125"/>
        <w:rPr>
          <w:sz w:val="18"/>
        </w:rPr>
      </w:pPr>
    </w:p>
    <w:p>
      <w:pPr>
        <w:spacing w:before="0"/>
        <w:ind w:left="1588" w:right="0" w:firstLine="0"/>
        <w:jc w:val="left"/>
        <w:rPr>
          <w:sz w:val="16"/>
        </w:rPr>
      </w:pPr>
      <w:r>
        <w:rPr>
          <w:color w:val="105C84"/>
          <w:spacing w:val="-2"/>
          <w:sz w:val="16"/>
        </w:rPr>
        <w:t>Data</w:t>
      </w:r>
      <w:r>
        <w:rPr>
          <w:color w:val="105C84"/>
          <w:spacing w:val="-8"/>
          <w:sz w:val="16"/>
        </w:rPr>
        <w:t> </w:t>
      </w:r>
      <w:r>
        <w:rPr>
          <w:color w:val="105C84"/>
          <w:spacing w:val="-2"/>
          <w:sz w:val="16"/>
        </w:rPr>
        <w:t>Source:</w:t>
      </w:r>
      <w:r>
        <w:rPr>
          <w:color w:val="105C84"/>
          <w:spacing w:val="-8"/>
          <w:sz w:val="16"/>
        </w:rPr>
        <w:t> </w:t>
      </w:r>
      <w:r>
        <w:rPr>
          <w:color w:val="105C84"/>
          <w:spacing w:val="-2"/>
          <w:sz w:val="16"/>
        </w:rPr>
        <w:t>U.S.</w:t>
      </w:r>
      <w:r>
        <w:rPr>
          <w:color w:val="105C84"/>
          <w:spacing w:val="-8"/>
          <w:sz w:val="16"/>
        </w:rPr>
        <w:t> </w:t>
      </w:r>
      <w:r>
        <w:rPr>
          <w:color w:val="105C84"/>
          <w:spacing w:val="-2"/>
          <w:sz w:val="16"/>
        </w:rPr>
        <w:t>Census</w:t>
      </w:r>
      <w:r>
        <w:rPr>
          <w:color w:val="105C84"/>
          <w:spacing w:val="-8"/>
          <w:sz w:val="16"/>
        </w:rPr>
        <w:t> </w:t>
      </w:r>
      <w:r>
        <w:rPr>
          <w:color w:val="105C84"/>
          <w:spacing w:val="-2"/>
          <w:sz w:val="16"/>
        </w:rPr>
        <w:t>Bureau</w:t>
      </w:r>
      <w:r>
        <w:rPr>
          <w:color w:val="105C84"/>
          <w:spacing w:val="-8"/>
          <w:sz w:val="16"/>
        </w:rPr>
        <w:t> </w:t>
      </w:r>
      <w:r>
        <w:rPr>
          <w:color w:val="105C84"/>
          <w:spacing w:val="-2"/>
          <w:sz w:val="16"/>
        </w:rPr>
        <w:t>American</w:t>
      </w:r>
      <w:r>
        <w:rPr>
          <w:color w:val="105C84"/>
          <w:spacing w:val="-8"/>
          <w:sz w:val="16"/>
        </w:rPr>
        <w:t> </w:t>
      </w:r>
      <w:r>
        <w:rPr>
          <w:color w:val="105C84"/>
          <w:spacing w:val="-2"/>
          <w:sz w:val="16"/>
        </w:rPr>
        <w:t>Communtiy</w:t>
      </w:r>
      <w:r>
        <w:rPr>
          <w:color w:val="105C84"/>
          <w:spacing w:val="-8"/>
          <w:sz w:val="16"/>
        </w:rPr>
        <w:t> </w:t>
      </w:r>
      <w:r>
        <w:rPr>
          <w:color w:val="105C84"/>
          <w:spacing w:val="-2"/>
          <w:sz w:val="16"/>
        </w:rPr>
        <w:t>Survey</w:t>
      </w:r>
      <w:r>
        <w:rPr>
          <w:color w:val="105C84"/>
          <w:spacing w:val="-8"/>
          <w:sz w:val="16"/>
        </w:rPr>
        <w:t> </w:t>
      </w:r>
      <w:r>
        <w:rPr>
          <w:color w:val="105C84"/>
          <w:spacing w:val="-2"/>
          <w:sz w:val="16"/>
        </w:rPr>
        <w:t>5-Year</w:t>
      </w:r>
      <w:r>
        <w:rPr>
          <w:color w:val="105C84"/>
          <w:spacing w:val="-8"/>
          <w:sz w:val="16"/>
        </w:rPr>
        <w:t> </w:t>
      </w:r>
      <w:r>
        <w:rPr>
          <w:color w:val="105C84"/>
          <w:spacing w:val="-2"/>
          <w:sz w:val="16"/>
        </w:rPr>
        <w:t>Estimates</w:t>
      </w:r>
    </w:p>
    <w:p>
      <w:pPr>
        <w:spacing w:after="0"/>
        <w:jc w:val="left"/>
        <w:rPr>
          <w:sz w:val="16"/>
        </w:rPr>
        <w:sectPr>
          <w:type w:val="continuous"/>
          <w:pgSz w:w="24480" w:h="15840" w:orient="landscape"/>
          <w:pgMar w:header="0" w:footer="0" w:top="0" w:bottom="280" w:left="0" w:right="720"/>
          <w:cols w:num="2" w:equalWidth="0">
            <w:col w:w="11130" w:space="1095"/>
            <w:col w:w="11535"/>
          </w:cols>
        </w:sectPr>
      </w:pPr>
    </w:p>
    <w:p>
      <w:pPr>
        <w:pStyle w:val="BodyText"/>
        <w:spacing w:before="83"/>
        <w:rPr>
          <w:sz w:val="20"/>
        </w:rPr>
      </w:pPr>
    </w:p>
    <w:p>
      <w:pPr>
        <w:pStyle w:val="BodyText"/>
        <w:spacing w:after="0"/>
        <w:rPr>
          <w:sz w:val="20"/>
        </w:rPr>
        <w:sectPr>
          <w:type w:val="continuous"/>
          <w:pgSz w:w="24480" w:h="15840" w:orient="landscape"/>
          <w:pgMar w:header="0" w:footer="0" w:top="0" w:bottom="280" w:left="0" w:right="720"/>
        </w:sect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33"/>
        <w:rPr>
          <w:sz w:val="16"/>
        </w:rPr>
      </w:pPr>
    </w:p>
    <w:p>
      <w:pPr>
        <w:spacing w:before="1"/>
        <w:ind w:left="0" w:right="0" w:firstLine="0"/>
        <w:jc w:val="right"/>
        <w:rPr>
          <w:sz w:val="16"/>
        </w:rPr>
      </w:pPr>
      <w:r>
        <w:rPr>
          <w:sz w:val="16"/>
        </w:rPr>
        <mc:AlternateContent>
          <mc:Choice Requires="wps">
            <w:drawing>
              <wp:anchor distT="0" distB="0" distL="0" distR="0" allowOverlap="1" layoutInCell="1" locked="0" behindDoc="1" simplePos="0" relativeHeight="475036672">
                <wp:simplePos x="0" y="0"/>
                <wp:positionH relativeFrom="page">
                  <wp:posOffset>701108</wp:posOffset>
                </wp:positionH>
                <wp:positionV relativeFrom="paragraph">
                  <wp:posOffset>-550258</wp:posOffset>
                </wp:positionV>
                <wp:extent cx="4029710" cy="4069079"/>
                <wp:effectExtent l="0" t="0" r="0" b="0"/>
                <wp:wrapNone/>
                <wp:docPr id="775" name="Group 775"/>
                <wp:cNvGraphicFramePr>
                  <a:graphicFrameLocks/>
                </wp:cNvGraphicFramePr>
                <a:graphic>
                  <a:graphicData uri="http://schemas.microsoft.com/office/word/2010/wordprocessingGroup">
                    <wpg:wgp>
                      <wpg:cNvPr id="775" name="Group 775"/>
                      <wpg:cNvGrpSpPr/>
                      <wpg:grpSpPr>
                        <a:xfrm>
                          <a:off x="0" y="0"/>
                          <a:ext cx="4029710" cy="4069079"/>
                          <a:chExt cx="4029710" cy="4069079"/>
                        </a:xfrm>
                      </wpg:grpSpPr>
                      <pic:pic>
                        <pic:nvPicPr>
                          <pic:cNvPr id="776" name="Image 776"/>
                          <pic:cNvPicPr/>
                        </pic:nvPicPr>
                        <pic:blipFill>
                          <a:blip r:embed="rId131" cstate="print"/>
                          <a:stretch>
                            <a:fillRect/>
                          </a:stretch>
                        </pic:blipFill>
                        <pic:spPr>
                          <a:xfrm>
                            <a:off x="634395" y="0"/>
                            <a:ext cx="3394966" cy="4068533"/>
                          </a:xfrm>
                          <a:prstGeom prst="rect">
                            <a:avLst/>
                          </a:prstGeom>
                        </pic:spPr>
                      </pic:pic>
                      <pic:pic>
                        <pic:nvPicPr>
                          <pic:cNvPr id="777" name="Image 777"/>
                          <pic:cNvPicPr/>
                        </pic:nvPicPr>
                        <pic:blipFill>
                          <a:blip r:embed="rId132" cstate="print"/>
                          <a:stretch>
                            <a:fillRect/>
                          </a:stretch>
                        </pic:blipFill>
                        <pic:spPr>
                          <a:xfrm>
                            <a:off x="0" y="897503"/>
                            <a:ext cx="682210" cy="2269225"/>
                          </a:xfrm>
                          <a:prstGeom prst="rect">
                            <a:avLst/>
                          </a:prstGeom>
                        </pic:spPr>
                      </pic:pic>
                      <pic:pic>
                        <pic:nvPicPr>
                          <pic:cNvPr id="778" name="Image 778"/>
                          <pic:cNvPicPr/>
                        </pic:nvPicPr>
                        <pic:blipFill>
                          <a:blip r:embed="rId133" cstate="print"/>
                          <a:stretch>
                            <a:fillRect/>
                          </a:stretch>
                        </pic:blipFill>
                        <pic:spPr>
                          <a:xfrm>
                            <a:off x="805962" y="126745"/>
                            <a:ext cx="3114167" cy="2800896"/>
                          </a:xfrm>
                          <a:prstGeom prst="rect">
                            <a:avLst/>
                          </a:prstGeom>
                        </pic:spPr>
                      </pic:pic>
                    </wpg:wgp>
                  </a:graphicData>
                </a:graphic>
              </wp:anchor>
            </w:drawing>
          </mc:Choice>
          <mc:Fallback>
            <w:pict>
              <v:group style="position:absolute;margin-left:55.205391pt;margin-top:-43.327454pt;width:317.3pt;height:320.4pt;mso-position-horizontal-relative:page;mso-position-vertical-relative:paragraph;z-index:-28279808" id="docshapegroup663" coordorigin="1104,-867" coordsize="6346,6408">
                <v:shape style="position:absolute;left:2103;top:-867;width:5347;height:6408" type="#_x0000_t75" id="docshape664" stroked="false">
                  <v:imagedata r:id="rId131" o:title=""/>
                </v:shape>
                <v:shape style="position:absolute;left:1104;top:546;width:1075;height:3574" type="#_x0000_t75" id="docshape665" stroked="false">
                  <v:imagedata r:id="rId132" o:title=""/>
                </v:shape>
                <v:shape style="position:absolute;left:2373;top:-667;width:4905;height:4411" type="#_x0000_t75" id="docshape666" stroked="false">
                  <v:imagedata r:id="rId133" o:title=""/>
                </v:shape>
                <w10:wrap type="none"/>
              </v:group>
            </w:pict>
          </mc:Fallback>
        </mc:AlternateContent>
      </w:r>
      <w:r>
        <w:rPr>
          <w:color w:val="636466"/>
          <w:spacing w:val="-2"/>
          <w:w w:val="105"/>
          <w:sz w:val="16"/>
        </w:rPr>
        <w:t>Victor</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35"/>
        <w:rPr>
          <w:sz w:val="16"/>
        </w:rPr>
      </w:pPr>
    </w:p>
    <w:p>
      <w:pPr>
        <w:spacing w:before="0"/>
        <w:ind w:left="0" w:right="225" w:firstLine="0"/>
        <w:jc w:val="right"/>
        <w:rPr>
          <w:sz w:val="16"/>
        </w:rPr>
      </w:pPr>
      <w:r>
        <w:rPr>
          <w:color w:val="636466"/>
          <w:spacing w:val="-2"/>
          <w:w w:val="105"/>
          <w:sz w:val="16"/>
        </w:rPr>
        <w:t>Bloomfield</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73"/>
        <w:rPr>
          <w:sz w:val="16"/>
        </w:rPr>
      </w:pPr>
    </w:p>
    <w:p>
      <w:pPr>
        <w:spacing w:before="0"/>
        <w:ind w:left="575" w:right="0" w:firstLine="0"/>
        <w:jc w:val="left"/>
        <w:rPr>
          <w:sz w:val="16"/>
        </w:rPr>
      </w:pPr>
      <w:r>
        <w:rPr>
          <w:color w:val="636466"/>
          <w:spacing w:val="-2"/>
          <w:sz w:val="16"/>
        </w:rPr>
        <w:t>Canandaigua</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39"/>
        <w:rPr>
          <w:sz w:val="16"/>
        </w:rPr>
      </w:pPr>
    </w:p>
    <w:p>
      <w:pPr>
        <w:spacing w:before="0"/>
        <w:ind w:left="0" w:right="38" w:firstLine="0"/>
        <w:jc w:val="right"/>
        <w:rPr>
          <w:sz w:val="16"/>
        </w:rPr>
      </w:pPr>
      <w:r>
        <w:rPr>
          <w:color w:val="FFFFFF"/>
          <w:spacing w:val="-2"/>
          <w:sz w:val="16"/>
        </w:rPr>
        <w:t>Geneva</w:t>
      </w:r>
    </w:p>
    <w:p>
      <w:pPr>
        <w:pStyle w:val="BodyText"/>
        <w:spacing w:line="247" w:lineRule="auto" w:before="114"/>
        <w:ind w:left="2049" w:right="551"/>
      </w:pPr>
      <w:r>
        <w:rPr/>
        <w:br w:type="column"/>
      </w:r>
      <w:r>
        <w:rPr>
          <w:color w:val="105C84"/>
        </w:rPr>
        <w:t>As</w:t>
      </w:r>
      <w:r>
        <w:rPr>
          <w:color w:val="105C84"/>
          <w:spacing w:val="16"/>
        </w:rPr>
        <w:t> </w:t>
      </w:r>
      <w:r>
        <w:rPr>
          <w:color w:val="105C84"/>
        </w:rPr>
        <w:t>shown</w:t>
      </w:r>
      <w:r>
        <w:rPr>
          <w:color w:val="105C84"/>
          <w:spacing w:val="16"/>
        </w:rPr>
        <w:t> </w:t>
      </w:r>
      <w:r>
        <w:rPr>
          <w:color w:val="105C84"/>
        </w:rPr>
        <w:t>below,</w:t>
      </w:r>
      <w:r>
        <w:rPr>
          <w:color w:val="105C84"/>
          <w:spacing w:val="16"/>
        </w:rPr>
        <w:t> </w:t>
      </w:r>
      <w:r>
        <w:rPr>
          <w:color w:val="105C84"/>
        </w:rPr>
        <w:t>the</w:t>
      </w:r>
      <w:r>
        <w:rPr>
          <w:color w:val="105C84"/>
          <w:spacing w:val="16"/>
        </w:rPr>
        <w:t> </w:t>
      </w:r>
      <w:r>
        <w:rPr>
          <w:color w:val="105C84"/>
        </w:rPr>
        <w:t>uninsured</w:t>
      </w:r>
      <w:r>
        <w:rPr>
          <w:color w:val="105C84"/>
          <w:spacing w:val="16"/>
        </w:rPr>
        <w:t> </w:t>
      </w:r>
      <w:r>
        <w:rPr>
          <w:color w:val="105C84"/>
        </w:rPr>
        <w:t>rate</w:t>
      </w:r>
      <w:r>
        <w:rPr>
          <w:color w:val="105C84"/>
          <w:spacing w:val="16"/>
        </w:rPr>
        <w:t> </w:t>
      </w:r>
      <w:r>
        <w:rPr>
          <w:color w:val="105C84"/>
        </w:rPr>
        <w:t>in</w:t>
      </w:r>
      <w:r>
        <w:rPr>
          <w:color w:val="105C84"/>
          <w:spacing w:val="16"/>
        </w:rPr>
        <w:t> </w:t>
      </w:r>
      <w:r>
        <w:rPr>
          <w:color w:val="105C84"/>
        </w:rPr>
        <w:t>Ontario</w:t>
      </w:r>
      <w:r>
        <w:rPr>
          <w:color w:val="105C84"/>
          <w:spacing w:val="16"/>
        </w:rPr>
        <w:t> </w:t>
      </w:r>
      <w:r>
        <w:rPr>
          <w:color w:val="105C84"/>
        </w:rPr>
        <w:t>County</w:t>
      </w:r>
      <w:r>
        <w:rPr>
          <w:color w:val="105C84"/>
          <w:spacing w:val="16"/>
        </w:rPr>
        <w:t> </w:t>
      </w:r>
      <w:r>
        <w:rPr>
          <w:color w:val="105C84"/>
        </w:rPr>
        <w:t>has</w:t>
      </w:r>
      <w:r>
        <w:rPr>
          <w:color w:val="105C84"/>
          <w:spacing w:val="16"/>
        </w:rPr>
        <w:t> </w:t>
      </w:r>
      <w:r>
        <w:rPr>
          <w:color w:val="105C84"/>
        </w:rPr>
        <w:t>decreased</w:t>
      </w:r>
      <w:r>
        <w:rPr>
          <w:color w:val="105C84"/>
          <w:spacing w:val="16"/>
        </w:rPr>
        <w:t> </w:t>
      </w:r>
      <w:r>
        <w:rPr>
          <w:color w:val="105C84"/>
        </w:rPr>
        <w:t>39</w:t>
      </w:r>
      <w:r>
        <w:rPr>
          <w:color w:val="105C84"/>
          <w:spacing w:val="16"/>
        </w:rPr>
        <w:t> </w:t>
      </w:r>
      <w:r>
        <w:rPr>
          <w:color w:val="105C84"/>
        </w:rPr>
        <w:t>percent</w:t>
      </w:r>
      <w:r>
        <w:rPr>
          <w:color w:val="105C84"/>
          <w:spacing w:val="16"/>
        </w:rPr>
        <w:t> </w:t>
      </w:r>
      <w:r>
        <w:rPr>
          <w:color w:val="105C84"/>
        </w:rPr>
        <w:t>since</w:t>
      </w:r>
      <w:r>
        <w:rPr>
          <w:color w:val="105C84"/>
          <w:spacing w:val="16"/>
        </w:rPr>
        <w:t> </w:t>
      </w:r>
      <w:r>
        <w:rPr>
          <w:color w:val="105C84"/>
        </w:rPr>
        <w:t>2012</w:t>
      </w:r>
      <w:r>
        <w:rPr>
          <w:color w:val="105C84"/>
        </w:rPr>
        <w:t> (Figure 25). County estimates are lower than both the eight county region and New York State. The</w:t>
      </w:r>
    </w:p>
    <w:p>
      <w:pPr>
        <w:pStyle w:val="BodyText"/>
        <w:spacing w:line="247" w:lineRule="auto"/>
        <w:ind w:left="2049" w:right="418"/>
      </w:pPr>
      <w:r>
        <w:rPr>
          <w:color w:val="105C84"/>
        </w:rPr>
        <w:t>Affordable Care Act and availability of Health Navigators and Facilitated Enrollers in the county likely</w:t>
      </w:r>
      <w:r>
        <w:rPr>
          <w:color w:val="105C84"/>
          <w:spacing w:val="40"/>
        </w:rPr>
        <w:t> </w:t>
      </w:r>
      <w:r>
        <w:rPr>
          <w:color w:val="105C84"/>
        </w:rPr>
        <w:t>help with the reduction in uninsured.</w:t>
      </w:r>
    </w:p>
    <w:p>
      <w:pPr>
        <w:pStyle w:val="BodyText"/>
        <w:spacing w:before="17"/>
      </w:pPr>
    </w:p>
    <w:p>
      <w:pPr>
        <w:pStyle w:val="Heading6"/>
        <w:ind w:left="2049"/>
      </w:pPr>
      <w:r>
        <w:rPr>
          <w:color w:val="105C84"/>
          <w:spacing w:val="-2"/>
        </w:rPr>
        <w:t>FIGURE</w:t>
      </w:r>
      <w:r>
        <w:rPr>
          <w:color w:val="105C84"/>
          <w:spacing w:val="-10"/>
        </w:rPr>
        <w:t> </w:t>
      </w:r>
      <w:r>
        <w:rPr>
          <w:color w:val="105C84"/>
          <w:spacing w:val="-2"/>
        </w:rPr>
        <w:t>25:</w:t>
      </w:r>
      <w:r>
        <w:rPr>
          <w:color w:val="105C84"/>
          <w:spacing w:val="-10"/>
        </w:rPr>
        <w:t> </w:t>
      </w:r>
      <w:r>
        <w:rPr>
          <w:color w:val="105C84"/>
          <w:spacing w:val="-2"/>
        </w:rPr>
        <w:t>Percent</w:t>
      </w:r>
      <w:r>
        <w:rPr>
          <w:color w:val="105C84"/>
          <w:spacing w:val="-10"/>
        </w:rPr>
        <w:t> </w:t>
      </w:r>
      <w:r>
        <w:rPr>
          <w:color w:val="105C84"/>
          <w:spacing w:val="-2"/>
        </w:rPr>
        <w:t>of</w:t>
      </w:r>
      <w:r>
        <w:rPr>
          <w:color w:val="105C84"/>
          <w:spacing w:val="-10"/>
        </w:rPr>
        <w:t> </w:t>
      </w:r>
      <w:r>
        <w:rPr>
          <w:color w:val="105C84"/>
          <w:spacing w:val="-2"/>
        </w:rPr>
        <w:t>population</w:t>
      </w:r>
      <w:r>
        <w:rPr>
          <w:color w:val="105C84"/>
          <w:spacing w:val="-10"/>
        </w:rPr>
        <w:t> </w:t>
      </w:r>
      <w:r>
        <w:rPr>
          <w:color w:val="105C84"/>
          <w:spacing w:val="-2"/>
        </w:rPr>
        <w:t>that</w:t>
      </w:r>
      <w:r>
        <w:rPr>
          <w:color w:val="105C84"/>
          <w:spacing w:val="-10"/>
        </w:rPr>
        <w:t> </w:t>
      </w:r>
      <w:r>
        <w:rPr>
          <w:color w:val="105C84"/>
          <w:spacing w:val="-2"/>
        </w:rPr>
        <w:t>is</w:t>
      </w:r>
      <w:r>
        <w:rPr>
          <w:color w:val="105C84"/>
          <w:spacing w:val="-9"/>
        </w:rPr>
        <w:t> </w:t>
      </w:r>
      <w:r>
        <w:rPr>
          <w:color w:val="105C84"/>
          <w:spacing w:val="-2"/>
        </w:rPr>
        <w:t>uninsured</w:t>
      </w:r>
    </w:p>
    <w:p>
      <w:pPr>
        <w:pStyle w:val="BodyText"/>
        <w:spacing w:before="184"/>
        <w:rPr>
          <w:b/>
          <w:sz w:val="26"/>
        </w:rPr>
      </w:pPr>
    </w:p>
    <w:p>
      <w:pPr>
        <w:tabs>
          <w:tab w:pos="6388" w:val="left" w:leader="none"/>
          <w:tab w:pos="8221" w:val="left" w:leader="none"/>
        </w:tabs>
        <w:spacing w:before="0"/>
        <w:ind w:left="4127" w:right="0" w:firstLine="0"/>
        <w:jc w:val="left"/>
        <w:rPr>
          <w:sz w:val="18"/>
        </w:rPr>
      </w:pPr>
      <w:r>
        <w:rPr>
          <w:sz w:val="18"/>
        </w:rPr>
        <mc:AlternateContent>
          <mc:Choice Requires="wps">
            <w:drawing>
              <wp:anchor distT="0" distB="0" distL="0" distR="0" allowOverlap="1" layoutInCell="1" locked="0" behindDoc="0" simplePos="0" relativeHeight="15809024">
                <wp:simplePos x="0" y="0"/>
                <wp:positionH relativeFrom="page">
                  <wp:posOffset>9418256</wp:posOffset>
                </wp:positionH>
                <wp:positionV relativeFrom="paragraph">
                  <wp:posOffset>69302</wp:posOffset>
                </wp:positionV>
                <wp:extent cx="330200" cy="1270"/>
                <wp:effectExtent l="0" t="0" r="0" b="0"/>
                <wp:wrapNone/>
                <wp:docPr id="779" name="Graphic 779"/>
                <wp:cNvGraphicFramePr>
                  <a:graphicFrameLocks/>
                </wp:cNvGraphicFramePr>
                <a:graphic>
                  <a:graphicData uri="http://schemas.microsoft.com/office/word/2010/wordprocessingShape">
                    <wps:wsp>
                      <wps:cNvPr id="779" name="Graphic 779"/>
                      <wps:cNvSpPr/>
                      <wps:spPr>
                        <a:xfrm>
                          <a:off x="0" y="0"/>
                          <a:ext cx="330200" cy="1270"/>
                        </a:xfrm>
                        <a:custGeom>
                          <a:avLst/>
                          <a:gdLst/>
                          <a:ahLst/>
                          <a:cxnLst/>
                          <a:rect l="l" t="t" r="r" b="b"/>
                          <a:pathLst>
                            <a:path w="330200" h="0">
                              <a:moveTo>
                                <a:pt x="0" y="0"/>
                              </a:moveTo>
                              <a:lnTo>
                                <a:pt x="330200" y="0"/>
                              </a:lnTo>
                            </a:path>
                          </a:pathLst>
                        </a:custGeom>
                        <a:ln w="25399">
                          <a:solidFill>
                            <a:srgbClr val="0F5D8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09024" from="741.594971pt,5.456878pt" to="767.594971pt,5.456878pt" stroked="true" strokeweight="2.0pt" strokecolor="#0f5d86">
                <v:stroke dashstyle="solid"/>
                <w10:wrap type="none"/>
              </v:line>
            </w:pict>
          </mc:Fallback>
        </mc:AlternateContent>
      </w:r>
      <w:r>
        <w:rPr>
          <w:sz w:val="18"/>
        </w:rPr>
        <mc:AlternateContent>
          <mc:Choice Requires="wps">
            <w:drawing>
              <wp:anchor distT="0" distB="0" distL="0" distR="0" allowOverlap="1" layoutInCell="1" locked="0" behindDoc="1" simplePos="0" relativeHeight="475036160">
                <wp:simplePos x="0" y="0"/>
                <wp:positionH relativeFrom="page">
                  <wp:posOffset>10853356</wp:posOffset>
                </wp:positionH>
                <wp:positionV relativeFrom="paragraph">
                  <wp:posOffset>69302</wp:posOffset>
                </wp:positionV>
                <wp:extent cx="330200" cy="1270"/>
                <wp:effectExtent l="0" t="0" r="0" b="0"/>
                <wp:wrapNone/>
                <wp:docPr id="780" name="Graphic 780"/>
                <wp:cNvGraphicFramePr>
                  <a:graphicFrameLocks/>
                </wp:cNvGraphicFramePr>
                <a:graphic>
                  <a:graphicData uri="http://schemas.microsoft.com/office/word/2010/wordprocessingShape">
                    <wps:wsp>
                      <wps:cNvPr id="780" name="Graphic 780"/>
                      <wps:cNvSpPr/>
                      <wps:spPr>
                        <a:xfrm>
                          <a:off x="0" y="0"/>
                          <a:ext cx="330200" cy="1270"/>
                        </a:xfrm>
                        <a:custGeom>
                          <a:avLst/>
                          <a:gdLst/>
                          <a:ahLst/>
                          <a:cxnLst/>
                          <a:rect l="l" t="t" r="r" b="b"/>
                          <a:pathLst>
                            <a:path w="330200" h="0">
                              <a:moveTo>
                                <a:pt x="0" y="0"/>
                              </a:moveTo>
                              <a:lnTo>
                                <a:pt x="330200" y="0"/>
                              </a:lnTo>
                            </a:path>
                          </a:pathLst>
                        </a:custGeom>
                        <a:ln w="25399">
                          <a:solidFill>
                            <a:srgbClr val="82BF6A"/>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8280320" from="854.594971pt,5.456878pt" to="880.594971pt,5.456878pt" stroked="true" strokeweight="2.0pt" strokecolor="#82bf6a">
                <v:stroke dashstyle="solid"/>
                <w10:wrap type="none"/>
              </v:line>
            </w:pict>
          </mc:Fallback>
        </mc:AlternateContent>
      </w:r>
      <w:r>
        <w:rPr>
          <w:color w:val="636466"/>
          <w:sz w:val="18"/>
        </w:rPr>
        <w:t>Ontario</w:t>
      </w:r>
      <w:r>
        <w:rPr>
          <w:color w:val="636466"/>
          <w:spacing w:val="13"/>
          <w:sz w:val="18"/>
        </w:rPr>
        <w:t> </w:t>
      </w:r>
      <w:r>
        <w:rPr>
          <w:color w:val="636466"/>
          <w:spacing w:val="-2"/>
          <w:sz w:val="18"/>
        </w:rPr>
        <w:t>County</w:t>
      </w:r>
      <w:r>
        <w:rPr>
          <w:color w:val="636466"/>
          <w:sz w:val="18"/>
        </w:rPr>
        <w:tab/>
        <w:t>8-County</w:t>
      </w:r>
      <w:r>
        <w:rPr>
          <w:color w:val="636466"/>
          <w:spacing w:val="-4"/>
          <w:sz w:val="18"/>
        </w:rPr>
        <w:t> </w:t>
      </w:r>
      <w:r>
        <w:rPr>
          <w:color w:val="636466"/>
          <w:spacing w:val="-2"/>
          <w:sz w:val="18"/>
        </w:rPr>
        <w:t>Region</w:t>
      </w:r>
      <w:r>
        <w:rPr>
          <w:color w:val="636466"/>
          <w:sz w:val="18"/>
        </w:rPr>
        <w:tab/>
      </w:r>
      <w:r>
        <w:rPr>
          <w:color w:val="636466"/>
          <w:position w:val="4"/>
          <w:sz w:val="18"/>
        </w:rPr>
        <w:drawing>
          <wp:inline distT="0" distB="0" distL="0" distR="0">
            <wp:extent cx="279400" cy="25400"/>
            <wp:effectExtent l="0" t="0" r="0" b="0"/>
            <wp:docPr id="781" name="Image 781"/>
            <wp:cNvGraphicFramePr>
              <a:graphicFrameLocks/>
            </wp:cNvGraphicFramePr>
            <a:graphic>
              <a:graphicData uri="http://schemas.openxmlformats.org/drawingml/2006/picture">
                <pic:pic>
                  <pic:nvPicPr>
                    <pic:cNvPr id="781" name="Image 781"/>
                    <pic:cNvPicPr/>
                  </pic:nvPicPr>
                  <pic:blipFill>
                    <a:blip r:embed="rId134" cstate="print"/>
                    <a:stretch>
                      <a:fillRect/>
                    </a:stretch>
                  </pic:blipFill>
                  <pic:spPr>
                    <a:xfrm>
                      <a:off x="0" y="0"/>
                      <a:ext cx="279400" cy="25400"/>
                    </a:xfrm>
                    <a:prstGeom prst="rect">
                      <a:avLst/>
                    </a:prstGeom>
                  </pic:spPr>
                </pic:pic>
              </a:graphicData>
            </a:graphic>
          </wp:inline>
        </w:drawing>
      </w:r>
      <w:r>
        <w:rPr>
          <w:color w:val="636466"/>
          <w:position w:val="4"/>
          <w:sz w:val="18"/>
        </w:rPr>
      </w:r>
      <w:r>
        <w:rPr>
          <w:rFonts w:ascii="Times New Roman"/>
          <w:color w:val="636466"/>
          <w:spacing w:val="40"/>
          <w:sz w:val="18"/>
        </w:rPr>
        <w:t> </w:t>
      </w:r>
      <w:r>
        <w:rPr>
          <w:color w:val="636466"/>
          <w:sz w:val="18"/>
        </w:rPr>
        <w:t>NYS</w:t>
      </w:r>
    </w:p>
    <w:p>
      <w:pPr>
        <w:pStyle w:val="BodyText"/>
        <w:spacing w:before="95"/>
        <w:rPr>
          <w:sz w:val="18"/>
        </w:rPr>
      </w:pPr>
    </w:p>
    <w:p>
      <w:pPr>
        <w:spacing w:before="0"/>
        <w:ind w:left="2486" w:right="0" w:firstLine="0"/>
        <w:jc w:val="left"/>
        <w:rPr>
          <w:sz w:val="18"/>
        </w:rPr>
      </w:pPr>
      <w:r>
        <w:rPr>
          <w:sz w:val="18"/>
        </w:rPr>
        <mc:AlternateContent>
          <mc:Choice Requires="wps">
            <w:drawing>
              <wp:anchor distT="0" distB="0" distL="0" distR="0" allowOverlap="1" layoutInCell="1" locked="0" behindDoc="0" simplePos="0" relativeHeight="15808512">
                <wp:simplePos x="0" y="0"/>
                <wp:positionH relativeFrom="page">
                  <wp:posOffset>9012707</wp:posOffset>
                </wp:positionH>
                <wp:positionV relativeFrom="paragraph">
                  <wp:posOffset>34103</wp:posOffset>
                </wp:positionV>
                <wp:extent cx="4685030" cy="1483995"/>
                <wp:effectExtent l="0" t="0" r="0" b="0"/>
                <wp:wrapNone/>
                <wp:docPr id="782" name="Group 782"/>
                <wp:cNvGraphicFramePr>
                  <a:graphicFrameLocks/>
                </wp:cNvGraphicFramePr>
                <a:graphic>
                  <a:graphicData uri="http://schemas.microsoft.com/office/word/2010/wordprocessingGroup">
                    <wpg:wgp>
                      <wpg:cNvPr id="782" name="Group 782"/>
                      <wpg:cNvGrpSpPr/>
                      <wpg:grpSpPr>
                        <a:xfrm>
                          <a:off x="0" y="0"/>
                          <a:ext cx="4685030" cy="1483995"/>
                          <a:chExt cx="4685030" cy="1483995"/>
                        </a:xfrm>
                      </wpg:grpSpPr>
                      <wps:wsp>
                        <wps:cNvPr id="783" name="Graphic 783"/>
                        <wps:cNvSpPr/>
                        <wps:spPr>
                          <a:xfrm>
                            <a:off x="5499" y="5499"/>
                            <a:ext cx="4673600" cy="1472565"/>
                          </a:xfrm>
                          <a:custGeom>
                            <a:avLst/>
                            <a:gdLst/>
                            <a:ahLst/>
                            <a:cxnLst/>
                            <a:rect l="l" t="t" r="r" b="b"/>
                            <a:pathLst>
                              <a:path w="4673600" h="1472565">
                                <a:moveTo>
                                  <a:pt x="4673447" y="1472501"/>
                                </a:moveTo>
                                <a:lnTo>
                                  <a:pt x="0" y="1472501"/>
                                </a:lnTo>
                                <a:lnTo>
                                  <a:pt x="0" y="0"/>
                                </a:lnTo>
                              </a:path>
                            </a:pathLst>
                          </a:custGeom>
                          <a:ln w="10998">
                            <a:solidFill>
                              <a:srgbClr val="BCBEC0"/>
                            </a:solidFill>
                            <a:prstDash val="solid"/>
                          </a:ln>
                        </wps:spPr>
                        <wps:bodyPr wrap="square" lIns="0" tIns="0" rIns="0" bIns="0" rtlCol="0">
                          <a:prstTxWarp prst="textNoShape">
                            <a:avLst/>
                          </a:prstTxWarp>
                          <a:noAutofit/>
                        </wps:bodyPr>
                      </wps:wsp>
                      <wps:wsp>
                        <wps:cNvPr id="784" name="Graphic 784"/>
                        <wps:cNvSpPr/>
                        <wps:spPr>
                          <a:xfrm>
                            <a:off x="418249" y="720763"/>
                            <a:ext cx="4038600" cy="304800"/>
                          </a:xfrm>
                          <a:custGeom>
                            <a:avLst/>
                            <a:gdLst/>
                            <a:ahLst/>
                            <a:cxnLst/>
                            <a:rect l="l" t="t" r="r" b="b"/>
                            <a:pathLst>
                              <a:path w="4038600" h="304800">
                                <a:moveTo>
                                  <a:pt x="0" y="19050"/>
                                </a:moveTo>
                                <a:lnTo>
                                  <a:pt x="800100" y="0"/>
                                </a:lnTo>
                                <a:lnTo>
                                  <a:pt x="1612900" y="38100"/>
                                </a:lnTo>
                                <a:lnTo>
                                  <a:pt x="2425700" y="142875"/>
                                </a:lnTo>
                                <a:lnTo>
                                  <a:pt x="3225800" y="228600"/>
                                </a:lnTo>
                                <a:lnTo>
                                  <a:pt x="4038600" y="304800"/>
                                </a:lnTo>
                              </a:path>
                            </a:pathLst>
                          </a:custGeom>
                          <a:ln w="21996">
                            <a:solidFill>
                              <a:srgbClr val="0F5D86"/>
                            </a:solidFill>
                            <a:prstDash val="solid"/>
                          </a:ln>
                        </wps:spPr>
                        <wps:bodyPr wrap="square" lIns="0" tIns="0" rIns="0" bIns="0" rtlCol="0">
                          <a:prstTxWarp prst="textNoShape">
                            <a:avLst/>
                          </a:prstTxWarp>
                          <a:noAutofit/>
                        </wps:bodyPr>
                      </wps:wsp>
                      <wps:wsp>
                        <wps:cNvPr id="785" name="Graphic 785"/>
                        <wps:cNvSpPr/>
                        <wps:spPr>
                          <a:xfrm>
                            <a:off x="418249" y="577888"/>
                            <a:ext cx="4038600" cy="276225"/>
                          </a:xfrm>
                          <a:custGeom>
                            <a:avLst/>
                            <a:gdLst/>
                            <a:ahLst/>
                            <a:cxnLst/>
                            <a:rect l="l" t="t" r="r" b="b"/>
                            <a:pathLst>
                              <a:path w="4038600" h="276225">
                                <a:moveTo>
                                  <a:pt x="0" y="0"/>
                                </a:moveTo>
                                <a:lnTo>
                                  <a:pt x="800100" y="0"/>
                                </a:lnTo>
                                <a:lnTo>
                                  <a:pt x="1612900" y="95250"/>
                                </a:lnTo>
                                <a:lnTo>
                                  <a:pt x="2425700" y="180975"/>
                                </a:lnTo>
                                <a:lnTo>
                                  <a:pt x="3225800" y="180975"/>
                                </a:lnTo>
                                <a:lnTo>
                                  <a:pt x="4038600" y="276225"/>
                                </a:lnTo>
                              </a:path>
                            </a:pathLst>
                          </a:custGeom>
                          <a:ln w="21996">
                            <a:solidFill>
                              <a:srgbClr val="82BF6A"/>
                            </a:solidFill>
                            <a:prstDash val="solid"/>
                          </a:ln>
                        </wps:spPr>
                        <wps:bodyPr wrap="square" lIns="0" tIns="0" rIns="0" bIns="0" rtlCol="0">
                          <a:prstTxWarp prst="textNoShape">
                            <a:avLst/>
                          </a:prstTxWarp>
                          <a:noAutofit/>
                        </wps:bodyPr>
                      </wps:wsp>
                      <wps:wsp>
                        <wps:cNvPr id="786" name="Graphic 786"/>
                        <wps:cNvSpPr/>
                        <wps:spPr>
                          <a:xfrm>
                            <a:off x="405549" y="120694"/>
                            <a:ext cx="3979545" cy="372745"/>
                          </a:xfrm>
                          <a:custGeom>
                            <a:avLst/>
                            <a:gdLst/>
                            <a:ahLst/>
                            <a:cxnLst/>
                            <a:rect l="l" t="t" r="r" b="b"/>
                            <a:pathLst>
                              <a:path w="3979545" h="372745">
                                <a:moveTo>
                                  <a:pt x="95910" y="0"/>
                                </a:moveTo>
                                <a:lnTo>
                                  <a:pt x="5676" y="0"/>
                                </a:lnTo>
                                <a:lnTo>
                                  <a:pt x="0" y="4254"/>
                                </a:lnTo>
                                <a:lnTo>
                                  <a:pt x="0" y="14782"/>
                                </a:lnTo>
                                <a:lnTo>
                                  <a:pt x="5676" y="19049"/>
                                </a:lnTo>
                                <a:lnTo>
                                  <a:pt x="95910" y="19049"/>
                                </a:lnTo>
                                <a:lnTo>
                                  <a:pt x="101600" y="14782"/>
                                </a:lnTo>
                                <a:lnTo>
                                  <a:pt x="101600" y="4254"/>
                                </a:lnTo>
                                <a:lnTo>
                                  <a:pt x="95910" y="0"/>
                                </a:lnTo>
                                <a:close/>
                              </a:path>
                              <a:path w="3979545" h="372745">
                                <a:moveTo>
                                  <a:pt x="273710" y="0"/>
                                </a:moveTo>
                                <a:lnTo>
                                  <a:pt x="183476" y="0"/>
                                </a:lnTo>
                                <a:lnTo>
                                  <a:pt x="177800" y="4254"/>
                                </a:lnTo>
                                <a:lnTo>
                                  <a:pt x="177800" y="14782"/>
                                </a:lnTo>
                                <a:lnTo>
                                  <a:pt x="183476" y="19049"/>
                                </a:lnTo>
                                <a:lnTo>
                                  <a:pt x="273710" y="19049"/>
                                </a:lnTo>
                                <a:lnTo>
                                  <a:pt x="279400" y="14782"/>
                                </a:lnTo>
                                <a:lnTo>
                                  <a:pt x="279400" y="4254"/>
                                </a:lnTo>
                                <a:lnTo>
                                  <a:pt x="273710" y="0"/>
                                </a:lnTo>
                                <a:close/>
                              </a:path>
                              <a:path w="3979545" h="372745">
                                <a:moveTo>
                                  <a:pt x="451510" y="0"/>
                                </a:moveTo>
                                <a:lnTo>
                                  <a:pt x="361276" y="0"/>
                                </a:lnTo>
                                <a:lnTo>
                                  <a:pt x="355600" y="4254"/>
                                </a:lnTo>
                                <a:lnTo>
                                  <a:pt x="355600" y="14782"/>
                                </a:lnTo>
                                <a:lnTo>
                                  <a:pt x="361276" y="19049"/>
                                </a:lnTo>
                                <a:lnTo>
                                  <a:pt x="451510" y="19049"/>
                                </a:lnTo>
                                <a:lnTo>
                                  <a:pt x="457200" y="14782"/>
                                </a:lnTo>
                                <a:lnTo>
                                  <a:pt x="457200" y="4254"/>
                                </a:lnTo>
                                <a:lnTo>
                                  <a:pt x="451510" y="0"/>
                                </a:lnTo>
                                <a:close/>
                              </a:path>
                              <a:path w="3979545" h="372745">
                                <a:moveTo>
                                  <a:pt x="629310" y="0"/>
                                </a:moveTo>
                                <a:lnTo>
                                  <a:pt x="539076" y="0"/>
                                </a:lnTo>
                                <a:lnTo>
                                  <a:pt x="533400" y="4254"/>
                                </a:lnTo>
                                <a:lnTo>
                                  <a:pt x="533400" y="14782"/>
                                </a:lnTo>
                                <a:lnTo>
                                  <a:pt x="539076" y="19049"/>
                                </a:lnTo>
                                <a:lnTo>
                                  <a:pt x="629310" y="19049"/>
                                </a:lnTo>
                                <a:lnTo>
                                  <a:pt x="635000" y="14782"/>
                                </a:lnTo>
                                <a:lnTo>
                                  <a:pt x="635000" y="4254"/>
                                </a:lnTo>
                                <a:lnTo>
                                  <a:pt x="629310" y="0"/>
                                </a:lnTo>
                                <a:close/>
                              </a:path>
                              <a:path w="3979545" h="372745">
                                <a:moveTo>
                                  <a:pt x="807110" y="0"/>
                                </a:moveTo>
                                <a:lnTo>
                                  <a:pt x="716876" y="0"/>
                                </a:lnTo>
                                <a:lnTo>
                                  <a:pt x="711200" y="4254"/>
                                </a:lnTo>
                                <a:lnTo>
                                  <a:pt x="711200" y="14782"/>
                                </a:lnTo>
                                <a:lnTo>
                                  <a:pt x="716876" y="19049"/>
                                </a:lnTo>
                                <a:lnTo>
                                  <a:pt x="807110" y="19049"/>
                                </a:lnTo>
                                <a:lnTo>
                                  <a:pt x="812800" y="14782"/>
                                </a:lnTo>
                                <a:lnTo>
                                  <a:pt x="812800" y="4254"/>
                                </a:lnTo>
                                <a:lnTo>
                                  <a:pt x="807110" y="0"/>
                                </a:lnTo>
                                <a:close/>
                              </a:path>
                              <a:path w="3979545" h="372745">
                                <a:moveTo>
                                  <a:pt x="895654" y="9588"/>
                                </a:moveTo>
                                <a:lnTo>
                                  <a:pt x="889165" y="13144"/>
                                </a:lnTo>
                                <a:lnTo>
                                  <a:pt x="886993" y="23545"/>
                                </a:lnTo>
                                <a:lnTo>
                                  <a:pt x="891743" y="28409"/>
                                </a:lnTo>
                                <a:lnTo>
                                  <a:pt x="980884" y="38861"/>
                                </a:lnTo>
                                <a:lnTo>
                                  <a:pt x="987374" y="35305"/>
                                </a:lnTo>
                                <a:lnTo>
                                  <a:pt x="989545" y="24904"/>
                                </a:lnTo>
                                <a:lnTo>
                                  <a:pt x="984808" y="20040"/>
                                </a:lnTo>
                                <a:lnTo>
                                  <a:pt x="895654" y="9588"/>
                                </a:lnTo>
                                <a:close/>
                              </a:path>
                              <a:path w="3979545" h="372745">
                                <a:moveTo>
                                  <a:pt x="1071333" y="30175"/>
                                </a:moveTo>
                                <a:lnTo>
                                  <a:pt x="1064831" y="33731"/>
                                </a:lnTo>
                                <a:lnTo>
                                  <a:pt x="1063739" y="38925"/>
                                </a:lnTo>
                                <a:lnTo>
                                  <a:pt x="1062672" y="44132"/>
                                </a:lnTo>
                                <a:lnTo>
                                  <a:pt x="1067409" y="48996"/>
                                </a:lnTo>
                                <a:lnTo>
                                  <a:pt x="1156550" y="59448"/>
                                </a:lnTo>
                                <a:lnTo>
                                  <a:pt x="1163053" y="55892"/>
                                </a:lnTo>
                                <a:lnTo>
                                  <a:pt x="1165212" y="45504"/>
                                </a:lnTo>
                                <a:lnTo>
                                  <a:pt x="1160475" y="40627"/>
                                </a:lnTo>
                                <a:lnTo>
                                  <a:pt x="1071333" y="30175"/>
                                </a:lnTo>
                                <a:close/>
                              </a:path>
                              <a:path w="3979545" h="372745">
                                <a:moveTo>
                                  <a:pt x="1247000" y="50761"/>
                                </a:moveTo>
                                <a:lnTo>
                                  <a:pt x="1240497" y="54317"/>
                                </a:lnTo>
                                <a:lnTo>
                                  <a:pt x="1238338" y="64719"/>
                                </a:lnTo>
                                <a:lnTo>
                                  <a:pt x="1243076" y="69583"/>
                                </a:lnTo>
                                <a:lnTo>
                                  <a:pt x="1332217" y="80035"/>
                                </a:lnTo>
                                <a:lnTo>
                                  <a:pt x="1338719" y="76479"/>
                                </a:lnTo>
                                <a:lnTo>
                                  <a:pt x="1340878" y="66090"/>
                                </a:lnTo>
                                <a:lnTo>
                                  <a:pt x="1336141" y="61213"/>
                                </a:lnTo>
                                <a:lnTo>
                                  <a:pt x="1247000" y="50761"/>
                                </a:lnTo>
                                <a:close/>
                              </a:path>
                              <a:path w="3979545" h="372745">
                                <a:moveTo>
                                  <a:pt x="1422666" y="71348"/>
                                </a:moveTo>
                                <a:lnTo>
                                  <a:pt x="1416164" y="74904"/>
                                </a:lnTo>
                                <a:lnTo>
                                  <a:pt x="1414005" y="85305"/>
                                </a:lnTo>
                                <a:lnTo>
                                  <a:pt x="1418742" y="90169"/>
                                </a:lnTo>
                                <a:lnTo>
                                  <a:pt x="1507883" y="100622"/>
                                </a:lnTo>
                                <a:lnTo>
                                  <a:pt x="1514386" y="97066"/>
                                </a:lnTo>
                                <a:lnTo>
                                  <a:pt x="1516545" y="86664"/>
                                </a:lnTo>
                                <a:lnTo>
                                  <a:pt x="1511808" y="81800"/>
                                </a:lnTo>
                                <a:lnTo>
                                  <a:pt x="1422666" y="71348"/>
                                </a:lnTo>
                                <a:close/>
                              </a:path>
                              <a:path w="3979545" h="372745">
                                <a:moveTo>
                                  <a:pt x="1598333" y="91935"/>
                                </a:moveTo>
                                <a:lnTo>
                                  <a:pt x="1591843" y="95491"/>
                                </a:lnTo>
                                <a:lnTo>
                                  <a:pt x="1589671" y="105879"/>
                                </a:lnTo>
                                <a:lnTo>
                                  <a:pt x="1594408" y="110756"/>
                                </a:lnTo>
                                <a:lnTo>
                                  <a:pt x="1623631" y="114185"/>
                                </a:lnTo>
                                <a:lnTo>
                                  <a:pt x="1683893" y="120535"/>
                                </a:lnTo>
                                <a:lnTo>
                                  <a:pt x="1690306" y="116916"/>
                                </a:lnTo>
                                <a:lnTo>
                                  <a:pt x="1692262" y="106489"/>
                                </a:lnTo>
                                <a:lnTo>
                                  <a:pt x="1687423" y="101676"/>
                                </a:lnTo>
                                <a:lnTo>
                                  <a:pt x="1628760" y="95491"/>
                                </a:lnTo>
                                <a:lnTo>
                                  <a:pt x="1598333" y="91935"/>
                                </a:lnTo>
                                <a:close/>
                              </a:path>
                              <a:path w="3979545" h="372745">
                                <a:moveTo>
                                  <a:pt x="1774139" y="110820"/>
                                </a:moveTo>
                                <a:lnTo>
                                  <a:pt x="1767725" y="114452"/>
                                </a:lnTo>
                                <a:lnTo>
                                  <a:pt x="1765769" y="124866"/>
                                </a:lnTo>
                                <a:lnTo>
                                  <a:pt x="1770608" y="129679"/>
                                </a:lnTo>
                                <a:lnTo>
                                  <a:pt x="1859953" y="139115"/>
                                </a:lnTo>
                                <a:lnTo>
                                  <a:pt x="1866379" y="135483"/>
                                </a:lnTo>
                                <a:lnTo>
                                  <a:pt x="1868335" y="125069"/>
                                </a:lnTo>
                                <a:lnTo>
                                  <a:pt x="1863496" y="120243"/>
                                </a:lnTo>
                                <a:lnTo>
                                  <a:pt x="1774139" y="110820"/>
                                </a:lnTo>
                                <a:close/>
                              </a:path>
                              <a:path w="3979545" h="372745">
                                <a:moveTo>
                                  <a:pt x="1950212" y="129387"/>
                                </a:moveTo>
                                <a:lnTo>
                                  <a:pt x="1943785" y="133019"/>
                                </a:lnTo>
                                <a:lnTo>
                                  <a:pt x="1941830" y="143433"/>
                                </a:lnTo>
                                <a:lnTo>
                                  <a:pt x="1946668" y="148259"/>
                                </a:lnTo>
                                <a:lnTo>
                                  <a:pt x="2036025" y="157670"/>
                                </a:lnTo>
                                <a:lnTo>
                                  <a:pt x="2042439" y="154050"/>
                                </a:lnTo>
                                <a:lnTo>
                                  <a:pt x="2044395" y="143624"/>
                                </a:lnTo>
                                <a:lnTo>
                                  <a:pt x="2039556" y="138810"/>
                                </a:lnTo>
                                <a:lnTo>
                                  <a:pt x="1950212" y="129387"/>
                                </a:lnTo>
                                <a:close/>
                              </a:path>
                              <a:path w="3979545" h="372745">
                                <a:moveTo>
                                  <a:pt x="2126284" y="147954"/>
                                </a:moveTo>
                                <a:lnTo>
                                  <a:pt x="2119858" y="151587"/>
                                </a:lnTo>
                                <a:lnTo>
                                  <a:pt x="2117902" y="162001"/>
                                </a:lnTo>
                                <a:lnTo>
                                  <a:pt x="2122741" y="166827"/>
                                </a:lnTo>
                                <a:lnTo>
                                  <a:pt x="2212086" y="176250"/>
                                </a:lnTo>
                                <a:lnTo>
                                  <a:pt x="2218512" y="172618"/>
                                </a:lnTo>
                                <a:lnTo>
                                  <a:pt x="2220468" y="162204"/>
                                </a:lnTo>
                                <a:lnTo>
                                  <a:pt x="2215629" y="157378"/>
                                </a:lnTo>
                                <a:lnTo>
                                  <a:pt x="2126284" y="147954"/>
                                </a:lnTo>
                                <a:close/>
                              </a:path>
                              <a:path w="3979545" h="372745">
                                <a:moveTo>
                                  <a:pt x="2302344" y="166535"/>
                                </a:moveTo>
                                <a:lnTo>
                                  <a:pt x="2295918" y="170154"/>
                                </a:lnTo>
                                <a:lnTo>
                                  <a:pt x="2293975" y="180581"/>
                                </a:lnTo>
                                <a:lnTo>
                                  <a:pt x="2298814" y="185394"/>
                                </a:lnTo>
                                <a:lnTo>
                                  <a:pt x="2388158" y="194817"/>
                                </a:lnTo>
                                <a:lnTo>
                                  <a:pt x="2394585" y="191185"/>
                                </a:lnTo>
                                <a:lnTo>
                                  <a:pt x="2396528" y="180771"/>
                                </a:lnTo>
                                <a:lnTo>
                                  <a:pt x="2391689" y="175945"/>
                                </a:lnTo>
                                <a:lnTo>
                                  <a:pt x="2302344" y="166535"/>
                                </a:lnTo>
                                <a:close/>
                              </a:path>
                              <a:path w="3979545" h="372745">
                                <a:moveTo>
                                  <a:pt x="2478532" y="185635"/>
                                </a:moveTo>
                                <a:lnTo>
                                  <a:pt x="2472029" y="189179"/>
                                </a:lnTo>
                                <a:lnTo>
                                  <a:pt x="2469832" y="199567"/>
                                </a:lnTo>
                                <a:lnTo>
                                  <a:pt x="2474544" y="204444"/>
                                </a:lnTo>
                                <a:lnTo>
                                  <a:pt x="2563660" y="215061"/>
                                </a:lnTo>
                                <a:lnTo>
                                  <a:pt x="2570175" y="211505"/>
                                </a:lnTo>
                                <a:lnTo>
                                  <a:pt x="2572372" y="201117"/>
                                </a:lnTo>
                                <a:lnTo>
                                  <a:pt x="2567647" y="196240"/>
                                </a:lnTo>
                                <a:lnTo>
                                  <a:pt x="2478532" y="185635"/>
                                </a:lnTo>
                                <a:close/>
                              </a:path>
                              <a:path w="3979545" h="372745">
                                <a:moveTo>
                                  <a:pt x="2654134" y="206540"/>
                                </a:moveTo>
                                <a:lnTo>
                                  <a:pt x="2647632" y="210083"/>
                                </a:lnTo>
                                <a:lnTo>
                                  <a:pt x="2645422" y="220459"/>
                                </a:lnTo>
                                <a:lnTo>
                                  <a:pt x="2650159" y="225348"/>
                                </a:lnTo>
                                <a:lnTo>
                                  <a:pt x="2739263" y="235953"/>
                                </a:lnTo>
                                <a:lnTo>
                                  <a:pt x="2745765" y="232409"/>
                                </a:lnTo>
                                <a:lnTo>
                                  <a:pt x="2747975" y="222021"/>
                                </a:lnTo>
                                <a:lnTo>
                                  <a:pt x="2743250" y="217157"/>
                                </a:lnTo>
                                <a:lnTo>
                                  <a:pt x="2654134" y="206540"/>
                                </a:lnTo>
                                <a:close/>
                              </a:path>
                              <a:path w="3979545" h="372745">
                                <a:moveTo>
                                  <a:pt x="2829737" y="227431"/>
                                </a:moveTo>
                                <a:lnTo>
                                  <a:pt x="2823222" y="230974"/>
                                </a:lnTo>
                                <a:lnTo>
                                  <a:pt x="2821038" y="241376"/>
                                </a:lnTo>
                                <a:lnTo>
                                  <a:pt x="2825750" y="246252"/>
                                </a:lnTo>
                                <a:lnTo>
                                  <a:pt x="2914865" y="256857"/>
                                </a:lnTo>
                                <a:lnTo>
                                  <a:pt x="2921381" y="253326"/>
                                </a:lnTo>
                                <a:lnTo>
                                  <a:pt x="2923565" y="242925"/>
                                </a:lnTo>
                                <a:lnTo>
                                  <a:pt x="2918853" y="238048"/>
                                </a:lnTo>
                                <a:lnTo>
                                  <a:pt x="2829737" y="227431"/>
                                </a:lnTo>
                                <a:close/>
                              </a:path>
                              <a:path w="3979545" h="372745">
                                <a:moveTo>
                                  <a:pt x="3005340" y="248335"/>
                                </a:moveTo>
                                <a:lnTo>
                                  <a:pt x="2998838" y="251879"/>
                                </a:lnTo>
                                <a:lnTo>
                                  <a:pt x="2996628" y="262280"/>
                                </a:lnTo>
                                <a:lnTo>
                                  <a:pt x="3001352" y="267169"/>
                                </a:lnTo>
                                <a:lnTo>
                                  <a:pt x="3090468" y="277774"/>
                                </a:lnTo>
                                <a:lnTo>
                                  <a:pt x="3096971" y="274231"/>
                                </a:lnTo>
                                <a:lnTo>
                                  <a:pt x="3099181" y="263829"/>
                                </a:lnTo>
                                <a:lnTo>
                                  <a:pt x="3094443" y="258965"/>
                                </a:lnTo>
                                <a:lnTo>
                                  <a:pt x="3005340" y="248335"/>
                                </a:lnTo>
                                <a:close/>
                              </a:path>
                              <a:path w="3979545" h="372745">
                                <a:moveTo>
                                  <a:pt x="3180930" y="269252"/>
                                </a:moveTo>
                                <a:lnTo>
                                  <a:pt x="3174428" y="272795"/>
                                </a:lnTo>
                                <a:lnTo>
                                  <a:pt x="3172231" y="283197"/>
                                </a:lnTo>
                                <a:lnTo>
                                  <a:pt x="3176955" y="288061"/>
                                </a:lnTo>
                                <a:lnTo>
                                  <a:pt x="3236493" y="295147"/>
                                </a:lnTo>
                                <a:lnTo>
                                  <a:pt x="3266376" y="298310"/>
                                </a:lnTo>
                                <a:lnTo>
                                  <a:pt x="3272790" y="294690"/>
                                </a:lnTo>
                                <a:lnTo>
                                  <a:pt x="3274745" y="284251"/>
                                </a:lnTo>
                                <a:lnTo>
                                  <a:pt x="3269907" y="279438"/>
                                </a:lnTo>
                                <a:lnTo>
                                  <a:pt x="3240481" y="276351"/>
                                </a:lnTo>
                                <a:lnTo>
                                  <a:pt x="3180930" y="269252"/>
                                </a:lnTo>
                                <a:close/>
                              </a:path>
                              <a:path w="3979545" h="372745">
                                <a:moveTo>
                                  <a:pt x="3356622" y="288582"/>
                                </a:moveTo>
                                <a:lnTo>
                                  <a:pt x="3350209" y="292226"/>
                                </a:lnTo>
                                <a:lnTo>
                                  <a:pt x="3349218" y="297421"/>
                                </a:lnTo>
                                <a:lnTo>
                                  <a:pt x="3348253" y="302628"/>
                                </a:lnTo>
                                <a:lnTo>
                                  <a:pt x="3353092" y="307454"/>
                                </a:lnTo>
                                <a:lnTo>
                                  <a:pt x="3442436" y="316877"/>
                                </a:lnTo>
                                <a:lnTo>
                                  <a:pt x="3448862" y="313232"/>
                                </a:lnTo>
                                <a:lnTo>
                                  <a:pt x="3450805" y="302818"/>
                                </a:lnTo>
                                <a:lnTo>
                                  <a:pt x="3445979" y="298005"/>
                                </a:lnTo>
                                <a:lnTo>
                                  <a:pt x="3356622" y="288582"/>
                                </a:lnTo>
                                <a:close/>
                              </a:path>
                              <a:path w="3979545" h="372745">
                                <a:moveTo>
                                  <a:pt x="3532695" y="307149"/>
                                </a:moveTo>
                                <a:lnTo>
                                  <a:pt x="3526269" y="310794"/>
                                </a:lnTo>
                                <a:lnTo>
                                  <a:pt x="3524326" y="321195"/>
                                </a:lnTo>
                                <a:lnTo>
                                  <a:pt x="3529152" y="326008"/>
                                </a:lnTo>
                                <a:lnTo>
                                  <a:pt x="3618509" y="335445"/>
                                </a:lnTo>
                                <a:lnTo>
                                  <a:pt x="3624922" y="331825"/>
                                </a:lnTo>
                                <a:lnTo>
                                  <a:pt x="3625886" y="326758"/>
                                </a:lnTo>
                                <a:lnTo>
                                  <a:pt x="3626878" y="321398"/>
                                </a:lnTo>
                                <a:lnTo>
                                  <a:pt x="3622040" y="316585"/>
                                </a:lnTo>
                                <a:lnTo>
                                  <a:pt x="3532695" y="307149"/>
                                </a:lnTo>
                                <a:close/>
                              </a:path>
                              <a:path w="3979545" h="372745">
                                <a:moveTo>
                                  <a:pt x="3708768" y="325729"/>
                                </a:moveTo>
                                <a:lnTo>
                                  <a:pt x="3702342" y="329361"/>
                                </a:lnTo>
                                <a:lnTo>
                                  <a:pt x="3700386" y="339763"/>
                                </a:lnTo>
                                <a:lnTo>
                                  <a:pt x="3705225" y="344589"/>
                                </a:lnTo>
                                <a:lnTo>
                                  <a:pt x="3794569" y="353999"/>
                                </a:lnTo>
                                <a:lnTo>
                                  <a:pt x="3800995" y="350380"/>
                                </a:lnTo>
                                <a:lnTo>
                                  <a:pt x="3802951" y="339966"/>
                                </a:lnTo>
                                <a:lnTo>
                                  <a:pt x="3798112" y="335140"/>
                                </a:lnTo>
                                <a:lnTo>
                                  <a:pt x="3708768" y="325729"/>
                                </a:lnTo>
                                <a:close/>
                              </a:path>
                              <a:path w="3979545" h="372745">
                                <a:moveTo>
                                  <a:pt x="3884828" y="344284"/>
                                </a:moveTo>
                                <a:lnTo>
                                  <a:pt x="3878402" y="347929"/>
                                </a:lnTo>
                                <a:lnTo>
                                  <a:pt x="3876459" y="358355"/>
                                </a:lnTo>
                                <a:lnTo>
                                  <a:pt x="3881285" y="363169"/>
                                </a:lnTo>
                                <a:lnTo>
                                  <a:pt x="3970642" y="372592"/>
                                </a:lnTo>
                                <a:lnTo>
                                  <a:pt x="3977068" y="368960"/>
                                </a:lnTo>
                                <a:lnTo>
                                  <a:pt x="3979011" y="358533"/>
                                </a:lnTo>
                                <a:lnTo>
                                  <a:pt x="3974172" y="353733"/>
                                </a:lnTo>
                                <a:lnTo>
                                  <a:pt x="3884828" y="344284"/>
                                </a:lnTo>
                                <a:close/>
                              </a:path>
                            </a:pathLst>
                          </a:custGeom>
                          <a:solidFill>
                            <a:srgbClr val="BCBEC0"/>
                          </a:solidFill>
                        </wps:spPr>
                        <wps:bodyPr wrap="square" lIns="0" tIns="0" rIns="0" bIns="0" rtlCol="0">
                          <a:prstTxWarp prst="textNoShape">
                            <a:avLst/>
                          </a:prstTxWarp>
                          <a:noAutofit/>
                        </wps:bodyPr>
                      </wps:wsp>
                    </wpg:wgp>
                  </a:graphicData>
                </a:graphic>
              </wp:anchor>
            </w:drawing>
          </mc:Choice>
          <mc:Fallback>
            <w:pict>
              <v:group style="position:absolute;margin-left:709.661987pt;margin-top:2.685336pt;width:368.9pt;height:116.85pt;mso-position-horizontal-relative:page;mso-position-vertical-relative:paragraph;z-index:15808512" id="docshapegroup667" coordorigin="14193,54" coordsize="7378,2337">
                <v:shape style="position:absolute;left:14201;top:62;width:7360;height:2319" id="docshape668" coordorigin="14202,62" coordsize="7360,2319" path="m21562,2381l14202,2381,14202,62e" filled="false" stroked="true" strokeweight=".866pt" strokecolor="#bcbec0">
                  <v:path arrowok="t"/>
                  <v:stroke dashstyle="solid"/>
                </v:shape>
                <v:shape style="position:absolute;left:14851;top:1188;width:6360;height:480" id="docshape669" coordorigin="14852,1189" coordsize="6360,480" path="m14852,1219l16112,1189,17392,1249,18672,1414,19932,1549,21212,1669e" filled="false" stroked="true" strokeweight="1.732pt" strokecolor="#0f5d86">
                  <v:path arrowok="t"/>
                  <v:stroke dashstyle="solid"/>
                </v:shape>
                <v:shape style="position:absolute;left:14851;top:963;width:6360;height:435" id="docshape670" coordorigin="14852,964" coordsize="6360,435" path="m14852,964l16112,964,17392,1114,18672,1249,19932,1249,21212,1399e" filled="false" stroked="true" strokeweight="1.732pt" strokecolor="#82bf6a">
                  <v:path arrowok="t"/>
                  <v:stroke dashstyle="solid"/>
                </v:shape>
                <v:shape style="position:absolute;left:14831;top:243;width:6267;height:587" id="docshape671" coordorigin="14832,244" coordsize="6267,587" path="m14983,244l14841,244,14832,250,14832,267,14841,274,14983,274,14992,267,14992,250,14983,244xm15263,244l15121,244,15112,250,15112,267,15121,274,15263,274,15272,267,15272,250,15263,244xm15543,244l15401,244,15392,250,15392,267,15401,274,15543,274,15552,267,15552,250,15543,244xm15823,244l15681,244,15672,250,15672,267,15681,274,15823,274,15832,267,15832,250,15823,244xm16103,244l15961,244,15952,250,15952,267,15961,274,16103,274,16112,267,16112,250,16103,244xm16242,259l16232,264,16229,281,16236,289,16377,305,16387,299,16390,283,16383,275,16242,259xm16519,291l16509,297,16507,305,16505,313,16513,321,16653,337,16663,332,16667,315,16659,308,16519,291xm16796,324l16785,329,16782,346,16789,353,16930,370,16940,364,16944,348,16936,340,16796,324xm17072,356l17062,362,17059,378,17066,386,17207,402,17217,397,17220,380,17213,373,17072,356xm17349,389l17339,394,17335,411,17343,418,17389,424,17484,434,17494,428,17497,411,17489,404,17397,394,17349,389xm17626,418l17616,424,17613,440,17620,448,17761,463,17771,457,17774,441,17767,433,17626,418xm17903,448l17893,453,17890,470,17898,477,18038,492,18048,486,18051,470,18044,462,17903,448xm18180,477l18170,482,18167,499,18175,506,18315,521,18326,516,18329,499,18321,492,18180,477xm18458,506l18448,512,18444,528,18452,536,18593,551,18603,545,18606,528,18598,521,18458,506xm18735,536l18725,542,18721,558,18729,566,18869,582,18879,577,18883,560,18875,553,18735,536xm19012,569l19001,575,18998,591,19005,599,19146,615,19156,610,19159,593,19152,586,19012,569xm19288,602l19278,608,19274,624,19282,632,19422,648,19432,643,19436,626,19429,619,19288,602xm19565,635l19554,640,19551,657,19558,665,19699,681,19709,676,19712,659,19705,652,19565,635xm19841,668l19831,673,19828,690,19835,697,19929,709,19976,714,19986,708,19989,691,19981,684,19935,679,19841,668xm20118,698l20108,704,20106,712,20105,720,20112,728,20253,743,20263,737,20266,721,20259,713,20118,698xm20395,727l20385,733,20382,750,20390,757,20530,772,20540,766,20542,758,20544,750,20536,742,20395,727xm20672,757l20662,762,20659,779,20667,786,20808,801,20818,796,20821,779,20813,772,20672,757xm20950,786l20940,792,20937,808,20944,816,21085,831,21095,825,21098,808,21090,801,20950,786xe" filled="true" fillcolor="#bcbec0" stroked="false">
                  <v:path arrowok="t"/>
                  <v:fill type="solid"/>
                </v:shape>
                <w10:wrap type="none"/>
              </v:group>
            </w:pict>
          </mc:Fallback>
        </mc:AlternateContent>
      </w:r>
      <w:r>
        <w:rPr>
          <w:color w:val="636466"/>
          <w:spacing w:val="-5"/>
          <w:sz w:val="18"/>
        </w:rPr>
        <w:t>16%</w:t>
      </w:r>
    </w:p>
    <w:p>
      <w:pPr>
        <w:spacing w:before="78"/>
        <w:ind w:left="2486" w:right="0" w:firstLine="0"/>
        <w:jc w:val="left"/>
        <w:rPr>
          <w:sz w:val="18"/>
        </w:rPr>
      </w:pPr>
      <w:r>
        <w:rPr>
          <w:sz w:val="18"/>
        </w:rPr>
        <mc:AlternateContent>
          <mc:Choice Requires="wps">
            <w:drawing>
              <wp:anchor distT="0" distB="0" distL="0" distR="0" allowOverlap="1" layoutInCell="1" locked="0" behindDoc="0" simplePos="0" relativeHeight="15811072">
                <wp:simplePos x="0" y="0"/>
                <wp:positionH relativeFrom="page">
                  <wp:posOffset>8478598</wp:posOffset>
                </wp:positionH>
                <wp:positionV relativeFrom="paragraph">
                  <wp:posOffset>111774</wp:posOffset>
                </wp:positionV>
                <wp:extent cx="146050" cy="1002665"/>
                <wp:effectExtent l="0" t="0" r="0" b="0"/>
                <wp:wrapNone/>
                <wp:docPr id="787" name="Textbox 787"/>
                <wp:cNvGraphicFramePr>
                  <a:graphicFrameLocks/>
                </wp:cNvGraphicFramePr>
                <a:graphic>
                  <a:graphicData uri="http://schemas.microsoft.com/office/word/2010/wordprocessingShape">
                    <wps:wsp>
                      <wps:cNvPr id="787" name="Textbox 787"/>
                      <wps:cNvSpPr txBox="1"/>
                      <wps:spPr>
                        <a:xfrm>
                          <a:off x="0" y="0"/>
                          <a:ext cx="146050" cy="1002665"/>
                        </a:xfrm>
                        <a:prstGeom prst="rect">
                          <a:avLst/>
                        </a:prstGeom>
                      </wps:spPr>
                      <wps:txbx>
                        <w:txbxContent>
                          <w:p>
                            <w:pPr>
                              <w:spacing w:before="19"/>
                              <w:ind w:left="20" w:right="0" w:firstLine="0"/>
                              <w:jc w:val="left"/>
                              <w:rPr>
                                <w:sz w:val="16"/>
                              </w:rPr>
                            </w:pPr>
                            <w:r>
                              <w:rPr>
                                <w:color w:val="105C84"/>
                                <w:sz w:val="16"/>
                              </w:rPr>
                              <w:t>Percent</w:t>
                            </w:r>
                            <w:r>
                              <w:rPr>
                                <w:color w:val="105C84"/>
                                <w:spacing w:val="-5"/>
                                <w:sz w:val="16"/>
                              </w:rPr>
                              <w:t> </w:t>
                            </w:r>
                            <w:r>
                              <w:rPr>
                                <w:color w:val="105C84"/>
                                <w:sz w:val="16"/>
                              </w:rPr>
                              <w:t>of</w:t>
                            </w:r>
                            <w:r>
                              <w:rPr>
                                <w:color w:val="105C84"/>
                                <w:spacing w:val="-5"/>
                                <w:sz w:val="16"/>
                              </w:rPr>
                              <w:t> </w:t>
                            </w:r>
                            <w:r>
                              <w:rPr>
                                <w:color w:val="105C84"/>
                                <w:spacing w:val="-2"/>
                                <w:sz w:val="16"/>
                              </w:rPr>
                              <w:t>Population</w:t>
                            </w:r>
                          </w:p>
                        </w:txbxContent>
                      </wps:txbx>
                      <wps:bodyPr wrap="square" lIns="0" tIns="0" rIns="0" bIns="0" rtlCol="0" vert="vert270">
                        <a:noAutofit/>
                      </wps:bodyPr>
                    </wps:wsp>
                  </a:graphicData>
                </a:graphic>
              </wp:anchor>
            </w:drawing>
          </mc:Choice>
          <mc:Fallback>
            <w:pict>
              <v:shape style="position:absolute;margin-left:667.606201pt;margin-top:8.801111pt;width:11.5pt;height:78.95pt;mso-position-horizontal-relative:page;mso-position-vertical-relative:paragraph;z-index:15811072" type="#_x0000_t202" id="docshape672" filled="false" stroked="false">
                <v:textbox inset="0,0,0,0" style="layout-flow:vertical;mso-layout-flow-alt:bottom-to-top">
                  <w:txbxContent>
                    <w:p>
                      <w:pPr>
                        <w:spacing w:before="19"/>
                        <w:ind w:left="20" w:right="0" w:firstLine="0"/>
                        <w:jc w:val="left"/>
                        <w:rPr>
                          <w:sz w:val="16"/>
                        </w:rPr>
                      </w:pPr>
                      <w:r>
                        <w:rPr>
                          <w:color w:val="105C84"/>
                          <w:sz w:val="16"/>
                        </w:rPr>
                        <w:t>Percent</w:t>
                      </w:r>
                      <w:r>
                        <w:rPr>
                          <w:color w:val="105C84"/>
                          <w:spacing w:val="-5"/>
                          <w:sz w:val="16"/>
                        </w:rPr>
                        <w:t> </w:t>
                      </w:r>
                      <w:r>
                        <w:rPr>
                          <w:color w:val="105C84"/>
                          <w:sz w:val="16"/>
                        </w:rPr>
                        <w:t>of</w:t>
                      </w:r>
                      <w:r>
                        <w:rPr>
                          <w:color w:val="105C84"/>
                          <w:spacing w:val="-5"/>
                          <w:sz w:val="16"/>
                        </w:rPr>
                        <w:t> </w:t>
                      </w:r>
                      <w:r>
                        <w:rPr>
                          <w:color w:val="105C84"/>
                          <w:spacing w:val="-2"/>
                          <w:sz w:val="16"/>
                        </w:rPr>
                        <w:t>Population</w:t>
                      </w:r>
                    </w:p>
                  </w:txbxContent>
                </v:textbox>
                <w10:wrap type="none"/>
              </v:shape>
            </w:pict>
          </mc:Fallback>
        </mc:AlternateContent>
      </w:r>
      <w:r>
        <w:rPr>
          <w:color w:val="636466"/>
          <w:spacing w:val="-5"/>
          <w:sz w:val="18"/>
        </w:rPr>
        <w:t>14%</w:t>
      </w:r>
    </w:p>
    <w:p>
      <w:pPr>
        <w:spacing w:before="63"/>
        <w:ind w:left="2486" w:right="0" w:firstLine="0"/>
        <w:jc w:val="left"/>
        <w:rPr>
          <w:sz w:val="18"/>
        </w:rPr>
      </w:pPr>
      <w:r>
        <w:rPr>
          <w:color w:val="636466"/>
          <w:spacing w:val="-5"/>
          <w:sz w:val="18"/>
        </w:rPr>
        <w:t>12%</w:t>
      </w:r>
    </w:p>
    <w:p>
      <w:pPr>
        <w:spacing w:before="78"/>
        <w:ind w:left="2486" w:right="0" w:firstLine="0"/>
        <w:jc w:val="left"/>
        <w:rPr>
          <w:sz w:val="18"/>
        </w:rPr>
      </w:pPr>
      <w:r>
        <w:rPr>
          <w:color w:val="636466"/>
          <w:spacing w:val="-5"/>
          <w:sz w:val="18"/>
        </w:rPr>
        <w:t>10%</w:t>
      </w:r>
    </w:p>
    <w:p>
      <w:pPr>
        <w:spacing w:before="78"/>
        <w:ind w:left="2580" w:right="0" w:firstLine="0"/>
        <w:jc w:val="left"/>
        <w:rPr>
          <w:sz w:val="18"/>
        </w:rPr>
      </w:pPr>
      <w:r>
        <w:rPr>
          <w:color w:val="636466"/>
          <w:spacing w:val="-5"/>
          <w:sz w:val="18"/>
        </w:rPr>
        <w:t>8%</w:t>
      </w:r>
    </w:p>
    <w:p>
      <w:pPr>
        <w:spacing w:after="0"/>
        <w:jc w:val="left"/>
        <w:rPr>
          <w:sz w:val="18"/>
        </w:rPr>
        <w:sectPr>
          <w:type w:val="continuous"/>
          <w:pgSz w:w="24480" w:h="15840" w:orient="landscape"/>
          <w:pgMar w:header="0" w:footer="0" w:top="0" w:bottom="280" w:left="0" w:right="720"/>
          <w:cols w:num="4" w:equalWidth="0">
            <w:col w:w="3071" w:space="40"/>
            <w:col w:w="1535" w:space="39"/>
            <w:col w:w="2265" w:space="4320"/>
            <w:col w:w="12490"/>
          </w:cols>
        </w:sect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8"/>
        <w:rPr>
          <w:sz w:val="16"/>
        </w:rPr>
      </w:pPr>
    </w:p>
    <w:p>
      <w:pPr>
        <w:spacing w:before="0"/>
        <w:ind w:left="0" w:right="0" w:firstLine="0"/>
        <w:jc w:val="right"/>
        <w:rPr>
          <w:sz w:val="16"/>
        </w:rPr>
      </w:pPr>
      <w:r>
        <w:rPr>
          <w:color w:val="636466"/>
          <w:spacing w:val="-2"/>
          <w:w w:val="105"/>
          <w:sz w:val="16"/>
        </w:rPr>
        <w:t>Naples</w:t>
      </w:r>
    </w:p>
    <w:p>
      <w:pPr>
        <w:pStyle w:val="BodyText"/>
        <w:spacing w:before="31"/>
        <w:rPr>
          <w:sz w:val="16"/>
        </w:rPr>
      </w:pPr>
      <w:r>
        <w:rPr/>
        <w:br w:type="column"/>
      </w:r>
      <w:r>
        <w:rPr>
          <w:sz w:val="16"/>
        </w:rPr>
      </w:r>
    </w:p>
    <w:p>
      <w:pPr>
        <w:spacing w:before="0"/>
        <w:ind w:left="851" w:right="0" w:firstLine="0"/>
        <w:jc w:val="left"/>
        <w:rPr>
          <w:sz w:val="16"/>
        </w:rPr>
      </w:pPr>
      <w:r>
        <w:rPr>
          <w:sz w:val="16"/>
        </w:rPr>
        <mc:AlternateContent>
          <mc:Choice Requires="wps">
            <w:drawing>
              <wp:anchor distT="0" distB="0" distL="0" distR="0" allowOverlap="1" layoutInCell="1" locked="0" behindDoc="0" simplePos="0" relativeHeight="15810560">
                <wp:simplePos x="0" y="0"/>
                <wp:positionH relativeFrom="page">
                  <wp:posOffset>5157215</wp:posOffset>
                </wp:positionH>
                <wp:positionV relativeFrom="paragraph">
                  <wp:posOffset>-2511468</wp:posOffset>
                </wp:positionV>
                <wp:extent cx="1810385" cy="2198370"/>
                <wp:effectExtent l="0" t="0" r="0" b="0"/>
                <wp:wrapNone/>
                <wp:docPr id="788" name="Group 788"/>
                <wp:cNvGraphicFramePr>
                  <a:graphicFrameLocks/>
                </wp:cNvGraphicFramePr>
                <a:graphic>
                  <a:graphicData uri="http://schemas.microsoft.com/office/word/2010/wordprocessingGroup">
                    <wpg:wgp>
                      <wpg:cNvPr id="788" name="Group 788"/>
                      <wpg:cNvGrpSpPr/>
                      <wpg:grpSpPr>
                        <a:xfrm>
                          <a:off x="0" y="0"/>
                          <a:ext cx="1810385" cy="2198370"/>
                          <a:chExt cx="1810385" cy="2198370"/>
                        </a:xfrm>
                      </wpg:grpSpPr>
                      <wps:wsp>
                        <wps:cNvPr id="789" name="Graphic 789"/>
                        <wps:cNvSpPr/>
                        <wps:spPr>
                          <a:xfrm>
                            <a:off x="166204" y="806970"/>
                            <a:ext cx="393700" cy="189230"/>
                          </a:xfrm>
                          <a:custGeom>
                            <a:avLst/>
                            <a:gdLst/>
                            <a:ahLst/>
                            <a:cxnLst/>
                            <a:rect l="l" t="t" r="r" b="b"/>
                            <a:pathLst>
                              <a:path w="393700" h="189230">
                                <a:moveTo>
                                  <a:pt x="393407" y="0"/>
                                </a:moveTo>
                                <a:lnTo>
                                  <a:pt x="0" y="0"/>
                                </a:lnTo>
                                <a:lnTo>
                                  <a:pt x="0" y="188645"/>
                                </a:lnTo>
                                <a:lnTo>
                                  <a:pt x="393407" y="188645"/>
                                </a:lnTo>
                                <a:lnTo>
                                  <a:pt x="393407" y="0"/>
                                </a:lnTo>
                                <a:close/>
                              </a:path>
                            </a:pathLst>
                          </a:custGeom>
                          <a:solidFill>
                            <a:srgbClr val="DEF0E7"/>
                          </a:solidFill>
                        </wps:spPr>
                        <wps:bodyPr wrap="square" lIns="0" tIns="0" rIns="0" bIns="0" rtlCol="0">
                          <a:prstTxWarp prst="textNoShape">
                            <a:avLst/>
                          </a:prstTxWarp>
                          <a:noAutofit/>
                        </wps:bodyPr>
                      </wps:wsp>
                      <wps:wsp>
                        <wps:cNvPr id="790" name="Graphic 790"/>
                        <wps:cNvSpPr/>
                        <wps:spPr>
                          <a:xfrm>
                            <a:off x="166204" y="1060157"/>
                            <a:ext cx="393700" cy="189230"/>
                          </a:xfrm>
                          <a:custGeom>
                            <a:avLst/>
                            <a:gdLst/>
                            <a:ahLst/>
                            <a:cxnLst/>
                            <a:rect l="l" t="t" r="r" b="b"/>
                            <a:pathLst>
                              <a:path w="393700" h="189230">
                                <a:moveTo>
                                  <a:pt x="393407" y="0"/>
                                </a:moveTo>
                                <a:lnTo>
                                  <a:pt x="0" y="0"/>
                                </a:lnTo>
                                <a:lnTo>
                                  <a:pt x="0" y="188645"/>
                                </a:lnTo>
                                <a:lnTo>
                                  <a:pt x="393407" y="188645"/>
                                </a:lnTo>
                                <a:lnTo>
                                  <a:pt x="393407" y="0"/>
                                </a:lnTo>
                                <a:close/>
                              </a:path>
                            </a:pathLst>
                          </a:custGeom>
                          <a:solidFill>
                            <a:srgbClr val="A6CFB4"/>
                          </a:solidFill>
                        </wps:spPr>
                        <wps:bodyPr wrap="square" lIns="0" tIns="0" rIns="0" bIns="0" rtlCol="0">
                          <a:prstTxWarp prst="textNoShape">
                            <a:avLst/>
                          </a:prstTxWarp>
                          <a:noAutofit/>
                        </wps:bodyPr>
                      </wps:wsp>
                      <wps:wsp>
                        <wps:cNvPr id="791" name="Graphic 791"/>
                        <wps:cNvSpPr/>
                        <wps:spPr>
                          <a:xfrm>
                            <a:off x="166204" y="1320063"/>
                            <a:ext cx="393700" cy="189230"/>
                          </a:xfrm>
                          <a:custGeom>
                            <a:avLst/>
                            <a:gdLst/>
                            <a:ahLst/>
                            <a:cxnLst/>
                            <a:rect l="l" t="t" r="r" b="b"/>
                            <a:pathLst>
                              <a:path w="393700" h="189230">
                                <a:moveTo>
                                  <a:pt x="393407" y="0"/>
                                </a:moveTo>
                                <a:lnTo>
                                  <a:pt x="0" y="0"/>
                                </a:lnTo>
                                <a:lnTo>
                                  <a:pt x="0" y="188645"/>
                                </a:lnTo>
                                <a:lnTo>
                                  <a:pt x="393407" y="188645"/>
                                </a:lnTo>
                                <a:lnTo>
                                  <a:pt x="393407" y="0"/>
                                </a:lnTo>
                                <a:close/>
                              </a:path>
                            </a:pathLst>
                          </a:custGeom>
                          <a:solidFill>
                            <a:srgbClr val="77A781"/>
                          </a:solidFill>
                        </wps:spPr>
                        <wps:bodyPr wrap="square" lIns="0" tIns="0" rIns="0" bIns="0" rtlCol="0">
                          <a:prstTxWarp prst="textNoShape">
                            <a:avLst/>
                          </a:prstTxWarp>
                          <a:noAutofit/>
                        </wps:bodyPr>
                      </wps:wsp>
                      <wps:wsp>
                        <wps:cNvPr id="792" name="Graphic 792"/>
                        <wps:cNvSpPr/>
                        <wps:spPr>
                          <a:xfrm>
                            <a:off x="166204" y="1579968"/>
                            <a:ext cx="393700" cy="189230"/>
                          </a:xfrm>
                          <a:custGeom>
                            <a:avLst/>
                            <a:gdLst/>
                            <a:ahLst/>
                            <a:cxnLst/>
                            <a:rect l="l" t="t" r="r" b="b"/>
                            <a:pathLst>
                              <a:path w="393700" h="189230">
                                <a:moveTo>
                                  <a:pt x="393407" y="0"/>
                                </a:moveTo>
                                <a:lnTo>
                                  <a:pt x="0" y="0"/>
                                </a:lnTo>
                                <a:lnTo>
                                  <a:pt x="0" y="188645"/>
                                </a:lnTo>
                                <a:lnTo>
                                  <a:pt x="393407" y="188645"/>
                                </a:lnTo>
                                <a:lnTo>
                                  <a:pt x="393407" y="0"/>
                                </a:lnTo>
                                <a:close/>
                              </a:path>
                            </a:pathLst>
                          </a:custGeom>
                          <a:solidFill>
                            <a:srgbClr val="4B8758"/>
                          </a:solidFill>
                        </wps:spPr>
                        <wps:bodyPr wrap="square" lIns="0" tIns="0" rIns="0" bIns="0" rtlCol="0">
                          <a:prstTxWarp prst="textNoShape">
                            <a:avLst/>
                          </a:prstTxWarp>
                          <a:noAutofit/>
                        </wps:bodyPr>
                      </wps:wsp>
                      <wps:wsp>
                        <wps:cNvPr id="793" name="Graphic 793"/>
                        <wps:cNvSpPr/>
                        <wps:spPr>
                          <a:xfrm>
                            <a:off x="166204" y="1839874"/>
                            <a:ext cx="393700" cy="189230"/>
                          </a:xfrm>
                          <a:custGeom>
                            <a:avLst/>
                            <a:gdLst/>
                            <a:ahLst/>
                            <a:cxnLst/>
                            <a:rect l="l" t="t" r="r" b="b"/>
                            <a:pathLst>
                              <a:path w="393700" h="189230">
                                <a:moveTo>
                                  <a:pt x="393407" y="0"/>
                                </a:moveTo>
                                <a:lnTo>
                                  <a:pt x="0" y="0"/>
                                </a:lnTo>
                                <a:lnTo>
                                  <a:pt x="0" y="188645"/>
                                </a:lnTo>
                                <a:lnTo>
                                  <a:pt x="393407" y="188645"/>
                                </a:lnTo>
                                <a:lnTo>
                                  <a:pt x="393407" y="0"/>
                                </a:lnTo>
                                <a:close/>
                              </a:path>
                            </a:pathLst>
                          </a:custGeom>
                          <a:solidFill>
                            <a:srgbClr val="236533"/>
                          </a:solidFill>
                        </wps:spPr>
                        <wps:bodyPr wrap="square" lIns="0" tIns="0" rIns="0" bIns="0" rtlCol="0">
                          <a:prstTxWarp prst="textNoShape">
                            <a:avLst/>
                          </a:prstTxWarp>
                          <a:noAutofit/>
                        </wps:bodyPr>
                      </wps:wsp>
                      <wps:wsp>
                        <wps:cNvPr id="794" name="Textbox 794"/>
                        <wps:cNvSpPr txBox="1"/>
                        <wps:spPr>
                          <a:xfrm>
                            <a:off x="3175" y="3175"/>
                            <a:ext cx="1804035" cy="2192020"/>
                          </a:xfrm>
                          <a:prstGeom prst="rect">
                            <a:avLst/>
                          </a:prstGeom>
                          <a:ln w="6350">
                            <a:solidFill>
                              <a:srgbClr val="636366"/>
                            </a:solidFill>
                            <a:prstDash val="solid"/>
                          </a:ln>
                        </wps:spPr>
                        <wps:txbx>
                          <w:txbxContent>
                            <w:p>
                              <w:pPr>
                                <w:spacing w:before="188"/>
                                <w:ind w:left="277" w:right="0" w:firstLine="0"/>
                                <w:jc w:val="left"/>
                                <w:rPr>
                                  <w:sz w:val="30"/>
                                </w:rPr>
                              </w:pPr>
                              <w:r>
                                <w:rPr>
                                  <w:color w:val="105C84"/>
                                  <w:spacing w:val="-2"/>
                                  <w:sz w:val="30"/>
                                </w:rPr>
                                <w:t>Legend</w:t>
                              </w:r>
                            </w:p>
                            <w:p>
                              <w:pPr>
                                <w:spacing w:before="301"/>
                                <w:ind w:left="262" w:right="0" w:firstLine="0"/>
                                <w:jc w:val="left"/>
                                <w:rPr>
                                  <w:sz w:val="20"/>
                                </w:rPr>
                              </w:pPr>
                              <w:r>
                                <w:rPr>
                                  <w:color w:val="6D6E71"/>
                                  <w:spacing w:val="-2"/>
                                  <w:sz w:val="20"/>
                                </w:rPr>
                                <w:t>POVERTY</w:t>
                              </w:r>
                            </w:p>
                            <w:p>
                              <w:pPr>
                                <w:spacing w:before="218"/>
                                <w:ind w:left="1054" w:right="0" w:firstLine="0"/>
                                <w:jc w:val="left"/>
                                <w:rPr>
                                  <w:sz w:val="20"/>
                                </w:rPr>
                              </w:pPr>
                              <w:r>
                                <w:rPr>
                                  <w:color w:val="6D6E71"/>
                                  <w:sz w:val="20"/>
                                </w:rPr>
                                <w:t>less</w:t>
                              </w:r>
                              <w:r>
                                <w:rPr>
                                  <w:color w:val="6D6E71"/>
                                  <w:spacing w:val="-5"/>
                                  <w:sz w:val="20"/>
                                </w:rPr>
                                <w:t> </w:t>
                              </w:r>
                              <w:r>
                                <w:rPr>
                                  <w:color w:val="6D6E71"/>
                                  <w:sz w:val="20"/>
                                </w:rPr>
                                <w:t>than</w:t>
                              </w:r>
                              <w:r>
                                <w:rPr>
                                  <w:color w:val="6D6E71"/>
                                  <w:spacing w:val="-4"/>
                                  <w:sz w:val="20"/>
                                </w:rPr>
                                <w:t> </w:t>
                              </w:r>
                              <w:r>
                                <w:rPr>
                                  <w:color w:val="6D6E71"/>
                                  <w:spacing w:val="-5"/>
                                  <w:sz w:val="20"/>
                                </w:rPr>
                                <w:t>10%</w:t>
                              </w:r>
                            </w:p>
                            <w:p>
                              <w:pPr>
                                <w:spacing w:before="180"/>
                                <w:ind w:left="1054" w:right="0" w:firstLine="0"/>
                                <w:jc w:val="left"/>
                                <w:rPr>
                                  <w:sz w:val="20"/>
                                </w:rPr>
                              </w:pPr>
                              <w:r>
                                <w:rPr>
                                  <w:color w:val="6D6E71"/>
                                  <w:sz w:val="20"/>
                                </w:rPr>
                                <w:t>10-</w:t>
                              </w:r>
                              <w:r>
                                <w:rPr>
                                  <w:color w:val="6D6E71"/>
                                  <w:spacing w:val="-5"/>
                                  <w:sz w:val="20"/>
                                </w:rPr>
                                <w:t>15%</w:t>
                              </w:r>
                            </w:p>
                            <w:p>
                              <w:pPr>
                                <w:spacing w:before="180"/>
                                <w:ind w:left="1054" w:right="0" w:firstLine="0"/>
                                <w:jc w:val="left"/>
                                <w:rPr>
                                  <w:sz w:val="20"/>
                                </w:rPr>
                              </w:pPr>
                              <w:r>
                                <w:rPr>
                                  <w:color w:val="6D6E71"/>
                                  <w:sz w:val="20"/>
                                </w:rPr>
                                <w:t>15-</w:t>
                              </w:r>
                              <w:r>
                                <w:rPr>
                                  <w:color w:val="6D6E71"/>
                                  <w:spacing w:val="-5"/>
                                  <w:sz w:val="20"/>
                                </w:rPr>
                                <w:t>20%</w:t>
                              </w:r>
                            </w:p>
                            <w:p>
                              <w:pPr>
                                <w:spacing w:before="180"/>
                                <w:ind w:left="1054" w:right="0" w:firstLine="0"/>
                                <w:jc w:val="left"/>
                                <w:rPr>
                                  <w:sz w:val="20"/>
                                </w:rPr>
                              </w:pPr>
                              <w:r>
                                <w:rPr>
                                  <w:color w:val="6D6E71"/>
                                  <w:sz w:val="20"/>
                                </w:rPr>
                                <w:t>20-</w:t>
                              </w:r>
                              <w:r>
                                <w:rPr>
                                  <w:color w:val="6D6E71"/>
                                  <w:spacing w:val="-5"/>
                                  <w:sz w:val="20"/>
                                </w:rPr>
                                <w:t>25%</w:t>
                              </w:r>
                            </w:p>
                            <w:p>
                              <w:pPr>
                                <w:spacing w:before="180"/>
                                <w:ind w:left="1054" w:right="0" w:firstLine="0"/>
                                <w:jc w:val="left"/>
                                <w:rPr>
                                  <w:sz w:val="20"/>
                                </w:rPr>
                              </w:pPr>
                              <w:r>
                                <w:rPr>
                                  <w:color w:val="6D6E71"/>
                                  <w:sz w:val="20"/>
                                </w:rPr>
                                <w:t>greater</w:t>
                              </w:r>
                              <w:r>
                                <w:rPr>
                                  <w:color w:val="6D6E71"/>
                                  <w:spacing w:val="16"/>
                                  <w:sz w:val="20"/>
                                </w:rPr>
                                <w:t> </w:t>
                              </w:r>
                              <w:r>
                                <w:rPr>
                                  <w:color w:val="6D6E71"/>
                                  <w:sz w:val="20"/>
                                </w:rPr>
                                <w:t>than</w:t>
                              </w:r>
                              <w:r>
                                <w:rPr>
                                  <w:color w:val="6D6E71"/>
                                  <w:spacing w:val="16"/>
                                  <w:sz w:val="20"/>
                                </w:rPr>
                                <w:t> </w:t>
                              </w:r>
                              <w:r>
                                <w:rPr>
                                  <w:color w:val="6D6E71"/>
                                  <w:spacing w:val="-5"/>
                                  <w:sz w:val="20"/>
                                </w:rPr>
                                <w:t>25%</w:t>
                              </w:r>
                            </w:p>
                          </w:txbxContent>
                        </wps:txbx>
                        <wps:bodyPr wrap="square" lIns="0" tIns="0" rIns="0" bIns="0" rtlCol="0">
                          <a:noAutofit/>
                        </wps:bodyPr>
                      </wps:wsp>
                    </wpg:wgp>
                  </a:graphicData>
                </a:graphic>
              </wp:anchor>
            </w:drawing>
          </mc:Choice>
          <mc:Fallback>
            <w:pict>
              <v:group style="position:absolute;margin-left:406.079987pt;margin-top:-197.753387pt;width:142.550pt;height:173.1pt;mso-position-horizontal-relative:page;mso-position-vertical-relative:paragraph;z-index:15810560" id="docshapegroup673" coordorigin="8122,-3955" coordsize="2851,3462">
                <v:rect style="position:absolute;left:8383;top:-2685;width:620;height:298" id="docshape674" filled="true" fillcolor="#def0e7" stroked="false">
                  <v:fill type="solid"/>
                </v:rect>
                <v:rect style="position:absolute;left:8383;top:-2286;width:620;height:298" id="docshape675" filled="true" fillcolor="#a6cfb4" stroked="false">
                  <v:fill type="solid"/>
                </v:rect>
                <v:rect style="position:absolute;left:8383;top:-1877;width:620;height:298" id="docshape676" filled="true" fillcolor="#77a781" stroked="false">
                  <v:fill type="solid"/>
                </v:rect>
                <v:rect style="position:absolute;left:8383;top:-1467;width:620;height:298" id="docshape677" filled="true" fillcolor="#4b8758" stroked="false">
                  <v:fill type="solid"/>
                </v:rect>
                <v:rect style="position:absolute;left:8383;top:-1058;width:620;height:298" id="docshape678" filled="true" fillcolor="#236533" stroked="false">
                  <v:fill type="solid"/>
                </v:rect>
                <v:shape style="position:absolute;left:8126;top:-3951;width:2841;height:3452" type="#_x0000_t202" id="docshape679" filled="false" stroked="true" strokeweight=".5pt" strokecolor="#636366">
                  <v:textbox inset="0,0,0,0">
                    <w:txbxContent>
                      <w:p>
                        <w:pPr>
                          <w:spacing w:before="188"/>
                          <w:ind w:left="277" w:right="0" w:firstLine="0"/>
                          <w:jc w:val="left"/>
                          <w:rPr>
                            <w:sz w:val="30"/>
                          </w:rPr>
                        </w:pPr>
                        <w:r>
                          <w:rPr>
                            <w:color w:val="105C84"/>
                            <w:spacing w:val="-2"/>
                            <w:sz w:val="30"/>
                          </w:rPr>
                          <w:t>Legend</w:t>
                        </w:r>
                      </w:p>
                      <w:p>
                        <w:pPr>
                          <w:spacing w:before="301"/>
                          <w:ind w:left="262" w:right="0" w:firstLine="0"/>
                          <w:jc w:val="left"/>
                          <w:rPr>
                            <w:sz w:val="20"/>
                          </w:rPr>
                        </w:pPr>
                        <w:r>
                          <w:rPr>
                            <w:color w:val="6D6E71"/>
                            <w:spacing w:val="-2"/>
                            <w:sz w:val="20"/>
                          </w:rPr>
                          <w:t>POVERTY</w:t>
                        </w:r>
                      </w:p>
                      <w:p>
                        <w:pPr>
                          <w:spacing w:before="218"/>
                          <w:ind w:left="1054" w:right="0" w:firstLine="0"/>
                          <w:jc w:val="left"/>
                          <w:rPr>
                            <w:sz w:val="20"/>
                          </w:rPr>
                        </w:pPr>
                        <w:r>
                          <w:rPr>
                            <w:color w:val="6D6E71"/>
                            <w:sz w:val="20"/>
                          </w:rPr>
                          <w:t>less</w:t>
                        </w:r>
                        <w:r>
                          <w:rPr>
                            <w:color w:val="6D6E71"/>
                            <w:spacing w:val="-5"/>
                            <w:sz w:val="20"/>
                          </w:rPr>
                          <w:t> </w:t>
                        </w:r>
                        <w:r>
                          <w:rPr>
                            <w:color w:val="6D6E71"/>
                            <w:sz w:val="20"/>
                          </w:rPr>
                          <w:t>than</w:t>
                        </w:r>
                        <w:r>
                          <w:rPr>
                            <w:color w:val="6D6E71"/>
                            <w:spacing w:val="-4"/>
                            <w:sz w:val="20"/>
                          </w:rPr>
                          <w:t> </w:t>
                        </w:r>
                        <w:r>
                          <w:rPr>
                            <w:color w:val="6D6E71"/>
                            <w:spacing w:val="-5"/>
                            <w:sz w:val="20"/>
                          </w:rPr>
                          <w:t>10%</w:t>
                        </w:r>
                      </w:p>
                      <w:p>
                        <w:pPr>
                          <w:spacing w:before="180"/>
                          <w:ind w:left="1054" w:right="0" w:firstLine="0"/>
                          <w:jc w:val="left"/>
                          <w:rPr>
                            <w:sz w:val="20"/>
                          </w:rPr>
                        </w:pPr>
                        <w:r>
                          <w:rPr>
                            <w:color w:val="6D6E71"/>
                            <w:sz w:val="20"/>
                          </w:rPr>
                          <w:t>10-</w:t>
                        </w:r>
                        <w:r>
                          <w:rPr>
                            <w:color w:val="6D6E71"/>
                            <w:spacing w:val="-5"/>
                            <w:sz w:val="20"/>
                          </w:rPr>
                          <w:t>15%</w:t>
                        </w:r>
                      </w:p>
                      <w:p>
                        <w:pPr>
                          <w:spacing w:before="180"/>
                          <w:ind w:left="1054" w:right="0" w:firstLine="0"/>
                          <w:jc w:val="left"/>
                          <w:rPr>
                            <w:sz w:val="20"/>
                          </w:rPr>
                        </w:pPr>
                        <w:r>
                          <w:rPr>
                            <w:color w:val="6D6E71"/>
                            <w:sz w:val="20"/>
                          </w:rPr>
                          <w:t>15-</w:t>
                        </w:r>
                        <w:r>
                          <w:rPr>
                            <w:color w:val="6D6E71"/>
                            <w:spacing w:val="-5"/>
                            <w:sz w:val="20"/>
                          </w:rPr>
                          <w:t>20%</w:t>
                        </w:r>
                      </w:p>
                      <w:p>
                        <w:pPr>
                          <w:spacing w:before="180"/>
                          <w:ind w:left="1054" w:right="0" w:firstLine="0"/>
                          <w:jc w:val="left"/>
                          <w:rPr>
                            <w:sz w:val="20"/>
                          </w:rPr>
                        </w:pPr>
                        <w:r>
                          <w:rPr>
                            <w:color w:val="6D6E71"/>
                            <w:sz w:val="20"/>
                          </w:rPr>
                          <w:t>20-</w:t>
                        </w:r>
                        <w:r>
                          <w:rPr>
                            <w:color w:val="6D6E71"/>
                            <w:spacing w:val="-5"/>
                            <w:sz w:val="20"/>
                          </w:rPr>
                          <w:t>25%</w:t>
                        </w:r>
                      </w:p>
                      <w:p>
                        <w:pPr>
                          <w:spacing w:before="180"/>
                          <w:ind w:left="1054" w:right="0" w:firstLine="0"/>
                          <w:jc w:val="left"/>
                          <w:rPr>
                            <w:sz w:val="20"/>
                          </w:rPr>
                        </w:pPr>
                        <w:r>
                          <w:rPr>
                            <w:color w:val="6D6E71"/>
                            <w:sz w:val="20"/>
                          </w:rPr>
                          <w:t>greater</w:t>
                        </w:r>
                        <w:r>
                          <w:rPr>
                            <w:color w:val="6D6E71"/>
                            <w:spacing w:val="16"/>
                            <w:sz w:val="20"/>
                          </w:rPr>
                          <w:t> </w:t>
                        </w:r>
                        <w:r>
                          <w:rPr>
                            <w:color w:val="6D6E71"/>
                            <w:sz w:val="20"/>
                          </w:rPr>
                          <w:t>than</w:t>
                        </w:r>
                        <w:r>
                          <w:rPr>
                            <w:color w:val="6D6E71"/>
                            <w:spacing w:val="16"/>
                            <w:sz w:val="20"/>
                          </w:rPr>
                          <w:t> </w:t>
                        </w:r>
                        <w:r>
                          <w:rPr>
                            <w:color w:val="6D6E71"/>
                            <w:spacing w:val="-5"/>
                            <w:sz w:val="20"/>
                          </w:rPr>
                          <w:t>25%</w:t>
                        </w:r>
                      </w:p>
                    </w:txbxContent>
                  </v:textbox>
                  <v:stroke dashstyle="solid"/>
                  <w10:wrap type="none"/>
                </v:shape>
                <w10:wrap type="none"/>
              </v:group>
            </w:pict>
          </mc:Fallback>
        </mc:AlternateContent>
      </w:r>
      <w:r>
        <w:rPr>
          <w:color w:val="0C5D86"/>
          <w:spacing w:val="-4"/>
          <w:sz w:val="16"/>
        </w:rPr>
        <w:t>Source:</w:t>
      </w:r>
      <w:r>
        <w:rPr>
          <w:color w:val="0C5D86"/>
          <w:spacing w:val="-2"/>
          <w:sz w:val="16"/>
        </w:rPr>
        <w:t> </w:t>
      </w:r>
      <w:r>
        <w:rPr>
          <w:color w:val="0C5D86"/>
          <w:spacing w:val="-4"/>
          <w:sz w:val="16"/>
        </w:rPr>
        <w:t>U.S.</w:t>
      </w:r>
      <w:r>
        <w:rPr>
          <w:color w:val="0C5D86"/>
          <w:spacing w:val="-1"/>
          <w:sz w:val="16"/>
        </w:rPr>
        <w:t> </w:t>
      </w:r>
      <w:r>
        <w:rPr>
          <w:color w:val="0C5D86"/>
          <w:spacing w:val="-4"/>
          <w:sz w:val="16"/>
        </w:rPr>
        <w:t>Census</w:t>
      </w:r>
      <w:r>
        <w:rPr>
          <w:color w:val="0C5D86"/>
          <w:spacing w:val="-1"/>
          <w:sz w:val="16"/>
        </w:rPr>
        <w:t> </w:t>
      </w:r>
      <w:r>
        <w:rPr>
          <w:color w:val="0C5D86"/>
          <w:spacing w:val="-4"/>
          <w:sz w:val="16"/>
        </w:rPr>
        <w:t>Bureau</w:t>
      </w:r>
      <w:r>
        <w:rPr>
          <w:color w:val="0C5D86"/>
          <w:spacing w:val="-1"/>
          <w:sz w:val="16"/>
        </w:rPr>
        <w:t> </w:t>
      </w:r>
      <w:r>
        <w:rPr>
          <w:color w:val="0C5D86"/>
          <w:spacing w:val="-4"/>
          <w:sz w:val="16"/>
        </w:rPr>
        <w:t>American</w:t>
      </w:r>
      <w:r>
        <w:rPr>
          <w:color w:val="0C5D86"/>
          <w:spacing w:val="-1"/>
          <w:sz w:val="16"/>
        </w:rPr>
        <w:t> </w:t>
      </w:r>
      <w:r>
        <w:rPr>
          <w:color w:val="0C5D86"/>
          <w:spacing w:val="-4"/>
          <w:sz w:val="16"/>
        </w:rPr>
        <w:t>Community</w:t>
      </w:r>
      <w:r>
        <w:rPr>
          <w:color w:val="0C5D86"/>
          <w:spacing w:val="-1"/>
          <w:sz w:val="16"/>
        </w:rPr>
        <w:t> </w:t>
      </w:r>
      <w:r>
        <w:rPr>
          <w:color w:val="0C5D86"/>
          <w:spacing w:val="-4"/>
          <w:sz w:val="16"/>
        </w:rPr>
        <w:t>Survey</w:t>
      </w:r>
      <w:r>
        <w:rPr>
          <w:color w:val="0C5D86"/>
          <w:spacing w:val="-1"/>
          <w:sz w:val="16"/>
        </w:rPr>
        <w:t> </w:t>
      </w:r>
      <w:r>
        <w:rPr>
          <w:color w:val="0C5D86"/>
          <w:spacing w:val="-4"/>
          <w:sz w:val="16"/>
        </w:rPr>
        <w:t>2013-2017</w:t>
      </w:r>
      <w:r>
        <w:rPr>
          <w:color w:val="0C5D86"/>
          <w:spacing w:val="-1"/>
          <w:sz w:val="16"/>
        </w:rPr>
        <w:t> </w:t>
      </w:r>
      <w:r>
        <w:rPr>
          <w:color w:val="0C5D86"/>
          <w:spacing w:val="-4"/>
          <w:sz w:val="16"/>
        </w:rPr>
        <w:t>5-Year</w:t>
      </w:r>
      <w:r>
        <w:rPr>
          <w:color w:val="0C5D86"/>
          <w:spacing w:val="-1"/>
          <w:sz w:val="16"/>
        </w:rPr>
        <w:t> </w:t>
      </w:r>
      <w:r>
        <w:rPr>
          <w:color w:val="0C5D86"/>
          <w:spacing w:val="-4"/>
          <w:sz w:val="16"/>
        </w:rPr>
        <w:t>estimates</w:t>
      </w:r>
    </w:p>
    <w:p>
      <w:pPr>
        <w:spacing w:before="78"/>
        <w:ind w:left="2555" w:right="0" w:firstLine="0"/>
        <w:jc w:val="left"/>
        <w:rPr>
          <w:sz w:val="18"/>
        </w:rPr>
      </w:pPr>
      <w:r>
        <w:rPr/>
        <w:br w:type="column"/>
      </w:r>
      <w:r>
        <w:rPr>
          <w:color w:val="636466"/>
          <w:spacing w:val="-5"/>
          <w:sz w:val="18"/>
        </w:rPr>
        <w:t>6%</w:t>
      </w:r>
    </w:p>
    <w:p>
      <w:pPr>
        <w:spacing w:before="78"/>
        <w:ind w:left="2555" w:right="0" w:firstLine="0"/>
        <w:jc w:val="left"/>
        <w:rPr>
          <w:sz w:val="18"/>
        </w:rPr>
      </w:pPr>
      <w:r>
        <w:rPr>
          <w:color w:val="636466"/>
          <w:spacing w:val="-5"/>
          <w:sz w:val="18"/>
        </w:rPr>
        <w:t>4%</w:t>
      </w:r>
    </w:p>
    <w:p>
      <w:pPr>
        <w:spacing w:before="78"/>
        <w:ind w:left="2555" w:right="0" w:firstLine="0"/>
        <w:jc w:val="left"/>
        <w:rPr>
          <w:sz w:val="18"/>
        </w:rPr>
      </w:pPr>
      <w:r>
        <w:rPr>
          <w:color w:val="636466"/>
          <w:spacing w:val="-5"/>
          <w:sz w:val="18"/>
        </w:rPr>
        <w:t>2%</w:t>
      </w:r>
    </w:p>
    <w:p>
      <w:pPr>
        <w:spacing w:before="78"/>
        <w:ind w:left="2555" w:right="0" w:firstLine="0"/>
        <w:jc w:val="left"/>
        <w:rPr>
          <w:sz w:val="18"/>
        </w:rPr>
      </w:pPr>
      <w:r>
        <w:rPr>
          <w:color w:val="636466"/>
          <w:spacing w:val="-5"/>
          <w:sz w:val="18"/>
        </w:rPr>
        <w:t>0%</w:t>
      </w:r>
    </w:p>
    <w:p>
      <w:pPr>
        <w:tabs>
          <w:tab w:pos="4594" w:val="left" w:leader="none"/>
          <w:tab w:pos="5868" w:val="left" w:leader="none"/>
          <w:tab w:pos="7142" w:val="left" w:leader="none"/>
          <w:tab w:pos="8416" w:val="left" w:leader="none"/>
          <w:tab w:pos="9690" w:val="left" w:leader="none"/>
        </w:tabs>
        <w:spacing w:before="10"/>
        <w:ind w:left="3321" w:right="0" w:firstLine="0"/>
        <w:jc w:val="left"/>
        <w:rPr>
          <w:sz w:val="18"/>
        </w:rPr>
      </w:pPr>
      <w:r>
        <w:rPr>
          <w:color w:val="636466"/>
          <w:spacing w:val="-4"/>
          <w:sz w:val="18"/>
        </w:rPr>
        <w:t>2012</w:t>
      </w:r>
      <w:r>
        <w:rPr>
          <w:color w:val="636466"/>
          <w:sz w:val="18"/>
        </w:rPr>
        <w:tab/>
      </w:r>
      <w:r>
        <w:rPr>
          <w:color w:val="636466"/>
          <w:spacing w:val="-4"/>
          <w:sz w:val="18"/>
        </w:rPr>
        <w:t>2013</w:t>
      </w:r>
      <w:r>
        <w:rPr>
          <w:color w:val="636466"/>
          <w:sz w:val="18"/>
        </w:rPr>
        <w:tab/>
      </w:r>
      <w:r>
        <w:rPr>
          <w:color w:val="636466"/>
          <w:spacing w:val="-4"/>
          <w:sz w:val="18"/>
        </w:rPr>
        <w:t>2014</w:t>
      </w:r>
      <w:r>
        <w:rPr>
          <w:color w:val="636466"/>
          <w:sz w:val="18"/>
        </w:rPr>
        <w:tab/>
      </w:r>
      <w:r>
        <w:rPr>
          <w:color w:val="636466"/>
          <w:spacing w:val="-4"/>
          <w:sz w:val="18"/>
        </w:rPr>
        <w:t>2015</w:t>
      </w:r>
      <w:r>
        <w:rPr>
          <w:color w:val="636466"/>
          <w:sz w:val="18"/>
        </w:rPr>
        <w:tab/>
      </w:r>
      <w:r>
        <w:rPr>
          <w:color w:val="636466"/>
          <w:spacing w:val="-4"/>
          <w:sz w:val="18"/>
        </w:rPr>
        <w:t>2016</w:t>
      </w:r>
      <w:r>
        <w:rPr>
          <w:color w:val="636466"/>
          <w:sz w:val="18"/>
        </w:rPr>
        <w:tab/>
      </w:r>
      <w:r>
        <w:rPr>
          <w:color w:val="636466"/>
          <w:spacing w:val="-4"/>
          <w:sz w:val="18"/>
        </w:rPr>
        <w:t>2017</w:t>
      </w:r>
    </w:p>
    <w:p>
      <w:pPr>
        <w:pStyle w:val="BodyText"/>
        <w:spacing w:before="64"/>
        <w:rPr>
          <w:sz w:val="18"/>
        </w:rPr>
      </w:pPr>
    </w:p>
    <w:p>
      <w:pPr>
        <w:spacing w:before="0"/>
        <w:ind w:left="2887" w:right="0" w:firstLine="0"/>
        <w:jc w:val="left"/>
        <w:rPr>
          <w:sz w:val="16"/>
        </w:rPr>
      </w:pPr>
      <w:r>
        <w:rPr>
          <w:color w:val="105C84"/>
          <w:spacing w:val="-2"/>
          <w:sz w:val="16"/>
        </w:rPr>
        <w:t>Data</w:t>
      </w:r>
      <w:r>
        <w:rPr>
          <w:color w:val="105C84"/>
          <w:spacing w:val="-8"/>
          <w:sz w:val="16"/>
        </w:rPr>
        <w:t> </w:t>
      </w:r>
      <w:r>
        <w:rPr>
          <w:color w:val="105C84"/>
          <w:spacing w:val="-2"/>
          <w:sz w:val="16"/>
        </w:rPr>
        <w:t>Source:</w:t>
      </w:r>
      <w:r>
        <w:rPr>
          <w:color w:val="105C84"/>
          <w:spacing w:val="-8"/>
          <w:sz w:val="16"/>
        </w:rPr>
        <w:t> </w:t>
      </w:r>
      <w:r>
        <w:rPr>
          <w:color w:val="105C84"/>
          <w:spacing w:val="-2"/>
          <w:sz w:val="16"/>
        </w:rPr>
        <w:t>U.S.</w:t>
      </w:r>
      <w:r>
        <w:rPr>
          <w:color w:val="105C84"/>
          <w:spacing w:val="-8"/>
          <w:sz w:val="16"/>
        </w:rPr>
        <w:t> </w:t>
      </w:r>
      <w:r>
        <w:rPr>
          <w:color w:val="105C84"/>
          <w:spacing w:val="-2"/>
          <w:sz w:val="16"/>
        </w:rPr>
        <w:t>Census</w:t>
      </w:r>
      <w:r>
        <w:rPr>
          <w:color w:val="105C84"/>
          <w:spacing w:val="-8"/>
          <w:sz w:val="16"/>
        </w:rPr>
        <w:t> </w:t>
      </w:r>
      <w:r>
        <w:rPr>
          <w:color w:val="105C84"/>
          <w:spacing w:val="-2"/>
          <w:sz w:val="16"/>
        </w:rPr>
        <w:t>Bureau</w:t>
      </w:r>
      <w:r>
        <w:rPr>
          <w:color w:val="105C84"/>
          <w:spacing w:val="-8"/>
          <w:sz w:val="16"/>
        </w:rPr>
        <w:t> </w:t>
      </w:r>
      <w:r>
        <w:rPr>
          <w:color w:val="105C84"/>
          <w:spacing w:val="-2"/>
          <w:sz w:val="16"/>
        </w:rPr>
        <w:t>American</w:t>
      </w:r>
      <w:r>
        <w:rPr>
          <w:color w:val="105C84"/>
          <w:spacing w:val="-8"/>
          <w:sz w:val="16"/>
        </w:rPr>
        <w:t> </w:t>
      </w:r>
      <w:r>
        <w:rPr>
          <w:color w:val="105C84"/>
          <w:spacing w:val="-2"/>
          <w:sz w:val="16"/>
        </w:rPr>
        <w:t>Community</w:t>
      </w:r>
      <w:r>
        <w:rPr>
          <w:color w:val="105C84"/>
          <w:spacing w:val="-8"/>
          <w:sz w:val="16"/>
        </w:rPr>
        <w:t> </w:t>
      </w:r>
      <w:r>
        <w:rPr>
          <w:color w:val="105C84"/>
          <w:spacing w:val="-2"/>
          <w:sz w:val="16"/>
        </w:rPr>
        <w:t>Survey</w:t>
      </w:r>
      <w:r>
        <w:rPr>
          <w:color w:val="105C84"/>
          <w:spacing w:val="-8"/>
          <w:sz w:val="16"/>
        </w:rPr>
        <w:t> </w:t>
      </w:r>
      <w:r>
        <w:rPr>
          <w:color w:val="105C84"/>
          <w:spacing w:val="-2"/>
          <w:sz w:val="16"/>
        </w:rPr>
        <w:t>5-Year</w:t>
      </w:r>
      <w:r>
        <w:rPr>
          <w:color w:val="105C84"/>
          <w:spacing w:val="-8"/>
          <w:sz w:val="16"/>
        </w:rPr>
        <w:t> </w:t>
      </w:r>
      <w:r>
        <w:rPr>
          <w:color w:val="105C84"/>
          <w:spacing w:val="-2"/>
          <w:sz w:val="16"/>
        </w:rPr>
        <w:t>Estimate</w:t>
      </w:r>
      <w:r>
        <w:rPr>
          <w:color w:val="989A9C"/>
          <w:spacing w:val="-2"/>
          <w:sz w:val="16"/>
        </w:rPr>
        <w:t>-</w:t>
      </w:r>
    </w:p>
    <w:p>
      <w:pPr>
        <w:spacing w:after="0"/>
        <w:jc w:val="left"/>
        <w:rPr>
          <w:sz w:val="16"/>
        </w:rPr>
        <w:sectPr>
          <w:type w:val="continuous"/>
          <w:pgSz w:w="24480" w:h="15840" w:orient="landscape"/>
          <w:pgMar w:header="0" w:footer="0" w:top="0" w:bottom="280" w:left="0" w:right="720"/>
          <w:cols w:num="3" w:equalWidth="0">
            <w:col w:w="3069" w:space="40"/>
            <w:col w:w="6900" w:space="1287"/>
            <w:col w:w="12464"/>
          </w:cols>
        </w:sectPr>
      </w:pPr>
    </w:p>
    <w:p>
      <w:pPr>
        <w:tabs>
          <w:tab w:pos="7865" w:val="left" w:leader="none"/>
          <w:tab w:pos="23454" w:val="right" w:leader="none"/>
        </w:tabs>
        <w:spacing w:before="944"/>
        <w:ind w:left="1058" w:right="0" w:firstLine="0"/>
        <w:jc w:val="left"/>
        <w:rPr>
          <w:b/>
          <w:position w:val="-2"/>
          <w:sz w:val="26"/>
        </w:rPr>
      </w:pPr>
      <w:r>
        <w:rPr>
          <w:b/>
          <w:position w:val="-2"/>
          <w:sz w:val="26"/>
        </w:rPr>
        <w:drawing>
          <wp:anchor distT="0" distB="0" distL="0" distR="0" allowOverlap="1" layoutInCell="1" locked="0" behindDoc="0" simplePos="0" relativeHeight="15807488">
            <wp:simplePos x="0" y="0"/>
            <wp:positionH relativeFrom="page">
              <wp:posOffset>14981556</wp:posOffset>
            </wp:positionH>
            <wp:positionV relativeFrom="page">
              <wp:posOffset>9668103</wp:posOffset>
            </wp:positionV>
            <wp:extent cx="563245" cy="184683"/>
            <wp:effectExtent l="0" t="0" r="0" b="0"/>
            <wp:wrapNone/>
            <wp:docPr id="795" name="Image 795"/>
            <wp:cNvGraphicFramePr>
              <a:graphicFrameLocks/>
            </wp:cNvGraphicFramePr>
            <a:graphic>
              <a:graphicData uri="http://schemas.openxmlformats.org/drawingml/2006/picture">
                <pic:pic>
                  <pic:nvPicPr>
                    <pic:cNvPr id="795" name="Image 795"/>
                    <pic:cNvPicPr/>
                  </pic:nvPicPr>
                  <pic:blipFill>
                    <a:blip r:embed="rId38" cstate="print"/>
                    <a:stretch>
                      <a:fillRect/>
                    </a:stretch>
                  </pic:blipFill>
                  <pic:spPr>
                    <a:xfrm>
                      <a:off x="0" y="0"/>
                      <a:ext cx="563245" cy="184683"/>
                    </a:xfrm>
                    <a:prstGeom prst="rect">
                      <a:avLst/>
                    </a:prstGeom>
                  </pic:spPr>
                </pic:pic>
              </a:graphicData>
            </a:graphic>
          </wp:anchor>
        </w:drawing>
      </w:r>
      <w:r>
        <w:rPr>
          <w:b/>
          <w:position w:val="-2"/>
          <w:sz w:val="26"/>
        </w:rPr>
        <w:drawing>
          <wp:anchor distT="0" distB="0" distL="0" distR="0" allowOverlap="1" layoutInCell="1" locked="0" behindDoc="0" simplePos="0" relativeHeight="15808000">
            <wp:simplePos x="0" y="0"/>
            <wp:positionH relativeFrom="page">
              <wp:posOffset>0</wp:posOffset>
            </wp:positionH>
            <wp:positionV relativeFrom="paragraph">
              <wp:posOffset>601343</wp:posOffset>
            </wp:positionV>
            <wp:extent cx="568172" cy="184683"/>
            <wp:effectExtent l="0" t="0" r="0" b="0"/>
            <wp:wrapNone/>
            <wp:docPr id="796" name="Image 796"/>
            <wp:cNvGraphicFramePr>
              <a:graphicFrameLocks/>
            </wp:cNvGraphicFramePr>
            <a:graphic>
              <a:graphicData uri="http://schemas.openxmlformats.org/drawingml/2006/picture">
                <pic:pic>
                  <pic:nvPicPr>
                    <pic:cNvPr id="796" name="Image 796"/>
                    <pic:cNvPicPr/>
                  </pic:nvPicPr>
                  <pic:blipFill>
                    <a:blip r:embed="rId39" cstate="print"/>
                    <a:stretch>
                      <a:fillRect/>
                    </a:stretch>
                  </pic:blipFill>
                  <pic:spPr>
                    <a:xfrm>
                      <a:off x="0" y="0"/>
                      <a:ext cx="568172" cy="184683"/>
                    </a:xfrm>
                    <a:prstGeom prst="rect">
                      <a:avLst/>
                    </a:prstGeom>
                  </pic:spPr>
                </pic:pic>
              </a:graphicData>
            </a:graphic>
          </wp:anchor>
        </w:drawing>
      </w:r>
      <w:r>
        <w:rPr>
          <w:b/>
          <w:color w:val="939598"/>
          <w:spacing w:val="-5"/>
          <w:position w:val="-2"/>
          <w:sz w:val="26"/>
        </w:rPr>
        <w:t>57</w:t>
      </w:r>
      <w:r>
        <w:rPr>
          <w:b/>
          <w:color w:val="939598"/>
          <w:position w:val="-2"/>
          <w:sz w:val="26"/>
        </w:rPr>
        <w:tab/>
      </w:r>
      <w:r>
        <w:rPr>
          <w:color w:val="636466"/>
          <w:spacing w:val="-2"/>
          <w:sz w:val="14"/>
        </w:rPr>
        <w:t>24.</w:t>
      </w:r>
      <w:r>
        <w:rPr>
          <w:color w:val="636466"/>
          <w:spacing w:val="-7"/>
          <w:sz w:val="14"/>
        </w:rPr>
        <w:t> </w:t>
      </w:r>
      <w:r>
        <w:rPr>
          <w:color w:val="636466"/>
          <w:spacing w:val="-2"/>
          <w:sz w:val="14"/>
        </w:rPr>
        <w:t>2013-2017</w:t>
      </w:r>
      <w:r>
        <w:rPr>
          <w:color w:val="636466"/>
          <w:spacing w:val="-6"/>
          <w:sz w:val="14"/>
        </w:rPr>
        <w:t> </w:t>
      </w:r>
      <w:r>
        <w:rPr>
          <w:color w:val="636466"/>
          <w:spacing w:val="-2"/>
          <w:sz w:val="14"/>
        </w:rPr>
        <w:t>American</w:t>
      </w:r>
      <w:r>
        <w:rPr>
          <w:color w:val="636466"/>
          <w:spacing w:val="-6"/>
          <w:sz w:val="14"/>
        </w:rPr>
        <w:t> </w:t>
      </w:r>
      <w:r>
        <w:rPr>
          <w:color w:val="636466"/>
          <w:spacing w:val="-2"/>
          <w:sz w:val="14"/>
        </w:rPr>
        <w:t>Community</w:t>
      </w:r>
      <w:r>
        <w:rPr>
          <w:color w:val="636466"/>
          <w:spacing w:val="-6"/>
          <w:sz w:val="14"/>
        </w:rPr>
        <w:t> </w:t>
      </w:r>
      <w:r>
        <w:rPr>
          <w:color w:val="636466"/>
          <w:spacing w:val="-2"/>
          <w:sz w:val="14"/>
        </w:rPr>
        <w:t>Survey</w:t>
      </w:r>
      <w:r>
        <w:rPr>
          <w:color w:val="636466"/>
          <w:spacing w:val="-6"/>
          <w:sz w:val="14"/>
        </w:rPr>
        <w:t> </w:t>
      </w:r>
      <w:r>
        <w:rPr>
          <w:color w:val="636466"/>
          <w:spacing w:val="-2"/>
          <w:sz w:val="14"/>
        </w:rPr>
        <w:t>estimates</w:t>
      </w:r>
      <w:r>
        <w:rPr>
          <w:color w:val="636466"/>
          <w:sz w:val="14"/>
        </w:rPr>
        <w:tab/>
      </w:r>
      <w:r>
        <w:rPr>
          <w:b/>
          <w:color w:val="939598"/>
          <w:spacing w:val="-5"/>
          <w:position w:val="-2"/>
          <w:sz w:val="26"/>
        </w:rPr>
        <w:t>58</w:t>
      </w:r>
    </w:p>
    <w:p>
      <w:pPr>
        <w:spacing w:after="0"/>
        <w:jc w:val="left"/>
        <w:rPr>
          <w:b/>
          <w:position w:val="-2"/>
          <w:sz w:val="26"/>
        </w:rPr>
        <w:sectPr>
          <w:type w:val="continuous"/>
          <w:pgSz w:w="24480" w:h="15840" w:orient="landscape"/>
          <w:pgMar w:header="0" w:footer="0" w:top="0" w:bottom="280" w:left="0" w:right="720"/>
        </w:sectPr>
      </w:pPr>
    </w:p>
    <w:p>
      <w:pPr>
        <w:pStyle w:val="BodyText"/>
        <w:rPr>
          <w:b/>
          <w:sz w:val="20"/>
        </w:rPr>
      </w:pPr>
    </w:p>
    <w:p>
      <w:pPr>
        <w:pStyle w:val="BodyText"/>
        <w:spacing w:before="16"/>
        <w:rPr>
          <w:b/>
          <w:sz w:val="20"/>
        </w:rPr>
      </w:pPr>
    </w:p>
    <w:p>
      <w:pPr>
        <w:pStyle w:val="BodyText"/>
        <w:spacing w:after="0"/>
        <w:rPr>
          <w:b/>
          <w:sz w:val="20"/>
        </w:rPr>
        <w:sectPr>
          <w:pgSz w:w="24480" w:h="15840" w:orient="landscape"/>
          <w:pgMar w:header="0" w:footer="0" w:top="860" w:bottom="0" w:left="0" w:right="720"/>
        </w:sectPr>
      </w:pPr>
    </w:p>
    <w:p>
      <w:pPr>
        <w:pStyle w:val="BodyText"/>
        <w:spacing w:line="247" w:lineRule="auto" w:before="113"/>
        <w:ind w:left="1094"/>
        <w:rPr>
          <w:position w:val="7"/>
          <w:sz w:val="13"/>
        </w:rPr>
      </w:pPr>
      <w:r>
        <w:rPr>
          <w:position w:val="7"/>
          <w:sz w:val="13"/>
        </w:rPr>
        <w:drawing>
          <wp:anchor distT="0" distB="0" distL="0" distR="0" allowOverlap="1" layoutInCell="1" locked="0" behindDoc="0" simplePos="0" relativeHeight="15812096">
            <wp:simplePos x="0" y="0"/>
            <wp:positionH relativeFrom="page">
              <wp:posOffset>14981556</wp:posOffset>
            </wp:positionH>
            <wp:positionV relativeFrom="page">
              <wp:posOffset>9668103</wp:posOffset>
            </wp:positionV>
            <wp:extent cx="563245" cy="184683"/>
            <wp:effectExtent l="0" t="0" r="0" b="0"/>
            <wp:wrapNone/>
            <wp:docPr id="797" name="Image 797"/>
            <wp:cNvGraphicFramePr>
              <a:graphicFrameLocks/>
            </wp:cNvGraphicFramePr>
            <a:graphic>
              <a:graphicData uri="http://schemas.openxmlformats.org/drawingml/2006/picture">
                <pic:pic>
                  <pic:nvPicPr>
                    <pic:cNvPr id="797" name="Image 797"/>
                    <pic:cNvPicPr/>
                  </pic:nvPicPr>
                  <pic:blipFill>
                    <a:blip r:embed="rId38" cstate="print"/>
                    <a:stretch>
                      <a:fillRect/>
                    </a:stretch>
                  </pic:blipFill>
                  <pic:spPr>
                    <a:xfrm>
                      <a:off x="0" y="0"/>
                      <a:ext cx="563245" cy="184683"/>
                    </a:xfrm>
                    <a:prstGeom prst="rect">
                      <a:avLst/>
                    </a:prstGeom>
                  </pic:spPr>
                </pic:pic>
              </a:graphicData>
            </a:graphic>
          </wp:anchor>
        </w:drawing>
      </w:r>
      <w:r>
        <w:rPr>
          <w:color w:val="105C84"/>
        </w:rPr>
        <w:t>Finally, 27% of Ontario County residents rent vs. own their home. In addition, 8% of occupied housing units have no vehicles available. Another 32% have access to one vehicle. Of note, the average household size for occupied housing is greater than two people. Approximately 40% of residents are</w:t>
      </w:r>
      <w:r>
        <w:rPr>
          <w:color w:val="105C84"/>
          <w:spacing w:val="40"/>
        </w:rPr>
        <w:t> </w:t>
      </w:r>
      <w:r>
        <w:rPr>
          <w:color w:val="105C84"/>
        </w:rPr>
        <w:t>paying 35% or more of their household income in rent costs.</w:t>
      </w:r>
      <w:r>
        <w:rPr>
          <w:color w:val="105C84"/>
          <w:position w:val="7"/>
          <w:sz w:val="13"/>
        </w:rPr>
        <w:t>25</w:t>
      </w:r>
    </w:p>
    <w:p>
      <w:pPr>
        <w:pStyle w:val="BodyText"/>
        <w:spacing w:before="17"/>
      </w:pPr>
    </w:p>
    <w:p>
      <w:pPr>
        <w:pStyle w:val="Heading6"/>
        <w:spacing w:before="1"/>
        <w:ind w:left="1094"/>
      </w:pPr>
      <w:r>
        <w:rPr>
          <w:color w:val="105C84"/>
        </w:rPr>
        <w:t>Main</w:t>
      </w:r>
      <w:r>
        <w:rPr>
          <w:color w:val="105C84"/>
          <w:spacing w:val="-7"/>
        </w:rPr>
        <w:t> </w:t>
      </w:r>
      <w:r>
        <w:rPr>
          <w:color w:val="105C84"/>
        </w:rPr>
        <w:t>Health</w:t>
      </w:r>
      <w:r>
        <w:rPr>
          <w:color w:val="105C84"/>
          <w:spacing w:val="-6"/>
        </w:rPr>
        <w:t> </w:t>
      </w:r>
      <w:r>
        <w:rPr>
          <w:color w:val="105C84"/>
          <w:spacing w:val="-2"/>
        </w:rPr>
        <w:t>Challenges</w:t>
      </w:r>
    </w:p>
    <w:p>
      <w:pPr>
        <w:pStyle w:val="BodyText"/>
        <w:spacing w:line="247" w:lineRule="auto" w:before="268"/>
        <w:ind w:left="1094" w:right="39"/>
      </w:pPr>
      <w:r>
        <w:rPr>
          <w:color w:val="105C84"/>
        </w:rPr>
        <w:t>On May 10, 2019, stakeholders and community members were invited to attend a priority setting meeting.</w:t>
      </w:r>
      <w:r>
        <w:rPr>
          <w:color w:val="105C84"/>
          <w:spacing w:val="32"/>
        </w:rPr>
        <w:t> </w:t>
      </w:r>
      <w:r>
        <w:rPr>
          <w:color w:val="105C84"/>
        </w:rPr>
        <w:t>There</w:t>
      </w:r>
      <w:r>
        <w:rPr>
          <w:color w:val="105C84"/>
          <w:spacing w:val="32"/>
        </w:rPr>
        <w:t> </w:t>
      </w:r>
      <w:r>
        <w:rPr>
          <w:color w:val="105C84"/>
        </w:rPr>
        <w:t>were</w:t>
      </w:r>
      <w:r>
        <w:rPr>
          <w:color w:val="105C84"/>
          <w:spacing w:val="32"/>
        </w:rPr>
        <w:t> </w:t>
      </w:r>
      <w:r>
        <w:rPr>
          <w:color w:val="105C84"/>
        </w:rPr>
        <w:t>approximately</w:t>
      </w:r>
      <w:r>
        <w:rPr>
          <w:color w:val="105C84"/>
          <w:spacing w:val="32"/>
        </w:rPr>
        <w:t> </w:t>
      </w:r>
      <w:r>
        <w:rPr>
          <w:color w:val="105C84"/>
        </w:rPr>
        <w:t>50</w:t>
      </w:r>
      <w:r>
        <w:rPr>
          <w:color w:val="105C84"/>
          <w:spacing w:val="32"/>
        </w:rPr>
        <w:t> </w:t>
      </w:r>
      <w:r>
        <w:rPr>
          <w:color w:val="105C84"/>
        </w:rPr>
        <w:t>people</w:t>
      </w:r>
      <w:r>
        <w:rPr>
          <w:color w:val="105C84"/>
          <w:spacing w:val="32"/>
        </w:rPr>
        <w:t> </w:t>
      </w:r>
      <w:r>
        <w:rPr>
          <w:color w:val="105C84"/>
        </w:rPr>
        <w:t>in</w:t>
      </w:r>
      <w:r>
        <w:rPr>
          <w:color w:val="105C84"/>
          <w:spacing w:val="32"/>
        </w:rPr>
        <w:t> </w:t>
      </w:r>
      <w:r>
        <w:rPr>
          <w:color w:val="105C84"/>
        </w:rPr>
        <w:t>attendance.</w:t>
      </w:r>
      <w:r>
        <w:rPr>
          <w:color w:val="105C84"/>
          <w:spacing w:val="32"/>
        </w:rPr>
        <w:t> </w:t>
      </w:r>
      <w:r>
        <w:rPr>
          <w:color w:val="105C84"/>
        </w:rPr>
        <w:t>At</w:t>
      </w:r>
      <w:r>
        <w:rPr>
          <w:color w:val="105C84"/>
          <w:spacing w:val="32"/>
        </w:rPr>
        <w:t> </w:t>
      </w:r>
      <w:r>
        <w:rPr>
          <w:color w:val="105C84"/>
        </w:rPr>
        <w:t>this</w:t>
      </w:r>
      <w:r>
        <w:rPr>
          <w:color w:val="105C84"/>
          <w:spacing w:val="32"/>
        </w:rPr>
        <w:t> </w:t>
      </w:r>
      <w:r>
        <w:rPr>
          <w:color w:val="105C84"/>
        </w:rPr>
        <w:t>meeting,</w:t>
      </w:r>
      <w:r>
        <w:rPr>
          <w:color w:val="105C84"/>
          <w:spacing w:val="32"/>
        </w:rPr>
        <w:t> </w:t>
      </w:r>
      <w:r>
        <w:rPr>
          <w:color w:val="105C84"/>
        </w:rPr>
        <w:t>participants</w:t>
      </w:r>
      <w:r>
        <w:rPr>
          <w:color w:val="105C84"/>
          <w:spacing w:val="32"/>
        </w:rPr>
        <w:t> </w:t>
      </w:r>
      <w:r>
        <w:rPr>
          <w:color w:val="105C84"/>
        </w:rPr>
        <w:t>reviewed the MAPP process, as well as relevant qualitative, quantitative, primary and secondary data. Data</w:t>
      </w:r>
      <w:r>
        <w:rPr>
          <w:color w:val="105C84"/>
          <w:spacing w:val="80"/>
        </w:rPr>
        <w:t> </w:t>
      </w:r>
      <w:r>
        <w:rPr>
          <w:color w:val="105C84"/>
        </w:rPr>
        <w:t>were</w:t>
      </w:r>
      <w:r>
        <w:rPr>
          <w:color w:val="105C84"/>
          <w:spacing w:val="30"/>
        </w:rPr>
        <w:t> </w:t>
      </w:r>
      <w:r>
        <w:rPr>
          <w:color w:val="105C84"/>
        </w:rPr>
        <w:t>reviewed</w:t>
      </w:r>
      <w:r>
        <w:rPr>
          <w:color w:val="105C84"/>
          <w:spacing w:val="30"/>
        </w:rPr>
        <w:t> </w:t>
      </w:r>
      <w:r>
        <w:rPr>
          <w:color w:val="105C84"/>
        </w:rPr>
        <w:t>from</w:t>
      </w:r>
      <w:r>
        <w:rPr>
          <w:color w:val="105C84"/>
          <w:spacing w:val="30"/>
        </w:rPr>
        <w:t> </w:t>
      </w:r>
      <w:r>
        <w:rPr>
          <w:color w:val="105C84"/>
        </w:rPr>
        <w:t>a</w:t>
      </w:r>
      <w:r>
        <w:rPr>
          <w:color w:val="105C84"/>
          <w:spacing w:val="30"/>
        </w:rPr>
        <w:t> </w:t>
      </w:r>
      <w:r>
        <w:rPr>
          <w:color w:val="105C84"/>
        </w:rPr>
        <w:t>variety</w:t>
      </w:r>
      <w:r>
        <w:rPr>
          <w:color w:val="105C84"/>
          <w:spacing w:val="30"/>
        </w:rPr>
        <w:t> </w:t>
      </w:r>
      <w:r>
        <w:rPr>
          <w:color w:val="105C84"/>
        </w:rPr>
        <w:t>of</w:t>
      </w:r>
      <w:r>
        <w:rPr>
          <w:color w:val="105C84"/>
          <w:spacing w:val="30"/>
        </w:rPr>
        <w:t> </w:t>
      </w:r>
      <w:r>
        <w:rPr>
          <w:color w:val="105C84"/>
        </w:rPr>
        <w:t>different</w:t>
      </w:r>
      <w:r>
        <w:rPr>
          <w:color w:val="105C84"/>
          <w:spacing w:val="30"/>
        </w:rPr>
        <w:t> </w:t>
      </w:r>
      <w:r>
        <w:rPr>
          <w:color w:val="105C84"/>
        </w:rPr>
        <w:t>sources</w:t>
      </w:r>
      <w:r>
        <w:rPr>
          <w:color w:val="105C84"/>
          <w:spacing w:val="30"/>
        </w:rPr>
        <w:t> </w:t>
      </w:r>
      <w:r>
        <w:rPr>
          <w:color w:val="105C84"/>
        </w:rPr>
        <w:t>including,</w:t>
      </w:r>
      <w:r>
        <w:rPr>
          <w:color w:val="105C84"/>
          <w:spacing w:val="30"/>
        </w:rPr>
        <w:t> </w:t>
      </w:r>
      <w:r>
        <w:rPr>
          <w:color w:val="105C84"/>
        </w:rPr>
        <w:t>but</w:t>
      </w:r>
      <w:r>
        <w:rPr>
          <w:color w:val="105C84"/>
          <w:spacing w:val="30"/>
        </w:rPr>
        <w:t> </w:t>
      </w:r>
      <w:r>
        <w:rPr>
          <w:color w:val="105C84"/>
        </w:rPr>
        <w:t>not</w:t>
      </w:r>
      <w:r>
        <w:rPr>
          <w:color w:val="105C84"/>
          <w:spacing w:val="30"/>
        </w:rPr>
        <w:t> </w:t>
      </w:r>
      <w:r>
        <w:rPr>
          <w:color w:val="105C84"/>
        </w:rPr>
        <w:t>limited</w:t>
      </w:r>
      <w:r>
        <w:rPr>
          <w:color w:val="105C84"/>
          <w:spacing w:val="30"/>
        </w:rPr>
        <w:t> </w:t>
      </w:r>
      <w:r>
        <w:rPr>
          <w:color w:val="105C84"/>
        </w:rPr>
        <w:t>to,</w:t>
      </w:r>
      <w:r>
        <w:rPr>
          <w:color w:val="105C84"/>
          <w:spacing w:val="30"/>
        </w:rPr>
        <w:t> </w:t>
      </w:r>
      <w:r>
        <w:rPr>
          <w:color w:val="105C84"/>
        </w:rPr>
        <w:t>the</w:t>
      </w:r>
      <w:r>
        <w:rPr>
          <w:color w:val="105C84"/>
          <w:spacing w:val="30"/>
        </w:rPr>
        <w:t> </w:t>
      </w:r>
      <w:r>
        <w:rPr>
          <w:color w:val="105C84"/>
        </w:rPr>
        <w:t>American Community Survey, the enhanced Behavioral Risk Factor Surveillance System, Vital Statistics, communicable disease and dental reports, primary data collected from the </w:t>
      </w:r>
      <w:r>
        <w:rPr>
          <w:i/>
          <w:color w:val="105C84"/>
        </w:rPr>
        <w:t>My Health Story 2018</w:t>
      </w:r>
      <w:r>
        <w:rPr>
          <w:i/>
          <w:color w:val="105C84"/>
        </w:rPr>
        <w:t> </w:t>
      </w:r>
      <w:r>
        <w:rPr>
          <w:color w:val="105C84"/>
        </w:rPr>
        <w:t>Survey and local data sources such as Ontario County’s PRIDE survey. Lively group discussions took place regarding the potential priority areas. Ultimately, using the Hanlon and PEARL methods, the following priority areas and disparity were identified for inclusion in the 2019-2021 Community Health</w:t>
      </w:r>
      <w:r>
        <w:rPr>
          <w:color w:val="105C84"/>
          <w:spacing w:val="40"/>
        </w:rPr>
        <w:t> </w:t>
      </w:r>
      <w:r>
        <w:rPr>
          <w:color w:val="105C84"/>
        </w:rPr>
        <w:t>Improvement Plan:</w:t>
      </w:r>
    </w:p>
    <w:p>
      <w:pPr>
        <w:pStyle w:val="BodyText"/>
        <w:spacing w:before="14"/>
      </w:pPr>
    </w:p>
    <w:p>
      <w:pPr>
        <w:pStyle w:val="Heading5"/>
        <w:ind w:left="1098"/>
      </w:pPr>
      <w:r>
        <w:rPr>
          <w:color w:val="32BCAA"/>
          <w:spacing w:val="2"/>
        </w:rPr>
        <w:t>PREVENT</w:t>
      </w:r>
      <w:r>
        <w:rPr>
          <w:color w:val="32BCAA"/>
          <w:spacing w:val="35"/>
        </w:rPr>
        <w:t> </w:t>
      </w:r>
      <w:r>
        <w:rPr>
          <w:color w:val="32BCAA"/>
          <w:spacing w:val="2"/>
        </w:rPr>
        <w:t>CHRONIC</w:t>
      </w:r>
      <w:r>
        <w:rPr>
          <w:color w:val="32BCAA"/>
          <w:spacing w:val="51"/>
        </w:rPr>
        <w:t> </w:t>
      </w:r>
      <w:r>
        <w:rPr>
          <w:color w:val="32BCAA"/>
          <w:spacing w:val="-2"/>
        </w:rPr>
        <w:t>DISEASES</w:t>
      </w:r>
    </w:p>
    <w:p>
      <w:pPr>
        <w:pStyle w:val="ListParagraph"/>
        <w:numPr>
          <w:ilvl w:val="0"/>
          <w:numId w:val="19"/>
        </w:numPr>
        <w:tabs>
          <w:tab w:pos="1533" w:val="left" w:leader="none"/>
        </w:tabs>
        <w:spacing w:line="240" w:lineRule="auto" w:before="86" w:after="0"/>
        <w:ind w:left="1533" w:right="0" w:hanging="239"/>
        <w:jc w:val="left"/>
        <w:rPr>
          <w:sz w:val="22"/>
        </w:rPr>
      </w:pPr>
      <w:r>
        <w:rPr>
          <w:color w:val="105C84"/>
          <w:sz w:val="22"/>
        </w:rPr>
        <w:t>Chronic</w:t>
      </w:r>
      <w:r>
        <w:rPr>
          <w:color w:val="105C84"/>
          <w:spacing w:val="2"/>
          <w:sz w:val="22"/>
        </w:rPr>
        <w:t> </w:t>
      </w:r>
      <w:r>
        <w:rPr>
          <w:color w:val="105C84"/>
          <w:sz w:val="22"/>
        </w:rPr>
        <w:t>disease</w:t>
      </w:r>
      <w:r>
        <w:rPr>
          <w:color w:val="105C84"/>
          <w:spacing w:val="3"/>
          <w:sz w:val="22"/>
        </w:rPr>
        <w:t> </w:t>
      </w:r>
      <w:r>
        <w:rPr>
          <w:color w:val="105C84"/>
          <w:sz w:val="22"/>
        </w:rPr>
        <w:t>preventative</w:t>
      </w:r>
      <w:r>
        <w:rPr>
          <w:color w:val="105C84"/>
          <w:spacing w:val="3"/>
          <w:sz w:val="22"/>
        </w:rPr>
        <w:t> </w:t>
      </w:r>
      <w:r>
        <w:rPr>
          <w:color w:val="105C84"/>
          <w:sz w:val="22"/>
        </w:rPr>
        <w:t>care</w:t>
      </w:r>
      <w:r>
        <w:rPr>
          <w:color w:val="105C84"/>
          <w:spacing w:val="3"/>
          <w:sz w:val="22"/>
        </w:rPr>
        <w:t> </w:t>
      </w:r>
      <w:r>
        <w:rPr>
          <w:color w:val="105C84"/>
          <w:sz w:val="22"/>
        </w:rPr>
        <w:t>and</w:t>
      </w:r>
      <w:r>
        <w:rPr>
          <w:color w:val="105C84"/>
          <w:spacing w:val="3"/>
          <w:sz w:val="22"/>
        </w:rPr>
        <w:t> </w:t>
      </w:r>
      <w:r>
        <w:rPr>
          <w:color w:val="105C84"/>
          <w:spacing w:val="-2"/>
          <w:sz w:val="22"/>
        </w:rPr>
        <w:t>management</w:t>
      </w:r>
    </w:p>
    <w:p>
      <w:pPr>
        <w:pStyle w:val="ListParagraph"/>
        <w:numPr>
          <w:ilvl w:val="0"/>
          <w:numId w:val="19"/>
        </w:numPr>
        <w:tabs>
          <w:tab w:pos="1533" w:val="left" w:leader="none"/>
        </w:tabs>
        <w:spacing w:line="240" w:lineRule="auto" w:before="187" w:after="0"/>
        <w:ind w:left="1533" w:right="0" w:hanging="239"/>
        <w:jc w:val="left"/>
        <w:rPr>
          <w:sz w:val="22"/>
        </w:rPr>
      </w:pPr>
      <w:r>
        <w:rPr>
          <w:color w:val="105C84"/>
          <w:sz w:val="22"/>
        </w:rPr>
        <w:t>Tobacco</w:t>
      </w:r>
      <w:r>
        <w:rPr>
          <w:color w:val="105C84"/>
          <w:spacing w:val="-16"/>
          <w:sz w:val="22"/>
        </w:rPr>
        <w:t> </w:t>
      </w:r>
      <w:r>
        <w:rPr>
          <w:color w:val="105C84"/>
          <w:spacing w:val="-2"/>
          <w:sz w:val="22"/>
        </w:rPr>
        <w:t>prevention</w:t>
      </w:r>
    </w:p>
    <w:p>
      <w:pPr>
        <w:pStyle w:val="ListParagraph"/>
        <w:numPr>
          <w:ilvl w:val="0"/>
          <w:numId w:val="19"/>
        </w:numPr>
        <w:tabs>
          <w:tab w:pos="1533" w:val="left" w:leader="none"/>
        </w:tabs>
        <w:spacing w:line="240" w:lineRule="auto" w:before="187" w:after="0"/>
        <w:ind w:left="1533" w:right="0" w:hanging="239"/>
        <w:jc w:val="left"/>
        <w:rPr>
          <w:sz w:val="22"/>
        </w:rPr>
      </w:pPr>
      <w:r>
        <w:rPr>
          <w:color w:val="105C84"/>
          <w:sz w:val="22"/>
        </w:rPr>
        <w:t>Healthy</w:t>
      </w:r>
      <w:r>
        <w:rPr>
          <w:color w:val="105C84"/>
          <w:spacing w:val="20"/>
          <w:sz w:val="22"/>
        </w:rPr>
        <w:t> </w:t>
      </w:r>
      <w:r>
        <w:rPr>
          <w:color w:val="105C84"/>
          <w:sz w:val="22"/>
        </w:rPr>
        <w:t>eating</w:t>
      </w:r>
      <w:r>
        <w:rPr>
          <w:color w:val="105C84"/>
          <w:spacing w:val="20"/>
          <w:sz w:val="22"/>
        </w:rPr>
        <w:t> </w:t>
      </w:r>
      <w:r>
        <w:rPr>
          <w:color w:val="105C84"/>
          <w:sz w:val="22"/>
        </w:rPr>
        <w:t>and</w:t>
      </w:r>
      <w:r>
        <w:rPr>
          <w:color w:val="105C84"/>
          <w:spacing w:val="20"/>
          <w:sz w:val="22"/>
        </w:rPr>
        <w:t> </w:t>
      </w:r>
      <w:r>
        <w:rPr>
          <w:color w:val="105C84"/>
          <w:sz w:val="22"/>
        </w:rPr>
        <w:t>food</w:t>
      </w:r>
      <w:r>
        <w:rPr>
          <w:color w:val="105C84"/>
          <w:spacing w:val="21"/>
          <w:sz w:val="22"/>
        </w:rPr>
        <w:t> </w:t>
      </w:r>
      <w:r>
        <w:rPr>
          <w:color w:val="105C84"/>
          <w:spacing w:val="-2"/>
          <w:sz w:val="22"/>
        </w:rPr>
        <w:t>security</w:t>
      </w:r>
    </w:p>
    <w:p>
      <w:pPr>
        <w:pStyle w:val="BodyText"/>
        <w:spacing w:before="26"/>
      </w:pPr>
    </w:p>
    <w:p>
      <w:pPr>
        <w:pStyle w:val="Heading5"/>
        <w:ind w:left="1098"/>
      </w:pPr>
      <w:r>
        <w:rPr>
          <w:color w:val="32BCAA"/>
        </w:rPr>
        <w:t>PROMOTE</w:t>
      </w:r>
      <w:r>
        <w:rPr>
          <w:color w:val="32BCAA"/>
          <w:spacing w:val="52"/>
        </w:rPr>
        <w:t> </w:t>
      </w:r>
      <w:r>
        <w:rPr>
          <w:color w:val="32BCAA"/>
        </w:rPr>
        <w:t>MENTAL</w:t>
      </w:r>
      <w:r>
        <w:rPr>
          <w:color w:val="32BCAA"/>
          <w:spacing w:val="53"/>
        </w:rPr>
        <w:t> </w:t>
      </w:r>
      <w:r>
        <w:rPr>
          <w:color w:val="32BCAA"/>
        </w:rPr>
        <w:t>WELL-BEING</w:t>
      </w:r>
      <w:r>
        <w:rPr>
          <w:color w:val="32BCAA"/>
          <w:spacing w:val="52"/>
        </w:rPr>
        <w:t> </w:t>
      </w:r>
      <w:r>
        <w:rPr>
          <w:color w:val="32BCAA"/>
        </w:rPr>
        <w:t>AND</w:t>
      </w:r>
      <w:r>
        <w:rPr>
          <w:color w:val="32BCAA"/>
          <w:spacing w:val="53"/>
        </w:rPr>
        <w:t> </w:t>
      </w:r>
      <w:r>
        <w:rPr>
          <w:color w:val="32BCAA"/>
        </w:rPr>
        <w:t>PREVENT</w:t>
      </w:r>
      <w:r>
        <w:rPr>
          <w:color w:val="32BCAA"/>
          <w:spacing w:val="37"/>
        </w:rPr>
        <w:t> </w:t>
      </w:r>
      <w:r>
        <w:rPr>
          <w:color w:val="32BCAA"/>
        </w:rPr>
        <w:t>SUBSTANCE</w:t>
      </w:r>
      <w:r>
        <w:rPr>
          <w:color w:val="32BCAA"/>
          <w:spacing w:val="53"/>
        </w:rPr>
        <w:t> </w:t>
      </w:r>
      <w:r>
        <w:rPr>
          <w:color w:val="32BCAA"/>
        </w:rPr>
        <w:t>USE</w:t>
      </w:r>
      <w:r>
        <w:rPr>
          <w:color w:val="32BCAA"/>
          <w:spacing w:val="52"/>
        </w:rPr>
        <w:t> </w:t>
      </w:r>
      <w:r>
        <w:rPr>
          <w:color w:val="32BCAA"/>
          <w:spacing w:val="-2"/>
        </w:rPr>
        <w:t>DISORDERS</w:t>
      </w:r>
    </w:p>
    <w:p>
      <w:pPr>
        <w:pStyle w:val="ListParagraph"/>
        <w:numPr>
          <w:ilvl w:val="0"/>
          <w:numId w:val="19"/>
        </w:numPr>
        <w:tabs>
          <w:tab w:pos="1533" w:val="left" w:leader="none"/>
        </w:tabs>
        <w:spacing w:line="240" w:lineRule="auto" w:before="86" w:after="0"/>
        <w:ind w:left="1533" w:right="0" w:hanging="239"/>
        <w:jc w:val="left"/>
        <w:rPr>
          <w:sz w:val="22"/>
        </w:rPr>
      </w:pPr>
      <w:r>
        <w:rPr>
          <w:color w:val="105C84"/>
          <w:sz w:val="22"/>
        </w:rPr>
        <w:t>Promote</w:t>
      </w:r>
      <w:r>
        <w:rPr>
          <w:color w:val="105C84"/>
          <w:spacing w:val="28"/>
          <w:sz w:val="22"/>
        </w:rPr>
        <w:t> </w:t>
      </w:r>
      <w:r>
        <w:rPr>
          <w:color w:val="105C84"/>
          <w:sz w:val="22"/>
        </w:rPr>
        <w:t>well-</w:t>
      </w:r>
      <w:r>
        <w:rPr>
          <w:color w:val="105C84"/>
          <w:spacing w:val="-2"/>
          <w:sz w:val="22"/>
        </w:rPr>
        <w:t>being</w:t>
      </w:r>
    </w:p>
    <w:p>
      <w:pPr>
        <w:pStyle w:val="ListParagraph"/>
        <w:numPr>
          <w:ilvl w:val="0"/>
          <w:numId w:val="19"/>
        </w:numPr>
        <w:tabs>
          <w:tab w:pos="1533" w:val="left" w:leader="none"/>
        </w:tabs>
        <w:spacing w:line="240" w:lineRule="auto" w:before="187" w:after="0"/>
        <w:ind w:left="1533" w:right="0" w:hanging="239"/>
        <w:jc w:val="left"/>
        <w:rPr>
          <w:sz w:val="22"/>
        </w:rPr>
      </w:pPr>
      <w:r>
        <w:rPr>
          <w:color w:val="105C84"/>
          <w:sz w:val="22"/>
        </w:rPr>
        <w:t>Strengthen</w:t>
      </w:r>
      <w:r>
        <w:rPr>
          <w:color w:val="105C84"/>
          <w:spacing w:val="19"/>
          <w:sz w:val="22"/>
        </w:rPr>
        <w:t> </w:t>
      </w:r>
      <w:r>
        <w:rPr>
          <w:color w:val="105C84"/>
          <w:sz w:val="22"/>
        </w:rPr>
        <w:t>opportunities</w:t>
      </w:r>
      <w:r>
        <w:rPr>
          <w:color w:val="105C84"/>
          <w:spacing w:val="20"/>
          <w:sz w:val="22"/>
        </w:rPr>
        <w:t> </w:t>
      </w:r>
      <w:r>
        <w:rPr>
          <w:color w:val="105C84"/>
          <w:sz w:val="22"/>
        </w:rPr>
        <w:t>to</w:t>
      </w:r>
      <w:r>
        <w:rPr>
          <w:color w:val="105C84"/>
          <w:spacing w:val="20"/>
          <w:sz w:val="22"/>
        </w:rPr>
        <w:t> </w:t>
      </w:r>
      <w:r>
        <w:rPr>
          <w:color w:val="105C84"/>
          <w:sz w:val="22"/>
        </w:rPr>
        <w:t>build</w:t>
      </w:r>
      <w:r>
        <w:rPr>
          <w:color w:val="105C84"/>
          <w:spacing w:val="20"/>
          <w:sz w:val="22"/>
        </w:rPr>
        <w:t> </w:t>
      </w:r>
      <w:r>
        <w:rPr>
          <w:color w:val="105C84"/>
          <w:sz w:val="22"/>
        </w:rPr>
        <w:t>well-being</w:t>
      </w:r>
      <w:r>
        <w:rPr>
          <w:color w:val="105C84"/>
          <w:spacing w:val="20"/>
          <w:sz w:val="22"/>
        </w:rPr>
        <w:t> </w:t>
      </w:r>
      <w:r>
        <w:rPr>
          <w:color w:val="105C84"/>
          <w:sz w:val="22"/>
        </w:rPr>
        <w:t>and</w:t>
      </w:r>
      <w:r>
        <w:rPr>
          <w:color w:val="105C84"/>
          <w:spacing w:val="19"/>
          <w:sz w:val="22"/>
        </w:rPr>
        <w:t> </w:t>
      </w:r>
      <w:r>
        <w:rPr>
          <w:color w:val="105C84"/>
          <w:sz w:val="22"/>
        </w:rPr>
        <w:t>resilience</w:t>
      </w:r>
      <w:r>
        <w:rPr>
          <w:color w:val="105C84"/>
          <w:spacing w:val="20"/>
          <w:sz w:val="22"/>
        </w:rPr>
        <w:t> </w:t>
      </w:r>
      <w:r>
        <w:rPr>
          <w:color w:val="105C84"/>
          <w:sz w:val="22"/>
        </w:rPr>
        <w:t>across</w:t>
      </w:r>
      <w:r>
        <w:rPr>
          <w:color w:val="105C84"/>
          <w:spacing w:val="20"/>
          <w:sz w:val="22"/>
        </w:rPr>
        <w:t> </w:t>
      </w:r>
      <w:r>
        <w:rPr>
          <w:color w:val="105C84"/>
          <w:sz w:val="22"/>
        </w:rPr>
        <w:t>the</w:t>
      </w:r>
      <w:r>
        <w:rPr>
          <w:color w:val="105C84"/>
          <w:spacing w:val="20"/>
          <w:sz w:val="22"/>
        </w:rPr>
        <w:t> </w:t>
      </w:r>
      <w:r>
        <w:rPr>
          <w:color w:val="105C84"/>
          <w:spacing w:val="-2"/>
          <w:sz w:val="22"/>
        </w:rPr>
        <w:t>lifespan</w:t>
      </w:r>
    </w:p>
    <w:p>
      <w:pPr>
        <w:pStyle w:val="BodyText"/>
        <w:spacing w:before="26"/>
      </w:pPr>
    </w:p>
    <w:p>
      <w:pPr>
        <w:pStyle w:val="Heading5"/>
        <w:ind w:left="1098"/>
      </w:pPr>
      <w:r>
        <w:rPr>
          <w:color w:val="32BCAA"/>
        </w:rPr>
        <w:t>DISPARITY:</w:t>
      </w:r>
      <w:r>
        <w:rPr>
          <w:color w:val="32BCAA"/>
          <w:spacing w:val="12"/>
        </w:rPr>
        <w:t> </w:t>
      </w:r>
      <w:r>
        <w:rPr>
          <w:color w:val="32BCAA"/>
        </w:rPr>
        <w:t>LOW</w:t>
      </w:r>
      <w:r>
        <w:rPr>
          <w:color w:val="32BCAA"/>
          <w:spacing w:val="19"/>
        </w:rPr>
        <w:t> </w:t>
      </w:r>
      <w:r>
        <w:rPr>
          <w:color w:val="32BCAA"/>
          <w:spacing w:val="-2"/>
        </w:rPr>
        <w:t>INCOME</w:t>
      </w:r>
    </w:p>
    <w:p>
      <w:pPr>
        <w:pStyle w:val="BodyText"/>
        <w:spacing w:line="247" w:lineRule="auto" w:before="86"/>
        <w:ind w:left="1094" w:right="36"/>
      </w:pPr>
      <w:r>
        <w:rPr>
          <w:color w:val="105C84"/>
        </w:rPr>
        <w:t>In addition to the group’s thoughts, </w:t>
      </w:r>
      <w:r>
        <w:rPr>
          <w:i/>
          <w:color w:val="105C84"/>
        </w:rPr>
        <w:t>My Health Story 2018 </w:t>
      </w:r>
      <w:r>
        <w:rPr>
          <w:color w:val="105C84"/>
        </w:rPr>
        <w:t>respondents were asked questions relating</w:t>
      </w:r>
      <w:r>
        <w:rPr>
          <w:color w:val="105C84"/>
          <w:spacing w:val="40"/>
          <w:w w:val="105"/>
        </w:rPr>
        <w:t> </w:t>
      </w:r>
      <w:r>
        <w:rPr>
          <w:color w:val="105C84"/>
          <w:w w:val="105"/>
        </w:rPr>
        <w:t>to</w:t>
      </w:r>
      <w:r>
        <w:rPr>
          <w:color w:val="105C84"/>
          <w:spacing w:val="-8"/>
          <w:w w:val="105"/>
        </w:rPr>
        <w:t> </w:t>
      </w:r>
      <w:r>
        <w:rPr>
          <w:color w:val="105C84"/>
          <w:w w:val="105"/>
        </w:rPr>
        <w:t>their</w:t>
      </w:r>
      <w:r>
        <w:rPr>
          <w:color w:val="105C84"/>
          <w:spacing w:val="-8"/>
          <w:w w:val="105"/>
        </w:rPr>
        <w:t> </w:t>
      </w:r>
      <w:r>
        <w:rPr>
          <w:color w:val="105C84"/>
          <w:w w:val="105"/>
        </w:rPr>
        <w:t>top</w:t>
      </w:r>
      <w:r>
        <w:rPr>
          <w:color w:val="105C84"/>
          <w:spacing w:val="-8"/>
          <w:w w:val="105"/>
        </w:rPr>
        <w:t> </w:t>
      </w:r>
      <w:r>
        <w:rPr>
          <w:color w:val="105C84"/>
          <w:w w:val="105"/>
        </w:rPr>
        <w:t>concerns</w:t>
      </w:r>
      <w:r>
        <w:rPr>
          <w:color w:val="105C84"/>
          <w:spacing w:val="-8"/>
          <w:w w:val="105"/>
        </w:rPr>
        <w:t> </w:t>
      </w:r>
      <w:r>
        <w:rPr>
          <w:color w:val="105C84"/>
          <w:w w:val="105"/>
        </w:rPr>
        <w:t>for</w:t>
      </w:r>
      <w:r>
        <w:rPr>
          <w:color w:val="105C84"/>
          <w:spacing w:val="-8"/>
          <w:w w:val="105"/>
        </w:rPr>
        <w:t> </w:t>
      </w:r>
      <w:r>
        <w:rPr>
          <w:color w:val="105C84"/>
          <w:w w:val="105"/>
        </w:rPr>
        <w:t>the</w:t>
      </w:r>
      <w:r>
        <w:rPr>
          <w:color w:val="105C84"/>
          <w:spacing w:val="-8"/>
          <w:w w:val="105"/>
        </w:rPr>
        <w:t> </w:t>
      </w:r>
      <w:r>
        <w:rPr>
          <w:color w:val="105C84"/>
          <w:w w:val="105"/>
        </w:rPr>
        <w:t>health</w:t>
      </w:r>
      <w:r>
        <w:rPr>
          <w:color w:val="105C84"/>
          <w:spacing w:val="-8"/>
          <w:w w:val="105"/>
        </w:rPr>
        <w:t> </w:t>
      </w:r>
      <w:r>
        <w:rPr>
          <w:color w:val="105C84"/>
          <w:w w:val="105"/>
        </w:rPr>
        <w:t>of</w:t>
      </w:r>
      <w:r>
        <w:rPr>
          <w:color w:val="105C84"/>
          <w:spacing w:val="-8"/>
          <w:w w:val="105"/>
        </w:rPr>
        <w:t> </w:t>
      </w:r>
      <w:r>
        <w:rPr>
          <w:color w:val="105C84"/>
          <w:w w:val="105"/>
        </w:rPr>
        <w:t>themselves,</w:t>
      </w:r>
      <w:r>
        <w:rPr>
          <w:color w:val="105C84"/>
          <w:spacing w:val="-8"/>
          <w:w w:val="105"/>
        </w:rPr>
        <w:t> </w:t>
      </w:r>
      <w:r>
        <w:rPr>
          <w:color w:val="105C84"/>
          <w:w w:val="105"/>
        </w:rPr>
        <w:t>loved</w:t>
      </w:r>
      <w:r>
        <w:rPr>
          <w:color w:val="105C84"/>
          <w:spacing w:val="-8"/>
          <w:w w:val="105"/>
        </w:rPr>
        <w:t> </w:t>
      </w:r>
      <w:r>
        <w:rPr>
          <w:color w:val="105C84"/>
          <w:w w:val="105"/>
        </w:rPr>
        <w:t>ones,</w:t>
      </w:r>
      <w:r>
        <w:rPr>
          <w:color w:val="105C84"/>
          <w:spacing w:val="-8"/>
          <w:w w:val="105"/>
        </w:rPr>
        <w:t> </w:t>
      </w:r>
      <w:r>
        <w:rPr>
          <w:color w:val="105C84"/>
          <w:w w:val="105"/>
        </w:rPr>
        <w:t>adults</w:t>
      </w:r>
      <w:r>
        <w:rPr>
          <w:color w:val="105C84"/>
          <w:spacing w:val="-8"/>
          <w:w w:val="105"/>
        </w:rPr>
        <w:t> </w:t>
      </w:r>
      <w:r>
        <w:rPr>
          <w:color w:val="105C84"/>
          <w:w w:val="105"/>
        </w:rPr>
        <w:t>and</w:t>
      </w:r>
      <w:r>
        <w:rPr>
          <w:color w:val="105C84"/>
          <w:spacing w:val="-8"/>
          <w:w w:val="105"/>
        </w:rPr>
        <w:t> </w:t>
      </w:r>
      <w:r>
        <w:rPr>
          <w:color w:val="105C84"/>
          <w:w w:val="105"/>
        </w:rPr>
        <w:t>children</w:t>
      </w:r>
      <w:r>
        <w:rPr>
          <w:color w:val="105C84"/>
          <w:spacing w:val="-8"/>
          <w:w w:val="105"/>
        </w:rPr>
        <w:t> </w:t>
      </w:r>
      <w:r>
        <w:rPr>
          <w:color w:val="105C84"/>
          <w:w w:val="105"/>
        </w:rPr>
        <w:t>in</w:t>
      </w:r>
      <w:r>
        <w:rPr>
          <w:color w:val="105C84"/>
          <w:spacing w:val="-8"/>
          <w:w w:val="105"/>
        </w:rPr>
        <w:t> </w:t>
      </w:r>
      <w:r>
        <w:rPr>
          <w:color w:val="105C84"/>
          <w:w w:val="105"/>
        </w:rPr>
        <w:t>the</w:t>
      </w:r>
      <w:r>
        <w:rPr>
          <w:color w:val="105C84"/>
          <w:spacing w:val="-8"/>
          <w:w w:val="105"/>
        </w:rPr>
        <w:t> </w:t>
      </w:r>
      <w:r>
        <w:rPr>
          <w:color w:val="105C84"/>
          <w:w w:val="105"/>
        </w:rPr>
        <w:t>community (and</w:t>
      </w:r>
      <w:r>
        <w:rPr>
          <w:color w:val="105C84"/>
          <w:spacing w:val="-9"/>
          <w:w w:val="105"/>
        </w:rPr>
        <w:t> </w:t>
      </w:r>
      <w:r>
        <w:rPr>
          <w:color w:val="105C84"/>
          <w:w w:val="105"/>
        </w:rPr>
        <w:t>were</w:t>
      </w:r>
      <w:r>
        <w:rPr>
          <w:color w:val="105C84"/>
          <w:spacing w:val="-9"/>
          <w:w w:val="105"/>
        </w:rPr>
        <w:t> </w:t>
      </w:r>
      <w:r>
        <w:rPr>
          <w:color w:val="105C84"/>
          <w:w w:val="105"/>
        </w:rPr>
        <w:t>reviewed</w:t>
      </w:r>
      <w:r>
        <w:rPr>
          <w:color w:val="105C84"/>
          <w:spacing w:val="-9"/>
          <w:w w:val="105"/>
        </w:rPr>
        <w:t> </w:t>
      </w:r>
      <w:r>
        <w:rPr>
          <w:color w:val="105C84"/>
          <w:w w:val="105"/>
        </w:rPr>
        <w:t>at</w:t>
      </w:r>
      <w:r>
        <w:rPr>
          <w:color w:val="105C84"/>
          <w:spacing w:val="-9"/>
          <w:w w:val="105"/>
        </w:rPr>
        <w:t> </w:t>
      </w:r>
      <w:r>
        <w:rPr>
          <w:color w:val="105C84"/>
          <w:w w:val="105"/>
        </w:rPr>
        <w:t>the</w:t>
      </w:r>
      <w:r>
        <w:rPr>
          <w:color w:val="105C84"/>
          <w:spacing w:val="-9"/>
          <w:w w:val="105"/>
        </w:rPr>
        <w:t> </w:t>
      </w:r>
      <w:r>
        <w:rPr>
          <w:color w:val="105C84"/>
          <w:w w:val="105"/>
        </w:rPr>
        <w:t>prioritization</w:t>
      </w:r>
      <w:r>
        <w:rPr>
          <w:color w:val="105C84"/>
          <w:spacing w:val="-9"/>
          <w:w w:val="105"/>
        </w:rPr>
        <w:t> </w:t>
      </w:r>
      <w:r>
        <w:rPr>
          <w:color w:val="105C84"/>
          <w:w w:val="105"/>
        </w:rPr>
        <w:t>meeting).</w:t>
      </w:r>
      <w:r>
        <w:rPr>
          <w:color w:val="105C84"/>
          <w:spacing w:val="-9"/>
          <w:w w:val="105"/>
        </w:rPr>
        <w:t> </w:t>
      </w:r>
      <w:r>
        <w:rPr>
          <w:color w:val="105C84"/>
          <w:w w:val="105"/>
        </w:rPr>
        <w:t>Weight</w:t>
      </w:r>
      <w:r>
        <w:rPr>
          <w:color w:val="105C84"/>
          <w:spacing w:val="-9"/>
          <w:w w:val="105"/>
        </w:rPr>
        <w:t> </w:t>
      </w:r>
      <w:r>
        <w:rPr>
          <w:color w:val="105C84"/>
          <w:w w:val="105"/>
        </w:rPr>
        <w:t>was</w:t>
      </w:r>
      <w:r>
        <w:rPr>
          <w:color w:val="105C84"/>
          <w:spacing w:val="-9"/>
          <w:w w:val="105"/>
        </w:rPr>
        <w:t> </w:t>
      </w:r>
      <w:r>
        <w:rPr>
          <w:color w:val="105C84"/>
          <w:w w:val="105"/>
        </w:rPr>
        <w:t>among</w:t>
      </w:r>
      <w:r>
        <w:rPr>
          <w:color w:val="105C84"/>
          <w:spacing w:val="-9"/>
          <w:w w:val="105"/>
        </w:rPr>
        <w:t> </w:t>
      </w:r>
      <w:r>
        <w:rPr>
          <w:color w:val="105C84"/>
          <w:w w:val="105"/>
        </w:rPr>
        <w:t>the</w:t>
      </w:r>
      <w:r>
        <w:rPr>
          <w:color w:val="105C84"/>
          <w:spacing w:val="-9"/>
          <w:w w:val="105"/>
        </w:rPr>
        <w:t> </w:t>
      </w:r>
      <w:r>
        <w:rPr>
          <w:color w:val="105C84"/>
          <w:w w:val="105"/>
        </w:rPr>
        <w:t>top</w:t>
      </w:r>
      <w:r>
        <w:rPr>
          <w:color w:val="105C84"/>
          <w:spacing w:val="-9"/>
          <w:w w:val="105"/>
        </w:rPr>
        <w:t> </w:t>
      </w:r>
      <w:r>
        <w:rPr>
          <w:color w:val="105C84"/>
          <w:w w:val="105"/>
        </w:rPr>
        <w:t>five</w:t>
      </w:r>
      <w:r>
        <w:rPr>
          <w:color w:val="105C84"/>
          <w:spacing w:val="-9"/>
          <w:w w:val="105"/>
        </w:rPr>
        <w:t> </w:t>
      </w:r>
      <w:r>
        <w:rPr>
          <w:color w:val="105C84"/>
          <w:w w:val="105"/>
        </w:rPr>
        <w:t>concerns</w:t>
      </w:r>
      <w:r>
        <w:rPr>
          <w:color w:val="105C84"/>
          <w:spacing w:val="-9"/>
          <w:w w:val="105"/>
        </w:rPr>
        <w:t> </w:t>
      </w:r>
      <w:r>
        <w:rPr>
          <w:color w:val="105C84"/>
          <w:w w:val="105"/>
        </w:rPr>
        <w:t>for</w:t>
      </w:r>
      <w:r>
        <w:rPr>
          <w:color w:val="105C84"/>
          <w:spacing w:val="-9"/>
          <w:w w:val="105"/>
        </w:rPr>
        <w:t> </w:t>
      </w:r>
      <w:r>
        <w:rPr>
          <w:color w:val="105C84"/>
          <w:w w:val="105"/>
        </w:rPr>
        <w:t>each </w:t>
      </w:r>
      <w:r>
        <w:rPr>
          <w:color w:val="105C84"/>
        </w:rPr>
        <w:t>of the four categories (Figure 26). Substance use and obesity indicators including exercise, weight,</w:t>
      </w:r>
      <w:r>
        <w:rPr>
          <w:color w:val="105C84"/>
          <w:spacing w:val="40"/>
          <w:w w:val="105"/>
        </w:rPr>
        <w:t> </w:t>
      </w:r>
      <w:r>
        <w:rPr>
          <w:color w:val="105C84"/>
          <w:w w:val="105"/>
        </w:rPr>
        <w:t>diet</w:t>
      </w:r>
      <w:r>
        <w:rPr>
          <w:color w:val="105C84"/>
          <w:spacing w:val="-11"/>
          <w:w w:val="105"/>
        </w:rPr>
        <w:t> </w:t>
      </w:r>
      <w:r>
        <w:rPr>
          <w:color w:val="105C84"/>
          <w:w w:val="105"/>
        </w:rPr>
        <w:t>and</w:t>
      </w:r>
      <w:r>
        <w:rPr>
          <w:color w:val="105C84"/>
          <w:spacing w:val="-11"/>
          <w:w w:val="105"/>
        </w:rPr>
        <w:t> </w:t>
      </w:r>
      <w:r>
        <w:rPr>
          <w:color w:val="105C84"/>
          <w:w w:val="105"/>
        </w:rPr>
        <w:t>nutrition,</w:t>
      </w:r>
      <w:r>
        <w:rPr>
          <w:color w:val="105C84"/>
          <w:spacing w:val="-11"/>
          <w:w w:val="105"/>
        </w:rPr>
        <w:t> </w:t>
      </w:r>
      <w:r>
        <w:rPr>
          <w:color w:val="105C84"/>
          <w:w w:val="105"/>
        </w:rPr>
        <w:t>were</w:t>
      </w:r>
      <w:r>
        <w:rPr>
          <w:color w:val="105C84"/>
          <w:spacing w:val="-11"/>
          <w:w w:val="105"/>
        </w:rPr>
        <w:t> </w:t>
      </w:r>
      <w:r>
        <w:rPr>
          <w:color w:val="105C84"/>
          <w:w w:val="105"/>
        </w:rPr>
        <w:t>concerns</w:t>
      </w:r>
      <w:r>
        <w:rPr>
          <w:color w:val="105C84"/>
          <w:spacing w:val="-11"/>
          <w:w w:val="105"/>
        </w:rPr>
        <w:t> </w:t>
      </w:r>
      <w:r>
        <w:rPr>
          <w:color w:val="105C84"/>
          <w:w w:val="105"/>
        </w:rPr>
        <w:t>for</w:t>
      </w:r>
      <w:r>
        <w:rPr>
          <w:color w:val="105C84"/>
          <w:spacing w:val="-11"/>
          <w:w w:val="105"/>
        </w:rPr>
        <w:t> </w:t>
      </w:r>
      <w:r>
        <w:rPr>
          <w:color w:val="105C84"/>
          <w:w w:val="105"/>
        </w:rPr>
        <w:t>children</w:t>
      </w:r>
      <w:r>
        <w:rPr>
          <w:color w:val="105C84"/>
          <w:spacing w:val="-11"/>
          <w:w w:val="105"/>
        </w:rPr>
        <w:t> </w:t>
      </w:r>
      <w:r>
        <w:rPr>
          <w:color w:val="105C84"/>
          <w:w w:val="105"/>
        </w:rPr>
        <w:t>in</w:t>
      </w:r>
      <w:r>
        <w:rPr>
          <w:color w:val="105C84"/>
          <w:spacing w:val="-11"/>
          <w:w w:val="105"/>
        </w:rPr>
        <w:t> </w:t>
      </w:r>
      <w:r>
        <w:rPr>
          <w:color w:val="105C84"/>
          <w:w w:val="105"/>
        </w:rPr>
        <w:t>the</w:t>
      </w:r>
      <w:r>
        <w:rPr>
          <w:color w:val="105C84"/>
          <w:spacing w:val="-11"/>
          <w:w w:val="105"/>
        </w:rPr>
        <w:t> </w:t>
      </w:r>
      <w:r>
        <w:rPr>
          <w:color w:val="105C84"/>
          <w:w w:val="105"/>
        </w:rPr>
        <w:t>county.</w:t>
      </w:r>
      <w:r>
        <w:rPr>
          <w:color w:val="105C84"/>
          <w:spacing w:val="-11"/>
          <w:w w:val="105"/>
        </w:rPr>
        <w:t> </w:t>
      </w:r>
      <w:r>
        <w:rPr>
          <w:color w:val="105C84"/>
          <w:w w:val="105"/>
        </w:rPr>
        <w:t>Similar</w:t>
      </w:r>
      <w:r>
        <w:rPr>
          <w:color w:val="105C84"/>
          <w:spacing w:val="-11"/>
          <w:w w:val="105"/>
        </w:rPr>
        <w:t> </w:t>
      </w:r>
      <w:r>
        <w:rPr>
          <w:color w:val="105C84"/>
          <w:w w:val="105"/>
        </w:rPr>
        <w:t>items,</w:t>
      </w:r>
      <w:r>
        <w:rPr>
          <w:color w:val="105C84"/>
          <w:spacing w:val="-11"/>
          <w:w w:val="105"/>
        </w:rPr>
        <w:t> </w:t>
      </w:r>
      <w:r>
        <w:rPr>
          <w:color w:val="105C84"/>
          <w:w w:val="105"/>
        </w:rPr>
        <w:t>with</w:t>
      </w:r>
      <w:r>
        <w:rPr>
          <w:color w:val="105C84"/>
          <w:spacing w:val="-11"/>
          <w:w w:val="105"/>
        </w:rPr>
        <w:t> </w:t>
      </w:r>
      <w:r>
        <w:rPr>
          <w:color w:val="105C84"/>
          <w:w w:val="105"/>
        </w:rPr>
        <w:t>the</w:t>
      </w:r>
      <w:r>
        <w:rPr>
          <w:color w:val="105C84"/>
          <w:spacing w:val="-11"/>
          <w:w w:val="105"/>
        </w:rPr>
        <w:t> </w:t>
      </w:r>
      <w:r>
        <w:rPr>
          <w:color w:val="105C84"/>
          <w:w w:val="105"/>
        </w:rPr>
        <w:t>addition</w:t>
      </w:r>
      <w:r>
        <w:rPr>
          <w:color w:val="105C84"/>
          <w:spacing w:val="-11"/>
          <w:w w:val="105"/>
        </w:rPr>
        <w:t> </w:t>
      </w:r>
      <w:r>
        <w:rPr>
          <w:color w:val="105C84"/>
          <w:w w:val="105"/>
        </w:rPr>
        <w:t>of</w:t>
      </w:r>
      <w:r>
        <w:rPr>
          <w:color w:val="105C84"/>
          <w:spacing w:val="-11"/>
          <w:w w:val="105"/>
        </w:rPr>
        <w:t> </w:t>
      </w:r>
      <w:r>
        <w:rPr>
          <w:color w:val="105C84"/>
          <w:w w:val="105"/>
        </w:rPr>
        <w:t>cost</w:t>
      </w:r>
      <w:r>
        <w:rPr>
          <w:color w:val="105C84"/>
          <w:spacing w:val="-11"/>
          <w:w w:val="105"/>
        </w:rPr>
        <w:t> </w:t>
      </w:r>
      <w:r>
        <w:rPr>
          <w:color w:val="105C84"/>
          <w:w w:val="105"/>
        </w:rPr>
        <w:t>of care,</w:t>
      </w:r>
      <w:r>
        <w:rPr>
          <w:color w:val="105C84"/>
          <w:spacing w:val="-2"/>
          <w:w w:val="105"/>
        </w:rPr>
        <w:t> </w:t>
      </w:r>
      <w:r>
        <w:rPr>
          <w:color w:val="105C84"/>
          <w:w w:val="105"/>
        </w:rPr>
        <w:t>were</w:t>
      </w:r>
      <w:r>
        <w:rPr>
          <w:color w:val="105C84"/>
          <w:spacing w:val="-2"/>
          <w:w w:val="105"/>
        </w:rPr>
        <w:t> </w:t>
      </w:r>
      <w:r>
        <w:rPr>
          <w:color w:val="105C84"/>
          <w:w w:val="105"/>
        </w:rPr>
        <w:t>found</w:t>
      </w:r>
      <w:r>
        <w:rPr>
          <w:color w:val="105C84"/>
          <w:spacing w:val="-2"/>
          <w:w w:val="105"/>
        </w:rPr>
        <w:t> </w:t>
      </w:r>
      <w:r>
        <w:rPr>
          <w:color w:val="105C84"/>
          <w:w w:val="105"/>
        </w:rPr>
        <w:t>to</w:t>
      </w:r>
      <w:r>
        <w:rPr>
          <w:color w:val="105C84"/>
          <w:spacing w:val="-2"/>
          <w:w w:val="105"/>
        </w:rPr>
        <w:t> </w:t>
      </w:r>
      <w:r>
        <w:rPr>
          <w:color w:val="105C84"/>
          <w:w w:val="105"/>
        </w:rPr>
        <w:t>be</w:t>
      </w:r>
      <w:r>
        <w:rPr>
          <w:color w:val="105C84"/>
          <w:spacing w:val="-2"/>
          <w:w w:val="105"/>
        </w:rPr>
        <w:t> </w:t>
      </w:r>
      <w:r>
        <w:rPr>
          <w:color w:val="105C84"/>
          <w:w w:val="105"/>
        </w:rPr>
        <w:t>concerns</w:t>
      </w:r>
      <w:r>
        <w:rPr>
          <w:color w:val="105C84"/>
          <w:spacing w:val="-2"/>
          <w:w w:val="105"/>
        </w:rPr>
        <w:t> </w:t>
      </w:r>
      <w:r>
        <w:rPr>
          <w:color w:val="105C84"/>
          <w:w w:val="105"/>
        </w:rPr>
        <w:t>for</w:t>
      </w:r>
      <w:r>
        <w:rPr>
          <w:color w:val="105C84"/>
          <w:spacing w:val="-2"/>
          <w:w w:val="105"/>
        </w:rPr>
        <w:t> </w:t>
      </w:r>
      <w:r>
        <w:rPr>
          <w:color w:val="105C84"/>
          <w:w w:val="105"/>
        </w:rPr>
        <w:t>adults</w:t>
      </w:r>
      <w:r>
        <w:rPr>
          <w:color w:val="105C84"/>
          <w:spacing w:val="-2"/>
          <w:w w:val="105"/>
        </w:rPr>
        <w:t> </w:t>
      </w:r>
      <w:r>
        <w:rPr>
          <w:color w:val="105C84"/>
          <w:w w:val="105"/>
        </w:rPr>
        <w:t>in</w:t>
      </w:r>
      <w:r>
        <w:rPr>
          <w:color w:val="105C84"/>
          <w:spacing w:val="-2"/>
          <w:w w:val="105"/>
        </w:rPr>
        <w:t> </w:t>
      </w:r>
      <w:r>
        <w:rPr>
          <w:color w:val="105C84"/>
          <w:w w:val="105"/>
        </w:rPr>
        <w:t>the</w:t>
      </w:r>
      <w:r>
        <w:rPr>
          <w:color w:val="105C84"/>
          <w:spacing w:val="-2"/>
          <w:w w:val="105"/>
        </w:rPr>
        <w:t> </w:t>
      </w:r>
      <w:r>
        <w:rPr>
          <w:color w:val="105C84"/>
          <w:w w:val="105"/>
        </w:rPr>
        <w:t>county.</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4"/>
      </w:pPr>
    </w:p>
    <w:p>
      <w:pPr>
        <w:tabs>
          <w:tab w:pos="5752" w:val="left" w:leader="none"/>
        </w:tabs>
        <w:spacing w:before="0"/>
        <w:ind w:left="1058" w:right="0" w:firstLine="0"/>
        <w:jc w:val="left"/>
        <w:rPr>
          <w:sz w:val="14"/>
        </w:rPr>
      </w:pPr>
      <w:r>
        <w:rPr>
          <w:sz w:val="14"/>
        </w:rPr>
        <w:drawing>
          <wp:anchor distT="0" distB="0" distL="0" distR="0" allowOverlap="1" layoutInCell="1" locked="0" behindDoc="0" simplePos="0" relativeHeight="15812608">
            <wp:simplePos x="0" y="0"/>
            <wp:positionH relativeFrom="page">
              <wp:posOffset>0</wp:posOffset>
            </wp:positionH>
            <wp:positionV relativeFrom="paragraph">
              <wp:posOffset>-64</wp:posOffset>
            </wp:positionV>
            <wp:extent cx="568172" cy="184683"/>
            <wp:effectExtent l="0" t="0" r="0" b="0"/>
            <wp:wrapNone/>
            <wp:docPr id="798" name="Image 798"/>
            <wp:cNvGraphicFramePr>
              <a:graphicFrameLocks/>
            </wp:cNvGraphicFramePr>
            <a:graphic>
              <a:graphicData uri="http://schemas.openxmlformats.org/drawingml/2006/picture">
                <pic:pic>
                  <pic:nvPicPr>
                    <pic:cNvPr id="798" name="Image 798"/>
                    <pic:cNvPicPr/>
                  </pic:nvPicPr>
                  <pic:blipFill>
                    <a:blip r:embed="rId39" cstate="print"/>
                    <a:stretch>
                      <a:fillRect/>
                    </a:stretch>
                  </pic:blipFill>
                  <pic:spPr>
                    <a:xfrm>
                      <a:off x="0" y="0"/>
                      <a:ext cx="568172" cy="184683"/>
                    </a:xfrm>
                    <a:prstGeom prst="rect">
                      <a:avLst/>
                    </a:prstGeom>
                  </pic:spPr>
                </pic:pic>
              </a:graphicData>
            </a:graphic>
          </wp:anchor>
        </w:drawing>
      </w:r>
      <w:r>
        <w:rPr>
          <w:b/>
          <w:color w:val="939598"/>
          <w:spacing w:val="-5"/>
          <w:position w:val="1"/>
          <w:sz w:val="26"/>
        </w:rPr>
        <w:t>59</w:t>
      </w:r>
      <w:r>
        <w:rPr>
          <w:b/>
          <w:color w:val="939598"/>
          <w:position w:val="1"/>
          <w:sz w:val="26"/>
        </w:rPr>
        <w:tab/>
      </w:r>
      <w:r>
        <w:rPr>
          <w:color w:val="636466"/>
          <w:spacing w:val="-4"/>
          <w:sz w:val="14"/>
        </w:rPr>
        <w:t>25.</w:t>
      </w:r>
      <w:r>
        <w:rPr>
          <w:color w:val="636466"/>
          <w:spacing w:val="1"/>
          <w:sz w:val="14"/>
        </w:rPr>
        <w:t> </w:t>
      </w:r>
      <w:r>
        <w:rPr>
          <w:color w:val="636466"/>
          <w:spacing w:val="-4"/>
          <w:sz w:val="14"/>
        </w:rPr>
        <w:t>Source:</w:t>
      </w:r>
      <w:r>
        <w:rPr>
          <w:color w:val="636466"/>
          <w:spacing w:val="1"/>
          <w:sz w:val="14"/>
        </w:rPr>
        <w:t> </w:t>
      </w:r>
      <w:r>
        <w:rPr>
          <w:color w:val="636466"/>
          <w:spacing w:val="-4"/>
          <w:sz w:val="14"/>
        </w:rPr>
        <w:t>US</w:t>
      </w:r>
      <w:r>
        <w:rPr>
          <w:color w:val="636466"/>
          <w:spacing w:val="1"/>
          <w:sz w:val="14"/>
        </w:rPr>
        <w:t> </w:t>
      </w:r>
      <w:r>
        <w:rPr>
          <w:color w:val="636466"/>
          <w:spacing w:val="-4"/>
          <w:sz w:val="14"/>
        </w:rPr>
        <w:t>Census</w:t>
      </w:r>
      <w:r>
        <w:rPr>
          <w:color w:val="636466"/>
          <w:spacing w:val="1"/>
          <w:sz w:val="14"/>
        </w:rPr>
        <w:t> </w:t>
      </w:r>
      <w:r>
        <w:rPr>
          <w:color w:val="636466"/>
          <w:spacing w:val="-4"/>
          <w:sz w:val="14"/>
        </w:rPr>
        <w:t>Bureau</w:t>
      </w:r>
      <w:r>
        <w:rPr>
          <w:color w:val="636466"/>
          <w:spacing w:val="1"/>
          <w:sz w:val="14"/>
        </w:rPr>
        <w:t> </w:t>
      </w:r>
      <w:r>
        <w:rPr>
          <w:color w:val="636466"/>
          <w:spacing w:val="-4"/>
          <w:sz w:val="14"/>
        </w:rPr>
        <w:t>American</w:t>
      </w:r>
      <w:r>
        <w:rPr>
          <w:color w:val="636466"/>
          <w:spacing w:val="2"/>
          <w:sz w:val="14"/>
        </w:rPr>
        <w:t> </w:t>
      </w:r>
      <w:r>
        <w:rPr>
          <w:color w:val="636466"/>
          <w:spacing w:val="-4"/>
          <w:sz w:val="14"/>
        </w:rPr>
        <w:t>Community</w:t>
      </w:r>
      <w:r>
        <w:rPr>
          <w:color w:val="636466"/>
          <w:spacing w:val="1"/>
          <w:sz w:val="14"/>
        </w:rPr>
        <w:t> </w:t>
      </w:r>
      <w:r>
        <w:rPr>
          <w:color w:val="636466"/>
          <w:spacing w:val="-4"/>
          <w:sz w:val="14"/>
        </w:rPr>
        <w:t>Survey</w:t>
      </w:r>
      <w:r>
        <w:rPr>
          <w:color w:val="636466"/>
          <w:spacing w:val="1"/>
          <w:sz w:val="14"/>
        </w:rPr>
        <w:t> </w:t>
      </w:r>
      <w:r>
        <w:rPr>
          <w:color w:val="636466"/>
          <w:spacing w:val="-4"/>
          <w:sz w:val="14"/>
        </w:rPr>
        <w:t>2013-2017</w:t>
      </w:r>
      <w:r>
        <w:rPr>
          <w:color w:val="636466"/>
          <w:spacing w:val="1"/>
          <w:sz w:val="14"/>
        </w:rPr>
        <w:t> </w:t>
      </w:r>
      <w:r>
        <w:rPr>
          <w:color w:val="636466"/>
          <w:spacing w:val="-4"/>
          <w:sz w:val="14"/>
        </w:rPr>
        <w:t>5-Year</w:t>
      </w:r>
      <w:r>
        <w:rPr>
          <w:color w:val="636466"/>
          <w:spacing w:val="1"/>
          <w:sz w:val="14"/>
        </w:rPr>
        <w:t> </w:t>
      </w:r>
      <w:r>
        <w:rPr>
          <w:color w:val="636466"/>
          <w:spacing w:val="-4"/>
          <w:sz w:val="14"/>
        </w:rPr>
        <w:t>Estimate</w:t>
      </w:r>
      <w:r>
        <w:rPr>
          <w:color w:val="636466"/>
          <w:spacing w:val="-4"/>
          <w:sz w:val="14"/>
        </w:rPr>
        <w:t>s</w:t>
      </w:r>
    </w:p>
    <w:p>
      <w:pPr>
        <w:pStyle w:val="Heading6"/>
        <w:spacing w:before="145"/>
        <w:ind w:left="0" w:right="459"/>
      </w:pPr>
      <w:r>
        <w:rPr>
          <w:b w:val="0"/>
        </w:rPr>
        <w:br w:type="column"/>
      </w:r>
      <w:r>
        <w:rPr>
          <w:color w:val="105C84"/>
          <w:spacing w:val="-2"/>
        </w:rPr>
        <w:t>FIGURE</w:t>
      </w:r>
      <w:r>
        <w:rPr>
          <w:color w:val="105C84"/>
          <w:spacing w:val="-15"/>
        </w:rPr>
        <w:t> </w:t>
      </w:r>
      <w:r>
        <w:rPr>
          <w:color w:val="105C84"/>
          <w:spacing w:val="-2"/>
        </w:rPr>
        <w:t>26:</w:t>
      </w:r>
      <w:r>
        <w:rPr>
          <w:color w:val="105C84"/>
          <w:spacing w:val="-15"/>
        </w:rPr>
        <w:t> </w:t>
      </w:r>
      <w:r>
        <w:rPr>
          <w:color w:val="105C84"/>
          <w:spacing w:val="-2"/>
        </w:rPr>
        <w:t>Ontario</w:t>
      </w:r>
      <w:r>
        <w:rPr>
          <w:color w:val="105C84"/>
          <w:spacing w:val="-15"/>
        </w:rPr>
        <w:t> </w:t>
      </w:r>
      <w:r>
        <w:rPr>
          <w:color w:val="105C84"/>
          <w:spacing w:val="-2"/>
        </w:rPr>
        <w:t>County</w:t>
      </w:r>
      <w:r>
        <w:rPr>
          <w:color w:val="105C84"/>
          <w:spacing w:val="-15"/>
        </w:rPr>
        <w:t> </w:t>
      </w:r>
      <w:r>
        <w:rPr>
          <w:color w:val="105C84"/>
          <w:spacing w:val="-2"/>
        </w:rPr>
        <w:t>summary</w:t>
      </w:r>
      <w:r>
        <w:rPr>
          <w:color w:val="105C84"/>
          <w:spacing w:val="-15"/>
        </w:rPr>
        <w:t> </w:t>
      </w:r>
      <w:r>
        <w:rPr>
          <w:color w:val="105C84"/>
          <w:spacing w:val="-2"/>
        </w:rPr>
        <w:t>of</w:t>
      </w:r>
      <w:r>
        <w:rPr>
          <w:color w:val="105C84"/>
          <w:spacing w:val="-15"/>
        </w:rPr>
        <w:t> </w:t>
      </w:r>
      <w:r>
        <w:rPr>
          <w:color w:val="105C84"/>
          <w:spacing w:val="-2"/>
        </w:rPr>
        <w:t>health-related</w:t>
      </w:r>
      <w:r>
        <w:rPr>
          <w:color w:val="105C84"/>
          <w:spacing w:val="-15"/>
        </w:rPr>
        <w:t> </w:t>
      </w:r>
      <w:r>
        <w:rPr>
          <w:color w:val="105C84"/>
          <w:spacing w:val="-2"/>
        </w:rPr>
        <w:t>concerns</w:t>
      </w:r>
      <w:r>
        <w:rPr>
          <w:color w:val="105C84"/>
          <w:spacing w:val="-15"/>
        </w:rPr>
        <w:t> </w:t>
      </w:r>
      <w:r>
        <w:rPr>
          <w:color w:val="105C84"/>
          <w:spacing w:val="-2"/>
        </w:rPr>
        <w:t>for</w:t>
      </w:r>
      <w:r>
        <w:rPr>
          <w:color w:val="105C84"/>
          <w:spacing w:val="-15"/>
        </w:rPr>
        <w:t> </w:t>
      </w:r>
      <w:r>
        <w:rPr>
          <w:color w:val="105C84"/>
          <w:spacing w:val="-2"/>
        </w:rPr>
        <w:t>self,</w:t>
      </w:r>
      <w:r>
        <w:rPr>
          <w:color w:val="105C84"/>
          <w:spacing w:val="-15"/>
        </w:rPr>
        <w:t> </w:t>
      </w:r>
      <w:r>
        <w:rPr>
          <w:color w:val="105C84"/>
          <w:spacing w:val="-2"/>
        </w:rPr>
        <w:t>loved </w:t>
      </w:r>
      <w:r>
        <w:rPr>
          <w:color w:val="105C84"/>
        </w:rPr>
        <w:t>ones and county to prioritize</w:t>
      </w:r>
    </w:p>
    <w:p>
      <w:pPr>
        <w:pStyle w:val="BodyText"/>
        <w:spacing w:before="221"/>
        <w:rPr>
          <w:b/>
          <w:sz w:val="20"/>
        </w:rPr>
      </w:pPr>
      <w:r>
        <w:rPr>
          <w:b/>
          <w:sz w:val="20"/>
        </w:rPr>
        <mc:AlternateContent>
          <mc:Choice Requires="wps">
            <w:drawing>
              <wp:anchor distT="0" distB="0" distL="0" distR="0" allowOverlap="1" layoutInCell="1" locked="0" behindDoc="1" simplePos="0" relativeHeight="487587840">
                <wp:simplePos x="0" y="0"/>
                <wp:positionH relativeFrom="page">
                  <wp:posOffset>8458200</wp:posOffset>
                </wp:positionH>
                <wp:positionV relativeFrom="paragraph">
                  <wp:posOffset>302190</wp:posOffset>
                </wp:positionV>
                <wp:extent cx="2891155" cy="1374775"/>
                <wp:effectExtent l="0" t="0" r="0" b="0"/>
                <wp:wrapTopAndBottom/>
                <wp:docPr id="799" name="Textbox 799"/>
                <wp:cNvGraphicFramePr>
                  <a:graphicFrameLocks/>
                </wp:cNvGraphicFramePr>
                <a:graphic>
                  <a:graphicData uri="http://schemas.microsoft.com/office/word/2010/wordprocessingShape">
                    <wps:wsp>
                      <wps:cNvPr id="799" name="Textbox 799"/>
                      <wps:cNvSpPr txBox="1"/>
                      <wps:spPr>
                        <a:xfrm>
                          <a:off x="0" y="0"/>
                          <a:ext cx="2891155" cy="1374775"/>
                        </a:xfrm>
                        <a:prstGeom prst="rect">
                          <a:avLst/>
                        </a:prstGeom>
                      </wps:spPr>
                      <wps:txbx>
                        <w:txbxContent>
                          <w:tbl>
                            <w:tblPr>
                              <w:tblW w:w="0" w:type="auto"/>
                              <w:jc w:val="left"/>
                              <w:tblInd w:w="2" w:type="dxa"/>
                              <w:tblBorders>
                                <w:top w:val="single" w:sz="2" w:space="0" w:color="636466"/>
                                <w:left w:val="single" w:sz="2" w:space="0" w:color="636466"/>
                                <w:bottom w:val="single" w:sz="2" w:space="0" w:color="636466"/>
                                <w:right w:val="single" w:sz="2" w:space="0" w:color="636466"/>
                                <w:insideH w:val="single" w:sz="2" w:space="0" w:color="636466"/>
                                <w:insideV w:val="single" w:sz="2" w:space="0" w:color="636466"/>
                              </w:tblBorders>
                              <w:tblLayout w:type="fixed"/>
                              <w:tblCellMar>
                                <w:top w:w="0" w:type="dxa"/>
                                <w:left w:w="0" w:type="dxa"/>
                                <w:bottom w:w="0" w:type="dxa"/>
                                <w:right w:w="0" w:type="dxa"/>
                              </w:tblCellMar>
                              <w:tblLook w:val="01E0"/>
                            </w:tblPr>
                            <w:tblGrid>
                              <w:gridCol w:w="4548"/>
                            </w:tblGrid>
                            <w:tr>
                              <w:trPr>
                                <w:trHeight w:val="355" w:hRule="atLeast"/>
                              </w:trPr>
                              <w:tc>
                                <w:tcPr>
                                  <w:tcW w:w="4548" w:type="dxa"/>
                                  <w:shd w:val="clear" w:color="auto" w:fill="82BF6A"/>
                                </w:tcPr>
                                <w:p>
                                  <w:pPr>
                                    <w:pStyle w:val="TableParagraph"/>
                                    <w:spacing w:before="90"/>
                                    <w:ind w:left="80"/>
                                    <w:rPr>
                                      <w:b/>
                                      <w:sz w:val="20"/>
                                    </w:rPr>
                                  </w:pPr>
                                  <w:r>
                                    <w:rPr>
                                      <w:b/>
                                      <w:color w:val="FFFFFF"/>
                                      <w:sz w:val="20"/>
                                    </w:rPr>
                                    <w:t>BIGGEST</w:t>
                                  </w:r>
                                  <w:r>
                                    <w:rPr>
                                      <w:b/>
                                      <w:color w:val="FFFFFF"/>
                                      <w:spacing w:val="-10"/>
                                      <w:sz w:val="20"/>
                                    </w:rPr>
                                    <w:t> </w:t>
                                  </w:r>
                                  <w:r>
                                    <w:rPr>
                                      <w:b/>
                                      <w:color w:val="FFFFFF"/>
                                      <w:sz w:val="20"/>
                                    </w:rPr>
                                    <w:t>FEAR</w:t>
                                  </w:r>
                                  <w:r>
                                    <w:rPr>
                                      <w:b/>
                                      <w:color w:val="FFFFFF"/>
                                      <w:spacing w:val="-10"/>
                                      <w:sz w:val="20"/>
                                    </w:rPr>
                                    <w:t> </w:t>
                                  </w:r>
                                  <w:r>
                                    <w:rPr>
                                      <w:b/>
                                      <w:color w:val="FFFFFF"/>
                                      <w:sz w:val="20"/>
                                    </w:rPr>
                                    <w:t>-</w:t>
                                  </w:r>
                                  <w:r>
                                    <w:rPr>
                                      <w:b/>
                                      <w:color w:val="FFFFFF"/>
                                      <w:spacing w:val="-9"/>
                                      <w:sz w:val="20"/>
                                    </w:rPr>
                                    <w:t> </w:t>
                                  </w:r>
                                  <w:r>
                                    <w:rPr>
                                      <w:b/>
                                      <w:color w:val="FFFFFF"/>
                                      <w:sz w:val="20"/>
                                    </w:rPr>
                                    <w:t>FOR</w:t>
                                  </w:r>
                                  <w:r>
                                    <w:rPr>
                                      <w:b/>
                                      <w:color w:val="FFFFFF"/>
                                      <w:spacing w:val="-10"/>
                                      <w:sz w:val="20"/>
                                    </w:rPr>
                                    <w:t> </w:t>
                                  </w:r>
                                  <w:r>
                                    <w:rPr>
                                      <w:b/>
                                      <w:color w:val="FFFFFF"/>
                                      <w:spacing w:val="-4"/>
                                      <w:sz w:val="20"/>
                                    </w:rPr>
                                    <w:t>SELF</w:t>
                                  </w:r>
                                </w:p>
                              </w:tc>
                            </w:tr>
                            <w:tr>
                              <w:trPr>
                                <w:trHeight w:val="355" w:hRule="atLeast"/>
                              </w:trPr>
                              <w:tc>
                                <w:tcPr>
                                  <w:tcW w:w="4548" w:type="dxa"/>
                                </w:tcPr>
                                <w:p>
                                  <w:pPr>
                                    <w:pStyle w:val="TableParagraph"/>
                                    <w:spacing w:before="90"/>
                                    <w:ind w:left="80"/>
                                    <w:rPr>
                                      <w:sz w:val="20"/>
                                    </w:rPr>
                                  </w:pPr>
                                  <w:r>
                                    <w:rPr>
                                      <w:color w:val="105C84"/>
                                      <w:sz w:val="20"/>
                                    </w:rPr>
                                    <w:t>Mental</w:t>
                                  </w:r>
                                  <w:r>
                                    <w:rPr>
                                      <w:color w:val="105C84"/>
                                      <w:spacing w:val="13"/>
                                      <w:sz w:val="20"/>
                                    </w:rPr>
                                    <w:t> </w:t>
                                  </w:r>
                                  <w:r>
                                    <w:rPr>
                                      <w:color w:val="105C84"/>
                                      <w:sz w:val="20"/>
                                    </w:rPr>
                                    <w:t>/</w:t>
                                  </w:r>
                                  <w:r>
                                    <w:rPr>
                                      <w:color w:val="105C84"/>
                                      <w:spacing w:val="13"/>
                                      <w:sz w:val="20"/>
                                    </w:rPr>
                                    <w:t> </w:t>
                                  </w:r>
                                  <w:r>
                                    <w:rPr>
                                      <w:color w:val="105C84"/>
                                      <w:sz w:val="20"/>
                                    </w:rPr>
                                    <w:t>emotional</w:t>
                                  </w:r>
                                  <w:r>
                                    <w:rPr>
                                      <w:color w:val="105C84"/>
                                      <w:spacing w:val="13"/>
                                      <w:sz w:val="20"/>
                                    </w:rPr>
                                    <w:t> </w:t>
                                  </w:r>
                                  <w:r>
                                    <w:rPr>
                                      <w:color w:val="105C84"/>
                                      <w:sz w:val="20"/>
                                    </w:rPr>
                                    <w:t>health</w:t>
                                  </w:r>
                                  <w:r>
                                    <w:rPr>
                                      <w:color w:val="105C84"/>
                                      <w:spacing w:val="13"/>
                                      <w:sz w:val="20"/>
                                    </w:rPr>
                                    <w:t> </w:t>
                                  </w:r>
                                  <w:r>
                                    <w:rPr>
                                      <w:color w:val="105C84"/>
                                      <w:sz w:val="20"/>
                                    </w:rPr>
                                    <w:t>issues</w:t>
                                  </w:r>
                                  <w:r>
                                    <w:rPr>
                                      <w:color w:val="105C84"/>
                                      <w:spacing w:val="13"/>
                                      <w:sz w:val="20"/>
                                    </w:rPr>
                                    <w:t> </w:t>
                                  </w:r>
                                  <w:r>
                                    <w:rPr>
                                      <w:color w:val="105C84"/>
                                      <w:spacing w:val="-2"/>
                                      <w:sz w:val="20"/>
                                    </w:rPr>
                                    <w:t>(14.7%)</w:t>
                                  </w:r>
                                </w:p>
                              </w:tc>
                            </w:tr>
                            <w:tr>
                              <w:trPr>
                                <w:trHeight w:val="355" w:hRule="atLeast"/>
                              </w:trPr>
                              <w:tc>
                                <w:tcPr>
                                  <w:tcW w:w="4548" w:type="dxa"/>
                                </w:tcPr>
                                <w:p>
                                  <w:pPr>
                                    <w:pStyle w:val="TableParagraph"/>
                                    <w:spacing w:before="90"/>
                                    <w:ind w:left="80"/>
                                    <w:rPr>
                                      <w:sz w:val="20"/>
                                    </w:rPr>
                                  </w:pPr>
                                  <w:r>
                                    <w:rPr>
                                      <w:color w:val="105C84"/>
                                      <w:sz w:val="20"/>
                                    </w:rPr>
                                    <w:t>Weight</w:t>
                                  </w:r>
                                  <w:r>
                                    <w:rPr>
                                      <w:color w:val="105C84"/>
                                      <w:spacing w:val="27"/>
                                      <w:sz w:val="20"/>
                                    </w:rPr>
                                    <w:t> </w:t>
                                  </w:r>
                                  <w:r>
                                    <w:rPr>
                                      <w:color w:val="105C84"/>
                                      <w:spacing w:val="-2"/>
                                      <w:sz w:val="20"/>
                                    </w:rPr>
                                    <w:t>(13.5%)</w:t>
                                  </w:r>
                                </w:p>
                              </w:tc>
                            </w:tr>
                            <w:tr>
                              <w:trPr>
                                <w:trHeight w:val="355" w:hRule="atLeast"/>
                              </w:trPr>
                              <w:tc>
                                <w:tcPr>
                                  <w:tcW w:w="4548" w:type="dxa"/>
                                </w:tcPr>
                                <w:p>
                                  <w:pPr>
                                    <w:pStyle w:val="TableParagraph"/>
                                    <w:spacing w:before="90"/>
                                    <w:ind w:left="80"/>
                                    <w:rPr>
                                      <w:sz w:val="20"/>
                                    </w:rPr>
                                  </w:pPr>
                                  <w:r>
                                    <w:rPr>
                                      <w:color w:val="105C84"/>
                                      <w:sz w:val="20"/>
                                    </w:rPr>
                                    <w:t>Cost</w:t>
                                  </w:r>
                                  <w:r>
                                    <w:rPr>
                                      <w:color w:val="105C84"/>
                                      <w:spacing w:val="6"/>
                                      <w:sz w:val="20"/>
                                    </w:rPr>
                                    <w:t> </w:t>
                                  </w:r>
                                  <w:r>
                                    <w:rPr>
                                      <w:color w:val="105C84"/>
                                      <w:spacing w:val="-2"/>
                                      <w:sz w:val="20"/>
                                    </w:rPr>
                                    <w:t>(10.6%)</w:t>
                                  </w:r>
                                </w:p>
                              </w:tc>
                            </w:tr>
                            <w:tr>
                              <w:trPr>
                                <w:trHeight w:val="355" w:hRule="atLeast"/>
                              </w:trPr>
                              <w:tc>
                                <w:tcPr>
                                  <w:tcW w:w="4548" w:type="dxa"/>
                                </w:tcPr>
                                <w:p>
                                  <w:pPr>
                                    <w:pStyle w:val="TableParagraph"/>
                                    <w:spacing w:before="90"/>
                                    <w:ind w:left="80"/>
                                    <w:rPr>
                                      <w:sz w:val="20"/>
                                    </w:rPr>
                                  </w:pPr>
                                  <w:r>
                                    <w:rPr>
                                      <w:color w:val="105C84"/>
                                      <w:sz w:val="20"/>
                                    </w:rPr>
                                    <w:t>Cancer</w:t>
                                  </w:r>
                                  <w:r>
                                    <w:rPr>
                                      <w:color w:val="105C84"/>
                                      <w:spacing w:val="-10"/>
                                      <w:sz w:val="20"/>
                                    </w:rPr>
                                    <w:t> </w:t>
                                  </w:r>
                                  <w:r>
                                    <w:rPr>
                                      <w:color w:val="105C84"/>
                                      <w:spacing w:val="-2"/>
                                      <w:sz w:val="20"/>
                                    </w:rPr>
                                    <w:t>(8.5%)</w:t>
                                  </w:r>
                                </w:p>
                              </w:tc>
                            </w:tr>
                            <w:tr>
                              <w:trPr>
                                <w:trHeight w:val="355" w:hRule="atLeast"/>
                              </w:trPr>
                              <w:tc>
                                <w:tcPr>
                                  <w:tcW w:w="4548" w:type="dxa"/>
                                </w:tcPr>
                                <w:p>
                                  <w:pPr>
                                    <w:pStyle w:val="TableParagraph"/>
                                    <w:spacing w:before="90"/>
                                    <w:ind w:left="80"/>
                                    <w:rPr>
                                      <w:sz w:val="20"/>
                                    </w:rPr>
                                  </w:pPr>
                                  <w:r>
                                    <w:rPr>
                                      <w:color w:val="105C84"/>
                                      <w:sz w:val="20"/>
                                    </w:rPr>
                                    <w:t>Heart</w:t>
                                  </w:r>
                                  <w:r>
                                    <w:rPr>
                                      <w:color w:val="105C84"/>
                                      <w:spacing w:val="22"/>
                                      <w:sz w:val="20"/>
                                    </w:rPr>
                                    <w:t> </w:t>
                                  </w:r>
                                  <w:r>
                                    <w:rPr>
                                      <w:color w:val="105C84"/>
                                      <w:sz w:val="20"/>
                                    </w:rPr>
                                    <w:t>conditions</w:t>
                                  </w:r>
                                  <w:r>
                                    <w:rPr>
                                      <w:color w:val="105C84"/>
                                      <w:spacing w:val="23"/>
                                      <w:sz w:val="20"/>
                                    </w:rPr>
                                    <w:t> </w:t>
                                  </w:r>
                                  <w:r>
                                    <w:rPr>
                                      <w:color w:val="105C84"/>
                                      <w:spacing w:val="-2"/>
                                      <w:sz w:val="20"/>
                                    </w:rPr>
                                    <w:t>(8.4%)</w:t>
                                  </w:r>
                                </w:p>
                              </w:tc>
                            </w:tr>
                          </w:tbl>
                          <w:p>
                            <w:pPr>
                              <w:pStyle w:val="BodyText"/>
                            </w:pPr>
                          </w:p>
                        </w:txbxContent>
                      </wps:txbx>
                      <wps:bodyPr wrap="square" lIns="0" tIns="0" rIns="0" bIns="0" rtlCol="0">
                        <a:noAutofit/>
                      </wps:bodyPr>
                    </wps:wsp>
                  </a:graphicData>
                </a:graphic>
              </wp:anchor>
            </w:drawing>
          </mc:Choice>
          <mc:Fallback>
            <w:pict>
              <v:shape style="position:absolute;margin-left:666pt;margin-top:23.794493pt;width:227.65pt;height:108.25pt;mso-position-horizontal-relative:page;mso-position-vertical-relative:paragraph;z-index:-15728640;mso-wrap-distance-left:0;mso-wrap-distance-right:0" type="#_x0000_t202" id="docshape680" filled="false" stroked="false">
                <v:textbox inset="0,0,0,0">
                  <w:txbxContent>
                    <w:tbl>
                      <w:tblPr>
                        <w:tblW w:w="0" w:type="auto"/>
                        <w:jc w:val="left"/>
                        <w:tblInd w:w="2" w:type="dxa"/>
                        <w:tblBorders>
                          <w:top w:val="single" w:sz="2" w:space="0" w:color="636466"/>
                          <w:left w:val="single" w:sz="2" w:space="0" w:color="636466"/>
                          <w:bottom w:val="single" w:sz="2" w:space="0" w:color="636466"/>
                          <w:right w:val="single" w:sz="2" w:space="0" w:color="636466"/>
                          <w:insideH w:val="single" w:sz="2" w:space="0" w:color="636466"/>
                          <w:insideV w:val="single" w:sz="2" w:space="0" w:color="636466"/>
                        </w:tblBorders>
                        <w:tblLayout w:type="fixed"/>
                        <w:tblCellMar>
                          <w:top w:w="0" w:type="dxa"/>
                          <w:left w:w="0" w:type="dxa"/>
                          <w:bottom w:w="0" w:type="dxa"/>
                          <w:right w:w="0" w:type="dxa"/>
                        </w:tblCellMar>
                        <w:tblLook w:val="01E0"/>
                      </w:tblPr>
                      <w:tblGrid>
                        <w:gridCol w:w="4548"/>
                      </w:tblGrid>
                      <w:tr>
                        <w:trPr>
                          <w:trHeight w:val="355" w:hRule="atLeast"/>
                        </w:trPr>
                        <w:tc>
                          <w:tcPr>
                            <w:tcW w:w="4548" w:type="dxa"/>
                            <w:shd w:val="clear" w:color="auto" w:fill="82BF6A"/>
                          </w:tcPr>
                          <w:p>
                            <w:pPr>
                              <w:pStyle w:val="TableParagraph"/>
                              <w:spacing w:before="90"/>
                              <w:ind w:left="80"/>
                              <w:rPr>
                                <w:b/>
                                <w:sz w:val="20"/>
                              </w:rPr>
                            </w:pPr>
                            <w:r>
                              <w:rPr>
                                <w:b/>
                                <w:color w:val="FFFFFF"/>
                                <w:sz w:val="20"/>
                              </w:rPr>
                              <w:t>BIGGEST</w:t>
                            </w:r>
                            <w:r>
                              <w:rPr>
                                <w:b/>
                                <w:color w:val="FFFFFF"/>
                                <w:spacing w:val="-10"/>
                                <w:sz w:val="20"/>
                              </w:rPr>
                              <w:t> </w:t>
                            </w:r>
                            <w:r>
                              <w:rPr>
                                <w:b/>
                                <w:color w:val="FFFFFF"/>
                                <w:sz w:val="20"/>
                              </w:rPr>
                              <w:t>FEAR</w:t>
                            </w:r>
                            <w:r>
                              <w:rPr>
                                <w:b/>
                                <w:color w:val="FFFFFF"/>
                                <w:spacing w:val="-10"/>
                                <w:sz w:val="20"/>
                              </w:rPr>
                              <w:t> </w:t>
                            </w:r>
                            <w:r>
                              <w:rPr>
                                <w:b/>
                                <w:color w:val="FFFFFF"/>
                                <w:sz w:val="20"/>
                              </w:rPr>
                              <w:t>-</w:t>
                            </w:r>
                            <w:r>
                              <w:rPr>
                                <w:b/>
                                <w:color w:val="FFFFFF"/>
                                <w:spacing w:val="-9"/>
                                <w:sz w:val="20"/>
                              </w:rPr>
                              <w:t> </w:t>
                            </w:r>
                            <w:r>
                              <w:rPr>
                                <w:b/>
                                <w:color w:val="FFFFFF"/>
                                <w:sz w:val="20"/>
                              </w:rPr>
                              <w:t>FOR</w:t>
                            </w:r>
                            <w:r>
                              <w:rPr>
                                <w:b/>
                                <w:color w:val="FFFFFF"/>
                                <w:spacing w:val="-10"/>
                                <w:sz w:val="20"/>
                              </w:rPr>
                              <w:t> </w:t>
                            </w:r>
                            <w:r>
                              <w:rPr>
                                <w:b/>
                                <w:color w:val="FFFFFF"/>
                                <w:spacing w:val="-4"/>
                                <w:sz w:val="20"/>
                              </w:rPr>
                              <w:t>SELF</w:t>
                            </w:r>
                          </w:p>
                        </w:tc>
                      </w:tr>
                      <w:tr>
                        <w:trPr>
                          <w:trHeight w:val="355" w:hRule="atLeast"/>
                        </w:trPr>
                        <w:tc>
                          <w:tcPr>
                            <w:tcW w:w="4548" w:type="dxa"/>
                          </w:tcPr>
                          <w:p>
                            <w:pPr>
                              <w:pStyle w:val="TableParagraph"/>
                              <w:spacing w:before="90"/>
                              <w:ind w:left="80"/>
                              <w:rPr>
                                <w:sz w:val="20"/>
                              </w:rPr>
                            </w:pPr>
                            <w:r>
                              <w:rPr>
                                <w:color w:val="105C84"/>
                                <w:sz w:val="20"/>
                              </w:rPr>
                              <w:t>Mental</w:t>
                            </w:r>
                            <w:r>
                              <w:rPr>
                                <w:color w:val="105C84"/>
                                <w:spacing w:val="13"/>
                                <w:sz w:val="20"/>
                              </w:rPr>
                              <w:t> </w:t>
                            </w:r>
                            <w:r>
                              <w:rPr>
                                <w:color w:val="105C84"/>
                                <w:sz w:val="20"/>
                              </w:rPr>
                              <w:t>/</w:t>
                            </w:r>
                            <w:r>
                              <w:rPr>
                                <w:color w:val="105C84"/>
                                <w:spacing w:val="13"/>
                                <w:sz w:val="20"/>
                              </w:rPr>
                              <w:t> </w:t>
                            </w:r>
                            <w:r>
                              <w:rPr>
                                <w:color w:val="105C84"/>
                                <w:sz w:val="20"/>
                              </w:rPr>
                              <w:t>emotional</w:t>
                            </w:r>
                            <w:r>
                              <w:rPr>
                                <w:color w:val="105C84"/>
                                <w:spacing w:val="13"/>
                                <w:sz w:val="20"/>
                              </w:rPr>
                              <w:t> </w:t>
                            </w:r>
                            <w:r>
                              <w:rPr>
                                <w:color w:val="105C84"/>
                                <w:sz w:val="20"/>
                              </w:rPr>
                              <w:t>health</w:t>
                            </w:r>
                            <w:r>
                              <w:rPr>
                                <w:color w:val="105C84"/>
                                <w:spacing w:val="13"/>
                                <w:sz w:val="20"/>
                              </w:rPr>
                              <w:t> </w:t>
                            </w:r>
                            <w:r>
                              <w:rPr>
                                <w:color w:val="105C84"/>
                                <w:sz w:val="20"/>
                              </w:rPr>
                              <w:t>issues</w:t>
                            </w:r>
                            <w:r>
                              <w:rPr>
                                <w:color w:val="105C84"/>
                                <w:spacing w:val="13"/>
                                <w:sz w:val="20"/>
                              </w:rPr>
                              <w:t> </w:t>
                            </w:r>
                            <w:r>
                              <w:rPr>
                                <w:color w:val="105C84"/>
                                <w:spacing w:val="-2"/>
                                <w:sz w:val="20"/>
                              </w:rPr>
                              <w:t>(14.7%)</w:t>
                            </w:r>
                          </w:p>
                        </w:tc>
                      </w:tr>
                      <w:tr>
                        <w:trPr>
                          <w:trHeight w:val="355" w:hRule="atLeast"/>
                        </w:trPr>
                        <w:tc>
                          <w:tcPr>
                            <w:tcW w:w="4548" w:type="dxa"/>
                          </w:tcPr>
                          <w:p>
                            <w:pPr>
                              <w:pStyle w:val="TableParagraph"/>
                              <w:spacing w:before="90"/>
                              <w:ind w:left="80"/>
                              <w:rPr>
                                <w:sz w:val="20"/>
                              </w:rPr>
                            </w:pPr>
                            <w:r>
                              <w:rPr>
                                <w:color w:val="105C84"/>
                                <w:sz w:val="20"/>
                              </w:rPr>
                              <w:t>Weight</w:t>
                            </w:r>
                            <w:r>
                              <w:rPr>
                                <w:color w:val="105C84"/>
                                <w:spacing w:val="27"/>
                                <w:sz w:val="20"/>
                              </w:rPr>
                              <w:t> </w:t>
                            </w:r>
                            <w:r>
                              <w:rPr>
                                <w:color w:val="105C84"/>
                                <w:spacing w:val="-2"/>
                                <w:sz w:val="20"/>
                              </w:rPr>
                              <w:t>(13.5%)</w:t>
                            </w:r>
                          </w:p>
                        </w:tc>
                      </w:tr>
                      <w:tr>
                        <w:trPr>
                          <w:trHeight w:val="355" w:hRule="atLeast"/>
                        </w:trPr>
                        <w:tc>
                          <w:tcPr>
                            <w:tcW w:w="4548" w:type="dxa"/>
                          </w:tcPr>
                          <w:p>
                            <w:pPr>
                              <w:pStyle w:val="TableParagraph"/>
                              <w:spacing w:before="90"/>
                              <w:ind w:left="80"/>
                              <w:rPr>
                                <w:sz w:val="20"/>
                              </w:rPr>
                            </w:pPr>
                            <w:r>
                              <w:rPr>
                                <w:color w:val="105C84"/>
                                <w:sz w:val="20"/>
                              </w:rPr>
                              <w:t>Cost</w:t>
                            </w:r>
                            <w:r>
                              <w:rPr>
                                <w:color w:val="105C84"/>
                                <w:spacing w:val="6"/>
                                <w:sz w:val="20"/>
                              </w:rPr>
                              <w:t> </w:t>
                            </w:r>
                            <w:r>
                              <w:rPr>
                                <w:color w:val="105C84"/>
                                <w:spacing w:val="-2"/>
                                <w:sz w:val="20"/>
                              </w:rPr>
                              <w:t>(10.6%)</w:t>
                            </w:r>
                          </w:p>
                        </w:tc>
                      </w:tr>
                      <w:tr>
                        <w:trPr>
                          <w:trHeight w:val="355" w:hRule="atLeast"/>
                        </w:trPr>
                        <w:tc>
                          <w:tcPr>
                            <w:tcW w:w="4548" w:type="dxa"/>
                          </w:tcPr>
                          <w:p>
                            <w:pPr>
                              <w:pStyle w:val="TableParagraph"/>
                              <w:spacing w:before="90"/>
                              <w:ind w:left="80"/>
                              <w:rPr>
                                <w:sz w:val="20"/>
                              </w:rPr>
                            </w:pPr>
                            <w:r>
                              <w:rPr>
                                <w:color w:val="105C84"/>
                                <w:sz w:val="20"/>
                              </w:rPr>
                              <w:t>Cancer</w:t>
                            </w:r>
                            <w:r>
                              <w:rPr>
                                <w:color w:val="105C84"/>
                                <w:spacing w:val="-10"/>
                                <w:sz w:val="20"/>
                              </w:rPr>
                              <w:t> </w:t>
                            </w:r>
                            <w:r>
                              <w:rPr>
                                <w:color w:val="105C84"/>
                                <w:spacing w:val="-2"/>
                                <w:sz w:val="20"/>
                              </w:rPr>
                              <w:t>(8.5%)</w:t>
                            </w:r>
                          </w:p>
                        </w:tc>
                      </w:tr>
                      <w:tr>
                        <w:trPr>
                          <w:trHeight w:val="355" w:hRule="atLeast"/>
                        </w:trPr>
                        <w:tc>
                          <w:tcPr>
                            <w:tcW w:w="4548" w:type="dxa"/>
                          </w:tcPr>
                          <w:p>
                            <w:pPr>
                              <w:pStyle w:val="TableParagraph"/>
                              <w:spacing w:before="90"/>
                              <w:ind w:left="80"/>
                              <w:rPr>
                                <w:sz w:val="20"/>
                              </w:rPr>
                            </w:pPr>
                            <w:r>
                              <w:rPr>
                                <w:color w:val="105C84"/>
                                <w:sz w:val="20"/>
                              </w:rPr>
                              <w:t>Heart</w:t>
                            </w:r>
                            <w:r>
                              <w:rPr>
                                <w:color w:val="105C84"/>
                                <w:spacing w:val="22"/>
                                <w:sz w:val="20"/>
                              </w:rPr>
                              <w:t> </w:t>
                            </w:r>
                            <w:r>
                              <w:rPr>
                                <w:color w:val="105C84"/>
                                <w:sz w:val="20"/>
                              </w:rPr>
                              <w:t>conditions</w:t>
                            </w:r>
                            <w:r>
                              <w:rPr>
                                <w:color w:val="105C84"/>
                                <w:spacing w:val="23"/>
                                <w:sz w:val="20"/>
                              </w:rPr>
                              <w:t> </w:t>
                            </w:r>
                            <w:r>
                              <w:rPr>
                                <w:color w:val="105C84"/>
                                <w:spacing w:val="-2"/>
                                <w:sz w:val="20"/>
                              </w:rPr>
                              <w:t>(8.4%)</w:t>
                            </w:r>
                          </w:p>
                        </w:tc>
                      </w:tr>
                    </w:tbl>
                    <w:p>
                      <w:pPr>
                        <w:pStyle w:val="BodyText"/>
                      </w:pPr>
                    </w:p>
                  </w:txbxContent>
                </v:textbox>
                <w10:wrap type="topAndBottom"/>
              </v:shape>
            </w:pict>
          </mc:Fallback>
        </mc:AlternateContent>
      </w:r>
      <w:r>
        <w:rPr>
          <w:b/>
          <w:sz w:val="20"/>
        </w:rPr>
        <mc:AlternateContent>
          <mc:Choice Requires="wps">
            <w:drawing>
              <wp:anchor distT="0" distB="0" distL="0" distR="0" allowOverlap="1" layoutInCell="1" locked="0" behindDoc="1" simplePos="0" relativeHeight="487587840">
                <wp:simplePos x="0" y="0"/>
                <wp:positionH relativeFrom="page">
                  <wp:posOffset>11693588</wp:posOffset>
                </wp:positionH>
                <wp:positionV relativeFrom="paragraph">
                  <wp:posOffset>302190</wp:posOffset>
                </wp:positionV>
                <wp:extent cx="3037840" cy="1374775"/>
                <wp:effectExtent l="0" t="0" r="0" b="0"/>
                <wp:wrapTopAndBottom/>
                <wp:docPr id="800" name="Textbox 800"/>
                <wp:cNvGraphicFramePr>
                  <a:graphicFrameLocks/>
                </wp:cNvGraphicFramePr>
                <a:graphic>
                  <a:graphicData uri="http://schemas.microsoft.com/office/word/2010/wordprocessingShape">
                    <wps:wsp>
                      <wps:cNvPr id="800" name="Textbox 800"/>
                      <wps:cNvSpPr txBox="1"/>
                      <wps:spPr>
                        <a:xfrm>
                          <a:off x="0" y="0"/>
                          <a:ext cx="3037840" cy="1374775"/>
                        </a:xfrm>
                        <a:prstGeom prst="rect">
                          <a:avLst/>
                        </a:prstGeom>
                      </wps:spPr>
                      <wps:txbx>
                        <w:txbxContent>
                          <w:tbl>
                            <w:tblPr>
                              <w:tblW w:w="0" w:type="auto"/>
                              <w:jc w:val="left"/>
                              <w:tblInd w:w="2" w:type="dxa"/>
                              <w:tblBorders>
                                <w:top w:val="single" w:sz="2" w:space="0" w:color="636466"/>
                                <w:left w:val="single" w:sz="2" w:space="0" w:color="636466"/>
                                <w:bottom w:val="single" w:sz="2" w:space="0" w:color="636466"/>
                                <w:right w:val="single" w:sz="2" w:space="0" w:color="636466"/>
                                <w:insideH w:val="single" w:sz="2" w:space="0" w:color="636466"/>
                                <w:insideV w:val="single" w:sz="2" w:space="0" w:color="636466"/>
                              </w:tblBorders>
                              <w:tblLayout w:type="fixed"/>
                              <w:tblCellMar>
                                <w:top w:w="0" w:type="dxa"/>
                                <w:left w:w="0" w:type="dxa"/>
                                <w:bottom w:w="0" w:type="dxa"/>
                                <w:right w:w="0" w:type="dxa"/>
                              </w:tblCellMar>
                              <w:tblLook w:val="01E0"/>
                            </w:tblPr>
                            <w:tblGrid>
                              <w:gridCol w:w="4778"/>
                            </w:tblGrid>
                            <w:tr>
                              <w:trPr>
                                <w:trHeight w:val="355" w:hRule="atLeast"/>
                              </w:trPr>
                              <w:tc>
                                <w:tcPr>
                                  <w:tcW w:w="4778" w:type="dxa"/>
                                  <w:shd w:val="clear" w:color="auto" w:fill="00A79E"/>
                                </w:tcPr>
                                <w:p>
                                  <w:pPr>
                                    <w:pStyle w:val="TableParagraph"/>
                                    <w:spacing w:before="90"/>
                                    <w:ind w:left="79"/>
                                    <w:rPr>
                                      <w:b/>
                                      <w:sz w:val="20"/>
                                    </w:rPr>
                                  </w:pPr>
                                  <w:r>
                                    <w:rPr>
                                      <w:b/>
                                      <w:color w:val="FFFFFF"/>
                                      <w:spacing w:val="-2"/>
                                      <w:sz w:val="20"/>
                                    </w:rPr>
                                    <w:t>BIGGEST</w:t>
                                  </w:r>
                                  <w:r>
                                    <w:rPr>
                                      <w:b/>
                                      <w:color w:val="FFFFFF"/>
                                      <w:spacing w:val="-6"/>
                                      <w:sz w:val="20"/>
                                    </w:rPr>
                                    <w:t> </w:t>
                                  </w:r>
                                  <w:r>
                                    <w:rPr>
                                      <w:b/>
                                      <w:color w:val="FFFFFF"/>
                                      <w:spacing w:val="-2"/>
                                      <w:sz w:val="20"/>
                                    </w:rPr>
                                    <w:t>FEAR</w:t>
                                  </w:r>
                                  <w:r>
                                    <w:rPr>
                                      <w:b/>
                                      <w:color w:val="FFFFFF"/>
                                      <w:spacing w:val="-6"/>
                                      <w:sz w:val="20"/>
                                    </w:rPr>
                                    <w:t> </w:t>
                                  </w:r>
                                  <w:r>
                                    <w:rPr>
                                      <w:b/>
                                      <w:color w:val="FFFFFF"/>
                                      <w:spacing w:val="-2"/>
                                      <w:sz w:val="20"/>
                                    </w:rPr>
                                    <w:t>-FOR</w:t>
                                  </w:r>
                                  <w:r>
                                    <w:rPr>
                                      <w:b/>
                                      <w:color w:val="FFFFFF"/>
                                      <w:spacing w:val="-5"/>
                                      <w:sz w:val="20"/>
                                    </w:rPr>
                                    <w:t> </w:t>
                                  </w:r>
                                  <w:r>
                                    <w:rPr>
                                      <w:b/>
                                      <w:color w:val="FFFFFF"/>
                                      <w:spacing w:val="-2"/>
                                      <w:sz w:val="20"/>
                                    </w:rPr>
                                    <w:t>OTHERS</w:t>
                                  </w:r>
                                </w:p>
                              </w:tc>
                            </w:tr>
                            <w:tr>
                              <w:trPr>
                                <w:trHeight w:val="355" w:hRule="atLeast"/>
                              </w:trPr>
                              <w:tc>
                                <w:tcPr>
                                  <w:tcW w:w="4778" w:type="dxa"/>
                                </w:tcPr>
                                <w:p>
                                  <w:pPr>
                                    <w:pStyle w:val="TableParagraph"/>
                                    <w:spacing w:before="90"/>
                                    <w:ind w:left="79"/>
                                    <w:rPr>
                                      <w:sz w:val="20"/>
                                    </w:rPr>
                                  </w:pPr>
                                  <w:r>
                                    <w:rPr>
                                      <w:color w:val="105C84"/>
                                      <w:sz w:val="20"/>
                                    </w:rPr>
                                    <w:t>Mental</w:t>
                                  </w:r>
                                  <w:r>
                                    <w:rPr>
                                      <w:color w:val="105C84"/>
                                      <w:spacing w:val="13"/>
                                      <w:sz w:val="20"/>
                                    </w:rPr>
                                    <w:t> </w:t>
                                  </w:r>
                                  <w:r>
                                    <w:rPr>
                                      <w:color w:val="105C84"/>
                                      <w:sz w:val="20"/>
                                    </w:rPr>
                                    <w:t>/</w:t>
                                  </w:r>
                                  <w:r>
                                    <w:rPr>
                                      <w:color w:val="105C84"/>
                                      <w:spacing w:val="13"/>
                                      <w:sz w:val="20"/>
                                    </w:rPr>
                                    <w:t> </w:t>
                                  </w:r>
                                  <w:r>
                                    <w:rPr>
                                      <w:color w:val="105C84"/>
                                      <w:sz w:val="20"/>
                                    </w:rPr>
                                    <w:t>emotional</w:t>
                                  </w:r>
                                  <w:r>
                                    <w:rPr>
                                      <w:color w:val="105C84"/>
                                      <w:spacing w:val="13"/>
                                      <w:sz w:val="20"/>
                                    </w:rPr>
                                    <w:t> </w:t>
                                  </w:r>
                                  <w:r>
                                    <w:rPr>
                                      <w:color w:val="105C84"/>
                                      <w:sz w:val="20"/>
                                    </w:rPr>
                                    <w:t>health</w:t>
                                  </w:r>
                                  <w:r>
                                    <w:rPr>
                                      <w:color w:val="105C84"/>
                                      <w:spacing w:val="13"/>
                                      <w:sz w:val="20"/>
                                    </w:rPr>
                                    <w:t> </w:t>
                                  </w:r>
                                  <w:r>
                                    <w:rPr>
                                      <w:color w:val="105C84"/>
                                      <w:sz w:val="20"/>
                                    </w:rPr>
                                    <w:t>issues</w:t>
                                  </w:r>
                                  <w:r>
                                    <w:rPr>
                                      <w:color w:val="105C84"/>
                                      <w:spacing w:val="13"/>
                                      <w:sz w:val="20"/>
                                    </w:rPr>
                                    <w:t> </w:t>
                                  </w:r>
                                  <w:r>
                                    <w:rPr>
                                      <w:color w:val="105C84"/>
                                      <w:spacing w:val="-2"/>
                                      <w:sz w:val="20"/>
                                    </w:rPr>
                                    <w:t>(12.1%)</w:t>
                                  </w:r>
                                </w:p>
                              </w:tc>
                            </w:tr>
                            <w:tr>
                              <w:trPr>
                                <w:trHeight w:val="355" w:hRule="atLeast"/>
                              </w:trPr>
                              <w:tc>
                                <w:tcPr>
                                  <w:tcW w:w="4778" w:type="dxa"/>
                                </w:tcPr>
                                <w:p>
                                  <w:pPr>
                                    <w:pStyle w:val="TableParagraph"/>
                                    <w:spacing w:before="90"/>
                                    <w:ind w:left="79"/>
                                    <w:rPr>
                                      <w:sz w:val="20"/>
                                    </w:rPr>
                                  </w:pPr>
                                  <w:r>
                                    <w:rPr>
                                      <w:color w:val="105C84"/>
                                      <w:sz w:val="20"/>
                                    </w:rPr>
                                    <w:t>Cost</w:t>
                                  </w:r>
                                  <w:r>
                                    <w:rPr>
                                      <w:color w:val="105C84"/>
                                      <w:spacing w:val="4"/>
                                      <w:sz w:val="20"/>
                                    </w:rPr>
                                    <w:t> </w:t>
                                  </w:r>
                                  <w:r>
                                    <w:rPr>
                                      <w:color w:val="105C84"/>
                                      <w:spacing w:val="-2"/>
                                      <w:sz w:val="20"/>
                                    </w:rPr>
                                    <w:t>(9.7%)</w:t>
                                  </w:r>
                                </w:p>
                              </w:tc>
                            </w:tr>
                            <w:tr>
                              <w:trPr>
                                <w:trHeight w:val="355" w:hRule="atLeast"/>
                              </w:trPr>
                              <w:tc>
                                <w:tcPr>
                                  <w:tcW w:w="4778" w:type="dxa"/>
                                </w:tcPr>
                                <w:p>
                                  <w:pPr>
                                    <w:pStyle w:val="TableParagraph"/>
                                    <w:spacing w:before="90"/>
                                    <w:ind w:left="79"/>
                                    <w:rPr>
                                      <w:sz w:val="20"/>
                                    </w:rPr>
                                  </w:pPr>
                                  <w:r>
                                    <w:rPr>
                                      <w:color w:val="105C84"/>
                                      <w:sz w:val="20"/>
                                    </w:rPr>
                                    <w:t>Cancer</w:t>
                                  </w:r>
                                  <w:r>
                                    <w:rPr>
                                      <w:color w:val="105C84"/>
                                      <w:spacing w:val="-10"/>
                                      <w:sz w:val="20"/>
                                    </w:rPr>
                                    <w:t> </w:t>
                                  </w:r>
                                  <w:r>
                                    <w:rPr>
                                      <w:color w:val="105C84"/>
                                      <w:spacing w:val="-2"/>
                                      <w:sz w:val="20"/>
                                    </w:rPr>
                                    <w:t>(8.8%)</w:t>
                                  </w:r>
                                </w:p>
                              </w:tc>
                            </w:tr>
                            <w:tr>
                              <w:trPr>
                                <w:trHeight w:val="355" w:hRule="atLeast"/>
                              </w:trPr>
                              <w:tc>
                                <w:tcPr>
                                  <w:tcW w:w="4778" w:type="dxa"/>
                                </w:tcPr>
                                <w:p>
                                  <w:pPr>
                                    <w:pStyle w:val="TableParagraph"/>
                                    <w:spacing w:before="90"/>
                                    <w:ind w:left="79"/>
                                    <w:rPr>
                                      <w:sz w:val="20"/>
                                    </w:rPr>
                                  </w:pPr>
                                  <w:r>
                                    <w:rPr>
                                      <w:color w:val="105C84"/>
                                      <w:sz w:val="20"/>
                                    </w:rPr>
                                    <w:t>Aging</w:t>
                                  </w:r>
                                  <w:r>
                                    <w:rPr>
                                      <w:color w:val="105C84"/>
                                      <w:spacing w:val="33"/>
                                      <w:sz w:val="20"/>
                                    </w:rPr>
                                    <w:t> </w:t>
                                  </w:r>
                                  <w:r>
                                    <w:rPr>
                                      <w:color w:val="105C84"/>
                                      <w:spacing w:val="-2"/>
                                      <w:sz w:val="20"/>
                                    </w:rPr>
                                    <w:t>(7.6%)</w:t>
                                  </w:r>
                                </w:p>
                              </w:tc>
                            </w:tr>
                            <w:tr>
                              <w:trPr>
                                <w:trHeight w:val="355" w:hRule="atLeast"/>
                              </w:trPr>
                              <w:tc>
                                <w:tcPr>
                                  <w:tcW w:w="4778" w:type="dxa"/>
                                </w:tcPr>
                                <w:p>
                                  <w:pPr>
                                    <w:pStyle w:val="TableParagraph"/>
                                    <w:spacing w:before="90"/>
                                    <w:ind w:left="79"/>
                                    <w:rPr>
                                      <w:sz w:val="20"/>
                                    </w:rPr>
                                  </w:pPr>
                                  <w:r>
                                    <w:rPr>
                                      <w:color w:val="105C84"/>
                                      <w:sz w:val="20"/>
                                    </w:rPr>
                                    <w:t>Weight</w:t>
                                  </w:r>
                                  <w:r>
                                    <w:rPr>
                                      <w:color w:val="105C84"/>
                                      <w:spacing w:val="27"/>
                                      <w:sz w:val="20"/>
                                    </w:rPr>
                                    <w:t> </w:t>
                                  </w:r>
                                  <w:r>
                                    <w:rPr>
                                      <w:color w:val="105C84"/>
                                      <w:spacing w:val="-2"/>
                                      <w:sz w:val="20"/>
                                    </w:rPr>
                                    <w:t>(7.6%)</w:t>
                                  </w:r>
                                </w:p>
                              </w:tc>
                            </w:tr>
                          </w:tbl>
                          <w:p>
                            <w:pPr>
                              <w:pStyle w:val="BodyText"/>
                            </w:pPr>
                          </w:p>
                        </w:txbxContent>
                      </wps:txbx>
                      <wps:bodyPr wrap="square" lIns="0" tIns="0" rIns="0" bIns="0" rtlCol="0">
                        <a:noAutofit/>
                      </wps:bodyPr>
                    </wps:wsp>
                  </a:graphicData>
                </a:graphic>
              </wp:anchor>
            </w:drawing>
          </mc:Choice>
          <mc:Fallback>
            <w:pict>
              <v:shape style="position:absolute;margin-left:920.755005pt;margin-top:23.794493pt;width:239.2pt;height:108.25pt;mso-position-horizontal-relative:page;mso-position-vertical-relative:paragraph;z-index:-15728640;mso-wrap-distance-left:0;mso-wrap-distance-right:0" type="#_x0000_t202" id="docshape681" filled="false" stroked="false">
                <v:textbox inset="0,0,0,0">
                  <w:txbxContent>
                    <w:tbl>
                      <w:tblPr>
                        <w:tblW w:w="0" w:type="auto"/>
                        <w:jc w:val="left"/>
                        <w:tblInd w:w="2" w:type="dxa"/>
                        <w:tblBorders>
                          <w:top w:val="single" w:sz="2" w:space="0" w:color="636466"/>
                          <w:left w:val="single" w:sz="2" w:space="0" w:color="636466"/>
                          <w:bottom w:val="single" w:sz="2" w:space="0" w:color="636466"/>
                          <w:right w:val="single" w:sz="2" w:space="0" w:color="636466"/>
                          <w:insideH w:val="single" w:sz="2" w:space="0" w:color="636466"/>
                          <w:insideV w:val="single" w:sz="2" w:space="0" w:color="636466"/>
                        </w:tblBorders>
                        <w:tblLayout w:type="fixed"/>
                        <w:tblCellMar>
                          <w:top w:w="0" w:type="dxa"/>
                          <w:left w:w="0" w:type="dxa"/>
                          <w:bottom w:w="0" w:type="dxa"/>
                          <w:right w:w="0" w:type="dxa"/>
                        </w:tblCellMar>
                        <w:tblLook w:val="01E0"/>
                      </w:tblPr>
                      <w:tblGrid>
                        <w:gridCol w:w="4778"/>
                      </w:tblGrid>
                      <w:tr>
                        <w:trPr>
                          <w:trHeight w:val="355" w:hRule="atLeast"/>
                        </w:trPr>
                        <w:tc>
                          <w:tcPr>
                            <w:tcW w:w="4778" w:type="dxa"/>
                            <w:shd w:val="clear" w:color="auto" w:fill="00A79E"/>
                          </w:tcPr>
                          <w:p>
                            <w:pPr>
                              <w:pStyle w:val="TableParagraph"/>
                              <w:spacing w:before="90"/>
                              <w:ind w:left="79"/>
                              <w:rPr>
                                <w:b/>
                                <w:sz w:val="20"/>
                              </w:rPr>
                            </w:pPr>
                            <w:r>
                              <w:rPr>
                                <w:b/>
                                <w:color w:val="FFFFFF"/>
                                <w:spacing w:val="-2"/>
                                <w:sz w:val="20"/>
                              </w:rPr>
                              <w:t>BIGGEST</w:t>
                            </w:r>
                            <w:r>
                              <w:rPr>
                                <w:b/>
                                <w:color w:val="FFFFFF"/>
                                <w:spacing w:val="-6"/>
                                <w:sz w:val="20"/>
                              </w:rPr>
                              <w:t> </w:t>
                            </w:r>
                            <w:r>
                              <w:rPr>
                                <w:b/>
                                <w:color w:val="FFFFFF"/>
                                <w:spacing w:val="-2"/>
                                <w:sz w:val="20"/>
                              </w:rPr>
                              <w:t>FEAR</w:t>
                            </w:r>
                            <w:r>
                              <w:rPr>
                                <w:b/>
                                <w:color w:val="FFFFFF"/>
                                <w:spacing w:val="-6"/>
                                <w:sz w:val="20"/>
                              </w:rPr>
                              <w:t> </w:t>
                            </w:r>
                            <w:r>
                              <w:rPr>
                                <w:b/>
                                <w:color w:val="FFFFFF"/>
                                <w:spacing w:val="-2"/>
                                <w:sz w:val="20"/>
                              </w:rPr>
                              <w:t>-FOR</w:t>
                            </w:r>
                            <w:r>
                              <w:rPr>
                                <w:b/>
                                <w:color w:val="FFFFFF"/>
                                <w:spacing w:val="-5"/>
                                <w:sz w:val="20"/>
                              </w:rPr>
                              <w:t> </w:t>
                            </w:r>
                            <w:r>
                              <w:rPr>
                                <w:b/>
                                <w:color w:val="FFFFFF"/>
                                <w:spacing w:val="-2"/>
                                <w:sz w:val="20"/>
                              </w:rPr>
                              <w:t>OTHERS</w:t>
                            </w:r>
                          </w:p>
                        </w:tc>
                      </w:tr>
                      <w:tr>
                        <w:trPr>
                          <w:trHeight w:val="355" w:hRule="atLeast"/>
                        </w:trPr>
                        <w:tc>
                          <w:tcPr>
                            <w:tcW w:w="4778" w:type="dxa"/>
                          </w:tcPr>
                          <w:p>
                            <w:pPr>
                              <w:pStyle w:val="TableParagraph"/>
                              <w:spacing w:before="90"/>
                              <w:ind w:left="79"/>
                              <w:rPr>
                                <w:sz w:val="20"/>
                              </w:rPr>
                            </w:pPr>
                            <w:r>
                              <w:rPr>
                                <w:color w:val="105C84"/>
                                <w:sz w:val="20"/>
                              </w:rPr>
                              <w:t>Mental</w:t>
                            </w:r>
                            <w:r>
                              <w:rPr>
                                <w:color w:val="105C84"/>
                                <w:spacing w:val="13"/>
                                <w:sz w:val="20"/>
                              </w:rPr>
                              <w:t> </w:t>
                            </w:r>
                            <w:r>
                              <w:rPr>
                                <w:color w:val="105C84"/>
                                <w:sz w:val="20"/>
                              </w:rPr>
                              <w:t>/</w:t>
                            </w:r>
                            <w:r>
                              <w:rPr>
                                <w:color w:val="105C84"/>
                                <w:spacing w:val="13"/>
                                <w:sz w:val="20"/>
                              </w:rPr>
                              <w:t> </w:t>
                            </w:r>
                            <w:r>
                              <w:rPr>
                                <w:color w:val="105C84"/>
                                <w:sz w:val="20"/>
                              </w:rPr>
                              <w:t>emotional</w:t>
                            </w:r>
                            <w:r>
                              <w:rPr>
                                <w:color w:val="105C84"/>
                                <w:spacing w:val="13"/>
                                <w:sz w:val="20"/>
                              </w:rPr>
                              <w:t> </w:t>
                            </w:r>
                            <w:r>
                              <w:rPr>
                                <w:color w:val="105C84"/>
                                <w:sz w:val="20"/>
                              </w:rPr>
                              <w:t>health</w:t>
                            </w:r>
                            <w:r>
                              <w:rPr>
                                <w:color w:val="105C84"/>
                                <w:spacing w:val="13"/>
                                <w:sz w:val="20"/>
                              </w:rPr>
                              <w:t> </w:t>
                            </w:r>
                            <w:r>
                              <w:rPr>
                                <w:color w:val="105C84"/>
                                <w:sz w:val="20"/>
                              </w:rPr>
                              <w:t>issues</w:t>
                            </w:r>
                            <w:r>
                              <w:rPr>
                                <w:color w:val="105C84"/>
                                <w:spacing w:val="13"/>
                                <w:sz w:val="20"/>
                              </w:rPr>
                              <w:t> </w:t>
                            </w:r>
                            <w:r>
                              <w:rPr>
                                <w:color w:val="105C84"/>
                                <w:spacing w:val="-2"/>
                                <w:sz w:val="20"/>
                              </w:rPr>
                              <w:t>(12.1%)</w:t>
                            </w:r>
                          </w:p>
                        </w:tc>
                      </w:tr>
                      <w:tr>
                        <w:trPr>
                          <w:trHeight w:val="355" w:hRule="atLeast"/>
                        </w:trPr>
                        <w:tc>
                          <w:tcPr>
                            <w:tcW w:w="4778" w:type="dxa"/>
                          </w:tcPr>
                          <w:p>
                            <w:pPr>
                              <w:pStyle w:val="TableParagraph"/>
                              <w:spacing w:before="90"/>
                              <w:ind w:left="79"/>
                              <w:rPr>
                                <w:sz w:val="20"/>
                              </w:rPr>
                            </w:pPr>
                            <w:r>
                              <w:rPr>
                                <w:color w:val="105C84"/>
                                <w:sz w:val="20"/>
                              </w:rPr>
                              <w:t>Cost</w:t>
                            </w:r>
                            <w:r>
                              <w:rPr>
                                <w:color w:val="105C84"/>
                                <w:spacing w:val="4"/>
                                <w:sz w:val="20"/>
                              </w:rPr>
                              <w:t> </w:t>
                            </w:r>
                            <w:r>
                              <w:rPr>
                                <w:color w:val="105C84"/>
                                <w:spacing w:val="-2"/>
                                <w:sz w:val="20"/>
                              </w:rPr>
                              <w:t>(9.7%)</w:t>
                            </w:r>
                          </w:p>
                        </w:tc>
                      </w:tr>
                      <w:tr>
                        <w:trPr>
                          <w:trHeight w:val="355" w:hRule="atLeast"/>
                        </w:trPr>
                        <w:tc>
                          <w:tcPr>
                            <w:tcW w:w="4778" w:type="dxa"/>
                          </w:tcPr>
                          <w:p>
                            <w:pPr>
                              <w:pStyle w:val="TableParagraph"/>
                              <w:spacing w:before="90"/>
                              <w:ind w:left="79"/>
                              <w:rPr>
                                <w:sz w:val="20"/>
                              </w:rPr>
                            </w:pPr>
                            <w:r>
                              <w:rPr>
                                <w:color w:val="105C84"/>
                                <w:sz w:val="20"/>
                              </w:rPr>
                              <w:t>Cancer</w:t>
                            </w:r>
                            <w:r>
                              <w:rPr>
                                <w:color w:val="105C84"/>
                                <w:spacing w:val="-10"/>
                                <w:sz w:val="20"/>
                              </w:rPr>
                              <w:t> </w:t>
                            </w:r>
                            <w:r>
                              <w:rPr>
                                <w:color w:val="105C84"/>
                                <w:spacing w:val="-2"/>
                                <w:sz w:val="20"/>
                              </w:rPr>
                              <w:t>(8.8%)</w:t>
                            </w:r>
                          </w:p>
                        </w:tc>
                      </w:tr>
                      <w:tr>
                        <w:trPr>
                          <w:trHeight w:val="355" w:hRule="atLeast"/>
                        </w:trPr>
                        <w:tc>
                          <w:tcPr>
                            <w:tcW w:w="4778" w:type="dxa"/>
                          </w:tcPr>
                          <w:p>
                            <w:pPr>
                              <w:pStyle w:val="TableParagraph"/>
                              <w:spacing w:before="90"/>
                              <w:ind w:left="79"/>
                              <w:rPr>
                                <w:sz w:val="20"/>
                              </w:rPr>
                            </w:pPr>
                            <w:r>
                              <w:rPr>
                                <w:color w:val="105C84"/>
                                <w:sz w:val="20"/>
                              </w:rPr>
                              <w:t>Aging</w:t>
                            </w:r>
                            <w:r>
                              <w:rPr>
                                <w:color w:val="105C84"/>
                                <w:spacing w:val="33"/>
                                <w:sz w:val="20"/>
                              </w:rPr>
                              <w:t> </w:t>
                            </w:r>
                            <w:r>
                              <w:rPr>
                                <w:color w:val="105C84"/>
                                <w:spacing w:val="-2"/>
                                <w:sz w:val="20"/>
                              </w:rPr>
                              <w:t>(7.6%)</w:t>
                            </w:r>
                          </w:p>
                        </w:tc>
                      </w:tr>
                      <w:tr>
                        <w:trPr>
                          <w:trHeight w:val="355" w:hRule="atLeast"/>
                        </w:trPr>
                        <w:tc>
                          <w:tcPr>
                            <w:tcW w:w="4778" w:type="dxa"/>
                          </w:tcPr>
                          <w:p>
                            <w:pPr>
                              <w:pStyle w:val="TableParagraph"/>
                              <w:spacing w:before="90"/>
                              <w:ind w:left="79"/>
                              <w:rPr>
                                <w:sz w:val="20"/>
                              </w:rPr>
                            </w:pPr>
                            <w:r>
                              <w:rPr>
                                <w:color w:val="105C84"/>
                                <w:sz w:val="20"/>
                              </w:rPr>
                              <w:t>Weight</w:t>
                            </w:r>
                            <w:r>
                              <w:rPr>
                                <w:color w:val="105C84"/>
                                <w:spacing w:val="27"/>
                                <w:sz w:val="20"/>
                              </w:rPr>
                              <w:t> </w:t>
                            </w:r>
                            <w:r>
                              <w:rPr>
                                <w:color w:val="105C84"/>
                                <w:spacing w:val="-2"/>
                                <w:sz w:val="20"/>
                              </w:rPr>
                              <w:t>(7.6%)</w:t>
                            </w:r>
                          </w:p>
                        </w:tc>
                      </w:tr>
                    </w:tbl>
                    <w:p>
                      <w:pPr>
                        <w:pStyle w:val="BodyText"/>
                      </w:pPr>
                    </w:p>
                  </w:txbxContent>
                </v:textbox>
                <w10:wrap type="topAndBottom"/>
              </v:shape>
            </w:pict>
          </mc:Fallback>
        </mc:AlternateContent>
      </w:r>
      <w:r>
        <w:rPr>
          <w:b/>
          <w:sz w:val="20"/>
        </w:rPr>
        <mc:AlternateContent>
          <mc:Choice Requires="wps">
            <w:drawing>
              <wp:anchor distT="0" distB="0" distL="0" distR="0" allowOverlap="1" layoutInCell="1" locked="0" behindDoc="1" simplePos="0" relativeHeight="487587840">
                <wp:simplePos x="0" y="0"/>
                <wp:positionH relativeFrom="page">
                  <wp:posOffset>8458200</wp:posOffset>
                </wp:positionH>
                <wp:positionV relativeFrom="paragraph">
                  <wp:posOffset>1786502</wp:posOffset>
                </wp:positionV>
                <wp:extent cx="2891155" cy="1374775"/>
                <wp:effectExtent l="0" t="0" r="0" b="0"/>
                <wp:wrapTopAndBottom/>
                <wp:docPr id="801" name="Textbox 801"/>
                <wp:cNvGraphicFramePr>
                  <a:graphicFrameLocks/>
                </wp:cNvGraphicFramePr>
                <a:graphic>
                  <a:graphicData uri="http://schemas.microsoft.com/office/word/2010/wordprocessingShape">
                    <wps:wsp>
                      <wps:cNvPr id="801" name="Textbox 801"/>
                      <wps:cNvSpPr txBox="1"/>
                      <wps:spPr>
                        <a:xfrm>
                          <a:off x="0" y="0"/>
                          <a:ext cx="2891155" cy="1374775"/>
                        </a:xfrm>
                        <a:prstGeom prst="rect">
                          <a:avLst/>
                        </a:prstGeom>
                      </wps:spPr>
                      <wps:txbx>
                        <w:txbxContent>
                          <w:tbl>
                            <w:tblPr>
                              <w:tblW w:w="0" w:type="auto"/>
                              <w:jc w:val="left"/>
                              <w:tblInd w:w="2" w:type="dxa"/>
                              <w:tblBorders>
                                <w:top w:val="single" w:sz="2" w:space="0" w:color="636466"/>
                                <w:left w:val="single" w:sz="2" w:space="0" w:color="636466"/>
                                <w:bottom w:val="single" w:sz="2" w:space="0" w:color="636466"/>
                                <w:right w:val="single" w:sz="2" w:space="0" w:color="636466"/>
                                <w:insideH w:val="single" w:sz="2" w:space="0" w:color="636466"/>
                                <w:insideV w:val="single" w:sz="2" w:space="0" w:color="636466"/>
                              </w:tblBorders>
                              <w:tblLayout w:type="fixed"/>
                              <w:tblCellMar>
                                <w:top w:w="0" w:type="dxa"/>
                                <w:left w:w="0" w:type="dxa"/>
                                <w:bottom w:w="0" w:type="dxa"/>
                                <w:right w:w="0" w:type="dxa"/>
                              </w:tblCellMar>
                              <w:tblLook w:val="01E0"/>
                            </w:tblPr>
                            <w:tblGrid>
                              <w:gridCol w:w="4548"/>
                            </w:tblGrid>
                            <w:tr>
                              <w:trPr>
                                <w:trHeight w:val="355" w:hRule="atLeast"/>
                              </w:trPr>
                              <w:tc>
                                <w:tcPr>
                                  <w:tcW w:w="4548" w:type="dxa"/>
                                  <w:shd w:val="clear" w:color="auto" w:fill="939598"/>
                                </w:tcPr>
                                <w:p>
                                  <w:pPr>
                                    <w:pStyle w:val="TableParagraph"/>
                                    <w:spacing w:before="90"/>
                                    <w:ind w:left="80"/>
                                    <w:rPr>
                                      <w:b/>
                                      <w:sz w:val="20"/>
                                    </w:rPr>
                                  </w:pPr>
                                  <w:r>
                                    <w:rPr>
                                      <w:b/>
                                      <w:color w:val="FFFFFF"/>
                                      <w:sz w:val="20"/>
                                    </w:rPr>
                                    <w:t>COUNTY</w:t>
                                  </w:r>
                                  <w:r>
                                    <w:rPr>
                                      <w:b/>
                                      <w:color w:val="FFFFFF"/>
                                      <w:spacing w:val="2"/>
                                      <w:sz w:val="20"/>
                                    </w:rPr>
                                    <w:t> </w:t>
                                  </w:r>
                                  <w:r>
                                    <w:rPr>
                                      <w:b/>
                                      <w:color w:val="FFFFFF"/>
                                      <w:sz w:val="20"/>
                                    </w:rPr>
                                    <w:t>PRIORITY</w:t>
                                  </w:r>
                                  <w:r>
                                    <w:rPr>
                                      <w:b/>
                                      <w:color w:val="FFFFFF"/>
                                      <w:spacing w:val="3"/>
                                      <w:sz w:val="20"/>
                                    </w:rPr>
                                    <w:t> </w:t>
                                  </w:r>
                                  <w:r>
                                    <w:rPr>
                                      <w:b/>
                                      <w:color w:val="FFFFFF"/>
                                      <w:sz w:val="20"/>
                                    </w:rPr>
                                    <w:t>-</w:t>
                                  </w:r>
                                  <w:r>
                                    <w:rPr>
                                      <w:b/>
                                      <w:color w:val="FFFFFF"/>
                                      <w:spacing w:val="2"/>
                                      <w:sz w:val="20"/>
                                    </w:rPr>
                                    <w:t> </w:t>
                                  </w:r>
                                  <w:r>
                                    <w:rPr>
                                      <w:b/>
                                      <w:color w:val="FFFFFF"/>
                                      <w:sz w:val="20"/>
                                    </w:rPr>
                                    <w:t>FOR</w:t>
                                  </w:r>
                                  <w:r>
                                    <w:rPr>
                                      <w:b/>
                                      <w:color w:val="FFFFFF"/>
                                      <w:spacing w:val="3"/>
                                      <w:sz w:val="20"/>
                                    </w:rPr>
                                    <w:t> </w:t>
                                  </w:r>
                                  <w:r>
                                    <w:rPr>
                                      <w:b/>
                                      <w:color w:val="FFFFFF"/>
                                      <w:spacing w:val="-2"/>
                                      <w:sz w:val="20"/>
                                    </w:rPr>
                                    <w:t>ADULTS</w:t>
                                  </w:r>
                                </w:p>
                              </w:tc>
                            </w:tr>
                            <w:tr>
                              <w:trPr>
                                <w:trHeight w:val="354" w:hRule="atLeast"/>
                              </w:trPr>
                              <w:tc>
                                <w:tcPr>
                                  <w:tcW w:w="4548" w:type="dxa"/>
                                </w:tcPr>
                                <w:p>
                                  <w:pPr>
                                    <w:pStyle w:val="TableParagraph"/>
                                    <w:spacing w:before="90"/>
                                    <w:ind w:left="80"/>
                                    <w:rPr>
                                      <w:sz w:val="20"/>
                                    </w:rPr>
                                  </w:pPr>
                                  <w:r>
                                    <w:rPr>
                                      <w:color w:val="105C84"/>
                                      <w:sz w:val="20"/>
                                    </w:rPr>
                                    <w:t>Mental</w:t>
                                  </w:r>
                                  <w:r>
                                    <w:rPr>
                                      <w:color w:val="105C84"/>
                                      <w:spacing w:val="13"/>
                                      <w:sz w:val="20"/>
                                    </w:rPr>
                                    <w:t> </w:t>
                                  </w:r>
                                  <w:r>
                                    <w:rPr>
                                      <w:color w:val="105C84"/>
                                      <w:sz w:val="20"/>
                                    </w:rPr>
                                    <w:t>/</w:t>
                                  </w:r>
                                  <w:r>
                                    <w:rPr>
                                      <w:color w:val="105C84"/>
                                      <w:spacing w:val="13"/>
                                      <w:sz w:val="20"/>
                                    </w:rPr>
                                    <w:t> </w:t>
                                  </w:r>
                                  <w:r>
                                    <w:rPr>
                                      <w:color w:val="105C84"/>
                                      <w:sz w:val="20"/>
                                    </w:rPr>
                                    <w:t>emotional</w:t>
                                  </w:r>
                                  <w:r>
                                    <w:rPr>
                                      <w:color w:val="105C84"/>
                                      <w:spacing w:val="13"/>
                                      <w:sz w:val="20"/>
                                    </w:rPr>
                                    <w:t> </w:t>
                                  </w:r>
                                  <w:r>
                                    <w:rPr>
                                      <w:color w:val="105C84"/>
                                      <w:sz w:val="20"/>
                                    </w:rPr>
                                    <w:t>health</w:t>
                                  </w:r>
                                  <w:r>
                                    <w:rPr>
                                      <w:color w:val="105C84"/>
                                      <w:spacing w:val="13"/>
                                      <w:sz w:val="20"/>
                                    </w:rPr>
                                    <w:t> </w:t>
                                  </w:r>
                                  <w:r>
                                    <w:rPr>
                                      <w:color w:val="105C84"/>
                                      <w:sz w:val="20"/>
                                    </w:rPr>
                                    <w:t>issues</w:t>
                                  </w:r>
                                  <w:r>
                                    <w:rPr>
                                      <w:color w:val="105C84"/>
                                      <w:spacing w:val="13"/>
                                      <w:sz w:val="20"/>
                                    </w:rPr>
                                    <w:t> </w:t>
                                  </w:r>
                                  <w:r>
                                    <w:rPr>
                                      <w:color w:val="105C84"/>
                                      <w:spacing w:val="-2"/>
                                      <w:sz w:val="20"/>
                                    </w:rPr>
                                    <w:t>(21.8%)</w:t>
                                  </w:r>
                                </w:p>
                              </w:tc>
                            </w:tr>
                            <w:tr>
                              <w:trPr>
                                <w:trHeight w:val="355" w:hRule="atLeast"/>
                              </w:trPr>
                              <w:tc>
                                <w:tcPr>
                                  <w:tcW w:w="4548" w:type="dxa"/>
                                </w:tcPr>
                                <w:p>
                                  <w:pPr>
                                    <w:pStyle w:val="TableParagraph"/>
                                    <w:spacing w:before="90"/>
                                    <w:ind w:left="80"/>
                                    <w:rPr>
                                      <w:sz w:val="20"/>
                                    </w:rPr>
                                  </w:pPr>
                                  <w:r>
                                    <w:rPr>
                                      <w:color w:val="105C84"/>
                                      <w:sz w:val="20"/>
                                    </w:rPr>
                                    <w:t>Substance</w:t>
                                  </w:r>
                                  <w:r>
                                    <w:rPr>
                                      <w:color w:val="105C84"/>
                                      <w:spacing w:val="-11"/>
                                      <w:sz w:val="20"/>
                                    </w:rPr>
                                    <w:t> </w:t>
                                  </w:r>
                                  <w:r>
                                    <w:rPr>
                                      <w:color w:val="105C84"/>
                                      <w:sz w:val="20"/>
                                    </w:rPr>
                                    <w:t>abuse</w:t>
                                  </w:r>
                                  <w:r>
                                    <w:rPr>
                                      <w:color w:val="105C84"/>
                                      <w:spacing w:val="-10"/>
                                      <w:sz w:val="20"/>
                                    </w:rPr>
                                    <w:t> </w:t>
                                  </w:r>
                                  <w:r>
                                    <w:rPr>
                                      <w:color w:val="105C84"/>
                                      <w:spacing w:val="-2"/>
                                      <w:sz w:val="20"/>
                                    </w:rPr>
                                    <w:t>(21.2%)</w:t>
                                  </w:r>
                                </w:p>
                              </w:tc>
                            </w:tr>
                            <w:tr>
                              <w:trPr>
                                <w:trHeight w:val="355" w:hRule="atLeast"/>
                              </w:trPr>
                              <w:tc>
                                <w:tcPr>
                                  <w:tcW w:w="4548" w:type="dxa"/>
                                </w:tcPr>
                                <w:p>
                                  <w:pPr>
                                    <w:pStyle w:val="TableParagraph"/>
                                    <w:spacing w:before="90"/>
                                    <w:ind w:left="80"/>
                                    <w:rPr>
                                      <w:sz w:val="20"/>
                                    </w:rPr>
                                  </w:pPr>
                                  <w:r>
                                    <w:rPr>
                                      <w:color w:val="105C84"/>
                                      <w:sz w:val="20"/>
                                    </w:rPr>
                                    <w:t>Cost</w:t>
                                  </w:r>
                                  <w:r>
                                    <w:rPr>
                                      <w:color w:val="105C84"/>
                                      <w:spacing w:val="6"/>
                                      <w:sz w:val="20"/>
                                    </w:rPr>
                                    <w:t> </w:t>
                                  </w:r>
                                  <w:r>
                                    <w:rPr>
                                      <w:color w:val="105C84"/>
                                      <w:spacing w:val="-2"/>
                                      <w:sz w:val="20"/>
                                    </w:rPr>
                                    <w:t>(17.9%)</w:t>
                                  </w:r>
                                </w:p>
                              </w:tc>
                            </w:tr>
                            <w:tr>
                              <w:trPr>
                                <w:trHeight w:val="355" w:hRule="atLeast"/>
                              </w:trPr>
                              <w:tc>
                                <w:tcPr>
                                  <w:tcW w:w="4548" w:type="dxa"/>
                                </w:tcPr>
                                <w:p>
                                  <w:pPr>
                                    <w:pStyle w:val="TableParagraph"/>
                                    <w:spacing w:before="90"/>
                                    <w:ind w:left="80"/>
                                    <w:rPr>
                                      <w:sz w:val="20"/>
                                    </w:rPr>
                                  </w:pPr>
                                  <w:r>
                                    <w:rPr>
                                      <w:color w:val="105C84"/>
                                      <w:sz w:val="20"/>
                                    </w:rPr>
                                    <w:t>Weight</w:t>
                                  </w:r>
                                  <w:r>
                                    <w:rPr>
                                      <w:color w:val="105C84"/>
                                      <w:spacing w:val="27"/>
                                      <w:sz w:val="20"/>
                                    </w:rPr>
                                    <w:t> </w:t>
                                  </w:r>
                                  <w:r>
                                    <w:rPr>
                                      <w:color w:val="105C84"/>
                                      <w:spacing w:val="-2"/>
                                      <w:sz w:val="20"/>
                                    </w:rPr>
                                    <w:t>(12.3%)</w:t>
                                  </w:r>
                                </w:p>
                              </w:tc>
                            </w:tr>
                            <w:tr>
                              <w:trPr>
                                <w:trHeight w:val="355" w:hRule="atLeast"/>
                              </w:trPr>
                              <w:tc>
                                <w:tcPr>
                                  <w:tcW w:w="4548" w:type="dxa"/>
                                </w:tcPr>
                                <w:p>
                                  <w:pPr>
                                    <w:pStyle w:val="TableParagraph"/>
                                    <w:spacing w:before="90"/>
                                    <w:ind w:left="80"/>
                                    <w:rPr>
                                      <w:sz w:val="20"/>
                                    </w:rPr>
                                  </w:pPr>
                                  <w:r>
                                    <w:rPr>
                                      <w:color w:val="105C84"/>
                                      <w:sz w:val="20"/>
                                    </w:rPr>
                                    <w:t>Diet</w:t>
                                  </w:r>
                                  <w:r>
                                    <w:rPr>
                                      <w:color w:val="105C84"/>
                                      <w:spacing w:val="30"/>
                                      <w:sz w:val="20"/>
                                    </w:rPr>
                                    <w:t> </w:t>
                                  </w:r>
                                  <w:r>
                                    <w:rPr>
                                      <w:color w:val="105C84"/>
                                      <w:sz w:val="20"/>
                                    </w:rPr>
                                    <w:t>/</w:t>
                                  </w:r>
                                  <w:r>
                                    <w:rPr>
                                      <w:color w:val="105C84"/>
                                      <w:spacing w:val="30"/>
                                      <w:sz w:val="20"/>
                                    </w:rPr>
                                    <w:t> </w:t>
                                  </w:r>
                                  <w:r>
                                    <w:rPr>
                                      <w:color w:val="105C84"/>
                                      <w:sz w:val="20"/>
                                    </w:rPr>
                                    <w:t>nutrition</w:t>
                                  </w:r>
                                  <w:r>
                                    <w:rPr>
                                      <w:color w:val="105C84"/>
                                      <w:spacing w:val="31"/>
                                      <w:sz w:val="20"/>
                                    </w:rPr>
                                    <w:t> </w:t>
                                  </w:r>
                                  <w:r>
                                    <w:rPr>
                                      <w:color w:val="105C84"/>
                                      <w:spacing w:val="-2"/>
                                      <w:sz w:val="20"/>
                                    </w:rPr>
                                    <w:t>(12.3%)</w:t>
                                  </w:r>
                                </w:p>
                              </w:tc>
                            </w:tr>
                          </w:tbl>
                          <w:p>
                            <w:pPr>
                              <w:pStyle w:val="BodyText"/>
                            </w:pPr>
                          </w:p>
                        </w:txbxContent>
                      </wps:txbx>
                      <wps:bodyPr wrap="square" lIns="0" tIns="0" rIns="0" bIns="0" rtlCol="0">
                        <a:noAutofit/>
                      </wps:bodyPr>
                    </wps:wsp>
                  </a:graphicData>
                </a:graphic>
              </wp:anchor>
            </w:drawing>
          </mc:Choice>
          <mc:Fallback>
            <w:pict>
              <v:shape style="position:absolute;margin-left:666pt;margin-top:140.669495pt;width:227.65pt;height:108.25pt;mso-position-horizontal-relative:page;mso-position-vertical-relative:paragraph;z-index:-15728640;mso-wrap-distance-left:0;mso-wrap-distance-right:0" type="#_x0000_t202" id="docshape682" filled="false" stroked="false">
                <v:textbox inset="0,0,0,0">
                  <w:txbxContent>
                    <w:tbl>
                      <w:tblPr>
                        <w:tblW w:w="0" w:type="auto"/>
                        <w:jc w:val="left"/>
                        <w:tblInd w:w="2" w:type="dxa"/>
                        <w:tblBorders>
                          <w:top w:val="single" w:sz="2" w:space="0" w:color="636466"/>
                          <w:left w:val="single" w:sz="2" w:space="0" w:color="636466"/>
                          <w:bottom w:val="single" w:sz="2" w:space="0" w:color="636466"/>
                          <w:right w:val="single" w:sz="2" w:space="0" w:color="636466"/>
                          <w:insideH w:val="single" w:sz="2" w:space="0" w:color="636466"/>
                          <w:insideV w:val="single" w:sz="2" w:space="0" w:color="636466"/>
                        </w:tblBorders>
                        <w:tblLayout w:type="fixed"/>
                        <w:tblCellMar>
                          <w:top w:w="0" w:type="dxa"/>
                          <w:left w:w="0" w:type="dxa"/>
                          <w:bottom w:w="0" w:type="dxa"/>
                          <w:right w:w="0" w:type="dxa"/>
                        </w:tblCellMar>
                        <w:tblLook w:val="01E0"/>
                      </w:tblPr>
                      <w:tblGrid>
                        <w:gridCol w:w="4548"/>
                      </w:tblGrid>
                      <w:tr>
                        <w:trPr>
                          <w:trHeight w:val="355" w:hRule="atLeast"/>
                        </w:trPr>
                        <w:tc>
                          <w:tcPr>
                            <w:tcW w:w="4548" w:type="dxa"/>
                            <w:shd w:val="clear" w:color="auto" w:fill="939598"/>
                          </w:tcPr>
                          <w:p>
                            <w:pPr>
                              <w:pStyle w:val="TableParagraph"/>
                              <w:spacing w:before="90"/>
                              <w:ind w:left="80"/>
                              <w:rPr>
                                <w:b/>
                                <w:sz w:val="20"/>
                              </w:rPr>
                            </w:pPr>
                            <w:r>
                              <w:rPr>
                                <w:b/>
                                <w:color w:val="FFFFFF"/>
                                <w:sz w:val="20"/>
                              </w:rPr>
                              <w:t>COUNTY</w:t>
                            </w:r>
                            <w:r>
                              <w:rPr>
                                <w:b/>
                                <w:color w:val="FFFFFF"/>
                                <w:spacing w:val="2"/>
                                <w:sz w:val="20"/>
                              </w:rPr>
                              <w:t> </w:t>
                            </w:r>
                            <w:r>
                              <w:rPr>
                                <w:b/>
                                <w:color w:val="FFFFFF"/>
                                <w:sz w:val="20"/>
                              </w:rPr>
                              <w:t>PRIORITY</w:t>
                            </w:r>
                            <w:r>
                              <w:rPr>
                                <w:b/>
                                <w:color w:val="FFFFFF"/>
                                <w:spacing w:val="3"/>
                                <w:sz w:val="20"/>
                              </w:rPr>
                              <w:t> </w:t>
                            </w:r>
                            <w:r>
                              <w:rPr>
                                <w:b/>
                                <w:color w:val="FFFFFF"/>
                                <w:sz w:val="20"/>
                              </w:rPr>
                              <w:t>-</w:t>
                            </w:r>
                            <w:r>
                              <w:rPr>
                                <w:b/>
                                <w:color w:val="FFFFFF"/>
                                <w:spacing w:val="2"/>
                                <w:sz w:val="20"/>
                              </w:rPr>
                              <w:t> </w:t>
                            </w:r>
                            <w:r>
                              <w:rPr>
                                <w:b/>
                                <w:color w:val="FFFFFF"/>
                                <w:sz w:val="20"/>
                              </w:rPr>
                              <w:t>FOR</w:t>
                            </w:r>
                            <w:r>
                              <w:rPr>
                                <w:b/>
                                <w:color w:val="FFFFFF"/>
                                <w:spacing w:val="3"/>
                                <w:sz w:val="20"/>
                              </w:rPr>
                              <w:t> </w:t>
                            </w:r>
                            <w:r>
                              <w:rPr>
                                <w:b/>
                                <w:color w:val="FFFFFF"/>
                                <w:spacing w:val="-2"/>
                                <w:sz w:val="20"/>
                              </w:rPr>
                              <w:t>ADULTS</w:t>
                            </w:r>
                          </w:p>
                        </w:tc>
                      </w:tr>
                      <w:tr>
                        <w:trPr>
                          <w:trHeight w:val="354" w:hRule="atLeast"/>
                        </w:trPr>
                        <w:tc>
                          <w:tcPr>
                            <w:tcW w:w="4548" w:type="dxa"/>
                          </w:tcPr>
                          <w:p>
                            <w:pPr>
                              <w:pStyle w:val="TableParagraph"/>
                              <w:spacing w:before="90"/>
                              <w:ind w:left="80"/>
                              <w:rPr>
                                <w:sz w:val="20"/>
                              </w:rPr>
                            </w:pPr>
                            <w:r>
                              <w:rPr>
                                <w:color w:val="105C84"/>
                                <w:sz w:val="20"/>
                              </w:rPr>
                              <w:t>Mental</w:t>
                            </w:r>
                            <w:r>
                              <w:rPr>
                                <w:color w:val="105C84"/>
                                <w:spacing w:val="13"/>
                                <w:sz w:val="20"/>
                              </w:rPr>
                              <w:t> </w:t>
                            </w:r>
                            <w:r>
                              <w:rPr>
                                <w:color w:val="105C84"/>
                                <w:sz w:val="20"/>
                              </w:rPr>
                              <w:t>/</w:t>
                            </w:r>
                            <w:r>
                              <w:rPr>
                                <w:color w:val="105C84"/>
                                <w:spacing w:val="13"/>
                                <w:sz w:val="20"/>
                              </w:rPr>
                              <w:t> </w:t>
                            </w:r>
                            <w:r>
                              <w:rPr>
                                <w:color w:val="105C84"/>
                                <w:sz w:val="20"/>
                              </w:rPr>
                              <w:t>emotional</w:t>
                            </w:r>
                            <w:r>
                              <w:rPr>
                                <w:color w:val="105C84"/>
                                <w:spacing w:val="13"/>
                                <w:sz w:val="20"/>
                              </w:rPr>
                              <w:t> </w:t>
                            </w:r>
                            <w:r>
                              <w:rPr>
                                <w:color w:val="105C84"/>
                                <w:sz w:val="20"/>
                              </w:rPr>
                              <w:t>health</w:t>
                            </w:r>
                            <w:r>
                              <w:rPr>
                                <w:color w:val="105C84"/>
                                <w:spacing w:val="13"/>
                                <w:sz w:val="20"/>
                              </w:rPr>
                              <w:t> </w:t>
                            </w:r>
                            <w:r>
                              <w:rPr>
                                <w:color w:val="105C84"/>
                                <w:sz w:val="20"/>
                              </w:rPr>
                              <w:t>issues</w:t>
                            </w:r>
                            <w:r>
                              <w:rPr>
                                <w:color w:val="105C84"/>
                                <w:spacing w:val="13"/>
                                <w:sz w:val="20"/>
                              </w:rPr>
                              <w:t> </w:t>
                            </w:r>
                            <w:r>
                              <w:rPr>
                                <w:color w:val="105C84"/>
                                <w:spacing w:val="-2"/>
                                <w:sz w:val="20"/>
                              </w:rPr>
                              <w:t>(21.8%)</w:t>
                            </w:r>
                          </w:p>
                        </w:tc>
                      </w:tr>
                      <w:tr>
                        <w:trPr>
                          <w:trHeight w:val="355" w:hRule="atLeast"/>
                        </w:trPr>
                        <w:tc>
                          <w:tcPr>
                            <w:tcW w:w="4548" w:type="dxa"/>
                          </w:tcPr>
                          <w:p>
                            <w:pPr>
                              <w:pStyle w:val="TableParagraph"/>
                              <w:spacing w:before="90"/>
                              <w:ind w:left="80"/>
                              <w:rPr>
                                <w:sz w:val="20"/>
                              </w:rPr>
                            </w:pPr>
                            <w:r>
                              <w:rPr>
                                <w:color w:val="105C84"/>
                                <w:sz w:val="20"/>
                              </w:rPr>
                              <w:t>Substance</w:t>
                            </w:r>
                            <w:r>
                              <w:rPr>
                                <w:color w:val="105C84"/>
                                <w:spacing w:val="-11"/>
                                <w:sz w:val="20"/>
                              </w:rPr>
                              <w:t> </w:t>
                            </w:r>
                            <w:r>
                              <w:rPr>
                                <w:color w:val="105C84"/>
                                <w:sz w:val="20"/>
                              </w:rPr>
                              <w:t>abuse</w:t>
                            </w:r>
                            <w:r>
                              <w:rPr>
                                <w:color w:val="105C84"/>
                                <w:spacing w:val="-10"/>
                                <w:sz w:val="20"/>
                              </w:rPr>
                              <w:t> </w:t>
                            </w:r>
                            <w:r>
                              <w:rPr>
                                <w:color w:val="105C84"/>
                                <w:spacing w:val="-2"/>
                                <w:sz w:val="20"/>
                              </w:rPr>
                              <w:t>(21.2%)</w:t>
                            </w:r>
                          </w:p>
                        </w:tc>
                      </w:tr>
                      <w:tr>
                        <w:trPr>
                          <w:trHeight w:val="355" w:hRule="atLeast"/>
                        </w:trPr>
                        <w:tc>
                          <w:tcPr>
                            <w:tcW w:w="4548" w:type="dxa"/>
                          </w:tcPr>
                          <w:p>
                            <w:pPr>
                              <w:pStyle w:val="TableParagraph"/>
                              <w:spacing w:before="90"/>
                              <w:ind w:left="80"/>
                              <w:rPr>
                                <w:sz w:val="20"/>
                              </w:rPr>
                            </w:pPr>
                            <w:r>
                              <w:rPr>
                                <w:color w:val="105C84"/>
                                <w:sz w:val="20"/>
                              </w:rPr>
                              <w:t>Cost</w:t>
                            </w:r>
                            <w:r>
                              <w:rPr>
                                <w:color w:val="105C84"/>
                                <w:spacing w:val="6"/>
                                <w:sz w:val="20"/>
                              </w:rPr>
                              <w:t> </w:t>
                            </w:r>
                            <w:r>
                              <w:rPr>
                                <w:color w:val="105C84"/>
                                <w:spacing w:val="-2"/>
                                <w:sz w:val="20"/>
                              </w:rPr>
                              <w:t>(17.9%)</w:t>
                            </w:r>
                          </w:p>
                        </w:tc>
                      </w:tr>
                      <w:tr>
                        <w:trPr>
                          <w:trHeight w:val="355" w:hRule="atLeast"/>
                        </w:trPr>
                        <w:tc>
                          <w:tcPr>
                            <w:tcW w:w="4548" w:type="dxa"/>
                          </w:tcPr>
                          <w:p>
                            <w:pPr>
                              <w:pStyle w:val="TableParagraph"/>
                              <w:spacing w:before="90"/>
                              <w:ind w:left="80"/>
                              <w:rPr>
                                <w:sz w:val="20"/>
                              </w:rPr>
                            </w:pPr>
                            <w:r>
                              <w:rPr>
                                <w:color w:val="105C84"/>
                                <w:sz w:val="20"/>
                              </w:rPr>
                              <w:t>Weight</w:t>
                            </w:r>
                            <w:r>
                              <w:rPr>
                                <w:color w:val="105C84"/>
                                <w:spacing w:val="27"/>
                                <w:sz w:val="20"/>
                              </w:rPr>
                              <w:t> </w:t>
                            </w:r>
                            <w:r>
                              <w:rPr>
                                <w:color w:val="105C84"/>
                                <w:spacing w:val="-2"/>
                                <w:sz w:val="20"/>
                              </w:rPr>
                              <w:t>(12.3%)</w:t>
                            </w:r>
                          </w:p>
                        </w:tc>
                      </w:tr>
                      <w:tr>
                        <w:trPr>
                          <w:trHeight w:val="355" w:hRule="atLeast"/>
                        </w:trPr>
                        <w:tc>
                          <w:tcPr>
                            <w:tcW w:w="4548" w:type="dxa"/>
                          </w:tcPr>
                          <w:p>
                            <w:pPr>
                              <w:pStyle w:val="TableParagraph"/>
                              <w:spacing w:before="90"/>
                              <w:ind w:left="80"/>
                              <w:rPr>
                                <w:sz w:val="20"/>
                              </w:rPr>
                            </w:pPr>
                            <w:r>
                              <w:rPr>
                                <w:color w:val="105C84"/>
                                <w:sz w:val="20"/>
                              </w:rPr>
                              <w:t>Diet</w:t>
                            </w:r>
                            <w:r>
                              <w:rPr>
                                <w:color w:val="105C84"/>
                                <w:spacing w:val="30"/>
                                <w:sz w:val="20"/>
                              </w:rPr>
                              <w:t> </w:t>
                            </w:r>
                            <w:r>
                              <w:rPr>
                                <w:color w:val="105C84"/>
                                <w:sz w:val="20"/>
                              </w:rPr>
                              <w:t>/</w:t>
                            </w:r>
                            <w:r>
                              <w:rPr>
                                <w:color w:val="105C84"/>
                                <w:spacing w:val="30"/>
                                <w:sz w:val="20"/>
                              </w:rPr>
                              <w:t> </w:t>
                            </w:r>
                            <w:r>
                              <w:rPr>
                                <w:color w:val="105C84"/>
                                <w:sz w:val="20"/>
                              </w:rPr>
                              <w:t>nutrition</w:t>
                            </w:r>
                            <w:r>
                              <w:rPr>
                                <w:color w:val="105C84"/>
                                <w:spacing w:val="31"/>
                                <w:sz w:val="20"/>
                              </w:rPr>
                              <w:t> </w:t>
                            </w:r>
                            <w:r>
                              <w:rPr>
                                <w:color w:val="105C84"/>
                                <w:spacing w:val="-2"/>
                                <w:sz w:val="20"/>
                              </w:rPr>
                              <w:t>(12.3%)</w:t>
                            </w:r>
                          </w:p>
                        </w:tc>
                      </w:tr>
                    </w:tbl>
                    <w:p>
                      <w:pPr>
                        <w:pStyle w:val="BodyText"/>
                      </w:pPr>
                    </w:p>
                  </w:txbxContent>
                </v:textbox>
                <w10:wrap type="topAndBottom"/>
              </v:shape>
            </w:pict>
          </mc:Fallback>
        </mc:AlternateContent>
      </w:r>
      <w:r>
        <w:rPr>
          <w:b/>
          <w:sz w:val="20"/>
        </w:rPr>
        <mc:AlternateContent>
          <mc:Choice Requires="wps">
            <w:drawing>
              <wp:anchor distT="0" distB="0" distL="0" distR="0" allowOverlap="1" layoutInCell="1" locked="0" behindDoc="1" simplePos="0" relativeHeight="487587840">
                <wp:simplePos x="0" y="0"/>
                <wp:positionH relativeFrom="page">
                  <wp:posOffset>11693588</wp:posOffset>
                </wp:positionH>
                <wp:positionV relativeFrom="paragraph">
                  <wp:posOffset>1786502</wp:posOffset>
                </wp:positionV>
                <wp:extent cx="3037840" cy="1374775"/>
                <wp:effectExtent l="0" t="0" r="0" b="0"/>
                <wp:wrapTopAndBottom/>
                <wp:docPr id="802" name="Textbox 802"/>
                <wp:cNvGraphicFramePr>
                  <a:graphicFrameLocks/>
                </wp:cNvGraphicFramePr>
                <a:graphic>
                  <a:graphicData uri="http://schemas.microsoft.com/office/word/2010/wordprocessingShape">
                    <wps:wsp>
                      <wps:cNvPr id="802" name="Textbox 802"/>
                      <wps:cNvSpPr txBox="1"/>
                      <wps:spPr>
                        <a:xfrm>
                          <a:off x="0" y="0"/>
                          <a:ext cx="3037840" cy="1374775"/>
                        </a:xfrm>
                        <a:prstGeom prst="rect">
                          <a:avLst/>
                        </a:prstGeom>
                      </wps:spPr>
                      <wps:txbx>
                        <w:txbxContent>
                          <w:tbl>
                            <w:tblPr>
                              <w:tblW w:w="0" w:type="auto"/>
                              <w:jc w:val="left"/>
                              <w:tblInd w:w="2" w:type="dxa"/>
                              <w:tblBorders>
                                <w:top w:val="single" w:sz="2" w:space="0" w:color="636466"/>
                                <w:left w:val="single" w:sz="2" w:space="0" w:color="636466"/>
                                <w:bottom w:val="single" w:sz="2" w:space="0" w:color="636466"/>
                                <w:right w:val="single" w:sz="2" w:space="0" w:color="636466"/>
                                <w:insideH w:val="single" w:sz="2" w:space="0" w:color="636466"/>
                                <w:insideV w:val="single" w:sz="2" w:space="0" w:color="636466"/>
                              </w:tblBorders>
                              <w:tblLayout w:type="fixed"/>
                              <w:tblCellMar>
                                <w:top w:w="0" w:type="dxa"/>
                                <w:left w:w="0" w:type="dxa"/>
                                <w:bottom w:w="0" w:type="dxa"/>
                                <w:right w:w="0" w:type="dxa"/>
                              </w:tblCellMar>
                              <w:tblLook w:val="01E0"/>
                            </w:tblPr>
                            <w:tblGrid>
                              <w:gridCol w:w="4778"/>
                            </w:tblGrid>
                            <w:tr>
                              <w:trPr>
                                <w:trHeight w:val="355" w:hRule="atLeast"/>
                              </w:trPr>
                              <w:tc>
                                <w:tcPr>
                                  <w:tcW w:w="4778" w:type="dxa"/>
                                  <w:shd w:val="clear" w:color="auto" w:fill="1C75BC"/>
                                </w:tcPr>
                                <w:p>
                                  <w:pPr>
                                    <w:pStyle w:val="TableParagraph"/>
                                    <w:spacing w:before="90"/>
                                    <w:ind w:left="79"/>
                                    <w:rPr>
                                      <w:b/>
                                      <w:sz w:val="20"/>
                                    </w:rPr>
                                  </w:pPr>
                                  <w:r>
                                    <w:rPr>
                                      <w:b/>
                                      <w:color w:val="FFFFFF"/>
                                      <w:sz w:val="20"/>
                                    </w:rPr>
                                    <w:t>COUNTY</w:t>
                                  </w:r>
                                  <w:r>
                                    <w:rPr>
                                      <w:b/>
                                      <w:color w:val="FFFFFF"/>
                                      <w:spacing w:val="2"/>
                                      <w:sz w:val="20"/>
                                    </w:rPr>
                                    <w:t> </w:t>
                                  </w:r>
                                  <w:r>
                                    <w:rPr>
                                      <w:b/>
                                      <w:color w:val="FFFFFF"/>
                                      <w:sz w:val="20"/>
                                    </w:rPr>
                                    <w:t>PRIORITY</w:t>
                                  </w:r>
                                  <w:r>
                                    <w:rPr>
                                      <w:b/>
                                      <w:color w:val="FFFFFF"/>
                                      <w:spacing w:val="3"/>
                                      <w:sz w:val="20"/>
                                    </w:rPr>
                                    <w:t> </w:t>
                                  </w:r>
                                  <w:r>
                                    <w:rPr>
                                      <w:b/>
                                      <w:color w:val="FFFFFF"/>
                                      <w:sz w:val="20"/>
                                    </w:rPr>
                                    <w:t>-</w:t>
                                  </w:r>
                                  <w:r>
                                    <w:rPr>
                                      <w:b/>
                                      <w:color w:val="FFFFFF"/>
                                      <w:spacing w:val="2"/>
                                      <w:sz w:val="20"/>
                                    </w:rPr>
                                    <w:t> </w:t>
                                  </w:r>
                                  <w:r>
                                    <w:rPr>
                                      <w:b/>
                                      <w:color w:val="FFFFFF"/>
                                      <w:sz w:val="20"/>
                                    </w:rPr>
                                    <w:t>FOR</w:t>
                                  </w:r>
                                  <w:r>
                                    <w:rPr>
                                      <w:b/>
                                      <w:color w:val="FFFFFF"/>
                                      <w:spacing w:val="3"/>
                                      <w:sz w:val="20"/>
                                    </w:rPr>
                                    <w:t> </w:t>
                                  </w:r>
                                  <w:r>
                                    <w:rPr>
                                      <w:b/>
                                      <w:color w:val="FFFFFF"/>
                                      <w:spacing w:val="-2"/>
                                      <w:sz w:val="20"/>
                                    </w:rPr>
                                    <w:t>CHILDREN</w:t>
                                  </w:r>
                                </w:p>
                              </w:tc>
                            </w:tr>
                            <w:tr>
                              <w:trPr>
                                <w:trHeight w:val="354" w:hRule="atLeast"/>
                              </w:trPr>
                              <w:tc>
                                <w:tcPr>
                                  <w:tcW w:w="4778" w:type="dxa"/>
                                </w:tcPr>
                                <w:p>
                                  <w:pPr>
                                    <w:pStyle w:val="TableParagraph"/>
                                    <w:spacing w:before="90"/>
                                    <w:ind w:left="79"/>
                                    <w:rPr>
                                      <w:sz w:val="20"/>
                                    </w:rPr>
                                  </w:pPr>
                                  <w:r>
                                    <w:rPr>
                                      <w:color w:val="105C84"/>
                                      <w:sz w:val="20"/>
                                    </w:rPr>
                                    <w:t>Diet</w:t>
                                  </w:r>
                                  <w:r>
                                    <w:rPr>
                                      <w:color w:val="105C84"/>
                                      <w:spacing w:val="30"/>
                                      <w:sz w:val="20"/>
                                    </w:rPr>
                                    <w:t> </w:t>
                                  </w:r>
                                  <w:r>
                                    <w:rPr>
                                      <w:color w:val="105C84"/>
                                      <w:sz w:val="20"/>
                                    </w:rPr>
                                    <w:t>/</w:t>
                                  </w:r>
                                  <w:r>
                                    <w:rPr>
                                      <w:color w:val="105C84"/>
                                      <w:spacing w:val="30"/>
                                      <w:sz w:val="20"/>
                                    </w:rPr>
                                    <w:t> </w:t>
                                  </w:r>
                                  <w:r>
                                    <w:rPr>
                                      <w:color w:val="105C84"/>
                                      <w:sz w:val="20"/>
                                    </w:rPr>
                                    <w:t>nutrition</w:t>
                                  </w:r>
                                  <w:r>
                                    <w:rPr>
                                      <w:color w:val="105C84"/>
                                      <w:spacing w:val="31"/>
                                      <w:sz w:val="20"/>
                                    </w:rPr>
                                    <w:t> </w:t>
                                  </w:r>
                                  <w:r>
                                    <w:rPr>
                                      <w:color w:val="105C84"/>
                                      <w:spacing w:val="-2"/>
                                      <w:sz w:val="20"/>
                                    </w:rPr>
                                    <w:t>(22.7%)</w:t>
                                  </w:r>
                                </w:p>
                              </w:tc>
                            </w:tr>
                            <w:tr>
                              <w:trPr>
                                <w:trHeight w:val="355" w:hRule="atLeast"/>
                              </w:trPr>
                              <w:tc>
                                <w:tcPr>
                                  <w:tcW w:w="4778" w:type="dxa"/>
                                </w:tcPr>
                                <w:p>
                                  <w:pPr>
                                    <w:pStyle w:val="TableParagraph"/>
                                    <w:spacing w:before="90"/>
                                    <w:ind w:left="79"/>
                                    <w:rPr>
                                      <w:sz w:val="20"/>
                                    </w:rPr>
                                  </w:pPr>
                                  <w:r>
                                    <w:rPr>
                                      <w:color w:val="105C84"/>
                                      <w:sz w:val="20"/>
                                    </w:rPr>
                                    <w:t>Mental</w:t>
                                  </w:r>
                                  <w:r>
                                    <w:rPr>
                                      <w:color w:val="105C84"/>
                                      <w:spacing w:val="13"/>
                                      <w:sz w:val="20"/>
                                    </w:rPr>
                                    <w:t> </w:t>
                                  </w:r>
                                  <w:r>
                                    <w:rPr>
                                      <w:color w:val="105C84"/>
                                      <w:sz w:val="20"/>
                                    </w:rPr>
                                    <w:t>/</w:t>
                                  </w:r>
                                  <w:r>
                                    <w:rPr>
                                      <w:color w:val="105C84"/>
                                      <w:spacing w:val="13"/>
                                      <w:sz w:val="20"/>
                                    </w:rPr>
                                    <w:t> </w:t>
                                  </w:r>
                                  <w:r>
                                    <w:rPr>
                                      <w:color w:val="105C84"/>
                                      <w:sz w:val="20"/>
                                    </w:rPr>
                                    <w:t>emotional</w:t>
                                  </w:r>
                                  <w:r>
                                    <w:rPr>
                                      <w:color w:val="105C84"/>
                                      <w:spacing w:val="13"/>
                                      <w:sz w:val="20"/>
                                    </w:rPr>
                                    <w:t> </w:t>
                                  </w:r>
                                  <w:r>
                                    <w:rPr>
                                      <w:color w:val="105C84"/>
                                      <w:sz w:val="20"/>
                                    </w:rPr>
                                    <w:t>health</w:t>
                                  </w:r>
                                  <w:r>
                                    <w:rPr>
                                      <w:color w:val="105C84"/>
                                      <w:spacing w:val="13"/>
                                      <w:sz w:val="20"/>
                                    </w:rPr>
                                    <w:t> </w:t>
                                  </w:r>
                                  <w:r>
                                    <w:rPr>
                                      <w:color w:val="105C84"/>
                                      <w:sz w:val="20"/>
                                    </w:rPr>
                                    <w:t>issues</w:t>
                                  </w:r>
                                  <w:r>
                                    <w:rPr>
                                      <w:color w:val="105C84"/>
                                      <w:spacing w:val="13"/>
                                      <w:sz w:val="20"/>
                                    </w:rPr>
                                    <w:t> </w:t>
                                  </w:r>
                                  <w:r>
                                    <w:rPr>
                                      <w:color w:val="105C84"/>
                                      <w:spacing w:val="-2"/>
                                      <w:sz w:val="20"/>
                                    </w:rPr>
                                    <w:t>(19.7%)</w:t>
                                  </w:r>
                                </w:p>
                              </w:tc>
                            </w:tr>
                            <w:tr>
                              <w:trPr>
                                <w:trHeight w:val="355" w:hRule="atLeast"/>
                              </w:trPr>
                              <w:tc>
                                <w:tcPr>
                                  <w:tcW w:w="4778" w:type="dxa"/>
                                </w:tcPr>
                                <w:p>
                                  <w:pPr>
                                    <w:pStyle w:val="TableParagraph"/>
                                    <w:spacing w:before="90"/>
                                    <w:ind w:left="79"/>
                                    <w:rPr>
                                      <w:sz w:val="20"/>
                                    </w:rPr>
                                  </w:pPr>
                                  <w:r>
                                    <w:rPr>
                                      <w:color w:val="105C84"/>
                                      <w:sz w:val="20"/>
                                    </w:rPr>
                                    <w:t>Substance</w:t>
                                  </w:r>
                                  <w:r>
                                    <w:rPr>
                                      <w:color w:val="105C84"/>
                                      <w:spacing w:val="-11"/>
                                      <w:sz w:val="20"/>
                                    </w:rPr>
                                    <w:t> </w:t>
                                  </w:r>
                                  <w:r>
                                    <w:rPr>
                                      <w:color w:val="105C84"/>
                                      <w:sz w:val="20"/>
                                    </w:rPr>
                                    <w:t>abuse</w:t>
                                  </w:r>
                                  <w:r>
                                    <w:rPr>
                                      <w:color w:val="105C84"/>
                                      <w:spacing w:val="-10"/>
                                      <w:sz w:val="20"/>
                                    </w:rPr>
                                    <w:t> </w:t>
                                  </w:r>
                                  <w:r>
                                    <w:rPr>
                                      <w:color w:val="105C84"/>
                                      <w:spacing w:val="-2"/>
                                      <w:sz w:val="20"/>
                                    </w:rPr>
                                    <w:t>(18.2%)</w:t>
                                  </w:r>
                                </w:p>
                              </w:tc>
                            </w:tr>
                            <w:tr>
                              <w:trPr>
                                <w:trHeight w:val="355" w:hRule="atLeast"/>
                              </w:trPr>
                              <w:tc>
                                <w:tcPr>
                                  <w:tcW w:w="4778" w:type="dxa"/>
                                </w:tcPr>
                                <w:p>
                                  <w:pPr>
                                    <w:pStyle w:val="TableParagraph"/>
                                    <w:spacing w:before="90"/>
                                    <w:ind w:left="79"/>
                                    <w:rPr>
                                      <w:sz w:val="20"/>
                                    </w:rPr>
                                  </w:pPr>
                                  <w:r>
                                    <w:rPr>
                                      <w:color w:val="105C84"/>
                                      <w:spacing w:val="-4"/>
                                      <w:sz w:val="20"/>
                                    </w:rPr>
                                    <w:t>Exercise</w:t>
                                  </w:r>
                                  <w:r>
                                    <w:rPr>
                                      <w:color w:val="105C84"/>
                                      <w:spacing w:val="3"/>
                                      <w:sz w:val="20"/>
                                    </w:rPr>
                                    <w:t> </w:t>
                                  </w:r>
                                  <w:r>
                                    <w:rPr>
                                      <w:color w:val="105C84"/>
                                      <w:spacing w:val="-2"/>
                                      <w:sz w:val="20"/>
                                    </w:rPr>
                                    <w:t>(12.1%)</w:t>
                                  </w:r>
                                </w:p>
                              </w:tc>
                            </w:tr>
                            <w:tr>
                              <w:trPr>
                                <w:trHeight w:val="355" w:hRule="atLeast"/>
                              </w:trPr>
                              <w:tc>
                                <w:tcPr>
                                  <w:tcW w:w="4778" w:type="dxa"/>
                                </w:tcPr>
                                <w:p>
                                  <w:pPr>
                                    <w:pStyle w:val="TableParagraph"/>
                                    <w:spacing w:before="90"/>
                                    <w:ind w:left="79"/>
                                    <w:rPr>
                                      <w:sz w:val="20"/>
                                    </w:rPr>
                                  </w:pPr>
                                  <w:r>
                                    <w:rPr>
                                      <w:color w:val="105C84"/>
                                      <w:sz w:val="20"/>
                                    </w:rPr>
                                    <w:t>Weight</w:t>
                                  </w:r>
                                  <w:r>
                                    <w:rPr>
                                      <w:color w:val="105C84"/>
                                      <w:spacing w:val="27"/>
                                      <w:sz w:val="20"/>
                                    </w:rPr>
                                    <w:t> </w:t>
                                  </w:r>
                                  <w:r>
                                    <w:rPr>
                                      <w:color w:val="105C84"/>
                                      <w:spacing w:val="-2"/>
                                      <w:sz w:val="20"/>
                                    </w:rPr>
                                    <w:t>(11.4%)</w:t>
                                  </w:r>
                                </w:p>
                              </w:tc>
                            </w:tr>
                          </w:tbl>
                          <w:p>
                            <w:pPr>
                              <w:pStyle w:val="BodyText"/>
                            </w:pPr>
                          </w:p>
                        </w:txbxContent>
                      </wps:txbx>
                      <wps:bodyPr wrap="square" lIns="0" tIns="0" rIns="0" bIns="0" rtlCol="0">
                        <a:noAutofit/>
                      </wps:bodyPr>
                    </wps:wsp>
                  </a:graphicData>
                </a:graphic>
              </wp:anchor>
            </w:drawing>
          </mc:Choice>
          <mc:Fallback>
            <w:pict>
              <v:shape style="position:absolute;margin-left:920.755005pt;margin-top:140.669495pt;width:239.2pt;height:108.25pt;mso-position-horizontal-relative:page;mso-position-vertical-relative:paragraph;z-index:-15728640;mso-wrap-distance-left:0;mso-wrap-distance-right:0" type="#_x0000_t202" id="docshape683" filled="false" stroked="false">
                <v:textbox inset="0,0,0,0">
                  <w:txbxContent>
                    <w:tbl>
                      <w:tblPr>
                        <w:tblW w:w="0" w:type="auto"/>
                        <w:jc w:val="left"/>
                        <w:tblInd w:w="2" w:type="dxa"/>
                        <w:tblBorders>
                          <w:top w:val="single" w:sz="2" w:space="0" w:color="636466"/>
                          <w:left w:val="single" w:sz="2" w:space="0" w:color="636466"/>
                          <w:bottom w:val="single" w:sz="2" w:space="0" w:color="636466"/>
                          <w:right w:val="single" w:sz="2" w:space="0" w:color="636466"/>
                          <w:insideH w:val="single" w:sz="2" w:space="0" w:color="636466"/>
                          <w:insideV w:val="single" w:sz="2" w:space="0" w:color="636466"/>
                        </w:tblBorders>
                        <w:tblLayout w:type="fixed"/>
                        <w:tblCellMar>
                          <w:top w:w="0" w:type="dxa"/>
                          <w:left w:w="0" w:type="dxa"/>
                          <w:bottom w:w="0" w:type="dxa"/>
                          <w:right w:w="0" w:type="dxa"/>
                        </w:tblCellMar>
                        <w:tblLook w:val="01E0"/>
                      </w:tblPr>
                      <w:tblGrid>
                        <w:gridCol w:w="4778"/>
                      </w:tblGrid>
                      <w:tr>
                        <w:trPr>
                          <w:trHeight w:val="355" w:hRule="atLeast"/>
                        </w:trPr>
                        <w:tc>
                          <w:tcPr>
                            <w:tcW w:w="4778" w:type="dxa"/>
                            <w:shd w:val="clear" w:color="auto" w:fill="1C75BC"/>
                          </w:tcPr>
                          <w:p>
                            <w:pPr>
                              <w:pStyle w:val="TableParagraph"/>
                              <w:spacing w:before="90"/>
                              <w:ind w:left="79"/>
                              <w:rPr>
                                <w:b/>
                                <w:sz w:val="20"/>
                              </w:rPr>
                            </w:pPr>
                            <w:r>
                              <w:rPr>
                                <w:b/>
                                <w:color w:val="FFFFFF"/>
                                <w:sz w:val="20"/>
                              </w:rPr>
                              <w:t>COUNTY</w:t>
                            </w:r>
                            <w:r>
                              <w:rPr>
                                <w:b/>
                                <w:color w:val="FFFFFF"/>
                                <w:spacing w:val="2"/>
                                <w:sz w:val="20"/>
                              </w:rPr>
                              <w:t> </w:t>
                            </w:r>
                            <w:r>
                              <w:rPr>
                                <w:b/>
                                <w:color w:val="FFFFFF"/>
                                <w:sz w:val="20"/>
                              </w:rPr>
                              <w:t>PRIORITY</w:t>
                            </w:r>
                            <w:r>
                              <w:rPr>
                                <w:b/>
                                <w:color w:val="FFFFFF"/>
                                <w:spacing w:val="3"/>
                                <w:sz w:val="20"/>
                              </w:rPr>
                              <w:t> </w:t>
                            </w:r>
                            <w:r>
                              <w:rPr>
                                <w:b/>
                                <w:color w:val="FFFFFF"/>
                                <w:sz w:val="20"/>
                              </w:rPr>
                              <w:t>-</w:t>
                            </w:r>
                            <w:r>
                              <w:rPr>
                                <w:b/>
                                <w:color w:val="FFFFFF"/>
                                <w:spacing w:val="2"/>
                                <w:sz w:val="20"/>
                              </w:rPr>
                              <w:t> </w:t>
                            </w:r>
                            <w:r>
                              <w:rPr>
                                <w:b/>
                                <w:color w:val="FFFFFF"/>
                                <w:sz w:val="20"/>
                              </w:rPr>
                              <w:t>FOR</w:t>
                            </w:r>
                            <w:r>
                              <w:rPr>
                                <w:b/>
                                <w:color w:val="FFFFFF"/>
                                <w:spacing w:val="3"/>
                                <w:sz w:val="20"/>
                              </w:rPr>
                              <w:t> </w:t>
                            </w:r>
                            <w:r>
                              <w:rPr>
                                <w:b/>
                                <w:color w:val="FFFFFF"/>
                                <w:spacing w:val="-2"/>
                                <w:sz w:val="20"/>
                              </w:rPr>
                              <w:t>CHILDREN</w:t>
                            </w:r>
                          </w:p>
                        </w:tc>
                      </w:tr>
                      <w:tr>
                        <w:trPr>
                          <w:trHeight w:val="354" w:hRule="atLeast"/>
                        </w:trPr>
                        <w:tc>
                          <w:tcPr>
                            <w:tcW w:w="4778" w:type="dxa"/>
                          </w:tcPr>
                          <w:p>
                            <w:pPr>
                              <w:pStyle w:val="TableParagraph"/>
                              <w:spacing w:before="90"/>
                              <w:ind w:left="79"/>
                              <w:rPr>
                                <w:sz w:val="20"/>
                              </w:rPr>
                            </w:pPr>
                            <w:r>
                              <w:rPr>
                                <w:color w:val="105C84"/>
                                <w:sz w:val="20"/>
                              </w:rPr>
                              <w:t>Diet</w:t>
                            </w:r>
                            <w:r>
                              <w:rPr>
                                <w:color w:val="105C84"/>
                                <w:spacing w:val="30"/>
                                <w:sz w:val="20"/>
                              </w:rPr>
                              <w:t> </w:t>
                            </w:r>
                            <w:r>
                              <w:rPr>
                                <w:color w:val="105C84"/>
                                <w:sz w:val="20"/>
                              </w:rPr>
                              <w:t>/</w:t>
                            </w:r>
                            <w:r>
                              <w:rPr>
                                <w:color w:val="105C84"/>
                                <w:spacing w:val="30"/>
                                <w:sz w:val="20"/>
                              </w:rPr>
                              <w:t> </w:t>
                            </w:r>
                            <w:r>
                              <w:rPr>
                                <w:color w:val="105C84"/>
                                <w:sz w:val="20"/>
                              </w:rPr>
                              <w:t>nutrition</w:t>
                            </w:r>
                            <w:r>
                              <w:rPr>
                                <w:color w:val="105C84"/>
                                <w:spacing w:val="31"/>
                                <w:sz w:val="20"/>
                              </w:rPr>
                              <w:t> </w:t>
                            </w:r>
                            <w:r>
                              <w:rPr>
                                <w:color w:val="105C84"/>
                                <w:spacing w:val="-2"/>
                                <w:sz w:val="20"/>
                              </w:rPr>
                              <w:t>(22.7%)</w:t>
                            </w:r>
                          </w:p>
                        </w:tc>
                      </w:tr>
                      <w:tr>
                        <w:trPr>
                          <w:trHeight w:val="355" w:hRule="atLeast"/>
                        </w:trPr>
                        <w:tc>
                          <w:tcPr>
                            <w:tcW w:w="4778" w:type="dxa"/>
                          </w:tcPr>
                          <w:p>
                            <w:pPr>
                              <w:pStyle w:val="TableParagraph"/>
                              <w:spacing w:before="90"/>
                              <w:ind w:left="79"/>
                              <w:rPr>
                                <w:sz w:val="20"/>
                              </w:rPr>
                            </w:pPr>
                            <w:r>
                              <w:rPr>
                                <w:color w:val="105C84"/>
                                <w:sz w:val="20"/>
                              </w:rPr>
                              <w:t>Mental</w:t>
                            </w:r>
                            <w:r>
                              <w:rPr>
                                <w:color w:val="105C84"/>
                                <w:spacing w:val="13"/>
                                <w:sz w:val="20"/>
                              </w:rPr>
                              <w:t> </w:t>
                            </w:r>
                            <w:r>
                              <w:rPr>
                                <w:color w:val="105C84"/>
                                <w:sz w:val="20"/>
                              </w:rPr>
                              <w:t>/</w:t>
                            </w:r>
                            <w:r>
                              <w:rPr>
                                <w:color w:val="105C84"/>
                                <w:spacing w:val="13"/>
                                <w:sz w:val="20"/>
                              </w:rPr>
                              <w:t> </w:t>
                            </w:r>
                            <w:r>
                              <w:rPr>
                                <w:color w:val="105C84"/>
                                <w:sz w:val="20"/>
                              </w:rPr>
                              <w:t>emotional</w:t>
                            </w:r>
                            <w:r>
                              <w:rPr>
                                <w:color w:val="105C84"/>
                                <w:spacing w:val="13"/>
                                <w:sz w:val="20"/>
                              </w:rPr>
                              <w:t> </w:t>
                            </w:r>
                            <w:r>
                              <w:rPr>
                                <w:color w:val="105C84"/>
                                <w:sz w:val="20"/>
                              </w:rPr>
                              <w:t>health</w:t>
                            </w:r>
                            <w:r>
                              <w:rPr>
                                <w:color w:val="105C84"/>
                                <w:spacing w:val="13"/>
                                <w:sz w:val="20"/>
                              </w:rPr>
                              <w:t> </w:t>
                            </w:r>
                            <w:r>
                              <w:rPr>
                                <w:color w:val="105C84"/>
                                <w:sz w:val="20"/>
                              </w:rPr>
                              <w:t>issues</w:t>
                            </w:r>
                            <w:r>
                              <w:rPr>
                                <w:color w:val="105C84"/>
                                <w:spacing w:val="13"/>
                                <w:sz w:val="20"/>
                              </w:rPr>
                              <w:t> </w:t>
                            </w:r>
                            <w:r>
                              <w:rPr>
                                <w:color w:val="105C84"/>
                                <w:spacing w:val="-2"/>
                                <w:sz w:val="20"/>
                              </w:rPr>
                              <w:t>(19.7%)</w:t>
                            </w:r>
                          </w:p>
                        </w:tc>
                      </w:tr>
                      <w:tr>
                        <w:trPr>
                          <w:trHeight w:val="355" w:hRule="atLeast"/>
                        </w:trPr>
                        <w:tc>
                          <w:tcPr>
                            <w:tcW w:w="4778" w:type="dxa"/>
                          </w:tcPr>
                          <w:p>
                            <w:pPr>
                              <w:pStyle w:val="TableParagraph"/>
                              <w:spacing w:before="90"/>
                              <w:ind w:left="79"/>
                              <w:rPr>
                                <w:sz w:val="20"/>
                              </w:rPr>
                            </w:pPr>
                            <w:r>
                              <w:rPr>
                                <w:color w:val="105C84"/>
                                <w:sz w:val="20"/>
                              </w:rPr>
                              <w:t>Substance</w:t>
                            </w:r>
                            <w:r>
                              <w:rPr>
                                <w:color w:val="105C84"/>
                                <w:spacing w:val="-11"/>
                                <w:sz w:val="20"/>
                              </w:rPr>
                              <w:t> </w:t>
                            </w:r>
                            <w:r>
                              <w:rPr>
                                <w:color w:val="105C84"/>
                                <w:sz w:val="20"/>
                              </w:rPr>
                              <w:t>abuse</w:t>
                            </w:r>
                            <w:r>
                              <w:rPr>
                                <w:color w:val="105C84"/>
                                <w:spacing w:val="-10"/>
                                <w:sz w:val="20"/>
                              </w:rPr>
                              <w:t> </w:t>
                            </w:r>
                            <w:r>
                              <w:rPr>
                                <w:color w:val="105C84"/>
                                <w:spacing w:val="-2"/>
                                <w:sz w:val="20"/>
                              </w:rPr>
                              <w:t>(18.2%)</w:t>
                            </w:r>
                          </w:p>
                        </w:tc>
                      </w:tr>
                      <w:tr>
                        <w:trPr>
                          <w:trHeight w:val="355" w:hRule="atLeast"/>
                        </w:trPr>
                        <w:tc>
                          <w:tcPr>
                            <w:tcW w:w="4778" w:type="dxa"/>
                          </w:tcPr>
                          <w:p>
                            <w:pPr>
                              <w:pStyle w:val="TableParagraph"/>
                              <w:spacing w:before="90"/>
                              <w:ind w:left="79"/>
                              <w:rPr>
                                <w:sz w:val="20"/>
                              </w:rPr>
                            </w:pPr>
                            <w:r>
                              <w:rPr>
                                <w:color w:val="105C84"/>
                                <w:spacing w:val="-4"/>
                                <w:sz w:val="20"/>
                              </w:rPr>
                              <w:t>Exercise</w:t>
                            </w:r>
                            <w:r>
                              <w:rPr>
                                <w:color w:val="105C84"/>
                                <w:spacing w:val="3"/>
                                <w:sz w:val="20"/>
                              </w:rPr>
                              <w:t> </w:t>
                            </w:r>
                            <w:r>
                              <w:rPr>
                                <w:color w:val="105C84"/>
                                <w:spacing w:val="-2"/>
                                <w:sz w:val="20"/>
                              </w:rPr>
                              <w:t>(12.1%)</w:t>
                            </w:r>
                          </w:p>
                        </w:tc>
                      </w:tr>
                      <w:tr>
                        <w:trPr>
                          <w:trHeight w:val="355" w:hRule="atLeast"/>
                        </w:trPr>
                        <w:tc>
                          <w:tcPr>
                            <w:tcW w:w="4778" w:type="dxa"/>
                          </w:tcPr>
                          <w:p>
                            <w:pPr>
                              <w:pStyle w:val="TableParagraph"/>
                              <w:spacing w:before="90"/>
                              <w:ind w:left="79"/>
                              <w:rPr>
                                <w:sz w:val="20"/>
                              </w:rPr>
                            </w:pPr>
                            <w:r>
                              <w:rPr>
                                <w:color w:val="105C84"/>
                                <w:sz w:val="20"/>
                              </w:rPr>
                              <w:t>Weight</w:t>
                            </w:r>
                            <w:r>
                              <w:rPr>
                                <w:color w:val="105C84"/>
                                <w:spacing w:val="27"/>
                                <w:sz w:val="20"/>
                              </w:rPr>
                              <w:t> </w:t>
                            </w:r>
                            <w:r>
                              <w:rPr>
                                <w:color w:val="105C84"/>
                                <w:spacing w:val="-2"/>
                                <w:sz w:val="20"/>
                              </w:rPr>
                              <w:t>(11.4%)</w:t>
                            </w:r>
                          </w:p>
                        </w:tc>
                      </w:tr>
                    </w:tbl>
                    <w:p>
                      <w:pPr>
                        <w:pStyle w:val="BodyText"/>
                      </w:pPr>
                    </w:p>
                  </w:txbxContent>
                </v:textbox>
                <w10:wrap type="topAndBottom"/>
              </v:shape>
            </w:pict>
          </mc:Fallback>
        </mc:AlternateContent>
      </w:r>
    </w:p>
    <w:p>
      <w:pPr>
        <w:pStyle w:val="BodyText"/>
        <w:spacing w:before="10"/>
        <w:rPr>
          <w:b/>
          <w:sz w:val="12"/>
        </w:rPr>
      </w:pPr>
    </w:p>
    <w:p>
      <w:pPr>
        <w:spacing w:line="235" w:lineRule="auto" w:before="133"/>
        <w:ind w:left="0" w:right="459" w:firstLine="0"/>
        <w:jc w:val="left"/>
        <w:rPr>
          <w:sz w:val="16"/>
        </w:rPr>
      </w:pPr>
      <w:r>
        <w:rPr>
          <w:color w:val="0C5D86"/>
          <w:sz w:val="16"/>
        </w:rPr>
        <w:t>Source: My Health Story survey 2018. Analysis by Common Ground Health incorporates weighting to normalize survey participants to demographics</w:t>
      </w:r>
      <w:r>
        <w:rPr>
          <w:color w:val="0C5D86"/>
          <w:spacing w:val="-6"/>
          <w:sz w:val="16"/>
        </w:rPr>
        <w:t> </w:t>
      </w:r>
      <w:r>
        <w:rPr>
          <w:color w:val="0C5D86"/>
          <w:sz w:val="16"/>
        </w:rPr>
        <w:t>of</w:t>
      </w:r>
      <w:r>
        <w:rPr>
          <w:color w:val="0C5D86"/>
          <w:spacing w:val="-6"/>
          <w:sz w:val="16"/>
        </w:rPr>
        <w:t> </w:t>
      </w:r>
      <w:r>
        <w:rPr>
          <w:color w:val="0C5D86"/>
          <w:sz w:val="16"/>
        </w:rPr>
        <w:t>each</w:t>
      </w:r>
      <w:r>
        <w:rPr>
          <w:color w:val="0C5D86"/>
          <w:spacing w:val="-6"/>
          <w:sz w:val="16"/>
        </w:rPr>
        <w:t> </w:t>
      </w:r>
      <w:r>
        <w:rPr>
          <w:color w:val="0C5D86"/>
          <w:sz w:val="16"/>
        </w:rPr>
        <w:t>county.</w:t>
      </w:r>
      <w:r>
        <w:rPr>
          <w:color w:val="0C5D86"/>
          <w:spacing w:val="32"/>
          <w:sz w:val="16"/>
        </w:rPr>
        <w:t> </w:t>
      </w:r>
      <w:r>
        <w:rPr>
          <w:color w:val="0C5D86"/>
          <w:sz w:val="16"/>
        </w:rPr>
        <w:t>Top</w:t>
      </w:r>
      <w:r>
        <w:rPr>
          <w:color w:val="0C5D86"/>
          <w:spacing w:val="-6"/>
          <w:sz w:val="16"/>
        </w:rPr>
        <w:t> </w:t>
      </w:r>
      <w:r>
        <w:rPr>
          <w:color w:val="0C5D86"/>
          <w:sz w:val="16"/>
        </w:rPr>
        <w:t>5</w:t>
      </w:r>
      <w:r>
        <w:rPr>
          <w:color w:val="0C5D86"/>
          <w:spacing w:val="-6"/>
          <w:sz w:val="16"/>
        </w:rPr>
        <w:t> </w:t>
      </w:r>
      <w:r>
        <w:rPr>
          <w:color w:val="0C5D86"/>
          <w:sz w:val="16"/>
        </w:rPr>
        <w:t>issues</w:t>
      </w:r>
      <w:r>
        <w:rPr>
          <w:color w:val="0C5D86"/>
          <w:spacing w:val="-6"/>
          <w:sz w:val="16"/>
        </w:rPr>
        <w:t> </w:t>
      </w:r>
      <w:r>
        <w:rPr>
          <w:color w:val="0C5D86"/>
          <w:sz w:val="16"/>
        </w:rPr>
        <w:t>shown</w:t>
      </w:r>
      <w:r>
        <w:rPr>
          <w:color w:val="0C5D86"/>
          <w:spacing w:val="-6"/>
          <w:sz w:val="16"/>
        </w:rPr>
        <w:t> </w:t>
      </w:r>
      <w:r>
        <w:rPr>
          <w:color w:val="0C5D86"/>
          <w:sz w:val="16"/>
        </w:rPr>
        <w:t>for</w:t>
      </w:r>
      <w:r>
        <w:rPr>
          <w:color w:val="0C5D86"/>
          <w:spacing w:val="-6"/>
          <w:sz w:val="16"/>
        </w:rPr>
        <w:t> </w:t>
      </w:r>
      <w:r>
        <w:rPr>
          <w:color w:val="0C5D86"/>
          <w:sz w:val="16"/>
        </w:rPr>
        <w:t>each</w:t>
      </w:r>
      <w:r>
        <w:rPr>
          <w:color w:val="0C5D86"/>
          <w:spacing w:val="-6"/>
          <w:sz w:val="16"/>
        </w:rPr>
        <w:t> </w:t>
      </w:r>
      <w:r>
        <w:rPr>
          <w:color w:val="0C5D86"/>
          <w:sz w:val="16"/>
        </w:rPr>
        <w:t>question.</w:t>
      </w:r>
      <w:r>
        <w:rPr>
          <w:color w:val="0C5D86"/>
          <w:spacing w:val="32"/>
          <w:sz w:val="16"/>
        </w:rPr>
        <w:t> </w:t>
      </w:r>
      <w:r>
        <w:rPr>
          <w:color w:val="0C5D86"/>
          <w:sz w:val="16"/>
        </w:rPr>
        <w:t>Data</w:t>
      </w:r>
      <w:r>
        <w:rPr>
          <w:color w:val="0C5D86"/>
          <w:spacing w:val="-6"/>
          <w:sz w:val="16"/>
        </w:rPr>
        <w:t> </w:t>
      </w:r>
      <w:r>
        <w:rPr>
          <w:color w:val="0C5D86"/>
          <w:sz w:val="16"/>
        </w:rPr>
        <w:t>shown</w:t>
      </w:r>
      <w:r>
        <w:rPr>
          <w:color w:val="0C5D86"/>
          <w:spacing w:val="-6"/>
          <w:sz w:val="16"/>
        </w:rPr>
        <w:t> </w:t>
      </w:r>
      <w:r>
        <w:rPr>
          <w:color w:val="0C5D86"/>
          <w:sz w:val="16"/>
        </w:rPr>
        <w:t>are</w:t>
      </w:r>
      <w:r>
        <w:rPr>
          <w:color w:val="0C5D86"/>
          <w:spacing w:val="-6"/>
          <w:sz w:val="16"/>
        </w:rPr>
        <w:t> </w:t>
      </w:r>
      <w:r>
        <w:rPr>
          <w:color w:val="0C5D86"/>
          <w:sz w:val="16"/>
        </w:rPr>
        <w:t>the</w:t>
      </w:r>
      <w:r>
        <w:rPr>
          <w:color w:val="0C5D86"/>
          <w:spacing w:val="-6"/>
          <w:sz w:val="16"/>
        </w:rPr>
        <w:t> </w:t>
      </w:r>
      <w:r>
        <w:rPr>
          <w:color w:val="0C5D86"/>
          <w:sz w:val="16"/>
        </w:rPr>
        <w:t>percent</w:t>
      </w:r>
      <w:r>
        <w:rPr>
          <w:color w:val="0C5D86"/>
          <w:spacing w:val="-6"/>
          <w:sz w:val="16"/>
        </w:rPr>
        <w:t> </w:t>
      </w:r>
      <w:r>
        <w:rPr>
          <w:color w:val="0C5D86"/>
          <w:sz w:val="16"/>
        </w:rPr>
        <w:t>of</w:t>
      </w:r>
      <w:r>
        <w:rPr>
          <w:color w:val="0C5D86"/>
          <w:spacing w:val="-6"/>
          <w:sz w:val="16"/>
        </w:rPr>
        <w:t> </w:t>
      </w:r>
      <w:r>
        <w:rPr>
          <w:color w:val="0C5D86"/>
          <w:sz w:val="16"/>
        </w:rPr>
        <w:t>participants</w:t>
      </w:r>
      <w:r>
        <w:rPr>
          <w:color w:val="0C5D86"/>
          <w:spacing w:val="-6"/>
          <w:sz w:val="16"/>
        </w:rPr>
        <w:t> </w:t>
      </w:r>
      <w:r>
        <w:rPr>
          <w:color w:val="0C5D86"/>
          <w:sz w:val="16"/>
        </w:rPr>
        <w:t>with</w:t>
      </w:r>
      <w:r>
        <w:rPr>
          <w:color w:val="0C5D86"/>
          <w:spacing w:val="-6"/>
          <w:sz w:val="16"/>
        </w:rPr>
        <w:t> </w:t>
      </w:r>
      <w:r>
        <w:rPr>
          <w:color w:val="0C5D86"/>
          <w:sz w:val="16"/>
        </w:rPr>
        <w:t>responses</w:t>
      </w:r>
      <w:r>
        <w:rPr>
          <w:color w:val="0C5D86"/>
          <w:spacing w:val="-6"/>
          <w:sz w:val="16"/>
        </w:rPr>
        <w:t> </w:t>
      </w:r>
      <w:r>
        <w:rPr>
          <w:color w:val="0C5D86"/>
          <w:sz w:val="16"/>
        </w:rPr>
        <w:t>in</w:t>
      </w:r>
      <w:r>
        <w:rPr>
          <w:color w:val="0C5D86"/>
          <w:spacing w:val="-6"/>
          <w:sz w:val="16"/>
        </w:rPr>
        <w:t> </w:t>
      </w:r>
      <w:r>
        <w:rPr>
          <w:color w:val="0C5D86"/>
          <w:sz w:val="16"/>
        </w:rPr>
        <w:t>each </w:t>
      </w:r>
      <w:r>
        <w:rPr>
          <w:color w:val="0C5D86"/>
          <w:spacing w:val="-2"/>
          <w:sz w:val="16"/>
        </w:rPr>
        <w:t>category.</w:t>
      </w:r>
    </w:p>
    <w:p>
      <w:pPr>
        <w:pStyle w:val="BodyText"/>
        <w:rPr>
          <w:sz w:val="16"/>
        </w:rPr>
      </w:pPr>
    </w:p>
    <w:p>
      <w:pPr>
        <w:pStyle w:val="BodyText"/>
        <w:spacing w:before="44"/>
        <w:rPr>
          <w:sz w:val="16"/>
        </w:rPr>
      </w:pPr>
    </w:p>
    <w:p>
      <w:pPr>
        <w:pStyle w:val="Heading6"/>
        <w:ind w:left="0"/>
      </w:pPr>
      <w:r>
        <w:rPr>
          <w:color w:val="105C84"/>
          <w:spacing w:val="-8"/>
        </w:rPr>
        <w:t>Behavioral Risk Factors</w:t>
      </w:r>
    </w:p>
    <w:p>
      <w:pPr>
        <w:pStyle w:val="BodyText"/>
        <w:spacing w:line="247" w:lineRule="auto" w:before="268"/>
        <w:ind w:right="448"/>
      </w:pPr>
      <w:r>
        <w:rPr>
          <w:color w:val="105C84"/>
        </w:rPr>
        <w:t>Evidence to select tobacco use as a priority area in Ontario County is supported through the data.</w:t>
      </w:r>
      <w:r>
        <w:rPr>
          <w:color w:val="105C84"/>
          <w:spacing w:val="40"/>
        </w:rPr>
        <w:t> </w:t>
      </w:r>
      <w:r>
        <w:rPr>
          <w:color w:val="105C84"/>
        </w:rPr>
        <w:t>Rates of tobacco use among adults in the county are one of the highest in the eight-county region</w:t>
      </w:r>
      <w:r>
        <w:rPr>
          <w:color w:val="105C84"/>
          <w:spacing w:val="80"/>
          <w:w w:val="150"/>
        </w:rPr>
        <w:t> </w:t>
      </w:r>
      <w:r>
        <w:rPr>
          <w:color w:val="105C84"/>
        </w:rPr>
        <w:t>(22%</w:t>
      </w:r>
      <w:r>
        <w:rPr>
          <w:color w:val="105C84"/>
          <w:spacing w:val="23"/>
        </w:rPr>
        <w:t> </w:t>
      </w:r>
      <w:r>
        <w:rPr>
          <w:color w:val="105C84"/>
        </w:rPr>
        <w:t>of</w:t>
      </w:r>
      <w:r>
        <w:rPr>
          <w:color w:val="105C84"/>
          <w:spacing w:val="23"/>
        </w:rPr>
        <w:t> </w:t>
      </w:r>
      <w:r>
        <w:rPr>
          <w:color w:val="105C84"/>
        </w:rPr>
        <w:t>adults)</w:t>
      </w:r>
      <w:r>
        <w:rPr>
          <w:color w:val="105C84"/>
          <w:spacing w:val="23"/>
        </w:rPr>
        <w:t> </w:t>
      </w:r>
      <w:r>
        <w:rPr>
          <w:color w:val="105C84"/>
        </w:rPr>
        <w:t>and</w:t>
      </w:r>
      <w:r>
        <w:rPr>
          <w:color w:val="105C84"/>
          <w:spacing w:val="23"/>
        </w:rPr>
        <w:t> </w:t>
      </w:r>
      <w:r>
        <w:rPr>
          <w:color w:val="105C84"/>
        </w:rPr>
        <w:t>are</w:t>
      </w:r>
      <w:r>
        <w:rPr>
          <w:color w:val="105C84"/>
          <w:spacing w:val="23"/>
        </w:rPr>
        <w:t> </w:t>
      </w:r>
      <w:r>
        <w:rPr>
          <w:color w:val="105C84"/>
        </w:rPr>
        <w:t>particularly</w:t>
      </w:r>
      <w:r>
        <w:rPr>
          <w:color w:val="105C84"/>
          <w:spacing w:val="23"/>
        </w:rPr>
        <w:t> </w:t>
      </w:r>
      <w:r>
        <w:rPr>
          <w:color w:val="105C84"/>
        </w:rPr>
        <w:t>high</w:t>
      </w:r>
      <w:r>
        <w:rPr>
          <w:color w:val="105C84"/>
          <w:spacing w:val="23"/>
        </w:rPr>
        <w:t> </w:t>
      </w:r>
      <w:r>
        <w:rPr>
          <w:color w:val="105C84"/>
        </w:rPr>
        <w:t>among</w:t>
      </w:r>
      <w:r>
        <w:rPr>
          <w:color w:val="105C84"/>
          <w:spacing w:val="23"/>
        </w:rPr>
        <w:t> </w:t>
      </w:r>
      <w:r>
        <w:rPr>
          <w:color w:val="105C84"/>
        </w:rPr>
        <w:t>the</w:t>
      </w:r>
      <w:r>
        <w:rPr>
          <w:color w:val="105C84"/>
          <w:spacing w:val="23"/>
        </w:rPr>
        <w:t> </w:t>
      </w:r>
      <w:r>
        <w:rPr>
          <w:color w:val="105C84"/>
        </w:rPr>
        <w:t>low-income</w:t>
      </w:r>
      <w:r>
        <w:rPr>
          <w:color w:val="105C84"/>
          <w:spacing w:val="23"/>
        </w:rPr>
        <w:t> </w:t>
      </w:r>
      <w:r>
        <w:rPr>
          <w:color w:val="105C84"/>
        </w:rPr>
        <w:t>population</w:t>
      </w:r>
      <w:r>
        <w:rPr>
          <w:color w:val="105C84"/>
          <w:spacing w:val="23"/>
        </w:rPr>
        <w:t> </w:t>
      </w:r>
      <w:r>
        <w:rPr>
          <w:color w:val="105C84"/>
        </w:rPr>
        <w:t>(45%)</w:t>
      </w:r>
      <w:r>
        <w:rPr>
          <w:color w:val="105C84"/>
          <w:spacing w:val="23"/>
        </w:rPr>
        <w:t> </w:t>
      </w:r>
      <w:r>
        <w:rPr>
          <w:color w:val="105C84"/>
        </w:rPr>
        <w:t>and</w:t>
      </w:r>
      <w:r>
        <w:rPr>
          <w:color w:val="105C84"/>
          <w:spacing w:val="23"/>
        </w:rPr>
        <w:t> </w:t>
      </w:r>
      <w:r>
        <w:rPr>
          <w:color w:val="105C84"/>
        </w:rPr>
        <w:t>those</w:t>
      </w:r>
      <w:r>
        <w:rPr>
          <w:color w:val="105C84"/>
          <w:spacing w:val="23"/>
        </w:rPr>
        <w:t> </w:t>
      </w:r>
      <w:r>
        <w:rPr>
          <w:color w:val="105C84"/>
        </w:rPr>
        <w:t>living with a disability (51%).</w:t>
      </w:r>
      <w:r>
        <w:rPr>
          <w:color w:val="105C84"/>
          <w:position w:val="7"/>
          <w:sz w:val="13"/>
        </w:rPr>
        <w:t>26</w:t>
      </w:r>
      <w:r>
        <w:rPr>
          <w:color w:val="105C84"/>
          <w:spacing w:val="35"/>
          <w:position w:val="7"/>
          <w:sz w:val="13"/>
        </w:rPr>
        <w:t> </w:t>
      </w:r>
      <w:r>
        <w:rPr>
          <w:color w:val="105C84"/>
        </w:rPr>
        <w:t>Reported use of e-cigarettes as well as other nicotine delivery systems (vape pens, JUUL, etc.) has been identified as an emerging issue in the county and surrounding areas, especially</w:t>
      </w:r>
      <w:r>
        <w:rPr>
          <w:color w:val="105C84"/>
          <w:spacing w:val="26"/>
        </w:rPr>
        <w:t> </w:t>
      </w:r>
      <w:r>
        <w:rPr>
          <w:color w:val="105C84"/>
        </w:rPr>
        <w:t>among</w:t>
      </w:r>
      <w:r>
        <w:rPr>
          <w:color w:val="105C84"/>
          <w:spacing w:val="26"/>
        </w:rPr>
        <w:t> </w:t>
      </w:r>
      <w:r>
        <w:rPr>
          <w:color w:val="105C84"/>
        </w:rPr>
        <w:t>younger</w:t>
      </w:r>
      <w:r>
        <w:rPr>
          <w:color w:val="105C84"/>
          <w:spacing w:val="26"/>
        </w:rPr>
        <w:t> </w:t>
      </w:r>
      <w:r>
        <w:rPr>
          <w:color w:val="105C84"/>
        </w:rPr>
        <w:t>adults.</w:t>
      </w:r>
      <w:r>
        <w:rPr>
          <w:color w:val="105C84"/>
          <w:spacing w:val="26"/>
        </w:rPr>
        <w:t> </w:t>
      </w:r>
      <w:r>
        <w:rPr>
          <w:color w:val="105C84"/>
        </w:rPr>
        <w:t>It</w:t>
      </w:r>
      <w:r>
        <w:rPr>
          <w:color w:val="105C84"/>
          <w:spacing w:val="26"/>
        </w:rPr>
        <w:t> </w:t>
      </w:r>
      <w:r>
        <w:rPr>
          <w:color w:val="105C84"/>
        </w:rPr>
        <w:t>is</w:t>
      </w:r>
      <w:r>
        <w:rPr>
          <w:color w:val="105C84"/>
          <w:spacing w:val="26"/>
        </w:rPr>
        <w:t> </w:t>
      </w:r>
      <w:r>
        <w:rPr>
          <w:color w:val="105C84"/>
        </w:rPr>
        <w:t>estimated</w:t>
      </w:r>
      <w:r>
        <w:rPr>
          <w:color w:val="105C84"/>
          <w:spacing w:val="26"/>
        </w:rPr>
        <w:t> </w:t>
      </w:r>
      <w:r>
        <w:rPr>
          <w:color w:val="105C84"/>
        </w:rPr>
        <w:t>that</w:t>
      </w:r>
      <w:r>
        <w:rPr>
          <w:color w:val="105C84"/>
          <w:spacing w:val="26"/>
        </w:rPr>
        <w:t> </w:t>
      </w:r>
      <w:r>
        <w:rPr>
          <w:color w:val="105C84"/>
        </w:rPr>
        <w:t>3%</w:t>
      </w:r>
      <w:r>
        <w:rPr>
          <w:color w:val="105C84"/>
          <w:spacing w:val="26"/>
        </w:rPr>
        <w:t> </w:t>
      </w:r>
      <w:r>
        <w:rPr>
          <w:color w:val="105C84"/>
        </w:rPr>
        <w:t>of</w:t>
      </w:r>
      <w:r>
        <w:rPr>
          <w:color w:val="105C84"/>
          <w:spacing w:val="26"/>
        </w:rPr>
        <w:t> </w:t>
      </w:r>
      <w:r>
        <w:rPr>
          <w:color w:val="105C84"/>
        </w:rPr>
        <w:t>residents</w:t>
      </w:r>
      <w:r>
        <w:rPr>
          <w:color w:val="105C84"/>
          <w:spacing w:val="26"/>
        </w:rPr>
        <w:t> </w:t>
      </w:r>
      <w:r>
        <w:rPr>
          <w:color w:val="105C84"/>
        </w:rPr>
        <w:t>are</w:t>
      </w:r>
      <w:r>
        <w:rPr>
          <w:color w:val="105C84"/>
          <w:spacing w:val="26"/>
        </w:rPr>
        <w:t> </w:t>
      </w:r>
      <w:r>
        <w:rPr>
          <w:color w:val="105C84"/>
        </w:rPr>
        <w:t>utilizing</w:t>
      </w:r>
      <w:r>
        <w:rPr>
          <w:color w:val="105C84"/>
          <w:spacing w:val="26"/>
        </w:rPr>
        <w:t> </w:t>
      </w:r>
      <w:r>
        <w:rPr>
          <w:color w:val="105C84"/>
        </w:rPr>
        <w:t>e-cigarettes,</w:t>
      </w:r>
      <w:r>
        <w:rPr>
          <w:color w:val="105C84"/>
        </w:rPr>
        <w:t> though in actuality the rates of use are likely much higher.</w:t>
      </w:r>
      <w:r>
        <w:rPr>
          <w:color w:val="105C84"/>
          <w:position w:val="7"/>
          <w:sz w:val="13"/>
        </w:rPr>
        <w:t>27</w:t>
      </w:r>
      <w:r>
        <w:rPr>
          <w:color w:val="105C84"/>
          <w:spacing w:val="30"/>
          <w:position w:val="7"/>
          <w:sz w:val="13"/>
        </w:rPr>
        <w:t> </w:t>
      </w:r>
      <w:r>
        <w:rPr>
          <w:color w:val="105C84"/>
        </w:rPr>
        <w:t>Data at this time are sparse, yet anecdotal evidence suggests an inverse relationship between cigarette and e-cigarette smoking. Many persons have switched from cigarette to e-cigarette usage under the impression that e-cigarettes are “safer.”</w:t>
      </w:r>
      <w:r>
        <w:rPr>
          <w:color w:val="105C84"/>
          <w:spacing w:val="80"/>
        </w:rPr>
        <w:t> </w:t>
      </w:r>
      <w:r>
        <w:rPr>
          <w:color w:val="105C84"/>
        </w:rPr>
        <w:t>This perception that vaping is harmless is erroneous. Nicotine is addictive and has an impairing effect on</w:t>
      </w:r>
      <w:r>
        <w:rPr>
          <w:color w:val="105C84"/>
          <w:spacing w:val="40"/>
        </w:rPr>
        <w:t> </w:t>
      </w:r>
      <w:r>
        <w:rPr>
          <w:color w:val="105C84"/>
        </w:rPr>
        <w:t>the</w:t>
      </w:r>
      <w:r>
        <w:rPr>
          <w:color w:val="105C84"/>
          <w:spacing w:val="40"/>
        </w:rPr>
        <w:t> </w:t>
      </w:r>
      <w:r>
        <w:rPr>
          <w:color w:val="105C84"/>
        </w:rPr>
        <w:t>underdeveloped</w:t>
      </w:r>
      <w:r>
        <w:rPr>
          <w:color w:val="105C84"/>
          <w:spacing w:val="40"/>
        </w:rPr>
        <w:t> </w:t>
      </w:r>
      <w:r>
        <w:rPr>
          <w:color w:val="105C84"/>
        </w:rPr>
        <w:t>child</w:t>
      </w:r>
      <w:r>
        <w:rPr>
          <w:color w:val="105C84"/>
          <w:spacing w:val="40"/>
        </w:rPr>
        <w:t> </w:t>
      </w:r>
      <w:r>
        <w:rPr>
          <w:color w:val="105C84"/>
        </w:rPr>
        <w:t>and</w:t>
      </w:r>
      <w:r>
        <w:rPr>
          <w:color w:val="105C84"/>
          <w:spacing w:val="40"/>
        </w:rPr>
        <w:t> </w:t>
      </w:r>
      <w:r>
        <w:rPr>
          <w:color w:val="105C84"/>
        </w:rPr>
        <w:t>adolescent</w:t>
      </w:r>
      <w:r>
        <w:rPr>
          <w:color w:val="105C84"/>
          <w:spacing w:val="40"/>
        </w:rPr>
        <w:t> </w:t>
      </w:r>
      <w:r>
        <w:rPr>
          <w:color w:val="105C84"/>
        </w:rPr>
        <w:t>brain.</w:t>
      </w:r>
      <w:r>
        <w:rPr>
          <w:color w:val="105C84"/>
          <w:spacing w:val="40"/>
        </w:rPr>
        <w:t> </w:t>
      </w:r>
      <w:r>
        <w:rPr>
          <w:color w:val="105C84"/>
        </w:rPr>
        <w:t>Unregulated</w:t>
      </w:r>
      <w:r>
        <w:rPr>
          <w:color w:val="105C84"/>
          <w:spacing w:val="40"/>
        </w:rPr>
        <w:t> </w:t>
      </w:r>
      <w:r>
        <w:rPr>
          <w:color w:val="105C84"/>
        </w:rPr>
        <w:t>child-friendly</w:t>
      </w:r>
      <w:r>
        <w:rPr>
          <w:color w:val="105C84"/>
          <w:spacing w:val="40"/>
        </w:rPr>
        <w:t> </w:t>
      </w:r>
      <w:r>
        <w:rPr>
          <w:color w:val="105C84"/>
        </w:rPr>
        <w:t>chemical</w:t>
      </w:r>
      <w:r>
        <w:rPr>
          <w:color w:val="105C84"/>
          <w:spacing w:val="40"/>
        </w:rPr>
        <w:t> </w:t>
      </w:r>
      <w:r>
        <w:rPr>
          <w:color w:val="105C84"/>
        </w:rPr>
        <w:t>flavorings and</w:t>
      </w:r>
      <w:r>
        <w:rPr>
          <w:color w:val="105C84"/>
          <w:spacing w:val="19"/>
        </w:rPr>
        <w:t> </w:t>
      </w:r>
      <w:r>
        <w:rPr>
          <w:color w:val="105C84"/>
        </w:rPr>
        <w:t>colorings</w:t>
      </w:r>
      <w:r>
        <w:rPr>
          <w:color w:val="105C84"/>
          <w:spacing w:val="19"/>
        </w:rPr>
        <w:t> </w:t>
      </w:r>
      <w:r>
        <w:rPr>
          <w:color w:val="105C84"/>
        </w:rPr>
        <w:t>may</w:t>
      </w:r>
      <w:r>
        <w:rPr>
          <w:color w:val="105C84"/>
          <w:spacing w:val="19"/>
        </w:rPr>
        <w:t> </w:t>
      </w:r>
      <w:r>
        <w:rPr>
          <w:color w:val="105C84"/>
        </w:rPr>
        <w:t>damage</w:t>
      </w:r>
      <w:r>
        <w:rPr>
          <w:color w:val="105C84"/>
          <w:spacing w:val="19"/>
        </w:rPr>
        <w:t> </w:t>
      </w:r>
      <w:r>
        <w:rPr>
          <w:color w:val="105C84"/>
        </w:rPr>
        <w:t>the</w:t>
      </w:r>
      <w:r>
        <w:rPr>
          <w:color w:val="105C84"/>
          <w:spacing w:val="19"/>
        </w:rPr>
        <w:t> </w:t>
      </w:r>
      <w:r>
        <w:rPr>
          <w:color w:val="105C84"/>
        </w:rPr>
        <w:t>oral</w:t>
      </w:r>
      <w:r>
        <w:rPr>
          <w:color w:val="105C84"/>
          <w:spacing w:val="19"/>
        </w:rPr>
        <w:t> </w:t>
      </w:r>
      <w:r>
        <w:rPr>
          <w:color w:val="105C84"/>
        </w:rPr>
        <w:t>mucosa</w:t>
      </w:r>
      <w:r>
        <w:rPr>
          <w:color w:val="105C84"/>
          <w:spacing w:val="19"/>
        </w:rPr>
        <w:t> </w:t>
      </w:r>
      <w:r>
        <w:rPr>
          <w:color w:val="105C84"/>
        </w:rPr>
        <w:t>and</w:t>
      </w:r>
      <w:r>
        <w:rPr>
          <w:color w:val="105C84"/>
          <w:spacing w:val="19"/>
        </w:rPr>
        <w:t> </w:t>
      </w:r>
      <w:r>
        <w:rPr>
          <w:color w:val="105C84"/>
        </w:rPr>
        <w:t>airway.</w:t>
      </w:r>
      <w:r>
        <w:rPr>
          <w:color w:val="105C84"/>
          <w:spacing w:val="19"/>
        </w:rPr>
        <w:t> </w:t>
      </w:r>
      <w:r>
        <w:rPr>
          <w:color w:val="105C84"/>
        </w:rPr>
        <w:t>In</w:t>
      </w:r>
      <w:r>
        <w:rPr>
          <w:color w:val="105C84"/>
          <w:spacing w:val="19"/>
        </w:rPr>
        <w:t> </w:t>
      </w:r>
      <w:r>
        <w:rPr>
          <w:color w:val="105C84"/>
        </w:rPr>
        <w:t>addition,</w:t>
      </w:r>
      <w:r>
        <w:rPr>
          <w:color w:val="105C84"/>
          <w:spacing w:val="19"/>
        </w:rPr>
        <w:t> </w:t>
      </w:r>
      <w:r>
        <w:rPr>
          <w:color w:val="105C84"/>
        </w:rPr>
        <w:t>usage</w:t>
      </w:r>
      <w:r>
        <w:rPr>
          <w:color w:val="105C84"/>
          <w:spacing w:val="19"/>
        </w:rPr>
        <w:t> </w:t>
      </w:r>
      <w:r>
        <w:rPr>
          <w:color w:val="105C84"/>
        </w:rPr>
        <w:t>of</w:t>
      </w:r>
      <w:r>
        <w:rPr>
          <w:color w:val="105C84"/>
          <w:spacing w:val="19"/>
        </w:rPr>
        <w:t> </w:t>
      </w:r>
      <w:r>
        <w:rPr>
          <w:color w:val="105C84"/>
        </w:rPr>
        <w:t>both</w:t>
      </w:r>
      <w:r>
        <w:rPr>
          <w:color w:val="105C84"/>
          <w:spacing w:val="19"/>
        </w:rPr>
        <w:t> </w:t>
      </w:r>
      <w:r>
        <w:rPr>
          <w:color w:val="105C84"/>
        </w:rPr>
        <w:t>items</w:t>
      </w:r>
      <w:r>
        <w:rPr>
          <w:color w:val="105C84"/>
          <w:spacing w:val="19"/>
        </w:rPr>
        <w:t> </w:t>
      </w:r>
      <w:r>
        <w:rPr>
          <w:color w:val="105C84"/>
        </w:rPr>
        <w:t>increases the likelihood for development of lung cancer, hypertension, risk of strokes and heart attacks, and premature mortality.</w:t>
      </w:r>
    </w:p>
    <w:p>
      <w:pPr>
        <w:pStyle w:val="BodyText"/>
        <w:spacing w:line="247" w:lineRule="auto" w:before="173"/>
        <w:ind w:right="557"/>
      </w:pPr>
      <w:r>
        <w:rPr>
          <w:color w:val="105C84"/>
        </w:rPr>
        <w:t>In</w:t>
      </w:r>
      <w:r>
        <w:rPr>
          <w:color w:val="105C84"/>
          <w:spacing w:val="25"/>
        </w:rPr>
        <w:t> </w:t>
      </w:r>
      <w:r>
        <w:rPr>
          <w:color w:val="105C84"/>
        </w:rPr>
        <w:t>Ontario</w:t>
      </w:r>
      <w:r>
        <w:rPr>
          <w:color w:val="105C84"/>
          <w:spacing w:val="25"/>
        </w:rPr>
        <w:t> </w:t>
      </w:r>
      <w:r>
        <w:rPr>
          <w:color w:val="105C84"/>
        </w:rPr>
        <w:t>County,</w:t>
      </w:r>
      <w:r>
        <w:rPr>
          <w:color w:val="105C84"/>
          <w:spacing w:val="25"/>
        </w:rPr>
        <w:t> </w:t>
      </w:r>
      <w:r>
        <w:rPr>
          <w:color w:val="105C84"/>
        </w:rPr>
        <w:t>it</w:t>
      </w:r>
      <w:r>
        <w:rPr>
          <w:color w:val="105C84"/>
          <w:spacing w:val="25"/>
        </w:rPr>
        <w:t> </w:t>
      </w:r>
      <w:r>
        <w:rPr>
          <w:color w:val="105C84"/>
        </w:rPr>
        <w:t>is</w:t>
      </w:r>
      <w:r>
        <w:rPr>
          <w:color w:val="105C84"/>
          <w:spacing w:val="25"/>
        </w:rPr>
        <w:t> </w:t>
      </w:r>
      <w:r>
        <w:rPr>
          <w:color w:val="105C84"/>
        </w:rPr>
        <w:t>estimated</w:t>
      </w:r>
      <w:r>
        <w:rPr>
          <w:color w:val="105C84"/>
          <w:spacing w:val="25"/>
        </w:rPr>
        <w:t> </w:t>
      </w:r>
      <w:r>
        <w:rPr>
          <w:color w:val="105C84"/>
        </w:rPr>
        <w:t>that</w:t>
      </w:r>
      <w:r>
        <w:rPr>
          <w:color w:val="105C84"/>
          <w:spacing w:val="25"/>
        </w:rPr>
        <w:t> </w:t>
      </w:r>
      <w:r>
        <w:rPr>
          <w:color w:val="105C84"/>
        </w:rPr>
        <w:t>32%</w:t>
      </w:r>
      <w:r>
        <w:rPr>
          <w:color w:val="105C84"/>
          <w:position w:val="7"/>
          <w:sz w:val="13"/>
        </w:rPr>
        <w:t>28</w:t>
      </w:r>
      <w:r>
        <w:rPr>
          <w:color w:val="105C84"/>
          <w:spacing w:val="40"/>
          <w:position w:val="7"/>
          <w:sz w:val="13"/>
        </w:rPr>
        <w:t> </w:t>
      </w:r>
      <w:r>
        <w:rPr>
          <w:color w:val="105C84"/>
        </w:rPr>
        <w:t>of</w:t>
      </w:r>
      <w:r>
        <w:rPr>
          <w:color w:val="105C84"/>
          <w:spacing w:val="25"/>
        </w:rPr>
        <w:t> </w:t>
      </w:r>
      <w:r>
        <w:rPr>
          <w:color w:val="105C84"/>
        </w:rPr>
        <w:t>adults</w:t>
      </w:r>
      <w:r>
        <w:rPr>
          <w:color w:val="105C84"/>
          <w:spacing w:val="25"/>
        </w:rPr>
        <w:t> </w:t>
      </w:r>
      <w:r>
        <w:rPr>
          <w:color w:val="105C84"/>
        </w:rPr>
        <w:t>have</w:t>
      </w:r>
      <w:r>
        <w:rPr>
          <w:color w:val="105C84"/>
          <w:spacing w:val="25"/>
        </w:rPr>
        <w:t> </w:t>
      </w:r>
      <w:r>
        <w:rPr>
          <w:color w:val="105C84"/>
        </w:rPr>
        <w:t>been</w:t>
      </w:r>
      <w:r>
        <w:rPr>
          <w:color w:val="105C84"/>
          <w:spacing w:val="25"/>
        </w:rPr>
        <w:t> </w:t>
      </w:r>
      <w:r>
        <w:rPr>
          <w:color w:val="105C84"/>
        </w:rPr>
        <w:t>diagnosed</w:t>
      </w:r>
      <w:r>
        <w:rPr>
          <w:color w:val="105C84"/>
          <w:spacing w:val="25"/>
        </w:rPr>
        <w:t> </w:t>
      </w:r>
      <w:r>
        <w:rPr>
          <w:color w:val="105C84"/>
        </w:rPr>
        <w:t>with</w:t>
      </w:r>
      <w:r>
        <w:rPr>
          <w:color w:val="105C84"/>
          <w:spacing w:val="25"/>
        </w:rPr>
        <w:t> </w:t>
      </w:r>
      <w:r>
        <w:rPr>
          <w:color w:val="105C84"/>
        </w:rPr>
        <w:t>hypertension, 79%</w:t>
      </w:r>
      <w:r>
        <w:rPr>
          <w:color w:val="105C84"/>
          <w:position w:val="7"/>
          <w:sz w:val="13"/>
        </w:rPr>
        <w:t>29</w:t>
      </w:r>
      <w:r>
        <w:rPr>
          <w:color w:val="105C84"/>
          <w:spacing w:val="80"/>
          <w:w w:val="150"/>
          <w:position w:val="7"/>
          <w:sz w:val="13"/>
        </w:rPr>
        <w:t> </w:t>
      </w:r>
      <w:r>
        <w:rPr>
          <w:color w:val="105C84"/>
        </w:rPr>
        <w:t>of</w:t>
      </w:r>
      <w:r>
        <w:rPr>
          <w:color w:val="105C84"/>
          <w:spacing w:val="18"/>
        </w:rPr>
        <w:t> </w:t>
      </w:r>
      <w:r>
        <w:rPr>
          <w:color w:val="105C84"/>
        </w:rPr>
        <w:t>whom</w:t>
      </w:r>
      <w:r>
        <w:rPr>
          <w:color w:val="105C84"/>
          <w:spacing w:val="18"/>
        </w:rPr>
        <w:t> </w:t>
      </w:r>
      <w:r>
        <w:rPr>
          <w:color w:val="105C84"/>
        </w:rPr>
        <w:t>are</w:t>
      </w:r>
      <w:r>
        <w:rPr>
          <w:color w:val="105C84"/>
          <w:spacing w:val="18"/>
        </w:rPr>
        <w:t> </w:t>
      </w:r>
      <w:r>
        <w:rPr>
          <w:color w:val="105C84"/>
        </w:rPr>
        <w:t>in</w:t>
      </w:r>
      <w:r>
        <w:rPr>
          <w:color w:val="105C84"/>
          <w:spacing w:val="18"/>
        </w:rPr>
        <w:t> </w:t>
      </w:r>
      <w:r>
        <w:rPr>
          <w:color w:val="105C84"/>
        </w:rPr>
        <w:t>control</w:t>
      </w:r>
      <w:r>
        <w:rPr>
          <w:color w:val="105C84"/>
          <w:spacing w:val="18"/>
        </w:rPr>
        <w:t> </w:t>
      </w:r>
      <w:r>
        <w:rPr>
          <w:color w:val="105C84"/>
        </w:rPr>
        <w:t>of</w:t>
      </w:r>
      <w:r>
        <w:rPr>
          <w:color w:val="105C84"/>
          <w:spacing w:val="18"/>
        </w:rPr>
        <w:t> </w:t>
      </w:r>
      <w:r>
        <w:rPr>
          <w:color w:val="105C84"/>
        </w:rPr>
        <w:t>their</w:t>
      </w:r>
      <w:r>
        <w:rPr>
          <w:color w:val="105C84"/>
          <w:spacing w:val="18"/>
        </w:rPr>
        <w:t> </w:t>
      </w:r>
      <w:r>
        <w:rPr>
          <w:color w:val="105C84"/>
        </w:rPr>
        <w:t>blood</w:t>
      </w:r>
      <w:r>
        <w:rPr>
          <w:color w:val="105C84"/>
          <w:spacing w:val="18"/>
        </w:rPr>
        <w:t> </w:t>
      </w:r>
      <w:r>
        <w:rPr>
          <w:color w:val="105C84"/>
        </w:rPr>
        <w:t>pressure.</w:t>
      </w:r>
      <w:r>
        <w:rPr>
          <w:color w:val="105C84"/>
          <w:spacing w:val="18"/>
        </w:rPr>
        <w:t> </w:t>
      </w:r>
      <w:r>
        <w:rPr>
          <w:color w:val="105C84"/>
        </w:rPr>
        <w:t>Control</w:t>
      </w:r>
      <w:r>
        <w:rPr>
          <w:color w:val="105C84"/>
          <w:spacing w:val="18"/>
        </w:rPr>
        <w:t> </w:t>
      </w:r>
      <w:r>
        <w:rPr>
          <w:color w:val="105C84"/>
        </w:rPr>
        <w:t>rate</w:t>
      </w:r>
      <w:r>
        <w:rPr>
          <w:color w:val="105C84"/>
          <w:spacing w:val="18"/>
        </w:rPr>
        <w:t> </w:t>
      </w:r>
      <w:r>
        <w:rPr>
          <w:color w:val="105C84"/>
        </w:rPr>
        <w:t>varies</w:t>
      </w:r>
      <w:r>
        <w:rPr>
          <w:color w:val="105C84"/>
          <w:spacing w:val="18"/>
        </w:rPr>
        <w:t> </w:t>
      </w:r>
      <w:r>
        <w:rPr>
          <w:color w:val="105C84"/>
        </w:rPr>
        <w:t>by</w:t>
      </w:r>
      <w:r>
        <w:rPr>
          <w:color w:val="105C84"/>
          <w:spacing w:val="18"/>
        </w:rPr>
        <w:t> </w:t>
      </w:r>
      <w:r>
        <w:rPr>
          <w:color w:val="105C84"/>
        </w:rPr>
        <w:t>income</w:t>
      </w:r>
      <w:r>
        <w:rPr>
          <w:color w:val="105C84"/>
          <w:spacing w:val="18"/>
        </w:rPr>
        <w:t> </w:t>
      </w:r>
      <w:r>
        <w:rPr>
          <w:color w:val="105C84"/>
        </w:rPr>
        <w:t>level</w:t>
      </w:r>
      <w:r>
        <w:rPr>
          <w:color w:val="105C84"/>
          <w:spacing w:val="18"/>
        </w:rPr>
        <w:t> </w:t>
      </w:r>
      <w:r>
        <w:rPr>
          <w:color w:val="105C84"/>
        </w:rPr>
        <w:t>(Figure 27). Reducing the disparity by socioeconomic status requires engaging patient populations through</w:t>
      </w:r>
      <w:r>
        <w:rPr>
          <w:color w:val="105C84"/>
          <w:spacing w:val="40"/>
        </w:rPr>
        <w:t> </w:t>
      </w:r>
      <w:r>
        <w:rPr>
          <w:color w:val="105C84"/>
        </w:rPr>
        <w:t>various methods including providing education about blood pressure medication adherence,</w:t>
      </w:r>
      <w:r>
        <w:rPr>
          <w:color w:val="105C84"/>
          <w:spacing w:val="80"/>
        </w:rPr>
        <w:t> </w:t>
      </w:r>
      <w:r>
        <w:rPr>
          <w:color w:val="105C84"/>
        </w:rPr>
        <w:t>promoting physical activity, mitigating barriers to healthy eating, etc. Low income patients are less</w:t>
      </w:r>
      <w:r>
        <w:rPr>
          <w:color w:val="105C84"/>
          <w:spacing w:val="40"/>
        </w:rPr>
        <w:t> </w:t>
      </w:r>
      <w:r>
        <w:rPr>
          <w:color w:val="105C84"/>
        </w:rPr>
        <w:t>able to afford medications. Routine use of inexpensive, generic medications covered by insurance</w:t>
      </w:r>
    </w:p>
    <w:p>
      <w:pPr>
        <w:pStyle w:val="BodyText"/>
        <w:spacing w:before="247"/>
      </w:pPr>
    </w:p>
    <w:p>
      <w:pPr>
        <w:pStyle w:val="ListParagraph"/>
        <w:numPr>
          <w:ilvl w:val="0"/>
          <w:numId w:val="20"/>
        </w:numPr>
        <w:tabs>
          <w:tab w:pos="217" w:val="left" w:leader="none"/>
        </w:tabs>
        <w:spacing w:line="240" w:lineRule="auto" w:before="0" w:after="0"/>
        <w:ind w:left="217" w:right="0" w:hanging="217"/>
        <w:jc w:val="left"/>
        <w:rPr>
          <w:sz w:val="14"/>
        </w:rPr>
      </w:pPr>
      <w:r>
        <w:rPr>
          <w:color w:val="636466"/>
          <w:spacing w:val="-2"/>
          <w:sz w:val="14"/>
        </w:rPr>
        <w:t>Data</w:t>
      </w:r>
      <w:r>
        <w:rPr>
          <w:color w:val="636466"/>
          <w:spacing w:val="-1"/>
          <w:sz w:val="14"/>
        </w:rPr>
        <w:t> </w:t>
      </w:r>
      <w:r>
        <w:rPr>
          <w:color w:val="636466"/>
          <w:spacing w:val="-2"/>
          <w:sz w:val="14"/>
        </w:rPr>
        <w:t>are</w:t>
      </w:r>
      <w:r>
        <w:rPr>
          <w:color w:val="636466"/>
          <w:spacing w:val="-1"/>
          <w:sz w:val="14"/>
        </w:rPr>
        <w:t> </w:t>
      </w:r>
      <w:r>
        <w:rPr>
          <w:color w:val="636466"/>
          <w:spacing w:val="-2"/>
          <w:sz w:val="14"/>
        </w:rPr>
        <w:t>unreliable</w:t>
      </w:r>
      <w:r>
        <w:rPr>
          <w:color w:val="636466"/>
          <w:spacing w:val="-1"/>
          <w:sz w:val="14"/>
        </w:rPr>
        <w:t> </w:t>
      </w:r>
      <w:r>
        <w:rPr>
          <w:color w:val="636466"/>
          <w:spacing w:val="-2"/>
          <w:sz w:val="14"/>
        </w:rPr>
        <w:t>due</w:t>
      </w:r>
      <w:r>
        <w:rPr>
          <w:color w:val="636466"/>
          <w:sz w:val="14"/>
        </w:rPr>
        <w:t> </w:t>
      </w:r>
      <w:r>
        <w:rPr>
          <w:color w:val="636466"/>
          <w:spacing w:val="-2"/>
          <w:sz w:val="14"/>
        </w:rPr>
        <w:t>to</w:t>
      </w:r>
      <w:r>
        <w:rPr>
          <w:color w:val="636466"/>
          <w:spacing w:val="-1"/>
          <w:sz w:val="14"/>
        </w:rPr>
        <w:t> </w:t>
      </w:r>
      <w:r>
        <w:rPr>
          <w:color w:val="636466"/>
          <w:spacing w:val="-2"/>
          <w:sz w:val="14"/>
        </w:rPr>
        <w:t>large</w:t>
      </w:r>
      <w:r>
        <w:rPr>
          <w:color w:val="636466"/>
          <w:spacing w:val="-1"/>
          <w:sz w:val="14"/>
        </w:rPr>
        <w:t> </w:t>
      </w:r>
      <w:r>
        <w:rPr>
          <w:color w:val="636466"/>
          <w:spacing w:val="-2"/>
          <w:sz w:val="14"/>
        </w:rPr>
        <w:t>standard</w:t>
      </w:r>
      <w:r>
        <w:rPr>
          <w:color w:val="636466"/>
          <w:spacing w:val="-1"/>
          <w:sz w:val="14"/>
        </w:rPr>
        <w:t> </w:t>
      </w:r>
      <w:r>
        <w:rPr>
          <w:color w:val="636466"/>
          <w:spacing w:val="-2"/>
          <w:sz w:val="14"/>
        </w:rPr>
        <w:t>error.</w:t>
      </w:r>
      <w:r>
        <w:rPr>
          <w:color w:val="636466"/>
          <w:sz w:val="14"/>
        </w:rPr>
        <w:t> </w:t>
      </w:r>
      <w:r>
        <w:rPr>
          <w:color w:val="636466"/>
          <w:spacing w:val="-2"/>
          <w:sz w:val="14"/>
        </w:rPr>
        <w:t>Source:</w:t>
      </w:r>
      <w:r>
        <w:rPr>
          <w:color w:val="636466"/>
          <w:spacing w:val="-1"/>
          <w:sz w:val="14"/>
        </w:rPr>
        <w:t> </w:t>
      </w:r>
      <w:r>
        <w:rPr>
          <w:color w:val="636466"/>
          <w:spacing w:val="-2"/>
          <w:sz w:val="14"/>
        </w:rPr>
        <w:t>Behavioral</w:t>
      </w:r>
      <w:r>
        <w:rPr>
          <w:color w:val="636466"/>
          <w:spacing w:val="-1"/>
          <w:sz w:val="14"/>
        </w:rPr>
        <w:t> </w:t>
      </w:r>
      <w:r>
        <w:rPr>
          <w:color w:val="636466"/>
          <w:spacing w:val="-2"/>
          <w:sz w:val="14"/>
        </w:rPr>
        <w:t>Risk</w:t>
      </w:r>
      <w:r>
        <w:rPr>
          <w:color w:val="636466"/>
          <w:spacing w:val="-1"/>
          <w:sz w:val="14"/>
        </w:rPr>
        <w:t> </w:t>
      </w:r>
      <w:r>
        <w:rPr>
          <w:color w:val="636466"/>
          <w:spacing w:val="-2"/>
          <w:sz w:val="14"/>
        </w:rPr>
        <w:t>Factor</w:t>
      </w:r>
      <w:r>
        <w:rPr>
          <w:color w:val="636466"/>
          <w:sz w:val="14"/>
        </w:rPr>
        <w:t> </w:t>
      </w:r>
      <w:r>
        <w:rPr>
          <w:color w:val="636466"/>
          <w:spacing w:val="-2"/>
          <w:sz w:val="14"/>
        </w:rPr>
        <w:t>Surveillance</w:t>
      </w:r>
      <w:r>
        <w:rPr>
          <w:color w:val="636466"/>
          <w:spacing w:val="-1"/>
          <w:sz w:val="14"/>
        </w:rPr>
        <w:t> </w:t>
      </w:r>
      <w:r>
        <w:rPr>
          <w:color w:val="636466"/>
          <w:spacing w:val="-2"/>
          <w:sz w:val="14"/>
        </w:rPr>
        <w:t>System</w:t>
      </w:r>
      <w:r>
        <w:rPr>
          <w:color w:val="636466"/>
          <w:spacing w:val="-1"/>
          <w:sz w:val="14"/>
        </w:rPr>
        <w:t> </w:t>
      </w:r>
      <w:r>
        <w:rPr>
          <w:color w:val="636466"/>
          <w:spacing w:val="-2"/>
          <w:sz w:val="14"/>
        </w:rPr>
        <w:t>2013-2014.</w:t>
      </w:r>
    </w:p>
    <w:p>
      <w:pPr>
        <w:pStyle w:val="ListParagraph"/>
        <w:numPr>
          <w:ilvl w:val="0"/>
          <w:numId w:val="20"/>
        </w:numPr>
        <w:tabs>
          <w:tab w:pos="217" w:val="left" w:leader="none"/>
        </w:tabs>
        <w:spacing w:line="240" w:lineRule="auto" w:before="89" w:after="0"/>
        <w:ind w:left="217" w:right="0" w:hanging="217"/>
        <w:jc w:val="left"/>
        <w:rPr>
          <w:sz w:val="14"/>
        </w:rPr>
      </w:pPr>
      <w:r>
        <w:rPr>
          <w:color w:val="636466"/>
          <w:spacing w:val="-2"/>
          <w:sz w:val="14"/>
        </w:rPr>
        <w:t>Source:</w:t>
      </w:r>
      <w:r>
        <w:rPr>
          <w:color w:val="636466"/>
          <w:spacing w:val="-8"/>
          <w:sz w:val="14"/>
        </w:rPr>
        <w:t> </w:t>
      </w:r>
      <w:r>
        <w:rPr>
          <w:color w:val="636466"/>
          <w:spacing w:val="-2"/>
          <w:sz w:val="14"/>
        </w:rPr>
        <w:t>Behavioral</w:t>
      </w:r>
      <w:r>
        <w:rPr>
          <w:color w:val="636466"/>
          <w:spacing w:val="-7"/>
          <w:sz w:val="14"/>
        </w:rPr>
        <w:t> </w:t>
      </w:r>
      <w:r>
        <w:rPr>
          <w:color w:val="636466"/>
          <w:spacing w:val="-2"/>
          <w:sz w:val="14"/>
        </w:rPr>
        <w:t>Risk</w:t>
      </w:r>
      <w:r>
        <w:rPr>
          <w:color w:val="636466"/>
          <w:spacing w:val="-7"/>
          <w:sz w:val="14"/>
        </w:rPr>
        <w:t> </w:t>
      </w:r>
      <w:r>
        <w:rPr>
          <w:color w:val="636466"/>
          <w:spacing w:val="-2"/>
          <w:sz w:val="14"/>
        </w:rPr>
        <w:t>Factor</w:t>
      </w:r>
      <w:r>
        <w:rPr>
          <w:color w:val="636466"/>
          <w:spacing w:val="-7"/>
          <w:sz w:val="14"/>
        </w:rPr>
        <w:t> </w:t>
      </w:r>
      <w:r>
        <w:rPr>
          <w:color w:val="636466"/>
          <w:spacing w:val="-2"/>
          <w:sz w:val="14"/>
        </w:rPr>
        <w:t>Surveillance</w:t>
      </w:r>
      <w:r>
        <w:rPr>
          <w:color w:val="636466"/>
          <w:spacing w:val="-7"/>
          <w:sz w:val="14"/>
        </w:rPr>
        <w:t> </w:t>
      </w:r>
      <w:r>
        <w:rPr>
          <w:color w:val="636466"/>
          <w:spacing w:val="-2"/>
          <w:sz w:val="14"/>
        </w:rPr>
        <w:t>System</w:t>
      </w:r>
      <w:r>
        <w:rPr>
          <w:color w:val="636466"/>
          <w:spacing w:val="-7"/>
          <w:sz w:val="14"/>
        </w:rPr>
        <w:t> </w:t>
      </w:r>
      <w:r>
        <w:rPr>
          <w:color w:val="636466"/>
          <w:spacing w:val="-2"/>
          <w:sz w:val="14"/>
        </w:rPr>
        <w:t>2016.</w:t>
      </w:r>
    </w:p>
    <w:p>
      <w:pPr>
        <w:pStyle w:val="ListParagraph"/>
        <w:numPr>
          <w:ilvl w:val="0"/>
          <w:numId w:val="20"/>
        </w:numPr>
        <w:tabs>
          <w:tab w:pos="217" w:val="left" w:leader="none"/>
        </w:tabs>
        <w:spacing w:line="144" w:lineRule="exact" w:before="89" w:after="0"/>
        <w:ind w:left="217" w:right="0" w:hanging="217"/>
        <w:jc w:val="left"/>
        <w:rPr>
          <w:sz w:val="14"/>
        </w:rPr>
      </w:pPr>
      <w:r>
        <w:rPr>
          <w:color w:val="636466"/>
          <w:spacing w:val="-2"/>
          <w:sz w:val="14"/>
        </w:rPr>
        <w:t>Source:</w:t>
      </w:r>
      <w:r>
        <w:rPr>
          <w:color w:val="636466"/>
          <w:spacing w:val="-8"/>
          <w:sz w:val="14"/>
        </w:rPr>
        <w:t> </w:t>
      </w:r>
      <w:r>
        <w:rPr>
          <w:color w:val="636466"/>
          <w:spacing w:val="-2"/>
          <w:sz w:val="14"/>
        </w:rPr>
        <w:t>Behavioral</w:t>
      </w:r>
      <w:r>
        <w:rPr>
          <w:color w:val="636466"/>
          <w:spacing w:val="-7"/>
          <w:sz w:val="14"/>
        </w:rPr>
        <w:t> </w:t>
      </w:r>
      <w:r>
        <w:rPr>
          <w:color w:val="636466"/>
          <w:spacing w:val="-2"/>
          <w:sz w:val="14"/>
        </w:rPr>
        <w:t>Risk</w:t>
      </w:r>
      <w:r>
        <w:rPr>
          <w:color w:val="636466"/>
          <w:spacing w:val="-7"/>
          <w:sz w:val="14"/>
        </w:rPr>
        <w:t> </w:t>
      </w:r>
      <w:r>
        <w:rPr>
          <w:color w:val="636466"/>
          <w:spacing w:val="-2"/>
          <w:sz w:val="14"/>
        </w:rPr>
        <w:t>Factor</w:t>
      </w:r>
      <w:r>
        <w:rPr>
          <w:color w:val="636466"/>
          <w:spacing w:val="-7"/>
          <w:sz w:val="14"/>
        </w:rPr>
        <w:t> </w:t>
      </w:r>
      <w:r>
        <w:rPr>
          <w:color w:val="636466"/>
          <w:spacing w:val="-2"/>
          <w:sz w:val="14"/>
        </w:rPr>
        <w:t>Surveillance</w:t>
      </w:r>
      <w:r>
        <w:rPr>
          <w:color w:val="636466"/>
          <w:spacing w:val="-7"/>
          <w:sz w:val="14"/>
        </w:rPr>
        <w:t> </w:t>
      </w:r>
      <w:r>
        <w:rPr>
          <w:color w:val="636466"/>
          <w:spacing w:val="-2"/>
          <w:sz w:val="14"/>
        </w:rPr>
        <w:t>System</w:t>
      </w:r>
      <w:r>
        <w:rPr>
          <w:color w:val="636466"/>
          <w:spacing w:val="-7"/>
          <w:sz w:val="14"/>
        </w:rPr>
        <w:t> </w:t>
      </w:r>
      <w:r>
        <w:rPr>
          <w:color w:val="636466"/>
          <w:spacing w:val="-2"/>
          <w:sz w:val="14"/>
        </w:rPr>
        <w:t>2016.</w:t>
      </w:r>
    </w:p>
    <w:p>
      <w:pPr>
        <w:pStyle w:val="ListParagraph"/>
        <w:numPr>
          <w:ilvl w:val="0"/>
          <w:numId w:val="20"/>
        </w:numPr>
        <w:tabs>
          <w:tab w:pos="217" w:val="left" w:leader="none"/>
          <w:tab w:pos="10135" w:val="right" w:leader="none"/>
        </w:tabs>
        <w:spacing w:line="282" w:lineRule="exact" w:before="0" w:after="0"/>
        <w:ind w:left="217" w:right="0" w:hanging="217"/>
        <w:jc w:val="left"/>
        <w:rPr>
          <w:b/>
          <w:position w:val="1"/>
          <w:sz w:val="26"/>
        </w:rPr>
      </w:pPr>
      <w:r>
        <w:rPr>
          <w:color w:val="636466"/>
          <w:sz w:val="14"/>
        </w:rPr>
        <w:t>Source:</w:t>
      </w:r>
      <w:r>
        <w:rPr>
          <w:color w:val="636466"/>
          <w:spacing w:val="-10"/>
          <w:sz w:val="14"/>
        </w:rPr>
        <w:t> </w:t>
      </w:r>
      <w:r>
        <w:rPr>
          <w:color w:val="636466"/>
          <w:sz w:val="14"/>
        </w:rPr>
        <w:t>Common</w:t>
      </w:r>
      <w:r>
        <w:rPr>
          <w:color w:val="636466"/>
          <w:spacing w:val="-9"/>
          <w:sz w:val="14"/>
        </w:rPr>
        <w:t> </w:t>
      </w:r>
      <w:r>
        <w:rPr>
          <w:color w:val="636466"/>
          <w:sz w:val="14"/>
        </w:rPr>
        <w:t>Ground</w:t>
      </w:r>
      <w:r>
        <w:rPr>
          <w:color w:val="636466"/>
          <w:spacing w:val="-9"/>
          <w:sz w:val="14"/>
        </w:rPr>
        <w:t> </w:t>
      </w:r>
      <w:r>
        <w:rPr>
          <w:color w:val="636466"/>
          <w:sz w:val="14"/>
        </w:rPr>
        <w:t>Health</w:t>
      </w:r>
      <w:r>
        <w:rPr>
          <w:color w:val="636466"/>
          <w:spacing w:val="-10"/>
          <w:sz w:val="14"/>
        </w:rPr>
        <w:t> </w:t>
      </w:r>
      <w:r>
        <w:rPr>
          <w:color w:val="636466"/>
          <w:sz w:val="14"/>
        </w:rPr>
        <w:t>High</w:t>
      </w:r>
      <w:r>
        <w:rPr>
          <w:color w:val="636466"/>
          <w:spacing w:val="-9"/>
          <w:sz w:val="14"/>
        </w:rPr>
        <w:t> </w:t>
      </w:r>
      <w:r>
        <w:rPr>
          <w:color w:val="636466"/>
          <w:sz w:val="14"/>
        </w:rPr>
        <w:t>Blood</w:t>
      </w:r>
      <w:r>
        <w:rPr>
          <w:color w:val="636466"/>
          <w:spacing w:val="-9"/>
          <w:sz w:val="14"/>
        </w:rPr>
        <w:t> </w:t>
      </w:r>
      <w:r>
        <w:rPr>
          <w:color w:val="636466"/>
          <w:sz w:val="14"/>
        </w:rPr>
        <w:t>Pressure</w:t>
      </w:r>
      <w:r>
        <w:rPr>
          <w:color w:val="636466"/>
          <w:spacing w:val="-10"/>
          <w:sz w:val="14"/>
        </w:rPr>
        <w:t> </w:t>
      </w:r>
      <w:r>
        <w:rPr>
          <w:color w:val="636466"/>
          <w:sz w:val="14"/>
        </w:rPr>
        <w:t>Registry,</w:t>
      </w:r>
      <w:r>
        <w:rPr>
          <w:color w:val="636466"/>
          <w:spacing w:val="-9"/>
          <w:sz w:val="14"/>
        </w:rPr>
        <w:t> </w:t>
      </w:r>
      <w:r>
        <w:rPr>
          <w:color w:val="636466"/>
          <w:sz w:val="14"/>
        </w:rPr>
        <w:t>June</w:t>
      </w:r>
      <w:r>
        <w:rPr>
          <w:color w:val="636466"/>
          <w:spacing w:val="-9"/>
          <w:sz w:val="14"/>
        </w:rPr>
        <w:t> </w:t>
      </w:r>
      <w:r>
        <w:rPr>
          <w:color w:val="636466"/>
          <w:spacing w:val="-2"/>
          <w:sz w:val="14"/>
        </w:rPr>
        <w:t>2018.</w:t>
      </w:r>
      <w:r>
        <w:rPr>
          <w:rFonts w:ascii="Times New Roman"/>
          <w:color w:val="636466"/>
          <w:sz w:val="14"/>
        </w:rPr>
        <w:tab/>
      </w:r>
      <w:r>
        <w:rPr>
          <w:b/>
          <w:color w:val="939598"/>
          <w:spacing w:val="-5"/>
          <w:position w:val="1"/>
          <w:sz w:val="26"/>
        </w:rPr>
        <w:t>60</w:t>
      </w:r>
    </w:p>
    <w:p>
      <w:pPr>
        <w:pStyle w:val="ListParagraph"/>
        <w:spacing w:after="0" w:line="282" w:lineRule="exact"/>
        <w:jc w:val="left"/>
        <w:rPr>
          <w:b/>
          <w:position w:val="1"/>
          <w:sz w:val="26"/>
        </w:rPr>
        <w:sectPr>
          <w:type w:val="continuous"/>
          <w:pgSz w:w="24480" w:h="15840" w:orient="landscape"/>
          <w:pgMar w:header="0" w:footer="0" w:top="0" w:bottom="280" w:left="0" w:right="720"/>
          <w:cols w:num="2" w:equalWidth="0">
            <w:col w:w="11162" w:space="2158"/>
            <w:col w:w="10440"/>
          </w:cols>
        </w:sectPr>
      </w:pPr>
    </w:p>
    <w:p>
      <w:pPr>
        <w:pStyle w:val="BodyText"/>
        <w:rPr>
          <w:b/>
        </w:rPr>
      </w:pPr>
    </w:p>
    <w:p>
      <w:pPr>
        <w:pStyle w:val="BodyText"/>
        <w:spacing w:before="83"/>
        <w:rPr>
          <w:b/>
        </w:rPr>
      </w:pPr>
    </w:p>
    <w:p>
      <w:pPr>
        <w:pStyle w:val="BodyText"/>
        <w:spacing w:line="247" w:lineRule="auto"/>
        <w:ind w:left="1080"/>
      </w:pPr>
      <w:r>
        <w:rPr>
          <w:color w:val="105C84"/>
        </w:rPr>
        <w:t>is a strategy local providers must be encouraged to embrace. Additionally, providing education,</w:t>
      </w:r>
      <w:r>
        <w:rPr>
          <w:color w:val="105C84"/>
          <w:spacing w:val="80"/>
        </w:rPr>
        <w:t> </w:t>
      </w:r>
      <w:r>
        <w:rPr>
          <w:color w:val="105C84"/>
        </w:rPr>
        <w:t>encouragement and evidence-based assistance in smoking cessation has the potential to improve hypertension control among all populations.</w:t>
      </w:r>
    </w:p>
    <w:p>
      <w:pPr>
        <w:pStyle w:val="BodyText"/>
        <w:spacing w:before="18"/>
      </w:pPr>
    </w:p>
    <w:p>
      <w:pPr>
        <w:pStyle w:val="Heading6"/>
      </w:pPr>
      <w:r>
        <w:rPr>
          <w:color w:val="105C84"/>
          <w:spacing w:val="-4"/>
        </w:rPr>
        <w:t>FIGURE</w:t>
      </w:r>
      <w:r>
        <w:rPr>
          <w:color w:val="105C84"/>
          <w:spacing w:val="-8"/>
        </w:rPr>
        <w:t> </w:t>
      </w:r>
      <w:r>
        <w:rPr>
          <w:color w:val="105C84"/>
          <w:spacing w:val="-4"/>
        </w:rPr>
        <w:t>27:</w:t>
      </w:r>
      <w:r>
        <w:rPr>
          <w:color w:val="105C84"/>
          <w:spacing w:val="-8"/>
        </w:rPr>
        <w:t> </w:t>
      </w:r>
      <w:r>
        <w:rPr>
          <w:color w:val="105C84"/>
          <w:spacing w:val="-4"/>
        </w:rPr>
        <w:t>Ontario</w:t>
      </w:r>
      <w:r>
        <w:rPr>
          <w:color w:val="105C84"/>
          <w:spacing w:val="-8"/>
        </w:rPr>
        <w:t> </w:t>
      </w:r>
      <w:r>
        <w:rPr>
          <w:color w:val="105C84"/>
          <w:spacing w:val="-4"/>
        </w:rPr>
        <w:t>County</w:t>
      </w:r>
      <w:r>
        <w:rPr>
          <w:color w:val="105C84"/>
          <w:spacing w:val="-8"/>
        </w:rPr>
        <w:t> </w:t>
      </w:r>
      <w:r>
        <w:rPr>
          <w:color w:val="105C84"/>
          <w:spacing w:val="-4"/>
        </w:rPr>
        <w:t>control</w:t>
      </w:r>
      <w:r>
        <w:rPr>
          <w:color w:val="105C84"/>
          <w:spacing w:val="-8"/>
        </w:rPr>
        <w:t> </w:t>
      </w:r>
      <w:r>
        <w:rPr>
          <w:color w:val="105C84"/>
          <w:spacing w:val="-4"/>
        </w:rPr>
        <w:t>rate</w:t>
      </w:r>
      <w:r>
        <w:rPr>
          <w:color w:val="105C84"/>
          <w:spacing w:val="-8"/>
        </w:rPr>
        <w:t> </w:t>
      </w:r>
      <w:r>
        <w:rPr>
          <w:color w:val="105C84"/>
          <w:spacing w:val="-4"/>
        </w:rPr>
        <w:t>by</w:t>
      </w:r>
      <w:r>
        <w:rPr>
          <w:color w:val="105C84"/>
          <w:spacing w:val="-7"/>
        </w:rPr>
        <w:t> </w:t>
      </w:r>
      <w:r>
        <w:rPr>
          <w:color w:val="105C84"/>
          <w:spacing w:val="-4"/>
        </w:rPr>
        <w:t>socioeconomic</w:t>
      </w:r>
      <w:r>
        <w:rPr>
          <w:color w:val="105C84"/>
          <w:spacing w:val="-8"/>
        </w:rPr>
        <w:t> </w:t>
      </w:r>
      <w:r>
        <w:rPr>
          <w:color w:val="105C84"/>
          <w:spacing w:val="-4"/>
        </w:rPr>
        <w:t>status</w:t>
      </w:r>
      <w:r>
        <w:rPr>
          <w:color w:val="105C84"/>
          <w:spacing w:val="-8"/>
        </w:rPr>
        <w:t> </w:t>
      </w:r>
      <w:r>
        <w:rPr>
          <w:color w:val="105C84"/>
          <w:spacing w:val="-4"/>
        </w:rPr>
        <w:t>over</w:t>
      </w:r>
      <w:r>
        <w:rPr>
          <w:color w:val="105C84"/>
          <w:spacing w:val="-8"/>
        </w:rPr>
        <w:t> </w:t>
      </w:r>
      <w:r>
        <w:rPr>
          <w:color w:val="105C84"/>
          <w:spacing w:val="-4"/>
        </w:rPr>
        <w:t>time</w:t>
      </w:r>
    </w:p>
    <w:p>
      <w:pPr>
        <w:pStyle w:val="Heading7"/>
        <w:spacing w:before="201"/>
        <w:ind w:right="9165"/>
      </w:pPr>
      <w:r>
        <w:rPr/>
        <mc:AlternateContent>
          <mc:Choice Requires="wps">
            <w:drawing>
              <wp:anchor distT="0" distB="0" distL="0" distR="0" allowOverlap="1" layoutInCell="1" locked="0" behindDoc="0" simplePos="0" relativeHeight="15813632">
                <wp:simplePos x="0" y="0"/>
                <wp:positionH relativeFrom="page">
                  <wp:posOffset>1346039</wp:posOffset>
                </wp:positionH>
                <wp:positionV relativeFrom="paragraph">
                  <wp:posOffset>176691</wp:posOffset>
                </wp:positionV>
                <wp:extent cx="4136390" cy="2494280"/>
                <wp:effectExtent l="0" t="0" r="0" b="0"/>
                <wp:wrapNone/>
                <wp:docPr id="803" name="Group 803"/>
                <wp:cNvGraphicFramePr>
                  <a:graphicFrameLocks/>
                </wp:cNvGraphicFramePr>
                <a:graphic>
                  <a:graphicData uri="http://schemas.microsoft.com/office/word/2010/wordprocessingGroup">
                    <wpg:wgp>
                      <wpg:cNvPr id="803" name="Group 803"/>
                      <wpg:cNvGrpSpPr/>
                      <wpg:grpSpPr>
                        <a:xfrm>
                          <a:off x="0" y="0"/>
                          <a:ext cx="4136390" cy="2494280"/>
                          <a:chExt cx="4136390" cy="2494280"/>
                        </a:xfrm>
                      </wpg:grpSpPr>
                      <wps:wsp>
                        <wps:cNvPr id="804" name="Graphic 804"/>
                        <wps:cNvSpPr/>
                        <wps:spPr>
                          <a:xfrm>
                            <a:off x="3892" y="3892"/>
                            <a:ext cx="4089400" cy="2486025"/>
                          </a:xfrm>
                          <a:custGeom>
                            <a:avLst/>
                            <a:gdLst/>
                            <a:ahLst/>
                            <a:cxnLst/>
                            <a:rect l="l" t="t" r="r" b="b"/>
                            <a:pathLst>
                              <a:path w="4089400" h="2486025">
                                <a:moveTo>
                                  <a:pt x="4088803" y="2485936"/>
                                </a:moveTo>
                                <a:lnTo>
                                  <a:pt x="0" y="2485936"/>
                                </a:lnTo>
                                <a:lnTo>
                                  <a:pt x="0" y="0"/>
                                </a:lnTo>
                              </a:path>
                            </a:pathLst>
                          </a:custGeom>
                          <a:ln w="7785">
                            <a:solidFill>
                              <a:srgbClr val="939598"/>
                            </a:solidFill>
                            <a:prstDash val="solid"/>
                          </a:ln>
                        </wps:spPr>
                        <wps:bodyPr wrap="square" lIns="0" tIns="0" rIns="0" bIns="0" rtlCol="0">
                          <a:prstTxWarp prst="textNoShape">
                            <a:avLst/>
                          </a:prstTxWarp>
                          <a:noAutofit/>
                        </wps:bodyPr>
                      </wps:wsp>
                      <wps:wsp>
                        <wps:cNvPr id="805" name="Graphic 805"/>
                        <wps:cNvSpPr/>
                        <wps:spPr>
                          <a:xfrm>
                            <a:off x="3170829" y="1868647"/>
                            <a:ext cx="73025" cy="73025"/>
                          </a:xfrm>
                          <a:custGeom>
                            <a:avLst/>
                            <a:gdLst/>
                            <a:ahLst/>
                            <a:cxnLst/>
                            <a:rect l="l" t="t" r="r" b="b"/>
                            <a:pathLst>
                              <a:path w="73025" h="73025">
                                <a:moveTo>
                                  <a:pt x="72783" y="0"/>
                                </a:moveTo>
                                <a:lnTo>
                                  <a:pt x="0" y="0"/>
                                </a:lnTo>
                                <a:lnTo>
                                  <a:pt x="0" y="72796"/>
                                </a:lnTo>
                                <a:lnTo>
                                  <a:pt x="72783" y="72796"/>
                                </a:lnTo>
                                <a:lnTo>
                                  <a:pt x="72783" y="0"/>
                                </a:lnTo>
                                <a:close/>
                              </a:path>
                            </a:pathLst>
                          </a:custGeom>
                          <a:solidFill>
                            <a:srgbClr val="105B83"/>
                          </a:solidFill>
                        </wps:spPr>
                        <wps:bodyPr wrap="square" lIns="0" tIns="0" rIns="0" bIns="0" rtlCol="0">
                          <a:prstTxWarp prst="textNoShape">
                            <a:avLst/>
                          </a:prstTxWarp>
                          <a:noAutofit/>
                        </wps:bodyPr>
                      </wps:wsp>
                      <wps:wsp>
                        <wps:cNvPr id="806" name="Graphic 806"/>
                        <wps:cNvSpPr/>
                        <wps:spPr>
                          <a:xfrm>
                            <a:off x="3170829" y="2055870"/>
                            <a:ext cx="73025" cy="73025"/>
                          </a:xfrm>
                          <a:custGeom>
                            <a:avLst/>
                            <a:gdLst/>
                            <a:ahLst/>
                            <a:cxnLst/>
                            <a:rect l="l" t="t" r="r" b="b"/>
                            <a:pathLst>
                              <a:path w="73025" h="73025">
                                <a:moveTo>
                                  <a:pt x="72783" y="0"/>
                                </a:moveTo>
                                <a:lnTo>
                                  <a:pt x="0" y="0"/>
                                </a:lnTo>
                                <a:lnTo>
                                  <a:pt x="0" y="72796"/>
                                </a:lnTo>
                                <a:lnTo>
                                  <a:pt x="72783" y="72796"/>
                                </a:lnTo>
                                <a:lnTo>
                                  <a:pt x="72783" y="0"/>
                                </a:lnTo>
                                <a:close/>
                              </a:path>
                            </a:pathLst>
                          </a:custGeom>
                          <a:solidFill>
                            <a:srgbClr val="939598"/>
                          </a:solidFill>
                        </wps:spPr>
                        <wps:bodyPr wrap="square" lIns="0" tIns="0" rIns="0" bIns="0" rtlCol="0">
                          <a:prstTxWarp prst="textNoShape">
                            <a:avLst/>
                          </a:prstTxWarp>
                          <a:noAutofit/>
                        </wps:bodyPr>
                      </wps:wsp>
                      <wps:wsp>
                        <wps:cNvPr id="807" name="Graphic 807"/>
                        <wps:cNvSpPr/>
                        <wps:spPr>
                          <a:xfrm>
                            <a:off x="3170829" y="2228540"/>
                            <a:ext cx="73025" cy="73025"/>
                          </a:xfrm>
                          <a:custGeom>
                            <a:avLst/>
                            <a:gdLst/>
                            <a:ahLst/>
                            <a:cxnLst/>
                            <a:rect l="l" t="t" r="r" b="b"/>
                            <a:pathLst>
                              <a:path w="73025" h="73025">
                                <a:moveTo>
                                  <a:pt x="72783" y="0"/>
                                </a:moveTo>
                                <a:lnTo>
                                  <a:pt x="0" y="0"/>
                                </a:lnTo>
                                <a:lnTo>
                                  <a:pt x="0" y="72796"/>
                                </a:lnTo>
                                <a:lnTo>
                                  <a:pt x="72783" y="72796"/>
                                </a:lnTo>
                                <a:lnTo>
                                  <a:pt x="72783" y="0"/>
                                </a:lnTo>
                                <a:close/>
                              </a:path>
                            </a:pathLst>
                          </a:custGeom>
                          <a:solidFill>
                            <a:srgbClr val="81BF6A"/>
                          </a:solidFill>
                        </wps:spPr>
                        <wps:bodyPr wrap="square" lIns="0" tIns="0" rIns="0" bIns="0" rtlCol="0">
                          <a:prstTxWarp prst="textNoShape">
                            <a:avLst/>
                          </a:prstTxWarp>
                          <a:noAutofit/>
                        </wps:bodyPr>
                      </wps:wsp>
                      <wps:wsp>
                        <wps:cNvPr id="808" name="Graphic 808"/>
                        <wps:cNvSpPr/>
                        <wps:spPr>
                          <a:xfrm>
                            <a:off x="540045" y="419781"/>
                            <a:ext cx="2941955" cy="160655"/>
                          </a:xfrm>
                          <a:custGeom>
                            <a:avLst/>
                            <a:gdLst/>
                            <a:ahLst/>
                            <a:cxnLst/>
                            <a:rect l="l" t="t" r="r" b="b"/>
                            <a:pathLst>
                              <a:path w="2941955" h="160655">
                                <a:moveTo>
                                  <a:pt x="0" y="160400"/>
                                </a:moveTo>
                                <a:lnTo>
                                  <a:pt x="1012850" y="67690"/>
                                </a:lnTo>
                                <a:lnTo>
                                  <a:pt x="2025713" y="0"/>
                                </a:lnTo>
                                <a:lnTo>
                                  <a:pt x="2941459" y="59042"/>
                                </a:lnTo>
                              </a:path>
                            </a:pathLst>
                          </a:custGeom>
                          <a:ln w="16954">
                            <a:solidFill>
                              <a:srgbClr val="81BF6A"/>
                            </a:solidFill>
                            <a:prstDash val="solid"/>
                          </a:ln>
                        </wps:spPr>
                        <wps:bodyPr wrap="square" lIns="0" tIns="0" rIns="0" bIns="0" rtlCol="0">
                          <a:prstTxWarp prst="textNoShape">
                            <a:avLst/>
                          </a:prstTxWarp>
                          <a:noAutofit/>
                        </wps:bodyPr>
                      </wps:wsp>
                      <wps:wsp>
                        <wps:cNvPr id="809" name="Graphic 809"/>
                        <wps:cNvSpPr/>
                        <wps:spPr>
                          <a:xfrm>
                            <a:off x="523069" y="402825"/>
                            <a:ext cx="2975610" cy="194945"/>
                          </a:xfrm>
                          <a:custGeom>
                            <a:avLst/>
                            <a:gdLst/>
                            <a:ahLst/>
                            <a:cxnLst/>
                            <a:rect l="l" t="t" r="r" b="b"/>
                            <a:pathLst>
                              <a:path w="2975610" h="194945">
                                <a:moveTo>
                                  <a:pt x="33921" y="167995"/>
                                </a:moveTo>
                                <a:lnTo>
                                  <a:pt x="26339" y="160413"/>
                                </a:lnTo>
                                <a:lnTo>
                                  <a:pt x="7594" y="160413"/>
                                </a:lnTo>
                                <a:lnTo>
                                  <a:pt x="0" y="167995"/>
                                </a:lnTo>
                                <a:lnTo>
                                  <a:pt x="0" y="186740"/>
                                </a:lnTo>
                                <a:lnTo>
                                  <a:pt x="7594" y="194335"/>
                                </a:lnTo>
                                <a:lnTo>
                                  <a:pt x="26339" y="194335"/>
                                </a:lnTo>
                                <a:lnTo>
                                  <a:pt x="33921" y="186740"/>
                                </a:lnTo>
                                <a:lnTo>
                                  <a:pt x="33921" y="177368"/>
                                </a:lnTo>
                                <a:lnTo>
                                  <a:pt x="33921" y="167995"/>
                                </a:lnTo>
                                <a:close/>
                              </a:path>
                              <a:path w="2975610" h="194945">
                                <a:moveTo>
                                  <a:pt x="1046784" y="75285"/>
                                </a:moveTo>
                                <a:lnTo>
                                  <a:pt x="1039190" y="67691"/>
                                </a:lnTo>
                                <a:lnTo>
                                  <a:pt x="1020457" y="67691"/>
                                </a:lnTo>
                                <a:lnTo>
                                  <a:pt x="1012863" y="75285"/>
                                </a:lnTo>
                                <a:lnTo>
                                  <a:pt x="1012863" y="94018"/>
                                </a:lnTo>
                                <a:lnTo>
                                  <a:pt x="1020457" y="101612"/>
                                </a:lnTo>
                                <a:lnTo>
                                  <a:pt x="1039190" y="101612"/>
                                </a:lnTo>
                                <a:lnTo>
                                  <a:pt x="1046784" y="94018"/>
                                </a:lnTo>
                                <a:lnTo>
                                  <a:pt x="1046784" y="84658"/>
                                </a:lnTo>
                                <a:lnTo>
                                  <a:pt x="1046784" y="75285"/>
                                </a:lnTo>
                                <a:close/>
                              </a:path>
                              <a:path w="2975610" h="194945">
                                <a:moveTo>
                                  <a:pt x="2059635" y="7581"/>
                                </a:moveTo>
                                <a:lnTo>
                                  <a:pt x="2052040" y="0"/>
                                </a:lnTo>
                                <a:lnTo>
                                  <a:pt x="2033308" y="0"/>
                                </a:lnTo>
                                <a:lnTo>
                                  <a:pt x="2025713" y="7581"/>
                                </a:lnTo>
                                <a:lnTo>
                                  <a:pt x="2025713" y="26327"/>
                                </a:lnTo>
                                <a:lnTo>
                                  <a:pt x="2033308" y="33921"/>
                                </a:lnTo>
                                <a:lnTo>
                                  <a:pt x="2052040" y="33921"/>
                                </a:lnTo>
                                <a:lnTo>
                                  <a:pt x="2059635" y="26327"/>
                                </a:lnTo>
                                <a:lnTo>
                                  <a:pt x="2059635" y="16954"/>
                                </a:lnTo>
                                <a:lnTo>
                                  <a:pt x="2059635" y="7581"/>
                                </a:lnTo>
                                <a:close/>
                              </a:path>
                              <a:path w="2975610" h="194945">
                                <a:moveTo>
                                  <a:pt x="2975381" y="66624"/>
                                </a:moveTo>
                                <a:lnTo>
                                  <a:pt x="2967786" y="59042"/>
                                </a:lnTo>
                                <a:lnTo>
                                  <a:pt x="2949054" y="59042"/>
                                </a:lnTo>
                                <a:lnTo>
                                  <a:pt x="2941459" y="66624"/>
                                </a:lnTo>
                                <a:lnTo>
                                  <a:pt x="2941459" y="85369"/>
                                </a:lnTo>
                                <a:lnTo>
                                  <a:pt x="2949054" y="92964"/>
                                </a:lnTo>
                                <a:lnTo>
                                  <a:pt x="2967786" y="92964"/>
                                </a:lnTo>
                                <a:lnTo>
                                  <a:pt x="2975381" y="85369"/>
                                </a:lnTo>
                                <a:lnTo>
                                  <a:pt x="2975381" y="75996"/>
                                </a:lnTo>
                                <a:lnTo>
                                  <a:pt x="2975381" y="66624"/>
                                </a:lnTo>
                                <a:close/>
                              </a:path>
                            </a:pathLst>
                          </a:custGeom>
                          <a:solidFill>
                            <a:srgbClr val="81BF6A"/>
                          </a:solidFill>
                        </wps:spPr>
                        <wps:bodyPr wrap="square" lIns="0" tIns="0" rIns="0" bIns="0" rtlCol="0">
                          <a:prstTxWarp prst="textNoShape">
                            <a:avLst/>
                          </a:prstTxWarp>
                          <a:noAutofit/>
                        </wps:bodyPr>
                      </wps:wsp>
                      <wps:wsp>
                        <wps:cNvPr id="810" name="Graphic 810"/>
                        <wps:cNvSpPr/>
                        <wps:spPr>
                          <a:xfrm>
                            <a:off x="540045" y="503215"/>
                            <a:ext cx="2941955" cy="123189"/>
                          </a:xfrm>
                          <a:custGeom>
                            <a:avLst/>
                            <a:gdLst/>
                            <a:ahLst/>
                            <a:cxnLst/>
                            <a:rect l="l" t="t" r="r" b="b"/>
                            <a:pathLst>
                              <a:path w="2941955" h="123189">
                                <a:moveTo>
                                  <a:pt x="0" y="123037"/>
                                </a:moveTo>
                                <a:lnTo>
                                  <a:pt x="1012850" y="55371"/>
                                </a:lnTo>
                                <a:lnTo>
                                  <a:pt x="2025713" y="0"/>
                                </a:lnTo>
                                <a:lnTo>
                                  <a:pt x="2941459" y="50571"/>
                                </a:lnTo>
                              </a:path>
                            </a:pathLst>
                          </a:custGeom>
                          <a:ln w="16954">
                            <a:solidFill>
                              <a:srgbClr val="939598"/>
                            </a:solidFill>
                            <a:prstDash val="solid"/>
                          </a:ln>
                        </wps:spPr>
                        <wps:bodyPr wrap="square" lIns="0" tIns="0" rIns="0" bIns="0" rtlCol="0">
                          <a:prstTxWarp prst="textNoShape">
                            <a:avLst/>
                          </a:prstTxWarp>
                          <a:noAutofit/>
                        </wps:bodyPr>
                      </wps:wsp>
                      <wps:wsp>
                        <wps:cNvPr id="811" name="Graphic 811"/>
                        <wps:cNvSpPr/>
                        <wps:spPr>
                          <a:xfrm>
                            <a:off x="523069" y="486264"/>
                            <a:ext cx="2975610" cy="157480"/>
                          </a:xfrm>
                          <a:custGeom>
                            <a:avLst/>
                            <a:gdLst/>
                            <a:ahLst/>
                            <a:cxnLst/>
                            <a:rect l="l" t="t" r="r" b="b"/>
                            <a:pathLst>
                              <a:path w="2975610" h="157480">
                                <a:moveTo>
                                  <a:pt x="33921" y="130619"/>
                                </a:moveTo>
                                <a:lnTo>
                                  <a:pt x="26339" y="123024"/>
                                </a:lnTo>
                                <a:lnTo>
                                  <a:pt x="7594" y="123024"/>
                                </a:lnTo>
                                <a:lnTo>
                                  <a:pt x="0" y="130619"/>
                                </a:lnTo>
                                <a:lnTo>
                                  <a:pt x="0" y="149352"/>
                                </a:lnTo>
                                <a:lnTo>
                                  <a:pt x="7594" y="156946"/>
                                </a:lnTo>
                                <a:lnTo>
                                  <a:pt x="26339" y="156946"/>
                                </a:lnTo>
                                <a:lnTo>
                                  <a:pt x="33921" y="149352"/>
                                </a:lnTo>
                                <a:lnTo>
                                  <a:pt x="33921" y="139992"/>
                                </a:lnTo>
                                <a:lnTo>
                                  <a:pt x="33921" y="130619"/>
                                </a:lnTo>
                                <a:close/>
                              </a:path>
                              <a:path w="2975610" h="157480">
                                <a:moveTo>
                                  <a:pt x="1046784" y="62941"/>
                                </a:moveTo>
                                <a:lnTo>
                                  <a:pt x="1039190" y="55359"/>
                                </a:lnTo>
                                <a:lnTo>
                                  <a:pt x="1020457" y="55359"/>
                                </a:lnTo>
                                <a:lnTo>
                                  <a:pt x="1012863" y="62941"/>
                                </a:lnTo>
                                <a:lnTo>
                                  <a:pt x="1012863" y="81686"/>
                                </a:lnTo>
                                <a:lnTo>
                                  <a:pt x="1020457" y="89281"/>
                                </a:lnTo>
                                <a:lnTo>
                                  <a:pt x="1039190" y="89281"/>
                                </a:lnTo>
                                <a:lnTo>
                                  <a:pt x="1046784" y="81686"/>
                                </a:lnTo>
                                <a:lnTo>
                                  <a:pt x="1046784" y="72313"/>
                                </a:lnTo>
                                <a:lnTo>
                                  <a:pt x="1046784" y="62941"/>
                                </a:lnTo>
                                <a:close/>
                              </a:path>
                              <a:path w="2975610" h="157480">
                                <a:moveTo>
                                  <a:pt x="2059635" y="7594"/>
                                </a:moveTo>
                                <a:lnTo>
                                  <a:pt x="2052040" y="0"/>
                                </a:lnTo>
                                <a:lnTo>
                                  <a:pt x="2033308" y="0"/>
                                </a:lnTo>
                                <a:lnTo>
                                  <a:pt x="2025713" y="7594"/>
                                </a:lnTo>
                                <a:lnTo>
                                  <a:pt x="2025713" y="26339"/>
                                </a:lnTo>
                                <a:lnTo>
                                  <a:pt x="2033308" y="33934"/>
                                </a:lnTo>
                                <a:lnTo>
                                  <a:pt x="2052040" y="33934"/>
                                </a:lnTo>
                                <a:lnTo>
                                  <a:pt x="2059635" y="26339"/>
                                </a:lnTo>
                                <a:lnTo>
                                  <a:pt x="2059635" y="16967"/>
                                </a:lnTo>
                                <a:lnTo>
                                  <a:pt x="2059635" y="7594"/>
                                </a:lnTo>
                                <a:close/>
                              </a:path>
                              <a:path w="2975610" h="157480">
                                <a:moveTo>
                                  <a:pt x="2975381" y="58166"/>
                                </a:moveTo>
                                <a:lnTo>
                                  <a:pt x="2967786" y="50571"/>
                                </a:lnTo>
                                <a:lnTo>
                                  <a:pt x="2949054" y="50571"/>
                                </a:lnTo>
                                <a:lnTo>
                                  <a:pt x="2941459" y="58166"/>
                                </a:lnTo>
                                <a:lnTo>
                                  <a:pt x="2941459" y="76911"/>
                                </a:lnTo>
                                <a:lnTo>
                                  <a:pt x="2949054" y="84505"/>
                                </a:lnTo>
                                <a:lnTo>
                                  <a:pt x="2967786" y="84505"/>
                                </a:lnTo>
                                <a:lnTo>
                                  <a:pt x="2975381" y="76911"/>
                                </a:lnTo>
                                <a:lnTo>
                                  <a:pt x="2975381" y="67538"/>
                                </a:lnTo>
                                <a:lnTo>
                                  <a:pt x="2975381" y="58166"/>
                                </a:lnTo>
                                <a:close/>
                              </a:path>
                            </a:pathLst>
                          </a:custGeom>
                          <a:solidFill>
                            <a:srgbClr val="939598"/>
                          </a:solidFill>
                        </wps:spPr>
                        <wps:bodyPr wrap="square" lIns="0" tIns="0" rIns="0" bIns="0" rtlCol="0">
                          <a:prstTxWarp prst="textNoShape">
                            <a:avLst/>
                          </a:prstTxWarp>
                          <a:noAutofit/>
                        </wps:bodyPr>
                      </wps:wsp>
                      <wps:wsp>
                        <wps:cNvPr id="812" name="Graphic 812"/>
                        <wps:cNvSpPr/>
                        <wps:spPr>
                          <a:xfrm>
                            <a:off x="540045" y="631233"/>
                            <a:ext cx="2941955" cy="189865"/>
                          </a:xfrm>
                          <a:custGeom>
                            <a:avLst/>
                            <a:gdLst/>
                            <a:ahLst/>
                            <a:cxnLst/>
                            <a:rect l="l" t="t" r="r" b="b"/>
                            <a:pathLst>
                              <a:path w="2941955" h="189865">
                                <a:moveTo>
                                  <a:pt x="0" y="189242"/>
                                </a:moveTo>
                                <a:lnTo>
                                  <a:pt x="1012850" y="108140"/>
                                </a:lnTo>
                                <a:lnTo>
                                  <a:pt x="2025713" y="0"/>
                                </a:lnTo>
                                <a:lnTo>
                                  <a:pt x="2941459" y="7035"/>
                                </a:lnTo>
                              </a:path>
                            </a:pathLst>
                          </a:custGeom>
                          <a:ln w="16954">
                            <a:solidFill>
                              <a:srgbClr val="115C85"/>
                            </a:solidFill>
                            <a:prstDash val="solid"/>
                          </a:ln>
                        </wps:spPr>
                        <wps:bodyPr wrap="square" lIns="0" tIns="0" rIns="0" bIns="0" rtlCol="0">
                          <a:prstTxWarp prst="textNoShape">
                            <a:avLst/>
                          </a:prstTxWarp>
                          <a:noAutofit/>
                        </wps:bodyPr>
                      </wps:wsp>
                      <wps:wsp>
                        <wps:cNvPr id="813" name="Graphic 813"/>
                        <wps:cNvSpPr/>
                        <wps:spPr>
                          <a:xfrm>
                            <a:off x="523069" y="614255"/>
                            <a:ext cx="2975610" cy="223520"/>
                          </a:xfrm>
                          <a:custGeom>
                            <a:avLst/>
                            <a:gdLst/>
                            <a:ahLst/>
                            <a:cxnLst/>
                            <a:rect l="l" t="t" r="r" b="b"/>
                            <a:pathLst>
                              <a:path w="2975610" h="223520">
                                <a:moveTo>
                                  <a:pt x="33921" y="196850"/>
                                </a:moveTo>
                                <a:lnTo>
                                  <a:pt x="26339" y="189255"/>
                                </a:lnTo>
                                <a:lnTo>
                                  <a:pt x="7594" y="189255"/>
                                </a:lnTo>
                                <a:lnTo>
                                  <a:pt x="0" y="196850"/>
                                </a:lnTo>
                                <a:lnTo>
                                  <a:pt x="0" y="215595"/>
                                </a:lnTo>
                                <a:lnTo>
                                  <a:pt x="7594" y="223189"/>
                                </a:lnTo>
                                <a:lnTo>
                                  <a:pt x="26339" y="223189"/>
                                </a:lnTo>
                                <a:lnTo>
                                  <a:pt x="33921" y="215595"/>
                                </a:lnTo>
                                <a:lnTo>
                                  <a:pt x="33921" y="206222"/>
                                </a:lnTo>
                                <a:lnTo>
                                  <a:pt x="33921" y="196850"/>
                                </a:lnTo>
                                <a:close/>
                              </a:path>
                              <a:path w="2975610" h="223520">
                                <a:moveTo>
                                  <a:pt x="1046784" y="115747"/>
                                </a:moveTo>
                                <a:lnTo>
                                  <a:pt x="1039190" y="108153"/>
                                </a:lnTo>
                                <a:lnTo>
                                  <a:pt x="1020457" y="108153"/>
                                </a:lnTo>
                                <a:lnTo>
                                  <a:pt x="1012863" y="115747"/>
                                </a:lnTo>
                                <a:lnTo>
                                  <a:pt x="1012863" y="134493"/>
                                </a:lnTo>
                                <a:lnTo>
                                  <a:pt x="1020457" y="142087"/>
                                </a:lnTo>
                                <a:lnTo>
                                  <a:pt x="1039190" y="142087"/>
                                </a:lnTo>
                                <a:lnTo>
                                  <a:pt x="1046784" y="134493"/>
                                </a:lnTo>
                                <a:lnTo>
                                  <a:pt x="1046784" y="125120"/>
                                </a:lnTo>
                                <a:lnTo>
                                  <a:pt x="1046784" y="115747"/>
                                </a:lnTo>
                                <a:close/>
                              </a:path>
                              <a:path w="2975610" h="223520">
                                <a:moveTo>
                                  <a:pt x="2059635" y="7594"/>
                                </a:moveTo>
                                <a:lnTo>
                                  <a:pt x="2052040" y="0"/>
                                </a:lnTo>
                                <a:lnTo>
                                  <a:pt x="2033308" y="0"/>
                                </a:lnTo>
                                <a:lnTo>
                                  <a:pt x="2025713" y="7594"/>
                                </a:lnTo>
                                <a:lnTo>
                                  <a:pt x="2025713" y="26339"/>
                                </a:lnTo>
                                <a:lnTo>
                                  <a:pt x="2033308" y="33921"/>
                                </a:lnTo>
                                <a:lnTo>
                                  <a:pt x="2052040" y="33921"/>
                                </a:lnTo>
                                <a:lnTo>
                                  <a:pt x="2059635" y="26339"/>
                                </a:lnTo>
                                <a:lnTo>
                                  <a:pt x="2059635" y="16967"/>
                                </a:lnTo>
                                <a:lnTo>
                                  <a:pt x="2059635" y="7594"/>
                                </a:lnTo>
                                <a:close/>
                              </a:path>
                              <a:path w="2975610" h="223520">
                                <a:moveTo>
                                  <a:pt x="2975381" y="14655"/>
                                </a:moveTo>
                                <a:lnTo>
                                  <a:pt x="2967786" y="7061"/>
                                </a:lnTo>
                                <a:lnTo>
                                  <a:pt x="2949054" y="7061"/>
                                </a:lnTo>
                                <a:lnTo>
                                  <a:pt x="2941459" y="14655"/>
                                </a:lnTo>
                                <a:lnTo>
                                  <a:pt x="2941459" y="33401"/>
                                </a:lnTo>
                                <a:lnTo>
                                  <a:pt x="2949054" y="40982"/>
                                </a:lnTo>
                                <a:lnTo>
                                  <a:pt x="2967786" y="40982"/>
                                </a:lnTo>
                                <a:lnTo>
                                  <a:pt x="2975381" y="33401"/>
                                </a:lnTo>
                                <a:lnTo>
                                  <a:pt x="2975381" y="24028"/>
                                </a:lnTo>
                                <a:lnTo>
                                  <a:pt x="2975381" y="14655"/>
                                </a:lnTo>
                                <a:close/>
                              </a:path>
                            </a:pathLst>
                          </a:custGeom>
                          <a:solidFill>
                            <a:srgbClr val="105B83"/>
                          </a:solidFill>
                        </wps:spPr>
                        <wps:bodyPr wrap="square" lIns="0" tIns="0" rIns="0" bIns="0" rtlCol="0">
                          <a:prstTxWarp prst="textNoShape">
                            <a:avLst/>
                          </a:prstTxWarp>
                          <a:noAutofit/>
                        </wps:bodyPr>
                      </wps:wsp>
                      <wps:wsp>
                        <wps:cNvPr id="814" name="Textbox 814"/>
                        <wps:cNvSpPr txBox="1"/>
                        <wps:spPr>
                          <a:xfrm>
                            <a:off x="322549" y="457881"/>
                            <a:ext cx="193040" cy="426084"/>
                          </a:xfrm>
                          <a:prstGeom prst="rect">
                            <a:avLst/>
                          </a:prstGeom>
                        </wps:spPr>
                        <wps:txbx>
                          <w:txbxContent>
                            <w:p>
                              <w:pPr>
                                <w:spacing w:before="12"/>
                                <w:ind w:left="0" w:right="0" w:firstLine="0"/>
                                <w:jc w:val="left"/>
                                <w:rPr>
                                  <w:sz w:val="15"/>
                                </w:rPr>
                              </w:pPr>
                              <w:r>
                                <w:rPr>
                                  <w:color w:val="636466"/>
                                  <w:spacing w:val="-5"/>
                                  <w:sz w:val="15"/>
                                </w:rPr>
                                <w:t>77%</w:t>
                              </w:r>
                            </w:p>
                            <w:p>
                              <w:pPr>
                                <w:spacing w:before="11"/>
                                <w:ind w:left="0" w:right="0" w:firstLine="0"/>
                                <w:jc w:val="left"/>
                                <w:rPr>
                                  <w:sz w:val="15"/>
                                </w:rPr>
                              </w:pPr>
                              <w:r>
                                <w:rPr>
                                  <w:color w:val="636466"/>
                                  <w:spacing w:val="-5"/>
                                  <w:sz w:val="15"/>
                                </w:rPr>
                                <w:t>76%</w:t>
                              </w:r>
                            </w:p>
                            <w:p>
                              <w:pPr>
                                <w:spacing w:before="106"/>
                                <w:ind w:left="0" w:right="0" w:firstLine="0"/>
                                <w:jc w:val="left"/>
                                <w:rPr>
                                  <w:sz w:val="15"/>
                                </w:rPr>
                              </w:pPr>
                              <w:r>
                                <w:rPr>
                                  <w:color w:val="636466"/>
                                  <w:spacing w:val="-5"/>
                                  <w:sz w:val="15"/>
                                </w:rPr>
                                <w:t>67%</w:t>
                              </w:r>
                            </w:p>
                          </w:txbxContent>
                        </wps:txbx>
                        <wps:bodyPr wrap="square" lIns="0" tIns="0" rIns="0" bIns="0" rtlCol="0">
                          <a:noAutofit/>
                        </wps:bodyPr>
                      </wps:wsp>
                      <wps:wsp>
                        <wps:cNvPr id="815" name="Textbox 815"/>
                        <wps:cNvSpPr txBox="1"/>
                        <wps:spPr>
                          <a:xfrm>
                            <a:off x="1476615" y="341640"/>
                            <a:ext cx="222885" cy="600710"/>
                          </a:xfrm>
                          <a:prstGeom prst="rect">
                            <a:avLst/>
                          </a:prstGeom>
                        </wps:spPr>
                        <wps:txbx>
                          <w:txbxContent>
                            <w:p>
                              <w:pPr>
                                <w:spacing w:before="12"/>
                                <w:ind w:left="0" w:right="0" w:firstLine="0"/>
                                <w:jc w:val="left"/>
                                <w:rPr>
                                  <w:sz w:val="15"/>
                                </w:rPr>
                              </w:pPr>
                              <w:r>
                                <w:rPr>
                                  <w:color w:val="636466"/>
                                  <w:spacing w:val="-5"/>
                                  <w:sz w:val="15"/>
                                </w:rPr>
                                <w:t>81%</w:t>
                              </w:r>
                            </w:p>
                            <w:p>
                              <w:pPr>
                                <w:spacing w:line="240" w:lineRule="auto" w:before="41"/>
                                <w:rPr>
                                  <w:sz w:val="15"/>
                                </w:rPr>
                              </w:pPr>
                            </w:p>
                            <w:p>
                              <w:pPr>
                                <w:spacing w:before="0"/>
                                <w:ind w:left="30" w:right="0" w:firstLine="0"/>
                                <w:jc w:val="left"/>
                                <w:rPr>
                                  <w:sz w:val="15"/>
                                </w:rPr>
                              </w:pPr>
                              <w:r>
                                <w:rPr>
                                  <w:color w:val="636466"/>
                                  <w:spacing w:val="-5"/>
                                  <w:sz w:val="15"/>
                                </w:rPr>
                                <w:t>78%</w:t>
                              </w:r>
                            </w:p>
                            <w:p>
                              <w:pPr>
                                <w:spacing w:line="240" w:lineRule="auto" w:before="5"/>
                                <w:rPr>
                                  <w:sz w:val="15"/>
                                </w:rPr>
                              </w:pPr>
                            </w:p>
                            <w:p>
                              <w:pPr>
                                <w:spacing w:before="1"/>
                                <w:ind w:left="46" w:right="0" w:firstLine="0"/>
                                <w:jc w:val="left"/>
                                <w:rPr>
                                  <w:sz w:val="15"/>
                                </w:rPr>
                              </w:pPr>
                              <w:r>
                                <w:rPr>
                                  <w:color w:val="636466"/>
                                  <w:spacing w:val="-5"/>
                                  <w:sz w:val="15"/>
                                </w:rPr>
                                <w:t>70%</w:t>
                              </w:r>
                            </w:p>
                          </w:txbxContent>
                        </wps:txbx>
                        <wps:bodyPr wrap="square" lIns="0" tIns="0" rIns="0" bIns="0" rtlCol="0">
                          <a:noAutofit/>
                        </wps:bodyPr>
                      </wps:wsp>
                      <wps:wsp>
                        <wps:cNvPr id="816" name="Textbox 816"/>
                        <wps:cNvSpPr txBox="1"/>
                        <wps:spPr>
                          <a:xfrm>
                            <a:off x="2383062" y="286237"/>
                            <a:ext cx="334645" cy="500380"/>
                          </a:xfrm>
                          <a:prstGeom prst="rect">
                            <a:avLst/>
                          </a:prstGeom>
                        </wps:spPr>
                        <wps:txbx>
                          <w:txbxContent>
                            <w:p>
                              <w:pPr>
                                <w:spacing w:before="12"/>
                                <w:ind w:left="211" w:right="0" w:firstLine="0"/>
                                <w:jc w:val="left"/>
                                <w:rPr>
                                  <w:sz w:val="15"/>
                                </w:rPr>
                              </w:pPr>
                              <w:r>
                                <w:rPr>
                                  <w:color w:val="636466"/>
                                  <w:spacing w:val="-5"/>
                                  <w:sz w:val="15"/>
                                </w:rPr>
                                <w:t>84%</w:t>
                              </w:r>
                            </w:p>
                            <w:p>
                              <w:pPr>
                                <w:spacing w:before="169"/>
                                <w:ind w:left="0" w:right="0" w:firstLine="0"/>
                                <w:jc w:val="left"/>
                                <w:rPr>
                                  <w:sz w:val="15"/>
                                </w:rPr>
                              </w:pPr>
                              <w:r>
                                <w:rPr>
                                  <w:color w:val="636466"/>
                                  <w:spacing w:val="-5"/>
                                  <w:sz w:val="15"/>
                                </w:rPr>
                                <w:t>80%</w:t>
                              </w:r>
                            </w:p>
                            <w:p>
                              <w:pPr>
                                <w:spacing w:before="65"/>
                                <w:ind w:left="223" w:right="0" w:firstLine="0"/>
                                <w:jc w:val="left"/>
                                <w:rPr>
                                  <w:sz w:val="15"/>
                                </w:rPr>
                              </w:pPr>
                              <w:r>
                                <w:rPr>
                                  <w:color w:val="636466"/>
                                  <w:spacing w:val="-5"/>
                                  <w:sz w:val="15"/>
                                </w:rPr>
                                <w:t>75%</w:t>
                              </w:r>
                            </w:p>
                          </w:txbxContent>
                        </wps:txbx>
                        <wps:bodyPr wrap="square" lIns="0" tIns="0" rIns="0" bIns="0" rtlCol="0">
                          <a:noAutofit/>
                        </wps:bodyPr>
                      </wps:wsp>
                      <wps:wsp>
                        <wps:cNvPr id="817" name="Textbox 817"/>
                        <wps:cNvSpPr txBox="1"/>
                        <wps:spPr>
                          <a:xfrm>
                            <a:off x="3519663" y="393260"/>
                            <a:ext cx="198120" cy="349885"/>
                          </a:xfrm>
                          <a:prstGeom prst="rect">
                            <a:avLst/>
                          </a:prstGeom>
                        </wps:spPr>
                        <wps:txbx>
                          <w:txbxContent>
                            <w:p>
                              <w:pPr>
                                <w:spacing w:line="170" w:lineRule="exact" w:before="12"/>
                                <w:ind w:left="0" w:right="0" w:firstLine="0"/>
                                <w:jc w:val="left"/>
                                <w:rPr>
                                  <w:sz w:val="15"/>
                                </w:rPr>
                              </w:pPr>
                              <w:r>
                                <w:rPr>
                                  <w:color w:val="636466"/>
                                  <w:spacing w:val="-5"/>
                                  <w:sz w:val="15"/>
                                </w:rPr>
                                <w:t>81%</w:t>
                              </w:r>
                            </w:p>
                            <w:p>
                              <w:pPr>
                                <w:spacing w:line="170" w:lineRule="exact" w:before="0"/>
                                <w:ind w:left="8" w:right="0" w:firstLine="0"/>
                                <w:jc w:val="left"/>
                                <w:rPr>
                                  <w:sz w:val="15"/>
                                </w:rPr>
                              </w:pPr>
                              <w:r>
                                <w:rPr>
                                  <w:color w:val="636466"/>
                                  <w:spacing w:val="-5"/>
                                  <w:sz w:val="15"/>
                                </w:rPr>
                                <w:t>78%</w:t>
                              </w:r>
                            </w:p>
                            <w:p>
                              <w:pPr>
                                <w:spacing w:before="2"/>
                                <w:ind w:left="8" w:right="0" w:firstLine="0"/>
                                <w:jc w:val="left"/>
                                <w:rPr>
                                  <w:sz w:val="15"/>
                                </w:rPr>
                              </w:pPr>
                              <w:r>
                                <w:rPr>
                                  <w:color w:val="636466"/>
                                  <w:spacing w:val="-5"/>
                                  <w:sz w:val="15"/>
                                </w:rPr>
                                <w:t>74%</w:t>
                              </w:r>
                            </w:p>
                          </w:txbxContent>
                        </wps:txbx>
                        <wps:bodyPr wrap="square" lIns="0" tIns="0" rIns="0" bIns="0" rtlCol="0">
                          <a:noAutofit/>
                        </wps:bodyPr>
                      </wps:wsp>
                      <wps:wsp>
                        <wps:cNvPr id="818" name="Textbox 818"/>
                        <wps:cNvSpPr txBox="1"/>
                        <wps:spPr>
                          <a:xfrm>
                            <a:off x="3315944" y="1835520"/>
                            <a:ext cx="820419" cy="506730"/>
                          </a:xfrm>
                          <a:prstGeom prst="rect">
                            <a:avLst/>
                          </a:prstGeom>
                        </wps:spPr>
                        <wps:txbx>
                          <w:txbxContent>
                            <w:p>
                              <w:pPr>
                                <w:numPr>
                                  <w:ilvl w:val="0"/>
                                  <w:numId w:val="21"/>
                                </w:numPr>
                                <w:tabs>
                                  <w:tab w:pos="130" w:val="left" w:leader="none"/>
                                </w:tabs>
                                <w:spacing w:before="12"/>
                                <w:ind w:left="130" w:right="0" w:hanging="130"/>
                                <w:jc w:val="left"/>
                                <w:rPr>
                                  <w:sz w:val="15"/>
                                </w:rPr>
                              </w:pPr>
                              <w:r>
                                <w:rPr>
                                  <w:color w:val="105B83"/>
                                  <w:sz w:val="15"/>
                                </w:rPr>
                                <w:t>LOW</w:t>
                              </w:r>
                              <w:r>
                                <w:rPr>
                                  <w:color w:val="105B83"/>
                                  <w:spacing w:val="1"/>
                                  <w:sz w:val="15"/>
                                </w:rPr>
                                <w:t> </w:t>
                              </w:r>
                              <w:r>
                                <w:rPr>
                                  <w:color w:val="105B83"/>
                                  <w:spacing w:val="-5"/>
                                  <w:sz w:val="15"/>
                                </w:rPr>
                                <w:t>SES</w:t>
                              </w:r>
                            </w:p>
                            <w:p>
                              <w:pPr>
                                <w:numPr>
                                  <w:ilvl w:val="0"/>
                                  <w:numId w:val="21"/>
                                </w:numPr>
                                <w:tabs>
                                  <w:tab w:pos="130" w:val="left" w:leader="none"/>
                                </w:tabs>
                                <w:spacing w:before="133"/>
                                <w:ind w:left="130" w:right="0" w:hanging="130"/>
                                <w:jc w:val="left"/>
                                <w:rPr>
                                  <w:sz w:val="15"/>
                                </w:rPr>
                              </w:pPr>
                              <w:r>
                                <w:rPr>
                                  <w:color w:val="105B83"/>
                                  <w:spacing w:val="-2"/>
                                  <w:sz w:val="15"/>
                                </w:rPr>
                                <w:t>MODERATE</w:t>
                              </w:r>
                              <w:r>
                                <w:rPr>
                                  <w:color w:val="105B83"/>
                                  <w:spacing w:val="-5"/>
                                  <w:sz w:val="15"/>
                                </w:rPr>
                                <w:t> </w:t>
                              </w:r>
                              <w:r>
                                <w:rPr>
                                  <w:color w:val="105B83"/>
                                  <w:spacing w:val="-8"/>
                                  <w:sz w:val="15"/>
                                </w:rPr>
                                <w:t>SES</w:t>
                              </w:r>
                            </w:p>
                            <w:p>
                              <w:pPr>
                                <w:numPr>
                                  <w:ilvl w:val="0"/>
                                  <w:numId w:val="21"/>
                                </w:numPr>
                                <w:tabs>
                                  <w:tab w:pos="130" w:val="left" w:leader="none"/>
                                </w:tabs>
                                <w:spacing w:before="111"/>
                                <w:ind w:left="130" w:right="0" w:hanging="130"/>
                                <w:jc w:val="left"/>
                                <w:rPr>
                                  <w:sz w:val="15"/>
                                </w:rPr>
                              </w:pPr>
                              <w:r>
                                <w:rPr>
                                  <w:color w:val="105B83"/>
                                  <w:sz w:val="15"/>
                                </w:rPr>
                                <w:t>HIGH</w:t>
                              </w:r>
                              <w:r>
                                <w:rPr>
                                  <w:color w:val="105B83"/>
                                  <w:spacing w:val="1"/>
                                  <w:sz w:val="15"/>
                                </w:rPr>
                                <w:t> </w:t>
                              </w:r>
                              <w:r>
                                <w:rPr>
                                  <w:color w:val="105B83"/>
                                  <w:spacing w:val="-5"/>
                                  <w:sz w:val="15"/>
                                </w:rPr>
                                <w:t>SES</w:t>
                              </w:r>
                            </w:p>
                          </w:txbxContent>
                        </wps:txbx>
                        <wps:bodyPr wrap="square" lIns="0" tIns="0" rIns="0" bIns="0" rtlCol="0">
                          <a:noAutofit/>
                        </wps:bodyPr>
                      </wps:wsp>
                    </wpg:wgp>
                  </a:graphicData>
                </a:graphic>
              </wp:anchor>
            </w:drawing>
          </mc:Choice>
          <mc:Fallback>
            <w:pict>
              <v:group style="position:absolute;margin-left:105.987396pt;margin-top:13.912711pt;width:325.7pt;height:196.4pt;mso-position-horizontal-relative:page;mso-position-vertical-relative:paragraph;z-index:15813632" id="docshapegroup684" coordorigin="2120,278" coordsize="6514,3928">
                <v:shape style="position:absolute;left:2125;top:284;width:6440;height:3915" id="docshape685" coordorigin="2126,284" coordsize="6440,3915" path="m8565,4199l2126,4199,2126,284e" filled="false" stroked="true" strokeweight=".613pt" strokecolor="#939598">
                  <v:path arrowok="t"/>
                  <v:stroke dashstyle="solid"/>
                </v:shape>
                <v:rect style="position:absolute;left:7113;top:3221;width:115;height:115" id="docshape686" filled="true" fillcolor="#105b83" stroked="false">
                  <v:fill type="solid"/>
                </v:rect>
                <v:rect style="position:absolute;left:7113;top:3515;width:115;height:115" id="docshape687" filled="true" fillcolor="#939598" stroked="false">
                  <v:fill type="solid"/>
                </v:rect>
                <v:rect style="position:absolute;left:7113;top:3787;width:115;height:115" id="docshape688" filled="true" fillcolor="#81bf6a" stroked="false">
                  <v:fill type="solid"/>
                </v:rect>
                <v:shape style="position:absolute;left:2970;top:939;width:4633;height:253" id="docshape689" coordorigin="2970,939" coordsize="4633,253" path="m2970,1192l4565,1046,6160,939,7602,1032e" filled="false" stroked="true" strokeweight="1.335pt" strokecolor="#81bf6a">
                  <v:path arrowok="t"/>
                  <v:stroke dashstyle="solid"/>
                </v:shape>
                <v:shape style="position:absolute;left:2943;top:912;width:4686;height:307" id="docshape690" coordorigin="2943,913" coordsize="4686,307" path="m2997,1177l2985,1165,2955,1165,2943,1177,2943,1207,2955,1219,2985,1219,2997,1207,2997,1192,2997,1177xm4592,1031l4580,1019,4551,1019,4539,1031,4539,1061,4551,1073,4580,1073,4592,1061,4592,1046,4592,1031xm6187,925l6175,913,6146,913,6134,925,6134,954,6146,966,6175,966,6187,954,6187,939,6187,925xm7629,1018l7617,1006,7588,1006,7576,1018,7576,1047,7588,1059,7617,1059,7629,1047,7629,1032,7629,1018xe" filled="true" fillcolor="#81bf6a" stroked="false">
                  <v:path arrowok="t"/>
                  <v:fill type="solid"/>
                </v:shape>
                <v:shape style="position:absolute;left:2970;top:1070;width:4633;height:194" id="docshape691" coordorigin="2970,1071" coordsize="4633,194" path="m2970,1264l4565,1158,6160,1071,7602,1150e" filled="false" stroked="true" strokeweight="1.335pt" strokecolor="#939598">
                  <v:path arrowok="t"/>
                  <v:stroke dashstyle="solid"/>
                </v:shape>
                <v:shape style="position:absolute;left:2943;top:1044;width:4686;height:248" id="docshape692" coordorigin="2943,1044" coordsize="4686,248" path="m2997,1250l2985,1238,2955,1238,2943,1250,2943,1279,2955,1291,2985,1291,2997,1279,2997,1264,2997,1250xm4592,1143l4580,1131,4551,1131,4539,1143,4539,1173,4551,1185,4580,1185,4592,1173,4592,1158,4592,1143xm6187,1056l6175,1044,6146,1044,6134,1056,6134,1086,6146,1097,6175,1097,6187,1086,6187,1071,6187,1056xm7629,1136l7617,1124,7588,1124,7576,1136,7576,1165,7588,1177,7617,1177,7629,1165,7629,1150,7629,1136xe" filled="true" fillcolor="#939598" stroked="false">
                  <v:path arrowok="t"/>
                  <v:fill type="solid"/>
                </v:shape>
                <v:shape style="position:absolute;left:2970;top:1272;width:4633;height:299" id="docshape693" coordorigin="2970,1272" coordsize="4633,299" path="m2970,1570l4565,1443,6160,1272,7602,1283e" filled="false" stroked="true" strokeweight="1.335pt" strokecolor="#115c85">
                  <v:path arrowok="t"/>
                  <v:stroke dashstyle="solid"/>
                </v:shape>
                <v:shape style="position:absolute;left:2943;top:1245;width:4686;height:352" id="docshape694" coordorigin="2943,1246" coordsize="4686,352" path="m2997,1556l2985,1544,2955,1544,2943,1556,2943,1585,2955,1597,2985,1597,2997,1585,2997,1570,2997,1556xm4592,1428l4580,1416,4551,1416,4539,1428,4539,1457,4551,1469,4580,1469,4592,1457,4592,1443,4592,1428xm6187,1258l6175,1246,6146,1246,6134,1258,6134,1287,6146,1299,6175,1299,6187,1287,6187,1272,6187,1258xm7629,1269l7617,1257,7588,1257,7576,1269,7576,1298,7588,1310,7617,1310,7629,1298,7629,1283,7629,1269xe" filled="true" fillcolor="#105b83" stroked="false">
                  <v:path arrowok="t"/>
                  <v:fill type="solid"/>
                </v:shape>
                <v:shape style="position:absolute;left:2627;top:999;width:304;height:671" type="#_x0000_t202" id="docshape695" filled="false" stroked="false">
                  <v:textbox inset="0,0,0,0">
                    <w:txbxContent>
                      <w:p>
                        <w:pPr>
                          <w:spacing w:before="12"/>
                          <w:ind w:left="0" w:right="0" w:firstLine="0"/>
                          <w:jc w:val="left"/>
                          <w:rPr>
                            <w:sz w:val="15"/>
                          </w:rPr>
                        </w:pPr>
                        <w:r>
                          <w:rPr>
                            <w:color w:val="636466"/>
                            <w:spacing w:val="-5"/>
                            <w:sz w:val="15"/>
                          </w:rPr>
                          <w:t>77%</w:t>
                        </w:r>
                      </w:p>
                      <w:p>
                        <w:pPr>
                          <w:spacing w:before="11"/>
                          <w:ind w:left="0" w:right="0" w:firstLine="0"/>
                          <w:jc w:val="left"/>
                          <w:rPr>
                            <w:sz w:val="15"/>
                          </w:rPr>
                        </w:pPr>
                        <w:r>
                          <w:rPr>
                            <w:color w:val="636466"/>
                            <w:spacing w:val="-5"/>
                            <w:sz w:val="15"/>
                          </w:rPr>
                          <w:t>76%</w:t>
                        </w:r>
                      </w:p>
                      <w:p>
                        <w:pPr>
                          <w:spacing w:before="106"/>
                          <w:ind w:left="0" w:right="0" w:firstLine="0"/>
                          <w:jc w:val="left"/>
                          <w:rPr>
                            <w:sz w:val="15"/>
                          </w:rPr>
                        </w:pPr>
                        <w:r>
                          <w:rPr>
                            <w:color w:val="636466"/>
                            <w:spacing w:val="-5"/>
                            <w:sz w:val="15"/>
                          </w:rPr>
                          <w:t>67%</w:t>
                        </w:r>
                      </w:p>
                    </w:txbxContent>
                  </v:textbox>
                  <w10:wrap type="none"/>
                </v:shape>
                <v:shape style="position:absolute;left:4445;top:816;width:351;height:946" type="#_x0000_t202" id="docshape696" filled="false" stroked="false">
                  <v:textbox inset="0,0,0,0">
                    <w:txbxContent>
                      <w:p>
                        <w:pPr>
                          <w:spacing w:before="12"/>
                          <w:ind w:left="0" w:right="0" w:firstLine="0"/>
                          <w:jc w:val="left"/>
                          <w:rPr>
                            <w:sz w:val="15"/>
                          </w:rPr>
                        </w:pPr>
                        <w:r>
                          <w:rPr>
                            <w:color w:val="636466"/>
                            <w:spacing w:val="-5"/>
                            <w:sz w:val="15"/>
                          </w:rPr>
                          <w:t>81%</w:t>
                        </w:r>
                      </w:p>
                      <w:p>
                        <w:pPr>
                          <w:spacing w:line="240" w:lineRule="auto" w:before="41"/>
                          <w:rPr>
                            <w:sz w:val="15"/>
                          </w:rPr>
                        </w:pPr>
                      </w:p>
                      <w:p>
                        <w:pPr>
                          <w:spacing w:before="0"/>
                          <w:ind w:left="30" w:right="0" w:firstLine="0"/>
                          <w:jc w:val="left"/>
                          <w:rPr>
                            <w:sz w:val="15"/>
                          </w:rPr>
                        </w:pPr>
                        <w:r>
                          <w:rPr>
                            <w:color w:val="636466"/>
                            <w:spacing w:val="-5"/>
                            <w:sz w:val="15"/>
                          </w:rPr>
                          <w:t>78%</w:t>
                        </w:r>
                      </w:p>
                      <w:p>
                        <w:pPr>
                          <w:spacing w:line="240" w:lineRule="auto" w:before="5"/>
                          <w:rPr>
                            <w:sz w:val="15"/>
                          </w:rPr>
                        </w:pPr>
                      </w:p>
                      <w:p>
                        <w:pPr>
                          <w:spacing w:before="1"/>
                          <w:ind w:left="46" w:right="0" w:firstLine="0"/>
                          <w:jc w:val="left"/>
                          <w:rPr>
                            <w:sz w:val="15"/>
                          </w:rPr>
                        </w:pPr>
                        <w:r>
                          <w:rPr>
                            <w:color w:val="636466"/>
                            <w:spacing w:val="-5"/>
                            <w:sz w:val="15"/>
                          </w:rPr>
                          <w:t>70%</w:t>
                        </w:r>
                      </w:p>
                    </w:txbxContent>
                  </v:textbox>
                  <w10:wrap type="none"/>
                </v:shape>
                <v:shape style="position:absolute;left:5872;top:729;width:527;height:788" type="#_x0000_t202" id="docshape697" filled="false" stroked="false">
                  <v:textbox inset="0,0,0,0">
                    <w:txbxContent>
                      <w:p>
                        <w:pPr>
                          <w:spacing w:before="12"/>
                          <w:ind w:left="211" w:right="0" w:firstLine="0"/>
                          <w:jc w:val="left"/>
                          <w:rPr>
                            <w:sz w:val="15"/>
                          </w:rPr>
                        </w:pPr>
                        <w:r>
                          <w:rPr>
                            <w:color w:val="636466"/>
                            <w:spacing w:val="-5"/>
                            <w:sz w:val="15"/>
                          </w:rPr>
                          <w:t>84%</w:t>
                        </w:r>
                      </w:p>
                      <w:p>
                        <w:pPr>
                          <w:spacing w:before="169"/>
                          <w:ind w:left="0" w:right="0" w:firstLine="0"/>
                          <w:jc w:val="left"/>
                          <w:rPr>
                            <w:sz w:val="15"/>
                          </w:rPr>
                        </w:pPr>
                        <w:r>
                          <w:rPr>
                            <w:color w:val="636466"/>
                            <w:spacing w:val="-5"/>
                            <w:sz w:val="15"/>
                          </w:rPr>
                          <w:t>80%</w:t>
                        </w:r>
                      </w:p>
                      <w:p>
                        <w:pPr>
                          <w:spacing w:before="65"/>
                          <w:ind w:left="223" w:right="0" w:firstLine="0"/>
                          <w:jc w:val="left"/>
                          <w:rPr>
                            <w:sz w:val="15"/>
                          </w:rPr>
                        </w:pPr>
                        <w:r>
                          <w:rPr>
                            <w:color w:val="636466"/>
                            <w:spacing w:val="-5"/>
                            <w:sz w:val="15"/>
                          </w:rPr>
                          <w:t>75%</w:t>
                        </w:r>
                      </w:p>
                    </w:txbxContent>
                  </v:textbox>
                  <w10:wrap type="none"/>
                </v:shape>
                <v:shape style="position:absolute;left:7662;top:897;width:312;height:551" type="#_x0000_t202" id="docshape698" filled="false" stroked="false">
                  <v:textbox inset="0,0,0,0">
                    <w:txbxContent>
                      <w:p>
                        <w:pPr>
                          <w:spacing w:line="170" w:lineRule="exact" w:before="12"/>
                          <w:ind w:left="0" w:right="0" w:firstLine="0"/>
                          <w:jc w:val="left"/>
                          <w:rPr>
                            <w:sz w:val="15"/>
                          </w:rPr>
                        </w:pPr>
                        <w:r>
                          <w:rPr>
                            <w:color w:val="636466"/>
                            <w:spacing w:val="-5"/>
                            <w:sz w:val="15"/>
                          </w:rPr>
                          <w:t>81%</w:t>
                        </w:r>
                      </w:p>
                      <w:p>
                        <w:pPr>
                          <w:spacing w:line="170" w:lineRule="exact" w:before="0"/>
                          <w:ind w:left="8" w:right="0" w:firstLine="0"/>
                          <w:jc w:val="left"/>
                          <w:rPr>
                            <w:sz w:val="15"/>
                          </w:rPr>
                        </w:pPr>
                        <w:r>
                          <w:rPr>
                            <w:color w:val="636466"/>
                            <w:spacing w:val="-5"/>
                            <w:sz w:val="15"/>
                          </w:rPr>
                          <w:t>78%</w:t>
                        </w:r>
                      </w:p>
                      <w:p>
                        <w:pPr>
                          <w:spacing w:before="2"/>
                          <w:ind w:left="8" w:right="0" w:firstLine="0"/>
                          <w:jc w:val="left"/>
                          <w:rPr>
                            <w:sz w:val="15"/>
                          </w:rPr>
                        </w:pPr>
                        <w:r>
                          <w:rPr>
                            <w:color w:val="636466"/>
                            <w:spacing w:val="-5"/>
                            <w:sz w:val="15"/>
                          </w:rPr>
                          <w:t>74%</w:t>
                        </w:r>
                      </w:p>
                    </w:txbxContent>
                  </v:textbox>
                  <w10:wrap type="none"/>
                </v:shape>
                <v:shape style="position:absolute;left:7341;top:3168;width:1292;height:798" type="#_x0000_t202" id="docshape699" filled="false" stroked="false">
                  <v:textbox inset="0,0,0,0">
                    <w:txbxContent>
                      <w:p>
                        <w:pPr>
                          <w:numPr>
                            <w:ilvl w:val="0"/>
                            <w:numId w:val="21"/>
                          </w:numPr>
                          <w:tabs>
                            <w:tab w:pos="130" w:val="left" w:leader="none"/>
                          </w:tabs>
                          <w:spacing w:before="12"/>
                          <w:ind w:left="130" w:right="0" w:hanging="130"/>
                          <w:jc w:val="left"/>
                          <w:rPr>
                            <w:sz w:val="15"/>
                          </w:rPr>
                        </w:pPr>
                        <w:r>
                          <w:rPr>
                            <w:color w:val="105B83"/>
                            <w:sz w:val="15"/>
                          </w:rPr>
                          <w:t>LOW</w:t>
                        </w:r>
                        <w:r>
                          <w:rPr>
                            <w:color w:val="105B83"/>
                            <w:spacing w:val="1"/>
                            <w:sz w:val="15"/>
                          </w:rPr>
                          <w:t> </w:t>
                        </w:r>
                        <w:r>
                          <w:rPr>
                            <w:color w:val="105B83"/>
                            <w:spacing w:val="-5"/>
                            <w:sz w:val="15"/>
                          </w:rPr>
                          <w:t>SES</w:t>
                        </w:r>
                      </w:p>
                      <w:p>
                        <w:pPr>
                          <w:numPr>
                            <w:ilvl w:val="0"/>
                            <w:numId w:val="21"/>
                          </w:numPr>
                          <w:tabs>
                            <w:tab w:pos="130" w:val="left" w:leader="none"/>
                          </w:tabs>
                          <w:spacing w:before="133"/>
                          <w:ind w:left="130" w:right="0" w:hanging="130"/>
                          <w:jc w:val="left"/>
                          <w:rPr>
                            <w:sz w:val="15"/>
                          </w:rPr>
                        </w:pPr>
                        <w:r>
                          <w:rPr>
                            <w:color w:val="105B83"/>
                            <w:spacing w:val="-2"/>
                            <w:sz w:val="15"/>
                          </w:rPr>
                          <w:t>MODERATE</w:t>
                        </w:r>
                        <w:r>
                          <w:rPr>
                            <w:color w:val="105B83"/>
                            <w:spacing w:val="-5"/>
                            <w:sz w:val="15"/>
                          </w:rPr>
                          <w:t> </w:t>
                        </w:r>
                        <w:r>
                          <w:rPr>
                            <w:color w:val="105B83"/>
                            <w:spacing w:val="-8"/>
                            <w:sz w:val="15"/>
                          </w:rPr>
                          <w:t>SES</w:t>
                        </w:r>
                      </w:p>
                      <w:p>
                        <w:pPr>
                          <w:numPr>
                            <w:ilvl w:val="0"/>
                            <w:numId w:val="21"/>
                          </w:numPr>
                          <w:tabs>
                            <w:tab w:pos="130" w:val="left" w:leader="none"/>
                          </w:tabs>
                          <w:spacing w:before="111"/>
                          <w:ind w:left="130" w:right="0" w:hanging="130"/>
                          <w:jc w:val="left"/>
                          <w:rPr>
                            <w:sz w:val="15"/>
                          </w:rPr>
                        </w:pPr>
                        <w:r>
                          <w:rPr>
                            <w:color w:val="105B83"/>
                            <w:sz w:val="15"/>
                          </w:rPr>
                          <w:t>HIGH</w:t>
                        </w:r>
                        <w:r>
                          <w:rPr>
                            <w:color w:val="105B83"/>
                            <w:spacing w:val="1"/>
                            <w:sz w:val="15"/>
                          </w:rPr>
                          <w:t> </w:t>
                        </w:r>
                        <w:r>
                          <w:rPr>
                            <w:color w:val="105B83"/>
                            <w:spacing w:val="-5"/>
                            <w:sz w:val="15"/>
                          </w:rPr>
                          <w:t>SES</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15168">
                <wp:simplePos x="0" y="0"/>
                <wp:positionH relativeFrom="page">
                  <wp:posOffset>2236885</wp:posOffset>
                </wp:positionH>
                <wp:positionV relativeFrom="paragraph">
                  <wp:posOffset>104905</wp:posOffset>
                </wp:positionV>
                <wp:extent cx="192405" cy="2574925"/>
                <wp:effectExtent l="0" t="0" r="0" b="0"/>
                <wp:wrapNone/>
                <wp:docPr id="819" name="Textbox 819"/>
                <wp:cNvGraphicFramePr>
                  <a:graphicFrameLocks/>
                </wp:cNvGraphicFramePr>
                <a:graphic>
                  <a:graphicData uri="http://schemas.microsoft.com/office/word/2010/wordprocessingShape">
                    <wps:wsp>
                      <wps:cNvPr id="819" name="Textbox 819"/>
                      <wps:cNvSpPr txBox="1"/>
                      <wps:spPr>
                        <a:xfrm>
                          <a:off x="0" y="0"/>
                          <a:ext cx="192405" cy="2574925"/>
                        </a:xfrm>
                        <a:prstGeom prst="rect">
                          <a:avLst/>
                        </a:prstGeom>
                      </wps:spPr>
                      <wps:txbx>
                        <w:txbxContent>
                          <w:p>
                            <w:pPr>
                              <w:spacing w:before="18"/>
                              <w:ind w:left="20" w:right="0" w:firstLine="0"/>
                              <w:jc w:val="left"/>
                              <w:rPr>
                                <w:rFonts w:ascii="Cambria"/>
                                <w:sz w:val="22"/>
                              </w:rPr>
                            </w:pPr>
                            <w:r>
                              <w:rPr>
                                <w:rFonts w:ascii="Cambria"/>
                                <w:color w:val="939598"/>
                                <w:spacing w:val="42"/>
                                <w:sz w:val="22"/>
                              </w:rPr>
                              <w:t>............................................ </w:t>
                            </w:r>
                          </w:p>
                        </w:txbxContent>
                      </wps:txbx>
                      <wps:bodyPr wrap="square" lIns="0" tIns="0" rIns="0" bIns="0" rtlCol="0" vert="vert270">
                        <a:noAutofit/>
                      </wps:bodyPr>
                    </wps:wsp>
                  </a:graphicData>
                </a:graphic>
              </wp:anchor>
            </w:drawing>
          </mc:Choice>
          <mc:Fallback>
            <w:pict>
              <v:shape style="position:absolute;margin-left:176.13269pt;margin-top:8.260261pt;width:15.15pt;height:202.75pt;mso-position-horizontal-relative:page;mso-position-vertical-relative:paragraph;z-index:15815168" type="#_x0000_t202" id="docshape700" filled="false" stroked="false">
                <v:textbox inset="0,0,0,0" style="layout-flow:vertical;mso-layout-flow-alt:bottom-to-top">
                  <w:txbxContent>
                    <w:p>
                      <w:pPr>
                        <w:spacing w:before="18"/>
                        <w:ind w:left="20" w:right="0" w:firstLine="0"/>
                        <w:jc w:val="left"/>
                        <w:rPr>
                          <w:rFonts w:ascii="Cambria"/>
                          <w:sz w:val="22"/>
                        </w:rPr>
                      </w:pPr>
                      <w:r>
                        <w:rPr>
                          <w:rFonts w:ascii="Cambria"/>
                          <w:color w:val="939598"/>
                          <w:spacing w:val="42"/>
                          <w:sz w:val="22"/>
                        </w:rPr>
                        <w:t>............................................ </w:t>
                      </w:r>
                    </w:p>
                  </w:txbxContent>
                </v:textbox>
                <w10:wrap type="none"/>
              </v:shape>
            </w:pict>
          </mc:Fallback>
        </mc:AlternateContent>
      </w:r>
      <w:r>
        <w:rPr/>
        <mc:AlternateContent>
          <mc:Choice Requires="wps">
            <w:drawing>
              <wp:anchor distT="0" distB="0" distL="0" distR="0" allowOverlap="1" layoutInCell="1" locked="0" behindDoc="0" simplePos="0" relativeHeight="15815680">
                <wp:simplePos x="0" y="0"/>
                <wp:positionH relativeFrom="page">
                  <wp:posOffset>3258103</wp:posOffset>
                </wp:positionH>
                <wp:positionV relativeFrom="paragraph">
                  <wp:posOffset>104905</wp:posOffset>
                </wp:positionV>
                <wp:extent cx="192405" cy="2574925"/>
                <wp:effectExtent l="0" t="0" r="0" b="0"/>
                <wp:wrapNone/>
                <wp:docPr id="820" name="Textbox 820"/>
                <wp:cNvGraphicFramePr>
                  <a:graphicFrameLocks/>
                </wp:cNvGraphicFramePr>
                <a:graphic>
                  <a:graphicData uri="http://schemas.microsoft.com/office/word/2010/wordprocessingShape">
                    <wps:wsp>
                      <wps:cNvPr id="820" name="Textbox 820"/>
                      <wps:cNvSpPr txBox="1"/>
                      <wps:spPr>
                        <a:xfrm>
                          <a:off x="0" y="0"/>
                          <a:ext cx="192405" cy="2574925"/>
                        </a:xfrm>
                        <a:prstGeom prst="rect">
                          <a:avLst/>
                        </a:prstGeom>
                      </wps:spPr>
                      <wps:txbx>
                        <w:txbxContent>
                          <w:p>
                            <w:pPr>
                              <w:spacing w:before="18"/>
                              <w:ind w:left="20" w:right="0" w:firstLine="0"/>
                              <w:jc w:val="left"/>
                              <w:rPr>
                                <w:rFonts w:ascii="Cambria"/>
                                <w:sz w:val="22"/>
                              </w:rPr>
                            </w:pPr>
                            <w:r>
                              <w:rPr>
                                <w:rFonts w:ascii="Cambria"/>
                                <w:color w:val="939598"/>
                                <w:spacing w:val="42"/>
                                <w:sz w:val="22"/>
                              </w:rPr>
                              <w:t>............................................ </w:t>
                            </w:r>
                          </w:p>
                        </w:txbxContent>
                      </wps:txbx>
                      <wps:bodyPr wrap="square" lIns="0" tIns="0" rIns="0" bIns="0" rtlCol="0" vert="vert270">
                        <a:noAutofit/>
                      </wps:bodyPr>
                    </wps:wsp>
                  </a:graphicData>
                </a:graphic>
              </wp:anchor>
            </w:drawing>
          </mc:Choice>
          <mc:Fallback>
            <w:pict>
              <v:shape style="position:absolute;margin-left:256.543579pt;margin-top:8.260261pt;width:15.15pt;height:202.75pt;mso-position-horizontal-relative:page;mso-position-vertical-relative:paragraph;z-index:15815680" type="#_x0000_t202" id="docshape701" filled="false" stroked="false">
                <v:textbox inset="0,0,0,0" style="layout-flow:vertical;mso-layout-flow-alt:bottom-to-top">
                  <w:txbxContent>
                    <w:p>
                      <w:pPr>
                        <w:spacing w:before="18"/>
                        <w:ind w:left="20" w:right="0" w:firstLine="0"/>
                        <w:jc w:val="left"/>
                        <w:rPr>
                          <w:rFonts w:ascii="Cambria"/>
                          <w:sz w:val="22"/>
                        </w:rPr>
                      </w:pPr>
                      <w:r>
                        <w:rPr>
                          <w:rFonts w:ascii="Cambria"/>
                          <w:color w:val="939598"/>
                          <w:spacing w:val="42"/>
                          <w:sz w:val="22"/>
                        </w:rPr>
                        <w:t>............................................ </w:t>
                      </w:r>
                    </w:p>
                  </w:txbxContent>
                </v:textbox>
                <w10:wrap type="none"/>
              </v:shape>
            </w:pict>
          </mc:Fallback>
        </mc:AlternateContent>
      </w:r>
      <w:r>
        <w:rPr/>
        <mc:AlternateContent>
          <mc:Choice Requires="wps">
            <w:drawing>
              <wp:anchor distT="0" distB="0" distL="0" distR="0" allowOverlap="1" layoutInCell="1" locked="0" behindDoc="0" simplePos="0" relativeHeight="15816192">
                <wp:simplePos x="0" y="0"/>
                <wp:positionH relativeFrom="page">
                  <wp:posOffset>4287057</wp:posOffset>
                </wp:positionH>
                <wp:positionV relativeFrom="paragraph">
                  <wp:posOffset>104905</wp:posOffset>
                </wp:positionV>
                <wp:extent cx="192405" cy="2574925"/>
                <wp:effectExtent l="0" t="0" r="0" b="0"/>
                <wp:wrapNone/>
                <wp:docPr id="821" name="Textbox 821"/>
                <wp:cNvGraphicFramePr>
                  <a:graphicFrameLocks/>
                </wp:cNvGraphicFramePr>
                <a:graphic>
                  <a:graphicData uri="http://schemas.microsoft.com/office/word/2010/wordprocessingShape">
                    <wps:wsp>
                      <wps:cNvPr id="821" name="Textbox 821"/>
                      <wps:cNvSpPr txBox="1"/>
                      <wps:spPr>
                        <a:xfrm>
                          <a:off x="0" y="0"/>
                          <a:ext cx="192405" cy="2574925"/>
                        </a:xfrm>
                        <a:prstGeom prst="rect">
                          <a:avLst/>
                        </a:prstGeom>
                      </wps:spPr>
                      <wps:txbx>
                        <w:txbxContent>
                          <w:p>
                            <w:pPr>
                              <w:spacing w:before="18"/>
                              <w:ind w:left="20" w:right="0" w:firstLine="0"/>
                              <w:jc w:val="left"/>
                              <w:rPr>
                                <w:rFonts w:ascii="Cambria"/>
                                <w:sz w:val="22"/>
                              </w:rPr>
                            </w:pPr>
                            <w:r>
                              <w:rPr>
                                <w:rFonts w:ascii="Cambria"/>
                                <w:color w:val="939598"/>
                                <w:spacing w:val="42"/>
                                <w:sz w:val="22"/>
                              </w:rPr>
                              <w:t>............................................ </w:t>
                            </w:r>
                          </w:p>
                        </w:txbxContent>
                      </wps:txbx>
                      <wps:bodyPr wrap="square" lIns="0" tIns="0" rIns="0" bIns="0" rtlCol="0" vert="vert270">
                        <a:noAutofit/>
                      </wps:bodyPr>
                    </wps:wsp>
                  </a:graphicData>
                </a:graphic>
              </wp:anchor>
            </w:drawing>
          </mc:Choice>
          <mc:Fallback>
            <w:pict>
              <v:shape style="position:absolute;margin-left:337.563599pt;margin-top:8.260261pt;width:15.15pt;height:202.75pt;mso-position-horizontal-relative:page;mso-position-vertical-relative:paragraph;z-index:15816192" type="#_x0000_t202" id="docshape702" filled="false" stroked="false">
                <v:textbox inset="0,0,0,0" style="layout-flow:vertical;mso-layout-flow-alt:bottom-to-top">
                  <w:txbxContent>
                    <w:p>
                      <w:pPr>
                        <w:spacing w:before="18"/>
                        <w:ind w:left="20" w:right="0" w:firstLine="0"/>
                        <w:jc w:val="left"/>
                        <w:rPr>
                          <w:rFonts w:ascii="Cambria"/>
                          <w:sz w:val="22"/>
                        </w:rPr>
                      </w:pPr>
                      <w:r>
                        <w:rPr>
                          <w:rFonts w:ascii="Cambria"/>
                          <w:color w:val="939598"/>
                          <w:spacing w:val="42"/>
                          <w:sz w:val="22"/>
                        </w:rPr>
                        <w:t>............................................ </w:t>
                      </w:r>
                    </w:p>
                  </w:txbxContent>
                </v:textbox>
                <w10:wrap type="none"/>
              </v:shape>
            </w:pict>
          </mc:Fallback>
        </mc:AlternateContent>
      </w:r>
      <w:r>
        <w:rPr>
          <w:color w:val="636466"/>
          <w:spacing w:val="-4"/>
        </w:rPr>
        <w:t>100%</w:t>
      </w:r>
    </w:p>
    <w:p>
      <w:pPr>
        <w:pStyle w:val="BodyText"/>
        <w:spacing w:before="184"/>
        <w:rPr>
          <w:sz w:val="24"/>
        </w:rPr>
      </w:pPr>
    </w:p>
    <w:p>
      <w:pPr>
        <w:pStyle w:val="Heading7"/>
        <w:ind w:right="9201"/>
      </w:pPr>
      <w:r>
        <w:rPr/>
        <mc:AlternateContent>
          <mc:Choice Requires="wps">
            <w:drawing>
              <wp:anchor distT="0" distB="0" distL="0" distR="0" allowOverlap="1" layoutInCell="1" locked="0" behindDoc="0" simplePos="0" relativeHeight="15814656">
                <wp:simplePos x="0" y="0"/>
                <wp:positionH relativeFrom="page">
                  <wp:posOffset>685731</wp:posOffset>
                </wp:positionH>
                <wp:positionV relativeFrom="paragraph">
                  <wp:posOffset>278958</wp:posOffset>
                </wp:positionV>
                <wp:extent cx="177165" cy="958215"/>
                <wp:effectExtent l="0" t="0" r="0" b="0"/>
                <wp:wrapNone/>
                <wp:docPr id="822" name="Textbox 822"/>
                <wp:cNvGraphicFramePr>
                  <a:graphicFrameLocks/>
                </wp:cNvGraphicFramePr>
                <a:graphic>
                  <a:graphicData uri="http://schemas.microsoft.com/office/word/2010/wordprocessingShape">
                    <wps:wsp>
                      <wps:cNvPr id="822" name="Textbox 822"/>
                      <wps:cNvSpPr txBox="1"/>
                      <wps:spPr>
                        <a:xfrm>
                          <a:off x="0" y="0"/>
                          <a:ext cx="177165" cy="958215"/>
                        </a:xfrm>
                        <a:prstGeom prst="rect">
                          <a:avLst/>
                        </a:prstGeom>
                      </wps:spPr>
                      <wps:txbx>
                        <w:txbxContent>
                          <w:p>
                            <w:pPr>
                              <w:spacing w:before="35"/>
                              <w:ind w:left="20" w:right="0" w:firstLine="0"/>
                              <w:jc w:val="left"/>
                              <w:rPr>
                                <w:sz w:val="17"/>
                              </w:rPr>
                            </w:pPr>
                            <w:r>
                              <w:rPr>
                                <w:color w:val="105B83"/>
                                <w:sz w:val="17"/>
                              </w:rPr>
                              <w:t>Percent</w:t>
                            </w:r>
                            <w:r>
                              <w:rPr>
                                <w:color w:val="105B83"/>
                                <w:spacing w:val="3"/>
                                <w:sz w:val="17"/>
                              </w:rPr>
                              <w:t> </w:t>
                            </w:r>
                            <w:r>
                              <w:rPr>
                                <w:color w:val="105B83"/>
                                <w:spacing w:val="-2"/>
                                <w:sz w:val="17"/>
                              </w:rPr>
                              <w:t>Controlled</w:t>
                            </w:r>
                          </w:p>
                        </w:txbxContent>
                      </wps:txbx>
                      <wps:bodyPr wrap="square" lIns="0" tIns="0" rIns="0" bIns="0" rtlCol="0" vert="vert270">
                        <a:noAutofit/>
                      </wps:bodyPr>
                    </wps:wsp>
                  </a:graphicData>
                </a:graphic>
              </wp:anchor>
            </w:drawing>
          </mc:Choice>
          <mc:Fallback>
            <w:pict>
              <v:shape style="position:absolute;margin-left:53.994602pt;margin-top:21.965239pt;width:13.95pt;height:75.45pt;mso-position-horizontal-relative:page;mso-position-vertical-relative:paragraph;z-index:15814656" type="#_x0000_t202" id="docshape703" filled="false" stroked="false">
                <v:textbox inset="0,0,0,0" style="layout-flow:vertical;mso-layout-flow-alt:bottom-to-top">
                  <w:txbxContent>
                    <w:p>
                      <w:pPr>
                        <w:spacing w:before="35"/>
                        <w:ind w:left="20" w:right="0" w:firstLine="0"/>
                        <w:jc w:val="left"/>
                        <w:rPr>
                          <w:sz w:val="17"/>
                        </w:rPr>
                      </w:pPr>
                      <w:r>
                        <w:rPr>
                          <w:color w:val="105B83"/>
                          <w:sz w:val="17"/>
                        </w:rPr>
                        <w:t>Percent</w:t>
                      </w:r>
                      <w:r>
                        <w:rPr>
                          <w:color w:val="105B83"/>
                          <w:spacing w:val="3"/>
                          <w:sz w:val="17"/>
                        </w:rPr>
                        <w:t> </w:t>
                      </w:r>
                      <w:r>
                        <w:rPr>
                          <w:color w:val="105B83"/>
                          <w:spacing w:val="-2"/>
                          <w:sz w:val="17"/>
                        </w:rPr>
                        <w:t>Controlled</w:t>
                      </w:r>
                    </w:p>
                  </w:txbxContent>
                </v:textbox>
                <w10:wrap type="none"/>
              </v:shape>
            </w:pict>
          </mc:Fallback>
        </mc:AlternateContent>
      </w:r>
      <w:r>
        <w:rPr>
          <w:color w:val="636466"/>
          <w:spacing w:val="-5"/>
        </w:rPr>
        <w:t>80%</w:t>
      </w:r>
    </w:p>
    <w:p>
      <w:pPr>
        <w:pStyle w:val="BodyText"/>
        <w:spacing w:before="190"/>
        <w:rPr>
          <w:sz w:val="24"/>
        </w:rPr>
      </w:pPr>
    </w:p>
    <w:p>
      <w:pPr>
        <w:pStyle w:val="Heading7"/>
        <w:spacing w:before="1"/>
      </w:pPr>
      <w:r>
        <w:rPr>
          <w:color w:val="636466"/>
          <w:spacing w:val="-5"/>
        </w:rPr>
        <w:t>60%</w:t>
      </w:r>
    </w:p>
    <w:p>
      <w:pPr>
        <w:pStyle w:val="BodyText"/>
        <w:spacing w:before="251"/>
        <w:rPr>
          <w:sz w:val="24"/>
        </w:rPr>
      </w:pPr>
    </w:p>
    <w:p>
      <w:pPr>
        <w:pStyle w:val="Heading7"/>
        <w:spacing w:before="1"/>
      </w:pPr>
      <w:r>
        <w:rPr>
          <w:color w:val="636466"/>
          <w:spacing w:val="-5"/>
        </w:rPr>
        <w:t>40%</w:t>
      </w:r>
    </w:p>
    <w:p>
      <w:pPr>
        <w:pStyle w:val="BodyText"/>
        <w:spacing w:before="193"/>
        <w:rPr>
          <w:sz w:val="24"/>
        </w:rPr>
      </w:pPr>
    </w:p>
    <w:p>
      <w:pPr>
        <w:pStyle w:val="Heading7"/>
        <w:ind w:right="9182"/>
      </w:pPr>
      <w:r>
        <w:rPr>
          <w:color w:val="636466"/>
          <w:spacing w:val="-5"/>
        </w:rPr>
        <w:t>20%</w:t>
      </w:r>
    </w:p>
    <w:p>
      <w:pPr>
        <w:pStyle w:val="BodyText"/>
        <w:spacing w:before="213"/>
        <w:rPr>
          <w:sz w:val="24"/>
        </w:rPr>
      </w:pPr>
    </w:p>
    <w:p>
      <w:pPr>
        <w:pStyle w:val="Heading7"/>
        <w:ind w:right="9198"/>
      </w:pPr>
      <w:r>
        <w:rPr>
          <w:color w:val="636466"/>
          <w:spacing w:val="-5"/>
        </w:rPr>
        <w:t>0%</w:t>
      </w:r>
    </w:p>
    <w:p>
      <w:pPr>
        <w:tabs>
          <w:tab w:pos="1551" w:val="left" w:leader="none"/>
          <w:tab w:pos="3140" w:val="left" w:leader="none"/>
          <w:tab w:pos="4843" w:val="left" w:leader="none"/>
        </w:tabs>
        <w:spacing w:before="83"/>
        <w:ind w:left="0" w:right="451" w:firstLine="0"/>
        <w:jc w:val="center"/>
        <w:rPr>
          <w:sz w:val="19"/>
        </w:rPr>
      </w:pPr>
      <w:r>
        <w:rPr>
          <w:color w:val="636466"/>
          <w:spacing w:val="-4"/>
          <w:sz w:val="19"/>
        </w:rPr>
        <w:t>2015</w:t>
      </w:r>
      <w:r>
        <w:rPr>
          <w:color w:val="636466"/>
          <w:sz w:val="19"/>
        </w:rPr>
        <w:tab/>
      </w:r>
      <w:r>
        <w:rPr>
          <w:color w:val="636466"/>
          <w:spacing w:val="-4"/>
          <w:sz w:val="19"/>
        </w:rPr>
        <w:t>2016</w:t>
      </w:r>
      <w:r>
        <w:rPr>
          <w:color w:val="636466"/>
          <w:sz w:val="19"/>
        </w:rPr>
        <w:tab/>
      </w:r>
      <w:r>
        <w:rPr>
          <w:color w:val="636466"/>
          <w:spacing w:val="-4"/>
          <w:sz w:val="19"/>
        </w:rPr>
        <w:t>2017</w:t>
      </w:r>
      <w:r>
        <w:rPr>
          <w:color w:val="636466"/>
          <w:sz w:val="19"/>
        </w:rPr>
        <w:tab/>
      </w:r>
      <w:r>
        <w:rPr>
          <w:color w:val="636466"/>
          <w:spacing w:val="-4"/>
          <w:sz w:val="19"/>
        </w:rPr>
        <w:t>2018</w:t>
      </w:r>
    </w:p>
    <w:p>
      <w:pPr>
        <w:spacing w:before="199"/>
        <w:ind w:left="2113" w:right="0" w:firstLine="0"/>
        <w:jc w:val="left"/>
        <w:rPr>
          <w:sz w:val="17"/>
        </w:rPr>
      </w:pPr>
      <w:r>
        <w:rPr>
          <w:color w:val="105B83"/>
          <w:sz w:val="17"/>
        </w:rPr>
        <w:t>Data</w:t>
      </w:r>
      <w:r>
        <w:rPr>
          <w:color w:val="105B83"/>
          <w:spacing w:val="9"/>
          <w:sz w:val="17"/>
        </w:rPr>
        <w:t> </w:t>
      </w:r>
      <w:r>
        <w:rPr>
          <w:color w:val="105B83"/>
          <w:sz w:val="17"/>
        </w:rPr>
        <w:t>Source:</w:t>
      </w:r>
      <w:r>
        <w:rPr>
          <w:color w:val="105B83"/>
          <w:spacing w:val="9"/>
          <w:sz w:val="17"/>
        </w:rPr>
        <w:t> </w:t>
      </w:r>
      <w:r>
        <w:rPr>
          <w:color w:val="105B83"/>
          <w:sz w:val="17"/>
        </w:rPr>
        <w:t>June</w:t>
      </w:r>
      <w:r>
        <w:rPr>
          <w:color w:val="105B83"/>
          <w:spacing w:val="9"/>
          <w:sz w:val="17"/>
        </w:rPr>
        <w:t> </w:t>
      </w:r>
      <w:r>
        <w:rPr>
          <w:color w:val="105B83"/>
          <w:sz w:val="17"/>
        </w:rPr>
        <w:t>2018</w:t>
      </w:r>
      <w:r>
        <w:rPr>
          <w:color w:val="105B83"/>
          <w:spacing w:val="9"/>
          <w:sz w:val="17"/>
        </w:rPr>
        <w:t> </w:t>
      </w:r>
      <w:r>
        <w:rPr>
          <w:color w:val="105B83"/>
          <w:sz w:val="17"/>
        </w:rPr>
        <w:t>Common</w:t>
      </w:r>
      <w:r>
        <w:rPr>
          <w:color w:val="105B83"/>
          <w:spacing w:val="9"/>
          <w:sz w:val="17"/>
        </w:rPr>
        <w:t> </w:t>
      </w:r>
      <w:r>
        <w:rPr>
          <w:color w:val="105B83"/>
          <w:sz w:val="17"/>
        </w:rPr>
        <w:t>Ground</w:t>
      </w:r>
      <w:r>
        <w:rPr>
          <w:color w:val="105B83"/>
          <w:spacing w:val="9"/>
          <w:sz w:val="17"/>
        </w:rPr>
        <w:t> </w:t>
      </w:r>
      <w:r>
        <w:rPr>
          <w:color w:val="105B83"/>
          <w:sz w:val="17"/>
        </w:rPr>
        <w:t>Health</w:t>
      </w:r>
      <w:r>
        <w:rPr>
          <w:color w:val="105B83"/>
          <w:spacing w:val="10"/>
          <w:sz w:val="17"/>
        </w:rPr>
        <w:t> </w:t>
      </w:r>
      <w:r>
        <w:rPr>
          <w:color w:val="105B83"/>
          <w:sz w:val="17"/>
        </w:rPr>
        <w:t>Hypertension</w:t>
      </w:r>
      <w:r>
        <w:rPr>
          <w:color w:val="105B83"/>
          <w:spacing w:val="9"/>
          <w:sz w:val="17"/>
        </w:rPr>
        <w:t> </w:t>
      </w:r>
      <w:r>
        <w:rPr>
          <w:color w:val="105B83"/>
          <w:spacing w:val="-2"/>
          <w:sz w:val="17"/>
        </w:rPr>
        <w:t>Registry</w:t>
      </w:r>
    </w:p>
    <w:p>
      <w:pPr>
        <w:pStyle w:val="BodyText"/>
        <w:rPr>
          <w:sz w:val="17"/>
        </w:rPr>
      </w:pPr>
    </w:p>
    <w:p>
      <w:pPr>
        <w:pStyle w:val="BodyText"/>
        <w:spacing w:before="12"/>
        <w:rPr>
          <w:sz w:val="17"/>
        </w:rPr>
      </w:pPr>
    </w:p>
    <w:p>
      <w:pPr>
        <w:pStyle w:val="BodyText"/>
        <w:spacing w:line="247" w:lineRule="auto"/>
        <w:ind w:left="1080" w:right="324"/>
      </w:pPr>
      <w:r>
        <w:rPr>
          <w:color w:val="105C84"/>
        </w:rPr>
        <w:t>Healthy</w:t>
      </w:r>
      <w:r>
        <w:rPr>
          <w:color w:val="105C84"/>
          <w:spacing w:val="26"/>
        </w:rPr>
        <w:t> </w:t>
      </w:r>
      <w:r>
        <w:rPr>
          <w:color w:val="105C84"/>
        </w:rPr>
        <w:t>eating</w:t>
      </w:r>
      <w:r>
        <w:rPr>
          <w:color w:val="105C84"/>
          <w:spacing w:val="26"/>
        </w:rPr>
        <w:t> </w:t>
      </w:r>
      <w:r>
        <w:rPr>
          <w:color w:val="105C84"/>
        </w:rPr>
        <w:t>habits</w:t>
      </w:r>
      <w:r>
        <w:rPr>
          <w:color w:val="105C84"/>
          <w:spacing w:val="26"/>
        </w:rPr>
        <w:t> </w:t>
      </w:r>
      <w:r>
        <w:rPr>
          <w:color w:val="105C84"/>
        </w:rPr>
        <w:t>is</w:t>
      </w:r>
      <w:r>
        <w:rPr>
          <w:color w:val="105C84"/>
          <w:spacing w:val="26"/>
        </w:rPr>
        <w:t> </w:t>
      </w:r>
      <w:r>
        <w:rPr>
          <w:color w:val="105C84"/>
        </w:rPr>
        <w:t>another</w:t>
      </w:r>
      <w:r>
        <w:rPr>
          <w:color w:val="105C84"/>
          <w:spacing w:val="26"/>
        </w:rPr>
        <w:t> </w:t>
      </w:r>
      <w:r>
        <w:rPr>
          <w:color w:val="105C84"/>
        </w:rPr>
        <w:t>important</w:t>
      </w:r>
      <w:r>
        <w:rPr>
          <w:color w:val="105C84"/>
          <w:spacing w:val="26"/>
        </w:rPr>
        <w:t> </w:t>
      </w:r>
      <w:r>
        <w:rPr>
          <w:color w:val="105C84"/>
        </w:rPr>
        <w:t>factor</w:t>
      </w:r>
      <w:r>
        <w:rPr>
          <w:color w:val="105C84"/>
          <w:spacing w:val="26"/>
        </w:rPr>
        <w:t> </w:t>
      </w:r>
      <w:r>
        <w:rPr>
          <w:color w:val="105C84"/>
        </w:rPr>
        <w:t>contributing</w:t>
      </w:r>
      <w:r>
        <w:rPr>
          <w:color w:val="105C84"/>
          <w:spacing w:val="26"/>
        </w:rPr>
        <w:t> </w:t>
      </w:r>
      <w:r>
        <w:rPr>
          <w:color w:val="105C84"/>
        </w:rPr>
        <w:t>to</w:t>
      </w:r>
      <w:r>
        <w:rPr>
          <w:color w:val="105C84"/>
          <w:spacing w:val="26"/>
        </w:rPr>
        <w:t> </w:t>
      </w:r>
      <w:r>
        <w:rPr>
          <w:color w:val="105C84"/>
        </w:rPr>
        <w:t>the</w:t>
      </w:r>
      <w:r>
        <w:rPr>
          <w:color w:val="105C84"/>
          <w:spacing w:val="26"/>
        </w:rPr>
        <w:t> </w:t>
      </w:r>
      <w:r>
        <w:rPr>
          <w:color w:val="105C84"/>
        </w:rPr>
        <w:t>health</w:t>
      </w:r>
      <w:r>
        <w:rPr>
          <w:color w:val="105C84"/>
          <w:spacing w:val="26"/>
        </w:rPr>
        <w:t> </w:t>
      </w:r>
      <w:r>
        <w:rPr>
          <w:color w:val="105C84"/>
        </w:rPr>
        <w:t>of</w:t>
      </w:r>
      <w:r>
        <w:rPr>
          <w:color w:val="105C84"/>
          <w:spacing w:val="26"/>
        </w:rPr>
        <w:t> </w:t>
      </w:r>
      <w:r>
        <w:rPr>
          <w:color w:val="105C84"/>
        </w:rPr>
        <w:t>residents.</w:t>
      </w:r>
      <w:r>
        <w:rPr>
          <w:color w:val="105C84"/>
          <w:spacing w:val="26"/>
        </w:rPr>
        <w:t> </w:t>
      </w:r>
      <w:r>
        <w:rPr>
          <w:color w:val="105C84"/>
        </w:rPr>
        <w:t>According to </w:t>
      </w:r>
      <w:r>
        <w:rPr>
          <w:i/>
          <w:color w:val="105C84"/>
        </w:rPr>
        <w:t>My Health Story 2018 </w:t>
      </w:r>
      <w:r>
        <w:rPr>
          <w:color w:val="105C84"/>
        </w:rPr>
        <w:t>survey data, the majority of residents (71%) usually get their fruits and vegetables from a supermarket or grocery store (44%), though a substantial amount utilize local</w:t>
      </w:r>
      <w:r>
        <w:rPr>
          <w:color w:val="105C84"/>
          <w:spacing w:val="80"/>
        </w:rPr>
        <w:t> </w:t>
      </w:r>
      <w:r>
        <w:rPr>
          <w:color w:val="105C84"/>
        </w:rPr>
        <w:t>farm stands (42%), farmers markets (30%), or grow their own in their garden (21%). Data from the Behavioral Risk Factor Surveillance System revealed 54% and 69% of the population reported</w:t>
      </w:r>
      <w:r>
        <w:rPr>
          <w:color w:val="105C84"/>
          <w:spacing w:val="40"/>
        </w:rPr>
        <w:t> </w:t>
      </w:r>
      <w:r>
        <w:rPr>
          <w:color w:val="105C84"/>
        </w:rPr>
        <w:t>eating fruits and vegetables, respectively, on a regular basis. Of note, 29% report daily sugary drink consumption. </w:t>
      </w:r>
      <w:r>
        <w:rPr>
          <w:i/>
          <w:color w:val="105C84"/>
        </w:rPr>
        <w:t>My Health Story 2018 </w:t>
      </w:r>
      <w:r>
        <w:rPr>
          <w:color w:val="105C84"/>
        </w:rPr>
        <w:t>respondents were asked what are the biggest challenges or</w:t>
      </w:r>
    </w:p>
    <w:p>
      <w:pPr>
        <w:pStyle w:val="BodyText"/>
        <w:spacing w:line="247" w:lineRule="auto"/>
        <w:ind w:left="1080" w:right="120"/>
      </w:pPr>
      <w:r>
        <w:rPr>
          <w:color w:val="105C84"/>
        </w:rPr>
        <w:t>barriers that are keeping them from eating healthy. The biggest barrier in Ontario County, particularly</w:t>
      </w:r>
      <w:r>
        <w:rPr>
          <w:color w:val="105C84"/>
          <w:spacing w:val="40"/>
        </w:rPr>
        <w:t> </w:t>
      </w:r>
      <w:r>
        <w:rPr>
          <w:color w:val="105C84"/>
        </w:rPr>
        <w:t>for those with low income, is that healthy food is too expensive. Other issues which rose to the top</w:t>
      </w:r>
      <w:r>
        <w:rPr>
          <w:color w:val="105C84"/>
          <w:spacing w:val="80"/>
        </w:rPr>
        <w:t> </w:t>
      </w:r>
      <w:r>
        <w:rPr>
          <w:color w:val="105C84"/>
        </w:rPr>
        <w:t>were</w:t>
      </w:r>
      <w:r>
        <w:rPr>
          <w:color w:val="105C84"/>
          <w:spacing w:val="28"/>
        </w:rPr>
        <w:t> </w:t>
      </w:r>
      <w:r>
        <w:rPr>
          <w:color w:val="105C84"/>
        </w:rPr>
        <w:t>not</w:t>
      </w:r>
      <w:r>
        <w:rPr>
          <w:color w:val="105C84"/>
          <w:spacing w:val="28"/>
        </w:rPr>
        <w:t> </w:t>
      </w:r>
      <w:r>
        <w:rPr>
          <w:color w:val="105C84"/>
        </w:rPr>
        <w:t>enough</w:t>
      </w:r>
      <w:r>
        <w:rPr>
          <w:color w:val="105C84"/>
          <w:spacing w:val="28"/>
        </w:rPr>
        <w:t> </w:t>
      </w:r>
      <w:r>
        <w:rPr>
          <w:color w:val="105C84"/>
        </w:rPr>
        <w:t>time</w:t>
      </w:r>
      <w:r>
        <w:rPr>
          <w:color w:val="105C84"/>
          <w:spacing w:val="28"/>
        </w:rPr>
        <w:t> </w:t>
      </w:r>
      <w:r>
        <w:rPr>
          <w:color w:val="105C84"/>
        </w:rPr>
        <w:t>and</w:t>
      </w:r>
      <w:r>
        <w:rPr>
          <w:color w:val="105C84"/>
          <w:spacing w:val="28"/>
        </w:rPr>
        <w:t> </w:t>
      </w:r>
      <w:r>
        <w:rPr>
          <w:color w:val="105C84"/>
        </w:rPr>
        <w:t>lack</w:t>
      </w:r>
      <w:r>
        <w:rPr>
          <w:color w:val="105C84"/>
          <w:spacing w:val="28"/>
        </w:rPr>
        <w:t> </w:t>
      </w:r>
      <w:r>
        <w:rPr>
          <w:color w:val="105C84"/>
        </w:rPr>
        <w:t>of</w:t>
      </w:r>
      <w:r>
        <w:rPr>
          <w:color w:val="105C84"/>
          <w:spacing w:val="28"/>
        </w:rPr>
        <w:t> </w:t>
      </w:r>
      <w:r>
        <w:rPr>
          <w:color w:val="105C84"/>
        </w:rPr>
        <w:t>knowledge</w:t>
      </w:r>
      <w:r>
        <w:rPr>
          <w:color w:val="105C84"/>
          <w:spacing w:val="28"/>
        </w:rPr>
        <w:t> </w:t>
      </w:r>
      <w:r>
        <w:rPr>
          <w:color w:val="105C84"/>
        </w:rPr>
        <w:t>of</w:t>
      </w:r>
      <w:r>
        <w:rPr>
          <w:color w:val="105C84"/>
          <w:spacing w:val="28"/>
        </w:rPr>
        <w:t> </w:t>
      </w:r>
      <w:r>
        <w:rPr>
          <w:color w:val="105C84"/>
        </w:rPr>
        <w:t>how</w:t>
      </w:r>
      <w:r>
        <w:rPr>
          <w:color w:val="105C84"/>
          <w:spacing w:val="28"/>
        </w:rPr>
        <w:t> </w:t>
      </w:r>
      <w:r>
        <w:rPr>
          <w:color w:val="105C84"/>
        </w:rPr>
        <w:t>to</w:t>
      </w:r>
      <w:r>
        <w:rPr>
          <w:color w:val="105C84"/>
          <w:spacing w:val="28"/>
        </w:rPr>
        <w:t> </w:t>
      </w:r>
      <w:r>
        <w:rPr>
          <w:color w:val="105C84"/>
        </w:rPr>
        <w:t>shop</w:t>
      </w:r>
      <w:r>
        <w:rPr>
          <w:color w:val="105C84"/>
          <w:spacing w:val="28"/>
        </w:rPr>
        <w:t> </w:t>
      </w:r>
      <w:r>
        <w:rPr>
          <w:color w:val="105C84"/>
        </w:rPr>
        <w:t>for</w:t>
      </w:r>
      <w:r>
        <w:rPr>
          <w:color w:val="105C84"/>
          <w:spacing w:val="28"/>
        </w:rPr>
        <w:t> </w:t>
      </w:r>
      <w:r>
        <w:rPr>
          <w:color w:val="105C84"/>
        </w:rPr>
        <w:t>and</w:t>
      </w:r>
      <w:r>
        <w:rPr>
          <w:color w:val="105C84"/>
          <w:spacing w:val="28"/>
        </w:rPr>
        <w:t> </w:t>
      </w:r>
      <w:r>
        <w:rPr>
          <w:color w:val="105C84"/>
        </w:rPr>
        <w:t>prepare</w:t>
      </w:r>
      <w:r>
        <w:rPr>
          <w:color w:val="105C84"/>
          <w:spacing w:val="28"/>
        </w:rPr>
        <w:t> </w:t>
      </w:r>
      <w:r>
        <w:rPr>
          <w:color w:val="105C84"/>
        </w:rPr>
        <w:t>the</w:t>
      </w:r>
      <w:r>
        <w:rPr>
          <w:color w:val="105C84"/>
          <w:spacing w:val="28"/>
        </w:rPr>
        <w:t> </w:t>
      </w:r>
      <w:r>
        <w:rPr>
          <w:color w:val="105C84"/>
        </w:rPr>
        <w:t>food.</w:t>
      </w:r>
    </w:p>
    <w:p>
      <w:pPr>
        <w:pStyle w:val="BodyText"/>
        <w:spacing w:line="247" w:lineRule="auto" w:before="175"/>
        <w:ind w:left="1080"/>
      </w:pPr>
      <w:r>
        <w:rPr>
          <w:color w:val="105C84"/>
        </w:rPr>
        <w:t>Substance use is another main health concern for Ontario County residents. An autopsy report audit conducted by Ontario County Public Health identified 17 opioid overdose deaths in 2016; 30 in 2017; and 31 in 2018. The first half of 2019 results indicate a reduction of 50% from the previous year. The reduction is most likely resultant of access to Narcan by first responders and community members. In addition, clients admitted to OASAS-certified chemical dependence treatment programs increased in</w:t>
      </w:r>
      <w:r>
        <w:rPr>
          <w:color w:val="105C84"/>
          <w:spacing w:val="80"/>
          <w:w w:val="150"/>
        </w:rPr>
        <w:t> </w:t>
      </w:r>
      <w:r>
        <w:rPr>
          <w:color w:val="105C84"/>
        </w:rPr>
        <w:t>Ontario</w:t>
      </w:r>
      <w:r>
        <w:rPr>
          <w:color w:val="105C84"/>
          <w:spacing w:val="15"/>
        </w:rPr>
        <w:t> </w:t>
      </w:r>
      <w:r>
        <w:rPr>
          <w:color w:val="105C84"/>
        </w:rPr>
        <w:t>County</w:t>
      </w:r>
      <w:r>
        <w:rPr>
          <w:color w:val="105C84"/>
          <w:spacing w:val="15"/>
        </w:rPr>
        <w:t> </w:t>
      </w:r>
      <w:r>
        <w:rPr>
          <w:color w:val="105C84"/>
        </w:rPr>
        <w:t>from</w:t>
      </w:r>
      <w:r>
        <w:rPr>
          <w:color w:val="105C84"/>
          <w:spacing w:val="15"/>
        </w:rPr>
        <w:t> </w:t>
      </w:r>
      <w:r>
        <w:rPr>
          <w:color w:val="105C84"/>
        </w:rPr>
        <w:t>575</w:t>
      </w:r>
      <w:r>
        <w:rPr>
          <w:color w:val="105C84"/>
          <w:spacing w:val="15"/>
        </w:rPr>
        <w:t> </w:t>
      </w:r>
      <w:r>
        <w:rPr>
          <w:color w:val="105C84"/>
        </w:rPr>
        <w:t>in</w:t>
      </w:r>
      <w:r>
        <w:rPr>
          <w:color w:val="105C84"/>
          <w:spacing w:val="15"/>
        </w:rPr>
        <w:t> </w:t>
      </w:r>
      <w:r>
        <w:rPr>
          <w:color w:val="105C84"/>
        </w:rPr>
        <w:t>2016</w:t>
      </w:r>
      <w:r>
        <w:rPr>
          <w:color w:val="105C84"/>
          <w:spacing w:val="15"/>
        </w:rPr>
        <w:t> </w:t>
      </w:r>
      <w:r>
        <w:rPr>
          <w:color w:val="105C84"/>
        </w:rPr>
        <w:t>to</w:t>
      </w:r>
      <w:r>
        <w:rPr>
          <w:color w:val="105C84"/>
          <w:spacing w:val="15"/>
        </w:rPr>
        <w:t> </w:t>
      </w:r>
      <w:r>
        <w:rPr>
          <w:color w:val="105C84"/>
        </w:rPr>
        <w:t>647</w:t>
      </w:r>
      <w:r>
        <w:rPr>
          <w:color w:val="105C84"/>
          <w:spacing w:val="15"/>
        </w:rPr>
        <w:t> </w:t>
      </w:r>
      <w:r>
        <w:rPr>
          <w:color w:val="105C84"/>
        </w:rPr>
        <w:t>in</w:t>
      </w:r>
      <w:r>
        <w:rPr>
          <w:color w:val="105C84"/>
          <w:spacing w:val="15"/>
        </w:rPr>
        <w:t> </w:t>
      </w:r>
      <w:r>
        <w:rPr>
          <w:color w:val="105C84"/>
        </w:rPr>
        <w:t>2017.</w:t>
      </w:r>
      <w:r>
        <w:rPr>
          <w:color w:val="105C84"/>
          <w:spacing w:val="15"/>
        </w:rPr>
        <w:t> </w:t>
      </w:r>
      <w:r>
        <w:rPr>
          <w:color w:val="105C84"/>
        </w:rPr>
        <w:t>The</w:t>
      </w:r>
      <w:r>
        <w:rPr>
          <w:color w:val="105C84"/>
          <w:spacing w:val="15"/>
        </w:rPr>
        <w:t> </w:t>
      </w:r>
      <w:r>
        <w:rPr>
          <w:color w:val="105C84"/>
        </w:rPr>
        <w:t>support</w:t>
      </w:r>
      <w:r>
        <w:rPr>
          <w:color w:val="105C84"/>
          <w:spacing w:val="15"/>
        </w:rPr>
        <w:t> </w:t>
      </w:r>
      <w:r>
        <w:rPr>
          <w:color w:val="105C84"/>
        </w:rPr>
        <w:t>from</w:t>
      </w:r>
      <w:r>
        <w:rPr>
          <w:color w:val="105C84"/>
          <w:spacing w:val="15"/>
        </w:rPr>
        <w:t> </w:t>
      </w:r>
      <w:r>
        <w:rPr>
          <w:color w:val="105C84"/>
        </w:rPr>
        <w:t>these</w:t>
      </w:r>
      <w:r>
        <w:rPr>
          <w:color w:val="105C84"/>
          <w:spacing w:val="15"/>
        </w:rPr>
        <w:t> </w:t>
      </w:r>
      <w:r>
        <w:rPr>
          <w:color w:val="105C84"/>
        </w:rPr>
        <w:t>programs</w:t>
      </w:r>
      <w:r>
        <w:rPr>
          <w:color w:val="105C84"/>
          <w:spacing w:val="15"/>
        </w:rPr>
        <w:t> </w:t>
      </w:r>
      <w:r>
        <w:rPr>
          <w:color w:val="105C84"/>
        </w:rPr>
        <w:t>and</w:t>
      </w:r>
      <w:r>
        <w:rPr>
          <w:color w:val="105C84"/>
          <w:spacing w:val="15"/>
        </w:rPr>
        <w:t> </w:t>
      </w:r>
      <w:r>
        <w:rPr>
          <w:color w:val="105C84"/>
        </w:rPr>
        <w:t>the</w:t>
      </w:r>
      <w:r>
        <w:rPr>
          <w:color w:val="105C84"/>
          <w:spacing w:val="15"/>
        </w:rPr>
        <w:t> </w:t>
      </w:r>
      <w:r>
        <w:rPr>
          <w:color w:val="105C84"/>
        </w:rPr>
        <w:t>increase</w:t>
      </w:r>
      <w:r>
        <w:rPr>
          <w:color w:val="105C84"/>
        </w:rPr>
        <w:t> in</w:t>
      </w:r>
      <w:r>
        <w:rPr>
          <w:color w:val="105C84"/>
          <w:spacing w:val="22"/>
        </w:rPr>
        <w:t> </w:t>
      </w:r>
      <w:r>
        <w:rPr>
          <w:color w:val="105C84"/>
        </w:rPr>
        <w:t>the</w:t>
      </w:r>
      <w:r>
        <w:rPr>
          <w:color w:val="105C84"/>
          <w:spacing w:val="22"/>
        </w:rPr>
        <w:t> </w:t>
      </w:r>
      <w:r>
        <w:rPr>
          <w:color w:val="105C84"/>
        </w:rPr>
        <w:t>number</w:t>
      </w:r>
      <w:r>
        <w:rPr>
          <w:color w:val="105C84"/>
          <w:spacing w:val="22"/>
        </w:rPr>
        <w:t> </w:t>
      </w:r>
      <w:r>
        <w:rPr>
          <w:color w:val="105C84"/>
        </w:rPr>
        <w:t>of</w:t>
      </w:r>
      <w:r>
        <w:rPr>
          <w:color w:val="105C84"/>
          <w:spacing w:val="22"/>
        </w:rPr>
        <w:t> </w:t>
      </w:r>
      <w:r>
        <w:rPr>
          <w:color w:val="105C84"/>
        </w:rPr>
        <w:t>programs</w:t>
      </w:r>
      <w:r>
        <w:rPr>
          <w:color w:val="105C84"/>
          <w:spacing w:val="22"/>
        </w:rPr>
        <w:t> </w:t>
      </w:r>
      <w:r>
        <w:rPr>
          <w:color w:val="105C84"/>
        </w:rPr>
        <w:t>available</w:t>
      </w:r>
      <w:r>
        <w:rPr>
          <w:color w:val="105C84"/>
          <w:spacing w:val="22"/>
        </w:rPr>
        <w:t> </w:t>
      </w:r>
      <w:r>
        <w:rPr>
          <w:color w:val="105C84"/>
        </w:rPr>
        <w:t>may</w:t>
      </w:r>
      <w:r>
        <w:rPr>
          <w:color w:val="105C84"/>
          <w:spacing w:val="22"/>
        </w:rPr>
        <w:t> </w:t>
      </w:r>
      <w:r>
        <w:rPr>
          <w:color w:val="105C84"/>
        </w:rPr>
        <w:t>be</w:t>
      </w:r>
      <w:r>
        <w:rPr>
          <w:color w:val="105C84"/>
          <w:spacing w:val="22"/>
        </w:rPr>
        <w:t> </w:t>
      </w:r>
      <w:r>
        <w:rPr>
          <w:color w:val="105C84"/>
        </w:rPr>
        <w:t>contributing</w:t>
      </w:r>
      <w:r>
        <w:rPr>
          <w:color w:val="105C84"/>
          <w:spacing w:val="22"/>
        </w:rPr>
        <w:t> </w:t>
      </w:r>
      <w:r>
        <w:rPr>
          <w:color w:val="105C84"/>
        </w:rPr>
        <w:t>factors</w:t>
      </w:r>
      <w:r>
        <w:rPr>
          <w:color w:val="105C84"/>
          <w:spacing w:val="22"/>
        </w:rPr>
        <w:t> </w:t>
      </w:r>
      <w:r>
        <w:rPr>
          <w:color w:val="105C84"/>
        </w:rPr>
        <w:t>to</w:t>
      </w:r>
      <w:r>
        <w:rPr>
          <w:color w:val="105C84"/>
          <w:spacing w:val="22"/>
        </w:rPr>
        <w:t> </w:t>
      </w:r>
      <w:r>
        <w:rPr>
          <w:color w:val="105C84"/>
        </w:rPr>
        <w:t>the</w:t>
      </w:r>
      <w:r>
        <w:rPr>
          <w:color w:val="105C84"/>
          <w:spacing w:val="22"/>
        </w:rPr>
        <w:t> </w:t>
      </w:r>
      <w:r>
        <w:rPr>
          <w:color w:val="105C84"/>
        </w:rPr>
        <w:t>lower</w:t>
      </w:r>
      <w:r>
        <w:rPr>
          <w:color w:val="105C84"/>
          <w:spacing w:val="22"/>
        </w:rPr>
        <w:t> </w:t>
      </w:r>
      <w:r>
        <w:rPr>
          <w:color w:val="105C84"/>
        </w:rPr>
        <w:t>number</w:t>
      </w:r>
      <w:r>
        <w:rPr>
          <w:color w:val="105C84"/>
          <w:spacing w:val="22"/>
        </w:rPr>
        <w:t> </w:t>
      </w:r>
      <w:r>
        <w:rPr>
          <w:color w:val="105C84"/>
        </w:rPr>
        <w:t>of</w:t>
      </w:r>
      <w:r>
        <w:rPr>
          <w:color w:val="105C84"/>
          <w:spacing w:val="22"/>
        </w:rPr>
        <w:t> </w:t>
      </w:r>
      <w:r>
        <w:rPr>
          <w:color w:val="105C84"/>
        </w:rPr>
        <w:t>deaths</w:t>
      </w:r>
      <w:r>
        <w:rPr>
          <w:color w:val="105C84"/>
          <w:spacing w:val="22"/>
        </w:rPr>
        <w:t> </w:t>
      </w:r>
      <w:r>
        <w:rPr>
          <w:color w:val="105C84"/>
        </w:rPr>
        <w:t>from opioids in the first two quarters of 2019. Unfortunately, law enforcement continues to see and address high drug use in our communities.</w:t>
      </w:r>
    </w:p>
    <w:p>
      <w:pPr>
        <w:pStyle w:val="BodyText"/>
        <w:spacing w:line="247" w:lineRule="auto" w:before="175"/>
        <w:ind w:left="1080" w:right="596"/>
      </w:pPr>
      <w:r>
        <w:rPr>
          <w:color w:val="105C84"/>
        </w:rPr>
        <w:t>According to the January 2019 New York Partnership for Success Student Survey, the percent of 7-12th</w:t>
      </w:r>
      <w:r>
        <w:rPr>
          <w:color w:val="105C84"/>
          <w:spacing w:val="-1"/>
        </w:rPr>
        <w:t> </w:t>
      </w:r>
      <w:r>
        <w:rPr>
          <w:color w:val="105C84"/>
        </w:rPr>
        <w:t>graders</w:t>
      </w:r>
      <w:r>
        <w:rPr>
          <w:color w:val="105C84"/>
          <w:spacing w:val="-1"/>
        </w:rPr>
        <w:t> </w:t>
      </w:r>
      <w:r>
        <w:rPr>
          <w:color w:val="105C84"/>
        </w:rPr>
        <w:t>who</w:t>
      </w:r>
      <w:r>
        <w:rPr>
          <w:color w:val="105C84"/>
          <w:spacing w:val="-1"/>
        </w:rPr>
        <w:t> </w:t>
      </w:r>
      <w:r>
        <w:rPr>
          <w:color w:val="105C84"/>
        </w:rPr>
        <w:t>misuse</w:t>
      </w:r>
      <w:r>
        <w:rPr>
          <w:color w:val="105C84"/>
          <w:spacing w:val="-1"/>
        </w:rPr>
        <w:t> </w:t>
      </w:r>
      <w:r>
        <w:rPr>
          <w:color w:val="105C84"/>
        </w:rPr>
        <w:t>prescription</w:t>
      </w:r>
      <w:r>
        <w:rPr>
          <w:color w:val="105C84"/>
          <w:spacing w:val="-1"/>
        </w:rPr>
        <w:t> </w:t>
      </w:r>
      <w:r>
        <w:rPr>
          <w:color w:val="105C84"/>
        </w:rPr>
        <w:t>drugs</w:t>
      </w:r>
      <w:r>
        <w:rPr>
          <w:color w:val="105C84"/>
          <w:spacing w:val="-1"/>
        </w:rPr>
        <w:t> </w:t>
      </w:r>
      <w:r>
        <w:rPr>
          <w:color w:val="105C84"/>
        </w:rPr>
        <w:t>decreased</w:t>
      </w:r>
      <w:r>
        <w:rPr>
          <w:color w:val="105C84"/>
          <w:spacing w:val="-1"/>
        </w:rPr>
        <w:t> </w:t>
      </w:r>
      <w:r>
        <w:rPr>
          <w:color w:val="105C84"/>
        </w:rPr>
        <w:t>from</w:t>
      </w:r>
      <w:r>
        <w:rPr>
          <w:color w:val="105C84"/>
          <w:spacing w:val="-1"/>
        </w:rPr>
        <w:t> </w:t>
      </w:r>
      <w:r>
        <w:rPr>
          <w:color w:val="105C84"/>
        </w:rPr>
        <w:t>2.7%</w:t>
      </w:r>
      <w:r>
        <w:rPr>
          <w:color w:val="105C84"/>
          <w:spacing w:val="-1"/>
        </w:rPr>
        <w:t> </w:t>
      </w:r>
      <w:r>
        <w:rPr>
          <w:color w:val="105C84"/>
        </w:rPr>
        <w:t>in</w:t>
      </w:r>
      <w:r>
        <w:rPr>
          <w:color w:val="105C84"/>
          <w:spacing w:val="-1"/>
        </w:rPr>
        <w:t> </w:t>
      </w:r>
      <w:r>
        <w:rPr>
          <w:color w:val="105C84"/>
        </w:rPr>
        <w:t>2015</w:t>
      </w:r>
      <w:r>
        <w:rPr>
          <w:color w:val="105C84"/>
          <w:spacing w:val="-1"/>
        </w:rPr>
        <w:t> </w:t>
      </w:r>
      <w:r>
        <w:rPr>
          <w:color w:val="105C84"/>
        </w:rPr>
        <w:t>to</w:t>
      </w:r>
      <w:r>
        <w:rPr>
          <w:color w:val="105C84"/>
          <w:spacing w:val="-1"/>
        </w:rPr>
        <w:t> </w:t>
      </w:r>
      <w:r>
        <w:rPr>
          <w:color w:val="105C84"/>
        </w:rPr>
        <w:t>1.7%</w:t>
      </w:r>
      <w:r>
        <w:rPr>
          <w:color w:val="105C84"/>
          <w:spacing w:val="-1"/>
        </w:rPr>
        <w:t> </w:t>
      </w:r>
      <w:r>
        <w:rPr>
          <w:color w:val="105C84"/>
        </w:rPr>
        <w:t>in</w:t>
      </w:r>
      <w:r>
        <w:rPr>
          <w:color w:val="105C84"/>
          <w:spacing w:val="-1"/>
        </w:rPr>
        <w:t> </w:t>
      </w:r>
      <w:r>
        <w:rPr>
          <w:color w:val="105C84"/>
        </w:rPr>
        <w:t>2017.</w:t>
      </w:r>
      <w:r>
        <w:rPr>
          <w:color w:val="105C84"/>
          <w:spacing w:val="-1"/>
        </w:rPr>
        <w:t> </w:t>
      </w:r>
      <w:r>
        <w:rPr>
          <w:color w:val="105C84"/>
        </w:rPr>
        <w:t>The</w:t>
      </w:r>
    </w:p>
    <w:p>
      <w:pPr>
        <w:pStyle w:val="BodyText"/>
        <w:spacing w:line="247" w:lineRule="auto"/>
        <w:ind w:left="1080"/>
      </w:pPr>
      <w:r>
        <w:rPr>
          <w:color w:val="105C84"/>
        </w:rPr>
        <w:t>reduction was greatest in 10th graders (4.3% in 2015 to 1.4% in 2018). The survey also reported that 51% of students talked with at least one parent in the past year about the dangers of drug use. Rates among older youth (11-12th graders) were higher (52%) than younger students (7-8th graders, 48%).</w:t>
      </w:r>
    </w:p>
    <w:p>
      <w:pPr>
        <w:pStyle w:val="BodyText"/>
      </w:pPr>
      <w:r>
        <w:rPr/>
        <w:br w:type="column"/>
      </w:r>
      <w:r>
        <w:rPr/>
      </w:r>
    </w:p>
    <w:p>
      <w:pPr>
        <w:pStyle w:val="BodyText"/>
        <w:spacing w:before="84"/>
      </w:pPr>
    </w:p>
    <w:p>
      <w:pPr>
        <w:pStyle w:val="BodyText"/>
        <w:spacing w:line="247" w:lineRule="auto"/>
        <w:ind w:left="1080" w:right="479"/>
      </w:pPr>
      <w:r>
        <w:rPr>
          <w:color w:val="105C84"/>
        </w:rPr>
        <w:t>Binge drinking is a measure used to help gauge substance abuse in communities. According to data retrieved from the 2016 Behavioral Risk Factor Surveillance System, approximately 23% of Ontario County adult residents reported binge drinking in the past month, which has risen since 2013-2014 estimates (10%). Figure 28 demonstrates the prevalence of alcohol use among youth compared</w:t>
      </w:r>
    </w:p>
    <w:p>
      <w:pPr>
        <w:pStyle w:val="BodyText"/>
        <w:spacing w:line="247" w:lineRule="auto"/>
        <w:ind w:left="1080" w:right="399"/>
      </w:pPr>
      <w:r>
        <w:rPr>
          <w:color w:val="105C84"/>
          <w:w w:val="105"/>
        </w:rPr>
        <w:t>to</w:t>
      </w:r>
      <w:r>
        <w:rPr>
          <w:color w:val="105C84"/>
          <w:spacing w:val="-11"/>
          <w:w w:val="105"/>
        </w:rPr>
        <w:t> </w:t>
      </w:r>
      <w:r>
        <w:rPr>
          <w:color w:val="105C84"/>
          <w:w w:val="105"/>
        </w:rPr>
        <w:t>the</w:t>
      </w:r>
      <w:r>
        <w:rPr>
          <w:color w:val="105C84"/>
          <w:spacing w:val="-11"/>
          <w:w w:val="105"/>
        </w:rPr>
        <w:t> </w:t>
      </w:r>
      <w:r>
        <w:rPr>
          <w:color w:val="105C84"/>
          <w:w w:val="105"/>
        </w:rPr>
        <w:t>national</w:t>
      </w:r>
      <w:r>
        <w:rPr>
          <w:color w:val="105C84"/>
          <w:spacing w:val="-11"/>
          <w:w w:val="105"/>
        </w:rPr>
        <w:t> </w:t>
      </w:r>
      <w:r>
        <w:rPr>
          <w:color w:val="105C84"/>
          <w:w w:val="105"/>
        </w:rPr>
        <w:t>average.</w:t>
      </w:r>
      <w:r>
        <w:rPr>
          <w:color w:val="105C84"/>
          <w:spacing w:val="-11"/>
          <w:w w:val="105"/>
        </w:rPr>
        <w:t> </w:t>
      </w:r>
      <w:r>
        <w:rPr>
          <w:color w:val="105C84"/>
          <w:w w:val="105"/>
        </w:rPr>
        <w:t>You</w:t>
      </w:r>
      <w:r>
        <w:rPr>
          <w:color w:val="105C84"/>
          <w:spacing w:val="-11"/>
          <w:w w:val="105"/>
        </w:rPr>
        <w:t> </w:t>
      </w:r>
      <w:r>
        <w:rPr>
          <w:color w:val="105C84"/>
          <w:w w:val="105"/>
        </w:rPr>
        <w:t>will</w:t>
      </w:r>
      <w:r>
        <w:rPr>
          <w:color w:val="105C84"/>
          <w:spacing w:val="-11"/>
          <w:w w:val="105"/>
        </w:rPr>
        <w:t> </w:t>
      </w:r>
      <w:r>
        <w:rPr>
          <w:color w:val="105C84"/>
          <w:w w:val="105"/>
        </w:rPr>
        <w:t>see</w:t>
      </w:r>
      <w:r>
        <w:rPr>
          <w:color w:val="105C84"/>
          <w:spacing w:val="-11"/>
          <w:w w:val="105"/>
        </w:rPr>
        <w:t> </w:t>
      </w:r>
      <w:r>
        <w:rPr>
          <w:color w:val="105C84"/>
          <w:w w:val="105"/>
        </w:rPr>
        <w:t>that</w:t>
      </w:r>
      <w:r>
        <w:rPr>
          <w:color w:val="105C84"/>
          <w:spacing w:val="-11"/>
          <w:w w:val="105"/>
        </w:rPr>
        <w:t> </w:t>
      </w:r>
      <w:r>
        <w:rPr>
          <w:color w:val="105C84"/>
          <w:w w:val="105"/>
        </w:rPr>
        <w:t>rates</w:t>
      </w:r>
      <w:r>
        <w:rPr>
          <w:color w:val="105C84"/>
          <w:spacing w:val="-11"/>
          <w:w w:val="105"/>
        </w:rPr>
        <w:t> </w:t>
      </w:r>
      <w:r>
        <w:rPr>
          <w:color w:val="105C84"/>
          <w:w w:val="105"/>
        </w:rPr>
        <w:t>for</w:t>
      </w:r>
      <w:r>
        <w:rPr>
          <w:color w:val="105C84"/>
          <w:spacing w:val="-11"/>
          <w:w w:val="105"/>
        </w:rPr>
        <w:t> </w:t>
      </w:r>
      <w:r>
        <w:rPr>
          <w:color w:val="105C84"/>
          <w:w w:val="105"/>
        </w:rPr>
        <w:t>each</w:t>
      </w:r>
      <w:r>
        <w:rPr>
          <w:color w:val="105C84"/>
          <w:spacing w:val="-11"/>
          <w:w w:val="105"/>
        </w:rPr>
        <w:t> </w:t>
      </w:r>
      <w:r>
        <w:rPr>
          <w:color w:val="105C84"/>
          <w:w w:val="105"/>
        </w:rPr>
        <w:t>grade</w:t>
      </w:r>
      <w:r>
        <w:rPr>
          <w:color w:val="105C84"/>
          <w:spacing w:val="-11"/>
          <w:w w:val="105"/>
        </w:rPr>
        <w:t> </w:t>
      </w:r>
      <w:r>
        <w:rPr>
          <w:color w:val="105C84"/>
          <w:w w:val="105"/>
        </w:rPr>
        <w:t>year</w:t>
      </w:r>
      <w:r>
        <w:rPr>
          <w:color w:val="105C84"/>
          <w:spacing w:val="-11"/>
          <w:w w:val="105"/>
        </w:rPr>
        <w:t> </w:t>
      </w:r>
      <w:r>
        <w:rPr>
          <w:color w:val="105C84"/>
          <w:w w:val="105"/>
        </w:rPr>
        <w:t>are</w:t>
      </w:r>
      <w:r>
        <w:rPr>
          <w:color w:val="105C84"/>
          <w:spacing w:val="-11"/>
          <w:w w:val="105"/>
        </w:rPr>
        <w:t> </w:t>
      </w:r>
      <w:r>
        <w:rPr>
          <w:color w:val="105C84"/>
          <w:w w:val="105"/>
        </w:rPr>
        <w:t>higher</w:t>
      </w:r>
      <w:r>
        <w:rPr>
          <w:color w:val="105C84"/>
          <w:spacing w:val="-11"/>
          <w:w w:val="105"/>
        </w:rPr>
        <w:t> </w:t>
      </w:r>
      <w:r>
        <w:rPr>
          <w:color w:val="105C84"/>
          <w:w w:val="105"/>
        </w:rPr>
        <w:t>than</w:t>
      </w:r>
      <w:r>
        <w:rPr>
          <w:color w:val="105C84"/>
          <w:spacing w:val="-11"/>
          <w:w w:val="105"/>
        </w:rPr>
        <w:t> </w:t>
      </w:r>
      <w:r>
        <w:rPr>
          <w:color w:val="105C84"/>
          <w:w w:val="105"/>
        </w:rPr>
        <w:t>the</w:t>
      </w:r>
      <w:r>
        <w:rPr>
          <w:color w:val="105C84"/>
          <w:spacing w:val="-11"/>
          <w:w w:val="105"/>
        </w:rPr>
        <w:t> </w:t>
      </w:r>
      <w:r>
        <w:rPr>
          <w:color w:val="105C84"/>
          <w:w w:val="105"/>
        </w:rPr>
        <w:t>average. According</w:t>
      </w:r>
      <w:r>
        <w:rPr>
          <w:color w:val="105C84"/>
          <w:spacing w:val="-3"/>
          <w:w w:val="105"/>
        </w:rPr>
        <w:t> </w:t>
      </w:r>
      <w:r>
        <w:rPr>
          <w:color w:val="105C84"/>
          <w:w w:val="105"/>
        </w:rPr>
        <w:t>to</w:t>
      </w:r>
      <w:r>
        <w:rPr>
          <w:color w:val="105C84"/>
          <w:spacing w:val="-3"/>
          <w:w w:val="105"/>
        </w:rPr>
        <w:t> </w:t>
      </w:r>
      <w:r>
        <w:rPr>
          <w:color w:val="105C84"/>
          <w:w w:val="105"/>
        </w:rPr>
        <w:t>the</w:t>
      </w:r>
      <w:r>
        <w:rPr>
          <w:color w:val="105C84"/>
          <w:spacing w:val="-3"/>
          <w:w w:val="105"/>
        </w:rPr>
        <w:t> </w:t>
      </w:r>
      <w:r>
        <w:rPr>
          <w:color w:val="105C84"/>
          <w:w w:val="105"/>
        </w:rPr>
        <w:t>survey</w:t>
      </w:r>
      <w:r>
        <w:rPr>
          <w:color w:val="105C84"/>
          <w:spacing w:val="-3"/>
          <w:w w:val="105"/>
        </w:rPr>
        <w:t> </w:t>
      </w:r>
      <w:r>
        <w:rPr>
          <w:color w:val="105C84"/>
          <w:w w:val="105"/>
        </w:rPr>
        <w:t>data,</w:t>
      </w:r>
      <w:r>
        <w:rPr>
          <w:color w:val="105C84"/>
          <w:spacing w:val="-3"/>
          <w:w w:val="105"/>
        </w:rPr>
        <w:t> </w:t>
      </w:r>
      <w:r>
        <w:rPr>
          <w:color w:val="105C84"/>
          <w:w w:val="105"/>
        </w:rPr>
        <w:t>46%</w:t>
      </w:r>
      <w:r>
        <w:rPr>
          <w:color w:val="105C84"/>
          <w:spacing w:val="-3"/>
          <w:w w:val="105"/>
        </w:rPr>
        <w:t> </w:t>
      </w:r>
      <w:r>
        <w:rPr>
          <w:color w:val="105C84"/>
          <w:w w:val="105"/>
        </w:rPr>
        <w:t>of</w:t>
      </w:r>
      <w:r>
        <w:rPr>
          <w:color w:val="105C84"/>
          <w:spacing w:val="-3"/>
          <w:w w:val="105"/>
        </w:rPr>
        <w:t> </w:t>
      </w:r>
      <w:r>
        <w:rPr>
          <w:color w:val="105C84"/>
          <w:w w:val="105"/>
        </w:rPr>
        <w:t>students</w:t>
      </w:r>
      <w:r>
        <w:rPr>
          <w:color w:val="105C84"/>
          <w:spacing w:val="-3"/>
          <w:w w:val="105"/>
        </w:rPr>
        <w:t> </w:t>
      </w:r>
      <w:r>
        <w:rPr>
          <w:color w:val="105C84"/>
          <w:w w:val="105"/>
        </w:rPr>
        <w:t>reported</w:t>
      </w:r>
      <w:r>
        <w:rPr>
          <w:color w:val="105C84"/>
          <w:spacing w:val="-3"/>
          <w:w w:val="105"/>
        </w:rPr>
        <w:t> </w:t>
      </w:r>
      <w:r>
        <w:rPr>
          <w:color w:val="105C84"/>
          <w:w w:val="105"/>
        </w:rPr>
        <w:t>talking</w:t>
      </w:r>
      <w:r>
        <w:rPr>
          <w:color w:val="105C84"/>
          <w:spacing w:val="-3"/>
          <w:w w:val="105"/>
        </w:rPr>
        <w:t> </w:t>
      </w:r>
      <w:r>
        <w:rPr>
          <w:color w:val="105C84"/>
          <w:w w:val="105"/>
        </w:rPr>
        <w:t>with</w:t>
      </w:r>
      <w:r>
        <w:rPr>
          <w:color w:val="105C84"/>
          <w:spacing w:val="-3"/>
          <w:w w:val="105"/>
        </w:rPr>
        <w:t> </w:t>
      </w:r>
      <w:r>
        <w:rPr>
          <w:color w:val="105C84"/>
          <w:w w:val="105"/>
        </w:rPr>
        <w:t>at</w:t>
      </w:r>
      <w:r>
        <w:rPr>
          <w:color w:val="105C84"/>
          <w:spacing w:val="-3"/>
          <w:w w:val="105"/>
        </w:rPr>
        <w:t> </w:t>
      </w:r>
      <w:r>
        <w:rPr>
          <w:color w:val="105C84"/>
          <w:w w:val="105"/>
        </w:rPr>
        <w:t>least</w:t>
      </w:r>
      <w:r>
        <w:rPr>
          <w:color w:val="105C84"/>
          <w:spacing w:val="-3"/>
          <w:w w:val="105"/>
        </w:rPr>
        <w:t> </w:t>
      </w:r>
      <w:r>
        <w:rPr>
          <w:color w:val="105C84"/>
          <w:w w:val="105"/>
        </w:rPr>
        <w:t>one</w:t>
      </w:r>
      <w:r>
        <w:rPr>
          <w:color w:val="105C84"/>
          <w:spacing w:val="-3"/>
          <w:w w:val="105"/>
        </w:rPr>
        <w:t> </w:t>
      </w:r>
      <w:r>
        <w:rPr>
          <w:color w:val="105C84"/>
          <w:w w:val="105"/>
        </w:rPr>
        <w:t>parent</w:t>
      </w:r>
      <w:r>
        <w:rPr>
          <w:color w:val="105C84"/>
          <w:spacing w:val="-3"/>
          <w:w w:val="105"/>
        </w:rPr>
        <w:t> </w:t>
      </w:r>
      <w:r>
        <w:rPr>
          <w:color w:val="105C84"/>
          <w:w w:val="105"/>
        </w:rPr>
        <w:t>about</w:t>
      </w:r>
      <w:r>
        <w:rPr>
          <w:color w:val="105C84"/>
          <w:spacing w:val="-3"/>
          <w:w w:val="105"/>
        </w:rPr>
        <w:t> </w:t>
      </w:r>
      <w:r>
        <w:rPr>
          <w:color w:val="105C84"/>
          <w:w w:val="105"/>
        </w:rPr>
        <w:t>the </w:t>
      </w:r>
      <w:r>
        <w:rPr>
          <w:color w:val="105C84"/>
        </w:rPr>
        <w:t>dangers</w:t>
      </w:r>
      <w:r>
        <w:rPr>
          <w:color w:val="105C84"/>
          <w:spacing w:val="10"/>
        </w:rPr>
        <w:t> </w:t>
      </w:r>
      <w:r>
        <w:rPr>
          <w:color w:val="105C84"/>
        </w:rPr>
        <w:t>of</w:t>
      </w:r>
      <w:r>
        <w:rPr>
          <w:color w:val="105C84"/>
          <w:spacing w:val="10"/>
        </w:rPr>
        <w:t> </w:t>
      </w:r>
      <w:r>
        <w:rPr>
          <w:color w:val="105C84"/>
        </w:rPr>
        <w:t>alcohol</w:t>
      </w:r>
      <w:r>
        <w:rPr>
          <w:color w:val="105C84"/>
          <w:spacing w:val="10"/>
        </w:rPr>
        <w:t> </w:t>
      </w:r>
      <w:r>
        <w:rPr>
          <w:color w:val="105C84"/>
        </w:rPr>
        <w:t>use</w:t>
      </w:r>
      <w:r>
        <w:rPr>
          <w:color w:val="105C84"/>
          <w:spacing w:val="10"/>
        </w:rPr>
        <w:t> </w:t>
      </w:r>
      <w:r>
        <w:rPr>
          <w:color w:val="105C84"/>
        </w:rPr>
        <w:t>in</w:t>
      </w:r>
      <w:r>
        <w:rPr>
          <w:color w:val="105C84"/>
          <w:spacing w:val="10"/>
        </w:rPr>
        <w:t> </w:t>
      </w:r>
      <w:r>
        <w:rPr>
          <w:color w:val="105C84"/>
        </w:rPr>
        <w:t>the</w:t>
      </w:r>
      <w:r>
        <w:rPr>
          <w:color w:val="105C84"/>
          <w:spacing w:val="10"/>
        </w:rPr>
        <w:t> </w:t>
      </w:r>
      <w:r>
        <w:rPr>
          <w:color w:val="105C84"/>
        </w:rPr>
        <w:t>past</w:t>
      </w:r>
      <w:r>
        <w:rPr>
          <w:color w:val="105C84"/>
          <w:spacing w:val="10"/>
        </w:rPr>
        <w:t> </w:t>
      </w:r>
      <w:r>
        <w:rPr>
          <w:color w:val="105C84"/>
        </w:rPr>
        <w:t>year.</w:t>
      </w:r>
      <w:r>
        <w:rPr>
          <w:color w:val="105C84"/>
          <w:spacing w:val="10"/>
        </w:rPr>
        <w:t> </w:t>
      </w:r>
      <w:r>
        <w:rPr>
          <w:color w:val="105C84"/>
        </w:rPr>
        <w:t>Similar</w:t>
      </w:r>
      <w:r>
        <w:rPr>
          <w:color w:val="105C84"/>
          <w:spacing w:val="10"/>
        </w:rPr>
        <w:t> </w:t>
      </w:r>
      <w:r>
        <w:rPr>
          <w:color w:val="105C84"/>
        </w:rPr>
        <w:t>to</w:t>
      </w:r>
      <w:r>
        <w:rPr>
          <w:color w:val="105C84"/>
          <w:spacing w:val="10"/>
        </w:rPr>
        <w:t> </w:t>
      </w:r>
      <w:r>
        <w:rPr>
          <w:color w:val="105C84"/>
        </w:rPr>
        <w:t>findings</w:t>
      </w:r>
      <w:r>
        <w:rPr>
          <w:color w:val="105C84"/>
          <w:spacing w:val="10"/>
        </w:rPr>
        <w:t> </w:t>
      </w:r>
      <w:r>
        <w:rPr>
          <w:color w:val="105C84"/>
        </w:rPr>
        <w:t>of</w:t>
      </w:r>
      <w:r>
        <w:rPr>
          <w:color w:val="105C84"/>
          <w:spacing w:val="10"/>
        </w:rPr>
        <w:t> </w:t>
      </w:r>
      <w:r>
        <w:rPr>
          <w:color w:val="105C84"/>
        </w:rPr>
        <w:t>talking</w:t>
      </w:r>
      <w:r>
        <w:rPr>
          <w:color w:val="105C84"/>
          <w:spacing w:val="10"/>
        </w:rPr>
        <w:t> </w:t>
      </w:r>
      <w:r>
        <w:rPr>
          <w:color w:val="105C84"/>
        </w:rPr>
        <w:t>about</w:t>
      </w:r>
      <w:r>
        <w:rPr>
          <w:color w:val="105C84"/>
          <w:spacing w:val="10"/>
        </w:rPr>
        <w:t> </w:t>
      </w:r>
      <w:r>
        <w:rPr>
          <w:color w:val="105C84"/>
        </w:rPr>
        <w:t>drug</w:t>
      </w:r>
      <w:r>
        <w:rPr>
          <w:color w:val="105C84"/>
          <w:spacing w:val="10"/>
        </w:rPr>
        <w:t> </w:t>
      </w:r>
      <w:r>
        <w:rPr>
          <w:color w:val="105C84"/>
        </w:rPr>
        <w:t>use,</w:t>
      </w:r>
      <w:r>
        <w:rPr>
          <w:color w:val="105C84"/>
          <w:spacing w:val="10"/>
        </w:rPr>
        <w:t> </w:t>
      </w:r>
      <w:r>
        <w:rPr>
          <w:color w:val="105C84"/>
        </w:rPr>
        <w:t>older</w:t>
      </w:r>
      <w:r>
        <w:rPr>
          <w:color w:val="105C84"/>
          <w:spacing w:val="10"/>
        </w:rPr>
        <w:t> </w:t>
      </w:r>
      <w:r>
        <w:rPr>
          <w:color w:val="105C84"/>
        </w:rPr>
        <w:t>youth</w:t>
      </w:r>
      <w:r>
        <w:rPr>
          <w:color w:val="105C84"/>
          <w:spacing w:val="10"/>
        </w:rPr>
        <w:t> </w:t>
      </w:r>
      <w:r>
        <w:rPr>
          <w:color w:val="105C84"/>
        </w:rPr>
        <w:t>(11-12th graders) were more likely to report talking to parents (48%) as opposed to 7-8th graders (43%).</w:t>
      </w:r>
    </w:p>
    <w:p>
      <w:pPr>
        <w:pStyle w:val="BodyText"/>
        <w:spacing w:before="14"/>
      </w:pPr>
    </w:p>
    <w:p>
      <w:pPr>
        <w:pStyle w:val="Heading6"/>
      </w:pPr>
      <w:r>
        <w:rPr>
          <w:color w:val="105C84"/>
          <w:spacing w:val="-2"/>
        </w:rPr>
        <w:t>FIGURE</w:t>
      </w:r>
      <w:r>
        <w:rPr>
          <w:color w:val="105C84"/>
          <w:spacing w:val="-14"/>
        </w:rPr>
        <w:t> </w:t>
      </w:r>
      <w:r>
        <w:rPr>
          <w:color w:val="105C84"/>
          <w:spacing w:val="-2"/>
        </w:rPr>
        <w:t>28:</w:t>
      </w:r>
      <w:r>
        <w:rPr>
          <w:color w:val="105C84"/>
          <w:spacing w:val="-14"/>
        </w:rPr>
        <w:t> </w:t>
      </w:r>
      <w:r>
        <w:rPr>
          <w:color w:val="105C84"/>
          <w:spacing w:val="-2"/>
        </w:rPr>
        <w:t>Past</w:t>
      </w:r>
      <w:r>
        <w:rPr>
          <w:color w:val="105C84"/>
          <w:spacing w:val="-14"/>
        </w:rPr>
        <w:t> </w:t>
      </w:r>
      <w:r>
        <w:rPr>
          <w:color w:val="105C84"/>
          <w:spacing w:val="-2"/>
        </w:rPr>
        <w:t>30-day</w:t>
      </w:r>
      <w:r>
        <w:rPr>
          <w:color w:val="105C84"/>
          <w:spacing w:val="-14"/>
        </w:rPr>
        <w:t> </w:t>
      </w:r>
      <w:r>
        <w:rPr>
          <w:color w:val="105C84"/>
          <w:spacing w:val="-2"/>
        </w:rPr>
        <w:t>prevalence</w:t>
      </w:r>
      <w:r>
        <w:rPr>
          <w:color w:val="105C84"/>
          <w:spacing w:val="-14"/>
        </w:rPr>
        <w:t> </w:t>
      </w:r>
      <w:r>
        <w:rPr>
          <w:color w:val="105C84"/>
          <w:spacing w:val="-2"/>
        </w:rPr>
        <w:t>of</w:t>
      </w:r>
      <w:r>
        <w:rPr>
          <w:color w:val="105C84"/>
          <w:spacing w:val="-14"/>
        </w:rPr>
        <w:t> </w:t>
      </w:r>
      <w:r>
        <w:rPr>
          <w:color w:val="105C84"/>
          <w:spacing w:val="-2"/>
        </w:rPr>
        <w:t>alcohol</w:t>
      </w:r>
      <w:r>
        <w:rPr>
          <w:color w:val="105C84"/>
          <w:spacing w:val="-14"/>
        </w:rPr>
        <w:t> </w:t>
      </w:r>
      <w:r>
        <w:rPr>
          <w:color w:val="105C84"/>
          <w:spacing w:val="-2"/>
        </w:rPr>
        <w:t>use</w:t>
      </w:r>
      <w:r>
        <w:rPr>
          <w:color w:val="105C84"/>
          <w:spacing w:val="-14"/>
        </w:rPr>
        <w:t> </w:t>
      </w:r>
      <w:r>
        <w:rPr>
          <w:color w:val="105C84"/>
          <w:spacing w:val="-2"/>
        </w:rPr>
        <w:t>in</w:t>
      </w:r>
      <w:r>
        <w:rPr>
          <w:color w:val="105C84"/>
          <w:spacing w:val="-14"/>
        </w:rPr>
        <w:t> </w:t>
      </w:r>
      <w:r>
        <w:rPr>
          <w:color w:val="105C84"/>
          <w:spacing w:val="-2"/>
        </w:rPr>
        <w:t>Ontario</w:t>
      </w:r>
      <w:r>
        <w:rPr>
          <w:color w:val="105C84"/>
          <w:spacing w:val="-14"/>
        </w:rPr>
        <w:t> </w:t>
      </w:r>
      <w:r>
        <w:rPr>
          <w:color w:val="105C84"/>
          <w:spacing w:val="-2"/>
        </w:rPr>
        <w:t>County</w:t>
      </w:r>
      <w:r>
        <w:rPr>
          <w:color w:val="105C84"/>
          <w:spacing w:val="-14"/>
        </w:rPr>
        <w:t> </w:t>
      </w:r>
      <w:r>
        <w:rPr>
          <w:color w:val="105C84"/>
          <w:spacing w:val="-2"/>
        </w:rPr>
        <w:t>compared</w:t>
      </w:r>
      <w:r>
        <w:rPr>
          <w:color w:val="105C84"/>
          <w:spacing w:val="-14"/>
        </w:rPr>
        <w:t> </w:t>
      </w:r>
      <w:r>
        <w:rPr>
          <w:color w:val="105C84"/>
          <w:spacing w:val="-2"/>
        </w:rPr>
        <w:t>to </w:t>
      </w:r>
      <w:r>
        <w:rPr>
          <w:color w:val="105C84"/>
        </w:rPr>
        <w:t>national average</w:t>
      </w:r>
    </w:p>
    <w:p>
      <w:pPr>
        <w:pStyle w:val="BodyText"/>
        <w:spacing w:before="11"/>
        <w:rPr>
          <w:b/>
          <w:sz w:val="26"/>
        </w:rPr>
      </w:pPr>
    </w:p>
    <w:p>
      <w:pPr>
        <w:spacing w:before="0"/>
        <w:ind w:left="1510" w:right="0" w:firstLine="0"/>
        <w:jc w:val="left"/>
        <w:rPr>
          <w:sz w:val="16"/>
        </w:rPr>
      </w:pPr>
      <w:r>
        <w:rPr>
          <w:sz w:val="16"/>
        </w:rPr>
        <mc:AlternateContent>
          <mc:Choice Requires="wps">
            <w:drawing>
              <wp:anchor distT="0" distB="0" distL="0" distR="0" allowOverlap="1" layoutInCell="1" locked="0" behindDoc="0" simplePos="0" relativeHeight="15814144">
                <wp:simplePos x="0" y="0"/>
                <wp:positionH relativeFrom="page">
                  <wp:posOffset>8966752</wp:posOffset>
                </wp:positionH>
                <wp:positionV relativeFrom="paragraph">
                  <wp:posOffset>-22582</wp:posOffset>
                </wp:positionV>
                <wp:extent cx="4742180" cy="2129155"/>
                <wp:effectExtent l="0" t="0" r="0" b="0"/>
                <wp:wrapNone/>
                <wp:docPr id="823" name="Group 823"/>
                <wp:cNvGraphicFramePr>
                  <a:graphicFrameLocks/>
                </wp:cNvGraphicFramePr>
                <a:graphic>
                  <a:graphicData uri="http://schemas.microsoft.com/office/word/2010/wordprocessingGroup">
                    <wpg:wgp>
                      <wpg:cNvPr id="823" name="Group 823"/>
                      <wpg:cNvGrpSpPr/>
                      <wpg:grpSpPr>
                        <a:xfrm>
                          <a:off x="0" y="0"/>
                          <a:ext cx="4742180" cy="2129155"/>
                          <a:chExt cx="4742180" cy="2129155"/>
                        </a:xfrm>
                      </wpg:grpSpPr>
                      <wps:wsp>
                        <wps:cNvPr id="824" name="Graphic 824"/>
                        <wps:cNvSpPr/>
                        <wps:spPr>
                          <a:xfrm>
                            <a:off x="364813" y="47701"/>
                            <a:ext cx="67945" cy="67945"/>
                          </a:xfrm>
                          <a:custGeom>
                            <a:avLst/>
                            <a:gdLst/>
                            <a:ahLst/>
                            <a:cxnLst/>
                            <a:rect l="l" t="t" r="r" b="b"/>
                            <a:pathLst>
                              <a:path w="67945" h="67945">
                                <a:moveTo>
                                  <a:pt x="67881" y="0"/>
                                </a:moveTo>
                                <a:lnTo>
                                  <a:pt x="0" y="0"/>
                                </a:lnTo>
                                <a:lnTo>
                                  <a:pt x="0" y="67881"/>
                                </a:lnTo>
                                <a:lnTo>
                                  <a:pt x="67881" y="67881"/>
                                </a:lnTo>
                                <a:lnTo>
                                  <a:pt x="67881" y="0"/>
                                </a:lnTo>
                                <a:close/>
                              </a:path>
                            </a:pathLst>
                          </a:custGeom>
                          <a:solidFill>
                            <a:srgbClr val="105C84"/>
                          </a:solidFill>
                        </wps:spPr>
                        <wps:bodyPr wrap="square" lIns="0" tIns="0" rIns="0" bIns="0" rtlCol="0">
                          <a:prstTxWarp prst="textNoShape">
                            <a:avLst/>
                          </a:prstTxWarp>
                          <a:noAutofit/>
                        </wps:bodyPr>
                      </wps:wsp>
                      <wps:wsp>
                        <wps:cNvPr id="825" name="Graphic 825"/>
                        <wps:cNvSpPr/>
                        <wps:spPr>
                          <a:xfrm>
                            <a:off x="1398492" y="47701"/>
                            <a:ext cx="67945" cy="67945"/>
                          </a:xfrm>
                          <a:custGeom>
                            <a:avLst/>
                            <a:gdLst/>
                            <a:ahLst/>
                            <a:cxnLst/>
                            <a:rect l="l" t="t" r="r" b="b"/>
                            <a:pathLst>
                              <a:path w="67945" h="67945">
                                <a:moveTo>
                                  <a:pt x="67881" y="0"/>
                                </a:moveTo>
                                <a:lnTo>
                                  <a:pt x="0" y="0"/>
                                </a:lnTo>
                                <a:lnTo>
                                  <a:pt x="0" y="67881"/>
                                </a:lnTo>
                                <a:lnTo>
                                  <a:pt x="67881" y="67881"/>
                                </a:lnTo>
                                <a:lnTo>
                                  <a:pt x="67881" y="0"/>
                                </a:lnTo>
                                <a:close/>
                              </a:path>
                            </a:pathLst>
                          </a:custGeom>
                          <a:solidFill>
                            <a:srgbClr val="BCBEC0"/>
                          </a:solidFill>
                        </wps:spPr>
                        <wps:bodyPr wrap="square" lIns="0" tIns="0" rIns="0" bIns="0" rtlCol="0">
                          <a:prstTxWarp prst="textNoShape">
                            <a:avLst/>
                          </a:prstTxWarp>
                          <a:noAutofit/>
                        </wps:bodyPr>
                      </wps:wsp>
                      <wps:wsp>
                        <wps:cNvPr id="826" name="Graphic 826"/>
                        <wps:cNvSpPr/>
                        <wps:spPr>
                          <a:xfrm>
                            <a:off x="429304" y="494004"/>
                            <a:ext cx="3550920" cy="1625600"/>
                          </a:xfrm>
                          <a:custGeom>
                            <a:avLst/>
                            <a:gdLst/>
                            <a:ahLst/>
                            <a:cxnLst/>
                            <a:rect l="l" t="t" r="r" b="b"/>
                            <a:pathLst>
                              <a:path w="3550920" h="1625600">
                                <a:moveTo>
                                  <a:pt x="398094" y="1216367"/>
                                </a:moveTo>
                                <a:lnTo>
                                  <a:pt x="0" y="1216367"/>
                                </a:lnTo>
                                <a:lnTo>
                                  <a:pt x="0" y="1625511"/>
                                </a:lnTo>
                                <a:lnTo>
                                  <a:pt x="398094" y="1625511"/>
                                </a:lnTo>
                                <a:lnTo>
                                  <a:pt x="398094" y="1216367"/>
                                </a:lnTo>
                                <a:close/>
                              </a:path>
                              <a:path w="3550920" h="1625600">
                                <a:moveTo>
                                  <a:pt x="1968944" y="707707"/>
                                </a:moveTo>
                                <a:lnTo>
                                  <a:pt x="1581912" y="707707"/>
                                </a:lnTo>
                                <a:lnTo>
                                  <a:pt x="1581912" y="1625511"/>
                                </a:lnTo>
                                <a:lnTo>
                                  <a:pt x="1968944" y="1625511"/>
                                </a:lnTo>
                                <a:lnTo>
                                  <a:pt x="1968944" y="707707"/>
                                </a:lnTo>
                                <a:close/>
                              </a:path>
                              <a:path w="3550920" h="1625600">
                                <a:moveTo>
                                  <a:pt x="3550856" y="0"/>
                                </a:moveTo>
                                <a:lnTo>
                                  <a:pt x="3152775" y="0"/>
                                </a:lnTo>
                                <a:lnTo>
                                  <a:pt x="3152775" y="1625511"/>
                                </a:lnTo>
                                <a:lnTo>
                                  <a:pt x="3550856" y="1625511"/>
                                </a:lnTo>
                                <a:lnTo>
                                  <a:pt x="3550856" y="0"/>
                                </a:lnTo>
                                <a:close/>
                              </a:path>
                            </a:pathLst>
                          </a:custGeom>
                          <a:solidFill>
                            <a:srgbClr val="105C84"/>
                          </a:solidFill>
                        </wps:spPr>
                        <wps:bodyPr wrap="square" lIns="0" tIns="0" rIns="0" bIns="0" rtlCol="0">
                          <a:prstTxWarp prst="textNoShape">
                            <a:avLst/>
                          </a:prstTxWarp>
                          <a:noAutofit/>
                        </wps:bodyPr>
                      </wps:wsp>
                      <wps:wsp>
                        <wps:cNvPr id="827" name="Graphic 827"/>
                        <wps:cNvSpPr/>
                        <wps:spPr>
                          <a:xfrm>
                            <a:off x="926903" y="1002664"/>
                            <a:ext cx="3550920" cy="1116965"/>
                          </a:xfrm>
                          <a:custGeom>
                            <a:avLst/>
                            <a:gdLst/>
                            <a:ahLst/>
                            <a:cxnLst/>
                            <a:rect l="l" t="t" r="r" b="b"/>
                            <a:pathLst>
                              <a:path w="3550920" h="1116965">
                                <a:moveTo>
                                  <a:pt x="387032" y="884631"/>
                                </a:moveTo>
                                <a:lnTo>
                                  <a:pt x="0" y="884631"/>
                                </a:lnTo>
                                <a:lnTo>
                                  <a:pt x="0" y="1116838"/>
                                </a:lnTo>
                                <a:lnTo>
                                  <a:pt x="387032" y="1116838"/>
                                </a:lnTo>
                                <a:lnTo>
                                  <a:pt x="387032" y="884631"/>
                                </a:lnTo>
                                <a:close/>
                              </a:path>
                              <a:path w="3550920" h="1116965">
                                <a:moveTo>
                                  <a:pt x="1968944" y="442315"/>
                                </a:moveTo>
                                <a:lnTo>
                                  <a:pt x="1581924" y="442315"/>
                                </a:lnTo>
                                <a:lnTo>
                                  <a:pt x="1581924" y="1116850"/>
                                </a:lnTo>
                                <a:lnTo>
                                  <a:pt x="1968944" y="1116850"/>
                                </a:lnTo>
                                <a:lnTo>
                                  <a:pt x="1968944" y="442315"/>
                                </a:lnTo>
                                <a:close/>
                              </a:path>
                              <a:path w="3550920" h="1116965">
                                <a:moveTo>
                                  <a:pt x="3550869" y="0"/>
                                </a:moveTo>
                                <a:lnTo>
                                  <a:pt x="3152787" y="0"/>
                                </a:lnTo>
                                <a:lnTo>
                                  <a:pt x="3152787" y="1116838"/>
                                </a:lnTo>
                                <a:lnTo>
                                  <a:pt x="3550869" y="1116838"/>
                                </a:lnTo>
                                <a:lnTo>
                                  <a:pt x="3550869" y="0"/>
                                </a:lnTo>
                                <a:close/>
                              </a:path>
                            </a:pathLst>
                          </a:custGeom>
                          <a:solidFill>
                            <a:srgbClr val="BCBEC0"/>
                          </a:solidFill>
                        </wps:spPr>
                        <wps:bodyPr wrap="square" lIns="0" tIns="0" rIns="0" bIns="0" rtlCol="0">
                          <a:prstTxWarp prst="textNoShape">
                            <a:avLst/>
                          </a:prstTxWarp>
                          <a:noAutofit/>
                        </wps:bodyPr>
                      </wps:wsp>
                      <wps:wsp>
                        <wps:cNvPr id="828" name="Graphic 828"/>
                        <wps:cNvSpPr/>
                        <wps:spPr>
                          <a:xfrm>
                            <a:off x="3568" y="47853"/>
                            <a:ext cx="4735195" cy="2077720"/>
                          </a:xfrm>
                          <a:custGeom>
                            <a:avLst/>
                            <a:gdLst/>
                            <a:ahLst/>
                            <a:cxnLst/>
                            <a:rect l="l" t="t" r="r" b="b"/>
                            <a:pathLst>
                              <a:path w="4735195" h="2077720">
                                <a:moveTo>
                                  <a:pt x="4734699" y="2077186"/>
                                </a:moveTo>
                                <a:lnTo>
                                  <a:pt x="0" y="2077186"/>
                                </a:lnTo>
                                <a:lnTo>
                                  <a:pt x="0" y="0"/>
                                </a:lnTo>
                              </a:path>
                            </a:pathLst>
                          </a:custGeom>
                          <a:ln w="7137">
                            <a:solidFill>
                              <a:srgbClr val="939598"/>
                            </a:solidFill>
                            <a:prstDash val="solid"/>
                          </a:ln>
                        </wps:spPr>
                        <wps:bodyPr wrap="square" lIns="0" tIns="0" rIns="0" bIns="0" rtlCol="0">
                          <a:prstTxWarp prst="textNoShape">
                            <a:avLst/>
                          </a:prstTxWarp>
                          <a:noAutofit/>
                        </wps:bodyPr>
                      </wps:wsp>
                      <wps:wsp>
                        <wps:cNvPr id="829" name="Textbox 829"/>
                        <wps:cNvSpPr txBox="1"/>
                        <wps:spPr>
                          <a:xfrm>
                            <a:off x="0" y="0"/>
                            <a:ext cx="4742180" cy="2129155"/>
                          </a:xfrm>
                          <a:prstGeom prst="rect">
                            <a:avLst/>
                          </a:prstGeom>
                        </wps:spPr>
                        <wps:txbx>
                          <w:txbxContent>
                            <w:p>
                              <w:pPr>
                                <w:tabs>
                                  <w:tab w:pos="2347" w:val="left" w:leader="none"/>
                                </w:tabs>
                                <w:spacing w:before="11"/>
                                <w:ind w:left="724" w:right="0" w:firstLine="0"/>
                                <w:jc w:val="left"/>
                                <w:rPr>
                                  <w:sz w:val="18"/>
                                </w:rPr>
                              </w:pPr>
                              <w:r>
                                <w:rPr>
                                  <w:color w:val="636466"/>
                                  <w:sz w:val="18"/>
                                </w:rPr>
                                <w:t>Ontario</w:t>
                              </w:r>
                              <w:r>
                                <w:rPr>
                                  <w:color w:val="636466"/>
                                  <w:spacing w:val="13"/>
                                  <w:sz w:val="18"/>
                                </w:rPr>
                                <w:t> </w:t>
                              </w:r>
                              <w:r>
                                <w:rPr>
                                  <w:color w:val="636466"/>
                                  <w:spacing w:val="-2"/>
                                  <w:sz w:val="18"/>
                                </w:rPr>
                                <w:t>County</w:t>
                              </w:r>
                              <w:r>
                                <w:rPr>
                                  <w:color w:val="636466"/>
                                  <w:sz w:val="18"/>
                                </w:rPr>
                                <w:tab/>
                                <w:t>National</w:t>
                              </w:r>
                              <w:r>
                                <w:rPr>
                                  <w:color w:val="636466"/>
                                  <w:spacing w:val="11"/>
                                  <w:sz w:val="18"/>
                                </w:rPr>
                                <w:t> </w:t>
                              </w:r>
                              <w:r>
                                <w:rPr>
                                  <w:color w:val="636466"/>
                                  <w:spacing w:val="-4"/>
                                  <w:sz w:val="18"/>
                                </w:rPr>
                                <w:t>Avg.</w:t>
                              </w:r>
                            </w:p>
                          </w:txbxContent>
                        </wps:txbx>
                        <wps:bodyPr wrap="square" lIns="0" tIns="0" rIns="0" bIns="0" rtlCol="0">
                          <a:noAutofit/>
                        </wps:bodyPr>
                      </wps:wsp>
                    </wpg:wgp>
                  </a:graphicData>
                </a:graphic>
              </wp:anchor>
            </w:drawing>
          </mc:Choice>
          <mc:Fallback>
            <w:pict>
              <v:group style="position:absolute;margin-left:706.043518pt;margin-top:-1.778117pt;width:373.4pt;height:167.65pt;mso-position-horizontal-relative:page;mso-position-vertical-relative:paragraph;z-index:15814144" id="docshapegroup704" coordorigin="14121,-36" coordsize="7468,3353">
                <v:rect style="position:absolute;left:14695;top:39;width:107;height:107" id="docshape705" filled="true" fillcolor="#105c84" stroked="false">
                  <v:fill type="solid"/>
                </v:rect>
                <v:rect style="position:absolute;left:16323;top:39;width:107;height:107" id="docshape706" filled="true" fillcolor="#bcbec0" stroked="false">
                  <v:fill type="solid"/>
                </v:rect>
                <v:shape style="position:absolute;left:14796;top:742;width:5592;height:2560" id="docshape707" coordorigin="14797,742" coordsize="5592,2560" path="m15424,2658l14797,2658,14797,3302,15424,3302,15424,2658xm17898,1857l17288,1857,17288,3302,17898,3302,17898,1857xm20389,742l19762,742,19762,3302,20389,3302,20389,742xe" filled="true" fillcolor="#105c84" stroked="false">
                  <v:path arrowok="t"/>
                  <v:fill type="solid"/>
                </v:shape>
                <v:shape style="position:absolute;left:15580;top:1543;width:5592;height:1759" id="docshape708" coordorigin="15581,1543" coordsize="5592,1759" path="m16190,2937l15581,2937,15581,3302,16190,3302,16190,2937xm18681,2240l18072,2240,18072,3302,18681,3302,18681,2240xm21172,1543l20546,1543,20546,3302,21172,3302,21172,1543xe" filled="true" fillcolor="#bcbec0" stroked="false">
                  <v:path arrowok="t"/>
                  <v:fill type="solid"/>
                </v:shape>
                <v:shape style="position:absolute;left:14126;top:39;width:7457;height:3272" id="docshape709" coordorigin="14126,40" coordsize="7457,3272" path="m21583,3311l14126,3311,14126,40e" filled="false" stroked="true" strokeweight=".562pt" strokecolor="#939598">
                  <v:path arrowok="t"/>
                  <v:stroke dashstyle="solid"/>
                </v:shape>
                <v:shape style="position:absolute;left:14120;top:-36;width:7468;height:3353" type="#_x0000_t202" id="docshape710" filled="false" stroked="false">
                  <v:textbox inset="0,0,0,0">
                    <w:txbxContent>
                      <w:p>
                        <w:pPr>
                          <w:tabs>
                            <w:tab w:pos="2347" w:val="left" w:leader="none"/>
                          </w:tabs>
                          <w:spacing w:before="11"/>
                          <w:ind w:left="724" w:right="0" w:firstLine="0"/>
                          <w:jc w:val="left"/>
                          <w:rPr>
                            <w:sz w:val="18"/>
                          </w:rPr>
                        </w:pPr>
                        <w:r>
                          <w:rPr>
                            <w:color w:val="636466"/>
                            <w:sz w:val="18"/>
                          </w:rPr>
                          <w:t>Ontario</w:t>
                        </w:r>
                        <w:r>
                          <w:rPr>
                            <w:color w:val="636466"/>
                            <w:spacing w:val="13"/>
                            <w:sz w:val="18"/>
                          </w:rPr>
                          <w:t> </w:t>
                        </w:r>
                        <w:r>
                          <w:rPr>
                            <w:color w:val="636466"/>
                            <w:spacing w:val="-2"/>
                            <w:sz w:val="18"/>
                          </w:rPr>
                          <w:t>County</w:t>
                        </w:r>
                        <w:r>
                          <w:rPr>
                            <w:color w:val="636466"/>
                            <w:sz w:val="18"/>
                          </w:rPr>
                          <w:tab/>
                          <w:t>National</w:t>
                        </w:r>
                        <w:r>
                          <w:rPr>
                            <w:color w:val="636466"/>
                            <w:spacing w:val="11"/>
                            <w:sz w:val="18"/>
                          </w:rPr>
                          <w:t> </w:t>
                        </w:r>
                        <w:r>
                          <w:rPr>
                            <w:color w:val="636466"/>
                            <w:spacing w:val="-4"/>
                            <w:sz w:val="18"/>
                          </w:rPr>
                          <w:t>Avg.</w:t>
                        </w:r>
                      </w:p>
                    </w:txbxContent>
                  </v:textbox>
                  <w10:wrap type="none"/>
                </v:shape>
                <w10:wrap type="none"/>
              </v:group>
            </w:pict>
          </mc:Fallback>
        </mc:AlternateContent>
      </w:r>
      <w:r>
        <w:rPr>
          <w:color w:val="636466"/>
          <w:spacing w:val="-5"/>
          <w:sz w:val="16"/>
        </w:rPr>
        <w:t>60%</w:t>
      </w:r>
    </w:p>
    <w:p>
      <w:pPr>
        <w:pStyle w:val="BodyText"/>
        <w:spacing w:before="154"/>
        <w:rPr>
          <w:sz w:val="16"/>
        </w:rPr>
      </w:pPr>
    </w:p>
    <w:p>
      <w:pPr>
        <w:spacing w:before="0"/>
        <w:ind w:left="1510" w:right="0" w:firstLine="0"/>
        <w:jc w:val="left"/>
        <w:rPr>
          <w:sz w:val="16"/>
        </w:rPr>
      </w:pPr>
      <w:r>
        <w:rPr>
          <w:sz w:val="16"/>
        </w:rPr>
        <mc:AlternateContent>
          <mc:Choice Requires="wps">
            <w:drawing>
              <wp:anchor distT="0" distB="0" distL="0" distR="0" allowOverlap="1" layoutInCell="1" locked="0" behindDoc="0" simplePos="0" relativeHeight="15816704">
                <wp:simplePos x="0" y="0"/>
                <wp:positionH relativeFrom="page">
                  <wp:posOffset>8458518</wp:posOffset>
                </wp:positionH>
                <wp:positionV relativeFrom="paragraph">
                  <wp:posOffset>188441</wp:posOffset>
                </wp:positionV>
                <wp:extent cx="181610" cy="1008380"/>
                <wp:effectExtent l="0" t="0" r="0" b="0"/>
                <wp:wrapNone/>
                <wp:docPr id="830" name="Textbox 830"/>
                <wp:cNvGraphicFramePr>
                  <a:graphicFrameLocks/>
                </wp:cNvGraphicFramePr>
                <a:graphic>
                  <a:graphicData uri="http://schemas.microsoft.com/office/word/2010/wordprocessingShape">
                    <wps:wsp>
                      <wps:cNvPr id="830" name="Textbox 830"/>
                      <wps:cNvSpPr txBox="1"/>
                      <wps:spPr>
                        <a:xfrm>
                          <a:off x="0" y="0"/>
                          <a:ext cx="181610" cy="1008380"/>
                        </a:xfrm>
                        <a:prstGeom prst="rect">
                          <a:avLst/>
                        </a:prstGeom>
                      </wps:spPr>
                      <wps:txbx>
                        <w:txbxContent>
                          <w:p>
                            <w:pPr>
                              <w:spacing w:before="31"/>
                              <w:ind w:left="20" w:right="0" w:firstLine="0"/>
                              <w:jc w:val="left"/>
                              <w:rPr>
                                <w:sz w:val="18"/>
                              </w:rPr>
                            </w:pPr>
                            <w:r>
                              <w:rPr>
                                <w:color w:val="105C84"/>
                                <w:sz w:val="18"/>
                              </w:rPr>
                              <w:t>Percent</w:t>
                            </w:r>
                            <w:r>
                              <w:rPr>
                                <w:color w:val="105C84"/>
                                <w:spacing w:val="-6"/>
                                <w:sz w:val="18"/>
                              </w:rPr>
                              <w:t> </w:t>
                            </w:r>
                            <w:r>
                              <w:rPr>
                                <w:color w:val="105C84"/>
                                <w:sz w:val="18"/>
                              </w:rPr>
                              <w:t>of</w:t>
                            </w:r>
                            <w:r>
                              <w:rPr>
                                <w:color w:val="105C84"/>
                                <w:spacing w:val="-6"/>
                                <w:sz w:val="18"/>
                              </w:rPr>
                              <w:t> </w:t>
                            </w:r>
                            <w:r>
                              <w:rPr>
                                <w:color w:val="105C84"/>
                                <w:spacing w:val="-2"/>
                                <w:sz w:val="18"/>
                              </w:rPr>
                              <w:t>students</w:t>
                            </w:r>
                          </w:p>
                        </w:txbxContent>
                      </wps:txbx>
                      <wps:bodyPr wrap="square" lIns="0" tIns="0" rIns="0" bIns="0" rtlCol="0" vert="vert270">
                        <a:noAutofit/>
                      </wps:bodyPr>
                    </wps:wsp>
                  </a:graphicData>
                </a:graphic>
              </wp:anchor>
            </w:drawing>
          </mc:Choice>
          <mc:Fallback>
            <w:pict>
              <v:shape style="position:absolute;margin-left:666.025085pt;margin-top:14.837941pt;width:14.3pt;height:79.4pt;mso-position-horizontal-relative:page;mso-position-vertical-relative:paragraph;z-index:15816704" type="#_x0000_t202" id="docshape711" filled="false" stroked="false">
                <v:textbox inset="0,0,0,0" style="layout-flow:vertical;mso-layout-flow-alt:bottom-to-top">
                  <w:txbxContent>
                    <w:p>
                      <w:pPr>
                        <w:spacing w:before="31"/>
                        <w:ind w:left="20" w:right="0" w:firstLine="0"/>
                        <w:jc w:val="left"/>
                        <w:rPr>
                          <w:sz w:val="18"/>
                        </w:rPr>
                      </w:pPr>
                      <w:r>
                        <w:rPr>
                          <w:color w:val="105C84"/>
                          <w:sz w:val="18"/>
                        </w:rPr>
                        <w:t>Percent</w:t>
                      </w:r>
                      <w:r>
                        <w:rPr>
                          <w:color w:val="105C84"/>
                          <w:spacing w:val="-6"/>
                          <w:sz w:val="18"/>
                        </w:rPr>
                        <w:t> </w:t>
                      </w:r>
                      <w:r>
                        <w:rPr>
                          <w:color w:val="105C84"/>
                          <w:sz w:val="18"/>
                        </w:rPr>
                        <w:t>of</w:t>
                      </w:r>
                      <w:r>
                        <w:rPr>
                          <w:color w:val="105C84"/>
                          <w:spacing w:val="-6"/>
                          <w:sz w:val="18"/>
                        </w:rPr>
                        <w:t> </w:t>
                      </w:r>
                      <w:r>
                        <w:rPr>
                          <w:color w:val="105C84"/>
                          <w:spacing w:val="-2"/>
                          <w:sz w:val="18"/>
                        </w:rPr>
                        <w:t>students</w:t>
                      </w:r>
                    </w:p>
                  </w:txbxContent>
                </v:textbox>
                <w10:wrap type="none"/>
              </v:shape>
            </w:pict>
          </mc:Fallback>
        </mc:AlternateContent>
      </w:r>
      <w:r>
        <w:rPr>
          <w:color w:val="636466"/>
          <w:spacing w:val="-5"/>
          <w:sz w:val="16"/>
        </w:rPr>
        <w:t>50%</w:t>
      </w:r>
    </w:p>
    <w:p>
      <w:pPr>
        <w:pStyle w:val="BodyText"/>
        <w:spacing w:before="172"/>
        <w:rPr>
          <w:sz w:val="16"/>
        </w:rPr>
      </w:pPr>
    </w:p>
    <w:p>
      <w:pPr>
        <w:spacing w:before="0"/>
        <w:ind w:left="1510" w:right="0" w:firstLine="0"/>
        <w:jc w:val="left"/>
        <w:rPr>
          <w:sz w:val="16"/>
        </w:rPr>
      </w:pPr>
      <w:r>
        <w:rPr>
          <w:color w:val="636466"/>
          <w:spacing w:val="-5"/>
          <w:sz w:val="16"/>
        </w:rPr>
        <w:t>40%</w:t>
      </w:r>
    </w:p>
    <w:p>
      <w:pPr>
        <w:pStyle w:val="BodyText"/>
        <w:spacing w:before="172"/>
        <w:rPr>
          <w:sz w:val="16"/>
        </w:rPr>
      </w:pPr>
    </w:p>
    <w:p>
      <w:pPr>
        <w:spacing w:before="0"/>
        <w:ind w:left="1510" w:right="0" w:firstLine="0"/>
        <w:jc w:val="left"/>
        <w:rPr>
          <w:sz w:val="16"/>
        </w:rPr>
      </w:pPr>
      <w:r>
        <w:rPr>
          <w:color w:val="636466"/>
          <w:spacing w:val="-5"/>
          <w:sz w:val="16"/>
        </w:rPr>
        <w:t>30%</w:t>
      </w:r>
    </w:p>
    <w:p>
      <w:pPr>
        <w:pStyle w:val="BodyText"/>
        <w:spacing w:before="172"/>
        <w:rPr>
          <w:sz w:val="16"/>
        </w:rPr>
      </w:pPr>
    </w:p>
    <w:p>
      <w:pPr>
        <w:spacing w:before="0"/>
        <w:ind w:left="1510" w:right="0" w:firstLine="0"/>
        <w:jc w:val="left"/>
        <w:rPr>
          <w:sz w:val="16"/>
        </w:rPr>
      </w:pPr>
      <w:r>
        <w:rPr>
          <w:color w:val="636466"/>
          <w:spacing w:val="-5"/>
          <w:sz w:val="16"/>
        </w:rPr>
        <w:t>20%</w:t>
      </w:r>
    </w:p>
    <w:p>
      <w:pPr>
        <w:pStyle w:val="BodyText"/>
        <w:spacing w:before="154"/>
        <w:rPr>
          <w:sz w:val="16"/>
        </w:rPr>
      </w:pPr>
    </w:p>
    <w:p>
      <w:pPr>
        <w:spacing w:before="0"/>
        <w:ind w:left="1510" w:right="0" w:firstLine="0"/>
        <w:jc w:val="left"/>
        <w:rPr>
          <w:sz w:val="16"/>
        </w:rPr>
      </w:pPr>
      <w:r>
        <w:rPr>
          <w:color w:val="636466"/>
          <w:spacing w:val="-5"/>
          <w:sz w:val="16"/>
        </w:rPr>
        <w:t>10%</w:t>
      </w:r>
    </w:p>
    <w:p>
      <w:pPr>
        <w:pStyle w:val="BodyText"/>
        <w:spacing w:before="172"/>
        <w:rPr>
          <w:sz w:val="16"/>
        </w:rPr>
      </w:pPr>
    </w:p>
    <w:p>
      <w:pPr>
        <w:spacing w:before="0"/>
        <w:ind w:left="1610" w:right="0" w:firstLine="0"/>
        <w:jc w:val="left"/>
        <w:rPr>
          <w:sz w:val="16"/>
        </w:rPr>
      </w:pPr>
      <w:r>
        <w:rPr>
          <w:color w:val="636466"/>
          <w:spacing w:val="-5"/>
          <w:sz w:val="16"/>
        </w:rPr>
        <w:t>0%</w:t>
      </w:r>
    </w:p>
    <w:p>
      <w:pPr>
        <w:tabs>
          <w:tab w:pos="5299" w:val="left" w:leader="none"/>
          <w:tab w:pos="7784" w:val="left" w:leader="none"/>
        </w:tabs>
        <w:spacing w:line="561" w:lineRule="auto" w:before="7"/>
        <w:ind w:left="1875" w:right="2836" w:firstLine="988"/>
        <w:jc w:val="left"/>
        <w:rPr>
          <w:sz w:val="18"/>
        </w:rPr>
      </w:pPr>
      <w:r>
        <w:rPr>
          <w:color w:val="636466"/>
          <w:sz w:val="18"/>
        </w:rPr>
        <w:t>8th Grade</w:t>
        <w:tab/>
        <w:t>10th Grade</w:t>
        <w:tab/>
        <w:t>12th</w:t>
      </w:r>
      <w:r>
        <w:rPr>
          <w:color w:val="636466"/>
          <w:spacing w:val="-13"/>
          <w:sz w:val="18"/>
        </w:rPr>
        <w:t> </w:t>
      </w:r>
      <w:r>
        <w:rPr>
          <w:color w:val="636466"/>
          <w:sz w:val="18"/>
        </w:rPr>
        <w:t>Grade </w:t>
      </w:r>
      <w:r>
        <w:rPr>
          <w:color w:val="105C84"/>
          <w:sz w:val="18"/>
        </w:rPr>
        <w:t>Data</w:t>
      </w:r>
      <w:r>
        <w:rPr>
          <w:color w:val="105C84"/>
          <w:spacing w:val="-5"/>
          <w:sz w:val="18"/>
        </w:rPr>
        <w:t> </w:t>
      </w:r>
      <w:r>
        <w:rPr>
          <w:color w:val="105C84"/>
          <w:sz w:val="18"/>
        </w:rPr>
        <w:t>Source:</w:t>
      </w:r>
      <w:r>
        <w:rPr>
          <w:color w:val="105C84"/>
          <w:spacing w:val="-5"/>
          <w:sz w:val="18"/>
        </w:rPr>
        <w:t> </w:t>
      </w:r>
      <w:r>
        <w:rPr>
          <w:color w:val="105C84"/>
          <w:sz w:val="18"/>
        </w:rPr>
        <w:t>New</w:t>
      </w:r>
      <w:r>
        <w:rPr>
          <w:color w:val="105C84"/>
          <w:spacing w:val="-5"/>
          <w:sz w:val="18"/>
        </w:rPr>
        <w:t> </w:t>
      </w:r>
      <w:r>
        <w:rPr>
          <w:color w:val="105C84"/>
          <w:sz w:val="18"/>
        </w:rPr>
        <w:t>York</w:t>
      </w:r>
      <w:r>
        <w:rPr>
          <w:color w:val="105C84"/>
          <w:spacing w:val="-5"/>
          <w:sz w:val="18"/>
        </w:rPr>
        <w:t> </w:t>
      </w:r>
      <w:r>
        <w:rPr>
          <w:color w:val="105C84"/>
          <w:sz w:val="18"/>
        </w:rPr>
        <w:t>Partnership</w:t>
      </w:r>
      <w:r>
        <w:rPr>
          <w:color w:val="105C84"/>
          <w:spacing w:val="-5"/>
          <w:sz w:val="18"/>
        </w:rPr>
        <w:t> </w:t>
      </w:r>
      <w:r>
        <w:rPr>
          <w:color w:val="105C84"/>
          <w:sz w:val="18"/>
        </w:rPr>
        <w:t>for</w:t>
      </w:r>
      <w:r>
        <w:rPr>
          <w:color w:val="105C84"/>
          <w:spacing w:val="-5"/>
          <w:sz w:val="18"/>
        </w:rPr>
        <w:t> </w:t>
      </w:r>
      <w:r>
        <w:rPr>
          <w:color w:val="105C84"/>
          <w:sz w:val="18"/>
        </w:rPr>
        <w:t>Success</w:t>
      </w:r>
      <w:r>
        <w:rPr>
          <w:color w:val="105C84"/>
          <w:spacing w:val="-5"/>
          <w:sz w:val="18"/>
        </w:rPr>
        <w:t> </w:t>
      </w:r>
      <w:r>
        <w:rPr>
          <w:color w:val="105C84"/>
          <w:sz w:val="18"/>
        </w:rPr>
        <w:t>Student</w:t>
      </w:r>
      <w:r>
        <w:rPr>
          <w:color w:val="105C84"/>
          <w:spacing w:val="-5"/>
          <w:sz w:val="18"/>
        </w:rPr>
        <w:t> </w:t>
      </w:r>
      <w:r>
        <w:rPr>
          <w:color w:val="105C84"/>
          <w:sz w:val="18"/>
        </w:rPr>
        <w:t>Survey,</w:t>
      </w:r>
      <w:r>
        <w:rPr>
          <w:color w:val="105C84"/>
          <w:spacing w:val="-5"/>
          <w:sz w:val="18"/>
        </w:rPr>
        <w:t> </w:t>
      </w:r>
      <w:r>
        <w:rPr>
          <w:color w:val="105C84"/>
          <w:sz w:val="18"/>
        </w:rPr>
        <w:t>January</w:t>
      </w:r>
      <w:r>
        <w:rPr>
          <w:color w:val="105C84"/>
          <w:spacing w:val="-5"/>
          <w:sz w:val="18"/>
        </w:rPr>
        <w:t> </w:t>
      </w:r>
      <w:r>
        <w:rPr>
          <w:color w:val="105C84"/>
          <w:sz w:val="18"/>
        </w:rPr>
        <w:t>2019</w:t>
      </w:r>
    </w:p>
    <w:p>
      <w:pPr>
        <w:pStyle w:val="BodyText"/>
        <w:spacing w:line="246" w:lineRule="exact" w:before="196"/>
        <w:ind w:left="1080"/>
      </w:pPr>
      <w:r>
        <w:rPr>
          <w:color w:val="105C84"/>
        </w:rPr>
        <w:t>Substance</w:t>
      </w:r>
      <w:r>
        <w:rPr>
          <w:color w:val="105C84"/>
          <w:spacing w:val="9"/>
        </w:rPr>
        <w:t> </w:t>
      </w:r>
      <w:r>
        <w:rPr>
          <w:color w:val="105C84"/>
        </w:rPr>
        <w:t>use</w:t>
      </w:r>
      <w:r>
        <w:rPr>
          <w:color w:val="105C84"/>
          <w:spacing w:val="9"/>
        </w:rPr>
        <w:t> </w:t>
      </w:r>
      <w:r>
        <w:rPr>
          <w:color w:val="105C84"/>
        </w:rPr>
        <w:t>and</w:t>
      </w:r>
      <w:r>
        <w:rPr>
          <w:color w:val="105C84"/>
          <w:spacing w:val="10"/>
        </w:rPr>
        <w:t> </w:t>
      </w:r>
      <w:r>
        <w:rPr>
          <w:color w:val="105C84"/>
        </w:rPr>
        <w:t>poor</w:t>
      </w:r>
      <w:r>
        <w:rPr>
          <w:color w:val="105C84"/>
          <w:spacing w:val="9"/>
        </w:rPr>
        <w:t> </w:t>
      </w:r>
      <w:r>
        <w:rPr>
          <w:color w:val="105C84"/>
        </w:rPr>
        <w:t>mental</w:t>
      </w:r>
      <w:r>
        <w:rPr>
          <w:color w:val="105C84"/>
          <w:spacing w:val="10"/>
        </w:rPr>
        <w:t> </w:t>
      </w:r>
      <w:r>
        <w:rPr>
          <w:color w:val="105C84"/>
        </w:rPr>
        <w:t>health</w:t>
      </w:r>
      <w:r>
        <w:rPr>
          <w:color w:val="105C84"/>
          <w:spacing w:val="9"/>
        </w:rPr>
        <w:t> </w:t>
      </w:r>
      <w:r>
        <w:rPr>
          <w:color w:val="105C84"/>
        </w:rPr>
        <w:t>are</w:t>
      </w:r>
      <w:r>
        <w:rPr>
          <w:color w:val="105C84"/>
          <w:spacing w:val="10"/>
        </w:rPr>
        <w:t> </w:t>
      </w:r>
      <w:r>
        <w:rPr>
          <w:color w:val="105C84"/>
        </w:rPr>
        <w:t>linked.</w:t>
      </w:r>
      <w:r>
        <w:rPr>
          <w:color w:val="105C84"/>
          <w:spacing w:val="9"/>
        </w:rPr>
        <w:t> </w:t>
      </w:r>
      <w:r>
        <w:rPr>
          <w:color w:val="105C84"/>
        </w:rPr>
        <w:t>It</w:t>
      </w:r>
      <w:r>
        <w:rPr>
          <w:color w:val="105C84"/>
          <w:spacing w:val="10"/>
        </w:rPr>
        <w:t> </w:t>
      </w:r>
      <w:r>
        <w:rPr>
          <w:color w:val="105C84"/>
        </w:rPr>
        <w:t>is</w:t>
      </w:r>
      <w:r>
        <w:rPr>
          <w:color w:val="105C84"/>
          <w:spacing w:val="9"/>
        </w:rPr>
        <w:t> </w:t>
      </w:r>
      <w:r>
        <w:rPr>
          <w:color w:val="105C84"/>
        </w:rPr>
        <w:t>impossible</w:t>
      </w:r>
      <w:r>
        <w:rPr>
          <w:color w:val="105C84"/>
          <w:spacing w:val="9"/>
        </w:rPr>
        <w:t> </w:t>
      </w:r>
      <w:r>
        <w:rPr>
          <w:color w:val="105C84"/>
        </w:rPr>
        <w:t>to</w:t>
      </w:r>
      <w:r>
        <w:rPr>
          <w:color w:val="105C84"/>
          <w:spacing w:val="10"/>
        </w:rPr>
        <w:t> </w:t>
      </w:r>
      <w:r>
        <w:rPr>
          <w:color w:val="105C84"/>
        </w:rPr>
        <w:t>address</w:t>
      </w:r>
      <w:r>
        <w:rPr>
          <w:color w:val="105C84"/>
          <w:spacing w:val="9"/>
        </w:rPr>
        <w:t> </w:t>
      </w:r>
      <w:r>
        <w:rPr>
          <w:color w:val="105C84"/>
        </w:rPr>
        <w:t>one</w:t>
      </w:r>
      <w:r>
        <w:rPr>
          <w:color w:val="105C84"/>
          <w:spacing w:val="10"/>
        </w:rPr>
        <w:t> </w:t>
      </w:r>
      <w:r>
        <w:rPr>
          <w:color w:val="105C84"/>
        </w:rPr>
        <w:t>without</w:t>
      </w:r>
      <w:r>
        <w:rPr>
          <w:color w:val="105C84"/>
          <w:spacing w:val="9"/>
        </w:rPr>
        <w:t> </w:t>
      </w:r>
      <w:r>
        <w:rPr>
          <w:color w:val="105C84"/>
        </w:rPr>
        <w:t>the</w:t>
      </w:r>
      <w:r>
        <w:rPr>
          <w:color w:val="105C84"/>
          <w:spacing w:val="10"/>
        </w:rPr>
        <w:t> </w:t>
      </w:r>
      <w:r>
        <w:rPr>
          <w:color w:val="105C84"/>
          <w:spacing w:val="-2"/>
        </w:rPr>
        <w:t>other.</w:t>
      </w:r>
    </w:p>
    <w:p>
      <w:pPr>
        <w:pStyle w:val="BodyText"/>
        <w:spacing w:line="228" w:lineRule="auto" w:before="4"/>
        <w:ind w:left="1080" w:right="713"/>
      </w:pPr>
      <w:r>
        <w:rPr>
          <w:color w:val="105C84"/>
        </w:rPr>
        <w:t>According</w:t>
      </w:r>
      <w:r>
        <w:rPr>
          <w:color w:val="105C84"/>
          <w:spacing w:val="25"/>
        </w:rPr>
        <w:t> </w:t>
      </w:r>
      <w:r>
        <w:rPr>
          <w:color w:val="105C84"/>
        </w:rPr>
        <w:t>to</w:t>
      </w:r>
      <w:r>
        <w:rPr>
          <w:color w:val="105C84"/>
          <w:spacing w:val="25"/>
        </w:rPr>
        <w:t> </w:t>
      </w:r>
      <w:r>
        <w:rPr>
          <w:color w:val="105C84"/>
        </w:rPr>
        <w:t>survey</w:t>
      </w:r>
      <w:r>
        <w:rPr>
          <w:color w:val="105C84"/>
          <w:spacing w:val="25"/>
        </w:rPr>
        <w:t> </w:t>
      </w:r>
      <w:r>
        <w:rPr>
          <w:color w:val="105C84"/>
        </w:rPr>
        <w:t>data</w:t>
      </w:r>
      <w:r>
        <w:rPr>
          <w:color w:val="105C84"/>
          <w:spacing w:val="25"/>
        </w:rPr>
        <w:t> </w:t>
      </w:r>
      <w:r>
        <w:rPr>
          <w:color w:val="105C84"/>
        </w:rPr>
        <w:t>from</w:t>
      </w:r>
      <w:r>
        <w:rPr>
          <w:color w:val="105C84"/>
          <w:spacing w:val="25"/>
        </w:rPr>
        <w:t> </w:t>
      </w:r>
      <w:r>
        <w:rPr>
          <w:i/>
          <w:color w:val="105C84"/>
        </w:rPr>
        <w:t>My</w:t>
      </w:r>
      <w:r>
        <w:rPr>
          <w:i/>
          <w:color w:val="105C84"/>
          <w:spacing w:val="25"/>
        </w:rPr>
        <w:t> </w:t>
      </w:r>
      <w:r>
        <w:rPr>
          <w:i/>
          <w:color w:val="105C84"/>
        </w:rPr>
        <w:t>Health</w:t>
      </w:r>
      <w:r>
        <w:rPr>
          <w:i/>
          <w:color w:val="105C84"/>
          <w:spacing w:val="25"/>
        </w:rPr>
        <w:t> </w:t>
      </w:r>
      <w:r>
        <w:rPr>
          <w:i/>
          <w:color w:val="105C84"/>
        </w:rPr>
        <w:t>Story</w:t>
      </w:r>
      <w:r>
        <w:rPr>
          <w:i/>
          <w:color w:val="105C84"/>
          <w:spacing w:val="25"/>
        </w:rPr>
        <w:t> </w:t>
      </w:r>
      <w:r>
        <w:rPr>
          <w:i/>
          <w:color w:val="105C84"/>
        </w:rPr>
        <w:t>2018</w:t>
      </w:r>
      <w:r>
        <w:rPr>
          <w:color w:val="105C84"/>
        </w:rPr>
        <w:t>,</w:t>
      </w:r>
      <w:r>
        <w:rPr>
          <w:color w:val="105C84"/>
          <w:spacing w:val="25"/>
        </w:rPr>
        <w:t> </w:t>
      </w:r>
      <w:r>
        <w:rPr>
          <w:color w:val="105C84"/>
        </w:rPr>
        <w:t>almost</w:t>
      </w:r>
      <w:r>
        <w:rPr>
          <w:color w:val="105C84"/>
          <w:spacing w:val="25"/>
        </w:rPr>
        <w:t> </w:t>
      </w:r>
      <w:r>
        <w:rPr>
          <w:color w:val="105C84"/>
        </w:rPr>
        <w:t>half</w:t>
      </w:r>
      <w:r>
        <w:rPr>
          <w:color w:val="105C84"/>
          <w:spacing w:val="25"/>
        </w:rPr>
        <w:t> </w:t>
      </w:r>
      <w:r>
        <w:rPr>
          <w:color w:val="105C84"/>
        </w:rPr>
        <w:t>of</w:t>
      </w:r>
      <w:r>
        <w:rPr>
          <w:color w:val="105C84"/>
          <w:spacing w:val="25"/>
        </w:rPr>
        <w:t> </w:t>
      </w:r>
      <w:r>
        <w:rPr>
          <w:color w:val="105C84"/>
        </w:rPr>
        <w:t>the</w:t>
      </w:r>
      <w:r>
        <w:rPr>
          <w:color w:val="105C84"/>
          <w:spacing w:val="25"/>
        </w:rPr>
        <w:t> </w:t>
      </w:r>
      <w:r>
        <w:rPr>
          <w:color w:val="105C84"/>
        </w:rPr>
        <w:t>respondents</w:t>
      </w:r>
      <w:r>
        <w:rPr>
          <w:color w:val="105C84"/>
          <w:spacing w:val="25"/>
        </w:rPr>
        <w:t> </w:t>
      </w:r>
      <w:r>
        <w:rPr>
          <w:color w:val="105C84"/>
        </w:rPr>
        <w:t>indicated they have dealt with anxiety, fear, depression or sadness. For those who have dealt with mental or emotional health issues, 77% of survey respondents said they got the help they needed. The most commonly</w:t>
      </w:r>
      <w:r>
        <w:rPr>
          <w:color w:val="105C84"/>
          <w:spacing w:val="32"/>
        </w:rPr>
        <w:t> </w:t>
      </w:r>
      <w:r>
        <w:rPr>
          <w:color w:val="105C84"/>
        </w:rPr>
        <w:t>reported</w:t>
      </w:r>
      <w:r>
        <w:rPr>
          <w:color w:val="105C84"/>
          <w:spacing w:val="32"/>
        </w:rPr>
        <w:t> </w:t>
      </w:r>
      <w:r>
        <w:rPr>
          <w:color w:val="105C84"/>
        </w:rPr>
        <w:t>support</w:t>
      </w:r>
      <w:r>
        <w:rPr>
          <w:color w:val="105C84"/>
          <w:spacing w:val="32"/>
        </w:rPr>
        <w:t> </w:t>
      </w:r>
      <w:r>
        <w:rPr>
          <w:color w:val="105C84"/>
        </w:rPr>
        <w:t>was</w:t>
      </w:r>
      <w:r>
        <w:rPr>
          <w:color w:val="105C84"/>
          <w:spacing w:val="32"/>
        </w:rPr>
        <w:t> </w:t>
      </w:r>
      <w:r>
        <w:rPr>
          <w:color w:val="105C84"/>
        </w:rPr>
        <w:t>from</w:t>
      </w:r>
      <w:r>
        <w:rPr>
          <w:color w:val="105C84"/>
          <w:spacing w:val="32"/>
        </w:rPr>
        <w:t> </w:t>
      </w:r>
      <w:r>
        <w:rPr>
          <w:color w:val="105C84"/>
        </w:rPr>
        <w:t>doctors,</w:t>
      </w:r>
      <w:r>
        <w:rPr>
          <w:color w:val="105C84"/>
          <w:spacing w:val="32"/>
        </w:rPr>
        <w:t> </w:t>
      </w:r>
      <w:r>
        <w:rPr>
          <w:color w:val="105C84"/>
        </w:rPr>
        <w:t>counselors</w:t>
      </w:r>
      <w:r>
        <w:rPr>
          <w:color w:val="105C84"/>
          <w:spacing w:val="32"/>
        </w:rPr>
        <w:t> </w:t>
      </w:r>
      <w:r>
        <w:rPr>
          <w:color w:val="105C84"/>
        </w:rPr>
        <w:t>and</w:t>
      </w:r>
      <w:r>
        <w:rPr>
          <w:color w:val="105C84"/>
          <w:spacing w:val="32"/>
        </w:rPr>
        <w:t> </w:t>
      </w:r>
      <w:r>
        <w:rPr>
          <w:color w:val="105C84"/>
        </w:rPr>
        <w:t>other</w:t>
      </w:r>
      <w:r>
        <w:rPr>
          <w:color w:val="105C84"/>
          <w:spacing w:val="32"/>
        </w:rPr>
        <w:t> </w:t>
      </w:r>
      <w:r>
        <w:rPr>
          <w:color w:val="105C84"/>
        </w:rPr>
        <w:t>mental</w:t>
      </w:r>
      <w:r>
        <w:rPr>
          <w:color w:val="105C84"/>
          <w:spacing w:val="32"/>
        </w:rPr>
        <w:t> </w:t>
      </w:r>
      <w:r>
        <w:rPr>
          <w:color w:val="105C84"/>
        </w:rPr>
        <w:t>health</w:t>
      </w:r>
      <w:r>
        <w:rPr>
          <w:color w:val="105C84"/>
          <w:spacing w:val="32"/>
        </w:rPr>
        <w:t> </w:t>
      </w:r>
      <w:r>
        <w:rPr>
          <w:color w:val="105C84"/>
        </w:rPr>
        <w:t>professionals</w:t>
      </w:r>
    </w:p>
    <w:p>
      <w:pPr>
        <w:pStyle w:val="BodyText"/>
        <w:spacing w:line="228" w:lineRule="auto"/>
        <w:ind w:left="1080" w:right="479"/>
      </w:pPr>
      <w:r>
        <w:rPr>
          <w:color w:val="105C84"/>
        </w:rPr>
        <w:t>followed by support from friends and family. Suicides in Ontario County have increased over the last three years. In response, a suicide prevention coalition has been created in partnership with Public Health, Mental Health and the Partnership for Ontario County (non-profit). Activities have included</w:t>
      </w:r>
      <w:r>
        <w:rPr>
          <w:color w:val="105C84"/>
          <w:spacing w:val="40"/>
        </w:rPr>
        <w:t> </w:t>
      </w:r>
      <w:r>
        <w:rPr>
          <w:color w:val="105C84"/>
        </w:rPr>
        <w:t>community and professional education and outreach.</w:t>
      </w:r>
    </w:p>
    <w:p>
      <w:pPr>
        <w:pStyle w:val="Heading6"/>
        <w:spacing w:before="190"/>
      </w:pPr>
      <w:r>
        <w:rPr>
          <w:color w:val="105C84"/>
          <w:spacing w:val="-6"/>
        </w:rPr>
        <w:t>Policy</w:t>
      </w:r>
      <w:r>
        <w:rPr>
          <w:color w:val="105C84"/>
          <w:spacing w:val="-8"/>
        </w:rPr>
        <w:t> </w:t>
      </w:r>
      <w:r>
        <w:rPr>
          <w:color w:val="105C84"/>
          <w:spacing w:val="-6"/>
        </w:rPr>
        <w:t>and</w:t>
      </w:r>
      <w:r>
        <w:rPr>
          <w:color w:val="105C84"/>
          <w:spacing w:val="-8"/>
        </w:rPr>
        <w:t> </w:t>
      </w:r>
      <w:r>
        <w:rPr>
          <w:color w:val="105C84"/>
          <w:spacing w:val="-6"/>
        </w:rPr>
        <w:t>Environmental</w:t>
      </w:r>
      <w:r>
        <w:rPr>
          <w:color w:val="105C84"/>
          <w:spacing w:val="-8"/>
        </w:rPr>
        <w:t> </w:t>
      </w:r>
      <w:r>
        <w:rPr>
          <w:color w:val="105C84"/>
          <w:spacing w:val="-6"/>
        </w:rPr>
        <w:t>Factors</w:t>
      </w:r>
    </w:p>
    <w:p>
      <w:pPr>
        <w:pStyle w:val="BodyText"/>
        <w:spacing w:line="228" w:lineRule="auto" w:before="259"/>
        <w:ind w:left="1080" w:right="479"/>
      </w:pPr>
      <w:r>
        <w:rPr>
          <w:color w:val="105C84"/>
        </w:rPr>
        <w:t>Ontario</w:t>
      </w:r>
      <w:r>
        <w:rPr>
          <w:color w:val="105C84"/>
          <w:spacing w:val="32"/>
        </w:rPr>
        <w:t> </w:t>
      </w:r>
      <w:r>
        <w:rPr>
          <w:color w:val="105C84"/>
        </w:rPr>
        <w:t>County</w:t>
      </w:r>
      <w:r>
        <w:rPr>
          <w:color w:val="105C84"/>
          <w:spacing w:val="32"/>
        </w:rPr>
        <w:t> </w:t>
      </w:r>
      <w:r>
        <w:rPr>
          <w:color w:val="105C84"/>
        </w:rPr>
        <w:t>stakeholders</w:t>
      </w:r>
      <w:r>
        <w:rPr>
          <w:color w:val="105C84"/>
          <w:spacing w:val="32"/>
        </w:rPr>
        <w:t> </w:t>
      </w:r>
      <w:r>
        <w:rPr>
          <w:color w:val="105C84"/>
        </w:rPr>
        <w:t>and</w:t>
      </w:r>
      <w:r>
        <w:rPr>
          <w:color w:val="105C84"/>
          <w:spacing w:val="32"/>
        </w:rPr>
        <w:t> </w:t>
      </w:r>
      <w:r>
        <w:rPr>
          <w:color w:val="105C84"/>
        </w:rPr>
        <w:t>leaders</w:t>
      </w:r>
      <w:r>
        <w:rPr>
          <w:color w:val="105C84"/>
          <w:spacing w:val="32"/>
        </w:rPr>
        <w:t> </w:t>
      </w:r>
      <w:r>
        <w:rPr>
          <w:color w:val="105C84"/>
        </w:rPr>
        <w:t>have</w:t>
      </w:r>
      <w:r>
        <w:rPr>
          <w:color w:val="105C84"/>
          <w:spacing w:val="32"/>
        </w:rPr>
        <w:t> </w:t>
      </w:r>
      <w:r>
        <w:rPr>
          <w:color w:val="105C84"/>
        </w:rPr>
        <w:t>long</w:t>
      </w:r>
      <w:r>
        <w:rPr>
          <w:color w:val="105C84"/>
          <w:spacing w:val="32"/>
        </w:rPr>
        <w:t> </w:t>
      </w:r>
      <w:r>
        <w:rPr>
          <w:color w:val="105C84"/>
        </w:rPr>
        <w:t>recognized</w:t>
      </w:r>
      <w:r>
        <w:rPr>
          <w:color w:val="105C84"/>
          <w:spacing w:val="32"/>
        </w:rPr>
        <w:t> </w:t>
      </w:r>
      <w:r>
        <w:rPr>
          <w:color w:val="105C84"/>
        </w:rPr>
        <w:t>the</w:t>
      </w:r>
      <w:r>
        <w:rPr>
          <w:color w:val="105C84"/>
          <w:spacing w:val="32"/>
        </w:rPr>
        <w:t> </w:t>
      </w:r>
      <w:r>
        <w:rPr>
          <w:color w:val="105C84"/>
        </w:rPr>
        <w:t>burden</w:t>
      </w:r>
      <w:r>
        <w:rPr>
          <w:color w:val="105C84"/>
          <w:spacing w:val="32"/>
        </w:rPr>
        <w:t> </w:t>
      </w:r>
      <w:r>
        <w:rPr>
          <w:color w:val="105C84"/>
        </w:rPr>
        <w:t>of</w:t>
      </w:r>
      <w:r>
        <w:rPr>
          <w:color w:val="105C84"/>
          <w:spacing w:val="32"/>
        </w:rPr>
        <w:t> </w:t>
      </w:r>
      <w:r>
        <w:rPr>
          <w:color w:val="105C84"/>
        </w:rPr>
        <w:t>poor</w:t>
      </w:r>
      <w:r>
        <w:rPr>
          <w:color w:val="105C84"/>
          <w:spacing w:val="32"/>
        </w:rPr>
        <w:t> </w:t>
      </w:r>
      <w:r>
        <w:rPr>
          <w:color w:val="105C84"/>
        </w:rPr>
        <w:t>mental</w:t>
      </w:r>
      <w:r>
        <w:rPr>
          <w:color w:val="105C84"/>
          <w:spacing w:val="32"/>
        </w:rPr>
        <w:t> </w:t>
      </w:r>
      <w:r>
        <w:rPr>
          <w:color w:val="105C84"/>
        </w:rPr>
        <w:t>health and substance use on residents. Continuing to focus on these issues remains important to the health department, hospital systems and partners. The Partnership for Ontario County worked diligently</w:t>
      </w:r>
      <w:r>
        <w:rPr>
          <w:color w:val="105C84"/>
          <w:spacing w:val="40"/>
        </w:rPr>
        <w:t> </w:t>
      </w:r>
      <w:r>
        <w:rPr>
          <w:color w:val="105C84"/>
        </w:rPr>
        <w:t>during the previous CHIP to ensure medication drop boxes were present in all Ontario County</w:t>
      </w:r>
      <w:r>
        <w:rPr>
          <w:color w:val="105C84"/>
          <w:spacing w:val="40"/>
        </w:rPr>
        <w:t> </w:t>
      </w:r>
      <w:r>
        <w:rPr>
          <w:color w:val="105C84"/>
        </w:rPr>
        <w:t>communities for disposal of unused or undesired medications.</w:t>
      </w:r>
    </w:p>
    <w:p>
      <w:pPr>
        <w:pStyle w:val="BodyText"/>
        <w:spacing w:line="228" w:lineRule="auto" w:before="88"/>
        <w:ind w:left="1080" w:right="371"/>
      </w:pPr>
      <w:r>
        <w:rPr>
          <w:color w:val="105C84"/>
        </w:rPr>
        <w:t>The Ontario County Health Collaborative has also worked with the Tobacco Action Coalition of the</w:t>
      </w:r>
      <w:r>
        <w:rPr>
          <w:color w:val="105C84"/>
          <w:spacing w:val="40"/>
        </w:rPr>
        <w:t> </w:t>
      </w:r>
      <w:r>
        <w:rPr>
          <w:color w:val="105C84"/>
        </w:rPr>
        <w:t>Finger Lakes and other partners to ensure smoke free indoor and outdoor spaces including HUD and senior housing areas, parks, playgrounds and workplace campuses. These local laws help to decrease smoking in public spaces. New locations in the county will be pursued throughout the next health</w:t>
      </w:r>
      <w:r>
        <w:rPr>
          <w:color w:val="105C84"/>
          <w:spacing w:val="80"/>
        </w:rPr>
        <w:t> </w:t>
      </w:r>
      <w:r>
        <w:rPr>
          <w:color w:val="105C84"/>
        </w:rPr>
        <w:t>improvement cycle.</w:t>
      </w:r>
    </w:p>
    <w:p>
      <w:pPr>
        <w:pStyle w:val="BodyText"/>
        <w:spacing w:after="0" w:line="228" w:lineRule="auto"/>
        <w:sectPr>
          <w:pgSz w:w="24480" w:h="15840" w:orient="landscape"/>
          <w:pgMar w:header="0" w:footer="0" w:top="860" w:bottom="0" w:left="0" w:right="720"/>
          <w:cols w:num="2" w:equalWidth="0">
            <w:col w:w="11203" w:space="1037"/>
            <w:col w:w="11520"/>
          </w:cols>
        </w:sectPr>
      </w:pPr>
    </w:p>
    <w:p>
      <w:pPr>
        <w:pStyle w:val="BodyText"/>
        <w:spacing w:before="146"/>
        <w:rPr>
          <w:sz w:val="26"/>
        </w:rPr>
      </w:pPr>
      <w:r>
        <w:rPr>
          <w:sz w:val="26"/>
        </w:rPr>
        <w:drawing>
          <wp:anchor distT="0" distB="0" distL="0" distR="0" allowOverlap="1" layoutInCell="1" locked="0" behindDoc="0" simplePos="0" relativeHeight="15813120">
            <wp:simplePos x="0" y="0"/>
            <wp:positionH relativeFrom="page">
              <wp:posOffset>14981556</wp:posOffset>
            </wp:positionH>
            <wp:positionV relativeFrom="page">
              <wp:posOffset>9668103</wp:posOffset>
            </wp:positionV>
            <wp:extent cx="563245" cy="184683"/>
            <wp:effectExtent l="0" t="0" r="0" b="0"/>
            <wp:wrapNone/>
            <wp:docPr id="831" name="Image 831"/>
            <wp:cNvGraphicFramePr>
              <a:graphicFrameLocks/>
            </wp:cNvGraphicFramePr>
            <a:graphic>
              <a:graphicData uri="http://schemas.openxmlformats.org/drawingml/2006/picture">
                <pic:pic>
                  <pic:nvPicPr>
                    <pic:cNvPr id="831" name="Image 831"/>
                    <pic:cNvPicPr/>
                  </pic:nvPicPr>
                  <pic:blipFill>
                    <a:blip r:embed="rId38" cstate="print"/>
                    <a:stretch>
                      <a:fillRect/>
                    </a:stretch>
                  </pic:blipFill>
                  <pic:spPr>
                    <a:xfrm>
                      <a:off x="0" y="0"/>
                      <a:ext cx="563245" cy="184683"/>
                    </a:xfrm>
                    <a:prstGeom prst="rect">
                      <a:avLst/>
                    </a:prstGeom>
                  </pic:spPr>
                </pic:pic>
              </a:graphicData>
            </a:graphic>
          </wp:anchor>
        </w:drawing>
      </w:r>
    </w:p>
    <w:p>
      <w:pPr>
        <w:tabs>
          <w:tab w:pos="23147" w:val="left" w:leader="none"/>
        </w:tabs>
        <w:spacing w:before="0"/>
        <w:ind w:left="0" w:right="0" w:firstLine="0"/>
        <w:jc w:val="left"/>
        <w:rPr>
          <w:b/>
          <w:sz w:val="26"/>
        </w:rPr>
      </w:pPr>
      <w:r>
        <w:rPr>
          <w:position w:val="-4"/>
        </w:rPr>
        <w:drawing>
          <wp:inline distT="0" distB="0" distL="0" distR="0">
            <wp:extent cx="568172" cy="184683"/>
            <wp:effectExtent l="0" t="0" r="0" b="0"/>
            <wp:docPr id="832" name="Image 832"/>
            <wp:cNvGraphicFramePr>
              <a:graphicFrameLocks/>
            </wp:cNvGraphicFramePr>
            <a:graphic>
              <a:graphicData uri="http://schemas.openxmlformats.org/drawingml/2006/picture">
                <pic:pic>
                  <pic:nvPicPr>
                    <pic:cNvPr id="832" name="Image 832"/>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80"/>
          <w:w w:val="105"/>
          <w:sz w:val="20"/>
        </w:rPr>
        <w:t> </w:t>
      </w:r>
      <w:r>
        <w:rPr>
          <w:b/>
          <w:color w:val="939598"/>
          <w:w w:val="105"/>
          <w:sz w:val="26"/>
        </w:rPr>
        <w:t>61</w:t>
      </w:r>
      <w:r>
        <w:rPr>
          <w:b/>
          <w:color w:val="939598"/>
          <w:sz w:val="26"/>
        </w:rPr>
        <w:tab/>
      </w:r>
      <w:r>
        <w:rPr>
          <w:b/>
          <w:color w:val="939598"/>
          <w:spacing w:val="-5"/>
          <w:w w:val="105"/>
          <w:sz w:val="26"/>
        </w:rPr>
        <w:t>62</w:t>
      </w:r>
    </w:p>
    <w:p>
      <w:pPr>
        <w:spacing w:after="0"/>
        <w:jc w:val="left"/>
        <w:rPr>
          <w:b/>
          <w:sz w:val="26"/>
        </w:rPr>
        <w:sectPr>
          <w:type w:val="continuous"/>
          <w:pgSz w:w="24480" w:h="15840" w:orient="landscape"/>
          <w:pgMar w:header="0" w:footer="0" w:top="0" w:bottom="280" w:left="0" w:right="720"/>
        </w:sectPr>
      </w:pPr>
    </w:p>
    <w:p>
      <w:pPr>
        <w:pStyle w:val="BodyText"/>
        <w:spacing w:before="217"/>
        <w:rPr>
          <w:b/>
          <w:sz w:val="20"/>
        </w:rPr>
      </w:pPr>
    </w:p>
    <w:p>
      <w:pPr>
        <w:pStyle w:val="BodyText"/>
        <w:spacing w:after="0"/>
        <w:rPr>
          <w:b/>
          <w:sz w:val="20"/>
        </w:rPr>
        <w:sectPr>
          <w:pgSz w:w="24480" w:h="15840" w:orient="landscape"/>
          <w:pgMar w:header="0" w:footer="0" w:top="860" w:bottom="0" w:left="0" w:right="720"/>
        </w:sectPr>
      </w:pPr>
    </w:p>
    <w:p>
      <w:pPr>
        <w:pStyle w:val="BodyText"/>
        <w:spacing w:line="247" w:lineRule="auto" w:before="142"/>
        <w:ind w:left="1094" w:right="122"/>
      </w:pPr>
      <w:r>
        <w:rPr>
          <w:color w:val="105C84"/>
          <w:w w:val="105"/>
        </w:rPr>
        <w:t>Located</w:t>
      </w:r>
      <w:r>
        <w:rPr>
          <w:color w:val="105C84"/>
          <w:spacing w:val="-6"/>
          <w:w w:val="105"/>
        </w:rPr>
        <w:t> </w:t>
      </w:r>
      <w:r>
        <w:rPr>
          <w:color w:val="105C84"/>
          <w:w w:val="105"/>
        </w:rPr>
        <w:t>throughout</w:t>
      </w:r>
      <w:r>
        <w:rPr>
          <w:color w:val="105C84"/>
          <w:spacing w:val="-6"/>
          <w:w w:val="105"/>
        </w:rPr>
        <w:t> </w:t>
      </w:r>
      <w:r>
        <w:rPr>
          <w:color w:val="105C84"/>
          <w:w w:val="105"/>
        </w:rPr>
        <w:t>the</w:t>
      </w:r>
      <w:r>
        <w:rPr>
          <w:color w:val="105C84"/>
          <w:spacing w:val="-6"/>
          <w:w w:val="105"/>
        </w:rPr>
        <w:t> </w:t>
      </w:r>
      <w:r>
        <w:rPr>
          <w:color w:val="105C84"/>
          <w:w w:val="105"/>
        </w:rPr>
        <w:t>county</w:t>
      </w:r>
      <w:r>
        <w:rPr>
          <w:color w:val="105C84"/>
          <w:spacing w:val="-6"/>
          <w:w w:val="105"/>
        </w:rPr>
        <w:t> </w:t>
      </w:r>
      <w:r>
        <w:rPr>
          <w:color w:val="105C84"/>
          <w:w w:val="105"/>
        </w:rPr>
        <w:t>are</w:t>
      </w:r>
      <w:r>
        <w:rPr>
          <w:color w:val="105C84"/>
          <w:spacing w:val="-6"/>
          <w:w w:val="105"/>
        </w:rPr>
        <w:t> </w:t>
      </w:r>
      <w:r>
        <w:rPr>
          <w:color w:val="105C84"/>
          <w:w w:val="105"/>
        </w:rPr>
        <w:t>outdoor</w:t>
      </w:r>
      <w:r>
        <w:rPr>
          <w:color w:val="105C84"/>
          <w:spacing w:val="-6"/>
          <w:w w:val="105"/>
        </w:rPr>
        <w:t> </w:t>
      </w:r>
      <w:r>
        <w:rPr>
          <w:color w:val="105C84"/>
          <w:w w:val="105"/>
        </w:rPr>
        <w:t>recreational</w:t>
      </w:r>
      <w:r>
        <w:rPr>
          <w:color w:val="105C84"/>
          <w:spacing w:val="-6"/>
          <w:w w:val="105"/>
        </w:rPr>
        <w:t> </w:t>
      </w:r>
      <w:r>
        <w:rPr>
          <w:color w:val="105C84"/>
          <w:w w:val="105"/>
        </w:rPr>
        <w:t>spaces</w:t>
      </w:r>
      <w:r>
        <w:rPr>
          <w:color w:val="105C84"/>
          <w:spacing w:val="-6"/>
          <w:w w:val="105"/>
        </w:rPr>
        <w:t> </w:t>
      </w:r>
      <w:r>
        <w:rPr>
          <w:color w:val="105C84"/>
          <w:w w:val="105"/>
        </w:rPr>
        <w:t>available</w:t>
      </w:r>
      <w:r>
        <w:rPr>
          <w:color w:val="105C84"/>
          <w:spacing w:val="-6"/>
          <w:w w:val="105"/>
        </w:rPr>
        <w:t> </w:t>
      </w:r>
      <w:r>
        <w:rPr>
          <w:color w:val="105C84"/>
          <w:w w:val="105"/>
        </w:rPr>
        <w:t>to</w:t>
      </w:r>
      <w:r>
        <w:rPr>
          <w:color w:val="105C84"/>
          <w:spacing w:val="-6"/>
          <w:w w:val="105"/>
        </w:rPr>
        <w:t> </w:t>
      </w:r>
      <w:r>
        <w:rPr>
          <w:color w:val="105C84"/>
          <w:w w:val="105"/>
        </w:rPr>
        <w:t>residents</w:t>
      </w:r>
      <w:r>
        <w:rPr>
          <w:color w:val="105C84"/>
          <w:spacing w:val="-6"/>
          <w:w w:val="105"/>
        </w:rPr>
        <w:t> </w:t>
      </w:r>
      <w:r>
        <w:rPr>
          <w:color w:val="105C84"/>
          <w:w w:val="105"/>
        </w:rPr>
        <w:t>for</w:t>
      </w:r>
      <w:r>
        <w:rPr>
          <w:color w:val="105C84"/>
          <w:spacing w:val="-6"/>
          <w:w w:val="105"/>
        </w:rPr>
        <w:t> </w:t>
      </w:r>
      <w:r>
        <w:rPr>
          <w:color w:val="105C84"/>
          <w:w w:val="105"/>
        </w:rPr>
        <w:t>walking, </w:t>
      </w:r>
      <w:r>
        <w:rPr>
          <w:color w:val="105C84"/>
        </w:rPr>
        <w:t>biking, playing and more. A 9.6 mile walking trail project is currently underway which will connect the</w:t>
      </w:r>
      <w:r>
        <w:rPr>
          <w:color w:val="105C84"/>
          <w:spacing w:val="40"/>
        </w:rPr>
        <w:t> </w:t>
      </w:r>
      <w:r>
        <w:rPr>
          <w:color w:val="105C84"/>
        </w:rPr>
        <w:t>Towns of Victor, Farmington and Canandaigua, bolstering community access to outdoor recreational </w:t>
      </w:r>
      <w:r>
        <w:rPr>
          <w:color w:val="105C84"/>
          <w:w w:val="105"/>
        </w:rPr>
        <w:t>activity opportunities.</w:t>
      </w:r>
    </w:p>
    <w:p>
      <w:pPr>
        <w:pStyle w:val="BodyText"/>
        <w:spacing w:line="247" w:lineRule="auto" w:before="178"/>
        <w:ind w:left="1094" w:right="521"/>
      </w:pPr>
      <w:r>
        <w:rPr>
          <w:color w:val="105C84"/>
        </w:rPr>
        <w:t>Expensive housing developments are underway in Victor, located on the western edge of the county proximal to Monroe County and the City of Rochester and will lure in high-income</w:t>
      </w:r>
      <w:r>
        <w:rPr>
          <w:color w:val="105C84"/>
          <w:spacing w:val="40"/>
        </w:rPr>
        <w:t> </w:t>
      </w:r>
      <w:r>
        <w:rPr>
          <w:color w:val="105C84"/>
        </w:rPr>
        <w:t>residents. Affordable housing projects have begun in Farmington, located just south of Victor.</w:t>
      </w:r>
      <w:r>
        <w:rPr>
          <w:color w:val="105C84"/>
          <w:spacing w:val="40"/>
        </w:rPr>
        <w:t> </w:t>
      </w:r>
      <w:r>
        <w:rPr>
          <w:color w:val="105C84"/>
        </w:rPr>
        <w:t>Quality</w:t>
      </w:r>
      <w:r>
        <w:rPr>
          <w:color w:val="105C84"/>
          <w:spacing w:val="33"/>
        </w:rPr>
        <w:t> </w:t>
      </w:r>
      <w:r>
        <w:rPr>
          <w:color w:val="105C84"/>
        </w:rPr>
        <w:t>affordable</w:t>
      </w:r>
      <w:r>
        <w:rPr>
          <w:color w:val="105C84"/>
          <w:spacing w:val="33"/>
        </w:rPr>
        <w:t> </w:t>
      </w:r>
      <w:r>
        <w:rPr>
          <w:color w:val="105C84"/>
        </w:rPr>
        <w:t>housing</w:t>
      </w:r>
      <w:r>
        <w:rPr>
          <w:color w:val="105C84"/>
          <w:spacing w:val="33"/>
        </w:rPr>
        <w:t> </w:t>
      </w:r>
      <w:r>
        <w:rPr>
          <w:color w:val="105C84"/>
        </w:rPr>
        <w:t>benefits</w:t>
      </w:r>
      <w:r>
        <w:rPr>
          <w:color w:val="105C84"/>
          <w:spacing w:val="33"/>
        </w:rPr>
        <w:t> </w:t>
      </w:r>
      <w:r>
        <w:rPr>
          <w:color w:val="105C84"/>
        </w:rPr>
        <w:t>the</w:t>
      </w:r>
      <w:r>
        <w:rPr>
          <w:color w:val="105C84"/>
          <w:spacing w:val="33"/>
        </w:rPr>
        <w:t> </w:t>
      </w:r>
      <w:r>
        <w:rPr>
          <w:color w:val="105C84"/>
        </w:rPr>
        <w:t>community</w:t>
      </w:r>
      <w:r>
        <w:rPr>
          <w:color w:val="105C84"/>
          <w:spacing w:val="33"/>
        </w:rPr>
        <w:t> </w:t>
      </w:r>
      <w:r>
        <w:rPr>
          <w:color w:val="105C84"/>
        </w:rPr>
        <w:t>by</w:t>
      </w:r>
      <w:r>
        <w:rPr>
          <w:color w:val="105C84"/>
          <w:spacing w:val="33"/>
        </w:rPr>
        <w:t> </w:t>
      </w:r>
      <w:r>
        <w:rPr>
          <w:color w:val="105C84"/>
        </w:rPr>
        <w:t>improving</w:t>
      </w:r>
      <w:r>
        <w:rPr>
          <w:color w:val="105C84"/>
          <w:spacing w:val="33"/>
        </w:rPr>
        <w:t> </w:t>
      </w:r>
      <w:r>
        <w:rPr>
          <w:color w:val="105C84"/>
        </w:rPr>
        <w:t>neighborhood</w:t>
      </w:r>
      <w:r>
        <w:rPr>
          <w:color w:val="105C84"/>
          <w:spacing w:val="33"/>
        </w:rPr>
        <w:t> </w:t>
      </w:r>
      <w:r>
        <w:rPr>
          <w:color w:val="105C84"/>
        </w:rPr>
        <w:t>appeal,</w:t>
      </w:r>
      <w:r>
        <w:rPr>
          <w:color w:val="105C84"/>
          <w:spacing w:val="33"/>
        </w:rPr>
        <w:t> </w:t>
      </w:r>
      <w:r>
        <w:rPr>
          <w:color w:val="105C84"/>
        </w:rPr>
        <w:t>creating jobs</w:t>
      </w:r>
      <w:r>
        <w:rPr>
          <w:color w:val="105C84"/>
          <w:spacing w:val="29"/>
        </w:rPr>
        <w:t> </w:t>
      </w:r>
      <w:r>
        <w:rPr>
          <w:color w:val="105C84"/>
        </w:rPr>
        <w:t>(through</w:t>
      </w:r>
      <w:r>
        <w:rPr>
          <w:color w:val="105C84"/>
          <w:spacing w:val="29"/>
        </w:rPr>
        <w:t> </w:t>
      </w:r>
      <w:r>
        <w:rPr>
          <w:color w:val="105C84"/>
        </w:rPr>
        <w:t>construction</w:t>
      </w:r>
      <w:r>
        <w:rPr>
          <w:color w:val="105C84"/>
          <w:spacing w:val="29"/>
        </w:rPr>
        <w:t> </w:t>
      </w:r>
      <w:r>
        <w:rPr>
          <w:color w:val="105C84"/>
        </w:rPr>
        <w:t>efforts),</w:t>
      </w:r>
      <w:r>
        <w:rPr>
          <w:color w:val="105C84"/>
          <w:spacing w:val="29"/>
        </w:rPr>
        <w:t> </w:t>
      </w:r>
      <w:r>
        <w:rPr>
          <w:color w:val="105C84"/>
        </w:rPr>
        <w:t>and</w:t>
      </w:r>
      <w:r>
        <w:rPr>
          <w:color w:val="105C84"/>
          <w:spacing w:val="29"/>
        </w:rPr>
        <w:t> </w:t>
      </w:r>
      <w:r>
        <w:rPr>
          <w:color w:val="105C84"/>
        </w:rPr>
        <w:t>fulfilling</w:t>
      </w:r>
      <w:r>
        <w:rPr>
          <w:color w:val="105C84"/>
          <w:spacing w:val="29"/>
        </w:rPr>
        <w:t> </w:t>
      </w:r>
      <w:r>
        <w:rPr>
          <w:color w:val="105C84"/>
        </w:rPr>
        <w:t>the</w:t>
      </w:r>
      <w:r>
        <w:rPr>
          <w:color w:val="105C84"/>
          <w:spacing w:val="29"/>
        </w:rPr>
        <w:t> </w:t>
      </w:r>
      <w:r>
        <w:rPr>
          <w:color w:val="105C84"/>
        </w:rPr>
        <w:t>community’s</w:t>
      </w:r>
      <w:r>
        <w:rPr>
          <w:color w:val="105C84"/>
          <w:spacing w:val="29"/>
        </w:rPr>
        <w:t> </w:t>
      </w:r>
      <w:r>
        <w:rPr>
          <w:color w:val="105C84"/>
        </w:rPr>
        <w:t>needs</w:t>
      </w:r>
      <w:r>
        <w:rPr>
          <w:color w:val="105C84"/>
          <w:spacing w:val="29"/>
        </w:rPr>
        <w:t> </w:t>
      </w:r>
      <w:r>
        <w:rPr>
          <w:color w:val="105C84"/>
        </w:rPr>
        <w:t>for</w:t>
      </w:r>
      <w:r>
        <w:rPr>
          <w:color w:val="105C84"/>
          <w:spacing w:val="29"/>
        </w:rPr>
        <w:t> </w:t>
      </w:r>
      <w:r>
        <w:rPr>
          <w:color w:val="105C84"/>
        </w:rPr>
        <w:t>low-cost</w:t>
      </w:r>
      <w:r>
        <w:rPr>
          <w:color w:val="105C84"/>
          <w:spacing w:val="29"/>
        </w:rPr>
        <w:t> </w:t>
      </w:r>
      <w:r>
        <w:rPr>
          <w:color w:val="105C84"/>
        </w:rPr>
        <w:t>housing.</w:t>
      </w:r>
      <w:r>
        <w:rPr>
          <w:color w:val="105C84"/>
          <w:spacing w:val="29"/>
        </w:rPr>
        <w:t> </w:t>
      </w:r>
      <w:r>
        <w:rPr>
          <w:color w:val="105C84"/>
        </w:rPr>
        <w:t>In</w:t>
      </w:r>
    </w:p>
    <w:p>
      <w:pPr>
        <w:pStyle w:val="BodyText"/>
        <w:spacing w:line="247" w:lineRule="auto"/>
        <w:ind w:left="1094" w:right="122"/>
      </w:pPr>
      <w:r>
        <w:rPr>
          <w:color w:val="105C84"/>
        </w:rPr>
        <w:t>addition, lower rents potentially free up resources for medications, preventative care, healthy foods,</w:t>
      </w:r>
      <w:r>
        <w:rPr>
          <w:color w:val="105C84"/>
          <w:spacing w:val="40"/>
        </w:rPr>
        <w:t> </w:t>
      </w:r>
      <w:r>
        <w:rPr>
          <w:color w:val="105C84"/>
        </w:rPr>
        <w:t>recreational activities and childcare.</w:t>
      </w:r>
    </w:p>
    <w:p>
      <w:pPr>
        <w:pStyle w:val="BodyText"/>
        <w:spacing w:line="247" w:lineRule="auto" w:before="176"/>
        <w:ind w:left="1094" w:right="122"/>
      </w:pPr>
      <w:r>
        <w:rPr>
          <w:color w:val="105C84"/>
        </w:rPr>
        <w:t>The eastern side of Ontario County fares less well in regard to housing. In the Geneva area, private homes</w:t>
      </w:r>
      <w:r>
        <w:rPr>
          <w:color w:val="105C84"/>
          <w:spacing w:val="28"/>
        </w:rPr>
        <w:t> </w:t>
      </w:r>
      <w:r>
        <w:rPr>
          <w:color w:val="105C84"/>
        </w:rPr>
        <w:t>and</w:t>
      </w:r>
      <w:r>
        <w:rPr>
          <w:color w:val="105C84"/>
          <w:spacing w:val="28"/>
        </w:rPr>
        <w:t> </w:t>
      </w:r>
      <w:r>
        <w:rPr>
          <w:color w:val="105C84"/>
        </w:rPr>
        <w:t>rentals</w:t>
      </w:r>
      <w:r>
        <w:rPr>
          <w:color w:val="105C84"/>
          <w:spacing w:val="28"/>
        </w:rPr>
        <w:t> </w:t>
      </w:r>
      <w:r>
        <w:rPr>
          <w:color w:val="105C84"/>
        </w:rPr>
        <w:t>tend</w:t>
      </w:r>
      <w:r>
        <w:rPr>
          <w:color w:val="105C84"/>
          <w:spacing w:val="28"/>
        </w:rPr>
        <w:t> </w:t>
      </w:r>
      <w:r>
        <w:rPr>
          <w:color w:val="105C84"/>
        </w:rPr>
        <w:t>to</w:t>
      </w:r>
      <w:r>
        <w:rPr>
          <w:color w:val="105C84"/>
          <w:spacing w:val="28"/>
        </w:rPr>
        <w:t> </w:t>
      </w:r>
      <w:r>
        <w:rPr>
          <w:color w:val="105C84"/>
        </w:rPr>
        <w:t>be</w:t>
      </w:r>
      <w:r>
        <w:rPr>
          <w:color w:val="105C84"/>
          <w:spacing w:val="28"/>
        </w:rPr>
        <w:t> </w:t>
      </w:r>
      <w:r>
        <w:rPr>
          <w:color w:val="105C84"/>
        </w:rPr>
        <w:t>older</w:t>
      </w:r>
      <w:r>
        <w:rPr>
          <w:color w:val="105C84"/>
          <w:spacing w:val="28"/>
        </w:rPr>
        <w:t> </w:t>
      </w:r>
      <w:r>
        <w:rPr>
          <w:color w:val="105C84"/>
        </w:rPr>
        <w:t>and</w:t>
      </w:r>
      <w:r>
        <w:rPr>
          <w:color w:val="105C84"/>
          <w:spacing w:val="28"/>
        </w:rPr>
        <w:t> </w:t>
      </w:r>
      <w:r>
        <w:rPr>
          <w:color w:val="105C84"/>
        </w:rPr>
        <w:t>less</w:t>
      </w:r>
      <w:r>
        <w:rPr>
          <w:color w:val="105C84"/>
          <w:spacing w:val="28"/>
        </w:rPr>
        <w:t> </w:t>
      </w:r>
      <w:r>
        <w:rPr>
          <w:color w:val="105C84"/>
        </w:rPr>
        <w:t>well</w:t>
      </w:r>
      <w:r>
        <w:rPr>
          <w:color w:val="105C84"/>
          <w:spacing w:val="28"/>
        </w:rPr>
        <w:t> </w:t>
      </w:r>
      <w:r>
        <w:rPr>
          <w:color w:val="105C84"/>
        </w:rPr>
        <w:t>maintained.</w:t>
      </w:r>
      <w:r>
        <w:rPr>
          <w:color w:val="105C84"/>
          <w:spacing w:val="28"/>
        </w:rPr>
        <w:t> </w:t>
      </w:r>
      <w:r>
        <w:rPr>
          <w:color w:val="105C84"/>
        </w:rPr>
        <w:t>Numbers</w:t>
      </w:r>
      <w:r>
        <w:rPr>
          <w:color w:val="105C84"/>
          <w:spacing w:val="28"/>
        </w:rPr>
        <w:t> </w:t>
      </w:r>
      <w:r>
        <w:rPr>
          <w:color w:val="105C84"/>
        </w:rPr>
        <w:t>of</w:t>
      </w:r>
      <w:r>
        <w:rPr>
          <w:color w:val="105C84"/>
          <w:spacing w:val="28"/>
        </w:rPr>
        <w:t> </w:t>
      </w:r>
      <w:r>
        <w:rPr>
          <w:color w:val="105C84"/>
        </w:rPr>
        <w:t>lead</w:t>
      </w:r>
      <w:r>
        <w:rPr>
          <w:color w:val="105C84"/>
          <w:spacing w:val="28"/>
        </w:rPr>
        <w:t> </w:t>
      </w:r>
      <w:r>
        <w:rPr>
          <w:color w:val="105C84"/>
        </w:rPr>
        <w:t>poisoned</w:t>
      </w:r>
      <w:r>
        <w:rPr>
          <w:color w:val="105C84"/>
          <w:spacing w:val="28"/>
        </w:rPr>
        <w:t> </w:t>
      </w:r>
      <w:r>
        <w:rPr>
          <w:color w:val="105C84"/>
        </w:rPr>
        <w:t>children are higher in Geneva. Additionally, some Geneva residents live in a food desert, with inadequate access to grocery stores. Partners have improved access with new bus routes, free neighborhood produce</w:t>
      </w:r>
      <w:r>
        <w:rPr>
          <w:color w:val="105C84"/>
          <w:spacing w:val="29"/>
        </w:rPr>
        <w:t> </w:t>
      </w:r>
      <w:r>
        <w:rPr>
          <w:color w:val="105C84"/>
        </w:rPr>
        <w:t>stands,</w:t>
      </w:r>
      <w:r>
        <w:rPr>
          <w:color w:val="105C84"/>
          <w:spacing w:val="29"/>
        </w:rPr>
        <w:t> </w:t>
      </w:r>
      <w:r>
        <w:rPr>
          <w:color w:val="105C84"/>
        </w:rPr>
        <w:t>gleaning</w:t>
      </w:r>
      <w:r>
        <w:rPr>
          <w:color w:val="105C84"/>
          <w:spacing w:val="29"/>
        </w:rPr>
        <w:t> </w:t>
      </w:r>
      <w:r>
        <w:rPr>
          <w:color w:val="105C84"/>
        </w:rPr>
        <w:t>and</w:t>
      </w:r>
      <w:r>
        <w:rPr>
          <w:color w:val="105C84"/>
          <w:spacing w:val="29"/>
        </w:rPr>
        <w:t> </w:t>
      </w:r>
      <w:r>
        <w:rPr>
          <w:color w:val="105C84"/>
        </w:rPr>
        <w:t>delivery</w:t>
      </w:r>
      <w:r>
        <w:rPr>
          <w:color w:val="105C84"/>
          <w:spacing w:val="29"/>
        </w:rPr>
        <w:t> </w:t>
      </w:r>
      <w:r>
        <w:rPr>
          <w:color w:val="105C84"/>
        </w:rPr>
        <w:t>of</w:t>
      </w:r>
      <w:r>
        <w:rPr>
          <w:color w:val="105C84"/>
          <w:spacing w:val="29"/>
        </w:rPr>
        <w:t> </w:t>
      </w:r>
      <w:r>
        <w:rPr>
          <w:color w:val="105C84"/>
        </w:rPr>
        <w:t>fresh</w:t>
      </w:r>
      <w:r>
        <w:rPr>
          <w:color w:val="105C84"/>
          <w:spacing w:val="29"/>
        </w:rPr>
        <w:t> </w:t>
      </w:r>
      <w:r>
        <w:rPr>
          <w:color w:val="105C84"/>
        </w:rPr>
        <w:t>produce</w:t>
      </w:r>
      <w:r>
        <w:rPr>
          <w:color w:val="105C84"/>
          <w:spacing w:val="29"/>
        </w:rPr>
        <w:t> </w:t>
      </w:r>
      <w:r>
        <w:rPr>
          <w:color w:val="105C84"/>
        </w:rPr>
        <w:t>to</w:t>
      </w:r>
      <w:r>
        <w:rPr>
          <w:color w:val="105C84"/>
          <w:spacing w:val="29"/>
        </w:rPr>
        <w:t> </w:t>
      </w:r>
      <w:r>
        <w:rPr>
          <w:color w:val="105C84"/>
        </w:rPr>
        <w:t>churches</w:t>
      </w:r>
      <w:r>
        <w:rPr>
          <w:color w:val="105C84"/>
          <w:spacing w:val="29"/>
        </w:rPr>
        <w:t> </w:t>
      </w:r>
      <w:r>
        <w:rPr>
          <w:color w:val="105C84"/>
        </w:rPr>
        <w:t>and</w:t>
      </w:r>
      <w:r>
        <w:rPr>
          <w:color w:val="105C84"/>
          <w:spacing w:val="29"/>
        </w:rPr>
        <w:t> </w:t>
      </w:r>
      <w:r>
        <w:rPr>
          <w:color w:val="105C84"/>
        </w:rPr>
        <w:t>food</w:t>
      </w:r>
      <w:r>
        <w:rPr>
          <w:color w:val="105C84"/>
          <w:spacing w:val="29"/>
        </w:rPr>
        <w:t> </w:t>
      </w:r>
      <w:r>
        <w:rPr>
          <w:color w:val="105C84"/>
        </w:rPr>
        <w:t>pantries.</w:t>
      </w:r>
      <w:r>
        <w:rPr>
          <w:color w:val="105C84"/>
          <w:spacing w:val="29"/>
        </w:rPr>
        <w:t> </w:t>
      </w:r>
      <w:r>
        <w:rPr>
          <w:color w:val="105C84"/>
        </w:rPr>
        <w:t>Food Justice of Geneva NY, Inc. has been instrumental in this process and has begun to expand to other Ontario County communities. In 2018, the Ontario County Health Collaborative began Nourish Your</w:t>
      </w:r>
      <w:r>
        <w:rPr>
          <w:color w:val="105C84"/>
          <w:spacing w:val="40"/>
        </w:rPr>
        <w:t> </w:t>
      </w:r>
      <w:r>
        <w:rPr>
          <w:color w:val="105C84"/>
        </w:rPr>
        <w:t>Neighbor, an initiative to raise community awareness and increase healthy food donations to food</w:t>
      </w:r>
      <w:r>
        <w:rPr>
          <w:color w:val="105C84"/>
          <w:spacing w:val="40"/>
        </w:rPr>
        <w:t> </w:t>
      </w:r>
      <w:r>
        <w:rPr>
          <w:color w:val="105C84"/>
        </w:rPr>
        <w:t>pantries across Ontario County.</w:t>
      </w:r>
    </w:p>
    <w:p>
      <w:pPr>
        <w:pStyle w:val="BodyText"/>
        <w:spacing w:line="247" w:lineRule="auto" w:before="176"/>
        <w:ind w:left="1094" w:right="36"/>
      </w:pPr>
      <w:r>
        <w:rPr>
          <w:color w:val="105C84"/>
        </w:rPr>
        <w:t>Lead</w:t>
      </w:r>
      <w:r>
        <w:rPr>
          <w:color w:val="105C84"/>
          <w:spacing w:val="15"/>
        </w:rPr>
        <w:t> </w:t>
      </w:r>
      <w:r>
        <w:rPr>
          <w:color w:val="105C84"/>
        </w:rPr>
        <w:t>contamination</w:t>
      </w:r>
      <w:r>
        <w:rPr>
          <w:color w:val="105C84"/>
          <w:spacing w:val="15"/>
        </w:rPr>
        <w:t> </w:t>
      </w:r>
      <w:r>
        <w:rPr>
          <w:color w:val="105C84"/>
        </w:rPr>
        <w:t>from</w:t>
      </w:r>
      <w:r>
        <w:rPr>
          <w:color w:val="105C84"/>
          <w:spacing w:val="15"/>
        </w:rPr>
        <w:t> </w:t>
      </w:r>
      <w:r>
        <w:rPr>
          <w:color w:val="105C84"/>
        </w:rPr>
        <w:t>an</w:t>
      </w:r>
      <w:r>
        <w:rPr>
          <w:color w:val="105C84"/>
          <w:spacing w:val="15"/>
        </w:rPr>
        <w:t> </w:t>
      </w:r>
      <w:r>
        <w:rPr>
          <w:color w:val="105C84"/>
        </w:rPr>
        <w:t>old</w:t>
      </w:r>
      <w:r>
        <w:rPr>
          <w:color w:val="105C84"/>
          <w:spacing w:val="15"/>
        </w:rPr>
        <w:t> </w:t>
      </w:r>
      <w:r>
        <w:rPr>
          <w:color w:val="105C84"/>
        </w:rPr>
        <w:t>foundry</w:t>
      </w:r>
      <w:r>
        <w:rPr>
          <w:color w:val="105C84"/>
          <w:spacing w:val="15"/>
        </w:rPr>
        <w:t> </w:t>
      </w:r>
      <w:r>
        <w:rPr>
          <w:color w:val="105C84"/>
        </w:rPr>
        <w:t>located</w:t>
      </w:r>
      <w:r>
        <w:rPr>
          <w:color w:val="105C84"/>
          <w:spacing w:val="15"/>
        </w:rPr>
        <w:t> </w:t>
      </w:r>
      <w:r>
        <w:rPr>
          <w:color w:val="105C84"/>
        </w:rPr>
        <w:t>in</w:t>
      </w:r>
      <w:r>
        <w:rPr>
          <w:color w:val="105C84"/>
          <w:spacing w:val="15"/>
        </w:rPr>
        <w:t> </w:t>
      </w:r>
      <w:r>
        <w:rPr>
          <w:color w:val="105C84"/>
        </w:rPr>
        <w:t>Geneva</w:t>
      </w:r>
      <w:r>
        <w:rPr>
          <w:color w:val="105C84"/>
          <w:spacing w:val="15"/>
        </w:rPr>
        <w:t> </w:t>
      </w:r>
      <w:r>
        <w:rPr>
          <w:color w:val="105C84"/>
        </w:rPr>
        <w:t>is</w:t>
      </w:r>
      <w:r>
        <w:rPr>
          <w:color w:val="105C84"/>
          <w:spacing w:val="15"/>
        </w:rPr>
        <w:t> </w:t>
      </w:r>
      <w:r>
        <w:rPr>
          <w:color w:val="105C84"/>
        </w:rPr>
        <w:t>also</w:t>
      </w:r>
      <w:r>
        <w:rPr>
          <w:color w:val="105C84"/>
          <w:spacing w:val="15"/>
        </w:rPr>
        <w:t> </w:t>
      </w:r>
      <w:r>
        <w:rPr>
          <w:color w:val="105C84"/>
        </w:rPr>
        <w:t>a</w:t>
      </w:r>
      <w:r>
        <w:rPr>
          <w:color w:val="105C84"/>
          <w:spacing w:val="15"/>
        </w:rPr>
        <w:t> </w:t>
      </w:r>
      <w:r>
        <w:rPr>
          <w:color w:val="105C84"/>
        </w:rPr>
        <w:t>concern</w:t>
      </w:r>
      <w:r>
        <w:rPr>
          <w:color w:val="105C84"/>
          <w:spacing w:val="15"/>
        </w:rPr>
        <w:t> </w:t>
      </w:r>
      <w:r>
        <w:rPr>
          <w:color w:val="105C84"/>
        </w:rPr>
        <w:t>for</w:t>
      </w:r>
      <w:r>
        <w:rPr>
          <w:color w:val="105C84"/>
          <w:spacing w:val="15"/>
        </w:rPr>
        <w:t> </w:t>
      </w:r>
      <w:r>
        <w:rPr>
          <w:color w:val="105C84"/>
        </w:rPr>
        <w:t>residents.</w:t>
      </w:r>
      <w:r>
        <w:rPr>
          <w:color w:val="105C84"/>
          <w:spacing w:val="15"/>
        </w:rPr>
        <w:t> </w:t>
      </w:r>
      <w:r>
        <w:rPr>
          <w:color w:val="105C84"/>
        </w:rPr>
        <w:t>Mitigation is currently pending. To address this, several revitalization grants received from New York State will help regenerate the city over the next several years, which may bring in additional tourism and boost</w:t>
      </w:r>
      <w:r>
        <w:rPr>
          <w:color w:val="105C84"/>
          <w:spacing w:val="40"/>
        </w:rPr>
        <w:t> </w:t>
      </w:r>
      <w:r>
        <w:rPr>
          <w:color w:val="105C84"/>
        </w:rPr>
        <w:t>community pride. Nevertheless, the socioeconomic conditions residents live in are impacting their</w:t>
      </w:r>
      <w:r>
        <w:rPr>
          <w:color w:val="105C84"/>
          <w:spacing w:val="80"/>
        </w:rPr>
        <w:t> </w:t>
      </w:r>
      <w:r>
        <w:rPr>
          <w:color w:val="105C84"/>
        </w:rPr>
        <w:t>overall health status.</w:t>
      </w:r>
    </w:p>
    <w:p>
      <w:pPr>
        <w:pStyle w:val="BodyText"/>
        <w:spacing w:before="15"/>
      </w:pPr>
    </w:p>
    <w:p>
      <w:pPr>
        <w:pStyle w:val="Heading6"/>
        <w:spacing w:before="1"/>
        <w:ind w:left="1094"/>
      </w:pPr>
      <w:r>
        <w:rPr>
          <w:color w:val="105C84"/>
          <w:spacing w:val="-4"/>
        </w:rPr>
        <w:t>Unique Characteristics</w:t>
      </w:r>
      <w:r>
        <w:rPr>
          <w:color w:val="105C84"/>
          <w:spacing w:val="-3"/>
        </w:rPr>
        <w:t> </w:t>
      </w:r>
      <w:r>
        <w:rPr>
          <w:color w:val="105C84"/>
          <w:spacing w:val="-4"/>
        </w:rPr>
        <w:t>Contributing</w:t>
      </w:r>
      <w:r>
        <w:rPr>
          <w:color w:val="105C84"/>
          <w:spacing w:val="-3"/>
        </w:rPr>
        <w:t> </w:t>
      </w:r>
      <w:r>
        <w:rPr>
          <w:color w:val="105C84"/>
          <w:spacing w:val="-4"/>
        </w:rPr>
        <w:t>to Health</w:t>
      </w:r>
      <w:r>
        <w:rPr>
          <w:color w:val="105C84"/>
          <w:spacing w:val="-3"/>
        </w:rPr>
        <w:t> </w:t>
      </w:r>
      <w:r>
        <w:rPr>
          <w:color w:val="105C84"/>
          <w:spacing w:val="-4"/>
        </w:rPr>
        <w:t>Status</w:t>
      </w:r>
    </w:p>
    <w:p>
      <w:pPr>
        <w:pStyle w:val="BodyText"/>
        <w:spacing w:line="247" w:lineRule="auto" w:before="268"/>
        <w:ind w:left="1094"/>
      </w:pPr>
      <w:r>
        <w:rPr>
          <w:color w:val="105C84"/>
          <w:w w:val="105"/>
        </w:rPr>
        <w:t>Other</w:t>
      </w:r>
      <w:r>
        <w:rPr>
          <w:color w:val="105C84"/>
          <w:spacing w:val="-8"/>
          <w:w w:val="105"/>
        </w:rPr>
        <w:t> </w:t>
      </w:r>
      <w:r>
        <w:rPr>
          <w:color w:val="105C84"/>
          <w:w w:val="105"/>
        </w:rPr>
        <w:t>characteristics</w:t>
      </w:r>
      <w:r>
        <w:rPr>
          <w:color w:val="105C84"/>
          <w:spacing w:val="-8"/>
          <w:w w:val="105"/>
        </w:rPr>
        <w:t> </w:t>
      </w:r>
      <w:r>
        <w:rPr>
          <w:color w:val="105C84"/>
          <w:w w:val="105"/>
        </w:rPr>
        <w:t>in</w:t>
      </w:r>
      <w:r>
        <w:rPr>
          <w:color w:val="105C84"/>
          <w:spacing w:val="-8"/>
          <w:w w:val="105"/>
        </w:rPr>
        <w:t> </w:t>
      </w:r>
      <w:r>
        <w:rPr>
          <w:color w:val="105C84"/>
          <w:w w:val="105"/>
        </w:rPr>
        <w:t>Ontario</w:t>
      </w:r>
      <w:r>
        <w:rPr>
          <w:color w:val="105C84"/>
          <w:spacing w:val="-8"/>
          <w:w w:val="105"/>
        </w:rPr>
        <w:t> </w:t>
      </w:r>
      <w:r>
        <w:rPr>
          <w:color w:val="105C84"/>
          <w:w w:val="105"/>
        </w:rPr>
        <w:t>County</w:t>
      </w:r>
      <w:r>
        <w:rPr>
          <w:color w:val="105C84"/>
          <w:spacing w:val="-8"/>
          <w:w w:val="105"/>
        </w:rPr>
        <w:t> </w:t>
      </w:r>
      <w:r>
        <w:rPr>
          <w:color w:val="105C84"/>
          <w:w w:val="105"/>
        </w:rPr>
        <w:t>that</w:t>
      </w:r>
      <w:r>
        <w:rPr>
          <w:color w:val="105C84"/>
          <w:spacing w:val="-8"/>
          <w:w w:val="105"/>
        </w:rPr>
        <w:t> </w:t>
      </w:r>
      <w:r>
        <w:rPr>
          <w:color w:val="105C84"/>
          <w:w w:val="105"/>
        </w:rPr>
        <w:t>are</w:t>
      </w:r>
      <w:r>
        <w:rPr>
          <w:color w:val="105C84"/>
          <w:spacing w:val="-8"/>
          <w:w w:val="105"/>
        </w:rPr>
        <w:t> </w:t>
      </w:r>
      <w:r>
        <w:rPr>
          <w:color w:val="105C84"/>
          <w:w w:val="105"/>
        </w:rPr>
        <w:t>impacting</w:t>
      </w:r>
      <w:r>
        <w:rPr>
          <w:color w:val="105C84"/>
          <w:spacing w:val="-8"/>
          <w:w w:val="105"/>
        </w:rPr>
        <w:t> </w:t>
      </w:r>
      <w:r>
        <w:rPr>
          <w:color w:val="105C84"/>
          <w:w w:val="105"/>
        </w:rPr>
        <w:t>health</w:t>
      </w:r>
      <w:r>
        <w:rPr>
          <w:color w:val="105C84"/>
          <w:spacing w:val="-8"/>
          <w:w w:val="105"/>
        </w:rPr>
        <w:t> </w:t>
      </w:r>
      <w:r>
        <w:rPr>
          <w:color w:val="105C84"/>
          <w:w w:val="105"/>
        </w:rPr>
        <w:t>status</w:t>
      </w:r>
      <w:r>
        <w:rPr>
          <w:color w:val="105C84"/>
          <w:spacing w:val="-8"/>
          <w:w w:val="105"/>
        </w:rPr>
        <w:t> </w:t>
      </w:r>
      <w:r>
        <w:rPr>
          <w:color w:val="105C84"/>
          <w:w w:val="105"/>
        </w:rPr>
        <w:t>include</w:t>
      </w:r>
      <w:r>
        <w:rPr>
          <w:color w:val="105C84"/>
          <w:spacing w:val="-8"/>
          <w:w w:val="105"/>
        </w:rPr>
        <w:t> </w:t>
      </w:r>
      <w:r>
        <w:rPr>
          <w:color w:val="105C84"/>
          <w:w w:val="105"/>
        </w:rPr>
        <w:t>the</w:t>
      </w:r>
      <w:r>
        <w:rPr>
          <w:color w:val="105C84"/>
          <w:spacing w:val="-8"/>
          <w:w w:val="105"/>
        </w:rPr>
        <w:t> </w:t>
      </w:r>
      <w:r>
        <w:rPr>
          <w:color w:val="105C84"/>
          <w:w w:val="105"/>
        </w:rPr>
        <w:t>presence</w:t>
      </w:r>
      <w:r>
        <w:rPr>
          <w:color w:val="105C84"/>
          <w:spacing w:val="-8"/>
          <w:w w:val="105"/>
        </w:rPr>
        <w:t> </w:t>
      </w:r>
      <w:r>
        <w:rPr>
          <w:color w:val="105C84"/>
          <w:w w:val="105"/>
        </w:rPr>
        <w:t>of</w:t>
      </w:r>
      <w:r>
        <w:rPr>
          <w:color w:val="105C84"/>
          <w:spacing w:val="-8"/>
          <w:w w:val="105"/>
        </w:rPr>
        <w:t> </w:t>
      </w:r>
      <w:r>
        <w:rPr>
          <w:color w:val="105C84"/>
          <w:w w:val="105"/>
        </w:rPr>
        <w:t>two </w:t>
      </w:r>
      <w:r>
        <w:rPr>
          <w:color w:val="105C84"/>
        </w:rPr>
        <w:t>local colleges and a nursing school and the abundance of tourism due to the beautiful lakes, wineries and</w:t>
      </w:r>
      <w:r>
        <w:rPr>
          <w:color w:val="105C84"/>
          <w:spacing w:val="39"/>
        </w:rPr>
        <w:t> </w:t>
      </w:r>
      <w:r>
        <w:rPr>
          <w:color w:val="105C84"/>
        </w:rPr>
        <w:t>craft</w:t>
      </w:r>
      <w:r>
        <w:rPr>
          <w:color w:val="105C84"/>
          <w:spacing w:val="39"/>
        </w:rPr>
        <w:t> </w:t>
      </w:r>
      <w:r>
        <w:rPr>
          <w:color w:val="105C84"/>
        </w:rPr>
        <w:t>breweries.</w:t>
      </w:r>
      <w:r>
        <w:rPr>
          <w:color w:val="105C84"/>
          <w:spacing w:val="39"/>
        </w:rPr>
        <w:t> </w:t>
      </w:r>
      <w:r>
        <w:rPr>
          <w:color w:val="105C84"/>
        </w:rPr>
        <w:t>These</w:t>
      </w:r>
      <w:r>
        <w:rPr>
          <w:color w:val="105C84"/>
          <w:spacing w:val="39"/>
        </w:rPr>
        <w:t> </w:t>
      </w:r>
      <w:r>
        <w:rPr>
          <w:color w:val="105C84"/>
        </w:rPr>
        <w:t>resources</w:t>
      </w:r>
      <w:r>
        <w:rPr>
          <w:color w:val="105C84"/>
          <w:spacing w:val="39"/>
        </w:rPr>
        <w:t> </w:t>
      </w:r>
      <w:r>
        <w:rPr>
          <w:color w:val="105C84"/>
        </w:rPr>
        <w:t>provide</w:t>
      </w:r>
      <w:r>
        <w:rPr>
          <w:color w:val="105C84"/>
          <w:spacing w:val="39"/>
        </w:rPr>
        <w:t> </w:t>
      </w:r>
      <w:r>
        <w:rPr>
          <w:color w:val="105C84"/>
        </w:rPr>
        <w:t>opportunities</w:t>
      </w:r>
      <w:r>
        <w:rPr>
          <w:color w:val="105C84"/>
          <w:spacing w:val="39"/>
        </w:rPr>
        <w:t> </w:t>
      </w:r>
      <w:r>
        <w:rPr>
          <w:color w:val="105C84"/>
        </w:rPr>
        <w:t>for</w:t>
      </w:r>
      <w:r>
        <w:rPr>
          <w:color w:val="105C84"/>
          <w:spacing w:val="39"/>
        </w:rPr>
        <w:t> </w:t>
      </w:r>
      <w:r>
        <w:rPr>
          <w:color w:val="105C84"/>
        </w:rPr>
        <w:t>education,</w:t>
      </w:r>
      <w:r>
        <w:rPr>
          <w:color w:val="105C84"/>
          <w:spacing w:val="39"/>
        </w:rPr>
        <w:t> </w:t>
      </w:r>
      <w:r>
        <w:rPr>
          <w:color w:val="105C84"/>
        </w:rPr>
        <w:t>employment,</w:t>
      </w:r>
      <w:r>
        <w:rPr>
          <w:color w:val="105C84"/>
          <w:spacing w:val="39"/>
        </w:rPr>
        <w:t> </w:t>
      </w:r>
      <w:r>
        <w:rPr>
          <w:color w:val="105C84"/>
        </w:rPr>
        <w:t>recreation </w:t>
      </w:r>
      <w:r>
        <w:rPr>
          <w:color w:val="105C84"/>
          <w:w w:val="105"/>
        </w:rPr>
        <w:t>and</w:t>
      </w:r>
      <w:r>
        <w:rPr>
          <w:color w:val="105C84"/>
          <w:spacing w:val="-8"/>
          <w:w w:val="105"/>
        </w:rPr>
        <w:t> </w:t>
      </w:r>
      <w:r>
        <w:rPr>
          <w:color w:val="105C84"/>
          <w:w w:val="105"/>
        </w:rPr>
        <w:t>healthy</w:t>
      </w:r>
      <w:r>
        <w:rPr>
          <w:color w:val="105C84"/>
          <w:spacing w:val="-8"/>
          <w:w w:val="105"/>
        </w:rPr>
        <w:t> </w:t>
      </w:r>
      <w:r>
        <w:rPr>
          <w:color w:val="105C84"/>
          <w:w w:val="105"/>
        </w:rPr>
        <w:t>living.</w:t>
      </w:r>
      <w:r>
        <w:rPr>
          <w:color w:val="105C84"/>
          <w:spacing w:val="-8"/>
          <w:w w:val="105"/>
        </w:rPr>
        <w:t> </w:t>
      </w:r>
      <w:r>
        <w:rPr>
          <w:color w:val="105C84"/>
          <w:w w:val="105"/>
        </w:rPr>
        <w:t>In</w:t>
      </w:r>
      <w:r>
        <w:rPr>
          <w:color w:val="105C84"/>
          <w:spacing w:val="-8"/>
          <w:w w:val="105"/>
        </w:rPr>
        <w:t> </w:t>
      </w:r>
      <w:r>
        <w:rPr>
          <w:color w:val="105C84"/>
          <w:w w:val="105"/>
        </w:rPr>
        <w:t>addition,</w:t>
      </w:r>
      <w:r>
        <w:rPr>
          <w:color w:val="105C84"/>
          <w:spacing w:val="-8"/>
          <w:w w:val="105"/>
        </w:rPr>
        <w:t> </w:t>
      </w:r>
      <w:r>
        <w:rPr>
          <w:color w:val="105C84"/>
          <w:w w:val="105"/>
        </w:rPr>
        <w:t>many</w:t>
      </w:r>
      <w:r>
        <w:rPr>
          <w:color w:val="105C84"/>
          <w:spacing w:val="-8"/>
          <w:w w:val="105"/>
        </w:rPr>
        <w:t> </w:t>
      </w:r>
      <w:r>
        <w:rPr>
          <w:color w:val="105C84"/>
          <w:w w:val="105"/>
        </w:rPr>
        <w:t>seasonal</w:t>
      </w:r>
      <w:r>
        <w:rPr>
          <w:color w:val="105C84"/>
          <w:spacing w:val="-8"/>
          <w:w w:val="105"/>
        </w:rPr>
        <w:t> </w:t>
      </w:r>
      <w:r>
        <w:rPr>
          <w:color w:val="105C84"/>
          <w:w w:val="105"/>
        </w:rPr>
        <w:t>positions</w:t>
      </w:r>
      <w:r>
        <w:rPr>
          <w:color w:val="105C84"/>
          <w:spacing w:val="-8"/>
          <w:w w:val="105"/>
        </w:rPr>
        <w:t> </w:t>
      </w:r>
      <w:r>
        <w:rPr>
          <w:color w:val="105C84"/>
          <w:w w:val="105"/>
        </w:rPr>
        <w:t>are</w:t>
      </w:r>
      <w:r>
        <w:rPr>
          <w:color w:val="105C84"/>
          <w:spacing w:val="-8"/>
          <w:w w:val="105"/>
        </w:rPr>
        <w:t> </w:t>
      </w:r>
      <w:r>
        <w:rPr>
          <w:color w:val="105C84"/>
          <w:w w:val="105"/>
        </w:rPr>
        <w:t>generated</w:t>
      </w:r>
      <w:r>
        <w:rPr>
          <w:color w:val="105C84"/>
          <w:spacing w:val="-8"/>
          <w:w w:val="105"/>
        </w:rPr>
        <w:t> </w:t>
      </w:r>
      <w:r>
        <w:rPr>
          <w:color w:val="105C84"/>
          <w:w w:val="105"/>
        </w:rPr>
        <w:t>to</w:t>
      </w:r>
      <w:r>
        <w:rPr>
          <w:color w:val="105C84"/>
          <w:spacing w:val="-8"/>
          <w:w w:val="105"/>
        </w:rPr>
        <w:t> </w:t>
      </w:r>
      <w:r>
        <w:rPr>
          <w:color w:val="105C84"/>
          <w:w w:val="105"/>
        </w:rPr>
        <w:t>account</w:t>
      </w:r>
      <w:r>
        <w:rPr>
          <w:color w:val="105C84"/>
          <w:spacing w:val="-8"/>
          <w:w w:val="105"/>
        </w:rPr>
        <w:t> </w:t>
      </w:r>
      <w:r>
        <w:rPr>
          <w:color w:val="105C84"/>
          <w:w w:val="105"/>
        </w:rPr>
        <w:t>for</w:t>
      </w:r>
      <w:r>
        <w:rPr>
          <w:color w:val="105C84"/>
          <w:spacing w:val="-8"/>
          <w:w w:val="105"/>
        </w:rPr>
        <w:t> </w:t>
      </w:r>
      <w:r>
        <w:rPr>
          <w:color w:val="105C84"/>
          <w:w w:val="105"/>
        </w:rPr>
        <w:t>the</w:t>
      </w:r>
      <w:r>
        <w:rPr>
          <w:color w:val="105C84"/>
          <w:spacing w:val="-8"/>
          <w:w w:val="105"/>
        </w:rPr>
        <w:t> </w:t>
      </w:r>
      <w:r>
        <w:rPr>
          <w:color w:val="105C84"/>
          <w:w w:val="105"/>
        </w:rPr>
        <w:t>increased volume</w:t>
      </w:r>
      <w:r>
        <w:rPr>
          <w:color w:val="105C84"/>
          <w:spacing w:val="-3"/>
          <w:w w:val="105"/>
        </w:rPr>
        <w:t> </w:t>
      </w:r>
      <w:r>
        <w:rPr>
          <w:color w:val="105C84"/>
          <w:w w:val="105"/>
        </w:rPr>
        <w:t>of</w:t>
      </w:r>
      <w:r>
        <w:rPr>
          <w:color w:val="105C84"/>
          <w:spacing w:val="-3"/>
          <w:w w:val="105"/>
        </w:rPr>
        <w:t> </w:t>
      </w:r>
      <w:r>
        <w:rPr>
          <w:color w:val="105C84"/>
          <w:w w:val="105"/>
        </w:rPr>
        <w:t>patrons</w:t>
      </w:r>
      <w:r>
        <w:rPr>
          <w:color w:val="105C84"/>
          <w:spacing w:val="-3"/>
          <w:w w:val="105"/>
        </w:rPr>
        <w:t> </w:t>
      </w:r>
      <w:r>
        <w:rPr>
          <w:color w:val="105C84"/>
          <w:w w:val="105"/>
        </w:rPr>
        <w:t>that</w:t>
      </w:r>
      <w:r>
        <w:rPr>
          <w:color w:val="105C84"/>
          <w:spacing w:val="-3"/>
          <w:w w:val="105"/>
        </w:rPr>
        <w:t> </w:t>
      </w:r>
      <w:r>
        <w:rPr>
          <w:color w:val="105C84"/>
          <w:w w:val="105"/>
        </w:rPr>
        <w:t>visit</w:t>
      </w:r>
      <w:r>
        <w:rPr>
          <w:color w:val="105C84"/>
          <w:spacing w:val="-3"/>
          <w:w w:val="105"/>
        </w:rPr>
        <w:t> </w:t>
      </w:r>
      <w:r>
        <w:rPr>
          <w:color w:val="105C84"/>
          <w:w w:val="105"/>
        </w:rPr>
        <w:t>(particularly</w:t>
      </w:r>
      <w:r>
        <w:rPr>
          <w:color w:val="105C84"/>
          <w:spacing w:val="-3"/>
          <w:w w:val="105"/>
        </w:rPr>
        <w:t> </w:t>
      </w:r>
      <w:r>
        <w:rPr>
          <w:color w:val="105C84"/>
          <w:w w:val="105"/>
        </w:rPr>
        <w:t>during</w:t>
      </w:r>
      <w:r>
        <w:rPr>
          <w:color w:val="105C84"/>
          <w:spacing w:val="-3"/>
          <w:w w:val="105"/>
        </w:rPr>
        <w:t> </w:t>
      </w:r>
      <w:r>
        <w:rPr>
          <w:color w:val="105C84"/>
          <w:w w:val="105"/>
        </w:rPr>
        <w:t>the</w:t>
      </w:r>
      <w:r>
        <w:rPr>
          <w:color w:val="105C84"/>
          <w:spacing w:val="-3"/>
          <w:w w:val="105"/>
        </w:rPr>
        <w:t> </w:t>
      </w:r>
      <w:r>
        <w:rPr>
          <w:color w:val="105C84"/>
          <w:w w:val="105"/>
        </w:rPr>
        <w:t>summer</w:t>
      </w:r>
      <w:r>
        <w:rPr>
          <w:color w:val="105C84"/>
          <w:spacing w:val="-3"/>
          <w:w w:val="105"/>
        </w:rPr>
        <w:t> </w:t>
      </w:r>
      <w:r>
        <w:rPr>
          <w:color w:val="105C84"/>
          <w:w w:val="105"/>
        </w:rPr>
        <w:t>months).</w:t>
      </w:r>
    </w:p>
    <w:p>
      <w:pPr>
        <w:pStyle w:val="BodyText"/>
        <w:spacing w:line="247" w:lineRule="auto" w:before="178"/>
        <w:ind w:left="1094" w:right="235"/>
      </w:pPr>
      <w:r>
        <w:rPr>
          <w:color w:val="105C84"/>
        </w:rPr>
        <w:t>Another resource Ontario County residents thrive on is the availability of fresh, local produce thanks</w:t>
      </w:r>
      <w:r>
        <w:rPr>
          <w:color w:val="105C84"/>
          <w:spacing w:val="40"/>
        </w:rPr>
        <w:t> </w:t>
      </w:r>
      <w:r>
        <w:rPr>
          <w:color w:val="105C84"/>
        </w:rPr>
        <w:t>to a robust farming community. Farming is an important asset to residents and migrant farmworkers are an integral part of that process. Of note, the migrant workers accept jobs, wages and hours that permanent residents will not. Laws regarding fair wages and work hours need to be developed and implemented</w:t>
      </w:r>
      <w:r>
        <w:rPr>
          <w:color w:val="105C84"/>
          <w:spacing w:val="40"/>
        </w:rPr>
        <w:t> </w:t>
      </w:r>
      <w:r>
        <w:rPr>
          <w:color w:val="105C84"/>
        </w:rPr>
        <w:t>thoughtfully</w:t>
      </w:r>
      <w:r>
        <w:rPr>
          <w:color w:val="105C84"/>
          <w:spacing w:val="40"/>
        </w:rPr>
        <w:t> </w:t>
      </w:r>
      <w:r>
        <w:rPr>
          <w:color w:val="105C84"/>
        </w:rPr>
        <w:t>with</w:t>
      </w:r>
      <w:r>
        <w:rPr>
          <w:color w:val="105C84"/>
          <w:spacing w:val="40"/>
        </w:rPr>
        <w:t> </w:t>
      </w:r>
      <w:r>
        <w:rPr>
          <w:color w:val="105C84"/>
        </w:rPr>
        <w:t>consideration</w:t>
      </w:r>
      <w:r>
        <w:rPr>
          <w:color w:val="105C84"/>
          <w:spacing w:val="40"/>
        </w:rPr>
        <w:t> </w:t>
      </w:r>
      <w:r>
        <w:rPr>
          <w:color w:val="105C84"/>
        </w:rPr>
        <w:t>of</w:t>
      </w:r>
      <w:r>
        <w:rPr>
          <w:color w:val="105C84"/>
          <w:spacing w:val="40"/>
        </w:rPr>
        <w:t> </w:t>
      </w:r>
      <w:r>
        <w:rPr>
          <w:color w:val="105C84"/>
        </w:rPr>
        <w:t>the</w:t>
      </w:r>
      <w:r>
        <w:rPr>
          <w:color w:val="105C84"/>
          <w:spacing w:val="40"/>
        </w:rPr>
        <w:t> </w:t>
      </w:r>
      <w:r>
        <w:rPr>
          <w:color w:val="105C84"/>
        </w:rPr>
        <w:t>narrow</w:t>
      </w:r>
      <w:r>
        <w:rPr>
          <w:color w:val="105C84"/>
          <w:spacing w:val="40"/>
        </w:rPr>
        <w:t> </w:t>
      </w:r>
      <w:r>
        <w:rPr>
          <w:color w:val="105C84"/>
        </w:rPr>
        <w:t>financial</w:t>
      </w:r>
      <w:r>
        <w:rPr>
          <w:color w:val="105C84"/>
          <w:spacing w:val="40"/>
        </w:rPr>
        <w:t> </w:t>
      </w:r>
      <w:r>
        <w:rPr>
          <w:color w:val="105C84"/>
        </w:rPr>
        <w:t>margins</w:t>
      </w:r>
      <w:r>
        <w:rPr>
          <w:color w:val="105C84"/>
          <w:spacing w:val="40"/>
        </w:rPr>
        <w:t> </w:t>
      </w:r>
      <w:r>
        <w:rPr>
          <w:color w:val="105C84"/>
        </w:rPr>
        <w:t>of</w:t>
      </w:r>
      <w:r>
        <w:rPr>
          <w:color w:val="105C84"/>
          <w:spacing w:val="40"/>
        </w:rPr>
        <w:t> </w:t>
      </w:r>
      <w:r>
        <w:rPr>
          <w:color w:val="105C84"/>
        </w:rPr>
        <w:t>independent</w:t>
      </w:r>
      <w:r>
        <w:rPr>
          <w:color w:val="105C84"/>
          <w:spacing w:val="40"/>
        </w:rPr>
        <w:t> </w:t>
      </w:r>
      <w:r>
        <w:rPr>
          <w:color w:val="105C84"/>
        </w:rPr>
        <w:t>local </w:t>
      </w:r>
      <w:r>
        <w:rPr>
          <w:color w:val="105C84"/>
          <w:spacing w:val="-2"/>
        </w:rPr>
        <w:t>farmers.</w:t>
      </w:r>
    </w:p>
    <w:p>
      <w:pPr>
        <w:pStyle w:val="BodyText"/>
        <w:spacing w:line="247" w:lineRule="auto" w:before="114"/>
        <w:ind w:left="1094" w:right="479"/>
      </w:pPr>
      <w:r>
        <w:rPr/>
        <w:br w:type="column"/>
      </w:r>
      <w:r>
        <w:rPr>
          <w:color w:val="105C84"/>
        </w:rPr>
        <w:t>In</w:t>
      </w:r>
      <w:r>
        <w:rPr>
          <w:color w:val="105C84"/>
          <w:spacing w:val="25"/>
        </w:rPr>
        <w:t> </w:t>
      </w:r>
      <w:r>
        <w:rPr>
          <w:color w:val="105C84"/>
        </w:rPr>
        <w:t>recent</w:t>
      </w:r>
      <w:r>
        <w:rPr>
          <w:color w:val="105C84"/>
          <w:spacing w:val="25"/>
        </w:rPr>
        <w:t> </w:t>
      </w:r>
      <w:r>
        <w:rPr>
          <w:color w:val="105C84"/>
        </w:rPr>
        <w:t>years</w:t>
      </w:r>
      <w:r>
        <w:rPr>
          <w:color w:val="105C84"/>
          <w:spacing w:val="25"/>
        </w:rPr>
        <w:t> </w:t>
      </w:r>
      <w:r>
        <w:rPr>
          <w:color w:val="105C84"/>
        </w:rPr>
        <w:t>two</w:t>
      </w:r>
      <w:r>
        <w:rPr>
          <w:color w:val="105C84"/>
          <w:spacing w:val="25"/>
        </w:rPr>
        <w:t> </w:t>
      </w:r>
      <w:r>
        <w:rPr>
          <w:color w:val="105C84"/>
        </w:rPr>
        <w:t>of</w:t>
      </w:r>
      <w:r>
        <w:rPr>
          <w:color w:val="105C84"/>
          <w:spacing w:val="25"/>
        </w:rPr>
        <w:t> </w:t>
      </w:r>
      <w:r>
        <w:rPr>
          <w:color w:val="105C84"/>
        </w:rPr>
        <w:t>Ontario</w:t>
      </w:r>
      <w:r>
        <w:rPr>
          <w:color w:val="105C84"/>
          <w:spacing w:val="25"/>
        </w:rPr>
        <w:t> </w:t>
      </w:r>
      <w:r>
        <w:rPr>
          <w:color w:val="105C84"/>
        </w:rPr>
        <w:t>County’s</w:t>
      </w:r>
      <w:r>
        <w:rPr>
          <w:color w:val="105C84"/>
          <w:spacing w:val="25"/>
        </w:rPr>
        <w:t> </w:t>
      </w:r>
      <w:r>
        <w:rPr>
          <w:color w:val="105C84"/>
        </w:rPr>
        <w:t>hospitals</w:t>
      </w:r>
      <w:r>
        <w:rPr>
          <w:color w:val="105C84"/>
          <w:spacing w:val="25"/>
        </w:rPr>
        <w:t> </w:t>
      </w:r>
      <w:r>
        <w:rPr>
          <w:color w:val="105C84"/>
        </w:rPr>
        <w:t>(Thompson</w:t>
      </w:r>
      <w:r>
        <w:rPr>
          <w:color w:val="105C84"/>
          <w:spacing w:val="25"/>
        </w:rPr>
        <w:t> </w:t>
      </w:r>
      <w:r>
        <w:rPr>
          <w:color w:val="105C84"/>
        </w:rPr>
        <w:t>Health</w:t>
      </w:r>
      <w:r>
        <w:rPr>
          <w:color w:val="105C84"/>
          <w:spacing w:val="25"/>
        </w:rPr>
        <w:t> </w:t>
      </w:r>
      <w:r>
        <w:rPr>
          <w:color w:val="105C84"/>
        </w:rPr>
        <w:t>and</w:t>
      </w:r>
      <w:r>
        <w:rPr>
          <w:color w:val="105C84"/>
          <w:spacing w:val="25"/>
        </w:rPr>
        <w:t> </w:t>
      </w:r>
      <w:r>
        <w:rPr>
          <w:color w:val="105C84"/>
        </w:rPr>
        <w:t>Clifton</w:t>
      </w:r>
      <w:r>
        <w:rPr>
          <w:color w:val="105C84"/>
          <w:spacing w:val="25"/>
        </w:rPr>
        <w:t> </w:t>
      </w:r>
      <w:r>
        <w:rPr>
          <w:color w:val="105C84"/>
        </w:rPr>
        <w:t>Springs</w:t>
      </w:r>
      <w:r>
        <w:rPr>
          <w:color w:val="105C84"/>
          <w:spacing w:val="25"/>
        </w:rPr>
        <w:t> </w:t>
      </w:r>
      <w:r>
        <w:rPr>
          <w:color w:val="105C84"/>
        </w:rPr>
        <w:t>Hospital</w:t>
      </w:r>
      <w:r>
        <w:rPr>
          <w:color w:val="105C84"/>
        </w:rPr>
        <w:t> and Clinic) have joined larger hospital systems. The third (Finger Lakes Health) began this process in 2019. Affiliations with large, urban systems provide financial stability for local hospitals and greater local access to tertiary and specialized care on the part of county residents. The Canandaigua VA Hospital remains an asset and provides a plethora of services to veterans and their families as well as a national suicide prevention hotline.</w:t>
      </w:r>
    </w:p>
    <w:p>
      <w:pPr>
        <w:pStyle w:val="BodyText"/>
        <w:spacing w:line="247" w:lineRule="auto" w:before="177"/>
        <w:ind w:left="1094" w:right="479"/>
      </w:pPr>
      <w:r>
        <w:rPr>
          <w:color w:val="105C84"/>
        </w:rPr>
        <w:t>Finally, Finger Lakes Area Counseling and Recovery Agency (FLACRA) has recently announced the launch of their new Center of Treatment Innovation (COTI) which was created to address the opioid and heroin crisis in Ontario and Yates counties. COTI will focus on increased access to treatment, unmet treatment needs and reducing overdose related deaths. The no-cost services will be available 24/7 and will aid in reducing death due to substance use.</w:t>
      </w:r>
    </w:p>
    <w:p>
      <w:pPr>
        <w:pStyle w:val="BodyText"/>
        <w:spacing w:before="16"/>
      </w:pPr>
    </w:p>
    <w:p>
      <w:pPr>
        <w:pStyle w:val="Heading6"/>
        <w:ind w:left="1094"/>
      </w:pPr>
      <w:r>
        <w:rPr>
          <w:color w:val="105C84"/>
          <w:spacing w:val="-6"/>
        </w:rPr>
        <w:t>Community</w:t>
      </w:r>
      <w:r>
        <w:rPr>
          <w:color w:val="105C84"/>
          <w:spacing w:val="-9"/>
        </w:rPr>
        <w:t> </w:t>
      </w:r>
      <w:r>
        <w:rPr>
          <w:color w:val="105C84"/>
          <w:spacing w:val="-6"/>
        </w:rPr>
        <w:t>Assets</w:t>
      </w:r>
      <w:r>
        <w:rPr>
          <w:color w:val="105C84"/>
          <w:spacing w:val="-9"/>
        </w:rPr>
        <w:t> </w:t>
      </w:r>
      <w:r>
        <w:rPr>
          <w:color w:val="105C84"/>
          <w:spacing w:val="-6"/>
        </w:rPr>
        <w:t>and</w:t>
      </w:r>
      <w:r>
        <w:rPr>
          <w:color w:val="105C84"/>
          <w:spacing w:val="-8"/>
        </w:rPr>
        <w:t> </w:t>
      </w:r>
      <w:r>
        <w:rPr>
          <w:color w:val="105C84"/>
          <w:spacing w:val="-6"/>
        </w:rPr>
        <w:t>Resources</w:t>
      </w:r>
      <w:r>
        <w:rPr>
          <w:color w:val="105C84"/>
          <w:spacing w:val="-9"/>
        </w:rPr>
        <w:t> </w:t>
      </w:r>
      <w:r>
        <w:rPr>
          <w:color w:val="105C84"/>
          <w:spacing w:val="-6"/>
        </w:rPr>
        <w:t>to</w:t>
      </w:r>
      <w:r>
        <w:rPr>
          <w:color w:val="105C84"/>
          <w:spacing w:val="-8"/>
        </w:rPr>
        <w:t> </w:t>
      </w:r>
      <w:r>
        <w:rPr>
          <w:color w:val="105C84"/>
          <w:spacing w:val="-6"/>
        </w:rPr>
        <w:t>be</w:t>
      </w:r>
      <w:r>
        <w:rPr>
          <w:color w:val="105C84"/>
          <w:spacing w:val="-9"/>
        </w:rPr>
        <w:t> </w:t>
      </w:r>
      <w:r>
        <w:rPr>
          <w:color w:val="105C84"/>
          <w:spacing w:val="-6"/>
        </w:rPr>
        <w:t>Mobilized</w:t>
      </w:r>
    </w:p>
    <w:p>
      <w:pPr>
        <w:pStyle w:val="BodyText"/>
        <w:spacing w:line="247" w:lineRule="auto" w:before="268"/>
        <w:ind w:left="1094" w:right="558"/>
      </w:pPr>
      <w:r>
        <w:rPr>
          <w:color w:val="105C84"/>
        </w:rPr>
        <w:t>During focus groups completed in late 2018 and early 2019, community members identified several assets and resources in Ontario County. For example, focus group attendees identified local area hospitals, social service departments, and treatment of transitioning and transgender individuals as community strengths and resources. Community meal sites and numerous food pantries were cited</w:t>
      </w:r>
      <w:r>
        <w:rPr>
          <w:color w:val="105C84"/>
          <w:spacing w:val="80"/>
        </w:rPr>
        <w:t> </w:t>
      </w:r>
      <w:r>
        <w:rPr>
          <w:color w:val="105C84"/>
        </w:rPr>
        <w:t>as assets during focus groups as well as pre-release programming provided at the jail, good schools and an increased number of urgent care centers. In addition, attendees identified the county’s environment and surrounding areas as strengths. A comprehensive list of identified strengths and resources can be found in focus group summaries and are available upon request.</w:t>
      </w:r>
    </w:p>
    <w:p>
      <w:pPr>
        <w:pStyle w:val="BodyText"/>
        <w:spacing w:line="247" w:lineRule="auto" w:before="176"/>
        <w:ind w:left="1094" w:right="371"/>
      </w:pPr>
      <w:r>
        <w:rPr>
          <w:color w:val="105C84"/>
          <w:w w:val="105"/>
        </w:rPr>
        <w:t>Through</w:t>
      </w:r>
      <w:r>
        <w:rPr>
          <w:color w:val="105C84"/>
          <w:spacing w:val="-6"/>
          <w:w w:val="105"/>
        </w:rPr>
        <w:t> </w:t>
      </w:r>
      <w:r>
        <w:rPr>
          <w:color w:val="105C84"/>
          <w:w w:val="105"/>
        </w:rPr>
        <w:t>implementation</w:t>
      </w:r>
      <w:r>
        <w:rPr>
          <w:color w:val="105C84"/>
          <w:spacing w:val="-6"/>
          <w:w w:val="105"/>
        </w:rPr>
        <w:t> </w:t>
      </w:r>
      <w:r>
        <w:rPr>
          <w:color w:val="105C84"/>
          <w:w w:val="105"/>
        </w:rPr>
        <w:t>of</w:t>
      </w:r>
      <w:r>
        <w:rPr>
          <w:color w:val="105C84"/>
          <w:spacing w:val="-6"/>
          <w:w w:val="105"/>
        </w:rPr>
        <w:t> </w:t>
      </w:r>
      <w:r>
        <w:rPr>
          <w:color w:val="105C84"/>
          <w:w w:val="105"/>
        </w:rPr>
        <w:t>the</w:t>
      </w:r>
      <w:r>
        <w:rPr>
          <w:color w:val="105C84"/>
          <w:spacing w:val="-6"/>
          <w:w w:val="105"/>
        </w:rPr>
        <w:t> </w:t>
      </w:r>
      <w:r>
        <w:rPr>
          <w:color w:val="105C84"/>
          <w:w w:val="105"/>
        </w:rPr>
        <w:t>Community</w:t>
      </w:r>
      <w:r>
        <w:rPr>
          <w:color w:val="105C84"/>
          <w:spacing w:val="-6"/>
          <w:w w:val="105"/>
        </w:rPr>
        <w:t> </w:t>
      </w:r>
      <w:r>
        <w:rPr>
          <w:color w:val="105C84"/>
          <w:w w:val="105"/>
        </w:rPr>
        <w:t>Health</w:t>
      </w:r>
      <w:r>
        <w:rPr>
          <w:color w:val="105C84"/>
          <w:spacing w:val="-6"/>
          <w:w w:val="105"/>
        </w:rPr>
        <w:t> </w:t>
      </w:r>
      <w:r>
        <w:rPr>
          <w:color w:val="105C84"/>
          <w:w w:val="105"/>
        </w:rPr>
        <w:t>Improvement</w:t>
      </w:r>
      <w:r>
        <w:rPr>
          <w:color w:val="105C84"/>
          <w:spacing w:val="-6"/>
          <w:w w:val="105"/>
        </w:rPr>
        <w:t> </w:t>
      </w:r>
      <w:r>
        <w:rPr>
          <w:color w:val="105C84"/>
          <w:w w:val="105"/>
        </w:rPr>
        <w:t>Plan,</w:t>
      </w:r>
      <w:r>
        <w:rPr>
          <w:color w:val="105C84"/>
          <w:spacing w:val="-6"/>
          <w:w w:val="105"/>
        </w:rPr>
        <w:t> </w:t>
      </w:r>
      <w:r>
        <w:rPr>
          <w:color w:val="105C84"/>
          <w:w w:val="105"/>
        </w:rPr>
        <w:t>Public</w:t>
      </w:r>
      <w:r>
        <w:rPr>
          <w:color w:val="105C84"/>
          <w:spacing w:val="-6"/>
          <w:w w:val="105"/>
        </w:rPr>
        <w:t> </w:t>
      </w:r>
      <w:r>
        <w:rPr>
          <w:color w:val="105C84"/>
          <w:w w:val="105"/>
        </w:rPr>
        <w:t>Health</w:t>
      </w:r>
      <w:r>
        <w:rPr>
          <w:color w:val="105C84"/>
          <w:spacing w:val="-6"/>
          <w:w w:val="105"/>
        </w:rPr>
        <w:t> </w:t>
      </w:r>
      <w:r>
        <w:rPr>
          <w:color w:val="105C84"/>
          <w:w w:val="105"/>
        </w:rPr>
        <w:t>workers</w:t>
      </w:r>
      <w:r>
        <w:rPr>
          <w:color w:val="105C84"/>
          <w:spacing w:val="-6"/>
          <w:w w:val="105"/>
        </w:rPr>
        <w:t> </w:t>
      </w:r>
      <w:r>
        <w:rPr>
          <w:color w:val="105C84"/>
          <w:w w:val="105"/>
        </w:rPr>
        <w:t>will </w:t>
      </w:r>
      <w:r>
        <w:rPr>
          <w:color w:val="105C84"/>
        </w:rPr>
        <w:t>seek to leverage community assets and resources and mitigate environmental factors that lead to inequity among county residents. A full description of interventions and partner roles can be found in</w:t>
      </w:r>
      <w:r>
        <w:rPr>
          <w:color w:val="105C84"/>
          <w:spacing w:val="80"/>
          <w:w w:val="105"/>
        </w:rPr>
        <w:t> </w:t>
      </w:r>
      <w:r>
        <w:rPr>
          <w:color w:val="105C84"/>
          <w:w w:val="105"/>
        </w:rPr>
        <w:t>the</w:t>
      </w:r>
      <w:r>
        <w:rPr>
          <w:color w:val="105C84"/>
          <w:spacing w:val="-6"/>
          <w:w w:val="105"/>
        </w:rPr>
        <w:t> </w:t>
      </w:r>
      <w:r>
        <w:rPr>
          <w:color w:val="105C84"/>
          <w:w w:val="105"/>
        </w:rPr>
        <w:t>Ontario</w:t>
      </w:r>
      <w:r>
        <w:rPr>
          <w:color w:val="105C84"/>
          <w:spacing w:val="-6"/>
          <w:w w:val="105"/>
        </w:rPr>
        <w:t> </w:t>
      </w:r>
      <w:r>
        <w:rPr>
          <w:color w:val="105C84"/>
          <w:w w:val="105"/>
        </w:rPr>
        <w:t>County</w:t>
      </w:r>
      <w:r>
        <w:rPr>
          <w:color w:val="105C84"/>
          <w:spacing w:val="-6"/>
          <w:w w:val="105"/>
        </w:rPr>
        <w:t> </w:t>
      </w:r>
      <w:r>
        <w:rPr>
          <w:color w:val="105C84"/>
          <w:w w:val="105"/>
        </w:rPr>
        <w:t>Community</w:t>
      </w:r>
      <w:r>
        <w:rPr>
          <w:color w:val="105C84"/>
          <w:spacing w:val="-6"/>
          <w:w w:val="105"/>
        </w:rPr>
        <w:t> </w:t>
      </w:r>
      <w:r>
        <w:rPr>
          <w:color w:val="105C84"/>
          <w:w w:val="105"/>
        </w:rPr>
        <w:t>Health</w:t>
      </w:r>
      <w:r>
        <w:rPr>
          <w:color w:val="105C84"/>
          <w:spacing w:val="-6"/>
          <w:w w:val="105"/>
        </w:rPr>
        <w:t> </w:t>
      </w:r>
      <w:r>
        <w:rPr>
          <w:color w:val="105C84"/>
          <w:w w:val="105"/>
        </w:rPr>
        <w:t>Improvement</w:t>
      </w:r>
      <w:r>
        <w:rPr>
          <w:color w:val="105C84"/>
          <w:spacing w:val="-6"/>
          <w:w w:val="105"/>
        </w:rPr>
        <w:t> </w:t>
      </w:r>
      <w:r>
        <w:rPr>
          <w:color w:val="105C84"/>
          <w:w w:val="105"/>
        </w:rPr>
        <w:t>Plan</w:t>
      </w:r>
      <w:r>
        <w:rPr>
          <w:color w:val="105C84"/>
          <w:spacing w:val="-6"/>
          <w:w w:val="105"/>
        </w:rPr>
        <w:t> </w:t>
      </w:r>
      <w:r>
        <w:rPr>
          <w:color w:val="105C84"/>
          <w:w w:val="105"/>
        </w:rPr>
        <w:t>document.</w:t>
      </w:r>
      <w:r>
        <w:rPr>
          <w:color w:val="105C84"/>
          <w:spacing w:val="-6"/>
          <w:w w:val="105"/>
        </w:rPr>
        <w:t> </w:t>
      </w:r>
      <w:r>
        <w:rPr>
          <w:color w:val="105C84"/>
          <w:w w:val="105"/>
        </w:rPr>
        <w:t>Partnering</w:t>
      </w:r>
      <w:r>
        <w:rPr>
          <w:color w:val="105C84"/>
          <w:spacing w:val="-6"/>
          <w:w w:val="105"/>
        </w:rPr>
        <w:t> </w:t>
      </w:r>
      <w:r>
        <w:rPr>
          <w:color w:val="105C84"/>
          <w:w w:val="105"/>
        </w:rPr>
        <w:t>and</w:t>
      </w:r>
      <w:r>
        <w:rPr>
          <w:color w:val="105C84"/>
          <w:spacing w:val="-6"/>
          <w:w w:val="105"/>
        </w:rPr>
        <w:t> </w:t>
      </w:r>
      <w:r>
        <w:rPr>
          <w:color w:val="105C84"/>
          <w:w w:val="105"/>
        </w:rPr>
        <w:t>leveraging</w:t>
      </w:r>
      <w:r>
        <w:rPr>
          <w:color w:val="105C84"/>
          <w:spacing w:val="-6"/>
          <w:w w:val="105"/>
        </w:rPr>
        <w:t> </w:t>
      </w:r>
      <w:r>
        <w:rPr>
          <w:color w:val="105C84"/>
          <w:w w:val="105"/>
        </w:rPr>
        <w:t>the </w:t>
      </w:r>
      <w:r>
        <w:rPr>
          <w:color w:val="105C84"/>
        </w:rPr>
        <w:t>assets and resources of local community agencies will be imperative to achieving success in the plan.</w:t>
      </w:r>
    </w:p>
    <w:p>
      <w:pPr>
        <w:pStyle w:val="BodyText"/>
        <w:spacing w:after="0" w:line="247" w:lineRule="auto"/>
        <w:sectPr>
          <w:type w:val="continuous"/>
          <w:pgSz w:w="24480" w:h="15840" w:orient="landscape"/>
          <w:pgMar w:header="0" w:footer="0" w:top="0" w:bottom="280" w:left="0" w:right="720"/>
          <w:cols w:num="2" w:equalWidth="0">
            <w:col w:w="11198" w:space="1042"/>
            <w:col w:w="11520"/>
          </w:cols>
        </w:sectPr>
      </w:pPr>
    </w:p>
    <w:p>
      <w:pPr>
        <w:pStyle w:val="BodyText"/>
        <w:rPr>
          <w:sz w:val="26"/>
        </w:rPr>
      </w:pPr>
      <w:r>
        <w:rPr>
          <w:sz w:val="26"/>
        </w:rPr>
        <mc:AlternateContent>
          <mc:Choice Requires="wps">
            <w:drawing>
              <wp:anchor distT="0" distB="0" distL="0" distR="0" allowOverlap="1" layoutInCell="1" locked="0" behindDoc="0" simplePos="0" relativeHeight="15817728">
                <wp:simplePos x="0" y="0"/>
                <wp:positionH relativeFrom="page">
                  <wp:posOffset>7772400</wp:posOffset>
                </wp:positionH>
                <wp:positionV relativeFrom="page">
                  <wp:posOffset>5852159</wp:posOffset>
                </wp:positionV>
                <wp:extent cx="7772400" cy="4206240"/>
                <wp:effectExtent l="0" t="0" r="0" b="0"/>
                <wp:wrapNone/>
                <wp:docPr id="833" name="Group 833"/>
                <wp:cNvGraphicFramePr>
                  <a:graphicFrameLocks/>
                </wp:cNvGraphicFramePr>
                <a:graphic>
                  <a:graphicData uri="http://schemas.microsoft.com/office/word/2010/wordprocessingGroup">
                    <wpg:wgp>
                      <wpg:cNvPr id="833" name="Group 833"/>
                      <wpg:cNvGrpSpPr/>
                      <wpg:grpSpPr>
                        <a:xfrm>
                          <a:off x="0" y="0"/>
                          <a:ext cx="7772400" cy="4206240"/>
                          <a:chExt cx="7772400" cy="4206240"/>
                        </a:xfrm>
                      </wpg:grpSpPr>
                      <pic:pic>
                        <pic:nvPicPr>
                          <pic:cNvPr id="834" name="Image 834"/>
                          <pic:cNvPicPr/>
                        </pic:nvPicPr>
                        <pic:blipFill>
                          <a:blip r:embed="rId38" cstate="print"/>
                          <a:stretch>
                            <a:fillRect/>
                          </a:stretch>
                        </pic:blipFill>
                        <pic:spPr>
                          <a:xfrm>
                            <a:off x="7209156" y="3815943"/>
                            <a:ext cx="563245" cy="184683"/>
                          </a:xfrm>
                          <a:prstGeom prst="rect">
                            <a:avLst/>
                          </a:prstGeom>
                        </pic:spPr>
                      </pic:pic>
                      <pic:pic>
                        <pic:nvPicPr>
                          <pic:cNvPr id="835" name="Image 835"/>
                          <pic:cNvPicPr/>
                        </pic:nvPicPr>
                        <pic:blipFill>
                          <a:blip r:embed="rId135" cstate="print"/>
                          <a:stretch>
                            <a:fillRect/>
                          </a:stretch>
                        </pic:blipFill>
                        <pic:spPr>
                          <a:xfrm>
                            <a:off x="0" y="0"/>
                            <a:ext cx="7772400" cy="4206240"/>
                          </a:xfrm>
                          <a:prstGeom prst="rect">
                            <a:avLst/>
                          </a:prstGeom>
                        </pic:spPr>
                      </pic:pic>
                      <wps:wsp>
                        <wps:cNvPr id="836" name="Graphic 836"/>
                        <wps:cNvSpPr/>
                        <wps:spPr>
                          <a:xfrm>
                            <a:off x="0" y="3236976"/>
                            <a:ext cx="7772400" cy="969644"/>
                          </a:xfrm>
                          <a:custGeom>
                            <a:avLst/>
                            <a:gdLst/>
                            <a:ahLst/>
                            <a:cxnLst/>
                            <a:rect l="l" t="t" r="r" b="b"/>
                            <a:pathLst>
                              <a:path w="7772400" h="969644">
                                <a:moveTo>
                                  <a:pt x="7772400" y="0"/>
                                </a:moveTo>
                                <a:lnTo>
                                  <a:pt x="0" y="0"/>
                                </a:lnTo>
                                <a:lnTo>
                                  <a:pt x="0" y="969263"/>
                                </a:lnTo>
                                <a:lnTo>
                                  <a:pt x="7772400" y="969263"/>
                                </a:lnTo>
                                <a:lnTo>
                                  <a:pt x="7772400" y="0"/>
                                </a:lnTo>
                                <a:close/>
                              </a:path>
                            </a:pathLst>
                          </a:custGeom>
                          <a:solidFill>
                            <a:srgbClr val="000000">
                              <a:alpha val="54998"/>
                            </a:srgbClr>
                          </a:solidFill>
                        </wps:spPr>
                        <wps:bodyPr wrap="square" lIns="0" tIns="0" rIns="0" bIns="0" rtlCol="0">
                          <a:prstTxWarp prst="textNoShape">
                            <a:avLst/>
                          </a:prstTxWarp>
                          <a:noAutofit/>
                        </wps:bodyPr>
                      </wps:wsp>
                      <wps:wsp>
                        <wps:cNvPr id="837" name="Textbox 837"/>
                        <wps:cNvSpPr txBox="1"/>
                        <wps:spPr>
                          <a:xfrm>
                            <a:off x="694944" y="3712464"/>
                            <a:ext cx="1807210" cy="253365"/>
                          </a:xfrm>
                          <a:prstGeom prst="rect">
                            <a:avLst/>
                          </a:prstGeom>
                        </wps:spPr>
                        <wps:txbx>
                          <w:txbxContent>
                            <w:p>
                              <w:pPr>
                                <w:spacing w:line="182" w:lineRule="exact" w:before="10"/>
                                <w:ind w:left="0" w:right="0" w:firstLine="0"/>
                                <w:jc w:val="left"/>
                                <w:rPr>
                                  <w:sz w:val="16"/>
                                </w:rPr>
                              </w:pPr>
                              <w:r>
                                <w:rPr>
                                  <w:color w:val="FFFFFF"/>
                                  <w:sz w:val="16"/>
                                </w:rPr>
                                <w:t>Canadice</w:t>
                              </w:r>
                              <w:r>
                                <w:rPr>
                                  <w:color w:val="FFFFFF"/>
                                  <w:spacing w:val="-1"/>
                                  <w:sz w:val="16"/>
                                </w:rPr>
                                <w:t> </w:t>
                              </w:r>
                              <w:r>
                                <w:rPr>
                                  <w:color w:val="FFFFFF"/>
                                  <w:sz w:val="16"/>
                                </w:rPr>
                                <w:t>Lake, Ontario </w:t>
                              </w:r>
                              <w:r>
                                <w:rPr>
                                  <w:color w:val="FFFFFF"/>
                                  <w:spacing w:val="-2"/>
                                  <w:sz w:val="16"/>
                                </w:rPr>
                                <w:t>County</w:t>
                              </w:r>
                            </w:p>
                            <w:p>
                              <w:pPr>
                                <w:spacing w:line="182" w:lineRule="exact" w:before="0"/>
                                <w:ind w:left="0" w:right="0" w:firstLine="0"/>
                                <w:jc w:val="left"/>
                                <w:rPr>
                                  <w:sz w:val="16"/>
                                </w:rPr>
                              </w:pPr>
                              <w:r>
                                <w:rPr>
                                  <w:color w:val="FFFFFF"/>
                                  <w:sz w:val="16"/>
                                </w:rPr>
                                <w:t>Photo</w:t>
                              </w:r>
                              <w:r>
                                <w:rPr>
                                  <w:color w:val="FFFFFF"/>
                                  <w:spacing w:val="6"/>
                                  <w:sz w:val="16"/>
                                </w:rPr>
                                <w:t> </w:t>
                              </w:r>
                              <w:r>
                                <w:rPr>
                                  <w:color w:val="FFFFFF"/>
                                  <w:sz w:val="16"/>
                                </w:rPr>
                                <w:t>courtesy</w:t>
                              </w:r>
                              <w:r>
                                <w:rPr>
                                  <w:color w:val="FFFFFF"/>
                                  <w:spacing w:val="6"/>
                                  <w:sz w:val="16"/>
                                </w:rPr>
                                <w:t> </w:t>
                              </w:r>
                              <w:r>
                                <w:rPr>
                                  <w:color w:val="FFFFFF"/>
                                  <w:sz w:val="16"/>
                                </w:rPr>
                                <w:t>of</w:t>
                              </w:r>
                              <w:r>
                                <w:rPr>
                                  <w:color w:val="FFFFFF"/>
                                  <w:spacing w:val="7"/>
                                  <w:sz w:val="16"/>
                                </w:rPr>
                                <w:t> </w:t>
                              </w:r>
                              <w:r>
                                <w:rPr>
                                  <w:color w:val="FFFFFF"/>
                                  <w:spacing w:val="-2"/>
                                  <w:sz w:val="16"/>
                                </w:rPr>
                                <w:t>VisitFingerLakes.com</w:t>
                              </w:r>
                            </w:p>
                          </w:txbxContent>
                        </wps:txbx>
                        <wps:bodyPr wrap="square" lIns="0" tIns="0" rIns="0" bIns="0" rtlCol="0">
                          <a:noAutofit/>
                        </wps:bodyPr>
                      </wps:wsp>
                    </wpg:wgp>
                  </a:graphicData>
                </a:graphic>
              </wp:anchor>
            </w:drawing>
          </mc:Choice>
          <mc:Fallback>
            <w:pict>
              <v:group style="position:absolute;margin-left:612pt;margin-top:460.799988pt;width:612pt;height:331.2pt;mso-position-horizontal-relative:page;mso-position-vertical-relative:page;z-index:15817728" id="docshapegroup712" coordorigin="12240,9216" coordsize="12240,6624">
                <v:shape style="position:absolute;left:23593;top:15225;width:887;height:291" type="#_x0000_t75" id="docshape713" stroked="false">
                  <v:imagedata r:id="rId38" o:title=""/>
                </v:shape>
                <v:shape style="position:absolute;left:12240;top:9216;width:12240;height:6624" type="#_x0000_t75" id="docshape714" stroked="false">
                  <v:imagedata r:id="rId135" o:title=""/>
                </v:shape>
                <v:rect style="position:absolute;left:12240;top:14313;width:12240;height:1527" id="docshape715" filled="true" fillcolor="#000000" stroked="false">
                  <v:fill opacity="36044f" type="solid"/>
                </v:rect>
                <v:shape style="position:absolute;left:13334;top:15062;width:2846;height:399" type="#_x0000_t202" id="docshape716" filled="false" stroked="false">
                  <v:textbox inset="0,0,0,0">
                    <w:txbxContent>
                      <w:p>
                        <w:pPr>
                          <w:spacing w:line="182" w:lineRule="exact" w:before="10"/>
                          <w:ind w:left="0" w:right="0" w:firstLine="0"/>
                          <w:jc w:val="left"/>
                          <w:rPr>
                            <w:sz w:val="16"/>
                          </w:rPr>
                        </w:pPr>
                        <w:r>
                          <w:rPr>
                            <w:color w:val="FFFFFF"/>
                            <w:sz w:val="16"/>
                          </w:rPr>
                          <w:t>Canadice</w:t>
                        </w:r>
                        <w:r>
                          <w:rPr>
                            <w:color w:val="FFFFFF"/>
                            <w:spacing w:val="-1"/>
                            <w:sz w:val="16"/>
                          </w:rPr>
                          <w:t> </w:t>
                        </w:r>
                        <w:r>
                          <w:rPr>
                            <w:color w:val="FFFFFF"/>
                            <w:sz w:val="16"/>
                          </w:rPr>
                          <w:t>Lake, Ontario </w:t>
                        </w:r>
                        <w:r>
                          <w:rPr>
                            <w:color w:val="FFFFFF"/>
                            <w:spacing w:val="-2"/>
                            <w:sz w:val="16"/>
                          </w:rPr>
                          <w:t>County</w:t>
                        </w:r>
                      </w:p>
                      <w:p>
                        <w:pPr>
                          <w:spacing w:line="182" w:lineRule="exact" w:before="0"/>
                          <w:ind w:left="0" w:right="0" w:firstLine="0"/>
                          <w:jc w:val="left"/>
                          <w:rPr>
                            <w:sz w:val="16"/>
                          </w:rPr>
                        </w:pPr>
                        <w:r>
                          <w:rPr>
                            <w:color w:val="FFFFFF"/>
                            <w:sz w:val="16"/>
                          </w:rPr>
                          <w:t>Photo</w:t>
                        </w:r>
                        <w:r>
                          <w:rPr>
                            <w:color w:val="FFFFFF"/>
                            <w:spacing w:val="6"/>
                            <w:sz w:val="16"/>
                          </w:rPr>
                          <w:t> </w:t>
                        </w:r>
                        <w:r>
                          <w:rPr>
                            <w:color w:val="FFFFFF"/>
                            <w:sz w:val="16"/>
                          </w:rPr>
                          <w:t>courtesy</w:t>
                        </w:r>
                        <w:r>
                          <w:rPr>
                            <w:color w:val="FFFFFF"/>
                            <w:spacing w:val="6"/>
                            <w:sz w:val="16"/>
                          </w:rPr>
                          <w:t> </w:t>
                        </w:r>
                        <w:r>
                          <w:rPr>
                            <w:color w:val="FFFFFF"/>
                            <w:sz w:val="16"/>
                          </w:rPr>
                          <w:t>of</w:t>
                        </w:r>
                        <w:r>
                          <w:rPr>
                            <w:color w:val="FFFFFF"/>
                            <w:spacing w:val="7"/>
                            <w:sz w:val="16"/>
                          </w:rPr>
                          <w:t> </w:t>
                        </w:r>
                        <w:r>
                          <w:rPr>
                            <w:color w:val="FFFFFF"/>
                            <w:spacing w:val="-2"/>
                            <w:sz w:val="16"/>
                          </w:rPr>
                          <w:t>VisitFingerLakes.com</w:t>
                        </w:r>
                      </w:p>
                    </w:txbxContent>
                  </v:textbox>
                  <w10:wrap type="none"/>
                </v:shape>
                <w10:wrap type="none"/>
              </v:group>
            </w:pict>
          </mc:Fallback>
        </mc:AlternateConten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54"/>
        <w:rPr>
          <w:sz w:val="26"/>
        </w:rPr>
      </w:pPr>
    </w:p>
    <w:p>
      <w:pPr>
        <w:spacing w:before="0"/>
        <w:ind w:left="0" w:right="0" w:firstLine="0"/>
        <w:jc w:val="left"/>
        <w:rPr>
          <w:b/>
          <w:sz w:val="26"/>
        </w:rPr>
      </w:pPr>
      <w:r>
        <w:rPr>
          <w:b/>
          <w:sz w:val="26"/>
        </w:rPr>
        <mc:AlternateContent>
          <mc:Choice Requires="wps">
            <w:drawing>
              <wp:anchor distT="0" distB="0" distL="0" distR="0" allowOverlap="1" layoutInCell="1" locked="0" behindDoc="1" simplePos="0" relativeHeight="475043840">
                <wp:simplePos x="0" y="0"/>
                <wp:positionH relativeFrom="page">
                  <wp:posOffset>14698495</wp:posOffset>
                </wp:positionH>
                <wp:positionV relativeFrom="paragraph">
                  <wp:posOffset>-10000</wp:posOffset>
                </wp:positionV>
                <wp:extent cx="195580" cy="226060"/>
                <wp:effectExtent l="0" t="0" r="0" b="0"/>
                <wp:wrapNone/>
                <wp:docPr id="838" name="Textbox 838"/>
                <wp:cNvGraphicFramePr>
                  <a:graphicFrameLocks/>
                </wp:cNvGraphicFramePr>
                <a:graphic>
                  <a:graphicData uri="http://schemas.microsoft.com/office/word/2010/wordprocessingShape">
                    <wps:wsp>
                      <wps:cNvPr id="838" name="Textbox 838"/>
                      <wps:cNvSpPr txBox="1"/>
                      <wps:spPr>
                        <a:xfrm>
                          <a:off x="0" y="0"/>
                          <a:ext cx="195580" cy="226060"/>
                        </a:xfrm>
                        <a:prstGeom prst="rect">
                          <a:avLst/>
                        </a:prstGeom>
                      </wps:spPr>
                      <wps:txbx>
                        <w:txbxContent>
                          <w:p>
                            <w:pPr>
                              <w:spacing w:before="16"/>
                              <w:ind w:left="0" w:right="0" w:firstLine="0"/>
                              <w:jc w:val="left"/>
                              <w:rPr>
                                <w:b/>
                                <w:sz w:val="26"/>
                              </w:rPr>
                            </w:pPr>
                            <w:r>
                              <w:rPr>
                                <w:b/>
                                <w:color w:val="939598"/>
                                <w:spacing w:val="-5"/>
                                <w:w w:val="105"/>
                                <w:sz w:val="26"/>
                              </w:rPr>
                              <w:t>64</w:t>
                            </w:r>
                          </w:p>
                        </w:txbxContent>
                      </wps:txbx>
                      <wps:bodyPr wrap="square" lIns="0" tIns="0" rIns="0" bIns="0" rtlCol="0">
                        <a:noAutofit/>
                      </wps:bodyPr>
                    </wps:wsp>
                  </a:graphicData>
                </a:graphic>
              </wp:anchor>
            </w:drawing>
          </mc:Choice>
          <mc:Fallback>
            <w:pict>
              <v:shape style="position:absolute;margin-left:1157.361816pt;margin-top:-.787422pt;width:15.4pt;height:17.8pt;mso-position-horizontal-relative:page;mso-position-vertical-relative:paragraph;z-index:-28272640" type="#_x0000_t202" id="docshape717" filled="false" stroked="false">
                <v:textbox inset="0,0,0,0">
                  <w:txbxContent>
                    <w:p>
                      <w:pPr>
                        <w:spacing w:before="16"/>
                        <w:ind w:left="0" w:right="0" w:firstLine="0"/>
                        <w:jc w:val="left"/>
                        <w:rPr>
                          <w:b/>
                          <w:sz w:val="26"/>
                        </w:rPr>
                      </w:pPr>
                      <w:r>
                        <w:rPr>
                          <w:b/>
                          <w:color w:val="939598"/>
                          <w:spacing w:val="-5"/>
                          <w:w w:val="105"/>
                          <w:sz w:val="26"/>
                        </w:rPr>
                        <w:t>64</w:t>
                      </w:r>
                    </w:p>
                  </w:txbxContent>
                </v:textbox>
                <w10:wrap type="none"/>
              </v:shape>
            </w:pict>
          </mc:Fallback>
        </mc:AlternateContent>
      </w:r>
      <w:r>
        <w:rPr>
          <w:position w:val="-4"/>
        </w:rPr>
        <w:drawing>
          <wp:inline distT="0" distB="0" distL="0" distR="0">
            <wp:extent cx="568172" cy="184683"/>
            <wp:effectExtent l="0" t="0" r="0" b="0"/>
            <wp:docPr id="839" name="Image 839"/>
            <wp:cNvGraphicFramePr>
              <a:graphicFrameLocks/>
            </wp:cNvGraphicFramePr>
            <a:graphic>
              <a:graphicData uri="http://schemas.openxmlformats.org/drawingml/2006/picture">
                <pic:pic>
                  <pic:nvPicPr>
                    <pic:cNvPr id="839" name="Image 839"/>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80"/>
          <w:w w:val="105"/>
          <w:sz w:val="20"/>
        </w:rPr>
        <w:t> </w:t>
      </w:r>
      <w:r>
        <w:rPr>
          <w:b/>
          <w:color w:val="939598"/>
          <w:w w:val="105"/>
          <w:sz w:val="26"/>
        </w:rPr>
        <w:t>63</w:t>
      </w:r>
    </w:p>
    <w:p>
      <w:pPr>
        <w:spacing w:after="0"/>
        <w:jc w:val="left"/>
        <w:rPr>
          <w:b/>
          <w:sz w:val="26"/>
        </w:rPr>
        <w:sectPr>
          <w:type w:val="continuous"/>
          <w:pgSz w:w="24480" w:h="15840" w:orient="landscape"/>
          <w:pgMar w:header="0" w:footer="0" w:top="0" w:bottom="280" w:left="0" w:right="720"/>
        </w:sectPr>
      </w:pPr>
    </w:p>
    <w:p>
      <w:pPr>
        <w:pStyle w:val="BodyText"/>
        <w:rPr>
          <w:b/>
          <w:sz w:val="20"/>
        </w:rPr>
      </w:pPr>
    </w:p>
    <w:p>
      <w:pPr>
        <w:pStyle w:val="BodyText"/>
        <w:spacing w:before="16"/>
        <w:rPr>
          <w:b/>
          <w:sz w:val="20"/>
        </w:rPr>
      </w:pPr>
    </w:p>
    <w:p>
      <w:pPr>
        <w:pStyle w:val="BodyText"/>
        <w:spacing w:after="0"/>
        <w:rPr>
          <w:b/>
          <w:sz w:val="20"/>
        </w:rPr>
        <w:sectPr>
          <w:pgSz w:w="24480" w:h="15840" w:orient="landscape"/>
          <w:pgMar w:header="0" w:footer="0" w:top="860" w:bottom="0" w:left="0" w:right="720"/>
        </w:sectPr>
      </w:pPr>
    </w:p>
    <w:p>
      <w:pPr>
        <w:pStyle w:val="Heading6"/>
        <w:spacing w:before="116"/>
        <w:ind w:left="1065"/>
      </w:pPr>
      <w:r>
        <w:rPr>
          <w:color w:val="105C84"/>
          <w:spacing w:val="-4"/>
        </w:rPr>
        <w:t>Community</w:t>
      </w:r>
      <w:r>
        <w:rPr>
          <w:color w:val="105C84"/>
          <w:spacing w:val="-2"/>
        </w:rPr>
        <w:t> </w:t>
      </w:r>
      <w:r>
        <w:rPr>
          <w:color w:val="105C84"/>
          <w:spacing w:val="-4"/>
        </w:rPr>
        <w:t>Health</w:t>
      </w:r>
      <w:r>
        <w:rPr>
          <w:color w:val="105C84"/>
          <w:spacing w:val="-2"/>
        </w:rPr>
        <w:t> </w:t>
      </w:r>
      <w:r>
        <w:rPr>
          <w:color w:val="105C84"/>
          <w:spacing w:val="-4"/>
        </w:rPr>
        <w:t>Improvement</w:t>
      </w:r>
      <w:r>
        <w:rPr>
          <w:color w:val="105C84"/>
          <w:spacing w:val="-2"/>
        </w:rPr>
        <w:t> </w:t>
      </w:r>
      <w:r>
        <w:rPr>
          <w:color w:val="105C84"/>
          <w:spacing w:val="-4"/>
        </w:rPr>
        <w:t>Plan/Community</w:t>
      </w:r>
      <w:r>
        <w:rPr>
          <w:color w:val="105C84"/>
          <w:spacing w:val="-2"/>
        </w:rPr>
        <w:t> </w:t>
      </w:r>
      <w:r>
        <w:rPr>
          <w:color w:val="105C84"/>
          <w:spacing w:val="-4"/>
        </w:rPr>
        <w:t>Service</w:t>
      </w:r>
      <w:r>
        <w:rPr>
          <w:color w:val="105C84"/>
          <w:spacing w:val="-2"/>
        </w:rPr>
        <w:t> </w:t>
      </w:r>
      <w:r>
        <w:rPr>
          <w:color w:val="105C84"/>
          <w:spacing w:val="-4"/>
        </w:rPr>
        <w:t>Plan</w:t>
      </w:r>
    </w:p>
    <w:p>
      <w:pPr>
        <w:pStyle w:val="BodyText"/>
        <w:spacing w:line="247" w:lineRule="auto" w:before="268"/>
        <w:ind w:left="1065"/>
      </w:pPr>
      <w:r>
        <w:rPr>
          <w:color w:val="105C84"/>
        </w:rPr>
        <w:t>As previously discussed in the executive summary, the MAPP process was utilized to help create the Community Health Assessment and Community Health Improvement Plan. County specific pre-read documents</w:t>
      </w:r>
      <w:r>
        <w:rPr>
          <w:color w:val="105C84"/>
          <w:spacing w:val="33"/>
        </w:rPr>
        <w:t> </w:t>
      </w:r>
      <w:r>
        <w:rPr>
          <w:color w:val="105C84"/>
        </w:rPr>
        <w:t>were</w:t>
      </w:r>
      <w:r>
        <w:rPr>
          <w:color w:val="105C84"/>
          <w:spacing w:val="33"/>
        </w:rPr>
        <w:t> </w:t>
      </w:r>
      <w:r>
        <w:rPr>
          <w:color w:val="105C84"/>
        </w:rPr>
        <w:t>provided</w:t>
      </w:r>
      <w:r>
        <w:rPr>
          <w:color w:val="105C84"/>
          <w:spacing w:val="33"/>
        </w:rPr>
        <w:t> </w:t>
      </w:r>
      <w:r>
        <w:rPr>
          <w:color w:val="105C84"/>
        </w:rPr>
        <w:t>to</w:t>
      </w:r>
      <w:r>
        <w:rPr>
          <w:color w:val="105C84"/>
          <w:spacing w:val="33"/>
        </w:rPr>
        <w:t> </w:t>
      </w:r>
      <w:r>
        <w:rPr>
          <w:color w:val="105C84"/>
        </w:rPr>
        <w:t>prioritization</w:t>
      </w:r>
      <w:r>
        <w:rPr>
          <w:color w:val="105C84"/>
          <w:spacing w:val="33"/>
        </w:rPr>
        <w:t> </w:t>
      </w:r>
      <w:r>
        <w:rPr>
          <w:color w:val="105C84"/>
        </w:rPr>
        <w:t>and</w:t>
      </w:r>
      <w:r>
        <w:rPr>
          <w:color w:val="105C84"/>
          <w:spacing w:val="33"/>
        </w:rPr>
        <w:t> </w:t>
      </w:r>
      <w:r>
        <w:rPr>
          <w:color w:val="105C84"/>
        </w:rPr>
        <w:t>Ontario</w:t>
      </w:r>
      <w:r>
        <w:rPr>
          <w:color w:val="105C84"/>
          <w:spacing w:val="33"/>
        </w:rPr>
        <w:t> </w:t>
      </w:r>
      <w:r>
        <w:rPr>
          <w:color w:val="105C84"/>
        </w:rPr>
        <w:t>County</w:t>
      </w:r>
      <w:r>
        <w:rPr>
          <w:color w:val="105C84"/>
          <w:spacing w:val="33"/>
        </w:rPr>
        <w:t> </w:t>
      </w:r>
      <w:r>
        <w:rPr>
          <w:color w:val="105C84"/>
        </w:rPr>
        <w:t>Health</w:t>
      </w:r>
      <w:r>
        <w:rPr>
          <w:color w:val="105C84"/>
          <w:spacing w:val="33"/>
        </w:rPr>
        <w:t> </w:t>
      </w:r>
      <w:r>
        <w:rPr>
          <w:color w:val="105C84"/>
        </w:rPr>
        <w:t>Collaborative</w:t>
      </w:r>
      <w:r>
        <w:rPr>
          <w:color w:val="105C84"/>
          <w:spacing w:val="33"/>
        </w:rPr>
        <w:t> </w:t>
      </w:r>
      <w:r>
        <w:rPr>
          <w:color w:val="105C84"/>
        </w:rPr>
        <w:t>(OCHC)</w:t>
      </w:r>
      <w:r>
        <w:rPr>
          <w:color w:val="105C84"/>
          <w:spacing w:val="33"/>
        </w:rPr>
        <w:t> </w:t>
      </w:r>
      <w:r>
        <w:rPr>
          <w:color w:val="105C84"/>
        </w:rPr>
        <w:t>group members which included updated data measures for each of the five priority areas outlined in the</w:t>
      </w:r>
      <w:r>
        <w:rPr>
          <w:color w:val="105C84"/>
          <w:spacing w:val="40"/>
        </w:rPr>
        <w:t> </w:t>
      </w:r>
      <w:r>
        <w:rPr>
          <w:color w:val="105C84"/>
        </w:rPr>
        <w:t>Prevention Agenda (please see executive summary for more information on pre-read documents).</w:t>
      </w:r>
    </w:p>
    <w:p>
      <w:pPr>
        <w:pStyle w:val="Heading8"/>
        <w:spacing w:line="250" w:lineRule="exact"/>
        <w:ind w:left="1065"/>
      </w:pPr>
      <w:r>
        <w:rPr/>
        <mc:AlternateContent>
          <mc:Choice Requires="wps">
            <w:drawing>
              <wp:anchor distT="0" distB="0" distL="0" distR="0" allowOverlap="1" layoutInCell="1" locked="0" behindDoc="0" simplePos="0" relativeHeight="15819264">
                <wp:simplePos x="0" y="0"/>
                <wp:positionH relativeFrom="page">
                  <wp:posOffset>676655</wp:posOffset>
                </wp:positionH>
                <wp:positionV relativeFrom="paragraph">
                  <wp:posOffset>294782</wp:posOffset>
                </wp:positionV>
                <wp:extent cx="6282055" cy="4459605"/>
                <wp:effectExtent l="0" t="0" r="0" b="0"/>
                <wp:wrapNone/>
                <wp:docPr id="840" name="Group 840"/>
                <wp:cNvGraphicFramePr>
                  <a:graphicFrameLocks/>
                </wp:cNvGraphicFramePr>
                <a:graphic>
                  <a:graphicData uri="http://schemas.microsoft.com/office/word/2010/wordprocessingGroup">
                    <wpg:wgp>
                      <wpg:cNvPr id="840" name="Group 840"/>
                      <wpg:cNvGrpSpPr/>
                      <wpg:grpSpPr>
                        <a:xfrm>
                          <a:off x="0" y="0"/>
                          <a:ext cx="6282055" cy="4459605"/>
                          <a:chExt cx="6282055" cy="4459605"/>
                        </a:xfrm>
                      </wpg:grpSpPr>
                      <wps:wsp>
                        <wps:cNvPr id="841" name="Graphic 841"/>
                        <wps:cNvSpPr/>
                        <wps:spPr>
                          <a:xfrm>
                            <a:off x="1587" y="1587"/>
                            <a:ext cx="6278880" cy="318770"/>
                          </a:xfrm>
                          <a:custGeom>
                            <a:avLst/>
                            <a:gdLst/>
                            <a:ahLst/>
                            <a:cxnLst/>
                            <a:rect l="l" t="t" r="r" b="b"/>
                            <a:pathLst>
                              <a:path w="6278880" h="318770">
                                <a:moveTo>
                                  <a:pt x="6278753" y="0"/>
                                </a:moveTo>
                                <a:lnTo>
                                  <a:pt x="0" y="0"/>
                                </a:lnTo>
                                <a:lnTo>
                                  <a:pt x="0" y="318198"/>
                                </a:lnTo>
                                <a:lnTo>
                                  <a:pt x="6278753" y="318198"/>
                                </a:lnTo>
                                <a:lnTo>
                                  <a:pt x="6278753" y="0"/>
                                </a:lnTo>
                                <a:close/>
                              </a:path>
                            </a:pathLst>
                          </a:custGeom>
                          <a:solidFill>
                            <a:srgbClr val="939598"/>
                          </a:solidFill>
                        </wps:spPr>
                        <wps:bodyPr wrap="square" lIns="0" tIns="0" rIns="0" bIns="0" rtlCol="0">
                          <a:prstTxWarp prst="textNoShape">
                            <a:avLst/>
                          </a:prstTxWarp>
                          <a:noAutofit/>
                        </wps:bodyPr>
                      </wps:wsp>
                      <wps:wsp>
                        <wps:cNvPr id="842" name="Graphic 842"/>
                        <wps:cNvSpPr/>
                        <wps:spPr>
                          <a:xfrm>
                            <a:off x="2194560" y="592551"/>
                            <a:ext cx="1884045" cy="1270"/>
                          </a:xfrm>
                          <a:custGeom>
                            <a:avLst/>
                            <a:gdLst/>
                            <a:ahLst/>
                            <a:cxnLst/>
                            <a:rect l="l" t="t" r="r" b="b"/>
                            <a:pathLst>
                              <a:path w="1884045" h="0">
                                <a:moveTo>
                                  <a:pt x="0" y="0"/>
                                </a:moveTo>
                                <a:lnTo>
                                  <a:pt x="1883664" y="0"/>
                                </a:lnTo>
                              </a:path>
                            </a:pathLst>
                          </a:custGeom>
                          <a:ln w="3175">
                            <a:solidFill>
                              <a:srgbClr val="636466"/>
                            </a:solidFill>
                            <a:prstDash val="solid"/>
                          </a:ln>
                        </wps:spPr>
                        <wps:bodyPr wrap="square" lIns="0" tIns="0" rIns="0" bIns="0" rtlCol="0">
                          <a:prstTxWarp prst="textNoShape">
                            <a:avLst/>
                          </a:prstTxWarp>
                          <a:noAutofit/>
                        </wps:bodyPr>
                      </wps:wsp>
                      <wps:wsp>
                        <wps:cNvPr id="843" name="Graphic 843"/>
                        <wps:cNvSpPr/>
                        <wps:spPr>
                          <a:xfrm>
                            <a:off x="2194560" y="981933"/>
                            <a:ext cx="1884045" cy="1270"/>
                          </a:xfrm>
                          <a:custGeom>
                            <a:avLst/>
                            <a:gdLst/>
                            <a:ahLst/>
                            <a:cxnLst/>
                            <a:rect l="l" t="t" r="r" b="b"/>
                            <a:pathLst>
                              <a:path w="1884045" h="0">
                                <a:moveTo>
                                  <a:pt x="0" y="0"/>
                                </a:moveTo>
                                <a:lnTo>
                                  <a:pt x="1883664" y="0"/>
                                </a:lnTo>
                              </a:path>
                            </a:pathLst>
                          </a:custGeom>
                          <a:ln w="3175">
                            <a:solidFill>
                              <a:srgbClr val="636466"/>
                            </a:solidFill>
                            <a:prstDash val="solid"/>
                          </a:ln>
                        </wps:spPr>
                        <wps:bodyPr wrap="square" lIns="0" tIns="0" rIns="0" bIns="0" rtlCol="0">
                          <a:prstTxWarp prst="textNoShape">
                            <a:avLst/>
                          </a:prstTxWarp>
                          <a:noAutofit/>
                        </wps:bodyPr>
                      </wps:wsp>
                      <wps:wsp>
                        <wps:cNvPr id="844" name="Graphic 844"/>
                        <wps:cNvSpPr/>
                        <wps:spPr>
                          <a:xfrm>
                            <a:off x="2194560" y="1371315"/>
                            <a:ext cx="1884045" cy="1270"/>
                          </a:xfrm>
                          <a:custGeom>
                            <a:avLst/>
                            <a:gdLst/>
                            <a:ahLst/>
                            <a:cxnLst/>
                            <a:rect l="l" t="t" r="r" b="b"/>
                            <a:pathLst>
                              <a:path w="1884045" h="0">
                                <a:moveTo>
                                  <a:pt x="0" y="0"/>
                                </a:moveTo>
                                <a:lnTo>
                                  <a:pt x="1883664" y="0"/>
                                </a:lnTo>
                              </a:path>
                            </a:pathLst>
                          </a:custGeom>
                          <a:ln w="3175">
                            <a:solidFill>
                              <a:srgbClr val="636466"/>
                            </a:solidFill>
                            <a:prstDash val="solid"/>
                          </a:ln>
                        </wps:spPr>
                        <wps:bodyPr wrap="square" lIns="0" tIns="0" rIns="0" bIns="0" rtlCol="0">
                          <a:prstTxWarp prst="textNoShape">
                            <a:avLst/>
                          </a:prstTxWarp>
                          <a:noAutofit/>
                        </wps:bodyPr>
                      </wps:wsp>
                      <wps:wsp>
                        <wps:cNvPr id="845" name="Graphic 845"/>
                        <wps:cNvSpPr/>
                        <wps:spPr>
                          <a:xfrm>
                            <a:off x="2194560" y="1644081"/>
                            <a:ext cx="1884045" cy="1270"/>
                          </a:xfrm>
                          <a:custGeom>
                            <a:avLst/>
                            <a:gdLst/>
                            <a:ahLst/>
                            <a:cxnLst/>
                            <a:rect l="l" t="t" r="r" b="b"/>
                            <a:pathLst>
                              <a:path w="1884045" h="0">
                                <a:moveTo>
                                  <a:pt x="0" y="0"/>
                                </a:moveTo>
                                <a:lnTo>
                                  <a:pt x="1883664" y="0"/>
                                </a:lnTo>
                              </a:path>
                            </a:pathLst>
                          </a:custGeom>
                          <a:ln w="3175">
                            <a:solidFill>
                              <a:srgbClr val="636466"/>
                            </a:solidFill>
                            <a:prstDash val="solid"/>
                          </a:ln>
                        </wps:spPr>
                        <wps:bodyPr wrap="square" lIns="0" tIns="0" rIns="0" bIns="0" rtlCol="0">
                          <a:prstTxWarp prst="textNoShape">
                            <a:avLst/>
                          </a:prstTxWarp>
                          <a:noAutofit/>
                        </wps:bodyPr>
                      </wps:wsp>
                      <wps:wsp>
                        <wps:cNvPr id="846" name="Graphic 846"/>
                        <wps:cNvSpPr/>
                        <wps:spPr>
                          <a:xfrm>
                            <a:off x="2194560" y="2578994"/>
                            <a:ext cx="1884045" cy="1270"/>
                          </a:xfrm>
                          <a:custGeom>
                            <a:avLst/>
                            <a:gdLst/>
                            <a:ahLst/>
                            <a:cxnLst/>
                            <a:rect l="l" t="t" r="r" b="b"/>
                            <a:pathLst>
                              <a:path w="1884045" h="0">
                                <a:moveTo>
                                  <a:pt x="0" y="0"/>
                                </a:moveTo>
                                <a:lnTo>
                                  <a:pt x="1883664" y="0"/>
                                </a:lnTo>
                              </a:path>
                            </a:pathLst>
                          </a:custGeom>
                          <a:ln w="3175">
                            <a:solidFill>
                              <a:srgbClr val="636466"/>
                            </a:solidFill>
                            <a:prstDash val="solid"/>
                          </a:ln>
                        </wps:spPr>
                        <wps:bodyPr wrap="square" lIns="0" tIns="0" rIns="0" bIns="0" rtlCol="0">
                          <a:prstTxWarp prst="textNoShape">
                            <a:avLst/>
                          </a:prstTxWarp>
                          <a:noAutofit/>
                        </wps:bodyPr>
                      </wps:wsp>
                      <wps:wsp>
                        <wps:cNvPr id="847" name="Graphic 847"/>
                        <wps:cNvSpPr/>
                        <wps:spPr>
                          <a:xfrm>
                            <a:off x="2194560" y="2851759"/>
                            <a:ext cx="1884045" cy="1270"/>
                          </a:xfrm>
                          <a:custGeom>
                            <a:avLst/>
                            <a:gdLst/>
                            <a:ahLst/>
                            <a:cxnLst/>
                            <a:rect l="l" t="t" r="r" b="b"/>
                            <a:pathLst>
                              <a:path w="1884045" h="0">
                                <a:moveTo>
                                  <a:pt x="0" y="0"/>
                                </a:moveTo>
                                <a:lnTo>
                                  <a:pt x="1883664" y="0"/>
                                </a:lnTo>
                              </a:path>
                            </a:pathLst>
                          </a:custGeom>
                          <a:ln w="3175">
                            <a:solidFill>
                              <a:srgbClr val="636466"/>
                            </a:solidFill>
                            <a:prstDash val="solid"/>
                          </a:ln>
                        </wps:spPr>
                        <wps:bodyPr wrap="square" lIns="0" tIns="0" rIns="0" bIns="0" rtlCol="0">
                          <a:prstTxWarp prst="textNoShape">
                            <a:avLst/>
                          </a:prstTxWarp>
                          <a:noAutofit/>
                        </wps:bodyPr>
                      </wps:wsp>
                      <wps:wsp>
                        <wps:cNvPr id="848" name="Graphic 848"/>
                        <wps:cNvSpPr/>
                        <wps:spPr>
                          <a:xfrm>
                            <a:off x="2194560" y="3241141"/>
                            <a:ext cx="1884045" cy="1270"/>
                          </a:xfrm>
                          <a:custGeom>
                            <a:avLst/>
                            <a:gdLst/>
                            <a:ahLst/>
                            <a:cxnLst/>
                            <a:rect l="l" t="t" r="r" b="b"/>
                            <a:pathLst>
                              <a:path w="1884045" h="0">
                                <a:moveTo>
                                  <a:pt x="0" y="0"/>
                                </a:moveTo>
                                <a:lnTo>
                                  <a:pt x="1883664" y="0"/>
                                </a:lnTo>
                              </a:path>
                            </a:pathLst>
                          </a:custGeom>
                          <a:ln w="3175">
                            <a:solidFill>
                              <a:srgbClr val="636466"/>
                            </a:solidFill>
                            <a:prstDash val="solid"/>
                          </a:ln>
                        </wps:spPr>
                        <wps:bodyPr wrap="square" lIns="0" tIns="0" rIns="0" bIns="0" rtlCol="0">
                          <a:prstTxWarp prst="textNoShape">
                            <a:avLst/>
                          </a:prstTxWarp>
                          <a:noAutofit/>
                        </wps:bodyPr>
                      </wps:wsp>
                      <wps:wsp>
                        <wps:cNvPr id="849" name="Graphic 849"/>
                        <wps:cNvSpPr/>
                        <wps:spPr>
                          <a:xfrm>
                            <a:off x="2194560" y="3513907"/>
                            <a:ext cx="1884045" cy="1270"/>
                          </a:xfrm>
                          <a:custGeom>
                            <a:avLst/>
                            <a:gdLst/>
                            <a:ahLst/>
                            <a:cxnLst/>
                            <a:rect l="l" t="t" r="r" b="b"/>
                            <a:pathLst>
                              <a:path w="1884045" h="0">
                                <a:moveTo>
                                  <a:pt x="0" y="0"/>
                                </a:moveTo>
                                <a:lnTo>
                                  <a:pt x="1883664" y="0"/>
                                </a:lnTo>
                              </a:path>
                            </a:pathLst>
                          </a:custGeom>
                          <a:ln w="3175">
                            <a:solidFill>
                              <a:srgbClr val="636466"/>
                            </a:solidFill>
                            <a:prstDash val="solid"/>
                          </a:ln>
                        </wps:spPr>
                        <wps:bodyPr wrap="square" lIns="0" tIns="0" rIns="0" bIns="0" rtlCol="0">
                          <a:prstTxWarp prst="textNoShape">
                            <a:avLst/>
                          </a:prstTxWarp>
                          <a:noAutofit/>
                        </wps:bodyPr>
                      </wps:wsp>
                      <wps:wsp>
                        <wps:cNvPr id="850" name="Graphic 850"/>
                        <wps:cNvSpPr/>
                        <wps:spPr>
                          <a:xfrm>
                            <a:off x="2194560" y="3903289"/>
                            <a:ext cx="1884045" cy="1270"/>
                          </a:xfrm>
                          <a:custGeom>
                            <a:avLst/>
                            <a:gdLst/>
                            <a:ahLst/>
                            <a:cxnLst/>
                            <a:rect l="l" t="t" r="r" b="b"/>
                            <a:pathLst>
                              <a:path w="1884045" h="0">
                                <a:moveTo>
                                  <a:pt x="0" y="0"/>
                                </a:moveTo>
                                <a:lnTo>
                                  <a:pt x="1883664" y="0"/>
                                </a:lnTo>
                              </a:path>
                            </a:pathLst>
                          </a:custGeom>
                          <a:ln w="3175">
                            <a:solidFill>
                              <a:srgbClr val="636466"/>
                            </a:solidFill>
                            <a:prstDash val="solid"/>
                          </a:ln>
                        </wps:spPr>
                        <wps:bodyPr wrap="square" lIns="0" tIns="0" rIns="0" bIns="0" rtlCol="0">
                          <a:prstTxWarp prst="textNoShape">
                            <a:avLst/>
                          </a:prstTxWarp>
                          <a:noAutofit/>
                        </wps:bodyPr>
                      </wps:wsp>
                      <wps:wsp>
                        <wps:cNvPr id="851" name="Graphic 851"/>
                        <wps:cNvSpPr/>
                        <wps:spPr>
                          <a:xfrm>
                            <a:off x="2194560" y="4457771"/>
                            <a:ext cx="1884045" cy="1270"/>
                          </a:xfrm>
                          <a:custGeom>
                            <a:avLst/>
                            <a:gdLst/>
                            <a:ahLst/>
                            <a:cxnLst/>
                            <a:rect l="l" t="t" r="r" b="b"/>
                            <a:pathLst>
                              <a:path w="1884045" h="0">
                                <a:moveTo>
                                  <a:pt x="0" y="0"/>
                                </a:moveTo>
                                <a:lnTo>
                                  <a:pt x="1883664" y="0"/>
                                </a:lnTo>
                              </a:path>
                            </a:pathLst>
                          </a:custGeom>
                          <a:ln w="3175">
                            <a:solidFill>
                              <a:srgbClr val="636466"/>
                            </a:solidFill>
                            <a:prstDash val="solid"/>
                          </a:ln>
                        </wps:spPr>
                        <wps:bodyPr wrap="square" lIns="0" tIns="0" rIns="0" bIns="0" rtlCol="0">
                          <a:prstTxWarp prst="textNoShape">
                            <a:avLst/>
                          </a:prstTxWarp>
                          <a:noAutofit/>
                        </wps:bodyPr>
                      </wps:wsp>
                      <wps:wsp>
                        <wps:cNvPr id="852" name="Graphic 852"/>
                        <wps:cNvSpPr/>
                        <wps:spPr>
                          <a:xfrm>
                            <a:off x="1587" y="1916846"/>
                            <a:ext cx="1955800" cy="1270"/>
                          </a:xfrm>
                          <a:custGeom>
                            <a:avLst/>
                            <a:gdLst/>
                            <a:ahLst/>
                            <a:cxnLst/>
                            <a:rect l="l" t="t" r="r" b="b"/>
                            <a:pathLst>
                              <a:path w="1955800" h="0">
                                <a:moveTo>
                                  <a:pt x="0" y="0"/>
                                </a:moveTo>
                                <a:lnTo>
                                  <a:pt x="1955228" y="0"/>
                                </a:lnTo>
                              </a:path>
                            </a:pathLst>
                          </a:custGeom>
                          <a:ln w="3175">
                            <a:solidFill>
                              <a:srgbClr val="636466"/>
                            </a:solidFill>
                            <a:prstDash val="solid"/>
                          </a:ln>
                        </wps:spPr>
                        <wps:bodyPr wrap="square" lIns="0" tIns="0" rIns="0" bIns="0" rtlCol="0">
                          <a:prstTxWarp prst="textNoShape">
                            <a:avLst/>
                          </a:prstTxWarp>
                          <a:noAutofit/>
                        </wps:bodyPr>
                      </wps:wsp>
                      <wps:wsp>
                        <wps:cNvPr id="853" name="Graphic 853"/>
                        <wps:cNvSpPr/>
                        <wps:spPr>
                          <a:xfrm>
                            <a:off x="2194560" y="1916846"/>
                            <a:ext cx="1884045" cy="1270"/>
                          </a:xfrm>
                          <a:custGeom>
                            <a:avLst/>
                            <a:gdLst/>
                            <a:ahLst/>
                            <a:cxnLst/>
                            <a:rect l="l" t="t" r="r" b="b"/>
                            <a:pathLst>
                              <a:path w="1884045" h="0">
                                <a:moveTo>
                                  <a:pt x="0" y="0"/>
                                </a:moveTo>
                                <a:lnTo>
                                  <a:pt x="1883664" y="0"/>
                                </a:lnTo>
                              </a:path>
                            </a:pathLst>
                          </a:custGeom>
                          <a:ln w="3175">
                            <a:solidFill>
                              <a:srgbClr val="636466"/>
                            </a:solidFill>
                            <a:prstDash val="solid"/>
                          </a:ln>
                        </wps:spPr>
                        <wps:bodyPr wrap="square" lIns="0" tIns="0" rIns="0" bIns="0" rtlCol="0">
                          <a:prstTxWarp prst="textNoShape">
                            <a:avLst/>
                          </a:prstTxWarp>
                          <a:noAutofit/>
                        </wps:bodyPr>
                      </wps:wsp>
                      <wps:wsp>
                        <wps:cNvPr id="854" name="Graphic 854"/>
                        <wps:cNvSpPr/>
                        <wps:spPr>
                          <a:xfrm>
                            <a:off x="4297679" y="1916846"/>
                            <a:ext cx="1983105" cy="1270"/>
                          </a:xfrm>
                          <a:custGeom>
                            <a:avLst/>
                            <a:gdLst/>
                            <a:ahLst/>
                            <a:cxnLst/>
                            <a:rect l="l" t="t" r="r" b="b"/>
                            <a:pathLst>
                              <a:path w="1983105" h="0">
                                <a:moveTo>
                                  <a:pt x="0" y="0"/>
                                </a:moveTo>
                                <a:lnTo>
                                  <a:pt x="1982660" y="0"/>
                                </a:lnTo>
                              </a:path>
                            </a:pathLst>
                          </a:custGeom>
                          <a:ln w="3175">
                            <a:solidFill>
                              <a:srgbClr val="636466"/>
                            </a:solidFill>
                            <a:prstDash val="solid"/>
                          </a:ln>
                        </wps:spPr>
                        <wps:bodyPr wrap="square" lIns="0" tIns="0" rIns="0" bIns="0" rtlCol="0">
                          <a:prstTxWarp prst="textNoShape">
                            <a:avLst/>
                          </a:prstTxWarp>
                          <a:noAutofit/>
                        </wps:bodyPr>
                      </wps:wsp>
                      <wps:wsp>
                        <wps:cNvPr id="855" name="Graphic 855"/>
                        <wps:cNvSpPr/>
                        <wps:spPr>
                          <a:xfrm>
                            <a:off x="1587" y="2306228"/>
                            <a:ext cx="1955800" cy="1270"/>
                          </a:xfrm>
                          <a:custGeom>
                            <a:avLst/>
                            <a:gdLst/>
                            <a:ahLst/>
                            <a:cxnLst/>
                            <a:rect l="l" t="t" r="r" b="b"/>
                            <a:pathLst>
                              <a:path w="1955800" h="0">
                                <a:moveTo>
                                  <a:pt x="0" y="0"/>
                                </a:moveTo>
                                <a:lnTo>
                                  <a:pt x="1955228" y="0"/>
                                </a:lnTo>
                              </a:path>
                            </a:pathLst>
                          </a:custGeom>
                          <a:ln w="3175">
                            <a:solidFill>
                              <a:srgbClr val="636466"/>
                            </a:solidFill>
                            <a:prstDash val="solid"/>
                          </a:ln>
                        </wps:spPr>
                        <wps:bodyPr wrap="square" lIns="0" tIns="0" rIns="0" bIns="0" rtlCol="0">
                          <a:prstTxWarp prst="textNoShape">
                            <a:avLst/>
                          </a:prstTxWarp>
                          <a:noAutofit/>
                        </wps:bodyPr>
                      </wps:wsp>
                      <wps:wsp>
                        <wps:cNvPr id="856" name="Graphic 856"/>
                        <wps:cNvSpPr/>
                        <wps:spPr>
                          <a:xfrm>
                            <a:off x="2194560" y="2306228"/>
                            <a:ext cx="1884045" cy="1270"/>
                          </a:xfrm>
                          <a:custGeom>
                            <a:avLst/>
                            <a:gdLst/>
                            <a:ahLst/>
                            <a:cxnLst/>
                            <a:rect l="l" t="t" r="r" b="b"/>
                            <a:pathLst>
                              <a:path w="1884045" h="0">
                                <a:moveTo>
                                  <a:pt x="0" y="0"/>
                                </a:moveTo>
                                <a:lnTo>
                                  <a:pt x="1883664" y="0"/>
                                </a:lnTo>
                              </a:path>
                            </a:pathLst>
                          </a:custGeom>
                          <a:ln w="3175">
                            <a:solidFill>
                              <a:srgbClr val="636466"/>
                            </a:solidFill>
                            <a:prstDash val="solid"/>
                          </a:ln>
                        </wps:spPr>
                        <wps:bodyPr wrap="square" lIns="0" tIns="0" rIns="0" bIns="0" rtlCol="0">
                          <a:prstTxWarp prst="textNoShape">
                            <a:avLst/>
                          </a:prstTxWarp>
                          <a:noAutofit/>
                        </wps:bodyPr>
                      </wps:wsp>
                      <wps:wsp>
                        <wps:cNvPr id="857" name="Graphic 857"/>
                        <wps:cNvSpPr/>
                        <wps:spPr>
                          <a:xfrm>
                            <a:off x="4297679" y="2306228"/>
                            <a:ext cx="1983105" cy="1270"/>
                          </a:xfrm>
                          <a:custGeom>
                            <a:avLst/>
                            <a:gdLst/>
                            <a:ahLst/>
                            <a:cxnLst/>
                            <a:rect l="l" t="t" r="r" b="b"/>
                            <a:pathLst>
                              <a:path w="1983105" h="0">
                                <a:moveTo>
                                  <a:pt x="0" y="0"/>
                                </a:moveTo>
                                <a:lnTo>
                                  <a:pt x="1982660" y="0"/>
                                </a:lnTo>
                              </a:path>
                            </a:pathLst>
                          </a:custGeom>
                          <a:ln w="3175">
                            <a:solidFill>
                              <a:srgbClr val="636466"/>
                            </a:solidFill>
                            <a:prstDash val="solid"/>
                          </a:ln>
                        </wps:spPr>
                        <wps:bodyPr wrap="square" lIns="0" tIns="0" rIns="0" bIns="0" rtlCol="0">
                          <a:prstTxWarp prst="textNoShape">
                            <a:avLst/>
                          </a:prstTxWarp>
                          <a:noAutofit/>
                        </wps:bodyPr>
                      </wps:wsp>
                      <wps:wsp>
                        <wps:cNvPr id="858" name="Graphic 858"/>
                        <wps:cNvSpPr/>
                        <wps:spPr>
                          <a:xfrm>
                            <a:off x="0" y="1587"/>
                            <a:ext cx="1957070" cy="1270"/>
                          </a:xfrm>
                          <a:custGeom>
                            <a:avLst/>
                            <a:gdLst/>
                            <a:ahLst/>
                            <a:cxnLst/>
                            <a:rect l="l" t="t" r="r" b="b"/>
                            <a:pathLst>
                              <a:path w="1957070" h="0">
                                <a:moveTo>
                                  <a:pt x="0" y="0"/>
                                </a:moveTo>
                                <a:lnTo>
                                  <a:pt x="1956816" y="0"/>
                                </a:lnTo>
                              </a:path>
                            </a:pathLst>
                          </a:custGeom>
                          <a:ln w="3175">
                            <a:solidFill>
                              <a:srgbClr val="636466"/>
                            </a:solidFill>
                            <a:prstDash val="solid"/>
                          </a:ln>
                        </wps:spPr>
                        <wps:bodyPr wrap="square" lIns="0" tIns="0" rIns="0" bIns="0" rtlCol="0">
                          <a:prstTxWarp prst="textNoShape">
                            <a:avLst/>
                          </a:prstTxWarp>
                          <a:noAutofit/>
                        </wps:bodyPr>
                      </wps:wsp>
                      <wps:wsp>
                        <wps:cNvPr id="859" name="Graphic 859"/>
                        <wps:cNvSpPr/>
                        <wps:spPr>
                          <a:xfrm>
                            <a:off x="1587" y="3175"/>
                            <a:ext cx="1270" cy="316865"/>
                          </a:xfrm>
                          <a:custGeom>
                            <a:avLst/>
                            <a:gdLst/>
                            <a:ahLst/>
                            <a:cxnLst/>
                            <a:rect l="l" t="t" r="r" b="b"/>
                            <a:pathLst>
                              <a:path w="0" h="316865">
                                <a:moveTo>
                                  <a:pt x="0" y="316610"/>
                                </a:moveTo>
                                <a:lnTo>
                                  <a:pt x="0" y="0"/>
                                </a:lnTo>
                              </a:path>
                            </a:pathLst>
                          </a:custGeom>
                          <a:ln w="3175">
                            <a:solidFill>
                              <a:srgbClr val="636466"/>
                            </a:solidFill>
                            <a:prstDash val="solid"/>
                          </a:ln>
                        </wps:spPr>
                        <wps:bodyPr wrap="square" lIns="0" tIns="0" rIns="0" bIns="0" rtlCol="0">
                          <a:prstTxWarp prst="textNoShape">
                            <a:avLst/>
                          </a:prstTxWarp>
                          <a:noAutofit/>
                        </wps:bodyPr>
                      </wps:wsp>
                      <wps:wsp>
                        <wps:cNvPr id="860" name="Graphic 860"/>
                        <wps:cNvSpPr/>
                        <wps:spPr>
                          <a:xfrm>
                            <a:off x="1956816" y="1587"/>
                            <a:ext cx="238125" cy="1270"/>
                          </a:xfrm>
                          <a:custGeom>
                            <a:avLst/>
                            <a:gdLst/>
                            <a:ahLst/>
                            <a:cxnLst/>
                            <a:rect l="l" t="t" r="r" b="b"/>
                            <a:pathLst>
                              <a:path w="238125" h="0">
                                <a:moveTo>
                                  <a:pt x="0" y="0"/>
                                </a:moveTo>
                                <a:lnTo>
                                  <a:pt x="237744" y="0"/>
                                </a:lnTo>
                              </a:path>
                            </a:pathLst>
                          </a:custGeom>
                          <a:ln w="3175">
                            <a:solidFill>
                              <a:srgbClr val="636466"/>
                            </a:solidFill>
                            <a:prstDash val="solid"/>
                          </a:ln>
                        </wps:spPr>
                        <wps:bodyPr wrap="square" lIns="0" tIns="0" rIns="0" bIns="0" rtlCol="0">
                          <a:prstTxWarp prst="textNoShape">
                            <a:avLst/>
                          </a:prstTxWarp>
                          <a:noAutofit/>
                        </wps:bodyPr>
                      </wps:wsp>
                      <wps:wsp>
                        <wps:cNvPr id="861" name="Graphic 861"/>
                        <wps:cNvSpPr/>
                        <wps:spPr>
                          <a:xfrm>
                            <a:off x="2194560" y="1587"/>
                            <a:ext cx="1884045" cy="1270"/>
                          </a:xfrm>
                          <a:custGeom>
                            <a:avLst/>
                            <a:gdLst/>
                            <a:ahLst/>
                            <a:cxnLst/>
                            <a:rect l="l" t="t" r="r" b="b"/>
                            <a:pathLst>
                              <a:path w="1884045" h="0">
                                <a:moveTo>
                                  <a:pt x="0" y="0"/>
                                </a:moveTo>
                                <a:lnTo>
                                  <a:pt x="1883664" y="0"/>
                                </a:lnTo>
                              </a:path>
                            </a:pathLst>
                          </a:custGeom>
                          <a:ln w="3175">
                            <a:solidFill>
                              <a:srgbClr val="636466"/>
                            </a:solidFill>
                            <a:prstDash val="solid"/>
                          </a:ln>
                        </wps:spPr>
                        <wps:bodyPr wrap="square" lIns="0" tIns="0" rIns="0" bIns="0" rtlCol="0">
                          <a:prstTxWarp prst="textNoShape">
                            <a:avLst/>
                          </a:prstTxWarp>
                          <a:noAutofit/>
                        </wps:bodyPr>
                      </wps:wsp>
                      <wps:wsp>
                        <wps:cNvPr id="862" name="Graphic 862"/>
                        <wps:cNvSpPr/>
                        <wps:spPr>
                          <a:xfrm>
                            <a:off x="4078223" y="1587"/>
                            <a:ext cx="219710" cy="1270"/>
                          </a:xfrm>
                          <a:custGeom>
                            <a:avLst/>
                            <a:gdLst/>
                            <a:ahLst/>
                            <a:cxnLst/>
                            <a:rect l="l" t="t" r="r" b="b"/>
                            <a:pathLst>
                              <a:path w="219710" h="0">
                                <a:moveTo>
                                  <a:pt x="0" y="0"/>
                                </a:moveTo>
                                <a:lnTo>
                                  <a:pt x="219456" y="0"/>
                                </a:lnTo>
                              </a:path>
                            </a:pathLst>
                          </a:custGeom>
                          <a:ln w="3175">
                            <a:solidFill>
                              <a:srgbClr val="636466"/>
                            </a:solidFill>
                            <a:prstDash val="solid"/>
                          </a:ln>
                        </wps:spPr>
                        <wps:bodyPr wrap="square" lIns="0" tIns="0" rIns="0" bIns="0" rtlCol="0">
                          <a:prstTxWarp prst="textNoShape">
                            <a:avLst/>
                          </a:prstTxWarp>
                          <a:noAutofit/>
                        </wps:bodyPr>
                      </wps:wsp>
                      <wps:wsp>
                        <wps:cNvPr id="863" name="Graphic 863"/>
                        <wps:cNvSpPr/>
                        <wps:spPr>
                          <a:xfrm>
                            <a:off x="4297679" y="1587"/>
                            <a:ext cx="1984375" cy="1270"/>
                          </a:xfrm>
                          <a:custGeom>
                            <a:avLst/>
                            <a:gdLst/>
                            <a:ahLst/>
                            <a:cxnLst/>
                            <a:rect l="l" t="t" r="r" b="b"/>
                            <a:pathLst>
                              <a:path w="1984375" h="0">
                                <a:moveTo>
                                  <a:pt x="0" y="0"/>
                                </a:moveTo>
                                <a:lnTo>
                                  <a:pt x="1984248" y="0"/>
                                </a:lnTo>
                              </a:path>
                            </a:pathLst>
                          </a:custGeom>
                          <a:ln w="3175">
                            <a:solidFill>
                              <a:srgbClr val="636466"/>
                            </a:solidFill>
                            <a:prstDash val="solid"/>
                          </a:ln>
                        </wps:spPr>
                        <wps:bodyPr wrap="square" lIns="0" tIns="0" rIns="0" bIns="0" rtlCol="0">
                          <a:prstTxWarp prst="textNoShape">
                            <a:avLst/>
                          </a:prstTxWarp>
                          <a:noAutofit/>
                        </wps:bodyPr>
                      </wps:wsp>
                      <wps:wsp>
                        <wps:cNvPr id="864" name="Graphic 864"/>
                        <wps:cNvSpPr/>
                        <wps:spPr>
                          <a:xfrm>
                            <a:off x="6280340" y="3175"/>
                            <a:ext cx="1270" cy="316865"/>
                          </a:xfrm>
                          <a:custGeom>
                            <a:avLst/>
                            <a:gdLst/>
                            <a:ahLst/>
                            <a:cxnLst/>
                            <a:rect l="l" t="t" r="r" b="b"/>
                            <a:pathLst>
                              <a:path w="0" h="316865">
                                <a:moveTo>
                                  <a:pt x="0" y="316610"/>
                                </a:moveTo>
                                <a:lnTo>
                                  <a:pt x="0" y="0"/>
                                </a:lnTo>
                              </a:path>
                            </a:pathLst>
                          </a:custGeom>
                          <a:ln w="3175">
                            <a:solidFill>
                              <a:srgbClr val="636466"/>
                            </a:solidFill>
                            <a:prstDash val="solid"/>
                          </a:ln>
                        </wps:spPr>
                        <wps:bodyPr wrap="square" lIns="0" tIns="0" rIns="0" bIns="0" rtlCol="0">
                          <a:prstTxWarp prst="textNoShape">
                            <a:avLst/>
                          </a:prstTxWarp>
                          <a:noAutofit/>
                        </wps:bodyPr>
                      </wps:wsp>
                      <wps:wsp>
                        <wps:cNvPr id="865" name="Graphic 865"/>
                        <wps:cNvSpPr/>
                        <wps:spPr>
                          <a:xfrm>
                            <a:off x="1587" y="592551"/>
                            <a:ext cx="1955800" cy="1270"/>
                          </a:xfrm>
                          <a:custGeom>
                            <a:avLst/>
                            <a:gdLst/>
                            <a:ahLst/>
                            <a:cxnLst/>
                            <a:rect l="l" t="t" r="r" b="b"/>
                            <a:pathLst>
                              <a:path w="1955800" h="0">
                                <a:moveTo>
                                  <a:pt x="0" y="0"/>
                                </a:moveTo>
                                <a:lnTo>
                                  <a:pt x="1955228" y="0"/>
                                </a:lnTo>
                              </a:path>
                            </a:pathLst>
                          </a:custGeom>
                          <a:ln w="3175">
                            <a:solidFill>
                              <a:srgbClr val="636466"/>
                            </a:solidFill>
                            <a:prstDash val="solid"/>
                          </a:ln>
                        </wps:spPr>
                        <wps:bodyPr wrap="square" lIns="0" tIns="0" rIns="0" bIns="0" rtlCol="0">
                          <a:prstTxWarp prst="textNoShape">
                            <a:avLst/>
                          </a:prstTxWarp>
                          <a:noAutofit/>
                        </wps:bodyPr>
                      </wps:wsp>
                      <wps:wsp>
                        <wps:cNvPr id="866" name="Graphic 866"/>
                        <wps:cNvSpPr/>
                        <wps:spPr>
                          <a:xfrm>
                            <a:off x="4297679" y="592551"/>
                            <a:ext cx="1983105" cy="1270"/>
                          </a:xfrm>
                          <a:custGeom>
                            <a:avLst/>
                            <a:gdLst/>
                            <a:ahLst/>
                            <a:cxnLst/>
                            <a:rect l="l" t="t" r="r" b="b"/>
                            <a:pathLst>
                              <a:path w="1983105" h="0">
                                <a:moveTo>
                                  <a:pt x="0" y="0"/>
                                </a:moveTo>
                                <a:lnTo>
                                  <a:pt x="1982660" y="0"/>
                                </a:lnTo>
                              </a:path>
                            </a:pathLst>
                          </a:custGeom>
                          <a:ln w="3175">
                            <a:solidFill>
                              <a:srgbClr val="636466"/>
                            </a:solidFill>
                            <a:prstDash val="solid"/>
                          </a:ln>
                        </wps:spPr>
                        <wps:bodyPr wrap="square" lIns="0" tIns="0" rIns="0" bIns="0" rtlCol="0">
                          <a:prstTxWarp prst="textNoShape">
                            <a:avLst/>
                          </a:prstTxWarp>
                          <a:noAutofit/>
                        </wps:bodyPr>
                      </wps:wsp>
                      <wps:wsp>
                        <wps:cNvPr id="867" name="Graphic 867"/>
                        <wps:cNvSpPr/>
                        <wps:spPr>
                          <a:xfrm>
                            <a:off x="1587" y="981933"/>
                            <a:ext cx="1955800" cy="1270"/>
                          </a:xfrm>
                          <a:custGeom>
                            <a:avLst/>
                            <a:gdLst/>
                            <a:ahLst/>
                            <a:cxnLst/>
                            <a:rect l="l" t="t" r="r" b="b"/>
                            <a:pathLst>
                              <a:path w="1955800" h="0">
                                <a:moveTo>
                                  <a:pt x="0" y="0"/>
                                </a:moveTo>
                                <a:lnTo>
                                  <a:pt x="1955228" y="0"/>
                                </a:lnTo>
                              </a:path>
                            </a:pathLst>
                          </a:custGeom>
                          <a:ln w="3175">
                            <a:solidFill>
                              <a:srgbClr val="636466"/>
                            </a:solidFill>
                            <a:prstDash val="solid"/>
                          </a:ln>
                        </wps:spPr>
                        <wps:bodyPr wrap="square" lIns="0" tIns="0" rIns="0" bIns="0" rtlCol="0">
                          <a:prstTxWarp prst="textNoShape">
                            <a:avLst/>
                          </a:prstTxWarp>
                          <a:noAutofit/>
                        </wps:bodyPr>
                      </wps:wsp>
                      <wps:wsp>
                        <wps:cNvPr id="868" name="Graphic 868"/>
                        <wps:cNvSpPr/>
                        <wps:spPr>
                          <a:xfrm>
                            <a:off x="4297679" y="981933"/>
                            <a:ext cx="1983105" cy="1270"/>
                          </a:xfrm>
                          <a:custGeom>
                            <a:avLst/>
                            <a:gdLst/>
                            <a:ahLst/>
                            <a:cxnLst/>
                            <a:rect l="l" t="t" r="r" b="b"/>
                            <a:pathLst>
                              <a:path w="1983105" h="0">
                                <a:moveTo>
                                  <a:pt x="0" y="0"/>
                                </a:moveTo>
                                <a:lnTo>
                                  <a:pt x="1982660" y="0"/>
                                </a:lnTo>
                              </a:path>
                            </a:pathLst>
                          </a:custGeom>
                          <a:ln w="3175">
                            <a:solidFill>
                              <a:srgbClr val="636466"/>
                            </a:solidFill>
                            <a:prstDash val="solid"/>
                          </a:ln>
                        </wps:spPr>
                        <wps:bodyPr wrap="square" lIns="0" tIns="0" rIns="0" bIns="0" rtlCol="0">
                          <a:prstTxWarp prst="textNoShape">
                            <a:avLst/>
                          </a:prstTxWarp>
                          <a:noAutofit/>
                        </wps:bodyPr>
                      </wps:wsp>
                      <wps:wsp>
                        <wps:cNvPr id="869" name="Graphic 869"/>
                        <wps:cNvSpPr/>
                        <wps:spPr>
                          <a:xfrm>
                            <a:off x="1587" y="1371315"/>
                            <a:ext cx="1955800" cy="1270"/>
                          </a:xfrm>
                          <a:custGeom>
                            <a:avLst/>
                            <a:gdLst/>
                            <a:ahLst/>
                            <a:cxnLst/>
                            <a:rect l="l" t="t" r="r" b="b"/>
                            <a:pathLst>
                              <a:path w="1955800" h="0">
                                <a:moveTo>
                                  <a:pt x="0" y="0"/>
                                </a:moveTo>
                                <a:lnTo>
                                  <a:pt x="1955228" y="0"/>
                                </a:lnTo>
                              </a:path>
                            </a:pathLst>
                          </a:custGeom>
                          <a:ln w="3175">
                            <a:solidFill>
                              <a:srgbClr val="636466"/>
                            </a:solidFill>
                            <a:prstDash val="solid"/>
                          </a:ln>
                        </wps:spPr>
                        <wps:bodyPr wrap="square" lIns="0" tIns="0" rIns="0" bIns="0" rtlCol="0">
                          <a:prstTxWarp prst="textNoShape">
                            <a:avLst/>
                          </a:prstTxWarp>
                          <a:noAutofit/>
                        </wps:bodyPr>
                      </wps:wsp>
                      <wps:wsp>
                        <wps:cNvPr id="870" name="Graphic 870"/>
                        <wps:cNvSpPr/>
                        <wps:spPr>
                          <a:xfrm>
                            <a:off x="4297679" y="1371315"/>
                            <a:ext cx="1983105" cy="1270"/>
                          </a:xfrm>
                          <a:custGeom>
                            <a:avLst/>
                            <a:gdLst/>
                            <a:ahLst/>
                            <a:cxnLst/>
                            <a:rect l="l" t="t" r="r" b="b"/>
                            <a:pathLst>
                              <a:path w="1983105" h="0">
                                <a:moveTo>
                                  <a:pt x="0" y="0"/>
                                </a:moveTo>
                                <a:lnTo>
                                  <a:pt x="1982660" y="0"/>
                                </a:lnTo>
                              </a:path>
                            </a:pathLst>
                          </a:custGeom>
                          <a:ln w="3175">
                            <a:solidFill>
                              <a:srgbClr val="636466"/>
                            </a:solidFill>
                            <a:prstDash val="solid"/>
                          </a:ln>
                        </wps:spPr>
                        <wps:bodyPr wrap="square" lIns="0" tIns="0" rIns="0" bIns="0" rtlCol="0">
                          <a:prstTxWarp prst="textNoShape">
                            <a:avLst/>
                          </a:prstTxWarp>
                          <a:noAutofit/>
                        </wps:bodyPr>
                      </wps:wsp>
                      <wps:wsp>
                        <wps:cNvPr id="871" name="Graphic 871"/>
                        <wps:cNvSpPr/>
                        <wps:spPr>
                          <a:xfrm>
                            <a:off x="1587" y="1644081"/>
                            <a:ext cx="1955800" cy="1270"/>
                          </a:xfrm>
                          <a:custGeom>
                            <a:avLst/>
                            <a:gdLst/>
                            <a:ahLst/>
                            <a:cxnLst/>
                            <a:rect l="l" t="t" r="r" b="b"/>
                            <a:pathLst>
                              <a:path w="1955800" h="0">
                                <a:moveTo>
                                  <a:pt x="0" y="0"/>
                                </a:moveTo>
                                <a:lnTo>
                                  <a:pt x="1955228" y="0"/>
                                </a:lnTo>
                              </a:path>
                            </a:pathLst>
                          </a:custGeom>
                          <a:ln w="3175">
                            <a:solidFill>
                              <a:srgbClr val="636466"/>
                            </a:solidFill>
                            <a:prstDash val="solid"/>
                          </a:ln>
                        </wps:spPr>
                        <wps:bodyPr wrap="square" lIns="0" tIns="0" rIns="0" bIns="0" rtlCol="0">
                          <a:prstTxWarp prst="textNoShape">
                            <a:avLst/>
                          </a:prstTxWarp>
                          <a:noAutofit/>
                        </wps:bodyPr>
                      </wps:wsp>
                      <wps:wsp>
                        <wps:cNvPr id="872" name="Graphic 872"/>
                        <wps:cNvSpPr/>
                        <wps:spPr>
                          <a:xfrm>
                            <a:off x="4297679" y="1644081"/>
                            <a:ext cx="1983105" cy="1270"/>
                          </a:xfrm>
                          <a:custGeom>
                            <a:avLst/>
                            <a:gdLst/>
                            <a:ahLst/>
                            <a:cxnLst/>
                            <a:rect l="l" t="t" r="r" b="b"/>
                            <a:pathLst>
                              <a:path w="1983105" h="0">
                                <a:moveTo>
                                  <a:pt x="0" y="0"/>
                                </a:moveTo>
                                <a:lnTo>
                                  <a:pt x="1982660" y="0"/>
                                </a:lnTo>
                              </a:path>
                            </a:pathLst>
                          </a:custGeom>
                          <a:ln w="3175">
                            <a:solidFill>
                              <a:srgbClr val="636466"/>
                            </a:solidFill>
                            <a:prstDash val="solid"/>
                          </a:ln>
                        </wps:spPr>
                        <wps:bodyPr wrap="square" lIns="0" tIns="0" rIns="0" bIns="0" rtlCol="0">
                          <a:prstTxWarp prst="textNoShape">
                            <a:avLst/>
                          </a:prstTxWarp>
                          <a:noAutofit/>
                        </wps:bodyPr>
                      </wps:wsp>
                      <wps:wsp>
                        <wps:cNvPr id="873" name="Graphic 873"/>
                        <wps:cNvSpPr/>
                        <wps:spPr>
                          <a:xfrm>
                            <a:off x="1587" y="2578994"/>
                            <a:ext cx="1955800" cy="1270"/>
                          </a:xfrm>
                          <a:custGeom>
                            <a:avLst/>
                            <a:gdLst/>
                            <a:ahLst/>
                            <a:cxnLst/>
                            <a:rect l="l" t="t" r="r" b="b"/>
                            <a:pathLst>
                              <a:path w="1955800" h="0">
                                <a:moveTo>
                                  <a:pt x="0" y="0"/>
                                </a:moveTo>
                                <a:lnTo>
                                  <a:pt x="1955228" y="0"/>
                                </a:lnTo>
                              </a:path>
                            </a:pathLst>
                          </a:custGeom>
                          <a:ln w="3175">
                            <a:solidFill>
                              <a:srgbClr val="636466"/>
                            </a:solidFill>
                            <a:prstDash val="solid"/>
                          </a:ln>
                        </wps:spPr>
                        <wps:bodyPr wrap="square" lIns="0" tIns="0" rIns="0" bIns="0" rtlCol="0">
                          <a:prstTxWarp prst="textNoShape">
                            <a:avLst/>
                          </a:prstTxWarp>
                          <a:noAutofit/>
                        </wps:bodyPr>
                      </wps:wsp>
                      <wps:wsp>
                        <wps:cNvPr id="874" name="Graphic 874"/>
                        <wps:cNvSpPr/>
                        <wps:spPr>
                          <a:xfrm>
                            <a:off x="4297679" y="2578994"/>
                            <a:ext cx="1983105" cy="1270"/>
                          </a:xfrm>
                          <a:custGeom>
                            <a:avLst/>
                            <a:gdLst/>
                            <a:ahLst/>
                            <a:cxnLst/>
                            <a:rect l="l" t="t" r="r" b="b"/>
                            <a:pathLst>
                              <a:path w="1983105" h="0">
                                <a:moveTo>
                                  <a:pt x="0" y="0"/>
                                </a:moveTo>
                                <a:lnTo>
                                  <a:pt x="1982660" y="0"/>
                                </a:lnTo>
                              </a:path>
                            </a:pathLst>
                          </a:custGeom>
                          <a:ln w="3175">
                            <a:solidFill>
                              <a:srgbClr val="636466"/>
                            </a:solidFill>
                            <a:prstDash val="solid"/>
                          </a:ln>
                        </wps:spPr>
                        <wps:bodyPr wrap="square" lIns="0" tIns="0" rIns="0" bIns="0" rtlCol="0">
                          <a:prstTxWarp prst="textNoShape">
                            <a:avLst/>
                          </a:prstTxWarp>
                          <a:noAutofit/>
                        </wps:bodyPr>
                      </wps:wsp>
                      <wps:wsp>
                        <wps:cNvPr id="875" name="Graphic 875"/>
                        <wps:cNvSpPr/>
                        <wps:spPr>
                          <a:xfrm>
                            <a:off x="1587" y="2851759"/>
                            <a:ext cx="1955800" cy="1270"/>
                          </a:xfrm>
                          <a:custGeom>
                            <a:avLst/>
                            <a:gdLst/>
                            <a:ahLst/>
                            <a:cxnLst/>
                            <a:rect l="l" t="t" r="r" b="b"/>
                            <a:pathLst>
                              <a:path w="1955800" h="0">
                                <a:moveTo>
                                  <a:pt x="0" y="0"/>
                                </a:moveTo>
                                <a:lnTo>
                                  <a:pt x="1955228" y="0"/>
                                </a:lnTo>
                              </a:path>
                            </a:pathLst>
                          </a:custGeom>
                          <a:ln w="3175">
                            <a:solidFill>
                              <a:srgbClr val="636466"/>
                            </a:solidFill>
                            <a:prstDash val="solid"/>
                          </a:ln>
                        </wps:spPr>
                        <wps:bodyPr wrap="square" lIns="0" tIns="0" rIns="0" bIns="0" rtlCol="0">
                          <a:prstTxWarp prst="textNoShape">
                            <a:avLst/>
                          </a:prstTxWarp>
                          <a:noAutofit/>
                        </wps:bodyPr>
                      </wps:wsp>
                      <wps:wsp>
                        <wps:cNvPr id="876" name="Graphic 876"/>
                        <wps:cNvSpPr/>
                        <wps:spPr>
                          <a:xfrm>
                            <a:off x="4297679" y="2851759"/>
                            <a:ext cx="1983105" cy="1270"/>
                          </a:xfrm>
                          <a:custGeom>
                            <a:avLst/>
                            <a:gdLst/>
                            <a:ahLst/>
                            <a:cxnLst/>
                            <a:rect l="l" t="t" r="r" b="b"/>
                            <a:pathLst>
                              <a:path w="1983105" h="0">
                                <a:moveTo>
                                  <a:pt x="0" y="0"/>
                                </a:moveTo>
                                <a:lnTo>
                                  <a:pt x="1982660" y="0"/>
                                </a:lnTo>
                              </a:path>
                            </a:pathLst>
                          </a:custGeom>
                          <a:ln w="3175">
                            <a:solidFill>
                              <a:srgbClr val="636466"/>
                            </a:solidFill>
                            <a:prstDash val="solid"/>
                          </a:ln>
                        </wps:spPr>
                        <wps:bodyPr wrap="square" lIns="0" tIns="0" rIns="0" bIns="0" rtlCol="0">
                          <a:prstTxWarp prst="textNoShape">
                            <a:avLst/>
                          </a:prstTxWarp>
                          <a:noAutofit/>
                        </wps:bodyPr>
                      </wps:wsp>
                      <wps:wsp>
                        <wps:cNvPr id="877" name="Graphic 877"/>
                        <wps:cNvSpPr/>
                        <wps:spPr>
                          <a:xfrm>
                            <a:off x="1587" y="3241141"/>
                            <a:ext cx="1955800" cy="1270"/>
                          </a:xfrm>
                          <a:custGeom>
                            <a:avLst/>
                            <a:gdLst/>
                            <a:ahLst/>
                            <a:cxnLst/>
                            <a:rect l="l" t="t" r="r" b="b"/>
                            <a:pathLst>
                              <a:path w="1955800" h="0">
                                <a:moveTo>
                                  <a:pt x="0" y="0"/>
                                </a:moveTo>
                                <a:lnTo>
                                  <a:pt x="1955228" y="0"/>
                                </a:lnTo>
                              </a:path>
                            </a:pathLst>
                          </a:custGeom>
                          <a:ln w="3175">
                            <a:solidFill>
                              <a:srgbClr val="636466"/>
                            </a:solidFill>
                            <a:prstDash val="solid"/>
                          </a:ln>
                        </wps:spPr>
                        <wps:bodyPr wrap="square" lIns="0" tIns="0" rIns="0" bIns="0" rtlCol="0">
                          <a:prstTxWarp prst="textNoShape">
                            <a:avLst/>
                          </a:prstTxWarp>
                          <a:noAutofit/>
                        </wps:bodyPr>
                      </wps:wsp>
                      <wps:wsp>
                        <wps:cNvPr id="878" name="Graphic 878"/>
                        <wps:cNvSpPr/>
                        <wps:spPr>
                          <a:xfrm>
                            <a:off x="4297679" y="3241141"/>
                            <a:ext cx="1983105" cy="1270"/>
                          </a:xfrm>
                          <a:custGeom>
                            <a:avLst/>
                            <a:gdLst/>
                            <a:ahLst/>
                            <a:cxnLst/>
                            <a:rect l="l" t="t" r="r" b="b"/>
                            <a:pathLst>
                              <a:path w="1983105" h="0">
                                <a:moveTo>
                                  <a:pt x="0" y="0"/>
                                </a:moveTo>
                                <a:lnTo>
                                  <a:pt x="1982660" y="0"/>
                                </a:lnTo>
                              </a:path>
                            </a:pathLst>
                          </a:custGeom>
                          <a:ln w="3175">
                            <a:solidFill>
                              <a:srgbClr val="636466"/>
                            </a:solidFill>
                            <a:prstDash val="solid"/>
                          </a:ln>
                        </wps:spPr>
                        <wps:bodyPr wrap="square" lIns="0" tIns="0" rIns="0" bIns="0" rtlCol="0">
                          <a:prstTxWarp prst="textNoShape">
                            <a:avLst/>
                          </a:prstTxWarp>
                          <a:noAutofit/>
                        </wps:bodyPr>
                      </wps:wsp>
                      <wps:wsp>
                        <wps:cNvPr id="879" name="Graphic 879"/>
                        <wps:cNvSpPr/>
                        <wps:spPr>
                          <a:xfrm>
                            <a:off x="1587" y="3513907"/>
                            <a:ext cx="1955800" cy="1270"/>
                          </a:xfrm>
                          <a:custGeom>
                            <a:avLst/>
                            <a:gdLst/>
                            <a:ahLst/>
                            <a:cxnLst/>
                            <a:rect l="l" t="t" r="r" b="b"/>
                            <a:pathLst>
                              <a:path w="1955800" h="0">
                                <a:moveTo>
                                  <a:pt x="0" y="0"/>
                                </a:moveTo>
                                <a:lnTo>
                                  <a:pt x="1955228" y="0"/>
                                </a:lnTo>
                              </a:path>
                            </a:pathLst>
                          </a:custGeom>
                          <a:ln w="3175">
                            <a:solidFill>
                              <a:srgbClr val="636466"/>
                            </a:solidFill>
                            <a:prstDash val="solid"/>
                          </a:ln>
                        </wps:spPr>
                        <wps:bodyPr wrap="square" lIns="0" tIns="0" rIns="0" bIns="0" rtlCol="0">
                          <a:prstTxWarp prst="textNoShape">
                            <a:avLst/>
                          </a:prstTxWarp>
                          <a:noAutofit/>
                        </wps:bodyPr>
                      </wps:wsp>
                      <wps:wsp>
                        <wps:cNvPr id="880" name="Graphic 880"/>
                        <wps:cNvSpPr/>
                        <wps:spPr>
                          <a:xfrm>
                            <a:off x="4297679" y="3513907"/>
                            <a:ext cx="1983105" cy="1270"/>
                          </a:xfrm>
                          <a:custGeom>
                            <a:avLst/>
                            <a:gdLst/>
                            <a:ahLst/>
                            <a:cxnLst/>
                            <a:rect l="l" t="t" r="r" b="b"/>
                            <a:pathLst>
                              <a:path w="1983105" h="0">
                                <a:moveTo>
                                  <a:pt x="0" y="0"/>
                                </a:moveTo>
                                <a:lnTo>
                                  <a:pt x="1982660" y="0"/>
                                </a:lnTo>
                              </a:path>
                            </a:pathLst>
                          </a:custGeom>
                          <a:ln w="3175">
                            <a:solidFill>
                              <a:srgbClr val="636466"/>
                            </a:solidFill>
                            <a:prstDash val="solid"/>
                          </a:ln>
                        </wps:spPr>
                        <wps:bodyPr wrap="square" lIns="0" tIns="0" rIns="0" bIns="0" rtlCol="0">
                          <a:prstTxWarp prst="textNoShape">
                            <a:avLst/>
                          </a:prstTxWarp>
                          <a:noAutofit/>
                        </wps:bodyPr>
                      </wps:wsp>
                      <wps:wsp>
                        <wps:cNvPr id="881" name="Graphic 881"/>
                        <wps:cNvSpPr/>
                        <wps:spPr>
                          <a:xfrm>
                            <a:off x="1587" y="3903289"/>
                            <a:ext cx="1955800" cy="1270"/>
                          </a:xfrm>
                          <a:custGeom>
                            <a:avLst/>
                            <a:gdLst/>
                            <a:ahLst/>
                            <a:cxnLst/>
                            <a:rect l="l" t="t" r="r" b="b"/>
                            <a:pathLst>
                              <a:path w="1955800" h="0">
                                <a:moveTo>
                                  <a:pt x="0" y="0"/>
                                </a:moveTo>
                                <a:lnTo>
                                  <a:pt x="1955228" y="0"/>
                                </a:lnTo>
                              </a:path>
                            </a:pathLst>
                          </a:custGeom>
                          <a:ln w="3175">
                            <a:solidFill>
                              <a:srgbClr val="636466"/>
                            </a:solidFill>
                            <a:prstDash val="solid"/>
                          </a:ln>
                        </wps:spPr>
                        <wps:bodyPr wrap="square" lIns="0" tIns="0" rIns="0" bIns="0" rtlCol="0">
                          <a:prstTxWarp prst="textNoShape">
                            <a:avLst/>
                          </a:prstTxWarp>
                          <a:noAutofit/>
                        </wps:bodyPr>
                      </wps:wsp>
                      <wps:wsp>
                        <wps:cNvPr id="882" name="Graphic 882"/>
                        <wps:cNvSpPr/>
                        <wps:spPr>
                          <a:xfrm>
                            <a:off x="4297679" y="3903289"/>
                            <a:ext cx="1983105" cy="1270"/>
                          </a:xfrm>
                          <a:custGeom>
                            <a:avLst/>
                            <a:gdLst/>
                            <a:ahLst/>
                            <a:cxnLst/>
                            <a:rect l="l" t="t" r="r" b="b"/>
                            <a:pathLst>
                              <a:path w="1983105" h="0">
                                <a:moveTo>
                                  <a:pt x="0" y="0"/>
                                </a:moveTo>
                                <a:lnTo>
                                  <a:pt x="1982660" y="0"/>
                                </a:lnTo>
                              </a:path>
                            </a:pathLst>
                          </a:custGeom>
                          <a:ln w="3175">
                            <a:solidFill>
                              <a:srgbClr val="636466"/>
                            </a:solidFill>
                            <a:prstDash val="solid"/>
                          </a:ln>
                        </wps:spPr>
                        <wps:bodyPr wrap="square" lIns="0" tIns="0" rIns="0" bIns="0" rtlCol="0">
                          <a:prstTxWarp prst="textNoShape">
                            <a:avLst/>
                          </a:prstTxWarp>
                          <a:noAutofit/>
                        </wps:bodyPr>
                      </wps:wsp>
                      <wps:wsp>
                        <wps:cNvPr id="883" name="Graphic 883"/>
                        <wps:cNvSpPr/>
                        <wps:spPr>
                          <a:xfrm>
                            <a:off x="1587" y="4457771"/>
                            <a:ext cx="1955800" cy="1270"/>
                          </a:xfrm>
                          <a:custGeom>
                            <a:avLst/>
                            <a:gdLst/>
                            <a:ahLst/>
                            <a:cxnLst/>
                            <a:rect l="l" t="t" r="r" b="b"/>
                            <a:pathLst>
                              <a:path w="1955800" h="0">
                                <a:moveTo>
                                  <a:pt x="0" y="0"/>
                                </a:moveTo>
                                <a:lnTo>
                                  <a:pt x="1955228" y="0"/>
                                </a:lnTo>
                              </a:path>
                            </a:pathLst>
                          </a:custGeom>
                          <a:ln w="3175">
                            <a:solidFill>
                              <a:srgbClr val="636466"/>
                            </a:solidFill>
                            <a:prstDash val="solid"/>
                          </a:ln>
                        </wps:spPr>
                        <wps:bodyPr wrap="square" lIns="0" tIns="0" rIns="0" bIns="0" rtlCol="0">
                          <a:prstTxWarp prst="textNoShape">
                            <a:avLst/>
                          </a:prstTxWarp>
                          <a:noAutofit/>
                        </wps:bodyPr>
                      </wps:wsp>
                      <wps:wsp>
                        <wps:cNvPr id="884" name="Graphic 884"/>
                        <wps:cNvSpPr/>
                        <wps:spPr>
                          <a:xfrm>
                            <a:off x="4297679" y="4457771"/>
                            <a:ext cx="1983105" cy="1270"/>
                          </a:xfrm>
                          <a:custGeom>
                            <a:avLst/>
                            <a:gdLst/>
                            <a:ahLst/>
                            <a:cxnLst/>
                            <a:rect l="l" t="t" r="r" b="b"/>
                            <a:pathLst>
                              <a:path w="1983105" h="0">
                                <a:moveTo>
                                  <a:pt x="0" y="0"/>
                                </a:moveTo>
                                <a:lnTo>
                                  <a:pt x="1982660" y="0"/>
                                </a:lnTo>
                              </a:path>
                            </a:pathLst>
                          </a:custGeom>
                          <a:ln w="3175">
                            <a:solidFill>
                              <a:srgbClr val="636466"/>
                            </a:solidFill>
                            <a:prstDash val="solid"/>
                          </a:ln>
                        </wps:spPr>
                        <wps:bodyPr wrap="square" lIns="0" tIns="0" rIns="0" bIns="0" rtlCol="0">
                          <a:prstTxWarp prst="textNoShape">
                            <a:avLst/>
                          </a:prstTxWarp>
                          <a:noAutofit/>
                        </wps:bodyPr>
                      </wps:wsp>
                      <wps:wsp>
                        <wps:cNvPr id="885" name="Textbox 885"/>
                        <wps:cNvSpPr txBox="1"/>
                        <wps:spPr>
                          <a:xfrm>
                            <a:off x="52387" y="371459"/>
                            <a:ext cx="1866900" cy="4080510"/>
                          </a:xfrm>
                          <a:prstGeom prst="rect">
                            <a:avLst/>
                          </a:prstGeom>
                        </wps:spPr>
                        <wps:txbx>
                          <w:txbxContent>
                            <w:p>
                              <w:pPr>
                                <w:spacing w:before="13"/>
                                <w:ind w:left="0" w:right="0" w:firstLine="0"/>
                                <w:jc w:val="left"/>
                                <w:rPr>
                                  <w:sz w:val="22"/>
                                </w:rPr>
                              </w:pPr>
                              <w:r>
                                <w:rPr>
                                  <w:color w:val="105C84"/>
                                  <w:sz w:val="22"/>
                                </w:rPr>
                                <w:t>Ontario</w:t>
                              </w:r>
                              <w:r>
                                <w:rPr>
                                  <w:color w:val="105C84"/>
                                  <w:spacing w:val="14"/>
                                  <w:sz w:val="22"/>
                                </w:rPr>
                                <w:t> </w:t>
                              </w:r>
                              <w:r>
                                <w:rPr>
                                  <w:color w:val="105C84"/>
                                  <w:sz w:val="22"/>
                                </w:rPr>
                                <w:t>County</w:t>
                              </w:r>
                              <w:r>
                                <w:rPr>
                                  <w:color w:val="105C84"/>
                                  <w:spacing w:val="15"/>
                                  <w:sz w:val="22"/>
                                </w:rPr>
                                <w:t> </w:t>
                              </w:r>
                              <w:r>
                                <w:rPr>
                                  <w:color w:val="105C84"/>
                                  <w:sz w:val="22"/>
                                </w:rPr>
                                <w:t>Public</w:t>
                              </w:r>
                              <w:r>
                                <w:rPr>
                                  <w:color w:val="105C84"/>
                                  <w:spacing w:val="15"/>
                                  <w:sz w:val="22"/>
                                </w:rPr>
                                <w:t> </w:t>
                              </w:r>
                              <w:r>
                                <w:rPr>
                                  <w:color w:val="105C84"/>
                                  <w:spacing w:val="-2"/>
                                  <w:sz w:val="22"/>
                                </w:rPr>
                                <w:t>Health</w:t>
                              </w:r>
                            </w:p>
                            <w:p>
                              <w:pPr>
                                <w:spacing w:line="247" w:lineRule="auto" w:before="139"/>
                                <w:ind w:left="0" w:right="514" w:firstLine="0"/>
                                <w:jc w:val="left"/>
                                <w:rPr>
                                  <w:sz w:val="22"/>
                                </w:rPr>
                              </w:pPr>
                              <w:r>
                                <w:rPr>
                                  <w:color w:val="105C84"/>
                                  <w:sz w:val="22"/>
                                </w:rPr>
                                <w:t>Ontario </w:t>
                              </w:r>
                              <w:r>
                                <w:rPr>
                                  <w:color w:val="105C84"/>
                                  <w:sz w:val="22"/>
                                </w:rPr>
                                <w:t>County </w:t>
                              </w:r>
                              <w:r>
                                <w:rPr>
                                  <w:color w:val="105C84"/>
                                  <w:spacing w:val="-2"/>
                                  <w:sz w:val="22"/>
                                </w:rPr>
                                <w:t>Administration</w:t>
                              </w:r>
                            </w:p>
                            <w:p>
                              <w:pPr>
                                <w:spacing w:line="247" w:lineRule="auto" w:before="92"/>
                                <w:ind w:left="0" w:right="0" w:firstLine="0"/>
                                <w:jc w:val="left"/>
                                <w:rPr>
                                  <w:sz w:val="22"/>
                                </w:rPr>
                              </w:pPr>
                              <w:r>
                                <w:rPr>
                                  <w:color w:val="105C84"/>
                                  <w:sz w:val="22"/>
                                </w:rPr>
                                <w:t>Health</w:t>
                              </w:r>
                              <w:r>
                                <w:rPr>
                                  <w:color w:val="105C84"/>
                                  <w:spacing w:val="-12"/>
                                  <w:sz w:val="22"/>
                                </w:rPr>
                                <w:t> </w:t>
                              </w:r>
                              <w:r>
                                <w:rPr>
                                  <w:color w:val="105C84"/>
                                  <w:sz w:val="22"/>
                                </w:rPr>
                                <w:t>&amp;</w:t>
                              </w:r>
                              <w:r>
                                <w:rPr>
                                  <w:color w:val="105C84"/>
                                  <w:spacing w:val="-12"/>
                                  <w:sz w:val="22"/>
                                </w:rPr>
                                <w:t> </w:t>
                              </w:r>
                              <w:r>
                                <w:rPr>
                                  <w:color w:val="105C84"/>
                                  <w:sz w:val="22"/>
                                </w:rPr>
                                <w:t>Human</w:t>
                              </w:r>
                              <w:r>
                                <w:rPr>
                                  <w:color w:val="105C84"/>
                                  <w:spacing w:val="-12"/>
                                  <w:sz w:val="22"/>
                                </w:rPr>
                                <w:t> </w:t>
                              </w:r>
                              <w:r>
                                <w:rPr>
                                  <w:color w:val="105C84"/>
                                  <w:sz w:val="22"/>
                                </w:rPr>
                                <w:t>Services Ontario County</w:t>
                              </w:r>
                            </w:p>
                            <w:p>
                              <w:pPr>
                                <w:spacing w:line="408" w:lineRule="auto" w:before="130"/>
                                <w:ind w:left="0" w:right="514" w:hanging="1"/>
                                <w:jc w:val="left"/>
                                <w:rPr>
                                  <w:sz w:val="22"/>
                                </w:rPr>
                              </w:pPr>
                              <w:r>
                                <w:rPr>
                                  <w:color w:val="105C84"/>
                                  <w:sz w:val="22"/>
                                </w:rPr>
                                <w:t>City of </w:t>
                              </w:r>
                              <w:r>
                                <w:rPr>
                                  <w:color w:val="105C84"/>
                                  <w:sz w:val="22"/>
                                </w:rPr>
                                <w:t>Canandaigua Stop DWI</w:t>
                              </w:r>
                            </w:p>
                            <w:p>
                              <w:pPr>
                                <w:spacing w:line="214" w:lineRule="exact" w:before="0"/>
                                <w:ind w:left="1" w:right="0" w:firstLine="0"/>
                                <w:jc w:val="left"/>
                                <w:rPr>
                                  <w:sz w:val="22"/>
                                </w:rPr>
                              </w:pPr>
                              <w:r>
                                <w:rPr>
                                  <w:color w:val="105C84"/>
                                  <w:sz w:val="22"/>
                                </w:rPr>
                                <w:t>Tobacco</w:t>
                              </w:r>
                              <w:r>
                                <w:rPr>
                                  <w:color w:val="105C84"/>
                                  <w:spacing w:val="8"/>
                                  <w:sz w:val="22"/>
                                </w:rPr>
                                <w:t> </w:t>
                              </w:r>
                              <w:r>
                                <w:rPr>
                                  <w:color w:val="105C84"/>
                                  <w:sz w:val="22"/>
                                </w:rPr>
                                <w:t>Action</w:t>
                              </w:r>
                              <w:r>
                                <w:rPr>
                                  <w:color w:val="105C84"/>
                                  <w:spacing w:val="8"/>
                                  <w:sz w:val="22"/>
                                </w:rPr>
                                <w:t> </w:t>
                              </w:r>
                              <w:r>
                                <w:rPr>
                                  <w:color w:val="105C84"/>
                                  <w:spacing w:val="-2"/>
                                  <w:sz w:val="22"/>
                                </w:rPr>
                                <w:t>Coalition</w:t>
                              </w:r>
                            </w:p>
                            <w:p>
                              <w:pPr>
                                <w:spacing w:before="7"/>
                                <w:ind w:left="1" w:right="0" w:firstLine="0"/>
                                <w:jc w:val="left"/>
                                <w:rPr>
                                  <w:sz w:val="22"/>
                                </w:rPr>
                              </w:pPr>
                              <w:r>
                                <w:rPr>
                                  <w:color w:val="105C84"/>
                                  <w:sz w:val="22"/>
                                </w:rPr>
                                <w:t>of</w:t>
                              </w:r>
                              <w:r>
                                <w:rPr>
                                  <w:color w:val="105C84"/>
                                  <w:spacing w:val="12"/>
                                  <w:sz w:val="22"/>
                                </w:rPr>
                                <w:t> </w:t>
                              </w:r>
                              <w:r>
                                <w:rPr>
                                  <w:color w:val="105C84"/>
                                  <w:sz w:val="22"/>
                                </w:rPr>
                                <w:t>the</w:t>
                              </w:r>
                              <w:r>
                                <w:rPr>
                                  <w:color w:val="105C84"/>
                                  <w:spacing w:val="12"/>
                                  <w:sz w:val="22"/>
                                </w:rPr>
                                <w:t> </w:t>
                              </w:r>
                              <w:r>
                                <w:rPr>
                                  <w:color w:val="105C84"/>
                                  <w:sz w:val="22"/>
                                </w:rPr>
                                <w:t>Finger</w:t>
                              </w:r>
                              <w:r>
                                <w:rPr>
                                  <w:color w:val="105C84"/>
                                  <w:spacing w:val="12"/>
                                  <w:sz w:val="22"/>
                                </w:rPr>
                                <w:t> </w:t>
                              </w:r>
                              <w:r>
                                <w:rPr>
                                  <w:color w:val="105C84"/>
                                  <w:spacing w:val="-2"/>
                                  <w:sz w:val="22"/>
                                </w:rPr>
                                <w:t>Lakes</w:t>
                              </w:r>
                            </w:p>
                            <w:p>
                              <w:pPr>
                                <w:spacing w:line="408" w:lineRule="auto" w:before="138"/>
                                <w:ind w:left="1" w:right="0" w:hanging="1"/>
                                <w:jc w:val="left"/>
                                <w:rPr>
                                  <w:sz w:val="22"/>
                                </w:rPr>
                              </w:pPr>
                              <w:r>
                                <w:rPr>
                                  <w:color w:val="105C84"/>
                                  <w:sz w:val="22"/>
                                </w:rPr>
                                <w:t>Private</w:t>
                              </w:r>
                              <w:r>
                                <w:rPr>
                                  <w:color w:val="105C84"/>
                                  <w:spacing w:val="-5"/>
                                  <w:sz w:val="22"/>
                                </w:rPr>
                                <w:t> </w:t>
                              </w:r>
                              <w:r>
                                <w:rPr>
                                  <w:color w:val="105C84"/>
                                  <w:sz w:val="22"/>
                                </w:rPr>
                                <w:t>medical</w:t>
                              </w:r>
                              <w:r>
                                <w:rPr>
                                  <w:color w:val="105C84"/>
                                  <w:spacing w:val="-5"/>
                                  <w:sz w:val="22"/>
                                </w:rPr>
                                <w:t> </w:t>
                              </w:r>
                              <w:r>
                                <w:rPr>
                                  <w:color w:val="105C84"/>
                                  <w:sz w:val="22"/>
                                </w:rPr>
                                <w:t>professionals Office for Aging</w:t>
                              </w:r>
                            </w:p>
                            <w:p>
                              <w:pPr>
                                <w:spacing w:line="494" w:lineRule="auto" w:before="91"/>
                                <w:ind w:left="1" w:right="1064" w:hanging="1"/>
                                <w:jc w:val="left"/>
                                <w:rPr>
                                  <w:sz w:val="22"/>
                                </w:rPr>
                              </w:pPr>
                              <w:r>
                                <w:rPr>
                                  <w:color w:val="105C84"/>
                                  <w:sz w:val="22"/>
                                </w:rPr>
                                <w:t>United Way Pioneer</w:t>
                              </w:r>
                              <w:r>
                                <w:rPr>
                                  <w:color w:val="105C84"/>
                                  <w:spacing w:val="-16"/>
                                  <w:sz w:val="22"/>
                                </w:rPr>
                                <w:t> </w:t>
                              </w:r>
                              <w:r>
                                <w:rPr>
                                  <w:color w:val="105C84"/>
                                  <w:sz w:val="22"/>
                                </w:rPr>
                                <w:t>Library</w:t>
                              </w:r>
                            </w:p>
                            <w:p>
                              <w:pPr>
                                <w:spacing w:before="1"/>
                                <w:ind w:left="2" w:right="0" w:firstLine="0"/>
                                <w:jc w:val="left"/>
                                <w:rPr>
                                  <w:sz w:val="22"/>
                                </w:rPr>
                              </w:pPr>
                              <w:r>
                                <w:rPr>
                                  <w:color w:val="105C84"/>
                                  <w:sz w:val="22"/>
                                </w:rPr>
                                <w:t>Community</w:t>
                              </w:r>
                              <w:r>
                                <w:rPr>
                                  <w:color w:val="105C84"/>
                                  <w:spacing w:val="27"/>
                                  <w:sz w:val="22"/>
                                </w:rPr>
                                <w:t> </w:t>
                              </w:r>
                              <w:r>
                                <w:rPr>
                                  <w:color w:val="105C84"/>
                                  <w:spacing w:val="-2"/>
                                  <w:sz w:val="22"/>
                                </w:rPr>
                                <w:t>member</w:t>
                              </w:r>
                            </w:p>
                            <w:p>
                              <w:pPr>
                                <w:spacing w:line="247" w:lineRule="auto" w:before="230"/>
                                <w:ind w:left="2" w:right="59" w:firstLine="0"/>
                                <w:jc w:val="left"/>
                                <w:rPr>
                                  <w:sz w:val="22"/>
                                </w:rPr>
                              </w:pPr>
                              <w:r>
                                <w:rPr>
                                  <w:color w:val="105C84"/>
                                  <w:sz w:val="22"/>
                                </w:rPr>
                                <w:t>Finger Lakes Area Counseling</w:t>
                              </w:r>
                              <w:r>
                                <w:rPr>
                                  <w:color w:val="105C84"/>
                                  <w:spacing w:val="-12"/>
                                  <w:sz w:val="22"/>
                                </w:rPr>
                                <w:t> </w:t>
                              </w:r>
                              <w:r>
                                <w:rPr>
                                  <w:color w:val="105C84"/>
                                  <w:sz w:val="22"/>
                                </w:rPr>
                                <w:t>and</w:t>
                              </w:r>
                              <w:r>
                                <w:rPr>
                                  <w:color w:val="105C84"/>
                                  <w:spacing w:val="-12"/>
                                  <w:sz w:val="22"/>
                                </w:rPr>
                                <w:t> </w:t>
                              </w:r>
                              <w:r>
                                <w:rPr>
                                  <w:color w:val="105C84"/>
                                  <w:sz w:val="22"/>
                                </w:rPr>
                                <w:t>Recovery Agency (FLACRA)</w:t>
                              </w:r>
                            </w:p>
                          </w:txbxContent>
                        </wps:txbx>
                        <wps:bodyPr wrap="square" lIns="0" tIns="0" rIns="0" bIns="0" rtlCol="0">
                          <a:noAutofit/>
                        </wps:bodyPr>
                      </wps:wsp>
                      <wps:wsp>
                        <wps:cNvPr id="886" name="Textbox 886"/>
                        <wps:cNvSpPr txBox="1"/>
                        <wps:spPr>
                          <a:xfrm>
                            <a:off x="2245398" y="371459"/>
                            <a:ext cx="1722755" cy="3443604"/>
                          </a:xfrm>
                          <a:prstGeom prst="rect">
                            <a:avLst/>
                          </a:prstGeom>
                        </wps:spPr>
                        <wps:txbx>
                          <w:txbxContent>
                            <w:p>
                              <w:pPr>
                                <w:spacing w:before="13"/>
                                <w:ind w:left="0" w:right="0" w:firstLine="0"/>
                                <w:jc w:val="left"/>
                                <w:rPr>
                                  <w:sz w:val="22"/>
                                </w:rPr>
                              </w:pPr>
                              <w:r>
                                <w:rPr>
                                  <w:color w:val="105C84"/>
                                  <w:spacing w:val="-4"/>
                                  <w:sz w:val="22"/>
                                </w:rPr>
                                <w:t>S2AY</w:t>
                              </w:r>
                              <w:r>
                                <w:rPr>
                                  <w:color w:val="105C84"/>
                                  <w:spacing w:val="-5"/>
                                  <w:sz w:val="22"/>
                                </w:rPr>
                                <w:t> </w:t>
                              </w:r>
                              <w:r>
                                <w:rPr>
                                  <w:color w:val="105C84"/>
                                  <w:spacing w:val="-4"/>
                                  <w:sz w:val="22"/>
                                </w:rPr>
                                <w:t>Rural</w:t>
                              </w:r>
                              <w:r>
                                <w:rPr>
                                  <w:color w:val="105C84"/>
                                  <w:spacing w:val="-5"/>
                                  <w:sz w:val="22"/>
                                </w:rPr>
                                <w:t> </w:t>
                              </w:r>
                              <w:r>
                                <w:rPr>
                                  <w:color w:val="105C84"/>
                                  <w:spacing w:val="-4"/>
                                  <w:sz w:val="22"/>
                                </w:rPr>
                                <w:t>Health Network</w:t>
                              </w:r>
                            </w:p>
                            <w:p>
                              <w:pPr>
                                <w:spacing w:line="247" w:lineRule="auto" w:before="139"/>
                                <w:ind w:left="0" w:right="0" w:firstLine="0"/>
                                <w:jc w:val="left"/>
                                <w:rPr>
                                  <w:sz w:val="22"/>
                                </w:rPr>
                              </w:pPr>
                              <w:r>
                                <w:rPr>
                                  <w:color w:val="105C84"/>
                                  <w:sz w:val="22"/>
                                </w:rPr>
                                <w:t>UR </w:t>
                              </w:r>
                              <w:r>
                                <w:rPr>
                                  <w:color w:val="105C84"/>
                                  <w:sz w:val="22"/>
                                </w:rPr>
                                <w:t>Medicine/Thompson </w:t>
                              </w:r>
                              <w:r>
                                <w:rPr>
                                  <w:color w:val="105C84"/>
                                  <w:spacing w:val="-2"/>
                                  <w:sz w:val="22"/>
                                </w:rPr>
                                <w:t>Health</w:t>
                              </w:r>
                            </w:p>
                            <w:p>
                              <w:pPr>
                                <w:spacing w:line="247" w:lineRule="auto" w:before="92"/>
                                <w:ind w:left="0" w:right="0" w:firstLine="0"/>
                                <w:jc w:val="left"/>
                                <w:rPr>
                                  <w:sz w:val="22"/>
                                </w:rPr>
                              </w:pPr>
                              <w:r>
                                <w:rPr>
                                  <w:color w:val="105C84"/>
                                  <w:sz w:val="22"/>
                                </w:rPr>
                                <w:t>Ontario County </w:t>
                              </w:r>
                              <w:r>
                                <w:rPr>
                                  <w:color w:val="105C84"/>
                                  <w:sz w:val="22"/>
                                </w:rPr>
                                <w:t>Mental </w:t>
                              </w:r>
                              <w:r>
                                <w:rPr>
                                  <w:color w:val="105C84"/>
                                  <w:spacing w:val="-2"/>
                                  <w:sz w:val="22"/>
                                </w:rPr>
                                <w:t>Health</w:t>
                              </w:r>
                            </w:p>
                            <w:p>
                              <w:pPr>
                                <w:spacing w:line="408" w:lineRule="auto" w:before="130"/>
                                <w:ind w:left="0" w:right="368" w:hanging="1"/>
                                <w:jc w:val="left"/>
                                <w:rPr>
                                  <w:sz w:val="22"/>
                                </w:rPr>
                              </w:pPr>
                              <w:r>
                                <w:rPr>
                                  <w:color w:val="105C84"/>
                                  <w:sz w:val="22"/>
                                </w:rPr>
                                <w:t>Smola</w:t>
                              </w:r>
                              <w:r>
                                <w:rPr>
                                  <w:color w:val="105C84"/>
                                  <w:spacing w:val="-1"/>
                                  <w:sz w:val="22"/>
                                </w:rPr>
                                <w:t> </w:t>
                              </w:r>
                              <w:r>
                                <w:rPr>
                                  <w:color w:val="105C84"/>
                                  <w:sz w:val="22"/>
                                </w:rPr>
                                <w:t>Consulting Cancer Services</w:t>
                              </w:r>
                            </w:p>
                            <w:p>
                              <w:pPr>
                                <w:spacing w:before="91"/>
                                <w:ind w:left="1" w:right="0" w:firstLine="0"/>
                                <w:jc w:val="left"/>
                                <w:rPr>
                                  <w:sz w:val="22"/>
                                </w:rPr>
                              </w:pPr>
                              <w:r>
                                <w:rPr>
                                  <w:color w:val="105C84"/>
                                  <w:sz w:val="22"/>
                                </w:rPr>
                                <w:t>Fidelis</w:t>
                              </w:r>
                              <w:r>
                                <w:rPr>
                                  <w:color w:val="105C84"/>
                                  <w:spacing w:val="4"/>
                                  <w:sz w:val="22"/>
                                </w:rPr>
                                <w:t> </w:t>
                              </w:r>
                              <w:r>
                                <w:rPr>
                                  <w:color w:val="105C84"/>
                                  <w:spacing w:val="-4"/>
                                  <w:sz w:val="22"/>
                                </w:rPr>
                                <w:t>Care</w:t>
                              </w:r>
                            </w:p>
                            <w:p>
                              <w:pPr>
                                <w:spacing w:line="240" w:lineRule="auto" w:before="15"/>
                                <w:rPr>
                                  <w:sz w:val="22"/>
                                </w:rPr>
                              </w:pPr>
                            </w:p>
                            <w:p>
                              <w:pPr>
                                <w:spacing w:line="408" w:lineRule="auto" w:before="0"/>
                                <w:ind w:left="1" w:right="368" w:hanging="1"/>
                                <w:jc w:val="left"/>
                                <w:rPr>
                                  <w:sz w:val="22"/>
                                </w:rPr>
                              </w:pPr>
                              <w:r>
                                <w:rPr>
                                  <w:color w:val="105C84"/>
                                  <w:sz w:val="22"/>
                                </w:rPr>
                                <w:t>City of Geneva Chamber of </w:t>
                              </w:r>
                              <w:r>
                                <w:rPr>
                                  <w:color w:val="105C84"/>
                                  <w:sz w:val="22"/>
                                </w:rPr>
                                <w:t>Commerce</w:t>
                              </w:r>
                            </w:p>
                            <w:p>
                              <w:pPr>
                                <w:spacing w:before="91"/>
                                <w:ind w:left="1" w:right="0" w:firstLine="0"/>
                                <w:jc w:val="left"/>
                                <w:rPr>
                                  <w:sz w:val="22"/>
                                </w:rPr>
                              </w:pPr>
                              <w:r>
                                <w:rPr>
                                  <w:color w:val="105C84"/>
                                  <w:sz w:val="22"/>
                                </w:rPr>
                                <w:t>Geneva</w:t>
                              </w:r>
                              <w:r>
                                <w:rPr>
                                  <w:color w:val="105C84"/>
                                  <w:spacing w:val="-14"/>
                                  <w:sz w:val="22"/>
                                </w:rPr>
                                <w:t> </w:t>
                              </w:r>
                              <w:r>
                                <w:rPr>
                                  <w:color w:val="105C84"/>
                                  <w:spacing w:val="-5"/>
                                  <w:sz w:val="22"/>
                                </w:rPr>
                                <w:t>CSD</w:t>
                              </w:r>
                            </w:p>
                            <w:p>
                              <w:pPr>
                                <w:spacing w:line="520" w:lineRule="atLeast" w:before="2"/>
                                <w:ind w:left="2" w:right="635" w:hanging="1"/>
                                <w:jc w:val="left"/>
                                <w:rPr>
                                  <w:sz w:val="22"/>
                                </w:rPr>
                              </w:pPr>
                              <w:r>
                                <w:rPr>
                                  <w:color w:val="105C84"/>
                                  <w:sz w:val="22"/>
                                </w:rPr>
                                <w:t>New</w:t>
                              </w:r>
                              <w:r>
                                <w:rPr>
                                  <w:color w:val="105C84"/>
                                  <w:spacing w:val="-16"/>
                                  <w:sz w:val="22"/>
                                </w:rPr>
                                <w:t> </w:t>
                              </w:r>
                              <w:r>
                                <w:rPr>
                                  <w:color w:val="105C84"/>
                                  <w:sz w:val="22"/>
                                </w:rPr>
                                <w:t>York</w:t>
                              </w:r>
                              <w:r>
                                <w:rPr>
                                  <w:color w:val="105C84"/>
                                  <w:spacing w:val="-15"/>
                                  <w:sz w:val="22"/>
                                </w:rPr>
                                <w:t> </w:t>
                              </w:r>
                              <w:r>
                                <w:rPr>
                                  <w:color w:val="105C84"/>
                                  <w:sz w:val="22"/>
                                </w:rPr>
                                <w:t>Kitchen GW Lisk</w:t>
                              </w:r>
                            </w:p>
                          </w:txbxContent>
                        </wps:txbx>
                        <wps:bodyPr wrap="square" lIns="0" tIns="0" rIns="0" bIns="0" rtlCol="0">
                          <a:noAutofit/>
                        </wps:bodyPr>
                      </wps:wsp>
                      <wps:wsp>
                        <wps:cNvPr id="887" name="Textbox 887"/>
                        <wps:cNvSpPr txBox="1"/>
                        <wps:spPr>
                          <a:xfrm>
                            <a:off x="4348581" y="371459"/>
                            <a:ext cx="1873885" cy="3526154"/>
                          </a:xfrm>
                          <a:prstGeom prst="rect">
                            <a:avLst/>
                          </a:prstGeom>
                        </wps:spPr>
                        <wps:txbx>
                          <w:txbxContent>
                            <w:p>
                              <w:pPr>
                                <w:spacing w:before="13"/>
                                <w:ind w:left="0" w:right="0" w:firstLine="0"/>
                                <w:jc w:val="left"/>
                                <w:rPr>
                                  <w:sz w:val="22"/>
                                </w:rPr>
                              </w:pPr>
                              <w:r>
                                <w:rPr>
                                  <w:color w:val="105C84"/>
                                  <w:sz w:val="22"/>
                                </w:rPr>
                                <w:t>Common</w:t>
                              </w:r>
                              <w:r>
                                <w:rPr>
                                  <w:color w:val="105C84"/>
                                  <w:spacing w:val="26"/>
                                  <w:sz w:val="22"/>
                                </w:rPr>
                                <w:t> </w:t>
                              </w:r>
                              <w:r>
                                <w:rPr>
                                  <w:color w:val="105C84"/>
                                  <w:sz w:val="22"/>
                                </w:rPr>
                                <w:t>Ground</w:t>
                              </w:r>
                              <w:r>
                                <w:rPr>
                                  <w:color w:val="105C84"/>
                                  <w:spacing w:val="27"/>
                                  <w:sz w:val="22"/>
                                </w:rPr>
                                <w:t> </w:t>
                              </w:r>
                              <w:r>
                                <w:rPr>
                                  <w:color w:val="105C84"/>
                                  <w:spacing w:val="-2"/>
                                  <w:sz w:val="22"/>
                                </w:rPr>
                                <w:t>Health</w:t>
                              </w:r>
                            </w:p>
                            <w:p>
                              <w:pPr>
                                <w:spacing w:line="247" w:lineRule="auto" w:before="139"/>
                                <w:ind w:left="0" w:right="0" w:firstLine="0"/>
                                <w:jc w:val="left"/>
                                <w:rPr>
                                  <w:sz w:val="22"/>
                                </w:rPr>
                              </w:pPr>
                              <w:r>
                                <w:rPr>
                                  <w:color w:val="105C84"/>
                                  <w:sz w:val="22"/>
                                </w:rPr>
                                <w:t>Finger</w:t>
                              </w:r>
                              <w:r>
                                <w:rPr>
                                  <w:color w:val="105C84"/>
                                  <w:spacing w:val="-7"/>
                                  <w:sz w:val="22"/>
                                </w:rPr>
                                <w:t> </w:t>
                              </w:r>
                              <w:r>
                                <w:rPr>
                                  <w:color w:val="105C84"/>
                                  <w:sz w:val="22"/>
                                </w:rPr>
                                <w:t>Lakes</w:t>
                              </w:r>
                              <w:r>
                                <w:rPr>
                                  <w:color w:val="105C84"/>
                                  <w:spacing w:val="-7"/>
                                  <w:sz w:val="22"/>
                                </w:rPr>
                                <w:t> </w:t>
                              </w:r>
                              <w:r>
                                <w:rPr>
                                  <w:color w:val="105C84"/>
                                  <w:sz w:val="22"/>
                                </w:rPr>
                                <w:t>Community </w:t>
                              </w:r>
                              <w:r>
                                <w:rPr>
                                  <w:color w:val="105C84"/>
                                  <w:spacing w:val="-2"/>
                                  <w:sz w:val="22"/>
                                </w:rPr>
                                <w:t>College</w:t>
                              </w:r>
                            </w:p>
                            <w:p>
                              <w:pPr>
                                <w:spacing w:line="522" w:lineRule="exact" w:before="11"/>
                                <w:ind w:left="0" w:right="218" w:hanging="1"/>
                                <w:jc w:val="left"/>
                                <w:rPr>
                                  <w:sz w:val="22"/>
                                </w:rPr>
                              </w:pPr>
                              <w:r>
                                <w:rPr>
                                  <w:color w:val="105C84"/>
                                  <w:sz w:val="22"/>
                                </w:rPr>
                                <w:t>Finger</w:t>
                              </w:r>
                              <w:r>
                                <w:rPr>
                                  <w:color w:val="105C84"/>
                                  <w:spacing w:val="-16"/>
                                  <w:sz w:val="22"/>
                                </w:rPr>
                                <w:t> </w:t>
                              </w:r>
                              <w:r>
                                <w:rPr>
                                  <w:color w:val="105C84"/>
                                  <w:sz w:val="22"/>
                                </w:rPr>
                                <w:t>Lakes</w:t>
                              </w:r>
                              <w:r>
                                <w:rPr>
                                  <w:color w:val="105C84"/>
                                  <w:spacing w:val="-15"/>
                                  <w:sz w:val="22"/>
                                </w:rPr>
                                <w:t> </w:t>
                              </w:r>
                              <w:r>
                                <w:rPr>
                                  <w:color w:val="105C84"/>
                                  <w:sz w:val="22"/>
                                </w:rPr>
                                <w:t>Health </w:t>
                              </w:r>
                              <w:r>
                                <w:rPr>
                                  <w:color w:val="105C84"/>
                                  <w:spacing w:val="-2"/>
                                  <w:sz w:val="22"/>
                                </w:rPr>
                                <w:t>Lifespan</w:t>
                              </w:r>
                            </w:p>
                            <w:p>
                              <w:pPr>
                                <w:spacing w:before="118"/>
                                <w:ind w:left="0" w:right="0" w:firstLine="0"/>
                                <w:jc w:val="left"/>
                                <w:rPr>
                                  <w:sz w:val="22"/>
                                </w:rPr>
                              </w:pPr>
                              <w:r>
                                <w:rPr>
                                  <w:color w:val="105C84"/>
                                  <w:sz w:val="22"/>
                                </w:rPr>
                                <w:t>Geneva</w:t>
                              </w:r>
                              <w:r>
                                <w:rPr>
                                  <w:color w:val="105C84"/>
                                  <w:spacing w:val="-4"/>
                                  <w:sz w:val="22"/>
                                </w:rPr>
                                <w:t> </w:t>
                              </w:r>
                              <w:r>
                                <w:rPr>
                                  <w:color w:val="105C84"/>
                                  <w:sz w:val="22"/>
                                </w:rPr>
                                <w:t>Head</w:t>
                              </w:r>
                              <w:r>
                                <w:rPr>
                                  <w:color w:val="105C84"/>
                                  <w:spacing w:val="-4"/>
                                  <w:sz w:val="22"/>
                                </w:rPr>
                                <w:t> </w:t>
                              </w:r>
                              <w:r>
                                <w:rPr>
                                  <w:color w:val="105C84"/>
                                  <w:spacing w:val="-2"/>
                                  <w:sz w:val="22"/>
                                </w:rPr>
                                <w:t>Start</w:t>
                              </w:r>
                            </w:p>
                            <w:p>
                              <w:pPr>
                                <w:spacing w:line="247" w:lineRule="auto" w:before="138"/>
                                <w:ind w:left="1" w:right="0" w:firstLine="0"/>
                                <w:jc w:val="left"/>
                                <w:rPr>
                                  <w:sz w:val="22"/>
                                </w:rPr>
                              </w:pPr>
                              <w:r>
                                <w:rPr>
                                  <w:color w:val="105C84"/>
                                  <w:sz w:val="22"/>
                                </w:rPr>
                                <w:t>Substance</w:t>
                              </w:r>
                              <w:r>
                                <w:rPr>
                                  <w:color w:val="105C84"/>
                                  <w:spacing w:val="-13"/>
                                  <w:sz w:val="22"/>
                                </w:rPr>
                                <w:t> </w:t>
                              </w:r>
                              <w:r>
                                <w:rPr>
                                  <w:color w:val="105C84"/>
                                  <w:sz w:val="22"/>
                                </w:rPr>
                                <w:t>Abuse</w:t>
                              </w:r>
                              <w:r>
                                <w:rPr>
                                  <w:color w:val="105C84"/>
                                  <w:spacing w:val="-13"/>
                                  <w:sz w:val="22"/>
                                </w:rPr>
                                <w:t> </w:t>
                              </w:r>
                              <w:r>
                                <w:rPr>
                                  <w:color w:val="105C84"/>
                                  <w:sz w:val="22"/>
                                </w:rPr>
                                <w:t>Prevention </w:t>
                              </w:r>
                              <w:r>
                                <w:rPr>
                                  <w:color w:val="105C84"/>
                                  <w:spacing w:val="-2"/>
                                  <w:sz w:val="22"/>
                                </w:rPr>
                                <w:t>Coalition</w:t>
                              </w:r>
                            </w:p>
                            <w:p>
                              <w:pPr>
                                <w:spacing w:line="408" w:lineRule="auto" w:before="131"/>
                                <w:ind w:left="1" w:right="1550" w:hanging="1"/>
                                <w:jc w:val="left"/>
                                <w:rPr>
                                  <w:sz w:val="22"/>
                                </w:rPr>
                              </w:pPr>
                              <w:r>
                                <w:rPr>
                                  <w:color w:val="105C84"/>
                                  <w:spacing w:val="-2"/>
                                  <w:sz w:val="22"/>
                                </w:rPr>
                                <w:t>LawNY </w:t>
                              </w:r>
                              <w:r>
                                <w:rPr>
                                  <w:color w:val="105C84"/>
                                  <w:sz w:val="22"/>
                                </w:rPr>
                                <w:t>Ontario</w:t>
                              </w:r>
                              <w:r>
                                <w:rPr>
                                  <w:color w:val="105C84"/>
                                  <w:spacing w:val="-16"/>
                                  <w:sz w:val="22"/>
                                </w:rPr>
                                <w:t> </w:t>
                              </w:r>
                              <w:r>
                                <w:rPr>
                                  <w:color w:val="105C84"/>
                                  <w:sz w:val="22"/>
                                </w:rPr>
                                <w:t>ARC</w:t>
                              </w:r>
                            </w:p>
                            <w:p>
                              <w:pPr>
                                <w:spacing w:line="214" w:lineRule="exact" w:before="0"/>
                                <w:ind w:left="1" w:right="0" w:firstLine="0"/>
                                <w:jc w:val="left"/>
                                <w:rPr>
                                  <w:sz w:val="22"/>
                                </w:rPr>
                              </w:pPr>
                              <w:r>
                                <w:rPr>
                                  <w:color w:val="105C84"/>
                                  <w:sz w:val="22"/>
                                </w:rPr>
                                <w:t>URMC</w:t>
                              </w:r>
                              <w:r>
                                <w:rPr>
                                  <w:color w:val="105C84"/>
                                  <w:spacing w:val="1"/>
                                  <w:sz w:val="22"/>
                                </w:rPr>
                                <w:t> </w:t>
                              </w:r>
                              <w:r>
                                <w:rPr>
                                  <w:color w:val="105C84"/>
                                  <w:sz w:val="22"/>
                                </w:rPr>
                                <w:t>Center</w:t>
                              </w:r>
                              <w:r>
                                <w:rPr>
                                  <w:color w:val="105C84"/>
                                  <w:spacing w:val="1"/>
                                  <w:sz w:val="22"/>
                                </w:rPr>
                                <w:t> </w:t>
                              </w:r>
                              <w:r>
                                <w:rPr>
                                  <w:color w:val="105C84"/>
                                  <w:sz w:val="22"/>
                                </w:rPr>
                                <w:t>for</w:t>
                              </w:r>
                              <w:r>
                                <w:rPr>
                                  <w:color w:val="105C84"/>
                                  <w:spacing w:val="1"/>
                                  <w:sz w:val="22"/>
                                </w:rPr>
                                <w:t> </w:t>
                              </w:r>
                              <w:r>
                                <w:rPr>
                                  <w:color w:val="105C84"/>
                                  <w:spacing w:val="-2"/>
                                  <w:sz w:val="22"/>
                                </w:rPr>
                                <w:t>Community</w:t>
                              </w:r>
                            </w:p>
                            <w:p>
                              <w:pPr>
                                <w:spacing w:line="372" w:lineRule="auto" w:before="7"/>
                                <w:ind w:left="1" w:right="0" w:hanging="1"/>
                                <w:jc w:val="left"/>
                                <w:rPr>
                                  <w:sz w:val="22"/>
                                </w:rPr>
                              </w:pPr>
                              <w:r>
                                <w:rPr>
                                  <w:color w:val="105C84"/>
                                  <w:sz w:val="22"/>
                                </w:rPr>
                                <w:t>Health and Prevention Rochester</w:t>
                              </w:r>
                              <w:r>
                                <w:rPr>
                                  <w:color w:val="105C84"/>
                                  <w:spacing w:val="-10"/>
                                  <w:sz w:val="22"/>
                                </w:rPr>
                                <w:t> </w:t>
                              </w:r>
                              <w:r>
                                <w:rPr>
                                  <w:color w:val="105C84"/>
                                  <w:sz w:val="22"/>
                                </w:rPr>
                                <w:t>Regional</w:t>
                              </w:r>
                              <w:r>
                                <w:rPr>
                                  <w:color w:val="105C84"/>
                                  <w:spacing w:val="-10"/>
                                  <w:sz w:val="22"/>
                                </w:rPr>
                                <w:t> </w:t>
                              </w:r>
                              <w:r>
                                <w:rPr>
                                  <w:color w:val="105C84"/>
                                  <w:sz w:val="22"/>
                                </w:rPr>
                                <w:t>Health</w:t>
                              </w:r>
                            </w:p>
                            <w:p>
                              <w:pPr>
                                <w:spacing w:line="247" w:lineRule="auto" w:before="0"/>
                                <w:ind w:left="2" w:right="0" w:firstLine="0"/>
                                <w:jc w:val="left"/>
                                <w:rPr>
                                  <w:sz w:val="22"/>
                                </w:rPr>
                              </w:pPr>
                              <w:r>
                                <w:rPr>
                                  <w:color w:val="105C84"/>
                                  <w:sz w:val="22"/>
                                </w:rPr>
                                <w:t>Finger</w:t>
                              </w:r>
                              <w:r>
                                <w:rPr>
                                  <w:color w:val="105C84"/>
                                  <w:spacing w:val="-16"/>
                                  <w:sz w:val="22"/>
                                </w:rPr>
                                <w:t> </w:t>
                              </w:r>
                              <w:r>
                                <w:rPr>
                                  <w:color w:val="105C84"/>
                                  <w:sz w:val="22"/>
                                </w:rPr>
                                <w:t>Lakes</w:t>
                              </w:r>
                              <w:r>
                                <w:rPr>
                                  <w:color w:val="105C84"/>
                                  <w:spacing w:val="-15"/>
                                  <w:sz w:val="22"/>
                                </w:rPr>
                                <w:t> </w:t>
                              </w:r>
                              <w:r>
                                <w:rPr>
                                  <w:color w:val="105C84"/>
                                  <w:sz w:val="22"/>
                                </w:rPr>
                                <w:t>Prevention Resource Center</w:t>
                              </w:r>
                            </w:p>
                          </w:txbxContent>
                        </wps:txbx>
                        <wps:bodyPr wrap="square" lIns="0" tIns="0" rIns="0" bIns="0" rtlCol="0">
                          <a:noAutofit/>
                        </wps:bodyPr>
                      </wps:wsp>
                      <wps:wsp>
                        <wps:cNvPr id="888" name="Textbox 888"/>
                        <wps:cNvSpPr txBox="1"/>
                        <wps:spPr>
                          <a:xfrm>
                            <a:off x="2246934" y="4096001"/>
                            <a:ext cx="1391920" cy="191135"/>
                          </a:xfrm>
                          <a:prstGeom prst="rect">
                            <a:avLst/>
                          </a:prstGeom>
                        </wps:spPr>
                        <wps:txbx>
                          <w:txbxContent>
                            <w:p>
                              <w:pPr>
                                <w:spacing w:before="13"/>
                                <w:ind w:left="0" w:right="0" w:firstLine="0"/>
                                <w:jc w:val="left"/>
                                <w:rPr>
                                  <w:sz w:val="22"/>
                                </w:rPr>
                              </w:pPr>
                              <w:r>
                                <w:rPr>
                                  <w:color w:val="105C84"/>
                                  <w:sz w:val="22"/>
                                </w:rPr>
                                <w:t>Clifton</w:t>
                              </w:r>
                              <w:r>
                                <w:rPr>
                                  <w:color w:val="105C84"/>
                                  <w:spacing w:val="15"/>
                                  <w:sz w:val="22"/>
                                </w:rPr>
                                <w:t> </w:t>
                              </w:r>
                              <w:r>
                                <w:rPr>
                                  <w:color w:val="105C84"/>
                                  <w:sz w:val="22"/>
                                </w:rPr>
                                <w:t>Springs</w:t>
                              </w:r>
                              <w:r>
                                <w:rPr>
                                  <w:color w:val="105C84"/>
                                  <w:spacing w:val="16"/>
                                  <w:sz w:val="22"/>
                                </w:rPr>
                                <w:t> </w:t>
                              </w:r>
                              <w:r>
                                <w:rPr>
                                  <w:color w:val="105C84"/>
                                  <w:spacing w:val="-4"/>
                                  <w:sz w:val="22"/>
                                </w:rPr>
                                <w:t>YMCA</w:t>
                              </w:r>
                            </w:p>
                          </w:txbxContent>
                        </wps:txbx>
                        <wps:bodyPr wrap="square" lIns="0" tIns="0" rIns="0" bIns="0" rtlCol="0">
                          <a:noAutofit/>
                        </wps:bodyPr>
                      </wps:wsp>
                      <wps:wsp>
                        <wps:cNvPr id="889" name="Textbox 889"/>
                        <wps:cNvSpPr txBox="1"/>
                        <wps:spPr>
                          <a:xfrm>
                            <a:off x="4350118" y="4096001"/>
                            <a:ext cx="1132840" cy="191135"/>
                          </a:xfrm>
                          <a:prstGeom prst="rect">
                            <a:avLst/>
                          </a:prstGeom>
                        </wps:spPr>
                        <wps:txbx>
                          <w:txbxContent>
                            <w:p>
                              <w:pPr>
                                <w:spacing w:before="13"/>
                                <w:ind w:left="0" w:right="0" w:firstLine="0"/>
                                <w:jc w:val="left"/>
                                <w:rPr>
                                  <w:sz w:val="22"/>
                                </w:rPr>
                              </w:pPr>
                              <w:r>
                                <w:rPr>
                                  <w:color w:val="105C84"/>
                                  <w:sz w:val="22"/>
                                </w:rPr>
                                <w:t>Catholic</w:t>
                              </w:r>
                              <w:r>
                                <w:rPr>
                                  <w:color w:val="105C84"/>
                                  <w:spacing w:val="20"/>
                                  <w:sz w:val="22"/>
                                </w:rPr>
                                <w:t> </w:t>
                              </w:r>
                              <w:r>
                                <w:rPr>
                                  <w:color w:val="105C84"/>
                                  <w:spacing w:val="-2"/>
                                  <w:sz w:val="22"/>
                                </w:rPr>
                                <w:t>Charities</w:t>
                              </w:r>
                            </w:p>
                          </w:txbxContent>
                        </wps:txbx>
                        <wps:bodyPr wrap="square" lIns="0" tIns="0" rIns="0" bIns="0" rtlCol="0">
                          <a:noAutofit/>
                        </wps:bodyPr>
                      </wps:wsp>
                      <wps:wsp>
                        <wps:cNvPr id="890" name="Textbox 890"/>
                        <wps:cNvSpPr txBox="1"/>
                        <wps:spPr>
                          <a:xfrm>
                            <a:off x="3175" y="3175"/>
                            <a:ext cx="6275705" cy="316865"/>
                          </a:xfrm>
                          <a:prstGeom prst="rect">
                            <a:avLst/>
                          </a:prstGeom>
                        </wps:spPr>
                        <wps:txbx>
                          <w:txbxContent>
                            <w:p>
                              <w:pPr>
                                <w:spacing w:before="160"/>
                                <w:ind w:left="2" w:right="0" w:firstLine="0"/>
                                <w:jc w:val="center"/>
                                <w:rPr>
                                  <w:b/>
                                  <w:sz w:val="20"/>
                                </w:rPr>
                              </w:pPr>
                              <w:r>
                                <w:rPr>
                                  <w:b/>
                                  <w:color w:val="FFFFFF"/>
                                  <w:sz w:val="20"/>
                                </w:rPr>
                                <w:t>ONTARIO</w:t>
                              </w:r>
                              <w:r>
                                <w:rPr>
                                  <w:b/>
                                  <w:color w:val="FFFFFF"/>
                                  <w:spacing w:val="20"/>
                                  <w:sz w:val="20"/>
                                </w:rPr>
                                <w:t> </w:t>
                              </w:r>
                              <w:r>
                                <w:rPr>
                                  <w:b/>
                                  <w:color w:val="FFFFFF"/>
                                  <w:sz w:val="20"/>
                                </w:rPr>
                                <w:t>COUNTY</w:t>
                              </w:r>
                              <w:r>
                                <w:rPr>
                                  <w:b/>
                                  <w:color w:val="FFFFFF"/>
                                  <w:spacing w:val="21"/>
                                  <w:sz w:val="20"/>
                                </w:rPr>
                                <w:t> </w:t>
                              </w:r>
                              <w:r>
                                <w:rPr>
                                  <w:b/>
                                  <w:color w:val="FFFFFF"/>
                                  <w:sz w:val="20"/>
                                </w:rPr>
                                <w:t>PRIORITIZATION</w:t>
                              </w:r>
                              <w:r>
                                <w:rPr>
                                  <w:b/>
                                  <w:color w:val="FFFFFF"/>
                                  <w:spacing w:val="20"/>
                                  <w:sz w:val="20"/>
                                </w:rPr>
                                <w:t> </w:t>
                              </w:r>
                              <w:r>
                                <w:rPr>
                                  <w:b/>
                                  <w:color w:val="FFFFFF"/>
                                  <w:spacing w:val="-2"/>
                                  <w:sz w:val="20"/>
                                </w:rPr>
                                <w:t>AGENCIES</w:t>
                              </w:r>
                            </w:p>
                          </w:txbxContent>
                        </wps:txbx>
                        <wps:bodyPr wrap="square" lIns="0" tIns="0" rIns="0" bIns="0" rtlCol="0">
                          <a:noAutofit/>
                        </wps:bodyPr>
                      </wps:wsp>
                    </wpg:wgp>
                  </a:graphicData>
                </a:graphic>
              </wp:anchor>
            </w:drawing>
          </mc:Choice>
          <mc:Fallback>
            <w:pict>
              <v:group style="position:absolute;margin-left:53.279999pt;margin-top:23.211254pt;width:494.65pt;height:351.15pt;mso-position-horizontal-relative:page;mso-position-vertical-relative:paragraph;z-index:15819264" id="docshapegroup718" coordorigin="1066,464" coordsize="9893,7023">
                <v:rect style="position:absolute;left:1068;top:466;width:9888;height:502" id="docshape719" filled="true" fillcolor="#939598" stroked="false">
                  <v:fill type="solid"/>
                </v:rect>
                <v:line style="position:absolute" from="4522,1397" to="7488,1397" stroked="true" strokeweight=".25pt" strokecolor="#636466">
                  <v:stroke dashstyle="solid"/>
                </v:line>
                <v:line style="position:absolute" from="4522,2011" to="7488,2011" stroked="true" strokeweight=".25pt" strokecolor="#636466">
                  <v:stroke dashstyle="solid"/>
                </v:line>
                <v:line style="position:absolute" from="4522,2624" to="7488,2624" stroked="true" strokeweight=".25pt" strokecolor="#636466">
                  <v:stroke dashstyle="solid"/>
                </v:line>
                <v:line style="position:absolute" from="4522,3053" to="7488,3053" stroked="true" strokeweight=".25pt" strokecolor="#636466">
                  <v:stroke dashstyle="solid"/>
                </v:line>
                <v:line style="position:absolute" from="4522,4526" to="7488,4526" stroked="true" strokeweight=".25pt" strokecolor="#636466">
                  <v:stroke dashstyle="solid"/>
                </v:line>
                <v:line style="position:absolute" from="4522,4955" to="7488,4955" stroked="true" strokeweight=".25pt" strokecolor="#636466">
                  <v:stroke dashstyle="solid"/>
                </v:line>
                <v:line style="position:absolute" from="4522,5568" to="7488,5568" stroked="true" strokeweight=".25pt" strokecolor="#636466">
                  <v:stroke dashstyle="solid"/>
                </v:line>
                <v:line style="position:absolute" from="4522,5998" to="7488,5998" stroked="true" strokeweight=".25pt" strokecolor="#636466">
                  <v:stroke dashstyle="solid"/>
                </v:line>
                <v:line style="position:absolute" from="4522,6611" to="7488,6611" stroked="true" strokeweight=".25pt" strokecolor="#636466">
                  <v:stroke dashstyle="solid"/>
                </v:line>
                <v:line style="position:absolute" from="4522,7484" to="7488,7484" stroked="true" strokeweight=".25pt" strokecolor="#636466">
                  <v:stroke dashstyle="solid"/>
                </v:line>
                <v:line style="position:absolute" from="1068,3483" to="4147,3483" stroked="true" strokeweight=".25pt" strokecolor="#636466">
                  <v:stroke dashstyle="solid"/>
                </v:line>
                <v:line style="position:absolute" from="4522,3483" to="7488,3483" stroked="true" strokeweight=".25pt" strokecolor="#636466">
                  <v:stroke dashstyle="solid"/>
                </v:line>
                <v:line style="position:absolute" from="7834,3483" to="10956,3483" stroked="true" strokeweight=".25pt" strokecolor="#636466">
                  <v:stroke dashstyle="solid"/>
                </v:line>
                <v:line style="position:absolute" from="1068,4096" to="4147,4096" stroked="true" strokeweight=".25pt" strokecolor="#636466">
                  <v:stroke dashstyle="solid"/>
                </v:line>
                <v:line style="position:absolute" from="4522,4096" to="7488,4096" stroked="true" strokeweight=".25pt" strokecolor="#636466">
                  <v:stroke dashstyle="solid"/>
                </v:line>
                <v:line style="position:absolute" from="7834,4096" to="10956,4096" stroked="true" strokeweight=".25pt" strokecolor="#636466">
                  <v:stroke dashstyle="solid"/>
                </v:line>
                <v:line style="position:absolute" from="1066,467" to="4147,467" stroked="true" strokeweight=".25pt" strokecolor="#636466">
                  <v:stroke dashstyle="solid"/>
                </v:line>
                <v:line style="position:absolute" from="1068,968" to="1068,469" stroked="true" strokeweight=".25pt" strokecolor="#636466">
                  <v:stroke dashstyle="solid"/>
                </v:line>
                <v:line style="position:absolute" from="4147,467" to="4522,467" stroked="true" strokeweight=".25pt" strokecolor="#636466">
                  <v:stroke dashstyle="solid"/>
                </v:line>
                <v:line style="position:absolute" from="4522,467" to="7488,467" stroked="true" strokeweight=".25pt" strokecolor="#636466">
                  <v:stroke dashstyle="solid"/>
                </v:line>
                <v:line style="position:absolute" from="7488,467" to="7834,467" stroked="true" strokeweight=".25pt" strokecolor="#636466">
                  <v:stroke dashstyle="solid"/>
                </v:line>
                <v:line style="position:absolute" from="7834,467" to="10958,467" stroked="true" strokeweight=".25pt" strokecolor="#636466">
                  <v:stroke dashstyle="solid"/>
                </v:line>
                <v:line style="position:absolute" from="10956,968" to="10956,469" stroked="true" strokeweight=".25pt" strokecolor="#636466">
                  <v:stroke dashstyle="solid"/>
                </v:line>
                <v:line style="position:absolute" from="1068,1397" to="4147,1397" stroked="true" strokeweight=".25pt" strokecolor="#636466">
                  <v:stroke dashstyle="solid"/>
                </v:line>
                <v:line style="position:absolute" from="7834,1397" to="10956,1397" stroked="true" strokeweight=".25pt" strokecolor="#636466">
                  <v:stroke dashstyle="solid"/>
                </v:line>
                <v:line style="position:absolute" from="1068,2011" to="4147,2011" stroked="true" strokeweight=".25pt" strokecolor="#636466">
                  <v:stroke dashstyle="solid"/>
                </v:line>
                <v:line style="position:absolute" from="7834,2011" to="10956,2011" stroked="true" strokeweight=".25pt" strokecolor="#636466">
                  <v:stroke dashstyle="solid"/>
                </v:line>
                <v:line style="position:absolute" from="1068,2624" to="4147,2624" stroked="true" strokeweight=".25pt" strokecolor="#636466">
                  <v:stroke dashstyle="solid"/>
                </v:line>
                <v:line style="position:absolute" from="7834,2624" to="10956,2624" stroked="true" strokeweight=".25pt" strokecolor="#636466">
                  <v:stroke dashstyle="solid"/>
                </v:line>
                <v:line style="position:absolute" from="1068,3053" to="4147,3053" stroked="true" strokeweight=".25pt" strokecolor="#636466">
                  <v:stroke dashstyle="solid"/>
                </v:line>
                <v:line style="position:absolute" from="7834,3053" to="10956,3053" stroked="true" strokeweight=".25pt" strokecolor="#636466">
                  <v:stroke dashstyle="solid"/>
                </v:line>
                <v:line style="position:absolute" from="1068,4526" to="4147,4526" stroked="true" strokeweight=".25pt" strokecolor="#636466">
                  <v:stroke dashstyle="solid"/>
                </v:line>
                <v:line style="position:absolute" from="7834,4526" to="10956,4526" stroked="true" strokeweight=".25pt" strokecolor="#636466">
                  <v:stroke dashstyle="solid"/>
                </v:line>
                <v:line style="position:absolute" from="1068,4955" to="4147,4955" stroked="true" strokeweight=".25pt" strokecolor="#636466">
                  <v:stroke dashstyle="solid"/>
                </v:line>
                <v:line style="position:absolute" from="7834,4955" to="10956,4955" stroked="true" strokeweight=".25pt" strokecolor="#636466">
                  <v:stroke dashstyle="solid"/>
                </v:line>
                <v:line style="position:absolute" from="1068,5568" to="4147,5568" stroked="true" strokeweight=".25pt" strokecolor="#636466">
                  <v:stroke dashstyle="solid"/>
                </v:line>
                <v:line style="position:absolute" from="7834,5568" to="10956,5568" stroked="true" strokeweight=".25pt" strokecolor="#636466">
                  <v:stroke dashstyle="solid"/>
                </v:line>
                <v:line style="position:absolute" from="1068,5998" to="4147,5998" stroked="true" strokeweight=".25pt" strokecolor="#636466">
                  <v:stroke dashstyle="solid"/>
                </v:line>
                <v:line style="position:absolute" from="7834,5998" to="10956,5998" stroked="true" strokeweight=".25pt" strokecolor="#636466">
                  <v:stroke dashstyle="solid"/>
                </v:line>
                <v:line style="position:absolute" from="1068,6611" to="4147,6611" stroked="true" strokeweight=".25pt" strokecolor="#636466">
                  <v:stroke dashstyle="solid"/>
                </v:line>
                <v:line style="position:absolute" from="7834,6611" to="10956,6611" stroked="true" strokeweight=".25pt" strokecolor="#636466">
                  <v:stroke dashstyle="solid"/>
                </v:line>
                <v:line style="position:absolute" from="1068,7484" to="4147,7484" stroked="true" strokeweight=".25pt" strokecolor="#636466">
                  <v:stroke dashstyle="solid"/>
                </v:line>
                <v:line style="position:absolute" from="7834,7484" to="10956,7484" stroked="true" strokeweight=".25pt" strokecolor="#636466">
                  <v:stroke dashstyle="solid"/>
                </v:line>
                <v:shape style="position:absolute;left:1148;top:1049;width:2940;height:6426" type="#_x0000_t202" id="docshape720" filled="false" stroked="false">
                  <v:textbox inset="0,0,0,0">
                    <w:txbxContent>
                      <w:p>
                        <w:pPr>
                          <w:spacing w:before="13"/>
                          <w:ind w:left="0" w:right="0" w:firstLine="0"/>
                          <w:jc w:val="left"/>
                          <w:rPr>
                            <w:sz w:val="22"/>
                          </w:rPr>
                        </w:pPr>
                        <w:r>
                          <w:rPr>
                            <w:color w:val="105C84"/>
                            <w:sz w:val="22"/>
                          </w:rPr>
                          <w:t>Ontario</w:t>
                        </w:r>
                        <w:r>
                          <w:rPr>
                            <w:color w:val="105C84"/>
                            <w:spacing w:val="14"/>
                            <w:sz w:val="22"/>
                          </w:rPr>
                          <w:t> </w:t>
                        </w:r>
                        <w:r>
                          <w:rPr>
                            <w:color w:val="105C84"/>
                            <w:sz w:val="22"/>
                          </w:rPr>
                          <w:t>County</w:t>
                        </w:r>
                        <w:r>
                          <w:rPr>
                            <w:color w:val="105C84"/>
                            <w:spacing w:val="15"/>
                            <w:sz w:val="22"/>
                          </w:rPr>
                          <w:t> </w:t>
                        </w:r>
                        <w:r>
                          <w:rPr>
                            <w:color w:val="105C84"/>
                            <w:sz w:val="22"/>
                          </w:rPr>
                          <w:t>Public</w:t>
                        </w:r>
                        <w:r>
                          <w:rPr>
                            <w:color w:val="105C84"/>
                            <w:spacing w:val="15"/>
                            <w:sz w:val="22"/>
                          </w:rPr>
                          <w:t> </w:t>
                        </w:r>
                        <w:r>
                          <w:rPr>
                            <w:color w:val="105C84"/>
                            <w:spacing w:val="-2"/>
                            <w:sz w:val="22"/>
                          </w:rPr>
                          <w:t>Health</w:t>
                        </w:r>
                      </w:p>
                      <w:p>
                        <w:pPr>
                          <w:spacing w:line="247" w:lineRule="auto" w:before="139"/>
                          <w:ind w:left="0" w:right="514" w:firstLine="0"/>
                          <w:jc w:val="left"/>
                          <w:rPr>
                            <w:sz w:val="22"/>
                          </w:rPr>
                        </w:pPr>
                        <w:r>
                          <w:rPr>
                            <w:color w:val="105C84"/>
                            <w:sz w:val="22"/>
                          </w:rPr>
                          <w:t>Ontario </w:t>
                        </w:r>
                        <w:r>
                          <w:rPr>
                            <w:color w:val="105C84"/>
                            <w:sz w:val="22"/>
                          </w:rPr>
                          <w:t>County </w:t>
                        </w:r>
                        <w:r>
                          <w:rPr>
                            <w:color w:val="105C84"/>
                            <w:spacing w:val="-2"/>
                            <w:sz w:val="22"/>
                          </w:rPr>
                          <w:t>Administration</w:t>
                        </w:r>
                      </w:p>
                      <w:p>
                        <w:pPr>
                          <w:spacing w:line="247" w:lineRule="auto" w:before="92"/>
                          <w:ind w:left="0" w:right="0" w:firstLine="0"/>
                          <w:jc w:val="left"/>
                          <w:rPr>
                            <w:sz w:val="22"/>
                          </w:rPr>
                        </w:pPr>
                        <w:r>
                          <w:rPr>
                            <w:color w:val="105C84"/>
                            <w:sz w:val="22"/>
                          </w:rPr>
                          <w:t>Health</w:t>
                        </w:r>
                        <w:r>
                          <w:rPr>
                            <w:color w:val="105C84"/>
                            <w:spacing w:val="-12"/>
                            <w:sz w:val="22"/>
                          </w:rPr>
                          <w:t> </w:t>
                        </w:r>
                        <w:r>
                          <w:rPr>
                            <w:color w:val="105C84"/>
                            <w:sz w:val="22"/>
                          </w:rPr>
                          <w:t>&amp;</w:t>
                        </w:r>
                        <w:r>
                          <w:rPr>
                            <w:color w:val="105C84"/>
                            <w:spacing w:val="-12"/>
                            <w:sz w:val="22"/>
                          </w:rPr>
                          <w:t> </w:t>
                        </w:r>
                        <w:r>
                          <w:rPr>
                            <w:color w:val="105C84"/>
                            <w:sz w:val="22"/>
                          </w:rPr>
                          <w:t>Human</w:t>
                        </w:r>
                        <w:r>
                          <w:rPr>
                            <w:color w:val="105C84"/>
                            <w:spacing w:val="-12"/>
                            <w:sz w:val="22"/>
                          </w:rPr>
                          <w:t> </w:t>
                        </w:r>
                        <w:r>
                          <w:rPr>
                            <w:color w:val="105C84"/>
                            <w:sz w:val="22"/>
                          </w:rPr>
                          <w:t>Services Ontario County</w:t>
                        </w:r>
                      </w:p>
                      <w:p>
                        <w:pPr>
                          <w:spacing w:line="408" w:lineRule="auto" w:before="130"/>
                          <w:ind w:left="0" w:right="514" w:hanging="1"/>
                          <w:jc w:val="left"/>
                          <w:rPr>
                            <w:sz w:val="22"/>
                          </w:rPr>
                        </w:pPr>
                        <w:r>
                          <w:rPr>
                            <w:color w:val="105C84"/>
                            <w:sz w:val="22"/>
                          </w:rPr>
                          <w:t>City of </w:t>
                        </w:r>
                        <w:r>
                          <w:rPr>
                            <w:color w:val="105C84"/>
                            <w:sz w:val="22"/>
                          </w:rPr>
                          <w:t>Canandaigua Stop DWI</w:t>
                        </w:r>
                      </w:p>
                      <w:p>
                        <w:pPr>
                          <w:spacing w:line="214" w:lineRule="exact" w:before="0"/>
                          <w:ind w:left="1" w:right="0" w:firstLine="0"/>
                          <w:jc w:val="left"/>
                          <w:rPr>
                            <w:sz w:val="22"/>
                          </w:rPr>
                        </w:pPr>
                        <w:r>
                          <w:rPr>
                            <w:color w:val="105C84"/>
                            <w:sz w:val="22"/>
                          </w:rPr>
                          <w:t>Tobacco</w:t>
                        </w:r>
                        <w:r>
                          <w:rPr>
                            <w:color w:val="105C84"/>
                            <w:spacing w:val="8"/>
                            <w:sz w:val="22"/>
                          </w:rPr>
                          <w:t> </w:t>
                        </w:r>
                        <w:r>
                          <w:rPr>
                            <w:color w:val="105C84"/>
                            <w:sz w:val="22"/>
                          </w:rPr>
                          <w:t>Action</w:t>
                        </w:r>
                        <w:r>
                          <w:rPr>
                            <w:color w:val="105C84"/>
                            <w:spacing w:val="8"/>
                            <w:sz w:val="22"/>
                          </w:rPr>
                          <w:t> </w:t>
                        </w:r>
                        <w:r>
                          <w:rPr>
                            <w:color w:val="105C84"/>
                            <w:spacing w:val="-2"/>
                            <w:sz w:val="22"/>
                          </w:rPr>
                          <w:t>Coalition</w:t>
                        </w:r>
                      </w:p>
                      <w:p>
                        <w:pPr>
                          <w:spacing w:before="7"/>
                          <w:ind w:left="1" w:right="0" w:firstLine="0"/>
                          <w:jc w:val="left"/>
                          <w:rPr>
                            <w:sz w:val="22"/>
                          </w:rPr>
                        </w:pPr>
                        <w:r>
                          <w:rPr>
                            <w:color w:val="105C84"/>
                            <w:sz w:val="22"/>
                          </w:rPr>
                          <w:t>of</w:t>
                        </w:r>
                        <w:r>
                          <w:rPr>
                            <w:color w:val="105C84"/>
                            <w:spacing w:val="12"/>
                            <w:sz w:val="22"/>
                          </w:rPr>
                          <w:t> </w:t>
                        </w:r>
                        <w:r>
                          <w:rPr>
                            <w:color w:val="105C84"/>
                            <w:sz w:val="22"/>
                          </w:rPr>
                          <w:t>the</w:t>
                        </w:r>
                        <w:r>
                          <w:rPr>
                            <w:color w:val="105C84"/>
                            <w:spacing w:val="12"/>
                            <w:sz w:val="22"/>
                          </w:rPr>
                          <w:t> </w:t>
                        </w:r>
                        <w:r>
                          <w:rPr>
                            <w:color w:val="105C84"/>
                            <w:sz w:val="22"/>
                          </w:rPr>
                          <w:t>Finger</w:t>
                        </w:r>
                        <w:r>
                          <w:rPr>
                            <w:color w:val="105C84"/>
                            <w:spacing w:val="12"/>
                            <w:sz w:val="22"/>
                          </w:rPr>
                          <w:t> </w:t>
                        </w:r>
                        <w:r>
                          <w:rPr>
                            <w:color w:val="105C84"/>
                            <w:spacing w:val="-2"/>
                            <w:sz w:val="22"/>
                          </w:rPr>
                          <w:t>Lakes</w:t>
                        </w:r>
                      </w:p>
                      <w:p>
                        <w:pPr>
                          <w:spacing w:line="408" w:lineRule="auto" w:before="138"/>
                          <w:ind w:left="1" w:right="0" w:hanging="1"/>
                          <w:jc w:val="left"/>
                          <w:rPr>
                            <w:sz w:val="22"/>
                          </w:rPr>
                        </w:pPr>
                        <w:r>
                          <w:rPr>
                            <w:color w:val="105C84"/>
                            <w:sz w:val="22"/>
                          </w:rPr>
                          <w:t>Private</w:t>
                        </w:r>
                        <w:r>
                          <w:rPr>
                            <w:color w:val="105C84"/>
                            <w:spacing w:val="-5"/>
                            <w:sz w:val="22"/>
                          </w:rPr>
                          <w:t> </w:t>
                        </w:r>
                        <w:r>
                          <w:rPr>
                            <w:color w:val="105C84"/>
                            <w:sz w:val="22"/>
                          </w:rPr>
                          <w:t>medical</w:t>
                        </w:r>
                        <w:r>
                          <w:rPr>
                            <w:color w:val="105C84"/>
                            <w:spacing w:val="-5"/>
                            <w:sz w:val="22"/>
                          </w:rPr>
                          <w:t> </w:t>
                        </w:r>
                        <w:r>
                          <w:rPr>
                            <w:color w:val="105C84"/>
                            <w:sz w:val="22"/>
                          </w:rPr>
                          <w:t>professionals Office for Aging</w:t>
                        </w:r>
                      </w:p>
                      <w:p>
                        <w:pPr>
                          <w:spacing w:line="494" w:lineRule="auto" w:before="91"/>
                          <w:ind w:left="1" w:right="1064" w:hanging="1"/>
                          <w:jc w:val="left"/>
                          <w:rPr>
                            <w:sz w:val="22"/>
                          </w:rPr>
                        </w:pPr>
                        <w:r>
                          <w:rPr>
                            <w:color w:val="105C84"/>
                            <w:sz w:val="22"/>
                          </w:rPr>
                          <w:t>United Way Pioneer</w:t>
                        </w:r>
                        <w:r>
                          <w:rPr>
                            <w:color w:val="105C84"/>
                            <w:spacing w:val="-16"/>
                            <w:sz w:val="22"/>
                          </w:rPr>
                          <w:t> </w:t>
                        </w:r>
                        <w:r>
                          <w:rPr>
                            <w:color w:val="105C84"/>
                            <w:sz w:val="22"/>
                          </w:rPr>
                          <w:t>Library</w:t>
                        </w:r>
                      </w:p>
                      <w:p>
                        <w:pPr>
                          <w:spacing w:before="1"/>
                          <w:ind w:left="2" w:right="0" w:firstLine="0"/>
                          <w:jc w:val="left"/>
                          <w:rPr>
                            <w:sz w:val="22"/>
                          </w:rPr>
                        </w:pPr>
                        <w:r>
                          <w:rPr>
                            <w:color w:val="105C84"/>
                            <w:sz w:val="22"/>
                          </w:rPr>
                          <w:t>Community</w:t>
                        </w:r>
                        <w:r>
                          <w:rPr>
                            <w:color w:val="105C84"/>
                            <w:spacing w:val="27"/>
                            <w:sz w:val="22"/>
                          </w:rPr>
                          <w:t> </w:t>
                        </w:r>
                        <w:r>
                          <w:rPr>
                            <w:color w:val="105C84"/>
                            <w:spacing w:val="-2"/>
                            <w:sz w:val="22"/>
                          </w:rPr>
                          <w:t>member</w:t>
                        </w:r>
                      </w:p>
                      <w:p>
                        <w:pPr>
                          <w:spacing w:line="247" w:lineRule="auto" w:before="230"/>
                          <w:ind w:left="2" w:right="59" w:firstLine="0"/>
                          <w:jc w:val="left"/>
                          <w:rPr>
                            <w:sz w:val="22"/>
                          </w:rPr>
                        </w:pPr>
                        <w:r>
                          <w:rPr>
                            <w:color w:val="105C84"/>
                            <w:sz w:val="22"/>
                          </w:rPr>
                          <w:t>Finger Lakes Area Counseling</w:t>
                        </w:r>
                        <w:r>
                          <w:rPr>
                            <w:color w:val="105C84"/>
                            <w:spacing w:val="-12"/>
                            <w:sz w:val="22"/>
                          </w:rPr>
                          <w:t> </w:t>
                        </w:r>
                        <w:r>
                          <w:rPr>
                            <w:color w:val="105C84"/>
                            <w:sz w:val="22"/>
                          </w:rPr>
                          <w:t>and</w:t>
                        </w:r>
                        <w:r>
                          <w:rPr>
                            <w:color w:val="105C84"/>
                            <w:spacing w:val="-12"/>
                            <w:sz w:val="22"/>
                          </w:rPr>
                          <w:t> </w:t>
                        </w:r>
                        <w:r>
                          <w:rPr>
                            <w:color w:val="105C84"/>
                            <w:sz w:val="22"/>
                          </w:rPr>
                          <w:t>Recovery Agency (FLACRA)</w:t>
                        </w:r>
                      </w:p>
                    </w:txbxContent>
                  </v:textbox>
                  <w10:wrap type="none"/>
                </v:shape>
                <v:shape style="position:absolute;left:4601;top:1049;width:2713;height:5423" type="#_x0000_t202" id="docshape721" filled="false" stroked="false">
                  <v:textbox inset="0,0,0,0">
                    <w:txbxContent>
                      <w:p>
                        <w:pPr>
                          <w:spacing w:before="13"/>
                          <w:ind w:left="0" w:right="0" w:firstLine="0"/>
                          <w:jc w:val="left"/>
                          <w:rPr>
                            <w:sz w:val="22"/>
                          </w:rPr>
                        </w:pPr>
                        <w:r>
                          <w:rPr>
                            <w:color w:val="105C84"/>
                            <w:spacing w:val="-4"/>
                            <w:sz w:val="22"/>
                          </w:rPr>
                          <w:t>S2AY</w:t>
                        </w:r>
                        <w:r>
                          <w:rPr>
                            <w:color w:val="105C84"/>
                            <w:spacing w:val="-5"/>
                            <w:sz w:val="22"/>
                          </w:rPr>
                          <w:t> </w:t>
                        </w:r>
                        <w:r>
                          <w:rPr>
                            <w:color w:val="105C84"/>
                            <w:spacing w:val="-4"/>
                            <w:sz w:val="22"/>
                          </w:rPr>
                          <w:t>Rural</w:t>
                        </w:r>
                        <w:r>
                          <w:rPr>
                            <w:color w:val="105C84"/>
                            <w:spacing w:val="-5"/>
                            <w:sz w:val="22"/>
                          </w:rPr>
                          <w:t> </w:t>
                        </w:r>
                        <w:r>
                          <w:rPr>
                            <w:color w:val="105C84"/>
                            <w:spacing w:val="-4"/>
                            <w:sz w:val="22"/>
                          </w:rPr>
                          <w:t>Health Network</w:t>
                        </w:r>
                      </w:p>
                      <w:p>
                        <w:pPr>
                          <w:spacing w:line="247" w:lineRule="auto" w:before="139"/>
                          <w:ind w:left="0" w:right="0" w:firstLine="0"/>
                          <w:jc w:val="left"/>
                          <w:rPr>
                            <w:sz w:val="22"/>
                          </w:rPr>
                        </w:pPr>
                        <w:r>
                          <w:rPr>
                            <w:color w:val="105C84"/>
                            <w:sz w:val="22"/>
                          </w:rPr>
                          <w:t>UR </w:t>
                        </w:r>
                        <w:r>
                          <w:rPr>
                            <w:color w:val="105C84"/>
                            <w:sz w:val="22"/>
                          </w:rPr>
                          <w:t>Medicine/Thompson </w:t>
                        </w:r>
                        <w:r>
                          <w:rPr>
                            <w:color w:val="105C84"/>
                            <w:spacing w:val="-2"/>
                            <w:sz w:val="22"/>
                          </w:rPr>
                          <w:t>Health</w:t>
                        </w:r>
                      </w:p>
                      <w:p>
                        <w:pPr>
                          <w:spacing w:line="247" w:lineRule="auto" w:before="92"/>
                          <w:ind w:left="0" w:right="0" w:firstLine="0"/>
                          <w:jc w:val="left"/>
                          <w:rPr>
                            <w:sz w:val="22"/>
                          </w:rPr>
                        </w:pPr>
                        <w:r>
                          <w:rPr>
                            <w:color w:val="105C84"/>
                            <w:sz w:val="22"/>
                          </w:rPr>
                          <w:t>Ontario County </w:t>
                        </w:r>
                        <w:r>
                          <w:rPr>
                            <w:color w:val="105C84"/>
                            <w:sz w:val="22"/>
                          </w:rPr>
                          <w:t>Mental </w:t>
                        </w:r>
                        <w:r>
                          <w:rPr>
                            <w:color w:val="105C84"/>
                            <w:spacing w:val="-2"/>
                            <w:sz w:val="22"/>
                          </w:rPr>
                          <w:t>Health</w:t>
                        </w:r>
                      </w:p>
                      <w:p>
                        <w:pPr>
                          <w:spacing w:line="408" w:lineRule="auto" w:before="130"/>
                          <w:ind w:left="0" w:right="368" w:hanging="1"/>
                          <w:jc w:val="left"/>
                          <w:rPr>
                            <w:sz w:val="22"/>
                          </w:rPr>
                        </w:pPr>
                        <w:r>
                          <w:rPr>
                            <w:color w:val="105C84"/>
                            <w:sz w:val="22"/>
                          </w:rPr>
                          <w:t>Smola</w:t>
                        </w:r>
                        <w:r>
                          <w:rPr>
                            <w:color w:val="105C84"/>
                            <w:spacing w:val="-1"/>
                            <w:sz w:val="22"/>
                          </w:rPr>
                          <w:t> </w:t>
                        </w:r>
                        <w:r>
                          <w:rPr>
                            <w:color w:val="105C84"/>
                            <w:sz w:val="22"/>
                          </w:rPr>
                          <w:t>Consulting Cancer Services</w:t>
                        </w:r>
                      </w:p>
                      <w:p>
                        <w:pPr>
                          <w:spacing w:before="91"/>
                          <w:ind w:left="1" w:right="0" w:firstLine="0"/>
                          <w:jc w:val="left"/>
                          <w:rPr>
                            <w:sz w:val="22"/>
                          </w:rPr>
                        </w:pPr>
                        <w:r>
                          <w:rPr>
                            <w:color w:val="105C84"/>
                            <w:sz w:val="22"/>
                          </w:rPr>
                          <w:t>Fidelis</w:t>
                        </w:r>
                        <w:r>
                          <w:rPr>
                            <w:color w:val="105C84"/>
                            <w:spacing w:val="4"/>
                            <w:sz w:val="22"/>
                          </w:rPr>
                          <w:t> </w:t>
                        </w:r>
                        <w:r>
                          <w:rPr>
                            <w:color w:val="105C84"/>
                            <w:spacing w:val="-4"/>
                            <w:sz w:val="22"/>
                          </w:rPr>
                          <w:t>Care</w:t>
                        </w:r>
                      </w:p>
                      <w:p>
                        <w:pPr>
                          <w:spacing w:line="240" w:lineRule="auto" w:before="15"/>
                          <w:rPr>
                            <w:sz w:val="22"/>
                          </w:rPr>
                        </w:pPr>
                      </w:p>
                      <w:p>
                        <w:pPr>
                          <w:spacing w:line="408" w:lineRule="auto" w:before="0"/>
                          <w:ind w:left="1" w:right="368" w:hanging="1"/>
                          <w:jc w:val="left"/>
                          <w:rPr>
                            <w:sz w:val="22"/>
                          </w:rPr>
                        </w:pPr>
                        <w:r>
                          <w:rPr>
                            <w:color w:val="105C84"/>
                            <w:sz w:val="22"/>
                          </w:rPr>
                          <w:t>City of Geneva Chamber of </w:t>
                        </w:r>
                        <w:r>
                          <w:rPr>
                            <w:color w:val="105C84"/>
                            <w:sz w:val="22"/>
                          </w:rPr>
                          <w:t>Commerce</w:t>
                        </w:r>
                      </w:p>
                      <w:p>
                        <w:pPr>
                          <w:spacing w:before="91"/>
                          <w:ind w:left="1" w:right="0" w:firstLine="0"/>
                          <w:jc w:val="left"/>
                          <w:rPr>
                            <w:sz w:val="22"/>
                          </w:rPr>
                        </w:pPr>
                        <w:r>
                          <w:rPr>
                            <w:color w:val="105C84"/>
                            <w:sz w:val="22"/>
                          </w:rPr>
                          <w:t>Geneva</w:t>
                        </w:r>
                        <w:r>
                          <w:rPr>
                            <w:color w:val="105C84"/>
                            <w:spacing w:val="-14"/>
                            <w:sz w:val="22"/>
                          </w:rPr>
                          <w:t> </w:t>
                        </w:r>
                        <w:r>
                          <w:rPr>
                            <w:color w:val="105C84"/>
                            <w:spacing w:val="-5"/>
                            <w:sz w:val="22"/>
                          </w:rPr>
                          <w:t>CSD</w:t>
                        </w:r>
                      </w:p>
                      <w:p>
                        <w:pPr>
                          <w:spacing w:line="520" w:lineRule="atLeast" w:before="2"/>
                          <w:ind w:left="2" w:right="635" w:hanging="1"/>
                          <w:jc w:val="left"/>
                          <w:rPr>
                            <w:sz w:val="22"/>
                          </w:rPr>
                        </w:pPr>
                        <w:r>
                          <w:rPr>
                            <w:color w:val="105C84"/>
                            <w:sz w:val="22"/>
                          </w:rPr>
                          <w:t>New</w:t>
                        </w:r>
                        <w:r>
                          <w:rPr>
                            <w:color w:val="105C84"/>
                            <w:spacing w:val="-16"/>
                            <w:sz w:val="22"/>
                          </w:rPr>
                          <w:t> </w:t>
                        </w:r>
                        <w:r>
                          <w:rPr>
                            <w:color w:val="105C84"/>
                            <w:sz w:val="22"/>
                          </w:rPr>
                          <w:t>York</w:t>
                        </w:r>
                        <w:r>
                          <w:rPr>
                            <w:color w:val="105C84"/>
                            <w:spacing w:val="-15"/>
                            <w:sz w:val="22"/>
                          </w:rPr>
                          <w:t> </w:t>
                        </w:r>
                        <w:r>
                          <w:rPr>
                            <w:color w:val="105C84"/>
                            <w:sz w:val="22"/>
                          </w:rPr>
                          <w:t>Kitchen GW Lisk</w:t>
                        </w:r>
                      </w:p>
                    </w:txbxContent>
                  </v:textbox>
                  <w10:wrap type="none"/>
                </v:shape>
                <v:shape style="position:absolute;left:7913;top:1049;width:2951;height:5553" type="#_x0000_t202" id="docshape722" filled="false" stroked="false">
                  <v:textbox inset="0,0,0,0">
                    <w:txbxContent>
                      <w:p>
                        <w:pPr>
                          <w:spacing w:before="13"/>
                          <w:ind w:left="0" w:right="0" w:firstLine="0"/>
                          <w:jc w:val="left"/>
                          <w:rPr>
                            <w:sz w:val="22"/>
                          </w:rPr>
                        </w:pPr>
                        <w:r>
                          <w:rPr>
                            <w:color w:val="105C84"/>
                            <w:sz w:val="22"/>
                          </w:rPr>
                          <w:t>Common</w:t>
                        </w:r>
                        <w:r>
                          <w:rPr>
                            <w:color w:val="105C84"/>
                            <w:spacing w:val="26"/>
                            <w:sz w:val="22"/>
                          </w:rPr>
                          <w:t> </w:t>
                        </w:r>
                        <w:r>
                          <w:rPr>
                            <w:color w:val="105C84"/>
                            <w:sz w:val="22"/>
                          </w:rPr>
                          <w:t>Ground</w:t>
                        </w:r>
                        <w:r>
                          <w:rPr>
                            <w:color w:val="105C84"/>
                            <w:spacing w:val="27"/>
                            <w:sz w:val="22"/>
                          </w:rPr>
                          <w:t> </w:t>
                        </w:r>
                        <w:r>
                          <w:rPr>
                            <w:color w:val="105C84"/>
                            <w:spacing w:val="-2"/>
                            <w:sz w:val="22"/>
                          </w:rPr>
                          <w:t>Health</w:t>
                        </w:r>
                      </w:p>
                      <w:p>
                        <w:pPr>
                          <w:spacing w:line="247" w:lineRule="auto" w:before="139"/>
                          <w:ind w:left="0" w:right="0" w:firstLine="0"/>
                          <w:jc w:val="left"/>
                          <w:rPr>
                            <w:sz w:val="22"/>
                          </w:rPr>
                        </w:pPr>
                        <w:r>
                          <w:rPr>
                            <w:color w:val="105C84"/>
                            <w:sz w:val="22"/>
                          </w:rPr>
                          <w:t>Finger</w:t>
                        </w:r>
                        <w:r>
                          <w:rPr>
                            <w:color w:val="105C84"/>
                            <w:spacing w:val="-7"/>
                            <w:sz w:val="22"/>
                          </w:rPr>
                          <w:t> </w:t>
                        </w:r>
                        <w:r>
                          <w:rPr>
                            <w:color w:val="105C84"/>
                            <w:sz w:val="22"/>
                          </w:rPr>
                          <w:t>Lakes</w:t>
                        </w:r>
                        <w:r>
                          <w:rPr>
                            <w:color w:val="105C84"/>
                            <w:spacing w:val="-7"/>
                            <w:sz w:val="22"/>
                          </w:rPr>
                          <w:t> </w:t>
                        </w:r>
                        <w:r>
                          <w:rPr>
                            <w:color w:val="105C84"/>
                            <w:sz w:val="22"/>
                          </w:rPr>
                          <w:t>Community </w:t>
                        </w:r>
                        <w:r>
                          <w:rPr>
                            <w:color w:val="105C84"/>
                            <w:spacing w:val="-2"/>
                            <w:sz w:val="22"/>
                          </w:rPr>
                          <w:t>College</w:t>
                        </w:r>
                      </w:p>
                      <w:p>
                        <w:pPr>
                          <w:spacing w:line="522" w:lineRule="exact" w:before="11"/>
                          <w:ind w:left="0" w:right="218" w:hanging="1"/>
                          <w:jc w:val="left"/>
                          <w:rPr>
                            <w:sz w:val="22"/>
                          </w:rPr>
                        </w:pPr>
                        <w:r>
                          <w:rPr>
                            <w:color w:val="105C84"/>
                            <w:sz w:val="22"/>
                          </w:rPr>
                          <w:t>Finger</w:t>
                        </w:r>
                        <w:r>
                          <w:rPr>
                            <w:color w:val="105C84"/>
                            <w:spacing w:val="-16"/>
                            <w:sz w:val="22"/>
                          </w:rPr>
                          <w:t> </w:t>
                        </w:r>
                        <w:r>
                          <w:rPr>
                            <w:color w:val="105C84"/>
                            <w:sz w:val="22"/>
                          </w:rPr>
                          <w:t>Lakes</w:t>
                        </w:r>
                        <w:r>
                          <w:rPr>
                            <w:color w:val="105C84"/>
                            <w:spacing w:val="-15"/>
                            <w:sz w:val="22"/>
                          </w:rPr>
                          <w:t> </w:t>
                        </w:r>
                        <w:r>
                          <w:rPr>
                            <w:color w:val="105C84"/>
                            <w:sz w:val="22"/>
                          </w:rPr>
                          <w:t>Health </w:t>
                        </w:r>
                        <w:r>
                          <w:rPr>
                            <w:color w:val="105C84"/>
                            <w:spacing w:val="-2"/>
                            <w:sz w:val="22"/>
                          </w:rPr>
                          <w:t>Lifespan</w:t>
                        </w:r>
                      </w:p>
                      <w:p>
                        <w:pPr>
                          <w:spacing w:before="118"/>
                          <w:ind w:left="0" w:right="0" w:firstLine="0"/>
                          <w:jc w:val="left"/>
                          <w:rPr>
                            <w:sz w:val="22"/>
                          </w:rPr>
                        </w:pPr>
                        <w:r>
                          <w:rPr>
                            <w:color w:val="105C84"/>
                            <w:sz w:val="22"/>
                          </w:rPr>
                          <w:t>Geneva</w:t>
                        </w:r>
                        <w:r>
                          <w:rPr>
                            <w:color w:val="105C84"/>
                            <w:spacing w:val="-4"/>
                            <w:sz w:val="22"/>
                          </w:rPr>
                          <w:t> </w:t>
                        </w:r>
                        <w:r>
                          <w:rPr>
                            <w:color w:val="105C84"/>
                            <w:sz w:val="22"/>
                          </w:rPr>
                          <w:t>Head</w:t>
                        </w:r>
                        <w:r>
                          <w:rPr>
                            <w:color w:val="105C84"/>
                            <w:spacing w:val="-4"/>
                            <w:sz w:val="22"/>
                          </w:rPr>
                          <w:t> </w:t>
                        </w:r>
                        <w:r>
                          <w:rPr>
                            <w:color w:val="105C84"/>
                            <w:spacing w:val="-2"/>
                            <w:sz w:val="22"/>
                          </w:rPr>
                          <w:t>Start</w:t>
                        </w:r>
                      </w:p>
                      <w:p>
                        <w:pPr>
                          <w:spacing w:line="247" w:lineRule="auto" w:before="138"/>
                          <w:ind w:left="1" w:right="0" w:firstLine="0"/>
                          <w:jc w:val="left"/>
                          <w:rPr>
                            <w:sz w:val="22"/>
                          </w:rPr>
                        </w:pPr>
                        <w:r>
                          <w:rPr>
                            <w:color w:val="105C84"/>
                            <w:sz w:val="22"/>
                          </w:rPr>
                          <w:t>Substance</w:t>
                        </w:r>
                        <w:r>
                          <w:rPr>
                            <w:color w:val="105C84"/>
                            <w:spacing w:val="-13"/>
                            <w:sz w:val="22"/>
                          </w:rPr>
                          <w:t> </w:t>
                        </w:r>
                        <w:r>
                          <w:rPr>
                            <w:color w:val="105C84"/>
                            <w:sz w:val="22"/>
                          </w:rPr>
                          <w:t>Abuse</w:t>
                        </w:r>
                        <w:r>
                          <w:rPr>
                            <w:color w:val="105C84"/>
                            <w:spacing w:val="-13"/>
                            <w:sz w:val="22"/>
                          </w:rPr>
                          <w:t> </w:t>
                        </w:r>
                        <w:r>
                          <w:rPr>
                            <w:color w:val="105C84"/>
                            <w:sz w:val="22"/>
                          </w:rPr>
                          <w:t>Prevention </w:t>
                        </w:r>
                        <w:r>
                          <w:rPr>
                            <w:color w:val="105C84"/>
                            <w:spacing w:val="-2"/>
                            <w:sz w:val="22"/>
                          </w:rPr>
                          <w:t>Coalition</w:t>
                        </w:r>
                      </w:p>
                      <w:p>
                        <w:pPr>
                          <w:spacing w:line="408" w:lineRule="auto" w:before="131"/>
                          <w:ind w:left="1" w:right="1550" w:hanging="1"/>
                          <w:jc w:val="left"/>
                          <w:rPr>
                            <w:sz w:val="22"/>
                          </w:rPr>
                        </w:pPr>
                        <w:r>
                          <w:rPr>
                            <w:color w:val="105C84"/>
                            <w:spacing w:val="-2"/>
                            <w:sz w:val="22"/>
                          </w:rPr>
                          <w:t>LawNY </w:t>
                        </w:r>
                        <w:r>
                          <w:rPr>
                            <w:color w:val="105C84"/>
                            <w:sz w:val="22"/>
                          </w:rPr>
                          <w:t>Ontario</w:t>
                        </w:r>
                        <w:r>
                          <w:rPr>
                            <w:color w:val="105C84"/>
                            <w:spacing w:val="-16"/>
                            <w:sz w:val="22"/>
                          </w:rPr>
                          <w:t> </w:t>
                        </w:r>
                        <w:r>
                          <w:rPr>
                            <w:color w:val="105C84"/>
                            <w:sz w:val="22"/>
                          </w:rPr>
                          <w:t>ARC</w:t>
                        </w:r>
                      </w:p>
                      <w:p>
                        <w:pPr>
                          <w:spacing w:line="214" w:lineRule="exact" w:before="0"/>
                          <w:ind w:left="1" w:right="0" w:firstLine="0"/>
                          <w:jc w:val="left"/>
                          <w:rPr>
                            <w:sz w:val="22"/>
                          </w:rPr>
                        </w:pPr>
                        <w:r>
                          <w:rPr>
                            <w:color w:val="105C84"/>
                            <w:sz w:val="22"/>
                          </w:rPr>
                          <w:t>URMC</w:t>
                        </w:r>
                        <w:r>
                          <w:rPr>
                            <w:color w:val="105C84"/>
                            <w:spacing w:val="1"/>
                            <w:sz w:val="22"/>
                          </w:rPr>
                          <w:t> </w:t>
                        </w:r>
                        <w:r>
                          <w:rPr>
                            <w:color w:val="105C84"/>
                            <w:sz w:val="22"/>
                          </w:rPr>
                          <w:t>Center</w:t>
                        </w:r>
                        <w:r>
                          <w:rPr>
                            <w:color w:val="105C84"/>
                            <w:spacing w:val="1"/>
                            <w:sz w:val="22"/>
                          </w:rPr>
                          <w:t> </w:t>
                        </w:r>
                        <w:r>
                          <w:rPr>
                            <w:color w:val="105C84"/>
                            <w:sz w:val="22"/>
                          </w:rPr>
                          <w:t>for</w:t>
                        </w:r>
                        <w:r>
                          <w:rPr>
                            <w:color w:val="105C84"/>
                            <w:spacing w:val="1"/>
                            <w:sz w:val="22"/>
                          </w:rPr>
                          <w:t> </w:t>
                        </w:r>
                        <w:r>
                          <w:rPr>
                            <w:color w:val="105C84"/>
                            <w:spacing w:val="-2"/>
                            <w:sz w:val="22"/>
                          </w:rPr>
                          <w:t>Community</w:t>
                        </w:r>
                      </w:p>
                      <w:p>
                        <w:pPr>
                          <w:spacing w:line="372" w:lineRule="auto" w:before="7"/>
                          <w:ind w:left="1" w:right="0" w:hanging="1"/>
                          <w:jc w:val="left"/>
                          <w:rPr>
                            <w:sz w:val="22"/>
                          </w:rPr>
                        </w:pPr>
                        <w:r>
                          <w:rPr>
                            <w:color w:val="105C84"/>
                            <w:sz w:val="22"/>
                          </w:rPr>
                          <w:t>Health and Prevention Rochester</w:t>
                        </w:r>
                        <w:r>
                          <w:rPr>
                            <w:color w:val="105C84"/>
                            <w:spacing w:val="-10"/>
                            <w:sz w:val="22"/>
                          </w:rPr>
                          <w:t> </w:t>
                        </w:r>
                        <w:r>
                          <w:rPr>
                            <w:color w:val="105C84"/>
                            <w:sz w:val="22"/>
                          </w:rPr>
                          <w:t>Regional</w:t>
                        </w:r>
                        <w:r>
                          <w:rPr>
                            <w:color w:val="105C84"/>
                            <w:spacing w:val="-10"/>
                            <w:sz w:val="22"/>
                          </w:rPr>
                          <w:t> </w:t>
                        </w:r>
                        <w:r>
                          <w:rPr>
                            <w:color w:val="105C84"/>
                            <w:sz w:val="22"/>
                          </w:rPr>
                          <w:t>Health</w:t>
                        </w:r>
                      </w:p>
                      <w:p>
                        <w:pPr>
                          <w:spacing w:line="247" w:lineRule="auto" w:before="0"/>
                          <w:ind w:left="2" w:right="0" w:firstLine="0"/>
                          <w:jc w:val="left"/>
                          <w:rPr>
                            <w:sz w:val="22"/>
                          </w:rPr>
                        </w:pPr>
                        <w:r>
                          <w:rPr>
                            <w:color w:val="105C84"/>
                            <w:sz w:val="22"/>
                          </w:rPr>
                          <w:t>Finger</w:t>
                        </w:r>
                        <w:r>
                          <w:rPr>
                            <w:color w:val="105C84"/>
                            <w:spacing w:val="-16"/>
                            <w:sz w:val="22"/>
                          </w:rPr>
                          <w:t> </w:t>
                        </w:r>
                        <w:r>
                          <w:rPr>
                            <w:color w:val="105C84"/>
                            <w:sz w:val="22"/>
                          </w:rPr>
                          <w:t>Lakes</w:t>
                        </w:r>
                        <w:r>
                          <w:rPr>
                            <w:color w:val="105C84"/>
                            <w:spacing w:val="-15"/>
                            <w:sz w:val="22"/>
                          </w:rPr>
                          <w:t> </w:t>
                        </w:r>
                        <w:r>
                          <w:rPr>
                            <w:color w:val="105C84"/>
                            <w:sz w:val="22"/>
                          </w:rPr>
                          <w:t>Prevention Resource Center</w:t>
                        </w:r>
                      </w:p>
                    </w:txbxContent>
                  </v:textbox>
                  <w10:wrap type="none"/>
                </v:shape>
                <v:shape style="position:absolute;left:4604;top:6914;width:2192;height:301" type="#_x0000_t202" id="docshape723" filled="false" stroked="false">
                  <v:textbox inset="0,0,0,0">
                    <w:txbxContent>
                      <w:p>
                        <w:pPr>
                          <w:spacing w:before="13"/>
                          <w:ind w:left="0" w:right="0" w:firstLine="0"/>
                          <w:jc w:val="left"/>
                          <w:rPr>
                            <w:sz w:val="22"/>
                          </w:rPr>
                        </w:pPr>
                        <w:r>
                          <w:rPr>
                            <w:color w:val="105C84"/>
                            <w:sz w:val="22"/>
                          </w:rPr>
                          <w:t>Clifton</w:t>
                        </w:r>
                        <w:r>
                          <w:rPr>
                            <w:color w:val="105C84"/>
                            <w:spacing w:val="15"/>
                            <w:sz w:val="22"/>
                          </w:rPr>
                          <w:t> </w:t>
                        </w:r>
                        <w:r>
                          <w:rPr>
                            <w:color w:val="105C84"/>
                            <w:sz w:val="22"/>
                          </w:rPr>
                          <w:t>Springs</w:t>
                        </w:r>
                        <w:r>
                          <w:rPr>
                            <w:color w:val="105C84"/>
                            <w:spacing w:val="16"/>
                            <w:sz w:val="22"/>
                          </w:rPr>
                          <w:t> </w:t>
                        </w:r>
                        <w:r>
                          <w:rPr>
                            <w:color w:val="105C84"/>
                            <w:spacing w:val="-4"/>
                            <w:sz w:val="22"/>
                          </w:rPr>
                          <w:t>YMCA</w:t>
                        </w:r>
                      </w:p>
                    </w:txbxContent>
                  </v:textbox>
                  <w10:wrap type="none"/>
                </v:shape>
                <v:shape style="position:absolute;left:7916;top:6914;width:1784;height:301" type="#_x0000_t202" id="docshape724" filled="false" stroked="false">
                  <v:textbox inset="0,0,0,0">
                    <w:txbxContent>
                      <w:p>
                        <w:pPr>
                          <w:spacing w:before="13"/>
                          <w:ind w:left="0" w:right="0" w:firstLine="0"/>
                          <w:jc w:val="left"/>
                          <w:rPr>
                            <w:sz w:val="22"/>
                          </w:rPr>
                        </w:pPr>
                        <w:r>
                          <w:rPr>
                            <w:color w:val="105C84"/>
                            <w:sz w:val="22"/>
                          </w:rPr>
                          <w:t>Catholic</w:t>
                        </w:r>
                        <w:r>
                          <w:rPr>
                            <w:color w:val="105C84"/>
                            <w:spacing w:val="20"/>
                            <w:sz w:val="22"/>
                          </w:rPr>
                          <w:t> </w:t>
                        </w:r>
                        <w:r>
                          <w:rPr>
                            <w:color w:val="105C84"/>
                            <w:spacing w:val="-2"/>
                            <w:sz w:val="22"/>
                          </w:rPr>
                          <w:t>Charities</w:t>
                        </w:r>
                      </w:p>
                    </w:txbxContent>
                  </v:textbox>
                  <w10:wrap type="none"/>
                </v:shape>
                <v:shape style="position:absolute;left:1070;top:469;width:9883;height:499" type="#_x0000_t202" id="docshape725" filled="false" stroked="false">
                  <v:textbox inset="0,0,0,0">
                    <w:txbxContent>
                      <w:p>
                        <w:pPr>
                          <w:spacing w:before="160"/>
                          <w:ind w:left="2" w:right="0" w:firstLine="0"/>
                          <w:jc w:val="center"/>
                          <w:rPr>
                            <w:b/>
                            <w:sz w:val="20"/>
                          </w:rPr>
                        </w:pPr>
                        <w:r>
                          <w:rPr>
                            <w:b/>
                            <w:color w:val="FFFFFF"/>
                            <w:sz w:val="20"/>
                          </w:rPr>
                          <w:t>ONTARIO</w:t>
                        </w:r>
                        <w:r>
                          <w:rPr>
                            <w:b/>
                            <w:color w:val="FFFFFF"/>
                            <w:spacing w:val="20"/>
                            <w:sz w:val="20"/>
                          </w:rPr>
                          <w:t> </w:t>
                        </w:r>
                        <w:r>
                          <w:rPr>
                            <w:b/>
                            <w:color w:val="FFFFFF"/>
                            <w:sz w:val="20"/>
                          </w:rPr>
                          <w:t>COUNTY</w:t>
                        </w:r>
                        <w:r>
                          <w:rPr>
                            <w:b/>
                            <w:color w:val="FFFFFF"/>
                            <w:spacing w:val="21"/>
                            <w:sz w:val="20"/>
                          </w:rPr>
                          <w:t> </w:t>
                        </w:r>
                        <w:r>
                          <w:rPr>
                            <w:b/>
                            <w:color w:val="FFFFFF"/>
                            <w:sz w:val="20"/>
                          </w:rPr>
                          <w:t>PRIORITIZATION</w:t>
                        </w:r>
                        <w:r>
                          <w:rPr>
                            <w:b/>
                            <w:color w:val="FFFFFF"/>
                            <w:spacing w:val="20"/>
                            <w:sz w:val="20"/>
                          </w:rPr>
                          <w:t> </w:t>
                        </w:r>
                        <w:r>
                          <w:rPr>
                            <w:b/>
                            <w:color w:val="FFFFFF"/>
                            <w:spacing w:val="-2"/>
                            <w:sz w:val="20"/>
                          </w:rPr>
                          <w:t>AGENCIES</w:t>
                        </w:r>
                      </w:p>
                    </w:txbxContent>
                  </v:textbox>
                  <w10:wrap type="none"/>
                </v:shape>
                <w10:wrap type="none"/>
              </v:group>
            </w:pict>
          </mc:Fallback>
        </mc:AlternateContent>
      </w:r>
      <w:r>
        <w:rPr>
          <w:color w:val="105C84"/>
        </w:rPr>
        <w:t>A</w:t>
      </w:r>
      <w:r>
        <w:rPr>
          <w:color w:val="105C84"/>
          <w:spacing w:val="-3"/>
        </w:rPr>
        <w:t> </w:t>
      </w:r>
      <w:r>
        <w:rPr>
          <w:color w:val="105C84"/>
        </w:rPr>
        <w:t>variety</w:t>
      </w:r>
      <w:r>
        <w:rPr>
          <w:color w:val="105C84"/>
          <w:spacing w:val="-3"/>
        </w:rPr>
        <w:t> </w:t>
      </w:r>
      <w:r>
        <w:rPr>
          <w:color w:val="105C84"/>
        </w:rPr>
        <w:t>of</w:t>
      </w:r>
      <w:r>
        <w:rPr>
          <w:color w:val="105C84"/>
          <w:spacing w:val="-3"/>
        </w:rPr>
        <w:t> </w:t>
      </w:r>
      <w:r>
        <w:rPr>
          <w:color w:val="105C84"/>
        </w:rPr>
        <w:t>partners</w:t>
      </w:r>
      <w:r>
        <w:rPr>
          <w:color w:val="105C84"/>
          <w:spacing w:val="-3"/>
        </w:rPr>
        <w:t> </w:t>
      </w:r>
      <w:r>
        <w:rPr>
          <w:color w:val="105C84"/>
        </w:rPr>
        <w:t>were</w:t>
      </w:r>
      <w:r>
        <w:rPr>
          <w:color w:val="105C84"/>
          <w:spacing w:val="-2"/>
        </w:rPr>
        <w:t> </w:t>
      </w:r>
      <w:r>
        <w:rPr>
          <w:color w:val="105C84"/>
        </w:rPr>
        <w:t>engaged</w:t>
      </w:r>
      <w:r>
        <w:rPr>
          <w:color w:val="105C84"/>
          <w:spacing w:val="-3"/>
        </w:rPr>
        <w:t> </w:t>
      </w:r>
      <w:r>
        <w:rPr>
          <w:color w:val="105C84"/>
        </w:rPr>
        <w:t>in</w:t>
      </w:r>
      <w:r>
        <w:rPr>
          <w:color w:val="105C84"/>
          <w:spacing w:val="-3"/>
        </w:rPr>
        <w:t> </w:t>
      </w:r>
      <w:r>
        <w:rPr>
          <w:color w:val="105C84"/>
        </w:rPr>
        <w:t>Ontario</w:t>
      </w:r>
      <w:r>
        <w:rPr>
          <w:color w:val="105C84"/>
          <w:spacing w:val="-3"/>
        </w:rPr>
        <w:t> </w:t>
      </w:r>
      <w:r>
        <w:rPr>
          <w:color w:val="105C84"/>
        </w:rPr>
        <w:t>County’s</w:t>
      </w:r>
      <w:r>
        <w:rPr>
          <w:color w:val="105C84"/>
          <w:spacing w:val="-3"/>
        </w:rPr>
        <w:t> </w:t>
      </w:r>
      <w:r>
        <w:rPr>
          <w:color w:val="105C84"/>
        </w:rPr>
        <w:t>specific</w:t>
      </w:r>
      <w:r>
        <w:rPr>
          <w:color w:val="105C84"/>
          <w:spacing w:val="-2"/>
        </w:rPr>
        <w:t> </w:t>
      </w:r>
      <w:r>
        <w:rPr>
          <w:color w:val="105C84"/>
        </w:rPr>
        <w:t>process</w:t>
      </w:r>
      <w:r>
        <w:rPr>
          <w:color w:val="105C84"/>
          <w:spacing w:val="-3"/>
        </w:rPr>
        <w:t> </w:t>
      </w:r>
      <w:r>
        <w:rPr>
          <w:color w:val="105C84"/>
          <w:spacing w:val="-2"/>
        </w:rPr>
        <w:t>including:</w:t>
      </w:r>
    </w:p>
    <w:p>
      <w:pPr>
        <w:pStyle w:val="BodyText"/>
        <w:spacing w:line="247" w:lineRule="auto" w:before="114"/>
        <w:ind w:left="1068" w:right="575"/>
      </w:pPr>
      <w:r>
        <w:rPr/>
        <w:br w:type="column"/>
      </w:r>
      <w:r>
        <w:rPr>
          <w:color w:val="105C84"/>
        </w:rPr>
        <w:t>Community Health Improvement Plan (Appendix C). Interventions selected are evidence based, address health across all ages, and strive to achieve health equity by focusing on creating greater access for those of low socioeconomic status.</w:t>
      </w:r>
    </w:p>
    <w:p>
      <w:pPr>
        <w:pStyle w:val="BodyText"/>
        <w:spacing w:line="247" w:lineRule="auto" w:before="178"/>
        <w:ind w:left="1068" w:right="405"/>
      </w:pPr>
      <w:r>
        <w:rPr>
          <w:color w:val="105C84"/>
        </w:rPr>
        <w:t>The</w:t>
      </w:r>
      <w:r>
        <w:rPr>
          <w:color w:val="105C84"/>
          <w:spacing w:val="23"/>
        </w:rPr>
        <w:t> </w:t>
      </w:r>
      <w:r>
        <w:rPr>
          <w:color w:val="105C84"/>
        </w:rPr>
        <w:t>Ontario</w:t>
      </w:r>
      <w:r>
        <w:rPr>
          <w:color w:val="105C84"/>
          <w:spacing w:val="23"/>
        </w:rPr>
        <w:t> </w:t>
      </w:r>
      <w:r>
        <w:rPr>
          <w:color w:val="105C84"/>
        </w:rPr>
        <w:t>County</w:t>
      </w:r>
      <w:r>
        <w:rPr>
          <w:color w:val="105C84"/>
          <w:spacing w:val="23"/>
        </w:rPr>
        <w:t> </w:t>
      </w:r>
      <w:r>
        <w:rPr>
          <w:color w:val="105C84"/>
        </w:rPr>
        <w:t>Health</w:t>
      </w:r>
      <w:r>
        <w:rPr>
          <w:color w:val="105C84"/>
          <w:spacing w:val="23"/>
        </w:rPr>
        <w:t> </w:t>
      </w:r>
      <w:r>
        <w:rPr>
          <w:color w:val="105C84"/>
        </w:rPr>
        <w:t>Collaborative,</w:t>
      </w:r>
      <w:r>
        <w:rPr>
          <w:color w:val="105C84"/>
          <w:spacing w:val="23"/>
        </w:rPr>
        <w:t> </w:t>
      </w:r>
      <w:r>
        <w:rPr>
          <w:color w:val="105C84"/>
        </w:rPr>
        <w:t>a</w:t>
      </w:r>
      <w:r>
        <w:rPr>
          <w:color w:val="105C84"/>
          <w:spacing w:val="23"/>
        </w:rPr>
        <w:t> </w:t>
      </w:r>
      <w:r>
        <w:rPr>
          <w:color w:val="105C84"/>
        </w:rPr>
        <w:t>monthly</w:t>
      </w:r>
      <w:r>
        <w:rPr>
          <w:color w:val="105C84"/>
          <w:spacing w:val="23"/>
        </w:rPr>
        <w:t> </w:t>
      </w:r>
      <w:r>
        <w:rPr>
          <w:color w:val="105C84"/>
        </w:rPr>
        <w:t>convening</w:t>
      </w:r>
      <w:r>
        <w:rPr>
          <w:color w:val="105C84"/>
          <w:spacing w:val="23"/>
        </w:rPr>
        <w:t> </w:t>
      </w:r>
      <w:r>
        <w:rPr>
          <w:color w:val="105C84"/>
        </w:rPr>
        <w:t>that</w:t>
      </w:r>
      <w:r>
        <w:rPr>
          <w:color w:val="105C84"/>
          <w:spacing w:val="23"/>
        </w:rPr>
        <w:t> </w:t>
      </w:r>
      <w:r>
        <w:rPr>
          <w:color w:val="105C84"/>
        </w:rPr>
        <w:t>brings</w:t>
      </w:r>
      <w:r>
        <w:rPr>
          <w:color w:val="105C84"/>
          <w:spacing w:val="23"/>
        </w:rPr>
        <w:t> </w:t>
      </w:r>
      <w:r>
        <w:rPr>
          <w:color w:val="105C84"/>
        </w:rPr>
        <w:t>together</w:t>
      </w:r>
      <w:r>
        <w:rPr>
          <w:color w:val="105C84"/>
          <w:spacing w:val="23"/>
        </w:rPr>
        <w:t> </w:t>
      </w:r>
      <w:r>
        <w:rPr>
          <w:color w:val="105C84"/>
        </w:rPr>
        <w:t>diverse</w:t>
      </w:r>
      <w:r>
        <w:rPr>
          <w:color w:val="105C84"/>
          <w:spacing w:val="23"/>
        </w:rPr>
        <w:t> </w:t>
      </w:r>
      <w:r>
        <w:rPr>
          <w:color w:val="105C84"/>
        </w:rPr>
        <w:t>partners to</w:t>
      </w:r>
      <w:r>
        <w:rPr>
          <w:color w:val="105C84"/>
          <w:spacing w:val="28"/>
        </w:rPr>
        <w:t> </w:t>
      </w:r>
      <w:r>
        <w:rPr>
          <w:color w:val="105C84"/>
        </w:rPr>
        <w:t>improve</w:t>
      </w:r>
      <w:r>
        <w:rPr>
          <w:color w:val="105C84"/>
          <w:spacing w:val="28"/>
        </w:rPr>
        <w:t> </w:t>
      </w:r>
      <w:r>
        <w:rPr>
          <w:color w:val="105C84"/>
        </w:rPr>
        <w:t>the</w:t>
      </w:r>
      <w:r>
        <w:rPr>
          <w:color w:val="105C84"/>
          <w:spacing w:val="28"/>
        </w:rPr>
        <w:t> </w:t>
      </w:r>
      <w:r>
        <w:rPr>
          <w:color w:val="105C84"/>
        </w:rPr>
        <w:t>health</w:t>
      </w:r>
      <w:r>
        <w:rPr>
          <w:color w:val="105C84"/>
          <w:spacing w:val="28"/>
        </w:rPr>
        <w:t> </w:t>
      </w:r>
      <w:r>
        <w:rPr>
          <w:color w:val="105C84"/>
        </w:rPr>
        <w:t>of</w:t>
      </w:r>
      <w:r>
        <w:rPr>
          <w:color w:val="105C84"/>
          <w:spacing w:val="28"/>
        </w:rPr>
        <w:t> </w:t>
      </w:r>
      <w:r>
        <w:rPr>
          <w:color w:val="105C84"/>
        </w:rPr>
        <w:t>its</w:t>
      </w:r>
      <w:r>
        <w:rPr>
          <w:color w:val="105C84"/>
          <w:spacing w:val="28"/>
        </w:rPr>
        <w:t> </w:t>
      </w:r>
      <w:r>
        <w:rPr>
          <w:color w:val="105C84"/>
        </w:rPr>
        <w:t>residents,</w:t>
      </w:r>
      <w:r>
        <w:rPr>
          <w:color w:val="105C84"/>
          <w:spacing w:val="28"/>
        </w:rPr>
        <w:t> </w:t>
      </w:r>
      <w:r>
        <w:rPr>
          <w:color w:val="105C84"/>
        </w:rPr>
        <w:t>will</w:t>
      </w:r>
      <w:r>
        <w:rPr>
          <w:color w:val="105C84"/>
          <w:spacing w:val="28"/>
        </w:rPr>
        <w:t> </w:t>
      </w:r>
      <w:r>
        <w:rPr>
          <w:color w:val="105C84"/>
        </w:rPr>
        <w:t>oversee</w:t>
      </w:r>
      <w:r>
        <w:rPr>
          <w:color w:val="105C84"/>
          <w:spacing w:val="28"/>
        </w:rPr>
        <w:t> </w:t>
      </w:r>
      <w:r>
        <w:rPr>
          <w:color w:val="105C84"/>
        </w:rPr>
        <w:t>Community</w:t>
      </w:r>
      <w:r>
        <w:rPr>
          <w:color w:val="105C84"/>
          <w:spacing w:val="28"/>
        </w:rPr>
        <w:t> </w:t>
      </w:r>
      <w:r>
        <w:rPr>
          <w:color w:val="105C84"/>
        </w:rPr>
        <w:t>Health</w:t>
      </w:r>
      <w:r>
        <w:rPr>
          <w:color w:val="105C84"/>
          <w:spacing w:val="28"/>
        </w:rPr>
        <w:t> </w:t>
      </w:r>
      <w:r>
        <w:rPr>
          <w:color w:val="105C84"/>
        </w:rPr>
        <w:t>Improvement</w:t>
      </w:r>
      <w:r>
        <w:rPr>
          <w:color w:val="105C84"/>
          <w:spacing w:val="28"/>
        </w:rPr>
        <w:t> </w:t>
      </w:r>
      <w:r>
        <w:rPr>
          <w:color w:val="105C84"/>
        </w:rPr>
        <w:t>Plan</w:t>
      </w:r>
      <w:r>
        <w:rPr>
          <w:color w:val="105C84"/>
          <w:spacing w:val="28"/>
        </w:rPr>
        <w:t> </w:t>
      </w:r>
      <w:r>
        <w:rPr>
          <w:color w:val="105C84"/>
        </w:rPr>
        <w:t>progress and implementation. Members will regularly review progress and relevant data on each measure.</w:t>
      </w:r>
    </w:p>
    <w:p>
      <w:pPr>
        <w:pStyle w:val="BodyText"/>
        <w:spacing w:line="247" w:lineRule="auto"/>
        <w:ind w:left="1068" w:right="575"/>
      </w:pPr>
      <w:r>
        <w:rPr>
          <w:color w:val="105C84"/>
        </w:rPr>
        <w:t>Group members will identify and address any mid-course corrections in interventions and processes that need to take place during these meetings.</w:t>
      </w:r>
    </w:p>
    <w:p>
      <w:pPr>
        <w:pStyle w:val="BodyText"/>
        <w:spacing w:before="16"/>
      </w:pPr>
    </w:p>
    <w:p>
      <w:pPr>
        <w:pStyle w:val="Heading6"/>
        <w:ind w:left="1065"/>
      </w:pPr>
      <w:r>
        <w:rPr>
          <w:color w:val="105C84"/>
          <w:spacing w:val="-2"/>
        </w:rPr>
        <w:t>Dissemination</w:t>
      </w:r>
    </w:p>
    <w:p>
      <w:pPr>
        <w:pStyle w:val="BodyText"/>
        <w:spacing w:line="247" w:lineRule="auto" w:before="269"/>
        <w:ind w:left="1065" w:right="654"/>
      </w:pPr>
      <w:r>
        <w:rPr>
          <w:color w:val="105C84"/>
        </w:rPr>
        <w:t>The completed Ontario Community Health Assessment and Community Health Improvement Plan/</w:t>
      </w:r>
      <w:r>
        <w:rPr>
          <w:color w:val="105C84"/>
          <w:spacing w:val="40"/>
        </w:rPr>
        <w:t> </w:t>
      </w:r>
      <w:r>
        <w:rPr>
          <w:color w:val="105C84"/>
        </w:rPr>
        <w:t>Community Service Plan will be shared with the public on the Ontario County Public Health website</w:t>
      </w:r>
      <w:r>
        <w:rPr>
          <w:color w:val="105C84"/>
          <w:spacing w:val="80"/>
        </w:rPr>
        <w:t> </w:t>
      </w:r>
      <w:r>
        <w:rPr>
          <w:color w:val="105C84"/>
        </w:rPr>
        <w:t>at </w:t>
      </w:r>
      <w:hyperlink r:id="rId136">
        <w:r>
          <w:rPr>
            <w:color w:val="105C84"/>
          </w:rPr>
          <w:t>www.Ontariocountypublichealth.com</w:t>
        </w:r>
      </w:hyperlink>
      <w:r>
        <w:rPr>
          <w:color w:val="105C84"/>
        </w:rPr>
        <w:t> and via the Public Health Facebook Page. Ontario County Health Collaborative members will share the document via their organizations’ websites as well. The full Regional CHA will be shared on the S2AY Rural Health Network website.</w:t>
      </w:r>
    </w:p>
    <w:p>
      <w:pPr>
        <w:pStyle w:val="BodyText"/>
        <w:spacing w:after="0" w:line="247" w:lineRule="auto"/>
        <w:sectPr>
          <w:type w:val="continuous"/>
          <w:pgSz w:w="24480" w:h="15840" w:orient="landscape"/>
          <w:pgMar w:header="0" w:footer="0" w:top="0" w:bottom="280" w:left="0" w:right="720"/>
          <w:cols w:num="2" w:equalWidth="0">
            <w:col w:w="11010" w:space="1245"/>
            <w:col w:w="11505"/>
          </w:cols>
        </w:sectPr>
      </w:pPr>
    </w:p>
    <w:p>
      <w:pPr>
        <w:pStyle w:val="BodyText"/>
      </w:pPr>
      <w:r>
        <w:rPr/>
        <mc:AlternateContent>
          <mc:Choice Requires="wps">
            <w:drawing>
              <wp:anchor distT="0" distB="0" distL="0" distR="0" allowOverlap="1" layoutInCell="1" locked="0" behindDoc="0" simplePos="0" relativeHeight="15818752">
                <wp:simplePos x="0" y="0"/>
                <wp:positionH relativeFrom="page">
                  <wp:posOffset>7772400</wp:posOffset>
                </wp:positionH>
                <wp:positionV relativeFrom="page">
                  <wp:posOffset>4000500</wp:posOffset>
                </wp:positionV>
                <wp:extent cx="7772400" cy="6057900"/>
                <wp:effectExtent l="0" t="0" r="0" b="0"/>
                <wp:wrapNone/>
                <wp:docPr id="891" name="Group 891"/>
                <wp:cNvGraphicFramePr>
                  <a:graphicFrameLocks/>
                </wp:cNvGraphicFramePr>
                <a:graphic>
                  <a:graphicData uri="http://schemas.microsoft.com/office/word/2010/wordprocessingGroup">
                    <wpg:wgp>
                      <wpg:cNvPr id="891" name="Group 891"/>
                      <wpg:cNvGrpSpPr/>
                      <wpg:grpSpPr>
                        <a:xfrm>
                          <a:off x="0" y="0"/>
                          <a:ext cx="7772400" cy="6057900"/>
                          <a:chExt cx="7772400" cy="6057900"/>
                        </a:xfrm>
                      </wpg:grpSpPr>
                      <pic:pic>
                        <pic:nvPicPr>
                          <pic:cNvPr id="892" name="Image 892"/>
                          <pic:cNvPicPr/>
                        </pic:nvPicPr>
                        <pic:blipFill>
                          <a:blip r:embed="rId38" cstate="print"/>
                          <a:stretch>
                            <a:fillRect/>
                          </a:stretch>
                        </pic:blipFill>
                        <pic:spPr>
                          <a:xfrm>
                            <a:off x="7209156" y="5667603"/>
                            <a:ext cx="563245" cy="184683"/>
                          </a:xfrm>
                          <a:prstGeom prst="rect">
                            <a:avLst/>
                          </a:prstGeom>
                        </pic:spPr>
                      </pic:pic>
                      <pic:pic>
                        <pic:nvPicPr>
                          <pic:cNvPr id="893" name="Image 893"/>
                          <pic:cNvPicPr/>
                        </pic:nvPicPr>
                        <pic:blipFill>
                          <a:blip r:embed="rId137" cstate="print"/>
                          <a:stretch>
                            <a:fillRect/>
                          </a:stretch>
                        </pic:blipFill>
                        <pic:spPr>
                          <a:xfrm>
                            <a:off x="0" y="0"/>
                            <a:ext cx="7772400" cy="6057900"/>
                          </a:xfrm>
                          <a:prstGeom prst="rect">
                            <a:avLst/>
                          </a:prstGeom>
                        </pic:spPr>
                      </pic:pic>
                      <wps:wsp>
                        <wps:cNvPr id="894" name="Graphic 894"/>
                        <wps:cNvSpPr/>
                        <wps:spPr>
                          <a:xfrm>
                            <a:off x="1523" y="5029200"/>
                            <a:ext cx="7771130" cy="1028700"/>
                          </a:xfrm>
                          <a:custGeom>
                            <a:avLst/>
                            <a:gdLst/>
                            <a:ahLst/>
                            <a:cxnLst/>
                            <a:rect l="l" t="t" r="r" b="b"/>
                            <a:pathLst>
                              <a:path w="7771130" h="1028700">
                                <a:moveTo>
                                  <a:pt x="7770876" y="0"/>
                                </a:moveTo>
                                <a:lnTo>
                                  <a:pt x="0" y="0"/>
                                </a:lnTo>
                                <a:lnTo>
                                  <a:pt x="0" y="1028700"/>
                                </a:lnTo>
                                <a:lnTo>
                                  <a:pt x="7770876" y="1028700"/>
                                </a:lnTo>
                                <a:lnTo>
                                  <a:pt x="7770876" y="0"/>
                                </a:lnTo>
                                <a:close/>
                              </a:path>
                            </a:pathLst>
                          </a:custGeom>
                          <a:solidFill>
                            <a:srgbClr val="000000">
                              <a:alpha val="54998"/>
                            </a:srgbClr>
                          </a:solidFill>
                        </wps:spPr>
                        <wps:bodyPr wrap="square" lIns="0" tIns="0" rIns="0" bIns="0" rtlCol="0">
                          <a:prstTxWarp prst="textNoShape">
                            <a:avLst/>
                          </a:prstTxWarp>
                          <a:noAutofit/>
                        </wps:bodyPr>
                      </wps:wsp>
                      <wps:wsp>
                        <wps:cNvPr id="895" name="Textbox 895"/>
                        <wps:cNvSpPr txBox="1"/>
                        <wps:spPr>
                          <a:xfrm>
                            <a:off x="5465986" y="5508244"/>
                            <a:ext cx="1807210" cy="253365"/>
                          </a:xfrm>
                          <a:prstGeom prst="rect">
                            <a:avLst/>
                          </a:prstGeom>
                        </wps:spPr>
                        <wps:txbx>
                          <w:txbxContent>
                            <w:p>
                              <w:pPr>
                                <w:spacing w:line="235" w:lineRule="auto" w:before="13"/>
                                <w:ind w:left="0" w:right="0" w:firstLine="1710"/>
                                <w:jc w:val="left"/>
                                <w:rPr>
                                  <w:sz w:val="16"/>
                                </w:rPr>
                              </w:pPr>
                              <w:r>
                                <w:rPr>
                                  <w:color w:val="FFFFFF"/>
                                  <w:sz w:val="16"/>
                                </w:rPr>
                                <w:t>Ontario </w:t>
                              </w:r>
                              <w:r>
                                <w:rPr>
                                  <w:color w:val="FFFFFF"/>
                                  <w:sz w:val="16"/>
                                </w:rPr>
                                <w:t>County Photo</w:t>
                              </w:r>
                              <w:r>
                                <w:rPr>
                                  <w:color w:val="FFFFFF"/>
                                  <w:spacing w:val="6"/>
                                  <w:sz w:val="16"/>
                                </w:rPr>
                                <w:t> </w:t>
                              </w:r>
                              <w:r>
                                <w:rPr>
                                  <w:color w:val="FFFFFF"/>
                                  <w:sz w:val="16"/>
                                </w:rPr>
                                <w:t>courtesy</w:t>
                              </w:r>
                              <w:r>
                                <w:rPr>
                                  <w:color w:val="FFFFFF"/>
                                  <w:spacing w:val="6"/>
                                  <w:sz w:val="16"/>
                                </w:rPr>
                                <w:t> </w:t>
                              </w:r>
                              <w:r>
                                <w:rPr>
                                  <w:color w:val="FFFFFF"/>
                                  <w:sz w:val="16"/>
                                </w:rPr>
                                <w:t>of</w:t>
                              </w:r>
                              <w:r>
                                <w:rPr>
                                  <w:color w:val="FFFFFF"/>
                                  <w:spacing w:val="7"/>
                                  <w:sz w:val="16"/>
                                </w:rPr>
                                <w:t> </w:t>
                              </w:r>
                              <w:r>
                                <w:rPr>
                                  <w:color w:val="FFFFFF"/>
                                  <w:spacing w:val="-2"/>
                                  <w:sz w:val="16"/>
                                </w:rPr>
                                <w:t>VisitFingerLakes.com</w:t>
                              </w:r>
                            </w:p>
                          </w:txbxContent>
                        </wps:txbx>
                        <wps:bodyPr wrap="square" lIns="0" tIns="0" rIns="0" bIns="0" rtlCol="0">
                          <a:noAutofit/>
                        </wps:bodyPr>
                      </wps:wsp>
                    </wpg:wgp>
                  </a:graphicData>
                </a:graphic>
              </wp:anchor>
            </w:drawing>
          </mc:Choice>
          <mc:Fallback>
            <w:pict>
              <v:group style="position:absolute;margin-left:612pt;margin-top:315pt;width:612pt;height:477pt;mso-position-horizontal-relative:page;mso-position-vertical-relative:page;z-index:15818752" id="docshapegroup726" coordorigin="12240,6300" coordsize="12240,9540">
                <v:shape style="position:absolute;left:23593;top:15225;width:887;height:291" type="#_x0000_t75" id="docshape727" stroked="false">
                  <v:imagedata r:id="rId38" o:title=""/>
                </v:shape>
                <v:shape style="position:absolute;left:12240;top:6300;width:12240;height:9540" type="#_x0000_t75" id="docshape728" stroked="false">
                  <v:imagedata r:id="rId137" o:title=""/>
                </v:shape>
                <v:rect style="position:absolute;left:12242;top:14220;width:12238;height:1620" id="docshape729" filled="true" fillcolor="#000000" stroked="false">
                  <v:fill opacity="36044f" type="solid"/>
                </v:rect>
                <v:shape style="position:absolute;left:20847;top:14974;width:2846;height:399" type="#_x0000_t202" id="docshape730" filled="false" stroked="false">
                  <v:textbox inset="0,0,0,0">
                    <w:txbxContent>
                      <w:p>
                        <w:pPr>
                          <w:spacing w:line="235" w:lineRule="auto" w:before="13"/>
                          <w:ind w:left="0" w:right="0" w:firstLine="1710"/>
                          <w:jc w:val="left"/>
                          <w:rPr>
                            <w:sz w:val="16"/>
                          </w:rPr>
                        </w:pPr>
                        <w:r>
                          <w:rPr>
                            <w:color w:val="FFFFFF"/>
                            <w:sz w:val="16"/>
                          </w:rPr>
                          <w:t>Ontario </w:t>
                        </w:r>
                        <w:r>
                          <w:rPr>
                            <w:color w:val="FFFFFF"/>
                            <w:sz w:val="16"/>
                          </w:rPr>
                          <w:t>County Photo</w:t>
                        </w:r>
                        <w:r>
                          <w:rPr>
                            <w:color w:val="FFFFFF"/>
                            <w:spacing w:val="6"/>
                            <w:sz w:val="16"/>
                          </w:rPr>
                          <w:t> </w:t>
                        </w:r>
                        <w:r>
                          <w:rPr>
                            <w:color w:val="FFFFFF"/>
                            <w:sz w:val="16"/>
                          </w:rPr>
                          <w:t>courtesy</w:t>
                        </w:r>
                        <w:r>
                          <w:rPr>
                            <w:color w:val="FFFFFF"/>
                            <w:spacing w:val="6"/>
                            <w:sz w:val="16"/>
                          </w:rPr>
                          <w:t> </w:t>
                        </w:r>
                        <w:r>
                          <w:rPr>
                            <w:color w:val="FFFFFF"/>
                            <w:sz w:val="16"/>
                          </w:rPr>
                          <w:t>of</w:t>
                        </w:r>
                        <w:r>
                          <w:rPr>
                            <w:color w:val="FFFFFF"/>
                            <w:spacing w:val="7"/>
                            <w:sz w:val="16"/>
                          </w:rPr>
                          <w:t> </w:t>
                        </w:r>
                        <w:r>
                          <w:rPr>
                            <w:color w:val="FFFFFF"/>
                            <w:spacing w:val="-2"/>
                            <w:sz w:val="16"/>
                          </w:rPr>
                          <w:t>VisitFingerLakes.com</w:t>
                        </w:r>
                      </w:p>
                    </w:txbxContent>
                  </v:textbox>
                  <w10:wrap type="none"/>
                </v:shape>
                <w10:wrap type="none"/>
              </v:group>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37"/>
      </w:pPr>
    </w:p>
    <w:p>
      <w:pPr>
        <w:pStyle w:val="BodyText"/>
        <w:spacing w:line="247" w:lineRule="auto"/>
        <w:ind w:left="1068" w:right="12684"/>
      </w:pPr>
      <w:r>
        <w:rPr>
          <w:color w:val="105C84"/>
        </w:rPr>
        <w:t>The community at large was engaged throughout the assessment period via a regional health survey </w:t>
      </w:r>
      <w:r>
        <w:rPr>
          <w:color w:val="105C84"/>
          <w:w w:val="105"/>
        </w:rPr>
        <w:t>and focus groups. Community members were also invited to attend the prioritization meeting to </w:t>
      </w:r>
      <w:r>
        <w:rPr>
          <w:color w:val="105C84"/>
        </w:rPr>
        <w:t>help inform and select the 2019-2021 priority areas. Findings of the assessment were shared with the </w:t>
      </w:r>
      <w:r>
        <w:rPr>
          <w:color w:val="105C84"/>
          <w:w w:val="105"/>
        </w:rPr>
        <w:t>public</w:t>
      </w:r>
      <w:r>
        <w:rPr>
          <w:color w:val="105C84"/>
          <w:spacing w:val="-4"/>
          <w:w w:val="105"/>
        </w:rPr>
        <w:t> </w:t>
      </w:r>
      <w:r>
        <w:rPr>
          <w:color w:val="105C84"/>
          <w:w w:val="105"/>
        </w:rPr>
        <w:t>via</w:t>
      </w:r>
      <w:r>
        <w:rPr>
          <w:color w:val="105C84"/>
          <w:spacing w:val="-4"/>
          <w:w w:val="105"/>
        </w:rPr>
        <w:t> </w:t>
      </w:r>
      <w:r>
        <w:rPr>
          <w:color w:val="105C84"/>
          <w:w w:val="105"/>
        </w:rPr>
        <w:t>social</w:t>
      </w:r>
      <w:r>
        <w:rPr>
          <w:color w:val="105C84"/>
          <w:spacing w:val="-4"/>
          <w:w w:val="105"/>
        </w:rPr>
        <w:t> </w:t>
      </w:r>
      <w:r>
        <w:rPr>
          <w:color w:val="105C84"/>
          <w:w w:val="105"/>
        </w:rPr>
        <w:t>media</w:t>
      </w:r>
      <w:r>
        <w:rPr>
          <w:color w:val="105C84"/>
          <w:spacing w:val="-4"/>
          <w:w w:val="105"/>
        </w:rPr>
        <w:t> </w:t>
      </w:r>
      <w:r>
        <w:rPr>
          <w:color w:val="105C84"/>
          <w:w w:val="105"/>
        </w:rPr>
        <w:t>and</w:t>
      </w:r>
      <w:r>
        <w:rPr>
          <w:color w:val="105C84"/>
          <w:spacing w:val="-4"/>
          <w:w w:val="105"/>
        </w:rPr>
        <w:t> </w:t>
      </w:r>
      <w:r>
        <w:rPr>
          <w:color w:val="105C84"/>
          <w:w w:val="105"/>
        </w:rPr>
        <w:t>press</w:t>
      </w:r>
      <w:r>
        <w:rPr>
          <w:color w:val="105C84"/>
          <w:spacing w:val="-4"/>
          <w:w w:val="105"/>
        </w:rPr>
        <w:t> </w:t>
      </w:r>
      <w:r>
        <w:rPr>
          <w:color w:val="105C84"/>
          <w:w w:val="105"/>
        </w:rPr>
        <w:t>release.</w:t>
      </w:r>
    </w:p>
    <w:p>
      <w:pPr>
        <w:pStyle w:val="BodyText"/>
        <w:spacing w:line="247" w:lineRule="auto" w:before="178"/>
        <w:ind w:left="1068" w:right="12684"/>
      </w:pPr>
      <w:r>
        <w:rPr>
          <w:color w:val="105C84"/>
        </w:rPr>
        <w:t>Specific interventions to address the priority areas were selected at Ontario County Health Collaborative meetings by stakeholders who will be directly involved and affected by the Community</w:t>
      </w:r>
      <w:r>
        <w:rPr>
          <w:color w:val="105C84"/>
          <w:spacing w:val="80"/>
        </w:rPr>
        <w:t> </w:t>
      </w:r>
      <w:r>
        <w:rPr>
          <w:color w:val="105C84"/>
        </w:rPr>
        <w:t>Health Improvement Plan/Community Service Plan. Each member was expected to highlight</w:t>
      </w:r>
    </w:p>
    <w:p>
      <w:pPr>
        <w:pStyle w:val="BodyText"/>
        <w:spacing w:line="247" w:lineRule="auto"/>
        <w:ind w:left="1068" w:right="13013"/>
      </w:pPr>
      <w:r>
        <w:rPr>
          <w:color w:val="105C84"/>
        </w:rPr>
        <w:t>where resources already existed and could be leveraged. Coordinated efforts to promote and</w:t>
      </w:r>
      <w:r>
        <w:rPr>
          <w:color w:val="105C84"/>
          <w:spacing w:val="40"/>
        </w:rPr>
        <w:t> </w:t>
      </w:r>
      <w:r>
        <w:rPr>
          <w:color w:val="105C84"/>
        </w:rPr>
        <w:t>engage community members in selected initiatives will take place. A full description of objectives,</w:t>
      </w:r>
      <w:r>
        <w:rPr>
          <w:color w:val="105C84"/>
          <w:spacing w:val="80"/>
        </w:rPr>
        <w:t> </w:t>
      </w:r>
      <w:r>
        <w:rPr>
          <w:color w:val="105C84"/>
        </w:rPr>
        <w:t>interventions, process measures, partner roles and resources are available in the Ontario County</w:t>
      </w:r>
    </w:p>
    <w:p>
      <w:pPr>
        <w:pStyle w:val="BodyText"/>
        <w:rPr>
          <w:sz w:val="26"/>
        </w:rPr>
      </w:pPr>
    </w:p>
    <w:p>
      <w:pPr>
        <w:pStyle w:val="BodyText"/>
        <w:rPr>
          <w:sz w:val="26"/>
        </w:rPr>
      </w:pPr>
    </w:p>
    <w:p>
      <w:pPr>
        <w:pStyle w:val="BodyText"/>
        <w:spacing w:before="136"/>
        <w:rPr>
          <w:sz w:val="26"/>
        </w:rPr>
      </w:pPr>
    </w:p>
    <w:p>
      <w:pPr>
        <w:spacing w:before="0"/>
        <w:ind w:left="0" w:right="0" w:firstLine="0"/>
        <w:jc w:val="left"/>
        <w:rPr>
          <w:b/>
          <w:sz w:val="26"/>
        </w:rPr>
      </w:pPr>
      <w:r>
        <w:rPr>
          <w:b/>
          <w:sz w:val="26"/>
        </w:rPr>
        <mc:AlternateContent>
          <mc:Choice Requires="wps">
            <w:drawing>
              <wp:anchor distT="0" distB="0" distL="0" distR="0" allowOverlap="1" layoutInCell="1" locked="0" behindDoc="1" simplePos="0" relativeHeight="475044864">
                <wp:simplePos x="0" y="0"/>
                <wp:positionH relativeFrom="page">
                  <wp:posOffset>14698495</wp:posOffset>
                </wp:positionH>
                <wp:positionV relativeFrom="paragraph">
                  <wp:posOffset>-10190</wp:posOffset>
                </wp:positionV>
                <wp:extent cx="195580" cy="226060"/>
                <wp:effectExtent l="0" t="0" r="0" b="0"/>
                <wp:wrapNone/>
                <wp:docPr id="896" name="Textbox 896"/>
                <wp:cNvGraphicFramePr>
                  <a:graphicFrameLocks/>
                </wp:cNvGraphicFramePr>
                <a:graphic>
                  <a:graphicData uri="http://schemas.microsoft.com/office/word/2010/wordprocessingShape">
                    <wps:wsp>
                      <wps:cNvPr id="896" name="Textbox 896"/>
                      <wps:cNvSpPr txBox="1"/>
                      <wps:spPr>
                        <a:xfrm>
                          <a:off x="0" y="0"/>
                          <a:ext cx="195580" cy="226060"/>
                        </a:xfrm>
                        <a:prstGeom prst="rect">
                          <a:avLst/>
                        </a:prstGeom>
                      </wps:spPr>
                      <wps:txbx>
                        <w:txbxContent>
                          <w:p>
                            <w:pPr>
                              <w:spacing w:before="16"/>
                              <w:ind w:left="0" w:right="0" w:firstLine="0"/>
                              <w:jc w:val="left"/>
                              <w:rPr>
                                <w:b/>
                                <w:sz w:val="26"/>
                              </w:rPr>
                            </w:pPr>
                            <w:r>
                              <w:rPr>
                                <w:b/>
                                <w:color w:val="939598"/>
                                <w:spacing w:val="-5"/>
                                <w:w w:val="105"/>
                                <w:sz w:val="26"/>
                              </w:rPr>
                              <w:t>66</w:t>
                            </w:r>
                          </w:p>
                        </w:txbxContent>
                      </wps:txbx>
                      <wps:bodyPr wrap="square" lIns="0" tIns="0" rIns="0" bIns="0" rtlCol="0">
                        <a:noAutofit/>
                      </wps:bodyPr>
                    </wps:wsp>
                  </a:graphicData>
                </a:graphic>
              </wp:anchor>
            </w:drawing>
          </mc:Choice>
          <mc:Fallback>
            <w:pict>
              <v:shape style="position:absolute;margin-left:1157.361816pt;margin-top:-.802388pt;width:15.4pt;height:17.8pt;mso-position-horizontal-relative:page;mso-position-vertical-relative:paragraph;z-index:-28271616" type="#_x0000_t202" id="docshape731" filled="false" stroked="false">
                <v:textbox inset="0,0,0,0">
                  <w:txbxContent>
                    <w:p>
                      <w:pPr>
                        <w:spacing w:before="16"/>
                        <w:ind w:left="0" w:right="0" w:firstLine="0"/>
                        <w:jc w:val="left"/>
                        <w:rPr>
                          <w:b/>
                          <w:sz w:val="26"/>
                        </w:rPr>
                      </w:pPr>
                      <w:r>
                        <w:rPr>
                          <w:b/>
                          <w:color w:val="939598"/>
                          <w:spacing w:val="-5"/>
                          <w:w w:val="105"/>
                          <w:sz w:val="26"/>
                        </w:rPr>
                        <w:t>66</w:t>
                      </w:r>
                    </w:p>
                  </w:txbxContent>
                </v:textbox>
                <w10:wrap type="none"/>
              </v:shape>
            </w:pict>
          </mc:Fallback>
        </mc:AlternateContent>
      </w:r>
      <w:r>
        <w:rPr>
          <w:position w:val="-4"/>
        </w:rPr>
        <w:drawing>
          <wp:inline distT="0" distB="0" distL="0" distR="0">
            <wp:extent cx="568172" cy="184683"/>
            <wp:effectExtent l="0" t="0" r="0" b="0"/>
            <wp:docPr id="897" name="Image 897"/>
            <wp:cNvGraphicFramePr>
              <a:graphicFrameLocks/>
            </wp:cNvGraphicFramePr>
            <a:graphic>
              <a:graphicData uri="http://schemas.openxmlformats.org/drawingml/2006/picture">
                <pic:pic>
                  <pic:nvPicPr>
                    <pic:cNvPr id="897" name="Image 897"/>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80"/>
          <w:w w:val="105"/>
          <w:sz w:val="20"/>
        </w:rPr>
        <w:t> </w:t>
      </w:r>
      <w:r>
        <w:rPr>
          <w:b/>
          <w:color w:val="939598"/>
          <w:w w:val="105"/>
          <w:sz w:val="26"/>
        </w:rPr>
        <w:t>65</w:t>
      </w:r>
    </w:p>
    <w:p>
      <w:pPr>
        <w:spacing w:after="0"/>
        <w:jc w:val="left"/>
        <w:rPr>
          <w:b/>
          <w:sz w:val="26"/>
        </w:rPr>
        <w:sectPr>
          <w:type w:val="continuous"/>
          <w:pgSz w:w="24480" w:h="15840" w:orient="landscape"/>
          <w:pgMar w:header="0" w:footer="0" w:top="0" w:bottom="280" w:left="0" w:right="720"/>
        </w:sectPr>
      </w:pPr>
    </w:p>
    <w:p>
      <w:pPr>
        <w:pStyle w:val="BodyText"/>
        <w:rPr>
          <w:b/>
          <w:sz w:val="20"/>
        </w:rPr>
      </w:pPr>
    </w:p>
    <w:p>
      <w:pPr>
        <w:pStyle w:val="BodyText"/>
        <w:spacing w:before="16"/>
        <w:rPr>
          <w:b/>
          <w:sz w:val="20"/>
        </w:rPr>
      </w:pPr>
    </w:p>
    <w:p>
      <w:pPr>
        <w:pStyle w:val="BodyText"/>
        <w:spacing w:after="0"/>
        <w:rPr>
          <w:b/>
          <w:sz w:val="20"/>
        </w:rPr>
        <w:sectPr>
          <w:pgSz w:w="24480" w:h="15840" w:orient="landscape"/>
          <w:pgMar w:header="0" w:footer="0" w:top="860" w:bottom="0" w:left="0" w:right="720"/>
        </w:sectPr>
      </w:pPr>
    </w:p>
    <w:p>
      <w:pPr>
        <w:pStyle w:val="Heading3"/>
        <w:spacing w:before="120"/>
        <w:ind w:left="1080"/>
      </w:pPr>
      <w:bookmarkStart w:name="_TOC_250012" w:id="7"/>
      <w:r>
        <w:rPr>
          <w:color w:val="82BF6A"/>
          <w:w w:val="90"/>
        </w:rPr>
        <w:t>SCHUYLER</w:t>
      </w:r>
      <w:r>
        <w:rPr>
          <w:color w:val="82BF6A"/>
          <w:spacing w:val="40"/>
        </w:rPr>
        <w:t> </w:t>
      </w:r>
      <w:bookmarkEnd w:id="7"/>
      <w:r>
        <w:rPr>
          <w:color w:val="82BF6A"/>
          <w:spacing w:val="-2"/>
        </w:rPr>
        <w:t>COUNTY</w:t>
      </w:r>
    </w:p>
    <w:p>
      <w:pPr>
        <w:pStyle w:val="Heading6"/>
        <w:spacing w:before="258"/>
      </w:pPr>
      <w:r>
        <w:rPr>
          <w:color w:val="105C84"/>
          <w:spacing w:val="-6"/>
        </w:rPr>
        <w:t>Demographic</w:t>
      </w:r>
      <w:r>
        <w:rPr>
          <w:color w:val="105C84"/>
          <w:spacing w:val="-8"/>
        </w:rPr>
        <w:t> </w:t>
      </w:r>
      <w:r>
        <w:rPr>
          <w:color w:val="105C84"/>
          <w:spacing w:val="-6"/>
        </w:rPr>
        <w:t>and</w:t>
      </w:r>
      <w:r>
        <w:rPr>
          <w:color w:val="105C84"/>
          <w:spacing w:val="-8"/>
        </w:rPr>
        <w:t> </w:t>
      </w:r>
      <w:r>
        <w:rPr>
          <w:color w:val="105C84"/>
          <w:spacing w:val="-6"/>
        </w:rPr>
        <w:t>Socioeconomic</w:t>
      </w:r>
      <w:r>
        <w:rPr>
          <w:color w:val="105C84"/>
          <w:spacing w:val="-8"/>
        </w:rPr>
        <w:t> </w:t>
      </w:r>
      <w:r>
        <w:rPr>
          <w:color w:val="105C84"/>
          <w:spacing w:val="-6"/>
        </w:rPr>
        <w:t>Health</w:t>
      </w:r>
      <w:r>
        <w:rPr>
          <w:color w:val="105C84"/>
          <w:spacing w:val="-7"/>
        </w:rPr>
        <w:t> </w:t>
      </w:r>
      <w:r>
        <w:rPr>
          <w:color w:val="105C84"/>
          <w:spacing w:val="-6"/>
        </w:rPr>
        <w:t>Indicators</w:t>
      </w:r>
    </w:p>
    <w:p>
      <w:pPr>
        <w:pStyle w:val="BodyText"/>
        <w:spacing w:line="247" w:lineRule="auto" w:before="228"/>
        <w:ind w:left="1080"/>
      </w:pPr>
      <w:r>
        <w:rPr>
          <w:color w:val="105C84"/>
        </w:rPr>
        <w:t>Schuyler County is home to the southern tip of Seneca Lake and Watkins Glen State Park and has the smallest</w:t>
      </w:r>
      <w:r>
        <w:rPr>
          <w:color w:val="105C84"/>
          <w:spacing w:val="13"/>
        </w:rPr>
        <w:t> </w:t>
      </w:r>
      <w:r>
        <w:rPr>
          <w:color w:val="105C84"/>
        </w:rPr>
        <w:t>county</w:t>
      </w:r>
      <w:r>
        <w:rPr>
          <w:color w:val="105C84"/>
          <w:spacing w:val="14"/>
        </w:rPr>
        <w:t> </w:t>
      </w:r>
      <w:r>
        <w:rPr>
          <w:color w:val="105C84"/>
        </w:rPr>
        <w:t>population</w:t>
      </w:r>
      <w:r>
        <w:rPr>
          <w:color w:val="105C84"/>
          <w:spacing w:val="13"/>
        </w:rPr>
        <w:t> </w:t>
      </w:r>
      <w:r>
        <w:rPr>
          <w:color w:val="105C84"/>
        </w:rPr>
        <w:t>in</w:t>
      </w:r>
      <w:r>
        <w:rPr>
          <w:color w:val="105C84"/>
          <w:spacing w:val="14"/>
        </w:rPr>
        <w:t> </w:t>
      </w:r>
      <w:r>
        <w:rPr>
          <w:color w:val="105C84"/>
        </w:rPr>
        <w:t>the</w:t>
      </w:r>
      <w:r>
        <w:rPr>
          <w:color w:val="105C84"/>
          <w:spacing w:val="13"/>
        </w:rPr>
        <w:t> </w:t>
      </w:r>
      <w:r>
        <w:rPr>
          <w:color w:val="105C84"/>
        </w:rPr>
        <w:t>region.</w:t>
      </w:r>
      <w:r>
        <w:rPr>
          <w:color w:val="105C84"/>
          <w:spacing w:val="14"/>
        </w:rPr>
        <w:t> </w:t>
      </w:r>
      <w:r>
        <w:rPr>
          <w:color w:val="105C84"/>
        </w:rPr>
        <w:t>A</w:t>
      </w:r>
      <w:r>
        <w:rPr>
          <w:color w:val="105C84"/>
          <w:spacing w:val="13"/>
        </w:rPr>
        <w:t> </w:t>
      </w:r>
      <w:r>
        <w:rPr>
          <w:color w:val="105C84"/>
        </w:rPr>
        <w:t>total</w:t>
      </w:r>
      <w:r>
        <w:rPr>
          <w:color w:val="105C84"/>
          <w:spacing w:val="14"/>
        </w:rPr>
        <w:t> </w:t>
      </w:r>
      <w:r>
        <w:rPr>
          <w:color w:val="105C84"/>
        </w:rPr>
        <w:t>of</w:t>
      </w:r>
      <w:r>
        <w:rPr>
          <w:color w:val="105C84"/>
          <w:spacing w:val="13"/>
        </w:rPr>
        <w:t> </w:t>
      </w:r>
      <w:r>
        <w:rPr>
          <w:color w:val="105C84"/>
        </w:rPr>
        <w:t>18,112</w:t>
      </w:r>
      <w:r>
        <w:rPr>
          <w:color w:val="105C84"/>
          <w:spacing w:val="14"/>
        </w:rPr>
        <w:t> </w:t>
      </w:r>
      <w:r>
        <w:rPr>
          <w:color w:val="105C84"/>
        </w:rPr>
        <w:t>people</w:t>
      </w:r>
      <w:r>
        <w:rPr>
          <w:color w:val="105C84"/>
          <w:spacing w:val="13"/>
        </w:rPr>
        <w:t> </w:t>
      </w:r>
      <w:r>
        <w:rPr>
          <w:color w:val="105C84"/>
        </w:rPr>
        <w:t>permanently</w:t>
      </w:r>
      <w:r>
        <w:rPr>
          <w:color w:val="105C84"/>
          <w:spacing w:val="14"/>
        </w:rPr>
        <w:t> </w:t>
      </w:r>
      <w:r>
        <w:rPr>
          <w:color w:val="105C84"/>
        </w:rPr>
        <w:t>live</w:t>
      </w:r>
      <w:r>
        <w:rPr>
          <w:color w:val="105C84"/>
          <w:spacing w:val="13"/>
        </w:rPr>
        <w:t> </w:t>
      </w:r>
      <w:r>
        <w:rPr>
          <w:color w:val="105C84"/>
        </w:rPr>
        <w:t>in</w:t>
      </w:r>
      <w:r>
        <w:rPr>
          <w:color w:val="105C84"/>
          <w:spacing w:val="14"/>
        </w:rPr>
        <w:t> </w:t>
      </w:r>
      <w:r>
        <w:rPr>
          <w:color w:val="105C84"/>
        </w:rPr>
        <w:t>the</w:t>
      </w:r>
      <w:r>
        <w:rPr>
          <w:color w:val="105C84"/>
          <w:spacing w:val="13"/>
        </w:rPr>
        <w:t> </w:t>
      </w:r>
      <w:r>
        <w:rPr>
          <w:color w:val="105C84"/>
        </w:rPr>
        <w:t>county,</w:t>
      </w:r>
      <w:r>
        <w:rPr>
          <w:color w:val="105C84"/>
          <w:spacing w:val="14"/>
        </w:rPr>
        <w:t> </w:t>
      </w:r>
      <w:r>
        <w:rPr>
          <w:color w:val="105C84"/>
          <w:spacing w:val="-5"/>
        </w:rPr>
        <w:t>the</w:t>
      </w:r>
    </w:p>
    <w:p>
      <w:pPr>
        <w:pStyle w:val="BodyText"/>
        <w:spacing w:line="247" w:lineRule="auto" w:before="113"/>
        <w:ind w:left="1080"/>
      </w:pPr>
      <w:r>
        <w:rPr/>
        <w:br w:type="column"/>
      </w:r>
      <w:r>
        <w:rPr>
          <w:color w:val="105C84"/>
        </w:rPr>
        <w:t>Over the past 5 years, there has been a slight shift in educational attainment where there are more residents aged 25+ with a Bachelor’s degree or higher than in years past (Figure 29).</w:t>
      </w:r>
    </w:p>
    <w:p>
      <w:pPr>
        <w:pStyle w:val="BodyText"/>
        <w:spacing w:before="19"/>
      </w:pPr>
    </w:p>
    <w:p>
      <w:pPr>
        <w:pStyle w:val="Heading6"/>
      </w:pPr>
      <w:r>
        <w:rPr>
          <w:color w:val="105C84"/>
          <w:spacing w:val="-4"/>
        </w:rPr>
        <w:t>FIGURE</w:t>
      </w:r>
      <w:r>
        <w:rPr>
          <w:color w:val="105C84"/>
          <w:spacing w:val="-7"/>
        </w:rPr>
        <w:t> </w:t>
      </w:r>
      <w:r>
        <w:rPr>
          <w:color w:val="105C84"/>
          <w:spacing w:val="-4"/>
        </w:rPr>
        <w:t>29:</w:t>
      </w:r>
      <w:r>
        <w:rPr>
          <w:color w:val="105C84"/>
          <w:spacing w:val="-7"/>
        </w:rPr>
        <w:t> </w:t>
      </w:r>
      <w:r>
        <w:rPr>
          <w:color w:val="105C84"/>
          <w:spacing w:val="-4"/>
        </w:rPr>
        <w:t>Educational</w:t>
      </w:r>
      <w:r>
        <w:rPr>
          <w:color w:val="105C84"/>
          <w:spacing w:val="-7"/>
        </w:rPr>
        <w:t> </w:t>
      </w:r>
      <w:r>
        <w:rPr>
          <w:color w:val="105C84"/>
          <w:spacing w:val="-4"/>
        </w:rPr>
        <w:t>attainment</w:t>
      </w:r>
      <w:r>
        <w:rPr>
          <w:color w:val="105C84"/>
          <w:spacing w:val="-7"/>
        </w:rPr>
        <w:t> </w:t>
      </w:r>
      <w:r>
        <w:rPr>
          <w:color w:val="105C84"/>
          <w:spacing w:val="-4"/>
        </w:rPr>
        <w:t>for</w:t>
      </w:r>
      <w:r>
        <w:rPr>
          <w:color w:val="105C84"/>
          <w:spacing w:val="-7"/>
        </w:rPr>
        <w:t> </w:t>
      </w:r>
      <w:r>
        <w:rPr>
          <w:color w:val="105C84"/>
          <w:spacing w:val="-4"/>
        </w:rPr>
        <w:t>Schuyler</w:t>
      </w:r>
      <w:r>
        <w:rPr>
          <w:color w:val="105C84"/>
          <w:spacing w:val="-7"/>
        </w:rPr>
        <w:t> </w:t>
      </w:r>
      <w:r>
        <w:rPr>
          <w:color w:val="105C84"/>
          <w:spacing w:val="-4"/>
        </w:rPr>
        <w:t>County</w:t>
      </w:r>
      <w:r>
        <w:rPr>
          <w:color w:val="105C84"/>
          <w:spacing w:val="-7"/>
        </w:rPr>
        <w:t> </w:t>
      </w:r>
      <w:r>
        <w:rPr>
          <w:color w:val="105C84"/>
          <w:spacing w:val="-4"/>
        </w:rPr>
        <w:t>by</w:t>
      </w:r>
      <w:r>
        <w:rPr>
          <w:color w:val="105C84"/>
          <w:spacing w:val="-6"/>
        </w:rPr>
        <w:t> </w:t>
      </w:r>
      <w:r>
        <w:rPr>
          <w:color w:val="105C84"/>
          <w:spacing w:val="-4"/>
        </w:rPr>
        <w:t>year</w:t>
      </w:r>
    </w:p>
    <w:p>
      <w:pPr>
        <w:pStyle w:val="Heading6"/>
        <w:spacing w:after="0"/>
        <w:sectPr>
          <w:type w:val="continuous"/>
          <w:pgSz w:w="24480" w:h="15840" w:orient="landscape"/>
          <w:pgMar w:header="0" w:footer="0" w:top="0" w:bottom="280" w:left="0" w:right="720"/>
          <w:cols w:num="2" w:equalWidth="0">
            <w:col w:w="11149" w:space="1105"/>
            <w:col w:w="11506"/>
          </w:cols>
        </w:sectPr>
      </w:pPr>
    </w:p>
    <w:p>
      <w:pPr>
        <w:pStyle w:val="BodyText"/>
        <w:spacing w:line="247" w:lineRule="auto" w:before="39"/>
        <w:ind w:left="1080" w:right="122"/>
      </w:pPr>
      <w:r>
        <w:rPr/>
        <mc:AlternateContent>
          <mc:Choice Requires="wps">
            <w:drawing>
              <wp:anchor distT="0" distB="0" distL="0" distR="0" allowOverlap="1" layoutInCell="1" locked="0" behindDoc="0" simplePos="0" relativeHeight="15822336">
                <wp:simplePos x="0" y="0"/>
                <wp:positionH relativeFrom="page">
                  <wp:posOffset>8663470</wp:posOffset>
                </wp:positionH>
                <wp:positionV relativeFrom="paragraph">
                  <wp:posOffset>146980</wp:posOffset>
                </wp:positionV>
                <wp:extent cx="5949950" cy="1428115"/>
                <wp:effectExtent l="0" t="0" r="0" b="0"/>
                <wp:wrapNone/>
                <wp:docPr id="898" name="Group 898"/>
                <wp:cNvGraphicFramePr>
                  <a:graphicFrameLocks/>
                </wp:cNvGraphicFramePr>
                <a:graphic>
                  <a:graphicData uri="http://schemas.microsoft.com/office/word/2010/wordprocessingGroup">
                    <wpg:wgp>
                      <wpg:cNvPr id="898" name="Group 898"/>
                      <wpg:cNvGrpSpPr/>
                      <wpg:grpSpPr>
                        <a:xfrm>
                          <a:off x="0" y="0"/>
                          <a:ext cx="5949950" cy="1428115"/>
                          <a:chExt cx="5949950" cy="1428115"/>
                        </a:xfrm>
                      </wpg:grpSpPr>
                      <pic:pic>
                        <pic:nvPicPr>
                          <pic:cNvPr id="899" name="Image 899"/>
                          <pic:cNvPicPr/>
                        </pic:nvPicPr>
                        <pic:blipFill>
                          <a:blip r:embed="rId138" cstate="print"/>
                          <a:stretch>
                            <a:fillRect/>
                          </a:stretch>
                        </pic:blipFill>
                        <pic:spPr>
                          <a:xfrm>
                            <a:off x="403148" y="30831"/>
                            <a:ext cx="444487" cy="160832"/>
                          </a:xfrm>
                          <a:prstGeom prst="rect">
                            <a:avLst/>
                          </a:prstGeom>
                        </pic:spPr>
                      </pic:pic>
                      <pic:pic>
                        <pic:nvPicPr>
                          <pic:cNvPr id="900" name="Image 900"/>
                          <pic:cNvPicPr/>
                        </pic:nvPicPr>
                        <pic:blipFill>
                          <a:blip r:embed="rId139" cstate="print"/>
                          <a:stretch>
                            <a:fillRect/>
                          </a:stretch>
                        </pic:blipFill>
                        <pic:spPr>
                          <a:xfrm>
                            <a:off x="403148" y="90077"/>
                            <a:ext cx="444487" cy="203225"/>
                          </a:xfrm>
                          <a:prstGeom prst="rect">
                            <a:avLst/>
                          </a:prstGeom>
                        </pic:spPr>
                      </pic:pic>
                      <pic:pic>
                        <pic:nvPicPr>
                          <pic:cNvPr id="901" name="Image 901"/>
                          <pic:cNvPicPr/>
                        </pic:nvPicPr>
                        <pic:blipFill>
                          <a:blip r:embed="rId140" cstate="print"/>
                          <a:stretch>
                            <a:fillRect/>
                          </a:stretch>
                        </pic:blipFill>
                        <pic:spPr>
                          <a:xfrm>
                            <a:off x="403148" y="191702"/>
                            <a:ext cx="444487" cy="203225"/>
                          </a:xfrm>
                          <a:prstGeom prst="rect">
                            <a:avLst/>
                          </a:prstGeom>
                        </pic:spPr>
                      </pic:pic>
                      <pic:pic>
                        <pic:nvPicPr>
                          <pic:cNvPr id="902" name="Image 902"/>
                          <pic:cNvPicPr/>
                        </pic:nvPicPr>
                        <pic:blipFill>
                          <a:blip r:embed="rId141" cstate="print"/>
                          <a:stretch>
                            <a:fillRect/>
                          </a:stretch>
                        </pic:blipFill>
                        <pic:spPr>
                          <a:xfrm>
                            <a:off x="2384336" y="195944"/>
                            <a:ext cx="444525" cy="198983"/>
                          </a:xfrm>
                          <a:prstGeom prst="rect">
                            <a:avLst/>
                          </a:prstGeom>
                        </pic:spPr>
                      </pic:pic>
                      <pic:pic>
                        <pic:nvPicPr>
                          <pic:cNvPr id="903" name="Image 903"/>
                          <pic:cNvPicPr/>
                        </pic:nvPicPr>
                        <pic:blipFill>
                          <a:blip r:embed="rId142" cstate="print"/>
                          <a:stretch>
                            <a:fillRect/>
                          </a:stretch>
                        </pic:blipFill>
                        <pic:spPr>
                          <a:xfrm>
                            <a:off x="403148" y="293340"/>
                            <a:ext cx="444487" cy="203161"/>
                          </a:xfrm>
                          <a:prstGeom prst="rect">
                            <a:avLst/>
                          </a:prstGeom>
                        </pic:spPr>
                      </pic:pic>
                      <pic:pic>
                        <pic:nvPicPr>
                          <pic:cNvPr id="904" name="Image 904"/>
                          <pic:cNvPicPr/>
                        </pic:nvPicPr>
                        <pic:blipFill>
                          <a:blip r:embed="rId90" cstate="print"/>
                          <a:stretch>
                            <a:fillRect/>
                          </a:stretch>
                        </pic:blipFill>
                        <pic:spPr>
                          <a:xfrm>
                            <a:off x="2384336" y="293340"/>
                            <a:ext cx="444525" cy="203161"/>
                          </a:xfrm>
                          <a:prstGeom prst="rect">
                            <a:avLst/>
                          </a:prstGeom>
                        </pic:spPr>
                      </pic:pic>
                      <pic:pic>
                        <pic:nvPicPr>
                          <pic:cNvPr id="905" name="Image 905"/>
                          <pic:cNvPicPr/>
                        </pic:nvPicPr>
                        <pic:blipFill>
                          <a:blip r:embed="rId142" cstate="print"/>
                          <a:stretch>
                            <a:fillRect/>
                          </a:stretch>
                        </pic:blipFill>
                        <pic:spPr>
                          <a:xfrm>
                            <a:off x="403148" y="394915"/>
                            <a:ext cx="444487" cy="203149"/>
                          </a:xfrm>
                          <a:prstGeom prst="rect">
                            <a:avLst/>
                          </a:prstGeom>
                        </pic:spPr>
                      </pic:pic>
                      <pic:pic>
                        <pic:nvPicPr>
                          <pic:cNvPr id="906" name="Image 906"/>
                          <pic:cNvPicPr/>
                        </pic:nvPicPr>
                        <pic:blipFill>
                          <a:blip r:embed="rId90" cstate="print"/>
                          <a:stretch>
                            <a:fillRect/>
                          </a:stretch>
                        </pic:blipFill>
                        <pic:spPr>
                          <a:xfrm>
                            <a:off x="2384336" y="394915"/>
                            <a:ext cx="444525" cy="203149"/>
                          </a:xfrm>
                          <a:prstGeom prst="rect">
                            <a:avLst/>
                          </a:prstGeom>
                        </pic:spPr>
                      </pic:pic>
                      <pic:pic>
                        <pic:nvPicPr>
                          <pic:cNvPr id="907" name="Image 907"/>
                          <pic:cNvPicPr/>
                        </pic:nvPicPr>
                        <pic:blipFill>
                          <a:blip r:embed="rId142" cstate="print"/>
                          <a:stretch>
                            <a:fillRect/>
                          </a:stretch>
                        </pic:blipFill>
                        <pic:spPr>
                          <a:xfrm>
                            <a:off x="403148" y="496502"/>
                            <a:ext cx="444487" cy="203161"/>
                          </a:xfrm>
                          <a:prstGeom prst="rect">
                            <a:avLst/>
                          </a:prstGeom>
                        </pic:spPr>
                      </pic:pic>
                      <pic:pic>
                        <pic:nvPicPr>
                          <pic:cNvPr id="908" name="Image 908"/>
                          <pic:cNvPicPr/>
                        </pic:nvPicPr>
                        <pic:blipFill>
                          <a:blip r:embed="rId90" cstate="print"/>
                          <a:stretch>
                            <a:fillRect/>
                          </a:stretch>
                        </pic:blipFill>
                        <pic:spPr>
                          <a:xfrm>
                            <a:off x="2384336" y="496502"/>
                            <a:ext cx="444525" cy="203161"/>
                          </a:xfrm>
                          <a:prstGeom prst="rect">
                            <a:avLst/>
                          </a:prstGeom>
                        </pic:spPr>
                      </pic:pic>
                      <pic:pic>
                        <pic:nvPicPr>
                          <pic:cNvPr id="909" name="Image 909"/>
                          <pic:cNvPicPr/>
                        </pic:nvPicPr>
                        <pic:blipFill>
                          <a:blip r:embed="rId143" cstate="print"/>
                          <a:stretch>
                            <a:fillRect/>
                          </a:stretch>
                        </pic:blipFill>
                        <pic:spPr>
                          <a:xfrm>
                            <a:off x="403148" y="598089"/>
                            <a:ext cx="444487" cy="203250"/>
                          </a:xfrm>
                          <a:prstGeom prst="rect">
                            <a:avLst/>
                          </a:prstGeom>
                        </pic:spPr>
                      </pic:pic>
                      <pic:pic>
                        <pic:nvPicPr>
                          <pic:cNvPr id="910" name="Image 910"/>
                          <pic:cNvPicPr/>
                        </pic:nvPicPr>
                        <pic:blipFill>
                          <a:blip r:embed="rId87" cstate="print"/>
                          <a:stretch>
                            <a:fillRect/>
                          </a:stretch>
                        </pic:blipFill>
                        <pic:spPr>
                          <a:xfrm>
                            <a:off x="2384336" y="598089"/>
                            <a:ext cx="444525" cy="203250"/>
                          </a:xfrm>
                          <a:prstGeom prst="rect">
                            <a:avLst/>
                          </a:prstGeom>
                        </pic:spPr>
                      </pic:pic>
                      <pic:pic>
                        <pic:nvPicPr>
                          <pic:cNvPr id="911" name="Image 911"/>
                          <pic:cNvPicPr/>
                        </pic:nvPicPr>
                        <pic:blipFill>
                          <a:blip r:embed="rId144" cstate="print"/>
                          <a:stretch>
                            <a:fillRect/>
                          </a:stretch>
                        </pic:blipFill>
                        <pic:spPr>
                          <a:xfrm>
                            <a:off x="403148" y="699677"/>
                            <a:ext cx="444487" cy="203250"/>
                          </a:xfrm>
                          <a:prstGeom prst="rect">
                            <a:avLst/>
                          </a:prstGeom>
                        </pic:spPr>
                      </pic:pic>
                      <pic:pic>
                        <pic:nvPicPr>
                          <pic:cNvPr id="912" name="Image 912"/>
                          <pic:cNvPicPr/>
                        </pic:nvPicPr>
                        <pic:blipFill>
                          <a:blip r:embed="rId145" cstate="print"/>
                          <a:stretch>
                            <a:fillRect/>
                          </a:stretch>
                        </pic:blipFill>
                        <pic:spPr>
                          <a:xfrm>
                            <a:off x="2384336" y="699677"/>
                            <a:ext cx="444525" cy="203250"/>
                          </a:xfrm>
                          <a:prstGeom prst="rect">
                            <a:avLst/>
                          </a:prstGeom>
                        </pic:spPr>
                      </pic:pic>
                      <pic:pic>
                        <pic:nvPicPr>
                          <pic:cNvPr id="913" name="Image 913"/>
                          <pic:cNvPicPr/>
                        </pic:nvPicPr>
                        <pic:blipFill>
                          <a:blip r:embed="rId146" cstate="print"/>
                          <a:stretch>
                            <a:fillRect/>
                          </a:stretch>
                        </pic:blipFill>
                        <pic:spPr>
                          <a:xfrm>
                            <a:off x="403148" y="801277"/>
                            <a:ext cx="444487" cy="203238"/>
                          </a:xfrm>
                          <a:prstGeom prst="rect">
                            <a:avLst/>
                          </a:prstGeom>
                        </pic:spPr>
                      </pic:pic>
                      <pic:pic>
                        <pic:nvPicPr>
                          <pic:cNvPr id="914" name="Image 914"/>
                          <pic:cNvPicPr/>
                        </pic:nvPicPr>
                        <pic:blipFill>
                          <a:blip r:embed="rId89" cstate="print"/>
                          <a:stretch>
                            <a:fillRect/>
                          </a:stretch>
                        </pic:blipFill>
                        <pic:spPr>
                          <a:xfrm>
                            <a:off x="2384336" y="801277"/>
                            <a:ext cx="444525" cy="203238"/>
                          </a:xfrm>
                          <a:prstGeom prst="rect">
                            <a:avLst/>
                          </a:prstGeom>
                        </pic:spPr>
                      </pic:pic>
                      <pic:pic>
                        <pic:nvPicPr>
                          <pic:cNvPr id="915" name="Image 915"/>
                          <pic:cNvPicPr/>
                        </pic:nvPicPr>
                        <pic:blipFill>
                          <a:blip r:embed="rId147" cstate="print"/>
                          <a:stretch>
                            <a:fillRect/>
                          </a:stretch>
                        </pic:blipFill>
                        <pic:spPr>
                          <a:xfrm>
                            <a:off x="4365548" y="830906"/>
                            <a:ext cx="444500" cy="173609"/>
                          </a:xfrm>
                          <a:prstGeom prst="rect">
                            <a:avLst/>
                          </a:prstGeom>
                        </pic:spPr>
                      </pic:pic>
                      <pic:pic>
                        <pic:nvPicPr>
                          <pic:cNvPr id="916" name="Image 916"/>
                          <pic:cNvPicPr/>
                        </pic:nvPicPr>
                        <pic:blipFill>
                          <a:blip r:embed="rId142" cstate="print"/>
                          <a:stretch>
                            <a:fillRect/>
                          </a:stretch>
                        </pic:blipFill>
                        <pic:spPr>
                          <a:xfrm>
                            <a:off x="403148" y="902928"/>
                            <a:ext cx="444487" cy="203174"/>
                          </a:xfrm>
                          <a:prstGeom prst="rect">
                            <a:avLst/>
                          </a:prstGeom>
                        </pic:spPr>
                      </pic:pic>
                      <pic:pic>
                        <pic:nvPicPr>
                          <pic:cNvPr id="917" name="Image 917"/>
                          <pic:cNvPicPr/>
                        </pic:nvPicPr>
                        <pic:blipFill>
                          <a:blip r:embed="rId90" cstate="print"/>
                          <a:stretch>
                            <a:fillRect/>
                          </a:stretch>
                        </pic:blipFill>
                        <pic:spPr>
                          <a:xfrm>
                            <a:off x="2384336" y="902928"/>
                            <a:ext cx="444525" cy="203161"/>
                          </a:xfrm>
                          <a:prstGeom prst="rect">
                            <a:avLst/>
                          </a:prstGeom>
                        </pic:spPr>
                      </pic:pic>
                      <pic:pic>
                        <pic:nvPicPr>
                          <pic:cNvPr id="918" name="Image 918"/>
                          <pic:cNvPicPr/>
                        </pic:nvPicPr>
                        <pic:blipFill>
                          <a:blip r:embed="rId142" cstate="print"/>
                          <a:stretch>
                            <a:fillRect/>
                          </a:stretch>
                        </pic:blipFill>
                        <pic:spPr>
                          <a:xfrm>
                            <a:off x="4365548" y="902928"/>
                            <a:ext cx="444500" cy="203174"/>
                          </a:xfrm>
                          <a:prstGeom prst="rect">
                            <a:avLst/>
                          </a:prstGeom>
                        </pic:spPr>
                      </pic:pic>
                      <pic:pic>
                        <pic:nvPicPr>
                          <pic:cNvPr id="919" name="Image 919"/>
                          <pic:cNvPicPr/>
                        </pic:nvPicPr>
                        <pic:blipFill>
                          <a:blip r:embed="rId142" cstate="print"/>
                          <a:stretch>
                            <a:fillRect/>
                          </a:stretch>
                        </pic:blipFill>
                        <pic:spPr>
                          <a:xfrm>
                            <a:off x="403148" y="1004502"/>
                            <a:ext cx="444487" cy="203174"/>
                          </a:xfrm>
                          <a:prstGeom prst="rect">
                            <a:avLst/>
                          </a:prstGeom>
                        </pic:spPr>
                      </pic:pic>
                      <pic:pic>
                        <pic:nvPicPr>
                          <pic:cNvPr id="920" name="Image 920"/>
                          <pic:cNvPicPr/>
                        </pic:nvPicPr>
                        <pic:blipFill>
                          <a:blip r:embed="rId90" cstate="print"/>
                          <a:stretch>
                            <a:fillRect/>
                          </a:stretch>
                        </pic:blipFill>
                        <pic:spPr>
                          <a:xfrm>
                            <a:off x="2384336" y="1004502"/>
                            <a:ext cx="444525" cy="203174"/>
                          </a:xfrm>
                          <a:prstGeom prst="rect">
                            <a:avLst/>
                          </a:prstGeom>
                        </pic:spPr>
                      </pic:pic>
                      <pic:pic>
                        <pic:nvPicPr>
                          <pic:cNvPr id="921" name="Image 921"/>
                          <pic:cNvPicPr/>
                        </pic:nvPicPr>
                        <pic:blipFill>
                          <a:blip r:embed="rId142" cstate="print"/>
                          <a:stretch>
                            <a:fillRect/>
                          </a:stretch>
                        </pic:blipFill>
                        <pic:spPr>
                          <a:xfrm>
                            <a:off x="4365548" y="1004502"/>
                            <a:ext cx="444500" cy="203174"/>
                          </a:xfrm>
                          <a:prstGeom prst="rect">
                            <a:avLst/>
                          </a:prstGeom>
                        </pic:spPr>
                      </pic:pic>
                      <pic:pic>
                        <pic:nvPicPr>
                          <pic:cNvPr id="922" name="Image 922"/>
                          <pic:cNvPicPr/>
                        </pic:nvPicPr>
                        <pic:blipFill>
                          <a:blip r:embed="rId142" cstate="print"/>
                          <a:stretch>
                            <a:fillRect/>
                          </a:stretch>
                        </pic:blipFill>
                        <pic:spPr>
                          <a:xfrm>
                            <a:off x="403148" y="1106089"/>
                            <a:ext cx="444487" cy="203174"/>
                          </a:xfrm>
                          <a:prstGeom prst="rect">
                            <a:avLst/>
                          </a:prstGeom>
                        </pic:spPr>
                      </pic:pic>
                      <pic:pic>
                        <pic:nvPicPr>
                          <pic:cNvPr id="923" name="Image 923"/>
                          <pic:cNvPicPr/>
                        </pic:nvPicPr>
                        <pic:blipFill>
                          <a:blip r:embed="rId90" cstate="print"/>
                          <a:stretch>
                            <a:fillRect/>
                          </a:stretch>
                        </pic:blipFill>
                        <pic:spPr>
                          <a:xfrm>
                            <a:off x="2384336" y="1106089"/>
                            <a:ext cx="444525" cy="203174"/>
                          </a:xfrm>
                          <a:prstGeom prst="rect">
                            <a:avLst/>
                          </a:prstGeom>
                        </pic:spPr>
                      </pic:pic>
                      <pic:pic>
                        <pic:nvPicPr>
                          <pic:cNvPr id="924" name="Image 924"/>
                          <pic:cNvPicPr/>
                        </pic:nvPicPr>
                        <pic:blipFill>
                          <a:blip r:embed="rId142" cstate="print"/>
                          <a:stretch>
                            <a:fillRect/>
                          </a:stretch>
                        </pic:blipFill>
                        <pic:spPr>
                          <a:xfrm>
                            <a:off x="4365548" y="1106089"/>
                            <a:ext cx="444500" cy="203174"/>
                          </a:xfrm>
                          <a:prstGeom prst="rect">
                            <a:avLst/>
                          </a:prstGeom>
                        </pic:spPr>
                      </pic:pic>
                      <pic:pic>
                        <pic:nvPicPr>
                          <pic:cNvPr id="925" name="Image 925"/>
                          <pic:cNvPicPr/>
                        </pic:nvPicPr>
                        <pic:blipFill>
                          <a:blip r:embed="rId143" cstate="print"/>
                          <a:stretch>
                            <a:fillRect/>
                          </a:stretch>
                        </pic:blipFill>
                        <pic:spPr>
                          <a:xfrm>
                            <a:off x="403148" y="1207677"/>
                            <a:ext cx="444487" cy="203263"/>
                          </a:xfrm>
                          <a:prstGeom prst="rect">
                            <a:avLst/>
                          </a:prstGeom>
                        </pic:spPr>
                      </pic:pic>
                      <pic:pic>
                        <pic:nvPicPr>
                          <pic:cNvPr id="926" name="Image 926"/>
                          <pic:cNvPicPr/>
                        </pic:nvPicPr>
                        <pic:blipFill>
                          <a:blip r:embed="rId87" cstate="print"/>
                          <a:stretch>
                            <a:fillRect/>
                          </a:stretch>
                        </pic:blipFill>
                        <pic:spPr>
                          <a:xfrm>
                            <a:off x="2384336" y="1207677"/>
                            <a:ext cx="444525" cy="203263"/>
                          </a:xfrm>
                          <a:prstGeom prst="rect">
                            <a:avLst/>
                          </a:prstGeom>
                        </pic:spPr>
                      </pic:pic>
                      <pic:pic>
                        <pic:nvPicPr>
                          <pic:cNvPr id="927" name="Image 927"/>
                          <pic:cNvPicPr/>
                        </pic:nvPicPr>
                        <pic:blipFill>
                          <a:blip r:embed="rId143" cstate="print"/>
                          <a:stretch>
                            <a:fillRect/>
                          </a:stretch>
                        </pic:blipFill>
                        <pic:spPr>
                          <a:xfrm>
                            <a:off x="4365548" y="1207677"/>
                            <a:ext cx="444500" cy="203263"/>
                          </a:xfrm>
                          <a:prstGeom prst="rect">
                            <a:avLst/>
                          </a:prstGeom>
                        </pic:spPr>
                      </pic:pic>
                      <pic:pic>
                        <pic:nvPicPr>
                          <pic:cNvPr id="928" name="Image 928"/>
                          <pic:cNvPicPr/>
                        </pic:nvPicPr>
                        <pic:blipFill>
                          <a:blip r:embed="rId148" cstate="print"/>
                          <a:stretch>
                            <a:fillRect/>
                          </a:stretch>
                        </pic:blipFill>
                        <pic:spPr>
                          <a:xfrm>
                            <a:off x="409562" y="1309264"/>
                            <a:ext cx="438073" cy="118554"/>
                          </a:xfrm>
                          <a:prstGeom prst="rect">
                            <a:avLst/>
                          </a:prstGeom>
                        </pic:spPr>
                      </pic:pic>
                      <pic:pic>
                        <pic:nvPicPr>
                          <pic:cNvPr id="929" name="Image 929"/>
                          <pic:cNvPicPr/>
                        </pic:nvPicPr>
                        <pic:blipFill>
                          <a:blip r:embed="rId149" cstate="print"/>
                          <a:stretch>
                            <a:fillRect/>
                          </a:stretch>
                        </pic:blipFill>
                        <pic:spPr>
                          <a:xfrm>
                            <a:off x="2384336" y="1309264"/>
                            <a:ext cx="444525" cy="118554"/>
                          </a:xfrm>
                          <a:prstGeom prst="rect">
                            <a:avLst/>
                          </a:prstGeom>
                        </pic:spPr>
                      </pic:pic>
                      <wps:wsp>
                        <wps:cNvPr id="930" name="Graphic 930"/>
                        <wps:cNvSpPr/>
                        <wps:spPr>
                          <a:xfrm>
                            <a:off x="406349" y="1410889"/>
                            <a:ext cx="1270" cy="17145"/>
                          </a:xfrm>
                          <a:custGeom>
                            <a:avLst/>
                            <a:gdLst/>
                            <a:ahLst/>
                            <a:cxnLst/>
                            <a:rect l="l" t="t" r="r" b="b"/>
                            <a:pathLst>
                              <a:path w="0" h="17145">
                                <a:moveTo>
                                  <a:pt x="0" y="16929"/>
                                </a:moveTo>
                                <a:lnTo>
                                  <a:pt x="0" y="0"/>
                                </a:lnTo>
                              </a:path>
                            </a:pathLst>
                          </a:custGeom>
                          <a:ln w="6400">
                            <a:solidFill>
                              <a:srgbClr val="FEFEFE"/>
                            </a:solidFill>
                            <a:prstDash val="solid"/>
                          </a:ln>
                        </wps:spPr>
                        <wps:bodyPr wrap="square" lIns="0" tIns="0" rIns="0" bIns="0" rtlCol="0">
                          <a:prstTxWarp prst="textNoShape">
                            <a:avLst/>
                          </a:prstTxWarp>
                          <a:noAutofit/>
                        </wps:bodyPr>
                      </wps:wsp>
                      <pic:pic>
                        <pic:nvPicPr>
                          <pic:cNvPr id="931" name="Image 931"/>
                          <pic:cNvPicPr/>
                        </pic:nvPicPr>
                        <pic:blipFill>
                          <a:blip r:embed="rId150" cstate="print"/>
                          <a:stretch>
                            <a:fillRect/>
                          </a:stretch>
                        </pic:blipFill>
                        <pic:spPr>
                          <a:xfrm>
                            <a:off x="4371962" y="1309264"/>
                            <a:ext cx="438086" cy="118554"/>
                          </a:xfrm>
                          <a:prstGeom prst="rect">
                            <a:avLst/>
                          </a:prstGeom>
                        </pic:spPr>
                      </pic:pic>
                      <wps:wsp>
                        <wps:cNvPr id="932" name="Graphic 932"/>
                        <wps:cNvSpPr/>
                        <wps:spPr>
                          <a:xfrm>
                            <a:off x="4368749" y="1410889"/>
                            <a:ext cx="1270" cy="17145"/>
                          </a:xfrm>
                          <a:custGeom>
                            <a:avLst/>
                            <a:gdLst/>
                            <a:ahLst/>
                            <a:cxnLst/>
                            <a:rect l="l" t="t" r="r" b="b"/>
                            <a:pathLst>
                              <a:path w="0" h="17145">
                                <a:moveTo>
                                  <a:pt x="0" y="16929"/>
                                </a:moveTo>
                                <a:lnTo>
                                  <a:pt x="0" y="0"/>
                                </a:lnTo>
                              </a:path>
                            </a:pathLst>
                          </a:custGeom>
                          <a:ln w="6400">
                            <a:solidFill>
                              <a:srgbClr val="FEFEFE"/>
                            </a:solidFill>
                            <a:prstDash val="solid"/>
                          </a:ln>
                        </wps:spPr>
                        <wps:bodyPr wrap="square" lIns="0" tIns="0" rIns="0" bIns="0" rtlCol="0">
                          <a:prstTxWarp prst="textNoShape">
                            <a:avLst/>
                          </a:prstTxWarp>
                          <a:noAutofit/>
                        </wps:bodyPr>
                      </wps:wsp>
                      <wps:wsp>
                        <wps:cNvPr id="933" name="Graphic 933"/>
                        <wps:cNvSpPr/>
                        <wps:spPr>
                          <a:xfrm>
                            <a:off x="961949" y="43518"/>
                            <a:ext cx="4406900" cy="1384300"/>
                          </a:xfrm>
                          <a:custGeom>
                            <a:avLst/>
                            <a:gdLst/>
                            <a:ahLst/>
                            <a:cxnLst/>
                            <a:rect l="l" t="t" r="r" b="b"/>
                            <a:pathLst>
                              <a:path w="4406900" h="1384300">
                                <a:moveTo>
                                  <a:pt x="444500" y="0"/>
                                </a:moveTo>
                                <a:lnTo>
                                  <a:pt x="0" y="0"/>
                                </a:lnTo>
                                <a:lnTo>
                                  <a:pt x="0" y="1384300"/>
                                </a:lnTo>
                                <a:lnTo>
                                  <a:pt x="444500" y="1384300"/>
                                </a:lnTo>
                                <a:lnTo>
                                  <a:pt x="444500" y="0"/>
                                </a:lnTo>
                                <a:close/>
                              </a:path>
                              <a:path w="4406900" h="1384300">
                                <a:moveTo>
                                  <a:pt x="2425700" y="330200"/>
                                </a:moveTo>
                                <a:lnTo>
                                  <a:pt x="1981200" y="330200"/>
                                </a:lnTo>
                                <a:lnTo>
                                  <a:pt x="1981200" y="1384300"/>
                                </a:lnTo>
                                <a:lnTo>
                                  <a:pt x="2425700" y="1384300"/>
                                </a:lnTo>
                                <a:lnTo>
                                  <a:pt x="2425700" y="330200"/>
                                </a:lnTo>
                                <a:close/>
                              </a:path>
                              <a:path w="4406900" h="1384300">
                                <a:moveTo>
                                  <a:pt x="4406900" y="584200"/>
                                </a:moveTo>
                                <a:lnTo>
                                  <a:pt x="3962400" y="584200"/>
                                </a:lnTo>
                                <a:lnTo>
                                  <a:pt x="3962400" y="1384300"/>
                                </a:lnTo>
                                <a:lnTo>
                                  <a:pt x="4406900" y="1384300"/>
                                </a:lnTo>
                                <a:lnTo>
                                  <a:pt x="4406900" y="584200"/>
                                </a:lnTo>
                                <a:close/>
                              </a:path>
                            </a:pathLst>
                          </a:custGeom>
                          <a:solidFill>
                            <a:srgbClr val="0F5D86"/>
                          </a:solidFill>
                        </wps:spPr>
                        <wps:bodyPr wrap="square" lIns="0" tIns="0" rIns="0" bIns="0" rtlCol="0">
                          <a:prstTxWarp prst="textNoShape">
                            <a:avLst/>
                          </a:prstTxWarp>
                          <a:noAutofit/>
                        </wps:bodyPr>
                      </wps:wsp>
                      <wps:wsp>
                        <wps:cNvPr id="934" name="Graphic 934"/>
                        <wps:cNvSpPr/>
                        <wps:spPr>
                          <a:xfrm>
                            <a:off x="0" y="18117"/>
                            <a:ext cx="5949950" cy="1410335"/>
                          </a:xfrm>
                          <a:custGeom>
                            <a:avLst/>
                            <a:gdLst/>
                            <a:ahLst/>
                            <a:cxnLst/>
                            <a:rect l="l" t="t" r="r" b="b"/>
                            <a:pathLst>
                              <a:path w="5949950" h="1410335">
                                <a:moveTo>
                                  <a:pt x="12700" y="0"/>
                                </a:moveTo>
                                <a:lnTo>
                                  <a:pt x="0" y="0"/>
                                </a:lnTo>
                                <a:lnTo>
                                  <a:pt x="0" y="1406867"/>
                                </a:lnTo>
                                <a:lnTo>
                                  <a:pt x="2844" y="1409699"/>
                                </a:lnTo>
                                <a:lnTo>
                                  <a:pt x="5949950" y="1409712"/>
                                </a:lnTo>
                                <a:lnTo>
                                  <a:pt x="5949950" y="1397012"/>
                                </a:lnTo>
                                <a:lnTo>
                                  <a:pt x="12700" y="1396999"/>
                                </a:lnTo>
                                <a:lnTo>
                                  <a:pt x="12700" y="0"/>
                                </a:lnTo>
                                <a:close/>
                              </a:path>
                            </a:pathLst>
                          </a:custGeom>
                          <a:solidFill>
                            <a:srgbClr val="BCBEC0"/>
                          </a:solidFill>
                        </wps:spPr>
                        <wps:bodyPr wrap="square" lIns="0" tIns="0" rIns="0" bIns="0" rtlCol="0">
                          <a:prstTxWarp prst="textNoShape">
                            <a:avLst/>
                          </a:prstTxWarp>
                          <a:noAutofit/>
                        </wps:bodyPr>
                      </wps:wsp>
                      <wps:wsp>
                        <wps:cNvPr id="935" name="Textbox 935"/>
                        <wps:cNvSpPr txBox="1"/>
                        <wps:spPr>
                          <a:xfrm>
                            <a:off x="2470754" y="0"/>
                            <a:ext cx="224790" cy="135890"/>
                          </a:xfrm>
                          <a:prstGeom prst="rect">
                            <a:avLst/>
                          </a:prstGeom>
                        </wps:spPr>
                        <wps:txbx>
                          <w:txbxContent>
                            <w:p>
                              <w:pPr>
                                <w:spacing w:line="207" w:lineRule="exact" w:before="0"/>
                                <w:ind w:left="0" w:right="0" w:firstLine="0"/>
                                <w:jc w:val="left"/>
                                <w:rPr>
                                  <w:sz w:val="18"/>
                                </w:rPr>
                              </w:pPr>
                              <w:r>
                                <w:rPr>
                                  <w:color w:val="636466"/>
                                  <w:spacing w:val="-7"/>
                                  <w:sz w:val="18"/>
                                </w:rPr>
                                <w:t>38%</w:t>
                              </w:r>
                            </w:p>
                          </w:txbxContent>
                        </wps:txbx>
                        <wps:bodyPr wrap="square" lIns="0" tIns="0" rIns="0" bIns="0" rtlCol="0">
                          <a:noAutofit/>
                        </wps:bodyPr>
                      </wps:wsp>
                      <wps:wsp>
                        <wps:cNvPr id="936" name="Textbox 936"/>
                        <wps:cNvSpPr txBox="1"/>
                        <wps:spPr>
                          <a:xfrm>
                            <a:off x="3047283" y="190538"/>
                            <a:ext cx="224790" cy="135890"/>
                          </a:xfrm>
                          <a:prstGeom prst="rect">
                            <a:avLst/>
                          </a:prstGeom>
                        </wps:spPr>
                        <wps:txbx>
                          <w:txbxContent>
                            <w:p>
                              <w:pPr>
                                <w:spacing w:line="207" w:lineRule="exact" w:before="0"/>
                                <w:ind w:left="0" w:right="0" w:firstLine="0"/>
                                <w:jc w:val="left"/>
                                <w:rPr>
                                  <w:sz w:val="18"/>
                                </w:rPr>
                              </w:pPr>
                              <w:r>
                                <w:rPr>
                                  <w:color w:val="898B8D"/>
                                  <w:spacing w:val="-7"/>
                                  <w:sz w:val="18"/>
                                </w:rPr>
                                <w:t>32%</w:t>
                              </w:r>
                            </w:p>
                          </w:txbxContent>
                        </wps:txbx>
                        <wps:bodyPr wrap="square" lIns="0" tIns="0" rIns="0" bIns="0" rtlCol="0">
                          <a:noAutofit/>
                        </wps:bodyPr>
                      </wps:wsp>
                      <wps:wsp>
                        <wps:cNvPr id="937" name="Textbox 937"/>
                        <wps:cNvSpPr txBox="1"/>
                        <wps:spPr>
                          <a:xfrm>
                            <a:off x="5039761" y="444512"/>
                            <a:ext cx="224790" cy="135890"/>
                          </a:xfrm>
                          <a:prstGeom prst="rect">
                            <a:avLst/>
                          </a:prstGeom>
                        </wps:spPr>
                        <wps:txbx>
                          <w:txbxContent>
                            <w:p>
                              <w:pPr>
                                <w:spacing w:line="207" w:lineRule="exact" w:before="0"/>
                                <w:ind w:left="0" w:right="0" w:firstLine="0"/>
                                <w:jc w:val="left"/>
                                <w:rPr>
                                  <w:sz w:val="18"/>
                                </w:rPr>
                              </w:pPr>
                              <w:r>
                                <w:rPr>
                                  <w:color w:val="636466"/>
                                  <w:spacing w:val="-7"/>
                                  <w:sz w:val="18"/>
                                </w:rPr>
                                <w:t>25%</w:t>
                              </w:r>
                            </w:p>
                          </w:txbxContent>
                        </wps:txbx>
                        <wps:bodyPr wrap="square" lIns="0" tIns="0" rIns="0" bIns="0" rtlCol="0">
                          <a:noAutofit/>
                        </wps:bodyPr>
                      </wps:wsp>
                      <wps:wsp>
                        <wps:cNvPr id="938" name="Textbox 938"/>
                        <wps:cNvSpPr txBox="1"/>
                        <wps:spPr>
                          <a:xfrm>
                            <a:off x="4476033" y="635050"/>
                            <a:ext cx="224790" cy="135890"/>
                          </a:xfrm>
                          <a:prstGeom prst="rect">
                            <a:avLst/>
                          </a:prstGeom>
                        </wps:spPr>
                        <wps:txbx>
                          <w:txbxContent>
                            <w:p>
                              <w:pPr>
                                <w:spacing w:line="207" w:lineRule="exact" w:before="0"/>
                                <w:ind w:left="0" w:right="0" w:firstLine="0"/>
                                <w:jc w:val="left"/>
                                <w:rPr>
                                  <w:sz w:val="18"/>
                                </w:rPr>
                              </w:pPr>
                              <w:r>
                                <w:rPr>
                                  <w:color w:val="636466"/>
                                  <w:spacing w:val="-7"/>
                                  <w:sz w:val="18"/>
                                </w:rPr>
                                <w:t>19%</w:t>
                              </w:r>
                            </w:p>
                          </w:txbxContent>
                        </wps:txbx>
                        <wps:bodyPr wrap="square" lIns="0" tIns="0" rIns="0" bIns="0" rtlCol="0">
                          <a:noAutofit/>
                        </wps:bodyPr>
                      </wps:wsp>
                    </wpg:wgp>
                  </a:graphicData>
                </a:graphic>
              </wp:anchor>
            </w:drawing>
          </mc:Choice>
          <mc:Fallback>
            <w:pict>
              <v:group style="position:absolute;margin-left:682.163025pt;margin-top:11.573298pt;width:468.5pt;height:112.45pt;mso-position-horizontal-relative:page;mso-position-vertical-relative:paragraph;z-index:15822336" id="docshapegroup732" coordorigin="13643,231" coordsize="9370,2249">
                <v:shape style="position:absolute;left:14278;top:280;width:700;height:254" type="#_x0000_t75" id="docshape733" stroked="false">
                  <v:imagedata r:id="rId138" o:title=""/>
                </v:shape>
                <v:shape style="position:absolute;left:14278;top:373;width:700;height:321" type="#_x0000_t75" id="docshape734" stroked="false">
                  <v:imagedata r:id="rId139" o:title=""/>
                </v:shape>
                <v:shape style="position:absolute;left:14278;top:533;width:700;height:321" type="#_x0000_t75" id="docshape735" stroked="false">
                  <v:imagedata r:id="rId140" o:title=""/>
                </v:shape>
                <v:shape style="position:absolute;left:17398;top:540;width:701;height:314" type="#_x0000_t75" id="docshape736" stroked="false">
                  <v:imagedata r:id="rId141" o:title=""/>
                </v:shape>
                <v:shape style="position:absolute;left:14278;top:693;width:700;height:320" type="#_x0000_t75" id="docshape737" stroked="false">
                  <v:imagedata r:id="rId142" o:title=""/>
                </v:shape>
                <v:shape style="position:absolute;left:17398;top:693;width:701;height:320" type="#_x0000_t75" id="docshape738" stroked="false">
                  <v:imagedata r:id="rId90" o:title=""/>
                </v:shape>
                <v:shape style="position:absolute;left:14278;top:853;width:700;height:320" type="#_x0000_t75" id="docshape739" stroked="false">
                  <v:imagedata r:id="rId142" o:title=""/>
                </v:shape>
                <v:shape style="position:absolute;left:17398;top:853;width:701;height:320" type="#_x0000_t75" id="docshape740" stroked="false">
                  <v:imagedata r:id="rId90" o:title=""/>
                </v:shape>
                <v:shape style="position:absolute;left:14278;top:1013;width:700;height:320" type="#_x0000_t75" id="docshape741" stroked="false">
                  <v:imagedata r:id="rId142" o:title=""/>
                </v:shape>
                <v:shape style="position:absolute;left:17398;top:1013;width:701;height:320" type="#_x0000_t75" id="docshape742" stroked="false">
                  <v:imagedata r:id="rId90" o:title=""/>
                </v:shape>
                <v:shape style="position:absolute;left:14278;top:1173;width:700;height:321" type="#_x0000_t75" id="docshape743" stroked="false">
                  <v:imagedata r:id="rId143" o:title=""/>
                </v:shape>
                <v:shape style="position:absolute;left:17398;top:1173;width:701;height:321" type="#_x0000_t75" id="docshape744" stroked="false">
                  <v:imagedata r:id="rId87" o:title=""/>
                </v:shape>
                <v:shape style="position:absolute;left:14278;top:1333;width:700;height:321" type="#_x0000_t75" id="docshape745" stroked="false">
                  <v:imagedata r:id="rId144" o:title=""/>
                </v:shape>
                <v:shape style="position:absolute;left:17398;top:1333;width:701;height:321" type="#_x0000_t75" id="docshape746" stroked="false">
                  <v:imagedata r:id="rId145" o:title=""/>
                </v:shape>
                <v:shape style="position:absolute;left:14278;top:1493;width:700;height:321" type="#_x0000_t75" id="docshape747" stroked="false">
                  <v:imagedata r:id="rId146" o:title=""/>
                </v:shape>
                <v:shape style="position:absolute;left:17398;top:1493;width:701;height:321" type="#_x0000_t75" id="docshape748" stroked="false">
                  <v:imagedata r:id="rId89" o:title=""/>
                </v:shape>
                <v:shape style="position:absolute;left:20518;top:1539;width:700;height:274" type="#_x0000_t75" id="docshape749" stroked="false">
                  <v:imagedata r:id="rId147" o:title=""/>
                </v:shape>
                <v:shape style="position:absolute;left:14278;top:1653;width:700;height:320" type="#_x0000_t75" id="docshape750" stroked="false">
                  <v:imagedata r:id="rId142" o:title=""/>
                </v:shape>
                <v:shape style="position:absolute;left:17398;top:1653;width:701;height:320" type="#_x0000_t75" id="docshape751" stroked="false">
                  <v:imagedata r:id="rId90" o:title=""/>
                </v:shape>
                <v:shape style="position:absolute;left:20518;top:1653;width:700;height:320" type="#_x0000_t75" id="docshape752" stroked="false">
                  <v:imagedata r:id="rId142" o:title=""/>
                </v:shape>
                <v:shape style="position:absolute;left:14278;top:1813;width:700;height:320" type="#_x0000_t75" id="docshape753" stroked="false">
                  <v:imagedata r:id="rId142" o:title=""/>
                </v:shape>
                <v:shape style="position:absolute;left:17398;top:1813;width:701;height:320" type="#_x0000_t75" id="docshape754" stroked="false">
                  <v:imagedata r:id="rId90" o:title=""/>
                </v:shape>
                <v:shape style="position:absolute;left:20518;top:1813;width:700;height:320" type="#_x0000_t75" id="docshape755" stroked="false">
                  <v:imagedata r:id="rId142" o:title=""/>
                </v:shape>
                <v:shape style="position:absolute;left:14278;top:1973;width:700;height:320" type="#_x0000_t75" id="docshape756" stroked="false">
                  <v:imagedata r:id="rId142" o:title=""/>
                </v:shape>
                <v:shape style="position:absolute;left:17398;top:1973;width:701;height:320" type="#_x0000_t75" id="docshape757" stroked="false">
                  <v:imagedata r:id="rId90" o:title=""/>
                </v:shape>
                <v:shape style="position:absolute;left:20518;top:1973;width:700;height:320" type="#_x0000_t75" id="docshape758" stroked="false">
                  <v:imagedata r:id="rId142" o:title=""/>
                </v:shape>
                <v:shape style="position:absolute;left:14278;top:2133;width:700;height:321" type="#_x0000_t75" id="docshape759" stroked="false">
                  <v:imagedata r:id="rId143" o:title=""/>
                </v:shape>
                <v:shape style="position:absolute;left:17398;top:2133;width:701;height:321" type="#_x0000_t75" id="docshape760" stroked="false">
                  <v:imagedata r:id="rId87" o:title=""/>
                </v:shape>
                <v:shape style="position:absolute;left:20518;top:2133;width:700;height:321" type="#_x0000_t75" id="docshape761" stroked="false">
                  <v:imagedata r:id="rId143" o:title=""/>
                </v:shape>
                <v:shape style="position:absolute;left:14288;top:2293;width:690;height:187" type="#_x0000_t75" id="docshape762" stroked="false">
                  <v:imagedata r:id="rId148" o:title=""/>
                </v:shape>
                <v:shape style="position:absolute;left:17398;top:2293;width:701;height:187" type="#_x0000_t75" id="docshape763" stroked="false">
                  <v:imagedata r:id="rId149" o:title=""/>
                </v:shape>
                <v:line style="position:absolute" from="14283,2480" to="14283,2453" stroked="true" strokeweight=".504pt" strokecolor="#fefefe">
                  <v:stroke dashstyle="solid"/>
                </v:line>
                <v:shape style="position:absolute;left:20528;top:2293;width:690;height:187" type="#_x0000_t75" id="docshape764" stroked="false">
                  <v:imagedata r:id="rId150" o:title=""/>
                </v:shape>
                <v:line style="position:absolute" from="20523,2480" to="20523,2453" stroked="true" strokeweight=".504pt" strokecolor="#fefefe">
                  <v:stroke dashstyle="solid"/>
                </v:line>
                <v:shape style="position:absolute;left:15158;top:300;width:6940;height:2180" id="docshape765" coordorigin="15158,300" coordsize="6940,2180" path="m15858,300l15158,300,15158,2480,15858,2480,15858,300xm18978,820l18278,820,18278,2480,18978,2480,18978,820xm22098,1220l21398,1220,21398,2480,22098,2480,22098,1220xe" filled="true" fillcolor="#0f5d86" stroked="false">
                  <v:path arrowok="t"/>
                  <v:fill type="solid"/>
                </v:shape>
                <v:shape style="position:absolute;left:13643;top:260;width:9370;height:2221" id="docshape766" coordorigin="13643,260" coordsize="9370,2221" path="m13663,260l13643,260,13643,2476,13648,2480,23013,2480,23013,2460,13663,2460,13663,260xe" filled="true" fillcolor="#bcbec0" stroked="false">
                  <v:path arrowok="t"/>
                  <v:fill type="solid"/>
                </v:shape>
                <v:shape style="position:absolute;left:17534;top:231;width:354;height:214" type="#_x0000_t202" id="docshape767" filled="false" stroked="false">
                  <v:textbox inset="0,0,0,0">
                    <w:txbxContent>
                      <w:p>
                        <w:pPr>
                          <w:spacing w:line="207" w:lineRule="exact" w:before="0"/>
                          <w:ind w:left="0" w:right="0" w:firstLine="0"/>
                          <w:jc w:val="left"/>
                          <w:rPr>
                            <w:sz w:val="18"/>
                          </w:rPr>
                        </w:pPr>
                        <w:r>
                          <w:rPr>
                            <w:color w:val="636466"/>
                            <w:spacing w:val="-7"/>
                            <w:sz w:val="18"/>
                          </w:rPr>
                          <w:t>38%</w:t>
                        </w:r>
                      </w:p>
                    </w:txbxContent>
                  </v:textbox>
                  <w10:wrap type="none"/>
                </v:shape>
                <v:shape style="position:absolute;left:18442;top:531;width:354;height:214" type="#_x0000_t202" id="docshape768" filled="false" stroked="false">
                  <v:textbox inset="0,0,0,0">
                    <w:txbxContent>
                      <w:p>
                        <w:pPr>
                          <w:spacing w:line="207" w:lineRule="exact" w:before="0"/>
                          <w:ind w:left="0" w:right="0" w:firstLine="0"/>
                          <w:jc w:val="left"/>
                          <w:rPr>
                            <w:sz w:val="18"/>
                          </w:rPr>
                        </w:pPr>
                        <w:r>
                          <w:rPr>
                            <w:color w:val="898B8D"/>
                            <w:spacing w:val="-7"/>
                            <w:sz w:val="18"/>
                          </w:rPr>
                          <w:t>32%</w:t>
                        </w:r>
                      </w:p>
                    </w:txbxContent>
                  </v:textbox>
                  <w10:wrap type="none"/>
                </v:shape>
                <v:shape style="position:absolute;left:21579;top:931;width:354;height:214" type="#_x0000_t202" id="docshape769" filled="false" stroked="false">
                  <v:textbox inset="0,0,0,0">
                    <w:txbxContent>
                      <w:p>
                        <w:pPr>
                          <w:spacing w:line="207" w:lineRule="exact" w:before="0"/>
                          <w:ind w:left="0" w:right="0" w:firstLine="0"/>
                          <w:jc w:val="left"/>
                          <w:rPr>
                            <w:sz w:val="18"/>
                          </w:rPr>
                        </w:pPr>
                        <w:r>
                          <w:rPr>
                            <w:color w:val="636466"/>
                            <w:spacing w:val="-7"/>
                            <w:sz w:val="18"/>
                          </w:rPr>
                          <w:t>25%</w:t>
                        </w:r>
                      </w:p>
                    </w:txbxContent>
                  </v:textbox>
                  <w10:wrap type="none"/>
                </v:shape>
                <v:shape style="position:absolute;left:20692;top:1231;width:354;height:214" type="#_x0000_t202" id="docshape770" filled="false" stroked="false">
                  <v:textbox inset="0,0,0,0">
                    <w:txbxContent>
                      <w:p>
                        <w:pPr>
                          <w:spacing w:line="207" w:lineRule="exact" w:before="0"/>
                          <w:ind w:left="0" w:right="0" w:firstLine="0"/>
                          <w:jc w:val="left"/>
                          <w:rPr>
                            <w:sz w:val="18"/>
                          </w:rPr>
                        </w:pPr>
                        <w:r>
                          <w:rPr>
                            <w:color w:val="636466"/>
                            <w:spacing w:val="-7"/>
                            <w:sz w:val="18"/>
                          </w:rPr>
                          <w:t>19%</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23872">
                <wp:simplePos x="0" y="0"/>
                <wp:positionH relativeFrom="page">
                  <wp:posOffset>8447658</wp:posOffset>
                </wp:positionH>
                <wp:positionV relativeFrom="paragraph">
                  <wp:posOffset>114235</wp:posOffset>
                </wp:positionV>
                <wp:extent cx="146050" cy="1473200"/>
                <wp:effectExtent l="0" t="0" r="0" b="0"/>
                <wp:wrapNone/>
                <wp:docPr id="939" name="Textbox 939"/>
                <wp:cNvGraphicFramePr>
                  <a:graphicFrameLocks/>
                </wp:cNvGraphicFramePr>
                <a:graphic>
                  <a:graphicData uri="http://schemas.microsoft.com/office/word/2010/wordprocessingShape">
                    <wps:wsp>
                      <wps:cNvPr id="939" name="Textbox 939"/>
                      <wps:cNvSpPr txBox="1"/>
                      <wps:spPr>
                        <a:xfrm>
                          <a:off x="0" y="0"/>
                          <a:ext cx="146050" cy="1473200"/>
                        </a:xfrm>
                        <a:prstGeom prst="rect">
                          <a:avLst/>
                        </a:prstGeom>
                      </wps:spPr>
                      <wps:txbx>
                        <w:txbxContent>
                          <w:p>
                            <w:pPr>
                              <w:spacing w:before="19"/>
                              <w:ind w:left="20" w:right="0" w:firstLine="0"/>
                              <w:jc w:val="left"/>
                              <w:rPr>
                                <w:sz w:val="16"/>
                              </w:rPr>
                            </w:pPr>
                            <w:r>
                              <w:rPr>
                                <w:color w:val="105C84"/>
                                <w:sz w:val="16"/>
                              </w:rPr>
                              <w:t>Percent</w:t>
                            </w:r>
                            <w:r>
                              <w:rPr>
                                <w:color w:val="105C84"/>
                                <w:spacing w:val="-2"/>
                                <w:sz w:val="16"/>
                              </w:rPr>
                              <w:t> </w:t>
                            </w:r>
                            <w:r>
                              <w:rPr>
                                <w:color w:val="105C84"/>
                                <w:sz w:val="16"/>
                              </w:rPr>
                              <w:t>of</w:t>
                            </w:r>
                            <w:r>
                              <w:rPr>
                                <w:color w:val="105C84"/>
                                <w:spacing w:val="-2"/>
                                <w:sz w:val="16"/>
                              </w:rPr>
                              <w:t> </w:t>
                            </w:r>
                            <w:r>
                              <w:rPr>
                                <w:color w:val="105C84"/>
                                <w:sz w:val="16"/>
                              </w:rPr>
                              <w:t>Population</w:t>
                            </w:r>
                            <w:r>
                              <w:rPr>
                                <w:color w:val="105C84"/>
                                <w:spacing w:val="-2"/>
                                <w:sz w:val="16"/>
                              </w:rPr>
                              <w:t> </w:t>
                            </w:r>
                            <w:r>
                              <w:rPr>
                                <w:color w:val="105C84"/>
                                <w:sz w:val="16"/>
                              </w:rPr>
                              <w:t>25+</w:t>
                            </w:r>
                            <w:r>
                              <w:rPr>
                                <w:color w:val="105C84"/>
                                <w:spacing w:val="-2"/>
                                <w:sz w:val="16"/>
                              </w:rPr>
                              <w:t> </w:t>
                            </w:r>
                            <w:r>
                              <w:rPr>
                                <w:color w:val="105C84"/>
                                <w:spacing w:val="-4"/>
                                <w:sz w:val="16"/>
                              </w:rPr>
                              <w:t>Years</w:t>
                            </w:r>
                          </w:p>
                        </w:txbxContent>
                      </wps:txbx>
                      <wps:bodyPr wrap="square" lIns="0" tIns="0" rIns="0" bIns="0" rtlCol="0" vert="vert270">
                        <a:noAutofit/>
                      </wps:bodyPr>
                    </wps:wsp>
                  </a:graphicData>
                </a:graphic>
              </wp:anchor>
            </w:drawing>
          </mc:Choice>
          <mc:Fallback>
            <w:pict>
              <v:shape style="position:absolute;margin-left:665.169983pt;margin-top:8.994893pt;width:11.5pt;height:116pt;mso-position-horizontal-relative:page;mso-position-vertical-relative:paragraph;z-index:15823872" type="#_x0000_t202" id="docshape771" filled="false" stroked="false">
                <v:textbox inset="0,0,0,0" style="layout-flow:vertical;mso-layout-flow-alt:bottom-to-top">
                  <w:txbxContent>
                    <w:p>
                      <w:pPr>
                        <w:spacing w:before="19"/>
                        <w:ind w:left="20" w:right="0" w:firstLine="0"/>
                        <w:jc w:val="left"/>
                        <w:rPr>
                          <w:sz w:val="16"/>
                        </w:rPr>
                      </w:pPr>
                      <w:r>
                        <w:rPr>
                          <w:color w:val="105C84"/>
                          <w:sz w:val="16"/>
                        </w:rPr>
                        <w:t>Percent</w:t>
                      </w:r>
                      <w:r>
                        <w:rPr>
                          <w:color w:val="105C84"/>
                          <w:spacing w:val="-2"/>
                          <w:sz w:val="16"/>
                        </w:rPr>
                        <w:t> </w:t>
                      </w:r>
                      <w:r>
                        <w:rPr>
                          <w:color w:val="105C84"/>
                          <w:sz w:val="16"/>
                        </w:rPr>
                        <w:t>of</w:t>
                      </w:r>
                      <w:r>
                        <w:rPr>
                          <w:color w:val="105C84"/>
                          <w:spacing w:val="-2"/>
                          <w:sz w:val="16"/>
                        </w:rPr>
                        <w:t> </w:t>
                      </w:r>
                      <w:r>
                        <w:rPr>
                          <w:color w:val="105C84"/>
                          <w:sz w:val="16"/>
                        </w:rPr>
                        <w:t>Population</w:t>
                      </w:r>
                      <w:r>
                        <w:rPr>
                          <w:color w:val="105C84"/>
                          <w:spacing w:val="-2"/>
                          <w:sz w:val="16"/>
                        </w:rPr>
                        <w:t> </w:t>
                      </w:r>
                      <w:r>
                        <w:rPr>
                          <w:color w:val="105C84"/>
                          <w:sz w:val="16"/>
                        </w:rPr>
                        <w:t>25+</w:t>
                      </w:r>
                      <w:r>
                        <w:rPr>
                          <w:color w:val="105C84"/>
                          <w:spacing w:val="-2"/>
                          <w:sz w:val="16"/>
                        </w:rPr>
                        <w:t> </w:t>
                      </w:r>
                      <w:r>
                        <w:rPr>
                          <w:color w:val="105C84"/>
                          <w:spacing w:val="-4"/>
                          <w:sz w:val="16"/>
                        </w:rPr>
                        <w:t>Years</w:t>
                      </w:r>
                    </w:p>
                  </w:txbxContent>
                </v:textbox>
                <w10:wrap type="none"/>
              </v:shape>
            </w:pict>
          </mc:Fallback>
        </mc:AlternateContent>
      </w:r>
      <w:r>
        <w:rPr>
          <w:color w:val="105C84"/>
        </w:rPr>
        <w:t>majority of which (97%) are White Non-Hispanic. Women of childbearing age comprise 14% of the population, and 23% of the 18+ population are living with a disability.</w:t>
      </w:r>
      <w:r>
        <w:rPr>
          <w:color w:val="105C84"/>
          <w:position w:val="7"/>
          <w:sz w:val="13"/>
        </w:rPr>
        <w:t>30</w:t>
      </w:r>
      <w:r>
        <w:rPr>
          <w:color w:val="105C84"/>
          <w:spacing w:val="32"/>
          <w:position w:val="7"/>
          <w:sz w:val="13"/>
        </w:rPr>
        <w:t> </w:t>
      </w:r>
      <w:r>
        <w:rPr>
          <w:color w:val="105C84"/>
        </w:rPr>
        <w:t>2017 estimates reveal 26% of the 65+ population (N=896) is living alone. This rate is down 7 percent from 2012 when 28% of the 65+ population (N=898) was living alone.</w:t>
      </w:r>
    </w:p>
    <w:p>
      <w:pPr>
        <w:pStyle w:val="BodyText"/>
        <w:spacing w:line="247" w:lineRule="auto" w:before="178"/>
        <w:ind w:left="1080" w:right="122"/>
      </w:pPr>
      <w:r>
        <w:rPr>
          <w:color w:val="105C84"/>
        </w:rPr>
        <w:t>In Schuyler County, 15% of residents are living below the federal poverty level, and another 22% live near</w:t>
      </w:r>
      <w:r>
        <w:rPr>
          <w:color w:val="105C84"/>
          <w:spacing w:val="25"/>
        </w:rPr>
        <w:t> </w:t>
      </w:r>
      <w:r>
        <w:rPr>
          <w:color w:val="105C84"/>
        </w:rPr>
        <w:t>it.</w:t>
      </w:r>
      <w:r>
        <w:rPr>
          <w:color w:val="105C84"/>
          <w:spacing w:val="25"/>
        </w:rPr>
        <w:t> </w:t>
      </w:r>
      <w:r>
        <w:rPr>
          <w:color w:val="105C84"/>
        </w:rPr>
        <w:t>The</w:t>
      </w:r>
      <w:r>
        <w:rPr>
          <w:color w:val="105C84"/>
          <w:spacing w:val="25"/>
        </w:rPr>
        <w:t> </w:t>
      </w:r>
      <w:r>
        <w:rPr>
          <w:color w:val="105C84"/>
        </w:rPr>
        <w:t>distribution</w:t>
      </w:r>
      <w:r>
        <w:rPr>
          <w:color w:val="105C84"/>
          <w:spacing w:val="25"/>
        </w:rPr>
        <w:t> </w:t>
      </w:r>
      <w:r>
        <w:rPr>
          <w:color w:val="105C84"/>
        </w:rPr>
        <w:t>of</w:t>
      </w:r>
      <w:r>
        <w:rPr>
          <w:color w:val="105C84"/>
          <w:spacing w:val="25"/>
        </w:rPr>
        <w:t> </w:t>
      </w:r>
      <w:r>
        <w:rPr>
          <w:color w:val="105C84"/>
        </w:rPr>
        <w:t>poverty</w:t>
      </w:r>
      <w:r>
        <w:rPr>
          <w:color w:val="105C84"/>
          <w:spacing w:val="25"/>
        </w:rPr>
        <w:t> </w:t>
      </w:r>
      <w:r>
        <w:rPr>
          <w:color w:val="105C84"/>
        </w:rPr>
        <w:t>in</w:t>
      </w:r>
      <w:r>
        <w:rPr>
          <w:color w:val="105C84"/>
          <w:spacing w:val="25"/>
        </w:rPr>
        <w:t> </w:t>
      </w:r>
      <w:r>
        <w:rPr>
          <w:color w:val="105C84"/>
        </w:rPr>
        <w:t>the</w:t>
      </w:r>
      <w:r>
        <w:rPr>
          <w:color w:val="105C84"/>
          <w:spacing w:val="25"/>
        </w:rPr>
        <w:t> </w:t>
      </w:r>
      <w:r>
        <w:rPr>
          <w:color w:val="105C84"/>
        </w:rPr>
        <w:t>county</w:t>
      </w:r>
      <w:r>
        <w:rPr>
          <w:color w:val="105C84"/>
          <w:spacing w:val="25"/>
        </w:rPr>
        <w:t> </w:t>
      </w:r>
      <w:r>
        <w:rPr>
          <w:color w:val="105C84"/>
        </w:rPr>
        <w:t>is</w:t>
      </w:r>
      <w:r>
        <w:rPr>
          <w:color w:val="105C84"/>
          <w:spacing w:val="25"/>
        </w:rPr>
        <w:t> </w:t>
      </w:r>
      <w:r>
        <w:rPr>
          <w:color w:val="105C84"/>
        </w:rPr>
        <w:t>shown</w:t>
      </w:r>
      <w:r>
        <w:rPr>
          <w:color w:val="105C84"/>
          <w:spacing w:val="25"/>
        </w:rPr>
        <w:t> </w:t>
      </w:r>
      <w:r>
        <w:rPr>
          <w:color w:val="105C84"/>
        </w:rPr>
        <w:t>below</w:t>
      </w:r>
      <w:r>
        <w:rPr>
          <w:color w:val="105C84"/>
          <w:spacing w:val="25"/>
        </w:rPr>
        <w:t> </w:t>
      </w:r>
      <w:r>
        <w:rPr>
          <w:color w:val="105C84"/>
        </w:rPr>
        <w:t>in</w:t>
      </w:r>
      <w:r>
        <w:rPr>
          <w:color w:val="105C84"/>
          <w:spacing w:val="25"/>
        </w:rPr>
        <w:t> </w:t>
      </w:r>
      <w:r>
        <w:rPr>
          <w:color w:val="105C84"/>
        </w:rPr>
        <w:t>Map</w:t>
      </w:r>
      <w:r>
        <w:rPr>
          <w:color w:val="105C84"/>
          <w:spacing w:val="25"/>
        </w:rPr>
        <w:t> </w:t>
      </w:r>
      <w:r>
        <w:rPr>
          <w:color w:val="105C84"/>
        </w:rPr>
        <w:t>7.</w:t>
      </w:r>
      <w:r>
        <w:rPr>
          <w:color w:val="105C84"/>
          <w:spacing w:val="25"/>
        </w:rPr>
        <w:t> </w:t>
      </w:r>
      <w:r>
        <w:rPr>
          <w:color w:val="105C84"/>
        </w:rPr>
        <w:t>While</w:t>
      </w:r>
      <w:r>
        <w:rPr>
          <w:color w:val="105C84"/>
          <w:spacing w:val="25"/>
        </w:rPr>
        <w:t> </w:t>
      </w:r>
      <w:r>
        <w:rPr>
          <w:color w:val="105C84"/>
        </w:rPr>
        <w:t>not</w:t>
      </w:r>
      <w:r>
        <w:rPr>
          <w:color w:val="105C84"/>
          <w:spacing w:val="25"/>
        </w:rPr>
        <w:t> </w:t>
      </w:r>
      <w:r>
        <w:rPr>
          <w:color w:val="105C84"/>
        </w:rPr>
        <w:t>represented</w:t>
      </w:r>
    </w:p>
    <w:p>
      <w:pPr>
        <w:pStyle w:val="BodyText"/>
        <w:spacing w:line="247" w:lineRule="auto"/>
        <w:ind w:left="1080"/>
      </w:pPr>
      <w:r>
        <w:rPr>
          <w:color w:val="105C84"/>
        </w:rPr>
        <w:t>in the data, anecdotal evidence suggests rates of poverty are much higher than shown in the map. Similar to other counties, the presence of wealthy lake houses on the shorelines of Seneca Lake likely mask income disparities within a zip code.</w:t>
      </w:r>
    </w:p>
    <w:p>
      <w:pPr>
        <w:spacing w:line="198" w:lineRule="exact" w:before="0"/>
        <w:ind w:left="0" w:right="0" w:firstLine="0"/>
        <w:jc w:val="right"/>
        <w:rPr>
          <w:sz w:val="18"/>
        </w:rPr>
      </w:pPr>
      <w:r>
        <w:rPr/>
        <w:br w:type="column"/>
      </w:r>
      <w:r>
        <w:rPr>
          <w:color w:val="636466"/>
          <w:spacing w:val="-5"/>
          <w:sz w:val="18"/>
        </w:rPr>
        <w:t>43%</w:t>
      </w:r>
    </w:p>
    <w:p>
      <w:pPr>
        <w:spacing w:line="198" w:lineRule="exact" w:before="0"/>
        <w:ind w:left="534" w:right="0" w:firstLine="0"/>
        <w:jc w:val="left"/>
        <w:rPr>
          <w:sz w:val="18"/>
        </w:rPr>
      </w:pPr>
      <w:r>
        <w:rPr/>
        <w:br w:type="column"/>
      </w:r>
      <w:r>
        <w:rPr>
          <w:color w:val="636466"/>
          <w:spacing w:val="-5"/>
          <w:sz w:val="18"/>
        </w:rPr>
        <w:t>43%</w:t>
      </w:r>
    </w:p>
    <w:p>
      <w:pPr>
        <w:tabs>
          <w:tab w:pos="1819" w:val="left" w:leader="none"/>
        </w:tabs>
        <w:spacing w:before="13"/>
        <w:ind w:left="1080" w:right="0" w:firstLine="0"/>
        <w:jc w:val="left"/>
        <w:rPr>
          <w:sz w:val="18"/>
        </w:rPr>
      </w:pPr>
      <w:r>
        <w:rPr/>
        <w:br w:type="column"/>
      </w:r>
      <w:r>
        <w:rPr/>
        <w:drawing>
          <wp:inline distT="0" distB="0" distL="0" distR="0">
            <wp:extent cx="50800" cy="63487"/>
            <wp:effectExtent l="0" t="0" r="0" b="0"/>
            <wp:docPr id="940" name="Image 940"/>
            <wp:cNvGraphicFramePr>
              <a:graphicFrameLocks/>
            </wp:cNvGraphicFramePr>
            <a:graphic>
              <a:graphicData uri="http://schemas.openxmlformats.org/drawingml/2006/picture">
                <pic:pic>
                  <pic:nvPicPr>
                    <pic:cNvPr id="940" name="Image 940"/>
                    <pic:cNvPicPr/>
                  </pic:nvPicPr>
                  <pic:blipFill>
                    <a:blip r:embed="rId151" cstate="print"/>
                    <a:stretch>
                      <a:fillRect/>
                    </a:stretch>
                  </pic:blipFill>
                  <pic:spPr>
                    <a:xfrm>
                      <a:off x="0" y="0"/>
                      <a:ext cx="50800" cy="63487"/>
                    </a:xfrm>
                    <a:prstGeom prst="rect">
                      <a:avLst/>
                    </a:prstGeom>
                  </pic:spPr>
                </pic:pic>
              </a:graphicData>
            </a:graphic>
          </wp:inline>
        </w:drawing>
      </w:r>
      <w:r>
        <w:rPr/>
      </w:r>
      <w:r>
        <w:rPr>
          <w:rFonts w:ascii="Times New Roman"/>
          <w:sz w:val="20"/>
        </w:rPr>
        <w:t> </w:t>
      </w:r>
      <w:r>
        <w:rPr>
          <w:color w:val="636466"/>
          <w:sz w:val="18"/>
        </w:rPr>
        <w:t>2012</w:t>
        <w:tab/>
      </w:r>
      <w:r>
        <w:rPr>
          <w:color w:val="636466"/>
          <w:sz w:val="18"/>
        </w:rPr>
        <w:drawing>
          <wp:inline distT="0" distB="0" distL="0" distR="0">
            <wp:extent cx="63500" cy="63500"/>
            <wp:effectExtent l="0" t="0" r="0" b="0"/>
            <wp:docPr id="941" name="Image 941"/>
            <wp:cNvGraphicFramePr>
              <a:graphicFrameLocks/>
            </wp:cNvGraphicFramePr>
            <a:graphic>
              <a:graphicData uri="http://schemas.openxmlformats.org/drawingml/2006/picture">
                <pic:pic>
                  <pic:nvPicPr>
                    <pic:cNvPr id="941" name="Image 941"/>
                    <pic:cNvPicPr/>
                  </pic:nvPicPr>
                  <pic:blipFill>
                    <a:blip r:embed="rId76" cstate="print"/>
                    <a:stretch>
                      <a:fillRect/>
                    </a:stretch>
                  </pic:blipFill>
                  <pic:spPr>
                    <a:xfrm>
                      <a:off x="0" y="0"/>
                      <a:ext cx="63500" cy="63500"/>
                    </a:xfrm>
                    <a:prstGeom prst="rect">
                      <a:avLst/>
                    </a:prstGeom>
                  </pic:spPr>
                </pic:pic>
              </a:graphicData>
            </a:graphic>
          </wp:inline>
        </w:drawing>
      </w:r>
      <w:r>
        <w:rPr>
          <w:color w:val="636466"/>
          <w:sz w:val="18"/>
        </w:rPr>
      </w:r>
      <w:r>
        <w:rPr>
          <w:rFonts w:ascii="Times New Roman"/>
          <w:color w:val="636466"/>
          <w:spacing w:val="-13"/>
          <w:sz w:val="18"/>
        </w:rPr>
        <w:t> </w:t>
      </w:r>
      <w:r>
        <w:rPr>
          <w:color w:val="636466"/>
          <w:sz w:val="18"/>
        </w:rPr>
        <w:t>2017</w:t>
      </w:r>
    </w:p>
    <w:p>
      <w:pPr>
        <w:spacing w:after="0"/>
        <w:jc w:val="left"/>
        <w:rPr>
          <w:sz w:val="18"/>
        </w:rPr>
        <w:sectPr>
          <w:type w:val="continuous"/>
          <w:pgSz w:w="24480" w:h="15840" w:orient="landscape"/>
          <w:pgMar w:header="0" w:footer="0" w:top="0" w:bottom="280" w:left="0" w:right="720"/>
          <w:cols w:num="4" w:equalWidth="0">
            <w:col w:w="11151" w:space="2206"/>
            <w:col w:w="1414" w:space="39"/>
            <w:col w:w="908" w:space="4015"/>
            <w:col w:w="4027"/>
          </w:cols>
        </w:sectPr>
      </w:pPr>
    </w:p>
    <w:p>
      <w:pPr>
        <w:pStyle w:val="Heading6"/>
        <w:spacing w:before="270"/>
      </w:pPr>
      <w:r>
        <w:rPr>
          <w:color w:val="105C84"/>
        </w:rPr>
        <w:t>MAP</w:t>
      </w:r>
      <w:r>
        <w:rPr>
          <w:color w:val="105C84"/>
          <w:spacing w:val="-5"/>
        </w:rPr>
        <w:t> </w:t>
      </w:r>
      <w:r>
        <w:rPr>
          <w:color w:val="105C84"/>
        </w:rPr>
        <w:t>9:</w:t>
      </w:r>
      <w:r>
        <w:rPr>
          <w:color w:val="105C84"/>
          <w:spacing w:val="-4"/>
        </w:rPr>
        <w:t> </w:t>
      </w:r>
      <w:r>
        <w:rPr>
          <w:color w:val="105C84"/>
        </w:rPr>
        <w:t>Poverty</w:t>
      </w:r>
      <w:r>
        <w:rPr>
          <w:color w:val="105C84"/>
          <w:spacing w:val="-5"/>
        </w:rPr>
        <w:t> </w:t>
      </w:r>
      <w:r>
        <w:rPr>
          <w:color w:val="105C84"/>
        </w:rPr>
        <w:t>rates</w:t>
      </w:r>
      <w:r>
        <w:rPr>
          <w:color w:val="105C84"/>
          <w:spacing w:val="-4"/>
        </w:rPr>
        <w:t> </w:t>
      </w:r>
      <w:r>
        <w:rPr>
          <w:color w:val="105C84"/>
        </w:rPr>
        <w:t>by</w:t>
      </w:r>
      <w:r>
        <w:rPr>
          <w:color w:val="105C84"/>
          <w:spacing w:val="-5"/>
        </w:rPr>
        <w:t> </w:t>
      </w:r>
      <w:r>
        <w:rPr>
          <w:color w:val="105C84"/>
        </w:rPr>
        <w:t>ZIP</w:t>
      </w:r>
      <w:r>
        <w:rPr>
          <w:color w:val="105C84"/>
          <w:spacing w:val="-4"/>
        </w:rPr>
        <w:t> code</w:t>
      </w:r>
    </w:p>
    <w:p>
      <w:pPr>
        <w:tabs>
          <w:tab w:pos="4935" w:val="left" w:leader="none"/>
          <w:tab w:pos="7925" w:val="left" w:leader="none"/>
        </w:tabs>
        <w:spacing w:before="49"/>
        <w:ind w:left="1440" w:right="0" w:firstLine="0"/>
        <w:jc w:val="left"/>
        <w:rPr>
          <w:sz w:val="18"/>
        </w:rPr>
      </w:pPr>
      <w:r>
        <w:rPr/>
        <w:br w:type="column"/>
      </w:r>
      <w:r>
        <w:rPr>
          <w:color w:val="636466"/>
          <w:sz w:val="18"/>
        </w:rPr>
        <w:t>High School</w:t>
      </w:r>
      <w:r>
        <w:rPr>
          <w:color w:val="636466"/>
          <w:spacing w:val="1"/>
          <w:sz w:val="18"/>
        </w:rPr>
        <w:t> </w:t>
      </w:r>
      <w:r>
        <w:rPr>
          <w:color w:val="636466"/>
          <w:sz w:val="18"/>
        </w:rPr>
        <w:t>Degree or</w:t>
      </w:r>
      <w:r>
        <w:rPr>
          <w:color w:val="636466"/>
          <w:spacing w:val="1"/>
          <w:sz w:val="18"/>
        </w:rPr>
        <w:t> </w:t>
      </w:r>
      <w:r>
        <w:rPr>
          <w:color w:val="636466"/>
          <w:spacing w:val="-2"/>
          <w:sz w:val="18"/>
        </w:rPr>
        <w:t>Equivalent</w:t>
      </w:r>
      <w:r>
        <w:rPr>
          <w:color w:val="636466"/>
          <w:sz w:val="18"/>
        </w:rPr>
        <w:tab/>
        <w:t>Some</w:t>
      </w:r>
      <w:r>
        <w:rPr>
          <w:color w:val="636466"/>
          <w:spacing w:val="-2"/>
          <w:sz w:val="18"/>
        </w:rPr>
        <w:t> </w:t>
      </w:r>
      <w:r>
        <w:rPr>
          <w:color w:val="636466"/>
          <w:sz w:val="18"/>
        </w:rPr>
        <w:t>College</w:t>
      </w:r>
      <w:r>
        <w:rPr>
          <w:color w:val="636466"/>
          <w:spacing w:val="-2"/>
          <w:sz w:val="18"/>
        </w:rPr>
        <w:t> Experience</w:t>
      </w:r>
      <w:r>
        <w:rPr>
          <w:color w:val="636466"/>
          <w:sz w:val="18"/>
        </w:rPr>
        <w:tab/>
        <w:t>Bachelor's</w:t>
      </w:r>
      <w:r>
        <w:rPr>
          <w:color w:val="636466"/>
          <w:spacing w:val="-1"/>
          <w:sz w:val="18"/>
        </w:rPr>
        <w:t> </w:t>
      </w:r>
      <w:r>
        <w:rPr>
          <w:color w:val="636466"/>
          <w:sz w:val="18"/>
        </w:rPr>
        <w:t>Degree</w:t>
      </w:r>
      <w:r>
        <w:rPr>
          <w:color w:val="636466"/>
          <w:spacing w:val="-1"/>
          <w:sz w:val="18"/>
        </w:rPr>
        <w:t> </w:t>
      </w:r>
      <w:r>
        <w:rPr>
          <w:color w:val="636466"/>
          <w:sz w:val="18"/>
        </w:rPr>
        <w:t>or</w:t>
      </w:r>
      <w:r>
        <w:rPr>
          <w:color w:val="636466"/>
          <w:spacing w:val="-1"/>
          <w:sz w:val="18"/>
        </w:rPr>
        <w:t> </w:t>
      </w:r>
      <w:r>
        <w:rPr>
          <w:color w:val="636466"/>
          <w:spacing w:val="-2"/>
          <w:sz w:val="18"/>
        </w:rPr>
        <w:t>Higher</w:t>
      </w:r>
    </w:p>
    <w:p>
      <w:pPr>
        <w:pStyle w:val="BodyText"/>
        <w:spacing w:before="125"/>
        <w:rPr>
          <w:sz w:val="18"/>
        </w:rPr>
      </w:pPr>
    </w:p>
    <w:p>
      <w:pPr>
        <w:spacing w:before="0"/>
        <w:ind w:left="1457" w:right="0" w:firstLine="0"/>
        <w:jc w:val="left"/>
        <w:rPr>
          <w:sz w:val="16"/>
        </w:rPr>
      </w:pPr>
      <w:r>
        <w:rPr>
          <w:color w:val="105C84"/>
          <w:spacing w:val="-2"/>
          <w:sz w:val="16"/>
        </w:rPr>
        <w:t>Data</w:t>
      </w:r>
      <w:r>
        <w:rPr>
          <w:color w:val="105C84"/>
          <w:spacing w:val="-8"/>
          <w:sz w:val="16"/>
        </w:rPr>
        <w:t> </w:t>
      </w:r>
      <w:r>
        <w:rPr>
          <w:color w:val="105C84"/>
          <w:spacing w:val="-2"/>
          <w:sz w:val="16"/>
        </w:rPr>
        <w:t>Source:</w:t>
      </w:r>
      <w:r>
        <w:rPr>
          <w:color w:val="105C84"/>
          <w:spacing w:val="-8"/>
          <w:sz w:val="16"/>
        </w:rPr>
        <w:t> </w:t>
      </w:r>
      <w:r>
        <w:rPr>
          <w:color w:val="105C84"/>
          <w:spacing w:val="-2"/>
          <w:sz w:val="16"/>
        </w:rPr>
        <w:t>U.S.</w:t>
      </w:r>
      <w:r>
        <w:rPr>
          <w:color w:val="105C84"/>
          <w:spacing w:val="-8"/>
          <w:sz w:val="16"/>
        </w:rPr>
        <w:t> </w:t>
      </w:r>
      <w:r>
        <w:rPr>
          <w:color w:val="105C84"/>
          <w:spacing w:val="-2"/>
          <w:sz w:val="16"/>
        </w:rPr>
        <w:t>Census</w:t>
      </w:r>
      <w:r>
        <w:rPr>
          <w:color w:val="105C84"/>
          <w:spacing w:val="-8"/>
          <w:sz w:val="16"/>
        </w:rPr>
        <w:t> </w:t>
      </w:r>
      <w:r>
        <w:rPr>
          <w:color w:val="105C84"/>
          <w:spacing w:val="-2"/>
          <w:sz w:val="16"/>
        </w:rPr>
        <w:t>Bureau</w:t>
      </w:r>
      <w:r>
        <w:rPr>
          <w:color w:val="105C84"/>
          <w:spacing w:val="-8"/>
          <w:sz w:val="16"/>
        </w:rPr>
        <w:t> </w:t>
      </w:r>
      <w:r>
        <w:rPr>
          <w:color w:val="105C84"/>
          <w:spacing w:val="-2"/>
          <w:sz w:val="16"/>
        </w:rPr>
        <w:t>American</w:t>
      </w:r>
      <w:r>
        <w:rPr>
          <w:color w:val="105C84"/>
          <w:spacing w:val="-8"/>
          <w:sz w:val="16"/>
        </w:rPr>
        <w:t> </w:t>
      </w:r>
      <w:r>
        <w:rPr>
          <w:color w:val="105C84"/>
          <w:spacing w:val="-2"/>
          <w:sz w:val="16"/>
        </w:rPr>
        <w:t>Communtiy</w:t>
      </w:r>
      <w:r>
        <w:rPr>
          <w:color w:val="105C84"/>
          <w:spacing w:val="-8"/>
          <w:sz w:val="16"/>
        </w:rPr>
        <w:t> </w:t>
      </w:r>
      <w:r>
        <w:rPr>
          <w:color w:val="105C84"/>
          <w:spacing w:val="-2"/>
          <w:sz w:val="16"/>
        </w:rPr>
        <w:t>Survey</w:t>
      </w:r>
      <w:r>
        <w:rPr>
          <w:color w:val="105C84"/>
          <w:spacing w:val="-8"/>
          <w:sz w:val="16"/>
        </w:rPr>
        <w:t> </w:t>
      </w:r>
      <w:r>
        <w:rPr>
          <w:color w:val="105C84"/>
          <w:spacing w:val="-2"/>
          <w:sz w:val="16"/>
        </w:rPr>
        <w:t>5-Year</w:t>
      </w:r>
      <w:r>
        <w:rPr>
          <w:color w:val="105C84"/>
          <w:spacing w:val="-8"/>
          <w:sz w:val="16"/>
        </w:rPr>
        <w:t> </w:t>
      </w:r>
      <w:r>
        <w:rPr>
          <w:color w:val="105C84"/>
          <w:spacing w:val="-2"/>
          <w:sz w:val="16"/>
        </w:rPr>
        <w:t>Estimates</w:t>
      </w:r>
    </w:p>
    <w:p>
      <w:pPr>
        <w:pStyle w:val="BodyText"/>
        <w:rPr>
          <w:sz w:val="16"/>
        </w:rPr>
      </w:pPr>
    </w:p>
    <w:p>
      <w:pPr>
        <w:pStyle w:val="BodyText"/>
        <w:spacing w:before="157"/>
        <w:rPr>
          <w:sz w:val="16"/>
        </w:rPr>
      </w:pPr>
    </w:p>
    <w:p>
      <w:pPr>
        <w:pStyle w:val="BodyText"/>
        <w:spacing w:line="247" w:lineRule="auto"/>
        <w:ind w:left="1080" w:right="491"/>
      </w:pPr>
      <w:r>
        <w:rPr>
          <w:color w:val="105C84"/>
        </w:rPr>
        <w:t>Data below show the trend in uninsured rates over the past 5 years compared to the eight county region which has decreased 52 percent since 2012 for Schuyler County (Figure 30).</w:t>
      </w:r>
    </w:p>
    <w:p>
      <w:pPr>
        <w:pStyle w:val="BodyText"/>
      </w:pPr>
    </w:p>
    <w:p>
      <w:pPr>
        <w:pStyle w:val="BodyText"/>
        <w:spacing w:before="205"/>
      </w:pPr>
    </w:p>
    <w:p>
      <w:pPr>
        <w:pStyle w:val="Heading6"/>
        <w:spacing w:before="1"/>
      </w:pPr>
      <w:r>
        <w:rPr>
          <w:color w:val="105C84"/>
          <w:spacing w:val="-2"/>
        </w:rPr>
        <w:t>FIGURE</w:t>
      </w:r>
      <w:r>
        <w:rPr>
          <w:color w:val="105C84"/>
          <w:spacing w:val="-10"/>
        </w:rPr>
        <w:t> </w:t>
      </w:r>
      <w:r>
        <w:rPr>
          <w:color w:val="105C84"/>
          <w:spacing w:val="-2"/>
        </w:rPr>
        <w:t>30:</w:t>
      </w:r>
      <w:r>
        <w:rPr>
          <w:color w:val="105C84"/>
          <w:spacing w:val="-10"/>
        </w:rPr>
        <w:t> </w:t>
      </w:r>
      <w:r>
        <w:rPr>
          <w:color w:val="105C84"/>
          <w:spacing w:val="-2"/>
        </w:rPr>
        <w:t>Percent</w:t>
      </w:r>
      <w:r>
        <w:rPr>
          <w:color w:val="105C84"/>
          <w:spacing w:val="-10"/>
        </w:rPr>
        <w:t> </w:t>
      </w:r>
      <w:r>
        <w:rPr>
          <w:color w:val="105C84"/>
          <w:spacing w:val="-2"/>
        </w:rPr>
        <w:t>of</w:t>
      </w:r>
      <w:r>
        <w:rPr>
          <w:color w:val="105C84"/>
          <w:spacing w:val="-10"/>
        </w:rPr>
        <w:t> </w:t>
      </w:r>
      <w:r>
        <w:rPr>
          <w:color w:val="105C84"/>
          <w:spacing w:val="-2"/>
        </w:rPr>
        <w:t>population</w:t>
      </w:r>
      <w:r>
        <w:rPr>
          <w:color w:val="105C84"/>
          <w:spacing w:val="-10"/>
        </w:rPr>
        <w:t> </w:t>
      </w:r>
      <w:r>
        <w:rPr>
          <w:color w:val="105C84"/>
          <w:spacing w:val="-2"/>
        </w:rPr>
        <w:t>that</w:t>
      </w:r>
      <w:r>
        <w:rPr>
          <w:color w:val="105C84"/>
          <w:spacing w:val="-10"/>
        </w:rPr>
        <w:t> </w:t>
      </w:r>
      <w:r>
        <w:rPr>
          <w:color w:val="105C84"/>
          <w:spacing w:val="-2"/>
        </w:rPr>
        <w:t>is</w:t>
      </w:r>
      <w:r>
        <w:rPr>
          <w:color w:val="105C84"/>
          <w:spacing w:val="-9"/>
        </w:rPr>
        <w:t> </w:t>
      </w:r>
      <w:r>
        <w:rPr>
          <w:color w:val="105C84"/>
          <w:spacing w:val="-2"/>
        </w:rPr>
        <w:t>uninsured</w:t>
      </w:r>
    </w:p>
    <w:p>
      <w:pPr>
        <w:pStyle w:val="Heading6"/>
        <w:spacing w:after="0"/>
        <w:sectPr>
          <w:type w:val="continuous"/>
          <w:pgSz w:w="24480" w:h="15840" w:orient="landscape"/>
          <w:pgMar w:header="0" w:footer="0" w:top="0" w:bottom="280" w:left="0" w:right="720"/>
          <w:cols w:num="2" w:equalWidth="0">
            <w:col w:w="5235" w:space="7019"/>
            <w:col w:w="11506"/>
          </w:cols>
        </w:sectPr>
      </w:pPr>
    </w:p>
    <w:p>
      <w:pPr>
        <w:pStyle w:val="BodyText"/>
        <w:spacing w:before="5"/>
        <w:rPr>
          <w:b/>
          <w:sz w:val="19"/>
        </w:rPr>
      </w:pPr>
    </w:p>
    <w:p>
      <w:pPr>
        <w:pStyle w:val="BodyText"/>
        <w:spacing w:after="0"/>
        <w:rPr>
          <w:b/>
          <w:sz w:val="19"/>
        </w:rPr>
        <w:sectPr>
          <w:type w:val="continuous"/>
          <w:pgSz w:w="24480" w:h="15840" w:orient="landscape"/>
          <w:pgMar w:header="0" w:footer="0" w:top="0" w:bottom="280" w:left="0" w:right="720"/>
        </w:sectPr>
      </w:pPr>
    </w:p>
    <w:p>
      <w:pPr>
        <w:pStyle w:val="BodyText"/>
        <w:rPr>
          <w:b/>
          <w:sz w:val="18"/>
        </w:rPr>
      </w:pPr>
    </w:p>
    <w:p>
      <w:pPr>
        <w:pStyle w:val="BodyText"/>
        <w:spacing w:before="195"/>
        <w:rPr>
          <w:b/>
          <w:sz w:val="18"/>
        </w:rPr>
      </w:pPr>
    </w:p>
    <w:p>
      <w:pPr>
        <w:spacing w:before="0"/>
        <w:ind w:left="0" w:right="0" w:firstLine="0"/>
        <w:jc w:val="right"/>
        <w:rPr>
          <w:sz w:val="18"/>
        </w:rPr>
      </w:pPr>
      <w:r>
        <w:rPr>
          <w:sz w:val="18"/>
        </w:rPr>
        <mc:AlternateContent>
          <mc:Choice Requires="wps">
            <w:drawing>
              <wp:anchor distT="0" distB="0" distL="0" distR="0" allowOverlap="1" layoutInCell="1" locked="0" behindDoc="0" simplePos="0" relativeHeight="15821312">
                <wp:simplePos x="0" y="0"/>
                <wp:positionH relativeFrom="page">
                  <wp:posOffset>694944</wp:posOffset>
                </wp:positionH>
                <wp:positionV relativeFrom="paragraph">
                  <wp:posOffset>-1534656</wp:posOffset>
                </wp:positionV>
                <wp:extent cx="4523105" cy="3976370"/>
                <wp:effectExtent l="0" t="0" r="0" b="0"/>
                <wp:wrapNone/>
                <wp:docPr id="942" name="Group 942"/>
                <wp:cNvGraphicFramePr>
                  <a:graphicFrameLocks/>
                </wp:cNvGraphicFramePr>
                <a:graphic>
                  <a:graphicData uri="http://schemas.microsoft.com/office/word/2010/wordprocessingGroup">
                    <wpg:wgp>
                      <wpg:cNvPr id="942" name="Group 942"/>
                      <wpg:cNvGrpSpPr/>
                      <wpg:grpSpPr>
                        <a:xfrm>
                          <a:off x="0" y="0"/>
                          <a:ext cx="4523105" cy="3976370"/>
                          <a:chExt cx="4523105" cy="3976370"/>
                        </a:xfrm>
                      </wpg:grpSpPr>
                      <pic:pic>
                        <pic:nvPicPr>
                          <pic:cNvPr id="943" name="Image 943"/>
                          <pic:cNvPicPr/>
                        </pic:nvPicPr>
                        <pic:blipFill>
                          <a:blip r:embed="rId152" cstate="print"/>
                          <a:stretch>
                            <a:fillRect/>
                          </a:stretch>
                        </pic:blipFill>
                        <pic:spPr>
                          <a:xfrm>
                            <a:off x="0" y="0"/>
                            <a:ext cx="4522502" cy="3975853"/>
                          </a:xfrm>
                          <a:prstGeom prst="rect">
                            <a:avLst/>
                          </a:prstGeom>
                        </pic:spPr>
                      </pic:pic>
                      <wps:wsp>
                        <wps:cNvPr id="944" name="Textbox 944"/>
                        <wps:cNvSpPr txBox="1"/>
                        <wps:spPr>
                          <a:xfrm>
                            <a:off x="2295986" y="82277"/>
                            <a:ext cx="509270" cy="183515"/>
                          </a:xfrm>
                          <a:prstGeom prst="rect">
                            <a:avLst/>
                          </a:prstGeom>
                        </wps:spPr>
                        <wps:txbx>
                          <w:txbxContent>
                            <w:p>
                              <w:pPr>
                                <w:spacing w:before="7"/>
                                <w:ind w:left="0" w:right="0" w:firstLine="0"/>
                                <w:jc w:val="left"/>
                                <w:rPr>
                                  <w:rFonts w:ascii="Verdana"/>
                                  <w:sz w:val="23"/>
                                </w:rPr>
                              </w:pPr>
                              <w:r>
                                <w:rPr>
                                  <w:rFonts w:ascii="Verdana"/>
                                  <w:color w:val="FFFFFF"/>
                                  <w:spacing w:val="-2"/>
                                  <w:w w:val="105"/>
                                  <w:sz w:val="23"/>
                                </w:rPr>
                                <w:t>Hector</w:t>
                              </w:r>
                            </w:p>
                          </w:txbxContent>
                        </wps:txbx>
                        <wps:bodyPr wrap="square" lIns="0" tIns="0" rIns="0" bIns="0" rtlCol="0">
                          <a:noAutofit/>
                        </wps:bodyPr>
                      </wps:wsp>
                      <wps:wsp>
                        <wps:cNvPr id="945" name="Textbox 945"/>
                        <wps:cNvSpPr txBox="1"/>
                        <wps:spPr>
                          <a:xfrm>
                            <a:off x="1135562" y="1959124"/>
                            <a:ext cx="1011555" cy="183515"/>
                          </a:xfrm>
                          <a:prstGeom prst="rect">
                            <a:avLst/>
                          </a:prstGeom>
                        </wps:spPr>
                        <wps:txbx>
                          <w:txbxContent>
                            <w:p>
                              <w:pPr>
                                <w:spacing w:before="7"/>
                                <w:ind w:left="0" w:right="0" w:firstLine="0"/>
                                <w:jc w:val="left"/>
                                <w:rPr>
                                  <w:rFonts w:ascii="Verdana"/>
                                  <w:sz w:val="23"/>
                                </w:rPr>
                              </w:pPr>
                              <w:r>
                                <w:rPr>
                                  <w:rFonts w:ascii="Verdana"/>
                                  <w:color w:val="FFFFFF"/>
                                  <w:w w:val="105"/>
                                  <w:sz w:val="23"/>
                                </w:rPr>
                                <w:t>Watkins</w:t>
                              </w:r>
                              <w:r>
                                <w:rPr>
                                  <w:rFonts w:ascii="Verdana"/>
                                  <w:color w:val="FFFFFF"/>
                                  <w:spacing w:val="-21"/>
                                  <w:w w:val="105"/>
                                  <w:sz w:val="23"/>
                                </w:rPr>
                                <w:t> </w:t>
                              </w:r>
                              <w:r>
                                <w:rPr>
                                  <w:rFonts w:ascii="Verdana"/>
                                  <w:color w:val="FFFFFF"/>
                                  <w:spacing w:val="-4"/>
                                  <w:w w:val="105"/>
                                  <w:sz w:val="23"/>
                                </w:rPr>
                                <w:t>Glen</w:t>
                              </w:r>
                            </w:p>
                          </w:txbxContent>
                        </wps:txbx>
                        <wps:bodyPr wrap="square" lIns="0" tIns="0" rIns="0" bIns="0" rtlCol="0">
                          <a:noAutofit/>
                        </wps:bodyPr>
                      </wps:wsp>
                      <wps:wsp>
                        <wps:cNvPr id="946" name="Textbox 946"/>
                        <wps:cNvSpPr txBox="1"/>
                        <wps:spPr>
                          <a:xfrm>
                            <a:off x="2439422" y="2337955"/>
                            <a:ext cx="1027430" cy="183515"/>
                          </a:xfrm>
                          <a:prstGeom prst="rect">
                            <a:avLst/>
                          </a:prstGeom>
                        </wps:spPr>
                        <wps:txbx>
                          <w:txbxContent>
                            <w:p>
                              <w:pPr>
                                <w:spacing w:before="7"/>
                                <w:ind w:left="0" w:right="0" w:firstLine="0"/>
                                <w:jc w:val="left"/>
                                <w:rPr>
                                  <w:rFonts w:ascii="Verdana"/>
                                  <w:sz w:val="23"/>
                                </w:rPr>
                              </w:pPr>
                              <w:r>
                                <w:rPr>
                                  <w:rFonts w:ascii="Verdana"/>
                                  <w:color w:val="FFFFFF"/>
                                  <w:w w:val="105"/>
                                  <w:sz w:val="23"/>
                                </w:rPr>
                                <w:t>Montour</w:t>
                              </w:r>
                              <w:r>
                                <w:rPr>
                                  <w:rFonts w:ascii="Verdana"/>
                                  <w:color w:val="FFFFFF"/>
                                  <w:spacing w:val="-22"/>
                                  <w:w w:val="105"/>
                                  <w:sz w:val="23"/>
                                </w:rPr>
                                <w:t> </w:t>
                              </w:r>
                              <w:r>
                                <w:rPr>
                                  <w:rFonts w:ascii="Verdana"/>
                                  <w:color w:val="FFFFFF"/>
                                  <w:spacing w:val="-2"/>
                                  <w:w w:val="105"/>
                                  <w:sz w:val="23"/>
                                </w:rPr>
                                <w:t>Falls</w:t>
                              </w:r>
                            </w:p>
                          </w:txbxContent>
                        </wps:txbx>
                        <wps:bodyPr wrap="square" lIns="0" tIns="0" rIns="0" bIns="0" rtlCol="0">
                          <a:noAutofit/>
                        </wps:bodyPr>
                      </wps:wsp>
                      <wps:wsp>
                        <wps:cNvPr id="947" name="Textbox 947"/>
                        <wps:cNvSpPr txBox="1"/>
                        <wps:spPr>
                          <a:xfrm>
                            <a:off x="0" y="3529584"/>
                            <a:ext cx="2582545" cy="253365"/>
                          </a:xfrm>
                          <a:prstGeom prst="rect">
                            <a:avLst/>
                          </a:prstGeom>
                        </wps:spPr>
                        <wps:txbx>
                          <w:txbxContent>
                            <w:p>
                              <w:pPr>
                                <w:spacing w:line="235" w:lineRule="auto" w:before="13"/>
                                <w:ind w:left="0" w:right="18" w:firstLine="0"/>
                                <w:jc w:val="left"/>
                                <w:rPr>
                                  <w:sz w:val="16"/>
                                </w:rPr>
                              </w:pPr>
                              <w:r>
                                <w:rPr>
                                  <w:color w:val="0C5D86"/>
                                  <w:spacing w:val="-2"/>
                                  <w:sz w:val="16"/>
                                </w:rPr>
                                <w:t>Source:</w:t>
                              </w:r>
                              <w:r>
                                <w:rPr>
                                  <w:color w:val="0C5D86"/>
                                  <w:spacing w:val="-10"/>
                                  <w:sz w:val="16"/>
                                </w:rPr>
                                <w:t> </w:t>
                              </w:r>
                              <w:r>
                                <w:rPr>
                                  <w:color w:val="0C5D86"/>
                                  <w:spacing w:val="-2"/>
                                  <w:sz w:val="16"/>
                                </w:rPr>
                                <w:t>U.S.</w:t>
                              </w:r>
                              <w:r>
                                <w:rPr>
                                  <w:color w:val="0C5D86"/>
                                  <w:spacing w:val="-9"/>
                                  <w:sz w:val="16"/>
                                </w:rPr>
                                <w:t> </w:t>
                              </w:r>
                              <w:r>
                                <w:rPr>
                                  <w:color w:val="0C5D86"/>
                                  <w:spacing w:val="-2"/>
                                  <w:sz w:val="16"/>
                                </w:rPr>
                                <w:t>Census</w:t>
                              </w:r>
                              <w:r>
                                <w:rPr>
                                  <w:color w:val="0C5D86"/>
                                  <w:spacing w:val="-9"/>
                                  <w:sz w:val="16"/>
                                </w:rPr>
                                <w:t> </w:t>
                              </w:r>
                              <w:r>
                                <w:rPr>
                                  <w:color w:val="0C5D86"/>
                                  <w:spacing w:val="-2"/>
                                  <w:sz w:val="16"/>
                                </w:rPr>
                                <w:t>Bureau</w:t>
                              </w:r>
                              <w:r>
                                <w:rPr>
                                  <w:color w:val="0C5D86"/>
                                  <w:spacing w:val="-9"/>
                                  <w:sz w:val="16"/>
                                </w:rPr>
                                <w:t> </w:t>
                              </w:r>
                              <w:r>
                                <w:rPr>
                                  <w:color w:val="0C5D86"/>
                                  <w:spacing w:val="-2"/>
                                  <w:sz w:val="16"/>
                                </w:rPr>
                                <w:t>American</w:t>
                              </w:r>
                              <w:r>
                                <w:rPr>
                                  <w:color w:val="0C5D86"/>
                                  <w:spacing w:val="-9"/>
                                  <w:sz w:val="16"/>
                                </w:rPr>
                                <w:t> </w:t>
                              </w:r>
                              <w:r>
                                <w:rPr>
                                  <w:color w:val="0C5D86"/>
                                  <w:spacing w:val="-2"/>
                                  <w:sz w:val="16"/>
                                </w:rPr>
                                <w:t>Community</w:t>
                              </w:r>
                              <w:r>
                                <w:rPr>
                                  <w:color w:val="0C5D86"/>
                                  <w:spacing w:val="-9"/>
                                  <w:sz w:val="16"/>
                                </w:rPr>
                                <w:t> </w:t>
                              </w:r>
                              <w:r>
                                <w:rPr>
                                  <w:color w:val="0C5D86"/>
                                  <w:spacing w:val="-2"/>
                                  <w:sz w:val="16"/>
                                </w:rPr>
                                <w:t>Survey </w:t>
                              </w:r>
                              <w:r>
                                <w:rPr>
                                  <w:color w:val="0C5D86"/>
                                  <w:sz w:val="16"/>
                                </w:rPr>
                                <w:t>2013-2017 5-Year estimates</w:t>
                              </w:r>
                            </w:p>
                          </w:txbxContent>
                        </wps:txbx>
                        <wps:bodyPr wrap="square" lIns="0" tIns="0" rIns="0" bIns="0" rtlCol="0">
                          <a:noAutofit/>
                        </wps:bodyPr>
                      </wps:wsp>
                      <wps:wsp>
                        <wps:cNvPr id="948" name="Textbox 948"/>
                        <wps:cNvSpPr txBox="1"/>
                        <wps:spPr>
                          <a:xfrm>
                            <a:off x="3549275" y="3440489"/>
                            <a:ext cx="489584" cy="205740"/>
                          </a:xfrm>
                          <a:prstGeom prst="rect">
                            <a:avLst/>
                          </a:prstGeom>
                        </wps:spPr>
                        <wps:txbx>
                          <w:txbxContent>
                            <w:p>
                              <w:pPr>
                                <w:spacing w:before="21"/>
                                <w:ind w:left="0" w:right="0" w:firstLine="0"/>
                                <w:jc w:val="left"/>
                                <w:rPr>
                                  <w:sz w:val="23"/>
                                </w:rPr>
                              </w:pPr>
                              <w:r>
                                <w:rPr>
                                  <w:color w:val="636466"/>
                                  <w:spacing w:val="-2"/>
                                  <w:w w:val="105"/>
                                  <w:sz w:val="23"/>
                                </w:rPr>
                                <w:t>Cayuta</w:t>
                              </w:r>
                            </w:p>
                          </w:txbxContent>
                        </wps:txbx>
                        <wps:bodyPr wrap="square" lIns="0" tIns="0" rIns="0" bIns="0" rtlCol="0">
                          <a:noAutofit/>
                        </wps:bodyPr>
                      </wps:wsp>
                    </wpg:wgp>
                  </a:graphicData>
                </a:graphic>
              </wp:anchor>
            </w:drawing>
          </mc:Choice>
          <mc:Fallback>
            <w:pict>
              <v:group style="position:absolute;margin-left:54.720001pt;margin-top:-120.839127pt;width:356.15pt;height:313.1pt;mso-position-horizontal-relative:page;mso-position-vertical-relative:paragraph;z-index:15821312" id="docshapegroup772" coordorigin="1094,-2417" coordsize="7123,6262">
                <v:shape style="position:absolute;left:1094;top:-2417;width:7123;height:6262" type="#_x0000_t75" id="docshape773" stroked="false">
                  <v:imagedata r:id="rId152" o:title=""/>
                </v:shape>
                <v:shape style="position:absolute;left:4710;top:-2288;width:802;height:289" type="#_x0000_t202" id="docshape774" filled="false" stroked="false">
                  <v:textbox inset="0,0,0,0">
                    <w:txbxContent>
                      <w:p>
                        <w:pPr>
                          <w:spacing w:before="7"/>
                          <w:ind w:left="0" w:right="0" w:firstLine="0"/>
                          <w:jc w:val="left"/>
                          <w:rPr>
                            <w:rFonts w:ascii="Verdana"/>
                            <w:sz w:val="23"/>
                          </w:rPr>
                        </w:pPr>
                        <w:r>
                          <w:rPr>
                            <w:rFonts w:ascii="Verdana"/>
                            <w:color w:val="FFFFFF"/>
                            <w:spacing w:val="-2"/>
                            <w:w w:val="105"/>
                            <w:sz w:val="23"/>
                          </w:rPr>
                          <w:t>Hector</w:t>
                        </w:r>
                      </w:p>
                    </w:txbxContent>
                  </v:textbox>
                  <w10:wrap type="none"/>
                </v:shape>
                <v:shape style="position:absolute;left:2882;top:668;width:1593;height:289" type="#_x0000_t202" id="docshape775" filled="false" stroked="false">
                  <v:textbox inset="0,0,0,0">
                    <w:txbxContent>
                      <w:p>
                        <w:pPr>
                          <w:spacing w:before="7"/>
                          <w:ind w:left="0" w:right="0" w:firstLine="0"/>
                          <w:jc w:val="left"/>
                          <w:rPr>
                            <w:rFonts w:ascii="Verdana"/>
                            <w:sz w:val="23"/>
                          </w:rPr>
                        </w:pPr>
                        <w:r>
                          <w:rPr>
                            <w:rFonts w:ascii="Verdana"/>
                            <w:color w:val="FFFFFF"/>
                            <w:w w:val="105"/>
                            <w:sz w:val="23"/>
                          </w:rPr>
                          <w:t>Watkins</w:t>
                        </w:r>
                        <w:r>
                          <w:rPr>
                            <w:rFonts w:ascii="Verdana"/>
                            <w:color w:val="FFFFFF"/>
                            <w:spacing w:val="-21"/>
                            <w:w w:val="105"/>
                            <w:sz w:val="23"/>
                          </w:rPr>
                          <w:t> </w:t>
                        </w:r>
                        <w:r>
                          <w:rPr>
                            <w:rFonts w:ascii="Verdana"/>
                            <w:color w:val="FFFFFF"/>
                            <w:spacing w:val="-4"/>
                            <w:w w:val="105"/>
                            <w:sz w:val="23"/>
                          </w:rPr>
                          <w:t>Glen</w:t>
                        </w:r>
                      </w:p>
                    </w:txbxContent>
                  </v:textbox>
                  <w10:wrap type="none"/>
                </v:shape>
                <v:shape style="position:absolute;left:4936;top:1265;width:1618;height:289" type="#_x0000_t202" id="docshape776" filled="false" stroked="false">
                  <v:textbox inset="0,0,0,0">
                    <w:txbxContent>
                      <w:p>
                        <w:pPr>
                          <w:spacing w:before="7"/>
                          <w:ind w:left="0" w:right="0" w:firstLine="0"/>
                          <w:jc w:val="left"/>
                          <w:rPr>
                            <w:rFonts w:ascii="Verdana"/>
                            <w:sz w:val="23"/>
                          </w:rPr>
                        </w:pPr>
                        <w:r>
                          <w:rPr>
                            <w:rFonts w:ascii="Verdana"/>
                            <w:color w:val="FFFFFF"/>
                            <w:w w:val="105"/>
                            <w:sz w:val="23"/>
                          </w:rPr>
                          <w:t>Montour</w:t>
                        </w:r>
                        <w:r>
                          <w:rPr>
                            <w:rFonts w:ascii="Verdana"/>
                            <w:color w:val="FFFFFF"/>
                            <w:spacing w:val="-22"/>
                            <w:w w:val="105"/>
                            <w:sz w:val="23"/>
                          </w:rPr>
                          <w:t> </w:t>
                        </w:r>
                        <w:r>
                          <w:rPr>
                            <w:rFonts w:ascii="Verdana"/>
                            <w:color w:val="FFFFFF"/>
                            <w:spacing w:val="-2"/>
                            <w:w w:val="105"/>
                            <w:sz w:val="23"/>
                          </w:rPr>
                          <w:t>Falls</w:t>
                        </w:r>
                      </w:p>
                    </w:txbxContent>
                  </v:textbox>
                  <w10:wrap type="none"/>
                </v:shape>
                <v:shape style="position:absolute;left:1094;top:3141;width:4067;height:399" type="#_x0000_t202" id="docshape777" filled="false" stroked="false">
                  <v:textbox inset="0,0,0,0">
                    <w:txbxContent>
                      <w:p>
                        <w:pPr>
                          <w:spacing w:line="235" w:lineRule="auto" w:before="13"/>
                          <w:ind w:left="0" w:right="18" w:firstLine="0"/>
                          <w:jc w:val="left"/>
                          <w:rPr>
                            <w:sz w:val="16"/>
                          </w:rPr>
                        </w:pPr>
                        <w:r>
                          <w:rPr>
                            <w:color w:val="0C5D86"/>
                            <w:spacing w:val="-2"/>
                            <w:sz w:val="16"/>
                          </w:rPr>
                          <w:t>Source:</w:t>
                        </w:r>
                        <w:r>
                          <w:rPr>
                            <w:color w:val="0C5D86"/>
                            <w:spacing w:val="-10"/>
                            <w:sz w:val="16"/>
                          </w:rPr>
                          <w:t> </w:t>
                        </w:r>
                        <w:r>
                          <w:rPr>
                            <w:color w:val="0C5D86"/>
                            <w:spacing w:val="-2"/>
                            <w:sz w:val="16"/>
                          </w:rPr>
                          <w:t>U.S.</w:t>
                        </w:r>
                        <w:r>
                          <w:rPr>
                            <w:color w:val="0C5D86"/>
                            <w:spacing w:val="-9"/>
                            <w:sz w:val="16"/>
                          </w:rPr>
                          <w:t> </w:t>
                        </w:r>
                        <w:r>
                          <w:rPr>
                            <w:color w:val="0C5D86"/>
                            <w:spacing w:val="-2"/>
                            <w:sz w:val="16"/>
                          </w:rPr>
                          <w:t>Census</w:t>
                        </w:r>
                        <w:r>
                          <w:rPr>
                            <w:color w:val="0C5D86"/>
                            <w:spacing w:val="-9"/>
                            <w:sz w:val="16"/>
                          </w:rPr>
                          <w:t> </w:t>
                        </w:r>
                        <w:r>
                          <w:rPr>
                            <w:color w:val="0C5D86"/>
                            <w:spacing w:val="-2"/>
                            <w:sz w:val="16"/>
                          </w:rPr>
                          <w:t>Bureau</w:t>
                        </w:r>
                        <w:r>
                          <w:rPr>
                            <w:color w:val="0C5D86"/>
                            <w:spacing w:val="-9"/>
                            <w:sz w:val="16"/>
                          </w:rPr>
                          <w:t> </w:t>
                        </w:r>
                        <w:r>
                          <w:rPr>
                            <w:color w:val="0C5D86"/>
                            <w:spacing w:val="-2"/>
                            <w:sz w:val="16"/>
                          </w:rPr>
                          <w:t>American</w:t>
                        </w:r>
                        <w:r>
                          <w:rPr>
                            <w:color w:val="0C5D86"/>
                            <w:spacing w:val="-9"/>
                            <w:sz w:val="16"/>
                          </w:rPr>
                          <w:t> </w:t>
                        </w:r>
                        <w:r>
                          <w:rPr>
                            <w:color w:val="0C5D86"/>
                            <w:spacing w:val="-2"/>
                            <w:sz w:val="16"/>
                          </w:rPr>
                          <w:t>Community</w:t>
                        </w:r>
                        <w:r>
                          <w:rPr>
                            <w:color w:val="0C5D86"/>
                            <w:spacing w:val="-9"/>
                            <w:sz w:val="16"/>
                          </w:rPr>
                          <w:t> </w:t>
                        </w:r>
                        <w:r>
                          <w:rPr>
                            <w:color w:val="0C5D86"/>
                            <w:spacing w:val="-2"/>
                            <w:sz w:val="16"/>
                          </w:rPr>
                          <w:t>Survey </w:t>
                        </w:r>
                        <w:r>
                          <w:rPr>
                            <w:color w:val="0C5D86"/>
                            <w:sz w:val="16"/>
                          </w:rPr>
                          <w:t>2013-2017 5-Year estimates</w:t>
                        </w:r>
                      </w:p>
                    </w:txbxContent>
                  </v:textbox>
                  <w10:wrap type="none"/>
                </v:shape>
                <v:shape style="position:absolute;left:6683;top:3001;width:771;height:324" type="#_x0000_t202" id="docshape778" filled="false" stroked="false">
                  <v:textbox inset="0,0,0,0">
                    <w:txbxContent>
                      <w:p>
                        <w:pPr>
                          <w:spacing w:before="21"/>
                          <w:ind w:left="0" w:right="0" w:firstLine="0"/>
                          <w:jc w:val="left"/>
                          <w:rPr>
                            <w:sz w:val="23"/>
                          </w:rPr>
                        </w:pPr>
                        <w:r>
                          <w:rPr>
                            <w:color w:val="636466"/>
                            <w:spacing w:val="-2"/>
                            <w:w w:val="105"/>
                            <w:sz w:val="23"/>
                          </w:rPr>
                          <w:t>Cayuta</w:t>
                        </w:r>
                      </w:p>
                    </w:txbxContent>
                  </v:textbox>
                  <w10:wrap type="none"/>
                </v:shape>
                <w10:wrap type="none"/>
              </v:group>
            </w:pict>
          </mc:Fallback>
        </mc:AlternateContent>
      </w:r>
      <w:r>
        <w:rPr>
          <w:sz w:val="18"/>
        </w:rPr>
        <mc:AlternateContent>
          <mc:Choice Requires="wps">
            <w:drawing>
              <wp:anchor distT="0" distB="0" distL="0" distR="0" allowOverlap="1" layoutInCell="1" locked="0" behindDoc="0" simplePos="0" relativeHeight="15821824">
                <wp:simplePos x="0" y="0"/>
                <wp:positionH relativeFrom="page">
                  <wp:posOffset>5276481</wp:posOffset>
                </wp:positionH>
                <wp:positionV relativeFrom="paragraph">
                  <wp:posOffset>-1535825</wp:posOffset>
                </wp:positionV>
                <wp:extent cx="1810385" cy="2198370"/>
                <wp:effectExtent l="0" t="0" r="0" b="0"/>
                <wp:wrapNone/>
                <wp:docPr id="949" name="Group 949"/>
                <wp:cNvGraphicFramePr>
                  <a:graphicFrameLocks/>
                </wp:cNvGraphicFramePr>
                <a:graphic>
                  <a:graphicData uri="http://schemas.microsoft.com/office/word/2010/wordprocessingGroup">
                    <wpg:wgp>
                      <wpg:cNvPr id="949" name="Group 949"/>
                      <wpg:cNvGrpSpPr/>
                      <wpg:grpSpPr>
                        <a:xfrm>
                          <a:off x="0" y="0"/>
                          <a:ext cx="1810385" cy="2198370"/>
                          <a:chExt cx="1810385" cy="2198370"/>
                        </a:xfrm>
                      </wpg:grpSpPr>
                      <wps:wsp>
                        <wps:cNvPr id="950" name="Graphic 950"/>
                        <wps:cNvSpPr/>
                        <wps:spPr>
                          <a:xfrm>
                            <a:off x="166204" y="806958"/>
                            <a:ext cx="393700" cy="189230"/>
                          </a:xfrm>
                          <a:custGeom>
                            <a:avLst/>
                            <a:gdLst/>
                            <a:ahLst/>
                            <a:cxnLst/>
                            <a:rect l="l" t="t" r="r" b="b"/>
                            <a:pathLst>
                              <a:path w="393700" h="189230">
                                <a:moveTo>
                                  <a:pt x="393407" y="0"/>
                                </a:moveTo>
                                <a:lnTo>
                                  <a:pt x="0" y="0"/>
                                </a:lnTo>
                                <a:lnTo>
                                  <a:pt x="0" y="188645"/>
                                </a:lnTo>
                                <a:lnTo>
                                  <a:pt x="393407" y="188645"/>
                                </a:lnTo>
                                <a:lnTo>
                                  <a:pt x="393407" y="0"/>
                                </a:lnTo>
                                <a:close/>
                              </a:path>
                            </a:pathLst>
                          </a:custGeom>
                          <a:solidFill>
                            <a:srgbClr val="DEF0E7"/>
                          </a:solidFill>
                        </wps:spPr>
                        <wps:bodyPr wrap="square" lIns="0" tIns="0" rIns="0" bIns="0" rtlCol="0">
                          <a:prstTxWarp prst="textNoShape">
                            <a:avLst/>
                          </a:prstTxWarp>
                          <a:noAutofit/>
                        </wps:bodyPr>
                      </wps:wsp>
                      <wps:wsp>
                        <wps:cNvPr id="951" name="Graphic 951"/>
                        <wps:cNvSpPr/>
                        <wps:spPr>
                          <a:xfrm>
                            <a:off x="166204" y="1060157"/>
                            <a:ext cx="393700" cy="189230"/>
                          </a:xfrm>
                          <a:custGeom>
                            <a:avLst/>
                            <a:gdLst/>
                            <a:ahLst/>
                            <a:cxnLst/>
                            <a:rect l="l" t="t" r="r" b="b"/>
                            <a:pathLst>
                              <a:path w="393700" h="189230">
                                <a:moveTo>
                                  <a:pt x="393407" y="0"/>
                                </a:moveTo>
                                <a:lnTo>
                                  <a:pt x="0" y="0"/>
                                </a:lnTo>
                                <a:lnTo>
                                  <a:pt x="0" y="188645"/>
                                </a:lnTo>
                                <a:lnTo>
                                  <a:pt x="393407" y="188645"/>
                                </a:lnTo>
                                <a:lnTo>
                                  <a:pt x="393407" y="0"/>
                                </a:lnTo>
                                <a:close/>
                              </a:path>
                            </a:pathLst>
                          </a:custGeom>
                          <a:solidFill>
                            <a:srgbClr val="A6CFB4"/>
                          </a:solidFill>
                        </wps:spPr>
                        <wps:bodyPr wrap="square" lIns="0" tIns="0" rIns="0" bIns="0" rtlCol="0">
                          <a:prstTxWarp prst="textNoShape">
                            <a:avLst/>
                          </a:prstTxWarp>
                          <a:noAutofit/>
                        </wps:bodyPr>
                      </wps:wsp>
                      <wps:wsp>
                        <wps:cNvPr id="952" name="Graphic 952"/>
                        <wps:cNvSpPr/>
                        <wps:spPr>
                          <a:xfrm>
                            <a:off x="166204" y="1320063"/>
                            <a:ext cx="393700" cy="189230"/>
                          </a:xfrm>
                          <a:custGeom>
                            <a:avLst/>
                            <a:gdLst/>
                            <a:ahLst/>
                            <a:cxnLst/>
                            <a:rect l="l" t="t" r="r" b="b"/>
                            <a:pathLst>
                              <a:path w="393700" h="189230">
                                <a:moveTo>
                                  <a:pt x="393407" y="0"/>
                                </a:moveTo>
                                <a:lnTo>
                                  <a:pt x="0" y="0"/>
                                </a:lnTo>
                                <a:lnTo>
                                  <a:pt x="0" y="188645"/>
                                </a:lnTo>
                                <a:lnTo>
                                  <a:pt x="393407" y="188645"/>
                                </a:lnTo>
                                <a:lnTo>
                                  <a:pt x="393407" y="0"/>
                                </a:lnTo>
                                <a:close/>
                              </a:path>
                            </a:pathLst>
                          </a:custGeom>
                          <a:solidFill>
                            <a:srgbClr val="77A781"/>
                          </a:solidFill>
                        </wps:spPr>
                        <wps:bodyPr wrap="square" lIns="0" tIns="0" rIns="0" bIns="0" rtlCol="0">
                          <a:prstTxWarp prst="textNoShape">
                            <a:avLst/>
                          </a:prstTxWarp>
                          <a:noAutofit/>
                        </wps:bodyPr>
                      </wps:wsp>
                      <wps:wsp>
                        <wps:cNvPr id="953" name="Graphic 953"/>
                        <wps:cNvSpPr/>
                        <wps:spPr>
                          <a:xfrm>
                            <a:off x="166204" y="1579968"/>
                            <a:ext cx="393700" cy="189230"/>
                          </a:xfrm>
                          <a:custGeom>
                            <a:avLst/>
                            <a:gdLst/>
                            <a:ahLst/>
                            <a:cxnLst/>
                            <a:rect l="l" t="t" r="r" b="b"/>
                            <a:pathLst>
                              <a:path w="393700" h="189230">
                                <a:moveTo>
                                  <a:pt x="393407" y="0"/>
                                </a:moveTo>
                                <a:lnTo>
                                  <a:pt x="0" y="0"/>
                                </a:lnTo>
                                <a:lnTo>
                                  <a:pt x="0" y="188645"/>
                                </a:lnTo>
                                <a:lnTo>
                                  <a:pt x="393407" y="188645"/>
                                </a:lnTo>
                                <a:lnTo>
                                  <a:pt x="393407" y="0"/>
                                </a:lnTo>
                                <a:close/>
                              </a:path>
                            </a:pathLst>
                          </a:custGeom>
                          <a:solidFill>
                            <a:srgbClr val="4B8758"/>
                          </a:solidFill>
                        </wps:spPr>
                        <wps:bodyPr wrap="square" lIns="0" tIns="0" rIns="0" bIns="0" rtlCol="0">
                          <a:prstTxWarp prst="textNoShape">
                            <a:avLst/>
                          </a:prstTxWarp>
                          <a:noAutofit/>
                        </wps:bodyPr>
                      </wps:wsp>
                      <wps:wsp>
                        <wps:cNvPr id="954" name="Graphic 954"/>
                        <wps:cNvSpPr/>
                        <wps:spPr>
                          <a:xfrm>
                            <a:off x="166204" y="1839874"/>
                            <a:ext cx="393700" cy="189230"/>
                          </a:xfrm>
                          <a:custGeom>
                            <a:avLst/>
                            <a:gdLst/>
                            <a:ahLst/>
                            <a:cxnLst/>
                            <a:rect l="l" t="t" r="r" b="b"/>
                            <a:pathLst>
                              <a:path w="393700" h="189230">
                                <a:moveTo>
                                  <a:pt x="393407" y="0"/>
                                </a:moveTo>
                                <a:lnTo>
                                  <a:pt x="0" y="0"/>
                                </a:lnTo>
                                <a:lnTo>
                                  <a:pt x="0" y="188645"/>
                                </a:lnTo>
                                <a:lnTo>
                                  <a:pt x="393407" y="188645"/>
                                </a:lnTo>
                                <a:lnTo>
                                  <a:pt x="393407" y="0"/>
                                </a:lnTo>
                                <a:close/>
                              </a:path>
                            </a:pathLst>
                          </a:custGeom>
                          <a:solidFill>
                            <a:srgbClr val="236533"/>
                          </a:solidFill>
                        </wps:spPr>
                        <wps:bodyPr wrap="square" lIns="0" tIns="0" rIns="0" bIns="0" rtlCol="0">
                          <a:prstTxWarp prst="textNoShape">
                            <a:avLst/>
                          </a:prstTxWarp>
                          <a:noAutofit/>
                        </wps:bodyPr>
                      </wps:wsp>
                      <wps:wsp>
                        <wps:cNvPr id="955" name="Graphic 955"/>
                        <wps:cNvSpPr/>
                        <wps:spPr>
                          <a:xfrm>
                            <a:off x="3175" y="3175"/>
                            <a:ext cx="1804035" cy="2192020"/>
                          </a:xfrm>
                          <a:custGeom>
                            <a:avLst/>
                            <a:gdLst/>
                            <a:ahLst/>
                            <a:cxnLst/>
                            <a:rect l="l" t="t" r="r" b="b"/>
                            <a:pathLst>
                              <a:path w="1804035" h="2192020">
                                <a:moveTo>
                                  <a:pt x="1803768" y="0"/>
                                </a:moveTo>
                                <a:lnTo>
                                  <a:pt x="0" y="0"/>
                                </a:lnTo>
                                <a:lnTo>
                                  <a:pt x="0" y="2191410"/>
                                </a:lnTo>
                                <a:lnTo>
                                  <a:pt x="1803768" y="2191410"/>
                                </a:lnTo>
                                <a:lnTo>
                                  <a:pt x="1803768" y="0"/>
                                </a:lnTo>
                                <a:close/>
                              </a:path>
                            </a:pathLst>
                          </a:custGeom>
                          <a:ln w="6350">
                            <a:solidFill>
                              <a:srgbClr val="636366"/>
                            </a:solidFill>
                            <a:prstDash val="solid"/>
                          </a:ln>
                        </wps:spPr>
                        <wps:bodyPr wrap="square" lIns="0" tIns="0" rIns="0" bIns="0" rtlCol="0">
                          <a:prstTxWarp prst="textNoShape">
                            <a:avLst/>
                          </a:prstTxWarp>
                          <a:noAutofit/>
                        </wps:bodyPr>
                      </wps:wsp>
                      <wps:wsp>
                        <wps:cNvPr id="956" name="Textbox 956"/>
                        <wps:cNvSpPr txBox="1"/>
                        <wps:spPr>
                          <a:xfrm>
                            <a:off x="3175" y="3175"/>
                            <a:ext cx="1804035" cy="2192020"/>
                          </a:xfrm>
                          <a:prstGeom prst="rect">
                            <a:avLst/>
                          </a:prstGeom>
                        </wps:spPr>
                        <wps:txbx>
                          <w:txbxContent>
                            <w:p>
                              <w:pPr>
                                <w:spacing w:before="193"/>
                                <w:ind w:left="282" w:right="0" w:firstLine="0"/>
                                <w:jc w:val="left"/>
                                <w:rPr>
                                  <w:sz w:val="30"/>
                                </w:rPr>
                              </w:pPr>
                              <w:r>
                                <w:rPr>
                                  <w:color w:val="105C84"/>
                                  <w:spacing w:val="-2"/>
                                  <w:sz w:val="30"/>
                                </w:rPr>
                                <w:t>Legend</w:t>
                              </w:r>
                            </w:p>
                            <w:p>
                              <w:pPr>
                                <w:spacing w:before="301"/>
                                <w:ind w:left="267" w:right="0" w:firstLine="0"/>
                                <w:jc w:val="left"/>
                                <w:rPr>
                                  <w:sz w:val="20"/>
                                </w:rPr>
                              </w:pPr>
                              <w:r>
                                <w:rPr>
                                  <w:color w:val="6D6E71"/>
                                  <w:spacing w:val="-2"/>
                                  <w:sz w:val="20"/>
                                </w:rPr>
                                <w:t>POVERTY</w:t>
                              </w:r>
                            </w:p>
                            <w:p>
                              <w:pPr>
                                <w:spacing w:before="218"/>
                                <w:ind w:left="1059" w:right="0" w:firstLine="0"/>
                                <w:jc w:val="left"/>
                                <w:rPr>
                                  <w:sz w:val="20"/>
                                </w:rPr>
                              </w:pPr>
                              <w:r>
                                <w:rPr>
                                  <w:color w:val="6D6E71"/>
                                  <w:sz w:val="20"/>
                                </w:rPr>
                                <w:t>less</w:t>
                              </w:r>
                              <w:r>
                                <w:rPr>
                                  <w:color w:val="6D6E71"/>
                                  <w:spacing w:val="-5"/>
                                  <w:sz w:val="20"/>
                                </w:rPr>
                                <w:t> </w:t>
                              </w:r>
                              <w:r>
                                <w:rPr>
                                  <w:color w:val="6D6E71"/>
                                  <w:sz w:val="20"/>
                                </w:rPr>
                                <w:t>than</w:t>
                              </w:r>
                              <w:r>
                                <w:rPr>
                                  <w:color w:val="6D6E71"/>
                                  <w:spacing w:val="-4"/>
                                  <w:sz w:val="20"/>
                                </w:rPr>
                                <w:t> </w:t>
                              </w:r>
                              <w:r>
                                <w:rPr>
                                  <w:color w:val="6D6E71"/>
                                  <w:spacing w:val="-5"/>
                                  <w:sz w:val="20"/>
                                </w:rPr>
                                <w:t>10%</w:t>
                              </w:r>
                            </w:p>
                            <w:p>
                              <w:pPr>
                                <w:spacing w:before="180"/>
                                <w:ind w:left="1059" w:right="0" w:firstLine="0"/>
                                <w:jc w:val="left"/>
                                <w:rPr>
                                  <w:sz w:val="20"/>
                                </w:rPr>
                              </w:pPr>
                              <w:r>
                                <w:rPr>
                                  <w:color w:val="6D6E71"/>
                                  <w:sz w:val="20"/>
                                </w:rPr>
                                <w:t>10-</w:t>
                              </w:r>
                              <w:r>
                                <w:rPr>
                                  <w:color w:val="6D6E71"/>
                                  <w:spacing w:val="-5"/>
                                  <w:sz w:val="20"/>
                                </w:rPr>
                                <w:t>15%</w:t>
                              </w:r>
                            </w:p>
                            <w:p>
                              <w:pPr>
                                <w:spacing w:before="180"/>
                                <w:ind w:left="1059" w:right="0" w:firstLine="0"/>
                                <w:jc w:val="left"/>
                                <w:rPr>
                                  <w:sz w:val="20"/>
                                </w:rPr>
                              </w:pPr>
                              <w:r>
                                <w:rPr>
                                  <w:color w:val="6D6E71"/>
                                  <w:sz w:val="20"/>
                                </w:rPr>
                                <w:t>15-</w:t>
                              </w:r>
                              <w:r>
                                <w:rPr>
                                  <w:color w:val="6D6E71"/>
                                  <w:spacing w:val="-5"/>
                                  <w:sz w:val="20"/>
                                </w:rPr>
                                <w:t>20%</w:t>
                              </w:r>
                            </w:p>
                            <w:p>
                              <w:pPr>
                                <w:spacing w:before="180"/>
                                <w:ind w:left="1059" w:right="0" w:firstLine="0"/>
                                <w:jc w:val="left"/>
                                <w:rPr>
                                  <w:sz w:val="20"/>
                                </w:rPr>
                              </w:pPr>
                              <w:r>
                                <w:rPr>
                                  <w:color w:val="6D6E71"/>
                                  <w:sz w:val="20"/>
                                </w:rPr>
                                <w:t>20-</w:t>
                              </w:r>
                              <w:r>
                                <w:rPr>
                                  <w:color w:val="6D6E71"/>
                                  <w:spacing w:val="-5"/>
                                  <w:sz w:val="20"/>
                                </w:rPr>
                                <w:t>25%</w:t>
                              </w:r>
                            </w:p>
                            <w:p>
                              <w:pPr>
                                <w:spacing w:before="180"/>
                                <w:ind w:left="1059" w:right="0" w:firstLine="0"/>
                                <w:jc w:val="left"/>
                                <w:rPr>
                                  <w:sz w:val="20"/>
                                </w:rPr>
                              </w:pPr>
                              <w:r>
                                <w:rPr>
                                  <w:color w:val="6D6E71"/>
                                  <w:sz w:val="20"/>
                                </w:rPr>
                                <w:t>greater</w:t>
                              </w:r>
                              <w:r>
                                <w:rPr>
                                  <w:color w:val="6D6E71"/>
                                  <w:spacing w:val="16"/>
                                  <w:sz w:val="20"/>
                                </w:rPr>
                                <w:t> </w:t>
                              </w:r>
                              <w:r>
                                <w:rPr>
                                  <w:color w:val="6D6E71"/>
                                  <w:sz w:val="20"/>
                                </w:rPr>
                                <w:t>than</w:t>
                              </w:r>
                              <w:r>
                                <w:rPr>
                                  <w:color w:val="6D6E71"/>
                                  <w:spacing w:val="16"/>
                                  <w:sz w:val="20"/>
                                </w:rPr>
                                <w:t> </w:t>
                              </w:r>
                              <w:r>
                                <w:rPr>
                                  <w:color w:val="6D6E71"/>
                                  <w:spacing w:val="-5"/>
                                  <w:sz w:val="20"/>
                                </w:rPr>
                                <w:t>25%</w:t>
                              </w:r>
                            </w:p>
                          </w:txbxContent>
                        </wps:txbx>
                        <wps:bodyPr wrap="square" lIns="0" tIns="0" rIns="0" bIns="0" rtlCol="0">
                          <a:noAutofit/>
                        </wps:bodyPr>
                      </wps:wsp>
                    </wpg:wgp>
                  </a:graphicData>
                </a:graphic>
              </wp:anchor>
            </w:drawing>
          </mc:Choice>
          <mc:Fallback>
            <w:pict>
              <v:group style="position:absolute;margin-left:415.471008pt;margin-top:-120.931129pt;width:142.550pt;height:173.1pt;mso-position-horizontal-relative:page;mso-position-vertical-relative:paragraph;z-index:15821824" id="docshapegroup779" coordorigin="8309,-2419" coordsize="2851,3462">
                <v:rect style="position:absolute;left:8571;top:-1148;width:620;height:298" id="docshape780" filled="true" fillcolor="#def0e7" stroked="false">
                  <v:fill type="solid"/>
                </v:rect>
                <v:rect style="position:absolute;left:8571;top:-750;width:620;height:298" id="docshape781" filled="true" fillcolor="#a6cfb4" stroked="false">
                  <v:fill type="solid"/>
                </v:rect>
                <v:rect style="position:absolute;left:8571;top:-340;width:620;height:298" id="docshape782" filled="true" fillcolor="#77a781" stroked="false">
                  <v:fill type="solid"/>
                </v:rect>
                <v:rect style="position:absolute;left:8571;top:69;width:620;height:298" id="docshape783" filled="true" fillcolor="#4b8758" stroked="false">
                  <v:fill type="solid"/>
                </v:rect>
                <v:rect style="position:absolute;left:8571;top:478;width:620;height:298" id="docshape784" filled="true" fillcolor="#236533" stroked="false">
                  <v:fill type="solid"/>
                </v:rect>
                <v:rect style="position:absolute;left:8314;top:-2414;width:2841;height:3452" id="docshape785" filled="false" stroked="true" strokeweight=".5pt" strokecolor="#636366">
                  <v:stroke dashstyle="solid"/>
                </v:rect>
                <v:shape style="position:absolute;left:8314;top:-2414;width:2841;height:3452" type="#_x0000_t202" id="docshape786" filled="false" stroked="false">
                  <v:textbox inset="0,0,0,0">
                    <w:txbxContent>
                      <w:p>
                        <w:pPr>
                          <w:spacing w:before="193"/>
                          <w:ind w:left="282" w:right="0" w:firstLine="0"/>
                          <w:jc w:val="left"/>
                          <w:rPr>
                            <w:sz w:val="30"/>
                          </w:rPr>
                        </w:pPr>
                        <w:r>
                          <w:rPr>
                            <w:color w:val="105C84"/>
                            <w:spacing w:val="-2"/>
                            <w:sz w:val="30"/>
                          </w:rPr>
                          <w:t>Legend</w:t>
                        </w:r>
                      </w:p>
                      <w:p>
                        <w:pPr>
                          <w:spacing w:before="301"/>
                          <w:ind w:left="267" w:right="0" w:firstLine="0"/>
                          <w:jc w:val="left"/>
                          <w:rPr>
                            <w:sz w:val="20"/>
                          </w:rPr>
                        </w:pPr>
                        <w:r>
                          <w:rPr>
                            <w:color w:val="6D6E71"/>
                            <w:spacing w:val="-2"/>
                            <w:sz w:val="20"/>
                          </w:rPr>
                          <w:t>POVERTY</w:t>
                        </w:r>
                      </w:p>
                      <w:p>
                        <w:pPr>
                          <w:spacing w:before="218"/>
                          <w:ind w:left="1059" w:right="0" w:firstLine="0"/>
                          <w:jc w:val="left"/>
                          <w:rPr>
                            <w:sz w:val="20"/>
                          </w:rPr>
                        </w:pPr>
                        <w:r>
                          <w:rPr>
                            <w:color w:val="6D6E71"/>
                            <w:sz w:val="20"/>
                          </w:rPr>
                          <w:t>less</w:t>
                        </w:r>
                        <w:r>
                          <w:rPr>
                            <w:color w:val="6D6E71"/>
                            <w:spacing w:val="-5"/>
                            <w:sz w:val="20"/>
                          </w:rPr>
                          <w:t> </w:t>
                        </w:r>
                        <w:r>
                          <w:rPr>
                            <w:color w:val="6D6E71"/>
                            <w:sz w:val="20"/>
                          </w:rPr>
                          <w:t>than</w:t>
                        </w:r>
                        <w:r>
                          <w:rPr>
                            <w:color w:val="6D6E71"/>
                            <w:spacing w:val="-4"/>
                            <w:sz w:val="20"/>
                          </w:rPr>
                          <w:t> </w:t>
                        </w:r>
                        <w:r>
                          <w:rPr>
                            <w:color w:val="6D6E71"/>
                            <w:spacing w:val="-5"/>
                            <w:sz w:val="20"/>
                          </w:rPr>
                          <w:t>10%</w:t>
                        </w:r>
                      </w:p>
                      <w:p>
                        <w:pPr>
                          <w:spacing w:before="180"/>
                          <w:ind w:left="1059" w:right="0" w:firstLine="0"/>
                          <w:jc w:val="left"/>
                          <w:rPr>
                            <w:sz w:val="20"/>
                          </w:rPr>
                        </w:pPr>
                        <w:r>
                          <w:rPr>
                            <w:color w:val="6D6E71"/>
                            <w:sz w:val="20"/>
                          </w:rPr>
                          <w:t>10-</w:t>
                        </w:r>
                        <w:r>
                          <w:rPr>
                            <w:color w:val="6D6E71"/>
                            <w:spacing w:val="-5"/>
                            <w:sz w:val="20"/>
                          </w:rPr>
                          <w:t>15%</w:t>
                        </w:r>
                      </w:p>
                      <w:p>
                        <w:pPr>
                          <w:spacing w:before="180"/>
                          <w:ind w:left="1059" w:right="0" w:firstLine="0"/>
                          <w:jc w:val="left"/>
                          <w:rPr>
                            <w:sz w:val="20"/>
                          </w:rPr>
                        </w:pPr>
                        <w:r>
                          <w:rPr>
                            <w:color w:val="6D6E71"/>
                            <w:sz w:val="20"/>
                          </w:rPr>
                          <w:t>15-</w:t>
                        </w:r>
                        <w:r>
                          <w:rPr>
                            <w:color w:val="6D6E71"/>
                            <w:spacing w:val="-5"/>
                            <w:sz w:val="20"/>
                          </w:rPr>
                          <w:t>20%</w:t>
                        </w:r>
                      </w:p>
                      <w:p>
                        <w:pPr>
                          <w:spacing w:before="180"/>
                          <w:ind w:left="1059" w:right="0" w:firstLine="0"/>
                          <w:jc w:val="left"/>
                          <w:rPr>
                            <w:sz w:val="20"/>
                          </w:rPr>
                        </w:pPr>
                        <w:r>
                          <w:rPr>
                            <w:color w:val="6D6E71"/>
                            <w:sz w:val="20"/>
                          </w:rPr>
                          <w:t>20-</w:t>
                        </w:r>
                        <w:r>
                          <w:rPr>
                            <w:color w:val="6D6E71"/>
                            <w:spacing w:val="-5"/>
                            <w:sz w:val="20"/>
                          </w:rPr>
                          <w:t>25%</w:t>
                        </w:r>
                      </w:p>
                      <w:p>
                        <w:pPr>
                          <w:spacing w:before="180"/>
                          <w:ind w:left="1059" w:right="0" w:firstLine="0"/>
                          <w:jc w:val="left"/>
                          <w:rPr>
                            <w:sz w:val="20"/>
                          </w:rPr>
                        </w:pPr>
                        <w:r>
                          <w:rPr>
                            <w:color w:val="6D6E71"/>
                            <w:sz w:val="20"/>
                          </w:rPr>
                          <w:t>greater</w:t>
                        </w:r>
                        <w:r>
                          <w:rPr>
                            <w:color w:val="6D6E71"/>
                            <w:spacing w:val="16"/>
                            <w:sz w:val="20"/>
                          </w:rPr>
                          <w:t> </w:t>
                        </w:r>
                        <w:r>
                          <w:rPr>
                            <w:color w:val="6D6E71"/>
                            <w:sz w:val="20"/>
                          </w:rPr>
                          <w:t>than</w:t>
                        </w:r>
                        <w:r>
                          <w:rPr>
                            <w:color w:val="6D6E71"/>
                            <w:spacing w:val="16"/>
                            <w:sz w:val="20"/>
                          </w:rPr>
                          <w:t> </w:t>
                        </w:r>
                        <w:r>
                          <w:rPr>
                            <w:color w:val="6D6E71"/>
                            <w:spacing w:val="-5"/>
                            <w:sz w:val="20"/>
                          </w:rPr>
                          <w:t>25%</w:t>
                        </w:r>
                      </w:p>
                    </w:txbxContent>
                  </v:textbox>
                  <w10:wrap type="none"/>
                </v:shape>
                <w10:wrap type="none"/>
              </v:group>
            </w:pict>
          </mc:Fallback>
        </mc:AlternateContent>
      </w:r>
      <w:r>
        <w:rPr>
          <w:color w:val="636466"/>
          <w:spacing w:val="-5"/>
          <w:sz w:val="18"/>
        </w:rPr>
        <w:t>16%</w:t>
      </w:r>
    </w:p>
    <w:p>
      <w:pPr>
        <w:spacing w:before="78"/>
        <w:ind w:left="0" w:right="0" w:firstLine="0"/>
        <w:jc w:val="right"/>
        <w:rPr>
          <w:sz w:val="18"/>
        </w:rPr>
      </w:pPr>
      <w:r>
        <w:rPr>
          <w:sz w:val="18"/>
        </w:rPr>
        <mc:AlternateContent>
          <mc:Choice Requires="wps">
            <w:drawing>
              <wp:anchor distT="0" distB="0" distL="0" distR="0" allowOverlap="1" layoutInCell="1" locked="0" behindDoc="0" simplePos="0" relativeHeight="15824384">
                <wp:simplePos x="0" y="0"/>
                <wp:positionH relativeFrom="page">
                  <wp:posOffset>8466590</wp:posOffset>
                </wp:positionH>
                <wp:positionV relativeFrom="paragraph">
                  <wp:posOffset>111650</wp:posOffset>
                </wp:positionV>
                <wp:extent cx="146050" cy="1002665"/>
                <wp:effectExtent l="0" t="0" r="0" b="0"/>
                <wp:wrapNone/>
                <wp:docPr id="957" name="Textbox 957"/>
                <wp:cNvGraphicFramePr>
                  <a:graphicFrameLocks/>
                </wp:cNvGraphicFramePr>
                <a:graphic>
                  <a:graphicData uri="http://schemas.microsoft.com/office/word/2010/wordprocessingShape">
                    <wps:wsp>
                      <wps:cNvPr id="957" name="Textbox 957"/>
                      <wps:cNvSpPr txBox="1"/>
                      <wps:spPr>
                        <a:xfrm>
                          <a:off x="0" y="0"/>
                          <a:ext cx="146050" cy="1002665"/>
                        </a:xfrm>
                        <a:prstGeom prst="rect">
                          <a:avLst/>
                        </a:prstGeom>
                      </wps:spPr>
                      <wps:txbx>
                        <w:txbxContent>
                          <w:p>
                            <w:pPr>
                              <w:spacing w:before="19"/>
                              <w:ind w:left="20" w:right="0" w:firstLine="0"/>
                              <w:jc w:val="left"/>
                              <w:rPr>
                                <w:sz w:val="16"/>
                              </w:rPr>
                            </w:pPr>
                            <w:r>
                              <w:rPr>
                                <w:color w:val="105C84"/>
                                <w:sz w:val="16"/>
                              </w:rPr>
                              <w:t>Percent</w:t>
                            </w:r>
                            <w:r>
                              <w:rPr>
                                <w:color w:val="105C84"/>
                                <w:spacing w:val="-5"/>
                                <w:sz w:val="16"/>
                              </w:rPr>
                              <w:t> </w:t>
                            </w:r>
                            <w:r>
                              <w:rPr>
                                <w:color w:val="105C84"/>
                                <w:sz w:val="16"/>
                              </w:rPr>
                              <w:t>of</w:t>
                            </w:r>
                            <w:r>
                              <w:rPr>
                                <w:color w:val="105C84"/>
                                <w:spacing w:val="-5"/>
                                <w:sz w:val="16"/>
                              </w:rPr>
                              <w:t> </w:t>
                            </w:r>
                            <w:r>
                              <w:rPr>
                                <w:color w:val="105C84"/>
                                <w:spacing w:val="-2"/>
                                <w:sz w:val="16"/>
                              </w:rPr>
                              <w:t>Population</w:t>
                            </w:r>
                          </w:p>
                        </w:txbxContent>
                      </wps:txbx>
                      <wps:bodyPr wrap="square" lIns="0" tIns="0" rIns="0" bIns="0" rtlCol="0" vert="vert270">
                        <a:noAutofit/>
                      </wps:bodyPr>
                    </wps:wsp>
                  </a:graphicData>
                </a:graphic>
              </wp:anchor>
            </w:drawing>
          </mc:Choice>
          <mc:Fallback>
            <w:pict>
              <v:shape style="position:absolute;margin-left:666.660706pt;margin-top:8.791349pt;width:11.5pt;height:78.95pt;mso-position-horizontal-relative:page;mso-position-vertical-relative:paragraph;z-index:15824384" type="#_x0000_t202" id="docshape787" filled="false" stroked="false">
                <v:textbox inset="0,0,0,0" style="layout-flow:vertical;mso-layout-flow-alt:bottom-to-top">
                  <w:txbxContent>
                    <w:p>
                      <w:pPr>
                        <w:spacing w:before="19"/>
                        <w:ind w:left="20" w:right="0" w:firstLine="0"/>
                        <w:jc w:val="left"/>
                        <w:rPr>
                          <w:sz w:val="16"/>
                        </w:rPr>
                      </w:pPr>
                      <w:r>
                        <w:rPr>
                          <w:color w:val="105C84"/>
                          <w:sz w:val="16"/>
                        </w:rPr>
                        <w:t>Percent</w:t>
                      </w:r>
                      <w:r>
                        <w:rPr>
                          <w:color w:val="105C84"/>
                          <w:spacing w:val="-5"/>
                          <w:sz w:val="16"/>
                        </w:rPr>
                        <w:t> </w:t>
                      </w:r>
                      <w:r>
                        <w:rPr>
                          <w:color w:val="105C84"/>
                          <w:sz w:val="16"/>
                        </w:rPr>
                        <w:t>of</w:t>
                      </w:r>
                      <w:r>
                        <w:rPr>
                          <w:color w:val="105C84"/>
                          <w:spacing w:val="-5"/>
                          <w:sz w:val="16"/>
                        </w:rPr>
                        <w:t> </w:t>
                      </w:r>
                      <w:r>
                        <w:rPr>
                          <w:color w:val="105C84"/>
                          <w:spacing w:val="-2"/>
                          <w:sz w:val="16"/>
                        </w:rPr>
                        <w:t>Population</w:t>
                      </w:r>
                    </w:p>
                  </w:txbxContent>
                </v:textbox>
                <w10:wrap type="none"/>
              </v:shape>
            </w:pict>
          </mc:Fallback>
        </mc:AlternateContent>
      </w:r>
      <w:r>
        <w:rPr>
          <w:color w:val="636466"/>
          <w:spacing w:val="-5"/>
          <w:sz w:val="18"/>
        </w:rPr>
        <w:t>14%</w:t>
      </w:r>
    </w:p>
    <w:p>
      <w:pPr>
        <w:spacing w:before="63"/>
        <w:ind w:left="0" w:right="0" w:firstLine="0"/>
        <w:jc w:val="right"/>
        <w:rPr>
          <w:sz w:val="18"/>
        </w:rPr>
      </w:pPr>
      <w:r>
        <w:rPr>
          <w:color w:val="636466"/>
          <w:spacing w:val="-5"/>
          <w:sz w:val="18"/>
        </w:rPr>
        <w:t>12%</w:t>
      </w:r>
    </w:p>
    <w:p>
      <w:pPr>
        <w:spacing w:before="78"/>
        <w:ind w:left="0" w:right="0" w:firstLine="0"/>
        <w:jc w:val="right"/>
        <w:rPr>
          <w:sz w:val="18"/>
        </w:rPr>
      </w:pPr>
      <w:r>
        <w:rPr>
          <w:color w:val="636466"/>
          <w:spacing w:val="-5"/>
          <w:sz w:val="18"/>
        </w:rPr>
        <w:t>10%</w:t>
      </w:r>
    </w:p>
    <w:p>
      <w:pPr>
        <w:spacing w:before="78"/>
        <w:ind w:left="0" w:right="0" w:firstLine="0"/>
        <w:jc w:val="right"/>
        <w:rPr>
          <w:sz w:val="18"/>
        </w:rPr>
      </w:pPr>
      <w:r>
        <w:rPr>
          <w:color w:val="636466"/>
          <w:spacing w:val="-5"/>
          <w:sz w:val="18"/>
        </w:rPr>
        <w:t>8%</w:t>
      </w:r>
    </w:p>
    <w:p>
      <w:pPr>
        <w:spacing w:before="78"/>
        <w:ind w:left="0" w:right="0" w:firstLine="0"/>
        <w:jc w:val="right"/>
        <w:rPr>
          <w:sz w:val="18"/>
        </w:rPr>
      </w:pPr>
      <w:r>
        <w:rPr>
          <w:color w:val="636466"/>
          <w:spacing w:val="-5"/>
          <w:sz w:val="18"/>
        </w:rPr>
        <w:t>6%</w:t>
      </w:r>
    </w:p>
    <w:p>
      <w:pPr>
        <w:spacing w:before="78"/>
        <w:ind w:left="0" w:right="0" w:firstLine="0"/>
        <w:jc w:val="right"/>
        <w:rPr>
          <w:sz w:val="18"/>
        </w:rPr>
      </w:pPr>
      <w:r>
        <w:rPr>
          <w:color w:val="636466"/>
          <w:spacing w:val="-5"/>
          <w:sz w:val="18"/>
        </w:rPr>
        <w:t>4%</w:t>
      </w:r>
    </w:p>
    <w:p>
      <w:pPr>
        <w:spacing w:before="78"/>
        <w:ind w:left="0" w:right="0" w:firstLine="0"/>
        <w:jc w:val="right"/>
        <w:rPr>
          <w:sz w:val="18"/>
        </w:rPr>
      </w:pPr>
      <w:r>
        <w:rPr>
          <w:color w:val="636466"/>
          <w:spacing w:val="-5"/>
          <w:sz w:val="18"/>
        </w:rPr>
        <w:t>2%</w:t>
      </w:r>
    </w:p>
    <w:p>
      <w:pPr>
        <w:spacing w:before="78"/>
        <w:ind w:left="0" w:right="0" w:firstLine="0"/>
        <w:jc w:val="right"/>
        <w:rPr>
          <w:sz w:val="18"/>
        </w:rPr>
      </w:pPr>
      <w:r>
        <w:rPr>
          <w:color w:val="636466"/>
          <w:spacing w:val="-5"/>
          <w:sz w:val="18"/>
        </w:rPr>
        <w:t>0%</w:t>
      </w:r>
    </w:p>
    <w:p>
      <w:pPr>
        <w:tabs>
          <w:tab w:pos="3578" w:val="left" w:leader="none"/>
          <w:tab w:pos="5400" w:val="left" w:leader="none"/>
        </w:tabs>
        <w:spacing w:before="100"/>
        <w:ind w:left="1197" w:right="0" w:firstLine="0"/>
        <w:jc w:val="left"/>
        <w:rPr>
          <w:sz w:val="18"/>
        </w:rPr>
      </w:pPr>
      <w:r>
        <w:rPr/>
        <w:br w:type="column"/>
      </w:r>
      <w:r>
        <w:rPr>
          <w:color w:val="636466"/>
          <w:spacing w:val="-4"/>
          <w:sz w:val="18"/>
        </w:rPr>
        <w:t>Schuyler</w:t>
      </w:r>
      <w:r>
        <w:rPr>
          <w:color w:val="636466"/>
          <w:spacing w:val="-1"/>
          <w:sz w:val="18"/>
        </w:rPr>
        <w:t> </w:t>
      </w:r>
      <w:r>
        <w:rPr>
          <w:color w:val="636466"/>
          <w:spacing w:val="-2"/>
          <w:sz w:val="18"/>
        </w:rPr>
        <w:t>County</w:t>
      </w:r>
      <w:r>
        <w:rPr>
          <w:color w:val="636466"/>
          <w:sz w:val="18"/>
        </w:rPr>
        <w:tab/>
        <w:t>8-County</w:t>
      </w:r>
      <w:r>
        <w:rPr>
          <w:color w:val="636466"/>
          <w:spacing w:val="-4"/>
          <w:sz w:val="18"/>
        </w:rPr>
        <w:t> </w:t>
      </w:r>
      <w:r>
        <w:rPr>
          <w:color w:val="636466"/>
          <w:spacing w:val="-2"/>
          <w:sz w:val="18"/>
        </w:rPr>
        <w:t>Region</w:t>
      </w:r>
      <w:r>
        <w:rPr>
          <w:color w:val="636466"/>
          <w:sz w:val="18"/>
        </w:rPr>
        <w:tab/>
      </w:r>
      <w:r>
        <w:rPr>
          <w:color w:val="636466"/>
          <w:position w:val="4"/>
          <w:sz w:val="18"/>
        </w:rPr>
        <w:drawing>
          <wp:inline distT="0" distB="0" distL="0" distR="0">
            <wp:extent cx="279400" cy="25400"/>
            <wp:effectExtent l="0" t="0" r="0" b="0"/>
            <wp:docPr id="958" name="Image 958"/>
            <wp:cNvGraphicFramePr>
              <a:graphicFrameLocks/>
            </wp:cNvGraphicFramePr>
            <a:graphic>
              <a:graphicData uri="http://schemas.openxmlformats.org/drawingml/2006/picture">
                <pic:pic>
                  <pic:nvPicPr>
                    <pic:cNvPr id="958" name="Image 958"/>
                    <pic:cNvPicPr/>
                  </pic:nvPicPr>
                  <pic:blipFill>
                    <a:blip r:embed="rId153" cstate="print"/>
                    <a:stretch>
                      <a:fillRect/>
                    </a:stretch>
                  </pic:blipFill>
                  <pic:spPr>
                    <a:xfrm>
                      <a:off x="0" y="0"/>
                      <a:ext cx="279400" cy="25400"/>
                    </a:xfrm>
                    <a:prstGeom prst="rect">
                      <a:avLst/>
                    </a:prstGeom>
                  </pic:spPr>
                </pic:pic>
              </a:graphicData>
            </a:graphic>
          </wp:inline>
        </w:drawing>
      </w:r>
      <w:r>
        <w:rPr>
          <w:color w:val="636466"/>
          <w:position w:val="4"/>
          <w:sz w:val="18"/>
        </w:rPr>
      </w:r>
      <w:r>
        <w:rPr>
          <w:rFonts w:ascii="Times New Roman"/>
          <w:color w:val="636466"/>
          <w:spacing w:val="80"/>
          <w:sz w:val="18"/>
        </w:rPr>
        <w:t> </w:t>
      </w:r>
      <w:r>
        <w:rPr>
          <w:color w:val="636466"/>
          <w:sz w:val="18"/>
        </w:rPr>
        <w:t>NYS</w:t>
      </w:r>
    </w:p>
    <w:p>
      <w:pPr>
        <w:pStyle w:val="BodyText"/>
        <w:spacing w:before="134"/>
        <w:rPr>
          <w:sz w:val="20"/>
        </w:rPr>
      </w:pPr>
      <w:r>
        <w:rPr>
          <w:sz w:val="20"/>
        </w:rPr>
        <mc:AlternateContent>
          <mc:Choice Requires="wps">
            <w:drawing>
              <wp:anchor distT="0" distB="0" distL="0" distR="0" allowOverlap="1" layoutInCell="1" locked="0" behindDoc="1" simplePos="0" relativeHeight="487678976">
                <wp:simplePos x="0" y="0"/>
                <wp:positionH relativeFrom="page">
                  <wp:posOffset>9000693</wp:posOffset>
                </wp:positionH>
                <wp:positionV relativeFrom="paragraph">
                  <wp:posOffset>246998</wp:posOffset>
                </wp:positionV>
                <wp:extent cx="4672330" cy="1462405"/>
                <wp:effectExtent l="0" t="0" r="0" b="0"/>
                <wp:wrapTopAndBottom/>
                <wp:docPr id="959" name="Group 959"/>
                <wp:cNvGraphicFramePr>
                  <a:graphicFrameLocks/>
                </wp:cNvGraphicFramePr>
                <a:graphic>
                  <a:graphicData uri="http://schemas.microsoft.com/office/word/2010/wordprocessingGroup">
                    <wpg:wgp>
                      <wpg:cNvPr id="959" name="Group 959"/>
                      <wpg:cNvGrpSpPr/>
                      <wpg:grpSpPr>
                        <a:xfrm>
                          <a:off x="0" y="0"/>
                          <a:ext cx="4672330" cy="1462405"/>
                          <a:chExt cx="4672330" cy="1462405"/>
                        </a:xfrm>
                      </wpg:grpSpPr>
                      <wps:wsp>
                        <wps:cNvPr id="960" name="Graphic 960"/>
                        <wps:cNvSpPr/>
                        <wps:spPr>
                          <a:xfrm>
                            <a:off x="5499" y="5499"/>
                            <a:ext cx="4660900" cy="1451610"/>
                          </a:xfrm>
                          <a:custGeom>
                            <a:avLst/>
                            <a:gdLst/>
                            <a:ahLst/>
                            <a:cxnLst/>
                            <a:rect l="l" t="t" r="r" b="b"/>
                            <a:pathLst>
                              <a:path w="4660900" h="1451610">
                                <a:moveTo>
                                  <a:pt x="4660747" y="1451241"/>
                                </a:moveTo>
                                <a:lnTo>
                                  <a:pt x="0" y="1451241"/>
                                </a:lnTo>
                                <a:lnTo>
                                  <a:pt x="0" y="0"/>
                                </a:lnTo>
                              </a:path>
                            </a:pathLst>
                          </a:custGeom>
                          <a:ln w="10998">
                            <a:solidFill>
                              <a:srgbClr val="BCBEC0"/>
                            </a:solidFill>
                            <a:prstDash val="solid"/>
                          </a:ln>
                        </wps:spPr>
                        <wps:bodyPr wrap="square" lIns="0" tIns="0" rIns="0" bIns="0" rtlCol="0">
                          <a:prstTxWarp prst="textNoShape">
                            <a:avLst/>
                          </a:prstTxWarp>
                          <a:noAutofit/>
                        </wps:bodyPr>
                      </wps:wsp>
                      <wps:wsp>
                        <wps:cNvPr id="961" name="Graphic 961"/>
                        <wps:cNvSpPr/>
                        <wps:spPr>
                          <a:xfrm>
                            <a:off x="418247" y="166108"/>
                            <a:ext cx="4039235" cy="676275"/>
                          </a:xfrm>
                          <a:custGeom>
                            <a:avLst/>
                            <a:gdLst/>
                            <a:ahLst/>
                            <a:cxnLst/>
                            <a:rect l="l" t="t" r="r" b="b"/>
                            <a:pathLst>
                              <a:path w="4039235" h="676275">
                                <a:moveTo>
                                  <a:pt x="0" y="0"/>
                                </a:moveTo>
                                <a:lnTo>
                                  <a:pt x="800100" y="76200"/>
                                </a:lnTo>
                                <a:lnTo>
                                  <a:pt x="1612900" y="323837"/>
                                </a:lnTo>
                                <a:lnTo>
                                  <a:pt x="2413012" y="400037"/>
                                </a:lnTo>
                                <a:lnTo>
                                  <a:pt x="3225812" y="523862"/>
                                </a:lnTo>
                                <a:lnTo>
                                  <a:pt x="4038612" y="676275"/>
                                </a:lnTo>
                              </a:path>
                            </a:pathLst>
                          </a:custGeom>
                          <a:ln w="21996">
                            <a:solidFill>
                              <a:srgbClr val="0F5D86"/>
                            </a:solidFill>
                            <a:prstDash val="solid"/>
                          </a:ln>
                        </wps:spPr>
                        <wps:bodyPr wrap="square" lIns="0" tIns="0" rIns="0" bIns="0" rtlCol="0">
                          <a:prstTxWarp prst="textNoShape">
                            <a:avLst/>
                          </a:prstTxWarp>
                          <a:noAutofit/>
                        </wps:bodyPr>
                      </wps:wsp>
                      <wps:wsp>
                        <wps:cNvPr id="962" name="Graphic 962"/>
                        <wps:cNvSpPr/>
                        <wps:spPr>
                          <a:xfrm>
                            <a:off x="418247" y="556627"/>
                            <a:ext cx="4039235" cy="276225"/>
                          </a:xfrm>
                          <a:custGeom>
                            <a:avLst/>
                            <a:gdLst/>
                            <a:ahLst/>
                            <a:cxnLst/>
                            <a:rect l="l" t="t" r="r" b="b"/>
                            <a:pathLst>
                              <a:path w="4039235" h="276225">
                                <a:moveTo>
                                  <a:pt x="0" y="0"/>
                                </a:moveTo>
                                <a:lnTo>
                                  <a:pt x="800100" y="0"/>
                                </a:lnTo>
                                <a:lnTo>
                                  <a:pt x="1612900" y="95250"/>
                                </a:lnTo>
                                <a:lnTo>
                                  <a:pt x="2413012" y="180975"/>
                                </a:lnTo>
                                <a:lnTo>
                                  <a:pt x="3225812" y="180975"/>
                                </a:lnTo>
                                <a:lnTo>
                                  <a:pt x="4038612" y="276225"/>
                                </a:lnTo>
                              </a:path>
                            </a:pathLst>
                          </a:custGeom>
                          <a:ln w="21996">
                            <a:solidFill>
                              <a:srgbClr val="82BF6A"/>
                            </a:solidFill>
                            <a:prstDash val="solid"/>
                          </a:ln>
                        </wps:spPr>
                        <wps:bodyPr wrap="square" lIns="0" tIns="0" rIns="0" bIns="0" rtlCol="0">
                          <a:prstTxWarp prst="textNoShape">
                            <a:avLst/>
                          </a:prstTxWarp>
                          <a:noAutofit/>
                        </wps:bodyPr>
                      </wps:wsp>
                      <wps:wsp>
                        <wps:cNvPr id="963" name="Graphic 963"/>
                        <wps:cNvSpPr/>
                        <wps:spPr>
                          <a:xfrm>
                            <a:off x="405547" y="99433"/>
                            <a:ext cx="3979545" cy="372745"/>
                          </a:xfrm>
                          <a:custGeom>
                            <a:avLst/>
                            <a:gdLst/>
                            <a:ahLst/>
                            <a:cxnLst/>
                            <a:rect l="l" t="t" r="r" b="b"/>
                            <a:pathLst>
                              <a:path w="3979545" h="372745">
                                <a:moveTo>
                                  <a:pt x="95923" y="0"/>
                                </a:moveTo>
                                <a:lnTo>
                                  <a:pt x="5689" y="0"/>
                                </a:lnTo>
                                <a:lnTo>
                                  <a:pt x="0" y="4254"/>
                                </a:lnTo>
                                <a:lnTo>
                                  <a:pt x="0" y="14782"/>
                                </a:lnTo>
                                <a:lnTo>
                                  <a:pt x="5689" y="19050"/>
                                </a:lnTo>
                                <a:lnTo>
                                  <a:pt x="95923" y="19050"/>
                                </a:lnTo>
                                <a:lnTo>
                                  <a:pt x="101600" y="14782"/>
                                </a:lnTo>
                                <a:lnTo>
                                  <a:pt x="101600" y="4254"/>
                                </a:lnTo>
                                <a:lnTo>
                                  <a:pt x="95923" y="0"/>
                                </a:lnTo>
                                <a:close/>
                              </a:path>
                              <a:path w="3979545" h="372745">
                                <a:moveTo>
                                  <a:pt x="273723" y="0"/>
                                </a:moveTo>
                                <a:lnTo>
                                  <a:pt x="183489" y="0"/>
                                </a:lnTo>
                                <a:lnTo>
                                  <a:pt x="177800" y="4254"/>
                                </a:lnTo>
                                <a:lnTo>
                                  <a:pt x="177800" y="14782"/>
                                </a:lnTo>
                                <a:lnTo>
                                  <a:pt x="183489" y="19050"/>
                                </a:lnTo>
                                <a:lnTo>
                                  <a:pt x="273723" y="19050"/>
                                </a:lnTo>
                                <a:lnTo>
                                  <a:pt x="279400" y="14782"/>
                                </a:lnTo>
                                <a:lnTo>
                                  <a:pt x="279400" y="4254"/>
                                </a:lnTo>
                                <a:lnTo>
                                  <a:pt x="273723" y="0"/>
                                </a:lnTo>
                                <a:close/>
                              </a:path>
                              <a:path w="3979545" h="372745">
                                <a:moveTo>
                                  <a:pt x="451523" y="0"/>
                                </a:moveTo>
                                <a:lnTo>
                                  <a:pt x="361289" y="0"/>
                                </a:lnTo>
                                <a:lnTo>
                                  <a:pt x="355600" y="4254"/>
                                </a:lnTo>
                                <a:lnTo>
                                  <a:pt x="355600" y="14782"/>
                                </a:lnTo>
                                <a:lnTo>
                                  <a:pt x="361289" y="19050"/>
                                </a:lnTo>
                                <a:lnTo>
                                  <a:pt x="451523" y="19050"/>
                                </a:lnTo>
                                <a:lnTo>
                                  <a:pt x="457200" y="14782"/>
                                </a:lnTo>
                                <a:lnTo>
                                  <a:pt x="457200" y="4254"/>
                                </a:lnTo>
                                <a:lnTo>
                                  <a:pt x="451523" y="0"/>
                                </a:lnTo>
                                <a:close/>
                              </a:path>
                              <a:path w="3979545" h="372745">
                                <a:moveTo>
                                  <a:pt x="629323" y="0"/>
                                </a:moveTo>
                                <a:lnTo>
                                  <a:pt x="539089" y="0"/>
                                </a:lnTo>
                                <a:lnTo>
                                  <a:pt x="533400" y="4254"/>
                                </a:lnTo>
                                <a:lnTo>
                                  <a:pt x="533400" y="14782"/>
                                </a:lnTo>
                                <a:lnTo>
                                  <a:pt x="539089" y="19050"/>
                                </a:lnTo>
                                <a:lnTo>
                                  <a:pt x="629323" y="19050"/>
                                </a:lnTo>
                                <a:lnTo>
                                  <a:pt x="635000" y="14782"/>
                                </a:lnTo>
                                <a:lnTo>
                                  <a:pt x="635000" y="4254"/>
                                </a:lnTo>
                                <a:lnTo>
                                  <a:pt x="629323" y="0"/>
                                </a:lnTo>
                                <a:close/>
                              </a:path>
                              <a:path w="3979545" h="372745">
                                <a:moveTo>
                                  <a:pt x="807123" y="0"/>
                                </a:moveTo>
                                <a:lnTo>
                                  <a:pt x="716889" y="0"/>
                                </a:lnTo>
                                <a:lnTo>
                                  <a:pt x="711200" y="4254"/>
                                </a:lnTo>
                                <a:lnTo>
                                  <a:pt x="711200" y="14782"/>
                                </a:lnTo>
                                <a:lnTo>
                                  <a:pt x="716889" y="19050"/>
                                </a:lnTo>
                                <a:lnTo>
                                  <a:pt x="807123" y="19050"/>
                                </a:lnTo>
                                <a:lnTo>
                                  <a:pt x="812800" y="14782"/>
                                </a:lnTo>
                                <a:lnTo>
                                  <a:pt x="812800" y="4254"/>
                                </a:lnTo>
                                <a:lnTo>
                                  <a:pt x="807123" y="0"/>
                                </a:lnTo>
                                <a:close/>
                              </a:path>
                              <a:path w="3979545" h="372745">
                                <a:moveTo>
                                  <a:pt x="895667" y="9588"/>
                                </a:moveTo>
                                <a:lnTo>
                                  <a:pt x="889177" y="13144"/>
                                </a:lnTo>
                                <a:lnTo>
                                  <a:pt x="887006" y="23545"/>
                                </a:lnTo>
                                <a:lnTo>
                                  <a:pt x="891755" y="28409"/>
                                </a:lnTo>
                                <a:lnTo>
                                  <a:pt x="980897" y="38862"/>
                                </a:lnTo>
                                <a:lnTo>
                                  <a:pt x="987399" y="35306"/>
                                </a:lnTo>
                                <a:lnTo>
                                  <a:pt x="989558" y="24904"/>
                                </a:lnTo>
                                <a:lnTo>
                                  <a:pt x="984821" y="20040"/>
                                </a:lnTo>
                                <a:lnTo>
                                  <a:pt x="895667" y="9588"/>
                                </a:lnTo>
                                <a:close/>
                              </a:path>
                              <a:path w="3979545" h="372745">
                                <a:moveTo>
                                  <a:pt x="1071333" y="30175"/>
                                </a:moveTo>
                                <a:lnTo>
                                  <a:pt x="1064844" y="33731"/>
                                </a:lnTo>
                                <a:lnTo>
                                  <a:pt x="1062685" y="44132"/>
                                </a:lnTo>
                                <a:lnTo>
                                  <a:pt x="1067422" y="48996"/>
                                </a:lnTo>
                                <a:lnTo>
                                  <a:pt x="1156563" y="59448"/>
                                </a:lnTo>
                                <a:lnTo>
                                  <a:pt x="1163066" y="55892"/>
                                </a:lnTo>
                                <a:lnTo>
                                  <a:pt x="1165225" y="45491"/>
                                </a:lnTo>
                                <a:lnTo>
                                  <a:pt x="1160487" y="40627"/>
                                </a:lnTo>
                                <a:lnTo>
                                  <a:pt x="1071333" y="30175"/>
                                </a:lnTo>
                                <a:close/>
                              </a:path>
                              <a:path w="3979545" h="372745">
                                <a:moveTo>
                                  <a:pt x="1247013" y="50761"/>
                                </a:moveTo>
                                <a:lnTo>
                                  <a:pt x="1240510" y="54317"/>
                                </a:lnTo>
                                <a:lnTo>
                                  <a:pt x="1238351" y="64719"/>
                                </a:lnTo>
                                <a:lnTo>
                                  <a:pt x="1243088" y="69583"/>
                                </a:lnTo>
                                <a:lnTo>
                                  <a:pt x="1332230" y="80035"/>
                                </a:lnTo>
                                <a:lnTo>
                                  <a:pt x="1338732" y="76479"/>
                                </a:lnTo>
                                <a:lnTo>
                                  <a:pt x="1340891" y="66090"/>
                                </a:lnTo>
                                <a:lnTo>
                                  <a:pt x="1336154" y="61214"/>
                                </a:lnTo>
                                <a:lnTo>
                                  <a:pt x="1247013" y="50761"/>
                                </a:lnTo>
                                <a:close/>
                              </a:path>
                              <a:path w="3979545" h="372745">
                                <a:moveTo>
                                  <a:pt x="1422679" y="71348"/>
                                </a:moveTo>
                                <a:lnTo>
                                  <a:pt x="1416177" y="74904"/>
                                </a:lnTo>
                                <a:lnTo>
                                  <a:pt x="1414018" y="85305"/>
                                </a:lnTo>
                                <a:lnTo>
                                  <a:pt x="1418755" y="90170"/>
                                </a:lnTo>
                                <a:lnTo>
                                  <a:pt x="1507896" y="100622"/>
                                </a:lnTo>
                                <a:lnTo>
                                  <a:pt x="1514398" y="97066"/>
                                </a:lnTo>
                                <a:lnTo>
                                  <a:pt x="1516570" y="86664"/>
                                </a:lnTo>
                                <a:lnTo>
                                  <a:pt x="1511820" y="81800"/>
                                </a:lnTo>
                                <a:lnTo>
                                  <a:pt x="1422679" y="71348"/>
                                </a:lnTo>
                                <a:close/>
                              </a:path>
                              <a:path w="3979545" h="372745">
                                <a:moveTo>
                                  <a:pt x="1598345" y="91935"/>
                                </a:moveTo>
                                <a:lnTo>
                                  <a:pt x="1591856" y="95491"/>
                                </a:lnTo>
                                <a:lnTo>
                                  <a:pt x="1589684" y="105879"/>
                                </a:lnTo>
                                <a:lnTo>
                                  <a:pt x="1594421" y="110756"/>
                                </a:lnTo>
                                <a:lnTo>
                                  <a:pt x="1623644" y="114185"/>
                                </a:lnTo>
                                <a:lnTo>
                                  <a:pt x="1683854" y="120637"/>
                                </a:lnTo>
                                <a:lnTo>
                                  <a:pt x="1690293" y="117017"/>
                                </a:lnTo>
                                <a:lnTo>
                                  <a:pt x="1692262" y="106603"/>
                                </a:lnTo>
                                <a:lnTo>
                                  <a:pt x="1687449" y="101777"/>
                                </a:lnTo>
                                <a:lnTo>
                                  <a:pt x="1598345" y="91935"/>
                                </a:lnTo>
                                <a:close/>
                              </a:path>
                              <a:path w="3979545" h="372745">
                                <a:moveTo>
                                  <a:pt x="1774139" y="111061"/>
                                </a:moveTo>
                                <a:lnTo>
                                  <a:pt x="1767700" y="114680"/>
                                </a:lnTo>
                                <a:lnTo>
                                  <a:pt x="1765719" y="125095"/>
                                </a:lnTo>
                                <a:lnTo>
                                  <a:pt x="1770545" y="129921"/>
                                </a:lnTo>
                                <a:lnTo>
                                  <a:pt x="1859864" y="139496"/>
                                </a:lnTo>
                                <a:lnTo>
                                  <a:pt x="1866303" y="135877"/>
                                </a:lnTo>
                                <a:lnTo>
                                  <a:pt x="1868284" y="125463"/>
                                </a:lnTo>
                                <a:lnTo>
                                  <a:pt x="1863458" y="120637"/>
                                </a:lnTo>
                                <a:lnTo>
                                  <a:pt x="1774139" y="111061"/>
                                </a:lnTo>
                                <a:close/>
                              </a:path>
                              <a:path w="3979545" h="372745">
                                <a:moveTo>
                                  <a:pt x="1950148" y="129921"/>
                                </a:moveTo>
                                <a:lnTo>
                                  <a:pt x="1943722" y="133540"/>
                                </a:lnTo>
                                <a:lnTo>
                                  <a:pt x="1941741" y="143954"/>
                                </a:lnTo>
                                <a:lnTo>
                                  <a:pt x="1946554" y="148780"/>
                                </a:lnTo>
                                <a:lnTo>
                                  <a:pt x="2035886" y="158356"/>
                                </a:lnTo>
                                <a:lnTo>
                                  <a:pt x="2042312" y="154736"/>
                                </a:lnTo>
                                <a:lnTo>
                                  <a:pt x="2044293" y="144322"/>
                                </a:lnTo>
                                <a:lnTo>
                                  <a:pt x="2039480" y="139496"/>
                                </a:lnTo>
                                <a:lnTo>
                                  <a:pt x="1950148" y="129921"/>
                                </a:lnTo>
                                <a:close/>
                              </a:path>
                              <a:path w="3979545" h="372745">
                                <a:moveTo>
                                  <a:pt x="2126157" y="148780"/>
                                </a:moveTo>
                                <a:lnTo>
                                  <a:pt x="2119731" y="152400"/>
                                </a:lnTo>
                                <a:lnTo>
                                  <a:pt x="2117750" y="162814"/>
                                </a:lnTo>
                                <a:lnTo>
                                  <a:pt x="2122576" y="167640"/>
                                </a:lnTo>
                                <a:lnTo>
                                  <a:pt x="2211895" y="177215"/>
                                </a:lnTo>
                                <a:lnTo>
                                  <a:pt x="2218334" y="173583"/>
                                </a:lnTo>
                                <a:lnTo>
                                  <a:pt x="2220315" y="163182"/>
                                </a:lnTo>
                                <a:lnTo>
                                  <a:pt x="2215476" y="158356"/>
                                </a:lnTo>
                                <a:lnTo>
                                  <a:pt x="2126157" y="148780"/>
                                </a:lnTo>
                                <a:close/>
                              </a:path>
                              <a:path w="3979545" h="372745">
                                <a:moveTo>
                                  <a:pt x="2302167" y="167640"/>
                                </a:moveTo>
                                <a:lnTo>
                                  <a:pt x="2295753" y="171259"/>
                                </a:lnTo>
                                <a:lnTo>
                                  <a:pt x="2293759" y="181673"/>
                                </a:lnTo>
                                <a:lnTo>
                                  <a:pt x="2298585" y="186499"/>
                                </a:lnTo>
                                <a:lnTo>
                                  <a:pt x="2387904" y="196062"/>
                                </a:lnTo>
                                <a:lnTo>
                                  <a:pt x="2394331" y="192455"/>
                                </a:lnTo>
                                <a:lnTo>
                                  <a:pt x="2396312" y="182029"/>
                                </a:lnTo>
                                <a:lnTo>
                                  <a:pt x="2391498" y="177215"/>
                                </a:lnTo>
                                <a:lnTo>
                                  <a:pt x="2302167" y="167640"/>
                                </a:lnTo>
                                <a:close/>
                              </a:path>
                              <a:path w="3979545" h="372745">
                                <a:moveTo>
                                  <a:pt x="2478265" y="187007"/>
                                </a:moveTo>
                                <a:lnTo>
                                  <a:pt x="2471762" y="190563"/>
                                </a:lnTo>
                                <a:lnTo>
                                  <a:pt x="2469591" y="200964"/>
                                </a:lnTo>
                                <a:lnTo>
                                  <a:pt x="2474328" y="205828"/>
                                </a:lnTo>
                                <a:lnTo>
                                  <a:pt x="2563482" y="216281"/>
                                </a:lnTo>
                                <a:lnTo>
                                  <a:pt x="2569972" y="212737"/>
                                </a:lnTo>
                                <a:lnTo>
                                  <a:pt x="2572143" y="202336"/>
                                </a:lnTo>
                                <a:lnTo>
                                  <a:pt x="2567393" y="197459"/>
                                </a:lnTo>
                                <a:lnTo>
                                  <a:pt x="2478265" y="187007"/>
                                </a:lnTo>
                                <a:close/>
                              </a:path>
                              <a:path w="3979545" h="372745">
                                <a:moveTo>
                                  <a:pt x="2653931" y="207606"/>
                                </a:moveTo>
                                <a:lnTo>
                                  <a:pt x="2647429" y="211150"/>
                                </a:lnTo>
                                <a:lnTo>
                                  <a:pt x="2645257" y="221538"/>
                                </a:lnTo>
                                <a:lnTo>
                                  <a:pt x="2650007" y="226428"/>
                                </a:lnTo>
                                <a:lnTo>
                                  <a:pt x="2739148" y="236867"/>
                                </a:lnTo>
                                <a:lnTo>
                                  <a:pt x="2745638" y="233311"/>
                                </a:lnTo>
                                <a:lnTo>
                                  <a:pt x="2747810" y="222923"/>
                                </a:lnTo>
                                <a:lnTo>
                                  <a:pt x="2743073" y="218033"/>
                                </a:lnTo>
                                <a:lnTo>
                                  <a:pt x="2653931" y="207606"/>
                                </a:lnTo>
                                <a:close/>
                              </a:path>
                              <a:path w="3979545" h="372745">
                                <a:moveTo>
                                  <a:pt x="2829598" y="228180"/>
                                </a:moveTo>
                                <a:lnTo>
                                  <a:pt x="2823095" y="231736"/>
                                </a:lnTo>
                                <a:lnTo>
                                  <a:pt x="2820936" y="242138"/>
                                </a:lnTo>
                                <a:lnTo>
                                  <a:pt x="2825673" y="247002"/>
                                </a:lnTo>
                                <a:lnTo>
                                  <a:pt x="2914827" y="257441"/>
                                </a:lnTo>
                                <a:lnTo>
                                  <a:pt x="2921304" y="253898"/>
                                </a:lnTo>
                                <a:lnTo>
                                  <a:pt x="2923476" y="243497"/>
                                </a:lnTo>
                                <a:lnTo>
                                  <a:pt x="2918739" y="238633"/>
                                </a:lnTo>
                                <a:lnTo>
                                  <a:pt x="2829598" y="228180"/>
                                </a:lnTo>
                                <a:close/>
                              </a:path>
                              <a:path w="3979545" h="372745">
                                <a:moveTo>
                                  <a:pt x="3005264" y="248767"/>
                                </a:moveTo>
                                <a:lnTo>
                                  <a:pt x="2998762" y="252323"/>
                                </a:lnTo>
                                <a:lnTo>
                                  <a:pt x="2996603" y="262712"/>
                                </a:lnTo>
                                <a:lnTo>
                                  <a:pt x="3001340" y="267601"/>
                                </a:lnTo>
                                <a:lnTo>
                                  <a:pt x="3090494" y="278041"/>
                                </a:lnTo>
                                <a:lnTo>
                                  <a:pt x="3096971" y="274485"/>
                                </a:lnTo>
                                <a:lnTo>
                                  <a:pt x="3099142" y="264083"/>
                                </a:lnTo>
                                <a:lnTo>
                                  <a:pt x="3094405" y="259219"/>
                                </a:lnTo>
                                <a:lnTo>
                                  <a:pt x="3005264" y="248767"/>
                                </a:lnTo>
                                <a:close/>
                              </a:path>
                              <a:path w="3979545" h="372745">
                                <a:moveTo>
                                  <a:pt x="3180930" y="269367"/>
                                </a:moveTo>
                                <a:lnTo>
                                  <a:pt x="3174428" y="272910"/>
                                </a:lnTo>
                                <a:lnTo>
                                  <a:pt x="3172269" y="283324"/>
                                </a:lnTo>
                                <a:lnTo>
                                  <a:pt x="3177006" y="288175"/>
                                </a:lnTo>
                                <a:lnTo>
                                  <a:pt x="3236556" y="295160"/>
                                </a:lnTo>
                                <a:lnTo>
                                  <a:pt x="3266414" y="298297"/>
                                </a:lnTo>
                                <a:lnTo>
                                  <a:pt x="3272840" y="294678"/>
                                </a:lnTo>
                                <a:lnTo>
                                  <a:pt x="3274783" y="284251"/>
                                </a:lnTo>
                                <a:lnTo>
                                  <a:pt x="3269957" y="279450"/>
                                </a:lnTo>
                                <a:lnTo>
                                  <a:pt x="3240468" y="276339"/>
                                </a:lnTo>
                                <a:lnTo>
                                  <a:pt x="3180930" y="269367"/>
                                </a:lnTo>
                                <a:close/>
                              </a:path>
                              <a:path w="3979545" h="372745">
                                <a:moveTo>
                                  <a:pt x="3356673" y="288582"/>
                                </a:moveTo>
                                <a:lnTo>
                                  <a:pt x="3350247" y="292214"/>
                                </a:lnTo>
                                <a:lnTo>
                                  <a:pt x="3348291" y="302641"/>
                                </a:lnTo>
                                <a:lnTo>
                                  <a:pt x="3353130" y="307441"/>
                                </a:lnTo>
                                <a:lnTo>
                                  <a:pt x="3442474" y="316890"/>
                                </a:lnTo>
                                <a:lnTo>
                                  <a:pt x="3448900" y="313245"/>
                                </a:lnTo>
                                <a:lnTo>
                                  <a:pt x="3450856" y="302831"/>
                                </a:lnTo>
                                <a:lnTo>
                                  <a:pt x="3446017" y="298005"/>
                                </a:lnTo>
                                <a:lnTo>
                                  <a:pt x="3356673" y="288582"/>
                                </a:lnTo>
                                <a:close/>
                              </a:path>
                              <a:path w="3979545" h="372745">
                                <a:moveTo>
                                  <a:pt x="3532733" y="307162"/>
                                </a:moveTo>
                                <a:lnTo>
                                  <a:pt x="3526320" y="310781"/>
                                </a:lnTo>
                                <a:lnTo>
                                  <a:pt x="3524364" y="321195"/>
                                </a:lnTo>
                                <a:lnTo>
                                  <a:pt x="3529203" y="326021"/>
                                </a:lnTo>
                                <a:lnTo>
                                  <a:pt x="3618547" y="335445"/>
                                </a:lnTo>
                                <a:lnTo>
                                  <a:pt x="3624973" y="331812"/>
                                </a:lnTo>
                                <a:lnTo>
                                  <a:pt x="3626929" y="321411"/>
                                </a:lnTo>
                                <a:lnTo>
                                  <a:pt x="3622090" y="316572"/>
                                </a:lnTo>
                                <a:lnTo>
                                  <a:pt x="3532733" y="307162"/>
                                </a:lnTo>
                                <a:close/>
                              </a:path>
                              <a:path w="3979545" h="372745">
                                <a:moveTo>
                                  <a:pt x="3708806" y="325716"/>
                                </a:moveTo>
                                <a:lnTo>
                                  <a:pt x="3702380" y="329361"/>
                                </a:lnTo>
                                <a:lnTo>
                                  <a:pt x="3700424" y="339775"/>
                                </a:lnTo>
                                <a:lnTo>
                                  <a:pt x="3705275" y="344601"/>
                                </a:lnTo>
                                <a:lnTo>
                                  <a:pt x="3794620" y="354012"/>
                                </a:lnTo>
                                <a:lnTo>
                                  <a:pt x="3801046" y="350393"/>
                                </a:lnTo>
                                <a:lnTo>
                                  <a:pt x="3802989" y="339979"/>
                                </a:lnTo>
                                <a:lnTo>
                                  <a:pt x="3798150" y="335153"/>
                                </a:lnTo>
                                <a:lnTo>
                                  <a:pt x="3708806" y="325716"/>
                                </a:lnTo>
                                <a:close/>
                              </a:path>
                              <a:path w="3979545" h="372745">
                                <a:moveTo>
                                  <a:pt x="3884866" y="344309"/>
                                </a:moveTo>
                                <a:lnTo>
                                  <a:pt x="3878453" y="347916"/>
                                </a:lnTo>
                                <a:lnTo>
                                  <a:pt x="3876497" y="358355"/>
                                </a:lnTo>
                                <a:lnTo>
                                  <a:pt x="3881335" y="363156"/>
                                </a:lnTo>
                                <a:lnTo>
                                  <a:pt x="3970680" y="372579"/>
                                </a:lnTo>
                                <a:lnTo>
                                  <a:pt x="3977106" y="368947"/>
                                </a:lnTo>
                                <a:lnTo>
                                  <a:pt x="3979049" y="358533"/>
                                </a:lnTo>
                                <a:lnTo>
                                  <a:pt x="3974223" y="353733"/>
                                </a:lnTo>
                                <a:lnTo>
                                  <a:pt x="3884866" y="344309"/>
                                </a:lnTo>
                                <a:close/>
                              </a:path>
                            </a:pathLst>
                          </a:custGeom>
                          <a:solidFill>
                            <a:srgbClr val="BCBEC0"/>
                          </a:solidFill>
                        </wps:spPr>
                        <wps:bodyPr wrap="square" lIns="0" tIns="0" rIns="0" bIns="0" rtlCol="0">
                          <a:prstTxWarp prst="textNoShape">
                            <a:avLst/>
                          </a:prstTxWarp>
                          <a:noAutofit/>
                        </wps:bodyPr>
                      </wps:wsp>
                    </wpg:wgp>
                  </a:graphicData>
                </a:graphic>
              </wp:anchor>
            </w:drawing>
          </mc:Choice>
          <mc:Fallback>
            <w:pict>
              <v:group style="position:absolute;margin-left:708.716003pt;margin-top:19.448694pt;width:367.9pt;height:115.15pt;mso-position-horizontal-relative:page;mso-position-vertical-relative:paragraph;z-index:-15637504;mso-wrap-distance-left:0;mso-wrap-distance-right:0" id="docshapegroup788" coordorigin="14174,389" coordsize="7358,2303">
                <v:shape style="position:absolute;left:14182;top:397;width:7340;height:2286" id="docshape789" coordorigin="14183,398" coordsize="7340,2286" path="m21523,2683l14183,2683,14183,398e" filled="false" stroked="true" strokeweight=".866pt" strokecolor="#bcbec0">
                  <v:path arrowok="t"/>
                  <v:stroke dashstyle="solid"/>
                </v:shape>
                <v:shape style="position:absolute;left:14832;top:650;width:6361;height:1065" id="docshape790" coordorigin="14833,651" coordsize="6361,1065" path="m14833,651l16093,771,17373,1161,18633,1281,19913,1476,21193,1716e" filled="false" stroked="true" strokeweight="1.732pt" strokecolor="#0f5d86">
                  <v:path arrowok="t"/>
                  <v:stroke dashstyle="solid"/>
                </v:shape>
                <v:shape style="position:absolute;left:14832;top:1265;width:6361;height:435" id="docshape791" coordorigin="14833,1266" coordsize="6361,435" path="m14833,1266l16093,1266,17373,1416,18633,1551,19913,1551,21193,1701e" filled="false" stroked="true" strokeweight="1.732pt" strokecolor="#82bf6a">
                  <v:path arrowok="t"/>
                  <v:stroke dashstyle="solid"/>
                </v:shape>
                <v:shape style="position:absolute;left:14812;top:545;width:6267;height:587" id="docshape792" coordorigin="14813,546" coordsize="6267,587" path="m14964,546l14822,546,14813,552,14813,569,14822,576,14964,576,14973,569,14973,552,14964,546xm15244,546l15102,546,15093,552,15093,569,15102,576,15244,576,15253,569,15253,552,15244,546xm15524,546l15382,546,15373,552,15373,569,15382,576,15524,576,15533,569,15533,552,15524,546xm15804,546l15662,546,15653,552,15653,569,15662,576,15804,576,15813,569,15813,552,15804,546xm16084,546l15942,546,15933,552,15933,569,15942,576,16084,576,16093,569,16093,552,16084,546xm16223,561l16213,566,16210,583,16217,590,16358,607,16368,601,16371,585,16364,577,16223,561xm16500,593l16490,599,16486,615,16494,623,16634,639,16645,634,16648,617,16641,610,16500,593xm16777,626l16767,631,16763,647,16771,655,16911,672,16921,666,16925,650,16917,642,16777,626xm17053,658l17043,664,17040,680,17047,688,17188,704,17198,698,17201,682,17194,674,17053,658xm17330,690l17320,696,17316,712,17324,720,17370,725,17465,736,17475,730,17478,713,17470,706,17330,690xm17607,720l17597,726,17594,743,17601,750,17742,765,17752,760,17755,743,17748,736,17607,720xm17884,750l17874,756,17871,772,17878,780,18019,795,18029,789,18032,773,18025,765,17884,750xm18161,780l18151,786,18148,802,18156,810,18296,825,18306,819,18310,803,18302,795,18161,780xm18438,810l18428,815,18425,832,18433,839,18573,854,18584,849,18587,832,18579,825,18438,810xm18716,840l18706,846,18702,862,18710,870,18850,886,18860,881,18864,864,18856,857,18716,840xm18992,873l18982,878,18979,894,18986,902,19127,919,19137,913,19140,897,19133,889,18992,873xm19269,905l19259,911,19255,927,19263,935,19403,951,19413,945,19417,929,19409,921,19269,905xm19546,937l19535,943,19532,959,19539,967,19680,983,19690,978,19694,961,19686,954,19546,937xm19822,970l19812,975,19809,992,19816,999,19910,1010,19957,1015,19967,1010,19970,993,19963,986,19916,981,19822,970xm20099,1000l20089,1006,20086,1022,20093,1030,20234,1045,20244,1039,20247,1022,20240,1015,20099,1000xm20376,1029l20366,1035,20363,1051,20371,1059,20511,1074,20522,1068,20525,1052,20517,1044,20376,1029xm20654,1059l20643,1064,20640,1081,20648,1088,20789,1103,20799,1097,20802,1081,20794,1073,20654,1059xm20931,1088l20921,1093,20918,1110,20925,1117,21066,1132,21076,1127,21079,1110,21072,1103,20931,1088xe" filled="true" fillcolor="#bcbec0" stroked="false">
                  <v:path arrowok="t"/>
                  <v:fill type="solid"/>
                </v:shape>
                <w10:wrap type="topAndBottom"/>
              </v:group>
            </w:pict>
          </mc:Fallback>
        </mc:AlternateContent>
      </w:r>
    </w:p>
    <w:p>
      <w:pPr>
        <w:tabs>
          <w:tab w:pos="1756" w:val="left" w:leader="none"/>
          <w:tab w:pos="3028" w:val="left" w:leader="none"/>
          <w:tab w:pos="4300" w:val="left" w:leader="none"/>
          <w:tab w:pos="5572" w:val="left" w:leader="none"/>
          <w:tab w:pos="6844" w:val="left" w:leader="none"/>
        </w:tabs>
        <w:spacing w:before="92"/>
        <w:ind w:left="484" w:right="0" w:firstLine="0"/>
        <w:jc w:val="left"/>
        <w:rPr>
          <w:sz w:val="18"/>
        </w:rPr>
      </w:pPr>
      <w:r>
        <w:rPr>
          <w:color w:val="636466"/>
          <w:spacing w:val="-4"/>
          <w:sz w:val="18"/>
        </w:rPr>
        <w:t>2012</w:t>
      </w:r>
      <w:r>
        <w:rPr>
          <w:color w:val="636466"/>
          <w:sz w:val="18"/>
        </w:rPr>
        <w:tab/>
      </w:r>
      <w:r>
        <w:rPr>
          <w:color w:val="636466"/>
          <w:spacing w:val="-4"/>
          <w:sz w:val="18"/>
        </w:rPr>
        <w:t>2013</w:t>
      </w:r>
      <w:r>
        <w:rPr>
          <w:color w:val="636466"/>
          <w:sz w:val="18"/>
        </w:rPr>
        <w:tab/>
      </w:r>
      <w:r>
        <w:rPr>
          <w:color w:val="636466"/>
          <w:spacing w:val="-4"/>
          <w:sz w:val="18"/>
        </w:rPr>
        <w:t>2014</w:t>
      </w:r>
      <w:r>
        <w:rPr>
          <w:color w:val="636466"/>
          <w:sz w:val="18"/>
        </w:rPr>
        <w:tab/>
      </w:r>
      <w:r>
        <w:rPr>
          <w:color w:val="636466"/>
          <w:spacing w:val="-4"/>
          <w:sz w:val="18"/>
        </w:rPr>
        <w:t>2015</w:t>
      </w:r>
      <w:r>
        <w:rPr>
          <w:color w:val="636466"/>
          <w:sz w:val="18"/>
        </w:rPr>
        <w:tab/>
      </w:r>
      <w:r>
        <w:rPr>
          <w:color w:val="636466"/>
          <w:spacing w:val="-4"/>
          <w:sz w:val="18"/>
        </w:rPr>
        <w:t>2016</w:t>
      </w:r>
      <w:r>
        <w:rPr>
          <w:color w:val="636466"/>
          <w:sz w:val="18"/>
        </w:rPr>
        <w:tab/>
      </w:r>
      <w:r>
        <w:rPr>
          <w:color w:val="636466"/>
          <w:spacing w:val="-4"/>
          <w:sz w:val="18"/>
        </w:rPr>
        <w:t>2017</w:t>
      </w:r>
    </w:p>
    <w:p>
      <w:pPr>
        <w:pStyle w:val="BodyText"/>
        <w:spacing w:before="64"/>
        <w:rPr>
          <w:sz w:val="18"/>
        </w:rPr>
      </w:pPr>
    </w:p>
    <w:p>
      <w:pPr>
        <w:spacing w:before="0"/>
        <w:ind w:left="50" w:right="0" w:firstLine="0"/>
        <w:jc w:val="left"/>
        <w:rPr>
          <w:sz w:val="16"/>
        </w:rPr>
      </w:pPr>
      <w:r>
        <w:rPr>
          <w:sz w:val="16"/>
        </w:rPr>
        <mc:AlternateContent>
          <mc:Choice Requires="wps">
            <w:drawing>
              <wp:anchor distT="0" distB="0" distL="0" distR="0" allowOverlap="1" layoutInCell="1" locked="0" behindDoc="0" simplePos="0" relativeHeight="15822848">
                <wp:simplePos x="0" y="0"/>
                <wp:positionH relativeFrom="page">
                  <wp:posOffset>9368141</wp:posOffset>
                </wp:positionH>
                <wp:positionV relativeFrom="paragraph">
                  <wp:posOffset>-2133422</wp:posOffset>
                </wp:positionV>
                <wp:extent cx="317500" cy="1270"/>
                <wp:effectExtent l="0" t="0" r="0" b="0"/>
                <wp:wrapNone/>
                <wp:docPr id="964" name="Graphic 964"/>
                <wp:cNvGraphicFramePr>
                  <a:graphicFrameLocks/>
                </wp:cNvGraphicFramePr>
                <a:graphic>
                  <a:graphicData uri="http://schemas.microsoft.com/office/word/2010/wordprocessingShape">
                    <wps:wsp>
                      <wps:cNvPr id="964" name="Graphic 964"/>
                      <wps:cNvSpPr/>
                      <wps:spPr>
                        <a:xfrm>
                          <a:off x="0" y="0"/>
                          <a:ext cx="317500" cy="1270"/>
                        </a:xfrm>
                        <a:custGeom>
                          <a:avLst/>
                          <a:gdLst/>
                          <a:ahLst/>
                          <a:cxnLst/>
                          <a:rect l="l" t="t" r="r" b="b"/>
                          <a:pathLst>
                            <a:path w="317500" h="0">
                              <a:moveTo>
                                <a:pt x="0" y="0"/>
                              </a:moveTo>
                              <a:lnTo>
                                <a:pt x="317500" y="0"/>
                              </a:lnTo>
                            </a:path>
                          </a:pathLst>
                        </a:custGeom>
                        <a:ln w="25400">
                          <a:solidFill>
                            <a:srgbClr val="0F5D8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22848" from="737.648926pt,-167.986038pt" to="762.648926pt,-167.986038pt" stroked="true" strokeweight="2pt" strokecolor="#0f5d86">
                <v:stroke dashstyle="solid"/>
                <w10:wrap type="none"/>
              </v:line>
            </w:pict>
          </mc:Fallback>
        </mc:AlternateContent>
      </w:r>
      <w:r>
        <w:rPr>
          <w:sz w:val="16"/>
        </w:rPr>
        <mc:AlternateContent>
          <mc:Choice Requires="wps">
            <w:drawing>
              <wp:anchor distT="0" distB="0" distL="0" distR="0" allowOverlap="1" layoutInCell="1" locked="0" behindDoc="1" simplePos="0" relativeHeight="475049984">
                <wp:simplePos x="0" y="0"/>
                <wp:positionH relativeFrom="page">
                  <wp:posOffset>10879441</wp:posOffset>
                </wp:positionH>
                <wp:positionV relativeFrom="paragraph">
                  <wp:posOffset>-2133422</wp:posOffset>
                </wp:positionV>
                <wp:extent cx="317500" cy="1270"/>
                <wp:effectExtent l="0" t="0" r="0" b="0"/>
                <wp:wrapNone/>
                <wp:docPr id="965" name="Graphic 965"/>
                <wp:cNvGraphicFramePr>
                  <a:graphicFrameLocks/>
                </wp:cNvGraphicFramePr>
                <a:graphic>
                  <a:graphicData uri="http://schemas.microsoft.com/office/word/2010/wordprocessingShape">
                    <wps:wsp>
                      <wps:cNvPr id="965" name="Graphic 965"/>
                      <wps:cNvSpPr/>
                      <wps:spPr>
                        <a:xfrm>
                          <a:off x="0" y="0"/>
                          <a:ext cx="317500" cy="1270"/>
                        </a:xfrm>
                        <a:custGeom>
                          <a:avLst/>
                          <a:gdLst/>
                          <a:ahLst/>
                          <a:cxnLst/>
                          <a:rect l="l" t="t" r="r" b="b"/>
                          <a:pathLst>
                            <a:path w="317500" h="0">
                              <a:moveTo>
                                <a:pt x="0" y="0"/>
                              </a:moveTo>
                              <a:lnTo>
                                <a:pt x="317500" y="0"/>
                              </a:lnTo>
                            </a:path>
                          </a:pathLst>
                        </a:custGeom>
                        <a:ln w="25400">
                          <a:solidFill>
                            <a:srgbClr val="82BF6A"/>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8266496" from="856.648926pt,-167.986038pt" to="881.648926pt,-167.986038pt" stroked="true" strokeweight="2pt" strokecolor="#82bf6a">
                <v:stroke dashstyle="solid"/>
                <w10:wrap type="none"/>
              </v:line>
            </w:pict>
          </mc:Fallback>
        </mc:AlternateContent>
      </w:r>
      <w:r>
        <w:rPr>
          <w:color w:val="105C84"/>
          <w:spacing w:val="-2"/>
          <w:sz w:val="16"/>
        </w:rPr>
        <w:t>Data</w:t>
      </w:r>
      <w:r>
        <w:rPr>
          <w:color w:val="105C84"/>
          <w:spacing w:val="-8"/>
          <w:sz w:val="16"/>
        </w:rPr>
        <w:t> </w:t>
      </w:r>
      <w:r>
        <w:rPr>
          <w:color w:val="105C84"/>
          <w:spacing w:val="-2"/>
          <w:sz w:val="16"/>
        </w:rPr>
        <w:t>Source:</w:t>
      </w:r>
      <w:r>
        <w:rPr>
          <w:color w:val="105C84"/>
          <w:spacing w:val="-8"/>
          <w:sz w:val="16"/>
        </w:rPr>
        <w:t> </w:t>
      </w:r>
      <w:r>
        <w:rPr>
          <w:color w:val="105C84"/>
          <w:spacing w:val="-2"/>
          <w:sz w:val="16"/>
        </w:rPr>
        <w:t>U.S.</w:t>
      </w:r>
      <w:r>
        <w:rPr>
          <w:color w:val="105C84"/>
          <w:spacing w:val="-8"/>
          <w:sz w:val="16"/>
        </w:rPr>
        <w:t> </w:t>
      </w:r>
      <w:r>
        <w:rPr>
          <w:color w:val="105C84"/>
          <w:spacing w:val="-2"/>
          <w:sz w:val="16"/>
        </w:rPr>
        <w:t>Census</w:t>
      </w:r>
      <w:r>
        <w:rPr>
          <w:color w:val="105C84"/>
          <w:spacing w:val="-8"/>
          <w:sz w:val="16"/>
        </w:rPr>
        <w:t> </w:t>
      </w:r>
      <w:r>
        <w:rPr>
          <w:color w:val="105C84"/>
          <w:spacing w:val="-2"/>
          <w:sz w:val="16"/>
        </w:rPr>
        <w:t>Bureau</w:t>
      </w:r>
      <w:r>
        <w:rPr>
          <w:color w:val="105C84"/>
          <w:spacing w:val="-8"/>
          <w:sz w:val="16"/>
        </w:rPr>
        <w:t> </w:t>
      </w:r>
      <w:r>
        <w:rPr>
          <w:color w:val="105C84"/>
          <w:spacing w:val="-2"/>
          <w:sz w:val="16"/>
        </w:rPr>
        <w:t>American</w:t>
      </w:r>
      <w:r>
        <w:rPr>
          <w:color w:val="105C84"/>
          <w:spacing w:val="-8"/>
          <w:sz w:val="16"/>
        </w:rPr>
        <w:t> </w:t>
      </w:r>
      <w:r>
        <w:rPr>
          <w:color w:val="105C84"/>
          <w:spacing w:val="-2"/>
          <w:sz w:val="16"/>
        </w:rPr>
        <w:t>Community</w:t>
      </w:r>
      <w:r>
        <w:rPr>
          <w:color w:val="105C84"/>
          <w:spacing w:val="-8"/>
          <w:sz w:val="16"/>
        </w:rPr>
        <w:t> </w:t>
      </w:r>
      <w:r>
        <w:rPr>
          <w:color w:val="105C84"/>
          <w:spacing w:val="-2"/>
          <w:sz w:val="16"/>
        </w:rPr>
        <w:t>Survey</w:t>
      </w:r>
      <w:r>
        <w:rPr>
          <w:color w:val="105C84"/>
          <w:spacing w:val="-8"/>
          <w:sz w:val="16"/>
        </w:rPr>
        <w:t> </w:t>
      </w:r>
      <w:r>
        <w:rPr>
          <w:color w:val="105C84"/>
          <w:spacing w:val="-2"/>
          <w:sz w:val="16"/>
        </w:rPr>
        <w:t>5-Year</w:t>
      </w:r>
      <w:r>
        <w:rPr>
          <w:color w:val="105C84"/>
          <w:spacing w:val="-8"/>
          <w:sz w:val="16"/>
        </w:rPr>
        <w:t> </w:t>
      </w:r>
      <w:r>
        <w:rPr>
          <w:color w:val="105C84"/>
          <w:spacing w:val="-2"/>
          <w:sz w:val="16"/>
        </w:rPr>
        <w:t>Estimate</w:t>
      </w:r>
      <w:r>
        <w:rPr>
          <w:color w:val="989A9C"/>
          <w:spacing w:val="-2"/>
          <w:sz w:val="16"/>
        </w:rPr>
        <w:t>-</w:t>
      </w:r>
    </w:p>
    <w:p>
      <w:pPr>
        <w:spacing w:after="0"/>
        <w:jc w:val="left"/>
        <w:rPr>
          <w:sz w:val="16"/>
        </w:rPr>
        <w:sectPr>
          <w:type w:val="continuous"/>
          <w:pgSz w:w="24480" w:h="15840" w:orient="landscape"/>
          <w:pgMar w:header="0" w:footer="0" w:top="0" w:bottom="280" w:left="0" w:right="720"/>
          <w:cols w:num="2" w:equalWidth="0">
            <w:col w:w="14073" w:space="40"/>
            <w:col w:w="9647"/>
          </w:cols>
        </w:sectPr>
      </w:pPr>
    </w:p>
    <w:p>
      <w:pPr>
        <w:pStyle w:val="BodyText"/>
        <w:spacing w:before="219"/>
      </w:pPr>
    </w:p>
    <w:p>
      <w:pPr>
        <w:pStyle w:val="BodyText"/>
        <w:spacing w:line="247" w:lineRule="auto"/>
        <w:ind w:left="13334" w:right="557"/>
        <w:rPr>
          <w:position w:val="7"/>
          <w:sz w:val="13"/>
        </w:rPr>
      </w:pPr>
      <w:r>
        <w:rPr>
          <w:color w:val="105C84"/>
        </w:rPr>
        <w:t>In terms of housing and vehicle access, 24% of Schuyler County residents rent vs. own their home.</w:t>
      </w:r>
      <w:r>
        <w:rPr>
          <w:color w:val="105C84"/>
          <w:spacing w:val="80"/>
        </w:rPr>
        <w:t> </w:t>
      </w:r>
      <w:r>
        <w:rPr>
          <w:color w:val="105C84"/>
        </w:rPr>
        <w:t>Of the occupied housing units, 7% have no vehicle available, and 33% have access to one vehicle. The average household size for occupied housing is greater than two people. Approximately 38% of residents are paying 35% or more of their household income in rent costs.</w:t>
      </w:r>
      <w:r>
        <w:rPr>
          <w:color w:val="105C84"/>
          <w:position w:val="7"/>
          <w:sz w:val="13"/>
        </w:rPr>
        <w:t>31</w:t>
      </w:r>
    </w:p>
    <w:p>
      <w:pPr>
        <w:pStyle w:val="BodyText"/>
        <w:rPr>
          <w:sz w:val="20"/>
        </w:rPr>
      </w:pPr>
    </w:p>
    <w:p>
      <w:pPr>
        <w:pStyle w:val="BodyText"/>
        <w:rPr>
          <w:sz w:val="20"/>
        </w:rPr>
      </w:pPr>
    </w:p>
    <w:p>
      <w:pPr>
        <w:pStyle w:val="BodyText"/>
        <w:spacing w:before="194"/>
        <w:rPr>
          <w:sz w:val="20"/>
        </w:rPr>
      </w:pPr>
    </w:p>
    <w:p>
      <w:pPr>
        <w:pStyle w:val="BodyText"/>
        <w:spacing w:after="0"/>
        <w:rPr>
          <w:sz w:val="20"/>
        </w:rPr>
        <w:sectPr>
          <w:type w:val="continuous"/>
          <w:pgSz w:w="24480" w:h="15840" w:orient="landscape"/>
          <w:pgMar w:header="0" w:footer="0" w:top="0" w:bottom="280" w:left="0" w:right="720"/>
        </w:sectPr>
      </w:pPr>
    </w:p>
    <w:p>
      <w:pPr>
        <w:pStyle w:val="ListParagraph"/>
        <w:numPr>
          <w:ilvl w:val="0"/>
          <w:numId w:val="22"/>
        </w:numPr>
        <w:tabs>
          <w:tab w:pos="4594" w:val="left" w:leader="none"/>
        </w:tabs>
        <w:spacing w:line="240" w:lineRule="auto" w:before="109" w:after="0"/>
        <w:ind w:left="4377" w:right="0" w:firstLine="0"/>
        <w:jc w:val="left"/>
        <w:rPr>
          <w:sz w:val="14"/>
        </w:rPr>
      </w:pPr>
      <w:r>
        <w:rPr>
          <w:sz w:val="14"/>
        </w:rPr>
        <w:drawing>
          <wp:anchor distT="0" distB="0" distL="0" distR="0" allowOverlap="1" layoutInCell="1" locked="0" behindDoc="0" simplePos="0" relativeHeight="15820288">
            <wp:simplePos x="0" y="0"/>
            <wp:positionH relativeFrom="page">
              <wp:posOffset>14981556</wp:posOffset>
            </wp:positionH>
            <wp:positionV relativeFrom="page">
              <wp:posOffset>9668103</wp:posOffset>
            </wp:positionV>
            <wp:extent cx="563245" cy="184683"/>
            <wp:effectExtent l="0" t="0" r="0" b="0"/>
            <wp:wrapNone/>
            <wp:docPr id="966" name="Image 966"/>
            <wp:cNvGraphicFramePr>
              <a:graphicFrameLocks/>
            </wp:cNvGraphicFramePr>
            <a:graphic>
              <a:graphicData uri="http://schemas.openxmlformats.org/drawingml/2006/picture">
                <pic:pic>
                  <pic:nvPicPr>
                    <pic:cNvPr id="966" name="Image 966"/>
                    <pic:cNvPicPr/>
                  </pic:nvPicPr>
                  <pic:blipFill>
                    <a:blip r:embed="rId38" cstate="print"/>
                    <a:stretch>
                      <a:fillRect/>
                    </a:stretch>
                  </pic:blipFill>
                  <pic:spPr>
                    <a:xfrm>
                      <a:off x="0" y="0"/>
                      <a:ext cx="563245" cy="184683"/>
                    </a:xfrm>
                    <a:prstGeom prst="rect">
                      <a:avLst/>
                    </a:prstGeom>
                  </pic:spPr>
                </pic:pic>
              </a:graphicData>
            </a:graphic>
          </wp:anchor>
        </w:drawing>
      </w:r>
      <w:r>
        <w:rPr>
          <w:sz w:val="14"/>
        </w:rPr>
        <w:drawing>
          <wp:anchor distT="0" distB="0" distL="0" distR="0" allowOverlap="1" layoutInCell="1" locked="0" behindDoc="0" simplePos="0" relativeHeight="15820800">
            <wp:simplePos x="0" y="0"/>
            <wp:positionH relativeFrom="page">
              <wp:posOffset>0</wp:posOffset>
            </wp:positionH>
            <wp:positionV relativeFrom="paragraph">
              <wp:posOffset>206949</wp:posOffset>
            </wp:positionV>
            <wp:extent cx="568172" cy="184683"/>
            <wp:effectExtent l="0" t="0" r="0" b="0"/>
            <wp:wrapNone/>
            <wp:docPr id="967" name="Image 967"/>
            <wp:cNvGraphicFramePr>
              <a:graphicFrameLocks/>
            </wp:cNvGraphicFramePr>
            <a:graphic>
              <a:graphicData uri="http://schemas.openxmlformats.org/drawingml/2006/picture">
                <pic:pic>
                  <pic:nvPicPr>
                    <pic:cNvPr id="967" name="Image 967"/>
                    <pic:cNvPicPr/>
                  </pic:nvPicPr>
                  <pic:blipFill>
                    <a:blip r:embed="rId39" cstate="print"/>
                    <a:stretch>
                      <a:fillRect/>
                    </a:stretch>
                  </pic:blipFill>
                  <pic:spPr>
                    <a:xfrm>
                      <a:off x="0" y="0"/>
                      <a:ext cx="568172" cy="184683"/>
                    </a:xfrm>
                    <a:prstGeom prst="rect">
                      <a:avLst/>
                    </a:prstGeom>
                  </pic:spPr>
                </pic:pic>
              </a:graphicData>
            </a:graphic>
          </wp:anchor>
        </w:drawing>
      </w:r>
      <w:r>
        <w:rPr>
          <w:sz w:val="14"/>
        </w:rPr>
        <mc:AlternateContent>
          <mc:Choice Requires="wps">
            <w:drawing>
              <wp:anchor distT="0" distB="0" distL="0" distR="0" allowOverlap="1" layoutInCell="1" locked="0" behindDoc="0" simplePos="0" relativeHeight="15824896">
                <wp:simplePos x="0" y="0"/>
                <wp:positionH relativeFrom="page">
                  <wp:posOffset>672186</wp:posOffset>
                </wp:positionH>
                <wp:positionV relativeFrom="paragraph">
                  <wp:posOffset>194910</wp:posOffset>
                </wp:positionV>
                <wp:extent cx="195580" cy="226060"/>
                <wp:effectExtent l="0" t="0" r="0" b="0"/>
                <wp:wrapNone/>
                <wp:docPr id="968" name="Textbox 968"/>
                <wp:cNvGraphicFramePr>
                  <a:graphicFrameLocks/>
                </wp:cNvGraphicFramePr>
                <a:graphic>
                  <a:graphicData uri="http://schemas.microsoft.com/office/word/2010/wordprocessingShape">
                    <wps:wsp>
                      <wps:cNvPr id="968" name="Textbox 968"/>
                      <wps:cNvSpPr txBox="1"/>
                      <wps:spPr>
                        <a:xfrm>
                          <a:off x="0" y="0"/>
                          <a:ext cx="195580" cy="226060"/>
                        </a:xfrm>
                        <a:prstGeom prst="rect">
                          <a:avLst/>
                        </a:prstGeom>
                      </wps:spPr>
                      <wps:txbx>
                        <w:txbxContent>
                          <w:p>
                            <w:pPr>
                              <w:spacing w:before="16"/>
                              <w:ind w:left="0" w:right="0" w:firstLine="0"/>
                              <w:jc w:val="left"/>
                              <w:rPr>
                                <w:b/>
                                <w:sz w:val="26"/>
                              </w:rPr>
                            </w:pPr>
                            <w:r>
                              <w:rPr>
                                <w:b/>
                                <w:color w:val="939598"/>
                                <w:spacing w:val="-5"/>
                                <w:w w:val="105"/>
                                <w:sz w:val="26"/>
                              </w:rPr>
                              <w:t>67</w:t>
                            </w:r>
                          </w:p>
                        </w:txbxContent>
                      </wps:txbx>
                      <wps:bodyPr wrap="square" lIns="0" tIns="0" rIns="0" bIns="0" rtlCol="0">
                        <a:noAutofit/>
                      </wps:bodyPr>
                    </wps:wsp>
                  </a:graphicData>
                </a:graphic>
              </wp:anchor>
            </w:drawing>
          </mc:Choice>
          <mc:Fallback>
            <w:pict>
              <v:shape style="position:absolute;margin-left:52.928101pt;margin-top:15.347269pt;width:15.4pt;height:17.8pt;mso-position-horizontal-relative:page;mso-position-vertical-relative:paragraph;z-index:15824896" type="#_x0000_t202" id="docshape793" filled="false" stroked="false">
                <v:textbox inset="0,0,0,0">
                  <w:txbxContent>
                    <w:p>
                      <w:pPr>
                        <w:spacing w:before="16"/>
                        <w:ind w:left="0" w:right="0" w:firstLine="0"/>
                        <w:jc w:val="left"/>
                        <w:rPr>
                          <w:b/>
                          <w:sz w:val="26"/>
                        </w:rPr>
                      </w:pPr>
                      <w:r>
                        <w:rPr>
                          <w:b/>
                          <w:color w:val="939598"/>
                          <w:spacing w:val="-5"/>
                          <w:w w:val="105"/>
                          <w:sz w:val="26"/>
                        </w:rPr>
                        <w:t>67</w:t>
                      </w:r>
                    </w:p>
                  </w:txbxContent>
                </v:textbox>
                <w10:wrap type="none"/>
              </v:shape>
            </w:pict>
          </mc:Fallback>
        </mc:AlternateContent>
      </w:r>
      <w:r>
        <w:rPr>
          <w:color w:val="636466"/>
          <w:sz w:val="14"/>
        </w:rPr>
        <w:t>Disability</w:t>
      </w:r>
      <w:r>
        <w:rPr>
          <w:color w:val="636466"/>
          <w:spacing w:val="13"/>
          <w:sz w:val="14"/>
        </w:rPr>
        <w:t> </w:t>
      </w:r>
      <w:r>
        <w:rPr>
          <w:color w:val="636466"/>
          <w:sz w:val="14"/>
        </w:rPr>
        <w:t>in</w:t>
      </w:r>
      <w:r>
        <w:rPr>
          <w:color w:val="636466"/>
          <w:spacing w:val="13"/>
          <w:sz w:val="14"/>
        </w:rPr>
        <w:t> </w:t>
      </w:r>
      <w:r>
        <w:rPr>
          <w:color w:val="636466"/>
          <w:sz w:val="14"/>
        </w:rPr>
        <w:t>this</w:t>
      </w:r>
      <w:r>
        <w:rPr>
          <w:color w:val="636466"/>
          <w:spacing w:val="13"/>
          <w:sz w:val="14"/>
        </w:rPr>
        <w:t> </w:t>
      </w:r>
      <w:r>
        <w:rPr>
          <w:color w:val="636466"/>
          <w:sz w:val="14"/>
        </w:rPr>
        <w:t>context</w:t>
      </w:r>
      <w:r>
        <w:rPr>
          <w:color w:val="636466"/>
          <w:spacing w:val="13"/>
          <w:sz w:val="14"/>
        </w:rPr>
        <w:t> </w:t>
      </w:r>
      <w:r>
        <w:rPr>
          <w:color w:val="636466"/>
          <w:sz w:val="14"/>
        </w:rPr>
        <w:t>is</w:t>
      </w:r>
      <w:r>
        <w:rPr>
          <w:color w:val="636466"/>
          <w:spacing w:val="13"/>
          <w:sz w:val="14"/>
        </w:rPr>
        <w:t> </w:t>
      </w:r>
      <w:r>
        <w:rPr>
          <w:color w:val="636466"/>
          <w:sz w:val="14"/>
        </w:rPr>
        <w:t>defined</w:t>
      </w:r>
      <w:r>
        <w:rPr>
          <w:color w:val="636466"/>
          <w:spacing w:val="13"/>
          <w:sz w:val="14"/>
        </w:rPr>
        <w:t> </w:t>
      </w:r>
      <w:r>
        <w:rPr>
          <w:color w:val="636466"/>
          <w:sz w:val="14"/>
        </w:rPr>
        <w:t>as</w:t>
      </w:r>
      <w:r>
        <w:rPr>
          <w:color w:val="636466"/>
          <w:spacing w:val="13"/>
          <w:sz w:val="14"/>
        </w:rPr>
        <w:t> </w:t>
      </w:r>
      <w:r>
        <w:rPr>
          <w:color w:val="636466"/>
          <w:sz w:val="14"/>
        </w:rPr>
        <w:t>impairment</w:t>
      </w:r>
      <w:r>
        <w:rPr>
          <w:color w:val="636466"/>
          <w:spacing w:val="13"/>
          <w:sz w:val="14"/>
        </w:rPr>
        <w:t> </w:t>
      </w:r>
      <w:r>
        <w:rPr>
          <w:color w:val="636466"/>
          <w:sz w:val="14"/>
        </w:rPr>
        <w:t>to</w:t>
      </w:r>
      <w:r>
        <w:rPr>
          <w:color w:val="636466"/>
          <w:spacing w:val="13"/>
          <w:sz w:val="14"/>
        </w:rPr>
        <w:t> </w:t>
      </w:r>
      <w:r>
        <w:rPr>
          <w:color w:val="636466"/>
          <w:sz w:val="14"/>
        </w:rPr>
        <w:t>body</w:t>
      </w:r>
      <w:r>
        <w:rPr>
          <w:color w:val="636466"/>
          <w:spacing w:val="13"/>
          <w:sz w:val="14"/>
        </w:rPr>
        <w:t> </w:t>
      </w:r>
      <w:r>
        <w:rPr>
          <w:color w:val="636466"/>
          <w:sz w:val="14"/>
        </w:rPr>
        <w:t>structure</w:t>
      </w:r>
      <w:r>
        <w:rPr>
          <w:color w:val="636466"/>
          <w:spacing w:val="13"/>
          <w:sz w:val="14"/>
        </w:rPr>
        <w:t> </w:t>
      </w:r>
      <w:r>
        <w:rPr>
          <w:color w:val="636466"/>
          <w:sz w:val="14"/>
        </w:rPr>
        <w:t>or</w:t>
      </w:r>
      <w:r>
        <w:rPr>
          <w:color w:val="636466"/>
          <w:spacing w:val="13"/>
          <w:sz w:val="14"/>
        </w:rPr>
        <w:t> </w:t>
      </w:r>
      <w:r>
        <w:rPr>
          <w:color w:val="636466"/>
          <w:sz w:val="14"/>
        </w:rPr>
        <w:t>mental</w:t>
      </w:r>
      <w:r>
        <w:rPr>
          <w:color w:val="636466"/>
          <w:spacing w:val="13"/>
          <w:sz w:val="14"/>
        </w:rPr>
        <w:t> </w:t>
      </w:r>
      <w:r>
        <w:rPr>
          <w:color w:val="636466"/>
          <w:sz w:val="14"/>
        </w:rPr>
        <w:t>functioning,</w:t>
      </w:r>
      <w:r>
        <w:rPr>
          <w:color w:val="636466"/>
          <w:spacing w:val="13"/>
          <w:sz w:val="14"/>
        </w:rPr>
        <w:t> </w:t>
      </w:r>
      <w:r>
        <w:rPr>
          <w:color w:val="636466"/>
          <w:sz w:val="14"/>
        </w:rPr>
        <w:t>activity</w:t>
      </w:r>
      <w:r>
        <w:rPr>
          <w:color w:val="636466"/>
          <w:spacing w:val="40"/>
          <w:sz w:val="14"/>
        </w:rPr>
        <w:t> </w:t>
      </w:r>
      <w:r>
        <w:rPr>
          <w:color w:val="636466"/>
          <w:sz w:val="14"/>
        </w:rPr>
        <w:t>limitation such as difficulty hearing, moving or problem-solving, and participation restrictions in daily </w:t>
      </w:r>
      <w:r>
        <w:rPr>
          <w:color w:val="636466"/>
          <w:sz w:val="14"/>
        </w:rPr>
        <w:t>activities</w:t>
      </w:r>
      <w:r>
        <w:rPr>
          <w:color w:val="636466"/>
          <w:spacing w:val="40"/>
          <w:sz w:val="14"/>
        </w:rPr>
        <w:t> </w:t>
      </w:r>
      <w:r>
        <w:rPr>
          <w:color w:val="636466"/>
          <w:sz w:val="14"/>
        </w:rPr>
        <w:t>such as working, engaging in social/recreational activities or obtaining healthcare or preventative services.</w:t>
      </w:r>
    </w:p>
    <w:p>
      <w:pPr>
        <w:pStyle w:val="ListParagraph"/>
        <w:numPr>
          <w:ilvl w:val="0"/>
          <w:numId w:val="22"/>
        </w:numPr>
        <w:tabs>
          <w:tab w:pos="217" w:val="left" w:leader="none"/>
          <w:tab w:pos="10134" w:val="right" w:leader="none"/>
        </w:tabs>
        <w:spacing w:line="240" w:lineRule="auto" w:before="321" w:after="0"/>
        <w:ind w:left="217" w:right="0" w:hanging="217"/>
        <w:jc w:val="left"/>
        <w:rPr>
          <w:b/>
          <w:position w:val="3"/>
          <w:sz w:val="26"/>
        </w:rPr>
      </w:pPr>
      <w:r>
        <w:rPr/>
        <w:br w:type="column"/>
      </w:r>
      <w:r>
        <w:rPr>
          <w:color w:val="636466"/>
          <w:spacing w:val="-4"/>
          <w:sz w:val="14"/>
        </w:rPr>
        <w:t>Source:</w:t>
      </w:r>
      <w:r>
        <w:rPr>
          <w:color w:val="636466"/>
          <w:spacing w:val="1"/>
          <w:sz w:val="14"/>
        </w:rPr>
        <w:t> </w:t>
      </w:r>
      <w:r>
        <w:rPr>
          <w:color w:val="636466"/>
          <w:spacing w:val="-4"/>
          <w:sz w:val="14"/>
        </w:rPr>
        <w:t>US</w:t>
      </w:r>
      <w:r>
        <w:rPr>
          <w:color w:val="636466"/>
          <w:spacing w:val="2"/>
          <w:sz w:val="14"/>
        </w:rPr>
        <w:t> </w:t>
      </w:r>
      <w:r>
        <w:rPr>
          <w:color w:val="636466"/>
          <w:spacing w:val="-4"/>
          <w:sz w:val="14"/>
        </w:rPr>
        <w:t>Census</w:t>
      </w:r>
      <w:r>
        <w:rPr>
          <w:color w:val="636466"/>
          <w:spacing w:val="2"/>
          <w:sz w:val="14"/>
        </w:rPr>
        <w:t> </w:t>
      </w:r>
      <w:r>
        <w:rPr>
          <w:color w:val="636466"/>
          <w:spacing w:val="-4"/>
          <w:sz w:val="14"/>
        </w:rPr>
        <w:t>Bureau</w:t>
      </w:r>
      <w:r>
        <w:rPr>
          <w:color w:val="636466"/>
          <w:spacing w:val="2"/>
          <w:sz w:val="14"/>
        </w:rPr>
        <w:t> </w:t>
      </w:r>
      <w:r>
        <w:rPr>
          <w:color w:val="636466"/>
          <w:spacing w:val="-4"/>
          <w:sz w:val="14"/>
        </w:rPr>
        <w:t>American</w:t>
      </w:r>
      <w:r>
        <w:rPr>
          <w:color w:val="636466"/>
          <w:spacing w:val="2"/>
          <w:sz w:val="14"/>
        </w:rPr>
        <w:t> </w:t>
      </w:r>
      <w:r>
        <w:rPr>
          <w:color w:val="636466"/>
          <w:spacing w:val="-4"/>
          <w:sz w:val="14"/>
        </w:rPr>
        <w:t>Community</w:t>
      </w:r>
      <w:r>
        <w:rPr>
          <w:color w:val="636466"/>
          <w:spacing w:val="1"/>
          <w:sz w:val="14"/>
        </w:rPr>
        <w:t> </w:t>
      </w:r>
      <w:r>
        <w:rPr>
          <w:color w:val="636466"/>
          <w:spacing w:val="-4"/>
          <w:sz w:val="14"/>
        </w:rPr>
        <w:t>Survey</w:t>
      </w:r>
      <w:r>
        <w:rPr>
          <w:color w:val="636466"/>
          <w:spacing w:val="2"/>
          <w:sz w:val="14"/>
        </w:rPr>
        <w:t> </w:t>
      </w:r>
      <w:r>
        <w:rPr>
          <w:color w:val="636466"/>
          <w:spacing w:val="-4"/>
          <w:sz w:val="14"/>
        </w:rPr>
        <w:t>2013-2017</w:t>
      </w:r>
      <w:r>
        <w:rPr>
          <w:color w:val="636466"/>
          <w:spacing w:val="2"/>
          <w:sz w:val="14"/>
        </w:rPr>
        <w:t> </w:t>
      </w:r>
      <w:r>
        <w:rPr>
          <w:color w:val="636466"/>
          <w:spacing w:val="-4"/>
          <w:sz w:val="14"/>
        </w:rPr>
        <w:t>5-Year</w:t>
      </w:r>
      <w:r>
        <w:rPr>
          <w:color w:val="636466"/>
          <w:spacing w:val="2"/>
          <w:sz w:val="14"/>
        </w:rPr>
        <w:t> </w:t>
      </w:r>
      <w:r>
        <w:rPr>
          <w:color w:val="636466"/>
          <w:spacing w:val="-4"/>
          <w:sz w:val="14"/>
        </w:rPr>
        <w:t>Estimates</w:t>
      </w:r>
      <w:r>
        <w:rPr>
          <w:rFonts w:ascii="Times New Roman"/>
          <w:color w:val="636466"/>
          <w:sz w:val="14"/>
        </w:rPr>
        <w:tab/>
      </w:r>
      <w:r>
        <w:rPr>
          <w:b/>
          <w:color w:val="939598"/>
          <w:spacing w:val="-5"/>
          <w:position w:val="3"/>
          <w:sz w:val="26"/>
        </w:rPr>
        <w:t>68</w:t>
      </w:r>
    </w:p>
    <w:p>
      <w:pPr>
        <w:pStyle w:val="ListParagraph"/>
        <w:spacing w:after="0" w:line="240" w:lineRule="auto"/>
        <w:jc w:val="left"/>
        <w:rPr>
          <w:b/>
          <w:position w:val="3"/>
          <w:sz w:val="26"/>
        </w:rPr>
        <w:sectPr>
          <w:type w:val="continuous"/>
          <w:pgSz w:w="24480" w:h="15840" w:orient="landscape"/>
          <w:pgMar w:header="0" w:footer="0" w:top="0" w:bottom="280" w:left="0" w:right="720"/>
          <w:cols w:num="2" w:equalWidth="0">
            <w:col w:w="11158" w:space="2162"/>
            <w:col w:w="10440"/>
          </w:cols>
        </w:sectPr>
      </w:pPr>
    </w:p>
    <w:p>
      <w:pPr>
        <w:pStyle w:val="BodyText"/>
        <w:rPr>
          <w:b/>
          <w:sz w:val="20"/>
        </w:rPr>
      </w:pPr>
    </w:p>
    <w:p>
      <w:pPr>
        <w:pStyle w:val="BodyText"/>
        <w:spacing w:before="16"/>
        <w:rPr>
          <w:b/>
          <w:sz w:val="20"/>
        </w:rPr>
      </w:pPr>
    </w:p>
    <w:p>
      <w:pPr>
        <w:pStyle w:val="BodyText"/>
        <w:spacing w:after="0"/>
        <w:rPr>
          <w:b/>
          <w:sz w:val="20"/>
        </w:rPr>
        <w:sectPr>
          <w:pgSz w:w="24480" w:h="15840" w:orient="landscape"/>
          <w:pgMar w:header="0" w:footer="0" w:top="860" w:bottom="0" w:left="0" w:right="720"/>
        </w:sectPr>
      </w:pPr>
    </w:p>
    <w:p>
      <w:pPr>
        <w:pStyle w:val="Heading6"/>
        <w:spacing w:before="116"/>
        <w:ind w:left="1065"/>
      </w:pPr>
      <w:r>
        <w:rPr/>
        <w:drawing>
          <wp:anchor distT="0" distB="0" distL="0" distR="0" allowOverlap="1" layoutInCell="1" locked="0" behindDoc="0" simplePos="0" relativeHeight="15825408">
            <wp:simplePos x="0" y="0"/>
            <wp:positionH relativeFrom="page">
              <wp:posOffset>14981556</wp:posOffset>
            </wp:positionH>
            <wp:positionV relativeFrom="page">
              <wp:posOffset>9668103</wp:posOffset>
            </wp:positionV>
            <wp:extent cx="563245" cy="184683"/>
            <wp:effectExtent l="0" t="0" r="0" b="0"/>
            <wp:wrapNone/>
            <wp:docPr id="969" name="Image 969"/>
            <wp:cNvGraphicFramePr>
              <a:graphicFrameLocks/>
            </wp:cNvGraphicFramePr>
            <a:graphic>
              <a:graphicData uri="http://schemas.openxmlformats.org/drawingml/2006/picture">
                <pic:pic>
                  <pic:nvPicPr>
                    <pic:cNvPr id="969" name="Image 969"/>
                    <pic:cNvPicPr/>
                  </pic:nvPicPr>
                  <pic:blipFill>
                    <a:blip r:embed="rId38" cstate="print"/>
                    <a:stretch>
                      <a:fillRect/>
                    </a:stretch>
                  </pic:blipFill>
                  <pic:spPr>
                    <a:xfrm>
                      <a:off x="0" y="0"/>
                      <a:ext cx="563245" cy="184683"/>
                    </a:xfrm>
                    <a:prstGeom prst="rect">
                      <a:avLst/>
                    </a:prstGeom>
                  </pic:spPr>
                </pic:pic>
              </a:graphicData>
            </a:graphic>
          </wp:anchor>
        </w:drawing>
      </w:r>
      <w:r>
        <w:rPr>
          <w:color w:val="105C84"/>
        </w:rPr>
        <w:t>Main</w:t>
      </w:r>
      <w:r>
        <w:rPr>
          <w:color w:val="105C84"/>
          <w:spacing w:val="-7"/>
        </w:rPr>
        <w:t> </w:t>
      </w:r>
      <w:r>
        <w:rPr>
          <w:color w:val="105C84"/>
        </w:rPr>
        <w:t>Health</w:t>
      </w:r>
      <w:r>
        <w:rPr>
          <w:color w:val="105C84"/>
          <w:spacing w:val="-6"/>
        </w:rPr>
        <w:t> </w:t>
      </w:r>
      <w:r>
        <w:rPr>
          <w:color w:val="105C84"/>
          <w:spacing w:val="-2"/>
        </w:rPr>
        <w:t>Challenges</w:t>
      </w:r>
    </w:p>
    <w:p>
      <w:pPr>
        <w:pStyle w:val="BodyText"/>
        <w:spacing w:line="247" w:lineRule="auto" w:before="268"/>
        <w:ind w:left="1065" w:right="413"/>
      </w:pPr>
      <w:r>
        <w:rPr>
          <w:color w:val="105C84"/>
        </w:rPr>
        <w:t>On April 10, 2019, stakeholders and community members were invited to attend a priority setting</w:t>
      </w:r>
      <w:r>
        <w:rPr>
          <w:color w:val="105C84"/>
          <w:spacing w:val="40"/>
        </w:rPr>
        <w:t> </w:t>
      </w:r>
      <w:r>
        <w:rPr>
          <w:color w:val="105C84"/>
        </w:rPr>
        <w:t>meeting. At this meeting, participants reviewed the MAPP process, as well as relevant qualitative, quantitative, primary and secondary data. Data were reviewed from a variety of different sources including, but not limited to, the American Community Survey, the enhanced Behavioral Risk Factor Surveillance System, Vital Statistics, communicable disease and dental reports and primary data collected from the </w:t>
      </w:r>
      <w:r>
        <w:rPr>
          <w:i/>
          <w:color w:val="105C84"/>
        </w:rPr>
        <w:t>My Health Story 2018 </w:t>
      </w:r>
      <w:r>
        <w:rPr>
          <w:color w:val="105C84"/>
        </w:rPr>
        <w:t>survey. Lively group discussions were had regarding the potential priority areas. Over 30 participants attended the meeting. Ultimately, using the Hanlon and</w:t>
      </w:r>
      <w:r>
        <w:rPr>
          <w:color w:val="105C84"/>
          <w:spacing w:val="80"/>
        </w:rPr>
        <w:t> </w:t>
      </w:r>
      <w:r>
        <w:rPr>
          <w:color w:val="105C84"/>
        </w:rPr>
        <w:t>PEARL methods, the group selected the following as their priority areas and disparity for the 2019-2021 Community Health Improvement Plan:</w:t>
      </w:r>
    </w:p>
    <w:p>
      <w:pPr>
        <w:pStyle w:val="BodyText"/>
        <w:spacing w:before="14"/>
      </w:pPr>
    </w:p>
    <w:p>
      <w:pPr>
        <w:pStyle w:val="Heading5"/>
        <w:spacing w:before="1"/>
        <w:ind w:left="1070"/>
      </w:pPr>
      <w:r>
        <w:rPr>
          <w:color w:val="32BCAA"/>
          <w:spacing w:val="2"/>
        </w:rPr>
        <w:t>PREVENT</w:t>
      </w:r>
      <w:r>
        <w:rPr>
          <w:color w:val="32BCAA"/>
          <w:spacing w:val="35"/>
        </w:rPr>
        <w:t> </w:t>
      </w:r>
      <w:r>
        <w:rPr>
          <w:color w:val="32BCAA"/>
          <w:spacing w:val="2"/>
        </w:rPr>
        <w:t>CHRONIC</w:t>
      </w:r>
      <w:r>
        <w:rPr>
          <w:color w:val="32BCAA"/>
          <w:spacing w:val="51"/>
        </w:rPr>
        <w:t> </w:t>
      </w:r>
      <w:r>
        <w:rPr>
          <w:color w:val="32BCAA"/>
          <w:spacing w:val="-2"/>
        </w:rPr>
        <w:t>DISEASES</w:t>
      </w:r>
    </w:p>
    <w:p>
      <w:pPr>
        <w:pStyle w:val="ListParagraph"/>
        <w:numPr>
          <w:ilvl w:val="0"/>
          <w:numId w:val="23"/>
        </w:numPr>
        <w:tabs>
          <w:tab w:pos="1504" w:val="left" w:leader="none"/>
        </w:tabs>
        <w:spacing w:line="240" w:lineRule="auto" w:before="85" w:after="0"/>
        <w:ind w:left="1504" w:right="0" w:hanging="239"/>
        <w:jc w:val="left"/>
        <w:rPr>
          <w:sz w:val="22"/>
        </w:rPr>
      </w:pPr>
      <w:r>
        <w:rPr>
          <w:color w:val="105C84"/>
          <w:sz w:val="22"/>
        </w:rPr>
        <w:t>Chronic</w:t>
      </w:r>
      <w:r>
        <w:rPr>
          <w:color w:val="105C84"/>
          <w:spacing w:val="2"/>
          <w:sz w:val="22"/>
        </w:rPr>
        <w:t> </w:t>
      </w:r>
      <w:r>
        <w:rPr>
          <w:color w:val="105C84"/>
          <w:sz w:val="22"/>
        </w:rPr>
        <w:t>disease</w:t>
      </w:r>
      <w:r>
        <w:rPr>
          <w:color w:val="105C84"/>
          <w:spacing w:val="3"/>
          <w:sz w:val="22"/>
        </w:rPr>
        <w:t> </w:t>
      </w:r>
      <w:r>
        <w:rPr>
          <w:color w:val="105C84"/>
          <w:sz w:val="22"/>
        </w:rPr>
        <w:t>preventative</w:t>
      </w:r>
      <w:r>
        <w:rPr>
          <w:color w:val="105C84"/>
          <w:spacing w:val="3"/>
          <w:sz w:val="22"/>
        </w:rPr>
        <w:t> </w:t>
      </w:r>
      <w:r>
        <w:rPr>
          <w:color w:val="105C84"/>
          <w:sz w:val="22"/>
        </w:rPr>
        <w:t>care</w:t>
      </w:r>
      <w:r>
        <w:rPr>
          <w:color w:val="105C84"/>
          <w:spacing w:val="3"/>
          <w:sz w:val="22"/>
        </w:rPr>
        <w:t> </w:t>
      </w:r>
      <w:r>
        <w:rPr>
          <w:color w:val="105C84"/>
          <w:sz w:val="22"/>
        </w:rPr>
        <w:t>and</w:t>
      </w:r>
      <w:r>
        <w:rPr>
          <w:color w:val="105C84"/>
          <w:spacing w:val="3"/>
          <w:sz w:val="22"/>
        </w:rPr>
        <w:t> </w:t>
      </w:r>
      <w:r>
        <w:rPr>
          <w:color w:val="105C84"/>
          <w:spacing w:val="-2"/>
          <w:sz w:val="22"/>
        </w:rPr>
        <w:t>management</w:t>
      </w:r>
    </w:p>
    <w:p>
      <w:pPr>
        <w:pStyle w:val="BodyText"/>
        <w:spacing w:before="27"/>
      </w:pPr>
    </w:p>
    <w:p>
      <w:pPr>
        <w:pStyle w:val="Heading5"/>
        <w:ind w:left="1070"/>
      </w:pPr>
      <w:r>
        <w:rPr>
          <w:color w:val="32BCAA"/>
        </w:rPr>
        <w:t>PROMOTE</w:t>
      </w:r>
      <w:r>
        <w:rPr>
          <w:color w:val="32BCAA"/>
          <w:spacing w:val="52"/>
        </w:rPr>
        <w:t> </w:t>
      </w:r>
      <w:r>
        <w:rPr>
          <w:color w:val="32BCAA"/>
        </w:rPr>
        <w:t>MENTAL</w:t>
      </w:r>
      <w:r>
        <w:rPr>
          <w:color w:val="32BCAA"/>
          <w:spacing w:val="53"/>
        </w:rPr>
        <w:t> </w:t>
      </w:r>
      <w:r>
        <w:rPr>
          <w:color w:val="32BCAA"/>
        </w:rPr>
        <w:t>WELL-BEING</w:t>
      </w:r>
      <w:r>
        <w:rPr>
          <w:color w:val="32BCAA"/>
          <w:spacing w:val="52"/>
        </w:rPr>
        <w:t> </w:t>
      </w:r>
      <w:r>
        <w:rPr>
          <w:color w:val="32BCAA"/>
        </w:rPr>
        <w:t>AND</w:t>
      </w:r>
      <w:r>
        <w:rPr>
          <w:color w:val="32BCAA"/>
          <w:spacing w:val="53"/>
        </w:rPr>
        <w:t> </w:t>
      </w:r>
      <w:r>
        <w:rPr>
          <w:color w:val="32BCAA"/>
        </w:rPr>
        <w:t>PREVENT</w:t>
      </w:r>
      <w:r>
        <w:rPr>
          <w:color w:val="32BCAA"/>
          <w:spacing w:val="37"/>
        </w:rPr>
        <w:t> </w:t>
      </w:r>
      <w:r>
        <w:rPr>
          <w:color w:val="32BCAA"/>
        </w:rPr>
        <w:t>SUBSTANCE</w:t>
      </w:r>
      <w:r>
        <w:rPr>
          <w:color w:val="32BCAA"/>
          <w:spacing w:val="53"/>
        </w:rPr>
        <w:t> </w:t>
      </w:r>
      <w:r>
        <w:rPr>
          <w:color w:val="32BCAA"/>
        </w:rPr>
        <w:t>USE</w:t>
      </w:r>
      <w:r>
        <w:rPr>
          <w:color w:val="32BCAA"/>
          <w:spacing w:val="52"/>
        </w:rPr>
        <w:t> </w:t>
      </w:r>
      <w:r>
        <w:rPr>
          <w:color w:val="32BCAA"/>
          <w:spacing w:val="-2"/>
        </w:rPr>
        <w:t>DISORDERS</w:t>
      </w:r>
    </w:p>
    <w:p>
      <w:pPr>
        <w:pStyle w:val="ListParagraph"/>
        <w:numPr>
          <w:ilvl w:val="0"/>
          <w:numId w:val="23"/>
        </w:numPr>
        <w:tabs>
          <w:tab w:pos="1504" w:val="left" w:leader="none"/>
        </w:tabs>
        <w:spacing w:line="240" w:lineRule="auto" w:before="86" w:after="0"/>
        <w:ind w:left="1504" w:right="0" w:hanging="239"/>
        <w:jc w:val="left"/>
        <w:rPr>
          <w:sz w:val="22"/>
        </w:rPr>
      </w:pPr>
      <w:r>
        <w:rPr>
          <w:color w:val="105C84"/>
          <w:sz w:val="22"/>
        </w:rPr>
        <w:t>Prevent</w:t>
      </w:r>
      <w:r>
        <w:rPr>
          <w:color w:val="105C84"/>
          <w:spacing w:val="-4"/>
          <w:sz w:val="22"/>
        </w:rPr>
        <w:t> </w:t>
      </w:r>
      <w:r>
        <w:rPr>
          <w:color w:val="105C84"/>
          <w:sz w:val="22"/>
        </w:rPr>
        <w:t>mental</w:t>
      </w:r>
      <w:r>
        <w:rPr>
          <w:color w:val="105C84"/>
          <w:spacing w:val="-4"/>
          <w:sz w:val="22"/>
        </w:rPr>
        <w:t> </w:t>
      </w:r>
      <w:r>
        <w:rPr>
          <w:color w:val="105C84"/>
          <w:sz w:val="22"/>
        </w:rPr>
        <w:t>and</w:t>
      </w:r>
      <w:r>
        <w:rPr>
          <w:color w:val="105C84"/>
          <w:spacing w:val="-3"/>
          <w:sz w:val="22"/>
        </w:rPr>
        <w:t> </w:t>
      </w:r>
      <w:r>
        <w:rPr>
          <w:color w:val="105C84"/>
          <w:sz w:val="22"/>
        </w:rPr>
        <w:t>substance</w:t>
      </w:r>
      <w:r>
        <w:rPr>
          <w:color w:val="105C84"/>
          <w:spacing w:val="-4"/>
          <w:sz w:val="22"/>
        </w:rPr>
        <w:t> </w:t>
      </w:r>
      <w:r>
        <w:rPr>
          <w:color w:val="105C84"/>
          <w:sz w:val="22"/>
        </w:rPr>
        <w:t>use</w:t>
      </w:r>
      <w:r>
        <w:rPr>
          <w:color w:val="105C84"/>
          <w:spacing w:val="-3"/>
          <w:sz w:val="22"/>
        </w:rPr>
        <w:t> </w:t>
      </w:r>
      <w:r>
        <w:rPr>
          <w:color w:val="105C84"/>
          <w:spacing w:val="-2"/>
          <w:sz w:val="22"/>
        </w:rPr>
        <w:t>disorders</w:t>
      </w:r>
    </w:p>
    <w:p>
      <w:pPr>
        <w:pStyle w:val="BodyText"/>
        <w:spacing w:before="26"/>
      </w:pPr>
    </w:p>
    <w:p>
      <w:pPr>
        <w:pStyle w:val="Heading5"/>
        <w:ind w:left="1070"/>
      </w:pPr>
      <w:r>
        <w:rPr>
          <w:color w:val="32BCAA"/>
        </w:rPr>
        <w:t>DISPARITY:</w:t>
      </w:r>
      <w:r>
        <w:rPr>
          <w:color w:val="32BCAA"/>
          <w:spacing w:val="12"/>
        </w:rPr>
        <w:t> </w:t>
      </w:r>
      <w:r>
        <w:rPr>
          <w:color w:val="32BCAA"/>
        </w:rPr>
        <w:t>LOW</w:t>
      </w:r>
      <w:r>
        <w:rPr>
          <w:color w:val="32BCAA"/>
          <w:spacing w:val="19"/>
        </w:rPr>
        <w:t> </w:t>
      </w:r>
      <w:r>
        <w:rPr>
          <w:color w:val="32BCAA"/>
          <w:spacing w:val="-2"/>
        </w:rPr>
        <w:t>INCOME</w:t>
      </w:r>
    </w:p>
    <w:p>
      <w:pPr>
        <w:pStyle w:val="BodyText"/>
        <w:spacing w:line="247" w:lineRule="auto" w:before="86"/>
        <w:ind w:left="1065" w:right="413"/>
      </w:pPr>
      <w:r>
        <w:rPr>
          <w:color w:val="105C84"/>
          <w:w w:val="105"/>
        </w:rPr>
        <w:t>In</w:t>
      </w:r>
      <w:r>
        <w:rPr>
          <w:color w:val="105C84"/>
          <w:spacing w:val="-11"/>
          <w:w w:val="105"/>
        </w:rPr>
        <w:t> </w:t>
      </w:r>
      <w:r>
        <w:rPr>
          <w:color w:val="105C84"/>
          <w:w w:val="105"/>
        </w:rPr>
        <w:t>addition</w:t>
      </w:r>
      <w:r>
        <w:rPr>
          <w:color w:val="105C84"/>
          <w:spacing w:val="-11"/>
          <w:w w:val="105"/>
        </w:rPr>
        <w:t> </w:t>
      </w:r>
      <w:r>
        <w:rPr>
          <w:color w:val="105C84"/>
          <w:w w:val="105"/>
        </w:rPr>
        <w:t>to</w:t>
      </w:r>
      <w:r>
        <w:rPr>
          <w:color w:val="105C84"/>
          <w:spacing w:val="-11"/>
          <w:w w:val="105"/>
        </w:rPr>
        <w:t> </w:t>
      </w:r>
      <w:r>
        <w:rPr>
          <w:color w:val="105C84"/>
          <w:w w:val="105"/>
        </w:rPr>
        <w:t>the</w:t>
      </w:r>
      <w:r>
        <w:rPr>
          <w:color w:val="105C84"/>
          <w:spacing w:val="-11"/>
          <w:w w:val="105"/>
        </w:rPr>
        <w:t> </w:t>
      </w:r>
      <w:r>
        <w:rPr>
          <w:color w:val="105C84"/>
          <w:w w:val="105"/>
        </w:rPr>
        <w:t>group’s</w:t>
      </w:r>
      <w:r>
        <w:rPr>
          <w:color w:val="105C84"/>
          <w:spacing w:val="-11"/>
          <w:w w:val="105"/>
        </w:rPr>
        <w:t> </w:t>
      </w:r>
      <w:r>
        <w:rPr>
          <w:color w:val="105C84"/>
          <w:w w:val="105"/>
        </w:rPr>
        <w:t>thoughts,</w:t>
      </w:r>
      <w:r>
        <w:rPr>
          <w:color w:val="105C84"/>
          <w:spacing w:val="-11"/>
          <w:w w:val="105"/>
        </w:rPr>
        <w:t> </w:t>
      </w:r>
      <w:r>
        <w:rPr>
          <w:i/>
          <w:color w:val="105C84"/>
          <w:w w:val="105"/>
        </w:rPr>
        <w:t>My</w:t>
      </w:r>
      <w:r>
        <w:rPr>
          <w:i/>
          <w:color w:val="105C84"/>
          <w:spacing w:val="-11"/>
          <w:w w:val="105"/>
        </w:rPr>
        <w:t> </w:t>
      </w:r>
      <w:r>
        <w:rPr>
          <w:i/>
          <w:color w:val="105C84"/>
          <w:w w:val="105"/>
        </w:rPr>
        <w:t>Health</w:t>
      </w:r>
      <w:r>
        <w:rPr>
          <w:i/>
          <w:color w:val="105C84"/>
          <w:spacing w:val="-11"/>
          <w:w w:val="105"/>
        </w:rPr>
        <w:t> </w:t>
      </w:r>
      <w:r>
        <w:rPr>
          <w:i/>
          <w:color w:val="105C84"/>
          <w:w w:val="105"/>
        </w:rPr>
        <w:t>Story</w:t>
      </w:r>
      <w:r>
        <w:rPr>
          <w:i/>
          <w:color w:val="105C84"/>
          <w:spacing w:val="-11"/>
          <w:w w:val="105"/>
        </w:rPr>
        <w:t> </w:t>
      </w:r>
      <w:r>
        <w:rPr>
          <w:i/>
          <w:color w:val="105C84"/>
          <w:w w:val="105"/>
        </w:rPr>
        <w:t>2018</w:t>
      </w:r>
      <w:r>
        <w:rPr>
          <w:i/>
          <w:color w:val="105C84"/>
          <w:spacing w:val="-11"/>
          <w:w w:val="105"/>
        </w:rPr>
        <w:t> </w:t>
      </w:r>
      <w:r>
        <w:rPr>
          <w:color w:val="105C84"/>
          <w:w w:val="105"/>
        </w:rPr>
        <w:t>respondents</w:t>
      </w:r>
      <w:r>
        <w:rPr>
          <w:color w:val="105C84"/>
          <w:spacing w:val="-11"/>
          <w:w w:val="105"/>
        </w:rPr>
        <w:t> </w:t>
      </w:r>
      <w:r>
        <w:rPr>
          <w:color w:val="105C84"/>
          <w:w w:val="105"/>
        </w:rPr>
        <w:t>were</w:t>
      </w:r>
      <w:r>
        <w:rPr>
          <w:color w:val="105C84"/>
          <w:spacing w:val="-11"/>
          <w:w w:val="105"/>
        </w:rPr>
        <w:t> </w:t>
      </w:r>
      <w:r>
        <w:rPr>
          <w:color w:val="105C84"/>
          <w:w w:val="105"/>
        </w:rPr>
        <w:t>also</w:t>
      </w:r>
      <w:r>
        <w:rPr>
          <w:color w:val="105C84"/>
          <w:spacing w:val="-11"/>
          <w:w w:val="105"/>
        </w:rPr>
        <w:t> </w:t>
      </w:r>
      <w:r>
        <w:rPr>
          <w:color w:val="105C84"/>
          <w:w w:val="105"/>
        </w:rPr>
        <w:t>asked</w:t>
      </w:r>
      <w:r>
        <w:rPr>
          <w:color w:val="105C84"/>
          <w:spacing w:val="-11"/>
          <w:w w:val="105"/>
        </w:rPr>
        <w:t> </w:t>
      </w:r>
      <w:r>
        <w:rPr>
          <w:color w:val="105C84"/>
          <w:w w:val="105"/>
        </w:rPr>
        <w:t>questions relating</w:t>
      </w:r>
      <w:r>
        <w:rPr>
          <w:color w:val="105C84"/>
          <w:spacing w:val="-3"/>
          <w:w w:val="105"/>
        </w:rPr>
        <w:t> </w:t>
      </w:r>
      <w:r>
        <w:rPr>
          <w:color w:val="105C84"/>
          <w:w w:val="105"/>
        </w:rPr>
        <w:t>to</w:t>
      </w:r>
      <w:r>
        <w:rPr>
          <w:color w:val="105C84"/>
          <w:spacing w:val="-3"/>
          <w:w w:val="105"/>
        </w:rPr>
        <w:t> </w:t>
      </w:r>
      <w:r>
        <w:rPr>
          <w:color w:val="105C84"/>
          <w:w w:val="105"/>
        </w:rPr>
        <w:t>their</w:t>
      </w:r>
      <w:r>
        <w:rPr>
          <w:color w:val="105C84"/>
          <w:spacing w:val="-3"/>
          <w:w w:val="105"/>
        </w:rPr>
        <w:t> </w:t>
      </w:r>
      <w:r>
        <w:rPr>
          <w:color w:val="105C84"/>
          <w:w w:val="105"/>
        </w:rPr>
        <w:t>top</w:t>
      </w:r>
      <w:r>
        <w:rPr>
          <w:color w:val="105C84"/>
          <w:spacing w:val="-3"/>
          <w:w w:val="105"/>
        </w:rPr>
        <w:t> </w:t>
      </w:r>
      <w:r>
        <w:rPr>
          <w:color w:val="105C84"/>
          <w:w w:val="105"/>
        </w:rPr>
        <w:t>concerns</w:t>
      </w:r>
      <w:r>
        <w:rPr>
          <w:color w:val="105C84"/>
          <w:spacing w:val="-3"/>
          <w:w w:val="105"/>
        </w:rPr>
        <w:t> </w:t>
      </w:r>
      <w:r>
        <w:rPr>
          <w:color w:val="105C84"/>
          <w:w w:val="105"/>
        </w:rPr>
        <w:t>for</w:t>
      </w:r>
      <w:r>
        <w:rPr>
          <w:color w:val="105C84"/>
          <w:spacing w:val="-3"/>
          <w:w w:val="105"/>
        </w:rPr>
        <w:t> </w:t>
      </w:r>
      <w:r>
        <w:rPr>
          <w:color w:val="105C84"/>
          <w:w w:val="105"/>
        </w:rPr>
        <w:t>the</w:t>
      </w:r>
      <w:r>
        <w:rPr>
          <w:color w:val="105C84"/>
          <w:spacing w:val="-3"/>
          <w:w w:val="105"/>
        </w:rPr>
        <w:t> </w:t>
      </w:r>
      <w:r>
        <w:rPr>
          <w:color w:val="105C84"/>
          <w:w w:val="105"/>
        </w:rPr>
        <w:t>health</w:t>
      </w:r>
      <w:r>
        <w:rPr>
          <w:color w:val="105C84"/>
          <w:spacing w:val="-3"/>
          <w:w w:val="105"/>
        </w:rPr>
        <w:t> </w:t>
      </w:r>
      <w:r>
        <w:rPr>
          <w:color w:val="105C84"/>
          <w:w w:val="105"/>
        </w:rPr>
        <w:t>of</w:t>
      </w:r>
      <w:r>
        <w:rPr>
          <w:color w:val="105C84"/>
          <w:spacing w:val="-3"/>
          <w:w w:val="105"/>
        </w:rPr>
        <w:t> </w:t>
      </w:r>
      <w:r>
        <w:rPr>
          <w:color w:val="105C84"/>
          <w:w w:val="105"/>
        </w:rPr>
        <w:t>themselves,</w:t>
      </w:r>
      <w:r>
        <w:rPr>
          <w:color w:val="105C84"/>
          <w:spacing w:val="-3"/>
          <w:w w:val="105"/>
        </w:rPr>
        <w:t> </w:t>
      </w:r>
      <w:r>
        <w:rPr>
          <w:color w:val="105C84"/>
          <w:w w:val="105"/>
        </w:rPr>
        <w:t>loved</w:t>
      </w:r>
      <w:r>
        <w:rPr>
          <w:color w:val="105C84"/>
          <w:spacing w:val="-3"/>
          <w:w w:val="105"/>
        </w:rPr>
        <w:t> </w:t>
      </w:r>
      <w:r>
        <w:rPr>
          <w:color w:val="105C84"/>
          <w:w w:val="105"/>
        </w:rPr>
        <w:t>ones,</w:t>
      </w:r>
      <w:r>
        <w:rPr>
          <w:color w:val="105C84"/>
          <w:spacing w:val="-3"/>
          <w:w w:val="105"/>
        </w:rPr>
        <w:t> </w:t>
      </w:r>
      <w:r>
        <w:rPr>
          <w:color w:val="105C84"/>
          <w:w w:val="105"/>
        </w:rPr>
        <w:t>adults</w:t>
      </w:r>
      <w:r>
        <w:rPr>
          <w:color w:val="105C84"/>
          <w:spacing w:val="-3"/>
          <w:w w:val="105"/>
        </w:rPr>
        <w:t> </w:t>
      </w:r>
      <w:r>
        <w:rPr>
          <w:color w:val="105C84"/>
          <w:w w:val="105"/>
        </w:rPr>
        <w:t>and</w:t>
      </w:r>
      <w:r>
        <w:rPr>
          <w:color w:val="105C84"/>
          <w:spacing w:val="-3"/>
          <w:w w:val="105"/>
        </w:rPr>
        <w:t> </w:t>
      </w:r>
      <w:r>
        <w:rPr>
          <w:color w:val="105C84"/>
          <w:w w:val="105"/>
        </w:rPr>
        <w:t>children</w:t>
      </w:r>
      <w:r>
        <w:rPr>
          <w:color w:val="105C84"/>
          <w:spacing w:val="-3"/>
          <w:w w:val="105"/>
        </w:rPr>
        <w:t> </w:t>
      </w:r>
      <w:r>
        <w:rPr>
          <w:color w:val="105C84"/>
          <w:w w:val="105"/>
        </w:rPr>
        <w:t>in</w:t>
      </w:r>
      <w:r>
        <w:rPr>
          <w:color w:val="105C84"/>
          <w:spacing w:val="-3"/>
          <w:w w:val="105"/>
        </w:rPr>
        <w:t> </w:t>
      </w:r>
      <w:r>
        <w:rPr>
          <w:color w:val="105C84"/>
          <w:w w:val="105"/>
        </w:rPr>
        <w:t>the community (and were reviewed at the prioritization meeting). Weight and mental/emotional health </w:t>
      </w:r>
      <w:r>
        <w:rPr>
          <w:color w:val="105C84"/>
        </w:rPr>
        <w:t>issues rose to the top for each of the four categories. Of note, diet/nutrition, exercise and substance</w:t>
      </w:r>
      <w:r>
        <w:rPr>
          <w:color w:val="105C84"/>
          <w:spacing w:val="80"/>
          <w:w w:val="105"/>
        </w:rPr>
        <w:t> </w:t>
      </w:r>
      <w:r>
        <w:rPr>
          <w:color w:val="105C84"/>
          <w:w w:val="105"/>
        </w:rPr>
        <w:t>abuse</w:t>
      </w:r>
      <w:r>
        <w:rPr>
          <w:color w:val="105C84"/>
          <w:spacing w:val="-11"/>
          <w:w w:val="105"/>
        </w:rPr>
        <w:t> </w:t>
      </w:r>
      <w:r>
        <w:rPr>
          <w:color w:val="105C84"/>
          <w:w w:val="105"/>
        </w:rPr>
        <w:t>and</w:t>
      </w:r>
      <w:r>
        <w:rPr>
          <w:color w:val="105C84"/>
          <w:spacing w:val="-11"/>
          <w:w w:val="105"/>
        </w:rPr>
        <w:t> </w:t>
      </w:r>
      <w:r>
        <w:rPr>
          <w:color w:val="105C84"/>
          <w:w w:val="105"/>
        </w:rPr>
        <w:t>well-being</w:t>
      </w:r>
      <w:r>
        <w:rPr>
          <w:color w:val="105C84"/>
          <w:spacing w:val="-11"/>
          <w:w w:val="105"/>
        </w:rPr>
        <w:t> </w:t>
      </w:r>
      <w:r>
        <w:rPr>
          <w:color w:val="105C84"/>
          <w:w w:val="105"/>
        </w:rPr>
        <w:t>were</w:t>
      </w:r>
      <w:r>
        <w:rPr>
          <w:color w:val="105C84"/>
          <w:spacing w:val="-11"/>
          <w:w w:val="105"/>
        </w:rPr>
        <w:t> </w:t>
      </w:r>
      <w:r>
        <w:rPr>
          <w:color w:val="105C84"/>
          <w:w w:val="105"/>
        </w:rPr>
        <w:t>concerns</w:t>
      </w:r>
      <w:r>
        <w:rPr>
          <w:color w:val="105C84"/>
          <w:spacing w:val="-11"/>
          <w:w w:val="105"/>
        </w:rPr>
        <w:t> </w:t>
      </w:r>
      <w:r>
        <w:rPr>
          <w:color w:val="105C84"/>
          <w:w w:val="105"/>
        </w:rPr>
        <w:t>for</w:t>
      </w:r>
      <w:r>
        <w:rPr>
          <w:color w:val="105C84"/>
          <w:spacing w:val="-11"/>
          <w:w w:val="105"/>
        </w:rPr>
        <w:t> </w:t>
      </w:r>
      <w:r>
        <w:rPr>
          <w:color w:val="105C84"/>
          <w:w w:val="105"/>
        </w:rPr>
        <w:t>children</w:t>
      </w:r>
      <w:r>
        <w:rPr>
          <w:color w:val="105C84"/>
          <w:spacing w:val="-11"/>
          <w:w w:val="105"/>
        </w:rPr>
        <w:t> </w:t>
      </w:r>
      <w:r>
        <w:rPr>
          <w:color w:val="105C84"/>
          <w:w w:val="105"/>
        </w:rPr>
        <w:t>in</w:t>
      </w:r>
      <w:r>
        <w:rPr>
          <w:color w:val="105C84"/>
          <w:spacing w:val="-11"/>
          <w:w w:val="105"/>
        </w:rPr>
        <w:t> </w:t>
      </w:r>
      <w:r>
        <w:rPr>
          <w:color w:val="105C84"/>
          <w:w w:val="105"/>
        </w:rPr>
        <w:t>the</w:t>
      </w:r>
      <w:r>
        <w:rPr>
          <w:color w:val="105C84"/>
          <w:spacing w:val="-11"/>
          <w:w w:val="105"/>
        </w:rPr>
        <w:t> </w:t>
      </w:r>
      <w:r>
        <w:rPr>
          <w:color w:val="105C84"/>
          <w:w w:val="105"/>
        </w:rPr>
        <w:t>county.</w:t>
      </w:r>
      <w:r>
        <w:rPr>
          <w:color w:val="105C84"/>
          <w:spacing w:val="-11"/>
          <w:w w:val="105"/>
        </w:rPr>
        <w:t> </w:t>
      </w:r>
      <w:r>
        <w:rPr>
          <w:color w:val="105C84"/>
          <w:w w:val="105"/>
        </w:rPr>
        <w:t>Substance</w:t>
      </w:r>
      <w:r>
        <w:rPr>
          <w:color w:val="105C84"/>
          <w:spacing w:val="-11"/>
          <w:w w:val="105"/>
        </w:rPr>
        <w:t> </w:t>
      </w:r>
      <w:r>
        <w:rPr>
          <w:color w:val="105C84"/>
          <w:w w:val="105"/>
        </w:rPr>
        <w:t>abuse</w:t>
      </w:r>
      <w:r>
        <w:rPr>
          <w:color w:val="105C84"/>
          <w:spacing w:val="-11"/>
          <w:w w:val="105"/>
        </w:rPr>
        <w:t> </w:t>
      </w:r>
      <w:r>
        <w:rPr>
          <w:color w:val="105C84"/>
          <w:w w:val="105"/>
        </w:rPr>
        <w:t>appeared</w:t>
      </w:r>
      <w:r>
        <w:rPr>
          <w:color w:val="105C84"/>
          <w:spacing w:val="-11"/>
          <w:w w:val="105"/>
        </w:rPr>
        <w:t> </w:t>
      </w:r>
      <w:r>
        <w:rPr>
          <w:color w:val="105C84"/>
          <w:w w:val="105"/>
        </w:rPr>
        <w:t>to</w:t>
      </w:r>
      <w:r>
        <w:rPr>
          <w:color w:val="105C84"/>
          <w:spacing w:val="-11"/>
          <w:w w:val="105"/>
        </w:rPr>
        <w:t> </w:t>
      </w:r>
      <w:r>
        <w:rPr>
          <w:color w:val="105C84"/>
          <w:w w:val="105"/>
        </w:rPr>
        <w:t>be more</w:t>
      </w:r>
      <w:r>
        <w:rPr>
          <w:color w:val="105C84"/>
          <w:spacing w:val="-10"/>
          <w:w w:val="105"/>
        </w:rPr>
        <w:t> </w:t>
      </w:r>
      <w:r>
        <w:rPr>
          <w:color w:val="105C84"/>
          <w:w w:val="105"/>
        </w:rPr>
        <w:t>of</w:t>
      </w:r>
      <w:r>
        <w:rPr>
          <w:color w:val="105C84"/>
          <w:spacing w:val="-10"/>
          <w:w w:val="105"/>
        </w:rPr>
        <w:t> </w:t>
      </w:r>
      <w:r>
        <w:rPr>
          <w:color w:val="105C84"/>
          <w:w w:val="105"/>
        </w:rPr>
        <w:t>a</w:t>
      </w:r>
      <w:r>
        <w:rPr>
          <w:color w:val="105C84"/>
          <w:spacing w:val="-10"/>
          <w:w w:val="105"/>
        </w:rPr>
        <w:t> </w:t>
      </w:r>
      <w:r>
        <w:rPr>
          <w:color w:val="105C84"/>
          <w:w w:val="105"/>
        </w:rPr>
        <w:t>concern</w:t>
      </w:r>
      <w:r>
        <w:rPr>
          <w:color w:val="105C84"/>
          <w:spacing w:val="-10"/>
          <w:w w:val="105"/>
        </w:rPr>
        <w:t> </w:t>
      </w:r>
      <w:r>
        <w:rPr>
          <w:color w:val="105C84"/>
          <w:w w:val="105"/>
        </w:rPr>
        <w:t>for</w:t>
      </w:r>
      <w:r>
        <w:rPr>
          <w:color w:val="105C84"/>
          <w:spacing w:val="-10"/>
          <w:w w:val="105"/>
        </w:rPr>
        <w:t> </w:t>
      </w:r>
      <w:r>
        <w:rPr>
          <w:color w:val="105C84"/>
          <w:w w:val="105"/>
        </w:rPr>
        <w:t>adults</w:t>
      </w:r>
      <w:r>
        <w:rPr>
          <w:color w:val="105C84"/>
          <w:spacing w:val="-10"/>
          <w:w w:val="105"/>
        </w:rPr>
        <w:t> </w:t>
      </w:r>
      <w:r>
        <w:rPr>
          <w:color w:val="105C84"/>
          <w:w w:val="105"/>
        </w:rPr>
        <w:t>in</w:t>
      </w:r>
      <w:r>
        <w:rPr>
          <w:color w:val="105C84"/>
          <w:spacing w:val="-10"/>
          <w:w w:val="105"/>
        </w:rPr>
        <w:t> </w:t>
      </w:r>
      <w:r>
        <w:rPr>
          <w:color w:val="105C84"/>
          <w:w w:val="105"/>
        </w:rPr>
        <w:t>the</w:t>
      </w:r>
      <w:r>
        <w:rPr>
          <w:color w:val="105C84"/>
          <w:spacing w:val="-10"/>
          <w:w w:val="105"/>
        </w:rPr>
        <w:t> </w:t>
      </w:r>
      <w:r>
        <w:rPr>
          <w:color w:val="105C84"/>
          <w:w w:val="105"/>
        </w:rPr>
        <w:t>county,</w:t>
      </w:r>
      <w:r>
        <w:rPr>
          <w:color w:val="105C84"/>
          <w:spacing w:val="-10"/>
          <w:w w:val="105"/>
        </w:rPr>
        <w:t> </w:t>
      </w:r>
      <w:r>
        <w:rPr>
          <w:color w:val="105C84"/>
          <w:w w:val="105"/>
        </w:rPr>
        <w:t>however.</w:t>
      </w:r>
      <w:r>
        <w:rPr>
          <w:color w:val="105C84"/>
          <w:spacing w:val="-10"/>
          <w:w w:val="105"/>
        </w:rPr>
        <w:t> </w:t>
      </w:r>
      <w:r>
        <w:rPr>
          <w:color w:val="105C84"/>
          <w:w w:val="105"/>
        </w:rPr>
        <w:t>Mental</w:t>
      </w:r>
      <w:r>
        <w:rPr>
          <w:color w:val="105C84"/>
          <w:spacing w:val="-10"/>
          <w:w w:val="105"/>
        </w:rPr>
        <w:t> </w:t>
      </w:r>
      <w:r>
        <w:rPr>
          <w:color w:val="105C84"/>
          <w:w w:val="105"/>
        </w:rPr>
        <w:t>emotional</w:t>
      </w:r>
      <w:r>
        <w:rPr>
          <w:color w:val="105C84"/>
          <w:spacing w:val="-10"/>
          <w:w w:val="105"/>
        </w:rPr>
        <w:t> </w:t>
      </w:r>
      <w:r>
        <w:rPr>
          <w:color w:val="105C84"/>
          <w:w w:val="105"/>
        </w:rPr>
        <w:t>health</w:t>
      </w:r>
      <w:r>
        <w:rPr>
          <w:color w:val="105C84"/>
          <w:spacing w:val="-10"/>
          <w:w w:val="105"/>
        </w:rPr>
        <w:t> </w:t>
      </w:r>
      <w:r>
        <w:rPr>
          <w:color w:val="105C84"/>
          <w:w w:val="105"/>
        </w:rPr>
        <w:t>and</w:t>
      </w:r>
      <w:r>
        <w:rPr>
          <w:color w:val="105C84"/>
          <w:spacing w:val="-10"/>
          <w:w w:val="105"/>
        </w:rPr>
        <w:t> </w:t>
      </w:r>
      <w:r>
        <w:rPr>
          <w:color w:val="105C84"/>
          <w:w w:val="105"/>
        </w:rPr>
        <w:t>chronic</w:t>
      </w:r>
      <w:r>
        <w:rPr>
          <w:color w:val="105C84"/>
          <w:spacing w:val="-10"/>
          <w:w w:val="105"/>
        </w:rPr>
        <w:t> </w:t>
      </w:r>
      <w:r>
        <w:rPr>
          <w:color w:val="105C84"/>
          <w:w w:val="105"/>
        </w:rPr>
        <w:t>disease </w:t>
      </w:r>
      <w:r>
        <w:rPr>
          <w:color w:val="105C84"/>
        </w:rPr>
        <w:t>such as obesity, cancer and heart conditions were highlighted as concerns for respondents’ fears for </w:t>
      </w:r>
      <w:r>
        <w:rPr>
          <w:color w:val="105C84"/>
          <w:w w:val="105"/>
        </w:rPr>
        <w:t>themselves and for others.</w:t>
      </w:r>
    </w:p>
    <w:p>
      <w:pPr>
        <w:pStyle w:val="BodyText"/>
        <w:spacing w:before="14"/>
      </w:pPr>
    </w:p>
    <w:p>
      <w:pPr>
        <w:pStyle w:val="Heading6"/>
        <w:spacing w:before="1"/>
        <w:ind w:left="1065" w:right="413"/>
      </w:pPr>
      <w:r>
        <w:rPr>
          <w:color w:val="105C84"/>
          <w:spacing w:val="-4"/>
        </w:rPr>
        <w:t>FIGURE</w:t>
      </w:r>
      <w:r>
        <w:rPr>
          <w:color w:val="105C84"/>
          <w:spacing w:val="-9"/>
        </w:rPr>
        <w:t> </w:t>
      </w:r>
      <w:r>
        <w:rPr>
          <w:color w:val="105C84"/>
          <w:spacing w:val="-4"/>
        </w:rPr>
        <w:t>31:</w:t>
      </w:r>
      <w:r>
        <w:rPr>
          <w:color w:val="105C84"/>
          <w:spacing w:val="-9"/>
        </w:rPr>
        <w:t> </w:t>
      </w:r>
      <w:r>
        <w:rPr>
          <w:color w:val="105C84"/>
          <w:spacing w:val="-4"/>
        </w:rPr>
        <w:t>Schuyler</w:t>
      </w:r>
      <w:r>
        <w:rPr>
          <w:color w:val="105C84"/>
          <w:spacing w:val="-9"/>
        </w:rPr>
        <w:t> </w:t>
      </w:r>
      <w:r>
        <w:rPr>
          <w:color w:val="105C84"/>
          <w:spacing w:val="-4"/>
        </w:rPr>
        <w:t>County</w:t>
      </w:r>
      <w:r>
        <w:rPr>
          <w:color w:val="105C84"/>
          <w:spacing w:val="-9"/>
        </w:rPr>
        <w:t> </w:t>
      </w:r>
      <w:r>
        <w:rPr>
          <w:color w:val="105C84"/>
          <w:spacing w:val="-4"/>
        </w:rPr>
        <w:t>summary</w:t>
      </w:r>
      <w:r>
        <w:rPr>
          <w:color w:val="105C84"/>
          <w:spacing w:val="-9"/>
        </w:rPr>
        <w:t> </w:t>
      </w:r>
      <w:r>
        <w:rPr>
          <w:color w:val="105C84"/>
          <w:spacing w:val="-4"/>
        </w:rPr>
        <w:t>of</w:t>
      </w:r>
      <w:r>
        <w:rPr>
          <w:color w:val="105C84"/>
          <w:spacing w:val="-9"/>
        </w:rPr>
        <w:t> </w:t>
      </w:r>
      <w:r>
        <w:rPr>
          <w:color w:val="105C84"/>
          <w:spacing w:val="-4"/>
        </w:rPr>
        <w:t>health-related</w:t>
      </w:r>
      <w:r>
        <w:rPr>
          <w:color w:val="105C84"/>
          <w:spacing w:val="-9"/>
        </w:rPr>
        <w:t> </w:t>
      </w:r>
      <w:r>
        <w:rPr>
          <w:color w:val="105C84"/>
          <w:spacing w:val="-4"/>
        </w:rPr>
        <w:t>concerns</w:t>
      </w:r>
      <w:r>
        <w:rPr>
          <w:color w:val="105C84"/>
          <w:spacing w:val="-9"/>
        </w:rPr>
        <w:t> </w:t>
      </w:r>
      <w:r>
        <w:rPr>
          <w:color w:val="105C84"/>
          <w:spacing w:val="-4"/>
        </w:rPr>
        <w:t>for</w:t>
      </w:r>
      <w:r>
        <w:rPr>
          <w:color w:val="105C84"/>
          <w:spacing w:val="-9"/>
        </w:rPr>
        <w:t> </w:t>
      </w:r>
      <w:r>
        <w:rPr>
          <w:color w:val="105C84"/>
          <w:spacing w:val="-4"/>
        </w:rPr>
        <w:t>self,</w:t>
      </w:r>
      <w:r>
        <w:rPr>
          <w:color w:val="105C84"/>
          <w:spacing w:val="-9"/>
        </w:rPr>
        <w:t> </w:t>
      </w:r>
      <w:r>
        <w:rPr>
          <w:color w:val="105C84"/>
          <w:spacing w:val="-4"/>
        </w:rPr>
        <w:t>loved </w:t>
      </w:r>
      <w:r>
        <w:rPr>
          <w:color w:val="105C84"/>
        </w:rPr>
        <w:t>ones and county to prioritize</w:t>
      </w:r>
    </w:p>
    <w:p>
      <w:pPr>
        <w:pStyle w:val="BodyText"/>
        <w:spacing w:before="41"/>
        <w:rPr>
          <w:b/>
          <w:sz w:val="20"/>
        </w:rPr>
      </w:pPr>
      <w:r>
        <w:rPr>
          <w:b/>
          <w:sz w:val="20"/>
        </w:rPr>
        <mc:AlternateContent>
          <mc:Choice Requires="wps">
            <w:drawing>
              <wp:anchor distT="0" distB="0" distL="0" distR="0" allowOverlap="1" layoutInCell="1" locked="0" behindDoc="1" simplePos="0" relativeHeight="487587840">
                <wp:simplePos x="0" y="0"/>
                <wp:positionH relativeFrom="page">
                  <wp:posOffset>676655</wp:posOffset>
                </wp:positionH>
                <wp:positionV relativeFrom="paragraph">
                  <wp:posOffset>187900</wp:posOffset>
                </wp:positionV>
                <wp:extent cx="2891155" cy="1374775"/>
                <wp:effectExtent l="0" t="0" r="0" b="0"/>
                <wp:wrapTopAndBottom/>
                <wp:docPr id="970" name="Textbox 970"/>
                <wp:cNvGraphicFramePr>
                  <a:graphicFrameLocks/>
                </wp:cNvGraphicFramePr>
                <a:graphic>
                  <a:graphicData uri="http://schemas.microsoft.com/office/word/2010/wordprocessingShape">
                    <wps:wsp>
                      <wps:cNvPr id="970" name="Textbox 970"/>
                      <wps:cNvSpPr txBox="1"/>
                      <wps:spPr>
                        <a:xfrm>
                          <a:off x="0" y="0"/>
                          <a:ext cx="2891155" cy="1374775"/>
                        </a:xfrm>
                        <a:prstGeom prst="rect">
                          <a:avLst/>
                        </a:prstGeom>
                      </wps:spPr>
                      <wps:txbx>
                        <w:txbxContent>
                          <w:tbl>
                            <w:tblPr>
                              <w:tblW w:w="0" w:type="auto"/>
                              <w:jc w:val="left"/>
                              <w:tblInd w:w="2" w:type="dxa"/>
                              <w:tblBorders>
                                <w:top w:val="single" w:sz="2" w:space="0" w:color="636466"/>
                                <w:left w:val="single" w:sz="2" w:space="0" w:color="636466"/>
                                <w:bottom w:val="single" w:sz="2" w:space="0" w:color="636466"/>
                                <w:right w:val="single" w:sz="2" w:space="0" w:color="636466"/>
                                <w:insideH w:val="single" w:sz="2" w:space="0" w:color="636466"/>
                                <w:insideV w:val="single" w:sz="2" w:space="0" w:color="636466"/>
                              </w:tblBorders>
                              <w:tblLayout w:type="fixed"/>
                              <w:tblCellMar>
                                <w:top w:w="0" w:type="dxa"/>
                                <w:left w:w="0" w:type="dxa"/>
                                <w:bottom w:w="0" w:type="dxa"/>
                                <w:right w:w="0" w:type="dxa"/>
                              </w:tblCellMar>
                              <w:tblLook w:val="01E0"/>
                            </w:tblPr>
                            <w:tblGrid>
                              <w:gridCol w:w="4548"/>
                            </w:tblGrid>
                            <w:tr>
                              <w:trPr>
                                <w:trHeight w:val="355" w:hRule="atLeast"/>
                              </w:trPr>
                              <w:tc>
                                <w:tcPr>
                                  <w:tcW w:w="4548" w:type="dxa"/>
                                  <w:shd w:val="clear" w:color="auto" w:fill="82BF6A"/>
                                </w:tcPr>
                                <w:p>
                                  <w:pPr>
                                    <w:pStyle w:val="TableParagraph"/>
                                    <w:spacing w:before="90"/>
                                    <w:ind w:left="80"/>
                                    <w:rPr>
                                      <w:b/>
                                      <w:sz w:val="20"/>
                                    </w:rPr>
                                  </w:pPr>
                                  <w:r>
                                    <w:rPr>
                                      <w:b/>
                                      <w:color w:val="FFFFFF"/>
                                      <w:sz w:val="20"/>
                                    </w:rPr>
                                    <w:t>BIGGEST</w:t>
                                  </w:r>
                                  <w:r>
                                    <w:rPr>
                                      <w:b/>
                                      <w:color w:val="FFFFFF"/>
                                      <w:spacing w:val="-10"/>
                                      <w:sz w:val="20"/>
                                    </w:rPr>
                                    <w:t> </w:t>
                                  </w:r>
                                  <w:r>
                                    <w:rPr>
                                      <w:b/>
                                      <w:color w:val="FFFFFF"/>
                                      <w:sz w:val="20"/>
                                    </w:rPr>
                                    <w:t>FEAR</w:t>
                                  </w:r>
                                  <w:r>
                                    <w:rPr>
                                      <w:b/>
                                      <w:color w:val="FFFFFF"/>
                                      <w:spacing w:val="-10"/>
                                      <w:sz w:val="20"/>
                                    </w:rPr>
                                    <w:t> </w:t>
                                  </w:r>
                                  <w:r>
                                    <w:rPr>
                                      <w:b/>
                                      <w:color w:val="FFFFFF"/>
                                      <w:sz w:val="20"/>
                                    </w:rPr>
                                    <w:t>-</w:t>
                                  </w:r>
                                  <w:r>
                                    <w:rPr>
                                      <w:b/>
                                      <w:color w:val="FFFFFF"/>
                                      <w:spacing w:val="-9"/>
                                      <w:sz w:val="20"/>
                                    </w:rPr>
                                    <w:t> </w:t>
                                  </w:r>
                                  <w:r>
                                    <w:rPr>
                                      <w:b/>
                                      <w:color w:val="FFFFFF"/>
                                      <w:sz w:val="20"/>
                                    </w:rPr>
                                    <w:t>FOR</w:t>
                                  </w:r>
                                  <w:r>
                                    <w:rPr>
                                      <w:b/>
                                      <w:color w:val="FFFFFF"/>
                                      <w:spacing w:val="-10"/>
                                      <w:sz w:val="20"/>
                                    </w:rPr>
                                    <w:t> </w:t>
                                  </w:r>
                                  <w:r>
                                    <w:rPr>
                                      <w:b/>
                                      <w:color w:val="FFFFFF"/>
                                      <w:spacing w:val="-4"/>
                                      <w:sz w:val="20"/>
                                    </w:rPr>
                                    <w:t>SELF</w:t>
                                  </w:r>
                                </w:p>
                              </w:tc>
                            </w:tr>
                            <w:tr>
                              <w:trPr>
                                <w:trHeight w:val="355" w:hRule="atLeast"/>
                              </w:trPr>
                              <w:tc>
                                <w:tcPr>
                                  <w:tcW w:w="4548" w:type="dxa"/>
                                </w:tcPr>
                                <w:p>
                                  <w:pPr>
                                    <w:pStyle w:val="TableParagraph"/>
                                    <w:spacing w:before="90"/>
                                    <w:ind w:left="79"/>
                                    <w:rPr>
                                      <w:sz w:val="20"/>
                                    </w:rPr>
                                  </w:pPr>
                                  <w:r>
                                    <w:rPr>
                                      <w:color w:val="105C84"/>
                                      <w:sz w:val="20"/>
                                    </w:rPr>
                                    <w:t>Mental</w:t>
                                  </w:r>
                                  <w:r>
                                    <w:rPr>
                                      <w:color w:val="105C84"/>
                                      <w:spacing w:val="13"/>
                                      <w:sz w:val="20"/>
                                    </w:rPr>
                                    <w:t> </w:t>
                                  </w:r>
                                  <w:r>
                                    <w:rPr>
                                      <w:color w:val="105C84"/>
                                      <w:sz w:val="20"/>
                                    </w:rPr>
                                    <w:t>/</w:t>
                                  </w:r>
                                  <w:r>
                                    <w:rPr>
                                      <w:color w:val="105C84"/>
                                      <w:spacing w:val="13"/>
                                      <w:sz w:val="20"/>
                                    </w:rPr>
                                    <w:t> </w:t>
                                  </w:r>
                                  <w:r>
                                    <w:rPr>
                                      <w:color w:val="105C84"/>
                                      <w:sz w:val="20"/>
                                    </w:rPr>
                                    <w:t>emotional</w:t>
                                  </w:r>
                                  <w:r>
                                    <w:rPr>
                                      <w:color w:val="105C84"/>
                                      <w:spacing w:val="13"/>
                                      <w:sz w:val="20"/>
                                    </w:rPr>
                                    <w:t> </w:t>
                                  </w:r>
                                  <w:r>
                                    <w:rPr>
                                      <w:color w:val="105C84"/>
                                      <w:sz w:val="20"/>
                                    </w:rPr>
                                    <w:t>health</w:t>
                                  </w:r>
                                  <w:r>
                                    <w:rPr>
                                      <w:color w:val="105C84"/>
                                      <w:spacing w:val="13"/>
                                      <w:sz w:val="20"/>
                                    </w:rPr>
                                    <w:t> </w:t>
                                  </w:r>
                                  <w:r>
                                    <w:rPr>
                                      <w:color w:val="105C84"/>
                                      <w:sz w:val="20"/>
                                    </w:rPr>
                                    <w:t>issues</w:t>
                                  </w:r>
                                  <w:r>
                                    <w:rPr>
                                      <w:color w:val="105C84"/>
                                      <w:spacing w:val="13"/>
                                      <w:sz w:val="20"/>
                                    </w:rPr>
                                    <w:t> </w:t>
                                  </w:r>
                                  <w:r>
                                    <w:rPr>
                                      <w:color w:val="105C84"/>
                                      <w:spacing w:val="-2"/>
                                      <w:sz w:val="20"/>
                                    </w:rPr>
                                    <w:t>(12.6%)</w:t>
                                  </w:r>
                                </w:p>
                              </w:tc>
                            </w:tr>
                            <w:tr>
                              <w:trPr>
                                <w:trHeight w:val="355" w:hRule="atLeast"/>
                              </w:trPr>
                              <w:tc>
                                <w:tcPr>
                                  <w:tcW w:w="4548" w:type="dxa"/>
                                </w:tcPr>
                                <w:p>
                                  <w:pPr>
                                    <w:pStyle w:val="TableParagraph"/>
                                    <w:spacing w:before="90"/>
                                    <w:ind w:left="79"/>
                                    <w:rPr>
                                      <w:sz w:val="20"/>
                                    </w:rPr>
                                  </w:pPr>
                                  <w:r>
                                    <w:rPr>
                                      <w:color w:val="105C84"/>
                                      <w:sz w:val="20"/>
                                    </w:rPr>
                                    <w:t>Cost</w:t>
                                  </w:r>
                                  <w:r>
                                    <w:rPr>
                                      <w:color w:val="105C84"/>
                                      <w:spacing w:val="6"/>
                                      <w:sz w:val="20"/>
                                    </w:rPr>
                                    <w:t> </w:t>
                                  </w:r>
                                  <w:r>
                                    <w:rPr>
                                      <w:color w:val="105C84"/>
                                      <w:spacing w:val="-2"/>
                                      <w:sz w:val="20"/>
                                    </w:rPr>
                                    <w:t>(10.7%)</w:t>
                                  </w:r>
                                </w:p>
                              </w:tc>
                            </w:tr>
                            <w:tr>
                              <w:trPr>
                                <w:trHeight w:val="355" w:hRule="atLeast"/>
                              </w:trPr>
                              <w:tc>
                                <w:tcPr>
                                  <w:tcW w:w="4548" w:type="dxa"/>
                                </w:tcPr>
                                <w:p>
                                  <w:pPr>
                                    <w:pStyle w:val="TableParagraph"/>
                                    <w:spacing w:before="90"/>
                                    <w:ind w:left="79"/>
                                    <w:rPr>
                                      <w:sz w:val="20"/>
                                    </w:rPr>
                                  </w:pPr>
                                  <w:r>
                                    <w:rPr>
                                      <w:color w:val="105C84"/>
                                      <w:sz w:val="20"/>
                                    </w:rPr>
                                    <w:t>Weight</w:t>
                                  </w:r>
                                  <w:r>
                                    <w:rPr>
                                      <w:color w:val="105C84"/>
                                      <w:spacing w:val="27"/>
                                      <w:sz w:val="20"/>
                                    </w:rPr>
                                    <w:t> </w:t>
                                  </w:r>
                                  <w:r>
                                    <w:rPr>
                                      <w:color w:val="105C84"/>
                                      <w:spacing w:val="-2"/>
                                      <w:sz w:val="20"/>
                                    </w:rPr>
                                    <w:t>(9.9%)</w:t>
                                  </w:r>
                                </w:p>
                              </w:tc>
                            </w:tr>
                            <w:tr>
                              <w:trPr>
                                <w:trHeight w:val="355" w:hRule="atLeast"/>
                              </w:trPr>
                              <w:tc>
                                <w:tcPr>
                                  <w:tcW w:w="4548" w:type="dxa"/>
                                </w:tcPr>
                                <w:p>
                                  <w:pPr>
                                    <w:pStyle w:val="TableParagraph"/>
                                    <w:spacing w:before="90"/>
                                    <w:ind w:left="79"/>
                                    <w:rPr>
                                      <w:sz w:val="20"/>
                                    </w:rPr>
                                  </w:pPr>
                                  <w:r>
                                    <w:rPr>
                                      <w:color w:val="105C84"/>
                                      <w:sz w:val="20"/>
                                    </w:rPr>
                                    <w:t>Aging</w:t>
                                  </w:r>
                                  <w:r>
                                    <w:rPr>
                                      <w:color w:val="105C84"/>
                                      <w:spacing w:val="33"/>
                                      <w:sz w:val="20"/>
                                    </w:rPr>
                                    <w:t> </w:t>
                                  </w:r>
                                  <w:r>
                                    <w:rPr>
                                      <w:color w:val="105C84"/>
                                      <w:spacing w:val="-2"/>
                                      <w:sz w:val="20"/>
                                    </w:rPr>
                                    <w:t>(8.8%)</w:t>
                                  </w:r>
                                </w:p>
                              </w:tc>
                            </w:tr>
                            <w:tr>
                              <w:trPr>
                                <w:trHeight w:val="355" w:hRule="atLeast"/>
                              </w:trPr>
                              <w:tc>
                                <w:tcPr>
                                  <w:tcW w:w="4548" w:type="dxa"/>
                                </w:tcPr>
                                <w:p>
                                  <w:pPr>
                                    <w:pStyle w:val="TableParagraph"/>
                                    <w:spacing w:before="90"/>
                                    <w:ind w:left="79"/>
                                    <w:rPr>
                                      <w:sz w:val="20"/>
                                    </w:rPr>
                                  </w:pPr>
                                  <w:r>
                                    <w:rPr>
                                      <w:color w:val="105C84"/>
                                      <w:sz w:val="20"/>
                                    </w:rPr>
                                    <w:t>Cancer</w:t>
                                  </w:r>
                                  <w:r>
                                    <w:rPr>
                                      <w:color w:val="105C84"/>
                                      <w:spacing w:val="-10"/>
                                      <w:sz w:val="20"/>
                                    </w:rPr>
                                    <w:t> </w:t>
                                  </w:r>
                                  <w:r>
                                    <w:rPr>
                                      <w:color w:val="105C84"/>
                                      <w:spacing w:val="-2"/>
                                      <w:sz w:val="20"/>
                                    </w:rPr>
                                    <w:t>(7.6%)</w:t>
                                  </w:r>
                                </w:p>
                              </w:tc>
                            </w:tr>
                          </w:tbl>
                          <w:p>
                            <w:pPr>
                              <w:pStyle w:val="BodyText"/>
                            </w:pPr>
                          </w:p>
                        </w:txbxContent>
                      </wps:txbx>
                      <wps:bodyPr wrap="square" lIns="0" tIns="0" rIns="0" bIns="0" rtlCol="0">
                        <a:noAutofit/>
                      </wps:bodyPr>
                    </wps:wsp>
                  </a:graphicData>
                </a:graphic>
              </wp:anchor>
            </w:drawing>
          </mc:Choice>
          <mc:Fallback>
            <w:pict>
              <v:shape style="position:absolute;margin-left:53.279999pt;margin-top:14.795337pt;width:227.65pt;height:108.25pt;mso-position-horizontal-relative:page;mso-position-vertical-relative:paragraph;z-index:-15728640;mso-wrap-distance-left:0;mso-wrap-distance-right:0" type="#_x0000_t202" id="docshape794" filled="false" stroked="false">
                <v:textbox inset="0,0,0,0">
                  <w:txbxContent>
                    <w:tbl>
                      <w:tblPr>
                        <w:tblW w:w="0" w:type="auto"/>
                        <w:jc w:val="left"/>
                        <w:tblInd w:w="2" w:type="dxa"/>
                        <w:tblBorders>
                          <w:top w:val="single" w:sz="2" w:space="0" w:color="636466"/>
                          <w:left w:val="single" w:sz="2" w:space="0" w:color="636466"/>
                          <w:bottom w:val="single" w:sz="2" w:space="0" w:color="636466"/>
                          <w:right w:val="single" w:sz="2" w:space="0" w:color="636466"/>
                          <w:insideH w:val="single" w:sz="2" w:space="0" w:color="636466"/>
                          <w:insideV w:val="single" w:sz="2" w:space="0" w:color="636466"/>
                        </w:tblBorders>
                        <w:tblLayout w:type="fixed"/>
                        <w:tblCellMar>
                          <w:top w:w="0" w:type="dxa"/>
                          <w:left w:w="0" w:type="dxa"/>
                          <w:bottom w:w="0" w:type="dxa"/>
                          <w:right w:w="0" w:type="dxa"/>
                        </w:tblCellMar>
                        <w:tblLook w:val="01E0"/>
                      </w:tblPr>
                      <w:tblGrid>
                        <w:gridCol w:w="4548"/>
                      </w:tblGrid>
                      <w:tr>
                        <w:trPr>
                          <w:trHeight w:val="355" w:hRule="atLeast"/>
                        </w:trPr>
                        <w:tc>
                          <w:tcPr>
                            <w:tcW w:w="4548" w:type="dxa"/>
                            <w:shd w:val="clear" w:color="auto" w:fill="82BF6A"/>
                          </w:tcPr>
                          <w:p>
                            <w:pPr>
                              <w:pStyle w:val="TableParagraph"/>
                              <w:spacing w:before="90"/>
                              <w:ind w:left="80"/>
                              <w:rPr>
                                <w:b/>
                                <w:sz w:val="20"/>
                              </w:rPr>
                            </w:pPr>
                            <w:r>
                              <w:rPr>
                                <w:b/>
                                <w:color w:val="FFFFFF"/>
                                <w:sz w:val="20"/>
                              </w:rPr>
                              <w:t>BIGGEST</w:t>
                            </w:r>
                            <w:r>
                              <w:rPr>
                                <w:b/>
                                <w:color w:val="FFFFFF"/>
                                <w:spacing w:val="-10"/>
                                <w:sz w:val="20"/>
                              </w:rPr>
                              <w:t> </w:t>
                            </w:r>
                            <w:r>
                              <w:rPr>
                                <w:b/>
                                <w:color w:val="FFFFFF"/>
                                <w:sz w:val="20"/>
                              </w:rPr>
                              <w:t>FEAR</w:t>
                            </w:r>
                            <w:r>
                              <w:rPr>
                                <w:b/>
                                <w:color w:val="FFFFFF"/>
                                <w:spacing w:val="-10"/>
                                <w:sz w:val="20"/>
                              </w:rPr>
                              <w:t> </w:t>
                            </w:r>
                            <w:r>
                              <w:rPr>
                                <w:b/>
                                <w:color w:val="FFFFFF"/>
                                <w:sz w:val="20"/>
                              </w:rPr>
                              <w:t>-</w:t>
                            </w:r>
                            <w:r>
                              <w:rPr>
                                <w:b/>
                                <w:color w:val="FFFFFF"/>
                                <w:spacing w:val="-9"/>
                                <w:sz w:val="20"/>
                              </w:rPr>
                              <w:t> </w:t>
                            </w:r>
                            <w:r>
                              <w:rPr>
                                <w:b/>
                                <w:color w:val="FFFFFF"/>
                                <w:sz w:val="20"/>
                              </w:rPr>
                              <w:t>FOR</w:t>
                            </w:r>
                            <w:r>
                              <w:rPr>
                                <w:b/>
                                <w:color w:val="FFFFFF"/>
                                <w:spacing w:val="-10"/>
                                <w:sz w:val="20"/>
                              </w:rPr>
                              <w:t> </w:t>
                            </w:r>
                            <w:r>
                              <w:rPr>
                                <w:b/>
                                <w:color w:val="FFFFFF"/>
                                <w:spacing w:val="-4"/>
                                <w:sz w:val="20"/>
                              </w:rPr>
                              <w:t>SELF</w:t>
                            </w:r>
                          </w:p>
                        </w:tc>
                      </w:tr>
                      <w:tr>
                        <w:trPr>
                          <w:trHeight w:val="355" w:hRule="atLeast"/>
                        </w:trPr>
                        <w:tc>
                          <w:tcPr>
                            <w:tcW w:w="4548" w:type="dxa"/>
                          </w:tcPr>
                          <w:p>
                            <w:pPr>
                              <w:pStyle w:val="TableParagraph"/>
                              <w:spacing w:before="90"/>
                              <w:ind w:left="79"/>
                              <w:rPr>
                                <w:sz w:val="20"/>
                              </w:rPr>
                            </w:pPr>
                            <w:r>
                              <w:rPr>
                                <w:color w:val="105C84"/>
                                <w:sz w:val="20"/>
                              </w:rPr>
                              <w:t>Mental</w:t>
                            </w:r>
                            <w:r>
                              <w:rPr>
                                <w:color w:val="105C84"/>
                                <w:spacing w:val="13"/>
                                <w:sz w:val="20"/>
                              </w:rPr>
                              <w:t> </w:t>
                            </w:r>
                            <w:r>
                              <w:rPr>
                                <w:color w:val="105C84"/>
                                <w:sz w:val="20"/>
                              </w:rPr>
                              <w:t>/</w:t>
                            </w:r>
                            <w:r>
                              <w:rPr>
                                <w:color w:val="105C84"/>
                                <w:spacing w:val="13"/>
                                <w:sz w:val="20"/>
                              </w:rPr>
                              <w:t> </w:t>
                            </w:r>
                            <w:r>
                              <w:rPr>
                                <w:color w:val="105C84"/>
                                <w:sz w:val="20"/>
                              </w:rPr>
                              <w:t>emotional</w:t>
                            </w:r>
                            <w:r>
                              <w:rPr>
                                <w:color w:val="105C84"/>
                                <w:spacing w:val="13"/>
                                <w:sz w:val="20"/>
                              </w:rPr>
                              <w:t> </w:t>
                            </w:r>
                            <w:r>
                              <w:rPr>
                                <w:color w:val="105C84"/>
                                <w:sz w:val="20"/>
                              </w:rPr>
                              <w:t>health</w:t>
                            </w:r>
                            <w:r>
                              <w:rPr>
                                <w:color w:val="105C84"/>
                                <w:spacing w:val="13"/>
                                <w:sz w:val="20"/>
                              </w:rPr>
                              <w:t> </w:t>
                            </w:r>
                            <w:r>
                              <w:rPr>
                                <w:color w:val="105C84"/>
                                <w:sz w:val="20"/>
                              </w:rPr>
                              <w:t>issues</w:t>
                            </w:r>
                            <w:r>
                              <w:rPr>
                                <w:color w:val="105C84"/>
                                <w:spacing w:val="13"/>
                                <w:sz w:val="20"/>
                              </w:rPr>
                              <w:t> </w:t>
                            </w:r>
                            <w:r>
                              <w:rPr>
                                <w:color w:val="105C84"/>
                                <w:spacing w:val="-2"/>
                                <w:sz w:val="20"/>
                              </w:rPr>
                              <w:t>(12.6%)</w:t>
                            </w:r>
                          </w:p>
                        </w:tc>
                      </w:tr>
                      <w:tr>
                        <w:trPr>
                          <w:trHeight w:val="355" w:hRule="atLeast"/>
                        </w:trPr>
                        <w:tc>
                          <w:tcPr>
                            <w:tcW w:w="4548" w:type="dxa"/>
                          </w:tcPr>
                          <w:p>
                            <w:pPr>
                              <w:pStyle w:val="TableParagraph"/>
                              <w:spacing w:before="90"/>
                              <w:ind w:left="79"/>
                              <w:rPr>
                                <w:sz w:val="20"/>
                              </w:rPr>
                            </w:pPr>
                            <w:r>
                              <w:rPr>
                                <w:color w:val="105C84"/>
                                <w:sz w:val="20"/>
                              </w:rPr>
                              <w:t>Cost</w:t>
                            </w:r>
                            <w:r>
                              <w:rPr>
                                <w:color w:val="105C84"/>
                                <w:spacing w:val="6"/>
                                <w:sz w:val="20"/>
                              </w:rPr>
                              <w:t> </w:t>
                            </w:r>
                            <w:r>
                              <w:rPr>
                                <w:color w:val="105C84"/>
                                <w:spacing w:val="-2"/>
                                <w:sz w:val="20"/>
                              </w:rPr>
                              <w:t>(10.7%)</w:t>
                            </w:r>
                          </w:p>
                        </w:tc>
                      </w:tr>
                      <w:tr>
                        <w:trPr>
                          <w:trHeight w:val="355" w:hRule="atLeast"/>
                        </w:trPr>
                        <w:tc>
                          <w:tcPr>
                            <w:tcW w:w="4548" w:type="dxa"/>
                          </w:tcPr>
                          <w:p>
                            <w:pPr>
                              <w:pStyle w:val="TableParagraph"/>
                              <w:spacing w:before="90"/>
                              <w:ind w:left="79"/>
                              <w:rPr>
                                <w:sz w:val="20"/>
                              </w:rPr>
                            </w:pPr>
                            <w:r>
                              <w:rPr>
                                <w:color w:val="105C84"/>
                                <w:sz w:val="20"/>
                              </w:rPr>
                              <w:t>Weight</w:t>
                            </w:r>
                            <w:r>
                              <w:rPr>
                                <w:color w:val="105C84"/>
                                <w:spacing w:val="27"/>
                                <w:sz w:val="20"/>
                              </w:rPr>
                              <w:t> </w:t>
                            </w:r>
                            <w:r>
                              <w:rPr>
                                <w:color w:val="105C84"/>
                                <w:spacing w:val="-2"/>
                                <w:sz w:val="20"/>
                              </w:rPr>
                              <w:t>(9.9%)</w:t>
                            </w:r>
                          </w:p>
                        </w:tc>
                      </w:tr>
                      <w:tr>
                        <w:trPr>
                          <w:trHeight w:val="355" w:hRule="atLeast"/>
                        </w:trPr>
                        <w:tc>
                          <w:tcPr>
                            <w:tcW w:w="4548" w:type="dxa"/>
                          </w:tcPr>
                          <w:p>
                            <w:pPr>
                              <w:pStyle w:val="TableParagraph"/>
                              <w:spacing w:before="90"/>
                              <w:ind w:left="79"/>
                              <w:rPr>
                                <w:sz w:val="20"/>
                              </w:rPr>
                            </w:pPr>
                            <w:r>
                              <w:rPr>
                                <w:color w:val="105C84"/>
                                <w:sz w:val="20"/>
                              </w:rPr>
                              <w:t>Aging</w:t>
                            </w:r>
                            <w:r>
                              <w:rPr>
                                <w:color w:val="105C84"/>
                                <w:spacing w:val="33"/>
                                <w:sz w:val="20"/>
                              </w:rPr>
                              <w:t> </w:t>
                            </w:r>
                            <w:r>
                              <w:rPr>
                                <w:color w:val="105C84"/>
                                <w:spacing w:val="-2"/>
                                <w:sz w:val="20"/>
                              </w:rPr>
                              <w:t>(8.8%)</w:t>
                            </w:r>
                          </w:p>
                        </w:tc>
                      </w:tr>
                      <w:tr>
                        <w:trPr>
                          <w:trHeight w:val="355" w:hRule="atLeast"/>
                        </w:trPr>
                        <w:tc>
                          <w:tcPr>
                            <w:tcW w:w="4548" w:type="dxa"/>
                          </w:tcPr>
                          <w:p>
                            <w:pPr>
                              <w:pStyle w:val="TableParagraph"/>
                              <w:spacing w:before="90"/>
                              <w:ind w:left="79"/>
                              <w:rPr>
                                <w:sz w:val="20"/>
                              </w:rPr>
                            </w:pPr>
                            <w:r>
                              <w:rPr>
                                <w:color w:val="105C84"/>
                                <w:sz w:val="20"/>
                              </w:rPr>
                              <w:t>Cancer</w:t>
                            </w:r>
                            <w:r>
                              <w:rPr>
                                <w:color w:val="105C84"/>
                                <w:spacing w:val="-10"/>
                                <w:sz w:val="20"/>
                              </w:rPr>
                              <w:t> </w:t>
                            </w:r>
                            <w:r>
                              <w:rPr>
                                <w:color w:val="105C84"/>
                                <w:spacing w:val="-2"/>
                                <w:sz w:val="20"/>
                              </w:rPr>
                              <w:t>(7.6%)</w:t>
                            </w:r>
                          </w:p>
                        </w:tc>
                      </w:tr>
                    </w:tbl>
                    <w:p>
                      <w:pPr>
                        <w:pStyle w:val="BodyText"/>
                      </w:pPr>
                    </w:p>
                  </w:txbxContent>
                </v:textbox>
                <w10:wrap type="topAndBottom"/>
              </v:shape>
            </w:pict>
          </mc:Fallback>
        </mc:AlternateContent>
      </w:r>
      <w:r>
        <w:rPr>
          <w:b/>
          <w:sz w:val="20"/>
        </w:rPr>
        <mc:AlternateContent>
          <mc:Choice Requires="wps">
            <w:drawing>
              <wp:anchor distT="0" distB="0" distL="0" distR="0" allowOverlap="1" layoutInCell="1" locked="0" behindDoc="1" simplePos="0" relativeHeight="487587840">
                <wp:simplePos x="0" y="0"/>
                <wp:positionH relativeFrom="page">
                  <wp:posOffset>3912044</wp:posOffset>
                </wp:positionH>
                <wp:positionV relativeFrom="paragraph">
                  <wp:posOffset>187900</wp:posOffset>
                </wp:positionV>
                <wp:extent cx="3037840" cy="1374775"/>
                <wp:effectExtent l="0" t="0" r="0" b="0"/>
                <wp:wrapTopAndBottom/>
                <wp:docPr id="971" name="Textbox 971"/>
                <wp:cNvGraphicFramePr>
                  <a:graphicFrameLocks/>
                </wp:cNvGraphicFramePr>
                <a:graphic>
                  <a:graphicData uri="http://schemas.microsoft.com/office/word/2010/wordprocessingShape">
                    <wps:wsp>
                      <wps:cNvPr id="971" name="Textbox 971"/>
                      <wps:cNvSpPr txBox="1"/>
                      <wps:spPr>
                        <a:xfrm>
                          <a:off x="0" y="0"/>
                          <a:ext cx="3037840" cy="1374775"/>
                        </a:xfrm>
                        <a:prstGeom prst="rect">
                          <a:avLst/>
                        </a:prstGeom>
                      </wps:spPr>
                      <wps:txbx>
                        <w:txbxContent>
                          <w:tbl>
                            <w:tblPr>
                              <w:tblW w:w="0" w:type="auto"/>
                              <w:jc w:val="left"/>
                              <w:tblInd w:w="2" w:type="dxa"/>
                              <w:tblBorders>
                                <w:top w:val="single" w:sz="2" w:space="0" w:color="636466"/>
                                <w:left w:val="single" w:sz="2" w:space="0" w:color="636466"/>
                                <w:bottom w:val="single" w:sz="2" w:space="0" w:color="636466"/>
                                <w:right w:val="single" w:sz="2" w:space="0" w:color="636466"/>
                                <w:insideH w:val="single" w:sz="2" w:space="0" w:color="636466"/>
                                <w:insideV w:val="single" w:sz="2" w:space="0" w:color="636466"/>
                              </w:tblBorders>
                              <w:tblLayout w:type="fixed"/>
                              <w:tblCellMar>
                                <w:top w:w="0" w:type="dxa"/>
                                <w:left w:w="0" w:type="dxa"/>
                                <w:bottom w:w="0" w:type="dxa"/>
                                <w:right w:w="0" w:type="dxa"/>
                              </w:tblCellMar>
                              <w:tblLook w:val="01E0"/>
                            </w:tblPr>
                            <w:tblGrid>
                              <w:gridCol w:w="4778"/>
                            </w:tblGrid>
                            <w:tr>
                              <w:trPr>
                                <w:trHeight w:val="355" w:hRule="atLeast"/>
                              </w:trPr>
                              <w:tc>
                                <w:tcPr>
                                  <w:tcW w:w="4778" w:type="dxa"/>
                                  <w:shd w:val="clear" w:color="auto" w:fill="00A79E"/>
                                </w:tcPr>
                                <w:p>
                                  <w:pPr>
                                    <w:pStyle w:val="TableParagraph"/>
                                    <w:spacing w:before="90"/>
                                    <w:ind w:left="79"/>
                                    <w:rPr>
                                      <w:b/>
                                      <w:sz w:val="20"/>
                                    </w:rPr>
                                  </w:pPr>
                                  <w:r>
                                    <w:rPr>
                                      <w:b/>
                                      <w:color w:val="FFFFFF"/>
                                      <w:spacing w:val="-2"/>
                                      <w:sz w:val="20"/>
                                    </w:rPr>
                                    <w:t>BIGGEST</w:t>
                                  </w:r>
                                  <w:r>
                                    <w:rPr>
                                      <w:b/>
                                      <w:color w:val="FFFFFF"/>
                                      <w:spacing w:val="-6"/>
                                      <w:sz w:val="20"/>
                                    </w:rPr>
                                    <w:t> </w:t>
                                  </w:r>
                                  <w:r>
                                    <w:rPr>
                                      <w:b/>
                                      <w:color w:val="FFFFFF"/>
                                      <w:spacing w:val="-2"/>
                                      <w:sz w:val="20"/>
                                    </w:rPr>
                                    <w:t>FEAR</w:t>
                                  </w:r>
                                  <w:r>
                                    <w:rPr>
                                      <w:b/>
                                      <w:color w:val="FFFFFF"/>
                                      <w:spacing w:val="-6"/>
                                      <w:sz w:val="20"/>
                                    </w:rPr>
                                    <w:t> </w:t>
                                  </w:r>
                                  <w:r>
                                    <w:rPr>
                                      <w:b/>
                                      <w:color w:val="FFFFFF"/>
                                      <w:spacing w:val="-2"/>
                                      <w:sz w:val="20"/>
                                    </w:rPr>
                                    <w:t>-FOR</w:t>
                                  </w:r>
                                  <w:r>
                                    <w:rPr>
                                      <w:b/>
                                      <w:color w:val="FFFFFF"/>
                                      <w:spacing w:val="-5"/>
                                      <w:sz w:val="20"/>
                                    </w:rPr>
                                    <w:t> </w:t>
                                  </w:r>
                                  <w:r>
                                    <w:rPr>
                                      <w:b/>
                                      <w:color w:val="FFFFFF"/>
                                      <w:spacing w:val="-2"/>
                                      <w:sz w:val="20"/>
                                    </w:rPr>
                                    <w:t>OTHERS</w:t>
                                  </w:r>
                                </w:p>
                              </w:tc>
                            </w:tr>
                            <w:tr>
                              <w:trPr>
                                <w:trHeight w:val="355" w:hRule="atLeast"/>
                              </w:trPr>
                              <w:tc>
                                <w:tcPr>
                                  <w:tcW w:w="4778" w:type="dxa"/>
                                </w:tcPr>
                                <w:p>
                                  <w:pPr>
                                    <w:pStyle w:val="TableParagraph"/>
                                    <w:spacing w:before="90"/>
                                    <w:ind w:left="79"/>
                                    <w:rPr>
                                      <w:sz w:val="20"/>
                                    </w:rPr>
                                  </w:pPr>
                                  <w:r>
                                    <w:rPr>
                                      <w:color w:val="105C84"/>
                                      <w:sz w:val="20"/>
                                    </w:rPr>
                                    <w:t>Cancer</w:t>
                                  </w:r>
                                  <w:r>
                                    <w:rPr>
                                      <w:color w:val="105C84"/>
                                      <w:spacing w:val="-10"/>
                                      <w:sz w:val="20"/>
                                    </w:rPr>
                                    <w:t> </w:t>
                                  </w:r>
                                  <w:r>
                                    <w:rPr>
                                      <w:color w:val="105C84"/>
                                      <w:spacing w:val="-2"/>
                                      <w:sz w:val="20"/>
                                    </w:rPr>
                                    <w:t>(12.8%)</w:t>
                                  </w:r>
                                </w:p>
                              </w:tc>
                            </w:tr>
                            <w:tr>
                              <w:trPr>
                                <w:trHeight w:val="355" w:hRule="atLeast"/>
                              </w:trPr>
                              <w:tc>
                                <w:tcPr>
                                  <w:tcW w:w="4778" w:type="dxa"/>
                                </w:tcPr>
                                <w:p>
                                  <w:pPr>
                                    <w:pStyle w:val="TableParagraph"/>
                                    <w:spacing w:before="90"/>
                                    <w:ind w:left="79"/>
                                    <w:rPr>
                                      <w:sz w:val="20"/>
                                    </w:rPr>
                                  </w:pPr>
                                  <w:r>
                                    <w:rPr>
                                      <w:color w:val="105C84"/>
                                      <w:sz w:val="20"/>
                                    </w:rPr>
                                    <w:t>Cost</w:t>
                                  </w:r>
                                  <w:r>
                                    <w:rPr>
                                      <w:color w:val="105C84"/>
                                      <w:spacing w:val="6"/>
                                      <w:sz w:val="20"/>
                                    </w:rPr>
                                    <w:t> </w:t>
                                  </w:r>
                                  <w:r>
                                    <w:rPr>
                                      <w:color w:val="105C84"/>
                                      <w:spacing w:val="-2"/>
                                      <w:sz w:val="20"/>
                                    </w:rPr>
                                    <w:t>(11.7%)</w:t>
                                  </w:r>
                                </w:p>
                              </w:tc>
                            </w:tr>
                            <w:tr>
                              <w:trPr>
                                <w:trHeight w:val="355" w:hRule="atLeast"/>
                              </w:trPr>
                              <w:tc>
                                <w:tcPr>
                                  <w:tcW w:w="4778" w:type="dxa"/>
                                </w:tcPr>
                                <w:p>
                                  <w:pPr>
                                    <w:pStyle w:val="TableParagraph"/>
                                    <w:spacing w:before="90"/>
                                    <w:ind w:left="79"/>
                                    <w:rPr>
                                      <w:sz w:val="20"/>
                                    </w:rPr>
                                  </w:pPr>
                                  <w:r>
                                    <w:rPr>
                                      <w:color w:val="105C84"/>
                                      <w:sz w:val="20"/>
                                    </w:rPr>
                                    <w:t>Mental</w:t>
                                  </w:r>
                                  <w:r>
                                    <w:rPr>
                                      <w:color w:val="105C84"/>
                                      <w:spacing w:val="13"/>
                                      <w:sz w:val="20"/>
                                    </w:rPr>
                                    <w:t> </w:t>
                                  </w:r>
                                  <w:r>
                                    <w:rPr>
                                      <w:color w:val="105C84"/>
                                      <w:sz w:val="20"/>
                                    </w:rPr>
                                    <w:t>/</w:t>
                                  </w:r>
                                  <w:r>
                                    <w:rPr>
                                      <w:color w:val="105C84"/>
                                      <w:spacing w:val="13"/>
                                      <w:sz w:val="20"/>
                                    </w:rPr>
                                    <w:t> </w:t>
                                  </w:r>
                                  <w:r>
                                    <w:rPr>
                                      <w:color w:val="105C84"/>
                                      <w:sz w:val="20"/>
                                    </w:rPr>
                                    <w:t>emotional</w:t>
                                  </w:r>
                                  <w:r>
                                    <w:rPr>
                                      <w:color w:val="105C84"/>
                                      <w:spacing w:val="13"/>
                                      <w:sz w:val="20"/>
                                    </w:rPr>
                                    <w:t> </w:t>
                                  </w:r>
                                  <w:r>
                                    <w:rPr>
                                      <w:color w:val="105C84"/>
                                      <w:sz w:val="20"/>
                                    </w:rPr>
                                    <w:t>health</w:t>
                                  </w:r>
                                  <w:r>
                                    <w:rPr>
                                      <w:color w:val="105C84"/>
                                      <w:spacing w:val="13"/>
                                      <w:sz w:val="20"/>
                                    </w:rPr>
                                    <w:t> </w:t>
                                  </w:r>
                                  <w:r>
                                    <w:rPr>
                                      <w:color w:val="105C84"/>
                                      <w:sz w:val="20"/>
                                    </w:rPr>
                                    <w:t>issues</w:t>
                                  </w:r>
                                  <w:r>
                                    <w:rPr>
                                      <w:color w:val="105C84"/>
                                      <w:spacing w:val="13"/>
                                      <w:sz w:val="20"/>
                                    </w:rPr>
                                    <w:t> </w:t>
                                  </w:r>
                                  <w:r>
                                    <w:rPr>
                                      <w:color w:val="105C84"/>
                                      <w:spacing w:val="-2"/>
                                      <w:sz w:val="20"/>
                                    </w:rPr>
                                    <w:t>(9.6%)</w:t>
                                  </w:r>
                                </w:p>
                              </w:tc>
                            </w:tr>
                            <w:tr>
                              <w:trPr>
                                <w:trHeight w:val="355" w:hRule="atLeast"/>
                              </w:trPr>
                              <w:tc>
                                <w:tcPr>
                                  <w:tcW w:w="4778" w:type="dxa"/>
                                </w:tcPr>
                                <w:p>
                                  <w:pPr>
                                    <w:pStyle w:val="TableParagraph"/>
                                    <w:spacing w:before="90"/>
                                    <w:ind w:left="79"/>
                                    <w:rPr>
                                      <w:sz w:val="20"/>
                                    </w:rPr>
                                  </w:pPr>
                                  <w:r>
                                    <w:rPr>
                                      <w:color w:val="105C84"/>
                                      <w:sz w:val="20"/>
                                    </w:rPr>
                                    <w:t>Diet</w:t>
                                  </w:r>
                                  <w:r>
                                    <w:rPr>
                                      <w:color w:val="105C84"/>
                                      <w:spacing w:val="30"/>
                                      <w:sz w:val="20"/>
                                    </w:rPr>
                                    <w:t> </w:t>
                                  </w:r>
                                  <w:r>
                                    <w:rPr>
                                      <w:color w:val="105C84"/>
                                      <w:sz w:val="20"/>
                                    </w:rPr>
                                    <w:t>/</w:t>
                                  </w:r>
                                  <w:r>
                                    <w:rPr>
                                      <w:color w:val="105C84"/>
                                      <w:spacing w:val="30"/>
                                      <w:sz w:val="20"/>
                                    </w:rPr>
                                    <w:t> </w:t>
                                  </w:r>
                                  <w:r>
                                    <w:rPr>
                                      <w:color w:val="105C84"/>
                                      <w:sz w:val="20"/>
                                    </w:rPr>
                                    <w:t>nutrition</w:t>
                                  </w:r>
                                  <w:r>
                                    <w:rPr>
                                      <w:color w:val="105C84"/>
                                      <w:spacing w:val="31"/>
                                      <w:sz w:val="20"/>
                                    </w:rPr>
                                    <w:t> </w:t>
                                  </w:r>
                                  <w:r>
                                    <w:rPr>
                                      <w:color w:val="105C84"/>
                                      <w:spacing w:val="-2"/>
                                      <w:sz w:val="20"/>
                                    </w:rPr>
                                    <w:t>(6.4%)</w:t>
                                  </w:r>
                                </w:p>
                              </w:tc>
                            </w:tr>
                            <w:tr>
                              <w:trPr>
                                <w:trHeight w:val="355" w:hRule="atLeast"/>
                              </w:trPr>
                              <w:tc>
                                <w:tcPr>
                                  <w:tcW w:w="4778" w:type="dxa"/>
                                </w:tcPr>
                                <w:p>
                                  <w:pPr>
                                    <w:pStyle w:val="TableParagraph"/>
                                    <w:spacing w:before="90"/>
                                    <w:ind w:left="79"/>
                                    <w:rPr>
                                      <w:sz w:val="20"/>
                                    </w:rPr>
                                  </w:pPr>
                                  <w:r>
                                    <w:rPr>
                                      <w:color w:val="105C84"/>
                                      <w:sz w:val="20"/>
                                    </w:rPr>
                                    <w:t>Heart</w:t>
                                  </w:r>
                                  <w:r>
                                    <w:rPr>
                                      <w:color w:val="105C84"/>
                                      <w:spacing w:val="22"/>
                                      <w:sz w:val="20"/>
                                    </w:rPr>
                                    <w:t> </w:t>
                                  </w:r>
                                  <w:r>
                                    <w:rPr>
                                      <w:color w:val="105C84"/>
                                      <w:sz w:val="20"/>
                                    </w:rPr>
                                    <w:t>conditions</w:t>
                                  </w:r>
                                  <w:r>
                                    <w:rPr>
                                      <w:color w:val="105C84"/>
                                      <w:spacing w:val="23"/>
                                      <w:sz w:val="20"/>
                                    </w:rPr>
                                    <w:t> </w:t>
                                  </w:r>
                                  <w:r>
                                    <w:rPr>
                                      <w:color w:val="105C84"/>
                                      <w:spacing w:val="-2"/>
                                      <w:sz w:val="20"/>
                                    </w:rPr>
                                    <w:t>(6.3%)</w:t>
                                  </w:r>
                                </w:p>
                              </w:tc>
                            </w:tr>
                          </w:tbl>
                          <w:p>
                            <w:pPr>
                              <w:pStyle w:val="BodyText"/>
                            </w:pPr>
                          </w:p>
                        </w:txbxContent>
                      </wps:txbx>
                      <wps:bodyPr wrap="square" lIns="0" tIns="0" rIns="0" bIns="0" rtlCol="0">
                        <a:noAutofit/>
                      </wps:bodyPr>
                    </wps:wsp>
                  </a:graphicData>
                </a:graphic>
              </wp:anchor>
            </w:drawing>
          </mc:Choice>
          <mc:Fallback>
            <w:pict>
              <v:shape style="position:absolute;margin-left:308.035004pt;margin-top:14.795337pt;width:239.2pt;height:108.25pt;mso-position-horizontal-relative:page;mso-position-vertical-relative:paragraph;z-index:-15728640;mso-wrap-distance-left:0;mso-wrap-distance-right:0" type="#_x0000_t202" id="docshape795" filled="false" stroked="false">
                <v:textbox inset="0,0,0,0">
                  <w:txbxContent>
                    <w:tbl>
                      <w:tblPr>
                        <w:tblW w:w="0" w:type="auto"/>
                        <w:jc w:val="left"/>
                        <w:tblInd w:w="2" w:type="dxa"/>
                        <w:tblBorders>
                          <w:top w:val="single" w:sz="2" w:space="0" w:color="636466"/>
                          <w:left w:val="single" w:sz="2" w:space="0" w:color="636466"/>
                          <w:bottom w:val="single" w:sz="2" w:space="0" w:color="636466"/>
                          <w:right w:val="single" w:sz="2" w:space="0" w:color="636466"/>
                          <w:insideH w:val="single" w:sz="2" w:space="0" w:color="636466"/>
                          <w:insideV w:val="single" w:sz="2" w:space="0" w:color="636466"/>
                        </w:tblBorders>
                        <w:tblLayout w:type="fixed"/>
                        <w:tblCellMar>
                          <w:top w:w="0" w:type="dxa"/>
                          <w:left w:w="0" w:type="dxa"/>
                          <w:bottom w:w="0" w:type="dxa"/>
                          <w:right w:w="0" w:type="dxa"/>
                        </w:tblCellMar>
                        <w:tblLook w:val="01E0"/>
                      </w:tblPr>
                      <w:tblGrid>
                        <w:gridCol w:w="4778"/>
                      </w:tblGrid>
                      <w:tr>
                        <w:trPr>
                          <w:trHeight w:val="355" w:hRule="atLeast"/>
                        </w:trPr>
                        <w:tc>
                          <w:tcPr>
                            <w:tcW w:w="4778" w:type="dxa"/>
                            <w:shd w:val="clear" w:color="auto" w:fill="00A79E"/>
                          </w:tcPr>
                          <w:p>
                            <w:pPr>
                              <w:pStyle w:val="TableParagraph"/>
                              <w:spacing w:before="90"/>
                              <w:ind w:left="79"/>
                              <w:rPr>
                                <w:b/>
                                <w:sz w:val="20"/>
                              </w:rPr>
                            </w:pPr>
                            <w:r>
                              <w:rPr>
                                <w:b/>
                                <w:color w:val="FFFFFF"/>
                                <w:spacing w:val="-2"/>
                                <w:sz w:val="20"/>
                              </w:rPr>
                              <w:t>BIGGEST</w:t>
                            </w:r>
                            <w:r>
                              <w:rPr>
                                <w:b/>
                                <w:color w:val="FFFFFF"/>
                                <w:spacing w:val="-6"/>
                                <w:sz w:val="20"/>
                              </w:rPr>
                              <w:t> </w:t>
                            </w:r>
                            <w:r>
                              <w:rPr>
                                <w:b/>
                                <w:color w:val="FFFFFF"/>
                                <w:spacing w:val="-2"/>
                                <w:sz w:val="20"/>
                              </w:rPr>
                              <w:t>FEAR</w:t>
                            </w:r>
                            <w:r>
                              <w:rPr>
                                <w:b/>
                                <w:color w:val="FFFFFF"/>
                                <w:spacing w:val="-6"/>
                                <w:sz w:val="20"/>
                              </w:rPr>
                              <w:t> </w:t>
                            </w:r>
                            <w:r>
                              <w:rPr>
                                <w:b/>
                                <w:color w:val="FFFFFF"/>
                                <w:spacing w:val="-2"/>
                                <w:sz w:val="20"/>
                              </w:rPr>
                              <w:t>-FOR</w:t>
                            </w:r>
                            <w:r>
                              <w:rPr>
                                <w:b/>
                                <w:color w:val="FFFFFF"/>
                                <w:spacing w:val="-5"/>
                                <w:sz w:val="20"/>
                              </w:rPr>
                              <w:t> </w:t>
                            </w:r>
                            <w:r>
                              <w:rPr>
                                <w:b/>
                                <w:color w:val="FFFFFF"/>
                                <w:spacing w:val="-2"/>
                                <w:sz w:val="20"/>
                              </w:rPr>
                              <w:t>OTHERS</w:t>
                            </w:r>
                          </w:p>
                        </w:tc>
                      </w:tr>
                      <w:tr>
                        <w:trPr>
                          <w:trHeight w:val="355" w:hRule="atLeast"/>
                        </w:trPr>
                        <w:tc>
                          <w:tcPr>
                            <w:tcW w:w="4778" w:type="dxa"/>
                          </w:tcPr>
                          <w:p>
                            <w:pPr>
                              <w:pStyle w:val="TableParagraph"/>
                              <w:spacing w:before="90"/>
                              <w:ind w:left="79"/>
                              <w:rPr>
                                <w:sz w:val="20"/>
                              </w:rPr>
                            </w:pPr>
                            <w:r>
                              <w:rPr>
                                <w:color w:val="105C84"/>
                                <w:sz w:val="20"/>
                              </w:rPr>
                              <w:t>Cancer</w:t>
                            </w:r>
                            <w:r>
                              <w:rPr>
                                <w:color w:val="105C84"/>
                                <w:spacing w:val="-10"/>
                                <w:sz w:val="20"/>
                              </w:rPr>
                              <w:t> </w:t>
                            </w:r>
                            <w:r>
                              <w:rPr>
                                <w:color w:val="105C84"/>
                                <w:spacing w:val="-2"/>
                                <w:sz w:val="20"/>
                              </w:rPr>
                              <w:t>(12.8%)</w:t>
                            </w:r>
                          </w:p>
                        </w:tc>
                      </w:tr>
                      <w:tr>
                        <w:trPr>
                          <w:trHeight w:val="355" w:hRule="atLeast"/>
                        </w:trPr>
                        <w:tc>
                          <w:tcPr>
                            <w:tcW w:w="4778" w:type="dxa"/>
                          </w:tcPr>
                          <w:p>
                            <w:pPr>
                              <w:pStyle w:val="TableParagraph"/>
                              <w:spacing w:before="90"/>
                              <w:ind w:left="79"/>
                              <w:rPr>
                                <w:sz w:val="20"/>
                              </w:rPr>
                            </w:pPr>
                            <w:r>
                              <w:rPr>
                                <w:color w:val="105C84"/>
                                <w:sz w:val="20"/>
                              </w:rPr>
                              <w:t>Cost</w:t>
                            </w:r>
                            <w:r>
                              <w:rPr>
                                <w:color w:val="105C84"/>
                                <w:spacing w:val="6"/>
                                <w:sz w:val="20"/>
                              </w:rPr>
                              <w:t> </w:t>
                            </w:r>
                            <w:r>
                              <w:rPr>
                                <w:color w:val="105C84"/>
                                <w:spacing w:val="-2"/>
                                <w:sz w:val="20"/>
                              </w:rPr>
                              <w:t>(11.7%)</w:t>
                            </w:r>
                          </w:p>
                        </w:tc>
                      </w:tr>
                      <w:tr>
                        <w:trPr>
                          <w:trHeight w:val="355" w:hRule="atLeast"/>
                        </w:trPr>
                        <w:tc>
                          <w:tcPr>
                            <w:tcW w:w="4778" w:type="dxa"/>
                          </w:tcPr>
                          <w:p>
                            <w:pPr>
                              <w:pStyle w:val="TableParagraph"/>
                              <w:spacing w:before="90"/>
                              <w:ind w:left="79"/>
                              <w:rPr>
                                <w:sz w:val="20"/>
                              </w:rPr>
                            </w:pPr>
                            <w:r>
                              <w:rPr>
                                <w:color w:val="105C84"/>
                                <w:sz w:val="20"/>
                              </w:rPr>
                              <w:t>Mental</w:t>
                            </w:r>
                            <w:r>
                              <w:rPr>
                                <w:color w:val="105C84"/>
                                <w:spacing w:val="13"/>
                                <w:sz w:val="20"/>
                              </w:rPr>
                              <w:t> </w:t>
                            </w:r>
                            <w:r>
                              <w:rPr>
                                <w:color w:val="105C84"/>
                                <w:sz w:val="20"/>
                              </w:rPr>
                              <w:t>/</w:t>
                            </w:r>
                            <w:r>
                              <w:rPr>
                                <w:color w:val="105C84"/>
                                <w:spacing w:val="13"/>
                                <w:sz w:val="20"/>
                              </w:rPr>
                              <w:t> </w:t>
                            </w:r>
                            <w:r>
                              <w:rPr>
                                <w:color w:val="105C84"/>
                                <w:sz w:val="20"/>
                              </w:rPr>
                              <w:t>emotional</w:t>
                            </w:r>
                            <w:r>
                              <w:rPr>
                                <w:color w:val="105C84"/>
                                <w:spacing w:val="13"/>
                                <w:sz w:val="20"/>
                              </w:rPr>
                              <w:t> </w:t>
                            </w:r>
                            <w:r>
                              <w:rPr>
                                <w:color w:val="105C84"/>
                                <w:sz w:val="20"/>
                              </w:rPr>
                              <w:t>health</w:t>
                            </w:r>
                            <w:r>
                              <w:rPr>
                                <w:color w:val="105C84"/>
                                <w:spacing w:val="13"/>
                                <w:sz w:val="20"/>
                              </w:rPr>
                              <w:t> </w:t>
                            </w:r>
                            <w:r>
                              <w:rPr>
                                <w:color w:val="105C84"/>
                                <w:sz w:val="20"/>
                              </w:rPr>
                              <w:t>issues</w:t>
                            </w:r>
                            <w:r>
                              <w:rPr>
                                <w:color w:val="105C84"/>
                                <w:spacing w:val="13"/>
                                <w:sz w:val="20"/>
                              </w:rPr>
                              <w:t> </w:t>
                            </w:r>
                            <w:r>
                              <w:rPr>
                                <w:color w:val="105C84"/>
                                <w:spacing w:val="-2"/>
                                <w:sz w:val="20"/>
                              </w:rPr>
                              <w:t>(9.6%)</w:t>
                            </w:r>
                          </w:p>
                        </w:tc>
                      </w:tr>
                      <w:tr>
                        <w:trPr>
                          <w:trHeight w:val="355" w:hRule="atLeast"/>
                        </w:trPr>
                        <w:tc>
                          <w:tcPr>
                            <w:tcW w:w="4778" w:type="dxa"/>
                          </w:tcPr>
                          <w:p>
                            <w:pPr>
                              <w:pStyle w:val="TableParagraph"/>
                              <w:spacing w:before="90"/>
                              <w:ind w:left="79"/>
                              <w:rPr>
                                <w:sz w:val="20"/>
                              </w:rPr>
                            </w:pPr>
                            <w:r>
                              <w:rPr>
                                <w:color w:val="105C84"/>
                                <w:sz w:val="20"/>
                              </w:rPr>
                              <w:t>Diet</w:t>
                            </w:r>
                            <w:r>
                              <w:rPr>
                                <w:color w:val="105C84"/>
                                <w:spacing w:val="30"/>
                                <w:sz w:val="20"/>
                              </w:rPr>
                              <w:t> </w:t>
                            </w:r>
                            <w:r>
                              <w:rPr>
                                <w:color w:val="105C84"/>
                                <w:sz w:val="20"/>
                              </w:rPr>
                              <w:t>/</w:t>
                            </w:r>
                            <w:r>
                              <w:rPr>
                                <w:color w:val="105C84"/>
                                <w:spacing w:val="30"/>
                                <w:sz w:val="20"/>
                              </w:rPr>
                              <w:t> </w:t>
                            </w:r>
                            <w:r>
                              <w:rPr>
                                <w:color w:val="105C84"/>
                                <w:sz w:val="20"/>
                              </w:rPr>
                              <w:t>nutrition</w:t>
                            </w:r>
                            <w:r>
                              <w:rPr>
                                <w:color w:val="105C84"/>
                                <w:spacing w:val="31"/>
                                <w:sz w:val="20"/>
                              </w:rPr>
                              <w:t> </w:t>
                            </w:r>
                            <w:r>
                              <w:rPr>
                                <w:color w:val="105C84"/>
                                <w:spacing w:val="-2"/>
                                <w:sz w:val="20"/>
                              </w:rPr>
                              <w:t>(6.4%)</w:t>
                            </w:r>
                          </w:p>
                        </w:tc>
                      </w:tr>
                      <w:tr>
                        <w:trPr>
                          <w:trHeight w:val="355" w:hRule="atLeast"/>
                        </w:trPr>
                        <w:tc>
                          <w:tcPr>
                            <w:tcW w:w="4778" w:type="dxa"/>
                          </w:tcPr>
                          <w:p>
                            <w:pPr>
                              <w:pStyle w:val="TableParagraph"/>
                              <w:spacing w:before="90"/>
                              <w:ind w:left="79"/>
                              <w:rPr>
                                <w:sz w:val="20"/>
                              </w:rPr>
                            </w:pPr>
                            <w:r>
                              <w:rPr>
                                <w:color w:val="105C84"/>
                                <w:sz w:val="20"/>
                              </w:rPr>
                              <w:t>Heart</w:t>
                            </w:r>
                            <w:r>
                              <w:rPr>
                                <w:color w:val="105C84"/>
                                <w:spacing w:val="22"/>
                                <w:sz w:val="20"/>
                              </w:rPr>
                              <w:t> </w:t>
                            </w:r>
                            <w:r>
                              <w:rPr>
                                <w:color w:val="105C84"/>
                                <w:sz w:val="20"/>
                              </w:rPr>
                              <w:t>conditions</w:t>
                            </w:r>
                            <w:r>
                              <w:rPr>
                                <w:color w:val="105C84"/>
                                <w:spacing w:val="23"/>
                                <w:sz w:val="20"/>
                              </w:rPr>
                              <w:t> </w:t>
                            </w:r>
                            <w:r>
                              <w:rPr>
                                <w:color w:val="105C84"/>
                                <w:spacing w:val="-2"/>
                                <w:sz w:val="20"/>
                              </w:rPr>
                              <w:t>(6.3%)</w:t>
                            </w:r>
                          </w:p>
                        </w:tc>
                      </w:tr>
                    </w:tbl>
                    <w:p>
                      <w:pPr>
                        <w:pStyle w:val="BodyText"/>
                      </w:pPr>
                    </w:p>
                  </w:txbxContent>
                </v:textbox>
                <w10:wrap type="topAndBottom"/>
              </v:shape>
            </w:pict>
          </mc:Fallback>
        </mc:AlternateContent>
      </w:r>
      <w:r>
        <w:rPr>
          <w:b/>
          <w:sz w:val="20"/>
        </w:rPr>
        <mc:AlternateContent>
          <mc:Choice Requires="wps">
            <w:drawing>
              <wp:anchor distT="0" distB="0" distL="0" distR="0" allowOverlap="1" layoutInCell="1" locked="0" behindDoc="1" simplePos="0" relativeHeight="487587840">
                <wp:simplePos x="0" y="0"/>
                <wp:positionH relativeFrom="page">
                  <wp:posOffset>676655</wp:posOffset>
                </wp:positionH>
                <wp:positionV relativeFrom="paragraph">
                  <wp:posOffset>1672213</wp:posOffset>
                </wp:positionV>
                <wp:extent cx="2891155" cy="1374775"/>
                <wp:effectExtent l="0" t="0" r="0" b="0"/>
                <wp:wrapTopAndBottom/>
                <wp:docPr id="972" name="Textbox 972"/>
                <wp:cNvGraphicFramePr>
                  <a:graphicFrameLocks/>
                </wp:cNvGraphicFramePr>
                <a:graphic>
                  <a:graphicData uri="http://schemas.microsoft.com/office/word/2010/wordprocessingShape">
                    <wps:wsp>
                      <wps:cNvPr id="972" name="Textbox 972"/>
                      <wps:cNvSpPr txBox="1"/>
                      <wps:spPr>
                        <a:xfrm>
                          <a:off x="0" y="0"/>
                          <a:ext cx="2891155" cy="1374775"/>
                        </a:xfrm>
                        <a:prstGeom prst="rect">
                          <a:avLst/>
                        </a:prstGeom>
                      </wps:spPr>
                      <wps:txbx>
                        <w:txbxContent>
                          <w:tbl>
                            <w:tblPr>
                              <w:tblW w:w="0" w:type="auto"/>
                              <w:jc w:val="left"/>
                              <w:tblInd w:w="2" w:type="dxa"/>
                              <w:tblBorders>
                                <w:top w:val="single" w:sz="2" w:space="0" w:color="636466"/>
                                <w:left w:val="single" w:sz="2" w:space="0" w:color="636466"/>
                                <w:bottom w:val="single" w:sz="2" w:space="0" w:color="636466"/>
                                <w:right w:val="single" w:sz="2" w:space="0" w:color="636466"/>
                                <w:insideH w:val="single" w:sz="2" w:space="0" w:color="636466"/>
                                <w:insideV w:val="single" w:sz="2" w:space="0" w:color="636466"/>
                              </w:tblBorders>
                              <w:tblLayout w:type="fixed"/>
                              <w:tblCellMar>
                                <w:top w:w="0" w:type="dxa"/>
                                <w:left w:w="0" w:type="dxa"/>
                                <w:bottom w:w="0" w:type="dxa"/>
                                <w:right w:w="0" w:type="dxa"/>
                              </w:tblCellMar>
                              <w:tblLook w:val="01E0"/>
                            </w:tblPr>
                            <w:tblGrid>
                              <w:gridCol w:w="4548"/>
                            </w:tblGrid>
                            <w:tr>
                              <w:trPr>
                                <w:trHeight w:val="355" w:hRule="atLeast"/>
                              </w:trPr>
                              <w:tc>
                                <w:tcPr>
                                  <w:tcW w:w="4548" w:type="dxa"/>
                                  <w:shd w:val="clear" w:color="auto" w:fill="939598"/>
                                </w:tcPr>
                                <w:p>
                                  <w:pPr>
                                    <w:pStyle w:val="TableParagraph"/>
                                    <w:spacing w:before="90"/>
                                    <w:ind w:left="79"/>
                                    <w:rPr>
                                      <w:b/>
                                      <w:sz w:val="20"/>
                                    </w:rPr>
                                  </w:pPr>
                                  <w:r>
                                    <w:rPr>
                                      <w:b/>
                                      <w:color w:val="FFFFFF"/>
                                      <w:sz w:val="20"/>
                                    </w:rPr>
                                    <w:t>COUNTY</w:t>
                                  </w:r>
                                  <w:r>
                                    <w:rPr>
                                      <w:b/>
                                      <w:color w:val="FFFFFF"/>
                                      <w:spacing w:val="2"/>
                                      <w:sz w:val="20"/>
                                    </w:rPr>
                                    <w:t> </w:t>
                                  </w:r>
                                  <w:r>
                                    <w:rPr>
                                      <w:b/>
                                      <w:color w:val="FFFFFF"/>
                                      <w:sz w:val="20"/>
                                    </w:rPr>
                                    <w:t>PRIORITY</w:t>
                                  </w:r>
                                  <w:r>
                                    <w:rPr>
                                      <w:b/>
                                      <w:color w:val="FFFFFF"/>
                                      <w:spacing w:val="3"/>
                                      <w:sz w:val="20"/>
                                    </w:rPr>
                                    <w:t> </w:t>
                                  </w:r>
                                  <w:r>
                                    <w:rPr>
                                      <w:b/>
                                      <w:color w:val="FFFFFF"/>
                                      <w:sz w:val="20"/>
                                    </w:rPr>
                                    <w:t>-</w:t>
                                  </w:r>
                                  <w:r>
                                    <w:rPr>
                                      <w:b/>
                                      <w:color w:val="FFFFFF"/>
                                      <w:spacing w:val="2"/>
                                      <w:sz w:val="20"/>
                                    </w:rPr>
                                    <w:t> </w:t>
                                  </w:r>
                                  <w:r>
                                    <w:rPr>
                                      <w:b/>
                                      <w:color w:val="FFFFFF"/>
                                      <w:sz w:val="20"/>
                                    </w:rPr>
                                    <w:t>FOR</w:t>
                                  </w:r>
                                  <w:r>
                                    <w:rPr>
                                      <w:b/>
                                      <w:color w:val="FFFFFF"/>
                                      <w:spacing w:val="3"/>
                                      <w:sz w:val="20"/>
                                    </w:rPr>
                                    <w:t> </w:t>
                                  </w:r>
                                  <w:r>
                                    <w:rPr>
                                      <w:b/>
                                      <w:color w:val="FFFFFF"/>
                                      <w:spacing w:val="-2"/>
                                      <w:sz w:val="20"/>
                                    </w:rPr>
                                    <w:t>ADULTS</w:t>
                                  </w:r>
                                </w:p>
                              </w:tc>
                            </w:tr>
                            <w:tr>
                              <w:trPr>
                                <w:trHeight w:val="355" w:hRule="atLeast"/>
                              </w:trPr>
                              <w:tc>
                                <w:tcPr>
                                  <w:tcW w:w="4548" w:type="dxa"/>
                                </w:tcPr>
                                <w:p>
                                  <w:pPr>
                                    <w:pStyle w:val="TableParagraph"/>
                                    <w:spacing w:before="90"/>
                                    <w:ind w:left="79"/>
                                    <w:rPr>
                                      <w:sz w:val="20"/>
                                    </w:rPr>
                                  </w:pPr>
                                  <w:r>
                                    <w:rPr>
                                      <w:color w:val="105C84"/>
                                      <w:sz w:val="20"/>
                                    </w:rPr>
                                    <w:t>Substance</w:t>
                                  </w:r>
                                  <w:r>
                                    <w:rPr>
                                      <w:color w:val="105C84"/>
                                      <w:spacing w:val="-11"/>
                                      <w:sz w:val="20"/>
                                    </w:rPr>
                                    <w:t> </w:t>
                                  </w:r>
                                  <w:r>
                                    <w:rPr>
                                      <w:color w:val="105C84"/>
                                      <w:sz w:val="20"/>
                                    </w:rPr>
                                    <w:t>abuse</w:t>
                                  </w:r>
                                  <w:r>
                                    <w:rPr>
                                      <w:color w:val="105C84"/>
                                      <w:spacing w:val="-10"/>
                                      <w:sz w:val="20"/>
                                    </w:rPr>
                                    <w:t> </w:t>
                                  </w:r>
                                  <w:r>
                                    <w:rPr>
                                      <w:color w:val="105C84"/>
                                      <w:spacing w:val="-2"/>
                                      <w:sz w:val="20"/>
                                    </w:rPr>
                                    <w:t>(19.3%)</w:t>
                                  </w:r>
                                </w:p>
                              </w:tc>
                            </w:tr>
                            <w:tr>
                              <w:trPr>
                                <w:trHeight w:val="355" w:hRule="atLeast"/>
                              </w:trPr>
                              <w:tc>
                                <w:tcPr>
                                  <w:tcW w:w="4548" w:type="dxa"/>
                                </w:tcPr>
                                <w:p>
                                  <w:pPr>
                                    <w:pStyle w:val="TableParagraph"/>
                                    <w:spacing w:before="90"/>
                                    <w:ind w:left="79"/>
                                    <w:rPr>
                                      <w:sz w:val="20"/>
                                    </w:rPr>
                                  </w:pPr>
                                  <w:r>
                                    <w:rPr>
                                      <w:color w:val="105C84"/>
                                      <w:sz w:val="20"/>
                                    </w:rPr>
                                    <w:t>Weight</w:t>
                                  </w:r>
                                  <w:r>
                                    <w:rPr>
                                      <w:color w:val="105C84"/>
                                      <w:spacing w:val="27"/>
                                      <w:sz w:val="20"/>
                                    </w:rPr>
                                    <w:t> </w:t>
                                  </w:r>
                                  <w:r>
                                    <w:rPr>
                                      <w:color w:val="105C84"/>
                                      <w:spacing w:val="-2"/>
                                      <w:sz w:val="20"/>
                                    </w:rPr>
                                    <w:t>(14.4%)</w:t>
                                  </w:r>
                                </w:p>
                              </w:tc>
                            </w:tr>
                            <w:tr>
                              <w:trPr>
                                <w:trHeight w:val="355" w:hRule="atLeast"/>
                              </w:trPr>
                              <w:tc>
                                <w:tcPr>
                                  <w:tcW w:w="4548" w:type="dxa"/>
                                </w:tcPr>
                                <w:p>
                                  <w:pPr>
                                    <w:pStyle w:val="TableParagraph"/>
                                    <w:spacing w:before="90"/>
                                    <w:ind w:left="79"/>
                                    <w:rPr>
                                      <w:sz w:val="20"/>
                                    </w:rPr>
                                  </w:pPr>
                                  <w:r>
                                    <w:rPr>
                                      <w:color w:val="105C84"/>
                                      <w:sz w:val="20"/>
                                    </w:rPr>
                                    <w:t>Mental</w:t>
                                  </w:r>
                                  <w:r>
                                    <w:rPr>
                                      <w:color w:val="105C84"/>
                                      <w:spacing w:val="13"/>
                                      <w:sz w:val="20"/>
                                    </w:rPr>
                                    <w:t> </w:t>
                                  </w:r>
                                  <w:r>
                                    <w:rPr>
                                      <w:color w:val="105C84"/>
                                      <w:sz w:val="20"/>
                                    </w:rPr>
                                    <w:t>/</w:t>
                                  </w:r>
                                  <w:r>
                                    <w:rPr>
                                      <w:color w:val="105C84"/>
                                      <w:spacing w:val="13"/>
                                      <w:sz w:val="20"/>
                                    </w:rPr>
                                    <w:t> </w:t>
                                  </w:r>
                                  <w:r>
                                    <w:rPr>
                                      <w:color w:val="105C84"/>
                                      <w:sz w:val="20"/>
                                    </w:rPr>
                                    <w:t>emotional</w:t>
                                  </w:r>
                                  <w:r>
                                    <w:rPr>
                                      <w:color w:val="105C84"/>
                                      <w:spacing w:val="13"/>
                                      <w:sz w:val="20"/>
                                    </w:rPr>
                                    <w:t> </w:t>
                                  </w:r>
                                  <w:r>
                                    <w:rPr>
                                      <w:color w:val="105C84"/>
                                      <w:sz w:val="20"/>
                                    </w:rPr>
                                    <w:t>health</w:t>
                                  </w:r>
                                  <w:r>
                                    <w:rPr>
                                      <w:color w:val="105C84"/>
                                      <w:spacing w:val="13"/>
                                      <w:sz w:val="20"/>
                                    </w:rPr>
                                    <w:t> </w:t>
                                  </w:r>
                                  <w:r>
                                    <w:rPr>
                                      <w:color w:val="105C84"/>
                                      <w:sz w:val="20"/>
                                    </w:rPr>
                                    <w:t>issues</w:t>
                                  </w:r>
                                  <w:r>
                                    <w:rPr>
                                      <w:color w:val="105C84"/>
                                      <w:spacing w:val="13"/>
                                      <w:sz w:val="20"/>
                                    </w:rPr>
                                    <w:t> </w:t>
                                  </w:r>
                                  <w:r>
                                    <w:rPr>
                                      <w:color w:val="105C84"/>
                                      <w:spacing w:val="-2"/>
                                      <w:sz w:val="20"/>
                                    </w:rPr>
                                    <w:t>(14.2%)</w:t>
                                  </w:r>
                                </w:p>
                              </w:tc>
                            </w:tr>
                            <w:tr>
                              <w:trPr>
                                <w:trHeight w:val="355" w:hRule="atLeast"/>
                              </w:trPr>
                              <w:tc>
                                <w:tcPr>
                                  <w:tcW w:w="4548" w:type="dxa"/>
                                </w:tcPr>
                                <w:p>
                                  <w:pPr>
                                    <w:pStyle w:val="TableParagraph"/>
                                    <w:spacing w:before="90"/>
                                    <w:ind w:left="79"/>
                                    <w:rPr>
                                      <w:sz w:val="20"/>
                                    </w:rPr>
                                  </w:pPr>
                                  <w:r>
                                    <w:rPr>
                                      <w:color w:val="105C84"/>
                                      <w:sz w:val="20"/>
                                    </w:rPr>
                                    <w:t>Cost</w:t>
                                  </w:r>
                                  <w:r>
                                    <w:rPr>
                                      <w:color w:val="105C84"/>
                                      <w:spacing w:val="6"/>
                                      <w:sz w:val="20"/>
                                    </w:rPr>
                                    <w:t> </w:t>
                                  </w:r>
                                  <w:r>
                                    <w:rPr>
                                      <w:color w:val="105C84"/>
                                      <w:spacing w:val="-2"/>
                                      <w:sz w:val="20"/>
                                    </w:rPr>
                                    <w:t>(13.5%)</w:t>
                                  </w:r>
                                </w:p>
                              </w:tc>
                            </w:tr>
                            <w:tr>
                              <w:trPr>
                                <w:trHeight w:val="355" w:hRule="atLeast"/>
                              </w:trPr>
                              <w:tc>
                                <w:tcPr>
                                  <w:tcW w:w="4548" w:type="dxa"/>
                                </w:tcPr>
                                <w:p>
                                  <w:pPr>
                                    <w:pStyle w:val="TableParagraph"/>
                                    <w:spacing w:before="90"/>
                                    <w:ind w:left="79"/>
                                    <w:rPr>
                                      <w:sz w:val="20"/>
                                    </w:rPr>
                                  </w:pPr>
                                  <w:r>
                                    <w:rPr>
                                      <w:color w:val="105C84"/>
                                      <w:sz w:val="20"/>
                                    </w:rPr>
                                    <w:t>Diet</w:t>
                                  </w:r>
                                  <w:r>
                                    <w:rPr>
                                      <w:color w:val="105C84"/>
                                      <w:spacing w:val="30"/>
                                      <w:sz w:val="20"/>
                                    </w:rPr>
                                    <w:t> </w:t>
                                  </w:r>
                                  <w:r>
                                    <w:rPr>
                                      <w:color w:val="105C84"/>
                                      <w:sz w:val="20"/>
                                    </w:rPr>
                                    <w:t>/</w:t>
                                  </w:r>
                                  <w:r>
                                    <w:rPr>
                                      <w:color w:val="105C84"/>
                                      <w:spacing w:val="30"/>
                                      <w:sz w:val="20"/>
                                    </w:rPr>
                                    <w:t> </w:t>
                                  </w:r>
                                  <w:r>
                                    <w:rPr>
                                      <w:color w:val="105C84"/>
                                      <w:sz w:val="20"/>
                                    </w:rPr>
                                    <w:t>nutrition</w:t>
                                  </w:r>
                                  <w:r>
                                    <w:rPr>
                                      <w:color w:val="105C84"/>
                                      <w:spacing w:val="31"/>
                                      <w:sz w:val="20"/>
                                    </w:rPr>
                                    <w:t> </w:t>
                                  </w:r>
                                  <w:r>
                                    <w:rPr>
                                      <w:color w:val="105C84"/>
                                      <w:spacing w:val="-2"/>
                                      <w:sz w:val="20"/>
                                    </w:rPr>
                                    <w:t>(11.1%)</w:t>
                                  </w:r>
                                </w:p>
                              </w:tc>
                            </w:tr>
                          </w:tbl>
                          <w:p>
                            <w:pPr>
                              <w:pStyle w:val="BodyText"/>
                            </w:pPr>
                          </w:p>
                        </w:txbxContent>
                      </wps:txbx>
                      <wps:bodyPr wrap="square" lIns="0" tIns="0" rIns="0" bIns="0" rtlCol="0">
                        <a:noAutofit/>
                      </wps:bodyPr>
                    </wps:wsp>
                  </a:graphicData>
                </a:graphic>
              </wp:anchor>
            </w:drawing>
          </mc:Choice>
          <mc:Fallback>
            <w:pict>
              <v:shape style="position:absolute;margin-left:53.279999pt;margin-top:131.670334pt;width:227.65pt;height:108.25pt;mso-position-horizontal-relative:page;mso-position-vertical-relative:paragraph;z-index:-15728640;mso-wrap-distance-left:0;mso-wrap-distance-right:0" type="#_x0000_t202" id="docshape796" filled="false" stroked="false">
                <v:textbox inset="0,0,0,0">
                  <w:txbxContent>
                    <w:tbl>
                      <w:tblPr>
                        <w:tblW w:w="0" w:type="auto"/>
                        <w:jc w:val="left"/>
                        <w:tblInd w:w="2" w:type="dxa"/>
                        <w:tblBorders>
                          <w:top w:val="single" w:sz="2" w:space="0" w:color="636466"/>
                          <w:left w:val="single" w:sz="2" w:space="0" w:color="636466"/>
                          <w:bottom w:val="single" w:sz="2" w:space="0" w:color="636466"/>
                          <w:right w:val="single" w:sz="2" w:space="0" w:color="636466"/>
                          <w:insideH w:val="single" w:sz="2" w:space="0" w:color="636466"/>
                          <w:insideV w:val="single" w:sz="2" w:space="0" w:color="636466"/>
                        </w:tblBorders>
                        <w:tblLayout w:type="fixed"/>
                        <w:tblCellMar>
                          <w:top w:w="0" w:type="dxa"/>
                          <w:left w:w="0" w:type="dxa"/>
                          <w:bottom w:w="0" w:type="dxa"/>
                          <w:right w:w="0" w:type="dxa"/>
                        </w:tblCellMar>
                        <w:tblLook w:val="01E0"/>
                      </w:tblPr>
                      <w:tblGrid>
                        <w:gridCol w:w="4548"/>
                      </w:tblGrid>
                      <w:tr>
                        <w:trPr>
                          <w:trHeight w:val="355" w:hRule="atLeast"/>
                        </w:trPr>
                        <w:tc>
                          <w:tcPr>
                            <w:tcW w:w="4548" w:type="dxa"/>
                            <w:shd w:val="clear" w:color="auto" w:fill="939598"/>
                          </w:tcPr>
                          <w:p>
                            <w:pPr>
                              <w:pStyle w:val="TableParagraph"/>
                              <w:spacing w:before="90"/>
                              <w:ind w:left="79"/>
                              <w:rPr>
                                <w:b/>
                                <w:sz w:val="20"/>
                              </w:rPr>
                            </w:pPr>
                            <w:r>
                              <w:rPr>
                                <w:b/>
                                <w:color w:val="FFFFFF"/>
                                <w:sz w:val="20"/>
                              </w:rPr>
                              <w:t>COUNTY</w:t>
                            </w:r>
                            <w:r>
                              <w:rPr>
                                <w:b/>
                                <w:color w:val="FFFFFF"/>
                                <w:spacing w:val="2"/>
                                <w:sz w:val="20"/>
                              </w:rPr>
                              <w:t> </w:t>
                            </w:r>
                            <w:r>
                              <w:rPr>
                                <w:b/>
                                <w:color w:val="FFFFFF"/>
                                <w:sz w:val="20"/>
                              </w:rPr>
                              <w:t>PRIORITY</w:t>
                            </w:r>
                            <w:r>
                              <w:rPr>
                                <w:b/>
                                <w:color w:val="FFFFFF"/>
                                <w:spacing w:val="3"/>
                                <w:sz w:val="20"/>
                              </w:rPr>
                              <w:t> </w:t>
                            </w:r>
                            <w:r>
                              <w:rPr>
                                <w:b/>
                                <w:color w:val="FFFFFF"/>
                                <w:sz w:val="20"/>
                              </w:rPr>
                              <w:t>-</w:t>
                            </w:r>
                            <w:r>
                              <w:rPr>
                                <w:b/>
                                <w:color w:val="FFFFFF"/>
                                <w:spacing w:val="2"/>
                                <w:sz w:val="20"/>
                              </w:rPr>
                              <w:t> </w:t>
                            </w:r>
                            <w:r>
                              <w:rPr>
                                <w:b/>
                                <w:color w:val="FFFFFF"/>
                                <w:sz w:val="20"/>
                              </w:rPr>
                              <w:t>FOR</w:t>
                            </w:r>
                            <w:r>
                              <w:rPr>
                                <w:b/>
                                <w:color w:val="FFFFFF"/>
                                <w:spacing w:val="3"/>
                                <w:sz w:val="20"/>
                              </w:rPr>
                              <w:t> </w:t>
                            </w:r>
                            <w:r>
                              <w:rPr>
                                <w:b/>
                                <w:color w:val="FFFFFF"/>
                                <w:spacing w:val="-2"/>
                                <w:sz w:val="20"/>
                              </w:rPr>
                              <w:t>ADULTS</w:t>
                            </w:r>
                          </w:p>
                        </w:tc>
                      </w:tr>
                      <w:tr>
                        <w:trPr>
                          <w:trHeight w:val="355" w:hRule="atLeast"/>
                        </w:trPr>
                        <w:tc>
                          <w:tcPr>
                            <w:tcW w:w="4548" w:type="dxa"/>
                          </w:tcPr>
                          <w:p>
                            <w:pPr>
                              <w:pStyle w:val="TableParagraph"/>
                              <w:spacing w:before="90"/>
                              <w:ind w:left="79"/>
                              <w:rPr>
                                <w:sz w:val="20"/>
                              </w:rPr>
                            </w:pPr>
                            <w:r>
                              <w:rPr>
                                <w:color w:val="105C84"/>
                                <w:sz w:val="20"/>
                              </w:rPr>
                              <w:t>Substance</w:t>
                            </w:r>
                            <w:r>
                              <w:rPr>
                                <w:color w:val="105C84"/>
                                <w:spacing w:val="-11"/>
                                <w:sz w:val="20"/>
                              </w:rPr>
                              <w:t> </w:t>
                            </w:r>
                            <w:r>
                              <w:rPr>
                                <w:color w:val="105C84"/>
                                <w:sz w:val="20"/>
                              </w:rPr>
                              <w:t>abuse</w:t>
                            </w:r>
                            <w:r>
                              <w:rPr>
                                <w:color w:val="105C84"/>
                                <w:spacing w:val="-10"/>
                                <w:sz w:val="20"/>
                              </w:rPr>
                              <w:t> </w:t>
                            </w:r>
                            <w:r>
                              <w:rPr>
                                <w:color w:val="105C84"/>
                                <w:spacing w:val="-2"/>
                                <w:sz w:val="20"/>
                              </w:rPr>
                              <w:t>(19.3%)</w:t>
                            </w:r>
                          </w:p>
                        </w:tc>
                      </w:tr>
                      <w:tr>
                        <w:trPr>
                          <w:trHeight w:val="355" w:hRule="atLeast"/>
                        </w:trPr>
                        <w:tc>
                          <w:tcPr>
                            <w:tcW w:w="4548" w:type="dxa"/>
                          </w:tcPr>
                          <w:p>
                            <w:pPr>
                              <w:pStyle w:val="TableParagraph"/>
                              <w:spacing w:before="90"/>
                              <w:ind w:left="79"/>
                              <w:rPr>
                                <w:sz w:val="20"/>
                              </w:rPr>
                            </w:pPr>
                            <w:r>
                              <w:rPr>
                                <w:color w:val="105C84"/>
                                <w:sz w:val="20"/>
                              </w:rPr>
                              <w:t>Weight</w:t>
                            </w:r>
                            <w:r>
                              <w:rPr>
                                <w:color w:val="105C84"/>
                                <w:spacing w:val="27"/>
                                <w:sz w:val="20"/>
                              </w:rPr>
                              <w:t> </w:t>
                            </w:r>
                            <w:r>
                              <w:rPr>
                                <w:color w:val="105C84"/>
                                <w:spacing w:val="-2"/>
                                <w:sz w:val="20"/>
                              </w:rPr>
                              <w:t>(14.4%)</w:t>
                            </w:r>
                          </w:p>
                        </w:tc>
                      </w:tr>
                      <w:tr>
                        <w:trPr>
                          <w:trHeight w:val="355" w:hRule="atLeast"/>
                        </w:trPr>
                        <w:tc>
                          <w:tcPr>
                            <w:tcW w:w="4548" w:type="dxa"/>
                          </w:tcPr>
                          <w:p>
                            <w:pPr>
                              <w:pStyle w:val="TableParagraph"/>
                              <w:spacing w:before="90"/>
                              <w:ind w:left="79"/>
                              <w:rPr>
                                <w:sz w:val="20"/>
                              </w:rPr>
                            </w:pPr>
                            <w:r>
                              <w:rPr>
                                <w:color w:val="105C84"/>
                                <w:sz w:val="20"/>
                              </w:rPr>
                              <w:t>Mental</w:t>
                            </w:r>
                            <w:r>
                              <w:rPr>
                                <w:color w:val="105C84"/>
                                <w:spacing w:val="13"/>
                                <w:sz w:val="20"/>
                              </w:rPr>
                              <w:t> </w:t>
                            </w:r>
                            <w:r>
                              <w:rPr>
                                <w:color w:val="105C84"/>
                                <w:sz w:val="20"/>
                              </w:rPr>
                              <w:t>/</w:t>
                            </w:r>
                            <w:r>
                              <w:rPr>
                                <w:color w:val="105C84"/>
                                <w:spacing w:val="13"/>
                                <w:sz w:val="20"/>
                              </w:rPr>
                              <w:t> </w:t>
                            </w:r>
                            <w:r>
                              <w:rPr>
                                <w:color w:val="105C84"/>
                                <w:sz w:val="20"/>
                              </w:rPr>
                              <w:t>emotional</w:t>
                            </w:r>
                            <w:r>
                              <w:rPr>
                                <w:color w:val="105C84"/>
                                <w:spacing w:val="13"/>
                                <w:sz w:val="20"/>
                              </w:rPr>
                              <w:t> </w:t>
                            </w:r>
                            <w:r>
                              <w:rPr>
                                <w:color w:val="105C84"/>
                                <w:sz w:val="20"/>
                              </w:rPr>
                              <w:t>health</w:t>
                            </w:r>
                            <w:r>
                              <w:rPr>
                                <w:color w:val="105C84"/>
                                <w:spacing w:val="13"/>
                                <w:sz w:val="20"/>
                              </w:rPr>
                              <w:t> </w:t>
                            </w:r>
                            <w:r>
                              <w:rPr>
                                <w:color w:val="105C84"/>
                                <w:sz w:val="20"/>
                              </w:rPr>
                              <w:t>issues</w:t>
                            </w:r>
                            <w:r>
                              <w:rPr>
                                <w:color w:val="105C84"/>
                                <w:spacing w:val="13"/>
                                <w:sz w:val="20"/>
                              </w:rPr>
                              <w:t> </w:t>
                            </w:r>
                            <w:r>
                              <w:rPr>
                                <w:color w:val="105C84"/>
                                <w:spacing w:val="-2"/>
                                <w:sz w:val="20"/>
                              </w:rPr>
                              <w:t>(14.2%)</w:t>
                            </w:r>
                          </w:p>
                        </w:tc>
                      </w:tr>
                      <w:tr>
                        <w:trPr>
                          <w:trHeight w:val="355" w:hRule="atLeast"/>
                        </w:trPr>
                        <w:tc>
                          <w:tcPr>
                            <w:tcW w:w="4548" w:type="dxa"/>
                          </w:tcPr>
                          <w:p>
                            <w:pPr>
                              <w:pStyle w:val="TableParagraph"/>
                              <w:spacing w:before="90"/>
                              <w:ind w:left="79"/>
                              <w:rPr>
                                <w:sz w:val="20"/>
                              </w:rPr>
                            </w:pPr>
                            <w:r>
                              <w:rPr>
                                <w:color w:val="105C84"/>
                                <w:sz w:val="20"/>
                              </w:rPr>
                              <w:t>Cost</w:t>
                            </w:r>
                            <w:r>
                              <w:rPr>
                                <w:color w:val="105C84"/>
                                <w:spacing w:val="6"/>
                                <w:sz w:val="20"/>
                              </w:rPr>
                              <w:t> </w:t>
                            </w:r>
                            <w:r>
                              <w:rPr>
                                <w:color w:val="105C84"/>
                                <w:spacing w:val="-2"/>
                                <w:sz w:val="20"/>
                              </w:rPr>
                              <w:t>(13.5%)</w:t>
                            </w:r>
                          </w:p>
                        </w:tc>
                      </w:tr>
                      <w:tr>
                        <w:trPr>
                          <w:trHeight w:val="355" w:hRule="atLeast"/>
                        </w:trPr>
                        <w:tc>
                          <w:tcPr>
                            <w:tcW w:w="4548" w:type="dxa"/>
                          </w:tcPr>
                          <w:p>
                            <w:pPr>
                              <w:pStyle w:val="TableParagraph"/>
                              <w:spacing w:before="90"/>
                              <w:ind w:left="79"/>
                              <w:rPr>
                                <w:sz w:val="20"/>
                              </w:rPr>
                            </w:pPr>
                            <w:r>
                              <w:rPr>
                                <w:color w:val="105C84"/>
                                <w:sz w:val="20"/>
                              </w:rPr>
                              <w:t>Diet</w:t>
                            </w:r>
                            <w:r>
                              <w:rPr>
                                <w:color w:val="105C84"/>
                                <w:spacing w:val="30"/>
                                <w:sz w:val="20"/>
                              </w:rPr>
                              <w:t> </w:t>
                            </w:r>
                            <w:r>
                              <w:rPr>
                                <w:color w:val="105C84"/>
                                <w:sz w:val="20"/>
                              </w:rPr>
                              <w:t>/</w:t>
                            </w:r>
                            <w:r>
                              <w:rPr>
                                <w:color w:val="105C84"/>
                                <w:spacing w:val="30"/>
                                <w:sz w:val="20"/>
                              </w:rPr>
                              <w:t> </w:t>
                            </w:r>
                            <w:r>
                              <w:rPr>
                                <w:color w:val="105C84"/>
                                <w:sz w:val="20"/>
                              </w:rPr>
                              <w:t>nutrition</w:t>
                            </w:r>
                            <w:r>
                              <w:rPr>
                                <w:color w:val="105C84"/>
                                <w:spacing w:val="31"/>
                                <w:sz w:val="20"/>
                              </w:rPr>
                              <w:t> </w:t>
                            </w:r>
                            <w:r>
                              <w:rPr>
                                <w:color w:val="105C84"/>
                                <w:spacing w:val="-2"/>
                                <w:sz w:val="20"/>
                              </w:rPr>
                              <w:t>(11.1%)</w:t>
                            </w:r>
                          </w:p>
                        </w:tc>
                      </w:tr>
                    </w:tbl>
                    <w:p>
                      <w:pPr>
                        <w:pStyle w:val="BodyText"/>
                      </w:pPr>
                    </w:p>
                  </w:txbxContent>
                </v:textbox>
                <w10:wrap type="topAndBottom"/>
              </v:shape>
            </w:pict>
          </mc:Fallback>
        </mc:AlternateContent>
      </w:r>
      <w:r>
        <w:rPr>
          <w:b/>
          <w:sz w:val="20"/>
        </w:rPr>
        <mc:AlternateContent>
          <mc:Choice Requires="wps">
            <w:drawing>
              <wp:anchor distT="0" distB="0" distL="0" distR="0" allowOverlap="1" layoutInCell="1" locked="0" behindDoc="1" simplePos="0" relativeHeight="487587840">
                <wp:simplePos x="0" y="0"/>
                <wp:positionH relativeFrom="page">
                  <wp:posOffset>3912044</wp:posOffset>
                </wp:positionH>
                <wp:positionV relativeFrom="paragraph">
                  <wp:posOffset>1672213</wp:posOffset>
                </wp:positionV>
                <wp:extent cx="3037840" cy="1374775"/>
                <wp:effectExtent l="0" t="0" r="0" b="0"/>
                <wp:wrapTopAndBottom/>
                <wp:docPr id="973" name="Textbox 973"/>
                <wp:cNvGraphicFramePr>
                  <a:graphicFrameLocks/>
                </wp:cNvGraphicFramePr>
                <a:graphic>
                  <a:graphicData uri="http://schemas.microsoft.com/office/word/2010/wordprocessingShape">
                    <wps:wsp>
                      <wps:cNvPr id="973" name="Textbox 973"/>
                      <wps:cNvSpPr txBox="1"/>
                      <wps:spPr>
                        <a:xfrm>
                          <a:off x="0" y="0"/>
                          <a:ext cx="3037840" cy="1374775"/>
                        </a:xfrm>
                        <a:prstGeom prst="rect">
                          <a:avLst/>
                        </a:prstGeom>
                      </wps:spPr>
                      <wps:txbx>
                        <w:txbxContent>
                          <w:tbl>
                            <w:tblPr>
                              <w:tblW w:w="0" w:type="auto"/>
                              <w:jc w:val="left"/>
                              <w:tblInd w:w="2" w:type="dxa"/>
                              <w:tblBorders>
                                <w:top w:val="single" w:sz="2" w:space="0" w:color="636466"/>
                                <w:left w:val="single" w:sz="2" w:space="0" w:color="636466"/>
                                <w:bottom w:val="single" w:sz="2" w:space="0" w:color="636466"/>
                                <w:right w:val="single" w:sz="2" w:space="0" w:color="636466"/>
                                <w:insideH w:val="single" w:sz="2" w:space="0" w:color="636466"/>
                                <w:insideV w:val="single" w:sz="2" w:space="0" w:color="636466"/>
                              </w:tblBorders>
                              <w:tblLayout w:type="fixed"/>
                              <w:tblCellMar>
                                <w:top w:w="0" w:type="dxa"/>
                                <w:left w:w="0" w:type="dxa"/>
                                <w:bottom w:w="0" w:type="dxa"/>
                                <w:right w:w="0" w:type="dxa"/>
                              </w:tblCellMar>
                              <w:tblLook w:val="01E0"/>
                            </w:tblPr>
                            <w:tblGrid>
                              <w:gridCol w:w="4778"/>
                            </w:tblGrid>
                            <w:tr>
                              <w:trPr>
                                <w:trHeight w:val="355" w:hRule="atLeast"/>
                              </w:trPr>
                              <w:tc>
                                <w:tcPr>
                                  <w:tcW w:w="4778" w:type="dxa"/>
                                  <w:shd w:val="clear" w:color="auto" w:fill="1C75BC"/>
                                </w:tcPr>
                                <w:p>
                                  <w:pPr>
                                    <w:pStyle w:val="TableParagraph"/>
                                    <w:spacing w:before="90"/>
                                    <w:ind w:left="79"/>
                                    <w:rPr>
                                      <w:b/>
                                      <w:sz w:val="20"/>
                                    </w:rPr>
                                  </w:pPr>
                                  <w:r>
                                    <w:rPr>
                                      <w:b/>
                                      <w:color w:val="FFFFFF"/>
                                      <w:sz w:val="20"/>
                                    </w:rPr>
                                    <w:t>COUNTY</w:t>
                                  </w:r>
                                  <w:r>
                                    <w:rPr>
                                      <w:b/>
                                      <w:color w:val="FFFFFF"/>
                                      <w:spacing w:val="2"/>
                                      <w:sz w:val="20"/>
                                    </w:rPr>
                                    <w:t> </w:t>
                                  </w:r>
                                  <w:r>
                                    <w:rPr>
                                      <w:b/>
                                      <w:color w:val="FFFFFF"/>
                                      <w:sz w:val="20"/>
                                    </w:rPr>
                                    <w:t>PRIORITY</w:t>
                                  </w:r>
                                  <w:r>
                                    <w:rPr>
                                      <w:b/>
                                      <w:color w:val="FFFFFF"/>
                                      <w:spacing w:val="3"/>
                                      <w:sz w:val="20"/>
                                    </w:rPr>
                                    <w:t> </w:t>
                                  </w:r>
                                  <w:r>
                                    <w:rPr>
                                      <w:b/>
                                      <w:color w:val="FFFFFF"/>
                                      <w:sz w:val="20"/>
                                    </w:rPr>
                                    <w:t>-</w:t>
                                  </w:r>
                                  <w:r>
                                    <w:rPr>
                                      <w:b/>
                                      <w:color w:val="FFFFFF"/>
                                      <w:spacing w:val="2"/>
                                      <w:sz w:val="20"/>
                                    </w:rPr>
                                    <w:t> </w:t>
                                  </w:r>
                                  <w:r>
                                    <w:rPr>
                                      <w:b/>
                                      <w:color w:val="FFFFFF"/>
                                      <w:sz w:val="20"/>
                                    </w:rPr>
                                    <w:t>FOR</w:t>
                                  </w:r>
                                  <w:r>
                                    <w:rPr>
                                      <w:b/>
                                      <w:color w:val="FFFFFF"/>
                                      <w:spacing w:val="3"/>
                                      <w:sz w:val="20"/>
                                    </w:rPr>
                                    <w:t> </w:t>
                                  </w:r>
                                  <w:r>
                                    <w:rPr>
                                      <w:b/>
                                      <w:color w:val="FFFFFF"/>
                                      <w:spacing w:val="-2"/>
                                      <w:sz w:val="20"/>
                                    </w:rPr>
                                    <w:t>CHILDREN</w:t>
                                  </w:r>
                                </w:p>
                              </w:tc>
                            </w:tr>
                            <w:tr>
                              <w:trPr>
                                <w:trHeight w:val="355" w:hRule="atLeast"/>
                              </w:trPr>
                              <w:tc>
                                <w:tcPr>
                                  <w:tcW w:w="4778" w:type="dxa"/>
                                </w:tcPr>
                                <w:p>
                                  <w:pPr>
                                    <w:pStyle w:val="TableParagraph"/>
                                    <w:spacing w:before="90"/>
                                    <w:ind w:left="79"/>
                                    <w:rPr>
                                      <w:sz w:val="20"/>
                                    </w:rPr>
                                  </w:pPr>
                                  <w:r>
                                    <w:rPr>
                                      <w:color w:val="105C84"/>
                                      <w:sz w:val="20"/>
                                    </w:rPr>
                                    <w:t>Diet</w:t>
                                  </w:r>
                                  <w:r>
                                    <w:rPr>
                                      <w:color w:val="105C84"/>
                                      <w:spacing w:val="30"/>
                                      <w:sz w:val="20"/>
                                    </w:rPr>
                                    <w:t> </w:t>
                                  </w:r>
                                  <w:r>
                                    <w:rPr>
                                      <w:color w:val="105C84"/>
                                      <w:sz w:val="20"/>
                                    </w:rPr>
                                    <w:t>/</w:t>
                                  </w:r>
                                  <w:r>
                                    <w:rPr>
                                      <w:color w:val="105C84"/>
                                      <w:spacing w:val="30"/>
                                      <w:sz w:val="20"/>
                                    </w:rPr>
                                    <w:t> </w:t>
                                  </w:r>
                                  <w:r>
                                    <w:rPr>
                                      <w:color w:val="105C84"/>
                                      <w:sz w:val="20"/>
                                    </w:rPr>
                                    <w:t>nutrition</w:t>
                                  </w:r>
                                  <w:r>
                                    <w:rPr>
                                      <w:color w:val="105C84"/>
                                      <w:spacing w:val="31"/>
                                      <w:sz w:val="20"/>
                                    </w:rPr>
                                    <w:t> </w:t>
                                  </w:r>
                                  <w:r>
                                    <w:rPr>
                                      <w:color w:val="105C84"/>
                                      <w:spacing w:val="-2"/>
                                      <w:sz w:val="20"/>
                                    </w:rPr>
                                    <w:t>(23.2%)</w:t>
                                  </w:r>
                                </w:p>
                              </w:tc>
                            </w:tr>
                            <w:tr>
                              <w:trPr>
                                <w:trHeight w:val="355" w:hRule="atLeast"/>
                              </w:trPr>
                              <w:tc>
                                <w:tcPr>
                                  <w:tcW w:w="4778" w:type="dxa"/>
                                </w:tcPr>
                                <w:p>
                                  <w:pPr>
                                    <w:pStyle w:val="TableParagraph"/>
                                    <w:spacing w:before="90"/>
                                    <w:ind w:left="79"/>
                                    <w:rPr>
                                      <w:sz w:val="20"/>
                                    </w:rPr>
                                  </w:pPr>
                                  <w:r>
                                    <w:rPr>
                                      <w:color w:val="105C84"/>
                                      <w:spacing w:val="-4"/>
                                      <w:sz w:val="20"/>
                                    </w:rPr>
                                    <w:t>Exercise</w:t>
                                  </w:r>
                                  <w:r>
                                    <w:rPr>
                                      <w:color w:val="105C84"/>
                                      <w:spacing w:val="3"/>
                                      <w:sz w:val="20"/>
                                    </w:rPr>
                                    <w:t> </w:t>
                                  </w:r>
                                  <w:r>
                                    <w:rPr>
                                      <w:color w:val="105C84"/>
                                      <w:spacing w:val="-2"/>
                                      <w:sz w:val="20"/>
                                    </w:rPr>
                                    <w:t>(19.0%)</w:t>
                                  </w:r>
                                </w:p>
                              </w:tc>
                            </w:tr>
                            <w:tr>
                              <w:trPr>
                                <w:trHeight w:val="355" w:hRule="atLeast"/>
                              </w:trPr>
                              <w:tc>
                                <w:tcPr>
                                  <w:tcW w:w="4778" w:type="dxa"/>
                                </w:tcPr>
                                <w:p>
                                  <w:pPr>
                                    <w:pStyle w:val="TableParagraph"/>
                                    <w:spacing w:before="90"/>
                                    <w:ind w:left="79"/>
                                    <w:rPr>
                                      <w:sz w:val="20"/>
                                    </w:rPr>
                                  </w:pPr>
                                  <w:r>
                                    <w:rPr>
                                      <w:color w:val="105C84"/>
                                      <w:sz w:val="20"/>
                                    </w:rPr>
                                    <w:t>Substance</w:t>
                                  </w:r>
                                  <w:r>
                                    <w:rPr>
                                      <w:color w:val="105C84"/>
                                      <w:spacing w:val="-11"/>
                                      <w:sz w:val="20"/>
                                    </w:rPr>
                                    <w:t> </w:t>
                                  </w:r>
                                  <w:r>
                                    <w:rPr>
                                      <w:color w:val="105C84"/>
                                      <w:sz w:val="20"/>
                                    </w:rPr>
                                    <w:t>abuse</w:t>
                                  </w:r>
                                  <w:r>
                                    <w:rPr>
                                      <w:color w:val="105C84"/>
                                      <w:spacing w:val="-10"/>
                                      <w:sz w:val="20"/>
                                    </w:rPr>
                                    <w:t> </w:t>
                                  </w:r>
                                  <w:r>
                                    <w:rPr>
                                      <w:color w:val="105C84"/>
                                      <w:spacing w:val="-2"/>
                                      <w:sz w:val="20"/>
                                    </w:rPr>
                                    <w:t>(16.5%)</w:t>
                                  </w:r>
                                </w:p>
                              </w:tc>
                            </w:tr>
                            <w:tr>
                              <w:trPr>
                                <w:trHeight w:val="355" w:hRule="atLeast"/>
                              </w:trPr>
                              <w:tc>
                                <w:tcPr>
                                  <w:tcW w:w="4778" w:type="dxa"/>
                                </w:tcPr>
                                <w:p>
                                  <w:pPr>
                                    <w:pStyle w:val="TableParagraph"/>
                                    <w:spacing w:before="90"/>
                                    <w:ind w:left="79"/>
                                    <w:rPr>
                                      <w:sz w:val="20"/>
                                    </w:rPr>
                                  </w:pPr>
                                  <w:r>
                                    <w:rPr>
                                      <w:color w:val="105C84"/>
                                      <w:sz w:val="20"/>
                                    </w:rPr>
                                    <w:t>Mental</w:t>
                                  </w:r>
                                  <w:r>
                                    <w:rPr>
                                      <w:color w:val="105C84"/>
                                      <w:spacing w:val="13"/>
                                      <w:sz w:val="20"/>
                                    </w:rPr>
                                    <w:t> </w:t>
                                  </w:r>
                                  <w:r>
                                    <w:rPr>
                                      <w:color w:val="105C84"/>
                                      <w:sz w:val="20"/>
                                    </w:rPr>
                                    <w:t>/</w:t>
                                  </w:r>
                                  <w:r>
                                    <w:rPr>
                                      <w:color w:val="105C84"/>
                                      <w:spacing w:val="13"/>
                                      <w:sz w:val="20"/>
                                    </w:rPr>
                                    <w:t> </w:t>
                                  </w:r>
                                  <w:r>
                                    <w:rPr>
                                      <w:color w:val="105C84"/>
                                      <w:sz w:val="20"/>
                                    </w:rPr>
                                    <w:t>emotional</w:t>
                                  </w:r>
                                  <w:r>
                                    <w:rPr>
                                      <w:color w:val="105C84"/>
                                      <w:spacing w:val="13"/>
                                      <w:sz w:val="20"/>
                                    </w:rPr>
                                    <w:t> </w:t>
                                  </w:r>
                                  <w:r>
                                    <w:rPr>
                                      <w:color w:val="105C84"/>
                                      <w:sz w:val="20"/>
                                    </w:rPr>
                                    <w:t>health</w:t>
                                  </w:r>
                                  <w:r>
                                    <w:rPr>
                                      <w:color w:val="105C84"/>
                                      <w:spacing w:val="13"/>
                                      <w:sz w:val="20"/>
                                    </w:rPr>
                                    <w:t> </w:t>
                                  </w:r>
                                  <w:r>
                                    <w:rPr>
                                      <w:color w:val="105C84"/>
                                      <w:sz w:val="20"/>
                                    </w:rPr>
                                    <w:t>issues</w:t>
                                  </w:r>
                                  <w:r>
                                    <w:rPr>
                                      <w:color w:val="105C84"/>
                                      <w:spacing w:val="13"/>
                                      <w:sz w:val="20"/>
                                    </w:rPr>
                                    <w:t> </w:t>
                                  </w:r>
                                  <w:r>
                                    <w:rPr>
                                      <w:color w:val="105C84"/>
                                      <w:spacing w:val="-2"/>
                                      <w:sz w:val="20"/>
                                    </w:rPr>
                                    <w:t>(13.0%)</w:t>
                                  </w:r>
                                </w:p>
                              </w:tc>
                            </w:tr>
                            <w:tr>
                              <w:trPr>
                                <w:trHeight w:val="355" w:hRule="atLeast"/>
                              </w:trPr>
                              <w:tc>
                                <w:tcPr>
                                  <w:tcW w:w="4778" w:type="dxa"/>
                                </w:tcPr>
                                <w:p>
                                  <w:pPr>
                                    <w:pStyle w:val="TableParagraph"/>
                                    <w:spacing w:before="90"/>
                                    <w:ind w:left="79"/>
                                    <w:rPr>
                                      <w:sz w:val="20"/>
                                    </w:rPr>
                                  </w:pPr>
                                  <w:r>
                                    <w:rPr>
                                      <w:color w:val="105C84"/>
                                      <w:sz w:val="20"/>
                                    </w:rPr>
                                    <w:t>Weight</w:t>
                                  </w:r>
                                  <w:r>
                                    <w:rPr>
                                      <w:color w:val="105C84"/>
                                      <w:spacing w:val="27"/>
                                      <w:sz w:val="20"/>
                                    </w:rPr>
                                    <w:t> </w:t>
                                  </w:r>
                                  <w:r>
                                    <w:rPr>
                                      <w:color w:val="105C84"/>
                                      <w:spacing w:val="-2"/>
                                      <w:sz w:val="20"/>
                                    </w:rPr>
                                    <w:t>(13.0%)</w:t>
                                  </w:r>
                                </w:p>
                              </w:tc>
                            </w:tr>
                          </w:tbl>
                          <w:p>
                            <w:pPr>
                              <w:pStyle w:val="BodyText"/>
                            </w:pPr>
                          </w:p>
                        </w:txbxContent>
                      </wps:txbx>
                      <wps:bodyPr wrap="square" lIns="0" tIns="0" rIns="0" bIns="0" rtlCol="0">
                        <a:noAutofit/>
                      </wps:bodyPr>
                    </wps:wsp>
                  </a:graphicData>
                </a:graphic>
              </wp:anchor>
            </w:drawing>
          </mc:Choice>
          <mc:Fallback>
            <w:pict>
              <v:shape style="position:absolute;margin-left:308.035004pt;margin-top:131.670334pt;width:239.2pt;height:108.25pt;mso-position-horizontal-relative:page;mso-position-vertical-relative:paragraph;z-index:-15728640;mso-wrap-distance-left:0;mso-wrap-distance-right:0" type="#_x0000_t202" id="docshape797" filled="false" stroked="false">
                <v:textbox inset="0,0,0,0">
                  <w:txbxContent>
                    <w:tbl>
                      <w:tblPr>
                        <w:tblW w:w="0" w:type="auto"/>
                        <w:jc w:val="left"/>
                        <w:tblInd w:w="2" w:type="dxa"/>
                        <w:tblBorders>
                          <w:top w:val="single" w:sz="2" w:space="0" w:color="636466"/>
                          <w:left w:val="single" w:sz="2" w:space="0" w:color="636466"/>
                          <w:bottom w:val="single" w:sz="2" w:space="0" w:color="636466"/>
                          <w:right w:val="single" w:sz="2" w:space="0" w:color="636466"/>
                          <w:insideH w:val="single" w:sz="2" w:space="0" w:color="636466"/>
                          <w:insideV w:val="single" w:sz="2" w:space="0" w:color="636466"/>
                        </w:tblBorders>
                        <w:tblLayout w:type="fixed"/>
                        <w:tblCellMar>
                          <w:top w:w="0" w:type="dxa"/>
                          <w:left w:w="0" w:type="dxa"/>
                          <w:bottom w:w="0" w:type="dxa"/>
                          <w:right w:w="0" w:type="dxa"/>
                        </w:tblCellMar>
                        <w:tblLook w:val="01E0"/>
                      </w:tblPr>
                      <w:tblGrid>
                        <w:gridCol w:w="4778"/>
                      </w:tblGrid>
                      <w:tr>
                        <w:trPr>
                          <w:trHeight w:val="355" w:hRule="atLeast"/>
                        </w:trPr>
                        <w:tc>
                          <w:tcPr>
                            <w:tcW w:w="4778" w:type="dxa"/>
                            <w:shd w:val="clear" w:color="auto" w:fill="1C75BC"/>
                          </w:tcPr>
                          <w:p>
                            <w:pPr>
                              <w:pStyle w:val="TableParagraph"/>
                              <w:spacing w:before="90"/>
                              <w:ind w:left="79"/>
                              <w:rPr>
                                <w:b/>
                                <w:sz w:val="20"/>
                              </w:rPr>
                            </w:pPr>
                            <w:r>
                              <w:rPr>
                                <w:b/>
                                <w:color w:val="FFFFFF"/>
                                <w:sz w:val="20"/>
                              </w:rPr>
                              <w:t>COUNTY</w:t>
                            </w:r>
                            <w:r>
                              <w:rPr>
                                <w:b/>
                                <w:color w:val="FFFFFF"/>
                                <w:spacing w:val="2"/>
                                <w:sz w:val="20"/>
                              </w:rPr>
                              <w:t> </w:t>
                            </w:r>
                            <w:r>
                              <w:rPr>
                                <w:b/>
                                <w:color w:val="FFFFFF"/>
                                <w:sz w:val="20"/>
                              </w:rPr>
                              <w:t>PRIORITY</w:t>
                            </w:r>
                            <w:r>
                              <w:rPr>
                                <w:b/>
                                <w:color w:val="FFFFFF"/>
                                <w:spacing w:val="3"/>
                                <w:sz w:val="20"/>
                              </w:rPr>
                              <w:t> </w:t>
                            </w:r>
                            <w:r>
                              <w:rPr>
                                <w:b/>
                                <w:color w:val="FFFFFF"/>
                                <w:sz w:val="20"/>
                              </w:rPr>
                              <w:t>-</w:t>
                            </w:r>
                            <w:r>
                              <w:rPr>
                                <w:b/>
                                <w:color w:val="FFFFFF"/>
                                <w:spacing w:val="2"/>
                                <w:sz w:val="20"/>
                              </w:rPr>
                              <w:t> </w:t>
                            </w:r>
                            <w:r>
                              <w:rPr>
                                <w:b/>
                                <w:color w:val="FFFFFF"/>
                                <w:sz w:val="20"/>
                              </w:rPr>
                              <w:t>FOR</w:t>
                            </w:r>
                            <w:r>
                              <w:rPr>
                                <w:b/>
                                <w:color w:val="FFFFFF"/>
                                <w:spacing w:val="3"/>
                                <w:sz w:val="20"/>
                              </w:rPr>
                              <w:t> </w:t>
                            </w:r>
                            <w:r>
                              <w:rPr>
                                <w:b/>
                                <w:color w:val="FFFFFF"/>
                                <w:spacing w:val="-2"/>
                                <w:sz w:val="20"/>
                              </w:rPr>
                              <w:t>CHILDREN</w:t>
                            </w:r>
                          </w:p>
                        </w:tc>
                      </w:tr>
                      <w:tr>
                        <w:trPr>
                          <w:trHeight w:val="355" w:hRule="atLeast"/>
                        </w:trPr>
                        <w:tc>
                          <w:tcPr>
                            <w:tcW w:w="4778" w:type="dxa"/>
                          </w:tcPr>
                          <w:p>
                            <w:pPr>
                              <w:pStyle w:val="TableParagraph"/>
                              <w:spacing w:before="90"/>
                              <w:ind w:left="79"/>
                              <w:rPr>
                                <w:sz w:val="20"/>
                              </w:rPr>
                            </w:pPr>
                            <w:r>
                              <w:rPr>
                                <w:color w:val="105C84"/>
                                <w:sz w:val="20"/>
                              </w:rPr>
                              <w:t>Diet</w:t>
                            </w:r>
                            <w:r>
                              <w:rPr>
                                <w:color w:val="105C84"/>
                                <w:spacing w:val="30"/>
                                <w:sz w:val="20"/>
                              </w:rPr>
                              <w:t> </w:t>
                            </w:r>
                            <w:r>
                              <w:rPr>
                                <w:color w:val="105C84"/>
                                <w:sz w:val="20"/>
                              </w:rPr>
                              <w:t>/</w:t>
                            </w:r>
                            <w:r>
                              <w:rPr>
                                <w:color w:val="105C84"/>
                                <w:spacing w:val="30"/>
                                <w:sz w:val="20"/>
                              </w:rPr>
                              <w:t> </w:t>
                            </w:r>
                            <w:r>
                              <w:rPr>
                                <w:color w:val="105C84"/>
                                <w:sz w:val="20"/>
                              </w:rPr>
                              <w:t>nutrition</w:t>
                            </w:r>
                            <w:r>
                              <w:rPr>
                                <w:color w:val="105C84"/>
                                <w:spacing w:val="31"/>
                                <w:sz w:val="20"/>
                              </w:rPr>
                              <w:t> </w:t>
                            </w:r>
                            <w:r>
                              <w:rPr>
                                <w:color w:val="105C84"/>
                                <w:spacing w:val="-2"/>
                                <w:sz w:val="20"/>
                              </w:rPr>
                              <w:t>(23.2%)</w:t>
                            </w:r>
                          </w:p>
                        </w:tc>
                      </w:tr>
                      <w:tr>
                        <w:trPr>
                          <w:trHeight w:val="355" w:hRule="atLeast"/>
                        </w:trPr>
                        <w:tc>
                          <w:tcPr>
                            <w:tcW w:w="4778" w:type="dxa"/>
                          </w:tcPr>
                          <w:p>
                            <w:pPr>
                              <w:pStyle w:val="TableParagraph"/>
                              <w:spacing w:before="90"/>
                              <w:ind w:left="79"/>
                              <w:rPr>
                                <w:sz w:val="20"/>
                              </w:rPr>
                            </w:pPr>
                            <w:r>
                              <w:rPr>
                                <w:color w:val="105C84"/>
                                <w:spacing w:val="-4"/>
                                <w:sz w:val="20"/>
                              </w:rPr>
                              <w:t>Exercise</w:t>
                            </w:r>
                            <w:r>
                              <w:rPr>
                                <w:color w:val="105C84"/>
                                <w:spacing w:val="3"/>
                                <w:sz w:val="20"/>
                              </w:rPr>
                              <w:t> </w:t>
                            </w:r>
                            <w:r>
                              <w:rPr>
                                <w:color w:val="105C84"/>
                                <w:spacing w:val="-2"/>
                                <w:sz w:val="20"/>
                              </w:rPr>
                              <w:t>(19.0%)</w:t>
                            </w:r>
                          </w:p>
                        </w:tc>
                      </w:tr>
                      <w:tr>
                        <w:trPr>
                          <w:trHeight w:val="355" w:hRule="atLeast"/>
                        </w:trPr>
                        <w:tc>
                          <w:tcPr>
                            <w:tcW w:w="4778" w:type="dxa"/>
                          </w:tcPr>
                          <w:p>
                            <w:pPr>
                              <w:pStyle w:val="TableParagraph"/>
                              <w:spacing w:before="90"/>
                              <w:ind w:left="79"/>
                              <w:rPr>
                                <w:sz w:val="20"/>
                              </w:rPr>
                            </w:pPr>
                            <w:r>
                              <w:rPr>
                                <w:color w:val="105C84"/>
                                <w:sz w:val="20"/>
                              </w:rPr>
                              <w:t>Substance</w:t>
                            </w:r>
                            <w:r>
                              <w:rPr>
                                <w:color w:val="105C84"/>
                                <w:spacing w:val="-11"/>
                                <w:sz w:val="20"/>
                              </w:rPr>
                              <w:t> </w:t>
                            </w:r>
                            <w:r>
                              <w:rPr>
                                <w:color w:val="105C84"/>
                                <w:sz w:val="20"/>
                              </w:rPr>
                              <w:t>abuse</w:t>
                            </w:r>
                            <w:r>
                              <w:rPr>
                                <w:color w:val="105C84"/>
                                <w:spacing w:val="-10"/>
                                <w:sz w:val="20"/>
                              </w:rPr>
                              <w:t> </w:t>
                            </w:r>
                            <w:r>
                              <w:rPr>
                                <w:color w:val="105C84"/>
                                <w:spacing w:val="-2"/>
                                <w:sz w:val="20"/>
                              </w:rPr>
                              <w:t>(16.5%)</w:t>
                            </w:r>
                          </w:p>
                        </w:tc>
                      </w:tr>
                      <w:tr>
                        <w:trPr>
                          <w:trHeight w:val="355" w:hRule="atLeast"/>
                        </w:trPr>
                        <w:tc>
                          <w:tcPr>
                            <w:tcW w:w="4778" w:type="dxa"/>
                          </w:tcPr>
                          <w:p>
                            <w:pPr>
                              <w:pStyle w:val="TableParagraph"/>
                              <w:spacing w:before="90"/>
                              <w:ind w:left="79"/>
                              <w:rPr>
                                <w:sz w:val="20"/>
                              </w:rPr>
                            </w:pPr>
                            <w:r>
                              <w:rPr>
                                <w:color w:val="105C84"/>
                                <w:sz w:val="20"/>
                              </w:rPr>
                              <w:t>Mental</w:t>
                            </w:r>
                            <w:r>
                              <w:rPr>
                                <w:color w:val="105C84"/>
                                <w:spacing w:val="13"/>
                                <w:sz w:val="20"/>
                              </w:rPr>
                              <w:t> </w:t>
                            </w:r>
                            <w:r>
                              <w:rPr>
                                <w:color w:val="105C84"/>
                                <w:sz w:val="20"/>
                              </w:rPr>
                              <w:t>/</w:t>
                            </w:r>
                            <w:r>
                              <w:rPr>
                                <w:color w:val="105C84"/>
                                <w:spacing w:val="13"/>
                                <w:sz w:val="20"/>
                              </w:rPr>
                              <w:t> </w:t>
                            </w:r>
                            <w:r>
                              <w:rPr>
                                <w:color w:val="105C84"/>
                                <w:sz w:val="20"/>
                              </w:rPr>
                              <w:t>emotional</w:t>
                            </w:r>
                            <w:r>
                              <w:rPr>
                                <w:color w:val="105C84"/>
                                <w:spacing w:val="13"/>
                                <w:sz w:val="20"/>
                              </w:rPr>
                              <w:t> </w:t>
                            </w:r>
                            <w:r>
                              <w:rPr>
                                <w:color w:val="105C84"/>
                                <w:sz w:val="20"/>
                              </w:rPr>
                              <w:t>health</w:t>
                            </w:r>
                            <w:r>
                              <w:rPr>
                                <w:color w:val="105C84"/>
                                <w:spacing w:val="13"/>
                                <w:sz w:val="20"/>
                              </w:rPr>
                              <w:t> </w:t>
                            </w:r>
                            <w:r>
                              <w:rPr>
                                <w:color w:val="105C84"/>
                                <w:sz w:val="20"/>
                              </w:rPr>
                              <w:t>issues</w:t>
                            </w:r>
                            <w:r>
                              <w:rPr>
                                <w:color w:val="105C84"/>
                                <w:spacing w:val="13"/>
                                <w:sz w:val="20"/>
                              </w:rPr>
                              <w:t> </w:t>
                            </w:r>
                            <w:r>
                              <w:rPr>
                                <w:color w:val="105C84"/>
                                <w:spacing w:val="-2"/>
                                <w:sz w:val="20"/>
                              </w:rPr>
                              <w:t>(13.0%)</w:t>
                            </w:r>
                          </w:p>
                        </w:tc>
                      </w:tr>
                      <w:tr>
                        <w:trPr>
                          <w:trHeight w:val="355" w:hRule="atLeast"/>
                        </w:trPr>
                        <w:tc>
                          <w:tcPr>
                            <w:tcW w:w="4778" w:type="dxa"/>
                          </w:tcPr>
                          <w:p>
                            <w:pPr>
                              <w:pStyle w:val="TableParagraph"/>
                              <w:spacing w:before="90"/>
                              <w:ind w:left="79"/>
                              <w:rPr>
                                <w:sz w:val="20"/>
                              </w:rPr>
                            </w:pPr>
                            <w:r>
                              <w:rPr>
                                <w:color w:val="105C84"/>
                                <w:sz w:val="20"/>
                              </w:rPr>
                              <w:t>Weight</w:t>
                            </w:r>
                            <w:r>
                              <w:rPr>
                                <w:color w:val="105C84"/>
                                <w:spacing w:val="27"/>
                                <w:sz w:val="20"/>
                              </w:rPr>
                              <w:t> </w:t>
                            </w:r>
                            <w:r>
                              <w:rPr>
                                <w:color w:val="105C84"/>
                                <w:spacing w:val="-2"/>
                                <w:sz w:val="20"/>
                              </w:rPr>
                              <w:t>(13.0%)</w:t>
                            </w:r>
                          </w:p>
                        </w:tc>
                      </w:tr>
                    </w:tbl>
                    <w:p>
                      <w:pPr>
                        <w:pStyle w:val="BodyText"/>
                      </w:pPr>
                    </w:p>
                  </w:txbxContent>
                </v:textbox>
                <w10:wrap type="topAndBottom"/>
              </v:shape>
            </w:pict>
          </mc:Fallback>
        </mc:AlternateContent>
      </w:r>
    </w:p>
    <w:p>
      <w:pPr>
        <w:pStyle w:val="BodyText"/>
        <w:spacing w:before="10"/>
        <w:rPr>
          <w:b/>
          <w:sz w:val="12"/>
        </w:rPr>
      </w:pPr>
    </w:p>
    <w:p>
      <w:pPr>
        <w:spacing w:line="235" w:lineRule="auto" w:before="74"/>
        <w:ind w:left="1065" w:right="0" w:firstLine="0"/>
        <w:jc w:val="left"/>
        <w:rPr>
          <w:sz w:val="16"/>
        </w:rPr>
      </w:pPr>
      <w:r>
        <w:rPr>
          <w:color w:val="0C5D86"/>
          <w:sz w:val="16"/>
        </w:rPr>
        <w:t>Source:</w:t>
      </w:r>
      <w:r>
        <w:rPr>
          <w:color w:val="0C5D86"/>
          <w:spacing w:val="-5"/>
          <w:sz w:val="16"/>
        </w:rPr>
        <w:t> </w:t>
      </w:r>
      <w:r>
        <w:rPr>
          <w:color w:val="0C5D86"/>
          <w:sz w:val="16"/>
        </w:rPr>
        <w:t>My</w:t>
      </w:r>
      <w:r>
        <w:rPr>
          <w:color w:val="0C5D86"/>
          <w:spacing w:val="-5"/>
          <w:sz w:val="16"/>
        </w:rPr>
        <w:t> </w:t>
      </w:r>
      <w:r>
        <w:rPr>
          <w:color w:val="0C5D86"/>
          <w:sz w:val="16"/>
        </w:rPr>
        <w:t>Health</w:t>
      </w:r>
      <w:r>
        <w:rPr>
          <w:color w:val="0C5D86"/>
          <w:spacing w:val="-5"/>
          <w:sz w:val="16"/>
        </w:rPr>
        <w:t> </w:t>
      </w:r>
      <w:r>
        <w:rPr>
          <w:color w:val="0C5D86"/>
          <w:sz w:val="16"/>
        </w:rPr>
        <w:t>Story</w:t>
      </w:r>
      <w:r>
        <w:rPr>
          <w:color w:val="0C5D86"/>
          <w:spacing w:val="-5"/>
          <w:sz w:val="16"/>
        </w:rPr>
        <w:t> </w:t>
      </w:r>
      <w:r>
        <w:rPr>
          <w:color w:val="0C5D86"/>
          <w:sz w:val="16"/>
        </w:rPr>
        <w:t>survey</w:t>
      </w:r>
      <w:r>
        <w:rPr>
          <w:color w:val="0C5D86"/>
          <w:spacing w:val="-5"/>
          <w:sz w:val="16"/>
        </w:rPr>
        <w:t> </w:t>
      </w:r>
      <w:r>
        <w:rPr>
          <w:color w:val="0C5D86"/>
          <w:sz w:val="16"/>
        </w:rPr>
        <w:t>2018.</w:t>
      </w:r>
      <w:r>
        <w:rPr>
          <w:color w:val="0C5D86"/>
          <w:spacing w:val="-5"/>
          <w:sz w:val="16"/>
        </w:rPr>
        <w:t> </w:t>
      </w:r>
      <w:r>
        <w:rPr>
          <w:color w:val="0C5D86"/>
          <w:sz w:val="16"/>
        </w:rPr>
        <w:t>Analysis</w:t>
      </w:r>
      <w:r>
        <w:rPr>
          <w:color w:val="0C5D86"/>
          <w:spacing w:val="-5"/>
          <w:sz w:val="16"/>
        </w:rPr>
        <w:t> </w:t>
      </w:r>
      <w:r>
        <w:rPr>
          <w:color w:val="0C5D86"/>
          <w:sz w:val="16"/>
        </w:rPr>
        <w:t>by</w:t>
      </w:r>
      <w:r>
        <w:rPr>
          <w:color w:val="0C5D86"/>
          <w:spacing w:val="-5"/>
          <w:sz w:val="16"/>
        </w:rPr>
        <w:t> </w:t>
      </w:r>
      <w:r>
        <w:rPr>
          <w:color w:val="0C5D86"/>
          <w:sz w:val="16"/>
        </w:rPr>
        <w:t>Common</w:t>
      </w:r>
      <w:r>
        <w:rPr>
          <w:color w:val="0C5D86"/>
          <w:spacing w:val="-5"/>
          <w:sz w:val="16"/>
        </w:rPr>
        <w:t> </w:t>
      </w:r>
      <w:r>
        <w:rPr>
          <w:color w:val="0C5D86"/>
          <w:sz w:val="16"/>
        </w:rPr>
        <w:t>Ground</w:t>
      </w:r>
      <w:r>
        <w:rPr>
          <w:color w:val="0C5D86"/>
          <w:spacing w:val="-5"/>
          <w:sz w:val="16"/>
        </w:rPr>
        <w:t> </w:t>
      </w:r>
      <w:r>
        <w:rPr>
          <w:color w:val="0C5D86"/>
          <w:sz w:val="16"/>
        </w:rPr>
        <w:t>Health</w:t>
      </w:r>
      <w:r>
        <w:rPr>
          <w:color w:val="0C5D86"/>
          <w:spacing w:val="-5"/>
          <w:sz w:val="16"/>
        </w:rPr>
        <w:t> </w:t>
      </w:r>
      <w:r>
        <w:rPr>
          <w:color w:val="0C5D86"/>
          <w:sz w:val="16"/>
        </w:rPr>
        <w:t>incorporates</w:t>
      </w:r>
      <w:r>
        <w:rPr>
          <w:color w:val="0C5D86"/>
          <w:spacing w:val="-5"/>
          <w:sz w:val="16"/>
        </w:rPr>
        <w:t> </w:t>
      </w:r>
      <w:r>
        <w:rPr>
          <w:color w:val="0C5D86"/>
          <w:sz w:val="16"/>
        </w:rPr>
        <w:t>weighting</w:t>
      </w:r>
      <w:r>
        <w:rPr>
          <w:color w:val="0C5D86"/>
          <w:spacing w:val="-5"/>
          <w:sz w:val="16"/>
        </w:rPr>
        <w:t> </w:t>
      </w:r>
      <w:r>
        <w:rPr>
          <w:color w:val="0C5D86"/>
          <w:sz w:val="16"/>
        </w:rPr>
        <w:t>to</w:t>
      </w:r>
      <w:r>
        <w:rPr>
          <w:color w:val="0C5D86"/>
          <w:spacing w:val="-5"/>
          <w:sz w:val="16"/>
        </w:rPr>
        <w:t> </w:t>
      </w:r>
      <w:r>
        <w:rPr>
          <w:color w:val="0C5D86"/>
          <w:sz w:val="16"/>
        </w:rPr>
        <w:t>normalize</w:t>
      </w:r>
      <w:r>
        <w:rPr>
          <w:color w:val="0C5D86"/>
          <w:spacing w:val="-5"/>
          <w:sz w:val="16"/>
        </w:rPr>
        <w:t> </w:t>
      </w:r>
      <w:r>
        <w:rPr>
          <w:color w:val="0C5D86"/>
          <w:sz w:val="16"/>
        </w:rPr>
        <w:t>survey</w:t>
      </w:r>
      <w:r>
        <w:rPr>
          <w:color w:val="0C5D86"/>
          <w:spacing w:val="-5"/>
          <w:sz w:val="16"/>
        </w:rPr>
        <w:t> </w:t>
      </w:r>
      <w:r>
        <w:rPr>
          <w:color w:val="0C5D86"/>
          <w:sz w:val="16"/>
        </w:rPr>
        <w:t>participants</w:t>
      </w:r>
      <w:r>
        <w:rPr>
          <w:color w:val="0C5D86"/>
          <w:spacing w:val="-5"/>
          <w:sz w:val="16"/>
        </w:rPr>
        <w:t> </w:t>
      </w:r>
      <w:r>
        <w:rPr>
          <w:color w:val="0C5D86"/>
          <w:sz w:val="16"/>
        </w:rPr>
        <w:t>to</w:t>
      </w:r>
      <w:r>
        <w:rPr>
          <w:color w:val="0C5D86"/>
          <w:spacing w:val="-5"/>
          <w:sz w:val="16"/>
        </w:rPr>
        <w:t> </w:t>
      </w:r>
      <w:r>
        <w:rPr>
          <w:color w:val="0C5D86"/>
          <w:sz w:val="16"/>
        </w:rPr>
        <w:t>demographics of each county.</w:t>
      </w:r>
      <w:r>
        <w:rPr>
          <w:color w:val="0C5D86"/>
          <w:spacing w:val="40"/>
          <w:sz w:val="16"/>
        </w:rPr>
        <w:t> </w:t>
      </w:r>
      <w:r>
        <w:rPr>
          <w:color w:val="0C5D86"/>
          <w:sz w:val="16"/>
        </w:rPr>
        <w:t>Top 5 issues shown for each question.</w:t>
      </w:r>
      <w:r>
        <w:rPr>
          <w:color w:val="0C5D86"/>
          <w:spacing w:val="40"/>
          <w:sz w:val="16"/>
        </w:rPr>
        <w:t> </w:t>
      </w:r>
      <w:r>
        <w:rPr>
          <w:color w:val="0C5D86"/>
          <w:sz w:val="16"/>
        </w:rPr>
        <w:t>Data shown are the percent of participants with responses in each category.</w:t>
      </w:r>
    </w:p>
    <w:p>
      <w:pPr>
        <w:spacing w:before="175"/>
        <w:ind w:left="0" w:right="0" w:firstLine="0"/>
        <w:jc w:val="left"/>
        <w:rPr>
          <w:b/>
          <w:sz w:val="26"/>
        </w:rPr>
      </w:pPr>
      <w:r>
        <w:rPr>
          <w:position w:val="-4"/>
        </w:rPr>
        <w:drawing>
          <wp:inline distT="0" distB="0" distL="0" distR="0">
            <wp:extent cx="568172" cy="184683"/>
            <wp:effectExtent l="0" t="0" r="0" b="0"/>
            <wp:docPr id="974" name="Image 974"/>
            <wp:cNvGraphicFramePr>
              <a:graphicFrameLocks/>
            </wp:cNvGraphicFramePr>
            <a:graphic>
              <a:graphicData uri="http://schemas.openxmlformats.org/drawingml/2006/picture">
                <pic:pic>
                  <pic:nvPicPr>
                    <pic:cNvPr id="974" name="Image 974"/>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80"/>
          <w:w w:val="105"/>
          <w:sz w:val="20"/>
        </w:rPr>
        <w:t> </w:t>
      </w:r>
      <w:r>
        <w:rPr>
          <w:b/>
          <w:color w:val="939598"/>
          <w:w w:val="105"/>
          <w:sz w:val="26"/>
        </w:rPr>
        <w:t>69</w:t>
      </w:r>
    </w:p>
    <w:p>
      <w:pPr>
        <w:pStyle w:val="Heading6"/>
        <w:spacing w:before="116"/>
        <w:ind w:left="0"/>
      </w:pPr>
      <w:r>
        <w:rPr>
          <w:b w:val="0"/>
        </w:rPr>
        <w:br w:type="column"/>
      </w:r>
      <w:r>
        <w:rPr>
          <w:color w:val="105C84"/>
          <w:spacing w:val="-8"/>
        </w:rPr>
        <w:t>Behavioral Risk Factors</w:t>
      </w:r>
    </w:p>
    <w:p>
      <w:pPr>
        <w:pStyle w:val="BodyText"/>
        <w:spacing w:line="247" w:lineRule="auto" w:before="268"/>
        <w:ind w:right="562"/>
      </w:pPr>
      <w:r>
        <w:rPr>
          <w:color w:val="105C84"/>
        </w:rPr>
        <w:t>An estimated 23% of adults in the county have been diagnosed with hypertension. Data from the</w:t>
      </w:r>
      <w:r>
        <w:rPr>
          <w:color w:val="105C84"/>
          <w:spacing w:val="40"/>
        </w:rPr>
        <w:t> </w:t>
      </w:r>
      <w:r>
        <w:rPr>
          <w:color w:val="105C84"/>
        </w:rPr>
        <w:t>June 2018 Common Ground Health Hypertension Registry reveal that 81% of county hypertensive residents</w:t>
      </w:r>
      <w:r>
        <w:rPr>
          <w:color w:val="105C84"/>
          <w:spacing w:val="24"/>
        </w:rPr>
        <w:t> </w:t>
      </w:r>
      <w:r>
        <w:rPr>
          <w:color w:val="105C84"/>
        </w:rPr>
        <w:t>are</w:t>
      </w:r>
      <w:r>
        <w:rPr>
          <w:color w:val="105C84"/>
          <w:spacing w:val="24"/>
        </w:rPr>
        <w:t> </w:t>
      </w:r>
      <w:r>
        <w:rPr>
          <w:color w:val="105C84"/>
        </w:rPr>
        <w:t>in</w:t>
      </w:r>
      <w:r>
        <w:rPr>
          <w:color w:val="105C84"/>
          <w:spacing w:val="24"/>
        </w:rPr>
        <w:t> </w:t>
      </w:r>
      <w:r>
        <w:rPr>
          <w:color w:val="105C84"/>
        </w:rPr>
        <w:t>control</w:t>
      </w:r>
      <w:r>
        <w:rPr>
          <w:color w:val="105C84"/>
          <w:spacing w:val="24"/>
        </w:rPr>
        <w:t> </w:t>
      </w:r>
      <w:r>
        <w:rPr>
          <w:color w:val="105C84"/>
        </w:rPr>
        <w:t>of</w:t>
      </w:r>
      <w:r>
        <w:rPr>
          <w:color w:val="105C84"/>
          <w:spacing w:val="24"/>
        </w:rPr>
        <w:t> </w:t>
      </w:r>
      <w:r>
        <w:rPr>
          <w:color w:val="105C84"/>
        </w:rPr>
        <w:t>their</w:t>
      </w:r>
      <w:r>
        <w:rPr>
          <w:color w:val="105C84"/>
          <w:spacing w:val="24"/>
        </w:rPr>
        <w:t> </w:t>
      </w:r>
      <w:r>
        <w:rPr>
          <w:color w:val="105C84"/>
        </w:rPr>
        <w:t>blood</w:t>
      </w:r>
      <w:r>
        <w:rPr>
          <w:color w:val="105C84"/>
          <w:spacing w:val="24"/>
        </w:rPr>
        <w:t> </w:t>
      </w:r>
      <w:r>
        <w:rPr>
          <w:color w:val="105C84"/>
        </w:rPr>
        <w:t>pressure.</w:t>
      </w:r>
      <w:r>
        <w:rPr>
          <w:color w:val="105C84"/>
          <w:spacing w:val="24"/>
        </w:rPr>
        <w:t> </w:t>
      </w:r>
      <w:r>
        <w:rPr>
          <w:color w:val="105C84"/>
        </w:rPr>
        <w:t>Historically,</w:t>
      </w:r>
      <w:r>
        <w:rPr>
          <w:color w:val="105C84"/>
          <w:spacing w:val="24"/>
        </w:rPr>
        <w:t> </w:t>
      </w:r>
      <w:r>
        <w:rPr>
          <w:color w:val="105C84"/>
        </w:rPr>
        <w:t>county</w:t>
      </w:r>
      <w:r>
        <w:rPr>
          <w:color w:val="105C84"/>
          <w:spacing w:val="24"/>
        </w:rPr>
        <w:t> </w:t>
      </w:r>
      <w:r>
        <w:rPr>
          <w:color w:val="105C84"/>
        </w:rPr>
        <w:t>residents</w:t>
      </w:r>
      <w:r>
        <w:rPr>
          <w:color w:val="105C84"/>
          <w:spacing w:val="24"/>
        </w:rPr>
        <w:t> </w:t>
      </w:r>
      <w:r>
        <w:rPr>
          <w:color w:val="105C84"/>
        </w:rPr>
        <w:t>have</w:t>
      </w:r>
      <w:r>
        <w:rPr>
          <w:color w:val="105C84"/>
          <w:spacing w:val="24"/>
        </w:rPr>
        <w:t> </w:t>
      </w:r>
      <w:r>
        <w:rPr>
          <w:color w:val="105C84"/>
        </w:rPr>
        <w:t>varied</w:t>
      </w:r>
      <w:r>
        <w:rPr>
          <w:color w:val="105C84"/>
          <w:spacing w:val="24"/>
        </w:rPr>
        <w:t> </w:t>
      </w:r>
      <w:r>
        <w:rPr>
          <w:color w:val="105C84"/>
        </w:rPr>
        <w:t>very</w:t>
      </w:r>
      <w:r>
        <w:rPr>
          <w:color w:val="105C84"/>
          <w:spacing w:val="24"/>
        </w:rPr>
        <w:t> </w:t>
      </w:r>
      <w:r>
        <w:rPr>
          <w:color w:val="105C84"/>
        </w:rPr>
        <w:t>little in control rate by socioeconomic status, though a gap has begun to form in the most recent data</w:t>
      </w:r>
      <w:r>
        <w:rPr>
          <w:color w:val="105C84"/>
          <w:spacing w:val="80"/>
        </w:rPr>
        <w:t> </w:t>
      </w:r>
      <w:r>
        <w:rPr>
          <w:color w:val="105C84"/>
        </w:rPr>
        <w:t>(Figure 32). Interestingly, we see a reverse scenario than typically expected or seen in other areas where higher socioeconomic patients have a lower control rate, though, only 4% of Schuyler County patients fall within the high SES category. The small numbers may contribute to this finding.</w:t>
      </w:r>
    </w:p>
    <w:p>
      <w:pPr>
        <w:pStyle w:val="BodyText"/>
        <w:spacing w:before="16"/>
      </w:pPr>
    </w:p>
    <w:p>
      <w:pPr>
        <w:pStyle w:val="Heading6"/>
        <w:ind w:left="0"/>
      </w:pPr>
      <w:r>
        <w:rPr>
          <w:color w:val="105C84"/>
          <w:spacing w:val="-6"/>
        </w:rPr>
        <w:t>FIGURE</w:t>
      </w:r>
      <w:r>
        <w:rPr>
          <w:color w:val="105C84"/>
          <w:spacing w:val="-5"/>
        </w:rPr>
        <w:t> </w:t>
      </w:r>
      <w:r>
        <w:rPr>
          <w:color w:val="105C84"/>
          <w:spacing w:val="-6"/>
        </w:rPr>
        <w:t>32:</w:t>
      </w:r>
      <w:r>
        <w:rPr>
          <w:color w:val="105C84"/>
          <w:spacing w:val="-4"/>
        </w:rPr>
        <w:t> </w:t>
      </w:r>
      <w:r>
        <w:rPr>
          <w:color w:val="105C84"/>
          <w:spacing w:val="-6"/>
        </w:rPr>
        <w:t>Schuyler</w:t>
      </w:r>
      <w:r>
        <w:rPr>
          <w:color w:val="105C84"/>
          <w:spacing w:val="-5"/>
        </w:rPr>
        <w:t> </w:t>
      </w:r>
      <w:r>
        <w:rPr>
          <w:color w:val="105C84"/>
          <w:spacing w:val="-6"/>
        </w:rPr>
        <w:t>County</w:t>
      </w:r>
      <w:r>
        <w:rPr>
          <w:color w:val="105C84"/>
          <w:spacing w:val="-4"/>
        </w:rPr>
        <w:t> </w:t>
      </w:r>
      <w:r>
        <w:rPr>
          <w:color w:val="105C84"/>
          <w:spacing w:val="-6"/>
        </w:rPr>
        <w:t>control</w:t>
      </w:r>
      <w:r>
        <w:rPr>
          <w:color w:val="105C84"/>
          <w:spacing w:val="-4"/>
        </w:rPr>
        <w:t> </w:t>
      </w:r>
      <w:r>
        <w:rPr>
          <w:color w:val="105C84"/>
          <w:spacing w:val="-6"/>
        </w:rPr>
        <w:t>rate</w:t>
      </w:r>
      <w:r>
        <w:rPr>
          <w:color w:val="105C84"/>
          <w:spacing w:val="-5"/>
        </w:rPr>
        <w:t> </w:t>
      </w:r>
      <w:r>
        <w:rPr>
          <w:color w:val="105C84"/>
          <w:spacing w:val="-6"/>
        </w:rPr>
        <w:t>by</w:t>
      </w:r>
      <w:r>
        <w:rPr>
          <w:color w:val="105C84"/>
          <w:spacing w:val="-4"/>
        </w:rPr>
        <w:t> </w:t>
      </w:r>
      <w:r>
        <w:rPr>
          <w:color w:val="105C84"/>
          <w:spacing w:val="-6"/>
        </w:rPr>
        <w:t>socioeconomic</w:t>
      </w:r>
      <w:r>
        <w:rPr>
          <w:color w:val="105C84"/>
          <w:spacing w:val="-5"/>
        </w:rPr>
        <w:t> </w:t>
      </w:r>
      <w:r>
        <w:rPr>
          <w:color w:val="105C84"/>
          <w:spacing w:val="-6"/>
        </w:rPr>
        <w:t>status</w:t>
      </w:r>
      <w:r>
        <w:rPr>
          <w:color w:val="105C84"/>
          <w:spacing w:val="-4"/>
        </w:rPr>
        <w:t> </w:t>
      </w:r>
      <w:r>
        <w:rPr>
          <w:color w:val="105C84"/>
          <w:spacing w:val="-6"/>
        </w:rPr>
        <w:t>over</w:t>
      </w:r>
      <w:r>
        <w:rPr>
          <w:color w:val="105C84"/>
          <w:spacing w:val="-4"/>
        </w:rPr>
        <w:t> </w:t>
      </w:r>
      <w:r>
        <w:rPr>
          <w:color w:val="105C84"/>
          <w:spacing w:val="-6"/>
        </w:rPr>
        <w:t>time</w:t>
      </w:r>
    </w:p>
    <w:p>
      <w:pPr>
        <w:pStyle w:val="BodyText"/>
        <w:spacing w:before="27"/>
        <w:rPr>
          <w:b/>
          <w:sz w:val="26"/>
        </w:rPr>
      </w:pPr>
    </w:p>
    <w:p>
      <w:pPr>
        <w:pStyle w:val="BodyText"/>
        <w:ind w:right="9563"/>
        <w:jc w:val="right"/>
      </w:pPr>
      <w:r>
        <w:rPr/>
        <mc:AlternateContent>
          <mc:Choice Requires="wps">
            <w:drawing>
              <wp:anchor distT="0" distB="0" distL="0" distR="0" allowOverlap="1" layoutInCell="1" locked="0" behindDoc="0" simplePos="0" relativeHeight="15825920">
                <wp:simplePos x="0" y="0"/>
                <wp:positionH relativeFrom="page">
                  <wp:posOffset>9063121</wp:posOffset>
                </wp:positionH>
                <wp:positionV relativeFrom="paragraph">
                  <wp:posOffset>44774</wp:posOffset>
                </wp:positionV>
                <wp:extent cx="3790950" cy="2285365"/>
                <wp:effectExtent l="0" t="0" r="0" b="0"/>
                <wp:wrapNone/>
                <wp:docPr id="975" name="Group 975"/>
                <wp:cNvGraphicFramePr>
                  <a:graphicFrameLocks/>
                </wp:cNvGraphicFramePr>
                <a:graphic>
                  <a:graphicData uri="http://schemas.microsoft.com/office/word/2010/wordprocessingGroup">
                    <wpg:wgp>
                      <wpg:cNvPr id="975" name="Group 975"/>
                      <wpg:cNvGrpSpPr/>
                      <wpg:grpSpPr>
                        <a:xfrm>
                          <a:off x="0" y="0"/>
                          <a:ext cx="3790950" cy="2285365"/>
                          <a:chExt cx="3790950" cy="2285365"/>
                        </a:xfrm>
                      </wpg:grpSpPr>
                      <wps:wsp>
                        <wps:cNvPr id="976" name="Graphic 976"/>
                        <wps:cNvSpPr/>
                        <wps:spPr>
                          <a:xfrm>
                            <a:off x="494808" y="400509"/>
                            <a:ext cx="2695575" cy="165735"/>
                          </a:xfrm>
                          <a:custGeom>
                            <a:avLst/>
                            <a:gdLst/>
                            <a:ahLst/>
                            <a:cxnLst/>
                            <a:rect l="l" t="t" r="r" b="b"/>
                            <a:pathLst>
                              <a:path w="2695575" h="165735">
                                <a:moveTo>
                                  <a:pt x="0" y="19253"/>
                                </a:moveTo>
                                <a:lnTo>
                                  <a:pt x="928001" y="165214"/>
                                </a:lnTo>
                                <a:lnTo>
                                  <a:pt x="1856003" y="28359"/>
                                </a:lnTo>
                                <a:lnTo>
                                  <a:pt x="2695028" y="0"/>
                                </a:lnTo>
                              </a:path>
                            </a:pathLst>
                          </a:custGeom>
                          <a:ln w="15532">
                            <a:solidFill>
                              <a:srgbClr val="115C85"/>
                            </a:solidFill>
                            <a:prstDash val="solid"/>
                          </a:ln>
                        </wps:spPr>
                        <wps:bodyPr wrap="square" lIns="0" tIns="0" rIns="0" bIns="0" rtlCol="0">
                          <a:prstTxWarp prst="textNoShape">
                            <a:avLst/>
                          </a:prstTxWarp>
                          <a:noAutofit/>
                        </wps:bodyPr>
                      </wps:wsp>
                      <wps:wsp>
                        <wps:cNvPr id="977" name="Graphic 977"/>
                        <wps:cNvSpPr/>
                        <wps:spPr>
                          <a:xfrm>
                            <a:off x="3568" y="3568"/>
                            <a:ext cx="3746500" cy="2277745"/>
                          </a:xfrm>
                          <a:custGeom>
                            <a:avLst/>
                            <a:gdLst/>
                            <a:ahLst/>
                            <a:cxnLst/>
                            <a:rect l="l" t="t" r="r" b="b"/>
                            <a:pathLst>
                              <a:path w="3746500" h="2277745">
                                <a:moveTo>
                                  <a:pt x="3746258" y="2277668"/>
                                </a:moveTo>
                                <a:lnTo>
                                  <a:pt x="0" y="2277668"/>
                                </a:lnTo>
                                <a:lnTo>
                                  <a:pt x="0" y="0"/>
                                </a:lnTo>
                              </a:path>
                            </a:pathLst>
                          </a:custGeom>
                          <a:ln w="7137">
                            <a:solidFill>
                              <a:srgbClr val="939598"/>
                            </a:solidFill>
                            <a:prstDash val="solid"/>
                          </a:ln>
                        </wps:spPr>
                        <wps:bodyPr wrap="square" lIns="0" tIns="0" rIns="0" bIns="0" rtlCol="0">
                          <a:prstTxWarp prst="textNoShape">
                            <a:avLst/>
                          </a:prstTxWarp>
                          <a:noAutofit/>
                        </wps:bodyPr>
                      </wps:wsp>
                      <wps:wsp>
                        <wps:cNvPr id="978" name="Graphic 978"/>
                        <wps:cNvSpPr/>
                        <wps:spPr>
                          <a:xfrm>
                            <a:off x="2905193" y="1712093"/>
                            <a:ext cx="67310" cy="67310"/>
                          </a:xfrm>
                          <a:custGeom>
                            <a:avLst/>
                            <a:gdLst/>
                            <a:ahLst/>
                            <a:cxnLst/>
                            <a:rect l="l" t="t" r="r" b="b"/>
                            <a:pathLst>
                              <a:path w="67310" h="67310">
                                <a:moveTo>
                                  <a:pt x="66687" y="0"/>
                                </a:moveTo>
                                <a:lnTo>
                                  <a:pt x="0" y="0"/>
                                </a:lnTo>
                                <a:lnTo>
                                  <a:pt x="0" y="66700"/>
                                </a:lnTo>
                                <a:lnTo>
                                  <a:pt x="66687" y="66700"/>
                                </a:lnTo>
                                <a:lnTo>
                                  <a:pt x="66687" y="0"/>
                                </a:lnTo>
                                <a:close/>
                              </a:path>
                            </a:pathLst>
                          </a:custGeom>
                          <a:solidFill>
                            <a:srgbClr val="105B83"/>
                          </a:solidFill>
                        </wps:spPr>
                        <wps:bodyPr wrap="square" lIns="0" tIns="0" rIns="0" bIns="0" rtlCol="0">
                          <a:prstTxWarp prst="textNoShape">
                            <a:avLst/>
                          </a:prstTxWarp>
                          <a:noAutofit/>
                        </wps:bodyPr>
                      </wps:wsp>
                      <wps:wsp>
                        <wps:cNvPr id="979" name="Graphic 979"/>
                        <wps:cNvSpPr/>
                        <wps:spPr>
                          <a:xfrm>
                            <a:off x="2905193" y="1883632"/>
                            <a:ext cx="67310" cy="67310"/>
                          </a:xfrm>
                          <a:custGeom>
                            <a:avLst/>
                            <a:gdLst/>
                            <a:ahLst/>
                            <a:cxnLst/>
                            <a:rect l="l" t="t" r="r" b="b"/>
                            <a:pathLst>
                              <a:path w="67310" h="67310">
                                <a:moveTo>
                                  <a:pt x="66687" y="0"/>
                                </a:moveTo>
                                <a:lnTo>
                                  <a:pt x="0" y="0"/>
                                </a:lnTo>
                                <a:lnTo>
                                  <a:pt x="0" y="66700"/>
                                </a:lnTo>
                                <a:lnTo>
                                  <a:pt x="66687" y="66700"/>
                                </a:lnTo>
                                <a:lnTo>
                                  <a:pt x="66687" y="0"/>
                                </a:lnTo>
                                <a:close/>
                              </a:path>
                            </a:pathLst>
                          </a:custGeom>
                          <a:solidFill>
                            <a:srgbClr val="939598"/>
                          </a:solidFill>
                        </wps:spPr>
                        <wps:bodyPr wrap="square" lIns="0" tIns="0" rIns="0" bIns="0" rtlCol="0">
                          <a:prstTxWarp prst="textNoShape">
                            <a:avLst/>
                          </a:prstTxWarp>
                          <a:noAutofit/>
                        </wps:bodyPr>
                      </wps:wsp>
                      <wps:wsp>
                        <wps:cNvPr id="980" name="Graphic 980"/>
                        <wps:cNvSpPr/>
                        <wps:spPr>
                          <a:xfrm>
                            <a:off x="2905193" y="2041836"/>
                            <a:ext cx="67310" cy="67310"/>
                          </a:xfrm>
                          <a:custGeom>
                            <a:avLst/>
                            <a:gdLst/>
                            <a:ahLst/>
                            <a:cxnLst/>
                            <a:rect l="l" t="t" r="r" b="b"/>
                            <a:pathLst>
                              <a:path w="67310" h="67310">
                                <a:moveTo>
                                  <a:pt x="66687" y="0"/>
                                </a:moveTo>
                                <a:lnTo>
                                  <a:pt x="0" y="0"/>
                                </a:lnTo>
                                <a:lnTo>
                                  <a:pt x="0" y="66700"/>
                                </a:lnTo>
                                <a:lnTo>
                                  <a:pt x="66687" y="66700"/>
                                </a:lnTo>
                                <a:lnTo>
                                  <a:pt x="66687" y="0"/>
                                </a:lnTo>
                                <a:close/>
                              </a:path>
                            </a:pathLst>
                          </a:custGeom>
                          <a:solidFill>
                            <a:srgbClr val="81BF6A"/>
                          </a:solidFill>
                        </wps:spPr>
                        <wps:bodyPr wrap="square" lIns="0" tIns="0" rIns="0" bIns="0" rtlCol="0">
                          <a:prstTxWarp prst="textNoShape">
                            <a:avLst/>
                          </a:prstTxWarp>
                          <a:noAutofit/>
                        </wps:bodyPr>
                      </wps:wsp>
                      <wps:wsp>
                        <wps:cNvPr id="981" name="Graphic 981"/>
                        <wps:cNvSpPr/>
                        <wps:spPr>
                          <a:xfrm>
                            <a:off x="494808" y="322540"/>
                            <a:ext cx="2695575" cy="312420"/>
                          </a:xfrm>
                          <a:custGeom>
                            <a:avLst/>
                            <a:gdLst/>
                            <a:ahLst/>
                            <a:cxnLst/>
                            <a:rect l="l" t="t" r="r" b="b"/>
                            <a:pathLst>
                              <a:path w="2695575" h="312420">
                                <a:moveTo>
                                  <a:pt x="0" y="0"/>
                                </a:moveTo>
                                <a:lnTo>
                                  <a:pt x="928001" y="111391"/>
                                </a:lnTo>
                                <a:lnTo>
                                  <a:pt x="1856003" y="163029"/>
                                </a:lnTo>
                                <a:lnTo>
                                  <a:pt x="2695028" y="311886"/>
                                </a:lnTo>
                              </a:path>
                            </a:pathLst>
                          </a:custGeom>
                          <a:ln w="15532">
                            <a:solidFill>
                              <a:srgbClr val="81BF6A"/>
                            </a:solidFill>
                            <a:prstDash val="solid"/>
                          </a:ln>
                        </wps:spPr>
                        <wps:bodyPr wrap="square" lIns="0" tIns="0" rIns="0" bIns="0" rtlCol="0">
                          <a:prstTxWarp prst="textNoShape">
                            <a:avLst/>
                          </a:prstTxWarp>
                          <a:noAutofit/>
                        </wps:bodyPr>
                      </wps:wsp>
                      <wps:wsp>
                        <wps:cNvPr id="982" name="Graphic 982"/>
                        <wps:cNvSpPr/>
                        <wps:spPr>
                          <a:xfrm>
                            <a:off x="479265" y="308362"/>
                            <a:ext cx="2726690" cy="341630"/>
                          </a:xfrm>
                          <a:custGeom>
                            <a:avLst/>
                            <a:gdLst/>
                            <a:ahLst/>
                            <a:cxnLst/>
                            <a:rect l="l" t="t" r="r" b="b"/>
                            <a:pathLst>
                              <a:path w="2726690" h="341630">
                                <a:moveTo>
                                  <a:pt x="31076" y="6959"/>
                                </a:moveTo>
                                <a:lnTo>
                                  <a:pt x="24130" y="0"/>
                                </a:lnTo>
                                <a:lnTo>
                                  <a:pt x="6959" y="0"/>
                                </a:lnTo>
                                <a:lnTo>
                                  <a:pt x="0" y="6959"/>
                                </a:lnTo>
                                <a:lnTo>
                                  <a:pt x="0" y="24130"/>
                                </a:lnTo>
                                <a:lnTo>
                                  <a:pt x="6959" y="31076"/>
                                </a:lnTo>
                                <a:lnTo>
                                  <a:pt x="24130" y="31076"/>
                                </a:lnTo>
                                <a:lnTo>
                                  <a:pt x="31076" y="24130"/>
                                </a:lnTo>
                                <a:lnTo>
                                  <a:pt x="31076" y="15544"/>
                                </a:lnTo>
                                <a:lnTo>
                                  <a:pt x="31076" y="6959"/>
                                </a:lnTo>
                                <a:close/>
                              </a:path>
                              <a:path w="2726690" h="341630">
                                <a:moveTo>
                                  <a:pt x="959078" y="116979"/>
                                </a:moveTo>
                                <a:lnTo>
                                  <a:pt x="952119" y="110020"/>
                                </a:lnTo>
                                <a:lnTo>
                                  <a:pt x="934961" y="110020"/>
                                </a:lnTo>
                                <a:lnTo>
                                  <a:pt x="928001" y="116979"/>
                                </a:lnTo>
                                <a:lnTo>
                                  <a:pt x="928001" y="134150"/>
                                </a:lnTo>
                                <a:lnTo>
                                  <a:pt x="934961" y="141109"/>
                                </a:lnTo>
                                <a:lnTo>
                                  <a:pt x="952119" y="141109"/>
                                </a:lnTo>
                                <a:lnTo>
                                  <a:pt x="959078" y="134150"/>
                                </a:lnTo>
                                <a:lnTo>
                                  <a:pt x="959078" y="125564"/>
                                </a:lnTo>
                                <a:lnTo>
                                  <a:pt x="959078" y="116979"/>
                                </a:lnTo>
                                <a:close/>
                              </a:path>
                              <a:path w="2726690" h="341630">
                                <a:moveTo>
                                  <a:pt x="1887080" y="169354"/>
                                </a:moveTo>
                                <a:lnTo>
                                  <a:pt x="1880120" y="162394"/>
                                </a:lnTo>
                                <a:lnTo>
                                  <a:pt x="1862963" y="162394"/>
                                </a:lnTo>
                                <a:lnTo>
                                  <a:pt x="1856003" y="169354"/>
                                </a:lnTo>
                                <a:lnTo>
                                  <a:pt x="1856003" y="186512"/>
                                </a:lnTo>
                                <a:lnTo>
                                  <a:pt x="1862963" y="193471"/>
                                </a:lnTo>
                                <a:lnTo>
                                  <a:pt x="1880120" y="193471"/>
                                </a:lnTo>
                                <a:lnTo>
                                  <a:pt x="1887080" y="186512"/>
                                </a:lnTo>
                                <a:lnTo>
                                  <a:pt x="1887080" y="177927"/>
                                </a:lnTo>
                                <a:lnTo>
                                  <a:pt x="1887080" y="169354"/>
                                </a:lnTo>
                                <a:close/>
                              </a:path>
                              <a:path w="2726690" h="341630">
                                <a:moveTo>
                                  <a:pt x="2726105" y="317487"/>
                                </a:moveTo>
                                <a:lnTo>
                                  <a:pt x="2719146" y="310527"/>
                                </a:lnTo>
                                <a:lnTo>
                                  <a:pt x="2701988" y="310527"/>
                                </a:lnTo>
                                <a:lnTo>
                                  <a:pt x="2695029" y="317487"/>
                                </a:lnTo>
                                <a:lnTo>
                                  <a:pt x="2695029" y="334657"/>
                                </a:lnTo>
                                <a:lnTo>
                                  <a:pt x="2701988" y="341617"/>
                                </a:lnTo>
                                <a:lnTo>
                                  <a:pt x="2719146" y="341617"/>
                                </a:lnTo>
                                <a:lnTo>
                                  <a:pt x="2726105" y="334657"/>
                                </a:lnTo>
                                <a:lnTo>
                                  <a:pt x="2726105" y="326072"/>
                                </a:lnTo>
                                <a:lnTo>
                                  <a:pt x="2726105" y="317487"/>
                                </a:lnTo>
                                <a:close/>
                              </a:path>
                            </a:pathLst>
                          </a:custGeom>
                          <a:solidFill>
                            <a:srgbClr val="81BF6A"/>
                          </a:solidFill>
                        </wps:spPr>
                        <wps:bodyPr wrap="square" lIns="0" tIns="0" rIns="0" bIns="0" rtlCol="0">
                          <a:prstTxWarp prst="textNoShape">
                            <a:avLst/>
                          </a:prstTxWarp>
                          <a:noAutofit/>
                        </wps:bodyPr>
                      </wps:wsp>
                      <wps:wsp>
                        <wps:cNvPr id="983" name="Graphic 983"/>
                        <wps:cNvSpPr/>
                        <wps:spPr>
                          <a:xfrm>
                            <a:off x="494808" y="435519"/>
                            <a:ext cx="2695575" cy="51435"/>
                          </a:xfrm>
                          <a:custGeom>
                            <a:avLst/>
                            <a:gdLst/>
                            <a:ahLst/>
                            <a:cxnLst/>
                            <a:rect l="l" t="t" r="r" b="b"/>
                            <a:pathLst>
                              <a:path w="2695575" h="51435">
                                <a:moveTo>
                                  <a:pt x="0" y="14503"/>
                                </a:moveTo>
                                <a:lnTo>
                                  <a:pt x="928001" y="0"/>
                                </a:lnTo>
                                <a:lnTo>
                                  <a:pt x="1856003" y="50965"/>
                                </a:lnTo>
                                <a:lnTo>
                                  <a:pt x="2695028" y="7518"/>
                                </a:lnTo>
                              </a:path>
                            </a:pathLst>
                          </a:custGeom>
                          <a:ln w="15532">
                            <a:solidFill>
                              <a:srgbClr val="939598"/>
                            </a:solidFill>
                            <a:prstDash val="solid"/>
                          </a:ln>
                        </wps:spPr>
                        <wps:bodyPr wrap="square" lIns="0" tIns="0" rIns="0" bIns="0" rtlCol="0">
                          <a:prstTxWarp prst="textNoShape">
                            <a:avLst/>
                          </a:prstTxWarp>
                          <a:noAutofit/>
                        </wps:bodyPr>
                      </wps:wsp>
                      <wps:wsp>
                        <wps:cNvPr id="984" name="Graphic 984"/>
                        <wps:cNvSpPr/>
                        <wps:spPr>
                          <a:xfrm>
                            <a:off x="479265" y="427500"/>
                            <a:ext cx="2726690" cy="83185"/>
                          </a:xfrm>
                          <a:custGeom>
                            <a:avLst/>
                            <a:gdLst/>
                            <a:ahLst/>
                            <a:cxnLst/>
                            <a:rect l="l" t="t" r="r" b="b"/>
                            <a:pathLst>
                              <a:path w="2726690" h="83185">
                                <a:moveTo>
                                  <a:pt x="31076" y="17411"/>
                                </a:moveTo>
                                <a:lnTo>
                                  <a:pt x="24130" y="10452"/>
                                </a:lnTo>
                                <a:lnTo>
                                  <a:pt x="6959" y="10452"/>
                                </a:lnTo>
                                <a:lnTo>
                                  <a:pt x="0" y="17411"/>
                                </a:lnTo>
                                <a:lnTo>
                                  <a:pt x="0" y="34582"/>
                                </a:lnTo>
                                <a:lnTo>
                                  <a:pt x="6959" y="41529"/>
                                </a:lnTo>
                                <a:lnTo>
                                  <a:pt x="24130" y="41529"/>
                                </a:lnTo>
                                <a:lnTo>
                                  <a:pt x="31076" y="34582"/>
                                </a:lnTo>
                                <a:lnTo>
                                  <a:pt x="31076" y="25996"/>
                                </a:lnTo>
                                <a:lnTo>
                                  <a:pt x="31076" y="17411"/>
                                </a:lnTo>
                                <a:close/>
                              </a:path>
                              <a:path w="2726690" h="83185">
                                <a:moveTo>
                                  <a:pt x="959078" y="6959"/>
                                </a:moveTo>
                                <a:lnTo>
                                  <a:pt x="952119" y="0"/>
                                </a:lnTo>
                                <a:lnTo>
                                  <a:pt x="934961" y="0"/>
                                </a:lnTo>
                                <a:lnTo>
                                  <a:pt x="928001" y="6959"/>
                                </a:lnTo>
                                <a:lnTo>
                                  <a:pt x="928001" y="24130"/>
                                </a:lnTo>
                                <a:lnTo>
                                  <a:pt x="934961" y="31089"/>
                                </a:lnTo>
                                <a:lnTo>
                                  <a:pt x="952119" y="31089"/>
                                </a:lnTo>
                                <a:lnTo>
                                  <a:pt x="959078" y="24130"/>
                                </a:lnTo>
                                <a:lnTo>
                                  <a:pt x="959078" y="15544"/>
                                </a:lnTo>
                                <a:lnTo>
                                  <a:pt x="959078" y="6959"/>
                                </a:lnTo>
                                <a:close/>
                              </a:path>
                              <a:path w="2726690" h="83185">
                                <a:moveTo>
                                  <a:pt x="1887080" y="58762"/>
                                </a:moveTo>
                                <a:lnTo>
                                  <a:pt x="1880120" y="51803"/>
                                </a:lnTo>
                                <a:lnTo>
                                  <a:pt x="1862963" y="51803"/>
                                </a:lnTo>
                                <a:lnTo>
                                  <a:pt x="1856003" y="58762"/>
                                </a:lnTo>
                                <a:lnTo>
                                  <a:pt x="1856003" y="75933"/>
                                </a:lnTo>
                                <a:lnTo>
                                  <a:pt x="1862963" y="82880"/>
                                </a:lnTo>
                                <a:lnTo>
                                  <a:pt x="1880120" y="82880"/>
                                </a:lnTo>
                                <a:lnTo>
                                  <a:pt x="1887080" y="75933"/>
                                </a:lnTo>
                                <a:lnTo>
                                  <a:pt x="1887080" y="67348"/>
                                </a:lnTo>
                                <a:lnTo>
                                  <a:pt x="1887080" y="58762"/>
                                </a:lnTo>
                                <a:close/>
                              </a:path>
                              <a:path w="2726690" h="83185">
                                <a:moveTo>
                                  <a:pt x="2726105" y="6959"/>
                                </a:moveTo>
                                <a:lnTo>
                                  <a:pt x="2719146" y="0"/>
                                </a:lnTo>
                                <a:lnTo>
                                  <a:pt x="2701988" y="0"/>
                                </a:lnTo>
                                <a:lnTo>
                                  <a:pt x="2695029" y="6959"/>
                                </a:lnTo>
                                <a:lnTo>
                                  <a:pt x="2695029" y="24130"/>
                                </a:lnTo>
                                <a:lnTo>
                                  <a:pt x="2701988" y="31089"/>
                                </a:lnTo>
                                <a:lnTo>
                                  <a:pt x="2719146" y="31089"/>
                                </a:lnTo>
                                <a:lnTo>
                                  <a:pt x="2726105" y="24130"/>
                                </a:lnTo>
                                <a:lnTo>
                                  <a:pt x="2726105" y="15544"/>
                                </a:lnTo>
                                <a:lnTo>
                                  <a:pt x="2726105" y="6959"/>
                                </a:lnTo>
                                <a:close/>
                              </a:path>
                            </a:pathLst>
                          </a:custGeom>
                          <a:solidFill>
                            <a:srgbClr val="939598"/>
                          </a:solidFill>
                        </wps:spPr>
                        <wps:bodyPr wrap="square" lIns="0" tIns="0" rIns="0" bIns="0" rtlCol="0">
                          <a:prstTxWarp prst="textNoShape">
                            <a:avLst/>
                          </a:prstTxWarp>
                          <a:noAutofit/>
                        </wps:bodyPr>
                      </wps:wsp>
                      <wps:wsp>
                        <wps:cNvPr id="985" name="Graphic 985"/>
                        <wps:cNvSpPr/>
                        <wps:spPr>
                          <a:xfrm>
                            <a:off x="479265" y="384981"/>
                            <a:ext cx="2726690" cy="196850"/>
                          </a:xfrm>
                          <a:custGeom>
                            <a:avLst/>
                            <a:gdLst/>
                            <a:ahLst/>
                            <a:cxnLst/>
                            <a:rect l="l" t="t" r="r" b="b"/>
                            <a:pathLst>
                              <a:path w="2726690" h="196850">
                                <a:moveTo>
                                  <a:pt x="31076" y="24853"/>
                                </a:moveTo>
                                <a:lnTo>
                                  <a:pt x="24130" y="17894"/>
                                </a:lnTo>
                                <a:lnTo>
                                  <a:pt x="6959" y="17894"/>
                                </a:lnTo>
                                <a:lnTo>
                                  <a:pt x="0" y="24853"/>
                                </a:lnTo>
                                <a:lnTo>
                                  <a:pt x="0" y="42011"/>
                                </a:lnTo>
                                <a:lnTo>
                                  <a:pt x="6959" y="48971"/>
                                </a:lnTo>
                                <a:lnTo>
                                  <a:pt x="24130" y="48971"/>
                                </a:lnTo>
                                <a:lnTo>
                                  <a:pt x="31076" y="42011"/>
                                </a:lnTo>
                                <a:lnTo>
                                  <a:pt x="31076" y="33439"/>
                                </a:lnTo>
                                <a:lnTo>
                                  <a:pt x="31076" y="24853"/>
                                </a:lnTo>
                                <a:close/>
                              </a:path>
                              <a:path w="2726690" h="196850">
                                <a:moveTo>
                                  <a:pt x="959078" y="172161"/>
                                </a:moveTo>
                                <a:lnTo>
                                  <a:pt x="952119" y="165214"/>
                                </a:lnTo>
                                <a:lnTo>
                                  <a:pt x="934961" y="165214"/>
                                </a:lnTo>
                                <a:lnTo>
                                  <a:pt x="928001" y="172161"/>
                                </a:lnTo>
                                <a:lnTo>
                                  <a:pt x="928001" y="189331"/>
                                </a:lnTo>
                                <a:lnTo>
                                  <a:pt x="934961" y="196291"/>
                                </a:lnTo>
                                <a:lnTo>
                                  <a:pt x="952119" y="196291"/>
                                </a:lnTo>
                                <a:lnTo>
                                  <a:pt x="959078" y="189331"/>
                                </a:lnTo>
                                <a:lnTo>
                                  <a:pt x="959078" y="180746"/>
                                </a:lnTo>
                                <a:lnTo>
                                  <a:pt x="959078" y="172161"/>
                                </a:lnTo>
                                <a:close/>
                              </a:path>
                              <a:path w="2726690" h="196850">
                                <a:moveTo>
                                  <a:pt x="1887080" y="37490"/>
                                </a:moveTo>
                                <a:lnTo>
                                  <a:pt x="1880120" y="30530"/>
                                </a:lnTo>
                                <a:lnTo>
                                  <a:pt x="1862963" y="30530"/>
                                </a:lnTo>
                                <a:lnTo>
                                  <a:pt x="1856003" y="37490"/>
                                </a:lnTo>
                                <a:lnTo>
                                  <a:pt x="1856003" y="54660"/>
                                </a:lnTo>
                                <a:lnTo>
                                  <a:pt x="1862963" y="61620"/>
                                </a:lnTo>
                                <a:lnTo>
                                  <a:pt x="1880120" y="61620"/>
                                </a:lnTo>
                                <a:lnTo>
                                  <a:pt x="1887080" y="54660"/>
                                </a:lnTo>
                                <a:lnTo>
                                  <a:pt x="1887080" y="46075"/>
                                </a:lnTo>
                                <a:lnTo>
                                  <a:pt x="1887080" y="37490"/>
                                </a:lnTo>
                                <a:close/>
                              </a:path>
                              <a:path w="2726690" h="196850">
                                <a:moveTo>
                                  <a:pt x="2726105" y="6959"/>
                                </a:moveTo>
                                <a:lnTo>
                                  <a:pt x="2719146" y="0"/>
                                </a:lnTo>
                                <a:lnTo>
                                  <a:pt x="2701988" y="0"/>
                                </a:lnTo>
                                <a:lnTo>
                                  <a:pt x="2695029" y="6959"/>
                                </a:lnTo>
                                <a:lnTo>
                                  <a:pt x="2695029" y="24130"/>
                                </a:lnTo>
                                <a:lnTo>
                                  <a:pt x="2701988" y="31089"/>
                                </a:lnTo>
                                <a:lnTo>
                                  <a:pt x="2719146" y="31089"/>
                                </a:lnTo>
                                <a:lnTo>
                                  <a:pt x="2726105" y="24130"/>
                                </a:lnTo>
                                <a:lnTo>
                                  <a:pt x="2726105" y="15544"/>
                                </a:lnTo>
                                <a:lnTo>
                                  <a:pt x="2726105" y="6959"/>
                                </a:lnTo>
                                <a:close/>
                              </a:path>
                            </a:pathLst>
                          </a:custGeom>
                          <a:solidFill>
                            <a:srgbClr val="105B83"/>
                          </a:solidFill>
                        </wps:spPr>
                        <wps:bodyPr wrap="square" lIns="0" tIns="0" rIns="0" bIns="0" rtlCol="0">
                          <a:prstTxWarp prst="textNoShape">
                            <a:avLst/>
                          </a:prstTxWarp>
                          <a:noAutofit/>
                        </wps:bodyPr>
                      </wps:wsp>
                      <wps:wsp>
                        <wps:cNvPr id="986" name="Textbox 986"/>
                        <wps:cNvSpPr txBox="1"/>
                        <wps:spPr>
                          <a:xfrm>
                            <a:off x="295622" y="263574"/>
                            <a:ext cx="177800" cy="328295"/>
                          </a:xfrm>
                          <a:prstGeom prst="rect">
                            <a:avLst/>
                          </a:prstGeom>
                        </wps:spPr>
                        <wps:txbx>
                          <w:txbxContent>
                            <w:p>
                              <w:pPr>
                                <w:spacing w:before="8"/>
                                <w:ind w:left="0" w:right="0" w:firstLine="0"/>
                                <w:jc w:val="left"/>
                                <w:rPr>
                                  <w:sz w:val="14"/>
                                </w:rPr>
                              </w:pPr>
                              <w:r>
                                <w:rPr>
                                  <w:color w:val="636466"/>
                                  <w:spacing w:val="-5"/>
                                  <w:sz w:val="14"/>
                                </w:rPr>
                                <w:t>86%</w:t>
                              </w:r>
                            </w:p>
                            <w:p>
                              <w:pPr>
                                <w:spacing w:line="157" w:lineRule="exact" w:before="13"/>
                                <w:ind w:left="0" w:right="0" w:firstLine="0"/>
                                <w:jc w:val="left"/>
                                <w:rPr>
                                  <w:sz w:val="14"/>
                                </w:rPr>
                              </w:pPr>
                              <w:r>
                                <w:rPr>
                                  <w:color w:val="636466"/>
                                  <w:spacing w:val="-5"/>
                                  <w:sz w:val="14"/>
                                </w:rPr>
                                <w:t>82%</w:t>
                              </w:r>
                            </w:p>
                            <w:p>
                              <w:pPr>
                                <w:spacing w:line="157" w:lineRule="exact" w:before="0"/>
                                <w:ind w:left="0" w:right="0" w:firstLine="0"/>
                                <w:jc w:val="left"/>
                                <w:rPr>
                                  <w:sz w:val="14"/>
                                </w:rPr>
                              </w:pPr>
                              <w:r>
                                <w:rPr>
                                  <w:color w:val="636466"/>
                                  <w:spacing w:val="-5"/>
                                  <w:sz w:val="14"/>
                                </w:rPr>
                                <w:t>81%</w:t>
                              </w:r>
                            </w:p>
                          </w:txbxContent>
                        </wps:txbx>
                        <wps:bodyPr wrap="square" lIns="0" tIns="0" rIns="0" bIns="0" rtlCol="0">
                          <a:noAutofit/>
                        </wps:bodyPr>
                      </wps:wsp>
                      <wps:wsp>
                        <wps:cNvPr id="987" name="Textbox 987"/>
                        <wps:cNvSpPr txBox="1"/>
                        <wps:spPr>
                          <a:xfrm>
                            <a:off x="1352910" y="300379"/>
                            <a:ext cx="205104" cy="391160"/>
                          </a:xfrm>
                          <a:prstGeom prst="rect">
                            <a:avLst/>
                          </a:prstGeom>
                        </wps:spPr>
                        <wps:txbx>
                          <w:txbxContent>
                            <w:p>
                              <w:pPr>
                                <w:spacing w:before="8"/>
                                <w:ind w:left="0" w:right="0" w:firstLine="0"/>
                                <w:jc w:val="left"/>
                                <w:rPr>
                                  <w:sz w:val="14"/>
                                </w:rPr>
                              </w:pPr>
                              <w:r>
                                <w:rPr>
                                  <w:color w:val="636466"/>
                                  <w:spacing w:val="-5"/>
                                  <w:sz w:val="14"/>
                                </w:rPr>
                                <w:t>82%</w:t>
                              </w:r>
                            </w:p>
                            <w:p>
                              <w:pPr>
                                <w:spacing w:before="81"/>
                                <w:ind w:left="27" w:right="0" w:firstLine="0"/>
                                <w:jc w:val="left"/>
                                <w:rPr>
                                  <w:sz w:val="14"/>
                                </w:rPr>
                              </w:pPr>
                              <w:r>
                                <w:rPr>
                                  <w:color w:val="636466"/>
                                  <w:spacing w:val="-5"/>
                                  <w:sz w:val="14"/>
                                </w:rPr>
                                <w:t>82%</w:t>
                              </w:r>
                            </w:p>
                            <w:p>
                              <w:pPr>
                                <w:spacing w:before="22"/>
                                <w:ind w:left="42" w:right="0" w:firstLine="0"/>
                                <w:jc w:val="left"/>
                                <w:rPr>
                                  <w:sz w:val="14"/>
                                </w:rPr>
                              </w:pPr>
                              <w:r>
                                <w:rPr>
                                  <w:color w:val="636466"/>
                                  <w:spacing w:val="-5"/>
                                  <w:sz w:val="14"/>
                                </w:rPr>
                                <w:t>77%</w:t>
                              </w:r>
                            </w:p>
                          </w:txbxContent>
                        </wps:txbx>
                        <wps:bodyPr wrap="square" lIns="0" tIns="0" rIns="0" bIns="0" rtlCol="0">
                          <a:noAutofit/>
                        </wps:bodyPr>
                      </wps:wsp>
                      <wps:wsp>
                        <wps:cNvPr id="988" name="Textbox 988"/>
                        <wps:cNvSpPr txBox="1"/>
                        <wps:spPr>
                          <a:xfrm>
                            <a:off x="2218796" y="313091"/>
                            <a:ext cx="370840" cy="317500"/>
                          </a:xfrm>
                          <a:prstGeom prst="rect">
                            <a:avLst/>
                          </a:prstGeom>
                        </wps:spPr>
                        <wps:txbx>
                          <w:txbxContent>
                            <w:p>
                              <w:pPr>
                                <w:spacing w:before="8"/>
                                <w:ind w:left="0" w:right="45" w:firstLine="0"/>
                                <w:jc w:val="center"/>
                                <w:rPr>
                                  <w:sz w:val="14"/>
                                </w:rPr>
                              </w:pPr>
                              <w:r>
                                <w:rPr>
                                  <w:color w:val="636466"/>
                                  <w:spacing w:val="-5"/>
                                  <w:sz w:val="14"/>
                                </w:rPr>
                                <w:t>81%</w:t>
                              </w:r>
                            </w:p>
                            <w:p>
                              <w:pPr>
                                <w:spacing w:before="128"/>
                                <w:ind w:left="0" w:right="18" w:firstLine="0"/>
                                <w:jc w:val="center"/>
                                <w:rPr>
                                  <w:sz w:val="14"/>
                                </w:rPr>
                              </w:pPr>
                              <w:r>
                                <w:rPr>
                                  <w:color w:val="636466"/>
                                  <w:spacing w:val="-6"/>
                                  <w:position w:val="2"/>
                                  <w:sz w:val="14"/>
                                </w:rPr>
                                <w:t>78%</w:t>
                              </w:r>
                              <w:r>
                                <w:rPr>
                                  <w:color w:val="636466"/>
                                  <w:spacing w:val="-1"/>
                                  <w:position w:val="2"/>
                                  <w:sz w:val="14"/>
                                </w:rPr>
                                <w:t> </w:t>
                              </w:r>
                              <w:r>
                                <w:rPr>
                                  <w:color w:val="636466"/>
                                  <w:spacing w:val="-10"/>
                                  <w:sz w:val="14"/>
                                </w:rPr>
                                <w:t>78%</w:t>
                              </w:r>
                            </w:p>
                          </w:txbxContent>
                        </wps:txbx>
                        <wps:bodyPr wrap="square" lIns="0" tIns="0" rIns="0" bIns="0" rtlCol="0">
                          <a:noAutofit/>
                        </wps:bodyPr>
                      </wps:wsp>
                      <wps:wsp>
                        <wps:cNvPr id="989" name="Textbox 989"/>
                        <wps:cNvSpPr txBox="1"/>
                        <wps:spPr>
                          <a:xfrm>
                            <a:off x="3224789" y="312202"/>
                            <a:ext cx="182880" cy="368935"/>
                          </a:xfrm>
                          <a:prstGeom prst="rect">
                            <a:avLst/>
                          </a:prstGeom>
                        </wps:spPr>
                        <wps:txbx>
                          <w:txbxContent>
                            <w:p>
                              <w:pPr>
                                <w:spacing w:before="8"/>
                                <w:ind w:left="0" w:right="0" w:firstLine="0"/>
                                <w:jc w:val="left"/>
                                <w:rPr>
                                  <w:sz w:val="14"/>
                                </w:rPr>
                              </w:pPr>
                              <w:r>
                                <w:rPr>
                                  <w:color w:val="636466"/>
                                  <w:spacing w:val="-5"/>
                                  <w:sz w:val="14"/>
                                </w:rPr>
                                <w:t>82%</w:t>
                              </w:r>
                            </w:p>
                            <w:p>
                              <w:pPr>
                                <w:spacing w:before="1"/>
                                <w:ind w:left="7" w:right="0" w:firstLine="0"/>
                                <w:jc w:val="left"/>
                                <w:rPr>
                                  <w:sz w:val="14"/>
                                </w:rPr>
                              </w:pPr>
                              <w:r>
                                <w:rPr>
                                  <w:color w:val="636466"/>
                                  <w:spacing w:val="-5"/>
                                  <w:sz w:val="14"/>
                                </w:rPr>
                                <w:t>81%</w:t>
                              </w:r>
                            </w:p>
                            <w:p>
                              <w:pPr>
                                <w:spacing w:before="66"/>
                                <w:ind w:left="7" w:right="0" w:firstLine="0"/>
                                <w:jc w:val="left"/>
                                <w:rPr>
                                  <w:sz w:val="14"/>
                                </w:rPr>
                              </w:pPr>
                              <w:r>
                                <w:rPr>
                                  <w:color w:val="636466"/>
                                  <w:spacing w:val="-5"/>
                                  <w:sz w:val="14"/>
                                </w:rPr>
                                <w:t>72%</w:t>
                              </w:r>
                            </w:p>
                          </w:txbxContent>
                        </wps:txbx>
                        <wps:bodyPr wrap="square" lIns="0" tIns="0" rIns="0" bIns="0" rtlCol="0">
                          <a:noAutofit/>
                        </wps:bodyPr>
                      </wps:wsp>
                      <wps:wsp>
                        <wps:cNvPr id="990" name="Textbox 990"/>
                        <wps:cNvSpPr txBox="1"/>
                        <wps:spPr>
                          <a:xfrm>
                            <a:off x="3038151" y="1681745"/>
                            <a:ext cx="752475" cy="464820"/>
                          </a:xfrm>
                          <a:prstGeom prst="rect">
                            <a:avLst/>
                          </a:prstGeom>
                        </wps:spPr>
                        <wps:txbx>
                          <w:txbxContent>
                            <w:p>
                              <w:pPr>
                                <w:numPr>
                                  <w:ilvl w:val="0"/>
                                  <w:numId w:val="24"/>
                                </w:numPr>
                                <w:tabs>
                                  <w:tab w:pos="119" w:val="left" w:leader="none"/>
                                </w:tabs>
                                <w:spacing w:before="8"/>
                                <w:ind w:left="119" w:right="0" w:hanging="119"/>
                                <w:jc w:val="left"/>
                                <w:rPr>
                                  <w:sz w:val="14"/>
                                </w:rPr>
                              </w:pPr>
                              <w:r>
                                <w:rPr>
                                  <w:color w:val="105B83"/>
                                  <w:sz w:val="14"/>
                                </w:rPr>
                                <w:t>LOW</w:t>
                              </w:r>
                              <w:r>
                                <w:rPr>
                                  <w:color w:val="105B83"/>
                                  <w:spacing w:val="-3"/>
                                  <w:sz w:val="14"/>
                                </w:rPr>
                                <w:t> </w:t>
                              </w:r>
                              <w:r>
                                <w:rPr>
                                  <w:color w:val="105B83"/>
                                  <w:spacing w:val="-5"/>
                                  <w:sz w:val="14"/>
                                </w:rPr>
                                <w:t>SES</w:t>
                              </w:r>
                            </w:p>
                            <w:p>
                              <w:pPr>
                                <w:numPr>
                                  <w:ilvl w:val="0"/>
                                  <w:numId w:val="24"/>
                                </w:numPr>
                                <w:tabs>
                                  <w:tab w:pos="119" w:val="left" w:leader="none"/>
                                </w:tabs>
                                <w:spacing w:before="119"/>
                                <w:ind w:left="119" w:right="0" w:hanging="119"/>
                                <w:jc w:val="left"/>
                                <w:rPr>
                                  <w:sz w:val="14"/>
                                </w:rPr>
                              </w:pPr>
                              <w:r>
                                <w:rPr>
                                  <w:color w:val="105B83"/>
                                  <w:w w:val="95"/>
                                  <w:sz w:val="14"/>
                                </w:rPr>
                                <w:t>MODERATE</w:t>
                              </w:r>
                              <w:r>
                                <w:rPr>
                                  <w:color w:val="105B83"/>
                                  <w:spacing w:val="12"/>
                                  <w:sz w:val="14"/>
                                </w:rPr>
                                <w:t> </w:t>
                              </w:r>
                              <w:r>
                                <w:rPr>
                                  <w:color w:val="105B83"/>
                                  <w:spacing w:val="-5"/>
                                  <w:w w:val="90"/>
                                  <w:sz w:val="14"/>
                                </w:rPr>
                                <w:t>SES</w:t>
                              </w:r>
                            </w:p>
                            <w:p>
                              <w:pPr>
                                <w:numPr>
                                  <w:ilvl w:val="0"/>
                                  <w:numId w:val="24"/>
                                </w:numPr>
                                <w:tabs>
                                  <w:tab w:pos="119" w:val="left" w:leader="none"/>
                                </w:tabs>
                                <w:spacing w:before="99"/>
                                <w:ind w:left="119" w:right="0" w:hanging="119"/>
                                <w:jc w:val="left"/>
                                <w:rPr>
                                  <w:sz w:val="14"/>
                                </w:rPr>
                              </w:pPr>
                              <w:r>
                                <w:rPr>
                                  <w:color w:val="105B83"/>
                                  <w:sz w:val="14"/>
                                </w:rPr>
                                <w:t>HIGH</w:t>
                              </w:r>
                              <w:r>
                                <w:rPr>
                                  <w:color w:val="105B83"/>
                                  <w:spacing w:val="-7"/>
                                  <w:sz w:val="14"/>
                                </w:rPr>
                                <w:t> </w:t>
                              </w:r>
                              <w:r>
                                <w:rPr>
                                  <w:color w:val="105B83"/>
                                  <w:spacing w:val="-5"/>
                                  <w:sz w:val="14"/>
                                </w:rPr>
                                <w:t>SES</w:t>
                              </w:r>
                            </w:p>
                          </w:txbxContent>
                        </wps:txbx>
                        <wps:bodyPr wrap="square" lIns="0" tIns="0" rIns="0" bIns="0" rtlCol="0">
                          <a:noAutofit/>
                        </wps:bodyPr>
                      </wps:wsp>
                    </wpg:wgp>
                  </a:graphicData>
                </a:graphic>
              </wp:anchor>
            </w:drawing>
          </mc:Choice>
          <mc:Fallback>
            <w:pict>
              <v:group style="position:absolute;margin-left:713.631592pt;margin-top:3.525581pt;width:298.5pt;height:179.95pt;mso-position-horizontal-relative:page;mso-position-vertical-relative:paragraph;z-index:15825920" id="docshapegroup798" coordorigin="14273,71" coordsize="5970,3599">
                <v:shape style="position:absolute;left:15051;top:701;width:4245;height:261" id="docshape799" coordorigin="15052,701" coordsize="4245,261" path="m15052,732l16513,961,17975,746,19296,701e" filled="false" stroked="true" strokeweight="1.223pt" strokecolor="#115c85">
                  <v:path arrowok="t"/>
                  <v:stroke dashstyle="solid"/>
                </v:shape>
                <v:shape style="position:absolute;left:14278;top:76;width:5900;height:3587" id="docshape800" coordorigin="14278,76" coordsize="5900,3587" path="m20178,3663l14278,3663,14278,76e" filled="false" stroked="true" strokeweight=".562pt" strokecolor="#939598">
                  <v:path arrowok="t"/>
                  <v:stroke dashstyle="solid"/>
                </v:shape>
                <v:rect style="position:absolute;left:18847;top:2766;width:106;height:106" id="docshape801" filled="true" fillcolor="#105b83" stroked="false">
                  <v:fill type="solid"/>
                </v:rect>
                <v:rect style="position:absolute;left:18847;top:3036;width:106;height:106" id="docshape802" filled="true" fillcolor="#939598" stroked="false">
                  <v:fill type="solid"/>
                </v:rect>
                <v:rect style="position:absolute;left:18847;top:3286;width:106;height:106" id="docshape803" filled="true" fillcolor="#81bf6a" stroked="false">
                  <v:fill type="solid"/>
                </v:rect>
                <v:shape style="position:absolute;left:15051;top:578;width:4245;height:492" id="docshape804" coordorigin="15052,578" coordsize="4245,492" path="m15052,578l16513,754,17975,835,19296,1070e" filled="false" stroked="true" strokeweight="1.223pt" strokecolor="#81bf6a">
                  <v:path arrowok="t"/>
                  <v:stroke dashstyle="solid"/>
                </v:shape>
                <v:shape style="position:absolute;left:15027;top:556;width:4294;height:538" id="docshape805" coordorigin="15027,556" coordsize="4294,538" path="m15076,567l15065,556,15038,556,15027,567,15027,594,15038,605,15065,605,15076,594,15076,581,15076,567xm16538,740l16527,729,16500,729,16489,740,16489,767,16500,778,16527,778,16538,767,16538,754,16538,740xm17999,823l17988,812,17961,812,17950,823,17950,850,17961,861,17988,861,17999,850,17999,836,17999,823xm19320,1056l19310,1045,19282,1045,19272,1056,19272,1083,19282,1094,19310,1094,19320,1083,19320,1070,19320,1056xe" filled="true" fillcolor="#81bf6a" stroked="false">
                  <v:path arrowok="t"/>
                  <v:fill type="solid"/>
                </v:shape>
                <v:shape style="position:absolute;left:15051;top:756;width:4245;height:81" id="docshape806" coordorigin="15052,756" coordsize="4245,81" path="m15052,779l16513,756,17975,837,19296,768e" filled="false" stroked="true" strokeweight="1.223pt" strokecolor="#939598">
                  <v:path arrowok="t"/>
                  <v:stroke dashstyle="solid"/>
                </v:shape>
                <v:shape style="position:absolute;left:15027;top:743;width:4294;height:131" id="docshape807" coordorigin="15027,744" coordsize="4294,131" path="m15076,771l15065,760,15038,760,15027,771,15027,798,15038,809,15065,809,15076,798,15076,785,15076,771xm16538,755l16527,744,16500,744,16489,755,16489,782,16500,793,16527,793,16538,782,16538,768,16538,755xm17999,836l17988,825,17961,825,17950,836,17950,863,17961,874,17988,874,17999,863,17999,850,17999,836xm19320,755l19310,744,19282,744,19272,755,19272,782,19282,793,19310,793,19320,782,19320,768,19320,755xe" filled="true" fillcolor="#939598" stroked="false">
                  <v:path arrowok="t"/>
                  <v:fill type="solid"/>
                </v:shape>
                <v:shape style="position:absolute;left:15027;top:676;width:4294;height:310" id="docshape808" coordorigin="15027,677" coordsize="4294,310" path="m15076,716l15065,705,15038,705,15027,716,15027,743,15038,754,15065,754,15076,743,15076,729,15076,716xm16538,948l16527,937,16500,937,16489,948,16489,975,16500,986,16527,986,16538,975,16538,961,16538,948xm17999,736l17988,725,17961,725,17950,736,17950,763,17961,774,17988,774,17999,763,17999,749,17999,736xm19320,688l19310,677,19282,677,19272,688,19272,715,19282,726,19310,726,19320,715,19320,701,19320,688xe" filled="true" fillcolor="#105b83" stroked="false">
                  <v:path arrowok="t"/>
                  <v:fill type="solid"/>
                </v:shape>
                <v:shape style="position:absolute;left:14738;top:485;width:280;height:517" type="#_x0000_t202" id="docshape809" filled="false" stroked="false">
                  <v:textbox inset="0,0,0,0">
                    <w:txbxContent>
                      <w:p>
                        <w:pPr>
                          <w:spacing w:before="8"/>
                          <w:ind w:left="0" w:right="0" w:firstLine="0"/>
                          <w:jc w:val="left"/>
                          <w:rPr>
                            <w:sz w:val="14"/>
                          </w:rPr>
                        </w:pPr>
                        <w:r>
                          <w:rPr>
                            <w:color w:val="636466"/>
                            <w:spacing w:val="-5"/>
                            <w:sz w:val="14"/>
                          </w:rPr>
                          <w:t>86%</w:t>
                        </w:r>
                      </w:p>
                      <w:p>
                        <w:pPr>
                          <w:spacing w:line="157" w:lineRule="exact" w:before="13"/>
                          <w:ind w:left="0" w:right="0" w:firstLine="0"/>
                          <w:jc w:val="left"/>
                          <w:rPr>
                            <w:sz w:val="14"/>
                          </w:rPr>
                        </w:pPr>
                        <w:r>
                          <w:rPr>
                            <w:color w:val="636466"/>
                            <w:spacing w:val="-5"/>
                            <w:sz w:val="14"/>
                          </w:rPr>
                          <w:t>82%</w:t>
                        </w:r>
                      </w:p>
                      <w:p>
                        <w:pPr>
                          <w:spacing w:line="157" w:lineRule="exact" w:before="0"/>
                          <w:ind w:left="0" w:right="0" w:firstLine="0"/>
                          <w:jc w:val="left"/>
                          <w:rPr>
                            <w:sz w:val="14"/>
                          </w:rPr>
                        </w:pPr>
                        <w:r>
                          <w:rPr>
                            <w:color w:val="636466"/>
                            <w:spacing w:val="-5"/>
                            <w:sz w:val="14"/>
                          </w:rPr>
                          <w:t>81%</w:t>
                        </w:r>
                      </w:p>
                    </w:txbxContent>
                  </v:textbox>
                  <w10:wrap type="none"/>
                </v:shape>
                <v:shape style="position:absolute;left:16403;top:543;width:323;height:616" type="#_x0000_t202" id="docshape810" filled="false" stroked="false">
                  <v:textbox inset="0,0,0,0">
                    <w:txbxContent>
                      <w:p>
                        <w:pPr>
                          <w:spacing w:before="8"/>
                          <w:ind w:left="0" w:right="0" w:firstLine="0"/>
                          <w:jc w:val="left"/>
                          <w:rPr>
                            <w:sz w:val="14"/>
                          </w:rPr>
                        </w:pPr>
                        <w:r>
                          <w:rPr>
                            <w:color w:val="636466"/>
                            <w:spacing w:val="-5"/>
                            <w:sz w:val="14"/>
                          </w:rPr>
                          <w:t>82%</w:t>
                        </w:r>
                      </w:p>
                      <w:p>
                        <w:pPr>
                          <w:spacing w:before="81"/>
                          <w:ind w:left="27" w:right="0" w:firstLine="0"/>
                          <w:jc w:val="left"/>
                          <w:rPr>
                            <w:sz w:val="14"/>
                          </w:rPr>
                        </w:pPr>
                        <w:r>
                          <w:rPr>
                            <w:color w:val="636466"/>
                            <w:spacing w:val="-5"/>
                            <w:sz w:val="14"/>
                          </w:rPr>
                          <w:t>82%</w:t>
                        </w:r>
                      </w:p>
                      <w:p>
                        <w:pPr>
                          <w:spacing w:before="22"/>
                          <w:ind w:left="42" w:right="0" w:firstLine="0"/>
                          <w:jc w:val="left"/>
                          <w:rPr>
                            <w:sz w:val="14"/>
                          </w:rPr>
                        </w:pPr>
                        <w:r>
                          <w:rPr>
                            <w:color w:val="636466"/>
                            <w:spacing w:val="-5"/>
                            <w:sz w:val="14"/>
                          </w:rPr>
                          <w:t>77%</w:t>
                        </w:r>
                      </w:p>
                    </w:txbxContent>
                  </v:textbox>
                  <w10:wrap type="none"/>
                </v:shape>
                <v:shape style="position:absolute;left:17766;top:563;width:584;height:500" type="#_x0000_t202" id="docshape811" filled="false" stroked="false">
                  <v:textbox inset="0,0,0,0">
                    <w:txbxContent>
                      <w:p>
                        <w:pPr>
                          <w:spacing w:before="8"/>
                          <w:ind w:left="0" w:right="45" w:firstLine="0"/>
                          <w:jc w:val="center"/>
                          <w:rPr>
                            <w:sz w:val="14"/>
                          </w:rPr>
                        </w:pPr>
                        <w:r>
                          <w:rPr>
                            <w:color w:val="636466"/>
                            <w:spacing w:val="-5"/>
                            <w:sz w:val="14"/>
                          </w:rPr>
                          <w:t>81%</w:t>
                        </w:r>
                      </w:p>
                      <w:p>
                        <w:pPr>
                          <w:spacing w:before="128"/>
                          <w:ind w:left="0" w:right="18" w:firstLine="0"/>
                          <w:jc w:val="center"/>
                          <w:rPr>
                            <w:sz w:val="14"/>
                          </w:rPr>
                        </w:pPr>
                        <w:r>
                          <w:rPr>
                            <w:color w:val="636466"/>
                            <w:spacing w:val="-6"/>
                            <w:position w:val="2"/>
                            <w:sz w:val="14"/>
                          </w:rPr>
                          <w:t>78%</w:t>
                        </w:r>
                        <w:r>
                          <w:rPr>
                            <w:color w:val="636466"/>
                            <w:spacing w:val="-1"/>
                            <w:position w:val="2"/>
                            <w:sz w:val="14"/>
                          </w:rPr>
                          <w:t> </w:t>
                        </w:r>
                        <w:r>
                          <w:rPr>
                            <w:color w:val="636466"/>
                            <w:spacing w:val="-10"/>
                            <w:sz w:val="14"/>
                          </w:rPr>
                          <w:t>78%</w:t>
                        </w:r>
                      </w:p>
                    </w:txbxContent>
                  </v:textbox>
                  <w10:wrap type="none"/>
                </v:shape>
                <v:shape style="position:absolute;left:19351;top:562;width:288;height:581" type="#_x0000_t202" id="docshape812" filled="false" stroked="false">
                  <v:textbox inset="0,0,0,0">
                    <w:txbxContent>
                      <w:p>
                        <w:pPr>
                          <w:spacing w:before="8"/>
                          <w:ind w:left="0" w:right="0" w:firstLine="0"/>
                          <w:jc w:val="left"/>
                          <w:rPr>
                            <w:sz w:val="14"/>
                          </w:rPr>
                        </w:pPr>
                        <w:r>
                          <w:rPr>
                            <w:color w:val="636466"/>
                            <w:spacing w:val="-5"/>
                            <w:sz w:val="14"/>
                          </w:rPr>
                          <w:t>82%</w:t>
                        </w:r>
                      </w:p>
                      <w:p>
                        <w:pPr>
                          <w:spacing w:before="1"/>
                          <w:ind w:left="7" w:right="0" w:firstLine="0"/>
                          <w:jc w:val="left"/>
                          <w:rPr>
                            <w:sz w:val="14"/>
                          </w:rPr>
                        </w:pPr>
                        <w:r>
                          <w:rPr>
                            <w:color w:val="636466"/>
                            <w:spacing w:val="-5"/>
                            <w:sz w:val="14"/>
                          </w:rPr>
                          <w:t>81%</w:t>
                        </w:r>
                      </w:p>
                      <w:p>
                        <w:pPr>
                          <w:spacing w:before="66"/>
                          <w:ind w:left="7" w:right="0" w:firstLine="0"/>
                          <w:jc w:val="left"/>
                          <w:rPr>
                            <w:sz w:val="14"/>
                          </w:rPr>
                        </w:pPr>
                        <w:r>
                          <w:rPr>
                            <w:color w:val="636466"/>
                            <w:spacing w:val="-5"/>
                            <w:sz w:val="14"/>
                          </w:rPr>
                          <w:t>72%</w:t>
                        </w:r>
                      </w:p>
                    </w:txbxContent>
                  </v:textbox>
                  <w10:wrap type="none"/>
                </v:shape>
                <v:shape style="position:absolute;left:19057;top:2718;width:1185;height:732" type="#_x0000_t202" id="docshape813" filled="false" stroked="false">
                  <v:textbox inset="0,0,0,0">
                    <w:txbxContent>
                      <w:p>
                        <w:pPr>
                          <w:numPr>
                            <w:ilvl w:val="0"/>
                            <w:numId w:val="24"/>
                          </w:numPr>
                          <w:tabs>
                            <w:tab w:pos="119" w:val="left" w:leader="none"/>
                          </w:tabs>
                          <w:spacing w:before="8"/>
                          <w:ind w:left="119" w:right="0" w:hanging="119"/>
                          <w:jc w:val="left"/>
                          <w:rPr>
                            <w:sz w:val="14"/>
                          </w:rPr>
                        </w:pPr>
                        <w:r>
                          <w:rPr>
                            <w:color w:val="105B83"/>
                            <w:sz w:val="14"/>
                          </w:rPr>
                          <w:t>LOW</w:t>
                        </w:r>
                        <w:r>
                          <w:rPr>
                            <w:color w:val="105B83"/>
                            <w:spacing w:val="-3"/>
                            <w:sz w:val="14"/>
                          </w:rPr>
                          <w:t> </w:t>
                        </w:r>
                        <w:r>
                          <w:rPr>
                            <w:color w:val="105B83"/>
                            <w:spacing w:val="-5"/>
                            <w:sz w:val="14"/>
                          </w:rPr>
                          <w:t>SES</w:t>
                        </w:r>
                      </w:p>
                      <w:p>
                        <w:pPr>
                          <w:numPr>
                            <w:ilvl w:val="0"/>
                            <w:numId w:val="24"/>
                          </w:numPr>
                          <w:tabs>
                            <w:tab w:pos="119" w:val="left" w:leader="none"/>
                          </w:tabs>
                          <w:spacing w:before="119"/>
                          <w:ind w:left="119" w:right="0" w:hanging="119"/>
                          <w:jc w:val="left"/>
                          <w:rPr>
                            <w:sz w:val="14"/>
                          </w:rPr>
                        </w:pPr>
                        <w:r>
                          <w:rPr>
                            <w:color w:val="105B83"/>
                            <w:w w:val="95"/>
                            <w:sz w:val="14"/>
                          </w:rPr>
                          <w:t>MODERATE</w:t>
                        </w:r>
                        <w:r>
                          <w:rPr>
                            <w:color w:val="105B83"/>
                            <w:spacing w:val="12"/>
                            <w:sz w:val="14"/>
                          </w:rPr>
                          <w:t> </w:t>
                        </w:r>
                        <w:r>
                          <w:rPr>
                            <w:color w:val="105B83"/>
                            <w:spacing w:val="-5"/>
                            <w:w w:val="90"/>
                            <w:sz w:val="14"/>
                          </w:rPr>
                          <w:t>SES</w:t>
                        </w:r>
                      </w:p>
                      <w:p>
                        <w:pPr>
                          <w:numPr>
                            <w:ilvl w:val="0"/>
                            <w:numId w:val="24"/>
                          </w:numPr>
                          <w:tabs>
                            <w:tab w:pos="119" w:val="left" w:leader="none"/>
                          </w:tabs>
                          <w:spacing w:before="99"/>
                          <w:ind w:left="119" w:right="0" w:hanging="119"/>
                          <w:jc w:val="left"/>
                          <w:rPr>
                            <w:sz w:val="14"/>
                          </w:rPr>
                        </w:pPr>
                        <w:r>
                          <w:rPr>
                            <w:color w:val="105B83"/>
                            <w:sz w:val="14"/>
                          </w:rPr>
                          <w:t>HIGH</w:t>
                        </w:r>
                        <w:r>
                          <w:rPr>
                            <w:color w:val="105B83"/>
                            <w:spacing w:val="-7"/>
                            <w:sz w:val="14"/>
                          </w:rPr>
                          <w:t> </w:t>
                        </w:r>
                        <w:r>
                          <w:rPr>
                            <w:color w:val="105B83"/>
                            <w:spacing w:val="-5"/>
                            <w:sz w:val="14"/>
                          </w:rPr>
                          <w:t>SES</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26944">
                <wp:simplePos x="0" y="0"/>
                <wp:positionH relativeFrom="page">
                  <wp:posOffset>9878276</wp:posOffset>
                </wp:positionH>
                <wp:positionV relativeFrom="paragraph">
                  <wp:posOffset>-22056</wp:posOffset>
                </wp:positionV>
                <wp:extent cx="178435" cy="2361565"/>
                <wp:effectExtent l="0" t="0" r="0" b="0"/>
                <wp:wrapNone/>
                <wp:docPr id="991" name="Textbox 991"/>
                <wp:cNvGraphicFramePr>
                  <a:graphicFrameLocks/>
                </wp:cNvGraphicFramePr>
                <a:graphic>
                  <a:graphicData uri="http://schemas.microsoft.com/office/word/2010/wordprocessingShape">
                    <wps:wsp>
                      <wps:cNvPr id="991" name="Textbox 991"/>
                      <wps:cNvSpPr txBox="1"/>
                      <wps:spPr>
                        <a:xfrm>
                          <a:off x="0" y="0"/>
                          <a:ext cx="178435" cy="2361565"/>
                        </a:xfrm>
                        <a:prstGeom prst="rect">
                          <a:avLst/>
                        </a:prstGeom>
                      </wps:spPr>
                      <wps:txbx>
                        <w:txbxContent>
                          <w:p>
                            <w:pPr>
                              <w:spacing w:before="20"/>
                              <w:ind w:left="20" w:right="0" w:firstLine="0"/>
                              <w:jc w:val="left"/>
                              <w:rPr>
                                <w:rFonts w:ascii="Cambria"/>
                                <w:sz w:val="20"/>
                              </w:rPr>
                            </w:pPr>
                            <w:r>
                              <w:rPr>
                                <w:rFonts w:ascii="Cambria"/>
                                <w:color w:val="939598"/>
                                <w:spacing w:val="39"/>
                                <w:sz w:val="20"/>
                              </w:rPr>
                              <w:t>............................................ </w:t>
                            </w:r>
                          </w:p>
                        </w:txbxContent>
                      </wps:txbx>
                      <wps:bodyPr wrap="square" lIns="0" tIns="0" rIns="0" bIns="0" rtlCol="0" vert="vert270">
                        <a:noAutofit/>
                      </wps:bodyPr>
                    </wps:wsp>
                  </a:graphicData>
                </a:graphic>
              </wp:anchor>
            </w:drawing>
          </mc:Choice>
          <mc:Fallback>
            <w:pict>
              <v:shape style="position:absolute;margin-left:777.817017pt;margin-top:-1.736723pt;width:14.05pt;height:185.95pt;mso-position-horizontal-relative:page;mso-position-vertical-relative:paragraph;z-index:15826944" type="#_x0000_t202" id="docshape814" filled="false" stroked="false">
                <v:textbox inset="0,0,0,0" style="layout-flow:vertical;mso-layout-flow-alt:bottom-to-top">
                  <w:txbxContent>
                    <w:p>
                      <w:pPr>
                        <w:spacing w:before="20"/>
                        <w:ind w:left="20" w:right="0" w:firstLine="0"/>
                        <w:jc w:val="left"/>
                        <w:rPr>
                          <w:rFonts w:ascii="Cambria"/>
                          <w:sz w:val="20"/>
                        </w:rPr>
                      </w:pPr>
                      <w:r>
                        <w:rPr>
                          <w:rFonts w:ascii="Cambria"/>
                          <w:color w:val="939598"/>
                          <w:spacing w:val="39"/>
                          <w:sz w:val="20"/>
                        </w:rPr>
                        <w:t>............................................ </w:t>
                      </w:r>
                    </w:p>
                  </w:txbxContent>
                </v:textbox>
                <w10:wrap type="none"/>
              </v:shape>
            </w:pict>
          </mc:Fallback>
        </mc:AlternateContent>
      </w:r>
      <w:r>
        <w:rPr/>
        <mc:AlternateContent>
          <mc:Choice Requires="wps">
            <w:drawing>
              <wp:anchor distT="0" distB="0" distL="0" distR="0" allowOverlap="1" layoutInCell="1" locked="0" behindDoc="0" simplePos="0" relativeHeight="15827456">
                <wp:simplePos x="0" y="0"/>
                <wp:positionH relativeFrom="page">
                  <wp:posOffset>10813940</wp:posOffset>
                </wp:positionH>
                <wp:positionV relativeFrom="paragraph">
                  <wp:posOffset>-22056</wp:posOffset>
                </wp:positionV>
                <wp:extent cx="178435" cy="2361565"/>
                <wp:effectExtent l="0" t="0" r="0" b="0"/>
                <wp:wrapNone/>
                <wp:docPr id="992" name="Textbox 992"/>
                <wp:cNvGraphicFramePr>
                  <a:graphicFrameLocks/>
                </wp:cNvGraphicFramePr>
                <a:graphic>
                  <a:graphicData uri="http://schemas.microsoft.com/office/word/2010/wordprocessingShape">
                    <wps:wsp>
                      <wps:cNvPr id="992" name="Textbox 992"/>
                      <wps:cNvSpPr txBox="1"/>
                      <wps:spPr>
                        <a:xfrm>
                          <a:off x="0" y="0"/>
                          <a:ext cx="178435" cy="2361565"/>
                        </a:xfrm>
                        <a:prstGeom prst="rect">
                          <a:avLst/>
                        </a:prstGeom>
                      </wps:spPr>
                      <wps:txbx>
                        <w:txbxContent>
                          <w:p>
                            <w:pPr>
                              <w:spacing w:before="20"/>
                              <w:ind w:left="20" w:right="0" w:firstLine="0"/>
                              <w:jc w:val="left"/>
                              <w:rPr>
                                <w:rFonts w:ascii="Cambria"/>
                                <w:sz w:val="20"/>
                              </w:rPr>
                            </w:pPr>
                            <w:r>
                              <w:rPr>
                                <w:rFonts w:ascii="Cambria"/>
                                <w:color w:val="939598"/>
                                <w:spacing w:val="39"/>
                                <w:sz w:val="20"/>
                              </w:rPr>
                              <w:t>............................................ </w:t>
                            </w:r>
                          </w:p>
                        </w:txbxContent>
                      </wps:txbx>
                      <wps:bodyPr wrap="square" lIns="0" tIns="0" rIns="0" bIns="0" rtlCol="0" vert="vert270">
                        <a:noAutofit/>
                      </wps:bodyPr>
                    </wps:wsp>
                  </a:graphicData>
                </a:graphic>
              </wp:anchor>
            </w:drawing>
          </mc:Choice>
          <mc:Fallback>
            <w:pict>
              <v:shape style="position:absolute;margin-left:851.491394pt;margin-top:-1.736723pt;width:14.05pt;height:185.95pt;mso-position-horizontal-relative:page;mso-position-vertical-relative:paragraph;z-index:15827456" type="#_x0000_t202" id="docshape815" filled="false" stroked="false">
                <v:textbox inset="0,0,0,0" style="layout-flow:vertical;mso-layout-flow-alt:bottom-to-top">
                  <w:txbxContent>
                    <w:p>
                      <w:pPr>
                        <w:spacing w:before="20"/>
                        <w:ind w:left="20" w:right="0" w:firstLine="0"/>
                        <w:jc w:val="left"/>
                        <w:rPr>
                          <w:rFonts w:ascii="Cambria"/>
                          <w:sz w:val="20"/>
                        </w:rPr>
                      </w:pPr>
                      <w:r>
                        <w:rPr>
                          <w:rFonts w:ascii="Cambria"/>
                          <w:color w:val="939598"/>
                          <w:spacing w:val="39"/>
                          <w:sz w:val="20"/>
                        </w:rPr>
                        <w:t>............................................ </w:t>
                      </w:r>
                    </w:p>
                  </w:txbxContent>
                </v:textbox>
                <w10:wrap type="none"/>
              </v:shape>
            </w:pict>
          </mc:Fallback>
        </mc:AlternateContent>
      </w:r>
      <w:r>
        <w:rPr/>
        <mc:AlternateContent>
          <mc:Choice Requires="wps">
            <w:drawing>
              <wp:anchor distT="0" distB="0" distL="0" distR="0" allowOverlap="1" layoutInCell="1" locked="0" behindDoc="0" simplePos="0" relativeHeight="15827968">
                <wp:simplePos x="0" y="0"/>
                <wp:positionH relativeFrom="page">
                  <wp:posOffset>11756692</wp:posOffset>
                </wp:positionH>
                <wp:positionV relativeFrom="paragraph">
                  <wp:posOffset>-22056</wp:posOffset>
                </wp:positionV>
                <wp:extent cx="178435" cy="2361565"/>
                <wp:effectExtent l="0" t="0" r="0" b="0"/>
                <wp:wrapNone/>
                <wp:docPr id="993" name="Textbox 993"/>
                <wp:cNvGraphicFramePr>
                  <a:graphicFrameLocks/>
                </wp:cNvGraphicFramePr>
                <a:graphic>
                  <a:graphicData uri="http://schemas.microsoft.com/office/word/2010/wordprocessingShape">
                    <wps:wsp>
                      <wps:cNvPr id="993" name="Textbox 993"/>
                      <wps:cNvSpPr txBox="1"/>
                      <wps:spPr>
                        <a:xfrm>
                          <a:off x="0" y="0"/>
                          <a:ext cx="178435" cy="2361565"/>
                        </a:xfrm>
                        <a:prstGeom prst="rect">
                          <a:avLst/>
                        </a:prstGeom>
                      </wps:spPr>
                      <wps:txbx>
                        <w:txbxContent>
                          <w:p>
                            <w:pPr>
                              <w:spacing w:before="20"/>
                              <w:ind w:left="20" w:right="0" w:firstLine="0"/>
                              <w:jc w:val="left"/>
                              <w:rPr>
                                <w:rFonts w:ascii="Cambria"/>
                                <w:sz w:val="20"/>
                              </w:rPr>
                            </w:pPr>
                            <w:r>
                              <w:rPr>
                                <w:rFonts w:ascii="Cambria"/>
                                <w:color w:val="939598"/>
                                <w:spacing w:val="39"/>
                                <w:sz w:val="20"/>
                              </w:rPr>
                              <w:t>............................................ </w:t>
                            </w:r>
                          </w:p>
                        </w:txbxContent>
                      </wps:txbx>
                      <wps:bodyPr wrap="square" lIns="0" tIns="0" rIns="0" bIns="0" rtlCol="0" vert="vert270">
                        <a:noAutofit/>
                      </wps:bodyPr>
                    </wps:wsp>
                  </a:graphicData>
                </a:graphic>
              </wp:anchor>
            </w:drawing>
          </mc:Choice>
          <mc:Fallback>
            <w:pict>
              <v:shape style="position:absolute;margin-left:925.723816pt;margin-top:-1.736723pt;width:14.05pt;height:185.95pt;mso-position-horizontal-relative:page;mso-position-vertical-relative:paragraph;z-index:15827968" type="#_x0000_t202" id="docshape816" filled="false" stroked="false">
                <v:textbox inset="0,0,0,0" style="layout-flow:vertical;mso-layout-flow-alt:bottom-to-top">
                  <w:txbxContent>
                    <w:p>
                      <w:pPr>
                        <w:spacing w:before="20"/>
                        <w:ind w:left="20" w:right="0" w:firstLine="0"/>
                        <w:jc w:val="left"/>
                        <w:rPr>
                          <w:rFonts w:ascii="Cambria"/>
                          <w:sz w:val="20"/>
                        </w:rPr>
                      </w:pPr>
                      <w:r>
                        <w:rPr>
                          <w:rFonts w:ascii="Cambria"/>
                          <w:color w:val="939598"/>
                          <w:spacing w:val="39"/>
                          <w:sz w:val="20"/>
                        </w:rPr>
                        <w:t>............................................ </w:t>
                      </w:r>
                    </w:p>
                  </w:txbxContent>
                </v:textbox>
                <w10:wrap type="none"/>
              </v:shape>
            </w:pict>
          </mc:Fallback>
        </mc:AlternateContent>
      </w:r>
      <w:r>
        <w:rPr>
          <w:color w:val="636466"/>
          <w:spacing w:val="-4"/>
        </w:rPr>
        <w:t>100%</w:t>
      </w:r>
    </w:p>
    <w:p>
      <w:pPr>
        <w:pStyle w:val="BodyText"/>
        <w:spacing w:before="168"/>
      </w:pPr>
    </w:p>
    <w:p>
      <w:pPr>
        <w:pStyle w:val="BodyText"/>
        <w:ind w:right="9596"/>
        <w:jc w:val="right"/>
      </w:pPr>
      <w:r>
        <w:rPr/>
        <mc:AlternateContent>
          <mc:Choice Requires="wps">
            <w:drawing>
              <wp:anchor distT="0" distB="0" distL="0" distR="0" allowOverlap="1" layoutInCell="1" locked="0" behindDoc="0" simplePos="0" relativeHeight="15826432">
                <wp:simplePos x="0" y="0"/>
                <wp:positionH relativeFrom="page">
                  <wp:posOffset>8457073</wp:posOffset>
                </wp:positionH>
                <wp:positionV relativeFrom="paragraph">
                  <wp:posOffset>254568</wp:posOffset>
                </wp:positionV>
                <wp:extent cx="164465" cy="880110"/>
                <wp:effectExtent l="0" t="0" r="0" b="0"/>
                <wp:wrapNone/>
                <wp:docPr id="994" name="Textbox 994"/>
                <wp:cNvGraphicFramePr>
                  <a:graphicFrameLocks/>
                </wp:cNvGraphicFramePr>
                <a:graphic>
                  <a:graphicData uri="http://schemas.microsoft.com/office/word/2010/wordprocessingShape">
                    <wps:wsp>
                      <wps:cNvPr id="994" name="Textbox 994"/>
                      <wps:cNvSpPr txBox="1"/>
                      <wps:spPr>
                        <a:xfrm>
                          <a:off x="0" y="0"/>
                          <a:ext cx="164465" cy="880110"/>
                        </a:xfrm>
                        <a:prstGeom prst="rect">
                          <a:avLst/>
                        </a:prstGeom>
                      </wps:spPr>
                      <wps:txbx>
                        <w:txbxContent>
                          <w:p>
                            <w:pPr>
                              <w:spacing w:before="30"/>
                              <w:ind w:left="20" w:right="0" w:firstLine="0"/>
                              <w:jc w:val="left"/>
                              <w:rPr>
                                <w:sz w:val="16"/>
                              </w:rPr>
                            </w:pPr>
                            <w:r>
                              <w:rPr>
                                <w:color w:val="105B83"/>
                                <w:spacing w:val="-2"/>
                                <w:sz w:val="16"/>
                              </w:rPr>
                              <w:t>Percent</w:t>
                            </w:r>
                            <w:r>
                              <w:rPr>
                                <w:color w:val="105B83"/>
                                <w:spacing w:val="-1"/>
                                <w:sz w:val="16"/>
                              </w:rPr>
                              <w:t> </w:t>
                            </w:r>
                            <w:r>
                              <w:rPr>
                                <w:color w:val="105B83"/>
                                <w:spacing w:val="-2"/>
                                <w:sz w:val="16"/>
                              </w:rPr>
                              <w:t>Controlled</w:t>
                            </w:r>
                          </w:p>
                        </w:txbxContent>
                      </wps:txbx>
                      <wps:bodyPr wrap="square" lIns="0" tIns="0" rIns="0" bIns="0" rtlCol="0" vert="vert270">
                        <a:noAutofit/>
                      </wps:bodyPr>
                    </wps:wsp>
                  </a:graphicData>
                </a:graphic>
              </wp:anchor>
            </w:drawing>
          </mc:Choice>
          <mc:Fallback>
            <w:pict>
              <v:shape style="position:absolute;margin-left:665.911316pt;margin-top:20.044727pt;width:12.95pt;height:69.3pt;mso-position-horizontal-relative:page;mso-position-vertical-relative:paragraph;z-index:15826432" type="#_x0000_t202" id="docshape817" filled="false" stroked="false">
                <v:textbox inset="0,0,0,0" style="layout-flow:vertical;mso-layout-flow-alt:bottom-to-top">
                  <w:txbxContent>
                    <w:p>
                      <w:pPr>
                        <w:spacing w:before="30"/>
                        <w:ind w:left="20" w:right="0" w:firstLine="0"/>
                        <w:jc w:val="left"/>
                        <w:rPr>
                          <w:sz w:val="16"/>
                        </w:rPr>
                      </w:pPr>
                      <w:r>
                        <w:rPr>
                          <w:color w:val="105B83"/>
                          <w:spacing w:val="-2"/>
                          <w:sz w:val="16"/>
                        </w:rPr>
                        <w:t>Percent</w:t>
                      </w:r>
                      <w:r>
                        <w:rPr>
                          <w:color w:val="105B83"/>
                          <w:spacing w:val="-1"/>
                          <w:sz w:val="16"/>
                        </w:rPr>
                        <w:t> </w:t>
                      </w:r>
                      <w:r>
                        <w:rPr>
                          <w:color w:val="105B83"/>
                          <w:spacing w:val="-2"/>
                          <w:sz w:val="16"/>
                        </w:rPr>
                        <w:t>Controlled</w:t>
                      </w:r>
                    </w:p>
                  </w:txbxContent>
                </v:textbox>
                <w10:wrap type="none"/>
              </v:shape>
            </w:pict>
          </mc:Fallback>
        </mc:AlternateContent>
      </w:r>
      <w:r>
        <w:rPr>
          <w:color w:val="636466"/>
          <w:spacing w:val="-5"/>
        </w:rPr>
        <w:t>80%</w:t>
      </w:r>
    </w:p>
    <w:p>
      <w:pPr>
        <w:pStyle w:val="BodyText"/>
        <w:spacing w:before="174"/>
      </w:pPr>
    </w:p>
    <w:p>
      <w:pPr>
        <w:pStyle w:val="BodyText"/>
        <w:ind w:right="9576"/>
        <w:jc w:val="right"/>
      </w:pPr>
      <w:r>
        <w:rPr>
          <w:color w:val="636466"/>
          <w:spacing w:val="-5"/>
        </w:rPr>
        <w:t>60%</w:t>
      </w:r>
    </w:p>
    <w:p>
      <w:pPr>
        <w:pStyle w:val="BodyText"/>
        <w:spacing w:before="231"/>
      </w:pPr>
    </w:p>
    <w:p>
      <w:pPr>
        <w:pStyle w:val="BodyText"/>
        <w:ind w:right="9576"/>
        <w:jc w:val="right"/>
      </w:pPr>
      <w:r>
        <w:rPr>
          <w:color w:val="636466"/>
          <w:spacing w:val="-5"/>
        </w:rPr>
        <w:t>40%</w:t>
      </w:r>
    </w:p>
    <w:p>
      <w:pPr>
        <w:pStyle w:val="BodyText"/>
        <w:spacing w:before="177"/>
      </w:pPr>
    </w:p>
    <w:p>
      <w:pPr>
        <w:pStyle w:val="BodyText"/>
        <w:ind w:right="9578"/>
        <w:jc w:val="right"/>
      </w:pPr>
      <w:r>
        <w:rPr>
          <w:color w:val="636466"/>
          <w:spacing w:val="-5"/>
        </w:rPr>
        <w:t>20%</w:t>
      </w:r>
    </w:p>
    <w:p>
      <w:pPr>
        <w:pStyle w:val="BodyText"/>
        <w:spacing w:before="195"/>
      </w:pPr>
    </w:p>
    <w:p>
      <w:pPr>
        <w:pStyle w:val="BodyText"/>
        <w:ind w:right="9592"/>
        <w:jc w:val="right"/>
      </w:pPr>
      <w:r>
        <w:rPr>
          <w:color w:val="636466"/>
          <w:spacing w:val="-5"/>
        </w:rPr>
        <w:t>0%</w:t>
      </w:r>
    </w:p>
    <w:p>
      <w:pPr>
        <w:tabs>
          <w:tab w:pos="2950" w:val="left" w:leader="none"/>
          <w:tab w:pos="4406" w:val="left" w:leader="none"/>
          <w:tab w:pos="5966" w:val="left" w:leader="none"/>
        </w:tabs>
        <w:spacing w:before="70"/>
        <w:ind w:left="1528" w:right="0" w:firstLine="0"/>
        <w:jc w:val="left"/>
        <w:rPr>
          <w:sz w:val="18"/>
        </w:rPr>
      </w:pPr>
      <w:r>
        <w:rPr>
          <w:color w:val="636466"/>
          <w:spacing w:val="-4"/>
          <w:sz w:val="18"/>
        </w:rPr>
        <w:t>2015</w:t>
      </w:r>
      <w:r>
        <w:rPr>
          <w:color w:val="636466"/>
          <w:sz w:val="18"/>
        </w:rPr>
        <w:tab/>
      </w:r>
      <w:r>
        <w:rPr>
          <w:color w:val="636466"/>
          <w:spacing w:val="-4"/>
          <w:sz w:val="18"/>
        </w:rPr>
        <w:t>2016</w:t>
      </w:r>
      <w:r>
        <w:rPr>
          <w:color w:val="636466"/>
          <w:sz w:val="18"/>
        </w:rPr>
        <w:tab/>
      </w:r>
      <w:r>
        <w:rPr>
          <w:color w:val="636466"/>
          <w:spacing w:val="-4"/>
          <w:sz w:val="18"/>
        </w:rPr>
        <w:t>2017</w:t>
      </w:r>
      <w:r>
        <w:rPr>
          <w:color w:val="636466"/>
          <w:sz w:val="18"/>
        </w:rPr>
        <w:tab/>
      </w:r>
      <w:r>
        <w:rPr>
          <w:color w:val="636466"/>
          <w:spacing w:val="-4"/>
          <w:sz w:val="18"/>
        </w:rPr>
        <w:t>2018</w:t>
      </w:r>
    </w:p>
    <w:p>
      <w:pPr>
        <w:spacing w:before="178"/>
        <w:ind w:left="946" w:right="0" w:firstLine="0"/>
        <w:jc w:val="left"/>
        <w:rPr>
          <w:sz w:val="16"/>
        </w:rPr>
      </w:pPr>
      <w:r>
        <w:rPr>
          <w:color w:val="105B83"/>
          <w:sz w:val="16"/>
        </w:rPr>
        <w:t>Source:</w:t>
      </w:r>
      <w:r>
        <w:rPr>
          <w:color w:val="105B83"/>
          <w:spacing w:val="-10"/>
          <w:sz w:val="16"/>
        </w:rPr>
        <w:t> </w:t>
      </w:r>
      <w:r>
        <w:rPr>
          <w:color w:val="105B83"/>
          <w:sz w:val="16"/>
        </w:rPr>
        <w:t>June</w:t>
      </w:r>
      <w:r>
        <w:rPr>
          <w:color w:val="105B83"/>
          <w:spacing w:val="-9"/>
          <w:sz w:val="16"/>
        </w:rPr>
        <w:t> </w:t>
      </w:r>
      <w:r>
        <w:rPr>
          <w:color w:val="105B83"/>
          <w:sz w:val="16"/>
        </w:rPr>
        <w:t>2018</w:t>
      </w:r>
      <w:r>
        <w:rPr>
          <w:color w:val="105B83"/>
          <w:spacing w:val="-9"/>
          <w:sz w:val="16"/>
        </w:rPr>
        <w:t> </w:t>
      </w:r>
      <w:r>
        <w:rPr>
          <w:color w:val="105B83"/>
          <w:sz w:val="16"/>
        </w:rPr>
        <w:t>high</w:t>
      </w:r>
      <w:r>
        <w:rPr>
          <w:color w:val="105B83"/>
          <w:spacing w:val="-9"/>
          <w:sz w:val="16"/>
        </w:rPr>
        <w:t> </w:t>
      </w:r>
      <w:r>
        <w:rPr>
          <w:color w:val="105B83"/>
          <w:sz w:val="16"/>
        </w:rPr>
        <w:t>blood</w:t>
      </w:r>
      <w:r>
        <w:rPr>
          <w:color w:val="105B83"/>
          <w:spacing w:val="-9"/>
          <w:sz w:val="16"/>
        </w:rPr>
        <w:t> </w:t>
      </w:r>
      <w:r>
        <w:rPr>
          <w:color w:val="105B83"/>
          <w:sz w:val="16"/>
        </w:rPr>
        <w:t>pressure</w:t>
      </w:r>
      <w:r>
        <w:rPr>
          <w:color w:val="105B83"/>
          <w:spacing w:val="-9"/>
          <w:sz w:val="16"/>
        </w:rPr>
        <w:t> </w:t>
      </w:r>
      <w:r>
        <w:rPr>
          <w:color w:val="105B83"/>
          <w:spacing w:val="-2"/>
          <w:sz w:val="16"/>
        </w:rPr>
        <w:t>registry</w:t>
      </w:r>
    </w:p>
    <w:p>
      <w:pPr>
        <w:pStyle w:val="BodyText"/>
        <w:rPr>
          <w:sz w:val="16"/>
        </w:rPr>
      </w:pPr>
    </w:p>
    <w:p>
      <w:pPr>
        <w:pStyle w:val="BodyText"/>
        <w:spacing w:before="88"/>
        <w:rPr>
          <w:sz w:val="16"/>
        </w:rPr>
      </w:pPr>
    </w:p>
    <w:p>
      <w:pPr>
        <w:pStyle w:val="BodyText"/>
        <w:spacing w:line="247" w:lineRule="auto"/>
        <w:ind w:right="359"/>
      </w:pPr>
      <w:r>
        <w:rPr>
          <w:color w:val="105C84"/>
        </w:rPr>
        <w:t>Tobacco use increases risk for cardiovascular disease. An estimated 19% of adult residents report cigarette smoking every day or some days. Currently, the Behavioral Risk Factor Surveillance System does not have an estimate for use of e-cigarettes in Schuyler County despite it being identified as an</w:t>
      </w:r>
      <w:r>
        <w:rPr>
          <w:color w:val="105C84"/>
          <w:spacing w:val="40"/>
        </w:rPr>
        <w:t> </w:t>
      </w:r>
      <w:r>
        <w:rPr>
          <w:color w:val="105C84"/>
        </w:rPr>
        <w:t>emerging health issue. This is likely due to data and analytic constraints due to small sample sizes in the</w:t>
      </w:r>
      <w:r>
        <w:rPr>
          <w:color w:val="105C84"/>
          <w:spacing w:val="30"/>
        </w:rPr>
        <w:t> </w:t>
      </w:r>
      <w:r>
        <w:rPr>
          <w:color w:val="105C84"/>
        </w:rPr>
        <w:t>survey</w:t>
      </w:r>
      <w:r>
        <w:rPr>
          <w:color w:val="105C84"/>
          <w:spacing w:val="30"/>
        </w:rPr>
        <w:t> </w:t>
      </w:r>
      <w:r>
        <w:rPr>
          <w:color w:val="105C84"/>
        </w:rPr>
        <w:t>and</w:t>
      </w:r>
      <w:r>
        <w:rPr>
          <w:color w:val="105C84"/>
          <w:spacing w:val="30"/>
        </w:rPr>
        <w:t> </w:t>
      </w:r>
      <w:r>
        <w:rPr>
          <w:color w:val="105C84"/>
        </w:rPr>
        <w:t>the</w:t>
      </w:r>
      <w:r>
        <w:rPr>
          <w:color w:val="105C84"/>
          <w:spacing w:val="30"/>
        </w:rPr>
        <w:t> </w:t>
      </w:r>
      <w:r>
        <w:rPr>
          <w:color w:val="105C84"/>
        </w:rPr>
        <w:t>inability</w:t>
      </w:r>
      <w:r>
        <w:rPr>
          <w:color w:val="105C84"/>
          <w:spacing w:val="30"/>
        </w:rPr>
        <w:t> </w:t>
      </w:r>
      <w:r>
        <w:rPr>
          <w:color w:val="105C84"/>
        </w:rPr>
        <w:t>to</w:t>
      </w:r>
      <w:r>
        <w:rPr>
          <w:color w:val="105C84"/>
          <w:spacing w:val="30"/>
        </w:rPr>
        <w:t> </w:t>
      </w:r>
      <w:r>
        <w:rPr>
          <w:color w:val="105C84"/>
        </w:rPr>
        <w:t>appropriately</w:t>
      </w:r>
      <w:r>
        <w:rPr>
          <w:color w:val="105C84"/>
          <w:spacing w:val="30"/>
        </w:rPr>
        <w:t> </w:t>
      </w:r>
      <w:r>
        <w:rPr>
          <w:color w:val="105C84"/>
        </w:rPr>
        <w:t>extrapolate</w:t>
      </w:r>
      <w:r>
        <w:rPr>
          <w:color w:val="105C84"/>
          <w:spacing w:val="30"/>
        </w:rPr>
        <w:t> </w:t>
      </w:r>
      <w:r>
        <w:rPr>
          <w:color w:val="105C84"/>
        </w:rPr>
        <w:t>the</w:t>
      </w:r>
      <w:r>
        <w:rPr>
          <w:color w:val="105C84"/>
          <w:spacing w:val="30"/>
        </w:rPr>
        <w:t> </w:t>
      </w:r>
      <w:r>
        <w:rPr>
          <w:color w:val="105C84"/>
        </w:rPr>
        <w:t>estimates</w:t>
      </w:r>
      <w:r>
        <w:rPr>
          <w:color w:val="105C84"/>
          <w:spacing w:val="30"/>
        </w:rPr>
        <w:t> </w:t>
      </w:r>
      <w:r>
        <w:rPr>
          <w:color w:val="105C84"/>
        </w:rPr>
        <w:t>to</w:t>
      </w:r>
      <w:r>
        <w:rPr>
          <w:color w:val="105C84"/>
          <w:spacing w:val="30"/>
        </w:rPr>
        <w:t> </w:t>
      </w:r>
      <w:r>
        <w:rPr>
          <w:color w:val="105C84"/>
        </w:rPr>
        <w:t>county-wide.</w:t>
      </w:r>
      <w:r>
        <w:rPr>
          <w:color w:val="105C84"/>
          <w:spacing w:val="30"/>
        </w:rPr>
        <w:t> </w:t>
      </w:r>
      <w:r>
        <w:rPr>
          <w:color w:val="105C84"/>
        </w:rPr>
        <w:t>Regionally,</w:t>
      </w:r>
      <w:r>
        <w:rPr>
          <w:color w:val="105C84"/>
          <w:spacing w:val="30"/>
        </w:rPr>
        <w:t> </w:t>
      </w:r>
      <w:r>
        <w:rPr>
          <w:color w:val="105C84"/>
        </w:rPr>
        <w:t>it is estimated that 4% of adults are currently using e-cigarettes, though it is likely the true rate is much higher (particularly among youth).</w:t>
      </w:r>
    </w:p>
    <w:p>
      <w:pPr>
        <w:pStyle w:val="BodyText"/>
        <w:spacing w:line="247" w:lineRule="auto" w:before="176"/>
        <w:ind w:right="368"/>
      </w:pPr>
      <w:r>
        <w:rPr>
          <w:color w:val="105C84"/>
        </w:rPr>
        <w:t>Proper diet, nutrition and physical activity are necessary components for maintaining a healthy weight and lifestyle. In terms of access to healthy foods, many respondents to the </w:t>
      </w:r>
      <w:r>
        <w:rPr>
          <w:i/>
          <w:color w:val="105C84"/>
        </w:rPr>
        <w:t>My Health Story 2018</w:t>
      </w:r>
      <w:r>
        <w:rPr>
          <w:i/>
          <w:color w:val="105C84"/>
          <w:spacing w:val="40"/>
        </w:rPr>
        <w:t> </w:t>
      </w:r>
      <w:r>
        <w:rPr>
          <w:color w:val="105C84"/>
        </w:rPr>
        <w:t>survey indicated that they purchase their fruits and vegetables from a supermarket or grocery store (76%). However, Schuyler County residents are significantly more likely to access these same foods from a local farm stand (44%) or from their own garden (33%) compared to the region. Data from the Behavioral Risk Factor Surveillance System reveal 39% and 62% of county adults reported eating fruits and</w:t>
      </w:r>
      <w:r>
        <w:rPr>
          <w:color w:val="105C84"/>
          <w:spacing w:val="27"/>
        </w:rPr>
        <w:t> </w:t>
      </w:r>
      <w:r>
        <w:rPr>
          <w:color w:val="105C84"/>
        </w:rPr>
        <w:t>vegetables,</w:t>
      </w:r>
      <w:r>
        <w:rPr>
          <w:color w:val="105C84"/>
          <w:spacing w:val="27"/>
        </w:rPr>
        <w:t> </w:t>
      </w:r>
      <w:r>
        <w:rPr>
          <w:color w:val="105C84"/>
        </w:rPr>
        <w:t>respectively,</w:t>
      </w:r>
      <w:r>
        <w:rPr>
          <w:color w:val="105C84"/>
          <w:spacing w:val="27"/>
        </w:rPr>
        <w:t> </w:t>
      </w:r>
      <w:r>
        <w:rPr>
          <w:color w:val="105C84"/>
        </w:rPr>
        <w:t>on</w:t>
      </w:r>
      <w:r>
        <w:rPr>
          <w:color w:val="105C84"/>
          <w:spacing w:val="27"/>
        </w:rPr>
        <w:t> </w:t>
      </w:r>
      <w:r>
        <w:rPr>
          <w:color w:val="105C84"/>
        </w:rPr>
        <w:t>a</w:t>
      </w:r>
      <w:r>
        <w:rPr>
          <w:color w:val="105C84"/>
          <w:spacing w:val="27"/>
        </w:rPr>
        <w:t> </w:t>
      </w:r>
      <w:r>
        <w:rPr>
          <w:color w:val="105C84"/>
        </w:rPr>
        <w:t>regular</w:t>
      </w:r>
      <w:r>
        <w:rPr>
          <w:color w:val="105C84"/>
          <w:spacing w:val="27"/>
        </w:rPr>
        <w:t> </w:t>
      </w:r>
      <w:r>
        <w:rPr>
          <w:color w:val="105C84"/>
        </w:rPr>
        <w:t>basis.</w:t>
      </w:r>
      <w:r>
        <w:rPr>
          <w:color w:val="105C84"/>
          <w:spacing w:val="27"/>
        </w:rPr>
        <w:t> </w:t>
      </w:r>
      <w:r>
        <w:rPr>
          <w:color w:val="105C84"/>
        </w:rPr>
        <w:t>Of</w:t>
      </w:r>
      <w:r>
        <w:rPr>
          <w:color w:val="105C84"/>
          <w:spacing w:val="27"/>
        </w:rPr>
        <w:t> </w:t>
      </w:r>
      <w:r>
        <w:rPr>
          <w:color w:val="105C84"/>
        </w:rPr>
        <w:t>note,</w:t>
      </w:r>
      <w:r>
        <w:rPr>
          <w:color w:val="105C84"/>
          <w:spacing w:val="27"/>
        </w:rPr>
        <w:t> </w:t>
      </w:r>
      <w:r>
        <w:rPr>
          <w:color w:val="105C84"/>
        </w:rPr>
        <w:t>one</w:t>
      </w:r>
      <w:r>
        <w:rPr>
          <w:color w:val="105C84"/>
          <w:spacing w:val="27"/>
        </w:rPr>
        <w:t> </w:t>
      </w:r>
      <w:r>
        <w:rPr>
          <w:color w:val="105C84"/>
        </w:rPr>
        <w:t>fourth</w:t>
      </w:r>
      <w:r>
        <w:rPr>
          <w:color w:val="105C84"/>
          <w:spacing w:val="27"/>
        </w:rPr>
        <w:t> </w:t>
      </w:r>
      <w:r>
        <w:rPr>
          <w:color w:val="105C84"/>
        </w:rPr>
        <w:t>of</w:t>
      </w:r>
      <w:r>
        <w:rPr>
          <w:color w:val="105C84"/>
          <w:spacing w:val="27"/>
        </w:rPr>
        <w:t> </w:t>
      </w:r>
      <w:r>
        <w:rPr>
          <w:color w:val="105C84"/>
        </w:rPr>
        <w:t>the</w:t>
      </w:r>
      <w:r>
        <w:rPr>
          <w:color w:val="105C84"/>
          <w:spacing w:val="27"/>
        </w:rPr>
        <w:t> </w:t>
      </w:r>
      <w:r>
        <w:rPr>
          <w:color w:val="105C84"/>
        </w:rPr>
        <w:t>population</w:t>
      </w:r>
      <w:r>
        <w:rPr>
          <w:color w:val="105C84"/>
          <w:spacing w:val="27"/>
        </w:rPr>
        <w:t> </w:t>
      </w:r>
      <w:r>
        <w:rPr>
          <w:color w:val="105C84"/>
        </w:rPr>
        <w:t>also</w:t>
      </w:r>
      <w:r>
        <w:rPr>
          <w:color w:val="105C84"/>
          <w:spacing w:val="27"/>
        </w:rPr>
        <w:t> </w:t>
      </w:r>
      <w:r>
        <w:rPr>
          <w:color w:val="105C84"/>
        </w:rPr>
        <w:t>report daily sugary drink consumption.</w:t>
      </w:r>
    </w:p>
    <w:p>
      <w:pPr>
        <w:pStyle w:val="BodyText"/>
      </w:pPr>
    </w:p>
    <w:p>
      <w:pPr>
        <w:pStyle w:val="BodyText"/>
      </w:pPr>
    </w:p>
    <w:p>
      <w:pPr>
        <w:pStyle w:val="BodyText"/>
      </w:pPr>
    </w:p>
    <w:p>
      <w:pPr>
        <w:pStyle w:val="BodyText"/>
      </w:pPr>
    </w:p>
    <w:p>
      <w:pPr>
        <w:pStyle w:val="BodyText"/>
      </w:pPr>
    </w:p>
    <w:p>
      <w:pPr>
        <w:pStyle w:val="BodyText"/>
        <w:spacing w:before="56"/>
      </w:pPr>
    </w:p>
    <w:p>
      <w:pPr>
        <w:pStyle w:val="Heading6"/>
        <w:ind w:left="0" w:right="302"/>
        <w:jc w:val="right"/>
      </w:pPr>
      <w:r>
        <w:rPr>
          <w:color w:val="939598"/>
          <w:spacing w:val="-5"/>
          <w:w w:val="105"/>
        </w:rPr>
        <w:t>70</w:t>
      </w:r>
    </w:p>
    <w:p>
      <w:pPr>
        <w:pStyle w:val="Heading6"/>
        <w:spacing w:after="0"/>
        <w:jc w:val="right"/>
        <w:sectPr>
          <w:type w:val="continuous"/>
          <w:pgSz w:w="24480" w:h="15840" w:orient="landscape"/>
          <w:pgMar w:header="0" w:footer="0" w:top="0" w:bottom="280" w:left="0" w:right="720"/>
          <w:cols w:num="2" w:equalWidth="0">
            <w:col w:w="11523" w:space="1797"/>
            <w:col w:w="10440"/>
          </w:cols>
        </w:sectPr>
      </w:pPr>
    </w:p>
    <w:p>
      <w:pPr>
        <w:pStyle w:val="BodyText"/>
        <w:spacing w:before="217"/>
        <w:rPr>
          <w:b/>
          <w:sz w:val="20"/>
        </w:rPr>
      </w:pPr>
    </w:p>
    <w:p>
      <w:pPr>
        <w:pStyle w:val="BodyText"/>
        <w:spacing w:after="0"/>
        <w:rPr>
          <w:b/>
          <w:sz w:val="20"/>
        </w:rPr>
        <w:sectPr>
          <w:pgSz w:w="24480" w:h="15840" w:orient="landscape"/>
          <w:pgMar w:header="0" w:footer="0" w:top="860" w:bottom="0" w:left="0" w:right="720"/>
        </w:sectPr>
      </w:pPr>
    </w:p>
    <w:p>
      <w:pPr>
        <w:pStyle w:val="BodyText"/>
        <w:spacing w:line="247" w:lineRule="auto" w:before="142"/>
        <w:ind w:left="1080" w:right="160"/>
      </w:pPr>
      <w:r>
        <w:rPr>
          <w:color w:val="105C84"/>
        </w:rPr>
        <w:t>In terms of barriers to eating healthy, </w:t>
      </w:r>
      <w:r>
        <w:rPr>
          <w:i/>
          <w:color w:val="105C84"/>
        </w:rPr>
        <w:t>My Health Story 2018 </w:t>
      </w:r>
      <w:r>
        <w:rPr>
          <w:color w:val="105C84"/>
        </w:rPr>
        <w:t>respondents indicated that the cost of food</w:t>
      </w:r>
      <w:r>
        <w:rPr>
          <w:color w:val="105C84"/>
          <w:spacing w:val="24"/>
        </w:rPr>
        <w:t> </w:t>
      </w:r>
      <w:r>
        <w:rPr>
          <w:color w:val="105C84"/>
        </w:rPr>
        <w:t>is</w:t>
      </w:r>
      <w:r>
        <w:rPr>
          <w:color w:val="105C84"/>
          <w:spacing w:val="24"/>
        </w:rPr>
        <w:t> </w:t>
      </w:r>
      <w:r>
        <w:rPr>
          <w:color w:val="105C84"/>
        </w:rPr>
        <w:t>the</w:t>
      </w:r>
      <w:r>
        <w:rPr>
          <w:color w:val="105C84"/>
          <w:spacing w:val="24"/>
        </w:rPr>
        <w:t> </w:t>
      </w:r>
      <w:r>
        <w:rPr>
          <w:color w:val="105C84"/>
        </w:rPr>
        <w:t>biggest</w:t>
      </w:r>
      <w:r>
        <w:rPr>
          <w:color w:val="105C84"/>
          <w:spacing w:val="24"/>
        </w:rPr>
        <w:t> </w:t>
      </w:r>
      <w:r>
        <w:rPr>
          <w:color w:val="105C84"/>
        </w:rPr>
        <w:t>barrier</w:t>
      </w:r>
      <w:r>
        <w:rPr>
          <w:color w:val="105C84"/>
          <w:spacing w:val="24"/>
        </w:rPr>
        <w:t> </w:t>
      </w:r>
      <w:r>
        <w:rPr>
          <w:color w:val="105C84"/>
        </w:rPr>
        <w:t>for</w:t>
      </w:r>
      <w:r>
        <w:rPr>
          <w:color w:val="105C84"/>
          <w:spacing w:val="24"/>
        </w:rPr>
        <w:t> </w:t>
      </w:r>
      <w:r>
        <w:rPr>
          <w:color w:val="105C84"/>
        </w:rPr>
        <w:t>them</w:t>
      </w:r>
      <w:r>
        <w:rPr>
          <w:color w:val="105C84"/>
          <w:spacing w:val="24"/>
        </w:rPr>
        <w:t> </w:t>
      </w:r>
      <w:r>
        <w:rPr>
          <w:color w:val="105C84"/>
        </w:rPr>
        <w:t>(38%).</w:t>
      </w:r>
      <w:r>
        <w:rPr>
          <w:color w:val="105C84"/>
          <w:spacing w:val="24"/>
        </w:rPr>
        <w:t> </w:t>
      </w:r>
      <w:r>
        <w:rPr>
          <w:color w:val="105C84"/>
        </w:rPr>
        <w:t>For</w:t>
      </w:r>
      <w:r>
        <w:rPr>
          <w:color w:val="105C84"/>
          <w:spacing w:val="24"/>
        </w:rPr>
        <w:t> </w:t>
      </w:r>
      <w:r>
        <w:rPr>
          <w:color w:val="105C84"/>
        </w:rPr>
        <w:t>lower</w:t>
      </w:r>
      <w:r>
        <w:rPr>
          <w:color w:val="105C84"/>
          <w:spacing w:val="24"/>
        </w:rPr>
        <w:t> </w:t>
      </w:r>
      <w:r>
        <w:rPr>
          <w:color w:val="105C84"/>
        </w:rPr>
        <w:t>income</w:t>
      </w:r>
      <w:r>
        <w:rPr>
          <w:color w:val="105C84"/>
          <w:spacing w:val="24"/>
        </w:rPr>
        <w:t> </w:t>
      </w:r>
      <w:r>
        <w:rPr>
          <w:color w:val="105C84"/>
        </w:rPr>
        <w:t>residents,</w:t>
      </w:r>
      <w:r>
        <w:rPr>
          <w:color w:val="105C84"/>
          <w:spacing w:val="24"/>
        </w:rPr>
        <w:t> </w:t>
      </w:r>
      <w:r>
        <w:rPr>
          <w:color w:val="105C84"/>
        </w:rPr>
        <w:t>the</w:t>
      </w:r>
      <w:r>
        <w:rPr>
          <w:color w:val="105C84"/>
          <w:spacing w:val="24"/>
        </w:rPr>
        <w:t> </w:t>
      </w:r>
      <w:r>
        <w:rPr>
          <w:color w:val="105C84"/>
        </w:rPr>
        <w:t>rate</w:t>
      </w:r>
      <w:r>
        <w:rPr>
          <w:color w:val="105C84"/>
          <w:spacing w:val="24"/>
        </w:rPr>
        <w:t> </w:t>
      </w:r>
      <w:r>
        <w:rPr>
          <w:color w:val="105C84"/>
        </w:rPr>
        <w:t>of</w:t>
      </w:r>
      <w:r>
        <w:rPr>
          <w:color w:val="105C84"/>
          <w:spacing w:val="24"/>
        </w:rPr>
        <w:t> </w:t>
      </w:r>
      <w:r>
        <w:rPr>
          <w:color w:val="105C84"/>
        </w:rPr>
        <w:t>reporting</w:t>
      </w:r>
      <w:r>
        <w:rPr>
          <w:color w:val="105C84"/>
          <w:spacing w:val="24"/>
        </w:rPr>
        <w:t> </w:t>
      </w:r>
      <w:r>
        <w:rPr>
          <w:color w:val="105C84"/>
        </w:rPr>
        <w:t>cost as a concern jumps to 50% of the responses. Cost is also an issue to those reporting barriers to being physically active. 20% of all residents report they cannot afford a gym membership (28% for lower</w:t>
      </w:r>
      <w:r>
        <w:rPr>
          <w:color w:val="105C84"/>
          <w:spacing w:val="32"/>
        </w:rPr>
        <w:t> </w:t>
      </w:r>
      <w:r>
        <w:rPr>
          <w:color w:val="105C84"/>
        </w:rPr>
        <w:t>income</w:t>
      </w:r>
      <w:r>
        <w:rPr>
          <w:color w:val="105C84"/>
          <w:spacing w:val="32"/>
        </w:rPr>
        <w:t> </w:t>
      </w:r>
      <w:r>
        <w:rPr>
          <w:color w:val="105C84"/>
        </w:rPr>
        <w:t>populations).</w:t>
      </w:r>
      <w:r>
        <w:rPr>
          <w:color w:val="105C84"/>
          <w:spacing w:val="32"/>
        </w:rPr>
        <w:t> </w:t>
      </w:r>
      <w:r>
        <w:rPr>
          <w:color w:val="105C84"/>
        </w:rPr>
        <w:t>On</w:t>
      </w:r>
      <w:r>
        <w:rPr>
          <w:color w:val="105C84"/>
          <w:spacing w:val="32"/>
        </w:rPr>
        <w:t> </w:t>
      </w:r>
      <w:r>
        <w:rPr>
          <w:color w:val="105C84"/>
        </w:rPr>
        <w:t>a</w:t>
      </w:r>
      <w:r>
        <w:rPr>
          <w:color w:val="105C84"/>
          <w:spacing w:val="32"/>
        </w:rPr>
        <w:t> </w:t>
      </w:r>
      <w:r>
        <w:rPr>
          <w:color w:val="105C84"/>
        </w:rPr>
        <w:t>positive</w:t>
      </w:r>
      <w:r>
        <w:rPr>
          <w:color w:val="105C84"/>
          <w:spacing w:val="32"/>
        </w:rPr>
        <w:t> </w:t>
      </w:r>
      <w:r>
        <w:rPr>
          <w:color w:val="105C84"/>
        </w:rPr>
        <w:t>note,</w:t>
      </w:r>
      <w:r>
        <w:rPr>
          <w:color w:val="105C84"/>
          <w:spacing w:val="32"/>
        </w:rPr>
        <w:t> </w:t>
      </w:r>
      <w:r>
        <w:rPr>
          <w:color w:val="105C84"/>
        </w:rPr>
        <w:t>survey</w:t>
      </w:r>
      <w:r>
        <w:rPr>
          <w:color w:val="105C84"/>
          <w:spacing w:val="32"/>
        </w:rPr>
        <w:t> </w:t>
      </w:r>
      <w:r>
        <w:rPr>
          <w:color w:val="105C84"/>
        </w:rPr>
        <w:t>respondents</w:t>
      </w:r>
      <w:r>
        <w:rPr>
          <w:color w:val="105C84"/>
          <w:spacing w:val="32"/>
        </w:rPr>
        <w:t> </w:t>
      </w:r>
      <w:r>
        <w:rPr>
          <w:color w:val="105C84"/>
        </w:rPr>
        <w:t>also</w:t>
      </w:r>
      <w:r>
        <w:rPr>
          <w:color w:val="105C84"/>
          <w:spacing w:val="32"/>
        </w:rPr>
        <w:t> </w:t>
      </w:r>
      <w:r>
        <w:rPr>
          <w:color w:val="105C84"/>
        </w:rPr>
        <w:t>indicated</w:t>
      </w:r>
      <w:r>
        <w:rPr>
          <w:color w:val="105C84"/>
          <w:spacing w:val="32"/>
        </w:rPr>
        <w:t> </w:t>
      </w:r>
      <w:r>
        <w:rPr>
          <w:color w:val="105C84"/>
        </w:rPr>
        <w:t>that</w:t>
      </w:r>
      <w:r>
        <w:rPr>
          <w:color w:val="105C84"/>
          <w:spacing w:val="32"/>
        </w:rPr>
        <w:t> </w:t>
      </w:r>
      <w:r>
        <w:rPr>
          <w:color w:val="105C84"/>
        </w:rPr>
        <w:t>the</w:t>
      </w:r>
      <w:r>
        <w:rPr>
          <w:color w:val="105C84"/>
          <w:spacing w:val="32"/>
        </w:rPr>
        <w:t> </w:t>
      </w:r>
      <w:r>
        <w:rPr>
          <w:color w:val="105C84"/>
        </w:rPr>
        <w:t>built</w:t>
      </w:r>
    </w:p>
    <w:p>
      <w:pPr>
        <w:pStyle w:val="BodyText"/>
        <w:spacing w:line="247" w:lineRule="auto"/>
        <w:ind w:left="1080" w:right="160"/>
      </w:pPr>
      <w:r>
        <w:rPr>
          <w:color w:val="105C84"/>
        </w:rPr>
        <w:t>environment is conducive to physical activity. 88% of respondents indicated that their neighborhood</w:t>
      </w:r>
      <w:r>
        <w:rPr>
          <w:color w:val="105C84"/>
          <w:spacing w:val="40"/>
        </w:rPr>
        <w:t> </w:t>
      </w:r>
      <w:r>
        <w:rPr>
          <w:color w:val="105C84"/>
        </w:rPr>
        <w:t>was</w:t>
      </w:r>
      <w:r>
        <w:rPr>
          <w:color w:val="105C84"/>
          <w:spacing w:val="23"/>
        </w:rPr>
        <w:t> </w:t>
      </w:r>
      <w:r>
        <w:rPr>
          <w:color w:val="105C84"/>
        </w:rPr>
        <w:t>good</w:t>
      </w:r>
      <w:r>
        <w:rPr>
          <w:color w:val="105C84"/>
          <w:spacing w:val="23"/>
        </w:rPr>
        <w:t> </w:t>
      </w:r>
      <w:r>
        <w:rPr>
          <w:color w:val="105C84"/>
        </w:rPr>
        <w:t>or</w:t>
      </w:r>
      <w:r>
        <w:rPr>
          <w:color w:val="105C84"/>
          <w:spacing w:val="23"/>
        </w:rPr>
        <w:t> </w:t>
      </w:r>
      <w:r>
        <w:rPr>
          <w:color w:val="105C84"/>
        </w:rPr>
        <w:t>great</w:t>
      </w:r>
      <w:r>
        <w:rPr>
          <w:color w:val="105C84"/>
          <w:spacing w:val="23"/>
        </w:rPr>
        <w:t> </w:t>
      </w:r>
      <w:r>
        <w:rPr>
          <w:color w:val="105C84"/>
        </w:rPr>
        <w:t>for</w:t>
      </w:r>
      <w:r>
        <w:rPr>
          <w:color w:val="105C84"/>
          <w:spacing w:val="23"/>
        </w:rPr>
        <w:t> </w:t>
      </w:r>
      <w:r>
        <w:rPr>
          <w:color w:val="105C84"/>
        </w:rPr>
        <w:t>children</w:t>
      </w:r>
      <w:r>
        <w:rPr>
          <w:color w:val="105C84"/>
          <w:spacing w:val="23"/>
        </w:rPr>
        <w:t> </w:t>
      </w:r>
      <w:r>
        <w:rPr>
          <w:color w:val="105C84"/>
        </w:rPr>
        <w:t>to</w:t>
      </w:r>
      <w:r>
        <w:rPr>
          <w:color w:val="105C84"/>
          <w:spacing w:val="23"/>
        </w:rPr>
        <w:t> </w:t>
      </w:r>
      <w:r>
        <w:rPr>
          <w:color w:val="105C84"/>
        </w:rPr>
        <w:t>play</w:t>
      </w:r>
      <w:r>
        <w:rPr>
          <w:color w:val="105C84"/>
          <w:spacing w:val="23"/>
        </w:rPr>
        <w:t> </w:t>
      </w:r>
      <w:r>
        <w:rPr>
          <w:color w:val="105C84"/>
        </w:rPr>
        <w:t>outdoors,</w:t>
      </w:r>
      <w:r>
        <w:rPr>
          <w:color w:val="105C84"/>
          <w:spacing w:val="23"/>
        </w:rPr>
        <w:t> </w:t>
      </w:r>
      <w:r>
        <w:rPr>
          <w:color w:val="105C84"/>
        </w:rPr>
        <w:t>which</w:t>
      </w:r>
      <w:r>
        <w:rPr>
          <w:color w:val="105C84"/>
          <w:spacing w:val="23"/>
        </w:rPr>
        <w:t> </w:t>
      </w:r>
      <w:r>
        <w:rPr>
          <w:color w:val="105C84"/>
        </w:rPr>
        <w:t>is</w:t>
      </w:r>
      <w:r>
        <w:rPr>
          <w:color w:val="105C84"/>
          <w:spacing w:val="23"/>
        </w:rPr>
        <w:t> </w:t>
      </w:r>
      <w:r>
        <w:rPr>
          <w:color w:val="105C84"/>
        </w:rPr>
        <w:t>higher</w:t>
      </w:r>
      <w:r>
        <w:rPr>
          <w:color w:val="105C84"/>
          <w:spacing w:val="23"/>
        </w:rPr>
        <w:t> </w:t>
      </w:r>
      <w:r>
        <w:rPr>
          <w:color w:val="105C84"/>
        </w:rPr>
        <w:t>than</w:t>
      </w:r>
      <w:r>
        <w:rPr>
          <w:color w:val="105C84"/>
          <w:spacing w:val="23"/>
        </w:rPr>
        <w:t> </w:t>
      </w:r>
      <w:r>
        <w:rPr>
          <w:color w:val="105C84"/>
        </w:rPr>
        <w:t>the</w:t>
      </w:r>
      <w:r>
        <w:rPr>
          <w:color w:val="105C84"/>
          <w:spacing w:val="23"/>
        </w:rPr>
        <w:t> </w:t>
      </w:r>
      <w:r>
        <w:rPr>
          <w:color w:val="105C84"/>
        </w:rPr>
        <w:t>regional</w:t>
      </w:r>
      <w:r>
        <w:rPr>
          <w:color w:val="105C84"/>
          <w:spacing w:val="23"/>
        </w:rPr>
        <w:t> </w:t>
      </w:r>
      <w:r>
        <w:rPr>
          <w:color w:val="105C84"/>
        </w:rPr>
        <w:t>rate</w:t>
      </w:r>
      <w:r>
        <w:rPr>
          <w:color w:val="105C84"/>
          <w:spacing w:val="23"/>
        </w:rPr>
        <w:t> </w:t>
      </w:r>
      <w:r>
        <w:rPr>
          <w:color w:val="105C84"/>
        </w:rPr>
        <w:t>of</w:t>
      </w:r>
      <w:r>
        <w:rPr>
          <w:color w:val="105C84"/>
          <w:spacing w:val="23"/>
        </w:rPr>
        <w:t> </w:t>
      </w:r>
      <w:r>
        <w:rPr>
          <w:color w:val="105C84"/>
        </w:rPr>
        <w:t>81%.</w:t>
      </w:r>
    </w:p>
    <w:p>
      <w:pPr>
        <w:pStyle w:val="BodyText"/>
        <w:spacing w:line="247" w:lineRule="auto" w:before="177"/>
        <w:ind w:left="1080" w:right="430"/>
      </w:pPr>
      <w:r>
        <w:rPr>
          <w:color w:val="105C84"/>
        </w:rPr>
        <w:t>Screening for cancers is an important preventative step in primary care. Figure 33 below shows the percent of the population that has received screenings for various types of cancer based on</w:t>
      </w:r>
    </w:p>
    <w:p>
      <w:pPr>
        <w:pStyle w:val="BodyText"/>
        <w:spacing w:line="247" w:lineRule="auto"/>
        <w:ind w:left="1080" w:right="160"/>
      </w:pPr>
      <w:r>
        <w:rPr>
          <w:color w:val="105C84"/>
        </w:rPr>
        <w:t>recommended guidelines in Schuyler County. Of note, prostate cancer screenings are the lowest in the county, which is a similar findings for each of the other counties in the region.</w:t>
      </w:r>
    </w:p>
    <w:p>
      <w:pPr>
        <w:pStyle w:val="BodyText"/>
        <w:spacing w:before="16"/>
      </w:pPr>
    </w:p>
    <w:p>
      <w:pPr>
        <w:pStyle w:val="Heading6"/>
        <w:spacing w:before="1"/>
      </w:pPr>
      <w:r>
        <w:rPr>
          <w:color w:val="105C84"/>
          <w:spacing w:val="-6"/>
        </w:rPr>
        <w:t>FIGURE</w:t>
      </w:r>
      <w:r>
        <w:rPr>
          <w:color w:val="105C84"/>
          <w:spacing w:val="-7"/>
        </w:rPr>
        <w:t> </w:t>
      </w:r>
      <w:r>
        <w:rPr>
          <w:color w:val="105C84"/>
          <w:spacing w:val="-6"/>
        </w:rPr>
        <w:t>33:</w:t>
      </w:r>
      <w:r>
        <w:rPr>
          <w:color w:val="105C84"/>
          <w:spacing w:val="-7"/>
        </w:rPr>
        <w:t> </w:t>
      </w:r>
      <w:r>
        <w:rPr>
          <w:color w:val="105C84"/>
          <w:spacing w:val="-6"/>
        </w:rPr>
        <w:t>Percent</w:t>
      </w:r>
      <w:r>
        <w:rPr>
          <w:color w:val="105C84"/>
          <w:spacing w:val="-7"/>
        </w:rPr>
        <w:t> </w:t>
      </w:r>
      <w:r>
        <w:rPr>
          <w:color w:val="105C84"/>
          <w:spacing w:val="-6"/>
        </w:rPr>
        <w:t>of</w:t>
      </w:r>
      <w:r>
        <w:rPr>
          <w:color w:val="105C84"/>
          <w:spacing w:val="-7"/>
        </w:rPr>
        <w:t> </w:t>
      </w:r>
      <w:r>
        <w:rPr>
          <w:color w:val="105C84"/>
          <w:spacing w:val="-6"/>
        </w:rPr>
        <w:t>population</w:t>
      </w:r>
      <w:r>
        <w:rPr>
          <w:color w:val="105C84"/>
          <w:spacing w:val="-7"/>
        </w:rPr>
        <w:t> </w:t>
      </w:r>
      <w:r>
        <w:rPr>
          <w:color w:val="105C84"/>
          <w:spacing w:val="-6"/>
        </w:rPr>
        <w:t>receiving</w:t>
      </w:r>
      <w:r>
        <w:rPr>
          <w:color w:val="105C84"/>
          <w:spacing w:val="-7"/>
        </w:rPr>
        <w:t> </w:t>
      </w:r>
      <w:r>
        <w:rPr>
          <w:color w:val="105C84"/>
          <w:spacing w:val="-6"/>
        </w:rPr>
        <w:t>cancer</w:t>
      </w:r>
      <w:r>
        <w:rPr>
          <w:color w:val="105C84"/>
          <w:spacing w:val="-7"/>
        </w:rPr>
        <w:t> </w:t>
      </w:r>
      <w:r>
        <w:rPr>
          <w:color w:val="105C84"/>
          <w:spacing w:val="-6"/>
        </w:rPr>
        <w:t>screenings,</w:t>
      </w:r>
      <w:r>
        <w:rPr>
          <w:color w:val="105C84"/>
          <w:spacing w:val="-7"/>
        </w:rPr>
        <w:t> </w:t>
      </w:r>
      <w:r>
        <w:rPr>
          <w:color w:val="105C84"/>
          <w:spacing w:val="-6"/>
        </w:rPr>
        <w:t>Schuyler</w:t>
      </w:r>
      <w:r>
        <w:rPr>
          <w:color w:val="105C84"/>
          <w:spacing w:val="-7"/>
        </w:rPr>
        <w:t> </w:t>
      </w:r>
      <w:r>
        <w:rPr>
          <w:color w:val="105C84"/>
          <w:spacing w:val="-6"/>
        </w:rPr>
        <w:t>County</w:t>
      </w:r>
    </w:p>
    <w:p>
      <w:pPr>
        <w:pStyle w:val="BodyText"/>
        <w:spacing w:before="224"/>
        <w:rPr>
          <w:b/>
          <w:sz w:val="26"/>
        </w:rPr>
      </w:pPr>
    </w:p>
    <w:p>
      <w:pPr>
        <w:spacing w:before="0"/>
        <w:ind w:left="1455" w:right="0" w:firstLine="0"/>
        <w:jc w:val="left"/>
        <w:rPr>
          <w:sz w:val="16"/>
        </w:rPr>
      </w:pPr>
      <w:r>
        <w:rPr>
          <w:sz w:val="16"/>
        </w:rPr>
        <mc:AlternateContent>
          <mc:Choice Requires="wps">
            <w:drawing>
              <wp:anchor distT="0" distB="0" distL="0" distR="0" allowOverlap="1" layoutInCell="1" locked="0" behindDoc="0" simplePos="0" relativeHeight="15828992">
                <wp:simplePos x="0" y="0"/>
                <wp:positionH relativeFrom="page">
                  <wp:posOffset>1258007</wp:posOffset>
                </wp:positionH>
                <wp:positionV relativeFrom="paragraph">
                  <wp:posOffset>-23519</wp:posOffset>
                </wp:positionV>
                <wp:extent cx="5405120" cy="1873885"/>
                <wp:effectExtent l="0" t="0" r="0" b="0"/>
                <wp:wrapNone/>
                <wp:docPr id="995" name="Group 995"/>
                <wp:cNvGraphicFramePr>
                  <a:graphicFrameLocks/>
                </wp:cNvGraphicFramePr>
                <a:graphic>
                  <a:graphicData uri="http://schemas.microsoft.com/office/word/2010/wordprocessingGroup">
                    <wpg:wgp>
                      <wpg:cNvPr id="995" name="Group 995"/>
                      <wpg:cNvGrpSpPr/>
                      <wpg:grpSpPr>
                        <a:xfrm>
                          <a:off x="0" y="0"/>
                          <a:ext cx="5405120" cy="1873885"/>
                          <a:chExt cx="5405120" cy="1873885"/>
                        </a:xfrm>
                      </wpg:grpSpPr>
                      <wps:wsp>
                        <wps:cNvPr id="996" name="Graphic 996"/>
                        <wps:cNvSpPr/>
                        <wps:spPr>
                          <a:xfrm>
                            <a:off x="351704" y="37988"/>
                            <a:ext cx="67945" cy="67945"/>
                          </a:xfrm>
                          <a:custGeom>
                            <a:avLst/>
                            <a:gdLst/>
                            <a:ahLst/>
                            <a:cxnLst/>
                            <a:rect l="l" t="t" r="r" b="b"/>
                            <a:pathLst>
                              <a:path w="67945" h="67945">
                                <a:moveTo>
                                  <a:pt x="67881" y="0"/>
                                </a:moveTo>
                                <a:lnTo>
                                  <a:pt x="0" y="0"/>
                                </a:lnTo>
                                <a:lnTo>
                                  <a:pt x="0" y="67881"/>
                                </a:lnTo>
                                <a:lnTo>
                                  <a:pt x="67881" y="67881"/>
                                </a:lnTo>
                                <a:lnTo>
                                  <a:pt x="67881" y="0"/>
                                </a:lnTo>
                                <a:close/>
                              </a:path>
                            </a:pathLst>
                          </a:custGeom>
                          <a:solidFill>
                            <a:srgbClr val="105C84"/>
                          </a:solidFill>
                        </wps:spPr>
                        <wps:bodyPr wrap="square" lIns="0" tIns="0" rIns="0" bIns="0" rtlCol="0">
                          <a:prstTxWarp prst="textNoShape">
                            <a:avLst/>
                          </a:prstTxWarp>
                          <a:noAutofit/>
                        </wps:bodyPr>
                      </wps:wsp>
                      <wps:wsp>
                        <wps:cNvPr id="997" name="Graphic 997"/>
                        <wps:cNvSpPr/>
                        <wps:spPr>
                          <a:xfrm>
                            <a:off x="1123115" y="37988"/>
                            <a:ext cx="67945" cy="67945"/>
                          </a:xfrm>
                          <a:custGeom>
                            <a:avLst/>
                            <a:gdLst/>
                            <a:ahLst/>
                            <a:cxnLst/>
                            <a:rect l="l" t="t" r="r" b="b"/>
                            <a:pathLst>
                              <a:path w="67945" h="67945">
                                <a:moveTo>
                                  <a:pt x="67881" y="0"/>
                                </a:moveTo>
                                <a:lnTo>
                                  <a:pt x="0" y="0"/>
                                </a:lnTo>
                                <a:lnTo>
                                  <a:pt x="0" y="67881"/>
                                </a:lnTo>
                                <a:lnTo>
                                  <a:pt x="67881" y="67881"/>
                                </a:lnTo>
                                <a:lnTo>
                                  <a:pt x="67881" y="0"/>
                                </a:lnTo>
                                <a:close/>
                              </a:path>
                            </a:pathLst>
                          </a:custGeom>
                          <a:solidFill>
                            <a:srgbClr val="BCBEC0"/>
                          </a:solidFill>
                        </wps:spPr>
                        <wps:bodyPr wrap="square" lIns="0" tIns="0" rIns="0" bIns="0" rtlCol="0">
                          <a:prstTxWarp prst="textNoShape">
                            <a:avLst/>
                          </a:prstTxWarp>
                          <a:noAutofit/>
                        </wps:bodyPr>
                      </wps:wsp>
                      <wps:wsp>
                        <wps:cNvPr id="998" name="Graphic 998"/>
                        <wps:cNvSpPr/>
                        <wps:spPr>
                          <a:xfrm>
                            <a:off x="344846" y="411075"/>
                            <a:ext cx="4343400" cy="1460500"/>
                          </a:xfrm>
                          <a:custGeom>
                            <a:avLst/>
                            <a:gdLst/>
                            <a:ahLst/>
                            <a:cxnLst/>
                            <a:rect l="l" t="t" r="r" b="b"/>
                            <a:pathLst>
                              <a:path w="4343400" h="1460500">
                                <a:moveTo>
                                  <a:pt x="304800" y="965200"/>
                                </a:moveTo>
                                <a:lnTo>
                                  <a:pt x="0" y="965200"/>
                                </a:lnTo>
                                <a:lnTo>
                                  <a:pt x="0" y="1460500"/>
                                </a:lnTo>
                                <a:lnTo>
                                  <a:pt x="304800" y="1460500"/>
                                </a:lnTo>
                                <a:lnTo>
                                  <a:pt x="304800" y="965200"/>
                                </a:lnTo>
                                <a:close/>
                              </a:path>
                              <a:path w="4343400" h="1460500">
                                <a:moveTo>
                                  <a:pt x="1651000" y="127000"/>
                                </a:moveTo>
                                <a:lnTo>
                                  <a:pt x="1346200" y="127000"/>
                                </a:lnTo>
                                <a:lnTo>
                                  <a:pt x="1346200" y="1460500"/>
                                </a:lnTo>
                                <a:lnTo>
                                  <a:pt x="1651000" y="1460500"/>
                                </a:lnTo>
                                <a:lnTo>
                                  <a:pt x="1651000" y="127000"/>
                                </a:lnTo>
                                <a:close/>
                              </a:path>
                              <a:path w="4343400" h="1460500">
                                <a:moveTo>
                                  <a:pt x="2997200" y="0"/>
                                </a:moveTo>
                                <a:lnTo>
                                  <a:pt x="2692400" y="0"/>
                                </a:lnTo>
                                <a:lnTo>
                                  <a:pt x="2692400" y="1460500"/>
                                </a:lnTo>
                                <a:lnTo>
                                  <a:pt x="2997200" y="1460500"/>
                                </a:lnTo>
                                <a:lnTo>
                                  <a:pt x="2997200" y="0"/>
                                </a:lnTo>
                                <a:close/>
                              </a:path>
                              <a:path w="4343400" h="1460500">
                                <a:moveTo>
                                  <a:pt x="4343400" y="139700"/>
                                </a:moveTo>
                                <a:lnTo>
                                  <a:pt x="4038600" y="139700"/>
                                </a:lnTo>
                                <a:lnTo>
                                  <a:pt x="4038600" y="1460500"/>
                                </a:lnTo>
                                <a:lnTo>
                                  <a:pt x="4343400" y="1460500"/>
                                </a:lnTo>
                                <a:lnTo>
                                  <a:pt x="4343400" y="139700"/>
                                </a:lnTo>
                                <a:close/>
                              </a:path>
                            </a:pathLst>
                          </a:custGeom>
                          <a:solidFill>
                            <a:srgbClr val="105C84"/>
                          </a:solidFill>
                        </wps:spPr>
                        <wps:bodyPr wrap="square" lIns="0" tIns="0" rIns="0" bIns="0" rtlCol="0">
                          <a:prstTxWarp prst="textNoShape">
                            <a:avLst/>
                          </a:prstTxWarp>
                          <a:noAutofit/>
                        </wps:bodyPr>
                      </wps:wsp>
                      <wps:wsp>
                        <wps:cNvPr id="999" name="Graphic 999"/>
                        <wps:cNvSpPr/>
                        <wps:spPr>
                          <a:xfrm>
                            <a:off x="725847" y="436475"/>
                            <a:ext cx="4343400" cy="1435100"/>
                          </a:xfrm>
                          <a:custGeom>
                            <a:avLst/>
                            <a:gdLst/>
                            <a:ahLst/>
                            <a:cxnLst/>
                            <a:rect l="l" t="t" r="r" b="b"/>
                            <a:pathLst>
                              <a:path w="4343400" h="1435100">
                                <a:moveTo>
                                  <a:pt x="304800" y="685800"/>
                                </a:moveTo>
                                <a:lnTo>
                                  <a:pt x="0" y="685800"/>
                                </a:lnTo>
                                <a:lnTo>
                                  <a:pt x="0" y="1435100"/>
                                </a:lnTo>
                                <a:lnTo>
                                  <a:pt x="304800" y="1435100"/>
                                </a:lnTo>
                                <a:lnTo>
                                  <a:pt x="304800" y="685800"/>
                                </a:lnTo>
                                <a:close/>
                              </a:path>
                              <a:path w="4343400" h="1435100">
                                <a:moveTo>
                                  <a:pt x="1651000" y="190500"/>
                                </a:moveTo>
                                <a:lnTo>
                                  <a:pt x="1346200" y="190500"/>
                                </a:lnTo>
                                <a:lnTo>
                                  <a:pt x="1346200" y="1435100"/>
                                </a:lnTo>
                                <a:lnTo>
                                  <a:pt x="1651000" y="1435100"/>
                                </a:lnTo>
                                <a:lnTo>
                                  <a:pt x="1651000" y="190500"/>
                                </a:lnTo>
                                <a:close/>
                              </a:path>
                              <a:path w="4343400" h="1435100">
                                <a:moveTo>
                                  <a:pt x="2997200" y="25400"/>
                                </a:moveTo>
                                <a:lnTo>
                                  <a:pt x="2692400" y="25400"/>
                                </a:lnTo>
                                <a:lnTo>
                                  <a:pt x="2692400" y="1435100"/>
                                </a:lnTo>
                                <a:lnTo>
                                  <a:pt x="2997200" y="1435100"/>
                                </a:lnTo>
                                <a:lnTo>
                                  <a:pt x="2997200" y="25400"/>
                                </a:lnTo>
                                <a:close/>
                              </a:path>
                              <a:path w="4343400" h="1435100">
                                <a:moveTo>
                                  <a:pt x="4343400" y="0"/>
                                </a:moveTo>
                                <a:lnTo>
                                  <a:pt x="4038600" y="0"/>
                                </a:lnTo>
                                <a:lnTo>
                                  <a:pt x="4038600" y="1435100"/>
                                </a:lnTo>
                                <a:lnTo>
                                  <a:pt x="4343400" y="1435100"/>
                                </a:lnTo>
                                <a:lnTo>
                                  <a:pt x="4343400" y="0"/>
                                </a:lnTo>
                                <a:close/>
                              </a:path>
                            </a:pathLst>
                          </a:custGeom>
                          <a:solidFill>
                            <a:srgbClr val="BCBEC0"/>
                          </a:solidFill>
                        </wps:spPr>
                        <wps:bodyPr wrap="square" lIns="0" tIns="0" rIns="0" bIns="0" rtlCol="0">
                          <a:prstTxWarp prst="textNoShape">
                            <a:avLst/>
                          </a:prstTxWarp>
                          <a:noAutofit/>
                        </wps:bodyPr>
                      </wps:wsp>
                      <wps:wsp>
                        <wps:cNvPr id="1000" name="Graphic 1000"/>
                        <wps:cNvSpPr/>
                        <wps:spPr>
                          <a:xfrm>
                            <a:off x="465494" y="1268327"/>
                            <a:ext cx="63500" cy="219710"/>
                          </a:xfrm>
                          <a:custGeom>
                            <a:avLst/>
                            <a:gdLst/>
                            <a:ahLst/>
                            <a:cxnLst/>
                            <a:rect l="l" t="t" r="r" b="b"/>
                            <a:pathLst>
                              <a:path w="63500" h="219710">
                                <a:moveTo>
                                  <a:pt x="32486" y="105143"/>
                                </a:moveTo>
                                <a:lnTo>
                                  <a:pt x="32486" y="219443"/>
                                </a:lnTo>
                              </a:path>
                              <a:path w="63500" h="219710">
                                <a:moveTo>
                                  <a:pt x="32486" y="105143"/>
                                </a:moveTo>
                                <a:lnTo>
                                  <a:pt x="32486" y="3543"/>
                                </a:lnTo>
                              </a:path>
                              <a:path w="63500" h="219710">
                                <a:moveTo>
                                  <a:pt x="0" y="215899"/>
                                </a:moveTo>
                                <a:lnTo>
                                  <a:pt x="63499" y="215899"/>
                                </a:lnTo>
                              </a:path>
                              <a:path w="63500" h="219710">
                                <a:moveTo>
                                  <a:pt x="0" y="0"/>
                                </a:moveTo>
                                <a:lnTo>
                                  <a:pt x="63499" y="0"/>
                                </a:lnTo>
                              </a:path>
                            </a:pathLst>
                          </a:custGeom>
                          <a:ln w="12700">
                            <a:solidFill>
                              <a:srgbClr val="939598"/>
                            </a:solidFill>
                            <a:prstDash val="solid"/>
                          </a:ln>
                        </wps:spPr>
                        <wps:bodyPr wrap="square" lIns="0" tIns="0" rIns="0" bIns="0" rtlCol="0">
                          <a:prstTxWarp prst="textNoShape">
                            <a:avLst/>
                          </a:prstTxWarp>
                          <a:noAutofit/>
                        </wps:bodyPr>
                      </wps:wsp>
                      <wps:wsp>
                        <wps:cNvPr id="1001" name="Graphic 1001"/>
                        <wps:cNvSpPr/>
                        <wps:spPr>
                          <a:xfrm>
                            <a:off x="1798986" y="417423"/>
                            <a:ext cx="63500" cy="241300"/>
                          </a:xfrm>
                          <a:custGeom>
                            <a:avLst/>
                            <a:gdLst/>
                            <a:ahLst/>
                            <a:cxnLst/>
                            <a:rect l="l" t="t" r="r" b="b"/>
                            <a:pathLst>
                              <a:path w="63500" h="241300">
                                <a:moveTo>
                                  <a:pt x="30708" y="114300"/>
                                </a:moveTo>
                                <a:lnTo>
                                  <a:pt x="30708" y="241300"/>
                                </a:lnTo>
                              </a:path>
                              <a:path w="63500" h="241300">
                                <a:moveTo>
                                  <a:pt x="30708" y="114300"/>
                                </a:moveTo>
                                <a:lnTo>
                                  <a:pt x="30708" y="0"/>
                                </a:lnTo>
                              </a:path>
                              <a:path w="63500" h="241300">
                                <a:moveTo>
                                  <a:pt x="0" y="241300"/>
                                </a:moveTo>
                                <a:lnTo>
                                  <a:pt x="63500" y="241300"/>
                                </a:lnTo>
                              </a:path>
                              <a:path w="63500" h="241300">
                                <a:moveTo>
                                  <a:pt x="0" y="0"/>
                                </a:moveTo>
                                <a:lnTo>
                                  <a:pt x="63500" y="0"/>
                                </a:lnTo>
                              </a:path>
                            </a:pathLst>
                          </a:custGeom>
                          <a:ln w="12700">
                            <a:solidFill>
                              <a:srgbClr val="939598"/>
                            </a:solidFill>
                            <a:prstDash val="solid"/>
                          </a:ln>
                        </wps:spPr>
                        <wps:bodyPr wrap="square" lIns="0" tIns="0" rIns="0" bIns="0" rtlCol="0">
                          <a:prstTxWarp prst="textNoShape">
                            <a:avLst/>
                          </a:prstTxWarp>
                          <a:noAutofit/>
                        </wps:bodyPr>
                      </wps:wsp>
                      <wps:wsp>
                        <wps:cNvPr id="1002" name="Graphic 1002"/>
                        <wps:cNvSpPr/>
                        <wps:spPr>
                          <a:xfrm>
                            <a:off x="3157894" y="303123"/>
                            <a:ext cx="63500" cy="215900"/>
                          </a:xfrm>
                          <a:custGeom>
                            <a:avLst/>
                            <a:gdLst/>
                            <a:ahLst/>
                            <a:cxnLst/>
                            <a:rect l="l" t="t" r="r" b="b"/>
                            <a:pathLst>
                              <a:path w="63500" h="215900">
                                <a:moveTo>
                                  <a:pt x="32194" y="114300"/>
                                </a:moveTo>
                                <a:lnTo>
                                  <a:pt x="32194" y="215900"/>
                                </a:lnTo>
                              </a:path>
                              <a:path w="63500" h="215900">
                                <a:moveTo>
                                  <a:pt x="32194" y="114300"/>
                                </a:moveTo>
                                <a:lnTo>
                                  <a:pt x="32194" y="0"/>
                                </a:lnTo>
                              </a:path>
                              <a:path w="63500" h="215900">
                                <a:moveTo>
                                  <a:pt x="0" y="215900"/>
                                </a:moveTo>
                                <a:lnTo>
                                  <a:pt x="63500" y="215900"/>
                                </a:lnTo>
                              </a:path>
                              <a:path w="63500" h="215900">
                                <a:moveTo>
                                  <a:pt x="0" y="0"/>
                                </a:moveTo>
                                <a:lnTo>
                                  <a:pt x="63500" y="0"/>
                                </a:lnTo>
                              </a:path>
                            </a:pathLst>
                          </a:custGeom>
                          <a:ln w="12700">
                            <a:solidFill>
                              <a:srgbClr val="939598"/>
                            </a:solidFill>
                            <a:prstDash val="solid"/>
                          </a:ln>
                        </wps:spPr>
                        <wps:bodyPr wrap="square" lIns="0" tIns="0" rIns="0" bIns="0" rtlCol="0">
                          <a:prstTxWarp prst="textNoShape">
                            <a:avLst/>
                          </a:prstTxWarp>
                          <a:noAutofit/>
                        </wps:bodyPr>
                      </wps:wsp>
                      <wps:wsp>
                        <wps:cNvPr id="1003" name="Graphic 1003"/>
                        <wps:cNvSpPr/>
                        <wps:spPr>
                          <a:xfrm>
                            <a:off x="4504093" y="417423"/>
                            <a:ext cx="63500" cy="279400"/>
                          </a:xfrm>
                          <a:custGeom>
                            <a:avLst/>
                            <a:gdLst/>
                            <a:ahLst/>
                            <a:cxnLst/>
                            <a:rect l="l" t="t" r="r" b="b"/>
                            <a:pathLst>
                              <a:path w="63500" h="279400">
                                <a:moveTo>
                                  <a:pt x="32778" y="139700"/>
                                </a:moveTo>
                                <a:lnTo>
                                  <a:pt x="32778" y="279400"/>
                                </a:lnTo>
                              </a:path>
                              <a:path w="63500" h="279400">
                                <a:moveTo>
                                  <a:pt x="32778" y="139700"/>
                                </a:moveTo>
                                <a:lnTo>
                                  <a:pt x="32778" y="0"/>
                                </a:lnTo>
                              </a:path>
                              <a:path w="63500" h="279400">
                                <a:moveTo>
                                  <a:pt x="0" y="279400"/>
                                </a:moveTo>
                                <a:lnTo>
                                  <a:pt x="63500" y="279400"/>
                                </a:lnTo>
                              </a:path>
                              <a:path w="63500" h="279400">
                                <a:moveTo>
                                  <a:pt x="0" y="0"/>
                                </a:moveTo>
                                <a:lnTo>
                                  <a:pt x="63500" y="0"/>
                                </a:lnTo>
                              </a:path>
                            </a:pathLst>
                          </a:custGeom>
                          <a:ln w="12700">
                            <a:solidFill>
                              <a:srgbClr val="939598"/>
                            </a:solidFill>
                            <a:prstDash val="solid"/>
                          </a:ln>
                        </wps:spPr>
                        <wps:bodyPr wrap="square" lIns="0" tIns="0" rIns="0" bIns="0" rtlCol="0">
                          <a:prstTxWarp prst="textNoShape">
                            <a:avLst/>
                          </a:prstTxWarp>
                          <a:noAutofit/>
                        </wps:bodyPr>
                      </wps:wsp>
                      <wps:wsp>
                        <wps:cNvPr id="1004" name="Graphic 1004"/>
                        <wps:cNvSpPr/>
                        <wps:spPr>
                          <a:xfrm>
                            <a:off x="846493" y="1059808"/>
                            <a:ext cx="63500" cy="120014"/>
                          </a:xfrm>
                          <a:custGeom>
                            <a:avLst/>
                            <a:gdLst/>
                            <a:ahLst/>
                            <a:cxnLst/>
                            <a:rect l="l" t="t" r="r" b="b"/>
                            <a:pathLst>
                              <a:path w="63500" h="120014">
                                <a:moveTo>
                                  <a:pt x="32778" y="63500"/>
                                </a:moveTo>
                                <a:lnTo>
                                  <a:pt x="32778" y="114300"/>
                                </a:lnTo>
                              </a:path>
                              <a:path w="63500" h="120014">
                                <a:moveTo>
                                  <a:pt x="32778" y="63500"/>
                                </a:moveTo>
                                <a:lnTo>
                                  <a:pt x="32778" y="0"/>
                                </a:lnTo>
                              </a:path>
                              <a:path w="63500" h="120014">
                                <a:moveTo>
                                  <a:pt x="0" y="119608"/>
                                </a:moveTo>
                                <a:lnTo>
                                  <a:pt x="63499" y="119608"/>
                                </a:lnTo>
                              </a:path>
                              <a:path w="63500" h="120014">
                                <a:moveTo>
                                  <a:pt x="0" y="5308"/>
                                </a:moveTo>
                                <a:lnTo>
                                  <a:pt x="63499" y="5308"/>
                                </a:lnTo>
                              </a:path>
                            </a:pathLst>
                          </a:custGeom>
                          <a:ln w="12700">
                            <a:solidFill>
                              <a:srgbClr val="939598"/>
                            </a:solidFill>
                            <a:prstDash val="solid"/>
                          </a:ln>
                        </wps:spPr>
                        <wps:bodyPr wrap="square" lIns="0" tIns="0" rIns="0" bIns="0" rtlCol="0">
                          <a:prstTxWarp prst="textNoShape">
                            <a:avLst/>
                          </a:prstTxWarp>
                          <a:noAutofit/>
                        </wps:bodyPr>
                      </wps:wsp>
                      <wps:wsp>
                        <wps:cNvPr id="1005" name="Graphic 1005"/>
                        <wps:cNvSpPr/>
                        <wps:spPr>
                          <a:xfrm>
                            <a:off x="2192691" y="594572"/>
                            <a:ext cx="63500" cy="64769"/>
                          </a:xfrm>
                          <a:custGeom>
                            <a:avLst/>
                            <a:gdLst/>
                            <a:ahLst/>
                            <a:cxnLst/>
                            <a:rect l="l" t="t" r="r" b="b"/>
                            <a:pathLst>
                              <a:path w="63500" h="64769">
                                <a:moveTo>
                                  <a:pt x="33375" y="0"/>
                                </a:moveTo>
                                <a:lnTo>
                                  <a:pt x="33375" y="64147"/>
                                </a:lnTo>
                              </a:path>
                              <a:path w="63500" h="64769">
                                <a:moveTo>
                                  <a:pt x="0" y="64147"/>
                                </a:moveTo>
                                <a:lnTo>
                                  <a:pt x="63499" y="64147"/>
                                </a:lnTo>
                              </a:path>
                              <a:path w="63500" h="64769">
                                <a:moveTo>
                                  <a:pt x="0" y="647"/>
                                </a:moveTo>
                                <a:lnTo>
                                  <a:pt x="63499" y="647"/>
                                </a:lnTo>
                              </a:path>
                            </a:pathLst>
                          </a:custGeom>
                          <a:ln w="12700">
                            <a:solidFill>
                              <a:srgbClr val="939598"/>
                            </a:solidFill>
                            <a:prstDash val="solid"/>
                          </a:ln>
                        </wps:spPr>
                        <wps:bodyPr wrap="square" lIns="0" tIns="0" rIns="0" bIns="0" rtlCol="0">
                          <a:prstTxWarp prst="textNoShape">
                            <a:avLst/>
                          </a:prstTxWarp>
                          <a:noAutofit/>
                        </wps:bodyPr>
                      </wps:wsp>
                      <wps:wsp>
                        <wps:cNvPr id="1006" name="Graphic 1006"/>
                        <wps:cNvSpPr/>
                        <wps:spPr>
                          <a:xfrm>
                            <a:off x="3551593" y="430123"/>
                            <a:ext cx="50800" cy="76200"/>
                          </a:xfrm>
                          <a:custGeom>
                            <a:avLst/>
                            <a:gdLst/>
                            <a:ahLst/>
                            <a:cxnLst/>
                            <a:rect l="l" t="t" r="r" b="b"/>
                            <a:pathLst>
                              <a:path w="50800" h="76200">
                                <a:moveTo>
                                  <a:pt x="25400" y="38100"/>
                                </a:moveTo>
                                <a:lnTo>
                                  <a:pt x="25400" y="76200"/>
                                </a:lnTo>
                              </a:path>
                              <a:path w="50800" h="76200">
                                <a:moveTo>
                                  <a:pt x="25400" y="38100"/>
                                </a:moveTo>
                                <a:lnTo>
                                  <a:pt x="25400" y="0"/>
                                </a:lnTo>
                              </a:path>
                              <a:path w="50800" h="76200">
                                <a:moveTo>
                                  <a:pt x="0" y="76200"/>
                                </a:moveTo>
                                <a:lnTo>
                                  <a:pt x="50800" y="76200"/>
                                </a:lnTo>
                              </a:path>
                              <a:path w="50800" h="76200">
                                <a:moveTo>
                                  <a:pt x="0" y="0"/>
                                </a:moveTo>
                                <a:lnTo>
                                  <a:pt x="50800" y="0"/>
                                </a:lnTo>
                              </a:path>
                            </a:pathLst>
                          </a:custGeom>
                          <a:ln w="12700">
                            <a:solidFill>
                              <a:srgbClr val="939598"/>
                            </a:solidFill>
                            <a:prstDash val="solid"/>
                          </a:ln>
                        </wps:spPr>
                        <wps:bodyPr wrap="square" lIns="0" tIns="0" rIns="0" bIns="0" rtlCol="0">
                          <a:prstTxWarp prst="textNoShape">
                            <a:avLst/>
                          </a:prstTxWarp>
                          <a:noAutofit/>
                        </wps:bodyPr>
                      </wps:wsp>
                      <wps:wsp>
                        <wps:cNvPr id="1007" name="Graphic 1007"/>
                        <wps:cNvSpPr/>
                        <wps:spPr>
                          <a:xfrm>
                            <a:off x="4897793" y="392023"/>
                            <a:ext cx="50800" cy="76200"/>
                          </a:xfrm>
                          <a:custGeom>
                            <a:avLst/>
                            <a:gdLst/>
                            <a:ahLst/>
                            <a:cxnLst/>
                            <a:rect l="l" t="t" r="r" b="b"/>
                            <a:pathLst>
                              <a:path w="50800" h="76200">
                                <a:moveTo>
                                  <a:pt x="25400" y="38100"/>
                                </a:moveTo>
                                <a:lnTo>
                                  <a:pt x="25400" y="76200"/>
                                </a:lnTo>
                              </a:path>
                              <a:path w="50800" h="76200">
                                <a:moveTo>
                                  <a:pt x="25400" y="38100"/>
                                </a:moveTo>
                                <a:lnTo>
                                  <a:pt x="25400" y="0"/>
                                </a:lnTo>
                              </a:path>
                              <a:path w="50800" h="76200">
                                <a:moveTo>
                                  <a:pt x="0" y="76200"/>
                                </a:moveTo>
                                <a:lnTo>
                                  <a:pt x="50800" y="76200"/>
                                </a:lnTo>
                              </a:path>
                              <a:path w="50800" h="76200">
                                <a:moveTo>
                                  <a:pt x="0" y="0"/>
                                </a:moveTo>
                                <a:lnTo>
                                  <a:pt x="50800" y="0"/>
                                </a:lnTo>
                              </a:path>
                            </a:pathLst>
                          </a:custGeom>
                          <a:ln w="12700">
                            <a:solidFill>
                              <a:srgbClr val="939598"/>
                            </a:solidFill>
                            <a:prstDash val="solid"/>
                          </a:ln>
                        </wps:spPr>
                        <wps:bodyPr wrap="square" lIns="0" tIns="0" rIns="0" bIns="0" rtlCol="0">
                          <a:prstTxWarp prst="textNoShape">
                            <a:avLst/>
                          </a:prstTxWarp>
                          <a:noAutofit/>
                        </wps:bodyPr>
                      </wps:wsp>
                      <wps:wsp>
                        <wps:cNvPr id="1008" name="Graphic 1008"/>
                        <wps:cNvSpPr/>
                        <wps:spPr>
                          <a:xfrm>
                            <a:off x="3568" y="18046"/>
                            <a:ext cx="5397500" cy="1852295"/>
                          </a:xfrm>
                          <a:custGeom>
                            <a:avLst/>
                            <a:gdLst/>
                            <a:ahLst/>
                            <a:cxnLst/>
                            <a:rect l="l" t="t" r="r" b="b"/>
                            <a:pathLst>
                              <a:path w="5397500" h="1852295">
                                <a:moveTo>
                                  <a:pt x="5397500" y="1851901"/>
                                </a:moveTo>
                                <a:lnTo>
                                  <a:pt x="0" y="1851901"/>
                                </a:lnTo>
                                <a:lnTo>
                                  <a:pt x="0" y="0"/>
                                </a:lnTo>
                              </a:path>
                            </a:pathLst>
                          </a:custGeom>
                          <a:ln w="7137">
                            <a:solidFill>
                              <a:srgbClr val="939598"/>
                            </a:solidFill>
                            <a:prstDash val="solid"/>
                          </a:ln>
                        </wps:spPr>
                        <wps:bodyPr wrap="square" lIns="0" tIns="0" rIns="0" bIns="0" rtlCol="0">
                          <a:prstTxWarp prst="textNoShape">
                            <a:avLst/>
                          </a:prstTxWarp>
                          <a:noAutofit/>
                        </wps:bodyPr>
                      </wps:wsp>
                      <wps:wsp>
                        <wps:cNvPr id="1009" name="Textbox 1009"/>
                        <wps:cNvSpPr txBox="1"/>
                        <wps:spPr>
                          <a:xfrm>
                            <a:off x="453651" y="0"/>
                            <a:ext cx="440690" cy="156210"/>
                          </a:xfrm>
                          <a:prstGeom prst="rect">
                            <a:avLst/>
                          </a:prstGeom>
                        </wps:spPr>
                        <wps:txbx>
                          <w:txbxContent>
                            <w:p>
                              <w:pPr>
                                <w:spacing w:before="11"/>
                                <w:ind w:left="0" w:right="0" w:firstLine="0"/>
                                <w:jc w:val="left"/>
                                <w:rPr>
                                  <w:sz w:val="18"/>
                                </w:rPr>
                              </w:pPr>
                              <w:r>
                                <w:rPr>
                                  <w:color w:val="636466"/>
                                  <w:spacing w:val="-4"/>
                                  <w:sz w:val="18"/>
                                </w:rPr>
                                <w:t>Schuyler</w:t>
                              </w:r>
                            </w:p>
                          </w:txbxContent>
                        </wps:txbx>
                        <wps:bodyPr wrap="square" lIns="0" tIns="0" rIns="0" bIns="0" rtlCol="0">
                          <a:noAutofit/>
                        </wps:bodyPr>
                      </wps:wsp>
                      <wps:wsp>
                        <wps:cNvPr id="1010" name="Textbox 1010"/>
                        <wps:cNvSpPr txBox="1"/>
                        <wps:spPr>
                          <a:xfrm>
                            <a:off x="1225176" y="0"/>
                            <a:ext cx="730885" cy="156210"/>
                          </a:xfrm>
                          <a:prstGeom prst="rect">
                            <a:avLst/>
                          </a:prstGeom>
                        </wps:spPr>
                        <wps:txbx>
                          <w:txbxContent>
                            <w:p>
                              <w:pPr>
                                <w:spacing w:before="11"/>
                                <w:ind w:left="0" w:right="0" w:firstLine="0"/>
                                <w:jc w:val="left"/>
                                <w:rPr>
                                  <w:sz w:val="18"/>
                                </w:rPr>
                              </w:pPr>
                              <w:r>
                                <w:rPr>
                                  <w:color w:val="636466"/>
                                  <w:spacing w:val="-6"/>
                                  <w:sz w:val="18"/>
                                </w:rPr>
                                <w:t>NYS</w:t>
                              </w:r>
                              <w:r>
                                <w:rPr>
                                  <w:color w:val="636466"/>
                                  <w:spacing w:val="-7"/>
                                  <w:sz w:val="18"/>
                                </w:rPr>
                                <w:t> </w:t>
                              </w:r>
                              <w:r>
                                <w:rPr>
                                  <w:color w:val="636466"/>
                                  <w:spacing w:val="-6"/>
                                  <w:sz w:val="18"/>
                                </w:rPr>
                                <w:t>Excl NYC</w:t>
                              </w:r>
                            </w:p>
                          </w:txbxContent>
                        </wps:txbx>
                        <wps:bodyPr wrap="square" lIns="0" tIns="0" rIns="0" bIns="0" rtlCol="0">
                          <a:noAutofit/>
                        </wps:bodyPr>
                      </wps:wsp>
                    </wpg:wgp>
                  </a:graphicData>
                </a:graphic>
              </wp:anchor>
            </w:drawing>
          </mc:Choice>
          <mc:Fallback>
            <w:pict>
              <v:group style="position:absolute;margin-left:99.055702pt;margin-top:-1.851939pt;width:425.6pt;height:147.550pt;mso-position-horizontal-relative:page;mso-position-vertical-relative:paragraph;z-index:15828992" id="docshapegroup818" coordorigin="1981,-37" coordsize="8512,2951">
                <v:rect style="position:absolute;left:2534;top:22;width:107;height:107" id="docshape819" filled="true" fillcolor="#105c84" stroked="false">
                  <v:fill type="solid"/>
                </v:rect>
                <v:rect style="position:absolute;left:3749;top:22;width:107;height:107" id="docshape820" filled="true" fillcolor="#bcbec0" stroked="false">
                  <v:fill type="solid"/>
                </v:rect>
                <v:shape style="position:absolute;left:2524;top:610;width:6840;height:2300" id="docshape821" coordorigin="2524,610" coordsize="6840,2300" path="m3004,2130l2524,2130,2524,2910,3004,2910,3004,2130xm5124,810l4644,810,4644,2910,5124,2910,5124,810xm7244,610l6764,610,6764,2910,7244,2910,7244,610xm9364,830l8884,830,8884,2910,9364,2910,9364,830xe" filled="true" fillcolor="#105c84" stroked="false">
                  <v:path arrowok="t"/>
                  <v:fill type="solid"/>
                </v:shape>
                <v:shape style="position:absolute;left:3124;top:650;width:6840;height:2260" id="docshape822" coordorigin="3124,650" coordsize="6840,2260" path="m3604,1730l3124,1730,3124,2910,3604,2910,3604,1730xm5724,950l5244,950,5244,2910,5724,2910,5724,950xm7844,690l7364,690,7364,2910,7844,2910,7844,690xm9964,650l9484,650,9484,2910,9964,2910,9964,650xe" filled="true" fillcolor="#bcbec0" stroked="false">
                  <v:path arrowok="t"/>
                  <v:fill type="solid"/>
                </v:shape>
                <v:shape style="position:absolute;left:2714;top:1960;width:100;height:346" id="docshape823" coordorigin="2714,1960" coordsize="100,346" path="m2765,2126l2765,2306m2765,2126l2765,1966m2714,2300l2814,2300m2714,1960l2814,1960e" filled="false" stroked="true" strokeweight="1pt" strokecolor="#939598">
                  <v:path arrowok="t"/>
                  <v:stroke dashstyle="solid"/>
                </v:shape>
                <v:shape style="position:absolute;left:4814;top:620;width:100;height:380" id="docshape824" coordorigin="4814,620" coordsize="100,380" path="m4863,800l4863,1000m4863,800l4863,620m4814,1000l4914,1000m4814,620l4914,620e" filled="false" stroked="true" strokeweight="1pt" strokecolor="#939598">
                  <v:path arrowok="t"/>
                  <v:stroke dashstyle="solid"/>
                </v:shape>
                <v:shape style="position:absolute;left:6954;top:440;width:100;height:340" id="docshape825" coordorigin="6954,440" coordsize="100,340" path="m7005,620l7005,780m7005,620l7005,440m6954,780l7054,780m6954,440l7054,440e" filled="false" stroked="true" strokeweight="1pt" strokecolor="#939598">
                  <v:path arrowok="t"/>
                  <v:stroke dashstyle="solid"/>
                </v:shape>
                <v:shape style="position:absolute;left:9074;top:620;width:100;height:440" id="docshape826" coordorigin="9074,620" coordsize="100,440" path="m9126,840l9126,1060m9126,840l9126,620m9074,1060l9174,1060m9074,620l9174,620e" filled="false" stroked="true" strokeweight="1pt" strokecolor="#939598">
                  <v:path arrowok="t"/>
                  <v:stroke dashstyle="solid"/>
                </v:shape>
                <v:shape style="position:absolute;left:3314;top:1631;width:100;height:189" id="docshape827" coordorigin="3314,1632" coordsize="100,189" path="m3366,1732l3366,1812m3366,1732l3366,1632m3314,1820l3414,1820m3314,1640l3414,1640e" filled="false" stroked="true" strokeweight="1pt" strokecolor="#939598">
                  <v:path arrowok="t"/>
                  <v:stroke dashstyle="solid"/>
                </v:shape>
                <v:shape style="position:absolute;left:5434;top:899;width:100;height:102" id="docshape828" coordorigin="5434,899" coordsize="100,102" path="m5487,899l5487,1000m5434,1000l5534,1000m5434,900l5534,900e" filled="false" stroked="true" strokeweight="1pt" strokecolor="#939598">
                  <v:path arrowok="t"/>
                  <v:stroke dashstyle="solid"/>
                </v:shape>
                <v:shape style="position:absolute;left:7574;top:640;width:80;height:120" id="docshape829" coordorigin="7574,640" coordsize="80,120" path="m7614,700l7614,760m7614,700l7614,640m7574,760l7654,760m7574,640l7654,640e" filled="false" stroked="true" strokeweight="1pt" strokecolor="#939598">
                  <v:path arrowok="t"/>
                  <v:stroke dashstyle="solid"/>
                </v:shape>
                <v:shape style="position:absolute;left:9694;top:580;width:80;height:120" id="docshape830" coordorigin="9694,580" coordsize="80,120" path="m9734,640l9734,700m9734,640l9734,580m9694,700l9774,700m9694,580l9774,580e" filled="false" stroked="true" strokeweight="1pt" strokecolor="#939598">
                  <v:path arrowok="t"/>
                  <v:stroke dashstyle="solid"/>
                </v:shape>
                <v:shape style="position:absolute;left:1986;top:-9;width:8500;height:2917" id="docshape831" coordorigin="1987,-9" coordsize="8500,2917" path="m10487,2908l1987,2908,1987,-9e" filled="false" stroked="true" strokeweight=".562pt" strokecolor="#939598">
                  <v:path arrowok="t"/>
                  <v:stroke dashstyle="solid"/>
                </v:shape>
                <v:shape style="position:absolute;left:2695;top:-38;width:694;height:246" type="#_x0000_t202" id="docshape832" filled="false" stroked="false">
                  <v:textbox inset="0,0,0,0">
                    <w:txbxContent>
                      <w:p>
                        <w:pPr>
                          <w:spacing w:before="11"/>
                          <w:ind w:left="0" w:right="0" w:firstLine="0"/>
                          <w:jc w:val="left"/>
                          <w:rPr>
                            <w:sz w:val="18"/>
                          </w:rPr>
                        </w:pPr>
                        <w:r>
                          <w:rPr>
                            <w:color w:val="636466"/>
                            <w:spacing w:val="-4"/>
                            <w:sz w:val="18"/>
                          </w:rPr>
                          <w:t>Schuyler</w:t>
                        </w:r>
                      </w:p>
                    </w:txbxContent>
                  </v:textbox>
                  <w10:wrap type="none"/>
                </v:shape>
                <v:shape style="position:absolute;left:3910;top:-38;width:1151;height:246" type="#_x0000_t202" id="docshape833" filled="false" stroked="false">
                  <v:textbox inset="0,0,0,0">
                    <w:txbxContent>
                      <w:p>
                        <w:pPr>
                          <w:spacing w:before="11"/>
                          <w:ind w:left="0" w:right="0" w:firstLine="0"/>
                          <w:jc w:val="left"/>
                          <w:rPr>
                            <w:sz w:val="18"/>
                          </w:rPr>
                        </w:pPr>
                        <w:r>
                          <w:rPr>
                            <w:color w:val="636466"/>
                            <w:spacing w:val="-6"/>
                            <w:sz w:val="18"/>
                          </w:rPr>
                          <w:t>NYS</w:t>
                        </w:r>
                        <w:r>
                          <w:rPr>
                            <w:color w:val="636466"/>
                            <w:spacing w:val="-7"/>
                            <w:sz w:val="18"/>
                          </w:rPr>
                          <w:t> </w:t>
                        </w:r>
                        <w:r>
                          <w:rPr>
                            <w:color w:val="636466"/>
                            <w:spacing w:val="-6"/>
                            <w:sz w:val="18"/>
                          </w:rPr>
                          <w:t>Excl NYC</w:t>
                        </w:r>
                      </w:p>
                    </w:txbxContent>
                  </v:textbox>
                  <w10:wrap type="none"/>
                </v:shape>
                <w10:wrap type="none"/>
              </v:group>
            </w:pict>
          </mc:Fallback>
        </mc:AlternateContent>
      </w:r>
      <w:r>
        <w:rPr>
          <w:color w:val="636466"/>
          <w:spacing w:val="-4"/>
          <w:sz w:val="16"/>
        </w:rPr>
        <w:t>100%</w:t>
      </w:r>
    </w:p>
    <w:p>
      <w:pPr>
        <w:spacing w:before="96"/>
        <w:ind w:left="1536" w:right="0" w:firstLine="0"/>
        <w:jc w:val="left"/>
        <w:rPr>
          <w:sz w:val="16"/>
        </w:rPr>
      </w:pPr>
      <w:r>
        <w:rPr>
          <w:sz w:val="16"/>
        </w:rPr>
        <mc:AlternateContent>
          <mc:Choice Requires="wps">
            <w:drawing>
              <wp:anchor distT="0" distB="0" distL="0" distR="0" allowOverlap="1" layoutInCell="1" locked="0" behindDoc="0" simplePos="0" relativeHeight="15830016">
                <wp:simplePos x="0" y="0"/>
                <wp:positionH relativeFrom="page">
                  <wp:posOffset>686118</wp:posOffset>
                </wp:positionH>
                <wp:positionV relativeFrom="paragraph">
                  <wp:posOffset>56563</wp:posOffset>
                </wp:positionV>
                <wp:extent cx="181610" cy="1535430"/>
                <wp:effectExtent l="0" t="0" r="0" b="0"/>
                <wp:wrapNone/>
                <wp:docPr id="1011" name="Textbox 1011"/>
                <wp:cNvGraphicFramePr>
                  <a:graphicFrameLocks/>
                </wp:cNvGraphicFramePr>
                <a:graphic>
                  <a:graphicData uri="http://schemas.microsoft.com/office/word/2010/wordprocessingShape">
                    <wps:wsp>
                      <wps:cNvPr id="1011" name="Textbox 1011"/>
                      <wps:cNvSpPr txBox="1"/>
                      <wps:spPr>
                        <a:xfrm>
                          <a:off x="0" y="0"/>
                          <a:ext cx="181610" cy="1535430"/>
                        </a:xfrm>
                        <a:prstGeom prst="rect">
                          <a:avLst/>
                        </a:prstGeom>
                      </wps:spPr>
                      <wps:txbx>
                        <w:txbxContent>
                          <w:p>
                            <w:pPr>
                              <w:spacing w:before="31"/>
                              <w:ind w:left="20" w:right="0" w:firstLine="0"/>
                              <w:jc w:val="left"/>
                              <w:rPr>
                                <w:sz w:val="18"/>
                              </w:rPr>
                            </w:pPr>
                            <w:r>
                              <w:rPr>
                                <w:color w:val="105C84"/>
                                <w:sz w:val="18"/>
                              </w:rPr>
                              <w:t>Percent</w:t>
                            </w:r>
                            <w:r>
                              <w:rPr>
                                <w:color w:val="105C84"/>
                                <w:spacing w:val="4"/>
                                <w:sz w:val="18"/>
                              </w:rPr>
                              <w:t> </w:t>
                            </w:r>
                            <w:r>
                              <w:rPr>
                                <w:color w:val="105C84"/>
                                <w:sz w:val="18"/>
                              </w:rPr>
                              <w:t>of</w:t>
                            </w:r>
                            <w:r>
                              <w:rPr>
                                <w:color w:val="105C84"/>
                                <w:spacing w:val="4"/>
                                <w:sz w:val="18"/>
                              </w:rPr>
                              <w:t> </w:t>
                            </w:r>
                            <w:r>
                              <w:rPr>
                                <w:color w:val="105C84"/>
                                <w:sz w:val="18"/>
                              </w:rPr>
                              <w:t>eligible</w:t>
                            </w:r>
                            <w:r>
                              <w:rPr>
                                <w:color w:val="105C84"/>
                                <w:spacing w:val="4"/>
                                <w:sz w:val="18"/>
                              </w:rPr>
                              <w:t> </w:t>
                            </w:r>
                            <w:r>
                              <w:rPr>
                                <w:color w:val="105C84"/>
                                <w:spacing w:val="-2"/>
                                <w:sz w:val="18"/>
                              </w:rPr>
                              <w:t>population</w:t>
                            </w:r>
                          </w:p>
                        </w:txbxContent>
                      </wps:txbx>
                      <wps:bodyPr wrap="square" lIns="0" tIns="0" rIns="0" bIns="0" rtlCol="0" vert="vert270">
                        <a:noAutofit/>
                      </wps:bodyPr>
                    </wps:wsp>
                  </a:graphicData>
                </a:graphic>
              </wp:anchor>
            </w:drawing>
          </mc:Choice>
          <mc:Fallback>
            <w:pict>
              <v:shape style="position:absolute;margin-left:54.025101pt;margin-top:4.453836pt;width:14.3pt;height:120.9pt;mso-position-horizontal-relative:page;mso-position-vertical-relative:paragraph;z-index:15830016" type="#_x0000_t202" id="docshape834" filled="false" stroked="false">
                <v:textbox inset="0,0,0,0" style="layout-flow:vertical;mso-layout-flow-alt:bottom-to-top">
                  <w:txbxContent>
                    <w:p>
                      <w:pPr>
                        <w:spacing w:before="31"/>
                        <w:ind w:left="20" w:right="0" w:firstLine="0"/>
                        <w:jc w:val="left"/>
                        <w:rPr>
                          <w:sz w:val="18"/>
                        </w:rPr>
                      </w:pPr>
                      <w:r>
                        <w:rPr>
                          <w:color w:val="105C84"/>
                          <w:sz w:val="18"/>
                        </w:rPr>
                        <w:t>Percent</w:t>
                      </w:r>
                      <w:r>
                        <w:rPr>
                          <w:color w:val="105C84"/>
                          <w:spacing w:val="4"/>
                          <w:sz w:val="18"/>
                        </w:rPr>
                        <w:t> </w:t>
                      </w:r>
                      <w:r>
                        <w:rPr>
                          <w:color w:val="105C84"/>
                          <w:sz w:val="18"/>
                        </w:rPr>
                        <w:t>of</w:t>
                      </w:r>
                      <w:r>
                        <w:rPr>
                          <w:color w:val="105C84"/>
                          <w:spacing w:val="4"/>
                          <w:sz w:val="18"/>
                        </w:rPr>
                        <w:t> </w:t>
                      </w:r>
                      <w:r>
                        <w:rPr>
                          <w:color w:val="105C84"/>
                          <w:sz w:val="18"/>
                        </w:rPr>
                        <w:t>eligible</w:t>
                      </w:r>
                      <w:r>
                        <w:rPr>
                          <w:color w:val="105C84"/>
                          <w:spacing w:val="4"/>
                          <w:sz w:val="18"/>
                        </w:rPr>
                        <w:t> </w:t>
                      </w:r>
                      <w:r>
                        <w:rPr>
                          <w:color w:val="105C84"/>
                          <w:spacing w:val="-2"/>
                          <w:sz w:val="18"/>
                        </w:rPr>
                        <w:t>population</w:t>
                      </w:r>
                    </w:p>
                  </w:txbxContent>
                </v:textbox>
                <w10:wrap type="none"/>
              </v:shape>
            </w:pict>
          </mc:Fallback>
        </mc:AlternateContent>
      </w:r>
      <w:r>
        <w:rPr>
          <w:color w:val="636466"/>
          <w:spacing w:val="-5"/>
          <w:sz w:val="16"/>
        </w:rPr>
        <w:t>90%</w:t>
      </w:r>
    </w:p>
    <w:p>
      <w:pPr>
        <w:spacing w:before="96"/>
        <w:ind w:left="1536" w:right="0" w:firstLine="0"/>
        <w:jc w:val="left"/>
        <w:rPr>
          <w:sz w:val="16"/>
        </w:rPr>
      </w:pPr>
      <w:r>
        <w:rPr>
          <w:color w:val="636466"/>
          <w:spacing w:val="-5"/>
          <w:sz w:val="16"/>
        </w:rPr>
        <w:t>80%</w:t>
      </w:r>
    </w:p>
    <w:p>
      <w:pPr>
        <w:spacing w:before="96"/>
        <w:ind w:left="1536" w:right="0" w:firstLine="0"/>
        <w:jc w:val="left"/>
        <w:rPr>
          <w:sz w:val="16"/>
        </w:rPr>
      </w:pPr>
      <w:r>
        <w:rPr>
          <w:color w:val="636466"/>
          <w:spacing w:val="-5"/>
          <w:sz w:val="16"/>
        </w:rPr>
        <w:t>70%</w:t>
      </w:r>
    </w:p>
    <w:p>
      <w:pPr>
        <w:spacing w:before="96"/>
        <w:ind w:left="1536" w:right="0" w:firstLine="0"/>
        <w:jc w:val="left"/>
        <w:rPr>
          <w:sz w:val="16"/>
        </w:rPr>
      </w:pPr>
      <w:r>
        <w:rPr>
          <w:color w:val="636466"/>
          <w:spacing w:val="-5"/>
          <w:sz w:val="16"/>
        </w:rPr>
        <w:t>60%</w:t>
      </w:r>
    </w:p>
    <w:p>
      <w:pPr>
        <w:spacing w:before="96"/>
        <w:ind w:left="1536" w:right="0" w:firstLine="0"/>
        <w:jc w:val="left"/>
        <w:rPr>
          <w:sz w:val="16"/>
        </w:rPr>
      </w:pPr>
      <w:r>
        <w:rPr>
          <w:color w:val="636466"/>
          <w:spacing w:val="-5"/>
          <w:sz w:val="16"/>
        </w:rPr>
        <w:t>50%</w:t>
      </w:r>
    </w:p>
    <w:p>
      <w:pPr>
        <w:spacing w:before="96"/>
        <w:ind w:left="1536" w:right="0" w:firstLine="0"/>
        <w:jc w:val="left"/>
        <w:rPr>
          <w:sz w:val="16"/>
        </w:rPr>
      </w:pPr>
      <w:r>
        <w:rPr>
          <w:color w:val="636466"/>
          <w:spacing w:val="-5"/>
          <w:sz w:val="16"/>
        </w:rPr>
        <w:t>40%</w:t>
      </w:r>
    </w:p>
    <w:p>
      <w:pPr>
        <w:spacing w:before="96"/>
        <w:ind w:left="1536" w:right="0" w:firstLine="0"/>
        <w:jc w:val="left"/>
        <w:rPr>
          <w:sz w:val="16"/>
        </w:rPr>
      </w:pPr>
      <w:r>
        <w:rPr>
          <w:color w:val="636466"/>
          <w:spacing w:val="-5"/>
          <w:sz w:val="16"/>
        </w:rPr>
        <w:t>30%</w:t>
      </w:r>
    </w:p>
    <w:p>
      <w:pPr>
        <w:spacing w:before="96"/>
        <w:ind w:left="1536" w:right="0" w:firstLine="0"/>
        <w:jc w:val="left"/>
        <w:rPr>
          <w:sz w:val="16"/>
        </w:rPr>
      </w:pPr>
      <w:r>
        <w:rPr>
          <w:color w:val="636466"/>
          <w:spacing w:val="-5"/>
          <w:sz w:val="16"/>
        </w:rPr>
        <w:t>20%</w:t>
      </w:r>
    </w:p>
    <w:p>
      <w:pPr>
        <w:spacing w:before="96"/>
        <w:ind w:left="1536" w:right="0" w:firstLine="0"/>
        <w:jc w:val="left"/>
        <w:rPr>
          <w:sz w:val="16"/>
        </w:rPr>
      </w:pPr>
      <w:r>
        <w:rPr>
          <w:color w:val="636466"/>
          <w:spacing w:val="-5"/>
          <w:sz w:val="16"/>
        </w:rPr>
        <w:t>10%</w:t>
      </w:r>
    </w:p>
    <w:p>
      <w:pPr>
        <w:spacing w:line="175" w:lineRule="exact" w:before="96"/>
        <w:ind w:left="1638" w:right="0" w:firstLine="0"/>
        <w:jc w:val="left"/>
        <w:rPr>
          <w:sz w:val="16"/>
        </w:rPr>
      </w:pPr>
      <w:r>
        <w:rPr>
          <w:color w:val="636466"/>
          <w:spacing w:val="-5"/>
          <w:sz w:val="16"/>
        </w:rPr>
        <w:t>0%</w:t>
      </w:r>
    </w:p>
    <w:p>
      <w:pPr>
        <w:pStyle w:val="BodyText"/>
        <w:spacing w:line="247" w:lineRule="auto" w:before="114"/>
        <w:ind w:left="1080" w:right="575"/>
      </w:pPr>
      <w:r>
        <w:rPr/>
        <w:br w:type="column"/>
      </w:r>
      <w:r>
        <w:rPr>
          <w:color w:val="105C84"/>
        </w:rPr>
        <w:t>Rates of substance use are growing in the region. Binge drinking is a measure used to help gauge substance abuse in communities. According to data retrieved from the 2016 Behavioral Risk Factor Surveillance System, approximately 13% of Schuyler County adult residents reported binge drinking in the past month. This has increased slightly from prior years (10% in 2013-2014 estimates).</w:t>
      </w:r>
    </w:p>
    <w:p>
      <w:pPr>
        <w:pStyle w:val="BodyText"/>
        <w:spacing w:line="247" w:lineRule="auto" w:before="177"/>
        <w:ind w:left="1080" w:right="536"/>
      </w:pPr>
      <w:r>
        <w:rPr>
          <w:color w:val="105C84"/>
        </w:rPr>
        <w:t>Regionally,</w:t>
      </w:r>
      <w:r>
        <w:rPr>
          <w:color w:val="105C84"/>
          <w:spacing w:val="16"/>
        </w:rPr>
        <w:t> </w:t>
      </w:r>
      <w:r>
        <w:rPr>
          <w:color w:val="105C84"/>
        </w:rPr>
        <w:t>rates</w:t>
      </w:r>
      <w:r>
        <w:rPr>
          <w:color w:val="105C84"/>
          <w:spacing w:val="16"/>
        </w:rPr>
        <w:t> </w:t>
      </w:r>
      <w:r>
        <w:rPr>
          <w:color w:val="105C84"/>
        </w:rPr>
        <w:t>of</w:t>
      </w:r>
      <w:r>
        <w:rPr>
          <w:color w:val="105C84"/>
          <w:spacing w:val="16"/>
        </w:rPr>
        <w:t> </w:t>
      </w:r>
      <w:r>
        <w:rPr>
          <w:color w:val="105C84"/>
        </w:rPr>
        <w:t>adults</w:t>
      </w:r>
      <w:r>
        <w:rPr>
          <w:color w:val="105C84"/>
          <w:spacing w:val="16"/>
        </w:rPr>
        <w:t> </w:t>
      </w:r>
      <w:r>
        <w:rPr>
          <w:color w:val="105C84"/>
        </w:rPr>
        <w:t>who</w:t>
      </w:r>
      <w:r>
        <w:rPr>
          <w:color w:val="105C84"/>
          <w:spacing w:val="16"/>
        </w:rPr>
        <w:t> </w:t>
      </w:r>
      <w:r>
        <w:rPr>
          <w:color w:val="105C84"/>
        </w:rPr>
        <w:t>have</w:t>
      </w:r>
      <w:r>
        <w:rPr>
          <w:color w:val="105C84"/>
          <w:spacing w:val="16"/>
        </w:rPr>
        <w:t> </w:t>
      </w:r>
      <w:r>
        <w:rPr>
          <w:color w:val="105C84"/>
        </w:rPr>
        <w:t>been</w:t>
      </w:r>
      <w:r>
        <w:rPr>
          <w:color w:val="105C84"/>
          <w:spacing w:val="16"/>
        </w:rPr>
        <w:t> </w:t>
      </w:r>
      <w:r>
        <w:rPr>
          <w:color w:val="105C84"/>
        </w:rPr>
        <w:t>told</w:t>
      </w:r>
      <w:r>
        <w:rPr>
          <w:color w:val="105C84"/>
          <w:spacing w:val="16"/>
        </w:rPr>
        <w:t> </w:t>
      </w:r>
      <w:r>
        <w:rPr>
          <w:color w:val="105C84"/>
        </w:rPr>
        <w:t>they</w:t>
      </w:r>
      <w:r>
        <w:rPr>
          <w:color w:val="105C84"/>
          <w:spacing w:val="16"/>
        </w:rPr>
        <w:t> </w:t>
      </w:r>
      <w:r>
        <w:rPr>
          <w:color w:val="105C84"/>
        </w:rPr>
        <w:t>have</w:t>
      </w:r>
      <w:r>
        <w:rPr>
          <w:color w:val="105C84"/>
          <w:spacing w:val="16"/>
        </w:rPr>
        <w:t> </w:t>
      </w:r>
      <w:r>
        <w:rPr>
          <w:color w:val="105C84"/>
        </w:rPr>
        <w:t>a</w:t>
      </w:r>
      <w:r>
        <w:rPr>
          <w:color w:val="105C84"/>
          <w:spacing w:val="16"/>
        </w:rPr>
        <w:t> </w:t>
      </w:r>
      <w:r>
        <w:rPr>
          <w:color w:val="105C84"/>
        </w:rPr>
        <w:t>depressive</w:t>
      </w:r>
      <w:r>
        <w:rPr>
          <w:color w:val="105C84"/>
          <w:spacing w:val="16"/>
        </w:rPr>
        <w:t> </w:t>
      </w:r>
      <w:r>
        <w:rPr>
          <w:color w:val="105C84"/>
        </w:rPr>
        <w:t>disorder</w:t>
      </w:r>
      <w:r>
        <w:rPr>
          <w:color w:val="105C84"/>
          <w:spacing w:val="16"/>
        </w:rPr>
        <w:t> </w:t>
      </w:r>
      <w:r>
        <w:rPr>
          <w:color w:val="105C84"/>
        </w:rPr>
        <w:t>range</w:t>
      </w:r>
      <w:r>
        <w:rPr>
          <w:color w:val="105C84"/>
          <w:spacing w:val="16"/>
        </w:rPr>
        <w:t> </w:t>
      </w:r>
      <w:r>
        <w:rPr>
          <w:color w:val="105C84"/>
        </w:rPr>
        <w:t>from</w:t>
      </w:r>
      <w:r>
        <w:rPr>
          <w:color w:val="105C84"/>
          <w:spacing w:val="16"/>
        </w:rPr>
        <w:t> </w:t>
      </w:r>
      <w:r>
        <w:rPr>
          <w:color w:val="105C84"/>
        </w:rPr>
        <w:t>11-22% of populations. Rates reach almost 20% of adults in Schuyler County, which is higher than average</w:t>
      </w:r>
      <w:r>
        <w:rPr>
          <w:color w:val="105C84"/>
          <w:spacing w:val="80"/>
        </w:rPr>
        <w:t> </w:t>
      </w:r>
      <w:r>
        <w:rPr>
          <w:color w:val="105C84"/>
        </w:rPr>
        <w:t>for the region. In addition, almost half of </w:t>
      </w:r>
      <w:r>
        <w:rPr>
          <w:i/>
          <w:color w:val="105C84"/>
        </w:rPr>
        <w:t>My Health Story 2018 </w:t>
      </w:r>
      <w:r>
        <w:rPr>
          <w:color w:val="105C84"/>
        </w:rPr>
        <w:t>respondents indicated they have personally dealt with depression or sadness. Many others also reported they have dealt with anxiety, fear, and trouble sleeping. For those who have dealt with mental or emotional health issues, 79.3% said they got the help that they needed. The most commonly reported support was from doctors,</w:t>
      </w:r>
      <w:r>
        <w:rPr>
          <w:color w:val="105C84"/>
          <w:spacing w:val="80"/>
          <w:w w:val="150"/>
        </w:rPr>
        <w:t> </w:t>
      </w:r>
      <w:r>
        <w:rPr>
          <w:color w:val="105C84"/>
        </w:rPr>
        <w:t>counselors,</w:t>
      </w:r>
      <w:r>
        <w:rPr>
          <w:color w:val="105C84"/>
          <w:spacing w:val="30"/>
        </w:rPr>
        <w:t> </w:t>
      </w:r>
      <w:r>
        <w:rPr>
          <w:color w:val="105C84"/>
        </w:rPr>
        <w:t>and</w:t>
      </w:r>
      <w:r>
        <w:rPr>
          <w:color w:val="105C84"/>
          <w:spacing w:val="30"/>
        </w:rPr>
        <w:t> </w:t>
      </w:r>
      <w:r>
        <w:rPr>
          <w:color w:val="105C84"/>
        </w:rPr>
        <w:t>other</w:t>
      </w:r>
      <w:r>
        <w:rPr>
          <w:color w:val="105C84"/>
          <w:spacing w:val="30"/>
        </w:rPr>
        <w:t> </w:t>
      </w:r>
      <w:r>
        <w:rPr>
          <w:color w:val="105C84"/>
        </w:rPr>
        <w:t>mental</w:t>
      </w:r>
      <w:r>
        <w:rPr>
          <w:color w:val="105C84"/>
          <w:spacing w:val="30"/>
        </w:rPr>
        <w:t> </w:t>
      </w:r>
      <w:r>
        <w:rPr>
          <w:color w:val="105C84"/>
        </w:rPr>
        <w:t>health</w:t>
      </w:r>
      <w:r>
        <w:rPr>
          <w:color w:val="105C84"/>
          <w:spacing w:val="30"/>
        </w:rPr>
        <w:t> </w:t>
      </w:r>
      <w:r>
        <w:rPr>
          <w:color w:val="105C84"/>
        </w:rPr>
        <w:t>professionals</w:t>
      </w:r>
      <w:r>
        <w:rPr>
          <w:color w:val="105C84"/>
          <w:spacing w:val="30"/>
        </w:rPr>
        <w:t> </w:t>
      </w:r>
      <w:r>
        <w:rPr>
          <w:color w:val="105C84"/>
        </w:rPr>
        <w:t>followed</w:t>
      </w:r>
      <w:r>
        <w:rPr>
          <w:color w:val="105C84"/>
          <w:spacing w:val="30"/>
        </w:rPr>
        <w:t> </w:t>
      </w:r>
      <w:r>
        <w:rPr>
          <w:color w:val="105C84"/>
        </w:rPr>
        <w:t>by</w:t>
      </w:r>
      <w:r>
        <w:rPr>
          <w:color w:val="105C84"/>
          <w:spacing w:val="30"/>
        </w:rPr>
        <w:t> </w:t>
      </w:r>
      <w:r>
        <w:rPr>
          <w:color w:val="105C84"/>
        </w:rPr>
        <w:t>support</w:t>
      </w:r>
      <w:r>
        <w:rPr>
          <w:color w:val="105C84"/>
          <w:spacing w:val="30"/>
        </w:rPr>
        <w:t> </w:t>
      </w:r>
      <w:r>
        <w:rPr>
          <w:color w:val="105C84"/>
        </w:rPr>
        <w:t>from</w:t>
      </w:r>
      <w:r>
        <w:rPr>
          <w:color w:val="105C84"/>
          <w:spacing w:val="30"/>
        </w:rPr>
        <w:t> </w:t>
      </w:r>
      <w:r>
        <w:rPr>
          <w:color w:val="105C84"/>
        </w:rPr>
        <w:t>friends</w:t>
      </w:r>
      <w:r>
        <w:rPr>
          <w:color w:val="105C84"/>
          <w:spacing w:val="30"/>
        </w:rPr>
        <w:t> </w:t>
      </w:r>
      <w:r>
        <w:rPr>
          <w:color w:val="105C84"/>
        </w:rPr>
        <w:t>and</w:t>
      </w:r>
      <w:r>
        <w:rPr>
          <w:color w:val="105C84"/>
          <w:spacing w:val="30"/>
        </w:rPr>
        <w:t> </w:t>
      </w:r>
      <w:r>
        <w:rPr>
          <w:color w:val="105C84"/>
        </w:rPr>
        <w:t>family.</w:t>
      </w:r>
    </w:p>
    <w:p>
      <w:pPr>
        <w:pStyle w:val="BodyText"/>
        <w:spacing w:line="247" w:lineRule="auto" w:before="177"/>
        <w:ind w:left="1080" w:right="575"/>
      </w:pPr>
      <w:r>
        <w:rPr>
          <w:color w:val="105C84"/>
        </w:rPr>
        <w:t>A local support system for mental health and well-being is the Schuyler County Mental Health Clinic.</w:t>
      </w:r>
      <w:r>
        <w:rPr>
          <w:color w:val="105C84"/>
          <w:spacing w:val="80"/>
        </w:rPr>
        <w:t> </w:t>
      </w:r>
      <w:r>
        <w:rPr>
          <w:color w:val="105C84"/>
        </w:rPr>
        <w:t>In 2018, 1,054 patients sought care at the clinic (up from 941 in 2017). The majority were aged 25 to 39, though a growing number of patients between the ages of 13 and 17 are being seen (Figure 34).</w:t>
      </w:r>
    </w:p>
    <w:p>
      <w:pPr>
        <w:pStyle w:val="BodyText"/>
        <w:spacing w:before="17"/>
      </w:pPr>
    </w:p>
    <w:p>
      <w:pPr>
        <w:pStyle w:val="Heading6"/>
      </w:pPr>
      <w:r>
        <w:rPr>
          <w:color w:val="105C84"/>
          <w:spacing w:val="-4"/>
        </w:rPr>
        <w:t>FIGURE</w:t>
      </w:r>
      <w:r>
        <w:rPr>
          <w:color w:val="105C84"/>
          <w:spacing w:val="-7"/>
        </w:rPr>
        <w:t> </w:t>
      </w:r>
      <w:r>
        <w:rPr>
          <w:color w:val="105C84"/>
          <w:spacing w:val="-4"/>
        </w:rPr>
        <w:t>34:</w:t>
      </w:r>
      <w:r>
        <w:rPr>
          <w:color w:val="105C84"/>
          <w:spacing w:val="-7"/>
        </w:rPr>
        <w:t> </w:t>
      </w:r>
      <w:r>
        <w:rPr>
          <w:color w:val="105C84"/>
          <w:spacing w:val="-4"/>
        </w:rPr>
        <w:t>Schuyler</w:t>
      </w:r>
      <w:r>
        <w:rPr>
          <w:color w:val="105C84"/>
          <w:spacing w:val="-7"/>
        </w:rPr>
        <w:t> </w:t>
      </w:r>
      <w:r>
        <w:rPr>
          <w:color w:val="105C84"/>
          <w:spacing w:val="-4"/>
        </w:rPr>
        <w:t>County</w:t>
      </w:r>
      <w:r>
        <w:rPr>
          <w:color w:val="105C84"/>
          <w:spacing w:val="-7"/>
        </w:rPr>
        <w:t> </w:t>
      </w:r>
      <w:r>
        <w:rPr>
          <w:color w:val="105C84"/>
          <w:spacing w:val="-4"/>
        </w:rPr>
        <w:t>Mental</w:t>
      </w:r>
      <w:r>
        <w:rPr>
          <w:color w:val="105C84"/>
          <w:spacing w:val="-7"/>
        </w:rPr>
        <w:t> </w:t>
      </w:r>
      <w:r>
        <w:rPr>
          <w:color w:val="105C84"/>
          <w:spacing w:val="-4"/>
        </w:rPr>
        <w:t>Health</w:t>
      </w:r>
      <w:r>
        <w:rPr>
          <w:color w:val="105C84"/>
          <w:spacing w:val="-6"/>
        </w:rPr>
        <w:t> </w:t>
      </w:r>
      <w:r>
        <w:rPr>
          <w:color w:val="105C84"/>
          <w:spacing w:val="-4"/>
        </w:rPr>
        <w:t>Clinic</w:t>
      </w:r>
      <w:r>
        <w:rPr>
          <w:color w:val="105C84"/>
          <w:spacing w:val="-7"/>
        </w:rPr>
        <w:t> </w:t>
      </w:r>
      <w:r>
        <w:rPr>
          <w:color w:val="105C84"/>
          <w:spacing w:val="-4"/>
        </w:rPr>
        <w:t>age</w:t>
      </w:r>
      <w:r>
        <w:rPr>
          <w:color w:val="105C84"/>
          <w:spacing w:val="-7"/>
        </w:rPr>
        <w:t> </w:t>
      </w:r>
      <w:r>
        <w:rPr>
          <w:color w:val="105C84"/>
          <w:spacing w:val="-4"/>
        </w:rPr>
        <w:t>status</w:t>
      </w:r>
      <w:r>
        <w:rPr>
          <w:color w:val="105C84"/>
          <w:spacing w:val="-7"/>
        </w:rPr>
        <w:t> </w:t>
      </w:r>
      <w:r>
        <w:rPr>
          <w:color w:val="105C84"/>
          <w:spacing w:val="-4"/>
        </w:rPr>
        <w:t>of</w:t>
      </w:r>
      <w:r>
        <w:rPr>
          <w:color w:val="105C84"/>
          <w:spacing w:val="-7"/>
        </w:rPr>
        <w:t> </w:t>
      </w:r>
      <w:r>
        <w:rPr>
          <w:color w:val="105C84"/>
          <w:spacing w:val="-4"/>
        </w:rPr>
        <w:t>patients</w:t>
      </w:r>
    </w:p>
    <w:p>
      <w:pPr>
        <w:spacing w:before="178"/>
        <w:ind w:left="1475" w:right="0" w:firstLine="0"/>
        <w:jc w:val="left"/>
        <w:rPr>
          <w:sz w:val="18"/>
        </w:rPr>
      </w:pPr>
      <w:r>
        <w:rPr>
          <w:sz w:val="18"/>
        </w:rPr>
        <mc:AlternateContent>
          <mc:Choice Requires="wps">
            <w:drawing>
              <wp:anchor distT="0" distB="0" distL="0" distR="0" allowOverlap="1" layoutInCell="1" locked="0" behindDoc="0" simplePos="0" relativeHeight="15829504">
                <wp:simplePos x="0" y="0"/>
                <wp:positionH relativeFrom="page">
                  <wp:posOffset>8980763</wp:posOffset>
                </wp:positionH>
                <wp:positionV relativeFrom="paragraph">
                  <wp:posOffset>143096</wp:posOffset>
                </wp:positionV>
                <wp:extent cx="5151120" cy="1869439"/>
                <wp:effectExtent l="0" t="0" r="0" b="0"/>
                <wp:wrapNone/>
                <wp:docPr id="1012" name="Group 1012"/>
                <wp:cNvGraphicFramePr>
                  <a:graphicFrameLocks/>
                </wp:cNvGraphicFramePr>
                <a:graphic>
                  <a:graphicData uri="http://schemas.microsoft.com/office/word/2010/wordprocessingGroup">
                    <wpg:wgp>
                      <wpg:cNvPr id="1012" name="Group 1012"/>
                      <wpg:cNvGrpSpPr/>
                      <wpg:grpSpPr>
                        <a:xfrm>
                          <a:off x="0" y="0"/>
                          <a:ext cx="5151120" cy="1869439"/>
                          <a:chExt cx="5151120" cy="1869439"/>
                        </a:xfrm>
                      </wpg:grpSpPr>
                      <wps:wsp>
                        <wps:cNvPr id="1013" name="Graphic 1013"/>
                        <wps:cNvSpPr/>
                        <wps:spPr>
                          <a:xfrm>
                            <a:off x="267453" y="88625"/>
                            <a:ext cx="67945" cy="67945"/>
                          </a:xfrm>
                          <a:custGeom>
                            <a:avLst/>
                            <a:gdLst/>
                            <a:ahLst/>
                            <a:cxnLst/>
                            <a:rect l="l" t="t" r="r" b="b"/>
                            <a:pathLst>
                              <a:path w="67945" h="67945">
                                <a:moveTo>
                                  <a:pt x="67881" y="0"/>
                                </a:moveTo>
                                <a:lnTo>
                                  <a:pt x="0" y="0"/>
                                </a:lnTo>
                                <a:lnTo>
                                  <a:pt x="0" y="67881"/>
                                </a:lnTo>
                                <a:lnTo>
                                  <a:pt x="67881" y="67881"/>
                                </a:lnTo>
                                <a:lnTo>
                                  <a:pt x="67881" y="0"/>
                                </a:lnTo>
                                <a:close/>
                              </a:path>
                            </a:pathLst>
                          </a:custGeom>
                          <a:solidFill>
                            <a:srgbClr val="105C84"/>
                          </a:solidFill>
                        </wps:spPr>
                        <wps:bodyPr wrap="square" lIns="0" tIns="0" rIns="0" bIns="0" rtlCol="0">
                          <a:prstTxWarp prst="textNoShape">
                            <a:avLst/>
                          </a:prstTxWarp>
                          <a:noAutofit/>
                        </wps:bodyPr>
                      </wps:wsp>
                      <wps:wsp>
                        <wps:cNvPr id="1014" name="Graphic 1014"/>
                        <wps:cNvSpPr/>
                        <wps:spPr>
                          <a:xfrm>
                            <a:off x="776608" y="88625"/>
                            <a:ext cx="67945" cy="67945"/>
                          </a:xfrm>
                          <a:custGeom>
                            <a:avLst/>
                            <a:gdLst/>
                            <a:ahLst/>
                            <a:cxnLst/>
                            <a:rect l="l" t="t" r="r" b="b"/>
                            <a:pathLst>
                              <a:path w="67945" h="67945">
                                <a:moveTo>
                                  <a:pt x="67881" y="0"/>
                                </a:moveTo>
                                <a:lnTo>
                                  <a:pt x="0" y="0"/>
                                </a:lnTo>
                                <a:lnTo>
                                  <a:pt x="0" y="67881"/>
                                </a:lnTo>
                                <a:lnTo>
                                  <a:pt x="67881" y="67881"/>
                                </a:lnTo>
                                <a:lnTo>
                                  <a:pt x="67881" y="0"/>
                                </a:lnTo>
                                <a:close/>
                              </a:path>
                            </a:pathLst>
                          </a:custGeom>
                          <a:solidFill>
                            <a:srgbClr val="B0D236"/>
                          </a:solidFill>
                        </wps:spPr>
                        <wps:bodyPr wrap="square" lIns="0" tIns="0" rIns="0" bIns="0" rtlCol="0">
                          <a:prstTxWarp prst="textNoShape">
                            <a:avLst/>
                          </a:prstTxWarp>
                          <a:noAutofit/>
                        </wps:bodyPr>
                      </wps:wsp>
                      <wps:wsp>
                        <wps:cNvPr id="1015" name="Graphic 1015"/>
                        <wps:cNvSpPr/>
                        <wps:spPr>
                          <a:xfrm>
                            <a:off x="162310" y="509401"/>
                            <a:ext cx="4660900" cy="1358900"/>
                          </a:xfrm>
                          <a:custGeom>
                            <a:avLst/>
                            <a:gdLst/>
                            <a:ahLst/>
                            <a:cxnLst/>
                            <a:rect l="l" t="t" r="r" b="b"/>
                            <a:pathLst>
                              <a:path w="4660900" h="1358900">
                                <a:moveTo>
                                  <a:pt x="152400" y="1346200"/>
                                </a:moveTo>
                                <a:lnTo>
                                  <a:pt x="0" y="1346200"/>
                                </a:lnTo>
                                <a:lnTo>
                                  <a:pt x="0" y="1358900"/>
                                </a:lnTo>
                                <a:lnTo>
                                  <a:pt x="152400" y="1358900"/>
                                </a:lnTo>
                                <a:lnTo>
                                  <a:pt x="152400" y="1346200"/>
                                </a:lnTo>
                                <a:close/>
                              </a:path>
                              <a:path w="4660900" h="1358900">
                                <a:moveTo>
                                  <a:pt x="800100" y="381000"/>
                                </a:moveTo>
                                <a:lnTo>
                                  <a:pt x="647700" y="381000"/>
                                </a:lnTo>
                                <a:lnTo>
                                  <a:pt x="647700" y="1358900"/>
                                </a:lnTo>
                                <a:lnTo>
                                  <a:pt x="800100" y="1358900"/>
                                </a:lnTo>
                                <a:lnTo>
                                  <a:pt x="800100" y="381000"/>
                                </a:lnTo>
                                <a:close/>
                              </a:path>
                              <a:path w="4660900" h="1358900">
                                <a:moveTo>
                                  <a:pt x="1447800" y="774700"/>
                                </a:moveTo>
                                <a:lnTo>
                                  <a:pt x="1295400" y="774700"/>
                                </a:lnTo>
                                <a:lnTo>
                                  <a:pt x="1295400" y="1358900"/>
                                </a:lnTo>
                                <a:lnTo>
                                  <a:pt x="1447800" y="1358900"/>
                                </a:lnTo>
                                <a:lnTo>
                                  <a:pt x="1447800" y="774700"/>
                                </a:lnTo>
                                <a:close/>
                              </a:path>
                              <a:path w="4660900" h="1358900">
                                <a:moveTo>
                                  <a:pt x="2082800" y="774700"/>
                                </a:moveTo>
                                <a:lnTo>
                                  <a:pt x="1930400" y="774700"/>
                                </a:lnTo>
                                <a:lnTo>
                                  <a:pt x="1930400" y="1358900"/>
                                </a:lnTo>
                                <a:lnTo>
                                  <a:pt x="2082800" y="1358900"/>
                                </a:lnTo>
                                <a:lnTo>
                                  <a:pt x="2082800" y="774700"/>
                                </a:lnTo>
                                <a:close/>
                              </a:path>
                              <a:path w="4660900" h="1358900">
                                <a:moveTo>
                                  <a:pt x="2730500" y="0"/>
                                </a:moveTo>
                                <a:lnTo>
                                  <a:pt x="2578100" y="0"/>
                                </a:lnTo>
                                <a:lnTo>
                                  <a:pt x="2578100" y="1358900"/>
                                </a:lnTo>
                                <a:lnTo>
                                  <a:pt x="2730500" y="1358900"/>
                                </a:lnTo>
                                <a:lnTo>
                                  <a:pt x="2730500" y="0"/>
                                </a:lnTo>
                                <a:close/>
                              </a:path>
                              <a:path w="4660900" h="1358900">
                                <a:moveTo>
                                  <a:pt x="3377311" y="330200"/>
                                </a:moveTo>
                                <a:lnTo>
                                  <a:pt x="3224911" y="330200"/>
                                </a:lnTo>
                                <a:lnTo>
                                  <a:pt x="3224911" y="1358900"/>
                                </a:lnTo>
                                <a:lnTo>
                                  <a:pt x="3377311" y="1358900"/>
                                </a:lnTo>
                                <a:lnTo>
                                  <a:pt x="3377311" y="330200"/>
                                </a:lnTo>
                                <a:close/>
                              </a:path>
                              <a:path w="4660900" h="1358900">
                                <a:moveTo>
                                  <a:pt x="4013200" y="533400"/>
                                </a:moveTo>
                                <a:lnTo>
                                  <a:pt x="3860800" y="533400"/>
                                </a:lnTo>
                                <a:lnTo>
                                  <a:pt x="3860800" y="1358900"/>
                                </a:lnTo>
                                <a:lnTo>
                                  <a:pt x="4013200" y="1358900"/>
                                </a:lnTo>
                                <a:lnTo>
                                  <a:pt x="4013200" y="533400"/>
                                </a:lnTo>
                                <a:close/>
                              </a:path>
                              <a:path w="4660900" h="1358900">
                                <a:moveTo>
                                  <a:pt x="4660900" y="1206500"/>
                                </a:moveTo>
                                <a:lnTo>
                                  <a:pt x="4508500" y="1206500"/>
                                </a:lnTo>
                                <a:lnTo>
                                  <a:pt x="4508500" y="1358900"/>
                                </a:lnTo>
                                <a:lnTo>
                                  <a:pt x="4660900" y="1358900"/>
                                </a:lnTo>
                                <a:lnTo>
                                  <a:pt x="4660900" y="1206500"/>
                                </a:lnTo>
                                <a:close/>
                              </a:path>
                            </a:pathLst>
                          </a:custGeom>
                          <a:solidFill>
                            <a:srgbClr val="105C84"/>
                          </a:solidFill>
                        </wps:spPr>
                        <wps:bodyPr wrap="square" lIns="0" tIns="0" rIns="0" bIns="0" rtlCol="0">
                          <a:prstTxWarp prst="textNoShape">
                            <a:avLst/>
                          </a:prstTxWarp>
                          <a:noAutofit/>
                        </wps:bodyPr>
                      </wps:wsp>
                      <wps:wsp>
                        <wps:cNvPr id="1016" name="Graphic 1016"/>
                        <wps:cNvSpPr/>
                        <wps:spPr>
                          <a:xfrm>
                            <a:off x="327410" y="293501"/>
                            <a:ext cx="4648200" cy="1574800"/>
                          </a:xfrm>
                          <a:custGeom>
                            <a:avLst/>
                            <a:gdLst/>
                            <a:ahLst/>
                            <a:cxnLst/>
                            <a:rect l="l" t="t" r="r" b="b"/>
                            <a:pathLst>
                              <a:path w="4648200" h="1574800">
                                <a:moveTo>
                                  <a:pt x="152400" y="1524000"/>
                                </a:moveTo>
                                <a:lnTo>
                                  <a:pt x="0" y="1524000"/>
                                </a:lnTo>
                                <a:lnTo>
                                  <a:pt x="0" y="1574800"/>
                                </a:lnTo>
                                <a:lnTo>
                                  <a:pt x="152400" y="1574800"/>
                                </a:lnTo>
                                <a:lnTo>
                                  <a:pt x="152400" y="1524000"/>
                                </a:lnTo>
                                <a:close/>
                              </a:path>
                              <a:path w="4648200" h="1574800">
                                <a:moveTo>
                                  <a:pt x="787400" y="787400"/>
                                </a:moveTo>
                                <a:lnTo>
                                  <a:pt x="635000" y="787400"/>
                                </a:lnTo>
                                <a:lnTo>
                                  <a:pt x="635000" y="1574800"/>
                                </a:lnTo>
                                <a:lnTo>
                                  <a:pt x="787400" y="1574800"/>
                                </a:lnTo>
                                <a:lnTo>
                                  <a:pt x="787400" y="787400"/>
                                </a:lnTo>
                                <a:close/>
                              </a:path>
                              <a:path w="4648200" h="1574800">
                                <a:moveTo>
                                  <a:pt x="1435100" y="215900"/>
                                </a:moveTo>
                                <a:lnTo>
                                  <a:pt x="1282700" y="215900"/>
                                </a:lnTo>
                                <a:lnTo>
                                  <a:pt x="1282700" y="1574800"/>
                                </a:lnTo>
                                <a:lnTo>
                                  <a:pt x="1435100" y="1574800"/>
                                </a:lnTo>
                                <a:lnTo>
                                  <a:pt x="1435100" y="215900"/>
                                </a:lnTo>
                                <a:close/>
                              </a:path>
                              <a:path w="4648200" h="1574800">
                                <a:moveTo>
                                  <a:pt x="2070100" y="990600"/>
                                </a:moveTo>
                                <a:lnTo>
                                  <a:pt x="1917700" y="990600"/>
                                </a:lnTo>
                                <a:lnTo>
                                  <a:pt x="1917700" y="1574800"/>
                                </a:lnTo>
                                <a:lnTo>
                                  <a:pt x="2070100" y="1574800"/>
                                </a:lnTo>
                                <a:lnTo>
                                  <a:pt x="2070100" y="990600"/>
                                </a:lnTo>
                                <a:close/>
                              </a:path>
                              <a:path w="4648200" h="1574800">
                                <a:moveTo>
                                  <a:pt x="2717800" y="0"/>
                                </a:moveTo>
                                <a:lnTo>
                                  <a:pt x="2565400" y="0"/>
                                </a:lnTo>
                                <a:lnTo>
                                  <a:pt x="2565400" y="1574800"/>
                                </a:lnTo>
                                <a:lnTo>
                                  <a:pt x="2717800" y="1574800"/>
                                </a:lnTo>
                                <a:lnTo>
                                  <a:pt x="2717800" y="0"/>
                                </a:lnTo>
                                <a:close/>
                              </a:path>
                              <a:path w="4648200" h="1574800">
                                <a:moveTo>
                                  <a:pt x="3365500" y="571500"/>
                                </a:moveTo>
                                <a:lnTo>
                                  <a:pt x="3213100" y="571500"/>
                                </a:lnTo>
                                <a:lnTo>
                                  <a:pt x="3213100" y="1574800"/>
                                </a:lnTo>
                                <a:lnTo>
                                  <a:pt x="3365500" y="1574800"/>
                                </a:lnTo>
                                <a:lnTo>
                                  <a:pt x="3365500" y="571500"/>
                                </a:lnTo>
                                <a:close/>
                              </a:path>
                              <a:path w="4648200" h="1574800">
                                <a:moveTo>
                                  <a:pt x="4000487" y="749300"/>
                                </a:moveTo>
                                <a:lnTo>
                                  <a:pt x="3848087" y="749300"/>
                                </a:lnTo>
                                <a:lnTo>
                                  <a:pt x="3848087" y="1574800"/>
                                </a:lnTo>
                                <a:lnTo>
                                  <a:pt x="4000487" y="1574800"/>
                                </a:lnTo>
                                <a:lnTo>
                                  <a:pt x="4000487" y="749300"/>
                                </a:lnTo>
                                <a:close/>
                              </a:path>
                              <a:path w="4648200" h="1574800">
                                <a:moveTo>
                                  <a:pt x="4648200" y="1346200"/>
                                </a:moveTo>
                                <a:lnTo>
                                  <a:pt x="4495800" y="1346200"/>
                                </a:lnTo>
                                <a:lnTo>
                                  <a:pt x="4495800" y="1574800"/>
                                </a:lnTo>
                                <a:lnTo>
                                  <a:pt x="4648200" y="1574800"/>
                                </a:lnTo>
                                <a:lnTo>
                                  <a:pt x="4648200" y="1346200"/>
                                </a:lnTo>
                                <a:close/>
                              </a:path>
                            </a:pathLst>
                          </a:custGeom>
                          <a:solidFill>
                            <a:srgbClr val="B0D236"/>
                          </a:solidFill>
                        </wps:spPr>
                        <wps:bodyPr wrap="square" lIns="0" tIns="0" rIns="0" bIns="0" rtlCol="0">
                          <a:prstTxWarp prst="textNoShape">
                            <a:avLst/>
                          </a:prstTxWarp>
                          <a:noAutofit/>
                        </wps:bodyPr>
                      </wps:wsp>
                      <wps:wsp>
                        <wps:cNvPr id="1017" name="Graphic 1017"/>
                        <wps:cNvSpPr/>
                        <wps:spPr>
                          <a:xfrm>
                            <a:off x="3568" y="3568"/>
                            <a:ext cx="5143500" cy="1862455"/>
                          </a:xfrm>
                          <a:custGeom>
                            <a:avLst/>
                            <a:gdLst/>
                            <a:ahLst/>
                            <a:cxnLst/>
                            <a:rect l="l" t="t" r="r" b="b"/>
                            <a:pathLst>
                              <a:path w="5143500" h="1862455">
                                <a:moveTo>
                                  <a:pt x="5143500" y="1861934"/>
                                </a:moveTo>
                                <a:lnTo>
                                  <a:pt x="0" y="1861934"/>
                                </a:lnTo>
                                <a:lnTo>
                                  <a:pt x="0" y="0"/>
                                </a:lnTo>
                              </a:path>
                            </a:pathLst>
                          </a:custGeom>
                          <a:ln w="7137">
                            <a:solidFill>
                              <a:srgbClr val="939598"/>
                            </a:solidFill>
                            <a:prstDash val="solid"/>
                          </a:ln>
                        </wps:spPr>
                        <wps:bodyPr wrap="square" lIns="0" tIns="0" rIns="0" bIns="0" rtlCol="0">
                          <a:prstTxWarp prst="textNoShape">
                            <a:avLst/>
                          </a:prstTxWarp>
                          <a:noAutofit/>
                        </wps:bodyPr>
                      </wps:wsp>
                      <wps:wsp>
                        <wps:cNvPr id="1018" name="Textbox 1018"/>
                        <wps:cNvSpPr txBox="1"/>
                        <wps:spPr>
                          <a:xfrm>
                            <a:off x="368139" y="52199"/>
                            <a:ext cx="250825" cy="156210"/>
                          </a:xfrm>
                          <a:prstGeom prst="rect">
                            <a:avLst/>
                          </a:prstGeom>
                        </wps:spPr>
                        <wps:txbx>
                          <w:txbxContent>
                            <w:p>
                              <w:pPr>
                                <w:spacing w:before="11"/>
                                <w:ind w:left="0" w:right="0" w:firstLine="0"/>
                                <w:jc w:val="left"/>
                                <w:rPr>
                                  <w:sz w:val="18"/>
                                </w:rPr>
                              </w:pPr>
                              <w:r>
                                <w:rPr>
                                  <w:color w:val="636466"/>
                                  <w:spacing w:val="-5"/>
                                  <w:sz w:val="18"/>
                                </w:rPr>
                                <w:t>2017</w:t>
                              </w:r>
                            </w:p>
                          </w:txbxContent>
                        </wps:txbx>
                        <wps:bodyPr wrap="square" lIns="0" tIns="0" rIns="0" bIns="0" rtlCol="0">
                          <a:noAutofit/>
                        </wps:bodyPr>
                      </wps:wsp>
                      <wps:wsp>
                        <wps:cNvPr id="1019" name="Textbox 1019"/>
                        <wps:cNvSpPr txBox="1"/>
                        <wps:spPr>
                          <a:xfrm>
                            <a:off x="879403" y="52199"/>
                            <a:ext cx="250825" cy="156210"/>
                          </a:xfrm>
                          <a:prstGeom prst="rect">
                            <a:avLst/>
                          </a:prstGeom>
                        </wps:spPr>
                        <wps:txbx>
                          <w:txbxContent>
                            <w:p>
                              <w:pPr>
                                <w:spacing w:before="11"/>
                                <w:ind w:left="0" w:right="0" w:firstLine="0"/>
                                <w:jc w:val="left"/>
                                <w:rPr>
                                  <w:sz w:val="18"/>
                                </w:rPr>
                              </w:pPr>
                              <w:r>
                                <w:rPr>
                                  <w:color w:val="636466"/>
                                  <w:spacing w:val="-5"/>
                                  <w:sz w:val="18"/>
                                </w:rPr>
                                <w:t>2018</w:t>
                              </w:r>
                            </w:p>
                          </w:txbxContent>
                        </wps:txbx>
                        <wps:bodyPr wrap="square" lIns="0" tIns="0" rIns="0" bIns="0" rtlCol="0">
                          <a:noAutofit/>
                        </wps:bodyPr>
                      </wps:wsp>
                    </wpg:wgp>
                  </a:graphicData>
                </a:graphic>
              </wp:anchor>
            </w:drawing>
          </mc:Choice>
          <mc:Fallback>
            <w:pict>
              <v:group style="position:absolute;margin-left:707.146729pt;margin-top:11.26741pt;width:405.6pt;height:147.2pt;mso-position-horizontal-relative:page;mso-position-vertical-relative:paragraph;z-index:15829504" id="docshapegroup835" coordorigin="14143,225" coordsize="8112,2944">
                <v:rect style="position:absolute;left:14564;top:364;width:107;height:107" id="docshape836" filled="true" fillcolor="#105c84" stroked="false">
                  <v:fill type="solid"/>
                </v:rect>
                <v:rect style="position:absolute;left:15365;top:364;width:107;height:107" id="docshape837" filled="true" fillcolor="#b0d236" stroked="false">
                  <v:fill type="solid"/>
                </v:rect>
                <v:shape style="position:absolute;left:14398;top:1027;width:7340;height:2140" id="docshape838" coordorigin="14399,1028" coordsize="7340,2140" path="m14639,3148l14399,3148,14399,3168,14639,3168,14639,3148xm15659,1628l15419,1628,15419,3168,15659,3168,15659,1628xm16679,2248l16439,2248,16439,3168,16679,3168,16679,2248xm17679,2248l17439,2248,17439,3168,17679,3168,17679,2248xm18699,1028l18459,1028,18459,3168,18699,3168,18699,1028xm19717,1548l19477,1548,19477,3168,19717,3168,19717,1548xm20719,1868l20479,1868,20479,3168,20719,3168,20719,1868xm21739,2928l21499,2928,21499,3168,21739,3168,21739,2928xe" filled="true" fillcolor="#105c84" stroked="false">
                  <v:path arrowok="t"/>
                  <v:fill type="solid"/>
                </v:shape>
                <v:shape style="position:absolute;left:14658;top:687;width:7320;height:2480" id="docshape839" coordorigin="14659,688" coordsize="7320,2480" path="m14899,3088l14659,3088,14659,3168,14899,3168,14899,3088xm15899,1928l15659,1928,15659,3168,15899,3168,15899,1928xm16919,1028l16679,1028,16679,3168,16919,3168,16919,1028xm17919,2248l17679,2248,17679,3168,17919,3168,17919,2248xm18939,688l18699,688,18699,3168,18939,3168,18939,688xm19959,1588l19719,1588,19719,3168,19959,3168,19959,1588xm20959,1868l20719,1868,20719,3168,20959,3168,20959,1868xm21979,2808l21739,2808,21739,3168,21979,3168,21979,2808xe" filled="true" fillcolor="#b0d236" stroked="false">
                  <v:path arrowok="t"/>
                  <v:fill type="solid"/>
                </v:shape>
                <v:shape style="position:absolute;left:14148;top:230;width:8100;height:2933" id="docshape840" coordorigin="14149,231" coordsize="8100,2933" path="m22249,3163l14149,3163,14149,231e" filled="false" stroked="true" strokeweight=".562pt" strokecolor="#939598">
                  <v:path arrowok="t"/>
                  <v:stroke dashstyle="solid"/>
                </v:shape>
                <v:shape style="position:absolute;left:14722;top:307;width:395;height:246" type="#_x0000_t202" id="docshape841" filled="false" stroked="false">
                  <v:textbox inset="0,0,0,0">
                    <w:txbxContent>
                      <w:p>
                        <w:pPr>
                          <w:spacing w:before="11"/>
                          <w:ind w:left="0" w:right="0" w:firstLine="0"/>
                          <w:jc w:val="left"/>
                          <w:rPr>
                            <w:sz w:val="18"/>
                          </w:rPr>
                        </w:pPr>
                        <w:r>
                          <w:rPr>
                            <w:color w:val="636466"/>
                            <w:spacing w:val="-5"/>
                            <w:sz w:val="18"/>
                          </w:rPr>
                          <w:t>2017</w:t>
                        </w:r>
                      </w:p>
                    </w:txbxContent>
                  </v:textbox>
                  <w10:wrap type="none"/>
                </v:shape>
                <v:shape style="position:absolute;left:15527;top:307;width:395;height:246" type="#_x0000_t202" id="docshape842" filled="false" stroked="false">
                  <v:textbox inset="0,0,0,0">
                    <w:txbxContent>
                      <w:p>
                        <w:pPr>
                          <w:spacing w:before="11"/>
                          <w:ind w:left="0" w:right="0" w:firstLine="0"/>
                          <w:jc w:val="left"/>
                          <w:rPr>
                            <w:sz w:val="18"/>
                          </w:rPr>
                        </w:pPr>
                        <w:r>
                          <w:rPr>
                            <w:color w:val="636466"/>
                            <w:spacing w:val="-5"/>
                            <w:sz w:val="18"/>
                          </w:rPr>
                          <w:t>2018</w:t>
                        </w:r>
                      </w:p>
                    </w:txbxContent>
                  </v:textbox>
                  <w10:wrap type="none"/>
                </v:shape>
                <w10:wrap type="none"/>
              </v:group>
            </w:pict>
          </mc:Fallback>
        </mc:AlternateContent>
      </w:r>
      <w:r>
        <w:rPr>
          <w:color w:val="636466"/>
          <w:spacing w:val="-5"/>
          <w:sz w:val="18"/>
        </w:rPr>
        <w:t>300</w:t>
      </w:r>
    </w:p>
    <w:p>
      <w:pPr>
        <w:pStyle w:val="BodyText"/>
        <w:spacing w:before="66"/>
        <w:rPr>
          <w:sz w:val="18"/>
        </w:rPr>
      </w:pPr>
    </w:p>
    <w:p>
      <w:pPr>
        <w:spacing w:before="0"/>
        <w:ind w:left="1475" w:right="0" w:firstLine="0"/>
        <w:jc w:val="left"/>
        <w:rPr>
          <w:sz w:val="18"/>
        </w:rPr>
      </w:pPr>
      <w:r>
        <w:rPr>
          <w:sz w:val="18"/>
        </w:rPr>
        <mc:AlternateContent>
          <mc:Choice Requires="wps">
            <w:drawing>
              <wp:anchor distT="0" distB="0" distL="0" distR="0" allowOverlap="1" layoutInCell="1" locked="0" behindDoc="0" simplePos="0" relativeHeight="15830528">
                <wp:simplePos x="0" y="0"/>
                <wp:positionH relativeFrom="page">
                  <wp:posOffset>8467663</wp:posOffset>
                </wp:positionH>
                <wp:positionV relativeFrom="paragraph">
                  <wp:posOffset>132676</wp:posOffset>
                </wp:positionV>
                <wp:extent cx="181610" cy="1016635"/>
                <wp:effectExtent l="0" t="0" r="0" b="0"/>
                <wp:wrapNone/>
                <wp:docPr id="1020" name="Textbox 1020"/>
                <wp:cNvGraphicFramePr>
                  <a:graphicFrameLocks/>
                </wp:cNvGraphicFramePr>
                <a:graphic>
                  <a:graphicData uri="http://schemas.microsoft.com/office/word/2010/wordprocessingShape">
                    <wps:wsp>
                      <wps:cNvPr id="1020" name="Textbox 1020"/>
                      <wps:cNvSpPr txBox="1"/>
                      <wps:spPr>
                        <a:xfrm>
                          <a:off x="0" y="0"/>
                          <a:ext cx="181610" cy="1016635"/>
                        </a:xfrm>
                        <a:prstGeom prst="rect">
                          <a:avLst/>
                        </a:prstGeom>
                      </wps:spPr>
                      <wps:txbx>
                        <w:txbxContent>
                          <w:p>
                            <w:pPr>
                              <w:spacing w:before="31"/>
                              <w:ind w:left="20" w:right="0" w:firstLine="0"/>
                              <w:jc w:val="left"/>
                              <w:rPr>
                                <w:sz w:val="18"/>
                              </w:rPr>
                            </w:pPr>
                            <w:r>
                              <w:rPr>
                                <w:color w:val="105C84"/>
                                <w:w w:val="105"/>
                                <w:sz w:val="18"/>
                              </w:rPr>
                              <w:t>Number</w:t>
                            </w:r>
                            <w:r>
                              <w:rPr>
                                <w:color w:val="105C84"/>
                                <w:spacing w:val="-13"/>
                                <w:w w:val="105"/>
                                <w:sz w:val="18"/>
                              </w:rPr>
                              <w:t> </w:t>
                            </w:r>
                            <w:r>
                              <w:rPr>
                                <w:color w:val="105C84"/>
                                <w:w w:val="105"/>
                                <w:sz w:val="18"/>
                              </w:rPr>
                              <w:t>of</w:t>
                            </w:r>
                            <w:r>
                              <w:rPr>
                                <w:color w:val="105C84"/>
                                <w:spacing w:val="-12"/>
                                <w:w w:val="105"/>
                                <w:sz w:val="18"/>
                              </w:rPr>
                              <w:t> </w:t>
                            </w:r>
                            <w:r>
                              <w:rPr>
                                <w:color w:val="105C84"/>
                                <w:spacing w:val="-2"/>
                                <w:w w:val="105"/>
                                <w:sz w:val="18"/>
                              </w:rPr>
                              <w:t>patients</w:t>
                            </w:r>
                          </w:p>
                        </w:txbxContent>
                      </wps:txbx>
                      <wps:bodyPr wrap="square" lIns="0" tIns="0" rIns="0" bIns="0" rtlCol="0" vert="vert270">
                        <a:noAutofit/>
                      </wps:bodyPr>
                    </wps:wsp>
                  </a:graphicData>
                </a:graphic>
              </wp:anchor>
            </w:drawing>
          </mc:Choice>
          <mc:Fallback>
            <w:pict>
              <v:shape style="position:absolute;margin-left:666.745178pt;margin-top:10.446963pt;width:14.3pt;height:80.05pt;mso-position-horizontal-relative:page;mso-position-vertical-relative:paragraph;z-index:15830528" type="#_x0000_t202" id="docshape843" filled="false" stroked="false">
                <v:textbox inset="0,0,0,0" style="layout-flow:vertical;mso-layout-flow-alt:bottom-to-top">
                  <w:txbxContent>
                    <w:p>
                      <w:pPr>
                        <w:spacing w:before="31"/>
                        <w:ind w:left="20" w:right="0" w:firstLine="0"/>
                        <w:jc w:val="left"/>
                        <w:rPr>
                          <w:sz w:val="18"/>
                        </w:rPr>
                      </w:pPr>
                      <w:r>
                        <w:rPr>
                          <w:color w:val="105C84"/>
                          <w:w w:val="105"/>
                          <w:sz w:val="18"/>
                        </w:rPr>
                        <w:t>Number</w:t>
                      </w:r>
                      <w:r>
                        <w:rPr>
                          <w:color w:val="105C84"/>
                          <w:spacing w:val="-13"/>
                          <w:w w:val="105"/>
                          <w:sz w:val="18"/>
                        </w:rPr>
                        <w:t> </w:t>
                      </w:r>
                      <w:r>
                        <w:rPr>
                          <w:color w:val="105C84"/>
                          <w:w w:val="105"/>
                          <w:sz w:val="18"/>
                        </w:rPr>
                        <w:t>of</w:t>
                      </w:r>
                      <w:r>
                        <w:rPr>
                          <w:color w:val="105C84"/>
                          <w:spacing w:val="-12"/>
                          <w:w w:val="105"/>
                          <w:sz w:val="18"/>
                        </w:rPr>
                        <w:t> </w:t>
                      </w:r>
                      <w:r>
                        <w:rPr>
                          <w:color w:val="105C84"/>
                          <w:spacing w:val="-2"/>
                          <w:w w:val="105"/>
                          <w:sz w:val="18"/>
                        </w:rPr>
                        <w:t>patients</w:t>
                      </w:r>
                    </w:p>
                  </w:txbxContent>
                </v:textbox>
                <w10:wrap type="none"/>
              </v:shape>
            </w:pict>
          </mc:Fallback>
        </mc:AlternateContent>
      </w:r>
      <w:r>
        <w:rPr>
          <w:color w:val="636466"/>
          <w:spacing w:val="-5"/>
          <w:sz w:val="18"/>
        </w:rPr>
        <w:t>250</w:t>
      </w:r>
    </w:p>
    <w:p>
      <w:pPr>
        <w:pStyle w:val="BodyText"/>
        <w:spacing w:before="66"/>
        <w:rPr>
          <w:sz w:val="18"/>
        </w:rPr>
      </w:pPr>
    </w:p>
    <w:p>
      <w:pPr>
        <w:spacing w:before="0"/>
        <w:ind w:left="1475" w:right="0" w:firstLine="0"/>
        <w:jc w:val="left"/>
        <w:rPr>
          <w:sz w:val="18"/>
        </w:rPr>
      </w:pPr>
      <w:r>
        <w:rPr>
          <w:color w:val="636466"/>
          <w:spacing w:val="-5"/>
          <w:sz w:val="18"/>
        </w:rPr>
        <w:t>200</w:t>
      </w:r>
    </w:p>
    <w:p>
      <w:pPr>
        <w:pStyle w:val="BodyText"/>
        <w:spacing w:before="66"/>
        <w:rPr>
          <w:sz w:val="18"/>
        </w:rPr>
      </w:pPr>
    </w:p>
    <w:p>
      <w:pPr>
        <w:spacing w:before="0"/>
        <w:ind w:left="1475" w:right="0" w:firstLine="0"/>
        <w:jc w:val="left"/>
        <w:rPr>
          <w:sz w:val="18"/>
        </w:rPr>
      </w:pPr>
      <w:r>
        <w:rPr>
          <w:color w:val="636466"/>
          <w:spacing w:val="-5"/>
          <w:sz w:val="18"/>
        </w:rPr>
        <w:t>150</w:t>
      </w:r>
    </w:p>
    <w:p>
      <w:pPr>
        <w:pStyle w:val="BodyText"/>
        <w:spacing w:before="66"/>
        <w:rPr>
          <w:sz w:val="18"/>
        </w:rPr>
      </w:pPr>
    </w:p>
    <w:p>
      <w:pPr>
        <w:spacing w:before="0"/>
        <w:ind w:left="1475" w:right="0" w:firstLine="0"/>
        <w:jc w:val="left"/>
        <w:rPr>
          <w:sz w:val="18"/>
        </w:rPr>
      </w:pPr>
      <w:r>
        <w:rPr>
          <w:color w:val="636466"/>
          <w:spacing w:val="-5"/>
          <w:sz w:val="18"/>
        </w:rPr>
        <w:t>100</w:t>
      </w:r>
    </w:p>
    <w:p>
      <w:pPr>
        <w:spacing w:after="0"/>
        <w:jc w:val="left"/>
        <w:rPr>
          <w:sz w:val="18"/>
        </w:rPr>
        <w:sectPr>
          <w:type w:val="continuous"/>
          <w:pgSz w:w="24480" w:h="15840" w:orient="landscape"/>
          <w:pgMar w:header="0" w:footer="0" w:top="0" w:bottom="280" w:left="0" w:right="720"/>
          <w:cols w:num="2" w:equalWidth="0">
            <w:col w:w="11065" w:space="1190"/>
            <w:col w:w="11505"/>
          </w:cols>
        </w:sectPr>
      </w:pPr>
    </w:p>
    <w:p>
      <w:pPr>
        <w:tabs>
          <w:tab w:pos="4785" w:val="left" w:leader="none"/>
          <w:tab w:pos="7049" w:val="left" w:leader="none"/>
          <w:tab w:pos="9110" w:val="left" w:leader="none"/>
        </w:tabs>
        <w:spacing w:before="26"/>
        <w:ind w:left="2732" w:right="0" w:firstLine="0"/>
        <w:jc w:val="left"/>
        <w:rPr>
          <w:sz w:val="18"/>
        </w:rPr>
      </w:pPr>
      <w:r>
        <w:rPr>
          <w:color w:val="636466"/>
          <w:spacing w:val="-2"/>
          <w:sz w:val="18"/>
        </w:rPr>
        <w:t>Prostate</w:t>
      </w:r>
      <w:r>
        <w:rPr>
          <w:color w:val="636466"/>
          <w:sz w:val="18"/>
        </w:rPr>
        <w:tab/>
      </w:r>
      <w:r>
        <w:rPr>
          <w:color w:val="636466"/>
          <w:spacing w:val="-2"/>
          <w:sz w:val="18"/>
        </w:rPr>
        <w:t>Colorectal</w:t>
      </w:r>
      <w:r>
        <w:rPr>
          <w:color w:val="636466"/>
          <w:sz w:val="18"/>
        </w:rPr>
        <w:tab/>
      </w:r>
      <w:r>
        <w:rPr>
          <w:color w:val="636466"/>
          <w:spacing w:val="-2"/>
          <w:sz w:val="18"/>
        </w:rPr>
        <w:t>Breast</w:t>
      </w:r>
      <w:r>
        <w:rPr>
          <w:color w:val="636466"/>
          <w:sz w:val="18"/>
        </w:rPr>
        <w:tab/>
      </w:r>
      <w:r>
        <w:rPr>
          <w:color w:val="636466"/>
          <w:spacing w:val="-2"/>
          <w:sz w:val="18"/>
        </w:rPr>
        <w:t>Cervical</w:t>
      </w:r>
    </w:p>
    <w:p>
      <w:pPr>
        <w:spacing w:line="249" w:lineRule="auto" w:before="161"/>
        <w:ind w:left="1984" w:right="0" w:firstLine="0"/>
        <w:jc w:val="left"/>
        <w:rPr>
          <w:sz w:val="18"/>
        </w:rPr>
      </w:pPr>
      <w:r>
        <w:rPr>
          <w:color w:val="105C84"/>
          <w:sz w:val="18"/>
        </w:rPr>
        <w:t>Data</w:t>
      </w:r>
      <w:r>
        <w:rPr>
          <w:color w:val="105C84"/>
          <w:spacing w:val="-13"/>
          <w:sz w:val="18"/>
        </w:rPr>
        <w:t> </w:t>
      </w:r>
      <w:r>
        <w:rPr>
          <w:color w:val="105C84"/>
          <w:sz w:val="18"/>
        </w:rPr>
        <w:t>Source:</w:t>
      </w:r>
      <w:r>
        <w:rPr>
          <w:color w:val="105C84"/>
          <w:spacing w:val="-12"/>
          <w:sz w:val="18"/>
        </w:rPr>
        <w:t> </w:t>
      </w:r>
      <w:r>
        <w:rPr>
          <w:color w:val="105C84"/>
          <w:sz w:val="18"/>
        </w:rPr>
        <w:t>Division</w:t>
      </w:r>
      <w:r>
        <w:rPr>
          <w:color w:val="105C84"/>
          <w:spacing w:val="-13"/>
          <w:sz w:val="18"/>
        </w:rPr>
        <w:t> </w:t>
      </w:r>
      <w:r>
        <w:rPr>
          <w:color w:val="105C84"/>
          <w:sz w:val="18"/>
        </w:rPr>
        <w:t>of</w:t>
      </w:r>
      <w:r>
        <w:rPr>
          <w:color w:val="105C84"/>
          <w:spacing w:val="-12"/>
          <w:sz w:val="18"/>
        </w:rPr>
        <w:t> </w:t>
      </w:r>
      <w:r>
        <w:rPr>
          <w:color w:val="105C84"/>
          <w:sz w:val="18"/>
        </w:rPr>
        <w:t>Chronic</w:t>
      </w:r>
      <w:r>
        <w:rPr>
          <w:color w:val="105C84"/>
          <w:spacing w:val="-13"/>
          <w:sz w:val="18"/>
        </w:rPr>
        <w:t> </w:t>
      </w:r>
      <w:r>
        <w:rPr>
          <w:color w:val="105C84"/>
          <w:sz w:val="18"/>
        </w:rPr>
        <w:t>Disease</w:t>
      </w:r>
      <w:r>
        <w:rPr>
          <w:color w:val="105C84"/>
          <w:spacing w:val="-13"/>
          <w:sz w:val="18"/>
        </w:rPr>
        <w:t> </w:t>
      </w:r>
      <w:r>
        <w:rPr>
          <w:color w:val="105C84"/>
          <w:sz w:val="18"/>
        </w:rPr>
        <w:t>and</w:t>
      </w:r>
      <w:r>
        <w:rPr>
          <w:color w:val="105C84"/>
          <w:spacing w:val="-12"/>
          <w:sz w:val="18"/>
        </w:rPr>
        <w:t> </w:t>
      </w:r>
      <w:r>
        <w:rPr>
          <w:color w:val="105C84"/>
          <w:sz w:val="18"/>
        </w:rPr>
        <w:t>Injury</w:t>
      </w:r>
      <w:r>
        <w:rPr>
          <w:color w:val="105C84"/>
          <w:spacing w:val="-13"/>
          <w:sz w:val="18"/>
        </w:rPr>
        <w:t> </w:t>
      </w:r>
      <w:r>
        <w:rPr>
          <w:color w:val="105C84"/>
          <w:sz w:val="18"/>
        </w:rPr>
        <w:t>Prevention,</w:t>
      </w:r>
      <w:r>
        <w:rPr>
          <w:color w:val="105C84"/>
          <w:spacing w:val="-12"/>
          <w:sz w:val="18"/>
        </w:rPr>
        <w:t> </w:t>
      </w:r>
      <w:r>
        <w:rPr>
          <w:color w:val="105C84"/>
          <w:sz w:val="18"/>
        </w:rPr>
        <w:t>Bureau</w:t>
      </w:r>
      <w:r>
        <w:rPr>
          <w:color w:val="105C84"/>
          <w:spacing w:val="-13"/>
          <w:sz w:val="18"/>
        </w:rPr>
        <w:t> </w:t>
      </w:r>
      <w:r>
        <w:rPr>
          <w:color w:val="105C84"/>
          <w:sz w:val="18"/>
        </w:rPr>
        <w:t>of</w:t>
      </w:r>
      <w:r>
        <w:rPr>
          <w:color w:val="105C84"/>
          <w:spacing w:val="-12"/>
          <w:sz w:val="18"/>
        </w:rPr>
        <w:t> </w:t>
      </w:r>
      <w:r>
        <w:rPr>
          <w:color w:val="105C84"/>
          <w:sz w:val="18"/>
        </w:rPr>
        <w:t>Chronic</w:t>
      </w:r>
      <w:r>
        <w:rPr>
          <w:color w:val="105C84"/>
          <w:spacing w:val="-13"/>
          <w:sz w:val="18"/>
        </w:rPr>
        <w:t> </w:t>
      </w:r>
      <w:r>
        <w:rPr>
          <w:color w:val="105C84"/>
          <w:sz w:val="18"/>
        </w:rPr>
        <w:t>Evaluation</w:t>
      </w:r>
      <w:r>
        <w:rPr>
          <w:color w:val="105C84"/>
          <w:spacing w:val="-12"/>
          <w:sz w:val="18"/>
        </w:rPr>
        <w:t> </w:t>
      </w:r>
      <w:r>
        <w:rPr>
          <w:color w:val="105C84"/>
          <w:sz w:val="18"/>
        </w:rPr>
        <w:t>and</w:t>
      </w:r>
      <w:r>
        <w:rPr>
          <w:color w:val="105C84"/>
          <w:spacing w:val="-13"/>
          <w:sz w:val="18"/>
        </w:rPr>
        <w:t> </w:t>
      </w:r>
      <w:r>
        <w:rPr>
          <w:color w:val="105C84"/>
          <w:sz w:val="18"/>
        </w:rPr>
        <w:t>Research, New</w:t>
      </w:r>
      <w:r>
        <w:rPr>
          <w:color w:val="105C84"/>
          <w:spacing w:val="-2"/>
          <w:sz w:val="18"/>
        </w:rPr>
        <w:t> </w:t>
      </w:r>
      <w:r>
        <w:rPr>
          <w:color w:val="105C84"/>
          <w:sz w:val="18"/>
        </w:rPr>
        <w:t>York</w:t>
      </w:r>
      <w:r>
        <w:rPr>
          <w:color w:val="105C84"/>
          <w:spacing w:val="-2"/>
          <w:sz w:val="18"/>
        </w:rPr>
        <w:t> </w:t>
      </w:r>
      <w:r>
        <w:rPr>
          <w:color w:val="105C84"/>
          <w:sz w:val="18"/>
        </w:rPr>
        <w:t>State</w:t>
      </w:r>
      <w:r>
        <w:rPr>
          <w:color w:val="105C84"/>
          <w:spacing w:val="-2"/>
          <w:sz w:val="18"/>
        </w:rPr>
        <w:t> </w:t>
      </w:r>
      <w:r>
        <w:rPr>
          <w:color w:val="105C84"/>
          <w:sz w:val="18"/>
        </w:rPr>
        <w:t>Department</w:t>
      </w:r>
      <w:r>
        <w:rPr>
          <w:color w:val="105C84"/>
          <w:spacing w:val="-2"/>
          <w:sz w:val="18"/>
        </w:rPr>
        <w:t> </w:t>
      </w:r>
      <w:r>
        <w:rPr>
          <w:color w:val="105C84"/>
          <w:sz w:val="18"/>
        </w:rPr>
        <w:t>of</w:t>
      </w:r>
      <w:r>
        <w:rPr>
          <w:color w:val="105C84"/>
          <w:spacing w:val="-2"/>
          <w:sz w:val="18"/>
        </w:rPr>
        <w:t> </w:t>
      </w:r>
      <w:r>
        <w:rPr>
          <w:color w:val="105C84"/>
          <w:sz w:val="18"/>
        </w:rPr>
        <w:t>Health,</w:t>
      </w:r>
      <w:r>
        <w:rPr>
          <w:color w:val="105C84"/>
          <w:spacing w:val="-2"/>
          <w:sz w:val="18"/>
        </w:rPr>
        <w:t> </w:t>
      </w:r>
      <w:r>
        <w:rPr>
          <w:color w:val="105C84"/>
          <w:sz w:val="18"/>
        </w:rPr>
        <w:t>Behavioral</w:t>
      </w:r>
      <w:r>
        <w:rPr>
          <w:color w:val="105C84"/>
          <w:spacing w:val="-2"/>
          <w:sz w:val="18"/>
        </w:rPr>
        <w:t> </w:t>
      </w:r>
      <w:r>
        <w:rPr>
          <w:color w:val="105C84"/>
          <w:sz w:val="18"/>
        </w:rPr>
        <w:t>Risk</w:t>
      </w:r>
      <w:r>
        <w:rPr>
          <w:color w:val="105C84"/>
          <w:spacing w:val="-2"/>
          <w:sz w:val="18"/>
        </w:rPr>
        <w:t> </w:t>
      </w:r>
      <w:r>
        <w:rPr>
          <w:color w:val="105C84"/>
          <w:sz w:val="18"/>
        </w:rPr>
        <w:t>Factor</w:t>
      </w:r>
      <w:r>
        <w:rPr>
          <w:color w:val="105C84"/>
          <w:spacing w:val="-2"/>
          <w:sz w:val="18"/>
        </w:rPr>
        <w:t> </w:t>
      </w:r>
      <w:r>
        <w:rPr>
          <w:color w:val="105C84"/>
          <w:sz w:val="18"/>
        </w:rPr>
        <w:t>Surveillance</w:t>
      </w:r>
      <w:r>
        <w:rPr>
          <w:color w:val="105C84"/>
          <w:spacing w:val="-2"/>
          <w:sz w:val="18"/>
        </w:rPr>
        <w:t> </w:t>
      </w:r>
      <w:r>
        <w:rPr>
          <w:color w:val="105C84"/>
          <w:sz w:val="18"/>
        </w:rPr>
        <w:t>System,</w:t>
      </w:r>
      <w:r>
        <w:rPr>
          <w:color w:val="105C84"/>
          <w:spacing w:val="-2"/>
          <w:sz w:val="18"/>
        </w:rPr>
        <w:t> </w:t>
      </w:r>
      <w:r>
        <w:rPr>
          <w:color w:val="105C84"/>
          <w:sz w:val="18"/>
        </w:rPr>
        <w:t>Year</w:t>
      </w:r>
      <w:r>
        <w:rPr>
          <w:color w:val="105C84"/>
          <w:spacing w:val="-2"/>
          <w:sz w:val="18"/>
        </w:rPr>
        <w:t> </w:t>
      </w:r>
      <w:r>
        <w:rPr>
          <w:color w:val="105C84"/>
          <w:sz w:val="18"/>
        </w:rPr>
        <w:t>2016.</w:t>
      </w:r>
    </w:p>
    <w:p>
      <w:pPr>
        <w:spacing w:before="1"/>
        <w:ind w:left="1984" w:right="0" w:firstLine="0"/>
        <w:jc w:val="left"/>
        <w:rPr>
          <w:sz w:val="18"/>
        </w:rPr>
      </w:pPr>
      <w:r>
        <w:rPr>
          <w:color w:val="105C84"/>
          <w:sz w:val="18"/>
        </w:rPr>
        <w:t>Analysis</w:t>
      </w:r>
      <w:r>
        <w:rPr>
          <w:color w:val="105C84"/>
          <w:spacing w:val="1"/>
          <w:sz w:val="18"/>
        </w:rPr>
        <w:t> </w:t>
      </w:r>
      <w:r>
        <w:rPr>
          <w:color w:val="105C84"/>
          <w:sz w:val="18"/>
        </w:rPr>
        <w:t>Completed</w:t>
      </w:r>
      <w:r>
        <w:rPr>
          <w:color w:val="105C84"/>
          <w:spacing w:val="2"/>
          <w:sz w:val="18"/>
        </w:rPr>
        <w:t> </w:t>
      </w:r>
      <w:r>
        <w:rPr>
          <w:color w:val="105C84"/>
          <w:sz w:val="18"/>
        </w:rPr>
        <w:t>by</w:t>
      </w:r>
      <w:r>
        <w:rPr>
          <w:color w:val="105C84"/>
          <w:spacing w:val="2"/>
          <w:sz w:val="18"/>
        </w:rPr>
        <w:t> </w:t>
      </w:r>
      <w:r>
        <w:rPr>
          <w:color w:val="105C84"/>
          <w:sz w:val="18"/>
        </w:rPr>
        <w:t>Common</w:t>
      </w:r>
      <w:r>
        <w:rPr>
          <w:color w:val="105C84"/>
          <w:spacing w:val="2"/>
          <w:sz w:val="18"/>
        </w:rPr>
        <w:t> </w:t>
      </w:r>
      <w:r>
        <w:rPr>
          <w:color w:val="105C84"/>
          <w:sz w:val="18"/>
        </w:rPr>
        <w:t>Ground</w:t>
      </w:r>
      <w:r>
        <w:rPr>
          <w:color w:val="105C84"/>
          <w:spacing w:val="2"/>
          <w:sz w:val="18"/>
        </w:rPr>
        <w:t> </w:t>
      </w:r>
      <w:r>
        <w:rPr>
          <w:color w:val="105C84"/>
          <w:spacing w:val="-2"/>
          <w:sz w:val="18"/>
        </w:rPr>
        <w:t>Health</w:t>
      </w:r>
    </w:p>
    <w:p>
      <w:pPr>
        <w:spacing w:before="11"/>
        <w:ind w:left="1984" w:right="0" w:firstLine="0"/>
        <w:jc w:val="left"/>
        <w:rPr>
          <w:sz w:val="18"/>
        </w:rPr>
      </w:pPr>
      <w:r>
        <w:rPr/>
        <w:br w:type="column"/>
      </w:r>
      <w:r>
        <w:rPr>
          <w:color w:val="636466"/>
          <w:spacing w:val="-5"/>
          <w:sz w:val="18"/>
        </w:rPr>
        <w:t>50</w:t>
      </w:r>
    </w:p>
    <w:p>
      <w:pPr>
        <w:pStyle w:val="BodyText"/>
        <w:spacing w:before="46"/>
        <w:rPr>
          <w:sz w:val="18"/>
        </w:rPr>
      </w:pPr>
    </w:p>
    <w:p>
      <w:pPr>
        <w:spacing w:before="0"/>
        <w:ind w:left="2079" w:right="0" w:firstLine="0"/>
        <w:jc w:val="left"/>
        <w:rPr>
          <w:sz w:val="18"/>
        </w:rPr>
      </w:pPr>
      <w:r>
        <w:rPr>
          <w:color w:val="636466"/>
          <w:spacing w:val="-10"/>
          <w:sz w:val="18"/>
        </w:rPr>
        <w:t>0</w:t>
      </w:r>
    </w:p>
    <w:p>
      <w:pPr>
        <w:spacing w:line="163" w:lineRule="auto" w:before="87"/>
        <w:ind w:left="2517" w:right="0" w:firstLine="176"/>
        <w:jc w:val="left"/>
        <w:rPr>
          <w:sz w:val="18"/>
        </w:rPr>
      </w:pPr>
      <w:r>
        <w:rPr>
          <w:color w:val="636466"/>
          <w:sz w:val="18"/>
        </w:rPr>
        <w:t>4 or </w:t>
      </w:r>
      <w:r>
        <w:rPr>
          <w:color w:val="636466"/>
          <w:spacing w:val="-2"/>
          <w:sz w:val="18"/>
        </w:rPr>
        <w:t>younger</w:t>
      </w:r>
    </w:p>
    <w:p>
      <w:pPr>
        <w:pStyle w:val="BodyText"/>
        <w:rPr>
          <w:sz w:val="18"/>
        </w:rPr>
      </w:pPr>
      <w:r>
        <w:rPr/>
        <w:br w:type="column"/>
      </w:r>
      <w:r>
        <w:rPr>
          <w:sz w:val="18"/>
        </w:rPr>
      </w:r>
    </w:p>
    <w:p>
      <w:pPr>
        <w:pStyle w:val="BodyText"/>
        <w:rPr>
          <w:sz w:val="18"/>
        </w:rPr>
      </w:pPr>
    </w:p>
    <w:p>
      <w:pPr>
        <w:pStyle w:val="BodyText"/>
        <w:spacing w:before="90"/>
        <w:rPr>
          <w:sz w:val="18"/>
        </w:rPr>
      </w:pPr>
    </w:p>
    <w:p>
      <w:pPr>
        <w:tabs>
          <w:tab w:pos="1293" w:val="left" w:leader="none"/>
          <w:tab w:pos="2305" w:val="left" w:leader="none"/>
          <w:tab w:pos="3317" w:val="left" w:leader="none"/>
          <w:tab w:pos="4329" w:val="left" w:leader="none"/>
          <w:tab w:pos="5341" w:val="left" w:leader="none"/>
          <w:tab w:pos="6237" w:val="left" w:leader="none"/>
        </w:tabs>
        <w:spacing w:before="0"/>
        <w:ind w:left="318" w:right="0" w:firstLine="0"/>
        <w:jc w:val="left"/>
        <w:rPr>
          <w:sz w:val="18"/>
        </w:rPr>
      </w:pPr>
      <w:r>
        <w:rPr>
          <w:color w:val="636466"/>
          <w:sz w:val="18"/>
        </w:rPr>
        <w:t>5 to</w:t>
      </w:r>
      <w:r>
        <w:rPr>
          <w:color w:val="636466"/>
          <w:spacing w:val="1"/>
          <w:sz w:val="18"/>
        </w:rPr>
        <w:t> </w:t>
      </w:r>
      <w:r>
        <w:rPr>
          <w:color w:val="636466"/>
          <w:spacing w:val="-5"/>
          <w:sz w:val="18"/>
        </w:rPr>
        <w:t>12</w:t>
      </w:r>
      <w:r>
        <w:rPr>
          <w:color w:val="636466"/>
          <w:sz w:val="18"/>
        </w:rPr>
        <w:tab/>
        <w:t>13</w:t>
      </w:r>
      <w:r>
        <w:rPr>
          <w:color w:val="636466"/>
          <w:spacing w:val="-3"/>
          <w:sz w:val="18"/>
        </w:rPr>
        <w:t> </w:t>
      </w:r>
      <w:r>
        <w:rPr>
          <w:color w:val="636466"/>
          <w:sz w:val="18"/>
        </w:rPr>
        <w:t>to</w:t>
      </w:r>
      <w:r>
        <w:rPr>
          <w:color w:val="636466"/>
          <w:spacing w:val="-3"/>
          <w:sz w:val="18"/>
        </w:rPr>
        <w:t> </w:t>
      </w:r>
      <w:r>
        <w:rPr>
          <w:color w:val="636466"/>
          <w:spacing w:val="-5"/>
          <w:sz w:val="18"/>
        </w:rPr>
        <w:t>17</w:t>
      </w:r>
      <w:r>
        <w:rPr>
          <w:color w:val="636466"/>
          <w:sz w:val="18"/>
        </w:rPr>
        <w:tab/>
        <w:t>18</w:t>
      </w:r>
      <w:r>
        <w:rPr>
          <w:color w:val="636466"/>
          <w:spacing w:val="-3"/>
          <w:sz w:val="18"/>
        </w:rPr>
        <w:t> </w:t>
      </w:r>
      <w:r>
        <w:rPr>
          <w:color w:val="636466"/>
          <w:sz w:val="18"/>
        </w:rPr>
        <w:t>to</w:t>
      </w:r>
      <w:r>
        <w:rPr>
          <w:color w:val="636466"/>
          <w:spacing w:val="-3"/>
          <w:sz w:val="18"/>
        </w:rPr>
        <w:t> </w:t>
      </w:r>
      <w:r>
        <w:rPr>
          <w:color w:val="636466"/>
          <w:spacing w:val="-5"/>
          <w:sz w:val="18"/>
        </w:rPr>
        <w:t>24</w:t>
      </w:r>
      <w:r>
        <w:rPr>
          <w:color w:val="636466"/>
          <w:sz w:val="18"/>
        </w:rPr>
        <w:tab/>
        <w:t>25</w:t>
      </w:r>
      <w:r>
        <w:rPr>
          <w:color w:val="636466"/>
          <w:spacing w:val="-3"/>
          <w:sz w:val="18"/>
        </w:rPr>
        <w:t> </w:t>
      </w:r>
      <w:r>
        <w:rPr>
          <w:color w:val="636466"/>
          <w:sz w:val="18"/>
        </w:rPr>
        <w:t>to</w:t>
      </w:r>
      <w:r>
        <w:rPr>
          <w:color w:val="636466"/>
          <w:spacing w:val="-3"/>
          <w:sz w:val="18"/>
        </w:rPr>
        <w:t> </w:t>
      </w:r>
      <w:r>
        <w:rPr>
          <w:color w:val="636466"/>
          <w:spacing w:val="-5"/>
          <w:sz w:val="18"/>
        </w:rPr>
        <w:t>39</w:t>
      </w:r>
      <w:r>
        <w:rPr>
          <w:color w:val="636466"/>
          <w:sz w:val="18"/>
        </w:rPr>
        <w:tab/>
        <w:t>40</w:t>
      </w:r>
      <w:r>
        <w:rPr>
          <w:color w:val="636466"/>
          <w:spacing w:val="-3"/>
          <w:sz w:val="18"/>
        </w:rPr>
        <w:t> </w:t>
      </w:r>
      <w:r>
        <w:rPr>
          <w:color w:val="636466"/>
          <w:sz w:val="18"/>
        </w:rPr>
        <w:t>to</w:t>
      </w:r>
      <w:r>
        <w:rPr>
          <w:color w:val="636466"/>
          <w:spacing w:val="-3"/>
          <w:sz w:val="18"/>
        </w:rPr>
        <w:t> </w:t>
      </w:r>
      <w:r>
        <w:rPr>
          <w:color w:val="636466"/>
          <w:spacing w:val="-5"/>
          <w:sz w:val="18"/>
        </w:rPr>
        <w:t>54</w:t>
      </w:r>
      <w:r>
        <w:rPr>
          <w:color w:val="636466"/>
          <w:sz w:val="18"/>
        </w:rPr>
        <w:tab/>
        <w:t>55</w:t>
      </w:r>
      <w:r>
        <w:rPr>
          <w:color w:val="636466"/>
          <w:spacing w:val="-3"/>
          <w:sz w:val="18"/>
        </w:rPr>
        <w:t> </w:t>
      </w:r>
      <w:r>
        <w:rPr>
          <w:color w:val="636466"/>
          <w:sz w:val="18"/>
        </w:rPr>
        <w:t>to</w:t>
      </w:r>
      <w:r>
        <w:rPr>
          <w:color w:val="636466"/>
          <w:spacing w:val="-3"/>
          <w:sz w:val="18"/>
        </w:rPr>
        <w:t> </w:t>
      </w:r>
      <w:r>
        <w:rPr>
          <w:color w:val="636466"/>
          <w:spacing w:val="-5"/>
          <w:sz w:val="18"/>
        </w:rPr>
        <w:t>69</w:t>
      </w:r>
      <w:r>
        <w:rPr>
          <w:color w:val="636466"/>
          <w:sz w:val="18"/>
        </w:rPr>
        <w:tab/>
        <w:t>70</w:t>
      </w:r>
      <w:r>
        <w:rPr>
          <w:color w:val="636466"/>
          <w:spacing w:val="-8"/>
          <w:sz w:val="18"/>
        </w:rPr>
        <w:t> </w:t>
      </w:r>
      <w:r>
        <w:rPr>
          <w:color w:val="636466"/>
          <w:sz w:val="18"/>
        </w:rPr>
        <w:t>or</w:t>
      </w:r>
      <w:r>
        <w:rPr>
          <w:color w:val="636466"/>
          <w:spacing w:val="-8"/>
          <w:sz w:val="18"/>
        </w:rPr>
        <w:t> </w:t>
      </w:r>
      <w:r>
        <w:rPr>
          <w:color w:val="636466"/>
          <w:spacing w:val="-2"/>
          <w:sz w:val="18"/>
        </w:rPr>
        <w:t>older</w:t>
      </w:r>
    </w:p>
    <w:p>
      <w:pPr>
        <w:spacing w:after="0"/>
        <w:jc w:val="left"/>
        <w:rPr>
          <w:sz w:val="18"/>
        </w:rPr>
        <w:sectPr>
          <w:type w:val="continuous"/>
          <w:pgSz w:w="24480" w:h="15840" w:orient="landscape"/>
          <w:pgMar w:header="0" w:footer="0" w:top="0" w:bottom="280" w:left="0" w:right="720"/>
          <w:cols w:num="3" w:equalWidth="0">
            <w:col w:w="10594" w:space="1245"/>
            <w:col w:w="3178" w:space="40"/>
            <w:col w:w="8703"/>
          </w:cols>
        </w:sectPr>
      </w:pPr>
    </w:p>
    <w:p>
      <w:pPr>
        <w:pStyle w:val="BodyText"/>
        <w:spacing w:before="131"/>
      </w:pPr>
      <w:r>
        <w:rPr/>
        <w:drawing>
          <wp:anchor distT="0" distB="0" distL="0" distR="0" allowOverlap="1" layoutInCell="1" locked="0" behindDoc="0" simplePos="0" relativeHeight="15828480">
            <wp:simplePos x="0" y="0"/>
            <wp:positionH relativeFrom="page">
              <wp:posOffset>14981556</wp:posOffset>
            </wp:positionH>
            <wp:positionV relativeFrom="page">
              <wp:posOffset>9668103</wp:posOffset>
            </wp:positionV>
            <wp:extent cx="563245" cy="184683"/>
            <wp:effectExtent l="0" t="0" r="0" b="0"/>
            <wp:wrapNone/>
            <wp:docPr id="1021" name="Image 1021"/>
            <wp:cNvGraphicFramePr>
              <a:graphicFrameLocks/>
            </wp:cNvGraphicFramePr>
            <a:graphic>
              <a:graphicData uri="http://schemas.openxmlformats.org/drawingml/2006/picture">
                <pic:pic>
                  <pic:nvPicPr>
                    <pic:cNvPr id="1021" name="Image 1021"/>
                    <pic:cNvPicPr/>
                  </pic:nvPicPr>
                  <pic:blipFill>
                    <a:blip r:embed="rId38" cstate="print"/>
                    <a:stretch>
                      <a:fillRect/>
                    </a:stretch>
                  </pic:blipFill>
                  <pic:spPr>
                    <a:xfrm>
                      <a:off x="0" y="0"/>
                      <a:ext cx="563245" cy="184683"/>
                    </a:xfrm>
                    <a:prstGeom prst="rect">
                      <a:avLst/>
                    </a:prstGeom>
                  </pic:spPr>
                </pic:pic>
              </a:graphicData>
            </a:graphic>
          </wp:anchor>
        </w:drawing>
      </w:r>
    </w:p>
    <w:p>
      <w:pPr>
        <w:pStyle w:val="BodyText"/>
        <w:spacing w:line="247" w:lineRule="auto"/>
        <w:ind w:left="1080"/>
      </w:pPr>
      <w:r>
        <w:rPr>
          <w:color w:val="105C84"/>
        </w:rPr>
        <w:t>In terms of colorectal cancer screenings, an estimated 75% of county residents have received recommended</w:t>
      </w:r>
      <w:r>
        <w:rPr>
          <w:color w:val="105C84"/>
          <w:spacing w:val="-1"/>
        </w:rPr>
        <w:t> </w:t>
      </w:r>
      <w:r>
        <w:rPr>
          <w:color w:val="105C84"/>
        </w:rPr>
        <w:t>screenings.</w:t>
      </w:r>
      <w:r>
        <w:rPr>
          <w:color w:val="105C84"/>
          <w:spacing w:val="-1"/>
        </w:rPr>
        <w:t> </w:t>
      </w:r>
      <w:r>
        <w:rPr>
          <w:color w:val="105C84"/>
        </w:rPr>
        <w:t>However,</w:t>
      </w:r>
      <w:r>
        <w:rPr>
          <w:color w:val="105C84"/>
          <w:spacing w:val="-1"/>
        </w:rPr>
        <w:t> </w:t>
      </w:r>
      <w:r>
        <w:rPr>
          <w:color w:val="105C84"/>
        </w:rPr>
        <w:t>this</w:t>
      </w:r>
      <w:r>
        <w:rPr>
          <w:color w:val="105C84"/>
          <w:spacing w:val="-1"/>
        </w:rPr>
        <w:t> </w:t>
      </w:r>
      <w:r>
        <w:rPr>
          <w:color w:val="105C84"/>
        </w:rPr>
        <w:t>varies</w:t>
      </w:r>
      <w:r>
        <w:rPr>
          <w:color w:val="105C84"/>
          <w:spacing w:val="-1"/>
        </w:rPr>
        <w:t> </w:t>
      </w:r>
      <w:r>
        <w:rPr>
          <w:color w:val="105C84"/>
        </w:rPr>
        <w:t>by</w:t>
      </w:r>
      <w:r>
        <w:rPr>
          <w:color w:val="105C84"/>
          <w:spacing w:val="-1"/>
        </w:rPr>
        <w:t> </w:t>
      </w:r>
      <w:r>
        <w:rPr>
          <w:color w:val="105C84"/>
        </w:rPr>
        <w:t>sex</w:t>
      </w:r>
      <w:r>
        <w:rPr>
          <w:color w:val="105C84"/>
          <w:spacing w:val="-1"/>
        </w:rPr>
        <w:t> </w:t>
      </w:r>
      <w:r>
        <w:rPr>
          <w:color w:val="105C84"/>
        </w:rPr>
        <w:t>and</w:t>
      </w:r>
      <w:r>
        <w:rPr>
          <w:color w:val="105C84"/>
          <w:spacing w:val="-1"/>
        </w:rPr>
        <w:t> </w:t>
      </w:r>
      <w:r>
        <w:rPr>
          <w:color w:val="105C84"/>
        </w:rPr>
        <w:t>income</w:t>
      </w:r>
      <w:r>
        <w:rPr>
          <w:color w:val="105C84"/>
          <w:spacing w:val="-1"/>
        </w:rPr>
        <w:t> </w:t>
      </w:r>
      <w:r>
        <w:rPr>
          <w:color w:val="105C84"/>
        </w:rPr>
        <w:t>as</w:t>
      </w:r>
      <w:r>
        <w:rPr>
          <w:color w:val="105C84"/>
          <w:spacing w:val="-1"/>
        </w:rPr>
        <w:t> </w:t>
      </w:r>
      <w:r>
        <w:rPr>
          <w:color w:val="105C84"/>
        </w:rPr>
        <w:t>shown</w:t>
      </w:r>
      <w:r>
        <w:rPr>
          <w:color w:val="105C84"/>
          <w:spacing w:val="-1"/>
        </w:rPr>
        <w:t> </w:t>
      </w:r>
      <w:r>
        <w:rPr>
          <w:color w:val="105C84"/>
        </w:rPr>
        <w:t>below</w:t>
      </w:r>
      <w:r>
        <w:rPr>
          <w:color w:val="105C84"/>
          <w:spacing w:val="-1"/>
        </w:rPr>
        <w:t> </w:t>
      </w:r>
      <w:r>
        <w:rPr>
          <w:color w:val="105C84"/>
        </w:rPr>
        <w:t>in</w:t>
      </w:r>
      <w:r>
        <w:rPr>
          <w:color w:val="105C84"/>
          <w:spacing w:val="-1"/>
        </w:rPr>
        <w:t> </w:t>
      </w:r>
      <w:r>
        <w:rPr>
          <w:color w:val="105C84"/>
        </w:rPr>
        <w:t>Table</w:t>
      </w:r>
      <w:r>
        <w:rPr>
          <w:color w:val="105C84"/>
          <w:spacing w:val="-1"/>
        </w:rPr>
        <w:t> </w:t>
      </w:r>
      <w:r>
        <w:rPr>
          <w:color w:val="105C84"/>
        </w:rPr>
        <w:t>12. Particular</w:t>
      </w:r>
      <w:r>
        <w:rPr>
          <w:color w:val="105C84"/>
          <w:spacing w:val="29"/>
        </w:rPr>
        <w:t> </w:t>
      </w:r>
      <w:r>
        <w:rPr>
          <w:color w:val="105C84"/>
        </w:rPr>
        <w:t>focus</w:t>
      </w:r>
      <w:r>
        <w:rPr>
          <w:color w:val="105C84"/>
          <w:spacing w:val="29"/>
        </w:rPr>
        <w:t> </w:t>
      </w:r>
      <w:r>
        <w:rPr>
          <w:color w:val="105C84"/>
        </w:rPr>
        <w:t>ought</w:t>
      </w:r>
      <w:r>
        <w:rPr>
          <w:color w:val="105C84"/>
          <w:spacing w:val="29"/>
        </w:rPr>
        <w:t> </w:t>
      </w:r>
      <w:r>
        <w:rPr>
          <w:color w:val="105C84"/>
        </w:rPr>
        <w:t>to</w:t>
      </w:r>
      <w:r>
        <w:rPr>
          <w:color w:val="105C84"/>
          <w:spacing w:val="29"/>
        </w:rPr>
        <w:t> </w:t>
      </w:r>
      <w:r>
        <w:rPr>
          <w:color w:val="105C84"/>
        </w:rPr>
        <w:t>be</w:t>
      </w:r>
      <w:r>
        <w:rPr>
          <w:color w:val="105C84"/>
          <w:spacing w:val="29"/>
        </w:rPr>
        <w:t> </w:t>
      </w:r>
      <w:r>
        <w:rPr>
          <w:color w:val="105C84"/>
        </w:rPr>
        <w:t>put</w:t>
      </w:r>
      <w:r>
        <w:rPr>
          <w:color w:val="105C84"/>
          <w:spacing w:val="29"/>
        </w:rPr>
        <w:t> </w:t>
      </w:r>
      <w:r>
        <w:rPr>
          <w:color w:val="105C84"/>
        </w:rPr>
        <w:t>on</w:t>
      </w:r>
      <w:r>
        <w:rPr>
          <w:color w:val="105C84"/>
          <w:spacing w:val="29"/>
        </w:rPr>
        <w:t> </w:t>
      </w:r>
      <w:r>
        <w:rPr>
          <w:color w:val="105C84"/>
        </w:rPr>
        <w:t>increasing</w:t>
      </w:r>
      <w:r>
        <w:rPr>
          <w:color w:val="105C84"/>
          <w:spacing w:val="29"/>
        </w:rPr>
        <w:t> </w:t>
      </w:r>
      <w:r>
        <w:rPr>
          <w:color w:val="105C84"/>
        </w:rPr>
        <w:t>screening</w:t>
      </w:r>
      <w:r>
        <w:rPr>
          <w:color w:val="105C84"/>
          <w:spacing w:val="29"/>
        </w:rPr>
        <w:t> </w:t>
      </w:r>
      <w:r>
        <w:rPr>
          <w:color w:val="105C84"/>
        </w:rPr>
        <w:t>rates</w:t>
      </w:r>
      <w:r>
        <w:rPr>
          <w:color w:val="105C84"/>
          <w:spacing w:val="29"/>
        </w:rPr>
        <w:t> </w:t>
      </w:r>
      <w:r>
        <w:rPr>
          <w:color w:val="105C84"/>
        </w:rPr>
        <w:t>in</w:t>
      </w:r>
      <w:r>
        <w:rPr>
          <w:color w:val="105C84"/>
          <w:spacing w:val="29"/>
        </w:rPr>
        <w:t> </w:t>
      </w:r>
      <w:r>
        <w:rPr>
          <w:color w:val="105C84"/>
        </w:rPr>
        <w:t>the</w:t>
      </w:r>
      <w:r>
        <w:rPr>
          <w:color w:val="105C84"/>
          <w:spacing w:val="29"/>
        </w:rPr>
        <w:t> </w:t>
      </w:r>
      <w:r>
        <w:rPr>
          <w:color w:val="105C84"/>
        </w:rPr>
        <w:t>low</w:t>
      </w:r>
      <w:r>
        <w:rPr>
          <w:color w:val="105C84"/>
          <w:spacing w:val="29"/>
        </w:rPr>
        <w:t> </w:t>
      </w:r>
      <w:r>
        <w:rPr>
          <w:color w:val="105C84"/>
        </w:rPr>
        <w:t>income</w:t>
      </w:r>
      <w:r>
        <w:rPr>
          <w:color w:val="105C84"/>
          <w:spacing w:val="29"/>
        </w:rPr>
        <w:t> </w:t>
      </w:r>
      <w:r>
        <w:rPr>
          <w:color w:val="105C84"/>
        </w:rPr>
        <w:t>population.</w:t>
      </w:r>
    </w:p>
    <w:p>
      <w:pPr>
        <w:pStyle w:val="BodyText"/>
        <w:spacing w:before="18"/>
      </w:pPr>
    </w:p>
    <w:p>
      <w:pPr>
        <w:pStyle w:val="Heading6"/>
      </w:pPr>
      <w:r>
        <w:rPr>
          <w:color w:val="105C84"/>
          <w:spacing w:val="-6"/>
        </w:rPr>
        <w:t>Table 12:</w:t>
      </w:r>
      <w:r>
        <w:rPr>
          <w:color w:val="105C84"/>
          <w:spacing w:val="-5"/>
        </w:rPr>
        <w:t> </w:t>
      </w:r>
      <w:r>
        <w:rPr>
          <w:color w:val="105C84"/>
          <w:spacing w:val="-6"/>
        </w:rPr>
        <w:t>Colorectal</w:t>
      </w:r>
      <w:r>
        <w:rPr>
          <w:color w:val="105C84"/>
          <w:spacing w:val="-5"/>
        </w:rPr>
        <w:t> </w:t>
      </w:r>
      <w:r>
        <w:rPr>
          <w:color w:val="105C84"/>
          <w:spacing w:val="-6"/>
        </w:rPr>
        <w:t>cancer</w:t>
      </w:r>
      <w:r>
        <w:rPr>
          <w:color w:val="105C84"/>
          <w:spacing w:val="-5"/>
        </w:rPr>
        <w:t> </w:t>
      </w:r>
      <w:r>
        <w:rPr>
          <w:color w:val="105C84"/>
          <w:spacing w:val="-6"/>
        </w:rPr>
        <w:t>screening</w:t>
      </w:r>
      <w:r>
        <w:rPr>
          <w:color w:val="105C84"/>
          <w:spacing w:val="-5"/>
        </w:rPr>
        <w:t> </w:t>
      </w:r>
      <w:r>
        <w:rPr>
          <w:color w:val="105C84"/>
          <w:spacing w:val="-6"/>
        </w:rPr>
        <w:t>rates by</w:t>
      </w:r>
      <w:r>
        <w:rPr>
          <w:color w:val="105C84"/>
          <w:spacing w:val="-5"/>
        </w:rPr>
        <w:t> </w:t>
      </w:r>
      <w:r>
        <w:rPr>
          <w:color w:val="105C84"/>
          <w:spacing w:val="-6"/>
        </w:rPr>
        <w:t>demographic</w:t>
      </w:r>
    </w:p>
    <w:p>
      <w:pPr>
        <w:pStyle w:val="BodyText"/>
        <w:spacing w:before="154" w:after="1"/>
        <w:rPr>
          <w:b/>
          <w:sz w:val="20"/>
        </w:rPr>
      </w:pPr>
    </w:p>
    <w:tbl>
      <w:tblPr>
        <w:tblW w:w="0" w:type="auto"/>
        <w:jc w:val="left"/>
        <w:tblInd w:w="1085" w:type="dxa"/>
        <w:tblBorders>
          <w:top w:val="single" w:sz="2" w:space="0" w:color="636466"/>
          <w:left w:val="single" w:sz="2" w:space="0" w:color="636466"/>
          <w:bottom w:val="single" w:sz="2" w:space="0" w:color="636466"/>
          <w:right w:val="single" w:sz="2" w:space="0" w:color="636466"/>
          <w:insideH w:val="single" w:sz="2" w:space="0" w:color="636466"/>
          <w:insideV w:val="single" w:sz="2" w:space="0" w:color="636466"/>
        </w:tblBorders>
        <w:tblLayout w:type="fixed"/>
        <w:tblCellMar>
          <w:top w:w="0" w:type="dxa"/>
          <w:left w:w="0" w:type="dxa"/>
          <w:bottom w:w="0" w:type="dxa"/>
          <w:right w:w="0" w:type="dxa"/>
        </w:tblCellMar>
        <w:tblLook w:val="01E0"/>
      </w:tblPr>
      <w:tblGrid>
        <w:gridCol w:w="2524"/>
        <w:gridCol w:w="2524"/>
        <w:gridCol w:w="2524"/>
        <w:gridCol w:w="2524"/>
      </w:tblGrid>
      <w:tr>
        <w:trPr>
          <w:trHeight w:val="502" w:hRule="atLeast"/>
        </w:trPr>
        <w:tc>
          <w:tcPr>
            <w:tcW w:w="2524" w:type="dxa"/>
          </w:tcPr>
          <w:p>
            <w:pPr>
              <w:pStyle w:val="TableParagraph"/>
              <w:rPr>
                <w:rFonts w:ascii="Times New Roman"/>
                <w:sz w:val="20"/>
              </w:rPr>
            </w:pPr>
          </w:p>
        </w:tc>
        <w:tc>
          <w:tcPr>
            <w:tcW w:w="2524" w:type="dxa"/>
            <w:shd w:val="clear" w:color="auto" w:fill="1C75BC"/>
          </w:tcPr>
          <w:p>
            <w:pPr>
              <w:pStyle w:val="TableParagraph"/>
              <w:spacing w:before="116"/>
              <w:ind w:left="6"/>
              <w:jc w:val="center"/>
              <w:rPr>
                <w:sz w:val="22"/>
              </w:rPr>
            </w:pPr>
            <w:r>
              <w:rPr>
                <w:color w:val="FFFFFF"/>
                <w:spacing w:val="-4"/>
                <w:sz w:val="22"/>
              </w:rPr>
              <w:t>MALE</w:t>
            </w:r>
          </w:p>
        </w:tc>
        <w:tc>
          <w:tcPr>
            <w:tcW w:w="2524" w:type="dxa"/>
            <w:shd w:val="clear" w:color="auto" w:fill="82BF6A"/>
          </w:tcPr>
          <w:p>
            <w:pPr>
              <w:pStyle w:val="TableParagraph"/>
              <w:spacing w:before="116"/>
              <w:ind w:left="6" w:right="1"/>
              <w:jc w:val="center"/>
              <w:rPr>
                <w:sz w:val="22"/>
              </w:rPr>
            </w:pPr>
            <w:r>
              <w:rPr>
                <w:color w:val="FFFFFF"/>
                <w:spacing w:val="-2"/>
                <w:sz w:val="22"/>
              </w:rPr>
              <w:t>FEMALE</w:t>
            </w:r>
          </w:p>
        </w:tc>
        <w:tc>
          <w:tcPr>
            <w:tcW w:w="2524" w:type="dxa"/>
            <w:shd w:val="clear" w:color="auto" w:fill="00A79E"/>
          </w:tcPr>
          <w:p>
            <w:pPr>
              <w:pStyle w:val="TableParagraph"/>
              <w:spacing w:before="116"/>
              <w:ind w:left="6" w:right="2"/>
              <w:jc w:val="center"/>
              <w:rPr>
                <w:sz w:val="22"/>
              </w:rPr>
            </w:pPr>
            <w:r>
              <w:rPr>
                <w:color w:val="FFFFFF"/>
                <w:sz w:val="22"/>
              </w:rPr>
              <w:t>LOW-</w:t>
            </w:r>
            <w:r>
              <w:rPr>
                <w:color w:val="FFFFFF"/>
                <w:spacing w:val="-2"/>
                <w:sz w:val="22"/>
              </w:rPr>
              <w:t>INCOME</w:t>
            </w:r>
          </w:p>
        </w:tc>
      </w:tr>
      <w:tr>
        <w:trPr>
          <w:trHeight w:val="715" w:hRule="atLeast"/>
        </w:trPr>
        <w:tc>
          <w:tcPr>
            <w:tcW w:w="2524" w:type="dxa"/>
            <w:shd w:val="clear" w:color="auto" w:fill="E6E7E8"/>
          </w:tcPr>
          <w:p>
            <w:pPr>
              <w:pStyle w:val="TableParagraph"/>
              <w:spacing w:line="247" w:lineRule="auto" w:before="92"/>
              <w:ind w:left="79"/>
              <w:rPr>
                <w:sz w:val="22"/>
              </w:rPr>
            </w:pPr>
            <w:r>
              <w:rPr>
                <w:color w:val="105C84"/>
                <w:sz w:val="22"/>
              </w:rPr>
              <w:t>Colorectal </w:t>
            </w:r>
            <w:r>
              <w:rPr>
                <w:color w:val="105C84"/>
                <w:sz w:val="22"/>
              </w:rPr>
              <w:t>Cancer Screening Rates</w:t>
            </w:r>
          </w:p>
        </w:tc>
        <w:tc>
          <w:tcPr>
            <w:tcW w:w="2524" w:type="dxa"/>
          </w:tcPr>
          <w:p>
            <w:pPr>
              <w:pStyle w:val="TableParagraph"/>
              <w:spacing w:before="222"/>
              <w:ind w:left="6" w:right="1"/>
              <w:jc w:val="center"/>
              <w:rPr>
                <w:sz w:val="22"/>
              </w:rPr>
            </w:pPr>
            <w:r>
              <w:rPr>
                <w:color w:val="105C84"/>
                <w:spacing w:val="-5"/>
                <w:sz w:val="22"/>
              </w:rPr>
              <w:t>72%</w:t>
            </w:r>
          </w:p>
        </w:tc>
        <w:tc>
          <w:tcPr>
            <w:tcW w:w="2524" w:type="dxa"/>
          </w:tcPr>
          <w:p>
            <w:pPr>
              <w:pStyle w:val="TableParagraph"/>
              <w:spacing w:before="222"/>
              <w:ind w:left="6" w:right="2"/>
              <w:jc w:val="center"/>
              <w:rPr>
                <w:sz w:val="22"/>
              </w:rPr>
            </w:pPr>
            <w:r>
              <w:rPr>
                <w:color w:val="105C84"/>
                <w:spacing w:val="-5"/>
                <w:sz w:val="22"/>
              </w:rPr>
              <w:t>76%</w:t>
            </w:r>
          </w:p>
        </w:tc>
        <w:tc>
          <w:tcPr>
            <w:tcW w:w="2524" w:type="dxa"/>
          </w:tcPr>
          <w:p>
            <w:pPr>
              <w:pStyle w:val="TableParagraph"/>
              <w:spacing w:before="222"/>
              <w:ind w:left="6" w:right="3"/>
              <w:jc w:val="center"/>
              <w:rPr>
                <w:sz w:val="22"/>
              </w:rPr>
            </w:pPr>
            <w:r>
              <w:rPr>
                <w:color w:val="105C84"/>
                <w:spacing w:val="-4"/>
                <w:sz w:val="22"/>
              </w:rPr>
              <w:t>60%*</w:t>
            </w:r>
          </w:p>
        </w:tc>
      </w:tr>
    </w:tbl>
    <w:p>
      <w:pPr>
        <w:spacing w:line="235" w:lineRule="auto" w:before="101"/>
        <w:ind w:left="1082" w:right="0" w:firstLine="0"/>
        <w:jc w:val="left"/>
        <w:rPr>
          <w:sz w:val="16"/>
        </w:rPr>
      </w:pPr>
      <w:r>
        <w:rPr>
          <w:color w:val="0C5D86"/>
          <w:sz w:val="16"/>
        </w:rPr>
        <w:t>Source:</w:t>
      </w:r>
      <w:r>
        <w:rPr>
          <w:color w:val="0C5D86"/>
          <w:spacing w:val="-10"/>
          <w:sz w:val="16"/>
        </w:rPr>
        <w:t> </w:t>
      </w:r>
      <w:r>
        <w:rPr>
          <w:color w:val="0C5D86"/>
          <w:sz w:val="16"/>
        </w:rPr>
        <w:t>Division</w:t>
      </w:r>
      <w:r>
        <w:rPr>
          <w:color w:val="0C5D86"/>
          <w:spacing w:val="-10"/>
          <w:sz w:val="16"/>
        </w:rPr>
        <w:t> </w:t>
      </w:r>
      <w:r>
        <w:rPr>
          <w:color w:val="0C5D86"/>
          <w:sz w:val="16"/>
        </w:rPr>
        <w:t>of</w:t>
      </w:r>
      <w:r>
        <w:rPr>
          <w:color w:val="0C5D86"/>
          <w:spacing w:val="-10"/>
          <w:sz w:val="16"/>
        </w:rPr>
        <w:t> </w:t>
      </w:r>
      <w:r>
        <w:rPr>
          <w:color w:val="0C5D86"/>
          <w:sz w:val="16"/>
        </w:rPr>
        <w:t>Chronic</w:t>
      </w:r>
      <w:r>
        <w:rPr>
          <w:color w:val="0C5D86"/>
          <w:spacing w:val="-10"/>
          <w:sz w:val="16"/>
        </w:rPr>
        <w:t> </w:t>
      </w:r>
      <w:r>
        <w:rPr>
          <w:color w:val="0C5D86"/>
          <w:sz w:val="16"/>
        </w:rPr>
        <w:t>Disease</w:t>
      </w:r>
      <w:r>
        <w:rPr>
          <w:color w:val="0C5D86"/>
          <w:spacing w:val="-10"/>
          <w:sz w:val="16"/>
        </w:rPr>
        <w:t> </w:t>
      </w:r>
      <w:r>
        <w:rPr>
          <w:color w:val="0C5D86"/>
          <w:sz w:val="16"/>
        </w:rPr>
        <w:t>and</w:t>
      </w:r>
      <w:r>
        <w:rPr>
          <w:color w:val="0C5D86"/>
          <w:spacing w:val="-10"/>
          <w:sz w:val="16"/>
        </w:rPr>
        <w:t> </w:t>
      </w:r>
      <w:r>
        <w:rPr>
          <w:color w:val="0C5D86"/>
          <w:sz w:val="16"/>
        </w:rPr>
        <w:t>Injury</w:t>
      </w:r>
      <w:r>
        <w:rPr>
          <w:color w:val="0C5D86"/>
          <w:spacing w:val="-10"/>
          <w:sz w:val="16"/>
        </w:rPr>
        <w:t> </w:t>
      </w:r>
      <w:r>
        <w:rPr>
          <w:color w:val="0C5D86"/>
          <w:sz w:val="16"/>
        </w:rPr>
        <w:t>Prevention,</w:t>
      </w:r>
      <w:r>
        <w:rPr>
          <w:color w:val="0C5D86"/>
          <w:spacing w:val="-10"/>
          <w:sz w:val="16"/>
        </w:rPr>
        <w:t> </w:t>
      </w:r>
      <w:r>
        <w:rPr>
          <w:color w:val="0C5D86"/>
          <w:sz w:val="16"/>
        </w:rPr>
        <w:t>Bureau</w:t>
      </w:r>
      <w:r>
        <w:rPr>
          <w:color w:val="0C5D86"/>
          <w:spacing w:val="-10"/>
          <w:sz w:val="16"/>
        </w:rPr>
        <w:t> </w:t>
      </w:r>
      <w:r>
        <w:rPr>
          <w:color w:val="0C5D86"/>
          <w:sz w:val="16"/>
        </w:rPr>
        <w:t>of</w:t>
      </w:r>
      <w:r>
        <w:rPr>
          <w:color w:val="0C5D86"/>
          <w:spacing w:val="-10"/>
          <w:sz w:val="16"/>
        </w:rPr>
        <w:t> </w:t>
      </w:r>
      <w:r>
        <w:rPr>
          <w:color w:val="0C5D86"/>
          <w:sz w:val="16"/>
        </w:rPr>
        <w:t>Chronic</w:t>
      </w:r>
      <w:r>
        <w:rPr>
          <w:color w:val="0C5D86"/>
          <w:spacing w:val="-10"/>
          <w:sz w:val="16"/>
        </w:rPr>
        <w:t> </w:t>
      </w:r>
      <w:r>
        <w:rPr>
          <w:color w:val="0C5D86"/>
          <w:sz w:val="16"/>
        </w:rPr>
        <w:t>Evaluation</w:t>
      </w:r>
      <w:r>
        <w:rPr>
          <w:color w:val="0C5D86"/>
          <w:spacing w:val="-10"/>
          <w:sz w:val="16"/>
        </w:rPr>
        <w:t> </w:t>
      </w:r>
      <w:r>
        <w:rPr>
          <w:color w:val="0C5D86"/>
          <w:sz w:val="16"/>
        </w:rPr>
        <w:t>and</w:t>
      </w:r>
      <w:r>
        <w:rPr>
          <w:color w:val="0C5D86"/>
          <w:spacing w:val="-10"/>
          <w:sz w:val="16"/>
        </w:rPr>
        <w:t> </w:t>
      </w:r>
      <w:r>
        <w:rPr>
          <w:color w:val="0C5D86"/>
          <w:sz w:val="16"/>
        </w:rPr>
        <w:t>Research,</w:t>
      </w:r>
      <w:r>
        <w:rPr>
          <w:color w:val="0C5D86"/>
          <w:spacing w:val="-10"/>
          <w:sz w:val="16"/>
        </w:rPr>
        <w:t> </w:t>
      </w:r>
      <w:r>
        <w:rPr>
          <w:color w:val="0C5D86"/>
          <w:sz w:val="16"/>
        </w:rPr>
        <w:t>New</w:t>
      </w:r>
      <w:r>
        <w:rPr>
          <w:color w:val="0C5D86"/>
          <w:spacing w:val="-10"/>
          <w:sz w:val="16"/>
        </w:rPr>
        <w:t> </w:t>
      </w:r>
      <w:r>
        <w:rPr>
          <w:color w:val="0C5D86"/>
          <w:sz w:val="16"/>
        </w:rPr>
        <w:t>York</w:t>
      </w:r>
      <w:r>
        <w:rPr>
          <w:color w:val="0C5D86"/>
          <w:spacing w:val="-10"/>
          <w:sz w:val="16"/>
        </w:rPr>
        <w:t> </w:t>
      </w:r>
      <w:r>
        <w:rPr>
          <w:color w:val="0C5D86"/>
          <w:sz w:val="16"/>
        </w:rPr>
        <w:t>State</w:t>
      </w:r>
      <w:r>
        <w:rPr>
          <w:color w:val="0C5D86"/>
          <w:spacing w:val="-10"/>
          <w:sz w:val="16"/>
        </w:rPr>
        <w:t> </w:t>
      </w:r>
      <w:r>
        <w:rPr>
          <w:color w:val="0C5D86"/>
          <w:sz w:val="16"/>
        </w:rPr>
        <w:t>Department</w:t>
      </w:r>
      <w:r>
        <w:rPr>
          <w:color w:val="0C5D86"/>
          <w:spacing w:val="-10"/>
          <w:sz w:val="16"/>
        </w:rPr>
        <w:t> </w:t>
      </w:r>
      <w:r>
        <w:rPr>
          <w:color w:val="0C5D86"/>
          <w:sz w:val="16"/>
        </w:rPr>
        <w:t>of</w:t>
      </w:r>
      <w:r>
        <w:rPr>
          <w:color w:val="0C5D86"/>
          <w:spacing w:val="-10"/>
          <w:sz w:val="16"/>
        </w:rPr>
        <w:t> </w:t>
      </w:r>
      <w:r>
        <w:rPr>
          <w:color w:val="0C5D86"/>
          <w:sz w:val="16"/>
        </w:rPr>
        <w:t>Health, Behavioral</w:t>
      </w:r>
      <w:r>
        <w:rPr>
          <w:color w:val="0C5D86"/>
          <w:spacing w:val="-3"/>
          <w:sz w:val="16"/>
        </w:rPr>
        <w:t> </w:t>
      </w:r>
      <w:r>
        <w:rPr>
          <w:color w:val="0C5D86"/>
          <w:sz w:val="16"/>
        </w:rPr>
        <w:t>Risk</w:t>
      </w:r>
      <w:r>
        <w:rPr>
          <w:color w:val="0C5D86"/>
          <w:spacing w:val="-3"/>
          <w:sz w:val="16"/>
        </w:rPr>
        <w:t> </w:t>
      </w:r>
      <w:r>
        <w:rPr>
          <w:color w:val="0C5D86"/>
          <w:sz w:val="16"/>
        </w:rPr>
        <w:t>Factor</w:t>
      </w:r>
      <w:r>
        <w:rPr>
          <w:color w:val="0C5D86"/>
          <w:spacing w:val="-3"/>
          <w:sz w:val="16"/>
        </w:rPr>
        <w:t> </w:t>
      </w:r>
      <w:r>
        <w:rPr>
          <w:color w:val="0C5D86"/>
          <w:sz w:val="16"/>
        </w:rPr>
        <w:t>Surveillance</w:t>
      </w:r>
      <w:r>
        <w:rPr>
          <w:color w:val="0C5D86"/>
          <w:spacing w:val="-3"/>
          <w:sz w:val="16"/>
        </w:rPr>
        <w:t> </w:t>
      </w:r>
      <w:r>
        <w:rPr>
          <w:color w:val="0C5D86"/>
          <w:sz w:val="16"/>
        </w:rPr>
        <w:t>System,</w:t>
      </w:r>
      <w:r>
        <w:rPr>
          <w:color w:val="0C5D86"/>
          <w:spacing w:val="-3"/>
          <w:sz w:val="16"/>
        </w:rPr>
        <w:t> </w:t>
      </w:r>
      <w:r>
        <w:rPr>
          <w:color w:val="0C5D86"/>
          <w:sz w:val="16"/>
        </w:rPr>
        <w:t>Year</w:t>
      </w:r>
      <w:r>
        <w:rPr>
          <w:color w:val="0C5D86"/>
          <w:spacing w:val="-3"/>
          <w:sz w:val="16"/>
        </w:rPr>
        <w:t> </w:t>
      </w:r>
      <w:r>
        <w:rPr>
          <w:color w:val="0C5D86"/>
          <w:sz w:val="16"/>
        </w:rPr>
        <w:t>2016.</w:t>
      </w:r>
      <w:r>
        <w:rPr>
          <w:color w:val="0C5D86"/>
          <w:spacing w:val="-3"/>
          <w:sz w:val="16"/>
        </w:rPr>
        <w:t> </w:t>
      </w:r>
      <w:r>
        <w:rPr>
          <w:color w:val="0C5D86"/>
          <w:sz w:val="16"/>
        </w:rPr>
        <w:t>Analysis</w:t>
      </w:r>
      <w:r>
        <w:rPr>
          <w:color w:val="0C5D86"/>
          <w:spacing w:val="-3"/>
          <w:sz w:val="16"/>
        </w:rPr>
        <w:t> </w:t>
      </w:r>
      <w:r>
        <w:rPr>
          <w:color w:val="0C5D86"/>
          <w:sz w:val="16"/>
        </w:rPr>
        <w:t>Completed</w:t>
      </w:r>
      <w:r>
        <w:rPr>
          <w:color w:val="0C5D86"/>
          <w:spacing w:val="-3"/>
          <w:sz w:val="16"/>
        </w:rPr>
        <w:t> </w:t>
      </w:r>
      <w:r>
        <w:rPr>
          <w:color w:val="0C5D86"/>
          <w:sz w:val="16"/>
        </w:rPr>
        <w:t>by</w:t>
      </w:r>
      <w:r>
        <w:rPr>
          <w:color w:val="0C5D86"/>
          <w:spacing w:val="-3"/>
          <w:sz w:val="16"/>
        </w:rPr>
        <w:t> </w:t>
      </w:r>
      <w:r>
        <w:rPr>
          <w:color w:val="0C5D86"/>
          <w:sz w:val="16"/>
        </w:rPr>
        <w:t>Common</w:t>
      </w:r>
      <w:r>
        <w:rPr>
          <w:color w:val="0C5D86"/>
          <w:spacing w:val="-3"/>
          <w:sz w:val="16"/>
        </w:rPr>
        <w:t> </w:t>
      </w:r>
      <w:r>
        <w:rPr>
          <w:color w:val="0C5D86"/>
          <w:sz w:val="16"/>
        </w:rPr>
        <w:t>Ground</w:t>
      </w:r>
      <w:r>
        <w:rPr>
          <w:color w:val="0C5D86"/>
          <w:spacing w:val="-3"/>
          <w:sz w:val="16"/>
        </w:rPr>
        <w:t> </w:t>
      </w:r>
      <w:r>
        <w:rPr>
          <w:color w:val="0C5D86"/>
          <w:sz w:val="16"/>
        </w:rPr>
        <w:t>Health.</w:t>
      </w:r>
      <w:r>
        <w:rPr>
          <w:color w:val="0C5D86"/>
          <w:spacing w:val="-3"/>
          <w:sz w:val="16"/>
        </w:rPr>
        <w:t> </w:t>
      </w:r>
      <w:r>
        <w:rPr>
          <w:color w:val="0C5D86"/>
          <w:sz w:val="16"/>
        </w:rPr>
        <w:t>*low</w:t>
      </w:r>
      <w:r>
        <w:rPr>
          <w:color w:val="0C5D86"/>
          <w:spacing w:val="-3"/>
          <w:sz w:val="16"/>
        </w:rPr>
        <w:t> </w:t>
      </w:r>
      <w:r>
        <w:rPr>
          <w:color w:val="0C5D86"/>
          <w:sz w:val="16"/>
        </w:rPr>
        <w:t>income</w:t>
      </w:r>
      <w:r>
        <w:rPr>
          <w:color w:val="0C5D86"/>
          <w:spacing w:val="-3"/>
          <w:sz w:val="16"/>
        </w:rPr>
        <w:t> </w:t>
      </w:r>
      <w:r>
        <w:rPr>
          <w:color w:val="0C5D86"/>
          <w:sz w:val="16"/>
        </w:rPr>
        <w:t>data</w:t>
      </w:r>
      <w:r>
        <w:rPr>
          <w:color w:val="0C5D86"/>
          <w:spacing w:val="-3"/>
          <w:sz w:val="16"/>
        </w:rPr>
        <w:t> </w:t>
      </w:r>
      <w:r>
        <w:rPr>
          <w:color w:val="0C5D86"/>
          <w:sz w:val="16"/>
        </w:rPr>
        <w:t>from</w:t>
      </w:r>
      <w:r>
        <w:rPr>
          <w:color w:val="0C5D86"/>
          <w:spacing w:val="-3"/>
          <w:sz w:val="16"/>
        </w:rPr>
        <w:t> </w:t>
      </w:r>
      <w:r>
        <w:rPr>
          <w:color w:val="0C5D86"/>
          <w:sz w:val="16"/>
        </w:rPr>
        <w:t>2013-2014 Behavioral Risk Factor Surveillance System</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46"/>
        <w:rPr>
          <w:sz w:val="16"/>
        </w:rPr>
      </w:pPr>
    </w:p>
    <w:p>
      <w:pPr>
        <w:spacing w:before="0"/>
        <w:ind w:left="0" w:right="0" w:firstLine="0"/>
        <w:jc w:val="left"/>
        <w:rPr>
          <w:b/>
          <w:sz w:val="26"/>
        </w:rPr>
      </w:pPr>
      <w:r>
        <w:rPr>
          <w:position w:val="-4"/>
        </w:rPr>
        <w:drawing>
          <wp:inline distT="0" distB="0" distL="0" distR="0">
            <wp:extent cx="568172" cy="184683"/>
            <wp:effectExtent l="0" t="0" r="0" b="0"/>
            <wp:docPr id="1022" name="Image 1022"/>
            <wp:cNvGraphicFramePr>
              <a:graphicFrameLocks/>
            </wp:cNvGraphicFramePr>
            <a:graphic>
              <a:graphicData uri="http://schemas.openxmlformats.org/drawingml/2006/picture">
                <pic:pic>
                  <pic:nvPicPr>
                    <pic:cNvPr id="1022" name="Image 1022"/>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80"/>
          <w:w w:val="105"/>
          <w:sz w:val="20"/>
        </w:rPr>
        <w:t> </w:t>
      </w:r>
      <w:r>
        <w:rPr>
          <w:b/>
          <w:color w:val="939598"/>
          <w:w w:val="105"/>
          <w:sz w:val="26"/>
        </w:rPr>
        <w:t>71</w:t>
      </w:r>
    </w:p>
    <w:p>
      <w:pPr>
        <w:spacing w:before="185"/>
        <w:ind w:left="808" w:right="0" w:firstLine="0"/>
        <w:jc w:val="left"/>
        <w:rPr>
          <w:sz w:val="18"/>
        </w:rPr>
      </w:pPr>
      <w:r>
        <w:rPr/>
        <w:br w:type="column"/>
      </w:r>
      <w:r>
        <w:rPr>
          <w:color w:val="105C84"/>
          <w:sz w:val="18"/>
        </w:rPr>
        <w:t>Source:</w:t>
      </w:r>
      <w:r>
        <w:rPr>
          <w:color w:val="105C84"/>
          <w:spacing w:val="-12"/>
          <w:sz w:val="18"/>
        </w:rPr>
        <w:t> </w:t>
      </w:r>
      <w:r>
        <w:rPr>
          <w:color w:val="105C84"/>
          <w:sz w:val="18"/>
        </w:rPr>
        <w:t>Schuyler</w:t>
      </w:r>
      <w:r>
        <w:rPr>
          <w:color w:val="105C84"/>
          <w:spacing w:val="-12"/>
          <w:sz w:val="18"/>
        </w:rPr>
        <w:t> </w:t>
      </w:r>
      <w:r>
        <w:rPr>
          <w:color w:val="105C84"/>
          <w:sz w:val="18"/>
        </w:rPr>
        <w:t>County</w:t>
      </w:r>
      <w:r>
        <w:rPr>
          <w:color w:val="105C84"/>
          <w:spacing w:val="-12"/>
          <w:sz w:val="18"/>
        </w:rPr>
        <w:t> </w:t>
      </w:r>
      <w:r>
        <w:rPr>
          <w:color w:val="105C84"/>
          <w:sz w:val="18"/>
        </w:rPr>
        <w:t>Mental</w:t>
      </w:r>
      <w:r>
        <w:rPr>
          <w:color w:val="105C84"/>
          <w:spacing w:val="-11"/>
          <w:sz w:val="18"/>
        </w:rPr>
        <w:t> </w:t>
      </w:r>
      <w:r>
        <w:rPr>
          <w:color w:val="105C84"/>
          <w:spacing w:val="-2"/>
          <w:sz w:val="18"/>
        </w:rPr>
        <w:t>Health</w:t>
      </w:r>
    </w:p>
    <w:p>
      <w:pPr>
        <w:pStyle w:val="BodyText"/>
        <w:rPr>
          <w:sz w:val="18"/>
        </w:rPr>
      </w:pPr>
    </w:p>
    <w:p>
      <w:pPr>
        <w:pStyle w:val="BodyText"/>
        <w:spacing w:before="121"/>
        <w:rPr>
          <w:sz w:val="18"/>
        </w:rPr>
      </w:pPr>
    </w:p>
    <w:p>
      <w:pPr>
        <w:pStyle w:val="Heading6"/>
        <w:spacing w:before="1"/>
        <w:ind w:left="0"/>
      </w:pPr>
      <w:r>
        <w:rPr>
          <w:color w:val="105C84"/>
          <w:spacing w:val="-6"/>
        </w:rPr>
        <w:t>Policy</w:t>
      </w:r>
      <w:r>
        <w:rPr>
          <w:color w:val="105C84"/>
          <w:spacing w:val="-8"/>
        </w:rPr>
        <w:t> </w:t>
      </w:r>
      <w:r>
        <w:rPr>
          <w:color w:val="105C84"/>
          <w:spacing w:val="-6"/>
        </w:rPr>
        <w:t>and</w:t>
      </w:r>
      <w:r>
        <w:rPr>
          <w:color w:val="105C84"/>
          <w:spacing w:val="-8"/>
        </w:rPr>
        <w:t> </w:t>
      </w:r>
      <w:r>
        <w:rPr>
          <w:color w:val="105C84"/>
          <w:spacing w:val="-6"/>
        </w:rPr>
        <w:t>Environmental</w:t>
      </w:r>
      <w:r>
        <w:rPr>
          <w:color w:val="105C84"/>
          <w:spacing w:val="-8"/>
        </w:rPr>
        <w:t> </w:t>
      </w:r>
      <w:r>
        <w:rPr>
          <w:color w:val="105C84"/>
          <w:spacing w:val="-6"/>
        </w:rPr>
        <w:t>Factors</w:t>
      </w:r>
    </w:p>
    <w:p>
      <w:pPr>
        <w:pStyle w:val="BodyText"/>
        <w:spacing w:line="247" w:lineRule="auto" w:before="268"/>
        <w:ind w:right="738"/>
      </w:pPr>
      <w:r>
        <w:rPr>
          <w:color w:val="105C84"/>
        </w:rPr>
        <w:t>Schuyler County’s political and physical environment play a role in resident health. Local residents and tourists are encouraged to make healthier decisions when visiting Schuyler County. Local restaurants</w:t>
      </w:r>
      <w:r>
        <w:rPr>
          <w:color w:val="105C84"/>
          <w:spacing w:val="26"/>
        </w:rPr>
        <w:t> </w:t>
      </w:r>
      <w:r>
        <w:rPr>
          <w:color w:val="105C84"/>
        </w:rPr>
        <w:t>have</w:t>
      </w:r>
      <w:r>
        <w:rPr>
          <w:color w:val="105C84"/>
          <w:spacing w:val="26"/>
        </w:rPr>
        <w:t> </w:t>
      </w:r>
      <w:r>
        <w:rPr>
          <w:color w:val="105C84"/>
        </w:rPr>
        <w:t>the</w:t>
      </w:r>
      <w:r>
        <w:rPr>
          <w:color w:val="105C84"/>
          <w:spacing w:val="26"/>
        </w:rPr>
        <w:t> </w:t>
      </w:r>
      <w:r>
        <w:rPr>
          <w:color w:val="105C84"/>
        </w:rPr>
        <w:t>option</w:t>
      </w:r>
      <w:r>
        <w:rPr>
          <w:color w:val="105C84"/>
          <w:spacing w:val="26"/>
        </w:rPr>
        <w:t> </w:t>
      </w:r>
      <w:r>
        <w:rPr>
          <w:color w:val="105C84"/>
        </w:rPr>
        <w:t>to</w:t>
      </w:r>
      <w:r>
        <w:rPr>
          <w:color w:val="105C84"/>
          <w:spacing w:val="26"/>
        </w:rPr>
        <w:t> </w:t>
      </w:r>
      <w:r>
        <w:rPr>
          <w:color w:val="105C84"/>
        </w:rPr>
        <w:t>engage</w:t>
      </w:r>
      <w:r>
        <w:rPr>
          <w:color w:val="105C84"/>
          <w:spacing w:val="26"/>
        </w:rPr>
        <w:t> </w:t>
      </w:r>
      <w:r>
        <w:rPr>
          <w:color w:val="105C84"/>
        </w:rPr>
        <w:t>in</w:t>
      </w:r>
      <w:r>
        <w:rPr>
          <w:color w:val="105C84"/>
          <w:spacing w:val="26"/>
        </w:rPr>
        <w:t> </w:t>
      </w:r>
      <w:r>
        <w:rPr>
          <w:color w:val="105C84"/>
        </w:rPr>
        <w:t>a</w:t>
      </w:r>
      <w:r>
        <w:rPr>
          <w:color w:val="105C84"/>
          <w:spacing w:val="26"/>
        </w:rPr>
        <w:t> </w:t>
      </w:r>
      <w:r>
        <w:rPr>
          <w:color w:val="105C84"/>
        </w:rPr>
        <w:t>voluntary</w:t>
      </w:r>
      <w:r>
        <w:rPr>
          <w:color w:val="105C84"/>
          <w:spacing w:val="26"/>
        </w:rPr>
        <w:t> </w:t>
      </w:r>
      <w:r>
        <w:rPr>
          <w:color w:val="105C84"/>
        </w:rPr>
        <w:t>food</w:t>
      </w:r>
      <w:r>
        <w:rPr>
          <w:color w:val="105C84"/>
          <w:spacing w:val="26"/>
        </w:rPr>
        <w:t> </w:t>
      </w:r>
      <w:r>
        <w:rPr>
          <w:color w:val="105C84"/>
        </w:rPr>
        <w:t>standard</w:t>
      </w:r>
      <w:r>
        <w:rPr>
          <w:color w:val="105C84"/>
          <w:spacing w:val="26"/>
        </w:rPr>
        <w:t> </w:t>
      </w:r>
      <w:r>
        <w:rPr>
          <w:color w:val="105C84"/>
        </w:rPr>
        <w:t>program</w:t>
      </w:r>
      <w:r>
        <w:rPr>
          <w:color w:val="105C84"/>
          <w:spacing w:val="26"/>
        </w:rPr>
        <w:t> </w:t>
      </w:r>
      <w:r>
        <w:rPr>
          <w:color w:val="105C84"/>
        </w:rPr>
        <w:t>(Choose</w:t>
      </w:r>
      <w:r>
        <w:rPr>
          <w:color w:val="105C84"/>
          <w:spacing w:val="26"/>
        </w:rPr>
        <w:t> </w:t>
      </w:r>
      <w:r>
        <w:rPr>
          <w:color w:val="105C84"/>
        </w:rPr>
        <w:t>HEALth) that helps to encourage healthy and tasty meals for patrons. A total of 8 restaurants in the</w:t>
      </w:r>
    </w:p>
    <w:p>
      <w:pPr>
        <w:pStyle w:val="BodyText"/>
        <w:spacing w:line="247" w:lineRule="auto"/>
      </w:pPr>
      <w:r>
        <w:rPr>
          <w:color w:val="105C84"/>
        </w:rPr>
        <w:t>county participated in the program in 2018. For the first two quarters of 2019, 9 restaurants have </w:t>
      </w:r>
      <w:r>
        <w:rPr>
          <w:color w:val="105C84"/>
          <w:spacing w:val="-2"/>
        </w:rPr>
        <w:t>participated.</w:t>
      </w:r>
    </w:p>
    <w:p>
      <w:pPr>
        <w:pStyle w:val="BodyText"/>
        <w:spacing w:line="247" w:lineRule="auto" w:before="177"/>
        <w:ind w:right="755"/>
      </w:pPr>
      <w:r>
        <w:rPr>
          <w:color w:val="105C84"/>
        </w:rPr>
        <w:t>The local environment is also supportive of physical activity engagement. During the summer months, the county is bustling with tourists and local residents taking advantage of its beautiful</w:t>
      </w:r>
      <w:r>
        <w:rPr>
          <w:color w:val="105C84"/>
          <w:spacing w:val="40"/>
        </w:rPr>
        <w:t> </w:t>
      </w:r>
      <w:r>
        <w:rPr>
          <w:color w:val="105C84"/>
        </w:rPr>
        <w:t>scenery. Watkins Glen State Park is a popular attraction as well as the Finger Lakes National Forest and local county, town and village parks. Seneca Lake intersects the center of Schuyler County.</w:t>
      </w:r>
      <w:r>
        <w:rPr>
          <w:color w:val="105C84"/>
          <w:spacing w:val="40"/>
        </w:rPr>
        <w:t> </w:t>
      </w:r>
      <w:r>
        <w:rPr>
          <w:color w:val="105C84"/>
        </w:rPr>
        <w:t>Waterfront</w:t>
      </w:r>
      <w:r>
        <w:rPr>
          <w:color w:val="105C84"/>
          <w:spacing w:val="40"/>
        </w:rPr>
        <w:t> </w:t>
      </w:r>
      <w:r>
        <w:rPr>
          <w:color w:val="105C84"/>
        </w:rPr>
        <w:t>redevelopment</w:t>
      </w:r>
      <w:r>
        <w:rPr>
          <w:color w:val="105C84"/>
          <w:spacing w:val="40"/>
        </w:rPr>
        <w:t> </w:t>
      </w:r>
      <w:r>
        <w:rPr>
          <w:color w:val="105C84"/>
        </w:rPr>
        <w:t>projects</w:t>
      </w:r>
      <w:r>
        <w:rPr>
          <w:color w:val="105C84"/>
          <w:spacing w:val="40"/>
        </w:rPr>
        <w:t> </w:t>
      </w:r>
      <w:r>
        <w:rPr>
          <w:color w:val="105C84"/>
        </w:rPr>
        <w:t>will</w:t>
      </w:r>
      <w:r>
        <w:rPr>
          <w:color w:val="105C84"/>
          <w:spacing w:val="40"/>
        </w:rPr>
        <w:t> </w:t>
      </w:r>
      <w:r>
        <w:rPr>
          <w:color w:val="105C84"/>
        </w:rPr>
        <w:t>help</w:t>
      </w:r>
      <w:r>
        <w:rPr>
          <w:color w:val="105C84"/>
          <w:spacing w:val="40"/>
        </w:rPr>
        <w:t> </w:t>
      </w:r>
      <w:r>
        <w:rPr>
          <w:color w:val="105C84"/>
        </w:rPr>
        <w:t>to</w:t>
      </w:r>
      <w:r>
        <w:rPr>
          <w:color w:val="105C84"/>
          <w:spacing w:val="40"/>
        </w:rPr>
        <w:t> </w:t>
      </w:r>
      <w:r>
        <w:rPr>
          <w:color w:val="105C84"/>
        </w:rPr>
        <w:t>increase</w:t>
      </w:r>
      <w:r>
        <w:rPr>
          <w:color w:val="105C84"/>
          <w:spacing w:val="40"/>
        </w:rPr>
        <w:t> </w:t>
      </w:r>
      <w:r>
        <w:rPr>
          <w:color w:val="105C84"/>
        </w:rPr>
        <w:t>physical</w:t>
      </w:r>
      <w:r>
        <w:rPr>
          <w:color w:val="105C84"/>
          <w:spacing w:val="40"/>
        </w:rPr>
        <w:t> </w:t>
      </w:r>
      <w:r>
        <w:rPr>
          <w:color w:val="105C84"/>
        </w:rPr>
        <w:t>activity</w:t>
      </w:r>
      <w:r>
        <w:rPr>
          <w:color w:val="105C84"/>
          <w:spacing w:val="40"/>
        </w:rPr>
        <w:t> </w:t>
      </w:r>
      <w:r>
        <w:rPr>
          <w:color w:val="105C84"/>
        </w:rPr>
        <w:t>opportunities and accessibility for seniors, veterans and handicapped patrons. A recently awarded downtown revitalization</w:t>
      </w:r>
      <w:r>
        <w:rPr>
          <w:color w:val="105C84"/>
          <w:spacing w:val="13"/>
        </w:rPr>
        <w:t> </w:t>
      </w:r>
      <w:r>
        <w:rPr>
          <w:color w:val="105C84"/>
        </w:rPr>
        <w:t>grant</w:t>
      </w:r>
      <w:r>
        <w:rPr>
          <w:color w:val="105C84"/>
          <w:spacing w:val="13"/>
        </w:rPr>
        <w:t> </w:t>
      </w:r>
      <w:r>
        <w:rPr>
          <w:color w:val="105C84"/>
        </w:rPr>
        <w:t>in</w:t>
      </w:r>
      <w:r>
        <w:rPr>
          <w:color w:val="105C84"/>
          <w:spacing w:val="13"/>
        </w:rPr>
        <w:t> </w:t>
      </w:r>
      <w:r>
        <w:rPr>
          <w:color w:val="105C84"/>
        </w:rPr>
        <w:t>the</w:t>
      </w:r>
      <w:r>
        <w:rPr>
          <w:color w:val="105C84"/>
          <w:spacing w:val="13"/>
        </w:rPr>
        <w:t> </w:t>
      </w:r>
      <w:r>
        <w:rPr>
          <w:color w:val="105C84"/>
        </w:rPr>
        <w:t>Village</w:t>
      </w:r>
      <w:r>
        <w:rPr>
          <w:color w:val="105C84"/>
          <w:spacing w:val="13"/>
        </w:rPr>
        <w:t> </w:t>
      </w:r>
      <w:r>
        <w:rPr>
          <w:color w:val="105C84"/>
        </w:rPr>
        <w:t>of</w:t>
      </w:r>
      <w:r>
        <w:rPr>
          <w:color w:val="105C84"/>
          <w:spacing w:val="13"/>
        </w:rPr>
        <w:t> </w:t>
      </w:r>
      <w:r>
        <w:rPr>
          <w:color w:val="105C84"/>
        </w:rPr>
        <w:t>Watkins</w:t>
      </w:r>
      <w:r>
        <w:rPr>
          <w:color w:val="105C84"/>
          <w:spacing w:val="13"/>
        </w:rPr>
        <w:t> </w:t>
      </w:r>
      <w:r>
        <w:rPr>
          <w:color w:val="105C84"/>
        </w:rPr>
        <w:t>Glen</w:t>
      </w:r>
      <w:r>
        <w:rPr>
          <w:color w:val="105C84"/>
          <w:spacing w:val="13"/>
        </w:rPr>
        <w:t> </w:t>
      </w:r>
      <w:r>
        <w:rPr>
          <w:color w:val="105C84"/>
        </w:rPr>
        <w:t>will</w:t>
      </w:r>
      <w:r>
        <w:rPr>
          <w:color w:val="105C84"/>
          <w:spacing w:val="13"/>
        </w:rPr>
        <w:t> </w:t>
      </w:r>
      <w:r>
        <w:rPr>
          <w:color w:val="105C84"/>
        </w:rPr>
        <w:t>help</w:t>
      </w:r>
      <w:r>
        <w:rPr>
          <w:color w:val="105C84"/>
          <w:spacing w:val="13"/>
        </w:rPr>
        <w:t> </w:t>
      </w:r>
      <w:r>
        <w:rPr>
          <w:color w:val="105C84"/>
        </w:rPr>
        <w:t>to</w:t>
      </w:r>
      <w:r>
        <w:rPr>
          <w:color w:val="105C84"/>
          <w:spacing w:val="13"/>
        </w:rPr>
        <w:t> </w:t>
      </w:r>
      <w:r>
        <w:rPr>
          <w:color w:val="105C84"/>
        </w:rPr>
        <w:t>create</w:t>
      </w:r>
      <w:r>
        <w:rPr>
          <w:color w:val="105C84"/>
          <w:spacing w:val="13"/>
        </w:rPr>
        <w:t> </w:t>
      </w:r>
      <w:r>
        <w:rPr>
          <w:color w:val="105C84"/>
        </w:rPr>
        <w:t>a</w:t>
      </w:r>
      <w:r>
        <w:rPr>
          <w:color w:val="105C84"/>
          <w:spacing w:val="13"/>
        </w:rPr>
        <w:t> </w:t>
      </w:r>
      <w:r>
        <w:rPr>
          <w:color w:val="105C84"/>
        </w:rPr>
        <w:t>sustainable</w:t>
      </w:r>
      <w:r>
        <w:rPr>
          <w:color w:val="105C84"/>
          <w:spacing w:val="13"/>
        </w:rPr>
        <w:t> </w:t>
      </w:r>
      <w:r>
        <w:rPr>
          <w:color w:val="105C84"/>
        </w:rPr>
        <w:t>environment</w:t>
      </w:r>
      <w:r>
        <w:rPr>
          <w:color w:val="105C84"/>
          <w:spacing w:val="13"/>
        </w:rPr>
        <w:t> </w:t>
      </w:r>
      <w:r>
        <w:rPr>
          <w:color w:val="105C84"/>
        </w:rPr>
        <w:t>for</w:t>
      </w:r>
    </w:p>
    <w:p>
      <w:pPr>
        <w:pStyle w:val="BodyText"/>
        <w:spacing w:line="247" w:lineRule="auto"/>
        <w:ind w:right="441"/>
      </w:pPr>
      <w:r>
        <w:rPr>
          <w:color w:val="105C84"/>
        </w:rPr>
        <w:t>year-round innovation and a prosperous economy. All of these things and more help to boost overall</w:t>
      </w:r>
      <w:r>
        <w:rPr>
          <w:color w:val="105C84"/>
          <w:spacing w:val="40"/>
        </w:rPr>
        <w:t> </w:t>
      </w:r>
      <w:r>
        <w:rPr>
          <w:color w:val="105C84"/>
        </w:rPr>
        <w:t>well-being in the community.</w:t>
      </w:r>
    </w:p>
    <w:p>
      <w:pPr>
        <w:pStyle w:val="Heading6"/>
        <w:spacing w:before="32"/>
        <w:ind w:left="9812"/>
      </w:pPr>
      <w:r>
        <w:rPr>
          <w:color w:val="939598"/>
          <w:spacing w:val="-5"/>
          <w:w w:val="105"/>
        </w:rPr>
        <w:t>72</w:t>
      </w:r>
    </w:p>
    <w:p>
      <w:pPr>
        <w:pStyle w:val="Heading6"/>
        <w:spacing w:after="0"/>
        <w:sectPr>
          <w:type w:val="continuous"/>
          <w:pgSz w:w="24480" w:h="15840" w:orient="landscape"/>
          <w:pgMar w:header="0" w:footer="0" w:top="0" w:bottom="280" w:left="0" w:right="720"/>
          <w:cols w:num="2" w:equalWidth="0">
            <w:col w:w="11064" w:space="2271"/>
            <w:col w:w="10425"/>
          </w:cols>
        </w:sectPr>
      </w:pPr>
    </w:p>
    <w:p>
      <w:pPr>
        <w:pStyle w:val="BodyText"/>
        <w:rPr>
          <w:b/>
          <w:sz w:val="20"/>
        </w:rPr>
      </w:pPr>
    </w:p>
    <w:p>
      <w:pPr>
        <w:pStyle w:val="BodyText"/>
        <w:spacing w:before="16"/>
        <w:rPr>
          <w:b/>
          <w:sz w:val="20"/>
        </w:rPr>
      </w:pPr>
    </w:p>
    <w:p>
      <w:pPr>
        <w:pStyle w:val="BodyText"/>
        <w:spacing w:after="0"/>
        <w:rPr>
          <w:b/>
          <w:sz w:val="20"/>
        </w:rPr>
        <w:sectPr>
          <w:pgSz w:w="24480" w:h="15840" w:orient="landscape"/>
          <w:pgMar w:header="0" w:footer="0" w:top="860" w:bottom="0" w:left="0" w:right="720"/>
        </w:sectPr>
      </w:pPr>
    </w:p>
    <w:p>
      <w:pPr>
        <w:pStyle w:val="BodyText"/>
        <w:spacing w:line="247" w:lineRule="auto" w:before="113"/>
        <w:ind w:left="1080"/>
      </w:pPr>
      <w:r>
        <w:rPr>
          <w:color w:val="105C84"/>
        </w:rPr>
        <w:t>Transportation, however, is a significant issue that impacts many residents of Schuyler County in a negative way. In fact, the location affordability index in the 2015 Schuyler County Comprehensive Plan shows</w:t>
      </w:r>
      <w:r>
        <w:rPr>
          <w:color w:val="105C84"/>
          <w:spacing w:val="27"/>
        </w:rPr>
        <w:t> </w:t>
      </w:r>
      <w:r>
        <w:rPr>
          <w:color w:val="105C84"/>
        </w:rPr>
        <w:t>that</w:t>
      </w:r>
      <w:r>
        <w:rPr>
          <w:color w:val="105C84"/>
          <w:spacing w:val="27"/>
        </w:rPr>
        <w:t> </w:t>
      </w:r>
      <w:r>
        <w:rPr>
          <w:color w:val="105C84"/>
        </w:rPr>
        <w:t>housing</w:t>
      </w:r>
      <w:r>
        <w:rPr>
          <w:color w:val="105C84"/>
          <w:spacing w:val="27"/>
        </w:rPr>
        <w:t> </w:t>
      </w:r>
      <w:r>
        <w:rPr>
          <w:color w:val="105C84"/>
        </w:rPr>
        <w:t>and</w:t>
      </w:r>
      <w:r>
        <w:rPr>
          <w:color w:val="105C84"/>
          <w:spacing w:val="27"/>
        </w:rPr>
        <w:t> </w:t>
      </w:r>
      <w:r>
        <w:rPr>
          <w:color w:val="105C84"/>
        </w:rPr>
        <w:t>transportation</w:t>
      </w:r>
      <w:r>
        <w:rPr>
          <w:color w:val="105C84"/>
          <w:spacing w:val="27"/>
        </w:rPr>
        <w:t> </w:t>
      </w:r>
      <w:r>
        <w:rPr>
          <w:color w:val="105C84"/>
        </w:rPr>
        <w:t>costs</w:t>
      </w:r>
      <w:r>
        <w:rPr>
          <w:color w:val="105C84"/>
          <w:spacing w:val="27"/>
        </w:rPr>
        <w:t> </w:t>
      </w:r>
      <w:r>
        <w:rPr>
          <w:color w:val="105C84"/>
        </w:rPr>
        <w:t>add</w:t>
      </w:r>
      <w:r>
        <w:rPr>
          <w:color w:val="105C84"/>
          <w:spacing w:val="27"/>
        </w:rPr>
        <w:t> </w:t>
      </w:r>
      <w:r>
        <w:rPr>
          <w:color w:val="105C84"/>
        </w:rPr>
        <w:t>up</w:t>
      </w:r>
      <w:r>
        <w:rPr>
          <w:color w:val="105C84"/>
          <w:spacing w:val="27"/>
        </w:rPr>
        <w:t> </w:t>
      </w:r>
      <w:r>
        <w:rPr>
          <w:color w:val="105C84"/>
        </w:rPr>
        <w:t>to</w:t>
      </w:r>
      <w:r>
        <w:rPr>
          <w:color w:val="105C84"/>
          <w:spacing w:val="27"/>
        </w:rPr>
        <w:t> </w:t>
      </w:r>
      <w:r>
        <w:rPr>
          <w:color w:val="105C84"/>
        </w:rPr>
        <w:t>about</w:t>
      </w:r>
      <w:r>
        <w:rPr>
          <w:color w:val="105C84"/>
          <w:spacing w:val="27"/>
        </w:rPr>
        <w:t> </w:t>
      </w:r>
      <w:r>
        <w:rPr>
          <w:color w:val="105C84"/>
        </w:rPr>
        <w:t>57%</w:t>
      </w:r>
      <w:r>
        <w:rPr>
          <w:color w:val="105C84"/>
          <w:spacing w:val="27"/>
        </w:rPr>
        <w:t> </w:t>
      </w:r>
      <w:r>
        <w:rPr>
          <w:color w:val="105C84"/>
        </w:rPr>
        <w:t>of</w:t>
      </w:r>
      <w:r>
        <w:rPr>
          <w:color w:val="105C84"/>
          <w:spacing w:val="27"/>
        </w:rPr>
        <w:t> </w:t>
      </w:r>
      <w:r>
        <w:rPr>
          <w:color w:val="105C84"/>
        </w:rPr>
        <w:t>the</w:t>
      </w:r>
      <w:r>
        <w:rPr>
          <w:color w:val="105C84"/>
          <w:spacing w:val="27"/>
        </w:rPr>
        <w:t> </w:t>
      </w:r>
      <w:r>
        <w:rPr>
          <w:color w:val="105C84"/>
        </w:rPr>
        <w:t>median</w:t>
      </w:r>
      <w:r>
        <w:rPr>
          <w:color w:val="105C84"/>
          <w:spacing w:val="27"/>
        </w:rPr>
        <w:t> </w:t>
      </w:r>
      <w:r>
        <w:rPr>
          <w:color w:val="105C84"/>
        </w:rPr>
        <w:t>household</w:t>
      </w:r>
      <w:r>
        <w:rPr>
          <w:color w:val="105C84"/>
          <w:spacing w:val="27"/>
        </w:rPr>
        <w:t> </w:t>
      </w:r>
      <w:r>
        <w:rPr>
          <w:color w:val="105C84"/>
        </w:rPr>
        <w:t>income in</w:t>
      </w:r>
      <w:r>
        <w:rPr>
          <w:color w:val="105C84"/>
          <w:spacing w:val="28"/>
        </w:rPr>
        <w:t> </w:t>
      </w:r>
      <w:r>
        <w:rPr>
          <w:color w:val="105C84"/>
        </w:rPr>
        <w:t>Schuyler</w:t>
      </w:r>
      <w:r>
        <w:rPr>
          <w:color w:val="105C84"/>
          <w:spacing w:val="28"/>
        </w:rPr>
        <w:t> </w:t>
      </w:r>
      <w:r>
        <w:rPr>
          <w:color w:val="105C84"/>
        </w:rPr>
        <w:t>County,</w:t>
      </w:r>
      <w:r>
        <w:rPr>
          <w:color w:val="105C84"/>
          <w:spacing w:val="28"/>
        </w:rPr>
        <w:t> </w:t>
      </w:r>
      <w:r>
        <w:rPr>
          <w:color w:val="105C84"/>
        </w:rPr>
        <w:t>compared</w:t>
      </w:r>
      <w:r>
        <w:rPr>
          <w:color w:val="105C84"/>
          <w:spacing w:val="28"/>
        </w:rPr>
        <w:t> </w:t>
      </w:r>
      <w:r>
        <w:rPr>
          <w:color w:val="105C84"/>
        </w:rPr>
        <w:t>to</w:t>
      </w:r>
      <w:r>
        <w:rPr>
          <w:color w:val="105C84"/>
          <w:spacing w:val="28"/>
        </w:rPr>
        <w:t> </w:t>
      </w:r>
      <w:r>
        <w:rPr>
          <w:color w:val="105C84"/>
        </w:rPr>
        <w:t>the</w:t>
      </w:r>
      <w:r>
        <w:rPr>
          <w:color w:val="105C84"/>
          <w:spacing w:val="28"/>
        </w:rPr>
        <w:t> </w:t>
      </w:r>
      <w:r>
        <w:rPr>
          <w:color w:val="105C84"/>
        </w:rPr>
        <w:t>ideal</w:t>
      </w:r>
      <w:r>
        <w:rPr>
          <w:color w:val="105C84"/>
          <w:spacing w:val="28"/>
        </w:rPr>
        <w:t> </w:t>
      </w:r>
      <w:r>
        <w:rPr>
          <w:color w:val="105C84"/>
        </w:rPr>
        <w:t>of</w:t>
      </w:r>
      <w:r>
        <w:rPr>
          <w:color w:val="105C84"/>
          <w:spacing w:val="28"/>
        </w:rPr>
        <w:t> </w:t>
      </w:r>
      <w:r>
        <w:rPr>
          <w:color w:val="105C84"/>
        </w:rPr>
        <w:t>45%.</w:t>
      </w:r>
      <w:r>
        <w:rPr>
          <w:color w:val="105C84"/>
          <w:spacing w:val="28"/>
        </w:rPr>
        <w:t> </w:t>
      </w:r>
      <w:r>
        <w:rPr>
          <w:color w:val="105C84"/>
        </w:rPr>
        <w:t>Of</w:t>
      </w:r>
      <w:r>
        <w:rPr>
          <w:color w:val="105C84"/>
          <w:spacing w:val="28"/>
        </w:rPr>
        <w:t> </w:t>
      </w:r>
      <w:r>
        <w:rPr>
          <w:color w:val="105C84"/>
        </w:rPr>
        <w:t>note,</w:t>
      </w:r>
      <w:r>
        <w:rPr>
          <w:color w:val="105C84"/>
          <w:spacing w:val="28"/>
        </w:rPr>
        <w:t> </w:t>
      </w:r>
      <w:r>
        <w:rPr>
          <w:color w:val="105C84"/>
        </w:rPr>
        <w:t>affordable</w:t>
      </w:r>
      <w:r>
        <w:rPr>
          <w:color w:val="105C84"/>
          <w:spacing w:val="28"/>
        </w:rPr>
        <w:t> </w:t>
      </w:r>
      <w:r>
        <w:rPr>
          <w:color w:val="105C84"/>
        </w:rPr>
        <w:t>housing</w:t>
      </w:r>
      <w:r>
        <w:rPr>
          <w:color w:val="105C84"/>
          <w:spacing w:val="28"/>
        </w:rPr>
        <w:t> </w:t>
      </w:r>
      <w:r>
        <w:rPr>
          <w:color w:val="105C84"/>
        </w:rPr>
        <w:t>developments, including</w:t>
      </w:r>
      <w:r>
        <w:rPr>
          <w:color w:val="105C84"/>
          <w:spacing w:val="33"/>
        </w:rPr>
        <w:t> </w:t>
      </w:r>
      <w:r>
        <w:rPr>
          <w:color w:val="105C84"/>
        </w:rPr>
        <w:t>the</w:t>
      </w:r>
      <w:r>
        <w:rPr>
          <w:color w:val="105C84"/>
          <w:spacing w:val="33"/>
        </w:rPr>
        <w:t> </w:t>
      </w:r>
      <w:r>
        <w:rPr>
          <w:color w:val="105C84"/>
        </w:rPr>
        <w:t>recent</w:t>
      </w:r>
      <w:r>
        <w:rPr>
          <w:color w:val="105C84"/>
          <w:spacing w:val="33"/>
        </w:rPr>
        <w:t> </w:t>
      </w:r>
      <w:r>
        <w:rPr>
          <w:color w:val="105C84"/>
        </w:rPr>
        <w:t>conversion</w:t>
      </w:r>
      <w:r>
        <w:rPr>
          <w:color w:val="105C84"/>
          <w:spacing w:val="33"/>
        </w:rPr>
        <w:t> </w:t>
      </w:r>
      <w:r>
        <w:rPr>
          <w:color w:val="105C84"/>
        </w:rPr>
        <w:t>of</w:t>
      </w:r>
      <w:r>
        <w:rPr>
          <w:color w:val="105C84"/>
          <w:spacing w:val="33"/>
        </w:rPr>
        <w:t> </w:t>
      </w:r>
      <w:r>
        <w:rPr>
          <w:color w:val="105C84"/>
        </w:rPr>
        <w:t>the</w:t>
      </w:r>
      <w:r>
        <w:rPr>
          <w:color w:val="105C84"/>
          <w:spacing w:val="33"/>
        </w:rPr>
        <w:t> </w:t>
      </w:r>
      <w:r>
        <w:rPr>
          <w:color w:val="105C84"/>
        </w:rPr>
        <w:t>Watkins</w:t>
      </w:r>
      <w:r>
        <w:rPr>
          <w:color w:val="105C84"/>
          <w:spacing w:val="33"/>
        </w:rPr>
        <w:t> </w:t>
      </w:r>
      <w:r>
        <w:rPr>
          <w:color w:val="105C84"/>
        </w:rPr>
        <w:t>Glen</w:t>
      </w:r>
      <w:r>
        <w:rPr>
          <w:color w:val="105C84"/>
          <w:spacing w:val="33"/>
        </w:rPr>
        <w:t> </w:t>
      </w:r>
      <w:r>
        <w:rPr>
          <w:color w:val="105C84"/>
        </w:rPr>
        <w:t>middle</w:t>
      </w:r>
      <w:r>
        <w:rPr>
          <w:color w:val="105C84"/>
          <w:spacing w:val="33"/>
        </w:rPr>
        <w:t> </w:t>
      </w:r>
      <w:r>
        <w:rPr>
          <w:color w:val="105C84"/>
        </w:rPr>
        <w:t>school</w:t>
      </w:r>
      <w:r>
        <w:rPr>
          <w:color w:val="105C84"/>
          <w:spacing w:val="33"/>
        </w:rPr>
        <w:t> </w:t>
      </w:r>
      <w:r>
        <w:rPr>
          <w:color w:val="105C84"/>
        </w:rPr>
        <w:t>into</w:t>
      </w:r>
      <w:r>
        <w:rPr>
          <w:color w:val="105C84"/>
          <w:spacing w:val="33"/>
        </w:rPr>
        <w:t> </w:t>
      </w:r>
      <w:r>
        <w:rPr>
          <w:color w:val="105C84"/>
        </w:rPr>
        <w:t>affordable</w:t>
      </w:r>
      <w:r>
        <w:rPr>
          <w:color w:val="105C84"/>
          <w:spacing w:val="33"/>
        </w:rPr>
        <w:t> </w:t>
      </w:r>
      <w:r>
        <w:rPr>
          <w:color w:val="105C84"/>
        </w:rPr>
        <w:t>housing</w:t>
      </w:r>
      <w:r>
        <w:rPr>
          <w:color w:val="105C84"/>
          <w:spacing w:val="33"/>
        </w:rPr>
        <w:t> </w:t>
      </w:r>
      <w:r>
        <w:rPr>
          <w:color w:val="105C84"/>
        </w:rPr>
        <w:t>for</w:t>
      </w:r>
    </w:p>
    <w:p>
      <w:pPr>
        <w:pStyle w:val="BodyText"/>
        <w:spacing w:line="247" w:lineRule="auto"/>
        <w:ind w:left="1080"/>
      </w:pPr>
      <w:r>
        <w:rPr>
          <w:color w:val="105C84"/>
          <w:w w:val="105"/>
        </w:rPr>
        <w:t>55+,</w:t>
      </w:r>
      <w:r>
        <w:rPr>
          <w:color w:val="105C84"/>
          <w:spacing w:val="-10"/>
          <w:w w:val="105"/>
        </w:rPr>
        <w:t> </w:t>
      </w:r>
      <w:r>
        <w:rPr>
          <w:color w:val="105C84"/>
          <w:w w:val="105"/>
        </w:rPr>
        <w:t>have</w:t>
      </w:r>
      <w:r>
        <w:rPr>
          <w:color w:val="105C84"/>
          <w:spacing w:val="-10"/>
          <w:w w:val="105"/>
        </w:rPr>
        <w:t> </w:t>
      </w:r>
      <w:r>
        <w:rPr>
          <w:color w:val="105C84"/>
          <w:w w:val="105"/>
        </w:rPr>
        <w:t>occurred</w:t>
      </w:r>
      <w:r>
        <w:rPr>
          <w:color w:val="105C84"/>
          <w:spacing w:val="-10"/>
          <w:w w:val="105"/>
        </w:rPr>
        <w:t> </w:t>
      </w:r>
      <w:r>
        <w:rPr>
          <w:color w:val="105C84"/>
          <w:w w:val="105"/>
        </w:rPr>
        <w:t>to</w:t>
      </w:r>
      <w:r>
        <w:rPr>
          <w:color w:val="105C84"/>
          <w:spacing w:val="-10"/>
          <w:w w:val="105"/>
        </w:rPr>
        <w:t> </w:t>
      </w:r>
      <w:r>
        <w:rPr>
          <w:color w:val="105C84"/>
          <w:w w:val="105"/>
        </w:rPr>
        <w:t>address</w:t>
      </w:r>
      <w:r>
        <w:rPr>
          <w:color w:val="105C84"/>
          <w:spacing w:val="-10"/>
          <w:w w:val="105"/>
        </w:rPr>
        <w:t> </w:t>
      </w:r>
      <w:r>
        <w:rPr>
          <w:color w:val="105C84"/>
          <w:w w:val="105"/>
        </w:rPr>
        <w:t>this</w:t>
      </w:r>
      <w:r>
        <w:rPr>
          <w:color w:val="105C84"/>
          <w:spacing w:val="-10"/>
          <w:w w:val="105"/>
        </w:rPr>
        <w:t> </w:t>
      </w:r>
      <w:r>
        <w:rPr>
          <w:color w:val="105C84"/>
          <w:w w:val="105"/>
        </w:rPr>
        <w:t>issue.</w:t>
      </w:r>
      <w:r>
        <w:rPr>
          <w:color w:val="105C84"/>
          <w:spacing w:val="-10"/>
          <w:w w:val="105"/>
        </w:rPr>
        <w:t> </w:t>
      </w:r>
      <w:r>
        <w:rPr>
          <w:color w:val="105C84"/>
          <w:w w:val="105"/>
        </w:rPr>
        <w:t>Being</w:t>
      </w:r>
      <w:r>
        <w:rPr>
          <w:color w:val="105C84"/>
          <w:spacing w:val="-10"/>
          <w:w w:val="105"/>
        </w:rPr>
        <w:t> </w:t>
      </w:r>
      <w:r>
        <w:rPr>
          <w:color w:val="105C84"/>
          <w:w w:val="105"/>
        </w:rPr>
        <w:t>a</w:t>
      </w:r>
      <w:r>
        <w:rPr>
          <w:color w:val="105C84"/>
          <w:spacing w:val="-10"/>
          <w:w w:val="105"/>
        </w:rPr>
        <w:t> </w:t>
      </w:r>
      <w:r>
        <w:rPr>
          <w:color w:val="105C84"/>
          <w:w w:val="105"/>
        </w:rPr>
        <w:t>high</w:t>
      </w:r>
      <w:r>
        <w:rPr>
          <w:color w:val="105C84"/>
          <w:spacing w:val="-10"/>
          <w:w w:val="105"/>
        </w:rPr>
        <w:t> </w:t>
      </w:r>
      <w:r>
        <w:rPr>
          <w:color w:val="105C84"/>
          <w:w w:val="105"/>
        </w:rPr>
        <w:t>tourist</w:t>
      </w:r>
      <w:r>
        <w:rPr>
          <w:color w:val="105C84"/>
          <w:spacing w:val="-10"/>
          <w:w w:val="105"/>
        </w:rPr>
        <w:t> </w:t>
      </w:r>
      <w:r>
        <w:rPr>
          <w:color w:val="105C84"/>
          <w:w w:val="105"/>
        </w:rPr>
        <w:t>area,</w:t>
      </w:r>
      <w:r>
        <w:rPr>
          <w:color w:val="105C84"/>
          <w:spacing w:val="-10"/>
          <w:w w:val="105"/>
        </w:rPr>
        <w:t> </w:t>
      </w:r>
      <w:r>
        <w:rPr>
          <w:color w:val="105C84"/>
          <w:w w:val="105"/>
        </w:rPr>
        <w:t>policies</w:t>
      </w:r>
      <w:r>
        <w:rPr>
          <w:color w:val="105C84"/>
          <w:spacing w:val="-10"/>
          <w:w w:val="105"/>
        </w:rPr>
        <w:t> </w:t>
      </w:r>
      <w:r>
        <w:rPr>
          <w:color w:val="105C84"/>
          <w:w w:val="105"/>
        </w:rPr>
        <w:t>seeking</w:t>
      </w:r>
      <w:r>
        <w:rPr>
          <w:color w:val="105C84"/>
          <w:spacing w:val="-10"/>
          <w:w w:val="105"/>
        </w:rPr>
        <w:t> </w:t>
      </w:r>
      <w:r>
        <w:rPr>
          <w:color w:val="105C84"/>
          <w:w w:val="105"/>
        </w:rPr>
        <w:t>to</w:t>
      </w:r>
      <w:r>
        <w:rPr>
          <w:color w:val="105C84"/>
          <w:spacing w:val="-10"/>
          <w:w w:val="105"/>
        </w:rPr>
        <w:t> </w:t>
      </w:r>
      <w:r>
        <w:rPr>
          <w:color w:val="105C84"/>
          <w:w w:val="105"/>
        </w:rPr>
        <w:t>control</w:t>
      </w:r>
      <w:r>
        <w:rPr>
          <w:color w:val="105C84"/>
          <w:spacing w:val="-10"/>
          <w:w w:val="105"/>
        </w:rPr>
        <w:t> </w:t>
      </w:r>
      <w:r>
        <w:rPr>
          <w:color w:val="105C84"/>
          <w:w w:val="105"/>
        </w:rPr>
        <w:t>the </w:t>
      </w:r>
      <w:r>
        <w:rPr>
          <w:color w:val="105C84"/>
        </w:rPr>
        <w:t>imbalances between short-term vacation rentals and long-term housing have increased over the past </w:t>
      </w:r>
      <w:r>
        <w:rPr>
          <w:color w:val="105C84"/>
          <w:w w:val="105"/>
        </w:rPr>
        <w:t>several</w:t>
      </w:r>
      <w:r>
        <w:rPr>
          <w:color w:val="105C84"/>
          <w:spacing w:val="-9"/>
          <w:w w:val="105"/>
        </w:rPr>
        <w:t> </w:t>
      </w:r>
      <w:r>
        <w:rPr>
          <w:color w:val="105C84"/>
          <w:w w:val="105"/>
        </w:rPr>
        <w:t>years</w:t>
      </w:r>
      <w:r>
        <w:rPr>
          <w:color w:val="105C84"/>
          <w:spacing w:val="-9"/>
          <w:w w:val="105"/>
        </w:rPr>
        <w:t> </w:t>
      </w:r>
      <w:r>
        <w:rPr>
          <w:color w:val="105C84"/>
          <w:w w:val="105"/>
        </w:rPr>
        <w:t>to</w:t>
      </w:r>
      <w:r>
        <w:rPr>
          <w:color w:val="105C84"/>
          <w:spacing w:val="-9"/>
          <w:w w:val="105"/>
        </w:rPr>
        <w:t> </w:t>
      </w:r>
      <w:r>
        <w:rPr>
          <w:color w:val="105C84"/>
          <w:w w:val="105"/>
        </w:rPr>
        <w:t>help</w:t>
      </w:r>
      <w:r>
        <w:rPr>
          <w:color w:val="105C84"/>
          <w:spacing w:val="-9"/>
          <w:w w:val="105"/>
        </w:rPr>
        <w:t> </w:t>
      </w:r>
      <w:r>
        <w:rPr>
          <w:color w:val="105C84"/>
          <w:w w:val="105"/>
        </w:rPr>
        <w:t>protect</w:t>
      </w:r>
      <w:r>
        <w:rPr>
          <w:color w:val="105C84"/>
          <w:spacing w:val="-9"/>
          <w:w w:val="105"/>
        </w:rPr>
        <w:t> </w:t>
      </w:r>
      <w:r>
        <w:rPr>
          <w:color w:val="105C84"/>
          <w:w w:val="105"/>
        </w:rPr>
        <w:t>long-term</w:t>
      </w:r>
      <w:r>
        <w:rPr>
          <w:color w:val="105C84"/>
          <w:spacing w:val="-9"/>
          <w:w w:val="105"/>
        </w:rPr>
        <w:t> </w:t>
      </w:r>
      <w:r>
        <w:rPr>
          <w:color w:val="105C84"/>
          <w:w w:val="105"/>
        </w:rPr>
        <w:t>residents.</w:t>
      </w:r>
      <w:r>
        <w:rPr>
          <w:color w:val="105C84"/>
          <w:spacing w:val="-9"/>
          <w:w w:val="105"/>
        </w:rPr>
        <w:t> </w:t>
      </w:r>
      <w:r>
        <w:rPr>
          <w:color w:val="105C84"/>
          <w:w w:val="105"/>
        </w:rPr>
        <w:t>In</w:t>
      </w:r>
      <w:r>
        <w:rPr>
          <w:color w:val="105C84"/>
          <w:spacing w:val="-9"/>
          <w:w w:val="105"/>
        </w:rPr>
        <w:t> </w:t>
      </w:r>
      <w:r>
        <w:rPr>
          <w:color w:val="105C84"/>
          <w:w w:val="105"/>
        </w:rPr>
        <w:t>fact,</w:t>
      </w:r>
      <w:r>
        <w:rPr>
          <w:color w:val="105C84"/>
          <w:spacing w:val="-9"/>
          <w:w w:val="105"/>
        </w:rPr>
        <w:t> </w:t>
      </w:r>
      <w:r>
        <w:rPr>
          <w:color w:val="105C84"/>
          <w:w w:val="105"/>
        </w:rPr>
        <w:t>in</w:t>
      </w:r>
      <w:r>
        <w:rPr>
          <w:color w:val="105C84"/>
          <w:spacing w:val="-9"/>
          <w:w w:val="105"/>
        </w:rPr>
        <w:t> </w:t>
      </w:r>
      <w:r>
        <w:rPr>
          <w:color w:val="105C84"/>
          <w:w w:val="105"/>
        </w:rPr>
        <w:t>August</w:t>
      </w:r>
      <w:r>
        <w:rPr>
          <w:color w:val="105C84"/>
          <w:spacing w:val="-9"/>
          <w:w w:val="105"/>
        </w:rPr>
        <w:t> </w:t>
      </w:r>
      <w:r>
        <w:rPr>
          <w:color w:val="105C84"/>
          <w:w w:val="105"/>
        </w:rPr>
        <w:t>of</w:t>
      </w:r>
      <w:r>
        <w:rPr>
          <w:color w:val="105C84"/>
          <w:spacing w:val="-9"/>
          <w:w w:val="105"/>
        </w:rPr>
        <w:t> </w:t>
      </w:r>
      <w:r>
        <w:rPr>
          <w:color w:val="105C84"/>
          <w:w w:val="105"/>
        </w:rPr>
        <w:t>2019</w:t>
      </w:r>
      <w:r>
        <w:rPr>
          <w:color w:val="105C84"/>
          <w:spacing w:val="-9"/>
          <w:w w:val="105"/>
        </w:rPr>
        <w:t> </w:t>
      </w:r>
      <w:r>
        <w:rPr>
          <w:color w:val="105C84"/>
          <w:w w:val="105"/>
        </w:rPr>
        <w:t>the</w:t>
      </w:r>
      <w:r>
        <w:rPr>
          <w:color w:val="105C84"/>
          <w:spacing w:val="-9"/>
          <w:w w:val="105"/>
        </w:rPr>
        <w:t> </w:t>
      </w:r>
      <w:r>
        <w:rPr>
          <w:color w:val="105C84"/>
          <w:w w:val="105"/>
        </w:rPr>
        <w:t>Village</w:t>
      </w:r>
      <w:r>
        <w:rPr>
          <w:color w:val="105C84"/>
          <w:spacing w:val="-9"/>
          <w:w w:val="105"/>
        </w:rPr>
        <w:t> </w:t>
      </w:r>
      <w:r>
        <w:rPr>
          <w:color w:val="105C84"/>
          <w:w w:val="105"/>
        </w:rPr>
        <w:t>of</w:t>
      </w:r>
      <w:r>
        <w:rPr>
          <w:color w:val="105C84"/>
          <w:spacing w:val="-9"/>
          <w:w w:val="105"/>
        </w:rPr>
        <w:t> </w:t>
      </w:r>
      <w:r>
        <w:rPr>
          <w:color w:val="105C84"/>
          <w:w w:val="105"/>
        </w:rPr>
        <w:t>Watkins Glen enacted a short-term moratorium on short term rental properties in the village due to the growth</w:t>
      </w:r>
      <w:r>
        <w:rPr>
          <w:color w:val="105C84"/>
          <w:spacing w:val="-4"/>
          <w:w w:val="105"/>
        </w:rPr>
        <w:t> </w:t>
      </w:r>
      <w:r>
        <w:rPr>
          <w:color w:val="105C84"/>
          <w:w w:val="105"/>
        </w:rPr>
        <w:t>in</w:t>
      </w:r>
      <w:r>
        <w:rPr>
          <w:color w:val="105C84"/>
          <w:spacing w:val="-4"/>
          <w:w w:val="105"/>
        </w:rPr>
        <w:t> </w:t>
      </w:r>
      <w:r>
        <w:rPr>
          <w:color w:val="105C84"/>
          <w:w w:val="105"/>
        </w:rPr>
        <w:t>rentals</w:t>
      </w:r>
      <w:r>
        <w:rPr>
          <w:color w:val="105C84"/>
          <w:spacing w:val="-4"/>
          <w:w w:val="105"/>
        </w:rPr>
        <w:t> </w:t>
      </w:r>
      <w:r>
        <w:rPr>
          <w:color w:val="105C84"/>
          <w:w w:val="105"/>
        </w:rPr>
        <w:t>in</w:t>
      </w:r>
      <w:r>
        <w:rPr>
          <w:color w:val="105C84"/>
          <w:spacing w:val="-4"/>
          <w:w w:val="105"/>
        </w:rPr>
        <w:t> </w:t>
      </w:r>
      <w:r>
        <w:rPr>
          <w:color w:val="105C84"/>
          <w:w w:val="105"/>
        </w:rPr>
        <w:t>the</w:t>
      </w:r>
      <w:r>
        <w:rPr>
          <w:color w:val="105C84"/>
          <w:spacing w:val="-4"/>
          <w:w w:val="105"/>
        </w:rPr>
        <w:t> </w:t>
      </w:r>
      <w:r>
        <w:rPr>
          <w:color w:val="105C84"/>
          <w:w w:val="105"/>
        </w:rPr>
        <w:t>community</w:t>
      </w:r>
      <w:r>
        <w:rPr>
          <w:color w:val="105C84"/>
          <w:spacing w:val="-4"/>
          <w:w w:val="105"/>
        </w:rPr>
        <w:t> </w:t>
      </w:r>
      <w:r>
        <w:rPr>
          <w:color w:val="105C84"/>
          <w:w w:val="105"/>
        </w:rPr>
        <w:t>and</w:t>
      </w:r>
      <w:r>
        <w:rPr>
          <w:color w:val="105C84"/>
          <w:spacing w:val="-4"/>
          <w:w w:val="105"/>
        </w:rPr>
        <w:t> </w:t>
      </w:r>
      <w:r>
        <w:rPr>
          <w:color w:val="105C84"/>
          <w:w w:val="105"/>
        </w:rPr>
        <w:t>its</w:t>
      </w:r>
      <w:r>
        <w:rPr>
          <w:color w:val="105C84"/>
          <w:spacing w:val="-4"/>
          <w:w w:val="105"/>
        </w:rPr>
        <w:t> </w:t>
      </w:r>
      <w:r>
        <w:rPr>
          <w:color w:val="105C84"/>
          <w:w w:val="105"/>
        </w:rPr>
        <w:t>impact</w:t>
      </w:r>
      <w:r>
        <w:rPr>
          <w:color w:val="105C84"/>
          <w:spacing w:val="-4"/>
          <w:w w:val="105"/>
        </w:rPr>
        <w:t> </w:t>
      </w:r>
      <w:r>
        <w:rPr>
          <w:color w:val="105C84"/>
          <w:w w:val="105"/>
        </w:rPr>
        <w:t>on</w:t>
      </w:r>
      <w:r>
        <w:rPr>
          <w:color w:val="105C84"/>
          <w:spacing w:val="-4"/>
          <w:w w:val="105"/>
        </w:rPr>
        <w:t> </w:t>
      </w:r>
      <w:r>
        <w:rPr>
          <w:color w:val="105C84"/>
          <w:w w:val="105"/>
        </w:rPr>
        <w:t>resident</w:t>
      </w:r>
      <w:r>
        <w:rPr>
          <w:color w:val="105C84"/>
          <w:spacing w:val="-4"/>
          <w:w w:val="105"/>
        </w:rPr>
        <w:t> </w:t>
      </w:r>
      <w:r>
        <w:rPr>
          <w:color w:val="105C84"/>
          <w:w w:val="105"/>
        </w:rPr>
        <w:t>housing</w:t>
      </w:r>
      <w:r>
        <w:rPr>
          <w:color w:val="105C84"/>
          <w:spacing w:val="-4"/>
          <w:w w:val="105"/>
        </w:rPr>
        <w:t> </w:t>
      </w:r>
      <w:r>
        <w:rPr>
          <w:color w:val="105C84"/>
          <w:w w:val="105"/>
        </w:rPr>
        <w:t>plans.</w:t>
      </w:r>
      <w:r>
        <w:rPr>
          <w:color w:val="105C84"/>
          <w:spacing w:val="-4"/>
          <w:w w:val="105"/>
        </w:rPr>
        <w:t> </w:t>
      </w:r>
      <w:r>
        <w:rPr>
          <w:color w:val="105C84"/>
          <w:w w:val="105"/>
        </w:rPr>
        <w:t>The</w:t>
      </w:r>
      <w:r>
        <w:rPr>
          <w:color w:val="105C84"/>
          <w:spacing w:val="-4"/>
          <w:w w:val="105"/>
        </w:rPr>
        <w:t> </w:t>
      </w:r>
      <w:r>
        <w:rPr>
          <w:color w:val="105C84"/>
          <w:w w:val="105"/>
        </w:rPr>
        <w:t>law</w:t>
      </w:r>
      <w:r>
        <w:rPr>
          <w:color w:val="105C84"/>
          <w:spacing w:val="-4"/>
          <w:w w:val="105"/>
        </w:rPr>
        <w:t> </w:t>
      </w:r>
      <w:r>
        <w:rPr>
          <w:color w:val="105C84"/>
          <w:w w:val="105"/>
        </w:rPr>
        <w:t>will</w:t>
      </w:r>
      <w:r>
        <w:rPr>
          <w:color w:val="105C84"/>
          <w:spacing w:val="-4"/>
          <w:w w:val="105"/>
        </w:rPr>
        <w:t> </w:t>
      </w:r>
      <w:r>
        <w:rPr>
          <w:color w:val="105C84"/>
          <w:w w:val="105"/>
        </w:rPr>
        <w:t>help</w:t>
      </w:r>
      <w:r>
        <w:rPr>
          <w:color w:val="105C84"/>
          <w:spacing w:val="-4"/>
          <w:w w:val="105"/>
        </w:rPr>
        <w:t> </w:t>
      </w:r>
      <w:r>
        <w:rPr>
          <w:color w:val="105C84"/>
          <w:w w:val="105"/>
        </w:rPr>
        <w:t>to protect long-term housing opportunities for residents.</w:t>
      </w:r>
    </w:p>
    <w:p>
      <w:pPr>
        <w:pStyle w:val="BodyText"/>
        <w:spacing w:line="247" w:lineRule="auto" w:before="175"/>
        <w:ind w:left="1080" w:right="232"/>
      </w:pPr>
      <w:r>
        <w:rPr>
          <w:color w:val="105C84"/>
        </w:rPr>
        <w:t>Transportation in the county, however, remains an issue. There is limited access to public transportation</w:t>
      </w:r>
      <w:r>
        <w:rPr>
          <w:color w:val="105C84"/>
          <w:spacing w:val="40"/>
        </w:rPr>
        <w:t> </w:t>
      </w:r>
      <w:r>
        <w:rPr>
          <w:color w:val="105C84"/>
        </w:rPr>
        <w:t>to</w:t>
      </w:r>
      <w:r>
        <w:rPr>
          <w:color w:val="105C84"/>
          <w:spacing w:val="40"/>
        </w:rPr>
        <w:t> </w:t>
      </w:r>
      <w:r>
        <w:rPr>
          <w:color w:val="105C84"/>
        </w:rPr>
        <w:t>outlying</w:t>
      </w:r>
      <w:r>
        <w:rPr>
          <w:color w:val="105C84"/>
          <w:spacing w:val="40"/>
        </w:rPr>
        <w:t> </w:t>
      </w:r>
      <w:r>
        <w:rPr>
          <w:color w:val="105C84"/>
        </w:rPr>
        <w:t>towns,</w:t>
      </w:r>
      <w:r>
        <w:rPr>
          <w:color w:val="105C84"/>
          <w:spacing w:val="40"/>
        </w:rPr>
        <w:t> </w:t>
      </w:r>
      <w:r>
        <w:rPr>
          <w:color w:val="105C84"/>
        </w:rPr>
        <w:t>including</w:t>
      </w:r>
      <w:r>
        <w:rPr>
          <w:color w:val="105C84"/>
          <w:spacing w:val="40"/>
        </w:rPr>
        <w:t> </w:t>
      </w:r>
      <w:r>
        <w:rPr>
          <w:color w:val="105C84"/>
        </w:rPr>
        <w:t>transportation</w:t>
      </w:r>
      <w:r>
        <w:rPr>
          <w:color w:val="105C84"/>
          <w:spacing w:val="40"/>
        </w:rPr>
        <w:t> </w:t>
      </w:r>
      <w:r>
        <w:rPr>
          <w:color w:val="105C84"/>
        </w:rPr>
        <w:t>to</w:t>
      </w:r>
      <w:r>
        <w:rPr>
          <w:color w:val="105C84"/>
          <w:spacing w:val="40"/>
        </w:rPr>
        <w:t> </w:t>
      </w:r>
      <w:r>
        <w:rPr>
          <w:color w:val="105C84"/>
        </w:rPr>
        <w:t>medical</w:t>
      </w:r>
      <w:r>
        <w:rPr>
          <w:color w:val="105C84"/>
          <w:spacing w:val="40"/>
        </w:rPr>
        <w:t> </w:t>
      </w:r>
      <w:r>
        <w:rPr>
          <w:color w:val="105C84"/>
        </w:rPr>
        <w:t>facilities.</w:t>
      </w:r>
      <w:r>
        <w:rPr>
          <w:color w:val="105C84"/>
          <w:spacing w:val="40"/>
        </w:rPr>
        <w:t> </w:t>
      </w:r>
      <w:r>
        <w:rPr>
          <w:color w:val="105C84"/>
        </w:rPr>
        <w:t>It</w:t>
      </w:r>
      <w:r>
        <w:rPr>
          <w:color w:val="105C84"/>
          <w:spacing w:val="40"/>
        </w:rPr>
        <w:t> </w:t>
      </w:r>
      <w:r>
        <w:rPr>
          <w:color w:val="105C84"/>
        </w:rPr>
        <w:t>has</w:t>
      </w:r>
      <w:r>
        <w:rPr>
          <w:color w:val="105C84"/>
          <w:spacing w:val="40"/>
        </w:rPr>
        <w:t> </w:t>
      </w:r>
      <w:r>
        <w:rPr>
          <w:color w:val="105C84"/>
        </w:rPr>
        <w:t>been</w:t>
      </w:r>
      <w:r>
        <w:rPr>
          <w:color w:val="105C84"/>
          <w:spacing w:val="40"/>
        </w:rPr>
        <w:t> </w:t>
      </w:r>
      <w:r>
        <w:rPr>
          <w:color w:val="105C84"/>
        </w:rPr>
        <w:t>noted several times that there are not enough affordable dental care options that accept Medicaid in the</w:t>
      </w:r>
      <w:r>
        <w:rPr>
          <w:color w:val="105C84"/>
          <w:spacing w:val="80"/>
        </w:rPr>
        <w:t> </w:t>
      </w:r>
      <w:r>
        <w:rPr>
          <w:color w:val="105C84"/>
        </w:rPr>
        <w:t>county, and patients without access to vehicles have a difficult time accessing services outside of the county. Over time, this negatively affects a person’s health as that person may be unable to access medical services, a job, education opportunities, etc.</w:t>
      </w:r>
    </w:p>
    <w:p>
      <w:pPr>
        <w:pStyle w:val="Heading6"/>
        <w:spacing w:before="116"/>
      </w:pPr>
      <w:r>
        <w:rPr>
          <w:b w:val="0"/>
        </w:rPr>
        <w:br w:type="column"/>
      </w:r>
      <w:r>
        <w:rPr>
          <w:color w:val="105C84"/>
          <w:spacing w:val="-4"/>
        </w:rPr>
        <w:t>Community</w:t>
      </w:r>
      <w:r>
        <w:rPr>
          <w:color w:val="105C84"/>
          <w:spacing w:val="-2"/>
        </w:rPr>
        <w:t> </w:t>
      </w:r>
      <w:r>
        <w:rPr>
          <w:color w:val="105C84"/>
          <w:spacing w:val="-4"/>
        </w:rPr>
        <w:t>Health</w:t>
      </w:r>
      <w:r>
        <w:rPr>
          <w:color w:val="105C84"/>
          <w:spacing w:val="-2"/>
        </w:rPr>
        <w:t> </w:t>
      </w:r>
      <w:r>
        <w:rPr>
          <w:color w:val="105C84"/>
          <w:spacing w:val="-4"/>
        </w:rPr>
        <w:t>Improvement</w:t>
      </w:r>
      <w:r>
        <w:rPr>
          <w:color w:val="105C84"/>
          <w:spacing w:val="-2"/>
        </w:rPr>
        <w:t> </w:t>
      </w:r>
      <w:r>
        <w:rPr>
          <w:color w:val="105C84"/>
          <w:spacing w:val="-4"/>
        </w:rPr>
        <w:t>Plan/Community</w:t>
      </w:r>
      <w:r>
        <w:rPr>
          <w:color w:val="105C84"/>
          <w:spacing w:val="-2"/>
        </w:rPr>
        <w:t> </w:t>
      </w:r>
      <w:r>
        <w:rPr>
          <w:color w:val="105C84"/>
          <w:spacing w:val="-4"/>
        </w:rPr>
        <w:t>Service</w:t>
      </w:r>
      <w:r>
        <w:rPr>
          <w:color w:val="105C84"/>
          <w:spacing w:val="-2"/>
        </w:rPr>
        <w:t> </w:t>
      </w:r>
      <w:r>
        <w:rPr>
          <w:color w:val="105C84"/>
          <w:spacing w:val="-4"/>
        </w:rPr>
        <w:t>Plan</w:t>
      </w:r>
    </w:p>
    <w:p>
      <w:pPr>
        <w:pStyle w:val="BodyText"/>
        <w:spacing w:line="247" w:lineRule="auto" w:before="268"/>
        <w:ind w:left="1080" w:right="485"/>
        <w:rPr>
          <w:b/>
        </w:rPr>
      </w:pPr>
      <w:r>
        <w:rPr>
          <w:color w:val="105C84"/>
        </w:rPr>
        <w:t>As previously discussed in the executive summary, the MAPP process was utilized to help create the Community</w:t>
      </w:r>
      <w:r>
        <w:rPr>
          <w:color w:val="105C84"/>
          <w:spacing w:val="28"/>
        </w:rPr>
        <w:t> </w:t>
      </w:r>
      <w:r>
        <w:rPr>
          <w:color w:val="105C84"/>
        </w:rPr>
        <w:t>Health</w:t>
      </w:r>
      <w:r>
        <w:rPr>
          <w:color w:val="105C84"/>
          <w:spacing w:val="28"/>
        </w:rPr>
        <w:t> </w:t>
      </w:r>
      <w:r>
        <w:rPr>
          <w:color w:val="105C84"/>
        </w:rPr>
        <w:t>Assessment</w:t>
      </w:r>
      <w:r>
        <w:rPr>
          <w:color w:val="105C84"/>
          <w:spacing w:val="28"/>
        </w:rPr>
        <w:t> </w:t>
      </w:r>
      <w:r>
        <w:rPr>
          <w:color w:val="105C84"/>
        </w:rPr>
        <w:t>and</w:t>
      </w:r>
      <w:r>
        <w:rPr>
          <w:color w:val="105C84"/>
          <w:spacing w:val="28"/>
        </w:rPr>
        <w:t> </w:t>
      </w:r>
      <w:r>
        <w:rPr>
          <w:color w:val="105C84"/>
        </w:rPr>
        <w:t>Community</w:t>
      </w:r>
      <w:r>
        <w:rPr>
          <w:color w:val="105C84"/>
          <w:spacing w:val="28"/>
        </w:rPr>
        <w:t> </w:t>
      </w:r>
      <w:r>
        <w:rPr>
          <w:color w:val="105C84"/>
        </w:rPr>
        <w:t>Health</w:t>
      </w:r>
      <w:r>
        <w:rPr>
          <w:color w:val="105C84"/>
          <w:spacing w:val="28"/>
        </w:rPr>
        <w:t> </w:t>
      </w:r>
      <w:r>
        <w:rPr>
          <w:color w:val="105C84"/>
        </w:rPr>
        <w:t>Improvement</w:t>
      </w:r>
      <w:r>
        <w:rPr>
          <w:color w:val="105C84"/>
          <w:spacing w:val="28"/>
        </w:rPr>
        <w:t> </w:t>
      </w:r>
      <w:r>
        <w:rPr>
          <w:color w:val="105C84"/>
        </w:rPr>
        <w:t>Plan.</w:t>
      </w:r>
      <w:r>
        <w:rPr>
          <w:color w:val="105C84"/>
          <w:spacing w:val="28"/>
        </w:rPr>
        <w:t> </w:t>
      </w:r>
      <w:r>
        <w:rPr>
          <w:color w:val="105C84"/>
        </w:rPr>
        <w:t>County</w:t>
      </w:r>
      <w:r>
        <w:rPr>
          <w:color w:val="105C84"/>
          <w:spacing w:val="28"/>
        </w:rPr>
        <w:t> </w:t>
      </w:r>
      <w:r>
        <w:rPr>
          <w:color w:val="105C84"/>
        </w:rPr>
        <w:t>specific</w:t>
      </w:r>
      <w:r>
        <w:rPr>
          <w:color w:val="105C84"/>
          <w:spacing w:val="80"/>
          <w:w w:val="150"/>
        </w:rPr>
        <w:t> </w:t>
      </w:r>
      <w:r>
        <w:rPr>
          <w:color w:val="105C84"/>
        </w:rPr>
        <w:t>pre-read documents were provided to prioritization and Professional Advisory Committee (PAC) group members which included updated data measures for each of the five priority areas outlined in the</w:t>
      </w:r>
      <w:r>
        <w:rPr>
          <w:color w:val="105C84"/>
          <w:spacing w:val="40"/>
        </w:rPr>
        <w:t> </w:t>
      </w:r>
      <w:r>
        <w:rPr>
          <w:color w:val="105C84"/>
        </w:rPr>
        <w:t>Prevention</w:t>
      </w:r>
      <w:r>
        <w:rPr>
          <w:color w:val="105C84"/>
          <w:spacing w:val="28"/>
        </w:rPr>
        <w:t> </w:t>
      </w:r>
      <w:r>
        <w:rPr>
          <w:color w:val="105C84"/>
        </w:rPr>
        <w:t>Agenda</w:t>
      </w:r>
      <w:r>
        <w:rPr>
          <w:color w:val="105C84"/>
          <w:spacing w:val="28"/>
        </w:rPr>
        <w:t> </w:t>
      </w:r>
      <w:r>
        <w:rPr>
          <w:color w:val="105C84"/>
        </w:rPr>
        <w:t>(please</w:t>
      </w:r>
      <w:r>
        <w:rPr>
          <w:color w:val="105C84"/>
          <w:spacing w:val="28"/>
        </w:rPr>
        <w:t> </w:t>
      </w:r>
      <w:r>
        <w:rPr>
          <w:color w:val="105C84"/>
        </w:rPr>
        <w:t>see</w:t>
      </w:r>
      <w:r>
        <w:rPr>
          <w:color w:val="105C84"/>
          <w:spacing w:val="28"/>
        </w:rPr>
        <w:t> </w:t>
      </w:r>
      <w:r>
        <w:rPr>
          <w:color w:val="105C84"/>
        </w:rPr>
        <w:t>executive</w:t>
      </w:r>
      <w:r>
        <w:rPr>
          <w:color w:val="105C84"/>
          <w:spacing w:val="28"/>
        </w:rPr>
        <w:t> </w:t>
      </w:r>
      <w:r>
        <w:rPr>
          <w:color w:val="105C84"/>
        </w:rPr>
        <w:t>summary</w:t>
      </w:r>
      <w:r>
        <w:rPr>
          <w:color w:val="105C84"/>
          <w:spacing w:val="28"/>
        </w:rPr>
        <w:t> </w:t>
      </w:r>
      <w:r>
        <w:rPr>
          <w:color w:val="105C84"/>
        </w:rPr>
        <w:t>for</w:t>
      </w:r>
      <w:r>
        <w:rPr>
          <w:color w:val="105C84"/>
          <w:spacing w:val="28"/>
        </w:rPr>
        <w:t> </w:t>
      </w:r>
      <w:r>
        <w:rPr>
          <w:color w:val="105C84"/>
        </w:rPr>
        <w:t>more</w:t>
      </w:r>
      <w:r>
        <w:rPr>
          <w:color w:val="105C84"/>
          <w:spacing w:val="28"/>
        </w:rPr>
        <w:t> </w:t>
      </w:r>
      <w:r>
        <w:rPr>
          <w:color w:val="105C84"/>
        </w:rPr>
        <w:t>information</w:t>
      </w:r>
      <w:r>
        <w:rPr>
          <w:color w:val="105C84"/>
          <w:spacing w:val="28"/>
        </w:rPr>
        <w:t> </w:t>
      </w:r>
      <w:r>
        <w:rPr>
          <w:color w:val="105C84"/>
        </w:rPr>
        <w:t>on</w:t>
      </w:r>
      <w:r>
        <w:rPr>
          <w:color w:val="105C84"/>
          <w:spacing w:val="28"/>
        </w:rPr>
        <w:t> </w:t>
      </w:r>
      <w:r>
        <w:rPr>
          <w:color w:val="105C84"/>
        </w:rPr>
        <w:t>pre-read</w:t>
      </w:r>
      <w:r>
        <w:rPr>
          <w:color w:val="105C84"/>
          <w:spacing w:val="28"/>
        </w:rPr>
        <w:t> </w:t>
      </w:r>
      <w:r>
        <w:rPr>
          <w:color w:val="105C84"/>
        </w:rPr>
        <w:t>documents). </w:t>
      </w:r>
      <w:r>
        <w:rPr>
          <w:b/>
          <w:color w:val="105C84"/>
        </w:rPr>
        <w:t>A variety of partners were engaged in Schuyler County’s specific process including:</w:t>
      </w:r>
    </w:p>
    <w:p>
      <w:pPr>
        <w:pStyle w:val="BodyText"/>
        <w:spacing w:before="6"/>
        <w:rPr>
          <w:b/>
          <w:sz w:val="15"/>
        </w:rPr>
      </w:pPr>
      <w:r>
        <w:rPr>
          <w:b/>
          <w:sz w:val="15"/>
        </w:rPr>
        <mc:AlternateContent>
          <mc:Choice Requires="wps">
            <w:drawing>
              <wp:anchor distT="0" distB="0" distL="0" distR="0" allowOverlap="1" layoutInCell="1" locked="0" behindDoc="1" simplePos="0" relativeHeight="487690240">
                <wp:simplePos x="0" y="0"/>
                <wp:positionH relativeFrom="page">
                  <wp:posOffset>8450644</wp:posOffset>
                </wp:positionH>
                <wp:positionV relativeFrom="paragraph">
                  <wp:posOffset>130909</wp:posOffset>
                </wp:positionV>
                <wp:extent cx="6407150" cy="318770"/>
                <wp:effectExtent l="0" t="0" r="0" b="0"/>
                <wp:wrapTopAndBottom/>
                <wp:docPr id="1023" name="Textbox 1023"/>
                <wp:cNvGraphicFramePr>
                  <a:graphicFrameLocks/>
                </wp:cNvGraphicFramePr>
                <a:graphic>
                  <a:graphicData uri="http://schemas.microsoft.com/office/word/2010/wordprocessingShape">
                    <wps:wsp>
                      <wps:cNvPr id="1023" name="Textbox 1023"/>
                      <wps:cNvSpPr txBox="1"/>
                      <wps:spPr>
                        <a:xfrm>
                          <a:off x="0" y="0"/>
                          <a:ext cx="6407150" cy="318770"/>
                        </a:xfrm>
                        <a:prstGeom prst="rect">
                          <a:avLst/>
                        </a:prstGeom>
                        <a:solidFill>
                          <a:srgbClr val="939598"/>
                        </a:solidFill>
                        <a:ln w="3175">
                          <a:solidFill>
                            <a:srgbClr val="636466"/>
                          </a:solidFill>
                          <a:prstDash val="solid"/>
                        </a:ln>
                      </wps:spPr>
                      <wps:txbx>
                        <w:txbxContent>
                          <w:p>
                            <w:pPr>
                              <w:spacing w:before="160"/>
                              <w:ind w:left="2" w:right="0" w:firstLine="0"/>
                              <w:jc w:val="center"/>
                              <w:rPr>
                                <w:b/>
                                <w:color w:val="000000"/>
                                <w:sz w:val="20"/>
                              </w:rPr>
                            </w:pPr>
                            <w:r>
                              <w:rPr>
                                <w:b/>
                                <w:color w:val="FFFFFF"/>
                                <w:sz w:val="20"/>
                              </w:rPr>
                              <w:t>SCHUYLER</w:t>
                            </w:r>
                            <w:r>
                              <w:rPr>
                                <w:b/>
                                <w:color w:val="FFFFFF"/>
                                <w:spacing w:val="-2"/>
                                <w:sz w:val="20"/>
                              </w:rPr>
                              <w:t> </w:t>
                            </w:r>
                            <w:r>
                              <w:rPr>
                                <w:b/>
                                <w:color w:val="FFFFFF"/>
                                <w:sz w:val="20"/>
                              </w:rPr>
                              <w:t>COUNTY</w:t>
                            </w:r>
                            <w:r>
                              <w:rPr>
                                <w:b/>
                                <w:color w:val="FFFFFF"/>
                                <w:spacing w:val="-1"/>
                                <w:sz w:val="20"/>
                              </w:rPr>
                              <w:t> </w:t>
                            </w:r>
                            <w:r>
                              <w:rPr>
                                <w:b/>
                                <w:color w:val="FFFFFF"/>
                                <w:sz w:val="20"/>
                              </w:rPr>
                              <w:t>PRIORITIZATION</w:t>
                            </w:r>
                            <w:r>
                              <w:rPr>
                                <w:b/>
                                <w:color w:val="FFFFFF"/>
                                <w:spacing w:val="-2"/>
                                <w:sz w:val="20"/>
                              </w:rPr>
                              <w:t> AGENCIES</w:t>
                            </w:r>
                          </w:p>
                        </w:txbxContent>
                      </wps:txbx>
                      <wps:bodyPr wrap="square" lIns="0" tIns="0" rIns="0" bIns="0" rtlCol="0">
                        <a:noAutofit/>
                      </wps:bodyPr>
                    </wps:wsp>
                  </a:graphicData>
                </a:graphic>
              </wp:anchor>
            </w:drawing>
          </mc:Choice>
          <mc:Fallback>
            <w:pict>
              <v:shape style="position:absolute;margin-left:665.40509pt;margin-top:10.307861pt;width:504.5pt;height:25.1pt;mso-position-horizontal-relative:page;mso-position-vertical-relative:paragraph;z-index:-15626240;mso-wrap-distance-left:0;mso-wrap-distance-right:0" type="#_x0000_t202" id="docshape844" filled="true" fillcolor="#939598" stroked="true" strokeweight=".25pt" strokecolor="#636466">
                <v:textbox inset="0,0,0,0">
                  <w:txbxContent>
                    <w:p>
                      <w:pPr>
                        <w:spacing w:before="160"/>
                        <w:ind w:left="2" w:right="0" w:firstLine="0"/>
                        <w:jc w:val="center"/>
                        <w:rPr>
                          <w:b/>
                          <w:color w:val="000000"/>
                          <w:sz w:val="20"/>
                        </w:rPr>
                      </w:pPr>
                      <w:r>
                        <w:rPr>
                          <w:b/>
                          <w:color w:val="FFFFFF"/>
                          <w:sz w:val="20"/>
                        </w:rPr>
                        <w:t>SCHUYLER</w:t>
                      </w:r>
                      <w:r>
                        <w:rPr>
                          <w:b/>
                          <w:color w:val="FFFFFF"/>
                          <w:spacing w:val="-2"/>
                          <w:sz w:val="20"/>
                        </w:rPr>
                        <w:t> </w:t>
                      </w:r>
                      <w:r>
                        <w:rPr>
                          <w:b/>
                          <w:color w:val="FFFFFF"/>
                          <w:sz w:val="20"/>
                        </w:rPr>
                        <w:t>COUNTY</w:t>
                      </w:r>
                      <w:r>
                        <w:rPr>
                          <w:b/>
                          <w:color w:val="FFFFFF"/>
                          <w:spacing w:val="-1"/>
                          <w:sz w:val="20"/>
                        </w:rPr>
                        <w:t> </w:t>
                      </w:r>
                      <w:r>
                        <w:rPr>
                          <w:b/>
                          <w:color w:val="FFFFFF"/>
                          <w:sz w:val="20"/>
                        </w:rPr>
                        <w:t>PRIORITIZATION</w:t>
                      </w:r>
                      <w:r>
                        <w:rPr>
                          <w:b/>
                          <w:color w:val="FFFFFF"/>
                          <w:spacing w:val="-2"/>
                          <w:sz w:val="20"/>
                        </w:rPr>
                        <w:t> AGENCIES</w:t>
                      </w:r>
                    </w:p>
                  </w:txbxContent>
                </v:textbox>
                <v:fill type="solid"/>
                <v:stroke dashstyle="solid"/>
                <w10:wrap type="topAndBottom"/>
              </v:shape>
            </w:pict>
          </mc:Fallback>
        </mc:AlternateContent>
      </w:r>
    </w:p>
    <w:p>
      <w:pPr>
        <w:pStyle w:val="BodyText"/>
        <w:tabs>
          <w:tab w:pos="4687" w:val="left" w:leader="none"/>
          <w:tab w:pos="8280" w:val="left" w:leader="none"/>
        </w:tabs>
        <w:spacing w:line="408" w:lineRule="auto" w:before="102"/>
        <w:ind w:left="1162" w:right="484"/>
      </w:pPr>
      <w:r>
        <w:rPr>
          <w:color w:val="105C84"/>
        </w:rPr>
        <w:t>Schuyler County Public Health</w:t>
        <w:tab/>
        <w:t>S2AY Rural Health Network</w:t>
        <w:tab/>
        <w:t>Common Ground Health Cancer Services Program</w:t>
        <w:tab/>
        <w:t>Odessa Montour CSD</w:t>
        <w:tab/>
        <w:t>Schuyler</w:t>
      </w:r>
      <w:r>
        <w:rPr>
          <w:color w:val="105C84"/>
          <w:spacing w:val="-11"/>
        </w:rPr>
        <w:t> </w:t>
      </w:r>
      <w:r>
        <w:rPr>
          <w:color w:val="105C84"/>
        </w:rPr>
        <w:t>County</w:t>
      </w:r>
      <w:r>
        <w:rPr>
          <w:color w:val="105C84"/>
          <w:spacing w:val="-11"/>
        </w:rPr>
        <w:t> </w:t>
      </w:r>
      <w:r>
        <w:rPr>
          <w:color w:val="105C84"/>
        </w:rPr>
        <w:t>Legislature Care First</w:t>
        <w:tab/>
        <w:t>Schuyler Hospital</w:t>
        <w:tab/>
        <w:t>Community Members</w:t>
      </w:r>
    </w:p>
    <w:p>
      <w:pPr>
        <w:pStyle w:val="BodyText"/>
        <w:tabs>
          <w:tab w:pos="4687" w:val="left" w:leader="none"/>
          <w:tab w:pos="8280" w:val="left" w:leader="none"/>
        </w:tabs>
        <w:spacing w:line="252" w:lineRule="exact"/>
        <w:ind w:left="1162"/>
      </w:pPr>
      <w:r>
        <w:rPr/>
        <mc:AlternateContent>
          <mc:Choice Requires="wps">
            <w:drawing>
              <wp:anchor distT="0" distB="0" distL="0" distR="0" allowOverlap="1" layoutInCell="1" locked="0" behindDoc="0" simplePos="0" relativeHeight="15838208">
                <wp:simplePos x="0" y="0"/>
                <wp:positionH relativeFrom="page">
                  <wp:posOffset>10689337</wp:posOffset>
                </wp:positionH>
                <wp:positionV relativeFrom="paragraph">
                  <wp:posOffset>-611001</wp:posOffset>
                </wp:positionV>
                <wp:extent cx="2075814" cy="1270"/>
                <wp:effectExtent l="0" t="0" r="0" b="0"/>
                <wp:wrapNone/>
                <wp:docPr id="1024" name="Graphic 1024"/>
                <wp:cNvGraphicFramePr>
                  <a:graphicFrameLocks/>
                </wp:cNvGraphicFramePr>
                <a:graphic>
                  <a:graphicData uri="http://schemas.microsoft.com/office/word/2010/wordprocessingShape">
                    <wps:wsp>
                      <wps:cNvPr id="1024" name="Graphic 1024"/>
                      <wps:cNvSpPr/>
                      <wps:spPr>
                        <a:xfrm>
                          <a:off x="0" y="0"/>
                          <a:ext cx="2075814" cy="1270"/>
                        </a:xfrm>
                        <a:custGeom>
                          <a:avLst/>
                          <a:gdLst/>
                          <a:ahLst/>
                          <a:cxnLst/>
                          <a:rect l="l" t="t" r="r" b="b"/>
                          <a:pathLst>
                            <a:path w="2075814" h="0">
                              <a:moveTo>
                                <a:pt x="0" y="0"/>
                              </a:moveTo>
                              <a:lnTo>
                                <a:pt x="2075688" y="0"/>
                              </a:lnTo>
                            </a:path>
                          </a:pathLst>
                        </a:custGeom>
                        <a:ln w="3175">
                          <a:solidFill>
                            <a:srgbClr val="63646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38208" from="841.680115pt,-48.110321pt" to="1005.120115pt,-48.110321pt" stroked="true" strokeweight=".25pt" strokecolor="#636466">
                <v:stroke dashstyle="solid"/>
                <w10:wrap type="none"/>
              </v:line>
            </w:pict>
          </mc:Fallback>
        </mc:AlternateContent>
      </w:r>
      <w:r>
        <w:rPr/>
        <mc:AlternateContent>
          <mc:Choice Requires="wps">
            <w:drawing>
              <wp:anchor distT="0" distB="0" distL="0" distR="0" allowOverlap="1" layoutInCell="1" locked="0" behindDoc="0" simplePos="0" relativeHeight="15838720">
                <wp:simplePos x="0" y="0"/>
                <wp:positionH relativeFrom="page">
                  <wp:posOffset>10689337</wp:posOffset>
                </wp:positionH>
                <wp:positionV relativeFrom="paragraph">
                  <wp:posOffset>-337961</wp:posOffset>
                </wp:positionV>
                <wp:extent cx="2075814" cy="1270"/>
                <wp:effectExtent l="0" t="0" r="0" b="0"/>
                <wp:wrapNone/>
                <wp:docPr id="1025" name="Graphic 1025"/>
                <wp:cNvGraphicFramePr>
                  <a:graphicFrameLocks/>
                </wp:cNvGraphicFramePr>
                <a:graphic>
                  <a:graphicData uri="http://schemas.microsoft.com/office/word/2010/wordprocessingShape">
                    <wps:wsp>
                      <wps:cNvPr id="1025" name="Graphic 1025"/>
                      <wps:cNvSpPr/>
                      <wps:spPr>
                        <a:xfrm>
                          <a:off x="0" y="0"/>
                          <a:ext cx="2075814" cy="1270"/>
                        </a:xfrm>
                        <a:custGeom>
                          <a:avLst/>
                          <a:gdLst/>
                          <a:ahLst/>
                          <a:cxnLst/>
                          <a:rect l="l" t="t" r="r" b="b"/>
                          <a:pathLst>
                            <a:path w="2075814" h="0">
                              <a:moveTo>
                                <a:pt x="0" y="0"/>
                              </a:moveTo>
                              <a:lnTo>
                                <a:pt x="2075688" y="0"/>
                              </a:lnTo>
                            </a:path>
                          </a:pathLst>
                        </a:custGeom>
                        <a:ln w="3175">
                          <a:solidFill>
                            <a:srgbClr val="63646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38720" from="841.680115pt,-26.611122pt" to="1005.120115pt,-26.611122pt" stroked="true" strokeweight=".25pt" strokecolor="#636466">
                <v:stroke dashstyle="solid"/>
                <w10:wrap type="none"/>
              </v:line>
            </w:pict>
          </mc:Fallback>
        </mc:AlternateContent>
      </w:r>
      <w:r>
        <w:rPr/>
        <mc:AlternateContent>
          <mc:Choice Requires="wps">
            <w:drawing>
              <wp:anchor distT="0" distB="0" distL="0" distR="0" allowOverlap="1" layoutInCell="1" locked="0" behindDoc="0" simplePos="0" relativeHeight="15839232">
                <wp:simplePos x="0" y="0"/>
                <wp:positionH relativeFrom="page">
                  <wp:posOffset>10689337</wp:posOffset>
                </wp:positionH>
                <wp:positionV relativeFrom="paragraph">
                  <wp:posOffset>-64921</wp:posOffset>
                </wp:positionV>
                <wp:extent cx="2075814" cy="1270"/>
                <wp:effectExtent l="0" t="0" r="0" b="0"/>
                <wp:wrapNone/>
                <wp:docPr id="1026" name="Graphic 1026"/>
                <wp:cNvGraphicFramePr>
                  <a:graphicFrameLocks/>
                </wp:cNvGraphicFramePr>
                <a:graphic>
                  <a:graphicData uri="http://schemas.microsoft.com/office/word/2010/wordprocessingShape">
                    <wps:wsp>
                      <wps:cNvPr id="1026" name="Graphic 1026"/>
                      <wps:cNvSpPr/>
                      <wps:spPr>
                        <a:xfrm>
                          <a:off x="0" y="0"/>
                          <a:ext cx="2075814" cy="1270"/>
                        </a:xfrm>
                        <a:custGeom>
                          <a:avLst/>
                          <a:gdLst/>
                          <a:ahLst/>
                          <a:cxnLst/>
                          <a:rect l="l" t="t" r="r" b="b"/>
                          <a:pathLst>
                            <a:path w="2075814" h="0">
                              <a:moveTo>
                                <a:pt x="0" y="0"/>
                              </a:moveTo>
                              <a:lnTo>
                                <a:pt x="2075688" y="0"/>
                              </a:lnTo>
                            </a:path>
                          </a:pathLst>
                        </a:custGeom>
                        <a:ln w="3175">
                          <a:solidFill>
                            <a:srgbClr val="63646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39232" from="841.680115pt,-5.111921pt" to="1005.120115pt,-5.111921pt" stroked="true" strokeweight=".25pt" strokecolor="#636466">
                <v:stroke dashstyle="solid"/>
                <w10:wrap type="none"/>
              </v:line>
            </w:pict>
          </mc:Fallback>
        </mc:AlternateContent>
      </w:r>
      <w:r>
        <w:rPr/>
        <mc:AlternateContent>
          <mc:Choice Requires="wps">
            <w:drawing>
              <wp:anchor distT="0" distB="0" distL="0" distR="0" allowOverlap="1" layoutInCell="1" locked="0" behindDoc="0" simplePos="0" relativeHeight="15841792">
                <wp:simplePos x="0" y="0"/>
                <wp:positionH relativeFrom="page">
                  <wp:posOffset>8450644</wp:posOffset>
                </wp:positionH>
                <wp:positionV relativeFrom="paragraph">
                  <wp:posOffset>-611001</wp:posOffset>
                </wp:positionV>
                <wp:extent cx="2028825" cy="1270"/>
                <wp:effectExtent l="0" t="0" r="0" b="0"/>
                <wp:wrapNone/>
                <wp:docPr id="1027" name="Graphic 1027"/>
                <wp:cNvGraphicFramePr>
                  <a:graphicFrameLocks/>
                </wp:cNvGraphicFramePr>
                <a:graphic>
                  <a:graphicData uri="http://schemas.microsoft.com/office/word/2010/wordprocessingShape">
                    <wps:wsp>
                      <wps:cNvPr id="1027" name="Graphic 1027"/>
                      <wps:cNvSpPr/>
                      <wps:spPr>
                        <a:xfrm>
                          <a:off x="0" y="0"/>
                          <a:ext cx="2028825" cy="1270"/>
                        </a:xfrm>
                        <a:custGeom>
                          <a:avLst/>
                          <a:gdLst/>
                          <a:ahLst/>
                          <a:cxnLst/>
                          <a:rect l="l" t="t" r="r" b="b"/>
                          <a:pathLst>
                            <a:path w="2028825" h="0">
                              <a:moveTo>
                                <a:pt x="0" y="0"/>
                              </a:moveTo>
                              <a:lnTo>
                                <a:pt x="2028380" y="0"/>
                              </a:lnTo>
                            </a:path>
                          </a:pathLst>
                        </a:custGeom>
                        <a:ln w="3175">
                          <a:solidFill>
                            <a:srgbClr val="63646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41792" from="665.40509pt,-48.110321pt" to="825.12009pt,-48.110321pt" stroked="true" strokeweight=".25pt" strokecolor="#636466">
                <v:stroke dashstyle="solid"/>
                <w10:wrap type="none"/>
              </v:line>
            </w:pict>
          </mc:Fallback>
        </mc:AlternateContent>
      </w:r>
      <w:r>
        <w:rPr/>
        <mc:AlternateContent>
          <mc:Choice Requires="wps">
            <w:drawing>
              <wp:anchor distT="0" distB="0" distL="0" distR="0" allowOverlap="1" layoutInCell="1" locked="0" behindDoc="0" simplePos="0" relativeHeight="15842304">
                <wp:simplePos x="0" y="0"/>
                <wp:positionH relativeFrom="page">
                  <wp:posOffset>12970765</wp:posOffset>
                </wp:positionH>
                <wp:positionV relativeFrom="paragraph">
                  <wp:posOffset>-611001</wp:posOffset>
                </wp:positionV>
                <wp:extent cx="1887220" cy="1270"/>
                <wp:effectExtent l="0" t="0" r="0" b="0"/>
                <wp:wrapNone/>
                <wp:docPr id="1028" name="Graphic 1028"/>
                <wp:cNvGraphicFramePr>
                  <a:graphicFrameLocks/>
                </wp:cNvGraphicFramePr>
                <a:graphic>
                  <a:graphicData uri="http://schemas.microsoft.com/office/word/2010/wordprocessingShape">
                    <wps:wsp>
                      <wps:cNvPr id="1028" name="Graphic 1028"/>
                      <wps:cNvSpPr/>
                      <wps:spPr>
                        <a:xfrm>
                          <a:off x="0" y="0"/>
                          <a:ext cx="1887220" cy="1270"/>
                        </a:xfrm>
                        <a:custGeom>
                          <a:avLst/>
                          <a:gdLst/>
                          <a:ahLst/>
                          <a:cxnLst/>
                          <a:rect l="l" t="t" r="r" b="b"/>
                          <a:pathLst>
                            <a:path w="1887220" h="0">
                              <a:moveTo>
                                <a:pt x="0" y="0"/>
                              </a:moveTo>
                              <a:lnTo>
                                <a:pt x="1886648" y="0"/>
                              </a:lnTo>
                            </a:path>
                          </a:pathLst>
                        </a:custGeom>
                        <a:ln w="3175">
                          <a:solidFill>
                            <a:srgbClr val="63646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42304" from="1021.320129pt,-48.110321pt" to="1169.875129pt,-48.110321pt" stroked="true" strokeweight=".25pt" strokecolor="#636466">
                <v:stroke dashstyle="solid"/>
                <w10:wrap type="none"/>
              </v:line>
            </w:pict>
          </mc:Fallback>
        </mc:AlternateContent>
      </w:r>
      <w:r>
        <w:rPr/>
        <mc:AlternateContent>
          <mc:Choice Requires="wps">
            <w:drawing>
              <wp:anchor distT="0" distB="0" distL="0" distR="0" allowOverlap="1" layoutInCell="1" locked="0" behindDoc="0" simplePos="0" relativeHeight="15842816">
                <wp:simplePos x="0" y="0"/>
                <wp:positionH relativeFrom="page">
                  <wp:posOffset>8450644</wp:posOffset>
                </wp:positionH>
                <wp:positionV relativeFrom="paragraph">
                  <wp:posOffset>-337961</wp:posOffset>
                </wp:positionV>
                <wp:extent cx="2028825" cy="1270"/>
                <wp:effectExtent l="0" t="0" r="0" b="0"/>
                <wp:wrapNone/>
                <wp:docPr id="1029" name="Graphic 1029"/>
                <wp:cNvGraphicFramePr>
                  <a:graphicFrameLocks/>
                </wp:cNvGraphicFramePr>
                <a:graphic>
                  <a:graphicData uri="http://schemas.microsoft.com/office/word/2010/wordprocessingShape">
                    <wps:wsp>
                      <wps:cNvPr id="1029" name="Graphic 1029"/>
                      <wps:cNvSpPr/>
                      <wps:spPr>
                        <a:xfrm>
                          <a:off x="0" y="0"/>
                          <a:ext cx="2028825" cy="1270"/>
                        </a:xfrm>
                        <a:custGeom>
                          <a:avLst/>
                          <a:gdLst/>
                          <a:ahLst/>
                          <a:cxnLst/>
                          <a:rect l="l" t="t" r="r" b="b"/>
                          <a:pathLst>
                            <a:path w="2028825" h="0">
                              <a:moveTo>
                                <a:pt x="0" y="0"/>
                              </a:moveTo>
                              <a:lnTo>
                                <a:pt x="2028380" y="0"/>
                              </a:lnTo>
                            </a:path>
                          </a:pathLst>
                        </a:custGeom>
                        <a:ln w="3175">
                          <a:solidFill>
                            <a:srgbClr val="63646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42816" from="665.40509pt,-26.611122pt" to="825.12009pt,-26.611122pt" stroked="true" strokeweight=".25pt" strokecolor="#636466">
                <v:stroke dashstyle="solid"/>
                <w10:wrap type="none"/>
              </v:line>
            </w:pict>
          </mc:Fallback>
        </mc:AlternateContent>
      </w:r>
      <w:r>
        <w:rPr/>
        <mc:AlternateContent>
          <mc:Choice Requires="wps">
            <w:drawing>
              <wp:anchor distT="0" distB="0" distL="0" distR="0" allowOverlap="1" layoutInCell="1" locked="0" behindDoc="0" simplePos="0" relativeHeight="15843328">
                <wp:simplePos x="0" y="0"/>
                <wp:positionH relativeFrom="page">
                  <wp:posOffset>12970765</wp:posOffset>
                </wp:positionH>
                <wp:positionV relativeFrom="paragraph">
                  <wp:posOffset>-337961</wp:posOffset>
                </wp:positionV>
                <wp:extent cx="1887220" cy="1270"/>
                <wp:effectExtent l="0" t="0" r="0" b="0"/>
                <wp:wrapNone/>
                <wp:docPr id="1030" name="Graphic 1030"/>
                <wp:cNvGraphicFramePr>
                  <a:graphicFrameLocks/>
                </wp:cNvGraphicFramePr>
                <a:graphic>
                  <a:graphicData uri="http://schemas.microsoft.com/office/word/2010/wordprocessingShape">
                    <wps:wsp>
                      <wps:cNvPr id="1030" name="Graphic 1030"/>
                      <wps:cNvSpPr/>
                      <wps:spPr>
                        <a:xfrm>
                          <a:off x="0" y="0"/>
                          <a:ext cx="1887220" cy="1270"/>
                        </a:xfrm>
                        <a:custGeom>
                          <a:avLst/>
                          <a:gdLst/>
                          <a:ahLst/>
                          <a:cxnLst/>
                          <a:rect l="l" t="t" r="r" b="b"/>
                          <a:pathLst>
                            <a:path w="1887220" h="0">
                              <a:moveTo>
                                <a:pt x="0" y="0"/>
                              </a:moveTo>
                              <a:lnTo>
                                <a:pt x="1886648" y="0"/>
                              </a:lnTo>
                            </a:path>
                          </a:pathLst>
                        </a:custGeom>
                        <a:ln w="3175">
                          <a:solidFill>
                            <a:srgbClr val="63646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43328" from="1021.320129pt,-26.611122pt" to="1169.875129pt,-26.611122pt" stroked="true" strokeweight=".25pt" strokecolor="#636466">
                <v:stroke dashstyle="solid"/>
                <w10:wrap type="none"/>
              </v:line>
            </w:pict>
          </mc:Fallback>
        </mc:AlternateContent>
      </w:r>
      <w:r>
        <w:rPr/>
        <mc:AlternateContent>
          <mc:Choice Requires="wps">
            <w:drawing>
              <wp:anchor distT="0" distB="0" distL="0" distR="0" allowOverlap="1" layoutInCell="1" locked="0" behindDoc="0" simplePos="0" relativeHeight="15843840">
                <wp:simplePos x="0" y="0"/>
                <wp:positionH relativeFrom="page">
                  <wp:posOffset>8450644</wp:posOffset>
                </wp:positionH>
                <wp:positionV relativeFrom="paragraph">
                  <wp:posOffset>-64921</wp:posOffset>
                </wp:positionV>
                <wp:extent cx="2028825" cy="1270"/>
                <wp:effectExtent l="0" t="0" r="0" b="0"/>
                <wp:wrapNone/>
                <wp:docPr id="1031" name="Graphic 1031"/>
                <wp:cNvGraphicFramePr>
                  <a:graphicFrameLocks/>
                </wp:cNvGraphicFramePr>
                <a:graphic>
                  <a:graphicData uri="http://schemas.microsoft.com/office/word/2010/wordprocessingShape">
                    <wps:wsp>
                      <wps:cNvPr id="1031" name="Graphic 1031"/>
                      <wps:cNvSpPr/>
                      <wps:spPr>
                        <a:xfrm>
                          <a:off x="0" y="0"/>
                          <a:ext cx="2028825" cy="1270"/>
                        </a:xfrm>
                        <a:custGeom>
                          <a:avLst/>
                          <a:gdLst/>
                          <a:ahLst/>
                          <a:cxnLst/>
                          <a:rect l="l" t="t" r="r" b="b"/>
                          <a:pathLst>
                            <a:path w="2028825" h="0">
                              <a:moveTo>
                                <a:pt x="0" y="0"/>
                              </a:moveTo>
                              <a:lnTo>
                                <a:pt x="2028380" y="0"/>
                              </a:lnTo>
                            </a:path>
                          </a:pathLst>
                        </a:custGeom>
                        <a:ln w="3175">
                          <a:solidFill>
                            <a:srgbClr val="63646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43840" from="665.40509pt,-5.111921pt" to="825.12009pt,-5.111921pt" stroked="true" strokeweight=".25pt" strokecolor="#636466">
                <v:stroke dashstyle="solid"/>
                <w10:wrap type="none"/>
              </v:line>
            </w:pict>
          </mc:Fallback>
        </mc:AlternateContent>
      </w:r>
      <w:r>
        <w:rPr/>
        <mc:AlternateContent>
          <mc:Choice Requires="wps">
            <w:drawing>
              <wp:anchor distT="0" distB="0" distL="0" distR="0" allowOverlap="1" layoutInCell="1" locked="0" behindDoc="0" simplePos="0" relativeHeight="15844352">
                <wp:simplePos x="0" y="0"/>
                <wp:positionH relativeFrom="page">
                  <wp:posOffset>12970765</wp:posOffset>
                </wp:positionH>
                <wp:positionV relativeFrom="paragraph">
                  <wp:posOffset>-64921</wp:posOffset>
                </wp:positionV>
                <wp:extent cx="1887220" cy="1270"/>
                <wp:effectExtent l="0" t="0" r="0" b="0"/>
                <wp:wrapNone/>
                <wp:docPr id="1032" name="Graphic 1032"/>
                <wp:cNvGraphicFramePr>
                  <a:graphicFrameLocks/>
                </wp:cNvGraphicFramePr>
                <a:graphic>
                  <a:graphicData uri="http://schemas.microsoft.com/office/word/2010/wordprocessingShape">
                    <wps:wsp>
                      <wps:cNvPr id="1032" name="Graphic 1032"/>
                      <wps:cNvSpPr/>
                      <wps:spPr>
                        <a:xfrm>
                          <a:off x="0" y="0"/>
                          <a:ext cx="1887220" cy="1270"/>
                        </a:xfrm>
                        <a:custGeom>
                          <a:avLst/>
                          <a:gdLst/>
                          <a:ahLst/>
                          <a:cxnLst/>
                          <a:rect l="l" t="t" r="r" b="b"/>
                          <a:pathLst>
                            <a:path w="1887220" h="0">
                              <a:moveTo>
                                <a:pt x="0" y="0"/>
                              </a:moveTo>
                              <a:lnTo>
                                <a:pt x="1886648" y="0"/>
                              </a:lnTo>
                            </a:path>
                          </a:pathLst>
                        </a:custGeom>
                        <a:ln w="3175">
                          <a:solidFill>
                            <a:srgbClr val="63646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44352" from="1021.320129pt,-5.111921pt" to="1169.875129pt,-5.111921pt" stroked="true" strokeweight=".25pt" strokecolor="#636466">
                <v:stroke dashstyle="solid"/>
                <w10:wrap type="none"/>
              </v:line>
            </w:pict>
          </mc:Fallback>
        </mc:AlternateContent>
      </w:r>
      <w:r>
        <w:rPr>
          <w:color w:val="105C84"/>
        </w:rPr>
        <w:t>Office</w:t>
      </w:r>
      <w:r>
        <w:rPr>
          <w:color w:val="105C84"/>
          <w:spacing w:val="16"/>
        </w:rPr>
        <w:t> </w:t>
      </w:r>
      <w:r>
        <w:rPr>
          <w:color w:val="105C84"/>
        </w:rPr>
        <w:t>for</w:t>
      </w:r>
      <w:r>
        <w:rPr>
          <w:color w:val="105C84"/>
          <w:spacing w:val="17"/>
        </w:rPr>
        <w:t> </w:t>
      </w:r>
      <w:r>
        <w:rPr>
          <w:color w:val="105C84"/>
          <w:spacing w:val="-2"/>
        </w:rPr>
        <w:t>Aging</w:t>
      </w:r>
      <w:r>
        <w:rPr>
          <w:color w:val="105C84"/>
        </w:rPr>
        <w:tab/>
        <w:t>Fidelis</w:t>
      </w:r>
      <w:r>
        <w:rPr>
          <w:color w:val="105C84"/>
          <w:spacing w:val="4"/>
        </w:rPr>
        <w:t> </w:t>
      </w:r>
      <w:r>
        <w:rPr>
          <w:color w:val="105C84"/>
          <w:spacing w:val="-4"/>
        </w:rPr>
        <w:t>Care</w:t>
      </w:r>
      <w:r>
        <w:rPr>
          <w:color w:val="105C84"/>
        </w:rPr>
        <w:tab/>
        <w:t>Montour</w:t>
      </w:r>
      <w:r>
        <w:rPr>
          <w:color w:val="105C84"/>
          <w:spacing w:val="14"/>
        </w:rPr>
        <w:t> </w:t>
      </w:r>
      <w:r>
        <w:rPr>
          <w:color w:val="105C84"/>
        </w:rPr>
        <w:t>Falls</w:t>
      </w:r>
      <w:r>
        <w:rPr>
          <w:color w:val="105C84"/>
          <w:spacing w:val="15"/>
        </w:rPr>
        <w:t> </w:t>
      </w:r>
      <w:r>
        <w:rPr>
          <w:color w:val="105C84"/>
          <w:spacing w:val="-2"/>
        </w:rPr>
        <w:t>Library</w:t>
      </w:r>
    </w:p>
    <w:p>
      <w:pPr>
        <w:pStyle w:val="BodyText"/>
        <w:spacing w:before="5"/>
        <w:rPr>
          <w:sz w:val="4"/>
        </w:rPr>
      </w:pPr>
      <w:r>
        <w:rPr>
          <w:sz w:val="4"/>
        </w:rPr>
        <mc:AlternateContent>
          <mc:Choice Requires="wps">
            <w:drawing>
              <wp:anchor distT="0" distB="0" distL="0" distR="0" allowOverlap="1" layoutInCell="1" locked="0" behindDoc="1" simplePos="0" relativeHeight="487690752">
                <wp:simplePos x="0" y="0"/>
                <wp:positionH relativeFrom="page">
                  <wp:posOffset>8450644</wp:posOffset>
                </wp:positionH>
                <wp:positionV relativeFrom="paragraph">
                  <wp:posOffset>47827</wp:posOffset>
                </wp:positionV>
                <wp:extent cx="2028825" cy="1270"/>
                <wp:effectExtent l="0" t="0" r="0" b="0"/>
                <wp:wrapTopAndBottom/>
                <wp:docPr id="1033" name="Graphic 1033"/>
                <wp:cNvGraphicFramePr>
                  <a:graphicFrameLocks/>
                </wp:cNvGraphicFramePr>
                <a:graphic>
                  <a:graphicData uri="http://schemas.microsoft.com/office/word/2010/wordprocessingShape">
                    <wps:wsp>
                      <wps:cNvPr id="1033" name="Graphic 1033"/>
                      <wps:cNvSpPr/>
                      <wps:spPr>
                        <a:xfrm>
                          <a:off x="0" y="0"/>
                          <a:ext cx="2028825" cy="1270"/>
                        </a:xfrm>
                        <a:custGeom>
                          <a:avLst/>
                          <a:gdLst/>
                          <a:ahLst/>
                          <a:cxnLst/>
                          <a:rect l="l" t="t" r="r" b="b"/>
                          <a:pathLst>
                            <a:path w="2028825" h="0">
                              <a:moveTo>
                                <a:pt x="0" y="0"/>
                              </a:moveTo>
                              <a:lnTo>
                                <a:pt x="2028380" y="0"/>
                              </a:lnTo>
                            </a:path>
                          </a:pathLst>
                        </a:custGeom>
                        <a:ln w="3175">
                          <a:solidFill>
                            <a:srgbClr val="636466"/>
                          </a:solidFill>
                          <a:prstDash val="solid"/>
                        </a:ln>
                      </wps:spPr>
                      <wps:bodyPr wrap="square" lIns="0" tIns="0" rIns="0" bIns="0" rtlCol="0">
                        <a:prstTxWarp prst="textNoShape">
                          <a:avLst/>
                        </a:prstTxWarp>
                        <a:noAutofit/>
                      </wps:bodyPr>
                    </wps:wsp>
                  </a:graphicData>
                </a:graphic>
              </wp:anchor>
            </w:drawing>
          </mc:Choice>
          <mc:Fallback>
            <w:pict>
              <v:shape style="position:absolute;margin-left:665.40509pt;margin-top:3.76591pt;width:159.75pt;height:.1pt;mso-position-horizontal-relative:page;mso-position-vertical-relative:paragraph;z-index:-15625728;mso-wrap-distance-left:0;mso-wrap-distance-right:0" id="docshape845" coordorigin="13308,75" coordsize="3195,0" path="m13308,75l16502,75e" filled="false" stroked="true" strokeweight=".25pt" strokecolor="#636466">
                <v:path arrowok="t"/>
                <v:stroke dashstyle="solid"/>
                <w10:wrap type="topAndBottom"/>
              </v:shape>
            </w:pict>
          </mc:Fallback>
        </mc:AlternateContent>
      </w:r>
      <w:r>
        <w:rPr>
          <w:sz w:val="4"/>
        </w:rPr>
        <mc:AlternateContent>
          <mc:Choice Requires="wps">
            <w:drawing>
              <wp:anchor distT="0" distB="0" distL="0" distR="0" allowOverlap="1" layoutInCell="1" locked="0" behindDoc="1" simplePos="0" relativeHeight="487691264">
                <wp:simplePos x="0" y="0"/>
                <wp:positionH relativeFrom="page">
                  <wp:posOffset>10689337</wp:posOffset>
                </wp:positionH>
                <wp:positionV relativeFrom="paragraph">
                  <wp:posOffset>47827</wp:posOffset>
                </wp:positionV>
                <wp:extent cx="2075814" cy="1270"/>
                <wp:effectExtent l="0" t="0" r="0" b="0"/>
                <wp:wrapTopAndBottom/>
                <wp:docPr id="1034" name="Graphic 1034"/>
                <wp:cNvGraphicFramePr>
                  <a:graphicFrameLocks/>
                </wp:cNvGraphicFramePr>
                <a:graphic>
                  <a:graphicData uri="http://schemas.microsoft.com/office/word/2010/wordprocessingShape">
                    <wps:wsp>
                      <wps:cNvPr id="1034" name="Graphic 1034"/>
                      <wps:cNvSpPr/>
                      <wps:spPr>
                        <a:xfrm>
                          <a:off x="0" y="0"/>
                          <a:ext cx="2075814" cy="1270"/>
                        </a:xfrm>
                        <a:custGeom>
                          <a:avLst/>
                          <a:gdLst/>
                          <a:ahLst/>
                          <a:cxnLst/>
                          <a:rect l="l" t="t" r="r" b="b"/>
                          <a:pathLst>
                            <a:path w="2075814" h="0">
                              <a:moveTo>
                                <a:pt x="0" y="0"/>
                              </a:moveTo>
                              <a:lnTo>
                                <a:pt x="2075688" y="0"/>
                              </a:lnTo>
                            </a:path>
                          </a:pathLst>
                        </a:custGeom>
                        <a:ln w="3175">
                          <a:solidFill>
                            <a:srgbClr val="636466"/>
                          </a:solidFill>
                          <a:prstDash val="solid"/>
                        </a:ln>
                      </wps:spPr>
                      <wps:bodyPr wrap="square" lIns="0" tIns="0" rIns="0" bIns="0" rtlCol="0">
                        <a:prstTxWarp prst="textNoShape">
                          <a:avLst/>
                        </a:prstTxWarp>
                        <a:noAutofit/>
                      </wps:bodyPr>
                    </wps:wsp>
                  </a:graphicData>
                </a:graphic>
              </wp:anchor>
            </w:drawing>
          </mc:Choice>
          <mc:Fallback>
            <w:pict>
              <v:shape style="position:absolute;margin-left:841.680115pt;margin-top:3.76591pt;width:163.450pt;height:.1pt;mso-position-horizontal-relative:page;mso-position-vertical-relative:paragraph;z-index:-15625216;mso-wrap-distance-left:0;mso-wrap-distance-right:0" id="docshape846" coordorigin="16834,75" coordsize="3269,0" path="m16834,75l20102,75e" filled="false" stroked="true" strokeweight=".25pt" strokecolor="#636466">
                <v:path arrowok="t"/>
                <v:stroke dashstyle="solid"/>
                <w10:wrap type="topAndBottom"/>
              </v:shape>
            </w:pict>
          </mc:Fallback>
        </mc:AlternateContent>
      </w:r>
      <w:r>
        <w:rPr>
          <w:sz w:val="4"/>
        </w:rPr>
        <mc:AlternateContent>
          <mc:Choice Requires="wps">
            <w:drawing>
              <wp:anchor distT="0" distB="0" distL="0" distR="0" allowOverlap="1" layoutInCell="1" locked="0" behindDoc="1" simplePos="0" relativeHeight="487691776">
                <wp:simplePos x="0" y="0"/>
                <wp:positionH relativeFrom="page">
                  <wp:posOffset>12970765</wp:posOffset>
                </wp:positionH>
                <wp:positionV relativeFrom="paragraph">
                  <wp:posOffset>47827</wp:posOffset>
                </wp:positionV>
                <wp:extent cx="1887220" cy="1270"/>
                <wp:effectExtent l="0" t="0" r="0" b="0"/>
                <wp:wrapTopAndBottom/>
                <wp:docPr id="1035" name="Graphic 1035"/>
                <wp:cNvGraphicFramePr>
                  <a:graphicFrameLocks/>
                </wp:cNvGraphicFramePr>
                <a:graphic>
                  <a:graphicData uri="http://schemas.microsoft.com/office/word/2010/wordprocessingShape">
                    <wps:wsp>
                      <wps:cNvPr id="1035" name="Graphic 1035"/>
                      <wps:cNvSpPr/>
                      <wps:spPr>
                        <a:xfrm>
                          <a:off x="0" y="0"/>
                          <a:ext cx="1887220" cy="1270"/>
                        </a:xfrm>
                        <a:custGeom>
                          <a:avLst/>
                          <a:gdLst/>
                          <a:ahLst/>
                          <a:cxnLst/>
                          <a:rect l="l" t="t" r="r" b="b"/>
                          <a:pathLst>
                            <a:path w="1887220" h="0">
                              <a:moveTo>
                                <a:pt x="0" y="0"/>
                              </a:moveTo>
                              <a:lnTo>
                                <a:pt x="1886648" y="0"/>
                              </a:lnTo>
                            </a:path>
                          </a:pathLst>
                        </a:custGeom>
                        <a:ln w="3175">
                          <a:solidFill>
                            <a:srgbClr val="636466"/>
                          </a:solidFill>
                          <a:prstDash val="solid"/>
                        </a:ln>
                      </wps:spPr>
                      <wps:bodyPr wrap="square" lIns="0" tIns="0" rIns="0" bIns="0" rtlCol="0">
                        <a:prstTxWarp prst="textNoShape">
                          <a:avLst/>
                        </a:prstTxWarp>
                        <a:noAutofit/>
                      </wps:bodyPr>
                    </wps:wsp>
                  </a:graphicData>
                </a:graphic>
              </wp:anchor>
            </w:drawing>
          </mc:Choice>
          <mc:Fallback>
            <w:pict>
              <v:shape style="position:absolute;margin-left:1021.320129pt;margin-top:3.76591pt;width:148.6pt;height:.1pt;mso-position-horizontal-relative:page;mso-position-vertical-relative:paragraph;z-index:-15624704;mso-wrap-distance-left:0;mso-wrap-distance-right:0" id="docshape847" coordorigin="20426,75" coordsize="2972,0" path="m20426,75l23398,75e" filled="false" stroked="true" strokeweight=".25pt" strokecolor="#636466">
                <v:path arrowok="t"/>
                <v:stroke dashstyle="solid"/>
                <w10:wrap type="topAndBottom"/>
              </v:shape>
            </w:pict>
          </mc:Fallback>
        </mc:AlternateContent>
      </w:r>
    </w:p>
    <w:p>
      <w:pPr>
        <w:pStyle w:val="BodyText"/>
        <w:tabs>
          <w:tab w:pos="4687" w:val="left" w:leader="none"/>
          <w:tab w:pos="8280" w:val="left" w:leader="none"/>
        </w:tabs>
        <w:spacing w:line="194" w:lineRule="exact" w:before="99"/>
        <w:ind w:left="1162"/>
      </w:pPr>
      <w:r>
        <w:rPr>
          <w:color w:val="105C84"/>
        </w:rPr>
        <w:t>SUNY</w:t>
      </w:r>
      <w:r>
        <w:rPr>
          <w:color w:val="105C84"/>
          <w:spacing w:val="-12"/>
        </w:rPr>
        <w:t> </w:t>
      </w:r>
      <w:r>
        <w:rPr>
          <w:color w:val="105C84"/>
        </w:rPr>
        <w:t>Empire</w:t>
      </w:r>
      <w:r>
        <w:rPr>
          <w:color w:val="105C84"/>
          <w:spacing w:val="-11"/>
        </w:rPr>
        <w:t> </w:t>
      </w:r>
      <w:r>
        <w:rPr>
          <w:color w:val="105C84"/>
        </w:rPr>
        <w:t>State</w:t>
      </w:r>
      <w:r>
        <w:rPr>
          <w:color w:val="105C84"/>
          <w:spacing w:val="-12"/>
        </w:rPr>
        <w:t> </w:t>
      </w:r>
      <w:r>
        <w:rPr>
          <w:color w:val="105C84"/>
          <w:spacing w:val="-2"/>
        </w:rPr>
        <w:t>College</w:t>
      </w:r>
      <w:r>
        <w:rPr>
          <w:color w:val="105C84"/>
        </w:rPr>
        <w:tab/>
      </w:r>
      <w:r>
        <w:rPr>
          <w:color w:val="105C84"/>
          <w:spacing w:val="-4"/>
        </w:rPr>
        <w:t>Seneca View</w:t>
      </w:r>
      <w:r>
        <w:rPr>
          <w:color w:val="105C84"/>
        </w:rPr>
        <w:tab/>
        <w:t>Bradford</w:t>
      </w:r>
      <w:r>
        <w:rPr>
          <w:color w:val="105C84"/>
          <w:spacing w:val="26"/>
        </w:rPr>
        <w:t> </w:t>
      </w:r>
      <w:r>
        <w:rPr>
          <w:color w:val="105C84"/>
          <w:spacing w:val="-2"/>
        </w:rPr>
        <w:t>School</w:t>
      </w:r>
    </w:p>
    <w:p>
      <w:pPr>
        <w:pStyle w:val="BodyText"/>
        <w:spacing w:after="0" w:line="194" w:lineRule="exact"/>
        <w:sectPr>
          <w:type w:val="continuous"/>
          <w:pgSz w:w="24480" w:h="15840" w:orient="landscape"/>
          <w:pgMar w:header="0" w:footer="0" w:top="0" w:bottom="280" w:left="0" w:right="720"/>
          <w:cols w:num="2" w:equalWidth="0">
            <w:col w:w="11217" w:space="1009"/>
            <w:col w:w="11534"/>
          </w:cols>
        </w:sectPr>
      </w:pPr>
    </w:p>
    <w:p>
      <w:pPr>
        <w:pStyle w:val="Heading6"/>
        <w:spacing w:before="16"/>
      </w:pPr>
      <w:r>
        <w:rPr>
          <w:color w:val="105C84"/>
          <w:spacing w:val="-4"/>
        </w:rPr>
        <w:t>Unique Characteristics</w:t>
      </w:r>
      <w:r>
        <w:rPr>
          <w:color w:val="105C84"/>
          <w:spacing w:val="-3"/>
        </w:rPr>
        <w:t> </w:t>
      </w:r>
      <w:r>
        <w:rPr>
          <w:color w:val="105C84"/>
          <w:spacing w:val="-4"/>
        </w:rPr>
        <w:t>Contributing</w:t>
      </w:r>
      <w:r>
        <w:rPr>
          <w:color w:val="105C84"/>
          <w:spacing w:val="-3"/>
        </w:rPr>
        <w:t> </w:t>
      </w:r>
      <w:r>
        <w:rPr>
          <w:color w:val="105C84"/>
          <w:spacing w:val="-4"/>
        </w:rPr>
        <w:t>to Health</w:t>
      </w:r>
      <w:r>
        <w:rPr>
          <w:color w:val="105C84"/>
          <w:spacing w:val="-3"/>
        </w:rPr>
        <w:t> </w:t>
      </w:r>
      <w:r>
        <w:rPr>
          <w:color w:val="105C84"/>
          <w:spacing w:val="-4"/>
        </w:rPr>
        <w:t>Status</w:t>
      </w:r>
    </w:p>
    <w:p>
      <w:pPr>
        <w:pStyle w:val="BodyText"/>
        <w:spacing w:line="247" w:lineRule="auto" w:before="253"/>
        <w:ind w:left="1080" w:right="38"/>
      </w:pPr>
      <w:r>
        <w:rPr>
          <w:color w:val="105C84"/>
        </w:rPr>
        <w:t>An interesting caveat to the booming tourist season is its effect on social norms. Throughout the</w:t>
      </w:r>
      <w:r>
        <w:rPr>
          <w:color w:val="105C84"/>
          <w:spacing w:val="80"/>
        </w:rPr>
        <w:t> </w:t>
      </w:r>
      <w:r>
        <w:rPr>
          <w:color w:val="105C84"/>
        </w:rPr>
        <w:t>Finger Lakes there is a strong tourism presence, particularly in the summer months where tourist and residents alike visit parks, hiking/walking paths and tour the county’s cheese trails. Local wine and</w:t>
      </w:r>
      <w:r>
        <w:rPr>
          <w:color w:val="105C84"/>
          <w:spacing w:val="80"/>
        </w:rPr>
        <w:t> </w:t>
      </w:r>
      <w:r>
        <w:rPr>
          <w:color w:val="105C84"/>
        </w:rPr>
        <w:t>craft</w:t>
      </w:r>
      <w:r>
        <w:rPr>
          <w:color w:val="105C84"/>
          <w:spacing w:val="13"/>
        </w:rPr>
        <w:t> </w:t>
      </w:r>
      <w:r>
        <w:rPr>
          <w:color w:val="105C84"/>
        </w:rPr>
        <w:t>beer</w:t>
      </w:r>
      <w:r>
        <w:rPr>
          <w:color w:val="105C84"/>
          <w:spacing w:val="13"/>
        </w:rPr>
        <w:t> </w:t>
      </w:r>
      <w:r>
        <w:rPr>
          <w:color w:val="105C84"/>
        </w:rPr>
        <w:t>trails</w:t>
      </w:r>
      <w:r>
        <w:rPr>
          <w:color w:val="105C84"/>
          <w:spacing w:val="13"/>
        </w:rPr>
        <w:t> </w:t>
      </w:r>
      <w:r>
        <w:rPr>
          <w:color w:val="105C84"/>
        </w:rPr>
        <w:t>are</w:t>
      </w:r>
      <w:r>
        <w:rPr>
          <w:color w:val="105C84"/>
          <w:spacing w:val="13"/>
        </w:rPr>
        <w:t> </w:t>
      </w:r>
      <w:r>
        <w:rPr>
          <w:color w:val="105C84"/>
        </w:rPr>
        <w:t>also</w:t>
      </w:r>
      <w:r>
        <w:rPr>
          <w:color w:val="105C84"/>
          <w:spacing w:val="13"/>
        </w:rPr>
        <w:t> </w:t>
      </w:r>
      <w:r>
        <w:rPr>
          <w:color w:val="105C84"/>
        </w:rPr>
        <w:t>quite</w:t>
      </w:r>
      <w:r>
        <w:rPr>
          <w:color w:val="105C84"/>
          <w:spacing w:val="13"/>
        </w:rPr>
        <w:t> </w:t>
      </w:r>
      <w:r>
        <w:rPr>
          <w:color w:val="105C84"/>
        </w:rPr>
        <w:t>popular</w:t>
      </w:r>
      <w:r>
        <w:rPr>
          <w:color w:val="105C84"/>
          <w:spacing w:val="13"/>
        </w:rPr>
        <w:t> </w:t>
      </w:r>
      <w:r>
        <w:rPr>
          <w:color w:val="105C84"/>
        </w:rPr>
        <w:t>yet</w:t>
      </w:r>
      <w:r>
        <w:rPr>
          <w:color w:val="105C84"/>
          <w:spacing w:val="13"/>
        </w:rPr>
        <w:t> </w:t>
      </w:r>
      <w:r>
        <w:rPr>
          <w:color w:val="105C84"/>
        </w:rPr>
        <w:t>bring</w:t>
      </w:r>
      <w:r>
        <w:rPr>
          <w:color w:val="105C84"/>
          <w:spacing w:val="13"/>
        </w:rPr>
        <w:t> </w:t>
      </w:r>
      <w:r>
        <w:rPr>
          <w:color w:val="105C84"/>
        </w:rPr>
        <w:t>about</w:t>
      </w:r>
      <w:r>
        <w:rPr>
          <w:color w:val="105C84"/>
          <w:spacing w:val="13"/>
        </w:rPr>
        <w:t> </w:t>
      </w:r>
      <w:r>
        <w:rPr>
          <w:color w:val="105C84"/>
        </w:rPr>
        <w:t>a</w:t>
      </w:r>
      <w:r>
        <w:rPr>
          <w:color w:val="105C84"/>
          <w:spacing w:val="13"/>
        </w:rPr>
        <w:t> </w:t>
      </w:r>
      <w:r>
        <w:rPr>
          <w:color w:val="105C84"/>
        </w:rPr>
        <w:t>sort</w:t>
      </w:r>
      <w:r>
        <w:rPr>
          <w:color w:val="105C84"/>
          <w:spacing w:val="13"/>
        </w:rPr>
        <w:t> </w:t>
      </w:r>
      <w:r>
        <w:rPr>
          <w:color w:val="105C84"/>
        </w:rPr>
        <w:t>of</w:t>
      </w:r>
      <w:r>
        <w:rPr>
          <w:color w:val="105C84"/>
          <w:spacing w:val="13"/>
        </w:rPr>
        <w:t> </w:t>
      </w:r>
      <w:r>
        <w:rPr>
          <w:color w:val="105C84"/>
        </w:rPr>
        <w:t>social</w:t>
      </w:r>
      <w:r>
        <w:rPr>
          <w:color w:val="105C84"/>
          <w:spacing w:val="13"/>
        </w:rPr>
        <w:t> </w:t>
      </w:r>
      <w:r>
        <w:rPr>
          <w:color w:val="105C84"/>
        </w:rPr>
        <w:t>norm</w:t>
      </w:r>
      <w:r>
        <w:rPr>
          <w:color w:val="105C84"/>
          <w:spacing w:val="13"/>
        </w:rPr>
        <w:t> </w:t>
      </w:r>
      <w:r>
        <w:rPr>
          <w:color w:val="105C84"/>
        </w:rPr>
        <w:t>around</w:t>
      </w:r>
      <w:r>
        <w:rPr>
          <w:color w:val="105C84"/>
          <w:spacing w:val="13"/>
        </w:rPr>
        <w:t> </w:t>
      </w:r>
      <w:r>
        <w:rPr>
          <w:color w:val="105C84"/>
        </w:rPr>
        <w:t>drinking.</w:t>
      </w:r>
      <w:r>
        <w:rPr>
          <w:color w:val="105C84"/>
          <w:spacing w:val="13"/>
        </w:rPr>
        <w:t> </w:t>
      </w:r>
      <w:r>
        <w:rPr>
          <w:color w:val="105C84"/>
        </w:rPr>
        <w:t>Schuyler</w:t>
      </w:r>
    </w:p>
    <w:p>
      <w:pPr>
        <w:pStyle w:val="BodyText"/>
        <w:spacing w:before="212"/>
      </w:pPr>
      <w:r>
        <w:rPr/>
        <w:br w:type="column"/>
      </w:r>
      <w:r>
        <w:rPr/>
      </w:r>
    </w:p>
    <w:p>
      <w:pPr>
        <w:pStyle w:val="BodyText"/>
        <w:ind w:left="1080"/>
      </w:pPr>
      <w:r>
        <w:rPr/>
        <mc:AlternateContent>
          <mc:Choice Requires="wps">
            <w:drawing>
              <wp:anchor distT="0" distB="0" distL="0" distR="0" allowOverlap="1" layoutInCell="1" locked="0" behindDoc="0" simplePos="0" relativeHeight="15840256">
                <wp:simplePos x="0" y="0"/>
                <wp:positionH relativeFrom="page">
                  <wp:posOffset>10689337</wp:posOffset>
                </wp:positionH>
                <wp:positionV relativeFrom="paragraph">
                  <wp:posOffset>-210146</wp:posOffset>
                </wp:positionV>
                <wp:extent cx="2075814" cy="1270"/>
                <wp:effectExtent l="0" t="0" r="0" b="0"/>
                <wp:wrapNone/>
                <wp:docPr id="1036" name="Graphic 1036"/>
                <wp:cNvGraphicFramePr>
                  <a:graphicFrameLocks/>
                </wp:cNvGraphicFramePr>
                <a:graphic>
                  <a:graphicData uri="http://schemas.microsoft.com/office/word/2010/wordprocessingShape">
                    <wps:wsp>
                      <wps:cNvPr id="1036" name="Graphic 1036"/>
                      <wps:cNvSpPr/>
                      <wps:spPr>
                        <a:xfrm>
                          <a:off x="0" y="0"/>
                          <a:ext cx="2075814" cy="1270"/>
                        </a:xfrm>
                        <a:custGeom>
                          <a:avLst/>
                          <a:gdLst/>
                          <a:ahLst/>
                          <a:cxnLst/>
                          <a:rect l="l" t="t" r="r" b="b"/>
                          <a:pathLst>
                            <a:path w="2075814" h="0">
                              <a:moveTo>
                                <a:pt x="0" y="0"/>
                              </a:moveTo>
                              <a:lnTo>
                                <a:pt x="2075688" y="0"/>
                              </a:lnTo>
                            </a:path>
                          </a:pathLst>
                        </a:custGeom>
                        <a:ln w="3175">
                          <a:solidFill>
                            <a:srgbClr val="63646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40256" from="841.680115pt,-16.546986pt" to="1005.120115pt,-16.546986pt" stroked="true" strokeweight=".25pt" strokecolor="#636466">
                <v:stroke dashstyle="solid"/>
                <w10:wrap type="none"/>
              </v:line>
            </w:pict>
          </mc:Fallback>
        </mc:AlternateContent>
      </w:r>
      <w:r>
        <w:rPr>
          <w:color w:val="105C84"/>
        </w:rPr>
        <w:t>Schuyler Hospital</w:t>
      </w:r>
      <w:r>
        <w:rPr>
          <w:color w:val="105C84"/>
          <w:spacing w:val="1"/>
        </w:rPr>
        <w:t> </w:t>
      </w:r>
      <w:r>
        <w:rPr>
          <w:color w:val="105C84"/>
          <w:spacing w:val="-5"/>
        </w:rPr>
        <w:t>PCC</w:t>
      </w:r>
    </w:p>
    <w:p>
      <w:pPr>
        <w:pStyle w:val="BodyText"/>
        <w:spacing w:before="118"/>
      </w:pPr>
    </w:p>
    <w:p>
      <w:pPr>
        <w:pStyle w:val="BodyText"/>
        <w:spacing w:line="247" w:lineRule="auto"/>
        <w:ind w:left="1080"/>
      </w:pPr>
      <w:r>
        <w:rPr/>
        <mc:AlternateContent>
          <mc:Choice Requires="wps">
            <w:drawing>
              <wp:anchor distT="0" distB="0" distL="0" distR="0" allowOverlap="1" layoutInCell="1" locked="0" behindDoc="0" simplePos="0" relativeHeight="15844864">
                <wp:simplePos x="0" y="0"/>
                <wp:positionH relativeFrom="page">
                  <wp:posOffset>8450644</wp:posOffset>
                </wp:positionH>
                <wp:positionV relativeFrom="paragraph">
                  <wp:posOffset>355792</wp:posOffset>
                </wp:positionV>
                <wp:extent cx="2028825" cy="1270"/>
                <wp:effectExtent l="0" t="0" r="0" b="0"/>
                <wp:wrapNone/>
                <wp:docPr id="1037" name="Graphic 1037"/>
                <wp:cNvGraphicFramePr>
                  <a:graphicFrameLocks/>
                </wp:cNvGraphicFramePr>
                <a:graphic>
                  <a:graphicData uri="http://schemas.microsoft.com/office/word/2010/wordprocessingShape">
                    <wps:wsp>
                      <wps:cNvPr id="1037" name="Graphic 1037"/>
                      <wps:cNvSpPr/>
                      <wps:spPr>
                        <a:xfrm>
                          <a:off x="0" y="0"/>
                          <a:ext cx="2028825" cy="1270"/>
                        </a:xfrm>
                        <a:custGeom>
                          <a:avLst/>
                          <a:gdLst/>
                          <a:ahLst/>
                          <a:cxnLst/>
                          <a:rect l="l" t="t" r="r" b="b"/>
                          <a:pathLst>
                            <a:path w="2028825" h="0">
                              <a:moveTo>
                                <a:pt x="0" y="0"/>
                              </a:moveTo>
                              <a:lnTo>
                                <a:pt x="2028380" y="0"/>
                              </a:lnTo>
                            </a:path>
                          </a:pathLst>
                        </a:custGeom>
                        <a:ln w="3175">
                          <a:solidFill>
                            <a:srgbClr val="63646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44864" from="665.40509pt,28.015163pt" to="825.12009pt,28.015163pt" stroked="true" strokeweight=".25pt" strokecolor="#636466">
                <v:stroke dashstyle="solid"/>
                <w10:wrap type="none"/>
              </v:line>
            </w:pict>
          </mc:Fallback>
        </mc:AlternateContent>
      </w:r>
      <w:r>
        <w:rPr>
          <w:color w:val="105C84"/>
        </w:rPr>
        <w:t>Schuyler County </w:t>
      </w:r>
      <w:r>
        <w:rPr>
          <w:color w:val="105C84"/>
        </w:rPr>
        <w:t>Department of Social Services</w:t>
      </w:r>
    </w:p>
    <w:p>
      <w:pPr>
        <w:pStyle w:val="BodyText"/>
        <w:spacing w:line="247" w:lineRule="auto" w:before="205"/>
        <w:ind w:left="599"/>
      </w:pPr>
      <w:r>
        <w:rPr/>
        <w:br w:type="column"/>
      </w:r>
      <w:r>
        <w:rPr>
          <w:color w:val="105C84"/>
        </w:rPr>
        <w:t>University</w:t>
      </w:r>
      <w:r>
        <w:rPr>
          <w:color w:val="105C84"/>
          <w:spacing w:val="-5"/>
        </w:rPr>
        <w:t> </w:t>
      </w:r>
      <w:r>
        <w:rPr>
          <w:color w:val="105C84"/>
        </w:rPr>
        <w:t>of</w:t>
      </w:r>
      <w:r>
        <w:rPr>
          <w:color w:val="105C84"/>
          <w:spacing w:val="-5"/>
        </w:rPr>
        <w:t> </w:t>
      </w:r>
      <w:r>
        <w:rPr>
          <w:color w:val="105C84"/>
        </w:rPr>
        <w:t>Rochester</w:t>
      </w:r>
      <w:r>
        <w:rPr>
          <w:color w:val="105C84"/>
          <w:spacing w:val="-5"/>
        </w:rPr>
        <w:t> </w:t>
      </w:r>
      <w:r>
        <w:rPr>
          <w:color w:val="105C84"/>
        </w:rPr>
        <w:t>Center for Community Health and </w:t>
      </w:r>
      <w:r>
        <w:rPr>
          <w:color w:val="105C84"/>
          <w:spacing w:val="-2"/>
        </w:rPr>
        <w:t>Prevention</w:t>
      </w:r>
    </w:p>
    <w:p>
      <w:pPr>
        <w:pStyle w:val="BodyText"/>
        <w:spacing w:line="247" w:lineRule="auto" w:before="103"/>
        <w:ind w:left="599"/>
      </w:pPr>
      <w:r>
        <w:rPr/>
        <mc:AlternateContent>
          <mc:Choice Requires="wps">
            <w:drawing>
              <wp:anchor distT="0" distB="0" distL="0" distR="0" allowOverlap="1" layoutInCell="1" locked="0" behindDoc="0" simplePos="0" relativeHeight="15840768">
                <wp:simplePos x="0" y="0"/>
                <wp:positionH relativeFrom="page">
                  <wp:posOffset>8450644</wp:posOffset>
                </wp:positionH>
                <wp:positionV relativeFrom="paragraph">
                  <wp:posOffset>22183</wp:posOffset>
                </wp:positionV>
                <wp:extent cx="2028825" cy="1270"/>
                <wp:effectExtent l="0" t="0" r="0" b="0"/>
                <wp:wrapNone/>
                <wp:docPr id="1038" name="Graphic 1038"/>
                <wp:cNvGraphicFramePr>
                  <a:graphicFrameLocks/>
                </wp:cNvGraphicFramePr>
                <a:graphic>
                  <a:graphicData uri="http://schemas.microsoft.com/office/word/2010/wordprocessingShape">
                    <wps:wsp>
                      <wps:cNvPr id="1038" name="Graphic 1038"/>
                      <wps:cNvSpPr/>
                      <wps:spPr>
                        <a:xfrm>
                          <a:off x="0" y="0"/>
                          <a:ext cx="2028825" cy="1270"/>
                        </a:xfrm>
                        <a:custGeom>
                          <a:avLst/>
                          <a:gdLst/>
                          <a:ahLst/>
                          <a:cxnLst/>
                          <a:rect l="l" t="t" r="r" b="b"/>
                          <a:pathLst>
                            <a:path w="2028825" h="0">
                              <a:moveTo>
                                <a:pt x="0" y="0"/>
                              </a:moveTo>
                              <a:lnTo>
                                <a:pt x="2028380" y="0"/>
                              </a:lnTo>
                            </a:path>
                          </a:pathLst>
                        </a:custGeom>
                        <a:ln w="3175">
                          <a:solidFill>
                            <a:srgbClr val="63646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40768" from="665.40509pt,1.74676pt" to="825.12009pt,1.74676pt" stroked="true" strokeweight=".25pt" strokecolor="#636466">
                <v:stroke dashstyle="solid"/>
                <w10:wrap type="none"/>
              </v:line>
            </w:pict>
          </mc:Fallback>
        </mc:AlternateContent>
      </w:r>
      <w:r>
        <w:rPr/>
        <mc:AlternateContent>
          <mc:Choice Requires="wps">
            <w:drawing>
              <wp:anchor distT="0" distB="0" distL="0" distR="0" allowOverlap="1" layoutInCell="1" locked="0" behindDoc="0" simplePos="0" relativeHeight="15841280">
                <wp:simplePos x="0" y="0"/>
                <wp:positionH relativeFrom="page">
                  <wp:posOffset>10689337</wp:posOffset>
                </wp:positionH>
                <wp:positionV relativeFrom="paragraph">
                  <wp:posOffset>22183</wp:posOffset>
                </wp:positionV>
                <wp:extent cx="2075814" cy="1270"/>
                <wp:effectExtent l="0" t="0" r="0" b="0"/>
                <wp:wrapNone/>
                <wp:docPr id="1039" name="Graphic 1039"/>
                <wp:cNvGraphicFramePr>
                  <a:graphicFrameLocks/>
                </wp:cNvGraphicFramePr>
                <a:graphic>
                  <a:graphicData uri="http://schemas.microsoft.com/office/word/2010/wordprocessingShape">
                    <wps:wsp>
                      <wps:cNvPr id="1039" name="Graphic 1039"/>
                      <wps:cNvSpPr/>
                      <wps:spPr>
                        <a:xfrm>
                          <a:off x="0" y="0"/>
                          <a:ext cx="2075814" cy="1270"/>
                        </a:xfrm>
                        <a:custGeom>
                          <a:avLst/>
                          <a:gdLst/>
                          <a:ahLst/>
                          <a:cxnLst/>
                          <a:rect l="l" t="t" r="r" b="b"/>
                          <a:pathLst>
                            <a:path w="2075814" h="0">
                              <a:moveTo>
                                <a:pt x="0" y="0"/>
                              </a:moveTo>
                              <a:lnTo>
                                <a:pt x="2075688" y="0"/>
                              </a:lnTo>
                            </a:path>
                          </a:pathLst>
                        </a:custGeom>
                        <a:ln w="3175">
                          <a:solidFill>
                            <a:srgbClr val="63646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41280" from="841.680115pt,1.74676pt" to="1005.120115pt,1.74676pt" stroked="true" strokeweight=".25pt" strokecolor="#636466">
                <v:stroke dashstyle="solid"/>
                <w10:wrap type="none"/>
              </v:line>
            </w:pict>
          </mc:Fallback>
        </mc:AlternateContent>
      </w:r>
      <w:r>
        <w:rPr>
          <w:color w:val="105C84"/>
        </w:rPr>
        <w:t>Southern Tier Tobacco </w:t>
      </w:r>
      <w:r>
        <w:rPr>
          <w:color w:val="105C84"/>
          <w:spacing w:val="-2"/>
        </w:rPr>
        <w:t>Awareness</w:t>
      </w:r>
      <w:r>
        <w:rPr>
          <w:color w:val="105C84"/>
          <w:spacing w:val="-14"/>
        </w:rPr>
        <w:t> </w:t>
      </w:r>
      <w:r>
        <w:rPr>
          <w:color w:val="105C84"/>
          <w:spacing w:val="-2"/>
        </w:rPr>
        <w:t>Coalition</w:t>
      </w:r>
      <w:r>
        <w:rPr>
          <w:color w:val="105C84"/>
          <w:spacing w:val="-13"/>
        </w:rPr>
        <w:t> </w:t>
      </w:r>
      <w:r>
        <w:rPr>
          <w:color w:val="105C84"/>
          <w:spacing w:val="-2"/>
        </w:rPr>
        <w:t>(STTAC)</w:t>
      </w:r>
    </w:p>
    <w:p>
      <w:pPr>
        <w:pStyle w:val="BodyText"/>
        <w:spacing w:before="6" w:after="25"/>
        <w:rPr>
          <w:sz w:val="9"/>
        </w:rPr>
      </w:pPr>
      <w:r>
        <w:rPr/>
        <w:br w:type="column"/>
      </w:r>
      <w:r>
        <w:rPr>
          <w:sz w:val="9"/>
        </w:rPr>
      </w:r>
    </w:p>
    <w:p>
      <w:pPr>
        <w:spacing w:line="20" w:lineRule="exact"/>
        <w:ind w:left="452" w:right="0" w:firstLine="0"/>
        <w:rPr>
          <w:sz w:val="2"/>
        </w:rPr>
      </w:pPr>
      <w:r>
        <w:rPr>
          <w:sz w:val="2"/>
        </w:rPr>
        <mc:AlternateContent>
          <mc:Choice Requires="wps">
            <w:drawing>
              <wp:inline distT="0" distB="0" distL="0" distR="0">
                <wp:extent cx="1887220" cy="3175"/>
                <wp:effectExtent l="9525" t="0" r="0" b="6350"/>
                <wp:docPr id="1040" name="Group 1040"/>
                <wp:cNvGraphicFramePr>
                  <a:graphicFrameLocks/>
                </wp:cNvGraphicFramePr>
                <a:graphic>
                  <a:graphicData uri="http://schemas.microsoft.com/office/word/2010/wordprocessingGroup">
                    <wpg:wgp>
                      <wpg:cNvPr id="1040" name="Group 1040"/>
                      <wpg:cNvGrpSpPr/>
                      <wpg:grpSpPr>
                        <a:xfrm>
                          <a:off x="0" y="0"/>
                          <a:ext cx="1887220" cy="3175"/>
                          <a:chExt cx="1887220" cy="3175"/>
                        </a:xfrm>
                      </wpg:grpSpPr>
                      <wps:wsp>
                        <wps:cNvPr id="1041" name="Graphic 1041"/>
                        <wps:cNvSpPr/>
                        <wps:spPr>
                          <a:xfrm>
                            <a:off x="0" y="1587"/>
                            <a:ext cx="1887220" cy="1270"/>
                          </a:xfrm>
                          <a:custGeom>
                            <a:avLst/>
                            <a:gdLst/>
                            <a:ahLst/>
                            <a:cxnLst/>
                            <a:rect l="l" t="t" r="r" b="b"/>
                            <a:pathLst>
                              <a:path w="1887220" h="0">
                                <a:moveTo>
                                  <a:pt x="0" y="0"/>
                                </a:moveTo>
                                <a:lnTo>
                                  <a:pt x="1886648" y="0"/>
                                </a:lnTo>
                              </a:path>
                            </a:pathLst>
                          </a:custGeom>
                          <a:ln w="3175">
                            <a:solidFill>
                              <a:srgbClr val="636466"/>
                            </a:solidFill>
                            <a:prstDash val="solid"/>
                          </a:ln>
                        </wps:spPr>
                        <wps:bodyPr wrap="square" lIns="0" tIns="0" rIns="0" bIns="0" rtlCol="0">
                          <a:prstTxWarp prst="textNoShape">
                            <a:avLst/>
                          </a:prstTxWarp>
                          <a:noAutofit/>
                        </wps:bodyPr>
                      </wps:wsp>
                    </wpg:wgp>
                  </a:graphicData>
                </a:graphic>
              </wp:inline>
            </w:drawing>
          </mc:Choice>
          <mc:Fallback>
            <w:pict>
              <v:group style="width:148.6pt;height:.25pt;mso-position-horizontal-relative:char;mso-position-vertical-relative:line" id="docshapegroup848" coordorigin="0,0" coordsize="2972,5">
                <v:line style="position:absolute" from="0,3" to="2971,3" stroked="true" strokeweight=".25pt" strokecolor="#636466">
                  <v:stroke dashstyle="solid"/>
                </v:line>
              </v:group>
            </w:pict>
          </mc:Fallback>
        </mc:AlternateContent>
      </w:r>
      <w:r>
        <w:rPr>
          <w:sz w:val="2"/>
        </w:rPr>
      </w:r>
    </w:p>
    <w:p>
      <w:pPr>
        <w:pStyle w:val="BodyText"/>
        <w:spacing w:line="247" w:lineRule="auto" w:before="181"/>
        <w:ind w:left="532" w:right="381"/>
      </w:pPr>
      <w:r>
        <w:rPr/>
        <mc:AlternateContent>
          <mc:Choice Requires="wps">
            <w:drawing>
              <wp:anchor distT="0" distB="0" distL="0" distR="0" allowOverlap="1" layoutInCell="1" locked="0" behindDoc="0" simplePos="0" relativeHeight="15839744">
                <wp:simplePos x="0" y="0"/>
                <wp:positionH relativeFrom="page">
                  <wp:posOffset>8450644</wp:posOffset>
                </wp:positionH>
                <wp:positionV relativeFrom="paragraph">
                  <wp:posOffset>-12700</wp:posOffset>
                </wp:positionV>
                <wp:extent cx="2028825" cy="1270"/>
                <wp:effectExtent l="0" t="0" r="0" b="0"/>
                <wp:wrapNone/>
                <wp:docPr id="1042" name="Graphic 1042"/>
                <wp:cNvGraphicFramePr>
                  <a:graphicFrameLocks/>
                </wp:cNvGraphicFramePr>
                <a:graphic>
                  <a:graphicData uri="http://schemas.microsoft.com/office/word/2010/wordprocessingShape">
                    <wps:wsp>
                      <wps:cNvPr id="1042" name="Graphic 1042"/>
                      <wps:cNvSpPr/>
                      <wps:spPr>
                        <a:xfrm>
                          <a:off x="0" y="0"/>
                          <a:ext cx="2028825" cy="1270"/>
                        </a:xfrm>
                        <a:custGeom>
                          <a:avLst/>
                          <a:gdLst/>
                          <a:ahLst/>
                          <a:cxnLst/>
                          <a:rect l="l" t="t" r="r" b="b"/>
                          <a:pathLst>
                            <a:path w="2028825" h="0">
                              <a:moveTo>
                                <a:pt x="0" y="0"/>
                              </a:moveTo>
                              <a:lnTo>
                                <a:pt x="2028380" y="0"/>
                              </a:lnTo>
                            </a:path>
                          </a:pathLst>
                        </a:custGeom>
                        <a:ln w="3175">
                          <a:solidFill>
                            <a:srgbClr val="63646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39744" from="665.40509pt,-1pt" to="825.12009pt,-1pt" stroked="true" strokeweight=".25pt" strokecolor="#636466">
                <v:stroke dashstyle="solid"/>
                <w10:wrap type="none"/>
              </v:line>
            </w:pict>
          </mc:Fallback>
        </mc:AlternateContent>
      </w:r>
      <w:r>
        <w:rPr>
          <w:color w:val="105C84"/>
        </w:rPr>
        <w:t>Cornell </w:t>
      </w:r>
      <w:r>
        <w:rPr>
          <w:color w:val="105C84"/>
        </w:rPr>
        <w:t>Cooperative </w:t>
      </w:r>
      <w:r>
        <w:rPr>
          <w:color w:val="105C84"/>
          <w:spacing w:val="-2"/>
        </w:rPr>
        <w:t>Extension</w:t>
      </w:r>
    </w:p>
    <w:p>
      <w:pPr>
        <w:pStyle w:val="BodyText"/>
        <w:spacing w:before="3"/>
        <w:rPr>
          <w:sz w:val="12"/>
        </w:rPr>
      </w:pPr>
      <w:r>
        <w:rPr>
          <w:sz w:val="12"/>
        </w:rPr>
        <mc:AlternateContent>
          <mc:Choice Requires="wps">
            <w:drawing>
              <wp:anchor distT="0" distB="0" distL="0" distR="0" allowOverlap="1" layoutInCell="1" locked="0" behindDoc="1" simplePos="0" relativeHeight="487692800">
                <wp:simplePos x="0" y="0"/>
                <wp:positionH relativeFrom="page">
                  <wp:posOffset>12970765</wp:posOffset>
                </wp:positionH>
                <wp:positionV relativeFrom="paragraph">
                  <wp:posOffset>105069</wp:posOffset>
                </wp:positionV>
                <wp:extent cx="1887220" cy="1270"/>
                <wp:effectExtent l="0" t="0" r="0" b="0"/>
                <wp:wrapTopAndBottom/>
                <wp:docPr id="1043" name="Graphic 1043"/>
                <wp:cNvGraphicFramePr>
                  <a:graphicFrameLocks/>
                </wp:cNvGraphicFramePr>
                <a:graphic>
                  <a:graphicData uri="http://schemas.microsoft.com/office/word/2010/wordprocessingShape">
                    <wps:wsp>
                      <wps:cNvPr id="1043" name="Graphic 1043"/>
                      <wps:cNvSpPr/>
                      <wps:spPr>
                        <a:xfrm>
                          <a:off x="0" y="0"/>
                          <a:ext cx="1887220" cy="1270"/>
                        </a:xfrm>
                        <a:custGeom>
                          <a:avLst/>
                          <a:gdLst/>
                          <a:ahLst/>
                          <a:cxnLst/>
                          <a:rect l="l" t="t" r="r" b="b"/>
                          <a:pathLst>
                            <a:path w="1887220" h="0">
                              <a:moveTo>
                                <a:pt x="0" y="0"/>
                              </a:moveTo>
                              <a:lnTo>
                                <a:pt x="1886648" y="0"/>
                              </a:lnTo>
                            </a:path>
                          </a:pathLst>
                        </a:custGeom>
                        <a:ln w="3175">
                          <a:solidFill>
                            <a:srgbClr val="636466"/>
                          </a:solidFill>
                          <a:prstDash val="solid"/>
                        </a:ln>
                      </wps:spPr>
                      <wps:bodyPr wrap="square" lIns="0" tIns="0" rIns="0" bIns="0" rtlCol="0">
                        <a:prstTxWarp prst="textNoShape">
                          <a:avLst/>
                        </a:prstTxWarp>
                        <a:noAutofit/>
                      </wps:bodyPr>
                    </wps:wsp>
                  </a:graphicData>
                </a:graphic>
              </wp:anchor>
            </w:drawing>
          </mc:Choice>
          <mc:Fallback>
            <w:pict>
              <v:shape style="position:absolute;margin-left:1021.320129pt;margin-top:8.273212pt;width:148.6pt;height:.1pt;mso-position-horizontal-relative:page;mso-position-vertical-relative:paragraph;z-index:-15623680;mso-wrap-distance-left:0;mso-wrap-distance-right:0" id="docshape849" coordorigin="20426,165" coordsize="2972,0" path="m20426,165l23398,165e" filled="false" stroked="true" strokeweight=".25pt" strokecolor="#636466">
                <v:path arrowok="t"/>
                <v:stroke dashstyle="solid"/>
                <w10:wrap type="topAndBottom"/>
              </v:shape>
            </w:pict>
          </mc:Fallback>
        </mc:AlternateContent>
      </w:r>
    </w:p>
    <w:p>
      <w:pPr>
        <w:pStyle w:val="BodyText"/>
        <w:spacing w:before="198"/>
        <w:ind w:left="532"/>
      </w:pPr>
      <w:r>
        <w:rPr>
          <w:color w:val="105C84"/>
        </w:rPr>
        <w:t>Fresh</w:t>
      </w:r>
      <w:r>
        <w:rPr>
          <w:color w:val="105C84"/>
          <w:spacing w:val="-14"/>
        </w:rPr>
        <w:t> </w:t>
      </w:r>
      <w:r>
        <w:rPr>
          <w:color w:val="105C84"/>
        </w:rPr>
        <w:t>Start</w:t>
      </w:r>
      <w:r>
        <w:rPr>
          <w:color w:val="105C84"/>
          <w:spacing w:val="-14"/>
        </w:rPr>
        <w:t> </w:t>
      </w:r>
      <w:r>
        <w:rPr>
          <w:color w:val="105C84"/>
          <w:spacing w:val="-2"/>
        </w:rPr>
        <w:t>Church</w:t>
      </w:r>
    </w:p>
    <w:p>
      <w:pPr>
        <w:pStyle w:val="BodyText"/>
        <w:spacing w:after="0"/>
        <w:sectPr>
          <w:type w:val="continuous"/>
          <w:pgSz w:w="24480" w:h="15840" w:orient="landscape"/>
          <w:pgMar w:header="0" w:footer="0" w:top="0" w:bottom="280" w:left="0" w:right="720"/>
          <w:cols w:num="4" w:equalWidth="0">
            <w:col w:w="11136" w:space="1172"/>
            <w:col w:w="3966" w:space="40"/>
            <w:col w:w="3621" w:space="39"/>
            <w:col w:w="3786"/>
          </w:cols>
        </w:sectPr>
      </w:pPr>
    </w:p>
    <w:p>
      <w:pPr>
        <w:pStyle w:val="BodyText"/>
        <w:spacing w:line="260" w:lineRule="atLeast"/>
        <w:ind w:left="1080" w:right="38"/>
      </w:pPr>
      <w:r>
        <w:rPr/>
        <mc:AlternateContent>
          <mc:Choice Requires="wps">
            <w:drawing>
              <wp:anchor distT="0" distB="0" distL="0" distR="0" allowOverlap="1" layoutInCell="1" locked="0" behindDoc="0" simplePos="0" relativeHeight="15845376">
                <wp:simplePos x="0" y="0"/>
                <wp:positionH relativeFrom="page">
                  <wp:posOffset>8450644</wp:posOffset>
                </wp:positionH>
                <wp:positionV relativeFrom="paragraph">
                  <wp:posOffset>422909</wp:posOffset>
                </wp:positionV>
                <wp:extent cx="2028825" cy="1270"/>
                <wp:effectExtent l="0" t="0" r="0" b="0"/>
                <wp:wrapNone/>
                <wp:docPr id="1044" name="Graphic 1044"/>
                <wp:cNvGraphicFramePr>
                  <a:graphicFrameLocks/>
                </wp:cNvGraphicFramePr>
                <a:graphic>
                  <a:graphicData uri="http://schemas.microsoft.com/office/word/2010/wordprocessingShape">
                    <wps:wsp>
                      <wps:cNvPr id="1044" name="Graphic 1044"/>
                      <wps:cNvSpPr/>
                      <wps:spPr>
                        <a:xfrm>
                          <a:off x="0" y="0"/>
                          <a:ext cx="2028825" cy="1270"/>
                        </a:xfrm>
                        <a:custGeom>
                          <a:avLst/>
                          <a:gdLst/>
                          <a:ahLst/>
                          <a:cxnLst/>
                          <a:rect l="l" t="t" r="r" b="b"/>
                          <a:pathLst>
                            <a:path w="2028825" h="0">
                              <a:moveTo>
                                <a:pt x="0" y="0"/>
                              </a:moveTo>
                              <a:lnTo>
                                <a:pt x="2028380" y="0"/>
                              </a:lnTo>
                            </a:path>
                          </a:pathLst>
                        </a:custGeom>
                        <a:ln w="3175">
                          <a:solidFill>
                            <a:srgbClr val="63646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45376" from="665.40509pt,33.299973pt" to="825.12009pt,33.299973pt" stroked="true" strokeweight=".25pt" strokecolor="#636466">
                <v:stroke dashstyle="solid"/>
                <w10:wrap type="none"/>
              </v:line>
            </w:pict>
          </mc:Fallback>
        </mc:AlternateContent>
      </w:r>
      <w:r>
        <w:rPr>
          <w:color w:val="105C84"/>
        </w:rPr>
        <w:t>County leadership is aware of the phenomenon and addresses it through Schuyler County Coalition on Underage Drinking and Drugs (SCCUDD). This is a group of dedicated community members, businesses and agencies working to prevent, reduce and delay the onset of substance use among</w:t>
      </w:r>
    </w:p>
    <w:p>
      <w:pPr>
        <w:pStyle w:val="BodyText"/>
        <w:spacing w:line="247" w:lineRule="auto" w:before="109"/>
        <w:ind w:left="1080"/>
      </w:pPr>
      <w:r>
        <w:rPr/>
        <w:br w:type="column"/>
      </w:r>
      <w:r>
        <w:rPr>
          <w:color w:val="105C84"/>
        </w:rPr>
        <w:t>Schuyler County Coalition on Underage</w:t>
      </w:r>
      <w:r>
        <w:rPr>
          <w:color w:val="105C84"/>
          <w:spacing w:val="17"/>
        </w:rPr>
        <w:t> </w:t>
      </w:r>
      <w:r>
        <w:rPr>
          <w:color w:val="105C84"/>
        </w:rPr>
        <w:t>Drinking</w:t>
      </w:r>
      <w:r>
        <w:rPr>
          <w:color w:val="105C84"/>
          <w:spacing w:val="17"/>
        </w:rPr>
        <w:t> </w:t>
      </w:r>
      <w:r>
        <w:rPr>
          <w:color w:val="105C84"/>
        </w:rPr>
        <w:t>and</w:t>
      </w:r>
      <w:r>
        <w:rPr>
          <w:color w:val="105C84"/>
          <w:spacing w:val="17"/>
        </w:rPr>
        <w:t> </w:t>
      </w:r>
      <w:r>
        <w:rPr>
          <w:color w:val="105C84"/>
          <w:spacing w:val="-2"/>
        </w:rPr>
        <w:t>Drugs</w:t>
      </w:r>
    </w:p>
    <w:p>
      <w:pPr>
        <w:pStyle w:val="BodyText"/>
        <w:spacing w:before="3"/>
        <w:rPr>
          <w:sz w:val="3"/>
        </w:rPr>
      </w:pPr>
      <w:r>
        <w:rPr/>
        <w:br w:type="column"/>
      </w:r>
      <w:r>
        <w:rPr>
          <w:sz w:val="3"/>
        </w:rPr>
      </w:r>
    </w:p>
    <w:p>
      <w:pPr>
        <w:tabs>
          <w:tab w:pos="4009" w:val="left" w:leader="none"/>
        </w:tabs>
        <w:spacing w:line="20" w:lineRule="exact"/>
        <w:ind w:left="416" w:right="0" w:firstLine="0"/>
        <w:rPr>
          <w:sz w:val="2"/>
        </w:rPr>
      </w:pPr>
      <w:r>
        <w:rPr>
          <w:sz w:val="2"/>
        </w:rPr>
        <mc:AlternateContent>
          <mc:Choice Requires="wps">
            <w:drawing>
              <wp:inline distT="0" distB="0" distL="0" distR="0">
                <wp:extent cx="2075814" cy="3175"/>
                <wp:effectExtent l="9525" t="0" r="635" b="6350"/>
                <wp:docPr id="1045" name="Group 1045"/>
                <wp:cNvGraphicFramePr>
                  <a:graphicFrameLocks/>
                </wp:cNvGraphicFramePr>
                <a:graphic>
                  <a:graphicData uri="http://schemas.microsoft.com/office/word/2010/wordprocessingGroup">
                    <wpg:wgp>
                      <wpg:cNvPr id="1045" name="Group 1045"/>
                      <wpg:cNvGrpSpPr/>
                      <wpg:grpSpPr>
                        <a:xfrm>
                          <a:off x="0" y="0"/>
                          <a:ext cx="2075814" cy="3175"/>
                          <a:chExt cx="2075814" cy="3175"/>
                        </a:xfrm>
                      </wpg:grpSpPr>
                      <wps:wsp>
                        <wps:cNvPr id="1046" name="Graphic 1046"/>
                        <wps:cNvSpPr/>
                        <wps:spPr>
                          <a:xfrm>
                            <a:off x="0" y="1587"/>
                            <a:ext cx="2075814" cy="1270"/>
                          </a:xfrm>
                          <a:custGeom>
                            <a:avLst/>
                            <a:gdLst/>
                            <a:ahLst/>
                            <a:cxnLst/>
                            <a:rect l="l" t="t" r="r" b="b"/>
                            <a:pathLst>
                              <a:path w="2075814" h="0">
                                <a:moveTo>
                                  <a:pt x="0" y="0"/>
                                </a:moveTo>
                                <a:lnTo>
                                  <a:pt x="2075688" y="0"/>
                                </a:lnTo>
                              </a:path>
                            </a:pathLst>
                          </a:custGeom>
                          <a:ln w="3175">
                            <a:solidFill>
                              <a:srgbClr val="636466"/>
                            </a:solidFill>
                            <a:prstDash val="solid"/>
                          </a:ln>
                        </wps:spPr>
                        <wps:bodyPr wrap="square" lIns="0" tIns="0" rIns="0" bIns="0" rtlCol="0">
                          <a:prstTxWarp prst="textNoShape">
                            <a:avLst/>
                          </a:prstTxWarp>
                          <a:noAutofit/>
                        </wps:bodyPr>
                      </wps:wsp>
                    </wpg:wgp>
                  </a:graphicData>
                </a:graphic>
              </wp:inline>
            </w:drawing>
          </mc:Choice>
          <mc:Fallback>
            <w:pict>
              <v:group style="width:163.450pt;height:.25pt;mso-position-horizontal-relative:char;mso-position-vertical-relative:line" id="docshapegroup850" coordorigin="0,0" coordsize="3269,5">
                <v:line style="position:absolute" from="0,3" to="3269,3" stroked="true" strokeweight=".25pt" strokecolor="#636466">
                  <v:stroke dashstyle="solid"/>
                </v:line>
              </v:group>
            </w:pict>
          </mc:Fallback>
        </mc:AlternateContent>
      </w:r>
      <w:r>
        <w:rPr>
          <w:sz w:val="2"/>
        </w:rPr>
      </w:r>
      <w:r>
        <w:rPr>
          <w:sz w:val="2"/>
        </w:rPr>
        <w:tab/>
      </w:r>
      <w:r>
        <w:rPr>
          <w:sz w:val="2"/>
        </w:rPr>
        <mc:AlternateContent>
          <mc:Choice Requires="wps">
            <w:drawing>
              <wp:inline distT="0" distB="0" distL="0" distR="0">
                <wp:extent cx="1887220" cy="3175"/>
                <wp:effectExtent l="9525" t="0" r="0" b="6350"/>
                <wp:docPr id="1047" name="Group 1047"/>
                <wp:cNvGraphicFramePr>
                  <a:graphicFrameLocks/>
                </wp:cNvGraphicFramePr>
                <a:graphic>
                  <a:graphicData uri="http://schemas.microsoft.com/office/word/2010/wordprocessingGroup">
                    <wpg:wgp>
                      <wpg:cNvPr id="1047" name="Group 1047"/>
                      <wpg:cNvGrpSpPr/>
                      <wpg:grpSpPr>
                        <a:xfrm>
                          <a:off x="0" y="0"/>
                          <a:ext cx="1887220" cy="3175"/>
                          <a:chExt cx="1887220" cy="3175"/>
                        </a:xfrm>
                      </wpg:grpSpPr>
                      <wps:wsp>
                        <wps:cNvPr id="1048" name="Graphic 1048"/>
                        <wps:cNvSpPr/>
                        <wps:spPr>
                          <a:xfrm>
                            <a:off x="0" y="1587"/>
                            <a:ext cx="1887220" cy="1270"/>
                          </a:xfrm>
                          <a:custGeom>
                            <a:avLst/>
                            <a:gdLst/>
                            <a:ahLst/>
                            <a:cxnLst/>
                            <a:rect l="l" t="t" r="r" b="b"/>
                            <a:pathLst>
                              <a:path w="1887220" h="0">
                                <a:moveTo>
                                  <a:pt x="0" y="0"/>
                                </a:moveTo>
                                <a:lnTo>
                                  <a:pt x="1886648" y="0"/>
                                </a:lnTo>
                              </a:path>
                            </a:pathLst>
                          </a:custGeom>
                          <a:ln w="3175">
                            <a:solidFill>
                              <a:srgbClr val="636466"/>
                            </a:solidFill>
                            <a:prstDash val="solid"/>
                          </a:ln>
                        </wps:spPr>
                        <wps:bodyPr wrap="square" lIns="0" tIns="0" rIns="0" bIns="0" rtlCol="0">
                          <a:prstTxWarp prst="textNoShape">
                            <a:avLst/>
                          </a:prstTxWarp>
                          <a:noAutofit/>
                        </wps:bodyPr>
                      </wps:wsp>
                    </wpg:wgp>
                  </a:graphicData>
                </a:graphic>
              </wp:inline>
            </w:drawing>
          </mc:Choice>
          <mc:Fallback>
            <w:pict>
              <v:group style="width:148.6pt;height:.25pt;mso-position-horizontal-relative:char;mso-position-vertical-relative:line" id="docshapegroup851" coordorigin="0,0" coordsize="2972,5">
                <v:line style="position:absolute" from="0,3" to="2971,3" stroked="true" strokeweight=".25pt" strokecolor="#636466">
                  <v:stroke dashstyle="solid"/>
                </v:line>
              </v:group>
            </w:pict>
          </mc:Fallback>
        </mc:AlternateContent>
      </w:r>
      <w:r>
        <w:rPr>
          <w:sz w:val="2"/>
        </w:rPr>
      </w:r>
    </w:p>
    <w:p>
      <w:pPr>
        <w:pStyle w:val="BodyText"/>
        <w:tabs>
          <w:tab w:pos="4089" w:val="left" w:leader="none"/>
        </w:tabs>
        <w:spacing w:before="182"/>
        <w:ind w:left="496"/>
      </w:pPr>
      <w:r>
        <w:rPr>
          <w:color w:val="105C84"/>
        </w:rPr>
        <w:t>Schuyler</w:t>
      </w:r>
      <w:r>
        <w:rPr>
          <w:color w:val="105C84"/>
          <w:spacing w:val="8"/>
        </w:rPr>
        <w:t> </w:t>
      </w:r>
      <w:r>
        <w:rPr>
          <w:color w:val="105C84"/>
        </w:rPr>
        <w:t>County</w:t>
      </w:r>
      <w:r>
        <w:rPr>
          <w:color w:val="105C84"/>
          <w:spacing w:val="9"/>
        </w:rPr>
        <w:t> </w:t>
      </w:r>
      <w:r>
        <w:rPr>
          <w:color w:val="105C84"/>
        </w:rPr>
        <w:t>Mental</w:t>
      </w:r>
      <w:r>
        <w:rPr>
          <w:color w:val="105C84"/>
          <w:spacing w:val="9"/>
        </w:rPr>
        <w:t> </w:t>
      </w:r>
      <w:r>
        <w:rPr>
          <w:color w:val="105C84"/>
          <w:spacing w:val="-2"/>
        </w:rPr>
        <w:t>health</w:t>
      </w:r>
      <w:r>
        <w:rPr>
          <w:color w:val="105C84"/>
        </w:rPr>
        <w:tab/>
        <w:t>Arnot</w:t>
      </w:r>
      <w:r>
        <w:rPr>
          <w:color w:val="105C84"/>
          <w:spacing w:val="29"/>
        </w:rPr>
        <w:t> </w:t>
      </w:r>
      <w:r>
        <w:rPr>
          <w:color w:val="105C84"/>
          <w:spacing w:val="-2"/>
        </w:rPr>
        <w:t>Health</w:t>
      </w:r>
    </w:p>
    <w:p>
      <w:pPr>
        <w:pStyle w:val="BodyText"/>
        <w:spacing w:before="1"/>
        <w:rPr>
          <w:sz w:val="15"/>
        </w:rPr>
      </w:pPr>
    </w:p>
    <w:p>
      <w:pPr>
        <w:tabs>
          <w:tab w:pos="4009" w:val="left" w:leader="none"/>
        </w:tabs>
        <w:spacing w:line="20" w:lineRule="exact"/>
        <w:ind w:left="416" w:right="0" w:firstLine="0"/>
        <w:rPr>
          <w:sz w:val="2"/>
        </w:rPr>
      </w:pPr>
      <w:r>
        <w:rPr>
          <w:sz w:val="2"/>
        </w:rPr>
        <mc:AlternateContent>
          <mc:Choice Requires="wps">
            <w:drawing>
              <wp:inline distT="0" distB="0" distL="0" distR="0">
                <wp:extent cx="2075814" cy="3175"/>
                <wp:effectExtent l="9525" t="0" r="635" b="6350"/>
                <wp:docPr id="1049" name="Group 1049"/>
                <wp:cNvGraphicFramePr>
                  <a:graphicFrameLocks/>
                </wp:cNvGraphicFramePr>
                <a:graphic>
                  <a:graphicData uri="http://schemas.microsoft.com/office/word/2010/wordprocessingGroup">
                    <wpg:wgp>
                      <wpg:cNvPr id="1049" name="Group 1049"/>
                      <wpg:cNvGrpSpPr/>
                      <wpg:grpSpPr>
                        <a:xfrm>
                          <a:off x="0" y="0"/>
                          <a:ext cx="2075814" cy="3175"/>
                          <a:chExt cx="2075814" cy="3175"/>
                        </a:xfrm>
                      </wpg:grpSpPr>
                      <wps:wsp>
                        <wps:cNvPr id="1050" name="Graphic 1050"/>
                        <wps:cNvSpPr/>
                        <wps:spPr>
                          <a:xfrm>
                            <a:off x="0" y="1587"/>
                            <a:ext cx="2075814" cy="1270"/>
                          </a:xfrm>
                          <a:custGeom>
                            <a:avLst/>
                            <a:gdLst/>
                            <a:ahLst/>
                            <a:cxnLst/>
                            <a:rect l="l" t="t" r="r" b="b"/>
                            <a:pathLst>
                              <a:path w="2075814" h="0">
                                <a:moveTo>
                                  <a:pt x="0" y="0"/>
                                </a:moveTo>
                                <a:lnTo>
                                  <a:pt x="2075688" y="0"/>
                                </a:lnTo>
                              </a:path>
                            </a:pathLst>
                          </a:custGeom>
                          <a:ln w="3175">
                            <a:solidFill>
                              <a:srgbClr val="636466"/>
                            </a:solidFill>
                            <a:prstDash val="solid"/>
                          </a:ln>
                        </wps:spPr>
                        <wps:bodyPr wrap="square" lIns="0" tIns="0" rIns="0" bIns="0" rtlCol="0">
                          <a:prstTxWarp prst="textNoShape">
                            <a:avLst/>
                          </a:prstTxWarp>
                          <a:noAutofit/>
                        </wps:bodyPr>
                      </wps:wsp>
                    </wpg:wgp>
                  </a:graphicData>
                </a:graphic>
              </wp:inline>
            </w:drawing>
          </mc:Choice>
          <mc:Fallback>
            <w:pict>
              <v:group style="width:163.450pt;height:.25pt;mso-position-horizontal-relative:char;mso-position-vertical-relative:line" id="docshapegroup852" coordorigin="0,0" coordsize="3269,5">
                <v:line style="position:absolute" from="0,3" to="3269,3" stroked="true" strokeweight=".25pt" strokecolor="#636466">
                  <v:stroke dashstyle="solid"/>
                </v:line>
              </v:group>
            </w:pict>
          </mc:Fallback>
        </mc:AlternateContent>
      </w:r>
      <w:r>
        <w:rPr>
          <w:sz w:val="2"/>
        </w:rPr>
      </w:r>
      <w:r>
        <w:rPr>
          <w:sz w:val="2"/>
        </w:rPr>
        <w:tab/>
      </w:r>
      <w:r>
        <w:rPr>
          <w:sz w:val="2"/>
        </w:rPr>
        <mc:AlternateContent>
          <mc:Choice Requires="wps">
            <w:drawing>
              <wp:inline distT="0" distB="0" distL="0" distR="0">
                <wp:extent cx="1887220" cy="3175"/>
                <wp:effectExtent l="9525" t="0" r="0" b="6350"/>
                <wp:docPr id="1051" name="Group 1051"/>
                <wp:cNvGraphicFramePr>
                  <a:graphicFrameLocks/>
                </wp:cNvGraphicFramePr>
                <a:graphic>
                  <a:graphicData uri="http://schemas.microsoft.com/office/word/2010/wordprocessingGroup">
                    <wpg:wgp>
                      <wpg:cNvPr id="1051" name="Group 1051"/>
                      <wpg:cNvGrpSpPr/>
                      <wpg:grpSpPr>
                        <a:xfrm>
                          <a:off x="0" y="0"/>
                          <a:ext cx="1887220" cy="3175"/>
                          <a:chExt cx="1887220" cy="3175"/>
                        </a:xfrm>
                      </wpg:grpSpPr>
                      <wps:wsp>
                        <wps:cNvPr id="1052" name="Graphic 1052"/>
                        <wps:cNvSpPr/>
                        <wps:spPr>
                          <a:xfrm>
                            <a:off x="0" y="1587"/>
                            <a:ext cx="1887220" cy="1270"/>
                          </a:xfrm>
                          <a:custGeom>
                            <a:avLst/>
                            <a:gdLst/>
                            <a:ahLst/>
                            <a:cxnLst/>
                            <a:rect l="l" t="t" r="r" b="b"/>
                            <a:pathLst>
                              <a:path w="1887220" h="0">
                                <a:moveTo>
                                  <a:pt x="0" y="0"/>
                                </a:moveTo>
                                <a:lnTo>
                                  <a:pt x="1886648" y="0"/>
                                </a:lnTo>
                              </a:path>
                            </a:pathLst>
                          </a:custGeom>
                          <a:ln w="3175">
                            <a:solidFill>
                              <a:srgbClr val="636466"/>
                            </a:solidFill>
                            <a:prstDash val="solid"/>
                          </a:ln>
                        </wps:spPr>
                        <wps:bodyPr wrap="square" lIns="0" tIns="0" rIns="0" bIns="0" rtlCol="0">
                          <a:prstTxWarp prst="textNoShape">
                            <a:avLst/>
                          </a:prstTxWarp>
                          <a:noAutofit/>
                        </wps:bodyPr>
                      </wps:wsp>
                    </wpg:wgp>
                  </a:graphicData>
                </a:graphic>
              </wp:inline>
            </w:drawing>
          </mc:Choice>
          <mc:Fallback>
            <w:pict>
              <v:group style="width:148.6pt;height:.25pt;mso-position-horizontal-relative:char;mso-position-vertical-relative:line" id="docshapegroup853" coordorigin="0,0" coordsize="2972,5">
                <v:line style="position:absolute" from="0,3" to="2971,3" stroked="true" strokeweight=".25pt" strokecolor="#636466">
                  <v:stroke dashstyle="solid"/>
                </v:line>
              </v:group>
            </w:pict>
          </mc:Fallback>
        </mc:AlternateContent>
      </w:r>
      <w:r>
        <w:rPr>
          <w:sz w:val="2"/>
        </w:rPr>
      </w:r>
    </w:p>
    <w:p>
      <w:pPr>
        <w:pStyle w:val="BodyText"/>
        <w:spacing w:before="2"/>
        <w:rPr>
          <w:sz w:val="3"/>
        </w:rPr>
      </w:pPr>
    </w:p>
    <w:p>
      <w:pPr>
        <w:pStyle w:val="BodyText"/>
        <w:spacing w:after="0"/>
        <w:rPr>
          <w:sz w:val="3"/>
        </w:rPr>
        <w:sectPr>
          <w:type w:val="continuous"/>
          <w:pgSz w:w="24480" w:h="15840" w:orient="landscape"/>
          <w:pgMar w:header="0" w:footer="0" w:top="0" w:bottom="280" w:left="0" w:right="720"/>
          <w:cols w:num="3" w:equalWidth="0">
            <w:col w:w="11017" w:space="1292"/>
            <w:col w:w="4070" w:space="39"/>
            <w:col w:w="7342"/>
          </w:cols>
        </w:sectPr>
      </w:pPr>
    </w:p>
    <w:p>
      <w:pPr>
        <w:pStyle w:val="BodyText"/>
        <w:spacing w:line="247" w:lineRule="auto" w:before="13"/>
        <w:ind w:left="1080" w:right="65"/>
      </w:pPr>
      <w:r>
        <w:rPr/>
        <w:drawing>
          <wp:anchor distT="0" distB="0" distL="0" distR="0" allowOverlap="1" layoutInCell="1" locked="0" behindDoc="0" simplePos="0" relativeHeight="15837696">
            <wp:simplePos x="0" y="0"/>
            <wp:positionH relativeFrom="page">
              <wp:posOffset>14981556</wp:posOffset>
            </wp:positionH>
            <wp:positionV relativeFrom="page">
              <wp:posOffset>9668103</wp:posOffset>
            </wp:positionV>
            <wp:extent cx="563245" cy="184683"/>
            <wp:effectExtent l="0" t="0" r="0" b="0"/>
            <wp:wrapNone/>
            <wp:docPr id="1053" name="Image 1053"/>
            <wp:cNvGraphicFramePr>
              <a:graphicFrameLocks/>
            </wp:cNvGraphicFramePr>
            <a:graphic>
              <a:graphicData uri="http://schemas.openxmlformats.org/drawingml/2006/picture">
                <pic:pic>
                  <pic:nvPicPr>
                    <pic:cNvPr id="1053" name="Image 1053"/>
                    <pic:cNvPicPr/>
                  </pic:nvPicPr>
                  <pic:blipFill>
                    <a:blip r:embed="rId38" cstate="print"/>
                    <a:stretch>
                      <a:fillRect/>
                    </a:stretch>
                  </pic:blipFill>
                  <pic:spPr>
                    <a:xfrm>
                      <a:off x="0" y="0"/>
                      <a:ext cx="563245" cy="184683"/>
                    </a:xfrm>
                    <a:prstGeom prst="rect">
                      <a:avLst/>
                    </a:prstGeom>
                  </pic:spPr>
                </pic:pic>
              </a:graphicData>
            </a:graphic>
          </wp:anchor>
        </w:drawing>
      </w:r>
      <w:r>
        <w:rPr>
          <w:color w:val="105C84"/>
        </w:rPr>
        <w:t>Schuyler County youth. The group achieves its goals by collaborating with community partners, promoting prevention education and substance-free activities, and implementing environmental</w:t>
      </w:r>
      <w:r>
        <w:rPr>
          <w:color w:val="105C84"/>
          <w:spacing w:val="80"/>
          <w:w w:val="150"/>
        </w:rPr>
        <w:t> </w:t>
      </w:r>
      <w:r>
        <w:rPr>
          <w:color w:val="105C84"/>
          <w:spacing w:val="-2"/>
        </w:rPr>
        <w:t>strategies.</w:t>
      </w:r>
    </w:p>
    <w:p>
      <w:pPr>
        <w:pStyle w:val="BodyText"/>
        <w:spacing w:line="247" w:lineRule="auto" w:before="179"/>
        <w:ind w:left="1080" w:right="65"/>
      </w:pPr>
      <w:r>
        <w:rPr>
          <w:color w:val="105C84"/>
        </w:rPr>
        <w:t>Another</w:t>
      </w:r>
      <w:r>
        <w:rPr>
          <w:color w:val="105C84"/>
          <w:spacing w:val="32"/>
        </w:rPr>
        <w:t> </w:t>
      </w:r>
      <w:r>
        <w:rPr>
          <w:color w:val="105C84"/>
        </w:rPr>
        <w:t>unique</w:t>
      </w:r>
      <w:r>
        <w:rPr>
          <w:color w:val="105C84"/>
          <w:spacing w:val="32"/>
        </w:rPr>
        <w:t> </w:t>
      </w:r>
      <w:r>
        <w:rPr>
          <w:color w:val="105C84"/>
        </w:rPr>
        <w:t>project</w:t>
      </w:r>
      <w:r>
        <w:rPr>
          <w:color w:val="105C84"/>
          <w:spacing w:val="32"/>
        </w:rPr>
        <w:t> </w:t>
      </w:r>
      <w:r>
        <w:rPr>
          <w:color w:val="105C84"/>
        </w:rPr>
        <w:t>in</w:t>
      </w:r>
      <w:r>
        <w:rPr>
          <w:color w:val="105C84"/>
          <w:spacing w:val="32"/>
        </w:rPr>
        <w:t> </w:t>
      </w:r>
      <w:r>
        <w:rPr>
          <w:color w:val="105C84"/>
        </w:rPr>
        <w:t>the</w:t>
      </w:r>
      <w:r>
        <w:rPr>
          <w:color w:val="105C84"/>
          <w:spacing w:val="32"/>
        </w:rPr>
        <w:t> </w:t>
      </w:r>
      <w:r>
        <w:rPr>
          <w:color w:val="105C84"/>
        </w:rPr>
        <w:t>county</w:t>
      </w:r>
      <w:r>
        <w:rPr>
          <w:color w:val="105C84"/>
          <w:spacing w:val="32"/>
        </w:rPr>
        <w:t> </w:t>
      </w:r>
      <w:r>
        <w:rPr>
          <w:color w:val="105C84"/>
        </w:rPr>
        <w:t>is</w:t>
      </w:r>
      <w:r>
        <w:rPr>
          <w:color w:val="105C84"/>
          <w:spacing w:val="32"/>
        </w:rPr>
        <w:t> </w:t>
      </w:r>
      <w:r>
        <w:rPr>
          <w:color w:val="105C84"/>
        </w:rPr>
        <w:t>the</w:t>
      </w:r>
      <w:r>
        <w:rPr>
          <w:color w:val="105C84"/>
          <w:spacing w:val="32"/>
        </w:rPr>
        <w:t> </w:t>
      </w:r>
      <w:r>
        <w:rPr>
          <w:color w:val="105C84"/>
        </w:rPr>
        <w:t>initiative</w:t>
      </w:r>
      <w:r>
        <w:rPr>
          <w:color w:val="105C84"/>
          <w:spacing w:val="32"/>
        </w:rPr>
        <w:t> </w:t>
      </w:r>
      <w:r>
        <w:rPr>
          <w:color w:val="105C84"/>
        </w:rPr>
        <w:t>currently</w:t>
      </w:r>
      <w:r>
        <w:rPr>
          <w:color w:val="105C84"/>
          <w:spacing w:val="32"/>
        </w:rPr>
        <w:t> </w:t>
      </w:r>
      <w:r>
        <w:rPr>
          <w:color w:val="105C84"/>
        </w:rPr>
        <w:t>taking</w:t>
      </w:r>
      <w:r>
        <w:rPr>
          <w:color w:val="105C84"/>
          <w:spacing w:val="32"/>
        </w:rPr>
        <w:t> </w:t>
      </w:r>
      <w:r>
        <w:rPr>
          <w:color w:val="105C84"/>
        </w:rPr>
        <w:t>place</w:t>
      </w:r>
      <w:r>
        <w:rPr>
          <w:color w:val="105C84"/>
          <w:spacing w:val="32"/>
        </w:rPr>
        <w:t> </w:t>
      </w:r>
      <w:r>
        <w:rPr>
          <w:color w:val="105C84"/>
        </w:rPr>
        <w:t>to</w:t>
      </w:r>
      <w:r>
        <w:rPr>
          <w:color w:val="105C84"/>
          <w:spacing w:val="32"/>
        </w:rPr>
        <w:t> </w:t>
      </w:r>
      <w:r>
        <w:rPr>
          <w:color w:val="105C84"/>
        </w:rPr>
        <w:t>upgrade</w:t>
      </w:r>
      <w:r>
        <w:rPr>
          <w:color w:val="105C84"/>
          <w:spacing w:val="32"/>
        </w:rPr>
        <w:t> </w:t>
      </w:r>
      <w:r>
        <w:rPr>
          <w:color w:val="105C84"/>
        </w:rPr>
        <w:t>an</w:t>
      </w:r>
      <w:r>
        <w:rPr>
          <w:color w:val="105C84"/>
          <w:spacing w:val="32"/>
        </w:rPr>
        <w:t> </w:t>
      </w:r>
      <w:r>
        <w:rPr>
          <w:color w:val="105C84"/>
        </w:rPr>
        <w:t>old gymnasium and auditorium (part of the old Watkins Glen Middle School) into the Watkins Glen</w:t>
      </w:r>
      <w:r>
        <w:rPr>
          <w:color w:val="105C84"/>
          <w:spacing w:val="40"/>
        </w:rPr>
        <w:t> </w:t>
      </w:r>
      <w:r>
        <w:rPr>
          <w:color w:val="105C84"/>
        </w:rPr>
        <w:t>Performing Arts Center. It is hopeful that the upgrade will attract internationally-known performers to</w:t>
      </w:r>
      <w:r>
        <w:rPr>
          <w:color w:val="105C84"/>
          <w:spacing w:val="80"/>
          <w:w w:val="150"/>
        </w:rPr>
        <w:t> </w:t>
      </w:r>
      <w:r>
        <w:rPr>
          <w:color w:val="105C84"/>
        </w:rPr>
        <w:t>the Arts Center, which will help boost the economy for the community.</w:t>
      </w:r>
    </w:p>
    <w:p>
      <w:pPr>
        <w:pStyle w:val="BodyText"/>
        <w:spacing w:before="16"/>
      </w:pPr>
    </w:p>
    <w:p>
      <w:pPr>
        <w:pStyle w:val="Heading6"/>
        <w:spacing w:before="1"/>
      </w:pPr>
      <w:r>
        <w:rPr>
          <w:color w:val="105C84"/>
          <w:spacing w:val="-6"/>
        </w:rPr>
        <w:t>Community</w:t>
      </w:r>
      <w:r>
        <w:rPr>
          <w:color w:val="105C84"/>
          <w:spacing w:val="-9"/>
        </w:rPr>
        <w:t> </w:t>
      </w:r>
      <w:r>
        <w:rPr>
          <w:color w:val="105C84"/>
          <w:spacing w:val="-6"/>
        </w:rPr>
        <w:t>Assets</w:t>
      </w:r>
      <w:r>
        <w:rPr>
          <w:color w:val="105C84"/>
          <w:spacing w:val="-9"/>
        </w:rPr>
        <w:t> </w:t>
      </w:r>
      <w:r>
        <w:rPr>
          <w:color w:val="105C84"/>
          <w:spacing w:val="-6"/>
        </w:rPr>
        <w:t>and</w:t>
      </w:r>
      <w:r>
        <w:rPr>
          <w:color w:val="105C84"/>
          <w:spacing w:val="-8"/>
        </w:rPr>
        <w:t> </w:t>
      </w:r>
      <w:r>
        <w:rPr>
          <w:color w:val="105C84"/>
          <w:spacing w:val="-6"/>
        </w:rPr>
        <w:t>Resources</w:t>
      </w:r>
      <w:r>
        <w:rPr>
          <w:color w:val="105C84"/>
          <w:spacing w:val="-9"/>
        </w:rPr>
        <w:t> </w:t>
      </w:r>
      <w:r>
        <w:rPr>
          <w:color w:val="105C84"/>
          <w:spacing w:val="-6"/>
        </w:rPr>
        <w:t>to</w:t>
      </w:r>
      <w:r>
        <w:rPr>
          <w:color w:val="105C84"/>
          <w:spacing w:val="-8"/>
        </w:rPr>
        <w:t> </w:t>
      </w:r>
      <w:r>
        <w:rPr>
          <w:color w:val="105C84"/>
          <w:spacing w:val="-6"/>
        </w:rPr>
        <w:t>be</w:t>
      </w:r>
      <w:r>
        <w:rPr>
          <w:color w:val="105C84"/>
          <w:spacing w:val="-9"/>
        </w:rPr>
        <w:t> </w:t>
      </w:r>
      <w:r>
        <w:rPr>
          <w:color w:val="105C84"/>
          <w:spacing w:val="-6"/>
        </w:rPr>
        <w:t>Mobilized</w:t>
      </w:r>
    </w:p>
    <w:p>
      <w:pPr>
        <w:pStyle w:val="BodyText"/>
        <w:spacing w:line="247" w:lineRule="auto" w:before="268"/>
        <w:ind w:left="1080" w:right="65"/>
      </w:pPr>
      <w:r>
        <w:rPr>
          <w:color w:val="105C84"/>
        </w:rPr>
        <w:t>During focus groups completed in late 2018 and early 2019, community members identified several assets and resources in Schuyler County. For example, focus group attendees identified accessibility</w:t>
      </w:r>
      <w:r>
        <w:rPr>
          <w:color w:val="105C84"/>
          <w:spacing w:val="80"/>
        </w:rPr>
        <w:t> </w:t>
      </w:r>
      <w:r>
        <w:rPr>
          <w:color w:val="105C84"/>
        </w:rPr>
        <w:t>to local agency offices (mental health, Office of Aging, fire department, etc.), remodeling of unused</w:t>
      </w:r>
      <w:r>
        <w:rPr>
          <w:color w:val="105C84"/>
          <w:spacing w:val="80"/>
        </w:rPr>
        <w:t> </w:t>
      </w:r>
      <w:r>
        <w:rPr>
          <w:color w:val="105C84"/>
        </w:rPr>
        <w:t>buildings to create affordable housing opportunities, and SCCUDD as community strengths and</w:t>
      </w:r>
      <w:r>
        <w:rPr>
          <w:color w:val="105C84"/>
          <w:spacing w:val="40"/>
        </w:rPr>
        <w:t> </w:t>
      </w:r>
      <w:r>
        <w:rPr>
          <w:color w:val="105C84"/>
        </w:rPr>
        <w:t>resources.</w:t>
      </w:r>
      <w:r>
        <w:rPr>
          <w:color w:val="105C84"/>
          <w:spacing w:val="26"/>
        </w:rPr>
        <w:t> </w:t>
      </w:r>
      <w:r>
        <w:rPr>
          <w:color w:val="105C84"/>
        </w:rPr>
        <w:t>In</w:t>
      </w:r>
      <w:r>
        <w:rPr>
          <w:color w:val="105C84"/>
          <w:spacing w:val="26"/>
        </w:rPr>
        <w:t> </w:t>
      </w:r>
      <w:r>
        <w:rPr>
          <w:color w:val="105C84"/>
        </w:rPr>
        <w:t>addition,</w:t>
      </w:r>
      <w:r>
        <w:rPr>
          <w:color w:val="105C84"/>
          <w:spacing w:val="26"/>
        </w:rPr>
        <w:t> </w:t>
      </w:r>
      <w:r>
        <w:rPr>
          <w:color w:val="105C84"/>
        </w:rPr>
        <w:t>attendees</w:t>
      </w:r>
      <w:r>
        <w:rPr>
          <w:color w:val="105C84"/>
          <w:spacing w:val="26"/>
        </w:rPr>
        <w:t> </w:t>
      </w:r>
      <w:r>
        <w:rPr>
          <w:color w:val="105C84"/>
        </w:rPr>
        <w:t>identified</w:t>
      </w:r>
      <w:r>
        <w:rPr>
          <w:color w:val="105C84"/>
          <w:spacing w:val="26"/>
        </w:rPr>
        <w:t> </w:t>
      </w:r>
      <w:r>
        <w:rPr>
          <w:color w:val="105C84"/>
        </w:rPr>
        <w:t>the</w:t>
      </w:r>
      <w:r>
        <w:rPr>
          <w:color w:val="105C84"/>
          <w:spacing w:val="26"/>
        </w:rPr>
        <w:t> </w:t>
      </w:r>
      <w:r>
        <w:rPr>
          <w:color w:val="105C84"/>
        </w:rPr>
        <w:t>county’s</w:t>
      </w:r>
      <w:r>
        <w:rPr>
          <w:color w:val="105C84"/>
          <w:spacing w:val="26"/>
        </w:rPr>
        <w:t> </w:t>
      </w:r>
      <w:r>
        <w:rPr>
          <w:color w:val="105C84"/>
        </w:rPr>
        <w:t>good</w:t>
      </w:r>
      <w:r>
        <w:rPr>
          <w:color w:val="105C84"/>
          <w:spacing w:val="26"/>
        </w:rPr>
        <w:t> </w:t>
      </w:r>
      <w:r>
        <w:rPr>
          <w:color w:val="105C84"/>
        </w:rPr>
        <w:t>access</w:t>
      </w:r>
      <w:r>
        <w:rPr>
          <w:color w:val="105C84"/>
          <w:spacing w:val="26"/>
        </w:rPr>
        <w:t> </w:t>
      </w:r>
      <w:r>
        <w:rPr>
          <w:color w:val="105C84"/>
        </w:rPr>
        <w:t>to</w:t>
      </w:r>
      <w:r>
        <w:rPr>
          <w:color w:val="105C84"/>
          <w:spacing w:val="26"/>
        </w:rPr>
        <w:t> </w:t>
      </w:r>
      <w:r>
        <w:rPr>
          <w:color w:val="105C84"/>
        </w:rPr>
        <w:t>primary</w:t>
      </w:r>
      <w:r>
        <w:rPr>
          <w:color w:val="105C84"/>
          <w:spacing w:val="26"/>
        </w:rPr>
        <w:t> </w:t>
      </w:r>
      <w:r>
        <w:rPr>
          <w:color w:val="105C84"/>
        </w:rPr>
        <w:t>care</w:t>
      </w:r>
      <w:r>
        <w:rPr>
          <w:color w:val="105C84"/>
          <w:spacing w:val="26"/>
        </w:rPr>
        <w:t> </w:t>
      </w:r>
      <w:r>
        <w:rPr>
          <w:color w:val="105C84"/>
        </w:rPr>
        <w:t>for</w:t>
      </w:r>
      <w:r>
        <w:rPr>
          <w:color w:val="105C84"/>
          <w:spacing w:val="26"/>
        </w:rPr>
        <w:t> </w:t>
      </w:r>
      <w:r>
        <w:rPr>
          <w:color w:val="105C84"/>
        </w:rPr>
        <w:t>those</w:t>
      </w:r>
      <w:r>
        <w:rPr>
          <w:color w:val="105C84"/>
          <w:spacing w:val="26"/>
        </w:rPr>
        <w:t> </w:t>
      </w:r>
      <w:r>
        <w:rPr>
          <w:color w:val="105C84"/>
        </w:rPr>
        <w:t>able</w:t>
      </w:r>
      <w:r>
        <w:rPr>
          <w:color w:val="105C84"/>
        </w:rPr>
        <w:t> to find transportation as a strength. A comprehensive list of identified strengths and resources can be</w:t>
      </w:r>
      <w:r>
        <w:rPr>
          <w:color w:val="105C84"/>
          <w:spacing w:val="40"/>
        </w:rPr>
        <w:t> </w:t>
      </w:r>
      <w:r>
        <w:rPr>
          <w:color w:val="105C84"/>
        </w:rPr>
        <w:t>found in focus group summaries and are available upon request.</w:t>
      </w:r>
    </w:p>
    <w:p>
      <w:pPr>
        <w:pStyle w:val="BodyText"/>
        <w:spacing w:line="247" w:lineRule="auto" w:before="176"/>
        <w:ind w:left="1080" w:right="399"/>
      </w:pPr>
      <w:r>
        <w:rPr>
          <w:color w:val="105C84"/>
          <w:w w:val="105"/>
        </w:rPr>
        <w:t>Through</w:t>
      </w:r>
      <w:r>
        <w:rPr>
          <w:color w:val="105C84"/>
          <w:spacing w:val="-9"/>
          <w:w w:val="105"/>
        </w:rPr>
        <w:t> </w:t>
      </w:r>
      <w:r>
        <w:rPr>
          <w:color w:val="105C84"/>
          <w:w w:val="105"/>
        </w:rPr>
        <w:t>implementation</w:t>
      </w:r>
      <w:r>
        <w:rPr>
          <w:color w:val="105C84"/>
          <w:spacing w:val="-9"/>
          <w:w w:val="105"/>
        </w:rPr>
        <w:t> </w:t>
      </w:r>
      <w:r>
        <w:rPr>
          <w:color w:val="105C84"/>
          <w:w w:val="105"/>
        </w:rPr>
        <w:t>of</w:t>
      </w:r>
      <w:r>
        <w:rPr>
          <w:color w:val="105C84"/>
          <w:spacing w:val="-9"/>
          <w:w w:val="105"/>
        </w:rPr>
        <w:t> </w:t>
      </w:r>
      <w:r>
        <w:rPr>
          <w:color w:val="105C84"/>
          <w:w w:val="105"/>
        </w:rPr>
        <w:t>the</w:t>
      </w:r>
      <w:r>
        <w:rPr>
          <w:color w:val="105C84"/>
          <w:spacing w:val="-9"/>
          <w:w w:val="105"/>
        </w:rPr>
        <w:t> </w:t>
      </w:r>
      <w:r>
        <w:rPr>
          <w:color w:val="105C84"/>
          <w:w w:val="105"/>
        </w:rPr>
        <w:t>Community</w:t>
      </w:r>
      <w:r>
        <w:rPr>
          <w:color w:val="105C84"/>
          <w:spacing w:val="-9"/>
          <w:w w:val="105"/>
        </w:rPr>
        <w:t> </w:t>
      </w:r>
      <w:r>
        <w:rPr>
          <w:color w:val="105C84"/>
          <w:w w:val="105"/>
        </w:rPr>
        <w:t>Health</w:t>
      </w:r>
      <w:r>
        <w:rPr>
          <w:color w:val="105C84"/>
          <w:spacing w:val="-9"/>
          <w:w w:val="105"/>
        </w:rPr>
        <w:t> </w:t>
      </w:r>
      <w:r>
        <w:rPr>
          <w:color w:val="105C84"/>
          <w:w w:val="105"/>
        </w:rPr>
        <w:t>Improvement</w:t>
      </w:r>
      <w:r>
        <w:rPr>
          <w:color w:val="105C84"/>
          <w:spacing w:val="-9"/>
          <w:w w:val="105"/>
        </w:rPr>
        <w:t> </w:t>
      </w:r>
      <w:r>
        <w:rPr>
          <w:color w:val="105C84"/>
          <w:w w:val="105"/>
        </w:rPr>
        <w:t>Plan,</w:t>
      </w:r>
      <w:r>
        <w:rPr>
          <w:color w:val="105C84"/>
          <w:spacing w:val="-9"/>
          <w:w w:val="105"/>
        </w:rPr>
        <w:t> </w:t>
      </w:r>
      <w:r>
        <w:rPr>
          <w:color w:val="105C84"/>
          <w:w w:val="105"/>
        </w:rPr>
        <w:t>staff</w:t>
      </w:r>
      <w:r>
        <w:rPr>
          <w:color w:val="105C84"/>
          <w:spacing w:val="-9"/>
          <w:w w:val="105"/>
        </w:rPr>
        <w:t> </w:t>
      </w:r>
      <w:r>
        <w:rPr>
          <w:color w:val="105C84"/>
          <w:w w:val="105"/>
        </w:rPr>
        <w:t>will</w:t>
      </w:r>
      <w:r>
        <w:rPr>
          <w:color w:val="105C84"/>
          <w:spacing w:val="-9"/>
          <w:w w:val="105"/>
        </w:rPr>
        <w:t> </w:t>
      </w:r>
      <w:r>
        <w:rPr>
          <w:color w:val="105C84"/>
          <w:w w:val="105"/>
        </w:rPr>
        <w:t>work</w:t>
      </w:r>
      <w:r>
        <w:rPr>
          <w:color w:val="105C84"/>
          <w:spacing w:val="-9"/>
          <w:w w:val="105"/>
        </w:rPr>
        <w:t> </w:t>
      </w:r>
      <w:r>
        <w:rPr>
          <w:color w:val="105C84"/>
          <w:w w:val="105"/>
        </w:rPr>
        <w:t>to</w:t>
      </w:r>
      <w:r>
        <w:rPr>
          <w:color w:val="105C84"/>
          <w:spacing w:val="-9"/>
          <w:w w:val="105"/>
        </w:rPr>
        <w:t> </w:t>
      </w:r>
      <w:r>
        <w:rPr>
          <w:color w:val="105C84"/>
          <w:w w:val="105"/>
        </w:rPr>
        <w:t>leverage </w:t>
      </w:r>
      <w:r>
        <w:rPr>
          <w:color w:val="105C84"/>
        </w:rPr>
        <w:t>these pre-existing agencies and services. A full description of interventions and partner roles can</w:t>
      </w:r>
      <w:r>
        <w:rPr>
          <w:color w:val="105C84"/>
          <w:spacing w:val="40"/>
        </w:rPr>
        <w:t> </w:t>
      </w:r>
      <w:r>
        <w:rPr>
          <w:color w:val="105C84"/>
        </w:rPr>
        <w:t>be found in the Schuyler County Community Health Improvement Plan document. Partnering and leveraging the assets and resources of local community agencies will be imperative to achieving </w:t>
      </w:r>
      <w:r>
        <w:rPr>
          <w:color w:val="105C84"/>
          <w:w w:val="105"/>
        </w:rPr>
        <w:t>success in the plan.</w:t>
      </w:r>
    </w:p>
    <w:p>
      <w:pPr>
        <w:pStyle w:val="BodyText"/>
        <w:spacing w:before="113"/>
      </w:pPr>
    </w:p>
    <w:p>
      <w:pPr>
        <w:spacing w:before="0"/>
        <w:ind w:left="0" w:right="0" w:firstLine="0"/>
        <w:jc w:val="left"/>
        <w:rPr>
          <w:b/>
          <w:sz w:val="26"/>
        </w:rPr>
      </w:pPr>
      <w:r>
        <w:rPr>
          <w:position w:val="-4"/>
        </w:rPr>
        <w:drawing>
          <wp:inline distT="0" distB="0" distL="0" distR="0">
            <wp:extent cx="568172" cy="184683"/>
            <wp:effectExtent l="0" t="0" r="0" b="0"/>
            <wp:docPr id="1054" name="Image 1054"/>
            <wp:cNvGraphicFramePr>
              <a:graphicFrameLocks/>
            </wp:cNvGraphicFramePr>
            <a:graphic>
              <a:graphicData uri="http://schemas.openxmlformats.org/drawingml/2006/picture">
                <pic:pic>
                  <pic:nvPicPr>
                    <pic:cNvPr id="1054" name="Image 1054"/>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80"/>
          <w:w w:val="105"/>
          <w:sz w:val="20"/>
        </w:rPr>
        <w:t> </w:t>
      </w:r>
      <w:r>
        <w:rPr>
          <w:b/>
          <w:color w:val="939598"/>
          <w:w w:val="105"/>
          <w:sz w:val="26"/>
        </w:rPr>
        <w:t>73</w:t>
      </w:r>
    </w:p>
    <w:p>
      <w:pPr>
        <w:pStyle w:val="BodyText"/>
        <w:tabs>
          <w:tab w:pos="3607" w:val="left" w:leader="none"/>
        </w:tabs>
        <w:spacing w:line="189" w:lineRule="auto"/>
        <w:ind w:left="82"/>
      </w:pPr>
      <w:r>
        <w:rPr/>
        <w:br w:type="column"/>
      </w:r>
      <w:r>
        <w:rPr>
          <w:color w:val="105C84"/>
          <w:position w:val="-12"/>
        </w:rPr>
        <w:t>Independent</w:t>
      </w:r>
      <w:r>
        <w:rPr>
          <w:color w:val="105C84"/>
          <w:spacing w:val="30"/>
          <w:position w:val="-12"/>
        </w:rPr>
        <w:t> </w:t>
      </w:r>
      <w:r>
        <w:rPr>
          <w:color w:val="105C84"/>
          <w:position w:val="-12"/>
        </w:rPr>
        <w:t>Living</w:t>
      </w:r>
      <w:r>
        <w:rPr>
          <w:color w:val="105C84"/>
          <w:spacing w:val="30"/>
          <w:position w:val="-12"/>
        </w:rPr>
        <w:t> </w:t>
      </w:r>
      <w:r>
        <w:rPr>
          <w:color w:val="105C84"/>
          <w:spacing w:val="-2"/>
          <w:position w:val="-12"/>
        </w:rPr>
        <w:t>Center</w:t>
      </w:r>
      <w:r>
        <w:rPr>
          <w:color w:val="105C84"/>
          <w:position w:val="-12"/>
        </w:rPr>
        <w:tab/>
      </w:r>
      <w:r>
        <w:rPr>
          <w:color w:val="105C84"/>
        </w:rPr>
        <w:t>Schuyler</w:t>
      </w:r>
      <w:r>
        <w:rPr>
          <w:color w:val="105C84"/>
          <w:spacing w:val="-2"/>
        </w:rPr>
        <w:t> </w:t>
      </w:r>
      <w:r>
        <w:rPr>
          <w:color w:val="105C84"/>
        </w:rPr>
        <w:t>County</w:t>
      </w:r>
      <w:r>
        <w:rPr>
          <w:color w:val="105C84"/>
          <w:spacing w:val="-2"/>
        </w:rPr>
        <w:t> Partnership</w:t>
      </w:r>
    </w:p>
    <w:p>
      <w:pPr>
        <w:pStyle w:val="BodyText"/>
        <w:spacing w:before="10"/>
        <w:rPr>
          <w:sz w:val="13"/>
        </w:rPr>
      </w:pPr>
      <w:r>
        <w:rPr>
          <w:sz w:val="13"/>
        </w:rPr>
        <mc:AlternateContent>
          <mc:Choice Requires="wps">
            <w:drawing>
              <wp:anchor distT="0" distB="0" distL="0" distR="0" allowOverlap="1" layoutInCell="1" locked="0" behindDoc="1" simplePos="0" relativeHeight="487695360">
                <wp:simplePos x="0" y="0"/>
                <wp:positionH relativeFrom="page">
                  <wp:posOffset>8450644</wp:posOffset>
                </wp:positionH>
                <wp:positionV relativeFrom="paragraph">
                  <wp:posOffset>116678</wp:posOffset>
                </wp:positionV>
                <wp:extent cx="2028825" cy="1270"/>
                <wp:effectExtent l="0" t="0" r="0" b="0"/>
                <wp:wrapTopAndBottom/>
                <wp:docPr id="1055" name="Graphic 1055"/>
                <wp:cNvGraphicFramePr>
                  <a:graphicFrameLocks/>
                </wp:cNvGraphicFramePr>
                <a:graphic>
                  <a:graphicData uri="http://schemas.microsoft.com/office/word/2010/wordprocessingShape">
                    <wps:wsp>
                      <wps:cNvPr id="1055" name="Graphic 1055"/>
                      <wps:cNvSpPr/>
                      <wps:spPr>
                        <a:xfrm>
                          <a:off x="0" y="0"/>
                          <a:ext cx="2028825" cy="1270"/>
                        </a:xfrm>
                        <a:custGeom>
                          <a:avLst/>
                          <a:gdLst/>
                          <a:ahLst/>
                          <a:cxnLst/>
                          <a:rect l="l" t="t" r="r" b="b"/>
                          <a:pathLst>
                            <a:path w="2028825" h="0">
                              <a:moveTo>
                                <a:pt x="0" y="0"/>
                              </a:moveTo>
                              <a:lnTo>
                                <a:pt x="2028380" y="0"/>
                              </a:lnTo>
                            </a:path>
                          </a:pathLst>
                        </a:custGeom>
                        <a:ln w="3175">
                          <a:solidFill>
                            <a:srgbClr val="636466"/>
                          </a:solidFill>
                          <a:prstDash val="solid"/>
                        </a:ln>
                      </wps:spPr>
                      <wps:bodyPr wrap="square" lIns="0" tIns="0" rIns="0" bIns="0" rtlCol="0">
                        <a:prstTxWarp prst="textNoShape">
                          <a:avLst/>
                        </a:prstTxWarp>
                        <a:noAutofit/>
                      </wps:bodyPr>
                    </wps:wsp>
                  </a:graphicData>
                </a:graphic>
              </wp:anchor>
            </w:drawing>
          </mc:Choice>
          <mc:Fallback>
            <w:pict>
              <v:shape style="position:absolute;margin-left:665.40509pt;margin-top:9.187322pt;width:159.75pt;height:.1pt;mso-position-horizontal-relative:page;mso-position-vertical-relative:paragraph;z-index:-15621120;mso-wrap-distance-left:0;mso-wrap-distance-right:0" id="docshape854" coordorigin="13308,184" coordsize="3195,0" path="m13308,184l16502,184e" filled="false" stroked="true" strokeweight=".25pt" strokecolor="#636466">
                <v:path arrowok="t"/>
                <v:stroke dashstyle="solid"/>
                <w10:wrap type="topAndBottom"/>
              </v:shape>
            </w:pict>
          </mc:Fallback>
        </mc:AlternateContent>
      </w:r>
      <w:r>
        <w:rPr>
          <w:sz w:val="13"/>
        </w:rPr>
        <mc:AlternateContent>
          <mc:Choice Requires="wps">
            <w:drawing>
              <wp:anchor distT="0" distB="0" distL="0" distR="0" allowOverlap="1" layoutInCell="1" locked="0" behindDoc="1" simplePos="0" relativeHeight="487695872">
                <wp:simplePos x="0" y="0"/>
                <wp:positionH relativeFrom="page">
                  <wp:posOffset>10689337</wp:posOffset>
                </wp:positionH>
                <wp:positionV relativeFrom="paragraph">
                  <wp:posOffset>116678</wp:posOffset>
                </wp:positionV>
                <wp:extent cx="2075814" cy="1270"/>
                <wp:effectExtent l="0" t="0" r="0" b="0"/>
                <wp:wrapTopAndBottom/>
                <wp:docPr id="1056" name="Graphic 1056"/>
                <wp:cNvGraphicFramePr>
                  <a:graphicFrameLocks/>
                </wp:cNvGraphicFramePr>
                <a:graphic>
                  <a:graphicData uri="http://schemas.microsoft.com/office/word/2010/wordprocessingShape">
                    <wps:wsp>
                      <wps:cNvPr id="1056" name="Graphic 1056"/>
                      <wps:cNvSpPr/>
                      <wps:spPr>
                        <a:xfrm>
                          <a:off x="0" y="0"/>
                          <a:ext cx="2075814" cy="1270"/>
                        </a:xfrm>
                        <a:custGeom>
                          <a:avLst/>
                          <a:gdLst/>
                          <a:ahLst/>
                          <a:cxnLst/>
                          <a:rect l="l" t="t" r="r" b="b"/>
                          <a:pathLst>
                            <a:path w="2075814" h="0">
                              <a:moveTo>
                                <a:pt x="0" y="0"/>
                              </a:moveTo>
                              <a:lnTo>
                                <a:pt x="2075688" y="0"/>
                              </a:lnTo>
                            </a:path>
                          </a:pathLst>
                        </a:custGeom>
                        <a:ln w="3175">
                          <a:solidFill>
                            <a:srgbClr val="636466"/>
                          </a:solidFill>
                          <a:prstDash val="solid"/>
                        </a:ln>
                      </wps:spPr>
                      <wps:bodyPr wrap="square" lIns="0" tIns="0" rIns="0" bIns="0" rtlCol="0">
                        <a:prstTxWarp prst="textNoShape">
                          <a:avLst/>
                        </a:prstTxWarp>
                        <a:noAutofit/>
                      </wps:bodyPr>
                    </wps:wsp>
                  </a:graphicData>
                </a:graphic>
              </wp:anchor>
            </w:drawing>
          </mc:Choice>
          <mc:Fallback>
            <w:pict>
              <v:shape style="position:absolute;margin-left:841.680115pt;margin-top:9.187322pt;width:163.450pt;height:.1pt;mso-position-horizontal-relative:page;mso-position-vertical-relative:paragraph;z-index:-15620608;mso-wrap-distance-left:0;mso-wrap-distance-right:0" id="docshape855" coordorigin="16834,184" coordsize="3269,0" path="m16834,184l20102,184e" filled="false" stroked="true" strokeweight=".25pt" strokecolor="#636466">
                <v:path arrowok="t"/>
                <v:stroke dashstyle="solid"/>
                <w10:wrap type="topAndBottom"/>
              </v:shape>
            </w:pict>
          </mc:Fallback>
        </mc:AlternateContent>
      </w:r>
      <w:r>
        <w:rPr>
          <w:sz w:val="13"/>
        </w:rPr>
        <mc:AlternateContent>
          <mc:Choice Requires="wps">
            <w:drawing>
              <wp:anchor distT="0" distB="0" distL="0" distR="0" allowOverlap="1" layoutInCell="1" locked="0" behindDoc="1" simplePos="0" relativeHeight="487696384">
                <wp:simplePos x="0" y="0"/>
                <wp:positionH relativeFrom="page">
                  <wp:posOffset>12970765</wp:posOffset>
                </wp:positionH>
                <wp:positionV relativeFrom="paragraph">
                  <wp:posOffset>116678</wp:posOffset>
                </wp:positionV>
                <wp:extent cx="1887220" cy="1270"/>
                <wp:effectExtent l="0" t="0" r="0" b="0"/>
                <wp:wrapTopAndBottom/>
                <wp:docPr id="1057" name="Graphic 1057"/>
                <wp:cNvGraphicFramePr>
                  <a:graphicFrameLocks/>
                </wp:cNvGraphicFramePr>
                <a:graphic>
                  <a:graphicData uri="http://schemas.microsoft.com/office/word/2010/wordprocessingShape">
                    <wps:wsp>
                      <wps:cNvPr id="1057" name="Graphic 1057"/>
                      <wps:cNvSpPr/>
                      <wps:spPr>
                        <a:xfrm>
                          <a:off x="0" y="0"/>
                          <a:ext cx="1887220" cy="1270"/>
                        </a:xfrm>
                        <a:custGeom>
                          <a:avLst/>
                          <a:gdLst/>
                          <a:ahLst/>
                          <a:cxnLst/>
                          <a:rect l="l" t="t" r="r" b="b"/>
                          <a:pathLst>
                            <a:path w="1887220" h="0">
                              <a:moveTo>
                                <a:pt x="0" y="0"/>
                              </a:moveTo>
                              <a:lnTo>
                                <a:pt x="1886648" y="0"/>
                              </a:lnTo>
                            </a:path>
                          </a:pathLst>
                        </a:custGeom>
                        <a:ln w="3175">
                          <a:solidFill>
                            <a:srgbClr val="636466"/>
                          </a:solidFill>
                          <a:prstDash val="solid"/>
                        </a:ln>
                      </wps:spPr>
                      <wps:bodyPr wrap="square" lIns="0" tIns="0" rIns="0" bIns="0" rtlCol="0">
                        <a:prstTxWarp prst="textNoShape">
                          <a:avLst/>
                        </a:prstTxWarp>
                        <a:noAutofit/>
                      </wps:bodyPr>
                    </wps:wsp>
                  </a:graphicData>
                </a:graphic>
              </wp:anchor>
            </w:drawing>
          </mc:Choice>
          <mc:Fallback>
            <w:pict>
              <v:shape style="position:absolute;margin-left:1021.320129pt;margin-top:9.187322pt;width:148.6pt;height:.1pt;mso-position-horizontal-relative:page;mso-position-vertical-relative:paragraph;z-index:-15620096;mso-wrap-distance-left:0;mso-wrap-distance-right:0" id="docshape856" coordorigin="20426,184" coordsize="2972,0" path="m20426,184l23398,184e" filled="false" stroked="true" strokeweight=".25pt" strokecolor="#636466">
                <v:path arrowok="t"/>
                <v:stroke dashstyle="solid"/>
                <w10:wrap type="topAndBottom"/>
              </v:shape>
            </w:pict>
          </mc:Fallback>
        </mc:AlternateContent>
      </w:r>
    </w:p>
    <w:p>
      <w:pPr>
        <w:pStyle w:val="BodyText"/>
        <w:spacing w:before="160"/>
      </w:pPr>
    </w:p>
    <w:p>
      <w:pPr>
        <w:pStyle w:val="BodyText"/>
        <w:spacing w:line="247" w:lineRule="auto"/>
        <w:ind w:right="376"/>
      </w:pPr>
      <w:r>
        <w:rPr/>
        <mc:AlternateContent>
          <mc:Choice Requires="wps">
            <w:drawing>
              <wp:anchor distT="0" distB="0" distL="0" distR="0" allowOverlap="1" layoutInCell="1" locked="0" behindDoc="1" simplePos="0" relativeHeight="475072512">
                <wp:simplePos x="0" y="0"/>
                <wp:positionH relativeFrom="page">
                  <wp:posOffset>10777857</wp:posOffset>
                </wp:positionH>
                <wp:positionV relativeFrom="paragraph">
                  <wp:posOffset>-460734</wp:posOffset>
                </wp:positionV>
                <wp:extent cx="1737360" cy="191135"/>
                <wp:effectExtent l="0" t="0" r="0" b="0"/>
                <wp:wrapNone/>
                <wp:docPr id="1058" name="Textbox 1058"/>
                <wp:cNvGraphicFramePr>
                  <a:graphicFrameLocks/>
                </wp:cNvGraphicFramePr>
                <a:graphic>
                  <a:graphicData uri="http://schemas.microsoft.com/office/word/2010/wordprocessingShape">
                    <wps:wsp>
                      <wps:cNvPr id="1058" name="Textbox 1058"/>
                      <wps:cNvSpPr txBox="1"/>
                      <wps:spPr>
                        <a:xfrm>
                          <a:off x="0" y="0"/>
                          <a:ext cx="1737360" cy="191135"/>
                        </a:xfrm>
                        <a:prstGeom prst="rect">
                          <a:avLst/>
                        </a:prstGeom>
                      </wps:spPr>
                      <wps:txbx>
                        <w:txbxContent>
                          <w:p>
                            <w:pPr>
                              <w:pStyle w:val="BodyText"/>
                              <w:spacing w:before="13"/>
                            </w:pPr>
                            <w:r>
                              <w:rPr>
                                <w:color w:val="105C84"/>
                              </w:rPr>
                              <w:t>for</w:t>
                            </w:r>
                            <w:r>
                              <w:rPr>
                                <w:color w:val="105C84"/>
                                <w:spacing w:val="14"/>
                              </w:rPr>
                              <w:t> </w:t>
                            </w:r>
                            <w:r>
                              <w:rPr>
                                <w:color w:val="105C84"/>
                              </w:rPr>
                              <w:t>Economic</w:t>
                            </w:r>
                            <w:r>
                              <w:rPr>
                                <w:color w:val="105C84"/>
                                <w:spacing w:val="14"/>
                              </w:rPr>
                              <w:t> </w:t>
                            </w:r>
                            <w:r>
                              <w:rPr>
                                <w:color w:val="105C84"/>
                                <w:spacing w:val="-2"/>
                              </w:rPr>
                              <w:t>Development</w:t>
                            </w:r>
                          </w:p>
                        </w:txbxContent>
                      </wps:txbx>
                      <wps:bodyPr wrap="square" lIns="0" tIns="0" rIns="0" bIns="0" rtlCol="0">
                        <a:noAutofit/>
                      </wps:bodyPr>
                    </wps:wsp>
                  </a:graphicData>
                </a:graphic>
              </wp:anchor>
            </w:drawing>
          </mc:Choice>
          <mc:Fallback>
            <w:pict>
              <v:shape style="position:absolute;margin-left:848.650208pt;margin-top:-36.278324pt;width:136.8pt;height:15.05pt;mso-position-horizontal-relative:page;mso-position-vertical-relative:paragraph;z-index:-28243968" type="#_x0000_t202" id="docshape857" filled="false" stroked="false">
                <v:textbox inset="0,0,0,0">
                  <w:txbxContent>
                    <w:p>
                      <w:pPr>
                        <w:pStyle w:val="BodyText"/>
                        <w:spacing w:before="13"/>
                      </w:pPr>
                      <w:r>
                        <w:rPr>
                          <w:color w:val="105C84"/>
                        </w:rPr>
                        <w:t>for</w:t>
                      </w:r>
                      <w:r>
                        <w:rPr>
                          <w:color w:val="105C84"/>
                          <w:spacing w:val="14"/>
                        </w:rPr>
                        <w:t> </w:t>
                      </w:r>
                      <w:r>
                        <w:rPr>
                          <w:color w:val="105C84"/>
                        </w:rPr>
                        <w:t>Economic</w:t>
                      </w:r>
                      <w:r>
                        <w:rPr>
                          <w:color w:val="105C84"/>
                          <w:spacing w:val="14"/>
                        </w:rPr>
                        <w:t> </w:t>
                      </w:r>
                      <w:r>
                        <w:rPr>
                          <w:color w:val="105C84"/>
                          <w:spacing w:val="-2"/>
                        </w:rPr>
                        <w:t>Development</w:t>
                      </w:r>
                    </w:p>
                  </w:txbxContent>
                </v:textbox>
                <w10:wrap type="none"/>
              </v:shape>
            </w:pict>
          </mc:Fallback>
        </mc:AlternateContent>
      </w:r>
      <w:r>
        <w:rPr>
          <w:color w:val="105C84"/>
        </w:rPr>
        <w:t>The community at large were engaged throughout the assessment period via a regional health survey </w:t>
      </w:r>
      <w:r>
        <w:rPr>
          <w:color w:val="105C84"/>
          <w:w w:val="105"/>
        </w:rPr>
        <w:t>and</w:t>
      </w:r>
      <w:r>
        <w:rPr>
          <w:color w:val="105C84"/>
          <w:spacing w:val="-10"/>
          <w:w w:val="105"/>
        </w:rPr>
        <w:t> </w:t>
      </w:r>
      <w:r>
        <w:rPr>
          <w:color w:val="105C84"/>
          <w:w w:val="105"/>
        </w:rPr>
        <w:t>focus</w:t>
      </w:r>
      <w:r>
        <w:rPr>
          <w:color w:val="105C84"/>
          <w:spacing w:val="-10"/>
          <w:w w:val="105"/>
        </w:rPr>
        <w:t> </w:t>
      </w:r>
      <w:r>
        <w:rPr>
          <w:color w:val="105C84"/>
          <w:w w:val="105"/>
        </w:rPr>
        <w:t>groups.</w:t>
      </w:r>
      <w:r>
        <w:rPr>
          <w:color w:val="105C84"/>
          <w:spacing w:val="-10"/>
          <w:w w:val="105"/>
        </w:rPr>
        <w:t> </w:t>
      </w:r>
      <w:r>
        <w:rPr>
          <w:color w:val="105C84"/>
          <w:w w:val="105"/>
        </w:rPr>
        <w:t>Community</w:t>
      </w:r>
      <w:r>
        <w:rPr>
          <w:color w:val="105C84"/>
          <w:spacing w:val="-10"/>
          <w:w w:val="105"/>
        </w:rPr>
        <w:t> </w:t>
      </w:r>
      <w:r>
        <w:rPr>
          <w:color w:val="105C84"/>
          <w:w w:val="105"/>
        </w:rPr>
        <w:t>members</w:t>
      </w:r>
      <w:r>
        <w:rPr>
          <w:color w:val="105C84"/>
          <w:spacing w:val="-10"/>
          <w:w w:val="105"/>
        </w:rPr>
        <w:t> </w:t>
      </w:r>
      <w:r>
        <w:rPr>
          <w:color w:val="105C84"/>
          <w:w w:val="105"/>
        </w:rPr>
        <w:t>were</w:t>
      </w:r>
      <w:r>
        <w:rPr>
          <w:color w:val="105C84"/>
          <w:spacing w:val="-10"/>
          <w:w w:val="105"/>
        </w:rPr>
        <w:t> </w:t>
      </w:r>
      <w:r>
        <w:rPr>
          <w:color w:val="105C84"/>
          <w:w w:val="105"/>
        </w:rPr>
        <w:t>also</w:t>
      </w:r>
      <w:r>
        <w:rPr>
          <w:color w:val="105C84"/>
          <w:spacing w:val="-10"/>
          <w:w w:val="105"/>
        </w:rPr>
        <w:t> </w:t>
      </w:r>
      <w:r>
        <w:rPr>
          <w:color w:val="105C84"/>
          <w:w w:val="105"/>
        </w:rPr>
        <w:t>invited</w:t>
      </w:r>
      <w:r>
        <w:rPr>
          <w:color w:val="105C84"/>
          <w:spacing w:val="-10"/>
          <w:w w:val="105"/>
        </w:rPr>
        <w:t> </w:t>
      </w:r>
      <w:r>
        <w:rPr>
          <w:color w:val="105C84"/>
          <w:w w:val="105"/>
        </w:rPr>
        <w:t>to</w:t>
      </w:r>
      <w:r>
        <w:rPr>
          <w:color w:val="105C84"/>
          <w:spacing w:val="-10"/>
          <w:w w:val="105"/>
        </w:rPr>
        <w:t> </w:t>
      </w:r>
      <w:r>
        <w:rPr>
          <w:color w:val="105C84"/>
          <w:w w:val="105"/>
        </w:rPr>
        <w:t>attend</w:t>
      </w:r>
      <w:r>
        <w:rPr>
          <w:color w:val="105C84"/>
          <w:spacing w:val="-10"/>
          <w:w w:val="105"/>
        </w:rPr>
        <w:t> </w:t>
      </w:r>
      <w:r>
        <w:rPr>
          <w:color w:val="105C84"/>
          <w:w w:val="105"/>
        </w:rPr>
        <w:t>the</w:t>
      </w:r>
      <w:r>
        <w:rPr>
          <w:color w:val="105C84"/>
          <w:spacing w:val="-10"/>
          <w:w w:val="105"/>
        </w:rPr>
        <w:t> </w:t>
      </w:r>
      <w:r>
        <w:rPr>
          <w:color w:val="105C84"/>
          <w:w w:val="105"/>
        </w:rPr>
        <w:t>prioritization</w:t>
      </w:r>
      <w:r>
        <w:rPr>
          <w:color w:val="105C84"/>
          <w:spacing w:val="-10"/>
          <w:w w:val="105"/>
        </w:rPr>
        <w:t> </w:t>
      </w:r>
      <w:r>
        <w:rPr>
          <w:color w:val="105C84"/>
          <w:w w:val="105"/>
        </w:rPr>
        <w:t>meeting</w:t>
      </w:r>
      <w:r>
        <w:rPr>
          <w:color w:val="105C84"/>
          <w:spacing w:val="-10"/>
          <w:w w:val="105"/>
        </w:rPr>
        <w:t> </w:t>
      </w:r>
      <w:r>
        <w:rPr>
          <w:color w:val="105C84"/>
          <w:w w:val="105"/>
        </w:rPr>
        <w:t>to</w:t>
      </w:r>
      <w:r>
        <w:rPr>
          <w:color w:val="105C84"/>
          <w:spacing w:val="-10"/>
          <w:w w:val="105"/>
        </w:rPr>
        <w:t> </w:t>
      </w:r>
      <w:r>
        <w:rPr>
          <w:color w:val="105C84"/>
          <w:w w:val="105"/>
        </w:rPr>
        <w:t>help </w:t>
      </w:r>
      <w:r>
        <w:rPr>
          <w:color w:val="105C84"/>
        </w:rPr>
        <w:t>inform and select the 2019-2021 priority areas. Preliminary findings of the assessment were shared</w:t>
      </w:r>
      <w:r>
        <w:rPr>
          <w:color w:val="105C84"/>
          <w:spacing w:val="40"/>
          <w:w w:val="105"/>
        </w:rPr>
        <w:t> </w:t>
      </w:r>
      <w:r>
        <w:rPr>
          <w:color w:val="105C84"/>
          <w:w w:val="105"/>
        </w:rPr>
        <w:t>with</w:t>
      </w:r>
      <w:r>
        <w:rPr>
          <w:color w:val="105C84"/>
          <w:spacing w:val="-3"/>
          <w:w w:val="105"/>
        </w:rPr>
        <w:t> </w:t>
      </w:r>
      <w:r>
        <w:rPr>
          <w:color w:val="105C84"/>
          <w:w w:val="105"/>
        </w:rPr>
        <w:t>the</w:t>
      </w:r>
      <w:r>
        <w:rPr>
          <w:color w:val="105C84"/>
          <w:spacing w:val="-3"/>
          <w:w w:val="105"/>
        </w:rPr>
        <w:t> </w:t>
      </w:r>
      <w:r>
        <w:rPr>
          <w:color w:val="105C84"/>
          <w:w w:val="105"/>
        </w:rPr>
        <w:t>public</w:t>
      </w:r>
      <w:r>
        <w:rPr>
          <w:color w:val="105C84"/>
          <w:spacing w:val="-3"/>
          <w:w w:val="105"/>
        </w:rPr>
        <w:t> </w:t>
      </w:r>
      <w:r>
        <w:rPr>
          <w:color w:val="105C84"/>
          <w:w w:val="105"/>
        </w:rPr>
        <w:t>on</w:t>
      </w:r>
      <w:r>
        <w:rPr>
          <w:color w:val="105C84"/>
          <w:spacing w:val="-3"/>
          <w:w w:val="105"/>
        </w:rPr>
        <w:t> </w:t>
      </w:r>
      <w:r>
        <w:rPr>
          <w:color w:val="105C84"/>
          <w:w w:val="105"/>
        </w:rPr>
        <w:t>the</w:t>
      </w:r>
      <w:r>
        <w:rPr>
          <w:color w:val="105C84"/>
          <w:spacing w:val="-3"/>
          <w:w w:val="105"/>
        </w:rPr>
        <w:t> </w:t>
      </w:r>
      <w:r>
        <w:rPr>
          <w:color w:val="105C84"/>
          <w:w w:val="105"/>
        </w:rPr>
        <w:t>public</w:t>
      </w:r>
      <w:r>
        <w:rPr>
          <w:color w:val="105C84"/>
          <w:spacing w:val="-3"/>
          <w:w w:val="105"/>
        </w:rPr>
        <w:t> </w:t>
      </w:r>
      <w:r>
        <w:rPr>
          <w:color w:val="105C84"/>
          <w:w w:val="105"/>
        </w:rPr>
        <w:t>health</w:t>
      </w:r>
      <w:r>
        <w:rPr>
          <w:color w:val="105C84"/>
          <w:spacing w:val="-3"/>
          <w:w w:val="105"/>
        </w:rPr>
        <w:t> </w:t>
      </w:r>
      <w:r>
        <w:rPr>
          <w:color w:val="105C84"/>
          <w:w w:val="105"/>
        </w:rPr>
        <w:t>website,</w:t>
      </w:r>
      <w:r>
        <w:rPr>
          <w:color w:val="105C84"/>
          <w:spacing w:val="-3"/>
          <w:w w:val="105"/>
        </w:rPr>
        <w:t> </w:t>
      </w:r>
      <w:r>
        <w:rPr>
          <w:color w:val="105C84"/>
          <w:w w:val="105"/>
        </w:rPr>
        <w:t>Facebook</w:t>
      </w:r>
      <w:r>
        <w:rPr>
          <w:color w:val="105C84"/>
          <w:spacing w:val="-3"/>
          <w:w w:val="105"/>
        </w:rPr>
        <w:t> </w:t>
      </w:r>
      <w:r>
        <w:rPr>
          <w:color w:val="105C84"/>
          <w:w w:val="105"/>
        </w:rPr>
        <w:t>page</w:t>
      </w:r>
      <w:r>
        <w:rPr>
          <w:color w:val="105C84"/>
          <w:spacing w:val="-3"/>
          <w:w w:val="105"/>
        </w:rPr>
        <w:t> </w:t>
      </w:r>
      <w:r>
        <w:rPr>
          <w:color w:val="105C84"/>
          <w:w w:val="105"/>
        </w:rPr>
        <w:t>and</w:t>
      </w:r>
      <w:r>
        <w:rPr>
          <w:color w:val="105C84"/>
          <w:spacing w:val="-3"/>
          <w:w w:val="105"/>
        </w:rPr>
        <w:t> </w:t>
      </w:r>
      <w:r>
        <w:rPr>
          <w:color w:val="105C84"/>
          <w:w w:val="105"/>
        </w:rPr>
        <w:t>were</w:t>
      </w:r>
      <w:r>
        <w:rPr>
          <w:color w:val="105C84"/>
          <w:spacing w:val="-3"/>
          <w:w w:val="105"/>
        </w:rPr>
        <w:t> </w:t>
      </w:r>
      <w:r>
        <w:rPr>
          <w:color w:val="105C84"/>
          <w:w w:val="105"/>
        </w:rPr>
        <w:t>shared</w:t>
      </w:r>
      <w:r>
        <w:rPr>
          <w:color w:val="105C84"/>
          <w:spacing w:val="-3"/>
          <w:w w:val="105"/>
        </w:rPr>
        <w:t> </w:t>
      </w:r>
      <w:r>
        <w:rPr>
          <w:color w:val="105C84"/>
          <w:w w:val="105"/>
        </w:rPr>
        <w:t>with</w:t>
      </w:r>
      <w:r>
        <w:rPr>
          <w:color w:val="105C84"/>
          <w:spacing w:val="-3"/>
          <w:w w:val="105"/>
        </w:rPr>
        <w:t> </w:t>
      </w:r>
      <w:r>
        <w:rPr>
          <w:color w:val="105C84"/>
          <w:w w:val="105"/>
        </w:rPr>
        <w:t>partners</w:t>
      </w:r>
      <w:r>
        <w:rPr>
          <w:color w:val="105C84"/>
          <w:spacing w:val="-3"/>
          <w:w w:val="105"/>
        </w:rPr>
        <w:t> </w:t>
      </w:r>
      <w:r>
        <w:rPr>
          <w:color w:val="105C84"/>
          <w:w w:val="105"/>
        </w:rPr>
        <w:t>that attended the priority setting meeting via email.</w:t>
      </w:r>
    </w:p>
    <w:p>
      <w:pPr>
        <w:pStyle w:val="BodyText"/>
        <w:spacing w:line="247" w:lineRule="auto" w:before="178"/>
        <w:ind w:right="384"/>
      </w:pPr>
      <w:r>
        <w:rPr>
          <w:color w:val="105C84"/>
        </w:rPr>
        <w:t>Specific interventions to address the priority areas were selected at Community Health Assessment/ Community Health Improvement Plan meetings and were a group effort. Each member was expected</w:t>
      </w:r>
      <w:r>
        <w:rPr>
          <w:color w:val="105C84"/>
          <w:spacing w:val="40"/>
        </w:rPr>
        <w:t> </w:t>
      </w:r>
      <w:r>
        <w:rPr>
          <w:color w:val="105C84"/>
        </w:rPr>
        <w:t>to</w:t>
      </w:r>
      <w:r>
        <w:rPr>
          <w:color w:val="105C84"/>
          <w:spacing w:val="35"/>
        </w:rPr>
        <w:t> </w:t>
      </w:r>
      <w:r>
        <w:rPr>
          <w:color w:val="105C84"/>
        </w:rPr>
        <w:t>highlight</w:t>
      </w:r>
      <w:r>
        <w:rPr>
          <w:color w:val="105C84"/>
          <w:spacing w:val="35"/>
        </w:rPr>
        <w:t> </w:t>
      </w:r>
      <w:r>
        <w:rPr>
          <w:color w:val="105C84"/>
        </w:rPr>
        <w:t>where</w:t>
      </w:r>
      <w:r>
        <w:rPr>
          <w:color w:val="105C84"/>
          <w:spacing w:val="35"/>
        </w:rPr>
        <w:t> </w:t>
      </w:r>
      <w:r>
        <w:rPr>
          <w:color w:val="105C84"/>
        </w:rPr>
        <w:t>resources</w:t>
      </w:r>
      <w:r>
        <w:rPr>
          <w:color w:val="105C84"/>
          <w:spacing w:val="35"/>
        </w:rPr>
        <w:t> </w:t>
      </w:r>
      <w:r>
        <w:rPr>
          <w:color w:val="105C84"/>
        </w:rPr>
        <w:t>already</w:t>
      </w:r>
      <w:r>
        <w:rPr>
          <w:color w:val="105C84"/>
          <w:spacing w:val="35"/>
        </w:rPr>
        <w:t> </w:t>
      </w:r>
      <w:r>
        <w:rPr>
          <w:color w:val="105C84"/>
        </w:rPr>
        <w:t>existed</w:t>
      </w:r>
      <w:r>
        <w:rPr>
          <w:color w:val="105C84"/>
          <w:spacing w:val="35"/>
        </w:rPr>
        <w:t> </w:t>
      </w:r>
      <w:r>
        <w:rPr>
          <w:color w:val="105C84"/>
        </w:rPr>
        <w:t>and</w:t>
      </w:r>
      <w:r>
        <w:rPr>
          <w:color w:val="105C84"/>
          <w:spacing w:val="35"/>
        </w:rPr>
        <w:t> </w:t>
      </w:r>
      <w:r>
        <w:rPr>
          <w:color w:val="105C84"/>
        </w:rPr>
        <w:t>could</w:t>
      </w:r>
      <w:r>
        <w:rPr>
          <w:color w:val="105C84"/>
          <w:spacing w:val="35"/>
        </w:rPr>
        <w:t> </w:t>
      </w:r>
      <w:r>
        <w:rPr>
          <w:color w:val="105C84"/>
        </w:rPr>
        <w:t>be</w:t>
      </w:r>
      <w:r>
        <w:rPr>
          <w:color w:val="105C84"/>
          <w:spacing w:val="35"/>
        </w:rPr>
        <w:t> </w:t>
      </w:r>
      <w:r>
        <w:rPr>
          <w:color w:val="105C84"/>
        </w:rPr>
        <w:t>leveraged.</w:t>
      </w:r>
      <w:r>
        <w:rPr>
          <w:color w:val="105C84"/>
          <w:spacing w:val="35"/>
        </w:rPr>
        <w:t> </w:t>
      </w:r>
      <w:r>
        <w:rPr>
          <w:color w:val="105C84"/>
        </w:rPr>
        <w:t>Coordinated</w:t>
      </w:r>
      <w:r>
        <w:rPr>
          <w:color w:val="105C84"/>
          <w:spacing w:val="35"/>
        </w:rPr>
        <w:t> </w:t>
      </w:r>
      <w:r>
        <w:rPr>
          <w:color w:val="105C84"/>
        </w:rPr>
        <w:t>efforts</w:t>
      </w:r>
      <w:r>
        <w:rPr>
          <w:color w:val="105C84"/>
          <w:spacing w:val="35"/>
        </w:rPr>
        <w:t> </w:t>
      </w:r>
      <w:r>
        <w:rPr>
          <w:color w:val="105C84"/>
        </w:rPr>
        <w:t>to</w:t>
      </w:r>
      <w:r>
        <w:rPr>
          <w:color w:val="105C84"/>
        </w:rPr>
        <w:t> promote</w:t>
      </w:r>
      <w:r>
        <w:rPr>
          <w:color w:val="105C84"/>
          <w:spacing w:val="29"/>
        </w:rPr>
        <w:t> </w:t>
      </w:r>
      <w:r>
        <w:rPr>
          <w:color w:val="105C84"/>
        </w:rPr>
        <w:t>and</w:t>
      </w:r>
      <w:r>
        <w:rPr>
          <w:color w:val="105C84"/>
          <w:spacing w:val="29"/>
        </w:rPr>
        <w:t> </w:t>
      </w:r>
      <w:r>
        <w:rPr>
          <w:color w:val="105C84"/>
        </w:rPr>
        <w:t>engage</w:t>
      </w:r>
      <w:r>
        <w:rPr>
          <w:color w:val="105C84"/>
          <w:spacing w:val="29"/>
        </w:rPr>
        <w:t> </w:t>
      </w:r>
      <w:r>
        <w:rPr>
          <w:color w:val="105C84"/>
        </w:rPr>
        <w:t>community</w:t>
      </w:r>
      <w:r>
        <w:rPr>
          <w:color w:val="105C84"/>
          <w:spacing w:val="29"/>
        </w:rPr>
        <w:t> </w:t>
      </w:r>
      <w:r>
        <w:rPr>
          <w:color w:val="105C84"/>
        </w:rPr>
        <w:t>members</w:t>
      </w:r>
      <w:r>
        <w:rPr>
          <w:color w:val="105C84"/>
          <w:spacing w:val="29"/>
        </w:rPr>
        <w:t> </w:t>
      </w:r>
      <w:r>
        <w:rPr>
          <w:color w:val="105C84"/>
        </w:rPr>
        <w:t>in</w:t>
      </w:r>
      <w:r>
        <w:rPr>
          <w:color w:val="105C84"/>
          <w:spacing w:val="29"/>
        </w:rPr>
        <w:t> </w:t>
      </w:r>
      <w:r>
        <w:rPr>
          <w:color w:val="105C84"/>
        </w:rPr>
        <w:t>selected</w:t>
      </w:r>
      <w:r>
        <w:rPr>
          <w:color w:val="105C84"/>
          <w:spacing w:val="29"/>
        </w:rPr>
        <w:t> </w:t>
      </w:r>
      <w:r>
        <w:rPr>
          <w:color w:val="105C84"/>
        </w:rPr>
        <w:t>initiatives</w:t>
      </w:r>
      <w:r>
        <w:rPr>
          <w:color w:val="105C84"/>
          <w:spacing w:val="29"/>
        </w:rPr>
        <w:t> </w:t>
      </w:r>
      <w:r>
        <w:rPr>
          <w:color w:val="105C84"/>
        </w:rPr>
        <w:t>will</w:t>
      </w:r>
      <w:r>
        <w:rPr>
          <w:color w:val="105C84"/>
          <w:spacing w:val="29"/>
        </w:rPr>
        <w:t> </w:t>
      </w:r>
      <w:r>
        <w:rPr>
          <w:color w:val="105C84"/>
        </w:rPr>
        <w:t>take</w:t>
      </w:r>
      <w:r>
        <w:rPr>
          <w:color w:val="105C84"/>
          <w:spacing w:val="29"/>
        </w:rPr>
        <w:t> </w:t>
      </w:r>
      <w:r>
        <w:rPr>
          <w:color w:val="105C84"/>
        </w:rPr>
        <w:t>place.</w:t>
      </w:r>
      <w:r>
        <w:rPr>
          <w:color w:val="105C84"/>
          <w:spacing w:val="29"/>
        </w:rPr>
        <w:t> </w:t>
      </w:r>
      <w:r>
        <w:rPr>
          <w:color w:val="105C84"/>
        </w:rPr>
        <w:t>A</w:t>
      </w:r>
      <w:r>
        <w:rPr>
          <w:color w:val="105C84"/>
          <w:spacing w:val="29"/>
        </w:rPr>
        <w:t> </w:t>
      </w:r>
      <w:r>
        <w:rPr>
          <w:color w:val="105C84"/>
        </w:rPr>
        <w:t>full</w:t>
      </w:r>
      <w:r>
        <w:rPr>
          <w:color w:val="105C84"/>
          <w:spacing w:val="29"/>
        </w:rPr>
        <w:t> </w:t>
      </w:r>
      <w:r>
        <w:rPr>
          <w:color w:val="105C84"/>
        </w:rPr>
        <w:t>description</w:t>
      </w:r>
      <w:r>
        <w:rPr>
          <w:color w:val="105C84"/>
          <w:spacing w:val="29"/>
        </w:rPr>
        <w:t> </w:t>
      </w:r>
      <w:r>
        <w:rPr>
          <w:color w:val="105C84"/>
        </w:rPr>
        <w:t>of objectives, interventions, process measures, partner roles and resources are available in the Schuyler County</w:t>
      </w:r>
      <w:r>
        <w:rPr>
          <w:color w:val="105C84"/>
          <w:spacing w:val="35"/>
        </w:rPr>
        <w:t> </w:t>
      </w:r>
      <w:r>
        <w:rPr>
          <w:color w:val="105C84"/>
        </w:rPr>
        <w:t>Community</w:t>
      </w:r>
      <w:r>
        <w:rPr>
          <w:color w:val="105C84"/>
          <w:spacing w:val="35"/>
        </w:rPr>
        <w:t> </w:t>
      </w:r>
      <w:r>
        <w:rPr>
          <w:color w:val="105C84"/>
        </w:rPr>
        <w:t>Health</w:t>
      </w:r>
      <w:r>
        <w:rPr>
          <w:color w:val="105C84"/>
          <w:spacing w:val="35"/>
        </w:rPr>
        <w:t> </w:t>
      </w:r>
      <w:r>
        <w:rPr>
          <w:color w:val="105C84"/>
        </w:rPr>
        <w:t>Improvement</w:t>
      </w:r>
      <w:r>
        <w:rPr>
          <w:color w:val="105C84"/>
          <w:spacing w:val="35"/>
        </w:rPr>
        <w:t> </w:t>
      </w:r>
      <w:r>
        <w:rPr>
          <w:color w:val="105C84"/>
        </w:rPr>
        <w:t>Plan</w:t>
      </w:r>
      <w:r>
        <w:rPr>
          <w:color w:val="105C84"/>
          <w:spacing w:val="35"/>
        </w:rPr>
        <w:t> </w:t>
      </w:r>
      <w:r>
        <w:rPr>
          <w:color w:val="105C84"/>
        </w:rPr>
        <w:t>(Appendix</w:t>
      </w:r>
      <w:r>
        <w:rPr>
          <w:color w:val="105C84"/>
          <w:spacing w:val="35"/>
        </w:rPr>
        <w:t> </w:t>
      </w:r>
      <w:r>
        <w:rPr>
          <w:color w:val="105C84"/>
        </w:rPr>
        <w:t>D).</w:t>
      </w:r>
      <w:r>
        <w:rPr>
          <w:color w:val="105C84"/>
          <w:spacing w:val="35"/>
        </w:rPr>
        <w:t> </w:t>
      </w:r>
      <w:r>
        <w:rPr>
          <w:color w:val="105C84"/>
        </w:rPr>
        <w:t>Interventions</w:t>
      </w:r>
      <w:r>
        <w:rPr>
          <w:color w:val="105C84"/>
          <w:spacing w:val="35"/>
        </w:rPr>
        <w:t> </w:t>
      </w:r>
      <w:r>
        <w:rPr>
          <w:color w:val="105C84"/>
        </w:rPr>
        <w:t>selected</w:t>
      </w:r>
      <w:r>
        <w:rPr>
          <w:color w:val="105C84"/>
          <w:spacing w:val="35"/>
        </w:rPr>
        <w:t> </w:t>
      </w:r>
      <w:r>
        <w:rPr>
          <w:color w:val="105C84"/>
        </w:rPr>
        <w:t>are</w:t>
      </w:r>
      <w:r>
        <w:rPr>
          <w:color w:val="105C84"/>
          <w:spacing w:val="35"/>
        </w:rPr>
        <w:t> </w:t>
      </w:r>
      <w:r>
        <w:rPr>
          <w:color w:val="105C84"/>
        </w:rPr>
        <w:t>evidence based and strive to achieve health equity by focusing on creating greater access for the low-income </w:t>
      </w:r>
      <w:r>
        <w:rPr>
          <w:color w:val="105C84"/>
          <w:spacing w:val="-2"/>
        </w:rPr>
        <w:t>population.</w:t>
      </w:r>
    </w:p>
    <w:p>
      <w:pPr>
        <w:pStyle w:val="BodyText"/>
        <w:spacing w:line="247" w:lineRule="auto" w:before="175"/>
        <w:ind w:right="155"/>
      </w:pPr>
      <w:r>
        <w:rPr>
          <w:color w:val="105C84"/>
        </w:rPr>
        <w:t>The Community Health Improvement Plan progress and implementation will be overseen by the</w:t>
      </w:r>
      <w:r>
        <w:rPr>
          <w:color w:val="105C84"/>
          <w:spacing w:val="40"/>
        </w:rPr>
        <w:t> </w:t>
      </w:r>
      <w:r>
        <w:rPr>
          <w:color w:val="105C84"/>
        </w:rPr>
        <w:t>Professional Advisory Committee and the Community Health Assessment/Community Health Improvement</w:t>
      </w:r>
      <w:r>
        <w:rPr>
          <w:color w:val="105C84"/>
          <w:spacing w:val="36"/>
        </w:rPr>
        <w:t> </w:t>
      </w:r>
      <w:r>
        <w:rPr>
          <w:color w:val="105C84"/>
        </w:rPr>
        <w:t>Plan</w:t>
      </w:r>
      <w:r>
        <w:rPr>
          <w:color w:val="105C84"/>
          <w:spacing w:val="36"/>
        </w:rPr>
        <w:t> </w:t>
      </w:r>
      <w:r>
        <w:rPr>
          <w:color w:val="105C84"/>
        </w:rPr>
        <w:t>group</w:t>
      </w:r>
      <w:r>
        <w:rPr>
          <w:color w:val="105C84"/>
          <w:spacing w:val="36"/>
        </w:rPr>
        <w:t> </w:t>
      </w:r>
      <w:r>
        <w:rPr>
          <w:color w:val="105C84"/>
        </w:rPr>
        <w:t>at</w:t>
      </w:r>
      <w:r>
        <w:rPr>
          <w:color w:val="105C84"/>
          <w:spacing w:val="36"/>
        </w:rPr>
        <w:t> </w:t>
      </w:r>
      <w:r>
        <w:rPr>
          <w:color w:val="105C84"/>
        </w:rPr>
        <w:t>monthly</w:t>
      </w:r>
      <w:r>
        <w:rPr>
          <w:color w:val="105C84"/>
          <w:spacing w:val="36"/>
        </w:rPr>
        <w:t> </w:t>
      </w:r>
      <w:r>
        <w:rPr>
          <w:color w:val="105C84"/>
        </w:rPr>
        <w:t>meetings</w:t>
      </w:r>
      <w:r>
        <w:rPr>
          <w:color w:val="105C84"/>
          <w:spacing w:val="36"/>
        </w:rPr>
        <w:t> </w:t>
      </w:r>
      <w:r>
        <w:rPr>
          <w:color w:val="105C84"/>
        </w:rPr>
        <w:t>which</w:t>
      </w:r>
      <w:r>
        <w:rPr>
          <w:color w:val="105C84"/>
          <w:spacing w:val="36"/>
        </w:rPr>
        <w:t> </w:t>
      </w:r>
      <w:r>
        <w:rPr>
          <w:color w:val="105C84"/>
        </w:rPr>
        <w:t>bring</w:t>
      </w:r>
      <w:r>
        <w:rPr>
          <w:color w:val="105C84"/>
          <w:spacing w:val="36"/>
        </w:rPr>
        <w:t> </w:t>
      </w:r>
      <w:r>
        <w:rPr>
          <w:color w:val="105C84"/>
        </w:rPr>
        <w:t>together</w:t>
      </w:r>
      <w:r>
        <w:rPr>
          <w:color w:val="105C84"/>
          <w:spacing w:val="36"/>
        </w:rPr>
        <w:t> </w:t>
      </w:r>
      <w:r>
        <w:rPr>
          <w:color w:val="105C84"/>
        </w:rPr>
        <w:t>diverse</w:t>
      </w:r>
      <w:r>
        <w:rPr>
          <w:color w:val="105C84"/>
          <w:spacing w:val="36"/>
        </w:rPr>
        <w:t> </w:t>
      </w:r>
      <w:r>
        <w:rPr>
          <w:color w:val="105C84"/>
        </w:rPr>
        <w:t>partners</w:t>
      </w:r>
      <w:r>
        <w:rPr>
          <w:color w:val="105C84"/>
          <w:spacing w:val="36"/>
        </w:rPr>
        <w:t> </w:t>
      </w:r>
      <w:r>
        <w:rPr>
          <w:color w:val="105C84"/>
        </w:rPr>
        <w:t>to</w:t>
      </w:r>
      <w:r>
        <w:rPr>
          <w:color w:val="105C84"/>
          <w:spacing w:val="36"/>
        </w:rPr>
        <w:t> </w:t>
      </w:r>
      <w:r>
        <w:rPr>
          <w:color w:val="105C84"/>
        </w:rPr>
        <w:t>improve</w:t>
      </w:r>
      <w:r>
        <w:rPr>
          <w:color w:val="105C84"/>
          <w:spacing w:val="36"/>
        </w:rPr>
        <w:t> </w:t>
      </w:r>
      <w:r>
        <w:rPr>
          <w:color w:val="105C84"/>
        </w:rPr>
        <w:t>the health of its residents. Progress and relevant data on each measure will be regularly reviewed at these meetings. Group members will identify and address any mid-course corrections in interventions and processes that need to take place during these meetings.</w:t>
      </w:r>
    </w:p>
    <w:p>
      <w:pPr>
        <w:pStyle w:val="BodyText"/>
        <w:spacing w:before="36"/>
      </w:pPr>
    </w:p>
    <w:p>
      <w:pPr>
        <w:pStyle w:val="Heading6"/>
        <w:ind w:left="0" w:right="302"/>
        <w:jc w:val="right"/>
      </w:pPr>
      <w:r>
        <w:rPr>
          <w:color w:val="939598"/>
          <w:spacing w:val="-5"/>
          <w:w w:val="105"/>
        </w:rPr>
        <w:t>74</w:t>
      </w:r>
    </w:p>
    <w:p>
      <w:pPr>
        <w:pStyle w:val="Heading6"/>
        <w:spacing w:after="0"/>
        <w:jc w:val="right"/>
        <w:sectPr>
          <w:type w:val="continuous"/>
          <w:pgSz w:w="24480" w:h="15840" w:orient="landscape"/>
          <w:pgMar w:header="0" w:footer="0" w:top="0" w:bottom="280" w:left="0" w:right="720"/>
          <w:cols w:num="2" w:equalWidth="0">
            <w:col w:w="11148" w:space="2157"/>
            <w:col w:w="10455"/>
          </w:cols>
        </w:sectPr>
      </w:pPr>
    </w:p>
    <w:p>
      <w:pPr>
        <w:pStyle w:val="BodyText"/>
        <w:rPr>
          <w:b/>
          <w:sz w:val="20"/>
        </w:rPr>
      </w:pPr>
    </w:p>
    <w:p>
      <w:pPr>
        <w:pStyle w:val="BodyText"/>
        <w:spacing w:before="16"/>
        <w:rPr>
          <w:b/>
          <w:sz w:val="20"/>
        </w:rPr>
      </w:pPr>
    </w:p>
    <w:p>
      <w:pPr>
        <w:pStyle w:val="BodyText"/>
        <w:spacing w:after="0"/>
        <w:rPr>
          <w:b/>
          <w:sz w:val="20"/>
        </w:rPr>
        <w:sectPr>
          <w:pgSz w:w="24480" w:h="15840" w:orient="landscape"/>
          <w:pgMar w:header="0" w:footer="0" w:top="860" w:bottom="0" w:left="0" w:right="720"/>
        </w:sectPr>
      </w:pPr>
    </w:p>
    <w:p>
      <w:pPr>
        <w:pStyle w:val="Heading6"/>
        <w:spacing w:before="116"/>
        <w:ind w:left="1094"/>
      </w:pPr>
      <w:r>
        <w:rPr>
          <w:color w:val="105C84"/>
          <w:spacing w:val="-2"/>
        </w:rPr>
        <w:t>Dissemination</w:t>
      </w:r>
    </w:p>
    <w:p>
      <w:pPr>
        <w:pStyle w:val="BodyText"/>
        <w:spacing w:line="247" w:lineRule="auto" w:before="268"/>
        <w:ind w:left="1094" w:right="68"/>
      </w:pPr>
      <w:r>
        <w:rPr>
          <w:color w:val="105C84"/>
        </w:rPr>
        <w:t>Schuyler County Public Health will do a press release to local media upon completion of the Community Health Assessment/Community Health Improvement Plan. The department will also email the report to local stakeholders and participants of the Community Health Assessment. They will also have it available on their county website and social media pages listed below. Hard copies</w:t>
      </w:r>
      <w:r>
        <w:rPr>
          <w:color w:val="105C84"/>
          <w:spacing w:val="40"/>
        </w:rPr>
        <w:t> </w:t>
      </w:r>
      <w:r>
        <w:rPr>
          <w:color w:val="105C84"/>
        </w:rPr>
        <w:t>of</w:t>
      </w:r>
      <w:r>
        <w:rPr>
          <w:color w:val="105C84"/>
          <w:spacing w:val="26"/>
        </w:rPr>
        <w:t> </w:t>
      </w:r>
      <w:r>
        <w:rPr>
          <w:color w:val="105C84"/>
        </w:rPr>
        <w:t>the</w:t>
      </w:r>
      <w:r>
        <w:rPr>
          <w:color w:val="105C84"/>
          <w:spacing w:val="26"/>
        </w:rPr>
        <w:t> </w:t>
      </w:r>
      <w:r>
        <w:rPr>
          <w:color w:val="105C84"/>
        </w:rPr>
        <w:t>report</w:t>
      </w:r>
      <w:r>
        <w:rPr>
          <w:color w:val="105C84"/>
          <w:spacing w:val="26"/>
        </w:rPr>
        <w:t> </w:t>
      </w:r>
      <w:r>
        <w:rPr>
          <w:color w:val="105C84"/>
        </w:rPr>
        <w:t>will</w:t>
      </w:r>
      <w:r>
        <w:rPr>
          <w:color w:val="105C84"/>
          <w:spacing w:val="26"/>
        </w:rPr>
        <w:t> </w:t>
      </w:r>
      <w:r>
        <w:rPr>
          <w:color w:val="105C84"/>
        </w:rPr>
        <w:t>be</w:t>
      </w:r>
      <w:r>
        <w:rPr>
          <w:color w:val="105C84"/>
          <w:spacing w:val="26"/>
        </w:rPr>
        <w:t> </w:t>
      </w:r>
      <w:r>
        <w:rPr>
          <w:color w:val="105C84"/>
        </w:rPr>
        <w:t>sent</w:t>
      </w:r>
      <w:r>
        <w:rPr>
          <w:color w:val="105C84"/>
          <w:spacing w:val="26"/>
        </w:rPr>
        <w:t> </w:t>
      </w:r>
      <w:r>
        <w:rPr>
          <w:color w:val="105C84"/>
        </w:rPr>
        <w:t>to</w:t>
      </w:r>
      <w:r>
        <w:rPr>
          <w:color w:val="105C84"/>
          <w:spacing w:val="26"/>
        </w:rPr>
        <w:t> </w:t>
      </w:r>
      <w:r>
        <w:rPr>
          <w:color w:val="105C84"/>
        </w:rPr>
        <w:t>local</w:t>
      </w:r>
      <w:r>
        <w:rPr>
          <w:color w:val="105C84"/>
          <w:spacing w:val="26"/>
        </w:rPr>
        <w:t> </w:t>
      </w:r>
      <w:r>
        <w:rPr>
          <w:color w:val="105C84"/>
        </w:rPr>
        <w:t>libraries</w:t>
      </w:r>
      <w:r>
        <w:rPr>
          <w:color w:val="105C84"/>
          <w:spacing w:val="26"/>
        </w:rPr>
        <w:t> </w:t>
      </w:r>
      <w:r>
        <w:rPr>
          <w:color w:val="105C84"/>
        </w:rPr>
        <w:t>and</w:t>
      </w:r>
      <w:r>
        <w:rPr>
          <w:color w:val="105C84"/>
          <w:spacing w:val="26"/>
        </w:rPr>
        <w:t> </w:t>
      </w:r>
      <w:r>
        <w:rPr>
          <w:color w:val="105C84"/>
        </w:rPr>
        <w:t>will</w:t>
      </w:r>
      <w:r>
        <w:rPr>
          <w:color w:val="105C84"/>
          <w:spacing w:val="26"/>
        </w:rPr>
        <w:t> </w:t>
      </w:r>
      <w:r>
        <w:rPr>
          <w:color w:val="105C84"/>
        </w:rPr>
        <w:t>be</w:t>
      </w:r>
      <w:r>
        <w:rPr>
          <w:color w:val="105C84"/>
          <w:spacing w:val="26"/>
        </w:rPr>
        <w:t> </w:t>
      </w:r>
      <w:r>
        <w:rPr>
          <w:color w:val="105C84"/>
        </w:rPr>
        <w:t>presented</w:t>
      </w:r>
      <w:r>
        <w:rPr>
          <w:color w:val="105C84"/>
          <w:spacing w:val="26"/>
        </w:rPr>
        <w:t> </w:t>
      </w:r>
      <w:r>
        <w:rPr>
          <w:color w:val="105C84"/>
        </w:rPr>
        <w:t>to</w:t>
      </w:r>
      <w:r>
        <w:rPr>
          <w:color w:val="105C84"/>
          <w:spacing w:val="26"/>
        </w:rPr>
        <w:t> </w:t>
      </w:r>
      <w:r>
        <w:rPr>
          <w:color w:val="105C84"/>
        </w:rPr>
        <w:t>the</w:t>
      </w:r>
      <w:r>
        <w:rPr>
          <w:color w:val="105C84"/>
          <w:spacing w:val="26"/>
        </w:rPr>
        <w:t> </w:t>
      </w:r>
      <w:r>
        <w:rPr>
          <w:color w:val="105C84"/>
        </w:rPr>
        <w:t>Board</w:t>
      </w:r>
      <w:r>
        <w:rPr>
          <w:color w:val="105C84"/>
          <w:spacing w:val="26"/>
        </w:rPr>
        <w:t> </w:t>
      </w:r>
      <w:r>
        <w:rPr>
          <w:color w:val="105C84"/>
        </w:rPr>
        <w:t>of</w:t>
      </w:r>
      <w:r>
        <w:rPr>
          <w:color w:val="105C84"/>
          <w:spacing w:val="26"/>
        </w:rPr>
        <w:t> </w:t>
      </w:r>
      <w:r>
        <w:rPr>
          <w:color w:val="105C84"/>
        </w:rPr>
        <w:t>Health.</w:t>
      </w:r>
    </w:p>
    <w:p>
      <w:pPr>
        <w:pStyle w:val="BodyText"/>
        <w:spacing w:line="417" w:lineRule="auto" w:before="178"/>
        <w:ind w:left="1094"/>
      </w:pPr>
      <w:r>
        <w:rPr>
          <w:color w:val="105C84"/>
        </w:rPr>
        <w:t>Public Health Website: </w:t>
      </w:r>
      <w:hyperlink r:id="rId154">
        <w:r>
          <w:rPr>
            <w:color w:val="105C84"/>
          </w:rPr>
          <w:t>http://www.schuylercounty.us/621/About-Schuyler-County-Public-Health</w:t>
        </w:r>
      </w:hyperlink>
      <w:r>
        <w:rPr>
          <w:color w:val="105C84"/>
        </w:rPr>
        <w:t> Facebook: </w:t>
      </w:r>
      <w:hyperlink r:id="rId155">
        <w:r>
          <w:rPr>
            <w:color w:val="105C84"/>
          </w:rPr>
          <w:t>https://www.facebook.com/SchuylerPublicHealth/</w:t>
        </w:r>
      </w:hyperlink>
    </w:p>
    <w:p>
      <w:pPr>
        <w:pStyle w:val="BodyText"/>
        <w:spacing w:line="253" w:lineRule="exact"/>
        <w:ind w:left="1094"/>
      </w:pPr>
      <w:r>
        <w:rPr>
          <w:color w:val="105C84"/>
        </w:rPr>
        <w:t>Twitter:</w:t>
      </w:r>
      <w:r>
        <w:rPr>
          <w:color w:val="105C84"/>
          <w:spacing w:val="13"/>
        </w:rPr>
        <w:t> </w:t>
      </w:r>
      <w:hyperlink r:id="rId156">
        <w:r>
          <w:rPr>
            <w:color w:val="105C84"/>
            <w:spacing w:val="-2"/>
          </w:rPr>
          <w:t>https://twitter.com/schuylercoph</w:t>
        </w:r>
      </w:hyperlink>
    </w:p>
    <w:p>
      <w:pPr>
        <w:pStyle w:val="BodyText"/>
        <w:spacing w:line="247" w:lineRule="auto" w:before="187"/>
        <w:ind w:left="1094" w:right="435"/>
      </w:pPr>
      <w:r>
        <w:rPr>
          <w:color w:val="105C84"/>
        </w:rPr>
        <w:t>Schuyler Hospital Community Page: </w:t>
      </w:r>
      <w:hyperlink r:id="rId157">
        <w:r>
          <w:rPr>
            <w:color w:val="105C84"/>
          </w:rPr>
          <w:t>https://schuylerhospital.org/wp-content/uploads/2017/07/</w:t>
        </w:r>
      </w:hyperlink>
      <w:r>
        <w:rPr>
          <w:color w:val="105C84"/>
          <w:spacing w:val="80"/>
          <w:w w:val="150"/>
        </w:rPr>
        <w:t> </w:t>
      </w:r>
      <w:r>
        <w:rPr>
          <w:color w:val="105C84"/>
          <w:spacing w:val="-2"/>
        </w:rPr>
        <w:t>Community-Health-Assessment-Community-Service-Plan-2016-18.pdf</w:t>
      </w:r>
    </w:p>
    <w:p>
      <w:pPr>
        <w:pStyle w:val="Heading3"/>
        <w:spacing w:before="120"/>
        <w:ind w:left="1094"/>
      </w:pPr>
      <w:bookmarkStart w:name="_TOC_250011" w:id="8"/>
      <w:r>
        <w:rPr>
          <w:b w:val="0"/>
        </w:rPr>
        <w:br w:type="column"/>
      </w:r>
      <w:r>
        <w:rPr>
          <w:color w:val="82BF6A"/>
          <w:spacing w:val="-8"/>
        </w:rPr>
        <w:t>SENECA</w:t>
      </w:r>
      <w:r>
        <w:rPr>
          <w:color w:val="82BF6A"/>
          <w:spacing w:val="-14"/>
        </w:rPr>
        <w:t> </w:t>
      </w:r>
      <w:bookmarkEnd w:id="8"/>
      <w:r>
        <w:rPr>
          <w:color w:val="82BF6A"/>
          <w:spacing w:val="-2"/>
        </w:rPr>
        <w:t>COUNTY</w:t>
      </w:r>
    </w:p>
    <w:p>
      <w:pPr>
        <w:pStyle w:val="Heading6"/>
        <w:spacing w:before="258"/>
        <w:ind w:left="1094"/>
      </w:pPr>
      <w:r>
        <w:rPr>
          <w:color w:val="105C84"/>
          <w:spacing w:val="-6"/>
        </w:rPr>
        <w:t>Demographic</w:t>
      </w:r>
      <w:r>
        <w:rPr>
          <w:color w:val="105C84"/>
          <w:spacing w:val="-8"/>
        </w:rPr>
        <w:t> </w:t>
      </w:r>
      <w:r>
        <w:rPr>
          <w:color w:val="105C84"/>
          <w:spacing w:val="-6"/>
        </w:rPr>
        <w:t>and</w:t>
      </w:r>
      <w:r>
        <w:rPr>
          <w:color w:val="105C84"/>
          <w:spacing w:val="-8"/>
        </w:rPr>
        <w:t> </w:t>
      </w:r>
      <w:r>
        <w:rPr>
          <w:color w:val="105C84"/>
          <w:spacing w:val="-6"/>
        </w:rPr>
        <w:t>Socioeconomic</w:t>
      </w:r>
      <w:r>
        <w:rPr>
          <w:color w:val="105C84"/>
          <w:spacing w:val="-8"/>
        </w:rPr>
        <w:t> </w:t>
      </w:r>
      <w:r>
        <w:rPr>
          <w:color w:val="105C84"/>
          <w:spacing w:val="-6"/>
        </w:rPr>
        <w:t>Health</w:t>
      </w:r>
      <w:r>
        <w:rPr>
          <w:color w:val="105C84"/>
          <w:spacing w:val="-7"/>
        </w:rPr>
        <w:t> </w:t>
      </w:r>
      <w:r>
        <w:rPr>
          <w:color w:val="105C84"/>
          <w:spacing w:val="-6"/>
        </w:rPr>
        <w:t>Indicators</w:t>
      </w:r>
    </w:p>
    <w:p>
      <w:pPr>
        <w:pStyle w:val="BodyText"/>
        <w:spacing w:line="247" w:lineRule="auto" w:before="268"/>
        <w:ind w:left="1094" w:right="484"/>
      </w:pPr>
      <w:r>
        <w:rPr>
          <w:color w:val="105C84"/>
        </w:rPr>
        <w:t>Seneca County, also known as the county between the lakes, is bordered by Seneca and Cayuga Lakes. A total of 34,843 persons reside in the county, the majority of which (92%) are White Non-Hispanic. Women of childbearing age comprise 15% of the population, and 22.6% of the 18+ population</w:t>
      </w:r>
      <w:r>
        <w:rPr>
          <w:color w:val="105C84"/>
          <w:spacing w:val="19"/>
        </w:rPr>
        <w:t> </w:t>
      </w:r>
      <w:r>
        <w:rPr>
          <w:color w:val="105C84"/>
        </w:rPr>
        <w:t>are</w:t>
      </w:r>
      <w:r>
        <w:rPr>
          <w:color w:val="105C84"/>
          <w:spacing w:val="19"/>
        </w:rPr>
        <w:t> </w:t>
      </w:r>
      <w:r>
        <w:rPr>
          <w:color w:val="105C84"/>
        </w:rPr>
        <w:t>living</w:t>
      </w:r>
      <w:r>
        <w:rPr>
          <w:color w:val="105C84"/>
          <w:spacing w:val="19"/>
        </w:rPr>
        <w:t> </w:t>
      </w:r>
      <w:r>
        <w:rPr>
          <w:color w:val="105C84"/>
        </w:rPr>
        <w:t>with</w:t>
      </w:r>
      <w:r>
        <w:rPr>
          <w:color w:val="105C84"/>
          <w:spacing w:val="19"/>
        </w:rPr>
        <w:t> </w:t>
      </w:r>
      <w:r>
        <w:rPr>
          <w:color w:val="105C84"/>
        </w:rPr>
        <w:t>a</w:t>
      </w:r>
      <w:r>
        <w:rPr>
          <w:color w:val="105C84"/>
          <w:spacing w:val="19"/>
        </w:rPr>
        <w:t> </w:t>
      </w:r>
      <w:r>
        <w:rPr>
          <w:color w:val="105C84"/>
        </w:rPr>
        <w:t>disability.</w:t>
      </w:r>
      <w:r>
        <w:rPr>
          <w:color w:val="105C84"/>
          <w:position w:val="7"/>
          <w:sz w:val="13"/>
        </w:rPr>
        <w:t>32</w:t>
      </w:r>
      <w:r>
        <w:rPr>
          <w:color w:val="105C84"/>
          <w:spacing w:val="40"/>
          <w:position w:val="7"/>
          <w:sz w:val="13"/>
        </w:rPr>
        <w:t> </w:t>
      </w:r>
      <w:r>
        <w:rPr>
          <w:color w:val="105C84"/>
        </w:rPr>
        <w:t>2017</w:t>
      </w:r>
      <w:r>
        <w:rPr>
          <w:color w:val="105C84"/>
          <w:spacing w:val="19"/>
        </w:rPr>
        <w:t> </w:t>
      </w:r>
      <w:r>
        <w:rPr>
          <w:color w:val="105C84"/>
        </w:rPr>
        <w:t>estimates</w:t>
      </w:r>
      <w:r>
        <w:rPr>
          <w:color w:val="105C84"/>
          <w:spacing w:val="19"/>
        </w:rPr>
        <w:t> </w:t>
      </w:r>
      <w:r>
        <w:rPr>
          <w:color w:val="105C84"/>
        </w:rPr>
        <w:t>reveal</w:t>
      </w:r>
      <w:r>
        <w:rPr>
          <w:color w:val="105C84"/>
          <w:spacing w:val="19"/>
        </w:rPr>
        <w:t> </w:t>
      </w:r>
      <w:r>
        <w:rPr>
          <w:color w:val="105C84"/>
        </w:rPr>
        <w:t>28%</w:t>
      </w:r>
      <w:r>
        <w:rPr>
          <w:color w:val="105C84"/>
          <w:spacing w:val="19"/>
        </w:rPr>
        <w:t> </w:t>
      </w:r>
      <w:r>
        <w:rPr>
          <w:color w:val="105C84"/>
        </w:rPr>
        <w:t>of</w:t>
      </w:r>
      <w:r>
        <w:rPr>
          <w:color w:val="105C84"/>
          <w:spacing w:val="19"/>
        </w:rPr>
        <w:t> </w:t>
      </w:r>
      <w:r>
        <w:rPr>
          <w:color w:val="105C84"/>
        </w:rPr>
        <w:t>the</w:t>
      </w:r>
      <w:r>
        <w:rPr>
          <w:color w:val="105C84"/>
          <w:spacing w:val="19"/>
        </w:rPr>
        <w:t> </w:t>
      </w:r>
      <w:r>
        <w:rPr>
          <w:color w:val="105C84"/>
        </w:rPr>
        <w:t>65+</w:t>
      </w:r>
      <w:r>
        <w:rPr>
          <w:color w:val="105C84"/>
          <w:spacing w:val="19"/>
        </w:rPr>
        <w:t> </w:t>
      </w:r>
      <w:r>
        <w:rPr>
          <w:color w:val="105C84"/>
        </w:rPr>
        <w:t>population</w:t>
      </w:r>
      <w:r>
        <w:rPr>
          <w:color w:val="105C84"/>
          <w:spacing w:val="19"/>
        </w:rPr>
        <w:t> </w:t>
      </w:r>
      <w:r>
        <w:rPr>
          <w:color w:val="105C84"/>
        </w:rPr>
        <w:t>(N=1,725) is living alone. This rate is down 3% from 2012 when 29% of the 65+ population (N=1,608) was living </w:t>
      </w:r>
      <w:r>
        <w:rPr>
          <w:color w:val="105C84"/>
          <w:spacing w:val="-2"/>
        </w:rPr>
        <w:t>alone.</w:t>
      </w:r>
    </w:p>
    <w:p>
      <w:pPr>
        <w:pStyle w:val="BodyText"/>
        <w:spacing w:line="247" w:lineRule="auto" w:before="177"/>
        <w:ind w:left="1094" w:right="315"/>
      </w:pPr>
      <w:r>
        <w:rPr/>
        <mc:AlternateContent>
          <mc:Choice Requires="wps">
            <w:drawing>
              <wp:anchor distT="0" distB="0" distL="0" distR="0" allowOverlap="1" layoutInCell="1" locked="0" behindDoc="0" simplePos="0" relativeHeight="15847936">
                <wp:simplePos x="0" y="0"/>
                <wp:positionH relativeFrom="page">
                  <wp:posOffset>0</wp:posOffset>
                </wp:positionH>
                <wp:positionV relativeFrom="paragraph">
                  <wp:posOffset>1126546</wp:posOffset>
                </wp:positionV>
                <wp:extent cx="7780020" cy="6254750"/>
                <wp:effectExtent l="0" t="0" r="0" b="0"/>
                <wp:wrapNone/>
                <wp:docPr id="1059" name="Group 1059"/>
                <wp:cNvGraphicFramePr>
                  <a:graphicFrameLocks/>
                </wp:cNvGraphicFramePr>
                <a:graphic>
                  <a:graphicData uri="http://schemas.microsoft.com/office/word/2010/wordprocessingGroup">
                    <wpg:wgp>
                      <wpg:cNvPr id="1059" name="Group 1059"/>
                      <wpg:cNvGrpSpPr/>
                      <wpg:grpSpPr>
                        <a:xfrm>
                          <a:off x="0" y="0"/>
                          <a:ext cx="7780020" cy="6254750"/>
                          <a:chExt cx="7780020" cy="6254750"/>
                        </a:xfrm>
                      </wpg:grpSpPr>
                      <pic:pic>
                        <pic:nvPicPr>
                          <pic:cNvPr id="1060" name="Image 1060"/>
                          <pic:cNvPicPr/>
                        </pic:nvPicPr>
                        <pic:blipFill>
                          <a:blip r:embed="rId39" cstate="print"/>
                          <a:stretch>
                            <a:fillRect/>
                          </a:stretch>
                        </pic:blipFill>
                        <pic:spPr>
                          <a:xfrm>
                            <a:off x="0" y="5864199"/>
                            <a:ext cx="568172" cy="184683"/>
                          </a:xfrm>
                          <a:prstGeom prst="rect">
                            <a:avLst/>
                          </a:prstGeom>
                        </pic:spPr>
                      </pic:pic>
                      <pic:pic>
                        <pic:nvPicPr>
                          <pic:cNvPr id="1061" name="Image 1061"/>
                          <pic:cNvPicPr/>
                        </pic:nvPicPr>
                        <pic:blipFill>
                          <a:blip r:embed="rId158" cstate="print"/>
                          <a:stretch>
                            <a:fillRect/>
                          </a:stretch>
                        </pic:blipFill>
                        <pic:spPr>
                          <a:xfrm>
                            <a:off x="0" y="0"/>
                            <a:ext cx="7772400" cy="6254496"/>
                          </a:xfrm>
                          <a:prstGeom prst="rect">
                            <a:avLst/>
                          </a:prstGeom>
                        </pic:spPr>
                      </pic:pic>
                      <wps:wsp>
                        <wps:cNvPr id="1062" name="Graphic 1062"/>
                        <wps:cNvSpPr/>
                        <wps:spPr>
                          <a:xfrm>
                            <a:off x="0" y="5340096"/>
                            <a:ext cx="7780020" cy="914400"/>
                          </a:xfrm>
                          <a:custGeom>
                            <a:avLst/>
                            <a:gdLst/>
                            <a:ahLst/>
                            <a:cxnLst/>
                            <a:rect l="l" t="t" r="r" b="b"/>
                            <a:pathLst>
                              <a:path w="7780020" h="914400">
                                <a:moveTo>
                                  <a:pt x="7779512" y="914400"/>
                                </a:moveTo>
                                <a:lnTo>
                                  <a:pt x="7779512" y="0"/>
                                </a:lnTo>
                                <a:lnTo>
                                  <a:pt x="0" y="0"/>
                                </a:lnTo>
                                <a:lnTo>
                                  <a:pt x="0" y="914400"/>
                                </a:lnTo>
                                <a:lnTo>
                                  <a:pt x="7779512" y="914400"/>
                                </a:lnTo>
                                <a:close/>
                              </a:path>
                            </a:pathLst>
                          </a:custGeom>
                          <a:solidFill>
                            <a:srgbClr val="000000">
                              <a:alpha val="71998"/>
                            </a:srgbClr>
                          </a:solidFill>
                        </wps:spPr>
                        <wps:bodyPr wrap="square" lIns="0" tIns="0" rIns="0" bIns="0" rtlCol="0">
                          <a:prstTxWarp prst="textNoShape">
                            <a:avLst/>
                          </a:prstTxWarp>
                          <a:noAutofit/>
                        </wps:bodyPr>
                      </wps:wsp>
                      <wps:wsp>
                        <wps:cNvPr id="1063" name="Textbox 1063"/>
                        <wps:cNvSpPr txBox="1"/>
                        <wps:spPr>
                          <a:xfrm>
                            <a:off x="694944" y="5779008"/>
                            <a:ext cx="2223770" cy="253365"/>
                          </a:xfrm>
                          <a:prstGeom prst="rect">
                            <a:avLst/>
                          </a:prstGeom>
                        </wps:spPr>
                        <wps:txbx>
                          <w:txbxContent>
                            <w:p>
                              <w:pPr>
                                <w:spacing w:line="182" w:lineRule="exact" w:before="10"/>
                                <w:ind w:left="0" w:right="0" w:firstLine="0"/>
                                <w:jc w:val="left"/>
                                <w:rPr>
                                  <w:sz w:val="16"/>
                                </w:rPr>
                              </w:pPr>
                              <w:r>
                                <w:rPr>
                                  <w:color w:val="FFFFFF"/>
                                  <w:sz w:val="16"/>
                                </w:rPr>
                                <w:t>Schuyler</w:t>
                              </w:r>
                              <w:r>
                                <w:rPr>
                                  <w:color w:val="FFFFFF"/>
                                  <w:spacing w:val="-6"/>
                                  <w:sz w:val="16"/>
                                </w:rPr>
                                <w:t> </w:t>
                              </w:r>
                              <w:r>
                                <w:rPr>
                                  <w:color w:val="FFFFFF"/>
                                  <w:sz w:val="16"/>
                                </w:rPr>
                                <w:t>County</w:t>
                              </w:r>
                              <w:r>
                                <w:rPr>
                                  <w:color w:val="FFFFFF"/>
                                  <w:spacing w:val="-6"/>
                                  <w:sz w:val="16"/>
                                </w:rPr>
                                <w:t> </w:t>
                              </w:r>
                              <w:r>
                                <w:rPr>
                                  <w:color w:val="FFFFFF"/>
                                  <w:sz w:val="16"/>
                                </w:rPr>
                                <w:t>Watkins</w:t>
                              </w:r>
                              <w:r>
                                <w:rPr>
                                  <w:color w:val="FFFFFF"/>
                                  <w:spacing w:val="-6"/>
                                  <w:sz w:val="16"/>
                                </w:rPr>
                                <w:t> </w:t>
                              </w:r>
                              <w:r>
                                <w:rPr>
                                  <w:color w:val="FFFFFF"/>
                                  <w:spacing w:val="-4"/>
                                  <w:sz w:val="16"/>
                                </w:rPr>
                                <w:t>Glen</w:t>
                              </w:r>
                            </w:p>
                            <w:p>
                              <w:pPr>
                                <w:spacing w:line="182" w:lineRule="exact" w:before="0"/>
                                <w:ind w:left="0" w:right="0" w:firstLine="0"/>
                                <w:jc w:val="left"/>
                                <w:rPr>
                                  <w:sz w:val="16"/>
                                </w:rPr>
                              </w:pPr>
                              <w:r>
                                <w:rPr>
                                  <w:color w:val="FFFFFF"/>
                                  <w:sz w:val="16"/>
                                </w:rPr>
                                <w:t>Photo</w:t>
                              </w:r>
                              <w:r>
                                <w:rPr>
                                  <w:color w:val="FFFFFF"/>
                                  <w:spacing w:val="1"/>
                                  <w:sz w:val="16"/>
                                </w:rPr>
                                <w:t> </w:t>
                              </w:r>
                              <w:r>
                                <w:rPr>
                                  <w:color w:val="FFFFFF"/>
                                  <w:sz w:val="16"/>
                                </w:rPr>
                                <w:t>courtesy</w:t>
                              </w:r>
                              <w:r>
                                <w:rPr>
                                  <w:color w:val="FFFFFF"/>
                                  <w:spacing w:val="1"/>
                                  <w:sz w:val="16"/>
                                </w:rPr>
                                <w:t> </w:t>
                              </w:r>
                              <w:r>
                                <w:rPr>
                                  <w:color w:val="FFFFFF"/>
                                  <w:sz w:val="16"/>
                                </w:rPr>
                                <w:t>of</w:t>
                              </w:r>
                              <w:r>
                                <w:rPr>
                                  <w:color w:val="FFFFFF"/>
                                  <w:spacing w:val="1"/>
                                  <w:sz w:val="16"/>
                                </w:rPr>
                                <w:t> </w:t>
                              </w:r>
                              <w:r>
                                <w:rPr>
                                  <w:color w:val="FFFFFF"/>
                                  <w:sz w:val="16"/>
                                </w:rPr>
                                <w:t>Schuyler</w:t>
                              </w:r>
                              <w:r>
                                <w:rPr>
                                  <w:color w:val="FFFFFF"/>
                                  <w:spacing w:val="1"/>
                                  <w:sz w:val="16"/>
                                </w:rPr>
                                <w:t> </w:t>
                              </w:r>
                              <w:r>
                                <w:rPr>
                                  <w:color w:val="FFFFFF"/>
                                  <w:sz w:val="16"/>
                                </w:rPr>
                                <w:t>County</w:t>
                              </w:r>
                              <w:r>
                                <w:rPr>
                                  <w:color w:val="FFFFFF"/>
                                  <w:spacing w:val="1"/>
                                  <w:sz w:val="16"/>
                                </w:rPr>
                                <w:t> </w:t>
                              </w:r>
                              <w:r>
                                <w:rPr>
                                  <w:color w:val="FFFFFF"/>
                                  <w:sz w:val="16"/>
                                </w:rPr>
                                <w:t>Public</w:t>
                              </w:r>
                              <w:r>
                                <w:rPr>
                                  <w:color w:val="FFFFFF"/>
                                  <w:spacing w:val="1"/>
                                  <w:sz w:val="16"/>
                                </w:rPr>
                                <w:t> </w:t>
                              </w:r>
                              <w:r>
                                <w:rPr>
                                  <w:color w:val="FFFFFF"/>
                                  <w:spacing w:val="-2"/>
                                  <w:sz w:val="16"/>
                                </w:rPr>
                                <w:t>Health</w:t>
                              </w:r>
                            </w:p>
                          </w:txbxContent>
                        </wps:txbx>
                        <wps:bodyPr wrap="square" lIns="0" tIns="0" rIns="0" bIns="0" rtlCol="0">
                          <a:noAutofit/>
                        </wps:bodyPr>
                      </wps:wsp>
                    </wpg:wgp>
                  </a:graphicData>
                </a:graphic>
              </wp:anchor>
            </w:drawing>
          </mc:Choice>
          <mc:Fallback>
            <w:pict>
              <v:group style="position:absolute;margin-left:.0pt;margin-top:88.704422pt;width:612.6pt;height:492.5pt;mso-position-horizontal-relative:page;mso-position-vertical-relative:paragraph;z-index:15847936" id="docshapegroup858" coordorigin="0,1774" coordsize="12252,9850">
                <v:shape style="position:absolute;left:0;top:11009;width:895;height:291" type="#_x0000_t75" id="docshape859" stroked="false">
                  <v:imagedata r:id="rId39" o:title=""/>
                </v:shape>
                <v:shape style="position:absolute;left:0;top:1774;width:12240;height:9850" type="#_x0000_t75" id="docshape860" stroked="false">
                  <v:imagedata r:id="rId158" o:title=""/>
                </v:shape>
                <v:rect style="position:absolute;left:0;top:10183;width:12252;height:1440" id="docshape861" filled="true" fillcolor="#000000" stroked="false">
                  <v:fill opacity="47185f" type="solid"/>
                </v:rect>
                <v:shape style="position:absolute;left:1094;top:10874;width:3502;height:399" type="#_x0000_t202" id="docshape862" filled="false" stroked="false">
                  <v:textbox inset="0,0,0,0">
                    <w:txbxContent>
                      <w:p>
                        <w:pPr>
                          <w:spacing w:line="182" w:lineRule="exact" w:before="10"/>
                          <w:ind w:left="0" w:right="0" w:firstLine="0"/>
                          <w:jc w:val="left"/>
                          <w:rPr>
                            <w:sz w:val="16"/>
                          </w:rPr>
                        </w:pPr>
                        <w:r>
                          <w:rPr>
                            <w:color w:val="FFFFFF"/>
                            <w:sz w:val="16"/>
                          </w:rPr>
                          <w:t>Schuyler</w:t>
                        </w:r>
                        <w:r>
                          <w:rPr>
                            <w:color w:val="FFFFFF"/>
                            <w:spacing w:val="-6"/>
                            <w:sz w:val="16"/>
                          </w:rPr>
                          <w:t> </w:t>
                        </w:r>
                        <w:r>
                          <w:rPr>
                            <w:color w:val="FFFFFF"/>
                            <w:sz w:val="16"/>
                          </w:rPr>
                          <w:t>County</w:t>
                        </w:r>
                        <w:r>
                          <w:rPr>
                            <w:color w:val="FFFFFF"/>
                            <w:spacing w:val="-6"/>
                            <w:sz w:val="16"/>
                          </w:rPr>
                          <w:t> </w:t>
                        </w:r>
                        <w:r>
                          <w:rPr>
                            <w:color w:val="FFFFFF"/>
                            <w:sz w:val="16"/>
                          </w:rPr>
                          <w:t>Watkins</w:t>
                        </w:r>
                        <w:r>
                          <w:rPr>
                            <w:color w:val="FFFFFF"/>
                            <w:spacing w:val="-6"/>
                            <w:sz w:val="16"/>
                          </w:rPr>
                          <w:t> </w:t>
                        </w:r>
                        <w:r>
                          <w:rPr>
                            <w:color w:val="FFFFFF"/>
                            <w:spacing w:val="-4"/>
                            <w:sz w:val="16"/>
                          </w:rPr>
                          <w:t>Glen</w:t>
                        </w:r>
                      </w:p>
                      <w:p>
                        <w:pPr>
                          <w:spacing w:line="182" w:lineRule="exact" w:before="0"/>
                          <w:ind w:left="0" w:right="0" w:firstLine="0"/>
                          <w:jc w:val="left"/>
                          <w:rPr>
                            <w:sz w:val="16"/>
                          </w:rPr>
                        </w:pPr>
                        <w:r>
                          <w:rPr>
                            <w:color w:val="FFFFFF"/>
                            <w:sz w:val="16"/>
                          </w:rPr>
                          <w:t>Photo</w:t>
                        </w:r>
                        <w:r>
                          <w:rPr>
                            <w:color w:val="FFFFFF"/>
                            <w:spacing w:val="1"/>
                            <w:sz w:val="16"/>
                          </w:rPr>
                          <w:t> </w:t>
                        </w:r>
                        <w:r>
                          <w:rPr>
                            <w:color w:val="FFFFFF"/>
                            <w:sz w:val="16"/>
                          </w:rPr>
                          <w:t>courtesy</w:t>
                        </w:r>
                        <w:r>
                          <w:rPr>
                            <w:color w:val="FFFFFF"/>
                            <w:spacing w:val="1"/>
                            <w:sz w:val="16"/>
                          </w:rPr>
                          <w:t> </w:t>
                        </w:r>
                        <w:r>
                          <w:rPr>
                            <w:color w:val="FFFFFF"/>
                            <w:sz w:val="16"/>
                          </w:rPr>
                          <w:t>of</w:t>
                        </w:r>
                        <w:r>
                          <w:rPr>
                            <w:color w:val="FFFFFF"/>
                            <w:spacing w:val="1"/>
                            <w:sz w:val="16"/>
                          </w:rPr>
                          <w:t> </w:t>
                        </w:r>
                        <w:r>
                          <w:rPr>
                            <w:color w:val="FFFFFF"/>
                            <w:sz w:val="16"/>
                          </w:rPr>
                          <w:t>Schuyler</w:t>
                        </w:r>
                        <w:r>
                          <w:rPr>
                            <w:color w:val="FFFFFF"/>
                            <w:spacing w:val="1"/>
                            <w:sz w:val="16"/>
                          </w:rPr>
                          <w:t> </w:t>
                        </w:r>
                        <w:r>
                          <w:rPr>
                            <w:color w:val="FFFFFF"/>
                            <w:sz w:val="16"/>
                          </w:rPr>
                          <w:t>County</w:t>
                        </w:r>
                        <w:r>
                          <w:rPr>
                            <w:color w:val="FFFFFF"/>
                            <w:spacing w:val="1"/>
                            <w:sz w:val="16"/>
                          </w:rPr>
                          <w:t> </w:t>
                        </w:r>
                        <w:r>
                          <w:rPr>
                            <w:color w:val="FFFFFF"/>
                            <w:sz w:val="16"/>
                          </w:rPr>
                          <w:t>Public</w:t>
                        </w:r>
                        <w:r>
                          <w:rPr>
                            <w:color w:val="FFFFFF"/>
                            <w:spacing w:val="1"/>
                            <w:sz w:val="16"/>
                          </w:rPr>
                          <w:t> </w:t>
                        </w:r>
                        <w:r>
                          <w:rPr>
                            <w:color w:val="FFFFFF"/>
                            <w:spacing w:val="-2"/>
                            <w:sz w:val="16"/>
                          </w:rPr>
                          <w:t>Health</w:t>
                        </w:r>
                      </w:p>
                    </w:txbxContent>
                  </v:textbox>
                  <w10:wrap type="none"/>
                </v:shape>
                <w10:wrap type="none"/>
              </v:group>
            </w:pict>
          </mc:Fallback>
        </mc:AlternateContent>
      </w:r>
      <w:r>
        <w:rPr>
          <w:color w:val="105C84"/>
        </w:rPr>
        <w:t>Of note are the rates of poverty. In Seneca County, 11.8% of residents are living below the federal poverty</w:t>
      </w:r>
      <w:r>
        <w:rPr>
          <w:color w:val="105C84"/>
          <w:spacing w:val="22"/>
        </w:rPr>
        <w:t> </w:t>
      </w:r>
      <w:r>
        <w:rPr>
          <w:color w:val="105C84"/>
        </w:rPr>
        <w:t>level,</w:t>
      </w:r>
      <w:r>
        <w:rPr>
          <w:color w:val="105C84"/>
          <w:spacing w:val="22"/>
        </w:rPr>
        <w:t> </w:t>
      </w:r>
      <w:r>
        <w:rPr>
          <w:color w:val="105C84"/>
        </w:rPr>
        <w:t>and</w:t>
      </w:r>
      <w:r>
        <w:rPr>
          <w:color w:val="105C84"/>
          <w:spacing w:val="22"/>
        </w:rPr>
        <w:t> </w:t>
      </w:r>
      <w:r>
        <w:rPr>
          <w:color w:val="105C84"/>
        </w:rPr>
        <w:t>another</w:t>
      </w:r>
      <w:r>
        <w:rPr>
          <w:color w:val="105C84"/>
          <w:spacing w:val="22"/>
        </w:rPr>
        <w:t> </w:t>
      </w:r>
      <w:r>
        <w:rPr>
          <w:color w:val="105C84"/>
        </w:rPr>
        <w:t>21%</w:t>
      </w:r>
      <w:r>
        <w:rPr>
          <w:color w:val="105C84"/>
          <w:spacing w:val="22"/>
        </w:rPr>
        <w:t> </w:t>
      </w:r>
      <w:r>
        <w:rPr>
          <w:color w:val="105C84"/>
        </w:rPr>
        <w:t>live</w:t>
      </w:r>
      <w:r>
        <w:rPr>
          <w:color w:val="105C84"/>
          <w:spacing w:val="22"/>
        </w:rPr>
        <w:t> </w:t>
      </w:r>
      <w:r>
        <w:rPr>
          <w:color w:val="105C84"/>
        </w:rPr>
        <w:t>near</w:t>
      </w:r>
      <w:r>
        <w:rPr>
          <w:color w:val="105C84"/>
          <w:spacing w:val="22"/>
        </w:rPr>
        <w:t> </w:t>
      </w:r>
      <w:r>
        <w:rPr>
          <w:color w:val="105C84"/>
        </w:rPr>
        <w:t>it.</w:t>
      </w:r>
      <w:r>
        <w:rPr>
          <w:color w:val="105C84"/>
          <w:spacing w:val="22"/>
        </w:rPr>
        <w:t> </w:t>
      </w:r>
      <w:r>
        <w:rPr>
          <w:color w:val="105C84"/>
        </w:rPr>
        <w:t>The</w:t>
      </w:r>
      <w:r>
        <w:rPr>
          <w:color w:val="105C84"/>
          <w:spacing w:val="22"/>
        </w:rPr>
        <w:t> </w:t>
      </w:r>
      <w:r>
        <w:rPr>
          <w:color w:val="105C84"/>
        </w:rPr>
        <w:t>distribution</w:t>
      </w:r>
      <w:r>
        <w:rPr>
          <w:color w:val="105C84"/>
          <w:spacing w:val="22"/>
        </w:rPr>
        <w:t> </w:t>
      </w:r>
      <w:r>
        <w:rPr>
          <w:color w:val="105C84"/>
        </w:rPr>
        <w:t>of</w:t>
      </w:r>
      <w:r>
        <w:rPr>
          <w:color w:val="105C84"/>
          <w:spacing w:val="22"/>
        </w:rPr>
        <w:t> </w:t>
      </w:r>
      <w:r>
        <w:rPr>
          <w:color w:val="105C84"/>
        </w:rPr>
        <w:t>poverty</w:t>
      </w:r>
      <w:r>
        <w:rPr>
          <w:color w:val="105C84"/>
          <w:spacing w:val="22"/>
        </w:rPr>
        <w:t> </w:t>
      </w:r>
      <w:r>
        <w:rPr>
          <w:color w:val="105C84"/>
        </w:rPr>
        <w:t>in</w:t>
      </w:r>
      <w:r>
        <w:rPr>
          <w:color w:val="105C84"/>
          <w:spacing w:val="22"/>
        </w:rPr>
        <w:t> </w:t>
      </w:r>
      <w:r>
        <w:rPr>
          <w:color w:val="105C84"/>
        </w:rPr>
        <w:t>the</w:t>
      </w:r>
      <w:r>
        <w:rPr>
          <w:color w:val="105C84"/>
          <w:spacing w:val="22"/>
        </w:rPr>
        <w:t> </w:t>
      </w:r>
      <w:r>
        <w:rPr>
          <w:color w:val="105C84"/>
        </w:rPr>
        <w:t>county</w:t>
      </w:r>
      <w:r>
        <w:rPr>
          <w:color w:val="105C84"/>
          <w:spacing w:val="22"/>
        </w:rPr>
        <w:t> </w:t>
      </w:r>
      <w:r>
        <w:rPr>
          <w:color w:val="105C84"/>
        </w:rPr>
        <w:t>is</w:t>
      </w:r>
      <w:r>
        <w:rPr>
          <w:color w:val="105C84"/>
          <w:spacing w:val="22"/>
        </w:rPr>
        <w:t> </w:t>
      </w:r>
      <w:r>
        <w:rPr>
          <w:color w:val="105C84"/>
        </w:rPr>
        <w:t>shown</w:t>
      </w:r>
      <w:r>
        <w:rPr>
          <w:color w:val="105C84"/>
          <w:spacing w:val="22"/>
        </w:rPr>
        <w:t> </w:t>
      </w:r>
      <w:r>
        <w:rPr>
          <w:color w:val="105C84"/>
        </w:rPr>
        <w:t>below in Map 10. Of potential significance are the economic disparities in Seneca County. While not represented</w:t>
      </w:r>
      <w:r>
        <w:rPr>
          <w:color w:val="105C84"/>
          <w:spacing w:val="24"/>
        </w:rPr>
        <w:t> </w:t>
      </w:r>
      <w:r>
        <w:rPr>
          <w:color w:val="105C84"/>
        </w:rPr>
        <w:t>in</w:t>
      </w:r>
      <w:r>
        <w:rPr>
          <w:color w:val="105C84"/>
          <w:spacing w:val="24"/>
        </w:rPr>
        <w:t> </w:t>
      </w:r>
      <w:r>
        <w:rPr>
          <w:color w:val="105C84"/>
        </w:rPr>
        <w:t>the</w:t>
      </w:r>
      <w:r>
        <w:rPr>
          <w:color w:val="105C84"/>
          <w:spacing w:val="24"/>
        </w:rPr>
        <w:t> </w:t>
      </w:r>
      <w:r>
        <w:rPr>
          <w:color w:val="105C84"/>
        </w:rPr>
        <w:t>data,</w:t>
      </w:r>
      <w:r>
        <w:rPr>
          <w:color w:val="105C84"/>
          <w:spacing w:val="24"/>
        </w:rPr>
        <w:t> </w:t>
      </w:r>
      <w:r>
        <w:rPr>
          <w:color w:val="105C84"/>
        </w:rPr>
        <w:t>anecdotal</w:t>
      </w:r>
      <w:r>
        <w:rPr>
          <w:color w:val="105C84"/>
          <w:spacing w:val="24"/>
        </w:rPr>
        <w:t> </w:t>
      </w:r>
      <w:r>
        <w:rPr>
          <w:color w:val="105C84"/>
        </w:rPr>
        <w:t>evidence</w:t>
      </w:r>
      <w:r>
        <w:rPr>
          <w:color w:val="105C84"/>
          <w:spacing w:val="24"/>
        </w:rPr>
        <w:t> </w:t>
      </w:r>
      <w:r>
        <w:rPr>
          <w:color w:val="105C84"/>
        </w:rPr>
        <w:t>suggests</w:t>
      </w:r>
      <w:r>
        <w:rPr>
          <w:color w:val="105C84"/>
          <w:spacing w:val="24"/>
        </w:rPr>
        <w:t> </w:t>
      </w:r>
      <w:r>
        <w:rPr>
          <w:color w:val="105C84"/>
        </w:rPr>
        <w:t>rates</w:t>
      </w:r>
      <w:r>
        <w:rPr>
          <w:color w:val="105C84"/>
          <w:spacing w:val="24"/>
        </w:rPr>
        <w:t> </w:t>
      </w:r>
      <w:r>
        <w:rPr>
          <w:color w:val="105C84"/>
        </w:rPr>
        <w:t>of</w:t>
      </w:r>
      <w:r>
        <w:rPr>
          <w:color w:val="105C84"/>
          <w:spacing w:val="24"/>
        </w:rPr>
        <w:t> </w:t>
      </w:r>
      <w:r>
        <w:rPr>
          <w:color w:val="105C84"/>
        </w:rPr>
        <w:t>poverty</w:t>
      </w:r>
      <w:r>
        <w:rPr>
          <w:color w:val="105C84"/>
          <w:spacing w:val="24"/>
        </w:rPr>
        <w:t> </w:t>
      </w:r>
      <w:r>
        <w:rPr>
          <w:color w:val="105C84"/>
        </w:rPr>
        <w:t>are</w:t>
      </w:r>
      <w:r>
        <w:rPr>
          <w:color w:val="105C84"/>
          <w:spacing w:val="24"/>
        </w:rPr>
        <w:t> </w:t>
      </w:r>
      <w:r>
        <w:rPr>
          <w:color w:val="105C84"/>
        </w:rPr>
        <w:t>much</w:t>
      </w:r>
      <w:r>
        <w:rPr>
          <w:color w:val="105C84"/>
          <w:spacing w:val="24"/>
        </w:rPr>
        <w:t> </w:t>
      </w:r>
      <w:r>
        <w:rPr>
          <w:color w:val="105C84"/>
        </w:rPr>
        <w:t>higher</w:t>
      </w:r>
      <w:r>
        <w:rPr>
          <w:color w:val="105C84"/>
          <w:spacing w:val="24"/>
        </w:rPr>
        <w:t> </w:t>
      </w:r>
      <w:r>
        <w:rPr>
          <w:color w:val="105C84"/>
        </w:rPr>
        <w:t>than</w:t>
      </w:r>
      <w:r>
        <w:rPr>
          <w:color w:val="105C84"/>
          <w:spacing w:val="24"/>
        </w:rPr>
        <w:t> </w:t>
      </w:r>
      <w:r>
        <w:rPr>
          <w:color w:val="105C84"/>
        </w:rPr>
        <w:t>shown</w:t>
      </w:r>
      <w:r>
        <w:rPr>
          <w:color w:val="105C84"/>
        </w:rPr>
        <w:t> in the map. The presence of wealthy lake houses on the shorelines of Seneca and Cayuga Lakes likely mask some of the income disparities within a zip code.</w:t>
      </w:r>
    </w:p>
    <w:p>
      <w:pPr>
        <w:pStyle w:val="BodyText"/>
        <w:spacing w:before="16"/>
      </w:pPr>
    </w:p>
    <w:p>
      <w:pPr>
        <w:pStyle w:val="Heading6"/>
        <w:ind w:left="1094"/>
      </w:pPr>
      <w:r>
        <w:rPr>
          <w:color w:val="105C84"/>
        </w:rPr>
        <w:t>MAP</w:t>
      </w:r>
      <w:r>
        <w:rPr>
          <w:color w:val="105C84"/>
          <w:spacing w:val="-4"/>
        </w:rPr>
        <w:t> </w:t>
      </w:r>
      <w:r>
        <w:rPr>
          <w:color w:val="105C84"/>
        </w:rPr>
        <w:t>10:</w:t>
      </w:r>
      <w:r>
        <w:rPr>
          <w:color w:val="105C84"/>
          <w:spacing w:val="-3"/>
        </w:rPr>
        <w:t> </w:t>
      </w:r>
      <w:r>
        <w:rPr>
          <w:color w:val="105C84"/>
        </w:rPr>
        <w:t>Poverty</w:t>
      </w:r>
      <w:r>
        <w:rPr>
          <w:color w:val="105C84"/>
          <w:spacing w:val="-3"/>
        </w:rPr>
        <w:t> </w:t>
      </w:r>
      <w:r>
        <w:rPr>
          <w:color w:val="105C84"/>
        </w:rPr>
        <w:t>rates</w:t>
      </w:r>
      <w:r>
        <w:rPr>
          <w:color w:val="105C84"/>
          <w:spacing w:val="-4"/>
        </w:rPr>
        <w:t> </w:t>
      </w:r>
      <w:r>
        <w:rPr>
          <w:color w:val="105C84"/>
        </w:rPr>
        <w:t>by</w:t>
      </w:r>
      <w:r>
        <w:rPr>
          <w:color w:val="105C84"/>
          <w:spacing w:val="-3"/>
        </w:rPr>
        <w:t> </w:t>
      </w:r>
      <w:r>
        <w:rPr>
          <w:color w:val="105C84"/>
        </w:rPr>
        <w:t>ZIP</w:t>
      </w:r>
      <w:r>
        <w:rPr>
          <w:color w:val="105C84"/>
          <w:spacing w:val="-4"/>
        </w:rPr>
        <w:t> code</w:t>
      </w:r>
    </w:p>
    <w:p>
      <w:pPr>
        <w:pStyle w:val="Heading6"/>
        <w:spacing w:after="0"/>
        <w:sectPr>
          <w:type w:val="continuous"/>
          <w:pgSz w:w="24480" w:h="15840" w:orient="landscape"/>
          <w:pgMar w:header="0" w:footer="0" w:top="0" w:bottom="280" w:left="0" w:right="720"/>
          <w:cols w:num="2" w:equalWidth="0">
            <w:col w:w="10946" w:space="1280"/>
            <w:col w:w="11534"/>
          </w:cols>
        </w:sectPr>
      </w:pPr>
    </w:p>
    <w:p>
      <w:pPr>
        <w:pStyle w:val="BodyText"/>
        <w:spacing w:before="104"/>
        <w:rPr>
          <w:b/>
          <w:sz w:val="20"/>
        </w:rPr>
      </w:pPr>
      <w:r>
        <w:rPr>
          <w:b/>
          <w:sz w:val="20"/>
        </w:rPr>
        <w:drawing>
          <wp:anchor distT="0" distB="0" distL="0" distR="0" allowOverlap="1" layoutInCell="1" locked="0" behindDoc="0" simplePos="0" relativeHeight="15847424">
            <wp:simplePos x="0" y="0"/>
            <wp:positionH relativeFrom="page">
              <wp:posOffset>14981556</wp:posOffset>
            </wp:positionH>
            <wp:positionV relativeFrom="page">
              <wp:posOffset>9668103</wp:posOffset>
            </wp:positionV>
            <wp:extent cx="563245" cy="184683"/>
            <wp:effectExtent l="0" t="0" r="0" b="0"/>
            <wp:wrapNone/>
            <wp:docPr id="1064" name="Image 1064"/>
            <wp:cNvGraphicFramePr>
              <a:graphicFrameLocks/>
            </wp:cNvGraphicFramePr>
            <a:graphic>
              <a:graphicData uri="http://schemas.openxmlformats.org/drawingml/2006/picture">
                <pic:pic>
                  <pic:nvPicPr>
                    <pic:cNvPr id="1064" name="Image 1064"/>
                    <pic:cNvPicPr/>
                  </pic:nvPicPr>
                  <pic:blipFill>
                    <a:blip r:embed="rId38" cstate="print"/>
                    <a:stretch>
                      <a:fillRect/>
                    </a:stretch>
                  </pic:blipFill>
                  <pic:spPr>
                    <a:xfrm>
                      <a:off x="0" y="0"/>
                      <a:ext cx="563245" cy="184683"/>
                    </a:xfrm>
                    <a:prstGeom prst="rect">
                      <a:avLst/>
                    </a:prstGeom>
                  </pic:spPr>
                </pic:pic>
              </a:graphicData>
            </a:graphic>
          </wp:anchor>
        </w:drawing>
      </w:r>
    </w:p>
    <w:p>
      <w:pPr>
        <w:spacing w:line="240" w:lineRule="auto"/>
        <w:ind w:left="18495" w:right="0" w:firstLine="0"/>
        <w:rPr>
          <w:sz w:val="20"/>
        </w:rPr>
      </w:pPr>
      <w:r>
        <w:rPr>
          <w:sz w:val="20"/>
        </w:rPr>
        <mc:AlternateContent>
          <mc:Choice Requires="wps">
            <w:drawing>
              <wp:inline distT="0" distB="0" distL="0" distR="0">
                <wp:extent cx="1810385" cy="2198370"/>
                <wp:effectExtent l="0" t="0" r="0" b="1905"/>
                <wp:docPr id="1065" name="Group 1065"/>
                <wp:cNvGraphicFramePr>
                  <a:graphicFrameLocks/>
                </wp:cNvGraphicFramePr>
                <a:graphic>
                  <a:graphicData uri="http://schemas.microsoft.com/office/word/2010/wordprocessingGroup">
                    <wpg:wgp>
                      <wpg:cNvPr id="1065" name="Group 1065"/>
                      <wpg:cNvGrpSpPr/>
                      <wpg:grpSpPr>
                        <a:xfrm>
                          <a:off x="0" y="0"/>
                          <a:ext cx="1810385" cy="2198370"/>
                          <a:chExt cx="1810385" cy="2198370"/>
                        </a:xfrm>
                      </wpg:grpSpPr>
                      <wps:wsp>
                        <wps:cNvPr id="1066" name="Graphic 1066"/>
                        <wps:cNvSpPr/>
                        <wps:spPr>
                          <a:xfrm>
                            <a:off x="166204" y="806970"/>
                            <a:ext cx="393700" cy="189230"/>
                          </a:xfrm>
                          <a:custGeom>
                            <a:avLst/>
                            <a:gdLst/>
                            <a:ahLst/>
                            <a:cxnLst/>
                            <a:rect l="l" t="t" r="r" b="b"/>
                            <a:pathLst>
                              <a:path w="393700" h="189230">
                                <a:moveTo>
                                  <a:pt x="393407" y="0"/>
                                </a:moveTo>
                                <a:lnTo>
                                  <a:pt x="0" y="0"/>
                                </a:lnTo>
                                <a:lnTo>
                                  <a:pt x="0" y="188645"/>
                                </a:lnTo>
                                <a:lnTo>
                                  <a:pt x="393407" y="188645"/>
                                </a:lnTo>
                                <a:lnTo>
                                  <a:pt x="393407" y="0"/>
                                </a:lnTo>
                                <a:close/>
                              </a:path>
                            </a:pathLst>
                          </a:custGeom>
                          <a:solidFill>
                            <a:srgbClr val="DEF0E7"/>
                          </a:solidFill>
                        </wps:spPr>
                        <wps:bodyPr wrap="square" lIns="0" tIns="0" rIns="0" bIns="0" rtlCol="0">
                          <a:prstTxWarp prst="textNoShape">
                            <a:avLst/>
                          </a:prstTxWarp>
                          <a:noAutofit/>
                        </wps:bodyPr>
                      </wps:wsp>
                      <wps:wsp>
                        <wps:cNvPr id="1067" name="Graphic 1067"/>
                        <wps:cNvSpPr/>
                        <wps:spPr>
                          <a:xfrm>
                            <a:off x="166204" y="1060157"/>
                            <a:ext cx="393700" cy="189230"/>
                          </a:xfrm>
                          <a:custGeom>
                            <a:avLst/>
                            <a:gdLst/>
                            <a:ahLst/>
                            <a:cxnLst/>
                            <a:rect l="l" t="t" r="r" b="b"/>
                            <a:pathLst>
                              <a:path w="393700" h="189230">
                                <a:moveTo>
                                  <a:pt x="393407" y="0"/>
                                </a:moveTo>
                                <a:lnTo>
                                  <a:pt x="0" y="0"/>
                                </a:lnTo>
                                <a:lnTo>
                                  <a:pt x="0" y="188645"/>
                                </a:lnTo>
                                <a:lnTo>
                                  <a:pt x="393407" y="188645"/>
                                </a:lnTo>
                                <a:lnTo>
                                  <a:pt x="393407" y="0"/>
                                </a:lnTo>
                                <a:close/>
                              </a:path>
                            </a:pathLst>
                          </a:custGeom>
                          <a:solidFill>
                            <a:srgbClr val="A6CFB4"/>
                          </a:solidFill>
                        </wps:spPr>
                        <wps:bodyPr wrap="square" lIns="0" tIns="0" rIns="0" bIns="0" rtlCol="0">
                          <a:prstTxWarp prst="textNoShape">
                            <a:avLst/>
                          </a:prstTxWarp>
                          <a:noAutofit/>
                        </wps:bodyPr>
                      </wps:wsp>
                      <wps:wsp>
                        <wps:cNvPr id="1068" name="Graphic 1068"/>
                        <wps:cNvSpPr/>
                        <wps:spPr>
                          <a:xfrm>
                            <a:off x="166204" y="1320063"/>
                            <a:ext cx="393700" cy="189230"/>
                          </a:xfrm>
                          <a:custGeom>
                            <a:avLst/>
                            <a:gdLst/>
                            <a:ahLst/>
                            <a:cxnLst/>
                            <a:rect l="l" t="t" r="r" b="b"/>
                            <a:pathLst>
                              <a:path w="393700" h="189230">
                                <a:moveTo>
                                  <a:pt x="393407" y="0"/>
                                </a:moveTo>
                                <a:lnTo>
                                  <a:pt x="0" y="0"/>
                                </a:lnTo>
                                <a:lnTo>
                                  <a:pt x="0" y="188645"/>
                                </a:lnTo>
                                <a:lnTo>
                                  <a:pt x="393407" y="188645"/>
                                </a:lnTo>
                                <a:lnTo>
                                  <a:pt x="393407" y="0"/>
                                </a:lnTo>
                                <a:close/>
                              </a:path>
                            </a:pathLst>
                          </a:custGeom>
                          <a:solidFill>
                            <a:srgbClr val="77A781"/>
                          </a:solidFill>
                        </wps:spPr>
                        <wps:bodyPr wrap="square" lIns="0" tIns="0" rIns="0" bIns="0" rtlCol="0">
                          <a:prstTxWarp prst="textNoShape">
                            <a:avLst/>
                          </a:prstTxWarp>
                          <a:noAutofit/>
                        </wps:bodyPr>
                      </wps:wsp>
                      <wps:wsp>
                        <wps:cNvPr id="1069" name="Graphic 1069"/>
                        <wps:cNvSpPr/>
                        <wps:spPr>
                          <a:xfrm>
                            <a:off x="166204" y="1579968"/>
                            <a:ext cx="393700" cy="189230"/>
                          </a:xfrm>
                          <a:custGeom>
                            <a:avLst/>
                            <a:gdLst/>
                            <a:ahLst/>
                            <a:cxnLst/>
                            <a:rect l="l" t="t" r="r" b="b"/>
                            <a:pathLst>
                              <a:path w="393700" h="189230">
                                <a:moveTo>
                                  <a:pt x="393407" y="0"/>
                                </a:moveTo>
                                <a:lnTo>
                                  <a:pt x="0" y="0"/>
                                </a:lnTo>
                                <a:lnTo>
                                  <a:pt x="0" y="188645"/>
                                </a:lnTo>
                                <a:lnTo>
                                  <a:pt x="393407" y="188645"/>
                                </a:lnTo>
                                <a:lnTo>
                                  <a:pt x="393407" y="0"/>
                                </a:lnTo>
                                <a:close/>
                              </a:path>
                            </a:pathLst>
                          </a:custGeom>
                          <a:solidFill>
                            <a:srgbClr val="4B8758"/>
                          </a:solidFill>
                        </wps:spPr>
                        <wps:bodyPr wrap="square" lIns="0" tIns="0" rIns="0" bIns="0" rtlCol="0">
                          <a:prstTxWarp prst="textNoShape">
                            <a:avLst/>
                          </a:prstTxWarp>
                          <a:noAutofit/>
                        </wps:bodyPr>
                      </wps:wsp>
                      <wps:wsp>
                        <wps:cNvPr id="1070" name="Graphic 1070"/>
                        <wps:cNvSpPr/>
                        <wps:spPr>
                          <a:xfrm>
                            <a:off x="166204" y="1839874"/>
                            <a:ext cx="393700" cy="189230"/>
                          </a:xfrm>
                          <a:custGeom>
                            <a:avLst/>
                            <a:gdLst/>
                            <a:ahLst/>
                            <a:cxnLst/>
                            <a:rect l="l" t="t" r="r" b="b"/>
                            <a:pathLst>
                              <a:path w="393700" h="189230">
                                <a:moveTo>
                                  <a:pt x="393407" y="0"/>
                                </a:moveTo>
                                <a:lnTo>
                                  <a:pt x="0" y="0"/>
                                </a:lnTo>
                                <a:lnTo>
                                  <a:pt x="0" y="188645"/>
                                </a:lnTo>
                                <a:lnTo>
                                  <a:pt x="393407" y="188645"/>
                                </a:lnTo>
                                <a:lnTo>
                                  <a:pt x="393407" y="0"/>
                                </a:lnTo>
                                <a:close/>
                              </a:path>
                            </a:pathLst>
                          </a:custGeom>
                          <a:solidFill>
                            <a:srgbClr val="236533"/>
                          </a:solidFill>
                        </wps:spPr>
                        <wps:bodyPr wrap="square" lIns="0" tIns="0" rIns="0" bIns="0" rtlCol="0">
                          <a:prstTxWarp prst="textNoShape">
                            <a:avLst/>
                          </a:prstTxWarp>
                          <a:noAutofit/>
                        </wps:bodyPr>
                      </wps:wsp>
                      <wps:wsp>
                        <wps:cNvPr id="1071" name="Textbox 1071"/>
                        <wps:cNvSpPr txBox="1"/>
                        <wps:spPr>
                          <a:xfrm>
                            <a:off x="3175" y="3175"/>
                            <a:ext cx="1804035" cy="2192020"/>
                          </a:xfrm>
                          <a:prstGeom prst="rect">
                            <a:avLst/>
                          </a:prstGeom>
                          <a:ln w="6350">
                            <a:solidFill>
                              <a:srgbClr val="636366"/>
                            </a:solidFill>
                            <a:prstDash val="solid"/>
                          </a:ln>
                        </wps:spPr>
                        <wps:txbx>
                          <w:txbxContent>
                            <w:p>
                              <w:pPr>
                                <w:spacing w:before="188"/>
                                <w:ind w:left="277" w:right="0" w:firstLine="0"/>
                                <w:jc w:val="left"/>
                                <w:rPr>
                                  <w:sz w:val="30"/>
                                </w:rPr>
                              </w:pPr>
                              <w:r>
                                <w:rPr>
                                  <w:color w:val="105C84"/>
                                  <w:spacing w:val="-2"/>
                                  <w:sz w:val="30"/>
                                </w:rPr>
                                <w:t>Legend</w:t>
                              </w:r>
                            </w:p>
                            <w:p>
                              <w:pPr>
                                <w:spacing w:before="301"/>
                                <w:ind w:left="262" w:right="0" w:firstLine="0"/>
                                <w:jc w:val="left"/>
                                <w:rPr>
                                  <w:sz w:val="20"/>
                                </w:rPr>
                              </w:pPr>
                              <w:r>
                                <w:rPr>
                                  <w:color w:val="6D6E71"/>
                                  <w:spacing w:val="-2"/>
                                  <w:sz w:val="20"/>
                                </w:rPr>
                                <w:t>POVERTY</w:t>
                              </w:r>
                            </w:p>
                            <w:p>
                              <w:pPr>
                                <w:spacing w:before="218"/>
                                <w:ind w:left="1054" w:right="0" w:firstLine="0"/>
                                <w:jc w:val="left"/>
                                <w:rPr>
                                  <w:sz w:val="20"/>
                                </w:rPr>
                              </w:pPr>
                              <w:r>
                                <w:rPr>
                                  <w:color w:val="6D6E71"/>
                                  <w:sz w:val="20"/>
                                </w:rPr>
                                <w:t>less</w:t>
                              </w:r>
                              <w:r>
                                <w:rPr>
                                  <w:color w:val="6D6E71"/>
                                  <w:spacing w:val="-5"/>
                                  <w:sz w:val="20"/>
                                </w:rPr>
                                <w:t> </w:t>
                              </w:r>
                              <w:r>
                                <w:rPr>
                                  <w:color w:val="6D6E71"/>
                                  <w:sz w:val="20"/>
                                </w:rPr>
                                <w:t>than</w:t>
                              </w:r>
                              <w:r>
                                <w:rPr>
                                  <w:color w:val="6D6E71"/>
                                  <w:spacing w:val="-4"/>
                                  <w:sz w:val="20"/>
                                </w:rPr>
                                <w:t> </w:t>
                              </w:r>
                              <w:r>
                                <w:rPr>
                                  <w:color w:val="6D6E71"/>
                                  <w:spacing w:val="-5"/>
                                  <w:sz w:val="20"/>
                                </w:rPr>
                                <w:t>10%</w:t>
                              </w:r>
                            </w:p>
                            <w:p>
                              <w:pPr>
                                <w:spacing w:before="180"/>
                                <w:ind w:left="1054" w:right="0" w:firstLine="0"/>
                                <w:jc w:val="left"/>
                                <w:rPr>
                                  <w:sz w:val="20"/>
                                </w:rPr>
                              </w:pPr>
                              <w:r>
                                <w:rPr>
                                  <w:color w:val="6D6E71"/>
                                  <w:sz w:val="20"/>
                                </w:rPr>
                                <w:t>10-</w:t>
                              </w:r>
                              <w:r>
                                <w:rPr>
                                  <w:color w:val="6D6E71"/>
                                  <w:spacing w:val="-5"/>
                                  <w:sz w:val="20"/>
                                </w:rPr>
                                <w:t>15%</w:t>
                              </w:r>
                            </w:p>
                            <w:p>
                              <w:pPr>
                                <w:spacing w:before="180"/>
                                <w:ind w:left="1054" w:right="0" w:firstLine="0"/>
                                <w:jc w:val="left"/>
                                <w:rPr>
                                  <w:sz w:val="20"/>
                                </w:rPr>
                              </w:pPr>
                              <w:r>
                                <w:rPr>
                                  <w:color w:val="6D6E71"/>
                                  <w:sz w:val="20"/>
                                </w:rPr>
                                <w:t>15-</w:t>
                              </w:r>
                              <w:r>
                                <w:rPr>
                                  <w:color w:val="6D6E71"/>
                                  <w:spacing w:val="-5"/>
                                  <w:sz w:val="20"/>
                                </w:rPr>
                                <w:t>20%</w:t>
                              </w:r>
                            </w:p>
                            <w:p>
                              <w:pPr>
                                <w:spacing w:before="180"/>
                                <w:ind w:left="1054" w:right="0" w:firstLine="0"/>
                                <w:jc w:val="left"/>
                                <w:rPr>
                                  <w:sz w:val="20"/>
                                </w:rPr>
                              </w:pPr>
                              <w:r>
                                <w:rPr>
                                  <w:color w:val="6D6E71"/>
                                  <w:sz w:val="20"/>
                                </w:rPr>
                                <w:t>20-</w:t>
                              </w:r>
                              <w:r>
                                <w:rPr>
                                  <w:color w:val="6D6E71"/>
                                  <w:spacing w:val="-5"/>
                                  <w:sz w:val="20"/>
                                </w:rPr>
                                <w:t>25%</w:t>
                              </w:r>
                            </w:p>
                            <w:p>
                              <w:pPr>
                                <w:spacing w:before="180"/>
                                <w:ind w:left="1054" w:right="0" w:firstLine="0"/>
                                <w:jc w:val="left"/>
                                <w:rPr>
                                  <w:sz w:val="20"/>
                                </w:rPr>
                              </w:pPr>
                              <w:r>
                                <w:rPr>
                                  <w:color w:val="6D6E71"/>
                                  <w:sz w:val="20"/>
                                </w:rPr>
                                <w:t>greater</w:t>
                              </w:r>
                              <w:r>
                                <w:rPr>
                                  <w:color w:val="6D6E71"/>
                                  <w:spacing w:val="16"/>
                                  <w:sz w:val="20"/>
                                </w:rPr>
                                <w:t> </w:t>
                              </w:r>
                              <w:r>
                                <w:rPr>
                                  <w:color w:val="6D6E71"/>
                                  <w:sz w:val="20"/>
                                </w:rPr>
                                <w:t>than</w:t>
                              </w:r>
                              <w:r>
                                <w:rPr>
                                  <w:color w:val="6D6E71"/>
                                  <w:spacing w:val="16"/>
                                  <w:sz w:val="20"/>
                                </w:rPr>
                                <w:t> </w:t>
                              </w:r>
                              <w:r>
                                <w:rPr>
                                  <w:color w:val="6D6E71"/>
                                  <w:spacing w:val="-5"/>
                                  <w:sz w:val="20"/>
                                </w:rPr>
                                <w:t>25%</w:t>
                              </w:r>
                            </w:p>
                          </w:txbxContent>
                        </wps:txbx>
                        <wps:bodyPr wrap="square" lIns="0" tIns="0" rIns="0" bIns="0" rtlCol="0">
                          <a:noAutofit/>
                        </wps:bodyPr>
                      </wps:wsp>
                    </wpg:wgp>
                  </a:graphicData>
                </a:graphic>
              </wp:inline>
            </w:drawing>
          </mc:Choice>
          <mc:Fallback>
            <w:pict>
              <v:group style="width:142.550pt;height:173.1pt;mso-position-horizontal-relative:char;mso-position-vertical-relative:line" id="docshapegroup863" coordorigin="0,0" coordsize="2851,3462">
                <v:rect style="position:absolute;left:261;top:1270;width:620;height:298" id="docshape864" filled="true" fillcolor="#def0e7" stroked="false">
                  <v:fill type="solid"/>
                </v:rect>
                <v:rect style="position:absolute;left:261;top:1669;width:620;height:298" id="docshape865" filled="true" fillcolor="#a6cfb4" stroked="false">
                  <v:fill type="solid"/>
                </v:rect>
                <v:rect style="position:absolute;left:261;top:2078;width:620;height:298" id="docshape866" filled="true" fillcolor="#77a781" stroked="false">
                  <v:fill type="solid"/>
                </v:rect>
                <v:rect style="position:absolute;left:261;top:2488;width:620;height:298" id="docshape867" filled="true" fillcolor="#4b8758" stroked="false">
                  <v:fill type="solid"/>
                </v:rect>
                <v:rect style="position:absolute;left:261;top:2897;width:620;height:298" id="docshape868" filled="true" fillcolor="#236533" stroked="false">
                  <v:fill type="solid"/>
                </v:rect>
                <v:shape style="position:absolute;left:5;top:5;width:2841;height:3452" type="#_x0000_t202" id="docshape869" filled="false" stroked="true" strokeweight=".5pt" strokecolor="#636366">
                  <v:textbox inset="0,0,0,0">
                    <w:txbxContent>
                      <w:p>
                        <w:pPr>
                          <w:spacing w:before="188"/>
                          <w:ind w:left="277" w:right="0" w:firstLine="0"/>
                          <w:jc w:val="left"/>
                          <w:rPr>
                            <w:sz w:val="30"/>
                          </w:rPr>
                        </w:pPr>
                        <w:r>
                          <w:rPr>
                            <w:color w:val="105C84"/>
                            <w:spacing w:val="-2"/>
                            <w:sz w:val="30"/>
                          </w:rPr>
                          <w:t>Legend</w:t>
                        </w:r>
                      </w:p>
                      <w:p>
                        <w:pPr>
                          <w:spacing w:before="301"/>
                          <w:ind w:left="262" w:right="0" w:firstLine="0"/>
                          <w:jc w:val="left"/>
                          <w:rPr>
                            <w:sz w:val="20"/>
                          </w:rPr>
                        </w:pPr>
                        <w:r>
                          <w:rPr>
                            <w:color w:val="6D6E71"/>
                            <w:spacing w:val="-2"/>
                            <w:sz w:val="20"/>
                          </w:rPr>
                          <w:t>POVERTY</w:t>
                        </w:r>
                      </w:p>
                      <w:p>
                        <w:pPr>
                          <w:spacing w:before="218"/>
                          <w:ind w:left="1054" w:right="0" w:firstLine="0"/>
                          <w:jc w:val="left"/>
                          <w:rPr>
                            <w:sz w:val="20"/>
                          </w:rPr>
                        </w:pPr>
                        <w:r>
                          <w:rPr>
                            <w:color w:val="6D6E71"/>
                            <w:sz w:val="20"/>
                          </w:rPr>
                          <w:t>less</w:t>
                        </w:r>
                        <w:r>
                          <w:rPr>
                            <w:color w:val="6D6E71"/>
                            <w:spacing w:val="-5"/>
                            <w:sz w:val="20"/>
                          </w:rPr>
                          <w:t> </w:t>
                        </w:r>
                        <w:r>
                          <w:rPr>
                            <w:color w:val="6D6E71"/>
                            <w:sz w:val="20"/>
                          </w:rPr>
                          <w:t>than</w:t>
                        </w:r>
                        <w:r>
                          <w:rPr>
                            <w:color w:val="6D6E71"/>
                            <w:spacing w:val="-4"/>
                            <w:sz w:val="20"/>
                          </w:rPr>
                          <w:t> </w:t>
                        </w:r>
                        <w:r>
                          <w:rPr>
                            <w:color w:val="6D6E71"/>
                            <w:spacing w:val="-5"/>
                            <w:sz w:val="20"/>
                          </w:rPr>
                          <w:t>10%</w:t>
                        </w:r>
                      </w:p>
                      <w:p>
                        <w:pPr>
                          <w:spacing w:before="180"/>
                          <w:ind w:left="1054" w:right="0" w:firstLine="0"/>
                          <w:jc w:val="left"/>
                          <w:rPr>
                            <w:sz w:val="20"/>
                          </w:rPr>
                        </w:pPr>
                        <w:r>
                          <w:rPr>
                            <w:color w:val="6D6E71"/>
                            <w:sz w:val="20"/>
                          </w:rPr>
                          <w:t>10-</w:t>
                        </w:r>
                        <w:r>
                          <w:rPr>
                            <w:color w:val="6D6E71"/>
                            <w:spacing w:val="-5"/>
                            <w:sz w:val="20"/>
                          </w:rPr>
                          <w:t>15%</w:t>
                        </w:r>
                      </w:p>
                      <w:p>
                        <w:pPr>
                          <w:spacing w:before="180"/>
                          <w:ind w:left="1054" w:right="0" w:firstLine="0"/>
                          <w:jc w:val="left"/>
                          <w:rPr>
                            <w:sz w:val="20"/>
                          </w:rPr>
                        </w:pPr>
                        <w:r>
                          <w:rPr>
                            <w:color w:val="6D6E71"/>
                            <w:sz w:val="20"/>
                          </w:rPr>
                          <w:t>15-</w:t>
                        </w:r>
                        <w:r>
                          <w:rPr>
                            <w:color w:val="6D6E71"/>
                            <w:spacing w:val="-5"/>
                            <w:sz w:val="20"/>
                          </w:rPr>
                          <w:t>20%</w:t>
                        </w:r>
                      </w:p>
                      <w:p>
                        <w:pPr>
                          <w:spacing w:before="180"/>
                          <w:ind w:left="1054" w:right="0" w:firstLine="0"/>
                          <w:jc w:val="left"/>
                          <w:rPr>
                            <w:sz w:val="20"/>
                          </w:rPr>
                        </w:pPr>
                        <w:r>
                          <w:rPr>
                            <w:color w:val="6D6E71"/>
                            <w:sz w:val="20"/>
                          </w:rPr>
                          <w:t>20-</w:t>
                        </w:r>
                        <w:r>
                          <w:rPr>
                            <w:color w:val="6D6E71"/>
                            <w:spacing w:val="-5"/>
                            <w:sz w:val="20"/>
                          </w:rPr>
                          <w:t>25%</w:t>
                        </w:r>
                      </w:p>
                      <w:p>
                        <w:pPr>
                          <w:spacing w:before="180"/>
                          <w:ind w:left="1054" w:right="0" w:firstLine="0"/>
                          <w:jc w:val="left"/>
                          <w:rPr>
                            <w:sz w:val="20"/>
                          </w:rPr>
                        </w:pPr>
                        <w:r>
                          <w:rPr>
                            <w:color w:val="6D6E71"/>
                            <w:sz w:val="20"/>
                          </w:rPr>
                          <w:t>greater</w:t>
                        </w:r>
                        <w:r>
                          <w:rPr>
                            <w:color w:val="6D6E71"/>
                            <w:spacing w:val="16"/>
                            <w:sz w:val="20"/>
                          </w:rPr>
                          <w:t> </w:t>
                        </w:r>
                        <w:r>
                          <w:rPr>
                            <w:color w:val="6D6E71"/>
                            <w:sz w:val="20"/>
                          </w:rPr>
                          <w:t>than</w:t>
                        </w:r>
                        <w:r>
                          <w:rPr>
                            <w:color w:val="6D6E71"/>
                            <w:spacing w:val="16"/>
                            <w:sz w:val="20"/>
                          </w:rPr>
                          <w:t> </w:t>
                        </w:r>
                        <w:r>
                          <w:rPr>
                            <w:color w:val="6D6E71"/>
                            <w:spacing w:val="-5"/>
                            <w:sz w:val="20"/>
                          </w:rPr>
                          <w:t>25%</w:t>
                        </w:r>
                      </w:p>
                    </w:txbxContent>
                  </v:textbox>
                  <v:stroke dashstyle="solid"/>
                  <w10:wrap type="none"/>
                </v:shape>
              </v:group>
            </w:pict>
          </mc:Fallback>
        </mc:AlternateContent>
      </w:r>
      <w:r>
        <w:rPr>
          <w:sz w:val="20"/>
        </w:rPr>
      </w:r>
    </w:p>
    <w:p>
      <w:pPr>
        <w:pStyle w:val="BodyText"/>
        <w:rPr>
          <w:b/>
          <w:sz w:val="16"/>
        </w:rPr>
      </w:pPr>
    </w:p>
    <w:p>
      <w:pPr>
        <w:pStyle w:val="BodyText"/>
        <w:spacing w:before="9"/>
        <w:rPr>
          <w:b/>
          <w:sz w:val="16"/>
        </w:rPr>
      </w:pPr>
    </w:p>
    <w:p>
      <w:pPr>
        <w:spacing w:line="235" w:lineRule="auto" w:before="0"/>
        <w:ind w:left="18489" w:right="1743" w:firstLine="0"/>
        <w:jc w:val="left"/>
        <w:rPr>
          <w:sz w:val="16"/>
        </w:rPr>
      </w:pPr>
      <w:r>
        <w:rPr>
          <w:sz w:val="16"/>
        </w:rPr>
        <mc:AlternateContent>
          <mc:Choice Requires="wps">
            <w:drawing>
              <wp:anchor distT="0" distB="0" distL="0" distR="0" allowOverlap="1" layoutInCell="1" locked="0" behindDoc="0" simplePos="0" relativeHeight="15848448">
                <wp:simplePos x="0" y="0"/>
                <wp:positionH relativeFrom="page">
                  <wp:posOffset>8467335</wp:posOffset>
                </wp:positionH>
                <wp:positionV relativeFrom="paragraph">
                  <wp:posOffset>-2477877</wp:posOffset>
                </wp:positionV>
                <wp:extent cx="2872740" cy="4878070"/>
                <wp:effectExtent l="0" t="0" r="0" b="0"/>
                <wp:wrapNone/>
                <wp:docPr id="1072" name="Group 1072"/>
                <wp:cNvGraphicFramePr>
                  <a:graphicFrameLocks/>
                </wp:cNvGraphicFramePr>
                <a:graphic>
                  <a:graphicData uri="http://schemas.microsoft.com/office/word/2010/wordprocessingGroup">
                    <wpg:wgp>
                      <wpg:cNvPr id="1072" name="Group 1072"/>
                      <wpg:cNvGrpSpPr/>
                      <wpg:grpSpPr>
                        <a:xfrm>
                          <a:off x="0" y="0"/>
                          <a:ext cx="2872740" cy="4878070"/>
                          <a:chExt cx="2872740" cy="4878070"/>
                        </a:xfrm>
                      </wpg:grpSpPr>
                      <pic:pic>
                        <pic:nvPicPr>
                          <pic:cNvPr id="1073" name="Image 1073"/>
                          <pic:cNvPicPr/>
                        </pic:nvPicPr>
                        <pic:blipFill>
                          <a:blip r:embed="rId159" cstate="print"/>
                          <a:stretch>
                            <a:fillRect/>
                          </a:stretch>
                        </pic:blipFill>
                        <pic:spPr>
                          <a:xfrm>
                            <a:off x="0" y="0"/>
                            <a:ext cx="2872568" cy="4877869"/>
                          </a:xfrm>
                          <a:prstGeom prst="rect">
                            <a:avLst/>
                          </a:prstGeom>
                        </pic:spPr>
                      </pic:pic>
                      <wps:wsp>
                        <wps:cNvPr id="1074" name="Textbox 1074"/>
                        <wps:cNvSpPr txBox="1"/>
                        <wps:spPr>
                          <a:xfrm>
                            <a:off x="502859" y="1104341"/>
                            <a:ext cx="441325" cy="139065"/>
                          </a:xfrm>
                          <a:prstGeom prst="rect">
                            <a:avLst/>
                          </a:prstGeom>
                        </wps:spPr>
                        <wps:txbx>
                          <w:txbxContent>
                            <w:p>
                              <w:pPr>
                                <w:spacing w:before="10"/>
                                <w:ind w:left="0" w:right="0" w:firstLine="0"/>
                                <w:jc w:val="left"/>
                                <w:rPr>
                                  <w:sz w:val="16"/>
                                </w:rPr>
                              </w:pPr>
                              <w:r>
                                <w:rPr>
                                  <w:color w:val="636466"/>
                                  <w:spacing w:val="-2"/>
                                  <w:w w:val="105"/>
                                  <w:sz w:val="16"/>
                                </w:rPr>
                                <w:t>Waterloo</w:t>
                              </w:r>
                            </w:p>
                          </w:txbxContent>
                        </wps:txbx>
                        <wps:bodyPr wrap="square" lIns="0" tIns="0" rIns="0" bIns="0" rtlCol="0">
                          <a:noAutofit/>
                        </wps:bodyPr>
                      </wps:wsp>
                      <wps:wsp>
                        <wps:cNvPr id="1075" name="Textbox 1075"/>
                        <wps:cNvSpPr txBox="1"/>
                        <wps:spPr>
                          <a:xfrm>
                            <a:off x="1218455" y="1622766"/>
                            <a:ext cx="574675" cy="139065"/>
                          </a:xfrm>
                          <a:prstGeom prst="rect">
                            <a:avLst/>
                          </a:prstGeom>
                        </wps:spPr>
                        <wps:txbx>
                          <w:txbxContent>
                            <w:p>
                              <w:pPr>
                                <w:spacing w:before="10"/>
                                <w:ind w:left="0" w:right="0" w:firstLine="0"/>
                                <w:jc w:val="left"/>
                                <w:rPr>
                                  <w:sz w:val="16"/>
                                </w:rPr>
                              </w:pPr>
                              <w:r>
                                <w:rPr>
                                  <w:color w:val="636466"/>
                                  <w:spacing w:val="-4"/>
                                  <w:sz w:val="16"/>
                                </w:rPr>
                                <w:t>Seneca </w:t>
                              </w:r>
                              <w:r>
                                <w:rPr>
                                  <w:color w:val="636466"/>
                                  <w:spacing w:val="-2"/>
                                  <w:sz w:val="16"/>
                                </w:rPr>
                                <w:t>Falls</w:t>
                              </w:r>
                            </w:p>
                          </w:txbxContent>
                        </wps:txbx>
                        <wps:bodyPr wrap="square" lIns="0" tIns="0" rIns="0" bIns="0" rtlCol="0">
                          <a:noAutofit/>
                        </wps:bodyPr>
                      </wps:wsp>
                      <wps:wsp>
                        <wps:cNvPr id="1076" name="Textbox 1076"/>
                        <wps:cNvSpPr txBox="1"/>
                        <wps:spPr>
                          <a:xfrm>
                            <a:off x="685575" y="2612386"/>
                            <a:ext cx="405130" cy="139065"/>
                          </a:xfrm>
                          <a:prstGeom prst="rect">
                            <a:avLst/>
                          </a:prstGeom>
                        </wps:spPr>
                        <wps:txbx>
                          <w:txbxContent>
                            <w:p>
                              <w:pPr>
                                <w:spacing w:before="10"/>
                                <w:ind w:left="0" w:right="0" w:firstLine="0"/>
                                <w:jc w:val="left"/>
                                <w:rPr>
                                  <w:sz w:val="16"/>
                                </w:rPr>
                              </w:pPr>
                              <w:r>
                                <w:rPr>
                                  <w:color w:val="636466"/>
                                  <w:spacing w:val="-2"/>
                                  <w:sz w:val="16"/>
                                </w:rPr>
                                <w:t>Romulus</w:t>
                              </w:r>
                            </w:p>
                          </w:txbxContent>
                        </wps:txbx>
                        <wps:bodyPr wrap="square" lIns="0" tIns="0" rIns="0" bIns="0" rtlCol="0">
                          <a:noAutofit/>
                        </wps:bodyPr>
                      </wps:wsp>
                      <wps:wsp>
                        <wps:cNvPr id="1077" name="Textbox 1077"/>
                        <wps:cNvSpPr txBox="1"/>
                        <wps:spPr>
                          <a:xfrm>
                            <a:off x="1484844" y="4172854"/>
                            <a:ext cx="473075" cy="139065"/>
                          </a:xfrm>
                          <a:prstGeom prst="rect">
                            <a:avLst/>
                          </a:prstGeom>
                        </wps:spPr>
                        <wps:txbx>
                          <w:txbxContent>
                            <w:p>
                              <w:pPr>
                                <w:spacing w:before="10"/>
                                <w:ind w:left="0" w:right="0" w:firstLine="0"/>
                                <w:jc w:val="left"/>
                                <w:rPr>
                                  <w:sz w:val="16"/>
                                </w:rPr>
                              </w:pPr>
                              <w:r>
                                <w:rPr>
                                  <w:color w:val="636466"/>
                                  <w:spacing w:val="-2"/>
                                  <w:w w:val="105"/>
                                  <w:sz w:val="16"/>
                                </w:rPr>
                                <w:t>Interlaken</w:t>
                              </w:r>
                            </w:p>
                          </w:txbxContent>
                        </wps:txbx>
                        <wps:bodyPr wrap="square" lIns="0" tIns="0" rIns="0" bIns="0" rtlCol="0">
                          <a:noAutofit/>
                        </wps:bodyPr>
                      </wps:wsp>
                    </wpg:wgp>
                  </a:graphicData>
                </a:graphic>
              </wp:anchor>
            </w:drawing>
          </mc:Choice>
          <mc:Fallback>
            <w:pict>
              <v:group style="position:absolute;margin-left:666.719360pt;margin-top:-195.108444pt;width:226.2pt;height:384.1pt;mso-position-horizontal-relative:page;mso-position-vertical-relative:paragraph;z-index:15848448" id="docshapegroup870" coordorigin="13334,-3902" coordsize="4524,7682">
                <v:shape style="position:absolute;left:13334;top:-3903;width:4524;height:7682" type="#_x0000_t75" id="docshape871" stroked="false">
                  <v:imagedata r:id="rId159" o:title=""/>
                </v:shape>
                <v:shape style="position:absolute;left:14126;top:-2164;width:695;height:219" type="#_x0000_t202" id="docshape872" filled="false" stroked="false">
                  <v:textbox inset="0,0,0,0">
                    <w:txbxContent>
                      <w:p>
                        <w:pPr>
                          <w:spacing w:before="10"/>
                          <w:ind w:left="0" w:right="0" w:firstLine="0"/>
                          <w:jc w:val="left"/>
                          <w:rPr>
                            <w:sz w:val="16"/>
                          </w:rPr>
                        </w:pPr>
                        <w:r>
                          <w:rPr>
                            <w:color w:val="636466"/>
                            <w:spacing w:val="-2"/>
                            <w:w w:val="105"/>
                            <w:sz w:val="16"/>
                          </w:rPr>
                          <w:t>Waterloo</w:t>
                        </w:r>
                      </w:p>
                    </w:txbxContent>
                  </v:textbox>
                  <w10:wrap type="none"/>
                </v:shape>
                <v:shape style="position:absolute;left:15253;top:-1347;width:905;height:219" type="#_x0000_t202" id="docshape873" filled="false" stroked="false">
                  <v:textbox inset="0,0,0,0">
                    <w:txbxContent>
                      <w:p>
                        <w:pPr>
                          <w:spacing w:before="10"/>
                          <w:ind w:left="0" w:right="0" w:firstLine="0"/>
                          <w:jc w:val="left"/>
                          <w:rPr>
                            <w:sz w:val="16"/>
                          </w:rPr>
                        </w:pPr>
                        <w:r>
                          <w:rPr>
                            <w:color w:val="636466"/>
                            <w:spacing w:val="-4"/>
                            <w:sz w:val="16"/>
                          </w:rPr>
                          <w:t>Seneca </w:t>
                        </w:r>
                        <w:r>
                          <w:rPr>
                            <w:color w:val="636466"/>
                            <w:spacing w:val="-2"/>
                            <w:sz w:val="16"/>
                          </w:rPr>
                          <w:t>Falls</w:t>
                        </w:r>
                      </w:p>
                    </w:txbxContent>
                  </v:textbox>
                  <w10:wrap type="none"/>
                </v:shape>
                <v:shape style="position:absolute;left:14414;top:211;width:638;height:219" type="#_x0000_t202" id="docshape874" filled="false" stroked="false">
                  <v:textbox inset="0,0,0,0">
                    <w:txbxContent>
                      <w:p>
                        <w:pPr>
                          <w:spacing w:before="10"/>
                          <w:ind w:left="0" w:right="0" w:firstLine="0"/>
                          <w:jc w:val="left"/>
                          <w:rPr>
                            <w:sz w:val="16"/>
                          </w:rPr>
                        </w:pPr>
                        <w:r>
                          <w:rPr>
                            <w:color w:val="636466"/>
                            <w:spacing w:val="-2"/>
                            <w:sz w:val="16"/>
                          </w:rPr>
                          <w:t>Romulus</w:t>
                        </w:r>
                      </w:p>
                    </w:txbxContent>
                  </v:textbox>
                  <w10:wrap type="none"/>
                </v:shape>
                <v:shape style="position:absolute;left:15672;top:2669;width:745;height:219" type="#_x0000_t202" id="docshape875" filled="false" stroked="false">
                  <v:textbox inset="0,0,0,0">
                    <w:txbxContent>
                      <w:p>
                        <w:pPr>
                          <w:spacing w:before="10"/>
                          <w:ind w:left="0" w:right="0" w:firstLine="0"/>
                          <w:jc w:val="left"/>
                          <w:rPr>
                            <w:sz w:val="16"/>
                          </w:rPr>
                        </w:pPr>
                        <w:r>
                          <w:rPr>
                            <w:color w:val="636466"/>
                            <w:spacing w:val="-2"/>
                            <w:w w:val="105"/>
                            <w:sz w:val="16"/>
                          </w:rPr>
                          <w:t>Interlaken</w:t>
                        </w:r>
                      </w:p>
                    </w:txbxContent>
                  </v:textbox>
                  <w10:wrap type="none"/>
                </v:shape>
                <w10:wrap type="none"/>
              </v:group>
            </w:pict>
          </mc:Fallback>
        </mc:AlternateContent>
      </w:r>
      <w:r>
        <w:rPr>
          <w:color w:val="0C5D86"/>
          <w:sz w:val="16"/>
        </w:rPr>
        <w:t>Source: U.S. Census Bureau American </w:t>
      </w:r>
      <w:r>
        <w:rPr>
          <w:color w:val="0C5D86"/>
          <w:spacing w:val="-4"/>
          <w:sz w:val="16"/>
        </w:rPr>
        <w:t>Community Survey 2013-2017 5-Year </w:t>
      </w:r>
      <w:r>
        <w:rPr>
          <w:color w:val="0C5D86"/>
          <w:spacing w:val="-4"/>
          <w:sz w:val="16"/>
        </w:rPr>
        <w:t>estimates</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63"/>
        <w:rPr>
          <w:sz w:val="14"/>
        </w:rPr>
      </w:pPr>
    </w:p>
    <w:p>
      <w:pPr>
        <w:spacing w:before="1"/>
        <w:ind w:left="13320" w:right="3077" w:firstLine="0"/>
        <w:jc w:val="both"/>
        <w:rPr>
          <w:sz w:val="14"/>
        </w:rPr>
      </w:pPr>
      <w:r>
        <w:rPr>
          <w:sz w:val="14"/>
        </w:rPr>
        <mc:AlternateContent>
          <mc:Choice Requires="wps">
            <w:drawing>
              <wp:anchor distT="0" distB="0" distL="0" distR="0" allowOverlap="1" layoutInCell="1" locked="0" behindDoc="1" simplePos="0" relativeHeight="475073536">
                <wp:simplePos x="0" y="0"/>
                <wp:positionH relativeFrom="page">
                  <wp:posOffset>672186</wp:posOffset>
                </wp:positionH>
                <wp:positionV relativeFrom="paragraph">
                  <wp:posOffset>122523</wp:posOffset>
                </wp:positionV>
                <wp:extent cx="195580" cy="226060"/>
                <wp:effectExtent l="0" t="0" r="0" b="0"/>
                <wp:wrapNone/>
                <wp:docPr id="1078" name="Textbox 1078"/>
                <wp:cNvGraphicFramePr>
                  <a:graphicFrameLocks/>
                </wp:cNvGraphicFramePr>
                <a:graphic>
                  <a:graphicData uri="http://schemas.microsoft.com/office/word/2010/wordprocessingShape">
                    <wps:wsp>
                      <wps:cNvPr id="1078" name="Textbox 1078"/>
                      <wps:cNvSpPr txBox="1"/>
                      <wps:spPr>
                        <a:xfrm>
                          <a:off x="0" y="0"/>
                          <a:ext cx="195580" cy="226060"/>
                        </a:xfrm>
                        <a:prstGeom prst="rect">
                          <a:avLst/>
                        </a:prstGeom>
                      </wps:spPr>
                      <wps:txbx>
                        <w:txbxContent>
                          <w:p>
                            <w:pPr>
                              <w:spacing w:before="16"/>
                              <w:ind w:left="0" w:right="0" w:firstLine="0"/>
                              <w:jc w:val="left"/>
                              <w:rPr>
                                <w:b/>
                                <w:sz w:val="26"/>
                              </w:rPr>
                            </w:pPr>
                            <w:r>
                              <w:rPr>
                                <w:b/>
                                <w:color w:val="939598"/>
                                <w:spacing w:val="-5"/>
                                <w:w w:val="105"/>
                                <w:sz w:val="26"/>
                              </w:rPr>
                              <w:t>75</w:t>
                            </w:r>
                          </w:p>
                        </w:txbxContent>
                      </wps:txbx>
                      <wps:bodyPr wrap="square" lIns="0" tIns="0" rIns="0" bIns="0" rtlCol="0">
                        <a:noAutofit/>
                      </wps:bodyPr>
                    </wps:wsp>
                  </a:graphicData>
                </a:graphic>
              </wp:anchor>
            </w:drawing>
          </mc:Choice>
          <mc:Fallback>
            <w:pict>
              <v:shape style="position:absolute;margin-left:52.928101pt;margin-top:9.647500pt;width:15.4pt;height:17.8pt;mso-position-horizontal-relative:page;mso-position-vertical-relative:paragraph;z-index:-28242944" type="#_x0000_t202" id="docshape876" filled="false" stroked="false">
                <v:textbox inset="0,0,0,0">
                  <w:txbxContent>
                    <w:p>
                      <w:pPr>
                        <w:spacing w:before="16"/>
                        <w:ind w:left="0" w:right="0" w:firstLine="0"/>
                        <w:jc w:val="left"/>
                        <w:rPr>
                          <w:b/>
                          <w:sz w:val="26"/>
                        </w:rPr>
                      </w:pPr>
                      <w:r>
                        <w:rPr>
                          <w:b/>
                          <w:color w:val="939598"/>
                          <w:spacing w:val="-5"/>
                          <w:w w:val="105"/>
                          <w:sz w:val="26"/>
                        </w:rPr>
                        <w:t>75</w:t>
                      </w:r>
                    </w:p>
                  </w:txbxContent>
                </v:textbox>
                <w10:wrap type="none"/>
              </v:shape>
            </w:pict>
          </mc:Fallback>
        </mc:AlternateContent>
      </w:r>
      <w:r>
        <w:rPr>
          <w:sz w:val="14"/>
        </w:rPr>
        <mc:AlternateContent>
          <mc:Choice Requires="wps">
            <w:drawing>
              <wp:anchor distT="0" distB="0" distL="0" distR="0" allowOverlap="1" layoutInCell="1" locked="0" behindDoc="0" simplePos="0" relativeHeight="15848960">
                <wp:simplePos x="0" y="0"/>
                <wp:positionH relativeFrom="page">
                  <wp:posOffset>14698495</wp:posOffset>
                </wp:positionH>
                <wp:positionV relativeFrom="paragraph">
                  <wp:posOffset>122523</wp:posOffset>
                </wp:positionV>
                <wp:extent cx="195580" cy="226060"/>
                <wp:effectExtent l="0" t="0" r="0" b="0"/>
                <wp:wrapNone/>
                <wp:docPr id="1079" name="Textbox 1079"/>
                <wp:cNvGraphicFramePr>
                  <a:graphicFrameLocks/>
                </wp:cNvGraphicFramePr>
                <a:graphic>
                  <a:graphicData uri="http://schemas.microsoft.com/office/word/2010/wordprocessingShape">
                    <wps:wsp>
                      <wps:cNvPr id="1079" name="Textbox 1079"/>
                      <wps:cNvSpPr txBox="1"/>
                      <wps:spPr>
                        <a:xfrm>
                          <a:off x="0" y="0"/>
                          <a:ext cx="195580" cy="226060"/>
                        </a:xfrm>
                        <a:prstGeom prst="rect">
                          <a:avLst/>
                        </a:prstGeom>
                      </wps:spPr>
                      <wps:txbx>
                        <w:txbxContent>
                          <w:p>
                            <w:pPr>
                              <w:spacing w:before="16"/>
                              <w:ind w:left="0" w:right="0" w:firstLine="0"/>
                              <w:jc w:val="left"/>
                              <w:rPr>
                                <w:b/>
                                <w:sz w:val="26"/>
                              </w:rPr>
                            </w:pPr>
                            <w:r>
                              <w:rPr>
                                <w:b/>
                                <w:color w:val="939598"/>
                                <w:spacing w:val="-5"/>
                                <w:w w:val="105"/>
                                <w:sz w:val="26"/>
                              </w:rPr>
                              <w:t>76</w:t>
                            </w:r>
                          </w:p>
                        </w:txbxContent>
                      </wps:txbx>
                      <wps:bodyPr wrap="square" lIns="0" tIns="0" rIns="0" bIns="0" rtlCol="0">
                        <a:noAutofit/>
                      </wps:bodyPr>
                    </wps:wsp>
                  </a:graphicData>
                </a:graphic>
              </wp:anchor>
            </w:drawing>
          </mc:Choice>
          <mc:Fallback>
            <w:pict>
              <v:shape style="position:absolute;margin-left:1157.361816pt;margin-top:9.647500pt;width:15.4pt;height:17.8pt;mso-position-horizontal-relative:page;mso-position-vertical-relative:paragraph;z-index:15848960" type="#_x0000_t202" id="docshape877" filled="false" stroked="false">
                <v:textbox inset="0,0,0,0">
                  <w:txbxContent>
                    <w:p>
                      <w:pPr>
                        <w:spacing w:before="16"/>
                        <w:ind w:left="0" w:right="0" w:firstLine="0"/>
                        <w:jc w:val="left"/>
                        <w:rPr>
                          <w:b/>
                          <w:sz w:val="26"/>
                        </w:rPr>
                      </w:pPr>
                      <w:r>
                        <w:rPr>
                          <w:b/>
                          <w:color w:val="939598"/>
                          <w:spacing w:val="-5"/>
                          <w:w w:val="105"/>
                          <w:sz w:val="26"/>
                        </w:rPr>
                        <w:t>76</w:t>
                      </w:r>
                    </w:p>
                  </w:txbxContent>
                </v:textbox>
                <w10:wrap type="none"/>
              </v:shape>
            </w:pict>
          </mc:Fallback>
        </mc:AlternateContent>
      </w:r>
      <w:r>
        <w:rPr>
          <w:color w:val="636466"/>
          <w:sz w:val="14"/>
        </w:rPr>
        <w:t>32. Disability in this context is defined as impairment to body structure or mental functioning, activity limitation such as</w:t>
      </w:r>
      <w:r>
        <w:rPr>
          <w:color w:val="636466"/>
          <w:spacing w:val="40"/>
          <w:sz w:val="14"/>
        </w:rPr>
        <w:t> </w:t>
      </w:r>
      <w:r>
        <w:rPr>
          <w:color w:val="636466"/>
          <w:sz w:val="14"/>
        </w:rPr>
        <w:t>difficulty hearing, moving or problem-solving, and participation restrictions in daily activities such as working, engaging</w:t>
      </w:r>
      <w:r>
        <w:rPr>
          <w:color w:val="636466"/>
          <w:spacing w:val="40"/>
          <w:sz w:val="14"/>
        </w:rPr>
        <w:t> </w:t>
      </w:r>
      <w:r>
        <w:rPr>
          <w:color w:val="636466"/>
          <w:sz w:val="14"/>
        </w:rPr>
        <w:t>in social/recreational activities or obtaining healthcare or preventative services.</w:t>
      </w:r>
    </w:p>
    <w:p>
      <w:pPr>
        <w:spacing w:after="0"/>
        <w:jc w:val="both"/>
        <w:rPr>
          <w:sz w:val="14"/>
        </w:rPr>
        <w:sectPr>
          <w:type w:val="continuous"/>
          <w:pgSz w:w="24480" w:h="15840" w:orient="landscape"/>
          <w:pgMar w:header="0" w:footer="0" w:top="0" w:bottom="280" w:left="0" w:right="720"/>
        </w:sectPr>
      </w:pPr>
    </w:p>
    <w:p>
      <w:pPr>
        <w:pStyle w:val="BodyText"/>
        <w:rPr>
          <w:sz w:val="20"/>
        </w:rPr>
      </w:pPr>
    </w:p>
    <w:p>
      <w:pPr>
        <w:pStyle w:val="BodyText"/>
        <w:spacing w:before="16"/>
        <w:rPr>
          <w:sz w:val="20"/>
        </w:rPr>
      </w:pPr>
    </w:p>
    <w:p>
      <w:pPr>
        <w:pStyle w:val="BodyText"/>
        <w:spacing w:after="0"/>
        <w:rPr>
          <w:sz w:val="20"/>
        </w:rPr>
        <w:sectPr>
          <w:pgSz w:w="24480" w:h="15840" w:orient="landscape"/>
          <w:pgMar w:header="0" w:footer="0" w:top="860" w:bottom="0" w:left="0" w:right="720"/>
        </w:sectPr>
      </w:pPr>
    </w:p>
    <w:p>
      <w:pPr>
        <w:pStyle w:val="BodyText"/>
        <w:spacing w:line="247" w:lineRule="auto" w:before="142"/>
        <w:ind w:left="1080"/>
      </w:pPr>
      <w:r>
        <w:rPr>
          <w:color w:val="105C84"/>
        </w:rPr>
        <w:t>Over the past 5 years, there has been a slight shift in educational attainment where there are more residents aged 25+ with a Bachelor’s degree or higher than in years past (Figure 35).</w:t>
      </w:r>
    </w:p>
    <w:p>
      <w:pPr>
        <w:pStyle w:val="BodyText"/>
        <w:spacing w:before="18"/>
      </w:pPr>
    </w:p>
    <w:p>
      <w:pPr>
        <w:pStyle w:val="Heading6"/>
        <w:spacing w:before="1"/>
      </w:pPr>
      <w:r>
        <w:rPr>
          <w:color w:val="105C84"/>
          <w:spacing w:val="-4"/>
        </w:rPr>
        <w:t>FIGURE</w:t>
      </w:r>
      <w:r>
        <w:rPr>
          <w:color w:val="105C84"/>
          <w:spacing w:val="-6"/>
        </w:rPr>
        <w:t> </w:t>
      </w:r>
      <w:r>
        <w:rPr>
          <w:color w:val="105C84"/>
          <w:spacing w:val="-4"/>
        </w:rPr>
        <w:t>35:</w:t>
      </w:r>
      <w:r>
        <w:rPr>
          <w:color w:val="105C84"/>
          <w:spacing w:val="-6"/>
        </w:rPr>
        <w:t> </w:t>
      </w:r>
      <w:r>
        <w:rPr>
          <w:color w:val="105C84"/>
          <w:spacing w:val="-4"/>
        </w:rPr>
        <w:t>Educational</w:t>
      </w:r>
      <w:r>
        <w:rPr>
          <w:color w:val="105C84"/>
          <w:spacing w:val="-6"/>
        </w:rPr>
        <w:t> </w:t>
      </w:r>
      <w:r>
        <w:rPr>
          <w:color w:val="105C84"/>
          <w:spacing w:val="-4"/>
        </w:rPr>
        <w:t>attainment</w:t>
      </w:r>
      <w:r>
        <w:rPr>
          <w:color w:val="105C84"/>
          <w:spacing w:val="-5"/>
        </w:rPr>
        <w:t> </w:t>
      </w:r>
      <w:r>
        <w:rPr>
          <w:color w:val="105C84"/>
          <w:spacing w:val="-4"/>
        </w:rPr>
        <w:t>for</w:t>
      </w:r>
      <w:r>
        <w:rPr>
          <w:color w:val="105C84"/>
          <w:spacing w:val="-6"/>
        </w:rPr>
        <w:t> </w:t>
      </w:r>
      <w:r>
        <w:rPr>
          <w:color w:val="105C84"/>
          <w:spacing w:val="-4"/>
        </w:rPr>
        <w:t>Seneca</w:t>
      </w:r>
      <w:r>
        <w:rPr>
          <w:color w:val="105C84"/>
          <w:spacing w:val="-6"/>
        </w:rPr>
        <w:t> </w:t>
      </w:r>
      <w:r>
        <w:rPr>
          <w:color w:val="105C84"/>
          <w:spacing w:val="-4"/>
        </w:rPr>
        <w:t>County</w:t>
      </w:r>
      <w:r>
        <w:rPr>
          <w:color w:val="105C84"/>
          <w:spacing w:val="-5"/>
        </w:rPr>
        <w:t> </w:t>
      </w:r>
      <w:r>
        <w:rPr>
          <w:color w:val="105C84"/>
          <w:spacing w:val="-4"/>
        </w:rPr>
        <w:t>by</w:t>
      </w:r>
      <w:r>
        <w:rPr>
          <w:color w:val="105C84"/>
          <w:spacing w:val="-6"/>
        </w:rPr>
        <w:t> </w:t>
      </w:r>
      <w:r>
        <w:rPr>
          <w:color w:val="105C84"/>
          <w:spacing w:val="-4"/>
        </w:rPr>
        <w:t>year</w:t>
      </w:r>
    </w:p>
    <w:p>
      <w:pPr>
        <w:pStyle w:val="Heading6"/>
        <w:spacing w:before="116"/>
      </w:pPr>
      <w:r>
        <w:rPr>
          <w:b w:val="0"/>
        </w:rPr>
        <w:br w:type="column"/>
      </w:r>
      <w:r>
        <w:rPr>
          <w:color w:val="105C84"/>
        </w:rPr>
        <w:t>Main</w:t>
      </w:r>
      <w:r>
        <w:rPr>
          <w:color w:val="105C84"/>
          <w:spacing w:val="-7"/>
        </w:rPr>
        <w:t> </w:t>
      </w:r>
      <w:r>
        <w:rPr>
          <w:color w:val="105C84"/>
        </w:rPr>
        <w:t>Health</w:t>
      </w:r>
      <w:r>
        <w:rPr>
          <w:color w:val="105C84"/>
          <w:spacing w:val="-6"/>
        </w:rPr>
        <w:t> </w:t>
      </w:r>
      <w:r>
        <w:rPr>
          <w:color w:val="105C84"/>
          <w:spacing w:val="-2"/>
        </w:rPr>
        <w:t>Challenges</w:t>
      </w:r>
    </w:p>
    <w:p>
      <w:pPr>
        <w:pStyle w:val="BodyText"/>
        <w:spacing w:line="247" w:lineRule="auto" w:before="253"/>
        <w:ind w:left="1080" w:right="479"/>
      </w:pPr>
      <w:r>
        <w:rPr>
          <w:color w:val="105C84"/>
        </w:rPr>
        <w:t>On May 15, 2019, stakeholders and community members were invited to attend a priority setting meeting. At this meeting, participants reviewed the MAPP process, as well as relevant qualitative, quantitative, primary and secondary data. Data were reviewed from a variety of different sources</w:t>
      </w:r>
    </w:p>
    <w:p>
      <w:pPr>
        <w:pStyle w:val="BodyText"/>
        <w:spacing w:after="0" w:line="247" w:lineRule="auto"/>
        <w:sectPr>
          <w:type w:val="continuous"/>
          <w:pgSz w:w="24480" w:h="15840" w:orient="landscape"/>
          <w:pgMar w:header="0" w:footer="0" w:top="0" w:bottom="280" w:left="0" w:right="720"/>
          <w:cols w:num="2" w:equalWidth="0">
            <w:col w:w="10885" w:space="1355"/>
            <w:col w:w="11520"/>
          </w:cols>
        </w:sectPr>
      </w:pPr>
    </w:p>
    <w:p>
      <w:pPr>
        <w:spacing w:before="84"/>
        <w:ind w:left="0" w:right="0" w:firstLine="0"/>
        <w:jc w:val="right"/>
        <w:rPr>
          <w:sz w:val="18"/>
        </w:rPr>
      </w:pPr>
      <w:r>
        <w:rPr>
          <w:sz w:val="18"/>
        </w:rPr>
        <mc:AlternateContent>
          <mc:Choice Requires="wps">
            <w:drawing>
              <wp:anchor distT="0" distB="0" distL="0" distR="0" allowOverlap="1" layoutInCell="1" locked="0" behindDoc="0" simplePos="0" relativeHeight="15853056">
                <wp:simplePos x="0" y="0"/>
                <wp:positionH relativeFrom="page">
                  <wp:posOffset>687608</wp:posOffset>
                </wp:positionH>
                <wp:positionV relativeFrom="paragraph">
                  <wp:posOffset>249557</wp:posOffset>
                </wp:positionV>
                <wp:extent cx="146050" cy="1473200"/>
                <wp:effectExtent l="0" t="0" r="0" b="0"/>
                <wp:wrapNone/>
                <wp:docPr id="1080" name="Textbox 1080"/>
                <wp:cNvGraphicFramePr>
                  <a:graphicFrameLocks/>
                </wp:cNvGraphicFramePr>
                <a:graphic>
                  <a:graphicData uri="http://schemas.microsoft.com/office/word/2010/wordprocessingShape">
                    <wps:wsp>
                      <wps:cNvPr id="1080" name="Textbox 1080"/>
                      <wps:cNvSpPr txBox="1"/>
                      <wps:spPr>
                        <a:xfrm>
                          <a:off x="0" y="0"/>
                          <a:ext cx="146050" cy="1473200"/>
                        </a:xfrm>
                        <a:prstGeom prst="rect">
                          <a:avLst/>
                        </a:prstGeom>
                      </wps:spPr>
                      <wps:txbx>
                        <w:txbxContent>
                          <w:p>
                            <w:pPr>
                              <w:spacing w:before="19"/>
                              <w:ind w:left="20" w:right="0" w:firstLine="0"/>
                              <w:jc w:val="left"/>
                              <w:rPr>
                                <w:sz w:val="16"/>
                              </w:rPr>
                            </w:pPr>
                            <w:r>
                              <w:rPr>
                                <w:color w:val="105C84"/>
                                <w:sz w:val="16"/>
                              </w:rPr>
                              <w:t>Percent</w:t>
                            </w:r>
                            <w:r>
                              <w:rPr>
                                <w:color w:val="105C84"/>
                                <w:spacing w:val="-2"/>
                                <w:sz w:val="16"/>
                              </w:rPr>
                              <w:t> </w:t>
                            </w:r>
                            <w:r>
                              <w:rPr>
                                <w:color w:val="105C84"/>
                                <w:sz w:val="16"/>
                              </w:rPr>
                              <w:t>of</w:t>
                            </w:r>
                            <w:r>
                              <w:rPr>
                                <w:color w:val="105C84"/>
                                <w:spacing w:val="-2"/>
                                <w:sz w:val="16"/>
                              </w:rPr>
                              <w:t> </w:t>
                            </w:r>
                            <w:r>
                              <w:rPr>
                                <w:color w:val="105C84"/>
                                <w:sz w:val="16"/>
                              </w:rPr>
                              <w:t>Population</w:t>
                            </w:r>
                            <w:r>
                              <w:rPr>
                                <w:color w:val="105C84"/>
                                <w:spacing w:val="-2"/>
                                <w:sz w:val="16"/>
                              </w:rPr>
                              <w:t> </w:t>
                            </w:r>
                            <w:r>
                              <w:rPr>
                                <w:color w:val="105C84"/>
                                <w:sz w:val="16"/>
                              </w:rPr>
                              <w:t>25+</w:t>
                            </w:r>
                            <w:r>
                              <w:rPr>
                                <w:color w:val="105C84"/>
                                <w:spacing w:val="-2"/>
                                <w:sz w:val="16"/>
                              </w:rPr>
                              <w:t> </w:t>
                            </w:r>
                            <w:r>
                              <w:rPr>
                                <w:color w:val="105C84"/>
                                <w:spacing w:val="-4"/>
                                <w:sz w:val="16"/>
                              </w:rPr>
                              <w:t>Years</w:t>
                            </w:r>
                          </w:p>
                        </w:txbxContent>
                      </wps:txbx>
                      <wps:bodyPr wrap="square" lIns="0" tIns="0" rIns="0" bIns="0" rtlCol="0" vert="vert270">
                        <a:noAutofit/>
                      </wps:bodyPr>
                    </wps:wsp>
                  </a:graphicData>
                </a:graphic>
              </wp:anchor>
            </w:drawing>
          </mc:Choice>
          <mc:Fallback>
            <w:pict>
              <v:shape style="position:absolute;margin-left:54.142399pt;margin-top:19.650236pt;width:11.5pt;height:116pt;mso-position-horizontal-relative:page;mso-position-vertical-relative:paragraph;z-index:15853056" type="#_x0000_t202" id="docshape878" filled="false" stroked="false">
                <v:textbox inset="0,0,0,0" style="layout-flow:vertical;mso-layout-flow-alt:bottom-to-top">
                  <w:txbxContent>
                    <w:p>
                      <w:pPr>
                        <w:spacing w:before="19"/>
                        <w:ind w:left="20" w:right="0" w:firstLine="0"/>
                        <w:jc w:val="left"/>
                        <w:rPr>
                          <w:sz w:val="16"/>
                        </w:rPr>
                      </w:pPr>
                      <w:r>
                        <w:rPr>
                          <w:color w:val="105C84"/>
                          <w:sz w:val="16"/>
                        </w:rPr>
                        <w:t>Percent</w:t>
                      </w:r>
                      <w:r>
                        <w:rPr>
                          <w:color w:val="105C84"/>
                          <w:spacing w:val="-2"/>
                          <w:sz w:val="16"/>
                        </w:rPr>
                        <w:t> </w:t>
                      </w:r>
                      <w:r>
                        <w:rPr>
                          <w:color w:val="105C84"/>
                          <w:sz w:val="16"/>
                        </w:rPr>
                        <w:t>of</w:t>
                      </w:r>
                      <w:r>
                        <w:rPr>
                          <w:color w:val="105C84"/>
                          <w:spacing w:val="-2"/>
                          <w:sz w:val="16"/>
                        </w:rPr>
                        <w:t> </w:t>
                      </w:r>
                      <w:r>
                        <w:rPr>
                          <w:color w:val="105C84"/>
                          <w:sz w:val="16"/>
                        </w:rPr>
                        <w:t>Population</w:t>
                      </w:r>
                      <w:r>
                        <w:rPr>
                          <w:color w:val="105C84"/>
                          <w:spacing w:val="-2"/>
                          <w:sz w:val="16"/>
                        </w:rPr>
                        <w:t> </w:t>
                      </w:r>
                      <w:r>
                        <w:rPr>
                          <w:color w:val="105C84"/>
                          <w:sz w:val="16"/>
                        </w:rPr>
                        <w:t>25+</w:t>
                      </w:r>
                      <w:r>
                        <w:rPr>
                          <w:color w:val="105C84"/>
                          <w:spacing w:val="-2"/>
                          <w:sz w:val="16"/>
                        </w:rPr>
                        <w:t> </w:t>
                      </w:r>
                      <w:r>
                        <w:rPr>
                          <w:color w:val="105C84"/>
                          <w:spacing w:val="-4"/>
                          <w:sz w:val="16"/>
                        </w:rPr>
                        <w:t>Years</w:t>
                      </w:r>
                    </w:p>
                  </w:txbxContent>
                </v:textbox>
                <w10:wrap type="none"/>
              </v:shape>
            </w:pict>
          </mc:Fallback>
        </mc:AlternateContent>
      </w:r>
      <w:r>
        <w:rPr>
          <w:color w:val="636466"/>
          <w:spacing w:val="-5"/>
          <w:sz w:val="18"/>
        </w:rPr>
        <w:t>42%</w:t>
      </w:r>
    </w:p>
    <w:p>
      <w:pPr>
        <w:spacing w:before="124"/>
        <w:ind w:left="513" w:right="0" w:firstLine="0"/>
        <w:jc w:val="left"/>
        <w:rPr>
          <w:sz w:val="18"/>
        </w:rPr>
      </w:pPr>
      <w:r>
        <w:rPr/>
        <w:br w:type="column"/>
      </w:r>
      <w:r>
        <w:rPr>
          <w:color w:val="636466"/>
          <w:spacing w:val="-5"/>
          <w:sz w:val="18"/>
        </w:rPr>
        <w:t>41%</w:t>
      </w:r>
    </w:p>
    <w:p>
      <w:pPr>
        <w:tabs>
          <w:tab w:pos="3020" w:val="left" w:leader="none"/>
        </w:tabs>
        <w:spacing w:before="128"/>
        <w:ind w:left="2280" w:right="0" w:firstLine="0"/>
        <w:jc w:val="left"/>
        <w:rPr>
          <w:sz w:val="18"/>
        </w:rPr>
      </w:pPr>
      <w:r>
        <w:rPr/>
        <w:br w:type="column"/>
      </w:r>
      <w:r>
        <w:rPr/>
        <w:drawing>
          <wp:inline distT="0" distB="0" distL="0" distR="0">
            <wp:extent cx="50800" cy="63487"/>
            <wp:effectExtent l="0" t="0" r="0" b="0"/>
            <wp:docPr id="1081" name="Image 1081"/>
            <wp:cNvGraphicFramePr>
              <a:graphicFrameLocks/>
            </wp:cNvGraphicFramePr>
            <a:graphic>
              <a:graphicData uri="http://schemas.openxmlformats.org/drawingml/2006/picture">
                <pic:pic>
                  <pic:nvPicPr>
                    <pic:cNvPr id="1081" name="Image 1081"/>
                    <pic:cNvPicPr/>
                  </pic:nvPicPr>
                  <pic:blipFill>
                    <a:blip r:embed="rId130" cstate="print"/>
                    <a:stretch>
                      <a:fillRect/>
                    </a:stretch>
                  </pic:blipFill>
                  <pic:spPr>
                    <a:xfrm>
                      <a:off x="0" y="0"/>
                      <a:ext cx="50800" cy="63487"/>
                    </a:xfrm>
                    <a:prstGeom prst="rect">
                      <a:avLst/>
                    </a:prstGeom>
                  </pic:spPr>
                </pic:pic>
              </a:graphicData>
            </a:graphic>
          </wp:inline>
        </w:drawing>
      </w:r>
      <w:r>
        <w:rPr/>
      </w:r>
      <w:r>
        <w:rPr>
          <w:rFonts w:ascii="Times New Roman"/>
          <w:sz w:val="20"/>
        </w:rPr>
        <w:t> </w:t>
      </w:r>
      <w:r>
        <w:rPr>
          <w:color w:val="636466"/>
          <w:sz w:val="18"/>
        </w:rPr>
        <w:t>2012</w:t>
        <w:tab/>
      </w:r>
      <w:r>
        <w:rPr>
          <w:color w:val="636466"/>
          <w:sz w:val="18"/>
        </w:rPr>
        <w:drawing>
          <wp:inline distT="0" distB="0" distL="0" distR="0">
            <wp:extent cx="63500" cy="63500"/>
            <wp:effectExtent l="0" t="0" r="0" b="0"/>
            <wp:docPr id="1082" name="Image 1082"/>
            <wp:cNvGraphicFramePr>
              <a:graphicFrameLocks/>
            </wp:cNvGraphicFramePr>
            <a:graphic>
              <a:graphicData uri="http://schemas.openxmlformats.org/drawingml/2006/picture">
                <pic:pic>
                  <pic:nvPicPr>
                    <pic:cNvPr id="1082" name="Image 1082"/>
                    <pic:cNvPicPr/>
                  </pic:nvPicPr>
                  <pic:blipFill>
                    <a:blip r:embed="rId160" cstate="print"/>
                    <a:stretch>
                      <a:fillRect/>
                    </a:stretch>
                  </pic:blipFill>
                  <pic:spPr>
                    <a:xfrm>
                      <a:off x="0" y="0"/>
                      <a:ext cx="63500" cy="63500"/>
                    </a:xfrm>
                    <a:prstGeom prst="rect">
                      <a:avLst/>
                    </a:prstGeom>
                  </pic:spPr>
                </pic:pic>
              </a:graphicData>
            </a:graphic>
          </wp:inline>
        </w:drawing>
      </w:r>
      <w:r>
        <w:rPr>
          <w:color w:val="636466"/>
          <w:sz w:val="18"/>
        </w:rPr>
      </w:r>
      <w:r>
        <w:rPr>
          <w:rFonts w:ascii="Times New Roman"/>
          <w:color w:val="636466"/>
          <w:spacing w:val="-13"/>
          <w:sz w:val="18"/>
        </w:rPr>
        <w:t> </w:t>
      </w:r>
      <w:r>
        <w:rPr>
          <w:color w:val="636466"/>
          <w:sz w:val="18"/>
        </w:rPr>
        <w:t>2017</w:t>
      </w:r>
    </w:p>
    <w:p>
      <w:pPr>
        <w:pStyle w:val="BodyText"/>
        <w:spacing w:line="247" w:lineRule="auto" w:before="14"/>
        <w:ind w:left="2280" w:right="438"/>
      </w:pPr>
      <w:r>
        <w:rPr/>
        <w:br w:type="column"/>
      </w:r>
      <w:r>
        <w:rPr>
          <w:color w:val="105C84"/>
        </w:rPr>
        <w:t>including, but not limited to, the American Community Survey, the enhanced Behavioral Risk Factor Surveillance System, Vital Statistics, communicable disease and dental reports and primary data collected from the </w:t>
      </w:r>
      <w:r>
        <w:rPr>
          <w:i/>
          <w:color w:val="105C84"/>
        </w:rPr>
        <w:t>My Health Story 2018 </w:t>
      </w:r>
      <w:r>
        <w:rPr>
          <w:color w:val="105C84"/>
        </w:rPr>
        <w:t>survey. Lively group discussions took place regarding the potential priority areas. Approximately 30 individuals attended the meeting. Ultimately, using the</w:t>
      </w:r>
      <w:r>
        <w:rPr>
          <w:color w:val="105C84"/>
          <w:spacing w:val="80"/>
        </w:rPr>
        <w:t> </w:t>
      </w:r>
      <w:r>
        <w:rPr>
          <w:color w:val="105C84"/>
        </w:rPr>
        <w:t>Hanlon and PEARL methods, the group selected the following as their priority areas and disparity for the 2019-2021 Community Health Improvement Plan:</w:t>
      </w:r>
    </w:p>
    <w:p>
      <w:pPr>
        <w:pStyle w:val="BodyText"/>
        <w:spacing w:before="15"/>
      </w:pPr>
    </w:p>
    <w:p>
      <w:pPr>
        <w:pStyle w:val="Heading5"/>
        <w:spacing w:before="1"/>
        <w:ind w:left="2285"/>
      </w:pPr>
      <w:r>
        <w:rPr>
          <w:color w:val="32BCAA"/>
          <w:spacing w:val="2"/>
        </w:rPr>
        <w:t>PREVENT</w:t>
      </w:r>
      <w:r>
        <w:rPr>
          <w:color w:val="32BCAA"/>
          <w:spacing w:val="35"/>
        </w:rPr>
        <w:t> </w:t>
      </w:r>
      <w:r>
        <w:rPr>
          <w:color w:val="32BCAA"/>
          <w:spacing w:val="2"/>
        </w:rPr>
        <w:t>CHRONIC</w:t>
      </w:r>
      <w:r>
        <w:rPr>
          <w:color w:val="32BCAA"/>
          <w:spacing w:val="51"/>
        </w:rPr>
        <w:t> </w:t>
      </w:r>
      <w:r>
        <w:rPr>
          <w:color w:val="32BCAA"/>
          <w:spacing w:val="-2"/>
        </w:rPr>
        <w:t>DISEASE</w:t>
      </w:r>
    </w:p>
    <w:p>
      <w:pPr>
        <w:pStyle w:val="ListParagraph"/>
        <w:numPr>
          <w:ilvl w:val="0"/>
          <w:numId w:val="25"/>
        </w:numPr>
        <w:tabs>
          <w:tab w:pos="2719" w:val="left" w:leader="none"/>
        </w:tabs>
        <w:spacing w:line="240" w:lineRule="auto" w:before="85" w:after="0"/>
        <w:ind w:left="2719" w:right="0" w:hanging="239"/>
        <w:jc w:val="left"/>
        <w:rPr>
          <w:sz w:val="22"/>
        </w:rPr>
      </w:pPr>
      <w:r>
        <w:rPr>
          <w:color w:val="105C84"/>
          <w:sz w:val="22"/>
        </w:rPr>
        <w:t>Chronic</w:t>
      </w:r>
      <w:r>
        <w:rPr>
          <w:color w:val="105C84"/>
          <w:spacing w:val="2"/>
          <w:sz w:val="22"/>
        </w:rPr>
        <w:t> </w:t>
      </w:r>
      <w:r>
        <w:rPr>
          <w:color w:val="105C84"/>
          <w:sz w:val="22"/>
        </w:rPr>
        <w:t>disease</w:t>
      </w:r>
      <w:r>
        <w:rPr>
          <w:color w:val="105C84"/>
          <w:spacing w:val="3"/>
          <w:sz w:val="22"/>
        </w:rPr>
        <w:t> </w:t>
      </w:r>
      <w:r>
        <w:rPr>
          <w:color w:val="105C84"/>
          <w:sz w:val="22"/>
        </w:rPr>
        <w:t>preventative</w:t>
      </w:r>
      <w:r>
        <w:rPr>
          <w:color w:val="105C84"/>
          <w:spacing w:val="3"/>
          <w:sz w:val="22"/>
        </w:rPr>
        <w:t> </w:t>
      </w:r>
      <w:r>
        <w:rPr>
          <w:color w:val="105C84"/>
          <w:sz w:val="22"/>
        </w:rPr>
        <w:t>care</w:t>
      </w:r>
      <w:r>
        <w:rPr>
          <w:color w:val="105C84"/>
          <w:spacing w:val="3"/>
          <w:sz w:val="22"/>
        </w:rPr>
        <w:t> </w:t>
      </w:r>
      <w:r>
        <w:rPr>
          <w:color w:val="105C84"/>
          <w:sz w:val="22"/>
        </w:rPr>
        <w:t>and</w:t>
      </w:r>
      <w:r>
        <w:rPr>
          <w:color w:val="105C84"/>
          <w:spacing w:val="3"/>
          <w:sz w:val="22"/>
        </w:rPr>
        <w:t> </w:t>
      </w:r>
      <w:r>
        <w:rPr>
          <w:color w:val="105C84"/>
          <w:spacing w:val="-2"/>
          <w:sz w:val="22"/>
        </w:rPr>
        <w:t>management</w:t>
      </w:r>
    </w:p>
    <w:p>
      <w:pPr>
        <w:pStyle w:val="ListParagraph"/>
        <w:numPr>
          <w:ilvl w:val="0"/>
          <w:numId w:val="25"/>
        </w:numPr>
        <w:tabs>
          <w:tab w:pos="2719" w:val="left" w:leader="none"/>
        </w:tabs>
        <w:spacing w:line="240" w:lineRule="auto" w:before="97" w:after="0"/>
        <w:ind w:left="2719" w:right="0" w:hanging="239"/>
        <w:jc w:val="left"/>
        <w:rPr>
          <w:sz w:val="22"/>
        </w:rPr>
      </w:pPr>
      <w:r>
        <w:rPr>
          <w:color w:val="105C84"/>
          <w:sz w:val="22"/>
        </w:rPr>
        <w:t>Healthy</w:t>
      </w:r>
      <w:r>
        <w:rPr>
          <w:color w:val="105C84"/>
          <w:spacing w:val="20"/>
          <w:sz w:val="22"/>
        </w:rPr>
        <w:t> </w:t>
      </w:r>
      <w:r>
        <w:rPr>
          <w:color w:val="105C84"/>
          <w:sz w:val="22"/>
        </w:rPr>
        <w:t>eating</w:t>
      </w:r>
      <w:r>
        <w:rPr>
          <w:color w:val="105C84"/>
          <w:spacing w:val="20"/>
          <w:sz w:val="22"/>
        </w:rPr>
        <w:t> </w:t>
      </w:r>
      <w:r>
        <w:rPr>
          <w:color w:val="105C84"/>
          <w:sz w:val="22"/>
        </w:rPr>
        <w:t>and</w:t>
      </w:r>
      <w:r>
        <w:rPr>
          <w:color w:val="105C84"/>
          <w:spacing w:val="20"/>
          <w:sz w:val="22"/>
        </w:rPr>
        <w:t> </w:t>
      </w:r>
      <w:r>
        <w:rPr>
          <w:color w:val="105C84"/>
          <w:sz w:val="22"/>
        </w:rPr>
        <w:t>food</w:t>
      </w:r>
      <w:r>
        <w:rPr>
          <w:color w:val="105C84"/>
          <w:spacing w:val="21"/>
          <w:sz w:val="22"/>
        </w:rPr>
        <w:t> </w:t>
      </w:r>
      <w:r>
        <w:rPr>
          <w:color w:val="105C84"/>
          <w:spacing w:val="-2"/>
          <w:sz w:val="22"/>
        </w:rPr>
        <w:t>security</w:t>
      </w:r>
    </w:p>
    <w:p>
      <w:pPr>
        <w:pStyle w:val="ListParagraph"/>
        <w:spacing w:after="0" w:line="240" w:lineRule="auto"/>
        <w:jc w:val="left"/>
        <w:rPr>
          <w:sz w:val="22"/>
        </w:rPr>
        <w:sectPr>
          <w:type w:val="continuous"/>
          <w:pgSz w:w="24480" w:h="15840" w:orient="landscape"/>
          <w:pgMar w:header="0" w:footer="0" w:top="0" w:bottom="280" w:left="0" w:right="720"/>
          <w:cols w:num="4" w:equalWidth="0">
            <w:col w:w="2615" w:space="40"/>
            <w:col w:w="888" w:space="2879"/>
            <w:col w:w="3568" w:space="1049"/>
            <w:col w:w="12721"/>
          </w:cols>
        </w:sectPr>
      </w:pPr>
    </w:p>
    <w:p>
      <w:pPr>
        <w:tabs>
          <w:tab w:pos="5009" w:val="left" w:leader="none"/>
          <w:tab w:pos="7999" w:val="left" w:leader="none"/>
        </w:tabs>
        <w:spacing w:before="48"/>
        <w:ind w:left="1514" w:right="0" w:firstLine="0"/>
        <w:jc w:val="left"/>
        <w:rPr>
          <w:sz w:val="18"/>
        </w:rPr>
      </w:pPr>
      <w:r>
        <w:rPr>
          <w:sz w:val="18"/>
        </w:rPr>
        <mc:AlternateContent>
          <mc:Choice Requires="wps">
            <w:drawing>
              <wp:anchor distT="0" distB="0" distL="0" distR="0" allowOverlap="1" layoutInCell="1" locked="0" behindDoc="0" simplePos="0" relativeHeight="15850496">
                <wp:simplePos x="0" y="0"/>
                <wp:positionH relativeFrom="page">
                  <wp:posOffset>928833</wp:posOffset>
                </wp:positionH>
                <wp:positionV relativeFrom="paragraph">
                  <wp:posOffset>-1552227</wp:posOffset>
                </wp:positionV>
                <wp:extent cx="5949950" cy="1499870"/>
                <wp:effectExtent l="0" t="0" r="0" b="0"/>
                <wp:wrapNone/>
                <wp:docPr id="1083" name="Group 1083"/>
                <wp:cNvGraphicFramePr>
                  <a:graphicFrameLocks/>
                </wp:cNvGraphicFramePr>
                <a:graphic>
                  <a:graphicData uri="http://schemas.microsoft.com/office/word/2010/wordprocessingGroup">
                    <wpg:wgp>
                      <wpg:cNvPr id="1083" name="Group 1083"/>
                      <wpg:cNvGrpSpPr/>
                      <wpg:grpSpPr>
                        <a:xfrm>
                          <a:off x="0" y="0"/>
                          <a:ext cx="5949950" cy="1499870"/>
                          <a:chExt cx="5949950" cy="1499870"/>
                        </a:xfrm>
                      </wpg:grpSpPr>
                      <pic:pic>
                        <pic:nvPicPr>
                          <pic:cNvPr id="1084" name="Image 1084"/>
                          <pic:cNvPicPr/>
                        </pic:nvPicPr>
                        <pic:blipFill>
                          <a:blip r:embed="rId161" cstate="print"/>
                          <a:stretch>
                            <a:fillRect/>
                          </a:stretch>
                        </pic:blipFill>
                        <pic:spPr>
                          <a:xfrm>
                            <a:off x="419042" y="861"/>
                            <a:ext cx="444525" cy="160921"/>
                          </a:xfrm>
                          <a:prstGeom prst="rect">
                            <a:avLst/>
                          </a:prstGeom>
                        </pic:spPr>
                      </pic:pic>
                      <pic:pic>
                        <pic:nvPicPr>
                          <pic:cNvPr id="1085" name="Image 1085"/>
                          <pic:cNvPicPr/>
                        </pic:nvPicPr>
                        <pic:blipFill>
                          <a:blip r:embed="rId162" cstate="print"/>
                          <a:stretch>
                            <a:fillRect/>
                          </a:stretch>
                        </pic:blipFill>
                        <pic:spPr>
                          <a:xfrm>
                            <a:off x="419042" y="60157"/>
                            <a:ext cx="444525" cy="203212"/>
                          </a:xfrm>
                          <a:prstGeom prst="rect">
                            <a:avLst/>
                          </a:prstGeom>
                        </pic:spPr>
                      </pic:pic>
                      <pic:pic>
                        <pic:nvPicPr>
                          <pic:cNvPr id="1086" name="Image 1086"/>
                          <pic:cNvPicPr/>
                        </pic:nvPicPr>
                        <pic:blipFill>
                          <a:blip r:embed="rId163" cstate="print"/>
                          <a:stretch>
                            <a:fillRect/>
                          </a:stretch>
                        </pic:blipFill>
                        <pic:spPr>
                          <a:xfrm>
                            <a:off x="419042" y="161757"/>
                            <a:ext cx="444525" cy="203187"/>
                          </a:xfrm>
                          <a:prstGeom prst="rect">
                            <a:avLst/>
                          </a:prstGeom>
                        </pic:spPr>
                      </pic:pic>
                      <pic:pic>
                        <pic:nvPicPr>
                          <pic:cNvPr id="1087" name="Image 1087"/>
                          <pic:cNvPicPr/>
                        </pic:nvPicPr>
                        <pic:blipFill>
                          <a:blip r:embed="rId164" cstate="print"/>
                          <a:stretch>
                            <a:fillRect/>
                          </a:stretch>
                        </pic:blipFill>
                        <pic:spPr>
                          <a:xfrm>
                            <a:off x="2400255" y="216773"/>
                            <a:ext cx="444512" cy="46583"/>
                          </a:xfrm>
                          <a:prstGeom prst="rect">
                            <a:avLst/>
                          </a:prstGeom>
                        </pic:spPr>
                      </pic:pic>
                      <pic:pic>
                        <pic:nvPicPr>
                          <pic:cNvPr id="1088" name="Image 1088"/>
                          <pic:cNvPicPr/>
                        </pic:nvPicPr>
                        <pic:blipFill>
                          <a:blip r:embed="rId66" cstate="print"/>
                          <a:stretch>
                            <a:fillRect/>
                          </a:stretch>
                        </pic:blipFill>
                        <pic:spPr>
                          <a:xfrm>
                            <a:off x="419042" y="263357"/>
                            <a:ext cx="444525" cy="203161"/>
                          </a:xfrm>
                          <a:prstGeom prst="rect">
                            <a:avLst/>
                          </a:prstGeom>
                        </pic:spPr>
                      </pic:pic>
                      <pic:pic>
                        <pic:nvPicPr>
                          <pic:cNvPr id="1089" name="Image 1089"/>
                          <pic:cNvPicPr/>
                        </pic:nvPicPr>
                        <pic:blipFill>
                          <a:blip r:embed="rId65" cstate="print"/>
                          <a:stretch>
                            <a:fillRect/>
                          </a:stretch>
                        </pic:blipFill>
                        <pic:spPr>
                          <a:xfrm>
                            <a:off x="2400268" y="263357"/>
                            <a:ext cx="444500" cy="101587"/>
                          </a:xfrm>
                          <a:prstGeom prst="rect">
                            <a:avLst/>
                          </a:prstGeom>
                        </pic:spPr>
                      </pic:pic>
                      <pic:pic>
                        <pic:nvPicPr>
                          <pic:cNvPr id="1090" name="Image 1090"/>
                          <pic:cNvPicPr/>
                        </pic:nvPicPr>
                        <pic:blipFill>
                          <a:blip r:embed="rId67" cstate="print"/>
                          <a:stretch>
                            <a:fillRect/>
                          </a:stretch>
                        </pic:blipFill>
                        <pic:spPr>
                          <a:xfrm>
                            <a:off x="419042" y="364931"/>
                            <a:ext cx="444525" cy="203276"/>
                          </a:xfrm>
                          <a:prstGeom prst="rect">
                            <a:avLst/>
                          </a:prstGeom>
                        </pic:spPr>
                      </pic:pic>
                      <pic:pic>
                        <pic:nvPicPr>
                          <pic:cNvPr id="1091" name="Image 1091"/>
                          <pic:cNvPicPr/>
                        </pic:nvPicPr>
                        <pic:blipFill>
                          <a:blip r:embed="rId65" cstate="print"/>
                          <a:stretch>
                            <a:fillRect/>
                          </a:stretch>
                        </pic:blipFill>
                        <pic:spPr>
                          <a:xfrm>
                            <a:off x="2400268" y="364931"/>
                            <a:ext cx="444500" cy="101587"/>
                          </a:xfrm>
                          <a:prstGeom prst="rect">
                            <a:avLst/>
                          </a:prstGeom>
                        </pic:spPr>
                      </pic:pic>
                      <pic:pic>
                        <pic:nvPicPr>
                          <pic:cNvPr id="1092" name="Image 1092"/>
                          <pic:cNvPicPr/>
                        </pic:nvPicPr>
                        <pic:blipFill>
                          <a:blip r:embed="rId70" cstate="print"/>
                          <a:stretch>
                            <a:fillRect/>
                          </a:stretch>
                        </pic:blipFill>
                        <pic:spPr>
                          <a:xfrm>
                            <a:off x="419042" y="466531"/>
                            <a:ext cx="444525" cy="203250"/>
                          </a:xfrm>
                          <a:prstGeom prst="rect">
                            <a:avLst/>
                          </a:prstGeom>
                        </pic:spPr>
                      </pic:pic>
                      <pic:pic>
                        <pic:nvPicPr>
                          <pic:cNvPr id="1093" name="Image 1093"/>
                          <pic:cNvPicPr/>
                        </pic:nvPicPr>
                        <pic:blipFill>
                          <a:blip r:embed="rId65" cstate="print"/>
                          <a:stretch>
                            <a:fillRect/>
                          </a:stretch>
                        </pic:blipFill>
                        <pic:spPr>
                          <a:xfrm>
                            <a:off x="2400268" y="466531"/>
                            <a:ext cx="444500" cy="101676"/>
                          </a:xfrm>
                          <a:prstGeom prst="rect">
                            <a:avLst/>
                          </a:prstGeom>
                        </pic:spPr>
                      </pic:pic>
                      <pic:pic>
                        <pic:nvPicPr>
                          <pic:cNvPr id="1094" name="Image 1094"/>
                          <pic:cNvPicPr/>
                        </pic:nvPicPr>
                        <pic:blipFill>
                          <a:blip r:embed="rId66" cstate="print"/>
                          <a:stretch>
                            <a:fillRect/>
                          </a:stretch>
                        </pic:blipFill>
                        <pic:spPr>
                          <a:xfrm>
                            <a:off x="419042" y="568195"/>
                            <a:ext cx="444525" cy="203174"/>
                          </a:xfrm>
                          <a:prstGeom prst="rect">
                            <a:avLst/>
                          </a:prstGeom>
                        </pic:spPr>
                      </pic:pic>
                      <pic:pic>
                        <pic:nvPicPr>
                          <pic:cNvPr id="1095" name="Image 1095"/>
                          <pic:cNvPicPr/>
                        </pic:nvPicPr>
                        <pic:blipFill>
                          <a:blip r:embed="rId65" cstate="print"/>
                          <a:stretch>
                            <a:fillRect/>
                          </a:stretch>
                        </pic:blipFill>
                        <pic:spPr>
                          <a:xfrm>
                            <a:off x="2400268" y="568195"/>
                            <a:ext cx="444500" cy="101600"/>
                          </a:xfrm>
                          <a:prstGeom prst="rect">
                            <a:avLst/>
                          </a:prstGeom>
                        </pic:spPr>
                      </pic:pic>
                      <pic:pic>
                        <pic:nvPicPr>
                          <pic:cNvPr id="1096" name="Image 1096"/>
                          <pic:cNvPicPr/>
                        </pic:nvPicPr>
                        <pic:blipFill>
                          <a:blip r:embed="rId66" cstate="print"/>
                          <a:stretch>
                            <a:fillRect/>
                          </a:stretch>
                        </pic:blipFill>
                        <pic:spPr>
                          <a:xfrm>
                            <a:off x="419042" y="669770"/>
                            <a:ext cx="444525" cy="203174"/>
                          </a:xfrm>
                          <a:prstGeom prst="rect">
                            <a:avLst/>
                          </a:prstGeom>
                        </pic:spPr>
                      </pic:pic>
                      <pic:pic>
                        <pic:nvPicPr>
                          <pic:cNvPr id="1097" name="Image 1097"/>
                          <pic:cNvPicPr/>
                        </pic:nvPicPr>
                        <pic:blipFill>
                          <a:blip r:embed="rId65" cstate="print"/>
                          <a:stretch>
                            <a:fillRect/>
                          </a:stretch>
                        </pic:blipFill>
                        <pic:spPr>
                          <a:xfrm>
                            <a:off x="2400268" y="669770"/>
                            <a:ext cx="444500" cy="101600"/>
                          </a:xfrm>
                          <a:prstGeom prst="rect">
                            <a:avLst/>
                          </a:prstGeom>
                        </pic:spPr>
                      </pic:pic>
                      <pic:pic>
                        <pic:nvPicPr>
                          <pic:cNvPr id="1098" name="Image 1098"/>
                          <pic:cNvPicPr/>
                        </pic:nvPicPr>
                        <pic:blipFill>
                          <a:blip r:embed="rId165" cstate="print"/>
                          <a:stretch>
                            <a:fillRect/>
                          </a:stretch>
                        </pic:blipFill>
                        <pic:spPr>
                          <a:xfrm>
                            <a:off x="4381455" y="699373"/>
                            <a:ext cx="444436" cy="173570"/>
                          </a:xfrm>
                          <a:prstGeom prst="rect">
                            <a:avLst/>
                          </a:prstGeom>
                        </pic:spPr>
                      </pic:pic>
                      <pic:pic>
                        <pic:nvPicPr>
                          <pic:cNvPr id="1099" name="Image 1099"/>
                          <pic:cNvPicPr/>
                        </pic:nvPicPr>
                        <pic:blipFill>
                          <a:blip r:embed="rId66" cstate="print"/>
                          <a:stretch>
                            <a:fillRect/>
                          </a:stretch>
                        </pic:blipFill>
                        <pic:spPr>
                          <a:xfrm>
                            <a:off x="419042" y="771357"/>
                            <a:ext cx="444525" cy="203174"/>
                          </a:xfrm>
                          <a:prstGeom prst="rect">
                            <a:avLst/>
                          </a:prstGeom>
                        </pic:spPr>
                      </pic:pic>
                      <pic:pic>
                        <pic:nvPicPr>
                          <pic:cNvPr id="1100" name="Image 1100"/>
                          <pic:cNvPicPr/>
                        </pic:nvPicPr>
                        <pic:blipFill>
                          <a:blip r:embed="rId65" cstate="print"/>
                          <a:stretch>
                            <a:fillRect/>
                          </a:stretch>
                        </pic:blipFill>
                        <pic:spPr>
                          <a:xfrm>
                            <a:off x="2400268" y="771357"/>
                            <a:ext cx="444500" cy="101587"/>
                          </a:xfrm>
                          <a:prstGeom prst="rect">
                            <a:avLst/>
                          </a:prstGeom>
                        </pic:spPr>
                      </pic:pic>
                      <pic:pic>
                        <pic:nvPicPr>
                          <pic:cNvPr id="1101" name="Image 1101"/>
                          <pic:cNvPicPr/>
                        </pic:nvPicPr>
                        <pic:blipFill>
                          <a:blip r:embed="rId66" cstate="print"/>
                          <a:stretch>
                            <a:fillRect/>
                          </a:stretch>
                        </pic:blipFill>
                        <pic:spPr>
                          <a:xfrm>
                            <a:off x="4381455" y="771357"/>
                            <a:ext cx="444436" cy="203174"/>
                          </a:xfrm>
                          <a:prstGeom prst="rect">
                            <a:avLst/>
                          </a:prstGeom>
                        </pic:spPr>
                      </pic:pic>
                      <pic:pic>
                        <pic:nvPicPr>
                          <pic:cNvPr id="1102" name="Image 1102"/>
                          <pic:cNvPicPr/>
                        </pic:nvPicPr>
                        <pic:blipFill>
                          <a:blip r:embed="rId66" cstate="print"/>
                          <a:stretch>
                            <a:fillRect/>
                          </a:stretch>
                        </pic:blipFill>
                        <pic:spPr>
                          <a:xfrm>
                            <a:off x="419042" y="872944"/>
                            <a:ext cx="444525" cy="203174"/>
                          </a:xfrm>
                          <a:prstGeom prst="rect">
                            <a:avLst/>
                          </a:prstGeom>
                        </pic:spPr>
                      </pic:pic>
                      <pic:pic>
                        <pic:nvPicPr>
                          <pic:cNvPr id="1103" name="Image 1103"/>
                          <pic:cNvPicPr/>
                        </pic:nvPicPr>
                        <pic:blipFill>
                          <a:blip r:embed="rId65" cstate="print"/>
                          <a:stretch>
                            <a:fillRect/>
                          </a:stretch>
                        </pic:blipFill>
                        <pic:spPr>
                          <a:xfrm>
                            <a:off x="2400268" y="872944"/>
                            <a:ext cx="444500" cy="101587"/>
                          </a:xfrm>
                          <a:prstGeom prst="rect">
                            <a:avLst/>
                          </a:prstGeom>
                        </pic:spPr>
                      </pic:pic>
                      <pic:pic>
                        <pic:nvPicPr>
                          <pic:cNvPr id="1104" name="Image 1104"/>
                          <pic:cNvPicPr/>
                        </pic:nvPicPr>
                        <pic:blipFill>
                          <a:blip r:embed="rId66" cstate="print"/>
                          <a:stretch>
                            <a:fillRect/>
                          </a:stretch>
                        </pic:blipFill>
                        <pic:spPr>
                          <a:xfrm>
                            <a:off x="4381455" y="872944"/>
                            <a:ext cx="444436" cy="203174"/>
                          </a:xfrm>
                          <a:prstGeom prst="rect">
                            <a:avLst/>
                          </a:prstGeom>
                        </pic:spPr>
                      </pic:pic>
                      <pic:pic>
                        <pic:nvPicPr>
                          <pic:cNvPr id="1105" name="Image 1105"/>
                          <pic:cNvPicPr/>
                        </pic:nvPicPr>
                        <pic:blipFill>
                          <a:blip r:embed="rId67" cstate="print"/>
                          <a:stretch>
                            <a:fillRect/>
                          </a:stretch>
                        </pic:blipFill>
                        <pic:spPr>
                          <a:xfrm>
                            <a:off x="419042" y="974531"/>
                            <a:ext cx="444525" cy="203263"/>
                          </a:xfrm>
                          <a:prstGeom prst="rect">
                            <a:avLst/>
                          </a:prstGeom>
                        </pic:spPr>
                      </pic:pic>
                      <pic:pic>
                        <pic:nvPicPr>
                          <pic:cNvPr id="1106" name="Image 1106"/>
                          <pic:cNvPicPr/>
                        </pic:nvPicPr>
                        <pic:blipFill>
                          <a:blip r:embed="rId65" cstate="print"/>
                          <a:stretch>
                            <a:fillRect/>
                          </a:stretch>
                        </pic:blipFill>
                        <pic:spPr>
                          <a:xfrm>
                            <a:off x="2400268" y="974531"/>
                            <a:ext cx="444500" cy="101587"/>
                          </a:xfrm>
                          <a:prstGeom prst="rect">
                            <a:avLst/>
                          </a:prstGeom>
                        </pic:spPr>
                      </pic:pic>
                      <pic:pic>
                        <pic:nvPicPr>
                          <pic:cNvPr id="1107" name="Image 1107"/>
                          <pic:cNvPicPr/>
                        </pic:nvPicPr>
                        <pic:blipFill>
                          <a:blip r:embed="rId67" cstate="print"/>
                          <a:stretch>
                            <a:fillRect/>
                          </a:stretch>
                        </pic:blipFill>
                        <pic:spPr>
                          <a:xfrm>
                            <a:off x="4381455" y="974531"/>
                            <a:ext cx="444436" cy="203263"/>
                          </a:xfrm>
                          <a:prstGeom prst="rect">
                            <a:avLst/>
                          </a:prstGeom>
                        </pic:spPr>
                      </pic:pic>
                      <pic:pic>
                        <pic:nvPicPr>
                          <pic:cNvPr id="1108" name="Image 1108"/>
                          <pic:cNvPicPr/>
                        </pic:nvPicPr>
                        <pic:blipFill>
                          <a:blip r:embed="rId166" cstate="print"/>
                          <a:stretch>
                            <a:fillRect/>
                          </a:stretch>
                        </pic:blipFill>
                        <pic:spPr>
                          <a:xfrm>
                            <a:off x="419042" y="1076119"/>
                            <a:ext cx="444525" cy="203250"/>
                          </a:xfrm>
                          <a:prstGeom prst="rect">
                            <a:avLst/>
                          </a:prstGeom>
                        </pic:spPr>
                      </pic:pic>
                      <pic:pic>
                        <pic:nvPicPr>
                          <pic:cNvPr id="1109" name="Image 1109"/>
                          <pic:cNvPicPr/>
                        </pic:nvPicPr>
                        <pic:blipFill>
                          <a:blip r:embed="rId167" cstate="print"/>
                          <a:stretch>
                            <a:fillRect/>
                          </a:stretch>
                        </pic:blipFill>
                        <pic:spPr>
                          <a:xfrm>
                            <a:off x="2400268" y="1076119"/>
                            <a:ext cx="444500" cy="101676"/>
                          </a:xfrm>
                          <a:prstGeom prst="rect">
                            <a:avLst/>
                          </a:prstGeom>
                        </pic:spPr>
                      </pic:pic>
                      <pic:pic>
                        <pic:nvPicPr>
                          <pic:cNvPr id="1110" name="Image 1110"/>
                          <pic:cNvPicPr/>
                        </pic:nvPicPr>
                        <pic:blipFill>
                          <a:blip r:embed="rId70" cstate="print"/>
                          <a:stretch>
                            <a:fillRect/>
                          </a:stretch>
                        </pic:blipFill>
                        <pic:spPr>
                          <a:xfrm>
                            <a:off x="4381455" y="1076119"/>
                            <a:ext cx="444436" cy="203250"/>
                          </a:xfrm>
                          <a:prstGeom prst="rect">
                            <a:avLst/>
                          </a:prstGeom>
                        </pic:spPr>
                      </pic:pic>
                      <pic:pic>
                        <pic:nvPicPr>
                          <pic:cNvPr id="1111" name="Image 1111"/>
                          <pic:cNvPicPr/>
                        </pic:nvPicPr>
                        <pic:blipFill>
                          <a:blip r:embed="rId66" cstate="print"/>
                          <a:stretch>
                            <a:fillRect/>
                          </a:stretch>
                        </pic:blipFill>
                        <pic:spPr>
                          <a:xfrm>
                            <a:off x="419042" y="1177782"/>
                            <a:ext cx="444525" cy="203174"/>
                          </a:xfrm>
                          <a:prstGeom prst="rect">
                            <a:avLst/>
                          </a:prstGeom>
                        </pic:spPr>
                      </pic:pic>
                      <pic:pic>
                        <pic:nvPicPr>
                          <pic:cNvPr id="1112" name="Image 1112"/>
                          <pic:cNvPicPr/>
                        </pic:nvPicPr>
                        <pic:blipFill>
                          <a:blip r:embed="rId65" cstate="print"/>
                          <a:stretch>
                            <a:fillRect/>
                          </a:stretch>
                        </pic:blipFill>
                        <pic:spPr>
                          <a:xfrm>
                            <a:off x="2400268" y="1177782"/>
                            <a:ext cx="444500" cy="101587"/>
                          </a:xfrm>
                          <a:prstGeom prst="rect">
                            <a:avLst/>
                          </a:prstGeom>
                        </pic:spPr>
                      </pic:pic>
                      <pic:pic>
                        <pic:nvPicPr>
                          <pic:cNvPr id="1113" name="Image 1113"/>
                          <pic:cNvPicPr/>
                        </pic:nvPicPr>
                        <pic:blipFill>
                          <a:blip r:embed="rId66" cstate="print"/>
                          <a:stretch>
                            <a:fillRect/>
                          </a:stretch>
                        </pic:blipFill>
                        <pic:spPr>
                          <a:xfrm>
                            <a:off x="4381455" y="1177782"/>
                            <a:ext cx="444436" cy="203174"/>
                          </a:xfrm>
                          <a:prstGeom prst="rect">
                            <a:avLst/>
                          </a:prstGeom>
                        </pic:spPr>
                      </pic:pic>
                      <pic:pic>
                        <pic:nvPicPr>
                          <pic:cNvPr id="1114" name="Image 1114"/>
                          <pic:cNvPicPr/>
                        </pic:nvPicPr>
                        <pic:blipFill>
                          <a:blip r:embed="rId66" cstate="print"/>
                          <a:stretch>
                            <a:fillRect/>
                          </a:stretch>
                        </pic:blipFill>
                        <pic:spPr>
                          <a:xfrm>
                            <a:off x="419042" y="1279370"/>
                            <a:ext cx="444525" cy="203174"/>
                          </a:xfrm>
                          <a:prstGeom prst="rect">
                            <a:avLst/>
                          </a:prstGeom>
                        </pic:spPr>
                      </pic:pic>
                      <pic:pic>
                        <pic:nvPicPr>
                          <pic:cNvPr id="1115" name="Image 1115"/>
                          <pic:cNvPicPr/>
                        </pic:nvPicPr>
                        <pic:blipFill>
                          <a:blip r:embed="rId65" cstate="print"/>
                          <a:stretch>
                            <a:fillRect/>
                          </a:stretch>
                        </pic:blipFill>
                        <pic:spPr>
                          <a:xfrm>
                            <a:off x="2400268" y="1279370"/>
                            <a:ext cx="444500" cy="101587"/>
                          </a:xfrm>
                          <a:prstGeom prst="rect">
                            <a:avLst/>
                          </a:prstGeom>
                        </pic:spPr>
                      </pic:pic>
                      <pic:pic>
                        <pic:nvPicPr>
                          <pic:cNvPr id="1116" name="Image 1116"/>
                          <pic:cNvPicPr/>
                        </pic:nvPicPr>
                        <pic:blipFill>
                          <a:blip r:embed="rId66" cstate="print"/>
                          <a:stretch>
                            <a:fillRect/>
                          </a:stretch>
                        </pic:blipFill>
                        <pic:spPr>
                          <a:xfrm>
                            <a:off x="4381455" y="1279370"/>
                            <a:ext cx="444436" cy="203174"/>
                          </a:xfrm>
                          <a:prstGeom prst="rect">
                            <a:avLst/>
                          </a:prstGeom>
                        </pic:spPr>
                      </pic:pic>
                      <pic:pic>
                        <pic:nvPicPr>
                          <pic:cNvPr id="1117" name="Image 1117"/>
                          <pic:cNvPicPr/>
                        </pic:nvPicPr>
                        <pic:blipFill>
                          <a:blip r:embed="rId168" cstate="print"/>
                          <a:stretch>
                            <a:fillRect/>
                          </a:stretch>
                        </pic:blipFill>
                        <pic:spPr>
                          <a:xfrm>
                            <a:off x="419042" y="1380957"/>
                            <a:ext cx="444525" cy="118529"/>
                          </a:xfrm>
                          <a:prstGeom prst="rect">
                            <a:avLst/>
                          </a:prstGeom>
                        </pic:spPr>
                      </pic:pic>
                      <pic:pic>
                        <pic:nvPicPr>
                          <pic:cNvPr id="1118" name="Image 1118"/>
                          <pic:cNvPicPr/>
                        </pic:nvPicPr>
                        <pic:blipFill>
                          <a:blip r:embed="rId169" cstate="print"/>
                          <a:stretch>
                            <a:fillRect/>
                          </a:stretch>
                        </pic:blipFill>
                        <pic:spPr>
                          <a:xfrm>
                            <a:off x="2400255" y="1380957"/>
                            <a:ext cx="444512" cy="118529"/>
                          </a:xfrm>
                          <a:prstGeom prst="rect">
                            <a:avLst/>
                          </a:prstGeom>
                        </pic:spPr>
                      </pic:pic>
                      <pic:pic>
                        <pic:nvPicPr>
                          <pic:cNvPr id="1119" name="Image 1119"/>
                          <pic:cNvPicPr/>
                        </pic:nvPicPr>
                        <pic:blipFill>
                          <a:blip r:embed="rId170" cstate="print"/>
                          <a:stretch>
                            <a:fillRect/>
                          </a:stretch>
                        </pic:blipFill>
                        <pic:spPr>
                          <a:xfrm>
                            <a:off x="4381455" y="1380957"/>
                            <a:ext cx="444525" cy="118529"/>
                          </a:xfrm>
                          <a:prstGeom prst="rect">
                            <a:avLst/>
                          </a:prstGeom>
                        </pic:spPr>
                      </pic:pic>
                      <wps:wsp>
                        <wps:cNvPr id="1120" name="Graphic 1120"/>
                        <wps:cNvSpPr/>
                        <wps:spPr>
                          <a:xfrm>
                            <a:off x="977842" y="26286"/>
                            <a:ext cx="4406900" cy="1473200"/>
                          </a:xfrm>
                          <a:custGeom>
                            <a:avLst/>
                            <a:gdLst/>
                            <a:ahLst/>
                            <a:cxnLst/>
                            <a:rect l="l" t="t" r="r" b="b"/>
                            <a:pathLst>
                              <a:path w="4406900" h="1473200">
                                <a:moveTo>
                                  <a:pt x="444500" y="0"/>
                                </a:moveTo>
                                <a:lnTo>
                                  <a:pt x="0" y="0"/>
                                </a:lnTo>
                                <a:lnTo>
                                  <a:pt x="0" y="1473200"/>
                                </a:lnTo>
                                <a:lnTo>
                                  <a:pt x="444500" y="1473200"/>
                                </a:lnTo>
                                <a:lnTo>
                                  <a:pt x="444500" y="0"/>
                                </a:lnTo>
                                <a:close/>
                              </a:path>
                              <a:path w="4406900" h="1473200">
                                <a:moveTo>
                                  <a:pt x="2425700" y="215900"/>
                                </a:moveTo>
                                <a:lnTo>
                                  <a:pt x="1981200" y="215900"/>
                                </a:lnTo>
                                <a:lnTo>
                                  <a:pt x="1981200" y="1473200"/>
                                </a:lnTo>
                                <a:lnTo>
                                  <a:pt x="2425700" y="1473200"/>
                                </a:lnTo>
                                <a:lnTo>
                                  <a:pt x="2425700" y="215900"/>
                                </a:lnTo>
                                <a:close/>
                              </a:path>
                              <a:path w="4406900" h="1473200">
                                <a:moveTo>
                                  <a:pt x="4406900" y="622300"/>
                                </a:moveTo>
                                <a:lnTo>
                                  <a:pt x="3962400" y="622300"/>
                                </a:lnTo>
                                <a:lnTo>
                                  <a:pt x="3962400" y="1473200"/>
                                </a:lnTo>
                                <a:lnTo>
                                  <a:pt x="4406900" y="1473200"/>
                                </a:lnTo>
                                <a:lnTo>
                                  <a:pt x="4406900" y="622300"/>
                                </a:lnTo>
                                <a:close/>
                              </a:path>
                            </a:pathLst>
                          </a:custGeom>
                          <a:solidFill>
                            <a:srgbClr val="0F5D86"/>
                          </a:solidFill>
                        </wps:spPr>
                        <wps:bodyPr wrap="square" lIns="0" tIns="0" rIns="0" bIns="0" rtlCol="0">
                          <a:prstTxWarp prst="textNoShape">
                            <a:avLst/>
                          </a:prstTxWarp>
                          <a:noAutofit/>
                        </wps:bodyPr>
                      </wps:wsp>
                      <wps:wsp>
                        <wps:cNvPr id="1121" name="Graphic 1121"/>
                        <wps:cNvSpPr/>
                        <wps:spPr>
                          <a:xfrm>
                            <a:off x="0" y="0"/>
                            <a:ext cx="5949950" cy="1499870"/>
                          </a:xfrm>
                          <a:custGeom>
                            <a:avLst/>
                            <a:gdLst/>
                            <a:ahLst/>
                            <a:cxnLst/>
                            <a:rect l="l" t="t" r="r" b="b"/>
                            <a:pathLst>
                              <a:path w="5949950" h="1499870">
                                <a:moveTo>
                                  <a:pt x="12700" y="0"/>
                                </a:moveTo>
                                <a:lnTo>
                                  <a:pt x="0" y="0"/>
                                </a:lnTo>
                                <a:lnTo>
                                  <a:pt x="0" y="1494815"/>
                                </a:lnTo>
                                <a:lnTo>
                                  <a:pt x="685" y="1496453"/>
                                </a:lnTo>
                                <a:lnTo>
                                  <a:pt x="3048" y="1498815"/>
                                </a:lnTo>
                                <a:lnTo>
                                  <a:pt x="4686" y="1499488"/>
                                </a:lnTo>
                                <a:lnTo>
                                  <a:pt x="5949950" y="1499488"/>
                                </a:lnTo>
                                <a:lnTo>
                                  <a:pt x="5949950" y="1486788"/>
                                </a:lnTo>
                                <a:lnTo>
                                  <a:pt x="12700" y="1486788"/>
                                </a:lnTo>
                                <a:lnTo>
                                  <a:pt x="12700" y="0"/>
                                </a:lnTo>
                                <a:close/>
                              </a:path>
                            </a:pathLst>
                          </a:custGeom>
                          <a:solidFill>
                            <a:srgbClr val="BCBEC0"/>
                          </a:solidFill>
                        </wps:spPr>
                        <wps:bodyPr wrap="square" lIns="0" tIns="0" rIns="0" bIns="0" rtlCol="0">
                          <a:prstTxWarp prst="textNoShape">
                            <a:avLst/>
                          </a:prstTxWarp>
                          <a:noAutofit/>
                        </wps:bodyPr>
                      </wps:wsp>
                      <wps:wsp>
                        <wps:cNvPr id="1122" name="Textbox 1122"/>
                        <wps:cNvSpPr txBox="1"/>
                        <wps:spPr>
                          <a:xfrm>
                            <a:off x="2512141" y="20906"/>
                            <a:ext cx="224790" cy="135890"/>
                          </a:xfrm>
                          <a:prstGeom prst="rect">
                            <a:avLst/>
                          </a:prstGeom>
                        </wps:spPr>
                        <wps:txbx>
                          <w:txbxContent>
                            <w:p>
                              <w:pPr>
                                <w:spacing w:line="207" w:lineRule="exact" w:before="0"/>
                                <w:ind w:left="0" w:right="0" w:firstLine="0"/>
                                <w:jc w:val="left"/>
                                <w:rPr>
                                  <w:sz w:val="18"/>
                                </w:rPr>
                              </w:pPr>
                              <w:r>
                                <w:rPr>
                                  <w:color w:val="636466"/>
                                  <w:spacing w:val="-7"/>
                                  <w:sz w:val="18"/>
                                </w:rPr>
                                <w:t>36%</w:t>
                              </w:r>
                            </w:p>
                          </w:txbxContent>
                        </wps:txbx>
                        <wps:bodyPr wrap="square" lIns="0" tIns="0" rIns="0" bIns="0" rtlCol="0">
                          <a:noAutofit/>
                        </wps:bodyPr>
                      </wps:wsp>
                      <wps:wsp>
                        <wps:cNvPr id="1123" name="Textbox 1123"/>
                        <wps:cNvSpPr txBox="1"/>
                        <wps:spPr>
                          <a:xfrm>
                            <a:off x="3050379" y="58968"/>
                            <a:ext cx="224790" cy="135890"/>
                          </a:xfrm>
                          <a:prstGeom prst="rect">
                            <a:avLst/>
                          </a:prstGeom>
                        </wps:spPr>
                        <wps:txbx>
                          <w:txbxContent>
                            <w:p>
                              <w:pPr>
                                <w:spacing w:line="207" w:lineRule="exact" w:before="0"/>
                                <w:ind w:left="0" w:right="0" w:firstLine="0"/>
                                <w:jc w:val="left"/>
                                <w:rPr>
                                  <w:sz w:val="18"/>
                                </w:rPr>
                              </w:pPr>
                              <w:r>
                                <w:rPr>
                                  <w:color w:val="636466"/>
                                  <w:spacing w:val="-7"/>
                                  <w:sz w:val="18"/>
                                </w:rPr>
                                <w:t>35%</w:t>
                              </w:r>
                            </w:p>
                          </w:txbxContent>
                        </wps:txbx>
                        <wps:bodyPr wrap="square" lIns="0" tIns="0" rIns="0" bIns="0" rtlCol="0">
                          <a:noAutofit/>
                        </wps:bodyPr>
                      </wps:wsp>
                      <wps:wsp>
                        <wps:cNvPr id="1124" name="Textbox 1124"/>
                        <wps:cNvSpPr txBox="1"/>
                        <wps:spPr>
                          <a:xfrm>
                            <a:off x="4504618" y="516168"/>
                            <a:ext cx="224790" cy="135890"/>
                          </a:xfrm>
                          <a:prstGeom prst="rect">
                            <a:avLst/>
                          </a:prstGeom>
                        </wps:spPr>
                        <wps:txbx>
                          <w:txbxContent>
                            <w:p>
                              <w:pPr>
                                <w:spacing w:line="207" w:lineRule="exact" w:before="0"/>
                                <w:ind w:left="0" w:right="0" w:firstLine="0"/>
                                <w:jc w:val="left"/>
                                <w:rPr>
                                  <w:sz w:val="18"/>
                                </w:rPr>
                              </w:pPr>
                              <w:r>
                                <w:rPr>
                                  <w:color w:val="636466"/>
                                  <w:spacing w:val="-7"/>
                                  <w:sz w:val="18"/>
                                </w:rPr>
                                <w:t>22%</w:t>
                              </w:r>
                            </w:p>
                          </w:txbxContent>
                        </wps:txbx>
                        <wps:bodyPr wrap="square" lIns="0" tIns="0" rIns="0" bIns="0" rtlCol="0">
                          <a:noAutofit/>
                        </wps:bodyPr>
                      </wps:wsp>
                      <wps:wsp>
                        <wps:cNvPr id="1125" name="Textbox 1125"/>
                        <wps:cNvSpPr txBox="1"/>
                        <wps:spPr>
                          <a:xfrm>
                            <a:off x="5030170" y="452617"/>
                            <a:ext cx="224790" cy="135890"/>
                          </a:xfrm>
                          <a:prstGeom prst="rect">
                            <a:avLst/>
                          </a:prstGeom>
                        </wps:spPr>
                        <wps:txbx>
                          <w:txbxContent>
                            <w:p>
                              <w:pPr>
                                <w:spacing w:line="207" w:lineRule="exact" w:before="0"/>
                                <w:ind w:left="0" w:right="0" w:firstLine="0"/>
                                <w:jc w:val="left"/>
                                <w:rPr>
                                  <w:sz w:val="18"/>
                                </w:rPr>
                              </w:pPr>
                              <w:r>
                                <w:rPr>
                                  <w:color w:val="636466"/>
                                  <w:spacing w:val="-7"/>
                                  <w:sz w:val="18"/>
                                </w:rPr>
                                <w:t>24%</w:t>
                              </w:r>
                            </w:p>
                          </w:txbxContent>
                        </wps:txbx>
                        <wps:bodyPr wrap="square" lIns="0" tIns="0" rIns="0" bIns="0" rtlCol="0">
                          <a:noAutofit/>
                        </wps:bodyPr>
                      </wps:wsp>
                    </wpg:wgp>
                  </a:graphicData>
                </a:graphic>
              </wp:anchor>
            </w:drawing>
          </mc:Choice>
          <mc:Fallback>
            <w:pict>
              <v:group style="position:absolute;margin-left:73.136497pt;margin-top:-122.222626pt;width:468.5pt;height:118.1pt;mso-position-horizontal-relative:page;mso-position-vertical-relative:paragraph;z-index:15850496" id="docshapegroup879" coordorigin="1463,-2444" coordsize="9370,2362">
                <v:shape style="position:absolute;left:2122;top:-2444;width:701;height:254" type="#_x0000_t75" id="docshape880" stroked="false">
                  <v:imagedata r:id="rId161" o:title=""/>
                </v:shape>
                <v:shape style="position:absolute;left:2122;top:-2350;width:701;height:321" type="#_x0000_t75" id="docshape881" stroked="false">
                  <v:imagedata r:id="rId162" o:title=""/>
                </v:shape>
                <v:shape style="position:absolute;left:2122;top:-2190;width:701;height:320" type="#_x0000_t75" id="docshape882" stroked="false">
                  <v:imagedata r:id="rId163" o:title=""/>
                </v:shape>
                <v:shape style="position:absolute;left:5242;top:-2104;width:701;height:74" type="#_x0000_t75" id="docshape883" stroked="false">
                  <v:imagedata r:id="rId164" o:title=""/>
                </v:shape>
                <v:shape style="position:absolute;left:2122;top:-2030;width:701;height:320" type="#_x0000_t75" id="docshape884" stroked="false">
                  <v:imagedata r:id="rId66" o:title=""/>
                </v:shape>
                <v:shape style="position:absolute;left:5242;top:-2030;width:700;height:160" type="#_x0000_t75" id="docshape885" stroked="false">
                  <v:imagedata r:id="rId65" o:title=""/>
                </v:shape>
                <v:shape style="position:absolute;left:2122;top:-1870;width:701;height:321" type="#_x0000_t75" id="docshape886" stroked="false">
                  <v:imagedata r:id="rId67" o:title=""/>
                </v:shape>
                <v:shape style="position:absolute;left:5242;top:-1870;width:700;height:160" type="#_x0000_t75" id="docshape887" stroked="false">
                  <v:imagedata r:id="rId65" o:title=""/>
                </v:shape>
                <v:shape style="position:absolute;left:2122;top:-1710;width:701;height:321" type="#_x0000_t75" id="docshape888" stroked="false">
                  <v:imagedata r:id="rId70" o:title=""/>
                </v:shape>
                <v:shape style="position:absolute;left:5242;top:-1710;width:700;height:161" type="#_x0000_t75" id="docshape889" stroked="false">
                  <v:imagedata r:id="rId65" o:title=""/>
                </v:shape>
                <v:shape style="position:absolute;left:2122;top:-1550;width:701;height:320" type="#_x0000_t75" id="docshape890" stroked="false">
                  <v:imagedata r:id="rId66" o:title=""/>
                </v:shape>
                <v:shape style="position:absolute;left:5242;top:-1550;width:700;height:160" type="#_x0000_t75" id="docshape891" stroked="false">
                  <v:imagedata r:id="rId65" o:title=""/>
                </v:shape>
                <v:shape style="position:absolute;left:2122;top:-1390;width:701;height:320" type="#_x0000_t75" id="docshape892" stroked="false">
                  <v:imagedata r:id="rId66" o:title=""/>
                </v:shape>
                <v:shape style="position:absolute;left:5242;top:-1390;width:700;height:160" type="#_x0000_t75" id="docshape893" stroked="false">
                  <v:imagedata r:id="rId65" o:title=""/>
                </v:shape>
                <v:shape style="position:absolute;left:8362;top:-1344;width:700;height:274" type="#_x0000_t75" id="docshape894" stroked="false">
                  <v:imagedata r:id="rId165" o:title=""/>
                </v:shape>
                <v:shape style="position:absolute;left:2122;top:-1230;width:701;height:320" type="#_x0000_t75" id="docshape895" stroked="false">
                  <v:imagedata r:id="rId66" o:title=""/>
                </v:shape>
                <v:shape style="position:absolute;left:5242;top:-1230;width:700;height:160" type="#_x0000_t75" id="docshape896" stroked="false">
                  <v:imagedata r:id="rId65" o:title=""/>
                </v:shape>
                <v:shape style="position:absolute;left:8362;top:-1230;width:700;height:320" type="#_x0000_t75" id="docshape897" stroked="false">
                  <v:imagedata r:id="rId66" o:title=""/>
                </v:shape>
                <v:shape style="position:absolute;left:2122;top:-1070;width:701;height:320" type="#_x0000_t75" id="docshape898" stroked="false">
                  <v:imagedata r:id="rId66" o:title=""/>
                </v:shape>
                <v:shape style="position:absolute;left:5242;top:-1070;width:700;height:160" type="#_x0000_t75" id="docshape899" stroked="false">
                  <v:imagedata r:id="rId65" o:title=""/>
                </v:shape>
                <v:shape style="position:absolute;left:8362;top:-1070;width:700;height:320" type="#_x0000_t75" id="docshape900" stroked="false">
                  <v:imagedata r:id="rId66" o:title=""/>
                </v:shape>
                <v:shape style="position:absolute;left:2122;top:-910;width:701;height:321" type="#_x0000_t75" id="docshape901" stroked="false">
                  <v:imagedata r:id="rId67" o:title=""/>
                </v:shape>
                <v:shape style="position:absolute;left:5242;top:-910;width:700;height:160" type="#_x0000_t75" id="docshape902" stroked="false">
                  <v:imagedata r:id="rId65" o:title=""/>
                </v:shape>
                <v:shape style="position:absolute;left:8362;top:-910;width:700;height:321" type="#_x0000_t75" id="docshape903" stroked="false">
                  <v:imagedata r:id="rId67" o:title=""/>
                </v:shape>
                <v:shape style="position:absolute;left:2122;top:-750;width:701;height:321" type="#_x0000_t75" id="docshape904" stroked="false">
                  <v:imagedata r:id="rId166" o:title=""/>
                </v:shape>
                <v:shape style="position:absolute;left:5242;top:-750;width:700;height:161" type="#_x0000_t75" id="docshape905" stroked="false">
                  <v:imagedata r:id="rId167" o:title=""/>
                </v:shape>
                <v:shape style="position:absolute;left:8362;top:-750;width:700;height:321" type="#_x0000_t75" id="docshape906" stroked="false">
                  <v:imagedata r:id="rId70" o:title=""/>
                </v:shape>
                <v:shape style="position:absolute;left:2122;top:-590;width:701;height:320" type="#_x0000_t75" id="docshape907" stroked="false">
                  <v:imagedata r:id="rId66" o:title=""/>
                </v:shape>
                <v:shape style="position:absolute;left:5242;top:-590;width:700;height:160" type="#_x0000_t75" id="docshape908" stroked="false">
                  <v:imagedata r:id="rId65" o:title=""/>
                </v:shape>
                <v:shape style="position:absolute;left:8362;top:-590;width:700;height:320" type="#_x0000_t75" id="docshape909" stroked="false">
                  <v:imagedata r:id="rId66" o:title=""/>
                </v:shape>
                <v:shape style="position:absolute;left:2122;top:-430;width:701;height:320" type="#_x0000_t75" id="docshape910" stroked="false">
                  <v:imagedata r:id="rId66" o:title=""/>
                </v:shape>
                <v:shape style="position:absolute;left:5242;top:-430;width:700;height:160" type="#_x0000_t75" id="docshape911" stroked="false">
                  <v:imagedata r:id="rId65" o:title=""/>
                </v:shape>
                <v:shape style="position:absolute;left:8362;top:-430;width:700;height:320" type="#_x0000_t75" id="docshape912" stroked="false">
                  <v:imagedata r:id="rId66" o:title=""/>
                </v:shape>
                <v:shape style="position:absolute;left:2122;top:-270;width:701;height:187" type="#_x0000_t75" id="docshape913" stroked="false">
                  <v:imagedata r:id="rId168" o:title=""/>
                </v:shape>
                <v:shape style="position:absolute;left:5242;top:-270;width:701;height:187" type="#_x0000_t75" id="docshape914" stroked="false">
                  <v:imagedata r:id="rId169" o:title=""/>
                </v:shape>
                <v:shape style="position:absolute;left:8362;top:-270;width:701;height:187" type="#_x0000_t75" id="docshape915" stroked="false">
                  <v:imagedata r:id="rId170" o:title=""/>
                </v:shape>
                <v:shape style="position:absolute;left:3002;top:-2404;width:6940;height:2320" id="docshape916" coordorigin="3003,-2403" coordsize="6940,2320" path="m3703,-2403l3003,-2403,3003,-83,3703,-83,3703,-2403xm6823,-2063l6123,-2063,6123,-83,6823,-83,6823,-2063xm9943,-1423l9243,-1423,9243,-83,9943,-83,9943,-1423xe" filled="true" fillcolor="#0f5d86" stroked="false">
                  <v:path arrowok="t"/>
                  <v:fill type="solid"/>
                </v:shape>
                <v:shape style="position:absolute;left:1462;top:-2445;width:9370;height:2362" id="docshape917" coordorigin="1463,-2444" coordsize="9370,2362" path="m1483,-2444l1463,-2444,1463,-90,1464,-88,1468,-84,1470,-83,10833,-83,10833,-103,1483,-103,1483,-2444xe" filled="true" fillcolor="#bcbec0" stroked="false">
                  <v:path arrowok="t"/>
                  <v:fill type="solid"/>
                </v:shape>
                <v:shape style="position:absolute;left:5418;top:-2412;width:354;height:214" type="#_x0000_t202" id="docshape918" filled="false" stroked="false">
                  <v:textbox inset="0,0,0,0">
                    <w:txbxContent>
                      <w:p>
                        <w:pPr>
                          <w:spacing w:line="207" w:lineRule="exact" w:before="0"/>
                          <w:ind w:left="0" w:right="0" w:firstLine="0"/>
                          <w:jc w:val="left"/>
                          <w:rPr>
                            <w:sz w:val="18"/>
                          </w:rPr>
                        </w:pPr>
                        <w:r>
                          <w:rPr>
                            <w:color w:val="636466"/>
                            <w:spacing w:val="-7"/>
                            <w:sz w:val="18"/>
                          </w:rPr>
                          <w:t>36%</w:t>
                        </w:r>
                      </w:p>
                    </w:txbxContent>
                  </v:textbox>
                  <w10:wrap type="none"/>
                </v:shape>
                <v:shape style="position:absolute;left:6266;top:-2352;width:354;height:214" type="#_x0000_t202" id="docshape919" filled="false" stroked="false">
                  <v:textbox inset="0,0,0,0">
                    <w:txbxContent>
                      <w:p>
                        <w:pPr>
                          <w:spacing w:line="207" w:lineRule="exact" w:before="0"/>
                          <w:ind w:left="0" w:right="0" w:firstLine="0"/>
                          <w:jc w:val="left"/>
                          <w:rPr>
                            <w:sz w:val="18"/>
                          </w:rPr>
                        </w:pPr>
                        <w:r>
                          <w:rPr>
                            <w:color w:val="636466"/>
                            <w:spacing w:val="-7"/>
                            <w:sz w:val="18"/>
                          </w:rPr>
                          <w:t>35%</w:t>
                        </w:r>
                      </w:p>
                    </w:txbxContent>
                  </v:textbox>
                  <w10:wrap type="none"/>
                </v:shape>
                <v:shape style="position:absolute;left:8556;top:-1632;width:354;height:214" type="#_x0000_t202" id="docshape920" filled="false" stroked="false">
                  <v:textbox inset="0,0,0,0">
                    <w:txbxContent>
                      <w:p>
                        <w:pPr>
                          <w:spacing w:line="207" w:lineRule="exact" w:before="0"/>
                          <w:ind w:left="0" w:right="0" w:firstLine="0"/>
                          <w:jc w:val="left"/>
                          <w:rPr>
                            <w:sz w:val="18"/>
                          </w:rPr>
                        </w:pPr>
                        <w:r>
                          <w:rPr>
                            <w:color w:val="636466"/>
                            <w:spacing w:val="-7"/>
                            <w:sz w:val="18"/>
                          </w:rPr>
                          <w:t>22%</w:t>
                        </w:r>
                      </w:p>
                    </w:txbxContent>
                  </v:textbox>
                  <w10:wrap type="none"/>
                </v:shape>
                <v:shape style="position:absolute;left:9384;top:-1732;width:354;height:214" type="#_x0000_t202" id="docshape921" filled="false" stroked="false">
                  <v:textbox inset="0,0,0,0">
                    <w:txbxContent>
                      <w:p>
                        <w:pPr>
                          <w:spacing w:line="207" w:lineRule="exact" w:before="0"/>
                          <w:ind w:left="0" w:right="0" w:firstLine="0"/>
                          <w:jc w:val="left"/>
                          <w:rPr>
                            <w:sz w:val="18"/>
                          </w:rPr>
                        </w:pPr>
                        <w:r>
                          <w:rPr>
                            <w:color w:val="636466"/>
                            <w:spacing w:val="-7"/>
                            <w:sz w:val="18"/>
                          </w:rPr>
                          <w:t>24%</w:t>
                        </w:r>
                      </w:p>
                    </w:txbxContent>
                  </v:textbox>
                  <w10:wrap type="none"/>
                </v:shape>
                <w10:wrap type="none"/>
              </v:group>
            </w:pict>
          </mc:Fallback>
        </mc:AlternateContent>
      </w:r>
      <w:r>
        <w:rPr>
          <w:color w:val="636466"/>
          <w:sz w:val="18"/>
        </w:rPr>
        <w:t>High School</w:t>
      </w:r>
      <w:r>
        <w:rPr>
          <w:color w:val="636466"/>
          <w:spacing w:val="1"/>
          <w:sz w:val="18"/>
        </w:rPr>
        <w:t> </w:t>
      </w:r>
      <w:r>
        <w:rPr>
          <w:color w:val="636466"/>
          <w:sz w:val="18"/>
        </w:rPr>
        <w:t>Degree or</w:t>
      </w:r>
      <w:r>
        <w:rPr>
          <w:color w:val="636466"/>
          <w:spacing w:val="1"/>
          <w:sz w:val="18"/>
        </w:rPr>
        <w:t> </w:t>
      </w:r>
      <w:r>
        <w:rPr>
          <w:color w:val="636466"/>
          <w:spacing w:val="-2"/>
          <w:sz w:val="18"/>
        </w:rPr>
        <w:t>Equivalent</w:t>
      </w:r>
      <w:r>
        <w:rPr>
          <w:color w:val="636466"/>
          <w:sz w:val="18"/>
        </w:rPr>
        <w:tab/>
        <w:t>Some</w:t>
      </w:r>
      <w:r>
        <w:rPr>
          <w:color w:val="636466"/>
          <w:spacing w:val="-2"/>
          <w:sz w:val="18"/>
        </w:rPr>
        <w:t> </w:t>
      </w:r>
      <w:r>
        <w:rPr>
          <w:color w:val="636466"/>
          <w:sz w:val="18"/>
        </w:rPr>
        <w:t>College</w:t>
      </w:r>
      <w:r>
        <w:rPr>
          <w:color w:val="636466"/>
          <w:spacing w:val="-2"/>
          <w:sz w:val="18"/>
        </w:rPr>
        <w:t> Experience</w:t>
      </w:r>
      <w:r>
        <w:rPr>
          <w:color w:val="636466"/>
          <w:sz w:val="18"/>
        </w:rPr>
        <w:tab/>
        <w:t>Bachelor's</w:t>
      </w:r>
      <w:r>
        <w:rPr>
          <w:color w:val="636466"/>
          <w:spacing w:val="-1"/>
          <w:sz w:val="18"/>
        </w:rPr>
        <w:t> </w:t>
      </w:r>
      <w:r>
        <w:rPr>
          <w:color w:val="636466"/>
          <w:sz w:val="18"/>
        </w:rPr>
        <w:t>Degree</w:t>
      </w:r>
      <w:r>
        <w:rPr>
          <w:color w:val="636466"/>
          <w:spacing w:val="-1"/>
          <w:sz w:val="18"/>
        </w:rPr>
        <w:t> </w:t>
      </w:r>
      <w:r>
        <w:rPr>
          <w:color w:val="636466"/>
          <w:sz w:val="18"/>
        </w:rPr>
        <w:t>or</w:t>
      </w:r>
      <w:r>
        <w:rPr>
          <w:color w:val="636466"/>
          <w:spacing w:val="-1"/>
          <w:sz w:val="18"/>
        </w:rPr>
        <w:t> </w:t>
      </w:r>
      <w:r>
        <w:rPr>
          <w:color w:val="636466"/>
          <w:spacing w:val="-2"/>
          <w:sz w:val="18"/>
        </w:rPr>
        <w:t>Higher</w:t>
      </w:r>
    </w:p>
    <w:p>
      <w:pPr>
        <w:spacing w:before="72"/>
        <w:ind w:left="7955" w:right="0" w:firstLine="0"/>
        <w:jc w:val="left"/>
        <w:rPr>
          <w:sz w:val="16"/>
        </w:rPr>
      </w:pPr>
      <w:r>
        <w:rPr>
          <w:color w:val="989A9C"/>
          <w:spacing w:val="-10"/>
          <w:sz w:val="16"/>
        </w:rPr>
        <w:t>-</w:t>
      </w:r>
    </w:p>
    <w:p>
      <w:pPr>
        <w:spacing w:before="76"/>
        <w:ind w:left="1531" w:right="0" w:firstLine="0"/>
        <w:jc w:val="left"/>
        <w:rPr>
          <w:sz w:val="16"/>
        </w:rPr>
      </w:pPr>
      <w:r>
        <w:rPr>
          <w:color w:val="105C84"/>
          <w:spacing w:val="-2"/>
          <w:sz w:val="16"/>
        </w:rPr>
        <w:t>Data</w:t>
      </w:r>
      <w:r>
        <w:rPr>
          <w:color w:val="105C84"/>
          <w:spacing w:val="-8"/>
          <w:sz w:val="16"/>
        </w:rPr>
        <w:t> </w:t>
      </w:r>
      <w:r>
        <w:rPr>
          <w:color w:val="105C84"/>
          <w:spacing w:val="-2"/>
          <w:sz w:val="16"/>
        </w:rPr>
        <w:t>Source:</w:t>
      </w:r>
      <w:r>
        <w:rPr>
          <w:color w:val="105C84"/>
          <w:spacing w:val="-8"/>
          <w:sz w:val="16"/>
        </w:rPr>
        <w:t> </w:t>
      </w:r>
      <w:r>
        <w:rPr>
          <w:color w:val="105C84"/>
          <w:spacing w:val="-2"/>
          <w:sz w:val="16"/>
        </w:rPr>
        <w:t>U.S.</w:t>
      </w:r>
      <w:r>
        <w:rPr>
          <w:color w:val="105C84"/>
          <w:spacing w:val="-8"/>
          <w:sz w:val="16"/>
        </w:rPr>
        <w:t> </w:t>
      </w:r>
      <w:r>
        <w:rPr>
          <w:color w:val="105C84"/>
          <w:spacing w:val="-2"/>
          <w:sz w:val="16"/>
        </w:rPr>
        <w:t>Census</w:t>
      </w:r>
      <w:r>
        <w:rPr>
          <w:color w:val="105C84"/>
          <w:spacing w:val="-8"/>
          <w:sz w:val="16"/>
        </w:rPr>
        <w:t> </w:t>
      </w:r>
      <w:r>
        <w:rPr>
          <w:color w:val="105C84"/>
          <w:spacing w:val="-2"/>
          <w:sz w:val="16"/>
        </w:rPr>
        <w:t>Bureau</w:t>
      </w:r>
      <w:r>
        <w:rPr>
          <w:color w:val="105C84"/>
          <w:spacing w:val="-8"/>
          <w:sz w:val="16"/>
        </w:rPr>
        <w:t> </w:t>
      </w:r>
      <w:r>
        <w:rPr>
          <w:color w:val="105C84"/>
          <w:spacing w:val="-2"/>
          <w:sz w:val="16"/>
        </w:rPr>
        <w:t>American</w:t>
      </w:r>
      <w:r>
        <w:rPr>
          <w:color w:val="105C84"/>
          <w:spacing w:val="-8"/>
          <w:sz w:val="16"/>
        </w:rPr>
        <w:t> </w:t>
      </w:r>
      <w:r>
        <w:rPr>
          <w:color w:val="105C84"/>
          <w:spacing w:val="-2"/>
          <w:sz w:val="16"/>
        </w:rPr>
        <w:t>Communtiy</w:t>
      </w:r>
      <w:r>
        <w:rPr>
          <w:color w:val="105C84"/>
          <w:spacing w:val="-8"/>
          <w:sz w:val="16"/>
        </w:rPr>
        <w:t> </w:t>
      </w:r>
      <w:r>
        <w:rPr>
          <w:color w:val="105C84"/>
          <w:spacing w:val="-2"/>
          <w:sz w:val="16"/>
        </w:rPr>
        <w:t>Survey</w:t>
      </w:r>
      <w:r>
        <w:rPr>
          <w:color w:val="105C84"/>
          <w:spacing w:val="-8"/>
          <w:sz w:val="16"/>
        </w:rPr>
        <w:t> </w:t>
      </w:r>
      <w:r>
        <w:rPr>
          <w:color w:val="105C84"/>
          <w:spacing w:val="-2"/>
          <w:sz w:val="16"/>
        </w:rPr>
        <w:t>5-Year</w:t>
      </w:r>
      <w:r>
        <w:rPr>
          <w:color w:val="105C84"/>
          <w:spacing w:val="-8"/>
          <w:sz w:val="16"/>
        </w:rPr>
        <w:t> </w:t>
      </w:r>
      <w:r>
        <w:rPr>
          <w:color w:val="105C84"/>
          <w:spacing w:val="-2"/>
          <w:sz w:val="16"/>
        </w:rPr>
        <w:t>Estimates</w:t>
      </w:r>
    </w:p>
    <w:p>
      <w:pPr>
        <w:pStyle w:val="BodyText"/>
        <w:rPr>
          <w:sz w:val="16"/>
        </w:rPr>
      </w:pPr>
    </w:p>
    <w:p>
      <w:pPr>
        <w:pStyle w:val="BodyText"/>
        <w:rPr>
          <w:sz w:val="16"/>
        </w:rPr>
      </w:pPr>
    </w:p>
    <w:p>
      <w:pPr>
        <w:pStyle w:val="BodyText"/>
        <w:rPr>
          <w:sz w:val="16"/>
        </w:rPr>
      </w:pPr>
    </w:p>
    <w:p>
      <w:pPr>
        <w:pStyle w:val="BodyText"/>
        <w:spacing w:before="109"/>
        <w:rPr>
          <w:sz w:val="16"/>
        </w:rPr>
      </w:pPr>
    </w:p>
    <w:p>
      <w:pPr>
        <w:pStyle w:val="BodyText"/>
        <w:spacing w:line="247" w:lineRule="auto"/>
        <w:ind w:left="1080"/>
      </w:pPr>
      <w:r>
        <w:rPr>
          <w:color w:val="105C84"/>
        </w:rPr>
        <w:t>Data below show the trend in uninsured rates over the past 5 years compared to the eight-county region and New York State. The percent of the Seneca County population that is uninsured has decreased 25% since 2012 (Figure 36).</w:t>
      </w:r>
    </w:p>
    <w:p>
      <w:pPr>
        <w:pStyle w:val="BodyText"/>
        <w:spacing w:before="18"/>
      </w:pPr>
    </w:p>
    <w:p>
      <w:pPr>
        <w:pStyle w:val="Heading6"/>
      </w:pPr>
      <w:r>
        <w:rPr>
          <w:color w:val="105C84"/>
          <w:spacing w:val="-2"/>
        </w:rPr>
        <w:t>FIGURE</w:t>
      </w:r>
      <w:r>
        <w:rPr>
          <w:color w:val="105C84"/>
          <w:spacing w:val="-10"/>
        </w:rPr>
        <w:t> </w:t>
      </w:r>
      <w:r>
        <w:rPr>
          <w:color w:val="105C84"/>
          <w:spacing w:val="-2"/>
        </w:rPr>
        <w:t>36:</w:t>
      </w:r>
      <w:r>
        <w:rPr>
          <w:color w:val="105C84"/>
          <w:spacing w:val="-10"/>
        </w:rPr>
        <w:t> </w:t>
      </w:r>
      <w:r>
        <w:rPr>
          <w:color w:val="105C84"/>
          <w:spacing w:val="-2"/>
        </w:rPr>
        <w:t>Percent</w:t>
      </w:r>
      <w:r>
        <w:rPr>
          <w:color w:val="105C84"/>
          <w:spacing w:val="-10"/>
        </w:rPr>
        <w:t> </w:t>
      </w:r>
      <w:r>
        <w:rPr>
          <w:color w:val="105C84"/>
          <w:spacing w:val="-2"/>
        </w:rPr>
        <w:t>of</w:t>
      </w:r>
      <w:r>
        <w:rPr>
          <w:color w:val="105C84"/>
          <w:spacing w:val="-10"/>
        </w:rPr>
        <w:t> </w:t>
      </w:r>
      <w:r>
        <w:rPr>
          <w:color w:val="105C84"/>
          <w:spacing w:val="-2"/>
        </w:rPr>
        <w:t>population</w:t>
      </w:r>
      <w:r>
        <w:rPr>
          <w:color w:val="105C84"/>
          <w:spacing w:val="-10"/>
        </w:rPr>
        <w:t> </w:t>
      </w:r>
      <w:r>
        <w:rPr>
          <w:color w:val="105C84"/>
          <w:spacing w:val="-2"/>
        </w:rPr>
        <w:t>that</w:t>
      </w:r>
      <w:r>
        <w:rPr>
          <w:color w:val="105C84"/>
          <w:spacing w:val="-10"/>
        </w:rPr>
        <w:t> </w:t>
      </w:r>
      <w:r>
        <w:rPr>
          <w:color w:val="105C84"/>
          <w:spacing w:val="-2"/>
        </w:rPr>
        <w:t>is</w:t>
      </w:r>
      <w:r>
        <w:rPr>
          <w:color w:val="105C84"/>
          <w:spacing w:val="-9"/>
        </w:rPr>
        <w:t> </w:t>
      </w:r>
      <w:r>
        <w:rPr>
          <w:color w:val="105C84"/>
          <w:spacing w:val="-2"/>
        </w:rPr>
        <w:t>uninsured</w:t>
      </w:r>
    </w:p>
    <w:p>
      <w:pPr>
        <w:tabs>
          <w:tab w:pos="5386" w:val="left" w:leader="none"/>
          <w:tab w:pos="7208" w:val="left" w:leader="none"/>
        </w:tabs>
        <w:spacing w:before="286"/>
        <w:ind w:left="3143" w:right="0" w:firstLine="0"/>
        <w:jc w:val="left"/>
        <w:rPr>
          <w:sz w:val="18"/>
        </w:rPr>
      </w:pPr>
      <w:r>
        <w:rPr>
          <w:sz w:val="18"/>
        </w:rPr>
        <mc:AlternateContent>
          <mc:Choice Requires="wps">
            <w:drawing>
              <wp:anchor distT="0" distB="0" distL="0" distR="0" allowOverlap="1" layoutInCell="1" locked="0" behindDoc="0" simplePos="0" relativeHeight="15851520">
                <wp:simplePos x="0" y="0"/>
                <wp:positionH relativeFrom="page">
                  <wp:posOffset>1643722</wp:posOffset>
                </wp:positionH>
                <wp:positionV relativeFrom="paragraph">
                  <wp:posOffset>250600</wp:posOffset>
                </wp:positionV>
                <wp:extent cx="317500" cy="1270"/>
                <wp:effectExtent l="0" t="0" r="0" b="0"/>
                <wp:wrapNone/>
                <wp:docPr id="1126" name="Graphic 1126"/>
                <wp:cNvGraphicFramePr>
                  <a:graphicFrameLocks/>
                </wp:cNvGraphicFramePr>
                <a:graphic>
                  <a:graphicData uri="http://schemas.microsoft.com/office/word/2010/wordprocessingShape">
                    <wps:wsp>
                      <wps:cNvPr id="1126" name="Graphic 1126"/>
                      <wps:cNvSpPr/>
                      <wps:spPr>
                        <a:xfrm>
                          <a:off x="0" y="0"/>
                          <a:ext cx="317500" cy="1270"/>
                        </a:xfrm>
                        <a:custGeom>
                          <a:avLst/>
                          <a:gdLst/>
                          <a:ahLst/>
                          <a:cxnLst/>
                          <a:rect l="l" t="t" r="r" b="b"/>
                          <a:pathLst>
                            <a:path w="317500" h="0">
                              <a:moveTo>
                                <a:pt x="0" y="0"/>
                              </a:moveTo>
                              <a:lnTo>
                                <a:pt x="317500" y="0"/>
                              </a:lnTo>
                            </a:path>
                          </a:pathLst>
                        </a:custGeom>
                        <a:ln w="25400">
                          <a:solidFill>
                            <a:srgbClr val="105C84"/>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51520" from="129.427002pt,19.732306pt" to="154.427002pt,19.732306pt" stroked="true" strokeweight="2pt" strokecolor="#105c84">
                <v:stroke dashstyle="solid"/>
                <w10:wrap type="none"/>
              </v:line>
            </w:pict>
          </mc:Fallback>
        </mc:AlternateContent>
      </w:r>
      <w:r>
        <w:rPr>
          <w:sz w:val="18"/>
        </w:rPr>
        <mc:AlternateContent>
          <mc:Choice Requires="wps">
            <w:drawing>
              <wp:anchor distT="0" distB="0" distL="0" distR="0" allowOverlap="1" layoutInCell="1" locked="0" behindDoc="1" simplePos="0" relativeHeight="475078656">
                <wp:simplePos x="0" y="0"/>
                <wp:positionH relativeFrom="page">
                  <wp:posOffset>3066122</wp:posOffset>
                </wp:positionH>
                <wp:positionV relativeFrom="paragraph">
                  <wp:posOffset>250600</wp:posOffset>
                </wp:positionV>
                <wp:extent cx="317500" cy="1270"/>
                <wp:effectExtent l="0" t="0" r="0" b="0"/>
                <wp:wrapNone/>
                <wp:docPr id="1127" name="Graphic 1127"/>
                <wp:cNvGraphicFramePr>
                  <a:graphicFrameLocks/>
                </wp:cNvGraphicFramePr>
                <a:graphic>
                  <a:graphicData uri="http://schemas.microsoft.com/office/word/2010/wordprocessingShape">
                    <wps:wsp>
                      <wps:cNvPr id="1127" name="Graphic 1127"/>
                      <wps:cNvSpPr/>
                      <wps:spPr>
                        <a:xfrm>
                          <a:off x="0" y="0"/>
                          <a:ext cx="317500" cy="1270"/>
                        </a:xfrm>
                        <a:custGeom>
                          <a:avLst/>
                          <a:gdLst/>
                          <a:ahLst/>
                          <a:cxnLst/>
                          <a:rect l="l" t="t" r="r" b="b"/>
                          <a:pathLst>
                            <a:path w="317500" h="0">
                              <a:moveTo>
                                <a:pt x="0" y="0"/>
                              </a:moveTo>
                              <a:lnTo>
                                <a:pt x="317500" y="0"/>
                              </a:lnTo>
                            </a:path>
                          </a:pathLst>
                        </a:custGeom>
                        <a:ln w="25400">
                          <a:solidFill>
                            <a:srgbClr val="82BF6A"/>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8237824" from="241.427002pt,19.732306pt" to="266.427002pt,19.732306pt" stroked="true" strokeweight="2pt" strokecolor="#82bf6a">
                <v:stroke dashstyle="solid"/>
                <w10:wrap type="none"/>
              </v:line>
            </w:pict>
          </mc:Fallback>
        </mc:AlternateContent>
      </w:r>
      <w:r>
        <w:rPr>
          <w:color w:val="636466"/>
          <w:spacing w:val="-5"/>
          <w:sz w:val="18"/>
        </w:rPr>
        <w:t>Seneca </w:t>
      </w:r>
      <w:r>
        <w:rPr>
          <w:color w:val="636466"/>
          <w:spacing w:val="-2"/>
          <w:sz w:val="18"/>
        </w:rPr>
        <w:t>County</w:t>
      </w:r>
      <w:r>
        <w:rPr>
          <w:color w:val="636466"/>
          <w:sz w:val="18"/>
        </w:rPr>
        <w:tab/>
        <w:t>8-County</w:t>
      </w:r>
      <w:r>
        <w:rPr>
          <w:color w:val="636466"/>
          <w:spacing w:val="-4"/>
          <w:sz w:val="18"/>
        </w:rPr>
        <w:t> </w:t>
      </w:r>
      <w:r>
        <w:rPr>
          <w:color w:val="636466"/>
          <w:spacing w:val="-2"/>
          <w:sz w:val="18"/>
        </w:rPr>
        <w:t>Region</w:t>
      </w:r>
      <w:r>
        <w:rPr>
          <w:color w:val="636466"/>
          <w:sz w:val="18"/>
        </w:rPr>
        <w:tab/>
      </w:r>
      <w:r>
        <w:rPr>
          <w:color w:val="636466"/>
          <w:position w:val="4"/>
          <w:sz w:val="18"/>
        </w:rPr>
        <w:drawing>
          <wp:inline distT="0" distB="0" distL="0" distR="0">
            <wp:extent cx="279400" cy="25400"/>
            <wp:effectExtent l="0" t="0" r="0" b="0"/>
            <wp:docPr id="1128" name="Image 1128"/>
            <wp:cNvGraphicFramePr>
              <a:graphicFrameLocks/>
            </wp:cNvGraphicFramePr>
            <a:graphic>
              <a:graphicData uri="http://schemas.openxmlformats.org/drawingml/2006/picture">
                <pic:pic>
                  <pic:nvPicPr>
                    <pic:cNvPr id="1128" name="Image 1128"/>
                    <pic:cNvPicPr/>
                  </pic:nvPicPr>
                  <pic:blipFill>
                    <a:blip r:embed="rId171" cstate="print"/>
                    <a:stretch>
                      <a:fillRect/>
                    </a:stretch>
                  </pic:blipFill>
                  <pic:spPr>
                    <a:xfrm>
                      <a:off x="0" y="0"/>
                      <a:ext cx="279400" cy="25400"/>
                    </a:xfrm>
                    <a:prstGeom prst="rect">
                      <a:avLst/>
                    </a:prstGeom>
                  </pic:spPr>
                </pic:pic>
              </a:graphicData>
            </a:graphic>
          </wp:inline>
        </w:drawing>
      </w:r>
      <w:r>
        <w:rPr>
          <w:color w:val="636466"/>
          <w:position w:val="4"/>
          <w:sz w:val="18"/>
        </w:rPr>
      </w:r>
      <w:r>
        <w:rPr>
          <w:rFonts w:ascii="Times New Roman"/>
          <w:color w:val="636466"/>
          <w:spacing w:val="80"/>
          <w:sz w:val="18"/>
        </w:rPr>
        <w:t> </w:t>
      </w:r>
      <w:r>
        <w:rPr>
          <w:color w:val="636466"/>
          <w:sz w:val="18"/>
        </w:rPr>
        <w:t>NYS</w:t>
      </w:r>
    </w:p>
    <w:p>
      <w:pPr>
        <w:pStyle w:val="BodyText"/>
        <w:spacing w:before="43"/>
        <w:rPr>
          <w:sz w:val="18"/>
        </w:rPr>
      </w:pPr>
    </w:p>
    <w:p>
      <w:pPr>
        <w:spacing w:before="1"/>
        <w:ind w:left="1493" w:right="0" w:firstLine="0"/>
        <w:jc w:val="left"/>
        <w:rPr>
          <w:sz w:val="18"/>
        </w:rPr>
      </w:pPr>
      <w:r>
        <w:rPr>
          <w:sz w:val="18"/>
        </w:rPr>
        <mc:AlternateContent>
          <mc:Choice Requires="wps">
            <w:drawing>
              <wp:anchor distT="0" distB="0" distL="0" distR="0" allowOverlap="1" layoutInCell="1" locked="0" behindDoc="0" simplePos="0" relativeHeight="15851008">
                <wp:simplePos x="0" y="0"/>
                <wp:positionH relativeFrom="page">
                  <wp:posOffset>1225472</wp:posOffset>
                </wp:positionH>
                <wp:positionV relativeFrom="paragraph">
                  <wp:posOffset>31802</wp:posOffset>
                </wp:positionV>
                <wp:extent cx="4685030" cy="1486535"/>
                <wp:effectExtent l="0" t="0" r="0" b="0"/>
                <wp:wrapNone/>
                <wp:docPr id="1129" name="Group 1129"/>
                <wp:cNvGraphicFramePr>
                  <a:graphicFrameLocks/>
                </wp:cNvGraphicFramePr>
                <a:graphic>
                  <a:graphicData uri="http://schemas.microsoft.com/office/word/2010/wordprocessingGroup">
                    <wpg:wgp>
                      <wpg:cNvPr id="1129" name="Group 1129"/>
                      <wpg:cNvGrpSpPr/>
                      <wpg:grpSpPr>
                        <a:xfrm>
                          <a:off x="0" y="0"/>
                          <a:ext cx="4685030" cy="1486535"/>
                          <a:chExt cx="4685030" cy="1486535"/>
                        </a:xfrm>
                      </wpg:grpSpPr>
                      <wps:wsp>
                        <wps:cNvPr id="1130" name="Graphic 1130"/>
                        <wps:cNvSpPr/>
                        <wps:spPr>
                          <a:xfrm>
                            <a:off x="5499" y="5499"/>
                            <a:ext cx="4673600" cy="1475740"/>
                          </a:xfrm>
                          <a:custGeom>
                            <a:avLst/>
                            <a:gdLst/>
                            <a:ahLst/>
                            <a:cxnLst/>
                            <a:rect l="l" t="t" r="r" b="b"/>
                            <a:pathLst>
                              <a:path w="4673600" h="1475740">
                                <a:moveTo>
                                  <a:pt x="4673447" y="1475181"/>
                                </a:moveTo>
                                <a:lnTo>
                                  <a:pt x="0" y="1475181"/>
                                </a:lnTo>
                                <a:lnTo>
                                  <a:pt x="0" y="0"/>
                                </a:lnTo>
                              </a:path>
                            </a:pathLst>
                          </a:custGeom>
                          <a:ln w="10998">
                            <a:solidFill>
                              <a:srgbClr val="BCBEC0"/>
                            </a:solidFill>
                            <a:prstDash val="solid"/>
                          </a:ln>
                        </wps:spPr>
                        <wps:bodyPr wrap="square" lIns="0" tIns="0" rIns="0" bIns="0" rtlCol="0">
                          <a:prstTxWarp prst="textNoShape">
                            <a:avLst/>
                          </a:prstTxWarp>
                          <a:noAutofit/>
                        </wps:bodyPr>
                      </wps:wsp>
                      <wps:wsp>
                        <wps:cNvPr id="1131" name="Graphic 1131"/>
                        <wps:cNvSpPr/>
                        <wps:spPr>
                          <a:xfrm>
                            <a:off x="418250" y="304340"/>
                            <a:ext cx="4038600" cy="304800"/>
                          </a:xfrm>
                          <a:custGeom>
                            <a:avLst/>
                            <a:gdLst/>
                            <a:ahLst/>
                            <a:cxnLst/>
                            <a:rect l="l" t="t" r="r" b="b"/>
                            <a:pathLst>
                              <a:path w="4038600" h="304800">
                                <a:moveTo>
                                  <a:pt x="0" y="0"/>
                                </a:moveTo>
                                <a:lnTo>
                                  <a:pt x="800100" y="114300"/>
                                </a:lnTo>
                                <a:lnTo>
                                  <a:pt x="1612900" y="171450"/>
                                </a:lnTo>
                                <a:lnTo>
                                  <a:pt x="2425700" y="247650"/>
                                </a:lnTo>
                                <a:lnTo>
                                  <a:pt x="3225800" y="304800"/>
                                </a:lnTo>
                                <a:lnTo>
                                  <a:pt x="4038600" y="295275"/>
                                </a:lnTo>
                              </a:path>
                            </a:pathLst>
                          </a:custGeom>
                          <a:ln w="21996">
                            <a:solidFill>
                              <a:srgbClr val="105C84"/>
                            </a:solidFill>
                            <a:prstDash val="solid"/>
                          </a:ln>
                        </wps:spPr>
                        <wps:bodyPr wrap="square" lIns="0" tIns="0" rIns="0" bIns="0" rtlCol="0">
                          <a:prstTxWarp prst="textNoShape">
                            <a:avLst/>
                          </a:prstTxWarp>
                          <a:noAutofit/>
                        </wps:bodyPr>
                      </wps:wsp>
                      <wps:wsp>
                        <wps:cNvPr id="1132" name="Graphic 1132"/>
                        <wps:cNvSpPr/>
                        <wps:spPr>
                          <a:xfrm>
                            <a:off x="418250" y="580567"/>
                            <a:ext cx="4038600" cy="276225"/>
                          </a:xfrm>
                          <a:custGeom>
                            <a:avLst/>
                            <a:gdLst/>
                            <a:ahLst/>
                            <a:cxnLst/>
                            <a:rect l="l" t="t" r="r" b="b"/>
                            <a:pathLst>
                              <a:path w="4038600" h="276225">
                                <a:moveTo>
                                  <a:pt x="0" y="0"/>
                                </a:moveTo>
                                <a:lnTo>
                                  <a:pt x="800100" y="0"/>
                                </a:lnTo>
                                <a:lnTo>
                                  <a:pt x="1612900" y="95250"/>
                                </a:lnTo>
                                <a:lnTo>
                                  <a:pt x="2425700" y="180975"/>
                                </a:lnTo>
                                <a:lnTo>
                                  <a:pt x="3225800" y="180975"/>
                                </a:lnTo>
                                <a:lnTo>
                                  <a:pt x="4038600" y="276225"/>
                                </a:lnTo>
                              </a:path>
                            </a:pathLst>
                          </a:custGeom>
                          <a:ln w="21996">
                            <a:solidFill>
                              <a:srgbClr val="82BF6A"/>
                            </a:solidFill>
                            <a:prstDash val="solid"/>
                          </a:ln>
                        </wps:spPr>
                        <wps:bodyPr wrap="square" lIns="0" tIns="0" rIns="0" bIns="0" rtlCol="0">
                          <a:prstTxWarp prst="textNoShape">
                            <a:avLst/>
                          </a:prstTxWarp>
                          <a:noAutofit/>
                        </wps:bodyPr>
                      </wps:wsp>
                      <wps:wsp>
                        <wps:cNvPr id="1133" name="Graphic 1133"/>
                        <wps:cNvSpPr/>
                        <wps:spPr>
                          <a:xfrm>
                            <a:off x="405550" y="123365"/>
                            <a:ext cx="3979545" cy="372745"/>
                          </a:xfrm>
                          <a:custGeom>
                            <a:avLst/>
                            <a:gdLst/>
                            <a:ahLst/>
                            <a:cxnLst/>
                            <a:rect l="l" t="t" r="r" b="b"/>
                            <a:pathLst>
                              <a:path w="3979545" h="372745">
                                <a:moveTo>
                                  <a:pt x="95923" y="0"/>
                                </a:moveTo>
                                <a:lnTo>
                                  <a:pt x="5689" y="0"/>
                                </a:lnTo>
                                <a:lnTo>
                                  <a:pt x="0" y="4254"/>
                                </a:lnTo>
                                <a:lnTo>
                                  <a:pt x="0" y="14782"/>
                                </a:lnTo>
                                <a:lnTo>
                                  <a:pt x="5689" y="19050"/>
                                </a:lnTo>
                                <a:lnTo>
                                  <a:pt x="95923" y="19050"/>
                                </a:lnTo>
                                <a:lnTo>
                                  <a:pt x="101600" y="14782"/>
                                </a:lnTo>
                                <a:lnTo>
                                  <a:pt x="101600" y="4254"/>
                                </a:lnTo>
                                <a:lnTo>
                                  <a:pt x="95923" y="0"/>
                                </a:lnTo>
                                <a:close/>
                              </a:path>
                              <a:path w="3979545" h="372745">
                                <a:moveTo>
                                  <a:pt x="273723" y="0"/>
                                </a:moveTo>
                                <a:lnTo>
                                  <a:pt x="183489" y="0"/>
                                </a:lnTo>
                                <a:lnTo>
                                  <a:pt x="177800" y="4254"/>
                                </a:lnTo>
                                <a:lnTo>
                                  <a:pt x="177800" y="14782"/>
                                </a:lnTo>
                                <a:lnTo>
                                  <a:pt x="183489" y="19050"/>
                                </a:lnTo>
                                <a:lnTo>
                                  <a:pt x="273723" y="19050"/>
                                </a:lnTo>
                                <a:lnTo>
                                  <a:pt x="279400" y="14782"/>
                                </a:lnTo>
                                <a:lnTo>
                                  <a:pt x="279400" y="4254"/>
                                </a:lnTo>
                                <a:lnTo>
                                  <a:pt x="273723" y="0"/>
                                </a:lnTo>
                                <a:close/>
                              </a:path>
                              <a:path w="3979545" h="372745">
                                <a:moveTo>
                                  <a:pt x="451523" y="0"/>
                                </a:moveTo>
                                <a:lnTo>
                                  <a:pt x="361289" y="0"/>
                                </a:lnTo>
                                <a:lnTo>
                                  <a:pt x="355600" y="4254"/>
                                </a:lnTo>
                                <a:lnTo>
                                  <a:pt x="355600" y="14782"/>
                                </a:lnTo>
                                <a:lnTo>
                                  <a:pt x="361289" y="19050"/>
                                </a:lnTo>
                                <a:lnTo>
                                  <a:pt x="451523" y="19050"/>
                                </a:lnTo>
                                <a:lnTo>
                                  <a:pt x="457200" y="14782"/>
                                </a:lnTo>
                                <a:lnTo>
                                  <a:pt x="457200" y="4254"/>
                                </a:lnTo>
                                <a:lnTo>
                                  <a:pt x="451523" y="0"/>
                                </a:lnTo>
                                <a:close/>
                              </a:path>
                              <a:path w="3979545" h="372745">
                                <a:moveTo>
                                  <a:pt x="629323" y="0"/>
                                </a:moveTo>
                                <a:lnTo>
                                  <a:pt x="539089" y="0"/>
                                </a:lnTo>
                                <a:lnTo>
                                  <a:pt x="533400" y="4254"/>
                                </a:lnTo>
                                <a:lnTo>
                                  <a:pt x="533400" y="14782"/>
                                </a:lnTo>
                                <a:lnTo>
                                  <a:pt x="539089" y="19050"/>
                                </a:lnTo>
                                <a:lnTo>
                                  <a:pt x="629323" y="19050"/>
                                </a:lnTo>
                                <a:lnTo>
                                  <a:pt x="635000" y="14782"/>
                                </a:lnTo>
                                <a:lnTo>
                                  <a:pt x="635000" y="4254"/>
                                </a:lnTo>
                                <a:lnTo>
                                  <a:pt x="629323" y="0"/>
                                </a:lnTo>
                                <a:close/>
                              </a:path>
                              <a:path w="3979545" h="372745">
                                <a:moveTo>
                                  <a:pt x="807123" y="0"/>
                                </a:moveTo>
                                <a:lnTo>
                                  <a:pt x="716889" y="0"/>
                                </a:lnTo>
                                <a:lnTo>
                                  <a:pt x="711200" y="4254"/>
                                </a:lnTo>
                                <a:lnTo>
                                  <a:pt x="711200" y="14782"/>
                                </a:lnTo>
                                <a:lnTo>
                                  <a:pt x="716889" y="19050"/>
                                </a:lnTo>
                                <a:lnTo>
                                  <a:pt x="807123" y="19050"/>
                                </a:lnTo>
                                <a:lnTo>
                                  <a:pt x="812800" y="14782"/>
                                </a:lnTo>
                                <a:lnTo>
                                  <a:pt x="812800" y="4254"/>
                                </a:lnTo>
                                <a:lnTo>
                                  <a:pt x="807123" y="0"/>
                                </a:lnTo>
                                <a:close/>
                              </a:path>
                              <a:path w="3979545" h="372745">
                                <a:moveTo>
                                  <a:pt x="895667" y="9588"/>
                                </a:moveTo>
                                <a:lnTo>
                                  <a:pt x="889165" y="13144"/>
                                </a:lnTo>
                                <a:lnTo>
                                  <a:pt x="887006" y="23533"/>
                                </a:lnTo>
                                <a:lnTo>
                                  <a:pt x="891743" y="28409"/>
                                </a:lnTo>
                                <a:lnTo>
                                  <a:pt x="980897" y="38849"/>
                                </a:lnTo>
                                <a:lnTo>
                                  <a:pt x="987386" y="35293"/>
                                </a:lnTo>
                                <a:lnTo>
                                  <a:pt x="989545" y="24904"/>
                                </a:lnTo>
                                <a:lnTo>
                                  <a:pt x="984808" y="20027"/>
                                </a:lnTo>
                                <a:lnTo>
                                  <a:pt x="895667" y="9588"/>
                                </a:lnTo>
                                <a:close/>
                              </a:path>
                              <a:path w="3979545" h="372745">
                                <a:moveTo>
                                  <a:pt x="1071333" y="30175"/>
                                </a:moveTo>
                                <a:lnTo>
                                  <a:pt x="1064831" y="33731"/>
                                </a:lnTo>
                                <a:lnTo>
                                  <a:pt x="1062672" y="44132"/>
                                </a:lnTo>
                                <a:lnTo>
                                  <a:pt x="1067409" y="48996"/>
                                </a:lnTo>
                                <a:lnTo>
                                  <a:pt x="1156563" y="59448"/>
                                </a:lnTo>
                                <a:lnTo>
                                  <a:pt x="1163053" y="55880"/>
                                </a:lnTo>
                                <a:lnTo>
                                  <a:pt x="1165225" y="45491"/>
                                </a:lnTo>
                                <a:lnTo>
                                  <a:pt x="1160475" y="40614"/>
                                </a:lnTo>
                                <a:lnTo>
                                  <a:pt x="1071333" y="30175"/>
                                </a:lnTo>
                                <a:close/>
                              </a:path>
                              <a:path w="3979545" h="372745">
                                <a:moveTo>
                                  <a:pt x="1247000" y="50761"/>
                                </a:moveTo>
                                <a:lnTo>
                                  <a:pt x="1240510" y="54317"/>
                                </a:lnTo>
                                <a:lnTo>
                                  <a:pt x="1238338" y="64719"/>
                                </a:lnTo>
                                <a:lnTo>
                                  <a:pt x="1243088" y="69570"/>
                                </a:lnTo>
                                <a:lnTo>
                                  <a:pt x="1332230" y="80035"/>
                                </a:lnTo>
                                <a:lnTo>
                                  <a:pt x="1338719" y="76479"/>
                                </a:lnTo>
                                <a:lnTo>
                                  <a:pt x="1340891" y="66078"/>
                                </a:lnTo>
                                <a:lnTo>
                                  <a:pt x="1336154" y="61201"/>
                                </a:lnTo>
                                <a:lnTo>
                                  <a:pt x="1247000" y="50761"/>
                                </a:lnTo>
                                <a:close/>
                              </a:path>
                              <a:path w="3979545" h="372745">
                                <a:moveTo>
                                  <a:pt x="1422666" y="71348"/>
                                </a:moveTo>
                                <a:lnTo>
                                  <a:pt x="1416177" y="74891"/>
                                </a:lnTo>
                                <a:lnTo>
                                  <a:pt x="1414005" y="85305"/>
                                </a:lnTo>
                                <a:lnTo>
                                  <a:pt x="1418755" y="90170"/>
                                </a:lnTo>
                                <a:lnTo>
                                  <a:pt x="1507896" y="100622"/>
                                </a:lnTo>
                                <a:lnTo>
                                  <a:pt x="1514386" y="97066"/>
                                </a:lnTo>
                                <a:lnTo>
                                  <a:pt x="1516557" y="86664"/>
                                </a:lnTo>
                                <a:lnTo>
                                  <a:pt x="1511820" y="81788"/>
                                </a:lnTo>
                                <a:lnTo>
                                  <a:pt x="1422666" y="71348"/>
                                </a:lnTo>
                                <a:close/>
                              </a:path>
                              <a:path w="3979545" h="372745">
                                <a:moveTo>
                                  <a:pt x="1598333" y="91935"/>
                                </a:moveTo>
                                <a:lnTo>
                                  <a:pt x="1591843" y="95478"/>
                                </a:lnTo>
                                <a:lnTo>
                                  <a:pt x="1589684" y="105879"/>
                                </a:lnTo>
                                <a:lnTo>
                                  <a:pt x="1594421" y="110756"/>
                                </a:lnTo>
                                <a:lnTo>
                                  <a:pt x="1623631" y="114173"/>
                                </a:lnTo>
                                <a:lnTo>
                                  <a:pt x="1683893" y="120535"/>
                                </a:lnTo>
                                <a:lnTo>
                                  <a:pt x="1690319" y="116903"/>
                                </a:lnTo>
                                <a:lnTo>
                                  <a:pt x="1692262" y="106489"/>
                                </a:lnTo>
                                <a:lnTo>
                                  <a:pt x="1687423" y="101676"/>
                                </a:lnTo>
                                <a:lnTo>
                                  <a:pt x="1628652" y="95478"/>
                                </a:lnTo>
                                <a:lnTo>
                                  <a:pt x="1598333" y="91935"/>
                                </a:lnTo>
                                <a:close/>
                              </a:path>
                              <a:path w="3979545" h="372745">
                                <a:moveTo>
                                  <a:pt x="1774151" y="110820"/>
                                </a:moveTo>
                                <a:lnTo>
                                  <a:pt x="1767725" y="114452"/>
                                </a:lnTo>
                                <a:lnTo>
                                  <a:pt x="1765769" y="124866"/>
                                </a:lnTo>
                                <a:lnTo>
                                  <a:pt x="1770608" y="129679"/>
                                </a:lnTo>
                                <a:lnTo>
                                  <a:pt x="1859953" y="139103"/>
                                </a:lnTo>
                                <a:lnTo>
                                  <a:pt x="1866379" y="135483"/>
                                </a:lnTo>
                                <a:lnTo>
                                  <a:pt x="1868335" y="125056"/>
                                </a:lnTo>
                                <a:lnTo>
                                  <a:pt x="1863496" y="120243"/>
                                </a:lnTo>
                                <a:lnTo>
                                  <a:pt x="1774151" y="110820"/>
                                </a:lnTo>
                                <a:close/>
                              </a:path>
                              <a:path w="3979545" h="372745">
                                <a:moveTo>
                                  <a:pt x="1950212" y="129387"/>
                                </a:moveTo>
                                <a:lnTo>
                                  <a:pt x="1943785" y="133019"/>
                                </a:lnTo>
                                <a:lnTo>
                                  <a:pt x="1941842" y="143433"/>
                                </a:lnTo>
                                <a:lnTo>
                                  <a:pt x="1946681" y="148259"/>
                                </a:lnTo>
                                <a:lnTo>
                                  <a:pt x="2036025" y="157670"/>
                                </a:lnTo>
                                <a:lnTo>
                                  <a:pt x="2042452" y="154051"/>
                                </a:lnTo>
                                <a:lnTo>
                                  <a:pt x="2044407" y="143624"/>
                                </a:lnTo>
                                <a:lnTo>
                                  <a:pt x="2039569" y="138811"/>
                                </a:lnTo>
                                <a:lnTo>
                                  <a:pt x="1950212" y="129387"/>
                                </a:lnTo>
                                <a:close/>
                              </a:path>
                              <a:path w="3979545" h="372745">
                                <a:moveTo>
                                  <a:pt x="2126284" y="147955"/>
                                </a:moveTo>
                                <a:lnTo>
                                  <a:pt x="2119858" y="151574"/>
                                </a:lnTo>
                                <a:lnTo>
                                  <a:pt x="2117902" y="162001"/>
                                </a:lnTo>
                                <a:lnTo>
                                  <a:pt x="2122741" y="166827"/>
                                </a:lnTo>
                                <a:lnTo>
                                  <a:pt x="2212098" y="176250"/>
                                </a:lnTo>
                                <a:lnTo>
                                  <a:pt x="2218512" y="172618"/>
                                </a:lnTo>
                                <a:lnTo>
                                  <a:pt x="2220468" y="162204"/>
                                </a:lnTo>
                                <a:lnTo>
                                  <a:pt x="2215629" y="157391"/>
                                </a:lnTo>
                                <a:lnTo>
                                  <a:pt x="2126284" y="147955"/>
                                </a:lnTo>
                                <a:close/>
                              </a:path>
                              <a:path w="3979545" h="372745">
                                <a:moveTo>
                                  <a:pt x="2302344" y="166522"/>
                                </a:moveTo>
                                <a:lnTo>
                                  <a:pt x="2295931" y="170154"/>
                                </a:lnTo>
                                <a:lnTo>
                                  <a:pt x="2293975" y="180581"/>
                                </a:lnTo>
                                <a:lnTo>
                                  <a:pt x="2298814" y="185394"/>
                                </a:lnTo>
                                <a:lnTo>
                                  <a:pt x="2388158" y="194818"/>
                                </a:lnTo>
                                <a:lnTo>
                                  <a:pt x="2394585" y="191185"/>
                                </a:lnTo>
                                <a:lnTo>
                                  <a:pt x="2396540" y="180759"/>
                                </a:lnTo>
                                <a:lnTo>
                                  <a:pt x="2391702" y="175945"/>
                                </a:lnTo>
                                <a:lnTo>
                                  <a:pt x="2302344" y="166522"/>
                                </a:lnTo>
                                <a:close/>
                              </a:path>
                              <a:path w="3979545" h="372745">
                                <a:moveTo>
                                  <a:pt x="2478532" y="185623"/>
                                </a:moveTo>
                                <a:lnTo>
                                  <a:pt x="2472029" y="189166"/>
                                </a:lnTo>
                                <a:lnTo>
                                  <a:pt x="2469832" y="199567"/>
                                </a:lnTo>
                                <a:lnTo>
                                  <a:pt x="2474556" y="204444"/>
                                </a:lnTo>
                                <a:lnTo>
                                  <a:pt x="2563672" y="215061"/>
                                </a:lnTo>
                                <a:lnTo>
                                  <a:pt x="2570175" y="211505"/>
                                </a:lnTo>
                                <a:lnTo>
                                  <a:pt x="2572372" y="201117"/>
                                </a:lnTo>
                                <a:lnTo>
                                  <a:pt x="2567660" y="196240"/>
                                </a:lnTo>
                                <a:lnTo>
                                  <a:pt x="2478532" y="185623"/>
                                </a:lnTo>
                                <a:close/>
                              </a:path>
                              <a:path w="3979545" h="372745">
                                <a:moveTo>
                                  <a:pt x="2654147" y="206540"/>
                                </a:moveTo>
                                <a:lnTo>
                                  <a:pt x="2647632" y="210070"/>
                                </a:lnTo>
                                <a:lnTo>
                                  <a:pt x="2645435" y="220459"/>
                                </a:lnTo>
                                <a:lnTo>
                                  <a:pt x="2650159" y="225348"/>
                                </a:lnTo>
                                <a:lnTo>
                                  <a:pt x="2739275" y="235953"/>
                                </a:lnTo>
                                <a:lnTo>
                                  <a:pt x="2745778" y="232422"/>
                                </a:lnTo>
                                <a:lnTo>
                                  <a:pt x="2747975" y="222021"/>
                                </a:lnTo>
                                <a:lnTo>
                                  <a:pt x="2743250" y="217144"/>
                                </a:lnTo>
                                <a:lnTo>
                                  <a:pt x="2654147" y="206540"/>
                                </a:lnTo>
                                <a:close/>
                              </a:path>
                              <a:path w="3979545" h="372745">
                                <a:moveTo>
                                  <a:pt x="2829737" y="227431"/>
                                </a:moveTo>
                                <a:lnTo>
                                  <a:pt x="2823235" y="230974"/>
                                </a:lnTo>
                                <a:lnTo>
                                  <a:pt x="2821038" y="241376"/>
                                </a:lnTo>
                                <a:lnTo>
                                  <a:pt x="2825762" y="246240"/>
                                </a:lnTo>
                                <a:lnTo>
                                  <a:pt x="2914878" y="256857"/>
                                </a:lnTo>
                                <a:lnTo>
                                  <a:pt x="2921381" y="253314"/>
                                </a:lnTo>
                                <a:lnTo>
                                  <a:pt x="2923578" y="242925"/>
                                </a:lnTo>
                                <a:lnTo>
                                  <a:pt x="2918853" y="238048"/>
                                </a:lnTo>
                                <a:lnTo>
                                  <a:pt x="2829737" y="227431"/>
                                </a:lnTo>
                                <a:close/>
                              </a:path>
                              <a:path w="3979545" h="372745">
                                <a:moveTo>
                                  <a:pt x="3005340" y="248335"/>
                                </a:moveTo>
                                <a:lnTo>
                                  <a:pt x="2998838" y="251891"/>
                                </a:lnTo>
                                <a:lnTo>
                                  <a:pt x="2996641" y="262267"/>
                                </a:lnTo>
                                <a:lnTo>
                                  <a:pt x="3001365" y="267157"/>
                                </a:lnTo>
                                <a:lnTo>
                                  <a:pt x="3090468" y="277761"/>
                                </a:lnTo>
                                <a:lnTo>
                                  <a:pt x="3096983" y="274231"/>
                                </a:lnTo>
                                <a:lnTo>
                                  <a:pt x="3099181" y="263829"/>
                                </a:lnTo>
                                <a:lnTo>
                                  <a:pt x="3094456" y="258940"/>
                                </a:lnTo>
                                <a:lnTo>
                                  <a:pt x="3005340" y="248335"/>
                                </a:lnTo>
                                <a:close/>
                              </a:path>
                              <a:path w="3979545" h="372745">
                                <a:moveTo>
                                  <a:pt x="3180943" y="269252"/>
                                </a:moveTo>
                                <a:lnTo>
                                  <a:pt x="3174441" y="272783"/>
                                </a:lnTo>
                                <a:lnTo>
                                  <a:pt x="3172244" y="283184"/>
                                </a:lnTo>
                                <a:lnTo>
                                  <a:pt x="3176968" y="288048"/>
                                </a:lnTo>
                                <a:lnTo>
                                  <a:pt x="3236506" y="295148"/>
                                </a:lnTo>
                                <a:lnTo>
                                  <a:pt x="3266376" y="298297"/>
                                </a:lnTo>
                                <a:lnTo>
                                  <a:pt x="3272802" y="294678"/>
                                </a:lnTo>
                                <a:lnTo>
                                  <a:pt x="3274758" y="284264"/>
                                </a:lnTo>
                                <a:lnTo>
                                  <a:pt x="3269907" y="279438"/>
                                </a:lnTo>
                                <a:lnTo>
                                  <a:pt x="3240493" y="276339"/>
                                </a:lnTo>
                                <a:lnTo>
                                  <a:pt x="3180943" y="269252"/>
                                </a:lnTo>
                                <a:close/>
                              </a:path>
                              <a:path w="3979545" h="372745">
                                <a:moveTo>
                                  <a:pt x="3356635" y="288582"/>
                                </a:moveTo>
                                <a:lnTo>
                                  <a:pt x="3350209" y="292214"/>
                                </a:lnTo>
                                <a:lnTo>
                                  <a:pt x="3348253" y="302628"/>
                                </a:lnTo>
                                <a:lnTo>
                                  <a:pt x="3353092" y="307454"/>
                                </a:lnTo>
                                <a:lnTo>
                                  <a:pt x="3442449" y="316865"/>
                                </a:lnTo>
                                <a:lnTo>
                                  <a:pt x="3448862" y="313245"/>
                                </a:lnTo>
                                <a:lnTo>
                                  <a:pt x="3450818" y="302818"/>
                                </a:lnTo>
                                <a:lnTo>
                                  <a:pt x="3445979" y="298005"/>
                                </a:lnTo>
                                <a:lnTo>
                                  <a:pt x="3356635" y="288582"/>
                                </a:lnTo>
                                <a:close/>
                              </a:path>
                              <a:path w="3979545" h="372745">
                                <a:moveTo>
                                  <a:pt x="3532695" y="307149"/>
                                </a:moveTo>
                                <a:lnTo>
                                  <a:pt x="3526282" y="310769"/>
                                </a:lnTo>
                                <a:lnTo>
                                  <a:pt x="3524326" y="321208"/>
                                </a:lnTo>
                                <a:lnTo>
                                  <a:pt x="3529164" y="326021"/>
                                </a:lnTo>
                                <a:lnTo>
                                  <a:pt x="3618509" y="335445"/>
                                </a:lnTo>
                                <a:lnTo>
                                  <a:pt x="3624935" y="331812"/>
                                </a:lnTo>
                                <a:lnTo>
                                  <a:pt x="3626891" y="321386"/>
                                </a:lnTo>
                                <a:lnTo>
                                  <a:pt x="3622052" y="316585"/>
                                </a:lnTo>
                                <a:lnTo>
                                  <a:pt x="3532695" y="307149"/>
                                </a:lnTo>
                                <a:close/>
                              </a:path>
                              <a:path w="3979545" h="372745">
                                <a:moveTo>
                                  <a:pt x="3708768" y="325716"/>
                                </a:moveTo>
                                <a:lnTo>
                                  <a:pt x="3702342" y="329349"/>
                                </a:lnTo>
                                <a:lnTo>
                                  <a:pt x="3701376" y="334568"/>
                                </a:lnTo>
                                <a:lnTo>
                                  <a:pt x="3700386" y="339775"/>
                                </a:lnTo>
                                <a:lnTo>
                                  <a:pt x="3705237" y="344589"/>
                                </a:lnTo>
                                <a:lnTo>
                                  <a:pt x="3794582" y="354012"/>
                                </a:lnTo>
                                <a:lnTo>
                                  <a:pt x="3801008" y="350380"/>
                                </a:lnTo>
                                <a:lnTo>
                                  <a:pt x="3801973" y="345160"/>
                                </a:lnTo>
                                <a:lnTo>
                                  <a:pt x="3802964" y="339953"/>
                                </a:lnTo>
                                <a:lnTo>
                                  <a:pt x="3798112" y="335140"/>
                                </a:lnTo>
                                <a:lnTo>
                                  <a:pt x="3708768" y="325716"/>
                                </a:lnTo>
                                <a:close/>
                              </a:path>
                              <a:path w="3979545" h="372745">
                                <a:moveTo>
                                  <a:pt x="3884841" y="344284"/>
                                </a:moveTo>
                                <a:lnTo>
                                  <a:pt x="3878414" y="347916"/>
                                </a:lnTo>
                                <a:lnTo>
                                  <a:pt x="3876459" y="358343"/>
                                </a:lnTo>
                                <a:lnTo>
                                  <a:pt x="3881297" y="363143"/>
                                </a:lnTo>
                                <a:lnTo>
                                  <a:pt x="3970654" y="372579"/>
                                </a:lnTo>
                                <a:lnTo>
                                  <a:pt x="3977068" y="368960"/>
                                </a:lnTo>
                                <a:lnTo>
                                  <a:pt x="3979024" y="358533"/>
                                </a:lnTo>
                                <a:lnTo>
                                  <a:pt x="3974185" y="353707"/>
                                </a:lnTo>
                                <a:lnTo>
                                  <a:pt x="3884841" y="344284"/>
                                </a:lnTo>
                                <a:close/>
                              </a:path>
                            </a:pathLst>
                          </a:custGeom>
                          <a:solidFill>
                            <a:srgbClr val="BCBEC0"/>
                          </a:solidFill>
                        </wps:spPr>
                        <wps:bodyPr wrap="square" lIns="0" tIns="0" rIns="0" bIns="0" rtlCol="0">
                          <a:prstTxWarp prst="textNoShape">
                            <a:avLst/>
                          </a:prstTxWarp>
                          <a:noAutofit/>
                        </wps:bodyPr>
                      </wps:wsp>
                    </wpg:wgp>
                  </a:graphicData>
                </a:graphic>
              </wp:anchor>
            </w:drawing>
          </mc:Choice>
          <mc:Fallback>
            <w:pict>
              <v:group style="position:absolute;margin-left:96.493896pt;margin-top:2.504164pt;width:368.9pt;height:117.05pt;mso-position-horizontal-relative:page;mso-position-vertical-relative:paragraph;z-index:15851008" id="docshapegroup922" coordorigin="1930,50" coordsize="7378,2341">
                <v:shape style="position:absolute;left:1938;top:58;width:7360;height:2324" id="docshape923" coordorigin="1939,59" coordsize="7360,2324" path="m9298,2382l1939,2382,1939,59e" filled="false" stroked="true" strokeweight=".866pt" strokecolor="#bcbec0">
                  <v:path arrowok="t"/>
                  <v:stroke dashstyle="solid"/>
                </v:shape>
                <v:shape style="position:absolute;left:2588;top:529;width:6360;height:480" id="docshape924" coordorigin="2589,529" coordsize="6360,480" path="m2589,529l3849,709,5129,799,6409,919,7669,1009,8949,994e" filled="false" stroked="true" strokeweight="1.732pt" strokecolor="#105c84">
                  <v:path arrowok="t"/>
                  <v:stroke dashstyle="solid"/>
                </v:shape>
                <v:shape style="position:absolute;left:2588;top:964;width:6360;height:435" id="docshape925" coordorigin="2589,964" coordsize="6360,435" path="m2589,964l3849,964,5129,1114,6409,1249,7669,1249,8949,1399e" filled="false" stroked="true" strokeweight="1.732pt" strokecolor="#82bf6a">
                  <v:path arrowok="t"/>
                  <v:stroke dashstyle="solid"/>
                </v:shape>
                <v:shape style="position:absolute;left:2568;top:244;width:6267;height:587" id="docshape926" coordorigin="2569,244" coordsize="6267,587" path="m2720,244l2577,244,2569,251,2569,268,2577,274,2720,274,2729,268,2729,251,2720,244xm3000,244l2857,244,2849,251,2849,268,2857,274,3000,274,3009,268,3009,251,3000,244xm3280,244l3137,244,3129,251,3129,268,3137,274,3280,274,3289,268,3289,251,3280,244xm3560,244l3417,244,3409,251,3409,268,3417,274,3560,274,3569,268,3569,251,3560,244xm3840,244l3697,244,3689,251,3689,268,3697,274,3840,274,3849,268,3849,251,3840,244xm3979,259l3969,265,3965,281,3973,289,4113,306,4123,300,4127,284,4119,276,3979,259xm4256,292l4245,297,4242,314,4249,322,4390,338,4400,332,4404,316,4396,308,4256,292xm4532,324l4522,330,4519,346,4526,354,4667,370,4677,365,4680,348,4673,341,4532,324xm4809,357l4799,362,4795,379,4803,386,4943,403,4953,397,4957,381,4949,373,4809,357xm5086,389l5075,395,5072,411,5079,419,5125,424,5220,434,5230,428,5234,412,5226,404,5133,395,5086,389xm5362,419l5352,425,5349,441,5357,449,5498,463,5508,458,5511,441,5503,434,5362,419xm5640,448l5630,454,5627,470,5634,478,5775,493,5785,487,5788,471,5780,463,5640,448xm5917,477l5907,483,5904,499,5911,507,6052,522,6062,516,6065,500,6058,492,5917,477xm6194,507l6184,512,6181,529,6189,536,6329,551,6340,545,6343,529,6335,521,6194,507xm6472,537l6461,542,6458,559,6465,566,6606,583,6616,577,6620,561,6612,553,6472,537xm6748,570l6738,575,6735,592,6742,599,6882,616,6893,610,6896,594,6889,586,6748,570xm7025,603l7015,608,7011,624,7019,632,7159,649,7169,643,7173,627,7165,619,7025,603xm7301,635l7291,641,7288,657,7295,665,7435,682,7446,676,7449,660,7442,652,7301,635xm7578,668l7568,674,7564,690,7572,698,7665,709,7712,714,7723,708,7726,692,7718,684,7672,680,7578,668xm7855,699l7844,705,7841,721,7849,729,7990,743,8000,738,8003,721,7995,714,7855,699xm8132,728l8122,734,8119,750,8126,758,8267,773,8277,767,8280,750,8273,743,8132,728xm8409,757l8399,763,8397,771,8396,779,8404,787,8544,802,8554,796,8556,788,8557,780,8550,772,8409,757xm8686,787l8676,792,8673,809,8681,816,8822,831,8832,825,8835,809,8827,801,8686,787xe" filled="true" fillcolor="#bcbec0" stroked="false">
                  <v:path arrowok="t"/>
                  <v:fill type="solid"/>
                </v:shape>
                <w10:wrap type="none"/>
              </v:group>
            </w:pict>
          </mc:Fallback>
        </mc:AlternateContent>
      </w:r>
      <w:r>
        <w:rPr>
          <w:color w:val="636466"/>
          <w:spacing w:val="-5"/>
          <w:sz w:val="18"/>
        </w:rPr>
        <w:t>16%</w:t>
      </w:r>
    </w:p>
    <w:p>
      <w:pPr>
        <w:spacing w:before="78"/>
        <w:ind w:left="1493" w:right="0" w:firstLine="0"/>
        <w:jc w:val="left"/>
        <w:rPr>
          <w:sz w:val="18"/>
        </w:rPr>
      </w:pPr>
      <w:r>
        <w:rPr>
          <w:sz w:val="18"/>
        </w:rPr>
        <mc:AlternateContent>
          <mc:Choice Requires="wps">
            <w:drawing>
              <wp:anchor distT="0" distB="0" distL="0" distR="0" allowOverlap="1" layoutInCell="1" locked="0" behindDoc="0" simplePos="0" relativeHeight="15852544">
                <wp:simplePos x="0" y="0"/>
                <wp:positionH relativeFrom="page">
                  <wp:posOffset>691371</wp:posOffset>
                </wp:positionH>
                <wp:positionV relativeFrom="paragraph">
                  <wp:posOffset>122579</wp:posOffset>
                </wp:positionV>
                <wp:extent cx="146050" cy="1002665"/>
                <wp:effectExtent l="0" t="0" r="0" b="0"/>
                <wp:wrapNone/>
                <wp:docPr id="1134" name="Textbox 1134"/>
                <wp:cNvGraphicFramePr>
                  <a:graphicFrameLocks/>
                </wp:cNvGraphicFramePr>
                <a:graphic>
                  <a:graphicData uri="http://schemas.microsoft.com/office/word/2010/wordprocessingShape">
                    <wps:wsp>
                      <wps:cNvPr id="1134" name="Textbox 1134"/>
                      <wps:cNvSpPr txBox="1"/>
                      <wps:spPr>
                        <a:xfrm>
                          <a:off x="0" y="0"/>
                          <a:ext cx="146050" cy="1002665"/>
                        </a:xfrm>
                        <a:prstGeom prst="rect">
                          <a:avLst/>
                        </a:prstGeom>
                      </wps:spPr>
                      <wps:txbx>
                        <w:txbxContent>
                          <w:p>
                            <w:pPr>
                              <w:spacing w:before="19"/>
                              <w:ind w:left="20" w:right="0" w:firstLine="0"/>
                              <w:jc w:val="left"/>
                              <w:rPr>
                                <w:sz w:val="16"/>
                              </w:rPr>
                            </w:pPr>
                            <w:r>
                              <w:rPr>
                                <w:color w:val="105C84"/>
                                <w:sz w:val="16"/>
                              </w:rPr>
                              <w:t>Percent</w:t>
                            </w:r>
                            <w:r>
                              <w:rPr>
                                <w:color w:val="105C84"/>
                                <w:spacing w:val="-5"/>
                                <w:sz w:val="16"/>
                              </w:rPr>
                              <w:t> </w:t>
                            </w:r>
                            <w:r>
                              <w:rPr>
                                <w:color w:val="105C84"/>
                                <w:sz w:val="16"/>
                              </w:rPr>
                              <w:t>of</w:t>
                            </w:r>
                            <w:r>
                              <w:rPr>
                                <w:color w:val="105C84"/>
                                <w:spacing w:val="-5"/>
                                <w:sz w:val="16"/>
                              </w:rPr>
                              <w:t> </w:t>
                            </w:r>
                            <w:r>
                              <w:rPr>
                                <w:color w:val="105C84"/>
                                <w:spacing w:val="-2"/>
                                <w:sz w:val="16"/>
                              </w:rPr>
                              <w:t>Population</w:t>
                            </w:r>
                          </w:p>
                        </w:txbxContent>
                      </wps:txbx>
                      <wps:bodyPr wrap="square" lIns="0" tIns="0" rIns="0" bIns="0" rtlCol="0" vert="vert270">
                        <a:noAutofit/>
                      </wps:bodyPr>
                    </wps:wsp>
                  </a:graphicData>
                </a:graphic>
              </wp:anchor>
            </w:drawing>
          </mc:Choice>
          <mc:Fallback>
            <w:pict>
              <v:shape style="position:absolute;margin-left:54.438702pt;margin-top:9.651939pt;width:11.5pt;height:78.95pt;mso-position-horizontal-relative:page;mso-position-vertical-relative:paragraph;z-index:15852544" type="#_x0000_t202" id="docshape927" filled="false" stroked="false">
                <v:textbox inset="0,0,0,0" style="layout-flow:vertical;mso-layout-flow-alt:bottom-to-top">
                  <w:txbxContent>
                    <w:p>
                      <w:pPr>
                        <w:spacing w:before="19"/>
                        <w:ind w:left="20" w:right="0" w:firstLine="0"/>
                        <w:jc w:val="left"/>
                        <w:rPr>
                          <w:sz w:val="16"/>
                        </w:rPr>
                      </w:pPr>
                      <w:r>
                        <w:rPr>
                          <w:color w:val="105C84"/>
                          <w:sz w:val="16"/>
                        </w:rPr>
                        <w:t>Percent</w:t>
                      </w:r>
                      <w:r>
                        <w:rPr>
                          <w:color w:val="105C84"/>
                          <w:spacing w:val="-5"/>
                          <w:sz w:val="16"/>
                        </w:rPr>
                        <w:t> </w:t>
                      </w:r>
                      <w:r>
                        <w:rPr>
                          <w:color w:val="105C84"/>
                          <w:sz w:val="16"/>
                        </w:rPr>
                        <w:t>of</w:t>
                      </w:r>
                      <w:r>
                        <w:rPr>
                          <w:color w:val="105C84"/>
                          <w:spacing w:val="-5"/>
                          <w:sz w:val="16"/>
                        </w:rPr>
                        <w:t> </w:t>
                      </w:r>
                      <w:r>
                        <w:rPr>
                          <w:color w:val="105C84"/>
                          <w:spacing w:val="-2"/>
                          <w:sz w:val="16"/>
                        </w:rPr>
                        <w:t>Population</w:t>
                      </w:r>
                    </w:p>
                  </w:txbxContent>
                </v:textbox>
                <w10:wrap type="none"/>
              </v:shape>
            </w:pict>
          </mc:Fallback>
        </mc:AlternateContent>
      </w:r>
      <w:r>
        <w:rPr>
          <w:color w:val="636466"/>
          <w:spacing w:val="-5"/>
          <w:sz w:val="18"/>
        </w:rPr>
        <w:t>14%</w:t>
      </w:r>
    </w:p>
    <w:p>
      <w:pPr>
        <w:spacing w:before="63"/>
        <w:ind w:left="1493" w:right="0" w:firstLine="0"/>
        <w:jc w:val="left"/>
        <w:rPr>
          <w:sz w:val="18"/>
        </w:rPr>
      </w:pPr>
      <w:r>
        <w:rPr>
          <w:color w:val="636466"/>
          <w:spacing w:val="-5"/>
          <w:sz w:val="18"/>
        </w:rPr>
        <w:t>12%</w:t>
      </w:r>
    </w:p>
    <w:p>
      <w:pPr>
        <w:spacing w:before="78"/>
        <w:ind w:left="1493" w:right="0" w:firstLine="0"/>
        <w:jc w:val="left"/>
        <w:rPr>
          <w:sz w:val="18"/>
        </w:rPr>
      </w:pPr>
      <w:r>
        <w:rPr>
          <w:color w:val="636466"/>
          <w:spacing w:val="-5"/>
          <w:sz w:val="18"/>
        </w:rPr>
        <w:t>10%</w:t>
      </w:r>
    </w:p>
    <w:p>
      <w:pPr>
        <w:spacing w:before="78"/>
        <w:ind w:left="1587" w:right="0" w:firstLine="0"/>
        <w:jc w:val="left"/>
        <w:rPr>
          <w:sz w:val="18"/>
        </w:rPr>
      </w:pPr>
      <w:r>
        <w:rPr>
          <w:color w:val="636466"/>
          <w:spacing w:val="-5"/>
          <w:sz w:val="18"/>
        </w:rPr>
        <w:t>8%</w:t>
      </w:r>
    </w:p>
    <w:p>
      <w:pPr>
        <w:spacing w:before="77"/>
        <w:ind w:left="1587" w:right="0" w:firstLine="0"/>
        <w:jc w:val="left"/>
        <w:rPr>
          <w:sz w:val="18"/>
        </w:rPr>
      </w:pPr>
      <w:r>
        <w:rPr>
          <w:color w:val="636466"/>
          <w:spacing w:val="-5"/>
          <w:sz w:val="18"/>
        </w:rPr>
        <w:t>6%</w:t>
      </w:r>
    </w:p>
    <w:p>
      <w:pPr>
        <w:spacing w:before="78"/>
        <w:ind w:left="1587" w:right="0" w:firstLine="0"/>
        <w:jc w:val="left"/>
        <w:rPr>
          <w:sz w:val="18"/>
        </w:rPr>
      </w:pPr>
      <w:r>
        <w:rPr>
          <w:color w:val="636466"/>
          <w:spacing w:val="-5"/>
          <w:sz w:val="18"/>
        </w:rPr>
        <w:t>4%</w:t>
      </w:r>
    </w:p>
    <w:p>
      <w:pPr>
        <w:spacing w:before="78"/>
        <w:ind w:left="1587" w:right="0" w:firstLine="0"/>
        <w:jc w:val="left"/>
        <w:rPr>
          <w:sz w:val="18"/>
        </w:rPr>
      </w:pPr>
      <w:r>
        <w:rPr>
          <w:color w:val="636466"/>
          <w:spacing w:val="-5"/>
          <w:sz w:val="18"/>
        </w:rPr>
        <w:t>2%</w:t>
      </w:r>
    </w:p>
    <w:p>
      <w:pPr>
        <w:pStyle w:val="ListParagraph"/>
        <w:numPr>
          <w:ilvl w:val="0"/>
          <w:numId w:val="25"/>
        </w:numPr>
        <w:tabs>
          <w:tab w:pos="1514" w:val="left" w:leader="none"/>
        </w:tabs>
        <w:spacing w:line="240" w:lineRule="auto" w:before="98" w:after="0"/>
        <w:ind w:left="1514" w:right="0" w:hanging="234"/>
        <w:jc w:val="left"/>
        <w:rPr>
          <w:sz w:val="22"/>
        </w:rPr>
      </w:pPr>
      <w:r>
        <w:rPr/>
        <w:br w:type="column"/>
      </w:r>
      <w:r>
        <w:rPr>
          <w:color w:val="105C84"/>
          <w:sz w:val="22"/>
        </w:rPr>
        <w:t>Tobacco</w:t>
      </w:r>
      <w:r>
        <w:rPr>
          <w:color w:val="105C84"/>
          <w:spacing w:val="-16"/>
          <w:sz w:val="22"/>
        </w:rPr>
        <w:t> </w:t>
      </w:r>
      <w:r>
        <w:rPr>
          <w:color w:val="105C84"/>
          <w:spacing w:val="-2"/>
          <w:sz w:val="22"/>
        </w:rPr>
        <w:t>prevention</w:t>
      </w:r>
    </w:p>
    <w:p>
      <w:pPr>
        <w:pStyle w:val="Heading5"/>
        <w:spacing w:before="189"/>
      </w:pPr>
      <w:r>
        <w:rPr>
          <w:color w:val="32BCAA"/>
        </w:rPr>
        <w:t>PROMOTE</w:t>
      </w:r>
      <w:r>
        <w:rPr>
          <w:color w:val="32BCAA"/>
          <w:spacing w:val="52"/>
        </w:rPr>
        <w:t> </w:t>
      </w:r>
      <w:r>
        <w:rPr>
          <w:color w:val="32BCAA"/>
        </w:rPr>
        <w:t>MENTAL</w:t>
      </w:r>
      <w:r>
        <w:rPr>
          <w:color w:val="32BCAA"/>
          <w:spacing w:val="53"/>
        </w:rPr>
        <w:t> </w:t>
      </w:r>
      <w:r>
        <w:rPr>
          <w:color w:val="32BCAA"/>
        </w:rPr>
        <w:t>WELL-BEING</w:t>
      </w:r>
      <w:r>
        <w:rPr>
          <w:color w:val="32BCAA"/>
          <w:spacing w:val="52"/>
        </w:rPr>
        <w:t> </w:t>
      </w:r>
      <w:r>
        <w:rPr>
          <w:color w:val="32BCAA"/>
        </w:rPr>
        <w:t>AND</w:t>
      </w:r>
      <w:r>
        <w:rPr>
          <w:color w:val="32BCAA"/>
          <w:spacing w:val="53"/>
        </w:rPr>
        <w:t> </w:t>
      </w:r>
      <w:r>
        <w:rPr>
          <w:color w:val="32BCAA"/>
        </w:rPr>
        <w:t>PREVENT</w:t>
      </w:r>
      <w:r>
        <w:rPr>
          <w:color w:val="32BCAA"/>
          <w:spacing w:val="37"/>
        </w:rPr>
        <w:t> </w:t>
      </w:r>
      <w:r>
        <w:rPr>
          <w:color w:val="32BCAA"/>
        </w:rPr>
        <w:t>SUBSTANCE</w:t>
      </w:r>
      <w:r>
        <w:rPr>
          <w:color w:val="32BCAA"/>
          <w:spacing w:val="53"/>
        </w:rPr>
        <w:t> </w:t>
      </w:r>
      <w:r>
        <w:rPr>
          <w:color w:val="32BCAA"/>
        </w:rPr>
        <w:t>USE</w:t>
      </w:r>
      <w:r>
        <w:rPr>
          <w:color w:val="32BCAA"/>
          <w:spacing w:val="52"/>
        </w:rPr>
        <w:t> </w:t>
      </w:r>
      <w:r>
        <w:rPr>
          <w:color w:val="32BCAA"/>
          <w:spacing w:val="-2"/>
        </w:rPr>
        <w:t>DISORDERS</w:t>
      </w:r>
    </w:p>
    <w:p>
      <w:pPr>
        <w:pStyle w:val="ListParagraph"/>
        <w:numPr>
          <w:ilvl w:val="0"/>
          <w:numId w:val="26"/>
        </w:numPr>
        <w:tabs>
          <w:tab w:pos="1519" w:val="left" w:leader="none"/>
        </w:tabs>
        <w:spacing w:line="240" w:lineRule="auto" w:before="86" w:after="0"/>
        <w:ind w:left="1519" w:right="0" w:hanging="239"/>
        <w:jc w:val="left"/>
        <w:rPr>
          <w:sz w:val="22"/>
        </w:rPr>
      </w:pPr>
      <w:r>
        <w:rPr>
          <w:color w:val="105C84"/>
          <w:sz w:val="22"/>
        </w:rPr>
        <w:t>Promote</w:t>
      </w:r>
      <w:r>
        <w:rPr>
          <w:color w:val="105C84"/>
          <w:spacing w:val="28"/>
          <w:sz w:val="22"/>
        </w:rPr>
        <w:t> </w:t>
      </w:r>
      <w:r>
        <w:rPr>
          <w:color w:val="105C84"/>
          <w:sz w:val="22"/>
        </w:rPr>
        <w:t>well-</w:t>
      </w:r>
      <w:r>
        <w:rPr>
          <w:color w:val="105C84"/>
          <w:spacing w:val="-2"/>
          <w:sz w:val="22"/>
        </w:rPr>
        <w:t>being</w:t>
      </w:r>
    </w:p>
    <w:p>
      <w:pPr>
        <w:pStyle w:val="ListParagraph"/>
        <w:numPr>
          <w:ilvl w:val="0"/>
          <w:numId w:val="26"/>
        </w:numPr>
        <w:tabs>
          <w:tab w:pos="1519" w:val="left" w:leader="none"/>
        </w:tabs>
        <w:spacing w:line="240" w:lineRule="auto" w:before="97" w:after="0"/>
        <w:ind w:left="1519" w:right="0" w:hanging="239"/>
        <w:jc w:val="left"/>
        <w:rPr>
          <w:sz w:val="22"/>
        </w:rPr>
      </w:pPr>
      <w:r>
        <w:rPr>
          <w:color w:val="105C84"/>
          <w:sz w:val="22"/>
        </w:rPr>
        <w:t>Prevent</w:t>
      </w:r>
      <w:r>
        <w:rPr>
          <w:color w:val="105C84"/>
          <w:spacing w:val="-4"/>
          <w:sz w:val="22"/>
        </w:rPr>
        <w:t> </w:t>
      </w:r>
      <w:r>
        <w:rPr>
          <w:color w:val="105C84"/>
          <w:sz w:val="22"/>
        </w:rPr>
        <w:t>mental</w:t>
      </w:r>
      <w:r>
        <w:rPr>
          <w:color w:val="105C84"/>
          <w:spacing w:val="-4"/>
          <w:sz w:val="22"/>
        </w:rPr>
        <w:t> </w:t>
      </w:r>
      <w:r>
        <w:rPr>
          <w:color w:val="105C84"/>
          <w:sz w:val="22"/>
        </w:rPr>
        <w:t>and</w:t>
      </w:r>
      <w:r>
        <w:rPr>
          <w:color w:val="105C84"/>
          <w:spacing w:val="-3"/>
          <w:sz w:val="22"/>
        </w:rPr>
        <w:t> </w:t>
      </w:r>
      <w:r>
        <w:rPr>
          <w:color w:val="105C84"/>
          <w:sz w:val="22"/>
        </w:rPr>
        <w:t>substance</w:t>
      </w:r>
      <w:r>
        <w:rPr>
          <w:color w:val="105C84"/>
          <w:spacing w:val="-4"/>
          <w:sz w:val="22"/>
        </w:rPr>
        <w:t> </w:t>
      </w:r>
      <w:r>
        <w:rPr>
          <w:color w:val="105C84"/>
          <w:sz w:val="22"/>
        </w:rPr>
        <w:t>use</w:t>
      </w:r>
      <w:r>
        <w:rPr>
          <w:color w:val="105C84"/>
          <w:spacing w:val="-3"/>
          <w:sz w:val="22"/>
        </w:rPr>
        <w:t> </w:t>
      </w:r>
      <w:r>
        <w:rPr>
          <w:color w:val="105C84"/>
          <w:spacing w:val="-2"/>
          <w:sz w:val="22"/>
        </w:rPr>
        <w:t>disorders</w:t>
      </w:r>
    </w:p>
    <w:p>
      <w:pPr>
        <w:pStyle w:val="Heading5"/>
        <w:spacing w:before="189"/>
      </w:pPr>
      <w:r>
        <w:rPr>
          <w:color w:val="32BCAA"/>
          <w:spacing w:val="2"/>
        </w:rPr>
        <w:t>DISPARITY:</w:t>
      </w:r>
      <w:r>
        <w:rPr>
          <w:color w:val="32BCAA"/>
          <w:spacing w:val="36"/>
        </w:rPr>
        <w:t> </w:t>
      </w:r>
      <w:r>
        <w:rPr>
          <w:color w:val="32BCAA"/>
          <w:spacing w:val="2"/>
        </w:rPr>
        <w:t>LOW</w:t>
      </w:r>
      <w:r>
        <w:rPr>
          <w:color w:val="32BCAA"/>
          <w:spacing w:val="45"/>
        </w:rPr>
        <w:t> </w:t>
      </w:r>
      <w:r>
        <w:rPr>
          <w:color w:val="32BCAA"/>
          <w:spacing w:val="2"/>
        </w:rPr>
        <w:t>SOCIOECONOMIC</w:t>
      </w:r>
      <w:r>
        <w:rPr>
          <w:color w:val="32BCAA"/>
          <w:spacing w:val="46"/>
        </w:rPr>
        <w:t> </w:t>
      </w:r>
      <w:r>
        <w:rPr>
          <w:color w:val="32BCAA"/>
          <w:spacing w:val="-2"/>
        </w:rPr>
        <w:t>STATUS</w:t>
      </w:r>
    </w:p>
    <w:p>
      <w:pPr>
        <w:pStyle w:val="BodyText"/>
        <w:spacing w:line="247" w:lineRule="auto" w:before="86"/>
        <w:ind w:left="1080" w:right="479"/>
      </w:pPr>
      <w:r>
        <w:rPr>
          <w:color w:val="105C84"/>
        </w:rPr>
        <w:t>In addition to the group’s thoughts, </w:t>
      </w:r>
      <w:r>
        <w:rPr>
          <w:i/>
          <w:color w:val="105C84"/>
        </w:rPr>
        <w:t>My Health Story 2018 </w:t>
      </w:r>
      <w:r>
        <w:rPr>
          <w:color w:val="105C84"/>
        </w:rPr>
        <w:t>respondents were also asked questions relating to their top concerns for the health of themselves, loved ones, adults and children in the</w:t>
      </w:r>
      <w:r>
        <w:rPr>
          <w:color w:val="105C84"/>
          <w:spacing w:val="80"/>
        </w:rPr>
        <w:t> </w:t>
      </w:r>
      <w:r>
        <w:rPr>
          <w:color w:val="105C84"/>
        </w:rPr>
        <w:t>community</w:t>
      </w:r>
      <w:r>
        <w:rPr>
          <w:color w:val="105C84"/>
          <w:spacing w:val="27"/>
        </w:rPr>
        <w:t> </w:t>
      </w:r>
      <w:r>
        <w:rPr>
          <w:color w:val="105C84"/>
        </w:rPr>
        <w:t>(and</w:t>
      </w:r>
      <w:r>
        <w:rPr>
          <w:color w:val="105C84"/>
          <w:spacing w:val="27"/>
        </w:rPr>
        <w:t> </w:t>
      </w:r>
      <w:r>
        <w:rPr>
          <w:color w:val="105C84"/>
        </w:rPr>
        <w:t>were</w:t>
      </w:r>
      <w:r>
        <w:rPr>
          <w:color w:val="105C84"/>
          <w:spacing w:val="27"/>
        </w:rPr>
        <w:t> </w:t>
      </w:r>
      <w:r>
        <w:rPr>
          <w:color w:val="105C84"/>
        </w:rPr>
        <w:t>reviewed</w:t>
      </w:r>
      <w:r>
        <w:rPr>
          <w:color w:val="105C84"/>
          <w:spacing w:val="27"/>
        </w:rPr>
        <w:t> </w:t>
      </w:r>
      <w:r>
        <w:rPr>
          <w:color w:val="105C84"/>
        </w:rPr>
        <w:t>at</w:t>
      </w:r>
      <w:r>
        <w:rPr>
          <w:color w:val="105C84"/>
          <w:spacing w:val="27"/>
        </w:rPr>
        <w:t> </w:t>
      </w:r>
      <w:r>
        <w:rPr>
          <w:color w:val="105C84"/>
        </w:rPr>
        <w:t>the</w:t>
      </w:r>
      <w:r>
        <w:rPr>
          <w:color w:val="105C84"/>
          <w:spacing w:val="27"/>
        </w:rPr>
        <w:t> </w:t>
      </w:r>
      <w:r>
        <w:rPr>
          <w:color w:val="105C84"/>
        </w:rPr>
        <w:t>prioritization</w:t>
      </w:r>
      <w:r>
        <w:rPr>
          <w:color w:val="105C84"/>
          <w:spacing w:val="27"/>
        </w:rPr>
        <w:t> </w:t>
      </w:r>
      <w:r>
        <w:rPr>
          <w:color w:val="105C84"/>
        </w:rPr>
        <w:t>meeting).</w:t>
      </w:r>
      <w:r>
        <w:rPr>
          <w:color w:val="105C84"/>
          <w:spacing w:val="27"/>
        </w:rPr>
        <w:t> </w:t>
      </w:r>
      <w:r>
        <w:rPr>
          <w:color w:val="105C84"/>
        </w:rPr>
        <w:t>Weight</w:t>
      </w:r>
      <w:r>
        <w:rPr>
          <w:color w:val="105C84"/>
          <w:spacing w:val="27"/>
        </w:rPr>
        <w:t> </w:t>
      </w:r>
      <w:r>
        <w:rPr>
          <w:color w:val="105C84"/>
        </w:rPr>
        <w:t>and</w:t>
      </w:r>
      <w:r>
        <w:rPr>
          <w:color w:val="105C84"/>
          <w:spacing w:val="27"/>
        </w:rPr>
        <w:t> </w:t>
      </w:r>
      <w:r>
        <w:rPr>
          <w:color w:val="105C84"/>
        </w:rPr>
        <w:t>mental/emotional</w:t>
      </w:r>
      <w:r>
        <w:rPr>
          <w:color w:val="105C84"/>
          <w:spacing w:val="27"/>
        </w:rPr>
        <w:t> </w:t>
      </w:r>
      <w:r>
        <w:rPr>
          <w:color w:val="105C84"/>
        </w:rPr>
        <w:t>health issues were commonly reported concerns across the four categories. Of note, substance use and obesity</w:t>
      </w:r>
      <w:r>
        <w:rPr>
          <w:color w:val="105C84"/>
          <w:spacing w:val="35"/>
        </w:rPr>
        <w:t> </w:t>
      </w:r>
      <w:r>
        <w:rPr>
          <w:color w:val="105C84"/>
        </w:rPr>
        <w:t>indicators</w:t>
      </w:r>
      <w:r>
        <w:rPr>
          <w:color w:val="105C84"/>
          <w:spacing w:val="35"/>
        </w:rPr>
        <w:t> </w:t>
      </w:r>
      <w:r>
        <w:rPr>
          <w:color w:val="105C84"/>
        </w:rPr>
        <w:t>including</w:t>
      </w:r>
      <w:r>
        <w:rPr>
          <w:color w:val="105C84"/>
          <w:spacing w:val="35"/>
        </w:rPr>
        <w:t> </w:t>
      </w:r>
      <w:r>
        <w:rPr>
          <w:color w:val="105C84"/>
        </w:rPr>
        <w:t>weight,</w:t>
      </w:r>
      <w:r>
        <w:rPr>
          <w:color w:val="105C84"/>
          <w:spacing w:val="35"/>
        </w:rPr>
        <w:t> </w:t>
      </w:r>
      <w:r>
        <w:rPr>
          <w:color w:val="105C84"/>
        </w:rPr>
        <w:t>exercise,</w:t>
      </w:r>
      <w:r>
        <w:rPr>
          <w:color w:val="105C84"/>
          <w:spacing w:val="35"/>
        </w:rPr>
        <w:t> </w:t>
      </w:r>
      <w:r>
        <w:rPr>
          <w:color w:val="105C84"/>
        </w:rPr>
        <w:t>diet</w:t>
      </w:r>
      <w:r>
        <w:rPr>
          <w:color w:val="105C84"/>
          <w:spacing w:val="35"/>
        </w:rPr>
        <w:t> </w:t>
      </w:r>
      <w:r>
        <w:rPr>
          <w:color w:val="105C84"/>
        </w:rPr>
        <w:t>and</w:t>
      </w:r>
      <w:r>
        <w:rPr>
          <w:color w:val="105C84"/>
          <w:spacing w:val="35"/>
        </w:rPr>
        <w:t> </w:t>
      </w:r>
      <w:r>
        <w:rPr>
          <w:color w:val="105C84"/>
        </w:rPr>
        <w:t>nutrition,</w:t>
      </w:r>
      <w:r>
        <w:rPr>
          <w:color w:val="105C84"/>
          <w:spacing w:val="35"/>
        </w:rPr>
        <w:t> </w:t>
      </w:r>
      <w:r>
        <w:rPr>
          <w:color w:val="105C84"/>
        </w:rPr>
        <w:t>were</w:t>
      </w:r>
      <w:r>
        <w:rPr>
          <w:color w:val="105C84"/>
          <w:spacing w:val="35"/>
        </w:rPr>
        <w:t> </w:t>
      </w:r>
      <w:r>
        <w:rPr>
          <w:color w:val="105C84"/>
        </w:rPr>
        <w:t>concerns</w:t>
      </w:r>
      <w:r>
        <w:rPr>
          <w:color w:val="105C84"/>
          <w:spacing w:val="35"/>
        </w:rPr>
        <w:t> </w:t>
      </w:r>
      <w:r>
        <w:rPr>
          <w:color w:val="105C84"/>
        </w:rPr>
        <w:t>for</w:t>
      </w:r>
      <w:r>
        <w:rPr>
          <w:color w:val="105C84"/>
          <w:spacing w:val="35"/>
        </w:rPr>
        <w:t> </w:t>
      </w:r>
      <w:r>
        <w:rPr>
          <w:color w:val="105C84"/>
        </w:rPr>
        <w:t>children</w:t>
      </w:r>
      <w:r>
        <w:rPr>
          <w:color w:val="105C84"/>
          <w:spacing w:val="35"/>
        </w:rPr>
        <w:t> </w:t>
      </w:r>
      <w:r>
        <w:rPr>
          <w:color w:val="105C84"/>
        </w:rPr>
        <w:t>in</w:t>
      </w:r>
    </w:p>
    <w:p>
      <w:pPr>
        <w:pStyle w:val="BodyText"/>
        <w:spacing w:line="247" w:lineRule="auto"/>
        <w:ind w:left="1080" w:right="479"/>
      </w:pPr>
      <w:r>
        <w:rPr>
          <w:color w:val="105C84"/>
        </w:rPr>
        <w:t>the county. Heart conditions and cost of care were also highlighted as respondents’ top fears for themselves and for others.</w:t>
      </w:r>
    </w:p>
    <w:p>
      <w:pPr>
        <w:pStyle w:val="BodyText"/>
        <w:spacing w:after="0" w:line="247" w:lineRule="auto"/>
        <w:sectPr>
          <w:type w:val="continuous"/>
          <w:pgSz w:w="24480" w:h="15840" w:orient="landscape"/>
          <w:pgMar w:header="0" w:footer="0" w:top="0" w:bottom="280" w:left="0" w:right="720"/>
          <w:cols w:num="2" w:equalWidth="0">
            <w:col w:w="10796" w:space="1444"/>
            <w:col w:w="11520"/>
          </w:cols>
        </w:sectPr>
      </w:pPr>
    </w:p>
    <w:p>
      <w:pPr>
        <w:spacing w:before="78"/>
        <w:ind w:left="1587" w:right="0" w:firstLine="0"/>
        <w:jc w:val="left"/>
        <w:rPr>
          <w:sz w:val="18"/>
        </w:rPr>
      </w:pPr>
      <w:r>
        <w:rPr>
          <w:sz w:val="18"/>
        </w:rPr>
        <w:drawing>
          <wp:anchor distT="0" distB="0" distL="0" distR="0" allowOverlap="1" layoutInCell="1" locked="0" behindDoc="0" simplePos="0" relativeHeight="15849472">
            <wp:simplePos x="0" y="0"/>
            <wp:positionH relativeFrom="page">
              <wp:posOffset>14981556</wp:posOffset>
            </wp:positionH>
            <wp:positionV relativeFrom="page">
              <wp:posOffset>9668103</wp:posOffset>
            </wp:positionV>
            <wp:extent cx="563245" cy="184683"/>
            <wp:effectExtent l="0" t="0" r="0" b="0"/>
            <wp:wrapNone/>
            <wp:docPr id="1135" name="Image 1135"/>
            <wp:cNvGraphicFramePr>
              <a:graphicFrameLocks/>
            </wp:cNvGraphicFramePr>
            <a:graphic>
              <a:graphicData uri="http://schemas.openxmlformats.org/drawingml/2006/picture">
                <pic:pic>
                  <pic:nvPicPr>
                    <pic:cNvPr id="1135" name="Image 1135"/>
                    <pic:cNvPicPr/>
                  </pic:nvPicPr>
                  <pic:blipFill>
                    <a:blip r:embed="rId38" cstate="print"/>
                    <a:stretch>
                      <a:fillRect/>
                    </a:stretch>
                  </pic:blipFill>
                  <pic:spPr>
                    <a:xfrm>
                      <a:off x="0" y="0"/>
                      <a:ext cx="563245" cy="184683"/>
                    </a:xfrm>
                    <a:prstGeom prst="rect">
                      <a:avLst/>
                    </a:prstGeom>
                  </pic:spPr>
                </pic:pic>
              </a:graphicData>
            </a:graphic>
          </wp:anchor>
        </w:drawing>
      </w:r>
      <w:r>
        <w:rPr>
          <w:sz w:val="18"/>
        </w:rPr>
        <mc:AlternateContent>
          <mc:Choice Requires="wps">
            <w:drawing>
              <wp:anchor distT="0" distB="0" distL="0" distR="0" allowOverlap="1" layoutInCell="1" locked="0" behindDoc="0" simplePos="0" relativeHeight="15853568">
                <wp:simplePos x="0" y="0"/>
                <wp:positionH relativeFrom="page">
                  <wp:posOffset>8420100</wp:posOffset>
                </wp:positionH>
                <wp:positionV relativeFrom="paragraph">
                  <wp:posOffset>-1119661</wp:posOffset>
                </wp:positionV>
                <wp:extent cx="2967355" cy="1374775"/>
                <wp:effectExtent l="0" t="0" r="0" b="0"/>
                <wp:wrapNone/>
                <wp:docPr id="1136" name="Textbox 1136"/>
                <wp:cNvGraphicFramePr>
                  <a:graphicFrameLocks/>
                </wp:cNvGraphicFramePr>
                <a:graphic>
                  <a:graphicData uri="http://schemas.microsoft.com/office/word/2010/wordprocessingShape">
                    <wps:wsp>
                      <wps:cNvPr id="1136" name="Textbox 1136"/>
                      <wps:cNvSpPr txBox="1"/>
                      <wps:spPr>
                        <a:xfrm>
                          <a:off x="0" y="0"/>
                          <a:ext cx="2967355" cy="1374775"/>
                        </a:xfrm>
                        <a:prstGeom prst="rect">
                          <a:avLst/>
                        </a:prstGeom>
                      </wps:spPr>
                      <wps:txbx>
                        <w:txbxContent>
                          <w:tbl>
                            <w:tblPr>
                              <w:tblW w:w="0" w:type="auto"/>
                              <w:jc w:val="left"/>
                              <w:tblInd w:w="62" w:type="dxa"/>
                              <w:tblBorders>
                                <w:top w:val="single" w:sz="2" w:space="0" w:color="636466"/>
                                <w:left w:val="single" w:sz="2" w:space="0" w:color="636466"/>
                                <w:bottom w:val="single" w:sz="2" w:space="0" w:color="636466"/>
                                <w:right w:val="single" w:sz="2" w:space="0" w:color="636466"/>
                                <w:insideH w:val="single" w:sz="2" w:space="0" w:color="636466"/>
                                <w:insideV w:val="single" w:sz="2" w:space="0" w:color="636466"/>
                              </w:tblBorders>
                              <w:tblLayout w:type="fixed"/>
                              <w:tblCellMar>
                                <w:top w:w="0" w:type="dxa"/>
                                <w:left w:w="0" w:type="dxa"/>
                                <w:bottom w:w="0" w:type="dxa"/>
                                <w:right w:w="0" w:type="dxa"/>
                              </w:tblCellMar>
                              <w:tblLook w:val="01E0"/>
                            </w:tblPr>
                            <w:tblGrid>
                              <w:gridCol w:w="4548"/>
                            </w:tblGrid>
                            <w:tr>
                              <w:trPr>
                                <w:trHeight w:val="355" w:hRule="atLeast"/>
                              </w:trPr>
                              <w:tc>
                                <w:tcPr>
                                  <w:tcW w:w="4548" w:type="dxa"/>
                                  <w:shd w:val="clear" w:color="auto" w:fill="82BF6A"/>
                                </w:tcPr>
                                <w:p>
                                  <w:pPr>
                                    <w:pStyle w:val="TableParagraph"/>
                                    <w:spacing w:before="90"/>
                                    <w:ind w:left="80"/>
                                    <w:rPr>
                                      <w:b/>
                                      <w:sz w:val="20"/>
                                    </w:rPr>
                                  </w:pPr>
                                  <w:r>
                                    <w:rPr>
                                      <w:b/>
                                      <w:color w:val="FFFFFF"/>
                                      <w:sz w:val="20"/>
                                    </w:rPr>
                                    <w:t>BIGGEST</w:t>
                                  </w:r>
                                  <w:r>
                                    <w:rPr>
                                      <w:b/>
                                      <w:color w:val="FFFFFF"/>
                                      <w:spacing w:val="-10"/>
                                      <w:sz w:val="20"/>
                                    </w:rPr>
                                    <w:t> </w:t>
                                  </w:r>
                                  <w:r>
                                    <w:rPr>
                                      <w:b/>
                                      <w:color w:val="FFFFFF"/>
                                      <w:sz w:val="20"/>
                                    </w:rPr>
                                    <w:t>FEAR</w:t>
                                  </w:r>
                                  <w:r>
                                    <w:rPr>
                                      <w:b/>
                                      <w:color w:val="FFFFFF"/>
                                      <w:spacing w:val="-10"/>
                                      <w:sz w:val="20"/>
                                    </w:rPr>
                                    <w:t> </w:t>
                                  </w:r>
                                  <w:r>
                                    <w:rPr>
                                      <w:b/>
                                      <w:color w:val="FFFFFF"/>
                                      <w:sz w:val="20"/>
                                    </w:rPr>
                                    <w:t>-</w:t>
                                  </w:r>
                                  <w:r>
                                    <w:rPr>
                                      <w:b/>
                                      <w:color w:val="FFFFFF"/>
                                      <w:spacing w:val="-9"/>
                                      <w:sz w:val="20"/>
                                    </w:rPr>
                                    <w:t> </w:t>
                                  </w:r>
                                  <w:r>
                                    <w:rPr>
                                      <w:b/>
                                      <w:color w:val="FFFFFF"/>
                                      <w:sz w:val="20"/>
                                    </w:rPr>
                                    <w:t>FOR</w:t>
                                  </w:r>
                                  <w:r>
                                    <w:rPr>
                                      <w:b/>
                                      <w:color w:val="FFFFFF"/>
                                      <w:spacing w:val="-10"/>
                                      <w:sz w:val="20"/>
                                    </w:rPr>
                                    <w:t> </w:t>
                                  </w:r>
                                  <w:r>
                                    <w:rPr>
                                      <w:b/>
                                      <w:color w:val="FFFFFF"/>
                                      <w:spacing w:val="-4"/>
                                      <w:sz w:val="20"/>
                                    </w:rPr>
                                    <w:t>SELF</w:t>
                                  </w:r>
                                </w:p>
                              </w:tc>
                            </w:tr>
                            <w:tr>
                              <w:trPr>
                                <w:trHeight w:val="355" w:hRule="atLeast"/>
                              </w:trPr>
                              <w:tc>
                                <w:tcPr>
                                  <w:tcW w:w="4548" w:type="dxa"/>
                                </w:tcPr>
                                <w:p>
                                  <w:pPr>
                                    <w:pStyle w:val="TableParagraph"/>
                                    <w:spacing w:before="90"/>
                                    <w:ind w:left="80"/>
                                    <w:rPr>
                                      <w:sz w:val="20"/>
                                    </w:rPr>
                                  </w:pPr>
                                  <w:r>
                                    <w:rPr>
                                      <w:color w:val="105C84"/>
                                      <w:sz w:val="20"/>
                                    </w:rPr>
                                    <w:t>Weight</w:t>
                                  </w:r>
                                  <w:r>
                                    <w:rPr>
                                      <w:color w:val="105C84"/>
                                      <w:spacing w:val="27"/>
                                      <w:sz w:val="20"/>
                                    </w:rPr>
                                    <w:t> </w:t>
                                  </w:r>
                                  <w:r>
                                    <w:rPr>
                                      <w:color w:val="105C84"/>
                                      <w:spacing w:val="-2"/>
                                      <w:sz w:val="20"/>
                                    </w:rPr>
                                    <w:t>(14.6%)</w:t>
                                  </w:r>
                                </w:p>
                              </w:tc>
                            </w:tr>
                            <w:tr>
                              <w:trPr>
                                <w:trHeight w:val="355" w:hRule="atLeast"/>
                              </w:trPr>
                              <w:tc>
                                <w:tcPr>
                                  <w:tcW w:w="4548" w:type="dxa"/>
                                </w:tcPr>
                                <w:p>
                                  <w:pPr>
                                    <w:pStyle w:val="TableParagraph"/>
                                    <w:spacing w:before="90"/>
                                    <w:ind w:left="80"/>
                                    <w:rPr>
                                      <w:sz w:val="20"/>
                                    </w:rPr>
                                  </w:pPr>
                                  <w:r>
                                    <w:rPr>
                                      <w:color w:val="105C84"/>
                                      <w:sz w:val="20"/>
                                    </w:rPr>
                                    <w:t>Aging</w:t>
                                  </w:r>
                                  <w:r>
                                    <w:rPr>
                                      <w:color w:val="105C84"/>
                                      <w:spacing w:val="33"/>
                                      <w:sz w:val="20"/>
                                    </w:rPr>
                                    <w:t> </w:t>
                                  </w:r>
                                  <w:r>
                                    <w:rPr>
                                      <w:color w:val="105C84"/>
                                      <w:spacing w:val="-2"/>
                                      <w:sz w:val="20"/>
                                    </w:rPr>
                                    <w:t>(12.2%)</w:t>
                                  </w:r>
                                </w:p>
                              </w:tc>
                            </w:tr>
                            <w:tr>
                              <w:trPr>
                                <w:trHeight w:val="355" w:hRule="atLeast"/>
                              </w:trPr>
                              <w:tc>
                                <w:tcPr>
                                  <w:tcW w:w="4548" w:type="dxa"/>
                                </w:tcPr>
                                <w:p>
                                  <w:pPr>
                                    <w:pStyle w:val="TableParagraph"/>
                                    <w:spacing w:before="90"/>
                                    <w:ind w:left="80"/>
                                    <w:rPr>
                                      <w:sz w:val="20"/>
                                    </w:rPr>
                                  </w:pPr>
                                  <w:r>
                                    <w:rPr>
                                      <w:color w:val="105C84"/>
                                      <w:sz w:val="20"/>
                                    </w:rPr>
                                    <w:t>Mental</w:t>
                                  </w:r>
                                  <w:r>
                                    <w:rPr>
                                      <w:color w:val="105C84"/>
                                      <w:spacing w:val="13"/>
                                      <w:sz w:val="20"/>
                                    </w:rPr>
                                    <w:t> </w:t>
                                  </w:r>
                                  <w:r>
                                    <w:rPr>
                                      <w:color w:val="105C84"/>
                                      <w:sz w:val="20"/>
                                    </w:rPr>
                                    <w:t>/</w:t>
                                  </w:r>
                                  <w:r>
                                    <w:rPr>
                                      <w:color w:val="105C84"/>
                                      <w:spacing w:val="13"/>
                                      <w:sz w:val="20"/>
                                    </w:rPr>
                                    <w:t> </w:t>
                                  </w:r>
                                  <w:r>
                                    <w:rPr>
                                      <w:color w:val="105C84"/>
                                      <w:sz w:val="20"/>
                                    </w:rPr>
                                    <w:t>emotional</w:t>
                                  </w:r>
                                  <w:r>
                                    <w:rPr>
                                      <w:color w:val="105C84"/>
                                      <w:spacing w:val="13"/>
                                      <w:sz w:val="20"/>
                                    </w:rPr>
                                    <w:t> </w:t>
                                  </w:r>
                                  <w:r>
                                    <w:rPr>
                                      <w:color w:val="105C84"/>
                                      <w:sz w:val="20"/>
                                    </w:rPr>
                                    <w:t>health</w:t>
                                  </w:r>
                                  <w:r>
                                    <w:rPr>
                                      <w:color w:val="105C84"/>
                                      <w:spacing w:val="13"/>
                                      <w:sz w:val="20"/>
                                    </w:rPr>
                                    <w:t> </w:t>
                                  </w:r>
                                  <w:r>
                                    <w:rPr>
                                      <w:color w:val="105C84"/>
                                      <w:sz w:val="20"/>
                                    </w:rPr>
                                    <w:t>issues</w:t>
                                  </w:r>
                                  <w:r>
                                    <w:rPr>
                                      <w:color w:val="105C84"/>
                                      <w:spacing w:val="13"/>
                                      <w:sz w:val="20"/>
                                    </w:rPr>
                                    <w:t> </w:t>
                                  </w:r>
                                  <w:r>
                                    <w:rPr>
                                      <w:color w:val="105C84"/>
                                      <w:spacing w:val="-2"/>
                                      <w:sz w:val="20"/>
                                    </w:rPr>
                                    <w:t>(10.5%)</w:t>
                                  </w:r>
                                </w:p>
                              </w:tc>
                            </w:tr>
                            <w:tr>
                              <w:trPr>
                                <w:trHeight w:val="355" w:hRule="atLeast"/>
                              </w:trPr>
                              <w:tc>
                                <w:tcPr>
                                  <w:tcW w:w="4548" w:type="dxa"/>
                                </w:tcPr>
                                <w:p>
                                  <w:pPr>
                                    <w:pStyle w:val="TableParagraph"/>
                                    <w:spacing w:before="90"/>
                                    <w:ind w:left="80"/>
                                    <w:rPr>
                                      <w:sz w:val="20"/>
                                    </w:rPr>
                                  </w:pPr>
                                  <w:r>
                                    <w:rPr>
                                      <w:color w:val="105C84"/>
                                      <w:sz w:val="20"/>
                                    </w:rPr>
                                    <w:t>Cost</w:t>
                                  </w:r>
                                  <w:r>
                                    <w:rPr>
                                      <w:color w:val="105C84"/>
                                      <w:spacing w:val="4"/>
                                      <w:sz w:val="20"/>
                                    </w:rPr>
                                    <w:t> </w:t>
                                  </w:r>
                                  <w:r>
                                    <w:rPr>
                                      <w:color w:val="105C84"/>
                                      <w:spacing w:val="-2"/>
                                      <w:sz w:val="20"/>
                                    </w:rPr>
                                    <w:t>(7.4%)</w:t>
                                  </w:r>
                                </w:p>
                              </w:tc>
                            </w:tr>
                            <w:tr>
                              <w:trPr>
                                <w:trHeight w:val="355" w:hRule="atLeast"/>
                              </w:trPr>
                              <w:tc>
                                <w:tcPr>
                                  <w:tcW w:w="4548" w:type="dxa"/>
                                </w:tcPr>
                                <w:p>
                                  <w:pPr>
                                    <w:pStyle w:val="TableParagraph"/>
                                    <w:spacing w:before="90"/>
                                    <w:ind w:left="80"/>
                                    <w:rPr>
                                      <w:sz w:val="20"/>
                                    </w:rPr>
                                  </w:pPr>
                                  <w:r>
                                    <w:rPr>
                                      <w:color w:val="105C84"/>
                                      <w:sz w:val="20"/>
                                    </w:rPr>
                                    <w:t>Heart</w:t>
                                  </w:r>
                                  <w:r>
                                    <w:rPr>
                                      <w:color w:val="105C84"/>
                                      <w:spacing w:val="22"/>
                                      <w:sz w:val="20"/>
                                    </w:rPr>
                                    <w:t> </w:t>
                                  </w:r>
                                  <w:r>
                                    <w:rPr>
                                      <w:color w:val="105C84"/>
                                      <w:sz w:val="20"/>
                                    </w:rPr>
                                    <w:t>conditions</w:t>
                                  </w:r>
                                  <w:r>
                                    <w:rPr>
                                      <w:color w:val="105C84"/>
                                      <w:spacing w:val="23"/>
                                      <w:sz w:val="20"/>
                                    </w:rPr>
                                    <w:t> </w:t>
                                  </w:r>
                                  <w:r>
                                    <w:rPr>
                                      <w:color w:val="105C84"/>
                                      <w:spacing w:val="-2"/>
                                      <w:sz w:val="20"/>
                                    </w:rPr>
                                    <w:t>(6.6%)</w:t>
                                  </w:r>
                                </w:p>
                              </w:tc>
                            </w:tr>
                          </w:tbl>
                          <w:p>
                            <w:pPr>
                              <w:pStyle w:val="BodyText"/>
                            </w:pPr>
                          </w:p>
                        </w:txbxContent>
                      </wps:txbx>
                      <wps:bodyPr wrap="square" lIns="0" tIns="0" rIns="0" bIns="0" rtlCol="0">
                        <a:noAutofit/>
                      </wps:bodyPr>
                    </wps:wsp>
                  </a:graphicData>
                </a:graphic>
              </wp:anchor>
            </w:drawing>
          </mc:Choice>
          <mc:Fallback>
            <w:pict>
              <v:shape style="position:absolute;margin-left:663pt;margin-top:-88.162308pt;width:233.65pt;height:108.25pt;mso-position-horizontal-relative:page;mso-position-vertical-relative:paragraph;z-index:15853568" type="#_x0000_t202" id="docshape928" filled="false" stroked="false">
                <v:textbox inset="0,0,0,0">
                  <w:txbxContent>
                    <w:tbl>
                      <w:tblPr>
                        <w:tblW w:w="0" w:type="auto"/>
                        <w:jc w:val="left"/>
                        <w:tblInd w:w="62" w:type="dxa"/>
                        <w:tblBorders>
                          <w:top w:val="single" w:sz="2" w:space="0" w:color="636466"/>
                          <w:left w:val="single" w:sz="2" w:space="0" w:color="636466"/>
                          <w:bottom w:val="single" w:sz="2" w:space="0" w:color="636466"/>
                          <w:right w:val="single" w:sz="2" w:space="0" w:color="636466"/>
                          <w:insideH w:val="single" w:sz="2" w:space="0" w:color="636466"/>
                          <w:insideV w:val="single" w:sz="2" w:space="0" w:color="636466"/>
                        </w:tblBorders>
                        <w:tblLayout w:type="fixed"/>
                        <w:tblCellMar>
                          <w:top w:w="0" w:type="dxa"/>
                          <w:left w:w="0" w:type="dxa"/>
                          <w:bottom w:w="0" w:type="dxa"/>
                          <w:right w:w="0" w:type="dxa"/>
                        </w:tblCellMar>
                        <w:tblLook w:val="01E0"/>
                      </w:tblPr>
                      <w:tblGrid>
                        <w:gridCol w:w="4548"/>
                      </w:tblGrid>
                      <w:tr>
                        <w:trPr>
                          <w:trHeight w:val="355" w:hRule="atLeast"/>
                        </w:trPr>
                        <w:tc>
                          <w:tcPr>
                            <w:tcW w:w="4548" w:type="dxa"/>
                            <w:shd w:val="clear" w:color="auto" w:fill="82BF6A"/>
                          </w:tcPr>
                          <w:p>
                            <w:pPr>
                              <w:pStyle w:val="TableParagraph"/>
                              <w:spacing w:before="90"/>
                              <w:ind w:left="80"/>
                              <w:rPr>
                                <w:b/>
                                <w:sz w:val="20"/>
                              </w:rPr>
                            </w:pPr>
                            <w:r>
                              <w:rPr>
                                <w:b/>
                                <w:color w:val="FFFFFF"/>
                                <w:sz w:val="20"/>
                              </w:rPr>
                              <w:t>BIGGEST</w:t>
                            </w:r>
                            <w:r>
                              <w:rPr>
                                <w:b/>
                                <w:color w:val="FFFFFF"/>
                                <w:spacing w:val="-10"/>
                                <w:sz w:val="20"/>
                              </w:rPr>
                              <w:t> </w:t>
                            </w:r>
                            <w:r>
                              <w:rPr>
                                <w:b/>
                                <w:color w:val="FFFFFF"/>
                                <w:sz w:val="20"/>
                              </w:rPr>
                              <w:t>FEAR</w:t>
                            </w:r>
                            <w:r>
                              <w:rPr>
                                <w:b/>
                                <w:color w:val="FFFFFF"/>
                                <w:spacing w:val="-10"/>
                                <w:sz w:val="20"/>
                              </w:rPr>
                              <w:t> </w:t>
                            </w:r>
                            <w:r>
                              <w:rPr>
                                <w:b/>
                                <w:color w:val="FFFFFF"/>
                                <w:sz w:val="20"/>
                              </w:rPr>
                              <w:t>-</w:t>
                            </w:r>
                            <w:r>
                              <w:rPr>
                                <w:b/>
                                <w:color w:val="FFFFFF"/>
                                <w:spacing w:val="-9"/>
                                <w:sz w:val="20"/>
                              </w:rPr>
                              <w:t> </w:t>
                            </w:r>
                            <w:r>
                              <w:rPr>
                                <w:b/>
                                <w:color w:val="FFFFFF"/>
                                <w:sz w:val="20"/>
                              </w:rPr>
                              <w:t>FOR</w:t>
                            </w:r>
                            <w:r>
                              <w:rPr>
                                <w:b/>
                                <w:color w:val="FFFFFF"/>
                                <w:spacing w:val="-10"/>
                                <w:sz w:val="20"/>
                              </w:rPr>
                              <w:t> </w:t>
                            </w:r>
                            <w:r>
                              <w:rPr>
                                <w:b/>
                                <w:color w:val="FFFFFF"/>
                                <w:spacing w:val="-4"/>
                                <w:sz w:val="20"/>
                              </w:rPr>
                              <w:t>SELF</w:t>
                            </w:r>
                          </w:p>
                        </w:tc>
                      </w:tr>
                      <w:tr>
                        <w:trPr>
                          <w:trHeight w:val="355" w:hRule="atLeast"/>
                        </w:trPr>
                        <w:tc>
                          <w:tcPr>
                            <w:tcW w:w="4548" w:type="dxa"/>
                          </w:tcPr>
                          <w:p>
                            <w:pPr>
                              <w:pStyle w:val="TableParagraph"/>
                              <w:spacing w:before="90"/>
                              <w:ind w:left="80"/>
                              <w:rPr>
                                <w:sz w:val="20"/>
                              </w:rPr>
                            </w:pPr>
                            <w:r>
                              <w:rPr>
                                <w:color w:val="105C84"/>
                                <w:sz w:val="20"/>
                              </w:rPr>
                              <w:t>Weight</w:t>
                            </w:r>
                            <w:r>
                              <w:rPr>
                                <w:color w:val="105C84"/>
                                <w:spacing w:val="27"/>
                                <w:sz w:val="20"/>
                              </w:rPr>
                              <w:t> </w:t>
                            </w:r>
                            <w:r>
                              <w:rPr>
                                <w:color w:val="105C84"/>
                                <w:spacing w:val="-2"/>
                                <w:sz w:val="20"/>
                              </w:rPr>
                              <w:t>(14.6%)</w:t>
                            </w:r>
                          </w:p>
                        </w:tc>
                      </w:tr>
                      <w:tr>
                        <w:trPr>
                          <w:trHeight w:val="355" w:hRule="atLeast"/>
                        </w:trPr>
                        <w:tc>
                          <w:tcPr>
                            <w:tcW w:w="4548" w:type="dxa"/>
                          </w:tcPr>
                          <w:p>
                            <w:pPr>
                              <w:pStyle w:val="TableParagraph"/>
                              <w:spacing w:before="90"/>
                              <w:ind w:left="80"/>
                              <w:rPr>
                                <w:sz w:val="20"/>
                              </w:rPr>
                            </w:pPr>
                            <w:r>
                              <w:rPr>
                                <w:color w:val="105C84"/>
                                <w:sz w:val="20"/>
                              </w:rPr>
                              <w:t>Aging</w:t>
                            </w:r>
                            <w:r>
                              <w:rPr>
                                <w:color w:val="105C84"/>
                                <w:spacing w:val="33"/>
                                <w:sz w:val="20"/>
                              </w:rPr>
                              <w:t> </w:t>
                            </w:r>
                            <w:r>
                              <w:rPr>
                                <w:color w:val="105C84"/>
                                <w:spacing w:val="-2"/>
                                <w:sz w:val="20"/>
                              </w:rPr>
                              <w:t>(12.2%)</w:t>
                            </w:r>
                          </w:p>
                        </w:tc>
                      </w:tr>
                      <w:tr>
                        <w:trPr>
                          <w:trHeight w:val="355" w:hRule="atLeast"/>
                        </w:trPr>
                        <w:tc>
                          <w:tcPr>
                            <w:tcW w:w="4548" w:type="dxa"/>
                          </w:tcPr>
                          <w:p>
                            <w:pPr>
                              <w:pStyle w:val="TableParagraph"/>
                              <w:spacing w:before="90"/>
                              <w:ind w:left="80"/>
                              <w:rPr>
                                <w:sz w:val="20"/>
                              </w:rPr>
                            </w:pPr>
                            <w:r>
                              <w:rPr>
                                <w:color w:val="105C84"/>
                                <w:sz w:val="20"/>
                              </w:rPr>
                              <w:t>Mental</w:t>
                            </w:r>
                            <w:r>
                              <w:rPr>
                                <w:color w:val="105C84"/>
                                <w:spacing w:val="13"/>
                                <w:sz w:val="20"/>
                              </w:rPr>
                              <w:t> </w:t>
                            </w:r>
                            <w:r>
                              <w:rPr>
                                <w:color w:val="105C84"/>
                                <w:sz w:val="20"/>
                              </w:rPr>
                              <w:t>/</w:t>
                            </w:r>
                            <w:r>
                              <w:rPr>
                                <w:color w:val="105C84"/>
                                <w:spacing w:val="13"/>
                                <w:sz w:val="20"/>
                              </w:rPr>
                              <w:t> </w:t>
                            </w:r>
                            <w:r>
                              <w:rPr>
                                <w:color w:val="105C84"/>
                                <w:sz w:val="20"/>
                              </w:rPr>
                              <w:t>emotional</w:t>
                            </w:r>
                            <w:r>
                              <w:rPr>
                                <w:color w:val="105C84"/>
                                <w:spacing w:val="13"/>
                                <w:sz w:val="20"/>
                              </w:rPr>
                              <w:t> </w:t>
                            </w:r>
                            <w:r>
                              <w:rPr>
                                <w:color w:val="105C84"/>
                                <w:sz w:val="20"/>
                              </w:rPr>
                              <w:t>health</w:t>
                            </w:r>
                            <w:r>
                              <w:rPr>
                                <w:color w:val="105C84"/>
                                <w:spacing w:val="13"/>
                                <w:sz w:val="20"/>
                              </w:rPr>
                              <w:t> </w:t>
                            </w:r>
                            <w:r>
                              <w:rPr>
                                <w:color w:val="105C84"/>
                                <w:sz w:val="20"/>
                              </w:rPr>
                              <w:t>issues</w:t>
                            </w:r>
                            <w:r>
                              <w:rPr>
                                <w:color w:val="105C84"/>
                                <w:spacing w:val="13"/>
                                <w:sz w:val="20"/>
                              </w:rPr>
                              <w:t> </w:t>
                            </w:r>
                            <w:r>
                              <w:rPr>
                                <w:color w:val="105C84"/>
                                <w:spacing w:val="-2"/>
                                <w:sz w:val="20"/>
                              </w:rPr>
                              <w:t>(10.5%)</w:t>
                            </w:r>
                          </w:p>
                        </w:tc>
                      </w:tr>
                      <w:tr>
                        <w:trPr>
                          <w:trHeight w:val="355" w:hRule="atLeast"/>
                        </w:trPr>
                        <w:tc>
                          <w:tcPr>
                            <w:tcW w:w="4548" w:type="dxa"/>
                          </w:tcPr>
                          <w:p>
                            <w:pPr>
                              <w:pStyle w:val="TableParagraph"/>
                              <w:spacing w:before="90"/>
                              <w:ind w:left="80"/>
                              <w:rPr>
                                <w:sz w:val="20"/>
                              </w:rPr>
                            </w:pPr>
                            <w:r>
                              <w:rPr>
                                <w:color w:val="105C84"/>
                                <w:sz w:val="20"/>
                              </w:rPr>
                              <w:t>Cost</w:t>
                            </w:r>
                            <w:r>
                              <w:rPr>
                                <w:color w:val="105C84"/>
                                <w:spacing w:val="4"/>
                                <w:sz w:val="20"/>
                              </w:rPr>
                              <w:t> </w:t>
                            </w:r>
                            <w:r>
                              <w:rPr>
                                <w:color w:val="105C84"/>
                                <w:spacing w:val="-2"/>
                                <w:sz w:val="20"/>
                              </w:rPr>
                              <w:t>(7.4%)</w:t>
                            </w:r>
                          </w:p>
                        </w:tc>
                      </w:tr>
                      <w:tr>
                        <w:trPr>
                          <w:trHeight w:val="355" w:hRule="atLeast"/>
                        </w:trPr>
                        <w:tc>
                          <w:tcPr>
                            <w:tcW w:w="4548" w:type="dxa"/>
                          </w:tcPr>
                          <w:p>
                            <w:pPr>
                              <w:pStyle w:val="TableParagraph"/>
                              <w:spacing w:before="90"/>
                              <w:ind w:left="80"/>
                              <w:rPr>
                                <w:sz w:val="20"/>
                              </w:rPr>
                            </w:pPr>
                            <w:r>
                              <w:rPr>
                                <w:color w:val="105C84"/>
                                <w:sz w:val="20"/>
                              </w:rPr>
                              <w:t>Heart</w:t>
                            </w:r>
                            <w:r>
                              <w:rPr>
                                <w:color w:val="105C84"/>
                                <w:spacing w:val="22"/>
                                <w:sz w:val="20"/>
                              </w:rPr>
                              <w:t> </w:t>
                            </w:r>
                            <w:r>
                              <w:rPr>
                                <w:color w:val="105C84"/>
                                <w:sz w:val="20"/>
                              </w:rPr>
                              <w:t>conditions</w:t>
                            </w:r>
                            <w:r>
                              <w:rPr>
                                <w:color w:val="105C84"/>
                                <w:spacing w:val="23"/>
                                <w:sz w:val="20"/>
                              </w:rPr>
                              <w:t> </w:t>
                            </w:r>
                            <w:r>
                              <w:rPr>
                                <w:color w:val="105C84"/>
                                <w:spacing w:val="-2"/>
                                <w:sz w:val="20"/>
                              </w:rPr>
                              <w:t>(6.6%)</w:t>
                            </w:r>
                          </w:p>
                        </w:tc>
                      </w:tr>
                    </w:tbl>
                    <w:p>
                      <w:pPr>
                        <w:pStyle w:val="BodyText"/>
                      </w:pPr>
                    </w:p>
                  </w:txbxContent>
                </v:textbox>
                <w10:wrap type="none"/>
              </v:shape>
            </w:pict>
          </mc:Fallback>
        </mc:AlternateContent>
      </w:r>
      <w:r>
        <w:rPr>
          <w:sz w:val="18"/>
        </w:rPr>
        <mc:AlternateContent>
          <mc:Choice Requires="wps">
            <w:drawing>
              <wp:anchor distT="0" distB="0" distL="0" distR="0" allowOverlap="1" layoutInCell="1" locked="0" behindDoc="0" simplePos="0" relativeHeight="15854080">
                <wp:simplePos x="0" y="0"/>
                <wp:positionH relativeFrom="page">
                  <wp:posOffset>11655488</wp:posOffset>
                </wp:positionH>
                <wp:positionV relativeFrom="paragraph">
                  <wp:posOffset>-1119661</wp:posOffset>
                </wp:positionV>
                <wp:extent cx="3114040" cy="1374775"/>
                <wp:effectExtent l="0" t="0" r="0" b="0"/>
                <wp:wrapNone/>
                <wp:docPr id="1137" name="Textbox 1137"/>
                <wp:cNvGraphicFramePr>
                  <a:graphicFrameLocks/>
                </wp:cNvGraphicFramePr>
                <a:graphic>
                  <a:graphicData uri="http://schemas.microsoft.com/office/word/2010/wordprocessingShape">
                    <wps:wsp>
                      <wps:cNvPr id="1137" name="Textbox 1137"/>
                      <wps:cNvSpPr txBox="1"/>
                      <wps:spPr>
                        <a:xfrm>
                          <a:off x="0" y="0"/>
                          <a:ext cx="3114040" cy="1374775"/>
                        </a:xfrm>
                        <a:prstGeom prst="rect">
                          <a:avLst/>
                        </a:prstGeom>
                      </wps:spPr>
                      <wps:txbx>
                        <w:txbxContent>
                          <w:tbl>
                            <w:tblPr>
                              <w:tblW w:w="0" w:type="auto"/>
                              <w:jc w:val="left"/>
                              <w:tblInd w:w="62" w:type="dxa"/>
                              <w:tblBorders>
                                <w:top w:val="single" w:sz="2" w:space="0" w:color="636466"/>
                                <w:left w:val="single" w:sz="2" w:space="0" w:color="636466"/>
                                <w:bottom w:val="single" w:sz="2" w:space="0" w:color="636466"/>
                                <w:right w:val="single" w:sz="2" w:space="0" w:color="636466"/>
                                <w:insideH w:val="single" w:sz="2" w:space="0" w:color="636466"/>
                                <w:insideV w:val="single" w:sz="2" w:space="0" w:color="636466"/>
                              </w:tblBorders>
                              <w:tblLayout w:type="fixed"/>
                              <w:tblCellMar>
                                <w:top w:w="0" w:type="dxa"/>
                                <w:left w:w="0" w:type="dxa"/>
                                <w:bottom w:w="0" w:type="dxa"/>
                                <w:right w:w="0" w:type="dxa"/>
                              </w:tblCellMar>
                              <w:tblLook w:val="01E0"/>
                            </w:tblPr>
                            <w:tblGrid>
                              <w:gridCol w:w="4778"/>
                            </w:tblGrid>
                            <w:tr>
                              <w:trPr>
                                <w:trHeight w:val="355" w:hRule="atLeast"/>
                              </w:trPr>
                              <w:tc>
                                <w:tcPr>
                                  <w:tcW w:w="4778" w:type="dxa"/>
                                  <w:shd w:val="clear" w:color="auto" w:fill="00A79E"/>
                                </w:tcPr>
                                <w:p>
                                  <w:pPr>
                                    <w:pStyle w:val="TableParagraph"/>
                                    <w:spacing w:before="90"/>
                                    <w:ind w:left="79"/>
                                    <w:rPr>
                                      <w:b/>
                                      <w:sz w:val="20"/>
                                    </w:rPr>
                                  </w:pPr>
                                  <w:r>
                                    <w:rPr>
                                      <w:b/>
                                      <w:color w:val="FFFFFF"/>
                                      <w:spacing w:val="-2"/>
                                      <w:sz w:val="20"/>
                                    </w:rPr>
                                    <w:t>BIGGEST</w:t>
                                  </w:r>
                                  <w:r>
                                    <w:rPr>
                                      <w:b/>
                                      <w:color w:val="FFFFFF"/>
                                      <w:spacing w:val="-6"/>
                                      <w:sz w:val="20"/>
                                    </w:rPr>
                                    <w:t> </w:t>
                                  </w:r>
                                  <w:r>
                                    <w:rPr>
                                      <w:b/>
                                      <w:color w:val="FFFFFF"/>
                                      <w:spacing w:val="-2"/>
                                      <w:sz w:val="20"/>
                                    </w:rPr>
                                    <w:t>FEAR</w:t>
                                  </w:r>
                                  <w:r>
                                    <w:rPr>
                                      <w:b/>
                                      <w:color w:val="FFFFFF"/>
                                      <w:spacing w:val="-6"/>
                                      <w:sz w:val="20"/>
                                    </w:rPr>
                                    <w:t> </w:t>
                                  </w:r>
                                  <w:r>
                                    <w:rPr>
                                      <w:b/>
                                      <w:color w:val="FFFFFF"/>
                                      <w:spacing w:val="-2"/>
                                      <w:sz w:val="20"/>
                                    </w:rPr>
                                    <w:t>-FOR</w:t>
                                  </w:r>
                                  <w:r>
                                    <w:rPr>
                                      <w:b/>
                                      <w:color w:val="FFFFFF"/>
                                      <w:spacing w:val="-5"/>
                                      <w:sz w:val="20"/>
                                    </w:rPr>
                                    <w:t> </w:t>
                                  </w:r>
                                  <w:r>
                                    <w:rPr>
                                      <w:b/>
                                      <w:color w:val="FFFFFF"/>
                                      <w:spacing w:val="-2"/>
                                      <w:sz w:val="20"/>
                                    </w:rPr>
                                    <w:t>OTHERS</w:t>
                                  </w:r>
                                </w:p>
                              </w:tc>
                            </w:tr>
                            <w:tr>
                              <w:trPr>
                                <w:trHeight w:val="355" w:hRule="atLeast"/>
                              </w:trPr>
                              <w:tc>
                                <w:tcPr>
                                  <w:tcW w:w="4778" w:type="dxa"/>
                                </w:tcPr>
                                <w:p>
                                  <w:pPr>
                                    <w:pStyle w:val="TableParagraph"/>
                                    <w:spacing w:before="90"/>
                                    <w:ind w:left="79"/>
                                    <w:rPr>
                                      <w:sz w:val="20"/>
                                    </w:rPr>
                                  </w:pPr>
                                  <w:r>
                                    <w:rPr>
                                      <w:color w:val="105C84"/>
                                      <w:sz w:val="20"/>
                                    </w:rPr>
                                    <w:t>Mental</w:t>
                                  </w:r>
                                  <w:r>
                                    <w:rPr>
                                      <w:color w:val="105C84"/>
                                      <w:spacing w:val="13"/>
                                      <w:sz w:val="20"/>
                                    </w:rPr>
                                    <w:t> </w:t>
                                  </w:r>
                                  <w:r>
                                    <w:rPr>
                                      <w:color w:val="105C84"/>
                                      <w:sz w:val="20"/>
                                    </w:rPr>
                                    <w:t>/</w:t>
                                  </w:r>
                                  <w:r>
                                    <w:rPr>
                                      <w:color w:val="105C84"/>
                                      <w:spacing w:val="13"/>
                                      <w:sz w:val="20"/>
                                    </w:rPr>
                                    <w:t> </w:t>
                                  </w:r>
                                  <w:r>
                                    <w:rPr>
                                      <w:color w:val="105C84"/>
                                      <w:sz w:val="20"/>
                                    </w:rPr>
                                    <w:t>emotional</w:t>
                                  </w:r>
                                  <w:r>
                                    <w:rPr>
                                      <w:color w:val="105C84"/>
                                      <w:spacing w:val="13"/>
                                      <w:sz w:val="20"/>
                                    </w:rPr>
                                    <w:t> </w:t>
                                  </w:r>
                                  <w:r>
                                    <w:rPr>
                                      <w:color w:val="105C84"/>
                                      <w:sz w:val="20"/>
                                    </w:rPr>
                                    <w:t>health</w:t>
                                  </w:r>
                                  <w:r>
                                    <w:rPr>
                                      <w:color w:val="105C84"/>
                                      <w:spacing w:val="13"/>
                                      <w:sz w:val="20"/>
                                    </w:rPr>
                                    <w:t> </w:t>
                                  </w:r>
                                  <w:r>
                                    <w:rPr>
                                      <w:color w:val="105C84"/>
                                      <w:sz w:val="20"/>
                                    </w:rPr>
                                    <w:t>issues</w:t>
                                  </w:r>
                                  <w:r>
                                    <w:rPr>
                                      <w:color w:val="105C84"/>
                                      <w:spacing w:val="13"/>
                                      <w:sz w:val="20"/>
                                    </w:rPr>
                                    <w:t> </w:t>
                                  </w:r>
                                  <w:r>
                                    <w:rPr>
                                      <w:color w:val="105C84"/>
                                      <w:spacing w:val="-2"/>
                                      <w:sz w:val="20"/>
                                    </w:rPr>
                                    <w:t>(13.8%)</w:t>
                                  </w:r>
                                </w:p>
                              </w:tc>
                            </w:tr>
                            <w:tr>
                              <w:trPr>
                                <w:trHeight w:val="355" w:hRule="atLeast"/>
                              </w:trPr>
                              <w:tc>
                                <w:tcPr>
                                  <w:tcW w:w="4778" w:type="dxa"/>
                                </w:tcPr>
                                <w:p>
                                  <w:pPr>
                                    <w:pStyle w:val="TableParagraph"/>
                                    <w:spacing w:before="90"/>
                                    <w:ind w:left="79"/>
                                    <w:rPr>
                                      <w:sz w:val="20"/>
                                    </w:rPr>
                                  </w:pPr>
                                  <w:r>
                                    <w:rPr>
                                      <w:color w:val="105C84"/>
                                      <w:sz w:val="20"/>
                                    </w:rPr>
                                    <w:t>Cost</w:t>
                                  </w:r>
                                  <w:r>
                                    <w:rPr>
                                      <w:color w:val="105C84"/>
                                      <w:spacing w:val="4"/>
                                      <w:sz w:val="20"/>
                                    </w:rPr>
                                    <w:t> </w:t>
                                  </w:r>
                                  <w:r>
                                    <w:rPr>
                                      <w:color w:val="105C84"/>
                                      <w:spacing w:val="-2"/>
                                      <w:sz w:val="20"/>
                                    </w:rPr>
                                    <w:t>(8.7%)</w:t>
                                  </w:r>
                                </w:p>
                              </w:tc>
                            </w:tr>
                            <w:tr>
                              <w:trPr>
                                <w:trHeight w:val="355" w:hRule="atLeast"/>
                              </w:trPr>
                              <w:tc>
                                <w:tcPr>
                                  <w:tcW w:w="4778" w:type="dxa"/>
                                </w:tcPr>
                                <w:p>
                                  <w:pPr>
                                    <w:pStyle w:val="TableParagraph"/>
                                    <w:spacing w:before="90"/>
                                    <w:ind w:left="79"/>
                                    <w:rPr>
                                      <w:sz w:val="20"/>
                                    </w:rPr>
                                  </w:pPr>
                                  <w:r>
                                    <w:rPr>
                                      <w:color w:val="105C84"/>
                                      <w:sz w:val="20"/>
                                    </w:rPr>
                                    <w:t>Diet</w:t>
                                  </w:r>
                                  <w:r>
                                    <w:rPr>
                                      <w:color w:val="105C84"/>
                                      <w:spacing w:val="30"/>
                                      <w:sz w:val="20"/>
                                    </w:rPr>
                                    <w:t> </w:t>
                                  </w:r>
                                  <w:r>
                                    <w:rPr>
                                      <w:color w:val="105C84"/>
                                      <w:sz w:val="20"/>
                                    </w:rPr>
                                    <w:t>/</w:t>
                                  </w:r>
                                  <w:r>
                                    <w:rPr>
                                      <w:color w:val="105C84"/>
                                      <w:spacing w:val="30"/>
                                      <w:sz w:val="20"/>
                                    </w:rPr>
                                    <w:t> </w:t>
                                  </w:r>
                                  <w:r>
                                    <w:rPr>
                                      <w:color w:val="105C84"/>
                                      <w:sz w:val="20"/>
                                    </w:rPr>
                                    <w:t>nutrition</w:t>
                                  </w:r>
                                  <w:r>
                                    <w:rPr>
                                      <w:color w:val="105C84"/>
                                      <w:spacing w:val="31"/>
                                      <w:sz w:val="20"/>
                                    </w:rPr>
                                    <w:t> </w:t>
                                  </w:r>
                                  <w:r>
                                    <w:rPr>
                                      <w:color w:val="105C84"/>
                                      <w:spacing w:val="-2"/>
                                      <w:sz w:val="20"/>
                                    </w:rPr>
                                    <w:t>(7.7%)</w:t>
                                  </w:r>
                                </w:p>
                              </w:tc>
                            </w:tr>
                            <w:tr>
                              <w:trPr>
                                <w:trHeight w:val="355" w:hRule="atLeast"/>
                              </w:trPr>
                              <w:tc>
                                <w:tcPr>
                                  <w:tcW w:w="4778" w:type="dxa"/>
                                </w:tcPr>
                                <w:p>
                                  <w:pPr>
                                    <w:pStyle w:val="TableParagraph"/>
                                    <w:spacing w:before="90"/>
                                    <w:ind w:left="79"/>
                                    <w:rPr>
                                      <w:sz w:val="20"/>
                                    </w:rPr>
                                  </w:pPr>
                                  <w:r>
                                    <w:rPr>
                                      <w:color w:val="105C84"/>
                                      <w:sz w:val="20"/>
                                    </w:rPr>
                                    <w:t>Heart</w:t>
                                  </w:r>
                                  <w:r>
                                    <w:rPr>
                                      <w:color w:val="105C84"/>
                                      <w:spacing w:val="22"/>
                                      <w:sz w:val="20"/>
                                    </w:rPr>
                                    <w:t> </w:t>
                                  </w:r>
                                  <w:r>
                                    <w:rPr>
                                      <w:color w:val="105C84"/>
                                      <w:sz w:val="20"/>
                                    </w:rPr>
                                    <w:t>conditions</w:t>
                                  </w:r>
                                  <w:r>
                                    <w:rPr>
                                      <w:color w:val="105C84"/>
                                      <w:spacing w:val="23"/>
                                      <w:sz w:val="20"/>
                                    </w:rPr>
                                    <w:t> </w:t>
                                  </w:r>
                                  <w:r>
                                    <w:rPr>
                                      <w:color w:val="105C84"/>
                                      <w:spacing w:val="-2"/>
                                      <w:sz w:val="20"/>
                                    </w:rPr>
                                    <w:t>(6.9%)</w:t>
                                  </w:r>
                                </w:p>
                              </w:tc>
                            </w:tr>
                            <w:tr>
                              <w:trPr>
                                <w:trHeight w:val="355" w:hRule="atLeast"/>
                              </w:trPr>
                              <w:tc>
                                <w:tcPr>
                                  <w:tcW w:w="4778" w:type="dxa"/>
                                </w:tcPr>
                                <w:p>
                                  <w:pPr>
                                    <w:pStyle w:val="TableParagraph"/>
                                    <w:spacing w:before="90"/>
                                    <w:ind w:left="79"/>
                                    <w:rPr>
                                      <w:sz w:val="20"/>
                                    </w:rPr>
                                  </w:pPr>
                                  <w:r>
                                    <w:rPr>
                                      <w:color w:val="105C84"/>
                                      <w:sz w:val="20"/>
                                    </w:rPr>
                                    <w:t>Weight</w:t>
                                  </w:r>
                                  <w:r>
                                    <w:rPr>
                                      <w:color w:val="105C84"/>
                                      <w:spacing w:val="27"/>
                                      <w:sz w:val="20"/>
                                    </w:rPr>
                                    <w:t> </w:t>
                                  </w:r>
                                  <w:r>
                                    <w:rPr>
                                      <w:color w:val="105C84"/>
                                      <w:spacing w:val="-2"/>
                                      <w:sz w:val="20"/>
                                    </w:rPr>
                                    <w:t>(6.4%)</w:t>
                                  </w:r>
                                </w:p>
                              </w:tc>
                            </w:tr>
                          </w:tbl>
                          <w:p>
                            <w:pPr>
                              <w:pStyle w:val="BodyText"/>
                            </w:pPr>
                          </w:p>
                        </w:txbxContent>
                      </wps:txbx>
                      <wps:bodyPr wrap="square" lIns="0" tIns="0" rIns="0" bIns="0" rtlCol="0">
                        <a:noAutofit/>
                      </wps:bodyPr>
                    </wps:wsp>
                  </a:graphicData>
                </a:graphic>
              </wp:anchor>
            </w:drawing>
          </mc:Choice>
          <mc:Fallback>
            <w:pict>
              <v:shape style="position:absolute;margin-left:917.755005pt;margin-top:-88.162308pt;width:245.2pt;height:108.25pt;mso-position-horizontal-relative:page;mso-position-vertical-relative:paragraph;z-index:15854080" type="#_x0000_t202" id="docshape929" filled="false" stroked="false">
                <v:textbox inset="0,0,0,0">
                  <w:txbxContent>
                    <w:tbl>
                      <w:tblPr>
                        <w:tblW w:w="0" w:type="auto"/>
                        <w:jc w:val="left"/>
                        <w:tblInd w:w="62" w:type="dxa"/>
                        <w:tblBorders>
                          <w:top w:val="single" w:sz="2" w:space="0" w:color="636466"/>
                          <w:left w:val="single" w:sz="2" w:space="0" w:color="636466"/>
                          <w:bottom w:val="single" w:sz="2" w:space="0" w:color="636466"/>
                          <w:right w:val="single" w:sz="2" w:space="0" w:color="636466"/>
                          <w:insideH w:val="single" w:sz="2" w:space="0" w:color="636466"/>
                          <w:insideV w:val="single" w:sz="2" w:space="0" w:color="636466"/>
                        </w:tblBorders>
                        <w:tblLayout w:type="fixed"/>
                        <w:tblCellMar>
                          <w:top w:w="0" w:type="dxa"/>
                          <w:left w:w="0" w:type="dxa"/>
                          <w:bottom w:w="0" w:type="dxa"/>
                          <w:right w:w="0" w:type="dxa"/>
                        </w:tblCellMar>
                        <w:tblLook w:val="01E0"/>
                      </w:tblPr>
                      <w:tblGrid>
                        <w:gridCol w:w="4778"/>
                      </w:tblGrid>
                      <w:tr>
                        <w:trPr>
                          <w:trHeight w:val="355" w:hRule="atLeast"/>
                        </w:trPr>
                        <w:tc>
                          <w:tcPr>
                            <w:tcW w:w="4778" w:type="dxa"/>
                            <w:shd w:val="clear" w:color="auto" w:fill="00A79E"/>
                          </w:tcPr>
                          <w:p>
                            <w:pPr>
                              <w:pStyle w:val="TableParagraph"/>
                              <w:spacing w:before="90"/>
                              <w:ind w:left="79"/>
                              <w:rPr>
                                <w:b/>
                                <w:sz w:val="20"/>
                              </w:rPr>
                            </w:pPr>
                            <w:r>
                              <w:rPr>
                                <w:b/>
                                <w:color w:val="FFFFFF"/>
                                <w:spacing w:val="-2"/>
                                <w:sz w:val="20"/>
                              </w:rPr>
                              <w:t>BIGGEST</w:t>
                            </w:r>
                            <w:r>
                              <w:rPr>
                                <w:b/>
                                <w:color w:val="FFFFFF"/>
                                <w:spacing w:val="-6"/>
                                <w:sz w:val="20"/>
                              </w:rPr>
                              <w:t> </w:t>
                            </w:r>
                            <w:r>
                              <w:rPr>
                                <w:b/>
                                <w:color w:val="FFFFFF"/>
                                <w:spacing w:val="-2"/>
                                <w:sz w:val="20"/>
                              </w:rPr>
                              <w:t>FEAR</w:t>
                            </w:r>
                            <w:r>
                              <w:rPr>
                                <w:b/>
                                <w:color w:val="FFFFFF"/>
                                <w:spacing w:val="-6"/>
                                <w:sz w:val="20"/>
                              </w:rPr>
                              <w:t> </w:t>
                            </w:r>
                            <w:r>
                              <w:rPr>
                                <w:b/>
                                <w:color w:val="FFFFFF"/>
                                <w:spacing w:val="-2"/>
                                <w:sz w:val="20"/>
                              </w:rPr>
                              <w:t>-FOR</w:t>
                            </w:r>
                            <w:r>
                              <w:rPr>
                                <w:b/>
                                <w:color w:val="FFFFFF"/>
                                <w:spacing w:val="-5"/>
                                <w:sz w:val="20"/>
                              </w:rPr>
                              <w:t> </w:t>
                            </w:r>
                            <w:r>
                              <w:rPr>
                                <w:b/>
                                <w:color w:val="FFFFFF"/>
                                <w:spacing w:val="-2"/>
                                <w:sz w:val="20"/>
                              </w:rPr>
                              <w:t>OTHERS</w:t>
                            </w:r>
                          </w:p>
                        </w:tc>
                      </w:tr>
                      <w:tr>
                        <w:trPr>
                          <w:trHeight w:val="355" w:hRule="atLeast"/>
                        </w:trPr>
                        <w:tc>
                          <w:tcPr>
                            <w:tcW w:w="4778" w:type="dxa"/>
                          </w:tcPr>
                          <w:p>
                            <w:pPr>
                              <w:pStyle w:val="TableParagraph"/>
                              <w:spacing w:before="90"/>
                              <w:ind w:left="79"/>
                              <w:rPr>
                                <w:sz w:val="20"/>
                              </w:rPr>
                            </w:pPr>
                            <w:r>
                              <w:rPr>
                                <w:color w:val="105C84"/>
                                <w:sz w:val="20"/>
                              </w:rPr>
                              <w:t>Mental</w:t>
                            </w:r>
                            <w:r>
                              <w:rPr>
                                <w:color w:val="105C84"/>
                                <w:spacing w:val="13"/>
                                <w:sz w:val="20"/>
                              </w:rPr>
                              <w:t> </w:t>
                            </w:r>
                            <w:r>
                              <w:rPr>
                                <w:color w:val="105C84"/>
                                <w:sz w:val="20"/>
                              </w:rPr>
                              <w:t>/</w:t>
                            </w:r>
                            <w:r>
                              <w:rPr>
                                <w:color w:val="105C84"/>
                                <w:spacing w:val="13"/>
                                <w:sz w:val="20"/>
                              </w:rPr>
                              <w:t> </w:t>
                            </w:r>
                            <w:r>
                              <w:rPr>
                                <w:color w:val="105C84"/>
                                <w:sz w:val="20"/>
                              </w:rPr>
                              <w:t>emotional</w:t>
                            </w:r>
                            <w:r>
                              <w:rPr>
                                <w:color w:val="105C84"/>
                                <w:spacing w:val="13"/>
                                <w:sz w:val="20"/>
                              </w:rPr>
                              <w:t> </w:t>
                            </w:r>
                            <w:r>
                              <w:rPr>
                                <w:color w:val="105C84"/>
                                <w:sz w:val="20"/>
                              </w:rPr>
                              <w:t>health</w:t>
                            </w:r>
                            <w:r>
                              <w:rPr>
                                <w:color w:val="105C84"/>
                                <w:spacing w:val="13"/>
                                <w:sz w:val="20"/>
                              </w:rPr>
                              <w:t> </w:t>
                            </w:r>
                            <w:r>
                              <w:rPr>
                                <w:color w:val="105C84"/>
                                <w:sz w:val="20"/>
                              </w:rPr>
                              <w:t>issues</w:t>
                            </w:r>
                            <w:r>
                              <w:rPr>
                                <w:color w:val="105C84"/>
                                <w:spacing w:val="13"/>
                                <w:sz w:val="20"/>
                              </w:rPr>
                              <w:t> </w:t>
                            </w:r>
                            <w:r>
                              <w:rPr>
                                <w:color w:val="105C84"/>
                                <w:spacing w:val="-2"/>
                                <w:sz w:val="20"/>
                              </w:rPr>
                              <w:t>(13.8%)</w:t>
                            </w:r>
                          </w:p>
                        </w:tc>
                      </w:tr>
                      <w:tr>
                        <w:trPr>
                          <w:trHeight w:val="355" w:hRule="atLeast"/>
                        </w:trPr>
                        <w:tc>
                          <w:tcPr>
                            <w:tcW w:w="4778" w:type="dxa"/>
                          </w:tcPr>
                          <w:p>
                            <w:pPr>
                              <w:pStyle w:val="TableParagraph"/>
                              <w:spacing w:before="90"/>
                              <w:ind w:left="79"/>
                              <w:rPr>
                                <w:sz w:val="20"/>
                              </w:rPr>
                            </w:pPr>
                            <w:r>
                              <w:rPr>
                                <w:color w:val="105C84"/>
                                <w:sz w:val="20"/>
                              </w:rPr>
                              <w:t>Cost</w:t>
                            </w:r>
                            <w:r>
                              <w:rPr>
                                <w:color w:val="105C84"/>
                                <w:spacing w:val="4"/>
                                <w:sz w:val="20"/>
                              </w:rPr>
                              <w:t> </w:t>
                            </w:r>
                            <w:r>
                              <w:rPr>
                                <w:color w:val="105C84"/>
                                <w:spacing w:val="-2"/>
                                <w:sz w:val="20"/>
                              </w:rPr>
                              <w:t>(8.7%)</w:t>
                            </w:r>
                          </w:p>
                        </w:tc>
                      </w:tr>
                      <w:tr>
                        <w:trPr>
                          <w:trHeight w:val="355" w:hRule="atLeast"/>
                        </w:trPr>
                        <w:tc>
                          <w:tcPr>
                            <w:tcW w:w="4778" w:type="dxa"/>
                          </w:tcPr>
                          <w:p>
                            <w:pPr>
                              <w:pStyle w:val="TableParagraph"/>
                              <w:spacing w:before="90"/>
                              <w:ind w:left="79"/>
                              <w:rPr>
                                <w:sz w:val="20"/>
                              </w:rPr>
                            </w:pPr>
                            <w:r>
                              <w:rPr>
                                <w:color w:val="105C84"/>
                                <w:sz w:val="20"/>
                              </w:rPr>
                              <w:t>Diet</w:t>
                            </w:r>
                            <w:r>
                              <w:rPr>
                                <w:color w:val="105C84"/>
                                <w:spacing w:val="30"/>
                                <w:sz w:val="20"/>
                              </w:rPr>
                              <w:t> </w:t>
                            </w:r>
                            <w:r>
                              <w:rPr>
                                <w:color w:val="105C84"/>
                                <w:sz w:val="20"/>
                              </w:rPr>
                              <w:t>/</w:t>
                            </w:r>
                            <w:r>
                              <w:rPr>
                                <w:color w:val="105C84"/>
                                <w:spacing w:val="30"/>
                                <w:sz w:val="20"/>
                              </w:rPr>
                              <w:t> </w:t>
                            </w:r>
                            <w:r>
                              <w:rPr>
                                <w:color w:val="105C84"/>
                                <w:sz w:val="20"/>
                              </w:rPr>
                              <w:t>nutrition</w:t>
                            </w:r>
                            <w:r>
                              <w:rPr>
                                <w:color w:val="105C84"/>
                                <w:spacing w:val="31"/>
                                <w:sz w:val="20"/>
                              </w:rPr>
                              <w:t> </w:t>
                            </w:r>
                            <w:r>
                              <w:rPr>
                                <w:color w:val="105C84"/>
                                <w:spacing w:val="-2"/>
                                <w:sz w:val="20"/>
                              </w:rPr>
                              <w:t>(7.7%)</w:t>
                            </w:r>
                          </w:p>
                        </w:tc>
                      </w:tr>
                      <w:tr>
                        <w:trPr>
                          <w:trHeight w:val="355" w:hRule="atLeast"/>
                        </w:trPr>
                        <w:tc>
                          <w:tcPr>
                            <w:tcW w:w="4778" w:type="dxa"/>
                          </w:tcPr>
                          <w:p>
                            <w:pPr>
                              <w:pStyle w:val="TableParagraph"/>
                              <w:spacing w:before="90"/>
                              <w:ind w:left="79"/>
                              <w:rPr>
                                <w:sz w:val="20"/>
                              </w:rPr>
                            </w:pPr>
                            <w:r>
                              <w:rPr>
                                <w:color w:val="105C84"/>
                                <w:sz w:val="20"/>
                              </w:rPr>
                              <w:t>Heart</w:t>
                            </w:r>
                            <w:r>
                              <w:rPr>
                                <w:color w:val="105C84"/>
                                <w:spacing w:val="22"/>
                                <w:sz w:val="20"/>
                              </w:rPr>
                              <w:t> </w:t>
                            </w:r>
                            <w:r>
                              <w:rPr>
                                <w:color w:val="105C84"/>
                                <w:sz w:val="20"/>
                              </w:rPr>
                              <w:t>conditions</w:t>
                            </w:r>
                            <w:r>
                              <w:rPr>
                                <w:color w:val="105C84"/>
                                <w:spacing w:val="23"/>
                                <w:sz w:val="20"/>
                              </w:rPr>
                              <w:t> </w:t>
                            </w:r>
                            <w:r>
                              <w:rPr>
                                <w:color w:val="105C84"/>
                                <w:spacing w:val="-2"/>
                                <w:sz w:val="20"/>
                              </w:rPr>
                              <w:t>(6.9%)</w:t>
                            </w:r>
                          </w:p>
                        </w:tc>
                      </w:tr>
                      <w:tr>
                        <w:trPr>
                          <w:trHeight w:val="355" w:hRule="atLeast"/>
                        </w:trPr>
                        <w:tc>
                          <w:tcPr>
                            <w:tcW w:w="4778" w:type="dxa"/>
                          </w:tcPr>
                          <w:p>
                            <w:pPr>
                              <w:pStyle w:val="TableParagraph"/>
                              <w:spacing w:before="90"/>
                              <w:ind w:left="79"/>
                              <w:rPr>
                                <w:sz w:val="20"/>
                              </w:rPr>
                            </w:pPr>
                            <w:r>
                              <w:rPr>
                                <w:color w:val="105C84"/>
                                <w:sz w:val="20"/>
                              </w:rPr>
                              <w:t>Weight</w:t>
                            </w:r>
                            <w:r>
                              <w:rPr>
                                <w:color w:val="105C84"/>
                                <w:spacing w:val="27"/>
                                <w:sz w:val="20"/>
                              </w:rPr>
                              <w:t> </w:t>
                            </w:r>
                            <w:r>
                              <w:rPr>
                                <w:color w:val="105C84"/>
                                <w:spacing w:val="-2"/>
                                <w:sz w:val="20"/>
                              </w:rPr>
                              <w:t>(6.4%)</w:t>
                            </w:r>
                          </w:p>
                        </w:tc>
                      </w:tr>
                    </w:tbl>
                    <w:p>
                      <w:pPr>
                        <w:pStyle w:val="BodyText"/>
                      </w:pPr>
                    </w:p>
                  </w:txbxContent>
                </v:textbox>
                <w10:wrap type="none"/>
              </v:shape>
            </w:pict>
          </mc:Fallback>
        </mc:AlternateContent>
      </w:r>
      <w:r>
        <w:rPr>
          <w:color w:val="636466"/>
          <w:spacing w:val="-5"/>
          <w:sz w:val="18"/>
        </w:rPr>
        <w:t>0%</w:t>
      </w:r>
    </w:p>
    <w:p>
      <w:pPr>
        <w:tabs>
          <w:tab w:pos="3627" w:val="left" w:leader="none"/>
          <w:tab w:pos="4901" w:val="left" w:leader="none"/>
          <w:tab w:pos="6174" w:val="left" w:leader="none"/>
          <w:tab w:pos="7448" w:val="left" w:leader="none"/>
          <w:tab w:pos="8722" w:val="left" w:leader="none"/>
        </w:tabs>
        <w:spacing w:before="11"/>
        <w:ind w:left="2353" w:right="0" w:firstLine="0"/>
        <w:jc w:val="left"/>
        <w:rPr>
          <w:sz w:val="18"/>
        </w:rPr>
      </w:pPr>
      <w:r>
        <w:rPr>
          <w:sz w:val="18"/>
        </w:rPr>
        <mc:AlternateContent>
          <mc:Choice Requires="wps">
            <w:drawing>
              <wp:anchor distT="0" distB="0" distL="0" distR="0" allowOverlap="1" layoutInCell="1" locked="0" behindDoc="0" simplePos="0" relativeHeight="15854592">
                <wp:simplePos x="0" y="0"/>
                <wp:positionH relativeFrom="page">
                  <wp:posOffset>8420100</wp:posOffset>
                </wp:positionH>
                <wp:positionV relativeFrom="paragraph">
                  <wp:posOffset>183687</wp:posOffset>
                </wp:positionV>
                <wp:extent cx="2967355" cy="1374775"/>
                <wp:effectExtent l="0" t="0" r="0" b="0"/>
                <wp:wrapNone/>
                <wp:docPr id="1138" name="Textbox 1138"/>
                <wp:cNvGraphicFramePr>
                  <a:graphicFrameLocks/>
                </wp:cNvGraphicFramePr>
                <a:graphic>
                  <a:graphicData uri="http://schemas.microsoft.com/office/word/2010/wordprocessingShape">
                    <wps:wsp>
                      <wps:cNvPr id="1138" name="Textbox 1138"/>
                      <wps:cNvSpPr txBox="1"/>
                      <wps:spPr>
                        <a:xfrm>
                          <a:off x="0" y="0"/>
                          <a:ext cx="2967355" cy="1374775"/>
                        </a:xfrm>
                        <a:prstGeom prst="rect">
                          <a:avLst/>
                        </a:prstGeom>
                      </wps:spPr>
                      <wps:txbx>
                        <w:txbxContent>
                          <w:tbl>
                            <w:tblPr>
                              <w:tblW w:w="0" w:type="auto"/>
                              <w:jc w:val="left"/>
                              <w:tblInd w:w="62" w:type="dxa"/>
                              <w:tblBorders>
                                <w:top w:val="single" w:sz="2" w:space="0" w:color="636466"/>
                                <w:left w:val="single" w:sz="2" w:space="0" w:color="636466"/>
                                <w:bottom w:val="single" w:sz="2" w:space="0" w:color="636466"/>
                                <w:right w:val="single" w:sz="2" w:space="0" w:color="636466"/>
                                <w:insideH w:val="single" w:sz="2" w:space="0" w:color="636466"/>
                                <w:insideV w:val="single" w:sz="2" w:space="0" w:color="636466"/>
                              </w:tblBorders>
                              <w:tblLayout w:type="fixed"/>
                              <w:tblCellMar>
                                <w:top w:w="0" w:type="dxa"/>
                                <w:left w:w="0" w:type="dxa"/>
                                <w:bottom w:w="0" w:type="dxa"/>
                                <w:right w:w="0" w:type="dxa"/>
                              </w:tblCellMar>
                              <w:tblLook w:val="01E0"/>
                            </w:tblPr>
                            <w:tblGrid>
                              <w:gridCol w:w="4548"/>
                            </w:tblGrid>
                            <w:tr>
                              <w:trPr>
                                <w:trHeight w:val="355" w:hRule="atLeast"/>
                              </w:trPr>
                              <w:tc>
                                <w:tcPr>
                                  <w:tcW w:w="4548" w:type="dxa"/>
                                  <w:shd w:val="clear" w:color="auto" w:fill="939598"/>
                                </w:tcPr>
                                <w:p>
                                  <w:pPr>
                                    <w:pStyle w:val="TableParagraph"/>
                                    <w:spacing w:before="90"/>
                                    <w:ind w:left="80"/>
                                    <w:rPr>
                                      <w:b/>
                                      <w:sz w:val="20"/>
                                    </w:rPr>
                                  </w:pPr>
                                  <w:r>
                                    <w:rPr>
                                      <w:b/>
                                      <w:color w:val="FFFFFF"/>
                                      <w:sz w:val="20"/>
                                    </w:rPr>
                                    <w:t>COUNTY</w:t>
                                  </w:r>
                                  <w:r>
                                    <w:rPr>
                                      <w:b/>
                                      <w:color w:val="FFFFFF"/>
                                      <w:spacing w:val="2"/>
                                      <w:sz w:val="20"/>
                                    </w:rPr>
                                    <w:t> </w:t>
                                  </w:r>
                                  <w:r>
                                    <w:rPr>
                                      <w:b/>
                                      <w:color w:val="FFFFFF"/>
                                      <w:sz w:val="20"/>
                                    </w:rPr>
                                    <w:t>PRIORITY</w:t>
                                  </w:r>
                                  <w:r>
                                    <w:rPr>
                                      <w:b/>
                                      <w:color w:val="FFFFFF"/>
                                      <w:spacing w:val="3"/>
                                      <w:sz w:val="20"/>
                                    </w:rPr>
                                    <w:t> </w:t>
                                  </w:r>
                                  <w:r>
                                    <w:rPr>
                                      <w:b/>
                                      <w:color w:val="FFFFFF"/>
                                      <w:sz w:val="20"/>
                                    </w:rPr>
                                    <w:t>-</w:t>
                                  </w:r>
                                  <w:r>
                                    <w:rPr>
                                      <w:b/>
                                      <w:color w:val="FFFFFF"/>
                                      <w:spacing w:val="2"/>
                                      <w:sz w:val="20"/>
                                    </w:rPr>
                                    <w:t> </w:t>
                                  </w:r>
                                  <w:r>
                                    <w:rPr>
                                      <w:b/>
                                      <w:color w:val="FFFFFF"/>
                                      <w:sz w:val="20"/>
                                    </w:rPr>
                                    <w:t>FOR</w:t>
                                  </w:r>
                                  <w:r>
                                    <w:rPr>
                                      <w:b/>
                                      <w:color w:val="FFFFFF"/>
                                      <w:spacing w:val="3"/>
                                      <w:sz w:val="20"/>
                                    </w:rPr>
                                    <w:t> </w:t>
                                  </w:r>
                                  <w:r>
                                    <w:rPr>
                                      <w:b/>
                                      <w:color w:val="FFFFFF"/>
                                      <w:spacing w:val="-2"/>
                                      <w:sz w:val="20"/>
                                    </w:rPr>
                                    <w:t>ADULTS</w:t>
                                  </w:r>
                                </w:p>
                              </w:tc>
                            </w:tr>
                            <w:tr>
                              <w:trPr>
                                <w:trHeight w:val="355" w:hRule="atLeast"/>
                              </w:trPr>
                              <w:tc>
                                <w:tcPr>
                                  <w:tcW w:w="4548" w:type="dxa"/>
                                </w:tcPr>
                                <w:p>
                                  <w:pPr>
                                    <w:pStyle w:val="TableParagraph"/>
                                    <w:spacing w:before="90"/>
                                    <w:ind w:left="80"/>
                                    <w:rPr>
                                      <w:sz w:val="20"/>
                                    </w:rPr>
                                  </w:pPr>
                                  <w:r>
                                    <w:rPr>
                                      <w:color w:val="105C84"/>
                                      <w:sz w:val="20"/>
                                    </w:rPr>
                                    <w:t>Substance</w:t>
                                  </w:r>
                                  <w:r>
                                    <w:rPr>
                                      <w:color w:val="105C84"/>
                                      <w:spacing w:val="-11"/>
                                      <w:sz w:val="20"/>
                                    </w:rPr>
                                    <w:t> </w:t>
                                  </w:r>
                                  <w:r>
                                    <w:rPr>
                                      <w:color w:val="105C84"/>
                                      <w:sz w:val="20"/>
                                    </w:rPr>
                                    <w:t>abuse</w:t>
                                  </w:r>
                                  <w:r>
                                    <w:rPr>
                                      <w:color w:val="105C84"/>
                                      <w:spacing w:val="-10"/>
                                      <w:sz w:val="20"/>
                                    </w:rPr>
                                    <w:t> </w:t>
                                  </w:r>
                                  <w:r>
                                    <w:rPr>
                                      <w:color w:val="105C84"/>
                                      <w:spacing w:val="-2"/>
                                      <w:sz w:val="20"/>
                                    </w:rPr>
                                    <w:t>(32.8%)</w:t>
                                  </w:r>
                                </w:p>
                              </w:tc>
                            </w:tr>
                            <w:tr>
                              <w:trPr>
                                <w:trHeight w:val="355" w:hRule="atLeast"/>
                              </w:trPr>
                              <w:tc>
                                <w:tcPr>
                                  <w:tcW w:w="4548" w:type="dxa"/>
                                </w:tcPr>
                                <w:p>
                                  <w:pPr>
                                    <w:pStyle w:val="TableParagraph"/>
                                    <w:spacing w:before="90"/>
                                    <w:ind w:left="80"/>
                                    <w:rPr>
                                      <w:sz w:val="20"/>
                                    </w:rPr>
                                  </w:pPr>
                                  <w:r>
                                    <w:rPr>
                                      <w:color w:val="105C84"/>
                                      <w:sz w:val="20"/>
                                    </w:rPr>
                                    <w:t>Mental</w:t>
                                  </w:r>
                                  <w:r>
                                    <w:rPr>
                                      <w:color w:val="105C84"/>
                                      <w:spacing w:val="13"/>
                                      <w:sz w:val="20"/>
                                    </w:rPr>
                                    <w:t> </w:t>
                                  </w:r>
                                  <w:r>
                                    <w:rPr>
                                      <w:color w:val="105C84"/>
                                      <w:sz w:val="20"/>
                                    </w:rPr>
                                    <w:t>/</w:t>
                                  </w:r>
                                  <w:r>
                                    <w:rPr>
                                      <w:color w:val="105C84"/>
                                      <w:spacing w:val="13"/>
                                      <w:sz w:val="20"/>
                                    </w:rPr>
                                    <w:t> </w:t>
                                  </w:r>
                                  <w:r>
                                    <w:rPr>
                                      <w:color w:val="105C84"/>
                                      <w:sz w:val="20"/>
                                    </w:rPr>
                                    <w:t>emotional</w:t>
                                  </w:r>
                                  <w:r>
                                    <w:rPr>
                                      <w:color w:val="105C84"/>
                                      <w:spacing w:val="13"/>
                                      <w:sz w:val="20"/>
                                    </w:rPr>
                                    <w:t> </w:t>
                                  </w:r>
                                  <w:r>
                                    <w:rPr>
                                      <w:color w:val="105C84"/>
                                      <w:sz w:val="20"/>
                                    </w:rPr>
                                    <w:t>health</w:t>
                                  </w:r>
                                  <w:r>
                                    <w:rPr>
                                      <w:color w:val="105C84"/>
                                      <w:spacing w:val="13"/>
                                      <w:sz w:val="20"/>
                                    </w:rPr>
                                    <w:t> </w:t>
                                  </w:r>
                                  <w:r>
                                    <w:rPr>
                                      <w:color w:val="105C84"/>
                                      <w:sz w:val="20"/>
                                    </w:rPr>
                                    <w:t>issues</w:t>
                                  </w:r>
                                  <w:r>
                                    <w:rPr>
                                      <w:color w:val="105C84"/>
                                      <w:spacing w:val="13"/>
                                      <w:sz w:val="20"/>
                                    </w:rPr>
                                    <w:t> </w:t>
                                  </w:r>
                                  <w:r>
                                    <w:rPr>
                                      <w:color w:val="105C84"/>
                                      <w:spacing w:val="-2"/>
                                      <w:sz w:val="20"/>
                                    </w:rPr>
                                    <w:t>(16.2%)</w:t>
                                  </w:r>
                                </w:p>
                              </w:tc>
                            </w:tr>
                            <w:tr>
                              <w:trPr>
                                <w:trHeight w:val="355" w:hRule="atLeast"/>
                              </w:trPr>
                              <w:tc>
                                <w:tcPr>
                                  <w:tcW w:w="4548" w:type="dxa"/>
                                </w:tcPr>
                                <w:p>
                                  <w:pPr>
                                    <w:pStyle w:val="TableParagraph"/>
                                    <w:spacing w:before="90"/>
                                    <w:ind w:left="80"/>
                                    <w:rPr>
                                      <w:sz w:val="20"/>
                                    </w:rPr>
                                  </w:pPr>
                                  <w:r>
                                    <w:rPr>
                                      <w:color w:val="105C84"/>
                                      <w:sz w:val="20"/>
                                    </w:rPr>
                                    <w:t>Cost</w:t>
                                  </w:r>
                                  <w:r>
                                    <w:rPr>
                                      <w:color w:val="105C84"/>
                                      <w:spacing w:val="6"/>
                                      <w:sz w:val="20"/>
                                    </w:rPr>
                                    <w:t> </w:t>
                                  </w:r>
                                  <w:r>
                                    <w:rPr>
                                      <w:color w:val="105C84"/>
                                      <w:spacing w:val="-2"/>
                                      <w:sz w:val="20"/>
                                    </w:rPr>
                                    <w:t>(12.4%)</w:t>
                                  </w:r>
                                </w:p>
                              </w:tc>
                            </w:tr>
                            <w:tr>
                              <w:trPr>
                                <w:trHeight w:val="355" w:hRule="atLeast"/>
                              </w:trPr>
                              <w:tc>
                                <w:tcPr>
                                  <w:tcW w:w="4548" w:type="dxa"/>
                                </w:tcPr>
                                <w:p>
                                  <w:pPr>
                                    <w:pStyle w:val="TableParagraph"/>
                                    <w:spacing w:before="90"/>
                                    <w:ind w:left="80"/>
                                    <w:rPr>
                                      <w:sz w:val="20"/>
                                    </w:rPr>
                                  </w:pPr>
                                  <w:r>
                                    <w:rPr>
                                      <w:color w:val="105C84"/>
                                      <w:sz w:val="20"/>
                                    </w:rPr>
                                    <w:t>Diet</w:t>
                                  </w:r>
                                  <w:r>
                                    <w:rPr>
                                      <w:color w:val="105C84"/>
                                      <w:spacing w:val="30"/>
                                      <w:sz w:val="20"/>
                                    </w:rPr>
                                    <w:t> </w:t>
                                  </w:r>
                                  <w:r>
                                    <w:rPr>
                                      <w:color w:val="105C84"/>
                                      <w:sz w:val="20"/>
                                    </w:rPr>
                                    <w:t>/</w:t>
                                  </w:r>
                                  <w:r>
                                    <w:rPr>
                                      <w:color w:val="105C84"/>
                                      <w:spacing w:val="30"/>
                                      <w:sz w:val="20"/>
                                    </w:rPr>
                                    <w:t> </w:t>
                                  </w:r>
                                  <w:r>
                                    <w:rPr>
                                      <w:color w:val="105C84"/>
                                      <w:sz w:val="20"/>
                                    </w:rPr>
                                    <w:t>nutrition</w:t>
                                  </w:r>
                                  <w:r>
                                    <w:rPr>
                                      <w:color w:val="105C84"/>
                                      <w:spacing w:val="31"/>
                                      <w:sz w:val="20"/>
                                    </w:rPr>
                                    <w:t> </w:t>
                                  </w:r>
                                  <w:r>
                                    <w:rPr>
                                      <w:color w:val="105C84"/>
                                      <w:spacing w:val="-2"/>
                                      <w:sz w:val="20"/>
                                    </w:rPr>
                                    <w:t>(11.9%)</w:t>
                                  </w:r>
                                </w:p>
                              </w:tc>
                            </w:tr>
                            <w:tr>
                              <w:trPr>
                                <w:trHeight w:val="355" w:hRule="atLeast"/>
                              </w:trPr>
                              <w:tc>
                                <w:tcPr>
                                  <w:tcW w:w="4548" w:type="dxa"/>
                                </w:tcPr>
                                <w:p>
                                  <w:pPr>
                                    <w:pStyle w:val="TableParagraph"/>
                                    <w:spacing w:before="90"/>
                                    <w:ind w:left="80"/>
                                    <w:rPr>
                                      <w:sz w:val="20"/>
                                    </w:rPr>
                                  </w:pPr>
                                  <w:r>
                                    <w:rPr>
                                      <w:color w:val="105C84"/>
                                      <w:sz w:val="20"/>
                                    </w:rPr>
                                    <w:t>Weight</w:t>
                                  </w:r>
                                  <w:r>
                                    <w:rPr>
                                      <w:color w:val="105C84"/>
                                      <w:spacing w:val="27"/>
                                      <w:sz w:val="20"/>
                                    </w:rPr>
                                    <w:t> </w:t>
                                  </w:r>
                                  <w:r>
                                    <w:rPr>
                                      <w:color w:val="105C84"/>
                                      <w:spacing w:val="-2"/>
                                      <w:sz w:val="20"/>
                                    </w:rPr>
                                    <w:t>(10.1%)</w:t>
                                  </w:r>
                                </w:p>
                              </w:tc>
                            </w:tr>
                          </w:tbl>
                          <w:p>
                            <w:pPr>
                              <w:pStyle w:val="BodyText"/>
                            </w:pPr>
                          </w:p>
                        </w:txbxContent>
                      </wps:txbx>
                      <wps:bodyPr wrap="square" lIns="0" tIns="0" rIns="0" bIns="0" rtlCol="0">
                        <a:noAutofit/>
                      </wps:bodyPr>
                    </wps:wsp>
                  </a:graphicData>
                </a:graphic>
              </wp:anchor>
            </w:drawing>
          </mc:Choice>
          <mc:Fallback>
            <w:pict>
              <v:shape style="position:absolute;margin-left:663pt;margin-top:14.463574pt;width:233.65pt;height:108.25pt;mso-position-horizontal-relative:page;mso-position-vertical-relative:paragraph;z-index:15854592" type="#_x0000_t202" id="docshape930" filled="false" stroked="false">
                <v:textbox inset="0,0,0,0">
                  <w:txbxContent>
                    <w:tbl>
                      <w:tblPr>
                        <w:tblW w:w="0" w:type="auto"/>
                        <w:jc w:val="left"/>
                        <w:tblInd w:w="62" w:type="dxa"/>
                        <w:tblBorders>
                          <w:top w:val="single" w:sz="2" w:space="0" w:color="636466"/>
                          <w:left w:val="single" w:sz="2" w:space="0" w:color="636466"/>
                          <w:bottom w:val="single" w:sz="2" w:space="0" w:color="636466"/>
                          <w:right w:val="single" w:sz="2" w:space="0" w:color="636466"/>
                          <w:insideH w:val="single" w:sz="2" w:space="0" w:color="636466"/>
                          <w:insideV w:val="single" w:sz="2" w:space="0" w:color="636466"/>
                        </w:tblBorders>
                        <w:tblLayout w:type="fixed"/>
                        <w:tblCellMar>
                          <w:top w:w="0" w:type="dxa"/>
                          <w:left w:w="0" w:type="dxa"/>
                          <w:bottom w:w="0" w:type="dxa"/>
                          <w:right w:w="0" w:type="dxa"/>
                        </w:tblCellMar>
                        <w:tblLook w:val="01E0"/>
                      </w:tblPr>
                      <w:tblGrid>
                        <w:gridCol w:w="4548"/>
                      </w:tblGrid>
                      <w:tr>
                        <w:trPr>
                          <w:trHeight w:val="355" w:hRule="atLeast"/>
                        </w:trPr>
                        <w:tc>
                          <w:tcPr>
                            <w:tcW w:w="4548" w:type="dxa"/>
                            <w:shd w:val="clear" w:color="auto" w:fill="939598"/>
                          </w:tcPr>
                          <w:p>
                            <w:pPr>
                              <w:pStyle w:val="TableParagraph"/>
                              <w:spacing w:before="90"/>
                              <w:ind w:left="80"/>
                              <w:rPr>
                                <w:b/>
                                <w:sz w:val="20"/>
                              </w:rPr>
                            </w:pPr>
                            <w:r>
                              <w:rPr>
                                <w:b/>
                                <w:color w:val="FFFFFF"/>
                                <w:sz w:val="20"/>
                              </w:rPr>
                              <w:t>COUNTY</w:t>
                            </w:r>
                            <w:r>
                              <w:rPr>
                                <w:b/>
                                <w:color w:val="FFFFFF"/>
                                <w:spacing w:val="2"/>
                                <w:sz w:val="20"/>
                              </w:rPr>
                              <w:t> </w:t>
                            </w:r>
                            <w:r>
                              <w:rPr>
                                <w:b/>
                                <w:color w:val="FFFFFF"/>
                                <w:sz w:val="20"/>
                              </w:rPr>
                              <w:t>PRIORITY</w:t>
                            </w:r>
                            <w:r>
                              <w:rPr>
                                <w:b/>
                                <w:color w:val="FFFFFF"/>
                                <w:spacing w:val="3"/>
                                <w:sz w:val="20"/>
                              </w:rPr>
                              <w:t> </w:t>
                            </w:r>
                            <w:r>
                              <w:rPr>
                                <w:b/>
                                <w:color w:val="FFFFFF"/>
                                <w:sz w:val="20"/>
                              </w:rPr>
                              <w:t>-</w:t>
                            </w:r>
                            <w:r>
                              <w:rPr>
                                <w:b/>
                                <w:color w:val="FFFFFF"/>
                                <w:spacing w:val="2"/>
                                <w:sz w:val="20"/>
                              </w:rPr>
                              <w:t> </w:t>
                            </w:r>
                            <w:r>
                              <w:rPr>
                                <w:b/>
                                <w:color w:val="FFFFFF"/>
                                <w:sz w:val="20"/>
                              </w:rPr>
                              <w:t>FOR</w:t>
                            </w:r>
                            <w:r>
                              <w:rPr>
                                <w:b/>
                                <w:color w:val="FFFFFF"/>
                                <w:spacing w:val="3"/>
                                <w:sz w:val="20"/>
                              </w:rPr>
                              <w:t> </w:t>
                            </w:r>
                            <w:r>
                              <w:rPr>
                                <w:b/>
                                <w:color w:val="FFFFFF"/>
                                <w:spacing w:val="-2"/>
                                <w:sz w:val="20"/>
                              </w:rPr>
                              <w:t>ADULTS</w:t>
                            </w:r>
                          </w:p>
                        </w:tc>
                      </w:tr>
                      <w:tr>
                        <w:trPr>
                          <w:trHeight w:val="355" w:hRule="atLeast"/>
                        </w:trPr>
                        <w:tc>
                          <w:tcPr>
                            <w:tcW w:w="4548" w:type="dxa"/>
                          </w:tcPr>
                          <w:p>
                            <w:pPr>
                              <w:pStyle w:val="TableParagraph"/>
                              <w:spacing w:before="90"/>
                              <w:ind w:left="80"/>
                              <w:rPr>
                                <w:sz w:val="20"/>
                              </w:rPr>
                            </w:pPr>
                            <w:r>
                              <w:rPr>
                                <w:color w:val="105C84"/>
                                <w:sz w:val="20"/>
                              </w:rPr>
                              <w:t>Substance</w:t>
                            </w:r>
                            <w:r>
                              <w:rPr>
                                <w:color w:val="105C84"/>
                                <w:spacing w:val="-11"/>
                                <w:sz w:val="20"/>
                              </w:rPr>
                              <w:t> </w:t>
                            </w:r>
                            <w:r>
                              <w:rPr>
                                <w:color w:val="105C84"/>
                                <w:sz w:val="20"/>
                              </w:rPr>
                              <w:t>abuse</w:t>
                            </w:r>
                            <w:r>
                              <w:rPr>
                                <w:color w:val="105C84"/>
                                <w:spacing w:val="-10"/>
                                <w:sz w:val="20"/>
                              </w:rPr>
                              <w:t> </w:t>
                            </w:r>
                            <w:r>
                              <w:rPr>
                                <w:color w:val="105C84"/>
                                <w:spacing w:val="-2"/>
                                <w:sz w:val="20"/>
                              </w:rPr>
                              <w:t>(32.8%)</w:t>
                            </w:r>
                          </w:p>
                        </w:tc>
                      </w:tr>
                      <w:tr>
                        <w:trPr>
                          <w:trHeight w:val="355" w:hRule="atLeast"/>
                        </w:trPr>
                        <w:tc>
                          <w:tcPr>
                            <w:tcW w:w="4548" w:type="dxa"/>
                          </w:tcPr>
                          <w:p>
                            <w:pPr>
                              <w:pStyle w:val="TableParagraph"/>
                              <w:spacing w:before="90"/>
                              <w:ind w:left="80"/>
                              <w:rPr>
                                <w:sz w:val="20"/>
                              </w:rPr>
                            </w:pPr>
                            <w:r>
                              <w:rPr>
                                <w:color w:val="105C84"/>
                                <w:sz w:val="20"/>
                              </w:rPr>
                              <w:t>Mental</w:t>
                            </w:r>
                            <w:r>
                              <w:rPr>
                                <w:color w:val="105C84"/>
                                <w:spacing w:val="13"/>
                                <w:sz w:val="20"/>
                              </w:rPr>
                              <w:t> </w:t>
                            </w:r>
                            <w:r>
                              <w:rPr>
                                <w:color w:val="105C84"/>
                                <w:sz w:val="20"/>
                              </w:rPr>
                              <w:t>/</w:t>
                            </w:r>
                            <w:r>
                              <w:rPr>
                                <w:color w:val="105C84"/>
                                <w:spacing w:val="13"/>
                                <w:sz w:val="20"/>
                              </w:rPr>
                              <w:t> </w:t>
                            </w:r>
                            <w:r>
                              <w:rPr>
                                <w:color w:val="105C84"/>
                                <w:sz w:val="20"/>
                              </w:rPr>
                              <w:t>emotional</w:t>
                            </w:r>
                            <w:r>
                              <w:rPr>
                                <w:color w:val="105C84"/>
                                <w:spacing w:val="13"/>
                                <w:sz w:val="20"/>
                              </w:rPr>
                              <w:t> </w:t>
                            </w:r>
                            <w:r>
                              <w:rPr>
                                <w:color w:val="105C84"/>
                                <w:sz w:val="20"/>
                              </w:rPr>
                              <w:t>health</w:t>
                            </w:r>
                            <w:r>
                              <w:rPr>
                                <w:color w:val="105C84"/>
                                <w:spacing w:val="13"/>
                                <w:sz w:val="20"/>
                              </w:rPr>
                              <w:t> </w:t>
                            </w:r>
                            <w:r>
                              <w:rPr>
                                <w:color w:val="105C84"/>
                                <w:sz w:val="20"/>
                              </w:rPr>
                              <w:t>issues</w:t>
                            </w:r>
                            <w:r>
                              <w:rPr>
                                <w:color w:val="105C84"/>
                                <w:spacing w:val="13"/>
                                <w:sz w:val="20"/>
                              </w:rPr>
                              <w:t> </w:t>
                            </w:r>
                            <w:r>
                              <w:rPr>
                                <w:color w:val="105C84"/>
                                <w:spacing w:val="-2"/>
                                <w:sz w:val="20"/>
                              </w:rPr>
                              <w:t>(16.2%)</w:t>
                            </w:r>
                          </w:p>
                        </w:tc>
                      </w:tr>
                      <w:tr>
                        <w:trPr>
                          <w:trHeight w:val="355" w:hRule="atLeast"/>
                        </w:trPr>
                        <w:tc>
                          <w:tcPr>
                            <w:tcW w:w="4548" w:type="dxa"/>
                          </w:tcPr>
                          <w:p>
                            <w:pPr>
                              <w:pStyle w:val="TableParagraph"/>
                              <w:spacing w:before="90"/>
                              <w:ind w:left="80"/>
                              <w:rPr>
                                <w:sz w:val="20"/>
                              </w:rPr>
                            </w:pPr>
                            <w:r>
                              <w:rPr>
                                <w:color w:val="105C84"/>
                                <w:sz w:val="20"/>
                              </w:rPr>
                              <w:t>Cost</w:t>
                            </w:r>
                            <w:r>
                              <w:rPr>
                                <w:color w:val="105C84"/>
                                <w:spacing w:val="6"/>
                                <w:sz w:val="20"/>
                              </w:rPr>
                              <w:t> </w:t>
                            </w:r>
                            <w:r>
                              <w:rPr>
                                <w:color w:val="105C84"/>
                                <w:spacing w:val="-2"/>
                                <w:sz w:val="20"/>
                              </w:rPr>
                              <w:t>(12.4%)</w:t>
                            </w:r>
                          </w:p>
                        </w:tc>
                      </w:tr>
                      <w:tr>
                        <w:trPr>
                          <w:trHeight w:val="355" w:hRule="atLeast"/>
                        </w:trPr>
                        <w:tc>
                          <w:tcPr>
                            <w:tcW w:w="4548" w:type="dxa"/>
                          </w:tcPr>
                          <w:p>
                            <w:pPr>
                              <w:pStyle w:val="TableParagraph"/>
                              <w:spacing w:before="90"/>
                              <w:ind w:left="80"/>
                              <w:rPr>
                                <w:sz w:val="20"/>
                              </w:rPr>
                            </w:pPr>
                            <w:r>
                              <w:rPr>
                                <w:color w:val="105C84"/>
                                <w:sz w:val="20"/>
                              </w:rPr>
                              <w:t>Diet</w:t>
                            </w:r>
                            <w:r>
                              <w:rPr>
                                <w:color w:val="105C84"/>
                                <w:spacing w:val="30"/>
                                <w:sz w:val="20"/>
                              </w:rPr>
                              <w:t> </w:t>
                            </w:r>
                            <w:r>
                              <w:rPr>
                                <w:color w:val="105C84"/>
                                <w:sz w:val="20"/>
                              </w:rPr>
                              <w:t>/</w:t>
                            </w:r>
                            <w:r>
                              <w:rPr>
                                <w:color w:val="105C84"/>
                                <w:spacing w:val="30"/>
                                <w:sz w:val="20"/>
                              </w:rPr>
                              <w:t> </w:t>
                            </w:r>
                            <w:r>
                              <w:rPr>
                                <w:color w:val="105C84"/>
                                <w:sz w:val="20"/>
                              </w:rPr>
                              <w:t>nutrition</w:t>
                            </w:r>
                            <w:r>
                              <w:rPr>
                                <w:color w:val="105C84"/>
                                <w:spacing w:val="31"/>
                                <w:sz w:val="20"/>
                              </w:rPr>
                              <w:t> </w:t>
                            </w:r>
                            <w:r>
                              <w:rPr>
                                <w:color w:val="105C84"/>
                                <w:spacing w:val="-2"/>
                                <w:sz w:val="20"/>
                              </w:rPr>
                              <w:t>(11.9%)</w:t>
                            </w:r>
                          </w:p>
                        </w:tc>
                      </w:tr>
                      <w:tr>
                        <w:trPr>
                          <w:trHeight w:val="355" w:hRule="atLeast"/>
                        </w:trPr>
                        <w:tc>
                          <w:tcPr>
                            <w:tcW w:w="4548" w:type="dxa"/>
                          </w:tcPr>
                          <w:p>
                            <w:pPr>
                              <w:pStyle w:val="TableParagraph"/>
                              <w:spacing w:before="90"/>
                              <w:ind w:left="80"/>
                              <w:rPr>
                                <w:sz w:val="20"/>
                              </w:rPr>
                            </w:pPr>
                            <w:r>
                              <w:rPr>
                                <w:color w:val="105C84"/>
                                <w:sz w:val="20"/>
                              </w:rPr>
                              <w:t>Weight</w:t>
                            </w:r>
                            <w:r>
                              <w:rPr>
                                <w:color w:val="105C84"/>
                                <w:spacing w:val="27"/>
                                <w:sz w:val="20"/>
                              </w:rPr>
                              <w:t> </w:t>
                            </w:r>
                            <w:r>
                              <w:rPr>
                                <w:color w:val="105C84"/>
                                <w:spacing w:val="-2"/>
                                <w:sz w:val="20"/>
                              </w:rPr>
                              <w:t>(10.1%)</w:t>
                            </w:r>
                          </w:p>
                        </w:tc>
                      </w:tr>
                    </w:tbl>
                    <w:p>
                      <w:pPr>
                        <w:pStyle w:val="BodyText"/>
                      </w:pPr>
                    </w:p>
                  </w:txbxContent>
                </v:textbox>
                <w10:wrap type="none"/>
              </v:shape>
            </w:pict>
          </mc:Fallback>
        </mc:AlternateContent>
      </w:r>
      <w:r>
        <w:rPr>
          <w:sz w:val="18"/>
        </w:rPr>
        <mc:AlternateContent>
          <mc:Choice Requires="wps">
            <w:drawing>
              <wp:anchor distT="0" distB="0" distL="0" distR="0" allowOverlap="1" layoutInCell="1" locked="0" behindDoc="0" simplePos="0" relativeHeight="15855104">
                <wp:simplePos x="0" y="0"/>
                <wp:positionH relativeFrom="page">
                  <wp:posOffset>11655488</wp:posOffset>
                </wp:positionH>
                <wp:positionV relativeFrom="paragraph">
                  <wp:posOffset>183687</wp:posOffset>
                </wp:positionV>
                <wp:extent cx="3114040" cy="1374775"/>
                <wp:effectExtent l="0" t="0" r="0" b="0"/>
                <wp:wrapNone/>
                <wp:docPr id="1139" name="Textbox 1139"/>
                <wp:cNvGraphicFramePr>
                  <a:graphicFrameLocks/>
                </wp:cNvGraphicFramePr>
                <a:graphic>
                  <a:graphicData uri="http://schemas.microsoft.com/office/word/2010/wordprocessingShape">
                    <wps:wsp>
                      <wps:cNvPr id="1139" name="Textbox 1139"/>
                      <wps:cNvSpPr txBox="1"/>
                      <wps:spPr>
                        <a:xfrm>
                          <a:off x="0" y="0"/>
                          <a:ext cx="3114040" cy="1374775"/>
                        </a:xfrm>
                        <a:prstGeom prst="rect">
                          <a:avLst/>
                        </a:prstGeom>
                      </wps:spPr>
                      <wps:txbx>
                        <w:txbxContent>
                          <w:tbl>
                            <w:tblPr>
                              <w:tblW w:w="0" w:type="auto"/>
                              <w:jc w:val="left"/>
                              <w:tblInd w:w="62" w:type="dxa"/>
                              <w:tblBorders>
                                <w:top w:val="single" w:sz="2" w:space="0" w:color="636466"/>
                                <w:left w:val="single" w:sz="2" w:space="0" w:color="636466"/>
                                <w:bottom w:val="single" w:sz="2" w:space="0" w:color="636466"/>
                                <w:right w:val="single" w:sz="2" w:space="0" w:color="636466"/>
                                <w:insideH w:val="single" w:sz="2" w:space="0" w:color="636466"/>
                                <w:insideV w:val="single" w:sz="2" w:space="0" w:color="636466"/>
                              </w:tblBorders>
                              <w:tblLayout w:type="fixed"/>
                              <w:tblCellMar>
                                <w:top w:w="0" w:type="dxa"/>
                                <w:left w:w="0" w:type="dxa"/>
                                <w:bottom w:w="0" w:type="dxa"/>
                                <w:right w:w="0" w:type="dxa"/>
                              </w:tblCellMar>
                              <w:tblLook w:val="01E0"/>
                            </w:tblPr>
                            <w:tblGrid>
                              <w:gridCol w:w="4778"/>
                            </w:tblGrid>
                            <w:tr>
                              <w:trPr>
                                <w:trHeight w:val="355" w:hRule="atLeast"/>
                              </w:trPr>
                              <w:tc>
                                <w:tcPr>
                                  <w:tcW w:w="4778" w:type="dxa"/>
                                  <w:shd w:val="clear" w:color="auto" w:fill="1C75BC"/>
                                </w:tcPr>
                                <w:p>
                                  <w:pPr>
                                    <w:pStyle w:val="TableParagraph"/>
                                    <w:spacing w:before="90"/>
                                    <w:ind w:left="79"/>
                                    <w:rPr>
                                      <w:b/>
                                      <w:sz w:val="20"/>
                                    </w:rPr>
                                  </w:pPr>
                                  <w:r>
                                    <w:rPr>
                                      <w:b/>
                                      <w:color w:val="FFFFFF"/>
                                      <w:sz w:val="20"/>
                                    </w:rPr>
                                    <w:t>COUNTY</w:t>
                                  </w:r>
                                  <w:r>
                                    <w:rPr>
                                      <w:b/>
                                      <w:color w:val="FFFFFF"/>
                                      <w:spacing w:val="2"/>
                                      <w:sz w:val="20"/>
                                    </w:rPr>
                                    <w:t> </w:t>
                                  </w:r>
                                  <w:r>
                                    <w:rPr>
                                      <w:b/>
                                      <w:color w:val="FFFFFF"/>
                                      <w:sz w:val="20"/>
                                    </w:rPr>
                                    <w:t>PRIORITY</w:t>
                                  </w:r>
                                  <w:r>
                                    <w:rPr>
                                      <w:b/>
                                      <w:color w:val="FFFFFF"/>
                                      <w:spacing w:val="3"/>
                                      <w:sz w:val="20"/>
                                    </w:rPr>
                                    <w:t> </w:t>
                                  </w:r>
                                  <w:r>
                                    <w:rPr>
                                      <w:b/>
                                      <w:color w:val="FFFFFF"/>
                                      <w:sz w:val="20"/>
                                    </w:rPr>
                                    <w:t>-</w:t>
                                  </w:r>
                                  <w:r>
                                    <w:rPr>
                                      <w:b/>
                                      <w:color w:val="FFFFFF"/>
                                      <w:spacing w:val="2"/>
                                      <w:sz w:val="20"/>
                                    </w:rPr>
                                    <w:t> </w:t>
                                  </w:r>
                                  <w:r>
                                    <w:rPr>
                                      <w:b/>
                                      <w:color w:val="FFFFFF"/>
                                      <w:sz w:val="20"/>
                                    </w:rPr>
                                    <w:t>FOR</w:t>
                                  </w:r>
                                  <w:r>
                                    <w:rPr>
                                      <w:b/>
                                      <w:color w:val="FFFFFF"/>
                                      <w:spacing w:val="3"/>
                                      <w:sz w:val="20"/>
                                    </w:rPr>
                                    <w:t> </w:t>
                                  </w:r>
                                  <w:r>
                                    <w:rPr>
                                      <w:b/>
                                      <w:color w:val="FFFFFF"/>
                                      <w:spacing w:val="-2"/>
                                      <w:sz w:val="20"/>
                                    </w:rPr>
                                    <w:t>CHILDREN</w:t>
                                  </w:r>
                                </w:p>
                              </w:tc>
                            </w:tr>
                            <w:tr>
                              <w:trPr>
                                <w:trHeight w:val="355" w:hRule="atLeast"/>
                              </w:trPr>
                              <w:tc>
                                <w:tcPr>
                                  <w:tcW w:w="4778" w:type="dxa"/>
                                </w:tcPr>
                                <w:p>
                                  <w:pPr>
                                    <w:pStyle w:val="TableParagraph"/>
                                    <w:spacing w:before="90"/>
                                    <w:ind w:left="79"/>
                                    <w:rPr>
                                      <w:sz w:val="20"/>
                                    </w:rPr>
                                  </w:pPr>
                                  <w:r>
                                    <w:rPr>
                                      <w:color w:val="105C84"/>
                                      <w:sz w:val="20"/>
                                    </w:rPr>
                                    <w:t>Substance</w:t>
                                  </w:r>
                                  <w:r>
                                    <w:rPr>
                                      <w:color w:val="105C84"/>
                                      <w:spacing w:val="-11"/>
                                      <w:sz w:val="20"/>
                                    </w:rPr>
                                    <w:t> </w:t>
                                  </w:r>
                                  <w:r>
                                    <w:rPr>
                                      <w:color w:val="105C84"/>
                                      <w:sz w:val="20"/>
                                    </w:rPr>
                                    <w:t>abuse</w:t>
                                  </w:r>
                                  <w:r>
                                    <w:rPr>
                                      <w:color w:val="105C84"/>
                                      <w:spacing w:val="-10"/>
                                      <w:sz w:val="20"/>
                                    </w:rPr>
                                    <w:t> </w:t>
                                  </w:r>
                                  <w:r>
                                    <w:rPr>
                                      <w:color w:val="105C84"/>
                                      <w:spacing w:val="-2"/>
                                      <w:sz w:val="20"/>
                                    </w:rPr>
                                    <w:t>(29.5%)</w:t>
                                  </w:r>
                                </w:p>
                              </w:tc>
                            </w:tr>
                            <w:tr>
                              <w:trPr>
                                <w:trHeight w:val="355" w:hRule="atLeast"/>
                              </w:trPr>
                              <w:tc>
                                <w:tcPr>
                                  <w:tcW w:w="4778" w:type="dxa"/>
                                </w:tcPr>
                                <w:p>
                                  <w:pPr>
                                    <w:pStyle w:val="TableParagraph"/>
                                    <w:spacing w:before="90"/>
                                    <w:ind w:left="79"/>
                                    <w:rPr>
                                      <w:sz w:val="20"/>
                                    </w:rPr>
                                  </w:pPr>
                                  <w:r>
                                    <w:rPr>
                                      <w:color w:val="105C84"/>
                                      <w:sz w:val="20"/>
                                    </w:rPr>
                                    <w:t>Diet</w:t>
                                  </w:r>
                                  <w:r>
                                    <w:rPr>
                                      <w:color w:val="105C84"/>
                                      <w:spacing w:val="30"/>
                                      <w:sz w:val="20"/>
                                    </w:rPr>
                                    <w:t> </w:t>
                                  </w:r>
                                  <w:r>
                                    <w:rPr>
                                      <w:color w:val="105C84"/>
                                      <w:sz w:val="20"/>
                                    </w:rPr>
                                    <w:t>/</w:t>
                                  </w:r>
                                  <w:r>
                                    <w:rPr>
                                      <w:color w:val="105C84"/>
                                      <w:spacing w:val="30"/>
                                      <w:sz w:val="20"/>
                                    </w:rPr>
                                    <w:t> </w:t>
                                  </w:r>
                                  <w:r>
                                    <w:rPr>
                                      <w:color w:val="105C84"/>
                                      <w:sz w:val="20"/>
                                    </w:rPr>
                                    <w:t>nutrition</w:t>
                                  </w:r>
                                  <w:r>
                                    <w:rPr>
                                      <w:color w:val="105C84"/>
                                      <w:spacing w:val="31"/>
                                      <w:sz w:val="20"/>
                                    </w:rPr>
                                    <w:t> </w:t>
                                  </w:r>
                                  <w:r>
                                    <w:rPr>
                                      <w:color w:val="105C84"/>
                                      <w:spacing w:val="-2"/>
                                      <w:sz w:val="20"/>
                                    </w:rPr>
                                    <w:t>(16.5%)</w:t>
                                  </w:r>
                                </w:p>
                              </w:tc>
                            </w:tr>
                            <w:tr>
                              <w:trPr>
                                <w:trHeight w:val="355" w:hRule="atLeast"/>
                              </w:trPr>
                              <w:tc>
                                <w:tcPr>
                                  <w:tcW w:w="4778" w:type="dxa"/>
                                </w:tcPr>
                                <w:p>
                                  <w:pPr>
                                    <w:pStyle w:val="TableParagraph"/>
                                    <w:spacing w:before="90"/>
                                    <w:ind w:left="79"/>
                                    <w:rPr>
                                      <w:sz w:val="20"/>
                                    </w:rPr>
                                  </w:pPr>
                                  <w:r>
                                    <w:rPr>
                                      <w:color w:val="105C84"/>
                                      <w:sz w:val="20"/>
                                    </w:rPr>
                                    <w:t>Mental</w:t>
                                  </w:r>
                                  <w:r>
                                    <w:rPr>
                                      <w:color w:val="105C84"/>
                                      <w:spacing w:val="13"/>
                                      <w:sz w:val="20"/>
                                    </w:rPr>
                                    <w:t> </w:t>
                                  </w:r>
                                  <w:r>
                                    <w:rPr>
                                      <w:color w:val="105C84"/>
                                      <w:sz w:val="20"/>
                                    </w:rPr>
                                    <w:t>/</w:t>
                                  </w:r>
                                  <w:r>
                                    <w:rPr>
                                      <w:color w:val="105C84"/>
                                      <w:spacing w:val="13"/>
                                      <w:sz w:val="20"/>
                                    </w:rPr>
                                    <w:t> </w:t>
                                  </w:r>
                                  <w:r>
                                    <w:rPr>
                                      <w:color w:val="105C84"/>
                                      <w:sz w:val="20"/>
                                    </w:rPr>
                                    <w:t>emotional</w:t>
                                  </w:r>
                                  <w:r>
                                    <w:rPr>
                                      <w:color w:val="105C84"/>
                                      <w:spacing w:val="13"/>
                                      <w:sz w:val="20"/>
                                    </w:rPr>
                                    <w:t> </w:t>
                                  </w:r>
                                  <w:r>
                                    <w:rPr>
                                      <w:color w:val="105C84"/>
                                      <w:sz w:val="20"/>
                                    </w:rPr>
                                    <w:t>health</w:t>
                                  </w:r>
                                  <w:r>
                                    <w:rPr>
                                      <w:color w:val="105C84"/>
                                      <w:spacing w:val="13"/>
                                      <w:sz w:val="20"/>
                                    </w:rPr>
                                    <w:t> </w:t>
                                  </w:r>
                                  <w:r>
                                    <w:rPr>
                                      <w:color w:val="105C84"/>
                                      <w:sz w:val="20"/>
                                    </w:rPr>
                                    <w:t>issues</w:t>
                                  </w:r>
                                  <w:r>
                                    <w:rPr>
                                      <w:color w:val="105C84"/>
                                      <w:spacing w:val="13"/>
                                      <w:sz w:val="20"/>
                                    </w:rPr>
                                    <w:t> </w:t>
                                  </w:r>
                                  <w:r>
                                    <w:rPr>
                                      <w:color w:val="105C84"/>
                                      <w:spacing w:val="-2"/>
                                      <w:sz w:val="20"/>
                                    </w:rPr>
                                    <w:t>(16.5%)</w:t>
                                  </w:r>
                                </w:p>
                              </w:tc>
                            </w:tr>
                            <w:tr>
                              <w:trPr>
                                <w:trHeight w:val="355" w:hRule="atLeast"/>
                              </w:trPr>
                              <w:tc>
                                <w:tcPr>
                                  <w:tcW w:w="4778" w:type="dxa"/>
                                </w:tcPr>
                                <w:p>
                                  <w:pPr>
                                    <w:pStyle w:val="TableParagraph"/>
                                    <w:spacing w:before="90"/>
                                    <w:ind w:left="79"/>
                                    <w:rPr>
                                      <w:sz w:val="20"/>
                                    </w:rPr>
                                  </w:pPr>
                                  <w:r>
                                    <w:rPr>
                                      <w:color w:val="105C84"/>
                                      <w:spacing w:val="-4"/>
                                      <w:sz w:val="20"/>
                                    </w:rPr>
                                    <w:t>Exercise</w:t>
                                  </w:r>
                                  <w:r>
                                    <w:rPr>
                                      <w:color w:val="105C84"/>
                                      <w:spacing w:val="3"/>
                                      <w:sz w:val="20"/>
                                    </w:rPr>
                                    <w:t> </w:t>
                                  </w:r>
                                  <w:r>
                                    <w:rPr>
                                      <w:color w:val="105C84"/>
                                      <w:spacing w:val="-2"/>
                                      <w:sz w:val="20"/>
                                    </w:rPr>
                                    <w:t>(11.5%)</w:t>
                                  </w:r>
                                </w:p>
                              </w:tc>
                            </w:tr>
                            <w:tr>
                              <w:trPr>
                                <w:trHeight w:val="355" w:hRule="atLeast"/>
                              </w:trPr>
                              <w:tc>
                                <w:tcPr>
                                  <w:tcW w:w="4778" w:type="dxa"/>
                                </w:tcPr>
                                <w:p>
                                  <w:pPr>
                                    <w:pStyle w:val="TableParagraph"/>
                                    <w:spacing w:before="90"/>
                                    <w:ind w:left="79"/>
                                    <w:rPr>
                                      <w:sz w:val="20"/>
                                    </w:rPr>
                                  </w:pPr>
                                  <w:r>
                                    <w:rPr>
                                      <w:color w:val="105C84"/>
                                      <w:sz w:val="20"/>
                                    </w:rPr>
                                    <w:t>Weight</w:t>
                                  </w:r>
                                  <w:r>
                                    <w:rPr>
                                      <w:color w:val="105C84"/>
                                      <w:spacing w:val="27"/>
                                      <w:sz w:val="20"/>
                                    </w:rPr>
                                    <w:t> </w:t>
                                  </w:r>
                                  <w:r>
                                    <w:rPr>
                                      <w:color w:val="105C84"/>
                                      <w:spacing w:val="-2"/>
                                      <w:sz w:val="20"/>
                                    </w:rPr>
                                    <w:t>(9.7%)</w:t>
                                  </w:r>
                                </w:p>
                              </w:tc>
                            </w:tr>
                          </w:tbl>
                          <w:p>
                            <w:pPr>
                              <w:pStyle w:val="BodyText"/>
                            </w:pPr>
                          </w:p>
                        </w:txbxContent>
                      </wps:txbx>
                      <wps:bodyPr wrap="square" lIns="0" tIns="0" rIns="0" bIns="0" rtlCol="0">
                        <a:noAutofit/>
                      </wps:bodyPr>
                    </wps:wsp>
                  </a:graphicData>
                </a:graphic>
              </wp:anchor>
            </w:drawing>
          </mc:Choice>
          <mc:Fallback>
            <w:pict>
              <v:shape style="position:absolute;margin-left:917.755005pt;margin-top:14.463574pt;width:245.2pt;height:108.25pt;mso-position-horizontal-relative:page;mso-position-vertical-relative:paragraph;z-index:15855104" type="#_x0000_t202" id="docshape931" filled="false" stroked="false">
                <v:textbox inset="0,0,0,0">
                  <w:txbxContent>
                    <w:tbl>
                      <w:tblPr>
                        <w:tblW w:w="0" w:type="auto"/>
                        <w:jc w:val="left"/>
                        <w:tblInd w:w="62" w:type="dxa"/>
                        <w:tblBorders>
                          <w:top w:val="single" w:sz="2" w:space="0" w:color="636466"/>
                          <w:left w:val="single" w:sz="2" w:space="0" w:color="636466"/>
                          <w:bottom w:val="single" w:sz="2" w:space="0" w:color="636466"/>
                          <w:right w:val="single" w:sz="2" w:space="0" w:color="636466"/>
                          <w:insideH w:val="single" w:sz="2" w:space="0" w:color="636466"/>
                          <w:insideV w:val="single" w:sz="2" w:space="0" w:color="636466"/>
                        </w:tblBorders>
                        <w:tblLayout w:type="fixed"/>
                        <w:tblCellMar>
                          <w:top w:w="0" w:type="dxa"/>
                          <w:left w:w="0" w:type="dxa"/>
                          <w:bottom w:w="0" w:type="dxa"/>
                          <w:right w:w="0" w:type="dxa"/>
                        </w:tblCellMar>
                        <w:tblLook w:val="01E0"/>
                      </w:tblPr>
                      <w:tblGrid>
                        <w:gridCol w:w="4778"/>
                      </w:tblGrid>
                      <w:tr>
                        <w:trPr>
                          <w:trHeight w:val="355" w:hRule="atLeast"/>
                        </w:trPr>
                        <w:tc>
                          <w:tcPr>
                            <w:tcW w:w="4778" w:type="dxa"/>
                            <w:shd w:val="clear" w:color="auto" w:fill="1C75BC"/>
                          </w:tcPr>
                          <w:p>
                            <w:pPr>
                              <w:pStyle w:val="TableParagraph"/>
                              <w:spacing w:before="90"/>
                              <w:ind w:left="79"/>
                              <w:rPr>
                                <w:b/>
                                <w:sz w:val="20"/>
                              </w:rPr>
                            </w:pPr>
                            <w:r>
                              <w:rPr>
                                <w:b/>
                                <w:color w:val="FFFFFF"/>
                                <w:sz w:val="20"/>
                              </w:rPr>
                              <w:t>COUNTY</w:t>
                            </w:r>
                            <w:r>
                              <w:rPr>
                                <w:b/>
                                <w:color w:val="FFFFFF"/>
                                <w:spacing w:val="2"/>
                                <w:sz w:val="20"/>
                              </w:rPr>
                              <w:t> </w:t>
                            </w:r>
                            <w:r>
                              <w:rPr>
                                <w:b/>
                                <w:color w:val="FFFFFF"/>
                                <w:sz w:val="20"/>
                              </w:rPr>
                              <w:t>PRIORITY</w:t>
                            </w:r>
                            <w:r>
                              <w:rPr>
                                <w:b/>
                                <w:color w:val="FFFFFF"/>
                                <w:spacing w:val="3"/>
                                <w:sz w:val="20"/>
                              </w:rPr>
                              <w:t> </w:t>
                            </w:r>
                            <w:r>
                              <w:rPr>
                                <w:b/>
                                <w:color w:val="FFFFFF"/>
                                <w:sz w:val="20"/>
                              </w:rPr>
                              <w:t>-</w:t>
                            </w:r>
                            <w:r>
                              <w:rPr>
                                <w:b/>
                                <w:color w:val="FFFFFF"/>
                                <w:spacing w:val="2"/>
                                <w:sz w:val="20"/>
                              </w:rPr>
                              <w:t> </w:t>
                            </w:r>
                            <w:r>
                              <w:rPr>
                                <w:b/>
                                <w:color w:val="FFFFFF"/>
                                <w:sz w:val="20"/>
                              </w:rPr>
                              <w:t>FOR</w:t>
                            </w:r>
                            <w:r>
                              <w:rPr>
                                <w:b/>
                                <w:color w:val="FFFFFF"/>
                                <w:spacing w:val="3"/>
                                <w:sz w:val="20"/>
                              </w:rPr>
                              <w:t> </w:t>
                            </w:r>
                            <w:r>
                              <w:rPr>
                                <w:b/>
                                <w:color w:val="FFFFFF"/>
                                <w:spacing w:val="-2"/>
                                <w:sz w:val="20"/>
                              </w:rPr>
                              <w:t>CHILDREN</w:t>
                            </w:r>
                          </w:p>
                        </w:tc>
                      </w:tr>
                      <w:tr>
                        <w:trPr>
                          <w:trHeight w:val="355" w:hRule="atLeast"/>
                        </w:trPr>
                        <w:tc>
                          <w:tcPr>
                            <w:tcW w:w="4778" w:type="dxa"/>
                          </w:tcPr>
                          <w:p>
                            <w:pPr>
                              <w:pStyle w:val="TableParagraph"/>
                              <w:spacing w:before="90"/>
                              <w:ind w:left="79"/>
                              <w:rPr>
                                <w:sz w:val="20"/>
                              </w:rPr>
                            </w:pPr>
                            <w:r>
                              <w:rPr>
                                <w:color w:val="105C84"/>
                                <w:sz w:val="20"/>
                              </w:rPr>
                              <w:t>Substance</w:t>
                            </w:r>
                            <w:r>
                              <w:rPr>
                                <w:color w:val="105C84"/>
                                <w:spacing w:val="-11"/>
                                <w:sz w:val="20"/>
                              </w:rPr>
                              <w:t> </w:t>
                            </w:r>
                            <w:r>
                              <w:rPr>
                                <w:color w:val="105C84"/>
                                <w:sz w:val="20"/>
                              </w:rPr>
                              <w:t>abuse</w:t>
                            </w:r>
                            <w:r>
                              <w:rPr>
                                <w:color w:val="105C84"/>
                                <w:spacing w:val="-10"/>
                                <w:sz w:val="20"/>
                              </w:rPr>
                              <w:t> </w:t>
                            </w:r>
                            <w:r>
                              <w:rPr>
                                <w:color w:val="105C84"/>
                                <w:spacing w:val="-2"/>
                                <w:sz w:val="20"/>
                              </w:rPr>
                              <w:t>(29.5%)</w:t>
                            </w:r>
                          </w:p>
                        </w:tc>
                      </w:tr>
                      <w:tr>
                        <w:trPr>
                          <w:trHeight w:val="355" w:hRule="atLeast"/>
                        </w:trPr>
                        <w:tc>
                          <w:tcPr>
                            <w:tcW w:w="4778" w:type="dxa"/>
                          </w:tcPr>
                          <w:p>
                            <w:pPr>
                              <w:pStyle w:val="TableParagraph"/>
                              <w:spacing w:before="90"/>
                              <w:ind w:left="79"/>
                              <w:rPr>
                                <w:sz w:val="20"/>
                              </w:rPr>
                            </w:pPr>
                            <w:r>
                              <w:rPr>
                                <w:color w:val="105C84"/>
                                <w:sz w:val="20"/>
                              </w:rPr>
                              <w:t>Diet</w:t>
                            </w:r>
                            <w:r>
                              <w:rPr>
                                <w:color w:val="105C84"/>
                                <w:spacing w:val="30"/>
                                <w:sz w:val="20"/>
                              </w:rPr>
                              <w:t> </w:t>
                            </w:r>
                            <w:r>
                              <w:rPr>
                                <w:color w:val="105C84"/>
                                <w:sz w:val="20"/>
                              </w:rPr>
                              <w:t>/</w:t>
                            </w:r>
                            <w:r>
                              <w:rPr>
                                <w:color w:val="105C84"/>
                                <w:spacing w:val="30"/>
                                <w:sz w:val="20"/>
                              </w:rPr>
                              <w:t> </w:t>
                            </w:r>
                            <w:r>
                              <w:rPr>
                                <w:color w:val="105C84"/>
                                <w:sz w:val="20"/>
                              </w:rPr>
                              <w:t>nutrition</w:t>
                            </w:r>
                            <w:r>
                              <w:rPr>
                                <w:color w:val="105C84"/>
                                <w:spacing w:val="31"/>
                                <w:sz w:val="20"/>
                              </w:rPr>
                              <w:t> </w:t>
                            </w:r>
                            <w:r>
                              <w:rPr>
                                <w:color w:val="105C84"/>
                                <w:spacing w:val="-2"/>
                                <w:sz w:val="20"/>
                              </w:rPr>
                              <w:t>(16.5%)</w:t>
                            </w:r>
                          </w:p>
                        </w:tc>
                      </w:tr>
                      <w:tr>
                        <w:trPr>
                          <w:trHeight w:val="355" w:hRule="atLeast"/>
                        </w:trPr>
                        <w:tc>
                          <w:tcPr>
                            <w:tcW w:w="4778" w:type="dxa"/>
                          </w:tcPr>
                          <w:p>
                            <w:pPr>
                              <w:pStyle w:val="TableParagraph"/>
                              <w:spacing w:before="90"/>
                              <w:ind w:left="79"/>
                              <w:rPr>
                                <w:sz w:val="20"/>
                              </w:rPr>
                            </w:pPr>
                            <w:r>
                              <w:rPr>
                                <w:color w:val="105C84"/>
                                <w:sz w:val="20"/>
                              </w:rPr>
                              <w:t>Mental</w:t>
                            </w:r>
                            <w:r>
                              <w:rPr>
                                <w:color w:val="105C84"/>
                                <w:spacing w:val="13"/>
                                <w:sz w:val="20"/>
                              </w:rPr>
                              <w:t> </w:t>
                            </w:r>
                            <w:r>
                              <w:rPr>
                                <w:color w:val="105C84"/>
                                <w:sz w:val="20"/>
                              </w:rPr>
                              <w:t>/</w:t>
                            </w:r>
                            <w:r>
                              <w:rPr>
                                <w:color w:val="105C84"/>
                                <w:spacing w:val="13"/>
                                <w:sz w:val="20"/>
                              </w:rPr>
                              <w:t> </w:t>
                            </w:r>
                            <w:r>
                              <w:rPr>
                                <w:color w:val="105C84"/>
                                <w:sz w:val="20"/>
                              </w:rPr>
                              <w:t>emotional</w:t>
                            </w:r>
                            <w:r>
                              <w:rPr>
                                <w:color w:val="105C84"/>
                                <w:spacing w:val="13"/>
                                <w:sz w:val="20"/>
                              </w:rPr>
                              <w:t> </w:t>
                            </w:r>
                            <w:r>
                              <w:rPr>
                                <w:color w:val="105C84"/>
                                <w:sz w:val="20"/>
                              </w:rPr>
                              <w:t>health</w:t>
                            </w:r>
                            <w:r>
                              <w:rPr>
                                <w:color w:val="105C84"/>
                                <w:spacing w:val="13"/>
                                <w:sz w:val="20"/>
                              </w:rPr>
                              <w:t> </w:t>
                            </w:r>
                            <w:r>
                              <w:rPr>
                                <w:color w:val="105C84"/>
                                <w:sz w:val="20"/>
                              </w:rPr>
                              <w:t>issues</w:t>
                            </w:r>
                            <w:r>
                              <w:rPr>
                                <w:color w:val="105C84"/>
                                <w:spacing w:val="13"/>
                                <w:sz w:val="20"/>
                              </w:rPr>
                              <w:t> </w:t>
                            </w:r>
                            <w:r>
                              <w:rPr>
                                <w:color w:val="105C84"/>
                                <w:spacing w:val="-2"/>
                                <w:sz w:val="20"/>
                              </w:rPr>
                              <w:t>(16.5%)</w:t>
                            </w:r>
                          </w:p>
                        </w:tc>
                      </w:tr>
                      <w:tr>
                        <w:trPr>
                          <w:trHeight w:val="355" w:hRule="atLeast"/>
                        </w:trPr>
                        <w:tc>
                          <w:tcPr>
                            <w:tcW w:w="4778" w:type="dxa"/>
                          </w:tcPr>
                          <w:p>
                            <w:pPr>
                              <w:pStyle w:val="TableParagraph"/>
                              <w:spacing w:before="90"/>
                              <w:ind w:left="79"/>
                              <w:rPr>
                                <w:sz w:val="20"/>
                              </w:rPr>
                            </w:pPr>
                            <w:r>
                              <w:rPr>
                                <w:color w:val="105C84"/>
                                <w:spacing w:val="-4"/>
                                <w:sz w:val="20"/>
                              </w:rPr>
                              <w:t>Exercise</w:t>
                            </w:r>
                            <w:r>
                              <w:rPr>
                                <w:color w:val="105C84"/>
                                <w:spacing w:val="3"/>
                                <w:sz w:val="20"/>
                              </w:rPr>
                              <w:t> </w:t>
                            </w:r>
                            <w:r>
                              <w:rPr>
                                <w:color w:val="105C84"/>
                                <w:spacing w:val="-2"/>
                                <w:sz w:val="20"/>
                              </w:rPr>
                              <w:t>(11.5%)</w:t>
                            </w:r>
                          </w:p>
                        </w:tc>
                      </w:tr>
                      <w:tr>
                        <w:trPr>
                          <w:trHeight w:val="355" w:hRule="atLeast"/>
                        </w:trPr>
                        <w:tc>
                          <w:tcPr>
                            <w:tcW w:w="4778" w:type="dxa"/>
                          </w:tcPr>
                          <w:p>
                            <w:pPr>
                              <w:pStyle w:val="TableParagraph"/>
                              <w:spacing w:before="90"/>
                              <w:ind w:left="79"/>
                              <w:rPr>
                                <w:sz w:val="20"/>
                              </w:rPr>
                            </w:pPr>
                            <w:r>
                              <w:rPr>
                                <w:color w:val="105C84"/>
                                <w:sz w:val="20"/>
                              </w:rPr>
                              <w:t>Weight</w:t>
                            </w:r>
                            <w:r>
                              <w:rPr>
                                <w:color w:val="105C84"/>
                                <w:spacing w:val="27"/>
                                <w:sz w:val="20"/>
                              </w:rPr>
                              <w:t> </w:t>
                            </w:r>
                            <w:r>
                              <w:rPr>
                                <w:color w:val="105C84"/>
                                <w:spacing w:val="-2"/>
                                <w:sz w:val="20"/>
                              </w:rPr>
                              <w:t>(9.7%)</w:t>
                            </w:r>
                          </w:p>
                        </w:tc>
                      </w:tr>
                    </w:tbl>
                    <w:p>
                      <w:pPr>
                        <w:pStyle w:val="BodyText"/>
                      </w:pPr>
                    </w:p>
                  </w:txbxContent>
                </v:textbox>
                <w10:wrap type="none"/>
              </v:shape>
            </w:pict>
          </mc:Fallback>
        </mc:AlternateContent>
      </w:r>
      <w:r>
        <w:rPr>
          <w:color w:val="636466"/>
          <w:spacing w:val="-4"/>
          <w:sz w:val="18"/>
        </w:rPr>
        <w:t>2012</w:t>
      </w:r>
      <w:r>
        <w:rPr>
          <w:color w:val="636466"/>
          <w:sz w:val="18"/>
        </w:rPr>
        <w:tab/>
      </w:r>
      <w:r>
        <w:rPr>
          <w:color w:val="636466"/>
          <w:spacing w:val="-4"/>
          <w:sz w:val="18"/>
        </w:rPr>
        <w:t>2013</w:t>
      </w:r>
      <w:r>
        <w:rPr>
          <w:color w:val="636466"/>
          <w:sz w:val="18"/>
        </w:rPr>
        <w:tab/>
      </w:r>
      <w:r>
        <w:rPr>
          <w:color w:val="636466"/>
          <w:spacing w:val="-4"/>
          <w:sz w:val="18"/>
        </w:rPr>
        <w:t>2014</w:t>
      </w:r>
      <w:r>
        <w:rPr>
          <w:color w:val="636466"/>
          <w:sz w:val="18"/>
        </w:rPr>
        <w:tab/>
      </w:r>
      <w:r>
        <w:rPr>
          <w:color w:val="636466"/>
          <w:spacing w:val="-4"/>
          <w:sz w:val="18"/>
        </w:rPr>
        <w:t>2015</w:t>
      </w:r>
      <w:r>
        <w:rPr>
          <w:color w:val="636466"/>
          <w:sz w:val="18"/>
        </w:rPr>
        <w:tab/>
      </w:r>
      <w:r>
        <w:rPr>
          <w:color w:val="636466"/>
          <w:spacing w:val="-4"/>
          <w:sz w:val="18"/>
        </w:rPr>
        <w:t>2016</w:t>
      </w:r>
      <w:r>
        <w:rPr>
          <w:color w:val="636466"/>
          <w:sz w:val="18"/>
        </w:rPr>
        <w:tab/>
      </w:r>
      <w:r>
        <w:rPr>
          <w:color w:val="636466"/>
          <w:spacing w:val="-4"/>
          <w:sz w:val="18"/>
        </w:rPr>
        <w:t>2017</w:t>
      </w:r>
    </w:p>
    <w:p>
      <w:pPr>
        <w:pStyle w:val="BodyText"/>
        <w:spacing w:before="64"/>
        <w:rPr>
          <w:sz w:val="18"/>
        </w:rPr>
      </w:pPr>
    </w:p>
    <w:p>
      <w:pPr>
        <w:spacing w:before="0"/>
        <w:ind w:left="1906" w:right="0" w:firstLine="0"/>
        <w:jc w:val="left"/>
        <w:rPr>
          <w:sz w:val="16"/>
        </w:rPr>
      </w:pPr>
      <w:r>
        <w:rPr>
          <w:color w:val="105C84"/>
          <w:spacing w:val="-2"/>
          <w:sz w:val="16"/>
        </w:rPr>
        <w:t>Data</w:t>
      </w:r>
      <w:r>
        <w:rPr>
          <w:color w:val="105C84"/>
          <w:spacing w:val="-8"/>
          <w:sz w:val="16"/>
        </w:rPr>
        <w:t> </w:t>
      </w:r>
      <w:r>
        <w:rPr>
          <w:color w:val="105C84"/>
          <w:spacing w:val="-2"/>
          <w:sz w:val="16"/>
        </w:rPr>
        <w:t>Source:</w:t>
      </w:r>
      <w:r>
        <w:rPr>
          <w:color w:val="105C84"/>
          <w:spacing w:val="-8"/>
          <w:sz w:val="16"/>
        </w:rPr>
        <w:t> </w:t>
      </w:r>
      <w:r>
        <w:rPr>
          <w:color w:val="105C84"/>
          <w:spacing w:val="-2"/>
          <w:sz w:val="16"/>
        </w:rPr>
        <w:t>U.S.</w:t>
      </w:r>
      <w:r>
        <w:rPr>
          <w:color w:val="105C84"/>
          <w:spacing w:val="-8"/>
          <w:sz w:val="16"/>
        </w:rPr>
        <w:t> </w:t>
      </w:r>
      <w:r>
        <w:rPr>
          <w:color w:val="105C84"/>
          <w:spacing w:val="-2"/>
          <w:sz w:val="16"/>
        </w:rPr>
        <w:t>Census</w:t>
      </w:r>
      <w:r>
        <w:rPr>
          <w:color w:val="105C84"/>
          <w:spacing w:val="-8"/>
          <w:sz w:val="16"/>
        </w:rPr>
        <w:t> </w:t>
      </w:r>
      <w:r>
        <w:rPr>
          <w:color w:val="105C84"/>
          <w:spacing w:val="-2"/>
          <w:sz w:val="16"/>
        </w:rPr>
        <w:t>Bureau</w:t>
      </w:r>
      <w:r>
        <w:rPr>
          <w:color w:val="105C84"/>
          <w:spacing w:val="-8"/>
          <w:sz w:val="16"/>
        </w:rPr>
        <w:t> </w:t>
      </w:r>
      <w:r>
        <w:rPr>
          <w:color w:val="105C84"/>
          <w:spacing w:val="-2"/>
          <w:sz w:val="16"/>
        </w:rPr>
        <w:t>American</w:t>
      </w:r>
      <w:r>
        <w:rPr>
          <w:color w:val="105C84"/>
          <w:spacing w:val="-8"/>
          <w:sz w:val="16"/>
        </w:rPr>
        <w:t> </w:t>
      </w:r>
      <w:r>
        <w:rPr>
          <w:color w:val="105C84"/>
          <w:spacing w:val="-2"/>
          <w:sz w:val="16"/>
        </w:rPr>
        <w:t>Community</w:t>
      </w:r>
      <w:r>
        <w:rPr>
          <w:color w:val="105C84"/>
          <w:spacing w:val="-8"/>
          <w:sz w:val="16"/>
        </w:rPr>
        <w:t> </w:t>
      </w:r>
      <w:r>
        <w:rPr>
          <w:color w:val="105C84"/>
          <w:spacing w:val="-2"/>
          <w:sz w:val="16"/>
        </w:rPr>
        <w:t>Survey</w:t>
      </w:r>
      <w:r>
        <w:rPr>
          <w:color w:val="105C84"/>
          <w:spacing w:val="-8"/>
          <w:sz w:val="16"/>
        </w:rPr>
        <w:t> </w:t>
      </w:r>
      <w:r>
        <w:rPr>
          <w:color w:val="105C84"/>
          <w:spacing w:val="-2"/>
          <w:sz w:val="16"/>
        </w:rPr>
        <w:t>5-Year</w:t>
      </w:r>
      <w:r>
        <w:rPr>
          <w:color w:val="105C84"/>
          <w:spacing w:val="-8"/>
          <w:sz w:val="16"/>
        </w:rPr>
        <w:t> </w:t>
      </w:r>
      <w:r>
        <w:rPr>
          <w:color w:val="105C84"/>
          <w:spacing w:val="-2"/>
          <w:sz w:val="16"/>
        </w:rPr>
        <w:t>Estimate</w:t>
      </w:r>
    </w:p>
    <w:p>
      <w:pPr>
        <w:pStyle w:val="BodyText"/>
      </w:pPr>
    </w:p>
    <w:p>
      <w:pPr>
        <w:pStyle w:val="BodyText"/>
        <w:spacing w:before="55"/>
      </w:pPr>
    </w:p>
    <w:p>
      <w:pPr>
        <w:pStyle w:val="BodyText"/>
        <w:spacing w:line="247" w:lineRule="auto"/>
        <w:ind w:left="1080" w:right="12684"/>
        <w:rPr>
          <w:position w:val="7"/>
          <w:sz w:val="13"/>
        </w:rPr>
      </w:pPr>
      <w:r>
        <w:rPr>
          <w:color w:val="105C84"/>
        </w:rPr>
        <w:t>Finally, 27% of Seneca County residents rent vs. own their home. In addition, 8% of occupied housing units have no vehicles available. Another 33% have access to one vehicle. Of note, the average household size for occupied housing is greater than two people. Approximately 40% of residents are</w:t>
      </w:r>
      <w:r>
        <w:rPr>
          <w:color w:val="105C84"/>
          <w:spacing w:val="40"/>
        </w:rPr>
        <w:t> </w:t>
      </w:r>
      <w:r>
        <w:rPr>
          <w:color w:val="105C84"/>
        </w:rPr>
        <w:t>paying 35% or more of their household income in rent costs.</w:t>
      </w:r>
      <w:r>
        <w:rPr>
          <w:color w:val="105C84"/>
          <w:position w:val="7"/>
          <w:sz w:val="13"/>
        </w:rPr>
        <w:t>33</w:t>
      </w:r>
    </w:p>
    <w:p>
      <w:pPr>
        <w:pStyle w:val="BodyText"/>
        <w:spacing w:before="58"/>
      </w:pPr>
    </w:p>
    <w:p>
      <w:pPr>
        <w:spacing w:line="235" w:lineRule="auto" w:before="0"/>
        <w:ind w:left="13320" w:right="557" w:firstLine="0"/>
        <w:jc w:val="left"/>
        <w:rPr>
          <w:sz w:val="16"/>
        </w:rPr>
      </w:pPr>
      <w:r>
        <w:rPr>
          <w:color w:val="0C5D86"/>
          <w:sz w:val="16"/>
        </w:rPr>
        <w:t>Source: My Health Story survey 2018. Analysis by Common Ground Health incorporates weighting to normalize survey participants to demographics</w:t>
      </w:r>
      <w:r>
        <w:rPr>
          <w:color w:val="0C5D86"/>
          <w:spacing w:val="-6"/>
          <w:sz w:val="16"/>
        </w:rPr>
        <w:t> </w:t>
      </w:r>
      <w:r>
        <w:rPr>
          <w:color w:val="0C5D86"/>
          <w:sz w:val="16"/>
        </w:rPr>
        <w:t>of</w:t>
      </w:r>
      <w:r>
        <w:rPr>
          <w:color w:val="0C5D86"/>
          <w:spacing w:val="-6"/>
          <w:sz w:val="16"/>
        </w:rPr>
        <w:t> </w:t>
      </w:r>
      <w:r>
        <w:rPr>
          <w:color w:val="0C5D86"/>
          <w:sz w:val="16"/>
        </w:rPr>
        <w:t>each</w:t>
      </w:r>
      <w:r>
        <w:rPr>
          <w:color w:val="0C5D86"/>
          <w:spacing w:val="-6"/>
          <w:sz w:val="16"/>
        </w:rPr>
        <w:t> </w:t>
      </w:r>
      <w:r>
        <w:rPr>
          <w:color w:val="0C5D86"/>
          <w:sz w:val="16"/>
        </w:rPr>
        <w:t>county.</w:t>
      </w:r>
      <w:r>
        <w:rPr>
          <w:color w:val="0C5D86"/>
          <w:spacing w:val="32"/>
          <w:sz w:val="16"/>
        </w:rPr>
        <w:t> </w:t>
      </w:r>
      <w:r>
        <w:rPr>
          <w:color w:val="0C5D86"/>
          <w:sz w:val="16"/>
        </w:rPr>
        <w:t>Top</w:t>
      </w:r>
      <w:r>
        <w:rPr>
          <w:color w:val="0C5D86"/>
          <w:spacing w:val="-6"/>
          <w:sz w:val="16"/>
        </w:rPr>
        <w:t> </w:t>
      </w:r>
      <w:r>
        <w:rPr>
          <w:color w:val="0C5D86"/>
          <w:sz w:val="16"/>
        </w:rPr>
        <w:t>5</w:t>
      </w:r>
      <w:r>
        <w:rPr>
          <w:color w:val="0C5D86"/>
          <w:spacing w:val="-6"/>
          <w:sz w:val="16"/>
        </w:rPr>
        <w:t> </w:t>
      </w:r>
      <w:r>
        <w:rPr>
          <w:color w:val="0C5D86"/>
          <w:sz w:val="16"/>
        </w:rPr>
        <w:t>issues</w:t>
      </w:r>
      <w:r>
        <w:rPr>
          <w:color w:val="0C5D86"/>
          <w:spacing w:val="-6"/>
          <w:sz w:val="16"/>
        </w:rPr>
        <w:t> </w:t>
      </w:r>
      <w:r>
        <w:rPr>
          <w:color w:val="0C5D86"/>
          <w:sz w:val="16"/>
        </w:rPr>
        <w:t>shown</w:t>
      </w:r>
      <w:r>
        <w:rPr>
          <w:color w:val="0C5D86"/>
          <w:spacing w:val="-6"/>
          <w:sz w:val="16"/>
        </w:rPr>
        <w:t> </w:t>
      </w:r>
      <w:r>
        <w:rPr>
          <w:color w:val="0C5D86"/>
          <w:sz w:val="16"/>
        </w:rPr>
        <w:t>for</w:t>
      </w:r>
      <w:r>
        <w:rPr>
          <w:color w:val="0C5D86"/>
          <w:spacing w:val="-6"/>
          <w:sz w:val="16"/>
        </w:rPr>
        <w:t> </w:t>
      </w:r>
      <w:r>
        <w:rPr>
          <w:color w:val="0C5D86"/>
          <w:sz w:val="16"/>
        </w:rPr>
        <w:t>each</w:t>
      </w:r>
      <w:r>
        <w:rPr>
          <w:color w:val="0C5D86"/>
          <w:spacing w:val="-6"/>
          <w:sz w:val="16"/>
        </w:rPr>
        <w:t> </w:t>
      </w:r>
      <w:r>
        <w:rPr>
          <w:color w:val="0C5D86"/>
          <w:sz w:val="16"/>
        </w:rPr>
        <w:t>question.</w:t>
      </w:r>
      <w:r>
        <w:rPr>
          <w:color w:val="0C5D86"/>
          <w:spacing w:val="32"/>
          <w:sz w:val="16"/>
        </w:rPr>
        <w:t> </w:t>
      </w:r>
      <w:r>
        <w:rPr>
          <w:color w:val="0C5D86"/>
          <w:sz w:val="16"/>
        </w:rPr>
        <w:t>Data</w:t>
      </w:r>
      <w:r>
        <w:rPr>
          <w:color w:val="0C5D86"/>
          <w:spacing w:val="-6"/>
          <w:sz w:val="16"/>
        </w:rPr>
        <w:t> </w:t>
      </w:r>
      <w:r>
        <w:rPr>
          <w:color w:val="0C5D86"/>
          <w:sz w:val="16"/>
        </w:rPr>
        <w:t>shown</w:t>
      </w:r>
      <w:r>
        <w:rPr>
          <w:color w:val="0C5D86"/>
          <w:spacing w:val="-6"/>
          <w:sz w:val="16"/>
        </w:rPr>
        <w:t> </w:t>
      </w:r>
      <w:r>
        <w:rPr>
          <w:color w:val="0C5D86"/>
          <w:sz w:val="16"/>
        </w:rPr>
        <w:t>are</w:t>
      </w:r>
      <w:r>
        <w:rPr>
          <w:color w:val="0C5D86"/>
          <w:spacing w:val="-6"/>
          <w:sz w:val="16"/>
        </w:rPr>
        <w:t> </w:t>
      </w:r>
      <w:r>
        <w:rPr>
          <w:color w:val="0C5D86"/>
          <w:sz w:val="16"/>
        </w:rPr>
        <w:t>the</w:t>
      </w:r>
      <w:r>
        <w:rPr>
          <w:color w:val="0C5D86"/>
          <w:spacing w:val="-6"/>
          <w:sz w:val="16"/>
        </w:rPr>
        <w:t> </w:t>
      </w:r>
      <w:r>
        <w:rPr>
          <w:color w:val="0C5D86"/>
          <w:sz w:val="16"/>
        </w:rPr>
        <w:t>percent</w:t>
      </w:r>
      <w:r>
        <w:rPr>
          <w:color w:val="0C5D86"/>
          <w:spacing w:val="-6"/>
          <w:sz w:val="16"/>
        </w:rPr>
        <w:t> </w:t>
      </w:r>
      <w:r>
        <w:rPr>
          <w:color w:val="0C5D86"/>
          <w:sz w:val="16"/>
        </w:rPr>
        <w:t>of</w:t>
      </w:r>
      <w:r>
        <w:rPr>
          <w:color w:val="0C5D86"/>
          <w:spacing w:val="-6"/>
          <w:sz w:val="16"/>
        </w:rPr>
        <w:t> </w:t>
      </w:r>
      <w:r>
        <w:rPr>
          <w:color w:val="0C5D86"/>
          <w:sz w:val="16"/>
        </w:rPr>
        <w:t>participants</w:t>
      </w:r>
      <w:r>
        <w:rPr>
          <w:color w:val="0C5D86"/>
          <w:spacing w:val="-6"/>
          <w:sz w:val="16"/>
        </w:rPr>
        <w:t> </w:t>
      </w:r>
      <w:r>
        <w:rPr>
          <w:color w:val="0C5D86"/>
          <w:sz w:val="16"/>
        </w:rPr>
        <w:t>with</w:t>
      </w:r>
      <w:r>
        <w:rPr>
          <w:color w:val="0C5D86"/>
          <w:spacing w:val="-6"/>
          <w:sz w:val="16"/>
        </w:rPr>
        <w:t> </w:t>
      </w:r>
      <w:r>
        <w:rPr>
          <w:color w:val="0C5D86"/>
          <w:sz w:val="16"/>
        </w:rPr>
        <w:t>responses</w:t>
      </w:r>
      <w:r>
        <w:rPr>
          <w:color w:val="0C5D86"/>
          <w:spacing w:val="-6"/>
          <w:sz w:val="16"/>
        </w:rPr>
        <w:t> </w:t>
      </w:r>
      <w:r>
        <w:rPr>
          <w:color w:val="0C5D86"/>
          <w:sz w:val="16"/>
        </w:rPr>
        <w:t>in</w:t>
      </w:r>
      <w:r>
        <w:rPr>
          <w:color w:val="0C5D86"/>
          <w:spacing w:val="-6"/>
          <w:sz w:val="16"/>
        </w:rPr>
        <w:t> </w:t>
      </w:r>
      <w:r>
        <w:rPr>
          <w:color w:val="0C5D86"/>
          <w:sz w:val="16"/>
        </w:rPr>
        <w:t>each </w:t>
      </w:r>
      <w:r>
        <w:rPr>
          <w:color w:val="0C5D86"/>
          <w:spacing w:val="-2"/>
          <w:sz w:val="16"/>
        </w:rPr>
        <w:t>category.</w:t>
      </w:r>
    </w:p>
    <w:p>
      <w:pPr>
        <w:tabs>
          <w:tab w:pos="5730" w:val="left" w:leader="none"/>
          <w:tab w:pos="23454" w:val="right" w:leader="none"/>
        </w:tabs>
        <w:spacing w:before="290"/>
        <w:ind w:left="1058" w:right="0" w:firstLine="0"/>
        <w:jc w:val="left"/>
        <w:rPr>
          <w:b/>
          <w:position w:val="1"/>
          <w:sz w:val="26"/>
        </w:rPr>
      </w:pPr>
      <w:r>
        <w:rPr>
          <w:b/>
          <w:position w:val="1"/>
          <w:sz w:val="26"/>
        </w:rPr>
        <w:drawing>
          <wp:anchor distT="0" distB="0" distL="0" distR="0" allowOverlap="1" layoutInCell="1" locked="0" behindDoc="0" simplePos="0" relativeHeight="15849984">
            <wp:simplePos x="0" y="0"/>
            <wp:positionH relativeFrom="page">
              <wp:posOffset>0</wp:posOffset>
            </wp:positionH>
            <wp:positionV relativeFrom="paragraph">
              <wp:posOffset>183553</wp:posOffset>
            </wp:positionV>
            <wp:extent cx="568172" cy="184683"/>
            <wp:effectExtent l="0" t="0" r="0" b="0"/>
            <wp:wrapNone/>
            <wp:docPr id="1140" name="Image 1140"/>
            <wp:cNvGraphicFramePr>
              <a:graphicFrameLocks/>
            </wp:cNvGraphicFramePr>
            <a:graphic>
              <a:graphicData uri="http://schemas.openxmlformats.org/drawingml/2006/picture">
                <pic:pic>
                  <pic:nvPicPr>
                    <pic:cNvPr id="1140" name="Image 1140"/>
                    <pic:cNvPicPr/>
                  </pic:nvPicPr>
                  <pic:blipFill>
                    <a:blip r:embed="rId39" cstate="print"/>
                    <a:stretch>
                      <a:fillRect/>
                    </a:stretch>
                  </pic:blipFill>
                  <pic:spPr>
                    <a:xfrm>
                      <a:off x="0" y="0"/>
                      <a:ext cx="568172" cy="184683"/>
                    </a:xfrm>
                    <a:prstGeom prst="rect">
                      <a:avLst/>
                    </a:prstGeom>
                  </pic:spPr>
                </pic:pic>
              </a:graphicData>
            </a:graphic>
          </wp:anchor>
        </w:drawing>
      </w:r>
      <w:r>
        <w:rPr>
          <w:b/>
          <w:color w:val="939598"/>
          <w:spacing w:val="-5"/>
          <w:position w:val="1"/>
          <w:sz w:val="26"/>
        </w:rPr>
        <w:t>77</w:t>
      </w:r>
      <w:r>
        <w:rPr>
          <w:b/>
          <w:color w:val="939598"/>
          <w:position w:val="1"/>
          <w:sz w:val="26"/>
        </w:rPr>
        <w:tab/>
      </w:r>
      <w:r>
        <w:rPr>
          <w:color w:val="636466"/>
          <w:spacing w:val="-4"/>
          <w:sz w:val="14"/>
        </w:rPr>
        <w:t>33.</w:t>
      </w:r>
      <w:r>
        <w:rPr>
          <w:color w:val="636466"/>
          <w:spacing w:val="40"/>
          <w:sz w:val="14"/>
        </w:rPr>
        <w:t> </w:t>
      </w:r>
      <w:r>
        <w:rPr>
          <w:color w:val="636466"/>
          <w:spacing w:val="-4"/>
          <w:sz w:val="14"/>
        </w:rPr>
        <w:t>Source:</w:t>
      </w:r>
      <w:r>
        <w:rPr>
          <w:color w:val="636466"/>
          <w:spacing w:val="1"/>
          <w:sz w:val="14"/>
        </w:rPr>
        <w:t> </w:t>
      </w:r>
      <w:r>
        <w:rPr>
          <w:color w:val="636466"/>
          <w:spacing w:val="-4"/>
          <w:sz w:val="14"/>
        </w:rPr>
        <w:t>US</w:t>
      </w:r>
      <w:r>
        <w:rPr>
          <w:color w:val="636466"/>
          <w:spacing w:val="1"/>
          <w:sz w:val="14"/>
        </w:rPr>
        <w:t> </w:t>
      </w:r>
      <w:r>
        <w:rPr>
          <w:color w:val="636466"/>
          <w:spacing w:val="-4"/>
          <w:sz w:val="14"/>
        </w:rPr>
        <w:t>Census</w:t>
      </w:r>
      <w:r>
        <w:rPr>
          <w:color w:val="636466"/>
          <w:sz w:val="14"/>
        </w:rPr>
        <w:t> </w:t>
      </w:r>
      <w:r>
        <w:rPr>
          <w:color w:val="636466"/>
          <w:spacing w:val="-4"/>
          <w:sz w:val="14"/>
        </w:rPr>
        <w:t>Bureau</w:t>
      </w:r>
      <w:r>
        <w:rPr>
          <w:color w:val="636466"/>
          <w:spacing w:val="1"/>
          <w:sz w:val="14"/>
        </w:rPr>
        <w:t> </w:t>
      </w:r>
      <w:r>
        <w:rPr>
          <w:color w:val="636466"/>
          <w:spacing w:val="-4"/>
          <w:sz w:val="14"/>
        </w:rPr>
        <w:t>American</w:t>
      </w:r>
      <w:r>
        <w:rPr>
          <w:color w:val="636466"/>
          <w:spacing w:val="1"/>
          <w:sz w:val="14"/>
        </w:rPr>
        <w:t> </w:t>
      </w:r>
      <w:r>
        <w:rPr>
          <w:color w:val="636466"/>
          <w:spacing w:val="-4"/>
          <w:sz w:val="14"/>
        </w:rPr>
        <w:t>Community</w:t>
      </w:r>
      <w:r>
        <w:rPr>
          <w:color w:val="636466"/>
          <w:spacing w:val="1"/>
          <w:sz w:val="14"/>
        </w:rPr>
        <w:t> </w:t>
      </w:r>
      <w:r>
        <w:rPr>
          <w:color w:val="636466"/>
          <w:spacing w:val="-4"/>
          <w:sz w:val="14"/>
        </w:rPr>
        <w:t>Survey</w:t>
      </w:r>
      <w:r>
        <w:rPr>
          <w:color w:val="636466"/>
          <w:spacing w:val="1"/>
          <w:sz w:val="14"/>
        </w:rPr>
        <w:t> </w:t>
      </w:r>
      <w:r>
        <w:rPr>
          <w:color w:val="636466"/>
          <w:spacing w:val="-4"/>
          <w:sz w:val="14"/>
        </w:rPr>
        <w:t>2013-2017</w:t>
      </w:r>
      <w:r>
        <w:rPr>
          <w:color w:val="636466"/>
          <w:sz w:val="14"/>
        </w:rPr>
        <w:t> </w:t>
      </w:r>
      <w:r>
        <w:rPr>
          <w:color w:val="636466"/>
          <w:spacing w:val="-4"/>
          <w:sz w:val="14"/>
        </w:rPr>
        <w:t>5-Year</w:t>
      </w:r>
      <w:r>
        <w:rPr>
          <w:color w:val="636466"/>
          <w:spacing w:val="1"/>
          <w:sz w:val="14"/>
        </w:rPr>
        <w:t> </w:t>
      </w:r>
      <w:r>
        <w:rPr>
          <w:color w:val="636466"/>
          <w:spacing w:val="-4"/>
          <w:sz w:val="14"/>
        </w:rPr>
        <w:t>Estimates</w:t>
      </w:r>
      <w:r>
        <w:rPr>
          <w:rFonts w:ascii="Times New Roman"/>
          <w:color w:val="636466"/>
          <w:sz w:val="14"/>
        </w:rPr>
        <w:tab/>
      </w:r>
      <w:r>
        <w:rPr>
          <w:b/>
          <w:color w:val="939598"/>
          <w:spacing w:val="-5"/>
          <w:position w:val="1"/>
          <w:sz w:val="26"/>
        </w:rPr>
        <w:t>78</w:t>
      </w:r>
    </w:p>
    <w:p>
      <w:pPr>
        <w:spacing w:after="0"/>
        <w:jc w:val="left"/>
        <w:rPr>
          <w:b/>
          <w:position w:val="1"/>
          <w:sz w:val="26"/>
        </w:rPr>
        <w:sectPr>
          <w:type w:val="continuous"/>
          <w:pgSz w:w="24480" w:h="15840" w:orient="landscape"/>
          <w:pgMar w:header="0" w:footer="0" w:top="0" w:bottom="280" w:left="0" w:right="720"/>
        </w:sectPr>
      </w:pPr>
    </w:p>
    <w:p>
      <w:pPr>
        <w:pStyle w:val="BodyText"/>
        <w:rPr>
          <w:b/>
          <w:sz w:val="20"/>
        </w:rPr>
      </w:pPr>
    </w:p>
    <w:p>
      <w:pPr>
        <w:pStyle w:val="BodyText"/>
        <w:spacing w:before="16"/>
        <w:rPr>
          <w:b/>
          <w:sz w:val="20"/>
        </w:rPr>
      </w:pPr>
    </w:p>
    <w:p>
      <w:pPr>
        <w:pStyle w:val="BodyText"/>
        <w:spacing w:after="0"/>
        <w:rPr>
          <w:b/>
          <w:sz w:val="20"/>
        </w:rPr>
        <w:sectPr>
          <w:pgSz w:w="24480" w:h="15840" w:orient="landscape"/>
          <w:pgMar w:header="0" w:footer="0" w:top="860" w:bottom="0" w:left="0" w:right="720"/>
        </w:sectPr>
      </w:pPr>
    </w:p>
    <w:p>
      <w:pPr>
        <w:pStyle w:val="Heading6"/>
        <w:spacing w:before="116"/>
        <w:ind w:left="1085"/>
      </w:pPr>
      <w:r>
        <w:rPr>
          <w:color w:val="105C84"/>
          <w:spacing w:val="-8"/>
        </w:rPr>
        <w:t>Behavioral Risk Factors</w:t>
      </w:r>
    </w:p>
    <w:p>
      <w:pPr>
        <w:pStyle w:val="BodyText"/>
        <w:spacing w:line="247" w:lineRule="auto" w:before="268"/>
        <w:ind w:left="1085" w:right="44"/>
      </w:pPr>
      <w:r>
        <w:rPr>
          <w:color w:val="105C84"/>
        </w:rPr>
        <w:t>Approximately 45% of adults in Seneca County are obese. The disease affects approximately 11,460 adults and 325 children. Hypertension is a known risk factor for obese patients. In the county, 39% of adults have been diagnosed with hypertension. Common Ground Health’s June 2018 Hypertension Registry estimates that 71% of hypertensive patients are in control of their blood pressure with little</w:t>
      </w:r>
      <w:r>
        <w:rPr>
          <w:color w:val="105C84"/>
          <w:spacing w:val="40"/>
        </w:rPr>
        <w:t> </w:t>
      </w:r>
      <w:r>
        <w:rPr>
          <w:color w:val="105C84"/>
        </w:rPr>
        <w:t>variation by socioeconomic status (Figure 38). This is a positive finding because reducing the disparity is a difficult task to accomplish.</w:t>
      </w:r>
    </w:p>
    <w:p>
      <w:pPr>
        <w:pStyle w:val="BodyText"/>
        <w:spacing w:before="16"/>
      </w:pPr>
    </w:p>
    <w:p>
      <w:pPr>
        <w:pStyle w:val="Heading6"/>
        <w:spacing w:before="1"/>
        <w:ind w:left="1085"/>
      </w:pPr>
      <w:r>
        <w:rPr>
          <w:color w:val="105C84"/>
          <w:spacing w:val="-6"/>
        </w:rPr>
        <w:t>FIGURE</w:t>
      </w:r>
      <w:r>
        <w:rPr>
          <w:color w:val="105C84"/>
          <w:spacing w:val="-4"/>
        </w:rPr>
        <w:t> </w:t>
      </w:r>
      <w:r>
        <w:rPr>
          <w:color w:val="105C84"/>
          <w:spacing w:val="-6"/>
        </w:rPr>
        <w:t>38:</w:t>
      </w:r>
      <w:r>
        <w:rPr>
          <w:color w:val="105C84"/>
          <w:spacing w:val="-4"/>
        </w:rPr>
        <w:t> </w:t>
      </w:r>
      <w:r>
        <w:rPr>
          <w:color w:val="105C84"/>
          <w:spacing w:val="-6"/>
        </w:rPr>
        <w:t>Seneca</w:t>
      </w:r>
      <w:r>
        <w:rPr>
          <w:color w:val="105C84"/>
          <w:spacing w:val="-4"/>
        </w:rPr>
        <w:t> </w:t>
      </w:r>
      <w:r>
        <w:rPr>
          <w:color w:val="105C84"/>
          <w:spacing w:val="-6"/>
        </w:rPr>
        <w:t>County</w:t>
      </w:r>
      <w:r>
        <w:rPr>
          <w:color w:val="105C84"/>
          <w:spacing w:val="-4"/>
        </w:rPr>
        <w:t> </w:t>
      </w:r>
      <w:r>
        <w:rPr>
          <w:color w:val="105C84"/>
          <w:spacing w:val="-6"/>
        </w:rPr>
        <w:t>control</w:t>
      </w:r>
      <w:r>
        <w:rPr>
          <w:color w:val="105C84"/>
          <w:spacing w:val="-4"/>
        </w:rPr>
        <w:t> </w:t>
      </w:r>
      <w:r>
        <w:rPr>
          <w:color w:val="105C84"/>
          <w:spacing w:val="-6"/>
        </w:rPr>
        <w:t>rate</w:t>
      </w:r>
      <w:r>
        <w:rPr>
          <w:color w:val="105C84"/>
          <w:spacing w:val="-4"/>
        </w:rPr>
        <w:t> </w:t>
      </w:r>
      <w:r>
        <w:rPr>
          <w:color w:val="105C84"/>
          <w:spacing w:val="-6"/>
        </w:rPr>
        <w:t>by</w:t>
      </w:r>
      <w:r>
        <w:rPr>
          <w:color w:val="105C84"/>
          <w:spacing w:val="-3"/>
        </w:rPr>
        <w:t> </w:t>
      </w:r>
      <w:r>
        <w:rPr>
          <w:color w:val="105C84"/>
          <w:spacing w:val="-6"/>
        </w:rPr>
        <w:t>socioeconomic</w:t>
      </w:r>
      <w:r>
        <w:rPr>
          <w:color w:val="105C84"/>
          <w:spacing w:val="-4"/>
        </w:rPr>
        <w:t> </w:t>
      </w:r>
      <w:r>
        <w:rPr>
          <w:color w:val="105C84"/>
          <w:spacing w:val="-6"/>
        </w:rPr>
        <w:t>status</w:t>
      </w:r>
      <w:r>
        <w:rPr>
          <w:color w:val="105C84"/>
          <w:spacing w:val="-4"/>
        </w:rPr>
        <w:t> </w:t>
      </w:r>
      <w:r>
        <w:rPr>
          <w:color w:val="105C84"/>
          <w:spacing w:val="-6"/>
        </w:rPr>
        <w:t>over</w:t>
      </w:r>
      <w:r>
        <w:rPr>
          <w:color w:val="105C84"/>
          <w:spacing w:val="-4"/>
        </w:rPr>
        <w:t> </w:t>
      </w:r>
      <w:r>
        <w:rPr>
          <w:color w:val="105C84"/>
          <w:spacing w:val="-6"/>
        </w:rPr>
        <w:t>time</w:t>
      </w:r>
    </w:p>
    <w:p>
      <w:pPr>
        <w:pStyle w:val="BodyText"/>
        <w:spacing w:before="24"/>
        <w:rPr>
          <w:b/>
          <w:sz w:val="26"/>
        </w:rPr>
      </w:pPr>
    </w:p>
    <w:p>
      <w:pPr>
        <w:pStyle w:val="BodyText"/>
        <w:ind w:left="1442"/>
      </w:pPr>
      <w:r>
        <w:rPr/>
        <mc:AlternateContent>
          <mc:Choice Requires="wps">
            <w:drawing>
              <wp:anchor distT="0" distB="0" distL="0" distR="0" allowOverlap="1" layoutInCell="1" locked="0" behindDoc="1" simplePos="0" relativeHeight="475082752">
                <wp:simplePos x="0" y="0"/>
                <wp:positionH relativeFrom="page">
                  <wp:posOffset>988069</wp:posOffset>
                </wp:positionH>
                <wp:positionV relativeFrom="paragraph">
                  <wp:posOffset>-7253</wp:posOffset>
                </wp:positionV>
                <wp:extent cx="4097020" cy="2395855"/>
                <wp:effectExtent l="0" t="0" r="0" b="0"/>
                <wp:wrapNone/>
                <wp:docPr id="1141" name="Group 1141"/>
                <wp:cNvGraphicFramePr>
                  <a:graphicFrameLocks/>
                </wp:cNvGraphicFramePr>
                <a:graphic>
                  <a:graphicData uri="http://schemas.microsoft.com/office/word/2010/wordprocessingGroup">
                    <wpg:wgp>
                      <wpg:cNvPr id="1141" name="Group 1141"/>
                      <wpg:cNvGrpSpPr/>
                      <wpg:grpSpPr>
                        <a:xfrm>
                          <a:off x="0" y="0"/>
                          <a:ext cx="4097020" cy="2395855"/>
                          <a:chExt cx="4097020" cy="2395855"/>
                        </a:xfrm>
                      </wpg:grpSpPr>
                      <wps:wsp>
                        <wps:cNvPr id="1142" name="Graphic 1142"/>
                        <wps:cNvSpPr/>
                        <wps:spPr>
                          <a:xfrm>
                            <a:off x="801015" y="702084"/>
                            <a:ext cx="2695575" cy="133350"/>
                          </a:xfrm>
                          <a:custGeom>
                            <a:avLst/>
                            <a:gdLst/>
                            <a:ahLst/>
                            <a:cxnLst/>
                            <a:rect l="l" t="t" r="r" b="b"/>
                            <a:pathLst>
                              <a:path w="2695575" h="133350">
                                <a:moveTo>
                                  <a:pt x="0" y="133311"/>
                                </a:moveTo>
                                <a:lnTo>
                                  <a:pt x="928001" y="2184"/>
                                </a:lnTo>
                                <a:lnTo>
                                  <a:pt x="1856003" y="2184"/>
                                </a:lnTo>
                                <a:lnTo>
                                  <a:pt x="2695028" y="0"/>
                                </a:lnTo>
                              </a:path>
                            </a:pathLst>
                          </a:custGeom>
                          <a:ln w="15532">
                            <a:solidFill>
                              <a:srgbClr val="115C85"/>
                            </a:solidFill>
                            <a:prstDash val="solid"/>
                          </a:ln>
                        </wps:spPr>
                        <wps:bodyPr wrap="square" lIns="0" tIns="0" rIns="0" bIns="0" rtlCol="0">
                          <a:prstTxWarp prst="textNoShape">
                            <a:avLst/>
                          </a:prstTxWarp>
                          <a:noAutofit/>
                        </wps:bodyPr>
                      </wps:wsp>
                      <wps:wsp>
                        <wps:cNvPr id="1143" name="Graphic 1143"/>
                        <wps:cNvSpPr/>
                        <wps:spPr>
                          <a:xfrm>
                            <a:off x="309776" y="55683"/>
                            <a:ext cx="3746500" cy="2277745"/>
                          </a:xfrm>
                          <a:custGeom>
                            <a:avLst/>
                            <a:gdLst/>
                            <a:ahLst/>
                            <a:cxnLst/>
                            <a:rect l="l" t="t" r="r" b="b"/>
                            <a:pathLst>
                              <a:path w="3746500" h="2277745">
                                <a:moveTo>
                                  <a:pt x="3746258" y="2277668"/>
                                </a:moveTo>
                                <a:lnTo>
                                  <a:pt x="0" y="2277668"/>
                                </a:lnTo>
                                <a:lnTo>
                                  <a:pt x="0" y="0"/>
                                </a:lnTo>
                              </a:path>
                            </a:pathLst>
                          </a:custGeom>
                          <a:ln w="7137">
                            <a:solidFill>
                              <a:srgbClr val="939598"/>
                            </a:solidFill>
                            <a:prstDash val="solid"/>
                          </a:ln>
                        </wps:spPr>
                        <wps:bodyPr wrap="square" lIns="0" tIns="0" rIns="0" bIns="0" rtlCol="0">
                          <a:prstTxWarp prst="textNoShape">
                            <a:avLst/>
                          </a:prstTxWarp>
                          <a:noAutofit/>
                        </wps:bodyPr>
                      </wps:wsp>
                      <wps:wsp>
                        <wps:cNvPr id="1144" name="Graphic 1144"/>
                        <wps:cNvSpPr/>
                        <wps:spPr>
                          <a:xfrm>
                            <a:off x="3211401" y="2005706"/>
                            <a:ext cx="67310" cy="67310"/>
                          </a:xfrm>
                          <a:custGeom>
                            <a:avLst/>
                            <a:gdLst/>
                            <a:ahLst/>
                            <a:cxnLst/>
                            <a:rect l="l" t="t" r="r" b="b"/>
                            <a:pathLst>
                              <a:path w="67310" h="67310">
                                <a:moveTo>
                                  <a:pt x="66687" y="0"/>
                                </a:moveTo>
                                <a:lnTo>
                                  <a:pt x="0" y="0"/>
                                </a:lnTo>
                                <a:lnTo>
                                  <a:pt x="0" y="66687"/>
                                </a:lnTo>
                                <a:lnTo>
                                  <a:pt x="66687" y="66687"/>
                                </a:lnTo>
                                <a:lnTo>
                                  <a:pt x="66687" y="0"/>
                                </a:lnTo>
                                <a:close/>
                              </a:path>
                            </a:pathLst>
                          </a:custGeom>
                          <a:solidFill>
                            <a:srgbClr val="105B83"/>
                          </a:solidFill>
                        </wps:spPr>
                        <wps:bodyPr wrap="square" lIns="0" tIns="0" rIns="0" bIns="0" rtlCol="0">
                          <a:prstTxWarp prst="textNoShape">
                            <a:avLst/>
                          </a:prstTxWarp>
                          <a:noAutofit/>
                        </wps:bodyPr>
                      </wps:wsp>
                      <wps:wsp>
                        <wps:cNvPr id="1145" name="Graphic 1145"/>
                        <wps:cNvSpPr/>
                        <wps:spPr>
                          <a:xfrm>
                            <a:off x="3211401" y="2177245"/>
                            <a:ext cx="67310" cy="67310"/>
                          </a:xfrm>
                          <a:custGeom>
                            <a:avLst/>
                            <a:gdLst/>
                            <a:ahLst/>
                            <a:cxnLst/>
                            <a:rect l="l" t="t" r="r" b="b"/>
                            <a:pathLst>
                              <a:path w="67310" h="67310">
                                <a:moveTo>
                                  <a:pt x="66687" y="0"/>
                                </a:moveTo>
                                <a:lnTo>
                                  <a:pt x="0" y="0"/>
                                </a:lnTo>
                                <a:lnTo>
                                  <a:pt x="0" y="66700"/>
                                </a:lnTo>
                                <a:lnTo>
                                  <a:pt x="66687" y="66700"/>
                                </a:lnTo>
                                <a:lnTo>
                                  <a:pt x="66687" y="0"/>
                                </a:lnTo>
                                <a:close/>
                              </a:path>
                            </a:pathLst>
                          </a:custGeom>
                          <a:solidFill>
                            <a:srgbClr val="939598"/>
                          </a:solidFill>
                        </wps:spPr>
                        <wps:bodyPr wrap="square" lIns="0" tIns="0" rIns="0" bIns="0" rtlCol="0">
                          <a:prstTxWarp prst="textNoShape">
                            <a:avLst/>
                          </a:prstTxWarp>
                          <a:noAutofit/>
                        </wps:bodyPr>
                      </wps:wsp>
                      <wps:wsp>
                        <wps:cNvPr id="1146" name="Graphic 1146"/>
                        <wps:cNvSpPr/>
                        <wps:spPr>
                          <a:xfrm>
                            <a:off x="801015" y="729078"/>
                            <a:ext cx="2691130" cy="108585"/>
                          </a:xfrm>
                          <a:custGeom>
                            <a:avLst/>
                            <a:gdLst/>
                            <a:ahLst/>
                            <a:cxnLst/>
                            <a:rect l="l" t="t" r="r" b="b"/>
                            <a:pathLst>
                              <a:path w="2691130" h="108585">
                                <a:moveTo>
                                  <a:pt x="0" y="108216"/>
                                </a:moveTo>
                                <a:lnTo>
                                  <a:pt x="930033" y="0"/>
                                </a:lnTo>
                                <a:lnTo>
                                  <a:pt x="1079854" y="7058"/>
                                </a:lnTo>
                                <a:lnTo>
                                  <a:pt x="1401424" y="22907"/>
                                </a:lnTo>
                                <a:lnTo>
                                  <a:pt x="1721448" y="38819"/>
                                </a:lnTo>
                                <a:lnTo>
                                  <a:pt x="1866633" y="46062"/>
                                </a:lnTo>
                                <a:lnTo>
                                  <a:pt x="2690812" y="4229"/>
                                </a:lnTo>
                              </a:path>
                            </a:pathLst>
                          </a:custGeom>
                          <a:ln w="15532">
                            <a:solidFill>
                              <a:srgbClr val="939598"/>
                            </a:solidFill>
                            <a:prstDash val="solid"/>
                          </a:ln>
                        </wps:spPr>
                        <wps:bodyPr wrap="square" lIns="0" tIns="0" rIns="0" bIns="0" rtlCol="0">
                          <a:prstTxWarp prst="textNoShape">
                            <a:avLst/>
                          </a:prstTxWarp>
                          <a:noAutofit/>
                        </wps:bodyPr>
                      </wps:wsp>
                      <wps:wsp>
                        <wps:cNvPr id="1147" name="Graphic 1147"/>
                        <wps:cNvSpPr/>
                        <wps:spPr>
                          <a:xfrm>
                            <a:off x="785472" y="720631"/>
                            <a:ext cx="2726690" cy="135890"/>
                          </a:xfrm>
                          <a:custGeom>
                            <a:avLst/>
                            <a:gdLst/>
                            <a:ahLst/>
                            <a:cxnLst/>
                            <a:rect l="l" t="t" r="r" b="b"/>
                            <a:pathLst>
                              <a:path w="2726690" h="135890">
                                <a:moveTo>
                                  <a:pt x="31076" y="111556"/>
                                </a:moveTo>
                                <a:lnTo>
                                  <a:pt x="24130" y="104597"/>
                                </a:lnTo>
                                <a:lnTo>
                                  <a:pt x="6959" y="104597"/>
                                </a:lnTo>
                                <a:lnTo>
                                  <a:pt x="0" y="111556"/>
                                </a:lnTo>
                                <a:lnTo>
                                  <a:pt x="0" y="128727"/>
                                </a:lnTo>
                                <a:lnTo>
                                  <a:pt x="6959" y="135674"/>
                                </a:lnTo>
                                <a:lnTo>
                                  <a:pt x="24130" y="135674"/>
                                </a:lnTo>
                                <a:lnTo>
                                  <a:pt x="31076" y="128727"/>
                                </a:lnTo>
                                <a:lnTo>
                                  <a:pt x="31076" y="120142"/>
                                </a:lnTo>
                                <a:lnTo>
                                  <a:pt x="31076" y="111556"/>
                                </a:lnTo>
                                <a:close/>
                              </a:path>
                              <a:path w="2726690" h="135890">
                                <a:moveTo>
                                  <a:pt x="959078" y="8305"/>
                                </a:moveTo>
                                <a:lnTo>
                                  <a:pt x="952119" y="1346"/>
                                </a:lnTo>
                                <a:lnTo>
                                  <a:pt x="934961" y="1346"/>
                                </a:lnTo>
                                <a:lnTo>
                                  <a:pt x="928001" y="8305"/>
                                </a:lnTo>
                                <a:lnTo>
                                  <a:pt x="928001" y="25476"/>
                                </a:lnTo>
                                <a:lnTo>
                                  <a:pt x="934961" y="32435"/>
                                </a:lnTo>
                                <a:lnTo>
                                  <a:pt x="952119" y="32435"/>
                                </a:lnTo>
                                <a:lnTo>
                                  <a:pt x="959078" y="25476"/>
                                </a:lnTo>
                                <a:lnTo>
                                  <a:pt x="959078" y="16891"/>
                                </a:lnTo>
                                <a:lnTo>
                                  <a:pt x="959078" y="8305"/>
                                </a:lnTo>
                                <a:close/>
                              </a:path>
                              <a:path w="2726690" h="135890">
                                <a:moveTo>
                                  <a:pt x="1886140" y="44577"/>
                                </a:moveTo>
                                <a:lnTo>
                                  <a:pt x="1879180" y="37617"/>
                                </a:lnTo>
                                <a:lnTo>
                                  <a:pt x="1862023" y="37617"/>
                                </a:lnTo>
                                <a:lnTo>
                                  <a:pt x="1855063" y="44577"/>
                                </a:lnTo>
                                <a:lnTo>
                                  <a:pt x="1855063" y="61747"/>
                                </a:lnTo>
                                <a:lnTo>
                                  <a:pt x="1862023" y="68707"/>
                                </a:lnTo>
                                <a:lnTo>
                                  <a:pt x="1879180" y="68707"/>
                                </a:lnTo>
                                <a:lnTo>
                                  <a:pt x="1886140" y="61747"/>
                                </a:lnTo>
                                <a:lnTo>
                                  <a:pt x="1886140" y="53162"/>
                                </a:lnTo>
                                <a:lnTo>
                                  <a:pt x="1886140" y="44577"/>
                                </a:lnTo>
                                <a:close/>
                              </a:path>
                              <a:path w="2726690" h="135890">
                                <a:moveTo>
                                  <a:pt x="2726105" y="6959"/>
                                </a:moveTo>
                                <a:lnTo>
                                  <a:pt x="2719146" y="0"/>
                                </a:lnTo>
                                <a:lnTo>
                                  <a:pt x="2701988" y="0"/>
                                </a:lnTo>
                                <a:lnTo>
                                  <a:pt x="2695029" y="6959"/>
                                </a:lnTo>
                                <a:lnTo>
                                  <a:pt x="2695029" y="24117"/>
                                </a:lnTo>
                                <a:lnTo>
                                  <a:pt x="2701988" y="31076"/>
                                </a:lnTo>
                                <a:lnTo>
                                  <a:pt x="2719146" y="31076"/>
                                </a:lnTo>
                                <a:lnTo>
                                  <a:pt x="2726105" y="24117"/>
                                </a:lnTo>
                                <a:lnTo>
                                  <a:pt x="2726105" y="15544"/>
                                </a:lnTo>
                                <a:lnTo>
                                  <a:pt x="2726105" y="6959"/>
                                </a:lnTo>
                                <a:close/>
                              </a:path>
                            </a:pathLst>
                          </a:custGeom>
                          <a:solidFill>
                            <a:srgbClr val="939598"/>
                          </a:solidFill>
                        </wps:spPr>
                        <wps:bodyPr wrap="square" lIns="0" tIns="0" rIns="0" bIns="0" rtlCol="0">
                          <a:prstTxWarp prst="textNoShape">
                            <a:avLst/>
                          </a:prstTxWarp>
                          <a:noAutofit/>
                        </wps:bodyPr>
                      </wps:wsp>
                      <wps:wsp>
                        <wps:cNvPr id="1148" name="Graphic 1148"/>
                        <wps:cNvSpPr/>
                        <wps:spPr>
                          <a:xfrm>
                            <a:off x="785472" y="683826"/>
                            <a:ext cx="2726690" cy="167640"/>
                          </a:xfrm>
                          <a:custGeom>
                            <a:avLst/>
                            <a:gdLst/>
                            <a:ahLst/>
                            <a:cxnLst/>
                            <a:rect l="l" t="t" r="r" b="b"/>
                            <a:pathLst>
                              <a:path w="2726690" h="167640">
                                <a:moveTo>
                                  <a:pt x="31076" y="143002"/>
                                </a:moveTo>
                                <a:lnTo>
                                  <a:pt x="24130" y="136042"/>
                                </a:lnTo>
                                <a:lnTo>
                                  <a:pt x="6959" y="136042"/>
                                </a:lnTo>
                                <a:lnTo>
                                  <a:pt x="0" y="143002"/>
                                </a:lnTo>
                                <a:lnTo>
                                  <a:pt x="0" y="160159"/>
                                </a:lnTo>
                                <a:lnTo>
                                  <a:pt x="6959" y="167119"/>
                                </a:lnTo>
                                <a:lnTo>
                                  <a:pt x="24130" y="167119"/>
                                </a:lnTo>
                                <a:lnTo>
                                  <a:pt x="31076" y="160159"/>
                                </a:lnTo>
                                <a:lnTo>
                                  <a:pt x="31076" y="151574"/>
                                </a:lnTo>
                                <a:lnTo>
                                  <a:pt x="31076" y="143002"/>
                                </a:lnTo>
                                <a:close/>
                              </a:path>
                              <a:path w="2726690" h="167640">
                                <a:moveTo>
                                  <a:pt x="959078" y="6959"/>
                                </a:moveTo>
                                <a:lnTo>
                                  <a:pt x="952119" y="0"/>
                                </a:lnTo>
                                <a:lnTo>
                                  <a:pt x="934961" y="0"/>
                                </a:lnTo>
                                <a:lnTo>
                                  <a:pt x="928001" y="6959"/>
                                </a:lnTo>
                                <a:lnTo>
                                  <a:pt x="928001" y="24117"/>
                                </a:lnTo>
                                <a:lnTo>
                                  <a:pt x="934961" y="31076"/>
                                </a:lnTo>
                                <a:lnTo>
                                  <a:pt x="952119" y="31076"/>
                                </a:lnTo>
                                <a:lnTo>
                                  <a:pt x="959078" y="24117"/>
                                </a:lnTo>
                                <a:lnTo>
                                  <a:pt x="959078" y="15544"/>
                                </a:lnTo>
                                <a:lnTo>
                                  <a:pt x="959078" y="6959"/>
                                </a:lnTo>
                                <a:close/>
                              </a:path>
                              <a:path w="2726690" h="167640">
                                <a:moveTo>
                                  <a:pt x="1887080" y="14046"/>
                                </a:moveTo>
                                <a:lnTo>
                                  <a:pt x="1880120" y="7086"/>
                                </a:lnTo>
                                <a:lnTo>
                                  <a:pt x="1862963" y="7086"/>
                                </a:lnTo>
                                <a:lnTo>
                                  <a:pt x="1856003" y="14046"/>
                                </a:lnTo>
                                <a:lnTo>
                                  <a:pt x="1856003" y="31216"/>
                                </a:lnTo>
                                <a:lnTo>
                                  <a:pt x="1862963" y="38163"/>
                                </a:lnTo>
                                <a:lnTo>
                                  <a:pt x="1880120" y="38163"/>
                                </a:lnTo>
                                <a:lnTo>
                                  <a:pt x="1887080" y="31216"/>
                                </a:lnTo>
                                <a:lnTo>
                                  <a:pt x="1887080" y="22631"/>
                                </a:lnTo>
                                <a:lnTo>
                                  <a:pt x="1887080" y="14046"/>
                                </a:lnTo>
                                <a:close/>
                              </a:path>
                              <a:path w="2726690" h="167640">
                                <a:moveTo>
                                  <a:pt x="2726105" y="9677"/>
                                </a:moveTo>
                                <a:lnTo>
                                  <a:pt x="2719146" y="2717"/>
                                </a:lnTo>
                                <a:lnTo>
                                  <a:pt x="2701988" y="2717"/>
                                </a:lnTo>
                                <a:lnTo>
                                  <a:pt x="2695029" y="9677"/>
                                </a:lnTo>
                                <a:lnTo>
                                  <a:pt x="2695029" y="26847"/>
                                </a:lnTo>
                                <a:lnTo>
                                  <a:pt x="2701988" y="33794"/>
                                </a:lnTo>
                                <a:lnTo>
                                  <a:pt x="2719146" y="33794"/>
                                </a:lnTo>
                                <a:lnTo>
                                  <a:pt x="2726105" y="26847"/>
                                </a:lnTo>
                                <a:lnTo>
                                  <a:pt x="2726105" y="18262"/>
                                </a:lnTo>
                                <a:lnTo>
                                  <a:pt x="2726105" y="9677"/>
                                </a:lnTo>
                                <a:close/>
                              </a:path>
                            </a:pathLst>
                          </a:custGeom>
                          <a:solidFill>
                            <a:srgbClr val="105B83"/>
                          </a:solidFill>
                        </wps:spPr>
                        <wps:bodyPr wrap="square" lIns="0" tIns="0" rIns="0" bIns="0" rtlCol="0">
                          <a:prstTxWarp prst="textNoShape">
                            <a:avLst/>
                          </a:prstTxWarp>
                          <a:noAutofit/>
                        </wps:bodyPr>
                      </wps:wsp>
                      <wps:wsp>
                        <wps:cNvPr id="1149" name="Textbox 1149"/>
                        <wps:cNvSpPr txBox="1"/>
                        <wps:spPr>
                          <a:xfrm>
                            <a:off x="0" y="0"/>
                            <a:ext cx="269875" cy="1049655"/>
                          </a:xfrm>
                          <a:prstGeom prst="rect">
                            <a:avLst/>
                          </a:prstGeom>
                        </wps:spPr>
                        <wps:txbx>
                          <w:txbxContent>
                            <w:p>
                              <w:pPr>
                                <w:spacing w:before="11"/>
                                <w:ind w:left="0" w:right="0" w:firstLine="0"/>
                                <w:jc w:val="left"/>
                                <w:rPr>
                                  <w:sz w:val="22"/>
                                </w:rPr>
                              </w:pPr>
                              <w:r>
                                <w:rPr>
                                  <w:color w:val="636466"/>
                                  <w:spacing w:val="-10"/>
                                  <w:sz w:val="22"/>
                                </w:rPr>
                                <w:t>00%</w:t>
                              </w:r>
                            </w:p>
                            <w:p>
                              <w:pPr>
                                <w:spacing w:line="240" w:lineRule="auto" w:before="169"/>
                                <w:rPr>
                                  <w:sz w:val="22"/>
                                </w:rPr>
                              </w:pPr>
                            </w:p>
                            <w:p>
                              <w:pPr>
                                <w:spacing w:before="0"/>
                                <w:ind w:left="80" w:right="0" w:firstLine="0"/>
                                <w:jc w:val="left"/>
                                <w:rPr>
                                  <w:sz w:val="22"/>
                                </w:rPr>
                              </w:pPr>
                              <w:r>
                                <w:rPr>
                                  <w:color w:val="636466"/>
                                  <w:spacing w:val="-5"/>
                                  <w:sz w:val="22"/>
                                </w:rPr>
                                <w:t>0%</w:t>
                              </w:r>
                            </w:p>
                            <w:p>
                              <w:pPr>
                                <w:spacing w:line="240" w:lineRule="auto" w:before="174"/>
                                <w:rPr>
                                  <w:sz w:val="22"/>
                                </w:rPr>
                              </w:pPr>
                            </w:p>
                            <w:p>
                              <w:pPr>
                                <w:spacing w:before="0"/>
                                <w:ind w:left="100" w:right="0" w:firstLine="0"/>
                                <w:jc w:val="left"/>
                                <w:rPr>
                                  <w:sz w:val="22"/>
                                </w:rPr>
                              </w:pPr>
                              <w:r>
                                <w:rPr>
                                  <w:color w:val="636466"/>
                                  <w:spacing w:val="-5"/>
                                  <w:sz w:val="22"/>
                                </w:rPr>
                                <w:t>0%</w:t>
                              </w:r>
                            </w:p>
                          </w:txbxContent>
                        </wps:txbx>
                        <wps:bodyPr wrap="square" lIns="0" tIns="0" rIns="0" bIns="0" rtlCol="0">
                          <a:noAutofit/>
                        </wps:bodyPr>
                      </wps:wsp>
                      <wps:wsp>
                        <wps:cNvPr id="1150" name="Textbox 1150"/>
                        <wps:cNvSpPr txBox="1"/>
                        <wps:spPr>
                          <a:xfrm>
                            <a:off x="580585" y="709309"/>
                            <a:ext cx="181610" cy="214629"/>
                          </a:xfrm>
                          <a:prstGeom prst="rect">
                            <a:avLst/>
                          </a:prstGeom>
                        </wps:spPr>
                        <wps:txbx>
                          <w:txbxContent>
                            <w:p>
                              <w:pPr>
                                <w:spacing w:line="154" w:lineRule="exact" w:before="8"/>
                                <w:ind w:left="0" w:right="0" w:firstLine="0"/>
                                <w:jc w:val="left"/>
                                <w:rPr>
                                  <w:sz w:val="14"/>
                                </w:rPr>
                              </w:pPr>
                              <w:r>
                                <w:rPr>
                                  <w:color w:val="636466"/>
                                  <w:spacing w:val="-5"/>
                                  <w:sz w:val="14"/>
                                </w:rPr>
                                <w:t>65%</w:t>
                              </w:r>
                            </w:p>
                            <w:p>
                              <w:pPr>
                                <w:spacing w:line="154" w:lineRule="exact" w:before="0"/>
                                <w:ind w:left="5" w:right="0" w:firstLine="0"/>
                                <w:jc w:val="left"/>
                                <w:rPr>
                                  <w:sz w:val="14"/>
                                </w:rPr>
                              </w:pPr>
                              <w:r>
                                <w:rPr>
                                  <w:color w:val="636466"/>
                                  <w:spacing w:val="-5"/>
                                  <w:sz w:val="14"/>
                                </w:rPr>
                                <w:t>65%</w:t>
                              </w:r>
                            </w:p>
                          </w:txbxContent>
                        </wps:txbx>
                        <wps:bodyPr wrap="square" lIns="0" tIns="0" rIns="0" bIns="0" rtlCol="0">
                          <a:noAutofit/>
                        </wps:bodyPr>
                      </wps:wsp>
                      <wps:wsp>
                        <wps:cNvPr id="1151" name="Textbox 1151"/>
                        <wps:cNvSpPr txBox="1"/>
                        <wps:spPr>
                          <a:xfrm>
                            <a:off x="1676811" y="568758"/>
                            <a:ext cx="187325" cy="318135"/>
                          </a:xfrm>
                          <a:prstGeom prst="rect">
                            <a:avLst/>
                          </a:prstGeom>
                        </wps:spPr>
                        <wps:txbx>
                          <w:txbxContent>
                            <w:p>
                              <w:pPr>
                                <w:spacing w:before="8"/>
                                <w:ind w:left="15" w:right="0" w:firstLine="0"/>
                                <w:jc w:val="left"/>
                                <w:rPr>
                                  <w:sz w:val="14"/>
                                </w:rPr>
                              </w:pPr>
                              <w:r>
                                <w:rPr>
                                  <w:color w:val="636466"/>
                                  <w:spacing w:val="-5"/>
                                  <w:sz w:val="14"/>
                                </w:rPr>
                                <w:t>71%</w:t>
                              </w:r>
                            </w:p>
                            <w:p>
                              <w:pPr>
                                <w:spacing w:before="148"/>
                                <w:ind w:left="0" w:right="0" w:firstLine="0"/>
                                <w:jc w:val="left"/>
                                <w:rPr>
                                  <w:sz w:val="14"/>
                                </w:rPr>
                              </w:pPr>
                              <w:r>
                                <w:rPr>
                                  <w:color w:val="636466"/>
                                  <w:spacing w:val="-5"/>
                                  <w:sz w:val="14"/>
                                </w:rPr>
                                <w:t>70%</w:t>
                              </w:r>
                            </w:p>
                          </w:txbxContent>
                        </wps:txbx>
                        <wps:bodyPr wrap="square" lIns="0" tIns="0" rIns="0" bIns="0" rtlCol="0">
                          <a:noAutofit/>
                        </wps:bodyPr>
                      </wps:wsp>
                      <wps:wsp>
                        <wps:cNvPr id="1152" name="Textbox 1152"/>
                        <wps:cNvSpPr txBox="1"/>
                        <wps:spPr>
                          <a:xfrm>
                            <a:off x="2607772" y="556579"/>
                            <a:ext cx="182880" cy="353060"/>
                          </a:xfrm>
                          <a:prstGeom prst="rect">
                            <a:avLst/>
                          </a:prstGeom>
                        </wps:spPr>
                        <wps:txbx>
                          <w:txbxContent>
                            <w:p>
                              <w:pPr>
                                <w:spacing w:before="8"/>
                                <w:ind w:left="7" w:right="0" w:firstLine="0"/>
                                <w:jc w:val="left"/>
                                <w:rPr>
                                  <w:sz w:val="14"/>
                                </w:rPr>
                              </w:pPr>
                              <w:r>
                                <w:rPr>
                                  <w:color w:val="636466"/>
                                  <w:spacing w:val="-5"/>
                                  <w:sz w:val="14"/>
                                </w:rPr>
                                <w:t>71%</w:t>
                              </w:r>
                            </w:p>
                            <w:p>
                              <w:pPr>
                                <w:spacing w:line="240" w:lineRule="auto" w:before="42"/>
                                <w:rPr>
                                  <w:sz w:val="14"/>
                                </w:rPr>
                              </w:pPr>
                            </w:p>
                            <w:p>
                              <w:pPr>
                                <w:spacing w:before="0"/>
                                <w:ind w:left="0" w:right="0" w:firstLine="0"/>
                                <w:jc w:val="left"/>
                                <w:rPr>
                                  <w:sz w:val="14"/>
                                </w:rPr>
                              </w:pPr>
                              <w:r>
                                <w:rPr>
                                  <w:color w:val="636466"/>
                                  <w:spacing w:val="-5"/>
                                  <w:sz w:val="14"/>
                                </w:rPr>
                                <w:t>68%</w:t>
                              </w:r>
                            </w:p>
                          </w:txbxContent>
                        </wps:txbx>
                        <wps:bodyPr wrap="square" lIns="0" tIns="0" rIns="0" bIns="0" rtlCol="0">
                          <a:noAutofit/>
                        </wps:bodyPr>
                      </wps:wsp>
                      <wps:wsp>
                        <wps:cNvPr id="1153" name="Textbox 1153"/>
                        <wps:cNvSpPr txBox="1"/>
                        <wps:spPr>
                          <a:xfrm>
                            <a:off x="3536066" y="622632"/>
                            <a:ext cx="181610" cy="215900"/>
                          </a:xfrm>
                          <a:prstGeom prst="rect">
                            <a:avLst/>
                          </a:prstGeom>
                        </wps:spPr>
                        <wps:txbx>
                          <w:txbxContent>
                            <w:p>
                              <w:pPr>
                                <w:spacing w:line="154" w:lineRule="exact" w:before="8"/>
                                <w:ind w:left="6" w:right="0" w:firstLine="0"/>
                                <w:jc w:val="left"/>
                                <w:rPr>
                                  <w:sz w:val="14"/>
                                </w:rPr>
                              </w:pPr>
                              <w:r>
                                <w:rPr>
                                  <w:color w:val="636466"/>
                                  <w:spacing w:val="-5"/>
                                  <w:sz w:val="14"/>
                                </w:rPr>
                                <w:t>71%</w:t>
                              </w:r>
                            </w:p>
                            <w:p>
                              <w:pPr>
                                <w:spacing w:line="154" w:lineRule="exact" w:before="0"/>
                                <w:ind w:left="0" w:right="0" w:firstLine="0"/>
                                <w:jc w:val="left"/>
                                <w:rPr>
                                  <w:sz w:val="14"/>
                                </w:rPr>
                              </w:pPr>
                              <w:r>
                                <w:rPr>
                                  <w:color w:val="636466"/>
                                  <w:spacing w:val="-5"/>
                                  <w:sz w:val="14"/>
                                </w:rPr>
                                <w:t>70%</w:t>
                              </w:r>
                            </w:p>
                          </w:txbxContent>
                        </wps:txbx>
                        <wps:bodyPr wrap="square" lIns="0" tIns="0" rIns="0" bIns="0" rtlCol="0">
                          <a:noAutofit/>
                        </wps:bodyPr>
                      </wps:wsp>
                      <wps:wsp>
                        <wps:cNvPr id="1154" name="Textbox 1154"/>
                        <wps:cNvSpPr txBox="1"/>
                        <wps:spPr>
                          <a:xfrm>
                            <a:off x="62042" y="1327814"/>
                            <a:ext cx="199390" cy="622935"/>
                          </a:xfrm>
                          <a:prstGeom prst="rect">
                            <a:avLst/>
                          </a:prstGeom>
                        </wps:spPr>
                        <wps:txbx>
                          <w:txbxContent>
                            <w:p>
                              <w:pPr>
                                <w:spacing w:before="11"/>
                                <w:ind w:left="2" w:right="0" w:firstLine="0"/>
                                <w:jc w:val="left"/>
                                <w:rPr>
                                  <w:sz w:val="22"/>
                                </w:rPr>
                              </w:pPr>
                              <w:r>
                                <w:rPr>
                                  <w:color w:val="636466"/>
                                  <w:spacing w:val="-9"/>
                                  <w:sz w:val="22"/>
                                </w:rPr>
                                <w:t>0%</w:t>
                              </w:r>
                            </w:p>
                            <w:p>
                              <w:pPr>
                                <w:spacing w:line="240" w:lineRule="auto" w:before="177"/>
                                <w:rPr>
                                  <w:sz w:val="22"/>
                                </w:rPr>
                              </w:pPr>
                            </w:p>
                            <w:p>
                              <w:pPr>
                                <w:spacing w:before="1"/>
                                <w:ind w:left="0" w:right="0" w:firstLine="0"/>
                                <w:jc w:val="left"/>
                                <w:rPr>
                                  <w:sz w:val="22"/>
                                </w:rPr>
                              </w:pPr>
                              <w:r>
                                <w:rPr>
                                  <w:color w:val="636466"/>
                                  <w:spacing w:val="-8"/>
                                  <w:sz w:val="22"/>
                                </w:rPr>
                                <w:t>0%</w:t>
                              </w:r>
                            </w:p>
                          </w:txbxContent>
                        </wps:txbx>
                        <wps:bodyPr wrap="square" lIns="0" tIns="0" rIns="0" bIns="0" rtlCol="0">
                          <a:noAutofit/>
                        </wps:bodyPr>
                      </wps:wsp>
                      <wps:wsp>
                        <wps:cNvPr id="1155" name="Textbox 1155"/>
                        <wps:cNvSpPr txBox="1"/>
                        <wps:spPr>
                          <a:xfrm>
                            <a:off x="3344357" y="1975344"/>
                            <a:ext cx="466090" cy="121920"/>
                          </a:xfrm>
                          <a:prstGeom prst="rect">
                            <a:avLst/>
                          </a:prstGeom>
                        </wps:spPr>
                        <wps:txbx>
                          <w:txbxContent>
                            <w:p>
                              <w:pPr>
                                <w:spacing w:before="8"/>
                                <w:ind w:left="0" w:right="0" w:firstLine="0"/>
                                <w:jc w:val="left"/>
                                <w:rPr>
                                  <w:sz w:val="14"/>
                                </w:rPr>
                              </w:pPr>
                              <w:r>
                                <w:rPr>
                                  <w:color w:val="105B83"/>
                                  <w:sz w:val="14"/>
                                </w:rPr>
                                <w:t>1-LOW</w:t>
                              </w:r>
                              <w:r>
                                <w:rPr>
                                  <w:color w:val="105B83"/>
                                  <w:spacing w:val="-10"/>
                                  <w:sz w:val="14"/>
                                </w:rPr>
                                <w:t> </w:t>
                              </w:r>
                              <w:r>
                                <w:rPr>
                                  <w:color w:val="105B83"/>
                                  <w:spacing w:val="-5"/>
                                  <w:w w:val="90"/>
                                  <w:sz w:val="14"/>
                                </w:rPr>
                                <w:t>SES</w:t>
                              </w:r>
                            </w:p>
                          </w:txbxContent>
                        </wps:txbx>
                        <wps:bodyPr wrap="square" lIns="0" tIns="0" rIns="0" bIns="0" rtlCol="0">
                          <a:noAutofit/>
                        </wps:bodyPr>
                      </wps:wsp>
                      <wps:wsp>
                        <wps:cNvPr id="1156" name="Textbox 1156"/>
                        <wps:cNvSpPr txBox="1"/>
                        <wps:spPr>
                          <a:xfrm>
                            <a:off x="53594" y="2206654"/>
                            <a:ext cx="198120" cy="189230"/>
                          </a:xfrm>
                          <a:prstGeom prst="rect">
                            <a:avLst/>
                          </a:prstGeom>
                        </wps:spPr>
                        <wps:txbx>
                          <w:txbxContent>
                            <w:p>
                              <w:pPr>
                                <w:spacing w:before="11"/>
                                <w:ind w:left="0" w:right="0" w:firstLine="0"/>
                                <w:jc w:val="left"/>
                                <w:rPr>
                                  <w:sz w:val="22"/>
                                </w:rPr>
                              </w:pPr>
                              <w:r>
                                <w:rPr>
                                  <w:color w:val="636466"/>
                                  <w:spacing w:val="-9"/>
                                  <w:sz w:val="22"/>
                                </w:rPr>
                                <w:t>0%</w:t>
                              </w:r>
                            </w:p>
                          </w:txbxContent>
                        </wps:txbx>
                        <wps:bodyPr wrap="square" lIns="0" tIns="0" rIns="0" bIns="0" rtlCol="0">
                          <a:noAutofit/>
                        </wps:bodyPr>
                      </wps:wsp>
                      <wps:wsp>
                        <wps:cNvPr id="1157" name="Textbox 1157"/>
                        <wps:cNvSpPr txBox="1"/>
                        <wps:spPr>
                          <a:xfrm>
                            <a:off x="3344357" y="2153121"/>
                            <a:ext cx="752475" cy="121920"/>
                          </a:xfrm>
                          <a:prstGeom prst="rect">
                            <a:avLst/>
                          </a:prstGeom>
                        </wps:spPr>
                        <wps:txbx>
                          <w:txbxContent>
                            <w:p>
                              <w:pPr>
                                <w:spacing w:before="8"/>
                                <w:ind w:left="0" w:right="0" w:firstLine="0"/>
                                <w:jc w:val="left"/>
                                <w:rPr>
                                  <w:sz w:val="14"/>
                                </w:rPr>
                              </w:pPr>
                              <w:r>
                                <w:rPr>
                                  <w:color w:val="105B83"/>
                                  <w:w w:val="95"/>
                                  <w:sz w:val="14"/>
                                </w:rPr>
                                <w:t>2-MODERATE</w:t>
                              </w:r>
                              <w:r>
                                <w:rPr>
                                  <w:color w:val="105B83"/>
                                  <w:spacing w:val="12"/>
                                  <w:sz w:val="14"/>
                                </w:rPr>
                                <w:t> </w:t>
                              </w:r>
                              <w:r>
                                <w:rPr>
                                  <w:color w:val="105B83"/>
                                  <w:spacing w:val="-5"/>
                                  <w:w w:val="90"/>
                                  <w:sz w:val="14"/>
                                </w:rPr>
                                <w:t>SES</w:t>
                              </w:r>
                            </w:p>
                          </w:txbxContent>
                        </wps:txbx>
                        <wps:bodyPr wrap="square" lIns="0" tIns="0" rIns="0" bIns="0" rtlCol="0">
                          <a:noAutofit/>
                        </wps:bodyPr>
                      </wps:wsp>
                    </wpg:wgp>
                  </a:graphicData>
                </a:graphic>
              </wp:anchor>
            </w:drawing>
          </mc:Choice>
          <mc:Fallback>
            <w:pict>
              <v:group style="position:absolute;margin-left:77.800774pt;margin-top:-.571170pt;width:322.6pt;height:188.65pt;mso-position-horizontal-relative:page;mso-position-vertical-relative:paragraph;z-index:-28233728" id="docshapegroup932" coordorigin="1556,-11" coordsize="6452,3773">
                <v:shape style="position:absolute;left:2817;top:1094;width:4245;height:210" id="docshape933" coordorigin="2817,1094" coordsize="4245,210" path="m2817,1304l4279,1098,5740,1098,7062,1094e" filled="false" stroked="true" strokeweight="1.223pt" strokecolor="#115c85">
                  <v:path arrowok="t"/>
                  <v:stroke dashstyle="solid"/>
                </v:shape>
                <v:shape style="position:absolute;left:2043;top:76;width:5900;height:3587" id="docshape934" coordorigin="2044,76" coordsize="5900,3587" path="m7943,3663l2044,3663,2044,76e" filled="false" stroked="true" strokeweight=".562pt" strokecolor="#939598">
                  <v:path arrowok="t"/>
                  <v:stroke dashstyle="solid"/>
                </v:shape>
                <v:rect style="position:absolute;left:6613;top:3147;width:106;height:106" id="docshape935" filled="true" fillcolor="#105b83" stroked="false">
                  <v:fill type="solid"/>
                </v:rect>
                <v:rect style="position:absolute;left:6613;top:3417;width:106;height:106" id="docshape936" filled="true" fillcolor="#939598" stroked="false">
                  <v:fill type="solid"/>
                </v:rect>
                <v:shape style="position:absolute;left:2817;top:1136;width:4238;height:171" id="docshape937" coordorigin="2817,1137" coordsize="4238,171" path="m2817,1307l4282,1137,4518,1148,5024,1173,5528,1198,5757,1209,7055,1143e" filled="false" stroked="true" strokeweight="1.223pt" strokecolor="#939598">
                  <v:path arrowok="t"/>
                  <v:stroke dashstyle="solid"/>
                </v:shape>
                <v:shape style="position:absolute;left:2792;top:1123;width:4294;height:214" id="docshape938" coordorigin="2793,1123" coordsize="4294,214" path="m2842,1299l2831,1288,2804,1288,2793,1299,2793,1326,2804,1337,2831,1337,2842,1326,2842,1313,2842,1299xm4303,1137l4292,1126,4265,1126,4254,1137,4254,1164,4265,1175,4292,1175,4303,1164,4303,1150,4303,1137xm5763,1194l5752,1183,5725,1183,5714,1194,5714,1221,5725,1232,5752,1232,5763,1221,5763,1207,5763,1194xm7086,1134l7075,1123,7048,1123,7037,1134,7037,1161,7048,1172,7075,1172,7086,1161,7086,1148,7086,1134xe" filled="true" fillcolor="#939598" stroked="false">
                  <v:path arrowok="t"/>
                  <v:fill type="solid"/>
                </v:shape>
                <v:shape style="position:absolute;left:2792;top:1065;width:4294;height:264" id="docshape939" coordorigin="2793,1065" coordsize="4294,264" path="m2842,1291l2831,1280,2804,1280,2793,1291,2793,1318,2804,1329,2831,1329,2842,1318,2842,1304,2842,1291xm4303,1076l4292,1065,4265,1065,4254,1076,4254,1103,4265,1114,4292,1114,4303,1103,4303,1090,4303,1076xm5765,1088l5754,1077,5727,1077,5716,1088,5716,1115,5727,1126,5754,1126,5765,1115,5765,1101,5765,1088xm7086,1081l7075,1070,7048,1070,7037,1081,7037,1108,7048,1119,7075,1119,7086,1108,7086,1094,7086,1081xe" filled="true" fillcolor="#105b83" stroked="false">
                  <v:path arrowok="t"/>
                  <v:fill type="solid"/>
                </v:shape>
                <v:shape style="position:absolute;left:1556;top:-12;width:425;height:1653" type="#_x0000_t202" id="docshape940" filled="false" stroked="false">
                  <v:textbox inset="0,0,0,0">
                    <w:txbxContent>
                      <w:p>
                        <w:pPr>
                          <w:spacing w:before="11"/>
                          <w:ind w:left="0" w:right="0" w:firstLine="0"/>
                          <w:jc w:val="left"/>
                          <w:rPr>
                            <w:sz w:val="22"/>
                          </w:rPr>
                        </w:pPr>
                        <w:r>
                          <w:rPr>
                            <w:color w:val="636466"/>
                            <w:spacing w:val="-10"/>
                            <w:sz w:val="22"/>
                          </w:rPr>
                          <w:t>00%</w:t>
                        </w:r>
                      </w:p>
                      <w:p>
                        <w:pPr>
                          <w:spacing w:line="240" w:lineRule="auto" w:before="169"/>
                          <w:rPr>
                            <w:sz w:val="22"/>
                          </w:rPr>
                        </w:pPr>
                      </w:p>
                      <w:p>
                        <w:pPr>
                          <w:spacing w:before="0"/>
                          <w:ind w:left="80" w:right="0" w:firstLine="0"/>
                          <w:jc w:val="left"/>
                          <w:rPr>
                            <w:sz w:val="22"/>
                          </w:rPr>
                        </w:pPr>
                        <w:r>
                          <w:rPr>
                            <w:color w:val="636466"/>
                            <w:spacing w:val="-5"/>
                            <w:sz w:val="22"/>
                          </w:rPr>
                          <w:t>0%</w:t>
                        </w:r>
                      </w:p>
                      <w:p>
                        <w:pPr>
                          <w:spacing w:line="240" w:lineRule="auto" w:before="174"/>
                          <w:rPr>
                            <w:sz w:val="22"/>
                          </w:rPr>
                        </w:pPr>
                      </w:p>
                      <w:p>
                        <w:pPr>
                          <w:spacing w:before="0"/>
                          <w:ind w:left="100" w:right="0" w:firstLine="0"/>
                          <w:jc w:val="left"/>
                          <w:rPr>
                            <w:sz w:val="22"/>
                          </w:rPr>
                        </w:pPr>
                        <w:r>
                          <w:rPr>
                            <w:color w:val="636466"/>
                            <w:spacing w:val="-5"/>
                            <w:sz w:val="22"/>
                          </w:rPr>
                          <w:t>0%</w:t>
                        </w:r>
                      </w:p>
                    </w:txbxContent>
                  </v:textbox>
                  <w10:wrap type="none"/>
                </v:shape>
                <v:shape style="position:absolute;left:2470;top:1105;width:286;height:338" type="#_x0000_t202" id="docshape941" filled="false" stroked="false">
                  <v:textbox inset="0,0,0,0">
                    <w:txbxContent>
                      <w:p>
                        <w:pPr>
                          <w:spacing w:line="154" w:lineRule="exact" w:before="8"/>
                          <w:ind w:left="0" w:right="0" w:firstLine="0"/>
                          <w:jc w:val="left"/>
                          <w:rPr>
                            <w:sz w:val="14"/>
                          </w:rPr>
                        </w:pPr>
                        <w:r>
                          <w:rPr>
                            <w:color w:val="636466"/>
                            <w:spacing w:val="-5"/>
                            <w:sz w:val="14"/>
                          </w:rPr>
                          <w:t>65%</w:t>
                        </w:r>
                      </w:p>
                      <w:p>
                        <w:pPr>
                          <w:spacing w:line="154" w:lineRule="exact" w:before="0"/>
                          <w:ind w:left="5" w:right="0" w:firstLine="0"/>
                          <w:jc w:val="left"/>
                          <w:rPr>
                            <w:sz w:val="14"/>
                          </w:rPr>
                        </w:pPr>
                        <w:r>
                          <w:rPr>
                            <w:color w:val="636466"/>
                            <w:spacing w:val="-5"/>
                            <w:sz w:val="14"/>
                          </w:rPr>
                          <w:t>65%</w:t>
                        </w:r>
                      </w:p>
                    </w:txbxContent>
                  </v:textbox>
                  <w10:wrap type="none"/>
                </v:shape>
                <v:shape style="position:absolute;left:4196;top:884;width:295;height:501" type="#_x0000_t202" id="docshape942" filled="false" stroked="false">
                  <v:textbox inset="0,0,0,0">
                    <w:txbxContent>
                      <w:p>
                        <w:pPr>
                          <w:spacing w:before="8"/>
                          <w:ind w:left="15" w:right="0" w:firstLine="0"/>
                          <w:jc w:val="left"/>
                          <w:rPr>
                            <w:sz w:val="14"/>
                          </w:rPr>
                        </w:pPr>
                        <w:r>
                          <w:rPr>
                            <w:color w:val="636466"/>
                            <w:spacing w:val="-5"/>
                            <w:sz w:val="14"/>
                          </w:rPr>
                          <w:t>71%</w:t>
                        </w:r>
                      </w:p>
                      <w:p>
                        <w:pPr>
                          <w:spacing w:before="148"/>
                          <w:ind w:left="0" w:right="0" w:firstLine="0"/>
                          <w:jc w:val="left"/>
                          <w:rPr>
                            <w:sz w:val="14"/>
                          </w:rPr>
                        </w:pPr>
                        <w:r>
                          <w:rPr>
                            <w:color w:val="636466"/>
                            <w:spacing w:val="-5"/>
                            <w:sz w:val="14"/>
                          </w:rPr>
                          <w:t>70%</w:t>
                        </w:r>
                      </w:p>
                    </w:txbxContent>
                  </v:textbox>
                  <w10:wrap type="none"/>
                </v:shape>
                <v:shape style="position:absolute;left:5662;top:865;width:288;height:556" type="#_x0000_t202" id="docshape943" filled="false" stroked="false">
                  <v:textbox inset="0,0,0,0">
                    <w:txbxContent>
                      <w:p>
                        <w:pPr>
                          <w:spacing w:before="8"/>
                          <w:ind w:left="7" w:right="0" w:firstLine="0"/>
                          <w:jc w:val="left"/>
                          <w:rPr>
                            <w:sz w:val="14"/>
                          </w:rPr>
                        </w:pPr>
                        <w:r>
                          <w:rPr>
                            <w:color w:val="636466"/>
                            <w:spacing w:val="-5"/>
                            <w:sz w:val="14"/>
                          </w:rPr>
                          <w:t>71%</w:t>
                        </w:r>
                      </w:p>
                      <w:p>
                        <w:pPr>
                          <w:spacing w:line="240" w:lineRule="auto" w:before="42"/>
                          <w:rPr>
                            <w:sz w:val="14"/>
                          </w:rPr>
                        </w:pPr>
                      </w:p>
                      <w:p>
                        <w:pPr>
                          <w:spacing w:before="0"/>
                          <w:ind w:left="0" w:right="0" w:firstLine="0"/>
                          <w:jc w:val="left"/>
                          <w:rPr>
                            <w:sz w:val="14"/>
                          </w:rPr>
                        </w:pPr>
                        <w:r>
                          <w:rPr>
                            <w:color w:val="636466"/>
                            <w:spacing w:val="-5"/>
                            <w:sz w:val="14"/>
                          </w:rPr>
                          <w:t>68%</w:t>
                        </w:r>
                      </w:p>
                    </w:txbxContent>
                  </v:textbox>
                  <w10:wrap type="none"/>
                </v:shape>
                <v:shape style="position:absolute;left:7124;top:969;width:286;height:340" type="#_x0000_t202" id="docshape944" filled="false" stroked="false">
                  <v:textbox inset="0,0,0,0">
                    <w:txbxContent>
                      <w:p>
                        <w:pPr>
                          <w:spacing w:line="154" w:lineRule="exact" w:before="8"/>
                          <w:ind w:left="6" w:right="0" w:firstLine="0"/>
                          <w:jc w:val="left"/>
                          <w:rPr>
                            <w:sz w:val="14"/>
                          </w:rPr>
                        </w:pPr>
                        <w:r>
                          <w:rPr>
                            <w:color w:val="636466"/>
                            <w:spacing w:val="-5"/>
                            <w:sz w:val="14"/>
                          </w:rPr>
                          <w:t>71%</w:t>
                        </w:r>
                      </w:p>
                      <w:p>
                        <w:pPr>
                          <w:spacing w:line="154" w:lineRule="exact" w:before="0"/>
                          <w:ind w:left="0" w:right="0" w:firstLine="0"/>
                          <w:jc w:val="left"/>
                          <w:rPr>
                            <w:sz w:val="14"/>
                          </w:rPr>
                        </w:pPr>
                        <w:r>
                          <w:rPr>
                            <w:color w:val="636466"/>
                            <w:spacing w:val="-5"/>
                            <w:sz w:val="14"/>
                          </w:rPr>
                          <w:t>70%</w:t>
                        </w:r>
                      </w:p>
                    </w:txbxContent>
                  </v:textbox>
                  <w10:wrap type="none"/>
                </v:shape>
                <v:shape style="position:absolute;left:1653;top:2079;width:314;height:981" type="#_x0000_t202" id="docshape945" filled="false" stroked="false">
                  <v:textbox inset="0,0,0,0">
                    <w:txbxContent>
                      <w:p>
                        <w:pPr>
                          <w:spacing w:before="11"/>
                          <w:ind w:left="2" w:right="0" w:firstLine="0"/>
                          <w:jc w:val="left"/>
                          <w:rPr>
                            <w:sz w:val="22"/>
                          </w:rPr>
                        </w:pPr>
                        <w:r>
                          <w:rPr>
                            <w:color w:val="636466"/>
                            <w:spacing w:val="-9"/>
                            <w:sz w:val="22"/>
                          </w:rPr>
                          <w:t>0%</w:t>
                        </w:r>
                      </w:p>
                      <w:p>
                        <w:pPr>
                          <w:spacing w:line="240" w:lineRule="auto" w:before="177"/>
                          <w:rPr>
                            <w:sz w:val="22"/>
                          </w:rPr>
                        </w:pPr>
                      </w:p>
                      <w:p>
                        <w:pPr>
                          <w:spacing w:before="1"/>
                          <w:ind w:left="0" w:right="0" w:firstLine="0"/>
                          <w:jc w:val="left"/>
                          <w:rPr>
                            <w:sz w:val="22"/>
                          </w:rPr>
                        </w:pPr>
                        <w:r>
                          <w:rPr>
                            <w:color w:val="636466"/>
                            <w:spacing w:val="-8"/>
                            <w:sz w:val="22"/>
                          </w:rPr>
                          <w:t>0%</w:t>
                        </w:r>
                      </w:p>
                    </w:txbxContent>
                  </v:textbox>
                  <w10:wrap type="none"/>
                </v:shape>
                <v:shape style="position:absolute;left:6822;top:3099;width:734;height:192" type="#_x0000_t202" id="docshape946" filled="false" stroked="false">
                  <v:textbox inset="0,0,0,0">
                    <w:txbxContent>
                      <w:p>
                        <w:pPr>
                          <w:spacing w:before="8"/>
                          <w:ind w:left="0" w:right="0" w:firstLine="0"/>
                          <w:jc w:val="left"/>
                          <w:rPr>
                            <w:sz w:val="14"/>
                          </w:rPr>
                        </w:pPr>
                        <w:r>
                          <w:rPr>
                            <w:color w:val="105B83"/>
                            <w:sz w:val="14"/>
                          </w:rPr>
                          <w:t>1-LOW</w:t>
                        </w:r>
                        <w:r>
                          <w:rPr>
                            <w:color w:val="105B83"/>
                            <w:spacing w:val="-10"/>
                            <w:sz w:val="14"/>
                          </w:rPr>
                          <w:t> </w:t>
                        </w:r>
                        <w:r>
                          <w:rPr>
                            <w:color w:val="105B83"/>
                            <w:spacing w:val="-5"/>
                            <w:w w:val="90"/>
                            <w:sz w:val="14"/>
                          </w:rPr>
                          <w:t>SES</w:t>
                        </w:r>
                      </w:p>
                    </w:txbxContent>
                  </v:textbox>
                  <w10:wrap type="none"/>
                </v:shape>
                <v:shape style="position:absolute;left:1640;top:3463;width:312;height:298" type="#_x0000_t202" id="docshape947" filled="false" stroked="false">
                  <v:textbox inset="0,0,0,0">
                    <w:txbxContent>
                      <w:p>
                        <w:pPr>
                          <w:spacing w:before="11"/>
                          <w:ind w:left="0" w:right="0" w:firstLine="0"/>
                          <w:jc w:val="left"/>
                          <w:rPr>
                            <w:sz w:val="22"/>
                          </w:rPr>
                        </w:pPr>
                        <w:r>
                          <w:rPr>
                            <w:color w:val="636466"/>
                            <w:spacing w:val="-9"/>
                            <w:sz w:val="22"/>
                          </w:rPr>
                          <w:t>0%</w:t>
                        </w:r>
                      </w:p>
                    </w:txbxContent>
                  </v:textbox>
                  <w10:wrap type="none"/>
                </v:shape>
                <v:shape style="position:absolute;left:6822;top:3379;width:1185;height:192" type="#_x0000_t202" id="docshape948" filled="false" stroked="false">
                  <v:textbox inset="0,0,0,0">
                    <w:txbxContent>
                      <w:p>
                        <w:pPr>
                          <w:spacing w:before="8"/>
                          <w:ind w:left="0" w:right="0" w:firstLine="0"/>
                          <w:jc w:val="left"/>
                          <w:rPr>
                            <w:sz w:val="14"/>
                          </w:rPr>
                        </w:pPr>
                        <w:r>
                          <w:rPr>
                            <w:color w:val="105B83"/>
                            <w:w w:val="95"/>
                            <w:sz w:val="14"/>
                          </w:rPr>
                          <w:t>2-MODERATE</w:t>
                        </w:r>
                        <w:r>
                          <w:rPr>
                            <w:color w:val="105B83"/>
                            <w:spacing w:val="12"/>
                            <w:sz w:val="14"/>
                          </w:rPr>
                          <w:t> </w:t>
                        </w:r>
                        <w:r>
                          <w:rPr>
                            <w:color w:val="105B83"/>
                            <w:spacing w:val="-5"/>
                            <w:w w:val="90"/>
                            <w:sz w:val="14"/>
                          </w:rPr>
                          <w:t>SES</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57664">
                <wp:simplePos x="0" y="0"/>
                <wp:positionH relativeFrom="page">
                  <wp:posOffset>2109433</wp:posOffset>
                </wp:positionH>
                <wp:positionV relativeFrom="paragraph">
                  <wp:posOffset>-21971</wp:posOffset>
                </wp:positionV>
                <wp:extent cx="178435" cy="2361565"/>
                <wp:effectExtent l="0" t="0" r="0" b="0"/>
                <wp:wrapNone/>
                <wp:docPr id="1158" name="Textbox 1158"/>
                <wp:cNvGraphicFramePr>
                  <a:graphicFrameLocks/>
                </wp:cNvGraphicFramePr>
                <a:graphic>
                  <a:graphicData uri="http://schemas.microsoft.com/office/word/2010/wordprocessingShape">
                    <wps:wsp>
                      <wps:cNvPr id="1158" name="Textbox 1158"/>
                      <wps:cNvSpPr txBox="1"/>
                      <wps:spPr>
                        <a:xfrm>
                          <a:off x="0" y="0"/>
                          <a:ext cx="178435" cy="2361565"/>
                        </a:xfrm>
                        <a:prstGeom prst="rect">
                          <a:avLst/>
                        </a:prstGeom>
                      </wps:spPr>
                      <wps:txbx>
                        <w:txbxContent>
                          <w:p>
                            <w:pPr>
                              <w:spacing w:before="20"/>
                              <w:ind w:left="20" w:right="0" w:firstLine="0"/>
                              <w:jc w:val="left"/>
                              <w:rPr>
                                <w:rFonts w:ascii="Cambria"/>
                                <w:sz w:val="20"/>
                              </w:rPr>
                            </w:pPr>
                            <w:r>
                              <w:rPr>
                                <w:rFonts w:ascii="Cambria"/>
                                <w:color w:val="939598"/>
                                <w:spacing w:val="39"/>
                                <w:sz w:val="20"/>
                              </w:rPr>
                              <w:t>............................................ </w:t>
                            </w:r>
                          </w:p>
                        </w:txbxContent>
                      </wps:txbx>
                      <wps:bodyPr wrap="square" lIns="0" tIns="0" rIns="0" bIns="0" rtlCol="0" vert="vert270">
                        <a:noAutofit/>
                      </wps:bodyPr>
                    </wps:wsp>
                  </a:graphicData>
                </a:graphic>
              </wp:anchor>
            </w:drawing>
          </mc:Choice>
          <mc:Fallback>
            <w:pict>
              <v:shape style="position:absolute;margin-left:166.097107pt;margin-top:-1.73003pt;width:14.05pt;height:185.95pt;mso-position-horizontal-relative:page;mso-position-vertical-relative:paragraph;z-index:15857664" type="#_x0000_t202" id="docshape949" filled="false" stroked="false">
                <v:textbox inset="0,0,0,0" style="layout-flow:vertical;mso-layout-flow-alt:bottom-to-top">
                  <w:txbxContent>
                    <w:p>
                      <w:pPr>
                        <w:spacing w:before="20"/>
                        <w:ind w:left="20" w:right="0" w:firstLine="0"/>
                        <w:jc w:val="left"/>
                        <w:rPr>
                          <w:rFonts w:ascii="Cambria"/>
                          <w:sz w:val="20"/>
                        </w:rPr>
                      </w:pPr>
                      <w:r>
                        <w:rPr>
                          <w:rFonts w:ascii="Cambria"/>
                          <w:color w:val="939598"/>
                          <w:spacing w:val="39"/>
                          <w:sz w:val="20"/>
                        </w:rPr>
                        <w:t>............................................ </w:t>
                      </w:r>
                    </w:p>
                  </w:txbxContent>
                </v:textbox>
                <w10:wrap type="none"/>
              </v:shape>
            </w:pict>
          </mc:Fallback>
        </mc:AlternateContent>
      </w:r>
      <w:r>
        <w:rPr/>
        <mc:AlternateContent>
          <mc:Choice Requires="wps">
            <w:drawing>
              <wp:anchor distT="0" distB="0" distL="0" distR="0" allowOverlap="1" layoutInCell="1" locked="0" behindDoc="0" simplePos="0" relativeHeight="15858176">
                <wp:simplePos x="0" y="0"/>
                <wp:positionH relativeFrom="page">
                  <wp:posOffset>3045096</wp:posOffset>
                </wp:positionH>
                <wp:positionV relativeFrom="paragraph">
                  <wp:posOffset>-21971</wp:posOffset>
                </wp:positionV>
                <wp:extent cx="178435" cy="2361565"/>
                <wp:effectExtent l="0" t="0" r="0" b="0"/>
                <wp:wrapNone/>
                <wp:docPr id="1159" name="Textbox 1159"/>
                <wp:cNvGraphicFramePr>
                  <a:graphicFrameLocks/>
                </wp:cNvGraphicFramePr>
                <a:graphic>
                  <a:graphicData uri="http://schemas.microsoft.com/office/word/2010/wordprocessingShape">
                    <wps:wsp>
                      <wps:cNvPr id="1159" name="Textbox 1159"/>
                      <wps:cNvSpPr txBox="1"/>
                      <wps:spPr>
                        <a:xfrm>
                          <a:off x="0" y="0"/>
                          <a:ext cx="178435" cy="2361565"/>
                        </a:xfrm>
                        <a:prstGeom prst="rect">
                          <a:avLst/>
                        </a:prstGeom>
                      </wps:spPr>
                      <wps:txbx>
                        <w:txbxContent>
                          <w:p>
                            <w:pPr>
                              <w:spacing w:before="20"/>
                              <w:ind w:left="20" w:right="0" w:firstLine="0"/>
                              <w:jc w:val="left"/>
                              <w:rPr>
                                <w:rFonts w:ascii="Cambria"/>
                                <w:sz w:val="20"/>
                              </w:rPr>
                            </w:pPr>
                            <w:r>
                              <w:rPr>
                                <w:rFonts w:ascii="Cambria"/>
                                <w:color w:val="939598"/>
                                <w:spacing w:val="39"/>
                                <w:sz w:val="20"/>
                              </w:rPr>
                              <w:t>............................................ </w:t>
                            </w:r>
                          </w:p>
                        </w:txbxContent>
                      </wps:txbx>
                      <wps:bodyPr wrap="square" lIns="0" tIns="0" rIns="0" bIns="0" rtlCol="0" vert="vert270">
                        <a:noAutofit/>
                      </wps:bodyPr>
                    </wps:wsp>
                  </a:graphicData>
                </a:graphic>
              </wp:anchor>
            </w:drawing>
          </mc:Choice>
          <mc:Fallback>
            <w:pict>
              <v:shape style="position:absolute;margin-left:239.771393pt;margin-top:-1.73003pt;width:14.05pt;height:185.95pt;mso-position-horizontal-relative:page;mso-position-vertical-relative:paragraph;z-index:15858176" type="#_x0000_t202" id="docshape950" filled="false" stroked="false">
                <v:textbox inset="0,0,0,0" style="layout-flow:vertical;mso-layout-flow-alt:bottom-to-top">
                  <w:txbxContent>
                    <w:p>
                      <w:pPr>
                        <w:spacing w:before="20"/>
                        <w:ind w:left="20" w:right="0" w:firstLine="0"/>
                        <w:jc w:val="left"/>
                        <w:rPr>
                          <w:rFonts w:ascii="Cambria"/>
                          <w:sz w:val="20"/>
                        </w:rPr>
                      </w:pPr>
                      <w:r>
                        <w:rPr>
                          <w:rFonts w:ascii="Cambria"/>
                          <w:color w:val="939598"/>
                          <w:spacing w:val="39"/>
                          <w:sz w:val="20"/>
                        </w:rPr>
                        <w:t>............................................ </w:t>
                      </w:r>
                    </w:p>
                  </w:txbxContent>
                </v:textbox>
                <w10:wrap type="none"/>
              </v:shape>
            </w:pict>
          </mc:Fallback>
        </mc:AlternateContent>
      </w:r>
      <w:r>
        <w:rPr/>
        <mc:AlternateContent>
          <mc:Choice Requires="wps">
            <w:drawing>
              <wp:anchor distT="0" distB="0" distL="0" distR="0" allowOverlap="1" layoutInCell="1" locked="0" behindDoc="0" simplePos="0" relativeHeight="15858688">
                <wp:simplePos x="0" y="0"/>
                <wp:positionH relativeFrom="page">
                  <wp:posOffset>3987846</wp:posOffset>
                </wp:positionH>
                <wp:positionV relativeFrom="paragraph">
                  <wp:posOffset>-21971</wp:posOffset>
                </wp:positionV>
                <wp:extent cx="178435" cy="2361565"/>
                <wp:effectExtent l="0" t="0" r="0" b="0"/>
                <wp:wrapNone/>
                <wp:docPr id="1160" name="Textbox 1160"/>
                <wp:cNvGraphicFramePr>
                  <a:graphicFrameLocks/>
                </wp:cNvGraphicFramePr>
                <a:graphic>
                  <a:graphicData uri="http://schemas.microsoft.com/office/word/2010/wordprocessingShape">
                    <wps:wsp>
                      <wps:cNvPr id="1160" name="Textbox 1160"/>
                      <wps:cNvSpPr txBox="1"/>
                      <wps:spPr>
                        <a:xfrm>
                          <a:off x="0" y="0"/>
                          <a:ext cx="178435" cy="2361565"/>
                        </a:xfrm>
                        <a:prstGeom prst="rect">
                          <a:avLst/>
                        </a:prstGeom>
                      </wps:spPr>
                      <wps:txbx>
                        <w:txbxContent>
                          <w:p>
                            <w:pPr>
                              <w:spacing w:before="20"/>
                              <w:ind w:left="20" w:right="0" w:firstLine="0"/>
                              <w:jc w:val="left"/>
                              <w:rPr>
                                <w:rFonts w:ascii="Cambria"/>
                                <w:sz w:val="20"/>
                              </w:rPr>
                            </w:pPr>
                            <w:r>
                              <w:rPr>
                                <w:rFonts w:ascii="Cambria"/>
                                <w:color w:val="939598"/>
                                <w:spacing w:val="39"/>
                                <w:sz w:val="20"/>
                              </w:rPr>
                              <w:t>............................................ </w:t>
                            </w:r>
                          </w:p>
                        </w:txbxContent>
                      </wps:txbx>
                      <wps:bodyPr wrap="square" lIns="0" tIns="0" rIns="0" bIns="0" rtlCol="0" vert="vert270">
                        <a:noAutofit/>
                      </wps:bodyPr>
                    </wps:wsp>
                  </a:graphicData>
                </a:graphic>
              </wp:anchor>
            </w:drawing>
          </mc:Choice>
          <mc:Fallback>
            <w:pict>
              <v:shape style="position:absolute;margin-left:314.003693pt;margin-top:-1.73003pt;width:14.05pt;height:185.95pt;mso-position-horizontal-relative:page;mso-position-vertical-relative:paragraph;z-index:15858688" type="#_x0000_t202" id="docshape951" filled="false" stroked="false">
                <v:textbox inset="0,0,0,0" style="layout-flow:vertical;mso-layout-flow-alt:bottom-to-top">
                  <w:txbxContent>
                    <w:p>
                      <w:pPr>
                        <w:spacing w:before="20"/>
                        <w:ind w:left="20" w:right="0" w:firstLine="0"/>
                        <w:jc w:val="left"/>
                        <w:rPr>
                          <w:rFonts w:ascii="Cambria"/>
                          <w:sz w:val="20"/>
                        </w:rPr>
                      </w:pPr>
                      <w:r>
                        <w:rPr>
                          <w:rFonts w:ascii="Cambria"/>
                          <w:color w:val="939598"/>
                          <w:spacing w:val="39"/>
                          <w:sz w:val="20"/>
                        </w:rPr>
                        <w:t>............................................ </w:t>
                      </w:r>
                    </w:p>
                  </w:txbxContent>
                </v:textbox>
                <w10:wrap type="none"/>
              </v:shape>
            </w:pict>
          </mc:Fallback>
        </mc:AlternateContent>
      </w:r>
      <w:r>
        <w:rPr>
          <w:color w:val="636466"/>
          <w:spacing w:val="-10"/>
        </w:rPr>
        <w:t>1</w:t>
      </w:r>
    </w:p>
    <w:p>
      <w:pPr>
        <w:pStyle w:val="BodyText"/>
        <w:spacing w:before="168"/>
      </w:pPr>
    </w:p>
    <w:p>
      <w:pPr>
        <w:pStyle w:val="BodyText"/>
        <w:ind w:left="1522"/>
      </w:pPr>
      <w:r>
        <w:rPr/>
        <mc:AlternateContent>
          <mc:Choice Requires="wps">
            <w:drawing>
              <wp:anchor distT="0" distB="0" distL="0" distR="0" allowOverlap="1" layoutInCell="1" locked="0" behindDoc="0" simplePos="0" relativeHeight="15857152">
                <wp:simplePos x="0" y="0"/>
                <wp:positionH relativeFrom="page">
                  <wp:posOffset>688229</wp:posOffset>
                </wp:positionH>
                <wp:positionV relativeFrom="paragraph">
                  <wp:posOffset>254653</wp:posOffset>
                </wp:positionV>
                <wp:extent cx="164465" cy="880110"/>
                <wp:effectExtent l="0" t="0" r="0" b="0"/>
                <wp:wrapNone/>
                <wp:docPr id="1161" name="Textbox 1161"/>
                <wp:cNvGraphicFramePr>
                  <a:graphicFrameLocks/>
                </wp:cNvGraphicFramePr>
                <a:graphic>
                  <a:graphicData uri="http://schemas.microsoft.com/office/word/2010/wordprocessingShape">
                    <wps:wsp>
                      <wps:cNvPr id="1161" name="Textbox 1161"/>
                      <wps:cNvSpPr txBox="1"/>
                      <wps:spPr>
                        <a:xfrm>
                          <a:off x="0" y="0"/>
                          <a:ext cx="164465" cy="880110"/>
                        </a:xfrm>
                        <a:prstGeom prst="rect">
                          <a:avLst/>
                        </a:prstGeom>
                      </wps:spPr>
                      <wps:txbx>
                        <w:txbxContent>
                          <w:p>
                            <w:pPr>
                              <w:spacing w:before="30"/>
                              <w:ind w:left="20" w:right="0" w:firstLine="0"/>
                              <w:jc w:val="left"/>
                              <w:rPr>
                                <w:sz w:val="16"/>
                              </w:rPr>
                            </w:pPr>
                            <w:r>
                              <w:rPr>
                                <w:color w:val="105B83"/>
                                <w:spacing w:val="-2"/>
                                <w:sz w:val="16"/>
                              </w:rPr>
                              <w:t>Percent</w:t>
                            </w:r>
                            <w:r>
                              <w:rPr>
                                <w:color w:val="105B83"/>
                                <w:spacing w:val="-1"/>
                                <w:sz w:val="16"/>
                              </w:rPr>
                              <w:t> </w:t>
                            </w:r>
                            <w:r>
                              <w:rPr>
                                <w:color w:val="105B83"/>
                                <w:spacing w:val="-2"/>
                                <w:sz w:val="16"/>
                              </w:rPr>
                              <w:t>Controlled</w:t>
                            </w:r>
                          </w:p>
                        </w:txbxContent>
                      </wps:txbx>
                      <wps:bodyPr wrap="square" lIns="0" tIns="0" rIns="0" bIns="0" rtlCol="0" vert="vert270">
                        <a:noAutofit/>
                      </wps:bodyPr>
                    </wps:wsp>
                  </a:graphicData>
                </a:graphic>
              </wp:anchor>
            </w:drawing>
          </mc:Choice>
          <mc:Fallback>
            <w:pict>
              <v:shape style="position:absolute;margin-left:54.191299pt;margin-top:20.05142pt;width:12.95pt;height:69.3pt;mso-position-horizontal-relative:page;mso-position-vertical-relative:paragraph;z-index:15857152" type="#_x0000_t202" id="docshape952" filled="false" stroked="false">
                <v:textbox inset="0,0,0,0" style="layout-flow:vertical;mso-layout-flow-alt:bottom-to-top">
                  <w:txbxContent>
                    <w:p>
                      <w:pPr>
                        <w:spacing w:before="30"/>
                        <w:ind w:left="20" w:right="0" w:firstLine="0"/>
                        <w:jc w:val="left"/>
                        <w:rPr>
                          <w:sz w:val="16"/>
                        </w:rPr>
                      </w:pPr>
                      <w:r>
                        <w:rPr>
                          <w:color w:val="105B83"/>
                          <w:spacing w:val="-2"/>
                          <w:sz w:val="16"/>
                        </w:rPr>
                        <w:t>Percent</w:t>
                      </w:r>
                      <w:r>
                        <w:rPr>
                          <w:color w:val="105B83"/>
                          <w:spacing w:val="-1"/>
                          <w:sz w:val="16"/>
                        </w:rPr>
                        <w:t> </w:t>
                      </w:r>
                      <w:r>
                        <w:rPr>
                          <w:color w:val="105B83"/>
                          <w:spacing w:val="-2"/>
                          <w:sz w:val="16"/>
                        </w:rPr>
                        <w:t>Controlled</w:t>
                      </w:r>
                    </w:p>
                  </w:txbxContent>
                </v:textbox>
                <w10:wrap type="none"/>
              </v:shape>
            </w:pict>
          </mc:Fallback>
        </mc:AlternateContent>
      </w:r>
      <w:r>
        <w:rPr>
          <w:color w:val="636466"/>
          <w:spacing w:val="-10"/>
        </w:rPr>
        <w:t>8</w:t>
      </w:r>
    </w:p>
    <w:p>
      <w:pPr>
        <w:pStyle w:val="BodyText"/>
        <w:spacing w:before="174"/>
      </w:pPr>
    </w:p>
    <w:p>
      <w:pPr>
        <w:pStyle w:val="BodyText"/>
        <w:ind w:left="1542"/>
      </w:pPr>
      <w:r>
        <w:rPr>
          <w:color w:val="636466"/>
          <w:spacing w:val="-10"/>
        </w:rPr>
        <w:t>6</w:t>
      </w:r>
    </w:p>
    <w:p>
      <w:pPr>
        <w:pStyle w:val="BodyText"/>
        <w:spacing w:line="247" w:lineRule="auto" w:before="114"/>
        <w:ind w:left="1085" w:right="667"/>
      </w:pPr>
      <w:r>
        <w:rPr/>
        <w:br w:type="column"/>
      </w:r>
      <w:r>
        <w:rPr>
          <w:color w:val="105C84"/>
        </w:rPr>
        <w:t>Screening</w:t>
      </w:r>
      <w:r>
        <w:rPr>
          <w:color w:val="105C84"/>
          <w:spacing w:val="18"/>
        </w:rPr>
        <w:t> </w:t>
      </w:r>
      <w:r>
        <w:rPr>
          <w:color w:val="105C84"/>
        </w:rPr>
        <w:t>for</w:t>
      </w:r>
      <w:r>
        <w:rPr>
          <w:color w:val="105C84"/>
          <w:spacing w:val="18"/>
        </w:rPr>
        <w:t> </w:t>
      </w:r>
      <w:r>
        <w:rPr>
          <w:color w:val="105C84"/>
        </w:rPr>
        <w:t>cancers</w:t>
      </w:r>
      <w:r>
        <w:rPr>
          <w:color w:val="105C84"/>
          <w:spacing w:val="18"/>
        </w:rPr>
        <w:t> </w:t>
      </w:r>
      <w:r>
        <w:rPr>
          <w:color w:val="105C84"/>
        </w:rPr>
        <w:t>is</w:t>
      </w:r>
      <w:r>
        <w:rPr>
          <w:color w:val="105C84"/>
          <w:spacing w:val="18"/>
        </w:rPr>
        <w:t> </w:t>
      </w:r>
      <w:r>
        <w:rPr>
          <w:color w:val="105C84"/>
        </w:rPr>
        <w:t>an</w:t>
      </w:r>
      <w:r>
        <w:rPr>
          <w:color w:val="105C84"/>
          <w:spacing w:val="18"/>
        </w:rPr>
        <w:t> </w:t>
      </w:r>
      <w:r>
        <w:rPr>
          <w:color w:val="105C84"/>
        </w:rPr>
        <w:t>important</w:t>
      </w:r>
      <w:r>
        <w:rPr>
          <w:color w:val="105C84"/>
          <w:spacing w:val="18"/>
        </w:rPr>
        <w:t> </w:t>
      </w:r>
      <w:r>
        <w:rPr>
          <w:color w:val="105C84"/>
        </w:rPr>
        <w:t>preventative</w:t>
      </w:r>
      <w:r>
        <w:rPr>
          <w:color w:val="105C84"/>
          <w:spacing w:val="18"/>
        </w:rPr>
        <w:t> </w:t>
      </w:r>
      <w:r>
        <w:rPr>
          <w:color w:val="105C84"/>
        </w:rPr>
        <w:t>step</w:t>
      </w:r>
      <w:r>
        <w:rPr>
          <w:color w:val="105C84"/>
          <w:spacing w:val="18"/>
        </w:rPr>
        <w:t> </w:t>
      </w:r>
      <w:r>
        <w:rPr>
          <w:color w:val="105C84"/>
        </w:rPr>
        <w:t>in</w:t>
      </w:r>
      <w:r>
        <w:rPr>
          <w:color w:val="105C84"/>
          <w:spacing w:val="18"/>
        </w:rPr>
        <w:t> </w:t>
      </w:r>
      <w:r>
        <w:rPr>
          <w:color w:val="105C84"/>
        </w:rPr>
        <w:t>primary</w:t>
      </w:r>
      <w:r>
        <w:rPr>
          <w:color w:val="105C84"/>
          <w:spacing w:val="18"/>
        </w:rPr>
        <w:t> </w:t>
      </w:r>
      <w:r>
        <w:rPr>
          <w:color w:val="105C84"/>
        </w:rPr>
        <w:t>care.</w:t>
      </w:r>
      <w:r>
        <w:rPr>
          <w:color w:val="105C84"/>
          <w:spacing w:val="18"/>
        </w:rPr>
        <w:t> </w:t>
      </w:r>
      <w:r>
        <w:rPr>
          <w:color w:val="105C84"/>
        </w:rPr>
        <w:t>Figure</w:t>
      </w:r>
      <w:r>
        <w:rPr>
          <w:color w:val="105C84"/>
          <w:spacing w:val="18"/>
        </w:rPr>
        <w:t> </w:t>
      </w:r>
      <w:r>
        <w:rPr>
          <w:color w:val="105C84"/>
        </w:rPr>
        <w:t>39</w:t>
      </w:r>
      <w:r>
        <w:rPr>
          <w:color w:val="105C84"/>
          <w:spacing w:val="18"/>
        </w:rPr>
        <w:t> </w:t>
      </w:r>
      <w:r>
        <w:rPr>
          <w:color w:val="105C84"/>
        </w:rPr>
        <w:t>below</w:t>
      </w:r>
      <w:r>
        <w:rPr>
          <w:color w:val="105C84"/>
          <w:spacing w:val="18"/>
        </w:rPr>
        <w:t> </w:t>
      </w:r>
      <w:r>
        <w:rPr>
          <w:color w:val="105C84"/>
        </w:rPr>
        <w:t>shows the percent of the population that has received screenings for various types of cancer based on recommended guidelines in Seneca County. Of note, prostate cancer screenings are the lowest in the county, which is a similar finding for each of the other counties in the region.</w:t>
      </w:r>
    </w:p>
    <w:p>
      <w:pPr>
        <w:pStyle w:val="BodyText"/>
        <w:spacing w:before="16"/>
      </w:pPr>
    </w:p>
    <w:p>
      <w:pPr>
        <w:pStyle w:val="Heading6"/>
        <w:spacing w:before="1"/>
        <w:ind w:left="1085"/>
      </w:pPr>
      <w:r>
        <w:rPr>
          <w:color w:val="105C84"/>
          <w:spacing w:val="-4"/>
        </w:rPr>
        <w:t>FIGURE</w:t>
      </w:r>
      <w:r>
        <w:rPr>
          <w:color w:val="105C84"/>
          <w:spacing w:val="-8"/>
        </w:rPr>
        <w:t> </w:t>
      </w:r>
      <w:r>
        <w:rPr>
          <w:color w:val="105C84"/>
          <w:spacing w:val="-4"/>
        </w:rPr>
        <w:t>39:</w:t>
      </w:r>
      <w:r>
        <w:rPr>
          <w:color w:val="105C84"/>
          <w:spacing w:val="-7"/>
        </w:rPr>
        <w:t> </w:t>
      </w:r>
      <w:r>
        <w:rPr>
          <w:color w:val="105C84"/>
          <w:spacing w:val="-4"/>
        </w:rPr>
        <w:t>Percent</w:t>
      </w:r>
      <w:r>
        <w:rPr>
          <w:color w:val="105C84"/>
          <w:spacing w:val="-7"/>
        </w:rPr>
        <w:t> </w:t>
      </w:r>
      <w:r>
        <w:rPr>
          <w:color w:val="105C84"/>
          <w:spacing w:val="-4"/>
        </w:rPr>
        <w:t>of</w:t>
      </w:r>
      <w:r>
        <w:rPr>
          <w:color w:val="105C84"/>
          <w:spacing w:val="-7"/>
        </w:rPr>
        <w:t> </w:t>
      </w:r>
      <w:r>
        <w:rPr>
          <w:color w:val="105C84"/>
          <w:spacing w:val="-4"/>
        </w:rPr>
        <w:t>eligible</w:t>
      </w:r>
      <w:r>
        <w:rPr>
          <w:color w:val="105C84"/>
          <w:spacing w:val="-8"/>
        </w:rPr>
        <w:t> </w:t>
      </w:r>
      <w:r>
        <w:rPr>
          <w:color w:val="105C84"/>
          <w:spacing w:val="-4"/>
        </w:rPr>
        <w:t>population</w:t>
      </w:r>
      <w:r>
        <w:rPr>
          <w:color w:val="105C84"/>
          <w:spacing w:val="-7"/>
        </w:rPr>
        <w:t> </w:t>
      </w:r>
      <w:r>
        <w:rPr>
          <w:color w:val="105C84"/>
          <w:spacing w:val="-4"/>
        </w:rPr>
        <w:t>receiving</w:t>
      </w:r>
      <w:r>
        <w:rPr>
          <w:color w:val="105C84"/>
          <w:spacing w:val="-7"/>
        </w:rPr>
        <w:t> </w:t>
      </w:r>
      <w:r>
        <w:rPr>
          <w:color w:val="105C84"/>
          <w:spacing w:val="-4"/>
        </w:rPr>
        <w:t>cancer</w:t>
      </w:r>
      <w:r>
        <w:rPr>
          <w:color w:val="105C84"/>
          <w:spacing w:val="-7"/>
        </w:rPr>
        <w:t> </w:t>
      </w:r>
      <w:r>
        <w:rPr>
          <w:color w:val="105C84"/>
          <w:spacing w:val="-4"/>
        </w:rPr>
        <w:t>screening</w:t>
      </w:r>
    </w:p>
    <w:p>
      <w:pPr>
        <w:pStyle w:val="BodyText"/>
        <w:spacing w:before="41"/>
        <w:rPr>
          <w:b/>
          <w:sz w:val="26"/>
        </w:rPr>
      </w:pPr>
    </w:p>
    <w:p>
      <w:pPr>
        <w:spacing w:before="0"/>
        <w:ind w:left="1445" w:right="0" w:firstLine="0"/>
        <w:jc w:val="left"/>
        <w:rPr>
          <w:sz w:val="16"/>
        </w:rPr>
      </w:pPr>
      <w:r>
        <w:rPr>
          <w:sz w:val="16"/>
        </w:rPr>
        <mc:AlternateContent>
          <mc:Choice Requires="wps">
            <w:drawing>
              <wp:anchor distT="0" distB="0" distL="0" distR="0" allowOverlap="1" layoutInCell="1" locked="0" behindDoc="0" simplePos="0" relativeHeight="15856640">
                <wp:simplePos x="0" y="0"/>
                <wp:positionH relativeFrom="page">
                  <wp:posOffset>8962485</wp:posOffset>
                </wp:positionH>
                <wp:positionV relativeFrom="paragraph">
                  <wp:posOffset>-6422</wp:posOffset>
                </wp:positionV>
                <wp:extent cx="4775200" cy="1717675"/>
                <wp:effectExtent l="0" t="0" r="0" b="0"/>
                <wp:wrapNone/>
                <wp:docPr id="1162" name="Group 1162"/>
                <wp:cNvGraphicFramePr>
                  <a:graphicFrameLocks/>
                </wp:cNvGraphicFramePr>
                <a:graphic>
                  <a:graphicData uri="http://schemas.microsoft.com/office/word/2010/wordprocessingGroup">
                    <wpg:wgp>
                      <wpg:cNvPr id="1162" name="Group 1162"/>
                      <wpg:cNvGrpSpPr/>
                      <wpg:grpSpPr>
                        <a:xfrm>
                          <a:off x="0" y="0"/>
                          <a:ext cx="4775200" cy="1717675"/>
                          <a:chExt cx="4775200" cy="1717675"/>
                        </a:xfrm>
                      </wpg:grpSpPr>
                      <wps:wsp>
                        <wps:cNvPr id="1163" name="Graphic 1163"/>
                        <wps:cNvSpPr/>
                        <wps:spPr>
                          <a:xfrm>
                            <a:off x="251682" y="39442"/>
                            <a:ext cx="67945" cy="67945"/>
                          </a:xfrm>
                          <a:custGeom>
                            <a:avLst/>
                            <a:gdLst/>
                            <a:ahLst/>
                            <a:cxnLst/>
                            <a:rect l="l" t="t" r="r" b="b"/>
                            <a:pathLst>
                              <a:path w="67945" h="67945">
                                <a:moveTo>
                                  <a:pt x="67881" y="0"/>
                                </a:moveTo>
                                <a:lnTo>
                                  <a:pt x="0" y="0"/>
                                </a:lnTo>
                                <a:lnTo>
                                  <a:pt x="0" y="67881"/>
                                </a:lnTo>
                                <a:lnTo>
                                  <a:pt x="67881" y="67881"/>
                                </a:lnTo>
                                <a:lnTo>
                                  <a:pt x="67881" y="0"/>
                                </a:lnTo>
                                <a:close/>
                              </a:path>
                            </a:pathLst>
                          </a:custGeom>
                          <a:solidFill>
                            <a:srgbClr val="105C84"/>
                          </a:solidFill>
                        </wps:spPr>
                        <wps:bodyPr wrap="square" lIns="0" tIns="0" rIns="0" bIns="0" rtlCol="0">
                          <a:prstTxWarp prst="textNoShape">
                            <a:avLst/>
                          </a:prstTxWarp>
                          <a:noAutofit/>
                        </wps:bodyPr>
                      </wps:wsp>
                      <wps:wsp>
                        <wps:cNvPr id="1164" name="Graphic 1164"/>
                        <wps:cNvSpPr/>
                        <wps:spPr>
                          <a:xfrm>
                            <a:off x="1329556" y="39442"/>
                            <a:ext cx="67945" cy="67945"/>
                          </a:xfrm>
                          <a:custGeom>
                            <a:avLst/>
                            <a:gdLst/>
                            <a:ahLst/>
                            <a:cxnLst/>
                            <a:rect l="l" t="t" r="r" b="b"/>
                            <a:pathLst>
                              <a:path w="67945" h="67945">
                                <a:moveTo>
                                  <a:pt x="67881" y="0"/>
                                </a:moveTo>
                                <a:lnTo>
                                  <a:pt x="0" y="0"/>
                                </a:lnTo>
                                <a:lnTo>
                                  <a:pt x="0" y="67881"/>
                                </a:lnTo>
                                <a:lnTo>
                                  <a:pt x="67881" y="67881"/>
                                </a:lnTo>
                                <a:lnTo>
                                  <a:pt x="67881" y="0"/>
                                </a:lnTo>
                                <a:close/>
                              </a:path>
                            </a:pathLst>
                          </a:custGeom>
                          <a:solidFill>
                            <a:srgbClr val="BCBEC0"/>
                          </a:solidFill>
                        </wps:spPr>
                        <wps:bodyPr wrap="square" lIns="0" tIns="0" rIns="0" bIns="0" rtlCol="0">
                          <a:prstTxWarp prst="textNoShape">
                            <a:avLst/>
                          </a:prstTxWarp>
                          <a:noAutofit/>
                        </wps:bodyPr>
                      </wps:wsp>
                      <wps:wsp>
                        <wps:cNvPr id="1165" name="Graphic 1165"/>
                        <wps:cNvSpPr/>
                        <wps:spPr>
                          <a:xfrm>
                            <a:off x="304844" y="397035"/>
                            <a:ext cx="3933825" cy="1318895"/>
                          </a:xfrm>
                          <a:custGeom>
                            <a:avLst/>
                            <a:gdLst/>
                            <a:ahLst/>
                            <a:cxnLst/>
                            <a:rect l="l" t="t" r="r" b="b"/>
                            <a:pathLst>
                              <a:path w="3933825" h="1318895">
                                <a:moveTo>
                                  <a:pt x="272846" y="750354"/>
                                </a:moveTo>
                                <a:lnTo>
                                  <a:pt x="0" y="750354"/>
                                </a:lnTo>
                                <a:lnTo>
                                  <a:pt x="0" y="1318806"/>
                                </a:lnTo>
                                <a:lnTo>
                                  <a:pt x="272846" y="1318806"/>
                                </a:lnTo>
                                <a:lnTo>
                                  <a:pt x="272846" y="750354"/>
                                </a:lnTo>
                                <a:close/>
                              </a:path>
                              <a:path w="3933825" h="1318895">
                                <a:moveTo>
                                  <a:pt x="1489341" y="22733"/>
                                </a:moveTo>
                                <a:lnTo>
                                  <a:pt x="1216482" y="22733"/>
                                </a:lnTo>
                                <a:lnTo>
                                  <a:pt x="1216482" y="1318806"/>
                                </a:lnTo>
                                <a:lnTo>
                                  <a:pt x="1489341" y="1318806"/>
                                </a:lnTo>
                                <a:lnTo>
                                  <a:pt x="1489341" y="22733"/>
                                </a:lnTo>
                                <a:close/>
                              </a:path>
                              <a:path w="3933825" h="1318895">
                                <a:moveTo>
                                  <a:pt x="2705836" y="113690"/>
                                </a:moveTo>
                                <a:lnTo>
                                  <a:pt x="2432977" y="113690"/>
                                </a:lnTo>
                                <a:lnTo>
                                  <a:pt x="2432977" y="1318806"/>
                                </a:lnTo>
                                <a:lnTo>
                                  <a:pt x="2705836" y="1318806"/>
                                </a:lnTo>
                                <a:lnTo>
                                  <a:pt x="2705836" y="113690"/>
                                </a:lnTo>
                                <a:close/>
                              </a:path>
                              <a:path w="3933825" h="1318895">
                                <a:moveTo>
                                  <a:pt x="3933685" y="0"/>
                                </a:moveTo>
                                <a:lnTo>
                                  <a:pt x="3660825" y="0"/>
                                </a:lnTo>
                                <a:lnTo>
                                  <a:pt x="3660825" y="1318806"/>
                                </a:lnTo>
                                <a:lnTo>
                                  <a:pt x="3933685" y="1318806"/>
                                </a:lnTo>
                                <a:lnTo>
                                  <a:pt x="3933685" y="0"/>
                                </a:lnTo>
                                <a:close/>
                              </a:path>
                            </a:pathLst>
                          </a:custGeom>
                          <a:solidFill>
                            <a:srgbClr val="105C84"/>
                          </a:solidFill>
                        </wps:spPr>
                        <wps:bodyPr wrap="square" lIns="0" tIns="0" rIns="0" bIns="0" rtlCol="0">
                          <a:prstTxWarp prst="textNoShape">
                            <a:avLst/>
                          </a:prstTxWarp>
                          <a:noAutofit/>
                        </wps:bodyPr>
                      </wps:wsp>
                      <wps:wsp>
                        <wps:cNvPr id="1166" name="Graphic 1166"/>
                        <wps:cNvSpPr/>
                        <wps:spPr>
                          <a:xfrm>
                            <a:off x="645916" y="237866"/>
                            <a:ext cx="3933825" cy="1478280"/>
                          </a:xfrm>
                          <a:custGeom>
                            <a:avLst/>
                            <a:gdLst/>
                            <a:ahLst/>
                            <a:cxnLst/>
                            <a:rect l="l" t="t" r="r" b="b"/>
                            <a:pathLst>
                              <a:path w="3933825" h="1478280">
                                <a:moveTo>
                                  <a:pt x="272859" y="704875"/>
                                </a:moveTo>
                                <a:lnTo>
                                  <a:pt x="0" y="704875"/>
                                </a:lnTo>
                                <a:lnTo>
                                  <a:pt x="0" y="1477987"/>
                                </a:lnTo>
                                <a:lnTo>
                                  <a:pt x="272859" y="1477987"/>
                                </a:lnTo>
                                <a:lnTo>
                                  <a:pt x="272859" y="704875"/>
                                </a:lnTo>
                                <a:close/>
                              </a:path>
                              <a:path w="3933825" h="1478280">
                                <a:moveTo>
                                  <a:pt x="1500708" y="193281"/>
                                </a:moveTo>
                                <a:lnTo>
                                  <a:pt x="1227861" y="193281"/>
                                </a:lnTo>
                                <a:lnTo>
                                  <a:pt x="1227861" y="1477975"/>
                                </a:lnTo>
                                <a:lnTo>
                                  <a:pt x="1500708" y="1477975"/>
                                </a:lnTo>
                                <a:lnTo>
                                  <a:pt x="1500708" y="193281"/>
                                </a:lnTo>
                                <a:close/>
                              </a:path>
                              <a:path w="3933825" h="1478280">
                                <a:moveTo>
                                  <a:pt x="2717190" y="34099"/>
                                </a:moveTo>
                                <a:lnTo>
                                  <a:pt x="2444343" y="34099"/>
                                </a:lnTo>
                                <a:lnTo>
                                  <a:pt x="2444343" y="1477962"/>
                                </a:lnTo>
                                <a:lnTo>
                                  <a:pt x="2717190" y="1477962"/>
                                </a:lnTo>
                                <a:lnTo>
                                  <a:pt x="2717190" y="34099"/>
                                </a:lnTo>
                                <a:close/>
                              </a:path>
                              <a:path w="3933825" h="1478280">
                                <a:moveTo>
                                  <a:pt x="3933672" y="0"/>
                                </a:moveTo>
                                <a:lnTo>
                                  <a:pt x="3660825" y="0"/>
                                </a:lnTo>
                                <a:lnTo>
                                  <a:pt x="3660825" y="1477975"/>
                                </a:lnTo>
                                <a:lnTo>
                                  <a:pt x="3933672" y="1477975"/>
                                </a:lnTo>
                                <a:lnTo>
                                  <a:pt x="3933672" y="0"/>
                                </a:lnTo>
                                <a:close/>
                              </a:path>
                            </a:pathLst>
                          </a:custGeom>
                          <a:solidFill>
                            <a:srgbClr val="BCBEC0"/>
                          </a:solidFill>
                        </wps:spPr>
                        <wps:bodyPr wrap="square" lIns="0" tIns="0" rIns="0" bIns="0" rtlCol="0">
                          <a:prstTxWarp prst="textNoShape">
                            <a:avLst/>
                          </a:prstTxWarp>
                          <a:noAutofit/>
                        </wps:bodyPr>
                      </wps:wsp>
                      <wps:wsp>
                        <wps:cNvPr id="1167" name="Graphic 1167"/>
                        <wps:cNvSpPr/>
                        <wps:spPr>
                          <a:xfrm>
                            <a:off x="400150" y="908476"/>
                            <a:ext cx="82550" cy="472440"/>
                          </a:xfrm>
                          <a:custGeom>
                            <a:avLst/>
                            <a:gdLst/>
                            <a:ahLst/>
                            <a:cxnLst/>
                            <a:rect l="l" t="t" r="r" b="b"/>
                            <a:pathLst>
                              <a:path w="82550" h="472440">
                                <a:moveTo>
                                  <a:pt x="41287" y="227380"/>
                                </a:moveTo>
                                <a:lnTo>
                                  <a:pt x="41287" y="466128"/>
                                </a:lnTo>
                              </a:path>
                              <a:path w="82550" h="472440">
                                <a:moveTo>
                                  <a:pt x="41287" y="227380"/>
                                </a:moveTo>
                                <a:lnTo>
                                  <a:pt x="41287" y="0"/>
                                </a:lnTo>
                              </a:path>
                              <a:path w="82550" h="472440">
                                <a:moveTo>
                                  <a:pt x="0" y="471982"/>
                                </a:moveTo>
                                <a:lnTo>
                                  <a:pt x="82257" y="471982"/>
                                </a:lnTo>
                              </a:path>
                              <a:path w="82550" h="472440">
                                <a:moveTo>
                                  <a:pt x="0" y="5854"/>
                                </a:moveTo>
                                <a:lnTo>
                                  <a:pt x="82257" y="5854"/>
                                </a:lnTo>
                              </a:path>
                            </a:pathLst>
                          </a:custGeom>
                          <a:ln w="11366">
                            <a:solidFill>
                              <a:srgbClr val="989A9C"/>
                            </a:solidFill>
                            <a:prstDash val="solid"/>
                          </a:ln>
                        </wps:spPr>
                        <wps:bodyPr wrap="square" lIns="0" tIns="0" rIns="0" bIns="0" rtlCol="0">
                          <a:prstTxWarp prst="textNoShape">
                            <a:avLst/>
                          </a:prstTxWarp>
                          <a:noAutofit/>
                        </wps:bodyPr>
                      </wps:wsp>
                      <wps:wsp>
                        <wps:cNvPr id="1168" name="Graphic 1168"/>
                        <wps:cNvSpPr/>
                        <wps:spPr>
                          <a:xfrm>
                            <a:off x="1616632" y="285134"/>
                            <a:ext cx="82550" cy="254635"/>
                          </a:xfrm>
                          <a:custGeom>
                            <a:avLst/>
                            <a:gdLst/>
                            <a:ahLst/>
                            <a:cxnLst/>
                            <a:rect l="l" t="t" r="r" b="b"/>
                            <a:pathLst>
                              <a:path w="82550" h="254635">
                                <a:moveTo>
                                  <a:pt x="42913" y="125056"/>
                                </a:moveTo>
                                <a:lnTo>
                                  <a:pt x="42913" y="250113"/>
                                </a:lnTo>
                              </a:path>
                              <a:path w="82550" h="254635">
                                <a:moveTo>
                                  <a:pt x="42913" y="125056"/>
                                </a:moveTo>
                                <a:lnTo>
                                  <a:pt x="42913" y="0"/>
                                </a:lnTo>
                              </a:path>
                              <a:path w="82550" h="254635">
                                <a:moveTo>
                                  <a:pt x="0" y="254012"/>
                                </a:moveTo>
                                <a:lnTo>
                                  <a:pt x="82270" y="254012"/>
                                </a:lnTo>
                              </a:path>
                              <a:path w="82550" h="254635">
                                <a:moveTo>
                                  <a:pt x="0" y="3898"/>
                                </a:moveTo>
                                <a:lnTo>
                                  <a:pt x="82270" y="3898"/>
                                </a:lnTo>
                              </a:path>
                            </a:pathLst>
                          </a:custGeom>
                          <a:ln w="11366">
                            <a:solidFill>
                              <a:srgbClr val="989A9C"/>
                            </a:solidFill>
                            <a:prstDash val="solid"/>
                          </a:ln>
                        </wps:spPr>
                        <wps:bodyPr wrap="square" lIns="0" tIns="0" rIns="0" bIns="0" rtlCol="0">
                          <a:prstTxWarp prst="textNoShape">
                            <a:avLst/>
                          </a:prstTxWarp>
                          <a:noAutofit/>
                        </wps:bodyPr>
                      </wps:wsp>
                      <wps:wsp>
                        <wps:cNvPr id="1169" name="Graphic 1169"/>
                        <wps:cNvSpPr/>
                        <wps:spPr>
                          <a:xfrm>
                            <a:off x="2844490" y="323141"/>
                            <a:ext cx="71120" cy="363855"/>
                          </a:xfrm>
                          <a:custGeom>
                            <a:avLst/>
                            <a:gdLst/>
                            <a:ahLst/>
                            <a:cxnLst/>
                            <a:rect l="l" t="t" r="r" b="b"/>
                            <a:pathLst>
                              <a:path w="71120" h="363855">
                                <a:moveTo>
                                  <a:pt x="35445" y="181902"/>
                                </a:moveTo>
                                <a:lnTo>
                                  <a:pt x="35445" y="363804"/>
                                </a:lnTo>
                              </a:path>
                              <a:path w="71120" h="363855">
                                <a:moveTo>
                                  <a:pt x="35445" y="181902"/>
                                </a:moveTo>
                                <a:lnTo>
                                  <a:pt x="35445" y="0"/>
                                </a:lnTo>
                              </a:path>
                              <a:path w="71120" h="363855">
                                <a:moveTo>
                                  <a:pt x="0" y="363804"/>
                                </a:moveTo>
                                <a:lnTo>
                                  <a:pt x="70891" y="363804"/>
                                </a:lnTo>
                              </a:path>
                              <a:path w="71120" h="363855">
                                <a:moveTo>
                                  <a:pt x="0" y="0"/>
                                </a:moveTo>
                                <a:lnTo>
                                  <a:pt x="70891" y="0"/>
                                </a:lnTo>
                              </a:path>
                            </a:pathLst>
                          </a:custGeom>
                          <a:ln w="11366">
                            <a:solidFill>
                              <a:srgbClr val="989A9C"/>
                            </a:solidFill>
                            <a:prstDash val="solid"/>
                          </a:ln>
                        </wps:spPr>
                        <wps:bodyPr wrap="square" lIns="0" tIns="0" rIns="0" bIns="0" rtlCol="0">
                          <a:prstTxWarp prst="textNoShape">
                            <a:avLst/>
                          </a:prstTxWarp>
                          <a:noAutofit/>
                        </wps:bodyPr>
                      </wps:wsp>
                      <wps:wsp>
                        <wps:cNvPr id="1170" name="Graphic 1170"/>
                        <wps:cNvSpPr/>
                        <wps:spPr>
                          <a:xfrm>
                            <a:off x="4060974" y="266296"/>
                            <a:ext cx="71120" cy="261620"/>
                          </a:xfrm>
                          <a:custGeom>
                            <a:avLst/>
                            <a:gdLst/>
                            <a:ahLst/>
                            <a:cxnLst/>
                            <a:rect l="l" t="t" r="r" b="b"/>
                            <a:pathLst>
                              <a:path w="71120" h="261620">
                                <a:moveTo>
                                  <a:pt x="35445" y="136423"/>
                                </a:moveTo>
                                <a:lnTo>
                                  <a:pt x="35445" y="261480"/>
                                </a:lnTo>
                              </a:path>
                              <a:path w="71120" h="261620">
                                <a:moveTo>
                                  <a:pt x="35445" y="136423"/>
                                </a:moveTo>
                                <a:lnTo>
                                  <a:pt x="35445" y="0"/>
                                </a:lnTo>
                              </a:path>
                              <a:path w="71120" h="261620">
                                <a:moveTo>
                                  <a:pt x="0" y="261480"/>
                                </a:moveTo>
                                <a:lnTo>
                                  <a:pt x="70891" y="261480"/>
                                </a:lnTo>
                              </a:path>
                              <a:path w="71120" h="261620">
                                <a:moveTo>
                                  <a:pt x="0" y="0"/>
                                </a:moveTo>
                                <a:lnTo>
                                  <a:pt x="70891" y="0"/>
                                </a:lnTo>
                              </a:path>
                            </a:pathLst>
                          </a:custGeom>
                          <a:ln w="11366">
                            <a:solidFill>
                              <a:srgbClr val="989A9C"/>
                            </a:solidFill>
                            <a:prstDash val="solid"/>
                          </a:ln>
                        </wps:spPr>
                        <wps:bodyPr wrap="square" lIns="0" tIns="0" rIns="0" bIns="0" rtlCol="0">
                          <a:prstTxWarp prst="textNoShape">
                            <a:avLst/>
                          </a:prstTxWarp>
                          <a:noAutofit/>
                        </wps:bodyPr>
                      </wps:wsp>
                      <wps:wsp>
                        <wps:cNvPr id="1171" name="Graphic 1171"/>
                        <wps:cNvSpPr/>
                        <wps:spPr>
                          <a:xfrm>
                            <a:off x="752574" y="891588"/>
                            <a:ext cx="71120" cy="114300"/>
                          </a:xfrm>
                          <a:custGeom>
                            <a:avLst/>
                            <a:gdLst/>
                            <a:ahLst/>
                            <a:cxnLst/>
                            <a:rect l="l" t="t" r="r" b="b"/>
                            <a:pathLst>
                              <a:path w="71120" h="114300">
                                <a:moveTo>
                                  <a:pt x="35458" y="56845"/>
                                </a:moveTo>
                                <a:lnTo>
                                  <a:pt x="35458" y="113690"/>
                                </a:lnTo>
                              </a:path>
                              <a:path w="71120" h="114300">
                                <a:moveTo>
                                  <a:pt x="35458" y="56845"/>
                                </a:moveTo>
                                <a:lnTo>
                                  <a:pt x="35458" y="0"/>
                                </a:lnTo>
                              </a:path>
                              <a:path w="71120" h="114300">
                                <a:moveTo>
                                  <a:pt x="0" y="113690"/>
                                </a:moveTo>
                                <a:lnTo>
                                  <a:pt x="70904" y="113690"/>
                                </a:lnTo>
                              </a:path>
                              <a:path w="71120" h="114300">
                                <a:moveTo>
                                  <a:pt x="0" y="0"/>
                                </a:moveTo>
                                <a:lnTo>
                                  <a:pt x="70904" y="0"/>
                                </a:lnTo>
                              </a:path>
                            </a:pathLst>
                          </a:custGeom>
                          <a:ln w="11366">
                            <a:solidFill>
                              <a:srgbClr val="989A9C"/>
                            </a:solidFill>
                            <a:prstDash val="solid"/>
                          </a:ln>
                        </wps:spPr>
                        <wps:bodyPr wrap="square" lIns="0" tIns="0" rIns="0" bIns="0" rtlCol="0">
                          <a:prstTxWarp prst="textNoShape">
                            <a:avLst/>
                          </a:prstTxWarp>
                          <a:noAutofit/>
                        </wps:bodyPr>
                      </wps:wsp>
                      <wps:wsp>
                        <wps:cNvPr id="1172" name="Graphic 1172"/>
                        <wps:cNvSpPr/>
                        <wps:spPr>
                          <a:xfrm>
                            <a:off x="1969071" y="402714"/>
                            <a:ext cx="71120" cy="68580"/>
                          </a:xfrm>
                          <a:custGeom>
                            <a:avLst/>
                            <a:gdLst/>
                            <a:ahLst/>
                            <a:cxnLst/>
                            <a:rect l="l" t="t" r="r" b="b"/>
                            <a:pathLst>
                              <a:path w="71120" h="68580">
                                <a:moveTo>
                                  <a:pt x="35445" y="34112"/>
                                </a:moveTo>
                                <a:lnTo>
                                  <a:pt x="35445" y="68224"/>
                                </a:lnTo>
                              </a:path>
                              <a:path w="71120" h="68580">
                                <a:moveTo>
                                  <a:pt x="35445" y="34112"/>
                                </a:moveTo>
                                <a:lnTo>
                                  <a:pt x="35445" y="0"/>
                                </a:lnTo>
                              </a:path>
                              <a:path w="71120" h="68580">
                                <a:moveTo>
                                  <a:pt x="0" y="68224"/>
                                </a:moveTo>
                                <a:lnTo>
                                  <a:pt x="70904" y="68224"/>
                                </a:lnTo>
                              </a:path>
                              <a:path w="71120" h="68580">
                                <a:moveTo>
                                  <a:pt x="0" y="0"/>
                                </a:moveTo>
                                <a:lnTo>
                                  <a:pt x="70904" y="0"/>
                                </a:lnTo>
                              </a:path>
                            </a:pathLst>
                          </a:custGeom>
                          <a:ln w="11366">
                            <a:solidFill>
                              <a:srgbClr val="989A9C"/>
                            </a:solidFill>
                            <a:prstDash val="solid"/>
                          </a:ln>
                        </wps:spPr>
                        <wps:bodyPr wrap="square" lIns="0" tIns="0" rIns="0" bIns="0" rtlCol="0">
                          <a:prstTxWarp prst="textNoShape">
                            <a:avLst/>
                          </a:prstTxWarp>
                          <a:noAutofit/>
                        </wps:bodyPr>
                      </wps:wsp>
                      <wps:wsp>
                        <wps:cNvPr id="1173" name="Graphic 1173"/>
                        <wps:cNvSpPr/>
                        <wps:spPr>
                          <a:xfrm>
                            <a:off x="3198262" y="232189"/>
                            <a:ext cx="57150" cy="82550"/>
                          </a:xfrm>
                          <a:custGeom>
                            <a:avLst/>
                            <a:gdLst/>
                            <a:ahLst/>
                            <a:cxnLst/>
                            <a:rect l="l" t="t" r="r" b="b"/>
                            <a:pathLst>
                              <a:path w="57150" h="82550">
                                <a:moveTo>
                                  <a:pt x="29832" y="81965"/>
                                </a:moveTo>
                                <a:lnTo>
                                  <a:pt x="29832" y="3543"/>
                                </a:lnTo>
                              </a:path>
                              <a:path w="57150" h="82550">
                                <a:moveTo>
                                  <a:pt x="0" y="79578"/>
                                </a:moveTo>
                                <a:lnTo>
                                  <a:pt x="56845" y="79578"/>
                                </a:lnTo>
                              </a:path>
                              <a:path w="57150" h="82550">
                                <a:moveTo>
                                  <a:pt x="0" y="0"/>
                                </a:moveTo>
                                <a:lnTo>
                                  <a:pt x="56845" y="0"/>
                                </a:lnTo>
                              </a:path>
                            </a:pathLst>
                          </a:custGeom>
                          <a:ln w="11366">
                            <a:solidFill>
                              <a:srgbClr val="989A9C"/>
                            </a:solidFill>
                            <a:prstDash val="solid"/>
                          </a:ln>
                        </wps:spPr>
                        <wps:bodyPr wrap="square" lIns="0" tIns="0" rIns="0" bIns="0" rtlCol="0">
                          <a:prstTxWarp prst="textNoShape">
                            <a:avLst/>
                          </a:prstTxWarp>
                          <a:noAutofit/>
                        </wps:bodyPr>
                      </wps:wsp>
                      <wps:wsp>
                        <wps:cNvPr id="1174" name="Graphic 1174"/>
                        <wps:cNvSpPr/>
                        <wps:spPr>
                          <a:xfrm>
                            <a:off x="4414749" y="198078"/>
                            <a:ext cx="57150" cy="68580"/>
                          </a:xfrm>
                          <a:custGeom>
                            <a:avLst/>
                            <a:gdLst/>
                            <a:ahLst/>
                            <a:cxnLst/>
                            <a:rect l="l" t="t" r="r" b="b"/>
                            <a:pathLst>
                              <a:path w="57150" h="68580">
                                <a:moveTo>
                                  <a:pt x="27025" y="64643"/>
                                </a:moveTo>
                                <a:lnTo>
                                  <a:pt x="27025" y="0"/>
                                </a:lnTo>
                              </a:path>
                              <a:path w="57150" h="68580">
                                <a:moveTo>
                                  <a:pt x="0" y="68211"/>
                                </a:moveTo>
                                <a:lnTo>
                                  <a:pt x="56857" y="68211"/>
                                </a:lnTo>
                              </a:path>
                              <a:path w="57150" h="68580">
                                <a:moveTo>
                                  <a:pt x="0" y="0"/>
                                </a:moveTo>
                                <a:lnTo>
                                  <a:pt x="56857" y="0"/>
                                </a:lnTo>
                              </a:path>
                            </a:pathLst>
                          </a:custGeom>
                          <a:ln w="11366">
                            <a:solidFill>
                              <a:srgbClr val="989A9C"/>
                            </a:solidFill>
                            <a:prstDash val="solid"/>
                          </a:ln>
                        </wps:spPr>
                        <wps:bodyPr wrap="square" lIns="0" tIns="0" rIns="0" bIns="0" rtlCol="0">
                          <a:prstTxWarp prst="textNoShape">
                            <a:avLst/>
                          </a:prstTxWarp>
                          <a:noAutofit/>
                        </wps:bodyPr>
                      </wps:wsp>
                      <wps:wsp>
                        <wps:cNvPr id="1175" name="Graphic 1175"/>
                        <wps:cNvSpPr/>
                        <wps:spPr>
                          <a:xfrm>
                            <a:off x="3568" y="32349"/>
                            <a:ext cx="4768215" cy="1681480"/>
                          </a:xfrm>
                          <a:custGeom>
                            <a:avLst/>
                            <a:gdLst/>
                            <a:ahLst/>
                            <a:cxnLst/>
                            <a:rect l="l" t="t" r="r" b="b"/>
                            <a:pathLst>
                              <a:path w="4768215" h="1681480">
                                <a:moveTo>
                                  <a:pt x="4767922" y="1681352"/>
                                </a:moveTo>
                                <a:lnTo>
                                  <a:pt x="0" y="1681352"/>
                                </a:lnTo>
                                <a:lnTo>
                                  <a:pt x="0" y="0"/>
                                </a:lnTo>
                              </a:path>
                            </a:pathLst>
                          </a:custGeom>
                          <a:ln w="7137">
                            <a:solidFill>
                              <a:srgbClr val="939598"/>
                            </a:solidFill>
                            <a:prstDash val="solid"/>
                          </a:ln>
                        </wps:spPr>
                        <wps:bodyPr wrap="square" lIns="0" tIns="0" rIns="0" bIns="0" rtlCol="0">
                          <a:prstTxWarp prst="textNoShape">
                            <a:avLst/>
                          </a:prstTxWarp>
                          <a:noAutofit/>
                        </wps:bodyPr>
                      </wps:wsp>
                      <wps:wsp>
                        <wps:cNvPr id="1176" name="Textbox 1176"/>
                        <wps:cNvSpPr txBox="1"/>
                        <wps:spPr>
                          <a:xfrm>
                            <a:off x="358589" y="0"/>
                            <a:ext cx="777875" cy="156210"/>
                          </a:xfrm>
                          <a:prstGeom prst="rect">
                            <a:avLst/>
                          </a:prstGeom>
                        </wps:spPr>
                        <wps:txbx>
                          <w:txbxContent>
                            <w:p>
                              <w:pPr>
                                <w:spacing w:before="11"/>
                                <w:ind w:left="0" w:right="0" w:firstLine="0"/>
                                <w:jc w:val="left"/>
                                <w:rPr>
                                  <w:sz w:val="18"/>
                                </w:rPr>
                              </w:pPr>
                              <w:r>
                                <w:rPr>
                                  <w:color w:val="636466"/>
                                  <w:spacing w:val="-5"/>
                                  <w:sz w:val="18"/>
                                </w:rPr>
                                <w:t>Seneca </w:t>
                              </w:r>
                              <w:r>
                                <w:rPr>
                                  <w:color w:val="636466"/>
                                  <w:spacing w:val="-2"/>
                                  <w:sz w:val="18"/>
                                </w:rPr>
                                <w:t>County</w:t>
                              </w:r>
                            </w:p>
                          </w:txbxContent>
                        </wps:txbx>
                        <wps:bodyPr wrap="square" lIns="0" tIns="0" rIns="0" bIns="0" rtlCol="0">
                          <a:noAutofit/>
                        </wps:bodyPr>
                      </wps:wsp>
                      <wps:wsp>
                        <wps:cNvPr id="1177" name="Textbox 1177"/>
                        <wps:cNvSpPr txBox="1"/>
                        <wps:spPr>
                          <a:xfrm>
                            <a:off x="1433924" y="0"/>
                            <a:ext cx="730885" cy="156210"/>
                          </a:xfrm>
                          <a:prstGeom prst="rect">
                            <a:avLst/>
                          </a:prstGeom>
                        </wps:spPr>
                        <wps:txbx>
                          <w:txbxContent>
                            <w:p>
                              <w:pPr>
                                <w:spacing w:before="11"/>
                                <w:ind w:left="0" w:right="0" w:firstLine="0"/>
                                <w:jc w:val="left"/>
                                <w:rPr>
                                  <w:sz w:val="18"/>
                                </w:rPr>
                              </w:pPr>
                              <w:r>
                                <w:rPr>
                                  <w:color w:val="636466"/>
                                  <w:spacing w:val="-6"/>
                                  <w:sz w:val="18"/>
                                </w:rPr>
                                <w:t>NYS</w:t>
                              </w:r>
                              <w:r>
                                <w:rPr>
                                  <w:color w:val="636466"/>
                                  <w:spacing w:val="-7"/>
                                  <w:sz w:val="18"/>
                                </w:rPr>
                                <w:t> </w:t>
                              </w:r>
                              <w:r>
                                <w:rPr>
                                  <w:color w:val="636466"/>
                                  <w:spacing w:val="-6"/>
                                  <w:sz w:val="18"/>
                                </w:rPr>
                                <w:t>Excl NYC</w:t>
                              </w:r>
                            </w:p>
                          </w:txbxContent>
                        </wps:txbx>
                        <wps:bodyPr wrap="square" lIns="0" tIns="0" rIns="0" bIns="0" rtlCol="0">
                          <a:noAutofit/>
                        </wps:bodyPr>
                      </wps:wsp>
                    </wpg:wgp>
                  </a:graphicData>
                </a:graphic>
              </wp:anchor>
            </w:drawing>
          </mc:Choice>
          <mc:Fallback>
            <w:pict>
              <v:group style="position:absolute;margin-left:705.70752pt;margin-top:-.505708pt;width:376pt;height:135.25pt;mso-position-horizontal-relative:page;mso-position-vertical-relative:paragraph;z-index:15856640" id="docshapegroup953" coordorigin="14114,-10" coordsize="7520,2705">
                <v:rect style="position:absolute;left:14510;top:52;width:107;height:107" id="docshape954" filled="true" fillcolor="#105c84" stroked="false">
                  <v:fill type="solid"/>
                </v:rect>
                <v:rect style="position:absolute;left:16207;top:52;width:107;height:107" id="docshape955" filled="true" fillcolor="#bcbec0" stroked="false">
                  <v:fill type="solid"/>
                </v:rect>
                <v:shape style="position:absolute;left:14594;top:615;width:6195;height:2077" id="docshape956" coordorigin="14594,615" coordsize="6195,2077" path="m15024,1797l14594,1797,14594,2692,15024,2692,15024,1797xm16940,651l16510,651,16510,2692,16940,2692,16940,651xm18855,794l18426,794,18426,2692,18855,2692,18855,794xm20789,615l20359,615,20359,2692,20789,2692,20789,615xe" filled="true" fillcolor="#105c84" stroked="false">
                  <v:path arrowok="t"/>
                  <v:fill type="solid"/>
                </v:shape>
                <v:shape style="position:absolute;left:15131;top:364;width:6195;height:2328" id="docshape957" coordorigin="15131,364" coordsize="6195,2328" path="m15561,1475l15131,1475,15131,2692,15561,2692,15561,1475xm17495,669l17065,669,17065,2692,17495,2692,17495,669xm19410,418l18981,418,18981,2692,19410,2692,19410,418xm21326,364l20896,364,20896,2692,21326,2692,21326,364xe" filled="true" fillcolor="#bcbec0" stroked="false">
                  <v:path arrowok="t"/>
                  <v:fill type="solid"/>
                </v:shape>
                <v:shape style="position:absolute;left:14744;top:1420;width:130;height:744" id="docshape958" coordorigin="14744,1421" coordsize="130,744" path="m14809,1779l14809,2155m14809,1779l14809,1421m14744,2164l14874,2164m14744,1430l14874,1430e" filled="false" stroked="true" strokeweight=".895pt" strokecolor="#989a9c">
                  <v:path arrowok="t"/>
                  <v:stroke dashstyle="solid"/>
                </v:shape>
                <v:shape style="position:absolute;left:16660;top:438;width:130;height:401" id="docshape959" coordorigin="16660,439" coordsize="130,401" path="m16728,636l16728,833m16728,636l16728,439m16660,839l16790,839m16660,445l16790,445e" filled="false" stroked="true" strokeweight=".895pt" strokecolor="#989a9c">
                  <v:path arrowok="t"/>
                  <v:stroke dashstyle="solid"/>
                </v:shape>
                <v:shape style="position:absolute;left:18593;top:498;width:112;height:573" id="docshape960" coordorigin="18594,499" coordsize="112,573" path="m18649,785l18649,1072m18649,785l18649,499m18594,1072l18705,1072m18594,499l18705,499e" filled="false" stroked="true" strokeweight=".895pt" strokecolor="#989a9c">
                  <v:path arrowok="t"/>
                  <v:stroke dashstyle="solid"/>
                </v:shape>
                <v:shape style="position:absolute;left:20509;top:409;width:112;height:412" id="docshape961" coordorigin="20509,409" coordsize="112,412" path="m20565,624l20565,821m20565,624l20565,409m20509,821l20621,821m20509,409l20621,409e" filled="false" stroked="true" strokeweight=".895pt" strokecolor="#989a9c">
                  <v:path arrowok="t"/>
                  <v:stroke dashstyle="solid"/>
                </v:shape>
                <v:shape style="position:absolute;left:15299;top:1393;width:112;height:180" id="docshape962" coordorigin="15299,1394" coordsize="112,180" path="m15355,1483l15355,1573m15355,1483l15355,1394m15299,1573l15411,1573m15299,1394l15411,1394e" filled="false" stroked="true" strokeweight=".895pt" strokecolor="#989a9c">
                  <v:path arrowok="t"/>
                  <v:stroke dashstyle="solid"/>
                </v:shape>
                <v:shape style="position:absolute;left:17215;top:624;width:112;height:108" id="docshape963" coordorigin="17215,624" coordsize="112,108" path="m17271,678l17271,732m17271,678l17271,624m17215,732l17327,732m17215,624l17327,624e" filled="false" stroked="true" strokeweight=".895pt" strokecolor="#989a9c">
                  <v:path arrowok="t"/>
                  <v:stroke dashstyle="solid"/>
                </v:shape>
                <v:shape style="position:absolute;left:19150;top:355;width:90;height:130" id="docshape964" coordorigin="19151,356" coordsize="90,130" path="m19198,485l19198,361m19151,481l19240,481m19151,356l19240,356e" filled="false" stroked="true" strokeweight=".895pt" strokecolor="#989a9c">
                  <v:path arrowok="t"/>
                  <v:stroke dashstyle="solid"/>
                </v:shape>
                <v:shape style="position:absolute;left:21066;top:301;width:90;height:108" id="docshape965" coordorigin="21067,302" coordsize="90,108" path="m21109,404l21109,302m21067,409l21156,409m21067,302l21156,302e" filled="false" stroked="true" strokeweight=".895pt" strokecolor="#989a9c">
                  <v:path arrowok="t"/>
                  <v:stroke dashstyle="solid"/>
                </v:shape>
                <v:shape style="position:absolute;left:14119;top:40;width:7509;height:2648" id="docshape966" coordorigin="14120,41" coordsize="7509,2648" path="m21628,2689l14120,2689,14120,41e" filled="false" stroked="true" strokeweight=".562pt" strokecolor="#939598">
                  <v:path arrowok="t"/>
                  <v:stroke dashstyle="solid"/>
                </v:shape>
                <v:shape style="position:absolute;left:14678;top:-11;width:1225;height:246" type="#_x0000_t202" id="docshape967" filled="false" stroked="false">
                  <v:textbox inset="0,0,0,0">
                    <w:txbxContent>
                      <w:p>
                        <w:pPr>
                          <w:spacing w:before="11"/>
                          <w:ind w:left="0" w:right="0" w:firstLine="0"/>
                          <w:jc w:val="left"/>
                          <w:rPr>
                            <w:sz w:val="18"/>
                          </w:rPr>
                        </w:pPr>
                        <w:r>
                          <w:rPr>
                            <w:color w:val="636466"/>
                            <w:spacing w:val="-5"/>
                            <w:sz w:val="18"/>
                          </w:rPr>
                          <w:t>Seneca </w:t>
                        </w:r>
                        <w:r>
                          <w:rPr>
                            <w:color w:val="636466"/>
                            <w:spacing w:val="-2"/>
                            <w:sz w:val="18"/>
                          </w:rPr>
                          <w:t>County</w:t>
                        </w:r>
                      </w:p>
                    </w:txbxContent>
                  </v:textbox>
                  <w10:wrap type="none"/>
                </v:shape>
                <v:shape style="position:absolute;left:16372;top:-11;width:1151;height:246" type="#_x0000_t202" id="docshape968" filled="false" stroked="false">
                  <v:textbox inset="0,0,0,0">
                    <w:txbxContent>
                      <w:p>
                        <w:pPr>
                          <w:spacing w:before="11"/>
                          <w:ind w:left="0" w:right="0" w:firstLine="0"/>
                          <w:jc w:val="left"/>
                          <w:rPr>
                            <w:sz w:val="18"/>
                          </w:rPr>
                        </w:pPr>
                        <w:r>
                          <w:rPr>
                            <w:color w:val="636466"/>
                            <w:spacing w:val="-6"/>
                            <w:sz w:val="18"/>
                          </w:rPr>
                          <w:t>NYS</w:t>
                        </w:r>
                        <w:r>
                          <w:rPr>
                            <w:color w:val="636466"/>
                            <w:spacing w:val="-7"/>
                            <w:sz w:val="18"/>
                          </w:rPr>
                          <w:t> </w:t>
                        </w:r>
                        <w:r>
                          <w:rPr>
                            <w:color w:val="636466"/>
                            <w:spacing w:val="-6"/>
                            <w:sz w:val="18"/>
                          </w:rPr>
                          <w:t>Excl NYC</w:t>
                        </w:r>
                      </w:p>
                    </w:txbxContent>
                  </v:textbox>
                  <w10:wrap type="none"/>
                </v:shape>
                <w10:wrap type="none"/>
              </v:group>
            </w:pict>
          </mc:Fallback>
        </mc:AlternateContent>
      </w:r>
      <w:r>
        <w:rPr>
          <w:color w:val="636466"/>
          <w:spacing w:val="-5"/>
          <w:sz w:val="16"/>
        </w:rPr>
        <w:t>90%</w:t>
      </w:r>
    </w:p>
    <w:p>
      <w:pPr>
        <w:spacing w:before="102"/>
        <w:ind w:left="1445" w:right="0" w:firstLine="0"/>
        <w:jc w:val="left"/>
        <w:rPr>
          <w:sz w:val="16"/>
        </w:rPr>
      </w:pPr>
      <w:r>
        <w:rPr>
          <w:sz w:val="16"/>
        </w:rPr>
        <mc:AlternateContent>
          <mc:Choice Requires="wps">
            <w:drawing>
              <wp:anchor distT="0" distB="0" distL="0" distR="0" allowOverlap="1" layoutInCell="1" locked="0" behindDoc="0" simplePos="0" relativeHeight="15859200">
                <wp:simplePos x="0" y="0"/>
                <wp:positionH relativeFrom="page">
                  <wp:posOffset>8467662</wp:posOffset>
                </wp:positionH>
                <wp:positionV relativeFrom="paragraph">
                  <wp:posOffset>56749</wp:posOffset>
                </wp:positionV>
                <wp:extent cx="181610" cy="1287145"/>
                <wp:effectExtent l="0" t="0" r="0" b="0"/>
                <wp:wrapNone/>
                <wp:docPr id="1178" name="Textbox 1178"/>
                <wp:cNvGraphicFramePr>
                  <a:graphicFrameLocks/>
                </wp:cNvGraphicFramePr>
                <a:graphic>
                  <a:graphicData uri="http://schemas.microsoft.com/office/word/2010/wordprocessingShape">
                    <wps:wsp>
                      <wps:cNvPr id="1178" name="Textbox 1178"/>
                      <wps:cNvSpPr txBox="1"/>
                      <wps:spPr>
                        <a:xfrm>
                          <a:off x="0" y="0"/>
                          <a:ext cx="181610" cy="1287145"/>
                        </a:xfrm>
                        <a:prstGeom prst="rect">
                          <a:avLst/>
                        </a:prstGeom>
                      </wps:spPr>
                      <wps:txbx>
                        <w:txbxContent>
                          <w:p>
                            <w:pPr>
                              <w:spacing w:before="31"/>
                              <w:ind w:left="20" w:right="0" w:firstLine="0"/>
                              <w:jc w:val="left"/>
                              <w:rPr>
                                <w:sz w:val="18"/>
                              </w:rPr>
                            </w:pPr>
                            <w:r>
                              <w:rPr>
                                <w:color w:val="105C84"/>
                                <w:sz w:val="18"/>
                              </w:rPr>
                              <w:t>Percent</w:t>
                            </w:r>
                            <w:r>
                              <w:rPr>
                                <w:color w:val="105C84"/>
                                <w:spacing w:val="4"/>
                                <w:sz w:val="18"/>
                              </w:rPr>
                              <w:t> </w:t>
                            </w:r>
                            <w:r>
                              <w:rPr>
                                <w:color w:val="105C84"/>
                                <w:sz w:val="18"/>
                              </w:rPr>
                              <w:t>of</w:t>
                            </w:r>
                            <w:r>
                              <w:rPr>
                                <w:color w:val="105C84"/>
                                <w:spacing w:val="4"/>
                                <w:sz w:val="18"/>
                              </w:rPr>
                              <w:t> </w:t>
                            </w:r>
                            <w:r>
                              <w:rPr>
                                <w:color w:val="105C84"/>
                                <w:sz w:val="18"/>
                              </w:rPr>
                              <w:t>eligible</w:t>
                            </w:r>
                            <w:r>
                              <w:rPr>
                                <w:color w:val="105C84"/>
                                <w:spacing w:val="4"/>
                                <w:sz w:val="18"/>
                              </w:rPr>
                              <w:t> </w:t>
                            </w:r>
                            <w:r>
                              <w:rPr>
                                <w:color w:val="105C84"/>
                                <w:spacing w:val="-2"/>
                                <w:sz w:val="18"/>
                              </w:rPr>
                              <w:t>adults</w:t>
                            </w:r>
                          </w:p>
                        </w:txbxContent>
                      </wps:txbx>
                      <wps:bodyPr wrap="square" lIns="0" tIns="0" rIns="0" bIns="0" rtlCol="0" vert="vert270">
                        <a:noAutofit/>
                      </wps:bodyPr>
                    </wps:wsp>
                  </a:graphicData>
                </a:graphic>
              </wp:anchor>
            </w:drawing>
          </mc:Choice>
          <mc:Fallback>
            <w:pict>
              <v:shape style="position:absolute;margin-left:666.745117pt;margin-top:4.468469pt;width:14.3pt;height:101.35pt;mso-position-horizontal-relative:page;mso-position-vertical-relative:paragraph;z-index:15859200" type="#_x0000_t202" id="docshape969" filled="false" stroked="false">
                <v:textbox inset="0,0,0,0" style="layout-flow:vertical;mso-layout-flow-alt:bottom-to-top">
                  <w:txbxContent>
                    <w:p>
                      <w:pPr>
                        <w:spacing w:before="31"/>
                        <w:ind w:left="20" w:right="0" w:firstLine="0"/>
                        <w:jc w:val="left"/>
                        <w:rPr>
                          <w:sz w:val="18"/>
                        </w:rPr>
                      </w:pPr>
                      <w:r>
                        <w:rPr>
                          <w:color w:val="105C84"/>
                          <w:sz w:val="18"/>
                        </w:rPr>
                        <w:t>Percent</w:t>
                      </w:r>
                      <w:r>
                        <w:rPr>
                          <w:color w:val="105C84"/>
                          <w:spacing w:val="4"/>
                          <w:sz w:val="18"/>
                        </w:rPr>
                        <w:t> </w:t>
                      </w:r>
                      <w:r>
                        <w:rPr>
                          <w:color w:val="105C84"/>
                          <w:sz w:val="18"/>
                        </w:rPr>
                        <w:t>of</w:t>
                      </w:r>
                      <w:r>
                        <w:rPr>
                          <w:color w:val="105C84"/>
                          <w:spacing w:val="4"/>
                          <w:sz w:val="18"/>
                        </w:rPr>
                        <w:t> </w:t>
                      </w:r>
                      <w:r>
                        <w:rPr>
                          <w:color w:val="105C84"/>
                          <w:sz w:val="18"/>
                        </w:rPr>
                        <w:t>eligible</w:t>
                      </w:r>
                      <w:r>
                        <w:rPr>
                          <w:color w:val="105C84"/>
                          <w:spacing w:val="4"/>
                          <w:sz w:val="18"/>
                        </w:rPr>
                        <w:t> </w:t>
                      </w:r>
                      <w:r>
                        <w:rPr>
                          <w:color w:val="105C84"/>
                          <w:spacing w:val="-2"/>
                          <w:sz w:val="18"/>
                        </w:rPr>
                        <w:t>adults</w:t>
                      </w:r>
                    </w:p>
                  </w:txbxContent>
                </v:textbox>
                <w10:wrap type="none"/>
              </v:shape>
            </w:pict>
          </mc:Fallback>
        </mc:AlternateContent>
      </w:r>
      <w:r>
        <w:rPr>
          <w:color w:val="636466"/>
          <w:spacing w:val="-5"/>
          <w:sz w:val="16"/>
        </w:rPr>
        <w:t>80%</w:t>
      </w:r>
    </w:p>
    <w:p>
      <w:pPr>
        <w:spacing w:before="103"/>
        <w:ind w:left="1445" w:right="0" w:firstLine="0"/>
        <w:jc w:val="left"/>
        <w:rPr>
          <w:sz w:val="16"/>
        </w:rPr>
      </w:pPr>
      <w:r>
        <w:rPr>
          <w:color w:val="636466"/>
          <w:spacing w:val="-5"/>
          <w:sz w:val="16"/>
        </w:rPr>
        <w:t>70%</w:t>
      </w:r>
    </w:p>
    <w:p>
      <w:pPr>
        <w:spacing w:before="102"/>
        <w:ind w:left="1445" w:right="0" w:firstLine="0"/>
        <w:jc w:val="left"/>
        <w:rPr>
          <w:sz w:val="16"/>
        </w:rPr>
      </w:pPr>
      <w:r>
        <w:rPr>
          <w:color w:val="636466"/>
          <w:spacing w:val="-5"/>
          <w:sz w:val="16"/>
        </w:rPr>
        <w:t>60%</w:t>
      </w:r>
    </w:p>
    <w:p>
      <w:pPr>
        <w:spacing w:before="102"/>
        <w:ind w:left="1445" w:right="0" w:firstLine="0"/>
        <w:jc w:val="left"/>
        <w:rPr>
          <w:sz w:val="16"/>
        </w:rPr>
      </w:pPr>
      <w:r>
        <w:rPr>
          <w:color w:val="636466"/>
          <w:spacing w:val="-5"/>
          <w:sz w:val="16"/>
        </w:rPr>
        <w:t>50%</w:t>
      </w:r>
    </w:p>
    <w:p>
      <w:pPr>
        <w:spacing w:before="103"/>
        <w:ind w:left="1445" w:right="0" w:firstLine="0"/>
        <w:jc w:val="left"/>
        <w:rPr>
          <w:sz w:val="16"/>
        </w:rPr>
      </w:pPr>
      <w:r>
        <w:rPr>
          <w:color w:val="636466"/>
          <w:spacing w:val="-5"/>
          <w:sz w:val="16"/>
        </w:rPr>
        <w:t>40%</w:t>
      </w:r>
    </w:p>
    <w:p>
      <w:pPr>
        <w:spacing w:before="102"/>
        <w:ind w:left="1445" w:right="0" w:firstLine="0"/>
        <w:jc w:val="left"/>
        <w:rPr>
          <w:sz w:val="16"/>
        </w:rPr>
      </w:pPr>
      <w:r>
        <w:rPr>
          <w:color w:val="636466"/>
          <w:spacing w:val="-5"/>
          <w:sz w:val="16"/>
        </w:rPr>
        <w:t>30%</w:t>
      </w:r>
    </w:p>
    <w:p>
      <w:pPr>
        <w:spacing w:before="103"/>
        <w:ind w:left="1445" w:right="0" w:firstLine="0"/>
        <w:jc w:val="left"/>
        <w:rPr>
          <w:sz w:val="16"/>
        </w:rPr>
      </w:pPr>
      <w:r>
        <w:rPr>
          <w:color w:val="636466"/>
          <w:spacing w:val="-5"/>
          <w:sz w:val="16"/>
        </w:rPr>
        <w:t>20%</w:t>
      </w:r>
    </w:p>
    <w:p>
      <w:pPr>
        <w:spacing w:before="102"/>
        <w:ind w:left="1445" w:right="0" w:firstLine="0"/>
        <w:jc w:val="left"/>
        <w:rPr>
          <w:sz w:val="16"/>
        </w:rPr>
      </w:pPr>
      <w:r>
        <w:rPr>
          <w:color w:val="636466"/>
          <w:spacing w:val="-5"/>
          <w:sz w:val="16"/>
        </w:rPr>
        <w:t>10%</w:t>
      </w:r>
    </w:p>
    <w:p>
      <w:pPr>
        <w:spacing w:line="167" w:lineRule="exact" w:before="103"/>
        <w:ind w:left="1536" w:right="0" w:firstLine="0"/>
        <w:jc w:val="left"/>
        <w:rPr>
          <w:sz w:val="16"/>
        </w:rPr>
      </w:pPr>
      <w:r>
        <w:rPr>
          <w:color w:val="636466"/>
          <w:spacing w:val="-5"/>
          <w:sz w:val="16"/>
        </w:rPr>
        <w:t>0%</w:t>
      </w:r>
    </w:p>
    <w:p>
      <w:pPr>
        <w:spacing w:after="0" w:line="167" w:lineRule="exact"/>
        <w:jc w:val="left"/>
        <w:rPr>
          <w:sz w:val="16"/>
        </w:rPr>
        <w:sectPr>
          <w:type w:val="continuous"/>
          <w:pgSz w:w="24480" w:h="15840" w:orient="landscape"/>
          <w:pgMar w:header="0" w:footer="0" w:top="0" w:bottom="280" w:left="0" w:right="720"/>
          <w:cols w:num="2" w:equalWidth="0">
            <w:col w:w="11218" w:space="1031"/>
            <w:col w:w="11511"/>
          </w:cols>
        </w:sectPr>
      </w:pPr>
    </w:p>
    <w:p>
      <w:pPr>
        <w:pStyle w:val="BodyText"/>
        <w:spacing w:before="166"/>
      </w:pPr>
    </w:p>
    <w:p>
      <w:pPr>
        <w:pStyle w:val="BodyText"/>
        <w:ind w:left="1542"/>
      </w:pPr>
      <w:r>
        <w:rPr>
          <w:color w:val="636466"/>
          <w:spacing w:val="-10"/>
        </w:rPr>
        <w:t>4</w:t>
      </w:r>
    </w:p>
    <w:p>
      <w:pPr>
        <w:pStyle w:val="BodyText"/>
        <w:spacing w:before="177"/>
      </w:pPr>
    </w:p>
    <w:p>
      <w:pPr>
        <w:pStyle w:val="BodyText"/>
        <w:ind w:left="1540"/>
      </w:pPr>
      <w:r>
        <w:rPr>
          <w:color w:val="636466"/>
          <w:spacing w:val="-10"/>
        </w:rPr>
        <w:t>2</w:t>
      </w:r>
    </w:p>
    <w:p>
      <w:pPr>
        <w:pStyle w:val="BodyText"/>
      </w:pPr>
    </w:p>
    <w:p>
      <w:pPr>
        <w:pStyle w:val="BodyText"/>
      </w:pPr>
    </w:p>
    <w:p>
      <w:pPr>
        <w:pStyle w:val="BodyText"/>
        <w:spacing w:before="12"/>
      </w:pPr>
    </w:p>
    <w:p>
      <w:pPr>
        <w:tabs>
          <w:tab w:pos="4036" w:val="left" w:leader="none"/>
          <w:tab w:pos="5491" w:val="left" w:leader="none"/>
          <w:tab w:pos="7051" w:val="left" w:leader="none"/>
        </w:tabs>
        <w:spacing w:before="0"/>
        <w:ind w:left="2614" w:right="0" w:firstLine="0"/>
        <w:jc w:val="left"/>
        <w:rPr>
          <w:sz w:val="18"/>
        </w:rPr>
      </w:pPr>
      <w:r>
        <w:rPr>
          <w:color w:val="636466"/>
          <w:spacing w:val="-4"/>
          <w:sz w:val="18"/>
        </w:rPr>
        <w:t>2015</w:t>
      </w:r>
      <w:r>
        <w:rPr>
          <w:color w:val="636466"/>
          <w:sz w:val="18"/>
        </w:rPr>
        <w:tab/>
      </w:r>
      <w:r>
        <w:rPr>
          <w:color w:val="636466"/>
          <w:spacing w:val="-4"/>
          <w:sz w:val="18"/>
        </w:rPr>
        <w:t>2016</w:t>
      </w:r>
      <w:r>
        <w:rPr>
          <w:color w:val="636466"/>
          <w:sz w:val="18"/>
        </w:rPr>
        <w:tab/>
      </w:r>
      <w:r>
        <w:rPr>
          <w:color w:val="636466"/>
          <w:spacing w:val="-4"/>
          <w:sz w:val="18"/>
        </w:rPr>
        <w:t>2017</w:t>
      </w:r>
      <w:r>
        <w:rPr>
          <w:color w:val="636466"/>
          <w:sz w:val="18"/>
        </w:rPr>
        <w:tab/>
      </w:r>
      <w:r>
        <w:rPr>
          <w:color w:val="636466"/>
          <w:spacing w:val="-4"/>
          <w:sz w:val="18"/>
        </w:rPr>
        <w:t>2018</w:t>
      </w:r>
    </w:p>
    <w:p>
      <w:pPr>
        <w:spacing w:before="178"/>
        <w:ind w:left="2032" w:right="0" w:firstLine="0"/>
        <w:jc w:val="left"/>
        <w:rPr>
          <w:sz w:val="16"/>
        </w:rPr>
      </w:pPr>
      <w:r>
        <w:rPr>
          <w:color w:val="105B83"/>
          <w:sz w:val="16"/>
        </w:rPr>
        <w:t>Source:</w:t>
      </w:r>
      <w:r>
        <w:rPr>
          <w:color w:val="105B83"/>
          <w:spacing w:val="-10"/>
          <w:sz w:val="16"/>
        </w:rPr>
        <w:t> </w:t>
      </w:r>
      <w:r>
        <w:rPr>
          <w:color w:val="105B83"/>
          <w:sz w:val="16"/>
        </w:rPr>
        <w:t>June</w:t>
      </w:r>
      <w:r>
        <w:rPr>
          <w:color w:val="105B83"/>
          <w:spacing w:val="-10"/>
          <w:sz w:val="16"/>
        </w:rPr>
        <w:t> </w:t>
      </w:r>
      <w:r>
        <w:rPr>
          <w:color w:val="105B83"/>
          <w:sz w:val="16"/>
        </w:rPr>
        <w:t>2018</w:t>
      </w:r>
      <w:r>
        <w:rPr>
          <w:color w:val="105B83"/>
          <w:spacing w:val="-9"/>
          <w:sz w:val="16"/>
        </w:rPr>
        <w:t> </w:t>
      </w:r>
      <w:r>
        <w:rPr>
          <w:color w:val="105B83"/>
          <w:sz w:val="16"/>
        </w:rPr>
        <w:t>Common</w:t>
      </w:r>
      <w:r>
        <w:rPr>
          <w:color w:val="105B83"/>
          <w:spacing w:val="-10"/>
          <w:sz w:val="16"/>
        </w:rPr>
        <w:t> </w:t>
      </w:r>
      <w:r>
        <w:rPr>
          <w:color w:val="105B83"/>
          <w:sz w:val="16"/>
        </w:rPr>
        <w:t>Ground</w:t>
      </w:r>
      <w:r>
        <w:rPr>
          <w:color w:val="105B83"/>
          <w:spacing w:val="-9"/>
          <w:sz w:val="16"/>
        </w:rPr>
        <w:t> </w:t>
      </w:r>
      <w:r>
        <w:rPr>
          <w:color w:val="105B83"/>
          <w:sz w:val="16"/>
        </w:rPr>
        <w:t>Health</w:t>
      </w:r>
      <w:r>
        <w:rPr>
          <w:color w:val="105B83"/>
          <w:spacing w:val="-10"/>
          <w:sz w:val="16"/>
        </w:rPr>
        <w:t> </w:t>
      </w:r>
      <w:r>
        <w:rPr>
          <w:color w:val="105B83"/>
          <w:sz w:val="16"/>
        </w:rPr>
        <w:t>HBP</w:t>
      </w:r>
      <w:r>
        <w:rPr>
          <w:color w:val="105B83"/>
          <w:spacing w:val="-9"/>
          <w:sz w:val="16"/>
        </w:rPr>
        <w:t> </w:t>
      </w:r>
      <w:r>
        <w:rPr>
          <w:color w:val="105B83"/>
          <w:spacing w:val="-2"/>
          <w:sz w:val="16"/>
        </w:rPr>
        <w:t>Registry</w:t>
      </w:r>
    </w:p>
    <w:p>
      <w:pPr>
        <w:tabs>
          <w:tab w:pos="2241" w:val="left" w:leader="none"/>
          <w:tab w:pos="4329" w:val="left" w:leader="none"/>
          <w:tab w:pos="6194" w:val="left" w:leader="none"/>
        </w:tabs>
        <w:spacing w:before="11"/>
        <w:ind w:left="422" w:right="0" w:firstLine="0"/>
        <w:jc w:val="center"/>
        <w:rPr>
          <w:sz w:val="18"/>
        </w:rPr>
      </w:pPr>
      <w:r>
        <w:rPr/>
        <w:br w:type="column"/>
      </w:r>
      <w:r>
        <w:rPr>
          <w:color w:val="636466"/>
          <w:spacing w:val="-2"/>
          <w:sz w:val="18"/>
        </w:rPr>
        <w:t>Prostate</w:t>
      </w:r>
      <w:r>
        <w:rPr>
          <w:color w:val="636466"/>
          <w:sz w:val="18"/>
        </w:rPr>
        <w:tab/>
      </w:r>
      <w:r>
        <w:rPr>
          <w:color w:val="636466"/>
          <w:spacing w:val="-2"/>
          <w:sz w:val="18"/>
        </w:rPr>
        <w:t>Colorectal</w:t>
      </w:r>
      <w:r>
        <w:rPr>
          <w:color w:val="636466"/>
          <w:sz w:val="18"/>
        </w:rPr>
        <w:tab/>
      </w:r>
      <w:r>
        <w:rPr>
          <w:color w:val="636466"/>
          <w:spacing w:val="-2"/>
          <w:sz w:val="18"/>
        </w:rPr>
        <w:t>Breast</w:t>
      </w:r>
      <w:r>
        <w:rPr>
          <w:color w:val="636466"/>
          <w:sz w:val="18"/>
        </w:rPr>
        <w:tab/>
      </w:r>
      <w:r>
        <w:rPr>
          <w:color w:val="636466"/>
          <w:spacing w:val="-2"/>
          <w:sz w:val="18"/>
        </w:rPr>
        <w:t>Cervical</w:t>
      </w:r>
    </w:p>
    <w:p>
      <w:pPr>
        <w:spacing w:line="249" w:lineRule="auto" w:before="124"/>
        <w:ind w:left="2321" w:right="2002" w:firstLine="0"/>
        <w:jc w:val="left"/>
        <w:rPr>
          <w:sz w:val="18"/>
        </w:rPr>
      </w:pPr>
      <w:r>
        <w:rPr>
          <w:color w:val="105C84"/>
          <w:sz w:val="18"/>
        </w:rPr>
        <w:t>Data</w:t>
      </w:r>
      <w:r>
        <w:rPr>
          <w:color w:val="105C84"/>
          <w:spacing w:val="-11"/>
          <w:sz w:val="18"/>
        </w:rPr>
        <w:t> </w:t>
      </w:r>
      <w:r>
        <w:rPr>
          <w:color w:val="105C84"/>
          <w:sz w:val="18"/>
        </w:rPr>
        <w:t>Source:</w:t>
      </w:r>
      <w:r>
        <w:rPr>
          <w:color w:val="105C84"/>
          <w:spacing w:val="-11"/>
          <w:sz w:val="18"/>
        </w:rPr>
        <w:t> </w:t>
      </w:r>
      <w:r>
        <w:rPr>
          <w:color w:val="105C84"/>
          <w:sz w:val="18"/>
        </w:rPr>
        <w:t>Division</w:t>
      </w:r>
      <w:r>
        <w:rPr>
          <w:color w:val="105C84"/>
          <w:spacing w:val="-11"/>
          <w:sz w:val="18"/>
        </w:rPr>
        <w:t> </w:t>
      </w:r>
      <w:r>
        <w:rPr>
          <w:color w:val="105C84"/>
          <w:sz w:val="18"/>
        </w:rPr>
        <w:t>of</w:t>
      </w:r>
      <w:r>
        <w:rPr>
          <w:color w:val="105C84"/>
          <w:spacing w:val="-11"/>
          <w:sz w:val="18"/>
        </w:rPr>
        <w:t> </w:t>
      </w:r>
      <w:r>
        <w:rPr>
          <w:color w:val="105C84"/>
          <w:sz w:val="18"/>
        </w:rPr>
        <w:t>Chronic</w:t>
      </w:r>
      <w:r>
        <w:rPr>
          <w:color w:val="105C84"/>
          <w:spacing w:val="-11"/>
          <w:sz w:val="18"/>
        </w:rPr>
        <w:t> </w:t>
      </w:r>
      <w:r>
        <w:rPr>
          <w:color w:val="105C84"/>
          <w:sz w:val="18"/>
        </w:rPr>
        <w:t>Disease</w:t>
      </w:r>
      <w:r>
        <w:rPr>
          <w:color w:val="105C84"/>
          <w:spacing w:val="-11"/>
          <w:sz w:val="18"/>
        </w:rPr>
        <w:t> </w:t>
      </w:r>
      <w:r>
        <w:rPr>
          <w:color w:val="105C84"/>
          <w:sz w:val="18"/>
        </w:rPr>
        <w:t>and</w:t>
      </w:r>
      <w:r>
        <w:rPr>
          <w:color w:val="105C84"/>
          <w:spacing w:val="-11"/>
          <w:sz w:val="18"/>
        </w:rPr>
        <w:t> </w:t>
      </w:r>
      <w:r>
        <w:rPr>
          <w:color w:val="105C84"/>
          <w:sz w:val="18"/>
        </w:rPr>
        <w:t>Injury</w:t>
      </w:r>
      <w:r>
        <w:rPr>
          <w:color w:val="105C84"/>
          <w:spacing w:val="-11"/>
          <w:sz w:val="18"/>
        </w:rPr>
        <w:t> </w:t>
      </w:r>
      <w:r>
        <w:rPr>
          <w:color w:val="105C84"/>
          <w:sz w:val="18"/>
        </w:rPr>
        <w:t>Prevention,</w:t>
      </w:r>
      <w:r>
        <w:rPr>
          <w:color w:val="105C84"/>
          <w:spacing w:val="-11"/>
          <w:sz w:val="18"/>
        </w:rPr>
        <w:t> </w:t>
      </w:r>
      <w:r>
        <w:rPr>
          <w:color w:val="105C84"/>
          <w:sz w:val="18"/>
        </w:rPr>
        <w:t>Bureau</w:t>
      </w:r>
      <w:r>
        <w:rPr>
          <w:color w:val="105C84"/>
          <w:spacing w:val="-11"/>
          <w:sz w:val="18"/>
        </w:rPr>
        <w:t> </w:t>
      </w:r>
      <w:r>
        <w:rPr>
          <w:color w:val="105C84"/>
          <w:sz w:val="18"/>
        </w:rPr>
        <w:t>of</w:t>
      </w:r>
      <w:r>
        <w:rPr>
          <w:color w:val="105C84"/>
          <w:spacing w:val="-11"/>
          <w:sz w:val="18"/>
        </w:rPr>
        <w:t> </w:t>
      </w:r>
      <w:r>
        <w:rPr>
          <w:color w:val="105C84"/>
          <w:sz w:val="18"/>
        </w:rPr>
        <w:t>Chronic</w:t>
      </w:r>
      <w:r>
        <w:rPr>
          <w:color w:val="105C84"/>
          <w:spacing w:val="-11"/>
          <w:sz w:val="18"/>
        </w:rPr>
        <w:t> </w:t>
      </w:r>
      <w:r>
        <w:rPr>
          <w:color w:val="105C84"/>
          <w:sz w:val="18"/>
        </w:rPr>
        <w:t>Evaluation and Research, New York State Department of Health, Behavioral Risk Factor Surveillance System, Year 2016. Analysis Completed by Common Ground Health</w:t>
      </w:r>
    </w:p>
    <w:p>
      <w:pPr>
        <w:pStyle w:val="BodyText"/>
        <w:spacing w:before="168"/>
        <w:rPr>
          <w:sz w:val="18"/>
        </w:rPr>
      </w:pPr>
    </w:p>
    <w:p>
      <w:pPr>
        <w:pStyle w:val="BodyText"/>
        <w:spacing w:line="247" w:lineRule="auto" w:before="1"/>
        <w:ind w:left="1540" w:right="589"/>
      </w:pPr>
      <w:r>
        <w:rPr>
          <w:color w:val="105C84"/>
        </w:rPr>
        <w:t>Substance use has been an area of concern for Seneca County residents for the past several community health improvement cycles. On a positive note, however, Seneca County was one of two counties in the region that saw a decrease in overdose deaths from 2016 to 2017. The county had</w:t>
      </w:r>
    </w:p>
    <w:p>
      <w:pPr>
        <w:pStyle w:val="BodyText"/>
        <w:spacing w:line="247" w:lineRule="auto"/>
        <w:ind w:left="1540" w:right="589"/>
      </w:pPr>
      <w:r>
        <w:rPr>
          <w:color w:val="105C84"/>
        </w:rPr>
        <w:t>a 50% reduction in deaths (down 3 deaths to 2) while many other local counties saw an increase. Documented Naloxone administrations have increased in the county, which may help contribute to</w:t>
      </w:r>
      <w:r>
        <w:rPr>
          <w:color w:val="105C84"/>
          <w:spacing w:val="40"/>
        </w:rPr>
        <w:t> </w:t>
      </w:r>
      <w:r>
        <w:rPr>
          <w:color w:val="105C84"/>
        </w:rPr>
        <w:t>the lower number of deaths. In 2016, 33 reported administrations occurred, while there were 48 in </w:t>
      </w:r>
      <w:r>
        <w:rPr>
          <w:color w:val="105C84"/>
          <w:spacing w:val="-2"/>
        </w:rPr>
        <w:t>2017.</w:t>
      </w:r>
    </w:p>
    <w:p>
      <w:pPr>
        <w:pStyle w:val="BodyText"/>
        <w:spacing w:after="0" w:line="247" w:lineRule="auto"/>
        <w:sectPr>
          <w:type w:val="continuous"/>
          <w:pgSz w:w="24480" w:h="15840" w:orient="landscape"/>
          <w:pgMar w:header="0" w:footer="0" w:top="0" w:bottom="280" w:left="0" w:right="720"/>
          <w:cols w:num="2" w:equalWidth="0">
            <w:col w:w="7467" w:space="4327"/>
            <w:col w:w="11966"/>
          </w:cols>
        </w:sectPr>
      </w:pPr>
    </w:p>
    <w:p>
      <w:pPr>
        <w:pStyle w:val="BodyText"/>
        <w:spacing w:line="247" w:lineRule="auto" w:before="146"/>
        <w:ind w:left="1085"/>
      </w:pPr>
      <w:r>
        <w:rPr>
          <w:color w:val="105C84"/>
        </w:rPr>
        <w:t>Tobacco use may increase risk of cardiovascular disease. An estimated 15% of adult residents report smoking cigarettes every day or some days. Currently, the Behavioral Risk Factor Surveillance System estimates 1% of residents use e-cigarettes in the county; however, data are sparse. It is likely that uses of the devices are actually much higher.</w:t>
      </w:r>
    </w:p>
    <w:p>
      <w:pPr>
        <w:pStyle w:val="BodyText"/>
        <w:spacing w:line="247" w:lineRule="auto" w:before="177"/>
        <w:ind w:left="1085" w:right="62"/>
      </w:pPr>
      <w:r>
        <w:rPr>
          <w:color w:val="105C84"/>
        </w:rPr>
        <w:t>Proper diet, nutrition and physical activity are necessary components for maintaining a healthy weight and lifestyle. In terms of access to healthy foods, many respondents to the </w:t>
      </w:r>
      <w:r>
        <w:rPr>
          <w:i/>
          <w:color w:val="105C84"/>
        </w:rPr>
        <w:t>My Health Story 2018</w:t>
      </w:r>
      <w:r>
        <w:rPr>
          <w:i/>
          <w:color w:val="105C84"/>
          <w:spacing w:val="40"/>
        </w:rPr>
        <w:t> </w:t>
      </w:r>
      <w:r>
        <w:rPr>
          <w:color w:val="105C84"/>
        </w:rPr>
        <w:t>survey indicated that they purchase their fruits and vegetables from a supermarket or grocery store (74%). However, Seneca County residents are significantly more likely to access these same foods from a local farm stand (43%) or from their own garden (27%) compared to the region. Data from the Behavioral Risk Factor Surveillance System reveal 51% and 76% of county adults reported eating fruits and</w:t>
      </w:r>
      <w:r>
        <w:rPr>
          <w:color w:val="105C84"/>
          <w:spacing w:val="27"/>
        </w:rPr>
        <w:t> </w:t>
      </w:r>
      <w:r>
        <w:rPr>
          <w:color w:val="105C84"/>
        </w:rPr>
        <w:t>vegetables,</w:t>
      </w:r>
      <w:r>
        <w:rPr>
          <w:color w:val="105C84"/>
          <w:spacing w:val="27"/>
        </w:rPr>
        <w:t> </w:t>
      </w:r>
      <w:r>
        <w:rPr>
          <w:color w:val="105C84"/>
        </w:rPr>
        <w:t>respectively,</w:t>
      </w:r>
      <w:r>
        <w:rPr>
          <w:color w:val="105C84"/>
          <w:spacing w:val="27"/>
        </w:rPr>
        <w:t> </w:t>
      </w:r>
      <w:r>
        <w:rPr>
          <w:color w:val="105C84"/>
        </w:rPr>
        <w:t>on</w:t>
      </w:r>
      <w:r>
        <w:rPr>
          <w:color w:val="105C84"/>
          <w:spacing w:val="27"/>
        </w:rPr>
        <w:t> </w:t>
      </w:r>
      <w:r>
        <w:rPr>
          <w:color w:val="105C84"/>
        </w:rPr>
        <w:t>a</w:t>
      </w:r>
      <w:r>
        <w:rPr>
          <w:color w:val="105C84"/>
          <w:spacing w:val="27"/>
        </w:rPr>
        <w:t> </w:t>
      </w:r>
      <w:r>
        <w:rPr>
          <w:color w:val="105C84"/>
        </w:rPr>
        <w:t>regular</w:t>
      </w:r>
      <w:r>
        <w:rPr>
          <w:color w:val="105C84"/>
          <w:spacing w:val="27"/>
        </w:rPr>
        <w:t> </w:t>
      </w:r>
      <w:r>
        <w:rPr>
          <w:color w:val="105C84"/>
        </w:rPr>
        <w:t>basis.</w:t>
      </w:r>
      <w:r>
        <w:rPr>
          <w:color w:val="105C84"/>
          <w:spacing w:val="27"/>
        </w:rPr>
        <w:t> </w:t>
      </w:r>
      <w:r>
        <w:rPr>
          <w:color w:val="105C84"/>
        </w:rPr>
        <w:t>Of</w:t>
      </w:r>
      <w:r>
        <w:rPr>
          <w:color w:val="105C84"/>
          <w:spacing w:val="27"/>
        </w:rPr>
        <w:t> </w:t>
      </w:r>
      <w:r>
        <w:rPr>
          <w:color w:val="105C84"/>
        </w:rPr>
        <w:t>note,</w:t>
      </w:r>
      <w:r>
        <w:rPr>
          <w:color w:val="105C84"/>
          <w:spacing w:val="27"/>
        </w:rPr>
        <w:t> </w:t>
      </w:r>
      <w:r>
        <w:rPr>
          <w:color w:val="105C84"/>
        </w:rPr>
        <w:t>one</w:t>
      </w:r>
      <w:r>
        <w:rPr>
          <w:color w:val="105C84"/>
          <w:spacing w:val="27"/>
        </w:rPr>
        <w:t> </w:t>
      </w:r>
      <w:r>
        <w:rPr>
          <w:color w:val="105C84"/>
        </w:rPr>
        <w:t>fourth</w:t>
      </w:r>
      <w:r>
        <w:rPr>
          <w:color w:val="105C84"/>
          <w:spacing w:val="27"/>
        </w:rPr>
        <w:t> </w:t>
      </w:r>
      <w:r>
        <w:rPr>
          <w:color w:val="105C84"/>
        </w:rPr>
        <w:t>of</w:t>
      </w:r>
      <w:r>
        <w:rPr>
          <w:color w:val="105C84"/>
          <w:spacing w:val="27"/>
        </w:rPr>
        <w:t> </w:t>
      </w:r>
      <w:r>
        <w:rPr>
          <w:color w:val="105C84"/>
        </w:rPr>
        <w:t>the</w:t>
      </w:r>
      <w:r>
        <w:rPr>
          <w:color w:val="105C84"/>
          <w:spacing w:val="27"/>
        </w:rPr>
        <w:t> </w:t>
      </w:r>
      <w:r>
        <w:rPr>
          <w:color w:val="105C84"/>
        </w:rPr>
        <w:t>population</w:t>
      </w:r>
      <w:r>
        <w:rPr>
          <w:color w:val="105C84"/>
          <w:spacing w:val="27"/>
        </w:rPr>
        <w:t> </w:t>
      </w:r>
      <w:r>
        <w:rPr>
          <w:color w:val="105C84"/>
        </w:rPr>
        <w:t>also</w:t>
      </w:r>
      <w:r>
        <w:rPr>
          <w:color w:val="105C84"/>
          <w:spacing w:val="27"/>
        </w:rPr>
        <w:t> </w:t>
      </w:r>
      <w:r>
        <w:rPr>
          <w:color w:val="105C84"/>
        </w:rPr>
        <w:t>report daily sugary drink consumption.</w:t>
      </w:r>
    </w:p>
    <w:p>
      <w:pPr>
        <w:pStyle w:val="BodyText"/>
        <w:spacing w:line="247" w:lineRule="auto" w:before="176"/>
        <w:ind w:left="1085" w:right="228"/>
      </w:pPr>
      <w:r>
        <w:rPr>
          <w:color w:val="105C84"/>
        </w:rPr>
        <w:t>In terms of barriers to eating healthy, </w:t>
      </w:r>
      <w:r>
        <w:rPr>
          <w:i/>
          <w:color w:val="105C84"/>
        </w:rPr>
        <w:t>My Health Story 2018 </w:t>
      </w:r>
      <w:r>
        <w:rPr>
          <w:color w:val="105C84"/>
        </w:rPr>
        <w:t>respondents indicated that the cost of</w:t>
      </w:r>
      <w:r>
        <w:rPr>
          <w:color w:val="105C84"/>
          <w:spacing w:val="40"/>
        </w:rPr>
        <w:t> </w:t>
      </w:r>
      <w:r>
        <w:rPr>
          <w:color w:val="105C84"/>
        </w:rPr>
        <w:t>food is the biggest barrier for them (46%). For lower income residents, that rate jumps to 53% of the respondents. Cost is also an issue to those reporting barriers to being physically active; 21% of all residents report they cannot afford a gym membership (31% for lower income populations).</w:t>
      </w:r>
    </w:p>
    <w:p>
      <w:pPr>
        <w:pStyle w:val="BodyText"/>
        <w:spacing w:line="247" w:lineRule="auto" w:before="176"/>
        <w:ind w:left="1085" w:right="667"/>
      </w:pPr>
      <w:r>
        <w:rPr/>
        <w:br w:type="column"/>
      </w:r>
      <w:r>
        <w:rPr>
          <w:color w:val="105C84"/>
        </w:rPr>
        <w:t>According to survey data from </w:t>
      </w:r>
      <w:r>
        <w:rPr>
          <w:i/>
          <w:color w:val="105C84"/>
        </w:rPr>
        <w:t>My Health Story 2018</w:t>
      </w:r>
      <w:r>
        <w:rPr>
          <w:color w:val="105C84"/>
        </w:rPr>
        <w:t>, 44% of respondents indicated they have dealt with anxiety or fear. Many others reported they personally dealt with depression or sadness (40%) and trouble sleeping (37%). For those who have dealt with mental or emotional health issues, 75%</w:t>
      </w:r>
      <w:r>
        <w:rPr>
          <w:color w:val="105C84"/>
          <w:spacing w:val="80"/>
        </w:rPr>
        <w:t> </w:t>
      </w:r>
      <w:r>
        <w:rPr>
          <w:color w:val="105C84"/>
        </w:rPr>
        <w:t>of survey respondents got the help they needed. The most commonly reported support was from</w:t>
      </w:r>
      <w:r>
        <w:rPr>
          <w:color w:val="105C84"/>
          <w:spacing w:val="80"/>
        </w:rPr>
        <w:t> </w:t>
      </w:r>
      <w:r>
        <w:rPr>
          <w:color w:val="105C84"/>
        </w:rPr>
        <w:t>doctors, counselors and other mental health professionals (63%) followed by support from family (62%) and friends (43%).</w:t>
      </w:r>
    </w:p>
    <w:p>
      <w:pPr>
        <w:pStyle w:val="BodyText"/>
        <w:spacing w:before="15"/>
      </w:pPr>
    </w:p>
    <w:p>
      <w:pPr>
        <w:pStyle w:val="Heading6"/>
        <w:spacing w:before="1"/>
        <w:ind w:left="1085"/>
      </w:pPr>
      <w:r>
        <w:rPr>
          <w:color w:val="105C84"/>
          <w:spacing w:val="-6"/>
        </w:rPr>
        <w:t>Policy</w:t>
      </w:r>
      <w:r>
        <w:rPr>
          <w:color w:val="105C84"/>
          <w:spacing w:val="-8"/>
        </w:rPr>
        <w:t> </w:t>
      </w:r>
      <w:r>
        <w:rPr>
          <w:color w:val="105C84"/>
          <w:spacing w:val="-6"/>
        </w:rPr>
        <w:t>and</w:t>
      </w:r>
      <w:r>
        <w:rPr>
          <w:color w:val="105C84"/>
          <w:spacing w:val="-8"/>
        </w:rPr>
        <w:t> </w:t>
      </w:r>
      <w:r>
        <w:rPr>
          <w:color w:val="105C84"/>
          <w:spacing w:val="-6"/>
        </w:rPr>
        <w:t>Environmental</w:t>
      </w:r>
      <w:r>
        <w:rPr>
          <w:color w:val="105C84"/>
          <w:spacing w:val="-8"/>
        </w:rPr>
        <w:t> </w:t>
      </w:r>
      <w:r>
        <w:rPr>
          <w:color w:val="105C84"/>
          <w:spacing w:val="-6"/>
        </w:rPr>
        <w:t>Factors</w:t>
      </w:r>
    </w:p>
    <w:p>
      <w:pPr>
        <w:pStyle w:val="BodyText"/>
        <w:spacing w:line="247" w:lineRule="auto" w:before="268"/>
        <w:ind w:left="1085" w:right="308"/>
      </w:pPr>
      <w:r>
        <w:rPr>
          <w:color w:val="105C84"/>
        </w:rPr>
        <w:t>Seneca County has worked to create a healthy environment for residents and tourists all year round. The Department of Public Health has partnered with Tobacco Action Coalition of the Finger Lakes (TACFL), the Housing Coalition and the Landlord Association to create smoke free housing initiatives throughout</w:t>
      </w:r>
      <w:r>
        <w:rPr>
          <w:color w:val="105C84"/>
          <w:spacing w:val="31"/>
        </w:rPr>
        <w:t> </w:t>
      </w:r>
      <w:r>
        <w:rPr>
          <w:color w:val="105C84"/>
        </w:rPr>
        <w:t>the</w:t>
      </w:r>
      <w:r>
        <w:rPr>
          <w:color w:val="105C84"/>
          <w:spacing w:val="31"/>
        </w:rPr>
        <w:t> </w:t>
      </w:r>
      <w:r>
        <w:rPr>
          <w:color w:val="105C84"/>
        </w:rPr>
        <w:t>county.</w:t>
      </w:r>
      <w:r>
        <w:rPr>
          <w:color w:val="105C84"/>
          <w:spacing w:val="31"/>
        </w:rPr>
        <w:t> </w:t>
      </w:r>
      <w:r>
        <w:rPr>
          <w:color w:val="105C84"/>
        </w:rPr>
        <w:t>Reducing</w:t>
      </w:r>
      <w:r>
        <w:rPr>
          <w:color w:val="105C84"/>
          <w:spacing w:val="31"/>
        </w:rPr>
        <w:t> </w:t>
      </w:r>
      <w:r>
        <w:rPr>
          <w:color w:val="105C84"/>
        </w:rPr>
        <w:t>and</w:t>
      </w:r>
      <w:r>
        <w:rPr>
          <w:color w:val="105C84"/>
          <w:spacing w:val="31"/>
        </w:rPr>
        <w:t> </w:t>
      </w:r>
      <w:r>
        <w:rPr>
          <w:color w:val="105C84"/>
        </w:rPr>
        <w:t>preventing</w:t>
      </w:r>
      <w:r>
        <w:rPr>
          <w:color w:val="105C84"/>
          <w:spacing w:val="31"/>
        </w:rPr>
        <w:t> </w:t>
      </w:r>
      <w:r>
        <w:rPr>
          <w:color w:val="105C84"/>
        </w:rPr>
        <w:t>tobacco</w:t>
      </w:r>
      <w:r>
        <w:rPr>
          <w:color w:val="105C84"/>
          <w:spacing w:val="31"/>
        </w:rPr>
        <w:t> </w:t>
      </w:r>
      <w:r>
        <w:rPr>
          <w:color w:val="105C84"/>
        </w:rPr>
        <w:t>use</w:t>
      </w:r>
      <w:r>
        <w:rPr>
          <w:color w:val="105C84"/>
          <w:spacing w:val="31"/>
        </w:rPr>
        <w:t> </w:t>
      </w:r>
      <w:r>
        <w:rPr>
          <w:color w:val="105C84"/>
        </w:rPr>
        <w:t>in</w:t>
      </w:r>
      <w:r>
        <w:rPr>
          <w:color w:val="105C84"/>
          <w:spacing w:val="31"/>
        </w:rPr>
        <w:t> </w:t>
      </w:r>
      <w:r>
        <w:rPr>
          <w:color w:val="105C84"/>
        </w:rPr>
        <w:t>the</w:t>
      </w:r>
      <w:r>
        <w:rPr>
          <w:color w:val="105C84"/>
          <w:spacing w:val="31"/>
        </w:rPr>
        <w:t> </w:t>
      </w:r>
      <w:r>
        <w:rPr>
          <w:color w:val="105C84"/>
        </w:rPr>
        <w:t>home</w:t>
      </w:r>
      <w:r>
        <w:rPr>
          <w:color w:val="105C84"/>
          <w:spacing w:val="31"/>
        </w:rPr>
        <w:t> </w:t>
      </w:r>
      <w:r>
        <w:rPr>
          <w:color w:val="105C84"/>
        </w:rPr>
        <w:t>will</w:t>
      </w:r>
      <w:r>
        <w:rPr>
          <w:color w:val="105C84"/>
          <w:spacing w:val="31"/>
        </w:rPr>
        <w:t> </w:t>
      </w:r>
      <w:r>
        <w:rPr>
          <w:color w:val="105C84"/>
        </w:rPr>
        <w:t>help</w:t>
      </w:r>
      <w:r>
        <w:rPr>
          <w:color w:val="105C84"/>
          <w:spacing w:val="31"/>
        </w:rPr>
        <w:t> </w:t>
      </w:r>
      <w:r>
        <w:rPr>
          <w:color w:val="105C84"/>
        </w:rPr>
        <w:t>to</w:t>
      </w:r>
      <w:r>
        <w:rPr>
          <w:color w:val="105C84"/>
          <w:spacing w:val="31"/>
        </w:rPr>
        <w:t> </w:t>
      </w:r>
      <w:r>
        <w:rPr>
          <w:color w:val="105C84"/>
        </w:rPr>
        <w:t>reduce</w:t>
      </w:r>
      <w:r>
        <w:rPr>
          <w:color w:val="105C84"/>
          <w:spacing w:val="31"/>
        </w:rPr>
        <w:t> </w:t>
      </w:r>
      <w:r>
        <w:rPr>
          <w:color w:val="105C84"/>
        </w:rPr>
        <w:t>both substance use and risk for chronic diseases such as cardiovascular disease.</w:t>
      </w:r>
    </w:p>
    <w:p>
      <w:pPr>
        <w:pStyle w:val="BodyText"/>
        <w:spacing w:line="247" w:lineRule="auto" w:before="178"/>
        <w:ind w:left="1085" w:right="683"/>
      </w:pPr>
      <w:r>
        <w:rPr>
          <w:color w:val="105C84"/>
        </w:rPr>
        <w:t>In addition, an initiative in the southern part of the county led by Seneca Towns Engaging People</w:t>
      </w:r>
      <w:r>
        <w:rPr>
          <w:color w:val="105C84"/>
          <w:spacing w:val="80"/>
        </w:rPr>
        <w:t> </w:t>
      </w:r>
      <w:r>
        <w:rPr>
          <w:color w:val="105C84"/>
        </w:rPr>
        <w:t>for Solutions (STEPS) are helping to kick off complete streets work, which will help to create better access for individuals of all ages and abilities to engage in physical activity.</w:t>
      </w:r>
    </w:p>
    <w:p>
      <w:pPr>
        <w:pStyle w:val="BodyText"/>
        <w:spacing w:after="0" w:line="247" w:lineRule="auto"/>
        <w:sectPr>
          <w:type w:val="continuous"/>
          <w:pgSz w:w="24480" w:h="15840" w:orient="landscape"/>
          <w:pgMar w:header="0" w:footer="0" w:top="0" w:bottom="280" w:left="0" w:right="720"/>
          <w:cols w:num="2" w:equalWidth="0">
            <w:col w:w="11219" w:space="1030"/>
            <w:col w:w="11511"/>
          </w:cols>
        </w:sectPr>
      </w:pPr>
    </w:p>
    <w:p>
      <w:pPr>
        <w:pStyle w:val="BodyText"/>
        <w:rPr>
          <w:sz w:val="26"/>
        </w:rPr>
      </w:pPr>
      <w:r>
        <w:rPr>
          <w:sz w:val="26"/>
        </w:rPr>
        <w:drawing>
          <wp:anchor distT="0" distB="0" distL="0" distR="0" allowOverlap="1" layoutInCell="1" locked="0" behindDoc="0" simplePos="0" relativeHeight="15855616">
            <wp:simplePos x="0" y="0"/>
            <wp:positionH relativeFrom="page">
              <wp:posOffset>14981556</wp:posOffset>
            </wp:positionH>
            <wp:positionV relativeFrom="page">
              <wp:posOffset>9668103</wp:posOffset>
            </wp:positionV>
            <wp:extent cx="563245" cy="184683"/>
            <wp:effectExtent l="0" t="0" r="0" b="0"/>
            <wp:wrapNone/>
            <wp:docPr id="1179" name="Image 1179"/>
            <wp:cNvGraphicFramePr>
              <a:graphicFrameLocks/>
            </wp:cNvGraphicFramePr>
            <a:graphic>
              <a:graphicData uri="http://schemas.openxmlformats.org/drawingml/2006/picture">
                <pic:pic>
                  <pic:nvPicPr>
                    <pic:cNvPr id="1179" name="Image 1179"/>
                    <pic:cNvPicPr/>
                  </pic:nvPicPr>
                  <pic:blipFill>
                    <a:blip r:embed="rId38" cstate="print"/>
                    <a:stretch>
                      <a:fillRect/>
                    </a:stretch>
                  </pic:blipFill>
                  <pic:spPr>
                    <a:xfrm>
                      <a:off x="0" y="0"/>
                      <a:ext cx="563245" cy="184683"/>
                    </a:xfrm>
                    <a:prstGeom prst="rect">
                      <a:avLst/>
                    </a:prstGeom>
                  </pic:spPr>
                </pic:pic>
              </a:graphicData>
            </a:graphic>
          </wp:anchor>
        </w:drawing>
      </w:r>
    </w:p>
    <w:p>
      <w:pPr>
        <w:pStyle w:val="BodyText"/>
        <w:rPr>
          <w:sz w:val="26"/>
        </w:rPr>
      </w:pPr>
    </w:p>
    <w:p>
      <w:pPr>
        <w:pStyle w:val="BodyText"/>
        <w:spacing w:before="149"/>
        <w:rPr>
          <w:sz w:val="26"/>
        </w:rPr>
      </w:pPr>
    </w:p>
    <w:p>
      <w:pPr>
        <w:tabs>
          <w:tab w:pos="23147" w:val="left" w:leader="none"/>
        </w:tabs>
        <w:spacing w:before="1"/>
        <w:ind w:left="0" w:right="0" w:firstLine="0"/>
        <w:jc w:val="left"/>
        <w:rPr>
          <w:b/>
          <w:sz w:val="26"/>
        </w:rPr>
      </w:pPr>
      <w:r>
        <w:rPr>
          <w:position w:val="-4"/>
        </w:rPr>
        <w:drawing>
          <wp:inline distT="0" distB="0" distL="0" distR="0">
            <wp:extent cx="568172" cy="184683"/>
            <wp:effectExtent l="0" t="0" r="0" b="0"/>
            <wp:docPr id="1180" name="Image 1180"/>
            <wp:cNvGraphicFramePr>
              <a:graphicFrameLocks/>
            </wp:cNvGraphicFramePr>
            <a:graphic>
              <a:graphicData uri="http://schemas.openxmlformats.org/drawingml/2006/picture">
                <pic:pic>
                  <pic:nvPicPr>
                    <pic:cNvPr id="1180" name="Image 1180"/>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80"/>
          <w:w w:val="105"/>
          <w:sz w:val="20"/>
        </w:rPr>
        <w:t> </w:t>
      </w:r>
      <w:r>
        <w:rPr>
          <w:b/>
          <w:color w:val="939598"/>
          <w:w w:val="105"/>
          <w:sz w:val="26"/>
        </w:rPr>
        <w:t>79</w:t>
      </w:r>
      <w:r>
        <w:rPr>
          <w:b/>
          <w:color w:val="939598"/>
          <w:sz w:val="26"/>
        </w:rPr>
        <w:tab/>
      </w:r>
      <w:r>
        <w:rPr>
          <w:b/>
          <w:color w:val="939598"/>
          <w:spacing w:val="-5"/>
          <w:w w:val="105"/>
          <w:sz w:val="26"/>
        </w:rPr>
        <w:t>80</w:t>
      </w:r>
    </w:p>
    <w:p>
      <w:pPr>
        <w:spacing w:after="0"/>
        <w:jc w:val="left"/>
        <w:rPr>
          <w:b/>
          <w:sz w:val="26"/>
        </w:rPr>
        <w:sectPr>
          <w:type w:val="continuous"/>
          <w:pgSz w:w="24480" w:h="15840" w:orient="landscape"/>
          <w:pgMar w:header="0" w:footer="0" w:top="0" w:bottom="280" w:left="0" w:right="720"/>
        </w:sectPr>
      </w:pPr>
    </w:p>
    <w:p>
      <w:pPr>
        <w:pStyle w:val="BodyText"/>
        <w:rPr>
          <w:b/>
          <w:sz w:val="20"/>
        </w:rPr>
      </w:pPr>
    </w:p>
    <w:p>
      <w:pPr>
        <w:pStyle w:val="BodyText"/>
        <w:spacing w:before="16"/>
        <w:rPr>
          <w:b/>
          <w:sz w:val="20"/>
        </w:rPr>
      </w:pPr>
    </w:p>
    <w:p>
      <w:pPr>
        <w:pStyle w:val="BodyText"/>
        <w:spacing w:after="0"/>
        <w:rPr>
          <w:b/>
          <w:sz w:val="20"/>
        </w:rPr>
        <w:sectPr>
          <w:pgSz w:w="24480" w:h="15840" w:orient="landscape"/>
          <w:pgMar w:header="0" w:footer="0" w:top="860" w:bottom="0" w:left="0" w:right="720"/>
        </w:sectPr>
      </w:pPr>
    </w:p>
    <w:p>
      <w:pPr>
        <w:pStyle w:val="Heading6"/>
        <w:spacing w:before="116"/>
        <w:ind w:left="1094"/>
      </w:pPr>
      <w:r>
        <w:rPr>
          <w:color w:val="105C84"/>
          <w:spacing w:val="-4"/>
        </w:rPr>
        <w:t>Unique Characteristics</w:t>
      </w:r>
      <w:r>
        <w:rPr>
          <w:color w:val="105C84"/>
          <w:spacing w:val="-3"/>
        </w:rPr>
        <w:t> </w:t>
      </w:r>
      <w:r>
        <w:rPr>
          <w:color w:val="105C84"/>
          <w:spacing w:val="-4"/>
        </w:rPr>
        <w:t>Contributing</w:t>
      </w:r>
      <w:r>
        <w:rPr>
          <w:color w:val="105C84"/>
          <w:spacing w:val="-3"/>
        </w:rPr>
        <w:t> </w:t>
      </w:r>
      <w:r>
        <w:rPr>
          <w:color w:val="105C84"/>
          <w:spacing w:val="-4"/>
        </w:rPr>
        <w:t>to Health</w:t>
      </w:r>
      <w:r>
        <w:rPr>
          <w:color w:val="105C84"/>
          <w:spacing w:val="-3"/>
        </w:rPr>
        <w:t> </w:t>
      </w:r>
      <w:r>
        <w:rPr>
          <w:color w:val="105C84"/>
          <w:spacing w:val="-4"/>
        </w:rPr>
        <w:t>Status</w:t>
      </w:r>
    </w:p>
    <w:p>
      <w:pPr>
        <w:pStyle w:val="BodyText"/>
        <w:spacing w:line="247" w:lineRule="auto" w:before="268"/>
        <w:ind w:left="1094" w:right="224"/>
      </w:pPr>
      <w:r>
        <w:rPr>
          <w:color w:val="105C84"/>
        </w:rPr>
        <w:t>Mental health and well-being has been identified as a concern in Seneca County. The suicide</w:t>
      </w:r>
      <w:r>
        <w:rPr>
          <w:color w:val="105C84"/>
          <w:spacing w:val="80"/>
        </w:rPr>
        <w:t> </w:t>
      </w:r>
      <w:r>
        <w:rPr>
          <w:color w:val="105C84"/>
        </w:rPr>
        <w:t>coalition has worked over the past several years to increase awareness about suicide and offer training opportunities such as Talk Saves Lives and More than Just Sad. The coalition also supports the need for increased funding for suicide and mental health interventions. If secured, funding could</w:t>
      </w:r>
      <w:r>
        <w:rPr>
          <w:color w:val="105C84"/>
          <w:spacing w:val="80"/>
        </w:rPr>
        <w:t> </w:t>
      </w:r>
      <w:r>
        <w:rPr>
          <w:color w:val="105C84"/>
        </w:rPr>
        <w:t>help to broaden the coalition’s reach, thereby positively impacting more individuals and, hopefully,</w:t>
      </w:r>
      <w:r>
        <w:rPr>
          <w:color w:val="105C84"/>
          <w:spacing w:val="80"/>
        </w:rPr>
        <w:t> </w:t>
      </w:r>
      <w:r>
        <w:rPr>
          <w:color w:val="105C84"/>
        </w:rPr>
        <w:t>creating a healthier Seneca County.</w:t>
      </w:r>
    </w:p>
    <w:p>
      <w:pPr>
        <w:pStyle w:val="BodyText"/>
        <w:spacing w:before="16"/>
      </w:pPr>
    </w:p>
    <w:p>
      <w:pPr>
        <w:pStyle w:val="Heading6"/>
        <w:spacing w:before="1"/>
        <w:ind w:left="1094"/>
      </w:pPr>
      <w:r>
        <w:rPr>
          <w:color w:val="105C84"/>
          <w:spacing w:val="-6"/>
        </w:rPr>
        <w:t>Community</w:t>
      </w:r>
      <w:r>
        <w:rPr>
          <w:color w:val="105C84"/>
          <w:spacing w:val="-9"/>
        </w:rPr>
        <w:t> </w:t>
      </w:r>
      <w:r>
        <w:rPr>
          <w:color w:val="105C84"/>
          <w:spacing w:val="-6"/>
        </w:rPr>
        <w:t>Assets</w:t>
      </w:r>
      <w:r>
        <w:rPr>
          <w:color w:val="105C84"/>
          <w:spacing w:val="-9"/>
        </w:rPr>
        <w:t> </w:t>
      </w:r>
      <w:r>
        <w:rPr>
          <w:color w:val="105C84"/>
          <w:spacing w:val="-6"/>
        </w:rPr>
        <w:t>and</w:t>
      </w:r>
      <w:r>
        <w:rPr>
          <w:color w:val="105C84"/>
          <w:spacing w:val="-8"/>
        </w:rPr>
        <w:t> </w:t>
      </w:r>
      <w:r>
        <w:rPr>
          <w:color w:val="105C84"/>
          <w:spacing w:val="-6"/>
        </w:rPr>
        <w:t>Resources</w:t>
      </w:r>
      <w:r>
        <w:rPr>
          <w:color w:val="105C84"/>
          <w:spacing w:val="-9"/>
        </w:rPr>
        <w:t> </w:t>
      </w:r>
      <w:r>
        <w:rPr>
          <w:color w:val="105C84"/>
          <w:spacing w:val="-6"/>
        </w:rPr>
        <w:t>to</w:t>
      </w:r>
      <w:r>
        <w:rPr>
          <w:color w:val="105C84"/>
          <w:spacing w:val="-8"/>
        </w:rPr>
        <w:t> </w:t>
      </w:r>
      <w:r>
        <w:rPr>
          <w:color w:val="105C84"/>
          <w:spacing w:val="-6"/>
        </w:rPr>
        <w:t>be</w:t>
      </w:r>
      <w:r>
        <w:rPr>
          <w:color w:val="105C84"/>
          <w:spacing w:val="-9"/>
        </w:rPr>
        <w:t> </w:t>
      </w:r>
      <w:r>
        <w:rPr>
          <w:color w:val="105C84"/>
          <w:spacing w:val="-6"/>
        </w:rPr>
        <w:t>Mobilized</w:t>
      </w:r>
    </w:p>
    <w:p>
      <w:pPr>
        <w:pStyle w:val="BodyText"/>
        <w:spacing w:line="247" w:lineRule="auto" w:before="268"/>
        <w:ind w:left="1094"/>
      </w:pPr>
      <w:r>
        <w:rPr>
          <w:color w:val="105C84"/>
        </w:rPr>
        <w:t>During focus groups completed in late 2018 and early 2019, community members identified several assets and resources in Seneca County. For example, focus group attendees identified local trails and recreational spaces, community agencies (i.e. Glove House, Motherhood Connection, Safe Harbors), county services and access to mental health and urgent care services as community strengths and resources. A comprehensive list of identified strengths and resources can be found in focus group summaries and is available upon request.</w:t>
      </w:r>
    </w:p>
    <w:p>
      <w:pPr>
        <w:pStyle w:val="BodyText"/>
        <w:spacing w:line="247" w:lineRule="auto" w:before="177"/>
        <w:ind w:left="1094" w:right="477"/>
      </w:pPr>
      <w:r>
        <w:rPr>
          <w:color w:val="105C84"/>
        </w:rPr>
        <w:t>Through implementation of the Community Health Improvement Plan, staff will work to leverage</w:t>
      </w:r>
      <w:r>
        <w:rPr>
          <w:color w:val="105C84"/>
          <w:spacing w:val="80"/>
        </w:rPr>
        <w:t> </w:t>
      </w:r>
      <w:r>
        <w:rPr>
          <w:color w:val="105C84"/>
        </w:rPr>
        <w:t>these pre-existing agencies and services. A full description of interventions and partner roles can be found in the Seneca County Community Health Improvement Plan document. Partnering and leveraging the assets and resources of local community agencies will be imperative to achieving </w:t>
      </w:r>
      <w:r>
        <w:rPr>
          <w:color w:val="105C84"/>
          <w:w w:val="105"/>
        </w:rPr>
        <w:t>success in the plan.</w:t>
      </w:r>
    </w:p>
    <w:p>
      <w:pPr>
        <w:pStyle w:val="BodyText"/>
        <w:spacing w:before="16"/>
      </w:pPr>
    </w:p>
    <w:p>
      <w:pPr>
        <w:pStyle w:val="Heading6"/>
        <w:ind w:left="1094"/>
      </w:pPr>
      <w:r>
        <w:rPr>
          <w:color w:val="105C84"/>
          <w:spacing w:val="-4"/>
        </w:rPr>
        <w:t>Community</w:t>
      </w:r>
      <w:r>
        <w:rPr>
          <w:color w:val="105C84"/>
          <w:spacing w:val="-2"/>
        </w:rPr>
        <w:t> </w:t>
      </w:r>
      <w:r>
        <w:rPr>
          <w:color w:val="105C84"/>
          <w:spacing w:val="-4"/>
        </w:rPr>
        <w:t>Health</w:t>
      </w:r>
      <w:r>
        <w:rPr>
          <w:color w:val="105C84"/>
          <w:spacing w:val="-2"/>
        </w:rPr>
        <w:t> </w:t>
      </w:r>
      <w:r>
        <w:rPr>
          <w:color w:val="105C84"/>
          <w:spacing w:val="-4"/>
        </w:rPr>
        <w:t>Improvement</w:t>
      </w:r>
      <w:r>
        <w:rPr>
          <w:color w:val="105C84"/>
          <w:spacing w:val="-2"/>
        </w:rPr>
        <w:t> </w:t>
      </w:r>
      <w:r>
        <w:rPr>
          <w:color w:val="105C84"/>
          <w:spacing w:val="-4"/>
        </w:rPr>
        <w:t>Plan/Community</w:t>
      </w:r>
      <w:r>
        <w:rPr>
          <w:color w:val="105C84"/>
          <w:spacing w:val="-2"/>
        </w:rPr>
        <w:t> </w:t>
      </w:r>
      <w:r>
        <w:rPr>
          <w:color w:val="105C84"/>
          <w:spacing w:val="-4"/>
        </w:rPr>
        <w:t>Service</w:t>
      </w:r>
      <w:r>
        <w:rPr>
          <w:color w:val="105C84"/>
          <w:spacing w:val="-2"/>
        </w:rPr>
        <w:t> </w:t>
      </w:r>
      <w:r>
        <w:rPr>
          <w:color w:val="105C84"/>
          <w:spacing w:val="-4"/>
        </w:rPr>
        <w:t>Plan</w:t>
      </w:r>
    </w:p>
    <w:p>
      <w:pPr>
        <w:pStyle w:val="BodyText"/>
        <w:spacing w:line="247" w:lineRule="auto" w:before="269"/>
        <w:ind w:left="1094" w:right="224"/>
        <w:rPr>
          <w:b/>
        </w:rPr>
      </w:pPr>
      <w:r>
        <w:rPr>
          <w:color w:val="105C84"/>
        </w:rPr>
        <w:t>As previously discussed in the executive summary, the MAPP process was used to help create the Community</w:t>
      </w:r>
      <w:r>
        <w:rPr>
          <w:color w:val="105C84"/>
          <w:spacing w:val="28"/>
        </w:rPr>
        <w:t> </w:t>
      </w:r>
      <w:r>
        <w:rPr>
          <w:color w:val="105C84"/>
        </w:rPr>
        <w:t>Health</w:t>
      </w:r>
      <w:r>
        <w:rPr>
          <w:color w:val="105C84"/>
          <w:spacing w:val="28"/>
        </w:rPr>
        <w:t> </w:t>
      </w:r>
      <w:r>
        <w:rPr>
          <w:color w:val="105C84"/>
        </w:rPr>
        <w:t>Assessment</w:t>
      </w:r>
      <w:r>
        <w:rPr>
          <w:color w:val="105C84"/>
          <w:spacing w:val="28"/>
        </w:rPr>
        <w:t> </w:t>
      </w:r>
      <w:r>
        <w:rPr>
          <w:color w:val="105C84"/>
        </w:rPr>
        <w:t>and</w:t>
      </w:r>
      <w:r>
        <w:rPr>
          <w:color w:val="105C84"/>
          <w:spacing w:val="28"/>
        </w:rPr>
        <w:t> </w:t>
      </w:r>
      <w:r>
        <w:rPr>
          <w:color w:val="105C84"/>
        </w:rPr>
        <w:t>Community</w:t>
      </w:r>
      <w:r>
        <w:rPr>
          <w:color w:val="105C84"/>
          <w:spacing w:val="28"/>
        </w:rPr>
        <w:t> </w:t>
      </w:r>
      <w:r>
        <w:rPr>
          <w:color w:val="105C84"/>
        </w:rPr>
        <w:t>Health</w:t>
      </w:r>
      <w:r>
        <w:rPr>
          <w:color w:val="105C84"/>
          <w:spacing w:val="28"/>
        </w:rPr>
        <w:t> </w:t>
      </w:r>
      <w:r>
        <w:rPr>
          <w:color w:val="105C84"/>
        </w:rPr>
        <w:t>Improvement</w:t>
      </w:r>
      <w:r>
        <w:rPr>
          <w:color w:val="105C84"/>
          <w:spacing w:val="28"/>
        </w:rPr>
        <w:t> </w:t>
      </w:r>
      <w:r>
        <w:rPr>
          <w:color w:val="105C84"/>
        </w:rPr>
        <w:t>Plan.</w:t>
      </w:r>
      <w:r>
        <w:rPr>
          <w:color w:val="105C84"/>
          <w:spacing w:val="28"/>
        </w:rPr>
        <w:t> </w:t>
      </w:r>
      <w:r>
        <w:rPr>
          <w:color w:val="105C84"/>
        </w:rPr>
        <w:t>County</w:t>
      </w:r>
      <w:r>
        <w:rPr>
          <w:color w:val="105C84"/>
          <w:spacing w:val="28"/>
        </w:rPr>
        <w:t> </w:t>
      </w:r>
      <w:r>
        <w:rPr>
          <w:color w:val="105C84"/>
        </w:rPr>
        <w:t>specific</w:t>
      </w:r>
      <w:r>
        <w:rPr>
          <w:color w:val="105C84"/>
          <w:spacing w:val="80"/>
          <w:w w:val="150"/>
        </w:rPr>
        <w:t> </w:t>
      </w:r>
      <w:r>
        <w:rPr>
          <w:color w:val="105C84"/>
        </w:rPr>
        <w:t>pre-read documents were provided to the prioritization group members. These documents included</w:t>
      </w:r>
      <w:r>
        <w:rPr>
          <w:color w:val="105C84"/>
          <w:spacing w:val="80"/>
          <w:w w:val="150"/>
        </w:rPr>
        <w:t> </w:t>
      </w:r>
      <w:r>
        <w:rPr>
          <w:color w:val="105C84"/>
        </w:rPr>
        <w:t>updated data measures for each of the five priority areas outlined in the Prevention Agenda (please see executive summary for more information on pre-read documents). </w:t>
      </w:r>
      <w:r>
        <w:rPr>
          <w:b/>
          <w:color w:val="105C84"/>
        </w:rPr>
        <w:t>A variety of partners were engaged in Seneca County’s specific process including:</w:t>
      </w:r>
    </w:p>
    <w:p>
      <w:pPr>
        <w:pStyle w:val="BodyText"/>
        <w:spacing w:line="247" w:lineRule="auto" w:before="114"/>
        <w:ind w:left="1094" w:right="485"/>
      </w:pPr>
      <w:r>
        <w:rPr/>
        <w:br w:type="column"/>
      </w:r>
      <w:r>
        <w:rPr>
          <w:color w:val="105C84"/>
        </w:rPr>
        <w:t>A regional health survey and focus groups engaged the community at large throughout the</w:t>
      </w:r>
      <w:r>
        <w:rPr>
          <w:color w:val="105C84"/>
          <w:spacing w:val="40"/>
        </w:rPr>
        <w:t> </w:t>
      </w:r>
      <w:r>
        <w:rPr>
          <w:color w:val="105C84"/>
        </w:rPr>
        <w:t>assessment period. Invitations and pre-read materials were sent to 112 key stakeholders and community</w:t>
      </w:r>
      <w:r>
        <w:rPr>
          <w:color w:val="105C84"/>
          <w:spacing w:val="40"/>
        </w:rPr>
        <w:t> </w:t>
      </w:r>
      <w:r>
        <w:rPr>
          <w:color w:val="105C84"/>
        </w:rPr>
        <w:t>partners</w:t>
      </w:r>
      <w:r>
        <w:rPr>
          <w:color w:val="105C84"/>
          <w:spacing w:val="40"/>
        </w:rPr>
        <w:t> </w:t>
      </w:r>
      <w:r>
        <w:rPr>
          <w:color w:val="105C84"/>
        </w:rPr>
        <w:t>to</w:t>
      </w:r>
      <w:r>
        <w:rPr>
          <w:color w:val="105C84"/>
          <w:spacing w:val="40"/>
        </w:rPr>
        <w:t> </w:t>
      </w:r>
      <w:r>
        <w:rPr>
          <w:color w:val="105C84"/>
        </w:rPr>
        <w:t>attend</w:t>
      </w:r>
      <w:r>
        <w:rPr>
          <w:color w:val="105C84"/>
          <w:spacing w:val="40"/>
        </w:rPr>
        <w:t> </w:t>
      </w:r>
      <w:r>
        <w:rPr>
          <w:color w:val="105C84"/>
        </w:rPr>
        <w:t>the</w:t>
      </w:r>
      <w:r>
        <w:rPr>
          <w:color w:val="105C84"/>
          <w:spacing w:val="40"/>
        </w:rPr>
        <w:t> </w:t>
      </w:r>
      <w:r>
        <w:rPr>
          <w:color w:val="105C84"/>
        </w:rPr>
        <w:t>priority</w:t>
      </w:r>
      <w:r>
        <w:rPr>
          <w:color w:val="105C84"/>
          <w:spacing w:val="40"/>
        </w:rPr>
        <w:t> </w:t>
      </w:r>
      <w:r>
        <w:rPr>
          <w:color w:val="105C84"/>
        </w:rPr>
        <w:t>setting</w:t>
      </w:r>
      <w:r>
        <w:rPr>
          <w:color w:val="105C84"/>
          <w:spacing w:val="40"/>
        </w:rPr>
        <w:t> </w:t>
      </w:r>
      <w:r>
        <w:rPr>
          <w:color w:val="105C84"/>
        </w:rPr>
        <w:t>meeting.</w:t>
      </w:r>
      <w:r>
        <w:rPr>
          <w:color w:val="105C84"/>
          <w:spacing w:val="40"/>
        </w:rPr>
        <w:t> </w:t>
      </w:r>
      <w:r>
        <w:rPr>
          <w:color w:val="105C84"/>
        </w:rPr>
        <w:t>Pre-read</w:t>
      </w:r>
      <w:r>
        <w:rPr>
          <w:color w:val="105C84"/>
          <w:spacing w:val="40"/>
        </w:rPr>
        <w:t> </w:t>
      </w:r>
      <w:r>
        <w:rPr>
          <w:color w:val="105C84"/>
        </w:rPr>
        <w:t>materials</w:t>
      </w:r>
      <w:r>
        <w:rPr>
          <w:color w:val="105C84"/>
          <w:spacing w:val="40"/>
        </w:rPr>
        <w:t> </w:t>
      </w:r>
      <w:r>
        <w:rPr>
          <w:color w:val="105C84"/>
        </w:rPr>
        <w:t>provided</w:t>
      </w:r>
      <w:r>
        <w:rPr>
          <w:color w:val="105C84"/>
          <w:spacing w:val="40"/>
        </w:rPr>
        <w:t> </w:t>
      </w:r>
      <w:r>
        <w:rPr>
          <w:color w:val="105C84"/>
        </w:rPr>
        <w:t>an opportunity</w:t>
      </w:r>
      <w:r>
        <w:rPr>
          <w:color w:val="105C84"/>
          <w:spacing w:val="36"/>
        </w:rPr>
        <w:t> </w:t>
      </w:r>
      <w:r>
        <w:rPr>
          <w:color w:val="105C84"/>
        </w:rPr>
        <w:t>to</w:t>
      </w:r>
      <w:r>
        <w:rPr>
          <w:color w:val="105C84"/>
          <w:spacing w:val="36"/>
        </w:rPr>
        <w:t> </w:t>
      </w:r>
      <w:r>
        <w:rPr>
          <w:color w:val="105C84"/>
        </w:rPr>
        <w:t>share</w:t>
      </w:r>
      <w:r>
        <w:rPr>
          <w:color w:val="105C84"/>
          <w:spacing w:val="36"/>
        </w:rPr>
        <w:t> </w:t>
      </w:r>
      <w:r>
        <w:rPr>
          <w:color w:val="105C84"/>
        </w:rPr>
        <w:t>preliminary</w:t>
      </w:r>
      <w:r>
        <w:rPr>
          <w:color w:val="105C84"/>
          <w:spacing w:val="36"/>
        </w:rPr>
        <w:t> </w:t>
      </w:r>
      <w:r>
        <w:rPr>
          <w:color w:val="105C84"/>
        </w:rPr>
        <w:t>CHA</w:t>
      </w:r>
      <w:r>
        <w:rPr>
          <w:color w:val="105C84"/>
          <w:spacing w:val="36"/>
        </w:rPr>
        <w:t> </w:t>
      </w:r>
      <w:r>
        <w:rPr>
          <w:color w:val="105C84"/>
        </w:rPr>
        <w:t>findings</w:t>
      </w:r>
      <w:r>
        <w:rPr>
          <w:color w:val="105C84"/>
          <w:spacing w:val="36"/>
        </w:rPr>
        <w:t> </w:t>
      </w:r>
      <w:r>
        <w:rPr>
          <w:color w:val="105C84"/>
        </w:rPr>
        <w:t>with</w:t>
      </w:r>
      <w:r>
        <w:rPr>
          <w:color w:val="105C84"/>
          <w:spacing w:val="36"/>
        </w:rPr>
        <w:t> </w:t>
      </w:r>
      <w:r>
        <w:rPr>
          <w:color w:val="105C84"/>
        </w:rPr>
        <w:t>stakeholders</w:t>
      </w:r>
      <w:r>
        <w:rPr>
          <w:color w:val="105C84"/>
          <w:spacing w:val="36"/>
        </w:rPr>
        <w:t> </w:t>
      </w:r>
      <w:r>
        <w:rPr>
          <w:color w:val="105C84"/>
        </w:rPr>
        <w:t>and</w:t>
      </w:r>
      <w:r>
        <w:rPr>
          <w:color w:val="105C84"/>
          <w:spacing w:val="36"/>
        </w:rPr>
        <w:t> </w:t>
      </w:r>
      <w:r>
        <w:rPr>
          <w:color w:val="105C84"/>
        </w:rPr>
        <w:t>partners</w:t>
      </w:r>
      <w:r>
        <w:rPr>
          <w:color w:val="105C84"/>
          <w:spacing w:val="36"/>
        </w:rPr>
        <w:t> </w:t>
      </w:r>
      <w:r>
        <w:rPr>
          <w:color w:val="105C84"/>
        </w:rPr>
        <w:t>prior</w:t>
      </w:r>
      <w:r>
        <w:rPr>
          <w:color w:val="105C84"/>
          <w:spacing w:val="36"/>
        </w:rPr>
        <w:t> </w:t>
      </w:r>
      <w:r>
        <w:rPr>
          <w:color w:val="105C84"/>
        </w:rPr>
        <w:t>to</w:t>
      </w:r>
      <w:r>
        <w:rPr>
          <w:color w:val="105C84"/>
          <w:spacing w:val="36"/>
        </w:rPr>
        <w:t> </w:t>
      </w:r>
      <w:r>
        <w:rPr>
          <w:color w:val="105C84"/>
        </w:rPr>
        <w:t>the</w:t>
      </w:r>
      <w:r>
        <w:rPr>
          <w:color w:val="105C84"/>
          <w:spacing w:val="36"/>
        </w:rPr>
        <w:t> </w:t>
      </w:r>
      <w:r>
        <w:rPr>
          <w:color w:val="105C84"/>
        </w:rPr>
        <w:t>priority setting meeting. Preliminary findings were also shared with the Ovid Willard Lions Club, the Seneca County Chamber of Commerce and shared on the health department’s website and Facebook Page.</w:t>
      </w:r>
    </w:p>
    <w:p>
      <w:pPr>
        <w:pStyle w:val="BodyText"/>
        <w:spacing w:line="247" w:lineRule="auto" w:before="176"/>
        <w:ind w:left="1094" w:right="484"/>
      </w:pPr>
      <w:r>
        <w:rPr>
          <w:color w:val="105C84"/>
        </w:rPr>
        <w:t>Members</w:t>
      </w:r>
      <w:r>
        <w:rPr>
          <w:color w:val="105C84"/>
          <w:spacing w:val="29"/>
        </w:rPr>
        <w:t> </w:t>
      </w:r>
      <w:r>
        <w:rPr>
          <w:color w:val="105C84"/>
        </w:rPr>
        <w:t>of</w:t>
      </w:r>
      <w:r>
        <w:rPr>
          <w:color w:val="105C84"/>
          <w:spacing w:val="29"/>
        </w:rPr>
        <w:t> </w:t>
      </w:r>
      <w:r>
        <w:rPr>
          <w:color w:val="105C84"/>
        </w:rPr>
        <w:t>the</w:t>
      </w:r>
      <w:r>
        <w:rPr>
          <w:color w:val="105C84"/>
          <w:spacing w:val="29"/>
        </w:rPr>
        <w:t> </w:t>
      </w:r>
      <w:r>
        <w:rPr>
          <w:color w:val="105C84"/>
        </w:rPr>
        <w:t>Seneca</w:t>
      </w:r>
      <w:r>
        <w:rPr>
          <w:color w:val="105C84"/>
          <w:spacing w:val="29"/>
        </w:rPr>
        <w:t> </w:t>
      </w:r>
      <w:r>
        <w:rPr>
          <w:color w:val="105C84"/>
        </w:rPr>
        <w:t>Health</w:t>
      </w:r>
      <w:r>
        <w:rPr>
          <w:color w:val="105C84"/>
          <w:spacing w:val="29"/>
        </w:rPr>
        <w:t> </w:t>
      </w:r>
      <w:r>
        <w:rPr>
          <w:color w:val="105C84"/>
        </w:rPr>
        <w:t>Solutions</w:t>
      </w:r>
      <w:r>
        <w:rPr>
          <w:color w:val="105C84"/>
          <w:spacing w:val="29"/>
        </w:rPr>
        <w:t> </w:t>
      </w:r>
      <w:r>
        <w:rPr>
          <w:color w:val="105C84"/>
        </w:rPr>
        <w:t>group</w:t>
      </w:r>
      <w:r>
        <w:rPr>
          <w:color w:val="105C84"/>
          <w:spacing w:val="29"/>
        </w:rPr>
        <w:t> </w:t>
      </w:r>
      <w:r>
        <w:rPr>
          <w:color w:val="105C84"/>
        </w:rPr>
        <w:t>selected</w:t>
      </w:r>
      <w:r>
        <w:rPr>
          <w:color w:val="105C84"/>
          <w:spacing w:val="29"/>
        </w:rPr>
        <w:t> </w:t>
      </w:r>
      <w:r>
        <w:rPr>
          <w:color w:val="105C84"/>
        </w:rPr>
        <w:t>specific</w:t>
      </w:r>
      <w:r>
        <w:rPr>
          <w:color w:val="105C84"/>
          <w:spacing w:val="29"/>
        </w:rPr>
        <w:t> </w:t>
      </w:r>
      <w:r>
        <w:rPr>
          <w:color w:val="105C84"/>
        </w:rPr>
        <w:t>interventions</w:t>
      </w:r>
      <w:r>
        <w:rPr>
          <w:color w:val="105C84"/>
          <w:spacing w:val="29"/>
        </w:rPr>
        <w:t> </w:t>
      </w:r>
      <w:r>
        <w:rPr>
          <w:color w:val="105C84"/>
        </w:rPr>
        <w:t>to</w:t>
      </w:r>
      <w:r>
        <w:rPr>
          <w:color w:val="105C84"/>
          <w:spacing w:val="29"/>
        </w:rPr>
        <w:t> </w:t>
      </w:r>
      <w:r>
        <w:rPr>
          <w:color w:val="105C84"/>
        </w:rPr>
        <w:t>address</w:t>
      </w:r>
      <w:r>
        <w:rPr>
          <w:color w:val="105C84"/>
          <w:spacing w:val="29"/>
        </w:rPr>
        <w:t> </w:t>
      </w:r>
      <w:r>
        <w:rPr>
          <w:color w:val="105C84"/>
        </w:rPr>
        <w:t>the priority</w:t>
      </w:r>
      <w:r>
        <w:rPr>
          <w:color w:val="105C84"/>
          <w:spacing w:val="24"/>
        </w:rPr>
        <w:t> </w:t>
      </w:r>
      <w:r>
        <w:rPr>
          <w:color w:val="105C84"/>
        </w:rPr>
        <w:t>areas.</w:t>
      </w:r>
      <w:r>
        <w:rPr>
          <w:color w:val="105C84"/>
          <w:spacing w:val="24"/>
        </w:rPr>
        <w:t> </w:t>
      </w:r>
      <w:r>
        <w:rPr>
          <w:color w:val="105C84"/>
        </w:rPr>
        <w:t>Each</w:t>
      </w:r>
      <w:r>
        <w:rPr>
          <w:color w:val="105C84"/>
          <w:spacing w:val="24"/>
        </w:rPr>
        <w:t> </w:t>
      </w:r>
      <w:r>
        <w:rPr>
          <w:color w:val="105C84"/>
        </w:rPr>
        <w:t>member</w:t>
      </w:r>
      <w:r>
        <w:rPr>
          <w:color w:val="105C84"/>
          <w:spacing w:val="24"/>
        </w:rPr>
        <w:t> </w:t>
      </w:r>
      <w:r>
        <w:rPr>
          <w:color w:val="105C84"/>
        </w:rPr>
        <w:t>was</w:t>
      </w:r>
      <w:r>
        <w:rPr>
          <w:color w:val="105C84"/>
          <w:spacing w:val="24"/>
        </w:rPr>
        <w:t> </w:t>
      </w:r>
      <w:r>
        <w:rPr>
          <w:color w:val="105C84"/>
        </w:rPr>
        <w:t>expected</w:t>
      </w:r>
      <w:r>
        <w:rPr>
          <w:color w:val="105C84"/>
          <w:spacing w:val="24"/>
        </w:rPr>
        <w:t> </w:t>
      </w:r>
      <w:r>
        <w:rPr>
          <w:color w:val="105C84"/>
        </w:rPr>
        <w:t>to</w:t>
      </w:r>
      <w:r>
        <w:rPr>
          <w:color w:val="105C84"/>
          <w:spacing w:val="24"/>
        </w:rPr>
        <w:t> </w:t>
      </w:r>
      <w:r>
        <w:rPr>
          <w:color w:val="105C84"/>
        </w:rPr>
        <w:t>highlight</w:t>
      </w:r>
      <w:r>
        <w:rPr>
          <w:color w:val="105C84"/>
          <w:spacing w:val="24"/>
        </w:rPr>
        <w:t> </w:t>
      </w:r>
      <w:r>
        <w:rPr>
          <w:color w:val="105C84"/>
        </w:rPr>
        <w:t>where</w:t>
      </w:r>
      <w:r>
        <w:rPr>
          <w:color w:val="105C84"/>
          <w:spacing w:val="24"/>
        </w:rPr>
        <w:t> </w:t>
      </w:r>
      <w:r>
        <w:rPr>
          <w:color w:val="105C84"/>
        </w:rPr>
        <w:t>resources</w:t>
      </w:r>
      <w:r>
        <w:rPr>
          <w:color w:val="105C84"/>
          <w:spacing w:val="24"/>
        </w:rPr>
        <w:t> </w:t>
      </w:r>
      <w:r>
        <w:rPr>
          <w:color w:val="105C84"/>
        </w:rPr>
        <w:t>already</w:t>
      </w:r>
      <w:r>
        <w:rPr>
          <w:color w:val="105C84"/>
          <w:spacing w:val="24"/>
        </w:rPr>
        <w:t> </w:t>
      </w:r>
      <w:r>
        <w:rPr>
          <w:color w:val="105C84"/>
        </w:rPr>
        <w:t>existed</w:t>
      </w:r>
      <w:r>
        <w:rPr>
          <w:color w:val="105C84"/>
          <w:spacing w:val="24"/>
        </w:rPr>
        <w:t> </w:t>
      </w:r>
      <w:r>
        <w:rPr>
          <w:color w:val="105C84"/>
        </w:rPr>
        <w:t>and</w:t>
      </w:r>
      <w:r>
        <w:rPr>
          <w:color w:val="105C84"/>
          <w:spacing w:val="24"/>
        </w:rPr>
        <w:t> </w:t>
      </w:r>
      <w:r>
        <w:rPr>
          <w:color w:val="105C84"/>
        </w:rPr>
        <w:t>could be</w:t>
      </w:r>
      <w:r>
        <w:rPr>
          <w:color w:val="105C84"/>
          <w:spacing w:val="37"/>
        </w:rPr>
        <w:t> </w:t>
      </w:r>
      <w:r>
        <w:rPr>
          <w:color w:val="105C84"/>
        </w:rPr>
        <w:t>leveraged.</w:t>
      </w:r>
      <w:r>
        <w:rPr>
          <w:color w:val="105C84"/>
          <w:spacing w:val="36"/>
        </w:rPr>
        <w:t> </w:t>
      </w:r>
      <w:r>
        <w:rPr>
          <w:color w:val="105C84"/>
        </w:rPr>
        <w:t>Coordinated</w:t>
      </w:r>
      <w:r>
        <w:rPr>
          <w:color w:val="105C84"/>
          <w:spacing w:val="37"/>
        </w:rPr>
        <w:t> </w:t>
      </w:r>
      <w:r>
        <w:rPr>
          <w:color w:val="105C84"/>
        </w:rPr>
        <w:t>efforts</w:t>
      </w:r>
      <w:r>
        <w:rPr>
          <w:color w:val="105C84"/>
          <w:spacing w:val="36"/>
        </w:rPr>
        <w:t> </w:t>
      </w:r>
      <w:r>
        <w:rPr>
          <w:color w:val="105C84"/>
        </w:rPr>
        <w:t>will</w:t>
      </w:r>
      <w:r>
        <w:rPr>
          <w:color w:val="105C84"/>
          <w:spacing w:val="37"/>
        </w:rPr>
        <w:t> </w:t>
      </w:r>
      <w:r>
        <w:rPr>
          <w:color w:val="105C84"/>
        </w:rPr>
        <w:t>take</w:t>
      </w:r>
      <w:r>
        <w:rPr>
          <w:color w:val="105C84"/>
          <w:spacing w:val="36"/>
        </w:rPr>
        <w:t> </w:t>
      </w:r>
      <w:r>
        <w:rPr>
          <w:color w:val="105C84"/>
        </w:rPr>
        <w:t>place</w:t>
      </w:r>
      <w:r>
        <w:rPr>
          <w:color w:val="105C84"/>
          <w:spacing w:val="37"/>
        </w:rPr>
        <w:t> </w:t>
      </w:r>
      <w:r>
        <w:rPr>
          <w:color w:val="105C84"/>
        </w:rPr>
        <w:t>to</w:t>
      </w:r>
      <w:r>
        <w:rPr>
          <w:color w:val="105C84"/>
          <w:spacing w:val="36"/>
        </w:rPr>
        <w:t> </w:t>
      </w:r>
      <w:r>
        <w:rPr>
          <w:color w:val="105C84"/>
        </w:rPr>
        <w:t>promote</w:t>
      </w:r>
      <w:r>
        <w:rPr>
          <w:color w:val="105C84"/>
          <w:spacing w:val="37"/>
        </w:rPr>
        <w:t> </w:t>
      </w:r>
      <w:r>
        <w:rPr>
          <w:color w:val="105C84"/>
        </w:rPr>
        <w:t>and</w:t>
      </w:r>
      <w:r>
        <w:rPr>
          <w:color w:val="105C84"/>
          <w:spacing w:val="36"/>
        </w:rPr>
        <w:t> </w:t>
      </w:r>
      <w:r>
        <w:rPr>
          <w:color w:val="105C84"/>
        </w:rPr>
        <w:t>engage</w:t>
      </w:r>
      <w:r>
        <w:rPr>
          <w:color w:val="105C84"/>
          <w:spacing w:val="37"/>
        </w:rPr>
        <w:t> </w:t>
      </w:r>
      <w:r>
        <w:rPr>
          <w:color w:val="105C84"/>
        </w:rPr>
        <w:t>community</w:t>
      </w:r>
      <w:r>
        <w:rPr>
          <w:color w:val="105C84"/>
          <w:spacing w:val="36"/>
        </w:rPr>
        <w:t> </w:t>
      </w:r>
      <w:r>
        <w:rPr>
          <w:color w:val="105C84"/>
        </w:rPr>
        <w:t>members</w:t>
      </w:r>
      <w:r>
        <w:rPr>
          <w:color w:val="105C84"/>
          <w:spacing w:val="37"/>
        </w:rPr>
        <w:t> </w:t>
      </w:r>
      <w:r>
        <w:rPr>
          <w:color w:val="105C84"/>
        </w:rPr>
        <w:t>in selected</w:t>
      </w:r>
      <w:r>
        <w:rPr>
          <w:color w:val="105C84"/>
          <w:spacing w:val="32"/>
        </w:rPr>
        <w:t> </w:t>
      </w:r>
      <w:r>
        <w:rPr>
          <w:color w:val="105C84"/>
        </w:rPr>
        <w:t>initiatives.</w:t>
      </w:r>
      <w:r>
        <w:rPr>
          <w:color w:val="105C84"/>
          <w:spacing w:val="32"/>
        </w:rPr>
        <w:t> </w:t>
      </w:r>
      <w:r>
        <w:rPr>
          <w:color w:val="105C84"/>
        </w:rPr>
        <w:t>A</w:t>
      </w:r>
      <w:r>
        <w:rPr>
          <w:color w:val="105C84"/>
          <w:spacing w:val="32"/>
        </w:rPr>
        <w:t> </w:t>
      </w:r>
      <w:r>
        <w:rPr>
          <w:color w:val="105C84"/>
        </w:rPr>
        <w:t>full</w:t>
      </w:r>
      <w:r>
        <w:rPr>
          <w:color w:val="105C84"/>
          <w:spacing w:val="32"/>
        </w:rPr>
        <w:t> </w:t>
      </w:r>
      <w:r>
        <w:rPr>
          <w:color w:val="105C84"/>
        </w:rPr>
        <w:t>description</w:t>
      </w:r>
      <w:r>
        <w:rPr>
          <w:color w:val="105C84"/>
          <w:spacing w:val="32"/>
        </w:rPr>
        <w:t> </w:t>
      </w:r>
      <w:r>
        <w:rPr>
          <w:color w:val="105C84"/>
        </w:rPr>
        <w:t>of</w:t>
      </w:r>
      <w:r>
        <w:rPr>
          <w:color w:val="105C84"/>
          <w:spacing w:val="32"/>
        </w:rPr>
        <w:t> </w:t>
      </w:r>
      <w:r>
        <w:rPr>
          <w:color w:val="105C84"/>
        </w:rPr>
        <w:t>objectives,</w:t>
      </w:r>
      <w:r>
        <w:rPr>
          <w:color w:val="105C84"/>
          <w:spacing w:val="32"/>
        </w:rPr>
        <w:t> </w:t>
      </w:r>
      <w:r>
        <w:rPr>
          <w:color w:val="105C84"/>
        </w:rPr>
        <w:t>interventions,</w:t>
      </w:r>
      <w:r>
        <w:rPr>
          <w:color w:val="105C84"/>
          <w:spacing w:val="32"/>
        </w:rPr>
        <w:t> </w:t>
      </w:r>
      <w:r>
        <w:rPr>
          <w:color w:val="105C84"/>
        </w:rPr>
        <w:t>process</w:t>
      </w:r>
      <w:r>
        <w:rPr>
          <w:color w:val="105C84"/>
          <w:spacing w:val="32"/>
        </w:rPr>
        <w:t> </w:t>
      </w:r>
      <w:r>
        <w:rPr>
          <w:color w:val="105C84"/>
        </w:rPr>
        <w:t>measures,</w:t>
      </w:r>
      <w:r>
        <w:rPr>
          <w:color w:val="105C84"/>
          <w:spacing w:val="32"/>
        </w:rPr>
        <w:t> </w:t>
      </w:r>
      <w:r>
        <w:rPr>
          <w:color w:val="105C84"/>
        </w:rPr>
        <w:t>partner</w:t>
      </w:r>
      <w:r>
        <w:rPr>
          <w:color w:val="105C84"/>
          <w:spacing w:val="32"/>
        </w:rPr>
        <w:t> </w:t>
      </w:r>
      <w:r>
        <w:rPr>
          <w:color w:val="105C84"/>
        </w:rPr>
        <w:t>roles and resources is available in the Seneca County Community Health Improvement Plan (Appendix E).</w:t>
      </w:r>
    </w:p>
    <w:p>
      <w:pPr>
        <w:pStyle w:val="BodyText"/>
        <w:spacing w:line="247" w:lineRule="auto"/>
        <w:ind w:left="1094"/>
      </w:pPr>
      <w:r>
        <w:rPr>
          <w:color w:val="105C84"/>
        </w:rPr>
        <w:t>Interventions selected are evidence-based and strive to achieve health equity by focusing on creating greater access for the low-income population.</w:t>
      </w:r>
    </w:p>
    <w:p>
      <w:pPr>
        <w:pStyle w:val="BodyText"/>
        <w:spacing w:line="247" w:lineRule="auto" w:before="177"/>
        <w:ind w:left="1094" w:right="485"/>
      </w:pPr>
      <w:r>
        <w:rPr>
          <w:color w:val="105C84"/>
        </w:rPr>
        <w:t>Seneca</w:t>
      </w:r>
      <w:r>
        <w:rPr>
          <w:color w:val="105C84"/>
          <w:spacing w:val="29"/>
        </w:rPr>
        <w:t> </w:t>
      </w:r>
      <w:r>
        <w:rPr>
          <w:color w:val="105C84"/>
        </w:rPr>
        <w:t>Health</w:t>
      </w:r>
      <w:r>
        <w:rPr>
          <w:color w:val="105C84"/>
          <w:spacing w:val="29"/>
        </w:rPr>
        <w:t> </w:t>
      </w:r>
      <w:r>
        <w:rPr>
          <w:color w:val="105C84"/>
        </w:rPr>
        <w:t>Solutions,</w:t>
      </w:r>
      <w:r>
        <w:rPr>
          <w:color w:val="105C84"/>
          <w:spacing w:val="29"/>
        </w:rPr>
        <w:t> </w:t>
      </w:r>
      <w:r>
        <w:rPr>
          <w:color w:val="105C84"/>
        </w:rPr>
        <w:t>a</w:t>
      </w:r>
      <w:r>
        <w:rPr>
          <w:color w:val="105C84"/>
          <w:spacing w:val="29"/>
        </w:rPr>
        <w:t> </w:t>
      </w:r>
      <w:r>
        <w:rPr>
          <w:color w:val="105C84"/>
        </w:rPr>
        <w:t>group</w:t>
      </w:r>
      <w:r>
        <w:rPr>
          <w:color w:val="105C84"/>
          <w:spacing w:val="29"/>
        </w:rPr>
        <w:t> </w:t>
      </w:r>
      <w:r>
        <w:rPr>
          <w:color w:val="105C84"/>
        </w:rPr>
        <w:t>that</w:t>
      </w:r>
      <w:r>
        <w:rPr>
          <w:color w:val="105C84"/>
          <w:spacing w:val="29"/>
        </w:rPr>
        <w:t> </w:t>
      </w:r>
      <w:r>
        <w:rPr>
          <w:color w:val="105C84"/>
        </w:rPr>
        <w:t>meets</w:t>
      </w:r>
      <w:r>
        <w:rPr>
          <w:color w:val="105C84"/>
          <w:spacing w:val="29"/>
        </w:rPr>
        <w:t> </w:t>
      </w:r>
      <w:r>
        <w:rPr>
          <w:color w:val="105C84"/>
        </w:rPr>
        <w:t>monthly</w:t>
      </w:r>
      <w:r>
        <w:rPr>
          <w:color w:val="105C84"/>
          <w:spacing w:val="29"/>
        </w:rPr>
        <w:t> </w:t>
      </w:r>
      <w:r>
        <w:rPr>
          <w:color w:val="105C84"/>
        </w:rPr>
        <w:t>and</w:t>
      </w:r>
      <w:r>
        <w:rPr>
          <w:color w:val="105C84"/>
          <w:spacing w:val="29"/>
        </w:rPr>
        <w:t> </w:t>
      </w:r>
      <w:r>
        <w:rPr>
          <w:color w:val="105C84"/>
        </w:rPr>
        <w:t>brings</w:t>
      </w:r>
      <w:r>
        <w:rPr>
          <w:color w:val="105C84"/>
          <w:spacing w:val="29"/>
        </w:rPr>
        <w:t> </w:t>
      </w:r>
      <w:r>
        <w:rPr>
          <w:color w:val="105C84"/>
        </w:rPr>
        <w:t>together</w:t>
      </w:r>
      <w:r>
        <w:rPr>
          <w:color w:val="105C84"/>
          <w:spacing w:val="29"/>
        </w:rPr>
        <w:t> </w:t>
      </w:r>
      <w:r>
        <w:rPr>
          <w:color w:val="105C84"/>
        </w:rPr>
        <w:t>diverse</w:t>
      </w:r>
      <w:r>
        <w:rPr>
          <w:color w:val="105C84"/>
          <w:spacing w:val="29"/>
        </w:rPr>
        <w:t> </w:t>
      </w:r>
      <w:r>
        <w:rPr>
          <w:color w:val="105C84"/>
        </w:rPr>
        <w:t>partners</w:t>
      </w:r>
      <w:r>
        <w:rPr>
          <w:color w:val="105C84"/>
          <w:spacing w:val="29"/>
        </w:rPr>
        <w:t> </w:t>
      </w:r>
      <w:r>
        <w:rPr>
          <w:color w:val="105C84"/>
        </w:rPr>
        <w:t>to improve</w:t>
      </w:r>
      <w:r>
        <w:rPr>
          <w:color w:val="105C84"/>
          <w:spacing w:val="27"/>
        </w:rPr>
        <w:t> </w:t>
      </w:r>
      <w:r>
        <w:rPr>
          <w:color w:val="105C84"/>
        </w:rPr>
        <w:t>the</w:t>
      </w:r>
      <w:r>
        <w:rPr>
          <w:color w:val="105C84"/>
          <w:spacing w:val="27"/>
        </w:rPr>
        <w:t> </w:t>
      </w:r>
      <w:r>
        <w:rPr>
          <w:color w:val="105C84"/>
        </w:rPr>
        <w:t>health</w:t>
      </w:r>
      <w:r>
        <w:rPr>
          <w:color w:val="105C84"/>
          <w:spacing w:val="27"/>
        </w:rPr>
        <w:t> </w:t>
      </w:r>
      <w:r>
        <w:rPr>
          <w:color w:val="105C84"/>
        </w:rPr>
        <w:t>of</w:t>
      </w:r>
      <w:r>
        <w:rPr>
          <w:color w:val="105C84"/>
          <w:spacing w:val="27"/>
        </w:rPr>
        <w:t> </w:t>
      </w:r>
      <w:r>
        <w:rPr>
          <w:color w:val="105C84"/>
        </w:rPr>
        <w:t>its</w:t>
      </w:r>
      <w:r>
        <w:rPr>
          <w:color w:val="105C84"/>
          <w:spacing w:val="27"/>
        </w:rPr>
        <w:t> </w:t>
      </w:r>
      <w:r>
        <w:rPr>
          <w:color w:val="105C84"/>
        </w:rPr>
        <w:t>residents,</w:t>
      </w:r>
      <w:r>
        <w:rPr>
          <w:color w:val="105C84"/>
          <w:spacing w:val="27"/>
        </w:rPr>
        <w:t> </w:t>
      </w:r>
      <w:r>
        <w:rPr>
          <w:color w:val="105C84"/>
        </w:rPr>
        <w:t>will</w:t>
      </w:r>
      <w:r>
        <w:rPr>
          <w:color w:val="105C84"/>
          <w:spacing w:val="27"/>
        </w:rPr>
        <w:t> </w:t>
      </w:r>
      <w:r>
        <w:rPr>
          <w:color w:val="105C84"/>
        </w:rPr>
        <w:t>oversee</w:t>
      </w:r>
      <w:r>
        <w:rPr>
          <w:color w:val="105C84"/>
          <w:spacing w:val="27"/>
        </w:rPr>
        <w:t> </w:t>
      </w:r>
      <w:r>
        <w:rPr>
          <w:color w:val="105C84"/>
        </w:rPr>
        <w:t>the</w:t>
      </w:r>
      <w:r>
        <w:rPr>
          <w:color w:val="105C84"/>
          <w:spacing w:val="27"/>
        </w:rPr>
        <w:t> </w:t>
      </w:r>
      <w:r>
        <w:rPr>
          <w:color w:val="105C84"/>
        </w:rPr>
        <w:t>Community</w:t>
      </w:r>
      <w:r>
        <w:rPr>
          <w:color w:val="105C84"/>
          <w:spacing w:val="27"/>
        </w:rPr>
        <w:t> </w:t>
      </w:r>
      <w:r>
        <w:rPr>
          <w:color w:val="105C84"/>
        </w:rPr>
        <w:t>Health</w:t>
      </w:r>
      <w:r>
        <w:rPr>
          <w:color w:val="105C84"/>
          <w:spacing w:val="27"/>
        </w:rPr>
        <w:t> </w:t>
      </w:r>
      <w:r>
        <w:rPr>
          <w:color w:val="105C84"/>
        </w:rPr>
        <w:t>Improvement</w:t>
      </w:r>
      <w:r>
        <w:rPr>
          <w:color w:val="105C84"/>
          <w:spacing w:val="27"/>
        </w:rPr>
        <w:t> </w:t>
      </w:r>
      <w:r>
        <w:rPr>
          <w:color w:val="105C84"/>
        </w:rPr>
        <w:t>Plan</w:t>
      </w:r>
      <w:r>
        <w:rPr>
          <w:color w:val="105C84"/>
          <w:spacing w:val="27"/>
        </w:rPr>
        <w:t> </w:t>
      </w:r>
      <w:r>
        <w:rPr>
          <w:color w:val="105C84"/>
        </w:rPr>
        <w:t>progress and implementation. Attendees at these meetings will regularly review progress and relevant data on</w:t>
      </w:r>
      <w:r>
        <w:rPr>
          <w:color w:val="105C84"/>
          <w:spacing w:val="40"/>
        </w:rPr>
        <w:t> </w:t>
      </w:r>
      <w:r>
        <w:rPr>
          <w:color w:val="105C84"/>
        </w:rPr>
        <w:t>each measure. Group members will identify and address any mid-course corrections in interventions and processes that need to take place during these meetings.</w:t>
      </w:r>
    </w:p>
    <w:p>
      <w:pPr>
        <w:pStyle w:val="BodyText"/>
        <w:spacing w:before="15"/>
      </w:pPr>
    </w:p>
    <w:p>
      <w:pPr>
        <w:pStyle w:val="Heading6"/>
        <w:spacing w:before="1"/>
        <w:ind w:left="1094"/>
      </w:pPr>
      <w:r>
        <w:rPr>
          <w:color w:val="105C84"/>
          <w:spacing w:val="-2"/>
        </w:rPr>
        <w:t>Dissemination</w:t>
      </w:r>
    </w:p>
    <w:p>
      <w:pPr>
        <w:pStyle w:val="BodyText"/>
        <w:spacing w:line="247" w:lineRule="auto" w:before="268"/>
        <w:ind w:left="1094" w:right="632"/>
      </w:pPr>
      <w:r>
        <w:rPr>
          <w:color w:val="105C84"/>
        </w:rPr>
        <w:t>The Seneca County Community Health Assessment and Community Health Improvement Plan will be</w:t>
      </w:r>
      <w:r>
        <w:rPr>
          <w:color w:val="105C84"/>
          <w:spacing w:val="26"/>
        </w:rPr>
        <w:t> </w:t>
      </w:r>
      <w:r>
        <w:rPr>
          <w:color w:val="105C84"/>
        </w:rPr>
        <w:t>made</w:t>
      </w:r>
      <w:r>
        <w:rPr>
          <w:color w:val="105C84"/>
          <w:spacing w:val="26"/>
        </w:rPr>
        <w:t> </w:t>
      </w:r>
      <w:r>
        <w:rPr>
          <w:color w:val="105C84"/>
        </w:rPr>
        <w:t>available</w:t>
      </w:r>
      <w:r>
        <w:rPr>
          <w:color w:val="105C84"/>
          <w:spacing w:val="26"/>
        </w:rPr>
        <w:t> </w:t>
      </w:r>
      <w:r>
        <w:rPr>
          <w:color w:val="105C84"/>
        </w:rPr>
        <w:t>to</w:t>
      </w:r>
      <w:r>
        <w:rPr>
          <w:color w:val="105C84"/>
          <w:spacing w:val="26"/>
        </w:rPr>
        <w:t> </w:t>
      </w:r>
      <w:r>
        <w:rPr>
          <w:color w:val="105C84"/>
        </w:rPr>
        <w:t>community</w:t>
      </w:r>
      <w:r>
        <w:rPr>
          <w:color w:val="105C84"/>
          <w:spacing w:val="26"/>
        </w:rPr>
        <w:t> </w:t>
      </w:r>
      <w:r>
        <w:rPr>
          <w:color w:val="105C84"/>
        </w:rPr>
        <w:t>agencies</w:t>
      </w:r>
      <w:r>
        <w:rPr>
          <w:color w:val="105C84"/>
          <w:spacing w:val="26"/>
        </w:rPr>
        <w:t> </w:t>
      </w:r>
      <w:r>
        <w:rPr>
          <w:color w:val="105C84"/>
        </w:rPr>
        <w:t>and</w:t>
      </w:r>
      <w:r>
        <w:rPr>
          <w:color w:val="105C84"/>
          <w:spacing w:val="26"/>
        </w:rPr>
        <w:t> </w:t>
      </w:r>
      <w:r>
        <w:rPr>
          <w:color w:val="105C84"/>
        </w:rPr>
        <w:t>partners</w:t>
      </w:r>
      <w:r>
        <w:rPr>
          <w:color w:val="105C84"/>
          <w:spacing w:val="26"/>
        </w:rPr>
        <w:t> </w:t>
      </w:r>
      <w:r>
        <w:rPr>
          <w:color w:val="105C84"/>
        </w:rPr>
        <w:t>by</w:t>
      </w:r>
      <w:r>
        <w:rPr>
          <w:color w:val="105C84"/>
          <w:spacing w:val="26"/>
        </w:rPr>
        <w:t> </w:t>
      </w:r>
      <w:r>
        <w:rPr>
          <w:color w:val="105C84"/>
        </w:rPr>
        <w:t>email</w:t>
      </w:r>
      <w:r>
        <w:rPr>
          <w:color w:val="105C84"/>
          <w:spacing w:val="26"/>
        </w:rPr>
        <w:t> </w:t>
      </w:r>
      <w:r>
        <w:rPr>
          <w:color w:val="105C84"/>
        </w:rPr>
        <w:t>and/or</w:t>
      </w:r>
      <w:r>
        <w:rPr>
          <w:color w:val="105C84"/>
          <w:spacing w:val="26"/>
        </w:rPr>
        <w:t> </w:t>
      </w:r>
      <w:r>
        <w:rPr>
          <w:color w:val="105C84"/>
        </w:rPr>
        <w:t>hard</w:t>
      </w:r>
      <w:r>
        <w:rPr>
          <w:color w:val="105C84"/>
          <w:spacing w:val="26"/>
        </w:rPr>
        <w:t> </w:t>
      </w:r>
      <w:r>
        <w:rPr>
          <w:color w:val="105C84"/>
        </w:rPr>
        <w:t>copy.</w:t>
      </w:r>
      <w:r>
        <w:rPr>
          <w:color w:val="105C84"/>
          <w:spacing w:val="26"/>
        </w:rPr>
        <w:t> </w:t>
      </w:r>
      <w:r>
        <w:rPr>
          <w:color w:val="105C84"/>
        </w:rPr>
        <w:t>Members</w:t>
      </w:r>
      <w:r>
        <w:rPr>
          <w:color w:val="105C84"/>
          <w:spacing w:val="26"/>
        </w:rPr>
        <w:t> </w:t>
      </w:r>
      <w:r>
        <w:rPr>
          <w:color w:val="105C84"/>
        </w:rPr>
        <w:t>of the</w:t>
      </w:r>
      <w:r>
        <w:rPr>
          <w:color w:val="105C84"/>
          <w:spacing w:val="15"/>
        </w:rPr>
        <w:t> </w:t>
      </w:r>
      <w:r>
        <w:rPr>
          <w:color w:val="105C84"/>
        </w:rPr>
        <w:t>public</w:t>
      </w:r>
      <w:r>
        <w:rPr>
          <w:color w:val="105C84"/>
          <w:spacing w:val="15"/>
        </w:rPr>
        <w:t> </w:t>
      </w:r>
      <w:r>
        <w:rPr>
          <w:color w:val="105C84"/>
        </w:rPr>
        <w:t>will</w:t>
      </w:r>
      <w:r>
        <w:rPr>
          <w:color w:val="105C84"/>
          <w:spacing w:val="15"/>
        </w:rPr>
        <w:t> </w:t>
      </w:r>
      <w:r>
        <w:rPr>
          <w:color w:val="105C84"/>
        </w:rPr>
        <w:t>be</w:t>
      </w:r>
      <w:r>
        <w:rPr>
          <w:color w:val="105C84"/>
          <w:spacing w:val="15"/>
        </w:rPr>
        <w:t> </w:t>
      </w:r>
      <w:r>
        <w:rPr>
          <w:color w:val="105C84"/>
        </w:rPr>
        <w:t>able</w:t>
      </w:r>
      <w:r>
        <w:rPr>
          <w:color w:val="105C84"/>
          <w:spacing w:val="15"/>
        </w:rPr>
        <w:t> </w:t>
      </w:r>
      <w:r>
        <w:rPr>
          <w:color w:val="105C84"/>
        </w:rPr>
        <w:t>to</w:t>
      </w:r>
      <w:r>
        <w:rPr>
          <w:color w:val="105C84"/>
          <w:spacing w:val="15"/>
        </w:rPr>
        <w:t> </w:t>
      </w:r>
      <w:r>
        <w:rPr>
          <w:color w:val="105C84"/>
        </w:rPr>
        <w:t>pick</w:t>
      </w:r>
      <w:r>
        <w:rPr>
          <w:color w:val="105C84"/>
          <w:spacing w:val="15"/>
        </w:rPr>
        <w:t> </w:t>
      </w:r>
      <w:r>
        <w:rPr>
          <w:color w:val="105C84"/>
        </w:rPr>
        <w:t>up</w:t>
      </w:r>
      <w:r>
        <w:rPr>
          <w:color w:val="105C84"/>
          <w:spacing w:val="15"/>
        </w:rPr>
        <w:t> </w:t>
      </w:r>
      <w:r>
        <w:rPr>
          <w:color w:val="105C84"/>
        </w:rPr>
        <w:t>a</w:t>
      </w:r>
      <w:r>
        <w:rPr>
          <w:color w:val="105C84"/>
          <w:spacing w:val="15"/>
        </w:rPr>
        <w:t> </w:t>
      </w:r>
      <w:r>
        <w:rPr>
          <w:color w:val="105C84"/>
        </w:rPr>
        <w:t>copy</w:t>
      </w:r>
      <w:r>
        <w:rPr>
          <w:color w:val="105C84"/>
          <w:spacing w:val="15"/>
        </w:rPr>
        <w:t> </w:t>
      </w:r>
      <w:r>
        <w:rPr>
          <w:color w:val="105C84"/>
        </w:rPr>
        <w:t>of</w:t>
      </w:r>
      <w:r>
        <w:rPr>
          <w:color w:val="105C84"/>
          <w:spacing w:val="15"/>
        </w:rPr>
        <w:t> </w:t>
      </w:r>
      <w:r>
        <w:rPr>
          <w:color w:val="105C84"/>
        </w:rPr>
        <w:t>the</w:t>
      </w:r>
      <w:r>
        <w:rPr>
          <w:color w:val="105C84"/>
          <w:spacing w:val="15"/>
        </w:rPr>
        <w:t> </w:t>
      </w:r>
      <w:r>
        <w:rPr>
          <w:color w:val="105C84"/>
        </w:rPr>
        <w:t>CHA</w:t>
      </w:r>
      <w:r>
        <w:rPr>
          <w:color w:val="105C84"/>
          <w:spacing w:val="15"/>
        </w:rPr>
        <w:t> </w:t>
      </w:r>
      <w:r>
        <w:rPr>
          <w:color w:val="105C84"/>
        </w:rPr>
        <w:t>at</w:t>
      </w:r>
      <w:r>
        <w:rPr>
          <w:color w:val="105C84"/>
          <w:spacing w:val="15"/>
        </w:rPr>
        <w:t> </w:t>
      </w:r>
      <w:r>
        <w:rPr>
          <w:color w:val="105C84"/>
        </w:rPr>
        <w:t>their</w:t>
      </w:r>
      <w:r>
        <w:rPr>
          <w:color w:val="105C84"/>
          <w:spacing w:val="15"/>
        </w:rPr>
        <w:t> </w:t>
      </w:r>
      <w:r>
        <w:rPr>
          <w:color w:val="105C84"/>
        </w:rPr>
        <w:t>local</w:t>
      </w:r>
      <w:r>
        <w:rPr>
          <w:color w:val="105C84"/>
          <w:spacing w:val="15"/>
        </w:rPr>
        <w:t> </w:t>
      </w:r>
      <w:r>
        <w:rPr>
          <w:color w:val="105C84"/>
        </w:rPr>
        <w:t>libraries</w:t>
      </w:r>
      <w:r>
        <w:rPr>
          <w:color w:val="105C84"/>
          <w:spacing w:val="15"/>
        </w:rPr>
        <w:t> </w:t>
      </w:r>
      <w:r>
        <w:rPr>
          <w:color w:val="105C84"/>
        </w:rPr>
        <w:t>and</w:t>
      </w:r>
      <w:r>
        <w:rPr>
          <w:color w:val="105C84"/>
          <w:spacing w:val="15"/>
        </w:rPr>
        <w:t> </w:t>
      </w:r>
      <w:r>
        <w:rPr>
          <w:color w:val="105C84"/>
        </w:rPr>
        <w:t>it</w:t>
      </w:r>
      <w:r>
        <w:rPr>
          <w:color w:val="105C84"/>
          <w:spacing w:val="15"/>
        </w:rPr>
        <w:t> </w:t>
      </w:r>
      <w:r>
        <w:rPr>
          <w:color w:val="105C84"/>
        </w:rPr>
        <w:t>will</w:t>
      </w:r>
      <w:r>
        <w:rPr>
          <w:color w:val="105C84"/>
          <w:spacing w:val="15"/>
        </w:rPr>
        <w:t> </w:t>
      </w:r>
      <w:r>
        <w:rPr>
          <w:color w:val="105C84"/>
        </w:rPr>
        <w:t>posted</w:t>
      </w:r>
      <w:r>
        <w:rPr>
          <w:color w:val="105C84"/>
          <w:spacing w:val="15"/>
        </w:rPr>
        <w:t> </w:t>
      </w:r>
      <w:r>
        <w:rPr>
          <w:color w:val="105C84"/>
        </w:rPr>
        <w:t>on</w:t>
      </w:r>
      <w:r>
        <w:rPr>
          <w:color w:val="105C84"/>
          <w:spacing w:val="15"/>
        </w:rPr>
        <w:t> </w:t>
      </w:r>
      <w:r>
        <w:rPr>
          <w:color w:val="105C84"/>
        </w:rPr>
        <w:t>the county</w:t>
      </w:r>
      <w:r>
        <w:rPr>
          <w:color w:val="105C84"/>
          <w:spacing w:val="40"/>
        </w:rPr>
        <w:t> </w:t>
      </w:r>
      <w:r>
        <w:rPr>
          <w:color w:val="105C84"/>
        </w:rPr>
        <w:t>website</w:t>
      </w:r>
      <w:r>
        <w:rPr>
          <w:color w:val="105C84"/>
          <w:spacing w:val="40"/>
        </w:rPr>
        <w:t> </w:t>
      </w:r>
      <w:r>
        <w:rPr>
          <w:color w:val="105C84"/>
        </w:rPr>
        <w:t>at</w:t>
      </w:r>
      <w:r>
        <w:rPr>
          <w:color w:val="105C84"/>
          <w:spacing w:val="40"/>
        </w:rPr>
        <w:t> </w:t>
      </w:r>
      <w:hyperlink r:id="rId172">
        <w:r>
          <w:rPr>
            <w:color w:val="105C84"/>
          </w:rPr>
          <w:t>https://www.co.seneca.ny.us/departments/community-services/public-health/.</w:t>
        </w:r>
      </w:hyperlink>
    </w:p>
    <w:p>
      <w:pPr>
        <w:pStyle w:val="BodyText"/>
        <w:spacing w:line="247" w:lineRule="auto"/>
        <w:ind w:left="1094" w:right="616"/>
      </w:pPr>
      <w:r>
        <w:rPr>
          <w:color w:val="105C84"/>
        </w:rPr>
        <w:t>Links will also be posted on the health department’s Facebook Page. In addition, electronic copies</w:t>
      </w:r>
      <w:r>
        <w:rPr>
          <w:color w:val="105C84"/>
          <w:spacing w:val="40"/>
        </w:rPr>
        <w:t> </w:t>
      </w:r>
      <w:r>
        <w:rPr>
          <w:color w:val="105C84"/>
        </w:rPr>
        <w:t>will be sent to the Seneca County Chamber of Commerce and requests for posting on Seneca County School District websites will also be made. Copies will also be available on the websites of the S2AY Rural Health Network, Common Ground Health and Seneca Towns Engaging People for </w:t>
      </w:r>
      <w:r>
        <w:rPr>
          <w:color w:val="105C84"/>
          <w:spacing w:val="-2"/>
        </w:rPr>
        <w:t>Solutions.</w:t>
      </w:r>
    </w:p>
    <w:p>
      <w:pPr>
        <w:pStyle w:val="BodyText"/>
        <w:spacing w:after="0" w:line="247" w:lineRule="auto"/>
        <w:sectPr>
          <w:type w:val="continuous"/>
          <w:pgSz w:w="24480" w:h="15840" w:orient="landscape"/>
          <w:pgMar w:header="0" w:footer="0" w:top="0" w:bottom="280" w:left="0" w:right="720"/>
          <w:cols w:num="2" w:equalWidth="0">
            <w:col w:w="11200" w:space="1026"/>
            <w:col w:w="11534"/>
          </w:cols>
        </w:sectPr>
      </w:pPr>
    </w:p>
    <w:p>
      <w:pPr>
        <w:pStyle w:val="BodyText"/>
        <w:spacing w:before="7"/>
        <w:rPr>
          <w:sz w:val="17"/>
        </w:rPr>
      </w:pPr>
      <w:r>
        <w:rPr>
          <w:sz w:val="17"/>
        </w:rPr>
        <mc:AlternateContent>
          <mc:Choice Requires="wps">
            <w:drawing>
              <wp:anchor distT="0" distB="0" distL="0" distR="0" allowOverlap="1" layoutInCell="1" locked="0" behindDoc="0" simplePos="0" relativeHeight="15860736">
                <wp:simplePos x="0" y="0"/>
                <wp:positionH relativeFrom="page">
                  <wp:posOffset>7772400</wp:posOffset>
                </wp:positionH>
                <wp:positionV relativeFrom="page">
                  <wp:posOffset>6400800</wp:posOffset>
                </wp:positionV>
                <wp:extent cx="7772400" cy="3657600"/>
                <wp:effectExtent l="0" t="0" r="0" b="0"/>
                <wp:wrapNone/>
                <wp:docPr id="1181" name="Group 1181"/>
                <wp:cNvGraphicFramePr>
                  <a:graphicFrameLocks/>
                </wp:cNvGraphicFramePr>
                <a:graphic>
                  <a:graphicData uri="http://schemas.microsoft.com/office/word/2010/wordprocessingGroup">
                    <wpg:wgp>
                      <wpg:cNvPr id="1181" name="Group 1181"/>
                      <wpg:cNvGrpSpPr/>
                      <wpg:grpSpPr>
                        <a:xfrm>
                          <a:off x="0" y="0"/>
                          <a:ext cx="7772400" cy="3657600"/>
                          <a:chExt cx="7772400" cy="3657600"/>
                        </a:xfrm>
                      </wpg:grpSpPr>
                      <pic:pic>
                        <pic:nvPicPr>
                          <pic:cNvPr id="1182" name="Image 1182"/>
                          <pic:cNvPicPr/>
                        </pic:nvPicPr>
                        <pic:blipFill>
                          <a:blip r:embed="rId38" cstate="print"/>
                          <a:stretch>
                            <a:fillRect/>
                          </a:stretch>
                        </pic:blipFill>
                        <pic:spPr>
                          <a:xfrm>
                            <a:off x="7209156" y="3267303"/>
                            <a:ext cx="563245" cy="184683"/>
                          </a:xfrm>
                          <a:prstGeom prst="rect">
                            <a:avLst/>
                          </a:prstGeom>
                        </pic:spPr>
                      </pic:pic>
                      <pic:pic>
                        <pic:nvPicPr>
                          <pic:cNvPr id="1183" name="Image 1183"/>
                          <pic:cNvPicPr/>
                        </pic:nvPicPr>
                        <pic:blipFill>
                          <a:blip r:embed="rId173" cstate="print"/>
                          <a:stretch>
                            <a:fillRect/>
                          </a:stretch>
                        </pic:blipFill>
                        <pic:spPr>
                          <a:xfrm>
                            <a:off x="0" y="0"/>
                            <a:ext cx="7772400" cy="3657600"/>
                          </a:xfrm>
                          <a:prstGeom prst="rect">
                            <a:avLst/>
                          </a:prstGeom>
                        </pic:spPr>
                      </pic:pic>
                      <wps:wsp>
                        <wps:cNvPr id="1184" name="Textbox 1184"/>
                        <wps:cNvSpPr txBox="1"/>
                        <wps:spPr>
                          <a:xfrm>
                            <a:off x="731519" y="3218688"/>
                            <a:ext cx="1807210" cy="253365"/>
                          </a:xfrm>
                          <a:prstGeom prst="rect">
                            <a:avLst/>
                          </a:prstGeom>
                        </wps:spPr>
                        <wps:txbx>
                          <w:txbxContent>
                            <w:p>
                              <w:pPr>
                                <w:spacing w:line="182" w:lineRule="exact" w:before="10"/>
                                <w:ind w:left="0" w:right="0" w:firstLine="0"/>
                                <w:jc w:val="left"/>
                                <w:rPr>
                                  <w:sz w:val="16"/>
                                </w:rPr>
                              </w:pPr>
                              <w:r>
                                <w:rPr>
                                  <w:color w:val="FFFFFF"/>
                                  <w:sz w:val="16"/>
                                </w:rPr>
                                <w:t>Seneca</w:t>
                              </w:r>
                              <w:r>
                                <w:rPr>
                                  <w:color w:val="FFFFFF"/>
                                  <w:spacing w:val="-6"/>
                                  <w:sz w:val="16"/>
                                </w:rPr>
                                <w:t> </w:t>
                              </w:r>
                              <w:r>
                                <w:rPr>
                                  <w:color w:val="FFFFFF"/>
                                  <w:sz w:val="16"/>
                                </w:rPr>
                                <w:t>Lake,</w:t>
                              </w:r>
                              <w:r>
                                <w:rPr>
                                  <w:color w:val="FFFFFF"/>
                                  <w:spacing w:val="-6"/>
                                  <w:sz w:val="16"/>
                                </w:rPr>
                                <w:t> </w:t>
                              </w:r>
                              <w:r>
                                <w:rPr>
                                  <w:color w:val="FFFFFF"/>
                                  <w:sz w:val="16"/>
                                </w:rPr>
                                <w:t>Ontario</w:t>
                              </w:r>
                              <w:r>
                                <w:rPr>
                                  <w:color w:val="FFFFFF"/>
                                  <w:spacing w:val="-5"/>
                                  <w:sz w:val="16"/>
                                </w:rPr>
                                <w:t> </w:t>
                              </w:r>
                              <w:r>
                                <w:rPr>
                                  <w:color w:val="FFFFFF"/>
                                  <w:spacing w:val="-2"/>
                                  <w:sz w:val="16"/>
                                </w:rPr>
                                <w:t>County</w:t>
                              </w:r>
                            </w:p>
                            <w:p>
                              <w:pPr>
                                <w:spacing w:line="182" w:lineRule="exact" w:before="0"/>
                                <w:ind w:left="0" w:right="0" w:firstLine="0"/>
                                <w:jc w:val="left"/>
                                <w:rPr>
                                  <w:sz w:val="16"/>
                                </w:rPr>
                              </w:pPr>
                              <w:r>
                                <w:rPr>
                                  <w:color w:val="FFFFFF"/>
                                  <w:sz w:val="16"/>
                                </w:rPr>
                                <w:t>Photo</w:t>
                              </w:r>
                              <w:r>
                                <w:rPr>
                                  <w:color w:val="FFFFFF"/>
                                  <w:spacing w:val="6"/>
                                  <w:sz w:val="16"/>
                                </w:rPr>
                                <w:t> </w:t>
                              </w:r>
                              <w:r>
                                <w:rPr>
                                  <w:color w:val="FFFFFF"/>
                                  <w:sz w:val="16"/>
                                </w:rPr>
                                <w:t>courtesy</w:t>
                              </w:r>
                              <w:r>
                                <w:rPr>
                                  <w:color w:val="FFFFFF"/>
                                  <w:spacing w:val="6"/>
                                  <w:sz w:val="16"/>
                                </w:rPr>
                                <w:t> </w:t>
                              </w:r>
                              <w:r>
                                <w:rPr>
                                  <w:color w:val="FFFFFF"/>
                                  <w:sz w:val="16"/>
                                </w:rPr>
                                <w:t>of</w:t>
                              </w:r>
                              <w:r>
                                <w:rPr>
                                  <w:color w:val="FFFFFF"/>
                                  <w:spacing w:val="7"/>
                                  <w:sz w:val="16"/>
                                </w:rPr>
                                <w:t> </w:t>
                              </w:r>
                              <w:r>
                                <w:rPr>
                                  <w:color w:val="FFFFFF"/>
                                  <w:spacing w:val="-2"/>
                                  <w:sz w:val="16"/>
                                </w:rPr>
                                <w:t>VisitFingerLakes.com</w:t>
                              </w:r>
                            </w:p>
                          </w:txbxContent>
                        </wps:txbx>
                        <wps:bodyPr wrap="square" lIns="0" tIns="0" rIns="0" bIns="0" rtlCol="0">
                          <a:noAutofit/>
                        </wps:bodyPr>
                      </wps:wsp>
                    </wpg:wgp>
                  </a:graphicData>
                </a:graphic>
              </wp:anchor>
            </w:drawing>
          </mc:Choice>
          <mc:Fallback>
            <w:pict>
              <v:group style="position:absolute;margin-left:612pt;margin-top:504pt;width:612pt;height:288pt;mso-position-horizontal-relative:page;mso-position-vertical-relative:page;z-index:15860736" id="docshapegroup970" coordorigin="12240,10080" coordsize="12240,5760">
                <v:shape style="position:absolute;left:23593;top:15225;width:887;height:291" type="#_x0000_t75" id="docshape971" stroked="false">
                  <v:imagedata r:id="rId38" o:title=""/>
                </v:shape>
                <v:shape style="position:absolute;left:12240;top:10080;width:12240;height:5760" type="#_x0000_t75" id="docshape972" stroked="false">
                  <v:imagedata r:id="rId173" o:title=""/>
                </v:shape>
                <v:shape style="position:absolute;left:13392;top:15148;width:2846;height:399" type="#_x0000_t202" id="docshape973" filled="false" stroked="false">
                  <v:textbox inset="0,0,0,0">
                    <w:txbxContent>
                      <w:p>
                        <w:pPr>
                          <w:spacing w:line="182" w:lineRule="exact" w:before="10"/>
                          <w:ind w:left="0" w:right="0" w:firstLine="0"/>
                          <w:jc w:val="left"/>
                          <w:rPr>
                            <w:sz w:val="16"/>
                          </w:rPr>
                        </w:pPr>
                        <w:r>
                          <w:rPr>
                            <w:color w:val="FFFFFF"/>
                            <w:sz w:val="16"/>
                          </w:rPr>
                          <w:t>Seneca</w:t>
                        </w:r>
                        <w:r>
                          <w:rPr>
                            <w:color w:val="FFFFFF"/>
                            <w:spacing w:val="-6"/>
                            <w:sz w:val="16"/>
                          </w:rPr>
                          <w:t> </w:t>
                        </w:r>
                        <w:r>
                          <w:rPr>
                            <w:color w:val="FFFFFF"/>
                            <w:sz w:val="16"/>
                          </w:rPr>
                          <w:t>Lake,</w:t>
                        </w:r>
                        <w:r>
                          <w:rPr>
                            <w:color w:val="FFFFFF"/>
                            <w:spacing w:val="-6"/>
                            <w:sz w:val="16"/>
                          </w:rPr>
                          <w:t> </w:t>
                        </w:r>
                        <w:r>
                          <w:rPr>
                            <w:color w:val="FFFFFF"/>
                            <w:sz w:val="16"/>
                          </w:rPr>
                          <w:t>Ontario</w:t>
                        </w:r>
                        <w:r>
                          <w:rPr>
                            <w:color w:val="FFFFFF"/>
                            <w:spacing w:val="-5"/>
                            <w:sz w:val="16"/>
                          </w:rPr>
                          <w:t> </w:t>
                        </w:r>
                        <w:r>
                          <w:rPr>
                            <w:color w:val="FFFFFF"/>
                            <w:spacing w:val="-2"/>
                            <w:sz w:val="16"/>
                          </w:rPr>
                          <w:t>County</w:t>
                        </w:r>
                      </w:p>
                      <w:p>
                        <w:pPr>
                          <w:spacing w:line="182" w:lineRule="exact" w:before="0"/>
                          <w:ind w:left="0" w:right="0" w:firstLine="0"/>
                          <w:jc w:val="left"/>
                          <w:rPr>
                            <w:sz w:val="16"/>
                          </w:rPr>
                        </w:pPr>
                        <w:r>
                          <w:rPr>
                            <w:color w:val="FFFFFF"/>
                            <w:sz w:val="16"/>
                          </w:rPr>
                          <w:t>Photo</w:t>
                        </w:r>
                        <w:r>
                          <w:rPr>
                            <w:color w:val="FFFFFF"/>
                            <w:spacing w:val="6"/>
                            <w:sz w:val="16"/>
                          </w:rPr>
                          <w:t> </w:t>
                        </w:r>
                        <w:r>
                          <w:rPr>
                            <w:color w:val="FFFFFF"/>
                            <w:sz w:val="16"/>
                          </w:rPr>
                          <w:t>courtesy</w:t>
                        </w:r>
                        <w:r>
                          <w:rPr>
                            <w:color w:val="FFFFFF"/>
                            <w:spacing w:val="6"/>
                            <w:sz w:val="16"/>
                          </w:rPr>
                          <w:t> </w:t>
                        </w:r>
                        <w:r>
                          <w:rPr>
                            <w:color w:val="FFFFFF"/>
                            <w:sz w:val="16"/>
                          </w:rPr>
                          <w:t>of</w:t>
                        </w:r>
                        <w:r>
                          <w:rPr>
                            <w:color w:val="FFFFFF"/>
                            <w:spacing w:val="7"/>
                            <w:sz w:val="16"/>
                          </w:rPr>
                          <w:t> </w:t>
                        </w:r>
                        <w:r>
                          <w:rPr>
                            <w:color w:val="FFFFFF"/>
                            <w:spacing w:val="-2"/>
                            <w:sz w:val="16"/>
                          </w:rPr>
                          <w:t>VisitFingerLakes.com</w:t>
                        </w:r>
                      </w:p>
                    </w:txbxContent>
                  </v:textbox>
                  <w10:wrap type="none"/>
                </v:shape>
                <w10:wrap type="none"/>
              </v:group>
            </w:pict>
          </mc:Fallback>
        </mc:AlternateContent>
      </w:r>
    </w:p>
    <w:p>
      <w:pPr>
        <w:spacing w:line="240" w:lineRule="auto"/>
        <w:ind w:left="1091" w:right="0" w:firstLine="0"/>
        <w:rPr>
          <w:sz w:val="20"/>
        </w:rPr>
      </w:pPr>
      <w:r>
        <w:rPr>
          <w:sz w:val="20"/>
        </w:rPr>
        <mc:AlternateContent>
          <mc:Choice Requires="wps">
            <w:drawing>
              <wp:inline distT="0" distB="0" distL="0" distR="0">
                <wp:extent cx="6677025" cy="2917825"/>
                <wp:effectExtent l="9525" t="0" r="0" b="6350"/>
                <wp:docPr id="1185" name="Group 1185"/>
                <wp:cNvGraphicFramePr>
                  <a:graphicFrameLocks/>
                </wp:cNvGraphicFramePr>
                <a:graphic>
                  <a:graphicData uri="http://schemas.microsoft.com/office/word/2010/wordprocessingGroup">
                    <wpg:wgp>
                      <wpg:cNvPr id="1185" name="Group 1185"/>
                      <wpg:cNvGrpSpPr/>
                      <wpg:grpSpPr>
                        <a:xfrm>
                          <a:off x="0" y="0"/>
                          <a:ext cx="6677025" cy="2917825"/>
                          <a:chExt cx="6677025" cy="2917825"/>
                        </a:xfrm>
                      </wpg:grpSpPr>
                      <wps:wsp>
                        <wps:cNvPr id="1186" name="Graphic 1186"/>
                        <wps:cNvSpPr/>
                        <wps:spPr>
                          <a:xfrm>
                            <a:off x="1587" y="1587"/>
                            <a:ext cx="6673850" cy="318770"/>
                          </a:xfrm>
                          <a:custGeom>
                            <a:avLst/>
                            <a:gdLst/>
                            <a:ahLst/>
                            <a:cxnLst/>
                            <a:rect l="l" t="t" r="r" b="b"/>
                            <a:pathLst>
                              <a:path w="6673850" h="318770">
                                <a:moveTo>
                                  <a:pt x="6673532" y="0"/>
                                </a:moveTo>
                                <a:lnTo>
                                  <a:pt x="0" y="0"/>
                                </a:lnTo>
                                <a:lnTo>
                                  <a:pt x="0" y="318198"/>
                                </a:lnTo>
                                <a:lnTo>
                                  <a:pt x="6673532" y="318198"/>
                                </a:lnTo>
                                <a:lnTo>
                                  <a:pt x="6673532" y="0"/>
                                </a:lnTo>
                                <a:close/>
                              </a:path>
                            </a:pathLst>
                          </a:custGeom>
                          <a:solidFill>
                            <a:srgbClr val="939598"/>
                          </a:solidFill>
                        </wps:spPr>
                        <wps:bodyPr wrap="square" lIns="0" tIns="0" rIns="0" bIns="0" rtlCol="0">
                          <a:prstTxWarp prst="textNoShape">
                            <a:avLst/>
                          </a:prstTxWarp>
                          <a:noAutofit/>
                        </wps:bodyPr>
                      </wps:wsp>
                      <wps:wsp>
                        <wps:cNvPr id="1187" name="Graphic 1187"/>
                        <wps:cNvSpPr/>
                        <wps:spPr>
                          <a:xfrm>
                            <a:off x="2304288" y="553212"/>
                            <a:ext cx="2121535" cy="1270"/>
                          </a:xfrm>
                          <a:custGeom>
                            <a:avLst/>
                            <a:gdLst/>
                            <a:ahLst/>
                            <a:cxnLst/>
                            <a:rect l="l" t="t" r="r" b="b"/>
                            <a:pathLst>
                              <a:path w="2121535" h="0">
                                <a:moveTo>
                                  <a:pt x="0" y="0"/>
                                </a:moveTo>
                                <a:lnTo>
                                  <a:pt x="2121408" y="0"/>
                                </a:lnTo>
                              </a:path>
                            </a:pathLst>
                          </a:custGeom>
                          <a:ln w="3175">
                            <a:solidFill>
                              <a:srgbClr val="636466"/>
                            </a:solidFill>
                            <a:prstDash val="solid"/>
                          </a:ln>
                        </wps:spPr>
                        <wps:bodyPr wrap="square" lIns="0" tIns="0" rIns="0" bIns="0" rtlCol="0">
                          <a:prstTxWarp prst="textNoShape">
                            <a:avLst/>
                          </a:prstTxWarp>
                          <a:noAutofit/>
                        </wps:bodyPr>
                      </wps:wsp>
                      <wps:wsp>
                        <wps:cNvPr id="1188" name="Graphic 1188"/>
                        <wps:cNvSpPr/>
                        <wps:spPr>
                          <a:xfrm>
                            <a:off x="2304288" y="951738"/>
                            <a:ext cx="2121535" cy="1270"/>
                          </a:xfrm>
                          <a:custGeom>
                            <a:avLst/>
                            <a:gdLst/>
                            <a:ahLst/>
                            <a:cxnLst/>
                            <a:rect l="l" t="t" r="r" b="b"/>
                            <a:pathLst>
                              <a:path w="2121535" h="0">
                                <a:moveTo>
                                  <a:pt x="0" y="0"/>
                                </a:moveTo>
                                <a:lnTo>
                                  <a:pt x="2121408" y="0"/>
                                </a:lnTo>
                              </a:path>
                            </a:pathLst>
                          </a:custGeom>
                          <a:ln w="3175">
                            <a:solidFill>
                              <a:srgbClr val="636466"/>
                            </a:solidFill>
                            <a:prstDash val="solid"/>
                          </a:ln>
                        </wps:spPr>
                        <wps:bodyPr wrap="square" lIns="0" tIns="0" rIns="0" bIns="0" rtlCol="0">
                          <a:prstTxWarp prst="textNoShape">
                            <a:avLst/>
                          </a:prstTxWarp>
                          <a:noAutofit/>
                        </wps:bodyPr>
                      </wps:wsp>
                      <wps:wsp>
                        <wps:cNvPr id="1189" name="Graphic 1189"/>
                        <wps:cNvSpPr/>
                        <wps:spPr>
                          <a:xfrm>
                            <a:off x="2304288" y="1185163"/>
                            <a:ext cx="2121535" cy="1270"/>
                          </a:xfrm>
                          <a:custGeom>
                            <a:avLst/>
                            <a:gdLst/>
                            <a:ahLst/>
                            <a:cxnLst/>
                            <a:rect l="l" t="t" r="r" b="b"/>
                            <a:pathLst>
                              <a:path w="2121535" h="0">
                                <a:moveTo>
                                  <a:pt x="0" y="0"/>
                                </a:moveTo>
                                <a:lnTo>
                                  <a:pt x="2121408" y="0"/>
                                </a:lnTo>
                              </a:path>
                            </a:pathLst>
                          </a:custGeom>
                          <a:ln w="3175">
                            <a:solidFill>
                              <a:srgbClr val="636466"/>
                            </a:solidFill>
                            <a:prstDash val="solid"/>
                          </a:ln>
                        </wps:spPr>
                        <wps:bodyPr wrap="square" lIns="0" tIns="0" rIns="0" bIns="0" rtlCol="0">
                          <a:prstTxWarp prst="textNoShape">
                            <a:avLst/>
                          </a:prstTxWarp>
                          <a:noAutofit/>
                        </wps:bodyPr>
                      </wps:wsp>
                      <wps:wsp>
                        <wps:cNvPr id="1190" name="Graphic 1190"/>
                        <wps:cNvSpPr/>
                        <wps:spPr>
                          <a:xfrm>
                            <a:off x="2304288" y="1583689"/>
                            <a:ext cx="2121535" cy="1270"/>
                          </a:xfrm>
                          <a:custGeom>
                            <a:avLst/>
                            <a:gdLst/>
                            <a:ahLst/>
                            <a:cxnLst/>
                            <a:rect l="l" t="t" r="r" b="b"/>
                            <a:pathLst>
                              <a:path w="2121535" h="0">
                                <a:moveTo>
                                  <a:pt x="0" y="0"/>
                                </a:moveTo>
                                <a:lnTo>
                                  <a:pt x="2121408" y="0"/>
                                </a:lnTo>
                              </a:path>
                            </a:pathLst>
                          </a:custGeom>
                          <a:ln w="3175">
                            <a:solidFill>
                              <a:srgbClr val="636466"/>
                            </a:solidFill>
                            <a:prstDash val="solid"/>
                          </a:ln>
                        </wps:spPr>
                        <wps:bodyPr wrap="square" lIns="0" tIns="0" rIns="0" bIns="0" rtlCol="0">
                          <a:prstTxWarp prst="textNoShape">
                            <a:avLst/>
                          </a:prstTxWarp>
                          <a:noAutofit/>
                        </wps:bodyPr>
                      </wps:wsp>
                      <wps:wsp>
                        <wps:cNvPr id="1191" name="Graphic 1191"/>
                        <wps:cNvSpPr/>
                        <wps:spPr>
                          <a:xfrm>
                            <a:off x="2304288" y="2449067"/>
                            <a:ext cx="2121535" cy="1270"/>
                          </a:xfrm>
                          <a:custGeom>
                            <a:avLst/>
                            <a:gdLst/>
                            <a:ahLst/>
                            <a:cxnLst/>
                            <a:rect l="l" t="t" r="r" b="b"/>
                            <a:pathLst>
                              <a:path w="2121535" h="0">
                                <a:moveTo>
                                  <a:pt x="0" y="0"/>
                                </a:moveTo>
                                <a:lnTo>
                                  <a:pt x="2121408" y="0"/>
                                </a:lnTo>
                              </a:path>
                            </a:pathLst>
                          </a:custGeom>
                          <a:ln w="3175">
                            <a:solidFill>
                              <a:srgbClr val="636466"/>
                            </a:solidFill>
                            <a:prstDash val="solid"/>
                          </a:ln>
                        </wps:spPr>
                        <wps:bodyPr wrap="square" lIns="0" tIns="0" rIns="0" bIns="0" rtlCol="0">
                          <a:prstTxWarp prst="textNoShape">
                            <a:avLst/>
                          </a:prstTxWarp>
                          <a:noAutofit/>
                        </wps:bodyPr>
                      </wps:wsp>
                      <wps:wsp>
                        <wps:cNvPr id="1192" name="Graphic 1192"/>
                        <wps:cNvSpPr/>
                        <wps:spPr>
                          <a:xfrm>
                            <a:off x="2304288" y="2682494"/>
                            <a:ext cx="2121535" cy="1270"/>
                          </a:xfrm>
                          <a:custGeom>
                            <a:avLst/>
                            <a:gdLst/>
                            <a:ahLst/>
                            <a:cxnLst/>
                            <a:rect l="l" t="t" r="r" b="b"/>
                            <a:pathLst>
                              <a:path w="2121535" h="0">
                                <a:moveTo>
                                  <a:pt x="0" y="0"/>
                                </a:moveTo>
                                <a:lnTo>
                                  <a:pt x="2121408" y="0"/>
                                </a:lnTo>
                              </a:path>
                            </a:pathLst>
                          </a:custGeom>
                          <a:ln w="3175">
                            <a:solidFill>
                              <a:srgbClr val="636466"/>
                            </a:solidFill>
                            <a:prstDash val="solid"/>
                          </a:ln>
                        </wps:spPr>
                        <wps:bodyPr wrap="square" lIns="0" tIns="0" rIns="0" bIns="0" rtlCol="0">
                          <a:prstTxWarp prst="textNoShape">
                            <a:avLst/>
                          </a:prstTxWarp>
                          <a:noAutofit/>
                        </wps:bodyPr>
                      </wps:wsp>
                      <wps:wsp>
                        <wps:cNvPr id="1193" name="Graphic 1193"/>
                        <wps:cNvSpPr/>
                        <wps:spPr>
                          <a:xfrm>
                            <a:off x="2304288" y="2915920"/>
                            <a:ext cx="2121535" cy="1270"/>
                          </a:xfrm>
                          <a:custGeom>
                            <a:avLst/>
                            <a:gdLst/>
                            <a:ahLst/>
                            <a:cxnLst/>
                            <a:rect l="l" t="t" r="r" b="b"/>
                            <a:pathLst>
                              <a:path w="2121535" h="0">
                                <a:moveTo>
                                  <a:pt x="0" y="0"/>
                                </a:moveTo>
                                <a:lnTo>
                                  <a:pt x="2121408" y="0"/>
                                </a:lnTo>
                              </a:path>
                            </a:pathLst>
                          </a:custGeom>
                          <a:ln w="3175">
                            <a:solidFill>
                              <a:srgbClr val="636466"/>
                            </a:solidFill>
                            <a:prstDash val="solid"/>
                          </a:ln>
                        </wps:spPr>
                        <wps:bodyPr wrap="square" lIns="0" tIns="0" rIns="0" bIns="0" rtlCol="0">
                          <a:prstTxWarp prst="textNoShape">
                            <a:avLst/>
                          </a:prstTxWarp>
                          <a:noAutofit/>
                        </wps:bodyPr>
                      </wps:wsp>
                      <wps:wsp>
                        <wps:cNvPr id="1194" name="Graphic 1194"/>
                        <wps:cNvSpPr/>
                        <wps:spPr>
                          <a:xfrm>
                            <a:off x="1587" y="1817116"/>
                            <a:ext cx="2138680" cy="1270"/>
                          </a:xfrm>
                          <a:custGeom>
                            <a:avLst/>
                            <a:gdLst/>
                            <a:ahLst/>
                            <a:cxnLst/>
                            <a:rect l="l" t="t" r="r" b="b"/>
                            <a:pathLst>
                              <a:path w="2138680" h="0">
                                <a:moveTo>
                                  <a:pt x="0" y="0"/>
                                </a:moveTo>
                                <a:lnTo>
                                  <a:pt x="2138108" y="0"/>
                                </a:lnTo>
                              </a:path>
                            </a:pathLst>
                          </a:custGeom>
                          <a:ln w="3175">
                            <a:solidFill>
                              <a:srgbClr val="636466"/>
                            </a:solidFill>
                            <a:prstDash val="solid"/>
                          </a:ln>
                        </wps:spPr>
                        <wps:bodyPr wrap="square" lIns="0" tIns="0" rIns="0" bIns="0" rtlCol="0">
                          <a:prstTxWarp prst="textNoShape">
                            <a:avLst/>
                          </a:prstTxWarp>
                          <a:noAutofit/>
                        </wps:bodyPr>
                      </wps:wsp>
                      <wps:wsp>
                        <wps:cNvPr id="1195" name="Graphic 1195"/>
                        <wps:cNvSpPr/>
                        <wps:spPr>
                          <a:xfrm>
                            <a:off x="2304288" y="1817116"/>
                            <a:ext cx="2121535" cy="1270"/>
                          </a:xfrm>
                          <a:custGeom>
                            <a:avLst/>
                            <a:gdLst/>
                            <a:ahLst/>
                            <a:cxnLst/>
                            <a:rect l="l" t="t" r="r" b="b"/>
                            <a:pathLst>
                              <a:path w="2121535" h="0">
                                <a:moveTo>
                                  <a:pt x="0" y="0"/>
                                </a:moveTo>
                                <a:lnTo>
                                  <a:pt x="2121408" y="0"/>
                                </a:lnTo>
                              </a:path>
                            </a:pathLst>
                          </a:custGeom>
                          <a:ln w="3175">
                            <a:solidFill>
                              <a:srgbClr val="636466"/>
                            </a:solidFill>
                            <a:prstDash val="solid"/>
                          </a:ln>
                        </wps:spPr>
                        <wps:bodyPr wrap="square" lIns="0" tIns="0" rIns="0" bIns="0" rtlCol="0">
                          <a:prstTxWarp prst="textNoShape">
                            <a:avLst/>
                          </a:prstTxWarp>
                          <a:noAutofit/>
                        </wps:bodyPr>
                      </wps:wsp>
                      <wps:wsp>
                        <wps:cNvPr id="1196" name="Graphic 1196"/>
                        <wps:cNvSpPr/>
                        <wps:spPr>
                          <a:xfrm>
                            <a:off x="4604003" y="1817116"/>
                            <a:ext cx="2071370" cy="1270"/>
                          </a:xfrm>
                          <a:custGeom>
                            <a:avLst/>
                            <a:gdLst/>
                            <a:ahLst/>
                            <a:cxnLst/>
                            <a:rect l="l" t="t" r="r" b="b"/>
                            <a:pathLst>
                              <a:path w="2071370" h="0">
                                <a:moveTo>
                                  <a:pt x="0" y="0"/>
                                </a:moveTo>
                                <a:lnTo>
                                  <a:pt x="2071116" y="0"/>
                                </a:lnTo>
                              </a:path>
                            </a:pathLst>
                          </a:custGeom>
                          <a:ln w="3175">
                            <a:solidFill>
                              <a:srgbClr val="636466"/>
                            </a:solidFill>
                            <a:prstDash val="solid"/>
                          </a:ln>
                        </wps:spPr>
                        <wps:bodyPr wrap="square" lIns="0" tIns="0" rIns="0" bIns="0" rtlCol="0">
                          <a:prstTxWarp prst="textNoShape">
                            <a:avLst/>
                          </a:prstTxWarp>
                          <a:noAutofit/>
                        </wps:bodyPr>
                      </wps:wsp>
                      <wps:wsp>
                        <wps:cNvPr id="1197" name="Graphic 1197"/>
                        <wps:cNvSpPr/>
                        <wps:spPr>
                          <a:xfrm>
                            <a:off x="1587" y="2215642"/>
                            <a:ext cx="2138680" cy="1270"/>
                          </a:xfrm>
                          <a:custGeom>
                            <a:avLst/>
                            <a:gdLst/>
                            <a:ahLst/>
                            <a:cxnLst/>
                            <a:rect l="l" t="t" r="r" b="b"/>
                            <a:pathLst>
                              <a:path w="2138680" h="0">
                                <a:moveTo>
                                  <a:pt x="0" y="0"/>
                                </a:moveTo>
                                <a:lnTo>
                                  <a:pt x="2138108" y="0"/>
                                </a:lnTo>
                              </a:path>
                            </a:pathLst>
                          </a:custGeom>
                          <a:ln w="3175">
                            <a:solidFill>
                              <a:srgbClr val="636466"/>
                            </a:solidFill>
                            <a:prstDash val="solid"/>
                          </a:ln>
                        </wps:spPr>
                        <wps:bodyPr wrap="square" lIns="0" tIns="0" rIns="0" bIns="0" rtlCol="0">
                          <a:prstTxWarp prst="textNoShape">
                            <a:avLst/>
                          </a:prstTxWarp>
                          <a:noAutofit/>
                        </wps:bodyPr>
                      </wps:wsp>
                      <wps:wsp>
                        <wps:cNvPr id="1198" name="Graphic 1198"/>
                        <wps:cNvSpPr/>
                        <wps:spPr>
                          <a:xfrm>
                            <a:off x="2304288" y="2215642"/>
                            <a:ext cx="2121535" cy="1270"/>
                          </a:xfrm>
                          <a:custGeom>
                            <a:avLst/>
                            <a:gdLst/>
                            <a:ahLst/>
                            <a:cxnLst/>
                            <a:rect l="l" t="t" r="r" b="b"/>
                            <a:pathLst>
                              <a:path w="2121535" h="0">
                                <a:moveTo>
                                  <a:pt x="0" y="0"/>
                                </a:moveTo>
                                <a:lnTo>
                                  <a:pt x="2121408" y="0"/>
                                </a:lnTo>
                              </a:path>
                            </a:pathLst>
                          </a:custGeom>
                          <a:ln w="3175">
                            <a:solidFill>
                              <a:srgbClr val="636466"/>
                            </a:solidFill>
                            <a:prstDash val="solid"/>
                          </a:ln>
                        </wps:spPr>
                        <wps:bodyPr wrap="square" lIns="0" tIns="0" rIns="0" bIns="0" rtlCol="0">
                          <a:prstTxWarp prst="textNoShape">
                            <a:avLst/>
                          </a:prstTxWarp>
                          <a:noAutofit/>
                        </wps:bodyPr>
                      </wps:wsp>
                      <wps:wsp>
                        <wps:cNvPr id="1199" name="Graphic 1199"/>
                        <wps:cNvSpPr/>
                        <wps:spPr>
                          <a:xfrm>
                            <a:off x="4604003" y="2215642"/>
                            <a:ext cx="2071370" cy="1270"/>
                          </a:xfrm>
                          <a:custGeom>
                            <a:avLst/>
                            <a:gdLst/>
                            <a:ahLst/>
                            <a:cxnLst/>
                            <a:rect l="l" t="t" r="r" b="b"/>
                            <a:pathLst>
                              <a:path w="2071370" h="0">
                                <a:moveTo>
                                  <a:pt x="0" y="0"/>
                                </a:moveTo>
                                <a:lnTo>
                                  <a:pt x="2071116" y="0"/>
                                </a:lnTo>
                              </a:path>
                            </a:pathLst>
                          </a:custGeom>
                          <a:ln w="3175">
                            <a:solidFill>
                              <a:srgbClr val="636466"/>
                            </a:solidFill>
                            <a:prstDash val="solid"/>
                          </a:ln>
                        </wps:spPr>
                        <wps:bodyPr wrap="square" lIns="0" tIns="0" rIns="0" bIns="0" rtlCol="0">
                          <a:prstTxWarp prst="textNoShape">
                            <a:avLst/>
                          </a:prstTxWarp>
                          <a:noAutofit/>
                        </wps:bodyPr>
                      </wps:wsp>
                      <wps:wsp>
                        <wps:cNvPr id="1200" name="Graphic 1200"/>
                        <wps:cNvSpPr/>
                        <wps:spPr>
                          <a:xfrm>
                            <a:off x="0" y="1587"/>
                            <a:ext cx="2139950" cy="1270"/>
                          </a:xfrm>
                          <a:custGeom>
                            <a:avLst/>
                            <a:gdLst/>
                            <a:ahLst/>
                            <a:cxnLst/>
                            <a:rect l="l" t="t" r="r" b="b"/>
                            <a:pathLst>
                              <a:path w="2139950" h="0">
                                <a:moveTo>
                                  <a:pt x="0" y="0"/>
                                </a:moveTo>
                                <a:lnTo>
                                  <a:pt x="2139696" y="0"/>
                                </a:lnTo>
                              </a:path>
                            </a:pathLst>
                          </a:custGeom>
                          <a:ln w="3175">
                            <a:solidFill>
                              <a:srgbClr val="636466"/>
                            </a:solidFill>
                            <a:prstDash val="solid"/>
                          </a:ln>
                        </wps:spPr>
                        <wps:bodyPr wrap="square" lIns="0" tIns="0" rIns="0" bIns="0" rtlCol="0">
                          <a:prstTxWarp prst="textNoShape">
                            <a:avLst/>
                          </a:prstTxWarp>
                          <a:noAutofit/>
                        </wps:bodyPr>
                      </wps:wsp>
                      <wps:wsp>
                        <wps:cNvPr id="1201" name="Graphic 1201"/>
                        <wps:cNvSpPr/>
                        <wps:spPr>
                          <a:xfrm>
                            <a:off x="1587" y="3175"/>
                            <a:ext cx="1270" cy="316865"/>
                          </a:xfrm>
                          <a:custGeom>
                            <a:avLst/>
                            <a:gdLst/>
                            <a:ahLst/>
                            <a:cxnLst/>
                            <a:rect l="l" t="t" r="r" b="b"/>
                            <a:pathLst>
                              <a:path w="0" h="316865">
                                <a:moveTo>
                                  <a:pt x="0" y="316611"/>
                                </a:moveTo>
                                <a:lnTo>
                                  <a:pt x="0" y="0"/>
                                </a:lnTo>
                              </a:path>
                            </a:pathLst>
                          </a:custGeom>
                          <a:ln w="3175">
                            <a:solidFill>
                              <a:srgbClr val="636466"/>
                            </a:solidFill>
                            <a:prstDash val="solid"/>
                          </a:ln>
                        </wps:spPr>
                        <wps:bodyPr wrap="square" lIns="0" tIns="0" rIns="0" bIns="0" rtlCol="0">
                          <a:prstTxWarp prst="textNoShape">
                            <a:avLst/>
                          </a:prstTxWarp>
                          <a:noAutofit/>
                        </wps:bodyPr>
                      </wps:wsp>
                      <wps:wsp>
                        <wps:cNvPr id="1202" name="Graphic 1202"/>
                        <wps:cNvSpPr/>
                        <wps:spPr>
                          <a:xfrm>
                            <a:off x="2139695" y="1587"/>
                            <a:ext cx="165100" cy="1270"/>
                          </a:xfrm>
                          <a:custGeom>
                            <a:avLst/>
                            <a:gdLst/>
                            <a:ahLst/>
                            <a:cxnLst/>
                            <a:rect l="l" t="t" r="r" b="b"/>
                            <a:pathLst>
                              <a:path w="165100" h="0">
                                <a:moveTo>
                                  <a:pt x="0" y="0"/>
                                </a:moveTo>
                                <a:lnTo>
                                  <a:pt x="164592" y="0"/>
                                </a:lnTo>
                              </a:path>
                            </a:pathLst>
                          </a:custGeom>
                          <a:ln w="3175">
                            <a:solidFill>
                              <a:srgbClr val="636466"/>
                            </a:solidFill>
                            <a:prstDash val="solid"/>
                          </a:ln>
                        </wps:spPr>
                        <wps:bodyPr wrap="square" lIns="0" tIns="0" rIns="0" bIns="0" rtlCol="0">
                          <a:prstTxWarp prst="textNoShape">
                            <a:avLst/>
                          </a:prstTxWarp>
                          <a:noAutofit/>
                        </wps:bodyPr>
                      </wps:wsp>
                      <wps:wsp>
                        <wps:cNvPr id="1203" name="Graphic 1203"/>
                        <wps:cNvSpPr/>
                        <wps:spPr>
                          <a:xfrm>
                            <a:off x="2304288" y="1587"/>
                            <a:ext cx="2121535" cy="1270"/>
                          </a:xfrm>
                          <a:custGeom>
                            <a:avLst/>
                            <a:gdLst/>
                            <a:ahLst/>
                            <a:cxnLst/>
                            <a:rect l="l" t="t" r="r" b="b"/>
                            <a:pathLst>
                              <a:path w="2121535" h="0">
                                <a:moveTo>
                                  <a:pt x="0" y="0"/>
                                </a:moveTo>
                                <a:lnTo>
                                  <a:pt x="2121408" y="0"/>
                                </a:lnTo>
                              </a:path>
                            </a:pathLst>
                          </a:custGeom>
                          <a:ln w="3175">
                            <a:solidFill>
                              <a:srgbClr val="636466"/>
                            </a:solidFill>
                            <a:prstDash val="solid"/>
                          </a:ln>
                        </wps:spPr>
                        <wps:bodyPr wrap="square" lIns="0" tIns="0" rIns="0" bIns="0" rtlCol="0">
                          <a:prstTxWarp prst="textNoShape">
                            <a:avLst/>
                          </a:prstTxWarp>
                          <a:noAutofit/>
                        </wps:bodyPr>
                      </wps:wsp>
                      <wps:wsp>
                        <wps:cNvPr id="1204" name="Graphic 1204"/>
                        <wps:cNvSpPr/>
                        <wps:spPr>
                          <a:xfrm>
                            <a:off x="4425696" y="1587"/>
                            <a:ext cx="178435" cy="1270"/>
                          </a:xfrm>
                          <a:custGeom>
                            <a:avLst/>
                            <a:gdLst/>
                            <a:ahLst/>
                            <a:cxnLst/>
                            <a:rect l="l" t="t" r="r" b="b"/>
                            <a:pathLst>
                              <a:path w="178435" h="0">
                                <a:moveTo>
                                  <a:pt x="0" y="0"/>
                                </a:moveTo>
                                <a:lnTo>
                                  <a:pt x="178308" y="0"/>
                                </a:lnTo>
                              </a:path>
                            </a:pathLst>
                          </a:custGeom>
                          <a:ln w="3175">
                            <a:solidFill>
                              <a:srgbClr val="636466"/>
                            </a:solidFill>
                            <a:prstDash val="solid"/>
                          </a:ln>
                        </wps:spPr>
                        <wps:bodyPr wrap="square" lIns="0" tIns="0" rIns="0" bIns="0" rtlCol="0">
                          <a:prstTxWarp prst="textNoShape">
                            <a:avLst/>
                          </a:prstTxWarp>
                          <a:noAutofit/>
                        </wps:bodyPr>
                      </wps:wsp>
                      <wps:wsp>
                        <wps:cNvPr id="1205" name="Graphic 1205"/>
                        <wps:cNvSpPr/>
                        <wps:spPr>
                          <a:xfrm>
                            <a:off x="4604003" y="1587"/>
                            <a:ext cx="2073275" cy="1270"/>
                          </a:xfrm>
                          <a:custGeom>
                            <a:avLst/>
                            <a:gdLst/>
                            <a:ahLst/>
                            <a:cxnLst/>
                            <a:rect l="l" t="t" r="r" b="b"/>
                            <a:pathLst>
                              <a:path w="2073275" h="0">
                                <a:moveTo>
                                  <a:pt x="0" y="0"/>
                                </a:moveTo>
                                <a:lnTo>
                                  <a:pt x="2072703" y="0"/>
                                </a:lnTo>
                              </a:path>
                            </a:pathLst>
                          </a:custGeom>
                          <a:ln w="3175">
                            <a:solidFill>
                              <a:srgbClr val="636466"/>
                            </a:solidFill>
                            <a:prstDash val="solid"/>
                          </a:ln>
                        </wps:spPr>
                        <wps:bodyPr wrap="square" lIns="0" tIns="0" rIns="0" bIns="0" rtlCol="0">
                          <a:prstTxWarp prst="textNoShape">
                            <a:avLst/>
                          </a:prstTxWarp>
                          <a:noAutofit/>
                        </wps:bodyPr>
                      </wps:wsp>
                      <wps:wsp>
                        <wps:cNvPr id="1206" name="Graphic 1206"/>
                        <wps:cNvSpPr/>
                        <wps:spPr>
                          <a:xfrm>
                            <a:off x="6675118" y="3175"/>
                            <a:ext cx="1270" cy="316865"/>
                          </a:xfrm>
                          <a:custGeom>
                            <a:avLst/>
                            <a:gdLst/>
                            <a:ahLst/>
                            <a:cxnLst/>
                            <a:rect l="l" t="t" r="r" b="b"/>
                            <a:pathLst>
                              <a:path w="0" h="316865">
                                <a:moveTo>
                                  <a:pt x="0" y="316611"/>
                                </a:moveTo>
                                <a:lnTo>
                                  <a:pt x="0" y="0"/>
                                </a:lnTo>
                              </a:path>
                            </a:pathLst>
                          </a:custGeom>
                          <a:ln w="3175">
                            <a:solidFill>
                              <a:srgbClr val="636466"/>
                            </a:solidFill>
                            <a:prstDash val="solid"/>
                          </a:ln>
                        </wps:spPr>
                        <wps:bodyPr wrap="square" lIns="0" tIns="0" rIns="0" bIns="0" rtlCol="0">
                          <a:prstTxWarp prst="textNoShape">
                            <a:avLst/>
                          </a:prstTxWarp>
                          <a:noAutofit/>
                        </wps:bodyPr>
                      </wps:wsp>
                      <wps:wsp>
                        <wps:cNvPr id="1207" name="Graphic 1207"/>
                        <wps:cNvSpPr/>
                        <wps:spPr>
                          <a:xfrm>
                            <a:off x="1587" y="553212"/>
                            <a:ext cx="2138680" cy="1270"/>
                          </a:xfrm>
                          <a:custGeom>
                            <a:avLst/>
                            <a:gdLst/>
                            <a:ahLst/>
                            <a:cxnLst/>
                            <a:rect l="l" t="t" r="r" b="b"/>
                            <a:pathLst>
                              <a:path w="2138680" h="0">
                                <a:moveTo>
                                  <a:pt x="0" y="0"/>
                                </a:moveTo>
                                <a:lnTo>
                                  <a:pt x="2138108" y="0"/>
                                </a:lnTo>
                              </a:path>
                            </a:pathLst>
                          </a:custGeom>
                          <a:ln w="3175">
                            <a:solidFill>
                              <a:srgbClr val="636466"/>
                            </a:solidFill>
                            <a:prstDash val="solid"/>
                          </a:ln>
                        </wps:spPr>
                        <wps:bodyPr wrap="square" lIns="0" tIns="0" rIns="0" bIns="0" rtlCol="0">
                          <a:prstTxWarp prst="textNoShape">
                            <a:avLst/>
                          </a:prstTxWarp>
                          <a:noAutofit/>
                        </wps:bodyPr>
                      </wps:wsp>
                      <wps:wsp>
                        <wps:cNvPr id="1208" name="Graphic 1208"/>
                        <wps:cNvSpPr/>
                        <wps:spPr>
                          <a:xfrm>
                            <a:off x="4604003" y="553212"/>
                            <a:ext cx="2071370" cy="1270"/>
                          </a:xfrm>
                          <a:custGeom>
                            <a:avLst/>
                            <a:gdLst/>
                            <a:ahLst/>
                            <a:cxnLst/>
                            <a:rect l="l" t="t" r="r" b="b"/>
                            <a:pathLst>
                              <a:path w="2071370" h="0">
                                <a:moveTo>
                                  <a:pt x="0" y="0"/>
                                </a:moveTo>
                                <a:lnTo>
                                  <a:pt x="2071116" y="0"/>
                                </a:lnTo>
                              </a:path>
                            </a:pathLst>
                          </a:custGeom>
                          <a:ln w="3175">
                            <a:solidFill>
                              <a:srgbClr val="636466"/>
                            </a:solidFill>
                            <a:prstDash val="solid"/>
                          </a:ln>
                        </wps:spPr>
                        <wps:bodyPr wrap="square" lIns="0" tIns="0" rIns="0" bIns="0" rtlCol="0">
                          <a:prstTxWarp prst="textNoShape">
                            <a:avLst/>
                          </a:prstTxWarp>
                          <a:noAutofit/>
                        </wps:bodyPr>
                      </wps:wsp>
                      <wps:wsp>
                        <wps:cNvPr id="1209" name="Graphic 1209"/>
                        <wps:cNvSpPr/>
                        <wps:spPr>
                          <a:xfrm>
                            <a:off x="1587" y="951738"/>
                            <a:ext cx="2138680" cy="1270"/>
                          </a:xfrm>
                          <a:custGeom>
                            <a:avLst/>
                            <a:gdLst/>
                            <a:ahLst/>
                            <a:cxnLst/>
                            <a:rect l="l" t="t" r="r" b="b"/>
                            <a:pathLst>
                              <a:path w="2138680" h="0">
                                <a:moveTo>
                                  <a:pt x="0" y="0"/>
                                </a:moveTo>
                                <a:lnTo>
                                  <a:pt x="2138108" y="0"/>
                                </a:lnTo>
                              </a:path>
                            </a:pathLst>
                          </a:custGeom>
                          <a:ln w="3175">
                            <a:solidFill>
                              <a:srgbClr val="636466"/>
                            </a:solidFill>
                            <a:prstDash val="solid"/>
                          </a:ln>
                        </wps:spPr>
                        <wps:bodyPr wrap="square" lIns="0" tIns="0" rIns="0" bIns="0" rtlCol="0">
                          <a:prstTxWarp prst="textNoShape">
                            <a:avLst/>
                          </a:prstTxWarp>
                          <a:noAutofit/>
                        </wps:bodyPr>
                      </wps:wsp>
                      <wps:wsp>
                        <wps:cNvPr id="1210" name="Graphic 1210"/>
                        <wps:cNvSpPr/>
                        <wps:spPr>
                          <a:xfrm>
                            <a:off x="4604003" y="951738"/>
                            <a:ext cx="2071370" cy="1270"/>
                          </a:xfrm>
                          <a:custGeom>
                            <a:avLst/>
                            <a:gdLst/>
                            <a:ahLst/>
                            <a:cxnLst/>
                            <a:rect l="l" t="t" r="r" b="b"/>
                            <a:pathLst>
                              <a:path w="2071370" h="0">
                                <a:moveTo>
                                  <a:pt x="0" y="0"/>
                                </a:moveTo>
                                <a:lnTo>
                                  <a:pt x="2071116" y="0"/>
                                </a:lnTo>
                              </a:path>
                            </a:pathLst>
                          </a:custGeom>
                          <a:ln w="3175">
                            <a:solidFill>
                              <a:srgbClr val="636466"/>
                            </a:solidFill>
                            <a:prstDash val="solid"/>
                          </a:ln>
                        </wps:spPr>
                        <wps:bodyPr wrap="square" lIns="0" tIns="0" rIns="0" bIns="0" rtlCol="0">
                          <a:prstTxWarp prst="textNoShape">
                            <a:avLst/>
                          </a:prstTxWarp>
                          <a:noAutofit/>
                        </wps:bodyPr>
                      </wps:wsp>
                      <wps:wsp>
                        <wps:cNvPr id="1211" name="Graphic 1211"/>
                        <wps:cNvSpPr/>
                        <wps:spPr>
                          <a:xfrm>
                            <a:off x="1587" y="1185163"/>
                            <a:ext cx="2138680" cy="1270"/>
                          </a:xfrm>
                          <a:custGeom>
                            <a:avLst/>
                            <a:gdLst/>
                            <a:ahLst/>
                            <a:cxnLst/>
                            <a:rect l="l" t="t" r="r" b="b"/>
                            <a:pathLst>
                              <a:path w="2138680" h="0">
                                <a:moveTo>
                                  <a:pt x="0" y="0"/>
                                </a:moveTo>
                                <a:lnTo>
                                  <a:pt x="2138108" y="0"/>
                                </a:lnTo>
                              </a:path>
                            </a:pathLst>
                          </a:custGeom>
                          <a:ln w="3175">
                            <a:solidFill>
                              <a:srgbClr val="636466"/>
                            </a:solidFill>
                            <a:prstDash val="solid"/>
                          </a:ln>
                        </wps:spPr>
                        <wps:bodyPr wrap="square" lIns="0" tIns="0" rIns="0" bIns="0" rtlCol="0">
                          <a:prstTxWarp prst="textNoShape">
                            <a:avLst/>
                          </a:prstTxWarp>
                          <a:noAutofit/>
                        </wps:bodyPr>
                      </wps:wsp>
                      <wps:wsp>
                        <wps:cNvPr id="1212" name="Graphic 1212"/>
                        <wps:cNvSpPr/>
                        <wps:spPr>
                          <a:xfrm>
                            <a:off x="4604003" y="1185163"/>
                            <a:ext cx="2071370" cy="1270"/>
                          </a:xfrm>
                          <a:custGeom>
                            <a:avLst/>
                            <a:gdLst/>
                            <a:ahLst/>
                            <a:cxnLst/>
                            <a:rect l="l" t="t" r="r" b="b"/>
                            <a:pathLst>
                              <a:path w="2071370" h="0">
                                <a:moveTo>
                                  <a:pt x="0" y="0"/>
                                </a:moveTo>
                                <a:lnTo>
                                  <a:pt x="2071116" y="0"/>
                                </a:lnTo>
                              </a:path>
                            </a:pathLst>
                          </a:custGeom>
                          <a:ln w="3175">
                            <a:solidFill>
                              <a:srgbClr val="636466"/>
                            </a:solidFill>
                            <a:prstDash val="solid"/>
                          </a:ln>
                        </wps:spPr>
                        <wps:bodyPr wrap="square" lIns="0" tIns="0" rIns="0" bIns="0" rtlCol="0">
                          <a:prstTxWarp prst="textNoShape">
                            <a:avLst/>
                          </a:prstTxWarp>
                          <a:noAutofit/>
                        </wps:bodyPr>
                      </wps:wsp>
                      <wps:wsp>
                        <wps:cNvPr id="1213" name="Graphic 1213"/>
                        <wps:cNvSpPr/>
                        <wps:spPr>
                          <a:xfrm>
                            <a:off x="1587" y="1583689"/>
                            <a:ext cx="2138680" cy="1270"/>
                          </a:xfrm>
                          <a:custGeom>
                            <a:avLst/>
                            <a:gdLst/>
                            <a:ahLst/>
                            <a:cxnLst/>
                            <a:rect l="l" t="t" r="r" b="b"/>
                            <a:pathLst>
                              <a:path w="2138680" h="0">
                                <a:moveTo>
                                  <a:pt x="0" y="0"/>
                                </a:moveTo>
                                <a:lnTo>
                                  <a:pt x="2138108" y="0"/>
                                </a:lnTo>
                              </a:path>
                            </a:pathLst>
                          </a:custGeom>
                          <a:ln w="3175">
                            <a:solidFill>
                              <a:srgbClr val="636466"/>
                            </a:solidFill>
                            <a:prstDash val="solid"/>
                          </a:ln>
                        </wps:spPr>
                        <wps:bodyPr wrap="square" lIns="0" tIns="0" rIns="0" bIns="0" rtlCol="0">
                          <a:prstTxWarp prst="textNoShape">
                            <a:avLst/>
                          </a:prstTxWarp>
                          <a:noAutofit/>
                        </wps:bodyPr>
                      </wps:wsp>
                      <wps:wsp>
                        <wps:cNvPr id="1214" name="Graphic 1214"/>
                        <wps:cNvSpPr/>
                        <wps:spPr>
                          <a:xfrm>
                            <a:off x="4604003" y="1583689"/>
                            <a:ext cx="2071370" cy="1270"/>
                          </a:xfrm>
                          <a:custGeom>
                            <a:avLst/>
                            <a:gdLst/>
                            <a:ahLst/>
                            <a:cxnLst/>
                            <a:rect l="l" t="t" r="r" b="b"/>
                            <a:pathLst>
                              <a:path w="2071370" h="0">
                                <a:moveTo>
                                  <a:pt x="0" y="0"/>
                                </a:moveTo>
                                <a:lnTo>
                                  <a:pt x="2071116" y="0"/>
                                </a:lnTo>
                              </a:path>
                            </a:pathLst>
                          </a:custGeom>
                          <a:ln w="3175">
                            <a:solidFill>
                              <a:srgbClr val="636466"/>
                            </a:solidFill>
                            <a:prstDash val="solid"/>
                          </a:ln>
                        </wps:spPr>
                        <wps:bodyPr wrap="square" lIns="0" tIns="0" rIns="0" bIns="0" rtlCol="0">
                          <a:prstTxWarp prst="textNoShape">
                            <a:avLst/>
                          </a:prstTxWarp>
                          <a:noAutofit/>
                        </wps:bodyPr>
                      </wps:wsp>
                      <wps:wsp>
                        <wps:cNvPr id="1215" name="Graphic 1215"/>
                        <wps:cNvSpPr/>
                        <wps:spPr>
                          <a:xfrm>
                            <a:off x="1587" y="2449067"/>
                            <a:ext cx="2138680" cy="1270"/>
                          </a:xfrm>
                          <a:custGeom>
                            <a:avLst/>
                            <a:gdLst/>
                            <a:ahLst/>
                            <a:cxnLst/>
                            <a:rect l="l" t="t" r="r" b="b"/>
                            <a:pathLst>
                              <a:path w="2138680" h="0">
                                <a:moveTo>
                                  <a:pt x="0" y="0"/>
                                </a:moveTo>
                                <a:lnTo>
                                  <a:pt x="2138108" y="0"/>
                                </a:lnTo>
                              </a:path>
                            </a:pathLst>
                          </a:custGeom>
                          <a:ln w="3175">
                            <a:solidFill>
                              <a:srgbClr val="636466"/>
                            </a:solidFill>
                            <a:prstDash val="solid"/>
                          </a:ln>
                        </wps:spPr>
                        <wps:bodyPr wrap="square" lIns="0" tIns="0" rIns="0" bIns="0" rtlCol="0">
                          <a:prstTxWarp prst="textNoShape">
                            <a:avLst/>
                          </a:prstTxWarp>
                          <a:noAutofit/>
                        </wps:bodyPr>
                      </wps:wsp>
                      <wps:wsp>
                        <wps:cNvPr id="1216" name="Graphic 1216"/>
                        <wps:cNvSpPr/>
                        <wps:spPr>
                          <a:xfrm>
                            <a:off x="4604003" y="2449067"/>
                            <a:ext cx="2071370" cy="1270"/>
                          </a:xfrm>
                          <a:custGeom>
                            <a:avLst/>
                            <a:gdLst/>
                            <a:ahLst/>
                            <a:cxnLst/>
                            <a:rect l="l" t="t" r="r" b="b"/>
                            <a:pathLst>
                              <a:path w="2071370" h="0">
                                <a:moveTo>
                                  <a:pt x="0" y="0"/>
                                </a:moveTo>
                                <a:lnTo>
                                  <a:pt x="2071116" y="0"/>
                                </a:lnTo>
                              </a:path>
                            </a:pathLst>
                          </a:custGeom>
                          <a:ln w="3175">
                            <a:solidFill>
                              <a:srgbClr val="636466"/>
                            </a:solidFill>
                            <a:prstDash val="solid"/>
                          </a:ln>
                        </wps:spPr>
                        <wps:bodyPr wrap="square" lIns="0" tIns="0" rIns="0" bIns="0" rtlCol="0">
                          <a:prstTxWarp prst="textNoShape">
                            <a:avLst/>
                          </a:prstTxWarp>
                          <a:noAutofit/>
                        </wps:bodyPr>
                      </wps:wsp>
                      <wps:wsp>
                        <wps:cNvPr id="1217" name="Graphic 1217"/>
                        <wps:cNvSpPr/>
                        <wps:spPr>
                          <a:xfrm>
                            <a:off x="1587" y="2682494"/>
                            <a:ext cx="2138680" cy="1270"/>
                          </a:xfrm>
                          <a:custGeom>
                            <a:avLst/>
                            <a:gdLst/>
                            <a:ahLst/>
                            <a:cxnLst/>
                            <a:rect l="l" t="t" r="r" b="b"/>
                            <a:pathLst>
                              <a:path w="2138680" h="0">
                                <a:moveTo>
                                  <a:pt x="0" y="0"/>
                                </a:moveTo>
                                <a:lnTo>
                                  <a:pt x="2138108" y="0"/>
                                </a:lnTo>
                              </a:path>
                            </a:pathLst>
                          </a:custGeom>
                          <a:ln w="3175">
                            <a:solidFill>
                              <a:srgbClr val="636466"/>
                            </a:solidFill>
                            <a:prstDash val="solid"/>
                          </a:ln>
                        </wps:spPr>
                        <wps:bodyPr wrap="square" lIns="0" tIns="0" rIns="0" bIns="0" rtlCol="0">
                          <a:prstTxWarp prst="textNoShape">
                            <a:avLst/>
                          </a:prstTxWarp>
                          <a:noAutofit/>
                        </wps:bodyPr>
                      </wps:wsp>
                      <wps:wsp>
                        <wps:cNvPr id="1218" name="Graphic 1218"/>
                        <wps:cNvSpPr/>
                        <wps:spPr>
                          <a:xfrm>
                            <a:off x="4604003" y="2682494"/>
                            <a:ext cx="2071370" cy="1270"/>
                          </a:xfrm>
                          <a:custGeom>
                            <a:avLst/>
                            <a:gdLst/>
                            <a:ahLst/>
                            <a:cxnLst/>
                            <a:rect l="l" t="t" r="r" b="b"/>
                            <a:pathLst>
                              <a:path w="2071370" h="0">
                                <a:moveTo>
                                  <a:pt x="0" y="0"/>
                                </a:moveTo>
                                <a:lnTo>
                                  <a:pt x="2071116" y="0"/>
                                </a:lnTo>
                              </a:path>
                            </a:pathLst>
                          </a:custGeom>
                          <a:ln w="3175">
                            <a:solidFill>
                              <a:srgbClr val="636466"/>
                            </a:solidFill>
                            <a:prstDash val="solid"/>
                          </a:ln>
                        </wps:spPr>
                        <wps:bodyPr wrap="square" lIns="0" tIns="0" rIns="0" bIns="0" rtlCol="0">
                          <a:prstTxWarp prst="textNoShape">
                            <a:avLst/>
                          </a:prstTxWarp>
                          <a:noAutofit/>
                        </wps:bodyPr>
                      </wps:wsp>
                      <wps:wsp>
                        <wps:cNvPr id="1219" name="Graphic 1219"/>
                        <wps:cNvSpPr/>
                        <wps:spPr>
                          <a:xfrm>
                            <a:off x="1587" y="2915920"/>
                            <a:ext cx="2138680" cy="1270"/>
                          </a:xfrm>
                          <a:custGeom>
                            <a:avLst/>
                            <a:gdLst/>
                            <a:ahLst/>
                            <a:cxnLst/>
                            <a:rect l="l" t="t" r="r" b="b"/>
                            <a:pathLst>
                              <a:path w="2138680" h="0">
                                <a:moveTo>
                                  <a:pt x="0" y="0"/>
                                </a:moveTo>
                                <a:lnTo>
                                  <a:pt x="2138108" y="0"/>
                                </a:lnTo>
                              </a:path>
                            </a:pathLst>
                          </a:custGeom>
                          <a:ln w="3175">
                            <a:solidFill>
                              <a:srgbClr val="636466"/>
                            </a:solidFill>
                            <a:prstDash val="solid"/>
                          </a:ln>
                        </wps:spPr>
                        <wps:bodyPr wrap="square" lIns="0" tIns="0" rIns="0" bIns="0" rtlCol="0">
                          <a:prstTxWarp prst="textNoShape">
                            <a:avLst/>
                          </a:prstTxWarp>
                          <a:noAutofit/>
                        </wps:bodyPr>
                      </wps:wsp>
                      <wps:wsp>
                        <wps:cNvPr id="1220" name="Graphic 1220"/>
                        <wps:cNvSpPr/>
                        <wps:spPr>
                          <a:xfrm>
                            <a:off x="4604003" y="2915920"/>
                            <a:ext cx="2071370" cy="1270"/>
                          </a:xfrm>
                          <a:custGeom>
                            <a:avLst/>
                            <a:gdLst/>
                            <a:ahLst/>
                            <a:cxnLst/>
                            <a:rect l="l" t="t" r="r" b="b"/>
                            <a:pathLst>
                              <a:path w="2071370" h="0">
                                <a:moveTo>
                                  <a:pt x="0" y="0"/>
                                </a:moveTo>
                                <a:lnTo>
                                  <a:pt x="2071116" y="0"/>
                                </a:lnTo>
                              </a:path>
                            </a:pathLst>
                          </a:custGeom>
                          <a:ln w="3175">
                            <a:solidFill>
                              <a:srgbClr val="636466"/>
                            </a:solidFill>
                            <a:prstDash val="solid"/>
                          </a:ln>
                        </wps:spPr>
                        <wps:bodyPr wrap="square" lIns="0" tIns="0" rIns="0" bIns="0" rtlCol="0">
                          <a:prstTxWarp prst="textNoShape">
                            <a:avLst/>
                          </a:prstTxWarp>
                          <a:noAutofit/>
                        </wps:bodyPr>
                      </wps:wsp>
                      <wps:wsp>
                        <wps:cNvPr id="1221" name="Textbox 1221"/>
                        <wps:cNvSpPr txBox="1"/>
                        <wps:spPr>
                          <a:xfrm>
                            <a:off x="52387" y="356361"/>
                            <a:ext cx="2034539" cy="2553970"/>
                          </a:xfrm>
                          <a:prstGeom prst="rect">
                            <a:avLst/>
                          </a:prstGeom>
                        </wps:spPr>
                        <wps:txbx>
                          <w:txbxContent>
                            <w:p>
                              <w:pPr>
                                <w:spacing w:line="472" w:lineRule="auto" w:before="13"/>
                                <w:ind w:left="0" w:right="0" w:firstLine="0"/>
                                <w:jc w:val="left"/>
                                <w:rPr>
                                  <w:sz w:val="22"/>
                                </w:rPr>
                              </w:pPr>
                              <w:r>
                                <w:rPr>
                                  <w:color w:val="105C84"/>
                                  <w:sz w:val="22"/>
                                </w:rPr>
                                <w:t>Seneca County Public Health New York Chiropractic </w:t>
                              </w:r>
                              <w:r>
                                <w:rPr>
                                  <w:color w:val="105C84"/>
                                  <w:sz w:val="22"/>
                                </w:rPr>
                                <w:t>College</w:t>
                              </w:r>
                            </w:p>
                            <w:p>
                              <w:pPr>
                                <w:spacing w:line="252" w:lineRule="exact" w:before="0"/>
                                <w:ind w:left="0" w:right="0" w:firstLine="0"/>
                                <w:jc w:val="left"/>
                                <w:rPr>
                                  <w:sz w:val="22"/>
                                </w:rPr>
                              </w:pPr>
                              <w:r>
                                <w:rPr>
                                  <w:color w:val="105C84"/>
                                  <w:sz w:val="22"/>
                                </w:rPr>
                                <w:t>Catholic</w:t>
                              </w:r>
                              <w:r>
                                <w:rPr>
                                  <w:color w:val="105C84"/>
                                  <w:spacing w:val="20"/>
                                  <w:sz w:val="22"/>
                                </w:rPr>
                                <w:t> </w:t>
                              </w:r>
                              <w:r>
                                <w:rPr>
                                  <w:color w:val="105C84"/>
                                  <w:spacing w:val="-2"/>
                                  <w:sz w:val="22"/>
                                </w:rPr>
                                <w:t>Charities</w:t>
                              </w:r>
                            </w:p>
                            <w:p>
                              <w:pPr>
                                <w:spacing w:line="247" w:lineRule="auto" w:before="115"/>
                                <w:ind w:left="0" w:right="0" w:firstLine="0"/>
                                <w:jc w:val="left"/>
                                <w:rPr>
                                  <w:sz w:val="22"/>
                                </w:rPr>
                              </w:pPr>
                              <w:r>
                                <w:rPr>
                                  <w:color w:val="105C84"/>
                                  <w:w w:val="105"/>
                                  <w:sz w:val="22"/>
                                </w:rPr>
                                <w:t>Tobacco</w:t>
                              </w:r>
                              <w:r>
                                <w:rPr>
                                  <w:color w:val="105C84"/>
                                  <w:spacing w:val="-17"/>
                                  <w:w w:val="105"/>
                                  <w:sz w:val="22"/>
                                </w:rPr>
                                <w:t> </w:t>
                              </w:r>
                              <w:r>
                                <w:rPr>
                                  <w:color w:val="105C84"/>
                                  <w:w w:val="105"/>
                                  <w:sz w:val="22"/>
                                </w:rPr>
                                <w:t>Action</w:t>
                              </w:r>
                              <w:r>
                                <w:rPr>
                                  <w:color w:val="105C84"/>
                                  <w:spacing w:val="-17"/>
                                  <w:w w:val="105"/>
                                  <w:sz w:val="22"/>
                                </w:rPr>
                                <w:t> </w:t>
                              </w:r>
                              <w:r>
                                <w:rPr>
                                  <w:color w:val="105C84"/>
                                  <w:w w:val="105"/>
                                  <w:sz w:val="22"/>
                                </w:rPr>
                                <w:t>Coalition</w:t>
                              </w:r>
                              <w:r>
                                <w:rPr>
                                  <w:color w:val="105C84"/>
                                  <w:spacing w:val="-16"/>
                                  <w:w w:val="105"/>
                                  <w:sz w:val="22"/>
                                </w:rPr>
                                <w:t> </w:t>
                              </w:r>
                              <w:r>
                                <w:rPr>
                                  <w:color w:val="105C84"/>
                                  <w:w w:val="105"/>
                                  <w:sz w:val="22"/>
                                </w:rPr>
                                <w:t>of</w:t>
                              </w:r>
                              <w:r>
                                <w:rPr>
                                  <w:color w:val="105C84"/>
                                  <w:spacing w:val="-16"/>
                                  <w:w w:val="105"/>
                                  <w:sz w:val="22"/>
                                </w:rPr>
                                <w:t> </w:t>
                              </w:r>
                              <w:r>
                                <w:rPr>
                                  <w:color w:val="105C84"/>
                                  <w:w w:val="105"/>
                                  <w:sz w:val="22"/>
                                </w:rPr>
                                <w:t>the Finger Lakes</w:t>
                              </w:r>
                            </w:p>
                            <w:p>
                              <w:pPr>
                                <w:spacing w:line="472" w:lineRule="auto" w:before="107"/>
                                <w:ind w:left="0" w:right="0" w:firstLine="0"/>
                                <w:jc w:val="left"/>
                                <w:rPr>
                                  <w:sz w:val="22"/>
                                </w:rPr>
                              </w:pPr>
                              <w:r>
                                <w:rPr>
                                  <w:color w:val="105C84"/>
                                  <w:sz w:val="22"/>
                                </w:rPr>
                                <w:t>Seneca</w:t>
                              </w:r>
                              <w:r>
                                <w:rPr>
                                  <w:color w:val="105C84"/>
                                  <w:spacing w:val="-16"/>
                                  <w:sz w:val="22"/>
                                </w:rPr>
                                <w:t> </w:t>
                              </w:r>
                              <w:r>
                                <w:rPr>
                                  <w:color w:val="105C84"/>
                                  <w:sz w:val="22"/>
                                </w:rPr>
                                <w:t>County</w:t>
                              </w:r>
                              <w:r>
                                <w:rPr>
                                  <w:color w:val="105C84"/>
                                  <w:spacing w:val="-16"/>
                                  <w:sz w:val="22"/>
                                </w:rPr>
                                <w:t> </w:t>
                              </w:r>
                              <w:r>
                                <w:rPr>
                                  <w:color w:val="105C84"/>
                                  <w:sz w:val="22"/>
                                </w:rPr>
                                <w:t>Youth</w:t>
                              </w:r>
                              <w:r>
                                <w:rPr>
                                  <w:color w:val="105C84"/>
                                  <w:spacing w:val="-15"/>
                                  <w:sz w:val="22"/>
                                </w:rPr>
                                <w:t> </w:t>
                              </w:r>
                              <w:r>
                                <w:rPr>
                                  <w:color w:val="105C84"/>
                                  <w:sz w:val="22"/>
                                </w:rPr>
                                <w:t>Bureau Harmony Food Pantry</w:t>
                              </w:r>
                            </w:p>
                            <w:p>
                              <w:pPr>
                                <w:spacing w:line="348" w:lineRule="auto" w:before="0"/>
                                <w:ind w:left="0" w:right="0" w:firstLine="0"/>
                                <w:jc w:val="left"/>
                                <w:rPr>
                                  <w:sz w:val="22"/>
                                </w:rPr>
                              </w:pPr>
                              <w:r>
                                <w:rPr>
                                  <w:color w:val="105C84"/>
                                  <w:sz w:val="22"/>
                                </w:rPr>
                                <w:t>Finger Lakes Community </w:t>
                              </w:r>
                              <w:r>
                                <w:rPr>
                                  <w:color w:val="105C84"/>
                                  <w:sz w:val="22"/>
                                </w:rPr>
                                <w:t>Health United Way</w:t>
                              </w:r>
                            </w:p>
                            <w:p>
                              <w:pPr>
                                <w:spacing w:before="0"/>
                                <w:ind w:left="0" w:right="0" w:firstLine="0"/>
                                <w:jc w:val="left"/>
                                <w:rPr>
                                  <w:sz w:val="22"/>
                                </w:rPr>
                              </w:pPr>
                              <w:r>
                                <w:rPr>
                                  <w:color w:val="105C84"/>
                                  <w:sz w:val="22"/>
                                </w:rPr>
                                <w:t>Cornell</w:t>
                              </w:r>
                              <w:r>
                                <w:rPr>
                                  <w:color w:val="105C84"/>
                                  <w:spacing w:val="31"/>
                                  <w:sz w:val="22"/>
                                </w:rPr>
                                <w:t> </w:t>
                              </w:r>
                              <w:r>
                                <w:rPr>
                                  <w:color w:val="105C84"/>
                                  <w:sz w:val="22"/>
                                </w:rPr>
                                <w:t>Cooperative</w:t>
                              </w:r>
                              <w:r>
                                <w:rPr>
                                  <w:color w:val="105C84"/>
                                  <w:spacing w:val="32"/>
                                  <w:sz w:val="22"/>
                                </w:rPr>
                                <w:t> </w:t>
                              </w:r>
                              <w:r>
                                <w:rPr>
                                  <w:color w:val="105C84"/>
                                  <w:spacing w:val="-2"/>
                                  <w:sz w:val="22"/>
                                </w:rPr>
                                <w:t>Extension</w:t>
                              </w:r>
                            </w:p>
                          </w:txbxContent>
                        </wps:txbx>
                        <wps:bodyPr wrap="square" lIns="0" tIns="0" rIns="0" bIns="0" rtlCol="0">
                          <a:noAutofit/>
                        </wps:bodyPr>
                      </wps:wsp>
                      <wps:wsp>
                        <wps:cNvPr id="1222" name="Textbox 1222"/>
                        <wps:cNvSpPr txBox="1"/>
                        <wps:spPr>
                          <a:xfrm>
                            <a:off x="2355062" y="356361"/>
                            <a:ext cx="2010410" cy="2553970"/>
                          </a:xfrm>
                          <a:prstGeom prst="rect">
                            <a:avLst/>
                          </a:prstGeom>
                        </wps:spPr>
                        <wps:txbx>
                          <w:txbxContent>
                            <w:p>
                              <w:pPr>
                                <w:spacing w:before="13"/>
                                <w:ind w:left="0" w:right="0" w:firstLine="0"/>
                                <w:jc w:val="left"/>
                                <w:rPr>
                                  <w:sz w:val="22"/>
                                </w:rPr>
                              </w:pPr>
                              <w:r>
                                <w:rPr>
                                  <w:color w:val="105C84"/>
                                  <w:spacing w:val="-4"/>
                                  <w:sz w:val="22"/>
                                </w:rPr>
                                <w:t>S2AY</w:t>
                              </w:r>
                              <w:r>
                                <w:rPr>
                                  <w:color w:val="105C84"/>
                                  <w:spacing w:val="-5"/>
                                  <w:sz w:val="22"/>
                                </w:rPr>
                                <w:t> </w:t>
                              </w:r>
                              <w:r>
                                <w:rPr>
                                  <w:color w:val="105C84"/>
                                  <w:spacing w:val="-4"/>
                                  <w:sz w:val="22"/>
                                </w:rPr>
                                <w:t>Rural</w:t>
                              </w:r>
                              <w:r>
                                <w:rPr>
                                  <w:color w:val="105C84"/>
                                  <w:spacing w:val="-5"/>
                                  <w:sz w:val="22"/>
                                </w:rPr>
                                <w:t> </w:t>
                              </w:r>
                              <w:r>
                                <w:rPr>
                                  <w:color w:val="105C84"/>
                                  <w:spacing w:val="-4"/>
                                  <w:sz w:val="22"/>
                                </w:rPr>
                                <w:t>Health Network</w:t>
                              </w:r>
                            </w:p>
                            <w:p>
                              <w:pPr>
                                <w:spacing w:line="247" w:lineRule="auto" w:before="115"/>
                                <w:ind w:left="0" w:right="0" w:firstLine="0"/>
                                <w:jc w:val="left"/>
                                <w:rPr>
                                  <w:sz w:val="22"/>
                                </w:rPr>
                              </w:pPr>
                              <w:r>
                                <w:rPr>
                                  <w:color w:val="105C84"/>
                                  <w:sz w:val="22"/>
                                </w:rPr>
                                <w:t>Seneca</w:t>
                              </w:r>
                              <w:r>
                                <w:rPr>
                                  <w:color w:val="105C84"/>
                                  <w:spacing w:val="-4"/>
                                  <w:sz w:val="22"/>
                                </w:rPr>
                                <w:t> </w:t>
                              </w:r>
                              <w:r>
                                <w:rPr>
                                  <w:color w:val="105C84"/>
                                  <w:sz w:val="22"/>
                                </w:rPr>
                                <w:t>County</w:t>
                              </w:r>
                              <w:r>
                                <w:rPr>
                                  <w:color w:val="105C84"/>
                                  <w:spacing w:val="-4"/>
                                  <w:sz w:val="22"/>
                                </w:rPr>
                                <w:t> </w:t>
                              </w:r>
                              <w:r>
                                <w:rPr>
                                  <w:color w:val="105C84"/>
                                  <w:sz w:val="22"/>
                                </w:rPr>
                                <w:t>Division</w:t>
                              </w:r>
                              <w:r>
                                <w:rPr>
                                  <w:color w:val="105C84"/>
                                  <w:spacing w:val="-4"/>
                                  <w:sz w:val="22"/>
                                </w:rPr>
                                <w:t> </w:t>
                              </w:r>
                              <w:r>
                                <w:rPr>
                                  <w:color w:val="105C84"/>
                                  <w:sz w:val="22"/>
                                </w:rPr>
                                <w:t>of Human Services</w:t>
                              </w:r>
                            </w:p>
                            <w:p>
                              <w:pPr>
                                <w:spacing w:line="472" w:lineRule="auto" w:before="107"/>
                                <w:ind w:left="0" w:right="625" w:firstLine="0"/>
                                <w:jc w:val="left"/>
                                <w:rPr>
                                  <w:sz w:val="22"/>
                                </w:rPr>
                              </w:pPr>
                              <w:r>
                                <w:rPr>
                                  <w:color w:val="105C84"/>
                                  <w:sz w:val="22"/>
                                </w:rPr>
                                <w:t>Finger</w:t>
                              </w:r>
                              <w:r>
                                <w:rPr>
                                  <w:color w:val="105C84"/>
                                  <w:spacing w:val="-16"/>
                                  <w:sz w:val="22"/>
                                </w:rPr>
                                <w:t> </w:t>
                              </w:r>
                              <w:r>
                                <w:rPr>
                                  <w:color w:val="105C84"/>
                                  <w:sz w:val="22"/>
                                </w:rPr>
                                <w:t>Lakes</w:t>
                              </w:r>
                              <w:r>
                                <w:rPr>
                                  <w:color w:val="105C84"/>
                                  <w:spacing w:val="-16"/>
                                  <w:sz w:val="22"/>
                                </w:rPr>
                                <w:t> </w:t>
                              </w:r>
                              <w:r>
                                <w:rPr>
                                  <w:color w:val="105C84"/>
                                  <w:sz w:val="22"/>
                                </w:rPr>
                                <w:t>Health Finger Lakes ARC</w:t>
                              </w:r>
                            </w:p>
                            <w:p>
                              <w:pPr>
                                <w:spacing w:line="252" w:lineRule="exact" w:before="0"/>
                                <w:ind w:left="0" w:right="0" w:firstLine="0"/>
                                <w:jc w:val="left"/>
                                <w:rPr>
                                  <w:sz w:val="22"/>
                                </w:rPr>
                              </w:pPr>
                              <w:r>
                                <w:rPr>
                                  <w:color w:val="105C84"/>
                                  <w:sz w:val="22"/>
                                </w:rPr>
                                <w:t>Seneca</w:t>
                              </w:r>
                              <w:r>
                                <w:rPr>
                                  <w:color w:val="105C84"/>
                                  <w:spacing w:val="-6"/>
                                  <w:sz w:val="22"/>
                                </w:rPr>
                                <w:t> </w:t>
                              </w:r>
                              <w:r>
                                <w:rPr>
                                  <w:color w:val="105C84"/>
                                  <w:sz w:val="22"/>
                                </w:rPr>
                                <w:t>County</w:t>
                              </w:r>
                              <w:r>
                                <w:rPr>
                                  <w:color w:val="105C84"/>
                                  <w:spacing w:val="-5"/>
                                  <w:sz w:val="22"/>
                                </w:rPr>
                                <w:t> </w:t>
                              </w:r>
                              <w:r>
                                <w:rPr>
                                  <w:color w:val="105C84"/>
                                  <w:spacing w:val="-2"/>
                                  <w:sz w:val="22"/>
                                </w:rPr>
                                <w:t>Probation</w:t>
                              </w:r>
                            </w:p>
                            <w:p>
                              <w:pPr>
                                <w:spacing w:line="247" w:lineRule="auto" w:before="114"/>
                                <w:ind w:left="0" w:right="0" w:firstLine="0"/>
                                <w:jc w:val="left"/>
                                <w:rPr>
                                  <w:sz w:val="22"/>
                                </w:rPr>
                              </w:pPr>
                              <w:r>
                                <w:rPr>
                                  <w:color w:val="105C84"/>
                                  <w:sz w:val="22"/>
                                </w:rPr>
                                <w:t>1st</w:t>
                              </w:r>
                              <w:r>
                                <w:rPr>
                                  <w:color w:val="105C84"/>
                                  <w:spacing w:val="-11"/>
                                  <w:sz w:val="22"/>
                                </w:rPr>
                                <w:t> </w:t>
                              </w:r>
                              <w:r>
                                <w:rPr>
                                  <w:color w:val="105C84"/>
                                  <w:sz w:val="22"/>
                                </w:rPr>
                                <w:t>Presbyterian</w:t>
                              </w:r>
                              <w:r>
                                <w:rPr>
                                  <w:color w:val="105C84"/>
                                  <w:spacing w:val="-11"/>
                                  <w:sz w:val="22"/>
                                </w:rPr>
                                <w:t> </w:t>
                              </w:r>
                              <w:r>
                                <w:rPr>
                                  <w:color w:val="105C84"/>
                                  <w:sz w:val="22"/>
                                </w:rPr>
                                <w:t>Church</w:t>
                              </w:r>
                              <w:r>
                                <w:rPr>
                                  <w:color w:val="105C84"/>
                                  <w:spacing w:val="-11"/>
                                  <w:sz w:val="22"/>
                                </w:rPr>
                                <w:t> </w:t>
                              </w:r>
                              <w:r>
                                <w:rPr>
                                  <w:color w:val="105C84"/>
                                  <w:sz w:val="22"/>
                                </w:rPr>
                                <w:t>of Seneca Falls</w:t>
                              </w:r>
                            </w:p>
                            <w:p>
                              <w:pPr>
                                <w:spacing w:line="348" w:lineRule="auto" w:before="107"/>
                                <w:ind w:left="0" w:right="0" w:firstLine="0"/>
                                <w:jc w:val="left"/>
                                <w:rPr>
                                  <w:sz w:val="22"/>
                                </w:rPr>
                              </w:pPr>
                              <w:r>
                                <w:rPr>
                                  <w:color w:val="105C84"/>
                                  <w:sz w:val="22"/>
                                </w:rPr>
                                <w:t>Romulus Central School </w:t>
                              </w:r>
                              <w:r>
                                <w:rPr>
                                  <w:color w:val="105C84"/>
                                  <w:sz w:val="22"/>
                                </w:rPr>
                                <w:t>District Board of Health</w:t>
                              </w:r>
                            </w:p>
                            <w:p>
                              <w:pPr>
                                <w:spacing w:before="1"/>
                                <w:ind w:left="0" w:right="0" w:firstLine="0"/>
                                <w:jc w:val="left"/>
                                <w:rPr>
                                  <w:sz w:val="22"/>
                                </w:rPr>
                              </w:pPr>
                              <w:r>
                                <w:rPr>
                                  <w:color w:val="105C84"/>
                                  <w:spacing w:val="-2"/>
                                  <w:sz w:val="22"/>
                                </w:rPr>
                                <w:t>Genesee</w:t>
                              </w:r>
                              <w:r>
                                <w:rPr>
                                  <w:color w:val="105C84"/>
                                  <w:spacing w:val="-6"/>
                                  <w:sz w:val="22"/>
                                </w:rPr>
                                <w:t> </w:t>
                              </w:r>
                              <w:r>
                                <w:rPr>
                                  <w:color w:val="105C84"/>
                                  <w:spacing w:val="-2"/>
                                  <w:sz w:val="22"/>
                                </w:rPr>
                                <w:t>Valley</w:t>
                              </w:r>
                              <w:r>
                                <w:rPr>
                                  <w:color w:val="105C84"/>
                                  <w:spacing w:val="-5"/>
                                  <w:sz w:val="22"/>
                                </w:rPr>
                                <w:t> </w:t>
                              </w:r>
                              <w:r>
                                <w:rPr>
                                  <w:color w:val="105C84"/>
                                  <w:spacing w:val="-2"/>
                                  <w:sz w:val="22"/>
                                </w:rPr>
                                <w:t>BOCES</w:t>
                              </w:r>
                            </w:p>
                          </w:txbxContent>
                        </wps:txbx>
                        <wps:bodyPr wrap="square" lIns="0" tIns="0" rIns="0" bIns="0" rtlCol="0">
                          <a:noAutofit/>
                        </wps:bodyPr>
                      </wps:wsp>
                      <wps:wsp>
                        <wps:cNvPr id="1223" name="Textbox 1223"/>
                        <wps:cNvSpPr txBox="1"/>
                        <wps:spPr>
                          <a:xfrm>
                            <a:off x="4654803" y="356361"/>
                            <a:ext cx="1946910" cy="2320290"/>
                          </a:xfrm>
                          <a:prstGeom prst="rect">
                            <a:avLst/>
                          </a:prstGeom>
                        </wps:spPr>
                        <wps:txbx>
                          <w:txbxContent>
                            <w:p>
                              <w:pPr>
                                <w:spacing w:before="13"/>
                                <w:ind w:left="0" w:right="0" w:firstLine="0"/>
                                <w:jc w:val="left"/>
                                <w:rPr>
                                  <w:sz w:val="22"/>
                                </w:rPr>
                              </w:pPr>
                              <w:r>
                                <w:rPr>
                                  <w:color w:val="105C84"/>
                                  <w:sz w:val="22"/>
                                </w:rPr>
                                <w:t>Common</w:t>
                              </w:r>
                              <w:r>
                                <w:rPr>
                                  <w:color w:val="105C84"/>
                                  <w:spacing w:val="26"/>
                                  <w:sz w:val="22"/>
                                </w:rPr>
                                <w:t> </w:t>
                              </w:r>
                              <w:r>
                                <w:rPr>
                                  <w:color w:val="105C84"/>
                                  <w:sz w:val="22"/>
                                </w:rPr>
                                <w:t>Ground</w:t>
                              </w:r>
                              <w:r>
                                <w:rPr>
                                  <w:color w:val="105C84"/>
                                  <w:spacing w:val="27"/>
                                  <w:sz w:val="22"/>
                                </w:rPr>
                                <w:t> </w:t>
                              </w:r>
                              <w:r>
                                <w:rPr>
                                  <w:color w:val="105C84"/>
                                  <w:spacing w:val="-2"/>
                                  <w:sz w:val="22"/>
                                </w:rPr>
                                <w:t>Health</w:t>
                              </w:r>
                            </w:p>
                            <w:p>
                              <w:pPr>
                                <w:spacing w:line="247" w:lineRule="auto" w:before="115"/>
                                <w:ind w:left="0" w:right="0" w:firstLine="0"/>
                                <w:jc w:val="left"/>
                                <w:rPr>
                                  <w:sz w:val="22"/>
                                </w:rPr>
                              </w:pPr>
                              <w:r>
                                <w:rPr>
                                  <w:color w:val="105C84"/>
                                  <w:sz w:val="22"/>
                                </w:rPr>
                                <w:t>Greater</w:t>
                              </w:r>
                              <w:r>
                                <w:rPr>
                                  <w:color w:val="105C84"/>
                                  <w:spacing w:val="-8"/>
                                  <w:sz w:val="22"/>
                                </w:rPr>
                                <w:t> </w:t>
                              </w:r>
                              <w:r>
                                <w:rPr>
                                  <w:color w:val="105C84"/>
                                  <w:sz w:val="22"/>
                                </w:rPr>
                                <w:t>Rochester</w:t>
                              </w:r>
                              <w:r>
                                <w:rPr>
                                  <w:color w:val="105C84"/>
                                  <w:spacing w:val="-8"/>
                                  <w:sz w:val="22"/>
                                </w:rPr>
                                <w:t> </w:t>
                              </w:r>
                              <w:r>
                                <w:rPr>
                                  <w:color w:val="105C84"/>
                                  <w:sz w:val="22"/>
                                </w:rPr>
                                <w:t>Health </w:t>
                              </w:r>
                              <w:r>
                                <w:rPr>
                                  <w:color w:val="105C84"/>
                                  <w:spacing w:val="-2"/>
                                  <w:sz w:val="22"/>
                                </w:rPr>
                                <w:t>Foundation</w:t>
                              </w:r>
                            </w:p>
                            <w:p>
                              <w:pPr>
                                <w:spacing w:before="107"/>
                                <w:ind w:left="0" w:right="0" w:firstLine="0"/>
                                <w:jc w:val="left"/>
                                <w:rPr>
                                  <w:sz w:val="22"/>
                                </w:rPr>
                              </w:pPr>
                              <w:r>
                                <w:rPr>
                                  <w:color w:val="105C84"/>
                                  <w:sz w:val="22"/>
                                </w:rPr>
                                <w:t>Seneca</w:t>
                              </w:r>
                              <w:r>
                                <w:rPr>
                                  <w:color w:val="105C84"/>
                                  <w:spacing w:val="-5"/>
                                  <w:sz w:val="22"/>
                                </w:rPr>
                                <w:t> </w:t>
                              </w:r>
                              <w:r>
                                <w:rPr>
                                  <w:color w:val="105C84"/>
                                  <w:sz w:val="22"/>
                                </w:rPr>
                                <w:t>County</w:t>
                              </w:r>
                              <w:r>
                                <w:rPr>
                                  <w:color w:val="105C84"/>
                                  <w:spacing w:val="-4"/>
                                  <w:sz w:val="22"/>
                                </w:rPr>
                                <w:t> </w:t>
                              </w:r>
                              <w:r>
                                <w:rPr>
                                  <w:color w:val="105C84"/>
                                  <w:sz w:val="22"/>
                                </w:rPr>
                                <w:t>Planning</w:t>
                              </w:r>
                              <w:r>
                                <w:rPr>
                                  <w:color w:val="105C84"/>
                                  <w:spacing w:val="-5"/>
                                  <w:sz w:val="22"/>
                                </w:rPr>
                                <w:t> </w:t>
                              </w:r>
                              <w:r>
                                <w:rPr>
                                  <w:color w:val="105C84"/>
                                  <w:spacing w:val="-2"/>
                                  <w:sz w:val="22"/>
                                </w:rPr>
                                <w:t>Dept.</w:t>
                              </w:r>
                            </w:p>
                            <w:p>
                              <w:pPr>
                                <w:spacing w:line="247" w:lineRule="auto" w:before="114"/>
                                <w:ind w:left="0" w:right="0" w:firstLine="0"/>
                                <w:jc w:val="left"/>
                                <w:rPr>
                                  <w:sz w:val="22"/>
                                </w:rPr>
                              </w:pPr>
                              <w:r>
                                <w:rPr>
                                  <w:color w:val="105C84"/>
                                  <w:sz w:val="22"/>
                                </w:rPr>
                                <w:t>Seneca</w:t>
                              </w:r>
                              <w:r>
                                <w:rPr>
                                  <w:color w:val="105C84"/>
                                  <w:spacing w:val="-10"/>
                                  <w:sz w:val="22"/>
                                </w:rPr>
                                <w:t> </w:t>
                              </w:r>
                              <w:r>
                                <w:rPr>
                                  <w:color w:val="105C84"/>
                                  <w:sz w:val="22"/>
                                </w:rPr>
                                <w:t>County</w:t>
                              </w:r>
                              <w:r>
                                <w:rPr>
                                  <w:color w:val="105C84"/>
                                  <w:spacing w:val="-10"/>
                                  <w:sz w:val="22"/>
                                </w:rPr>
                                <w:t> </w:t>
                              </w:r>
                              <w:r>
                                <w:rPr>
                                  <w:color w:val="105C84"/>
                                  <w:sz w:val="22"/>
                                </w:rPr>
                                <w:t>Workforce </w:t>
                              </w:r>
                              <w:r>
                                <w:rPr>
                                  <w:color w:val="105C84"/>
                                  <w:spacing w:val="-2"/>
                                  <w:sz w:val="22"/>
                                </w:rPr>
                                <w:t>Development</w:t>
                              </w:r>
                            </w:p>
                            <w:p>
                              <w:pPr>
                                <w:spacing w:before="107"/>
                                <w:ind w:left="0" w:right="0" w:firstLine="0"/>
                                <w:jc w:val="left"/>
                                <w:rPr>
                                  <w:sz w:val="22"/>
                                </w:rPr>
                              </w:pPr>
                              <w:r>
                                <w:rPr>
                                  <w:color w:val="105C84"/>
                                  <w:w w:val="105"/>
                                  <w:sz w:val="22"/>
                                </w:rPr>
                                <w:t>Office</w:t>
                              </w:r>
                              <w:r>
                                <w:rPr>
                                  <w:color w:val="105C84"/>
                                  <w:spacing w:val="-8"/>
                                  <w:w w:val="105"/>
                                  <w:sz w:val="22"/>
                                </w:rPr>
                                <w:t> </w:t>
                              </w:r>
                              <w:r>
                                <w:rPr>
                                  <w:color w:val="105C84"/>
                                  <w:w w:val="105"/>
                                  <w:sz w:val="22"/>
                                </w:rPr>
                                <w:t>for</w:t>
                              </w:r>
                              <w:r>
                                <w:rPr>
                                  <w:color w:val="105C84"/>
                                  <w:spacing w:val="-7"/>
                                  <w:w w:val="105"/>
                                  <w:sz w:val="22"/>
                                </w:rPr>
                                <w:t> </w:t>
                              </w:r>
                              <w:r>
                                <w:rPr>
                                  <w:color w:val="105C84"/>
                                  <w:spacing w:val="-2"/>
                                  <w:w w:val="105"/>
                                  <w:sz w:val="22"/>
                                </w:rPr>
                                <w:t>Aging</w:t>
                              </w:r>
                            </w:p>
                            <w:p>
                              <w:pPr>
                                <w:spacing w:line="247" w:lineRule="auto" w:before="114"/>
                                <w:ind w:left="0" w:right="0" w:firstLine="0"/>
                                <w:jc w:val="left"/>
                                <w:rPr>
                                  <w:sz w:val="22"/>
                                </w:rPr>
                              </w:pPr>
                              <w:r>
                                <w:rPr>
                                  <w:color w:val="105C84"/>
                                  <w:sz w:val="22"/>
                                </w:rPr>
                                <w:t>Seneca Towns Engaging </w:t>
                              </w:r>
                              <w:r>
                                <w:rPr>
                                  <w:color w:val="105C84"/>
                                  <w:spacing w:val="-2"/>
                                  <w:sz w:val="22"/>
                                </w:rPr>
                                <w:t>People</w:t>
                              </w:r>
                              <w:r>
                                <w:rPr>
                                  <w:color w:val="105C84"/>
                                  <w:spacing w:val="-14"/>
                                  <w:sz w:val="22"/>
                                </w:rPr>
                                <w:t> </w:t>
                              </w:r>
                              <w:r>
                                <w:rPr>
                                  <w:color w:val="105C84"/>
                                  <w:spacing w:val="-2"/>
                                  <w:sz w:val="22"/>
                                </w:rPr>
                                <w:t>for</w:t>
                              </w:r>
                              <w:r>
                                <w:rPr>
                                  <w:color w:val="105C84"/>
                                  <w:spacing w:val="-14"/>
                                  <w:sz w:val="22"/>
                                </w:rPr>
                                <w:t> </w:t>
                              </w:r>
                              <w:r>
                                <w:rPr>
                                  <w:color w:val="105C84"/>
                                  <w:spacing w:val="-2"/>
                                  <w:sz w:val="22"/>
                                </w:rPr>
                                <w:t>Solutions</w:t>
                              </w:r>
                              <w:r>
                                <w:rPr>
                                  <w:color w:val="105C84"/>
                                  <w:spacing w:val="-13"/>
                                  <w:sz w:val="22"/>
                                </w:rPr>
                                <w:t> </w:t>
                              </w:r>
                              <w:r>
                                <w:rPr>
                                  <w:color w:val="105C84"/>
                                  <w:spacing w:val="-2"/>
                                  <w:sz w:val="22"/>
                                </w:rPr>
                                <w:t>(STEPS)</w:t>
                              </w:r>
                            </w:p>
                            <w:p>
                              <w:pPr>
                                <w:spacing w:line="368" w:lineRule="exact" w:before="19"/>
                                <w:ind w:left="0" w:right="0" w:firstLine="0"/>
                                <w:jc w:val="left"/>
                                <w:rPr>
                                  <w:sz w:val="22"/>
                                </w:rPr>
                              </w:pPr>
                              <w:r>
                                <w:rPr>
                                  <w:color w:val="105C84"/>
                                  <w:sz w:val="22"/>
                                </w:rPr>
                                <w:t>Seneca County Mental </w:t>
                              </w:r>
                              <w:r>
                                <w:rPr>
                                  <w:color w:val="105C84"/>
                                  <w:sz w:val="22"/>
                                </w:rPr>
                                <w:t>Health Cayuga/Seneca CAP</w:t>
                              </w:r>
                            </w:p>
                          </w:txbxContent>
                        </wps:txbx>
                        <wps:bodyPr wrap="square" lIns="0" tIns="0" rIns="0" bIns="0" rtlCol="0">
                          <a:noAutofit/>
                        </wps:bodyPr>
                      </wps:wsp>
                      <wps:wsp>
                        <wps:cNvPr id="1224" name="Textbox 1224"/>
                        <wps:cNvSpPr txBox="1"/>
                        <wps:spPr>
                          <a:xfrm>
                            <a:off x="3175" y="3175"/>
                            <a:ext cx="6670675" cy="316865"/>
                          </a:xfrm>
                          <a:prstGeom prst="rect">
                            <a:avLst/>
                          </a:prstGeom>
                        </wps:spPr>
                        <wps:txbx>
                          <w:txbxContent>
                            <w:p>
                              <w:pPr>
                                <w:spacing w:before="160"/>
                                <w:ind w:left="2" w:right="0" w:firstLine="0"/>
                                <w:jc w:val="center"/>
                                <w:rPr>
                                  <w:b/>
                                  <w:sz w:val="20"/>
                                </w:rPr>
                              </w:pPr>
                              <w:r>
                                <w:rPr>
                                  <w:b/>
                                  <w:color w:val="FFFFFF"/>
                                  <w:sz w:val="20"/>
                                </w:rPr>
                                <w:t>SENECA</w:t>
                              </w:r>
                              <w:r>
                                <w:rPr>
                                  <w:b/>
                                  <w:color w:val="FFFFFF"/>
                                  <w:spacing w:val="10"/>
                                  <w:sz w:val="20"/>
                                </w:rPr>
                                <w:t> </w:t>
                              </w:r>
                              <w:r>
                                <w:rPr>
                                  <w:b/>
                                  <w:color w:val="FFFFFF"/>
                                  <w:sz w:val="20"/>
                                </w:rPr>
                                <w:t>COUNTY</w:t>
                              </w:r>
                              <w:r>
                                <w:rPr>
                                  <w:b/>
                                  <w:color w:val="FFFFFF"/>
                                  <w:spacing w:val="11"/>
                                  <w:sz w:val="20"/>
                                </w:rPr>
                                <w:t> </w:t>
                              </w:r>
                              <w:r>
                                <w:rPr>
                                  <w:b/>
                                  <w:color w:val="FFFFFF"/>
                                  <w:sz w:val="20"/>
                                </w:rPr>
                                <w:t>PRIORITIZATION</w:t>
                              </w:r>
                              <w:r>
                                <w:rPr>
                                  <w:b/>
                                  <w:color w:val="FFFFFF"/>
                                  <w:spacing w:val="11"/>
                                  <w:sz w:val="20"/>
                                </w:rPr>
                                <w:t> </w:t>
                              </w:r>
                              <w:r>
                                <w:rPr>
                                  <w:b/>
                                  <w:color w:val="FFFFFF"/>
                                  <w:spacing w:val="-2"/>
                                  <w:sz w:val="20"/>
                                </w:rPr>
                                <w:t>AGENCIES</w:t>
                              </w:r>
                            </w:p>
                          </w:txbxContent>
                        </wps:txbx>
                        <wps:bodyPr wrap="square" lIns="0" tIns="0" rIns="0" bIns="0" rtlCol="0">
                          <a:noAutofit/>
                        </wps:bodyPr>
                      </wps:wsp>
                    </wpg:wgp>
                  </a:graphicData>
                </a:graphic>
              </wp:inline>
            </w:drawing>
          </mc:Choice>
          <mc:Fallback>
            <w:pict>
              <v:group style="width:525.75pt;height:229.75pt;mso-position-horizontal-relative:char;mso-position-vertical-relative:line" id="docshapegroup974" coordorigin="0,0" coordsize="10515,4595">
                <v:rect style="position:absolute;left:2;top:2;width:10510;height:502" id="docshape975" filled="true" fillcolor="#939598" stroked="false">
                  <v:fill type="solid"/>
                </v:rect>
                <v:line style="position:absolute" from="3629,871" to="6970,871" stroked="true" strokeweight=".25pt" strokecolor="#636466">
                  <v:stroke dashstyle="solid"/>
                </v:line>
                <v:line style="position:absolute" from="3629,1499" to="6970,1499" stroked="true" strokeweight=".25pt" strokecolor="#636466">
                  <v:stroke dashstyle="solid"/>
                </v:line>
                <v:line style="position:absolute" from="3629,1866" to="6970,1866" stroked="true" strokeweight=".25pt" strokecolor="#636466">
                  <v:stroke dashstyle="solid"/>
                </v:line>
                <v:line style="position:absolute" from="3629,2494" to="6970,2494" stroked="true" strokeweight=".25pt" strokecolor="#636466">
                  <v:stroke dashstyle="solid"/>
                </v:line>
                <v:line style="position:absolute" from="3629,3857" to="6970,3857" stroked="true" strokeweight=".25pt" strokecolor="#636466">
                  <v:stroke dashstyle="solid"/>
                </v:line>
                <v:line style="position:absolute" from="3629,4224" to="6970,4224" stroked="true" strokeweight=".25pt" strokecolor="#636466">
                  <v:stroke dashstyle="solid"/>
                </v:line>
                <v:line style="position:absolute" from="3629,4592" to="6970,4592" stroked="true" strokeweight=".25pt" strokecolor="#636466">
                  <v:stroke dashstyle="solid"/>
                </v:line>
                <v:line style="position:absolute" from="3,2862" to="3370,2862" stroked="true" strokeweight=".25pt" strokecolor="#636466">
                  <v:stroke dashstyle="solid"/>
                </v:line>
                <v:line style="position:absolute" from="3629,2862" to="6970,2862" stroked="true" strokeweight=".25pt" strokecolor="#636466">
                  <v:stroke dashstyle="solid"/>
                </v:line>
                <v:line style="position:absolute" from="7250,2862" to="10512,2862" stroked="true" strokeweight=".25pt" strokecolor="#636466">
                  <v:stroke dashstyle="solid"/>
                </v:line>
                <v:line style="position:absolute" from="3,3489" to="3370,3489" stroked="true" strokeweight=".25pt" strokecolor="#636466">
                  <v:stroke dashstyle="solid"/>
                </v:line>
                <v:line style="position:absolute" from="3629,3489" to="6970,3489" stroked="true" strokeweight=".25pt" strokecolor="#636466">
                  <v:stroke dashstyle="solid"/>
                </v:line>
                <v:line style="position:absolute" from="7250,3489" to="10512,3489" stroked="true" strokeweight=".25pt" strokecolor="#636466">
                  <v:stroke dashstyle="solid"/>
                </v:line>
                <v:line style="position:absolute" from="0,3" to="3370,3" stroked="true" strokeweight=".25pt" strokecolor="#636466">
                  <v:stroke dashstyle="solid"/>
                </v:line>
                <v:line style="position:absolute" from="3,504" to="3,5" stroked="true" strokeweight=".25pt" strokecolor="#636466">
                  <v:stroke dashstyle="solid"/>
                </v:line>
                <v:line style="position:absolute" from="3370,3" to="3629,3" stroked="true" strokeweight=".25pt" strokecolor="#636466">
                  <v:stroke dashstyle="solid"/>
                </v:line>
                <v:line style="position:absolute" from="3629,3" to="6970,3" stroked="true" strokeweight=".25pt" strokecolor="#636466">
                  <v:stroke dashstyle="solid"/>
                </v:line>
                <v:line style="position:absolute" from="6970,3" to="7250,3" stroked="true" strokeweight=".25pt" strokecolor="#636466">
                  <v:stroke dashstyle="solid"/>
                </v:line>
                <v:line style="position:absolute" from="7250,3" to="10514,3" stroked="true" strokeweight=".25pt" strokecolor="#636466">
                  <v:stroke dashstyle="solid"/>
                </v:line>
                <v:line style="position:absolute" from="10512,504" to="10512,5" stroked="true" strokeweight=".25pt" strokecolor="#636466">
                  <v:stroke dashstyle="solid"/>
                </v:line>
                <v:line style="position:absolute" from="3,871" to="3370,871" stroked="true" strokeweight=".25pt" strokecolor="#636466">
                  <v:stroke dashstyle="solid"/>
                </v:line>
                <v:line style="position:absolute" from="7250,871" to="10512,871" stroked="true" strokeweight=".25pt" strokecolor="#636466">
                  <v:stroke dashstyle="solid"/>
                </v:line>
                <v:line style="position:absolute" from="3,1499" to="3370,1499" stroked="true" strokeweight=".25pt" strokecolor="#636466">
                  <v:stroke dashstyle="solid"/>
                </v:line>
                <v:line style="position:absolute" from="7250,1499" to="10512,1499" stroked="true" strokeweight=".25pt" strokecolor="#636466">
                  <v:stroke dashstyle="solid"/>
                </v:line>
                <v:line style="position:absolute" from="3,1866" to="3370,1866" stroked="true" strokeweight=".25pt" strokecolor="#636466">
                  <v:stroke dashstyle="solid"/>
                </v:line>
                <v:line style="position:absolute" from="7250,1866" to="10512,1866" stroked="true" strokeweight=".25pt" strokecolor="#636466">
                  <v:stroke dashstyle="solid"/>
                </v:line>
                <v:line style="position:absolute" from="3,2494" to="3370,2494" stroked="true" strokeweight=".25pt" strokecolor="#636466">
                  <v:stroke dashstyle="solid"/>
                </v:line>
                <v:line style="position:absolute" from="7250,2494" to="10512,2494" stroked="true" strokeweight=".25pt" strokecolor="#636466">
                  <v:stroke dashstyle="solid"/>
                </v:line>
                <v:line style="position:absolute" from="3,3857" to="3370,3857" stroked="true" strokeweight=".25pt" strokecolor="#636466">
                  <v:stroke dashstyle="solid"/>
                </v:line>
                <v:line style="position:absolute" from="7250,3857" to="10512,3857" stroked="true" strokeweight=".25pt" strokecolor="#636466">
                  <v:stroke dashstyle="solid"/>
                </v:line>
                <v:line style="position:absolute" from="3,4224" to="3370,4224" stroked="true" strokeweight=".25pt" strokecolor="#636466">
                  <v:stroke dashstyle="solid"/>
                </v:line>
                <v:line style="position:absolute" from="7250,4224" to="10512,4224" stroked="true" strokeweight=".25pt" strokecolor="#636466">
                  <v:stroke dashstyle="solid"/>
                </v:line>
                <v:line style="position:absolute" from="3,4592" to="3370,4592" stroked="true" strokeweight=".25pt" strokecolor="#636466">
                  <v:stroke dashstyle="solid"/>
                </v:line>
                <v:line style="position:absolute" from="7250,4592" to="10512,4592" stroked="true" strokeweight=".25pt" strokecolor="#636466">
                  <v:stroke dashstyle="solid"/>
                </v:line>
                <v:shape style="position:absolute;left:82;top:561;width:3204;height:4022" type="#_x0000_t202" id="docshape976" filled="false" stroked="false">
                  <v:textbox inset="0,0,0,0">
                    <w:txbxContent>
                      <w:p>
                        <w:pPr>
                          <w:spacing w:line="472" w:lineRule="auto" w:before="13"/>
                          <w:ind w:left="0" w:right="0" w:firstLine="0"/>
                          <w:jc w:val="left"/>
                          <w:rPr>
                            <w:sz w:val="22"/>
                          </w:rPr>
                        </w:pPr>
                        <w:r>
                          <w:rPr>
                            <w:color w:val="105C84"/>
                            <w:sz w:val="22"/>
                          </w:rPr>
                          <w:t>Seneca County Public Health New York Chiropractic </w:t>
                        </w:r>
                        <w:r>
                          <w:rPr>
                            <w:color w:val="105C84"/>
                            <w:sz w:val="22"/>
                          </w:rPr>
                          <w:t>College</w:t>
                        </w:r>
                      </w:p>
                      <w:p>
                        <w:pPr>
                          <w:spacing w:line="252" w:lineRule="exact" w:before="0"/>
                          <w:ind w:left="0" w:right="0" w:firstLine="0"/>
                          <w:jc w:val="left"/>
                          <w:rPr>
                            <w:sz w:val="22"/>
                          </w:rPr>
                        </w:pPr>
                        <w:r>
                          <w:rPr>
                            <w:color w:val="105C84"/>
                            <w:sz w:val="22"/>
                          </w:rPr>
                          <w:t>Catholic</w:t>
                        </w:r>
                        <w:r>
                          <w:rPr>
                            <w:color w:val="105C84"/>
                            <w:spacing w:val="20"/>
                            <w:sz w:val="22"/>
                          </w:rPr>
                          <w:t> </w:t>
                        </w:r>
                        <w:r>
                          <w:rPr>
                            <w:color w:val="105C84"/>
                            <w:spacing w:val="-2"/>
                            <w:sz w:val="22"/>
                          </w:rPr>
                          <w:t>Charities</w:t>
                        </w:r>
                      </w:p>
                      <w:p>
                        <w:pPr>
                          <w:spacing w:line="247" w:lineRule="auto" w:before="115"/>
                          <w:ind w:left="0" w:right="0" w:firstLine="0"/>
                          <w:jc w:val="left"/>
                          <w:rPr>
                            <w:sz w:val="22"/>
                          </w:rPr>
                        </w:pPr>
                        <w:r>
                          <w:rPr>
                            <w:color w:val="105C84"/>
                            <w:w w:val="105"/>
                            <w:sz w:val="22"/>
                          </w:rPr>
                          <w:t>Tobacco</w:t>
                        </w:r>
                        <w:r>
                          <w:rPr>
                            <w:color w:val="105C84"/>
                            <w:spacing w:val="-17"/>
                            <w:w w:val="105"/>
                            <w:sz w:val="22"/>
                          </w:rPr>
                          <w:t> </w:t>
                        </w:r>
                        <w:r>
                          <w:rPr>
                            <w:color w:val="105C84"/>
                            <w:w w:val="105"/>
                            <w:sz w:val="22"/>
                          </w:rPr>
                          <w:t>Action</w:t>
                        </w:r>
                        <w:r>
                          <w:rPr>
                            <w:color w:val="105C84"/>
                            <w:spacing w:val="-17"/>
                            <w:w w:val="105"/>
                            <w:sz w:val="22"/>
                          </w:rPr>
                          <w:t> </w:t>
                        </w:r>
                        <w:r>
                          <w:rPr>
                            <w:color w:val="105C84"/>
                            <w:w w:val="105"/>
                            <w:sz w:val="22"/>
                          </w:rPr>
                          <w:t>Coalition</w:t>
                        </w:r>
                        <w:r>
                          <w:rPr>
                            <w:color w:val="105C84"/>
                            <w:spacing w:val="-16"/>
                            <w:w w:val="105"/>
                            <w:sz w:val="22"/>
                          </w:rPr>
                          <w:t> </w:t>
                        </w:r>
                        <w:r>
                          <w:rPr>
                            <w:color w:val="105C84"/>
                            <w:w w:val="105"/>
                            <w:sz w:val="22"/>
                          </w:rPr>
                          <w:t>of</w:t>
                        </w:r>
                        <w:r>
                          <w:rPr>
                            <w:color w:val="105C84"/>
                            <w:spacing w:val="-16"/>
                            <w:w w:val="105"/>
                            <w:sz w:val="22"/>
                          </w:rPr>
                          <w:t> </w:t>
                        </w:r>
                        <w:r>
                          <w:rPr>
                            <w:color w:val="105C84"/>
                            <w:w w:val="105"/>
                            <w:sz w:val="22"/>
                          </w:rPr>
                          <w:t>the Finger Lakes</w:t>
                        </w:r>
                      </w:p>
                      <w:p>
                        <w:pPr>
                          <w:spacing w:line="472" w:lineRule="auto" w:before="107"/>
                          <w:ind w:left="0" w:right="0" w:firstLine="0"/>
                          <w:jc w:val="left"/>
                          <w:rPr>
                            <w:sz w:val="22"/>
                          </w:rPr>
                        </w:pPr>
                        <w:r>
                          <w:rPr>
                            <w:color w:val="105C84"/>
                            <w:sz w:val="22"/>
                          </w:rPr>
                          <w:t>Seneca</w:t>
                        </w:r>
                        <w:r>
                          <w:rPr>
                            <w:color w:val="105C84"/>
                            <w:spacing w:val="-16"/>
                            <w:sz w:val="22"/>
                          </w:rPr>
                          <w:t> </w:t>
                        </w:r>
                        <w:r>
                          <w:rPr>
                            <w:color w:val="105C84"/>
                            <w:sz w:val="22"/>
                          </w:rPr>
                          <w:t>County</w:t>
                        </w:r>
                        <w:r>
                          <w:rPr>
                            <w:color w:val="105C84"/>
                            <w:spacing w:val="-16"/>
                            <w:sz w:val="22"/>
                          </w:rPr>
                          <w:t> </w:t>
                        </w:r>
                        <w:r>
                          <w:rPr>
                            <w:color w:val="105C84"/>
                            <w:sz w:val="22"/>
                          </w:rPr>
                          <w:t>Youth</w:t>
                        </w:r>
                        <w:r>
                          <w:rPr>
                            <w:color w:val="105C84"/>
                            <w:spacing w:val="-15"/>
                            <w:sz w:val="22"/>
                          </w:rPr>
                          <w:t> </w:t>
                        </w:r>
                        <w:r>
                          <w:rPr>
                            <w:color w:val="105C84"/>
                            <w:sz w:val="22"/>
                          </w:rPr>
                          <w:t>Bureau Harmony Food Pantry</w:t>
                        </w:r>
                      </w:p>
                      <w:p>
                        <w:pPr>
                          <w:spacing w:line="348" w:lineRule="auto" w:before="0"/>
                          <w:ind w:left="0" w:right="0" w:firstLine="0"/>
                          <w:jc w:val="left"/>
                          <w:rPr>
                            <w:sz w:val="22"/>
                          </w:rPr>
                        </w:pPr>
                        <w:r>
                          <w:rPr>
                            <w:color w:val="105C84"/>
                            <w:sz w:val="22"/>
                          </w:rPr>
                          <w:t>Finger Lakes Community </w:t>
                        </w:r>
                        <w:r>
                          <w:rPr>
                            <w:color w:val="105C84"/>
                            <w:sz w:val="22"/>
                          </w:rPr>
                          <w:t>Health United Way</w:t>
                        </w:r>
                      </w:p>
                      <w:p>
                        <w:pPr>
                          <w:spacing w:before="0"/>
                          <w:ind w:left="0" w:right="0" w:firstLine="0"/>
                          <w:jc w:val="left"/>
                          <w:rPr>
                            <w:sz w:val="22"/>
                          </w:rPr>
                        </w:pPr>
                        <w:r>
                          <w:rPr>
                            <w:color w:val="105C84"/>
                            <w:sz w:val="22"/>
                          </w:rPr>
                          <w:t>Cornell</w:t>
                        </w:r>
                        <w:r>
                          <w:rPr>
                            <w:color w:val="105C84"/>
                            <w:spacing w:val="31"/>
                            <w:sz w:val="22"/>
                          </w:rPr>
                          <w:t> </w:t>
                        </w:r>
                        <w:r>
                          <w:rPr>
                            <w:color w:val="105C84"/>
                            <w:sz w:val="22"/>
                          </w:rPr>
                          <w:t>Cooperative</w:t>
                        </w:r>
                        <w:r>
                          <w:rPr>
                            <w:color w:val="105C84"/>
                            <w:spacing w:val="32"/>
                            <w:sz w:val="22"/>
                          </w:rPr>
                          <w:t> </w:t>
                        </w:r>
                        <w:r>
                          <w:rPr>
                            <w:color w:val="105C84"/>
                            <w:spacing w:val="-2"/>
                            <w:sz w:val="22"/>
                          </w:rPr>
                          <w:t>Extension</w:t>
                        </w:r>
                      </w:p>
                    </w:txbxContent>
                  </v:textbox>
                  <w10:wrap type="none"/>
                </v:shape>
                <v:shape style="position:absolute;left:3708;top:561;width:3166;height:4022" type="#_x0000_t202" id="docshape977" filled="false" stroked="false">
                  <v:textbox inset="0,0,0,0">
                    <w:txbxContent>
                      <w:p>
                        <w:pPr>
                          <w:spacing w:before="13"/>
                          <w:ind w:left="0" w:right="0" w:firstLine="0"/>
                          <w:jc w:val="left"/>
                          <w:rPr>
                            <w:sz w:val="22"/>
                          </w:rPr>
                        </w:pPr>
                        <w:r>
                          <w:rPr>
                            <w:color w:val="105C84"/>
                            <w:spacing w:val="-4"/>
                            <w:sz w:val="22"/>
                          </w:rPr>
                          <w:t>S2AY</w:t>
                        </w:r>
                        <w:r>
                          <w:rPr>
                            <w:color w:val="105C84"/>
                            <w:spacing w:val="-5"/>
                            <w:sz w:val="22"/>
                          </w:rPr>
                          <w:t> </w:t>
                        </w:r>
                        <w:r>
                          <w:rPr>
                            <w:color w:val="105C84"/>
                            <w:spacing w:val="-4"/>
                            <w:sz w:val="22"/>
                          </w:rPr>
                          <w:t>Rural</w:t>
                        </w:r>
                        <w:r>
                          <w:rPr>
                            <w:color w:val="105C84"/>
                            <w:spacing w:val="-5"/>
                            <w:sz w:val="22"/>
                          </w:rPr>
                          <w:t> </w:t>
                        </w:r>
                        <w:r>
                          <w:rPr>
                            <w:color w:val="105C84"/>
                            <w:spacing w:val="-4"/>
                            <w:sz w:val="22"/>
                          </w:rPr>
                          <w:t>Health Network</w:t>
                        </w:r>
                      </w:p>
                      <w:p>
                        <w:pPr>
                          <w:spacing w:line="247" w:lineRule="auto" w:before="115"/>
                          <w:ind w:left="0" w:right="0" w:firstLine="0"/>
                          <w:jc w:val="left"/>
                          <w:rPr>
                            <w:sz w:val="22"/>
                          </w:rPr>
                        </w:pPr>
                        <w:r>
                          <w:rPr>
                            <w:color w:val="105C84"/>
                            <w:sz w:val="22"/>
                          </w:rPr>
                          <w:t>Seneca</w:t>
                        </w:r>
                        <w:r>
                          <w:rPr>
                            <w:color w:val="105C84"/>
                            <w:spacing w:val="-4"/>
                            <w:sz w:val="22"/>
                          </w:rPr>
                          <w:t> </w:t>
                        </w:r>
                        <w:r>
                          <w:rPr>
                            <w:color w:val="105C84"/>
                            <w:sz w:val="22"/>
                          </w:rPr>
                          <w:t>County</w:t>
                        </w:r>
                        <w:r>
                          <w:rPr>
                            <w:color w:val="105C84"/>
                            <w:spacing w:val="-4"/>
                            <w:sz w:val="22"/>
                          </w:rPr>
                          <w:t> </w:t>
                        </w:r>
                        <w:r>
                          <w:rPr>
                            <w:color w:val="105C84"/>
                            <w:sz w:val="22"/>
                          </w:rPr>
                          <w:t>Division</w:t>
                        </w:r>
                        <w:r>
                          <w:rPr>
                            <w:color w:val="105C84"/>
                            <w:spacing w:val="-4"/>
                            <w:sz w:val="22"/>
                          </w:rPr>
                          <w:t> </w:t>
                        </w:r>
                        <w:r>
                          <w:rPr>
                            <w:color w:val="105C84"/>
                            <w:sz w:val="22"/>
                          </w:rPr>
                          <w:t>of Human Services</w:t>
                        </w:r>
                      </w:p>
                      <w:p>
                        <w:pPr>
                          <w:spacing w:line="472" w:lineRule="auto" w:before="107"/>
                          <w:ind w:left="0" w:right="625" w:firstLine="0"/>
                          <w:jc w:val="left"/>
                          <w:rPr>
                            <w:sz w:val="22"/>
                          </w:rPr>
                        </w:pPr>
                        <w:r>
                          <w:rPr>
                            <w:color w:val="105C84"/>
                            <w:sz w:val="22"/>
                          </w:rPr>
                          <w:t>Finger</w:t>
                        </w:r>
                        <w:r>
                          <w:rPr>
                            <w:color w:val="105C84"/>
                            <w:spacing w:val="-16"/>
                            <w:sz w:val="22"/>
                          </w:rPr>
                          <w:t> </w:t>
                        </w:r>
                        <w:r>
                          <w:rPr>
                            <w:color w:val="105C84"/>
                            <w:sz w:val="22"/>
                          </w:rPr>
                          <w:t>Lakes</w:t>
                        </w:r>
                        <w:r>
                          <w:rPr>
                            <w:color w:val="105C84"/>
                            <w:spacing w:val="-16"/>
                            <w:sz w:val="22"/>
                          </w:rPr>
                          <w:t> </w:t>
                        </w:r>
                        <w:r>
                          <w:rPr>
                            <w:color w:val="105C84"/>
                            <w:sz w:val="22"/>
                          </w:rPr>
                          <w:t>Health Finger Lakes ARC</w:t>
                        </w:r>
                      </w:p>
                      <w:p>
                        <w:pPr>
                          <w:spacing w:line="252" w:lineRule="exact" w:before="0"/>
                          <w:ind w:left="0" w:right="0" w:firstLine="0"/>
                          <w:jc w:val="left"/>
                          <w:rPr>
                            <w:sz w:val="22"/>
                          </w:rPr>
                        </w:pPr>
                        <w:r>
                          <w:rPr>
                            <w:color w:val="105C84"/>
                            <w:sz w:val="22"/>
                          </w:rPr>
                          <w:t>Seneca</w:t>
                        </w:r>
                        <w:r>
                          <w:rPr>
                            <w:color w:val="105C84"/>
                            <w:spacing w:val="-6"/>
                            <w:sz w:val="22"/>
                          </w:rPr>
                          <w:t> </w:t>
                        </w:r>
                        <w:r>
                          <w:rPr>
                            <w:color w:val="105C84"/>
                            <w:sz w:val="22"/>
                          </w:rPr>
                          <w:t>County</w:t>
                        </w:r>
                        <w:r>
                          <w:rPr>
                            <w:color w:val="105C84"/>
                            <w:spacing w:val="-5"/>
                            <w:sz w:val="22"/>
                          </w:rPr>
                          <w:t> </w:t>
                        </w:r>
                        <w:r>
                          <w:rPr>
                            <w:color w:val="105C84"/>
                            <w:spacing w:val="-2"/>
                            <w:sz w:val="22"/>
                          </w:rPr>
                          <w:t>Probation</w:t>
                        </w:r>
                      </w:p>
                      <w:p>
                        <w:pPr>
                          <w:spacing w:line="247" w:lineRule="auto" w:before="114"/>
                          <w:ind w:left="0" w:right="0" w:firstLine="0"/>
                          <w:jc w:val="left"/>
                          <w:rPr>
                            <w:sz w:val="22"/>
                          </w:rPr>
                        </w:pPr>
                        <w:r>
                          <w:rPr>
                            <w:color w:val="105C84"/>
                            <w:sz w:val="22"/>
                          </w:rPr>
                          <w:t>1st</w:t>
                        </w:r>
                        <w:r>
                          <w:rPr>
                            <w:color w:val="105C84"/>
                            <w:spacing w:val="-11"/>
                            <w:sz w:val="22"/>
                          </w:rPr>
                          <w:t> </w:t>
                        </w:r>
                        <w:r>
                          <w:rPr>
                            <w:color w:val="105C84"/>
                            <w:sz w:val="22"/>
                          </w:rPr>
                          <w:t>Presbyterian</w:t>
                        </w:r>
                        <w:r>
                          <w:rPr>
                            <w:color w:val="105C84"/>
                            <w:spacing w:val="-11"/>
                            <w:sz w:val="22"/>
                          </w:rPr>
                          <w:t> </w:t>
                        </w:r>
                        <w:r>
                          <w:rPr>
                            <w:color w:val="105C84"/>
                            <w:sz w:val="22"/>
                          </w:rPr>
                          <w:t>Church</w:t>
                        </w:r>
                        <w:r>
                          <w:rPr>
                            <w:color w:val="105C84"/>
                            <w:spacing w:val="-11"/>
                            <w:sz w:val="22"/>
                          </w:rPr>
                          <w:t> </w:t>
                        </w:r>
                        <w:r>
                          <w:rPr>
                            <w:color w:val="105C84"/>
                            <w:sz w:val="22"/>
                          </w:rPr>
                          <w:t>of Seneca Falls</w:t>
                        </w:r>
                      </w:p>
                      <w:p>
                        <w:pPr>
                          <w:spacing w:line="348" w:lineRule="auto" w:before="107"/>
                          <w:ind w:left="0" w:right="0" w:firstLine="0"/>
                          <w:jc w:val="left"/>
                          <w:rPr>
                            <w:sz w:val="22"/>
                          </w:rPr>
                        </w:pPr>
                        <w:r>
                          <w:rPr>
                            <w:color w:val="105C84"/>
                            <w:sz w:val="22"/>
                          </w:rPr>
                          <w:t>Romulus Central School </w:t>
                        </w:r>
                        <w:r>
                          <w:rPr>
                            <w:color w:val="105C84"/>
                            <w:sz w:val="22"/>
                          </w:rPr>
                          <w:t>District Board of Health</w:t>
                        </w:r>
                      </w:p>
                      <w:p>
                        <w:pPr>
                          <w:spacing w:before="1"/>
                          <w:ind w:left="0" w:right="0" w:firstLine="0"/>
                          <w:jc w:val="left"/>
                          <w:rPr>
                            <w:sz w:val="22"/>
                          </w:rPr>
                        </w:pPr>
                        <w:r>
                          <w:rPr>
                            <w:color w:val="105C84"/>
                            <w:spacing w:val="-2"/>
                            <w:sz w:val="22"/>
                          </w:rPr>
                          <w:t>Genesee</w:t>
                        </w:r>
                        <w:r>
                          <w:rPr>
                            <w:color w:val="105C84"/>
                            <w:spacing w:val="-6"/>
                            <w:sz w:val="22"/>
                          </w:rPr>
                          <w:t> </w:t>
                        </w:r>
                        <w:r>
                          <w:rPr>
                            <w:color w:val="105C84"/>
                            <w:spacing w:val="-2"/>
                            <w:sz w:val="22"/>
                          </w:rPr>
                          <w:t>Valley</w:t>
                        </w:r>
                        <w:r>
                          <w:rPr>
                            <w:color w:val="105C84"/>
                            <w:spacing w:val="-5"/>
                            <w:sz w:val="22"/>
                          </w:rPr>
                          <w:t> </w:t>
                        </w:r>
                        <w:r>
                          <w:rPr>
                            <w:color w:val="105C84"/>
                            <w:spacing w:val="-2"/>
                            <w:sz w:val="22"/>
                          </w:rPr>
                          <w:t>BOCES</w:t>
                        </w:r>
                      </w:p>
                    </w:txbxContent>
                  </v:textbox>
                  <w10:wrap type="none"/>
                </v:shape>
                <v:shape style="position:absolute;left:7330;top:561;width:3066;height:3654" type="#_x0000_t202" id="docshape978" filled="false" stroked="false">
                  <v:textbox inset="0,0,0,0">
                    <w:txbxContent>
                      <w:p>
                        <w:pPr>
                          <w:spacing w:before="13"/>
                          <w:ind w:left="0" w:right="0" w:firstLine="0"/>
                          <w:jc w:val="left"/>
                          <w:rPr>
                            <w:sz w:val="22"/>
                          </w:rPr>
                        </w:pPr>
                        <w:r>
                          <w:rPr>
                            <w:color w:val="105C84"/>
                            <w:sz w:val="22"/>
                          </w:rPr>
                          <w:t>Common</w:t>
                        </w:r>
                        <w:r>
                          <w:rPr>
                            <w:color w:val="105C84"/>
                            <w:spacing w:val="26"/>
                            <w:sz w:val="22"/>
                          </w:rPr>
                          <w:t> </w:t>
                        </w:r>
                        <w:r>
                          <w:rPr>
                            <w:color w:val="105C84"/>
                            <w:sz w:val="22"/>
                          </w:rPr>
                          <w:t>Ground</w:t>
                        </w:r>
                        <w:r>
                          <w:rPr>
                            <w:color w:val="105C84"/>
                            <w:spacing w:val="27"/>
                            <w:sz w:val="22"/>
                          </w:rPr>
                          <w:t> </w:t>
                        </w:r>
                        <w:r>
                          <w:rPr>
                            <w:color w:val="105C84"/>
                            <w:spacing w:val="-2"/>
                            <w:sz w:val="22"/>
                          </w:rPr>
                          <w:t>Health</w:t>
                        </w:r>
                      </w:p>
                      <w:p>
                        <w:pPr>
                          <w:spacing w:line="247" w:lineRule="auto" w:before="115"/>
                          <w:ind w:left="0" w:right="0" w:firstLine="0"/>
                          <w:jc w:val="left"/>
                          <w:rPr>
                            <w:sz w:val="22"/>
                          </w:rPr>
                        </w:pPr>
                        <w:r>
                          <w:rPr>
                            <w:color w:val="105C84"/>
                            <w:sz w:val="22"/>
                          </w:rPr>
                          <w:t>Greater</w:t>
                        </w:r>
                        <w:r>
                          <w:rPr>
                            <w:color w:val="105C84"/>
                            <w:spacing w:val="-8"/>
                            <w:sz w:val="22"/>
                          </w:rPr>
                          <w:t> </w:t>
                        </w:r>
                        <w:r>
                          <w:rPr>
                            <w:color w:val="105C84"/>
                            <w:sz w:val="22"/>
                          </w:rPr>
                          <w:t>Rochester</w:t>
                        </w:r>
                        <w:r>
                          <w:rPr>
                            <w:color w:val="105C84"/>
                            <w:spacing w:val="-8"/>
                            <w:sz w:val="22"/>
                          </w:rPr>
                          <w:t> </w:t>
                        </w:r>
                        <w:r>
                          <w:rPr>
                            <w:color w:val="105C84"/>
                            <w:sz w:val="22"/>
                          </w:rPr>
                          <w:t>Health </w:t>
                        </w:r>
                        <w:r>
                          <w:rPr>
                            <w:color w:val="105C84"/>
                            <w:spacing w:val="-2"/>
                            <w:sz w:val="22"/>
                          </w:rPr>
                          <w:t>Foundation</w:t>
                        </w:r>
                      </w:p>
                      <w:p>
                        <w:pPr>
                          <w:spacing w:before="107"/>
                          <w:ind w:left="0" w:right="0" w:firstLine="0"/>
                          <w:jc w:val="left"/>
                          <w:rPr>
                            <w:sz w:val="22"/>
                          </w:rPr>
                        </w:pPr>
                        <w:r>
                          <w:rPr>
                            <w:color w:val="105C84"/>
                            <w:sz w:val="22"/>
                          </w:rPr>
                          <w:t>Seneca</w:t>
                        </w:r>
                        <w:r>
                          <w:rPr>
                            <w:color w:val="105C84"/>
                            <w:spacing w:val="-5"/>
                            <w:sz w:val="22"/>
                          </w:rPr>
                          <w:t> </w:t>
                        </w:r>
                        <w:r>
                          <w:rPr>
                            <w:color w:val="105C84"/>
                            <w:sz w:val="22"/>
                          </w:rPr>
                          <w:t>County</w:t>
                        </w:r>
                        <w:r>
                          <w:rPr>
                            <w:color w:val="105C84"/>
                            <w:spacing w:val="-4"/>
                            <w:sz w:val="22"/>
                          </w:rPr>
                          <w:t> </w:t>
                        </w:r>
                        <w:r>
                          <w:rPr>
                            <w:color w:val="105C84"/>
                            <w:sz w:val="22"/>
                          </w:rPr>
                          <w:t>Planning</w:t>
                        </w:r>
                        <w:r>
                          <w:rPr>
                            <w:color w:val="105C84"/>
                            <w:spacing w:val="-5"/>
                            <w:sz w:val="22"/>
                          </w:rPr>
                          <w:t> </w:t>
                        </w:r>
                        <w:r>
                          <w:rPr>
                            <w:color w:val="105C84"/>
                            <w:spacing w:val="-2"/>
                            <w:sz w:val="22"/>
                          </w:rPr>
                          <w:t>Dept.</w:t>
                        </w:r>
                      </w:p>
                      <w:p>
                        <w:pPr>
                          <w:spacing w:line="247" w:lineRule="auto" w:before="114"/>
                          <w:ind w:left="0" w:right="0" w:firstLine="0"/>
                          <w:jc w:val="left"/>
                          <w:rPr>
                            <w:sz w:val="22"/>
                          </w:rPr>
                        </w:pPr>
                        <w:r>
                          <w:rPr>
                            <w:color w:val="105C84"/>
                            <w:sz w:val="22"/>
                          </w:rPr>
                          <w:t>Seneca</w:t>
                        </w:r>
                        <w:r>
                          <w:rPr>
                            <w:color w:val="105C84"/>
                            <w:spacing w:val="-10"/>
                            <w:sz w:val="22"/>
                          </w:rPr>
                          <w:t> </w:t>
                        </w:r>
                        <w:r>
                          <w:rPr>
                            <w:color w:val="105C84"/>
                            <w:sz w:val="22"/>
                          </w:rPr>
                          <w:t>County</w:t>
                        </w:r>
                        <w:r>
                          <w:rPr>
                            <w:color w:val="105C84"/>
                            <w:spacing w:val="-10"/>
                            <w:sz w:val="22"/>
                          </w:rPr>
                          <w:t> </w:t>
                        </w:r>
                        <w:r>
                          <w:rPr>
                            <w:color w:val="105C84"/>
                            <w:sz w:val="22"/>
                          </w:rPr>
                          <w:t>Workforce </w:t>
                        </w:r>
                        <w:r>
                          <w:rPr>
                            <w:color w:val="105C84"/>
                            <w:spacing w:val="-2"/>
                            <w:sz w:val="22"/>
                          </w:rPr>
                          <w:t>Development</w:t>
                        </w:r>
                      </w:p>
                      <w:p>
                        <w:pPr>
                          <w:spacing w:before="107"/>
                          <w:ind w:left="0" w:right="0" w:firstLine="0"/>
                          <w:jc w:val="left"/>
                          <w:rPr>
                            <w:sz w:val="22"/>
                          </w:rPr>
                        </w:pPr>
                        <w:r>
                          <w:rPr>
                            <w:color w:val="105C84"/>
                            <w:w w:val="105"/>
                            <w:sz w:val="22"/>
                          </w:rPr>
                          <w:t>Office</w:t>
                        </w:r>
                        <w:r>
                          <w:rPr>
                            <w:color w:val="105C84"/>
                            <w:spacing w:val="-8"/>
                            <w:w w:val="105"/>
                            <w:sz w:val="22"/>
                          </w:rPr>
                          <w:t> </w:t>
                        </w:r>
                        <w:r>
                          <w:rPr>
                            <w:color w:val="105C84"/>
                            <w:w w:val="105"/>
                            <w:sz w:val="22"/>
                          </w:rPr>
                          <w:t>for</w:t>
                        </w:r>
                        <w:r>
                          <w:rPr>
                            <w:color w:val="105C84"/>
                            <w:spacing w:val="-7"/>
                            <w:w w:val="105"/>
                            <w:sz w:val="22"/>
                          </w:rPr>
                          <w:t> </w:t>
                        </w:r>
                        <w:r>
                          <w:rPr>
                            <w:color w:val="105C84"/>
                            <w:spacing w:val="-2"/>
                            <w:w w:val="105"/>
                            <w:sz w:val="22"/>
                          </w:rPr>
                          <w:t>Aging</w:t>
                        </w:r>
                      </w:p>
                      <w:p>
                        <w:pPr>
                          <w:spacing w:line="247" w:lineRule="auto" w:before="114"/>
                          <w:ind w:left="0" w:right="0" w:firstLine="0"/>
                          <w:jc w:val="left"/>
                          <w:rPr>
                            <w:sz w:val="22"/>
                          </w:rPr>
                        </w:pPr>
                        <w:r>
                          <w:rPr>
                            <w:color w:val="105C84"/>
                            <w:sz w:val="22"/>
                          </w:rPr>
                          <w:t>Seneca Towns Engaging </w:t>
                        </w:r>
                        <w:r>
                          <w:rPr>
                            <w:color w:val="105C84"/>
                            <w:spacing w:val="-2"/>
                            <w:sz w:val="22"/>
                          </w:rPr>
                          <w:t>People</w:t>
                        </w:r>
                        <w:r>
                          <w:rPr>
                            <w:color w:val="105C84"/>
                            <w:spacing w:val="-14"/>
                            <w:sz w:val="22"/>
                          </w:rPr>
                          <w:t> </w:t>
                        </w:r>
                        <w:r>
                          <w:rPr>
                            <w:color w:val="105C84"/>
                            <w:spacing w:val="-2"/>
                            <w:sz w:val="22"/>
                          </w:rPr>
                          <w:t>for</w:t>
                        </w:r>
                        <w:r>
                          <w:rPr>
                            <w:color w:val="105C84"/>
                            <w:spacing w:val="-14"/>
                            <w:sz w:val="22"/>
                          </w:rPr>
                          <w:t> </w:t>
                        </w:r>
                        <w:r>
                          <w:rPr>
                            <w:color w:val="105C84"/>
                            <w:spacing w:val="-2"/>
                            <w:sz w:val="22"/>
                          </w:rPr>
                          <w:t>Solutions</w:t>
                        </w:r>
                        <w:r>
                          <w:rPr>
                            <w:color w:val="105C84"/>
                            <w:spacing w:val="-13"/>
                            <w:sz w:val="22"/>
                          </w:rPr>
                          <w:t> </w:t>
                        </w:r>
                        <w:r>
                          <w:rPr>
                            <w:color w:val="105C84"/>
                            <w:spacing w:val="-2"/>
                            <w:sz w:val="22"/>
                          </w:rPr>
                          <w:t>(STEPS)</w:t>
                        </w:r>
                      </w:p>
                      <w:p>
                        <w:pPr>
                          <w:spacing w:line="368" w:lineRule="exact" w:before="19"/>
                          <w:ind w:left="0" w:right="0" w:firstLine="0"/>
                          <w:jc w:val="left"/>
                          <w:rPr>
                            <w:sz w:val="22"/>
                          </w:rPr>
                        </w:pPr>
                        <w:r>
                          <w:rPr>
                            <w:color w:val="105C84"/>
                            <w:sz w:val="22"/>
                          </w:rPr>
                          <w:t>Seneca County Mental </w:t>
                        </w:r>
                        <w:r>
                          <w:rPr>
                            <w:color w:val="105C84"/>
                            <w:sz w:val="22"/>
                          </w:rPr>
                          <w:t>Health Cayuga/Seneca CAP</w:t>
                        </w:r>
                      </w:p>
                    </w:txbxContent>
                  </v:textbox>
                  <w10:wrap type="none"/>
                </v:shape>
                <v:shape style="position:absolute;left:5;top:5;width:10505;height:499" type="#_x0000_t202" id="docshape979" filled="false" stroked="false">
                  <v:textbox inset="0,0,0,0">
                    <w:txbxContent>
                      <w:p>
                        <w:pPr>
                          <w:spacing w:before="160"/>
                          <w:ind w:left="2" w:right="0" w:firstLine="0"/>
                          <w:jc w:val="center"/>
                          <w:rPr>
                            <w:b/>
                            <w:sz w:val="20"/>
                          </w:rPr>
                        </w:pPr>
                        <w:r>
                          <w:rPr>
                            <w:b/>
                            <w:color w:val="FFFFFF"/>
                            <w:sz w:val="20"/>
                          </w:rPr>
                          <w:t>SENECA</w:t>
                        </w:r>
                        <w:r>
                          <w:rPr>
                            <w:b/>
                            <w:color w:val="FFFFFF"/>
                            <w:spacing w:val="10"/>
                            <w:sz w:val="20"/>
                          </w:rPr>
                          <w:t> </w:t>
                        </w:r>
                        <w:r>
                          <w:rPr>
                            <w:b/>
                            <w:color w:val="FFFFFF"/>
                            <w:sz w:val="20"/>
                          </w:rPr>
                          <w:t>COUNTY</w:t>
                        </w:r>
                        <w:r>
                          <w:rPr>
                            <w:b/>
                            <w:color w:val="FFFFFF"/>
                            <w:spacing w:val="11"/>
                            <w:sz w:val="20"/>
                          </w:rPr>
                          <w:t> </w:t>
                        </w:r>
                        <w:r>
                          <w:rPr>
                            <w:b/>
                            <w:color w:val="FFFFFF"/>
                            <w:sz w:val="20"/>
                          </w:rPr>
                          <w:t>PRIORITIZATION</w:t>
                        </w:r>
                        <w:r>
                          <w:rPr>
                            <w:b/>
                            <w:color w:val="FFFFFF"/>
                            <w:spacing w:val="11"/>
                            <w:sz w:val="20"/>
                          </w:rPr>
                          <w:t> </w:t>
                        </w:r>
                        <w:r>
                          <w:rPr>
                            <w:b/>
                            <w:color w:val="FFFFFF"/>
                            <w:spacing w:val="-2"/>
                            <w:sz w:val="20"/>
                          </w:rPr>
                          <w:t>AGENCIES</w:t>
                        </w:r>
                      </w:p>
                    </w:txbxContent>
                  </v:textbox>
                  <w10:wrap type="none"/>
                </v:shape>
              </v:group>
            </w:pict>
          </mc:Fallback>
        </mc:AlternateContent>
      </w:r>
      <w:r>
        <w:rPr>
          <w:sz w:val="20"/>
        </w:rPr>
      </w:r>
    </w:p>
    <w:p>
      <w:pPr>
        <w:pStyle w:val="BodyText"/>
        <w:spacing w:before="219"/>
        <w:rPr>
          <w:sz w:val="26"/>
        </w:rPr>
      </w:pPr>
    </w:p>
    <w:p>
      <w:pPr>
        <w:spacing w:before="0"/>
        <w:ind w:left="0" w:right="0" w:firstLine="0"/>
        <w:jc w:val="left"/>
        <w:rPr>
          <w:b/>
          <w:sz w:val="26"/>
        </w:rPr>
      </w:pPr>
      <w:r>
        <w:rPr>
          <w:b/>
          <w:sz w:val="26"/>
        </w:rPr>
        <mc:AlternateContent>
          <mc:Choice Requires="wps">
            <w:drawing>
              <wp:anchor distT="0" distB="0" distL="0" distR="0" allowOverlap="1" layoutInCell="1" locked="0" behindDoc="1" simplePos="0" relativeHeight="475086848">
                <wp:simplePos x="0" y="0"/>
                <wp:positionH relativeFrom="page">
                  <wp:posOffset>14698495</wp:posOffset>
                </wp:positionH>
                <wp:positionV relativeFrom="paragraph">
                  <wp:posOffset>-10207</wp:posOffset>
                </wp:positionV>
                <wp:extent cx="195580" cy="226060"/>
                <wp:effectExtent l="0" t="0" r="0" b="0"/>
                <wp:wrapNone/>
                <wp:docPr id="1225" name="Textbox 1225"/>
                <wp:cNvGraphicFramePr>
                  <a:graphicFrameLocks/>
                </wp:cNvGraphicFramePr>
                <a:graphic>
                  <a:graphicData uri="http://schemas.microsoft.com/office/word/2010/wordprocessingShape">
                    <wps:wsp>
                      <wps:cNvPr id="1225" name="Textbox 1225"/>
                      <wps:cNvSpPr txBox="1"/>
                      <wps:spPr>
                        <a:xfrm>
                          <a:off x="0" y="0"/>
                          <a:ext cx="195580" cy="226060"/>
                        </a:xfrm>
                        <a:prstGeom prst="rect">
                          <a:avLst/>
                        </a:prstGeom>
                      </wps:spPr>
                      <wps:txbx>
                        <w:txbxContent>
                          <w:p>
                            <w:pPr>
                              <w:spacing w:before="16"/>
                              <w:ind w:left="0" w:right="0" w:firstLine="0"/>
                              <w:jc w:val="left"/>
                              <w:rPr>
                                <w:b/>
                                <w:sz w:val="26"/>
                              </w:rPr>
                            </w:pPr>
                            <w:r>
                              <w:rPr>
                                <w:b/>
                                <w:color w:val="939598"/>
                                <w:spacing w:val="-5"/>
                                <w:w w:val="105"/>
                                <w:sz w:val="26"/>
                              </w:rPr>
                              <w:t>82</w:t>
                            </w:r>
                          </w:p>
                        </w:txbxContent>
                      </wps:txbx>
                      <wps:bodyPr wrap="square" lIns="0" tIns="0" rIns="0" bIns="0" rtlCol="0">
                        <a:noAutofit/>
                      </wps:bodyPr>
                    </wps:wsp>
                  </a:graphicData>
                </a:graphic>
              </wp:anchor>
            </w:drawing>
          </mc:Choice>
          <mc:Fallback>
            <w:pict>
              <v:shape style="position:absolute;margin-left:1157.361816pt;margin-top:-.80373pt;width:15.4pt;height:17.8pt;mso-position-horizontal-relative:page;mso-position-vertical-relative:paragraph;z-index:-28229632" type="#_x0000_t202" id="docshape980" filled="false" stroked="false">
                <v:textbox inset="0,0,0,0">
                  <w:txbxContent>
                    <w:p>
                      <w:pPr>
                        <w:spacing w:before="16"/>
                        <w:ind w:left="0" w:right="0" w:firstLine="0"/>
                        <w:jc w:val="left"/>
                        <w:rPr>
                          <w:b/>
                          <w:sz w:val="26"/>
                        </w:rPr>
                      </w:pPr>
                      <w:r>
                        <w:rPr>
                          <w:b/>
                          <w:color w:val="939598"/>
                          <w:spacing w:val="-5"/>
                          <w:w w:val="105"/>
                          <w:sz w:val="26"/>
                        </w:rPr>
                        <w:t>82</w:t>
                      </w:r>
                    </w:p>
                  </w:txbxContent>
                </v:textbox>
                <w10:wrap type="none"/>
              </v:shape>
            </w:pict>
          </mc:Fallback>
        </mc:AlternateContent>
      </w:r>
      <w:r>
        <w:rPr>
          <w:position w:val="-4"/>
        </w:rPr>
        <w:drawing>
          <wp:inline distT="0" distB="0" distL="0" distR="0">
            <wp:extent cx="568172" cy="184683"/>
            <wp:effectExtent l="0" t="0" r="0" b="0"/>
            <wp:docPr id="1226" name="Image 1226"/>
            <wp:cNvGraphicFramePr>
              <a:graphicFrameLocks/>
            </wp:cNvGraphicFramePr>
            <a:graphic>
              <a:graphicData uri="http://schemas.openxmlformats.org/drawingml/2006/picture">
                <pic:pic>
                  <pic:nvPicPr>
                    <pic:cNvPr id="1226" name="Image 1226"/>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80"/>
          <w:w w:val="105"/>
          <w:sz w:val="20"/>
        </w:rPr>
        <w:t> </w:t>
      </w:r>
      <w:r>
        <w:rPr>
          <w:b/>
          <w:color w:val="939598"/>
          <w:w w:val="105"/>
          <w:sz w:val="26"/>
        </w:rPr>
        <w:t>81</w:t>
      </w:r>
    </w:p>
    <w:p>
      <w:pPr>
        <w:spacing w:after="0"/>
        <w:jc w:val="left"/>
        <w:rPr>
          <w:b/>
          <w:sz w:val="26"/>
        </w:rPr>
        <w:sectPr>
          <w:type w:val="continuous"/>
          <w:pgSz w:w="24480" w:h="15840" w:orient="landscape"/>
          <w:pgMar w:header="0" w:footer="0" w:top="0" w:bottom="280" w:left="0" w:right="720"/>
        </w:sectPr>
      </w:pPr>
    </w:p>
    <w:p>
      <w:pPr>
        <w:pStyle w:val="BodyText"/>
        <w:rPr>
          <w:b/>
          <w:sz w:val="20"/>
        </w:rPr>
      </w:pPr>
    </w:p>
    <w:p>
      <w:pPr>
        <w:pStyle w:val="BodyText"/>
        <w:spacing w:before="16"/>
        <w:rPr>
          <w:b/>
          <w:sz w:val="20"/>
        </w:rPr>
      </w:pPr>
    </w:p>
    <w:p>
      <w:pPr>
        <w:pStyle w:val="BodyText"/>
        <w:spacing w:after="0"/>
        <w:rPr>
          <w:b/>
          <w:sz w:val="20"/>
        </w:rPr>
        <w:sectPr>
          <w:pgSz w:w="24480" w:h="15840" w:orient="landscape"/>
          <w:pgMar w:header="0" w:footer="0" w:top="860" w:bottom="0" w:left="0" w:right="720"/>
        </w:sectPr>
      </w:pPr>
    </w:p>
    <w:p>
      <w:pPr>
        <w:pStyle w:val="Heading3"/>
        <w:spacing w:before="120"/>
        <w:ind w:left="1065"/>
      </w:pPr>
      <w:bookmarkStart w:name="_TOC_250010" w:id="9"/>
      <w:r>
        <w:rPr>
          <w:color w:val="82BF6A"/>
          <w:spacing w:val="-11"/>
        </w:rPr>
        <w:t>STEUBEN</w:t>
      </w:r>
      <w:r>
        <w:rPr>
          <w:color w:val="82BF6A"/>
          <w:spacing w:val="-10"/>
        </w:rPr>
        <w:t> </w:t>
      </w:r>
      <w:bookmarkEnd w:id="9"/>
      <w:r>
        <w:rPr>
          <w:color w:val="82BF6A"/>
          <w:spacing w:val="-2"/>
        </w:rPr>
        <w:t>COUNTY</w:t>
      </w:r>
    </w:p>
    <w:p>
      <w:pPr>
        <w:pStyle w:val="Heading6"/>
        <w:spacing w:before="258"/>
        <w:ind w:left="1065"/>
      </w:pPr>
      <w:r>
        <w:rPr>
          <w:color w:val="105C84"/>
          <w:spacing w:val="-6"/>
        </w:rPr>
        <w:t>Demographic</w:t>
      </w:r>
      <w:r>
        <w:rPr>
          <w:color w:val="105C84"/>
          <w:spacing w:val="-8"/>
        </w:rPr>
        <w:t> </w:t>
      </w:r>
      <w:r>
        <w:rPr>
          <w:color w:val="105C84"/>
          <w:spacing w:val="-6"/>
        </w:rPr>
        <w:t>and</w:t>
      </w:r>
      <w:r>
        <w:rPr>
          <w:color w:val="105C84"/>
          <w:spacing w:val="-8"/>
        </w:rPr>
        <w:t> </w:t>
      </w:r>
      <w:r>
        <w:rPr>
          <w:color w:val="105C84"/>
          <w:spacing w:val="-6"/>
        </w:rPr>
        <w:t>Socioeconomic</w:t>
      </w:r>
      <w:r>
        <w:rPr>
          <w:color w:val="105C84"/>
          <w:spacing w:val="-8"/>
        </w:rPr>
        <w:t> </w:t>
      </w:r>
      <w:r>
        <w:rPr>
          <w:color w:val="105C84"/>
          <w:spacing w:val="-6"/>
        </w:rPr>
        <w:t>Health</w:t>
      </w:r>
      <w:r>
        <w:rPr>
          <w:color w:val="105C84"/>
          <w:spacing w:val="-7"/>
        </w:rPr>
        <w:t> </w:t>
      </w:r>
      <w:r>
        <w:rPr>
          <w:color w:val="105C84"/>
          <w:spacing w:val="-6"/>
        </w:rPr>
        <w:t>Indicators</w:t>
      </w:r>
    </w:p>
    <w:p>
      <w:pPr>
        <w:pStyle w:val="BodyText"/>
        <w:spacing w:line="247" w:lineRule="auto" w:before="268"/>
        <w:ind w:left="1065" w:right="175"/>
      </w:pPr>
      <w:r>
        <w:rPr>
          <w:color w:val="105C84"/>
        </w:rPr>
        <w:t>Steuben</w:t>
      </w:r>
      <w:r>
        <w:rPr>
          <w:color w:val="105C84"/>
          <w:spacing w:val="32"/>
        </w:rPr>
        <w:t> </w:t>
      </w:r>
      <w:r>
        <w:rPr>
          <w:color w:val="105C84"/>
        </w:rPr>
        <w:t>County</w:t>
      </w:r>
      <w:r>
        <w:rPr>
          <w:color w:val="105C84"/>
          <w:spacing w:val="32"/>
        </w:rPr>
        <w:t> </w:t>
      </w:r>
      <w:r>
        <w:rPr>
          <w:color w:val="105C84"/>
        </w:rPr>
        <w:t>is</w:t>
      </w:r>
      <w:r>
        <w:rPr>
          <w:color w:val="105C84"/>
          <w:spacing w:val="32"/>
        </w:rPr>
        <w:t> </w:t>
      </w:r>
      <w:r>
        <w:rPr>
          <w:color w:val="105C84"/>
        </w:rPr>
        <w:t>home</w:t>
      </w:r>
      <w:r>
        <w:rPr>
          <w:color w:val="105C84"/>
          <w:spacing w:val="32"/>
        </w:rPr>
        <w:t> </w:t>
      </w:r>
      <w:r>
        <w:rPr>
          <w:color w:val="105C84"/>
        </w:rPr>
        <w:t>to</w:t>
      </w:r>
      <w:r>
        <w:rPr>
          <w:color w:val="105C84"/>
          <w:spacing w:val="32"/>
        </w:rPr>
        <w:t> </w:t>
      </w:r>
      <w:r>
        <w:rPr>
          <w:color w:val="105C84"/>
        </w:rPr>
        <w:t>popular</w:t>
      </w:r>
      <w:r>
        <w:rPr>
          <w:color w:val="105C84"/>
          <w:spacing w:val="32"/>
        </w:rPr>
        <w:t> </w:t>
      </w:r>
      <w:r>
        <w:rPr>
          <w:color w:val="105C84"/>
        </w:rPr>
        <w:t>tourist</w:t>
      </w:r>
      <w:r>
        <w:rPr>
          <w:color w:val="105C84"/>
          <w:spacing w:val="32"/>
        </w:rPr>
        <w:t> </w:t>
      </w:r>
      <w:r>
        <w:rPr>
          <w:color w:val="105C84"/>
        </w:rPr>
        <w:t>attractions</w:t>
      </w:r>
      <w:r>
        <w:rPr>
          <w:color w:val="105C84"/>
          <w:spacing w:val="32"/>
        </w:rPr>
        <w:t> </w:t>
      </w:r>
      <w:r>
        <w:rPr>
          <w:color w:val="105C84"/>
        </w:rPr>
        <w:t>including</w:t>
      </w:r>
      <w:r>
        <w:rPr>
          <w:color w:val="105C84"/>
          <w:spacing w:val="32"/>
        </w:rPr>
        <w:t> </w:t>
      </w:r>
      <w:r>
        <w:rPr>
          <w:color w:val="105C84"/>
        </w:rPr>
        <w:t>the</w:t>
      </w:r>
      <w:r>
        <w:rPr>
          <w:color w:val="105C84"/>
          <w:spacing w:val="32"/>
        </w:rPr>
        <w:t> </w:t>
      </w:r>
      <w:r>
        <w:rPr>
          <w:color w:val="105C84"/>
        </w:rPr>
        <w:t>Corning</w:t>
      </w:r>
      <w:r>
        <w:rPr>
          <w:color w:val="105C84"/>
          <w:spacing w:val="32"/>
        </w:rPr>
        <w:t> </w:t>
      </w:r>
      <w:r>
        <w:rPr>
          <w:color w:val="105C84"/>
        </w:rPr>
        <w:t>Museum</w:t>
      </w:r>
      <w:r>
        <w:rPr>
          <w:color w:val="105C84"/>
          <w:spacing w:val="32"/>
        </w:rPr>
        <w:t> </w:t>
      </w:r>
      <w:r>
        <w:rPr>
          <w:color w:val="105C84"/>
        </w:rPr>
        <w:t>of</w:t>
      </w:r>
      <w:r>
        <w:rPr>
          <w:color w:val="105C84"/>
          <w:spacing w:val="32"/>
        </w:rPr>
        <w:t> </w:t>
      </w:r>
      <w:r>
        <w:rPr>
          <w:color w:val="105C84"/>
        </w:rPr>
        <w:t>Glass and portions of Keuka Lake. It is located west of Chemung County and borders the New York/ Pennsylvania state lines. A total of 97,539 people live in the county, the majority of which (95%) are White Non-Hispanic. Women of childbearing age make up 15% of the population, and 26% of the</w:t>
      </w:r>
      <w:r>
        <w:rPr>
          <w:color w:val="105C84"/>
          <w:spacing w:val="40"/>
        </w:rPr>
        <w:t> </w:t>
      </w:r>
      <w:r>
        <w:rPr>
          <w:color w:val="105C84"/>
        </w:rPr>
        <w:t>18+</w:t>
      </w:r>
      <w:r>
        <w:rPr>
          <w:color w:val="105C84"/>
          <w:spacing w:val="16"/>
        </w:rPr>
        <w:t> </w:t>
      </w:r>
      <w:r>
        <w:rPr>
          <w:color w:val="105C84"/>
        </w:rPr>
        <w:t>population</w:t>
      </w:r>
      <w:r>
        <w:rPr>
          <w:color w:val="105C84"/>
          <w:spacing w:val="16"/>
        </w:rPr>
        <w:t> </w:t>
      </w:r>
      <w:r>
        <w:rPr>
          <w:color w:val="105C84"/>
        </w:rPr>
        <w:t>live</w:t>
      </w:r>
      <w:r>
        <w:rPr>
          <w:color w:val="105C84"/>
          <w:spacing w:val="16"/>
        </w:rPr>
        <w:t> </w:t>
      </w:r>
      <w:r>
        <w:rPr>
          <w:color w:val="105C84"/>
        </w:rPr>
        <w:t>with</w:t>
      </w:r>
      <w:r>
        <w:rPr>
          <w:color w:val="105C84"/>
          <w:spacing w:val="16"/>
        </w:rPr>
        <w:t> </w:t>
      </w:r>
      <w:r>
        <w:rPr>
          <w:color w:val="105C84"/>
        </w:rPr>
        <w:t>a</w:t>
      </w:r>
      <w:r>
        <w:rPr>
          <w:color w:val="105C84"/>
          <w:spacing w:val="16"/>
        </w:rPr>
        <w:t> </w:t>
      </w:r>
      <w:r>
        <w:rPr>
          <w:color w:val="105C84"/>
        </w:rPr>
        <w:t>disability.</w:t>
      </w:r>
      <w:r>
        <w:rPr>
          <w:color w:val="105C84"/>
          <w:position w:val="7"/>
          <w:sz w:val="13"/>
        </w:rPr>
        <w:t>34</w:t>
      </w:r>
      <w:r>
        <w:rPr>
          <w:color w:val="105C84"/>
          <w:spacing w:val="40"/>
          <w:position w:val="7"/>
          <w:sz w:val="13"/>
        </w:rPr>
        <w:t> </w:t>
      </w:r>
      <w:r>
        <w:rPr>
          <w:color w:val="105C84"/>
        </w:rPr>
        <w:t>2017</w:t>
      </w:r>
      <w:r>
        <w:rPr>
          <w:color w:val="105C84"/>
          <w:spacing w:val="16"/>
        </w:rPr>
        <w:t> </w:t>
      </w:r>
      <w:r>
        <w:rPr>
          <w:color w:val="105C84"/>
        </w:rPr>
        <w:t>estimates</w:t>
      </w:r>
      <w:r>
        <w:rPr>
          <w:color w:val="105C84"/>
          <w:spacing w:val="16"/>
        </w:rPr>
        <w:t> </w:t>
      </w:r>
      <w:r>
        <w:rPr>
          <w:color w:val="105C84"/>
        </w:rPr>
        <w:t>reveal</w:t>
      </w:r>
      <w:r>
        <w:rPr>
          <w:color w:val="105C84"/>
          <w:spacing w:val="16"/>
        </w:rPr>
        <w:t> </w:t>
      </w:r>
      <w:r>
        <w:rPr>
          <w:color w:val="105C84"/>
        </w:rPr>
        <w:t>26%</w:t>
      </w:r>
      <w:r>
        <w:rPr>
          <w:color w:val="105C84"/>
          <w:spacing w:val="16"/>
        </w:rPr>
        <w:t> </w:t>
      </w:r>
      <w:r>
        <w:rPr>
          <w:color w:val="105C84"/>
        </w:rPr>
        <w:t>of</w:t>
      </w:r>
      <w:r>
        <w:rPr>
          <w:color w:val="105C84"/>
          <w:spacing w:val="16"/>
        </w:rPr>
        <w:t> </w:t>
      </w:r>
      <w:r>
        <w:rPr>
          <w:color w:val="105C84"/>
        </w:rPr>
        <w:t>the</w:t>
      </w:r>
      <w:r>
        <w:rPr>
          <w:color w:val="105C84"/>
          <w:spacing w:val="16"/>
        </w:rPr>
        <w:t> </w:t>
      </w:r>
      <w:r>
        <w:rPr>
          <w:color w:val="105C84"/>
        </w:rPr>
        <w:t>65+</w:t>
      </w:r>
      <w:r>
        <w:rPr>
          <w:color w:val="105C84"/>
          <w:spacing w:val="16"/>
        </w:rPr>
        <w:t> </w:t>
      </w:r>
      <w:r>
        <w:rPr>
          <w:color w:val="105C84"/>
        </w:rPr>
        <w:t>population</w:t>
      </w:r>
      <w:r>
        <w:rPr>
          <w:color w:val="105C84"/>
          <w:spacing w:val="16"/>
        </w:rPr>
        <w:t> </w:t>
      </w:r>
      <w:r>
        <w:rPr>
          <w:color w:val="105C84"/>
        </w:rPr>
        <w:t>(N=4,623) is living alone. This rate is down 13 percent from 2012 estimates when 30% of the 65+ population (N=4,675) was living alone.</w:t>
      </w:r>
    </w:p>
    <w:p>
      <w:pPr>
        <w:pStyle w:val="BodyText"/>
        <w:spacing w:line="247" w:lineRule="auto" w:before="177"/>
        <w:ind w:left="1065"/>
      </w:pPr>
      <w:r>
        <w:rPr>
          <w:color w:val="105C84"/>
          <w:w w:val="105"/>
        </w:rPr>
        <w:t>Of</w:t>
      </w:r>
      <w:r>
        <w:rPr>
          <w:color w:val="105C84"/>
          <w:spacing w:val="-5"/>
          <w:w w:val="105"/>
        </w:rPr>
        <w:t> </w:t>
      </w:r>
      <w:r>
        <w:rPr>
          <w:color w:val="105C84"/>
          <w:w w:val="105"/>
        </w:rPr>
        <w:t>note</w:t>
      </w:r>
      <w:r>
        <w:rPr>
          <w:color w:val="105C84"/>
          <w:spacing w:val="-5"/>
          <w:w w:val="105"/>
        </w:rPr>
        <w:t> </w:t>
      </w:r>
      <w:r>
        <w:rPr>
          <w:color w:val="105C84"/>
          <w:w w:val="105"/>
        </w:rPr>
        <w:t>is</w:t>
      </w:r>
      <w:r>
        <w:rPr>
          <w:color w:val="105C84"/>
          <w:spacing w:val="-5"/>
          <w:w w:val="105"/>
        </w:rPr>
        <w:t> </w:t>
      </w:r>
      <w:r>
        <w:rPr>
          <w:color w:val="105C84"/>
          <w:w w:val="105"/>
        </w:rPr>
        <w:t>the</w:t>
      </w:r>
      <w:r>
        <w:rPr>
          <w:color w:val="105C84"/>
          <w:spacing w:val="-5"/>
          <w:w w:val="105"/>
        </w:rPr>
        <w:t> </w:t>
      </w:r>
      <w:r>
        <w:rPr>
          <w:color w:val="105C84"/>
          <w:w w:val="105"/>
        </w:rPr>
        <w:t>rate</w:t>
      </w:r>
      <w:r>
        <w:rPr>
          <w:color w:val="105C84"/>
          <w:spacing w:val="-5"/>
          <w:w w:val="105"/>
        </w:rPr>
        <w:t> </w:t>
      </w:r>
      <w:r>
        <w:rPr>
          <w:color w:val="105C84"/>
          <w:w w:val="105"/>
        </w:rPr>
        <w:t>of</w:t>
      </w:r>
      <w:r>
        <w:rPr>
          <w:color w:val="105C84"/>
          <w:spacing w:val="-5"/>
          <w:w w:val="105"/>
        </w:rPr>
        <w:t> </w:t>
      </w:r>
      <w:r>
        <w:rPr>
          <w:color w:val="105C84"/>
          <w:w w:val="105"/>
        </w:rPr>
        <w:t>poverty</w:t>
      </w:r>
      <w:r>
        <w:rPr>
          <w:color w:val="105C84"/>
          <w:spacing w:val="-5"/>
          <w:w w:val="105"/>
        </w:rPr>
        <w:t> </w:t>
      </w:r>
      <w:r>
        <w:rPr>
          <w:color w:val="105C84"/>
          <w:w w:val="105"/>
        </w:rPr>
        <w:t>in</w:t>
      </w:r>
      <w:r>
        <w:rPr>
          <w:color w:val="105C84"/>
          <w:spacing w:val="-5"/>
          <w:w w:val="105"/>
        </w:rPr>
        <w:t> </w:t>
      </w:r>
      <w:r>
        <w:rPr>
          <w:color w:val="105C84"/>
          <w:w w:val="105"/>
        </w:rPr>
        <w:t>the</w:t>
      </w:r>
      <w:r>
        <w:rPr>
          <w:color w:val="105C84"/>
          <w:spacing w:val="-5"/>
          <w:w w:val="105"/>
        </w:rPr>
        <w:t> </w:t>
      </w:r>
      <w:r>
        <w:rPr>
          <w:color w:val="105C84"/>
          <w:w w:val="105"/>
        </w:rPr>
        <w:t>county.</w:t>
      </w:r>
      <w:r>
        <w:rPr>
          <w:color w:val="105C84"/>
          <w:spacing w:val="-5"/>
          <w:w w:val="105"/>
        </w:rPr>
        <w:t> </w:t>
      </w:r>
      <w:r>
        <w:rPr>
          <w:color w:val="105C84"/>
          <w:w w:val="105"/>
        </w:rPr>
        <w:t>Residents</w:t>
      </w:r>
      <w:r>
        <w:rPr>
          <w:color w:val="105C84"/>
          <w:spacing w:val="-5"/>
          <w:w w:val="105"/>
        </w:rPr>
        <w:t> </w:t>
      </w:r>
      <w:r>
        <w:rPr>
          <w:color w:val="105C84"/>
          <w:w w:val="105"/>
        </w:rPr>
        <w:t>living</w:t>
      </w:r>
      <w:r>
        <w:rPr>
          <w:color w:val="105C84"/>
          <w:spacing w:val="-5"/>
          <w:w w:val="105"/>
        </w:rPr>
        <w:t> </w:t>
      </w:r>
      <w:r>
        <w:rPr>
          <w:color w:val="105C84"/>
          <w:w w:val="105"/>
        </w:rPr>
        <w:t>below</w:t>
      </w:r>
      <w:r>
        <w:rPr>
          <w:color w:val="105C84"/>
          <w:spacing w:val="-5"/>
          <w:w w:val="105"/>
        </w:rPr>
        <w:t> </w:t>
      </w:r>
      <w:r>
        <w:rPr>
          <w:color w:val="105C84"/>
          <w:w w:val="105"/>
        </w:rPr>
        <w:t>the</w:t>
      </w:r>
      <w:r>
        <w:rPr>
          <w:color w:val="105C84"/>
          <w:spacing w:val="-5"/>
          <w:w w:val="105"/>
        </w:rPr>
        <w:t> </w:t>
      </w:r>
      <w:r>
        <w:rPr>
          <w:color w:val="105C84"/>
          <w:w w:val="105"/>
        </w:rPr>
        <w:t>federal</w:t>
      </w:r>
      <w:r>
        <w:rPr>
          <w:color w:val="105C84"/>
          <w:spacing w:val="-5"/>
          <w:w w:val="105"/>
        </w:rPr>
        <w:t> </w:t>
      </w:r>
      <w:r>
        <w:rPr>
          <w:color w:val="105C84"/>
          <w:w w:val="105"/>
        </w:rPr>
        <w:t>poverty</w:t>
      </w:r>
      <w:r>
        <w:rPr>
          <w:color w:val="105C84"/>
          <w:spacing w:val="-5"/>
          <w:w w:val="105"/>
        </w:rPr>
        <w:t> </w:t>
      </w:r>
      <w:r>
        <w:rPr>
          <w:color w:val="105C84"/>
          <w:w w:val="105"/>
        </w:rPr>
        <w:t>level</w:t>
      </w:r>
      <w:r>
        <w:rPr>
          <w:color w:val="105C84"/>
          <w:spacing w:val="-5"/>
          <w:w w:val="105"/>
        </w:rPr>
        <w:t> </w:t>
      </w:r>
      <w:r>
        <w:rPr>
          <w:color w:val="105C84"/>
          <w:w w:val="105"/>
        </w:rPr>
        <w:t>make</w:t>
      </w:r>
      <w:r>
        <w:rPr>
          <w:color w:val="105C84"/>
          <w:w w:val="105"/>
        </w:rPr>
        <w:t> </w:t>
      </w:r>
      <w:r>
        <w:rPr>
          <w:color w:val="105C84"/>
        </w:rPr>
        <w:t>up 14.5% of the population, and another 22% live near it. The distribution of poverty in the county is</w:t>
      </w:r>
      <w:r>
        <w:rPr>
          <w:color w:val="105C84"/>
          <w:spacing w:val="40"/>
          <w:w w:val="105"/>
        </w:rPr>
        <w:t> </w:t>
      </w:r>
      <w:r>
        <w:rPr>
          <w:color w:val="105C84"/>
          <w:w w:val="105"/>
        </w:rPr>
        <w:t>shown below in Map 11.</w:t>
      </w:r>
    </w:p>
    <w:p>
      <w:pPr>
        <w:pStyle w:val="BodyText"/>
        <w:spacing w:before="17"/>
      </w:pPr>
    </w:p>
    <w:p>
      <w:pPr>
        <w:pStyle w:val="Heading6"/>
        <w:ind w:left="1065"/>
      </w:pPr>
      <w:r>
        <w:rPr>
          <w:color w:val="105C84"/>
        </w:rPr>
        <w:t>MAP</w:t>
      </w:r>
      <w:r>
        <w:rPr>
          <w:color w:val="105C84"/>
          <w:spacing w:val="-4"/>
        </w:rPr>
        <w:t> </w:t>
      </w:r>
      <w:r>
        <w:rPr>
          <w:color w:val="105C84"/>
        </w:rPr>
        <w:t>11:</w:t>
      </w:r>
      <w:r>
        <w:rPr>
          <w:color w:val="105C84"/>
          <w:spacing w:val="-3"/>
        </w:rPr>
        <w:t> </w:t>
      </w:r>
      <w:r>
        <w:rPr>
          <w:color w:val="105C84"/>
        </w:rPr>
        <w:t>Poverty</w:t>
      </w:r>
      <w:r>
        <w:rPr>
          <w:color w:val="105C84"/>
          <w:spacing w:val="-3"/>
        </w:rPr>
        <w:t> </w:t>
      </w:r>
      <w:r>
        <w:rPr>
          <w:color w:val="105C84"/>
        </w:rPr>
        <w:t>rates</w:t>
      </w:r>
      <w:r>
        <w:rPr>
          <w:color w:val="105C84"/>
          <w:spacing w:val="-4"/>
        </w:rPr>
        <w:t> </w:t>
      </w:r>
      <w:r>
        <w:rPr>
          <w:color w:val="105C84"/>
        </w:rPr>
        <w:t>by</w:t>
      </w:r>
      <w:r>
        <w:rPr>
          <w:color w:val="105C84"/>
          <w:spacing w:val="-3"/>
        </w:rPr>
        <w:t> </w:t>
      </w:r>
      <w:r>
        <w:rPr>
          <w:color w:val="105C84"/>
        </w:rPr>
        <w:t>ZIP</w:t>
      </w:r>
      <w:r>
        <w:rPr>
          <w:color w:val="105C84"/>
          <w:spacing w:val="-4"/>
        </w:rPr>
        <w:t> code</w:t>
      </w:r>
    </w:p>
    <w:p>
      <w:pPr>
        <w:pStyle w:val="BodyText"/>
        <w:spacing w:line="247" w:lineRule="auto" w:before="113"/>
        <w:ind w:left="1065" w:right="475"/>
      </w:pPr>
      <w:r>
        <w:rPr/>
        <w:br w:type="column"/>
      </w:r>
      <w:r>
        <w:rPr>
          <w:color w:val="105C84"/>
        </w:rPr>
        <w:t>Over the past 5 years, there has been a slight shift in educational attainment where there are now more residents aged 25+ with a Bachelor’s degree or higher than in years past (Figure 40). Of note, there has been no change in high school degree or equivalent attainment.</w:t>
      </w:r>
    </w:p>
    <w:p>
      <w:pPr>
        <w:pStyle w:val="BodyText"/>
        <w:spacing w:before="18"/>
      </w:pPr>
    </w:p>
    <w:p>
      <w:pPr>
        <w:pStyle w:val="Heading6"/>
        <w:ind w:left="1065"/>
      </w:pPr>
      <w:r>
        <w:rPr/>
        <mc:AlternateContent>
          <mc:Choice Requires="wps">
            <w:drawing>
              <wp:anchor distT="0" distB="0" distL="0" distR="0" allowOverlap="1" layoutInCell="1" locked="0" behindDoc="0" simplePos="0" relativeHeight="15865344">
                <wp:simplePos x="0" y="0"/>
                <wp:positionH relativeFrom="page">
                  <wp:posOffset>8437498</wp:posOffset>
                </wp:positionH>
                <wp:positionV relativeFrom="paragraph">
                  <wp:posOffset>553034</wp:posOffset>
                </wp:positionV>
                <wp:extent cx="146050" cy="1473200"/>
                <wp:effectExtent l="0" t="0" r="0" b="0"/>
                <wp:wrapNone/>
                <wp:docPr id="1227" name="Textbox 1227"/>
                <wp:cNvGraphicFramePr>
                  <a:graphicFrameLocks/>
                </wp:cNvGraphicFramePr>
                <a:graphic>
                  <a:graphicData uri="http://schemas.microsoft.com/office/word/2010/wordprocessingShape">
                    <wps:wsp>
                      <wps:cNvPr id="1227" name="Textbox 1227"/>
                      <wps:cNvSpPr txBox="1"/>
                      <wps:spPr>
                        <a:xfrm>
                          <a:off x="0" y="0"/>
                          <a:ext cx="146050" cy="1473200"/>
                        </a:xfrm>
                        <a:prstGeom prst="rect">
                          <a:avLst/>
                        </a:prstGeom>
                      </wps:spPr>
                      <wps:txbx>
                        <w:txbxContent>
                          <w:p>
                            <w:pPr>
                              <w:spacing w:before="19"/>
                              <w:ind w:left="20" w:right="0" w:firstLine="0"/>
                              <w:jc w:val="left"/>
                              <w:rPr>
                                <w:sz w:val="16"/>
                              </w:rPr>
                            </w:pPr>
                            <w:r>
                              <w:rPr>
                                <w:color w:val="105C84"/>
                                <w:sz w:val="16"/>
                              </w:rPr>
                              <w:t>Percent</w:t>
                            </w:r>
                            <w:r>
                              <w:rPr>
                                <w:color w:val="105C84"/>
                                <w:spacing w:val="-2"/>
                                <w:sz w:val="16"/>
                              </w:rPr>
                              <w:t> </w:t>
                            </w:r>
                            <w:r>
                              <w:rPr>
                                <w:color w:val="105C84"/>
                                <w:sz w:val="16"/>
                              </w:rPr>
                              <w:t>of</w:t>
                            </w:r>
                            <w:r>
                              <w:rPr>
                                <w:color w:val="105C84"/>
                                <w:spacing w:val="-2"/>
                                <w:sz w:val="16"/>
                              </w:rPr>
                              <w:t> </w:t>
                            </w:r>
                            <w:r>
                              <w:rPr>
                                <w:color w:val="105C84"/>
                                <w:sz w:val="16"/>
                              </w:rPr>
                              <w:t>Population</w:t>
                            </w:r>
                            <w:r>
                              <w:rPr>
                                <w:color w:val="105C84"/>
                                <w:spacing w:val="-2"/>
                                <w:sz w:val="16"/>
                              </w:rPr>
                              <w:t> </w:t>
                            </w:r>
                            <w:r>
                              <w:rPr>
                                <w:color w:val="105C84"/>
                                <w:sz w:val="16"/>
                              </w:rPr>
                              <w:t>25+</w:t>
                            </w:r>
                            <w:r>
                              <w:rPr>
                                <w:color w:val="105C84"/>
                                <w:spacing w:val="-2"/>
                                <w:sz w:val="16"/>
                              </w:rPr>
                              <w:t> </w:t>
                            </w:r>
                            <w:r>
                              <w:rPr>
                                <w:color w:val="105C84"/>
                                <w:spacing w:val="-4"/>
                                <w:sz w:val="16"/>
                              </w:rPr>
                              <w:t>Years</w:t>
                            </w:r>
                          </w:p>
                        </w:txbxContent>
                      </wps:txbx>
                      <wps:bodyPr wrap="square" lIns="0" tIns="0" rIns="0" bIns="0" rtlCol="0" vert="vert270">
                        <a:noAutofit/>
                      </wps:bodyPr>
                    </wps:wsp>
                  </a:graphicData>
                </a:graphic>
              </wp:anchor>
            </w:drawing>
          </mc:Choice>
          <mc:Fallback>
            <w:pict>
              <v:shape style="position:absolute;margin-left:664.369995pt;margin-top:43.54604pt;width:11.5pt;height:116pt;mso-position-horizontal-relative:page;mso-position-vertical-relative:paragraph;z-index:15865344" type="#_x0000_t202" id="docshape981" filled="false" stroked="false">
                <v:textbox inset="0,0,0,0" style="layout-flow:vertical;mso-layout-flow-alt:bottom-to-top">
                  <w:txbxContent>
                    <w:p>
                      <w:pPr>
                        <w:spacing w:before="19"/>
                        <w:ind w:left="20" w:right="0" w:firstLine="0"/>
                        <w:jc w:val="left"/>
                        <w:rPr>
                          <w:sz w:val="16"/>
                        </w:rPr>
                      </w:pPr>
                      <w:r>
                        <w:rPr>
                          <w:color w:val="105C84"/>
                          <w:sz w:val="16"/>
                        </w:rPr>
                        <w:t>Percent</w:t>
                      </w:r>
                      <w:r>
                        <w:rPr>
                          <w:color w:val="105C84"/>
                          <w:spacing w:val="-2"/>
                          <w:sz w:val="16"/>
                        </w:rPr>
                        <w:t> </w:t>
                      </w:r>
                      <w:r>
                        <w:rPr>
                          <w:color w:val="105C84"/>
                          <w:sz w:val="16"/>
                        </w:rPr>
                        <w:t>of</w:t>
                      </w:r>
                      <w:r>
                        <w:rPr>
                          <w:color w:val="105C84"/>
                          <w:spacing w:val="-2"/>
                          <w:sz w:val="16"/>
                        </w:rPr>
                        <w:t> </w:t>
                      </w:r>
                      <w:r>
                        <w:rPr>
                          <w:color w:val="105C84"/>
                          <w:sz w:val="16"/>
                        </w:rPr>
                        <w:t>Population</w:t>
                      </w:r>
                      <w:r>
                        <w:rPr>
                          <w:color w:val="105C84"/>
                          <w:spacing w:val="-2"/>
                          <w:sz w:val="16"/>
                        </w:rPr>
                        <w:t> </w:t>
                      </w:r>
                      <w:r>
                        <w:rPr>
                          <w:color w:val="105C84"/>
                          <w:sz w:val="16"/>
                        </w:rPr>
                        <w:t>25+</w:t>
                      </w:r>
                      <w:r>
                        <w:rPr>
                          <w:color w:val="105C84"/>
                          <w:spacing w:val="-2"/>
                          <w:sz w:val="16"/>
                        </w:rPr>
                        <w:t> </w:t>
                      </w:r>
                      <w:r>
                        <w:rPr>
                          <w:color w:val="105C84"/>
                          <w:spacing w:val="-4"/>
                          <w:sz w:val="16"/>
                        </w:rPr>
                        <w:t>Years</w:t>
                      </w:r>
                    </w:p>
                  </w:txbxContent>
                </v:textbox>
                <w10:wrap type="none"/>
              </v:shape>
            </w:pict>
          </mc:Fallback>
        </mc:AlternateContent>
      </w:r>
      <w:r>
        <w:rPr>
          <w:color w:val="105C84"/>
          <w:spacing w:val="-2"/>
        </w:rPr>
        <w:t>FIGURE</w:t>
      </w:r>
      <w:r>
        <w:rPr>
          <w:color w:val="105C84"/>
          <w:spacing w:val="-13"/>
        </w:rPr>
        <w:t> </w:t>
      </w:r>
      <w:r>
        <w:rPr>
          <w:color w:val="105C84"/>
          <w:spacing w:val="-2"/>
        </w:rPr>
        <w:t>40:</w:t>
      </w:r>
      <w:r>
        <w:rPr>
          <w:color w:val="105C84"/>
          <w:spacing w:val="-12"/>
        </w:rPr>
        <w:t> </w:t>
      </w:r>
      <w:r>
        <w:rPr>
          <w:color w:val="105C84"/>
          <w:spacing w:val="-2"/>
        </w:rPr>
        <w:t>Educational</w:t>
      </w:r>
      <w:r>
        <w:rPr>
          <w:color w:val="105C84"/>
          <w:spacing w:val="-12"/>
        </w:rPr>
        <w:t> </w:t>
      </w:r>
      <w:r>
        <w:rPr>
          <w:color w:val="105C84"/>
          <w:spacing w:val="-2"/>
        </w:rPr>
        <w:t>attainment</w:t>
      </w:r>
      <w:r>
        <w:rPr>
          <w:color w:val="105C84"/>
          <w:spacing w:val="-12"/>
        </w:rPr>
        <w:t> </w:t>
      </w:r>
      <w:r>
        <w:rPr>
          <w:color w:val="105C84"/>
          <w:spacing w:val="-2"/>
        </w:rPr>
        <w:t>for</w:t>
      </w:r>
      <w:r>
        <w:rPr>
          <w:color w:val="105C84"/>
          <w:spacing w:val="-12"/>
        </w:rPr>
        <w:t> </w:t>
      </w:r>
      <w:r>
        <w:rPr>
          <w:color w:val="105C84"/>
          <w:spacing w:val="-2"/>
        </w:rPr>
        <w:t>Steuben</w:t>
      </w:r>
      <w:r>
        <w:rPr>
          <w:color w:val="105C84"/>
          <w:spacing w:val="-12"/>
        </w:rPr>
        <w:t> </w:t>
      </w:r>
      <w:r>
        <w:rPr>
          <w:color w:val="105C84"/>
          <w:spacing w:val="-2"/>
        </w:rPr>
        <w:t>County</w:t>
      </w:r>
      <w:r>
        <w:rPr>
          <w:color w:val="105C84"/>
          <w:spacing w:val="-12"/>
        </w:rPr>
        <w:t> </w:t>
      </w:r>
      <w:r>
        <w:rPr>
          <w:color w:val="105C84"/>
          <w:spacing w:val="-2"/>
        </w:rPr>
        <w:t>by</w:t>
      </w:r>
      <w:r>
        <w:rPr>
          <w:color w:val="105C84"/>
          <w:spacing w:val="-12"/>
        </w:rPr>
        <w:t> </w:t>
      </w:r>
      <w:r>
        <w:rPr>
          <w:color w:val="105C84"/>
          <w:spacing w:val="-4"/>
        </w:rPr>
        <w:t>year</w:t>
      </w:r>
    </w:p>
    <w:p>
      <w:pPr>
        <w:pStyle w:val="BodyText"/>
        <w:spacing w:before="9"/>
        <w:rPr>
          <w:b/>
          <w:sz w:val="20"/>
        </w:rPr>
      </w:pPr>
      <w:r>
        <w:rPr>
          <w:b/>
          <w:sz w:val="20"/>
        </w:rPr>
        <mc:AlternateContent>
          <mc:Choice Requires="wps">
            <w:drawing>
              <wp:anchor distT="0" distB="0" distL="0" distR="0" allowOverlap="1" layoutInCell="1" locked="0" behindDoc="1" simplePos="0" relativeHeight="487720448">
                <wp:simplePos x="0" y="0"/>
                <wp:positionH relativeFrom="page">
                  <wp:posOffset>8653309</wp:posOffset>
                </wp:positionH>
                <wp:positionV relativeFrom="paragraph">
                  <wp:posOffset>167379</wp:posOffset>
                </wp:positionV>
                <wp:extent cx="5949950" cy="1669414"/>
                <wp:effectExtent l="0" t="0" r="0" b="0"/>
                <wp:wrapTopAndBottom/>
                <wp:docPr id="1228" name="Group 1228"/>
                <wp:cNvGraphicFramePr>
                  <a:graphicFrameLocks/>
                </wp:cNvGraphicFramePr>
                <a:graphic>
                  <a:graphicData uri="http://schemas.microsoft.com/office/word/2010/wordprocessingGroup">
                    <wpg:wgp>
                      <wpg:cNvPr id="1228" name="Group 1228"/>
                      <wpg:cNvGrpSpPr/>
                      <wpg:grpSpPr>
                        <a:xfrm>
                          <a:off x="0" y="0"/>
                          <a:ext cx="5949950" cy="1669414"/>
                          <a:chExt cx="5949950" cy="1669414"/>
                        </a:xfrm>
                      </wpg:grpSpPr>
                      <wps:wsp>
                        <wps:cNvPr id="1229" name="Graphic 1229"/>
                        <wps:cNvSpPr/>
                        <wps:spPr>
                          <a:xfrm>
                            <a:off x="422236" y="195905"/>
                            <a:ext cx="1270" cy="8890"/>
                          </a:xfrm>
                          <a:custGeom>
                            <a:avLst/>
                            <a:gdLst/>
                            <a:ahLst/>
                            <a:cxnLst/>
                            <a:rect l="l" t="t" r="r" b="b"/>
                            <a:pathLst>
                              <a:path w="0" h="8890">
                                <a:moveTo>
                                  <a:pt x="0" y="8470"/>
                                </a:moveTo>
                                <a:lnTo>
                                  <a:pt x="0" y="0"/>
                                </a:lnTo>
                              </a:path>
                            </a:pathLst>
                          </a:custGeom>
                          <a:ln w="6400">
                            <a:solidFill>
                              <a:srgbClr val="115B84"/>
                            </a:solidFill>
                            <a:prstDash val="solid"/>
                          </a:ln>
                        </wps:spPr>
                        <wps:bodyPr wrap="square" lIns="0" tIns="0" rIns="0" bIns="0" rtlCol="0">
                          <a:prstTxWarp prst="textNoShape">
                            <a:avLst/>
                          </a:prstTxWarp>
                          <a:noAutofit/>
                        </wps:bodyPr>
                      </wps:wsp>
                      <pic:pic>
                        <pic:nvPicPr>
                          <pic:cNvPr id="1230" name="Image 1230"/>
                          <pic:cNvPicPr/>
                        </pic:nvPicPr>
                        <pic:blipFill>
                          <a:blip r:embed="rId174" cstate="print"/>
                          <a:stretch>
                            <a:fillRect/>
                          </a:stretch>
                        </pic:blipFill>
                        <pic:spPr>
                          <a:xfrm>
                            <a:off x="419036" y="195905"/>
                            <a:ext cx="412788" cy="110020"/>
                          </a:xfrm>
                          <a:prstGeom prst="rect">
                            <a:avLst/>
                          </a:prstGeom>
                        </pic:spPr>
                      </pic:pic>
                      <wps:wsp>
                        <wps:cNvPr id="1231" name="Graphic 1231"/>
                        <wps:cNvSpPr/>
                        <wps:spPr>
                          <a:xfrm>
                            <a:off x="831837" y="200140"/>
                            <a:ext cx="31750" cy="1270"/>
                          </a:xfrm>
                          <a:custGeom>
                            <a:avLst/>
                            <a:gdLst/>
                            <a:ahLst/>
                            <a:cxnLst/>
                            <a:rect l="l" t="t" r="r" b="b"/>
                            <a:pathLst>
                              <a:path w="31750" h="0">
                                <a:moveTo>
                                  <a:pt x="0" y="0"/>
                                </a:moveTo>
                                <a:lnTo>
                                  <a:pt x="31699" y="0"/>
                                </a:lnTo>
                              </a:path>
                            </a:pathLst>
                          </a:custGeom>
                          <a:ln w="8470">
                            <a:solidFill>
                              <a:srgbClr val="FEFEFE"/>
                            </a:solidFill>
                            <a:prstDash val="solid"/>
                          </a:ln>
                        </wps:spPr>
                        <wps:bodyPr wrap="square" lIns="0" tIns="0" rIns="0" bIns="0" rtlCol="0">
                          <a:prstTxWarp prst="textNoShape">
                            <a:avLst/>
                          </a:prstTxWarp>
                          <a:noAutofit/>
                        </wps:bodyPr>
                      </wps:wsp>
                      <pic:pic>
                        <pic:nvPicPr>
                          <pic:cNvPr id="1232" name="Image 1232"/>
                          <pic:cNvPicPr/>
                        </pic:nvPicPr>
                        <pic:blipFill>
                          <a:blip r:embed="rId175" cstate="print"/>
                          <a:stretch>
                            <a:fillRect/>
                          </a:stretch>
                        </pic:blipFill>
                        <pic:spPr>
                          <a:xfrm>
                            <a:off x="419036" y="204363"/>
                            <a:ext cx="444500" cy="203199"/>
                          </a:xfrm>
                          <a:prstGeom prst="rect">
                            <a:avLst/>
                          </a:prstGeom>
                        </pic:spPr>
                      </pic:pic>
                      <pic:pic>
                        <pic:nvPicPr>
                          <pic:cNvPr id="1233" name="Image 1233"/>
                          <pic:cNvPicPr/>
                        </pic:nvPicPr>
                        <pic:blipFill>
                          <a:blip r:embed="rId142" cstate="print"/>
                          <a:stretch>
                            <a:fillRect/>
                          </a:stretch>
                        </pic:blipFill>
                        <pic:spPr>
                          <a:xfrm>
                            <a:off x="419036" y="305976"/>
                            <a:ext cx="444500" cy="203174"/>
                          </a:xfrm>
                          <a:prstGeom prst="rect">
                            <a:avLst/>
                          </a:prstGeom>
                        </pic:spPr>
                      </pic:pic>
                      <pic:pic>
                        <pic:nvPicPr>
                          <pic:cNvPr id="1234" name="Image 1234"/>
                          <pic:cNvPicPr/>
                        </pic:nvPicPr>
                        <pic:blipFill>
                          <a:blip r:embed="rId176" cstate="print"/>
                          <a:stretch>
                            <a:fillRect/>
                          </a:stretch>
                        </pic:blipFill>
                        <pic:spPr>
                          <a:xfrm>
                            <a:off x="2400249" y="386392"/>
                            <a:ext cx="444512" cy="122758"/>
                          </a:xfrm>
                          <a:prstGeom prst="rect">
                            <a:avLst/>
                          </a:prstGeom>
                        </pic:spPr>
                      </pic:pic>
                      <pic:pic>
                        <pic:nvPicPr>
                          <pic:cNvPr id="1235" name="Image 1235"/>
                          <pic:cNvPicPr/>
                        </pic:nvPicPr>
                        <pic:blipFill>
                          <a:blip r:embed="rId177" cstate="print"/>
                          <a:stretch>
                            <a:fillRect/>
                          </a:stretch>
                        </pic:blipFill>
                        <pic:spPr>
                          <a:xfrm>
                            <a:off x="419036" y="407563"/>
                            <a:ext cx="444500" cy="203225"/>
                          </a:xfrm>
                          <a:prstGeom prst="rect">
                            <a:avLst/>
                          </a:prstGeom>
                        </pic:spPr>
                      </pic:pic>
                      <pic:pic>
                        <pic:nvPicPr>
                          <pic:cNvPr id="1236" name="Image 1236"/>
                          <pic:cNvPicPr/>
                        </pic:nvPicPr>
                        <pic:blipFill>
                          <a:blip r:embed="rId87" cstate="print"/>
                          <a:stretch>
                            <a:fillRect/>
                          </a:stretch>
                        </pic:blipFill>
                        <pic:spPr>
                          <a:xfrm>
                            <a:off x="2400249" y="407563"/>
                            <a:ext cx="444512" cy="203225"/>
                          </a:xfrm>
                          <a:prstGeom prst="rect">
                            <a:avLst/>
                          </a:prstGeom>
                        </pic:spPr>
                      </pic:pic>
                      <pic:pic>
                        <pic:nvPicPr>
                          <pic:cNvPr id="1237" name="Image 1237"/>
                          <pic:cNvPicPr/>
                        </pic:nvPicPr>
                        <pic:blipFill>
                          <a:blip r:embed="rId178" cstate="print"/>
                          <a:stretch>
                            <a:fillRect/>
                          </a:stretch>
                        </pic:blipFill>
                        <pic:spPr>
                          <a:xfrm>
                            <a:off x="419036" y="509137"/>
                            <a:ext cx="444500" cy="203263"/>
                          </a:xfrm>
                          <a:prstGeom prst="rect">
                            <a:avLst/>
                          </a:prstGeom>
                        </pic:spPr>
                      </pic:pic>
                      <pic:pic>
                        <pic:nvPicPr>
                          <pic:cNvPr id="1238" name="Image 1238"/>
                          <pic:cNvPicPr/>
                        </pic:nvPicPr>
                        <pic:blipFill>
                          <a:blip r:embed="rId145" cstate="print"/>
                          <a:stretch>
                            <a:fillRect/>
                          </a:stretch>
                        </pic:blipFill>
                        <pic:spPr>
                          <a:xfrm>
                            <a:off x="2400249" y="509137"/>
                            <a:ext cx="444512" cy="203263"/>
                          </a:xfrm>
                          <a:prstGeom prst="rect">
                            <a:avLst/>
                          </a:prstGeom>
                        </pic:spPr>
                      </pic:pic>
                      <pic:pic>
                        <pic:nvPicPr>
                          <pic:cNvPr id="1239" name="Image 1239"/>
                          <pic:cNvPicPr/>
                        </pic:nvPicPr>
                        <pic:blipFill>
                          <a:blip r:embed="rId179" cstate="print"/>
                          <a:stretch>
                            <a:fillRect/>
                          </a:stretch>
                        </pic:blipFill>
                        <pic:spPr>
                          <a:xfrm>
                            <a:off x="419036" y="610725"/>
                            <a:ext cx="444500" cy="203263"/>
                          </a:xfrm>
                          <a:prstGeom prst="rect">
                            <a:avLst/>
                          </a:prstGeom>
                        </pic:spPr>
                      </pic:pic>
                      <pic:pic>
                        <pic:nvPicPr>
                          <pic:cNvPr id="1240" name="Image 1240"/>
                          <pic:cNvPicPr/>
                        </pic:nvPicPr>
                        <pic:blipFill>
                          <a:blip r:embed="rId89" cstate="print"/>
                          <a:stretch>
                            <a:fillRect/>
                          </a:stretch>
                        </pic:blipFill>
                        <pic:spPr>
                          <a:xfrm>
                            <a:off x="2400249" y="610725"/>
                            <a:ext cx="444512" cy="203263"/>
                          </a:xfrm>
                          <a:prstGeom prst="rect">
                            <a:avLst/>
                          </a:prstGeom>
                        </pic:spPr>
                      </pic:pic>
                      <pic:pic>
                        <pic:nvPicPr>
                          <pic:cNvPr id="1241" name="Image 1241"/>
                          <pic:cNvPicPr/>
                        </pic:nvPicPr>
                        <pic:blipFill>
                          <a:blip r:embed="rId180" cstate="print"/>
                          <a:stretch>
                            <a:fillRect/>
                          </a:stretch>
                        </pic:blipFill>
                        <pic:spPr>
                          <a:xfrm>
                            <a:off x="419036" y="712388"/>
                            <a:ext cx="444500" cy="203174"/>
                          </a:xfrm>
                          <a:prstGeom prst="rect">
                            <a:avLst/>
                          </a:prstGeom>
                        </pic:spPr>
                      </pic:pic>
                      <pic:pic>
                        <pic:nvPicPr>
                          <pic:cNvPr id="1242" name="Image 1242"/>
                          <pic:cNvPicPr/>
                        </pic:nvPicPr>
                        <pic:blipFill>
                          <a:blip r:embed="rId181" cstate="print"/>
                          <a:stretch>
                            <a:fillRect/>
                          </a:stretch>
                        </pic:blipFill>
                        <pic:spPr>
                          <a:xfrm>
                            <a:off x="2400249" y="712388"/>
                            <a:ext cx="444512" cy="203174"/>
                          </a:xfrm>
                          <a:prstGeom prst="rect">
                            <a:avLst/>
                          </a:prstGeom>
                        </pic:spPr>
                      </pic:pic>
                      <pic:pic>
                        <pic:nvPicPr>
                          <pic:cNvPr id="1243" name="Image 1243"/>
                          <pic:cNvPicPr/>
                        </pic:nvPicPr>
                        <pic:blipFill>
                          <a:blip r:embed="rId175" cstate="print"/>
                          <a:stretch>
                            <a:fillRect/>
                          </a:stretch>
                        </pic:blipFill>
                        <pic:spPr>
                          <a:xfrm>
                            <a:off x="419036" y="814001"/>
                            <a:ext cx="444500" cy="203149"/>
                          </a:xfrm>
                          <a:prstGeom prst="rect">
                            <a:avLst/>
                          </a:prstGeom>
                        </pic:spPr>
                      </pic:pic>
                      <pic:pic>
                        <pic:nvPicPr>
                          <pic:cNvPr id="1244" name="Image 1244"/>
                          <pic:cNvPicPr/>
                        </pic:nvPicPr>
                        <pic:blipFill>
                          <a:blip r:embed="rId90" cstate="print"/>
                          <a:stretch>
                            <a:fillRect/>
                          </a:stretch>
                        </pic:blipFill>
                        <pic:spPr>
                          <a:xfrm>
                            <a:off x="2400249" y="814001"/>
                            <a:ext cx="444512" cy="203149"/>
                          </a:xfrm>
                          <a:prstGeom prst="rect">
                            <a:avLst/>
                          </a:prstGeom>
                        </pic:spPr>
                      </pic:pic>
                      <pic:pic>
                        <pic:nvPicPr>
                          <pic:cNvPr id="1245" name="Image 1245"/>
                          <pic:cNvPicPr/>
                        </pic:nvPicPr>
                        <pic:blipFill>
                          <a:blip r:embed="rId147" cstate="print"/>
                          <a:stretch>
                            <a:fillRect/>
                          </a:stretch>
                        </pic:blipFill>
                        <pic:spPr>
                          <a:xfrm>
                            <a:off x="4381436" y="843567"/>
                            <a:ext cx="444500" cy="173583"/>
                          </a:xfrm>
                          <a:prstGeom prst="rect">
                            <a:avLst/>
                          </a:prstGeom>
                        </pic:spPr>
                      </pic:pic>
                      <pic:pic>
                        <pic:nvPicPr>
                          <pic:cNvPr id="1246" name="Image 1246"/>
                          <pic:cNvPicPr/>
                        </pic:nvPicPr>
                        <pic:blipFill>
                          <a:blip r:embed="rId182" cstate="print"/>
                          <a:stretch>
                            <a:fillRect/>
                          </a:stretch>
                        </pic:blipFill>
                        <pic:spPr>
                          <a:xfrm>
                            <a:off x="419036" y="915563"/>
                            <a:ext cx="444500" cy="203161"/>
                          </a:xfrm>
                          <a:prstGeom prst="rect">
                            <a:avLst/>
                          </a:prstGeom>
                        </pic:spPr>
                      </pic:pic>
                      <pic:pic>
                        <pic:nvPicPr>
                          <pic:cNvPr id="1247" name="Image 1247"/>
                          <pic:cNvPicPr/>
                        </pic:nvPicPr>
                        <pic:blipFill>
                          <a:blip r:embed="rId90" cstate="print"/>
                          <a:stretch>
                            <a:fillRect/>
                          </a:stretch>
                        </pic:blipFill>
                        <pic:spPr>
                          <a:xfrm>
                            <a:off x="2400249" y="915563"/>
                            <a:ext cx="444512" cy="203161"/>
                          </a:xfrm>
                          <a:prstGeom prst="rect">
                            <a:avLst/>
                          </a:prstGeom>
                        </pic:spPr>
                      </pic:pic>
                      <pic:pic>
                        <pic:nvPicPr>
                          <pic:cNvPr id="1248" name="Image 1248"/>
                          <pic:cNvPicPr/>
                        </pic:nvPicPr>
                        <pic:blipFill>
                          <a:blip r:embed="rId142" cstate="print"/>
                          <a:stretch>
                            <a:fillRect/>
                          </a:stretch>
                        </pic:blipFill>
                        <pic:spPr>
                          <a:xfrm>
                            <a:off x="4381436" y="915563"/>
                            <a:ext cx="444500" cy="203161"/>
                          </a:xfrm>
                          <a:prstGeom prst="rect">
                            <a:avLst/>
                          </a:prstGeom>
                        </pic:spPr>
                      </pic:pic>
                      <pic:pic>
                        <pic:nvPicPr>
                          <pic:cNvPr id="1249" name="Image 1249"/>
                          <pic:cNvPicPr/>
                        </pic:nvPicPr>
                        <pic:blipFill>
                          <a:blip r:embed="rId183" cstate="print"/>
                          <a:stretch>
                            <a:fillRect/>
                          </a:stretch>
                        </pic:blipFill>
                        <pic:spPr>
                          <a:xfrm>
                            <a:off x="419036" y="1017150"/>
                            <a:ext cx="444500" cy="203187"/>
                          </a:xfrm>
                          <a:prstGeom prst="rect">
                            <a:avLst/>
                          </a:prstGeom>
                        </pic:spPr>
                      </pic:pic>
                      <pic:pic>
                        <pic:nvPicPr>
                          <pic:cNvPr id="1250" name="Image 1250"/>
                          <pic:cNvPicPr/>
                        </pic:nvPicPr>
                        <pic:blipFill>
                          <a:blip r:embed="rId181" cstate="print"/>
                          <a:stretch>
                            <a:fillRect/>
                          </a:stretch>
                        </pic:blipFill>
                        <pic:spPr>
                          <a:xfrm>
                            <a:off x="2400249" y="1017150"/>
                            <a:ext cx="444512" cy="203187"/>
                          </a:xfrm>
                          <a:prstGeom prst="rect">
                            <a:avLst/>
                          </a:prstGeom>
                        </pic:spPr>
                      </pic:pic>
                      <pic:pic>
                        <pic:nvPicPr>
                          <pic:cNvPr id="1251" name="Image 1251"/>
                          <pic:cNvPicPr/>
                        </pic:nvPicPr>
                        <pic:blipFill>
                          <a:blip r:embed="rId184" cstate="print"/>
                          <a:stretch>
                            <a:fillRect/>
                          </a:stretch>
                        </pic:blipFill>
                        <pic:spPr>
                          <a:xfrm>
                            <a:off x="4381436" y="1017150"/>
                            <a:ext cx="444500" cy="203187"/>
                          </a:xfrm>
                          <a:prstGeom prst="rect">
                            <a:avLst/>
                          </a:prstGeom>
                        </pic:spPr>
                      </pic:pic>
                      <pic:pic>
                        <pic:nvPicPr>
                          <pic:cNvPr id="1252" name="Image 1252"/>
                          <pic:cNvPicPr/>
                        </pic:nvPicPr>
                        <pic:blipFill>
                          <a:blip r:embed="rId180" cstate="print"/>
                          <a:stretch>
                            <a:fillRect/>
                          </a:stretch>
                        </pic:blipFill>
                        <pic:spPr>
                          <a:xfrm>
                            <a:off x="419036" y="1118775"/>
                            <a:ext cx="444500" cy="203225"/>
                          </a:xfrm>
                          <a:prstGeom prst="rect">
                            <a:avLst/>
                          </a:prstGeom>
                        </pic:spPr>
                      </pic:pic>
                      <pic:pic>
                        <pic:nvPicPr>
                          <pic:cNvPr id="1253" name="Image 1253"/>
                          <pic:cNvPicPr/>
                        </pic:nvPicPr>
                        <pic:blipFill>
                          <a:blip r:embed="rId181" cstate="print"/>
                          <a:stretch>
                            <a:fillRect/>
                          </a:stretch>
                        </pic:blipFill>
                        <pic:spPr>
                          <a:xfrm>
                            <a:off x="2400249" y="1118775"/>
                            <a:ext cx="444512" cy="203212"/>
                          </a:xfrm>
                          <a:prstGeom prst="rect">
                            <a:avLst/>
                          </a:prstGeom>
                        </pic:spPr>
                      </pic:pic>
                      <pic:pic>
                        <pic:nvPicPr>
                          <pic:cNvPr id="1254" name="Image 1254"/>
                          <pic:cNvPicPr/>
                        </pic:nvPicPr>
                        <pic:blipFill>
                          <a:blip r:embed="rId184" cstate="print"/>
                          <a:stretch>
                            <a:fillRect/>
                          </a:stretch>
                        </pic:blipFill>
                        <pic:spPr>
                          <a:xfrm>
                            <a:off x="4381436" y="1118775"/>
                            <a:ext cx="444500" cy="203225"/>
                          </a:xfrm>
                          <a:prstGeom prst="rect">
                            <a:avLst/>
                          </a:prstGeom>
                        </pic:spPr>
                      </pic:pic>
                      <pic:pic>
                        <pic:nvPicPr>
                          <pic:cNvPr id="1255" name="Image 1255"/>
                          <pic:cNvPicPr/>
                        </pic:nvPicPr>
                        <pic:blipFill>
                          <a:blip r:embed="rId175" cstate="print"/>
                          <a:stretch>
                            <a:fillRect/>
                          </a:stretch>
                        </pic:blipFill>
                        <pic:spPr>
                          <a:xfrm>
                            <a:off x="419036" y="1220401"/>
                            <a:ext cx="444500" cy="203174"/>
                          </a:xfrm>
                          <a:prstGeom prst="rect">
                            <a:avLst/>
                          </a:prstGeom>
                        </pic:spPr>
                      </pic:pic>
                      <pic:pic>
                        <pic:nvPicPr>
                          <pic:cNvPr id="1256" name="Image 1256"/>
                          <pic:cNvPicPr/>
                        </pic:nvPicPr>
                        <pic:blipFill>
                          <a:blip r:embed="rId90" cstate="print"/>
                          <a:stretch>
                            <a:fillRect/>
                          </a:stretch>
                        </pic:blipFill>
                        <pic:spPr>
                          <a:xfrm>
                            <a:off x="2400249" y="1220401"/>
                            <a:ext cx="444512" cy="203174"/>
                          </a:xfrm>
                          <a:prstGeom prst="rect">
                            <a:avLst/>
                          </a:prstGeom>
                        </pic:spPr>
                      </pic:pic>
                      <pic:pic>
                        <pic:nvPicPr>
                          <pic:cNvPr id="1257" name="Image 1257"/>
                          <pic:cNvPicPr/>
                        </pic:nvPicPr>
                        <pic:blipFill>
                          <a:blip r:embed="rId142" cstate="print"/>
                          <a:stretch>
                            <a:fillRect/>
                          </a:stretch>
                        </pic:blipFill>
                        <pic:spPr>
                          <a:xfrm>
                            <a:off x="4381436" y="1220401"/>
                            <a:ext cx="444500" cy="203174"/>
                          </a:xfrm>
                          <a:prstGeom prst="rect">
                            <a:avLst/>
                          </a:prstGeom>
                        </pic:spPr>
                      </pic:pic>
                      <pic:pic>
                        <pic:nvPicPr>
                          <pic:cNvPr id="1258" name="Image 1258"/>
                          <pic:cNvPicPr/>
                        </pic:nvPicPr>
                        <pic:blipFill>
                          <a:blip r:embed="rId143" cstate="print"/>
                          <a:stretch>
                            <a:fillRect/>
                          </a:stretch>
                        </pic:blipFill>
                        <pic:spPr>
                          <a:xfrm>
                            <a:off x="419036" y="1321975"/>
                            <a:ext cx="444500" cy="203225"/>
                          </a:xfrm>
                          <a:prstGeom prst="rect">
                            <a:avLst/>
                          </a:prstGeom>
                        </pic:spPr>
                      </pic:pic>
                      <pic:pic>
                        <pic:nvPicPr>
                          <pic:cNvPr id="1259" name="Image 1259"/>
                          <pic:cNvPicPr/>
                        </pic:nvPicPr>
                        <pic:blipFill>
                          <a:blip r:embed="rId87" cstate="print"/>
                          <a:stretch>
                            <a:fillRect/>
                          </a:stretch>
                        </pic:blipFill>
                        <pic:spPr>
                          <a:xfrm>
                            <a:off x="2400249" y="1321988"/>
                            <a:ext cx="444512" cy="203212"/>
                          </a:xfrm>
                          <a:prstGeom prst="rect">
                            <a:avLst/>
                          </a:prstGeom>
                        </pic:spPr>
                      </pic:pic>
                      <pic:pic>
                        <pic:nvPicPr>
                          <pic:cNvPr id="1260" name="Image 1260"/>
                          <pic:cNvPicPr/>
                        </pic:nvPicPr>
                        <pic:blipFill>
                          <a:blip r:embed="rId143" cstate="print"/>
                          <a:stretch>
                            <a:fillRect/>
                          </a:stretch>
                        </pic:blipFill>
                        <pic:spPr>
                          <a:xfrm>
                            <a:off x="4381436" y="1321988"/>
                            <a:ext cx="444500" cy="203212"/>
                          </a:xfrm>
                          <a:prstGeom prst="rect">
                            <a:avLst/>
                          </a:prstGeom>
                        </pic:spPr>
                      </pic:pic>
                      <pic:pic>
                        <pic:nvPicPr>
                          <pic:cNvPr id="1261" name="Image 1261"/>
                          <pic:cNvPicPr/>
                        </pic:nvPicPr>
                        <pic:blipFill>
                          <a:blip r:embed="rId185" cstate="print"/>
                          <a:stretch>
                            <a:fillRect/>
                          </a:stretch>
                        </pic:blipFill>
                        <pic:spPr>
                          <a:xfrm>
                            <a:off x="419036" y="1423550"/>
                            <a:ext cx="444500" cy="203187"/>
                          </a:xfrm>
                          <a:prstGeom prst="rect">
                            <a:avLst/>
                          </a:prstGeom>
                        </pic:spPr>
                      </pic:pic>
                      <pic:pic>
                        <pic:nvPicPr>
                          <pic:cNvPr id="1262" name="Image 1262"/>
                          <pic:cNvPicPr/>
                        </pic:nvPicPr>
                        <pic:blipFill>
                          <a:blip r:embed="rId186" cstate="print"/>
                          <a:stretch>
                            <a:fillRect/>
                          </a:stretch>
                        </pic:blipFill>
                        <pic:spPr>
                          <a:xfrm>
                            <a:off x="2400249" y="1423550"/>
                            <a:ext cx="444512" cy="203187"/>
                          </a:xfrm>
                          <a:prstGeom prst="rect">
                            <a:avLst/>
                          </a:prstGeom>
                        </pic:spPr>
                      </pic:pic>
                      <pic:pic>
                        <pic:nvPicPr>
                          <pic:cNvPr id="1263" name="Image 1263"/>
                          <pic:cNvPicPr/>
                        </pic:nvPicPr>
                        <pic:blipFill>
                          <a:blip r:embed="rId187" cstate="print"/>
                          <a:stretch>
                            <a:fillRect/>
                          </a:stretch>
                        </pic:blipFill>
                        <pic:spPr>
                          <a:xfrm>
                            <a:off x="4381436" y="1423550"/>
                            <a:ext cx="444500" cy="203187"/>
                          </a:xfrm>
                          <a:prstGeom prst="rect">
                            <a:avLst/>
                          </a:prstGeom>
                        </pic:spPr>
                      </pic:pic>
                      <pic:pic>
                        <pic:nvPicPr>
                          <pic:cNvPr id="1264" name="Image 1264"/>
                          <pic:cNvPicPr/>
                        </pic:nvPicPr>
                        <pic:blipFill>
                          <a:blip r:embed="rId188" cstate="print"/>
                          <a:stretch>
                            <a:fillRect/>
                          </a:stretch>
                        </pic:blipFill>
                        <pic:spPr>
                          <a:xfrm>
                            <a:off x="419036" y="1525150"/>
                            <a:ext cx="444500" cy="143954"/>
                          </a:xfrm>
                          <a:prstGeom prst="rect">
                            <a:avLst/>
                          </a:prstGeom>
                        </pic:spPr>
                      </pic:pic>
                      <pic:pic>
                        <pic:nvPicPr>
                          <pic:cNvPr id="1265" name="Image 1265"/>
                          <pic:cNvPicPr/>
                        </pic:nvPicPr>
                        <pic:blipFill>
                          <a:blip r:embed="rId189" cstate="print"/>
                          <a:stretch>
                            <a:fillRect/>
                          </a:stretch>
                        </pic:blipFill>
                        <pic:spPr>
                          <a:xfrm>
                            <a:off x="2400249" y="1525150"/>
                            <a:ext cx="444512" cy="143954"/>
                          </a:xfrm>
                          <a:prstGeom prst="rect">
                            <a:avLst/>
                          </a:prstGeom>
                        </pic:spPr>
                      </pic:pic>
                      <pic:pic>
                        <pic:nvPicPr>
                          <pic:cNvPr id="1266" name="Image 1266"/>
                          <pic:cNvPicPr/>
                        </pic:nvPicPr>
                        <pic:blipFill>
                          <a:blip r:embed="rId190" cstate="print"/>
                          <a:stretch>
                            <a:fillRect/>
                          </a:stretch>
                        </pic:blipFill>
                        <pic:spPr>
                          <a:xfrm>
                            <a:off x="4381436" y="1525150"/>
                            <a:ext cx="444500" cy="143954"/>
                          </a:xfrm>
                          <a:prstGeom prst="rect">
                            <a:avLst/>
                          </a:prstGeom>
                        </pic:spPr>
                      </pic:pic>
                      <wps:wsp>
                        <wps:cNvPr id="1267" name="Graphic 1267"/>
                        <wps:cNvSpPr/>
                        <wps:spPr>
                          <a:xfrm>
                            <a:off x="977836" y="183192"/>
                            <a:ext cx="4406900" cy="1486535"/>
                          </a:xfrm>
                          <a:custGeom>
                            <a:avLst/>
                            <a:gdLst/>
                            <a:ahLst/>
                            <a:cxnLst/>
                            <a:rect l="l" t="t" r="r" b="b"/>
                            <a:pathLst>
                              <a:path w="4406900" h="1486535">
                                <a:moveTo>
                                  <a:pt x="444500" y="0"/>
                                </a:moveTo>
                                <a:lnTo>
                                  <a:pt x="0" y="0"/>
                                </a:lnTo>
                                <a:lnTo>
                                  <a:pt x="0" y="1485912"/>
                                </a:lnTo>
                                <a:lnTo>
                                  <a:pt x="444500" y="1485912"/>
                                </a:lnTo>
                                <a:lnTo>
                                  <a:pt x="444500" y="0"/>
                                </a:lnTo>
                                <a:close/>
                              </a:path>
                              <a:path w="4406900" h="1486535">
                                <a:moveTo>
                                  <a:pt x="2425700" y="279400"/>
                                </a:moveTo>
                                <a:lnTo>
                                  <a:pt x="1981200" y="279400"/>
                                </a:lnTo>
                                <a:lnTo>
                                  <a:pt x="1981200" y="1485912"/>
                                </a:lnTo>
                                <a:lnTo>
                                  <a:pt x="2425700" y="1485912"/>
                                </a:lnTo>
                                <a:lnTo>
                                  <a:pt x="2425700" y="279400"/>
                                </a:lnTo>
                                <a:close/>
                              </a:path>
                              <a:path w="4406900" h="1486535">
                                <a:moveTo>
                                  <a:pt x="4406900" y="584200"/>
                                </a:moveTo>
                                <a:lnTo>
                                  <a:pt x="3962400" y="584200"/>
                                </a:lnTo>
                                <a:lnTo>
                                  <a:pt x="3962400" y="1485912"/>
                                </a:lnTo>
                                <a:lnTo>
                                  <a:pt x="4406900" y="1485912"/>
                                </a:lnTo>
                                <a:lnTo>
                                  <a:pt x="4406900" y="584200"/>
                                </a:lnTo>
                                <a:close/>
                              </a:path>
                            </a:pathLst>
                          </a:custGeom>
                          <a:solidFill>
                            <a:srgbClr val="0F5D86"/>
                          </a:solidFill>
                        </wps:spPr>
                        <wps:bodyPr wrap="square" lIns="0" tIns="0" rIns="0" bIns="0" rtlCol="0">
                          <a:prstTxWarp prst="textNoShape">
                            <a:avLst/>
                          </a:prstTxWarp>
                          <a:noAutofit/>
                        </wps:bodyPr>
                      </wps:wsp>
                      <wps:wsp>
                        <wps:cNvPr id="1268" name="Graphic 1268"/>
                        <wps:cNvSpPr/>
                        <wps:spPr>
                          <a:xfrm>
                            <a:off x="0" y="198536"/>
                            <a:ext cx="5949950" cy="1470660"/>
                          </a:xfrm>
                          <a:custGeom>
                            <a:avLst/>
                            <a:gdLst/>
                            <a:ahLst/>
                            <a:cxnLst/>
                            <a:rect l="l" t="t" r="r" b="b"/>
                            <a:pathLst>
                              <a:path w="5949950" h="1470660">
                                <a:moveTo>
                                  <a:pt x="12700" y="0"/>
                                </a:moveTo>
                                <a:lnTo>
                                  <a:pt x="0" y="0"/>
                                </a:lnTo>
                                <a:lnTo>
                                  <a:pt x="0" y="1465884"/>
                                </a:lnTo>
                                <a:lnTo>
                                  <a:pt x="673" y="1467510"/>
                                </a:lnTo>
                                <a:lnTo>
                                  <a:pt x="3048" y="1469885"/>
                                </a:lnTo>
                                <a:lnTo>
                                  <a:pt x="4673" y="1470558"/>
                                </a:lnTo>
                                <a:lnTo>
                                  <a:pt x="5949950" y="1470558"/>
                                </a:lnTo>
                                <a:lnTo>
                                  <a:pt x="5949950" y="1457858"/>
                                </a:lnTo>
                                <a:lnTo>
                                  <a:pt x="12700" y="1457858"/>
                                </a:lnTo>
                                <a:lnTo>
                                  <a:pt x="12700" y="0"/>
                                </a:lnTo>
                                <a:close/>
                              </a:path>
                            </a:pathLst>
                          </a:custGeom>
                          <a:solidFill>
                            <a:srgbClr val="BCBEC0"/>
                          </a:solidFill>
                        </wps:spPr>
                        <wps:bodyPr wrap="square" lIns="0" tIns="0" rIns="0" bIns="0" rtlCol="0">
                          <a:prstTxWarp prst="textNoShape">
                            <a:avLst/>
                          </a:prstTxWarp>
                          <a:noAutofit/>
                        </wps:bodyPr>
                      </wps:wsp>
                      <pic:pic>
                        <pic:nvPicPr>
                          <pic:cNvPr id="1269" name="Image 1269"/>
                          <pic:cNvPicPr/>
                        </pic:nvPicPr>
                        <pic:blipFill>
                          <a:blip r:embed="rId191" cstate="print"/>
                          <a:stretch>
                            <a:fillRect/>
                          </a:stretch>
                        </pic:blipFill>
                        <pic:spPr>
                          <a:xfrm>
                            <a:off x="4566323" y="75966"/>
                            <a:ext cx="50800" cy="63500"/>
                          </a:xfrm>
                          <a:prstGeom prst="rect">
                            <a:avLst/>
                          </a:prstGeom>
                        </pic:spPr>
                      </pic:pic>
                      <wps:wsp>
                        <wps:cNvPr id="1270" name="Graphic 1270"/>
                        <wps:cNvSpPr/>
                        <wps:spPr>
                          <a:xfrm>
                            <a:off x="5036223" y="75966"/>
                            <a:ext cx="63500" cy="63500"/>
                          </a:xfrm>
                          <a:custGeom>
                            <a:avLst/>
                            <a:gdLst/>
                            <a:ahLst/>
                            <a:cxnLst/>
                            <a:rect l="l" t="t" r="r" b="b"/>
                            <a:pathLst>
                              <a:path w="63500" h="63500">
                                <a:moveTo>
                                  <a:pt x="63500" y="0"/>
                                </a:moveTo>
                                <a:lnTo>
                                  <a:pt x="0" y="0"/>
                                </a:lnTo>
                                <a:lnTo>
                                  <a:pt x="0" y="63500"/>
                                </a:lnTo>
                                <a:lnTo>
                                  <a:pt x="63500" y="63500"/>
                                </a:lnTo>
                                <a:lnTo>
                                  <a:pt x="63500" y="0"/>
                                </a:lnTo>
                                <a:close/>
                              </a:path>
                            </a:pathLst>
                          </a:custGeom>
                          <a:solidFill>
                            <a:srgbClr val="0F5D86"/>
                          </a:solidFill>
                        </wps:spPr>
                        <wps:bodyPr wrap="square" lIns="0" tIns="0" rIns="0" bIns="0" rtlCol="0">
                          <a:prstTxWarp prst="textNoShape">
                            <a:avLst/>
                          </a:prstTxWarp>
                          <a:noAutofit/>
                        </wps:bodyPr>
                      </wps:wsp>
                      <wps:wsp>
                        <wps:cNvPr id="1271" name="Textbox 1271"/>
                        <wps:cNvSpPr txBox="1"/>
                        <wps:spPr>
                          <a:xfrm>
                            <a:off x="532250" y="0"/>
                            <a:ext cx="224790" cy="135890"/>
                          </a:xfrm>
                          <a:prstGeom prst="rect">
                            <a:avLst/>
                          </a:prstGeom>
                        </wps:spPr>
                        <wps:txbx>
                          <w:txbxContent>
                            <w:p>
                              <w:pPr>
                                <w:spacing w:line="207" w:lineRule="exact" w:before="0"/>
                                <w:ind w:left="0" w:right="0" w:firstLine="0"/>
                                <w:jc w:val="left"/>
                                <w:rPr>
                                  <w:sz w:val="18"/>
                                </w:rPr>
                              </w:pPr>
                              <w:r>
                                <w:rPr>
                                  <w:color w:val="636466"/>
                                  <w:spacing w:val="-7"/>
                                  <w:sz w:val="18"/>
                                </w:rPr>
                                <w:t>41%</w:t>
                              </w:r>
                            </w:p>
                          </w:txbxContent>
                        </wps:txbx>
                        <wps:bodyPr wrap="square" lIns="0" tIns="0" rIns="0" bIns="0" rtlCol="0">
                          <a:noAutofit/>
                        </wps:bodyPr>
                      </wps:wsp>
                      <wps:wsp>
                        <wps:cNvPr id="1272" name="Textbox 1272"/>
                        <wps:cNvSpPr txBox="1"/>
                        <wps:spPr>
                          <a:xfrm>
                            <a:off x="1096092" y="0"/>
                            <a:ext cx="224790" cy="135890"/>
                          </a:xfrm>
                          <a:prstGeom prst="rect">
                            <a:avLst/>
                          </a:prstGeom>
                        </wps:spPr>
                        <wps:txbx>
                          <w:txbxContent>
                            <w:p>
                              <w:pPr>
                                <w:spacing w:line="207" w:lineRule="exact" w:before="0"/>
                                <w:ind w:left="0" w:right="0" w:firstLine="0"/>
                                <w:jc w:val="left"/>
                                <w:rPr>
                                  <w:sz w:val="18"/>
                                </w:rPr>
                              </w:pPr>
                              <w:r>
                                <w:rPr>
                                  <w:color w:val="636466"/>
                                  <w:spacing w:val="-7"/>
                                  <w:sz w:val="18"/>
                                </w:rPr>
                                <w:t>41%</w:t>
                              </w:r>
                            </w:p>
                          </w:txbxContent>
                        </wps:txbx>
                        <wps:bodyPr wrap="square" lIns="0" tIns="0" rIns="0" bIns="0" rtlCol="0">
                          <a:noAutofit/>
                        </wps:bodyPr>
                      </wps:wsp>
                      <wps:wsp>
                        <wps:cNvPr id="1273" name="Textbox 1273"/>
                        <wps:cNvSpPr txBox="1"/>
                        <wps:spPr>
                          <a:xfrm>
                            <a:off x="4649038" y="32481"/>
                            <a:ext cx="721995" cy="135890"/>
                          </a:xfrm>
                          <a:prstGeom prst="rect">
                            <a:avLst/>
                          </a:prstGeom>
                        </wps:spPr>
                        <wps:txbx>
                          <w:txbxContent>
                            <w:p>
                              <w:pPr>
                                <w:tabs>
                                  <w:tab w:pos="741" w:val="left" w:leader="none"/>
                                </w:tabs>
                                <w:spacing w:line="207" w:lineRule="exact" w:before="0"/>
                                <w:ind w:left="0" w:right="0" w:firstLine="0"/>
                                <w:jc w:val="left"/>
                                <w:rPr>
                                  <w:sz w:val="18"/>
                                </w:rPr>
                              </w:pPr>
                              <w:r>
                                <w:rPr>
                                  <w:color w:val="636466"/>
                                  <w:spacing w:val="-4"/>
                                  <w:sz w:val="18"/>
                                </w:rPr>
                                <w:t>2012</w:t>
                              </w:r>
                              <w:r>
                                <w:rPr>
                                  <w:color w:val="636466"/>
                                  <w:sz w:val="18"/>
                                </w:rPr>
                                <w:tab/>
                              </w:r>
                              <w:r>
                                <w:rPr>
                                  <w:color w:val="636466"/>
                                  <w:spacing w:val="-5"/>
                                  <w:sz w:val="18"/>
                                </w:rPr>
                                <w:t>2017</w:t>
                              </w:r>
                            </w:p>
                          </w:txbxContent>
                        </wps:txbx>
                        <wps:bodyPr wrap="square" lIns="0" tIns="0" rIns="0" bIns="0" rtlCol="0">
                          <a:noAutofit/>
                        </wps:bodyPr>
                      </wps:wsp>
                      <wps:wsp>
                        <wps:cNvPr id="1274" name="Textbox 1274"/>
                        <wps:cNvSpPr txBox="1"/>
                        <wps:spPr>
                          <a:xfrm>
                            <a:off x="2486666" y="190538"/>
                            <a:ext cx="224790" cy="135890"/>
                          </a:xfrm>
                          <a:prstGeom prst="rect">
                            <a:avLst/>
                          </a:prstGeom>
                        </wps:spPr>
                        <wps:txbx>
                          <w:txbxContent>
                            <w:p>
                              <w:pPr>
                                <w:spacing w:line="207" w:lineRule="exact" w:before="0"/>
                                <w:ind w:left="0" w:right="0" w:firstLine="0"/>
                                <w:jc w:val="left"/>
                                <w:rPr>
                                  <w:sz w:val="18"/>
                                </w:rPr>
                              </w:pPr>
                              <w:r>
                                <w:rPr>
                                  <w:color w:val="636466"/>
                                  <w:spacing w:val="-7"/>
                                  <w:sz w:val="18"/>
                                </w:rPr>
                                <w:t>36%</w:t>
                              </w:r>
                            </w:p>
                          </w:txbxContent>
                        </wps:txbx>
                        <wps:bodyPr wrap="square" lIns="0" tIns="0" rIns="0" bIns="0" rtlCol="0">
                          <a:noAutofit/>
                        </wps:bodyPr>
                      </wps:wsp>
                      <wps:wsp>
                        <wps:cNvPr id="1275" name="Textbox 1275"/>
                        <wps:cNvSpPr txBox="1"/>
                        <wps:spPr>
                          <a:xfrm>
                            <a:off x="3075882" y="279349"/>
                            <a:ext cx="224790" cy="135890"/>
                          </a:xfrm>
                          <a:prstGeom prst="rect">
                            <a:avLst/>
                          </a:prstGeom>
                        </wps:spPr>
                        <wps:txbx>
                          <w:txbxContent>
                            <w:p>
                              <w:pPr>
                                <w:spacing w:line="207" w:lineRule="exact" w:before="0"/>
                                <w:ind w:left="0" w:right="0" w:firstLine="0"/>
                                <w:jc w:val="left"/>
                                <w:rPr>
                                  <w:sz w:val="18"/>
                                </w:rPr>
                              </w:pPr>
                              <w:r>
                                <w:rPr>
                                  <w:color w:val="636466"/>
                                  <w:spacing w:val="-7"/>
                                  <w:sz w:val="18"/>
                                </w:rPr>
                                <w:t>34%</w:t>
                              </w:r>
                            </w:p>
                          </w:txbxContent>
                        </wps:txbx>
                        <wps:bodyPr wrap="square" lIns="0" tIns="0" rIns="0" bIns="0" rtlCol="0">
                          <a:noAutofit/>
                        </wps:bodyPr>
                      </wps:wsp>
                      <wps:wsp>
                        <wps:cNvPr id="1276" name="Textbox 1276"/>
                        <wps:cNvSpPr txBox="1"/>
                        <wps:spPr>
                          <a:xfrm>
                            <a:off x="4491945" y="647738"/>
                            <a:ext cx="224790" cy="135890"/>
                          </a:xfrm>
                          <a:prstGeom prst="rect">
                            <a:avLst/>
                          </a:prstGeom>
                        </wps:spPr>
                        <wps:txbx>
                          <w:txbxContent>
                            <w:p>
                              <w:pPr>
                                <w:spacing w:line="207" w:lineRule="exact" w:before="0"/>
                                <w:ind w:left="0" w:right="0" w:firstLine="0"/>
                                <w:jc w:val="left"/>
                                <w:rPr>
                                  <w:sz w:val="18"/>
                                </w:rPr>
                              </w:pPr>
                              <w:r>
                                <w:rPr>
                                  <w:color w:val="636466"/>
                                  <w:spacing w:val="-7"/>
                                  <w:sz w:val="18"/>
                                </w:rPr>
                                <w:t>23%</w:t>
                              </w:r>
                            </w:p>
                          </w:txbxContent>
                        </wps:txbx>
                        <wps:bodyPr wrap="square" lIns="0" tIns="0" rIns="0" bIns="0" rtlCol="0">
                          <a:noAutofit/>
                        </wps:bodyPr>
                      </wps:wsp>
                      <wps:wsp>
                        <wps:cNvPr id="1277" name="Textbox 1277"/>
                        <wps:cNvSpPr txBox="1"/>
                        <wps:spPr>
                          <a:xfrm>
                            <a:off x="5055673" y="584187"/>
                            <a:ext cx="224790" cy="135890"/>
                          </a:xfrm>
                          <a:prstGeom prst="rect">
                            <a:avLst/>
                          </a:prstGeom>
                        </wps:spPr>
                        <wps:txbx>
                          <w:txbxContent>
                            <w:p>
                              <w:pPr>
                                <w:spacing w:line="207" w:lineRule="exact" w:before="0"/>
                                <w:ind w:left="0" w:right="0" w:firstLine="0"/>
                                <w:jc w:val="left"/>
                                <w:rPr>
                                  <w:sz w:val="18"/>
                                </w:rPr>
                              </w:pPr>
                              <w:r>
                                <w:rPr>
                                  <w:color w:val="636466"/>
                                  <w:spacing w:val="-7"/>
                                  <w:sz w:val="18"/>
                                </w:rPr>
                                <w:t>25%</w:t>
                              </w:r>
                            </w:p>
                          </w:txbxContent>
                        </wps:txbx>
                        <wps:bodyPr wrap="square" lIns="0" tIns="0" rIns="0" bIns="0" rtlCol="0">
                          <a:noAutofit/>
                        </wps:bodyPr>
                      </wps:wsp>
                    </wpg:wgp>
                  </a:graphicData>
                </a:graphic>
              </wp:anchor>
            </w:drawing>
          </mc:Choice>
          <mc:Fallback>
            <w:pict>
              <v:group style="position:absolute;margin-left:681.362976pt;margin-top:13.179516pt;width:468.5pt;height:131.450pt;mso-position-horizontal-relative:page;mso-position-vertical-relative:paragraph;z-index:-15596032;mso-wrap-distance-left:0;mso-wrap-distance-right:0" id="docshapegroup982" coordorigin="13627,264" coordsize="9370,2629">
                <v:line style="position:absolute" from="14292,585" to="14292,572" stroked="true" strokeweight=".504pt" strokecolor="#115b84">
                  <v:stroke dashstyle="solid"/>
                </v:line>
                <v:shape style="position:absolute;left:14287;top:572;width:651;height:174" type="#_x0000_t75" id="docshape983" stroked="false">
                  <v:imagedata r:id="rId174" o:title=""/>
                </v:shape>
                <v:line style="position:absolute" from="14937,579" to="14987,579" stroked="true" strokeweight=".667pt" strokecolor="#fefefe">
                  <v:stroke dashstyle="solid"/>
                </v:line>
                <v:shape style="position:absolute;left:14287;top:585;width:700;height:320" type="#_x0000_t75" id="docshape984" stroked="false">
                  <v:imagedata r:id="rId175" o:title=""/>
                </v:shape>
                <v:shape style="position:absolute;left:14287;top:745;width:700;height:320" type="#_x0000_t75" id="docshape985" stroked="false">
                  <v:imagedata r:id="rId142" o:title=""/>
                </v:shape>
                <v:shape style="position:absolute;left:17407;top:872;width:701;height:194" type="#_x0000_t75" id="docshape986" stroked="false">
                  <v:imagedata r:id="rId176" o:title=""/>
                </v:shape>
                <v:shape style="position:absolute;left:14287;top:905;width:700;height:321" type="#_x0000_t75" id="docshape987" stroked="false">
                  <v:imagedata r:id="rId177" o:title=""/>
                </v:shape>
                <v:shape style="position:absolute;left:17407;top:905;width:701;height:321" type="#_x0000_t75" id="docshape988" stroked="false">
                  <v:imagedata r:id="rId87" o:title=""/>
                </v:shape>
                <v:shape style="position:absolute;left:14287;top:1065;width:700;height:321" type="#_x0000_t75" id="docshape989" stroked="false">
                  <v:imagedata r:id="rId178" o:title=""/>
                </v:shape>
                <v:shape style="position:absolute;left:17407;top:1065;width:701;height:321" type="#_x0000_t75" id="docshape990" stroked="false">
                  <v:imagedata r:id="rId145" o:title=""/>
                </v:shape>
                <v:shape style="position:absolute;left:14287;top:1225;width:700;height:321" type="#_x0000_t75" id="docshape991" stroked="false">
                  <v:imagedata r:id="rId179" o:title=""/>
                </v:shape>
                <v:shape style="position:absolute;left:17407;top:1225;width:701;height:321" type="#_x0000_t75" id="docshape992" stroked="false">
                  <v:imagedata r:id="rId89" o:title=""/>
                </v:shape>
                <v:shape style="position:absolute;left:14287;top:1385;width:700;height:320" type="#_x0000_t75" id="docshape993" stroked="false">
                  <v:imagedata r:id="rId180" o:title=""/>
                </v:shape>
                <v:shape style="position:absolute;left:17407;top:1385;width:701;height:320" type="#_x0000_t75" id="docshape994" stroked="false">
                  <v:imagedata r:id="rId181" o:title=""/>
                </v:shape>
                <v:shape style="position:absolute;left:14287;top:1545;width:700;height:320" type="#_x0000_t75" id="docshape995" stroked="false">
                  <v:imagedata r:id="rId175" o:title=""/>
                </v:shape>
                <v:shape style="position:absolute;left:17407;top:1545;width:701;height:320" type="#_x0000_t75" id="docshape996" stroked="false">
                  <v:imagedata r:id="rId90" o:title=""/>
                </v:shape>
                <v:shape style="position:absolute;left:20527;top:1592;width:700;height:274" type="#_x0000_t75" id="docshape997" stroked="false">
                  <v:imagedata r:id="rId147" o:title=""/>
                </v:shape>
                <v:shape style="position:absolute;left:14287;top:1705;width:700;height:320" type="#_x0000_t75" id="docshape998" stroked="false">
                  <v:imagedata r:id="rId182" o:title=""/>
                </v:shape>
                <v:shape style="position:absolute;left:17407;top:1705;width:701;height:320" type="#_x0000_t75" id="docshape999" stroked="false">
                  <v:imagedata r:id="rId90" o:title=""/>
                </v:shape>
                <v:shape style="position:absolute;left:20527;top:1705;width:700;height:320" type="#_x0000_t75" id="docshape1000" stroked="false">
                  <v:imagedata r:id="rId142" o:title=""/>
                </v:shape>
                <v:shape style="position:absolute;left:14287;top:1865;width:700;height:320" type="#_x0000_t75" id="docshape1001" stroked="false">
                  <v:imagedata r:id="rId183" o:title=""/>
                </v:shape>
                <v:shape style="position:absolute;left:17407;top:1865;width:701;height:320" type="#_x0000_t75" id="docshape1002" stroked="false">
                  <v:imagedata r:id="rId181" o:title=""/>
                </v:shape>
                <v:shape style="position:absolute;left:20527;top:1865;width:700;height:320" type="#_x0000_t75" id="docshape1003" stroked="false">
                  <v:imagedata r:id="rId184" o:title=""/>
                </v:shape>
                <v:shape style="position:absolute;left:14287;top:2025;width:700;height:321" type="#_x0000_t75" id="docshape1004" stroked="false">
                  <v:imagedata r:id="rId180" o:title=""/>
                </v:shape>
                <v:shape style="position:absolute;left:17407;top:2025;width:701;height:321" type="#_x0000_t75" id="docshape1005" stroked="false">
                  <v:imagedata r:id="rId181" o:title=""/>
                </v:shape>
                <v:shape style="position:absolute;left:20527;top:2025;width:700;height:321" type="#_x0000_t75" id="docshape1006" stroked="false">
                  <v:imagedata r:id="rId184" o:title=""/>
                </v:shape>
                <v:shape style="position:absolute;left:14287;top:2185;width:700;height:320" type="#_x0000_t75" id="docshape1007" stroked="false">
                  <v:imagedata r:id="rId175" o:title=""/>
                </v:shape>
                <v:shape style="position:absolute;left:17407;top:2185;width:701;height:320" type="#_x0000_t75" id="docshape1008" stroked="false">
                  <v:imagedata r:id="rId90" o:title=""/>
                </v:shape>
                <v:shape style="position:absolute;left:20527;top:2185;width:700;height:320" type="#_x0000_t75" id="docshape1009" stroked="false">
                  <v:imagedata r:id="rId142" o:title=""/>
                </v:shape>
                <v:shape style="position:absolute;left:14287;top:2345;width:700;height:321" type="#_x0000_t75" id="docshape1010" stroked="false">
                  <v:imagedata r:id="rId143" o:title=""/>
                </v:shape>
                <v:shape style="position:absolute;left:17407;top:2345;width:701;height:321" type="#_x0000_t75" id="docshape1011" stroked="false">
                  <v:imagedata r:id="rId87" o:title=""/>
                </v:shape>
                <v:shape style="position:absolute;left:20527;top:2345;width:700;height:321" type="#_x0000_t75" id="docshape1012" stroked="false">
                  <v:imagedata r:id="rId143" o:title=""/>
                </v:shape>
                <v:shape style="position:absolute;left:14287;top:2505;width:700;height:320" type="#_x0000_t75" id="docshape1013" stroked="false">
                  <v:imagedata r:id="rId185" o:title=""/>
                </v:shape>
                <v:shape style="position:absolute;left:17407;top:2505;width:701;height:320" type="#_x0000_t75" id="docshape1014" stroked="false">
                  <v:imagedata r:id="rId186" o:title=""/>
                </v:shape>
                <v:shape style="position:absolute;left:20527;top:2505;width:700;height:320" type="#_x0000_t75" id="docshape1015" stroked="false">
                  <v:imagedata r:id="rId187" o:title=""/>
                </v:shape>
                <v:shape style="position:absolute;left:14287;top:2665;width:700;height:227" type="#_x0000_t75" id="docshape1016" stroked="false">
                  <v:imagedata r:id="rId188" o:title=""/>
                </v:shape>
                <v:shape style="position:absolute;left:17407;top:2665;width:701;height:227" type="#_x0000_t75" id="docshape1017" stroked="false">
                  <v:imagedata r:id="rId189" o:title=""/>
                </v:shape>
                <v:shape style="position:absolute;left:20527;top:2665;width:700;height:227" type="#_x0000_t75" id="docshape1018" stroked="false">
                  <v:imagedata r:id="rId190" o:title=""/>
                </v:shape>
                <v:shape style="position:absolute;left:15167;top:552;width:6940;height:2341" id="docshape1019" coordorigin="15167,552" coordsize="6940,2341" path="m15867,552l15167,552,15167,2892,15867,2892,15867,552xm18987,992l18287,992,18287,2892,18987,2892,18987,992xm22107,1472l21407,1472,21407,2892,22107,2892,22107,1472xe" filled="true" fillcolor="#0f5d86" stroked="false">
                  <v:path arrowok="t"/>
                  <v:fill type="solid"/>
                </v:shape>
                <v:shape style="position:absolute;left:13627;top:576;width:9370;height:2316" id="docshape1020" coordorigin="13627,576" coordsize="9370,2316" path="m13647,576l13627,576,13627,2885,13628,2887,13632,2891,13635,2892,22997,2892,22997,2872,13647,2872,13647,576xe" filled="true" fillcolor="#bcbec0" stroked="false">
                  <v:path arrowok="t"/>
                  <v:fill type="solid"/>
                </v:shape>
                <v:shape style="position:absolute;left:20818;top:383;width:80;height:100" type="#_x0000_t75" id="docshape1021" stroked="false">
                  <v:imagedata r:id="rId191" o:title=""/>
                </v:shape>
                <v:rect style="position:absolute;left:21558;top:383;width:100;height:100" id="docshape1022" filled="true" fillcolor="#0f5d86" stroked="false">
                  <v:fill type="solid"/>
                </v:rect>
                <v:shape style="position:absolute;left:14465;top:263;width:354;height:214" type="#_x0000_t202" id="docshape1023" filled="false" stroked="false">
                  <v:textbox inset="0,0,0,0">
                    <w:txbxContent>
                      <w:p>
                        <w:pPr>
                          <w:spacing w:line="207" w:lineRule="exact" w:before="0"/>
                          <w:ind w:left="0" w:right="0" w:firstLine="0"/>
                          <w:jc w:val="left"/>
                          <w:rPr>
                            <w:sz w:val="18"/>
                          </w:rPr>
                        </w:pPr>
                        <w:r>
                          <w:rPr>
                            <w:color w:val="636466"/>
                            <w:spacing w:val="-7"/>
                            <w:sz w:val="18"/>
                          </w:rPr>
                          <w:t>41%</w:t>
                        </w:r>
                      </w:p>
                    </w:txbxContent>
                  </v:textbox>
                  <w10:wrap type="none"/>
                </v:shape>
                <v:shape style="position:absolute;left:15353;top:263;width:354;height:214" type="#_x0000_t202" id="docshape1024" filled="false" stroked="false">
                  <v:textbox inset="0,0,0,0">
                    <w:txbxContent>
                      <w:p>
                        <w:pPr>
                          <w:spacing w:line="207" w:lineRule="exact" w:before="0"/>
                          <w:ind w:left="0" w:right="0" w:firstLine="0"/>
                          <w:jc w:val="left"/>
                          <w:rPr>
                            <w:sz w:val="18"/>
                          </w:rPr>
                        </w:pPr>
                        <w:r>
                          <w:rPr>
                            <w:color w:val="636466"/>
                            <w:spacing w:val="-7"/>
                            <w:sz w:val="18"/>
                          </w:rPr>
                          <w:t>41%</w:t>
                        </w:r>
                      </w:p>
                    </w:txbxContent>
                  </v:textbox>
                  <w10:wrap type="none"/>
                </v:shape>
                <v:shape style="position:absolute;left:20948;top:314;width:1137;height:214" type="#_x0000_t202" id="docshape1025" filled="false" stroked="false">
                  <v:textbox inset="0,0,0,0">
                    <w:txbxContent>
                      <w:p>
                        <w:pPr>
                          <w:tabs>
                            <w:tab w:pos="741" w:val="left" w:leader="none"/>
                          </w:tabs>
                          <w:spacing w:line="207" w:lineRule="exact" w:before="0"/>
                          <w:ind w:left="0" w:right="0" w:firstLine="0"/>
                          <w:jc w:val="left"/>
                          <w:rPr>
                            <w:sz w:val="18"/>
                          </w:rPr>
                        </w:pPr>
                        <w:r>
                          <w:rPr>
                            <w:color w:val="636466"/>
                            <w:spacing w:val="-4"/>
                            <w:sz w:val="18"/>
                          </w:rPr>
                          <w:t>2012</w:t>
                        </w:r>
                        <w:r>
                          <w:rPr>
                            <w:color w:val="636466"/>
                            <w:sz w:val="18"/>
                          </w:rPr>
                          <w:tab/>
                        </w:r>
                        <w:r>
                          <w:rPr>
                            <w:color w:val="636466"/>
                            <w:spacing w:val="-5"/>
                            <w:sz w:val="18"/>
                          </w:rPr>
                          <w:t>2017</w:t>
                        </w:r>
                      </w:p>
                    </w:txbxContent>
                  </v:textbox>
                  <w10:wrap type="none"/>
                </v:shape>
                <v:shape style="position:absolute;left:17543;top:563;width:354;height:214" type="#_x0000_t202" id="docshape1026" filled="false" stroked="false">
                  <v:textbox inset="0,0,0,0">
                    <w:txbxContent>
                      <w:p>
                        <w:pPr>
                          <w:spacing w:line="207" w:lineRule="exact" w:before="0"/>
                          <w:ind w:left="0" w:right="0" w:firstLine="0"/>
                          <w:jc w:val="left"/>
                          <w:rPr>
                            <w:sz w:val="18"/>
                          </w:rPr>
                        </w:pPr>
                        <w:r>
                          <w:rPr>
                            <w:color w:val="636466"/>
                            <w:spacing w:val="-7"/>
                            <w:sz w:val="18"/>
                          </w:rPr>
                          <w:t>36%</w:t>
                        </w:r>
                      </w:p>
                    </w:txbxContent>
                  </v:textbox>
                  <w10:wrap type="none"/>
                </v:shape>
                <v:shape style="position:absolute;left:18471;top:703;width:354;height:214" type="#_x0000_t202" id="docshape1027" filled="false" stroked="false">
                  <v:textbox inset="0,0,0,0">
                    <w:txbxContent>
                      <w:p>
                        <w:pPr>
                          <w:spacing w:line="207" w:lineRule="exact" w:before="0"/>
                          <w:ind w:left="0" w:right="0" w:firstLine="0"/>
                          <w:jc w:val="left"/>
                          <w:rPr>
                            <w:sz w:val="18"/>
                          </w:rPr>
                        </w:pPr>
                        <w:r>
                          <w:rPr>
                            <w:color w:val="636466"/>
                            <w:spacing w:val="-7"/>
                            <w:sz w:val="18"/>
                          </w:rPr>
                          <w:t>34%</w:t>
                        </w:r>
                      </w:p>
                    </w:txbxContent>
                  </v:textbox>
                  <w10:wrap type="none"/>
                </v:shape>
                <v:shape style="position:absolute;left:20701;top:1283;width:354;height:214" type="#_x0000_t202" id="docshape1028" filled="false" stroked="false">
                  <v:textbox inset="0,0,0,0">
                    <w:txbxContent>
                      <w:p>
                        <w:pPr>
                          <w:spacing w:line="207" w:lineRule="exact" w:before="0"/>
                          <w:ind w:left="0" w:right="0" w:firstLine="0"/>
                          <w:jc w:val="left"/>
                          <w:rPr>
                            <w:sz w:val="18"/>
                          </w:rPr>
                        </w:pPr>
                        <w:r>
                          <w:rPr>
                            <w:color w:val="636466"/>
                            <w:spacing w:val="-7"/>
                            <w:sz w:val="18"/>
                          </w:rPr>
                          <w:t>23%</w:t>
                        </w:r>
                      </w:p>
                    </w:txbxContent>
                  </v:textbox>
                  <w10:wrap type="none"/>
                </v:shape>
                <v:shape style="position:absolute;left:21588;top:1183;width:354;height:214" type="#_x0000_t202" id="docshape1029" filled="false" stroked="false">
                  <v:textbox inset="0,0,0,0">
                    <w:txbxContent>
                      <w:p>
                        <w:pPr>
                          <w:spacing w:line="207" w:lineRule="exact" w:before="0"/>
                          <w:ind w:left="0" w:right="0" w:firstLine="0"/>
                          <w:jc w:val="left"/>
                          <w:rPr>
                            <w:sz w:val="18"/>
                          </w:rPr>
                        </w:pPr>
                        <w:r>
                          <w:rPr>
                            <w:color w:val="636466"/>
                            <w:spacing w:val="-7"/>
                            <w:sz w:val="18"/>
                          </w:rPr>
                          <w:t>25%</w:t>
                        </w:r>
                      </w:p>
                    </w:txbxContent>
                  </v:textbox>
                  <w10:wrap type="none"/>
                </v:shape>
                <w10:wrap type="topAndBottom"/>
              </v:group>
            </w:pict>
          </mc:Fallback>
        </mc:AlternateContent>
      </w:r>
    </w:p>
    <w:p>
      <w:pPr>
        <w:tabs>
          <w:tab w:pos="4924" w:val="left" w:leader="none"/>
          <w:tab w:pos="7915" w:val="left" w:leader="none"/>
        </w:tabs>
        <w:spacing w:before="131"/>
        <w:ind w:left="1430" w:right="0" w:firstLine="0"/>
        <w:jc w:val="left"/>
        <w:rPr>
          <w:sz w:val="18"/>
        </w:rPr>
      </w:pPr>
      <w:r>
        <w:rPr>
          <w:color w:val="636466"/>
          <w:sz w:val="18"/>
        </w:rPr>
        <w:t>High School</w:t>
      </w:r>
      <w:r>
        <w:rPr>
          <w:color w:val="636466"/>
          <w:spacing w:val="1"/>
          <w:sz w:val="18"/>
        </w:rPr>
        <w:t> </w:t>
      </w:r>
      <w:r>
        <w:rPr>
          <w:color w:val="636466"/>
          <w:sz w:val="18"/>
        </w:rPr>
        <w:t>Degree or</w:t>
      </w:r>
      <w:r>
        <w:rPr>
          <w:color w:val="636466"/>
          <w:spacing w:val="1"/>
          <w:sz w:val="18"/>
        </w:rPr>
        <w:t> </w:t>
      </w:r>
      <w:r>
        <w:rPr>
          <w:color w:val="636466"/>
          <w:spacing w:val="-2"/>
          <w:sz w:val="18"/>
        </w:rPr>
        <w:t>Equivalent</w:t>
      </w:r>
      <w:r>
        <w:rPr>
          <w:color w:val="636466"/>
          <w:sz w:val="18"/>
        </w:rPr>
        <w:tab/>
        <w:t>Some</w:t>
      </w:r>
      <w:r>
        <w:rPr>
          <w:color w:val="636466"/>
          <w:spacing w:val="-2"/>
          <w:sz w:val="18"/>
        </w:rPr>
        <w:t> </w:t>
      </w:r>
      <w:r>
        <w:rPr>
          <w:color w:val="636466"/>
          <w:sz w:val="18"/>
        </w:rPr>
        <w:t>College</w:t>
      </w:r>
      <w:r>
        <w:rPr>
          <w:color w:val="636466"/>
          <w:spacing w:val="-2"/>
          <w:sz w:val="18"/>
        </w:rPr>
        <w:t> Experience</w:t>
      </w:r>
      <w:r>
        <w:rPr>
          <w:color w:val="636466"/>
          <w:sz w:val="18"/>
        </w:rPr>
        <w:tab/>
        <w:t>Bachelor's</w:t>
      </w:r>
      <w:r>
        <w:rPr>
          <w:color w:val="636466"/>
          <w:spacing w:val="-1"/>
          <w:sz w:val="18"/>
        </w:rPr>
        <w:t> </w:t>
      </w:r>
      <w:r>
        <w:rPr>
          <w:color w:val="636466"/>
          <w:sz w:val="18"/>
        </w:rPr>
        <w:t>Degree</w:t>
      </w:r>
      <w:r>
        <w:rPr>
          <w:color w:val="636466"/>
          <w:spacing w:val="-1"/>
          <w:sz w:val="18"/>
        </w:rPr>
        <w:t> </w:t>
      </w:r>
      <w:r>
        <w:rPr>
          <w:color w:val="636466"/>
          <w:sz w:val="18"/>
        </w:rPr>
        <w:t>or</w:t>
      </w:r>
      <w:r>
        <w:rPr>
          <w:color w:val="636466"/>
          <w:spacing w:val="-1"/>
          <w:sz w:val="18"/>
        </w:rPr>
        <w:t> </w:t>
      </w:r>
      <w:r>
        <w:rPr>
          <w:color w:val="636466"/>
          <w:spacing w:val="-2"/>
          <w:sz w:val="18"/>
        </w:rPr>
        <w:t>Higher</w:t>
      </w:r>
    </w:p>
    <w:p>
      <w:pPr>
        <w:pStyle w:val="BodyText"/>
        <w:spacing w:before="125"/>
        <w:rPr>
          <w:sz w:val="18"/>
        </w:rPr>
      </w:pPr>
    </w:p>
    <w:p>
      <w:pPr>
        <w:spacing w:before="0"/>
        <w:ind w:left="1446" w:right="0" w:firstLine="0"/>
        <w:jc w:val="left"/>
        <w:rPr>
          <w:sz w:val="16"/>
        </w:rPr>
      </w:pPr>
      <w:r>
        <w:rPr>
          <w:color w:val="105C84"/>
          <w:spacing w:val="-2"/>
          <w:sz w:val="16"/>
        </w:rPr>
        <w:t>Data</w:t>
      </w:r>
      <w:r>
        <w:rPr>
          <w:color w:val="105C84"/>
          <w:spacing w:val="-8"/>
          <w:sz w:val="16"/>
        </w:rPr>
        <w:t> </w:t>
      </w:r>
      <w:r>
        <w:rPr>
          <w:color w:val="105C84"/>
          <w:spacing w:val="-2"/>
          <w:sz w:val="16"/>
        </w:rPr>
        <w:t>Source:</w:t>
      </w:r>
      <w:r>
        <w:rPr>
          <w:color w:val="105C84"/>
          <w:spacing w:val="-8"/>
          <w:sz w:val="16"/>
        </w:rPr>
        <w:t> </w:t>
      </w:r>
      <w:r>
        <w:rPr>
          <w:color w:val="105C84"/>
          <w:spacing w:val="-2"/>
          <w:sz w:val="16"/>
        </w:rPr>
        <w:t>U.S.</w:t>
      </w:r>
      <w:r>
        <w:rPr>
          <w:color w:val="105C84"/>
          <w:spacing w:val="-8"/>
          <w:sz w:val="16"/>
        </w:rPr>
        <w:t> </w:t>
      </w:r>
      <w:r>
        <w:rPr>
          <w:color w:val="105C84"/>
          <w:spacing w:val="-2"/>
          <w:sz w:val="16"/>
        </w:rPr>
        <w:t>Census</w:t>
      </w:r>
      <w:r>
        <w:rPr>
          <w:color w:val="105C84"/>
          <w:spacing w:val="-8"/>
          <w:sz w:val="16"/>
        </w:rPr>
        <w:t> </w:t>
      </w:r>
      <w:r>
        <w:rPr>
          <w:color w:val="105C84"/>
          <w:spacing w:val="-2"/>
          <w:sz w:val="16"/>
        </w:rPr>
        <w:t>Bureau</w:t>
      </w:r>
      <w:r>
        <w:rPr>
          <w:color w:val="105C84"/>
          <w:spacing w:val="-8"/>
          <w:sz w:val="16"/>
        </w:rPr>
        <w:t> </w:t>
      </w:r>
      <w:r>
        <w:rPr>
          <w:color w:val="105C84"/>
          <w:spacing w:val="-2"/>
          <w:sz w:val="16"/>
        </w:rPr>
        <w:t>American</w:t>
      </w:r>
      <w:r>
        <w:rPr>
          <w:color w:val="105C84"/>
          <w:spacing w:val="-8"/>
          <w:sz w:val="16"/>
        </w:rPr>
        <w:t> </w:t>
      </w:r>
      <w:r>
        <w:rPr>
          <w:color w:val="105C84"/>
          <w:spacing w:val="-2"/>
          <w:sz w:val="16"/>
        </w:rPr>
        <w:t>Communtiy</w:t>
      </w:r>
      <w:r>
        <w:rPr>
          <w:color w:val="105C84"/>
          <w:spacing w:val="-8"/>
          <w:sz w:val="16"/>
        </w:rPr>
        <w:t> </w:t>
      </w:r>
      <w:r>
        <w:rPr>
          <w:color w:val="105C84"/>
          <w:spacing w:val="-2"/>
          <w:sz w:val="16"/>
        </w:rPr>
        <w:t>Survey</w:t>
      </w:r>
      <w:r>
        <w:rPr>
          <w:color w:val="105C84"/>
          <w:spacing w:val="-8"/>
          <w:sz w:val="16"/>
        </w:rPr>
        <w:t> </w:t>
      </w:r>
      <w:r>
        <w:rPr>
          <w:color w:val="105C84"/>
          <w:spacing w:val="-2"/>
          <w:sz w:val="16"/>
        </w:rPr>
        <w:t>5-Year</w:t>
      </w:r>
      <w:r>
        <w:rPr>
          <w:color w:val="105C84"/>
          <w:spacing w:val="-8"/>
          <w:sz w:val="16"/>
        </w:rPr>
        <w:t> </w:t>
      </w:r>
      <w:r>
        <w:rPr>
          <w:color w:val="105C84"/>
          <w:spacing w:val="-2"/>
          <w:sz w:val="16"/>
        </w:rPr>
        <w:t>Estimates</w:t>
      </w:r>
    </w:p>
    <w:p>
      <w:pPr>
        <w:spacing w:after="0"/>
        <w:jc w:val="left"/>
        <w:rPr>
          <w:sz w:val="16"/>
        </w:rPr>
        <w:sectPr>
          <w:type w:val="continuous"/>
          <w:pgSz w:w="24480" w:h="15840" w:orient="landscape"/>
          <w:pgMar w:header="0" w:footer="0" w:top="0" w:bottom="280" w:left="0" w:right="720"/>
          <w:cols w:num="2" w:equalWidth="0">
            <w:col w:w="11035" w:space="1213"/>
            <w:col w:w="11512"/>
          </w:cols>
        </w:sectPr>
      </w:pPr>
    </w:p>
    <w:p>
      <w:pPr>
        <w:pStyle w:val="BodyText"/>
      </w:pPr>
    </w:p>
    <w:p>
      <w:pPr>
        <w:pStyle w:val="BodyText"/>
        <w:spacing w:before="197"/>
      </w:pPr>
    </w:p>
    <w:p>
      <w:pPr>
        <w:pStyle w:val="BodyText"/>
        <w:spacing w:line="247" w:lineRule="auto"/>
        <w:ind w:left="13314" w:right="684"/>
        <w:jc w:val="both"/>
      </w:pPr>
      <w:r>
        <w:rPr/>
        <mc:AlternateContent>
          <mc:Choice Requires="wps">
            <w:drawing>
              <wp:anchor distT="0" distB="0" distL="0" distR="0" allowOverlap="1" layoutInCell="1" locked="0" behindDoc="0" simplePos="0" relativeHeight="15862784">
                <wp:simplePos x="0" y="0"/>
                <wp:positionH relativeFrom="page">
                  <wp:posOffset>5285232</wp:posOffset>
                </wp:positionH>
                <wp:positionV relativeFrom="paragraph">
                  <wp:posOffset>-655844</wp:posOffset>
                </wp:positionV>
                <wp:extent cx="1810385" cy="2198370"/>
                <wp:effectExtent l="0" t="0" r="0" b="0"/>
                <wp:wrapNone/>
                <wp:docPr id="1278" name="Group 1278"/>
                <wp:cNvGraphicFramePr>
                  <a:graphicFrameLocks/>
                </wp:cNvGraphicFramePr>
                <a:graphic>
                  <a:graphicData uri="http://schemas.microsoft.com/office/word/2010/wordprocessingGroup">
                    <wpg:wgp>
                      <wpg:cNvPr id="1278" name="Group 1278"/>
                      <wpg:cNvGrpSpPr/>
                      <wpg:grpSpPr>
                        <a:xfrm>
                          <a:off x="0" y="0"/>
                          <a:ext cx="1810385" cy="2198370"/>
                          <a:chExt cx="1810385" cy="2198370"/>
                        </a:xfrm>
                      </wpg:grpSpPr>
                      <wps:wsp>
                        <wps:cNvPr id="1279" name="Graphic 1279"/>
                        <wps:cNvSpPr/>
                        <wps:spPr>
                          <a:xfrm>
                            <a:off x="166204" y="806970"/>
                            <a:ext cx="393700" cy="189230"/>
                          </a:xfrm>
                          <a:custGeom>
                            <a:avLst/>
                            <a:gdLst/>
                            <a:ahLst/>
                            <a:cxnLst/>
                            <a:rect l="l" t="t" r="r" b="b"/>
                            <a:pathLst>
                              <a:path w="393700" h="189230">
                                <a:moveTo>
                                  <a:pt x="393407" y="0"/>
                                </a:moveTo>
                                <a:lnTo>
                                  <a:pt x="0" y="0"/>
                                </a:lnTo>
                                <a:lnTo>
                                  <a:pt x="0" y="188645"/>
                                </a:lnTo>
                                <a:lnTo>
                                  <a:pt x="393407" y="188645"/>
                                </a:lnTo>
                                <a:lnTo>
                                  <a:pt x="393407" y="0"/>
                                </a:lnTo>
                                <a:close/>
                              </a:path>
                            </a:pathLst>
                          </a:custGeom>
                          <a:solidFill>
                            <a:srgbClr val="DEF0E7"/>
                          </a:solidFill>
                        </wps:spPr>
                        <wps:bodyPr wrap="square" lIns="0" tIns="0" rIns="0" bIns="0" rtlCol="0">
                          <a:prstTxWarp prst="textNoShape">
                            <a:avLst/>
                          </a:prstTxWarp>
                          <a:noAutofit/>
                        </wps:bodyPr>
                      </wps:wsp>
                      <wps:wsp>
                        <wps:cNvPr id="1280" name="Graphic 1280"/>
                        <wps:cNvSpPr/>
                        <wps:spPr>
                          <a:xfrm>
                            <a:off x="166204" y="1060157"/>
                            <a:ext cx="393700" cy="189230"/>
                          </a:xfrm>
                          <a:custGeom>
                            <a:avLst/>
                            <a:gdLst/>
                            <a:ahLst/>
                            <a:cxnLst/>
                            <a:rect l="l" t="t" r="r" b="b"/>
                            <a:pathLst>
                              <a:path w="393700" h="189230">
                                <a:moveTo>
                                  <a:pt x="393407" y="0"/>
                                </a:moveTo>
                                <a:lnTo>
                                  <a:pt x="0" y="0"/>
                                </a:lnTo>
                                <a:lnTo>
                                  <a:pt x="0" y="188645"/>
                                </a:lnTo>
                                <a:lnTo>
                                  <a:pt x="393407" y="188645"/>
                                </a:lnTo>
                                <a:lnTo>
                                  <a:pt x="393407" y="0"/>
                                </a:lnTo>
                                <a:close/>
                              </a:path>
                            </a:pathLst>
                          </a:custGeom>
                          <a:solidFill>
                            <a:srgbClr val="A6CFB4"/>
                          </a:solidFill>
                        </wps:spPr>
                        <wps:bodyPr wrap="square" lIns="0" tIns="0" rIns="0" bIns="0" rtlCol="0">
                          <a:prstTxWarp prst="textNoShape">
                            <a:avLst/>
                          </a:prstTxWarp>
                          <a:noAutofit/>
                        </wps:bodyPr>
                      </wps:wsp>
                      <wps:wsp>
                        <wps:cNvPr id="1281" name="Graphic 1281"/>
                        <wps:cNvSpPr/>
                        <wps:spPr>
                          <a:xfrm>
                            <a:off x="166204" y="1320063"/>
                            <a:ext cx="393700" cy="189230"/>
                          </a:xfrm>
                          <a:custGeom>
                            <a:avLst/>
                            <a:gdLst/>
                            <a:ahLst/>
                            <a:cxnLst/>
                            <a:rect l="l" t="t" r="r" b="b"/>
                            <a:pathLst>
                              <a:path w="393700" h="189230">
                                <a:moveTo>
                                  <a:pt x="393407" y="0"/>
                                </a:moveTo>
                                <a:lnTo>
                                  <a:pt x="0" y="0"/>
                                </a:lnTo>
                                <a:lnTo>
                                  <a:pt x="0" y="188645"/>
                                </a:lnTo>
                                <a:lnTo>
                                  <a:pt x="393407" y="188645"/>
                                </a:lnTo>
                                <a:lnTo>
                                  <a:pt x="393407" y="0"/>
                                </a:lnTo>
                                <a:close/>
                              </a:path>
                            </a:pathLst>
                          </a:custGeom>
                          <a:solidFill>
                            <a:srgbClr val="77A781"/>
                          </a:solidFill>
                        </wps:spPr>
                        <wps:bodyPr wrap="square" lIns="0" tIns="0" rIns="0" bIns="0" rtlCol="0">
                          <a:prstTxWarp prst="textNoShape">
                            <a:avLst/>
                          </a:prstTxWarp>
                          <a:noAutofit/>
                        </wps:bodyPr>
                      </wps:wsp>
                      <wps:wsp>
                        <wps:cNvPr id="1282" name="Graphic 1282"/>
                        <wps:cNvSpPr/>
                        <wps:spPr>
                          <a:xfrm>
                            <a:off x="166204" y="1579968"/>
                            <a:ext cx="393700" cy="189230"/>
                          </a:xfrm>
                          <a:custGeom>
                            <a:avLst/>
                            <a:gdLst/>
                            <a:ahLst/>
                            <a:cxnLst/>
                            <a:rect l="l" t="t" r="r" b="b"/>
                            <a:pathLst>
                              <a:path w="393700" h="189230">
                                <a:moveTo>
                                  <a:pt x="393407" y="0"/>
                                </a:moveTo>
                                <a:lnTo>
                                  <a:pt x="0" y="0"/>
                                </a:lnTo>
                                <a:lnTo>
                                  <a:pt x="0" y="188645"/>
                                </a:lnTo>
                                <a:lnTo>
                                  <a:pt x="393407" y="188645"/>
                                </a:lnTo>
                                <a:lnTo>
                                  <a:pt x="393407" y="0"/>
                                </a:lnTo>
                                <a:close/>
                              </a:path>
                            </a:pathLst>
                          </a:custGeom>
                          <a:solidFill>
                            <a:srgbClr val="4B8758"/>
                          </a:solidFill>
                        </wps:spPr>
                        <wps:bodyPr wrap="square" lIns="0" tIns="0" rIns="0" bIns="0" rtlCol="0">
                          <a:prstTxWarp prst="textNoShape">
                            <a:avLst/>
                          </a:prstTxWarp>
                          <a:noAutofit/>
                        </wps:bodyPr>
                      </wps:wsp>
                      <wps:wsp>
                        <wps:cNvPr id="1283" name="Graphic 1283"/>
                        <wps:cNvSpPr/>
                        <wps:spPr>
                          <a:xfrm>
                            <a:off x="166204" y="1839874"/>
                            <a:ext cx="393700" cy="189230"/>
                          </a:xfrm>
                          <a:custGeom>
                            <a:avLst/>
                            <a:gdLst/>
                            <a:ahLst/>
                            <a:cxnLst/>
                            <a:rect l="l" t="t" r="r" b="b"/>
                            <a:pathLst>
                              <a:path w="393700" h="189230">
                                <a:moveTo>
                                  <a:pt x="393407" y="0"/>
                                </a:moveTo>
                                <a:lnTo>
                                  <a:pt x="0" y="0"/>
                                </a:lnTo>
                                <a:lnTo>
                                  <a:pt x="0" y="188645"/>
                                </a:lnTo>
                                <a:lnTo>
                                  <a:pt x="393407" y="188645"/>
                                </a:lnTo>
                                <a:lnTo>
                                  <a:pt x="393407" y="0"/>
                                </a:lnTo>
                                <a:close/>
                              </a:path>
                            </a:pathLst>
                          </a:custGeom>
                          <a:solidFill>
                            <a:srgbClr val="236533"/>
                          </a:solidFill>
                        </wps:spPr>
                        <wps:bodyPr wrap="square" lIns="0" tIns="0" rIns="0" bIns="0" rtlCol="0">
                          <a:prstTxWarp prst="textNoShape">
                            <a:avLst/>
                          </a:prstTxWarp>
                          <a:noAutofit/>
                        </wps:bodyPr>
                      </wps:wsp>
                      <wps:wsp>
                        <wps:cNvPr id="1284" name="Textbox 1284"/>
                        <wps:cNvSpPr txBox="1"/>
                        <wps:spPr>
                          <a:xfrm>
                            <a:off x="3175" y="3175"/>
                            <a:ext cx="1804035" cy="2192020"/>
                          </a:xfrm>
                          <a:prstGeom prst="rect">
                            <a:avLst/>
                          </a:prstGeom>
                          <a:ln w="6350">
                            <a:solidFill>
                              <a:srgbClr val="636366"/>
                            </a:solidFill>
                            <a:prstDash val="solid"/>
                          </a:ln>
                        </wps:spPr>
                        <wps:txbx>
                          <w:txbxContent>
                            <w:p>
                              <w:pPr>
                                <w:spacing w:before="188"/>
                                <w:ind w:left="277" w:right="0" w:firstLine="0"/>
                                <w:jc w:val="left"/>
                                <w:rPr>
                                  <w:sz w:val="30"/>
                                </w:rPr>
                              </w:pPr>
                              <w:r>
                                <w:rPr>
                                  <w:color w:val="105C84"/>
                                  <w:spacing w:val="-2"/>
                                  <w:sz w:val="30"/>
                                </w:rPr>
                                <w:t>Legend</w:t>
                              </w:r>
                            </w:p>
                            <w:p>
                              <w:pPr>
                                <w:spacing w:before="301"/>
                                <w:ind w:left="262" w:right="0" w:firstLine="0"/>
                                <w:jc w:val="left"/>
                                <w:rPr>
                                  <w:sz w:val="20"/>
                                </w:rPr>
                              </w:pPr>
                              <w:r>
                                <w:rPr>
                                  <w:color w:val="6D6E71"/>
                                  <w:spacing w:val="-2"/>
                                  <w:sz w:val="20"/>
                                </w:rPr>
                                <w:t>POVERTY</w:t>
                              </w:r>
                            </w:p>
                            <w:p>
                              <w:pPr>
                                <w:spacing w:before="218"/>
                                <w:ind w:left="1054" w:right="0" w:firstLine="0"/>
                                <w:jc w:val="left"/>
                                <w:rPr>
                                  <w:sz w:val="20"/>
                                </w:rPr>
                              </w:pPr>
                              <w:r>
                                <w:rPr>
                                  <w:color w:val="6D6E71"/>
                                  <w:sz w:val="20"/>
                                </w:rPr>
                                <w:t>less</w:t>
                              </w:r>
                              <w:r>
                                <w:rPr>
                                  <w:color w:val="6D6E71"/>
                                  <w:spacing w:val="-5"/>
                                  <w:sz w:val="20"/>
                                </w:rPr>
                                <w:t> </w:t>
                              </w:r>
                              <w:r>
                                <w:rPr>
                                  <w:color w:val="6D6E71"/>
                                  <w:sz w:val="20"/>
                                </w:rPr>
                                <w:t>than</w:t>
                              </w:r>
                              <w:r>
                                <w:rPr>
                                  <w:color w:val="6D6E71"/>
                                  <w:spacing w:val="-4"/>
                                  <w:sz w:val="20"/>
                                </w:rPr>
                                <w:t> </w:t>
                              </w:r>
                              <w:r>
                                <w:rPr>
                                  <w:color w:val="6D6E71"/>
                                  <w:spacing w:val="-5"/>
                                  <w:sz w:val="20"/>
                                </w:rPr>
                                <w:t>10%</w:t>
                              </w:r>
                            </w:p>
                            <w:p>
                              <w:pPr>
                                <w:spacing w:before="180"/>
                                <w:ind w:left="1054" w:right="0" w:firstLine="0"/>
                                <w:jc w:val="left"/>
                                <w:rPr>
                                  <w:sz w:val="20"/>
                                </w:rPr>
                              </w:pPr>
                              <w:r>
                                <w:rPr>
                                  <w:color w:val="6D6E71"/>
                                  <w:sz w:val="20"/>
                                </w:rPr>
                                <w:t>10-</w:t>
                              </w:r>
                              <w:r>
                                <w:rPr>
                                  <w:color w:val="6D6E71"/>
                                  <w:spacing w:val="-5"/>
                                  <w:sz w:val="20"/>
                                </w:rPr>
                                <w:t>15%</w:t>
                              </w:r>
                            </w:p>
                            <w:p>
                              <w:pPr>
                                <w:spacing w:before="180"/>
                                <w:ind w:left="1054" w:right="0" w:firstLine="0"/>
                                <w:jc w:val="left"/>
                                <w:rPr>
                                  <w:sz w:val="20"/>
                                </w:rPr>
                              </w:pPr>
                              <w:r>
                                <w:rPr>
                                  <w:color w:val="6D6E71"/>
                                  <w:sz w:val="20"/>
                                </w:rPr>
                                <w:t>15-</w:t>
                              </w:r>
                              <w:r>
                                <w:rPr>
                                  <w:color w:val="6D6E71"/>
                                  <w:spacing w:val="-5"/>
                                  <w:sz w:val="20"/>
                                </w:rPr>
                                <w:t>20%</w:t>
                              </w:r>
                            </w:p>
                            <w:p>
                              <w:pPr>
                                <w:spacing w:before="180"/>
                                <w:ind w:left="1054" w:right="0" w:firstLine="0"/>
                                <w:jc w:val="left"/>
                                <w:rPr>
                                  <w:sz w:val="20"/>
                                </w:rPr>
                              </w:pPr>
                              <w:r>
                                <w:rPr>
                                  <w:color w:val="6D6E71"/>
                                  <w:sz w:val="20"/>
                                </w:rPr>
                                <w:t>20-</w:t>
                              </w:r>
                              <w:r>
                                <w:rPr>
                                  <w:color w:val="6D6E71"/>
                                  <w:spacing w:val="-5"/>
                                  <w:sz w:val="20"/>
                                </w:rPr>
                                <w:t>25%</w:t>
                              </w:r>
                            </w:p>
                            <w:p>
                              <w:pPr>
                                <w:spacing w:before="180"/>
                                <w:ind w:left="1054" w:right="0" w:firstLine="0"/>
                                <w:jc w:val="left"/>
                                <w:rPr>
                                  <w:sz w:val="20"/>
                                </w:rPr>
                              </w:pPr>
                              <w:r>
                                <w:rPr>
                                  <w:color w:val="6D6E71"/>
                                  <w:sz w:val="20"/>
                                </w:rPr>
                                <w:t>greater</w:t>
                              </w:r>
                              <w:r>
                                <w:rPr>
                                  <w:color w:val="6D6E71"/>
                                  <w:spacing w:val="16"/>
                                  <w:sz w:val="20"/>
                                </w:rPr>
                                <w:t> </w:t>
                              </w:r>
                              <w:r>
                                <w:rPr>
                                  <w:color w:val="6D6E71"/>
                                  <w:sz w:val="20"/>
                                </w:rPr>
                                <w:t>than</w:t>
                              </w:r>
                              <w:r>
                                <w:rPr>
                                  <w:color w:val="6D6E71"/>
                                  <w:spacing w:val="16"/>
                                  <w:sz w:val="20"/>
                                </w:rPr>
                                <w:t> </w:t>
                              </w:r>
                              <w:r>
                                <w:rPr>
                                  <w:color w:val="6D6E71"/>
                                  <w:spacing w:val="-5"/>
                                  <w:sz w:val="20"/>
                                </w:rPr>
                                <w:t>25%</w:t>
                              </w:r>
                            </w:p>
                          </w:txbxContent>
                        </wps:txbx>
                        <wps:bodyPr wrap="square" lIns="0" tIns="0" rIns="0" bIns="0" rtlCol="0">
                          <a:noAutofit/>
                        </wps:bodyPr>
                      </wps:wsp>
                    </wpg:wgp>
                  </a:graphicData>
                </a:graphic>
              </wp:anchor>
            </w:drawing>
          </mc:Choice>
          <mc:Fallback>
            <w:pict>
              <v:group style="position:absolute;margin-left:416.160004pt;margin-top:-51.641312pt;width:142.550pt;height:173.1pt;mso-position-horizontal-relative:page;mso-position-vertical-relative:paragraph;z-index:15862784" id="docshapegroup1030" coordorigin="8323,-1033" coordsize="2851,3462">
                <v:rect style="position:absolute;left:8584;top:238;width:620;height:298" id="docshape1031" filled="true" fillcolor="#def0e7" stroked="false">
                  <v:fill type="solid"/>
                </v:rect>
                <v:rect style="position:absolute;left:8584;top:636;width:620;height:298" id="docshape1032" filled="true" fillcolor="#a6cfb4" stroked="false">
                  <v:fill type="solid"/>
                </v:rect>
                <v:rect style="position:absolute;left:8584;top:1046;width:620;height:298" id="docshape1033" filled="true" fillcolor="#77a781" stroked="false">
                  <v:fill type="solid"/>
                </v:rect>
                <v:rect style="position:absolute;left:8584;top:1455;width:620;height:298" id="docshape1034" filled="true" fillcolor="#4b8758" stroked="false">
                  <v:fill type="solid"/>
                </v:rect>
                <v:rect style="position:absolute;left:8584;top:1864;width:620;height:298" id="docshape1035" filled="true" fillcolor="#236533" stroked="false">
                  <v:fill type="solid"/>
                </v:rect>
                <v:shape style="position:absolute;left:8328;top:-1028;width:2841;height:3452" type="#_x0000_t202" id="docshape1036" filled="false" stroked="true" strokeweight=".5pt" strokecolor="#636366">
                  <v:textbox inset="0,0,0,0">
                    <w:txbxContent>
                      <w:p>
                        <w:pPr>
                          <w:spacing w:before="188"/>
                          <w:ind w:left="277" w:right="0" w:firstLine="0"/>
                          <w:jc w:val="left"/>
                          <w:rPr>
                            <w:sz w:val="30"/>
                          </w:rPr>
                        </w:pPr>
                        <w:r>
                          <w:rPr>
                            <w:color w:val="105C84"/>
                            <w:spacing w:val="-2"/>
                            <w:sz w:val="30"/>
                          </w:rPr>
                          <w:t>Legend</w:t>
                        </w:r>
                      </w:p>
                      <w:p>
                        <w:pPr>
                          <w:spacing w:before="301"/>
                          <w:ind w:left="262" w:right="0" w:firstLine="0"/>
                          <w:jc w:val="left"/>
                          <w:rPr>
                            <w:sz w:val="20"/>
                          </w:rPr>
                        </w:pPr>
                        <w:r>
                          <w:rPr>
                            <w:color w:val="6D6E71"/>
                            <w:spacing w:val="-2"/>
                            <w:sz w:val="20"/>
                          </w:rPr>
                          <w:t>POVERTY</w:t>
                        </w:r>
                      </w:p>
                      <w:p>
                        <w:pPr>
                          <w:spacing w:before="218"/>
                          <w:ind w:left="1054" w:right="0" w:firstLine="0"/>
                          <w:jc w:val="left"/>
                          <w:rPr>
                            <w:sz w:val="20"/>
                          </w:rPr>
                        </w:pPr>
                        <w:r>
                          <w:rPr>
                            <w:color w:val="6D6E71"/>
                            <w:sz w:val="20"/>
                          </w:rPr>
                          <w:t>less</w:t>
                        </w:r>
                        <w:r>
                          <w:rPr>
                            <w:color w:val="6D6E71"/>
                            <w:spacing w:val="-5"/>
                            <w:sz w:val="20"/>
                          </w:rPr>
                          <w:t> </w:t>
                        </w:r>
                        <w:r>
                          <w:rPr>
                            <w:color w:val="6D6E71"/>
                            <w:sz w:val="20"/>
                          </w:rPr>
                          <w:t>than</w:t>
                        </w:r>
                        <w:r>
                          <w:rPr>
                            <w:color w:val="6D6E71"/>
                            <w:spacing w:val="-4"/>
                            <w:sz w:val="20"/>
                          </w:rPr>
                          <w:t> </w:t>
                        </w:r>
                        <w:r>
                          <w:rPr>
                            <w:color w:val="6D6E71"/>
                            <w:spacing w:val="-5"/>
                            <w:sz w:val="20"/>
                          </w:rPr>
                          <w:t>10%</w:t>
                        </w:r>
                      </w:p>
                      <w:p>
                        <w:pPr>
                          <w:spacing w:before="180"/>
                          <w:ind w:left="1054" w:right="0" w:firstLine="0"/>
                          <w:jc w:val="left"/>
                          <w:rPr>
                            <w:sz w:val="20"/>
                          </w:rPr>
                        </w:pPr>
                        <w:r>
                          <w:rPr>
                            <w:color w:val="6D6E71"/>
                            <w:sz w:val="20"/>
                          </w:rPr>
                          <w:t>10-</w:t>
                        </w:r>
                        <w:r>
                          <w:rPr>
                            <w:color w:val="6D6E71"/>
                            <w:spacing w:val="-5"/>
                            <w:sz w:val="20"/>
                          </w:rPr>
                          <w:t>15%</w:t>
                        </w:r>
                      </w:p>
                      <w:p>
                        <w:pPr>
                          <w:spacing w:before="180"/>
                          <w:ind w:left="1054" w:right="0" w:firstLine="0"/>
                          <w:jc w:val="left"/>
                          <w:rPr>
                            <w:sz w:val="20"/>
                          </w:rPr>
                        </w:pPr>
                        <w:r>
                          <w:rPr>
                            <w:color w:val="6D6E71"/>
                            <w:sz w:val="20"/>
                          </w:rPr>
                          <w:t>15-</w:t>
                        </w:r>
                        <w:r>
                          <w:rPr>
                            <w:color w:val="6D6E71"/>
                            <w:spacing w:val="-5"/>
                            <w:sz w:val="20"/>
                          </w:rPr>
                          <w:t>20%</w:t>
                        </w:r>
                      </w:p>
                      <w:p>
                        <w:pPr>
                          <w:spacing w:before="180"/>
                          <w:ind w:left="1054" w:right="0" w:firstLine="0"/>
                          <w:jc w:val="left"/>
                          <w:rPr>
                            <w:sz w:val="20"/>
                          </w:rPr>
                        </w:pPr>
                        <w:r>
                          <w:rPr>
                            <w:color w:val="6D6E71"/>
                            <w:sz w:val="20"/>
                          </w:rPr>
                          <w:t>20-</w:t>
                        </w:r>
                        <w:r>
                          <w:rPr>
                            <w:color w:val="6D6E71"/>
                            <w:spacing w:val="-5"/>
                            <w:sz w:val="20"/>
                          </w:rPr>
                          <w:t>25%</w:t>
                        </w:r>
                      </w:p>
                      <w:p>
                        <w:pPr>
                          <w:spacing w:before="180"/>
                          <w:ind w:left="1054" w:right="0" w:firstLine="0"/>
                          <w:jc w:val="left"/>
                          <w:rPr>
                            <w:sz w:val="20"/>
                          </w:rPr>
                        </w:pPr>
                        <w:r>
                          <w:rPr>
                            <w:color w:val="6D6E71"/>
                            <w:sz w:val="20"/>
                          </w:rPr>
                          <w:t>greater</w:t>
                        </w:r>
                        <w:r>
                          <w:rPr>
                            <w:color w:val="6D6E71"/>
                            <w:spacing w:val="16"/>
                            <w:sz w:val="20"/>
                          </w:rPr>
                          <w:t> </w:t>
                        </w:r>
                        <w:r>
                          <w:rPr>
                            <w:color w:val="6D6E71"/>
                            <w:sz w:val="20"/>
                          </w:rPr>
                          <w:t>than</w:t>
                        </w:r>
                        <w:r>
                          <w:rPr>
                            <w:color w:val="6D6E71"/>
                            <w:spacing w:val="16"/>
                            <w:sz w:val="20"/>
                          </w:rPr>
                          <w:t> </w:t>
                        </w:r>
                        <w:r>
                          <w:rPr>
                            <w:color w:val="6D6E71"/>
                            <w:spacing w:val="-5"/>
                            <w:sz w:val="20"/>
                          </w:rPr>
                          <w:t>25%</w:t>
                        </w:r>
                      </w:p>
                    </w:txbxContent>
                  </v:textbox>
                  <v:stroke dashstyle="solid"/>
                  <w10:wrap type="none"/>
                </v:shape>
                <w10:wrap type="none"/>
              </v:group>
            </w:pict>
          </mc:Fallback>
        </mc:AlternateContent>
      </w:r>
      <w:r>
        <w:rPr/>
        <mc:AlternateContent>
          <mc:Choice Requires="wps">
            <w:drawing>
              <wp:anchor distT="0" distB="0" distL="0" distR="0" allowOverlap="1" layoutInCell="1" locked="0" behindDoc="0" simplePos="0" relativeHeight="15863296">
                <wp:simplePos x="0" y="0"/>
                <wp:positionH relativeFrom="page">
                  <wp:posOffset>676656</wp:posOffset>
                </wp:positionH>
                <wp:positionV relativeFrom="paragraph">
                  <wp:posOffset>-655844</wp:posOffset>
                </wp:positionV>
                <wp:extent cx="4296410" cy="4278630"/>
                <wp:effectExtent l="0" t="0" r="0" b="0"/>
                <wp:wrapNone/>
                <wp:docPr id="1285" name="Group 1285"/>
                <wp:cNvGraphicFramePr>
                  <a:graphicFrameLocks/>
                </wp:cNvGraphicFramePr>
                <a:graphic>
                  <a:graphicData uri="http://schemas.microsoft.com/office/word/2010/wordprocessingGroup">
                    <wpg:wgp>
                      <wpg:cNvPr id="1285" name="Group 1285"/>
                      <wpg:cNvGrpSpPr/>
                      <wpg:grpSpPr>
                        <a:xfrm>
                          <a:off x="0" y="0"/>
                          <a:ext cx="4296410" cy="4278630"/>
                          <a:chExt cx="4296410" cy="4278630"/>
                        </a:xfrm>
                      </wpg:grpSpPr>
                      <pic:pic>
                        <pic:nvPicPr>
                          <pic:cNvPr id="1286" name="Image 1286"/>
                          <pic:cNvPicPr/>
                        </pic:nvPicPr>
                        <pic:blipFill>
                          <a:blip r:embed="rId192" cstate="print"/>
                          <a:stretch>
                            <a:fillRect/>
                          </a:stretch>
                        </pic:blipFill>
                        <pic:spPr>
                          <a:xfrm>
                            <a:off x="0" y="0"/>
                            <a:ext cx="4296236" cy="4278262"/>
                          </a:xfrm>
                          <a:prstGeom prst="rect">
                            <a:avLst/>
                          </a:prstGeom>
                        </pic:spPr>
                      </pic:pic>
                      <wps:wsp>
                        <wps:cNvPr id="1287" name="Textbox 1287"/>
                        <wps:cNvSpPr txBox="1"/>
                        <wps:spPr>
                          <a:xfrm>
                            <a:off x="2222271" y="319447"/>
                            <a:ext cx="666750" cy="166370"/>
                          </a:xfrm>
                          <a:prstGeom prst="rect">
                            <a:avLst/>
                          </a:prstGeom>
                        </wps:spPr>
                        <wps:txbx>
                          <w:txbxContent>
                            <w:p>
                              <w:pPr>
                                <w:spacing w:before="13"/>
                                <w:ind w:left="0" w:right="0" w:firstLine="0"/>
                                <w:jc w:val="left"/>
                                <w:rPr>
                                  <w:sz w:val="19"/>
                                </w:rPr>
                              </w:pPr>
                              <w:r>
                                <w:rPr>
                                  <w:color w:val="FFFFFF"/>
                                  <w:spacing w:val="-2"/>
                                  <w:w w:val="105"/>
                                  <w:sz w:val="19"/>
                                </w:rPr>
                                <w:t>Prattsburgh</w:t>
                              </w:r>
                            </w:p>
                          </w:txbxContent>
                        </wps:txbx>
                        <wps:bodyPr wrap="square" lIns="0" tIns="0" rIns="0" bIns="0" rtlCol="0">
                          <a:noAutofit/>
                        </wps:bodyPr>
                      </wps:wsp>
                      <wps:wsp>
                        <wps:cNvPr id="1288" name="Textbox 1288"/>
                        <wps:cNvSpPr txBox="1"/>
                        <wps:spPr>
                          <a:xfrm>
                            <a:off x="342677" y="1736781"/>
                            <a:ext cx="414020" cy="166370"/>
                          </a:xfrm>
                          <a:prstGeom prst="rect">
                            <a:avLst/>
                          </a:prstGeom>
                        </wps:spPr>
                        <wps:txbx>
                          <w:txbxContent>
                            <w:p>
                              <w:pPr>
                                <w:spacing w:before="13"/>
                                <w:ind w:left="0" w:right="0" w:firstLine="0"/>
                                <w:jc w:val="left"/>
                                <w:rPr>
                                  <w:sz w:val="19"/>
                                </w:rPr>
                              </w:pPr>
                              <w:r>
                                <w:rPr>
                                  <w:color w:val="FFFFFF"/>
                                  <w:spacing w:val="-2"/>
                                  <w:w w:val="105"/>
                                  <w:sz w:val="19"/>
                                </w:rPr>
                                <w:t>Hornell</w:t>
                              </w:r>
                            </w:p>
                          </w:txbxContent>
                        </wps:txbx>
                        <wps:bodyPr wrap="square" lIns="0" tIns="0" rIns="0" bIns="0" rtlCol="0">
                          <a:noAutofit/>
                        </wps:bodyPr>
                      </wps:wsp>
                      <wps:wsp>
                        <wps:cNvPr id="1289" name="Textbox 1289"/>
                        <wps:cNvSpPr txBox="1"/>
                        <wps:spPr>
                          <a:xfrm>
                            <a:off x="1942455" y="1683471"/>
                            <a:ext cx="265430" cy="166370"/>
                          </a:xfrm>
                          <a:prstGeom prst="rect">
                            <a:avLst/>
                          </a:prstGeom>
                        </wps:spPr>
                        <wps:txbx>
                          <w:txbxContent>
                            <w:p>
                              <w:pPr>
                                <w:spacing w:before="13"/>
                                <w:ind w:left="0" w:right="0" w:firstLine="0"/>
                                <w:jc w:val="left"/>
                                <w:rPr>
                                  <w:sz w:val="19"/>
                                </w:rPr>
                              </w:pPr>
                              <w:r>
                                <w:rPr>
                                  <w:color w:val="FFFFFF"/>
                                  <w:spacing w:val="-4"/>
                                  <w:sz w:val="19"/>
                                </w:rPr>
                                <w:t>Bath</w:t>
                              </w:r>
                            </w:p>
                          </w:txbxContent>
                        </wps:txbx>
                        <wps:bodyPr wrap="square" lIns="0" tIns="0" rIns="0" bIns="0" rtlCol="0">
                          <a:noAutofit/>
                        </wps:bodyPr>
                      </wps:wsp>
                      <wps:wsp>
                        <wps:cNvPr id="1290" name="Textbox 1290"/>
                        <wps:cNvSpPr txBox="1"/>
                        <wps:spPr>
                          <a:xfrm>
                            <a:off x="865794" y="2454514"/>
                            <a:ext cx="497840" cy="166370"/>
                          </a:xfrm>
                          <a:prstGeom prst="rect">
                            <a:avLst/>
                          </a:prstGeom>
                        </wps:spPr>
                        <wps:txbx>
                          <w:txbxContent>
                            <w:p>
                              <w:pPr>
                                <w:spacing w:before="13"/>
                                <w:ind w:left="0" w:right="0" w:firstLine="0"/>
                                <w:jc w:val="left"/>
                                <w:rPr>
                                  <w:sz w:val="19"/>
                                </w:rPr>
                              </w:pPr>
                              <w:r>
                                <w:rPr>
                                  <w:color w:val="636466"/>
                                  <w:spacing w:val="-2"/>
                                  <w:sz w:val="19"/>
                                </w:rPr>
                                <w:t>Canisteo</w:t>
                              </w:r>
                            </w:p>
                          </w:txbxContent>
                        </wps:txbx>
                        <wps:bodyPr wrap="square" lIns="0" tIns="0" rIns="0" bIns="0" rtlCol="0">
                          <a:noAutofit/>
                        </wps:bodyPr>
                      </wps:wsp>
                      <wps:wsp>
                        <wps:cNvPr id="1291" name="Textbox 1291"/>
                        <wps:cNvSpPr txBox="1"/>
                        <wps:spPr>
                          <a:xfrm>
                            <a:off x="3645689" y="3227141"/>
                            <a:ext cx="454659" cy="166370"/>
                          </a:xfrm>
                          <a:prstGeom prst="rect">
                            <a:avLst/>
                          </a:prstGeom>
                        </wps:spPr>
                        <wps:txbx>
                          <w:txbxContent>
                            <w:p>
                              <w:pPr>
                                <w:spacing w:before="13"/>
                                <w:ind w:left="0" w:right="0" w:firstLine="0"/>
                                <w:jc w:val="left"/>
                                <w:rPr>
                                  <w:sz w:val="19"/>
                                </w:rPr>
                              </w:pPr>
                              <w:r>
                                <w:rPr>
                                  <w:color w:val="FFFFFF"/>
                                  <w:spacing w:val="-2"/>
                                  <w:w w:val="105"/>
                                  <w:sz w:val="19"/>
                                </w:rPr>
                                <w:t>Corning</w:t>
                              </w:r>
                            </w:p>
                          </w:txbxContent>
                        </wps:txbx>
                        <wps:bodyPr wrap="square" lIns="0" tIns="0" rIns="0" bIns="0" rtlCol="0">
                          <a:noAutofit/>
                        </wps:bodyPr>
                      </wps:wsp>
                    </wpg:wgp>
                  </a:graphicData>
                </a:graphic>
              </wp:anchor>
            </w:drawing>
          </mc:Choice>
          <mc:Fallback>
            <w:pict>
              <v:group style="position:absolute;margin-left:53.280014pt;margin-top:-51.6413pt;width:338.3pt;height:336.9pt;mso-position-horizontal-relative:page;mso-position-vertical-relative:paragraph;z-index:15863296" id="docshapegroup1037" coordorigin="1066,-1033" coordsize="6766,6738">
                <v:shape style="position:absolute;left:1065;top:-1033;width:6766;height:6738" type="#_x0000_t75" id="docshape1038" stroked="false">
                  <v:imagedata r:id="rId192" o:title=""/>
                </v:shape>
                <v:shape style="position:absolute;left:4565;top:-530;width:1050;height:262" type="#_x0000_t202" id="docshape1039" filled="false" stroked="false">
                  <v:textbox inset="0,0,0,0">
                    <w:txbxContent>
                      <w:p>
                        <w:pPr>
                          <w:spacing w:before="13"/>
                          <w:ind w:left="0" w:right="0" w:firstLine="0"/>
                          <w:jc w:val="left"/>
                          <w:rPr>
                            <w:sz w:val="19"/>
                          </w:rPr>
                        </w:pPr>
                        <w:r>
                          <w:rPr>
                            <w:color w:val="FFFFFF"/>
                            <w:spacing w:val="-2"/>
                            <w:w w:val="105"/>
                            <w:sz w:val="19"/>
                          </w:rPr>
                          <w:t>Prattsburgh</w:t>
                        </w:r>
                      </w:p>
                    </w:txbxContent>
                  </v:textbox>
                  <w10:wrap type="none"/>
                </v:shape>
                <v:shape style="position:absolute;left:1605;top:1702;width:652;height:262" type="#_x0000_t202" id="docshape1040" filled="false" stroked="false">
                  <v:textbox inset="0,0,0,0">
                    <w:txbxContent>
                      <w:p>
                        <w:pPr>
                          <w:spacing w:before="13"/>
                          <w:ind w:left="0" w:right="0" w:firstLine="0"/>
                          <w:jc w:val="left"/>
                          <w:rPr>
                            <w:sz w:val="19"/>
                          </w:rPr>
                        </w:pPr>
                        <w:r>
                          <w:rPr>
                            <w:color w:val="FFFFFF"/>
                            <w:spacing w:val="-2"/>
                            <w:w w:val="105"/>
                            <w:sz w:val="19"/>
                          </w:rPr>
                          <w:t>Hornell</w:t>
                        </w:r>
                      </w:p>
                    </w:txbxContent>
                  </v:textbox>
                  <w10:wrap type="none"/>
                </v:shape>
                <v:shape style="position:absolute;left:4124;top:1618;width:418;height:262" type="#_x0000_t202" id="docshape1041" filled="false" stroked="false">
                  <v:textbox inset="0,0,0,0">
                    <w:txbxContent>
                      <w:p>
                        <w:pPr>
                          <w:spacing w:before="13"/>
                          <w:ind w:left="0" w:right="0" w:firstLine="0"/>
                          <w:jc w:val="left"/>
                          <w:rPr>
                            <w:sz w:val="19"/>
                          </w:rPr>
                        </w:pPr>
                        <w:r>
                          <w:rPr>
                            <w:color w:val="FFFFFF"/>
                            <w:spacing w:val="-4"/>
                            <w:sz w:val="19"/>
                          </w:rPr>
                          <w:t>Bath</w:t>
                        </w:r>
                      </w:p>
                    </w:txbxContent>
                  </v:textbox>
                  <w10:wrap type="none"/>
                </v:shape>
                <v:shape style="position:absolute;left:2429;top:2832;width:784;height:262" type="#_x0000_t202" id="docshape1042" filled="false" stroked="false">
                  <v:textbox inset="0,0,0,0">
                    <w:txbxContent>
                      <w:p>
                        <w:pPr>
                          <w:spacing w:before="13"/>
                          <w:ind w:left="0" w:right="0" w:firstLine="0"/>
                          <w:jc w:val="left"/>
                          <w:rPr>
                            <w:sz w:val="19"/>
                          </w:rPr>
                        </w:pPr>
                        <w:r>
                          <w:rPr>
                            <w:color w:val="636466"/>
                            <w:spacing w:val="-2"/>
                            <w:sz w:val="19"/>
                          </w:rPr>
                          <w:t>Canisteo</w:t>
                        </w:r>
                      </w:p>
                    </w:txbxContent>
                  </v:textbox>
                  <w10:wrap type="none"/>
                </v:shape>
                <v:shape style="position:absolute;left:6806;top:4049;width:716;height:262" type="#_x0000_t202" id="docshape1043" filled="false" stroked="false">
                  <v:textbox inset="0,0,0,0">
                    <w:txbxContent>
                      <w:p>
                        <w:pPr>
                          <w:spacing w:before="13"/>
                          <w:ind w:left="0" w:right="0" w:firstLine="0"/>
                          <w:jc w:val="left"/>
                          <w:rPr>
                            <w:sz w:val="19"/>
                          </w:rPr>
                        </w:pPr>
                        <w:r>
                          <w:rPr>
                            <w:color w:val="FFFFFF"/>
                            <w:spacing w:val="-2"/>
                            <w:w w:val="105"/>
                            <w:sz w:val="19"/>
                          </w:rPr>
                          <w:t>Corning</w:t>
                        </w:r>
                      </w:p>
                    </w:txbxContent>
                  </v:textbox>
                  <w10:wrap type="none"/>
                </v:shape>
                <w10:wrap type="none"/>
              </v:group>
            </w:pict>
          </mc:Fallback>
        </mc:AlternateContent>
      </w:r>
      <w:r>
        <w:rPr>
          <w:color w:val="105C84"/>
        </w:rPr>
        <w:t>Data below show the trend in uninsured rates over the past 5 years for Steuben County compared</w:t>
      </w:r>
      <w:r>
        <w:rPr>
          <w:color w:val="105C84"/>
          <w:spacing w:val="40"/>
        </w:rPr>
        <w:t> </w:t>
      </w:r>
      <w:r>
        <w:rPr>
          <w:color w:val="105C84"/>
        </w:rPr>
        <w:t>to the eight county region and NYS. There has been a 38 percent decrease since 2012 for Steuben County (Figure 41).</w:t>
      </w:r>
    </w:p>
    <w:p>
      <w:pPr>
        <w:pStyle w:val="BodyText"/>
        <w:spacing w:before="17"/>
      </w:pPr>
    </w:p>
    <w:p>
      <w:pPr>
        <w:pStyle w:val="Heading6"/>
        <w:spacing w:before="1"/>
        <w:ind w:left="13314"/>
        <w:jc w:val="both"/>
      </w:pPr>
      <w:r>
        <w:rPr>
          <w:color w:val="105C84"/>
          <w:spacing w:val="-2"/>
        </w:rPr>
        <w:t>FIGURE</w:t>
      </w:r>
      <w:r>
        <w:rPr>
          <w:color w:val="105C84"/>
          <w:spacing w:val="-10"/>
        </w:rPr>
        <w:t> </w:t>
      </w:r>
      <w:r>
        <w:rPr>
          <w:color w:val="105C84"/>
          <w:spacing w:val="-2"/>
        </w:rPr>
        <w:t>41:</w:t>
      </w:r>
      <w:r>
        <w:rPr>
          <w:color w:val="105C84"/>
          <w:spacing w:val="-10"/>
        </w:rPr>
        <w:t> </w:t>
      </w:r>
      <w:r>
        <w:rPr>
          <w:color w:val="105C84"/>
          <w:spacing w:val="-2"/>
        </w:rPr>
        <w:t>Percent</w:t>
      </w:r>
      <w:r>
        <w:rPr>
          <w:color w:val="105C84"/>
          <w:spacing w:val="-10"/>
        </w:rPr>
        <w:t> </w:t>
      </w:r>
      <w:r>
        <w:rPr>
          <w:color w:val="105C84"/>
          <w:spacing w:val="-2"/>
        </w:rPr>
        <w:t>of</w:t>
      </w:r>
      <w:r>
        <w:rPr>
          <w:color w:val="105C84"/>
          <w:spacing w:val="-10"/>
        </w:rPr>
        <w:t> </w:t>
      </w:r>
      <w:r>
        <w:rPr>
          <w:color w:val="105C84"/>
          <w:spacing w:val="-2"/>
        </w:rPr>
        <w:t>population</w:t>
      </w:r>
      <w:r>
        <w:rPr>
          <w:color w:val="105C84"/>
          <w:spacing w:val="-10"/>
        </w:rPr>
        <w:t> </w:t>
      </w:r>
      <w:r>
        <w:rPr>
          <w:color w:val="105C84"/>
          <w:spacing w:val="-2"/>
        </w:rPr>
        <w:t>that</w:t>
      </w:r>
      <w:r>
        <w:rPr>
          <w:color w:val="105C84"/>
          <w:spacing w:val="-10"/>
        </w:rPr>
        <w:t> </w:t>
      </w:r>
      <w:r>
        <w:rPr>
          <w:color w:val="105C84"/>
          <w:spacing w:val="-2"/>
        </w:rPr>
        <w:t>is</w:t>
      </w:r>
      <w:r>
        <w:rPr>
          <w:color w:val="105C84"/>
          <w:spacing w:val="-9"/>
        </w:rPr>
        <w:t> </w:t>
      </w:r>
      <w:r>
        <w:rPr>
          <w:color w:val="105C84"/>
          <w:spacing w:val="-2"/>
        </w:rPr>
        <w:t>uninsured</w:t>
      </w:r>
    </w:p>
    <w:p>
      <w:pPr>
        <w:pStyle w:val="BodyText"/>
        <w:rPr>
          <w:b/>
          <w:sz w:val="18"/>
        </w:rPr>
      </w:pPr>
    </w:p>
    <w:p>
      <w:pPr>
        <w:pStyle w:val="BodyText"/>
        <w:spacing w:before="158"/>
        <w:rPr>
          <w:b/>
          <w:sz w:val="18"/>
        </w:rPr>
      </w:pPr>
    </w:p>
    <w:p>
      <w:pPr>
        <w:tabs>
          <w:tab w:pos="17633" w:val="left" w:leader="none"/>
          <w:tab w:pos="19453" w:val="left" w:leader="none"/>
        </w:tabs>
        <w:spacing w:before="0"/>
        <w:ind w:left="15290" w:right="0" w:firstLine="0"/>
        <w:jc w:val="left"/>
        <w:rPr>
          <w:sz w:val="18"/>
        </w:rPr>
      </w:pPr>
      <w:r>
        <w:rPr>
          <w:sz w:val="18"/>
        </w:rPr>
        <mc:AlternateContent>
          <mc:Choice Requires="wps">
            <w:drawing>
              <wp:anchor distT="0" distB="0" distL="0" distR="0" allowOverlap="1" layoutInCell="1" locked="0" behindDoc="0" simplePos="0" relativeHeight="15864320">
                <wp:simplePos x="0" y="0"/>
                <wp:positionH relativeFrom="page">
                  <wp:posOffset>9355950</wp:posOffset>
                </wp:positionH>
                <wp:positionV relativeFrom="paragraph">
                  <wp:posOffset>69131</wp:posOffset>
                </wp:positionV>
                <wp:extent cx="317500" cy="1270"/>
                <wp:effectExtent l="0" t="0" r="0" b="0"/>
                <wp:wrapNone/>
                <wp:docPr id="1292" name="Graphic 1292"/>
                <wp:cNvGraphicFramePr>
                  <a:graphicFrameLocks/>
                </wp:cNvGraphicFramePr>
                <a:graphic>
                  <a:graphicData uri="http://schemas.microsoft.com/office/word/2010/wordprocessingShape">
                    <wps:wsp>
                      <wps:cNvPr id="1292" name="Graphic 1292"/>
                      <wps:cNvSpPr/>
                      <wps:spPr>
                        <a:xfrm>
                          <a:off x="0" y="0"/>
                          <a:ext cx="317500" cy="1270"/>
                        </a:xfrm>
                        <a:custGeom>
                          <a:avLst/>
                          <a:gdLst/>
                          <a:ahLst/>
                          <a:cxnLst/>
                          <a:rect l="l" t="t" r="r" b="b"/>
                          <a:pathLst>
                            <a:path w="317500" h="0">
                              <a:moveTo>
                                <a:pt x="0" y="0"/>
                              </a:moveTo>
                              <a:lnTo>
                                <a:pt x="317500" y="0"/>
                              </a:lnTo>
                            </a:path>
                          </a:pathLst>
                        </a:custGeom>
                        <a:ln w="25400">
                          <a:solidFill>
                            <a:srgbClr val="105C84"/>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64320" from="736.689026pt,5.443408pt" to="761.689026pt,5.443408pt" stroked="true" strokeweight="2pt" strokecolor="#105c84">
                <v:stroke dashstyle="solid"/>
                <w10:wrap type="none"/>
              </v:line>
            </w:pict>
          </mc:Fallback>
        </mc:AlternateContent>
      </w:r>
      <w:r>
        <w:rPr>
          <w:sz w:val="18"/>
        </w:rPr>
        <mc:AlternateContent>
          <mc:Choice Requires="wps">
            <w:drawing>
              <wp:anchor distT="0" distB="0" distL="0" distR="0" allowOverlap="1" layoutInCell="1" locked="0" behindDoc="1" simplePos="0" relativeHeight="475091456">
                <wp:simplePos x="0" y="0"/>
                <wp:positionH relativeFrom="page">
                  <wp:posOffset>10841850</wp:posOffset>
                </wp:positionH>
                <wp:positionV relativeFrom="paragraph">
                  <wp:posOffset>69131</wp:posOffset>
                </wp:positionV>
                <wp:extent cx="317500" cy="1270"/>
                <wp:effectExtent l="0" t="0" r="0" b="0"/>
                <wp:wrapNone/>
                <wp:docPr id="1293" name="Graphic 1293"/>
                <wp:cNvGraphicFramePr>
                  <a:graphicFrameLocks/>
                </wp:cNvGraphicFramePr>
                <a:graphic>
                  <a:graphicData uri="http://schemas.microsoft.com/office/word/2010/wordprocessingShape">
                    <wps:wsp>
                      <wps:cNvPr id="1293" name="Graphic 1293"/>
                      <wps:cNvSpPr/>
                      <wps:spPr>
                        <a:xfrm>
                          <a:off x="0" y="0"/>
                          <a:ext cx="317500" cy="1270"/>
                        </a:xfrm>
                        <a:custGeom>
                          <a:avLst/>
                          <a:gdLst/>
                          <a:ahLst/>
                          <a:cxnLst/>
                          <a:rect l="l" t="t" r="r" b="b"/>
                          <a:pathLst>
                            <a:path w="317500" h="0">
                              <a:moveTo>
                                <a:pt x="0" y="0"/>
                              </a:moveTo>
                              <a:lnTo>
                                <a:pt x="317500" y="0"/>
                              </a:lnTo>
                            </a:path>
                          </a:pathLst>
                        </a:custGeom>
                        <a:ln w="25400">
                          <a:solidFill>
                            <a:srgbClr val="82BF6A"/>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8225024" from="853.689026pt,5.443408pt" to="878.689026pt,5.443408pt" stroked="true" strokeweight="2pt" strokecolor="#82bf6a">
                <v:stroke dashstyle="solid"/>
                <w10:wrap type="none"/>
              </v:line>
            </w:pict>
          </mc:Fallback>
        </mc:AlternateContent>
      </w:r>
      <w:r>
        <w:rPr>
          <w:color w:val="636466"/>
          <w:sz w:val="18"/>
        </w:rPr>
        <w:t>Steuben</w:t>
      </w:r>
      <w:r>
        <w:rPr>
          <w:color w:val="636466"/>
          <w:spacing w:val="-11"/>
          <w:sz w:val="18"/>
        </w:rPr>
        <w:t> </w:t>
      </w:r>
      <w:r>
        <w:rPr>
          <w:color w:val="636466"/>
          <w:spacing w:val="-2"/>
          <w:sz w:val="18"/>
        </w:rPr>
        <w:t>County</w:t>
      </w:r>
      <w:r>
        <w:rPr>
          <w:color w:val="636466"/>
          <w:sz w:val="18"/>
        </w:rPr>
        <w:tab/>
        <w:t>8-County</w:t>
      </w:r>
      <w:r>
        <w:rPr>
          <w:color w:val="636466"/>
          <w:spacing w:val="-4"/>
          <w:sz w:val="18"/>
        </w:rPr>
        <w:t> </w:t>
      </w:r>
      <w:r>
        <w:rPr>
          <w:color w:val="636466"/>
          <w:spacing w:val="-2"/>
          <w:sz w:val="18"/>
        </w:rPr>
        <w:t>Region</w:t>
      </w:r>
      <w:r>
        <w:rPr>
          <w:color w:val="636466"/>
          <w:sz w:val="18"/>
        </w:rPr>
        <w:tab/>
      </w:r>
      <w:r>
        <w:rPr>
          <w:color w:val="636466"/>
          <w:position w:val="4"/>
          <w:sz w:val="18"/>
        </w:rPr>
        <w:drawing>
          <wp:inline distT="0" distB="0" distL="0" distR="0">
            <wp:extent cx="279400" cy="25400"/>
            <wp:effectExtent l="0" t="0" r="0" b="0"/>
            <wp:docPr id="1294" name="Image 1294"/>
            <wp:cNvGraphicFramePr>
              <a:graphicFrameLocks/>
            </wp:cNvGraphicFramePr>
            <a:graphic>
              <a:graphicData uri="http://schemas.openxmlformats.org/drawingml/2006/picture">
                <pic:pic>
                  <pic:nvPicPr>
                    <pic:cNvPr id="1294" name="Image 1294"/>
                    <pic:cNvPicPr/>
                  </pic:nvPicPr>
                  <pic:blipFill>
                    <a:blip r:embed="rId193" cstate="print"/>
                    <a:stretch>
                      <a:fillRect/>
                    </a:stretch>
                  </pic:blipFill>
                  <pic:spPr>
                    <a:xfrm>
                      <a:off x="0" y="0"/>
                      <a:ext cx="279400" cy="25400"/>
                    </a:xfrm>
                    <a:prstGeom prst="rect">
                      <a:avLst/>
                    </a:prstGeom>
                  </pic:spPr>
                </pic:pic>
              </a:graphicData>
            </a:graphic>
          </wp:inline>
        </w:drawing>
      </w:r>
      <w:r>
        <w:rPr>
          <w:color w:val="636466"/>
          <w:position w:val="4"/>
          <w:sz w:val="18"/>
        </w:rPr>
      </w:r>
      <w:r>
        <w:rPr>
          <w:rFonts w:ascii="Times New Roman"/>
          <w:color w:val="636466"/>
          <w:spacing w:val="80"/>
          <w:sz w:val="18"/>
        </w:rPr>
        <w:t> </w:t>
      </w:r>
      <w:r>
        <w:rPr>
          <w:color w:val="636466"/>
          <w:sz w:val="18"/>
        </w:rPr>
        <w:t>NYS</w:t>
      </w:r>
    </w:p>
    <w:p>
      <w:pPr>
        <w:pStyle w:val="BodyText"/>
        <w:spacing w:before="44"/>
        <w:rPr>
          <w:sz w:val="18"/>
        </w:rPr>
      </w:pPr>
    </w:p>
    <w:p>
      <w:pPr>
        <w:spacing w:before="0"/>
        <w:ind w:left="0" w:right="9745" w:firstLine="0"/>
        <w:jc w:val="right"/>
        <w:rPr>
          <w:sz w:val="18"/>
        </w:rPr>
      </w:pPr>
      <w:r>
        <w:rPr>
          <w:sz w:val="18"/>
        </w:rPr>
        <mc:AlternateContent>
          <mc:Choice Requires="wps">
            <w:drawing>
              <wp:anchor distT="0" distB="0" distL="0" distR="0" allowOverlap="1" layoutInCell="1" locked="0" behindDoc="0" simplePos="0" relativeHeight="15863808">
                <wp:simplePos x="0" y="0"/>
                <wp:positionH relativeFrom="page">
                  <wp:posOffset>8975800</wp:posOffset>
                </wp:positionH>
                <wp:positionV relativeFrom="paragraph">
                  <wp:posOffset>52581</wp:posOffset>
                </wp:positionV>
                <wp:extent cx="4672330" cy="1464945"/>
                <wp:effectExtent l="0" t="0" r="0" b="0"/>
                <wp:wrapNone/>
                <wp:docPr id="1295" name="Group 1295"/>
                <wp:cNvGraphicFramePr>
                  <a:graphicFrameLocks/>
                </wp:cNvGraphicFramePr>
                <a:graphic>
                  <a:graphicData uri="http://schemas.microsoft.com/office/word/2010/wordprocessingGroup">
                    <wpg:wgp>
                      <wpg:cNvPr id="1295" name="Group 1295"/>
                      <wpg:cNvGrpSpPr/>
                      <wpg:grpSpPr>
                        <a:xfrm>
                          <a:off x="0" y="0"/>
                          <a:ext cx="4672330" cy="1464945"/>
                          <a:chExt cx="4672330" cy="1464945"/>
                        </a:xfrm>
                      </wpg:grpSpPr>
                      <wps:wsp>
                        <wps:cNvPr id="1296" name="Graphic 1296"/>
                        <wps:cNvSpPr/>
                        <wps:spPr>
                          <a:xfrm>
                            <a:off x="5499" y="5499"/>
                            <a:ext cx="4660900" cy="1454150"/>
                          </a:xfrm>
                          <a:custGeom>
                            <a:avLst/>
                            <a:gdLst/>
                            <a:ahLst/>
                            <a:cxnLst/>
                            <a:rect l="l" t="t" r="r" b="b"/>
                            <a:pathLst>
                              <a:path w="4660900" h="1454150">
                                <a:moveTo>
                                  <a:pt x="4660747" y="1453908"/>
                                </a:moveTo>
                                <a:lnTo>
                                  <a:pt x="0" y="1453908"/>
                                </a:lnTo>
                                <a:lnTo>
                                  <a:pt x="0" y="0"/>
                                </a:lnTo>
                              </a:path>
                            </a:pathLst>
                          </a:custGeom>
                          <a:ln w="10998">
                            <a:solidFill>
                              <a:srgbClr val="BCBEC0"/>
                            </a:solidFill>
                            <a:prstDash val="solid"/>
                          </a:ln>
                        </wps:spPr>
                        <wps:bodyPr wrap="square" lIns="0" tIns="0" rIns="0" bIns="0" rtlCol="0">
                          <a:prstTxWarp prst="textNoShape">
                            <a:avLst/>
                          </a:prstTxWarp>
                          <a:noAutofit/>
                        </wps:bodyPr>
                      </wps:wsp>
                      <wps:wsp>
                        <wps:cNvPr id="1297" name="Graphic 1297"/>
                        <wps:cNvSpPr/>
                        <wps:spPr>
                          <a:xfrm>
                            <a:off x="418249" y="454520"/>
                            <a:ext cx="4039235" cy="352425"/>
                          </a:xfrm>
                          <a:custGeom>
                            <a:avLst/>
                            <a:gdLst/>
                            <a:ahLst/>
                            <a:cxnLst/>
                            <a:rect l="l" t="t" r="r" b="b"/>
                            <a:pathLst>
                              <a:path w="4039235" h="352425">
                                <a:moveTo>
                                  <a:pt x="0" y="0"/>
                                </a:moveTo>
                                <a:lnTo>
                                  <a:pt x="800100" y="0"/>
                                </a:lnTo>
                                <a:lnTo>
                                  <a:pt x="1612900" y="38099"/>
                                </a:lnTo>
                                <a:lnTo>
                                  <a:pt x="2413012" y="161924"/>
                                </a:lnTo>
                                <a:lnTo>
                                  <a:pt x="3225812" y="285749"/>
                                </a:lnTo>
                                <a:lnTo>
                                  <a:pt x="4038612" y="352424"/>
                                </a:lnTo>
                              </a:path>
                            </a:pathLst>
                          </a:custGeom>
                          <a:ln w="21996">
                            <a:solidFill>
                              <a:srgbClr val="105C84"/>
                            </a:solidFill>
                            <a:prstDash val="solid"/>
                          </a:ln>
                        </wps:spPr>
                        <wps:bodyPr wrap="square" lIns="0" tIns="0" rIns="0" bIns="0" rtlCol="0">
                          <a:prstTxWarp prst="textNoShape">
                            <a:avLst/>
                          </a:prstTxWarp>
                          <a:noAutofit/>
                        </wps:bodyPr>
                      </wps:wsp>
                      <wps:wsp>
                        <wps:cNvPr id="1298" name="Graphic 1298"/>
                        <wps:cNvSpPr/>
                        <wps:spPr>
                          <a:xfrm>
                            <a:off x="418249" y="559295"/>
                            <a:ext cx="4039235" cy="276225"/>
                          </a:xfrm>
                          <a:custGeom>
                            <a:avLst/>
                            <a:gdLst/>
                            <a:ahLst/>
                            <a:cxnLst/>
                            <a:rect l="l" t="t" r="r" b="b"/>
                            <a:pathLst>
                              <a:path w="4039235" h="276225">
                                <a:moveTo>
                                  <a:pt x="0" y="0"/>
                                </a:moveTo>
                                <a:lnTo>
                                  <a:pt x="800100" y="0"/>
                                </a:lnTo>
                                <a:lnTo>
                                  <a:pt x="1612900" y="95249"/>
                                </a:lnTo>
                                <a:lnTo>
                                  <a:pt x="2413012" y="180974"/>
                                </a:lnTo>
                                <a:lnTo>
                                  <a:pt x="3225812" y="180974"/>
                                </a:lnTo>
                                <a:lnTo>
                                  <a:pt x="4038612" y="276224"/>
                                </a:lnTo>
                              </a:path>
                            </a:pathLst>
                          </a:custGeom>
                          <a:ln w="21996">
                            <a:solidFill>
                              <a:srgbClr val="82BF6A"/>
                            </a:solidFill>
                            <a:prstDash val="solid"/>
                          </a:ln>
                        </wps:spPr>
                        <wps:bodyPr wrap="square" lIns="0" tIns="0" rIns="0" bIns="0" rtlCol="0">
                          <a:prstTxWarp prst="textNoShape">
                            <a:avLst/>
                          </a:prstTxWarp>
                          <a:noAutofit/>
                        </wps:bodyPr>
                      </wps:wsp>
                      <wps:wsp>
                        <wps:cNvPr id="1299" name="Graphic 1299"/>
                        <wps:cNvSpPr/>
                        <wps:spPr>
                          <a:xfrm>
                            <a:off x="405549" y="102091"/>
                            <a:ext cx="3979545" cy="372745"/>
                          </a:xfrm>
                          <a:custGeom>
                            <a:avLst/>
                            <a:gdLst/>
                            <a:ahLst/>
                            <a:cxnLst/>
                            <a:rect l="l" t="t" r="r" b="b"/>
                            <a:pathLst>
                              <a:path w="3979545" h="372745">
                                <a:moveTo>
                                  <a:pt x="95923" y="0"/>
                                </a:moveTo>
                                <a:lnTo>
                                  <a:pt x="5689" y="0"/>
                                </a:lnTo>
                                <a:lnTo>
                                  <a:pt x="0" y="4254"/>
                                </a:lnTo>
                                <a:lnTo>
                                  <a:pt x="0" y="14782"/>
                                </a:lnTo>
                                <a:lnTo>
                                  <a:pt x="5689" y="19050"/>
                                </a:lnTo>
                                <a:lnTo>
                                  <a:pt x="95923" y="19050"/>
                                </a:lnTo>
                                <a:lnTo>
                                  <a:pt x="101600" y="14782"/>
                                </a:lnTo>
                                <a:lnTo>
                                  <a:pt x="101600" y="4254"/>
                                </a:lnTo>
                                <a:lnTo>
                                  <a:pt x="95923" y="0"/>
                                </a:lnTo>
                                <a:close/>
                              </a:path>
                              <a:path w="3979545" h="372745">
                                <a:moveTo>
                                  <a:pt x="273723" y="0"/>
                                </a:moveTo>
                                <a:lnTo>
                                  <a:pt x="183489" y="0"/>
                                </a:lnTo>
                                <a:lnTo>
                                  <a:pt x="177800" y="4254"/>
                                </a:lnTo>
                                <a:lnTo>
                                  <a:pt x="177800" y="14782"/>
                                </a:lnTo>
                                <a:lnTo>
                                  <a:pt x="183489" y="19050"/>
                                </a:lnTo>
                                <a:lnTo>
                                  <a:pt x="273723" y="19050"/>
                                </a:lnTo>
                                <a:lnTo>
                                  <a:pt x="279400" y="14782"/>
                                </a:lnTo>
                                <a:lnTo>
                                  <a:pt x="279400" y="4254"/>
                                </a:lnTo>
                                <a:lnTo>
                                  <a:pt x="273723" y="0"/>
                                </a:lnTo>
                                <a:close/>
                              </a:path>
                              <a:path w="3979545" h="372745">
                                <a:moveTo>
                                  <a:pt x="451523" y="0"/>
                                </a:moveTo>
                                <a:lnTo>
                                  <a:pt x="361289" y="0"/>
                                </a:lnTo>
                                <a:lnTo>
                                  <a:pt x="355600" y="4254"/>
                                </a:lnTo>
                                <a:lnTo>
                                  <a:pt x="355600" y="14782"/>
                                </a:lnTo>
                                <a:lnTo>
                                  <a:pt x="361289" y="19050"/>
                                </a:lnTo>
                                <a:lnTo>
                                  <a:pt x="451523" y="19050"/>
                                </a:lnTo>
                                <a:lnTo>
                                  <a:pt x="457200" y="14782"/>
                                </a:lnTo>
                                <a:lnTo>
                                  <a:pt x="457200" y="4254"/>
                                </a:lnTo>
                                <a:lnTo>
                                  <a:pt x="451523" y="0"/>
                                </a:lnTo>
                                <a:close/>
                              </a:path>
                              <a:path w="3979545" h="372745">
                                <a:moveTo>
                                  <a:pt x="629323" y="0"/>
                                </a:moveTo>
                                <a:lnTo>
                                  <a:pt x="539089" y="0"/>
                                </a:lnTo>
                                <a:lnTo>
                                  <a:pt x="533400" y="4254"/>
                                </a:lnTo>
                                <a:lnTo>
                                  <a:pt x="533400" y="14782"/>
                                </a:lnTo>
                                <a:lnTo>
                                  <a:pt x="539089" y="19050"/>
                                </a:lnTo>
                                <a:lnTo>
                                  <a:pt x="629323" y="19050"/>
                                </a:lnTo>
                                <a:lnTo>
                                  <a:pt x="635000" y="14782"/>
                                </a:lnTo>
                                <a:lnTo>
                                  <a:pt x="635000" y="4254"/>
                                </a:lnTo>
                                <a:lnTo>
                                  <a:pt x="629323" y="0"/>
                                </a:lnTo>
                                <a:close/>
                              </a:path>
                              <a:path w="3979545" h="372745">
                                <a:moveTo>
                                  <a:pt x="807123" y="0"/>
                                </a:moveTo>
                                <a:lnTo>
                                  <a:pt x="716889" y="0"/>
                                </a:lnTo>
                                <a:lnTo>
                                  <a:pt x="711200" y="4254"/>
                                </a:lnTo>
                                <a:lnTo>
                                  <a:pt x="711200" y="14782"/>
                                </a:lnTo>
                                <a:lnTo>
                                  <a:pt x="716889" y="19050"/>
                                </a:lnTo>
                                <a:lnTo>
                                  <a:pt x="807123" y="19050"/>
                                </a:lnTo>
                                <a:lnTo>
                                  <a:pt x="812800" y="14782"/>
                                </a:lnTo>
                                <a:lnTo>
                                  <a:pt x="812800" y="4254"/>
                                </a:lnTo>
                                <a:lnTo>
                                  <a:pt x="807123" y="0"/>
                                </a:lnTo>
                                <a:close/>
                              </a:path>
                              <a:path w="3979545" h="372745">
                                <a:moveTo>
                                  <a:pt x="895667" y="9588"/>
                                </a:moveTo>
                                <a:lnTo>
                                  <a:pt x="889177" y="13144"/>
                                </a:lnTo>
                                <a:lnTo>
                                  <a:pt x="887006" y="23545"/>
                                </a:lnTo>
                                <a:lnTo>
                                  <a:pt x="891755" y="28409"/>
                                </a:lnTo>
                                <a:lnTo>
                                  <a:pt x="980897" y="38862"/>
                                </a:lnTo>
                                <a:lnTo>
                                  <a:pt x="987399" y="35293"/>
                                </a:lnTo>
                                <a:lnTo>
                                  <a:pt x="989558" y="24904"/>
                                </a:lnTo>
                                <a:lnTo>
                                  <a:pt x="984821" y="20027"/>
                                </a:lnTo>
                                <a:lnTo>
                                  <a:pt x="895667" y="9588"/>
                                </a:lnTo>
                                <a:close/>
                              </a:path>
                              <a:path w="3979545" h="372745">
                                <a:moveTo>
                                  <a:pt x="1071333" y="30175"/>
                                </a:moveTo>
                                <a:lnTo>
                                  <a:pt x="1064844" y="33731"/>
                                </a:lnTo>
                                <a:lnTo>
                                  <a:pt x="1062685" y="44132"/>
                                </a:lnTo>
                                <a:lnTo>
                                  <a:pt x="1067422" y="48996"/>
                                </a:lnTo>
                                <a:lnTo>
                                  <a:pt x="1156563" y="59448"/>
                                </a:lnTo>
                                <a:lnTo>
                                  <a:pt x="1163066" y="55880"/>
                                </a:lnTo>
                                <a:lnTo>
                                  <a:pt x="1165225" y="45491"/>
                                </a:lnTo>
                                <a:lnTo>
                                  <a:pt x="1160487" y="40614"/>
                                </a:lnTo>
                                <a:lnTo>
                                  <a:pt x="1071333" y="30175"/>
                                </a:lnTo>
                                <a:close/>
                              </a:path>
                              <a:path w="3979545" h="372745">
                                <a:moveTo>
                                  <a:pt x="1247013" y="50761"/>
                                </a:moveTo>
                                <a:lnTo>
                                  <a:pt x="1240510" y="54317"/>
                                </a:lnTo>
                                <a:lnTo>
                                  <a:pt x="1238351" y="64719"/>
                                </a:lnTo>
                                <a:lnTo>
                                  <a:pt x="1243088" y="69583"/>
                                </a:lnTo>
                                <a:lnTo>
                                  <a:pt x="1332230" y="80035"/>
                                </a:lnTo>
                                <a:lnTo>
                                  <a:pt x="1338732" y="76479"/>
                                </a:lnTo>
                                <a:lnTo>
                                  <a:pt x="1340891" y="66078"/>
                                </a:lnTo>
                                <a:lnTo>
                                  <a:pt x="1336154" y="61201"/>
                                </a:lnTo>
                                <a:lnTo>
                                  <a:pt x="1247013" y="50761"/>
                                </a:lnTo>
                                <a:close/>
                              </a:path>
                              <a:path w="3979545" h="372745">
                                <a:moveTo>
                                  <a:pt x="1422679" y="71348"/>
                                </a:moveTo>
                                <a:lnTo>
                                  <a:pt x="1416177" y="74891"/>
                                </a:lnTo>
                                <a:lnTo>
                                  <a:pt x="1414018" y="85305"/>
                                </a:lnTo>
                                <a:lnTo>
                                  <a:pt x="1418755" y="90170"/>
                                </a:lnTo>
                                <a:lnTo>
                                  <a:pt x="1507896" y="100622"/>
                                </a:lnTo>
                                <a:lnTo>
                                  <a:pt x="1514398" y="97066"/>
                                </a:lnTo>
                                <a:lnTo>
                                  <a:pt x="1516570" y="86664"/>
                                </a:lnTo>
                                <a:lnTo>
                                  <a:pt x="1511820" y="81800"/>
                                </a:lnTo>
                                <a:lnTo>
                                  <a:pt x="1422679" y="71348"/>
                                </a:lnTo>
                                <a:close/>
                              </a:path>
                              <a:path w="3979545" h="372745">
                                <a:moveTo>
                                  <a:pt x="1598345" y="91935"/>
                                </a:moveTo>
                                <a:lnTo>
                                  <a:pt x="1591856" y="95491"/>
                                </a:lnTo>
                                <a:lnTo>
                                  <a:pt x="1589684" y="105879"/>
                                </a:lnTo>
                                <a:lnTo>
                                  <a:pt x="1594421" y="110756"/>
                                </a:lnTo>
                                <a:lnTo>
                                  <a:pt x="1683854" y="120637"/>
                                </a:lnTo>
                                <a:lnTo>
                                  <a:pt x="1690293" y="117017"/>
                                </a:lnTo>
                                <a:lnTo>
                                  <a:pt x="1692262" y="106603"/>
                                </a:lnTo>
                                <a:lnTo>
                                  <a:pt x="1687449" y="101777"/>
                                </a:lnTo>
                                <a:lnTo>
                                  <a:pt x="1598345" y="91935"/>
                                </a:lnTo>
                                <a:close/>
                              </a:path>
                              <a:path w="3979545" h="372745">
                                <a:moveTo>
                                  <a:pt x="1774139" y="111061"/>
                                </a:moveTo>
                                <a:lnTo>
                                  <a:pt x="1767700" y="114680"/>
                                </a:lnTo>
                                <a:lnTo>
                                  <a:pt x="1765719" y="125095"/>
                                </a:lnTo>
                                <a:lnTo>
                                  <a:pt x="1770545" y="129921"/>
                                </a:lnTo>
                                <a:lnTo>
                                  <a:pt x="1859864" y="139484"/>
                                </a:lnTo>
                                <a:lnTo>
                                  <a:pt x="1866303" y="135864"/>
                                </a:lnTo>
                                <a:lnTo>
                                  <a:pt x="1868284" y="125463"/>
                                </a:lnTo>
                                <a:lnTo>
                                  <a:pt x="1863458" y="120637"/>
                                </a:lnTo>
                                <a:lnTo>
                                  <a:pt x="1774139" y="111061"/>
                                </a:lnTo>
                                <a:close/>
                              </a:path>
                              <a:path w="3979545" h="372745">
                                <a:moveTo>
                                  <a:pt x="1950148" y="129921"/>
                                </a:moveTo>
                                <a:lnTo>
                                  <a:pt x="1943722" y="133540"/>
                                </a:lnTo>
                                <a:lnTo>
                                  <a:pt x="1941741" y="143954"/>
                                </a:lnTo>
                                <a:lnTo>
                                  <a:pt x="1946554" y="148780"/>
                                </a:lnTo>
                                <a:lnTo>
                                  <a:pt x="2035886" y="158356"/>
                                </a:lnTo>
                                <a:lnTo>
                                  <a:pt x="2042312" y="154736"/>
                                </a:lnTo>
                                <a:lnTo>
                                  <a:pt x="2043315" y="149529"/>
                                </a:lnTo>
                                <a:lnTo>
                                  <a:pt x="2044293" y="144310"/>
                                </a:lnTo>
                                <a:lnTo>
                                  <a:pt x="2039480" y="139484"/>
                                </a:lnTo>
                                <a:lnTo>
                                  <a:pt x="1950148" y="129921"/>
                                </a:lnTo>
                                <a:close/>
                              </a:path>
                              <a:path w="3979545" h="372745">
                                <a:moveTo>
                                  <a:pt x="2126157" y="148780"/>
                                </a:moveTo>
                                <a:lnTo>
                                  <a:pt x="2119731" y="152400"/>
                                </a:lnTo>
                                <a:lnTo>
                                  <a:pt x="2117750" y="162814"/>
                                </a:lnTo>
                                <a:lnTo>
                                  <a:pt x="2122576" y="167640"/>
                                </a:lnTo>
                                <a:lnTo>
                                  <a:pt x="2211895" y="177203"/>
                                </a:lnTo>
                                <a:lnTo>
                                  <a:pt x="2218334" y="173583"/>
                                </a:lnTo>
                                <a:lnTo>
                                  <a:pt x="2220315" y="163182"/>
                                </a:lnTo>
                                <a:lnTo>
                                  <a:pt x="2215476" y="158356"/>
                                </a:lnTo>
                                <a:lnTo>
                                  <a:pt x="2126157" y="148780"/>
                                </a:lnTo>
                                <a:close/>
                              </a:path>
                              <a:path w="3979545" h="372745">
                                <a:moveTo>
                                  <a:pt x="2302167" y="167640"/>
                                </a:moveTo>
                                <a:lnTo>
                                  <a:pt x="2295753" y="171246"/>
                                </a:lnTo>
                                <a:lnTo>
                                  <a:pt x="2293759" y="181673"/>
                                </a:lnTo>
                                <a:lnTo>
                                  <a:pt x="2298585" y="186499"/>
                                </a:lnTo>
                                <a:lnTo>
                                  <a:pt x="2387904" y="196062"/>
                                </a:lnTo>
                                <a:lnTo>
                                  <a:pt x="2394331" y="192443"/>
                                </a:lnTo>
                                <a:lnTo>
                                  <a:pt x="2396312" y="182029"/>
                                </a:lnTo>
                                <a:lnTo>
                                  <a:pt x="2391498" y="177203"/>
                                </a:lnTo>
                                <a:lnTo>
                                  <a:pt x="2302167" y="167640"/>
                                </a:lnTo>
                                <a:close/>
                              </a:path>
                              <a:path w="3979545" h="372745">
                                <a:moveTo>
                                  <a:pt x="2478265" y="187020"/>
                                </a:moveTo>
                                <a:lnTo>
                                  <a:pt x="2471762" y="190563"/>
                                </a:lnTo>
                                <a:lnTo>
                                  <a:pt x="2469591" y="200964"/>
                                </a:lnTo>
                                <a:lnTo>
                                  <a:pt x="2474328" y="205828"/>
                                </a:lnTo>
                                <a:lnTo>
                                  <a:pt x="2563482" y="216281"/>
                                </a:lnTo>
                                <a:lnTo>
                                  <a:pt x="2569972" y="212725"/>
                                </a:lnTo>
                                <a:lnTo>
                                  <a:pt x="2572143" y="202323"/>
                                </a:lnTo>
                                <a:lnTo>
                                  <a:pt x="2567393" y="197459"/>
                                </a:lnTo>
                                <a:lnTo>
                                  <a:pt x="2478265" y="187020"/>
                                </a:lnTo>
                                <a:close/>
                              </a:path>
                              <a:path w="3979545" h="372745">
                                <a:moveTo>
                                  <a:pt x="2653931" y="207594"/>
                                </a:moveTo>
                                <a:lnTo>
                                  <a:pt x="2647429" y="211150"/>
                                </a:lnTo>
                                <a:lnTo>
                                  <a:pt x="2645257" y="221538"/>
                                </a:lnTo>
                                <a:lnTo>
                                  <a:pt x="2650007" y="226415"/>
                                </a:lnTo>
                                <a:lnTo>
                                  <a:pt x="2739148" y="236867"/>
                                </a:lnTo>
                                <a:lnTo>
                                  <a:pt x="2745638" y="233311"/>
                                </a:lnTo>
                                <a:lnTo>
                                  <a:pt x="2747810" y="222910"/>
                                </a:lnTo>
                                <a:lnTo>
                                  <a:pt x="2743073" y="218046"/>
                                </a:lnTo>
                                <a:lnTo>
                                  <a:pt x="2653931" y="207594"/>
                                </a:lnTo>
                                <a:close/>
                              </a:path>
                              <a:path w="3979545" h="372745">
                                <a:moveTo>
                                  <a:pt x="2829598" y="228180"/>
                                </a:moveTo>
                                <a:lnTo>
                                  <a:pt x="2823095" y="231736"/>
                                </a:lnTo>
                                <a:lnTo>
                                  <a:pt x="2820936" y="242125"/>
                                </a:lnTo>
                                <a:lnTo>
                                  <a:pt x="2825673" y="247002"/>
                                </a:lnTo>
                                <a:lnTo>
                                  <a:pt x="2914827" y="257441"/>
                                </a:lnTo>
                                <a:lnTo>
                                  <a:pt x="2921304" y="253898"/>
                                </a:lnTo>
                                <a:lnTo>
                                  <a:pt x="2923476" y="243509"/>
                                </a:lnTo>
                                <a:lnTo>
                                  <a:pt x="2918739" y="238633"/>
                                </a:lnTo>
                                <a:lnTo>
                                  <a:pt x="2829598" y="228180"/>
                                </a:lnTo>
                                <a:close/>
                              </a:path>
                              <a:path w="3979545" h="372745">
                                <a:moveTo>
                                  <a:pt x="3005264" y="248767"/>
                                </a:moveTo>
                                <a:lnTo>
                                  <a:pt x="2998762" y="252323"/>
                                </a:lnTo>
                                <a:lnTo>
                                  <a:pt x="2996603" y="262712"/>
                                </a:lnTo>
                                <a:lnTo>
                                  <a:pt x="3001340" y="267589"/>
                                </a:lnTo>
                                <a:lnTo>
                                  <a:pt x="3090494" y="278028"/>
                                </a:lnTo>
                                <a:lnTo>
                                  <a:pt x="3096971" y="274485"/>
                                </a:lnTo>
                                <a:lnTo>
                                  <a:pt x="3099142" y="264083"/>
                                </a:lnTo>
                                <a:lnTo>
                                  <a:pt x="3094405" y="259219"/>
                                </a:lnTo>
                                <a:lnTo>
                                  <a:pt x="3005264" y="248767"/>
                                </a:lnTo>
                                <a:close/>
                              </a:path>
                              <a:path w="3979545" h="372745">
                                <a:moveTo>
                                  <a:pt x="3180930" y="269354"/>
                                </a:moveTo>
                                <a:lnTo>
                                  <a:pt x="3174428" y="272910"/>
                                </a:lnTo>
                                <a:lnTo>
                                  <a:pt x="3172269" y="283298"/>
                                </a:lnTo>
                                <a:lnTo>
                                  <a:pt x="3177006" y="288175"/>
                                </a:lnTo>
                                <a:lnTo>
                                  <a:pt x="3236556" y="295148"/>
                                </a:lnTo>
                                <a:lnTo>
                                  <a:pt x="3266414" y="298297"/>
                                </a:lnTo>
                                <a:lnTo>
                                  <a:pt x="3272840" y="294678"/>
                                </a:lnTo>
                                <a:lnTo>
                                  <a:pt x="3274783" y="284264"/>
                                </a:lnTo>
                                <a:lnTo>
                                  <a:pt x="3269957" y="279438"/>
                                </a:lnTo>
                                <a:lnTo>
                                  <a:pt x="3240468" y="276339"/>
                                </a:lnTo>
                                <a:lnTo>
                                  <a:pt x="3180930" y="269354"/>
                                </a:lnTo>
                                <a:close/>
                              </a:path>
                              <a:path w="3979545" h="372745">
                                <a:moveTo>
                                  <a:pt x="3356673" y="288582"/>
                                </a:moveTo>
                                <a:lnTo>
                                  <a:pt x="3350247" y="292214"/>
                                </a:lnTo>
                                <a:lnTo>
                                  <a:pt x="3348291" y="302641"/>
                                </a:lnTo>
                                <a:lnTo>
                                  <a:pt x="3353130" y="307454"/>
                                </a:lnTo>
                                <a:lnTo>
                                  <a:pt x="3442474" y="316877"/>
                                </a:lnTo>
                                <a:lnTo>
                                  <a:pt x="3448900" y="313245"/>
                                </a:lnTo>
                                <a:lnTo>
                                  <a:pt x="3450856" y="302818"/>
                                </a:lnTo>
                                <a:lnTo>
                                  <a:pt x="3446017" y="298018"/>
                                </a:lnTo>
                                <a:lnTo>
                                  <a:pt x="3356673" y="288582"/>
                                </a:lnTo>
                                <a:close/>
                              </a:path>
                              <a:path w="3979545" h="372745">
                                <a:moveTo>
                                  <a:pt x="3532733" y="307149"/>
                                </a:moveTo>
                                <a:lnTo>
                                  <a:pt x="3526320" y="310781"/>
                                </a:lnTo>
                                <a:lnTo>
                                  <a:pt x="3524364" y="321208"/>
                                </a:lnTo>
                                <a:lnTo>
                                  <a:pt x="3529203" y="326021"/>
                                </a:lnTo>
                                <a:lnTo>
                                  <a:pt x="3618547" y="335445"/>
                                </a:lnTo>
                                <a:lnTo>
                                  <a:pt x="3624973" y="331812"/>
                                </a:lnTo>
                                <a:lnTo>
                                  <a:pt x="3626929" y="321386"/>
                                </a:lnTo>
                                <a:lnTo>
                                  <a:pt x="3622090" y="316572"/>
                                </a:lnTo>
                                <a:lnTo>
                                  <a:pt x="3532733" y="307149"/>
                                </a:lnTo>
                                <a:close/>
                              </a:path>
                              <a:path w="3979545" h="372745">
                                <a:moveTo>
                                  <a:pt x="3708806" y="325716"/>
                                </a:moveTo>
                                <a:lnTo>
                                  <a:pt x="3702380" y="329349"/>
                                </a:lnTo>
                                <a:lnTo>
                                  <a:pt x="3700424" y="339775"/>
                                </a:lnTo>
                                <a:lnTo>
                                  <a:pt x="3705275" y="344589"/>
                                </a:lnTo>
                                <a:lnTo>
                                  <a:pt x="3794620" y="354012"/>
                                </a:lnTo>
                                <a:lnTo>
                                  <a:pt x="3801046" y="350393"/>
                                </a:lnTo>
                                <a:lnTo>
                                  <a:pt x="3802989" y="339966"/>
                                </a:lnTo>
                                <a:lnTo>
                                  <a:pt x="3798150" y="335140"/>
                                </a:lnTo>
                                <a:lnTo>
                                  <a:pt x="3708806" y="325716"/>
                                </a:lnTo>
                                <a:close/>
                              </a:path>
                              <a:path w="3979545" h="372745">
                                <a:moveTo>
                                  <a:pt x="3884866" y="344297"/>
                                </a:moveTo>
                                <a:lnTo>
                                  <a:pt x="3878453" y="347916"/>
                                </a:lnTo>
                                <a:lnTo>
                                  <a:pt x="3877462" y="353123"/>
                                </a:lnTo>
                                <a:lnTo>
                                  <a:pt x="3876497" y="358343"/>
                                </a:lnTo>
                                <a:lnTo>
                                  <a:pt x="3881335" y="363156"/>
                                </a:lnTo>
                                <a:lnTo>
                                  <a:pt x="3970680" y="372579"/>
                                </a:lnTo>
                                <a:lnTo>
                                  <a:pt x="3977106" y="368947"/>
                                </a:lnTo>
                                <a:lnTo>
                                  <a:pt x="3979049" y="358533"/>
                                </a:lnTo>
                                <a:lnTo>
                                  <a:pt x="3974223" y="353707"/>
                                </a:lnTo>
                                <a:lnTo>
                                  <a:pt x="3884866" y="344297"/>
                                </a:lnTo>
                                <a:close/>
                              </a:path>
                            </a:pathLst>
                          </a:custGeom>
                          <a:solidFill>
                            <a:srgbClr val="BCBEC0"/>
                          </a:solidFill>
                        </wps:spPr>
                        <wps:bodyPr wrap="square" lIns="0" tIns="0" rIns="0" bIns="0" rtlCol="0">
                          <a:prstTxWarp prst="textNoShape">
                            <a:avLst/>
                          </a:prstTxWarp>
                          <a:noAutofit/>
                        </wps:bodyPr>
                      </wps:wsp>
                    </wpg:wgp>
                  </a:graphicData>
                </a:graphic>
              </wp:anchor>
            </w:drawing>
          </mc:Choice>
          <mc:Fallback>
            <w:pict>
              <v:group style="position:absolute;margin-left:706.755981pt;margin-top:4.140266pt;width:367.9pt;height:115.35pt;mso-position-horizontal-relative:page;mso-position-vertical-relative:paragraph;z-index:15863808" id="docshapegroup1044" coordorigin="14135,83" coordsize="7358,2307">
                <v:shape style="position:absolute;left:14143;top:91;width:7340;height:2290" id="docshape1045" coordorigin="14144,91" coordsize="7340,2290" path="m21484,2381l14144,2381,14144,91e" filled="false" stroked="true" strokeweight=".866pt" strokecolor="#bcbec0">
                  <v:path arrowok="t"/>
                  <v:stroke dashstyle="solid"/>
                </v:shape>
                <v:shape style="position:absolute;left:14793;top:798;width:6361;height:555" id="docshape1046" coordorigin="14794,799" coordsize="6361,555" path="m14794,799l16054,799,17334,859,18594,1054,19874,1249,21154,1354e" filled="false" stroked="true" strokeweight="1.732pt" strokecolor="#105c84">
                  <v:path arrowok="t"/>
                  <v:stroke dashstyle="solid"/>
                </v:shape>
                <v:shape style="position:absolute;left:14793;top:963;width:6361;height:435" id="docshape1047" coordorigin="14794,964" coordsize="6361,435" path="m14794,964l16054,964,17334,1114,18594,1249,19874,1249,21154,1399e" filled="false" stroked="true" strokeweight="1.732pt" strokecolor="#82bf6a">
                  <v:path arrowok="t"/>
                  <v:stroke dashstyle="solid"/>
                </v:shape>
                <v:shape style="position:absolute;left:14773;top:243;width:6267;height:587" id="docshape1048" coordorigin="14774,244" coordsize="6267,587" path="m14925,244l14783,244,14774,250,14774,267,14783,274,14925,274,14934,267,14934,250,14925,244xm15205,244l15063,244,15054,250,15054,267,15063,274,15205,274,15214,267,15214,250,15205,244xm15485,244l15343,244,15334,250,15334,267,15343,274,15485,274,15494,267,15494,250,15485,244xm15765,244l15623,244,15614,250,15614,267,15623,274,15765,274,15774,267,15774,250,15765,244xm16045,244l15903,244,15894,250,15894,267,15903,274,16045,274,16054,267,16054,250,16045,244xm16184,259l16174,264,16171,281,16178,288,16318,305,16329,299,16332,283,16325,275,16184,259xm16461,291l16451,297,16447,313,16455,321,16595,337,16605,332,16609,315,16601,308,16461,291xm16738,324l16727,329,16724,345,16731,353,16872,370,16882,364,16885,348,16878,340,16738,324xm17014,356l17004,362,17001,378,17008,386,17148,402,17159,396,17162,380,17155,372,17014,356xm17291,388l17281,394,17277,410,17285,418,17426,434,17436,428,17439,411,17431,404,17291,388xm17568,418l17558,424,17554,441,17562,448,17703,463,17713,458,17716,441,17708,434,17568,418xm17845,448l17835,454,17832,470,17839,478,17980,493,17990,487,17992,479,17993,471,17986,463,17845,448xm18122,478l18112,484,18109,500,18116,508,18257,523,18267,517,18270,501,18263,493,18122,478xm18399,508l18389,513,18386,530,18394,537,18534,552,18544,547,18547,530,18540,523,18399,508xm18677,538l18666,544,18663,560,18670,568,18811,584,18821,579,18824,562,18817,555,18677,538xm18953,570l18943,576,18940,592,18947,600,19087,617,19098,611,19101,595,19094,587,18953,570xm19230,603l19220,609,19216,625,19224,633,19364,649,19374,643,19378,627,19370,619,19230,603xm19506,635l19496,641,19493,657,19500,665,19641,681,19651,676,19654,659,19647,652,19506,635xm19783,668l19773,673,19769,690,19777,697,19871,708,19918,713,19928,708,19931,691,19923,684,19877,679,19783,668xm20060,698l20050,704,20047,720,20054,728,20195,743,20205,737,20208,720,20201,713,20060,698xm20337,727l20327,733,20324,749,20332,757,20472,772,20482,766,20485,750,20478,742,20337,727xm20614,757l20604,762,20601,779,20609,786,20750,801,20760,795,20763,779,20755,771,20614,757xm20892,786l20882,791,20880,800,20878,808,20886,815,21027,830,21037,825,21040,808,21032,801,20892,786xe" filled="true" fillcolor="#bcbec0" stroked="false">
                  <v:path arrowok="t"/>
                  <v:fill type="solid"/>
                </v:shape>
                <w10:wrap type="none"/>
              </v:group>
            </w:pict>
          </mc:Fallback>
        </mc:AlternateContent>
      </w:r>
      <w:r>
        <w:rPr>
          <w:color w:val="636466"/>
          <w:spacing w:val="-5"/>
          <w:sz w:val="18"/>
        </w:rPr>
        <w:t>16%</w:t>
      </w:r>
    </w:p>
    <w:p>
      <w:pPr>
        <w:spacing w:before="78"/>
        <w:ind w:left="0" w:right="9745" w:firstLine="0"/>
        <w:jc w:val="right"/>
        <w:rPr>
          <w:sz w:val="18"/>
        </w:rPr>
      </w:pPr>
      <w:r>
        <w:rPr>
          <w:sz w:val="18"/>
        </w:rPr>
        <mc:AlternateContent>
          <mc:Choice Requires="wps">
            <w:drawing>
              <wp:anchor distT="0" distB="0" distL="0" distR="0" allowOverlap="1" layoutInCell="1" locked="0" behindDoc="0" simplePos="0" relativeHeight="15865856">
                <wp:simplePos x="0" y="0"/>
                <wp:positionH relativeFrom="page">
                  <wp:posOffset>8441698</wp:posOffset>
                </wp:positionH>
                <wp:positionV relativeFrom="paragraph">
                  <wp:posOffset>122721</wp:posOffset>
                </wp:positionV>
                <wp:extent cx="146050" cy="1002665"/>
                <wp:effectExtent l="0" t="0" r="0" b="0"/>
                <wp:wrapNone/>
                <wp:docPr id="1300" name="Textbox 1300"/>
                <wp:cNvGraphicFramePr>
                  <a:graphicFrameLocks/>
                </wp:cNvGraphicFramePr>
                <a:graphic>
                  <a:graphicData uri="http://schemas.microsoft.com/office/word/2010/wordprocessingShape">
                    <wps:wsp>
                      <wps:cNvPr id="1300" name="Textbox 1300"/>
                      <wps:cNvSpPr txBox="1"/>
                      <wps:spPr>
                        <a:xfrm>
                          <a:off x="0" y="0"/>
                          <a:ext cx="146050" cy="1002665"/>
                        </a:xfrm>
                        <a:prstGeom prst="rect">
                          <a:avLst/>
                        </a:prstGeom>
                      </wps:spPr>
                      <wps:txbx>
                        <w:txbxContent>
                          <w:p>
                            <w:pPr>
                              <w:spacing w:before="19"/>
                              <w:ind w:left="20" w:right="0" w:firstLine="0"/>
                              <w:jc w:val="left"/>
                              <w:rPr>
                                <w:sz w:val="16"/>
                              </w:rPr>
                            </w:pPr>
                            <w:r>
                              <w:rPr>
                                <w:color w:val="105C84"/>
                                <w:sz w:val="16"/>
                              </w:rPr>
                              <w:t>Percent</w:t>
                            </w:r>
                            <w:r>
                              <w:rPr>
                                <w:color w:val="105C84"/>
                                <w:spacing w:val="-5"/>
                                <w:sz w:val="16"/>
                              </w:rPr>
                              <w:t> </w:t>
                            </w:r>
                            <w:r>
                              <w:rPr>
                                <w:color w:val="105C84"/>
                                <w:sz w:val="16"/>
                              </w:rPr>
                              <w:t>of</w:t>
                            </w:r>
                            <w:r>
                              <w:rPr>
                                <w:color w:val="105C84"/>
                                <w:spacing w:val="-5"/>
                                <w:sz w:val="16"/>
                              </w:rPr>
                              <w:t> </w:t>
                            </w:r>
                            <w:r>
                              <w:rPr>
                                <w:color w:val="105C84"/>
                                <w:spacing w:val="-2"/>
                                <w:sz w:val="16"/>
                              </w:rPr>
                              <w:t>Population</w:t>
                            </w:r>
                          </w:p>
                        </w:txbxContent>
                      </wps:txbx>
                      <wps:bodyPr wrap="square" lIns="0" tIns="0" rIns="0" bIns="0" rtlCol="0" vert="vert270">
                        <a:noAutofit/>
                      </wps:bodyPr>
                    </wps:wsp>
                  </a:graphicData>
                </a:graphic>
              </wp:anchor>
            </w:drawing>
          </mc:Choice>
          <mc:Fallback>
            <w:pict>
              <v:shape style="position:absolute;margin-left:664.700684pt;margin-top:9.663141pt;width:11.5pt;height:78.95pt;mso-position-horizontal-relative:page;mso-position-vertical-relative:paragraph;z-index:15865856" type="#_x0000_t202" id="docshape1049" filled="false" stroked="false">
                <v:textbox inset="0,0,0,0" style="layout-flow:vertical;mso-layout-flow-alt:bottom-to-top">
                  <w:txbxContent>
                    <w:p>
                      <w:pPr>
                        <w:spacing w:before="19"/>
                        <w:ind w:left="20" w:right="0" w:firstLine="0"/>
                        <w:jc w:val="left"/>
                        <w:rPr>
                          <w:sz w:val="16"/>
                        </w:rPr>
                      </w:pPr>
                      <w:r>
                        <w:rPr>
                          <w:color w:val="105C84"/>
                          <w:sz w:val="16"/>
                        </w:rPr>
                        <w:t>Percent</w:t>
                      </w:r>
                      <w:r>
                        <w:rPr>
                          <w:color w:val="105C84"/>
                          <w:spacing w:val="-5"/>
                          <w:sz w:val="16"/>
                        </w:rPr>
                        <w:t> </w:t>
                      </w:r>
                      <w:r>
                        <w:rPr>
                          <w:color w:val="105C84"/>
                          <w:sz w:val="16"/>
                        </w:rPr>
                        <w:t>of</w:t>
                      </w:r>
                      <w:r>
                        <w:rPr>
                          <w:color w:val="105C84"/>
                          <w:spacing w:val="-5"/>
                          <w:sz w:val="16"/>
                        </w:rPr>
                        <w:t> </w:t>
                      </w:r>
                      <w:r>
                        <w:rPr>
                          <w:color w:val="105C84"/>
                          <w:spacing w:val="-2"/>
                          <w:sz w:val="16"/>
                        </w:rPr>
                        <w:t>Population</w:t>
                      </w:r>
                    </w:p>
                  </w:txbxContent>
                </v:textbox>
                <w10:wrap type="none"/>
              </v:shape>
            </w:pict>
          </mc:Fallback>
        </mc:AlternateContent>
      </w:r>
      <w:r>
        <w:rPr>
          <w:color w:val="636466"/>
          <w:spacing w:val="-5"/>
          <w:sz w:val="18"/>
        </w:rPr>
        <w:t>14%</w:t>
      </w:r>
    </w:p>
    <w:p>
      <w:pPr>
        <w:spacing w:before="63"/>
        <w:ind w:left="0" w:right="9745" w:firstLine="0"/>
        <w:jc w:val="right"/>
        <w:rPr>
          <w:sz w:val="18"/>
        </w:rPr>
      </w:pPr>
      <w:r>
        <w:rPr>
          <w:color w:val="636466"/>
          <w:spacing w:val="-5"/>
          <w:sz w:val="18"/>
        </w:rPr>
        <w:t>12%</w:t>
      </w:r>
    </w:p>
    <w:p>
      <w:pPr>
        <w:spacing w:before="78"/>
        <w:ind w:left="0" w:right="9745" w:firstLine="0"/>
        <w:jc w:val="right"/>
        <w:rPr>
          <w:sz w:val="18"/>
        </w:rPr>
      </w:pPr>
      <w:r>
        <w:rPr>
          <w:color w:val="636466"/>
          <w:spacing w:val="-5"/>
          <w:sz w:val="18"/>
        </w:rPr>
        <w:t>10%</w:t>
      </w:r>
    </w:p>
    <w:p>
      <w:pPr>
        <w:spacing w:before="78"/>
        <w:ind w:left="0" w:right="9724" w:firstLine="0"/>
        <w:jc w:val="right"/>
        <w:rPr>
          <w:sz w:val="18"/>
        </w:rPr>
      </w:pPr>
      <w:r>
        <w:rPr>
          <w:color w:val="636466"/>
          <w:spacing w:val="-5"/>
          <w:sz w:val="18"/>
        </w:rPr>
        <w:t>8%</w:t>
      </w:r>
    </w:p>
    <w:p>
      <w:pPr>
        <w:spacing w:before="78"/>
        <w:ind w:left="0" w:right="9724" w:firstLine="0"/>
        <w:jc w:val="right"/>
        <w:rPr>
          <w:sz w:val="18"/>
        </w:rPr>
      </w:pPr>
      <w:r>
        <w:rPr>
          <w:color w:val="636466"/>
          <w:spacing w:val="-5"/>
          <w:sz w:val="18"/>
        </w:rPr>
        <w:t>6%</w:t>
      </w:r>
    </w:p>
    <w:p>
      <w:pPr>
        <w:spacing w:before="78"/>
        <w:ind w:left="0" w:right="9724" w:firstLine="0"/>
        <w:jc w:val="right"/>
        <w:rPr>
          <w:sz w:val="18"/>
        </w:rPr>
      </w:pPr>
      <w:r>
        <w:rPr>
          <w:color w:val="636466"/>
          <w:spacing w:val="-5"/>
          <w:sz w:val="18"/>
        </w:rPr>
        <w:t>4%</w:t>
      </w:r>
    </w:p>
    <w:p>
      <w:pPr>
        <w:spacing w:before="78"/>
        <w:ind w:left="0" w:right="9724" w:firstLine="0"/>
        <w:jc w:val="right"/>
        <w:rPr>
          <w:sz w:val="18"/>
        </w:rPr>
      </w:pPr>
      <w:r>
        <w:rPr>
          <w:color w:val="636466"/>
          <w:spacing w:val="-5"/>
          <w:sz w:val="18"/>
        </w:rPr>
        <w:t>2%</w:t>
      </w:r>
    </w:p>
    <w:p>
      <w:pPr>
        <w:spacing w:before="78"/>
        <w:ind w:left="0" w:right="9724" w:firstLine="0"/>
        <w:jc w:val="right"/>
        <w:rPr>
          <w:sz w:val="18"/>
        </w:rPr>
      </w:pPr>
      <w:r>
        <w:rPr>
          <w:color w:val="636466"/>
          <w:spacing w:val="-5"/>
          <w:sz w:val="18"/>
        </w:rPr>
        <w:t>0%</w:t>
      </w:r>
    </w:p>
    <w:p>
      <w:pPr>
        <w:tabs>
          <w:tab w:pos="15829" w:val="left" w:leader="none"/>
          <w:tab w:pos="17101" w:val="left" w:leader="none"/>
          <w:tab w:pos="18373" w:val="left" w:leader="none"/>
          <w:tab w:pos="19645" w:val="left" w:leader="none"/>
          <w:tab w:pos="20916" w:val="left" w:leader="none"/>
        </w:tabs>
        <w:spacing w:before="10"/>
        <w:ind w:left="14557" w:right="0" w:firstLine="0"/>
        <w:jc w:val="left"/>
        <w:rPr>
          <w:sz w:val="18"/>
        </w:rPr>
      </w:pPr>
      <w:r>
        <w:rPr>
          <w:color w:val="636466"/>
          <w:spacing w:val="-4"/>
          <w:sz w:val="18"/>
        </w:rPr>
        <w:t>2012</w:t>
      </w:r>
      <w:r>
        <w:rPr>
          <w:color w:val="636466"/>
          <w:sz w:val="18"/>
        </w:rPr>
        <w:tab/>
      </w:r>
      <w:r>
        <w:rPr>
          <w:color w:val="636466"/>
          <w:spacing w:val="-4"/>
          <w:sz w:val="18"/>
        </w:rPr>
        <w:t>2013</w:t>
      </w:r>
      <w:r>
        <w:rPr>
          <w:color w:val="636466"/>
          <w:sz w:val="18"/>
        </w:rPr>
        <w:tab/>
      </w:r>
      <w:r>
        <w:rPr>
          <w:color w:val="636466"/>
          <w:spacing w:val="-4"/>
          <w:sz w:val="18"/>
        </w:rPr>
        <w:t>2014</w:t>
      </w:r>
      <w:r>
        <w:rPr>
          <w:color w:val="636466"/>
          <w:sz w:val="18"/>
        </w:rPr>
        <w:tab/>
      </w:r>
      <w:r>
        <w:rPr>
          <w:color w:val="636466"/>
          <w:spacing w:val="-4"/>
          <w:sz w:val="18"/>
        </w:rPr>
        <w:t>2015</w:t>
      </w:r>
      <w:r>
        <w:rPr>
          <w:color w:val="636466"/>
          <w:sz w:val="18"/>
        </w:rPr>
        <w:tab/>
      </w:r>
      <w:r>
        <w:rPr>
          <w:color w:val="636466"/>
          <w:spacing w:val="-4"/>
          <w:sz w:val="18"/>
        </w:rPr>
        <w:t>2016</w:t>
      </w:r>
      <w:r>
        <w:rPr>
          <w:color w:val="636466"/>
          <w:sz w:val="18"/>
        </w:rPr>
        <w:tab/>
      </w:r>
      <w:r>
        <w:rPr>
          <w:color w:val="636466"/>
          <w:spacing w:val="-4"/>
          <w:sz w:val="18"/>
        </w:rPr>
        <w:t>2017</w:t>
      </w:r>
    </w:p>
    <w:p>
      <w:pPr>
        <w:pStyle w:val="BodyText"/>
        <w:spacing w:before="88"/>
        <w:rPr>
          <w:sz w:val="16"/>
        </w:rPr>
      </w:pPr>
    </w:p>
    <w:p>
      <w:pPr>
        <w:spacing w:before="0"/>
        <w:ind w:left="14110" w:right="0" w:firstLine="0"/>
        <w:jc w:val="left"/>
        <w:rPr>
          <w:sz w:val="16"/>
        </w:rPr>
      </w:pPr>
      <w:r>
        <w:rPr>
          <w:color w:val="105C84"/>
          <w:spacing w:val="-2"/>
          <w:sz w:val="16"/>
        </w:rPr>
        <w:t>Data</w:t>
      </w:r>
      <w:r>
        <w:rPr>
          <w:color w:val="105C84"/>
          <w:spacing w:val="-8"/>
          <w:sz w:val="16"/>
        </w:rPr>
        <w:t> </w:t>
      </w:r>
      <w:r>
        <w:rPr>
          <w:color w:val="105C84"/>
          <w:spacing w:val="-2"/>
          <w:sz w:val="16"/>
        </w:rPr>
        <w:t>Source:</w:t>
      </w:r>
      <w:r>
        <w:rPr>
          <w:color w:val="105C84"/>
          <w:spacing w:val="-8"/>
          <w:sz w:val="16"/>
        </w:rPr>
        <w:t> </w:t>
      </w:r>
      <w:r>
        <w:rPr>
          <w:color w:val="105C84"/>
          <w:spacing w:val="-2"/>
          <w:sz w:val="16"/>
        </w:rPr>
        <w:t>U.S.</w:t>
      </w:r>
      <w:r>
        <w:rPr>
          <w:color w:val="105C84"/>
          <w:spacing w:val="-8"/>
          <w:sz w:val="16"/>
        </w:rPr>
        <w:t> </w:t>
      </w:r>
      <w:r>
        <w:rPr>
          <w:color w:val="105C84"/>
          <w:spacing w:val="-2"/>
          <w:sz w:val="16"/>
        </w:rPr>
        <w:t>Census</w:t>
      </w:r>
      <w:r>
        <w:rPr>
          <w:color w:val="105C84"/>
          <w:spacing w:val="-8"/>
          <w:sz w:val="16"/>
        </w:rPr>
        <w:t> </w:t>
      </w:r>
      <w:r>
        <w:rPr>
          <w:color w:val="105C84"/>
          <w:spacing w:val="-2"/>
          <w:sz w:val="16"/>
        </w:rPr>
        <w:t>Bureau</w:t>
      </w:r>
      <w:r>
        <w:rPr>
          <w:color w:val="105C84"/>
          <w:spacing w:val="-8"/>
          <w:sz w:val="16"/>
        </w:rPr>
        <w:t> </w:t>
      </w:r>
      <w:r>
        <w:rPr>
          <w:color w:val="105C84"/>
          <w:spacing w:val="-2"/>
          <w:sz w:val="16"/>
        </w:rPr>
        <w:t>American</w:t>
      </w:r>
      <w:r>
        <w:rPr>
          <w:color w:val="105C84"/>
          <w:spacing w:val="-8"/>
          <w:sz w:val="16"/>
        </w:rPr>
        <w:t> </w:t>
      </w:r>
      <w:r>
        <w:rPr>
          <w:color w:val="105C84"/>
          <w:spacing w:val="-2"/>
          <w:sz w:val="16"/>
        </w:rPr>
        <w:t>Community</w:t>
      </w:r>
      <w:r>
        <w:rPr>
          <w:color w:val="105C84"/>
          <w:spacing w:val="-8"/>
          <w:sz w:val="16"/>
        </w:rPr>
        <w:t> </w:t>
      </w:r>
      <w:r>
        <w:rPr>
          <w:color w:val="105C84"/>
          <w:spacing w:val="-2"/>
          <w:sz w:val="16"/>
        </w:rPr>
        <w:t>Survey</w:t>
      </w:r>
      <w:r>
        <w:rPr>
          <w:color w:val="105C84"/>
          <w:spacing w:val="-8"/>
          <w:sz w:val="16"/>
        </w:rPr>
        <w:t> </w:t>
      </w:r>
      <w:r>
        <w:rPr>
          <w:color w:val="105C84"/>
          <w:spacing w:val="-2"/>
          <w:sz w:val="16"/>
        </w:rPr>
        <w:t>5-Year</w:t>
      </w:r>
      <w:r>
        <w:rPr>
          <w:color w:val="105C84"/>
          <w:spacing w:val="-8"/>
          <w:sz w:val="16"/>
        </w:rPr>
        <w:t> </w:t>
      </w:r>
      <w:r>
        <w:rPr>
          <w:color w:val="105C84"/>
          <w:spacing w:val="-2"/>
          <w:sz w:val="16"/>
        </w:rPr>
        <w:t>Estimate</w:t>
      </w:r>
    </w:p>
    <w:p>
      <w:pPr>
        <w:pStyle w:val="BodyText"/>
        <w:spacing w:before="11"/>
        <w:rPr>
          <w:sz w:val="16"/>
        </w:rPr>
      </w:pPr>
    </w:p>
    <w:p>
      <w:pPr>
        <w:pStyle w:val="BodyText"/>
        <w:spacing w:after="0"/>
        <w:rPr>
          <w:sz w:val="16"/>
        </w:rPr>
        <w:sectPr>
          <w:type w:val="continuous"/>
          <w:pgSz w:w="24480" w:h="15840" w:orient="landscape"/>
          <w:pgMar w:header="0" w:footer="0" w:top="0" w:bottom="280" w:left="0" w:right="720"/>
        </w:sectPr>
      </w:pPr>
    </w:p>
    <w:p>
      <w:pPr>
        <w:spacing w:before="110"/>
        <w:ind w:left="1080" w:right="0" w:firstLine="0"/>
        <w:jc w:val="left"/>
        <w:rPr>
          <w:sz w:val="16"/>
        </w:rPr>
      </w:pPr>
      <w:r>
        <w:rPr>
          <w:sz w:val="16"/>
        </w:rPr>
        <w:drawing>
          <wp:anchor distT="0" distB="0" distL="0" distR="0" allowOverlap="1" layoutInCell="1" locked="0" behindDoc="0" simplePos="0" relativeHeight="15861760">
            <wp:simplePos x="0" y="0"/>
            <wp:positionH relativeFrom="page">
              <wp:posOffset>14981556</wp:posOffset>
            </wp:positionH>
            <wp:positionV relativeFrom="page">
              <wp:posOffset>9668103</wp:posOffset>
            </wp:positionV>
            <wp:extent cx="563245" cy="184683"/>
            <wp:effectExtent l="0" t="0" r="0" b="0"/>
            <wp:wrapNone/>
            <wp:docPr id="1301" name="Image 1301"/>
            <wp:cNvGraphicFramePr>
              <a:graphicFrameLocks/>
            </wp:cNvGraphicFramePr>
            <a:graphic>
              <a:graphicData uri="http://schemas.openxmlformats.org/drawingml/2006/picture">
                <pic:pic>
                  <pic:nvPicPr>
                    <pic:cNvPr id="1301" name="Image 1301"/>
                    <pic:cNvPicPr/>
                  </pic:nvPicPr>
                  <pic:blipFill>
                    <a:blip r:embed="rId38" cstate="print"/>
                    <a:stretch>
                      <a:fillRect/>
                    </a:stretch>
                  </pic:blipFill>
                  <pic:spPr>
                    <a:xfrm>
                      <a:off x="0" y="0"/>
                      <a:ext cx="563245" cy="184683"/>
                    </a:xfrm>
                    <a:prstGeom prst="rect">
                      <a:avLst/>
                    </a:prstGeom>
                  </pic:spPr>
                </pic:pic>
              </a:graphicData>
            </a:graphic>
          </wp:anchor>
        </w:drawing>
      </w:r>
      <w:r>
        <w:rPr>
          <w:color w:val="0C5D86"/>
          <w:spacing w:val="-4"/>
          <w:sz w:val="16"/>
        </w:rPr>
        <w:t>Source:</w:t>
      </w:r>
      <w:r>
        <w:rPr>
          <w:color w:val="0C5D86"/>
          <w:spacing w:val="-2"/>
          <w:sz w:val="16"/>
        </w:rPr>
        <w:t> </w:t>
      </w:r>
      <w:r>
        <w:rPr>
          <w:color w:val="0C5D86"/>
          <w:spacing w:val="-4"/>
          <w:sz w:val="16"/>
        </w:rPr>
        <w:t>U.S.</w:t>
      </w:r>
      <w:r>
        <w:rPr>
          <w:color w:val="0C5D86"/>
          <w:spacing w:val="-1"/>
          <w:sz w:val="16"/>
        </w:rPr>
        <w:t> </w:t>
      </w:r>
      <w:r>
        <w:rPr>
          <w:color w:val="0C5D86"/>
          <w:spacing w:val="-4"/>
          <w:sz w:val="16"/>
        </w:rPr>
        <w:t>Census</w:t>
      </w:r>
      <w:r>
        <w:rPr>
          <w:color w:val="0C5D86"/>
          <w:spacing w:val="-1"/>
          <w:sz w:val="16"/>
        </w:rPr>
        <w:t> </w:t>
      </w:r>
      <w:r>
        <w:rPr>
          <w:color w:val="0C5D86"/>
          <w:spacing w:val="-4"/>
          <w:sz w:val="16"/>
        </w:rPr>
        <w:t>Bureau</w:t>
      </w:r>
      <w:r>
        <w:rPr>
          <w:color w:val="0C5D86"/>
          <w:spacing w:val="-1"/>
          <w:sz w:val="16"/>
        </w:rPr>
        <w:t> </w:t>
      </w:r>
      <w:r>
        <w:rPr>
          <w:color w:val="0C5D86"/>
          <w:spacing w:val="-4"/>
          <w:sz w:val="16"/>
        </w:rPr>
        <w:t>American</w:t>
      </w:r>
      <w:r>
        <w:rPr>
          <w:color w:val="0C5D86"/>
          <w:spacing w:val="-1"/>
          <w:sz w:val="16"/>
        </w:rPr>
        <w:t> </w:t>
      </w:r>
      <w:r>
        <w:rPr>
          <w:color w:val="0C5D86"/>
          <w:spacing w:val="-4"/>
          <w:sz w:val="16"/>
        </w:rPr>
        <w:t>Community</w:t>
      </w:r>
      <w:r>
        <w:rPr>
          <w:color w:val="0C5D86"/>
          <w:spacing w:val="-1"/>
          <w:sz w:val="16"/>
        </w:rPr>
        <w:t> </w:t>
      </w:r>
      <w:r>
        <w:rPr>
          <w:color w:val="0C5D86"/>
          <w:spacing w:val="-4"/>
          <w:sz w:val="16"/>
        </w:rPr>
        <w:t>Survey</w:t>
      </w:r>
      <w:r>
        <w:rPr>
          <w:color w:val="0C5D86"/>
          <w:spacing w:val="-1"/>
          <w:sz w:val="16"/>
        </w:rPr>
        <w:t> </w:t>
      </w:r>
      <w:r>
        <w:rPr>
          <w:color w:val="0C5D86"/>
          <w:spacing w:val="-4"/>
          <w:sz w:val="16"/>
        </w:rPr>
        <w:t>2013-2017</w:t>
      </w:r>
      <w:r>
        <w:rPr>
          <w:color w:val="0C5D86"/>
          <w:spacing w:val="-1"/>
          <w:sz w:val="16"/>
        </w:rPr>
        <w:t> </w:t>
      </w:r>
      <w:r>
        <w:rPr>
          <w:color w:val="0C5D86"/>
          <w:spacing w:val="-4"/>
          <w:sz w:val="16"/>
        </w:rPr>
        <w:t>5-Year</w:t>
      </w:r>
      <w:r>
        <w:rPr>
          <w:color w:val="0C5D86"/>
          <w:spacing w:val="-1"/>
          <w:sz w:val="16"/>
        </w:rPr>
        <w:t> </w:t>
      </w:r>
      <w:r>
        <w:rPr>
          <w:color w:val="0C5D86"/>
          <w:spacing w:val="-4"/>
          <w:sz w:val="16"/>
        </w:rPr>
        <w:t>estimates</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80"/>
        <w:rPr>
          <w:sz w:val="16"/>
        </w:rPr>
      </w:pPr>
    </w:p>
    <w:p>
      <w:pPr>
        <w:pStyle w:val="ListParagraph"/>
        <w:numPr>
          <w:ilvl w:val="0"/>
          <w:numId w:val="27"/>
        </w:numPr>
        <w:tabs>
          <w:tab w:pos="4450" w:val="left" w:leader="none"/>
        </w:tabs>
        <w:spacing w:line="240" w:lineRule="auto" w:before="0" w:after="0"/>
        <w:ind w:left="4233" w:right="0" w:firstLine="0"/>
        <w:jc w:val="left"/>
        <w:rPr>
          <w:sz w:val="14"/>
        </w:rPr>
      </w:pPr>
      <w:r>
        <w:rPr>
          <w:sz w:val="14"/>
        </w:rPr>
        <w:drawing>
          <wp:anchor distT="0" distB="0" distL="0" distR="0" allowOverlap="1" layoutInCell="1" locked="0" behindDoc="0" simplePos="0" relativeHeight="15862272">
            <wp:simplePos x="0" y="0"/>
            <wp:positionH relativeFrom="page">
              <wp:posOffset>0</wp:posOffset>
            </wp:positionH>
            <wp:positionV relativeFrom="paragraph">
              <wp:posOffset>140034</wp:posOffset>
            </wp:positionV>
            <wp:extent cx="568172" cy="184683"/>
            <wp:effectExtent l="0" t="0" r="0" b="0"/>
            <wp:wrapNone/>
            <wp:docPr id="1302" name="Image 1302"/>
            <wp:cNvGraphicFramePr>
              <a:graphicFrameLocks/>
            </wp:cNvGraphicFramePr>
            <a:graphic>
              <a:graphicData uri="http://schemas.openxmlformats.org/drawingml/2006/picture">
                <pic:pic>
                  <pic:nvPicPr>
                    <pic:cNvPr id="1302" name="Image 1302"/>
                    <pic:cNvPicPr/>
                  </pic:nvPicPr>
                  <pic:blipFill>
                    <a:blip r:embed="rId39" cstate="print"/>
                    <a:stretch>
                      <a:fillRect/>
                    </a:stretch>
                  </pic:blipFill>
                  <pic:spPr>
                    <a:xfrm>
                      <a:off x="0" y="0"/>
                      <a:ext cx="568172" cy="184683"/>
                    </a:xfrm>
                    <a:prstGeom prst="rect">
                      <a:avLst/>
                    </a:prstGeom>
                  </pic:spPr>
                </pic:pic>
              </a:graphicData>
            </a:graphic>
          </wp:anchor>
        </w:drawing>
      </w:r>
      <w:r>
        <w:rPr>
          <w:sz w:val="14"/>
        </w:rPr>
        <mc:AlternateContent>
          <mc:Choice Requires="wps">
            <w:drawing>
              <wp:anchor distT="0" distB="0" distL="0" distR="0" allowOverlap="1" layoutInCell="1" locked="0" behindDoc="0" simplePos="0" relativeHeight="15866368">
                <wp:simplePos x="0" y="0"/>
                <wp:positionH relativeFrom="page">
                  <wp:posOffset>672186</wp:posOffset>
                </wp:positionH>
                <wp:positionV relativeFrom="paragraph">
                  <wp:posOffset>127994</wp:posOffset>
                </wp:positionV>
                <wp:extent cx="195580" cy="226060"/>
                <wp:effectExtent l="0" t="0" r="0" b="0"/>
                <wp:wrapNone/>
                <wp:docPr id="1303" name="Textbox 1303"/>
                <wp:cNvGraphicFramePr>
                  <a:graphicFrameLocks/>
                </wp:cNvGraphicFramePr>
                <a:graphic>
                  <a:graphicData uri="http://schemas.microsoft.com/office/word/2010/wordprocessingShape">
                    <wps:wsp>
                      <wps:cNvPr id="1303" name="Textbox 1303"/>
                      <wps:cNvSpPr txBox="1"/>
                      <wps:spPr>
                        <a:xfrm>
                          <a:off x="0" y="0"/>
                          <a:ext cx="195580" cy="226060"/>
                        </a:xfrm>
                        <a:prstGeom prst="rect">
                          <a:avLst/>
                        </a:prstGeom>
                      </wps:spPr>
                      <wps:txbx>
                        <w:txbxContent>
                          <w:p>
                            <w:pPr>
                              <w:spacing w:before="16"/>
                              <w:ind w:left="0" w:right="0" w:firstLine="0"/>
                              <w:jc w:val="left"/>
                              <w:rPr>
                                <w:b/>
                                <w:sz w:val="26"/>
                              </w:rPr>
                            </w:pPr>
                            <w:r>
                              <w:rPr>
                                <w:b/>
                                <w:color w:val="939598"/>
                                <w:spacing w:val="-5"/>
                                <w:w w:val="105"/>
                                <w:sz w:val="26"/>
                              </w:rPr>
                              <w:t>83</w:t>
                            </w:r>
                          </w:p>
                        </w:txbxContent>
                      </wps:txbx>
                      <wps:bodyPr wrap="square" lIns="0" tIns="0" rIns="0" bIns="0" rtlCol="0">
                        <a:noAutofit/>
                      </wps:bodyPr>
                    </wps:wsp>
                  </a:graphicData>
                </a:graphic>
              </wp:anchor>
            </w:drawing>
          </mc:Choice>
          <mc:Fallback>
            <w:pict>
              <v:shape style="position:absolute;margin-left:52.928101pt;margin-top:10.078312pt;width:15.4pt;height:17.8pt;mso-position-horizontal-relative:page;mso-position-vertical-relative:paragraph;z-index:15866368" type="#_x0000_t202" id="docshape1050" filled="false" stroked="false">
                <v:textbox inset="0,0,0,0">
                  <w:txbxContent>
                    <w:p>
                      <w:pPr>
                        <w:spacing w:before="16"/>
                        <w:ind w:left="0" w:right="0" w:firstLine="0"/>
                        <w:jc w:val="left"/>
                        <w:rPr>
                          <w:b/>
                          <w:sz w:val="26"/>
                        </w:rPr>
                      </w:pPr>
                      <w:r>
                        <w:rPr>
                          <w:b/>
                          <w:color w:val="939598"/>
                          <w:spacing w:val="-5"/>
                          <w:w w:val="105"/>
                          <w:sz w:val="26"/>
                        </w:rPr>
                        <w:t>83</w:t>
                      </w:r>
                    </w:p>
                  </w:txbxContent>
                </v:textbox>
                <w10:wrap type="none"/>
              </v:shape>
            </w:pict>
          </mc:Fallback>
        </mc:AlternateContent>
      </w:r>
      <w:r>
        <w:rPr>
          <w:color w:val="636466"/>
          <w:sz w:val="14"/>
        </w:rPr>
        <w:t>Disability in this context is defined as impairment to body structure or mental functioning, activity </w:t>
      </w:r>
      <w:r>
        <w:rPr>
          <w:color w:val="636466"/>
          <w:sz w:val="14"/>
        </w:rPr>
        <w:t>limitation</w:t>
      </w:r>
      <w:r>
        <w:rPr>
          <w:color w:val="636466"/>
          <w:spacing w:val="40"/>
          <w:sz w:val="14"/>
        </w:rPr>
        <w:t> </w:t>
      </w:r>
      <w:r>
        <w:rPr>
          <w:color w:val="636466"/>
          <w:sz w:val="14"/>
        </w:rPr>
        <w:t>such as difficulty hearing, moving or problem-solving, and participation restrictions in daily activities such as</w:t>
      </w:r>
      <w:r>
        <w:rPr>
          <w:color w:val="636466"/>
          <w:spacing w:val="40"/>
          <w:sz w:val="14"/>
        </w:rPr>
        <w:t> </w:t>
      </w:r>
      <w:r>
        <w:rPr>
          <w:color w:val="636466"/>
          <w:sz w:val="14"/>
        </w:rPr>
        <w:t>working, engaging in social/recreational activities or obtaining healthcare or preventative services.</w:t>
      </w:r>
    </w:p>
    <w:p>
      <w:pPr>
        <w:pStyle w:val="BodyText"/>
        <w:spacing w:before="45"/>
      </w:pPr>
      <w:r>
        <w:rPr/>
        <w:br w:type="column"/>
      </w:r>
      <w:r>
        <w:rPr/>
      </w:r>
    </w:p>
    <w:p>
      <w:pPr>
        <w:pStyle w:val="BodyText"/>
        <w:spacing w:line="247" w:lineRule="auto"/>
        <w:ind w:right="929"/>
        <w:rPr>
          <w:position w:val="7"/>
          <w:sz w:val="13"/>
        </w:rPr>
      </w:pPr>
      <w:r>
        <w:rPr>
          <w:color w:val="105C84"/>
        </w:rPr>
        <w:t>Finally, 28% of Steuben County residents rent vs. own their home. In addition, 9% of occupied housing units have no vehicles available. Another 35% have access to one vehicle. Of note, the average household size for occupied housing is greater than two people. Approximately 35% of</w:t>
      </w:r>
      <w:r>
        <w:rPr>
          <w:color w:val="105C84"/>
          <w:spacing w:val="40"/>
        </w:rPr>
        <w:t> </w:t>
      </w:r>
      <w:r>
        <w:rPr>
          <w:color w:val="105C84"/>
        </w:rPr>
        <w:t>residents are paying 35% or more of their household income in rent costs.</w:t>
      </w:r>
      <w:r>
        <w:rPr>
          <w:color w:val="105C84"/>
          <w:position w:val="7"/>
          <w:sz w:val="13"/>
        </w:rPr>
        <w:t>35</w:t>
      </w:r>
    </w:p>
    <w:p>
      <w:pPr>
        <w:pStyle w:val="ListParagraph"/>
        <w:numPr>
          <w:ilvl w:val="0"/>
          <w:numId w:val="27"/>
        </w:numPr>
        <w:tabs>
          <w:tab w:pos="222" w:val="left" w:leader="none"/>
          <w:tab w:pos="10140" w:val="right" w:leader="none"/>
        </w:tabs>
        <w:spacing w:line="240" w:lineRule="auto" w:before="907" w:after="0"/>
        <w:ind w:left="222" w:right="0" w:hanging="217"/>
        <w:jc w:val="left"/>
        <w:rPr>
          <w:b/>
          <w:sz w:val="26"/>
        </w:rPr>
      </w:pPr>
      <w:r>
        <w:rPr>
          <w:color w:val="636466"/>
          <w:spacing w:val="-4"/>
          <w:sz w:val="14"/>
        </w:rPr>
        <w:t>Source:</w:t>
      </w:r>
      <w:r>
        <w:rPr>
          <w:color w:val="636466"/>
          <w:spacing w:val="1"/>
          <w:sz w:val="14"/>
        </w:rPr>
        <w:t> </w:t>
      </w:r>
      <w:r>
        <w:rPr>
          <w:color w:val="636466"/>
          <w:spacing w:val="-4"/>
          <w:sz w:val="14"/>
        </w:rPr>
        <w:t>US</w:t>
      </w:r>
      <w:r>
        <w:rPr>
          <w:color w:val="636466"/>
          <w:spacing w:val="2"/>
          <w:sz w:val="14"/>
        </w:rPr>
        <w:t> </w:t>
      </w:r>
      <w:r>
        <w:rPr>
          <w:color w:val="636466"/>
          <w:spacing w:val="-4"/>
          <w:sz w:val="14"/>
        </w:rPr>
        <w:t>Census</w:t>
      </w:r>
      <w:r>
        <w:rPr>
          <w:color w:val="636466"/>
          <w:spacing w:val="2"/>
          <w:sz w:val="14"/>
        </w:rPr>
        <w:t> </w:t>
      </w:r>
      <w:r>
        <w:rPr>
          <w:color w:val="636466"/>
          <w:spacing w:val="-4"/>
          <w:sz w:val="14"/>
        </w:rPr>
        <w:t>Bureau</w:t>
      </w:r>
      <w:r>
        <w:rPr>
          <w:color w:val="636466"/>
          <w:spacing w:val="2"/>
          <w:sz w:val="14"/>
        </w:rPr>
        <w:t> </w:t>
      </w:r>
      <w:r>
        <w:rPr>
          <w:color w:val="636466"/>
          <w:spacing w:val="-4"/>
          <w:sz w:val="14"/>
        </w:rPr>
        <w:t>American</w:t>
      </w:r>
      <w:r>
        <w:rPr>
          <w:color w:val="636466"/>
          <w:spacing w:val="2"/>
          <w:sz w:val="14"/>
        </w:rPr>
        <w:t> </w:t>
      </w:r>
      <w:r>
        <w:rPr>
          <w:color w:val="636466"/>
          <w:spacing w:val="-4"/>
          <w:sz w:val="14"/>
        </w:rPr>
        <w:t>Community</w:t>
      </w:r>
      <w:r>
        <w:rPr>
          <w:color w:val="636466"/>
          <w:spacing w:val="1"/>
          <w:sz w:val="14"/>
        </w:rPr>
        <w:t> </w:t>
      </w:r>
      <w:r>
        <w:rPr>
          <w:color w:val="636466"/>
          <w:spacing w:val="-4"/>
          <w:sz w:val="14"/>
        </w:rPr>
        <w:t>Survey</w:t>
      </w:r>
      <w:r>
        <w:rPr>
          <w:color w:val="636466"/>
          <w:spacing w:val="2"/>
          <w:sz w:val="14"/>
        </w:rPr>
        <w:t> </w:t>
      </w:r>
      <w:r>
        <w:rPr>
          <w:color w:val="636466"/>
          <w:spacing w:val="-4"/>
          <w:sz w:val="14"/>
        </w:rPr>
        <w:t>2013-2017</w:t>
      </w:r>
      <w:r>
        <w:rPr>
          <w:color w:val="636466"/>
          <w:spacing w:val="2"/>
          <w:sz w:val="14"/>
        </w:rPr>
        <w:t> </w:t>
      </w:r>
      <w:r>
        <w:rPr>
          <w:color w:val="636466"/>
          <w:spacing w:val="-4"/>
          <w:sz w:val="14"/>
        </w:rPr>
        <w:t>5-Year</w:t>
      </w:r>
      <w:r>
        <w:rPr>
          <w:color w:val="636466"/>
          <w:spacing w:val="2"/>
          <w:sz w:val="14"/>
        </w:rPr>
        <w:t> </w:t>
      </w:r>
      <w:r>
        <w:rPr>
          <w:color w:val="636466"/>
          <w:spacing w:val="-4"/>
          <w:sz w:val="14"/>
        </w:rPr>
        <w:t>Estimates</w:t>
      </w:r>
      <w:r>
        <w:rPr>
          <w:rFonts w:ascii="Times New Roman"/>
          <w:color w:val="636466"/>
          <w:sz w:val="14"/>
        </w:rPr>
        <w:tab/>
      </w:r>
      <w:r>
        <w:rPr>
          <w:b/>
          <w:color w:val="939598"/>
          <w:spacing w:val="-5"/>
          <w:sz w:val="26"/>
        </w:rPr>
        <w:t>84</w:t>
      </w:r>
    </w:p>
    <w:p>
      <w:pPr>
        <w:pStyle w:val="ListParagraph"/>
        <w:spacing w:after="0" w:line="240" w:lineRule="auto"/>
        <w:jc w:val="left"/>
        <w:rPr>
          <w:b/>
          <w:sz w:val="26"/>
        </w:rPr>
        <w:sectPr>
          <w:type w:val="continuous"/>
          <w:pgSz w:w="24480" w:h="15840" w:orient="landscape"/>
          <w:pgMar w:header="0" w:footer="0" w:top="0" w:bottom="280" w:left="0" w:right="720"/>
          <w:cols w:num="2" w:equalWidth="0">
            <w:col w:w="11079" w:space="2235"/>
            <w:col w:w="10446"/>
          </w:cols>
        </w:sectPr>
      </w:pPr>
    </w:p>
    <w:p>
      <w:pPr>
        <w:pStyle w:val="BodyText"/>
        <w:rPr>
          <w:b/>
          <w:sz w:val="20"/>
        </w:rPr>
      </w:pPr>
    </w:p>
    <w:p>
      <w:pPr>
        <w:pStyle w:val="BodyText"/>
        <w:spacing w:before="16"/>
        <w:rPr>
          <w:b/>
          <w:sz w:val="20"/>
        </w:rPr>
      </w:pPr>
    </w:p>
    <w:p>
      <w:pPr>
        <w:pStyle w:val="BodyText"/>
        <w:spacing w:after="0"/>
        <w:rPr>
          <w:b/>
          <w:sz w:val="20"/>
        </w:rPr>
        <w:sectPr>
          <w:pgSz w:w="24480" w:h="15840" w:orient="landscape"/>
          <w:pgMar w:header="0" w:footer="0" w:top="860" w:bottom="0" w:left="0" w:right="720"/>
        </w:sectPr>
      </w:pPr>
    </w:p>
    <w:p>
      <w:pPr>
        <w:pStyle w:val="Heading6"/>
        <w:spacing w:before="116"/>
      </w:pPr>
      <w:r>
        <w:rPr>
          <w:color w:val="105C84"/>
        </w:rPr>
        <w:t>Main</w:t>
      </w:r>
      <w:r>
        <w:rPr>
          <w:color w:val="105C84"/>
          <w:spacing w:val="-7"/>
        </w:rPr>
        <w:t> </w:t>
      </w:r>
      <w:r>
        <w:rPr>
          <w:color w:val="105C84"/>
        </w:rPr>
        <w:t>Health</w:t>
      </w:r>
      <w:r>
        <w:rPr>
          <w:color w:val="105C84"/>
          <w:spacing w:val="-6"/>
        </w:rPr>
        <w:t> </w:t>
      </w:r>
      <w:r>
        <w:rPr>
          <w:color w:val="105C84"/>
          <w:spacing w:val="-2"/>
        </w:rPr>
        <w:t>Challenges</w:t>
      </w:r>
    </w:p>
    <w:p>
      <w:pPr>
        <w:pStyle w:val="BodyText"/>
        <w:spacing w:line="247" w:lineRule="auto" w:before="268"/>
        <w:ind w:left="1080" w:right="39"/>
      </w:pPr>
      <w:r>
        <w:rPr>
          <w:color w:val="105C84"/>
        </w:rPr>
        <w:t>On May 7, 2019, stakeholders and community members were invited to attend a priority setting meeting. At this meeting, participants reviewed the MAPP process, as well as relevant qualitative, quantitative, primary and secondary data. Data were reviewed from a variety of different sources including, but not limited to, the American Community Survey, the enhanced Behavioral Risk Factor Surveillance System, Vital Statistics, communicable disease and dental reports and primary data collected from the </w:t>
      </w:r>
      <w:r>
        <w:rPr>
          <w:i/>
          <w:color w:val="105C84"/>
        </w:rPr>
        <w:t>My Health Story 2018 </w:t>
      </w:r>
      <w:r>
        <w:rPr>
          <w:color w:val="105C84"/>
        </w:rPr>
        <w:t>Survey. Lively group discussions occurred regarding the potential</w:t>
      </w:r>
      <w:r>
        <w:rPr>
          <w:color w:val="105C84"/>
          <w:spacing w:val="27"/>
        </w:rPr>
        <w:t> </w:t>
      </w:r>
      <w:r>
        <w:rPr>
          <w:color w:val="105C84"/>
        </w:rPr>
        <w:t>priority</w:t>
      </w:r>
      <w:r>
        <w:rPr>
          <w:color w:val="105C84"/>
          <w:spacing w:val="27"/>
        </w:rPr>
        <w:t> </w:t>
      </w:r>
      <w:r>
        <w:rPr>
          <w:color w:val="105C84"/>
        </w:rPr>
        <w:t>areas.</w:t>
      </w:r>
      <w:r>
        <w:rPr>
          <w:color w:val="105C84"/>
          <w:spacing w:val="27"/>
        </w:rPr>
        <w:t> </w:t>
      </w:r>
      <w:r>
        <w:rPr>
          <w:color w:val="105C84"/>
        </w:rPr>
        <w:t>The</w:t>
      </w:r>
      <w:r>
        <w:rPr>
          <w:color w:val="105C84"/>
          <w:spacing w:val="27"/>
        </w:rPr>
        <w:t> </w:t>
      </w:r>
      <w:r>
        <w:rPr>
          <w:color w:val="105C84"/>
        </w:rPr>
        <w:t>meeting</w:t>
      </w:r>
      <w:r>
        <w:rPr>
          <w:color w:val="105C84"/>
          <w:spacing w:val="27"/>
        </w:rPr>
        <w:t> </w:t>
      </w:r>
      <w:r>
        <w:rPr>
          <w:color w:val="105C84"/>
        </w:rPr>
        <w:t>was</w:t>
      </w:r>
      <w:r>
        <w:rPr>
          <w:color w:val="105C84"/>
          <w:spacing w:val="27"/>
        </w:rPr>
        <w:t> </w:t>
      </w:r>
      <w:r>
        <w:rPr>
          <w:color w:val="105C84"/>
        </w:rPr>
        <w:t>well</w:t>
      </w:r>
      <w:r>
        <w:rPr>
          <w:color w:val="105C84"/>
          <w:spacing w:val="27"/>
        </w:rPr>
        <w:t> </w:t>
      </w:r>
      <w:r>
        <w:rPr>
          <w:color w:val="105C84"/>
        </w:rPr>
        <w:t>attended</w:t>
      </w:r>
      <w:r>
        <w:rPr>
          <w:color w:val="105C84"/>
          <w:spacing w:val="27"/>
        </w:rPr>
        <w:t> </w:t>
      </w:r>
      <w:r>
        <w:rPr>
          <w:color w:val="105C84"/>
        </w:rPr>
        <w:t>with</w:t>
      </w:r>
      <w:r>
        <w:rPr>
          <w:color w:val="105C84"/>
          <w:spacing w:val="27"/>
        </w:rPr>
        <w:t> </w:t>
      </w:r>
      <w:r>
        <w:rPr>
          <w:color w:val="105C84"/>
        </w:rPr>
        <w:t>nearly</w:t>
      </w:r>
      <w:r>
        <w:rPr>
          <w:color w:val="105C84"/>
          <w:spacing w:val="27"/>
        </w:rPr>
        <w:t> </w:t>
      </w:r>
      <w:r>
        <w:rPr>
          <w:color w:val="105C84"/>
        </w:rPr>
        <w:t>60</w:t>
      </w:r>
      <w:r>
        <w:rPr>
          <w:color w:val="105C84"/>
          <w:spacing w:val="27"/>
        </w:rPr>
        <w:t> </w:t>
      </w:r>
      <w:r>
        <w:rPr>
          <w:color w:val="105C84"/>
        </w:rPr>
        <w:t>individuals.</w:t>
      </w:r>
      <w:r>
        <w:rPr>
          <w:color w:val="105C84"/>
          <w:spacing w:val="27"/>
        </w:rPr>
        <w:t> </w:t>
      </w:r>
      <w:r>
        <w:rPr>
          <w:color w:val="105C84"/>
        </w:rPr>
        <w:t>Ultimately,</w:t>
      </w:r>
      <w:r>
        <w:rPr>
          <w:color w:val="105C84"/>
          <w:spacing w:val="27"/>
        </w:rPr>
        <w:t> </w:t>
      </w:r>
      <w:r>
        <w:rPr>
          <w:color w:val="105C84"/>
        </w:rPr>
        <w:t>using the Hanlon and PEARL methods, the group selected the following as their priority areas and disparity for the 2019-2021 Community Health Improvement Plan:</w:t>
      </w:r>
    </w:p>
    <w:p>
      <w:pPr>
        <w:pStyle w:val="BodyText"/>
        <w:spacing w:before="14"/>
      </w:pPr>
    </w:p>
    <w:p>
      <w:pPr>
        <w:pStyle w:val="Heading5"/>
        <w:spacing w:before="1"/>
      </w:pPr>
      <w:r>
        <w:rPr>
          <w:color w:val="32BCAA"/>
          <w:spacing w:val="2"/>
        </w:rPr>
        <w:t>PREVENT</w:t>
      </w:r>
      <w:r>
        <w:rPr>
          <w:color w:val="32BCAA"/>
          <w:spacing w:val="35"/>
        </w:rPr>
        <w:t> </w:t>
      </w:r>
      <w:r>
        <w:rPr>
          <w:color w:val="32BCAA"/>
          <w:spacing w:val="2"/>
        </w:rPr>
        <w:t>CHRONIC</w:t>
      </w:r>
      <w:r>
        <w:rPr>
          <w:color w:val="32BCAA"/>
          <w:spacing w:val="51"/>
        </w:rPr>
        <w:t> </w:t>
      </w:r>
      <w:r>
        <w:rPr>
          <w:color w:val="32BCAA"/>
          <w:spacing w:val="-2"/>
        </w:rPr>
        <w:t>DISEASES</w:t>
      </w:r>
    </w:p>
    <w:p>
      <w:pPr>
        <w:pStyle w:val="ListParagraph"/>
        <w:numPr>
          <w:ilvl w:val="0"/>
          <w:numId w:val="28"/>
        </w:numPr>
        <w:tabs>
          <w:tab w:pos="1519" w:val="left" w:leader="none"/>
        </w:tabs>
        <w:spacing w:line="240" w:lineRule="auto" w:before="85" w:after="0"/>
        <w:ind w:left="1519" w:right="0" w:hanging="239"/>
        <w:jc w:val="left"/>
        <w:rPr>
          <w:sz w:val="22"/>
        </w:rPr>
      </w:pPr>
      <w:r>
        <w:rPr>
          <w:color w:val="105C84"/>
          <w:sz w:val="22"/>
        </w:rPr>
        <w:t>Tobacco</w:t>
      </w:r>
      <w:r>
        <w:rPr>
          <w:color w:val="105C84"/>
          <w:spacing w:val="-16"/>
          <w:sz w:val="22"/>
        </w:rPr>
        <w:t> </w:t>
      </w:r>
      <w:r>
        <w:rPr>
          <w:color w:val="105C84"/>
          <w:spacing w:val="-2"/>
          <w:sz w:val="22"/>
        </w:rPr>
        <w:t>prevention</w:t>
      </w:r>
    </w:p>
    <w:p>
      <w:pPr>
        <w:pStyle w:val="BodyText"/>
        <w:spacing w:before="27"/>
      </w:pPr>
    </w:p>
    <w:p>
      <w:pPr>
        <w:pStyle w:val="Heading5"/>
      </w:pPr>
      <w:r>
        <w:rPr>
          <w:color w:val="32BCAA"/>
        </w:rPr>
        <w:t>PROMOTE</w:t>
      </w:r>
      <w:r>
        <w:rPr>
          <w:color w:val="32BCAA"/>
          <w:spacing w:val="30"/>
        </w:rPr>
        <w:t> </w:t>
      </w:r>
      <w:r>
        <w:rPr>
          <w:color w:val="32BCAA"/>
        </w:rPr>
        <w:t>HEALTHY</w:t>
      </w:r>
      <w:r>
        <w:rPr>
          <w:color w:val="32BCAA"/>
          <w:spacing w:val="31"/>
        </w:rPr>
        <w:t> </w:t>
      </w:r>
      <w:r>
        <w:rPr>
          <w:color w:val="32BCAA"/>
        </w:rPr>
        <w:t>WOMEN,</w:t>
      </w:r>
      <w:r>
        <w:rPr>
          <w:color w:val="32BCAA"/>
          <w:spacing w:val="23"/>
        </w:rPr>
        <w:t> </w:t>
      </w:r>
      <w:r>
        <w:rPr>
          <w:color w:val="32BCAA"/>
        </w:rPr>
        <w:t>INFANTS</w:t>
      </w:r>
      <w:r>
        <w:rPr>
          <w:color w:val="32BCAA"/>
          <w:spacing w:val="30"/>
        </w:rPr>
        <w:t> </w:t>
      </w:r>
      <w:r>
        <w:rPr>
          <w:color w:val="32BCAA"/>
        </w:rPr>
        <w:t>AND</w:t>
      </w:r>
      <w:r>
        <w:rPr>
          <w:color w:val="32BCAA"/>
          <w:spacing w:val="31"/>
        </w:rPr>
        <w:t> </w:t>
      </w:r>
      <w:r>
        <w:rPr>
          <w:color w:val="32BCAA"/>
          <w:spacing w:val="-2"/>
        </w:rPr>
        <w:t>CHILDREN</w:t>
      </w:r>
    </w:p>
    <w:p>
      <w:pPr>
        <w:pStyle w:val="ListParagraph"/>
        <w:numPr>
          <w:ilvl w:val="0"/>
          <w:numId w:val="28"/>
        </w:numPr>
        <w:tabs>
          <w:tab w:pos="1519" w:val="left" w:leader="none"/>
        </w:tabs>
        <w:spacing w:line="240" w:lineRule="auto" w:before="86" w:after="0"/>
        <w:ind w:left="1519" w:right="0" w:hanging="239"/>
        <w:jc w:val="left"/>
        <w:rPr>
          <w:sz w:val="22"/>
        </w:rPr>
      </w:pPr>
      <w:r>
        <w:rPr>
          <w:color w:val="105C84"/>
          <w:sz w:val="22"/>
        </w:rPr>
        <w:t>Child</w:t>
      </w:r>
      <w:r>
        <w:rPr>
          <w:color w:val="105C84"/>
          <w:spacing w:val="16"/>
          <w:sz w:val="22"/>
        </w:rPr>
        <w:t> </w:t>
      </w:r>
      <w:r>
        <w:rPr>
          <w:color w:val="105C84"/>
          <w:sz w:val="22"/>
        </w:rPr>
        <w:t>and</w:t>
      </w:r>
      <w:r>
        <w:rPr>
          <w:color w:val="105C84"/>
          <w:spacing w:val="16"/>
          <w:sz w:val="22"/>
        </w:rPr>
        <w:t> </w:t>
      </w:r>
      <w:r>
        <w:rPr>
          <w:color w:val="105C84"/>
          <w:sz w:val="22"/>
        </w:rPr>
        <w:t>adolescent</w:t>
      </w:r>
      <w:r>
        <w:rPr>
          <w:color w:val="105C84"/>
          <w:spacing w:val="16"/>
          <w:sz w:val="22"/>
        </w:rPr>
        <w:t> </w:t>
      </w:r>
      <w:r>
        <w:rPr>
          <w:color w:val="105C84"/>
          <w:spacing w:val="-2"/>
          <w:sz w:val="22"/>
        </w:rPr>
        <w:t>health</w:t>
      </w:r>
    </w:p>
    <w:p>
      <w:pPr>
        <w:pStyle w:val="BodyText"/>
        <w:spacing w:before="26"/>
      </w:pPr>
    </w:p>
    <w:p>
      <w:pPr>
        <w:pStyle w:val="Heading5"/>
      </w:pPr>
      <w:r>
        <w:rPr>
          <w:color w:val="32BCAA"/>
        </w:rPr>
        <w:t>PROMOTE</w:t>
      </w:r>
      <w:r>
        <w:rPr>
          <w:color w:val="32BCAA"/>
          <w:spacing w:val="52"/>
        </w:rPr>
        <w:t> </w:t>
      </w:r>
      <w:r>
        <w:rPr>
          <w:color w:val="32BCAA"/>
        </w:rPr>
        <w:t>MENTAL</w:t>
      </w:r>
      <w:r>
        <w:rPr>
          <w:color w:val="32BCAA"/>
          <w:spacing w:val="53"/>
        </w:rPr>
        <w:t> </w:t>
      </w:r>
      <w:r>
        <w:rPr>
          <w:color w:val="32BCAA"/>
        </w:rPr>
        <w:t>WELL-BEING</w:t>
      </w:r>
      <w:r>
        <w:rPr>
          <w:color w:val="32BCAA"/>
          <w:spacing w:val="52"/>
        </w:rPr>
        <w:t> </w:t>
      </w:r>
      <w:r>
        <w:rPr>
          <w:color w:val="32BCAA"/>
        </w:rPr>
        <w:t>AND</w:t>
      </w:r>
      <w:r>
        <w:rPr>
          <w:color w:val="32BCAA"/>
          <w:spacing w:val="53"/>
        </w:rPr>
        <w:t> </w:t>
      </w:r>
      <w:r>
        <w:rPr>
          <w:color w:val="32BCAA"/>
        </w:rPr>
        <w:t>PREVENT</w:t>
      </w:r>
      <w:r>
        <w:rPr>
          <w:color w:val="32BCAA"/>
          <w:spacing w:val="37"/>
        </w:rPr>
        <w:t> </w:t>
      </w:r>
      <w:r>
        <w:rPr>
          <w:color w:val="32BCAA"/>
        </w:rPr>
        <w:t>SUBSTANCE</w:t>
      </w:r>
      <w:r>
        <w:rPr>
          <w:color w:val="32BCAA"/>
          <w:spacing w:val="53"/>
        </w:rPr>
        <w:t> </w:t>
      </w:r>
      <w:r>
        <w:rPr>
          <w:color w:val="32BCAA"/>
        </w:rPr>
        <w:t>USE</w:t>
      </w:r>
      <w:r>
        <w:rPr>
          <w:color w:val="32BCAA"/>
          <w:spacing w:val="52"/>
        </w:rPr>
        <w:t> </w:t>
      </w:r>
      <w:r>
        <w:rPr>
          <w:color w:val="32BCAA"/>
          <w:spacing w:val="-2"/>
        </w:rPr>
        <w:t>DISORDERS</w:t>
      </w:r>
    </w:p>
    <w:p>
      <w:pPr>
        <w:pStyle w:val="ListParagraph"/>
        <w:numPr>
          <w:ilvl w:val="0"/>
          <w:numId w:val="28"/>
        </w:numPr>
        <w:tabs>
          <w:tab w:pos="1519" w:val="left" w:leader="none"/>
        </w:tabs>
        <w:spacing w:line="240" w:lineRule="auto" w:before="86" w:after="0"/>
        <w:ind w:left="1519" w:right="0" w:hanging="239"/>
        <w:jc w:val="left"/>
        <w:rPr>
          <w:sz w:val="22"/>
        </w:rPr>
      </w:pPr>
      <w:r>
        <w:rPr>
          <w:color w:val="105C84"/>
          <w:sz w:val="22"/>
        </w:rPr>
        <w:t>Mental</w:t>
      </w:r>
      <w:r>
        <w:rPr>
          <w:color w:val="105C84"/>
          <w:spacing w:val="4"/>
          <w:sz w:val="22"/>
        </w:rPr>
        <w:t> </w:t>
      </w:r>
      <w:r>
        <w:rPr>
          <w:color w:val="105C84"/>
          <w:sz w:val="22"/>
        </w:rPr>
        <w:t>and</w:t>
      </w:r>
      <w:r>
        <w:rPr>
          <w:color w:val="105C84"/>
          <w:spacing w:val="4"/>
          <w:sz w:val="22"/>
        </w:rPr>
        <w:t> </w:t>
      </w:r>
      <w:r>
        <w:rPr>
          <w:color w:val="105C84"/>
          <w:sz w:val="22"/>
        </w:rPr>
        <w:t>substance</w:t>
      </w:r>
      <w:r>
        <w:rPr>
          <w:color w:val="105C84"/>
          <w:spacing w:val="4"/>
          <w:sz w:val="22"/>
        </w:rPr>
        <w:t> </w:t>
      </w:r>
      <w:r>
        <w:rPr>
          <w:color w:val="105C84"/>
          <w:sz w:val="22"/>
        </w:rPr>
        <w:t>use</w:t>
      </w:r>
      <w:r>
        <w:rPr>
          <w:color w:val="105C84"/>
          <w:spacing w:val="5"/>
          <w:sz w:val="22"/>
        </w:rPr>
        <w:t> </w:t>
      </w:r>
      <w:r>
        <w:rPr>
          <w:color w:val="105C84"/>
          <w:sz w:val="22"/>
        </w:rPr>
        <w:t>disorders</w:t>
      </w:r>
      <w:r>
        <w:rPr>
          <w:color w:val="105C84"/>
          <w:spacing w:val="4"/>
          <w:sz w:val="22"/>
        </w:rPr>
        <w:t> </w:t>
      </w:r>
      <w:r>
        <w:rPr>
          <w:color w:val="105C84"/>
          <w:spacing w:val="-2"/>
          <w:sz w:val="22"/>
        </w:rPr>
        <w:t>prevention</w:t>
      </w:r>
    </w:p>
    <w:p>
      <w:pPr>
        <w:pStyle w:val="BodyText"/>
        <w:spacing w:before="26"/>
      </w:pPr>
    </w:p>
    <w:p>
      <w:pPr>
        <w:pStyle w:val="Heading5"/>
      </w:pPr>
      <w:r>
        <w:rPr>
          <w:color w:val="32BCAA"/>
          <w:spacing w:val="2"/>
        </w:rPr>
        <w:t>DISPARITY:</w:t>
      </w:r>
      <w:r>
        <w:rPr>
          <w:color w:val="32BCAA"/>
          <w:spacing w:val="35"/>
        </w:rPr>
        <w:t> </w:t>
      </w:r>
      <w:r>
        <w:rPr>
          <w:color w:val="32BCAA"/>
          <w:spacing w:val="2"/>
        </w:rPr>
        <w:t>LOW</w:t>
      </w:r>
      <w:r>
        <w:rPr>
          <w:color w:val="32BCAA"/>
          <w:spacing w:val="44"/>
        </w:rPr>
        <w:t> </w:t>
      </w:r>
      <w:r>
        <w:rPr>
          <w:color w:val="32BCAA"/>
          <w:spacing w:val="2"/>
        </w:rPr>
        <w:t>SOCIOECONOMIC</w:t>
      </w:r>
      <w:r>
        <w:rPr>
          <w:color w:val="32BCAA"/>
          <w:spacing w:val="44"/>
        </w:rPr>
        <w:t> </w:t>
      </w:r>
      <w:r>
        <w:rPr>
          <w:color w:val="32BCAA"/>
          <w:spacing w:val="2"/>
        </w:rPr>
        <w:t>STATUS</w:t>
      </w:r>
      <w:r>
        <w:rPr>
          <w:color w:val="32BCAA"/>
          <w:spacing w:val="44"/>
        </w:rPr>
        <w:t> </w:t>
      </w:r>
      <w:r>
        <w:rPr>
          <w:color w:val="32BCAA"/>
          <w:spacing w:val="2"/>
        </w:rPr>
        <w:t>AND</w:t>
      </w:r>
      <w:r>
        <w:rPr>
          <w:color w:val="32BCAA"/>
          <w:spacing w:val="44"/>
        </w:rPr>
        <w:t> </w:t>
      </w:r>
      <w:r>
        <w:rPr>
          <w:color w:val="32BCAA"/>
          <w:spacing w:val="2"/>
        </w:rPr>
        <w:t>PREGNANT</w:t>
      </w:r>
      <w:r>
        <w:rPr>
          <w:color w:val="32BCAA"/>
          <w:spacing w:val="30"/>
        </w:rPr>
        <w:t> </w:t>
      </w:r>
      <w:r>
        <w:rPr>
          <w:color w:val="32BCAA"/>
          <w:spacing w:val="-2"/>
        </w:rPr>
        <w:t>WOMEN</w:t>
      </w:r>
    </w:p>
    <w:p>
      <w:pPr>
        <w:pStyle w:val="BodyText"/>
        <w:spacing w:line="247" w:lineRule="auto" w:before="86"/>
        <w:ind w:left="1080" w:right="39"/>
      </w:pPr>
      <w:r>
        <w:rPr>
          <w:i/>
          <w:color w:val="105C84"/>
        </w:rPr>
        <w:t>My</w:t>
      </w:r>
      <w:r>
        <w:rPr>
          <w:i/>
          <w:color w:val="105C84"/>
          <w:spacing w:val="19"/>
        </w:rPr>
        <w:t> </w:t>
      </w:r>
      <w:r>
        <w:rPr>
          <w:i/>
          <w:color w:val="105C84"/>
        </w:rPr>
        <w:t>Health</w:t>
      </w:r>
      <w:r>
        <w:rPr>
          <w:i/>
          <w:color w:val="105C84"/>
          <w:spacing w:val="19"/>
        </w:rPr>
        <w:t> </w:t>
      </w:r>
      <w:r>
        <w:rPr>
          <w:i/>
          <w:color w:val="105C84"/>
        </w:rPr>
        <w:t>Story</w:t>
      </w:r>
      <w:r>
        <w:rPr>
          <w:i/>
          <w:color w:val="105C84"/>
          <w:spacing w:val="19"/>
        </w:rPr>
        <w:t> </w:t>
      </w:r>
      <w:r>
        <w:rPr>
          <w:i/>
          <w:color w:val="105C84"/>
        </w:rPr>
        <w:t>2018</w:t>
      </w:r>
      <w:r>
        <w:rPr>
          <w:i/>
          <w:color w:val="105C84"/>
          <w:spacing w:val="19"/>
        </w:rPr>
        <w:t> </w:t>
      </w:r>
      <w:r>
        <w:rPr>
          <w:color w:val="105C84"/>
        </w:rPr>
        <w:t>respondents</w:t>
      </w:r>
      <w:r>
        <w:rPr>
          <w:color w:val="105C84"/>
          <w:spacing w:val="19"/>
        </w:rPr>
        <w:t> </w:t>
      </w:r>
      <w:r>
        <w:rPr>
          <w:color w:val="105C84"/>
        </w:rPr>
        <w:t>were</w:t>
      </w:r>
      <w:r>
        <w:rPr>
          <w:color w:val="105C84"/>
          <w:spacing w:val="19"/>
        </w:rPr>
        <w:t> </w:t>
      </w:r>
      <w:r>
        <w:rPr>
          <w:color w:val="105C84"/>
        </w:rPr>
        <w:t>asked</w:t>
      </w:r>
      <w:r>
        <w:rPr>
          <w:color w:val="105C84"/>
          <w:spacing w:val="19"/>
        </w:rPr>
        <w:t> </w:t>
      </w:r>
      <w:r>
        <w:rPr>
          <w:color w:val="105C84"/>
        </w:rPr>
        <w:t>questions</w:t>
      </w:r>
      <w:r>
        <w:rPr>
          <w:color w:val="105C84"/>
          <w:spacing w:val="19"/>
        </w:rPr>
        <w:t> </w:t>
      </w:r>
      <w:r>
        <w:rPr>
          <w:color w:val="105C84"/>
        </w:rPr>
        <w:t>related</w:t>
      </w:r>
      <w:r>
        <w:rPr>
          <w:color w:val="105C84"/>
          <w:spacing w:val="19"/>
        </w:rPr>
        <w:t> </w:t>
      </w:r>
      <w:r>
        <w:rPr>
          <w:color w:val="105C84"/>
        </w:rPr>
        <w:t>to</w:t>
      </w:r>
      <w:r>
        <w:rPr>
          <w:color w:val="105C84"/>
          <w:spacing w:val="19"/>
        </w:rPr>
        <w:t> </w:t>
      </w:r>
      <w:r>
        <w:rPr>
          <w:color w:val="105C84"/>
        </w:rPr>
        <w:t>their</w:t>
      </w:r>
      <w:r>
        <w:rPr>
          <w:color w:val="105C84"/>
          <w:spacing w:val="19"/>
        </w:rPr>
        <w:t> </w:t>
      </w:r>
      <w:r>
        <w:rPr>
          <w:color w:val="105C84"/>
        </w:rPr>
        <w:t>top</w:t>
      </w:r>
      <w:r>
        <w:rPr>
          <w:color w:val="105C84"/>
          <w:spacing w:val="19"/>
        </w:rPr>
        <w:t> </w:t>
      </w:r>
      <w:r>
        <w:rPr>
          <w:color w:val="105C84"/>
        </w:rPr>
        <w:t>concerns</w:t>
      </w:r>
      <w:r>
        <w:rPr>
          <w:color w:val="105C84"/>
          <w:spacing w:val="19"/>
        </w:rPr>
        <w:t> </w:t>
      </w:r>
      <w:r>
        <w:rPr>
          <w:color w:val="105C84"/>
        </w:rPr>
        <w:t>for</w:t>
      </w:r>
      <w:r>
        <w:rPr>
          <w:color w:val="105C84"/>
          <w:spacing w:val="19"/>
        </w:rPr>
        <w:t> </w:t>
      </w:r>
      <w:r>
        <w:rPr>
          <w:color w:val="105C84"/>
        </w:rPr>
        <w:t>the</w:t>
      </w:r>
      <w:r>
        <w:rPr>
          <w:color w:val="105C84"/>
          <w:spacing w:val="19"/>
        </w:rPr>
        <w:t> </w:t>
      </w:r>
      <w:r>
        <w:rPr>
          <w:color w:val="105C84"/>
        </w:rPr>
        <w:t>health of themselves, loved ones, adults and children in the community. Their responses were reviewed at</w:t>
      </w:r>
      <w:r>
        <w:rPr>
          <w:color w:val="105C84"/>
          <w:spacing w:val="80"/>
          <w:w w:val="105"/>
        </w:rPr>
        <w:t> </w:t>
      </w:r>
      <w:r>
        <w:rPr>
          <w:color w:val="105C84"/>
          <w:w w:val="105"/>
        </w:rPr>
        <w:t>the</w:t>
      </w:r>
      <w:r>
        <w:rPr>
          <w:color w:val="105C84"/>
          <w:spacing w:val="-2"/>
          <w:w w:val="105"/>
        </w:rPr>
        <w:t> </w:t>
      </w:r>
      <w:r>
        <w:rPr>
          <w:color w:val="105C84"/>
          <w:w w:val="105"/>
        </w:rPr>
        <w:t>priority</w:t>
      </w:r>
      <w:r>
        <w:rPr>
          <w:color w:val="105C84"/>
          <w:spacing w:val="-2"/>
          <w:w w:val="105"/>
        </w:rPr>
        <w:t> </w:t>
      </w:r>
      <w:r>
        <w:rPr>
          <w:color w:val="105C84"/>
          <w:w w:val="105"/>
        </w:rPr>
        <w:t>setting</w:t>
      </w:r>
      <w:r>
        <w:rPr>
          <w:color w:val="105C84"/>
          <w:spacing w:val="-2"/>
          <w:w w:val="105"/>
        </w:rPr>
        <w:t> </w:t>
      </w:r>
      <w:r>
        <w:rPr>
          <w:color w:val="105C84"/>
          <w:w w:val="105"/>
        </w:rPr>
        <w:t>meeting</w:t>
      </w:r>
      <w:r>
        <w:rPr>
          <w:color w:val="105C84"/>
          <w:spacing w:val="-2"/>
          <w:w w:val="105"/>
        </w:rPr>
        <w:t> </w:t>
      </w:r>
      <w:r>
        <w:rPr>
          <w:color w:val="105C84"/>
          <w:w w:val="105"/>
        </w:rPr>
        <w:t>(Figure</w:t>
      </w:r>
      <w:r>
        <w:rPr>
          <w:color w:val="105C84"/>
          <w:spacing w:val="-2"/>
          <w:w w:val="105"/>
        </w:rPr>
        <w:t> </w:t>
      </w:r>
      <w:r>
        <w:rPr>
          <w:color w:val="105C84"/>
          <w:w w:val="105"/>
        </w:rPr>
        <w:t>42).</w:t>
      </w:r>
      <w:r>
        <w:rPr>
          <w:color w:val="105C84"/>
          <w:spacing w:val="-2"/>
          <w:w w:val="105"/>
        </w:rPr>
        <w:t> </w:t>
      </w:r>
      <w:r>
        <w:rPr>
          <w:color w:val="105C84"/>
          <w:w w:val="105"/>
        </w:rPr>
        <w:t>Weight</w:t>
      </w:r>
      <w:r>
        <w:rPr>
          <w:color w:val="105C84"/>
          <w:spacing w:val="-2"/>
          <w:w w:val="105"/>
        </w:rPr>
        <w:t> </w:t>
      </w:r>
      <w:r>
        <w:rPr>
          <w:color w:val="105C84"/>
          <w:w w:val="105"/>
        </w:rPr>
        <w:t>and</w:t>
      </w:r>
      <w:r>
        <w:rPr>
          <w:color w:val="105C84"/>
          <w:spacing w:val="-2"/>
          <w:w w:val="105"/>
        </w:rPr>
        <w:t> </w:t>
      </w:r>
      <w:r>
        <w:rPr>
          <w:color w:val="105C84"/>
          <w:w w:val="105"/>
        </w:rPr>
        <w:t>mental/emotional</w:t>
      </w:r>
      <w:r>
        <w:rPr>
          <w:color w:val="105C84"/>
          <w:spacing w:val="-2"/>
          <w:w w:val="105"/>
        </w:rPr>
        <w:t> </w:t>
      </w:r>
      <w:r>
        <w:rPr>
          <w:color w:val="105C84"/>
          <w:w w:val="105"/>
        </w:rPr>
        <w:t>health</w:t>
      </w:r>
      <w:r>
        <w:rPr>
          <w:color w:val="105C84"/>
          <w:spacing w:val="-2"/>
          <w:w w:val="105"/>
        </w:rPr>
        <w:t> </w:t>
      </w:r>
      <w:r>
        <w:rPr>
          <w:color w:val="105C84"/>
          <w:w w:val="105"/>
        </w:rPr>
        <w:t>issues</w:t>
      </w:r>
      <w:r>
        <w:rPr>
          <w:color w:val="105C84"/>
          <w:spacing w:val="-2"/>
          <w:w w:val="105"/>
        </w:rPr>
        <w:t> </w:t>
      </w:r>
      <w:r>
        <w:rPr>
          <w:color w:val="105C84"/>
          <w:w w:val="105"/>
        </w:rPr>
        <w:t>rose</w:t>
      </w:r>
      <w:r>
        <w:rPr>
          <w:color w:val="105C84"/>
          <w:spacing w:val="-2"/>
          <w:w w:val="105"/>
        </w:rPr>
        <w:t> </w:t>
      </w:r>
      <w:r>
        <w:rPr>
          <w:color w:val="105C84"/>
          <w:w w:val="105"/>
        </w:rPr>
        <w:t>to</w:t>
      </w:r>
      <w:r>
        <w:rPr>
          <w:color w:val="105C84"/>
          <w:spacing w:val="-2"/>
          <w:w w:val="105"/>
        </w:rPr>
        <w:t> </w:t>
      </w:r>
      <w:r>
        <w:rPr>
          <w:color w:val="105C84"/>
          <w:w w:val="105"/>
        </w:rPr>
        <w:t>the</w:t>
      </w:r>
      <w:r>
        <w:rPr>
          <w:color w:val="105C84"/>
          <w:spacing w:val="-2"/>
          <w:w w:val="105"/>
        </w:rPr>
        <w:t> </w:t>
      </w:r>
      <w:r>
        <w:rPr>
          <w:color w:val="105C84"/>
          <w:w w:val="105"/>
        </w:rPr>
        <w:t>top </w:t>
      </w:r>
      <w:r>
        <w:rPr>
          <w:color w:val="105C84"/>
        </w:rPr>
        <w:t>for each of the four categories. Of note, substance use and obesity indicators including exercise, diet</w:t>
      </w:r>
      <w:r>
        <w:rPr>
          <w:color w:val="105C84"/>
          <w:spacing w:val="40"/>
          <w:w w:val="105"/>
        </w:rPr>
        <w:t> </w:t>
      </w:r>
      <w:r>
        <w:rPr>
          <w:color w:val="105C84"/>
          <w:w w:val="105"/>
        </w:rPr>
        <w:t>and</w:t>
      </w:r>
      <w:r>
        <w:rPr>
          <w:color w:val="105C84"/>
          <w:spacing w:val="-5"/>
          <w:w w:val="105"/>
        </w:rPr>
        <w:t> </w:t>
      </w:r>
      <w:r>
        <w:rPr>
          <w:color w:val="105C84"/>
          <w:w w:val="105"/>
        </w:rPr>
        <w:t>nutrition</w:t>
      </w:r>
      <w:r>
        <w:rPr>
          <w:color w:val="105C84"/>
          <w:spacing w:val="-5"/>
          <w:w w:val="105"/>
        </w:rPr>
        <w:t> </w:t>
      </w:r>
      <w:r>
        <w:rPr>
          <w:color w:val="105C84"/>
          <w:w w:val="105"/>
        </w:rPr>
        <w:t>were</w:t>
      </w:r>
      <w:r>
        <w:rPr>
          <w:color w:val="105C84"/>
          <w:spacing w:val="-5"/>
          <w:w w:val="105"/>
        </w:rPr>
        <w:t> </w:t>
      </w:r>
      <w:r>
        <w:rPr>
          <w:color w:val="105C84"/>
          <w:w w:val="105"/>
        </w:rPr>
        <w:t>concerns</w:t>
      </w:r>
      <w:r>
        <w:rPr>
          <w:color w:val="105C84"/>
          <w:spacing w:val="-5"/>
          <w:w w:val="105"/>
        </w:rPr>
        <w:t> </w:t>
      </w:r>
      <w:r>
        <w:rPr>
          <w:color w:val="105C84"/>
          <w:w w:val="105"/>
        </w:rPr>
        <w:t>for</w:t>
      </w:r>
      <w:r>
        <w:rPr>
          <w:color w:val="105C84"/>
          <w:spacing w:val="-5"/>
          <w:w w:val="105"/>
        </w:rPr>
        <w:t> </w:t>
      </w:r>
      <w:r>
        <w:rPr>
          <w:color w:val="105C84"/>
          <w:w w:val="105"/>
        </w:rPr>
        <w:t>children</w:t>
      </w:r>
      <w:r>
        <w:rPr>
          <w:color w:val="105C84"/>
          <w:spacing w:val="-5"/>
          <w:w w:val="105"/>
        </w:rPr>
        <w:t> </w:t>
      </w:r>
      <w:r>
        <w:rPr>
          <w:color w:val="105C84"/>
          <w:w w:val="105"/>
        </w:rPr>
        <w:t>in</w:t>
      </w:r>
      <w:r>
        <w:rPr>
          <w:color w:val="105C84"/>
          <w:spacing w:val="-5"/>
          <w:w w:val="105"/>
        </w:rPr>
        <w:t> </w:t>
      </w:r>
      <w:r>
        <w:rPr>
          <w:color w:val="105C84"/>
          <w:w w:val="105"/>
        </w:rPr>
        <w:t>the</w:t>
      </w:r>
      <w:r>
        <w:rPr>
          <w:color w:val="105C84"/>
          <w:spacing w:val="-5"/>
          <w:w w:val="105"/>
        </w:rPr>
        <w:t> </w:t>
      </w:r>
      <w:r>
        <w:rPr>
          <w:color w:val="105C84"/>
          <w:w w:val="105"/>
        </w:rPr>
        <w:t>county.</w:t>
      </w:r>
      <w:r>
        <w:rPr>
          <w:color w:val="105C84"/>
          <w:spacing w:val="-5"/>
          <w:w w:val="105"/>
        </w:rPr>
        <w:t> </w:t>
      </w:r>
      <w:r>
        <w:rPr>
          <w:color w:val="105C84"/>
          <w:w w:val="105"/>
        </w:rPr>
        <w:t>Aging</w:t>
      </w:r>
      <w:r>
        <w:rPr>
          <w:color w:val="105C84"/>
          <w:spacing w:val="-5"/>
          <w:w w:val="105"/>
        </w:rPr>
        <w:t> </w:t>
      </w:r>
      <w:r>
        <w:rPr>
          <w:color w:val="105C84"/>
          <w:w w:val="105"/>
        </w:rPr>
        <w:t>and</w:t>
      </w:r>
      <w:r>
        <w:rPr>
          <w:color w:val="105C84"/>
          <w:spacing w:val="-5"/>
          <w:w w:val="105"/>
        </w:rPr>
        <w:t> </w:t>
      </w:r>
      <w:r>
        <w:rPr>
          <w:color w:val="105C84"/>
          <w:w w:val="105"/>
        </w:rPr>
        <w:t>cost</w:t>
      </w:r>
      <w:r>
        <w:rPr>
          <w:color w:val="105C84"/>
          <w:spacing w:val="-5"/>
          <w:w w:val="105"/>
        </w:rPr>
        <w:t> </w:t>
      </w:r>
      <w:r>
        <w:rPr>
          <w:color w:val="105C84"/>
          <w:w w:val="105"/>
        </w:rPr>
        <w:t>of</w:t>
      </w:r>
      <w:r>
        <w:rPr>
          <w:color w:val="105C84"/>
          <w:spacing w:val="-5"/>
          <w:w w:val="105"/>
        </w:rPr>
        <w:t> </w:t>
      </w:r>
      <w:r>
        <w:rPr>
          <w:color w:val="105C84"/>
          <w:w w:val="105"/>
        </w:rPr>
        <w:t>care</w:t>
      </w:r>
      <w:r>
        <w:rPr>
          <w:color w:val="105C84"/>
          <w:spacing w:val="-5"/>
          <w:w w:val="105"/>
        </w:rPr>
        <w:t> </w:t>
      </w:r>
      <w:r>
        <w:rPr>
          <w:color w:val="105C84"/>
          <w:w w:val="105"/>
        </w:rPr>
        <w:t>were</w:t>
      </w:r>
      <w:r>
        <w:rPr>
          <w:color w:val="105C84"/>
          <w:spacing w:val="-5"/>
          <w:w w:val="105"/>
        </w:rPr>
        <w:t> </w:t>
      </w:r>
      <w:r>
        <w:rPr>
          <w:color w:val="105C84"/>
          <w:w w:val="105"/>
        </w:rPr>
        <w:t>also</w:t>
      </w:r>
      <w:r>
        <w:rPr>
          <w:color w:val="105C84"/>
          <w:spacing w:val="-5"/>
          <w:w w:val="105"/>
        </w:rPr>
        <w:t> </w:t>
      </w:r>
      <w:r>
        <w:rPr>
          <w:color w:val="105C84"/>
          <w:w w:val="105"/>
        </w:rPr>
        <w:t>highlighted as</w:t>
      </w:r>
      <w:r>
        <w:rPr>
          <w:color w:val="105C84"/>
          <w:spacing w:val="-3"/>
          <w:w w:val="105"/>
        </w:rPr>
        <w:t> </w:t>
      </w:r>
      <w:r>
        <w:rPr>
          <w:color w:val="105C84"/>
          <w:w w:val="105"/>
        </w:rPr>
        <w:t>respondents’</w:t>
      </w:r>
      <w:r>
        <w:rPr>
          <w:color w:val="105C84"/>
          <w:spacing w:val="-3"/>
          <w:w w:val="105"/>
        </w:rPr>
        <w:t> </w:t>
      </w:r>
      <w:r>
        <w:rPr>
          <w:color w:val="105C84"/>
          <w:w w:val="105"/>
        </w:rPr>
        <w:t>top</w:t>
      </w:r>
      <w:r>
        <w:rPr>
          <w:color w:val="105C84"/>
          <w:spacing w:val="-3"/>
          <w:w w:val="105"/>
        </w:rPr>
        <w:t> </w:t>
      </w:r>
      <w:r>
        <w:rPr>
          <w:color w:val="105C84"/>
          <w:w w:val="105"/>
        </w:rPr>
        <w:t>fears</w:t>
      </w:r>
      <w:r>
        <w:rPr>
          <w:color w:val="105C84"/>
          <w:spacing w:val="-3"/>
          <w:w w:val="105"/>
        </w:rPr>
        <w:t> </w:t>
      </w:r>
      <w:r>
        <w:rPr>
          <w:color w:val="105C84"/>
          <w:w w:val="105"/>
        </w:rPr>
        <w:t>for</w:t>
      </w:r>
      <w:r>
        <w:rPr>
          <w:color w:val="105C84"/>
          <w:spacing w:val="-3"/>
          <w:w w:val="105"/>
        </w:rPr>
        <w:t> </w:t>
      </w:r>
      <w:r>
        <w:rPr>
          <w:color w:val="105C84"/>
          <w:w w:val="105"/>
        </w:rPr>
        <w:t>themselves</w:t>
      </w:r>
      <w:r>
        <w:rPr>
          <w:color w:val="105C84"/>
          <w:spacing w:val="-3"/>
          <w:w w:val="105"/>
        </w:rPr>
        <w:t> </w:t>
      </w:r>
      <w:r>
        <w:rPr>
          <w:color w:val="105C84"/>
          <w:w w:val="105"/>
        </w:rPr>
        <w:t>and</w:t>
      </w:r>
      <w:r>
        <w:rPr>
          <w:color w:val="105C84"/>
          <w:spacing w:val="-3"/>
          <w:w w:val="105"/>
        </w:rPr>
        <w:t> </w:t>
      </w:r>
      <w:r>
        <w:rPr>
          <w:color w:val="105C84"/>
          <w:w w:val="105"/>
        </w:rPr>
        <w:t>for</w:t>
      </w:r>
      <w:r>
        <w:rPr>
          <w:color w:val="105C84"/>
          <w:spacing w:val="-3"/>
          <w:w w:val="105"/>
        </w:rPr>
        <w:t> </w:t>
      </w:r>
      <w:r>
        <w:rPr>
          <w:color w:val="105C84"/>
          <w:w w:val="105"/>
        </w:rPr>
        <w:t>others.</w:t>
      </w:r>
    </w:p>
    <w:p>
      <w:pPr>
        <w:pStyle w:val="Heading6"/>
        <w:spacing w:before="116"/>
        <w:ind w:right="459"/>
      </w:pPr>
      <w:r>
        <w:rPr>
          <w:b w:val="0"/>
        </w:rPr>
        <w:br w:type="column"/>
      </w:r>
      <w:r>
        <w:rPr>
          <w:color w:val="105C84"/>
          <w:spacing w:val="-2"/>
        </w:rPr>
        <w:t>FIGURE</w:t>
      </w:r>
      <w:r>
        <w:rPr>
          <w:color w:val="105C84"/>
          <w:spacing w:val="-17"/>
        </w:rPr>
        <w:t> </w:t>
      </w:r>
      <w:r>
        <w:rPr>
          <w:color w:val="105C84"/>
          <w:spacing w:val="-2"/>
        </w:rPr>
        <w:t>42:</w:t>
      </w:r>
      <w:r>
        <w:rPr>
          <w:color w:val="105C84"/>
          <w:spacing w:val="-16"/>
        </w:rPr>
        <w:t> </w:t>
      </w:r>
      <w:r>
        <w:rPr>
          <w:color w:val="105C84"/>
          <w:spacing w:val="-2"/>
        </w:rPr>
        <w:t>Steuben</w:t>
      </w:r>
      <w:r>
        <w:rPr>
          <w:color w:val="105C84"/>
          <w:spacing w:val="-16"/>
        </w:rPr>
        <w:t> </w:t>
      </w:r>
      <w:r>
        <w:rPr>
          <w:color w:val="105C84"/>
          <w:spacing w:val="-2"/>
        </w:rPr>
        <w:t>County</w:t>
      </w:r>
      <w:r>
        <w:rPr>
          <w:color w:val="105C84"/>
          <w:spacing w:val="-16"/>
        </w:rPr>
        <w:t> </w:t>
      </w:r>
      <w:r>
        <w:rPr>
          <w:color w:val="105C84"/>
          <w:spacing w:val="-2"/>
        </w:rPr>
        <w:t>summary</w:t>
      </w:r>
      <w:r>
        <w:rPr>
          <w:color w:val="105C84"/>
          <w:spacing w:val="-16"/>
        </w:rPr>
        <w:t> </w:t>
      </w:r>
      <w:r>
        <w:rPr>
          <w:color w:val="105C84"/>
          <w:spacing w:val="-2"/>
        </w:rPr>
        <w:t>of</w:t>
      </w:r>
      <w:r>
        <w:rPr>
          <w:color w:val="105C84"/>
          <w:spacing w:val="-16"/>
        </w:rPr>
        <w:t> </w:t>
      </w:r>
      <w:r>
        <w:rPr>
          <w:color w:val="105C84"/>
          <w:spacing w:val="-2"/>
        </w:rPr>
        <w:t>health-related</w:t>
      </w:r>
      <w:r>
        <w:rPr>
          <w:color w:val="105C84"/>
          <w:spacing w:val="-16"/>
        </w:rPr>
        <w:t> </w:t>
      </w:r>
      <w:r>
        <w:rPr>
          <w:color w:val="105C84"/>
          <w:spacing w:val="-2"/>
        </w:rPr>
        <w:t>concerns</w:t>
      </w:r>
      <w:r>
        <w:rPr>
          <w:color w:val="105C84"/>
          <w:spacing w:val="-16"/>
        </w:rPr>
        <w:t> </w:t>
      </w:r>
      <w:r>
        <w:rPr>
          <w:color w:val="105C84"/>
          <w:spacing w:val="-2"/>
        </w:rPr>
        <w:t>for</w:t>
      </w:r>
      <w:r>
        <w:rPr>
          <w:color w:val="105C84"/>
          <w:spacing w:val="-16"/>
        </w:rPr>
        <w:t> </w:t>
      </w:r>
      <w:r>
        <w:rPr>
          <w:color w:val="105C84"/>
          <w:spacing w:val="-2"/>
        </w:rPr>
        <w:t>self,</w:t>
      </w:r>
      <w:r>
        <w:rPr>
          <w:color w:val="105C84"/>
          <w:spacing w:val="-16"/>
        </w:rPr>
        <w:t> </w:t>
      </w:r>
      <w:r>
        <w:rPr>
          <w:color w:val="105C84"/>
          <w:spacing w:val="-2"/>
        </w:rPr>
        <w:t>loved </w:t>
      </w:r>
      <w:r>
        <w:rPr>
          <w:color w:val="105C84"/>
        </w:rPr>
        <w:t>ones and county to prioritize</w:t>
      </w:r>
    </w:p>
    <w:p>
      <w:pPr>
        <w:pStyle w:val="BodyText"/>
        <w:spacing w:before="132"/>
        <w:rPr>
          <w:b/>
          <w:sz w:val="20"/>
        </w:rPr>
      </w:pPr>
      <w:r>
        <w:rPr>
          <w:b/>
          <w:sz w:val="20"/>
        </w:rPr>
        <mc:AlternateContent>
          <mc:Choice Requires="wps">
            <w:drawing>
              <wp:anchor distT="0" distB="0" distL="0" distR="0" allowOverlap="1" layoutInCell="1" locked="0" behindDoc="1" simplePos="0" relativeHeight="487587840">
                <wp:simplePos x="0" y="0"/>
                <wp:positionH relativeFrom="page">
                  <wp:posOffset>8454643</wp:posOffset>
                </wp:positionH>
                <wp:positionV relativeFrom="paragraph">
                  <wp:posOffset>245167</wp:posOffset>
                </wp:positionV>
                <wp:extent cx="2891155" cy="1374775"/>
                <wp:effectExtent l="0" t="0" r="0" b="0"/>
                <wp:wrapTopAndBottom/>
                <wp:docPr id="1304" name="Textbox 1304"/>
                <wp:cNvGraphicFramePr>
                  <a:graphicFrameLocks/>
                </wp:cNvGraphicFramePr>
                <a:graphic>
                  <a:graphicData uri="http://schemas.microsoft.com/office/word/2010/wordprocessingShape">
                    <wps:wsp>
                      <wps:cNvPr id="1304" name="Textbox 1304"/>
                      <wps:cNvSpPr txBox="1"/>
                      <wps:spPr>
                        <a:xfrm>
                          <a:off x="0" y="0"/>
                          <a:ext cx="2891155" cy="1374775"/>
                        </a:xfrm>
                        <a:prstGeom prst="rect">
                          <a:avLst/>
                        </a:prstGeom>
                      </wps:spPr>
                      <wps:txbx>
                        <w:txbxContent>
                          <w:tbl>
                            <w:tblPr>
                              <w:tblW w:w="0" w:type="auto"/>
                              <w:jc w:val="left"/>
                              <w:tblInd w:w="2" w:type="dxa"/>
                              <w:tblBorders>
                                <w:top w:val="single" w:sz="2" w:space="0" w:color="636466"/>
                                <w:left w:val="single" w:sz="2" w:space="0" w:color="636466"/>
                                <w:bottom w:val="single" w:sz="2" w:space="0" w:color="636466"/>
                                <w:right w:val="single" w:sz="2" w:space="0" w:color="636466"/>
                                <w:insideH w:val="single" w:sz="2" w:space="0" w:color="636466"/>
                                <w:insideV w:val="single" w:sz="2" w:space="0" w:color="636466"/>
                              </w:tblBorders>
                              <w:tblLayout w:type="fixed"/>
                              <w:tblCellMar>
                                <w:top w:w="0" w:type="dxa"/>
                                <w:left w:w="0" w:type="dxa"/>
                                <w:bottom w:w="0" w:type="dxa"/>
                                <w:right w:w="0" w:type="dxa"/>
                              </w:tblCellMar>
                              <w:tblLook w:val="01E0"/>
                            </w:tblPr>
                            <w:tblGrid>
                              <w:gridCol w:w="4548"/>
                            </w:tblGrid>
                            <w:tr>
                              <w:trPr>
                                <w:trHeight w:val="355" w:hRule="atLeast"/>
                              </w:trPr>
                              <w:tc>
                                <w:tcPr>
                                  <w:tcW w:w="4548" w:type="dxa"/>
                                  <w:shd w:val="clear" w:color="auto" w:fill="82BF6A"/>
                                </w:tcPr>
                                <w:p>
                                  <w:pPr>
                                    <w:pStyle w:val="TableParagraph"/>
                                    <w:spacing w:before="90"/>
                                    <w:ind w:left="80"/>
                                    <w:rPr>
                                      <w:b/>
                                      <w:sz w:val="20"/>
                                    </w:rPr>
                                  </w:pPr>
                                  <w:r>
                                    <w:rPr>
                                      <w:b/>
                                      <w:color w:val="FFFFFF"/>
                                      <w:sz w:val="20"/>
                                    </w:rPr>
                                    <w:t>BIGGEST</w:t>
                                  </w:r>
                                  <w:r>
                                    <w:rPr>
                                      <w:b/>
                                      <w:color w:val="FFFFFF"/>
                                      <w:spacing w:val="-10"/>
                                      <w:sz w:val="20"/>
                                    </w:rPr>
                                    <w:t> </w:t>
                                  </w:r>
                                  <w:r>
                                    <w:rPr>
                                      <w:b/>
                                      <w:color w:val="FFFFFF"/>
                                      <w:sz w:val="20"/>
                                    </w:rPr>
                                    <w:t>FEAR</w:t>
                                  </w:r>
                                  <w:r>
                                    <w:rPr>
                                      <w:b/>
                                      <w:color w:val="FFFFFF"/>
                                      <w:spacing w:val="-10"/>
                                      <w:sz w:val="20"/>
                                    </w:rPr>
                                    <w:t> </w:t>
                                  </w:r>
                                  <w:r>
                                    <w:rPr>
                                      <w:b/>
                                      <w:color w:val="FFFFFF"/>
                                      <w:sz w:val="20"/>
                                    </w:rPr>
                                    <w:t>-</w:t>
                                  </w:r>
                                  <w:r>
                                    <w:rPr>
                                      <w:b/>
                                      <w:color w:val="FFFFFF"/>
                                      <w:spacing w:val="-9"/>
                                      <w:sz w:val="20"/>
                                    </w:rPr>
                                    <w:t> </w:t>
                                  </w:r>
                                  <w:r>
                                    <w:rPr>
                                      <w:b/>
                                      <w:color w:val="FFFFFF"/>
                                      <w:sz w:val="20"/>
                                    </w:rPr>
                                    <w:t>FOR</w:t>
                                  </w:r>
                                  <w:r>
                                    <w:rPr>
                                      <w:b/>
                                      <w:color w:val="FFFFFF"/>
                                      <w:spacing w:val="-10"/>
                                      <w:sz w:val="20"/>
                                    </w:rPr>
                                    <w:t> </w:t>
                                  </w:r>
                                  <w:r>
                                    <w:rPr>
                                      <w:b/>
                                      <w:color w:val="FFFFFF"/>
                                      <w:spacing w:val="-4"/>
                                      <w:sz w:val="20"/>
                                    </w:rPr>
                                    <w:t>SELF</w:t>
                                  </w:r>
                                </w:p>
                              </w:tc>
                            </w:tr>
                            <w:tr>
                              <w:trPr>
                                <w:trHeight w:val="355" w:hRule="atLeast"/>
                              </w:trPr>
                              <w:tc>
                                <w:tcPr>
                                  <w:tcW w:w="4548" w:type="dxa"/>
                                </w:tcPr>
                                <w:p>
                                  <w:pPr>
                                    <w:pStyle w:val="TableParagraph"/>
                                    <w:spacing w:before="90"/>
                                    <w:ind w:left="80"/>
                                    <w:rPr>
                                      <w:sz w:val="20"/>
                                    </w:rPr>
                                  </w:pPr>
                                  <w:r>
                                    <w:rPr>
                                      <w:color w:val="105C84"/>
                                      <w:sz w:val="20"/>
                                    </w:rPr>
                                    <w:t>Weight</w:t>
                                  </w:r>
                                  <w:r>
                                    <w:rPr>
                                      <w:color w:val="105C84"/>
                                      <w:spacing w:val="27"/>
                                      <w:sz w:val="20"/>
                                    </w:rPr>
                                    <w:t> </w:t>
                                  </w:r>
                                  <w:r>
                                    <w:rPr>
                                      <w:color w:val="105C84"/>
                                      <w:spacing w:val="-2"/>
                                      <w:sz w:val="20"/>
                                    </w:rPr>
                                    <w:t>(12.6%)</w:t>
                                  </w:r>
                                </w:p>
                              </w:tc>
                            </w:tr>
                            <w:tr>
                              <w:trPr>
                                <w:trHeight w:val="355" w:hRule="atLeast"/>
                              </w:trPr>
                              <w:tc>
                                <w:tcPr>
                                  <w:tcW w:w="4548" w:type="dxa"/>
                                </w:tcPr>
                                <w:p>
                                  <w:pPr>
                                    <w:pStyle w:val="TableParagraph"/>
                                    <w:spacing w:before="90"/>
                                    <w:ind w:left="80"/>
                                    <w:rPr>
                                      <w:sz w:val="20"/>
                                    </w:rPr>
                                  </w:pPr>
                                  <w:r>
                                    <w:rPr>
                                      <w:color w:val="105C84"/>
                                      <w:sz w:val="20"/>
                                    </w:rPr>
                                    <w:t>Mental</w:t>
                                  </w:r>
                                  <w:r>
                                    <w:rPr>
                                      <w:color w:val="105C84"/>
                                      <w:spacing w:val="13"/>
                                      <w:sz w:val="20"/>
                                    </w:rPr>
                                    <w:t> </w:t>
                                  </w:r>
                                  <w:r>
                                    <w:rPr>
                                      <w:color w:val="105C84"/>
                                      <w:sz w:val="20"/>
                                    </w:rPr>
                                    <w:t>/</w:t>
                                  </w:r>
                                  <w:r>
                                    <w:rPr>
                                      <w:color w:val="105C84"/>
                                      <w:spacing w:val="13"/>
                                      <w:sz w:val="20"/>
                                    </w:rPr>
                                    <w:t> </w:t>
                                  </w:r>
                                  <w:r>
                                    <w:rPr>
                                      <w:color w:val="105C84"/>
                                      <w:sz w:val="20"/>
                                    </w:rPr>
                                    <w:t>emotional</w:t>
                                  </w:r>
                                  <w:r>
                                    <w:rPr>
                                      <w:color w:val="105C84"/>
                                      <w:spacing w:val="13"/>
                                      <w:sz w:val="20"/>
                                    </w:rPr>
                                    <w:t> </w:t>
                                  </w:r>
                                  <w:r>
                                    <w:rPr>
                                      <w:color w:val="105C84"/>
                                      <w:sz w:val="20"/>
                                    </w:rPr>
                                    <w:t>health</w:t>
                                  </w:r>
                                  <w:r>
                                    <w:rPr>
                                      <w:color w:val="105C84"/>
                                      <w:spacing w:val="13"/>
                                      <w:sz w:val="20"/>
                                    </w:rPr>
                                    <w:t> </w:t>
                                  </w:r>
                                  <w:r>
                                    <w:rPr>
                                      <w:color w:val="105C84"/>
                                      <w:sz w:val="20"/>
                                    </w:rPr>
                                    <w:t>issues</w:t>
                                  </w:r>
                                  <w:r>
                                    <w:rPr>
                                      <w:color w:val="105C84"/>
                                      <w:spacing w:val="13"/>
                                      <w:sz w:val="20"/>
                                    </w:rPr>
                                    <w:t> </w:t>
                                  </w:r>
                                  <w:r>
                                    <w:rPr>
                                      <w:color w:val="105C84"/>
                                      <w:spacing w:val="-2"/>
                                      <w:sz w:val="20"/>
                                    </w:rPr>
                                    <w:t>(9.2%)</w:t>
                                  </w:r>
                                </w:p>
                              </w:tc>
                            </w:tr>
                            <w:tr>
                              <w:trPr>
                                <w:trHeight w:val="355" w:hRule="atLeast"/>
                              </w:trPr>
                              <w:tc>
                                <w:tcPr>
                                  <w:tcW w:w="4548" w:type="dxa"/>
                                </w:tcPr>
                                <w:p>
                                  <w:pPr>
                                    <w:pStyle w:val="TableParagraph"/>
                                    <w:spacing w:before="90"/>
                                    <w:ind w:left="80"/>
                                    <w:rPr>
                                      <w:sz w:val="20"/>
                                    </w:rPr>
                                  </w:pPr>
                                  <w:r>
                                    <w:rPr>
                                      <w:color w:val="105C84"/>
                                      <w:spacing w:val="-4"/>
                                      <w:sz w:val="20"/>
                                    </w:rPr>
                                    <w:t>Exercise</w:t>
                                  </w:r>
                                  <w:r>
                                    <w:rPr>
                                      <w:color w:val="105C84"/>
                                      <w:spacing w:val="3"/>
                                      <w:sz w:val="20"/>
                                    </w:rPr>
                                    <w:t> </w:t>
                                  </w:r>
                                  <w:r>
                                    <w:rPr>
                                      <w:color w:val="105C84"/>
                                      <w:spacing w:val="-2"/>
                                      <w:sz w:val="20"/>
                                    </w:rPr>
                                    <w:t>(9.2%)</w:t>
                                  </w:r>
                                </w:p>
                              </w:tc>
                            </w:tr>
                            <w:tr>
                              <w:trPr>
                                <w:trHeight w:val="355" w:hRule="atLeast"/>
                              </w:trPr>
                              <w:tc>
                                <w:tcPr>
                                  <w:tcW w:w="4548" w:type="dxa"/>
                                </w:tcPr>
                                <w:p>
                                  <w:pPr>
                                    <w:pStyle w:val="TableParagraph"/>
                                    <w:spacing w:before="90"/>
                                    <w:ind w:left="80"/>
                                    <w:rPr>
                                      <w:sz w:val="20"/>
                                    </w:rPr>
                                  </w:pPr>
                                  <w:r>
                                    <w:rPr>
                                      <w:color w:val="105C84"/>
                                      <w:sz w:val="20"/>
                                    </w:rPr>
                                    <w:t>Aging</w:t>
                                  </w:r>
                                  <w:r>
                                    <w:rPr>
                                      <w:color w:val="105C84"/>
                                      <w:spacing w:val="33"/>
                                      <w:sz w:val="20"/>
                                    </w:rPr>
                                    <w:t> </w:t>
                                  </w:r>
                                  <w:r>
                                    <w:rPr>
                                      <w:color w:val="105C84"/>
                                      <w:spacing w:val="-2"/>
                                      <w:sz w:val="20"/>
                                    </w:rPr>
                                    <w:t>(9.0%)</w:t>
                                  </w:r>
                                </w:p>
                              </w:tc>
                            </w:tr>
                            <w:tr>
                              <w:trPr>
                                <w:trHeight w:val="355" w:hRule="atLeast"/>
                              </w:trPr>
                              <w:tc>
                                <w:tcPr>
                                  <w:tcW w:w="4548" w:type="dxa"/>
                                </w:tcPr>
                                <w:p>
                                  <w:pPr>
                                    <w:pStyle w:val="TableParagraph"/>
                                    <w:spacing w:before="90"/>
                                    <w:ind w:left="80"/>
                                    <w:rPr>
                                      <w:sz w:val="20"/>
                                    </w:rPr>
                                  </w:pPr>
                                  <w:r>
                                    <w:rPr>
                                      <w:color w:val="105C84"/>
                                      <w:sz w:val="20"/>
                                    </w:rPr>
                                    <w:t>Cost</w:t>
                                  </w:r>
                                  <w:r>
                                    <w:rPr>
                                      <w:color w:val="105C84"/>
                                      <w:spacing w:val="4"/>
                                      <w:sz w:val="20"/>
                                    </w:rPr>
                                    <w:t> </w:t>
                                  </w:r>
                                  <w:r>
                                    <w:rPr>
                                      <w:color w:val="105C84"/>
                                      <w:spacing w:val="-2"/>
                                      <w:sz w:val="20"/>
                                    </w:rPr>
                                    <w:t>(7.8%)</w:t>
                                  </w:r>
                                </w:p>
                              </w:tc>
                            </w:tr>
                          </w:tbl>
                          <w:p>
                            <w:pPr>
                              <w:pStyle w:val="BodyText"/>
                            </w:pPr>
                          </w:p>
                        </w:txbxContent>
                      </wps:txbx>
                      <wps:bodyPr wrap="square" lIns="0" tIns="0" rIns="0" bIns="0" rtlCol="0">
                        <a:noAutofit/>
                      </wps:bodyPr>
                    </wps:wsp>
                  </a:graphicData>
                </a:graphic>
              </wp:anchor>
            </w:drawing>
          </mc:Choice>
          <mc:Fallback>
            <w:pict>
              <v:shape style="position:absolute;margin-left:665.719971pt;margin-top:19.304493pt;width:227.65pt;height:108.25pt;mso-position-horizontal-relative:page;mso-position-vertical-relative:paragraph;z-index:-15728640;mso-wrap-distance-left:0;mso-wrap-distance-right:0" type="#_x0000_t202" id="docshape1051" filled="false" stroked="false">
                <v:textbox inset="0,0,0,0">
                  <w:txbxContent>
                    <w:tbl>
                      <w:tblPr>
                        <w:tblW w:w="0" w:type="auto"/>
                        <w:jc w:val="left"/>
                        <w:tblInd w:w="2" w:type="dxa"/>
                        <w:tblBorders>
                          <w:top w:val="single" w:sz="2" w:space="0" w:color="636466"/>
                          <w:left w:val="single" w:sz="2" w:space="0" w:color="636466"/>
                          <w:bottom w:val="single" w:sz="2" w:space="0" w:color="636466"/>
                          <w:right w:val="single" w:sz="2" w:space="0" w:color="636466"/>
                          <w:insideH w:val="single" w:sz="2" w:space="0" w:color="636466"/>
                          <w:insideV w:val="single" w:sz="2" w:space="0" w:color="636466"/>
                        </w:tblBorders>
                        <w:tblLayout w:type="fixed"/>
                        <w:tblCellMar>
                          <w:top w:w="0" w:type="dxa"/>
                          <w:left w:w="0" w:type="dxa"/>
                          <w:bottom w:w="0" w:type="dxa"/>
                          <w:right w:w="0" w:type="dxa"/>
                        </w:tblCellMar>
                        <w:tblLook w:val="01E0"/>
                      </w:tblPr>
                      <w:tblGrid>
                        <w:gridCol w:w="4548"/>
                      </w:tblGrid>
                      <w:tr>
                        <w:trPr>
                          <w:trHeight w:val="355" w:hRule="atLeast"/>
                        </w:trPr>
                        <w:tc>
                          <w:tcPr>
                            <w:tcW w:w="4548" w:type="dxa"/>
                            <w:shd w:val="clear" w:color="auto" w:fill="82BF6A"/>
                          </w:tcPr>
                          <w:p>
                            <w:pPr>
                              <w:pStyle w:val="TableParagraph"/>
                              <w:spacing w:before="90"/>
                              <w:ind w:left="80"/>
                              <w:rPr>
                                <w:b/>
                                <w:sz w:val="20"/>
                              </w:rPr>
                            </w:pPr>
                            <w:r>
                              <w:rPr>
                                <w:b/>
                                <w:color w:val="FFFFFF"/>
                                <w:sz w:val="20"/>
                              </w:rPr>
                              <w:t>BIGGEST</w:t>
                            </w:r>
                            <w:r>
                              <w:rPr>
                                <w:b/>
                                <w:color w:val="FFFFFF"/>
                                <w:spacing w:val="-10"/>
                                <w:sz w:val="20"/>
                              </w:rPr>
                              <w:t> </w:t>
                            </w:r>
                            <w:r>
                              <w:rPr>
                                <w:b/>
                                <w:color w:val="FFFFFF"/>
                                <w:sz w:val="20"/>
                              </w:rPr>
                              <w:t>FEAR</w:t>
                            </w:r>
                            <w:r>
                              <w:rPr>
                                <w:b/>
                                <w:color w:val="FFFFFF"/>
                                <w:spacing w:val="-10"/>
                                <w:sz w:val="20"/>
                              </w:rPr>
                              <w:t> </w:t>
                            </w:r>
                            <w:r>
                              <w:rPr>
                                <w:b/>
                                <w:color w:val="FFFFFF"/>
                                <w:sz w:val="20"/>
                              </w:rPr>
                              <w:t>-</w:t>
                            </w:r>
                            <w:r>
                              <w:rPr>
                                <w:b/>
                                <w:color w:val="FFFFFF"/>
                                <w:spacing w:val="-9"/>
                                <w:sz w:val="20"/>
                              </w:rPr>
                              <w:t> </w:t>
                            </w:r>
                            <w:r>
                              <w:rPr>
                                <w:b/>
                                <w:color w:val="FFFFFF"/>
                                <w:sz w:val="20"/>
                              </w:rPr>
                              <w:t>FOR</w:t>
                            </w:r>
                            <w:r>
                              <w:rPr>
                                <w:b/>
                                <w:color w:val="FFFFFF"/>
                                <w:spacing w:val="-10"/>
                                <w:sz w:val="20"/>
                              </w:rPr>
                              <w:t> </w:t>
                            </w:r>
                            <w:r>
                              <w:rPr>
                                <w:b/>
                                <w:color w:val="FFFFFF"/>
                                <w:spacing w:val="-4"/>
                                <w:sz w:val="20"/>
                              </w:rPr>
                              <w:t>SELF</w:t>
                            </w:r>
                          </w:p>
                        </w:tc>
                      </w:tr>
                      <w:tr>
                        <w:trPr>
                          <w:trHeight w:val="355" w:hRule="atLeast"/>
                        </w:trPr>
                        <w:tc>
                          <w:tcPr>
                            <w:tcW w:w="4548" w:type="dxa"/>
                          </w:tcPr>
                          <w:p>
                            <w:pPr>
                              <w:pStyle w:val="TableParagraph"/>
                              <w:spacing w:before="90"/>
                              <w:ind w:left="80"/>
                              <w:rPr>
                                <w:sz w:val="20"/>
                              </w:rPr>
                            </w:pPr>
                            <w:r>
                              <w:rPr>
                                <w:color w:val="105C84"/>
                                <w:sz w:val="20"/>
                              </w:rPr>
                              <w:t>Weight</w:t>
                            </w:r>
                            <w:r>
                              <w:rPr>
                                <w:color w:val="105C84"/>
                                <w:spacing w:val="27"/>
                                <w:sz w:val="20"/>
                              </w:rPr>
                              <w:t> </w:t>
                            </w:r>
                            <w:r>
                              <w:rPr>
                                <w:color w:val="105C84"/>
                                <w:spacing w:val="-2"/>
                                <w:sz w:val="20"/>
                              </w:rPr>
                              <w:t>(12.6%)</w:t>
                            </w:r>
                          </w:p>
                        </w:tc>
                      </w:tr>
                      <w:tr>
                        <w:trPr>
                          <w:trHeight w:val="355" w:hRule="atLeast"/>
                        </w:trPr>
                        <w:tc>
                          <w:tcPr>
                            <w:tcW w:w="4548" w:type="dxa"/>
                          </w:tcPr>
                          <w:p>
                            <w:pPr>
                              <w:pStyle w:val="TableParagraph"/>
                              <w:spacing w:before="90"/>
                              <w:ind w:left="80"/>
                              <w:rPr>
                                <w:sz w:val="20"/>
                              </w:rPr>
                            </w:pPr>
                            <w:r>
                              <w:rPr>
                                <w:color w:val="105C84"/>
                                <w:sz w:val="20"/>
                              </w:rPr>
                              <w:t>Mental</w:t>
                            </w:r>
                            <w:r>
                              <w:rPr>
                                <w:color w:val="105C84"/>
                                <w:spacing w:val="13"/>
                                <w:sz w:val="20"/>
                              </w:rPr>
                              <w:t> </w:t>
                            </w:r>
                            <w:r>
                              <w:rPr>
                                <w:color w:val="105C84"/>
                                <w:sz w:val="20"/>
                              </w:rPr>
                              <w:t>/</w:t>
                            </w:r>
                            <w:r>
                              <w:rPr>
                                <w:color w:val="105C84"/>
                                <w:spacing w:val="13"/>
                                <w:sz w:val="20"/>
                              </w:rPr>
                              <w:t> </w:t>
                            </w:r>
                            <w:r>
                              <w:rPr>
                                <w:color w:val="105C84"/>
                                <w:sz w:val="20"/>
                              </w:rPr>
                              <w:t>emotional</w:t>
                            </w:r>
                            <w:r>
                              <w:rPr>
                                <w:color w:val="105C84"/>
                                <w:spacing w:val="13"/>
                                <w:sz w:val="20"/>
                              </w:rPr>
                              <w:t> </w:t>
                            </w:r>
                            <w:r>
                              <w:rPr>
                                <w:color w:val="105C84"/>
                                <w:sz w:val="20"/>
                              </w:rPr>
                              <w:t>health</w:t>
                            </w:r>
                            <w:r>
                              <w:rPr>
                                <w:color w:val="105C84"/>
                                <w:spacing w:val="13"/>
                                <w:sz w:val="20"/>
                              </w:rPr>
                              <w:t> </w:t>
                            </w:r>
                            <w:r>
                              <w:rPr>
                                <w:color w:val="105C84"/>
                                <w:sz w:val="20"/>
                              </w:rPr>
                              <w:t>issues</w:t>
                            </w:r>
                            <w:r>
                              <w:rPr>
                                <w:color w:val="105C84"/>
                                <w:spacing w:val="13"/>
                                <w:sz w:val="20"/>
                              </w:rPr>
                              <w:t> </w:t>
                            </w:r>
                            <w:r>
                              <w:rPr>
                                <w:color w:val="105C84"/>
                                <w:spacing w:val="-2"/>
                                <w:sz w:val="20"/>
                              </w:rPr>
                              <w:t>(9.2%)</w:t>
                            </w:r>
                          </w:p>
                        </w:tc>
                      </w:tr>
                      <w:tr>
                        <w:trPr>
                          <w:trHeight w:val="355" w:hRule="atLeast"/>
                        </w:trPr>
                        <w:tc>
                          <w:tcPr>
                            <w:tcW w:w="4548" w:type="dxa"/>
                          </w:tcPr>
                          <w:p>
                            <w:pPr>
                              <w:pStyle w:val="TableParagraph"/>
                              <w:spacing w:before="90"/>
                              <w:ind w:left="80"/>
                              <w:rPr>
                                <w:sz w:val="20"/>
                              </w:rPr>
                            </w:pPr>
                            <w:r>
                              <w:rPr>
                                <w:color w:val="105C84"/>
                                <w:spacing w:val="-4"/>
                                <w:sz w:val="20"/>
                              </w:rPr>
                              <w:t>Exercise</w:t>
                            </w:r>
                            <w:r>
                              <w:rPr>
                                <w:color w:val="105C84"/>
                                <w:spacing w:val="3"/>
                                <w:sz w:val="20"/>
                              </w:rPr>
                              <w:t> </w:t>
                            </w:r>
                            <w:r>
                              <w:rPr>
                                <w:color w:val="105C84"/>
                                <w:spacing w:val="-2"/>
                                <w:sz w:val="20"/>
                              </w:rPr>
                              <w:t>(9.2%)</w:t>
                            </w:r>
                          </w:p>
                        </w:tc>
                      </w:tr>
                      <w:tr>
                        <w:trPr>
                          <w:trHeight w:val="355" w:hRule="atLeast"/>
                        </w:trPr>
                        <w:tc>
                          <w:tcPr>
                            <w:tcW w:w="4548" w:type="dxa"/>
                          </w:tcPr>
                          <w:p>
                            <w:pPr>
                              <w:pStyle w:val="TableParagraph"/>
                              <w:spacing w:before="90"/>
                              <w:ind w:left="80"/>
                              <w:rPr>
                                <w:sz w:val="20"/>
                              </w:rPr>
                            </w:pPr>
                            <w:r>
                              <w:rPr>
                                <w:color w:val="105C84"/>
                                <w:sz w:val="20"/>
                              </w:rPr>
                              <w:t>Aging</w:t>
                            </w:r>
                            <w:r>
                              <w:rPr>
                                <w:color w:val="105C84"/>
                                <w:spacing w:val="33"/>
                                <w:sz w:val="20"/>
                              </w:rPr>
                              <w:t> </w:t>
                            </w:r>
                            <w:r>
                              <w:rPr>
                                <w:color w:val="105C84"/>
                                <w:spacing w:val="-2"/>
                                <w:sz w:val="20"/>
                              </w:rPr>
                              <w:t>(9.0%)</w:t>
                            </w:r>
                          </w:p>
                        </w:tc>
                      </w:tr>
                      <w:tr>
                        <w:trPr>
                          <w:trHeight w:val="355" w:hRule="atLeast"/>
                        </w:trPr>
                        <w:tc>
                          <w:tcPr>
                            <w:tcW w:w="4548" w:type="dxa"/>
                          </w:tcPr>
                          <w:p>
                            <w:pPr>
                              <w:pStyle w:val="TableParagraph"/>
                              <w:spacing w:before="90"/>
                              <w:ind w:left="80"/>
                              <w:rPr>
                                <w:sz w:val="20"/>
                              </w:rPr>
                            </w:pPr>
                            <w:r>
                              <w:rPr>
                                <w:color w:val="105C84"/>
                                <w:sz w:val="20"/>
                              </w:rPr>
                              <w:t>Cost</w:t>
                            </w:r>
                            <w:r>
                              <w:rPr>
                                <w:color w:val="105C84"/>
                                <w:spacing w:val="4"/>
                                <w:sz w:val="20"/>
                              </w:rPr>
                              <w:t> </w:t>
                            </w:r>
                            <w:r>
                              <w:rPr>
                                <w:color w:val="105C84"/>
                                <w:spacing w:val="-2"/>
                                <w:sz w:val="20"/>
                              </w:rPr>
                              <w:t>(7.8%)</w:t>
                            </w:r>
                          </w:p>
                        </w:tc>
                      </w:tr>
                    </w:tbl>
                    <w:p>
                      <w:pPr>
                        <w:pStyle w:val="BodyText"/>
                      </w:pPr>
                    </w:p>
                  </w:txbxContent>
                </v:textbox>
                <w10:wrap type="topAndBottom"/>
              </v:shape>
            </w:pict>
          </mc:Fallback>
        </mc:AlternateContent>
      </w:r>
      <w:r>
        <w:rPr>
          <w:b/>
          <w:sz w:val="20"/>
        </w:rPr>
        <mc:AlternateContent>
          <mc:Choice Requires="wps">
            <w:drawing>
              <wp:anchor distT="0" distB="0" distL="0" distR="0" allowOverlap="1" layoutInCell="1" locked="0" behindDoc="1" simplePos="0" relativeHeight="487587840">
                <wp:simplePos x="0" y="0"/>
                <wp:positionH relativeFrom="page">
                  <wp:posOffset>11690032</wp:posOffset>
                </wp:positionH>
                <wp:positionV relativeFrom="paragraph">
                  <wp:posOffset>245167</wp:posOffset>
                </wp:positionV>
                <wp:extent cx="3037840" cy="1374775"/>
                <wp:effectExtent l="0" t="0" r="0" b="0"/>
                <wp:wrapTopAndBottom/>
                <wp:docPr id="1305" name="Textbox 1305"/>
                <wp:cNvGraphicFramePr>
                  <a:graphicFrameLocks/>
                </wp:cNvGraphicFramePr>
                <a:graphic>
                  <a:graphicData uri="http://schemas.microsoft.com/office/word/2010/wordprocessingShape">
                    <wps:wsp>
                      <wps:cNvPr id="1305" name="Textbox 1305"/>
                      <wps:cNvSpPr txBox="1"/>
                      <wps:spPr>
                        <a:xfrm>
                          <a:off x="0" y="0"/>
                          <a:ext cx="3037840" cy="1374775"/>
                        </a:xfrm>
                        <a:prstGeom prst="rect">
                          <a:avLst/>
                        </a:prstGeom>
                      </wps:spPr>
                      <wps:txbx>
                        <w:txbxContent>
                          <w:tbl>
                            <w:tblPr>
                              <w:tblW w:w="0" w:type="auto"/>
                              <w:jc w:val="left"/>
                              <w:tblInd w:w="2" w:type="dxa"/>
                              <w:tblBorders>
                                <w:top w:val="single" w:sz="2" w:space="0" w:color="636466"/>
                                <w:left w:val="single" w:sz="2" w:space="0" w:color="636466"/>
                                <w:bottom w:val="single" w:sz="2" w:space="0" w:color="636466"/>
                                <w:right w:val="single" w:sz="2" w:space="0" w:color="636466"/>
                                <w:insideH w:val="single" w:sz="2" w:space="0" w:color="636466"/>
                                <w:insideV w:val="single" w:sz="2" w:space="0" w:color="636466"/>
                              </w:tblBorders>
                              <w:tblLayout w:type="fixed"/>
                              <w:tblCellMar>
                                <w:top w:w="0" w:type="dxa"/>
                                <w:left w:w="0" w:type="dxa"/>
                                <w:bottom w:w="0" w:type="dxa"/>
                                <w:right w:w="0" w:type="dxa"/>
                              </w:tblCellMar>
                              <w:tblLook w:val="01E0"/>
                            </w:tblPr>
                            <w:tblGrid>
                              <w:gridCol w:w="4778"/>
                            </w:tblGrid>
                            <w:tr>
                              <w:trPr>
                                <w:trHeight w:val="355" w:hRule="atLeast"/>
                              </w:trPr>
                              <w:tc>
                                <w:tcPr>
                                  <w:tcW w:w="4778" w:type="dxa"/>
                                  <w:shd w:val="clear" w:color="auto" w:fill="00A79E"/>
                                </w:tcPr>
                                <w:p>
                                  <w:pPr>
                                    <w:pStyle w:val="TableParagraph"/>
                                    <w:spacing w:before="90"/>
                                    <w:ind w:left="79"/>
                                    <w:rPr>
                                      <w:b/>
                                      <w:sz w:val="20"/>
                                    </w:rPr>
                                  </w:pPr>
                                  <w:r>
                                    <w:rPr>
                                      <w:b/>
                                      <w:color w:val="FFFFFF"/>
                                      <w:spacing w:val="-2"/>
                                      <w:sz w:val="20"/>
                                    </w:rPr>
                                    <w:t>BIGGEST</w:t>
                                  </w:r>
                                  <w:r>
                                    <w:rPr>
                                      <w:b/>
                                      <w:color w:val="FFFFFF"/>
                                      <w:spacing w:val="-6"/>
                                      <w:sz w:val="20"/>
                                    </w:rPr>
                                    <w:t> </w:t>
                                  </w:r>
                                  <w:r>
                                    <w:rPr>
                                      <w:b/>
                                      <w:color w:val="FFFFFF"/>
                                      <w:spacing w:val="-2"/>
                                      <w:sz w:val="20"/>
                                    </w:rPr>
                                    <w:t>FEAR</w:t>
                                  </w:r>
                                  <w:r>
                                    <w:rPr>
                                      <w:b/>
                                      <w:color w:val="FFFFFF"/>
                                      <w:spacing w:val="-6"/>
                                      <w:sz w:val="20"/>
                                    </w:rPr>
                                    <w:t> </w:t>
                                  </w:r>
                                  <w:r>
                                    <w:rPr>
                                      <w:b/>
                                      <w:color w:val="FFFFFF"/>
                                      <w:spacing w:val="-2"/>
                                      <w:sz w:val="20"/>
                                    </w:rPr>
                                    <w:t>-FOR</w:t>
                                  </w:r>
                                  <w:r>
                                    <w:rPr>
                                      <w:b/>
                                      <w:color w:val="FFFFFF"/>
                                      <w:spacing w:val="-5"/>
                                      <w:sz w:val="20"/>
                                    </w:rPr>
                                    <w:t> </w:t>
                                  </w:r>
                                  <w:r>
                                    <w:rPr>
                                      <w:b/>
                                      <w:color w:val="FFFFFF"/>
                                      <w:spacing w:val="-2"/>
                                      <w:sz w:val="20"/>
                                    </w:rPr>
                                    <w:t>OTHERS</w:t>
                                  </w:r>
                                </w:p>
                              </w:tc>
                            </w:tr>
                            <w:tr>
                              <w:trPr>
                                <w:trHeight w:val="355" w:hRule="atLeast"/>
                              </w:trPr>
                              <w:tc>
                                <w:tcPr>
                                  <w:tcW w:w="4778" w:type="dxa"/>
                                </w:tcPr>
                                <w:p>
                                  <w:pPr>
                                    <w:pStyle w:val="TableParagraph"/>
                                    <w:spacing w:before="90"/>
                                    <w:ind w:left="79"/>
                                    <w:rPr>
                                      <w:sz w:val="20"/>
                                    </w:rPr>
                                  </w:pPr>
                                  <w:r>
                                    <w:rPr>
                                      <w:color w:val="105C84"/>
                                      <w:sz w:val="20"/>
                                    </w:rPr>
                                    <w:t>Cost</w:t>
                                  </w:r>
                                  <w:r>
                                    <w:rPr>
                                      <w:color w:val="105C84"/>
                                      <w:spacing w:val="4"/>
                                      <w:sz w:val="20"/>
                                    </w:rPr>
                                    <w:t> </w:t>
                                  </w:r>
                                  <w:r>
                                    <w:rPr>
                                      <w:color w:val="105C84"/>
                                      <w:spacing w:val="-2"/>
                                      <w:sz w:val="20"/>
                                    </w:rPr>
                                    <w:t>(9.5%)</w:t>
                                  </w:r>
                                </w:p>
                              </w:tc>
                            </w:tr>
                            <w:tr>
                              <w:trPr>
                                <w:trHeight w:val="355" w:hRule="atLeast"/>
                              </w:trPr>
                              <w:tc>
                                <w:tcPr>
                                  <w:tcW w:w="4778" w:type="dxa"/>
                                </w:tcPr>
                                <w:p>
                                  <w:pPr>
                                    <w:pStyle w:val="TableParagraph"/>
                                    <w:spacing w:before="90"/>
                                    <w:ind w:left="79"/>
                                    <w:rPr>
                                      <w:sz w:val="20"/>
                                    </w:rPr>
                                  </w:pPr>
                                  <w:r>
                                    <w:rPr>
                                      <w:color w:val="105C84"/>
                                      <w:sz w:val="20"/>
                                    </w:rPr>
                                    <w:t>Weight</w:t>
                                  </w:r>
                                  <w:r>
                                    <w:rPr>
                                      <w:color w:val="105C84"/>
                                      <w:spacing w:val="27"/>
                                      <w:sz w:val="20"/>
                                    </w:rPr>
                                    <w:t> </w:t>
                                  </w:r>
                                  <w:r>
                                    <w:rPr>
                                      <w:color w:val="105C84"/>
                                      <w:spacing w:val="-2"/>
                                      <w:sz w:val="20"/>
                                    </w:rPr>
                                    <w:t>(8.8%)</w:t>
                                  </w:r>
                                </w:p>
                              </w:tc>
                            </w:tr>
                            <w:tr>
                              <w:trPr>
                                <w:trHeight w:val="355" w:hRule="atLeast"/>
                              </w:trPr>
                              <w:tc>
                                <w:tcPr>
                                  <w:tcW w:w="4778" w:type="dxa"/>
                                </w:tcPr>
                                <w:p>
                                  <w:pPr>
                                    <w:pStyle w:val="TableParagraph"/>
                                    <w:spacing w:before="90"/>
                                    <w:ind w:left="79"/>
                                    <w:rPr>
                                      <w:sz w:val="20"/>
                                    </w:rPr>
                                  </w:pPr>
                                  <w:r>
                                    <w:rPr>
                                      <w:color w:val="105C84"/>
                                      <w:sz w:val="20"/>
                                    </w:rPr>
                                    <w:t>Mental</w:t>
                                  </w:r>
                                  <w:r>
                                    <w:rPr>
                                      <w:color w:val="105C84"/>
                                      <w:spacing w:val="13"/>
                                      <w:sz w:val="20"/>
                                    </w:rPr>
                                    <w:t> </w:t>
                                  </w:r>
                                  <w:r>
                                    <w:rPr>
                                      <w:color w:val="105C84"/>
                                      <w:sz w:val="20"/>
                                    </w:rPr>
                                    <w:t>/</w:t>
                                  </w:r>
                                  <w:r>
                                    <w:rPr>
                                      <w:color w:val="105C84"/>
                                      <w:spacing w:val="13"/>
                                      <w:sz w:val="20"/>
                                    </w:rPr>
                                    <w:t> </w:t>
                                  </w:r>
                                  <w:r>
                                    <w:rPr>
                                      <w:color w:val="105C84"/>
                                      <w:sz w:val="20"/>
                                    </w:rPr>
                                    <w:t>emotional</w:t>
                                  </w:r>
                                  <w:r>
                                    <w:rPr>
                                      <w:color w:val="105C84"/>
                                      <w:spacing w:val="13"/>
                                      <w:sz w:val="20"/>
                                    </w:rPr>
                                    <w:t> </w:t>
                                  </w:r>
                                  <w:r>
                                    <w:rPr>
                                      <w:color w:val="105C84"/>
                                      <w:sz w:val="20"/>
                                    </w:rPr>
                                    <w:t>health</w:t>
                                  </w:r>
                                  <w:r>
                                    <w:rPr>
                                      <w:color w:val="105C84"/>
                                      <w:spacing w:val="13"/>
                                      <w:sz w:val="20"/>
                                    </w:rPr>
                                    <w:t> </w:t>
                                  </w:r>
                                  <w:r>
                                    <w:rPr>
                                      <w:color w:val="105C84"/>
                                      <w:sz w:val="20"/>
                                    </w:rPr>
                                    <w:t>issues</w:t>
                                  </w:r>
                                  <w:r>
                                    <w:rPr>
                                      <w:color w:val="105C84"/>
                                      <w:spacing w:val="13"/>
                                      <w:sz w:val="20"/>
                                    </w:rPr>
                                    <w:t> </w:t>
                                  </w:r>
                                  <w:r>
                                    <w:rPr>
                                      <w:color w:val="105C84"/>
                                      <w:spacing w:val="-2"/>
                                      <w:sz w:val="20"/>
                                    </w:rPr>
                                    <w:t>(8.1%)</w:t>
                                  </w:r>
                                </w:p>
                              </w:tc>
                            </w:tr>
                            <w:tr>
                              <w:trPr>
                                <w:trHeight w:val="355" w:hRule="atLeast"/>
                              </w:trPr>
                              <w:tc>
                                <w:tcPr>
                                  <w:tcW w:w="4778" w:type="dxa"/>
                                </w:tcPr>
                                <w:p>
                                  <w:pPr>
                                    <w:pStyle w:val="TableParagraph"/>
                                    <w:spacing w:before="90"/>
                                    <w:ind w:left="79"/>
                                    <w:rPr>
                                      <w:sz w:val="20"/>
                                    </w:rPr>
                                  </w:pPr>
                                  <w:r>
                                    <w:rPr>
                                      <w:color w:val="105C84"/>
                                      <w:sz w:val="20"/>
                                    </w:rPr>
                                    <w:t>Cancer</w:t>
                                  </w:r>
                                  <w:r>
                                    <w:rPr>
                                      <w:color w:val="105C84"/>
                                      <w:spacing w:val="-10"/>
                                      <w:sz w:val="20"/>
                                    </w:rPr>
                                    <w:t> </w:t>
                                  </w:r>
                                  <w:r>
                                    <w:rPr>
                                      <w:color w:val="105C84"/>
                                      <w:spacing w:val="-2"/>
                                      <w:sz w:val="20"/>
                                    </w:rPr>
                                    <w:t>(7.0%)</w:t>
                                  </w:r>
                                </w:p>
                              </w:tc>
                            </w:tr>
                            <w:tr>
                              <w:trPr>
                                <w:trHeight w:val="355" w:hRule="atLeast"/>
                              </w:trPr>
                              <w:tc>
                                <w:tcPr>
                                  <w:tcW w:w="4778" w:type="dxa"/>
                                </w:tcPr>
                                <w:p>
                                  <w:pPr>
                                    <w:pStyle w:val="TableParagraph"/>
                                    <w:spacing w:before="90"/>
                                    <w:ind w:left="79"/>
                                    <w:rPr>
                                      <w:sz w:val="20"/>
                                    </w:rPr>
                                  </w:pPr>
                                  <w:r>
                                    <w:rPr>
                                      <w:color w:val="105C84"/>
                                      <w:sz w:val="20"/>
                                    </w:rPr>
                                    <w:t>Aging</w:t>
                                  </w:r>
                                  <w:r>
                                    <w:rPr>
                                      <w:color w:val="105C84"/>
                                      <w:spacing w:val="33"/>
                                      <w:sz w:val="20"/>
                                    </w:rPr>
                                    <w:t> </w:t>
                                  </w:r>
                                  <w:r>
                                    <w:rPr>
                                      <w:color w:val="105C84"/>
                                      <w:spacing w:val="-2"/>
                                      <w:sz w:val="20"/>
                                    </w:rPr>
                                    <w:t>(6.6%)</w:t>
                                  </w:r>
                                </w:p>
                              </w:tc>
                            </w:tr>
                          </w:tbl>
                          <w:p>
                            <w:pPr>
                              <w:pStyle w:val="BodyText"/>
                            </w:pPr>
                          </w:p>
                        </w:txbxContent>
                      </wps:txbx>
                      <wps:bodyPr wrap="square" lIns="0" tIns="0" rIns="0" bIns="0" rtlCol="0">
                        <a:noAutofit/>
                      </wps:bodyPr>
                    </wps:wsp>
                  </a:graphicData>
                </a:graphic>
              </wp:anchor>
            </w:drawing>
          </mc:Choice>
          <mc:Fallback>
            <w:pict>
              <v:shape style="position:absolute;margin-left:920.474976pt;margin-top:19.304493pt;width:239.2pt;height:108.25pt;mso-position-horizontal-relative:page;mso-position-vertical-relative:paragraph;z-index:-15728640;mso-wrap-distance-left:0;mso-wrap-distance-right:0" type="#_x0000_t202" id="docshape1052" filled="false" stroked="false">
                <v:textbox inset="0,0,0,0">
                  <w:txbxContent>
                    <w:tbl>
                      <w:tblPr>
                        <w:tblW w:w="0" w:type="auto"/>
                        <w:jc w:val="left"/>
                        <w:tblInd w:w="2" w:type="dxa"/>
                        <w:tblBorders>
                          <w:top w:val="single" w:sz="2" w:space="0" w:color="636466"/>
                          <w:left w:val="single" w:sz="2" w:space="0" w:color="636466"/>
                          <w:bottom w:val="single" w:sz="2" w:space="0" w:color="636466"/>
                          <w:right w:val="single" w:sz="2" w:space="0" w:color="636466"/>
                          <w:insideH w:val="single" w:sz="2" w:space="0" w:color="636466"/>
                          <w:insideV w:val="single" w:sz="2" w:space="0" w:color="636466"/>
                        </w:tblBorders>
                        <w:tblLayout w:type="fixed"/>
                        <w:tblCellMar>
                          <w:top w:w="0" w:type="dxa"/>
                          <w:left w:w="0" w:type="dxa"/>
                          <w:bottom w:w="0" w:type="dxa"/>
                          <w:right w:w="0" w:type="dxa"/>
                        </w:tblCellMar>
                        <w:tblLook w:val="01E0"/>
                      </w:tblPr>
                      <w:tblGrid>
                        <w:gridCol w:w="4778"/>
                      </w:tblGrid>
                      <w:tr>
                        <w:trPr>
                          <w:trHeight w:val="355" w:hRule="atLeast"/>
                        </w:trPr>
                        <w:tc>
                          <w:tcPr>
                            <w:tcW w:w="4778" w:type="dxa"/>
                            <w:shd w:val="clear" w:color="auto" w:fill="00A79E"/>
                          </w:tcPr>
                          <w:p>
                            <w:pPr>
                              <w:pStyle w:val="TableParagraph"/>
                              <w:spacing w:before="90"/>
                              <w:ind w:left="79"/>
                              <w:rPr>
                                <w:b/>
                                <w:sz w:val="20"/>
                              </w:rPr>
                            </w:pPr>
                            <w:r>
                              <w:rPr>
                                <w:b/>
                                <w:color w:val="FFFFFF"/>
                                <w:spacing w:val="-2"/>
                                <w:sz w:val="20"/>
                              </w:rPr>
                              <w:t>BIGGEST</w:t>
                            </w:r>
                            <w:r>
                              <w:rPr>
                                <w:b/>
                                <w:color w:val="FFFFFF"/>
                                <w:spacing w:val="-6"/>
                                <w:sz w:val="20"/>
                              </w:rPr>
                              <w:t> </w:t>
                            </w:r>
                            <w:r>
                              <w:rPr>
                                <w:b/>
                                <w:color w:val="FFFFFF"/>
                                <w:spacing w:val="-2"/>
                                <w:sz w:val="20"/>
                              </w:rPr>
                              <w:t>FEAR</w:t>
                            </w:r>
                            <w:r>
                              <w:rPr>
                                <w:b/>
                                <w:color w:val="FFFFFF"/>
                                <w:spacing w:val="-6"/>
                                <w:sz w:val="20"/>
                              </w:rPr>
                              <w:t> </w:t>
                            </w:r>
                            <w:r>
                              <w:rPr>
                                <w:b/>
                                <w:color w:val="FFFFFF"/>
                                <w:spacing w:val="-2"/>
                                <w:sz w:val="20"/>
                              </w:rPr>
                              <w:t>-FOR</w:t>
                            </w:r>
                            <w:r>
                              <w:rPr>
                                <w:b/>
                                <w:color w:val="FFFFFF"/>
                                <w:spacing w:val="-5"/>
                                <w:sz w:val="20"/>
                              </w:rPr>
                              <w:t> </w:t>
                            </w:r>
                            <w:r>
                              <w:rPr>
                                <w:b/>
                                <w:color w:val="FFFFFF"/>
                                <w:spacing w:val="-2"/>
                                <w:sz w:val="20"/>
                              </w:rPr>
                              <w:t>OTHERS</w:t>
                            </w:r>
                          </w:p>
                        </w:tc>
                      </w:tr>
                      <w:tr>
                        <w:trPr>
                          <w:trHeight w:val="355" w:hRule="atLeast"/>
                        </w:trPr>
                        <w:tc>
                          <w:tcPr>
                            <w:tcW w:w="4778" w:type="dxa"/>
                          </w:tcPr>
                          <w:p>
                            <w:pPr>
                              <w:pStyle w:val="TableParagraph"/>
                              <w:spacing w:before="90"/>
                              <w:ind w:left="79"/>
                              <w:rPr>
                                <w:sz w:val="20"/>
                              </w:rPr>
                            </w:pPr>
                            <w:r>
                              <w:rPr>
                                <w:color w:val="105C84"/>
                                <w:sz w:val="20"/>
                              </w:rPr>
                              <w:t>Cost</w:t>
                            </w:r>
                            <w:r>
                              <w:rPr>
                                <w:color w:val="105C84"/>
                                <w:spacing w:val="4"/>
                                <w:sz w:val="20"/>
                              </w:rPr>
                              <w:t> </w:t>
                            </w:r>
                            <w:r>
                              <w:rPr>
                                <w:color w:val="105C84"/>
                                <w:spacing w:val="-2"/>
                                <w:sz w:val="20"/>
                              </w:rPr>
                              <w:t>(9.5%)</w:t>
                            </w:r>
                          </w:p>
                        </w:tc>
                      </w:tr>
                      <w:tr>
                        <w:trPr>
                          <w:trHeight w:val="355" w:hRule="atLeast"/>
                        </w:trPr>
                        <w:tc>
                          <w:tcPr>
                            <w:tcW w:w="4778" w:type="dxa"/>
                          </w:tcPr>
                          <w:p>
                            <w:pPr>
                              <w:pStyle w:val="TableParagraph"/>
                              <w:spacing w:before="90"/>
                              <w:ind w:left="79"/>
                              <w:rPr>
                                <w:sz w:val="20"/>
                              </w:rPr>
                            </w:pPr>
                            <w:r>
                              <w:rPr>
                                <w:color w:val="105C84"/>
                                <w:sz w:val="20"/>
                              </w:rPr>
                              <w:t>Weight</w:t>
                            </w:r>
                            <w:r>
                              <w:rPr>
                                <w:color w:val="105C84"/>
                                <w:spacing w:val="27"/>
                                <w:sz w:val="20"/>
                              </w:rPr>
                              <w:t> </w:t>
                            </w:r>
                            <w:r>
                              <w:rPr>
                                <w:color w:val="105C84"/>
                                <w:spacing w:val="-2"/>
                                <w:sz w:val="20"/>
                              </w:rPr>
                              <w:t>(8.8%)</w:t>
                            </w:r>
                          </w:p>
                        </w:tc>
                      </w:tr>
                      <w:tr>
                        <w:trPr>
                          <w:trHeight w:val="355" w:hRule="atLeast"/>
                        </w:trPr>
                        <w:tc>
                          <w:tcPr>
                            <w:tcW w:w="4778" w:type="dxa"/>
                          </w:tcPr>
                          <w:p>
                            <w:pPr>
                              <w:pStyle w:val="TableParagraph"/>
                              <w:spacing w:before="90"/>
                              <w:ind w:left="79"/>
                              <w:rPr>
                                <w:sz w:val="20"/>
                              </w:rPr>
                            </w:pPr>
                            <w:r>
                              <w:rPr>
                                <w:color w:val="105C84"/>
                                <w:sz w:val="20"/>
                              </w:rPr>
                              <w:t>Mental</w:t>
                            </w:r>
                            <w:r>
                              <w:rPr>
                                <w:color w:val="105C84"/>
                                <w:spacing w:val="13"/>
                                <w:sz w:val="20"/>
                              </w:rPr>
                              <w:t> </w:t>
                            </w:r>
                            <w:r>
                              <w:rPr>
                                <w:color w:val="105C84"/>
                                <w:sz w:val="20"/>
                              </w:rPr>
                              <w:t>/</w:t>
                            </w:r>
                            <w:r>
                              <w:rPr>
                                <w:color w:val="105C84"/>
                                <w:spacing w:val="13"/>
                                <w:sz w:val="20"/>
                              </w:rPr>
                              <w:t> </w:t>
                            </w:r>
                            <w:r>
                              <w:rPr>
                                <w:color w:val="105C84"/>
                                <w:sz w:val="20"/>
                              </w:rPr>
                              <w:t>emotional</w:t>
                            </w:r>
                            <w:r>
                              <w:rPr>
                                <w:color w:val="105C84"/>
                                <w:spacing w:val="13"/>
                                <w:sz w:val="20"/>
                              </w:rPr>
                              <w:t> </w:t>
                            </w:r>
                            <w:r>
                              <w:rPr>
                                <w:color w:val="105C84"/>
                                <w:sz w:val="20"/>
                              </w:rPr>
                              <w:t>health</w:t>
                            </w:r>
                            <w:r>
                              <w:rPr>
                                <w:color w:val="105C84"/>
                                <w:spacing w:val="13"/>
                                <w:sz w:val="20"/>
                              </w:rPr>
                              <w:t> </w:t>
                            </w:r>
                            <w:r>
                              <w:rPr>
                                <w:color w:val="105C84"/>
                                <w:sz w:val="20"/>
                              </w:rPr>
                              <w:t>issues</w:t>
                            </w:r>
                            <w:r>
                              <w:rPr>
                                <w:color w:val="105C84"/>
                                <w:spacing w:val="13"/>
                                <w:sz w:val="20"/>
                              </w:rPr>
                              <w:t> </w:t>
                            </w:r>
                            <w:r>
                              <w:rPr>
                                <w:color w:val="105C84"/>
                                <w:spacing w:val="-2"/>
                                <w:sz w:val="20"/>
                              </w:rPr>
                              <w:t>(8.1%)</w:t>
                            </w:r>
                          </w:p>
                        </w:tc>
                      </w:tr>
                      <w:tr>
                        <w:trPr>
                          <w:trHeight w:val="355" w:hRule="atLeast"/>
                        </w:trPr>
                        <w:tc>
                          <w:tcPr>
                            <w:tcW w:w="4778" w:type="dxa"/>
                          </w:tcPr>
                          <w:p>
                            <w:pPr>
                              <w:pStyle w:val="TableParagraph"/>
                              <w:spacing w:before="90"/>
                              <w:ind w:left="79"/>
                              <w:rPr>
                                <w:sz w:val="20"/>
                              </w:rPr>
                            </w:pPr>
                            <w:r>
                              <w:rPr>
                                <w:color w:val="105C84"/>
                                <w:sz w:val="20"/>
                              </w:rPr>
                              <w:t>Cancer</w:t>
                            </w:r>
                            <w:r>
                              <w:rPr>
                                <w:color w:val="105C84"/>
                                <w:spacing w:val="-10"/>
                                <w:sz w:val="20"/>
                              </w:rPr>
                              <w:t> </w:t>
                            </w:r>
                            <w:r>
                              <w:rPr>
                                <w:color w:val="105C84"/>
                                <w:spacing w:val="-2"/>
                                <w:sz w:val="20"/>
                              </w:rPr>
                              <w:t>(7.0%)</w:t>
                            </w:r>
                          </w:p>
                        </w:tc>
                      </w:tr>
                      <w:tr>
                        <w:trPr>
                          <w:trHeight w:val="355" w:hRule="atLeast"/>
                        </w:trPr>
                        <w:tc>
                          <w:tcPr>
                            <w:tcW w:w="4778" w:type="dxa"/>
                          </w:tcPr>
                          <w:p>
                            <w:pPr>
                              <w:pStyle w:val="TableParagraph"/>
                              <w:spacing w:before="90"/>
                              <w:ind w:left="79"/>
                              <w:rPr>
                                <w:sz w:val="20"/>
                              </w:rPr>
                            </w:pPr>
                            <w:r>
                              <w:rPr>
                                <w:color w:val="105C84"/>
                                <w:sz w:val="20"/>
                              </w:rPr>
                              <w:t>Aging</w:t>
                            </w:r>
                            <w:r>
                              <w:rPr>
                                <w:color w:val="105C84"/>
                                <w:spacing w:val="33"/>
                                <w:sz w:val="20"/>
                              </w:rPr>
                              <w:t> </w:t>
                            </w:r>
                            <w:r>
                              <w:rPr>
                                <w:color w:val="105C84"/>
                                <w:spacing w:val="-2"/>
                                <w:sz w:val="20"/>
                              </w:rPr>
                              <w:t>(6.6%)</w:t>
                            </w:r>
                          </w:p>
                        </w:tc>
                      </w:tr>
                    </w:tbl>
                    <w:p>
                      <w:pPr>
                        <w:pStyle w:val="BodyText"/>
                      </w:pPr>
                    </w:p>
                  </w:txbxContent>
                </v:textbox>
                <w10:wrap type="topAndBottom"/>
              </v:shape>
            </w:pict>
          </mc:Fallback>
        </mc:AlternateContent>
      </w:r>
      <w:r>
        <w:rPr>
          <w:b/>
          <w:sz w:val="20"/>
        </w:rPr>
        <mc:AlternateContent>
          <mc:Choice Requires="wps">
            <w:drawing>
              <wp:anchor distT="0" distB="0" distL="0" distR="0" allowOverlap="1" layoutInCell="1" locked="0" behindDoc="1" simplePos="0" relativeHeight="487587840">
                <wp:simplePos x="0" y="0"/>
                <wp:positionH relativeFrom="page">
                  <wp:posOffset>8454643</wp:posOffset>
                </wp:positionH>
                <wp:positionV relativeFrom="paragraph">
                  <wp:posOffset>1729479</wp:posOffset>
                </wp:positionV>
                <wp:extent cx="2891155" cy="1374775"/>
                <wp:effectExtent l="0" t="0" r="0" b="0"/>
                <wp:wrapTopAndBottom/>
                <wp:docPr id="1306" name="Textbox 1306"/>
                <wp:cNvGraphicFramePr>
                  <a:graphicFrameLocks/>
                </wp:cNvGraphicFramePr>
                <a:graphic>
                  <a:graphicData uri="http://schemas.microsoft.com/office/word/2010/wordprocessingShape">
                    <wps:wsp>
                      <wps:cNvPr id="1306" name="Textbox 1306"/>
                      <wps:cNvSpPr txBox="1"/>
                      <wps:spPr>
                        <a:xfrm>
                          <a:off x="0" y="0"/>
                          <a:ext cx="2891155" cy="1374775"/>
                        </a:xfrm>
                        <a:prstGeom prst="rect">
                          <a:avLst/>
                        </a:prstGeom>
                      </wps:spPr>
                      <wps:txbx>
                        <w:txbxContent>
                          <w:tbl>
                            <w:tblPr>
                              <w:tblW w:w="0" w:type="auto"/>
                              <w:jc w:val="left"/>
                              <w:tblInd w:w="2" w:type="dxa"/>
                              <w:tblBorders>
                                <w:top w:val="single" w:sz="2" w:space="0" w:color="636466"/>
                                <w:left w:val="single" w:sz="2" w:space="0" w:color="636466"/>
                                <w:bottom w:val="single" w:sz="2" w:space="0" w:color="636466"/>
                                <w:right w:val="single" w:sz="2" w:space="0" w:color="636466"/>
                                <w:insideH w:val="single" w:sz="2" w:space="0" w:color="636466"/>
                                <w:insideV w:val="single" w:sz="2" w:space="0" w:color="636466"/>
                              </w:tblBorders>
                              <w:tblLayout w:type="fixed"/>
                              <w:tblCellMar>
                                <w:top w:w="0" w:type="dxa"/>
                                <w:left w:w="0" w:type="dxa"/>
                                <w:bottom w:w="0" w:type="dxa"/>
                                <w:right w:w="0" w:type="dxa"/>
                              </w:tblCellMar>
                              <w:tblLook w:val="01E0"/>
                            </w:tblPr>
                            <w:tblGrid>
                              <w:gridCol w:w="4548"/>
                            </w:tblGrid>
                            <w:tr>
                              <w:trPr>
                                <w:trHeight w:val="355" w:hRule="atLeast"/>
                              </w:trPr>
                              <w:tc>
                                <w:tcPr>
                                  <w:tcW w:w="4548" w:type="dxa"/>
                                  <w:shd w:val="clear" w:color="auto" w:fill="939598"/>
                                </w:tcPr>
                                <w:p>
                                  <w:pPr>
                                    <w:pStyle w:val="TableParagraph"/>
                                    <w:spacing w:before="90"/>
                                    <w:ind w:left="80"/>
                                    <w:rPr>
                                      <w:b/>
                                      <w:sz w:val="20"/>
                                    </w:rPr>
                                  </w:pPr>
                                  <w:r>
                                    <w:rPr>
                                      <w:b/>
                                      <w:color w:val="FFFFFF"/>
                                      <w:sz w:val="20"/>
                                    </w:rPr>
                                    <w:t>COUNTY</w:t>
                                  </w:r>
                                  <w:r>
                                    <w:rPr>
                                      <w:b/>
                                      <w:color w:val="FFFFFF"/>
                                      <w:spacing w:val="2"/>
                                      <w:sz w:val="20"/>
                                    </w:rPr>
                                    <w:t> </w:t>
                                  </w:r>
                                  <w:r>
                                    <w:rPr>
                                      <w:b/>
                                      <w:color w:val="FFFFFF"/>
                                      <w:sz w:val="20"/>
                                    </w:rPr>
                                    <w:t>PRIORITY</w:t>
                                  </w:r>
                                  <w:r>
                                    <w:rPr>
                                      <w:b/>
                                      <w:color w:val="FFFFFF"/>
                                      <w:spacing w:val="3"/>
                                      <w:sz w:val="20"/>
                                    </w:rPr>
                                    <w:t> </w:t>
                                  </w:r>
                                  <w:r>
                                    <w:rPr>
                                      <w:b/>
                                      <w:color w:val="FFFFFF"/>
                                      <w:sz w:val="20"/>
                                    </w:rPr>
                                    <w:t>-</w:t>
                                  </w:r>
                                  <w:r>
                                    <w:rPr>
                                      <w:b/>
                                      <w:color w:val="FFFFFF"/>
                                      <w:spacing w:val="2"/>
                                      <w:sz w:val="20"/>
                                    </w:rPr>
                                    <w:t> </w:t>
                                  </w:r>
                                  <w:r>
                                    <w:rPr>
                                      <w:b/>
                                      <w:color w:val="FFFFFF"/>
                                      <w:sz w:val="20"/>
                                    </w:rPr>
                                    <w:t>FOR</w:t>
                                  </w:r>
                                  <w:r>
                                    <w:rPr>
                                      <w:b/>
                                      <w:color w:val="FFFFFF"/>
                                      <w:spacing w:val="3"/>
                                      <w:sz w:val="20"/>
                                    </w:rPr>
                                    <w:t> </w:t>
                                  </w:r>
                                  <w:r>
                                    <w:rPr>
                                      <w:b/>
                                      <w:color w:val="FFFFFF"/>
                                      <w:spacing w:val="-2"/>
                                      <w:sz w:val="20"/>
                                    </w:rPr>
                                    <w:t>ADULTS</w:t>
                                  </w:r>
                                </w:p>
                              </w:tc>
                            </w:tr>
                            <w:tr>
                              <w:trPr>
                                <w:trHeight w:val="355" w:hRule="atLeast"/>
                              </w:trPr>
                              <w:tc>
                                <w:tcPr>
                                  <w:tcW w:w="4548" w:type="dxa"/>
                                </w:tcPr>
                                <w:p>
                                  <w:pPr>
                                    <w:pStyle w:val="TableParagraph"/>
                                    <w:spacing w:before="90"/>
                                    <w:ind w:left="80"/>
                                    <w:rPr>
                                      <w:sz w:val="20"/>
                                    </w:rPr>
                                  </w:pPr>
                                  <w:r>
                                    <w:rPr>
                                      <w:color w:val="105C84"/>
                                      <w:sz w:val="20"/>
                                    </w:rPr>
                                    <w:t>Substance</w:t>
                                  </w:r>
                                  <w:r>
                                    <w:rPr>
                                      <w:color w:val="105C84"/>
                                      <w:spacing w:val="-11"/>
                                      <w:sz w:val="20"/>
                                    </w:rPr>
                                    <w:t> </w:t>
                                  </w:r>
                                  <w:r>
                                    <w:rPr>
                                      <w:color w:val="105C84"/>
                                      <w:sz w:val="20"/>
                                    </w:rPr>
                                    <w:t>abuse</w:t>
                                  </w:r>
                                  <w:r>
                                    <w:rPr>
                                      <w:color w:val="105C84"/>
                                      <w:spacing w:val="-10"/>
                                      <w:sz w:val="20"/>
                                    </w:rPr>
                                    <w:t> </w:t>
                                  </w:r>
                                  <w:r>
                                    <w:rPr>
                                      <w:color w:val="105C84"/>
                                      <w:spacing w:val="-2"/>
                                      <w:sz w:val="20"/>
                                    </w:rPr>
                                    <w:t>(23.6%)</w:t>
                                  </w:r>
                                </w:p>
                              </w:tc>
                            </w:tr>
                            <w:tr>
                              <w:trPr>
                                <w:trHeight w:val="355" w:hRule="atLeast"/>
                              </w:trPr>
                              <w:tc>
                                <w:tcPr>
                                  <w:tcW w:w="4548" w:type="dxa"/>
                                </w:tcPr>
                                <w:p>
                                  <w:pPr>
                                    <w:pStyle w:val="TableParagraph"/>
                                    <w:spacing w:before="90"/>
                                    <w:ind w:left="80"/>
                                    <w:rPr>
                                      <w:sz w:val="20"/>
                                    </w:rPr>
                                  </w:pPr>
                                  <w:r>
                                    <w:rPr>
                                      <w:color w:val="105C84"/>
                                      <w:sz w:val="20"/>
                                    </w:rPr>
                                    <w:t>Weight</w:t>
                                  </w:r>
                                  <w:r>
                                    <w:rPr>
                                      <w:color w:val="105C84"/>
                                      <w:spacing w:val="27"/>
                                      <w:sz w:val="20"/>
                                    </w:rPr>
                                    <w:t> </w:t>
                                  </w:r>
                                  <w:r>
                                    <w:rPr>
                                      <w:color w:val="105C84"/>
                                      <w:spacing w:val="-2"/>
                                      <w:sz w:val="20"/>
                                    </w:rPr>
                                    <w:t>(20.3%)</w:t>
                                  </w:r>
                                </w:p>
                              </w:tc>
                            </w:tr>
                            <w:tr>
                              <w:trPr>
                                <w:trHeight w:val="355" w:hRule="atLeast"/>
                              </w:trPr>
                              <w:tc>
                                <w:tcPr>
                                  <w:tcW w:w="4548" w:type="dxa"/>
                                </w:tcPr>
                                <w:p>
                                  <w:pPr>
                                    <w:pStyle w:val="TableParagraph"/>
                                    <w:spacing w:before="90"/>
                                    <w:ind w:left="80"/>
                                    <w:rPr>
                                      <w:sz w:val="20"/>
                                    </w:rPr>
                                  </w:pPr>
                                  <w:r>
                                    <w:rPr>
                                      <w:color w:val="105C84"/>
                                      <w:sz w:val="20"/>
                                    </w:rPr>
                                    <w:t>Mental</w:t>
                                  </w:r>
                                  <w:r>
                                    <w:rPr>
                                      <w:color w:val="105C84"/>
                                      <w:spacing w:val="13"/>
                                      <w:sz w:val="20"/>
                                    </w:rPr>
                                    <w:t> </w:t>
                                  </w:r>
                                  <w:r>
                                    <w:rPr>
                                      <w:color w:val="105C84"/>
                                      <w:sz w:val="20"/>
                                    </w:rPr>
                                    <w:t>/</w:t>
                                  </w:r>
                                  <w:r>
                                    <w:rPr>
                                      <w:color w:val="105C84"/>
                                      <w:spacing w:val="13"/>
                                      <w:sz w:val="20"/>
                                    </w:rPr>
                                    <w:t> </w:t>
                                  </w:r>
                                  <w:r>
                                    <w:rPr>
                                      <w:color w:val="105C84"/>
                                      <w:sz w:val="20"/>
                                    </w:rPr>
                                    <w:t>emotional</w:t>
                                  </w:r>
                                  <w:r>
                                    <w:rPr>
                                      <w:color w:val="105C84"/>
                                      <w:spacing w:val="13"/>
                                      <w:sz w:val="20"/>
                                    </w:rPr>
                                    <w:t> </w:t>
                                  </w:r>
                                  <w:r>
                                    <w:rPr>
                                      <w:color w:val="105C84"/>
                                      <w:sz w:val="20"/>
                                    </w:rPr>
                                    <w:t>health</w:t>
                                  </w:r>
                                  <w:r>
                                    <w:rPr>
                                      <w:color w:val="105C84"/>
                                      <w:spacing w:val="13"/>
                                      <w:sz w:val="20"/>
                                    </w:rPr>
                                    <w:t> </w:t>
                                  </w:r>
                                  <w:r>
                                    <w:rPr>
                                      <w:color w:val="105C84"/>
                                      <w:sz w:val="20"/>
                                    </w:rPr>
                                    <w:t>issues</w:t>
                                  </w:r>
                                  <w:r>
                                    <w:rPr>
                                      <w:color w:val="105C84"/>
                                      <w:spacing w:val="13"/>
                                      <w:sz w:val="20"/>
                                    </w:rPr>
                                    <w:t> </w:t>
                                  </w:r>
                                  <w:r>
                                    <w:rPr>
                                      <w:color w:val="105C84"/>
                                      <w:spacing w:val="-2"/>
                                      <w:sz w:val="20"/>
                                    </w:rPr>
                                    <w:t>(18.6%)</w:t>
                                  </w:r>
                                </w:p>
                              </w:tc>
                            </w:tr>
                            <w:tr>
                              <w:trPr>
                                <w:trHeight w:val="355" w:hRule="atLeast"/>
                              </w:trPr>
                              <w:tc>
                                <w:tcPr>
                                  <w:tcW w:w="4548" w:type="dxa"/>
                                </w:tcPr>
                                <w:p>
                                  <w:pPr>
                                    <w:pStyle w:val="TableParagraph"/>
                                    <w:spacing w:before="90"/>
                                    <w:ind w:left="80"/>
                                    <w:rPr>
                                      <w:sz w:val="20"/>
                                    </w:rPr>
                                  </w:pPr>
                                  <w:r>
                                    <w:rPr>
                                      <w:color w:val="105C84"/>
                                      <w:sz w:val="20"/>
                                    </w:rPr>
                                    <w:t>Cost</w:t>
                                  </w:r>
                                  <w:r>
                                    <w:rPr>
                                      <w:color w:val="105C84"/>
                                      <w:spacing w:val="6"/>
                                      <w:sz w:val="20"/>
                                    </w:rPr>
                                    <w:t> </w:t>
                                  </w:r>
                                  <w:r>
                                    <w:rPr>
                                      <w:color w:val="105C84"/>
                                      <w:spacing w:val="-2"/>
                                      <w:sz w:val="20"/>
                                    </w:rPr>
                                    <w:t>(11.0%)</w:t>
                                  </w:r>
                                </w:p>
                              </w:tc>
                            </w:tr>
                            <w:tr>
                              <w:trPr>
                                <w:trHeight w:val="355" w:hRule="atLeast"/>
                              </w:trPr>
                              <w:tc>
                                <w:tcPr>
                                  <w:tcW w:w="4548" w:type="dxa"/>
                                </w:tcPr>
                                <w:p>
                                  <w:pPr>
                                    <w:pStyle w:val="TableParagraph"/>
                                    <w:spacing w:before="90"/>
                                    <w:ind w:left="80"/>
                                    <w:rPr>
                                      <w:sz w:val="20"/>
                                    </w:rPr>
                                  </w:pPr>
                                  <w:r>
                                    <w:rPr>
                                      <w:color w:val="105C84"/>
                                      <w:sz w:val="20"/>
                                    </w:rPr>
                                    <w:t>Aging</w:t>
                                  </w:r>
                                  <w:r>
                                    <w:rPr>
                                      <w:color w:val="105C84"/>
                                      <w:spacing w:val="33"/>
                                      <w:sz w:val="20"/>
                                    </w:rPr>
                                    <w:t> </w:t>
                                  </w:r>
                                  <w:r>
                                    <w:rPr>
                                      <w:color w:val="105C84"/>
                                      <w:spacing w:val="-2"/>
                                      <w:sz w:val="20"/>
                                    </w:rPr>
                                    <w:t>(9.7%)</w:t>
                                  </w:r>
                                </w:p>
                              </w:tc>
                            </w:tr>
                          </w:tbl>
                          <w:p>
                            <w:pPr>
                              <w:pStyle w:val="BodyText"/>
                            </w:pPr>
                          </w:p>
                        </w:txbxContent>
                      </wps:txbx>
                      <wps:bodyPr wrap="square" lIns="0" tIns="0" rIns="0" bIns="0" rtlCol="0">
                        <a:noAutofit/>
                      </wps:bodyPr>
                    </wps:wsp>
                  </a:graphicData>
                </a:graphic>
              </wp:anchor>
            </w:drawing>
          </mc:Choice>
          <mc:Fallback>
            <w:pict>
              <v:shape style="position:absolute;margin-left:665.719971pt;margin-top:136.179489pt;width:227.65pt;height:108.25pt;mso-position-horizontal-relative:page;mso-position-vertical-relative:paragraph;z-index:-15728640;mso-wrap-distance-left:0;mso-wrap-distance-right:0" type="#_x0000_t202" id="docshape1053" filled="false" stroked="false">
                <v:textbox inset="0,0,0,0">
                  <w:txbxContent>
                    <w:tbl>
                      <w:tblPr>
                        <w:tblW w:w="0" w:type="auto"/>
                        <w:jc w:val="left"/>
                        <w:tblInd w:w="2" w:type="dxa"/>
                        <w:tblBorders>
                          <w:top w:val="single" w:sz="2" w:space="0" w:color="636466"/>
                          <w:left w:val="single" w:sz="2" w:space="0" w:color="636466"/>
                          <w:bottom w:val="single" w:sz="2" w:space="0" w:color="636466"/>
                          <w:right w:val="single" w:sz="2" w:space="0" w:color="636466"/>
                          <w:insideH w:val="single" w:sz="2" w:space="0" w:color="636466"/>
                          <w:insideV w:val="single" w:sz="2" w:space="0" w:color="636466"/>
                        </w:tblBorders>
                        <w:tblLayout w:type="fixed"/>
                        <w:tblCellMar>
                          <w:top w:w="0" w:type="dxa"/>
                          <w:left w:w="0" w:type="dxa"/>
                          <w:bottom w:w="0" w:type="dxa"/>
                          <w:right w:w="0" w:type="dxa"/>
                        </w:tblCellMar>
                        <w:tblLook w:val="01E0"/>
                      </w:tblPr>
                      <w:tblGrid>
                        <w:gridCol w:w="4548"/>
                      </w:tblGrid>
                      <w:tr>
                        <w:trPr>
                          <w:trHeight w:val="355" w:hRule="atLeast"/>
                        </w:trPr>
                        <w:tc>
                          <w:tcPr>
                            <w:tcW w:w="4548" w:type="dxa"/>
                            <w:shd w:val="clear" w:color="auto" w:fill="939598"/>
                          </w:tcPr>
                          <w:p>
                            <w:pPr>
                              <w:pStyle w:val="TableParagraph"/>
                              <w:spacing w:before="90"/>
                              <w:ind w:left="80"/>
                              <w:rPr>
                                <w:b/>
                                <w:sz w:val="20"/>
                              </w:rPr>
                            </w:pPr>
                            <w:r>
                              <w:rPr>
                                <w:b/>
                                <w:color w:val="FFFFFF"/>
                                <w:sz w:val="20"/>
                              </w:rPr>
                              <w:t>COUNTY</w:t>
                            </w:r>
                            <w:r>
                              <w:rPr>
                                <w:b/>
                                <w:color w:val="FFFFFF"/>
                                <w:spacing w:val="2"/>
                                <w:sz w:val="20"/>
                              </w:rPr>
                              <w:t> </w:t>
                            </w:r>
                            <w:r>
                              <w:rPr>
                                <w:b/>
                                <w:color w:val="FFFFFF"/>
                                <w:sz w:val="20"/>
                              </w:rPr>
                              <w:t>PRIORITY</w:t>
                            </w:r>
                            <w:r>
                              <w:rPr>
                                <w:b/>
                                <w:color w:val="FFFFFF"/>
                                <w:spacing w:val="3"/>
                                <w:sz w:val="20"/>
                              </w:rPr>
                              <w:t> </w:t>
                            </w:r>
                            <w:r>
                              <w:rPr>
                                <w:b/>
                                <w:color w:val="FFFFFF"/>
                                <w:sz w:val="20"/>
                              </w:rPr>
                              <w:t>-</w:t>
                            </w:r>
                            <w:r>
                              <w:rPr>
                                <w:b/>
                                <w:color w:val="FFFFFF"/>
                                <w:spacing w:val="2"/>
                                <w:sz w:val="20"/>
                              </w:rPr>
                              <w:t> </w:t>
                            </w:r>
                            <w:r>
                              <w:rPr>
                                <w:b/>
                                <w:color w:val="FFFFFF"/>
                                <w:sz w:val="20"/>
                              </w:rPr>
                              <w:t>FOR</w:t>
                            </w:r>
                            <w:r>
                              <w:rPr>
                                <w:b/>
                                <w:color w:val="FFFFFF"/>
                                <w:spacing w:val="3"/>
                                <w:sz w:val="20"/>
                              </w:rPr>
                              <w:t> </w:t>
                            </w:r>
                            <w:r>
                              <w:rPr>
                                <w:b/>
                                <w:color w:val="FFFFFF"/>
                                <w:spacing w:val="-2"/>
                                <w:sz w:val="20"/>
                              </w:rPr>
                              <w:t>ADULTS</w:t>
                            </w:r>
                          </w:p>
                        </w:tc>
                      </w:tr>
                      <w:tr>
                        <w:trPr>
                          <w:trHeight w:val="355" w:hRule="atLeast"/>
                        </w:trPr>
                        <w:tc>
                          <w:tcPr>
                            <w:tcW w:w="4548" w:type="dxa"/>
                          </w:tcPr>
                          <w:p>
                            <w:pPr>
                              <w:pStyle w:val="TableParagraph"/>
                              <w:spacing w:before="90"/>
                              <w:ind w:left="80"/>
                              <w:rPr>
                                <w:sz w:val="20"/>
                              </w:rPr>
                            </w:pPr>
                            <w:r>
                              <w:rPr>
                                <w:color w:val="105C84"/>
                                <w:sz w:val="20"/>
                              </w:rPr>
                              <w:t>Substance</w:t>
                            </w:r>
                            <w:r>
                              <w:rPr>
                                <w:color w:val="105C84"/>
                                <w:spacing w:val="-11"/>
                                <w:sz w:val="20"/>
                              </w:rPr>
                              <w:t> </w:t>
                            </w:r>
                            <w:r>
                              <w:rPr>
                                <w:color w:val="105C84"/>
                                <w:sz w:val="20"/>
                              </w:rPr>
                              <w:t>abuse</w:t>
                            </w:r>
                            <w:r>
                              <w:rPr>
                                <w:color w:val="105C84"/>
                                <w:spacing w:val="-10"/>
                                <w:sz w:val="20"/>
                              </w:rPr>
                              <w:t> </w:t>
                            </w:r>
                            <w:r>
                              <w:rPr>
                                <w:color w:val="105C84"/>
                                <w:spacing w:val="-2"/>
                                <w:sz w:val="20"/>
                              </w:rPr>
                              <w:t>(23.6%)</w:t>
                            </w:r>
                          </w:p>
                        </w:tc>
                      </w:tr>
                      <w:tr>
                        <w:trPr>
                          <w:trHeight w:val="355" w:hRule="atLeast"/>
                        </w:trPr>
                        <w:tc>
                          <w:tcPr>
                            <w:tcW w:w="4548" w:type="dxa"/>
                          </w:tcPr>
                          <w:p>
                            <w:pPr>
                              <w:pStyle w:val="TableParagraph"/>
                              <w:spacing w:before="90"/>
                              <w:ind w:left="80"/>
                              <w:rPr>
                                <w:sz w:val="20"/>
                              </w:rPr>
                            </w:pPr>
                            <w:r>
                              <w:rPr>
                                <w:color w:val="105C84"/>
                                <w:sz w:val="20"/>
                              </w:rPr>
                              <w:t>Weight</w:t>
                            </w:r>
                            <w:r>
                              <w:rPr>
                                <w:color w:val="105C84"/>
                                <w:spacing w:val="27"/>
                                <w:sz w:val="20"/>
                              </w:rPr>
                              <w:t> </w:t>
                            </w:r>
                            <w:r>
                              <w:rPr>
                                <w:color w:val="105C84"/>
                                <w:spacing w:val="-2"/>
                                <w:sz w:val="20"/>
                              </w:rPr>
                              <w:t>(20.3%)</w:t>
                            </w:r>
                          </w:p>
                        </w:tc>
                      </w:tr>
                      <w:tr>
                        <w:trPr>
                          <w:trHeight w:val="355" w:hRule="atLeast"/>
                        </w:trPr>
                        <w:tc>
                          <w:tcPr>
                            <w:tcW w:w="4548" w:type="dxa"/>
                          </w:tcPr>
                          <w:p>
                            <w:pPr>
                              <w:pStyle w:val="TableParagraph"/>
                              <w:spacing w:before="90"/>
                              <w:ind w:left="80"/>
                              <w:rPr>
                                <w:sz w:val="20"/>
                              </w:rPr>
                            </w:pPr>
                            <w:r>
                              <w:rPr>
                                <w:color w:val="105C84"/>
                                <w:sz w:val="20"/>
                              </w:rPr>
                              <w:t>Mental</w:t>
                            </w:r>
                            <w:r>
                              <w:rPr>
                                <w:color w:val="105C84"/>
                                <w:spacing w:val="13"/>
                                <w:sz w:val="20"/>
                              </w:rPr>
                              <w:t> </w:t>
                            </w:r>
                            <w:r>
                              <w:rPr>
                                <w:color w:val="105C84"/>
                                <w:sz w:val="20"/>
                              </w:rPr>
                              <w:t>/</w:t>
                            </w:r>
                            <w:r>
                              <w:rPr>
                                <w:color w:val="105C84"/>
                                <w:spacing w:val="13"/>
                                <w:sz w:val="20"/>
                              </w:rPr>
                              <w:t> </w:t>
                            </w:r>
                            <w:r>
                              <w:rPr>
                                <w:color w:val="105C84"/>
                                <w:sz w:val="20"/>
                              </w:rPr>
                              <w:t>emotional</w:t>
                            </w:r>
                            <w:r>
                              <w:rPr>
                                <w:color w:val="105C84"/>
                                <w:spacing w:val="13"/>
                                <w:sz w:val="20"/>
                              </w:rPr>
                              <w:t> </w:t>
                            </w:r>
                            <w:r>
                              <w:rPr>
                                <w:color w:val="105C84"/>
                                <w:sz w:val="20"/>
                              </w:rPr>
                              <w:t>health</w:t>
                            </w:r>
                            <w:r>
                              <w:rPr>
                                <w:color w:val="105C84"/>
                                <w:spacing w:val="13"/>
                                <w:sz w:val="20"/>
                              </w:rPr>
                              <w:t> </w:t>
                            </w:r>
                            <w:r>
                              <w:rPr>
                                <w:color w:val="105C84"/>
                                <w:sz w:val="20"/>
                              </w:rPr>
                              <w:t>issues</w:t>
                            </w:r>
                            <w:r>
                              <w:rPr>
                                <w:color w:val="105C84"/>
                                <w:spacing w:val="13"/>
                                <w:sz w:val="20"/>
                              </w:rPr>
                              <w:t> </w:t>
                            </w:r>
                            <w:r>
                              <w:rPr>
                                <w:color w:val="105C84"/>
                                <w:spacing w:val="-2"/>
                                <w:sz w:val="20"/>
                              </w:rPr>
                              <w:t>(18.6%)</w:t>
                            </w:r>
                          </w:p>
                        </w:tc>
                      </w:tr>
                      <w:tr>
                        <w:trPr>
                          <w:trHeight w:val="355" w:hRule="atLeast"/>
                        </w:trPr>
                        <w:tc>
                          <w:tcPr>
                            <w:tcW w:w="4548" w:type="dxa"/>
                          </w:tcPr>
                          <w:p>
                            <w:pPr>
                              <w:pStyle w:val="TableParagraph"/>
                              <w:spacing w:before="90"/>
                              <w:ind w:left="80"/>
                              <w:rPr>
                                <w:sz w:val="20"/>
                              </w:rPr>
                            </w:pPr>
                            <w:r>
                              <w:rPr>
                                <w:color w:val="105C84"/>
                                <w:sz w:val="20"/>
                              </w:rPr>
                              <w:t>Cost</w:t>
                            </w:r>
                            <w:r>
                              <w:rPr>
                                <w:color w:val="105C84"/>
                                <w:spacing w:val="6"/>
                                <w:sz w:val="20"/>
                              </w:rPr>
                              <w:t> </w:t>
                            </w:r>
                            <w:r>
                              <w:rPr>
                                <w:color w:val="105C84"/>
                                <w:spacing w:val="-2"/>
                                <w:sz w:val="20"/>
                              </w:rPr>
                              <w:t>(11.0%)</w:t>
                            </w:r>
                          </w:p>
                        </w:tc>
                      </w:tr>
                      <w:tr>
                        <w:trPr>
                          <w:trHeight w:val="355" w:hRule="atLeast"/>
                        </w:trPr>
                        <w:tc>
                          <w:tcPr>
                            <w:tcW w:w="4548" w:type="dxa"/>
                          </w:tcPr>
                          <w:p>
                            <w:pPr>
                              <w:pStyle w:val="TableParagraph"/>
                              <w:spacing w:before="90"/>
                              <w:ind w:left="80"/>
                              <w:rPr>
                                <w:sz w:val="20"/>
                              </w:rPr>
                            </w:pPr>
                            <w:r>
                              <w:rPr>
                                <w:color w:val="105C84"/>
                                <w:sz w:val="20"/>
                              </w:rPr>
                              <w:t>Aging</w:t>
                            </w:r>
                            <w:r>
                              <w:rPr>
                                <w:color w:val="105C84"/>
                                <w:spacing w:val="33"/>
                                <w:sz w:val="20"/>
                              </w:rPr>
                              <w:t> </w:t>
                            </w:r>
                            <w:r>
                              <w:rPr>
                                <w:color w:val="105C84"/>
                                <w:spacing w:val="-2"/>
                                <w:sz w:val="20"/>
                              </w:rPr>
                              <w:t>(9.7%)</w:t>
                            </w:r>
                          </w:p>
                        </w:tc>
                      </w:tr>
                    </w:tbl>
                    <w:p>
                      <w:pPr>
                        <w:pStyle w:val="BodyText"/>
                      </w:pPr>
                    </w:p>
                  </w:txbxContent>
                </v:textbox>
                <w10:wrap type="topAndBottom"/>
              </v:shape>
            </w:pict>
          </mc:Fallback>
        </mc:AlternateContent>
      </w:r>
      <w:r>
        <w:rPr>
          <w:b/>
          <w:sz w:val="20"/>
        </w:rPr>
        <mc:AlternateContent>
          <mc:Choice Requires="wps">
            <w:drawing>
              <wp:anchor distT="0" distB="0" distL="0" distR="0" allowOverlap="1" layoutInCell="1" locked="0" behindDoc="1" simplePos="0" relativeHeight="487587840">
                <wp:simplePos x="0" y="0"/>
                <wp:positionH relativeFrom="page">
                  <wp:posOffset>11690032</wp:posOffset>
                </wp:positionH>
                <wp:positionV relativeFrom="paragraph">
                  <wp:posOffset>1729479</wp:posOffset>
                </wp:positionV>
                <wp:extent cx="3037840" cy="1374775"/>
                <wp:effectExtent l="0" t="0" r="0" b="0"/>
                <wp:wrapTopAndBottom/>
                <wp:docPr id="1307" name="Textbox 1307"/>
                <wp:cNvGraphicFramePr>
                  <a:graphicFrameLocks/>
                </wp:cNvGraphicFramePr>
                <a:graphic>
                  <a:graphicData uri="http://schemas.microsoft.com/office/word/2010/wordprocessingShape">
                    <wps:wsp>
                      <wps:cNvPr id="1307" name="Textbox 1307"/>
                      <wps:cNvSpPr txBox="1"/>
                      <wps:spPr>
                        <a:xfrm>
                          <a:off x="0" y="0"/>
                          <a:ext cx="3037840" cy="1374775"/>
                        </a:xfrm>
                        <a:prstGeom prst="rect">
                          <a:avLst/>
                        </a:prstGeom>
                      </wps:spPr>
                      <wps:txbx>
                        <w:txbxContent>
                          <w:tbl>
                            <w:tblPr>
                              <w:tblW w:w="0" w:type="auto"/>
                              <w:jc w:val="left"/>
                              <w:tblInd w:w="2" w:type="dxa"/>
                              <w:tblBorders>
                                <w:top w:val="single" w:sz="2" w:space="0" w:color="636466"/>
                                <w:left w:val="single" w:sz="2" w:space="0" w:color="636466"/>
                                <w:bottom w:val="single" w:sz="2" w:space="0" w:color="636466"/>
                                <w:right w:val="single" w:sz="2" w:space="0" w:color="636466"/>
                                <w:insideH w:val="single" w:sz="2" w:space="0" w:color="636466"/>
                                <w:insideV w:val="single" w:sz="2" w:space="0" w:color="636466"/>
                              </w:tblBorders>
                              <w:tblLayout w:type="fixed"/>
                              <w:tblCellMar>
                                <w:top w:w="0" w:type="dxa"/>
                                <w:left w:w="0" w:type="dxa"/>
                                <w:bottom w:w="0" w:type="dxa"/>
                                <w:right w:w="0" w:type="dxa"/>
                              </w:tblCellMar>
                              <w:tblLook w:val="01E0"/>
                            </w:tblPr>
                            <w:tblGrid>
                              <w:gridCol w:w="4778"/>
                            </w:tblGrid>
                            <w:tr>
                              <w:trPr>
                                <w:trHeight w:val="355" w:hRule="atLeast"/>
                              </w:trPr>
                              <w:tc>
                                <w:tcPr>
                                  <w:tcW w:w="4778" w:type="dxa"/>
                                  <w:shd w:val="clear" w:color="auto" w:fill="1C75BC"/>
                                </w:tcPr>
                                <w:p>
                                  <w:pPr>
                                    <w:pStyle w:val="TableParagraph"/>
                                    <w:spacing w:before="90"/>
                                    <w:ind w:left="79"/>
                                    <w:rPr>
                                      <w:b/>
                                      <w:sz w:val="20"/>
                                    </w:rPr>
                                  </w:pPr>
                                  <w:r>
                                    <w:rPr>
                                      <w:b/>
                                      <w:color w:val="FFFFFF"/>
                                      <w:sz w:val="20"/>
                                    </w:rPr>
                                    <w:t>COUNTY</w:t>
                                  </w:r>
                                  <w:r>
                                    <w:rPr>
                                      <w:b/>
                                      <w:color w:val="FFFFFF"/>
                                      <w:spacing w:val="2"/>
                                      <w:sz w:val="20"/>
                                    </w:rPr>
                                    <w:t> </w:t>
                                  </w:r>
                                  <w:r>
                                    <w:rPr>
                                      <w:b/>
                                      <w:color w:val="FFFFFF"/>
                                      <w:sz w:val="20"/>
                                    </w:rPr>
                                    <w:t>PRIORITY</w:t>
                                  </w:r>
                                  <w:r>
                                    <w:rPr>
                                      <w:b/>
                                      <w:color w:val="FFFFFF"/>
                                      <w:spacing w:val="3"/>
                                      <w:sz w:val="20"/>
                                    </w:rPr>
                                    <w:t> </w:t>
                                  </w:r>
                                  <w:r>
                                    <w:rPr>
                                      <w:b/>
                                      <w:color w:val="FFFFFF"/>
                                      <w:sz w:val="20"/>
                                    </w:rPr>
                                    <w:t>-</w:t>
                                  </w:r>
                                  <w:r>
                                    <w:rPr>
                                      <w:b/>
                                      <w:color w:val="FFFFFF"/>
                                      <w:spacing w:val="2"/>
                                      <w:sz w:val="20"/>
                                    </w:rPr>
                                    <w:t> </w:t>
                                  </w:r>
                                  <w:r>
                                    <w:rPr>
                                      <w:b/>
                                      <w:color w:val="FFFFFF"/>
                                      <w:sz w:val="20"/>
                                    </w:rPr>
                                    <w:t>FOR</w:t>
                                  </w:r>
                                  <w:r>
                                    <w:rPr>
                                      <w:b/>
                                      <w:color w:val="FFFFFF"/>
                                      <w:spacing w:val="3"/>
                                      <w:sz w:val="20"/>
                                    </w:rPr>
                                    <w:t> </w:t>
                                  </w:r>
                                  <w:r>
                                    <w:rPr>
                                      <w:b/>
                                      <w:color w:val="FFFFFF"/>
                                      <w:spacing w:val="-2"/>
                                      <w:sz w:val="20"/>
                                    </w:rPr>
                                    <w:t>CHILDREN</w:t>
                                  </w:r>
                                </w:p>
                              </w:tc>
                            </w:tr>
                            <w:tr>
                              <w:trPr>
                                <w:trHeight w:val="355" w:hRule="atLeast"/>
                              </w:trPr>
                              <w:tc>
                                <w:tcPr>
                                  <w:tcW w:w="4778" w:type="dxa"/>
                                </w:tcPr>
                                <w:p>
                                  <w:pPr>
                                    <w:pStyle w:val="TableParagraph"/>
                                    <w:spacing w:before="90"/>
                                    <w:ind w:left="79"/>
                                    <w:rPr>
                                      <w:sz w:val="20"/>
                                    </w:rPr>
                                  </w:pPr>
                                  <w:r>
                                    <w:rPr>
                                      <w:color w:val="105C84"/>
                                      <w:sz w:val="20"/>
                                    </w:rPr>
                                    <w:t>Diet</w:t>
                                  </w:r>
                                  <w:r>
                                    <w:rPr>
                                      <w:color w:val="105C84"/>
                                      <w:spacing w:val="30"/>
                                      <w:sz w:val="20"/>
                                    </w:rPr>
                                    <w:t> </w:t>
                                  </w:r>
                                  <w:r>
                                    <w:rPr>
                                      <w:color w:val="105C84"/>
                                      <w:sz w:val="20"/>
                                    </w:rPr>
                                    <w:t>/</w:t>
                                  </w:r>
                                  <w:r>
                                    <w:rPr>
                                      <w:color w:val="105C84"/>
                                      <w:spacing w:val="30"/>
                                      <w:sz w:val="20"/>
                                    </w:rPr>
                                    <w:t> </w:t>
                                  </w:r>
                                  <w:r>
                                    <w:rPr>
                                      <w:color w:val="105C84"/>
                                      <w:sz w:val="20"/>
                                    </w:rPr>
                                    <w:t>nutrition</w:t>
                                  </w:r>
                                  <w:r>
                                    <w:rPr>
                                      <w:color w:val="105C84"/>
                                      <w:spacing w:val="31"/>
                                      <w:sz w:val="20"/>
                                    </w:rPr>
                                    <w:t> </w:t>
                                  </w:r>
                                  <w:r>
                                    <w:rPr>
                                      <w:color w:val="105C84"/>
                                      <w:spacing w:val="-2"/>
                                      <w:sz w:val="20"/>
                                    </w:rPr>
                                    <w:t>(25.2%)</w:t>
                                  </w:r>
                                </w:p>
                              </w:tc>
                            </w:tr>
                            <w:tr>
                              <w:trPr>
                                <w:trHeight w:val="355" w:hRule="atLeast"/>
                              </w:trPr>
                              <w:tc>
                                <w:tcPr>
                                  <w:tcW w:w="4778" w:type="dxa"/>
                                </w:tcPr>
                                <w:p>
                                  <w:pPr>
                                    <w:pStyle w:val="TableParagraph"/>
                                    <w:spacing w:before="90"/>
                                    <w:ind w:left="79"/>
                                    <w:rPr>
                                      <w:sz w:val="20"/>
                                    </w:rPr>
                                  </w:pPr>
                                  <w:r>
                                    <w:rPr>
                                      <w:color w:val="105C84"/>
                                      <w:sz w:val="20"/>
                                    </w:rPr>
                                    <w:t>Mental</w:t>
                                  </w:r>
                                  <w:r>
                                    <w:rPr>
                                      <w:color w:val="105C84"/>
                                      <w:spacing w:val="13"/>
                                      <w:sz w:val="20"/>
                                    </w:rPr>
                                    <w:t> </w:t>
                                  </w:r>
                                  <w:r>
                                    <w:rPr>
                                      <w:color w:val="105C84"/>
                                      <w:sz w:val="20"/>
                                    </w:rPr>
                                    <w:t>/</w:t>
                                  </w:r>
                                  <w:r>
                                    <w:rPr>
                                      <w:color w:val="105C84"/>
                                      <w:spacing w:val="13"/>
                                      <w:sz w:val="20"/>
                                    </w:rPr>
                                    <w:t> </w:t>
                                  </w:r>
                                  <w:r>
                                    <w:rPr>
                                      <w:color w:val="105C84"/>
                                      <w:sz w:val="20"/>
                                    </w:rPr>
                                    <w:t>emotional</w:t>
                                  </w:r>
                                  <w:r>
                                    <w:rPr>
                                      <w:color w:val="105C84"/>
                                      <w:spacing w:val="13"/>
                                      <w:sz w:val="20"/>
                                    </w:rPr>
                                    <w:t> </w:t>
                                  </w:r>
                                  <w:r>
                                    <w:rPr>
                                      <w:color w:val="105C84"/>
                                      <w:sz w:val="20"/>
                                    </w:rPr>
                                    <w:t>health</w:t>
                                  </w:r>
                                  <w:r>
                                    <w:rPr>
                                      <w:color w:val="105C84"/>
                                      <w:spacing w:val="13"/>
                                      <w:sz w:val="20"/>
                                    </w:rPr>
                                    <w:t> </w:t>
                                  </w:r>
                                  <w:r>
                                    <w:rPr>
                                      <w:color w:val="105C84"/>
                                      <w:sz w:val="20"/>
                                    </w:rPr>
                                    <w:t>issues</w:t>
                                  </w:r>
                                  <w:r>
                                    <w:rPr>
                                      <w:color w:val="105C84"/>
                                      <w:spacing w:val="13"/>
                                      <w:sz w:val="20"/>
                                    </w:rPr>
                                    <w:t> </w:t>
                                  </w:r>
                                  <w:r>
                                    <w:rPr>
                                      <w:color w:val="105C84"/>
                                      <w:spacing w:val="-2"/>
                                      <w:sz w:val="20"/>
                                    </w:rPr>
                                    <w:t>(20.5%)</w:t>
                                  </w:r>
                                </w:p>
                              </w:tc>
                            </w:tr>
                            <w:tr>
                              <w:trPr>
                                <w:trHeight w:val="355" w:hRule="atLeast"/>
                              </w:trPr>
                              <w:tc>
                                <w:tcPr>
                                  <w:tcW w:w="4778" w:type="dxa"/>
                                </w:tcPr>
                                <w:p>
                                  <w:pPr>
                                    <w:pStyle w:val="TableParagraph"/>
                                    <w:spacing w:before="90"/>
                                    <w:ind w:left="79"/>
                                    <w:rPr>
                                      <w:sz w:val="20"/>
                                    </w:rPr>
                                  </w:pPr>
                                  <w:r>
                                    <w:rPr>
                                      <w:color w:val="105C84"/>
                                      <w:sz w:val="20"/>
                                    </w:rPr>
                                    <w:t>Weight</w:t>
                                  </w:r>
                                  <w:r>
                                    <w:rPr>
                                      <w:color w:val="105C84"/>
                                      <w:spacing w:val="27"/>
                                      <w:sz w:val="20"/>
                                    </w:rPr>
                                    <w:t> </w:t>
                                  </w:r>
                                  <w:r>
                                    <w:rPr>
                                      <w:color w:val="105C84"/>
                                      <w:spacing w:val="-2"/>
                                      <w:sz w:val="20"/>
                                    </w:rPr>
                                    <w:t>(18.5%)</w:t>
                                  </w:r>
                                </w:p>
                              </w:tc>
                            </w:tr>
                            <w:tr>
                              <w:trPr>
                                <w:trHeight w:val="355" w:hRule="atLeast"/>
                              </w:trPr>
                              <w:tc>
                                <w:tcPr>
                                  <w:tcW w:w="4778" w:type="dxa"/>
                                </w:tcPr>
                                <w:p>
                                  <w:pPr>
                                    <w:pStyle w:val="TableParagraph"/>
                                    <w:spacing w:before="90"/>
                                    <w:ind w:left="79"/>
                                    <w:rPr>
                                      <w:sz w:val="20"/>
                                    </w:rPr>
                                  </w:pPr>
                                  <w:r>
                                    <w:rPr>
                                      <w:color w:val="105C84"/>
                                      <w:sz w:val="20"/>
                                    </w:rPr>
                                    <w:t>Substance</w:t>
                                  </w:r>
                                  <w:r>
                                    <w:rPr>
                                      <w:color w:val="105C84"/>
                                      <w:spacing w:val="-11"/>
                                      <w:sz w:val="20"/>
                                    </w:rPr>
                                    <w:t> </w:t>
                                  </w:r>
                                  <w:r>
                                    <w:rPr>
                                      <w:color w:val="105C84"/>
                                      <w:sz w:val="20"/>
                                    </w:rPr>
                                    <w:t>abuse</w:t>
                                  </w:r>
                                  <w:r>
                                    <w:rPr>
                                      <w:color w:val="105C84"/>
                                      <w:spacing w:val="-10"/>
                                      <w:sz w:val="20"/>
                                    </w:rPr>
                                    <w:t> </w:t>
                                  </w:r>
                                  <w:r>
                                    <w:rPr>
                                      <w:color w:val="105C84"/>
                                      <w:spacing w:val="-2"/>
                                      <w:sz w:val="20"/>
                                    </w:rPr>
                                    <w:t>(15.5%)</w:t>
                                  </w:r>
                                </w:p>
                              </w:tc>
                            </w:tr>
                            <w:tr>
                              <w:trPr>
                                <w:trHeight w:val="355" w:hRule="atLeast"/>
                              </w:trPr>
                              <w:tc>
                                <w:tcPr>
                                  <w:tcW w:w="4778" w:type="dxa"/>
                                </w:tcPr>
                                <w:p>
                                  <w:pPr>
                                    <w:pStyle w:val="TableParagraph"/>
                                    <w:spacing w:before="90"/>
                                    <w:ind w:left="79"/>
                                    <w:rPr>
                                      <w:sz w:val="20"/>
                                    </w:rPr>
                                  </w:pPr>
                                  <w:r>
                                    <w:rPr>
                                      <w:color w:val="105C84"/>
                                      <w:spacing w:val="-4"/>
                                      <w:sz w:val="20"/>
                                    </w:rPr>
                                    <w:t>Exercise</w:t>
                                  </w:r>
                                  <w:r>
                                    <w:rPr>
                                      <w:color w:val="105C84"/>
                                      <w:spacing w:val="3"/>
                                      <w:sz w:val="20"/>
                                    </w:rPr>
                                    <w:t> </w:t>
                                  </w:r>
                                  <w:r>
                                    <w:rPr>
                                      <w:color w:val="105C84"/>
                                      <w:spacing w:val="-2"/>
                                      <w:sz w:val="20"/>
                                    </w:rPr>
                                    <w:t>(13.4%)</w:t>
                                  </w:r>
                                </w:p>
                              </w:tc>
                            </w:tr>
                          </w:tbl>
                          <w:p>
                            <w:pPr>
                              <w:pStyle w:val="BodyText"/>
                            </w:pPr>
                          </w:p>
                        </w:txbxContent>
                      </wps:txbx>
                      <wps:bodyPr wrap="square" lIns="0" tIns="0" rIns="0" bIns="0" rtlCol="0">
                        <a:noAutofit/>
                      </wps:bodyPr>
                    </wps:wsp>
                  </a:graphicData>
                </a:graphic>
              </wp:anchor>
            </w:drawing>
          </mc:Choice>
          <mc:Fallback>
            <w:pict>
              <v:shape style="position:absolute;margin-left:920.474976pt;margin-top:136.179489pt;width:239.2pt;height:108.25pt;mso-position-horizontal-relative:page;mso-position-vertical-relative:paragraph;z-index:-15728640;mso-wrap-distance-left:0;mso-wrap-distance-right:0" type="#_x0000_t202" id="docshape1054" filled="false" stroked="false">
                <v:textbox inset="0,0,0,0">
                  <w:txbxContent>
                    <w:tbl>
                      <w:tblPr>
                        <w:tblW w:w="0" w:type="auto"/>
                        <w:jc w:val="left"/>
                        <w:tblInd w:w="2" w:type="dxa"/>
                        <w:tblBorders>
                          <w:top w:val="single" w:sz="2" w:space="0" w:color="636466"/>
                          <w:left w:val="single" w:sz="2" w:space="0" w:color="636466"/>
                          <w:bottom w:val="single" w:sz="2" w:space="0" w:color="636466"/>
                          <w:right w:val="single" w:sz="2" w:space="0" w:color="636466"/>
                          <w:insideH w:val="single" w:sz="2" w:space="0" w:color="636466"/>
                          <w:insideV w:val="single" w:sz="2" w:space="0" w:color="636466"/>
                        </w:tblBorders>
                        <w:tblLayout w:type="fixed"/>
                        <w:tblCellMar>
                          <w:top w:w="0" w:type="dxa"/>
                          <w:left w:w="0" w:type="dxa"/>
                          <w:bottom w:w="0" w:type="dxa"/>
                          <w:right w:w="0" w:type="dxa"/>
                        </w:tblCellMar>
                        <w:tblLook w:val="01E0"/>
                      </w:tblPr>
                      <w:tblGrid>
                        <w:gridCol w:w="4778"/>
                      </w:tblGrid>
                      <w:tr>
                        <w:trPr>
                          <w:trHeight w:val="355" w:hRule="atLeast"/>
                        </w:trPr>
                        <w:tc>
                          <w:tcPr>
                            <w:tcW w:w="4778" w:type="dxa"/>
                            <w:shd w:val="clear" w:color="auto" w:fill="1C75BC"/>
                          </w:tcPr>
                          <w:p>
                            <w:pPr>
                              <w:pStyle w:val="TableParagraph"/>
                              <w:spacing w:before="90"/>
                              <w:ind w:left="79"/>
                              <w:rPr>
                                <w:b/>
                                <w:sz w:val="20"/>
                              </w:rPr>
                            </w:pPr>
                            <w:r>
                              <w:rPr>
                                <w:b/>
                                <w:color w:val="FFFFFF"/>
                                <w:sz w:val="20"/>
                              </w:rPr>
                              <w:t>COUNTY</w:t>
                            </w:r>
                            <w:r>
                              <w:rPr>
                                <w:b/>
                                <w:color w:val="FFFFFF"/>
                                <w:spacing w:val="2"/>
                                <w:sz w:val="20"/>
                              </w:rPr>
                              <w:t> </w:t>
                            </w:r>
                            <w:r>
                              <w:rPr>
                                <w:b/>
                                <w:color w:val="FFFFFF"/>
                                <w:sz w:val="20"/>
                              </w:rPr>
                              <w:t>PRIORITY</w:t>
                            </w:r>
                            <w:r>
                              <w:rPr>
                                <w:b/>
                                <w:color w:val="FFFFFF"/>
                                <w:spacing w:val="3"/>
                                <w:sz w:val="20"/>
                              </w:rPr>
                              <w:t> </w:t>
                            </w:r>
                            <w:r>
                              <w:rPr>
                                <w:b/>
                                <w:color w:val="FFFFFF"/>
                                <w:sz w:val="20"/>
                              </w:rPr>
                              <w:t>-</w:t>
                            </w:r>
                            <w:r>
                              <w:rPr>
                                <w:b/>
                                <w:color w:val="FFFFFF"/>
                                <w:spacing w:val="2"/>
                                <w:sz w:val="20"/>
                              </w:rPr>
                              <w:t> </w:t>
                            </w:r>
                            <w:r>
                              <w:rPr>
                                <w:b/>
                                <w:color w:val="FFFFFF"/>
                                <w:sz w:val="20"/>
                              </w:rPr>
                              <w:t>FOR</w:t>
                            </w:r>
                            <w:r>
                              <w:rPr>
                                <w:b/>
                                <w:color w:val="FFFFFF"/>
                                <w:spacing w:val="3"/>
                                <w:sz w:val="20"/>
                              </w:rPr>
                              <w:t> </w:t>
                            </w:r>
                            <w:r>
                              <w:rPr>
                                <w:b/>
                                <w:color w:val="FFFFFF"/>
                                <w:spacing w:val="-2"/>
                                <w:sz w:val="20"/>
                              </w:rPr>
                              <w:t>CHILDREN</w:t>
                            </w:r>
                          </w:p>
                        </w:tc>
                      </w:tr>
                      <w:tr>
                        <w:trPr>
                          <w:trHeight w:val="355" w:hRule="atLeast"/>
                        </w:trPr>
                        <w:tc>
                          <w:tcPr>
                            <w:tcW w:w="4778" w:type="dxa"/>
                          </w:tcPr>
                          <w:p>
                            <w:pPr>
                              <w:pStyle w:val="TableParagraph"/>
                              <w:spacing w:before="90"/>
                              <w:ind w:left="79"/>
                              <w:rPr>
                                <w:sz w:val="20"/>
                              </w:rPr>
                            </w:pPr>
                            <w:r>
                              <w:rPr>
                                <w:color w:val="105C84"/>
                                <w:sz w:val="20"/>
                              </w:rPr>
                              <w:t>Diet</w:t>
                            </w:r>
                            <w:r>
                              <w:rPr>
                                <w:color w:val="105C84"/>
                                <w:spacing w:val="30"/>
                                <w:sz w:val="20"/>
                              </w:rPr>
                              <w:t> </w:t>
                            </w:r>
                            <w:r>
                              <w:rPr>
                                <w:color w:val="105C84"/>
                                <w:sz w:val="20"/>
                              </w:rPr>
                              <w:t>/</w:t>
                            </w:r>
                            <w:r>
                              <w:rPr>
                                <w:color w:val="105C84"/>
                                <w:spacing w:val="30"/>
                                <w:sz w:val="20"/>
                              </w:rPr>
                              <w:t> </w:t>
                            </w:r>
                            <w:r>
                              <w:rPr>
                                <w:color w:val="105C84"/>
                                <w:sz w:val="20"/>
                              </w:rPr>
                              <w:t>nutrition</w:t>
                            </w:r>
                            <w:r>
                              <w:rPr>
                                <w:color w:val="105C84"/>
                                <w:spacing w:val="31"/>
                                <w:sz w:val="20"/>
                              </w:rPr>
                              <w:t> </w:t>
                            </w:r>
                            <w:r>
                              <w:rPr>
                                <w:color w:val="105C84"/>
                                <w:spacing w:val="-2"/>
                                <w:sz w:val="20"/>
                              </w:rPr>
                              <w:t>(25.2%)</w:t>
                            </w:r>
                          </w:p>
                        </w:tc>
                      </w:tr>
                      <w:tr>
                        <w:trPr>
                          <w:trHeight w:val="355" w:hRule="atLeast"/>
                        </w:trPr>
                        <w:tc>
                          <w:tcPr>
                            <w:tcW w:w="4778" w:type="dxa"/>
                          </w:tcPr>
                          <w:p>
                            <w:pPr>
                              <w:pStyle w:val="TableParagraph"/>
                              <w:spacing w:before="90"/>
                              <w:ind w:left="79"/>
                              <w:rPr>
                                <w:sz w:val="20"/>
                              </w:rPr>
                            </w:pPr>
                            <w:r>
                              <w:rPr>
                                <w:color w:val="105C84"/>
                                <w:sz w:val="20"/>
                              </w:rPr>
                              <w:t>Mental</w:t>
                            </w:r>
                            <w:r>
                              <w:rPr>
                                <w:color w:val="105C84"/>
                                <w:spacing w:val="13"/>
                                <w:sz w:val="20"/>
                              </w:rPr>
                              <w:t> </w:t>
                            </w:r>
                            <w:r>
                              <w:rPr>
                                <w:color w:val="105C84"/>
                                <w:sz w:val="20"/>
                              </w:rPr>
                              <w:t>/</w:t>
                            </w:r>
                            <w:r>
                              <w:rPr>
                                <w:color w:val="105C84"/>
                                <w:spacing w:val="13"/>
                                <w:sz w:val="20"/>
                              </w:rPr>
                              <w:t> </w:t>
                            </w:r>
                            <w:r>
                              <w:rPr>
                                <w:color w:val="105C84"/>
                                <w:sz w:val="20"/>
                              </w:rPr>
                              <w:t>emotional</w:t>
                            </w:r>
                            <w:r>
                              <w:rPr>
                                <w:color w:val="105C84"/>
                                <w:spacing w:val="13"/>
                                <w:sz w:val="20"/>
                              </w:rPr>
                              <w:t> </w:t>
                            </w:r>
                            <w:r>
                              <w:rPr>
                                <w:color w:val="105C84"/>
                                <w:sz w:val="20"/>
                              </w:rPr>
                              <w:t>health</w:t>
                            </w:r>
                            <w:r>
                              <w:rPr>
                                <w:color w:val="105C84"/>
                                <w:spacing w:val="13"/>
                                <w:sz w:val="20"/>
                              </w:rPr>
                              <w:t> </w:t>
                            </w:r>
                            <w:r>
                              <w:rPr>
                                <w:color w:val="105C84"/>
                                <w:sz w:val="20"/>
                              </w:rPr>
                              <w:t>issues</w:t>
                            </w:r>
                            <w:r>
                              <w:rPr>
                                <w:color w:val="105C84"/>
                                <w:spacing w:val="13"/>
                                <w:sz w:val="20"/>
                              </w:rPr>
                              <w:t> </w:t>
                            </w:r>
                            <w:r>
                              <w:rPr>
                                <w:color w:val="105C84"/>
                                <w:spacing w:val="-2"/>
                                <w:sz w:val="20"/>
                              </w:rPr>
                              <w:t>(20.5%)</w:t>
                            </w:r>
                          </w:p>
                        </w:tc>
                      </w:tr>
                      <w:tr>
                        <w:trPr>
                          <w:trHeight w:val="355" w:hRule="atLeast"/>
                        </w:trPr>
                        <w:tc>
                          <w:tcPr>
                            <w:tcW w:w="4778" w:type="dxa"/>
                          </w:tcPr>
                          <w:p>
                            <w:pPr>
                              <w:pStyle w:val="TableParagraph"/>
                              <w:spacing w:before="90"/>
                              <w:ind w:left="79"/>
                              <w:rPr>
                                <w:sz w:val="20"/>
                              </w:rPr>
                            </w:pPr>
                            <w:r>
                              <w:rPr>
                                <w:color w:val="105C84"/>
                                <w:sz w:val="20"/>
                              </w:rPr>
                              <w:t>Weight</w:t>
                            </w:r>
                            <w:r>
                              <w:rPr>
                                <w:color w:val="105C84"/>
                                <w:spacing w:val="27"/>
                                <w:sz w:val="20"/>
                              </w:rPr>
                              <w:t> </w:t>
                            </w:r>
                            <w:r>
                              <w:rPr>
                                <w:color w:val="105C84"/>
                                <w:spacing w:val="-2"/>
                                <w:sz w:val="20"/>
                              </w:rPr>
                              <w:t>(18.5%)</w:t>
                            </w:r>
                          </w:p>
                        </w:tc>
                      </w:tr>
                      <w:tr>
                        <w:trPr>
                          <w:trHeight w:val="355" w:hRule="atLeast"/>
                        </w:trPr>
                        <w:tc>
                          <w:tcPr>
                            <w:tcW w:w="4778" w:type="dxa"/>
                          </w:tcPr>
                          <w:p>
                            <w:pPr>
                              <w:pStyle w:val="TableParagraph"/>
                              <w:spacing w:before="90"/>
                              <w:ind w:left="79"/>
                              <w:rPr>
                                <w:sz w:val="20"/>
                              </w:rPr>
                            </w:pPr>
                            <w:r>
                              <w:rPr>
                                <w:color w:val="105C84"/>
                                <w:sz w:val="20"/>
                              </w:rPr>
                              <w:t>Substance</w:t>
                            </w:r>
                            <w:r>
                              <w:rPr>
                                <w:color w:val="105C84"/>
                                <w:spacing w:val="-11"/>
                                <w:sz w:val="20"/>
                              </w:rPr>
                              <w:t> </w:t>
                            </w:r>
                            <w:r>
                              <w:rPr>
                                <w:color w:val="105C84"/>
                                <w:sz w:val="20"/>
                              </w:rPr>
                              <w:t>abuse</w:t>
                            </w:r>
                            <w:r>
                              <w:rPr>
                                <w:color w:val="105C84"/>
                                <w:spacing w:val="-10"/>
                                <w:sz w:val="20"/>
                              </w:rPr>
                              <w:t> </w:t>
                            </w:r>
                            <w:r>
                              <w:rPr>
                                <w:color w:val="105C84"/>
                                <w:spacing w:val="-2"/>
                                <w:sz w:val="20"/>
                              </w:rPr>
                              <w:t>(15.5%)</w:t>
                            </w:r>
                          </w:p>
                        </w:tc>
                      </w:tr>
                      <w:tr>
                        <w:trPr>
                          <w:trHeight w:val="355" w:hRule="atLeast"/>
                        </w:trPr>
                        <w:tc>
                          <w:tcPr>
                            <w:tcW w:w="4778" w:type="dxa"/>
                          </w:tcPr>
                          <w:p>
                            <w:pPr>
                              <w:pStyle w:val="TableParagraph"/>
                              <w:spacing w:before="90"/>
                              <w:ind w:left="79"/>
                              <w:rPr>
                                <w:sz w:val="20"/>
                              </w:rPr>
                            </w:pPr>
                            <w:r>
                              <w:rPr>
                                <w:color w:val="105C84"/>
                                <w:spacing w:val="-4"/>
                                <w:sz w:val="20"/>
                              </w:rPr>
                              <w:t>Exercise</w:t>
                            </w:r>
                            <w:r>
                              <w:rPr>
                                <w:color w:val="105C84"/>
                                <w:spacing w:val="3"/>
                                <w:sz w:val="20"/>
                              </w:rPr>
                              <w:t> </w:t>
                            </w:r>
                            <w:r>
                              <w:rPr>
                                <w:color w:val="105C84"/>
                                <w:spacing w:val="-2"/>
                                <w:sz w:val="20"/>
                              </w:rPr>
                              <w:t>(13.4%)</w:t>
                            </w:r>
                          </w:p>
                        </w:tc>
                      </w:tr>
                    </w:tbl>
                    <w:p>
                      <w:pPr>
                        <w:pStyle w:val="BodyText"/>
                      </w:pPr>
                    </w:p>
                  </w:txbxContent>
                </v:textbox>
                <w10:wrap type="topAndBottom"/>
              </v:shape>
            </w:pict>
          </mc:Fallback>
        </mc:AlternateContent>
      </w:r>
    </w:p>
    <w:p>
      <w:pPr>
        <w:pStyle w:val="BodyText"/>
        <w:spacing w:before="10"/>
        <w:rPr>
          <w:b/>
          <w:sz w:val="12"/>
        </w:rPr>
      </w:pPr>
    </w:p>
    <w:p>
      <w:pPr>
        <w:spacing w:line="235" w:lineRule="auto" w:before="223"/>
        <w:ind w:left="1080" w:right="581" w:firstLine="0"/>
        <w:jc w:val="left"/>
        <w:rPr>
          <w:sz w:val="16"/>
        </w:rPr>
      </w:pPr>
      <w:r>
        <w:rPr>
          <w:color w:val="0C5D86"/>
          <w:sz w:val="16"/>
        </w:rPr>
        <w:t>Source: My Health Story survey 2018. Analysis by Common Ground Health incorporates weighting to normalize survey participants to demographics</w:t>
      </w:r>
      <w:r>
        <w:rPr>
          <w:color w:val="0C5D86"/>
          <w:spacing w:val="-6"/>
          <w:sz w:val="16"/>
        </w:rPr>
        <w:t> </w:t>
      </w:r>
      <w:r>
        <w:rPr>
          <w:color w:val="0C5D86"/>
          <w:sz w:val="16"/>
        </w:rPr>
        <w:t>of</w:t>
      </w:r>
      <w:r>
        <w:rPr>
          <w:color w:val="0C5D86"/>
          <w:spacing w:val="-6"/>
          <w:sz w:val="16"/>
        </w:rPr>
        <w:t> </w:t>
      </w:r>
      <w:r>
        <w:rPr>
          <w:color w:val="0C5D86"/>
          <w:sz w:val="16"/>
        </w:rPr>
        <w:t>each</w:t>
      </w:r>
      <w:r>
        <w:rPr>
          <w:color w:val="0C5D86"/>
          <w:spacing w:val="-6"/>
          <w:sz w:val="16"/>
        </w:rPr>
        <w:t> </w:t>
      </w:r>
      <w:r>
        <w:rPr>
          <w:color w:val="0C5D86"/>
          <w:sz w:val="16"/>
        </w:rPr>
        <w:t>county.</w:t>
      </w:r>
      <w:r>
        <w:rPr>
          <w:color w:val="0C5D86"/>
          <w:spacing w:val="32"/>
          <w:sz w:val="16"/>
        </w:rPr>
        <w:t> </w:t>
      </w:r>
      <w:r>
        <w:rPr>
          <w:color w:val="0C5D86"/>
          <w:sz w:val="16"/>
        </w:rPr>
        <w:t>Top</w:t>
      </w:r>
      <w:r>
        <w:rPr>
          <w:color w:val="0C5D86"/>
          <w:spacing w:val="-6"/>
          <w:sz w:val="16"/>
        </w:rPr>
        <w:t> </w:t>
      </w:r>
      <w:r>
        <w:rPr>
          <w:color w:val="0C5D86"/>
          <w:sz w:val="16"/>
        </w:rPr>
        <w:t>5</w:t>
      </w:r>
      <w:r>
        <w:rPr>
          <w:color w:val="0C5D86"/>
          <w:spacing w:val="-6"/>
          <w:sz w:val="16"/>
        </w:rPr>
        <w:t> </w:t>
      </w:r>
      <w:r>
        <w:rPr>
          <w:color w:val="0C5D86"/>
          <w:sz w:val="16"/>
        </w:rPr>
        <w:t>issues</w:t>
      </w:r>
      <w:r>
        <w:rPr>
          <w:color w:val="0C5D86"/>
          <w:spacing w:val="-6"/>
          <w:sz w:val="16"/>
        </w:rPr>
        <w:t> </w:t>
      </w:r>
      <w:r>
        <w:rPr>
          <w:color w:val="0C5D86"/>
          <w:sz w:val="16"/>
        </w:rPr>
        <w:t>shown</w:t>
      </w:r>
      <w:r>
        <w:rPr>
          <w:color w:val="0C5D86"/>
          <w:spacing w:val="-6"/>
          <w:sz w:val="16"/>
        </w:rPr>
        <w:t> </w:t>
      </w:r>
      <w:r>
        <w:rPr>
          <w:color w:val="0C5D86"/>
          <w:sz w:val="16"/>
        </w:rPr>
        <w:t>for</w:t>
      </w:r>
      <w:r>
        <w:rPr>
          <w:color w:val="0C5D86"/>
          <w:spacing w:val="-6"/>
          <w:sz w:val="16"/>
        </w:rPr>
        <w:t> </w:t>
      </w:r>
      <w:r>
        <w:rPr>
          <w:color w:val="0C5D86"/>
          <w:sz w:val="16"/>
        </w:rPr>
        <w:t>each</w:t>
      </w:r>
      <w:r>
        <w:rPr>
          <w:color w:val="0C5D86"/>
          <w:spacing w:val="-6"/>
          <w:sz w:val="16"/>
        </w:rPr>
        <w:t> </w:t>
      </w:r>
      <w:r>
        <w:rPr>
          <w:color w:val="0C5D86"/>
          <w:sz w:val="16"/>
        </w:rPr>
        <w:t>question.</w:t>
      </w:r>
      <w:r>
        <w:rPr>
          <w:color w:val="0C5D86"/>
          <w:spacing w:val="32"/>
          <w:sz w:val="16"/>
        </w:rPr>
        <w:t> </w:t>
      </w:r>
      <w:r>
        <w:rPr>
          <w:color w:val="0C5D86"/>
          <w:sz w:val="16"/>
        </w:rPr>
        <w:t>Data</w:t>
      </w:r>
      <w:r>
        <w:rPr>
          <w:color w:val="0C5D86"/>
          <w:spacing w:val="-6"/>
          <w:sz w:val="16"/>
        </w:rPr>
        <w:t> </w:t>
      </w:r>
      <w:r>
        <w:rPr>
          <w:color w:val="0C5D86"/>
          <w:sz w:val="16"/>
        </w:rPr>
        <w:t>shown</w:t>
      </w:r>
      <w:r>
        <w:rPr>
          <w:color w:val="0C5D86"/>
          <w:spacing w:val="-6"/>
          <w:sz w:val="16"/>
        </w:rPr>
        <w:t> </w:t>
      </w:r>
      <w:r>
        <w:rPr>
          <w:color w:val="0C5D86"/>
          <w:sz w:val="16"/>
        </w:rPr>
        <w:t>are</w:t>
      </w:r>
      <w:r>
        <w:rPr>
          <w:color w:val="0C5D86"/>
          <w:spacing w:val="-6"/>
          <w:sz w:val="16"/>
        </w:rPr>
        <w:t> </w:t>
      </w:r>
      <w:r>
        <w:rPr>
          <w:color w:val="0C5D86"/>
          <w:sz w:val="16"/>
        </w:rPr>
        <w:t>the</w:t>
      </w:r>
      <w:r>
        <w:rPr>
          <w:color w:val="0C5D86"/>
          <w:spacing w:val="-6"/>
          <w:sz w:val="16"/>
        </w:rPr>
        <w:t> </w:t>
      </w:r>
      <w:r>
        <w:rPr>
          <w:color w:val="0C5D86"/>
          <w:sz w:val="16"/>
        </w:rPr>
        <w:t>percent</w:t>
      </w:r>
      <w:r>
        <w:rPr>
          <w:color w:val="0C5D86"/>
          <w:spacing w:val="-6"/>
          <w:sz w:val="16"/>
        </w:rPr>
        <w:t> </w:t>
      </w:r>
      <w:r>
        <w:rPr>
          <w:color w:val="0C5D86"/>
          <w:sz w:val="16"/>
        </w:rPr>
        <w:t>of</w:t>
      </w:r>
      <w:r>
        <w:rPr>
          <w:color w:val="0C5D86"/>
          <w:spacing w:val="-6"/>
          <w:sz w:val="16"/>
        </w:rPr>
        <w:t> </w:t>
      </w:r>
      <w:r>
        <w:rPr>
          <w:color w:val="0C5D86"/>
          <w:sz w:val="16"/>
        </w:rPr>
        <w:t>participants</w:t>
      </w:r>
      <w:r>
        <w:rPr>
          <w:color w:val="0C5D86"/>
          <w:spacing w:val="-6"/>
          <w:sz w:val="16"/>
        </w:rPr>
        <w:t> </w:t>
      </w:r>
      <w:r>
        <w:rPr>
          <w:color w:val="0C5D86"/>
          <w:sz w:val="16"/>
        </w:rPr>
        <w:t>with</w:t>
      </w:r>
      <w:r>
        <w:rPr>
          <w:color w:val="0C5D86"/>
          <w:spacing w:val="-6"/>
          <w:sz w:val="16"/>
        </w:rPr>
        <w:t> </w:t>
      </w:r>
      <w:r>
        <w:rPr>
          <w:color w:val="0C5D86"/>
          <w:sz w:val="16"/>
        </w:rPr>
        <w:t>responses</w:t>
      </w:r>
      <w:r>
        <w:rPr>
          <w:color w:val="0C5D86"/>
          <w:spacing w:val="-6"/>
          <w:sz w:val="16"/>
        </w:rPr>
        <w:t> </w:t>
      </w:r>
      <w:r>
        <w:rPr>
          <w:color w:val="0C5D86"/>
          <w:sz w:val="16"/>
        </w:rPr>
        <w:t>in</w:t>
      </w:r>
      <w:r>
        <w:rPr>
          <w:color w:val="0C5D86"/>
          <w:spacing w:val="-6"/>
          <w:sz w:val="16"/>
        </w:rPr>
        <w:t> </w:t>
      </w:r>
      <w:r>
        <w:rPr>
          <w:color w:val="0C5D86"/>
          <w:sz w:val="16"/>
        </w:rPr>
        <w:t>each </w:t>
      </w:r>
      <w:r>
        <w:rPr>
          <w:color w:val="0C5D86"/>
          <w:spacing w:val="-2"/>
          <w:sz w:val="16"/>
        </w:rPr>
        <w:t>category.</w:t>
      </w:r>
    </w:p>
    <w:p>
      <w:pPr>
        <w:pStyle w:val="BodyText"/>
        <w:spacing w:before="108"/>
        <w:rPr>
          <w:sz w:val="16"/>
        </w:rPr>
      </w:pPr>
    </w:p>
    <w:p>
      <w:pPr>
        <w:pStyle w:val="Heading6"/>
      </w:pPr>
      <w:r>
        <w:rPr>
          <w:color w:val="105C84"/>
          <w:spacing w:val="-8"/>
        </w:rPr>
        <w:t>Behavioral Risk Factors</w:t>
      </w:r>
    </w:p>
    <w:p>
      <w:pPr>
        <w:pStyle w:val="BodyText"/>
        <w:spacing w:line="247" w:lineRule="auto" w:before="268"/>
        <w:ind w:left="1080" w:right="581"/>
      </w:pPr>
      <w:r>
        <w:rPr/>
        <mc:AlternateContent>
          <mc:Choice Requires="wps">
            <w:drawing>
              <wp:anchor distT="0" distB="0" distL="0" distR="0" allowOverlap="1" layoutInCell="1" locked="0" behindDoc="0" simplePos="0" relativeHeight="15867904">
                <wp:simplePos x="0" y="0"/>
                <wp:positionH relativeFrom="page">
                  <wp:posOffset>0</wp:posOffset>
                </wp:positionH>
                <wp:positionV relativeFrom="paragraph">
                  <wp:posOffset>901336</wp:posOffset>
                </wp:positionV>
                <wp:extent cx="7780020" cy="3888740"/>
                <wp:effectExtent l="0" t="0" r="0" b="0"/>
                <wp:wrapNone/>
                <wp:docPr id="1308" name="Group 1308"/>
                <wp:cNvGraphicFramePr>
                  <a:graphicFrameLocks/>
                </wp:cNvGraphicFramePr>
                <a:graphic>
                  <a:graphicData uri="http://schemas.microsoft.com/office/word/2010/wordprocessingGroup">
                    <wpg:wgp>
                      <wpg:cNvPr id="1308" name="Group 1308"/>
                      <wpg:cNvGrpSpPr/>
                      <wpg:grpSpPr>
                        <a:xfrm>
                          <a:off x="0" y="0"/>
                          <a:ext cx="7780020" cy="3888740"/>
                          <a:chExt cx="7780020" cy="3888740"/>
                        </a:xfrm>
                      </wpg:grpSpPr>
                      <pic:pic>
                        <pic:nvPicPr>
                          <pic:cNvPr id="1309" name="Image 1309"/>
                          <pic:cNvPicPr/>
                        </pic:nvPicPr>
                        <pic:blipFill>
                          <a:blip r:embed="rId39" cstate="print"/>
                          <a:stretch>
                            <a:fillRect/>
                          </a:stretch>
                        </pic:blipFill>
                        <pic:spPr>
                          <a:xfrm>
                            <a:off x="0" y="3497935"/>
                            <a:ext cx="568172" cy="184683"/>
                          </a:xfrm>
                          <a:prstGeom prst="rect">
                            <a:avLst/>
                          </a:prstGeom>
                        </pic:spPr>
                      </pic:pic>
                      <pic:pic>
                        <pic:nvPicPr>
                          <pic:cNvPr id="1310" name="Image 1310"/>
                          <pic:cNvPicPr/>
                        </pic:nvPicPr>
                        <pic:blipFill>
                          <a:blip r:embed="rId194" cstate="print"/>
                          <a:stretch>
                            <a:fillRect/>
                          </a:stretch>
                        </pic:blipFill>
                        <pic:spPr>
                          <a:xfrm>
                            <a:off x="0" y="0"/>
                            <a:ext cx="7772107" cy="3888232"/>
                          </a:xfrm>
                          <a:prstGeom prst="rect">
                            <a:avLst/>
                          </a:prstGeom>
                        </pic:spPr>
                      </pic:pic>
                      <wps:wsp>
                        <wps:cNvPr id="1311" name="Graphic 1311"/>
                        <wps:cNvSpPr/>
                        <wps:spPr>
                          <a:xfrm>
                            <a:off x="0" y="3101848"/>
                            <a:ext cx="7780020" cy="786765"/>
                          </a:xfrm>
                          <a:custGeom>
                            <a:avLst/>
                            <a:gdLst/>
                            <a:ahLst/>
                            <a:cxnLst/>
                            <a:rect l="l" t="t" r="r" b="b"/>
                            <a:pathLst>
                              <a:path w="7780020" h="786765">
                                <a:moveTo>
                                  <a:pt x="7779512" y="786383"/>
                                </a:moveTo>
                                <a:lnTo>
                                  <a:pt x="7779512" y="0"/>
                                </a:lnTo>
                                <a:lnTo>
                                  <a:pt x="0" y="0"/>
                                </a:lnTo>
                                <a:lnTo>
                                  <a:pt x="0" y="786383"/>
                                </a:lnTo>
                                <a:lnTo>
                                  <a:pt x="7779512" y="786383"/>
                                </a:lnTo>
                                <a:close/>
                              </a:path>
                            </a:pathLst>
                          </a:custGeom>
                          <a:solidFill>
                            <a:srgbClr val="000000">
                              <a:alpha val="41000"/>
                            </a:srgbClr>
                          </a:solidFill>
                        </wps:spPr>
                        <wps:bodyPr wrap="square" lIns="0" tIns="0" rIns="0" bIns="0" rtlCol="0">
                          <a:prstTxWarp prst="textNoShape">
                            <a:avLst/>
                          </a:prstTxWarp>
                          <a:noAutofit/>
                        </wps:bodyPr>
                      </wps:wsp>
                      <wps:wsp>
                        <wps:cNvPr id="1312" name="Textbox 1312"/>
                        <wps:cNvSpPr txBox="1"/>
                        <wps:spPr>
                          <a:xfrm>
                            <a:off x="694944" y="3412744"/>
                            <a:ext cx="1884680" cy="253365"/>
                          </a:xfrm>
                          <a:prstGeom prst="rect">
                            <a:avLst/>
                          </a:prstGeom>
                        </wps:spPr>
                        <wps:txbx>
                          <w:txbxContent>
                            <w:p>
                              <w:pPr>
                                <w:spacing w:line="182" w:lineRule="exact" w:before="10"/>
                                <w:ind w:left="0" w:right="0" w:firstLine="0"/>
                                <w:jc w:val="left"/>
                                <w:rPr>
                                  <w:sz w:val="16"/>
                                </w:rPr>
                              </w:pPr>
                              <w:r>
                                <w:rPr>
                                  <w:color w:val="FFFFFF"/>
                                  <w:sz w:val="16"/>
                                </w:rPr>
                                <w:t>Corning</w:t>
                              </w:r>
                              <w:r>
                                <w:rPr>
                                  <w:color w:val="FFFFFF"/>
                                  <w:spacing w:val="9"/>
                                  <w:sz w:val="16"/>
                                </w:rPr>
                                <w:t> </w:t>
                              </w:r>
                              <w:r>
                                <w:rPr>
                                  <w:color w:val="FFFFFF"/>
                                  <w:sz w:val="16"/>
                                </w:rPr>
                                <w:t>Museum</w:t>
                              </w:r>
                              <w:r>
                                <w:rPr>
                                  <w:color w:val="FFFFFF"/>
                                  <w:spacing w:val="9"/>
                                  <w:sz w:val="16"/>
                                </w:rPr>
                                <w:t> </w:t>
                              </w:r>
                              <w:r>
                                <w:rPr>
                                  <w:color w:val="FFFFFF"/>
                                  <w:sz w:val="16"/>
                                </w:rPr>
                                <w:t>of</w:t>
                              </w:r>
                              <w:r>
                                <w:rPr>
                                  <w:color w:val="FFFFFF"/>
                                  <w:spacing w:val="9"/>
                                  <w:sz w:val="16"/>
                                </w:rPr>
                                <w:t> </w:t>
                              </w:r>
                              <w:r>
                                <w:rPr>
                                  <w:color w:val="FFFFFF"/>
                                  <w:spacing w:val="-2"/>
                                  <w:sz w:val="16"/>
                                </w:rPr>
                                <w:t>Glass</w:t>
                              </w:r>
                            </w:p>
                            <w:p>
                              <w:pPr>
                                <w:spacing w:line="182" w:lineRule="exact" w:before="0"/>
                                <w:ind w:left="0" w:right="0" w:firstLine="0"/>
                                <w:jc w:val="left"/>
                                <w:rPr>
                                  <w:sz w:val="16"/>
                                </w:rPr>
                              </w:pPr>
                              <w:r>
                                <w:rPr>
                                  <w:color w:val="FFFFFF"/>
                                  <w:sz w:val="16"/>
                                </w:rPr>
                                <w:t>Courtesy</w:t>
                              </w:r>
                              <w:r>
                                <w:rPr>
                                  <w:color w:val="FFFFFF"/>
                                  <w:spacing w:val="6"/>
                                  <w:sz w:val="16"/>
                                </w:rPr>
                                <w:t> </w:t>
                              </w:r>
                              <w:r>
                                <w:rPr>
                                  <w:color w:val="FFFFFF"/>
                                  <w:sz w:val="16"/>
                                </w:rPr>
                                <w:t>of</w:t>
                              </w:r>
                              <w:r>
                                <w:rPr>
                                  <w:color w:val="FFFFFF"/>
                                  <w:spacing w:val="7"/>
                                  <w:sz w:val="16"/>
                                </w:rPr>
                                <w:t> </w:t>
                              </w:r>
                              <w:r>
                                <w:rPr>
                                  <w:color w:val="FFFFFF"/>
                                  <w:sz w:val="16"/>
                                </w:rPr>
                                <w:t>the</w:t>
                              </w:r>
                              <w:r>
                                <w:rPr>
                                  <w:color w:val="FFFFFF"/>
                                  <w:spacing w:val="7"/>
                                  <w:sz w:val="16"/>
                                </w:rPr>
                                <w:t> </w:t>
                              </w:r>
                              <w:r>
                                <w:rPr>
                                  <w:color w:val="FFFFFF"/>
                                  <w:spacing w:val="-2"/>
                                  <w:sz w:val="16"/>
                                </w:rPr>
                                <w:t>CorningFingerLakes.com</w:t>
                              </w:r>
                            </w:p>
                          </w:txbxContent>
                        </wps:txbx>
                        <wps:bodyPr wrap="square" lIns="0" tIns="0" rIns="0" bIns="0" rtlCol="0">
                          <a:noAutofit/>
                        </wps:bodyPr>
                      </wps:wsp>
                    </wpg:wgp>
                  </a:graphicData>
                </a:graphic>
              </wp:anchor>
            </w:drawing>
          </mc:Choice>
          <mc:Fallback>
            <w:pict>
              <v:group style="position:absolute;margin-left:0pt;margin-top:70.971344pt;width:612.6pt;height:306.2pt;mso-position-horizontal-relative:page;mso-position-vertical-relative:paragraph;z-index:15867904" id="docshapegroup1055" coordorigin="0,1419" coordsize="12252,6124">
                <v:shape style="position:absolute;left:0;top:6927;width:895;height:291" type="#_x0000_t75" id="docshape1056" stroked="false">
                  <v:imagedata r:id="rId39" o:title=""/>
                </v:shape>
                <v:shape style="position:absolute;left:0;top:1419;width:12240;height:6124" type="#_x0000_t75" id="docshape1057" stroked="false">
                  <v:imagedata r:id="rId194" o:title=""/>
                </v:shape>
                <v:rect style="position:absolute;left:0;top:6304;width:12252;height:1239" id="docshape1058" filled="true" fillcolor="#000000" stroked="false">
                  <v:fill opacity="26870f" type="solid"/>
                </v:rect>
                <v:shape style="position:absolute;left:1094;top:6793;width:2968;height:399" type="#_x0000_t202" id="docshape1059" filled="false" stroked="false">
                  <v:textbox inset="0,0,0,0">
                    <w:txbxContent>
                      <w:p>
                        <w:pPr>
                          <w:spacing w:line="182" w:lineRule="exact" w:before="10"/>
                          <w:ind w:left="0" w:right="0" w:firstLine="0"/>
                          <w:jc w:val="left"/>
                          <w:rPr>
                            <w:sz w:val="16"/>
                          </w:rPr>
                        </w:pPr>
                        <w:r>
                          <w:rPr>
                            <w:color w:val="FFFFFF"/>
                            <w:sz w:val="16"/>
                          </w:rPr>
                          <w:t>Corning</w:t>
                        </w:r>
                        <w:r>
                          <w:rPr>
                            <w:color w:val="FFFFFF"/>
                            <w:spacing w:val="9"/>
                            <w:sz w:val="16"/>
                          </w:rPr>
                          <w:t> </w:t>
                        </w:r>
                        <w:r>
                          <w:rPr>
                            <w:color w:val="FFFFFF"/>
                            <w:sz w:val="16"/>
                          </w:rPr>
                          <w:t>Museum</w:t>
                        </w:r>
                        <w:r>
                          <w:rPr>
                            <w:color w:val="FFFFFF"/>
                            <w:spacing w:val="9"/>
                            <w:sz w:val="16"/>
                          </w:rPr>
                          <w:t> </w:t>
                        </w:r>
                        <w:r>
                          <w:rPr>
                            <w:color w:val="FFFFFF"/>
                            <w:sz w:val="16"/>
                          </w:rPr>
                          <w:t>of</w:t>
                        </w:r>
                        <w:r>
                          <w:rPr>
                            <w:color w:val="FFFFFF"/>
                            <w:spacing w:val="9"/>
                            <w:sz w:val="16"/>
                          </w:rPr>
                          <w:t> </w:t>
                        </w:r>
                        <w:r>
                          <w:rPr>
                            <w:color w:val="FFFFFF"/>
                            <w:spacing w:val="-2"/>
                            <w:sz w:val="16"/>
                          </w:rPr>
                          <w:t>Glass</w:t>
                        </w:r>
                      </w:p>
                      <w:p>
                        <w:pPr>
                          <w:spacing w:line="182" w:lineRule="exact" w:before="0"/>
                          <w:ind w:left="0" w:right="0" w:firstLine="0"/>
                          <w:jc w:val="left"/>
                          <w:rPr>
                            <w:sz w:val="16"/>
                          </w:rPr>
                        </w:pPr>
                        <w:r>
                          <w:rPr>
                            <w:color w:val="FFFFFF"/>
                            <w:sz w:val="16"/>
                          </w:rPr>
                          <w:t>Courtesy</w:t>
                        </w:r>
                        <w:r>
                          <w:rPr>
                            <w:color w:val="FFFFFF"/>
                            <w:spacing w:val="6"/>
                            <w:sz w:val="16"/>
                          </w:rPr>
                          <w:t> </w:t>
                        </w:r>
                        <w:r>
                          <w:rPr>
                            <w:color w:val="FFFFFF"/>
                            <w:sz w:val="16"/>
                          </w:rPr>
                          <w:t>of</w:t>
                        </w:r>
                        <w:r>
                          <w:rPr>
                            <w:color w:val="FFFFFF"/>
                            <w:spacing w:val="7"/>
                            <w:sz w:val="16"/>
                          </w:rPr>
                          <w:t> </w:t>
                        </w:r>
                        <w:r>
                          <w:rPr>
                            <w:color w:val="FFFFFF"/>
                            <w:sz w:val="16"/>
                          </w:rPr>
                          <w:t>the</w:t>
                        </w:r>
                        <w:r>
                          <w:rPr>
                            <w:color w:val="FFFFFF"/>
                            <w:spacing w:val="7"/>
                            <w:sz w:val="16"/>
                          </w:rPr>
                          <w:t> </w:t>
                        </w:r>
                        <w:r>
                          <w:rPr>
                            <w:color w:val="FFFFFF"/>
                            <w:spacing w:val="-2"/>
                            <w:sz w:val="16"/>
                          </w:rPr>
                          <w:t>CorningFingerLakes.com</w:t>
                        </w:r>
                      </w:p>
                    </w:txbxContent>
                  </v:textbox>
                  <w10:wrap type="none"/>
                </v:shape>
                <w10:wrap type="none"/>
              </v:group>
            </w:pict>
          </mc:Fallback>
        </mc:AlternateContent>
      </w:r>
      <w:r>
        <w:rPr>
          <w:color w:val="105C84"/>
        </w:rPr>
        <w:t>Rates of tobacco use in Steuben County (23%) are similar to the average in the eight-county region (22%).</w:t>
      </w:r>
      <w:r>
        <w:rPr>
          <w:color w:val="105C84"/>
          <w:spacing w:val="-3"/>
        </w:rPr>
        <w:t> </w:t>
      </w:r>
      <w:r>
        <w:rPr>
          <w:color w:val="105C84"/>
        </w:rPr>
        <w:t>E-cigarette</w:t>
      </w:r>
      <w:r>
        <w:rPr>
          <w:color w:val="105C84"/>
          <w:spacing w:val="-3"/>
        </w:rPr>
        <w:t> </w:t>
      </w:r>
      <w:r>
        <w:rPr>
          <w:color w:val="105C84"/>
        </w:rPr>
        <w:t>use</w:t>
      </w:r>
      <w:r>
        <w:rPr>
          <w:color w:val="105C84"/>
          <w:spacing w:val="-3"/>
        </w:rPr>
        <w:t> </w:t>
      </w:r>
      <w:r>
        <w:rPr>
          <w:color w:val="105C84"/>
        </w:rPr>
        <w:t>has</w:t>
      </w:r>
      <w:r>
        <w:rPr>
          <w:color w:val="105C84"/>
          <w:spacing w:val="-3"/>
        </w:rPr>
        <w:t> </w:t>
      </w:r>
      <w:r>
        <w:rPr>
          <w:color w:val="105C84"/>
        </w:rPr>
        <w:t>recently</w:t>
      </w:r>
      <w:r>
        <w:rPr>
          <w:color w:val="105C84"/>
          <w:spacing w:val="-3"/>
        </w:rPr>
        <w:t> </w:t>
      </w:r>
      <w:r>
        <w:rPr>
          <w:color w:val="105C84"/>
        </w:rPr>
        <w:t>emerged</w:t>
      </w:r>
      <w:r>
        <w:rPr>
          <w:color w:val="105C84"/>
          <w:spacing w:val="-3"/>
        </w:rPr>
        <w:t> </w:t>
      </w:r>
      <w:r>
        <w:rPr>
          <w:color w:val="105C84"/>
        </w:rPr>
        <w:t>as</w:t>
      </w:r>
      <w:r>
        <w:rPr>
          <w:color w:val="105C84"/>
          <w:spacing w:val="-3"/>
        </w:rPr>
        <w:t> </w:t>
      </w:r>
      <w:r>
        <w:rPr>
          <w:color w:val="105C84"/>
        </w:rPr>
        <w:t>an</w:t>
      </w:r>
      <w:r>
        <w:rPr>
          <w:color w:val="105C84"/>
          <w:spacing w:val="-3"/>
        </w:rPr>
        <w:t> </w:t>
      </w:r>
      <w:r>
        <w:rPr>
          <w:color w:val="105C84"/>
        </w:rPr>
        <w:t>issue</w:t>
      </w:r>
      <w:r>
        <w:rPr>
          <w:color w:val="105C84"/>
          <w:spacing w:val="-3"/>
        </w:rPr>
        <w:t> </w:t>
      </w:r>
      <w:r>
        <w:rPr>
          <w:color w:val="105C84"/>
        </w:rPr>
        <w:t>across</w:t>
      </w:r>
      <w:r>
        <w:rPr>
          <w:color w:val="105C84"/>
          <w:spacing w:val="-3"/>
        </w:rPr>
        <w:t> </w:t>
      </w:r>
      <w:r>
        <w:rPr>
          <w:color w:val="105C84"/>
        </w:rPr>
        <w:t>many</w:t>
      </w:r>
      <w:r>
        <w:rPr>
          <w:color w:val="105C84"/>
          <w:spacing w:val="-3"/>
        </w:rPr>
        <w:t> </w:t>
      </w:r>
      <w:r>
        <w:rPr>
          <w:color w:val="105C84"/>
        </w:rPr>
        <w:t>counties</w:t>
      </w:r>
      <w:r>
        <w:rPr>
          <w:color w:val="105C84"/>
          <w:spacing w:val="-3"/>
        </w:rPr>
        <w:t> </w:t>
      </w:r>
      <w:r>
        <w:rPr>
          <w:color w:val="105C84"/>
        </w:rPr>
        <w:t>and</w:t>
      </w:r>
      <w:r>
        <w:rPr>
          <w:color w:val="105C84"/>
          <w:spacing w:val="-3"/>
        </w:rPr>
        <w:t> </w:t>
      </w:r>
      <w:r>
        <w:rPr>
          <w:color w:val="105C84"/>
        </w:rPr>
        <w:t>New</w:t>
      </w:r>
      <w:r>
        <w:rPr>
          <w:color w:val="105C84"/>
          <w:spacing w:val="-3"/>
        </w:rPr>
        <w:t> </w:t>
      </w:r>
      <w:r>
        <w:rPr>
          <w:color w:val="105C84"/>
        </w:rPr>
        <w:t>York</w:t>
      </w:r>
      <w:r>
        <w:rPr>
          <w:color w:val="105C84"/>
          <w:spacing w:val="-3"/>
        </w:rPr>
        <w:t> </w:t>
      </w:r>
      <w:r>
        <w:rPr>
          <w:color w:val="105C84"/>
        </w:rPr>
        <w:t>State. Data at this time are sparse, though anecdotal evidence suggests an inverse relationship between cigarette</w:t>
      </w:r>
      <w:r>
        <w:rPr>
          <w:color w:val="105C84"/>
          <w:spacing w:val="36"/>
        </w:rPr>
        <w:t> </w:t>
      </w:r>
      <w:r>
        <w:rPr>
          <w:color w:val="105C84"/>
        </w:rPr>
        <w:t>and</w:t>
      </w:r>
      <w:r>
        <w:rPr>
          <w:color w:val="105C84"/>
          <w:spacing w:val="36"/>
        </w:rPr>
        <w:t> </w:t>
      </w:r>
      <w:r>
        <w:rPr>
          <w:color w:val="105C84"/>
        </w:rPr>
        <w:t>e-cigarette</w:t>
      </w:r>
      <w:r>
        <w:rPr>
          <w:color w:val="105C84"/>
          <w:spacing w:val="36"/>
        </w:rPr>
        <w:t> </w:t>
      </w:r>
      <w:r>
        <w:rPr>
          <w:color w:val="105C84"/>
        </w:rPr>
        <w:t>smoking.</w:t>
      </w:r>
      <w:r>
        <w:rPr>
          <w:color w:val="105C84"/>
          <w:spacing w:val="36"/>
        </w:rPr>
        <w:t> </w:t>
      </w:r>
      <w:r>
        <w:rPr>
          <w:color w:val="105C84"/>
        </w:rPr>
        <w:t>Many</w:t>
      </w:r>
      <w:r>
        <w:rPr>
          <w:color w:val="105C84"/>
          <w:spacing w:val="36"/>
        </w:rPr>
        <w:t> </w:t>
      </w:r>
      <w:r>
        <w:rPr>
          <w:color w:val="105C84"/>
        </w:rPr>
        <w:t>persons</w:t>
      </w:r>
      <w:r>
        <w:rPr>
          <w:color w:val="105C84"/>
          <w:spacing w:val="36"/>
        </w:rPr>
        <w:t> </w:t>
      </w:r>
      <w:r>
        <w:rPr>
          <w:color w:val="105C84"/>
        </w:rPr>
        <w:t>have</w:t>
      </w:r>
      <w:r>
        <w:rPr>
          <w:color w:val="105C84"/>
          <w:spacing w:val="36"/>
        </w:rPr>
        <w:t> </w:t>
      </w:r>
      <w:r>
        <w:rPr>
          <w:color w:val="105C84"/>
        </w:rPr>
        <w:t>switched</w:t>
      </w:r>
      <w:r>
        <w:rPr>
          <w:color w:val="105C84"/>
          <w:spacing w:val="36"/>
        </w:rPr>
        <w:t> </w:t>
      </w:r>
      <w:r>
        <w:rPr>
          <w:color w:val="105C84"/>
        </w:rPr>
        <w:t>from</w:t>
      </w:r>
      <w:r>
        <w:rPr>
          <w:color w:val="105C84"/>
          <w:spacing w:val="36"/>
        </w:rPr>
        <w:t> </w:t>
      </w:r>
      <w:r>
        <w:rPr>
          <w:color w:val="105C84"/>
        </w:rPr>
        <w:t>cigarette</w:t>
      </w:r>
      <w:r>
        <w:rPr>
          <w:color w:val="105C84"/>
          <w:spacing w:val="36"/>
        </w:rPr>
        <w:t> </w:t>
      </w:r>
      <w:r>
        <w:rPr>
          <w:color w:val="105C84"/>
        </w:rPr>
        <w:t>to</w:t>
      </w:r>
      <w:r>
        <w:rPr>
          <w:color w:val="105C84"/>
          <w:spacing w:val="36"/>
        </w:rPr>
        <w:t> </w:t>
      </w:r>
      <w:r>
        <w:rPr>
          <w:color w:val="105C84"/>
        </w:rPr>
        <w:t>e-cigarette usage under the impression that e-cigarettes are “safer,” and others are now using both cigarettes</w:t>
      </w:r>
      <w:r>
        <w:rPr>
          <w:color w:val="105C84"/>
          <w:spacing w:val="40"/>
        </w:rPr>
        <w:t> </w:t>
      </w:r>
      <w:r>
        <w:rPr>
          <w:color w:val="105C84"/>
        </w:rPr>
        <w:t>and e-cigarettes, consuming more nicotine than before. This perception that vaping is harmless is erroneous.</w:t>
      </w:r>
      <w:r>
        <w:rPr>
          <w:color w:val="105C84"/>
          <w:spacing w:val="24"/>
        </w:rPr>
        <w:t> </w:t>
      </w:r>
      <w:r>
        <w:rPr>
          <w:color w:val="105C84"/>
        </w:rPr>
        <w:t>Nicotine</w:t>
      </w:r>
      <w:r>
        <w:rPr>
          <w:color w:val="105C84"/>
          <w:spacing w:val="24"/>
        </w:rPr>
        <w:t> </w:t>
      </w:r>
      <w:r>
        <w:rPr>
          <w:color w:val="105C84"/>
        </w:rPr>
        <w:t>is</w:t>
      </w:r>
      <w:r>
        <w:rPr>
          <w:color w:val="105C84"/>
          <w:spacing w:val="24"/>
        </w:rPr>
        <w:t> </w:t>
      </w:r>
      <w:r>
        <w:rPr>
          <w:color w:val="105C84"/>
        </w:rPr>
        <w:t>addictive</w:t>
      </w:r>
      <w:r>
        <w:rPr>
          <w:color w:val="105C84"/>
          <w:spacing w:val="24"/>
        </w:rPr>
        <w:t> </w:t>
      </w:r>
      <w:r>
        <w:rPr>
          <w:color w:val="105C84"/>
        </w:rPr>
        <w:t>and</w:t>
      </w:r>
      <w:r>
        <w:rPr>
          <w:color w:val="105C84"/>
          <w:spacing w:val="24"/>
        </w:rPr>
        <w:t> </w:t>
      </w:r>
      <w:r>
        <w:rPr>
          <w:color w:val="105C84"/>
        </w:rPr>
        <w:t>has</w:t>
      </w:r>
      <w:r>
        <w:rPr>
          <w:color w:val="105C84"/>
          <w:spacing w:val="24"/>
        </w:rPr>
        <w:t> </w:t>
      </w:r>
      <w:r>
        <w:rPr>
          <w:color w:val="105C84"/>
        </w:rPr>
        <w:t>an</w:t>
      </w:r>
      <w:r>
        <w:rPr>
          <w:color w:val="105C84"/>
          <w:spacing w:val="24"/>
        </w:rPr>
        <w:t> </w:t>
      </w:r>
      <w:r>
        <w:rPr>
          <w:color w:val="105C84"/>
        </w:rPr>
        <w:t>impairing</w:t>
      </w:r>
      <w:r>
        <w:rPr>
          <w:color w:val="105C84"/>
          <w:spacing w:val="24"/>
        </w:rPr>
        <w:t> </w:t>
      </w:r>
      <w:r>
        <w:rPr>
          <w:color w:val="105C84"/>
        </w:rPr>
        <w:t>effect</w:t>
      </w:r>
      <w:r>
        <w:rPr>
          <w:color w:val="105C84"/>
          <w:spacing w:val="24"/>
        </w:rPr>
        <w:t> </w:t>
      </w:r>
      <w:r>
        <w:rPr>
          <w:color w:val="105C84"/>
        </w:rPr>
        <w:t>on</w:t>
      </w:r>
      <w:r>
        <w:rPr>
          <w:color w:val="105C84"/>
          <w:spacing w:val="24"/>
        </w:rPr>
        <w:t> </w:t>
      </w:r>
      <w:r>
        <w:rPr>
          <w:color w:val="105C84"/>
        </w:rPr>
        <w:t>the</w:t>
      </w:r>
      <w:r>
        <w:rPr>
          <w:color w:val="105C84"/>
          <w:spacing w:val="24"/>
        </w:rPr>
        <w:t> </w:t>
      </w:r>
      <w:r>
        <w:rPr>
          <w:color w:val="105C84"/>
        </w:rPr>
        <w:t>development</w:t>
      </w:r>
      <w:r>
        <w:rPr>
          <w:color w:val="105C84"/>
          <w:spacing w:val="24"/>
        </w:rPr>
        <w:t> </w:t>
      </w:r>
      <w:r>
        <w:rPr>
          <w:color w:val="105C84"/>
        </w:rPr>
        <w:t>of</w:t>
      </w:r>
      <w:r>
        <w:rPr>
          <w:color w:val="105C84"/>
          <w:spacing w:val="24"/>
        </w:rPr>
        <w:t> </w:t>
      </w:r>
      <w:r>
        <w:rPr>
          <w:color w:val="105C84"/>
        </w:rPr>
        <w:t>childhood</w:t>
      </w:r>
      <w:r>
        <w:rPr>
          <w:color w:val="105C84"/>
          <w:spacing w:val="24"/>
        </w:rPr>
        <w:t> </w:t>
      </w:r>
      <w:r>
        <w:rPr>
          <w:color w:val="105C84"/>
        </w:rPr>
        <w:t>and adolescent brains. Chemical flavorings and colorings, as yet unregulated, may damage the oral</w:t>
      </w:r>
    </w:p>
    <w:p>
      <w:pPr>
        <w:pStyle w:val="BodyText"/>
        <w:spacing w:line="247" w:lineRule="auto"/>
        <w:ind w:left="1080" w:right="459"/>
        <w:rPr>
          <w:position w:val="7"/>
          <w:sz w:val="13"/>
        </w:rPr>
      </w:pPr>
      <w:r>
        <w:rPr>
          <w:color w:val="105C84"/>
        </w:rPr>
        <w:t>mucosa and airway. In addition, usage of both items increases the likelihood for development of lung</w:t>
      </w:r>
      <w:r>
        <w:rPr>
          <w:color w:val="105C84"/>
          <w:spacing w:val="40"/>
        </w:rPr>
        <w:t> </w:t>
      </w:r>
      <w:r>
        <w:rPr>
          <w:color w:val="105C84"/>
        </w:rPr>
        <w:t>cancer, hypertension, risk of strokes and heart attacks, and premature mortality. The prevalence of smoking is more commonly seen in vulnerable populations. Estimates of usage among those whose income is less than $25,000 annually (33%) and those living with a disability (28%) are higher than general population estimates (23%).</w:t>
      </w:r>
      <w:r>
        <w:rPr>
          <w:color w:val="105C84"/>
          <w:position w:val="7"/>
          <w:sz w:val="13"/>
        </w:rPr>
        <w:t>36</w:t>
      </w:r>
    </w:p>
    <w:p>
      <w:pPr>
        <w:pStyle w:val="BodyText"/>
        <w:spacing w:line="247" w:lineRule="auto" w:before="173"/>
        <w:ind w:left="1080" w:right="459"/>
      </w:pPr>
      <w:r>
        <w:rPr>
          <w:color w:val="105C84"/>
        </w:rPr>
        <w:t>As</w:t>
      </w:r>
      <w:r>
        <w:rPr>
          <w:color w:val="105C84"/>
          <w:spacing w:val="28"/>
        </w:rPr>
        <w:t> </w:t>
      </w:r>
      <w:r>
        <w:rPr>
          <w:color w:val="105C84"/>
        </w:rPr>
        <w:t>mentioned,</w:t>
      </w:r>
      <w:r>
        <w:rPr>
          <w:color w:val="105C84"/>
          <w:spacing w:val="28"/>
        </w:rPr>
        <w:t> </w:t>
      </w:r>
      <w:r>
        <w:rPr>
          <w:color w:val="105C84"/>
        </w:rPr>
        <w:t>persons</w:t>
      </w:r>
      <w:r>
        <w:rPr>
          <w:color w:val="105C84"/>
          <w:spacing w:val="28"/>
        </w:rPr>
        <w:t> </w:t>
      </w:r>
      <w:r>
        <w:rPr>
          <w:color w:val="105C84"/>
        </w:rPr>
        <w:t>who</w:t>
      </w:r>
      <w:r>
        <w:rPr>
          <w:color w:val="105C84"/>
          <w:spacing w:val="28"/>
        </w:rPr>
        <w:t> </w:t>
      </w:r>
      <w:r>
        <w:rPr>
          <w:color w:val="105C84"/>
        </w:rPr>
        <w:t>smoke</w:t>
      </w:r>
      <w:r>
        <w:rPr>
          <w:color w:val="105C84"/>
          <w:spacing w:val="28"/>
        </w:rPr>
        <w:t> </w:t>
      </w:r>
      <w:r>
        <w:rPr>
          <w:color w:val="105C84"/>
        </w:rPr>
        <w:t>are</w:t>
      </w:r>
      <w:r>
        <w:rPr>
          <w:color w:val="105C84"/>
          <w:spacing w:val="28"/>
        </w:rPr>
        <w:t> </w:t>
      </w:r>
      <w:r>
        <w:rPr>
          <w:color w:val="105C84"/>
        </w:rPr>
        <w:t>at</w:t>
      </w:r>
      <w:r>
        <w:rPr>
          <w:color w:val="105C84"/>
          <w:spacing w:val="28"/>
        </w:rPr>
        <w:t> </w:t>
      </w:r>
      <w:r>
        <w:rPr>
          <w:color w:val="105C84"/>
        </w:rPr>
        <w:t>greater</w:t>
      </w:r>
      <w:r>
        <w:rPr>
          <w:color w:val="105C84"/>
          <w:spacing w:val="28"/>
        </w:rPr>
        <w:t> </w:t>
      </w:r>
      <w:r>
        <w:rPr>
          <w:color w:val="105C84"/>
        </w:rPr>
        <w:t>likelihood</w:t>
      </w:r>
      <w:r>
        <w:rPr>
          <w:color w:val="105C84"/>
          <w:spacing w:val="28"/>
        </w:rPr>
        <w:t> </w:t>
      </w:r>
      <w:r>
        <w:rPr>
          <w:color w:val="105C84"/>
        </w:rPr>
        <w:t>of</w:t>
      </w:r>
      <w:r>
        <w:rPr>
          <w:color w:val="105C84"/>
          <w:spacing w:val="28"/>
        </w:rPr>
        <w:t> </w:t>
      </w:r>
      <w:r>
        <w:rPr>
          <w:color w:val="105C84"/>
        </w:rPr>
        <w:t>developing</w:t>
      </w:r>
      <w:r>
        <w:rPr>
          <w:color w:val="105C84"/>
          <w:spacing w:val="28"/>
        </w:rPr>
        <w:t> </w:t>
      </w:r>
      <w:r>
        <w:rPr>
          <w:color w:val="105C84"/>
        </w:rPr>
        <w:t>chronic</w:t>
      </w:r>
      <w:r>
        <w:rPr>
          <w:color w:val="105C84"/>
          <w:spacing w:val="28"/>
        </w:rPr>
        <w:t> </w:t>
      </w:r>
      <w:r>
        <w:rPr>
          <w:color w:val="105C84"/>
        </w:rPr>
        <w:t>conditions</w:t>
      </w:r>
      <w:r>
        <w:rPr>
          <w:color w:val="105C84"/>
          <w:spacing w:val="28"/>
        </w:rPr>
        <w:t> </w:t>
      </w:r>
      <w:r>
        <w:rPr>
          <w:color w:val="105C84"/>
        </w:rPr>
        <w:t>such as hypertension. In Steuben County, it is estimated that 32%</w:t>
      </w:r>
      <w:r>
        <w:rPr>
          <w:color w:val="105C84"/>
          <w:position w:val="7"/>
          <w:sz w:val="13"/>
        </w:rPr>
        <w:t>37</w:t>
      </w:r>
      <w:r>
        <w:rPr>
          <w:color w:val="105C84"/>
          <w:spacing w:val="40"/>
          <w:position w:val="7"/>
          <w:sz w:val="13"/>
        </w:rPr>
        <w:t> </w:t>
      </w:r>
      <w:r>
        <w:rPr>
          <w:color w:val="105C84"/>
        </w:rPr>
        <w:t>of adults have been diagnosed with hypertension, 84%</w:t>
      </w:r>
      <w:r>
        <w:rPr>
          <w:color w:val="105C84"/>
          <w:position w:val="7"/>
          <w:sz w:val="13"/>
        </w:rPr>
        <w:t>38</w:t>
      </w:r>
      <w:r>
        <w:rPr>
          <w:color w:val="105C84"/>
          <w:spacing w:val="40"/>
          <w:position w:val="7"/>
          <w:sz w:val="13"/>
        </w:rPr>
        <w:t> </w:t>
      </w:r>
      <w:r>
        <w:rPr>
          <w:color w:val="105C84"/>
        </w:rPr>
        <w:t>of whom are in control of their blood pressure. However, this varies by income level</w:t>
      </w:r>
      <w:r>
        <w:rPr>
          <w:color w:val="105C84"/>
          <w:spacing w:val="26"/>
        </w:rPr>
        <w:t> </w:t>
      </w:r>
      <w:r>
        <w:rPr>
          <w:color w:val="105C84"/>
        </w:rPr>
        <w:t>(Figure</w:t>
      </w:r>
      <w:r>
        <w:rPr>
          <w:color w:val="105C84"/>
          <w:spacing w:val="26"/>
        </w:rPr>
        <w:t> </w:t>
      </w:r>
      <w:r>
        <w:rPr>
          <w:color w:val="105C84"/>
        </w:rPr>
        <w:t>43).</w:t>
      </w:r>
      <w:r>
        <w:rPr>
          <w:color w:val="105C84"/>
          <w:spacing w:val="26"/>
        </w:rPr>
        <w:t> </w:t>
      </w:r>
      <w:r>
        <w:rPr>
          <w:color w:val="105C84"/>
        </w:rPr>
        <w:t>Reducing</w:t>
      </w:r>
      <w:r>
        <w:rPr>
          <w:color w:val="105C84"/>
          <w:spacing w:val="26"/>
        </w:rPr>
        <w:t> </w:t>
      </w:r>
      <w:r>
        <w:rPr>
          <w:color w:val="105C84"/>
        </w:rPr>
        <w:t>the</w:t>
      </w:r>
      <w:r>
        <w:rPr>
          <w:color w:val="105C84"/>
          <w:spacing w:val="26"/>
        </w:rPr>
        <w:t> </w:t>
      </w:r>
      <w:r>
        <w:rPr>
          <w:color w:val="105C84"/>
        </w:rPr>
        <w:t>disparity</w:t>
      </w:r>
      <w:r>
        <w:rPr>
          <w:color w:val="105C84"/>
          <w:spacing w:val="26"/>
        </w:rPr>
        <w:t> </w:t>
      </w:r>
      <w:r>
        <w:rPr>
          <w:color w:val="105C84"/>
        </w:rPr>
        <w:t>by</w:t>
      </w:r>
      <w:r>
        <w:rPr>
          <w:color w:val="105C84"/>
          <w:spacing w:val="26"/>
        </w:rPr>
        <w:t> </w:t>
      </w:r>
      <w:r>
        <w:rPr>
          <w:color w:val="105C84"/>
        </w:rPr>
        <w:t>income</w:t>
      </w:r>
      <w:r>
        <w:rPr>
          <w:color w:val="105C84"/>
          <w:spacing w:val="26"/>
        </w:rPr>
        <w:t> </w:t>
      </w:r>
      <w:r>
        <w:rPr>
          <w:color w:val="105C84"/>
        </w:rPr>
        <w:t>requires</w:t>
      </w:r>
      <w:r>
        <w:rPr>
          <w:color w:val="105C84"/>
          <w:spacing w:val="26"/>
        </w:rPr>
        <w:t> </w:t>
      </w:r>
      <w:r>
        <w:rPr>
          <w:color w:val="105C84"/>
        </w:rPr>
        <w:t>engaging</w:t>
      </w:r>
      <w:r>
        <w:rPr>
          <w:color w:val="105C84"/>
          <w:spacing w:val="26"/>
        </w:rPr>
        <w:t> </w:t>
      </w:r>
      <w:r>
        <w:rPr>
          <w:color w:val="105C84"/>
        </w:rPr>
        <w:t>patients</w:t>
      </w:r>
      <w:r>
        <w:rPr>
          <w:color w:val="105C84"/>
          <w:spacing w:val="26"/>
        </w:rPr>
        <w:t> </w:t>
      </w:r>
      <w:r>
        <w:rPr>
          <w:color w:val="105C84"/>
        </w:rPr>
        <w:t>to</w:t>
      </w:r>
      <w:r>
        <w:rPr>
          <w:color w:val="105C84"/>
          <w:spacing w:val="26"/>
        </w:rPr>
        <w:t> </w:t>
      </w:r>
      <w:r>
        <w:rPr>
          <w:color w:val="105C84"/>
        </w:rPr>
        <w:t>take</w:t>
      </w:r>
      <w:r>
        <w:rPr>
          <w:color w:val="105C84"/>
          <w:spacing w:val="26"/>
        </w:rPr>
        <w:t> </w:t>
      </w:r>
      <w:r>
        <w:rPr>
          <w:color w:val="105C84"/>
        </w:rPr>
        <w:t>control</w:t>
      </w:r>
      <w:r>
        <w:rPr>
          <w:color w:val="105C84"/>
          <w:spacing w:val="26"/>
        </w:rPr>
        <w:t> </w:t>
      </w:r>
      <w:r>
        <w:rPr>
          <w:color w:val="105C84"/>
        </w:rPr>
        <w:t>of their blood pressure through various methods: blood pressure medication adherence, promotion of</w:t>
      </w:r>
      <w:r>
        <w:rPr>
          <w:color w:val="105C84"/>
          <w:spacing w:val="80"/>
          <w:w w:val="150"/>
        </w:rPr>
        <w:t> </w:t>
      </w:r>
      <w:r>
        <w:rPr>
          <w:color w:val="105C84"/>
        </w:rPr>
        <w:t>physical activity, healthy eating, and more.</w:t>
      </w:r>
    </w:p>
    <w:p>
      <w:pPr>
        <w:pStyle w:val="BodyText"/>
        <w:spacing w:after="0" w:line="247" w:lineRule="auto"/>
        <w:sectPr>
          <w:type w:val="continuous"/>
          <w:pgSz w:w="24480" w:h="15840" w:orient="landscape"/>
          <w:pgMar w:header="0" w:footer="0" w:top="0" w:bottom="280" w:left="0" w:right="720"/>
          <w:cols w:num="2" w:equalWidth="0">
            <w:col w:w="11169" w:space="1065"/>
            <w:col w:w="11526"/>
          </w:cols>
        </w:sectPr>
      </w:pPr>
    </w:p>
    <w:p>
      <w:pPr>
        <w:pStyle w:val="BodyText"/>
        <w:rPr>
          <w:sz w:val="14"/>
        </w:rPr>
      </w:pPr>
      <w:r>
        <w:rPr>
          <w:sz w:val="14"/>
        </w:rPr>
        <w:drawing>
          <wp:anchor distT="0" distB="0" distL="0" distR="0" allowOverlap="1" layoutInCell="1" locked="0" behindDoc="0" simplePos="0" relativeHeight="15867392">
            <wp:simplePos x="0" y="0"/>
            <wp:positionH relativeFrom="page">
              <wp:posOffset>14981556</wp:posOffset>
            </wp:positionH>
            <wp:positionV relativeFrom="page">
              <wp:posOffset>9668103</wp:posOffset>
            </wp:positionV>
            <wp:extent cx="563245" cy="184683"/>
            <wp:effectExtent l="0" t="0" r="0" b="0"/>
            <wp:wrapNone/>
            <wp:docPr id="1313" name="Image 1313"/>
            <wp:cNvGraphicFramePr>
              <a:graphicFrameLocks/>
            </wp:cNvGraphicFramePr>
            <a:graphic>
              <a:graphicData uri="http://schemas.openxmlformats.org/drawingml/2006/picture">
                <pic:pic>
                  <pic:nvPicPr>
                    <pic:cNvPr id="1313" name="Image 1313"/>
                    <pic:cNvPicPr/>
                  </pic:nvPicPr>
                  <pic:blipFill>
                    <a:blip r:embed="rId38" cstate="print"/>
                    <a:stretch>
                      <a:fillRect/>
                    </a:stretch>
                  </pic:blipFill>
                  <pic:spPr>
                    <a:xfrm>
                      <a:off x="0" y="0"/>
                      <a:ext cx="563245" cy="184683"/>
                    </a:xfrm>
                    <a:prstGeom prst="rect">
                      <a:avLst/>
                    </a:prstGeom>
                  </pic:spPr>
                </pic:pic>
              </a:graphicData>
            </a:graphic>
          </wp:anchor>
        </w:drawing>
      </w: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33"/>
        <w:rPr>
          <w:sz w:val="14"/>
        </w:rPr>
      </w:pPr>
    </w:p>
    <w:p>
      <w:pPr>
        <w:pStyle w:val="ListParagraph"/>
        <w:numPr>
          <w:ilvl w:val="0"/>
          <w:numId w:val="27"/>
        </w:numPr>
        <w:tabs>
          <w:tab w:pos="13537" w:val="left" w:leader="none"/>
        </w:tabs>
        <w:spacing w:line="240" w:lineRule="auto" w:before="0" w:after="0"/>
        <w:ind w:left="13320" w:right="5178" w:firstLine="0"/>
        <w:jc w:val="left"/>
        <w:rPr>
          <w:sz w:val="14"/>
        </w:rPr>
      </w:pPr>
      <w:r>
        <w:rPr>
          <w:color w:val="636466"/>
          <w:spacing w:val="-2"/>
          <w:sz w:val="14"/>
        </w:rPr>
        <w:t>Source:</w:t>
      </w:r>
      <w:r>
        <w:rPr>
          <w:color w:val="636466"/>
          <w:spacing w:val="-4"/>
          <w:sz w:val="14"/>
        </w:rPr>
        <w:t> </w:t>
      </w:r>
      <w:r>
        <w:rPr>
          <w:color w:val="636466"/>
          <w:spacing w:val="-2"/>
          <w:sz w:val="14"/>
        </w:rPr>
        <w:t>Behavioral</w:t>
      </w:r>
      <w:r>
        <w:rPr>
          <w:color w:val="636466"/>
          <w:spacing w:val="-4"/>
          <w:sz w:val="14"/>
        </w:rPr>
        <w:t> </w:t>
      </w:r>
      <w:r>
        <w:rPr>
          <w:color w:val="636466"/>
          <w:spacing w:val="-2"/>
          <w:sz w:val="14"/>
        </w:rPr>
        <w:t>Risk</w:t>
      </w:r>
      <w:r>
        <w:rPr>
          <w:color w:val="636466"/>
          <w:spacing w:val="-4"/>
          <w:sz w:val="14"/>
        </w:rPr>
        <w:t> </w:t>
      </w:r>
      <w:r>
        <w:rPr>
          <w:color w:val="636466"/>
          <w:spacing w:val="-2"/>
          <w:sz w:val="14"/>
        </w:rPr>
        <w:t>Factor</w:t>
      </w:r>
      <w:r>
        <w:rPr>
          <w:color w:val="636466"/>
          <w:spacing w:val="-4"/>
          <w:sz w:val="14"/>
        </w:rPr>
        <w:t> </w:t>
      </w:r>
      <w:r>
        <w:rPr>
          <w:color w:val="636466"/>
          <w:spacing w:val="-2"/>
          <w:sz w:val="14"/>
        </w:rPr>
        <w:t>Surveillance</w:t>
      </w:r>
      <w:r>
        <w:rPr>
          <w:color w:val="636466"/>
          <w:spacing w:val="-4"/>
          <w:sz w:val="14"/>
        </w:rPr>
        <w:t> </w:t>
      </w:r>
      <w:r>
        <w:rPr>
          <w:color w:val="636466"/>
          <w:spacing w:val="-2"/>
          <w:sz w:val="14"/>
        </w:rPr>
        <w:t>System,</w:t>
      </w:r>
      <w:r>
        <w:rPr>
          <w:color w:val="636466"/>
          <w:spacing w:val="-4"/>
          <w:sz w:val="14"/>
        </w:rPr>
        <w:t> </w:t>
      </w:r>
      <w:r>
        <w:rPr>
          <w:color w:val="636466"/>
          <w:spacing w:val="-2"/>
          <w:sz w:val="14"/>
        </w:rPr>
        <w:t>2016.</w:t>
      </w:r>
      <w:r>
        <w:rPr>
          <w:color w:val="636466"/>
          <w:spacing w:val="-4"/>
          <w:sz w:val="14"/>
        </w:rPr>
        <w:t> </w:t>
      </w:r>
      <w:r>
        <w:rPr>
          <w:color w:val="636466"/>
          <w:spacing w:val="-2"/>
          <w:sz w:val="14"/>
        </w:rPr>
        <w:t>Data</w:t>
      </w:r>
      <w:r>
        <w:rPr>
          <w:color w:val="636466"/>
          <w:spacing w:val="-4"/>
          <w:sz w:val="14"/>
        </w:rPr>
        <w:t> </w:t>
      </w:r>
      <w:r>
        <w:rPr>
          <w:color w:val="636466"/>
          <w:spacing w:val="-2"/>
          <w:sz w:val="14"/>
        </w:rPr>
        <w:t>on</w:t>
      </w:r>
      <w:r>
        <w:rPr>
          <w:color w:val="636466"/>
          <w:spacing w:val="-4"/>
          <w:sz w:val="14"/>
        </w:rPr>
        <w:t> </w:t>
      </w:r>
      <w:r>
        <w:rPr>
          <w:color w:val="636466"/>
          <w:spacing w:val="-2"/>
          <w:sz w:val="14"/>
        </w:rPr>
        <w:t>low-income</w:t>
      </w:r>
      <w:r>
        <w:rPr>
          <w:color w:val="636466"/>
          <w:spacing w:val="-4"/>
          <w:sz w:val="14"/>
        </w:rPr>
        <w:t> </w:t>
      </w:r>
      <w:r>
        <w:rPr>
          <w:color w:val="636466"/>
          <w:spacing w:val="-2"/>
          <w:sz w:val="14"/>
        </w:rPr>
        <w:t>are</w:t>
      </w:r>
      <w:r>
        <w:rPr>
          <w:color w:val="636466"/>
          <w:spacing w:val="40"/>
          <w:sz w:val="14"/>
        </w:rPr>
        <w:t> </w:t>
      </w:r>
      <w:r>
        <w:rPr>
          <w:color w:val="636466"/>
          <w:sz w:val="14"/>
        </w:rPr>
        <w:t>unreliable due to large standard error: standard error between 19.3% and 43.3%.</w:t>
      </w:r>
    </w:p>
    <w:p>
      <w:pPr>
        <w:pStyle w:val="ListParagraph"/>
        <w:numPr>
          <w:ilvl w:val="0"/>
          <w:numId w:val="27"/>
        </w:numPr>
        <w:tabs>
          <w:tab w:pos="13537" w:val="left" w:leader="none"/>
        </w:tabs>
        <w:spacing w:line="144" w:lineRule="exact" w:before="88" w:after="0"/>
        <w:ind w:left="13537" w:right="0" w:hanging="217"/>
        <w:jc w:val="left"/>
        <w:rPr>
          <w:sz w:val="14"/>
        </w:rPr>
      </w:pPr>
      <w:r>
        <w:rPr>
          <w:sz w:val="14"/>
        </w:rPr>
        <mc:AlternateContent>
          <mc:Choice Requires="wps">
            <w:drawing>
              <wp:anchor distT="0" distB="0" distL="0" distR="0" allowOverlap="1" layoutInCell="1" locked="0" behindDoc="1" simplePos="0" relativeHeight="475093504">
                <wp:simplePos x="0" y="0"/>
                <wp:positionH relativeFrom="page">
                  <wp:posOffset>672186</wp:posOffset>
                </wp:positionH>
                <wp:positionV relativeFrom="paragraph">
                  <wp:posOffset>124680</wp:posOffset>
                </wp:positionV>
                <wp:extent cx="195580" cy="226060"/>
                <wp:effectExtent l="0" t="0" r="0" b="0"/>
                <wp:wrapNone/>
                <wp:docPr id="1314" name="Textbox 1314"/>
                <wp:cNvGraphicFramePr>
                  <a:graphicFrameLocks/>
                </wp:cNvGraphicFramePr>
                <a:graphic>
                  <a:graphicData uri="http://schemas.microsoft.com/office/word/2010/wordprocessingShape">
                    <wps:wsp>
                      <wps:cNvPr id="1314" name="Textbox 1314"/>
                      <wps:cNvSpPr txBox="1"/>
                      <wps:spPr>
                        <a:xfrm>
                          <a:off x="0" y="0"/>
                          <a:ext cx="195580" cy="226060"/>
                        </a:xfrm>
                        <a:prstGeom prst="rect">
                          <a:avLst/>
                        </a:prstGeom>
                      </wps:spPr>
                      <wps:txbx>
                        <w:txbxContent>
                          <w:p>
                            <w:pPr>
                              <w:spacing w:before="16"/>
                              <w:ind w:left="0" w:right="0" w:firstLine="0"/>
                              <w:jc w:val="left"/>
                              <w:rPr>
                                <w:b/>
                                <w:sz w:val="26"/>
                              </w:rPr>
                            </w:pPr>
                            <w:r>
                              <w:rPr>
                                <w:b/>
                                <w:color w:val="939598"/>
                                <w:spacing w:val="-5"/>
                                <w:w w:val="105"/>
                                <w:sz w:val="26"/>
                              </w:rPr>
                              <w:t>85</w:t>
                            </w:r>
                          </w:p>
                        </w:txbxContent>
                      </wps:txbx>
                      <wps:bodyPr wrap="square" lIns="0" tIns="0" rIns="0" bIns="0" rtlCol="0">
                        <a:noAutofit/>
                      </wps:bodyPr>
                    </wps:wsp>
                  </a:graphicData>
                </a:graphic>
              </wp:anchor>
            </w:drawing>
          </mc:Choice>
          <mc:Fallback>
            <w:pict>
              <v:shape style="position:absolute;margin-left:52.928101pt;margin-top:9.817339pt;width:15.4pt;height:17.8pt;mso-position-horizontal-relative:page;mso-position-vertical-relative:paragraph;z-index:-28222976" type="#_x0000_t202" id="docshape1060" filled="false" stroked="false">
                <v:textbox inset="0,0,0,0">
                  <w:txbxContent>
                    <w:p>
                      <w:pPr>
                        <w:spacing w:before="16"/>
                        <w:ind w:left="0" w:right="0" w:firstLine="0"/>
                        <w:jc w:val="left"/>
                        <w:rPr>
                          <w:b/>
                          <w:sz w:val="26"/>
                        </w:rPr>
                      </w:pPr>
                      <w:r>
                        <w:rPr>
                          <w:b/>
                          <w:color w:val="939598"/>
                          <w:spacing w:val="-5"/>
                          <w:w w:val="105"/>
                          <w:sz w:val="26"/>
                        </w:rPr>
                        <w:t>85</w:t>
                      </w:r>
                    </w:p>
                  </w:txbxContent>
                </v:textbox>
                <w10:wrap type="none"/>
              </v:shape>
            </w:pict>
          </mc:Fallback>
        </mc:AlternateContent>
      </w:r>
      <w:r>
        <w:rPr>
          <w:color w:val="636466"/>
          <w:spacing w:val="-2"/>
          <w:sz w:val="14"/>
        </w:rPr>
        <w:t>Source:</w:t>
      </w:r>
      <w:r>
        <w:rPr>
          <w:color w:val="636466"/>
          <w:spacing w:val="-8"/>
          <w:sz w:val="14"/>
        </w:rPr>
        <w:t> </w:t>
      </w:r>
      <w:r>
        <w:rPr>
          <w:color w:val="636466"/>
          <w:spacing w:val="-2"/>
          <w:sz w:val="14"/>
        </w:rPr>
        <w:t>Behavioral</w:t>
      </w:r>
      <w:r>
        <w:rPr>
          <w:color w:val="636466"/>
          <w:spacing w:val="-7"/>
          <w:sz w:val="14"/>
        </w:rPr>
        <w:t> </w:t>
      </w:r>
      <w:r>
        <w:rPr>
          <w:color w:val="636466"/>
          <w:spacing w:val="-2"/>
          <w:sz w:val="14"/>
        </w:rPr>
        <w:t>Risk</w:t>
      </w:r>
      <w:r>
        <w:rPr>
          <w:color w:val="636466"/>
          <w:spacing w:val="-7"/>
          <w:sz w:val="14"/>
        </w:rPr>
        <w:t> </w:t>
      </w:r>
      <w:r>
        <w:rPr>
          <w:color w:val="636466"/>
          <w:spacing w:val="-2"/>
          <w:sz w:val="14"/>
        </w:rPr>
        <w:t>Factor</w:t>
      </w:r>
      <w:r>
        <w:rPr>
          <w:color w:val="636466"/>
          <w:spacing w:val="-7"/>
          <w:sz w:val="14"/>
        </w:rPr>
        <w:t> </w:t>
      </w:r>
      <w:r>
        <w:rPr>
          <w:color w:val="636466"/>
          <w:spacing w:val="-2"/>
          <w:sz w:val="14"/>
        </w:rPr>
        <w:t>Surveillance</w:t>
      </w:r>
      <w:r>
        <w:rPr>
          <w:color w:val="636466"/>
          <w:spacing w:val="-7"/>
          <w:sz w:val="14"/>
        </w:rPr>
        <w:t> </w:t>
      </w:r>
      <w:r>
        <w:rPr>
          <w:color w:val="636466"/>
          <w:spacing w:val="-2"/>
          <w:sz w:val="14"/>
        </w:rPr>
        <w:t>System</w:t>
      </w:r>
      <w:r>
        <w:rPr>
          <w:color w:val="636466"/>
          <w:spacing w:val="-7"/>
          <w:sz w:val="14"/>
        </w:rPr>
        <w:t> </w:t>
      </w:r>
      <w:r>
        <w:rPr>
          <w:color w:val="636466"/>
          <w:spacing w:val="-2"/>
          <w:sz w:val="14"/>
        </w:rPr>
        <w:t>2016.</w:t>
      </w:r>
    </w:p>
    <w:p>
      <w:pPr>
        <w:pStyle w:val="ListParagraph"/>
        <w:numPr>
          <w:ilvl w:val="0"/>
          <w:numId w:val="27"/>
        </w:numPr>
        <w:tabs>
          <w:tab w:pos="13537" w:val="left" w:leader="none"/>
          <w:tab w:pos="23454" w:val="right" w:leader="none"/>
        </w:tabs>
        <w:spacing w:line="282" w:lineRule="exact" w:before="0" w:after="0"/>
        <w:ind w:left="13537" w:right="0" w:hanging="217"/>
        <w:jc w:val="left"/>
        <w:rPr>
          <w:b/>
          <w:position w:val="1"/>
          <w:sz w:val="26"/>
        </w:rPr>
      </w:pPr>
      <w:r>
        <w:rPr>
          <w:color w:val="636466"/>
          <w:sz w:val="14"/>
        </w:rPr>
        <w:t>Source:</w:t>
      </w:r>
      <w:r>
        <w:rPr>
          <w:color w:val="636466"/>
          <w:spacing w:val="-10"/>
          <w:sz w:val="14"/>
        </w:rPr>
        <w:t> </w:t>
      </w:r>
      <w:r>
        <w:rPr>
          <w:color w:val="636466"/>
          <w:sz w:val="14"/>
        </w:rPr>
        <w:t>Common</w:t>
      </w:r>
      <w:r>
        <w:rPr>
          <w:color w:val="636466"/>
          <w:spacing w:val="-9"/>
          <w:sz w:val="14"/>
        </w:rPr>
        <w:t> </w:t>
      </w:r>
      <w:r>
        <w:rPr>
          <w:color w:val="636466"/>
          <w:sz w:val="14"/>
        </w:rPr>
        <w:t>Ground</w:t>
      </w:r>
      <w:r>
        <w:rPr>
          <w:color w:val="636466"/>
          <w:spacing w:val="-9"/>
          <w:sz w:val="14"/>
        </w:rPr>
        <w:t> </w:t>
      </w:r>
      <w:r>
        <w:rPr>
          <w:color w:val="636466"/>
          <w:sz w:val="14"/>
        </w:rPr>
        <w:t>Health</w:t>
      </w:r>
      <w:r>
        <w:rPr>
          <w:color w:val="636466"/>
          <w:spacing w:val="-10"/>
          <w:sz w:val="14"/>
        </w:rPr>
        <w:t> </w:t>
      </w:r>
      <w:r>
        <w:rPr>
          <w:color w:val="636466"/>
          <w:sz w:val="14"/>
        </w:rPr>
        <w:t>High</w:t>
      </w:r>
      <w:r>
        <w:rPr>
          <w:color w:val="636466"/>
          <w:spacing w:val="-9"/>
          <w:sz w:val="14"/>
        </w:rPr>
        <w:t> </w:t>
      </w:r>
      <w:r>
        <w:rPr>
          <w:color w:val="636466"/>
          <w:sz w:val="14"/>
        </w:rPr>
        <w:t>Blood</w:t>
      </w:r>
      <w:r>
        <w:rPr>
          <w:color w:val="636466"/>
          <w:spacing w:val="-9"/>
          <w:sz w:val="14"/>
        </w:rPr>
        <w:t> </w:t>
      </w:r>
      <w:r>
        <w:rPr>
          <w:color w:val="636466"/>
          <w:sz w:val="14"/>
        </w:rPr>
        <w:t>Pressure</w:t>
      </w:r>
      <w:r>
        <w:rPr>
          <w:color w:val="636466"/>
          <w:spacing w:val="-10"/>
          <w:sz w:val="14"/>
        </w:rPr>
        <w:t> </w:t>
      </w:r>
      <w:r>
        <w:rPr>
          <w:color w:val="636466"/>
          <w:sz w:val="14"/>
        </w:rPr>
        <w:t>Registry,</w:t>
      </w:r>
      <w:r>
        <w:rPr>
          <w:color w:val="636466"/>
          <w:spacing w:val="-9"/>
          <w:sz w:val="14"/>
        </w:rPr>
        <w:t> </w:t>
      </w:r>
      <w:r>
        <w:rPr>
          <w:color w:val="636466"/>
          <w:sz w:val="14"/>
        </w:rPr>
        <w:t>June</w:t>
      </w:r>
      <w:r>
        <w:rPr>
          <w:color w:val="636466"/>
          <w:spacing w:val="-9"/>
          <w:sz w:val="14"/>
        </w:rPr>
        <w:t> </w:t>
      </w:r>
      <w:r>
        <w:rPr>
          <w:color w:val="636466"/>
          <w:spacing w:val="-2"/>
          <w:sz w:val="14"/>
        </w:rPr>
        <w:t>2018.</w:t>
      </w:r>
      <w:r>
        <w:rPr>
          <w:rFonts w:ascii="Times New Roman"/>
          <w:color w:val="636466"/>
          <w:sz w:val="14"/>
        </w:rPr>
        <w:tab/>
      </w:r>
      <w:r>
        <w:rPr>
          <w:b/>
          <w:color w:val="939598"/>
          <w:spacing w:val="-5"/>
          <w:position w:val="1"/>
          <w:sz w:val="26"/>
        </w:rPr>
        <w:t>86</w:t>
      </w:r>
    </w:p>
    <w:p>
      <w:pPr>
        <w:pStyle w:val="ListParagraph"/>
        <w:spacing w:after="0" w:line="282" w:lineRule="exact"/>
        <w:jc w:val="left"/>
        <w:rPr>
          <w:b/>
          <w:position w:val="1"/>
          <w:sz w:val="26"/>
        </w:rPr>
        <w:sectPr>
          <w:type w:val="continuous"/>
          <w:pgSz w:w="24480" w:h="15840" w:orient="landscape"/>
          <w:pgMar w:header="0" w:footer="0" w:top="0" w:bottom="280" w:left="0" w:right="720"/>
        </w:sectPr>
      </w:pPr>
    </w:p>
    <w:p>
      <w:pPr>
        <w:pStyle w:val="BodyText"/>
        <w:rPr>
          <w:b/>
          <w:sz w:val="20"/>
        </w:rPr>
      </w:pPr>
    </w:p>
    <w:p>
      <w:pPr>
        <w:pStyle w:val="BodyText"/>
        <w:spacing w:before="16"/>
        <w:rPr>
          <w:b/>
          <w:sz w:val="20"/>
        </w:rPr>
      </w:pPr>
    </w:p>
    <w:p>
      <w:pPr>
        <w:pStyle w:val="BodyText"/>
        <w:spacing w:after="0"/>
        <w:rPr>
          <w:b/>
          <w:sz w:val="20"/>
        </w:rPr>
        <w:sectPr>
          <w:pgSz w:w="24480" w:h="15840" w:orient="landscape"/>
          <w:pgMar w:header="0" w:footer="0" w:top="860" w:bottom="0" w:left="0" w:right="720"/>
        </w:sectPr>
      </w:pPr>
    </w:p>
    <w:p>
      <w:pPr>
        <w:pStyle w:val="BodyText"/>
        <w:spacing w:line="247" w:lineRule="auto" w:before="113"/>
        <w:ind w:left="1094" w:right="228"/>
      </w:pPr>
      <w:r>
        <w:rPr>
          <w:color w:val="105C84"/>
        </w:rPr>
        <w:t>Low-income patients are often less likely to be able to afford medications, and it is therefore</w:t>
      </w:r>
      <w:r>
        <w:rPr>
          <w:color w:val="105C84"/>
          <w:spacing w:val="40"/>
        </w:rPr>
        <w:t> </w:t>
      </w:r>
      <w:r>
        <w:rPr>
          <w:color w:val="105C84"/>
        </w:rPr>
        <w:t>important to work with providers to prescribe generic medications that are less expensive and</w:t>
      </w:r>
      <w:r>
        <w:rPr>
          <w:color w:val="105C84"/>
          <w:spacing w:val="40"/>
        </w:rPr>
        <w:t> </w:t>
      </w:r>
      <w:r>
        <w:rPr>
          <w:color w:val="105C84"/>
        </w:rPr>
        <w:t>accepted by insurance companies. In addition, encouraging and assisting patients in quitting</w:t>
      </w:r>
      <w:r>
        <w:rPr>
          <w:color w:val="105C84"/>
          <w:spacing w:val="40"/>
        </w:rPr>
        <w:t> </w:t>
      </w:r>
      <w:r>
        <w:rPr>
          <w:color w:val="105C84"/>
        </w:rPr>
        <w:t>smoking (if applicable) could help to improve control.</w:t>
      </w:r>
    </w:p>
    <w:p>
      <w:pPr>
        <w:pStyle w:val="BodyText"/>
        <w:spacing w:before="17"/>
      </w:pPr>
    </w:p>
    <w:p>
      <w:pPr>
        <w:pStyle w:val="Heading6"/>
        <w:spacing w:before="1"/>
        <w:ind w:left="1094"/>
      </w:pPr>
      <w:r>
        <w:rPr>
          <w:color w:val="105C84"/>
          <w:spacing w:val="-4"/>
        </w:rPr>
        <w:t>FIGURE</w:t>
      </w:r>
      <w:r>
        <w:rPr>
          <w:color w:val="105C84"/>
          <w:spacing w:val="-11"/>
        </w:rPr>
        <w:t> </w:t>
      </w:r>
      <w:r>
        <w:rPr>
          <w:color w:val="105C84"/>
          <w:spacing w:val="-4"/>
        </w:rPr>
        <w:t>43:</w:t>
      </w:r>
      <w:r>
        <w:rPr>
          <w:color w:val="105C84"/>
          <w:spacing w:val="-11"/>
        </w:rPr>
        <w:t> </w:t>
      </w:r>
      <w:r>
        <w:rPr>
          <w:color w:val="105C84"/>
          <w:spacing w:val="-4"/>
        </w:rPr>
        <w:t>Steuben</w:t>
      </w:r>
      <w:r>
        <w:rPr>
          <w:color w:val="105C84"/>
          <w:spacing w:val="-11"/>
        </w:rPr>
        <w:t> </w:t>
      </w:r>
      <w:r>
        <w:rPr>
          <w:color w:val="105C84"/>
          <w:spacing w:val="-4"/>
        </w:rPr>
        <w:t>County</w:t>
      </w:r>
      <w:r>
        <w:rPr>
          <w:color w:val="105C84"/>
          <w:spacing w:val="-10"/>
        </w:rPr>
        <w:t> </w:t>
      </w:r>
      <w:r>
        <w:rPr>
          <w:color w:val="105C84"/>
          <w:spacing w:val="-4"/>
        </w:rPr>
        <w:t>control</w:t>
      </w:r>
      <w:r>
        <w:rPr>
          <w:color w:val="105C84"/>
          <w:spacing w:val="-11"/>
        </w:rPr>
        <w:t> </w:t>
      </w:r>
      <w:r>
        <w:rPr>
          <w:color w:val="105C84"/>
          <w:spacing w:val="-4"/>
        </w:rPr>
        <w:t>rate</w:t>
      </w:r>
      <w:r>
        <w:rPr>
          <w:color w:val="105C84"/>
          <w:spacing w:val="-11"/>
        </w:rPr>
        <w:t> </w:t>
      </w:r>
      <w:r>
        <w:rPr>
          <w:color w:val="105C84"/>
          <w:spacing w:val="-4"/>
        </w:rPr>
        <w:t>by</w:t>
      </w:r>
      <w:r>
        <w:rPr>
          <w:color w:val="105C84"/>
          <w:spacing w:val="-10"/>
        </w:rPr>
        <w:t> </w:t>
      </w:r>
      <w:r>
        <w:rPr>
          <w:color w:val="105C84"/>
          <w:spacing w:val="-4"/>
        </w:rPr>
        <w:t>socioeconomic</w:t>
      </w:r>
      <w:r>
        <w:rPr>
          <w:color w:val="105C84"/>
          <w:spacing w:val="-11"/>
        </w:rPr>
        <w:t> </w:t>
      </w:r>
      <w:r>
        <w:rPr>
          <w:color w:val="105C84"/>
          <w:spacing w:val="-4"/>
        </w:rPr>
        <w:t>status</w:t>
      </w:r>
      <w:r>
        <w:rPr>
          <w:color w:val="105C84"/>
          <w:spacing w:val="-11"/>
        </w:rPr>
        <w:t> </w:t>
      </w:r>
      <w:r>
        <w:rPr>
          <w:color w:val="105C84"/>
          <w:spacing w:val="-4"/>
        </w:rPr>
        <w:t>over</w:t>
      </w:r>
      <w:r>
        <w:rPr>
          <w:color w:val="105C84"/>
          <w:spacing w:val="-11"/>
        </w:rPr>
        <w:t> </w:t>
      </w:r>
      <w:r>
        <w:rPr>
          <w:color w:val="105C84"/>
          <w:spacing w:val="-4"/>
        </w:rPr>
        <w:t>time</w:t>
      </w:r>
    </w:p>
    <w:p>
      <w:pPr>
        <w:pStyle w:val="BodyText"/>
        <w:spacing w:before="190"/>
        <w:rPr>
          <w:b/>
          <w:sz w:val="26"/>
        </w:rPr>
      </w:pPr>
    </w:p>
    <w:p>
      <w:pPr>
        <w:pStyle w:val="BodyText"/>
        <w:ind w:right="9128"/>
        <w:jc w:val="right"/>
      </w:pPr>
      <w:r>
        <w:rPr/>
        <mc:AlternateContent>
          <mc:Choice Requires="wps">
            <w:drawing>
              <wp:anchor distT="0" distB="0" distL="0" distR="0" allowOverlap="1" layoutInCell="1" locked="0" behindDoc="0" simplePos="0" relativeHeight="15869440">
                <wp:simplePos x="0" y="0"/>
                <wp:positionH relativeFrom="page">
                  <wp:posOffset>1299865</wp:posOffset>
                </wp:positionH>
                <wp:positionV relativeFrom="paragraph">
                  <wp:posOffset>44724</wp:posOffset>
                </wp:positionV>
                <wp:extent cx="3790950" cy="2285365"/>
                <wp:effectExtent l="0" t="0" r="0" b="0"/>
                <wp:wrapNone/>
                <wp:docPr id="1315" name="Group 1315"/>
                <wp:cNvGraphicFramePr>
                  <a:graphicFrameLocks/>
                </wp:cNvGraphicFramePr>
                <a:graphic>
                  <a:graphicData uri="http://schemas.microsoft.com/office/word/2010/wordprocessingGroup">
                    <wpg:wgp>
                      <wpg:cNvPr id="1315" name="Group 1315"/>
                      <wpg:cNvGrpSpPr/>
                      <wpg:grpSpPr>
                        <a:xfrm>
                          <a:off x="0" y="0"/>
                          <a:ext cx="3790950" cy="2285365"/>
                          <a:chExt cx="3790950" cy="2285365"/>
                        </a:xfrm>
                      </wpg:grpSpPr>
                      <wps:wsp>
                        <wps:cNvPr id="1316" name="Graphic 1316"/>
                        <wps:cNvSpPr/>
                        <wps:spPr>
                          <a:xfrm>
                            <a:off x="3568" y="3568"/>
                            <a:ext cx="3746500" cy="2277745"/>
                          </a:xfrm>
                          <a:custGeom>
                            <a:avLst/>
                            <a:gdLst/>
                            <a:ahLst/>
                            <a:cxnLst/>
                            <a:rect l="l" t="t" r="r" b="b"/>
                            <a:pathLst>
                              <a:path w="3746500" h="2277745">
                                <a:moveTo>
                                  <a:pt x="3746258" y="2277668"/>
                                </a:moveTo>
                                <a:lnTo>
                                  <a:pt x="0" y="2277668"/>
                                </a:lnTo>
                                <a:lnTo>
                                  <a:pt x="0" y="0"/>
                                </a:lnTo>
                              </a:path>
                            </a:pathLst>
                          </a:custGeom>
                          <a:ln w="7137">
                            <a:solidFill>
                              <a:srgbClr val="939598"/>
                            </a:solidFill>
                            <a:prstDash val="solid"/>
                          </a:ln>
                        </wps:spPr>
                        <wps:bodyPr wrap="square" lIns="0" tIns="0" rIns="0" bIns="0" rtlCol="0">
                          <a:prstTxWarp prst="textNoShape">
                            <a:avLst/>
                          </a:prstTxWarp>
                          <a:noAutofit/>
                        </wps:bodyPr>
                      </wps:wsp>
                      <wps:wsp>
                        <wps:cNvPr id="1317" name="Graphic 1317"/>
                        <wps:cNvSpPr/>
                        <wps:spPr>
                          <a:xfrm>
                            <a:off x="2905193" y="1712092"/>
                            <a:ext cx="67310" cy="67310"/>
                          </a:xfrm>
                          <a:custGeom>
                            <a:avLst/>
                            <a:gdLst/>
                            <a:ahLst/>
                            <a:cxnLst/>
                            <a:rect l="l" t="t" r="r" b="b"/>
                            <a:pathLst>
                              <a:path w="67310" h="67310">
                                <a:moveTo>
                                  <a:pt x="66687" y="0"/>
                                </a:moveTo>
                                <a:lnTo>
                                  <a:pt x="0" y="0"/>
                                </a:lnTo>
                                <a:lnTo>
                                  <a:pt x="0" y="66700"/>
                                </a:lnTo>
                                <a:lnTo>
                                  <a:pt x="66687" y="66700"/>
                                </a:lnTo>
                                <a:lnTo>
                                  <a:pt x="66687" y="0"/>
                                </a:lnTo>
                                <a:close/>
                              </a:path>
                            </a:pathLst>
                          </a:custGeom>
                          <a:solidFill>
                            <a:srgbClr val="105B83"/>
                          </a:solidFill>
                        </wps:spPr>
                        <wps:bodyPr wrap="square" lIns="0" tIns="0" rIns="0" bIns="0" rtlCol="0">
                          <a:prstTxWarp prst="textNoShape">
                            <a:avLst/>
                          </a:prstTxWarp>
                          <a:noAutofit/>
                        </wps:bodyPr>
                      </wps:wsp>
                      <wps:wsp>
                        <wps:cNvPr id="1318" name="Graphic 1318"/>
                        <wps:cNvSpPr/>
                        <wps:spPr>
                          <a:xfrm>
                            <a:off x="2905193" y="1883630"/>
                            <a:ext cx="67310" cy="67310"/>
                          </a:xfrm>
                          <a:custGeom>
                            <a:avLst/>
                            <a:gdLst/>
                            <a:ahLst/>
                            <a:cxnLst/>
                            <a:rect l="l" t="t" r="r" b="b"/>
                            <a:pathLst>
                              <a:path w="67310" h="67310">
                                <a:moveTo>
                                  <a:pt x="66687" y="0"/>
                                </a:moveTo>
                                <a:lnTo>
                                  <a:pt x="0" y="0"/>
                                </a:lnTo>
                                <a:lnTo>
                                  <a:pt x="0" y="66700"/>
                                </a:lnTo>
                                <a:lnTo>
                                  <a:pt x="66687" y="66700"/>
                                </a:lnTo>
                                <a:lnTo>
                                  <a:pt x="66687" y="0"/>
                                </a:lnTo>
                                <a:close/>
                              </a:path>
                            </a:pathLst>
                          </a:custGeom>
                          <a:solidFill>
                            <a:srgbClr val="939598"/>
                          </a:solidFill>
                        </wps:spPr>
                        <wps:bodyPr wrap="square" lIns="0" tIns="0" rIns="0" bIns="0" rtlCol="0">
                          <a:prstTxWarp prst="textNoShape">
                            <a:avLst/>
                          </a:prstTxWarp>
                          <a:noAutofit/>
                        </wps:bodyPr>
                      </wps:wsp>
                      <wps:wsp>
                        <wps:cNvPr id="1319" name="Graphic 1319"/>
                        <wps:cNvSpPr/>
                        <wps:spPr>
                          <a:xfrm>
                            <a:off x="2905193" y="2041834"/>
                            <a:ext cx="67310" cy="67310"/>
                          </a:xfrm>
                          <a:custGeom>
                            <a:avLst/>
                            <a:gdLst/>
                            <a:ahLst/>
                            <a:cxnLst/>
                            <a:rect l="l" t="t" r="r" b="b"/>
                            <a:pathLst>
                              <a:path w="67310" h="67310">
                                <a:moveTo>
                                  <a:pt x="66687" y="0"/>
                                </a:moveTo>
                                <a:lnTo>
                                  <a:pt x="0" y="0"/>
                                </a:lnTo>
                                <a:lnTo>
                                  <a:pt x="0" y="66700"/>
                                </a:lnTo>
                                <a:lnTo>
                                  <a:pt x="66687" y="66700"/>
                                </a:lnTo>
                                <a:lnTo>
                                  <a:pt x="66687" y="0"/>
                                </a:lnTo>
                                <a:close/>
                              </a:path>
                            </a:pathLst>
                          </a:custGeom>
                          <a:solidFill>
                            <a:srgbClr val="81BF6A"/>
                          </a:solidFill>
                        </wps:spPr>
                        <wps:bodyPr wrap="square" lIns="0" tIns="0" rIns="0" bIns="0" rtlCol="0">
                          <a:prstTxWarp prst="textNoShape">
                            <a:avLst/>
                          </a:prstTxWarp>
                          <a:noAutofit/>
                        </wps:bodyPr>
                      </wps:wsp>
                      <wps:wsp>
                        <wps:cNvPr id="1320" name="Graphic 1320"/>
                        <wps:cNvSpPr/>
                        <wps:spPr>
                          <a:xfrm>
                            <a:off x="494808" y="298900"/>
                            <a:ext cx="2695575" cy="170180"/>
                          </a:xfrm>
                          <a:custGeom>
                            <a:avLst/>
                            <a:gdLst/>
                            <a:ahLst/>
                            <a:cxnLst/>
                            <a:rect l="l" t="t" r="r" b="b"/>
                            <a:pathLst>
                              <a:path w="2695575" h="170180">
                                <a:moveTo>
                                  <a:pt x="0" y="170129"/>
                                </a:moveTo>
                                <a:lnTo>
                                  <a:pt x="921905" y="141643"/>
                                </a:lnTo>
                                <a:lnTo>
                                  <a:pt x="1865693" y="140601"/>
                                </a:lnTo>
                                <a:lnTo>
                                  <a:pt x="2695028" y="0"/>
                                </a:lnTo>
                              </a:path>
                            </a:pathLst>
                          </a:custGeom>
                          <a:ln w="15532">
                            <a:solidFill>
                              <a:srgbClr val="81BF6A"/>
                            </a:solidFill>
                            <a:prstDash val="solid"/>
                          </a:ln>
                        </wps:spPr>
                        <wps:bodyPr wrap="square" lIns="0" tIns="0" rIns="0" bIns="0" rtlCol="0">
                          <a:prstTxWarp prst="textNoShape">
                            <a:avLst/>
                          </a:prstTxWarp>
                          <a:noAutofit/>
                        </wps:bodyPr>
                      </wps:wsp>
                      <wps:wsp>
                        <wps:cNvPr id="1321" name="Graphic 1321"/>
                        <wps:cNvSpPr/>
                        <wps:spPr>
                          <a:xfrm>
                            <a:off x="479265" y="283367"/>
                            <a:ext cx="2726690" cy="201295"/>
                          </a:xfrm>
                          <a:custGeom>
                            <a:avLst/>
                            <a:gdLst/>
                            <a:ahLst/>
                            <a:cxnLst/>
                            <a:rect l="l" t="t" r="r" b="b"/>
                            <a:pathLst>
                              <a:path w="2726690" h="201295">
                                <a:moveTo>
                                  <a:pt x="31076" y="177101"/>
                                </a:moveTo>
                                <a:lnTo>
                                  <a:pt x="24130" y="170141"/>
                                </a:lnTo>
                                <a:lnTo>
                                  <a:pt x="6959" y="170141"/>
                                </a:lnTo>
                                <a:lnTo>
                                  <a:pt x="0" y="177101"/>
                                </a:lnTo>
                                <a:lnTo>
                                  <a:pt x="0" y="194259"/>
                                </a:lnTo>
                                <a:lnTo>
                                  <a:pt x="6959" y="201218"/>
                                </a:lnTo>
                                <a:lnTo>
                                  <a:pt x="24130" y="201218"/>
                                </a:lnTo>
                                <a:lnTo>
                                  <a:pt x="31076" y="194259"/>
                                </a:lnTo>
                                <a:lnTo>
                                  <a:pt x="31076" y="185674"/>
                                </a:lnTo>
                                <a:lnTo>
                                  <a:pt x="31076" y="177101"/>
                                </a:lnTo>
                                <a:close/>
                              </a:path>
                              <a:path w="2726690" h="201295">
                                <a:moveTo>
                                  <a:pt x="959078" y="154686"/>
                                </a:moveTo>
                                <a:lnTo>
                                  <a:pt x="952119" y="147726"/>
                                </a:lnTo>
                                <a:lnTo>
                                  <a:pt x="934961" y="147726"/>
                                </a:lnTo>
                                <a:lnTo>
                                  <a:pt x="928001" y="154686"/>
                                </a:lnTo>
                                <a:lnTo>
                                  <a:pt x="928001" y="171843"/>
                                </a:lnTo>
                                <a:lnTo>
                                  <a:pt x="934961" y="178803"/>
                                </a:lnTo>
                                <a:lnTo>
                                  <a:pt x="952119" y="178803"/>
                                </a:lnTo>
                                <a:lnTo>
                                  <a:pt x="959078" y="171843"/>
                                </a:lnTo>
                                <a:lnTo>
                                  <a:pt x="959078" y="163271"/>
                                </a:lnTo>
                                <a:lnTo>
                                  <a:pt x="959078" y="154686"/>
                                </a:lnTo>
                                <a:close/>
                              </a:path>
                              <a:path w="2726690" h="201295">
                                <a:moveTo>
                                  <a:pt x="1893633" y="149339"/>
                                </a:moveTo>
                                <a:lnTo>
                                  <a:pt x="1886673" y="142379"/>
                                </a:lnTo>
                                <a:lnTo>
                                  <a:pt x="1869516" y="142379"/>
                                </a:lnTo>
                                <a:lnTo>
                                  <a:pt x="1862556" y="149339"/>
                                </a:lnTo>
                                <a:lnTo>
                                  <a:pt x="1862556" y="166497"/>
                                </a:lnTo>
                                <a:lnTo>
                                  <a:pt x="1869516" y="173456"/>
                                </a:lnTo>
                                <a:lnTo>
                                  <a:pt x="1886673" y="173456"/>
                                </a:lnTo>
                                <a:lnTo>
                                  <a:pt x="1893633" y="166497"/>
                                </a:lnTo>
                                <a:lnTo>
                                  <a:pt x="1893633" y="157911"/>
                                </a:lnTo>
                                <a:lnTo>
                                  <a:pt x="1893633" y="149339"/>
                                </a:lnTo>
                                <a:close/>
                              </a:path>
                              <a:path w="2726690" h="201295">
                                <a:moveTo>
                                  <a:pt x="2726105" y="6946"/>
                                </a:moveTo>
                                <a:lnTo>
                                  <a:pt x="2719146" y="0"/>
                                </a:lnTo>
                                <a:lnTo>
                                  <a:pt x="2701988" y="0"/>
                                </a:lnTo>
                                <a:lnTo>
                                  <a:pt x="2695029" y="6946"/>
                                </a:lnTo>
                                <a:lnTo>
                                  <a:pt x="2695029" y="24117"/>
                                </a:lnTo>
                                <a:lnTo>
                                  <a:pt x="2701988" y="31076"/>
                                </a:lnTo>
                                <a:lnTo>
                                  <a:pt x="2719146" y="31076"/>
                                </a:lnTo>
                                <a:lnTo>
                                  <a:pt x="2726105" y="24117"/>
                                </a:lnTo>
                                <a:lnTo>
                                  <a:pt x="2726105" y="15532"/>
                                </a:lnTo>
                                <a:lnTo>
                                  <a:pt x="2726105" y="6946"/>
                                </a:lnTo>
                                <a:close/>
                              </a:path>
                            </a:pathLst>
                          </a:custGeom>
                          <a:solidFill>
                            <a:srgbClr val="81BF6A"/>
                          </a:solidFill>
                        </wps:spPr>
                        <wps:bodyPr wrap="square" lIns="0" tIns="0" rIns="0" bIns="0" rtlCol="0">
                          <a:prstTxWarp prst="textNoShape">
                            <a:avLst/>
                          </a:prstTxWarp>
                          <a:noAutofit/>
                        </wps:bodyPr>
                      </wps:wsp>
                      <wps:wsp>
                        <wps:cNvPr id="1322" name="Graphic 1322"/>
                        <wps:cNvSpPr/>
                        <wps:spPr>
                          <a:xfrm>
                            <a:off x="494808" y="354877"/>
                            <a:ext cx="2695575" cy="109855"/>
                          </a:xfrm>
                          <a:custGeom>
                            <a:avLst/>
                            <a:gdLst/>
                            <a:ahLst/>
                            <a:cxnLst/>
                            <a:rect l="l" t="t" r="r" b="b"/>
                            <a:pathLst>
                              <a:path w="2695575" h="109855">
                                <a:moveTo>
                                  <a:pt x="0" y="85801"/>
                                </a:moveTo>
                                <a:lnTo>
                                  <a:pt x="926490" y="109423"/>
                                </a:lnTo>
                                <a:lnTo>
                                  <a:pt x="1862150" y="49174"/>
                                </a:lnTo>
                                <a:lnTo>
                                  <a:pt x="2695028" y="0"/>
                                </a:lnTo>
                              </a:path>
                            </a:pathLst>
                          </a:custGeom>
                          <a:ln w="15532">
                            <a:solidFill>
                              <a:srgbClr val="939598"/>
                            </a:solidFill>
                            <a:prstDash val="solid"/>
                          </a:ln>
                        </wps:spPr>
                        <wps:bodyPr wrap="square" lIns="0" tIns="0" rIns="0" bIns="0" rtlCol="0">
                          <a:prstTxWarp prst="textNoShape">
                            <a:avLst/>
                          </a:prstTxWarp>
                          <a:noAutofit/>
                        </wps:bodyPr>
                      </wps:wsp>
                      <wps:wsp>
                        <wps:cNvPr id="1323" name="Graphic 1323"/>
                        <wps:cNvSpPr/>
                        <wps:spPr>
                          <a:xfrm>
                            <a:off x="479265" y="339348"/>
                            <a:ext cx="2726690" cy="139700"/>
                          </a:xfrm>
                          <a:custGeom>
                            <a:avLst/>
                            <a:gdLst/>
                            <a:ahLst/>
                            <a:cxnLst/>
                            <a:rect l="l" t="t" r="r" b="b"/>
                            <a:pathLst>
                              <a:path w="2726690" h="139700">
                                <a:moveTo>
                                  <a:pt x="31076" y="83299"/>
                                </a:moveTo>
                                <a:lnTo>
                                  <a:pt x="24130" y="76339"/>
                                </a:lnTo>
                                <a:lnTo>
                                  <a:pt x="6959" y="76339"/>
                                </a:lnTo>
                                <a:lnTo>
                                  <a:pt x="0" y="83299"/>
                                </a:lnTo>
                                <a:lnTo>
                                  <a:pt x="0" y="100469"/>
                                </a:lnTo>
                                <a:lnTo>
                                  <a:pt x="6959" y="107429"/>
                                </a:lnTo>
                                <a:lnTo>
                                  <a:pt x="24130" y="107429"/>
                                </a:lnTo>
                                <a:lnTo>
                                  <a:pt x="31076" y="100469"/>
                                </a:lnTo>
                                <a:lnTo>
                                  <a:pt x="31076" y="91884"/>
                                </a:lnTo>
                                <a:lnTo>
                                  <a:pt x="31076" y="83299"/>
                                </a:lnTo>
                                <a:close/>
                              </a:path>
                              <a:path w="2726690" h="139700">
                                <a:moveTo>
                                  <a:pt x="959078" y="115023"/>
                                </a:moveTo>
                                <a:lnTo>
                                  <a:pt x="952119" y="108064"/>
                                </a:lnTo>
                                <a:lnTo>
                                  <a:pt x="934961" y="108064"/>
                                </a:lnTo>
                                <a:lnTo>
                                  <a:pt x="928001" y="115023"/>
                                </a:lnTo>
                                <a:lnTo>
                                  <a:pt x="928001" y="132194"/>
                                </a:lnTo>
                                <a:lnTo>
                                  <a:pt x="934961" y="139153"/>
                                </a:lnTo>
                                <a:lnTo>
                                  <a:pt x="952119" y="139153"/>
                                </a:lnTo>
                                <a:lnTo>
                                  <a:pt x="959078" y="132194"/>
                                </a:lnTo>
                                <a:lnTo>
                                  <a:pt x="959078" y="123609"/>
                                </a:lnTo>
                                <a:lnTo>
                                  <a:pt x="959078" y="115023"/>
                                </a:lnTo>
                                <a:close/>
                              </a:path>
                              <a:path w="2726690" h="139700">
                                <a:moveTo>
                                  <a:pt x="1893227" y="57492"/>
                                </a:moveTo>
                                <a:lnTo>
                                  <a:pt x="1886267" y="50533"/>
                                </a:lnTo>
                                <a:lnTo>
                                  <a:pt x="1869109" y="50533"/>
                                </a:lnTo>
                                <a:lnTo>
                                  <a:pt x="1862150" y="57492"/>
                                </a:lnTo>
                                <a:lnTo>
                                  <a:pt x="1862150" y="74663"/>
                                </a:lnTo>
                                <a:lnTo>
                                  <a:pt x="1869109" y="81622"/>
                                </a:lnTo>
                                <a:lnTo>
                                  <a:pt x="1886267" y="81622"/>
                                </a:lnTo>
                                <a:lnTo>
                                  <a:pt x="1893227" y="74663"/>
                                </a:lnTo>
                                <a:lnTo>
                                  <a:pt x="1893227" y="66078"/>
                                </a:lnTo>
                                <a:lnTo>
                                  <a:pt x="1893227" y="57492"/>
                                </a:lnTo>
                                <a:close/>
                              </a:path>
                              <a:path w="2726690" h="139700">
                                <a:moveTo>
                                  <a:pt x="2726105" y="6959"/>
                                </a:moveTo>
                                <a:lnTo>
                                  <a:pt x="2719146" y="0"/>
                                </a:lnTo>
                                <a:lnTo>
                                  <a:pt x="2701988" y="0"/>
                                </a:lnTo>
                                <a:lnTo>
                                  <a:pt x="2695029" y="6959"/>
                                </a:lnTo>
                                <a:lnTo>
                                  <a:pt x="2695029" y="24117"/>
                                </a:lnTo>
                                <a:lnTo>
                                  <a:pt x="2701988" y="31076"/>
                                </a:lnTo>
                                <a:lnTo>
                                  <a:pt x="2719146" y="31076"/>
                                </a:lnTo>
                                <a:lnTo>
                                  <a:pt x="2726105" y="24117"/>
                                </a:lnTo>
                                <a:lnTo>
                                  <a:pt x="2726105" y="15532"/>
                                </a:lnTo>
                                <a:lnTo>
                                  <a:pt x="2726105" y="6959"/>
                                </a:lnTo>
                                <a:close/>
                              </a:path>
                            </a:pathLst>
                          </a:custGeom>
                          <a:solidFill>
                            <a:srgbClr val="939598"/>
                          </a:solidFill>
                        </wps:spPr>
                        <wps:bodyPr wrap="square" lIns="0" tIns="0" rIns="0" bIns="0" rtlCol="0">
                          <a:prstTxWarp prst="textNoShape">
                            <a:avLst/>
                          </a:prstTxWarp>
                          <a:noAutofit/>
                        </wps:bodyPr>
                      </wps:wsp>
                      <wps:wsp>
                        <wps:cNvPr id="1324" name="Graphic 1324"/>
                        <wps:cNvSpPr/>
                        <wps:spPr>
                          <a:xfrm>
                            <a:off x="494808" y="419558"/>
                            <a:ext cx="2695575" cy="156210"/>
                          </a:xfrm>
                          <a:custGeom>
                            <a:avLst/>
                            <a:gdLst/>
                            <a:ahLst/>
                            <a:cxnLst/>
                            <a:rect l="l" t="t" r="r" b="b"/>
                            <a:pathLst>
                              <a:path w="2695575" h="156210">
                                <a:moveTo>
                                  <a:pt x="0" y="125082"/>
                                </a:moveTo>
                                <a:lnTo>
                                  <a:pt x="928001" y="156184"/>
                                </a:lnTo>
                                <a:lnTo>
                                  <a:pt x="1858606" y="44742"/>
                                </a:lnTo>
                                <a:lnTo>
                                  <a:pt x="2695028" y="0"/>
                                </a:lnTo>
                              </a:path>
                            </a:pathLst>
                          </a:custGeom>
                          <a:ln w="15532">
                            <a:solidFill>
                              <a:srgbClr val="115C85"/>
                            </a:solidFill>
                            <a:prstDash val="solid"/>
                          </a:ln>
                        </wps:spPr>
                        <wps:bodyPr wrap="square" lIns="0" tIns="0" rIns="0" bIns="0" rtlCol="0">
                          <a:prstTxWarp prst="textNoShape">
                            <a:avLst/>
                          </a:prstTxWarp>
                          <a:noAutofit/>
                        </wps:bodyPr>
                      </wps:wsp>
                      <wps:wsp>
                        <wps:cNvPr id="1325" name="Graphic 1325"/>
                        <wps:cNvSpPr/>
                        <wps:spPr>
                          <a:xfrm>
                            <a:off x="479265" y="404042"/>
                            <a:ext cx="2726690" cy="187325"/>
                          </a:xfrm>
                          <a:custGeom>
                            <a:avLst/>
                            <a:gdLst/>
                            <a:ahLst/>
                            <a:cxnLst/>
                            <a:rect l="l" t="t" r="r" b="b"/>
                            <a:pathLst>
                              <a:path w="2726690" h="187325">
                                <a:moveTo>
                                  <a:pt x="31076" y="132016"/>
                                </a:moveTo>
                                <a:lnTo>
                                  <a:pt x="24130" y="125056"/>
                                </a:lnTo>
                                <a:lnTo>
                                  <a:pt x="6959" y="125056"/>
                                </a:lnTo>
                                <a:lnTo>
                                  <a:pt x="0" y="132016"/>
                                </a:lnTo>
                                <a:lnTo>
                                  <a:pt x="0" y="149186"/>
                                </a:lnTo>
                                <a:lnTo>
                                  <a:pt x="6959" y="156146"/>
                                </a:lnTo>
                                <a:lnTo>
                                  <a:pt x="24130" y="156146"/>
                                </a:lnTo>
                                <a:lnTo>
                                  <a:pt x="31076" y="149186"/>
                                </a:lnTo>
                                <a:lnTo>
                                  <a:pt x="31076" y="140601"/>
                                </a:lnTo>
                                <a:lnTo>
                                  <a:pt x="31076" y="132016"/>
                                </a:lnTo>
                                <a:close/>
                              </a:path>
                              <a:path w="2726690" h="187325">
                                <a:moveTo>
                                  <a:pt x="959078" y="163118"/>
                                </a:moveTo>
                                <a:lnTo>
                                  <a:pt x="952119" y="156159"/>
                                </a:lnTo>
                                <a:lnTo>
                                  <a:pt x="934961" y="156159"/>
                                </a:lnTo>
                                <a:lnTo>
                                  <a:pt x="928001" y="163118"/>
                                </a:lnTo>
                                <a:lnTo>
                                  <a:pt x="928001" y="180289"/>
                                </a:lnTo>
                                <a:lnTo>
                                  <a:pt x="934961" y="187236"/>
                                </a:lnTo>
                                <a:lnTo>
                                  <a:pt x="952119" y="187236"/>
                                </a:lnTo>
                                <a:lnTo>
                                  <a:pt x="959078" y="180289"/>
                                </a:lnTo>
                                <a:lnTo>
                                  <a:pt x="959078" y="171704"/>
                                </a:lnTo>
                                <a:lnTo>
                                  <a:pt x="959078" y="163118"/>
                                </a:lnTo>
                                <a:close/>
                              </a:path>
                              <a:path w="2726690" h="187325">
                                <a:moveTo>
                                  <a:pt x="1891550" y="54914"/>
                                </a:moveTo>
                                <a:lnTo>
                                  <a:pt x="1884591" y="47955"/>
                                </a:lnTo>
                                <a:lnTo>
                                  <a:pt x="1867433" y="47955"/>
                                </a:lnTo>
                                <a:lnTo>
                                  <a:pt x="1860473" y="54914"/>
                                </a:lnTo>
                                <a:lnTo>
                                  <a:pt x="1860473" y="72085"/>
                                </a:lnTo>
                                <a:lnTo>
                                  <a:pt x="1867433" y="79044"/>
                                </a:lnTo>
                                <a:lnTo>
                                  <a:pt x="1884591" y="79044"/>
                                </a:lnTo>
                                <a:lnTo>
                                  <a:pt x="1891550" y="72085"/>
                                </a:lnTo>
                                <a:lnTo>
                                  <a:pt x="1891550" y="63500"/>
                                </a:lnTo>
                                <a:lnTo>
                                  <a:pt x="1891550" y="54914"/>
                                </a:lnTo>
                                <a:close/>
                              </a:path>
                              <a:path w="2726690" h="187325">
                                <a:moveTo>
                                  <a:pt x="2726105" y="6959"/>
                                </a:moveTo>
                                <a:lnTo>
                                  <a:pt x="2719146" y="0"/>
                                </a:lnTo>
                                <a:lnTo>
                                  <a:pt x="2701988" y="0"/>
                                </a:lnTo>
                                <a:lnTo>
                                  <a:pt x="2695029" y="6959"/>
                                </a:lnTo>
                                <a:lnTo>
                                  <a:pt x="2695029" y="24117"/>
                                </a:lnTo>
                                <a:lnTo>
                                  <a:pt x="2701988" y="31076"/>
                                </a:lnTo>
                                <a:lnTo>
                                  <a:pt x="2719146" y="31076"/>
                                </a:lnTo>
                                <a:lnTo>
                                  <a:pt x="2726105" y="24117"/>
                                </a:lnTo>
                                <a:lnTo>
                                  <a:pt x="2726105" y="15532"/>
                                </a:lnTo>
                                <a:lnTo>
                                  <a:pt x="2726105" y="6959"/>
                                </a:lnTo>
                                <a:close/>
                              </a:path>
                            </a:pathLst>
                          </a:custGeom>
                          <a:solidFill>
                            <a:srgbClr val="105B83"/>
                          </a:solidFill>
                        </wps:spPr>
                        <wps:bodyPr wrap="square" lIns="0" tIns="0" rIns="0" bIns="0" rtlCol="0">
                          <a:prstTxWarp prst="textNoShape">
                            <a:avLst/>
                          </a:prstTxWarp>
                          <a:noAutofit/>
                        </wps:bodyPr>
                      </wps:wsp>
                      <wps:wsp>
                        <wps:cNvPr id="1326" name="Textbox 1326"/>
                        <wps:cNvSpPr txBox="1"/>
                        <wps:spPr>
                          <a:xfrm>
                            <a:off x="295621" y="318490"/>
                            <a:ext cx="177800" cy="326390"/>
                          </a:xfrm>
                          <a:prstGeom prst="rect">
                            <a:avLst/>
                          </a:prstGeom>
                        </wps:spPr>
                        <wps:txbx>
                          <w:txbxContent>
                            <w:p>
                              <w:pPr>
                                <w:spacing w:before="8"/>
                                <w:ind w:left="0" w:right="0" w:firstLine="0"/>
                                <w:jc w:val="left"/>
                                <w:rPr>
                                  <w:sz w:val="14"/>
                                </w:rPr>
                              </w:pPr>
                              <w:r>
                                <w:rPr>
                                  <w:color w:val="636466"/>
                                  <w:spacing w:val="-5"/>
                                  <w:sz w:val="14"/>
                                </w:rPr>
                                <w:t>81%</w:t>
                              </w:r>
                            </w:p>
                            <w:p>
                              <w:pPr>
                                <w:spacing w:line="158" w:lineRule="exact" w:before="7"/>
                                <w:ind w:left="0" w:right="0" w:firstLine="0"/>
                                <w:jc w:val="left"/>
                                <w:rPr>
                                  <w:sz w:val="14"/>
                                </w:rPr>
                              </w:pPr>
                              <w:r>
                                <w:rPr>
                                  <w:color w:val="636466"/>
                                  <w:spacing w:val="-5"/>
                                  <w:sz w:val="14"/>
                                </w:rPr>
                                <w:t>80%</w:t>
                              </w:r>
                            </w:p>
                            <w:p>
                              <w:pPr>
                                <w:spacing w:line="158" w:lineRule="exact" w:before="0"/>
                                <w:ind w:left="0" w:right="0" w:firstLine="0"/>
                                <w:jc w:val="left"/>
                                <w:rPr>
                                  <w:sz w:val="14"/>
                                </w:rPr>
                              </w:pPr>
                              <w:r>
                                <w:rPr>
                                  <w:color w:val="636466"/>
                                  <w:spacing w:val="-5"/>
                                  <w:sz w:val="14"/>
                                </w:rPr>
                                <w:t>78%</w:t>
                              </w:r>
                            </w:p>
                          </w:txbxContent>
                        </wps:txbx>
                        <wps:bodyPr wrap="square" lIns="0" tIns="0" rIns="0" bIns="0" rtlCol="0">
                          <a:noAutofit/>
                        </wps:bodyPr>
                      </wps:wsp>
                      <wps:wsp>
                        <wps:cNvPr id="1327" name="Textbox 1327"/>
                        <wps:cNvSpPr txBox="1"/>
                        <wps:spPr>
                          <a:xfrm>
                            <a:off x="1347575" y="313067"/>
                            <a:ext cx="185420" cy="394335"/>
                          </a:xfrm>
                          <a:prstGeom prst="rect">
                            <a:avLst/>
                          </a:prstGeom>
                        </wps:spPr>
                        <wps:txbx>
                          <w:txbxContent>
                            <w:p>
                              <w:pPr>
                                <w:spacing w:before="8"/>
                                <w:ind w:left="8" w:right="0" w:firstLine="0"/>
                                <w:jc w:val="left"/>
                                <w:rPr>
                                  <w:sz w:val="14"/>
                                </w:rPr>
                              </w:pPr>
                              <w:r>
                                <w:rPr>
                                  <w:color w:val="636466"/>
                                  <w:spacing w:val="-5"/>
                                  <w:sz w:val="14"/>
                                </w:rPr>
                                <w:t>81%</w:t>
                              </w:r>
                            </w:p>
                            <w:p>
                              <w:pPr>
                                <w:spacing w:before="73"/>
                                <w:ind w:left="0" w:right="0" w:firstLine="0"/>
                                <w:jc w:val="left"/>
                                <w:rPr>
                                  <w:sz w:val="14"/>
                                </w:rPr>
                              </w:pPr>
                              <w:r>
                                <w:rPr>
                                  <w:color w:val="636466"/>
                                  <w:spacing w:val="-5"/>
                                  <w:sz w:val="14"/>
                                </w:rPr>
                                <w:t>80%</w:t>
                              </w:r>
                            </w:p>
                            <w:p>
                              <w:pPr>
                                <w:spacing w:before="35"/>
                                <w:ind w:left="12" w:right="0" w:firstLine="0"/>
                                <w:jc w:val="left"/>
                                <w:rPr>
                                  <w:sz w:val="14"/>
                                </w:rPr>
                              </w:pPr>
                              <w:r>
                                <w:rPr>
                                  <w:color w:val="636466"/>
                                  <w:spacing w:val="-5"/>
                                  <w:sz w:val="14"/>
                                </w:rPr>
                                <w:t>77%</w:t>
                              </w:r>
                            </w:p>
                          </w:txbxContent>
                        </wps:txbx>
                        <wps:bodyPr wrap="square" lIns="0" tIns="0" rIns="0" bIns="0" rtlCol="0">
                          <a:noAutofit/>
                        </wps:bodyPr>
                      </wps:wsp>
                      <wps:wsp>
                        <wps:cNvPr id="1328" name="Textbox 1328"/>
                        <wps:cNvSpPr txBox="1"/>
                        <wps:spPr>
                          <a:xfrm>
                            <a:off x="2199948" y="269328"/>
                            <a:ext cx="377190" cy="334645"/>
                          </a:xfrm>
                          <a:prstGeom prst="rect">
                            <a:avLst/>
                          </a:prstGeom>
                        </wps:spPr>
                        <wps:txbx>
                          <w:txbxContent>
                            <w:p>
                              <w:pPr>
                                <w:spacing w:before="5"/>
                                <w:ind w:left="0" w:right="0" w:firstLine="0"/>
                                <w:jc w:val="left"/>
                                <w:rPr>
                                  <w:sz w:val="14"/>
                                </w:rPr>
                              </w:pPr>
                              <w:r>
                                <w:rPr>
                                  <w:color w:val="636466"/>
                                  <w:spacing w:val="-2"/>
                                  <w:position w:val="2"/>
                                  <w:sz w:val="14"/>
                                </w:rPr>
                                <w:t>82%</w:t>
                              </w:r>
                              <w:r>
                                <w:rPr>
                                  <w:color w:val="636466"/>
                                  <w:spacing w:val="-3"/>
                                  <w:position w:val="2"/>
                                  <w:sz w:val="14"/>
                                </w:rPr>
                                <w:t> </w:t>
                              </w:r>
                              <w:r>
                                <w:rPr>
                                  <w:color w:val="636466"/>
                                  <w:spacing w:val="-5"/>
                                  <w:sz w:val="14"/>
                                </w:rPr>
                                <w:t>81%</w:t>
                              </w:r>
                            </w:p>
                            <w:p>
                              <w:pPr>
                                <w:spacing w:before="158"/>
                                <w:ind w:left="105" w:right="0" w:firstLine="0"/>
                                <w:jc w:val="left"/>
                                <w:rPr>
                                  <w:sz w:val="14"/>
                                </w:rPr>
                              </w:pPr>
                              <w:r>
                                <w:rPr>
                                  <w:color w:val="636466"/>
                                  <w:spacing w:val="-5"/>
                                  <w:sz w:val="14"/>
                                </w:rPr>
                                <w:t>80%</w:t>
                              </w:r>
                            </w:p>
                          </w:txbxContent>
                        </wps:txbx>
                        <wps:bodyPr wrap="square" lIns="0" tIns="0" rIns="0" bIns="0" rtlCol="0">
                          <a:noAutofit/>
                        </wps:bodyPr>
                      </wps:wsp>
                      <wps:wsp>
                        <wps:cNvPr id="1329" name="Textbox 1329"/>
                        <wps:cNvSpPr txBox="1"/>
                        <wps:spPr>
                          <a:xfrm>
                            <a:off x="3224787" y="187007"/>
                            <a:ext cx="182880" cy="309245"/>
                          </a:xfrm>
                          <a:prstGeom prst="rect">
                            <a:avLst/>
                          </a:prstGeom>
                        </wps:spPr>
                        <wps:txbx>
                          <w:txbxContent>
                            <w:p>
                              <w:pPr>
                                <w:spacing w:line="154" w:lineRule="exact" w:before="8"/>
                                <w:ind w:left="0" w:right="0" w:firstLine="0"/>
                                <w:jc w:val="left"/>
                                <w:rPr>
                                  <w:sz w:val="14"/>
                                </w:rPr>
                              </w:pPr>
                              <w:r>
                                <w:rPr>
                                  <w:color w:val="636466"/>
                                  <w:spacing w:val="-5"/>
                                  <w:sz w:val="14"/>
                                </w:rPr>
                                <w:t>87%</w:t>
                              </w:r>
                            </w:p>
                            <w:p>
                              <w:pPr>
                                <w:spacing w:line="148" w:lineRule="exact" w:before="0"/>
                                <w:ind w:left="7" w:right="0" w:firstLine="0"/>
                                <w:jc w:val="left"/>
                                <w:rPr>
                                  <w:sz w:val="14"/>
                                </w:rPr>
                              </w:pPr>
                              <w:r>
                                <w:rPr>
                                  <w:color w:val="636466"/>
                                  <w:spacing w:val="-5"/>
                                  <w:sz w:val="14"/>
                                </w:rPr>
                                <w:t>85%</w:t>
                              </w:r>
                            </w:p>
                            <w:p>
                              <w:pPr>
                                <w:spacing w:line="154" w:lineRule="exact" w:before="0"/>
                                <w:ind w:left="7" w:right="0" w:firstLine="0"/>
                                <w:jc w:val="left"/>
                                <w:rPr>
                                  <w:sz w:val="14"/>
                                </w:rPr>
                              </w:pPr>
                              <w:r>
                                <w:rPr>
                                  <w:color w:val="636466"/>
                                  <w:spacing w:val="-5"/>
                                  <w:sz w:val="14"/>
                                </w:rPr>
                                <w:t>82%</w:t>
                              </w:r>
                            </w:p>
                          </w:txbxContent>
                        </wps:txbx>
                        <wps:bodyPr wrap="square" lIns="0" tIns="0" rIns="0" bIns="0" rtlCol="0">
                          <a:noAutofit/>
                        </wps:bodyPr>
                      </wps:wsp>
                      <wps:wsp>
                        <wps:cNvPr id="1330" name="Textbox 1330"/>
                        <wps:cNvSpPr txBox="1"/>
                        <wps:spPr>
                          <a:xfrm>
                            <a:off x="3038149" y="1681744"/>
                            <a:ext cx="752475" cy="464820"/>
                          </a:xfrm>
                          <a:prstGeom prst="rect">
                            <a:avLst/>
                          </a:prstGeom>
                        </wps:spPr>
                        <wps:txbx>
                          <w:txbxContent>
                            <w:p>
                              <w:pPr>
                                <w:numPr>
                                  <w:ilvl w:val="0"/>
                                  <w:numId w:val="29"/>
                                </w:numPr>
                                <w:tabs>
                                  <w:tab w:pos="119" w:val="left" w:leader="none"/>
                                </w:tabs>
                                <w:spacing w:before="8"/>
                                <w:ind w:left="119" w:right="0" w:hanging="119"/>
                                <w:jc w:val="left"/>
                                <w:rPr>
                                  <w:sz w:val="14"/>
                                </w:rPr>
                              </w:pPr>
                              <w:r>
                                <w:rPr>
                                  <w:color w:val="105B83"/>
                                  <w:sz w:val="14"/>
                                </w:rPr>
                                <w:t>LOW</w:t>
                              </w:r>
                              <w:r>
                                <w:rPr>
                                  <w:color w:val="105B83"/>
                                  <w:spacing w:val="-3"/>
                                  <w:sz w:val="14"/>
                                </w:rPr>
                                <w:t> </w:t>
                              </w:r>
                              <w:r>
                                <w:rPr>
                                  <w:color w:val="105B83"/>
                                  <w:spacing w:val="-5"/>
                                  <w:sz w:val="14"/>
                                </w:rPr>
                                <w:t>SES</w:t>
                              </w:r>
                            </w:p>
                            <w:p>
                              <w:pPr>
                                <w:numPr>
                                  <w:ilvl w:val="0"/>
                                  <w:numId w:val="29"/>
                                </w:numPr>
                                <w:tabs>
                                  <w:tab w:pos="119" w:val="left" w:leader="none"/>
                                </w:tabs>
                                <w:spacing w:before="119"/>
                                <w:ind w:left="119" w:right="0" w:hanging="119"/>
                                <w:jc w:val="left"/>
                                <w:rPr>
                                  <w:sz w:val="14"/>
                                </w:rPr>
                              </w:pPr>
                              <w:r>
                                <w:rPr>
                                  <w:color w:val="105B83"/>
                                  <w:w w:val="95"/>
                                  <w:sz w:val="14"/>
                                </w:rPr>
                                <w:t>MODERATE</w:t>
                              </w:r>
                              <w:r>
                                <w:rPr>
                                  <w:color w:val="105B83"/>
                                  <w:spacing w:val="12"/>
                                  <w:sz w:val="14"/>
                                </w:rPr>
                                <w:t> </w:t>
                              </w:r>
                              <w:r>
                                <w:rPr>
                                  <w:color w:val="105B83"/>
                                  <w:spacing w:val="-5"/>
                                  <w:w w:val="90"/>
                                  <w:sz w:val="14"/>
                                </w:rPr>
                                <w:t>SES</w:t>
                              </w:r>
                            </w:p>
                            <w:p>
                              <w:pPr>
                                <w:numPr>
                                  <w:ilvl w:val="0"/>
                                  <w:numId w:val="29"/>
                                </w:numPr>
                                <w:tabs>
                                  <w:tab w:pos="119" w:val="left" w:leader="none"/>
                                </w:tabs>
                                <w:spacing w:before="99"/>
                                <w:ind w:left="119" w:right="0" w:hanging="119"/>
                                <w:jc w:val="left"/>
                                <w:rPr>
                                  <w:sz w:val="14"/>
                                </w:rPr>
                              </w:pPr>
                              <w:r>
                                <w:rPr>
                                  <w:color w:val="105B83"/>
                                  <w:sz w:val="14"/>
                                </w:rPr>
                                <w:t>HIGH</w:t>
                              </w:r>
                              <w:r>
                                <w:rPr>
                                  <w:color w:val="105B83"/>
                                  <w:spacing w:val="-7"/>
                                  <w:sz w:val="14"/>
                                </w:rPr>
                                <w:t> </w:t>
                              </w:r>
                              <w:r>
                                <w:rPr>
                                  <w:color w:val="105B83"/>
                                  <w:spacing w:val="-5"/>
                                  <w:sz w:val="14"/>
                                </w:rPr>
                                <w:t>SES</w:t>
                              </w:r>
                            </w:p>
                          </w:txbxContent>
                        </wps:txbx>
                        <wps:bodyPr wrap="square" lIns="0" tIns="0" rIns="0" bIns="0" rtlCol="0">
                          <a:noAutofit/>
                        </wps:bodyPr>
                      </wps:wsp>
                    </wpg:wgp>
                  </a:graphicData>
                </a:graphic>
              </wp:anchor>
            </w:drawing>
          </mc:Choice>
          <mc:Fallback>
            <w:pict>
              <v:group style="position:absolute;margin-left:102.351601pt;margin-top:3.521592pt;width:298.5pt;height:179.95pt;mso-position-horizontal-relative:page;mso-position-vertical-relative:paragraph;z-index:15869440" id="docshapegroup1061" coordorigin="2047,70" coordsize="5970,3599">
                <v:shape style="position:absolute;left:2052;top:76;width:5900;height:3587" id="docshape1062" coordorigin="2053,76" coordsize="5900,3587" path="m7952,3663l2053,3663,2053,76e" filled="false" stroked="true" strokeweight=".562pt" strokecolor="#939598">
                  <v:path arrowok="t"/>
                  <v:stroke dashstyle="solid"/>
                </v:shape>
                <v:rect style="position:absolute;left:6622;top:2766;width:106;height:106" id="docshape1063" filled="true" fillcolor="#105b83" stroked="false">
                  <v:fill type="solid"/>
                </v:rect>
                <v:rect style="position:absolute;left:6622;top:3036;width:106;height:106" id="docshape1064" filled="true" fillcolor="#939598" stroked="false">
                  <v:fill type="solid"/>
                </v:rect>
                <v:rect style="position:absolute;left:6622;top:3285;width:106;height:106" id="docshape1065" filled="true" fillcolor="#81bf6a" stroked="false">
                  <v:fill type="solid"/>
                </v:rect>
                <v:shape style="position:absolute;left:2826;top:541;width:4245;height:268" id="docshape1066" coordorigin="2826,541" coordsize="4245,268" path="m2826,809l4278,764,5764,763,7070,541e" filled="false" stroked="true" strokeweight="1.223pt" strokecolor="#81bf6a">
                  <v:path arrowok="t"/>
                  <v:stroke dashstyle="solid"/>
                </v:shape>
                <v:shape style="position:absolute;left:2801;top:516;width:4294;height:317" id="docshape1067" coordorigin="2802,517" coordsize="4294,317" path="m2851,796l2840,785,2813,785,2802,796,2802,823,2813,834,2840,834,2851,823,2851,809,2851,796xm4312,760l4301,749,4274,749,4263,760,4263,787,4274,798,4301,798,4312,787,4312,774,4312,760xm5784,752l5773,741,5746,741,5735,752,5735,779,5746,790,5773,790,5784,779,5784,765,5784,752xm7095,528l7084,517,7057,517,7046,528,7046,555,7057,566,7084,566,7095,555,7095,541,7095,528xe" filled="true" fillcolor="#81bf6a" stroked="false">
                  <v:path arrowok="t"/>
                  <v:fill type="solid"/>
                </v:shape>
                <v:shape style="position:absolute;left:2826;top:629;width:4245;height:173" id="docshape1068" coordorigin="2826,629" coordsize="4245,173" path="m2826,764l4285,802,5759,707,7070,629e" filled="false" stroked="true" strokeweight="1.223pt" strokecolor="#939598">
                  <v:path arrowok="t"/>
                  <v:stroke dashstyle="solid"/>
                </v:shape>
                <v:shape style="position:absolute;left:2801;top:604;width:4294;height:220" id="docshape1069" coordorigin="2802,605" coordsize="4294,220" path="m2851,736l2840,725,2813,725,2802,736,2802,763,2813,774,2840,774,2851,763,2851,750,2851,736xm4312,786l4301,775,4274,775,4263,786,4263,813,4274,824,4301,824,4312,813,4312,799,4312,786xm5783,695l5772,684,5745,684,5734,695,5734,722,5745,733,5772,733,5783,722,5783,709,5783,695xm7095,616l7084,605,7057,605,7046,616,7046,643,7057,654,7084,654,7095,643,7095,629,7095,616xe" filled="true" fillcolor="#939598" stroked="false">
                  <v:path arrowok="t"/>
                  <v:fill type="solid"/>
                </v:shape>
                <v:shape style="position:absolute;left:2826;top:731;width:4245;height:246" id="docshape1070" coordorigin="2826,731" coordsize="4245,246" path="m2826,928l4288,977,5753,802,7070,731e" filled="false" stroked="true" strokeweight="1.223pt" strokecolor="#115c85">
                  <v:path arrowok="t"/>
                  <v:stroke dashstyle="solid"/>
                </v:shape>
                <v:shape style="position:absolute;left:2801;top:706;width:4294;height:295" id="docshape1071" coordorigin="2802,707" coordsize="4294,295" path="m2851,915l2840,904,2813,904,2802,915,2802,942,2813,953,2840,953,2851,942,2851,928,2851,915xm4312,964l4301,953,4274,953,4263,964,4263,991,4274,1002,4301,1002,4312,991,4312,977,4312,964xm5781,793l5770,782,5743,782,5732,793,5732,820,5743,831,5770,831,5781,820,5781,807,5781,793xm7095,718l7084,707,7057,707,7046,718,7046,745,7057,756,7084,756,7095,745,7095,731,7095,718xe" filled="true" fillcolor="#105b83" stroked="false">
                  <v:path arrowok="t"/>
                  <v:fill type="solid"/>
                </v:shape>
                <v:shape style="position:absolute;left:2512;top:572;width:280;height:514" type="#_x0000_t202" id="docshape1072" filled="false" stroked="false">
                  <v:textbox inset="0,0,0,0">
                    <w:txbxContent>
                      <w:p>
                        <w:pPr>
                          <w:spacing w:before="8"/>
                          <w:ind w:left="0" w:right="0" w:firstLine="0"/>
                          <w:jc w:val="left"/>
                          <w:rPr>
                            <w:sz w:val="14"/>
                          </w:rPr>
                        </w:pPr>
                        <w:r>
                          <w:rPr>
                            <w:color w:val="636466"/>
                            <w:spacing w:val="-5"/>
                            <w:sz w:val="14"/>
                          </w:rPr>
                          <w:t>81%</w:t>
                        </w:r>
                      </w:p>
                      <w:p>
                        <w:pPr>
                          <w:spacing w:line="158" w:lineRule="exact" w:before="7"/>
                          <w:ind w:left="0" w:right="0" w:firstLine="0"/>
                          <w:jc w:val="left"/>
                          <w:rPr>
                            <w:sz w:val="14"/>
                          </w:rPr>
                        </w:pPr>
                        <w:r>
                          <w:rPr>
                            <w:color w:val="636466"/>
                            <w:spacing w:val="-5"/>
                            <w:sz w:val="14"/>
                          </w:rPr>
                          <w:t>80%</w:t>
                        </w:r>
                      </w:p>
                      <w:p>
                        <w:pPr>
                          <w:spacing w:line="158" w:lineRule="exact" w:before="0"/>
                          <w:ind w:left="0" w:right="0" w:firstLine="0"/>
                          <w:jc w:val="left"/>
                          <w:rPr>
                            <w:sz w:val="14"/>
                          </w:rPr>
                        </w:pPr>
                        <w:r>
                          <w:rPr>
                            <w:color w:val="636466"/>
                            <w:spacing w:val="-5"/>
                            <w:sz w:val="14"/>
                          </w:rPr>
                          <w:t>78%</w:t>
                        </w:r>
                      </w:p>
                    </w:txbxContent>
                  </v:textbox>
                  <w10:wrap type="none"/>
                </v:shape>
                <v:shape style="position:absolute;left:4169;top:563;width:292;height:621" type="#_x0000_t202" id="docshape1073" filled="false" stroked="false">
                  <v:textbox inset="0,0,0,0">
                    <w:txbxContent>
                      <w:p>
                        <w:pPr>
                          <w:spacing w:before="8"/>
                          <w:ind w:left="8" w:right="0" w:firstLine="0"/>
                          <w:jc w:val="left"/>
                          <w:rPr>
                            <w:sz w:val="14"/>
                          </w:rPr>
                        </w:pPr>
                        <w:r>
                          <w:rPr>
                            <w:color w:val="636466"/>
                            <w:spacing w:val="-5"/>
                            <w:sz w:val="14"/>
                          </w:rPr>
                          <w:t>81%</w:t>
                        </w:r>
                      </w:p>
                      <w:p>
                        <w:pPr>
                          <w:spacing w:before="73"/>
                          <w:ind w:left="0" w:right="0" w:firstLine="0"/>
                          <w:jc w:val="left"/>
                          <w:rPr>
                            <w:sz w:val="14"/>
                          </w:rPr>
                        </w:pPr>
                        <w:r>
                          <w:rPr>
                            <w:color w:val="636466"/>
                            <w:spacing w:val="-5"/>
                            <w:sz w:val="14"/>
                          </w:rPr>
                          <w:t>80%</w:t>
                        </w:r>
                      </w:p>
                      <w:p>
                        <w:pPr>
                          <w:spacing w:before="35"/>
                          <w:ind w:left="12" w:right="0" w:firstLine="0"/>
                          <w:jc w:val="left"/>
                          <w:rPr>
                            <w:sz w:val="14"/>
                          </w:rPr>
                        </w:pPr>
                        <w:r>
                          <w:rPr>
                            <w:color w:val="636466"/>
                            <w:spacing w:val="-5"/>
                            <w:sz w:val="14"/>
                          </w:rPr>
                          <w:t>77%</w:t>
                        </w:r>
                      </w:p>
                    </w:txbxContent>
                  </v:textbox>
                  <w10:wrap type="none"/>
                </v:shape>
                <v:shape style="position:absolute;left:5511;top:494;width:594;height:527" type="#_x0000_t202" id="docshape1074" filled="false" stroked="false">
                  <v:textbox inset="0,0,0,0">
                    <w:txbxContent>
                      <w:p>
                        <w:pPr>
                          <w:spacing w:before="5"/>
                          <w:ind w:left="0" w:right="0" w:firstLine="0"/>
                          <w:jc w:val="left"/>
                          <w:rPr>
                            <w:sz w:val="14"/>
                          </w:rPr>
                        </w:pPr>
                        <w:r>
                          <w:rPr>
                            <w:color w:val="636466"/>
                            <w:spacing w:val="-2"/>
                            <w:position w:val="2"/>
                            <w:sz w:val="14"/>
                          </w:rPr>
                          <w:t>82%</w:t>
                        </w:r>
                        <w:r>
                          <w:rPr>
                            <w:color w:val="636466"/>
                            <w:spacing w:val="-3"/>
                            <w:position w:val="2"/>
                            <w:sz w:val="14"/>
                          </w:rPr>
                          <w:t> </w:t>
                        </w:r>
                        <w:r>
                          <w:rPr>
                            <w:color w:val="636466"/>
                            <w:spacing w:val="-5"/>
                            <w:sz w:val="14"/>
                          </w:rPr>
                          <w:t>81%</w:t>
                        </w:r>
                      </w:p>
                      <w:p>
                        <w:pPr>
                          <w:spacing w:before="158"/>
                          <w:ind w:left="105" w:right="0" w:firstLine="0"/>
                          <w:jc w:val="left"/>
                          <w:rPr>
                            <w:sz w:val="14"/>
                          </w:rPr>
                        </w:pPr>
                        <w:r>
                          <w:rPr>
                            <w:color w:val="636466"/>
                            <w:spacing w:val="-5"/>
                            <w:sz w:val="14"/>
                          </w:rPr>
                          <w:t>80%</w:t>
                        </w:r>
                      </w:p>
                    </w:txbxContent>
                  </v:textbox>
                  <w10:wrap type="none"/>
                </v:shape>
                <v:shape style="position:absolute;left:7125;top:364;width:288;height:487" type="#_x0000_t202" id="docshape1075" filled="false" stroked="false">
                  <v:textbox inset="0,0,0,0">
                    <w:txbxContent>
                      <w:p>
                        <w:pPr>
                          <w:spacing w:line="154" w:lineRule="exact" w:before="8"/>
                          <w:ind w:left="0" w:right="0" w:firstLine="0"/>
                          <w:jc w:val="left"/>
                          <w:rPr>
                            <w:sz w:val="14"/>
                          </w:rPr>
                        </w:pPr>
                        <w:r>
                          <w:rPr>
                            <w:color w:val="636466"/>
                            <w:spacing w:val="-5"/>
                            <w:sz w:val="14"/>
                          </w:rPr>
                          <w:t>87%</w:t>
                        </w:r>
                      </w:p>
                      <w:p>
                        <w:pPr>
                          <w:spacing w:line="148" w:lineRule="exact" w:before="0"/>
                          <w:ind w:left="7" w:right="0" w:firstLine="0"/>
                          <w:jc w:val="left"/>
                          <w:rPr>
                            <w:sz w:val="14"/>
                          </w:rPr>
                        </w:pPr>
                        <w:r>
                          <w:rPr>
                            <w:color w:val="636466"/>
                            <w:spacing w:val="-5"/>
                            <w:sz w:val="14"/>
                          </w:rPr>
                          <w:t>85%</w:t>
                        </w:r>
                      </w:p>
                      <w:p>
                        <w:pPr>
                          <w:spacing w:line="154" w:lineRule="exact" w:before="0"/>
                          <w:ind w:left="7" w:right="0" w:firstLine="0"/>
                          <w:jc w:val="left"/>
                          <w:rPr>
                            <w:sz w:val="14"/>
                          </w:rPr>
                        </w:pPr>
                        <w:r>
                          <w:rPr>
                            <w:color w:val="636466"/>
                            <w:spacing w:val="-5"/>
                            <w:sz w:val="14"/>
                          </w:rPr>
                          <w:t>82%</w:t>
                        </w:r>
                      </w:p>
                    </w:txbxContent>
                  </v:textbox>
                  <w10:wrap type="none"/>
                </v:shape>
                <v:shape style="position:absolute;left:6831;top:2718;width:1185;height:732" type="#_x0000_t202" id="docshape1076" filled="false" stroked="false">
                  <v:textbox inset="0,0,0,0">
                    <w:txbxContent>
                      <w:p>
                        <w:pPr>
                          <w:numPr>
                            <w:ilvl w:val="0"/>
                            <w:numId w:val="29"/>
                          </w:numPr>
                          <w:tabs>
                            <w:tab w:pos="119" w:val="left" w:leader="none"/>
                          </w:tabs>
                          <w:spacing w:before="8"/>
                          <w:ind w:left="119" w:right="0" w:hanging="119"/>
                          <w:jc w:val="left"/>
                          <w:rPr>
                            <w:sz w:val="14"/>
                          </w:rPr>
                        </w:pPr>
                        <w:r>
                          <w:rPr>
                            <w:color w:val="105B83"/>
                            <w:sz w:val="14"/>
                          </w:rPr>
                          <w:t>LOW</w:t>
                        </w:r>
                        <w:r>
                          <w:rPr>
                            <w:color w:val="105B83"/>
                            <w:spacing w:val="-3"/>
                            <w:sz w:val="14"/>
                          </w:rPr>
                          <w:t> </w:t>
                        </w:r>
                        <w:r>
                          <w:rPr>
                            <w:color w:val="105B83"/>
                            <w:spacing w:val="-5"/>
                            <w:sz w:val="14"/>
                          </w:rPr>
                          <w:t>SES</w:t>
                        </w:r>
                      </w:p>
                      <w:p>
                        <w:pPr>
                          <w:numPr>
                            <w:ilvl w:val="0"/>
                            <w:numId w:val="29"/>
                          </w:numPr>
                          <w:tabs>
                            <w:tab w:pos="119" w:val="left" w:leader="none"/>
                          </w:tabs>
                          <w:spacing w:before="119"/>
                          <w:ind w:left="119" w:right="0" w:hanging="119"/>
                          <w:jc w:val="left"/>
                          <w:rPr>
                            <w:sz w:val="14"/>
                          </w:rPr>
                        </w:pPr>
                        <w:r>
                          <w:rPr>
                            <w:color w:val="105B83"/>
                            <w:w w:val="95"/>
                            <w:sz w:val="14"/>
                          </w:rPr>
                          <w:t>MODERATE</w:t>
                        </w:r>
                        <w:r>
                          <w:rPr>
                            <w:color w:val="105B83"/>
                            <w:spacing w:val="12"/>
                            <w:sz w:val="14"/>
                          </w:rPr>
                          <w:t> </w:t>
                        </w:r>
                        <w:r>
                          <w:rPr>
                            <w:color w:val="105B83"/>
                            <w:spacing w:val="-5"/>
                            <w:w w:val="90"/>
                            <w:sz w:val="14"/>
                          </w:rPr>
                          <w:t>SES</w:t>
                        </w:r>
                      </w:p>
                      <w:p>
                        <w:pPr>
                          <w:numPr>
                            <w:ilvl w:val="0"/>
                            <w:numId w:val="29"/>
                          </w:numPr>
                          <w:tabs>
                            <w:tab w:pos="119" w:val="left" w:leader="none"/>
                          </w:tabs>
                          <w:spacing w:before="99"/>
                          <w:ind w:left="119" w:right="0" w:hanging="119"/>
                          <w:jc w:val="left"/>
                          <w:rPr>
                            <w:sz w:val="14"/>
                          </w:rPr>
                        </w:pPr>
                        <w:r>
                          <w:rPr>
                            <w:color w:val="105B83"/>
                            <w:sz w:val="14"/>
                          </w:rPr>
                          <w:t>HIGH</w:t>
                        </w:r>
                        <w:r>
                          <w:rPr>
                            <w:color w:val="105B83"/>
                            <w:spacing w:val="-7"/>
                            <w:sz w:val="14"/>
                          </w:rPr>
                          <w:t> </w:t>
                        </w:r>
                        <w:r>
                          <w:rPr>
                            <w:color w:val="105B83"/>
                            <w:spacing w:val="-5"/>
                            <w:sz w:val="14"/>
                          </w:rPr>
                          <w:t>SES</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70464">
                <wp:simplePos x="0" y="0"/>
                <wp:positionH relativeFrom="page">
                  <wp:posOffset>2115019</wp:posOffset>
                </wp:positionH>
                <wp:positionV relativeFrom="paragraph">
                  <wp:posOffset>-22108</wp:posOffset>
                </wp:positionV>
                <wp:extent cx="178435" cy="2361565"/>
                <wp:effectExtent l="0" t="0" r="0" b="0"/>
                <wp:wrapNone/>
                <wp:docPr id="1331" name="Textbox 1331"/>
                <wp:cNvGraphicFramePr>
                  <a:graphicFrameLocks/>
                </wp:cNvGraphicFramePr>
                <a:graphic>
                  <a:graphicData uri="http://schemas.microsoft.com/office/word/2010/wordprocessingShape">
                    <wps:wsp>
                      <wps:cNvPr id="1331" name="Textbox 1331"/>
                      <wps:cNvSpPr txBox="1"/>
                      <wps:spPr>
                        <a:xfrm>
                          <a:off x="0" y="0"/>
                          <a:ext cx="178435" cy="2361565"/>
                        </a:xfrm>
                        <a:prstGeom prst="rect">
                          <a:avLst/>
                        </a:prstGeom>
                      </wps:spPr>
                      <wps:txbx>
                        <w:txbxContent>
                          <w:p>
                            <w:pPr>
                              <w:spacing w:before="20"/>
                              <w:ind w:left="20" w:right="0" w:firstLine="0"/>
                              <w:jc w:val="left"/>
                              <w:rPr>
                                <w:rFonts w:ascii="Cambria"/>
                                <w:sz w:val="20"/>
                              </w:rPr>
                            </w:pPr>
                            <w:r>
                              <w:rPr>
                                <w:rFonts w:ascii="Cambria"/>
                                <w:color w:val="939598"/>
                                <w:spacing w:val="39"/>
                                <w:sz w:val="20"/>
                              </w:rPr>
                              <w:t>............................................ </w:t>
                            </w:r>
                          </w:p>
                        </w:txbxContent>
                      </wps:txbx>
                      <wps:bodyPr wrap="square" lIns="0" tIns="0" rIns="0" bIns="0" rtlCol="0" vert="vert270">
                        <a:noAutofit/>
                      </wps:bodyPr>
                    </wps:wsp>
                  </a:graphicData>
                </a:graphic>
              </wp:anchor>
            </w:drawing>
          </mc:Choice>
          <mc:Fallback>
            <w:pict>
              <v:shape style="position:absolute;margin-left:166.537003pt;margin-top:-1.740812pt;width:14.05pt;height:185.95pt;mso-position-horizontal-relative:page;mso-position-vertical-relative:paragraph;z-index:15870464" type="#_x0000_t202" id="docshape1077" filled="false" stroked="false">
                <v:textbox inset="0,0,0,0" style="layout-flow:vertical;mso-layout-flow-alt:bottom-to-top">
                  <w:txbxContent>
                    <w:p>
                      <w:pPr>
                        <w:spacing w:before="20"/>
                        <w:ind w:left="20" w:right="0" w:firstLine="0"/>
                        <w:jc w:val="left"/>
                        <w:rPr>
                          <w:rFonts w:ascii="Cambria"/>
                          <w:sz w:val="20"/>
                        </w:rPr>
                      </w:pPr>
                      <w:r>
                        <w:rPr>
                          <w:rFonts w:ascii="Cambria"/>
                          <w:color w:val="939598"/>
                          <w:spacing w:val="39"/>
                          <w:sz w:val="20"/>
                        </w:rPr>
                        <w:t>............................................ </w:t>
                      </w:r>
                    </w:p>
                  </w:txbxContent>
                </v:textbox>
                <w10:wrap type="none"/>
              </v:shape>
            </w:pict>
          </mc:Fallback>
        </mc:AlternateContent>
      </w:r>
      <w:r>
        <w:rPr/>
        <mc:AlternateContent>
          <mc:Choice Requires="wps">
            <w:drawing>
              <wp:anchor distT="0" distB="0" distL="0" distR="0" allowOverlap="1" layoutInCell="1" locked="0" behindDoc="0" simplePos="0" relativeHeight="15870976">
                <wp:simplePos x="0" y="0"/>
                <wp:positionH relativeFrom="page">
                  <wp:posOffset>3050683</wp:posOffset>
                </wp:positionH>
                <wp:positionV relativeFrom="paragraph">
                  <wp:posOffset>-22108</wp:posOffset>
                </wp:positionV>
                <wp:extent cx="178435" cy="2361565"/>
                <wp:effectExtent l="0" t="0" r="0" b="0"/>
                <wp:wrapNone/>
                <wp:docPr id="1332" name="Textbox 1332"/>
                <wp:cNvGraphicFramePr>
                  <a:graphicFrameLocks/>
                </wp:cNvGraphicFramePr>
                <a:graphic>
                  <a:graphicData uri="http://schemas.microsoft.com/office/word/2010/wordprocessingShape">
                    <wps:wsp>
                      <wps:cNvPr id="1332" name="Textbox 1332"/>
                      <wps:cNvSpPr txBox="1"/>
                      <wps:spPr>
                        <a:xfrm>
                          <a:off x="0" y="0"/>
                          <a:ext cx="178435" cy="2361565"/>
                        </a:xfrm>
                        <a:prstGeom prst="rect">
                          <a:avLst/>
                        </a:prstGeom>
                      </wps:spPr>
                      <wps:txbx>
                        <w:txbxContent>
                          <w:p>
                            <w:pPr>
                              <w:spacing w:before="20"/>
                              <w:ind w:left="20" w:right="0" w:firstLine="0"/>
                              <w:jc w:val="left"/>
                              <w:rPr>
                                <w:rFonts w:ascii="Cambria"/>
                                <w:sz w:val="20"/>
                              </w:rPr>
                            </w:pPr>
                            <w:r>
                              <w:rPr>
                                <w:rFonts w:ascii="Cambria"/>
                                <w:color w:val="939598"/>
                                <w:spacing w:val="39"/>
                                <w:sz w:val="20"/>
                              </w:rPr>
                              <w:t>............................................ </w:t>
                            </w:r>
                          </w:p>
                        </w:txbxContent>
                      </wps:txbx>
                      <wps:bodyPr wrap="square" lIns="0" tIns="0" rIns="0" bIns="0" rtlCol="0" vert="vert270">
                        <a:noAutofit/>
                      </wps:bodyPr>
                    </wps:wsp>
                  </a:graphicData>
                </a:graphic>
              </wp:anchor>
            </w:drawing>
          </mc:Choice>
          <mc:Fallback>
            <w:pict>
              <v:shape style="position:absolute;margin-left:240.211304pt;margin-top:-1.740812pt;width:14.05pt;height:185.95pt;mso-position-horizontal-relative:page;mso-position-vertical-relative:paragraph;z-index:15870976" type="#_x0000_t202" id="docshape1078" filled="false" stroked="false">
                <v:textbox inset="0,0,0,0" style="layout-flow:vertical;mso-layout-flow-alt:bottom-to-top">
                  <w:txbxContent>
                    <w:p>
                      <w:pPr>
                        <w:spacing w:before="20"/>
                        <w:ind w:left="20" w:right="0" w:firstLine="0"/>
                        <w:jc w:val="left"/>
                        <w:rPr>
                          <w:rFonts w:ascii="Cambria"/>
                          <w:sz w:val="20"/>
                        </w:rPr>
                      </w:pPr>
                      <w:r>
                        <w:rPr>
                          <w:rFonts w:ascii="Cambria"/>
                          <w:color w:val="939598"/>
                          <w:spacing w:val="39"/>
                          <w:sz w:val="20"/>
                        </w:rPr>
                        <w:t>............................................ </w:t>
                      </w:r>
                    </w:p>
                  </w:txbxContent>
                </v:textbox>
                <w10:wrap type="none"/>
              </v:shape>
            </w:pict>
          </mc:Fallback>
        </mc:AlternateContent>
      </w:r>
      <w:r>
        <w:rPr/>
        <mc:AlternateContent>
          <mc:Choice Requires="wps">
            <w:drawing>
              <wp:anchor distT="0" distB="0" distL="0" distR="0" allowOverlap="1" layoutInCell="1" locked="0" behindDoc="0" simplePos="0" relativeHeight="15871488">
                <wp:simplePos x="0" y="0"/>
                <wp:positionH relativeFrom="page">
                  <wp:posOffset>3993434</wp:posOffset>
                </wp:positionH>
                <wp:positionV relativeFrom="paragraph">
                  <wp:posOffset>-22108</wp:posOffset>
                </wp:positionV>
                <wp:extent cx="178435" cy="2361565"/>
                <wp:effectExtent l="0" t="0" r="0" b="0"/>
                <wp:wrapNone/>
                <wp:docPr id="1333" name="Textbox 1333"/>
                <wp:cNvGraphicFramePr>
                  <a:graphicFrameLocks/>
                </wp:cNvGraphicFramePr>
                <a:graphic>
                  <a:graphicData uri="http://schemas.microsoft.com/office/word/2010/wordprocessingShape">
                    <wps:wsp>
                      <wps:cNvPr id="1333" name="Textbox 1333"/>
                      <wps:cNvSpPr txBox="1"/>
                      <wps:spPr>
                        <a:xfrm>
                          <a:off x="0" y="0"/>
                          <a:ext cx="178435" cy="2361565"/>
                        </a:xfrm>
                        <a:prstGeom prst="rect">
                          <a:avLst/>
                        </a:prstGeom>
                      </wps:spPr>
                      <wps:txbx>
                        <w:txbxContent>
                          <w:p>
                            <w:pPr>
                              <w:spacing w:before="20"/>
                              <w:ind w:left="20" w:right="0" w:firstLine="0"/>
                              <w:jc w:val="left"/>
                              <w:rPr>
                                <w:rFonts w:ascii="Cambria"/>
                                <w:sz w:val="20"/>
                              </w:rPr>
                            </w:pPr>
                            <w:r>
                              <w:rPr>
                                <w:rFonts w:ascii="Cambria"/>
                                <w:color w:val="939598"/>
                                <w:spacing w:val="39"/>
                                <w:sz w:val="20"/>
                              </w:rPr>
                              <w:t>............................................ </w:t>
                            </w:r>
                          </w:p>
                        </w:txbxContent>
                      </wps:txbx>
                      <wps:bodyPr wrap="square" lIns="0" tIns="0" rIns="0" bIns="0" rtlCol="0" vert="vert270">
                        <a:noAutofit/>
                      </wps:bodyPr>
                    </wps:wsp>
                  </a:graphicData>
                </a:graphic>
              </wp:anchor>
            </w:drawing>
          </mc:Choice>
          <mc:Fallback>
            <w:pict>
              <v:shape style="position:absolute;margin-left:314.443695pt;margin-top:-1.740812pt;width:14.05pt;height:185.95pt;mso-position-horizontal-relative:page;mso-position-vertical-relative:paragraph;z-index:15871488" type="#_x0000_t202" id="docshape1079" filled="false" stroked="false">
                <v:textbox inset="0,0,0,0" style="layout-flow:vertical;mso-layout-flow-alt:bottom-to-top">
                  <w:txbxContent>
                    <w:p>
                      <w:pPr>
                        <w:spacing w:before="20"/>
                        <w:ind w:left="20" w:right="0" w:firstLine="0"/>
                        <w:jc w:val="left"/>
                        <w:rPr>
                          <w:rFonts w:ascii="Cambria"/>
                          <w:sz w:val="20"/>
                        </w:rPr>
                      </w:pPr>
                      <w:r>
                        <w:rPr>
                          <w:rFonts w:ascii="Cambria"/>
                          <w:color w:val="939598"/>
                          <w:spacing w:val="39"/>
                          <w:sz w:val="20"/>
                        </w:rPr>
                        <w:t>............................................ </w:t>
                      </w:r>
                    </w:p>
                  </w:txbxContent>
                </v:textbox>
                <w10:wrap type="none"/>
              </v:shape>
            </w:pict>
          </mc:Fallback>
        </mc:AlternateContent>
      </w:r>
      <w:r>
        <w:rPr>
          <w:color w:val="636466"/>
          <w:spacing w:val="-4"/>
        </w:rPr>
        <w:t>100%</w:t>
      </w:r>
    </w:p>
    <w:p>
      <w:pPr>
        <w:pStyle w:val="BodyText"/>
        <w:spacing w:before="168"/>
      </w:pPr>
    </w:p>
    <w:p>
      <w:pPr>
        <w:pStyle w:val="BodyText"/>
        <w:ind w:right="9160"/>
        <w:jc w:val="right"/>
      </w:pPr>
      <w:r>
        <w:rPr/>
        <mc:AlternateContent>
          <mc:Choice Requires="wps">
            <w:drawing>
              <wp:anchor distT="0" distB="0" distL="0" distR="0" allowOverlap="1" layoutInCell="1" locked="0" behindDoc="0" simplePos="0" relativeHeight="15869952">
                <wp:simplePos x="0" y="0"/>
                <wp:positionH relativeFrom="page">
                  <wp:posOffset>693816</wp:posOffset>
                </wp:positionH>
                <wp:positionV relativeFrom="paragraph">
                  <wp:posOffset>254516</wp:posOffset>
                </wp:positionV>
                <wp:extent cx="164465" cy="880110"/>
                <wp:effectExtent l="0" t="0" r="0" b="0"/>
                <wp:wrapNone/>
                <wp:docPr id="1334" name="Textbox 1334"/>
                <wp:cNvGraphicFramePr>
                  <a:graphicFrameLocks/>
                </wp:cNvGraphicFramePr>
                <a:graphic>
                  <a:graphicData uri="http://schemas.microsoft.com/office/word/2010/wordprocessingShape">
                    <wps:wsp>
                      <wps:cNvPr id="1334" name="Textbox 1334"/>
                      <wps:cNvSpPr txBox="1"/>
                      <wps:spPr>
                        <a:xfrm>
                          <a:off x="0" y="0"/>
                          <a:ext cx="164465" cy="880110"/>
                        </a:xfrm>
                        <a:prstGeom prst="rect">
                          <a:avLst/>
                        </a:prstGeom>
                      </wps:spPr>
                      <wps:txbx>
                        <w:txbxContent>
                          <w:p>
                            <w:pPr>
                              <w:spacing w:before="30"/>
                              <w:ind w:left="20" w:right="0" w:firstLine="0"/>
                              <w:jc w:val="left"/>
                              <w:rPr>
                                <w:sz w:val="16"/>
                              </w:rPr>
                            </w:pPr>
                            <w:r>
                              <w:rPr>
                                <w:color w:val="105B83"/>
                                <w:spacing w:val="-2"/>
                                <w:sz w:val="16"/>
                              </w:rPr>
                              <w:t>Percent</w:t>
                            </w:r>
                            <w:r>
                              <w:rPr>
                                <w:color w:val="105B83"/>
                                <w:spacing w:val="-1"/>
                                <w:sz w:val="16"/>
                              </w:rPr>
                              <w:t> </w:t>
                            </w:r>
                            <w:r>
                              <w:rPr>
                                <w:color w:val="105B83"/>
                                <w:spacing w:val="-2"/>
                                <w:sz w:val="16"/>
                              </w:rPr>
                              <w:t>Controlled</w:t>
                            </w:r>
                          </w:p>
                        </w:txbxContent>
                      </wps:txbx>
                      <wps:bodyPr wrap="square" lIns="0" tIns="0" rIns="0" bIns="0" rtlCol="0" vert="vert270">
                        <a:noAutofit/>
                      </wps:bodyPr>
                    </wps:wsp>
                  </a:graphicData>
                </a:graphic>
              </wp:anchor>
            </w:drawing>
          </mc:Choice>
          <mc:Fallback>
            <w:pict>
              <v:shape style="position:absolute;margin-left:54.631199pt;margin-top:20.040638pt;width:12.95pt;height:69.3pt;mso-position-horizontal-relative:page;mso-position-vertical-relative:paragraph;z-index:15869952" type="#_x0000_t202" id="docshape1080" filled="false" stroked="false">
                <v:textbox inset="0,0,0,0" style="layout-flow:vertical;mso-layout-flow-alt:bottom-to-top">
                  <w:txbxContent>
                    <w:p>
                      <w:pPr>
                        <w:spacing w:before="30"/>
                        <w:ind w:left="20" w:right="0" w:firstLine="0"/>
                        <w:jc w:val="left"/>
                        <w:rPr>
                          <w:sz w:val="16"/>
                        </w:rPr>
                      </w:pPr>
                      <w:r>
                        <w:rPr>
                          <w:color w:val="105B83"/>
                          <w:spacing w:val="-2"/>
                          <w:sz w:val="16"/>
                        </w:rPr>
                        <w:t>Percent</w:t>
                      </w:r>
                      <w:r>
                        <w:rPr>
                          <w:color w:val="105B83"/>
                          <w:spacing w:val="-1"/>
                          <w:sz w:val="16"/>
                        </w:rPr>
                        <w:t> </w:t>
                      </w:r>
                      <w:r>
                        <w:rPr>
                          <w:color w:val="105B83"/>
                          <w:spacing w:val="-2"/>
                          <w:sz w:val="16"/>
                        </w:rPr>
                        <w:t>Controlled</w:t>
                      </w:r>
                    </w:p>
                  </w:txbxContent>
                </v:textbox>
                <w10:wrap type="none"/>
              </v:shape>
            </w:pict>
          </mc:Fallback>
        </mc:AlternateContent>
      </w:r>
      <w:r>
        <w:rPr>
          <w:color w:val="636466"/>
          <w:spacing w:val="-5"/>
        </w:rPr>
        <w:t>80%</w:t>
      </w:r>
    </w:p>
    <w:p>
      <w:pPr>
        <w:pStyle w:val="BodyText"/>
        <w:spacing w:before="174"/>
      </w:pPr>
    </w:p>
    <w:p>
      <w:pPr>
        <w:pStyle w:val="BodyText"/>
        <w:ind w:right="9140"/>
        <w:jc w:val="right"/>
      </w:pPr>
      <w:r>
        <w:rPr>
          <w:color w:val="636466"/>
          <w:spacing w:val="-5"/>
        </w:rPr>
        <w:t>60%</w:t>
      </w:r>
    </w:p>
    <w:p>
      <w:pPr>
        <w:pStyle w:val="BodyText"/>
        <w:spacing w:before="231"/>
      </w:pPr>
    </w:p>
    <w:p>
      <w:pPr>
        <w:pStyle w:val="BodyText"/>
        <w:ind w:right="9140"/>
        <w:jc w:val="right"/>
      </w:pPr>
      <w:r>
        <w:rPr>
          <w:color w:val="636466"/>
          <w:spacing w:val="-5"/>
        </w:rPr>
        <w:t>40%</w:t>
      </w:r>
    </w:p>
    <w:p>
      <w:pPr>
        <w:pStyle w:val="BodyText"/>
        <w:spacing w:before="177"/>
      </w:pPr>
    </w:p>
    <w:p>
      <w:pPr>
        <w:pStyle w:val="BodyText"/>
        <w:ind w:right="9142"/>
        <w:jc w:val="right"/>
      </w:pPr>
      <w:r>
        <w:rPr>
          <w:color w:val="636466"/>
          <w:spacing w:val="-5"/>
        </w:rPr>
        <w:t>20%</w:t>
      </w:r>
    </w:p>
    <w:p>
      <w:pPr>
        <w:pStyle w:val="BodyText"/>
        <w:spacing w:before="195"/>
      </w:pPr>
    </w:p>
    <w:p>
      <w:pPr>
        <w:pStyle w:val="BodyText"/>
        <w:ind w:right="9156"/>
        <w:jc w:val="right"/>
      </w:pPr>
      <w:r>
        <w:rPr>
          <w:color w:val="636466"/>
          <w:spacing w:val="-5"/>
        </w:rPr>
        <w:t>0%</w:t>
      </w:r>
    </w:p>
    <w:p>
      <w:pPr>
        <w:tabs>
          <w:tab w:pos="4044" w:val="left" w:leader="none"/>
          <w:tab w:pos="5500" w:val="left" w:leader="none"/>
          <w:tab w:pos="7060" w:val="left" w:leader="none"/>
        </w:tabs>
        <w:spacing w:before="70"/>
        <w:ind w:left="2623" w:right="0" w:firstLine="0"/>
        <w:jc w:val="left"/>
        <w:rPr>
          <w:sz w:val="18"/>
        </w:rPr>
      </w:pPr>
      <w:r>
        <w:rPr>
          <w:color w:val="636466"/>
          <w:spacing w:val="-4"/>
          <w:sz w:val="18"/>
        </w:rPr>
        <w:t>2015</w:t>
      </w:r>
      <w:r>
        <w:rPr>
          <w:color w:val="636466"/>
          <w:sz w:val="18"/>
        </w:rPr>
        <w:tab/>
      </w:r>
      <w:r>
        <w:rPr>
          <w:color w:val="636466"/>
          <w:spacing w:val="-4"/>
          <w:sz w:val="18"/>
        </w:rPr>
        <w:t>2016</w:t>
      </w:r>
      <w:r>
        <w:rPr>
          <w:color w:val="636466"/>
          <w:sz w:val="18"/>
        </w:rPr>
        <w:tab/>
      </w:r>
      <w:r>
        <w:rPr>
          <w:color w:val="636466"/>
          <w:spacing w:val="-4"/>
          <w:sz w:val="18"/>
        </w:rPr>
        <w:t>2017</w:t>
      </w:r>
      <w:r>
        <w:rPr>
          <w:color w:val="636466"/>
          <w:sz w:val="18"/>
        </w:rPr>
        <w:tab/>
      </w:r>
      <w:r>
        <w:rPr>
          <w:color w:val="636466"/>
          <w:spacing w:val="-4"/>
          <w:sz w:val="18"/>
        </w:rPr>
        <w:t>2018</w:t>
      </w:r>
    </w:p>
    <w:p>
      <w:pPr>
        <w:spacing w:before="177"/>
        <w:ind w:left="2040" w:right="0" w:firstLine="0"/>
        <w:jc w:val="left"/>
        <w:rPr>
          <w:sz w:val="16"/>
        </w:rPr>
      </w:pPr>
      <w:r>
        <w:rPr>
          <w:color w:val="105B83"/>
          <w:sz w:val="16"/>
        </w:rPr>
        <w:t>Data</w:t>
      </w:r>
      <w:r>
        <w:rPr>
          <w:color w:val="105B83"/>
          <w:spacing w:val="-7"/>
          <w:sz w:val="16"/>
        </w:rPr>
        <w:t> </w:t>
      </w:r>
      <w:r>
        <w:rPr>
          <w:color w:val="105B83"/>
          <w:sz w:val="16"/>
        </w:rPr>
        <w:t>Source:</w:t>
      </w:r>
      <w:r>
        <w:rPr>
          <w:color w:val="105B83"/>
          <w:spacing w:val="-6"/>
          <w:sz w:val="16"/>
        </w:rPr>
        <w:t> </w:t>
      </w:r>
      <w:r>
        <w:rPr>
          <w:color w:val="105B83"/>
          <w:sz w:val="16"/>
        </w:rPr>
        <w:t>June</w:t>
      </w:r>
      <w:r>
        <w:rPr>
          <w:color w:val="105B83"/>
          <w:spacing w:val="-6"/>
          <w:sz w:val="16"/>
        </w:rPr>
        <w:t> </w:t>
      </w:r>
      <w:r>
        <w:rPr>
          <w:color w:val="105B83"/>
          <w:sz w:val="16"/>
        </w:rPr>
        <w:t>2018</w:t>
      </w:r>
      <w:r>
        <w:rPr>
          <w:color w:val="105B83"/>
          <w:spacing w:val="-7"/>
          <w:sz w:val="16"/>
        </w:rPr>
        <w:t> </w:t>
      </w:r>
      <w:r>
        <w:rPr>
          <w:color w:val="105B83"/>
          <w:sz w:val="16"/>
        </w:rPr>
        <w:t>Common</w:t>
      </w:r>
      <w:r>
        <w:rPr>
          <w:color w:val="105B83"/>
          <w:spacing w:val="-6"/>
          <w:sz w:val="16"/>
        </w:rPr>
        <w:t> </w:t>
      </w:r>
      <w:r>
        <w:rPr>
          <w:color w:val="105B83"/>
          <w:sz w:val="16"/>
        </w:rPr>
        <w:t>Ground</w:t>
      </w:r>
      <w:r>
        <w:rPr>
          <w:color w:val="105B83"/>
          <w:spacing w:val="-6"/>
          <w:sz w:val="16"/>
        </w:rPr>
        <w:t> </w:t>
      </w:r>
      <w:r>
        <w:rPr>
          <w:color w:val="105B83"/>
          <w:sz w:val="16"/>
        </w:rPr>
        <w:t>Health</w:t>
      </w:r>
      <w:r>
        <w:rPr>
          <w:color w:val="105B83"/>
          <w:spacing w:val="-6"/>
          <w:sz w:val="16"/>
        </w:rPr>
        <w:t> </w:t>
      </w:r>
      <w:r>
        <w:rPr>
          <w:color w:val="105B83"/>
          <w:sz w:val="16"/>
        </w:rPr>
        <w:t>Hypertension</w:t>
      </w:r>
      <w:r>
        <w:rPr>
          <w:color w:val="105B83"/>
          <w:spacing w:val="-7"/>
          <w:sz w:val="16"/>
        </w:rPr>
        <w:t> </w:t>
      </w:r>
      <w:r>
        <w:rPr>
          <w:color w:val="105B83"/>
          <w:spacing w:val="-2"/>
          <w:sz w:val="16"/>
        </w:rPr>
        <w:t>Registry</w:t>
      </w:r>
    </w:p>
    <w:p>
      <w:pPr>
        <w:pStyle w:val="BodyText"/>
        <w:rPr>
          <w:sz w:val="16"/>
        </w:rPr>
      </w:pPr>
    </w:p>
    <w:p>
      <w:pPr>
        <w:pStyle w:val="BodyText"/>
        <w:rPr>
          <w:sz w:val="16"/>
        </w:rPr>
      </w:pPr>
    </w:p>
    <w:p>
      <w:pPr>
        <w:pStyle w:val="BodyText"/>
        <w:spacing w:before="141"/>
        <w:rPr>
          <w:sz w:val="16"/>
        </w:rPr>
      </w:pPr>
    </w:p>
    <w:p>
      <w:pPr>
        <w:pStyle w:val="BodyText"/>
        <w:ind w:left="1094"/>
      </w:pPr>
      <w:r>
        <w:rPr>
          <w:color w:val="105C84"/>
        </w:rPr>
        <w:t>Social-emotional</w:t>
      </w:r>
      <w:r>
        <w:rPr>
          <w:color w:val="105C84"/>
          <w:spacing w:val="13"/>
        </w:rPr>
        <w:t> </w:t>
      </w:r>
      <w:r>
        <w:rPr>
          <w:color w:val="105C84"/>
        </w:rPr>
        <w:t>health</w:t>
      </w:r>
      <w:r>
        <w:rPr>
          <w:color w:val="105C84"/>
          <w:spacing w:val="13"/>
        </w:rPr>
        <w:t> </w:t>
      </w:r>
      <w:r>
        <w:rPr>
          <w:color w:val="105C84"/>
        </w:rPr>
        <w:t>is</w:t>
      </w:r>
      <w:r>
        <w:rPr>
          <w:color w:val="105C84"/>
          <w:spacing w:val="14"/>
        </w:rPr>
        <w:t> </w:t>
      </w:r>
      <w:r>
        <w:rPr>
          <w:color w:val="105C84"/>
        </w:rPr>
        <w:t>an</w:t>
      </w:r>
      <w:r>
        <w:rPr>
          <w:color w:val="105C84"/>
          <w:spacing w:val="13"/>
        </w:rPr>
        <w:t> </w:t>
      </w:r>
      <w:r>
        <w:rPr>
          <w:color w:val="105C84"/>
        </w:rPr>
        <w:t>important</w:t>
      </w:r>
      <w:r>
        <w:rPr>
          <w:color w:val="105C84"/>
          <w:spacing w:val="14"/>
        </w:rPr>
        <w:t> </w:t>
      </w:r>
      <w:r>
        <w:rPr>
          <w:color w:val="105C84"/>
        </w:rPr>
        <w:t>developmental</w:t>
      </w:r>
      <w:r>
        <w:rPr>
          <w:color w:val="105C84"/>
          <w:spacing w:val="13"/>
        </w:rPr>
        <w:t> </w:t>
      </w:r>
      <w:r>
        <w:rPr>
          <w:color w:val="105C84"/>
        </w:rPr>
        <w:t>skill</w:t>
      </w:r>
      <w:r>
        <w:rPr>
          <w:color w:val="105C84"/>
          <w:spacing w:val="14"/>
        </w:rPr>
        <w:t> </w:t>
      </w:r>
      <w:r>
        <w:rPr>
          <w:color w:val="105C84"/>
        </w:rPr>
        <w:t>that</w:t>
      </w:r>
      <w:r>
        <w:rPr>
          <w:color w:val="105C84"/>
          <w:spacing w:val="13"/>
        </w:rPr>
        <w:t> </w:t>
      </w:r>
      <w:r>
        <w:rPr>
          <w:color w:val="105C84"/>
        </w:rPr>
        <w:t>is</w:t>
      </w:r>
      <w:r>
        <w:rPr>
          <w:color w:val="105C84"/>
          <w:spacing w:val="13"/>
        </w:rPr>
        <w:t> </w:t>
      </w:r>
      <w:r>
        <w:rPr>
          <w:color w:val="105C84"/>
        </w:rPr>
        <w:t>learned</w:t>
      </w:r>
      <w:r>
        <w:rPr>
          <w:color w:val="105C84"/>
          <w:spacing w:val="14"/>
        </w:rPr>
        <w:t> </w:t>
      </w:r>
      <w:r>
        <w:rPr>
          <w:color w:val="105C84"/>
        </w:rPr>
        <w:t>in</w:t>
      </w:r>
      <w:r>
        <w:rPr>
          <w:color w:val="105C84"/>
          <w:spacing w:val="13"/>
        </w:rPr>
        <w:t> </w:t>
      </w:r>
      <w:r>
        <w:rPr>
          <w:color w:val="105C84"/>
        </w:rPr>
        <w:t>early</w:t>
      </w:r>
      <w:r>
        <w:rPr>
          <w:color w:val="105C84"/>
          <w:spacing w:val="14"/>
        </w:rPr>
        <w:t> </w:t>
      </w:r>
      <w:r>
        <w:rPr>
          <w:color w:val="105C84"/>
          <w:spacing w:val="-2"/>
        </w:rPr>
        <w:t>childhood.</w:t>
      </w:r>
    </w:p>
    <w:p>
      <w:pPr>
        <w:pStyle w:val="BodyText"/>
        <w:spacing w:line="247" w:lineRule="auto" w:before="8"/>
        <w:ind w:left="1094" w:right="242"/>
      </w:pPr>
      <w:r>
        <w:rPr>
          <w:color w:val="105C84"/>
        </w:rPr>
        <w:t>It encompasses a child’s ability to control his or her own feelings and behaviors, build positive relationships,</w:t>
      </w:r>
      <w:r>
        <w:rPr>
          <w:color w:val="105C84"/>
          <w:spacing w:val="21"/>
        </w:rPr>
        <w:t> </w:t>
      </w:r>
      <w:r>
        <w:rPr>
          <w:color w:val="105C84"/>
        </w:rPr>
        <w:t>and</w:t>
      </w:r>
      <w:r>
        <w:rPr>
          <w:color w:val="105C84"/>
          <w:spacing w:val="21"/>
        </w:rPr>
        <w:t> </w:t>
      </w:r>
      <w:r>
        <w:rPr>
          <w:color w:val="105C84"/>
        </w:rPr>
        <w:t>understand</w:t>
      </w:r>
      <w:r>
        <w:rPr>
          <w:color w:val="105C84"/>
          <w:spacing w:val="21"/>
        </w:rPr>
        <w:t> </w:t>
      </w:r>
      <w:r>
        <w:rPr>
          <w:color w:val="105C84"/>
        </w:rPr>
        <w:t>feelings</w:t>
      </w:r>
      <w:r>
        <w:rPr>
          <w:color w:val="105C84"/>
          <w:spacing w:val="21"/>
        </w:rPr>
        <w:t> </w:t>
      </w:r>
      <w:r>
        <w:rPr>
          <w:color w:val="105C84"/>
        </w:rPr>
        <w:t>of</w:t>
      </w:r>
      <w:r>
        <w:rPr>
          <w:color w:val="105C84"/>
          <w:spacing w:val="21"/>
        </w:rPr>
        <w:t> </w:t>
      </w:r>
      <w:r>
        <w:rPr>
          <w:color w:val="105C84"/>
        </w:rPr>
        <w:t>others.</w:t>
      </w:r>
      <w:r>
        <w:rPr>
          <w:color w:val="105C84"/>
          <w:spacing w:val="21"/>
        </w:rPr>
        <w:t> </w:t>
      </w:r>
      <w:r>
        <w:rPr>
          <w:color w:val="105C84"/>
        </w:rPr>
        <w:t>The</w:t>
      </w:r>
      <w:r>
        <w:rPr>
          <w:color w:val="105C84"/>
          <w:spacing w:val="21"/>
        </w:rPr>
        <w:t> </w:t>
      </w:r>
      <w:r>
        <w:rPr>
          <w:color w:val="105C84"/>
        </w:rPr>
        <w:t>World</w:t>
      </w:r>
      <w:r>
        <w:rPr>
          <w:color w:val="105C84"/>
          <w:spacing w:val="21"/>
        </w:rPr>
        <w:t> </w:t>
      </w:r>
      <w:r>
        <w:rPr>
          <w:color w:val="105C84"/>
        </w:rPr>
        <w:t>Health</w:t>
      </w:r>
      <w:r>
        <w:rPr>
          <w:color w:val="105C84"/>
          <w:spacing w:val="21"/>
        </w:rPr>
        <w:t> </w:t>
      </w:r>
      <w:r>
        <w:rPr>
          <w:color w:val="105C84"/>
        </w:rPr>
        <w:t>Organization</w:t>
      </w:r>
      <w:r>
        <w:rPr>
          <w:color w:val="105C84"/>
          <w:spacing w:val="21"/>
        </w:rPr>
        <w:t> </w:t>
      </w:r>
      <w:r>
        <w:rPr>
          <w:color w:val="105C84"/>
        </w:rPr>
        <w:t>defines</w:t>
      </w:r>
      <w:r>
        <w:rPr>
          <w:color w:val="105C84"/>
          <w:spacing w:val="21"/>
        </w:rPr>
        <w:t> </w:t>
      </w:r>
      <w:r>
        <w:rPr>
          <w:color w:val="105C84"/>
        </w:rPr>
        <w:t>health</w:t>
      </w:r>
      <w:r>
        <w:rPr>
          <w:color w:val="105C84"/>
          <w:spacing w:val="21"/>
        </w:rPr>
        <w:t> </w:t>
      </w:r>
      <w:r>
        <w:rPr>
          <w:color w:val="105C84"/>
        </w:rPr>
        <w:t>as a “state of complete physical, mental and social well-being and not merely the absence of disease</w:t>
      </w:r>
      <w:r>
        <w:rPr>
          <w:color w:val="105C84"/>
          <w:spacing w:val="80"/>
        </w:rPr>
        <w:t> </w:t>
      </w:r>
      <w:r>
        <w:rPr>
          <w:color w:val="105C84"/>
        </w:rPr>
        <w:t>or</w:t>
      </w:r>
      <w:r>
        <w:rPr>
          <w:color w:val="105C84"/>
          <w:spacing w:val="22"/>
        </w:rPr>
        <w:t> </w:t>
      </w:r>
      <w:r>
        <w:rPr>
          <w:color w:val="105C84"/>
        </w:rPr>
        <w:t>infirmity.”</w:t>
      </w:r>
      <w:r>
        <w:rPr>
          <w:color w:val="105C84"/>
          <w:spacing w:val="22"/>
        </w:rPr>
        <w:t> </w:t>
      </w:r>
      <w:r>
        <w:rPr>
          <w:color w:val="105C84"/>
        </w:rPr>
        <w:t>Therefore,</w:t>
      </w:r>
      <w:r>
        <w:rPr>
          <w:color w:val="105C84"/>
          <w:spacing w:val="22"/>
        </w:rPr>
        <w:t> </w:t>
      </w:r>
      <w:r>
        <w:rPr>
          <w:color w:val="105C84"/>
        </w:rPr>
        <w:t>ensuring</w:t>
      </w:r>
      <w:r>
        <w:rPr>
          <w:color w:val="105C84"/>
          <w:spacing w:val="22"/>
        </w:rPr>
        <w:t> </w:t>
      </w:r>
      <w:r>
        <w:rPr>
          <w:color w:val="105C84"/>
        </w:rPr>
        <w:t>good</w:t>
      </w:r>
      <w:r>
        <w:rPr>
          <w:color w:val="105C84"/>
          <w:spacing w:val="22"/>
        </w:rPr>
        <w:t> </w:t>
      </w:r>
      <w:r>
        <w:rPr>
          <w:color w:val="105C84"/>
        </w:rPr>
        <w:t>health</w:t>
      </w:r>
      <w:r>
        <w:rPr>
          <w:color w:val="105C84"/>
          <w:spacing w:val="22"/>
        </w:rPr>
        <w:t> </w:t>
      </w:r>
      <w:r>
        <w:rPr>
          <w:color w:val="105C84"/>
        </w:rPr>
        <w:t>of</w:t>
      </w:r>
      <w:r>
        <w:rPr>
          <w:color w:val="105C84"/>
          <w:spacing w:val="22"/>
        </w:rPr>
        <w:t> </w:t>
      </w:r>
      <w:r>
        <w:rPr>
          <w:color w:val="105C84"/>
        </w:rPr>
        <w:t>Steuben</w:t>
      </w:r>
      <w:r>
        <w:rPr>
          <w:color w:val="105C84"/>
          <w:spacing w:val="22"/>
        </w:rPr>
        <w:t> </w:t>
      </w:r>
      <w:r>
        <w:rPr>
          <w:color w:val="105C84"/>
        </w:rPr>
        <w:t>County’s</w:t>
      </w:r>
      <w:r>
        <w:rPr>
          <w:color w:val="105C84"/>
          <w:spacing w:val="22"/>
        </w:rPr>
        <w:t> </w:t>
      </w:r>
      <w:r>
        <w:rPr>
          <w:color w:val="105C84"/>
        </w:rPr>
        <w:t>community</w:t>
      </w:r>
      <w:r>
        <w:rPr>
          <w:color w:val="105C84"/>
          <w:spacing w:val="22"/>
        </w:rPr>
        <w:t> </w:t>
      </w:r>
      <w:r>
        <w:rPr>
          <w:color w:val="105C84"/>
        </w:rPr>
        <w:t>warrants</w:t>
      </w:r>
      <w:r>
        <w:rPr>
          <w:color w:val="105C84"/>
          <w:spacing w:val="22"/>
        </w:rPr>
        <w:t> </w:t>
      </w:r>
      <w:r>
        <w:rPr>
          <w:color w:val="105C84"/>
        </w:rPr>
        <w:t>its</w:t>
      </w:r>
      <w:r>
        <w:rPr>
          <w:color w:val="105C84"/>
          <w:spacing w:val="22"/>
        </w:rPr>
        <w:t> </w:t>
      </w:r>
      <w:r>
        <w:rPr>
          <w:color w:val="105C84"/>
        </w:rPr>
        <w:t>leaders to include mental health as an issue. It was noted in Steuben County’s priority setting meeting that</w:t>
      </w:r>
      <w:r>
        <w:rPr>
          <w:color w:val="105C84"/>
          <w:spacing w:val="40"/>
        </w:rPr>
        <w:t> </w:t>
      </w:r>
      <w:r>
        <w:rPr>
          <w:color w:val="105C84"/>
        </w:rPr>
        <w:t>access to mental health providers and supports for very young children and adults is limited, and there are barriers to accessing timely care and follow up.</w:t>
      </w:r>
    </w:p>
    <w:p>
      <w:pPr>
        <w:pStyle w:val="BodyText"/>
        <w:spacing w:line="247" w:lineRule="auto" w:before="176"/>
        <w:ind w:left="1094" w:right="87"/>
      </w:pPr>
      <w:r>
        <w:rPr>
          <w:color w:val="105C84"/>
        </w:rPr>
        <w:t>Rates of adults reporting poor mental health days in the past month have improved in the county,</w:t>
      </w:r>
      <w:r>
        <w:rPr>
          <w:color w:val="105C84"/>
          <w:spacing w:val="40"/>
        </w:rPr>
        <w:t> </w:t>
      </w:r>
      <w:r>
        <w:rPr>
          <w:color w:val="105C84"/>
        </w:rPr>
        <w:t>though they still impact a large portion of the county. Estimates reveal that 18% of adult residents</w:t>
      </w:r>
      <w:r>
        <w:rPr>
          <w:color w:val="105C84"/>
          <w:spacing w:val="40"/>
        </w:rPr>
        <w:t> </w:t>
      </w:r>
      <w:r>
        <w:rPr>
          <w:color w:val="105C84"/>
        </w:rPr>
        <w:t>have been told they have a depressive disorder.</w:t>
      </w:r>
      <w:r>
        <w:rPr>
          <w:color w:val="105C84"/>
          <w:position w:val="7"/>
          <w:sz w:val="13"/>
        </w:rPr>
        <w:t>39</w:t>
      </w:r>
      <w:r>
        <w:rPr>
          <w:color w:val="105C84"/>
          <w:spacing w:val="40"/>
          <w:position w:val="7"/>
          <w:sz w:val="13"/>
        </w:rPr>
        <w:t> </w:t>
      </w:r>
      <w:r>
        <w:rPr>
          <w:color w:val="105C84"/>
        </w:rPr>
        <w:t>According to survey data from </w:t>
      </w:r>
      <w:r>
        <w:rPr>
          <w:i/>
          <w:color w:val="105C84"/>
        </w:rPr>
        <w:t>My Health Story</w:t>
      </w:r>
      <w:r>
        <w:rPr>
          <w:i/>
          <w:color w:val="105C84"/>
        </w:rPr>
        <w:t> 2018</w:t>
      </w:r>
      <w:r>
        <w:rPr>
          <w:color w:val="105C84"/>
        </w:rPr>
        <w:t>, half of the respondents (50%) indicated they have dealt with depression or sadness, however Many others also reported they have personally dealt with anxiety or fear (43%) and trouble sleeping </w:t>
      </w:r>
      <w:r>
        <w:rPr>
          <w:color w:val="105C84"/>
          <w:spacing w:val="-2"/>
        </w:rPr>
        <w:t>(36%).</w:t>
      </w:r>
    </w:p>
    <w:p>
      <w:pPr>
        <w:pStyle w:val="BodyText"/>
        <w:spacing w:line="247" w:lineRule="auto" w:before="176"/>
        <w:ind w:left="1094" w:right="228"/>
      </w:pPr>
      <w:r>
        <w:rPr>
          <w:color w:val="105C84"/>
        </w:rPr>
        <w:t>Substance use, particularly use of opioids, has increased in the past several years. Deaths due to opioids in the county have decreased 21% from 2016 to 2017, though this does not mean the issue has been resolved. Documented Naloxone administrations have increased from 69 in 2016 to 88</w:t>
      </w:r>
    </w:p>
    <w:p>
      <w:pPr>
        <w:pStyle w:val="BodyText"/>
        <w:spacing w:line="251" w:lineRule="exact"/>
        <w:ind w:left="1094"/>
      </w:pPr>
      <w:r>
        <w:rPr>
          <w:color w:val="105C84"/>
        </w:rPr>
        <w:t>in</w:t>
      </w:r>
      <w:r>
        <w:rPr>
          <w:color w:val="105C84"/>
          <w:spacing w:val="11"/>
        </w:rPr>
        <w:t> </w:t>
      </w:r>
      <w:r>
        <w:rPr>
          <w:color w:val="105C84"/>
        </w:rPr>
        <w:t>2017,</w:t>
      </w:r>
      <w:r>
        <w:rPr>
          <w:color w:val="105C84"/>
          <w:spacing w:val="11"/>
        </w:rPr>
        <w:t> </w:t>
      </w:r>
      <w:r>
        <w:rPr>
          <w:color w:val="105C84"/>
        </w:rPr>
        <w:t>which</w:t>
      </w:r>
      <w:r>
        <w:rPr>
          <w:color w:val="105C84"/>
          <w:spacing w:val="12"/>
        </w:rPr>
        <w:t> </w:t>
      </w:r>
      <w:r>
        <w:rPr>
          <w:color w:val="105C84"/>
        </w:rPr>
        <w:t>does</w:t>
      </w:r>
      <w:r>
        <w:rPr>
          <w:color w:val="105C84"/>
          <w:spacing w:val="11"/>
        </w:rPr>
        <w:t> </w:t>
      </w:r>
      <w:r>
        <w:rPr>
          <w:color w:val="105C84"/>
        </w:rPr>
        <w:t>not</w:t>
      </w:r>
      <w:r>
        <w:rPr>
          <w:color w:val="105C84"/>
          <w:spacing w:val="11"/>
        </w:rPr>
        <w:t> </w:t>
      </w:r>
      <w:r>
        <w:rPr>
          <w:color w:val="105C84"/>
        </w:rPr>
        <w:t>include</w:t>
      </w:r>
      <w:r>
        <w:rPr>
          <w:color w:val="105C84"/>
          <w:spacing w:val="12"/>
        </w:rPr>
        <w:t> </w:t>
      </w:r>
      <w:r>
        <w:rPr>
          <w:color w:val="105C84"/>
        </w:rPr>
        <w:t>undocumented</w:t>
      </w:r>
      <w:r>
        <w:rPr>
          <w:color w:val="105C84"/>
          <w:spacing w:val="11"/>
        </w:rPr>
        <w:t> </w:t>
      </w:r>
      <w:r>
        <w:rPr>
          <w:color w:val="105C84"/>
        </w:rPr>
        <w:t>administrations</w:t>
      </w:r>
      <w:r>
        <w:rPr>
          <w:color w:val="105C84"/>
          <w:spacing w:val="12"/>
        </w:rPr>
        <w:t> </w:t>
      </w:r>
      <w:r>
        <w:rPr>
          <w:color w:val="105C84"/>
        </w:rPr>
        <w:t>by</w:t>
      </w:r>
      <w:r>
        <w:rPr>
          <w:color w:val="105C84"/>
          <w:spacing w:val="11"/>
        </w:rPr>
        <w:t> </w:t>
      </w:r>
      <w:r>
        <w:rPr>
          <w:color w:val="105C84"/>
        </w:rPr>
        <w:t>family,</w:t>
      </w:r>
      <w:r>
        <w:rPr>
          <w:color w:val="105C84"/>
          <w:spacing w:val="11"/>
        </w:rPr>
        <w:t> </w:t>
      </w:r>
      <w:r>
        <w:rPr>
          <w:color w:val="105C84"/>
        </w:rPr>
        <w:t>friends</w:t>
      </w:r>
      <w:r>
        <w:rPr>
          <w:color w:val="105C84"/>
          <w:spacing w:val="12"/>
        </w:rPr>
        <w:t> </w:t>
      </w:r>
      <w:r>
        <w:rPr>
          <w:color w:val="105C84"/>
        </w:rPr>
        <w:t>or</w:t>
      </w:r>
      <w:r>
        <w:rPr>
          <w:color w:val="105C84"/>
          <w:spacing w:val="11"/>
        </w:rPr>
        <w:t> </w:t>
      </w:r>
      <w:r>
        <w:rPr>
          <w:color w:val="105C84"/>
          <w:spacing w:val="-2"/>
        </w:rPr>
        <w:t>bystanders.</w:t>
      </w:r>
    </w:p>
    <w:p>
      <w:pPr>
        <w:pStyle w:val="BodyText"/>
        <w:spacing w:line="247" w:lineRule="auto" w:before="113"/>
        <w:ind w:left="1094" w:right="559"/>
        <w:rPr>
          <w:position w:val="7"/>
          <w:sz w:val="13"/>
        </w:rPr>
      </w:pPr>
      <w:r>
        <w:rPr/>
        <w:br w:type="column"/>
      </w:r>
      <w:r>
        <w:rPr>
          <w:color w:val="105C84"/>
        </w:rPr>
        <w:t>In addition, clients admitted to OASAS-certified chemical dependence treatment programs have</w:t>
      </w:r>
      <w:r>
        <w:rPr>
          <w:color w:val="105C84"/>
          <w:spacing w:val="80"/>
        </w:rPr>
        <w:t> </w:t>
      </w:r>
      <w:r>
        <w:rPr>
          <w:color w:val="105C84"/>
        </w:rPr>
        <w:t>increased in Steuben County from 2016 (N=418) to 2017 (N=477). The increased support from these programs</w:t>
      </w:r>
      <w:r>
        <w:rPr>
          <w:color w:val="105C84"/>
          <w:spacing w:val="28"/>
        </w:rPr>
        <w:t> </w:t>
      </w:r>
      <w:r>
        <w:rPr>
          <w:color w:val="105C84"/>
        </w:rPr>
        <w:t>is</w:t>
      </w:r>
      <w:r>
        <w:rPr>
          <w:color w:val="105C84"/>
          <w:spacing w:val="28"/>
        </w:rPr>
        <w:t> </w:t>
      </w:r>
      <w:r>
        <w:rPr>
          <w:color w:val="105C84"/>
        </w:rPr>
        <w:t>likely</w:t>
      </w:r>
      <w:r>
        <w:rPr>
          <w:color w:val="105C84"/>
          <w:spacing w:val="28"/>
        </w:rPr>
        <w:t> </w:t>
      </w:r>
      <w:r>
        <w:rPr>
          <w:color w:val="105C84"/>
        </w:rPr>
        <w:t>helpful</w:t>
      </w:r>
      <w:r>
        <w:rPr>
          <w:color w:val="105C84"/>
          <w:spacing w:val="28"/>
        </w:rPr>
        <w:t> </w:t>
      </w:r>
      <w:r>
        <w:rPr>
          <w:color w:val="105C84"/>
        </w:rPr>
        <w:t>in</w:t>
      </w:r>
      <w:r>
        <w:rPr>
          <w:color w:val="105C84"/>
          <w:spacing w:val="28"/>
        </w:rPr>
        <w:t> </w:t>
      </w:r>
      <w:r>
        <w:rPr>
          <w:color w:val="105C84"/>
        </w:rPr>
        <w:t>contributing</w:t>
      </w:r>
      <w:r>
        <w:rPr>
          <w:color w:val="105C84"/>
          <w:spacing w:val="28"/>
        </w:rPr>
        <w:t> </w:t>
      </w:r>
      <w:r>
        <w:rPr>
          <w:color w:val="105C84"/>
        </w:rPr>
        <w:t>to</w:t>
      </w:r>
      <w:r>
        <w:rPr>
          <w:color w:val="105C84"/>
          <w:spacing w:val="28"/>
        </w:rPr>
        <w:t> </w:t>
      </w:r>
      <w:r>
        <w:rPr>
          <w:color w:val="105C84"/>
        </w:rPr>
        <w:t>the</w:t>
      </w:r>
      <w:r>
        <w:rPr>
          <w:color w:val="105C84"/>
          <w:spacing w:val="28"/>
        </w:rPr>
        <w:t> </w:t>
      </w:r>
      <w:r>
        <w:rPr>
          <w:color w:val="105C84"/>
        </w:rPr>
        <w:t>lower</w:t>
      </w:r>
      <w:r>
        <w:rPr>
          <w:color w:val="105C84"/>
          <w:spacing w:val="28"/>
        </w:rPr>
        <w:t> </w:t>
      </w:r>
      <w:r>
        <w:rPr>
          <w:color w:val="105C84"/>
        </w:rPr>
        <w:t>number</w:t>
      </w:r>
      <w:r>
        <w:rPr>
          <w:color w:val="105C84"/>
          <w:spacing w:val="28"/>
        </w:rPr>
        <w:t> </w:t>
      </w:r>
      <w:r>
        <w:rPr>
          <w:color w:val="105C84"/>
        </w:rPr>
        <w:t>of</w:t>
      </w:r>
      <w:r>
        <w:rPr>
          <w:color w:val="105C84"/>
          <w:spacing w:val="28"/>
        </w:rPr>
        <w:t> </w:t>
      </w:r>
      <w:r>
        <w:rPr>
          <w:color w:val="105C84"/>
        </w:rPr>
        <w:t>deaths</w:t>
      </w:r>
      <w:r>
        <w:rPr>
          <w:color w:val="105C84"/>
          <w:spacing w:val="28"/>
        </w:rPr>
        <w:t> </w:t>
      </w:r>
      <w:r>
        <w:rPr>
          <w:color w:val="105C84"/>
        </w:rPr>
        <w:t>related</w:t>
      </w:r>
      <w:r>
        <w:rPr>
          <w:color w:val="105C84"/>
          <w:spacing w:val="28"/>
        </w:rPr>
        <w:t> </w:t>
      </w:r>
      <w:r>
        <w:rPr>
          <w:color w:val="105C84"/>
        </w:rPr>
        <w:t>to</w:t>
      </w:r>
      <w:r>
        <w:rPr>
          <w:color w:val="105C84"/>
          <w:spacing w:val="28"/>
        </w:rPr>
        <w:t> </w:t>
      </w:r>
      <w:r>
        <w:rPr>
          <w:color w:val="105C84"/>
        </w:rPr>
        <w:t>opioids</w:t>
      </w:r>
      <w:r>
        <w:rPr>
          <w:color w:val="105C84"/>
          <w:spacing w:val="28"/>
        </w:rPr>
        <w:t> </w:t>
      </w:r>
      <w:r>
        <w:rPr>
          <w:color w:val="105C84"/>
        </w:rPr>
        <w:t>noted</w:t>
      </w:r>
      <w:r>
        <w:rPr>
          <w:color w:val="105C84"/>
          <w:spacing w:val="28"/>
        </w:rPr>
        <w:t> </w:t>
      </w:r>
      <w:r>
        <w:rPr>
          <w:color w:val="105C84"/>
        </w:rPr>
        <w:t>in </w:t>
      </w:r>
      <w:r>
        <w:rPr>
          <w:color w:val="105C84"/>
          <w:spacing w:val="-2"/>
        </w:rPr>
        <w:t>2017.</w:t>
      </w:r>
      <w:r>
        <w:rPr>
          <w:color w:val="105C84"/>
          <w:spacing w:val="-2"/>
          <w:position w:val="7"/>
          <w:sz w:val="13"/>
        </w:rPr>
        <w:t>40</w:t>
      </w:r>
    </w:p>
    <w:p>
      <w:pPr>
        <w:pStyle w:val="BodyText"/>
        <w:spacing w:line="247" w:lineRule="auto" w:before="178"/>
        <w:ind w:left="1094" w:right="484"/>
      </w:pPr>
      <w:r>
        <w:rPr>
          <w:color w:val="105C84"/>
        </w:rPr>
        <w:t>Several efforts have taken place focused on youth prevention in the county. The Steuben Prevention Coalition also holds a youth summit each year to engage student leaders in discussions around drugs and alcohol and how to reduce youth use. Youth Drug Court recently started in Hornell, and a new office</w:t>
      </w:r>
      <w:r>
        <w:rPr>
          <w:color w:val="105C84"/>
          <w:spacing w:val="28"/>
        </w:rPr>
        <w:t> </w:t>
      </w:r>
      <w:r>
        <w:rPr>
          <w:color w:val="105C84"/>
        </w:rPr>
        <w:t>for</w:t>
      </w:r>
      <w:r>
        <w:rPr>
          <w:color w:val="105C84"/>
          <w:spacing w:val="28"/>
        </w:rPr>
        <w:t> </w:t>
      </w:r>
      <w:r>
        <w:rPr>
          <w:color w:val="105C84"/>
        </w:rPr>
        <w:t>youth</w:t>
      </w:r>
      <w:r>
        <w:rPr>
          <w:color w:val="105C84"/>
          <w:spacing w:val="28"/>
        </w:rPr>
        <w:t> </w:t>
      </w:r>
      <w:r>
        <w:rPr>
          <w:color w:val="105C84"/>
        </w:rPr>
        <w:t>counseling</w:t>
      </w:r>
      <w:r>
        <w:rPr>
          <w:color w:val="105C84"/>
          <w:spacing w:val="28"/>
        </w:rPr>
        <w:t> </w:t>
      </w:r>
      <w:r>
        <w:rPr>
          <w:color w:val="105C84"/>
        </w:rPr>
        <w:t>will</w:t>
      </w:r>
      <w:r>
        <w:rPr>
          <w:color w:val="105C84"/>
          <w:spacing w:val="28"/>
        </w:rPr>
        <w:t> </w:t>
      </w:r>
      <w:r>
        <w:rPr>
          <w:color w:val="105C84"/>
        </w:rPr>
        <w:t>be</w:t>
      </w:r>
      <w:r>
        <w:rPr>
          <w:color w:val="105C84"/>
          <w:spacing w:val="28"/>
        </w:rPr>
        <w:t> </w:t>
      </w:r>
      <w:r>
        <w:rPr>
          <w:color w:val="105C84"/>
        </w:rPr>
        <w:t>opening</w:t>
      </w:r>
      <w:r>
        <w:rPr>
          <w:color w:val="105C84"/>
          <w:spacing w:val="28"/>
        </w:rPr>
        <w:t> </w:t>
      </w:r>
      <w:r>
        <w:rPr>
          <w:color w:val="105C84"/>
        </w:rPr>
        <w:t>on</w:t>
      </w:r>
      <w:r>
        <w:rPr>
          <w:color w:val="105C84"/>
          <w:spacing w:val="28"/>
        </w:rPr>
        <w:t> </w:t>
      </w:r>
      <w:r>
        <w:rPr>
          <w:color w:val="105C84"/>
        </w:rPr>
        <w:t>the</w:t>
      </w:r>
      <w:r>
        <w:rPr>
          <w:color w:val="105C84"/>
          <w:spacing w:val="28"/>
        </w:rPr>
        <w:t> </w:t>
      </w:r>
      <w:r>
        <w:rPr>
          <w:color w:val="105C84"/>
        </w:rPr>
        <w:t>Ira</w:t>
      </w:r>
      <w:r>
        <w:rPr>
          <w:color w:val="105C84"/>
          <w:spacing w:val="28"/>
        </w:rPr>
        <w:t> </w:t>
      </w:r>
      <w:r>
        <w:rPr>
          <w:color w:val="105C84"/>
        </w:rPr>
        <w:t>Davenport</w:t>
      </w:r>
      <w:r>
        <w:rPr>
          <w:color w:val="105C84"/>
          <w:spacing w:val="28"/>
        </w:rPr>
        <w:t> </w:t>
      </w:r>
      <w:r>
        <w:rPr>
          <w:color w:val="105C84"/>
        </w:rPr>
        <w:t>campus</w:t>
      </w:r>
      <w:r>
        <w:rPr>
          <w:color w:val="105C84"/>
          <w:spacing w:val="28"/>
        </w:rPr>
        <w:t> </w:t>
      </w:r>
      <w:r>
        <w:rPr>
          <w:color w:val="105C84"/>
        </w:rPr>
        <w:t>in</w:t>
      </w:r>
      <w:r>
        <w:rPr>
          <w:color w:val="105C84"/>
          <w:spacing w:val="28"/>
        </w:rPr>
        <w:t> </w:t>
      </w:r>
      <w:r>
        <w:rPr>
          <w:color w:val="105C84"/>
        </w:rPr>
        <w:t>the</w:t>
      </w:r>
      <w:r>
        <w:rPr>
          <w:color w:val="105C84"/>
          <w:spacing w:val="28"/>
        </w:rPr>
        <w:t> </w:t>
      </w:r>
      <w:r>
        <w:rPr>
          <w:color w:val="105C84"/>
        </w:rPr>
        <w:t>fall.</w:t>
      </w:r>
    </w:p>
    <w:p>
      <w:pPr>
        <w:pStyle w:val="BodyText"/>
        <w:spacing w:line="247" w:lineRule="auto" w:before="178"/>
        <w:ind w:left="1094" w:right="559"/>
      </w:pPr>
      <w:r>
        <w:rPr>
          <w:color w:val="105C84"/>
        </w:rPr>
        <w:t>Corning-Painted Post School District has implemented programming to educate students on various</w:t>
      </w:r>
      <w:r>
        <w:rPr>
          <w:color w:val="105C84"/>
          <w:spacing w:val="40"/>
          <w:w w:val="105"/>
        </w:rPr>
        <w:t> </w:t>
      </w:r>
      <w:r>
        <w:rPr>
          <w:color w:val="105C84"/>
          <w:w w:val="105"/>
        </w:rPr>
        <w:t>health</w:t>
      </w:r>
      <w:r>
        <w:rPr>
          <w:color w:val="105C84"/>
          <w:spacing w:val="-4"/>
          <w:w w:val="105"/>
        </w:rPr>
        <w:t> </w:t>
      </w:r>
      <w:r>
        <w:rPr>
          <w:color w:val="105C84"/>
          <w:w w:val="105"/>
        </w:rPr>
        <w:t>topics</w:t>
      </w:r>
      <w:r>
        <w:rPr>
          <w:color w:val="105C84"/>
          <w:spacing w:val="-4"/>
          <w:w w:val="105"/>
        </w:rPr>
        <w:t> </w:t>
      </w:r>
      <w:r>
        <w:rPr>
          <w:color w:val="105C84"/>
          <w:w w:val="105"/>
        </w:rPr>
        <w:t>during</w:t>
      </w:r>
      <w:r>
        <w:rPr>
          <w:color w:val="105C84"/>
          <w:spacing w:val="-4"/>
          <w:w w:val="105"/>
        </w:rPr>
        <w:t> </w:t>
      </w:r>
      <w:r>
        <w:rPr>
          <w:color w:val="105C84"/>
          <w:w w:val="105"/>
        </w:rPr>
        <w:t>the</w:t>
      </w:r>
      <w:r>
        <w:rPr>
          <w:color w:val="105C84"/>
          <w:spacing w:val="-4"/>
          <w:w w:val="105"/>
        </w:rPr>
        <w:t> </w:t>
      </w:r>
      <w:r>
        <w:rPr>
          <w:color w:val="105C84"/>
          <w:w w:val="105"/>
        </w:rPr>
        <w:t>school</w:t>
      </w:r>
      <w:r>
        <w:rPr>
          <w:color w:val="105C84"/>
          <w:spacing w:val="-4"/>
          <w:w w:val="105"/>
        </w:rPr>
        <w:t> </w:t>
      </w:r>
      <w:r>
        <w:rPr>
          <w:color w:val="105C84"/>
          <w:w w:val="105"/>
        </w:rPr>
        <w:t>day</w:t>
      </w:r>
      <w:r>
        <w:rPr>
          <w:color w:val="105C84"/>
          <w:spacing w:val="-4"/>
          <w:w w:val="105"/>
        </w:rPr>
        <w:t> </w:t>
      </w:r>
      <w:r>
        <w:rPr>
          <w:color w:val="105C84"/>
          <w:w w:val="105"/>
        </w:rPr>
        <w:t>and</w:t>
      </w:r>
      <w:r>
        <w:rPr>
          <w:color w:val="105C84"/>
          <w:spacing w:val="-4"/>
          <w:w w:val="105"/>
        </w:rPr>
        <w:t> </w:t>
      </w:r>
      <w:r>
        <w:rPr>
          <w:color w:val="105C84"/>
          <w:w w:val="105"/>
        </w:rPr>
        <w:t>then</w:t>
      </w:r>
      <w:r>
        <w:rPr>
          <w:color w:val="105C84"/>
          <w:spacing w:val="-4"/>
          <w:w w:val="105"/>
        </w:rPr>
        <w:t> </w:t>
      </w:r>
      <w:r>
        <w:rPr>
          <w:color w:val="105C84"/>
          <w:w w:val="105"/>
        </w:rPr>
        <w:t>expands</w:t>
      </w:r>
      <w:r>
        <w:rPr>
          <w:color w:val="105C84"/>
          <w:spacing w:val="-4"/>
          <w:w w:val="105"/>
        </w:rPr>
        <w:t> </w:t>
      </w:r>
      <w:r>
        <w:rPr>
          <w:color w:val="105C84"/>
          <w:w w:val="105"/>
        </w:rPr>
        <w:t>that</w:t>
      </w:r>
      <w:r>
        <w:rPr>
          <w:color w:val="105C84"/>
          <w:spacing w:val="-4"/>
          <w:w w:val="105"/>
        </w:rPr>
        <w:t> </w:t>
      </w:r>
      <w:r>
        <w:rPr>
          <w:color w:val="105C84"/>
          <w:w w:val="105"/>
        </w:rPr>
        <w:t>same</w:t>
      </w:r>
      <w:r>
        <w:rPr>
          <w:color w:val="105C84"/>
          <w:spacing w:val="-4"/>
          <w:w w:val="105"/>
        </w:rPr>
        <w:t> </w:t>
      </w:r>
      <w:r>
        <w:rPr>
          <w:color w:val="105C84"/>
          <w:w w:val="105"/>
        </w:rPr>
        <w:t>education</w:t>
      </w:r>
      <w:r>
        <w:rPr>
          <w:color w:val="105C84"/>
          <w:spacing w:val="-4"/>
          <w:w w:val="105"/>
        </w:rPr>
        <w:t> </w:t>
      </w:r>
      <w:r>
        <w:rPr>
          <w:color w:val="105C84"/>
          <w:w w:val="105"/>
        </w:rPr>
        <w:t>to</w:t>
      </w:r>
      <w:r>
        <w:rPr>
          <w:color w:val="105C84"/>
          <w:spacing w:val="-4"/>
          <w:w w:val="105"/>
        </w:rPr>
        <w:t> </w:t>
      </w:r>
      <w:r>
        <w:rPr>
          <w:color w:val="105C84"/>
          <w:w w:val="105"/>
        </w:rPr>
        <w:t>parents</w:t>
      </w:r>
      <w:r>
        <w:rPr>
          <w:color w:val="105C84"/>
          <w:spacing w:val="-4"/>
          <w:w w:val="105"/>
        </w:rPr>
        <w:t> </w:t>
      </w:r>
      <w:r>
        <w:rPr>
          <w:color w:val="105C84"/>
          <w:w w:val="105"/>
        </w:rPr>
        <w:t>and</w:t>
      </w:r>
      <w:r>
        <w:rPr>
          <w:color w:val="105C84"/>
          <w:spacing w:val="-4"/>
          <w:w w:val="105"/>
        </w:rPr>
        <w:t> </w:t>
      </w:r>
      <w:r>
        <w:rPr>
          <w:color w:val="105C84"/>
          <w:w w:val="105"/>
        </w:rPr>
        <w:t>the </w:t>
      </w:r>
      <w:r>
        <w:rPr>
          <w:color w:val="105C84"/>
        </w:rPr>
        <w:t>community in the evening throughout the school year. Topics have included teen mental health, teen</w:t>
      </w:r>
      <w:r>
        <w:rPr>
          <w:color w:val="105C84"/>
          <w:spacing w:val="40"/>
          <w:w w:val="105"/>
        </w:rPr>
        <w:t> </w:t>
      </w:r>
      <w:r>
        <w:rPr>
          <w:color w:val="105C84"/>
          <w:w w:val="105"/>
        </w:rPr>
        <w:t>suicide,</w:t>
      </w:r>
      <w:r>
        <w:rPr>
          <w:color w:val="105C84"/>
          <w:spacing w:val="-6"/>
          <w:w w:val="105"/>
        </w:rPr>
        <w:t> </w:t>
      </w:r>
      <w:r>
        <w:rPr>
          <w:color w:val="105C84"/>
          <w:w w:val="105"/>
        </w:rPr>
        <w:t>and</w:t>
      </w:r>
      <w:r>
        <w:rPr>
          <w:color w:val="105C84"/>
          <w:spacing w:val="-6"/>
          <w:w w:val="105"/>
        </w:rPr>
        <w:t> </w:t>
      </w:r>
      <w:r>
        <w:rPr>
          <w:color w:val="105C84"/>
          <w:w w:val="105"/>
        </w:rPr>
        <w:t>vaping</w:t>
      </w:r>
      <w:r>
        <w:rPr>
          <w:color w:val="105C84"/>
          <w:spacing w:val="-6"/>
          <w:w w:val="105"/>
        </w:rPr>
        <w:t> </w:t>
      </w:r>
      <w:r>
        <w:rPr>
          <w:color w:val="105C84"/>
          <w:w w:val="105"/>
        </w:rPr>
        <w:t>among</w:t>
      </w:r>
      <w:r>
        <w:rPr>
          <w:color w:val="105C84"/>
          <w:spacing w:val="-6"/>
          <w:w w:val="105"/>
        </w:rPr>
        <w:t> </w:t>
      </w:r>
      <w:r>
        <w:rPr>
          <w:color w:val="105C84"/>
          <w:w w:val="105"/>
        </w:rPr>
        <w:t>others.</w:t>
      </w:r>
      <w:r>
        <w:rPr>
          <w:color w:val="105C84"/>
          <w:spacing w:val="-6"/>
          <w:w w:val="105"/>
        </w:rPr>
        <w:t> </w:t>
      </w:r>
      <w:r>
        <w:rPr>
          <w:color w:val="105C84"/>
          <w:w w:val="105"/>
        </w:rPr>
        <w:t>The</w:t>
      </w:r>
      <w:r>
        <w:rPr>
          <w:color w:val="105C84"/>
          <w:spacing w:val="-6"/>
          <w:w w:val="105"/>
        </w:rPr>
        <w:t> </w:t>
      </w:r>
      <w:r>
        <w:rPr>
          <w:color w:val="105C84"/>
          <w:w w:val="105"/>
        </w:rPr>
        <w:t>former</w:t>
      </w:r>
      <w:r>
        <w:rPr>
          <w:color w:val="105C84"/>
          <w:spacing w:val="-6"/>
          <w:w w:val="105"/>
        </w:rPr>
        <w:t> </w:t>
      </w:r>
      <w:r>
        <w:rPr>
          <w:color w:val="105C84"/>
          <w:w w:val="105"/>
        </w:rPr>
        <w:t>principal</w:t>
      </w:r>
      <w:r>
        <w:rPr>
          <w:color w:val="105C84"/>
          <w:spacing w:val="-6"/>
          <w:w w:val="105"/>
        </w:rPr>
        <w:t> </w:t>
      </w:r>
      <w:r>
        <w:rPr>
          <w:color w:val="105C84"/>
          <w:w w:val="105"/>
        </w:rPr>
        <w:t>of</w:t>
      </w:r>
      <w:r>
        <w:rPr>
          <w:color w:val="105C84"/>
          <w:spacing w:val="-6"/>
          <w:w w:val="105"/>
        </w:rPr>
        <w:t> </w:t>
      </w:r>
      <w:r>
        <w:rPr>
          <w:color w:val="105C84"/>
          <w:w w:val="105"/>
        </w:rPr>
        <w:t>Columbine</w:t>
      </w:r>
      <w:r>
        <w:rPr>
          <w:color w:val="105C84"/>
          <w:spacing w:val="-6"/>
          <w:w w:val="105"/>
        </w:rPr>
        <w:t> </w:t>
      </w:r>
      <w:r>
        <w:rPr>
          <w:color w:val="105C84"/>
          <w:w w:val="105"/>
        </w:rPr>
        <w:t>even</w:t>
      </w:r>
      <w:r>
        <w:rPr>
          <w:color w:val="105C84"/>
          <w:spacing w:val="-6"/>
          <w:w w:val="105"/>
        </w:rPr>
        <w:t> </w:t>
      </w:r>
      <w:r>
        <w:rPr>
          <w:color w:val="105C84"/>
          <w:w w:val="105"/>
        </w:rPr>
        <w:t>came</w:t>
      </w:r>
      <w:r>
        <w:rPr>
          <w:color w:val="105C84"/>
          <w:spacing w:val="-6"/>
          <w:w w:val="105"/>
        </w:rPr>
        <w:t> </w:t>
      </w:r>
      <w:r>
        <w:rPr>
          <w:color w:val="105C84"/>
          <w:w w:val="105"/>
        </w:rPr>
        <w:t>to</w:t>
      </w:r>
      <w:r>
        <w:rPr>
          <w:color w:val="105C84"/>
          <w:spacing w:val="-6"/>
          <w:w w:val="105"/>
        </w:rPr>
        <w:t> </w:t>
      </w:r>
      <w:r>
        <w:rPr>
          <w:color w:val="105C84"/>
          <w:w w:val="105"/>
        </w:rPr>
        <w:t>speak</w:t>
      </w:r>
      <w:r>
        <w:rPr>
          <w:color w:val="105C84"/>
          <w:spacing w:val="-6"/>
          <w:w w:val="105"/>
        </w:rPr>
        <w:t> </w:t>
      </w:r>
      <w:r>
        <w:rPr>
          <w:color w:val="105C84"/>
          <w:w w:val="105"/>
        </w:rPr>
        <w:t>at</w:t>
      </w:r>
      <w:r>
        <w:rPr>
          <w:color w:val="105C84"/>
          <w:spacing w:val="-6"/>
          <w:w w:val="105"/>
        </w:rPr>
        <w:t> </w:t>
      </w:r>
      <w:r>
        <w:rPr>
          <w:color w:val="105C84"/>
          <w:w w:val="105"/>
        </w:rPr>
        <w:t>one </w:t>
      </w:r>
      <w:r>
        <w:rPr>
          <w:color w:val="105C84"/>
          <w:spacing w:val="-2"/>
          <w:w w:val="105"/>
        </w:rPr>
        <w:t>forum.</w:t>
      </w:r>
    </w:p>
    <w:p>
      <w:pPr>
        <w:pStyle w:val="BodyText"/>
        <w:spacing w:line="247" w:lineRule="auto" w:before="177"/>
        <w:ind w:left="1094" w:right="484"/>
      </w:pPr>
      <w:r>
        <w:rPr>
          <w:color w:val="105C84"/>
        </w:rPr>
        <w:t>Finally,</w:t>
      </w:r>
      <w:r>
        <w:rPr>
          <w:color w:val="105C84"/>
          <w:spacing w:val="35"/>
        </w:rPr>
        <w:t> </w:t>
      </w:r>
      <w:r>
        <w:rPr>
          <w:color w:val="105C84"/>
        </w:rPr>
        <w:t>transportation</w:t>
      </w:r>
      <w:r>
        <w:rPr>
          <w:color w:val="105C84"/>
          <w:spacing w:val="35"/>
        </w:rPr>
        <w:t> </w:t>
      </w:r>
      <w:r>
        <w:rPr>
          <w:color w:val="105C84"/>
        </w:rPr>
        <w:t>poses</w:t>
      </w:r>
      <w:r>
        <w:rPr>
          <w:color w:val="105C84"/>
          <w:spacing w:val="35"/>
        </w:rPr>
        <w:t> </w:t>
      </w:r>
      <w:r>
        <w:rPr>
          <w:color w:val="105C84"/>
        </w:rPr>
        <w:t>a</w:t>
      </w:r>
      <w:r>
        <w:rPr>
          <w:color w:val="105C84"/>
          <w:spacing w:val="35"/>
        </w:rPr>
        <w:t> </w:t>
      </w:r>
      <w:r>
        <w:rPr>
          <w:color w:val="105C84"/>
        </w:rPr>
        <w:t>problem</w:t>
      </w:r>
      <w:r>
        <w:rPr>
          <w:color w:val="105C84"/>
          <w:spacing w:val="35"/>
        </w:rPr>
        <w:t> </w:t>
      </w:r>
      <w:r>
        <w:rPr>
          <w:color w:val="105C84"/>
        </w:rPr>
        <w:t>in</w:t>
      </w:r>
      <w:r>
        <w:rPr>
          <w:color w:val="105C84"/>
          <w:spacing w:val="35"/>
        </w:rPr>
        <w:t> </w:t>
      </w:r>
      <w:r>
        <w:rPr>
          <w:color w:val="105C84"/>
        </w:rPr>
        <w:t>Steuben</w:t>
      </w:r>
      <w:r>
        <w:rPr>
          <w:color w:val="105C84"/>
          <w:spacing w:val="35"/>
        </w:rPr>
        <w:t> </w:t>
      </w:r>
      <w:r>
        <w:rPr>
          <w:color w:val="105C84"/>
        </w:rPr>
        <w:t>County.</w:t>
      </w:r>
      <w:r>
        <w:rPr>
          <w:color w:val="105C84"/>
          <w:spacing w:val="35"/>
        </w:rPr>
        <w:t> </w:t>
      </w:r>
      <w:r>
        <w:rPr>
          <w:color w:val="105C84"/>
        </w:rPr>
        <w:t>Limited</w:t>
      </w:r>
      <w:r>
        <w:rPr>
          <w:color w:val="105C84"/>
          <w:spacing w:val="35"/>
        </w:rPr>
        <w:t> </w:t>
      </w:r>
      <w:r>
        <w:rPr>
          <w:color w:val="105C84"/>
        </w:rPr>
        <w:t>public</w:t>
      </w:r>
      <w:r>
        <w:rPr>
          <w:color w:val="105C84"/>
          <w:spacing w:val="35"/>
        </w:rPr>
        <w:t> </w:t>
      </w:r>
      <w:r>
        <w:rPr>
          <w:color w:val="105C84"/>
        </w:rPr>
        <w:t>transportation</w:t>
      </w:r>
      <w:r>
        <w:rPr>
          <w:color w:val="105C84"/>
          <w:spacing w:val="35"/>
        </w:rPr>
        <w:t> </w:t>
      </w:r>
      <w:r>
        <w:rPr>
          <w:color w:val="105C84"/>
        </w:rPr>
        <w:t>or</w:t>
      </w:r>
      <w:r>
        <w:rPr>
          <w:color w:val="105C84"/>
          <w:spacing w:val="35"/>
        </w:rPr>
        <w:t> </w:t>
      </w:r>
      <w:r>
        <w:rPr>
          <w:color w:val="105C84"/>
        </w:rPr>
        <w:t>odd</w:t>
      </w:r>
      <w:r>
        <w:rPr>
          <w:color w:val="105C84"/>
        </w:rPr>
        <w:t> bus scheduling makes it difficult for residents without access to a personal vehicle to traverse the county.</w:t>
      </w:r>
      <w:r>
        <w:rPr>
          <w:color w:val="105C84"/>
          <w:spacing w:val="20"/>
        </w:rPr>
        <w:t> </w:t>
      </w:r>
      <w:r>
        <w:rPr>
          <w:color w:val="105C84"/>
        </w:rPr>
        <w:t>Head</w:t>
      </w:r>
      <w:r>
        <w:rPr>
          <w:color w:val="105C84"/>
          <w:spacing w:val="20"/>
        </w:rPr>
        <w:t> </w:t>
      </w:r>
      <w:r>
        <w:rPr>
          <w:color w:val="105C84"/>
        </w:rPr>
        <w:t>Start</w:t>
      </w:r>
      <w:r>
        <w:rPr>
          <w:color w:val="105C84"/>
          <w:spacing w:val="20"/>
        </w:rPr>
        <w:t> </w:t>
      </w:r>
      <w:r>
        <w:rPr>
          <w:color w:val="105C84"/>
        </w:rPr>
        <w:t>and</w:t>
      </w:r>
      <w:r>
        <w:rPr>
          <w:color w:val="105C84"/>
          <w:spacing w:val="20"/>
        </w:rPr>
        <w:t> </w:t>
      </w:r>
      <w:r>
        <w:rPr>
          <w:color w:val="105C84"/>
        </w:rPr>
        <w:t>Early</w:t>
      </w:r>
      <w:r>
        <w:rPr>
          <w:color w:val="105C84"/>
          <w:spacing w:val="20"/>
        </w:rPr>
        <w:t> </w:t>
      </w:r>
      <w:r>
        <w:rPr>
          <w:color w:val="105C84"/>
        </w:rPr>
        <w:t>Head</w:t>
      </w:r>
      <w:r>
        <w:rPr>
          <w:color w:val="105C84"/>
          <w:spacing w:val="20"/>
        </w:rPr>
        <w:t> </w:t>
      </w:r>
      <w:r>
        <w:rPr>
          <w:color w:val="105C84"/>
        </w:rPr>
        <w:t>Start</w:t>
      </w:r>
      <w:r>
        <w:rPr>
          <w:color w:val="105C84"/>
          <w:spacing w:val="20"/>
        </w:rPr>
        <w:t> </w:t>
      </w:r>
      <w:r>
        <w:rPr>
          <w:color w:val="105C84"/>
        </w:rPr>
        <w:t>families</w:t>
      </w:r>
      <w:r>
        <w:rPr>
          <w:color w:val="105C84"/>
          <w:spacing w:val="20"/>
        </w:rPr>
        <w:t> </w:t>
      </w:r>
      <w:r>
        <w:rPr>
          <w:color w:val="105C84"/>
        </w:rPr>
        <w:t>noted</w:t>
      </w:r>
      <w:r>
        <w:rPr>
          <w:color w:val="105C84"/>
          <w:spacing w:val="20"/>
        </w:rPr>
        <w:t> </w:t>
      </w:r>
      <w:r>
        <w:rPr>
          <w:color w:val="105C84"/>
        </w:rPr>
        <w:t>that</w:t>
      </w:r>
      <w:r>
        <w:rPr>
          <w:color w:val="105C84"/>
          <w:spacing w:val="20"/>
        </w:rPr>
        <w:t> </w:t>
      </w:r>
      <w:r>
        <w:rPr>
          <w:color w:val="105C84"/>
        </w:rPr>
        <w:t>the</w:t>
      </w:r>
      <w:r>
        <w:rPr>
          <w:color w:val="105C84"/>
          <w:spacing w:val="20"/>
        </w:rPr>
        <w:t> </w:t>
      </w:r>
      <w:r>
        <w:rPr>
          <w:color w:val="105C84"/>
        </w:rPr>
        <w:t>distance</w:t>
      </w:r>
      <w:r>
        <w:rPr>
          <w:color w:val="105C84"/>
          <w:spacing w:val="20"/>
        </w:rPr>
        <w:t> </w:t>
      </w:r>
      <w:r>
        <w:rPr>
          <w:color w:val="105C84"/>
        </w:rPr>
        <w:t>between</w:t>
      </w:r>
      <w:r>
        <w:rPr>
          <w:color w:val="105C84"/>
          <w:spacing w:val="20"/>
        </w:rPr>
        <w:t> </w:t>
      </w:r>
      <w:r>
        <w:rPr>
          <w:color w:val="105C84"/>
        </w:rPr>
        <w:t>resources</w:t>
      </w:r>
      <w:r>
        <w:rPr>
          <w:color w:val="105C84"/>
          <w:spacing w:val="20"/>
        </w:rPr>
        <w:t> </w:t>
      </w:r>
      <w:r>
        <w:rPr>
          <w:color w:val="105C84"/>
        </w:rPr>
        <w:t>and lack of transportation prevents families from getting to doctors’ offices on a regular basis for routine</w:t>
      </w:r>
      <w:r>
        <w:rPr>
          <w:color w:val="105C84"/>
          <w:spacing w:val="80"/>
        </w:rPr>
        <w:t> </w:t>
      </w:r>
      <w:r>
        <w:rPr>
          <w:color w:val="105C84"/>
        </w:rPr>
        <w:t>exams.</w:t>
      </w:r>
      <w:r>
        <w:rPr>
          <w:color w:val="105C84"/>
          <w:spacing w:val="19"/>
        </w:rPr>
        <w:t> </w:t>
      </w:r>
      <w:r>
        <w:rPr>
          <w:color w:val="105C84"/>
        </w:rPr>
        <w:t>Additionally,</w:t>
      </w:r>
      <w:r>
        <w:rPr>
          <w:color w:val="105C84"/>
          <w:spacing w:val="19"/>
        </w:rPr>
        <w:t> </w:t>
      </w:r>
      <w:r>
        <w:rPr>
          <w:color w:val="105C84"/>
        </w:rPr>
        <w:t>there</w:t>
      </w:r>
      <w:r>
        <w:rPr>
          <w:color w:val="105C84"/>
          <w:spacing w:val="19"/>
        </w:rPr>
        <w:t> </w:t>
      </w:r>
      <w:r>
        <w:rPr>
          <w:color w:val="105C84"/>
        </w:rPr>
        <w:t>is</w:t>
      </w:r>
      <w:r>
        <w:rPr>
          <w:color w:val="105C84"/>
          <w:spacing w:val="19"/>
        </w:rPr>
        <w:t> </w:t>
      </w:r>
      <w:r>
        <w:rPr>
          <w:color w:val="105C84"/>
        </w:rPr>
        <w:t>a</w:t>
      </w:r>
      <w:r>
        <w:rPr>
          <w:color w:val="105C84"/>
          <w:spacing w:val="19"/>
        </w:rPr>
        <w:t> </w:t>
      </w:r>
      <w:r>
        <w:rPr>
          <w:color w:val="105C84"/>
        </w:rPr>
        <w:t>very</w:t>
      </w:r>
      <w:r>
        <w:rPr>
          <w:color w:val="105C84"/>
          <w:spacing w:val="19"/>
        </w:rPr>
        <w:t> </w:t>
      </w:r>
      <w:r>
        <w:rPr>
          <w:color w:val="105C84"/>
        </w:rPr>
        <w:t>limited</w:t>
      </w:r>
      <w:r>
        <w:rPr>
          <w:color w:val="105C84"/>
          <w:spacing w:val="19"/>
        </w:rPr>
        <w:t> </w:t>
      </w:r>
      <w:r>
        <w:rPr>
          <w:color w:val="105C84"/>
        </w:rPr>
        <w:t>number</w:t>
      </w:r>
      <w:r>
        <w:rPr>
          <w:color w:val="105C84"/>
          <w:spacing w:val="19"/>
        </w:rPr>
        <w:t> </w:t>
      </w:r>
      <w:r>
        <w:rPr>
          <w:color w:val="105C84"/>
        </w:rPr>
        <w:t>(2)</w:t>
      </w:r>
      <w:r>
        <w:rPr>
          <w:color w:val="105C84"/>
          <w:spacing w:val="19"/>
        </w:rPr>
        <w:t> </w:t>
      </w:r>
      <w:r>
        <w:rPr>
          <w:color w:val="105C84"/>
        </w:rPr>
        <w:t>of</w:t>
      </w:r>
      <w:r>
        <w:rPr>
          <w:color w:val="105C84"/>
          <w:spacing w:val="19"/>
        </w:rPr>
        <w:t> </w:t>
      </w:r>
      <w:r>
        <w:rPr>
          <w:color w:val="105C84"/>
        </w:rPr>
        <w:t>dental</w:t>
      </w:r>
      <w:r>
        <w:rPr>
          <w:color w:val="105C84"/>
          <w:spacing w:val="19"/>
        </w:rPr>
        <w:t> </w:t>
      </w:r>
      <w:r>
        <w:rPr>
          <w:color w:val="105C84"/>
        </w:rPr>
        <w:t>offices</w:t>
      </w:r>
      <w:r>
        <w:rPr>
          <w:color w:val="105C84"/>
          <w:spacing w:val="19"/>
        </w:rPr>
        <w:t> </w:t>
      </w:r>
      <w:r>
        <w:rPr>
          <w:color w:val="105C84"/>
        </w:rPr>
        <w:t>accepting</w:t>
      </w:r>
      <w:r>
        <w:rPr>
          <w:color w:val="105C84"/>
          <w:spacing w:val="19"/>
        </w:rPr>
        <w:t> </w:t>
      </w:r>
      <w:r>
        <w:rPr>
          <w:color w:val="105C84"/>
        </w:rPr>
        <w:t>Medicaid</w:t>
      </w:r>
      <w:r>
        <w:rPr>
          <w:color w:val="105C84"/>
          <w:spacing w:val="19"/>
        </w:rPr>
        <w:t> </w:t>
      </w:r>
      <w:r>
        <w:rPr>
          <w:color w:val="105C84"/>
        </w:rPr>
        <w:t>patients or</w:t>
      </w:r>
      <w:r>
        <w:rPr>
          <w:color w:val="105C84"/>
          <w:spacing w:val="34"/>
        </w:rPr>
        <w:t> </w:t>
      </w:r>
      <w:r>
        <w:rPr>
          <w:color w:val="105C84"/>
        </w:rPr>
        <w:t>pediatric</w:t>
      </w:r>
      <w:r>
        <w:rPr>
          <w:color w:val="105C84"/>
          <w:spacing w:val="34"/>
        </w:rPr>
        <w:t> </w:t>
      </w:r>
      <w:r>
        <w:rPr>
          <w:color w:val="105C84"/>
        </w:rPr>
        <w:t>Medicaid</w:t>
      </w:r>
      <w:r>
        <w:rPr>
          <w:color w:val="105C84"/>
          <w:spacing w:val="34"/>
        </w:rPr>
        <w:t> </w:t>
      </w:r>
      <w:r>
        <w:rPr>
          <w:color w:val="105C84"/>
        </w:rPr>
        <w:t>patients.</w:t>
      </w:r>
      <w:r>
        <w:rPr>
          <w:color w:val="105C84"/>
          <w:spacing w:val="34"/>
        </w:rPr>
        <w:t> </w:t>
      </w:r>
      <w:r>
        <w:rPr>
          <w:color w:val="105C84"/>
        </w:rPr>
        <w:t>For</w:t>
      </w:r>
      <w:r>
        <w:rPr>
          <w:color w:val="105C84"/>
          <w:spacing w:val="34"/>
        </w:rPr>
        <w:t> </w:t>
      </w:r>
      <w:r>
        <w:rPr>
          <w:color w:val="105C84"/>
        </w:rPr>
        <w:t>any</w:t>
      </w:r>
      <w:r>
        <w:rPr>
          <w:color w:val="105C84"/>
          <w:spacing w:val="34"/>
        </w:rPr>
        <w:t> </w:t>
      </w:r>
      <w:r>
        <w:rPr>
          <w:color w:val="105C84"/>
        </w:rPr>
        <w:t>extensive</w:t>
      </w:r>
      <w:r>
        <w:rPr>
          <w:color w:val="105C84"/>
          <w:spacing w:val="34"/>
        </w:rPr>
        <w:t> </w:t>
      </w:r>
      <w:r>
        <w:rPr>
          <w:color w:val="105C84"/>
        </w:rPr>
        <w:t>dental</w:t>
      </w:r>
      <w:r>
        <w:rPr>
          <w:color w:val="105C84"/>
          <w:spacing w:val="34"/>
        </w:rPr>
        <w:t> </w:t>
      </w:r>
      <w:r>
        <w:rPr>
          <w:color w:val="105C84"/>
        </w:rPr>
        <w:t>treatment,</w:t>
      </w:r>
      <w:r>
        <w:rPr>
          <w:color w:val="105C84"/>
          <w:spacing w:val="34"/>
        </w:rPr>
        <w:t> </w:t>
      </w:r>
      <w:r>
        <w:rPr>
          <w:color w:val="105C84"/>
        </w:rPr>
        <w:t>families</w:t>
      </w:r>
      <w:r>
        <w:rPr>
          <w:color w:val="105C84"/>
          <w:spacing w:val="34"/>
        </w:rPr>
        <w:t> </w:t>
      </w:r>
      <w:r>
        <w:rPr>
          <w:color w:val="105C84"/>
        </w:rPr>
        <w:t>get</w:t>
      </w:r>
      <w:r>
        <w:rPr>
          <w:color w:val="105C84"/>
          <w:spacing w:val="34"/>
        </w:rPr>
        <w:t> </w:t>
      </w:r>
      <w:r>
        <w:rPr>
          <w:color w:val="105C84"/>
        </w:rPr>
        <w:t>referred</w:t>
      </w:r>
      <w:r>
        <w:rPr>
          <w:color w:val="105C84"/>
          <w:spacing w:val="34"/>
        </w:rPr>
        <w:t> </w:t>
      </w:r>
      <w:r>
        <w:rPr>
          <w:color w:val="105C84"/>
        </w:rPr>
        <w:t>to</w:t>
      </w:r>
      <w:r>
        <w:rPr>
          <w:color w:val="105C84"/>
          <w:spacing w:val="34"/>
        </w:rPr>
        <w:t> </w:t>
      </w:r>
      <w:r>
        <w:rPr>
          <w:color w:val="105C84"/>
        </w:rPr>
        <w:t>offices</w:t>
      </w:r>
    </w:p>
    <w:p>
      <w:pPr>
        <w:pStyle w:val="BodyText"/>
        <w:spacing w:line="247" w:lineRule="auto"/>
        <w:ind w:left="1094" w:right="559"/>
      </w:pPr>
      <w:r>
        <w:rPr>
          <w:color w:val="105C84"/>
        </w:rPr>
        <w:t>in or near Buffalo, Binghamton, or Rochester, posing further problems for those with already limited</w:t>
      </w:r>
      <w:r>
        <w:rPr>
          <w:color w:val="105C84"/>
          <w:spacing w:val="40"/>
        </w:rPr>
        <w:t> </w:t>
      </w:r>
      <w:r>
        <w:rPr>
          <w:color w:val="105C84"/>
        </w:rPr>
        <w:t>transportation options. Luckily, it was noted in the priority setting meeting that many schools have</w:t>
      </w:r>
      <w:r>
        <w:rPr>
          <w:color w:val="105C84"/>
          <w:spacing w:val="40"/>
        </w:rPr>
        <w:t> </w:t>
      </w:r>
      <w:r>
        <w:rPr>
          <w:color w:val="105C84"/>
        </w:rPr>
        <w:t>dental assistants make onsite preventative oral health visits for students covered by Medicaid.</w:t>
      </w:r>
    </w:p>
    <w:p>
      <w:pPr>
        <w:pStyle w:val="BodyText"/>
        <w:spacing w:before="14"/>
      </w:pPr>
    </w:p>
    <w:p>
      <w:pPr>
        <w:pStyle w:val="Heading6"/>
        <w:ind w:left="1094"/>
      </w:pPr>
      <w:r>
        <w:rPr>
          <w:color w:val="105C84"/>
          <w:spacing w:val="-6"/>
        </w:rPr>
        <w:t>Community</w:t>
      </w:r>
      <w:r>
        <w:rPr>
          <w:color w:val="105C84"/>
          <w:spacing w:val="-9"/>
        </w:rPr>
        <w:t> </w:t>
      </w:r>
      <w:r>
        <w:rPr>
          <w:color w:val="105C84"/>
          <w:spacing w:val="-6"/>
        </w:rPr>
        <w:t>Assets</w:t>
      </w:r>
      <w:r>
        <w:rPr>
          <w:color w:val="105C84"/>
          <w:spacing w:val="-9"/>
        </w:rPr>
        <w:t> </w:t>
      </w:r>
      <w:r>
        <w:rPr>
          <w:color w:val="105C84"/>
          <w:spacing w:val="-6"/>
        </w:rPr>
        <w:t>and</w:t>
      </w:r>
      <w:r>
        <w:rPr>
          <w:color w:val="105C84"/>
          <w:spacing w:val="-8"/>
        </w:rPr>
        <w:t> </w:t>
      </w:r>
      <w:r>
        <w:rPr>
          <w:color w:val="105C84"/>
          <w:spacing w:val="-6"/>
        </w:rPr>
        <w:t>Resources</w:t>
      </w:r>
      <w:r>
        <w:rPr>
          <w:color w:val="105C84"/>
          <w:spacing w:val="-9"/>
        </w:rPr>
        <w:t> </w:t>
      </w:r>
      <w:r>
        <w:rPr>
          <w:color w:val="105C84"/>
          <w:spacing w:val="-6"/>
        </w:rPr>
        <w:t>to</w:t>
      </w:r>
      <w:r>
        <w:rPr>
          <w:color w:val="105C84"/>
          <w:spacing w:val="-8"/>
        </w:rPr>
        <w:t> </w:t>
      </w:r>
      <w:r>
        <w:rPr>
          <w:color w:val="105C84"/>
          <w:spacing w:val="-6"/>
        </w:rPr>
        <w:t>be</w:t>
      </w:r>
      <w:r>
        <w:rPr>
          <w:color w:val="105C84"/>
          <w:spacing w:val="-9"/>
        </w:rPr>
        <w:t> </w:t>
      </w:r>
      <w:r>
        <w:rPr>
          <w:color w:val="105C84"/>
          <w:spacing w:val="-6"/>
        </w:rPr>
        <w:t>Mobilized</w:t>
      </w:r>
    </w:p>
    <w:p>
      <w:pPr>
        <w:pStyle w:val="BodyText"/>
        <w:spacing w:line="247" w:lineRule="auto" w:before="269"/>
        <w:ind w:left="1094" w:right="632"/>
      </w:pPr>
      <w:r>
        <w:rPr>
          <w:color w:val="105C84"/>
        </w:rPr>
        <w:t>During focus groups completed in late 2018 and early 2019, community members identified several assets and resources in Steuben County. For example, focus group attendees identified local agencies and support groups in the community, including mental health services/clinics, Planned Parenthood, Meals on Wheels, schools and after school programming, libraries, food pantries and YMCAs as community strengths and resources. In addition, attendees identified the county’s clean environment as a strength. A comprehensive list of identified strengths and resources can be found</w:t>
      </w:r>
      <w:r>
        <w:rPr>
          <w:color w:val="105C84"/>
          <w:spacing w:val="40"/>
        </w:rPr>
        <w:t> </w:t>
      </w:r>
      <w:r>
        <w:rPr>
          <w:color w:val="105C84"/>
        </w:rPr>
        <w:t>in focus group summaries and are available upon request.</w:t>
      </w:r>
    </w:p>
    <w:p>
      <w:pPr>
        <w:pStyle w:val="BodyText"/>
        <w:spacing w:line="247" w:lineRule="auto" w:before="176"/>
        <w:ind w:left="1094" w:right="485"/>
      </w:pPr>
      <w:r>
        <w:rPr>
          <w:color w:val="105C84"/>
        </w:rPr>
        <w:t>Through</w:t>
      </w:r>
      <w:r>
        <w:rPr>
          <w:color w:val="105C84"/>
          <w:spacing w:val="35"/>
        </w:rPr>
        <w:t> </w:t>
      </w:r>
      <w:r>
        <w:rPr>
          <w:color w:val="105C84"/>
        </w:rPr>
        <w:t>implementation</w:t>
      </w:r>
      <w:r>
        <w:rPr>
          <w:color w:val="105C84"/>
          <w:spacing w:val="35"/>
        </w:rPr>
        <w:t> </w:t>
      </w:r>
      <w:r>
        <w:rPr>
          <w:color w:val="105C84"/>
        </w:rPr>
        <w:t>of</w:t>
      </w:r>
      <w:r>
        <w:rPr>
          <w:color w:val="105C84"/>
          <w:spacing w:val="35"/>
        </w:rPr>
        <w:t> </w:t>
      </w:r>
      <w:r>
        <w:rPr>
          <w:color w:val="105C84"/>
        </w:rPr>
        <w:t>the</w:t>
      </w:r>
      <w:r>
        <w:rPr>
          <w:color w:val="105C84"/>
          <w:spacing w:val="35"/>
        </w:rPr>
        <w:t> </w:t>
      </w:r>
      <w:r>
        <w:rPr>
          <w:color w:val="105C84"/>
        </w:rPr>
        <w:t>Community</w:t>
      </w:r>
      <w:r>
        <w:rPr>
          <w:color w:val="105C84"/>
          <w:spacing w:val="35"/>
        </w:rPr>
        <w:t> </w:t>
      </w:r>
      <w:r>
        <w:rPr>
          <w:color w:val="105C84"/>
        </w:rPr>
        <w:t>Health</w:t>
      </w:r>
      <w:r>
        <w:rPr>
          <w:color w:val="105C84"/>
          <w:spacing w:val="35"/>
        </w:rPr>
        <w:t> </w:t>
      </w:r>
      <w:r>
        <w:rPr>
          <w:color w:val="105C84"/>
        </w:rPr>
        <w:t>Improvement</w:t>
      </w:r>
      <w:r>
        <w:rPr>
          <w:color w:val="105C84"/>
          <w:spacing w:val="35"/>
        </w:rPr>
        <w:t> </w:t>
      </w:r>
      <w:r>
        <w:rPr>
          <w:color w:val="105C84"/>
        </w:rPr>
        <w:t>Plan,</w:t>
      </w:r>
      <w:r>
        <w:rPr>
          <w:color w:val="105C84"/>
          <w:spacing w:val="35"/>
        </w:rPr>
        <w:t> </w:t>
      </w:r>
      <w:r>
        <w:rPr>
          <w:color w:val="105C84"/>
        </w:rPr>
        <w:t>staff</w:t>
      </w:r>
      <w:r>
        <w:rPr>
          <w:color w:val="105C84"/>
          <w:spacing w:val="35"/>
        </w:rPr>
        <w:t> </w:t>
      </w:r>
      <w:r>
        <w:rPr>
          <w:color w:val="105C84"/>
        </w:rPr>
        <w:t>will</w:t>
      </w:r>
      <w:r>
        <w:rPr>
          <w:color w:val="105C84"/>
          <w:spacing w:val="35"/>
        </w:rPr>
        <w:t> </w:t>
      </w:r>
      <w:r>
        <w:rPr>
          <w:color w:val="105C84"/>
        </w:rPr>
        <w:t>work</w:t>
      </w:r>
      <w:r>
        <w:rPr>
          <w:color w:val="105C84"/>
          <w:spacing w:val="35"/>
        </w:rPr>
        <w:t> </w:t>
      </w:r>
      <w:r>
        <w:rPr>
          <w:color w:val="105C84"/>
        </w:rPr>
        <w:t>to</w:t>
      </w:r>
      <w:r>
        <w:rPr>
          <w:color w:val="105C84"/>
          <w:spacing w:val="35"/>
        </w:rPr>
        <w:t> </w:t>
      </w:r>
      <w:r>
        <w:rPr>
          <w:color w:val="105C84"/>
        </w:rPr>
        <w:t>leverage these pre-existing agencies and services. The Steuben County Community Health Improvement Plan document has a full description of interventions and partner roles. Partnering and leveraging the</w:t>
      </w:r>
      <w:r>
        <w:rPr>
          <w:color w:val="105C84"/>
          <w:spacing w:val="80"/>
        </w:rPr>
        <w:t> </w:t>
      </w:r>
      <w:r>
        <w:rPr>
          <w:color w:val="105C84"/>
        </w:rPr>
        <w:t>assets and resources of local community agencies will be imperative to achieving success in the plan.</w:t>
      </w:r>
    </w:p>
    <w:p>
      <w:pPr>
        <w:pStyle w:val="BodyText"/>
        <w:spacing w:after="0" w:line="247" w:lineRule="auto"/>
        <w:sectPr>
          <w:type w:val="continuous"/>
          <w:pgSz w:w="24480" w:h="15840" w:orient="landscape"/>
          <w:pgMar w:header="0" w:footer="0" w:top="0" w:bottom="280" w:left="0" w:right="720"/>
          <w:cols w:num="2" w:equalWidth="0">
            <w:col w:w="11099" w:space="1127"/>
            <w:col w:w="11534"/>
          </w:cols>
        </w:sectPr>
      </w:pPr>
    </w:p>
    <w:p>
      <w:pPr>
        <w:pStyle w:val="BodyText"/>
        <w:rPr>
          <w:sz w:val="14"/>
        </w:rPr>
      </w:pPr>
      <w:r>
        <w:rPr>
          <w:sz w:val="14"/>
        </w:rPr>
        <w:drawing>
          <wp:anchor distT="0" distB="0" distL="0" distR="0" allowOverlap="1" layoutInCell="1" locked="0" behindDoc="0" simplePos="0" relativeHeight="15868416">
            <wp:simplePos x="0" y="0"/>
            <wp:positionH relativeFrom="page">
              <wp:posOffset>14981556</wp:posOffset>
            </wp:positionH>
            <wp:positionV relativeFrom="page">
              <wp:posOffset>9668103</wp:posOffset>
            </wp:positionV>
            <wp:extent cx="563245" cy="184683"/>
            <wp:effectExtent l="0" t="0" r="0" b="0"/>
            <wp:wrapNone/>
            <wp:docPr id="1335" name="Image 1335"/>
            <wp:cNvGraphicFramePr>
              <a:graphicFrameLocks/>
            </wp:cNvGraphicFramePr>
            <a:graphic>
              <a:graphicData uri="http://schemas.openxmlformats.org/drawingml/2006/picture">
                <pic:pic>
                  <pic:nvPicPr>
                    <pic:cNvPr id="1335" name="Image 1335"/>
                    <pic:cNvPicPr/>
                  </pic:nvPicPr>
                  <pic:blipFill>
                    <a:blip r:embed="rId38" cstate="print"/>
                    <a:stretch>
                      <a:fillRect/>
                    </a:stretch>
                  </pic:blipFill>
                  <pic:spPr>
                    <a:xfrm>
                      <a:off x="0" y="0"/>
                      <a:ext cx="563245" cy="184683"/>
                    </a:xfrm>
                    <a:prstGeom prst="rect">
                      <a:avLst/>
                    </a:prstGeom>
                  </pic:spPr>
                </pic:pic>
              </a:graphicData>
            </a:graphic>
          </wp:anchor>
        </w:drawing>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127"/>
        <w:rPr>
          <w:sz w:val="14"/>
        </w:rPr>
      </w:pPr>
    </w:p>
    <w:p>
      <w:pPr>
        <w:tabs>
          <w:tab w:pos="7490" w:val="left" w:leader="none"/>
          <w:tab w:pos="13319" w:val="left" w:leader="none"/>
          <w:tab w:pos="23454" w:val="right" w:leader="none"/>
        </w:tabs>
        <w:spacing w:before="0"/>
        <w:ind w:left="1058" w:right="0" w:firstLine="0"/>
        <w:jc w:val="left"/>
        <w:rPr>
          <w:b/>
          <w:position w:val="-2"/>
          <w:sz w:val="26"/>
        </w:rPr>
      </w:pPr>
      <w:r>
        <w:rPr>
          <w:b/>
          <w:position w:val="-2"/>
          <w:sz w:val="26"/>
        </w:rPr>
        <w:drawing>
          <wp:anchor distT="0" distB="0" distL="0" distR="0" allowOverlap="1" layoutInCell="1" locked="0" behindDoc="0" simplePos="0" relativeHeight="15868928">
            <wp:simplePos x="0" y="0"/>
            <wp:positionH relativeFrom="page">
              <wp:posOffset>0</wp:posOffset>
            </wp:positionH>
            <wp:positionV relativeFrom="paragraph">
              <wp:posOffset>2019</wp:posOffset>
            </wp:positionV>
            <wp:extent cx="568172" cy="184683"/>
            <wp:effectExtent l="0" t="0" r="0" b="0"/>
            <wp:wrapNone/>
            <wp:docPr id="1336" name="Image 1336"/>
            <wp:cNvGraphicFramePr>
              <a:graphicFrameLocks/>
            </wp:cNvGraphicFramePr>
            <a:graphic>
              <a:graphicData uri="http://schemas.openxmlformats.org/drawingml/2006/picture">
                <pic:pic>
                  <pic:nvPicPr>
                    <pic:cNvPr id="1336" name="Image 1336"/>
                    <pic:cNvPicPr/>
                  </pic:nvPicPr>
                  <pic:blipFill>
                    <a:blip r:embed="rId39" cstate="print"/>
                    <a:stretch>
                      <a:fillRect/>
                    </a:stretch>
                  </pic:blipFill>
                  <pic:spPr>
                    <a:xfrm>
                      <a:off x="0" y="0"/>
                      <a:ext cx="568172" cy="184683"/>
                    </a:xfrm>
                    <a:prstGeom prst="rect">
                      <a:avLst/>
                    </a:prstGeom>
                  </pic:spPr>
                </pic:pic>
              </a:graphicData>
            </a:graphic>
          </wp:anchor>
        </w:drawing>
      </w:r>
      <w:r>
        <w:rPr>
          <w:b/>
          <w:color w:val="939598"/>
          <w:spacing w:val="-5"/>
          <w:position w:val="-2"/>
          <w:sz w:val="26"/>
        </w:rPr>
        <w:t>87</w:t>
      </w:r>
      <w:r>
        <w:rPr>
          <w:b/>
          <w:color w:val="939598"/>
          <w:position w:val="-2"/>
          <w:sz w:val="26"/>
        </w:rPr>
        <w:tab/>
      </w:r>
      <w:r>
        <w:rPr>
          <w:color w:val="636466"/>
          <w:spacing w:val="-4"/>
          <w:sz w:val="14"/>
        </w:rPr>
        <w:t>39.</w:t>
      </w:r>
      <w:r>
        <w:rPr>
          <w:color w:val="636466"/>
          <w:spacing w:val="5"/>
          <w:sz w:val="14"/>
        </w:rPr>
        <w:t> </w:t>
      </w:r>
      <w:r>
        <w:rPr>
          <w:color w:val="636466"/>
          <w:spacing w:val="-4"/>
          <w:sz w:val="14"/>
        </w:rPr>
        <w:t>Source:</w:t>
      </w:r>
      <w:r>
        <w:rPr>
          <w:color w:val="636466"/>
          <w:spacing w:val="5"/>
          <w:sz w:val="14"/>
        </w:rPr>
        <w:t> </w:t>
      </w:r>
      <w:r>
        <w:rPr>
          <w:color w:val="636466"/>
          <w:spacing w:val="-4"/>
          <w:sz w:val="14"/>
        </w:rPr>
        <w:t>2016</w:t>
      </w:r>
      <w:r>
        <w:rPr>
          <w:color w:val="636466"/>
          <w:spacing w:val="5"/>
          <w:sz w:val="14"/>
        </w:rPr>
        <w:t> </w:t>
      </w:r>
      <w:r>
        <w:rPr>
          <w:color w:val="636466"/>
          <w:spacing w:val="-4"/>
          <w:sz w:val="14"/>
        </w:rPr>
        <w:t>Behavioral</w:t>
      </w:r>
      <w:r>
        <w:rPr>
          <w:color w:val="636466"/>
          <w:spacing w:val="5"/>
          <w:sz w:val="14"/>
        </w:rPr>
        <w:t> </w:t>
      </w:r>
      <w:r>
        <w:rPr>
          <w:color w:val="636466"/>
          <w:spacing w:val="-4"/>
          <w:sz w:val="14"/>
        </w:rPr>
        <w:t>Risk</w:t>
      </w:r>
      <w:r>
        <w:rPr>
          <w:color w:val="636466"/>
          <w:spacing w:val="5"/>
          <w:sz w:val="14"/>
        </w:rPr>
        <w:t> </w:t>
      </w:r>
      <w:r>
        <w:rPr>
          <w:color w:val="636466"/>
          <w:spacing w:val="-4"/>
          <w:sz w:val="14"/>
        </w:rPr>
        <w:t>Factor</w:t>
      </w:r>
      <w:r>
        <w:rPr>
          <w:color w:val="636466"/>
          <w:spacing w:val="6"/>
          <w:sz w:val="14"/>
        </w:rPr>
        <w:t> </w:t>
      </w:r>
      <w:r>
        <w:rPr>
          <w:color w:val="636466"/>
          <w:spacing w:val="-4"/>
          <w:sz w:val="14"/>
        </w:rPr>
        <w:t>Surveillance</w:t>
      </w:r>
      <w:r>
        <w:rPr>
          <w:color w:val="636466"/>
          <w:spacing w:val="5"/>
          <w:sz w:val="14"/>
        </w:rPr>
        <w:t> </w:t>
      </w:r>
      <w:r>
        <w:rPr>
          <w:color w:val="636466"/>
          <w:spacing w:val="-4"/>
          <w:sz w:val="14"/>
        </w:rPr>
        <w:t>System</w:t>
      </w:r>
      <w:r>
        <w:rPr>
          <w:color w:val="636466"/>
          <w:sz w:val="14"/>
        </w:rPr>
        <w:tab/>
        <w:t>40.</w:t>
      </w:r>
      <w:r>
        <w:rPr>
          <w:color w:val="636466"/>
          <w:spacing w:val="26"/>
          <w:sz w:val="14"/>
        </w:rPr>
        <w:t> </w:t>
      </w:r>
      <w:r>
        <w:rPr>
          <w:color w:val="636466"/>
          <w:sz w:val="14"/>
        </w:rPr>
        <w:t>Source:</w:t>
      </w:r>
      <w:r>
        <w:rPr>
          <w:color w:val="636466"/>
          <w:spacing w:val="-6"/>
          <w:sz w:val="14"/>
        </w:rPr>
        <w:t> </w:t>
      </w:r>
      <w:r>
        <w:rPr>
          <w:color w:val="636466"/>
          <w:sz w:val="14"/>
        </w:rPr>
        <w:t>NYS</w:t>
      </w:r>
      <w:r>
        <w:rPr>
          <w:color w:val="636466"/>
          <w:spacing w:val="-6"/>
          <w:sz w:val="14"/>
        </w:rPr>
        <w:t> </w:t>
      </w:r>
      <w:r>
        <w:rPr>
          <w:color w:val="636466"/>
          <w:sz w:val="14"/>
        </w:rPr>
        <w:t>Quarterly</w:t>
      </w:r>
      <w:r>
        <w:rPr>
          <w:color w:val="636466"/>
          <w:spacing w:val="-6"/>
          <w:sz w:val="14"/>
        </w:rPr>
        <w:t> </w:t>
      </w:r>
      <w:r>
        <w:rPr>
          <w:color w:val="636466"/>
          <w:sz w:val="14"/>
        </w:rPr>
        <w:t>Opioid</w:t>
      </w:r>
      <w:r>
        <w:rPr>
          <w:color w:val="636466"/>
          <w:spacing w:val="-6"/>
          <w:sz w:val="14"/>
        </w:rPr>
        <w:t> </w:t>
      </w:r>
      <w:r>
        <w:rPr>
          <w:color w:val="636466"/>
          <w:spacing w:val="-2"/>
          <w:sz w:val="14"/>
        </w:rPr>
        <w:t>Reporting</w:t>
      </w:r>
      <w:r>
        <w:rPr>
          <w:rFonts w:ascii="Times New Roman"/>
          <w:color w:val="636466"/>
          <w:sz w:val="14"/>
        </w:rPr>
        <w:tab/>
      </w:r>
      <w:r>
        <w:rPr>
          <w:b/>
          <w:color w:val="939598"/>
          <w:spacing w:val="-5"/>
          <w:position w:val="-2"/>
          <w:sz w:val="26"/>
        </w:rPr>
        <w:t>88</w:t>
      </w:r>
    </w:p>
    <w:p>
      <w:pPr>
        <w:spacing w:after="0"/>
        <w:jc w:val="left"/>
        <w:rPr>
          <w:b/>
          <w:position w:val="-2"/>
          <w:sz w:val="26"/>
        </w:rPr>
        <w:sectPr>
          <w:type w:val="continuous"/>
          <w:pgSz w:w="24480" w:h="15840" w:orient="landscape"/>
          <w:pgMar w:header="0" w:footer="0" w:top="0" w:bottom="280" w:left="0" w:right="720"/>
        </w:sectPr>
      </w:pPr>
    </w:p>
    <w:p>
      <w:pPr>
        <w:pStyle w:val="BodyText"/>
        <w:rPr>
          <w:b/>
          <w:sz w:val="20"/>
        </w:rPr>
      </w:pPr>
    </w:p>
    <w:p>
      <w:pPr>
        <w:pStyle w:val="BodyText"/>
        <w:spacing w:before="16"/>
        <w:rPr>
          <w:b/>
          <w:sz w:val="20"/>
        </w:rPr>
      </w:pPr>
    </w:p>
    <w:p>
      <w:pPr>
        <w:pStyle w:val="BodyText"/>
        <w:spacing w:after="0"/>
        <w:rPr>
          <w:b/>
          <w:sz w:val="20"/>
        </w:rPr>
        <w:sectPr>
          <w:pgSz w:w="24480" w:h="15840" w:orient="landscape"/>
          <w:pgMar w:header="0" w:footer="0" w:top="860" w:bottom="0" w:left="0" w:right="720"/>
        </w:sectPr>
      </w:pPr>
    </w:p>
    <w:p>
      <w:pPr>
        <w:pStyle w:val="Heading6"/>
        <w:spacing w:before="116"/>
      </w:pPr>
      <w:r>
        <w:rPr>
          <w:color w:val="105C84"/>
          <w:spacing w:val="-4"/>
        </w:rPr>
        <w:t>Community</w:t>
      </w:r>
      <w:r>
        <w:rPr>
          <w:color w:val="105C84"/>
          <w:spacing w:val="-2"/>
        </w:rPr>
        <w:t> </w:t>
      </w:r>
      <w:r>
        <w:rPr>
          <w:color w:val="105C84"/>
          <w:spacing w:val="-4"/>
        </w:rPr>
        <w:t>Health</w:t>
      </w:r>
      <w:r>
        <w:rPr>
          <w:color w:val="105C84"/>
          <w:spacing w:val="-2"/>
        </w:rPr>
        <w:t> </w:t>
      </w:r>
      <w:r>
        <w:rPr>
          <w:color w:val="105C84"/>
          <w:spacing w:val="-4"/>
        </w:rPr>
        <w:t>Improvement</w:t>
      </w:r>
      <w:r>
        <w:rPr>
          <w:color w:val="105C84"/>
          <w:spacing w:val="-2"/>
        </w:rPr>
        <w:t> </w:t>
      </w:r>
      <w:r>
        <w:rPr>
          <w:color w:val="105C84"/>
          <w:spacing w:val="-4"/>
        </w:rPr>
        <w:t>Plan/Community</w:t>
      </w:r>
      <w:r>
        <w:rPr>
          <w:color w:val="105C84"/>
          <w:spacing w:val="-2"/>
        </w:rPr>
        <w:t> </w:t>
      </w:r>
      <w:r>
        <w:rPr>
          <w:color w:val="105C84"/>
          <w:spacing w:val="-4"/>
        </w:rPr>
        <w:t>Service</w:t>
      </w:r>
      <w:r>
        <w:rPr>
          <w:color w:val="105C84"/>
          <w:spacing w:val="-2"/>
        </w:rPr>
        <w:t> </w:t>
      </w:r>
      <w:r>
        <w:rPr>
          <w:color w:val="105C84"/>
          <w:spacing w:val="-4"/>
        </w:rPr>
        <w:t>Plan</w:t>
      </w:r>
    </w:p>
    <w:p>
      <w:pPr>
        <w:pStyle w:val="BodyText"/>
        <w:spacing w:line="247" w:lineRule="auto" w:before="268"/>
        <w:ind w:left="1080"/>
        <w:rPr>
          <w:b/>
        </w:rPr>
      </w:pPr>
      <w:r>
        <w:rPr>
          <w:b/>
        </w:rPr>
        <mc:AlternateContent>
          <mc:Choice Requires="wps">
            <w:drawing>
              <wp:anchor distT="0" distB="0" distL="0" distR="0" allowOverlap="1" layoutInCell="1" locked="0" behindDoc="0" simplePos="0" relativeHeight="15873024">
                <wp:simplePos x="0" y="0"/>
                <wp:positionH relativeFrom="page">
                  <wp:posOffset>685800</wp:posOffset>
                </wp:positionH>
                <wp:positionV relativeFrom="paragraph">
                  <wp:posOffset>1292265</wp:posOffset>
                </wp:positionV>
                <wp:extent cx="6231890" cy="5493385"/>
                <wp:effectExtent l="0" t="0" r="0" b="0"/>
                <wp:wrapNone/>
                <wp:docPr id="1337" name="Group 1337"/>
                <wp:cNvGraphicFramePr>
                  <a:graphicFrameLocks/>
                </wp:cNvGraphicFramePr>
                <a:graphic>
                  <a:graphicData uri="http://schemas.microsoft.com/office/word/2010/wordprocessingGroup">
                    <wpg:wgp>
                      <wpg:cNvPr id="1337" name="Group 1337"/>
                      <wpg:cNvGrpSpPr/>
                      <wpg:grpSpPr>
                        <a:xfrm>
                          <a:off x="0" y="0"/>
                          <a:ext cx="6231890" cy="5493385"/>
                          <a:chExt cx="6231890" cy="5493385"/>
                        </a:xfrm>
                      </wpg:grpSpPr>
                      <wps:wsp>
                        <wps:cNvPr id="1338" name="Graphic 1338"/>
                        <wps:cNvSpPr/>
                        <wps:spPr>
                          <a:xfrm>
                            <a:off x="1587" y="1587"/>
                            <a:ext cx="6228715" cy="318770"/>
                          </a:xfrm>
                          <a:custGeom>
                            <a:avLst/>
                            <a:gdLst/>
                            <a:ahLst/>
                            <a:cxnLst/>
                            <a:rect l="l" t="t" r="r" b="b"/>
                            <a:pathLst>
                              <a:path w="6228715" h="318770">
                                <a:moveTo>
                                  <a:pt x="6228461" y="0"/>
                                </a:moveTo>
                                <a:lnTo>
                                  <a:pt x="0" y="0"/>
                                </a:lnTo>
                                <a:lnTo>
                                  <a:pt x="0" y="318198"/>
                                </a:lnTo>
                                <a:lnTo>
                                  <a:pt x="6228461" y="318198"/>
                                </a:lnTo>
                                <a:lnTo>
                                  <a:pt x="6228461" y="0"/>
                                </a:lnTo>
                                <a:close/>
                              </a:path>
                            </a:pathLst>
                          </a:custGeom>
                          <a:solidFill>
                            <a:srgbClr val="939598"/>
                          </a:solidFill>
                        </wps:spPr>
                        <wps:bodyPr wrap="square" lIns="0" tIns="0" rIns="0" bIns="0" rtlCol="0">
                          <a:prstTxWarp prst="textNoShape">
                            <a:avLst/>
                          </a:prstTxWarp>
                          <a:noAutofit/>
                        </wps:bodyPr>
                      </wps:wsp>
                      <wps:wsp>
                        <wps:cNvPr id="1339" name="Graphic 1339"/>
                        <wps:cNvSpPr/>
                        <wps:spPr>
                          <a:xfrm>
                            <a:off x="2231135" y="592277"/>
                            <a:ext cx="1993900" cy="1270"/>
                          </a:xfrm>
                          <a:custGeom>
                            <a:avLst/>
                            <a:gdLst/>
                            <a:ahLst/>
                            <a:cxnLst/>
                            <a:rect l="l" t="t" r="r" b="b"/>
                            <a:pathLst>
                              <a:path w="1993900" h="0">
                                <a:moveTo>
                                  <a:pt x="0" y="0"/>
                                </a:moveTo>
                                <a:lnTo>
                                  <a:pt x="1993392" y="0"/>
                                </a:lnTo>
                              </a:path>
                            </a:pathLst>
                          </a:custGeom>
                          <a:ln w="3175">
                            <a:solidFill>
                              <a:srgbClr val="636466"/>
                            </a:solidFill>
                            <a:prstDash val="solid"/>
                          </a:ln>
                        </wps:spPr>
                        <wps:bodyPr wrap="square" lIns="0" tIns="0" rIns="0" bIns="0" rtlCol="0">
                          <a:prstTxWarp prst="textNoShape">
                            <a:avLst/>
                          </a:prstTxWarp>
                          <a:noAutofit/>
                        </wps:bodyPr>
                      </wps:wsp>
                      <wps:wsp>
                        <wps:cNvPr id="1340" name="Graphic 1340"/>
                        <wps:cNvSpPr/>
                        <wps:spPr>
                          <a:xfrm>
                            <a:off x="2231135" y="990803"/>
                            <a:ext cx="1993900" cy="1270"/>
                          </a:xfrm>
                          <a:custGeom>
                            <a:avLst/>
                            <a:gdLst/>
                            <a:ahLst/>
                            <a:cxnLst/>
                            <a:rect l="l" t="t" r="r" b="b"/>
                            <a:pathLst>
                              <a:path w="1993900" h="0">
                                <a:moveTo>
                                  <a:pt x="0" y="0"/>
                                </a:moveTo>
                                <a:lnTo>
                                  <a:pt x="1993392" y="0"/>
                                </a:lnTo>
                              </a:path>
                            </a:pathLst>
                          </a:custGeom>
                          <a:ln w="3175">
                            <a:solidFill>
                              <a:srgbClr val="636466"/>
                            </a:solidFill>
                            <a:prstDash val="solid"/>
                          </a:ln>
                        </wps:spPr>
                        <wps:bodyPr wrap="square" lIns="0" tIns="0" rIns="0" bIns="0" rtlCol="0">
                          <a:prstTxWarp prst="textNoShape">
                            <a:avLst/>
                          </a:prstTxWarp>
                          <a:noAutofit/>
                        </wps:bodyPr>
                      </wps:wsp>
                      <wps:wsp>
                        <wps:cNvPr id="1341" name="Graphic 1341"/>
                        <wps:cNvSpPr/>
                        <wps:spPr>
                          <a:xfrm>
                            <a:off x="2231135" y="1554429"/>
                            <a:ext cx="1993900" cy="1270"/>
                          </a:xfrm>
                          <a:custGeom>
                            <a:avLst/>
                            <a:gdLst/>
                            <a:ahLst/>
                            <a:cxnLst/>
                            <a:rect l="l" t="t" r="r" b="b"/>
                            <a:pathLst>
                              <a:path w="1993900" h="0">
                                <a:moveTo>
                                  <a:pt x="0" y="0"/>
                                </a:moveTo>
                                <a:lnTo>
                                  <a:pt x="1993392" y="0"/>
                                </a:lnTo>
                              </a:path>
                            </a:pathLst>
                          </a:custGeom>
                          <a:ln w="3175">
                            <a:solidFill>
                              <a:srgbClr val="636466"/>
                            </a:solidFill>
                            <a:prstDash val="solid"/>
                          </a:ln>
                        </wps:spPr>
                        <wps:bodyPr wrap="square" lIns="0" tIns="0" rIns="0" bIns="0" rtlCol="0">
                          <a:prstTxWarp prst="textNoShape">
                            <a:avLst/>
                          </a:prstTxWarp>
                          <a:noAutofit/>
                        </wps:bodyPr>
                      </wps:wsp>
                      <wps:wsp>
                        <wps:cNvPr id="1342" name="Graphic 1342"/>
                        <wps:cNvSpPr/>
                        <wps:spPr>
                          <a:xfrm>
                            <a:off x="2231135" y="1826920"/>
                            <a:ext cx="1993900" cy="1270"/>
                          </a:xfrm>
                          <a:custGeom>
                            <a:avLst/>
                            <a:gdLst/>
                            <a:ahLst/>
                            <a:cxnLst/>
                            <a:rect l="l" t="t" r="r" b="b"/>
                            <a:pathLst>
                              <a:path w="1993900" h="0">
                                <a:moveTo>
                                  <a:pt x="0" y="0"/>
                                </a:moveTo>
                                <a:lnTo>
                                  <a:pt x="1993392" y="0"/>
                                </a:lnTo>
                              </a:path>
                            </a:pathLst>
                          </a:custGeom>
                          <a:ln w="3175">
                            <a:solidFill>
                              <a:srgbClr val="636466"/>
                            </a:solidFill>
                            <a:prstDash val="solid"/>
                          </a:ln>
                        </wps:spPr>
                        <wps:bodyPr wrap="square" lIns="0" tIns="0" rIns="0" bIns="0" rtlCol="0">
                          <a:prstTxWarp prst="textNoShape">
                            <a:avLst/>
                          </a:prstTxWarp>
                          <a:noAutofit/>
                        </wps:bodyPr>
                      </wps:wsp>
                      <wps:wsp>
                        <wps:cNvPr id="1343" name="Graphic 1343"/>
                        <wps:cNvSpPr/>
                        <wps:spPr>
                          <a:xfrm>
                            <a:off x="2231135" y="2099411"/>
                            <a:ext cx="1993900" cy="1270"/>
                          </a:xfrm>
                          <a:custGeom>
                            <a:avLst/>
                            <a:gdLst/>
                            <a:ahLst/>
                            <a:cxnLst/>
                            <a:rect l="l" t="t" r="r" b="b"/>
                            <a:pathLst>
                              <a:path w="1993900" h="0">
                                <a:moveTo>
                                  <a:pt x="0" y="0"/>
                                </a:moveTo>
                                <a:lnTo>
                                  <a:pt x="1993392" y="0"/>
                                </a:lnTo>
                              </a:path>
                            </a:pathLst>
                          </a:custGeom>
                          <a:ln w="3175">
                            <a:solidFill>
                              <a:srgbClr val="636466"/>
                            </a:solidFill>
                            <a:prstDash val="solid"/>
                          </a:ln>
                        </wps:spPr>
                        <wps:bodyPr wrap="square" lIns="0" tIns="0" rIns="0" bIns="0" rtlCol="0">
                          <a:prstTxWarp prst="textNoShape">
                            <a:avLst/>
                          </a:prstTxWarp>
                          <a:noAutofit/>
                        </wps:bodyPr>
                      </wps:wsp>
                      <wps:wsp>
                        <wps:cNvPr id="1344" name="Graphic 1344"/>
                        <wps:cNvSpPr/>
                        <wps:spPr>
                          <a:xfrm>
                            <a:off x="2231135" y="3294989"/>
                            <a:ext cx="1993900" cy="1270"/>
                          </a:xfrm>
                          <a:custGeom>
                            <a:avLst/>
                            <a:gdLst/>
                            <a:ahLst/>
                            <a:cxnLst/>
                            <a:rect l="l" t="t" r="r" b="b"/>
                            <a:pathLst>
                              <a:path w="1993900" h="0">
                                <a:moveTo>
                                  <a:pt x="0" y="0"/>
                                </a:moveTo>
                                <a:lnTo>
                                  <a:pt x="1993392" y="0"/>
                                </a:lnTo>
                              </a:path>
                            </a:pathLst>
                          </a:custGeom>
                          <a:ln w="3175">
                            <a:solidFill>
                              <a:srgbClr val="636466"/>
                            </a:solidFill>
                            <a:prstDash val="solid"/>
                          </a:ln>
                        </wps:spPr>
                        <wps:bodyPr wrap="square" lIns="0" tIns="0" rIns="0" bIns="0" rtlCol="0">
                          <a:prstTxWarp prst="textNoShape">
                            <a:avLst/>
                          </a:prstTxWarp>
                          <a:noAutofit/>
                        </wps:bodyPr>
                      </wps:wsp>
                      <wps:wsp>
                        <wps:cNvPr id="1345" name="Graphic 1345"/>
                        <wps:cNvSpPr/>
                        <wps:spPr>
                          <a:xfrm>
                            <a:off x="2231135" y="3858615"/>
                            <a:ext cx="1993900" cy="1270"/>
                          </a:xfrm>
                          <a:custGeom>
                            <a:avLst/>
                            <a:gdLst/>
                            <a:ahLst/>
                            <a:cxnLst/>
                            <a:rect l="l" t="t" r="r" b="b"/>
                            <a:pathLst>
                              <a:path w="1993900" h="0">
                                <a:moveTo>
                                  <a:pt x="0" y="0"/>
                                </a:moveTo>
                                <a:lnTo>
                                  <a:pt x="1993392" y="0"/>
                                </a:lnTo>
                              </a:path>
                            </a:pathLst>
                          </a:custGeom>
                          <a:ln w="3175">
                            <a:solidFill>
                              <a:srgbClr val="636466"/>
                            </a:solidFill>
                            <a:prstDash val="solid"/>
                          </a:ln>
                        </wps:spPr>
                        <wps:bodyPr wrap="square" lIns="0" tIns="0" rIns="0" bIns="0" rtlCol="0">
                          <a:prstTxWarp prst="textNoShape">
                            <a:avLst/>
                          </a:prstTxWarp>
                          <a:noAutofit/>
                        </wps:bodyPr>
                      </wps:wsp>
                      <wps:wsp>
                        <wps:cNvPr id="1346" name="Graphic 1346"/>
                        <wps:cNvSpPr/>
                        <wps:spPr>
                          <a:xfrm>
                            <a:off x="2231135" y="4257141"/>
                            <a:ext cx="1993900" cy="1270"/>
                          </a:xfrm>
                          <a:custGeom>
                            <a:avLst/>
                            <a:gdLst/>
                            <a:ahLst/>
                            <a:cxnLst/>
                            <a:rect l="l" t="t" r="r" b="b"/>
                            <a:pathLst>
                              <a:path w="1993900" h="0">
                                <a:moveTo>
                                  <a:pt x="0" y="0"/>
                                </a:moveTo>
                                <a:lnTo>
                                  <a:pt x="1993392" y="0"/>
                                </a:lnTo>
                              </a:path>
                            </a:pathLst>
                          </a:custGeom>
                          <a:ln w="3175">
                            <a:solidFill>
                              <a:srgbClr val="636466"/>
                            </a:solidFill>
                            <a:prstDash val="solid"/>
                          </a:ln>
                        </wps:spPr>
                        <wps:bodyPr wrap="square" lIns="0" tIns="0" rIns="0" bIns="0" rtlCol="0">
                          <a:prstTxWarp prst="textNoShape">
                            <a:avLst/>
                          </a:prstTxWarp>
                          <a:noAutofit/>
                        </wps:bodyPr>
                      </wps:wsp>
                      <wps:wsp>
                        <wps:cNvPr id="1347" name="Graphic 1347"/>
                        <wps:cNvSpPr/>
                        <wps:spPr>
                          <a:xfrm>
                            <a:off x="2231135" y="4820767"/>
                            <a:ext cx="1993900" cy="1270"/>
                          </a:xfrm>
                          <a:custGeom>
                            <a:avLst/>
                            <a:gdLst/>
                            <a:ahLst/>
                            <a:cxnLst/>
                            <a:rect l="l" t="t" r="r" b="b"/>
                            <a:pathLst>
                              <a:path w="1993900" h="0">
                                <a:moveTo>
                                  <a:pt x="0" y="0"/>
                                </a:moveTo>
                                <a:lnTo>
                                  <a:pt x="1993392" y="0"/>
                                </a:lnTo>
                              </a:path>
                            </a:pathLst>
                          </a:custGeom>
                          <a:ln w="3175">
                            <a:solidFill>
                              <a:srgbClr val="636466"/>
                            </a:solidFill>
                            <a:prstDash val="solid"/>
                          </a:ln>
                        </wps:spPr>
                        <wps:bodyPr wrap="square" lIns="0" tIns="0" rIns="0" bIns="0" rtlCol="0">
                          <a:prstTxWarp prst="textNoShape">
                            <a:avLst/>
                          </a:prstTxWarp>
                          <a:noAutofit/>
                        </wps:bodyPr>
                      </wps:wsp>
                      <wps:wsp>
                        <wps:cNvPr id="1348" name="Graphic 1348"/>
                        <wps:cNvSpPr/>
                        <wps:spPr>
                          <a:xfrm>
                            <a:off x="1587" y="2497937"/>
                            <a:ext cx="2056130" cy="1270"/>
                          </a:xfrm>
                          <a:custGeom>
                            <a:avLst/>
                            <a:gdLst/>
                            <a:ahLst/>
                            <a:cxnLst/>
                            <a:rect l="l" t="t" r="r" b="b"/>
                            <a:pathLst>
                              <a:path w="2056130" h="0">
                                <a:moveTo>
                                  <a:pt x="0" y="0"/>
                                </a:moveTo>
                                <a:lnTo>
                                  <a:pt x="2055812" y="0"/>
                                </a:lnTo>
                              </a:path>
                            </a:pathLst>
                          </a:custGeom>
                          <a:ln w="3175">
                            <a:solidFill>
                              <a:srgbClr val="636466"/>
                            </a:solidFill>
                            <a:prstDash val="solid"/>
                          </a:ln>
                        </wps:spPr>
                        <wps:bodyPr wrap="square" lIns="0" tIns="0" rIns="0" bIns="0" rtlCol="0">
                          <a:prstTxWarp prst="textNoShape">
                            <a:avLst/>
                          </a:prstTxWarp>
                          <a:noAutofit/>
                        </wps:bodyPr>
                      </wps:wsp>
                      <wps:wsp>
                        <wps:cNvPr id="1349" name="Graphic 1349"/>
                        <wps:cNvSpPr/>
                        <wps:spPr>
                          <a:xfrm>
                            <a:off x="2231135" y="2497937"/>
                            <a:ext cx="1993900" cy="1270"/>
                          </a:xfrm>
                          <a:custGeom>
                            <a:avLst/>
                            <a:gdLst/>
                            <a:ahLst/>
                            <a:cxnLst/>
                            <a:rect l="l" t="t" r="r" b="b"/>
                            <a:pathLst>
                              <a:path w="1993900" h="0">
                                <a:moveTo>
                                  <a:pt x="0" y="0"/>
                                </a:moveTo>
                                <a:lnTo>
                                  <a:pt x="1993392" y="0"/>
                                </a:lnTo>
                              </a:path>
                            </a:pathLst>
                          </a:custGeom>
                          <a:ln w="3175">
                            <a:solidFill>
                              <a:srgbClr val="636466"/>
                            </a:solidFill>
                            <a:prstDash val="solid"/>
                          </a:ln>
                        </wps:spPr>
                        <wps:bodyPr wrap="square" lIns="0" tIns="0" rIns="0" bIns="0" rtlCol="0">
                          <a:prstTxWarp prst="textNoShape">
                            <a:avLst/>
                          </a:prstTxWarp>
                          <a:noAutofit/>
                        </wps:bodyPr>
                      </wps:wsp>
                      <wps:wsp>
                        <wps:cNvPr id="1350" name="Graphic 1350"/>
                        <wps:cNvSpPr/>
                        <wps:spPr>
                          <a:xfrm>
                            <a:off x="4389120" y="2497937"/>
                            <a:ext cx="1841500" cy="1270"/>
                          </a:xfrm>
                          <a:custGeom>
                            <a:avLst/>
                            <a:gdLst/>
                            <a:ahLst/>
                            <a:cxnLst/>
                            <a:rect l="l" t="t" r="r" b="b"/>
                            <a:pathLst>
                              <a:path w="1841500" h="0">
                                <a:moveTo>
                                  <a:pt x="0" y="0"/>
                                </a:moveTo>
                                <a:lnTo>
                                  <a:pt x="1840928" y="0"/>
                                </a:lnTo>
                              </a:path>
                            </a:pathLst>
                          </a:custGeom>
                          <a:ln w="3175">
                            <a:solidFill>
                              <a:srgbClr val="636466"/>
                            </a:solidFill>
                            <a:prstDash val="solid"/>
                          </a:ln>
                        </wps:spPr>
                        <wps:bodyPr wrap="square" lIns="0" tIns="0" rIns="0" bIns="0" rtlCol="0">
                          <a:prstTxWarp prst="textNoShape">
                            <a:avLst/>
                          </a:prstTxWarp>
                          <a:noAutofit/>
                        </wps:bodyPr>
                      </wps:wsp>
                      <wps:wsp>
                        <wps:cNvPr id="1351" name="Graphic 1351"/>
                        <wps:cNvSpPr/>
                        <wps:spPr>
                          <a:xfrm>
                            <a:off x="1587" y="2896463"/>
                            <a:ext cx="2056130" cy="1270"/>
                          </a:xfrm>
                          <a:custGeom>
                            <a:avLst/>
                            <a:gdLst/>
                            <a:ahLst/>
                            <a:cxnLst/>
                            <a:rect l="l" t="t" r="r" b="b"/>
                            <a:pathLst>
                              <a:path w="2056130" h="0">
                                <a:moveTo>
                                  <a:pt x="0" y="0"/>
                                </a:moveTo>
                                <a:lnTo>
                                  <a:pt x="2055812" y="0"/>
                                </a:lnTo>
                              </a:path>
                            </a:pathLst>
                          </a:custGeom>
                          <a:ln w="3175">
                            <a:solidFill>
                              <a:srgbClr val="636466"/>
                            </a:solidFill>
                            <a:prstDash val="solid"/>
                          </a:ln>
                        </wps:spPr>
                        <wps:bodyPr wrap="square" lIns="0" tIns="0" rIns="0" bIns="0" rtlCol="0">
                          <a:prstTxWarp prst="textNoShape">
                            <a:avLst/>
                          </a:prstTxWarp>
                          <a:noAutofit/>
                        </wps:bodyPr>
                      </wps:wsp>
                      <wps:wsp>
                        <wps:cNvPr id="1352" name="Graphic 1352"/>
                        <wps:cNvSpPr/>
                        <wps:spPr>
                          <a:xfrm>
                            <a:off x="2231135" y="2896463"/>
                            <a:ext cx="1993900" cy="1270"/>
                          </a:xfrm>
                          <a:custGeom>
                            <a:avLst/>
                            <a:gdLst/>
                            <a:ahLst/>
                            <a:cxnLst/>
                            <a:rect l="l" t="t" r="r" b="b"/>
                            <a:pathLst>
                              <a:path w="1993900" h="0">
                                <a:moveTo>
                                  <a:pt x="0" y="0"/>
                                </a:moveTo>
                                <a:lnTo>
                                  <a:pt x="1993392" y="0"/>
                                </a:lnTo>
                              </a:path>
                            </a:pathLst>
                          </a:custGeom>
                          <a:ln w="3175">
                            <a:solidFill>
                              <a:srgbClr val="636466"/>
                            </a:solidFill>
                            <a:prstDash val="solid"/>
                          </a:ln>
                        </wps:spPr>
                        <wps:bodyPr wrap="square" lIns="0" tIns="0" rIns="0" bIns="0" rtlCol="0">
                          <a:prstTxWarp prst="textNoShape">
                            <a:avLst/>
                          </a:prstTxWarp>
                          <a:noAutofit/>
                        </wps:bodyPr>
                      </wps:wsp>
                      <wps:wsp>
                        <wps:cNvPr id="1353" name="Graphic 1353"/>
                        <wps:cNvSpPr/>
                        <wps:spPr>
                          <a:xfrm>
                            <a:off x="4389120" y="2896463"/>
                            <a:ext cx="1841500" cy="1270"/>
                          </a:xfrm>
                          <a:custGeom>
                            <a:avLst/>
                            <a:gdLst/>
                            <a:ahLst/>
                            <a:cxnLst/>
                            <a:rect l="l" t="t" r="r" b="b"/>
                            <a:pathLst>
                              <a:path w="1841500" h="0">
                                <a:moveTo>
                                  <a:pt x="0" y="0"/>
                                </a:moveTo>
                                <a:lnTo>
                                  <a:pt x="1840928" y="0"/>
                                </a:lnTo>
                              </a:path>
                            </a:pathLst>
                          </a:custGeom>
                          <a:ln w="3175">
                            <a:solidFill>
                              <a:srgbClr val="636466"/>
                            </a:solidFill>
                            <a:prstDash val="solid"/>
                          </a:ln>
                        </wps:spPr>
                        <wps:bodyPr wrap="square" lIns="0" tIns="0" rIns="0" bIns="0" rtlCol="0">
                          <a:prstTxWarp prst="textNoShape">
                            <a:avLst/>
                          </a:prstTxWarp>
                          <a:noAutofit/>
                        </wps:bodyPr>
                      </wps:wsp>
                      <wps:wsp>
                        <wps:cNvPr id="1354" name="Graphic 1354"/>
                        <wps:cNvSpPr/>
                        <wps:spPr>
                          <a:xfrm>
                            <a:off x="1587" y="5093258"/>
                            <a:ext cx="2056130" cy="1270"/>
                          </a:xfrm>
                          <a:custGeom>
                            <a:avLst/>
                            <a:gdLst/>
                            <a:ahLst/>
                            <a:cxnLst/>
                            <a:rect l="l" t="t" r="r" b="b"/>
                            <a:pathLst>
                              <a:path w="2056130" h="0">
                                <a:moveTo>
                                  <a:pt x="0" y="0"/>
                                </a:moveTo>
                                <a:lnTo>
                                  <a:pt x="2055812" y="0"/>
                                </a:lnTo>
                              </a:path>
                            </a:pathLst>
                          </a:custGeom>
                          <a:ln w="3175">
                            <a:solidFill>
                              <a:srgbClr val="636466"/>
                            </a:solidFill>
                            <a:prstDash val="solid"/>
                          </a:ln>
                        </wps:spPr>
                        <wps:bodyPr wrap="square" lIns="0" tIns="0" rIns="0" bIns="0" rtlCol="0">
                          <a:prstTxWarp prst="textNoShape">
                            <a:avLst/>
                          </a:prstTxWarp>
                          <a:noAutofit/>
                        </wps:bodyPr>
                      </wps:wsp>
                      <wps:wsp>
                        <wps:cNvPr id="1355" name="Graphic 1355"/>
                        <wps:cNvSpPr/>
                        <wps:spPr>
                          <a:xfrm>
                            <a:off x="2231135" y="5093258"/>
                            <a:ext cx="1993900" cy="1270"/>
                          </a:xfrm>
                          <a:custGeom>
                            <a:avLst/>
                            <a:gdLst/>
                            <a:ahLst/>
                            <a:cxnLst/>
                            <a:rect l="l" t="t" r="r" b="b"/>
                            <a:pathLst>
                              <a:path w="1993900" h="0">
                                <a:moveTo>
                                  <a:pt x="0" y="0"/>
                                </a:moveTo>
                                <a:lnTo>
                                  <a:pt x="1993392" y="0"/>
                                </a:lnTo>
                              </a:path>
                            </a:pathLst>
                          </a:custGeom>
                          <a:ln w="3175">
                            <a:solidFill>
                              <a:srgbClr val="636466"/>
                            </a:solidFill>
                            <a:prstDash val="solid"/>
                          </a:ln>
                        </wps:spPr>
                        <wps:bodyPr wrap="square" lIns="0" tIns="0" rIns="0" bIns="0" rtlCol="0">
                          <a:prstTxWarp prst="textNoShape">
                            <a:avLst/>
                          </a:prstTxWarp>
                          <a:noAutofit/>
                        </wps:bodyPr>
                      </wps:wsp>
                      <wps:wsp>
                        <wps:cNvPr id="1356" name="Graphic 1356"/>
                        <wps:cNvSpPr/>
                        <wps:spPr>
                          <a:xfrm>
                            <a:off x="4389120" y="5093258"/>
                            <a:ext cx="1841500" cy="1270"/>
                          </a:xfrm>
                          <a:custGeom>
                            <a:avLst/>
                            <a:gdLst/>
                            <a:ahLst/>
                            <a:cxnLst/>
                            <a:rect l="l" t="t" r="r" b="b"/>
                            <a:pathLst>
                              <a:path w="1841500" h="0">
                                <a:moveTo>
                                  <a:pt x="0" y="0"/>
                                </a:moveTo>
                                <a:lnTo>
                                  <a:pt x="1840928" y="0"/>
                                </a:lnTo>
                              </a:path>
                            </a:pathLst>
                          </a:custGeom>
                          <a:ln w="3175">
                            <a:solidFill>
                              <a:srgbClr val="636466"/>
                            </a:solidFill>
                            <a:prstDash val="solid"/>
                          </a:ln>
                        </wps:spPr>
                        <wps:bodyPr wrap="square" lIns="0" tIns="0" rIns="0" bIns="0" rtlCol="0">
                          <a:prstTxWarp prst="textNoShape">
                            <a:avLst/>
                          </a:prstTxWarp>
                          <a:noAutofit/>
                        </wps:bodyPr>
                      </wps:wsp>
                      <wps:wsp>
                        <wps:cNvPr id="1357" name="Graphic 1357"/>
                        <wps:cNvSpPr/>
                        <wps:spPr>
                          <a:xfrm>
                            <a:off x="1587" y="5491784"/>
                            <a:ext cx="2056130" cy="1270"/>
                          </a:xfrm>
                          <a:custGeom>
                            <a:avLst/>
                            <a:gdLst/>
                            <a:ahLst/>
                            <a:cxnLst/>
                            <a:rect l="l" t="t" r="r" b="b"/>
                            <a:pathLst>
                              <a:path w="2056130" h="0">
                                <a:moveTo>
                                  <a:pt x="0" y="0"/>
                                </a:moveTo>
                                <a:lnTo>
                                  <a:pt x="2055812" y="0"/>
                                </a:lnTo>
                              </a:path>
                            </a:pathLst>
                          </a:custGeom>
                          <a:ln w="3175">
                            <a:solidFill>
                              <a:srgbClr val="636466"/>
                            </a:solidFill>
                            <a:prstDash val="solid"/>
                          </a:ln>
                        </wps:spPr>
                        <wps:bodyPr wrap="square" lIns="0" tIns="0" rIns="0" bIns="0" rtlCol="0">
                          <a:prstTxWarp prst="textNoShape">
                            <a:avLst/>
                          </a:prstTxWarp>
                          <a:noAutofit/>
                        </wps:bodyPr>
                      </wps:wsp>
                      <wps:wsp>
                        <wps:cNvPr id="1358" name="Graphic 1358"/>
                        <wps:cNvSpPr/>
                        <wps:spPr>
                          <a:xfrm>
                            <a:off x="2231135" y="5491784"/>
                            <a:ext cx="1993900" cy="1270"/>
                          </a:xfrm>
                          <a:custGeom>
                            <a:avLst/>
                            <a:gdLst/>
                            <a:ahLst/>
                            <a:cxnLst/>
                            <a:rect l="l" t="t" r="r" b="b"/>
                            <a:pathLst>
                              <a:path w="1993900" h="0">
                                <a:moveTo>
                                  <a:pt x="0" y="0"/>
                                </a:moveTo>
                                <a:lnTo>
                                  <a:pt x="1993392" y="0"/>
                                </a:lnTo>
                              </a:path>
                            </a:pathLst>
                          </a:custGeom>
                          <a:ln w="3175">
                            <a:solidFill>
                              <a:srgbClr val="636466"/>
                            </a:solidFill>
                            <a:prstDash val="solid"/>
                          </a:ln>
                        </wps:spPr>
                        <wps:bodyPr wrap="square" lIns="0" tIns="0" rIns="0" bIns="0" rtlCol="0">
                          <a:prstTxWarp prst="textNoShape">
                            <a:avLst/>
                          </a:prstTxWarp>
                          <a:noAutofit/>
                        </wps:bodyPr>
                      </wps:wsp>
                      <wps:wsp>
                        <wps:cNvPr id="1359" name="Graphic 1359"/>
                        <wps:cNvSpPr/>
                        <wps:spPr>
                          <a:xfrm>
                            <a:off x="4389120" y="5491784"/>
                            <a:ext cx="1841500" cy="1270"/>
                          </a:xfrm>
                          <a:custGeom>
                            <a:avLst/>
                            <a:gdLst/>
                            <a:ahLst/>
                            <a:cxnLst/>
                            <a:rect l="l" t="t" r="r" b="b"/>
                            <a:pathLst>
                              <a:path w="1841500" h="0">
                                <a:moveTo>
                                  <a:pt x="0" y="0"/>
                                </a:moveTo>
                                <a:lnTo>
                                  <a:pt x="1840928" y="0"/>
                                </a:lnTo>
                              </a:path>
                            </a:pathLst>
                          </a:custGeom>
                          <a:ln w="3175">
                            <a:solidFill>
                              <a:srgbClr val="636466"/>
                            </a:solidFill>
                            <a:prstDash val="solid"/>
                          </a:ln>
                        </wps:spPr>
                        <wps:bodyPr wrap="square" lIns="0" tIns="0" rIns="0" bIns="0" rtlCol="0">
                          <a:prstTxWarp prst="textNoShape">
                            <a:avLst/>
                          </a:prstTxWarp>
                          <a:noAutofit/>
                        </wps:bodyPr>
                      </wps:wsp>
                      <wps:wsp>
                        <wps:cNvPr id="1360" name="Graphic 1360"/>
                        <wps:cNvSpPr/>
                        <wps:spPr>
                          <a:xfrm>
                            <a:off x="0" y="1587"/>
                            <a:ext cx="2057400" cy="1270"/>
                          </a:xfrm>
                          <a:custGeom>
                            <a:avLst/>
                            <a:gdLst/>
                            <a:ahLst/>
                            <a:cxnLst/>
                            <a:rect l="l" t="t" r="r" b="b"/>
                            <a:pathLst>
                              <a:path w="2057400" h="0">
                                <a:moveTo>
                                  <a:pt x="0" y="0"/>
                                </a:moveTo>
                                <a:lnTo>
                                  <a:pt x="2057400" y="0"/>
                                </a:lnTo>
                              </a:path>
                            </a:pathLst>
                          </a:custGeom>
                          <a:ln w="3175">
                            <a:solidFill>
                              <a:srgbClr val="636466"/>
                            </a:solidFill>
                            <a:prstDash val="solid"/>
                          </a:ln>
                        </wps:spPr>
                        <wps:bodyPr wrap="square" lIns="0" tIns="0" rIns="0" bIns="0" rtlCol="0">
                          <a:prstTxWarp prst="textNoShape">
                            <a:avLst/>
                          </a:prstTxWarp>
                          <a:noAutofit/>
                        </wps:bodyPr>
                      </wps:wsp>
                      <wps:wsp>
                        <wps:cNvPr id="1361" name="Graphic 1361"/>
                        <wps:cNvSpPr/>
                        <wps:spPr>
                          <a:xfrm>
                            <a:off x="1587" y="3175"/>
                            <a:ext cx="1270" cy="316865"/>
                          </a:xfrm>
                          <a:custGeom>
                            <a:avLst/>
                            <a:gdLst/>
                            <a:ahLst/>
                            <a:cxnLst/>
                            <a:rect l="l" t="t" r="r" b="b"/>
                            <a:pathLst>
                              <a:path w="0" h="316865">
                                <a:moveTo>
                                  <a:pt x="0" y="316610"/>
                                </a:moveTo>
                                <a:lnTo>
                                  <a:pt x="0" y="0"/>
                                </a:lnTo>
                              </a:path>
                            </a:pathLst>
                          </a:custGeom>
                          <a:ln w="3175">
                            <a:solidFill>
                              <a:srgbClr val="636466"/>
                            </a:solidFill>
                            <a:prstDash val="solid"/>
                          </a:ln>
                        </wps:spPr>
                        <wps:bodyPr wrap="square" lIns="0" tIns="0" rIns="0" bIns="0" rtlCol="0">
                          <a:prstTxWarp prst="textNoShape">
                            <a:avLst/>
                          </a:prstTxWarp>
                          <a:noAutofit/>
                        </wps:bodyPr>
                      </wps:wsp>
                      <wps:wsp>
                        <wps:cNvPr id="1362" name="Graphic 1362"/>
                        <wps:cNvSpPr/>
                        <wps:spPr>
                          <a:xfrm>
                            <a:off x="2057400" y="1587"/>
                            <a:ext cx="173990" cy="1270"/>
                          </a:xfrm>
                          <a:custGeom>
                            <a:avLst/>
                            <a:gdLst/>
                            <a:ahLst/>
                            <a:cxnLst/>
                            <a:rect l="l" t="t" r="r" b="b"/>
                            <a:pathLst>
                              <a:path w="173990" h="0">
                                <a:moveTo>
                                  <a:pt x="0" y="0"/>
                                </a:moveTo>
                                <a:lnTo>
                                  <a:pt x="173736" y="0"/>
                                </a:lnTo>
                              </a:path>
                            </a:pathLst>
                          </a:custGeom>
                          <a:ln w="3175">
                            <a:solidFill>
                              <a:srgbClr val="636466"/>
                            </a:solidFill>
                            <a:prstDash val="solid"/>
                          </a:ln>
                        </wps:spPr>
                        <wps:bodyPr wrap="square" lIns="0" tIns="0" rIns="0" bIns="0" rtlCol="0">
                          <a:prstTxWarp prst="textNoShape">
                            <a:avLst/>
                          </a:prstTxWarp>
                          <a:noAutofit/>
                        </wps:bodyPr>
                      </wps:wsp>
                      <wps:wsp>
                        <wps:cNvPr id="1363" name="Graphic 1363"/>
                        <wps:cNvSpPr/>
                        <wps:spPr>
                          <a:xfrm>
                            <a:off x="2231135" y="1587"/>
                            <a:ext cx="1993900" cy="1270"/>
                          </a:xfrm>
                          <a:custGeom>
                            <a:avLst/>
                            <a:gdLst/>
                            <a:ahLst/>
                            <a:cxnLst/>
                            <a:rect l="l" t="t" r="r" b="b"/>
                            <a:pathLst>
                              <a:path w="1993900" h="0">
                                <a:moveTo>
                                  <a:pt x="0" y="0"/>
                                </a:moveTo>
                                <a:lnTo>
                                  <a:pt x="1993392" y="0"/>
                                </a:lnTo>
                              </a:path>
                            </a:pathLst>
                          </a:custGeom>
                          <a:ln w="3175">
                            <a:solidFill>
                              <a:srgbClr val="636466"/>
                            </a:solidFill>
                            <a:prstDash val="solid"/>
                          </a:ln>
                        </wps:spPr>
                        <wps:bodyPr wrap="square" lIns="0" tIns="0" rIns="0" bIns="0" rtlCol="0">
                          <a:prstTxWarp prst="textNoShape">
                            <a:avLst/>
                          </a:prstTxWarp>
                          <a:noAutofit/>
                        </wps:bodyPr>
                      </wps:wsp>
                      <wps:wsp>
                        <wps:cNvPr id="1364" name="Graphic 1364"/>
                        <wps:cNvSpPr/>
                        <wps:spPr>
                          <a:xfrm>
                            <a:off x="4224528" y="1587"/>
                            <a:ext cx="165100" cy="1270"/>
                          </a:xfrm>
                          <a:custGeom>
                            <a:avLst/>
                            <a:gdLst/>
                            <a:ahLst/>
                            <a:cxnLst/>
                            <a:rect l="l" t="t" r="r" b="b"/>
                            <a:pathLst>
                              <a:path w="165100" h="0">
                                <a:moveTo>
                                  <a:pt x="0" y="0"/>
                                </a:moveTo>
                                <a:lnTo>
                                  <a:pt x="164592" y="0"/>
                                </a:lnTo>
                              </a:path>
                            </a:pathLst>
                          </a:custGeom>
                          <a:ln w="3175">
                            <a:solidFill>
                              <a:srgbClr val="636466"/>
                            </a:solidFill>
                            <a:prstDash val="solid"/>
                          </a:ln>
                        </wps:spPr>
                        <wps:bodyPr wrap="square" lIns="0" tIns="0" rIns="0" bIns="0" rtlCol="0">
                          <a:prstTxWarp prst="textNoShape">
                            <a:avLst/>
                          </a:prstTxWarp>
                          <a:noAutofit/>
                        </wps:bodyPr>
                      </wps:wsp>
                      <wps:wsp>
                        <wps:cNvPr id="1365" name="Graphic 1365"/>
                        <wps:cNvSpPr/>
                        <wps:spPr>
                          <a:xfrm>
                            <a:off x="4389120" y="1587"/>
                            <a:ext cx="1842770" cy="1270"/>
                          </a:xfrm>
                          <a:custGeom>
                            <a:avLst/>
                            <a:gdLst/>
                            <a:ahLst/>
                            <a:cxnLst/>
                            <a:rect l="l" t="t" r="r" b="b"/>
                            <a:pathLst>
                              <a:path w="1842770" h="0">
                                <a:moveTo>
                                  <a:pt x="0" y="0"/>
                                </a:moveTo>
                                <a:lnTo>
                                  <a:pt x="1842516" y="0"/>
                                </a:lnTo>
                              </a:path>
                            </a:pathLst>
                          </a:custGeom>
                          <a:ln w="3175">
                            <a:solidFill>
                              <a:srgbClr val="636466"/>
                            </a:solidFill>
                            <a:prstDash val="solid"/>
                          </a:ln>
                        </wps:spPr>
                        <wps:bodyPr wrap="square" lIns="0" tIns="0" rIns="0" bIns="0" rtlCol="0">
                          <a:prstTxWarp prst="textNoShape">
                            <a:avLst/>
                          </a:prstTxWarp>
                          <a:noAutofit/>
                        </wps:bodyPr>
                      </wps:wsp>
                      <wps:wsp>
                        <wps:cNvPr id="1366" name="Graphic 1366"/>
                        <wps:cNvSpPr/>
                        <wps:spPr>
                          <a:xfrm>
                            <a:off x="6230047" y="3175"/>
                            <a:ext cx="1270" cy="316865"/>
                          </a:xfrm>
                          <a:custGeom>
                            <a:avLst/>
                            <a:gdLst/>
                            <a:ahLst/>
                            <a:cxnLst/>
                            <a:rect l="l" t="t" r="r" b="b"/>
                            <a:pathLst>
                              <a:path w="0" h="316865">
                                <a:moveTo>
                                  <a:pt x="0" y="316610"/>
                                </a:moveTo>
                                <a:lnTo>
                                  <a:pt x="0" y="0"/>
                                </a:lnTo>
                              </a:path>
                            </a:pathLst>
                          </a:custGeom>
                          <a:ln w="3175">
                            <a:solidFill>
                              <a:srgbClr val="636466"/>
                            </a:solidFill>
                            <a:prstDash val="solid"/>
                          </a:ln>
                        </wps:spPr>
                        <wps:bodyPr wrap="square" lIns="0" tIns="0" rIns="0" bIns="0" rtlCol="0">
                          <a:prstTxWarp prst="textNoShape">
                            <a:avLst/>
                          </a:prstTxWarp>
                          <a:noAutofit/>
                        </wps:bodyPr>
                      </wps:wsp>
                      <wps:wsp>
                        <wps:cNvPr id="1367" name="Graphic 1367"/>
                        <wps:cNvSpPr/>
                        <wps:spPr>
                          <a:xfrm>
                            <a:off x="1587" y="592277"/>
                            <a:ext cx="2056130" cy="1270"/>
                          </a:xfrm>
                          <a:custGeom>
                            <a:avLst/>
                            <a:gdLst/>
                            <a:ahLst/>
                            <a:cxnLst/>
                            <a:rect l="l" t="t" r="r" b="b"/>
                            <a:pathLst>
                              <a:path w="2056130" h="0">
                                <a:moveTo>
                                  <a:pt x="0" y="0"/>
                                </a:moveTo>
                                <a:lnTo>
                                  <a:pt x="2055812" y="0"/>
                                </a:lnTo>
                              </a:path>
                            </a:pathLst>
                          </a:custGeom>
                          <a:ln w="3175">
                            <a:solidFill>
                              <a:srgbClr val="636466"/>
                            </a:solidFill>
                            <a:prstDash val="solid"/>
                          </a:ln>
                        </wps:spPr>
                        <wps:bodyPr wrap="square" lIns="0" tIns="0" rIns="0" bIns="0" rtlCol="0">
                          <a:prstTxWarp prst="textNoShape">
                            <a:avLst/>
                          </a:prstTxWarp>
                          <a:noAutofit/>
                        </wps:bodyPr>
                      </wps:wsp>
                      <wps:wsp>
                        <wps:cNvPr id="1368" name="Graphic 1368"/>
                        <wps:cNvSpPr/>
                        <wps:spPr>
                          <a:xfrm>
                            <a:off x="4389120" y="592277"/>
                            <a:ext cx="1841500" cy="1270"/>
                          </a:xfrm>
                          <a:custGeom>
                            <a:avLst/>
                            <a:gdLst/>
                            <a:ahLst/>
                            <a:cxnLst/>
                            <a:rect l="l" t="t" r="r" b="b"/>
                            <a:pathLst>
                              <a:path w="1841500" h="0">
                                <a:moveTo>
                                  <a:pt x="0" y="0"/>
                                </a:moveTo>
                                <a:lnTo>
                                  <a:pt x="1840928" y="0"/>
                                </a:lnTo>
                              </a:path>
                            </a:pathLst>
                          </a:custGeom>
                          <a:ln w="3175">
                            <a:solidFill>
                              <a:srgbClr val="636466"/>
                            </a:solidFill>
                            <a:prstDash val="solid"/>
                          </a:ln>
                        </wps:spPr>
                        <wps:bodyPr wrap="square" lIns="0" tIns="0" rIns="0" bIns="0" rtlCol="0">
                          <a:prstTxWarp prst="textNoShape">
                            <a:avLst/>
                          </a:prstTxWarp>
                          <a:noAutofit/>
                        </wps:bodyPr>
                      </wps:wsp>
                      <wps:wsp>
                        <wps:cNvPr id="1369" name="Graphic 1369"/>
                        <wps:cNvSpPr/>
                        <wps:spPr>
                          <a:xfrm>
                            <a:off x="1587" y="990803"/>
                            <a:ext cx="2056130" cy="1270"/>
                          </a:xfrm>
                          <a:custGeom>
                            <a:avLst/>
                            <a:gdLst/>
                            <a:ahLst/>
                            <a:cxnLst/>
                            <a:rect l="l" t="t" r="r" b="b"/>
                            <a:pathLst>
                              <a:path w="2056130" h="0">
                                <a:moveTo>
                                  <a:pt x="0" y="0"/>
                                </a:moveTo>
                                <a:lnTo>
                                  <a:pt x="2055812" y="0"/>
                                </a:lnTo>
                              </a:path>
                            </a:pathLst>
                          </a:custGeom>
                          <a:ln w="3175">
                            <a:solidFill>
                              <a:srgbClr val="636466"/>
                            </a:solidFill>
                            <a:prstDash val="solid"/>
                          </a:ln>
                        </wps:spPr>
                        <wps:bodyPr wrap="square" lIns="0" tIns="0" rIns="0" bIns="0" rtlCol="0">
                          <a:prstTxWarp prst="textNoShape">
                            <a:avLst/>
                          </a:prstTxWarp>
                          <a:noAutofit/>
                        </wps:bodyPr>
                      </wps:wsp>
                      <wps:wsp>
                        <wps:cNvPr id="1370" name="Graphic 1370"/>
                        <wps:cNvSpPr/>
                        <wps:spPr>
                          <a:xfrm>
                            <a:off x="4389120" y="990803"/>
                            <a:ext cx="1841500" cy="1270"/>
                          </a:xfrm>
                          <a:custGeom>
                            <a:avLst/>
                            <a:gdLst/>
                            <a:ahLst/>
                            <a:cxnLst/>
                            <a:rect l="l" t="t" r="r" b="b"/>
                            <a:pathLst>
                              <a:path w="1841500" h="0">
                                <a:moveTo>
                                  <a:pt x="0" y="0"/>
                                </a:moveTo>
                                <a:lnTo>
                                  <a:pt x="1840928" y="0"/>
                                </a:lnTo>
                              </a:path>
                            </a:pathLst>
                          </a:custGeom>
                          <a:ln w="3175">
                            <a:solidFill>
                              <a:srgbClr val="636466"/>
                            </a:solidFill>
                            <a:prstDash val="solid"/>
                          </a:ln>
                        </wps:spPr>
                        <wps:bodyPr wrap="square" lIns="0" tIns="0" rIns="0" bIns="0" rtlCol="0">
                          <a:prstTxWarp prst="textNoShape">
                            <a:avLst/>
                          </a:prstTxWarp>
                          <a:noAutofit/>
                        </wps:bodyPr>
                      </wps:wsp>
                      <wps:wsp>
                        <wps:cNvPr id="1371" name="Graphic 1371"/>
                        <wps:cNvSpPr/>
                        <wps:spPr>
                          <a:xfrm>
                            <a:off x="1587" y="1554429"/>
                            <a:ext cx="2056130" cy="1270"/>
                          </a:xfrm>
                          <a:custGeom>
                            <a:avLst/>
                            <a:gdLst/>
                            <a:ahLst/>
                            <a:cxnLst/>
                            <a:rect l="l" t="t" r="r" b="b"/>
                            <a:pathLst>
                              <a:path w="2056130" h="0">
                                <a:moveTo>
                                  <a:pt x="0" y="0"/>
                                </a:moveTo>
                                <a:lnTo>
                                  <a:pt x="2055812" y="0"/>
                                </a:lnTo>
                              </a:path>
                            </a:pathLst>
                          </a:custGeom>
                          <a:ln w="3175">
                            <a:solidFill>
                              <a:srgbClr val="636466"/>
                            </a:solidFill>
                            <a:prstDash val="solid"/>
                          </a:ln>
                        </wps:spPr>
                        <wps:bodyPr wrap="square" lIns="0" tIns="0" rIns="0" bIns="0" rtlCol="0">
                          <a:prstTxWarp prst="textNoShape">
                            <a:avLst/>
                          </a:prstTxWarp>
                          <a:noAutofit/>
                        </wps:bodyPr>
                      </wps:wsp>
                      <wps:wsp>
                        <wps:cNvPr id="1372" name="Graphic 1372"/>
                        <wps:cNvSpPr/>
                        <wps:spPr>
                          <a:xfrm>
                            <a:off x="4389120" y="1554429"/>
                            <a:ext cx="1841500" cy="1270"/>
                          </a:xfrm>
                          <a:custGeom>
                            <a:avLst/>
                            <a:gdLst/>
                            <a:ahLst/>
                            <a:cxnLst/>
                            <a:rect l="l" t="t" r="r" b="b"/>
                            <a:pathLst>
                              <a:path w="1841500" h="0">
                                <a:moveTo>
                                  <a:pt x="0" y="0"/>
                                </a:moveTo>
                                <a:lnTo>
                                  <a:pt x="1840928" y="0"/>
                                </a:lnTo>
                              </a:path>
                            </a:pathLst>
                          </a:custGeom>
                          <a:ln w="3175">
                            <a:solidFill>
                              <a:srgbClr val="636466"/>
                            </a:solidFill>
                            <a:prstDash val="solid"/>
                          </a:ln>
                        </wps:spPr>
                        <wps:bodyPr wrap="square" lIns="0" tIns="0" rIns="0" bIns="0" rtlCol="0">
                          <a:prstTxWarp prst="textNoShape">
                            <a:avLst/>
                          </a:prstTxWarp>
                          <a:noAutofit/>
                        </wps:bodyPr>
                      </wps:wsp>
                      <wps:wsp>
                        <wps:cNvPr id="1373" name="Graphic 1373"/>
                        <wps:cNvSpPr/>
                        <wps:spPr>
                          <a:xfrm>
                            <a:off x="1587" y="1826920"/>
                            <a:ext cx="2056130" cy="1270"/>
                          </a:xfrm>
                          <a:custGeom>
                            <a:avLst/>
                            <a:gdLst/>
                            <a:ahLst/>
                            <a:cxnLst/>
                            <a:rect l="l" t="t" r="r" b="b"/>
                            <a:pathLst>
                              <a:path w="2056130" h="0">
                                <a:moveTo>
                                  <a:pt x="0" y="0"/>
                                </a:moveTo>
                                <a:lnTo>
                                  <a:pt x="2055812" y="0"/>
                                </a:lnTo>
                              </a:path>
                            </a:pathLst>
                          </a:custGeom>
                          <a:ln w="3175">
                            <a:solidFill>
                              <a:srgbClr val="636466"/>
                            </a:solidFill>
                            <a:prstDash val="solid"/>
                          </a:ln>
                        </wps:spPr>
                        <wps:bodyPr wrap="square" lIns="0" tIns="0" rIns="0" bIns="0" rtlCol="0">
                          <a:prstTxWarp prst="textNoShape">
                            <a:avLst/>
                          </a:prstTxWarp>
                          <a:noAutofit/>
                        </wps:bodyPr>
                      </wps:wsp>
                      <wps:wsp>
                        <wps:cNvPr id="1374" name="Graphic 1374"/>
                        <wps:cNvSpPr/>
                        <wps:spPr>
                          <a:xfrm>
                            <a:off x="4389120" y="1826920"/>
                            <a:ext cx="1841500" cy="1270"/>
                          </a:xfrm>
                          <a:custGeom>
                            <a:avLst/>
                            <a:gdLst/>
                            <a:ahLst/>
                            <a:cxnLst/>
                            <a:rect l="l" t="t" r="r" b="b"/>
                            <a:pathLst>
                              <a:path w="1841500" h="0">
                                <a:moveTo>
                                  <a:pt x="0" y="0"/>
                                </a:moveTo>
                                <a:lnTo>
                                  <a:pt x="1840928" y="0"/>
                                </a:lnTo>
                              </a:path>
                            </a:pathLst>
                          </a:custGeom>
                          <a:ln w="3175">
                            <a:solidFill>
                              <a:srgbClr val="636466"/>
                            </a:solidFill>
                            <a:prstDash val="solid"/>
                          </a:ln>
                        </wps:spPr>
                        <wps:bodyPr wrap="square" lIns="0" tIns="0" rIns="0" bIns="0" rtlCol="0">
                          <a:prstTxWarp prst="textNoShape">
                            <a:avLst/>
                          </a:prstTxWarp>
                          <a:noAutofit/>
                        </wps:bodyPr>
                      </wps:wsp>
                      <wps:wsp>
                        <wps:cNvPr id="1375" name="Graphic 1375"/>
                        <wps:cNvSpPr/>
                        <wps:spPr>
                          <a:xfrm>
                            <a:off x="1587" y="2099411"/>
                            <a:ext cx="2056130" cy="1270"/>
                          </a:xfrm>
                          <a:custGeom>
                            <a:avLst/>
                            <a:gdLst/>
                            <a:ahLst/>
                            <a:cxnLst/>
                            <a:rect l="l" t="t" r="r" b="b"/>
                            <a:pathLst>
                              <a:path w="2056130" h="0">
                                <a:moveTo>
                                  <a:pt x="0" y="0"/>
                                </a:moveTo>
                                <a:lnTo>
                                  <a:pt x="2055812" y="0"/>
                                </a:lnTo>
                              </a:path>
                            </a:pathLst>
                          </a:custGeom>
                          <a:ln w="3175">
                            <a:solidFill>
                              <a:srgbClr val="636466"/>
                            </a:solidFill>
                            <a:prstDash val="solid"/>
                          </a:ln>
                        </wps:spPr>
                        <wps:bodyPr wrap="square" lIns="0" tIns="0" rIns="0" bIns="0" rtlCol="0">
                          <a:prstTxWarp prst="textNoShape">
                            <a:avLst/>
                          </a:prstTxWarp>
                          <a:noAutofit/>
                        </wps:bodyPr>
                      </wps:wsp>
                      <wps:wsp>
                        <wps:cNvPr id="1376" name="Graphic 1376"/>
                        <wps:cNvSpPr/>
                        <wps:spPr>
                          <a:xfrm>
                            <a:off x="4389120" y="2099411"/>
                            <a:ext cx="1841500" cy="1270"/>
                          </a:xfrm>
                          <a:custGeom>
                            <a:avLst/>
                            <a:gdLst/>
                            <a:ahLst/>
                            <a:cxnLst/>
                            <a:rect l="l" t="t" r="r" b="b"/>
                            <a:pathLst>
                              <a:path w="1841500" h="0">
                                <a:moveTo>
                                  <a:pt x="0" y="0"/>
                                </a:moveTo>
                                <a:lnTo>
                                  <a:pt x="1840928" y="0"/>
                                </a:lnTo>
                              </a:path>
                            </a:pathLst>
                          </a:custGeom>
                          <a:ln w="3175">
                            <a:solidFill>
                              <a:srgbClr val="636466"/>
                            </a:solidFill>
                            <a:prstDash val="solid"/>
                          </a:ln>
                        </wps:spPr>
                        <wps:bodyPr wrap="square" lIns="0" tIns="0" rIns="0" bIns="0" rtlCol="0">
                          <a:prstTxWarp prst="textNoShape">
                            <a:avLst/>
                          </a:prstTxWarp>
                          <a:noAutofit/>
                        </wps:bodyPr>
                      </wps:wsp>
                      <wps:wsp>
                        <wps:cNvPr id="1377" name="Graphic 1377"/>
                        <wps:cNvSpPr/>
                        <wps:spPr>
                          <a:xfrm>
                            <a:off x="1587" y="3294989"/>
                            <a:ext cx="2056130" cy="1270"/>
                          </a:xfrm>
                          <a:custGeom>
                            <a:avLst/>
                            <a:gdLst/>
                            <a:ahLst/>
                            <a:cxnLst/>
                            <a:rect l="l" t="t" r="r" b="b"/>
                            <a:pathLst>
                              <a:path w="2056130" h="0">
                                <a:moveTo>
                                  <a:pt x="0" y="0"/>
                                </a:moveTo>
                                <a:lnTo>
                                  <a:pt x="2055812" y="0"/>
                                </a:lnTo>
                              </a:path>
                            </a:pathLst>
                          </a:custGeom>
                          <a:ln w="3175">
                            <a:solidFill>
                              <a:srgbClr val="636466"/>
                            </a:solidFill>
                            <a:prstDash val="solid"/>
                          </a:ln>
                        </wps:spPr>
                        <wps:bodyPr wrap="square" lIns="0" tIns="0" rIns="0" bIns="0" rtlCol="0">
                          <a:prstTxWarp prst="textNoShape">
                            <a:avLst/>
                          </a:prstTxWarp>
                          <a:noAutofit/>
                        </wps:bodyPr>
                      </wps:wsp>
                      <wps:wsp>
                        <wps:cNvPr id="1378" name="Graphic 1378"/>
                        <wps:cNvSpPr/>
                        <wps:spPr>
                          <a:xfrm>
                            <a:off x="4389120" y="3294989"/>
                            <a:ext cx="1841500" cy="1270"/>
                          </a:xfrm>
                          <a:custGeom>
                            <a:avLst/>
                            <a:gdLst/>
                            <a:ahLst/>
                            <a:cxnLst/>
                            <a:rect l="l" t="t" r="r" b="b"/>
                            <a:pathLst>
                              <a:path w="1841500" h="0">
                                <a:moveTo>
                                  <a:pt x="0" y="0"/>
                                </a:moveTo>
                                <a:lnTo>
                                  <a:pt x="1840928" y="0"/>
                                </a:lnTo>
                              </a:path>
                            </a:pathLst>
                          </a:custGeom>
                          <a:ln w="3175">
                            <a:solidFill>
                              <a:srgbClr val="636466"/>
                            </a:solidFill>
                            <a:prstDash val="solid"/>
                          </a:ln>
                        </wps:spPr>
                        <wps:bodyPr wrap="square" lIns="0" tIns="0" rIns="0" bIns="0" rtlCol="0">
                          <a:prstTxWarp prst="textNoShape">
                            <a:avLst/>
                          </a:prstTxWarp>
                          <a:noAutofit/>
                        </wps:bodyPr>
                      </wps:wsp>
                      <wps:wsp>
                        <wps:cNvPr id="1379" name="Graphic 1379"/>
                        <wps:cNvSpPr/>
                        <wps:spPr>
                          <a:xfrm>
                            <a:off x="1587" y="3858615"/>
                            <a:ext cx="2056130" cy="1270"/>
                          </a:xfrm>
                          <a:custGeom>
                            <a:avLst/>
                            <a:gdLst/>
                            <a:ahLst/>
                            <a:cxnLst/>
                            <a:rect l="l" t="t" r="r" b="b"/>
                            <a:pathLst>
                              <a:path w="2056130" h="0">
                                <a:moveTo>
                                  <a:pt x="0" y="0"/>
                                </a:moveTo>
                                <a:lnTo>
                                  <a:pt x="2055812" y="0"/>
                                </a:lnTo>
                              </a:path>
                            </a:pathLst>
                          </a:custGeom>
                          <a:ln w="3175">
                            <a:solidFill>
                              <a:srgbClr val="636466"/>
                            </a:solidFill>
                            <a:prstDash val="solid"/>
                          </a:ln>
                        </wps:spPr>
                        <wps:bodyPr wrap="square" lIns="0" tIns="0" rIns="0" bIns="0" rtlCol="0">
                          <a:prstTxWarp prst="textNoShape">
                            <a:avLst/>
                          </a:prstTxWarp>
                          <a:noAutofit/>
                        </wps:bodyPr>
                      </wps:wsp>
                      <wps:wsp>
                        <wps:cNvPr id="1380" name="Graphic 1380"/>
                        <wps:cNvSpPr/>
                        <wps:spPr>
                          <a:xfrm>
                            <a:off x="4389120" y="3858615"/>
                            <a:ext cx="1841500" cy="1270"/>
                          </a:xfrm>
                          <a:custGeom>
                            <a:avLst/>
                            <a:gdLst/>
                            <a:ahLst/>
                            <a:cxnLst/>
                            <a:rect l="l" t="t" r="r" b="b"/>
                            <a:pathLst>
                              <a:path w="1841500" h="0">
                                <a:moveTo>
                                  <a:pt x="0" y="0"/>
                                </a:moveTo>
                                <a:lnTo>
                                  <a:pt x="1840928" y="0"/>
                                </a:lnTo>
                              </a:path>
                            </a:pathLst>
                          </a:custGeom>
                          <a:ln w="3175">
                            <a:solidFill>
                              <a:srgbClr val="636466"/>
                            </a:solidFill>
                            <a:prstDash val="solid"/>
                          </a:ln>
                        </wps:spPr>
                        <wps:bodyPr wrap="square" lIns="0" tIns="0" rIns="0" bIns="0" rtlCol="0">
                          <a:prstTxWarp prst="textNoShape">
                            <a:avLst/>
                          </a:prstTxWarp>
                          <a:noAutofit/>
                        </wps:bodyPr>
                      </wps:wsp>
                      <wps:wsp>
                        <wps:cNvPr id="1381" name="Graphic 1381"/>
                        <wps:cNvSpPr/>
                        <wps:spPr>
                          <a:xfrm>
                            <a:off x="1587" y="4257141"/>
                            <a:ext cx="2056130" cy="1270"/>
                          </a:xfrm>
                          <a:custGeom>
                            <a:avLst/>
                            <a:gdLst/>
                            <a:ahLst/>
                            <a:cxnLst/>
                            <a:rect l="l" t="t" r="r" b="b"/>
                            <a:pathLst>
                              <a:path w="2056130" h="0">
                                <a:moveTo>
                                  <a:pt x="0" y="0"/>
                                </a:moveTo>
                                <a:lnTo>
                                  <a:pt x="2055812" y="0"/>
                                </a:lnTo>
                              </a:path>
                            </a:pathLst>
                          </a:custGeom>
                          <a:ln w="3175">
                            <a:solidFill>
                              <a:srgbClr val="636466"/>
                            </a:solidFill>
                            <a:prstDash val="solid"/>
                          </a:ln>
                        </wps:spPr>
                        <wps:bodyPr wrap="square" lIns="0" tIns="0" rIns="0" bIns="0" rtlCol="0">
                          <a:prstTxWarp prst="textNoShape">
                            <a:avLst/>
                          </a:prstTxWarp>
                          <a:noAutofit/>
                        </wps:bodyPr>
                      </wps:wsp>
                      <wps:wsp>
                        <wps:cNvPr id="1382" name="Graphic 1382"/>
                        <wps:cNvSpPr/>
                        <wps:spPr>
                          <a:xfrm>
                            <a:off x="4389120" y="4257141"/>
                            <a:ext cx="1841500" cy="1270"/>
                          </a:xfrm>
                          <a:custGeom>
                            <a:avLst/>
                            <a:gdLst/>
                            <a:ahLst/>
                            <a:cxnLst/>
                            <a:rect l="l" t="t" r="r" b="b"/>
                            <a:pathLst>
                              <a:path w="1841500" h="0">
                                <a:moveTo>
                                  <a:pt x="0" y="0"/>
                                </a:moveTo>
                                <a:lnTo>
                                  <a:pt x="1840928" y="0"/>
                                </a:lnTo>
                              </a:path>
                            </a:pathLst>
                          </a:custGeom>
                          <a:ln w="3175">
                            <a:solidFill>
                              <a:srgbClr val="636466"/>
                            </a:solidFill>
                            <a:prstDash val="solid"/>
                          </a:ln>
                        </wps:spPr>
                        <wps:bodyPr wrap="square" lIns="0" tIns="0" rIns="0" bIns="0" rtlCol="0">
                          <a:prstTxWarp prst="textNoShape">
                            <a:avLst/>
                          </a:prstTxWarp>
                          <a:noAutofit/>
                        </wps:bodyPr>
                      </wps:wsp>
                      <wps:wsp>
                        <wps:cNvPr id="1383" name="Graphic 1383"/>
                        <wps:cNvSpPr/>
                        <wps:spPr>
                          <a:xfrm>
                            <a:off x="1587" y="4820767"/>
                            <a:ext cx="2056130" cy="1270"/>
                          </a:xfrm>
                          <a:custGeom>
                            <a:avLst/>
                            <a:gdLst/>
                            <a:ahLst/>
                            <a:cxnLst/>
                            <a:rect l="l" t="t" r="r" b="b"/>
                            <a:pathLst>
                              <a:path w="2056130" h="0">
                                <a:moveTo>
                                  <a:pt x="0" y="0"/>
                                </a:moveTo>
                                <a:lnTo>
                                  <a:pt x="2055812" y="0"/>
                                </a:lnTo>
                              </a:path>
                            </a:pathLst>
                          </a:custGeom>
                          <a:ln w="3175">
                            <a:solidFill>
                              <a:srgbClr val="636466"/>
                            </a:solidFill>
                            <a:prstDash val="solid"/>
                          </a:ln>
                        </wps:spPr>
                        <wps:bodyPr wrap="square" lIns="0" tIns="0" rIns="0" bIns="0" rtlCol="0">
                          <a:prstTxWarp prst="textNoShape">
                            <a:avLst/>
                          </a:prstTxWarp>
                          <a:noAutofit/>
                        </wps:bodyPr>
                      </wps:wsp>
                      <wps:wsp>
                        <wps:cNvPr id="1384" name="Graphic 1384"/>
                        <wps:cNvSpPr/>
                        <wps:spPr>
                          <a:xfrm>
                            <a:off x="4389120" y="4820767"/>
                            <a:ext cx="1841500" cy="1270"/>
                          </a:xfrm>
                          <a:custGeom>
                            <a:avLst/>
                            <a:gdLst/>
                            <a:ahLst/>
                            <a:cxnLst/>
                            <a:rect l="l" t="t" r="r" b="b"/>
                            <a:pathLst>
                              <a:path w="1841500" h="0">
                                <a:moveTo>
                                  <a:pt x="0" y="0"/>
                                </a:moveTo>
                                <a:lnTo>
                                  <a:pt x="1840928" y="0"/>
                                </a:lnTo>
                              </a:path>
                            </a:pathLst>
                          </a:custGeom>
                          <a:ln w="3175">
                            <a:solidFill>
                              <a:srgbClr val="636466"/>
                            </a:solidFill>
                            <a:prstDash val="solid"/>
                          </a:ln>
                        </wps:spPr>
                        <wps:bodyPr wrap="square" lIns="0" tIns="0" rIns="0" bIns="0" rtlCol="0">
                          <a:prstTxWarp prst="textNoShape">
                            <a:avLst/>
                          </a:prstTxWarp>
                          <a:noAutofit/>
                        </wps:bodyPr>
                      </wps:wsp>
                      <wps:wsp>
                        <wps:cNvPr id="1385" name="Textbox 1385"/>
                        <wps:cNvSpPr txBox="1"/>
                        <wps:spPr>
                          <a:xfrm>
                            <a:off x="52387" y="375894"/>
                            <a:ext cx="1963420" cy="2033905"/>
                          </a:xfrm>
                          <a:prstGeom prst="rect">
                            <a:avLst/>
                          </a:prstGeom>
                        </wps:spPr>
                        <wps:txbx>
                          <w:txbxContent>
                            <w:p>
                              <w:pPr>
                                <w:spacing w:before="13"/>
                                <w:ind w:left="0" w:right="0" w:firstLine="0"/>
                                <w:jc w:val="left"/>
                                <w:rPr>
                                  <w:sz w:val="22"/>
                                </w:rPr>
                              </w:pPr>
                              <w:r>
                                <w:rPr>
                                  <w:color w:val="105C84"/>
                                  <w:sz w:val="22"/>
                                </w:rPr>
                                <w:t>Steuben</w:t>
                              </w:r>
                              <w:r>
                                <w:rPr>
                                  <w:color w:val="105C84"/>
                                  <w:spacing w:val="6"/>
                                  <w:sz w:val="22"/>
                                </w:rPr>
                                <w:t> </w:t>
                              </w:r>
                              <w:r>
                                <w:rPr>
                                  <w:color w:val="105C84"/>
                                  <w:sz w:val="22"/>
                                </w:rPr>
                                <w:t>County</w:t>
                              </w:r>
                              <w:r>
                                <w:rPr>
                                  <w:color w:val="105C84"/>
                                  <w:spacing w:val="7"/>
                                  <w:sz w:val="22"/>
                                </w:rPr>
                                <w:t> </w:t>
                              </w:r>
                              <w:r>
                                <w:rPr>
                                  <w:color w:val="105C84"/>
                                  <w:sz w:val="22"/>
                                </w:rPr>
                                <w:t>Public</w:t>
                              </w:r>
                              <w:r>
                                <w:rPr>
                                  <w:color w:val="105C84"/>
                                  <w:spacing w:val="7"/>
                                  <w:sz w:val="22"/>
                                </w:rPr>
                                <w:t> </w:t>
                              </w:r>
                              <w:r>
                                <w:rPr>
                                  <w:color w:val="105C84"/>
                                  <w:spacing w:val="-2"/>
                                  <w:sz w:val="22"/>
                                </w:rPr>
                                <w:t>Health</w:t>
                              </w:r>
                            </w:p>
                            <w:p>
                              <w:pPr>
                                <w:spacing w:line="240" w:lineRule="auto" w:before="23"/>
                                <w:rPr>
                                  <w:sz w:val="22"/>
                                </w:rPr>
                              </w:pPr>
                            </w:p>
                            <w:p>
                              <w:pPr>
                                <w:spacing w:before="0"/>
                                <w:ind w:left="0" w:right="0" w:firstLine="0"/>
                                <w:jc w:val="left"/>
                                <w:rPr>
                                  <w:sz w:val="22"/>
                                </w:rPr>
                              </w:pPr>
                              <w:r>
                                <w:rPr>
                                  <w:color w:val="105C84"/>
                                  <w:sz w:val="22"/>
                                </w:rPr>
                                <w:t>Canisteo</w:t>
                              </w:r>
                              <w:r>
                                <w:rPr>
                                  <w:color w:val="105C84"/>
                                  <w:spacing w:val="-12"/>
                                  <w:sz w:val="22"/>
                                </w:rPr>
                                <w:t> </w:t>
                              </w:r>
                              <w:r>
                                <w:rPr>
                                  <w:color w:val="105C84"/>
                                  <w:sz w:val="22"/>
                                </w:rPr>
                                <w:t>Valley</w:t>
                              </w:r>
                              <w:r>
                                <w:rPr>
                                  <w:color w:val="105C84"/>
                                  <w:spacing w:val="-11"/>
                                  <w:sz w:val="22"/>
                                </w:rPr>
                                <w:t> </w:t>
                              </w:r>
                              <w:r>
                                <w:rPr>
                                  <w:color w:val="105C84"/>
                                  <w:sz w:val="22"/>
                                </w:rPr>
                                <w:t>Family</w:t>
                              </w:r>
                              <w:r>
                                <w:rPr>
                                  <w:color w:val="105C84"/>
                                  <w:spacing w:val="-12"/>
                                  <w:sz w:val="22"/>
                                </w:rPr>
                                <w:t> </w:t>
                              </w:r>
                              <w:r>
                                <w:rPr>
                                  <w:color w:val="105C84"/>
                                  <w:spacing w:val="-2"/>
                                  <w:sz w:val="22"/>
                                </w:rPr>
                                <w:t>Practice</w:t>
                              </w:r>
                            </w:p>
                            <w:p>
                              <w:pPr>
                                <w:spacing w:line="247" w:lineRule="auto" w:before="244"/>
                                <w:ind w:left="0" w:right="0" w:firstLine="0"/>
                                <w:jc w:val="left"/>
                                <w:rPr>
                                  <w:sz w:val="22"/>
                                </w:rPr>
                              </w:pPr>
                              <w:r>
                                <w:rPr>
                                  <w:color w:val="105C84"/>
                                  <w:sz w:val="22"/>
                                </w:rPr>
                                <w:t>Steuben Rural Health </w:t>
                              </w:r>
                              <w:r>
                                <w:rPr>
                                  <w:color w:val="105C84"/>
                                  <w:sz w:val="22"/>
                                </w:rPr>
                                <w:t>Network at the Institute for Human Services, Inc.</w:t>
                              </w:r>
                            </w:p>
                            <w:p>
                              <w:pPr>
                                <w:spacing w:line="408" w:lineRule="auto" w:before="137"/>
                                <w:ind w:left="0" w:right="615" w:firstLine="0"/>
                                <w:jc w:val="left"/>
                                <w:rPr>
                                  <w:sz w:val="22"/>
                                </w:rPr>
                              </w:pPr>
                              <w:r>
                                <w:rPr>
                                  <w:color w:val="105C84"/>
                                  <w:sz w:val="22"/>
                                </w:rPr>
                                <w:t>UR</w:t>
                              </w:r>
                              <w:r>
                                <w:rPr>
                                  <w:color w:val="105C84"/>
                                  <w:spacing w:val="-16"/>
                                  <w:sz w:val="22"/>
                                </w:rPr>
                                <w:t> </w:t>
                              </w:r>
                              <w:r>
                                <w:rPr>
                                  <w:color w:val="105C84"/>
                                  <w:sz w:val="22"/>
                                </w:rPr>
                                <w:t>St.</w:t>
                              </w:r>
                              <w:r>
                                <w:rPr>
                                  <w:color w:val="105C84"/>
                                  <w:spacing w:val="-15"/>
                                  <w:sz w:val="22"/>
                                </w:rPr>
                                <w:t> </w:t>
                              </w:r>
                              <w:r>
                                <w:rPr>
                                  <w:color w:val="105C84"/>
                                  <w:sz w:val="22"/>
                                </w:rPr>
                                <w:t>James</w:t>
                              </w:r>
                              <w:r>
                                <w:rPr>
                                  <w:color w:val="105C84"/>
                                  <w:spacing w:val="-15"/>
                                  <w:sz w:val="22"/>
                                </w:rPr>
                                <w:t> </w:t>
                              </w:r>
                              <w:r>
                                <w:rPr>
                                  <w:color w:val="105C84"/>
                                  <w:sz w:val="22"/>
                                </w:rPr>
                                <w:t>Hospital Arc of Steuben</w:t>
                              </w:r>
                            </w:p>
                            <w:p>
                              <w:pPr>
                                <w:spacing w:before="98"/>
                                <w:ind w:left="0" w:right="0" w:firstLine="0"/>
                                <w:jc w:val="left"/>
                                <w:rPr>
                                  <w:sz w:val="22"/>
                                </w:rPr>
                              </w:pPr>
                              <w:r>
                                <w:rPr>
                                  <w:color w:val="105C84"/>
                                  <w:sz w:val="22"/>
                                </w:rPr>
                                <w:t>Steuben</w:t>
                              </w:r>
                              <w:r>
                                <w:rPr>
                                  <w:color w:val="105C84"/>
                                  <w:spacing w:val="3"/>
                                  <w:sz w:val="22"/>
                                </w:rPr>
                                <w:t> </w:t>
                              </w:r>
                              <w:r>
                                <w:rPr>
                                  <w:color w:val="105C84"/>
                                  <w:sz w:val="22"/>
                                </w:rPr>
                                <w:t>Prevention</w:t>
                              </w:r>
                              <w:r>
                                <w:rPr>
                                  <w:color w:val="105C84"/>
                                  <w:spacing w:val="4"/>
                                  <w:sz w:val="22"/>
                                </w:rPr>
                                <w:t> </w:t>
                              </w:r>
                              <w:r>
                                <w:rPr>
                                  <w:color w:val="105C84"/>
                                  <w:spacing w:val="-2"/>
                                  <w:sz w:val="22"/>
                                </w:rPr>
                                <w:t>Coalition</w:t>
                              </w:r>
                            </w:p>
                          </w:txbxContent>
                        </wps:txbx>
                        <wps:bodyPr wrap="square" lIns="0" tIns="0" rIns="0" bIns="0" rtlCol="0">
                          <a:noAutofit/>
                        </wps:bodyPr>
                      </wps:wsp>
                      <wps:wsp>
                        <wps:cNvPr id="1386" name="Textbox 1386"/>
                        <wps:cNvSpPr txBox="1"/>
                        <wps:spPr>
                          <a:xfrm>
                            <a:off x="2281999" y="375894"/>
                            <a:ext cx="1722755" cy="526415"/>
                          </a:xfrm>
                          <a:prstGeom prst="rect">
                            <a:avLst/>
                          </a:prstGeom>
                        </wps:spPr>
                        <wps:txbx>
                          <w:txbxContent>
                            <w:p>
                              <w:pPr>
                                <w:spacing w:before="13"/>
                                <w:ind w:left="0" w:right="0" w:firstLine="0"/>
                                <w:jc w:val="left"/>
                                <w:rPr>
                                  <w:sz w:val="22"/>
                                </w:rPr>
                              </w:pPr>
                              <w:r>
                                <w:rPr>
                                  <w:color w:val="105C84"/>
                                  <w:spacing w:val="-4"/>
                                  <w:sz w:val="22"/>
                                </w:rPr>
                                <w:t>S2AY</w:t>
                              </w:r>
                              <w:r>
                                <w:rPr>
                                  <w:color w:val="105C84"/>
                                  <w:spacing w:val="-5"/>
                                  <w:sz w:val="22"/>
                                </w:rPr>
                                <w:t> </w:t>
                              </w:r>
                              <w:r>
                                <w:rPr>
                                  <w:color w:val="105C84"/>
                                  <w:spacing w:val="-4"/>
                                  <w:sz w:val="22"/>
                                </w:rPr>
                                <w:t>Rural</w:t>
                              </w:r>
                              <w:r>
                                <w:rPr>
                                  <w:color w:val="105C84"/>
                                  <w:spacing w:val="-5"/>
                                  <w:sz w:val="22"/>
                                </w:rPr>
                                <w:t> </w:t>
                              </w:r>
                              <w:r>
                                <w:rPr>
                                  <w:color w:val="105C84"/>
                                  <w:spacing w:val="-4"/>
                                  <w:sz w:val="22"/>
                                </w:rPr>
                                <w:t>Health Network</w:t>
                              </w:r>
                            </w:p>
                            <w:p>
                              <w:pPr>
                                <w:spacing w:line="240" w:lineRule="auto" w:before="23"/>
                                <w:rPr>
                                  <w:sz w:val="22"/>
                                </w:rPr>
                              </w:pPr>
                            </w:p>
                            <w:p>
                              <w:pPr>
                                <w:spacing w:before="0"/>
                                <w:ind w:left="0" w:right="0" w:firstLine="0"/>
                                <w:jc w:val="left"/>
                                <w:rPr>
                                  <w:sz w:val="22"/>
                                </w:rPr>
                              </w:pPr>
                              <w:r>
                                <w:rPr>
                                  <w:color w:val="105C84"/>
                                  <w:sz w:val="22"/>
                                </w:rPr>
                                <w:t>Bath</w:t>
                              </w:r>
                              <w:r>
                                <w:rPr>
                                  <w:color w:val="105C84"/>
                                  <w:spacing w:val="-3"/>
                                  <w:sz w:val="22"/>
                                </w:rPr>
                                <w:t> </w:t>
                              </w:r>
                              <w:r>
                                <w:rPr>
                                  <w:color w:val="105C84"/>
                                  <w:sz w:val="22"/>
                                </w:rPr>
                                <w:t>School</w:t>
                              </w:r>
                              <w:r>
                                <w:rPr>
                                  <w:color w:val="105C84"/>
                                  <w:spacing w:val="-3"/>
                                  <w:sz w:val="22"/>
                                </w:rPr>
                                <w:t> </w:t>
                              </w:r>
                              <w:r>
                                <w:rPr>
                                  <w:color w:val="105C84"/>
                                  <w:spacing w:val="-2"/>
                                  <w:sz w:val="22"/>
                                </w:rPr>
                                <w:t>District</w:t>
                              </w:r>
                            </w:p>
                          </w:txbxContent>
                        </wps:txbx>
                        <wps:bodyPr wrap="square" lIns="0" tIns="0" rIns="0" bIns="0" rtlCol="0">
                          <a:noAutofit/>
                        </wps:bodyPr>
                      </wps:wsp>
                      <wps:wsp>
                        <wps:cNvPr id="1387" name="Textbox 1387"/>
                        <wps:cNvSpPr txBox="1"/>
                        <wps:spPr>
                          <a:xfrm>
                            <a:off x="2281999" y="1192580"/>
                            <a:ext cx="234950" cy="191135"/>
                          </a:xfrm>
                          <a:prstGeom prst="rect">
                            <a:avLst/>
                          </a:prstGeom>
                        </wps:spPr>
                        <wps:txbx>
                          <w:txbxContent>
                            <w:p>
                              <w:pPr>
                                <w:spacing w:before="13"/>
                                <w:ind w:left="0" w:right="0" w:firstLine="0"/>
                                <w:jc w:val="left"/>
                                <w:rPr>
                                  <w:sz w:val="22"/>
                                </w:rPr>
                              </w:pPr>
                              <w:r>
                                <w:rPr>
                                  <w:color w:val="105C84"/>
                                  <w:spacing w:val="-5"/>
                                  <w:sz w:val="22"/>
                                </w:rPr>
                                <w:t>211</w:t>
                              </w:r>
                            </w:p>
                          </w:txbxContent>
                        </wps:txbx>
                        <wps:bodyPr wrap="square" lIns="0" tIns="0" rIns="0" bIns="0" rtlCol="0">
                          <a:noAutofit/>
                        </wps:bodyPr>
                      </wps:wsp>
                      <wps:wsp>
                        <wps:cNvPr id="1388" name="Textbox 1388"/>
                        <wps:cNvSpPr txBox="1"/>
                        <wps:spPr>
                          <a:xfrm>
                            <a:off x="52387" y="2617381"/>
                            <a:ext cx="1951355" cy="2787015"/>
                          </a:xfrm>
                          <a:prstGeom prst="rect">
                            <a:avLst/>
                          </a:prstGeom>
                        </wps:spPr>
                        <wps:txbx>
                          <w:txbxContent>
                            <w:p>
                              <w:pPr>
                                <w:spacing w:before="13"/>
                                <w:ind w:left="0" w:right="0" w:firstLine="0"/>
                                <w:jc w:val="left"/>
                                <w:rPr>
                                  <w:sz w:val="22"/>
                                </w:rPr>
                              </w:pPr>
                              <w:r>
                                <w:rPr>
                                  <w:color w:val="105C84"/>
                                  <w:sz w:val="22"/>
                                </w:rPr>
                                <w:t>Healthy</w:t>
                              </w:r>
                              <w:r>
                                <w:rPr>
                                  <w:color w:val="105C84"/>
                                  <w:spacing w:val="-1"/>
                                  <w:sz w:val="22"/>
                                </w:rPr>
                                <w:t> </w:t>
                              </w:r>
                              <w:r>
                                <w:rPr>
                                  <w:color w:val="105C84"/>
                                  <w:sz w:val="22"/>
                                </w:rPr>
                                <w:t>Families</w:t>
                              </w:r>
                              <w:r>
                                <w:rPr>
                                  <w:color w:val="105C84"/>
                                  <w:spacing w:val="-1"/>
                                  <w:sz w:val="22"/>
                                </w:rPr>
                                <w:t> </w:t>
                              </w:r>
                              <w:r>
                                <w:rPr>
                                  <w:color w:val="105C84"/>
                                  <w:spacing w:val="-2"/>
                                  <w:sz w:val="22"/>
                                </w:rPr>
                                <w:t>Steuben</w:t>
                              </w:r>
                            </w:p>
                            <w:p>
                              <w:pPr>
                                <w:spacing w:line="247" w:lineRule="auto" w:before="245"/>
                                <w:ind w:left="0" w:right="0" w:firstLine="0"/>
                                <w:jc w:val="left"/>
                                <w:rPr>
                                  <w:sz w:val="22"/>
                                </w:rPr>
                              </w:pPr>
                              <w:r>
                                <w:rPr>
                                  <w:color w:val="105C84"/>
                                  <w:sz w:val="22"/>
                                </w:rPr>
                                <w:t>Southern</w:t>
                              </w:r>
                              <w:r>
                                <w:rPr>
                                  <w:color w:val="105C84"/>
                                  <w:spacing w:val="-11"/>
                                  <w:sz w:val="22"/>
                                </w:rPr>
                                <w:t> </w:t>
                              </w:r>
                              <w:r>
                                <w:rPr>
                                  <w:color w:val="105C84"/>
                                  <w:sz w:val="22"/>
                                </w:rPr>
                                <w:t>Tier</w:t>
                              </w:r>
                              <w:r>
                                <w:rPr>
                                  <w:color w:val="105C84"/>
                                  <w:spacing w:val="-12"/>
                                  <w:sz w:val="22"/>
                                </w:rPr>
                                <w:t> </w:t>
                              </w:r>
                              <w:r>
                                <w:rPr>
                                  <w:color w:val="105C84"/>
                                  <w:sz w:val="22"/>
                                </w:rPr>
                                <w:t>Tobacco Awareness Coalition</w:t>
                              </w:r>
                            </w:p>
                            <w:p>
                              <w:pPr>
                                <w:spacing w:line="247" w:lineRule="auto" w:before="107"/>
                                <w:ind w:left="0" w:right="0" w:firstLine="0"/>
                                <w:jc w:val="left"/>
                                <w:rPr>
                                  <w:sz w:val="22"/>
                                </w:rPr>
                              </w:pPr>
                              <w:r>
                                <w:rPr>
                                  <w:color w:val="105C84"/>
                                  <w:sz w:val="22"/>
                                </w:rPr>
                                <w:t>Cornell Cooperative </w:t>
                              </w:r>
                              <w:r>
                                <w:rPr>
                                  <w:color w:val="105C84"/>
                                  <w:sz w:val="22"/>
                                </w:rPr>
                                <w:t>Extension </w:t>
                              </w:r>
                              <w:r>
                                <w:rPr>
                                  <w:color w:val="105C84"/>
                                  <w:w w:val="105"/>
                                  <w:sz w:val="22"/>
                                </w:rPr>
                                <w:t>of Steuben / Finger Lakes</w:t>
                              </w:r>
                            </w:p>
                            <w:p>
                              <w:pPr>
                                <w:spacing w:line="252" w:lineRule="exact" w:before="0"/>
                                <w:ind w:left="0" w:right="0" w:firstLine="0"/>
                                <w:jc w:val="left"/>
                                <w:rPr>
                                  <w:sz w:val="22"/>
                                </w:rPr>
                              </w:pPr>
                              <w:r>
                                <w:rPr>
                                  <w:color w:val="105C84"/>
                                  <w:sz w:val="22"/>
                                </w:rPr>
                                <w:t>Eat</w:t>
                              </w:r>
                              <w:r>
                                <w:rPr>
                                  <w:color w:val="105C84"/>
                                  <w:spacing w:val="-10"/>
                                  <w:sz w:val="22"/>
                                </w:rPr>
                                <w:t> </w:t>
                              </w:r>
                              <w:r>
                                <w:rPr>
                                  <w:color w:val="105C84"/>
                                  <w:sz w:val="22"/>
                                </w:rPr>
                                <w:t>Smart</w:t>
                              </w:r>
                              <w:r>
                                <w:rPr>
                                  <w:color w:val="105C84"/>
                                  <w:spacing w:val="-9"/>
                                  <w:sz w:val="22"/>
                                </w:rPr>
                                <w:t> </w:t>
                              </w:r>
                              <w:r>
                                <w:rPr>
                                  <w:color w:val="105C84"/>
                                  <w:spacing w:val="-5"/>
                                  <w:sz w:val="22"/>
                                </w:rPr>
                                <w:t>NY</w:t>
                              </w:r>
                            </w:p>
                            <w:p>
                              <w:pPr>
                                <w:spacing w:line="247" w:lineRule="auto" w:before="114"/>
                                <w:ind w:left="0" w:right="1350" w:firstLine="0"/>
                                <w:jc w:val="both"/>
                                <w:rPr>
                                  <w:sz w:val="22"/>
                                </w:rPr>
                              </w:pPr>
                              <w:r>
                                <w:rPr>
                                  <w:color w:val="105C84"/>
                                  <w:sz w:val="22"/>
                                </w:rPr>
                                <w:t>Food Bank of </w:t>
                              </w:r>
                              <w:r>
                                <w:rPr>
                                  <w:color w:val="105C84"/>
                                  <w:sz w:val="22"/>
                                </w:rPr>
                                <w:t>the Southern Tier</w:t>
                              </w:r>
                            </w:p>
                            <w:p>
                              <w:pPr>
                                <w:spacing w:line="247" w:lineRule="auto" w:before="107"/>
                                <w:ind w:left="0" w:right="257" w:firstLine="0"/>
                                <w:jc w:val="both"/>
                                <w:rPr>
                                  <w:sz w:val="22"/>
                                </w:rPr>
                              </w:pPr>
                              <w:r>
                                <w:rPr>
                                  <w:color w:val="105C84"/>
                                  <w:sz w:val="22"/>
                                </w:rPr>
                                <w:t>Steuben County Alcoholism &amp;</w:t>
                              </w:r>
                              <w:r>
                                <w:rPr>
                                  <w:color w:val="105C84"/>
                                  <w:spacing w:val="-16"/>
                                  <w:sz w:val="22"/>
                                </w:rPr>
                                <w:t> </w:t>
                              </w:r>
                              <w:r>
                                <w:rPr>
                                  <w:color w:val="105C84"/>
                                  <w:sz w:val="22"/>
                                </w:rPr>
                                <w:t>Substance</w:t>
                              </w:r>
                              <w:r>
                                <w:rPr>
                                  <w:color w:val="105C84"/>
                                  <w:spacing w:val="-15"/>
                                  <w:sz w:val="22"/>
                                </w:rPr>
                                <w:t> </w:t>
                              </w:r>
                              <w:r>
                                <w:rPr>
                                  <w:color w:val="105C84"/>
                                  <w:sz w:val="22"/>
                                </w:rPr>
                                <w:t>Abuse</w:t>
                              </w:r>
                              <w:r>
                                <w:rPr>
                                  <w:color w:val="105C84"/>
                                  <w:spacing w:val="-15"/>
                                  <w:sz w:val="22"/>
                                </w:rPr>
                                <w:t> </w:t>
                              </w:r>
                              <w:r>
                                <w:rPr>
                                  <w:color w:val="105C84"/>
                                  <w:sz w:val="22"/>
                                </w:rPr>
                                <w:t>Services </w:t>
                              </w:r>
                              <w:r>
                                <w:rPr>
                                  <w:color w:val="105C84"/>
                                  <w:spacing w:val="-2"/>
                                  <w:sz w:val="22"/>
                                </w:rPr>
                                <w:t>(SCASAS)</w:t>
                              </w:r>
                            </w:p>
                            <w:p>
                              <w:pPr>
                                <w:spacing w:before="136"/>
                                <w:ind w:left="0" w:right="0" w:firstLine="0"/>
                                <w:jc w:val="left"/>
                                <w:rPr>
                                  <w:sz w:val="22"/>
                                </w:rPr>
                              </w:pPr>
                              <w:r>
                                <w:rPr>
                                  <w:color w:val="105C84"/>
                                  <w:sz w:val="22"/>
                                </w:rPr>
                                <w:t>Oak</w:t>
                              </w:r>
                              <w:r>
                                <w:rPr>
                                  <w:color w:val="105C84"/>
                                  <w:spacing w:val="9"/>
                                  <w:sz w:val="22"/>
                                </w:rPr>
                                <w:t> </w:t>
                              </w:r>
                              <w:r>
                                <w:rPr>
                                  <w:color w:val="105C84"/>
                                  <w:sz w:val="22"/>
                                </w:rPr>
                                <w:t>Orchard</w:t>
                              </w:r>
                              <w:r>
                                <w:rPr>
                                  <w:color w:val="105C84"/>
                                  <w:spacing w:val="9"/>
                                  <w:sz w:val="22"/>
                                </w:rPr>
                                <w:t> </w:t>
                              </w:r>
                              <w:r>
                                <w:rPr>
                                  <w:color w:val="105C84"/>
                                  <w:spacing w:val="-2"/>
                                  <w:sz w:val="22"/>
                                </w:rPr>
                                <w:t>Health</w:t>
                              </w:r>
                            </w:p>
                            <w:p>
                              <w:pPr>
                                <w:spacing w:line="240" w:lineRule="auto" w:before="23"/>
                                <w:rPr>
                                  <w:sz w:val="22"/>
                                </w:rPr>
                              </w:pPr>
                            </w:p>
                            <w:p>
                              <w:pPr>
                                <w:spacing w:before="0"/>
                                <w:ind w:left="0" w:right="0" w:firstLine="0"/>
                                <w:jc w:val="left"/>
                                <w:rPr>
                                  <w:sz w:val="22"/>
                                </w:rPr>
                              </w:pPr>
                              <w:r>
                                <w:rPr>
                                  <w:color w:val="105C84"/>
                                  <w:sz w:val="22"/>
                                </w:rPr>
                                <w:t>City</w:t>
                              </w:r>
                              <w:r>
                                <w:rPr>
                                  <w:color w:val="105C84"/>
                                  <w:spacing w:val="16"/>
                                  <w:sz w:val="22"/>
                                </w:rPr>
                                <w:t> </w:t>
                              </w:r>
                              <w:r>
                                <w:rPr>
                                  <w:color w:val="105C84"/>
                                  <w:sz w:val="22"/>
                                </w:rPr>
                                <w:t>of</w:t>
                              </w:r>
                              <w:r>
                                <w:rPr>
                                  <w:color w:val="105C84"/>
                                  <w:spacing w:val="17"/>
                                  <w:sz w:val="22"/>
                                </w:rPr>
                                <w:t> </w:t>
                              </w:r>
                              <w:r>
                                <w:rPr>
                                  <w:color w:val="105C84"/>
                                  <w:sz w:val="22"/>
                                </w:rPr>
                                <w:t>Corning</w:t>
                              </w:r>
                              <w:r>
                                <w:rPr>
                                  <w:color w:val="105C84"/>
                                  <w:spacing w:val="16"/>
                                  <w:sz w:val="22"/>
                                </w:rPr>
                                <w:t> </w:t>
                              </w:r>
                              <w:r>
                                <w:rPr>
                                  <w:color w:val="105C84"/>
                                  <w:sz w:val="22"/>
                                </w:rPr>
                                <w:t>Health</w:t>
                              </w:r>
                              <w:r>
                                <w:rPr>
                                  <w:color w:val="105C84"/>
                                  <w:spacing w:val="17"/>
                                  <w:sz w:val="22"/>
                                </w:rPr>
                                <w:t> </w:t>
                              </w:r>
                              <w:r>
                                <w:rPr>
                                  <w:color w:val="105C84"/>
                                  <w:spacing w:val="-2"/>
                                  <w:sz w:val="22"/>
                                </w:rPr>
                                <w:t>Board</w:t>
                              </w:r>
                            </w:p>
                          </w:txbxContent>
                        </wps:txbx>
                        <wps:bodyPr wrap="square" lIns="0" tIns="0" rIns="0" bIns="0" rtlCol="0">
                          <a:noAutofit/>
                        </wps:bodyPr>
                      </wps:wsp>
                      <wps:wsp>
                        <wps:cNvPr id="1389" name="Textbox 1389"/>
                        <wps:cNvSpPr txBox="1"/>
                        <wps:spPr>
                          <a:xfrm>
                            <a:off x="2281999" y="1610702"/>
                            <a:ext cx="1830705" cy="2160270"/>
                          </a:xfrm>
                          <a:prstGeom prst="rect">
                            <a:avLst/>
                          </a:prstGeom>
                        </wps:spPr>
                        <wps:txbx>
                          <w:txbxContent>
                            <w:p>
                              <w:pPr>
                                <w:spacing w:before="13"/>
                                <w:ind w:left="0" w:right="0" w:firstLine="0"/>
                                <w:jc w:val="left"/>
                                <w:rPr>
                                  <w:sz w:val="22"/>
                                </w:rPr>
                              </w:pPr>
                              <w:r>
                                <w:rPr>
                                  <w:color w:val="105C84"/>
                                  <w:sz w:val="22"/>
                                </w:rPr>
                                <w:t>Guthrie</w:t>
                              </w:r>
                              <w:r>
                                <w:rPr>
                                  <w:color w:val="105C84"/>
                                  <w:spacing w:val="26"/>
                                  <w:sz w:val="22"/>
                                </w:rPr>
                                <w:t> </w:t>
                              </w:r>
                              <w:r>
                                <w:rPr>
                                  <w:color w:val="105C84"/>
                                  <w:sz w:val="22"/>
                                </w:rPr>
                                <w:t>Corning</w:t>
                              </w:r>
                              <w:r>
                                <w:rPr>
                                  <w:color w:val="105C84"/>
                                  <w:spacing w:val="27"/>
                                  <w:sz w:val="22"/>
                                </w:rPr>
                                <w:t> </w:t>
                              </w:r>
                              <w:r>
                                <w:rPr>
                                  <w:color w:val="105C84"/>
                                  <w:spacing w:val="-2"/>
                                  <w:sz w:val="22"/>
                                </w:rPr>
                                <w:t>Hospital</w:t>
                              </w:r>
                            </w:p>
                            <w:p>
                              <w:pPr>
                                <w:spacing w:line="400" w:lineRule="atLeast" w:before="30"/>
                                <w:ind w:left="0" w:right="0" w:firstLine="0"/>
                                <w:jc w:val="left"/>
                                <w:rPr>
                                  <w:sz w:val="22"/>
                                </w:rPr>
                              </w:pPr>
                              <w:r>
                                <w:rPr>
                                  <w:color w:val="105C84"/>
                                  <w:sz w:val="22"/>
                                </w:rPr>
                                <w:t>Southern</w:t>
                              </w:r>
                              <w:r>
                                <w:rPr>
                                  <w:color w:val="105C84"/>
                                  <w:spacing w:val="-13"/>
                                  <w:sz w:val="22"/>
                                </w:rPr>
                                <w:t> </w:t>
                              </w:r>
                              <w:r>
                                <w:rPr>
                                  <w:color w:val="105C84"/>
                                  <w:sz w:val="22"/>
                                </w:rPr>
                                <w:t>Tier</w:t>
                              </w:r>
                              <w:r>
                                <w:rPr>
                                  <w:color w:val="105C84"/>
                                  <w:spacing w:val="-13"/>
                                  <w:sz w:val="22"/>
                                </w:rPr>
                                <w:t> </w:t>
                              </w:r>
                              <w:r>
                                <w:rPr>
                                  <w:color w:val="105C84"/>
                                  <w:sz w:val="22"/>
                                </w:rPr>
                                <w:t>Library</w:t>
                              </w:r>
                              <w:r>
                                <w:rPr>
                                  <w:color w:val="105C84"/>
                                  <w:spacing w:val="-13"/>
                                  <w:sz w:val="22"/>
                                </w:rPr>
                                <w:t> </w:t>
                              </w:r>
                              <w:r>
                                <w:rPr>
                                  <w:color w:val="105C84"/>
                                  <w:sz w:val="22"/>
                                </w:rPr>
                                <w:t>System Steuben County</w:t>
                              </w:r>
                            </w:p>
                            <w:p>
                              <w:pPr>
                                <w:spacing w:before="5"/>
                                <w:ind w:left="0" w:right="0" w:firstLine="0"/>
                                <w:jc w:val="left"/>
                                <w:rPr>
                                  <w:sz w:val="22"/>
                                </w:rPr>
                              </w:pPr>
                              <w:r>
                                <w:rPr>
                                  <w:color w:val="105C84"/>
                                  <w:spacing w:val="-2"/>
                                  <w:sz w:val="22"/>
                                </w:rPr>
                                <w:t>Youth</w:t>
                              </w:r>
                              <w:r>
                                <w:rPr>
                                  <w:color w:val="105C84"/>
                                  <w:spacing w:val="-7"/>
                                  <w:sz w:val="22"/>
                                </w:rPr>
                                <w:t> </w:t>
                              </w:r>
                              <w:r>
                                <w:rPr>
                                  <w:color w:val="105C84"/>
                                  <w:spacing w:val="-2"/>
                                  <w:sz w:val="22"/>
                                </w:rPr>
                                <w:t>Bureau</w:t>
                              </w:r>
                            </w:p>
                            <w:p>
                              <w:pPr>
                                <w:spacing w:before="245"/>
                                <w:ind w:left="0" w:right="0" w:firstLine="0"/>
                                <w:jc w:val="left"/>
                                <w:rPr>
                                  <w:sz w:val="22"/>
                                </w:rPr>
                              </w:pPr>
                              <w:r>
                                <w:rPr>
                                  <w:color w:val="105C84"/>
                                  <w:spacing w:val="-2"/>
                                  <w:sz w:val="22"/>
                                </w:rPr>
                                <w:t>Genesee</w:t>
                              </w:r>
                              <w:r>
                                <w:rPr>
                                  <w:color w:val="105C84"/>
                                  <w:spacing w:val="-6"/>
                                  <w:sz w:val="22"/>
                                </w:rPr>
                                <w:t> </w:t>
                              </w:r>
                              <w:r>
                                <w:rPr>
                                  <w:color w:val="105C84"/>
                                  <w:spacing w:val="-2"/>
                                  <w:sz w:val="22"/>
                                </w:rPr>
                                <w:t>Valley</w:t>
                              </w:r>
                              <w:r>
                                <w:rPr>
                                  <w:color w:val="105C84"/>
                                  <w:spacing w:val="-5"/>
                                  <w:sz w:val="22"/>
                                </w:rPr>
                                <w:t> </w:t>
                              </w:r>
                              <w:r>
                                <w:rPr>
                                  <w:color w:val="105C84"/>
                                  <w:spacing w:val="-2"/>
                                  <w:sz w:val="22"/>
                                </w:rPr>
                                <w:t>BOCES</w:t>
                              </w:r>
                            </w:p>
                            <w:p>
                              <w:pPr>
                                <w:spacing w:line="247" w:lineRule="auto" w:before="244"/>
                                <w:ind w:left="0" w:right="0" w:firstLine="0"/>
                                <w:jc w:val="left"/>
                                <w:rPr>
                                  <w:sz w:val="22"/>
                                </w:rPr>
                              </w:pPr>
                              <w:r>
                                <w:rPr>
                                  <w:color w:val="105C84"/>
                                  <w:sz w:val="22"/>
                                </w:rPr>
                                <w:t>UR Center for </w:t>
                              </w:r>
                              <w:r>
                                <w:rPr>
                                  <w:color w:val="105C84"/>
                                  <w:sz w:val="22"/>
                                </w:rPr>
                                <w:t>Community Health and Prevention</w:t>
                              </w:r>
                            </w:p>
                            <w:p>
                              <w:pPr>
                                <w:spacing w:line="247" w:lineRule="auto" w:before="237"/>
                                <w:ind w:left="0" w:right="0" w:firstLine="0"/>
                                <w:jc w:val="left"/>
                                <w:rPr>
                                  <w:sz w:val="22"/>
                                </w:rPr>
                              </w:pPr>
                              <w:r>
                                <w:rPr>
                                  <w:color w:val="105C84"/>
                                  <w:sz w:val="22"/>
                                </w:rPr>
                                <w:t>Hornell Area Concern </w:t>
                              </w:r>
                              <w:r>
                                <w:rPr>
                                  <w:color w:val="105C84"/>
                                  <w:sz w:val="22"/>
                                </w:rPr>
                                <w:t>for </w:t>
                              </w:r>
                              <w:r>
                                <w:rPr>
                                  <w:color w:val="105C84"/>
                                  <w:spacing w:val="-2"/>
                                  <w:sz w:val="22"/>
                                </w:rPr>
                                <w:t>Youth</w:t>
                              </w:r>
                            </w:p>
                          </w:txbxContent>
                        </wps:txbx>
                        <wps:bodyPr wrap="square" lIns="0" tIns="0" rIns="0" bIns="0" rtlCol="0">
                          <a:noAutofit/>
                        </wps:bodyPr>
                      </wps:wsp>
                      <wps:wsp>
                        <wps:cNvPr id="1390" name="Textbox 1390"/>
                        <wps:cNvSpPr txBox="1"/>
                        <wps:spPr>
                          <a:xfrm>
                            <a:off x="4439945" y="375894"/>
                            <a:ext cx="1641475" cy="2831465"/>
                          </a:xfrm>
                          <a:prstGeom prst="rect">
                            <a:avLst/>
                          </a:prstGeom>
                        </wps:spPr>
                        <wps:txbx>
                          <w:txbxContent>
                            <w:p>
                              <w:pPr>
                                <w:spacing w:before="13"/>
                                <w:ind w:left="0" w:right="0" w:firstLine="0"/>
                                <w:jc w:val="left"/>
                                <w:rPr>
                                  <w:sz w:val="22"/>
                                </w:rPr>
                              </w:pPr>
                              <w:r>
                                <w:rPr>
                                  <w:color w:val="105C84"/>
                                  <w:sz w:val="22"/>
                                </w:rPr>
                                <w:t>Common</w:t>
                              </w:r>
                              <w:r>
                                <w:rPr>
                                  <w:color w:val="105C84"/>
                                  <w:spacing w:val="26"/>
                                  <w:sz w:val="22"/>
                                </w:rPr>
                                <w:t> </w:t>
                              </w:r>
                              <w:r>
                                <w:rPr>
                                  <w:color w:val="105C84"/>
                                  <w:sz w:val="22"/>
                                </w:rPr>
                                <w:t>Ground</w:t>
                              </w:r>
                              <w:r>
                                <w:rPr>
                                  <w:color w:val="105C84"/>
                                  <w:spacing w:val="27"/>
                                  <w:sz w:val="22"/>
                                </w:rPr>
                                <w:t> </w:t>
                              </w:r>
                              <w:r>
                                <w:rPr>
                                  <w:color w:val="105C84"/>
                                  <w:spacing w:val="-2"/>
                                  <w:sz w:val="22"/>
                                </w:rPr>
                                <w:t>Health</w:t>
                              </w:r>
                            </w:p>
                            <w:p>
                              <w:pPr>
                                <w:spacing w:line="247" w:lineRule="auto" w:before="146"/>
                                <w:ind w:left="0" w:right="515" w:firstLine="0"/>
                                <w:jc w:val="left"/>
                                <w:rPr>
                                  <w:sz w:val="22"/>
                                </w:rPr>
                              </w:pPr>
                              <w:r>
                                <w:rPr>
                                  <w:color w:val="105C84"/>
                                  <w:sz w:val="22"/>
                                </w:rPr>
                                <w:t>Steuben</w:t>
                              </w:r>
                              <w:r>
                                <w:rPr>
                                  <w:color w:val="105C84"/>
                                  <w:spacing w:val="-3"/>
                                  <w:sz w:val="22"/>
                                </w:rPr>
                                <w:t> </w:t>
                              </w:r>
                              <w:r>
                                <w:rPr>
                                  <w:color w:val="105C84"/>
                                  <w:sz w:val="22"/>
                                </w:rPr>
                                <w:t>County Mental Health</w:t>
                              </w:r>
                            </w:p>
                            <w:p>
                              <w:pPr>
                                <w:spacing w:line="247" w:lineRule="auto" w:before="236"/>
                                <w:ind w:left="0" w:right="515" w:firstLine="0"/>
                                <w:jc w:val="left"/>
                                <w:rPr>
                                  <w:sz w:val="22"/>
                                </w:rPr>
                              </w:pPr>
                              <w:r>
                                <w:rPr>
                                  <w:color w:val="105C84"/>
                                  <w:sz w:val="22"/>
                                </w:rPr>
                                <w:t>Finger Lakes Community</w:t>
                              </w:r>
                              <w:r>
                                <w:rPr>
                                  <w:color w:val="105C84"/>
                                  <w:spacing w:val="27"/>
                                  <w:sz w:val="22"/>
                                </w:rPr>
                                <w:t> </w:t>
                              </w:r>
                              <w:r>
                                <w:rPr>
                                  <w:color w:val="105C84"/>
                                  <w:spacing w:val="-2"/>
                                  <w:sz w:val="22"/>
                                </w:rPr>
                                <w:t>Health</w:t>
                              </w:r>
                            </w:p>
                            <w:p>
                              <w:pPr>
                                <w:spacing w:line="240" w:lineRule="auto" w:before="15"/>
                                <w:rPr>
                                  <w:sz w:val="22"/>
                                </w:rPr>
                              </w:pPr>
                            </w:p>
                            <w:p>
                              <w:pPr>
                                <w:spacing w:before="0"/>
                                <w:ind w:left="0" w:right="0" w:firstLine="0"/>
                                <w:jc w:val="left"/>
                                <w:rPr>
                                  <w:sz w:val="22"/>
                                </w:rPr>
                              </w:pPr>
                              <w:r>
                                <w:rPr>
                                  <w:color w:val="105C84"/>
                                  <w:sz w:val="22"/>
                                </w:rPr>
                                <w:t>County</w:t>
                              </w:r>
                              <w:r>
                                <w:rPr>
                                  <w:color w:val="105C84"/>
                                  <w:spacing w:val="16"/>
                                  <w:sz w:val="22"/>
                                </w:rPr>
                                <w:t> </w:t>
                              </w:r>
                              <w:r>
                                <w:rPr>
                                  <w:color w:val="105C84"/>
                                  <w:spacing w:val="-2"/>
                                  <w:sz w:val="22"/>
                                </w:rPr>
                                <w:t>Legislature</w:t>
                              </w:r>
                            </w:p>
                            <w:p>
                              <w:pPr>
                                <w:spacing w:before="176"/>
                                <w:ind w:left="0" w:right="0" w:firstLine="0"/>
                                <w:jc w:val="left"/>
                                <w:rPr>
                                  <w:sz w:val="22"/>
                                </w:rPr>
                              </w:pPr>
                              <w:r>
                                <w:rPr>
                                  <w:color w:val="105C84"/>
                                  <w:w w:val="105"/>
                                  <w:sz w:val="22"/>
                                </w:rPr>
                                <w:t>Office</w:t>
                              </w:r>
                              <w:r>
                                <w:rPr>
                                  <w:color w:val="105C84"/>
                                  <w:spacing w:val="-7"/>
                                  <w:w w:val="105"/>
                                  <w:sz w:val="22"/>
                                </w:rPr>
                                <w:t> </w:t>
                              </w:r>
                              <w:r>
                                <w:rPr>
                                  <w:color w:val="105C84"/>
                                  <w:w w:val="105"/>
                                  <w:sz w:val="22"/>
                                </w:rPr>
                                <w:t>for</w:t>
                              </w:r>
                              <w:r>
                                <w:rPr>
                                  <w:color w:val="105C84"/>
                                  <w:spacing w:val="-7"/>
                                  <w:w w:val="105"/>
                                  <w:sz w:val="22"/>
                                </w:rPr>
                                <w:t> </w:t>
                              </w:r>
                              <w:r>
                                <w:rPr>
                                  <w:color w:val="105C84"/>
                                  <w:w w:val="105"/>
                                  <w:sz w:val="22"/>
                                </w:rPr>
                                <w:t>the</w:t>
                              </w:r>
                              <w:r>
                                <w:rPr>
                                  <w:color w:val="105C84"/>
                                  <w:spacing w:val="-6"/>
                                  <w:w w:val="105"/>
                                  <w:sz w:val="22"/>
                                </w:rPr>
                                <w:t> </w:t>
                              </w:r>
                              <w:r>
                                <w:rPr>
                                  <w:color w:val="105C84"/>
                                  <w:spacing w:val="-2"/>
                                  <w:w w:val="105"/>
                                  <w:sz w:val="22"/>
                                </w:rPr>
                                <w:t>Aging</w:t>
                              </w:r>
                            </w:p>
                            <w:p>
                              <w:pPr>
                                <w:spacing w:line="247" w:lineRule="auto" w:before="145"/>
                                <w:ind w:left="0" w:right="0" w:firstLine="0"/>
                                <w:jc w:val="left"/>
                                <w:rPr>
                                  <w:sz w:val="22"/>
                                </w:rPr>
                              </w:pPr>
                              <w:r>
                                <w:rPr>
                                  <w:color w:val="105C84"/>
                                  <w:sz w:val="22"/>
                                </w:rPr>
                                <w:t>Retired and Senior </w:t>
                              </w:r>
                              <w:r>
                                <w:rPr>
                                  <w:color w:val="105C84"/>
                                  <w:spacing w:val="-4"/>
                                  <w:sz w:val="22"/>
                                </w:rPr>
                                <w:t>Volunteer</w:t>
                              </w:r>
                              <w:r>
                                <w:rPr>
                                  <w:color w:val="105C84"/>
                                  <w:spacing w:val="-12"/>
                                  <w:sz w:val="22"/>
                                </w:rPr>
                                <w:t> </w:t>
                              </w:r>
                              <w:r>
                                <w:rPr>
                                  <w:color w:val="105C84"/>
                                  <w:spacing w:val="-4"/>
                                  <w:sz w:val="22"/>
                                </w:rPr>
                                <w:t>Program</w:t>
                              </w:r>
                              <w:r>
                                <w:rPr>
                                  <w:color w:val="105C84"/>
                                  <w:spacing w:val="-11"/>
                                  <w:sz w:val="22"/>
                                </w:rPr>
                                <w:t> </w:t>
                              </w:r>
                              <w:r>
                                <w:rPr>
                                  <w:color w:val="105C84"/>
                                  <w:spacing w:val="-4"/>
                                  <w:sz w:val="22"/>
                                </w:rPr>
                                <w:t>(RSVP)</w:t>
                              </w:r>
                            </w:p>
                            <w:p>
                              <w:pPr>
                                <w:spacing w:line="247" w:lineRule="auto" w:before="107"/>
                                <w:ind w:left="0" w:right="515" w:firstLine="0"/>
                                <w:jc w:val="left"/>
                                <w:rPr>
                                  <w:sz w:val="22"/>
                                </w:rPr>
                              </w:pPr>
                              <w:r>
                                <w:rPr>
                                  <w:color w:val="105C84"/>
                                  <w:sz w:val="22"/>
                                </w:rPr>
                                <w:t>Pregnancy</w:t>
                              </w:r>
                              <w:r>
                                <w:rPr>
                                  <w:color w:val="105C84"/>
                                  <w:spacing w:val="-16"/>
                                  <w:sz w:val="22"/>
                                </w:rPr>
                                <w:t> </w:t>
                              </w:r>
                              <w:r>
                                <w:rPr>
                                  <w:color w:val="105C84"/>
                                  <w:sz w:val="22"/>
                                </w:rPr>
                                <w:t>Resource Center</w:t>
                              </w:r>
                              <w:r>
                                <w:rPr>
                                  <w:color w:val="105C84"/>
                                  <w:spacing w:val="14"/>
                                  <w:sz w:val="22"/>
                                </w:rPr>
                                <w:t> </w:t>
                              </w:r>
                              <w:r>
                                <w:rPr>
                                  <w:color w:val="105C84"/>
                                  <w:sz w:val="22"/>
                                </w:rPr>
                                <w:t>of</w:t>
                              </w:r>
                              <w:r>
                                <w:rPr>
                                  <w:color w:val="105C84"/>
                                  <w:spacing w:val="14"/>
                                  <w:sz w:val="22"/>
                                </w:rPr>
                                <w:t> </w:t>
                              </w:r>
                              <w:r>
                                <w:rPr>
                                  <w:color w:val="105C84"/>
                                  <w:sz w:val="22"/>
                                </w:rPr>
                                <w:t>the</w:t>
                              </w:r>
                              <w:r>
                                <w:rPr>
                                  <w:color w:val="105C84"/>
                                  <w:spacing w:val="14"/>
                                  <w:sz w:val="22"/>
                                </w:rPr>
                                <w:t> </w:t>
                              </w:r>
                              <w:r>
                                <w:rPr>
                                  <w:color w:val="105C84"/>
                                  <w:spacing w:val="-5"/>
                                  <w:sz w:val="22"/>
                                </w:rPr>
                                <w:t>Valleys</w:t>
                              </w:r>
                            </w:p>
                            <w:p>
                              <w:pPr>
                                <w:spacing w:before="236"/>
                                <w:ind w:left="0" w:right="0" w:firstLine="0"/>
                                <w:jc w:val="left"/>
                                <w:rPr>
                                  <w:sz w:val="22"/>
                                </w:rPr>
                              </w:pPr>
                              <w:r>
                                <w:rPr>
                                  <w:color w:val="105C84"/>
                                  <w:spacing w:val="-2"/>
                                  <w:sz w:val="22"/>
                                </w:rPr>
                                <w:t>ProAction</w:t>
                              </w:r>
                            </w:p>
                          </w:txbxContent>
                        </wps:txbx>
                        <wps:bodyPr wrap="square" lIns="0" tIns="0" rIns="0" bIns="0" rtlCol="0">
                          <a:noAutofit/>
                        </wps:bodyPr>
                      </wps:wsp>
                      <wps:wsp>
                        <wps:cNvPr id="1391" name="Textbox 1391"/>
                        <wps:cNvSpPr txBox="1"/>
                        <wps:spPr>
                          <a:xfrm>
                            <a:off x="4439945" y="3497071"/>
                            <a:ext cx="822960" cy="191135"/>
                          </a:xfrm>
                          <a:prstGeom prst="rect">
                            <a:avLst/>
                          </a:prstGeom>
                        </wps:spPr>
                        <wps:txbx>
                          <w:txbxContent>
                            <w:p>
                              <w:pPr>
                                <w:spacing w:before="13"/>
                                <w:ind w:left="0" w:right="0" w:firstLine="0"/>
                                <w:jc w:val="left"/>
                                <w:rPr>
                                  <w:sz w:val="22"/>
                                </w:rPr>
                              </w:pPr>
                              <w:r>
                                <w:rPr>
                                  <w:color w:val="105C84"/>
                                  <w:w w:val="105"/>
                                  <w:sz w:val="22"/>
                                </w:rPr>
                                <w:t>Arnot</w:t>
                              </w:r>
                              <w:r>
                                <w:rPr>
                                  <w:color w:val="105C84"/>
                                  <w:spacing w:val="-1"/>
                                  <w:w w:val="105"/>
                                  <w:sz w:val="22"/>
                                </w:rPr>
                                <w:t> </w:t>
                              </w:r>
                              <w:r>
                                <w:rPr>
                                  <w:color w:val="105C84"/>
                                  <w:spacing w:val="-2"/>
                                  <w:w w:val="105"/>
                                  <w:sz w:val="22"/>
                                </w:rPr>
                                <w:t>Health</w:t>
                              </w:r>
                            </w:p>
                          </w:txbxContent>
                        </wps:txbx>
                        <wps:bodyPr wrap="square" lIns="0" tIns="0" rIns="0" bIns="0" rtlCol="0">
                          <a:noAutofit/>
                        </wps:bodyPr>
                      </wps:wsp>
                      <wps:wsp>
                        <wps:cNvPr id="1392" name="Textbox 1392"/>
                        <wps:cNvSpPr txBox="1"/>
                        <wps:spPr>
                          <a:xfrm>
                            <a:off x="2281999" y="3978198"/>
                            <a:ext cx="1337945" cy="191135"/>
                          </a:xfrm>
                          <a:prstGeom prst="rect">
                            <a:avLst/>
                          </a:prstGeom>
                        </wps:spPr>
                        <wps:txbx>
                          <w:txbxContent>
                            <w:p>
                              <w:pPr>
                                <w:spacing w:before="13"/>
                                <w:ind w:left="0" w:right="0" w:firstLine="0"/>
                                <w:jc w:val="left"/>
                                <w:rPr>
                                  <w:sz w:val="22"/>
                                </w:rPr>
                              </w:pPr>
                              <w:r>
                                <w:rPr>
                                  <w:color w:val="105C84"/>
                                  <w:sz w:val="22"/>
                                </w:rPr>
                                <w:t>Steuben</w:t>
                              </w:r>
                              <w:r>
                                <w:rPr>
                                  <w:color w:val="105C84"/>
                                  <w:spacing w:val="10"/>
                                  <w:sz w:val="22"/>
                                </w:rPr>
                                <w:t> </w:t>
                              </w:r>
                              <w:r>
                                <w:rPr>
                                  <w:color w:val="105C84"/>
                                  <w:sz w:val="22"/>
                                </w:rPr>
                                <w:t>County</w:t>
                              </w:r>
                              <w:r>
                                <w:rPr>
                                  <w:color w:val="105C84"/>
                                  <w:spacing w:val="10"/>
                                  <w:sz w:val="22"/>
                                </w:rPr>
                                <w:t> </w:t>
                              </w:r>
                              <w:r>
                                <w:rPr>
                                  <w:color w:val="105C84"/>
                                  <w:spacing w:val="-7"/>
                                  <w:sz w:val="22"/>
                                </w:rPr>
                                <w:t>DSS</w:t>
                              </w:r>
                            </w:p>
                          </w:txbxContent>
                        </wps:txbx>
                        <wps:bodyPr wrap="square" lIns="0" tIns="0" rIns="0" bIns="0" rtlCol="0">
                          <a:noAutofit/>
                        </wps:bodyPr>
                      </wps:wsp>
                      <wps:wsp>
                        <wps:cNvPr id="1393" name="Textbox 1393"/>
                        <wps:cNvSpPr txBox="1"/>
                        <wps:spPr>
                          <a:xfrm>
                            <a:off x="4439945" y="3978198"/>
                            <a:ext cx="1249680" cy="191135"/>
                          </a:xfrm>
                          <a:prstGeom prst="rect">
                            <a:avLst/>
                          </a:prstGeom>
                        </wps:spPr>
                        <wps:txbx>
                          <w:txbxContent>
                            <w:p>
                              <w:pPr>
                                <w:spacing w:before="13"/>
                                <w:ind w:left="0" w:right="0" w:firstLine="0"/>
                                <w:jc w:val="left"/>
                                <w:rPr>
                                  <w:sz w:val="22"/>
                                </w:rPr>
                              </w:pPr>
                              <w:r>
                                <w:rPr>
                                  <w:color w:val="105C84"/>
                                  <w:sz w:val="22"/>
                                </w:rPr>
                                <w:t>Guthrie</w:t>
                              </w:r>
                              <w:r>
                                <w:rPr>
                                  <w:color w:val="105C84"/>
                                  <w:spacing w:val="22"/>
                                  <w:sz w:val="22"/>
                                </w:rPr>
                                <w:t> </w:t>
                              </w:r>
                              <w:r>
                                <w:rPr>
                                  <w:color w:val="105C84"/>
                                  <w:sz w:val="22"/>
                                </w:rPr>
                                <w:t>Home</w:t>
                              </w:r>
                              <w:r>
                                <w:rPr>
                                  <w:color w:val="105C84"/>
                                  <w:spacing w:val="22"/>
                                  <w:sz w:val="22"/>
                                </w:rPr>
                                <w:t> </w:t>
                              </w:r>
                              <w:r>
                                <w:rPr>
                                  <w:color w:val="105C84"/>
                                  <w:spacing w:val="-4"/>
                                  <w:sz w:val="22"/>
                                </w:rPr>
                                <w:t>Care</w:t>
                              </w:r>
                            </w:p>
                          </w:txbxContent>
                        </wps:txbx>
                        <wps:bodyPr wrap="square" lIns="0" tIns="0" rIns="0" bIns="0" rtlCol="0">
                          <a:noAutofit/>
                        </wps:bodyPr>
                      </wps:wsp>
                      <wps:wsp>
                        <wps:cNvPr id="1394" name="Textbox 1394"/>
                        <wps:cNvSpPr txBox="1"/>
                        <wps:spPr>
                          <a:xfrm>
                            <a:off x="2281999" y="4459325"/>
                            <a:ext cx="1071880" cy="191135"/>
                          </a:xfrm>
                          <a:prstGeom prst="rect">
                            <a:avLst/>
                          </a:prstGeom>
                        </wps:spPr>
                        <wps:txbx>
                          <w:txbxContent>
                            <w:p>
                              <w:pPr>
                                <w:spacing w:before="13"/>
                                <w:ind w:left="0" w:right="0" w:firstLine="0"/>
                                <w:jc w:val="left"/>
                                <w:rPr>
                                  <w:sz w:val="22"/>
                                </w:rPr>
                              </w:pPr>
                              <w:r>
                                <w:rPr>
                                  <w:color w:val="105C84"/>
                                  <w:sz w:val="22"/>
                                </w:rPr>
                                <w:t>Prattsburgh</w:t>
                              </w:r>
                              <w:r>
                                <w:rPr>
                                  <w:color w:val="105C84"/>
                                  <w:spacing w:val="10"/>
                                  <w:sz w:val="22"/>
                                </w:rPr>
                                <w:t> </w:t>
                              </w:r>
                              <w:r>
                                <w:rPr>
                                  <w:color w:val="105C84"/>
                                  <w:spacing w:val="-5"/>
                                  <w:sz w:val="22"/>
                                </w:rPr>
                                <w:t>CSD</w:t>
                              </w:r>
                            </w:p>
                          </w:txbxContent>
                        </wps:txbx>
                        <wps:bodyPr wrap="square" lIns="0" tIns="0" rIns="0" bIns="0" rtlCol="0">
                          <a:noAutofit/>
                        </wps:bodyPr>
                      </wps:wsp>
                      <wps:wsp>
                        <wps:cNvPr id="1395" name="Textbox 1395"/>
                        <wps:cNvSpPr txBox="1"/>
                        <wps:spPr>
                          <a:xfrm>
                            <a:off x="2281999" y="4877447"/>
                            <a:ext cx="1412240" cy="526415"/>
                          </a:xfrm>
                          <a:prstGeom prst="rect">
                            <a:avLst/>
                          </a:prstGeom>
                        </wps:spPr>
                        <wps:txbx>
                          <w:txbxContent>
                            <w:p>
                              <w:pPr>
                                <w:spacing w:before="13"/>
                                <w:ind w:left="0" w:right="0" w:firstLine="0"/>
                                <w:jc w:val="left"/>
                                <w:rPr>
                                  <w:sz w:val="22"/>
                                </w:rPr>
                              </w:pPr>
                              <w:r>
                                <w:rPr>
                                  <w:color w:val="105C84"/>
                                  <w:spacing w:val="-2"/>
                                  <w:sz w:val="22"/>
                                </w:rPr>
                                <w:t>Family</w:t>
                              </w:r>
                              <w:r>
                                <w:rPr>
                                  <w:color w:val="105C84"/>
                                  <w:spacing w:val="-5"/>
                                  <w:sz w:val="22"/>
                                </w:rPr>
                                <w:t> </w:t>
                              </w:r>
                              <w:r>
                                <w:rPr>
                                  <w:color w:val="105C84"/>
                                  <w:spacing w:val="-2"/>
                                  <w:sz w:val="22"/>
                                </w:rPr>
                                <w:t>Service</w:t>
                              </w:r>
                              <w:r>
                                <w:rPr>
                                  <w:color w:val="105C84"/>
                                  <w:spacing w:val="-4"/>
                                  <w:sz w:val="22"/>
                                </w:rPr>
                                <w:t> </w:t>
                              </w:r>
                              <w:r>
                                <w:rPr>
                                  <w:color w:val="105C84"/>
                                  <w:spacing w:val="-2"/>
                                  <w:sz w:val="22"/>
                                </w:rPr>
                                <w:t>Society</w:t>
                              </w:r>
                            </w:p>
                            <w:p>
                              <w:pPr>
                                <w:spacing w:line="240" w:lineRule="auto" w:before="23"/>
                                <w:rPr>
                                  <w:sz w:val="22"/>
                                </w:rPr>
                              </w:pPr>
                            </w:p>
                            <w:p>
                              <w:pPr>
                                <w:spacing w:before="0"/>
                                <w:ind w:left="0" w:right="0" w:firstLine="0"/>
                                <w:jc w:val="left"/>
                                <w:rPr>
                                  <w:sz w:val="22"/>
                                </w:rPr>
                              </w:pPr>
                              <w:r>
                                <w:rPr>
                                  <w:color w:val="105C84"/>
                                  <w:spacing w:val="-5"/>
                                  <w:sz w:val="22"/>
                                </w:rPr>
                                <w:t>WIC</w:t>
                              </w:r>
                            </w:p>
                          </w:txbxContent>
                        </wps:txbx>
                        <wps:bodyPr wrap="square" lIns="0" tIns="0" rIns="0" bIns="0" rtlCol="0">
                          <a:noAutofit/>
                        </wps:bodyPr>
                      </wps:wsp>
                      <wps:wsp>
                        <wps:cNvPr id="1396" name="Textbox 1396"/>
                        <wps:cNvSpPr txBox="1"/>
                        <wps:spPr>
                          <a:xfrm>
                            <a:off x="4439945" y="4376763"/>
                            <a:ext cx="1437005" cy="1109980"/>
                          </a:xfrm>
                          <a:prstGeom prst="rect">
                            <a:avLst/>
                          </a:prstGeom>
                        </wps:spPr>
                        <wps:txbx>
                          <w:txbxContent>
                            <w:p>
                              <w:pPr>
                                <w:spacing w:line="247" w:lineRule="auto" w:before="13"/>
                                <w:ind w:left="0" w:right="0" w:firstLine="0"/>
                                <w:jc w:val="left"/>
                                <w:rPr>
                                  <w:sz w:val="22"/>
                                </w:rPr>
                              </w:pPr>
                              <w:r>
                                <w:rPr>
                                  <w:color w:val="105C84"/>
                                  <w:sz w:val="22"/>
                                </w:rPr>
                                <w:t>Steuben Council </w:t>
                              </w:r>
                              <w:r>
                                <w:rPr>
                                  <w:color w:val="105C84"/>
                                  <w:sz w:val="22"/>
                                </w:rPr>
                                <w:t>on </w:t>
                              </w:r>
                              <w:r>
                                <w:rPr>
                                  <w:color w:val="105C84"/>
                                  <w:spacing w:val="-2"/>
                                  <w:sz w:val="22"/>
                                </w:rPr>
                                <w:t>Addictions</w:t>
                              </w:r>
                            </w:p>
                            <w:p>
                              <w:pPr>
                                <w:spacing w:line="400" w:lineRule="atLeast" w:before="121"/>
                                <w:ind w:left="0" w:right="0" w:firstLine="0"/>
                                <w:jc w:val="left"/>
                                <w:rPr>
                                  <w:sz w:val="22"/>
                                </w:rPr>
                              </w:pPr>
                              <w:r>
                                <w:rPr>
                                  <w:color w:val="105C84"/>
                                  <w:sz w:val="22"/>
                                </w:rPr>
                                <w:t>County </w:t>
                              </w:r>
                              <w:r>
                                <w:rPr>
                                  <w:color w:val="105C84"/>
                                  <w:sz w:val="22"/>
                                </w:rPr>
                                <w:t>Administration URMC Primary</w:t>
                              </w:r>
                            </w:p>
                            <w:p>
                              <w:pPr>
                                <w:spacing w:before="5"/>
                                <w:ind w:left="0" w:right="0" w:firstLine="0"/>
                                <w:jc w:val="left"/>
                                <w:rPr>
                                  <w:sz w:val="22"/>
                                </w:rPr>
                              </w:pPr>
                              <w:r>
                                <w:rPr>
                                  <w:color w:val="105C84"/>
                                  <w:sz w:val="22"/>
                                </w:rPr>
                                <w:t>Care</w:t>
                              </w:r>
                              <w:r>
                                <w:rPr>
                                  <w:color w:val="105C84"/>
                                  <w:spacing w:val="-14"/>
                                  <w:sz w:val="22"/>
                                </w:rPr>
                                <w:t> </w:t>
                              </w:r>
                              <w:r>
                                <w:rPr>
                                  <w:color w:val="105C84"/>
                                  <w:spacing w:val="-2"/>
                                  <w:sz w:val="22"/>
                                </w:rPr>
                                <w:t>Hornell</w:t>
                              </w:r>
                            </w:p>
                          </w:txbxContent>
                        </wps:txbx>
                        <wps:bodyPr wrap="square" lIns="0" tIns="0" rIns="0" bIns="0" rtlCol="0">
                          <a:noAutofit/>
                        </wps:bodyPr>
                      </wps:wsp>
                      <wps:wsp>
                        <wps:cNvPr id="1397" name="Textbox 1397"/>
                        <wps:cNvSpPr txBox="1"/>
                        <wps:spPr>
                          <a:xfrm>
                            <a:off x="3175" y="3175"/>
                            <a:ext cx="6225540" cy="316865"/>
                          </a:xfrm>
                          <a:prstGeom prst="rect">
                            <a:avLst/>
                          </a:prstGeom>
                        </wps:spPr>
                        <wps:txbx>
                          <w:txbxContent>
                            <w:p>
                              <w:pPr>
                                <w:spacing w:before="160"/>
                                <w:ind w:left="2" w:right="0" w:firstLine="0"/>
                                <w:jc w:val="center"/>
                                <w:rPr>
                                  <w:b/>
                                  <w:sz w:val="20"/>
                                </w:rPr>
                              </w:pPr>
                              <w:r>
                                <w:rPr>
                                  <w:b/>
                                  <w:color w:val="FFFFFF"/>
                                  <w:sz w:val="20"/>
                                </w:rPr>
                                <w:t>STEUBEN</w:t>
                              </w:r>
                              <w:r>
                                <w:rPr>
                                  <w:b/>
                                  <w:color w:val="FFFFFF"/>
                                  <w:spacing w:val="7"/>
                                  <w:sz w:val="20"/>
                                </w:rPr>
                                <w:t> </w:t>
                              </w:r>
                              <w:r>
                                <w:rPr>
                                  <w:b/>
                                  <w:color w:val="FFFFFF"/>
                                  <w:sz w:val="20"/>
                                </w:rPr>
                                <w:t>COUNTY</w:t>
                              </w:r>
                              <w:r>
                                <w:rPr>
                                  <w:b/>
                                  <w:color w:val="FFFFFF"/>
                                  <w:spacing w:val="7"/>
                                  <w:sz w:val="20"/>
                                </w:rPr>
                                <w:t> </w:t>
                              </w:r>
                              <w:r>
                                <w:rPr>
                                  <w:b/>
                                  <w:color w:val="FFFFFF"/>
                                  <w:sz w:val="20"/>
                                </w:rPr>
                                <w:t>PRIORITIZATION</w:t>
                              </w:r>
                              <w:r>
                                <w:rPr>
                                  <w:b/>
                                  <w:color w:val="FFFFFF"/>
                                  <w:spacing w:val="7"/>
                                  <w:sz w:val="20"/>
                                </w:rPr>
                                <w:t> </w:t>
                              </w:r>
                              <w:r>
                                <w:rPr>
                                  <w:b/>
                                  <w:color w:val="FFFFFF"/>
                                  <w:spacing w:val="-2"/>
                                  <w:sz w:val="20"/>
                                </w:rPr>
                                <w:t>AGENCIES</w:t>
                              </w:r>
                            </w:p>
                          </w:txbxContent>
                        </wps:txbx>
                        <wps:bodyPr wrap="square" lIns="0" tIns="0" rIns="0" bIns="0" rtlCol="0">
                          <a:noAutofit/>
                        </wps:bodyPr>
                      </wps:wsp>
                    </wpg:wgp>
                  </a:graphicData>
                </a:graphic>
              </wp:anchor>
            </w:drawing>
          </mc:Choice>
          <mc:Fallback>
            <w:pict>
              <v:group style="position:absolute;margin-left:54pt;margin-top:101.75322pt;width:490.7pt;height:432.55pt;mso-position-horizontal-relative:page;mso-position-vertical-relative:paragraph;z-index:15873024" id="docshapegroup1081" coordorigin="1080,2035" coordsize="9814,8651">
                <v:rect style="position:absolute;left:1082;top:2037;width:9809;height:502" id="docshape1082" filled="true" fillcolor="#939598" stroked="false">
                  <v:fill type="solid"/>
                </v:rect>
                <v:line style="position:absolute" from="4594,2968" to="7733,2968" stroked="true" strokeweight=".25pt" strokecolor="#636466">
                  <v:stroke dashstyle="solid"/>
                </v:line>
                <v:line style="position:absolute" from="4594,3595" to="7733,3595" stroked="true" strokeweight=".25pt" strokecolor="#636466">
                  <v:stroke dashstyle="solid"/>
                </v:line>
                <v:line style="position:absolute" from="4594,4483" to="7733,4483" stroked="true" strokeweight=".25pt" strokecolor="#636466">
                  <v:stroke dashstyle="solid"/>
                </v:line>
                <v:line style="position:absolute" from="4594,4912" to="7733,4912" stroked="true" strokeweight=".25pt" strokecolor="#636466">
                  <v:stroke dashstyle="solid"/>
                </v:line>
                <v:line style="position:absolute" from="4594,5341" to="7733,5341" stroked="true" strokeweight=".25pt" strokecolor="#636466">
                  <v:stroke dashstyle="solid"/>
                </v:line>
                <v:line style="position:absolute" from="4594,7224" to="7733,7224" stroked="true" strokeweight=".25pt" strokecolor="#636466">
                  <v:stroke dashstyle="solid"/>
                </v:line>
                <v:line style="position:absolute" from="4594,8112" to="7733,8112" stroked="true" strokeweight=".25pt" strokecolor="#636466">
                  <v:stroke dashstyle="solid"/>
                </v:line>
                <v:line style="position:absolute" from="4594,8739" to="7733,8739" stroked="true" strokeweight=".25pt" strokecolor="#636466">
                  <v:stroke dashstyle="solid"/>
                </v:line>
                <v:line style="position:absolute" from="4594,9627" to="7733,9627" stroked="true" strokeweight=".25pt" strokecolor="#636466">
                  <v:stroke dashstyle="solid"/>
                </v:line>
                <v:line style="position:absolute" from="1083,5969" to="4320,5969" stroked="true" strokeweight=".25pt" strokecolor="#636466">
                  <v:stroke dashstyle="solid"/>
                </v:line>
                <v:line style="position:absolute" from="4594,5969" to="7733,5969" stroked="true" strokeweight=".25pt" strokecolor="#636466">
                  <v:stroke dashstyle="solid"/>
                </v:line>
                <v:line style="position:absolute" from="7992,5969" to="10891,5969" stroked="true" strokeweight=".25pt" strokecolor="#636466">
                  <v:stroke dashstyle="solid"/>
                </v:line>
                <v:line style="position:absolute" from="1083,6596" to="4320,6596" stroked="true" strokeweight=".25pt" strokecolor="#636466">
                  <v:stroke dashstyle="solid"/>
                </v:line>
                <v:line style="position:absolute" from="4594,6596" to="7733,6596" stroked="true" strokeweight=".25pt" strokecolor="#636466">
                  <v:stroke dashstyle="solid"/>
                </v:line>
                <v:line style="position:absolute" from="7992,6596" to="10891,6596" stroked="true" strokeweight=".25pt" strokecolor="#636466">
                  <v:stroke dashstyle="solid"/>
                </v:line>
                <v:line style="position:absolute" from="1083,10056" to="4320,10056" stroked="true" strokeweight=".25pt" strokecolor="#636466">
                  <v:stroke dashstyle="solid"/>
                </v:line>
                <v:line style="position:absolute" from="4594,10056" to="7733,10056" stroked="true" strokeweight=".25pt" strokecolor="#636466">
                  <v:stroke dashstyle="solid"/>
                </v:line>
                <v:line style="position:absolute" from="7992,10056" to="10891,10056" stroked="true" strokeweight=".25pt" strokecolor="#636466">
                  <v:stroke dashstyle="solid"/>
                </v:line>
                <v:line style="position:absolute" from="1083,10684" to="4320,10684" stroked="true" strokeweight=".25pt" strokecolor="#636466">
                  <v:stroke dashstyle="solid"/>
                </v:line>
                <v:line style="position:absolute" from="4594,10684" to="7733,10684" stroked="true" strokeweight=".25pt" strokecolor="#636466">
                  <v:stroke dashstyle="solid"/>
                </v:line>
                <v:line style="position:absolute" from="7992,10684" to="10891,10684" stroked="true" strokeweight=".25pt" strokecolor="#636466">
                  <v:stroke dashstyle="solid"/>
                </v:line>
                <v:line style="position:absolute" from="1080,2038" to="4320,2038" stroked="true" strokeweight=".25pt" strokecolor="#636466">
                  <v:stroke dashstyle="solid"/>
                </v:line>
                <v:line style="position:absolute" from="1083,2539" to="1083,2040" stroked="true" strokeweight=".25pt" strokecolor="#636466">
                  <v:stroke dashstyle="solid"/>
                </v:line>
                <v:line style="position:absolute" from="4320,2038" to="4594,2038" stroked="true" strokeweight=".25pt" strokecolor="#636466">
                  <v:stroke dashstyle="solid"/>
                </v:line>
                <v:line style="position:absolute" from="4594,2038" to="7733,2038" stroked="true" strokeweight=".25pt" strokecolor="#636466">
                  <v:stroke dashstyle="solid"/>
                </v:line>
                <v:line style="position:absolute" from="7733,2038" to="7992,2038" stroked="true" strokeweight=".25pt" strokecolor="#636466">
                  <v:stroke dashstyle="solid"/>
                </v:line>
                <v:line style="position:absolute" from="7992,2038" to="10894,2038" stroked="true" strokeweight=".25pt" strokecolor="#636466">
                  <v:stroke dashstyle="solid"/>
                </v:line>
                <v:line style="position:absolute" from="10891,2539" to="10891,2040" stroked="true" strokeweight=".25pt" strokecolor="#636466">
                  <v:stroke dashstyle="solid"/>
                </v:line>
                <v:line style="position:absolute" from="1083,2968" to="4320,2968" stroked="true" strokeweight=".25pt" strokecolor="#636466">
                  <v:stroke dashstyle="solid"/>
                </v:line>
                <v:line style="position:absolute" from="7992,2968" to="10891,2968" stroked="true" strokeweight=".25pt" strokecolor="#636466">
                  <v:stroke dashstyle="solid"/>
                </v:line>
                <v:line style="position:absolute" from="1083,3595" to="4320,3595" stroked="true" strokeweight=".25pt" strokecolor="#636466">
                  <v:stroke dashstyle="solid"/>
                </v:line>
                <v:line style="position:absolute" from="7992,3595" to="10891,3595" stroked="true" strokeweight=".25pt" strokecolor="#636466">
                  <v:stroke dashstyle="solid"/>
                </v:line>
                <v:line style="position:absolute" from="1083,4483" to="4320,4483" stroked="true" strokeweight=".25pt" strokecolor="#636466">
                  <v:stroke dashstyle="solid"/>
                </v:line>
                <v:line style="position:absolute" from="7992,4483" to="10891,4483" stroked="true" strokeweight=".25pt" strokecolor="#636466">
                  <v:stroke dashstyle="solid"/>
                </v:line>
                <v:line style="position:absolute" from="1083,4912" to="4320,4912" stroked="true" strokeweight=".25pt" strokecolor="#636466">
                  <v:stroke dashstyle="solid"/>
                </v:line>
                <v:line style="position:absolute" from="7992,4912" to="10891,4912" stroked="true" strokeweight=".25pt" strokecolor="#636466">
                  <v:stroke dashstyle="solid"/>
                </v:line>
                <v:line style="position:absolute" from="1083,5341" to="4320,5341" stroked="true" strokeweight=".25pt" strokecolor="#636466">
                  <v:stroke dashstyle="solid"/>
                </v:line>
                <v:line style="position:absolute" from="7992,5341" to="10891,5341" stroked="true" strokeweight=".25pt" strokecolor="#636466">
                  <v:stroke dashstyle="solid"/>
                </v:line>
                <v:line style="position:absolute" from="1083,7224" to="4320,7224" stroked="true" strokeweight=".25pt" strokecolor="#636466">
                  <v:stroke dashstyle="solid"/>
                </v:line>
                <v:line style="position:absolute" from="7992,7224" to="10891,7224" stroked="true" strokeweight=".25pt" strokecolor="#636466">
                  <v:stroke dashstyle="solid"/>
                </v:line>
                <v:line style="position:absolute" from="1083,8112" to="4320,8112" stroked="true" strokeweight=".25pt" strokecolor="#636466">
                  <v:stroke dashstyle="solid"/>
                </v:line>
                <v:line style="position:absolute" from="7992,8112" to="10891,8112" stroked="true" strokeweight=".25pt" strokecolor="#636466">
                  <v:stroke dashstyle="solid"/>
                </v:line>
                <v:line style="position:absolute" from="1083,8739" to="4320,8739" stroked="true" strokeweight=".25pt" strokecolor="#636466">
                  <v:stroke dashstyle="solid"/>
                </v:line>
                <v:line style="position:absolute" from="7992,8739" to="10891,8739" stroked="true" strokeweight=".25pt" strokecolor="#636466">
                  <v:stroke dashstyle="solid"/>
                </v:line>
                <v:line style="position:absolute" from="1083,9627" to="4320,9627" stroked="true" strokeweight=".25pt" strokecolor="#636466">
                  <v:stroke dashstyle="solid"/>
                </v:line>
                <v:line style="position:absolute" from="7992,9627" to="10891,9627" stroked="true" strokeweight=".25pt" strokecolor="#636466">
                  <v:stroke dashstyle="solid"/>
                </v:line>
                <v:shape style="position:absolute;left:1162;top:2627;width:3092;height:3203" type="#_x0000_t202" id="docshape1083" filled="false" stroked="false">
                  <v:textbox inset="0,0,0,0">
                    <w:txbxContent>
                      <w:p>
                        <w:pPr>
                          <w:spacing w:before="13"/>
                          <w:ind w:left="0" w:right="0" w:firstLine="0"/>
                          <w:jc w:val="left"/>
                          <w:rPr>
                            <w:sz w:val="22"/>
                          </w:rPr>
                        </w:pPr>
                        <w:r>
                          <w:rPr>
                            <w:color w:val="105C84"/>
                            <w:sz w:val="22"/>
                          </w:rPr>
                          <w:t>Steuben</w:t>
                        </w:r>
                        <w:r>
                          <w:rPr>
                            <w:color w:val="105C84"/>
                            <w:spacing w:val="6"/>
                            <w:sz w:val="22"/>
                          </w:rPr>
                          <w:t> </w:t>
                        </w:r>
                        <w:r>
                          <w:rPr>
                            <w:color w:val="105C84"/>
                            <w:sz w:val="22"/>
                          </w:rPr>
                          <w:t>County</w:t>
                        </w:r>
                        <w:r>
                          <w:rPr>
                            <w:color w:val="105C84"/>
                            <w:spacing w:val="7"/>
                            <w:sz w:val="22"/>
                          </w:rPr>
                          <w:t> </w:t>
                        </w:r>
                        <w:r>
                          <w:rPr>
                            <w:color w:val="105C84"/>
                            <w:sz w:val="22"/>
                          </w:rPr>
                          <w:t>Public</w:t>
                        </w:r>
                        <w:r>
                          <w:rPr>
                            <w:color w:val="105C84"/>
                            <w:spacing w:val="7"/>
                            <w:sz w:val="22"/>
                          </w:rPr>
                          <w:t> </w:t>
                        </w:r>
                        <w:r>
                          <w:rPr>
                            <w:color w:val="105C84"/>
                            <w:spacing w:val="-2"/>
                            <w:sz w:val="22"/>
                          </w:rPr>
                          <w:t>Health</w:t>
                        </w:r>
                      </w:p>
                      <w:p>
                        <w:pPr>
                          <w:spacing w:line="240" w:lineRule="auto" w:before="23"/>
                          <w:rPr>
                            <w:sz w:val="22"/>
                          </w:rPr>
                        </w:pPr>
                      </w:p>
                      <w:p>
                        <w:pPr>
                          <w:spacing w:before="0"/>
                          <w:ind w:left="0" w:right="0" w:firstLine="0"/>
                          <w:jc w:val="left"/>
                          <w:rPr>
                            <w:sz w:val="22"/>
                          </w:rPr>
                        </w:pPr>
                        <w:r>
                          <w:rPr>
                            <w:color w:val="105C84"/>
                            <w:sz w:val="22"/>
                          </w:rPr>
                          <w:t>Canisteo</w:t>
                        </w:r>
                        <w:r>
                          <w:rPr>
                            <w:color w:val="105C84"/>
                            <w:spacing w:val="-12"/>
                            <w:sz w:val="22"/>
                          </w:rPr>
                          <w:t> </w:t>
                        </w:r>
                        <w:r>
                          <w:rPr>
                            <w:color w:val="105C84"/>
                            <w:sz w:val="22"/>
                          </w:rPr>
                          <w:t>Valley</w:t>
                        </w:r>
                        <w:r>
                          <w:rPr>
                            <w:color w:val="105C84"/>
                            <w:spacing w:val="-11"/>
                            <w:sz w:val="22"/>
                          </w:rPr>
                          <w:t> </w:t>
                        </w:r>
                        <w:r>
                          <w:rPr>
                            <w:color w:val="105C84"/>
                            <w:sz w:val="22"/>
                          </w:rPr>
                          <w:t>Family</w:t>
                        </w:r>
                        <w:r>
                          <w:rPr>
                            <w:color w:val="105C84"/>
                            <w:spacing w:val="-12"/>
                            <w:sz w:val="22"/>
                          </w:rPr>
                          <w:t> </w:t>
                        </w:r>
                        <w:r>
                          <w:rPr>
                            <w:color w:val="105C84"/>
                            <w:spacing w:val="-2"/>
                            <w:sz w:val="22"/>
                          </w:rPr>
                          <w:t>Practice</w:t>
                        </w:r>
                      </w:p>
                      <w:p>
                        <w:pPr>
                          <w:spacing w:line="247" w:lineRule="auto" w:before="244"/>
                          <w:ind w:left="0" w:right="0" w:firstLine="0"/>
                          <w:jc w:val="left"/>
                          <w:rPr>
                            <w:sz w:val="22"/>
                          </w:rPr>
                        </w:pPr>
                        <w:r>
                          <w:rPr>
                            <w:color w:val="105C84"/>
                            <w:sz w:val="22"/>
                          </w:rPr>
                          <w:t>Steuben Rural Health </w:t>
                        </w:r>
                        <w:r>
                          <w:rPr>
                            <w:color w:val="105C84"/>
                            <w:sz w:val="22"/>
                          </w:rPr>
                          <w:t>Network at the Institute for Human Services, Inc.</w:t>
                        </w:r>
                      </w:p>
                      <w:p>
                        <w:pPr>
                          <w:spacing w:line="408" w:lineRule="auto" w:before="137"/>
                          <w:ind w:left="0" w:right="615" w:firstLine="0"/>
                          <w:jc w:val="left"/>
                          <w:rPr>
                            <w:sz w:val="22"/>
                          </w:rPr>
                        </w:pPr>
                        <w:r>
                          <w:rPr>
                            <w:color w:val="105C84"/>
                            <w:sz w:val="22"/>
                          </w:rPr>
                          <w:t>UR</w:t>
                        </w:r>
                        <w:r>
                          <w:rPr>
                            <w:color w:val="105C84"/>
                            <w:spacing w:val="-16"/>
                            <w:sz w:val="22"/>
                          </w:rPr>
                          <w:t> </w:t>
                        </w:r>
                        <w:r>
                          <w:rPr>
                            <w:color w:val="105C84"/>
                            <w:sz w:val="22"/>
                          </w:rPr>
                          <w:t>St.</w:t>
                        </w:r>
                        <w:r>
                          <w:rPr>
                            <w:color w:val="105C84"/>
                            <w:spacing w:val="-15"/>
                            <w:sz w:val="22"/>
                          </w:rPr>
                          <w:t> </w:t>
                        </w:r>
                        <w:r>
                          <w:rPr>
                            <w:color w:val="105C84"/>
                            <w:sz w:val="22"/>
                          </w:rPr>
                          <w:t>James</w:t>
                        </w:r>
                        <w:r>
                          <w:rPr>
                            <w:color w:val="105C84"/>
                            <w:spacing w:val="-15"/>
                            <w:sz w:val="22"/>
                          </w:rPr>
                          <w:t> </w:t>
                        </w:r>
                        <w:r>
                          <w:rPr>
                            <w:color w:val="105C84"/>
                            <w:sz w:val="22"/>
                          </w:rPr>
                          <w:t>Hospital Arc of Steuben</w:t>
                        </w:r>
                      </w:p>
                      <w:p>
                        <w:pPr>
                          <w:spacing w:before="98"/>
                          <w:ind w:left="0" w:right="0" w:firstLine="0"/>
                          <w:jc w:val="left"/>
                          <w:rPr>
                            <w:sz w:val="22"/>
                          </w:rPr>
                        </w:pPr>
                        <w:r>
                          <w:rPr>
                            <w:color w:val="105C84"/>
                            <w:sz w:val="22"/>
                          </w:rPr>
                          <w:t>Steuben</w:t>
                        </w:r>
                        <w:r>
                          <w:rPr>
                            <w:color w:val="105C84"/>
                            <w:spacing w:val="3"/>
                            <w:sz w:val="22"/>
                          </w:rPr>
                          <w:t> </w:t>
                        </w:r>
                        <w:r>
                          <w:rPr>
                            <w:color w:val="105C84"/>
                            <w:sz w:val="22"/>
                          </w:rPr>
                          <w:t>Prevention</w:t>
                        </w:r>
                        <w:r>
                          <w:rPr>
                            <w:color w:val="105C84"/>
                            <w:spacing w:val="4"/>
                            <w:sz w:val="22"/>
                          </w:rPr>
                          <w:t> </w:t>
                        </w:r>
                        <w:r>
                          <w:rPr>
                            <w:color w:val="105C84"/>
                            <w:spacing w:val="-2"/>
                            <w:sz w:val="22"/>
                          </w:rPr>
                          <w:t>Coalition</w:t>
                        </w:r>
                      </w:p>
                    </w:txbxContent>
                  </v:textbox>
                  <w10:wrap type="none"/>
                </v:shape>
                <v:shape style="position:absolute;left:4673;top:2627;width:2713;height:829" type="#_x0000_t202" id="docshape1084" filled="false" stroked="false">
                  <v:textbox inset="0,0,0,0">
                    <w:txbxContent>
                      <w:p>
                        <w:pPr>
                          <w:spacing w:before="13"/>
                          <w:ind w:left="0" w:right="0" w:firstLine="0"/>
                          <w:jc w:val="left"/>
                          <w:rPr>
                            <w:sz w:val="22"/>
                          </w:rPr>
                        </w:pPr>
                        <w:r>
                          <w:rPr>
                            <w:color w:val="105C84"/>
                            <w:spacing w:val="-4"/>
                            <w:sz w:val="22"/>
                          </w:rPr>
                          <w:t>S2AY</w:t>
                        </w:r>
                        <w:r>
                          <w:rPr>
                            <w:color w:val="105C84"/>
                            <w:spacing w:val="-5"/>
                            <w:sz w:val="22"/>
                          </w:rPr>
                          <w:t> </w:t>
                        </w:r>
                        <w:r>
                          <w:rPr>
                            <w:color w:val="105C84"/>
                            <w:spacing w:val="-4"/>
                            <w:sz w:val="22"/>
                          </w:rPr>
                          <w:t>Rural</w:t>
                        </w:r>
                        <w:r>
                          <w:rPr>
                            <w:color w:val="105C84"/>
                            <w:spacing w:val="-5"/>
                            <w:sz w:val="22"/>
                          </w:rPr>
                          <w:t> </w:t>
                        </w:r>
                        <w:r>
                          <w:rPr>
                            <w:color w:val="105C84"/>
                            <w:spacing w:val="-4"/>
                            <w:sz w:val="22"/>
                          </w:rPr>
                          <w:t>Health Network</w:t>
                        </w:r>
                      </w:p>
                      <w:p>
                        <w:pPr>
                          <w:spacing w:line="240" w:lineRule="auto" w:before="23"/>
                          <w:rPr>
                            <w:sz w:val="22"/>
                          </w:rPr>
                        </w:pPr>
                      </w:p>
                      <w:p>
                        <w:pPr>
                          <w:spacing w:before="0"/>
                          <w:ind w:left="0" w:right="0" w:firstLine="0"/>
                          <w:jc w:val="left"/>
                          <w:rPr>
                            <w:sz w:val="22"/>
                          </w:rPr>
                        </w:pPr>
                        <w:r>
                          <w:rPr>
                            <w:color w:val="105C84"/>
                            <w:sz w:val="22"/>
                          </w:rPr>
                          <w:t>Bath</w:t>
                        </w:r>
                        <w:r>
                          <w:rPr>
                            <w:color w:val="105C84"/>
                            <w:spacing w:val="-3"/>
                            <w:sz w:val="22"/>
                          </w:rPr>
                          <w:t> </w:t>
                        </w:r>
                        <w:r>
                          <w:rPr>
                            <w:color w:val="105C84"/>
                            <w:sz w:val="22"/>
                          </w:rPr>
                          <w:t>School</w:t>
                        </w:r>
                        <w:r>
                          <w:rPr>
                            <w:color w:val="105C84"/>
                            <w:spacing w:val="-3"/>
                            <w:sz w:val="22"/>
                          </w:rPr>
                          <w:t> </w:t>
                        </w:r>
                        <w:r>
                          <w:rPr>
                            <w:color w:val="105C84"/>
                            <w:spacing w:val="-2"/>
                            <w:sz w:val="22"/>
                          </w:rPr>
                          <w:t>District</w:t>
                        </w:r>
                      </w:p>
                    </w:txbxContent>
                  </v:textbox>
                  <w10:wrap type="none"/>
                </v:shape>
                <v:shape style="position:absolute;left:4673;top:3913;width:370;height:301" type="#_x0000_t202" id="docshape1085" filled="false" stroked="false">
                  <v:textbox inset="0,0,0,0">
                    <w:txbxContent>
                      <w:p>
                        <w:pPr>
                          <w:spacing w:before="13"/>
                          <w:ind w:left="0" w:right="0" w:firstLine="0"/>
                          <w:jc w:val="left"/>
                          <w:rPr>
                            <w:sz w:val="22"/>
                          </w:rPr>
                        </w:pPr>
                        <w:r>
                          <w:rPr>
                            <w:color w:val="105C84"/>
                            <w:spacing w:val="-5"/>
                            <w:sz w:val="22"/>
                          </w:rPr>
                          <w:t>211</w:t>
                        </w:r>
                      </w:p>
                    </w:txbxContent>
                  </v:textbox>
                  <w10:wrap type="none"/>
                </v:shape>
                <v:shape style="position:absolute;left:1162;top:6156;width:3073;height:4389" type="#_x0000_t202" id="docshape1086" filled="false" stroked="false">
                  <v:textbox inset="0,0,0,0">
                    <w:txbxContent>
                      <w:p>
                        <w:pPr>
                          <w:spacing w:before="13"/>
                          <w:ind w:left="0" w:right="0" w:firstLine="0"/>
                          <w:jc w:val="left"/>
                          <w:rPr>
                            <w:sz w:val="22"/>
                          </w:rPr>
                        </w:pPr>
                        <w:r>
                          <w:rPr>
                            <w:color w:val="105C84"/>
                            <w:sz w:val="22"/>
                          </w:rPr>
                          <w:t>Healthy</w:t>
                        </w:r>
                        <w:r>
                          <w:rPr>
                            <w:color w:val="105C84"/>
                            <w:spacing w:val="-1"/>
                            <w:sz w:val="22"/>
                          </w:rPr>
                          <w:t> </w:t>
                        </w:r>
                        <w:r>
                          <w:rPr>
                            <w:color w:val="105C84"/>
                            <w:sz w:val="22"/>
                          </w:rPr>
                          <w:t>Families</w:t>
                        </w:r>
                        <w:r>
                          <w:rPr>
                            <w:color w:val="105C84"/>
                            <w:spacing w:val="-1"/>
                            <w:sz w:val="22"/>
                          </w:rPr>
                          <w:t> </w:t>
                        </w:r>
                        <w:r>
                          <w:rPr>
                            <w:color w:val="105C84"/>
                            <w:spacing w:val="-2"/>
                            <w:sz w:val="22"/>
                          </w:rPr>
                          <w:t>Steuben</w:t>
                        </w:r>
                      </w:p>
                      <w:p>
                        <w:pPr>
                          <w:spacing w:line="247" w:lineRule="auto" w:before="245"/>
                          <w:ind w:left="0" w:right="0" w:firstLine="0"/>
                          <w:jc w:val="left"/>
                          <w:rPr>
                            <w:sz w:val="22"/>
                          </w:rPr>
                        </w:pPr>
                        <w:r>
                          <w:rPr>
                            <w:color w:val="105C84"/>
                            <w:sz w:val="22"/>
                          </w:rPr>
                          <w:t>Southern</w:t>
                        </w:r>
                        <w:r>
                          <w:rPr>
                            <w:color w:val="105C84"/>
                            <w:spacing w:val="-11"/>
                            <w:sz w:val="22"/>
                          </w:rPr>
                          <w:t> </w:t>
                        </w:r>
                        <w:r>
                          <w:rPr>
                            <w:color w:val="105C84"/>
                            <w:sz w:val="22"/>
                          </w:rPr>
                          <w:t>Tier</w:t>
                        </w:r>
                        <w:r>
                          <w:rPr>
                            <w:color w:val="105C84"/>
                            <w:spacing w:val="-12"/>
                            <w:sz w:val="22"/>
                          </w:rPr>
                          <w:t> </w:t>
                        </w:r>
                        <w:r>
                          <w:rPr>
                            <w:color w:val="105C84"/>
                            <w:sz w:val="22"/>
                          </w:rPr>
                          <w:t>Tobacco Awareness Coalition</w:t>
                        </w:r>
                      </w:p>
                      <w:p>
                        <w:pPr>
                          <w:spacing w:line="247" w:lineRule="auto" w:before="107"/>
                          <w:ind w:left="0" w:right="0" w:firstLine="0"/>
                          <w:jc w:val="left"/>
                          <w:rPr>
                            <w:sz w:val="22"/>
                          </w:rPr>
                        </w:pPr>
                        <w:r>
                          <w:rPr>
                            <w:color w:val="105C84"/>
                            <w:sz w:val="22"/>
                          </w:rPr>
                          <w:t>Cornell Cooperative </w:t>
                        </w:r>
                        <w:r>
                          <w:rPr>
                            <w:color w:val="105C84"/>
                            <w:sz w:val="22"/>
                          </w:rPr>
                          <w:t>Extension </w:t>
                        </w:r>
                        <w:r>
                          <w:rPr>
                            <w:color w:val="105C84"/>
                            <w:w w:val="105"/>
                            <w:sz w:val="22"/>
                          </w:rPr>
                          <w:t>of Steuben / Finger Lakes</w:t>
                        </w:r>
                      </w:p>
                      <w:p>
                        <w:pPr>
                          <w:spacing w:line="252" w:lineRule="exact" w:before="0"/>
                          <w:ind w:left="0" w:right="0" w:firstLine="0"/>
                          <w:jc w:val="left"/>
                          <w:rPr>
                            <w:sz w:val="22"/>
                          </w:rPr>
                        </w:pPr>
                        <w:r>
                          <w:rPr>
                            <w:color w:val="105C84"/>
                            <w:sz w:val="22"/>
                          </w:rPr>
                          <w:t>Eat</w:t>
                        </w:r>
                        <w:r>
                          <w:rPr>
                            <w:color w:val="105C84"/>
                            <w:spacing w:val="-10"/>
                            <w:sz w:val="22"/>
                          </w:rPr>
                          <w:t> </w:t>
                        </w:r>
                        <w:r>
                          <w:rPr>
                            <w:color w:val="105C84"/>
                            <w:sz w:val="22"/>
                          </w:rPr>
                          <w:t>Smart</w:t>
                        </w:r>
                        <w:r>
                          <w:rPr>
                            <w:color w:val="105C84"/>
                            <w:spacing w:val="-9"/>
                            <w:sz w:val="22"/>
                          </w:rPr>
                          <w:t> </w:t>
                        </w:r>
                        <w:r>
                          <w:rPr>
                            <w:color w:val="105C84"/>
                            <w:spacing w:val="-5"/>
                            <w:sz w:val="22"/>
                          </w:rPr>
                          <w:t>NY</w:t>
                        </w:r>
                      </w:p>
                      <w:p>
                        <w:pPr>
                          <w:spacing w:line="247" w:lineRule="auto" w:before="114"/>
                          <w:ind w:left="0" w:right="1350" w:firstLine="0"/>
                          <w:jc w:val="both"/>
                          <w:rPr>
                            <w:sz w:val="22"/>
                          </w:rPr>
                        </w:pPr>
                        <w:r>
                          <w:rPr>
                            <w:color w:val="105C84"/>
                            <w:sz w:val="22"/>
                          </w:rPr>
                          <w:t>Food Bank of </w:t>
                        </w:r>
                        <w:r>
                          <w:rPr>
                            <w:color w:val="105C84"/>
                            <w:sz w:val="22"/>
                          </w:rPr>
                          <w:t>the Southern Tier</w:t>
                        </w:r>
                      </w:p>
                      <w:p>
                        <w:pPr>
                          <w:spacing w:line="247" w:lineRule="auto" w:before="107"/>
                          <w:ind w:left="0" w:right="257" w:firstLine="0"/>
                          <w:jc w:val="both"/>
                          <w:rPr>
                            <w:sz w:val="22"/>
                          </w:rPr>
                        </w:pPr>
                        <w:r>
                          <w:rPr>
                            <w:color w:val="105C84"/>
                            <w:sz w:val="22"/>
                          </w:rPr>
                          <w:t>Steuben County Alcoholism &amp;</w:t>
                        </w:r>
                        <w:r>
                          <w:rPr>
                            <w:color w:val="105C84"/>
                            <w:spacing w:val="-16"/>
                            <w:sz w:val="22"/>
                          </w:rPr>
                          <w:t> </w:t>
                        </w:r>
                        <w:r>
                          <w:rPr>
                            <w:color w:val="105C84"/>
                            <w:sz w:val="22"/>
                          </w:rPr>
                          <w:t>Substance</w:t>
                        </w:r>
                        <w:r>
                          <w:rPr>
                            <w:color w:val="105C84"/>
                            <w:spacing w:val="-15"/>
                            <w:sz w:val="22"/>
                          </w:rPr>
                          <w:t> </w:t>
                        </w:r>
                        <w:r>
                          <w:rPr>
                            <w:color w:val="105C84"/>
                            <w:sz w:val="22"/>
                          </w:rPr>
                          <w:t>Abuse</w:t>
                        </w:r>
                        <w:r>
                          <w:rPr>
                            <w:color w:val="105C84"/>
                            <w:spacing w:val="-15"/>
                            <w:sz w:val="22"/>
                          </w:rPr>
                          <w:t> </w:t>
                        </w:r>
                        <w:r>
                          <w:rPr>
                            <w:color w:val="105C84"/>
                            <w:sz w:val="22"/>
                          </w:rPr>
                          <w:t>Services </w:t>
                        </w:r>
                        <w:r>
                          <w:rPr>
                            <w:color w:val="105C84"/>
                            <w:spacing w:val="-2"/>
                            <w:sz w:val="22"/>
                          </w:rPr>
                          <w:t>(SCASAS)</w:t>
                        </w:r>
                      </w:p>
                      <w:p>
                        <w:pPr>
                          <w:spacing w:before="136"/>
                          <w:ind w:left="0" w:right="0" w:firstLine="0"/>
                          <w:jc w:val="left"/>
                          <w:rPr>
                            <w:sz w:val="22"/>
                          </w:rPr>
                        </w:pPr>
                        <w:r>
                          <w:rPr>
                            <w:color w:val="105C84"/>
                            <w:sz w:val="22"/>
                          </w:rPr>
                          <w:t>Oak</w:t>
                        </w:r>
                        <w:r>
                          <w:rPr>
                            <w:color w:val="105C84"/>
                            <w:spacing w:val="9"/>
                            <w:sz w:val="22"/>
                          </w:rPr>
                          <w:t> </w:t>
                        </w:r>
                        <w:r>
                          <w:rPr>
                            <w:color w:val="105C84"/>
                            <w:sz w:val="22"/>
                          </w:rPr>
                          <w:t>Orchard</w:t>
                        </w:r>
                        <w:r>
                          <w:rPr>
                            <w:color w:val="105C84"/>
                            <w:spacing w:val="9"/>
                            <w:sz w:val="22"/>
                          </w:rPr>
                          <w:t> </w:t>
                        </w:r>
                        <w:r>
                          <w:rPr>
                            <w:color w:val="105C84"/>
                            <w:spacing w:val="-2"/>
                            <w:sz w:val="22"/>
                          </w:rPr>
                          <w:t>Health</w:t>
                        </w:r>
                      </w:p>
                      <w:p>
                        <w:pPr>
                          <w:spacing w:line="240" w:lineRule="auto" w:before="23"/>
                          <w:rPr>
                            <w:sz w:val="22"/>
                          </w:rPr>
                        </w:pPr>
                      </w:p>
                      <w:p>
                        <w:pPr>
                          <w:spacing w:before="0"/>
                          <w:ind w:left="0" w:right="0" w:firstLine="0"/>
                          <w:jc w:val="left"/>
                          <w:rPr>
                            <w:sz w:val="22"/>
                          </w:rPr>
                        </w:pPr>
                        <w:r>
                          <w:rPr>
                            <w:color w:val="105C84"/>
                            <w:sz w:val="22"/>
                          </w:rPr>
                          <w:t>City</w:t>
                        </w:r>
                        <w:r>
                          <w:rPr>
                            <w:color w:val="105C84"/>
                            <w:spacing w:val="16"/>
                            <w:sz w:val="22"/>
                          </w:rPr>
                          <w:t> </w:t>
                        </w:r>
                        <w:r>
                          <w:rPr>
                            <w:color w:val="105C84"/>
                            <w:sz w:val="22"/>
                          </w:rPr>
                          <w:t>of</w:t>
                        </w:r>
                        <w:r>
                          <w:rPr>
                            <w:color w:val="105C84"/>
                            <w:spacing w:val="17"/>
                            <w:sz w:val="22"/>
                          </w:rPr>
                          <w:t> </w:t>
                        </w:r>
                        <w:r>
                          <w:rPr>
                            <w:color w:val="105C84"/>
                            <w:sz w:val="22"/>
                          </w:rPr>
                          <w:t>Corning</w:t>
                        </w:r>
                        <w:r>
                          <w:rPr>
                            <w:color w:val="105C84"/>
                            <w:spacing w:val="16"/>
                            <w:sz w:val="22"/>
                          </w:rPr>
                          <w:t> </w:t>
                        </w:r>
                        <w:r>
                          <w:rPr>
                            <w:color w:val="105C84"/>
                            <w:sz w:val="22"/>
                          </w:rPr>
                          <w:t>Health</w:t>
                        </w:r>
                        <w:r>
                          <w:rPr>
                            <w:color w:val="105C84"/>
                            <w:spacing w:val="17"/>
                            <w:sz w:val="22"/>
                          </w:rPr>
                          <w:t> </w:t>
                        </w:r>
                        <w:r>
                          <w:rPr>
                            <w:color w:val="105C84"/>
                            <w:spacing w:val="-2"/>
                            <w:sz w:val="22"/>
                          </w:rPr>
                          <w:t>Board</w:t>
                        </w:r>
                      </w:p>
                    </w:txbxContent>
                  </v:textbox>
                  <w10:wrap type="none"/>
                </v:shape>
                <v:shape style="position:absolute;left:4673;top:4571;width:2883;height:3402" type="#_x0000_t202" id="docshape1087" filled="false" stroked="false">
                  <v:textbox inset="0,0,0,0">
                    <w:txbxContent>
                      <w:p>
                        <w:pPr>
                          <w:spacing w:before="13"/>
                          <w:ind w:left="0" w:right="0" w:firstLine="0"/>
                          <w:jc w:val="left"/>
                          <w:rPr>
                            <w:sz w:val="22"/>
                          </w:rPr>
                        </w:pPr>
                        <w:r>
                          <w:rPr>
                            <w:color w:val="105C84"/>
                            <w:sz w:val="22"/>
                          </w:rPr>
                          <w:t>Guthrie</w:t>
                        </w:r>
                        <w:r>
                          <w:rPr>
                            <w:color w:val="105C84"/>
                            <w:spacing w:val="26"/>
                            <w:sz w:val="22"/>
                          </w:rPr>
                          <w:t> </w:t>
                        </w:r>
                        <w:r>
                          <w:rPr>
                            <w:color w:val="105C84"/>
                            <w:sz w:val="22"/>
                          </w:rPr>
                          <w:t>Corning</w:t>
                        </w:r>
                        <w:r>
                          <w:rPr>
                            <w:color w:val="105C84"/>
                            <w:spacing w:val="27"/>
                            <w:sz w:val="22"/>
                          </w:rPr>
                          <w:t> </w:t>
                        </w:r>
                        <w:r>
                          <w:rPr>
                            <w:color w:val="105C84"/>
                            <w:spacing w:val="-2"/>
                            <w:sz w:val="22"/>
                          </w:rPr>
                          <w:t>Hospital</w:t>
                        </w:r>
                      </w:p>
                      <w:p>
                        <w:pPr>
                          <w:spacing w:line="400" w:lineRule="atLeast" w:before="30"/>
                          <w:ind w:left="0" w:right="0" w:firstLine="0"/>
                          <w:jc w:val="left"/>
                          <w:rPr>
                            <w:sz w:val="22"/>
                          </w:rPr>
                        </w:pPr>
                        <w:r>
                          <w:rPr>
                            <w:color w:val="105C84"/>
                            <w:sz w:val="22"/>
                          </w:rPr>
                          <w:t>Southern</w:t>
                        </w:r>
                        <w:r>
                          <w:rPr>
                            <w:color w:val="105C84"/>
                            <w:spacing w:val="-13"/>
                            <w:sz w:val="22"/>
                          </w:rPr>
                          <w:t> </w:t>
                        </w:r>
                        <w:r>
                          <w:rPr>
                            <w:color w:val="105C84"/>
                            <w:sz w:val="22"/>
                          </w:rPr>
                          <w:t>Tier</w:t>
                        </w:r>
                        <w:r>
                          <w:rPr>
                            <w:color w:val="105C84"/>
                            <w:spacing w:val="-13"/>
                            <w:sz w:val="22"/>
                          </w:rPr>
                          <w:t> </w:t>
                        </w:r>
                        <w:r>
                          <w:rPr>
                            <w:color w:val="105C84"/>
                            <w:sz w:val="22"/>
                          </w:rPr>
                          <w:t>Library</w:t>
                        </w:r>
                        <w:r>
                          <w:rPr>
                            <w:color w:val="105C84"/>
                            <w:spacing w:val="-13"/>
                            <w:sz w:val="22"/>
                          </w:rPr>
                          <w:t> </w:t>
                        </w:r>
                        <w:r>
                          <w:rPr>
                            <w:color w:val="105C84"/>
                            <w:sz w:val="22"/>
                          </w:rPr>
                          <w:t>System Steuben County</w:t>
                        </w:r>
                      </w:p>
                      <w:p>
                        <w:pPr>
                          <w:spacing w:before="5"/>
                          <w:ind w:left="0" w:right="0" w:firstLine="0"/>
                          <w:jc w:val="left"/>
                          <w:rPr>
                            <w:sz w:val="22"/>
                          </w:rPr>
                        </w:pPr>
                        <w:r>
                          <w:rPr>
                            <w:color w:val="105C84"/>
                            <w:spacing w:val="-2"/>
                            <w:sz w:val="22"/>
                          </w:rPr>
                          <w:t>Youth</w:t>
                        </w:r>
                        <w:r>
                          <w:rPr>
                            <w:color w:val="105C84"/>
                            <w:spacing w:val="-7"/>
                            <w:sz w:val="22"/>
                          </w:rPr>
                          <w:t> </w:t>
                        </w:r>
                        <w:r>
                          <w:rPr>
                            <w:color w:val="105C84"/>
                            <w:spacing w:val="-2"/>
                            <w:sz w:val="22"/>
                          </w:rPr>
                          <w:t>Bureau</w:t>
                        </w:r>
                      </w:p>
                      <w:p>
                        <w:pPr>
                          <w:spacing w:before="245"/>
                          <w:ind w:left="0" w:right="0" w:firstLine="0"/>
                          <w:jc w:val="left"/>
                          <w:rPr>
                            <w:sz w:val="22"/>
                          </w:rPr>
                        </w:pPr>
                        <w:r>
                          <w:rPr>
                            <w:color w:val="105C84"/>
                            <w:spacing w:val="-2"/>
                            <w:sz w:val="22"/>
                          </w:rPr>
                          <w:t>Genesee</w:t>
                        </w:r>
                        <w:r>
                          <w:rPr>
                            <w:color w:val="105C84"/>
                            <w:spacing w:val="-6"/>
                            <w:sz w:val="22"/>
                          </w:rPr>
                          <w:t> </w:t>
                        </w:r>
                        <w:r>
                          <w:rPr>
                            <w:color w:val="105C84"/>
                            <w:spacing w:val="-2"/>
                            <w:sz w:val="22"/>
                          </w:rPr>
                          <w:t>Valley</w:t>
                        </w:r>
                        <w:r>
                          <w:rPr>
                            <w:color w:val="105C84"/>
                            <w:spacing w:val="-5"/>
                            <w:sz w:val="22"/>
                          </w:rPr>
                          <w:t> </w:t>
                        </w:r>
                        <w:r>
                          <w:rPr>
                            <w:color w:val="105C84"/>
                            <w:spacing w:val="-2"/>
                            <w:sz w:val="22"/>
                          </w:rPr>
                          <w:t>BOCES</w:t>
                        </w:r>
                      </w:p>
                      <w:p>
                        <w:pPr>
                          <w:spacing w:line="247" w:lineRule="auto" w:before="244"/>
                          <w:ind w:left="0" w:right="0" w:firstLine="0"/>
                          <w:jc w:val="left"/>
                          <w:rPr>
                            <w:sz w:val="22"/>
                          </w:rPr>
                        </w:pPr>
                        <w:r>
                          <w:rPr>
                            <w:color w:val="105C84"/>
                            <w:sz w:val="22"/>
                          </w:rPr>
                          <w:t>UR Center for </w:t>
                        </w:r>
                        <w:r>
                          <w:rPr>
                            <w:color w:val="105C84"/>
                            <w:sz w:val="22"/>
                          </w:rPr>
                          <w:t>Community Health and Prevention</w:t>
                        </w:r>
                      </w:p>
                      <w:p>
                        <w:pPr>
                          <w:spacing w:line="247" w:lineRule="auto" w:before="237"/>
                          <w:ind w:left="0" w:right="0" w:firstLine="0"/>
                          <w:jc w:val="left"/>
                          <w:rPr>
                            <w:sz w:val="22"/>
                          </w:rPr>
                        </w:pPr>
                        <w:r>
                          <w:rPr>
                            <w:color w:val="105C84"/>
                            <w:sz w:val="22"/>
                          </w:rPr>
                          <w:t>Hornell Area Concern </w:t>
                        </w:r>
                        <w:r>
                          <w:rPr>
                            <w:color w:val="105C84"/>
                            <w:sz w:val="22"/>
                          </w:rPr>
                          <w:t>for </w:t>
                        </w:r>
                        <w:r>
                          <w:rPr>
                            <w:color w:val="105C84"/>
                            <w:spacing w:val="-2"/>
                            <w:sz w:val="22"/>
                          </w:rPr>
                          <w:t>Youth</w:t>
                        </w:r>
                      </w:p>
                    </w:txbxContent>
                  </v:textbox>
                  <w10:wrap type="none"/>
                </v:shape>
                <v:shape style="position:absolute;left:8072;top:2627;width:2585;height:4459" type="#_x0000_t202" id="docshape1088" filled="false" stroked="false">
                  <v:textbox inset="0,0,0,0">
                    <w:txbxContent>
                      <w:p>
                        <w:pPr>
                          <w:spacing w:before="13"/>
                          <w:ind w:left="0" w:right="0" w:firstLine="0"/>
                          <w:jc w:val="left"/>
                          <w:rPr>
                            <w:sz w:val="22"/>
                          </w:rPr>
                        </w:pPr>
                        <w:r>
                          <w:rPr>
                            <w:color w:val="105C84"/>
                            <w:sz w:val="22"/>
                          </w:rPr>
                          <w:t>Common</w:t>
                        </w:r>
                        <w:r>
                          <w:rPr>
                            <w:color w:val="105C84"/>
                            <w:spacing w:val="26"/>
                            <w:sz w:val="22"/>
                          </w:rPr>
                          <w:t> </w:t>
                        </w:r>
                        <w:r>
                          <w:rPr>
                            <w:color w:val="105C84"/>
                            <w:sz w:val="22"/>
                          </w:rPr>
                          <w:t>Ground</w:t>
                        </w:r>
                        <w:r>
                          <w:rPr>
                            <w:color w:val="105C84"/>
                            <w:spacing w:val="27"/>
                            <w:sz w:val="22"/>
                          </w:rPr>
                          <w:t> </w:t>
                        </w:r>
                        <w:r>
                          <w:rPr>
                            <w:color w:val="105C84"/>
                            <w:spacing w:val="-2"/>
                            <w:sz w:val="22"/>
                          </w:rPr>
                          <w:t>Health</w:t>
                        </w:r>
                      </w:p>
                      <w:p>
                        <w:pPr>
                          <w:spacing w:line="247" w:lineRule="auto" w:before="146"/>
                          <w:ind w:left="0" w:right="515" w:firstLine="0"/>
                          <w:jc w:val="left"/>
                          <w:rPr>
                            <w:sz w:val="22"/>
                          </w:rPr>
                        </w:pPr>
                        <w:r>
                          <w:rPr>
                            <w:color w:val="105C84"/>
                            <w:sz w:val="22"/>
                          </w:rPr>
                          <w:t>Steuben</w:t>
                        </w:r>
                        <w:r>
                          <w:rPr>
                            <w:color w:val="105C84"/>
                            <w:spacing w:val="-3"/>
                            <w:sz w:val="22"/>
                          </w:rPr>
                          <w:t> </w:t>
                        </w:r>
                        <w:r>
                          <w:rPr>
                            <w:color w:val="105C84"/>
                            <w:sz w:val="22"/>
                          </w:rPr>
                          <w:t>County Mental Health</w:t>
                        </w:r>
                      </w:p>
                      <w:p>
                        <w:pPr>
                          <w:spacing w:line="247" w:lineRule="auto" w:before="236"/>
                          <w:ind w:left="0" w:right="515" w:firstLine="0"/>
                          <w:jc w:val="left"/>
                          <w:rPr>
                            <w:sz w:val="22"/>
                          </w:rPr>
                        </w:pPr>
                        <w:r>
                          <w:rPr>
                            <w:color w:val="105C84"/>
                            <w:sz w:val="22"/>
                          </w:rPr>
                          <w:t>Finger Lakes Community</w:t>
                        </w:r>
                        <w:r>
                          <w:rPr>
                            <w:color w:val="105C84"/>
                            <w:spacing w:val="27"/>
                            <w:sz w:val="22"/>
                          </w:rPr>
                          <w:t> </w:t>
                        </w:r>
                        <w:r>
                          <w:rPr>
                            <w:color w:val="105C84"/>
                            <w:spacing w:val="-2"/>
                            <w:sz w:val="22"/>
                          </w:rPr>
                          <w:t>Health</w:t>
                        </w:r>
                      </w:p>
                      <w:p>
                        <w:pPr>
                          <w:spacing w:line="240" w:lineRule="auto" w:before="15"/>
                          <w:rPr>
                            <w:sz w:val="22"/>
                          </w:rPr>
                        </w:pPr>
                      </w:p>
                      <w:p>
                        <w:pPr>
                          <w:spacing w:before="0"/>
                          <w:ind w:left="0" w:right="0" w:firstLine="0"/>
                          <w:jc w:val="left"/>
                          <w:rPr>
                            <w:sz w:val="22"/>
                          </w:rPr>
                        </w:pPr>
                        <w:r>
                          <w:rPr>
                            <w:color w:val="105C84"/>
                            <w:sz w:val="22"/>
                          </w:rPr>
                          <w:t>County</w:t>
                        </w:r>
                        <w:r>
                          <w:rPr>
                            <w:color w:val="105C84"/>
                            <w:spacing w:val="16"/>
                            <w:sz w:val="22"/>
                          </w:rPr>
                          <w:t> </w:t>
                        </w:r>
                        <w:r>
                          <w:rPr>
                            <w:color w:val="105C84"/>
                            <w:spacing w:val="-2"/>
                            <w:sz w:val="22"/>
                          </w:rPr>
                          <w:t>Legislature</w:t>
                        </w:r>
                      </w:p>
                      <w:p>
                        <w:pPr>
                          <w:spacing w:before="176"/>
                          <w:ind w:left="0" w:right="0" w:firstLine="0"/>
                          <w:jc w:val="left"/>
                          <w:rPr>
                            <w:sz w:val="22"/>
                          </w:rPr>
                        </w:pPr>
                        <w:r>
                          <w:rPr>
                            <w:color w:val="105C84"/>
                            <w:w w:val="105"/>
                            <w:sz w:val="22"/>
                          </w:rPr>
                          <w:t>Office</w:t>
                        </w:r>
                        <w:r>
                          <w:rPr>
                            <w:color w:val="105C84"/>
                            <w:spacing w:val="-7"/>
                            <w:w w:val="105"/>
                            <w:sz w:val="22"/>
                          </w:rPr>
                          <w:t> </w:t>
                        </w:r>
                        <w:r>
                          <w:rPr>
                            <w:color w:val="105C84"/>
                            <w:w w:val="105"/>
                            <w:sz w:val="22"/>
                          </w:rPr>
                          <w:t>for</w:t>
                        </w:r>
                        <w:r>
                          <w:rPr>
                            <w:color w:val="105C84"/>
                            <w:spacing w:val="-7"/>
                            <w:w w:val="105"/>
                            <w:sz w:val="22"/>
                          </w:rPr>
                          <w:t> </w:t>
                        </w:r>
                        <w:r>
                          <w:rPr>
                            <w:color w:val="105C84"/>
                            <w:w w:val="105"/>
                            <w:sz w:val="22"/>
                          </w:rPr>
                          <w:t>the</w:t>
                        </w:r>
                        <w:r>
                          <w:rPr>
                            <w:color w:val="105C84"/>
                            <w:spacing w:val="-6"/>
                            <w:w w:val="105"/>
                            <w:sz w:val="22"/>
                          </w:rPr>
                          <w:t> </w:t>
                        </w:r>
                        <w:r>
                          <w:rPr>
                            <w:color w:val="105C84"/>
                            <w:spacing w:val="-2"/>
                            <w:w w:val="105"/>
                            <w:sz w:val="22"/>
                          </w:rPr>
                          <w:t>Aging</w:t>
                        </w:r>
                      </w:p>
                      <w:p>
                        <w:pPr>
                          <w:spacing w:line="247" w:lineRule="auto" w:before="145"/>
                          <w:ind w:left="0" w:right="0" w:firstLine="0"/>
                          <w:jc w:val="left"/>
                          <w:rPr>
                            <w:sz w:val="22"/>
                          </w:rPr>
                        </w:pPr>
                        <w:r>
                          <w:rPr>
                            <w:color w:val="105C84"/>
                            <w:sz w:val="22"/>
                          </w:rPr>
                          <w:t>Retired and Senior </w:t>
                        </w:r>
                        <w:r>
                          <w:rPr>
                            <w:color w:val="105C84"/>
                            <w:spacing w:val="-4"/>
                            <w:sz w:val="22"/>
                          </w:rPr>
                          <w:t>Volunteer</w:t>
                        </w:r>
                        <w:r>
                          <w:rPr>
                            <w:color w:val="105C84"/>
                            <w:spacing w:val="-12"/>
                            <w:sz w:val="22"/>
                          </w:rPr>
                          <w:t> </w:t>
                        </w:r>
                        <w:r>
                          <w:rPr>
                            <w:color w:val="105C84"/>
                            <w:spacing w:val="-4"/>
                            <w:sz w:val="22"/>
                          </w:rPr>
                          <w:t>Program</w:t>
                        </w:r>
                        <w:r>
                          <w:rPr>
                            <w:color w:val="105C84"/>
                            <w:spacing w:val="-11"/>
                            <w:sz w:val="22"/>
                          </w:rPr>
                          <w:t> </w:t>
                        </w:r>
                        <w:r>
                          <w:rPr>
                            <w:color w:val="105C84"/>
                            <w:spacing w:val="-4"/>
                            <w:sz w:val="22"/>
                          </w:rPr>
                          <w:t>(RSVP)</w:t>
                        </w:r>
                      </w:p>
                      <w:p>
                        <w:pPr>
                          <w:spacing w:line="247" w:lineRule="auto" w:before="107"/>
                          <w:ind w:left="0" w:right="515" w:firstLine="0"/>
                          <w:jc w:val="left"/>
                          <w:rPr>
                            <w:sz w:val="22"/>
                          </w:rPr>
                        </w:pPr>
                        <w:r>
                          <w:rPr>
                            <w:color w:val="105C84"/>
                            <w:sz w:val="22"/>
                          </w:rPr>
                          <w:t>Pregnancy</w:t>
                        </w:r>
                        <w:r>
                          <w:rPr>
                            <w:color w:val="105C84"/>
                            <w:spacing w:val="-16"/>
                            <w:sz w:val="22"/>
                          </w:rPr>
                          <w:t> </w:t>
                        </w:r>
                        <w:r>
                          <w:rPr>
                            <w:color w:val="105C84"/>
                            <w:sz w:val="22"/>
                          </w:rPr>
                          <w:t>Resource Center</w:t>
                        </w:r>
                        <w:r>
                          <w:rPr>
                            <w:color w:val="105C84"/>
                            <w:spacing w:val="14"/>
                            <w:sz w:val="22"/>
                          </w:rPr>
                          <w:t> </w:t>
                        </w:r>
                        <w:r>
                          <w:rPr>
                            <w:color w:val="105C84"/>
                            <w:sz w:val="22"/>
                          </w:rPr>
                          <w:t>of</w:t>
                        </w:r>
                        <w:r>
                          <w:rPr>
                            <w:color w:val="105C84"/>
                            <w:spacing w:val="14"/>
                            <w:sz w:val="22"/>
                          </w:rPr>
                          <w:t> </w:t>
                        </w:r>
                        <w:r>
                          <w:rPr>
                            <w:color w:val="105C84"/>
                            <w:sz w:val="22"/>
                          </w:rPr>
                          <w:t>the</w:t>
                        </w:r>
                        <w:r>
                          <w:rPr>
                            <w:color w:val="105C84"/>
                            <w:spacing w:val="14"/>
                            <w:sz w:val="22"/>
                          </w:rPr>
                          <w:t> </w:t>
                        </w:r>
                        <w:r>
                          <w:rPr>
                            <w:color w:val="105C84"/>
                            <w:spacing w:val="-5"/>
                            <w:sz w:val="22"/>
                          </w:rPr>
                          <w:t>Valleys</w:t>
                        </w:r>
                      </w:p>
                      <w:p>
                        <w:pPr>
                          <w:spacing w:before="236"/>
                          <w:ind w:left="0" w:right="0" w:firstLine="0"/>
                          <w:jc w:val="left"/>
                          <w:rPr>
                            <w:sz w:val="22"/>
                          </w:rPr>
                        </w:pPr>
                        <w:r>
                          <w:rPr>
                            <w:color w:val="105C84"/>
                            <w:spacing w:val="-2"/>
                            <w:sz w:val="22"/>
                          </w:rPr>
                          <w:t>ProAction</w:t>
                        </w:r>
                      </w:p>
                    </w:txbxContent>
                  </v:textbox>
                  <w10:wrap type="none"/>
                </v:shape>
                <v:shape style="position:absolute;left:8072;top:7542;width:1296;height:301" type="#_x0000_t202" id="docshape1089" filled="false" stroked="false">
                  <v:textbox inset="0,0,0,0">
                    <w:txbxContent>
                      <w:p>
                        <w:pPr>
                          <w:spacing w:before="13"/>
                          <w:ind w:left="0" w:right="0" w:firstLine="0"/>
                          <w:jc w:val="left"/>
                          <w:rPr>
                            <w:sz w:val="22"/>
                          </w:rPr>
                        </w:pPr>
                        <w:r>
                          <w:rPr>
                            <w:color w:val="105C84"/>
                            <w:w w:val="105"/>
                            <w:sz w:val="22"/>
                          </w:rPr>
                          <w:t>Arnot</w:t>
                        </w:r>
                        <w:r>
                          <w:rPr>
                            <w:color w:val="105C84"/>
                            <w:spacing w:val="-1"/>
                            <w:w w:val="105"/>
                            <w:sz w:val="22"/>
                          </w:rPr>
                          <w:t> </w:t>
                        </w:r>
                        <w:r>
                          <w:rPr>
                            <w:color w:val="105C84"/>
                            <w:spacing w:val="-2"/>
                            <w:w w:val="105"/>
                            <w:sz w:val="22"/>
                          </w:rPr>
                          <w:t>Health</w:t>
                        </w:r>
                      </w:p>
                    </w:txbxContent>
                  </v:textbox>
                  <w10:wrap type="none"/>
                </v:shape>
                <v:shape style="position:absolute;left:4673;top:8299;width:2107;height:301" type="#_x0000_t202" id="docshape1090" filled="false" stroked="false">
                  <v:textbox inset="0,0,0,0">
                    <w:txbxContent>
                      <w:p>
                        <w:pPr>
                          <w:spacing w:before="13"/>
                          <w:ind w:left="0" w:right="0" w:firstLine="0"/>
                          <w:jc w:val="left"/>
                          <w:rPr>
                            <w:sz w:val="22"/>
                          </w:rPr>
                        </w:pPr>
                        <w:r>
                          <w:rPr>
                            <w:color w:val="105C84"/>
                            <w:sz w:val="22"/>
                          </w:rPr>
                          <w:t>Steuben</w:t>
                        </w:r>
                        <w:r>
                          <w:rPr>
                            <w:color w:val="105C84"/>
                            <w:spacing w:val="10"/>
                            <w:sz w:val="22"/>
                          </w:rPr>
                          <w:t> </w:t>
                        </w:r>
                        <w:r>
                          <w:rPr>
                            <w:color w:val="105C84"/>
                            <w:sz w:val="22"/>
                          </w:rPr>
                          <w:t>County</w:t>
                        </w:r>
                        <w:r>
                          <w:rPr>
                            <w:color w:val="105C84"/>
                            <w:spacing w:val="10"/>
                            <w:sz w:val="22"/>
                          </w:rPr>
                          <w:t> </w:t>
                        </w:r>
                        <w:r>
                          <w:rPr>
                            <w:color w:val="105C84"/>
                            <w:spacing w:val="-7"/>
                            <w:sz w:val="22"/>
                          </w:rPr>
                          <w:t>DSS</w:t>
                        </w:r>
                      </w:p>
                    </w:txbxContent>
                  </v:textbox>
                  <w10:wrap type="none"/>
                </v:shape>
                <v:shape style="position:absolute;left:8072;top:8299;width:1968;height:301" type="#_x0000_t202" id="docshape1091" filled="false" stroked="false">
                  <v:textbox inset="0,0,0,0">
                    <w:txbxContent>
                      <w:p>
                        <w:pPr>
                          <w:spacing w:before="13"/>
                          <w:ind w:left="0" w:right="0" w:firstLine="0"/>
                          <w:jc w:val="left"/>
                          <w:rPr>
                            <w:sz w:val="22"/>
                          </w:rPr>
                        </w:pPr>
                        <w:r>
                          <w:rPr>
                            <w:color w:val="105C84"/>
                            <w:sz w:val="22"/>
                          </w:rPr>
                          <w:t>Guthrie</w:t>
                        </w:r>
                        <w:r>
                          <w:rPr>
                            <w:color w:val="105C84"/>
                            <w:spacing w:val="22"/>
                            <w:sz w:val="22"/>
                          </w:rPr>
                          <w:t> </w:t>
                        </w:r>
                        <w:r>
                          <w:rPr>
                            <w:color w:val="105C84"/>
                            <w:sz w:val="22"/>
                          </w:rPr>
                          <w:t>Home</w:t>
                        </w:r>
                        <w:r>
                          <w:rPr>
                            <w:color w:val="105C84"/>
                            <w:spacing w:val="22"/>
                            <w:sz w:val="22"/>
                          </w:rPr>
                          <w:t> </w:t>
                        </w:r>
                        <w:r>
                          <w:rPr>
                            <w:color w:val="105C84"/>
                            <w:spacing w:val="-4"/>
                            <w:sz w:val="22"/>
                          </w:rPr>
                          <w:t>Care</w:t>
                        </w:r>
                      </w:p>
                    </w:txbxContent>
                  </v:textbox>
                  <w10:wrap type="none"/>
                </v:shape>
                <v:shape style="position:absolute;left:4673;top:9057;width:1688;height:301" type="#_x0000_t202" id="docshape1092" filled="false" stroked="false">
                  <v:textbox inset="0,0,0,0">
                    <w:txbxContent>
                      <w:p>
                        <w:pPr>
                          <w:spacing w:before="13"/>
                          <w:ind w:left="0" w:right="0" w:firstLine="0"/>
                          <w:jc w:val="left"/>
                          <w:rPr>
                            <w:sz w:val="22"/>
                          </w:rPr>
                        </w:pPr>
                        <w:r>
                          <w:rPr>
                            <w:color w:val="105C84"/>
                            <w:sz w:val="22"/>
                          </w:rPr>
                          <w:t>Prattsburgh</w:t>
                        </w:r>
                        <w:r>
                          <w:rPr>
                            <w:color w:val="105C84"/>
                            <w:spacing w:val="10"/>
                            <w:sz w:val="22"/>
                          </w:rPr>
                          <w:t> </w:t>
                        </w:r>
                        <w:r>
                          <w:rPr>
                            <w:color w:val="105C84"/>
                            <w:spacing w:val="-5"/>
                            <w:sz w:val="22"/>
                          </w:rPr>
                          <w:t>CSD</w:t>
                        </w:r>
                      </w:p>
                    </w:txbxContent>
                  </v:textbox>
                  <w10:wrap type="none"/>
                </v:shape>
                <v:shape style="position:absolute;left:4673;top:9716;width:2224;height:829" type="#_x0000_t202" id="docshape1093" filled="false" stroked="false">
                  <v:textbox inset="0,0,0,0">
                    <w:txbxContent>
                      <w:p>
                        <w:pPr>
                          <w:spacing w:before="13"/>
                          <w:ind w:left="0" w:right="0" w:firstLine="0"/>
                          <w:jc w:val="left"/>
                          <w:rPr>
                            <w:sz w:val="22"/>
                          </w:rPr>
                        </w:pPr>
                        <w:r>
                          <w:rPr>
                            <w:color w:val="105C84"/>
                            <w:spacing w:val="-2"/>
                            <w:sz w:val="22"/>
                          </w:rPr>
                          <w:t>Family</w:t>
                        </w:r>
                        <w:r>
                          <w:rPr>
                            <w:color w:val="105C84"/>
                            <w:spacing w:val="-5"/>
                            <w:sz w:val="22"/>
                          </w:rPr>
                          <w:t> </w:t>
                        </w:r>
                        <w:r>
                          <w:rPr>
                            <w:color w:val="105C84"/>
                            <w:spacing w:val="-2"/>
                            <w:sz w:val="22"/>
                          </w:rPr>
                          <w:t>Service</w:t>
                        </w:r>
                        <w:r>
                          <w:rPr>
                            <w:color w:val="105C84"/>
                            <w:spacing w:val="-4"/>
                            <w:sz w:val="22"/>
                          </w:rPr>
                          <w:t> </w:t>
                        </w:r>
                        <w:r>
                          <w:rPr>
                            <w:color w:val="105C84"/>
                            <w:spacing w:val="-2"/>
                            <w:sz w:val="22"/>
                          </w:rPr>
                          <w:t>Society</w:t>
                        </w:r>
                      </w:p>
                      <w:p>
                        <w:pPr>
                          <w:spacing w:line="240" w:lineRule="auto" w:before="23"/>
                          <w:rPr>
                            <w:sz w:val="22"/>
                          </w:rPr>
                        </w:pPr>
                      </w:p>
                      <w:p>
                        <w:pPr>
                          <w:spacing w:before="0"/>
                          <w:ind w:left="0" w:right="0" w:firstLine="0"/>
                          <w:jc w:val="left"/>
                          <w:rPr>
                            <w:sz w:val="22"/>
                          </w:rPr>
                        </w:pPr>
                        <w:r>
                          <w:rPr>
                            <w:color w:val="105C84"/>
                            <w:spacing w:val="-5"/>
                            <w:sz w:val="22"/>
                          </w:rPr>
                          <w:t>WIC</w:t>
                        </w:r>
                      </w:p>
                    </w:txbxContent>
                  </v:textbox>
                  <w10:wrap type="none"/>
                </v:shape>
                <v:shape style="position:absolute;left:8072;top:8927;width:2263;height:1748" type="#_x0000_t202" id="docshape1094" filled="false" stroked="false">
                  <v:textbox inset="0,0,0,0">
                    <w:txbxContent>
                      <w:p>
                        <w:pPr>
                          <w:spacing w:line="247" w:lineRule="auto" w:before="13"/>
                          <w:ind w:left="0" w:right="0" w:firstLine="0"/>
                          <w:jc w:val="left"/>
                          <w:rPr>
                            <w:sz w:val="22"/>
                          </w:rPr>
                        </w:pPr>
                        <w:r>
                          <w:rPr>
                            <w:color w:val="105C84"/>
                            <w:sz w:val="22"/>
                          </w:rPr>
                          <w:t>Steuben Council </w:t>
                        </w:r>
                        <w:r>
                          <w:rPr>
                            <w:color w:val="105C84"/>
                            <w:sz w:val="22"/>
                          </w:rPr>
                          <w:t>on </w:t>
                        </w:r>
                        <w:r>
                          <w:rPr>
                            <w:color w:val="105C84"/>
                            <w:spacing w:val="-2"/>
                            <w:sz w:val="22"/>
                          </w:rPr>
                          <w:t>Addictions</w:t>
                        </w:r>
                      </w:p>
                      <w:p>
                        <w:pPr>
                          <w:spacing w:line="400" w:lineRule="atLeast" w:before="121"/>
                          <w:ind w:left="0" w:right="0" w:firstLine="0"/>
                          <w:jc w:val="left"/>
                          <w:rPr>
                            <w:sz w:val="22"/>
                          </w:rPr>
                        </w:pPr>
                        <w:r>
                          <w:rPr>
                            <w:color w:val="105C84"/>
                            <w:sz w:val="22"/>
                          </w:rPr>
                          <w:t>County </w:t>
                        </w:r>
                        <w:r>
                          <w:rPr>
                            <w:color w:val="105C84"/>
                            <w:sz w:val="22"/>
                          </w:rPr>
                          <w:t>Administration URMC Primary</w:t>
                        </w:r>
                      </w:p>
                      <w:p>
                        <w:pPr>
                          <w:spacing w:before="5"/>
                          <w:ind w:left="0" w:right="0" w:firstLine="0"/>
                          <w:jc w:val="left"/>
                          <w:rPr>
                            <w:sz w:val="22"/>
                          </w:rPr>
                        </w:pPr>
                        <w:r>
                          <w:rPr>
                            <w:color w:val="105C84"/>
                            <w:sz w:val="22"/>
                          </w:rPr>
                          <w:t>Care</w:t>
                        </w:r>
                        <w:r>
                          <w:rPr>
                            <w:color w:val="105C84"/>
                            <w:spacing w:val="-14"/>
                            <w:sz w:val="22"/>
                          </w:rPr>
                          <w:t> </w:t>
                        </w:r>
                        <w:r>
                          <w:rPr>
                            <w:color w:val="105C84"/>
                            <w:spacing w:val="-2"/>
                            <w:sz w:val="22"/>
                          </w:rPr>
                          <w:t>Hornell</w:t>
                        </w:r>
                      </w:p>
                    </w:txbxContent>
                  </v:textbox>
                  <w10:wrap type="none"/>
                </v:shape>
                <v:shape style="position:absolute;left:1085;top:2040;width:9804;height:499" type="#_x0000_t202" id="docshape1095" filled="false" stroked="false">
                  <v:textbox inset="0,0,0,0">
                    <w:txbxContent>
                      <w:p>
                        <w:pPr>
                          <w:spacing w:before="160"/>
                          <w:ind w:left="2" w:right="0" w:firstLine="0"/>
                          <w:jc w:val="center"/>
                          <w:rPr>
                            <w:b/>
                            <w:sz w:val="20"/>
                          </w:rPr>
                        </w:pPr>
                        <w:r>
                          <w:rPr>
                            <w:b/>
                            <w:color w:val="FFFFFF"/>
                            <w:sz w:val="20"/>
                          </w:rPr>
                          <w:t>STEUBEN</w:t>
                        </w:r>
                        <w:r>
                          <w:rPr>
                            <w:b/>
                            <w:color w:val="FFFFFF"/>
                            <w:spacing w:val="7"/>
                            <w:sz w:val="20"/>
                          </w:rPr>
                          <w:t> </w:t>
                        </w:r>
                        <w:r>
                          <w:rPr>
                            <w:b/>
                            <w:color w:val="FFFFFF"/>
                            <w:sz w:val="20"/>
                          </w:rPr>
                          <w:t>COUNTY</w:t>
                        </w:r>
                        <w:r>
                          <w:rPr>
                            <w:b/>
                            <w:color w:val="FFFFFF"/>
                            <w:spacing w:val="7"/>
                            <w:sz w:val="20"/>
                          </w:rPr>
                          <w:t> </w:t>
                        </w:r>
                        <w:r>
                          <w:rPr>
                            <w:b/>
                            <w:color w:val="FFFFFF"/>
                            <w:sz w:val="20"/>
                          </w:rPr>
                          <w:t>PRIORITIZATION</w:t>
                        </w:r>
                        <w:r>
                          <w:rPr>
                            <w:b/>
                            <w:color w:val="FFFFFF"/>
                            <w:spacing w:val="7"/>
                            <w:sz w:val="20"/>
                          </w:rPr>
                          <w:t> </w:t>
                        </w:r>
                        <w:r>
                          <w:rPr>
                            <w:b/>
                            <w:color w:val="FFFFFF"/>
                            <w:spacing w:val="-2"/>
                            <w:sz w:val="20"/>
                          </w:rPr>
                          <w:t>AGENCIES</w:t>
                        </w:r>
                      </w:p>
                    </w:txbxContent>
                  </v:textbox>
                  <w10:wrap type="none"/>
                </v:shape>
                <w10:wrap type="none"/>
              </v:group>
            </w:pict>
          </mc:Fallback>
        </mc:AlternateContent>
      </w:r>
      <w:r>
        <w:rPr>
          <w:color w:val="105C84"/>
        </w:rPr>
        <w:t>As previously discussed in the executive summary, the MAPP process was utilized to help create the Community</w:t>
      </w:r>
      <w:r>
        <w:rPr>
          <w:color w:val="105C84"/>
          <w:spacing w:val="28"/>
        </w:rPr>
        <w:t> </w:t>
      </w:r>
      <w:r>
        <w:rPr>
          <w:color w:val="105C84"/>
        </w:rPr>
        <w:t>Health</w:t>
      </w:r>
      <w:r>
        <w:rPr>
          <w:color w:val="105C84"/>
          <w:spacing w:val="28"/>
        </w:rPr>
        <w:t> </w:t>
      </w:r>
      <w:r>
        <w:rPr>
          <w:color w:val="105C84"/>
        </w:rPr>
        <w:t>Assessment</w:t>
      </w:r>
      <w:r>
        <w:rPr>
          <w:color w:val="105C84"/>
          <w:spacing w:val="28"/>
        </w:rPr>
        <w:t> </w:t>
      </w:r>
      <w:r>
        <w:rPr>
          <w:color w:val="105C84"/>
        </w:rPr>
        <w:t>and</w:t>
      </w:r>
      <w:r>
        <w:rPr>
          <w:color w:val="105C84"/>
          <w:spacing w:val="28"/>
        </w:rPr>
        <w:t> </w:t>
      </w:r>
      <w:r>
        <w:rPr>
          <w:color w:val="105C84"/>
        </w:rPr>
        <w:t>Community</w:t>
      </w:r>
      <w:r>
        <w:rPr>
          <w:color w:val="105C84"/>
          <w:spacing w:val="28"/>
        </w:rPr>
        <w:t> </w:t>
      </w:r>
      <w:r>
        <w:rPr>
          <w:color w:val="105C84"/>
        </w:rPr>
        <w:t>Health</w:t>
      </w:r>
      <w:r>
        <w:rPr>
          <w:color w:val="105C84"/>
          <w:spacing w:val="28"/>
        </w:rPr>
        <w:t> </w:t>
      </w:r>
      <w:r>
        <w:rPr>
          <w:color w:val="105C84"/>
        </w:rPr>
        <w:t>Improvement</w:t>
      </w:r>
      <w:r>
        <w:rPr>
          <w:color w:val="105C84"/>
          <w:spacing w:val="28"/>
        </w:rPr>
        <w:t> </w:t>
      </w:r>
      <w:r>
        <w:rPr>
          <w:color w:val="105C84"/>
        </w:rPr>
        <w:t>Plan.</w:t>
      </w:r>
      <w:r>
        <w:rPr>
          <w:color w:val="105C84"/>
          <w:spacing w:val="28"/>
        </w:rPr>
        <w:t> </w:t>
      </w:r>
      <w:r>
        <w:rPr>
          <w:color w:val="105C84"/>
        </w:rPr>
        <w:t>County</w:t>
      </w:r>
      <w:r>
        <w:rPr>
          <w:color w:val="105C84"/>
          <w:spacing w:val="28"/>
        </w:rPr>
        <w:t> </w:t>
      </w:r>
      <w:r>
        <w:rPr>
          <w:color w:val="105C84"/>
        </w:rPr>
        <w:t>specific</w:t>
      </w:r>
      <w:r>
        <w:rPr>
          <w:color w:val="105C84"/>
          <w:spacing w:val="80"/>
          <w:w w:val="150"/>
        </w:rPr>
        <w:t> </w:t>
      </w:r>
      <w:r>
        <w:rPr>
          <w:color w:val="105C84"/>
        </w:rPr>
        <w:t>pre-read documents were provided to Smart Steuben and prioritization group members which included</w:t>
      </w:r>
      <w:r>
        <w:rPr>
          <w:color w:val="105C84"/>
          <w:spacing w:val="80"/>
        </w:rPr>
        <w:t> </w:t>
      </w:r>
      <w:r>
        <w:rPr>
          <w:color w:val="105C84"/>
        </w:rPr>
        <w:t>updated data measures for each of the five priority areas outlined in the Prevention Agenda (please see executive summary for more information on pre-read documents). </w:t>
      </w:r>
      <w:r>
        <w:rPr>
          <w:b/>
          <w:color w:val="105C84"/>
        </w:rPr>
        <w:t>A variety of partners were engaged in Steuben County’s process including:</w:t>
      </w:r>
    </w:p>
    <w:p>
      <w:pPr>
        <w:pStyle w:val="BodyText"/>
        <w:spacing w:line="247" w:lineRule="auto" w:before="115"/>
        <w:ind w:left="1080" w:right="479"/>
      </w:pPr>
      <w:r>
        <w:rPr/>
        <w:br w:type="column"/>
      </w:r>
      <w:r>
        <w:rPr>
          <w:color w:val="105C84"/>
        </w:rPr>
        <w:t>Specific</w:t>
      </w:r>
      <w:r>
        <w:rPr>
          <w:color w:val="105C84"/>
          <w:spacing w:val="24"/>
        </w:rPr>
        <w:t> </w:t>
      </w:r>
      <w:r>
        <w:rPr>
          <w:color w:val="105C84"/>
        </w:rPr>
        <w:t>interventions</w:t>
      </w:r>
      <w:r>
        <w:rPr>
          <w:color w:val="105C84"/>
          <w:spacing w:val="24"/>
        </w:rPr>
        <w:t> </w:t>
      </w:r>
      <w:r>
        <w:rPr>
          <w:color w:val="105C84"/>
        </w:rPr>
        <w:t>to</w:t>
      </w:r>
      <w:r>
        <w:rPr>
          <w:color w:val="105C84"/>
          <w:spacing w:val="24"/>
        </w:rPr>
        <w:t> </w:t>
      </w:r>
      <w:r>
        <w:rPr>
          <w:color w:val="105C84"/>
        </w:rPr>
        <w:t>address</w:t>
      </w:r>
      <w:r>
        <w:rPr>
          <w:color w:val="105C84"/>
          <w:spacing w:val="24"/>
        </w:rPr>
        <w:t> </w:t>
      </w:r>
      <w:r>
        <w:rPr>
          <w:color w:val="105C84"/>
        </w:rPr>
        <w:t>the</w:t>
      </w:r>
      <w:r>
        <w:rPr>
          <w:color w:val="105C84"/>
          <w:spacing w:val="24"/>
        </w:rPr>
        <w:t> </w:t>
      </w:r>
      <w:r>
        <w:rPr>
          <w:color w:val="105C84"/>
        </w:rPr>
        <w:t>priority</w:t>
      </w:r>
      <w:r>
        <w:rPr>
          <w:color w:val="105C84"/>
          <w:spacing w:val="24"/>
        </w:rPr>
        <w:t> </w:t>
      </w:r>
      <w:r>
        <w:rPr>
          <w:color w:val="105C84"/>
        </w:rPr>
        <w:t>areas</w:t>
      </w:r>
      <w:r>
        <w:rPr>
          <w:color w:val="105C84"/>
          <w:spacing w:val="24"/>
        </w:rPr>
        <w:t> </w:t>
      </w:r>
      <w:r>
        <w:rPr>
          <w:color w:val="105C84"/>
        </w:rPr>
        <w:t>were</w:t>
      </w:r>
      <w:r>
        <w:rPr>
          <w:color w:val="105C84"/>
          <w:spacing w:val="24"/>
        </w:rPr>
        <w:t> </w:t>
      </w:r>
      <w:r>
        <w:rPr>
          <w:color w:val="105C84"/>
        </w:rPr>
        <w:t>selected</w:t>
      </w:r>
      <w:r>
        <w:rPr>
          <w:color w:val="105C84"/>
          <w:spacing w:val="24"/>
        </w:rPr>
        <w:t> </w:t>
      </w:r>
      <w:r>
        <w:rPr>
          <w:color w:val="105C84"/>
        </w:rPr>
        <w:t>at</w:t>
      </w:r>
      <w:r>
        <w:rPr>
          <w:color w:val="105C84"/>
          <w:spacing w:val="24"/>
        </w:rPr>
        <w:t> </w:t>
      </w:r>
      <w:r>
        <w:rPr>
          <w:color w:val="105C84"/>
        </w:rPr>
        <w:t>Smart</w:t>
      </w:r>
      <w:r>
        <w:rPr>
          <w:color w:val="105C84"/>
          <w:spacing w:val="24"/>
        </w:rPr>
        <w:t> </w:t>
      </w:r>
      <w:r>
        <w:rPr>
          <w:color w:val="105C84"/>
        </w:rPr>
        <w:t>Steuben</w:t>
      </w:r>
      <w:r>
        <w:rPr>
          <w:color w:val="105C84"/>
          <w:spacing w:val="24"/>
        </w:rPr>
        <w:t> </w:t>
      </w:r>
      <w:r>
        <w:rPr>
          <w:color w:val="105C84"/>
        </w:rPr>
        <w:t>meetings</w:t>
      </w:r>
      <w:r>
        <w:rPr>
          <w:color w:val="105C84"/>
          <w:spacing w:val="24"/>
        </w:rPr>
        <w:t> </w:t>
      </w:r>
      <w:r>
        <w:rPr>
          <w:color w:val="105C84"/>
        </w:rPr>
        <w:t>and were a group effort. Each member was expected to highlight where resources already existed and</w:t>
      </w:r>
      <w:r>
        <w:rPr>
          <w:color w:val="105C84"/>
          <w:spacing w:val="40"/>
        </w:rPr>
        <w:t> </w:t>
      </w:r>
      <w:r>
        <w:rPr>
          <w:color w:val="105C84"/>
        </w:rPr>
        <w:t>could</w:t>
      </w:r>
      <w:r>
        <w:rPr>
          <w:color w:val="105C84"/>
          <w:spacing w:val="40"/>
        </w:rPr>
        <w:t> </w:t>
      </w:r>
      <w:r>
        <w:rPr>
          <w:color w:val="105C84"/>
        </w:rPr>
        <w:t>be</w:t>
      </w:r>
      <w:r>
        <w:rPr>
          <w:color w:val="105C84"/>
          <w:spacing w:val="40"/>
        </w:rPr>
        <w:t> </w:t>
      </w:r>
      <w:r>
        <w:rPr>
          <w:color w:val="105C84"/>
        </w:rPr>
        <w:t>leveraged.</w:t>
      </w:r>
      <w:r>
        <w:rPr>
          <w:color w:val="105C84"/>
          <w:spacing w:val="40"/>
        </w:rPr>
        <w:t> </w:t>
      </w:r>
      <w:r>
        <w:rPr>
          <w:color w:val="105C84"/>
        </w:rPr>
        <w:t>Coordinated</w:t>
      </w:r>
      <w:r>
        <w:rPr>
          <w:color w:val="105C84"/>
          <w:spacing w:val="40"/>
        </w:rPr>
        <w:t> </w:t>
      </w:r>
      <w:r>
        <w:rPr>
          <w:color w:val="105C84"/>
        </w:rPr>
        <w:t>efforts</w:t>
      </w:r>
      <w:r>
        <w:rPr>
          <w:color w:val="105C84"/>
          <w:spacing w:val="40"/>
        </w:rPr>
        <w:t> </w:t>
      </w:r>
      <w:r>
        <w:rPr>
          <w:color w:val="105C84"/>
        </w:rPr>
        <w:t>to</w:t>
      </w:r>
      <w:r>
        <w:rPr>
          <w:color w:val="105C84"/>
          <w:spacing w:val="40"/>
        </w:rPr>
        <w:t> </w:t>
      </w:r>
      <w:r>
        <w:rPr>
          <w:color w:val="105C84"/>
        </w:rPr>
        <w:t>promote</w:t>
      </w:r>
      <w:r>
        <w:rPr>
          <w:color w:val="105C84"/>
          <w:spacing w:val="40"/>
        </w:rPr>
        <w:t> </w:t>
      </w:r>
      <w:r>
        <w:rPr>
          <w:color w:val="105C84"/>
        </w:rPr>
        <w:t>and</w:t>
      </w:r>
      <w:r>
        <w:rPr>
          <w:color w:val="105C84"/>
          <w:spacing w:val="40"/>
        </w:rPr>
        <w:t> </w:t>
      </w:r>
      <w:r>
        <w:rPr>
          <w:color w:val="105C84"/>
        </w:rPr>
        <w:t>engage</w:t>
      </w:r>
      <w:r>
        <w:rPr>
          <w:color w:val="105C84"/>
          <w:spacing w:val="40"/>
        </w:rPr>
        <w:t> </w:t>
      </w:r>
      <w:r>
        <w:rPr>
          <w:color w:val="105C84"/>
        </w:rPr>
        <w:t>community</w:t>
      </w:r>
      <w:r>
        <w:rPr>
          <w:color w:val="105C84"/>
          <w:spacing w:val="40"/>
        </w:rPr>
        <w:t> </w:t>
      </w:r>
      <w:r>
        <w:rPr>
          <w:color w:val="105C84"/>
        </w:rPr>
        <w:t>members</w:t>
      </w:r>
      <w:r>
        <w:rPr>
          <w:color w:val="105C84"/>
          <w:spacing w:val="40"/>
        </w:rPr>
        <w:t> </w:t>
      </w:r>
      <w:r>
        <w:rPr>
          <w:color w:val="105C84"/>
        </w:rPr>
        <w:t>in</w:t>
      </w:r>
      <w:r>
        <w:rPr>
          <w:color w:val="105C84"/>
          <w:spacing w:val="40"/>
        </w:rPr>
        <w:t> </w:t>
      </w:r>
      <w:r>
        <w:rPr>
          <w:color w:val="105C84"/>
        </w:rPr>
        <w:t>selected initiatives will continue to take place. A full description of objectives, interventions, process measures,</w:t>
      </w:r>
      <w:r>
        <w:rPr>
          <w:color w:val="105C84"/>
          <w:spacing w:val="40"/>
        </w:rPr>
        <w:t> </w:t>
      </w:r>
      <w:r>
        <w:rPr>
          <w:color w:val="105C84"/>
        </w:rPr>
        <w:t>partner</w:t>
      </w:r>
      <w:r>
        <w:rPr>
          <w:color w:val="105C84"/>
          <w:spacing w:val="27"/>
        </w:rPr>
        <w:t> </w:t>
      </w:r>
      <w:r>
        <w:rPr>
          <w:color w:val="105C84"/>
        </w:rPr>
        <w:t>roles</w:t>
      </w:r>
      <w:r>
        <w:rPr>
          <w:color w:val="105C84"/>
          <w:spacing w:val="27"/>
        </w:rPr>
        <w:t> </w:t>
      </w:r>
      <w:r>
        <w:rPr>
          <w:color w:val="105C84"/>
        </w:rPr>
        <w:t>and</w:t>
      </w:r>
      <w:r>
        <w:rPr>
          <w:color w:val="105C84"/>
          <w:spacing w:val="27"/>
        </w:rPr>
        <w:t> </w:t>
      </w:r>
      <w:r>
        <w:rPr>
          <w:color w:val="105C84"/>
        </w:rPr>
        <w:t>resources</w:t>
      </w:r>
      <w:r>
        <w:rPr>
          <w:color w:val="105C84"/>
          <w:spacing w:val="27"/>
        </w:rPr>
        <w:t> </w:t>
      </w:r>
      <w:r>
        <w:rPr>
          <w:color w:val="105C84"/>
        </w:rPr>
        <w:t>are</w:t>
      </w:r>
      <w:r>
        <w:rPr>
          <w:color w:val="105C84"/>
          <w:spacing w:val="27"/>
        </w:rPr>
        <w:t> </w:t>
      </w:r>
      <w:r>
        <w:rPr>
          <w:color w:val="105C84"/>
        </w:rPr>
        <w:t>available</w:t>
      </w:r>
      <w:r>
        <w:rPr>
          <w:color w:val="105C84"/>
          <w:spacing w:val="27"/>
        </w:rPr>
        <w:t> </w:t>
      </w:r>
      <w:r>
        <w:rPr>
          <w:color w:val="105C84"/>
        </w:rPr>
        <w:t>in</w:t>
      </w:r>
      <w:r>
        <w:rPr>
          <w:color w:val="105C84"/>
          <w:spacing w:val="27"/>
        </w:rPr>
        <w:t> </w:t>
      </w:r>
      <w:r>
        <w:rPr>
          <w:color w:val="105C84"/>
        </w:rPr>
        <w:t>the</w:t>
      </w:r>
      <w:r>
        <w:rPr>
          <w:color w:val="105C84"/>
          <w:spacing w:val="27"/>
        </w:rPr>
        <w:t> </w:t>
      </w:r>
      <w:r>
        <w:rPr>
          <w:color w:val="105C84"/>
        </w:rPr>
        <w:t>Steuben</w:t>
      </w:r>
      <w:r>
        <w:rPr>
          <w:color w:val="105C84"/>
          <w:spacing w:val="27"/>
        </w:rPr>
        <w:t> </w:t>
      </w:r>
      <w:r>
        <w:rPr>
          <w:color w:val="105C84"/>
        </w:rPr>
        <w:t>County</w:t>
      </w:r>
      <w:r>
        <w:rPr>
          <w:color w:val="105C84"/>
          <w:spacing w:val="27"/>
        </w:rPr>
        <w:t> </w:t>
      </w:r>
      <w:r>
        <w:rPr>
          <w:color w:val="105C84"/>
        </w:rPr>
        <w:t>Community</w:t>
      </w:r>
      <w:r>
        <w:rPr>
          <w:color w:val="105C84"/>
          <w:spacing w:val="27"/>
        </w:rPr>
        <w:t> </w:t>
      </w:r>
      <w:r>
        <w:rPr>
          <w:color w:val="105C84"/>
        </w:rPr>
        <w:t>Health</w:t>
      </w:r>
      <w:r>
        <w:rPr>
          <w:color w:val="105C84"/>
          <w:spacing w:val="27"/>
        </w:rPr>
        <w:t> </w:t>
      </w:r>
      <w:r>
        <w:rPr>
          <w:color w:val="105C84"/>
        </w:rPr>
        <w:t>Improvement</w:t>
      </w:r>
      <w:r>
        <w:rPr>
          <w:color w:val="105C84"/>
        </w:rPr>
        <w:t> Plan (Appendix F). Interventions selected are evidence based and strive to achieve health equity by focusing on creating greater access for the low-income population.</w:t>
      </w:r>
    </w:p>
    <w:p>
      <w:pPr>
        <w:pStyle w:val="BodyText"/>
        <w:spacing w:line="247" w:lineRule="auto" w:before="176"/>
        <w:ind w:left="1080" w:right="654"/>
      </w:pPr>
      <w:r>
        <w:rPr>
          <w:color w:val="105C84"/>
        </w:rPr>
        <w:t>Smart Steuben, a group of diverse partners who meet monthly to improve the health of Steuben</w:t>
      </w:r>
      <w:r>
        <w:rPr>
          <w:color w:val="105C84"/>
          <w:spacing w:val="40"/>
        </w:rPr>
        <w:t> </w:t>
      </w:r>
      <w:r>
        <w:rPr>
          <w:color w:val="105C84"/>
        </w:rPr>
        <w:t>residents, will oversee the Community Health Improvement Plan progress and implementation. Attendees at these meetings will regularly review progress and relevant data on each measure.</w:t>
      </w:r>
      <w:r>
        <w:rPr>
          <w:color w:val="105C84"/>
          <w:spacing w:val="40"/>
        </w:rPr>
        <w:t> </w:t>
      </w:r>
      <w:r>
        <w:rPr>
          <w:color w:val="105C84"/>
        </w:rPr>
        <w:t>Group members will identify and address any mid-course corrections in interventions and processes that need to take place during these meetings.</w:t>
      </w:r>
    </w:p>
    <w:p>
      <w:pPr>
        <w:pStyle w:val="BodyText"/>
        <w:spacing w:before="15"/>
      </w:pPr>
    </w:p>
    <w:p>
      <w:pPr>
        <w:pStyle w:val="Heading6"/>
      </w:pPr>
      <w:r>
        <w:rPr>
          <w:color w:val="105C84"/>
          <w:spacing w:val="-2"/>
        </w:rPr>
        <w:t>Dissemination</w:t>
      </w:r>
    </w:p>
    <w:p>
      <w:pPr>
        <w:pStyle w:val="Heading8"/>
        <w:spacing w:line="247" w:lineRule="auto" w:before="269"/>
        <w:ind w:right="454"/>
        <w:jc w:val="both"/>
      </w:pPr>
      <w:r>
        <w:rPr>
          <w:color w:val="105C84"/>
        </w:rPr>
        <w:t>The</w:t>
      </w:r>
      <w:r>
        <w:rPr>
          <w:color w:val="105C84"/>
          <w:spacing w:val="-6"/>
        </w:rPr>
        <w:t> </w:t>
      </w:r>
      <w:r>
        <w:rPr>
          <w:color w:val="105C84"/>
        </w:rPr>
        <w:t>Community</w:t>
      </w:r>
      <w:r>
        <w:rPr>
          <w:color w:val="105C84"/>
          <w:spacing w:val="-6"/>
        </w:rPr>
        <w:t> </w:t>
      </w:r>
      <w:r>
        <w:rPr>
          <w:color w:val="105C84"/>
        </w:rPr>
        <w:t>Health</w:t>
      </w:r>
      <w:r>
        <w:rPr>
          <w:color w:val="105C84"/>
          <w:spacing w:val="-6"/>
        </w:rPr>
        <w:t> </w:t>
      </w:r>
      <w:r>
        <w:rPr>
          <w:color w:val="105C84"/>
        </w:rPr>
        <w:t>Assessment</w:t>
      </w:r>
      <w:r>
        <w:rPr>
          <w:color w:val="105C84"/>
          <w:spacing w:val="-6"/>
        </w:rPr>
        <w:t> </w:t>
      </w:r>
      <w:r>
        <w:rPr>
          <w:color w:val="105C84"/>
        </w:rPr>
        <w:t>(CHA)</w:t>
      </w:r>
      <w:r>
        <w:rPr>
          <w:color w:val="105C84"/>
          <w:spacing w:val="-6"/>
        </w:rPr>
        <w:t> </w:t>
      </w:r>
      <w:r>
        <w:rPr>
          <w:color w:val="105C84"/>
        </w:rPr>
        <w:t>and</w:t>
      </w:r>
      <w:r>
        <w:rPr>
          <w:color w:val="105C84"/>
          <w:spacing w:val="-6"/>
        </w:rPr>
        <w:t> </w:t>
      </w:r>
      <w:r>
        <w:rPr>
          <w:color w:val="105C84"/>
        </w:rPr>
        <w:t>Community</w:t>
      </w:r>
      <w:r>
        <w:rPr>
          <w:color w:val="105C84"/>
          <w:spacing w:val="-6"/>
        </w:rPr>
        <w:t> </w:t>
      </w:r>
      <w:r>
        <w:rPr>
          <w:color w:val="105C84"/>
        </w:rPr>
        <w:t>Health</w:t>
      </w:r>
      <w:r>
        <w:rPr>
          <w:color w:val="105C84"/>
          <w:spacing w:val="-6"/>
        </w:rPr>
        <w:t> </w:t>
      </w:r>
      <w:r>
        <w:rPr>
          <w:color w:val="105C84"/>
        </w:rPr>
        <w:t>Improvement</w:t>
      </w:r>
      <w:r>
        <w:rPr>
          <w:color w:val="105C84"/>
          <w:spacing w:val="-6"/>
        </w:rPr>
        <w:t> </w:t>
      </w:r>
      <w:r>
        <w:rPr>
          <w:color w:val="105C84"/>
        </w:rPr>
        <w:t>Plan</w:t>
      </w:r>
      <w:r>
        <w:rPr>
          <w:color w:val="105C84"/>
          <w:spacing w:val="-6"/>
        </w:rPr>
        <w:t> </w:t>
      </w:r>
      <w:r>
        <w:rPr>
          <w:color w:val="105C84"/>
        </w:rPr>
        <w:t>(CHIP)</w:t>
      </w:r>
      <w:r>
        <w:rPr>
          <w:color w:val="105C84"/>
          <w:spacing w:val="-6"/>
        </w:rPr>
        <w:t> </w:t>
      </w:r>
      <w:r>
        <w:rPr>
          <w:color w:val="105C84"/>
        </w:rPr>
        <w:t>will be posted to Steuben County Public Health’s website </w:t>
      </w:r>
      <w:hyperlink r:id="rId195">
        <w:r>
          <w:rPr>
            <w:color w:val="105C84"/>
          </w:rPr>
          <w:t>(www.steubencony.org/publichealth)</w:t>
        </w:r>
      </w:hyperlink>
      <w:r>
        <w:rPr>
          <w:color w:val="105C84"/>
        </w:rPr>
        <w:t> and social media pages:</w:t>
      </w:r>
    </w:p>
    <w:p>
      <w:pPr>
        <w:pStyle w:val="ListParagraph"/>
        <w:numPr>
          <w:ilvl w:val="0"/>
          <w:numId w:val="30"/>
        </w:numPr>
        <w:tabs>
          <w:tab w:pos="1519" w:val="left" w:leader="none"/>
        </w:tabs>
        <w:spacing w:line="240" w:lineRule="auto" w:before="178" w:after="0"/>
        <w:ind w:left="1519" w:right="0" w:hanging="239"/>
        <w:jc w:val="left"/>
        <w:rPr>
          <w:sz w:val="22"/>
        </w:rPr>
      </w:pPr>
      <w:r>
        <w:rPr>
          <w:color w:val="105C84"/>
          <w:sz w:val="22"/>
        </w:rPr>
        <w:t>Facebook:</w:t>
      </w:r>
      <w:r>
        <w:rPr>
          <w:color w:val="105C84"/>
          <w:spacing w:val="9"/>
          <w:sz w:val="22"/>
        </w:rPr>
        <w:t> </w:t>
      </w:r>
      <w:hyperlink r:id="rId196">
        <w:r>
          <w:rPr>
            <w:color w:val="105C84"/>
            <w:sz w:val="22"/>
          </w:rPr>
          <w:t>www.facebook.com/SCNYPublicHealth</w:t>
        </w:r>
      </w:hyperlink>
      <w:r>
        <w:rPr>
          <w:color w:val="105C84"/>
          <w:spacing w:val="10"/>
          <w:sz w:val="22"/>
        </w:rPr>
        <w:t> </w:t>
      </w:r>
      <w:r>
        <w:rPr>
          <w:color w:val="105C84"/>
          <w:sz w:val="22"/>
        </w:rPr>
        <w:t>and</w:t>
      </w:r>
      <w:r>
        <w:rPr>
          <w:color w:val="105C84"/>
          <w:spacing w:val="10"/>
          <w:sz w:val="22"/>
        </w:rPr>
        <w:t> </w:t>
      </w:r>
      <w:hyperlink r:id="rId197">
        <w:r>
          <w:rPr>
            <w:color w:val="105C84"/>
            <w:spacing w:val="-2"/>
            <w:sz w:val="22"/>
          </w:rPr>
          <w:t>www.facebook.com/smartsteuben</w:t>
        </w:r>
      </w:hyperlink>
    </w:p>
    <w:p>
      <w:pPr>
        <w:pStyle w:val="ListParagraph"/>
        <w:numPr>
          <w:ilvl w:val="0"/>
          <w:numId w:val="30"/>
        </w:numPr>
        <w:tabs>
          <w:tab w:pos="1519" w:val="left" w:leader="none"/>
        </w:tabs>
        <w:spacing w:line="240" w:lineRule="auto" w:before="187" w:after="0"/>
        <w:ind w:left="1519" w:right="0" w:hanging="239"/>
        <w:jc w:val="left"/>
        <w:rPr>
          <w:sz w:val="22"/>
        </w:rPr>
      </w:pPr>
      <w:r>
        <w:rPr>
          <w:color w:val="105C84"/>
          <w:sz w:val="22"/>
        </w:rPr>
        <w:t>Instagram:</w:t>
      </w:r>
      <w:r>
        <w:rPr>
          <w:color w:val="105C84"/>
          <w:spacing w:val="-3"/>
          <w:sz w:val="22"/>
        </w:rPr>
        <w:t> </w:t>
      </w:r>
      <w:r>
        <w:rPr>
          <w:color w:val="105C84"/>
          <w:spacing w:val="-2"/>
          <w:sz w:val="22"/>
        </w:rPr>
        <w:t>@steubenpublichealth</w:t>
      </w:r>
    </w:p>
    <w:p>
      <w:pPr>
        <w:pStyle w:val="ListParagraph"/>
        <w:numPr>
          <w:ilvl w:val="0"/>
          <w:numId w:val="30"/>
        </w:numPr>
        <w:tabs>
          <w:tab w:pos="1519" w:val="left" w:leader="none"/>
        </w:tabs>
        <w:spacing w:line="240" w:lineRule="auto" w:before="187" w:after="0"/>
        <w:ind w:left="1519" w:right="0" w:hanging="239"/>
        <w:jc w:val="left"/>
        <w:rPr>
          <w:sz w:val="22"/>
        </w:rPr>
      </w:pPr>
      <w:r>
        <w:rPr>
          <w:color w:val="105C84"/>
          <w:sz w:val="22"/>
        </w:rPr>
        <w:t>Twitter:</w:t>
      </w:r>
      <w:r>
        <w:rPr>
          <w:color w:val="105C84"/>
          <w:spacing w:val="-4"/>
          <w:sz w:val="22"/>
        </w:rPr>
        <w:t> </w:t>
      </w:r>
      <w:r>
        <w:rPr>
          <w:color w:val="105C84"/>
          <w:spacing w:val="-2"/>
          <w:sz w:val="22"/>
        </w:rPr>
        <w:t>@steubencohealth</w:t>
      </w:r>
    </w:p>
    <w:p>
      <w:pPr>
        <w:pStyle w:val="BodyText"/>
        <w:spacing w:line="247" w:lineRule="auto" w:before="187"/>
        <w:ind w:left="1080" w:right="399"/>
      </w:pPr>
      <w:r>
        <w:rPr>
          <w:color w:val="105C84"/>
        </w:rPr>
        <w:t>Additionally, a press release will be submitted to traditional media sources sharing where to find the</w:t>
      </w:r>
      <w:r>
        <w:rPr>
          <w:color w:val="105C84"/>
          <w:spacing w:val="40"/>
        </w:rPr>
        <w:t> </w:t>
      </w:r>
      <w:r>
        <w:rPr>
          <w:color w:val="105C84"/>
        </w:rPr>
        <w:t>published</w:t>
      </w:r>
      <w:r>
        <w:rPr>
          <w:color w:val="105C84"/>
          <w:spacing w:val="28"/>
        </w:rPr>
        <w:t> </w:t>
      </w:r>
      <w:r>
        <w:rPr>
          <w:color w:val="105C84"/>
        </w:rPr>
        <w:t>documents.</w:t>
      </w:r>
      <w:r>
        <w:rPr>
          <w:color w:val="105C84"/>
          <w:spacing w:val="28"/>
        </w:rPr>
        <w:t> </w:t>
      </w:r>
      <w:r>
        <w:rPr>
          <w:color w:val="105C84"/>
        </w:rPr>
        <w:t>Public</w:t>
      </w:r>
      <w:r>
        <w:rPr>
          <w:color w:val="105C84"/>
          <w:spacing w:val="28"/>
        </w:rPr>
        <w:t> </w:t>
      </w:r>
      <w:r>
        <w:rPr>
          <w:color w:val="105C84"/>
        </w:rPr>
        <w:t>Health’s</w:t>
      </w:r>
      <w:r>
        <w:rPr>
          <w:color w:val="105C84"/>
          <w:spacing w:val="28"/>
        </w:rPr>
        <w:t> </w:t>
      </w:r>
      <w:r>
        <w:rPr>
          <w:color w:val="105C84"/>
        </w:rPr>
        <w:t>bimonthly</w:t>
      </w:r>
      <w:r>
        <w:rPr>
          <w:color w:val="105C84"/>
          <w:spacing w:val="28"/>
        </w:rPr>
        <w:t> </w:t>
      </w:r>
      <w:r>
        <w:rPr>
          <w:color w:val="105C84"/>
        </w:rPr>
        <w:t>newsletter</w:t>
      </w:r>
      <w:r>
        <w:rPr>
          <w:color w:val="105C84"/>
          <w:spacing w:val="28"/>
        </w:rPr>
        <w:t> </w:t>
      </w:r>
      <w:r>
        <w:rPr>
          <w:color w:val="105C84"/>
        </w:rPr>
        <w:t>Wellness</w:t>
      </w:r>
      <w:r>
        <w:rPr>
          <w:color w:val="105C84"/>
          <w:spacing w:val="28"/>
        </w:rPr>
        <w:t> </w:t>
      </w:r>
      <w:r>
        <w:rPr>
          <w:color w:val="105C84"/>
        </w:rPr>
        <w:t>Matters</w:t>
      </w:r>
      <w:r>
        <w:rPr>
          <w:color w:val="105C84"/>
          <w:spacing w:val="28"/>
        </w:rPr>
        <w:t> </w:t>
      </w:r>
      <w:r>
        <w:rPr>
          <w:color w:val="105C84"/>
        </w:rPr>
        <w:t>will</w:t>
      </w:r>
      <w:r>
        <w:rPr>
          <w:color w:val="105C84"/>
          <w:spacing w:val="28"/>
        </w:rPr>
        <w:t> </w:t>
      </w:r>
      <w:r>
        <w:rPr>
          <w:color w:val="105C84"/>
        </w:rPr>
        <w:t>also</w:t>
      </w:r>
      <w:r>
        <w:rPr>
          <w:color w:val="105C84"/>
          <w:spacing w:val="28"/>
        </w:rPr>
        <w:t> </w:t>
      </w:r>
      <w:r>
        <w:rPr>
          <w:color w:val="105C84"/>
        </w:rPr>
        <w:t>provide</w:t>
      </w:r>
      <w:r>
        <w:rPr>
          <w:color w:val="105C84"/>
          <w:spacing w:val="28"/>
        </w:rPr>
        <w:t> </w:t>
      </w:r>
      <w:r>
        <w:rPr>
          <w:color w:val="105C84"/>
        </w:rPr>
        <w:t>a</w:t>
      </w:r>
      <w:r>
        <w:rPr>
          <w:color w:val="105C84"/>
          <w:spacing w:val="28"/>
        </w:rPr>
        <w:t> </w:t>
      </w:r>
      <w:r>
        <w:rPr>
          <w:color w:val="105C84"/>
        </w:rPr>
        <w:t>link to</w:t>
      </w:r>
      <w:r>
        <w:rPr>
          <w:color w:val="105C84"/>
          <w:spacing w:val="27"/>
        </w:rPr>
        <w:t> </w:t>
      </w:r>
      <w:r>
        <w:rPr>
          <w:color w:val="105C84"/>
        </w:rPr>
        <w:t>the</w:t>
      </w:r>
      <w:r>
        <w:rPr>
          <w:color w:val="105C84"/>
          <w:spacing w:val="27"/>
        </w:rPr>
        <w:t> </w:t>
      </w:r>
      <w:r>
        <w:rPr>
          <w:color w:val="105C84"/>
        </w:rPr>
        <w:t>completed</w:t>
      </w:r>
      <w:r>
        <w:rPr>
          <w:color w:val="105C84"/>
          <w:spacing w:val="27"/>
        </w:rPr>
        <w:t> </w:t>
      </w:r>
      <w:r>
        <w:rPr>
          <w:color w:val="105C84"/>
        </w:rPr>
        <w:t>CHA</w:t>
      </w:r>
      <w:r>
        <w:rPr>
          <w:color w:val="105C84"/>
          <w:spacing w:val="27"/>
        </w:rPr>
        <w:t> </w:t>
      </w:r>
      <w:r>
        <w:rPr>
          <w:color w:val="105C84"/>
        </w:rPr>
        <w:t>and</w:t>
      </w:r>
      <w:r>
        <w:rPr>
          <w:color w:val="105C84"/>
          <w:spacing w:val="27"/>
        </w:rPr>
        <w:t> </w:t>
      </w:r>
      <w:r>
        <w:rPr>
          <w:color w:val="105C84"/>
        </w:rPr>
        <w:t>CHIP.</w:t>
      </w:r>
      <w:r>
        <w:rPr>
          <w:color w:val="105C84"/>
          <w:spacing w:val="27"/>
        </w:rPr>
        <w:t> </w:t>
      </w:r>
      <w:r>
        <w:rPr>
          <w:color w:val="105C84"/>
        </w:rPr>
        <w:t>This</w:t>
      </w:r>
      <w:r>
        <w:rPr>
          <w:color w:val="105C84"/>
          <w:spacing w:val="27"/>
        </w:rPr>
        <w:t> </w:t>
      </w:r>
      <w:r>
        <w:rPr>
          <w:color w:val="105C84"/>
        </w:rPr>
        <w:t>newsletter</w:t>
      </w:r>
      <w:r>
        <w:rPr>
          <w:color w:val="105C84"/>
          <w:spacing w:val="27"/>
        </w:rPr>
        <w:t> </w:t>
      </w:r>
      <w:r>
        <w:rPr>
          <w:color w:val="105C84"/>
        </w:rPr>
        <w:t>is</w:t>
      </w:r>
      <w:r>
        <w:rPr>
          <w:color w:val="105C84"/>
          <w:spacing w:val="27"/>
        </w:rPr>
        <w:t> </w:t>
      </w:r>
      <w:r>
        <w:rPr>
          <w:color w:val="105C84"/>
        </w:rPr>
        <w:t>distributed</w:t>
      </w:r>
      <w:r>
        <w:rPr>
          <w:color w:val="105C84"/>
          <w:spacing w:val="27"/>
        </w:rPr>
        <w:t> </w:t>
      </w:r>
      <w:r>
        <w:rPr>
          <w:color w:val="105C84"/>
        </w:rPr>
        <w:t>to</w:t>
      </w:r>
      <w:r>
        <w:rPr>
          <w:color w:val="105C84"/>
          <w:spacing w:val="27"/>
        </w:rPr>
        <w:t> </w:t>
      </w:r>
      <w:r>
        <w:rPr>
          <w:color w:val="105C84"/>
        </w:rPr>
        <w:t>healthcare</w:t>
      </w:r>
      <w:r>
        <w:rPr>
          <w:color w:val="105C84"/>
          <w:spacing w:val="27"/>
        </w:rPr>
        <w:t> </w:t>
      </w:r>
      <w:r>
        <w:rPr>
          <w:color w:val="105C84"/>
        </w:rPr>
        <w:t>providers,</w:t>
      </w:r>
      <w:r>
        <w:rPr>
          <w:color w:val="105C84"/>
          <w:spacing w:val="27"/>
        </w:rPr>
        <w:t> </w:t>
      </w:r>
      <w:r>
        <w:rPr>
          <w:color w:val="105C84"/>
        </w:rPr>
        <w:t>libraries,</w:t>
      </w:r>
      <w:r>
        <w:rPr>
          <w:color w:val="105C84"/>
        </w:rPr>
        <w:t> food pantries, schools, county departments and legislators, municipalities, and local service agencies and partners. It is also shared on the website and social media pages, reaching well over 1,000 </w:t>
      </w:r>
      <w:r>
        <w:rPr>
          <w:color w:val="105C84"/>
          <w:spacing w:val="-2"/>
        </w:rPr>
        <w:t>individuals.</w:t>
      </w:r>
    </w:p>
    <w:p>
      <w:pPr>
        <w:pStyle w:val="BodyText"/>
        <w:spacing w:after="0" w:line="247" w:lineRule="auto"/>
        <w:sectPr>
          <w:type w:val="continuous"/>
          <w:pgSz w:w="24480" w:h="15840" w:orient="landscape"/>
          <w:pgMar w:header="0" w:footer="0" w:top="0" w:bottom="280" w:left="0" w:right="720"/>
          <w:cols w:num="2" w:equalWidth="0">
            <w:col w:w="11009" w:space="1231"/>
            <w:col w:w="11520"/>
          </w:cols>
        </w:sectPr>
      </w:pPr>
    </w:p>
    <w:p>
      <w:pPr>
        <w:pStyle w:val="BodyText"/>
      </w:pPr>
      <w:r>
        <w:rPr/>
        <mc:AlternateContent>
          <mc:Choice Requires="wps">
            <w:drawing>
              <wp:anchor distT="0" distB="0" distL="0" distR="0" allowOverlap="1" layoutInCell="1" locked="0" behindDoc="0" simplePos="0" relativeHeight="15872512">
                <wp:simplePos x="0" y="0"/>
                <wp:positionH relativeFrom="page">
                  <wp:posOffset>7772400</wp:posOffset>
                </wp:positionH>
                <wp:positionV relativeFrom="page">
                  <wp:posOffset>6291071</wp:posOffset>
                </wp:positionV>
                <wp:extent cx="7772400" cy="3767454"/>
                <wp:effectExtent l="0" t="0" r="0" b="0"/>
                <wp:wrapNone/>
                <wp:docPr id="1398" name="Group 1398"/>
                <wp:cNvGraphicFramePr>
                  <a:graphicFrameLocks/>
                </wp:cNvGraphicFramePr>
                <a:graphic>
                  <a:graphicData uri="http://schemas.microsoft.com/office/word/2010/wordprocessingGroup">
                    <wpg:wgp>
                      <wpg:cNvPr id="1398" name="Group 1398"/>
                      <wpg:cNvGrpSpPr/>
                      <wpg:grpSpPr>
                        <a:xfrm>
                          <a:off x="0" y="0"/>
                          <a:ext cx="7772400" cy="3767454"/>
                          <a:chExt cx="7772400" cy="3767454"/>
                        </a:xfrm>
                      </wpg:grpSpPr>
                      <pic:pic>
                        <pic:nvPicPr>
                          <pic:cNvPr id="1399" name="Image 1399"/>
                          <pic:cNvPicPr/>
                        </pic:nvPicPr>
                        <pic:blipFill>
                          <a:blip r:embed="rId38" cstate="print"/>
                          <a:stretch>
                            <a:fillRect/>
                          </a:stretch>
                        </pic:blipFill>
                        <pic:spPr>
                          <a:xfrm>
                            <a:off x="7209156" y="3377031"/>
                            <a:ext cx="563245" cy="184683"/>
                          </a:xfrm>
                          <a:prstGeom prst="rect">
                            <a:avLst/>
                          </a:prstGeom>
                        </pic:spPr>
                      </pic:pic>
                      <pic:pic>
                        <pic:nvPicPr>
                          <pic:cNvPr id="1400" name="Image 1400"/>
                          <pic:cNvPicPr/>
                        </pic:nvPicPr>
                        <pic:blipFill>
                          <a:blip r:embed="rId198" cstate="print"/>
                          <a:stretch>
                            <a:fillRect/>
                          </a:stretch>
                        </pic:blipFill>
                        <pic:spPr>
                          <a:xfrm>
                            <a:off x="5587" y="0"/>
                            <a:ext cx="7766811" cy="3767328"/>
                          </a:xfrm>
                          <a:prstGeom prst="rect">
                            <a:avLst/>
                          </a:prstGeom>
                        </pic:spPr>
                      </pic:pic>
                      <wps:wsp>
                        <wps:cNvPr id="1401" name="Graphic 1401"/>
                        <wps:cNvSpPr/>
                        <wps:spPr>
                          <a:xfrm>
                            <a:off x="0" y="2907792"/>
                            <a:ext cx="7772400" cy="859790"/>
                          </a:xfrm>
                          <a:custGeom>
                            <a:avLst/>
                            <a:gdLst/>
                            <a:ahLst/>
                            <a:cxnLst/>
                            <a:rect l="l" t="t" r="r" b="b"/>
                            <a:pathLst>
                              <a:path w="7772400" h="859790">
                                <a:moveTo>
                                  <a:pt x="7772400" y="0"/>
                                </a:moveTo>
                                <a:lnTo>
                                  <a:pt x="0" y="0"/>
                                </a:lnTo>
                                <a:lnTo>
                                  <a:pt x="0" y="859536"/>
                                </a:lnTo>
                                <a:lnTo>
                                  <a:pt x="7772400" y="859536"/>
                                </a:lnTo>
                                <a:lnTo>
                                  <a:pt x="7772400" y="0"/>
                                </a:lnTo>
                                <a:close/>
                              </a:path>
                            </a:pathLst>
                          </a:custGeom>
                          <a:solidFill>
                            <a:srgbClr val="000000">
                              <a:alpha val="76998"/>
                            </a:srgbClr>
                          </a:solidFill>
                        </wps:spPr>
                        <wps:bodyPr wrap="square" lIns="0" tIns="0" rIns="0" bIns="0" rtlCol="0">
                          <a:prstTxWarp prst="textNoShape">
                            <a:avLst/>
                          </a:prstTxWarp>
                          <a:noAutofit/>
                        </wps:bodyPr>
                      </wps:wsp>
                      <wps:wsp>
                        <wps:cNvPr id="1402" name="Textbox 1402"/>
                        <wps:cNvSpPr txBox="1"/>
                        <wps:spPr>
                          <a:xfrm>
                            <a:off x="694944" y="3209544"/>
                            <a:ext cx="1884680" cy="367665"/>
                          </a:xfrm>
                          <a:prstGeom prst="rect">
                            <a:avLst/>
                          </a:prstGeom>
                        </wps:spPr>
                        <wps:txbx>
                          <w:txbxContent>
                            <w:p>
                              <w:pPr>
                                <w:spacing w:line="235" w:lineRule="auto" w:before="13"/>
                                <w:ind w:left="0" w:right="892" w:firstLine="0"/>
                                <w:jc w:val="left"/>
                                <w:rPr>
                                  <w:sz w:val="16"/>
                                </w:rPr>
                              </w:pPr>
                              <w:r>
                                <w:rPr>
                                  <w:color w:val="FFFFFF"/>
                                  <w:spacing w:val="-2"/>
                                  <w:sz w:val="16"/>
                                </w:rPr>
                                <w:t>Vineyard</w:t>
                              </w:r>
                              <w:r>
                                <w:rPr>
                                  <w:color w:val="FFFFFF"/>
                                  <w:spacing w:val="-10"/>
                                  <w:sz w:val="16"/>
                                </w:rPr>
                                <w:t> </w:t>
                              </w:r>
                              <w:r>
                                <w:rPr>
                                  <w:color w:val="FFFFFF"/>
                                  <w:spacing w:val="-2"/>
                                  <w:sz w:val="16"/>
                                </w:rPr>
                                <w:t>on</w:t>
                              </w:r>
                              <w:r>
                                <w:rPr>
                                  <w:color w:val="FFFFFF"/>
                                  <w:spacing w:val="-9"/>
                                  <w:sz w:val="16"/>
                                </w:rPr>
                                <w:t> </w:t>
                              </w:r>
                              <w:r>
                                <w:rPr>
                                  <w:color w:val="FFFFFF"/>
                                  <w:spacing w:val="-2"/>
                                  <w:sz w:val="16"/>
                                </w:rPr>
                                <w:t>Keuka</w:t>
                              </w:r>
                              <w:r>
                                <w:rPr>
                                  <w:color w:val="FFFFFF"/>
                                  <w:spacing w:val="-9"/>
                                  <w:sz w:val="16"/>
                                </w:rPr>
                                <w:t> </w:t>
                              </w:r>
                              <w:r>
                                <w:rPr>
                                  <w:color w:val="FFFFFF"/>
                                  <w:spacing w:val="-2"/>
                                  <w:sz w:val="16"/>
                                </w:rPr>
                                <w:t>Lake </w:t>
                              </w:r>
                              <w:r>
                                <w:rPr>
                                  <w:color w:val="FFFFFF"/>
                                  <w:sz w:val="16"/>
                                </w:rPr>
                                <w:t>Photo</w:t>
                              </w:r>
                              <w:r>
                                <w:rPr>
                                  <w:color w:val="FFFFFF"/>
                                  <w:spacing w:val="1"/>
                                  <w:sz w:val="16"/>
                                </w:rPr>
                                <w:t> </w:t>
                              </w:r>
                              <w:r>
                                <w:rPr>
                                  <w:color w:val="FFFFFF"/>
                                  <w:sz w:val="16"/>
                                </w:rPr>
                                <w:t>by</w:t>
                              </w:r>
                              <w:r>
                                <w:rPr>
                                  <w:color w:val="FFFFFF"/>
                                  <w:spacing w:val="1"/>
                                  <w:sz w:val="16"/>
                                </w:rPr>
                                <w:t> </w:t>
                              </w:r>
                              <w:r>
                                <w:rPr>
                                  <w:color w:val="FFFFFF"/>
                                  <w:sz w:val="16"/>
                                </w:rPr>
                                <w:t>Luke</w:t>
                              </w:r>
                              <w:r>
                                <w:rPr>
                                  <w:color w:val="FFFFFF"/>
                                  <w:spacing w:val="1"/>
                                  <w:sz w:val="16"/>
                                </w:rPr>
                                <w:t> </w:t>
                              </w:r>
                              <w:r>
                                <w:rPr>
                                  <w:color w:val="FFFFFF"/>
                                  <w:spacing w:val="-2"/>
                                  <w:sz w:val="16"/>
                                </w:rPr>
                                <w:t>Petrinec</w:t>
                              </w:r>
                            </w:p>
                            <w:p>
                              <w:pPr>
                                <w:spacing w:line="180" w:lineRule="exact" w:before="0"/>
                                <w:ind w:left="0" w:right="0" w:firstLine="0"/>
                                <w:jc w:val="left"/>
                                <w:rPr>
                                  <w:sz w:val="16"/>
                                </w:rPr>
                              </w:pPr>
                              <w:r>
                                <w:rPr>
                                  <w:color w:val="FFFFFF"/>
                                  <w:sz w:val="16"/>
                                </w:rPr>
                                <w:t>Courtesy</w:t>
                              </w:r>
                              <w:r>
                                <w:rPr>
                                  <w:color w:val="FFFFFF"/>
                                  <w:spacing w:val="6"/>
                                  <w:sz w:val="16"/>
                                </w:rPr>
                                <w:t> </w:t>
                              </w:r>
                              <w:r>
                                <w:rPr>
                                  <w:color w:val="FFFFFF"/>
                                  <w:sz w:val="16"/>
                                </w:rPr>
                                <w:t>of</w:t>
                              </w:r>
                              <w:r>
                                <w:rPr>
                                  <w:color w:val="FFFFFF"/>
                                  <w:spacing w:val="7"/>
                                  <w:sz w:val="16"/>
                                </w:rPr>
                                <w:t> </w:t>
                              </w:r>
                              <w:r>
                                <w:rPr>
                                  <w:color w:val="FFFFFF"/>
                                  <w:sz w:val="16"/>
                                </w:rPr>
                                <w:t>the</w:t>
                              </w:r>
                              <w:r>
                                <w:rPr>
                                  <w:color w:val="FFFFFF"/>
                                  <w:spacing w:val="7"/>
                                  <w:sz w:val="16"/>
                                </w:rPr>
                                <w:t> </w:t>
                              </w:r>
                              <w:r>
                                <w:rPr>
                                  <w:color w:val="FFFFFF"/>
                                  <w:spacing w:val="-2"/>
                                  <w:sz w:val="16"/>
                                </w:rPr>
                                <w:t>CorningFingerLakes.com</w:t>
                              </w:r>
                            </w:p>
                          </w:txbxContent>
                        </wps:txbx>
                        <wps:bodyPr wrap="square" lIns="0" tIns="0" rIns="0" bIns="0" rtlCol="0">
                          <a:noAutofit/>
                        </wps:bodyPr>
                      </wps:wsp>
                    </wpg:wgp>
                  </a:graphicData>
                </a:graphic>
              </wp:anchor>
            </w:drawing>
          </mc:Choice>
          <mc:Fallback>
            <w:pict>
              <v:group style="position:absolute;margin-left:612pt;margin-top:495.359985pt;width:612pt;height:296.650pt;mso-position-horizontal-relative:page;mso-position-vertical-relative:page;z-index:15872512" id="docshapegroup1096" coordorigin="12240,9907" coordsize="12240,5933">
                <v:shape style="position:absolute;left:23593;top:15225;width:887;height:291" type="#_x0000_t75" id="docshape1097" stroked="false">
                  <v:imagedata r:id="rId38" o:title=""/>
                </v:shape>
                <v:shape style="position:absolute;left:12248;top:9907;width:12232;height:5933" type="#_x0000_t75" id="docshape1098" stroked="false">
                  <v:imagedata r:id="rId198" o:title=""/>
                </v:shape>
                <v:rect style="position:absolute;left:12240;top:14486;width:12240;height:1354" id="docshape1099" filled="true" fillcolor="#000000" stroked="false">
                  <v:fill opacity="50462f" type="solid"/>
                </v:rect>
                <v:shape style="position:absolute;left:13334;top:14961;width:2968;height:579" type="#_x0000_t202" id="docshape1100" filled="false" stroked="false">
                  <v:textbox inset="0,0,0,0">
                    <w:txbxContent>
                      <w:p>
                        <w:pPr>
                          <w:spacing w:line="235" w:lineRule="auto" w:before="13"/>
                          <w:ind w:left="0" w:right="892" w:firstLine="0"/>
                          <w:jc w:val="left"/>
                          <w:rPr>
                            <w:sz w:val="16"/>
                          </w:rPr>
                        </w:pPr>
                        <w:r>
                          <w:rPr>
                            <w:color w:val="FFFFFF"/>
                            <w:spacing w:val="-2"/>
                            <w:sz w:val="16"/>
                          </w:rPr>
                          <w:t>Vineyard</w:t>
                        </w:r>
                        <w:r>
                          <w:rPr>
                            <w:color w:val="FFFFFF"/>
                            <w:spacing w:val="-10"/>
                            <w:sz w:val="16"/>
                          </w:rPr>
                          <w:t> </w:t>
                        </w:r>
                        <w:r>
                          <w:rPr>
                            <w:color w:val="FFFFFF"/>
                            <w:spacing w:val="-2"/>
                            <w:sz w:val="16"/>
                          </w:rPr>
                          <w:t>on</w:t>
                        </w:r>
                        <w:r>
                          <w:rPr>
                            <w:color w:val="FFFFFF"/>
                            <w:spacing w:val="-9"/>
                            <w:sz w:val="16"/>
                          </w:rPr>
                          <w:t> </w:t>
                        </w:r>
                        <w:r>
                          <w:rPr>
                            <w:color w:val="FFFFFF"/>
                            <w:spacing w:val="-2"/>
                            <w:sz w:val="16"/>
                          </w:rPr>
                          <w:t>Keuka</w:t>
                        </w:r>
                        <w:r>
                          <w:rPr>
                            <w:color w:val="FFFFFF"/>
                            <w:spacing w:val="-9"/>
                            <w:sz w:val="16"/>
                          </w:rPr>
                          <w:t> </w:t>
                        </w:r>
                        <w:r>
                          <w:rPr>
                            <w:color w:val="FFFFFF"/>
                            <w:spacing w:val="-2"/>
                            <w:sz w:val="16"/>
                          </w:rPr>
                          <w:t>Lake </w:t>
                        </w:r>
                        <w:r>
                          <w:rPr>
                            <w:color w:val="FFFFFF"/>
                            <w:sz w:val="16"/>
                          </w:rPr>
                          <w:t>Photo</w:t>
                        </w:r>
                        <w:r>
                          <w:rPr>
                            <w:color w:val="FFFFFF"/>
                            <w:spacing w:val="1"/>
                            <w:sz w:val="16"/>
                          </w:rPr>
                          <w:t> </w:t>
                        </w:r>
                        <w:r>
                          <w:rPr>
                            <w:color w:val="FFFFFF"/>
                            <w:sz w:val="16"/>
                          </w:rPr>
                          <w:t>by</w:t>
                        </w:r>
                        <w:r>
                          <w:rPr>
                            <w:color w:val="FFFFFF"/>
                            <w:spacing w:val="1"/>
                            <w:sz w:val="16"/>
                          </w:rPr>
                          <w:t> </w:t>
                        </w:r>
                        <w:r>
                          <w:rPr>
                            <w:color w:val="FFFFFF"/>
                            <w:sz w:val="16"/>
                          </w:rPr>
                          <w:t>Luke</w:t>
                        </w:r>
                        <w:r>
                          <w:rPr>
                            <w:color w:val="FFFFFF"/>
                            <w:spacing w:val="1"/>
                            <w:sz w:val="16"/>
                          </w:rPr>
                          <w:t> </w:t>
                        </w:r>
                        <w:r>
                          <w:rPr>
                            <w:color w:val="FFFFFF"/>
                            <w:spacing w:val="-2"/>
                            <w:sz w:val="16"/>
                          </w:rPr>
                          <w:t>Petrinec</w:t>
                        </w:r>
                      </w:p>
                      <w:p>
                        <w:pPr>
                          <w:spacing w:line="180" w:lineRule="exact" w:before="0"/>
                          <w:ind w:left="0" w:right="0" w:firstLine="0"/>
                          <w:jc w:val="left"/>
                          <w:rPr>
                            <w:sz w:val="16"/>
                          </w:rPr>
                        </w:pPr>
                        <w:r>
                          <w:rPr>
                            <w:color w:val="FFFFFF"/>
                            <w:sz w:val="16"/>
                          </w:rPr>
                          <w:t>Courtesy</w:t>
                        </w:r>
                        <w:r>
                          <w:rPr>
                            <w:color w:val="FFFFFF"/>
                            <w:spacing w:val="6"/>
                            <w:sz w:val="16"/>
                          </w:rPr>
                          <w:t> </w:t>
                        </w:r>
                        <w:r>
                          <w:rPr>
                            <w:color w:val="FFFFFF"/>
                            <w:sz w:val="16"/>
                          </w:rPr>
                          <w:t>of</w:t>
                        </w:r>
                        <w:r>
                          <w:rPr>
                            <w:color w:val="FFFFFF"/>
                            <w:spacing w:val="7"/>
                            <w:sz w:val="16"/>
                          </w:rPr>
                          <w:t> </w:t>
                        </w:r>
                        <w:r>
                          <w:rPr>
                            <w:color w:val="FFFFFF"/>
                            <w:sz w:val="16"/>
                          </w:rPr>
                          <w:t>the</w:t>
                        </w:r>
                        <w:r>
                          <w:rPr>
                            <w:color w:val="FFFFFF"/>
                            <w:spacing w:val="7"/>
                            <w:sz w:val="16"/>
                          </w:rPr>
                          <w:t> </w:t>
                        </w:r>
                        <w:r>
                          <w:rPr>
                            <w:color w:val="FFFFFF"/>
                            <w:spacing w:val="-2"/>
                            <w:sz w:val="16"/>
                          </w:rPr>
                          <w:t>CorningFingerLakes.com</w:t>
                        </w:r>
                      </w:p>
                    </w:txbxContent>
                  </v:textbox>
                  <w10:wrap type="none"/>
                </v:shape>
                <w10:wrap type="none"/>
              </v:group>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0"/>
      </w:pPr>
    </w:p>
    <w:p>
      <w:pPr>
        <w:pStyle w:val="BodyText"/>
        <w:spacing w:line="247" w:lineRule="auto"/>
        <w:ind w:left="1080" w:right="12620"/>
      </w:pPr>
      <w:r>
        <w:rPr>
          <w:color w:val="105C84"/>
        </w:rPr>
        <w:t>Throughout the assessment period, the community at large was engaged via a regional health survey and</w:t>
      </w:r>
      <w:r>
        <w:rPr>
          <w:color w:val="105C84"/>
          <w:spacing w:val="23"/>
        </w:rPr>
        <w:t> </w:t>
      </w:r>
      <w:r>
        <w:rPr>
          <w:color w:val="105C84"/>
        </w:rPr>
        <w:t>focus</w:t>
      </w:r>
      <w:r>
        <w:rPr>
          <w:color w:val="105C84"/>
          <w:spacing w:val="23"/>
        </w:rPr>
        <w:t> </w:t>
      </w:r>
      <w:r>
        <w:rPr>
          <w:color w:val="105C84"/>
        </w:rPr>
        <w:t>groups.</w:t>
      </w:r>
      <w:r>
        <w:rPr>
          <w:color w:val="105C84"/>
          <w:spacing w:val="23"/>
        </w:rPr>
        <w:t> </w:t>
      </w:r>
      <w:r>
        <w:rPr>
          <w:color w:val="105C84"/>
        </w:rPr>
        <w:t>Community</w:t>
      </w:r>
      <w:r>
        <w:rPr>
          <w:color w:val="105C84"/>
          <w:spacing w:val="23"/>
        </w:rPr>
        <w:t> </w:t>
      </w:r>
      <w:r>
        <w:rPr>
          <w:color w:val="105C84"/>
        </w:rPr>
        <w:t>members</w:t>
      </w:r>
      <w:r>
        <w:rPr>
          <w:color w:val="105C84"/>
          <w:spacing w:val="23"/>
        </w:rPr>
        <w:t> </w:t>
      </w:r>
      <w:r>
        <w:rPr>
          <w:color w:val="105C84"/>
        </w:rPr>
        <w:t>were</w:t>
      </w:r>
      <w:r>
        <w:rPr>
          <w:color w:val="105C84"/>
          <w:spacing w:val="23"/>
        </w:rPr>
        <w:t> </w:t>
      </w:r>
      <w:r>
        <w:rPr>
          <w:color w:val="105C84"/>
        </w:rPr>
        <w:t>also</w:t>
      </w:r>
      <w:r>
        <w:rPr>
          <w:color w:val="105C84"/>
          <w:spacing w:val="23"/>
        </w:rPr>
        <w:t> </w:t>
      </w:r>
      <w:r>
        <w:rPr>
          <w:color w:val="105C84"/>
        </w:rPr>
        <w:t>invited</w:t>
      </w:r>
      <w:r>
        <w:rPr>
          <w:color w:val="105C84"/>
          <w:spacing w:val="23"/>
        </w:rPr>
        <w:t> </w:t>
      </w:r>
      <w:r>
        <w:rPr>
          <w:color w:val="105C84"/>
        </w:rPr>
        <w:t>to</w:t>
      </w:r>
      <w:r>
        <w:rPr>
          <w:color w:val="105C84"/>
          <w:spacing w:val="23"/>
        </w:rPr>
        <w:t> </w:t>
      </w:r>
      <w:r>
        <w:rPr>
          <w:color w:val="105C84"/>
        </w:rPr>
        <w:t>attend</w:t>
      </w:r>
      <w:r>
        <w:rPr>
          <w:color w:val="105C84"/>
          <w:spacing w:val="23"/>
        </w:rPr>
        <w:t> </w:t>
      </w:r>
      <w:r>
        <w:rPr>
          <w:color w:val="105C84"/>
        </w:rPr>
        <w:t>the</w:t>
      </w:r>
      <w:r>
        <w:rPr>
          <w:color w:val="105C84"/>
          <w:spacing w:val="23"/>
        </w:rPr>
        <w:t> </w:t>
      </w:r>
      <w:r>
        <w:rPr>
          <w:color w:val="105C84"/>
        </w:rPr>
        <w:t>prioritization</w:t>
      </w:r>
      <w:r>
        <w:rPr>
          <w:color w:val="105C84"/>
          <w:spacing w:val="23"/>
        </w:rPr>
        <w:t> </w:t>
      </w:r>
      <w:r>
        <w:rPr>
          <w:color w:val="105C84"/>
        </w:rPr>
        <w:t>meeting</w:t>
      </w:r>
      <w:r>
        <w:rPr>
          <w:color w:val="105C84"/>
          <w:spacing w:val="23"/>
        </w:rPr>
        <w:t> </w:t>
      </w:r>
      <w:r>
        <w:rPr>
          <w:color w:val="105C84"/>
        </w:rPr>
        <w:t>to</w:t>
      </w:r>
      <w:r>
        <w:rPr>
          <w:color w:val="105C84"/>
          <w:spacing w:val="23"/>
        </w:rPr>
        <w:t> </w:t>
      </w:r>
      <w:r>
        <w:rPr>
          <w:color w:val="105C84"/>
        </w:rPr>
        <w:t>help inform and select the 2019-2021 priority areas. Preliminary findings of the assessment were shared </w:t>
      </w:r>
      <w:r>
        <w:rPr>
          <w:color w:val="105C84"/>
          <w:w w:val="105"/>
        </w:rPr>
        <w:t>with</w:t>
      </w:r>
      <w:r>
        <w:rPr>
          <w:color w:val="105C84"/>
          <w:spacing w:val="-8"/>
          <w:w w:val="105"/>
        </w:rPr>
        <w:t> </w:t>
      </w:r>
      <w:r>
        <w:rPr>
          <w:color w:val="105C84"/>
          <w:w w:val="105"/>
        </w:rPr>
        <w:t>the</w:t>
      </w:r>
      <w:r>
        <w:rPr>
          <w:color w:val="105C84"/>
          <w:spacing w:val="-8"/>
          <w:w w:val="105"/>
        </w:rPr>
        <w:t> </w:t>
      </w:r>
      <w:r>
        <w:rPr>
          <w:color w:val="105C84"/>
          <w:w w:val="105"/>
        </w:rPr>
        <w:t>public</w:t>
      </w:r>
      <w:r>
        <w:rPr>
          <w:color w:val="105C84"/>
          <w:spacing w:val="-8"/>
          <w:w w:val="105"/>
        </w:rPr>
        <w:t> </w:t>
      </w:r>
      <w:r>
        <w:rPr>
          <w:color w:val="105C84"/>
          <w:w w:val="105"/>
        </w:rPr>
        <w:t>via</w:t>
      </w:r>
      <w:r>
        <w:rPr>
          <w:color w:val="105C84"/>
          <w:spacing w:val="-8"/>
          <w:w w:val="105"/>
        </w:rPr>
        <w:t> </w:t>
      </w:r>
      <w:r>
        <w:rPr>
          <w:color w:val="105C84"/>
          <w:w w:val="105"/>
        </w:rPr>
        <w:t>social</w:t>
      </w:r>
      <w:r>
        <w:rPr>
          <w:color w:val="105C84"/>
          <w:spacing w:val="-8"/>
          <w:w w:val="105"/>
        </w:rPr>
        <w:t> </w:t>
      </w:r>
      <w:r>
        <w:rPr>
          <w:color w:val="105C84"/>
          <w:w w:val="105"/>
        </w:rPr>
        <w:t>and</w:t>
      </w:r>
      <w:r>
        <w:rPr>
          <w:color w:val="105C84"/>
          <w:spacing w:val="-8"/>
          <w:w w:val="105"/>
        </w:rPr>
        <w:t> </w:t>
      </w:r>
      <w:r>
        <w:rPr>
          <w:color w:val="105C84"/>
          <w:w w:val="105"/>
        </w:rPr>
        <w:t>traditional</w:t>
      </w:r>
      <w:r>
        <w:rPr>
          <w:color w:val="105C84"/>
          <w:spacing w:val="-8"/>
          <w:w w:val="105"/>
        </w:rPr>
        <w:t> </w:t>
      </w:r>
      <w:r>
        <w:rPr>
          <w:color w:val="105C84"/>
          <w:w w:val="105"/>
        </w:rPr>
        <w:t>media,</w:t>
      </w:r>
      <w:r>
        <w:rPr>
          <w:color w:val="105C84"/>
          <w:spacing w:val="-8"/>
          <w:w w:val="105"/>
        </w:rPr>
        <w:t> </w:t>
      </w:r>
      <w:r>
        <w:rPr>
          <w:color w:val="105C84"/>
          <w:w w:val="105"/>
        </w:rPr>
        <w:t>on</w:t>
      </w:r>
      <w:r>
        <w:rPr>
          <w:color w:val="105C84"/>
          <w:spacing w:val="-8"/>
          <w:w w:val="105"/>
        </w:rPr>
        <w:t> </w:t>
      </w:r>
      <w:r>
        <w:rPr>
          <w:color w:val="105C84"/>
          <w:w w:val="105"/>
        </w:rPr>
        <w:t>Public</w:t>
      </w:r>
      <w:r>
        <w:rPr>
          <w:color w:val="105C84"/>
          <w:spacing w:val="-8"/>
          <w:w w:val="105"/>
        </w:rPr>
        <w:t> </w:t>
      </w:r>
      <w:r>
        <w:rPr>
          <w:color w:val="105C84"/>
          <w:w w:val="105"/>
        </w:rPr>
        <w:t>Health’s</w:t>
      </w:r>
      <w:r>
        <w:rPr>
          <w:color w:val="105C84"/>
          <w:spacing w:val="-8"/>
          <w:w w:val="105"/>
        </w:rPr>
        <w:t> </w:t>
      </w:r>
      <w:r>
        <w:rPr>
          <w:color w:val="105C84"/>
          <w:w w:val="105"/>
        </w:rPr>
        <w:t>website,</w:t>
      </w:r>
      <w:r>
        <w:rPr>
          <w:color w:val="105C84"/>
          <w:spacing w:val="-8"/>
          <w:w w:val="105"/>
        </w:rPr>
        <w:t> </w:t>
      </w:r>
      <w:r>
        <w:rPr>
          <w:color w:val="105C84"/>
          <w:w w:val="105"/>
        </w:rPr>
        <w:t>by</w:t>
      </w:r>
      <w:r>
        <w:rPr>
          <w:color w:val="105C84"/>
          <w:spacing w:val="-8"/>
          <w:w w:val="105"/>
        </w:rPr>
        <w:t> </w:t>
      </w:r>
      <w:r>
        <w:rPr>
          <w:color w:val="105C84"/>
          <w:w w:val="105"/>
        </w:rPr>
        <w:t>newsletter,</w:t>
      </w:r>
      <w:r>
        <w:rPr>
          <w:color w:val="105C84"/>
          <w:spacing w:val="-8"/>
          <w:w w:val="105"/>
        </w:rPr>
        <w:t> </w:t>
      </w:r>
      <w:r>
        <w:rPr>
          <w:color w:val="105C84"/>
          <w:w w:val="105"/>
        </w:rPr>
        <w:t>and</w:t>
      </w:r>
      <w:r>
        <w:rPr>
          <w:color w:val="105C84"/>
          <w:spacing w:val="-8"/>
          <w:w w:val="105"/>
        </w:rPr>
        <w:t> </w:t>
      </w:r>
      <w:r>
        <w:rPr>
          <w:color w:val="105C84"/>
          <w:w w:val="105"/>
        </w:rPr>
        <w:t>in Public Health’s monthly report.</w:t>
      </w:r>
    </w:p>
    <w:p>
      <w:pPr>
        <w:pStyle w:val="BodyText"/>
        <w:rPr>
          <w:sz w:val="26"/>
        </w:rPr>
      </w:pPr>
    </w:p>
    <w:p>
      <w:pPr>
        <w:pStyle w:val="BodyText"/>
        <w:rPr>
          <w:sz w:val="26"/>
        </w:rPr>
      </w:pPr>
    </w:p>
    <w:p>
      <w:pPr>
        <w:pStyle w:val="BodyText"/>
        <w:spacing w:before="267"/>
        <w:rPr>
          <w:sz w:val="26"/>
        </w:rPr>
      </w:pPr>
    </w:p>
    <w:p>
      <w:pPr>
        <w:spacing w:before="0"/>
        <w:ind w:left="0" w:right="0" w:firstLine="0"/>
        <w:jc w:val="left"/>
        <w:rPr>
          <w:b/>
          <w:sz w:val="26"/>
        </w:rPr>
      </w:pPr>
      <w:r>
        <w:rPr>
          <w:b/>
          <w:sz w:val="26"/>
        </w:rPr>
        <mc:AlternateContent>
          <mc:Choice Requires="wps">
            <w:drawing>
              <wp:anchor distT="0" distB="0" distL="0" distR="0" allowOverlap="1" layoutInCell="1" locked="0" behindDoc="1" simplePos="0" relativeHeight="475098624">
                <wp:simplePos x="0" y="0"/>
                <wp:positionH relativeFrom="page">
                  <wp:posOffset>14698495</wp:posOffset>
                </wp:positionH>
                <wp:positionV relativeFrom="paragraph">
                  <wp:posOffset>-10070</wp:posOffset>
                </wp:positionV>
                <wp:extent cx="195580" cy="226060"/>
                <wp:effectExtent l="0" t="0" r="0" b="0"/>
                <wp:wrapNone/>
                <wp:docPr id="1403" name="Textbox 1403"/>
                <wp:cNvGraphicFramePr>
                  <a:graphicFrameLocks/>
                </wp:cNvGraphicFramePr>
                <a:graphic>
                  <a:graphicData uri="http://schemas.microsoft.com/office/word/2010/wordprocessingShape">
                    <wps:wsp>
                      <wps:cNvPr id="1403" name="Textbox 1403"/>
                      <wps:cNvSpPr txBox="1"/>
                      <wps:spPr>
                        <a:xfrm>
                          <a:off x="0" y="0"/>
                          <a:ext cx="195580" cy="226060"/>
                        </a:xfrm>
                        <a:prstGeom prst="rect">
                          <a:avLst/>
                        </a:prstGeom>
                      </wps:spPr>
                      <wps:txbx>
                        <w:txbxContent>
                          <w:p>
                            <w:pPr>
                              <w:spacing w:before="16"/>
                              <w:ind w:left="0" w:right="0" w:firstLine="0"/>
                              <w:jc w:val="left"/>
                              <w:rPr>
                                <w:b/>
                                <w:sz w:val="26"/>
                              </w:rPr>
                            </w:pPr>
                            <w:r>
                              <w:rPr>
                                <w:b/>
                                <w:color w:val="939598"/>
                                <w:spacing w:val="-5"/>
                                <w:w w:val="105"/>
                                <w:sz w:val="26"/>
                              </w:rPr>
                              <w:t>90</w:t>
                            </w:r>
                          </w:p>
                        </w:txbxContent>
                      </wps:txbx>
                      <wps:bodyPr wrap="square" lIns="0" tIns="0" rIns="0" bIns="0" rtlCol="0">
                        <a:noAutofit/>
                      </wps:bodyPr>
                    </wps:wsp>
                  </a:graphicData>
                </a:graphic>
              </wp:anchor>
            </w:drawing>
          </mc:Choice>
          <mc:Fallback>
            <w:pict>
              <v:shape style="position:absolute;margin-left:1157.361816pt;margin-top:-.792939pt;width:15.4pt;height:17.8pt;mso-position-horizontal-relative:page;mso-position-vertical-relative:paragraph;z-index:-28217856" type="#_x0000_t202" id="docshape1101" filled="false" stroked="false">
                <v:textbox inset="0,0,0,0">
                  <w:txbxContent>
                    <w:p>
                      <w:pPr>
                        <w:spacing w:before="16"/>
                        <w:ind w:left="0" w:right="0" w:firstLine="0"/>
                        <w:jc w:val="left"/>
                        <w:rPr>
                          <w:b/>
                          <w:sz w:val="26"/>
                        </w:rPr>
                      </w:pPr>
                      <w:r>
                        <w:rPr>
                          <w:b/>
                          <w:color w:val="939598"/>
                          <w:spacing w:val="-5"/>
                          <w:w w:val="105"/>
                          <w:sz w:val="26"/>
                        </w:rPr>
                        <w:t>90</w:t>
                      </w:r>
                    </w:p>
                  </w:txbxContent>
                </v:textbox>
                <w10:wrap type="none"/>
              </v:shape>
            </w:pict>
          </mc:Fallback>
        </mc:AlternateContent>
      </w:r>
      <w:r>
        <w:rPr>
          <w:position w:val="-4"/>
        </w:rPr>
        <w:drawing>
          <wp:inline distT="0" distB="0" distL="0" distR="0">
            <wp:extent cx="568172" cy="184683"/>
            <wp:effectExtent l="0" t="0" r="0" b="0"/>
            <wp:docPr id="1404" name="Image 1404"/>
            <wp:cNvGraphicFramePr>
              <a:graphicFrameLocks/>
            </wp:cNvGraphicFramePr>
            <a:graphic>
              <a:graphicData uri="http://schemas.openxmlformats.org/drawingml/2006/picture">
                <pic:pic>
                  <pic:nvPicPr>
                    <pic:cNvPr id="1404" name="Image 1404"/>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80"/>
          <w:w w:val="105"/>
          <w:sz w:val="20"/>
        </w:rPr>
        <w:t> </w:t>
      </w:r>
      <w:r>
        <w:rPr>
          <w:b/>
          <w:color w:val="939598"/>
          <w:w w:val="105"/>
          <w:sz w:val="26"/>
        </w:rPr>
        <w:t>89</w:t>
      </w:r>
    </w:p>
    <w:p>
      <w:pPr>
        <w:spacing w:after="0"/>
        <w:jc w:val="left"/>
        <w:rPr>
          <w:b/>
          <w:sz w:val="26"/>
        </w:rPr>
        <w:sectPr>
          <w:type w:val="continuous"/>
          <w:pgSz w:w="24480" w:h="15840" w:orient="landscape"/>
          <w:pgMar w:header="0" w:footer="0" w:top="0" w:bottom="280" w:left="0" w:right="720"/>
        </w:sectPr>
      </w:pPr>
    </w:p>
    <w:p>
      <w:pPr>
        <w:pStyle w:val="BodyText"/>
        <w:spacing w:before="217"/>
        <w:rPr>
          <w:b/>
          <w:sz w:val="20"/>
        </w:rPr>
      </w:pPr>
    </w:p>
    <w:p>
      <w:pPr>
        <w:pStyle w:val="BodyText"/>
        <w:spacing w:after="0"/>
        <w:rPr>
          <w:b/>
          <w:sz w:val="20"/>
        </w:rPr>
        <w:sectPr>
          <w:pgSz w:w="24480" w:h="15840" w:orient="landscape"/>
          <w:pgMar w:header="0" w:footer="0" w:top="860" w:bottom="0" w:left="0" w:right="720"/>
        </w:sectPr>
      </w:pPr>
    </w:p>
    <w:p>
      <w:pPr>
        <w:pStyle w:val="Heading3"/>
        <w:spacing w:before="120"/>
        <w:ind w:left="1080"/>
      </w:pPr>
      <w:bookmarkStart w:name="_TOC_250009" w:id="10"/>
      <w:r>
        <w:rPr>
          <w:color w:val="82BF6A"/>
          <w:spacing w:val="-2"/>
        </w:rPr>
        <w:t>WAYNE</w:t>
      </w:r>
      <w:r>
        <w:rPr>
          <w:color w:val="82BF6A"/>
          <w:spacing w:val="-19"/>
        </w:rPr>
        <w:t> </w:t>
      </w:r>
      <w:bookmarkEnd w:id="10"/>
      <w:r>
        <w:rPr>
          <w:color w:val="82BF6A"/>
          <w:spacing w:val="-2"/>
        </w:rPr>
        <w:t>COUNTY</w:t>
      </w:r>
    </w:p>
    <w:p>
      <w:pPr>
        <w:pStyle w:val="Heading6"/>
        <w:spacing w:before="258"/>
      </w:pPr>
      <w:r>
        <w:rPr>
          <w:color w:val="105C84"/>
          <w:spacing w:val="-6"/>
        </w:rPr>
        <w:t>Demographic</w:t>
      </w:r>
      <w:r>
        <w:rPr>
          <w:color w:val="105C84"/>
          <w:spacing w:val="-8"/>
        </w:rPr>
        <w:t> </w:t>
      </w:r>
      <w:r>
        <w:rPr>
          <w:color w:val="105C84"/>
          <w:spacing w:val="-6"/>
        </w:rPr>
        <w:t>and</w:t>
      </w:r>
      <w:r>
        <w:rPr>
          <w:color w:val="105C84"/>
          <w:spacing w:val="-8"/>
        </w:rPr>
        <w:t> </w:t>
      </w:r>
      <w:r>
        <w:rPr>
          <w:color w:val="105C84"/>
          <w:spacing w:val="-6"/>
        </w:rPr>
        <w:t>Socioeconomic</w:t>
      </w:r>
      <w:r>
        <w:rPr>
          <w:color w:val="105C84"/>
          <w:spacing w:val="-8"/>
        </w:rPr>
        <w:t> </w:t>
      </w:r>
      <w:r>
        <w:rPr>
          <w:color w:val="105C84"/>
          <w:spacing w:val="-6"/>
        </w:rPr>
        <w:t>Health</w:t>
      </w:r>
      <w:r>
        <w:rPr>
          <w:color w:val="105C84"/>
          <w:spacing w:val="-7"/>
        </w:rPr>
        <w:t> </w:t>
      </w:r>
      <w:r>
        <w:rPr>
          <w:color w:val="105C84"/>
          <w:spacing w:val="-6"/>
        </w:rPr>
        <w:t>Indicators</w:t>
      </w:r>
    </w:p>
    <w:p>
      <w:pPr>
        <w:pStyle w:val="BodyText"/>
        <w:spacing w:line="247" w:lineRule="auto" w:before="200"/>
        <w:ind w:left="1080"/>
      </w:pPr>
      <w:r>
        <w:rPr/>
        <w:br w:type="column"/>
      </w:r>
      <w:r>
        <w:rPr>
          <w:color w:val="105C84"/>
        </w:rPr>
        <w:t>Over the past 5 years, there has been a slight shift in educational attainment where there are more residents aged 25+ with a Bachelor’s degree or higher than in years past (Figure 44).</w:t>
      </w:r>
    </w:p>
    <w:p>
      <w:pPr>
        <w:pStyle w:val="BodyText"/>
        <w:spacing w:after="0" w:line="247" w:lineRule="auto"/>
        <w:sectPr>
          <w:type w:val="continuous"/>
          <w:pgSz w:w="24480" w:h="15840" w:orient="landscape"/>
          <w:pgMar w:header="0" w:footer="0" w:top="0" w:bottom="280" w:left="0" w:right="720"/>
          <w:cols w:num="2" w:equalWidth="0">
            <w:col w:w="7247" w:space="4990"/>
            <w:col w:w="11523"/>
          </w:cols>
        </w:sectPr>
      </w:pPr>
    </w:p>
    <w:p>
      <w:pPr>
        <w:pStyle w:val="BodyText"/>
        <w:spacing w:before="15"/>
      </w:pPr>
    </w:p>
    <w:p>
      <w:pPr>
        <w:pStyle w:val="BodyText"/>
        <w:spacing w:line="247" w:lineRule="auto" w:before="1"/>
        <w:ind w:left="1080" w:right="110"/>
      </w:pPr>
      <w:r>
        <w:rPr>
          <w:color w:val="105C84"/>
          <w:w w:val="105"/>
        </w:rPr>
        <w:t>Wayne</w:t>
      </w:r>
      <w:r>
        <w:rPr>
          <w:color w:val="105C84"/>
          <w:spacing w:val="-10"/>
          <w:w w:val="105"/>
        </w:rPr>
        <w:t> </w:t>
      </w:r>
      <w:r>
        <w:rPr>
          <w:color w:val="105C84"/>
          <w:w w:val="105"/>
        </w:rPr>
        <w:t>County</w:t>
      </w:r>
      <w:r>
        <w:rPr>
          <w:color w:val="105C84"/>
          <w:spacing w:val="-10"/>
          <w:w w:val="105"/>
        </w:rPr>
        <w:t> </w:t>
      </w:r>
      <w:r>
        <w:rPr>
          <w:color w:val="105C84"/>
          <w:w w:val="105"/>
        </w:rPr>
        <w:t>is</w:t>
      </w:r>
      <w:r>
        <w:rPr>
          <w:color w:val="105C84"/>
          <w:spacing w:val="-10"/>
          <w:w w:val="105"/>
        </w:rPr>
        <w:t> </w:t>
      </w:r>
      <w:r>
        <w:rPr>
          <w:color w:val="105C84"/>
          <w:w w:val="105"/>
        </w:rPr>
        <w:t>located</w:t>
      </w:r>
      <w:r>
        <w:rPr>
          <w:color w:val="105C84"/>
          <w:spacing w:val="-10"/>
          <w:w w:val="105"/>
        </w:rPr>
        <w:t> </w:t>
      </w:r>
      <w:r>
        <w:rPr>
          <w:color w:val="105C84"/>
          <w:w w:val="105"/>
        </w:rPr>
        <w:t>east</w:t>
      </w:r>
      <w:r>
        <w:rPr>
          <w:color w:val="105C84"/>
          <w:spacing w:val="-10"/>
          <w:w w:val="105"/>
        </w:rPr>
        <w:t> </w:t>
      </w:r>
      <w:r>
        <w:rPr>
          <w:color w:val="105C84"/>
          <w:w w:val="105"/>
        </w:rPr>
        <w:t>of</w:t>
      </w:r>
      <w:r>
        <w:rPr>
          <w:color w:val="105C84"/>
          <w:spacing w:val="-10"/>
          <w:w w:val="105"/>
        </w:rPr>
        <w:t> </w:t>
      </w:r>
      <w:r>
        <w:rPr>
          <w:color w:val="105C84"/>
          <w:w w:val="105"/>
        </w:rPr>
        <w:t>Monroe</w:t>
      </w:r>
      <w:r>
        <w:rPr>
          <w:color w:val="105C84"/>
          <w:spacing w:val="-10"/>
          <w:w w:val="105"/>
        </w:rPr>
        <w:t> </w:t>
      </w:r>
      <w:r>
        <w:rPr>
          <w:color w:val="105C84"/>
          <w:w w:val="105"/>
        </w:rPr>
        <w:t>County</w:t>
      </w:r>
      <w:r>
        <w:rPr>
          <w:color w:val="105C84"/>
          <w:spacing w:val="-10"/>
          <w:w w:val="105"/>
        </w:rPr>
        <w:t> </w:t>
      </w:r>
      <w:r>
        <w:rPr>
          <w:color w:val="105C84"/>
          <w:w w:val="105"/>
        </w:rPr>
        <w:t>and</w:t>
      </w:r>
      <w:r>
        <w:rPr>
          <w:color w:val="105C84"/>
          <w:spacing w:val="-10"/>
          <w:w w:val="105"/>
        </w:rPr>
        <w:t> </w:t>
      </w:r>
      <w:r>
        <w:rPr>
          <w:color w:val="105C84"/>
          <w:w w:val="105"/>
        </w:rPr>
        <w:t>shares</w:t>
      </w:r>
      <w:r>
        <w:rPr>
          <w:color w:val="105C84"/>
          <w:spacing w:val="-10"/>
          <w:w w:val="105"/>
        </w:rPr>
        <w:t> </w:t>
      </w:r>
      <w:r>
        <w:rPr>
          <w:color w:val="105C84"/>
          <w:w w:val="105"/>
        </w:rPr>
        <w:t>its</w:t>
      </w:r>
      <w:r>
        <w:rPr>
          <w:color w:val="105C84"/>
          <w:spacing w:val="-10"/>
          <w:w w:val="105"/>
        </w:rPr>
        <w:t> </w:t>
      </w:r>
      <w:r>
        <w:rPr>
          <w:color w:val="105C84"/>
          <w:w w:val="105"/>
        </w:rPr>
        <w:t>northern</w:t>
      </w:r>
      <w:r>
        <w:rPr>
          <w:color w:val="105C84"/>
          <w:spacing w:val="-10"/>
          <w:w w:val="105"/>
        </w:rPr>
        <w:t> </w:t>
      </w:r>
      <w:r>
        <w:rPr>
          <w:color w:val="105C84"/>
          <w:w w:val="105"/>
        </w:rPr>
        <w:t>borderline</w:t>
      </w:r>
      <w:r>
        <w:rPr>
          <w:color w:val="105C84"/>
          <w:spacing w:val="-10"/>
          <w:w w:val="105"/>
        </w:rPr>
        <w:t> </w:t>
      </w:r>
      <w:r>
        <w:rPr>
          <w:color w:val="105C84"/>
          <w:w w:val="105"/>
        </w:rPr>
        <w:t>with</w:t>
      </w:r>
      <w:r>
        <w:rPr>
          <w:color w:val="105C84"/>
          <w:spacing w:val="-10"/>
          <w:w w:val="105"/>
        </w:rPr>
        <w:t> </w:t>
      </w:r>
      <w:r>
        <w:rPr>
          <w:color w:val="105C84"/>
          <w:w w:val="105"/>
        </w:rPr>
        <w:t>Lake Ontario.</w:t>
      </w:r>
      <w:r>
        <w:rPr>
          <w:color w:val="105C84"/>
          <w:spacing w:val="-7"/>
          <w:w w:val="105"/>
        </w:rPr>
        <w:t> </w:t>
      </w:r>
      <w:r>
        <w:rPr>
          <w:color w:val="105C84"/>
          <w:w w:val="105"/>
        </w:rPr>
        <w:t>The</w:t>
      </w:r>
      <w:r>
        <w:rPr>
          <w:color w:val="105C84"/>
          <w:spacing w:val="-7"/>
          <w:w w:val="105"/>
        </w:rPr>
        <w:t> </w:t>
      </w:r>
      <w:r>
        <w:rPr>
          <w:color w:val="105C84"/>
          <w:w w:val="105"/>
        </w:rPr>
        <w:t>western</w:t>
      </w:r>
      <w:r>
        <w:rPr>
          <w:color w:val="105C84"/>
          <w:spacing w:val="-7"/>
          <w:w w:val="105"/>
        </w:rPr>
        <w:t> </w:t>
      </w:r>
      <w:r>
        <w:rPr>
          <w:color w:val="105C84"/>
          <w:w w:val="105"/>
        </w:rPr>
        <w:t>portion</w:t>
      </w:r>
      <w:r>
        <w:rPr>
          <w:color w:val="105C84"/>
          <w:spacing w:val="-7"/>
          <w:w w:val="105"/>
        </w:rPr>
        <w:t> </w:t>
      </w:r>
      <w:r>
        <w:rPr>
          <w:color w:val="105C84"/>
          <w:w w:val="105"/>
        </w:rPr>
        <w:t>of</w:t>
      </w:r>
      <w:r>
        <w:rPr>
          <w:color w:val="105C84"/>
          <w:spacing w:val="-7"/>
          <w:w w:val="105"/>
        </w:rPr>
        <w:t> </w:t>
      </w:r>
      <w:r>
        <w:rPr>
          <w:color w:val="105C84"/>
          <w:w w:val="105"/>
        </w:rPr>
        <w:t>the</w:t>
      </w:r>
      <w:r>
        <w:rPr>
          <w:color w:val="105C84"/>
          <w:spacing w:val="-7"/>
          <w:w w:val="105"/>
        </w:rPr>
        <w:t> </w:t>
      </w:r>
      <w:r>
        <w:rPr>
          <w:color w:val="105C84"/>
          <w:w w:val="105"/>
        </w:rPr>
        <w:t>county’s</w:t>
      </w:r>
      <w:r>
        <w:rPr>
          <w:color w:val="105C84"/>
          <w:spacing w:val="-7"/>
          <w:w w:val="105"/>
        </w:rPr>
        <w:t> </w:t>
      </w:r>
      <w:r>
        <w:rPr>
          <w:color w:val="105C84"/>
          <w:w w:val="105"/>
        </w:rPr>
        <w:t>proximity</w:t>
      </w:r>
      <w:r>
        <w:rPr>
          <w:color w:val="105C84"/>
          <w:spacing w:val="-7"/>
          <w:w w:val="105"/>
        </w:rPr>
        <w:t> </w:t>
      </w:r>
      <w:r>
        <w:rPr>
          <w:color w:val="105C84"/>
          <w:w w:val="105"/>
        </w:rPr>
        <w:t>to</w:t>
      </w:r>
      <w:r>
        <w:rPr>
          <w:color w:val="105C84"/>
          <w:spacing w:val="-7"/>
          <w:w w:val="105"/>
        </w:rPr>
        <w:t> </w:t>
      </w:r>
      <w:r>
        <w:rPr>
          <w:color w:val="105C84"/>
          <w:w w:val="105"/>
        </w:rPr>
        <w:t>the</w:t>
      </w:r>
      <w:r>
        <w:rPr>
          <w:color w:val="105C84"/>
          <w:spacing w:val="-7"/>
          <w:w w:val="105"/>
        </w:rPr>
        <w:t> </w:t>
      </w:r>
      <w:r>
        <w:rPr>
          <w:color w:val="105C84"/>
          <w:w w:val="105"/>
        </w:rPr>
        <w:t>City</w:t>
      </w:r>
      <w:r>
        <w:rPr>
          <w:color w:val="105C84"/>
          <w:spacing w:val="-7"/>
          <w:w w:val="105"/>
        </w:rPr>
        <w:t> </w:t>
      </w:r>
      <w:r>
        <w:rPr>
          <w:color w:val="105C84"/>
          <w:w w:val="105"/>
        </w:rPr>
        <w:t>of</w:t>
      </w:r>
      <w:r>
        <w:rPr>
          <w:color w:val="105C84"/>
          <w:spacing w:val="-7"/>
          <w:w w:val="105"/>
        </w:rPr>
        <w:t> </w:t>
      </w:r>
      <w:r>
        <w:rPr>
          <w:color w:val="105C84"/>
          <w:w w:val="105"/>
        </w:rPr>
        <w:t>Rochester</w:t>
      </w:r>
      <w:r>
        <w:rPr>
          <w:color w:val="105C84"/>
          <w:spacing w:val="-7"/>
          <w:w w:val="105"/>
        </w:rPr>
        <w:t> </w:t>
      </w:r>
      <w:r>
        <w:rPr>
          <w:color w:val="105C84"/>
          <w:w w:val="105"/>
        </w:rPr>
        <w:t>makes</w:t>
      </w:r>
      <w:r>
        <w:rPr>
          <w:color w:val="105C84"/>
          <w:spacing w:val="-7"/>
          <w:w w:val="105"/>
        </w:rPr>
        <w:t> </w:t>
      </w:r>
      <w:r>
        <w:rPr>
          <w:color w:val="105C84"/>
          <w:w w:val="105"/>
        </w:rPr>
        <w:t>it</w:t>
      </w:r>
      <w:r>
        <w:rPr>
          <w:color w:val="105C84"/>
          <w:spacing w:val="-7"/>
          <w:w w:val="105"/>
        </w:rPr>
        <w:t> </w:t>
      </w:r>
      <w:r>
        <w:rPr>
          <w:color w:val="105C84"/>
          <w:w w:val="105"/>
        </w:rPr>
        <w:t>easily accessible</w:t>
      </w:r>
      <w:r>
        <w:rPr>
          <w:color w:val="105C84"/>
          <w:spacing w:val="-7"/>
          <w:w w:val="105"/>
        </w:rPr>
        <w:t> </w:t>
      </w:r>
      <w:r>
        <w:rPr>
          <w:color w:val="105C84"/>
          <w:w w:val="105"/>
        </w:rPr>
        <w:t>to</w:t>
      </w:r>
      <w:r>
        <w:rPr>
          <w:color w:val="105C84"/>
          <w:spacing w:val="-7"/>
          <w:w w:val="105"/>
        </w:rPr>
        <w:t> </w:t>
      </w:r>
      <w:r>
        <w:rPr>
          <w:color w:val="105C84"/>
          <w:w w:val="105"/>
        </w:rPr>
        <w:t>jobs</w:t>
      </w:r>
      <w:r>
        <w:rPr>
          <w:color w:val="105C84"/>
          <w:spacing w:val="-7"/>
          <w:w w:val="105"/>
        </w:rPr>
        <w:t> </w:t>
      </w:r>
      <w:r>
        <w:rPr>
          <w:color w:val="105C84"/>
          <w:w w:val="105"/>
        </w:rPr>
        <w:t>for</w:t>
      </w:r>
      <w:r>
        <w:rPr>
          <w:color w:val="105C84"/>
          <w:spacing w:val="-7"/>
          <w:w w:val="105"/>
        </w:rPr>
        <w:t> </w:t>
      </w:r>
      <w:r>
        <w:rPr>
          <w:color w:val="105C84"/>
          <w:w w:val="105"/>
        </w:rPr>
        <w:t>those</w:t>
      </w:r>
      <w:r>
        <w:rPr>
          <w:color w:val="105C84"/>
          <w:spacing w:val="-7"/>
          <w:w w:val="105"/>
        </w:rPr>
        <w:t> </w:t>
      </w:r>
      <w:r>
        <w:rPr>
          <w:color w:val="105C84"/>
          <w:w w:val="105"/>
        </w:rPr>
        <w:t>able</w:t>
      </w:r>
      <w:r>
        <w:rPr>
          <w:color w:val="105C84"/>
          <w:spacing w:val="-7"/>
          <w:w w:val="105"/>
        </w:rPr>
        <w:t> </w:t>
      </w:r>
      <w:r>
        <w:rPr>
          <w:color w:val="105C84"/>
          <w:w w:val="105"/>
        </w:rPr>
        <w:t>to</w:t>
      </w:r>
      <w:r>
        <w:rPr>
          <w:color w:val="105C84"/>
          <w:spacing w:val="-7"/>
          <w:w w:val="105"/>
        </w:rPr>
        <w:t> </w:t>
      </w:r>
      <w:r>
        <w:rPr>
          <w:color w:val="105C84"/>
          <w:w w:val="105"/>
        </w:rPr>
        <w:t>commute.</w:t>
      </w:r>
      <w:r>
        <w:rPr>
          <w:color w:val="105C84"/>
          <w:spacing w:val="-7"/>
          <w:w w:val="105"/>
        </w:rPr>
        <w:t> </w:t>
      </w:r>
      <w:r>
        <w:rPr>
          <w:color w:val="105C84"/>
          <w:w w:val="105"/>
        </w:rPr>
        <w:t>A</w:t>
      </w:r>
      <w:r>
        <w:rPr>
          <w:color w:val="105C84"/>
          <w:spacing w:val="-7"/>
          <w:w w:val="105"/>
        </w:rPr>
        <w:t> </w:t>
      </w:r>
      <w:r>
        <w:rPr>
          <w:color w:val="105C84"/>
          <w:w w:val="105"/>
        </w:rPr>
        <w:t>total</w:t>
      </w:r>
      <w:r>
        <w:rPr>
          <w:color w:val="105C84"/>
          <w:spacing w:val="-7"/>
          <w:w w:val="105"/>
        </w:rPr>
        <w:t> </w:t>
      </w:r>
      <w:r>
        <w:rPr>
          <w:color w:val="105C84"/>
          <w:w w:val="105"/>
        </w:rPr>
        <w:t>of</w:t>
      </w:r>
      <w:r>
        <w:rPr>
          <w:color w:val="105C84"/>
          <w:spacing w:val="-7"/>
          <w:w w:val="105"/>
        </w:rPr>
        <w:t> </w:t>
      </w:r>
      <w:r>
        <w:rPr>
          <w:color w:val="105C84"/>
          <w:w w:val="105"/>
        </w:rPr>
        <w:t>91,422</w:t>
      </w:r>
      <w:r>
        <w:rPr>
          <w:color w:val="105C84"/>
          <w:spacing w:val="-7"/>
          <w:w w:val="105"/>
        </w:rPr>
        <w:t> </w:t>
      </w:r>
      <w:r>
        <w:rPr>
          <w:color w:val="105C84"/>
          <w:w w:val="105"/>
        </w:rPr>
        <w:t>persons</w:t>
      </w:r>
      <w:r>
        <w:rPr>
          <w:color w:val="105C84"/>
          <w:spacing w:val="-7"/>
          <w:w w:val="105"/>
        </w:rPr>
        <w:t> </w:t>
      </w:r>
      <w:r>
        <w:rPr>
          <w:color w:val="105C84"/>
          <w:w w:val="105"/>
        </w:rPr>
        <w:t>live</w:t>
      </w:r>
      <w:r>
        <w:rPr>
          <w:color w:val="105C84"/>
          <w:spacing w:val="-7"/>
          <w:w w:val="105"/>
        </w:rPr>
        <w:t> </w:t>
      </w:r>
      <w:r>
        <w:rPr>
          <w:color w:val="105C84"/>
          <w:w w:val="105"/>
        </w:rPr>
        <w:t>in</w:t>
      </w:r>
      <w:r>
        <w:rPr>
          <w:color w:val="105C84"/>
          <w:spacing w:val="-7"/>
          <w:w w:val="105"/>
        </w:rPr>
        <w:t> </w:t>
      </w:r>
      <w:r>
        <w:rPr>
          <w:color w:val="105C84"/>
          <w:w w:val="105"/>
        </w:rPr>
        <w:t>the</w:t>
      </w:r>
      <w:r>
        <w:rPr>
          <w:color w:val="105C84"/>
          <w:spacing w:val="-7"/>
          <w:w w:val="105"/>
        </w:rPr>
        <w:t> </w:t>
      </w:r>
      <w:r>
        <w:rPr>
          <w:color w:val="105C84"/>
          <w:w w:val="105"/>
        </w:rPr>
        <w:t>county,</w:t>
      </w:r>
      <w:r>
        <w:rPr>
          <w:color w:val="105C84"/>
          <w:spacing w:val="-7"/>
          <w:w w:val="105"/>
        </w:rPr>
        <w:t> </w:t>
      </w:r>
      <w:r>
        <w:rPr>
          <w:color w:val="105C84"/>
          <w:w w:val="105"/>
        </w:rPr>
        <w:t>the majority</w:t>
      </w:r>
      <w:r>
        <w:rPr>
          <w:color w:val="105C84"/>
          <w:spacing w:val="-11"/>
          <w:w w:val="105"/>
        </w:rPr>
        <w:t> </w:t>
      </w:r>
      <w:r>
        <w:rPr>
          <w:color w:val="105C84"/>
          <w:w w:val="105"/>
        </w:rPr>
        <w:t>of</w:t>
      </w:r>
      <w:r>
        <w:rPr>
          <w:color w:val="105C84"/>
          <w:spacing w:val="-11"/>
          <w:w w:val="105"/>
        </w:rPr>
        <w:t> </w:t>
      </w:r>
      <w:r>
        <w:rPr>
          <w:color w:val="105C84"/>
          <w:w w:val="105"/>
        </w:rPr>
        <w:t>which</w:t>
      </w:r>
      <w:r>
        <w:rPr>
          <w:color w:val="105C84"/>
          <w:spacing w:val="-11"/>
          <w:w w:val="105"/>
        </w:rPr>
        <w:t> </w:t>
      </w:r>
      <w:r>
        <w:rPr>
          <w:color w:val="105C84"/>
          <w:w w:val="105"/>
        </w:rPr>
        <w:t>(94%)</w:t>
      </w:r>
      <w:r>
        <w:rPr>
          <w:color w:val="105C84"/>
          <w:spacing w:val="-11"/>
          <w:w w:val="105"/>
        </w:rPr>
        <w:t> </w:t>
      </w:r>
      <w:r>
        <w:rPr>
          <w:color w:val="105C84"/>
          <w:w w:val="105"/>
        </w:rPr>
        <w:t>are</w:t>
      </w:r>
      <w:r>
        <w:rPr>
          <w:color w:val="105C84"/>
          <w:spacing w:val="-11"/>
          <w:w w:val="105"/>
        </w:rPr>
        <w:t> </w:t>
      </w:r>
      <w:r>
        <w:rPr>
          <w:color w:val="105C84"/>
          <w:w w:val="105"/>
        </w:rPr>
        <w:t>White</w:t>
      </w:r>
      <w:r>
        <w:rPr>
          <w:color w:val="105C84"/>
          <w:spacing w:val="-11"/>
          <w:w w:val="105"/>
        </w:rPr>
        <w:t> </w:t>
      </w:r>
      <w:r>
        <w:rPr>
          <w:color w:val="105C84"/>
          <w:w w:val="105"/>
        </w:rPr>
        <w:t>Non-Hispanic.</w:t>
      </w:r>
      <w:r>
        <w:rPr>
          <w:color w:val="105C84"/>
          <w:spacing w:val="-11"/>
          <w:w w:val="105"/>
        </w:rPr>
        <w:t> </w:t>
      </w:r>
      <w:r>
        <w:rPr>
          <w:color w:val="105C84"/>
          <w:w w:val="105"/>
        </w:rPr>
        <w:t>Women</w:t>
      </w:r>
      <w:r>
        <w:rPr>
          <w:color w:val="105C84"/>
          <w:spacing w:val="-11"/>
          <w:w w:val="105"/>
        </w:rPr>
        <w:t> </w:t>
      </w:r>
      <w:r>
        <w:rPr>
          <w:color w:val="105C84"/>
          <w:w w:val="105"/>
        </w:rPr>
        <w:t>of</w:t>
      </w:r>
      <w:r>
        <w:rPr>
          <w:color w:val="105C84"/>
          <w:spacing w:val="-11"/>
          <w:w w:val="105"/>
        </w:rPr>
        <w:t> </w:t>
      </w:r>
      <w:r>
        <w:rPr>
          <w:color w:val="105C84"/>
          <w:w w:val="105"/>
        </w:rPr>
        <w:t>childbearing</w:t>
      </w:r>
      <w:r>
        <w:rPr>
          <w:color w:val="105C84"/>
          <w:spacing w:val="-11"/>
          <w:w w:val="105"/>
        </w:rPr>
        <w:t> </w:t>
      </w:r>
      <w:r>
        <w:rPr>
          <w:color w:val="105C84"/>
          <w:w w:val="105"/>
        </w:rPr>
        <w:t>age</w:t>
      </w:r>
      <w:r>
        <w:rPr>
          <w:color w:val="105C84"/>
          <w:spacing w:val="-11"/>
          <w:w w:val="105"/>
        </w:rPr>
        <w:t> </w:t>
      </w:r>
      <w:r>
        <w:rPr>
          <w:color w:val="105C84"/>
          <w:w w:val="105"/>
        </w:rPr>
        <w:t>make</w:t>
      </w:r>
      <w:r>
        <w:rPr>
          <w:color w:val="105C84"/>
          <w:spacing w:val="-11"/>
          <w:w w:val="105"/>
        </w:rPr>
        <w:t> </w:t>
      </w:r>
      <w:r>
        <w:rPr>
          <w:color w:val="105C84"/>
          <w:w w:val="105"/>
        </w:rPr>
        <w:t>up</w:t>
      </w:r>
      <w:r>
        <w:rPr>
          <w:color w:val="105C84"/>
          <w:spacing w:val="-11"/>
          <w:w w:val="105"/>
        </w:rPr>
        <w:t> </w:t>
      </w:r>
      <w:r>
        <w:rPr>
          <w:color w:val="105C84"/>
          <w:w w:val="105"/>
        </w:rPr>
        <w:t>15%</w:t>
      </w:r>
      <w:r>
        <w:rPr>
          <w:color w:val="105C84"/>
          <w:spacing w:val="-11"/>
          <w:w w:val="105"/>
        </w:rPr>
        <w:t> </w:t>
      </w:r>
      <w:r>
        <w:rPr>
          <w:color w:val="105C84"/>
          <w:w w:val="105"/>
        </w:rPr>
        <w:t>of</w:t>
      </w:r>
      <w:r>
        <w:rPr>
          <w:color w:val="105C84"/>
          <w:spacing w:val="-11"/>
          <w:w w:val="105"/>
        </w:rPr>
        <w:t> </w:t>
      </w:r>
      <w:r>
        <w:rPr>
          <w:color w:val="105C84"/>
          <w:w w:val="105"/>
        </w:rPr>
        <w:t>the </w:t>
      </w:r>
      <w:r>
        <w:rPr>
          <w:color w:val="105C84"/>
        </w:rPr>
        <w:t>population, and 29.1% of the 18+ population are living with a disability.</w:t>
      </w:r>
      <w:r>
        <w:rPr>
          <w:color w:val="105C84"/>
          <w:position w:val="7"/>
          <w:sz w:val="13"/>
        </w:rPr>
        <w:t>41</w:t>
      </w:r>
      <w:r>
        <w:rPr>
          <w:color w:val="105C84"/>
          <w:spacing w:val="31"/>
          <w:position w:val="7"/>
          <w:sz w:val="13"/>
        </w:rPr>
        <w:t> </w:t>
      </w:r>
      <w:r>
        <w:rPr>
          <w:color w:val="105C84"/>
        </w:rPr>
        <w:t>2017 estimates reveal 28% of the 65+ population (N=4,413) is living alone. This rate is up 2 percentage points from 2012 when </w:t>
      </w:r>
      <w:r>
        <w:rPr>
          <w:color w:val="105C84"/>
          <w:w w:val="105"/>
        </w:rPr>
        <w:t>26%</w:t>
      </w:r>
      <w:r>
        <w:rPr>
          <w:color w:val="105C84"/>
          <w:spacing w:val="-5"/>
          <w:w w:val="105"/>
        </w:rPr>
        <w:t> </w:t>
      </w:r>
      <w:r>
        <w:rPr>
          <w:color w:val="105C84"/>
          <w:w w:val="105"/>
        </w:rPr>
        <w:t>of</w:t>
      </w:r>
      <w:r>
        <w:rPr>
          <w:color w:val="105C84"/>
          <w:spacing w:val="-5"/>
          <w:w w:val="105"/>
        </w:rPr>
        <w:t> </w:t>
      </w:r>
      <w:r>
        <w:rPr>
          <w:color w:val="105C84"/>
          <w:w w:val="105"/>
        </w:rPr>
        <w:t>the</w:t>
      </w:r>
      <w:r>
        <w:rPr>
          <w:color w:val="105C84"/>
          <w:spacing w:val="-5"/>
          <w:w w:val="105"/>
        </w:rPr>
        <w:t> </w:t>
      </w:r>
      <w:r>
        <w:rPr>
          <w:color w:val="105C84"/>
          <w:w w:val="105"/>
        </w:rPr>
        <w:t>65+</w:t>
      </w:r>
      <w:r>
        <w:rPr>
          <w:color w:val="105C84"/>
          <w:spacing w:val="-5"/>
          <w:w w:val="105"/>
        </w:rPr>
        <w:t> </w:t>
      </w:r>
      <w:r>
        <w:rPr>
          <w:color w:val="105C84"/>
          <w:w w:val="105"/>
        </w:rPr>
        <w:t>population</w:t>
      </w:r>
      <w:r>
        <w:rPr>
          <w:color w:val="105C84"/>
          <w:spacing w:val="-5"/>
          <w:w w:val="105"/>
        </w:rPr>
        <w:t> </w:t>
      </w:r>
      <w:r>
        <w:rPr>
          <w:color w:val="105C84"/>
          <w:w w:val="105"/>
        </w:rPr>
        <w:t>(N=3.504)</w:t>
      </w:r>
      <w:r>
        <w:rPr>
          <w:color w:val="105C84"/>
          <w:spacing w:val="-5"/>
          <w:w w:val="105"/>
        </w:rPr>
        <w:t> </w:t>
      </w:r>
      <w:r>
        <w:rPr>
          <w:color w:val="105C84"/>
          <w:w w:val="105"/>
        </w:rPr>
        <w:t>was</w:t>
      </w:r>
      <w:r>
        <w:rPr>
          <w:color w:val="105C84"/>
          <w:spacing w:val="-5"/>
          <w:w w:val="105"/>
        </w:rPr>
        <w:t> </w:t>
      </w:r>
      <w:r>
        <w:rPr>
          <w:color w:val="105C84"/>
          <w:w w:val="105"/>
        </w:rPr>
        <w:t>living</w:t>
      </w:r>
      <w:r>
        <w:rPr>
          <w:color w:val="105C84"/>
          <w:spacing w:val="-5"/>
          <w:w w:val="105"/>
        </w:rPr>
        <w:t> </w:t>
      </w:r>
      <w:r>
        <w:rPr>
          <w:color w:val="105C84"/>
          <w:w w:val="105"/>
        </w:rPr>
        <w:t>alone.</w:t>
      </w:r>
    </w:p>
    <w:p>
      <w:pPr>
        <w:pStyle w:val="BodyText"/>
        <w:spacing w:line="247" w:lineRule="auto" w:before="161"/>
        <w:ind w:left="1080"/>
      </w:pPr>
      <w:r>
        <w:rPr>
          <w:color w:val="105C84"/>
          <w:w w:val="105"/>
        </w:rPr>
        <w:t>Of</w:t>
      </w:r>
      <w:r>
        <w:rPr>
          <w:color w:val="105C84"/>
          <w:spacing w:val="-11"/>
          <w:w w:val="105"/>
        </w:rPr>
        <w:t> </w:t>
      </w:r>
      <w:r>
        <w:rPr>
          <w:color w:val="105C84"/>
          <w:w w:val="105"/>
        </w:rPr>
        <w:t>note</w:t>
      </w:r>
      <w:r>
        <w:rPr>
          <w:color w:val="105C84"/>
          <w:spacing w:val="-11"/>
          <w:w w:val="105"/>
        </w:rPr>
        <w:t> </w:t>
      </w:r>
      <w:r>
        <w:rPr>
          <w:color w:val="105C84"/>
          <w:w w:val="105"/>
        </w:rPr>
        <w:t>is</w:t>
      </w:r>
      <w:r>
        <w:rPr>
          <w:color w:val="105C84"/>
          <w:spacing w:val="-11"/>
          <w:w w:val="105"/>
        </w:rPr>
        <w:t> </w:t>
      </w:r>
      <w:r>
        <w:rPr>
          <w:color w:val="105C84"/>
          <w:w w:val="105"/>
        </w:rPr>
        <w:t>the</w:t>
      </w:r>
      <w:r>
        <w:rPr>
          <w:color w:val="105C84"/>
          <w:spacing w:val="-11"/>
          <w:w w:val="105"/>
        </w:rPr>
        <w:t> </w:t>
      </w:r>
      <w:r>
        <w:rPr>
          <w:color w:val="105C84"/>
          <w:w w:val="105"/>
        </w:rPr>
        <w:t>density</w:t>
      </w:r>
      <w:r>
        <w:rPr>
          <w:color w:val="105C84"/>
          <w:spacing w:val="-11"/>
          <w:w w:val="105"/>
        </w:rPr>
        <w:t> </w:t>
      </w:r>
      <w:r>
        <w:rPr>
          <w:color w:val="105C84"/>
          <w:w w:val="105"/>
        </w:rPr>
        <w:t>of</w:t>
      </w:r>
      <w:r>
        <w:rPr>
          <w:color w:val="105C84"/>
          <w:spacing w:val="-11"/>
          <w:w w:val="105"/>
        </w:rPr>
        <w:t> </w:t>
      </w:r>
      <w:r>
        <w:rPr>
          <w:color w:val="105C84"/>
          <w:w w:val="105"/>
        </w:rPr>
        <w:t>poverty</w:t>
      </w:r>
      <w:r>
        <w:rPr>
          <w:color w:val="105C84"/>
          <w:spacing w:val="-11"/>
          <w:w w:val="105"/>
        </w:rPr>
        <w:t> </w:t>
      </w:r>
      <w:r>
        <w:rPr>
          <w:color w:val="105C84"/>
          <w:w w:val="105"/>
        </w:rPr>
        <w:t>in</w:t>
      </w:r>
      <w:r>
        <w:rPr>
          <w:color w:val="105C84"/>
          <w:spacing w:val="-11"/>
          <w:w w:val="105"/>
        </w:rPr>
        <w:t> </w:t>
      </w:r>
      <w:r>
        <w:rPr>
          <w:color w:val="105C84"/>
          <w:w w:val="105"/>
        </w:rPr>
        <w:t>the</w:t>
      </w:r>
      <w:r>
        <w:rPr>
          <w:color w:val="105C84"/>
          <w:spacing w:val="-11"/>
          <w:w w:val="105"/>
        </w:rPr>
        <w:t> </w:t>
      </w:r>
      <w:r>
        <w:rPr>
          <w:color w:val="105C84"/>
          <w:w w:val="105"/>
        </w:rPr>
        <w:t>county.</w:t>
      </w:r>
      <w:r>
        <w:rPr>
          <w:color w:val="105C84"/>
          <w:spacing w:val="-11"/>
          <w:w w:val="105"/>
        </w:rPr>
        <w:t> </w:t>
      </w:r>
      <w:r>
        <w:rPr>
          <w:color w:val="105C84"/>
          <w:w w:val="105"/>
        </w:rPr>
        <w:t>Of</w:t>
      </w:r>
      <w:r>
        <w:rPr>
          <w:color w:val="105C84"/>
          <w:spacing w:val="-11"/>
          <w:w w:val="105"/>
        </w:rPr>
        <w:t> </w:t>
      </w:r>
      <w:r>
        <w:rPr>
          <w:color w:val="105C84"/>
          <w:w w:val="105"/>
        </w:rPr>
        <w:t>Wayne</w:t>
      </w:r>
      <w:r>
        <w:rPr>
          <w:color w:val="105C84"/>
          <w:spacing w:val="-11"/>
          <w:w w:val="105"/>
        </w:rPr>
        <w:t> </w:t>
      </w:r>
      <w:r>
        <w:rPr>
          <w:color w:val="105C84"/>
          <w:w w:val="105"/>
        </w:rPr>
        <w:t>County’s</w:t>
      </w:r>
      <w:r>
        <w:rPr>
          <w:color w:val="105C84"/>
          <w:spacing w:val="-11"/>
          <w:w w:val="105"/>
        </w:rPr>
        <w:t> </w:t>
      </w:r>
      <w:r>
        <w:rPr>
          <w:color w:val="105C84"/>
          <w:w w:val="105"/>
        </w:rPr>
        <w:t>residents,</w:t>
      </w:r>
      <w:r>
        <w:rPr>
          <w:color w:val="105C84"/>
          <w:spacing w:val="-11"/>
          <w:w w:val="105"/>
        </w:rPr>
        <w:t> </w:t>
      </w:r>
      <w:r>
        <w:rPr>
          <w:color w:val="105C84"/>
          <w:w w:val="105"/>
        </w:rPr>
        <w:t>11.7%</w:t>
      </w:r>
      <w:r>
        <w:rPr>
          <w:color w:val="105C84"/>
          <w:spacing w:val="-11"/>
          <w:w w:val="105"/>
        </w:rPr>
        <w:t> </w:t>
      </w:r>
      <w:r>
        <w:rPr>
          <w:color w:val="105C84"/>
          <w:w w:val="105"/>
        </w:rPr>
        <w:t>live</w:t>
      </w:r>
      <w:r>
        <w:rPr>
          <w:color w:val="105C84"/>
          <w:spacing w:val="-11"/>
          <w:w w:val="105"/>
        </w:rPr>
        <w:t> </w:t>
      </w:r>
      <w:r>
        <w:rPr>
          <w:color w:val="105C84"/>
          <w:w w:val="105"/>
        </w:rPr>
        <w:t>below</w:t>
      </w:r>
      <w:r>
        <w:rPr>
          <w:color w:val="105C84"/>
          <w:spacing w:val="-11"/>
          <w:w w:val="105"/>
        </w:rPr>
        <w:t> </w:t>
      </w:r>
      <w:r>
        <w:rPr>
          <w:color w:val="105C84"/>
          <w:w w:val="105"/>
        </w:rPr>
        <w:t>the </w:t>
      </w:r>
      <w:r>
        <w:rPr>
          <w:color w:val="105C84"/>
        </w:rPr>
        <w:t>federal</w:t>
      </w:r>
      <w:r>
        <w:rPr>
          <w:color w:val="105C84"/>
          <w:spacing w:val="12"/>
        </w:rPr>
        <w:t> </w:t>
      </w:r>
      <w:r>
        <w:rPr>
          <w:color w:val="105C84"/>
        </w:rPr>
        <w:t>poverty</w:t>
      </w:r>
      <w:r>
        <w:rPr>
          <w:color w:val="105C84"/>
          <w:spacing w:val="12"/>
        </w:rPr>
        <w:t> </w:t>
      </w:r>
      <w:r>
        <w:rPr>
          <w:color w:val="105C84"/>
        </w:rPr>
        <w:t>level,</w:t>
      </w:r>
      <w:r>
        <w:rPr>
          <w:color w:val="105C84"/>
          <w:spacing w:val="12"/>
        </w:rPr>
        <w:t> </w:t>
      </w:r>
      <w:r>
        <w:rPr>
          <w:color w:val="105C84"/>
        </w:rPr>
        <w:t>and</w:t>
      </w:r>
      <w:r>
        <w:rPr>
          <w:color w:val="105C84"/>
          <w:spacing w:val="12"/>
        </w:rPr>
        <w:t> </w:t>
      </w:r>
      <w:r>
        <w:rPr>
          <w:color w:val="105C84"/>
        </w:rPr>
        <w:t>another</w:t>
      </w:r>
      <w:r>
        <w:rPr>
          <w:color w:val="105C84"/>
          <w:spacing w:val="12"/>
        </w:rPr>
        <w:t> </w:t>
      </w:r>
      <w:r>
        <w:rPr>
          <w:color w:val="105C84"/>
        </w:rPr>
        <w:t>17%</w:t>
      </w:r>
      <w:r>
        <w:rPr>
          <w:color w:val="105C84"/>
          <w:spacing w:val="12"/>
        </w:rPr>
        <w:t> </w:t>
      </w:r>
      <w:r>
        <w:rPr>
          <w:color w:val="105C84"/>
        </w:rPr>
        <w:t>live</w:t>
      </w:r>
      <w:r>
        <w:rPr>
          <w:color w:val="105C84"/>
          <w:spacing w:val="12"/>
        </w:rPr>
        <w:t> </w:t>
      </w:r>
      <w:r>
        <w:rPr>
          <w:color w:val="105C84"/>
        </w:rPr>
        <w:t>near</w:t>
      </w:r>
      <w:r>
        <w:rPr>
          <w:color w:val="105C84"/>
          <w:spacing w:val="12"/>
        </w:rPr>
        <w:t> </w:t>
      </w:r>
      <w:r>
        <w:rPr>
          <w:color w:val="105C84"/>
        </w:rPr>
        <w:t>it.</w:t>
      </w:r>
      <w:r>
        <w:rPr>
          <w:color w:val="105C84"/>
          <w:spacing w:val="12"/>
        </w:rPr>
        <w:t> </w:t>
      </w:r>
      <w:r>
        <w:rPr>
          <w:color w:val="105C84"/>
        </w:rPr>
        <w:t>The</w:t>
      </w:r>
      <w:r>
        <w:rPr>
          <w:color w:val="105C84"/>
          <w:spacing w:val="12"/>
        </w:rPr>
        <w:t> </w:t>
      </w:r>
      <w:r>
        <w:rPr>
          <w:color w:val="105C84"/>
        </w:rPr>
        <w:t>distribution</w:t>
      </w:r>
      <w:r>
        <w:rPr>
          <w:color w:val="105C84"/>
          <w:spacing w:val="12"/>
        </w:rPr>
        <w:t> </w:t>
      </w:r>
      <w:r>
        <w:rPr>
          <w:color w:val="105C84"/>
        </w:rPr>
        <w:t>of</w:t>
      </w:r>
      <w:r>
        <w:rPr>
          <w:color w:val="105C84"/>
          <w:spacing w:val="12"/>
        </w:rPr>
        <w:t> </w:t>
      </w:r>
      <w:r>
        <w:rPr>
          <w:color w:val="105C84"/>
        </w:rPr>
        <w:t>poverty</w:t>
      </w:r>
      <w:r>
        <w:rPr>
          <w:color w:val="105C84"/>
          <w:spacing w:val="12"/>
        </w:rPr>
        <w:t> </w:t>
      </w:r>
      <w:r>
        <w:rPr>
          <w:color w:val="105C84"/>
        </w:rPr>
        <w:t>in</w:t>
      </w:r>
      <w:r>
        <w:rPr>
          <w:color w:val="105C84"/>
          <w:spacing w:val="12"/>
        </w:rPr>
        <w:t> </w:t>
      </w:r>
      <w:r>
        <w:rPr>
          <w:color w:val="105C84"/>
        </w:rPr>
        <w:t>the</w:t>
      </w:r>
      <w:r>
        <w:rPr>
          <w:color w:val="105C84"/>
          <w:spacing w:val="12"/>
        </w:rPr>
        <w:t> </w:t>
      </w:r>
      <w:r>
        <w:rPr>
          <w:color w:val="105C84"/>
        </w:rPr>
        <w:t>county</w:t>
      </w:r>
      <w:r>
        <w:rPr>
          <w:color w:val="105C84"/>
          <w:spacing w:val="12"/>
        </w:rPr>
        <w:t> </w:t>
      </w:r>
      <w:r>
        <w:rPr>
          <w:color w:val="105C84"/>
        </w:rPr>
        <w:t>is</w:t>
      </w:r>
      <w:r>
        <w:rPr>
          <w:color w:val="105C84"/>
          <w:spacing w:val="12"/>
        </w:rPr>
        <w:t> </w:t>
      </w:r>
      <w:r>
        <w:rPr>
          <w:color w:val="105C84"/>
        </w:rPr>
        <w:t>shown</w:t>
      </w:r>
    </w:p>
    <w:p>
      <w:pPr>
        <w:spacing w:before="189"/>
        <w:ind w:left="0" w:right="0" w:firstLine="0"/>
        <w:jc w:val="right"/>
        <w:rPr>
          <w:sz w:val="18"/>
        </w:rPr>
      </w:pPr>
      <w:r>
        <w:rPr/>
        <w:br w:type="column"/>
      </w:r>
      <w:r>
        <w:rPr>
          <w:color w:val="636466"/>
          <w:spacing w:val="-5"/>
          <w:sz w:val="18"/>
        </w:rPr>
        <w:t>41%</w:t>
      </w:r>
    </w:p>
    <w:p>
      <w:pPr>
        <w:pStyle w:val="BodyText"/>
        <w:spacing w:before="62"/>
        <w:rPr>
          <w:sz w:val="18"/>
        </w:rPr>
      </w:pPr>
      <w:r>
        <w:rPr/>
        <w:br w:type="column"/>
      </w:r>
      <w:r>
        <w:rPr>
          <w:sz w:val="18"/>
        </w:rPr>
      </w:r>
    </w:p>
    <w:p>
      <w:pPr>
        <w:spacing w:before="0"/>
        <w:ind w:left="513" w:right="0" w:firstLine="0"/>
        <w:jc w:val="left"/>
        <w:rPr>
          <w:sz w:val="18"/>
        </w:rPr>
      </w:pPr>
      <w:r>
        <w:rPr>
          <w:sz w:val="18"/>
        </w:rPr>
        <mc:AlternateContent>
          <mc:Choice Requires="wps">
            <w:drawing>
              <wp:anchor distT="0" distB="0" distL="0" distR="0" allowOverlap="1" layoutInCell="1" locked="0" behindDoc="0" simplePos="0" relativeHeight="15875584">
                <wp:simplePos x="0" y="0"/>
                <wp:positionH relativeFrom="page">
                  <wp:posOffset>8712479</wp:posOffset>
                </wp:positionH>
                <wp:positionV relativeFrom="paragraph">
                  <wp:posOffset>114754</wp:posOffset>
                </wp:positionV>
                <wp:extent cx="5949950" cy="1491615"/>
                <wp:effectExtent l="0" t="0" r="0" b="0"/>
                <wp:wrapNone/>
                <wp:docPr id="1405" name="Group 1405"/>
                <wp:cNvGraphicFramePr>
                  <a:graphicFrameLocks/>
                </wp:cNvGraphicFramePr>
                <a:graphic>
                  <a:graphicData uri="http://schemas.microsoft.com/office/word/2010/wordprocessingGroup">
                    <wpg:wgp>
                      <wpg:cNvPr id="1405" name="Group 1405"/>
                      <wpg:cNvGrpSpPr/>
                      <wpg:grpSpPr>
                        <a:xfrm>
                          <a:off x="0" y="0"/>
                          <a:ext cx="5949950" cy="1491615"/>
                          <a:chExt cx="5949950" cy="1491615"/>
                        </a:xfrm>
                      </wpg:grpSpPr>
                      <pic:pic>
                        <pic:nvPicPr>
                          <pic:cNvPr id="1406" name="Image 1406"/>
                          <pic:cNvPicPr/>
                        </pic:nvPicPr>
                        <pic:blipFill>
                          <a:blip r:embed="rId199" cstate="print"/>
                          <a:stretch>
                            <a:fillRect/>
                          </a:stretch>
                        </pic:blipFill>
                        <pic:spPr>
                          <a:xfrm>
                            <a:off x="406336" y="30859"/>
                            <a:ext cx="444512" cy="198907"/>
                          </a:xfrm>
                          <a:prstGeom prst="rect">
                            <a:avLst/>
                          </a:prstGeom>
                        </pic:spPr>
                      </pic:pic>
                      <pic:pic>
                        <pic:nvPicPr>
                          <pic:cNvPr id="1407" name="Image 1407"/>
                          <pic:cNvPicPr/>
                        </pic:nvPicPr>
                        <pic:blipFill>
                          <a:blip r:embed="rId200" cstate="print"/>
                          <a:stretch>
                            <a:fillRect/>
                          </a:stretch>
                        </pic:blipFill>
                        <pic:spPr>
                          <a:xfrm>
                            <a:off x="406336" y="128179"/>
                            <a:ext cx="444512" cy="203263"/>
                          </a:xfrm>
                          <a:prstGeom prst="rect">
                            <a:avLst/>
                          </a:prstGeom>
                        </pic:spPr>
                      </pic:pic>
                      <pic:pic>
                        <pic:nvPicPr>
                          <pic:cNvPr id="1408" name="Image 1408"/>
                          <pic:cNvPicPr/>
                        </pic:nvPicPr>
                        <pic:blipFill>
                          <a:blip r:embed="rId61" cstate="print"/>
                          <a:stretch>
                            <a:fillRect/>
                          </a:stretch>
                        </pic:blipFill>
                        <pic:spPr>
                          <a:xfrm>
                            <a:off x="2387549" y="195959"/>
                            <a:ext cx="444461" cy="33832"/>
                          </a:xfrm>
                          <a:prstGeom prst="rect">
                            <a:avLst/>
                          </a:prstGeom>
                        </pic:spPr>
                      </pic:pic>
                      <pic:pic>
                        <pic:nvPicPr>
                          <pic:cNvPr id="1409" name="Image 1409"/>
                          <pic:cNvPicPr/>
                        </pic:nvPicPr>
                        <pic:blipFill>
                          <a:blip r:embed="rId201" cstate="print"/>
                          <a:stretch>
                            <a:fillRect/>
                          </a:stretch>
                        </pic:blipFill>
                        <pic:spPr>
                          <a:xfrm>
                            <a:off x="406336" y="229767"/>
                            <a:ext cx="444512" cy="203250"/>
                          </a:xfrm>
                          <a:prstGeom prst="rect">
                            <a:avLst/>
                          </a:prstGeom>
                        </pic:spPr>
                      </pic:pic>
                      <pic:pic>
                        <pic:nvPicPr>
                          <pic:cNvPr id="1410" name="Image 1410"/>
                          <pic:cNvPicPr/>
                        </pic:nvPicPr>
                        <pic:blipFill>
                          <a:blip r:embed="rId65" cstate="print"/>
                          <a:stretch>
                            <a:fillRect/>
                          </a:stretch>
                        </pic:blipFill>
                        <pic:spPr>
                          <a:xfrm>
                            <a:off x="2387549" y="229767"/>
                            <a:ext cx="444461" cy="101676"/>
                          </a:xfrm>
                          <a:prstGeom prst="rect">
                            <a:avLst/>
                          </a:prstGeom>
                        </pic:spPr>
                      </pic:pic>
                      <pic:pic>
                        <pic:nvPicPr>
                          <pic:cNvPr id="1411" name="Image 1411"/>
                          <pic:cNvPicPr/>
                        </pic:nvPicPr>
                        <pic:blipFill>
                          <a:blip r:embed="rId202" cstate="print"/>
                          <a:stretch>
                            <a:fillRect/>
                          </a:stretch>
                        </pic:blipFill>
                        <pic:spPr>
                          <a:xfrm>
                            <a:off x="406336" y="331405"/>
                            <a:ext cx="444512" cy="203200"/>
                          </a:xfrm>
                          <a:prstGeom prst="rect">
                            <a:avLst/>
                          </a:prstGeom>
                        </pic:spPr>
                      </pic:pic>
                      <pic:pic>
                        <pic:nvPicPr>
                          <pic:cNvPr id="1412" name="Image 1412"/>
                          <pic:cNvPicPr/>
                        </pic:nvPicPr>
                        <pic:blipFill>
                          <a:blip r:embed="rId65" cstate="print"/>
                          <a:stretch>
                            <a:fillRect/>
                          </a:stretch>
                        </pic:blipFill>
                        <pic:spPr>
                          <a:xfrm>
                            <a:off x="2387549" y="331430"/>
                            <a:ext cx="444461" cy="101587"/>
                          </a:xfrm>
                          <a:prstGeom prst="rect">
                            <a:avLst/>
                          </a:prstGeom>
                        </pic:spPr>
                      </pic:pic>
                      <pic:pic>
                        <pic:nvPicPr>
                          <pic:cNvPr id="1413" name="Image 1413"/>
                          <pic:cNvPicPr/>
                        </pic:nvPicPr>
                        <pic:blipFill>
                          <a:blip r:embed="rId66" cstate="print"/>
                          <a:stretch>
                            <a:fillRect/>
                          </a:stretch>
                        </pic:blipFill>
                        <pic:spPr>
                          <a:xfrm>
                            <a:off x="406336" y="433017"/>
                            <a:ext cx="444512" cy="203161"/>
                          </a:xfrm>
                          <a:prstGeom prst="rect">
                            <a:avLst/>
                          </a:prstGeom>
                        </pic:spPr>
                      </pic:pic>
                      <pic:pic>
                        <pic:nvPicPr>
                          <pic:cNvPr id="1414" name="Image 1414"/>
                          <pic:cNvPicPr/>
                        </pic:nvPicPr>
                        <pic:blipFill>
                          <a:blip r:embed="rId65" cstate="print"/>
                          <a:stretch>
                            <a:fillRect/>
                          </a:stretch>
                        </pic:blipFill>
                        <pic:spPr>
                          <a:xfrm>
                            <a:off x="2387549" y="433017"/>
                            <a:ext cx="444461" cy="101587"/>
                          </a:xfrm>
                          <a:prstGeom prst="rect">
                            <a:avLst/>
                          </a:prstGeom>
                        </pic:spPr>
                      </pic:pic>
                      <pic:pic>
                        <pic:nvPicPr>
                          <pic:cNvPr id="1415" name="Image 1415"/>
                          <pic:cNvPicPr/>
                        </pic:nvPicPr>
                        <pic:blipFill>
                          <a:blip r:embed="rId66" cstate="print"/>
                          <a:stretch>
                            <a:fillRect/>
                          </a:stretch>
                        </pic:blipFill>
                        <pic:spPr>
                          <a:xfrm>
                            <a:off x="406336" y="534592"/>
                            <a:ext cx="444512" cy="203174"/>
                          </a:xfrm>
                          <a:prstGeom prst="rect">
                            <a:avLst/>
                          </a:prstGeom>
                        </pic:spPr>
                      </pic:pic>
                      <pic:pic>
                        <pic:nvPicPr>
                          <pic:cNvPr id="1416" name="Image 1416"/>
                          <pic:cNvPicPr/>
                        </pic:nvPicPr>
                        <pic:blipFill>
                          <a:blip r:embed="rId65" cstate="print"/>
                          <a:stretch>
                            <a:fillRect/>
                          </a:stretch>
                        </pic:blipFill>
                        <pic:spPr>
                          <a:xfrm>
                            <a:off x="2387549" y="534592"/>
                            <a:ext cx="444461" cy="101587"/>
                          </a:xfrm>
                          <a:prstGeom prst="rect">
                            <a:avLst/>
                          </a:prstGeom>
                        </pic:spPr>
                      </pic:pic>
                      <pic:pic>
                        <pic:nvPicPr>
                          <pic:cNvPr id="1417" name="Image 1417"/>
                          <pic:cNvPicPr/>
                        </pic:nvPicPr>
                        <pic:blipFill>
                          <a:blip r:embed="rId67" cstate="print"/>
                          <a:stretch>
                            <a:fillRect/>
                          </a:stretch>
                        </pic:blipFill>
                        <pic:spPr>
                          <a:xfrm>
                            <a:off x="406336" y="636179"/>
                            <a:ext cx="444512" cy="203263"/>
                          </a:xfrm>
                          <a:prstGeom prst="rect">
                            <a:avLst/>
                          </a:prstGeom>
                        </pic:spPr>
                      </pic:pic>
                      <pic:pic>
                        <pic:nvPicPr>
                          <pic:cNvPr id="1418" name="Image 1418"/>
                          <pic:cNvPicPr/>
                        </pic:nvPicPr>
                        <pic:blipFill>
                          <a:blip r:embed="rId65" cstate="print"/>
                          <a:stretch>
                            <a:fillRect/>
                          </a:stretch>
                        </pic:blipFill>
                        <pic:spPr>
                          <a:xfrm>
                            <a:off x="2387549" y="636179"/>
                            <a:ext cx="444461" cy="101587"/>
                          </a:xfrm>
                          <a:prstGeom prst="rect">
                            <a:avLst/>
                          </a:prstGeom>
                        </pic:spPr>
                      </pic:pic>
                      <pic:pic>
                        <pic:nvPicPr>
                          <pic:cNvPr id="1419" name="Image 1419"/>
                          <pic:cNvPicPr/>
                        </pic:nvPicPr>
                        <pic:blipFill>
                          <a:blip r:embed="rId165" cstate="print"/>
                          <a:stretch>
                            <a:fillRect/>
                          </a:stretch>
                        </pic:blipFill>
                        <pic:spPr>
                          <a:xfrm>
                            <a:off x="4368723" y="665796"/>
                            <a:ext cx="444550" cy="173647"/>
                          </a:xfrm>
                          <a:prstGeom prst="rect">
                            <a:avLst/>
                          </a:prstGeom>
                        </pic:spPr>
                      </pic:pic>
                      <pic:pic>
                        <pic:nvPicPr>
                          <pic:cNvPr id="1420" name="Image 1420"/>
                          <pic:cNvPicPr/>
                        </pic:nvPicPr>
                        <pic:blipFill>
                          <a:blip r:embed="rId166" cstate="print"/>
                          <a:stretch>
                            <a:fillRect/>
                          </a:stretch>
                        </pic:blipFill>
                        <pic:spPr>
                          <a:xfrm>
                            <a:off x="406336" y="737767"/>
                            <a:ext cx="444512" cy="203263"/>
                          </a:xfrm>
                          <a:prstGeom prst="rect">
                            <a:avLst/>
                          </a:prstGeom>
                        </pic:spPr>
                      </pic:pic>
                      <pic:pic>
                        <pic:nvPicPr>
                          <pic:cNvPr id="1421" name="Image 1421"/>
                          <pic:cNvPicPr/>
                        </pic:nvPicPr>
                        <pic:blipFill>
                          <a:blip r:embed="rId65" cstate="print"/>
                          <a:stretch>
                            <a:fillRect/>
                          </a:stretch>
                        </pic:blipFill>
                        <pic:spPr>
                          <a:xfrm>
                            <a:off x="2387549" y="737767"/>
                            <a:ext cx="444461" cy="101676"/>
                          </a:xfrm>
                          <a:prstGeom prst="rect">
                            <a:avLst/>
                          </a:prstGeom>
                        </pic:spPr>
                      </pic:pic>
                      <pic:pic>
                        <pic:nvPicPr>
                          <pic:cNvPr id="1422" name="Image 1422"/>
                          <pic:cNvPicPr/>
                        </pic:nvPicPr>
                        <pic:blipFill>
                          <a:blip r:embed="rId70" cstate="print"/>
                          <a:stretch>
                            <a:fillRect/>
                          </a:stretch>
                        </pic:blipFill>
                        <pic:spPr>
                          <a:xfrm>
                            <a:off x="4368723" y="737767"/>
                            <a:ext cx="444461" cy="203263"/>
                          </a:xfrm>
                          <a:prstGeom prst="rect">
                            <a:avLst/>
                          </a:prstGeom>
                        </pic:spPr>
                      </pic:pic>
                      <pic:pic>
                        <pic:nvPicPr>
                          <pic:cNvPr id="1423" name="Image 1423"/>
                          <pic:cNvPicPr/>
                        </pic:nvPicPr>
                        <pic:blipFill>
                          <a:blip r:embed="rId203" cstate="print"/>
                          <a:stretch>
                            <a:fillRect/>
                          </a:stretch>
                        </pic:blipFill>
                        <pic:spPr>
                          <a:xfrm>
                            <a:off x="406336" y="839405"/>
                            <a:ext cx="444512" cy="203200"/>
                          </a:xfrm>
                          <a:prstGeom prst="rect">
                            <a:avLst/>
                          </a:prstGeom>
                        </pic:spPr>
                      </pic:pic>
                      <pic:pic>
                        <pic:nvPicPr>
                          <pic:cNvPr id="1424" name="Image 1424"/>
                          <pic:cNvPicPr/>
                        </pic:nvPicPr>
                        <pic:blipFill>
                          <a:blip r:embed="rId65" cstate="print"/>
                          <a:stretch>
                            <a:fillRect/>
                          </a:stretch>
                        </pic:blipFill>
                        <pic:spPr>
                          <a:xfrm>
                            <a:off x="2387549" y="839443"/>
                            <a:ext cx="444461" cy="101587"/>
                          </a:xfrm>
                          <a:prstGeom prst="rect">
                            <a:avLst/>
                          </a:prstGeom>
                        </pic:spPr>
                      </pic:pic>
                      <pic:pic>
                        <pic:nvPicPr>
                          <pic:cNvPr id="1425" name="Image 1425"/>
                          <pic:cNvPicPr/>
                        </pic:nvPicPr>
                        <pic:blipFill>
                          <a:blip r:embed="rId66" cstate="print"/>
                          <a:stretch>
                            <a:fillRect/>
                          </a:stretch>
                        </pic:blipFill>
                        <pic:spPr>
                          <a:xfrm>
                            <a:off x="4368723" y="839443"/>
                            <a:ext cx="444461" cy="203161"/>
                          </a:xfrm>
                          <a:prstGeom prst="rect">
                            <a:avLst/>
                          </a:prstGeom>
                        </pic:spPr>
                      </pic:pic>
                      <pic:pic>
                        <pic:nvPicPr>
                          <pic:cNvPr id="1426" name="Image 1426"/>
                          <pic:cNvPicPr/>
                        </pic:nvPicPr>
                        <pic:blipFill>
                          <a:blip r:embed="rId66" cstate="print"/>
                          <a:stretch>
                            <a:fillRect/>
                          </a:stretch>
                        </pic:blipFill>
                        <pic:spPr>
                          <a:xfrm>
                            <a:off x="406336" y="941017"/>
                            <a:ext cx="444512" cy="203174"/>
                          </a:xfrm>
                          <a:prstGeom prst="rect">
                            <a:avLst/>
                          </a:prstGeom>
                        </pic:spPr>
                      </pic:pic>
                      <pic:pic>
                        <pic:nvPicPr>
                          <pic:cNvPr id="1427" name="Image 1427"/>
                          <pic:cNvPicPr/>
                        </pic:nvPicPr>
                        <pic:blipFill>
                          <a:blip r:embed="rId65" cstate="print"/>
                          <a:stretch>
                            <a:fillRect/>
                          </a:stretch>
                        </pic:blipFill>
                        <pic:spPr>
                          <a:xfrm>
                            <a:off x="2387549" y="941017"/>
                            <a:ext cx="444461" cy="101587"/>
                          </a:xfrm>
                          <a:prstGeom prst="rect">
                            <a:avLst/>
                          </a:prstGeom>
                        </pic:spPr>
                      </pic:pic>
                      <pic:pic>
                        <pic:nvPicPr>
                          <pic:cNvPr id="1428" name="Image 1428"/>
                          <pic:cNvPicPr/>
                        </pic:nvPicPr>
                        <pic:blipFill>
                          <a:blip r:embed="rId66" cstate="print"/>
                          <a:stretch>
                            <a:fillRect/>
                          </a:stretch>
                        </pic:blipFill>
                        <pic:spPr>
                          <a:xfrm>
                            <a:off x="4368723" y="941017"/>
                            <a:ext cx="444461" cy="203174"/>
                          </a:xfrm>
                          <a:prstGeom prst="rect">
                            <a:avLst/>
                          </a:prstGeom>
                        </pic:spPr>
                      </pic:pic>
                      <pic:pic>
                        <pic:nvPicPr>
                          <pic:cNvPr id="1429" name="Image 1429"/>
                          <pic:cNvPicPr/>
                        </pic:nvPicPr>
                        <pic:blipFill>
                          <a:blip r:embed="rId66" cstate="print"/>
                          <a:stretch>
                            <a:fillRect/>
                          </a:stretch>
                        </pic:blipFill>
                        <pic:spPr>
                          <a:xfrm>
                            <a:off x="406336" y="1042605"/>
                            <a:ext cx="444512" cy="203174"/>
                          </a:xfrm>
                          <a:prstGeom prst="rect">
                            <a:avLst/>
                          </a:prstGeom>
                        </pic:spPr>
                      </pic:pic>
                      <pic:pic>
                        <pic:nvPicPr>
                          <pic:cNvPr id="1430" name="Image 1430"/>
                          <pic:cNvPicPr/>
                        </pic:nvPicPr>
                        <pic:blipFill>
                          <a:blip r:embed="rId65" cstate="print"/>
                          <a:stretch>
                            <a:fillRect/>
                          </a:stretch>
                        </pic:blipFill>
                        <pic:spPr>
                          <a:xfrm>
                            <a:off x="2387549" y="1042605"/>
                            <a:ext cx="444461" cy="101587"/>
                          </a:xfrm>
                          <a:prstGeom prst="rect">
                            <a:avLst/>
                          </a:prstGeom>
                        </pic:spPr>
                      </pic:pic>
                      <pic:pic>
                        <pic:nvPicPr>
                          <pic:cNvPr id="1431" name="Image 1431"/>
                          <pic:cNvPicPr/>
                        </pic:nvPicPr>
                        <pic:blipFill>
                          <a:blip r:embed="rId66" cstate="print"/>
                          <a:stretch>
                            <a:fillRect/>
                          </a:stretch>
                        </pic:blipFill>
                        <pic:spPr>
                          <a:xfrm>
                            <a:off x="4368723" y="1042605"/>
                            <a:ext cx="444461" cy="203174"/>
                          </a:xfrm>
                          <a:prstGeom prst="rect">
                            <a:avLst/>
                          </a:prstGeom>
                        </pic:spPr>
                      </pic:pic>
                      <pic:pic>
                        <pic:nvPicPr>
                          <pic:cNvPr id="1432" name="Image 1432"/>
                          <pic:cNvPicPr/>
                        </pic:nvPicPr>
                        <pic:blipFill>
                          <a:blip r:embed="rId204" cstate="print"/>
                          <a:stretch>
                            <a:fillRect/>
                          </a:stretch>
                        </pic:blipFill>
                        <pic:spPr>
                          <a:xfrm>
                            <a:off x="406336" y="1144179"/>
                            <a:ext cx="444512" cy="203174"/>
                          </a:xfrm>
                          <a:prstGeom prst="rect">
                            <a:avLst/>
                          </a:prstGeom>
                        </pic:spPr>
                      </pic:pic>
                      <pic:pic>
                        <pic:nvPicPr>
                          <pic:cNvPr id="1433" name="Image 1433"/>
                          <pic:cNvPicPr/>
                        </pic:nvPicPr>
                        <pic:blipFill>
                          <a:blip r:embed="rId65" cstate="print"/>
                          <a:stretch>
                            <a:fillRect/>
                          </a:stretch>
                        </pic:blipFill>
                        <pic:spPr>
                          <a:xfrm>
                            <a:off x="2387549" y="1144179"/>
                            <a:ext cx="444461" cy="101600"/>
                          </a:xfrm>
                          <a:prstGeom prst="rect">
                            <a:avLst/>
                          </a:prstGeom>
                        </pic:spPr>
                      </pic:pic>
                      <pic:pic>
                        <pic:nvPicPr>
                          <pic:cNvPr id="1434" name="Image 1434"/>
                          <pic:cNvPicPr/>
                        </pic:nvPicPr>
                        <pic:blipFill>
                          <a:blip r:embed="rId66" cstate="print"/>
                          <a:stretch>
                            <a:fillRect/>
                          </a:stretch>
                        </pic:blipFill>
                        <pic:spPr>
                          <a:xfrm>
                            <a:off x="4368723" y="1144179"/>
                            <a:ext cx="444461" cy="203174"/>
                          </a:xfrm>
                          <a:prstGeom prst="rect">
                            <a:avLst/>
                          </a:prstGeom>
                        </pic:spPr>
                      </pic:pic>
                      <pic:pic>
                        <pic:nvPicPr>
                          <pic:cNvPr id="1435" name="Image 1435"/>
                          <pic:cNvPicPr/>
                        </pic:nvPicPr>
                        <pic:blipFill>
                          <a:blip r:embed="rId205" cstate="print"/>
                          <a:stretch>
                            <a:fillRect/>
                          </a:stretch>
                        </pic:blipFill>
                        <pic:spPr>
                          <a:xfrm>
                            <a:off x="406336" y="1245767"/>
                            <a:ext cx="444512" cy="203263"/>
                          </a:xfrm>
                          <a:prstGeom prst="rect">
                            <a:avLst/>
                          </a:prstGeom>
                        </pic:spPr>
                      </pic:pic>
                      <pic:pic>
                        <pic:nvPicPr>
                          <pic:cNvPr id="1436" name="Image 1436"/>
                          <pic:cNvPicPr/>
                        </pic:nvPicPr>
                        <pic:blipFill>
                          <a:blip r:embed="rId65" cstate="print"/>
                          <a:stretch>
                            <a:fillRect/>
                          </a:stretch>
                        </pic:blipFill>
                        <pic:spPr>
                          <a:xfrm>
                            <a:off x="2387549" y="1245767"/>
                            <a:ext cx="444461" cy="101688"/>
                          </a:xfrm>
                          <a:prstGeom prst="rect">
                            <a:avLst/>
                          </a:prstGeom>
                        </pic:spPr>
                      </pic:pic>
                      <pic:pic>
                        <pic:nvPicPr>
                          <pic:cNvPr id="1437" name="Image 1437"/>
                          <pic:cNvPicPr/>
                        </pic:nvPicPr>
                        <pic:blipFill>
                          <a:blip r:embed="rId206" cstate="print"/>
                          <a:stretch>
                            <a:fillRect/>
                          </a:stretch>
                        </pic:blipFill>
                        <pic:spPr>
                          <a:xfrm>
                            <a:off x="4368723" y="1245767"/>
                            <a:ext cx="444461" cy="203263"/>
                          </a:xfrm>
                          <a:prstGeom prst="rect">
                            <a:avLst/>
                          </a:prstGeom>
                        </pic:spPr>
                      </pic:pic>
                      <pic:pic>
                        <pic:nvPicPr>
                          <pic:cNvPr id="1438" name="Image 1438"/>
                          <pic:cNvPicPr/>
                        </pic:nvPicPr>
                        <pic:blipFill>
                          <a:blip r:embed="rId207" cstate="print"/>
                          <a:stretch>
                            <a:fillRect/>
                          </a:stretch>
                        </pic:blipFill>
                        <pic:spPr>
                          <a:xfrm>
                            <a:off x="406336" y="1347443"/>
                            <a:ext cx="444512" cy="143903"/>
                          </a:xfrm>
                          <a:prstGeom prst="rect">
                            <a:avLst/>
                          </a:prstGeom>
                        </pic:spPr>
                      </pic:pic>
                      <pic:pic>
                        <pic:nvPicPr>
                          <pic:cNvPr id="1439" name="Image 1439"/>
                          <pic:cNvPicPr/>
                        </pic:nvPicPr>
                        <pic:blipFill>
                          <a:blip r:embed="rId208" cstate="print"/>
                          <a:stretch>
                            <a:fillRect/>
                          </a:stretch>
                        </pic:blipFill>
                        <pic:spPr>
                          <a:xfrm>
                            <a:off x="2387549" y="1347443"/>
                            <a:ext cx="444461" cy="143903"/>
                          </a:xfrm>
                          <a:prstGeom prst="rect">
                            <a:avLst/>
                          </a:prstGeom>
                        </pic:spPr>
                      </pic:pic>
                      <pic:pic>
                        <pic:nvPicPr>
                          <pic:cNvPr id="1440" name="Image 1440"/>
                          <pic:cNvPicPr/>
                        </pic:nvPicPr>
                        <pic:blipFill>
                          <a:blip r:embed="rId207" cstate="print"/>
                          <a:stretch>
                            <a:fillRect/>
                          </a:stretch>
                        </pic:blipFill>
                        <pic:spPr>
                          <a:xfrm>
                            <a:off x="4368736" y="1347443"/>
                            <a:ext cx="444449" cy="143903"/>
                          </a:xfrm>
                          <a:prstGeom prst="rect">
                            <a:avLst/>
                          </a:prstGeom>
                        </pic:spPr>
                      </pic:pic>
                      <wps:wsp>
                        <wps:cNvPr id="1441" name="Graphic 1441"/>
                        <wps:cNvSpPr/>
                        <wps:spPr>
                          <a:xfrm>
                            <a:off x="965124" y="81633"/>
                            <a:ext cx="4407535" cy="1409700"/>
                          </a:xfrm>
                          <a:custGeom>
                            <a:avLst/>
                            <a:gdLst/>
                            <a:ahLst/>
                            <a:cxnLst/>
                            <a:rect l="l" t="t" r="r" b="b"/>
                            <a:pathLst>
                              <a:path w="4407535" h="1409700">
                                <a:moveTo>
                                  <a:pt x="444500" y="0"/>
                                </a:moveTo>
                                <a:lnTo>
                                  <a:pt x="0" y="0"/>
                                </a:lnTo>
                                <a:lnTo>
                                  <a:pt x="0" y="1409700"/>
                                </a:lnTo>
                                <a:lnTo>
                                  <a:pt x="444500" y="1409700"/>
                                </a:lnTo>
                                <a:lnTo>
                                  <a:pt x="444500" y="0"/>
                                </a:lnTo>
                                <a:close/>
                              </a:path>
                              <a:path w="4407535" h="1409700">
                                <a:moveTo>
                                  <a:pt x="2425712" y="101600"/>
                                </a:moveTo>
                                <a:lnTo>
                                  <a:pt x="1981212" y="101600"/>
                                </a:lnTo>
                                <a:lnTo>
                                  <a:pt x="1981212" y="1409700"/>
                                </a:lnTo>
                                <a:lnTo>
                                  <a:pt x="2425712" y="1409700"/>
                                </a:lnTo>
                                <a:lnTo>
                                  <a:pt x="2425712" y="101600"/>
                                </a:lnTo>
                                <a:close/>
                              </a:path>
                              <a:path w="4407535" h="1409700">
                                <a:moveTo>
                                  <a:pt x="4406912" y="533400"/>
                                </a:moveTo>
                                <a:lnTo>
                                  <a:pt x="3962412" y="533400"/>
                                </a:lnTo>
                                <a:lnTo>
                                  <a:pt x="3962412" y="1409700"/>
                                </a:lnTo>
                                <a:lnTo>
                                  <a:pt x="4406912" y="1409700"/>
                                </a:lnTo>
                                <a:lnTo>
                                  <a:pt x="4406912" y="533400"/>
                                </a:lnTo>
                                <a:close/>
                              </a:path>
                            </a:pathLst>
                          </a:custGeom>
                          <a:solidFill>
                            <a:srgbClr val="0F5D86"/>
                          </a:solidFill>
                        </wps:spPr>
                        <wps:bodyPr wrap="square" lIns="0" tIns="0" rIns="0" bIns="0" rtlCol="0">
                          <a:prstTxWarp prst="textNoShape">
                            <a:avLst/>
                          </a:prstTxWarp>
                          <a:noAutofit/>
                        </wps:bodyPr>
                      </wps:wsp>
                      <wps:wsp>
                        <wps:cNvPr id="1442" name="Graphic 1442"/>
                        <wps:cNvSpPr/>
                        <wps:spPr>
                          <a:xfrm>
                            <a:off x="0" y="37310"/>
                            <a:ext cx="5949950" cy="1454150"/>
                          </a:xfrm>
                          <a:custGeom>
                            <a:avLst/>
                            <a:gdLst/>
                            <a:ahLst/>
                            <a:cxnLst/>
                            <a:rect l="l" t="t" r="r" b="b"/>
                            <a:pathLst>
                              <a:path w="5949950" h="1454150">
                                <a:moveTo>
                                  <a:pt x="12700" y="0"/>
                                </a:moveTo>
                                <a:lnTo>
                                  <a:pt x="0" y="0"/>
                                </a:lnTo>
                                <a:lnTo>
                                  <a:pt x="0" y="1449336"/>
                                </a:lnTo>
                                <a:lnTo>
                                  <a:pt x="685" y="1450975"/>
                                </a:lnTo>
                                <a:lnTo>
                                  <a:pt x="3048" y="1453337"/>
                                </a:lnTo>
                                <a:lnTo>
                                  <a:pt x="4686" y="1454023"/>
                                </a:lnTo>
                                <a:lnTo>
                                  <a:pt x="5949950" y="1454023"/>
                                </a:lnTo>
                                <a:lnTo>
                                  <a:pt x="5949950" y="1441323"/>
                                </a:lnTo>
                                <a:lnTo>
                                  <a:pt x="12700" y="1441323"/>
                                </a:lnTo>
                                <a:lnTo>
                                  <a:pt x="12700" y="0"/>
                                </a:lnTo>
                                <a:close/>
                              </a:path>
                            </a:pathLst>
                          </a:custGeom>
                          <a:solidFill>
                            <a:srgbClr val="BCBEC0"/>
                          </a:solidFill>
                        </wps:spPr>
                        <wps:bodyPr wrap="square" lIns="0" tIns="0" rIns="0" bIns="0" rtlCol="0">
                          <a:prstTxWarp prst="textNoShape">
                            <a:avLst/>
                          </a:prstTxWarp>
                          <a:noAutofit/>
                        </wps:bodyPr>
                      </wps:wsp>
                      <wps:wsp>
                        <wps:cNvPr id="1443" name="Textbox 1443"/>
                        <wps:cNvSpPr txBox="1"/>
                        <wps:spPr>
                          <a:xfrm>
                            <a:off x="2473914" y="0"/>
                            <a:ext cx="224790" cy="135890"/>
                          </a:xfrm>
                          <a:prstGeom prst="rect">
                            <a:avLst/>
                          </a:prstGeom>
                        </wps:spPr>
                        <wps:txbx>
                          <w:txbxContent>
                            <w:p>
                              <w:pPr>
                                <w:spacing w:line="207" w:lineRule="exact" w:before="0"/>
                                <w:ind w:left="0" w:right="0" w:firstLine="0"/>
                                <w:jc w:val="left"/>
                                <w:rPr>
                                  <w:sz w:val="18"/>
                                </w:rPr>
                              </w:pPr>
                              <w:r>
                                <w:rPr>
                                  <w:color w:val="636466"/>
                                  <w:spacing w:val="-7"/>
                                  <w:sz w:val="18"/>
                                </w:rPr>
                                <w:t>36%</w:t>
                              </w:r>
                            </w:p>
                          </w:txbxContent>
                        </wps:txbx>
                        <wps:bodyPr wrap="square" lIns="0" tIns="0" rIns="0" bIns="0" rtlCol="0">
                          <a:noAutofit/>
                        </wps:bodyPr>
                      </wps:wsp>
                      <wps:wsp>
                        <wps:cNvPr id="1444" name="Textbox 1444"/>
                        <wps:cNvSpPr txBox="1"/>
                        <wps:spPr>
                          <a:xfrm>
                            <a:off x="3037641" y="0"/>
                            <a:ext cx="224790" cy="135890"/>
                          </a:xfrm>
                          <a:prstGeom prst="rect">
                            <a:avLst/>
                          </a:prstGeom>
                        </wps:spPr>
                        <wps:txbx>
                          <w:txbxContent>
                            <w:p>
                              <w:pPr>
                                <w:spacing w:line="207" w:lineRule="exact" w:before="0"/>
                                <w:ind w:left="0" w:right="0" w:firstLine="0"/>
                                <w:jc w:val="left"/>
                                <w:rPr>
                                  <w:sz w:val="18"/>
                                </w:rPr>
                              </w:pPr>
                              <w:r>
                                <w:rPr>
                                  <w:color w:val="636466"/>
                                  <w:spacing w:val="-7"/>
                                  <w:sz w:val="18"/>
                                </w:rPr>
                                <w:t>36%</w:t>
                              </w:r>
                            </w:p>
                          </w:txbxContent>
                        </wps:txbx>
                        <wps:bodyPr wrap="square" lIns="0" tIns="0" rIns="0" bIns="0" rtlCol="0">
                          <a:noAutofit/>
                        </wps:bodyPr>
                      </wps:wsp>
                      <wps:wsp>
                        <wps:cNvPr id="1445" name="Textbox 1445"/>
                        <wps:cNvSpPr txBox="1"/>
                        <wps:spPr>
                          <a:xfrm>
                            <a:off x="4453704" y="469887"/>
                            <a:ext cx="224790" cy="135890"/>
                          </a:xfrm>
                          <a:prstGeom prst="rect">
                            <a:avLst/>
                          </a:prstGeom>
                        </wps:spPr>
                        <wps:txbx>
                          <w:txbxContent>
                            <w:p>
                              <w:pPr>
                                <w:spacing w:line="207" w:lineRule="exact" w:before="0"/>
                                <w:ind w:left="0" w:right="0" w:firstLine="0"/>
                                <w:jc w:val="left"/>
                                <w:rPr>
                                  <w:sz w:val="18"/>
                                </w:rPr>
                              </w:pPr>
                              <w:r>
                                <w:rPr>
                                  <w:color w:val="636466"/>
                                  <w:spacing w:val="-7"/>
                                  <w:sz w:val="18"/>
                                </w:rPr>
                                <w:t>23%</w:t>
                              </w:r>
                            </w:p>
                          </w:txbxContent>
                        </wps:txbx>
                        <wps:bodyPr wrap="square" lIns="0" tIns="0" rIns="0" bIns="0" rtlCol="0">
                          <a:noAutofit/>
                        </wps:bodyPr>
                      </wps:wsp>
                      <wps:wsp>
                        <wps:cNvPr id="1446" name="Textbox 1446"/>
                        <wps:cNvSpPr txBox="1"/>
                        <wps:spPr>
                          <a:xfrm>
                            <a:off x="5017432" y="431825"/>
                            <a:ext cx="224790" cy="135890"/>
                          </a:xfrm>
                          <a:prstGeom prst="rect">
                            <a:avLst/>
                          </a:prstGeom>
                        </wps:spPr>
                        <wps:txbx>
                          <w:txbxContent>
                            <w:p>
                              <w:pPr>
                                <w:spacing w:line="207" w:lineRule="exact" w:before="0"/>
                                <w:ind w:left="0" w:right="0" w:firstLine="0"/>
                                <w:jc w:val="left"/>
                                <w:rPr>
                                  <w:sz w:val="18"/>
                                </w:rPr>
                              </w:pPr>
                              <w:r>
                                <w:rPr>
                                  <w:color w:val="636466"/>
                                  <w:spacing w:val="-7"/>
                                  <w:sz w:val="18"/>
                                </w:rPr>
                                <w:t>24%</w:t>
                              </w:r>
                            </w:p>
                          </w:txbxContent>
                        </wps:txbx>
                        <wps:bodyPr wrap="square" lIns="0" tIns="0" rIns="0" bIns="0" rtlCol="0">
                          <a:noAutofit/>
                        </wps:bodyPr>
                      </wps:wsp>
                    </wpg:wgp>
                  </a:graphicData>
                </a:graphic>
              </wp:anchor>
            </w:drawing>
          </mc:Choice>
          <mc:Fallback>
            <w:pict>
              <v:group style="position:absolute;margin-left:686.021973pt;margin-top:9.035788pt;width:468.5pt;height:117.45pt;mso-position-horizontal-relative:page;mso-position-vertical-relative:paragraph;z-index:15875584" id="docshapegroup1102" coordorigin="13720,181" coordsize="9370,2349">
                <v:shape style="position:absolute;left:14360;top:229;width:701;height:314" type="#_x0000_t75" id="docshape1103" stroked="false">
                  <v:imagedata r:id="rId199" o:title=""/>
                </v:shape>
                <v:shape style="position:absolute;left:14360;top:382;width:701;height:321" type="#_x0000_t75" id="docshape1104" stroked="false">
                  <v:imagedata r:id="rId200" o:title=""/>
                </v:shape>
                <v:shape style="position:absolute;left:17480;top:489;width:700;height:54" type="#_x0000_t75" id="docshape1105" stroked="false">
                  <v:imagedata r:id="rId61" o:title=""/>
                </v:shape>
                <v:shape style="position:absolute;left:14360;top:542;width:701;height:321" type="#_x0000_t75" id="docshape1106" stroked="false">
                  <v:imagedata r:id="rId201" o:title=""/>
                </v:shape>
                <v:shape style="position:absolute;left:17480;top:542;width:700;height:161" type="#_x0000_t75" id="docshape1107" stroked="false">
                  <v:imagedata r:id="rId65" o:title=""/>
                </v:shape>
                <v:shape style="position:absolute;left:14360;top:702;width:701;height:320" type="#_x0000_t75" id="docshape1108" stroked="false">
                  <v:imagedata r:id="rId202" o:title=""/>
                </v:shape>
                <v:shape style="position:absolute;left:17480;top:702;width:700;height:160" type="#_x0000_t75" id="docshape1109" stroked="false">
                  <v:imagedata r:id="rId65" o:title=""/>
                </v:shape>
                <v:shape style="position:absolute;left:14360;top:862;width:701;height:320" type="#_x0000_t75" id="docshape1110" stroked="false">
                  <v:imagedata r:id="rId66" o:title=""/>
                </v:shape>
                <v:shape style="position:absolute;left:17480;top:862;width:700;height:160" type="#_x0000_t75" id="docshape1111" stroked="false">
                  <v:imagedata r:id="rId65" o:title=""/>
                </v:shape>
                <v:shape style="position:absolute;left:14360;top:1022;width:701;height:320" type="#_x0000_t75" id="docshape1112" stroked="false">
                  <v:imagedata r:id="rId66" o:title=""/>
                </v:shape>
                <v:shape style="position:absolute;left:17480;top:1022;width:700;height:160" type="#_x0000_t75" id="docshape1113" stroked="false">
                  <v:imagedata r:id="rId65" o:title=""/>
                </v:shape>
                <v:shape style="position:absolute;left:14360;top:1182;width:701;height:321" type="#_x0000_t75" id="docshape1114" stroked="false">
                  <v:imagedata r:id="rId67" o:title=""/>
                </v:shape>
                <v:shape style="position:absolute;left:17480;top:1182;width:700;height:160" type="#_x0000_t75" id="docshape1115" stroked="false">
                  <v:imagedata r:id="rId65" o:title=""/>
                </v:shape>
                <v:shape style="position:absolute;left:20600;top:1229;width:701;height:274" type="#_x0000_t75" id="docshape1116" stroked="false">
                  <v:imagedata r:id="rId165" o:title=""/>
                </v:shape>
                <v:shape style="position:absolute;left:14360;top:1342;width:701;height:321" type="#_x0000_t75" id="docshape1117" stroked="false">
                  <v:imagedata r:id="rId166" o:title=""/>
                </v:shape>
                <v:shape style="position:absolute;left:17480;top:1342;width:700;height:161" type="#_x0000_t75" id="docshape1118" stroked="false">
                  <v:imagedata r:id="rId65" o:title=""/>
                </v:shape>
                <v:shape style="position:absolute;left:20600;top:1342;width:700;height:321" type="#_x0000_t75" id="docshape1119" stroked="false">
                  <v:imagedata r:id="rId70" o:title=""/>
                </v:shape>
                <v:shape style="position:absolute;left:14360;top:1502;width:701;height:320" type="#_x0000_t75" id="docshape1120" stroked="false">
                  <v:imagedata r:id="rId203" o:title=""/>
                </v:shape>
                <v:shape style="position:absolute;left:17480;top:1502;width:700;height:160" type="#_x0000_t75" id="docshape1121" stroked="false">
                  <v:imagedata r:id="rId65" o:title=""/>
                </v:shape>
                <v:shape style="position:absolute;left:20600;top:1502;width:700;height:320" type="#_x0000_t75" id="docshape1122" stroked="false">
                  <v:imagedata r:id="rId66" o:title=""/>
                </v:shape>
                <v:shape style="position:absolute;left:14360;top:1662;width:701;height:320" type="#_x0000_t75" id="docshape1123" stroked="false">
                  <v:imagedata r:id="rId66" o:title=""/>
                </v:shape>
                <v:shape style="position:absolute;left:17480;top:1662;width:700;height:160" type="#_x0000_t75" id="docshape1124" stroked="false">
                  <v:imagedata r:id="rId65" o:title=""/>
                </v:shape>
                <v:shape style="position:absolute;left:20600;top:1662;width:700;height:320" type="#_x0000_t75" id="docshape1125" stroked="false">
                  <v:imagedata r:id="rId66" o:title=""/>
                </v:shape>
                <v:shape style="position:absolute;left:14360;top:1822;width:701;height:320" type="#_x0000_t75" id="docshape1126" stroked="false">
                  <v:imagedata r:id="rId66" o:title=""/>
                </v:shape>
                <v:shape style="position:absolute;left:17480;top:1822;width:700;height:160" type="#_x0000_t75" id="docshape1127" stroked="false">
                  <v:imagedata r:id="rId65" o:title=""/>
                </v:shape>
                <v:shape style="position:absolute;left:20600;top:1822;width:700;height:320" type="#_x0000_t75" id="docshape1128" stroked="false">
                  <v:imagedata r:id="rId66" o:title=""/>
                </v:shape>
                <v:shape style="position:absolute;left:14360;top:1982;width:701;height:320" type="#_x0000_t75" id="docshape1129" stroked="false">
                  <v:imagedata r:id="rId204" o:title=""/>
                </v:shape>
                <v:shape style="position:absolute;left:17480;top:1982;width:700;height:160" type="#_x0000_t75" id="docshape1130" stroked="false">
                  <v:imagedata r:id="rId65" o:title=""/>
                </v:shape>
                <v:shape style="position:absolute;left:20600;top:1982;width:700;height:320" type="#_x0000_t75" id="docshape1131" stroked="false">
                  <v:imagedata r:id="rId66" o:title=""/>
                </v:shape>
                <v:shape style="position:absolute;left:14360;top:2142;width:701;height:321" type="#_x0000_t75" id="docshape1132" stroked="false">
                  <v:imagedata r:id="rId205" o:title=""/>
                </v:shape>
                <v:shape style="position:absolute;left:17480;top:2142;width:700;height:161" type="#_x0000_t75" id="docshape1133" stroked="false">
                  <v:imagedata r:id="rId65" o:title=""/>
                </v:shape>
                <v:shape style="position:absolute;left:20600;top:2142;width:700;height:321" type="#_x0000_t75" id="docshape1134" stroked="false">
                  <v:imagedata r:id="rId206" o:title=""/>
                </v:shape>
                <v:shape style="position:absolute;left:14360;top:2302;width:701;height:227" type="#_x0000_t75" id="docshape1135" stroked="false">
                  <v:imagedata r:id="rId207" o:title=""/>
                </v:shape>
                <v:shape style="position:absolute;left:17480;top:2302;width:700;height:227" type="#_x0000_t75" id="docshape1136" stroked="false">
                  <v:imagedata r:id="rId208" o:title=""/>
                </v:shape>
                <v:shape style="position:absolute;left:20600;top:2302;width:700;height:227" type="#_x0000_t75" id="docshape1137" stroked="false">
                  <v:imagedata r:id="rId207" o:title=""/>
                </v:shape>
                <v:shape style="position:absolute;left:15240;top:309;width:6941;height:2220" id="docshape1138" coordorigin="15240,309" coordsize="6941,2220" path="m15940,309l15240,309,15240,2529,15940,2529,15940,309xm19060,469l18360,469,18360,2529,19060,2529,19060,469xm22180,1149l21480,1149,21480,2529,22180,2529,22180,1149xe" filled="true" fillcolor="#0f5d86" stroked="false">
                  <v:path arrowok="t"/>
                  <v:fill type="solid"/>
                </v:shape>
                <v:shape style="position:absolute;left:13720;top:239;width:9370;height:2290" id="docshape1139" coordorigin="13720,239" coordsize="9370,2290" path="m13740,239l13720,239,13720,2522,13722,2524,13725,2528,13728,2529,23090,2529,23090,2509,13740,2509,13740,239xe" filled="true" fillcolor="#bcbec0" stroked="false">
                  <v:path arrowok="t"/>
                  <v:fill type="solid"/>
                </v:shape>
                <v:shape style="position:absolute;left:17616;top:180;width:354;height:214" type="#_x0000_t202" id="docshape1140" filled="false" stroked="false">
                  <v:textbox inset="0,0,0,0">
                    <w:txbxContent>
                      <w:p>
                        <w:pPr>
                          <w:spacing w:line="207" w:lineRule="exact" w:before="0"/>
                          <w:ind w:left="0" w:right="0" w:firstLine="0"/>
                          <w:jc w:val="left"/>
                          <w:rPr>
                            <w:sz w:val="18"/>
                          </w:rPr>
                        </w:pPr>
                        <w:r>
                          <w:rPr>
                            <w:color w:val="636466"/>
                            <w:spacing w:val="-7"/>
                            <w:sz w:val="18"/>
                          </w:rPr>
                          <w:t>36%</w:t>
                        </w:r>
                      </w:p>
                    </w:txbxContent>
                  </v:textbox>
                  <w10:wrap type="none"/>
                </v:shape>
                <v:shape style="position:absolute;left:18504;top:180;width:354;height:214" type="#_x0000_t202" id="docshape1141" filled="false" stroked="false">
                  <v:textbox inset="0,0,0,0">
                    <w:txbxContent>
                      <w:p>
                        <w:pPr>
                          <w:spacing w:line="207" w:lineRule="exact" w:before="0"/>
                          <w:ind w:left="0" w:right="0" w:firstLine="0"/>
                          <w:jc w:val="left"/>
                          <w:rPr>
                            <w:sz w:val="18"/>
                          </w:rPr>
                        </w:pPr>
                        <w:r>
                          <w:rPr>
                            <w:color w:val="636466"/>
                            <w:spacing w:val="-7"/>
                            <w:sz w:val="18"/>
                          </w:rPr>
                          <w:t>36%</w:t>
                        </w:r>
                      </w:p>
                    </w:txbxContent>
                  </v:textbox>
                  <w10:wrap type="none"/>
                </v:shape>
                <v:shape style="position:absolute;left:20734;top:920;width:354;height:214" type="#_x0000_t202" id="docshape1142" filled="false" stroked="false">
                  <v:textbox inset="0,0,0,0">
                    <w:txbxContent>
                      <w:p>
                        <w:pPr>
                          <w:spacing w:line="207" w:lineRule="exact" w:before="0"/>
                          <w:ind w:left="0" w:right="0" w:firstLine="0"/>
                          <w:jc w:val="left"/>
                          <w:rPr>
                            <w:sz w:val="18"/>
                          </w:rPr>
                        </w:pPr>
                        <w:r>
                          <w:rPr>
                            <w:color w:val="636466"/>
                            <w:spacing w:val="-7"/>
                            <w:sz w:val="18"/>
                          </w:rPr>
                          <w:t>23%</w:t>
                        </w:r>
                      </w:p>
                    </w:txbxContent>
                  </v:textbox>
                  <w10:wrap type="none"/>
                </v:shape>
                <v:shape style="position:absolute;left:21621;top:860;width:354;height:214" type="#_x0000_t202" id="docshape1143" filled="false" stroked="false">
                  <v:textbox inset="0,0,0,0">
                    <w:txbxContent>
                      <w:p>
                        <w:pPr>
                          <w:spacing w:line="207" w:lineRule="exact" w:before="0"/>
                          <w:ind w:left="0" w:right="0" w:firstLine="0"/>
                          <w:jc w:val="left"/>
                          <w:rPr>
                            <w:sz w:val="18"/>
                          </w:rPr>
                        </w:pPr>
                        <w:r>
                          <w:rPr>
                            <w:color w:val="636466"/>
                            <w:spacing w:val="-7"/>
                            <w:sz w:val="18"/>
                          </w:rPr>
                          <w:t>24%</w:t>
                        </w:r>
                      </w:p>
                    </w:txbxContent>
                  </v:textbox>
                  <w10:wrap type="none"/>
                </v:shape>
                <w10:wrap type="none"/>
              </v:group>
            </w:pict>
          </mc:Fallback>
        </mc:AlternateContent>
      </w:r>
      <w:r>
        <w:rPr>
          <w:sz w:val="18"/>
        </w:rPr>
        <mc:AlternateContent>
          <mc:Choice Requires="wps">
            <w:drawing>
              <wp:anchor distT="0" distB="0" distL="0" distR="0" allowOverlap="1" layoutInCell="1" locked="0" behindDoc="0" simplePos="0" relativeHeight="15877632">
                <wp:simplePos x="0" y="0"/>
                <wp:positionH relativeFrom="page">
                  <wp:posOffset>8471254</wp:posOffset>
                </wp:positionH>
                <wp:positionV relativeFrom="paragraph">
                  <wp:posOffset>145574</wp:posOffset>
                </wp:positionV>
                <wp:extent cx="146050" cy="1473200"/>
                <wp:effectExtent l="0" t="0" r="0" b="0"/>
                <wp:wrapNone/>
                <wp:docPr id="1447" name="Textbox 1447"/>
                <wp:cNvGraphicFramePr>
                  <a:graphicFrameLocks/>
                </wp:cNvGraphicFramePr>
                <a:graphic>
                  <a:graphicData uri="http://schemas.microsoft.com/office/word/2010/wordprocessingShape">
                    <wps:wsp>
                      <wps:cNvPr id="1447" name="Textbox 1447"/>
                      <wps:cNvSpPr txBox="1"/>
                      <wps:spPr>
                        <a:xfrm>
                          <a:off x="0" y="0"/>
                          <a:ext cx="146050" cy="1473200"/>
                        </a:xfrm>
                        <a:prstGeom prst="rect">
                          <a:avLst/>
                        </a:prstGeom>
                      </wps:spPr>
                      <wps:txbx>
                        <w:txbxContent>
                          <w:p>
                            <w:pPr>
                              <w:spacing w:before="19"/>
                              <w:ind w:left="20" w:right="0" w:firstLine="0"/>
                              <w:jc w:val="left"/>
                              <w:rPr>
                                <w:sz w:val="16"/>
                              </w:rPr>
                            </w:pPr>
                            <w:r>
                              <w:rPr>
                                <w:color w:val="105C84"/>
                                <w:sz w:val="16"/>
                              </w:rPr>
                              <w:t>Percent</w:t>
                            </w:r>
                            <w:r>
                              <w:rPr>
                                <w:color w:val="105C84"/>
                                <w:spacing w:val="-2"/>
                                <w:sz w:val="16"/>
                              </w:rPr>
                              <w:t> </w:t>
                            </w:r>
                            <w:r>
                              <w:rPr>
                                <w:color w:val="105C84"/>
                                <w:sz w:val="16"/>
                              </w:rPr>
                              <w:t>of</w:t>
                            </w:r>
                            <w:r>
                              <w:rPr>
                                <w:color w:val="105C84"/>
                                <w:spacing w:val="-2"/>
                                <w:sz w:val="16"/>
                              </w:rPr>
                              <w:t> </w:t>
                            </w:r>
                            <w:r>
                              <w:rPr>
                                <w:color w:val="105C84"/>
                                <w:sz w:val="16"/>
                              </w:rPr>
                              <w:t>Population</w:t>
                            </w:r>
                            <w:r>
                              <w:rPr>
                                <w:color w:val="105C84"/>
                                <w:spacing w:val="-2"/>
                                <w:sz w:val="16"/>
                              </w:rPr>
                              <w:t> </w:t>
                            </w:r>
                            <w:r>
                              <w:rPr>
                                <w:color w:val="105C84"/>
                                <w:sz w:val="16"/>
                              </w:rPr>
                              <w:t>25+</w:t>
                            </w:r>
                            <w:r>
                              <w:rPr>
                                <w:color w:val="105C84"/>
                                <w:spacing w:val="-2"/>
                                <w:sz w:val="16"/>
                              </w:rPr>
                              <w:t> </w:t>
                            </w:r>
                            <w:r>
                              <w:rPr>
                                <w:color w:val="105C84"/>
                                <w:spacing w:val="-4"/>
                                <w:sz w:val="16"/>
                              </w:rPr>
                              <w:t>Years</w:t>
                            </w:r>
                          </w:p>
                        </w:txbxContent>
                      </wps:txbx>
                      <wps:bodyPr wrap="square" lIns="0" tIns="0" rIns="0" bIns="0" rtlCol="0" vert="vert270">
                        <a:noAutofit/>
                      </wps:bodyPr>
                    </wps:wsp>
                  </a:graphicData>
                </a:graphic>
              </wp:anchor>
            </w:drawing>
          </mc:Choice>
          <mc:Fallback>
            <w:pict>
              <v:shape style="position:absolute;margin-left:667.027893pt;margin-top:11.462582pt;width:11.5pt;height:116pt;mso-position-horizontal-relative:page;mso-position-vertical-relative:paragraph;z-index:15877632" type="#_x0000_t202" id="docshape1144" filled="false" stroked="false">
                <v:textbox inset="0,0,0,0" style="layout-flow:vertical;mso-layout-flow-alt:bottom-to-top">
                  <w:txbxContent>
                    <w:p>
                      <w:pPr>
                        <w:spacing w:before="19"/>
                        <w:ind w:left="20" w:right="0" w:firstLine="0"/>
                        <w:jc w:val="left"/>
                        <w:rPr>
                          <w:sz w:val="16"/>
                        </w:rPr>
                      </w:pPr>
                      <w:r>
                        <w:rPr>
                          <w:color w:val="105C84"/>
                          <w:sz w:val="16"/>
                        </w:rPr>
                        <w:t>Percent</w:t>
                      </w:r>
                      <w:r>
                        <w:rPr>
                          <w:color w:val="105C84"/>
                          <w:spacing w:val="-2"/>
                          <w:sz w:val="16"/>
                        </w:rPr>
                        <w:t> </w:t>
                      </w:r>
                      <w:r>
                        <w:rPr>
                          <w:color w:val="105C84"/>
                          <w:sz w:val="16"/>
                        </w:rPr>
                        <w:t>of</w:t>
                      </w:r>
                      <w:r>
                        <w:rPr>
                          <w:color w:val="105C84"/>
                          <w:spacing w:val="-2"/>
                          <w:sz w:val="16"/>
                        </w:rPr>
                        <w:t> </w:t>
                      </w:r>
                      <w:r>
                        <w:rPr>
                          <w:color w:val="105C84"/>
                          <w:sz w:val="16"/>
                        </w:rPr>
                        <w:t>Population</w:t>
                      </w:r>
                      <w:r>
                        <w:rPr>
                          <w:color w:val="105C84"/>
                          <w:spacing w:val="-2"/>
                          <w:sz w:val="16"/>
                        </w:rPr>
                        <w:t> </w:t>
                      </w:r>
                      <w:r>
                        <w:rPr>
                          <w:color w:val="105C84"/>
                          <w:sz w:val="16"/>
                        </w:rPr>
                        <w:t>25+</w:t>
                      </w:r>
                      <w:r>
                        <w:rPr>
                          <w:color w:val="105C84"/>
                          <w:spacing w:val="-2"/>
                          <w:sz w:val="16"/>
                        </w:rPr>
                        <w:t> </w:t>
                      </w:r>
                      <w:r>
                        <w:rPr>
                          <w:color w:val="105C84"/>
                          <w:spacing w:val="-4"/>
                          <w:sz w:val="16"/>
                        </w:rPr>
                        <w:t>Years</w:t>
                      </w:r>
                    </w:p>
                  </w:txbxContent>
                </v:textbox>
                <w10:wrap type="none"/>
              </v:shape>
            </w:pict>
          </mc:Fallback>
        </mc:AlternateContent>
      </w:r>
      <w:r>
        <w:rPr>
          <w:color w:val="636466"/>
          <w:spacing w:val="-5"/>
          <w:sz w:val="18"/>
        </w:rPr>
        <w:t>39%</w:t>
      </w:r>
    </w:p>
    <w:p>
      <w:pPr>
        <w:tabs>
          <w:tab w:pos="1819" w:val="left" w:leader="none"/>
        </w:tabs>
        <w:spacing w:before="173"/>
        <w:ind w:left="1080" w:right="0" w:firstLine="0"/>
        <w:jc w:val="left"/>
        <w:rPr>
          <w:sz w:val="18"/>
        </w:rPr>
      </w:pPr>
      <w:r>
        <w:rPr/>
        <w:br w:type="column"/>
      </w:r>
      <w:r>
        <w:rPr/>
        <w:drawing>
          <wp:inline distT="0" distB="0" distL="0" distR="0">
            <wp:extent cx="50800" cy="63487"/>
            <wp:effectExtent l="0" t="0" r="0" b="0"/>
            <wp:docPr id="1448" name="Image 1448"/>
            <wp:cNvGraphicFramePr>
              <a:graphicFrameLocks/>
            </wp:cNvGraphicFramePr>
            <a:graphic>
              <a:graphicData uri="http://schemas.openxmlformats.org/drawingml/2006/picture">
                <pic:pic>
                  <pic:nvPicPr>
                    <pic:cNvPr id="1448" name="Image 1448"/>
                    <pic:cNvPicPr/>
                  </pic:nvPicPr>
                  <pic:blipFill>
                    <a:blip r:embed="rId209" cstate="print"/>
                    <a:stretch>
                      <a:fillRect/>
                    </a:stretch>
                  </pic:blipFill>
                  <pic:spPr>
                    <a:xfrm>
                      <a:off x="0" y="0"/>
                      <a:ext cx="50800" cy="63487"/>
                    </a:xfrm>
                    <a:prstGeom prst="rect">
                      <a:avLst/>
                    </a:prstGeom>
                  </pic:spPr>
                </pic:pic>
              </a:graphicData>
            </a:graphic>
          </wp:inline>
        </w:drawing>
      </w:r>
      <w:r>
        <w:rPr/>
      </w:r>
      <w:r>
        <w:rPr>
          <w:rFonts w:ascii="Times New Roman"/>
          <w:sz w:val="20"/>
        </w:rPr>
        <w:t> </w:t>
      </w:r>
      <w:r>
        <w:rPr>
          <w:color w:val="636466"/>
          <w:sz w:val="18"/>
        </w:rPr>
        <w:t>2012</w:t>
        <w:tab/>
      </w:r>
      <w:r>
        <w:rPr>
          <w:color w:val="636466"/>
          <w:sz w:val="18"/>
        </w:rPr>
        <w:drawing>
          <wp:inline distT="0" distB="0" distL="0" distR="0">
            <wp:extent cx="63500" cy="63500"/>
            <wp:effectExtent l="0" t="0" r="0" b="0"/>
            <wp:docPr id="1449" name="Image 1449"/>
            <wp:cNvGraphicFramePr>
              <a:graphicFrameLocks/>
            </wp:cNvGraphicFramePr>
            <a:graphic>
              <a:graphicData uri="http://schemas.openxmlformats.org/drawingml/2006/picture">
                <pic:pic>
                  <pic:nvPicPr>
                    <pic:cNvPr id="1449" name="Image 1449"/>
                    <pic:cNvPicPr/>
                  </pic:nvPicPr>
                  <pic:blipFill>
                    <a:blip r:embed="rId160" cstate="print"/>
                    <a:stretch>
                      <a:fillRect/>
                    </a:stretch>
                  </pic:blipFill>
                  <pic:spPr>
                    <a:xfrm>
                      <a:off x="0" y="0"/>
                      <a:ext cx="63500" cy="63500"/>
                    </a:xfrm>
                    <a:prstGeom prst="rect">
                      <a:avLst/>
                    </a:prstGeom>
                  </pic:spPr>
                </pic:pic>
              </a:graphicData>
            </a:graphic>
          </wp:inline>
        </w:drawing>
      </w:r>
      <w:r>
        <w:rPr>
          <w:color w:val="636466"/>
          <w:sz w:val="18"/>
        </w:rPr>
      </w:r>
      <w:r>
        <w:rPr>
          <w:rFonts w:ascii="Times New Roman"/>
          <w:color w:val="636466"/>
          <w:spacing w:val="-13"/>
          <w:sz w:val="18"/>
        </w:rPr>
        <w:t> </w:t>
      </w:r>
      <w:r>
        <w:rPr>
          <w:color w:val="636466"/>
          <w:sz w:val="18"/>
        </w:rPr>
        <w:t>2017</w:t>
      </w:r>
    </w:p>
    <w:p>
      <w:pPr>
        <w:spacing w:after="0"/>
        <w:jc w:val="left"/>
        <w:rPr>
          <w:sz w:val="18"/>
        </w:rPr>
        <w:sectPr>
          <w:type w:val="continuous"/>
          <w:pgSz w:w="24480" w:h="15840" w:orient="landscape"/>
          <w:pgMar w:header="0" w:footer="0" w:top="0" w:bottom="280" w:left="0" w:right="720"/>
          <w:cols w:num="4" w:equalWidth="0">
            <w:col w:w="11075" w:space="2344"/>
            <w:col w:w="1414" w:space="39"/>
            <w:col w:w="888" w:space="4096"/>
            <w:col w:w="3904"/>
          </w:cols>
        </w:sectPr>
      </w:pPr>
    </w:p>
    <w:p>
      <w:pPr>
        <w:pStyle w:val="BodyText"/>
        <w:spacing w:before="14"/>
        <w:ind w:left="1080"/>
      </w:pPr>
      <w:r>
        <w:rPr>
          <w:color w:val="105C84"/>
        </w:rPr>
        <w:t>below</w:t>
      </w:r>
      <w:r>
        <w:rPr>
          <w:color w:val="105C84"/>
          <w:spacing w:val="15"/>
        </w:rPr>
        <w:t> </w:t>
      </w:r>
      <w:r>
        <w:rPr>
          <w:color w:val="105C84"/>
        </w:rPr>
        <w:t>in</w:t>
      </w:r>
      <w:r>
        <w:rPr>
          <w:color w:val="105C84"/>
          <w:spacing w:val="16"/>
        </w:rPr>
        <w:t> </w:t>
      </w:r>
      <w:r>
        <w:rPr>
          <w:color w:val="105C84"/>
        </w:rPr>
        <w:t>Map</w:t>
      </w:r>
      <w:r>
        <w:rPr>
          <w:color w:val="105C84"/>
          <w:spacing w:val="16"/>
        </w:rPr>
        <w:t> </w:t>
      </w:r>
      <w:r>
        <w:rPr>
          <w:color w:val="105C84"/>
          <w:spacing w:val="-5"/>
        </w:rPr>
        <w:t>12.</w:t>
      </w:r>
    </w:p>
    <w:p>
      <w:pPr>
        <w:pStyle w:val="BodyText"/>
        <w:spacing w:before="26"/>
      </w:pPr>
    </w:p>
    <w:p>
      <w:pPr>
        <w:pStyle w:val="Heading6"/>
      </w:pPr>
      <w:r>
        <w:rPr>
          <w:color w:val="105C84"/>
        </w:rPr>
        <w:t>MAP</w:t>
      </w:r>
      <w:r>
        <w:rPr>
          <w:color w:val="105C84"/>
          <w:spacing w:val="-4"/>
        </w:rPr>
        <w:t> </w:t>
      </w:r>
      <w:r>
        <w:rPr>
          <w:color w:val="105C84"/>
        </w:rPr>
        <w:t>12:</w:t>
      </w:r>
      <w:r>
        <w:rPr>
          <w:color w:val="105C84"/>
          <w:spacing w:val="-3"/>
        </w:rPr>
        <w:t> </w:t>
      </w:r>
      <w:r>
        <w:rPr>
          <w:color w:val="105C84"/>
        </w:rPr>
        <w:t>Poverty</w:t>
      </w:r>
      <w:r>
        <w:rPr>
          <w:color w:val="105C84"/>
          <w:spacing w:val="-3"/>
        </w:rPr>
        <w:t> </w:t>
      </w:r>
      <w:r>
        <w:rPr>
          <w:color w:val="105C84"/>
        </w:rPr>
        <w:t>rates</w:t>
      </w:r>
      <w:r>
        <w:rPr>
          <w:color w:val="105C84"/>
          <w:spacing w:val="-4"/>
        </w:rPr>
        <w:t> </w:t>
      </w:r>
      <w:r>
        <w:rPr>
          <w:color w:val="105C84"/>
        </w:rPr>
        <w:t>by</w:t>
      </w:r>
      <w:r>
        <w:rPr>
          <w:color w:val="105C84"/>
          <w:spacing w:val="-3"/>
        </w:rPr>
        <w:t> </w:t>
      </w:r>
      <w:r>
        <w:rPr>
          <w:color w:val="105C84"/>
        </w:rPr>
        <w:t>ZIP</w:t>
      </w:r>
      <w:r>
        <w:rPr>
          <w:color w:val="105C84"/>
          <w:spacing w:val="-4"/>
        </w:rPr>
        <w:t> code</w:t>
      </w:r>
    </w:p>
    <w:p>
      <w:pPr>
        <w:tabs>
          <w:tab w:pos="4574" w:val="left" w:leader="none"/>
          <w:tab w:pos="7565" w:val="left" w:leader="none"/>
        </w:tabs>
        <w:spacing w:before="154"/>
        <w:ind w:left="1080" w:right="0" w:firstLine="0"/>
        <w:jc w:val="left"/>
        <w:rPr>
          <w:sz w:val="18"/>
        </w:rPr>
      </w:pPr>
      <w:r>
        <w:rPr/>
        <w:br w:type="column"/>
      </w:r>
      <w:r>
        <w:rPr>
          <w:color w:val="636466"/>
          <w:sz w:val="18"/>
        </w:rPr>
        <w:t>High School</w:t>
      </w:r>
      <w:r>
        <w:rPr>
          <w:color w:val="636466"/>
          <w:spacing w:val="1"/>
          <w:sz w:val="18"/>
        </w:rPr>
        <w:t> </w:t>
      </w:r>
      <w:r>
        <w:rPr>
          <w:color w:val="636466"/>
          <w:sz w:val="18"/>
        </w:rPr>
        <w:t>Degree or</w:t>
      </w:r>
      <w:r>
        <w:rPr>
          <w:color w:val="636466"/>
          <w:spacing w:val="1"/>
          <w:sz w:val="18"/>
        </w:rPr>
        <w:t> </w:t>
      </w:r>
      <w:r>
        <w:rPr>
          <w:color w:val="636466"/>
          <w:spacing w:val="-2"/>
          <w:sz w:val="18"/>
        </w:rPr>
        <w:t>Equivalent</w:t>
      </w:r>
      <w:r>
        <w:rPr>
          <w:color w:val="636466"/>
          <w:sz w:val="18"/>
        </w:rPr>
        <w:tab/>
        <w:t>Some</w:t>
      </w:r>
      <w:r>
        <w:rPr>
          <w:color w:val="636466"/>
          <w:spacing w:val="-2"/>
          <w:sz w:val="18"/>
        </w:rPr>
        <w:t> </w:t>
      </w:r>
      <w:r>
        <w:rPr>
          <w:color w:val="636466"/>
          <w:sz w:val="18"/>
        </w:rPr>
        <w:t>College</w:t>
      </w:r>
      <w:r>
        <w:rPr>
          <w:color w:val="636466"/>
          <w:spacing w:val="-2"/>
          <w:sz w:val="18"/>
        </w:rPr>
        <w:t> Experience</w:t>
      </w:r>
      <w:r>
        <w:rPr>
          <w:color w:val="636466"/>
          <w:sz w:val="18"/>
        </w:rPr>
        <w:tab/>
        <w:t>Bachelor's</w:t>
      </w:r>
      <w:r>
        <w:rPr>
          <w:color w:val="636466"/>
          <w:spacing w:val="-1"/>
          <w:sz w:val="18"/>
        </w:rPr>
        <w:t> </w:t>
      </w:r>
      <w:r>
        <w:rPr>
          <w:color w:val="636466"/>
          <w:sz w:val="18"/>
        </w:rPr>
        <w:t>Degree</w:t>
      </w:r>
      <w:r>
        <w:rPr>
          <w:color w:val="636466"/>
          <w:spacing w:val="-1"/>
          <w:sz w:val="18"/>
        </w:rPr>
        <w:t> </w:t>
      </w:r>
      <w:r>
        <w:rPr>
          <w:color w:val="636466"/>
          <w:sz w:val="18"/>
        </w:rPr>
        <w:t>or</w:t>
      </w:r>
      <w:r>
        <w:rPr>
          <w:color w:val="636466"/>
          <w:spacing w:val="-1"/>
          <w:sz w:val="18"/>
        </w:rPr>
        <w:t> </w:t>
      </w:r>
      <w:r>
        <w:rPr>
          <w:color w:val="636466"/>
          <w:spacing w:val="-2"/>
          <w:sz w:val="18"/>
        </w:rPr>
        <w:t>Higher</w:t>
      </w:r>
    </w:p>
    <w:p>
      <w:pPr>
        <w:pStyle w:val="BodyText"/>
        <w:spacing w:before="113"/>
        <w:rPr>
          <w:sz w:val="18"/>
        </w:rPr>
      </w:pPr>
    </w:p>
    <w:p>
      <w:pPr>
        <w:spacing w:before="0"/>
        <w:ind w:left="1096" w:right="0" w:firstLine="0"/>
        <w:jc w:val="left"/>
        <w:rPr>
          <w:sz w:val="16"/>
        </w:rPr>
      </w:pPr>
      <w:r>
        <w:rPr>
          <w:color w:val="105C84"/>
          <w:spacing w:val="-2"/>
          <w:sz w:val="16"/>
        </w:rPr>
        <w:t>Data</w:t>
      </w:r>
      <w:r>
        <w:rPr>
          <w:color w:val="105C84"/>
          <w:spacing w:val="-8"/>
          <w:sz w:val="16"/>
        </w:rPr>
        <w:t> </w:t>
      </w:r>
      <w:r>
        <w:rPr>
          <w:color w:val="105C84"/>
          <w:spacing w:val="-2"/>
          <w:sz w:val="16"/>
        </w:rPr>
        <w:t>Source:</w:t>
      </w:r>
      <w:r>
        <w:rPr>
          <w:color w:val="105C84"/>
          <w:spacing w:val="-8"/>
          <w:sz w:val="16"/>
        </w:rPr>
        <w:t> </w:t>
      </w:r>
      <w:r>
        <w:rPr>
          <w:color w:val="105C84"/>
          <w:spacing w:val="-2"/>
          <w:sz w:val="16"/>
        </w:rPr>
        <w:t>U.S.</w:t>
      </w:r>
      <w:r>
        <w:rPr>
          <w:color w:val="105C84"/>
          <w:spacing w:val="-8"/>
          <w:sz w:val="16"/>
        </w:rPr>
        <w:t> </w:t>
      </w:r>
      <w:r>
        <w:rPr>
          <w:color w:val="105C84"/>
          <w:spacing w:val="-2"/>
          <w:sz w:val="16"/>
        </w:rPr>
        <w:t>Census</w:t>
      </w:r>
      <w:r>
        <w:rPr>
          <w:color w:val="105C84"/>
          <w:spacing w:val="-8"/>
          <w:sz w:val="16"/>
        </w:rPr>
        <w:t> </w:t>
      </w:r>
      <w:r>
        <w:rPr>
          <w:color w:val="105C84"/>
          <w:spacing w:val="-2"/>
          <w:sz w:val="16"/>
        </w:rPr>
        <w:t>Bureau</w:t>
      </w:r>
      <w:r>
        <w:rPr>
          <w:color w:val="105C84"/>
          <w:spacing w:val="-8"/>
          <w:sz w:val="16"/>
        </w:rPr>
        <w:t> </w:t>
      </w:r>
      <w:r>
        <w:rPr>
          <w:color w:val="105C84"/>
          <w:spacing w:val="-2"/>
          <w:sz w:val="16"/>
        </w:rPr>
        <w:t>American</w:t>
      </w:r>
      <w:r>
        <w:rPr>
          <w:color w:val="105C84"/>
          <w:spacing w:val="-8"/>
          <w:sz w:val="16"/>
        </w:rPr>
        <w:t> </w:t>
      </w:r>
      <w:r>
        <w:rPr>
          <w:color w:val="105C84"/>
          <w:spacing w:val="-2"/>
          <w:sz w:val="16"/>
        </w:rPr>
        <w:t>Communtiy</w:t>
      </w:r>
      <w:r>
        <w:rPr>
          <w:color w:val="105C84"/>
          <w:spacing w:val="-8"/>
          <w:sz w:val="16"/>
        </w:rPr>
        <w:t> </w:t>
      </w:r>
      <w:r>
        <w:rPr>
          <w:color w:val="105C84"/>
          <w:spacing w:val="-2"/>
          <w:sz w:val="16"/>
        </w:rPr>
        <w:t>Survey</w:t>
      </w:r>
      <w:r>
        <w:rPr>
          <w:color w:val="105C84"/>
          <w:spacing w:val="-8"/>
          <w:sz w:val="16"/>
        </w:rPr>
        <w:t> </w:t>
      </w:r>
      <w:r>
        <w:rPr>
          <w:color w:val="105C84"/>
          <w:spacing w:val="-2"/>
          <w:sz w:val="16"/>
        </w:rPr>
        <w:t>5-Year</w:t>
      </w:r>
      <w:r>
        <w:rPr>
          <w:color w:val="105C84"/>
          <w:spacing w:val="-8"/>
          <w:sz w:val="16"/>
        </w:rPr>
        <w:t> </w:t>
      </w:r>
      <w:r>
        <w:rPr>
          <w:color w:val="105C84"/>
          <w:spacing w:val="-2"/>
          <w:sz w:val="16"/>
        </w:rPr>
        <w:t>Estimates</w:t>
      </w:r>
    </w:p>
    <w:p>
      <w:pPr>
        <w:spacing w:after="0"/>
        <w:jc w:val="left"/>
        <w:rPr>
          <w:sz w:val="16"/>
        </w:rPr>
        <w:sectPr>
          <w:type w:val="continuous"/>
          <w:pgSz w:w="24480" w:h="15840" w:orient="landscape"/>
          <w:pgMar w:header="0" w:footer="0" w:top="0" w:bottom="280" w:left="0" w:right="720"/>
          <w:cols w:num="2" w:equalWidth="0">
            <w:col w:w="5386" w:space="7306"/>
            <w:col w:w="11068"/>
          </w:cols>
        </w:sectPr>
      </w:pPr>
    </w:p>
    <w:p>
      <w:pPr>
        <w:pStyle w:val="BodyText"/>
      </w:pPr>
    </w:p>
    <w:p>
      <w:pPr>
        <w:pStyle w:val="BodyText"/>
        <w:spacing w:before="109"/>
      </w:pPr>
    </w:p>
    <w:p>
      <w:pPr>
        <w:pStyle w:val="BodyText"/>
        <w:spacing w:line="247" w:lineRule="auto"/>
        <w:ind w:left="13316"/>
      </w:pPr>
      <w:r>
        <w:rPr/>
        <mc:AlternateContent>
          <mc:Choice Requires="wps">
            <w:drawing>
              <wp:anchor distT="0" distB="0" distL="0" distR="0" allowOverlap="1" layoutInCell="1" locked="0" behindDoc="0" simplePos="0" relativeHeight="15875072">
                <wp:simplePos x="0" y="0"/>
                <wp:positionH relativeFrom="page">
                  <wp:posOffset>685800</wp:posOffset>
                </wp:positionH>
                <wp:positionV relativeFrom="paragraph">
                  <wp:posOffset>-137997</wp:posOffset>
                </wp:positionV>
                <wp:extent cx="6546850" cy="3178175"/>
                <wp:effectExtent l="0" t="0" r="0" b="0"/>
                <wp:wrapNone/>
                <wp:docPr id="1450" name="Group 1450"/>
                <wp:cNvGraphicFramePr>
                  <a:graphicFrameLocks/>
                </wp:cNvGraphicFramePr>
                <a:graphic>
                  <a:graphicData uri="http://schemas.microsoft.com/office/word/2010/wordprocessingGroup">
                    <wpg:wgp>
                      <wpg:cNvPr id="1450" name="Group 1450"/>
                      <wpg:cNvGrpSpPr/>
                      <wpg:grpSpPr>
                        <a:xfrm>
                          <a:off x="0" y="0"/>
                          <a:ext cx="6546850" cy="3178175"/>
                          <a:chExt cx="6546850" cy="3178175"/>
                        </a:xfrm>
                      </wpg:grpSpPr>
                      <pic:pic>
                        <pic:nvPicPr>
                          <pic:cNvPr id="1451" name="Image 1451"/>
                          <pic:cNvPicPr/>
                        </pic:nvPicPr>
                        <pic:blipFill>
                          <a:blip r:embed="rId210" cstate="print"/>
                          <a:stretch>
                            <a:fillRect/>
                          </a:stretch>
                        </pic:blipFill>
                        <pic:spPr>
                          <a:xfrm>
                            <a:off x="0" y="0"/>
                            <a:ext cx="4724751" cy="3177755"/>
                          </a:xfrm>
                          <a:prstGeom prst="rect">
                            <a:avLst/>
                          </a:prstGeom>
                        </pic:spPr>
                      </pic:pic>
                      <wps:wsp>
                        <wps:cNvPr id="1452" name="Graphic 1452"/>
                        <wps:cNvSpPr/>
                        <wps:spPr>
                          <a:xfrm>
                            <a:off x="4902796" y="934986"/>
                            <a:ext cx="393700" cy="189230"/>
                          </a:xfrm>
                          <a:custGeom>
                            <a:avLst/>
                            <a:gdLst/>
                            <a:ahLst/>
                            <a:cxnLst/>
                            <a:rect l="l" t="t" r="r" b="b"/>
                            <a:pathLst>
                              <a:path w="393700" h="189230">
                                <a:moveTo>
                                  <a:pt x="393407" y="0"/>
                                </a:moveTo>
                                <a:lnTo>
                                  <a:pt x="0" y="0"/>
                                </a:lnTo>
                                <a:lnTo>
                                  <a:pt x="0" y="188645"/>
                                </a:lnTo>
                                <a:lnTo>
                                  <a:pt x="393407" y="188645"/>
                                </a:lnTo>
                                <a:lnTo>
                                  <a:pt x="393407" y="0"/>
                                </a:lnTo>
                                <a:close/>
                              </a:path>
                            </a:pathLst>
                          </a:custGeom>
                          <a:solidFill>
                            <a:srgbClr val="DEF0E7"/>
                          </a:solidFill>
                        </wps:spPr>
                        <wps:bodyPr wrap="square" lIns="0" tIns="0" rIns="0" bIns="0" rtlCol="0">
                          <a:prstTxWarp prst="textNoShape">
                            <a:avLst/>
                          </a:prstTxWarp>
                          <a:noAutofit/>
                        </wps:bodyPr>
                      </wps:wsp>
                      <wps:wsp>
                        <wps:cNvPr id="1453" name="Graphic 1453"/>
                        <wps:cNvSpPr/>
                        <wps:spPr>
                          <a:xfrm>
                            <a:off x="4902796" y="1188173"/>
                            <a:ext cx="393700" cy="189230"/>
                          </a:xfrm>
                          <a:custGeom>
                            <a:avLst/>
                            <a:gdLst/>
                            <a:ahLst/>
                            <a:cxnLst/>
                            <a:rect l="l" t="t" r="r" b="b"/>
                            <a:pathLst>
                              <a:path w="393700" h="189230">
                                <a:moveTo>
                                  <a:pt x="393407" y="0"/>
                                </a:moveTo>
                                <a:lnTo>
                                  <a:pt x="0" y="0"/>
                                </a:lnTo>
                                <a:lnTo>
                                  <a:pt x="0" y="188645"/>
                                </a:lnTo>
                                <a:lnTo>
                                  <a:pt x="393407" y="188645"/>
                                </a:lnTo>
                                <a:lnTo>
                                  <a:pt x="393407" y="0"/>
                                </a:lnTo>
                                <a:close/>
                              </a:path>
                            </a:pathLst>
                          </a:custGeom>
                          <a:solidFill>
                            <a:srgbClr val="A6CFB4"/>
                          </a:solidFill>
                        </wps:spPr>
                        <wps:bodyPr wrap="square" lIns="0" tIns="0" rIns="0" bIns="0" rtlCol="0">
                          <a:prstTxWarp prst="textNoShape">
                            <a:avLst/>
                          </a:prstTxWarp>
                          <a:noAutofit/>
                        </wps:bodyPr>
                      </wps:wsp>
                      <wps:wsp>
                        <wps:cNvPr id="1454" name="Graphic 1454"/>
                        <wps:cNvSpPr/>
                        <wps:spPr>
                          <a:xfrm>
                            <a:off x="4902796" y="1448079"/>
                            <a:ext cx="393700" cy="189230"/>
                          </a:xfrm>
                          <a:custGeom>
                            <a:avLst/>
                            <a:gdLst/>
                            <a:ahLst/>
                            <a:cxnLst/>
                            <a:rect l="l" t="t" r="r" b="b"/>
                            <a:pathLst>
                              <a:path w="393700" h="189230">
                                <a:moveTo>
                                  <a:pt x="393407" y="0"/>
                                </a:moveTo>
                                <a:lnTo>
                                  <a:pt x="0" y="0"/>
                                </a:lnTo>
                                <a:lnTo>
                                  <a:pt x="0" y="188645"/>
                                </a:lnTo>
                                <a:lnTo>
                                  <a:pt x="393407" y="188645"/>
                                </a:lnTo>
                                <a:lnTo>
                                  <a:pt x="393407" y="0"/>
                                </a:lnTo>
                                <a:close/>
                              </a:path>
                            </a:pathLst>
                          </a:custGeom>
                          <a:solidFill>
                            <a:srgbClr val="77A781"/>
                          </a:solidFill>
                        </wps:spPr>
                        <wps:bodyPr wrap="square" lIns="0" tIns="0" rIns="0" bIns="0" rtlCol="0">
                          <a:prstTxWarp prst="textNoShape">
                            <a:avLst/>
                          </a:prstTxWarp>
                          <a:noAutofit/>
                        </wps:bodyPr>
                      </wps:wsp>
                      <wps:wsp>
                        <wps:cNvPr id="1455" name="Graphic 1455"/>
                        <wps:cNvSpPr/>
                        <wps:spPr>
                          <a:xfrm>
                            <a:off x="4902796" y="1707984"/>
                            <a:ext cx="393700" cy="189230"/>
                          </a:xfrm>
                          <a:custGeom>
                            <a:avLst/>
                            <a:gdLst/>
                            <a:ahLst/>
                            <a:cxnLst/>
                            <a:rect l="l" t="t" r="r" b="b"/>
                            <a:pathLst>
                              <a:path w="393700" h="189230">
                                <a:moveTo>
                                  <a:pt x="393407" y="0"/>
                                </a:moveTo>
                                <a:lnTo>
                                  <a:pt x="0" y="0"/>
                                </a:lnTo>
                                <a:lnTo>
                                  <a:pt x="0" y="188645"/>
                                </a:lnTo>
                                <a:lnTo>
                                  <a:pt x="393407" y="188645"/>
                                </a:lnTo>
                                <a:lnTo>
                                  <a:pt x="393407" y="0"/>
                                </a:lnTo>
                                <a:close/>
                              </a:path>
                            </a:pathLst>
                          </a:custGeom>
                          <a:solidFill>
                            <a:srgbClr val="4B8758"/>
                          </a:solidFill>
                        </wps:spPr>
                        <wps:bodyPr wrap="square" lIns="0" tIns="0" rIns="0" bIns="0" rtlCol="0">
                          <a:prstTxWarp prst="textNoShape">
                            <a:avLst/>
                          </a:prstTxWarp>
                          <a:noAutofit/>
                        </wps:bodyPr>
                      </wps:wsp>
                      <wps:wsp>
                        <wps:cNvPr id="1456" name="Graphic 1456"/>
                        <wps:cNvSpPr/>
                        <wps:spPr>
                          <a:xfrm>
                            <a:off x="4902796" y="1967890"/>
                            <a:ext cx="393700" cy="189230"/>
                          </a:xfrm>
                          <a:custGeom>
                            <a:avLst/>
                            <a:gdLst/>
                            <a:ahLst/>
                            <a:cxnLst/>
                            <a:rect l="l" t="t" r="r" b="b"/>
                            <a:pathLst>
                              <a:path w="393700" h="189230">
                                <a:moveTo>
                                  <a:pt x="393407" y="0"/>
                                </a:moveTo>
                                <a:lnTo>
                                  <a:pt x="0" y="0"/>
                                </a:lnTo>
                                <a:lnTo>
                                  <a:pt x="0" y="188645"/>
                                </a:lnTo>
                                <a:lnTo>
                                  <a:pt x="393407" y="188645"/>
                                </a:lnTo>
                                <a:lnTo>
                                  <a:pt x="393407" y="0"/>
                                </a:lnTo>
                                <a:close/>
                              </a:path>
                            </a:pathLst>
                          </a:custGeom>
                          <a:solidFill>
                            <a:srgbClr val="236533"/>
                          </a:solidFill>
                        </wps:spPr>
                        <wps:bodyPr wrap="square" lIns="0" tIns="0" rIns="0" bIns="0" rtlCol="0">
                          <a:prstTxWarp prst="textNoShape">
                            <a:avLst/>
                          </a:prstTxWarp>
                          <a:noAutofit/>
                        </wps:bodyPr>
                      </wps:wsp>
                      <wps:wsp>
                        <wps:cNvPr id="1457" name="Textbox 1457"/>
                        <wps:cNvSpPr txBox="1"/>
                        <wps:spPr>
                          <a:xfrm>
                            <a:off x="211638" y="1001702"/>
                            <a:ext cx="464820" cy="177800"/>
                          </a:xfrm>
                          <a:prstGeom prst="rect">
                            <a:avLst/>
                          </a:prstGeom>
                        </wps:spPr>
                        <wps:txbx>
                          <w:txbxContent>
                            <w:p>
                              <w:pPr>
                                <w:spacing w:before="16"/>
                                <w:ind w:left="0" w:right="0" w:firstLine="0"/>
                                <w:jc w:val="left"/>
                                <w:rPr>
                                  <w:sz w:val="20"/>
                                </w:rPr>
                              </w:pPr>
                              <w:r>
                                <w:rPr>
                                  <w:color w:val="636466"/>
                                  <w:spacing w:val="-2"/>
                                  <w:w w:val="110"/>
                                  <w:sz w:val="20"/>
                                </w:rPr>
                                <w:t>Ontario</w:t>
                              </w:r>
                            </w:p>
                          </w:txbxContent>
                        </wps:txbx>
                        <wps:bodyPr wrap="square" lIns="0" tIns="0" rIns="0" bIns="0" rtlCol="0">
                          <a:noAutofit/>
                        </wps:bodyPr>
                      </wps:wsp>
                      <wps:wsp>
                        <wps:cNvPr id="1458" name="Textbox 1458"/>
                        <wps:cNvSpPr txBox="1"/>
                        <wps:spPr>
                          <a:xfrm>
                            <a:off x="2105444" y="1223641"/>
                            <a:ext cx="370840" cy="177800"/>
                          </a:xfrm>
                          <a:prstGeom prst="rect">
                            <a:avLst/>
                          </a:prstGeom>
                        </wps:spPr>
                        <wps:txbx>
                          <w:txbxContent>
                            <w:p>
                              <w:pPr>
                                <w:spacing w:before="16"/>
                                <w:ind w:left="0" w:right="0" w:firstLine="0"/>
                                <w:jc w:val="left"/>
                                <w:rPr>
                                  <w:sz w:val="20"/>
                                </w:rPr>
                              </w:pPr>
                              <w:r>
                                <w:rPr>
                                  <w:color w:val="FFFFFF"/>
                                  <w:spacing w:val="-2"/>
                                  <w:sz w:val="20"/>
                                </w:rPr>
                                <w:t>Sodus</w:t>
                              </w:r>
                            </w:p>
                          </w:txbxContent>
                        </wps:txbx>
                        <wps:bodyPr wrap="square" lIns="0" tIns="0" rIns="0" bIns="0" rtlCol="0">
                          <a:noAutofit/>
                        </wps:bodyPr>
                      </wps:wsp>
                      <wps:wsp>
                        <wps:cNvPr id="1459" name="Textbox 1459"/>
                        <wps:cNvSpPr txBox="1"/>
                        <wps:spPr>
                          <a:xfrm>
                            <a:off x="2369149" y="2125793"/>
                            <a:ext cx="351790" cy="177800"/>
                          </a:xfrm>
                          <a:prstGeom prst="rect">
                            <a:avLst/>
                          </a:prstGeom>
                        </wps:spPr>
                        <wps:txbx>
                          <w:txbxContent>
                            <w:p>
                              <w:pPr>
                                <w:spacing w:before="16"/>
                                <w:ind w:left="0" w:right="0" w:firstLine="0"/>
                                <w:jc w:val="left"/>
                                <w:rPr>
                                  <w:sz w:val="20"/>
                                </w:rPr>
                              </w:pPr>
                              <w:r>
                                <w:rPr>
                                  <w:color w:val="FFFFFF"/>
                                  <w:spacing w:val="-2"/>
                                  <w:sz w:val="20"/>
                                </w:rPr>
                                <w:t>Lyons</w:t>
                              </w:r>
                            </w:p>
                          </w:txbxContent>
                        </wps:txbx>
                        <wps:bodyPr wrap="square" lIns="0" tIns="0" rIns="0" bIns="0" rtlCol="0">
                          <a:noAutofit/>
                        </wps:bodyPr>
                      </wps:wsp>
                      <wps:wsp>
                        <wps:cNvPr id="1460" name="Textbox 1460"/>
                        <wps:cNvSpPr txBox="1"/>
                        <wps:spPr>
                          <a:xfrm>
                            <a:off x="931803" y="2567983"/>
                            <a:ext cx="478790" cy="177800"/>
                          </a:xfrm>
                          <a:prstGeom prst="rect">
                            <a:avLst/>
                          </a:prstGeom>
                        </wps:spPr>
                        <wps:txbx>
                          <w:txbxContent>
                            <w:p>
                              <w:pPr>
                                <w:spacing w:before="16"/>
                                <w:ind w:left="0" w:right="0" w:firstLine="0"/>
                                <w:jc w:val="left"/>
                                <w:rPr>
                                  <w:sz w:val="20"/>
                                </w:rPr>
                              </w:pPr>
                              <w:r>
                                <w:rPr>
                                  <w:color w:val="636466"/>
                                  <w:spacing w:val="-2"/>
                                  <w:sz w:val="20"/>
                                </w:rPr>
                                <w:t>Palmyra</w:t>
                              </w:r>
                            </w:p>
                          </w:txbxContent>
                        </wps:txbx>
                        <wps:bodyPr wrap="square" lIns="0" tIns="0" rIns="0" bIns="0" rtlCol="0">
                          <a:noAutofit/>
                        </wps:bodyPr>
                      </wps:wsp>
                      <wps:wsp>
                        <wps:cNvPr id="1461" name="Textbox 1461"/>
                        <wps:cNvSpPr txBox="1"/>
                        <wps:spPr>
                          <a:xfrm>
                            <a:off x="3300746" y="2746468"/>
                            <a:ext cx="351790" cy="177800"/>
                          </a:xfrm>
                          <a:prstGeom prst="rect">
                            <a:avLst/>
                          </a:prstGeom>
                        </wps:spPr>
                        <wps:txbx>
                          <w:txbxContent>
                            <w:p>
                              <w:pPr>
                                <w:spacing w:before="16"/>
                                <w:ind w:left="0" w:right="0" w:firstLine="0"/>
                                <w:jc w:val="left"/>
                                <w:rPr>
                                  <w:sz w:val="20"/>
                                </w:rPr>
                              </w:pPr>
                              <w:r>
                                <w:rPr>
                                  <w:color w:val="636466"/>
                                  <w:spacing w:val="-2"/>
                                  <w:w w:val="105"/>
                                  <w:sz w:val="20"/>
                                </w:rPr>
                                <w:t>Clyde</w:t>
                              </w:r>
                            </w:p>
                          </w:txbxContent>
                        </wps:txbx>
                        <wps:bodyPr wrap="square" lIns="0" tIns="0" rIns="0" bIns="0" rtlCol="0">
                          <a:noAutofit/>
                        </wps:bodyPr>
                      </wps:wsp>
                      <wps:wsp>
                        <wps:cNvPr id="1462" name="Textbox 1462"/>
                        <wps:cNvSpPr txBox="1"/>
                        <wps:spPr>
                          <a:xfrm>
                            <a:off x="4739766" y="131190"/>
                            <a:ext cx="1804035" cy="2192020"/>
                          </a:xfrm>
                          <a:prstGeom prst="rect">
                            <a:avLst/>
                          </a:prstGeom>
                          <a:ln w="6350">
                            <a:solidFill>
                              <a:srgbClr val="636366"/>
                            </a:solidFill>
                            <a:prstDash val="solid"/>
                          </a:ln>
                        </wps:spPr>
                        <wps:txbx>
                          <w:txbxContent>
                            <w:p>
                              <w:pPr>
                                <w:spacing w:before="188"/>
                                <w:ind w:left="277" w:right="0" w:firstLine="0"/>
                                <w:jc w:val="left"/>
                                <w:rPr>
                                  <w:sz w:val="30"/>
                                </w:rPr>
                              </w:pPr>
                              <w:r>
                                <w:rPr>
                                  <w:color w:val="105C84"/>
                                  <w:spacing w:val="-2"/>
                                  <w:sz w:val="30"/>
                                </w:rPr>
                                <w:t>Legend</w:t>
                              </w:r>
                            </w:p>
                            <w:p>
                              <w:pPr>
                                <w:spacing w:before="301"/>
                                <w:ind w:left="262" w:right="0" w:firstLine="0"/>
                                <w:jc w:val="left"/>
                                <w:rPr>
                                  <w:sz w:val="20"/>
                                </w:rPr>
                              </w:pPr>
                              <w:r>
                                <w:rPr>
                                  <w:color w:val="6D6E71"/>
                                  <w:spacing w:val="-2"/>
                                  <w:sz w:val="20"/>
                                </w:rPr>
                                <w:t>POVERTY</w:t>
                              </w:r>
                            </w:p>
                            <w:p>
                              <w:pPr>
                                <w:spacing w:before="218"/>
                                <w:ind w:left="1054" w:right="0" w:firstLine="0"/>
                                <w:jc w:val="left"/>
                                <w:rPr>
                                  <w:sz w:val="20"/>
                                </w:rPr>
                              </w:pPr>
                              <w:r>
                                <w:rPr>
                                  <w:color w:val="6D6E71"/>
                                  <w:sz w:val="20"/>
                                </w:rPr>
                                <w:t>less</w:t>
                              </w:r>
                              <w:r>
                                <w:rPr>
                                  <w:color w:val="6D6E71"/>
                                  <w:spacing w:val="-5"/>
                                  <w:sz w:val="20"/>
                                </w:rPr>
                                <w:t> </w:t>
                              </w:r>
                              <w:r>
                                <w:rPr>
                                  <w:color w:val="6D6E71"/>
                                  <w:sz w:val="20"/>
                                </w:rPr>
                                <w:t>than</w:t>
                              </w:r>
                              <w:r>
                                <w:rPr>
                                  <w:color w:val="6D6E71"/>
                                  <w:spacing w:val="-4"/>
                                  <w:sz w:val="20"/>
                                </w:rPr>
                                <w:t> </w:t>
                              </w:r>
                              <w:r>
                                <w:rPr>
                                  <w:color w:val="6D6E71"/>
                                  <w:spacing w:val="-5"/>
                                  <w:sz w:val="20"/>
                                </w:rPr>
                                <w:t>10%</w:t>
                              </w:r>
                            </w:p>
                            <w:p>
                              <w:pPr>
                                <w:spacing w:before="180"/>
                                <w:ind w:left="1054" w:right="0" w:firstLine="0"/>
                                <w:jc w:val="left"/>
                                <w:rPr>
                                  <w:sz w:val="20"/>
                                </w:rPr>
                              </w:pPr>
                              <w:r>
                                <w:rPr>
                                  <w:color w:val="6D6E71"/>
                                  <w:sz w:val="20"/>
                                </w:rPr>
                                <w:t>10-</w:t>
                              </w:r>
                              <w:r>
                                <w:rPr>
                                  <w:color w:val="6D6E71"/>
                                  <w:spacing w:val="-5"/>
                                  <w:sz w:val="20"/>
                                </w:rPr>
                                <w:t>15%</w:t>
                              </w:r>
                            </w:p>
                            <w:p>
                              <w:pPr>
                                <w:spacing w:before="180"/>
                                <w:ind w:left="1054" w:right="0" w:firstLine="0"/>
                                <w:jc w:val="left"/>
                                <w:rPr>
                                  <w:sz w:val="20"/>
                                </w:rPr>
                              </w:pPr>
                              <w:r>
                                <w:rPr>
                                  <w:color w:val="6D6E71"/>
                                  <w:sz w:val="20"/>
                                </w:rPr>
                                <w:t>15-</w:t>
                              </w:r>
                              <w:r>
                                <w:rPr>
                                  <w:color w:val="6D6E71"/>
                                  <w:spacing w:val="-5"/>
                                  <w:sz w:val="20"/>
                                </w:rPr>
                                <w:t>20%</w:t>
                              </w:r>
                            </w:p>
                            <w:p>
                              <w:pPr>
                                <w:spacing w:before="180"/>
                                <w:ind w:left="1054" w:right="0" w:firstLine="0"/>
                                <w:jc w:val="left"/>
                                <w:rPr>
                                  <w:sz w:val="20"/>
                                </w:rPr>
                              </w:pPr>
                              <w:r>
                                <w:rPr>
                                  <w:color w:val="6D6E71"/>
                                  <w:sz w:val="20"/>
                                </w:rPr>
                                <w:t>20-</w:t>
                              </w:r>
                              <w:r>
                                <w:rPr>
                                  <w:color w:val="6D6E71"/>
                                  <w:spacing w:val="-5"/>
                                  <w:sz w:val="20"/>
                                </w:rPr>
                                <w:t>25%</w:t>
                              </w:r>
                            </w:p>
                            <w:p>
                              <w:pPr>
                                <w:spacing w:before="180"/>
                                <w:ind w:left="1054" w:right="0" w:firstLine="0"/>
                                <w:jc w:val="left"/>
                                <w:rPr>
                                  <w:sz w:val="20"/>
                                </w:rPr>
                              </w:pPr>
                              <w:r>
                                <w:rPr>
                                  <w:color w:val="6D6E71"/>
                                  <w:sz w:val="20"/>
                                </w:rPr>
                                <w:t>greater</w:t>
                              </w:r>
                              <w:r>
                                <w:rPr>
                                  <w:color w:val="6D6E71"/>
                                  <w:spacing w:val="16"/>
                                  <w:sz w:val="20"/>
                                </w:rPr>
                                <w:t> </w:t>
                              </w:r>
                              <w:r>
                                <w:rPr>
                                  <w:color w:val="6D6E71"/>
                                  <w:sz w:val="20"/>
                                </w:rPr>
                                <w:t>than</w:t>
                              </w:r>
                              <w:r>
                                <w:rPr>
                                  <w:color w:val="6D6E71"/>
                                  <w:spacing w:val="16"/>
                                  <w:sz w:val="20"/>
                                </w:rPr>
                                <w:t> </w:t>
                              </w:r>
                              <w:r>
                                <w:rPr>
                                  <w:color w:val="6D6E71"/>
                                  <w:spacing w:val="-5"/>
                                  <w:sz w:val="20"/>
                                </w:rPr>
                                <w:t>25%</w:t>
                              </w:r>
                            </w:p>
                          </w:txbxContent>
                        </wps:txbx>
                        <wps:bodyPr wrap="square" lIns="0" tIns="0" rIns="0" bIns="0" rtlCol="0">
                          <a:noAutofit/>
                        </wps:bodyPr>
                      </wps:wsp>
                    </wpg:wgp>
                  </a:graphicData>
                </a:graphic>
              </wp:anchor>
            </w:drawing>
          </mc:Choice>
          <mc:Fallback>
            <w:pict>
              <v:group style="position:absolute;margin-left:54pt;margin-top:-10.865972pt;width:515.5pt;height:250.25pt;mso-position-horizontal-relative:page;mso-position-vertical-relative:paragraph;z-index:15875072" id="docshapegroup1145" coordorigin="1080,-217" coordsize="10310,5005">
                <v:shape style="position:absolute;left:1080;top:-218;width:7441;height:5005" type="#_x0000_t75" id="docshape1146" stroked="false">
                  <v:imagedata r:id="rId210" o:title=""/>
                </v:shape>
                <v:rect style="position:absolute;left:8800;top:1255;width:620;height:298" id="docshape1147" filled="true" fillcolor="#def0e7" stroked="false">
                  <v:fill type="solid"/>
                </v:rect>
                <v:rect style="position:absolute;left:8800;top:1653;width:620;height:298" id="docshape1148" filled="true" fillcolor="#a6cfb4" stroked="false">
                  <v:fill type="solid"/>
                </v:rect>
                <v:rect style="position:absolute;left:8800;top:2063;width:620;height:298" id="docshape1149" filled="true" fillcolor="#77a781" stroked="false">
                  <v:fill type="solid"/>
                </v:rect>
                <v:rect style="position:absolute;left:8800;top:2472;width:620;height:298" id="docshape1150" filled="true" fillcolor="#4b8758" stroked="false">
                  <v:fill type="solid"/>
                </v:rect>
                <v:rect style="position:absolute;left:8800;top:2881;width:620;height:298" id="docshape1151" filled="true" fillcolor="#236533" stroked="false">
                  <v:fill type="solid"/>
                </v:rect>
                <v:shape style="position:absolute;left:1413;top:1360;width:732;height:280" type="#_x0000_t202" id="docshape1152" filled="false" stroked="false">
                  <v:textbox inset="0,0,0,0">
                    <w:txbxContent>
                      <w:p>
                        <w:pPr>
                          <w:spacing w:before="16"/>
                          <w:ind w:left="0" w:right="0" w:firstLine="0"/>
                          <w:jc w:val="left"/>
                          <w:rPr>
                            <w:sz w:val="20"/>
                          </w:rPr>
                        </w:pPr>
                        <w:r>
                          <w:rPr>
                            <w:color w:val="636466"/>
                            <w:spacing w:val="-2"/>
                            <w:w w:val="110"/>
                            <w:sz w:val="20"/>
                          </w:rPr>
                          <w:t>Ontario</w:t>
                        </w:r>
                      </w:p>
                    </w:txbxContent>
                  </v:textbox>
                  <w10:wrap type="none"/>
                </v:shape>
                <v:shape style="position:absolute;left:4395;top:1709;width:584;height:280" type="#_x0000_t202" id="docshape1153" filled="false" stroked="false">
                  <v:textbox inset="0,0,0,0">
                    <w:txbxContent>
                      <w:p>
                        <w:pPr>
                          <w:spacing w:before="16"/>
                          <w:ind w:left="0" w:right="0" w:firstLine="0"/>
                          <w:jc w:val="left"/>
                          <w:rPr>
                            <w:sz w:val="20"/>
                          </w:rPr>
                        </w:pPr>
                        <w:r>
                          <w:rPr>
                            <w:color w:val="FFFFFF"/>
                            <w:spacing w:val="-2"/>
                            <w:sz w:val="20"/>
                          </w:rPr>
                          <w:t>Sodus</w:t>
                        </w:r>
                      </w:p>
                    </w:txbxContent>
                  </v:textbox>
                  <w10:wrap type="none"/>
                </v:shape>
                <v:shape style="position:absolute;left:4810;top:3130;width:554;height:280" type="#_x0000_t202" id="docshape1154" filled="false" stroked="false">
                  <v:textbox inset="0,0,0,0">
                    <w:txbxContent>
                      <w:p>
                        <w:pPr>
                          <w:spacing w:before="16"/>
                          <w:ind w:left="0" w:right="0" w:firstLine="0"/>
                          <w:jc w:val="left"/>
                          <w:rPr>
                            <w:sz w:val="20"/>
                          </w:rPr>
                        </w:pPr>
                        <w:r>
                          <w:rPr>
                            <w:color w:val="FFFFFF"/>
                            <w:spacing w:val="-2"/>
                            <w:sz w:val="20"/>
                          </w:rPr>
                          <w:t>Lyons</w:t>
                        </w:r>
                      </w:p>
                    </w:txbxContent>
                  </v:textbox>
                  <w10:wrap type="none"/>
                </v:shape>
                <v:shape style="position:absolute;left:2547;top:3826;width:754;height:280" type="#_x0000_t202" id="docshape1155" filled="false" stroked="false">
                  <v:textbox inset="0,0,0,0">
                    <w:txbxContent>
                      <w:p>
                        <w:pPr>
                          <w:spacing w:before="16"/>
                          <w:ind w:left="0" w:right="0" w:firstLine="0"/>
                          <w:jc w:val="left"/>
                          <w:rPr>
                            <w:sz w:val="20"/>
                          </w:rPr>
                        </w:pPr>
                        <w:r>
                          <w:rPr>
                            <w:color w:val="636466"/>
                            <w:spacing w:val="-2"/>
                            <w:sz w:val="20"/>
                          </w:rPr>
                          <w:t>Palmyra</w:t>
                        </w:r>
                      </w:p>
                    </w:txbxContent>
                  </v:textbox>
                  <w10:wrap type="none"/>
                </v:shape>
                <v:shape style="position:absolute;left:6278;top:4107;width:554;height:280" type="#_x0000_t202" id="docshape1156" filled="false" stroked="false">
                  <v:textbox inset="0,0,0,0">
                    <w:txbxContent>
                      <w:p>
                        <w:pPr>
                          <w:spacing w:before="16"/>
                          <w:ind w:left="0" w:right="0" w:firstLine="0"/>
                          <w:jc w:val="left"/>
                          <w:rPr>
                            <w:sz w:val="20"/>
                          </w:rPr>
                        </w:pPr>
                        <w:r>
                          <w:rPr>
                            <w:color w:val="636466"/>
                            <w:spacing w:val="-2"/>
                            <w:w w:val="105"/>
                            <w:sz w:val="20"/>
                          </w:rPr>
                          <w:t>Clyde</w:t>
                        </w:r>
                      </w:p>
                    </w:txbxContent>
                  </v:textbox>
                  <w10:wrap type="none"/>
                </v:shape>
                <v:shape style="position:absolute;left:8544;top:-11;width:2841;height:3452" type="#_x0000_t202" id="docshape1157" filled="false" stroked="true" strokeweight=".5pt" strokecolor="#636366">
                  <v:textbox inset="0,0,0,0">
                    <w:txbxContent>
                      <w:p>
                        <w:pPr>
                          <w:spacing w:before="188"/>
                          <w:ind w:left="277" w:right="0" w:firstLine="0"/>
                          <w:jc w:val="left"/>
                          <w:rPr>
                            <w:sz w:val="30"/>
                          </w:rPr>
                        </w:pPr>
                        <w:r>
                          <w:rPr>
                            <w:color w:val="105C84"/>
                            <w:spacing w:val="-2"/>
                            <w:sz w:val="30"/>
                          </w:rPr>
                          <w:t>Legend</w:t>
                        </w:r>
                      </w:p>
                      <w:p>
                        <w:pPr>
                          <w:spacing w:before="301"/>
                          <w:ind w:left="262" w:right="0" w:firstLine="0"/>
                          <w:jc w:val="left"/>
                          <w:rPr>
                            <w:sz w:val="20"/>
                          </w:rPr>
                        </w:pPr>
                        <w:r>
                          <w:rPr>
                            <w:color w:val="6D6E71"/>
                            <w:spacing w:val="-2"/>
                            <w:sz w:val="20"/>
                          </w:rPr>
                          <w:t>POVERTY</w:t>
                        </w:r>
                      </w:p>
                      <w:p>
                        <w:pPr>
                          <w:spacing w:before="218"/>
                          <w:ind w:left="1054" w:right="0" w:firstLine="0"/>
                          <w:jc w:val="left"/>
                          <w:rPr>
                            <w:sz w:val="20"/>
                          </w:rPr>
                        </w:pPr>
                        <w:r>
                          <w:rPr>
                            <w:color w:val="6D6E71"/>
                            <w:sz w:val="20"/>
                          </w:rPr>
                          <w:t>less</w:t>
                        </w:r>
                        <w:r>
                          <w:rPr>
                            <w:color w:val="6D6E71"/>
                            <w:spacing w:val="-5"/>
                            <w:sz w:val="20"/>
                          </w:rPr>
                          <w:t> </w:t>
                        </w:r>
                        <w:r>
                          <w:rPr>
                            <w:color w:val="6D6E71"/>
                            <w:sz w:val="20"/>
                          </w:rPr>
                          <w:t>than</w:t>
                        </w:r>
                        <w:r>
                          <w:rPr>
                            <w:color w:val="6D6E71"/>
                            <w:spacing w:val="-4"/>
                            <w:sz w:val="20"/>
                          </w:rPr>
                          <w:t> </w:t>
                        </w:r>
                        <w:r>
                          <w:rPr>
                            <w:color w:val="6D6E71"/>
                            <w:spacing w:val="-5"/>
                            <w:sz w:val="20"/>
                          </w:rPr>
                          <w:t>10%</w:t>
                        </w:r>
                      </w:p>
                      <w:p>
                        <w:pPr>
                          <w:spacing w:before="180"/>
                          <w:ind w:left="1054" w:right="0" w:firstLine="0"/>
                          <w:jc w:val="left"/>
                          <w:rPr>
                            <w:sz w:val="20"/>
                          </w:rPr>
                        </w:pPr>
                        <w:r>
                          <w:rPr>
                            <w:color w:val="6D6E71"/>
                            <w:sz w:val="20"/>
                          </w:rPr>
                          <w:t>10-</w:t>
                        </w:r>
                        <w:r>
                          <w:rPr>
                            <w:color w:val="6D6E71"/>
                            <w:spacing w:val="-5"/>
                            <w:sz w:val="20"/>
                          </w:rPr>
                          <w:t>15%</w:t>
                        </w:r>
                      </w:p>
                      <w:p>
                        <w:pPr>
                          <w:spacing w:before="180"/>
                          <w:ind w:left="1054" w:right="0" w:firstLine="0"/>
                          <w:jc w:val="left"/>
                          <w:rPr>
                            <w:sz w:val="20"/>
                          </w:rPr>
                        </w:pPr>
                        <w:r>
                          <w:rPr>
                            <w:color w:val="6D6E71"/>
                            <w:sz w:val="20"/>
                          </w:rPr>
                          <w:t>15-</w:t>
                        </w:r>
                        <w:r>
                          <w:rPr>
                            <w:color w:val="6D6E71"/>
                            <w:spacing w:val="-5"/>
                            <w:sz w:val="20"/>
                          </w:rPr>
                          <w:t>20%</w:t>
                        </w:r>
                      </w:p>
                      <w:p>
                        <w:pPr>
                          <w:spacing w:before="180"/>
                          <w:ind w:left="1054" w:right="0" w:firstLine="0"/>
                          <w:jc w:val="left"/>
                          <w:rPr>
                            <w:sz w:val="20"/>
                          </w:rPr>
                        </w:pPr>
                        <w:r>
                          <w:rPr>
                            <w:color w:val="6D6E71"/>
                            <w:sz w:val="20"/>
                          </w:rPr>
                          <w:t>20-</w:t>
                        </w:r>
                        <w:r>
                          <w:rPr>
                            <w:color w:val="6D6E71"/>
                            <w:spacing w:val="-5"/>
                            <w:sz w:val="20"/>
                          </w:rPr>
                          <w:t>25%</w:t>
                        </w:r>
                      </w:p>
                      <w:p>
                        <w:pPr>
                          <w:spacing w:before="180"/>
                          <w:ind w:left="1054" w:right="0" w:firstLine="0"/>
                          <w:jc w:val="left"/>
                          <w:rPr>
                            <w:sz w:val="20"/>
                          </w:rPr>
                        </w:pPr>
                        <w:r>
                          <w:rPr>
                            <w:color w:val="6D6E71"/>
                            <w:sz w:val="20"/>
                          </w:rPr>
                          <w:t>greater</w:t>
                        </w:r>
                        <w:r>
                          <w:rPr>
                            <w:color w:val="6D6E71"/>
                            <w:spacing w:val="16"/>
                            <w:sz w:val="20"/>
                          </w:rPr>
                          <w:t> </w:t>
                        </w:r>
                        <w:r>
                          <w:rPr>
                            <w:color w:val="6D6E71"/>
                            <w:sz w:val="20"/>
                          </w:rPr>
                          <w:t>than</w:t>
                        </w:r>
                        <w:r>
                          <w:rPr>
                            <w:color w:val="6D6E71"/>
                            <w:spacing w:val="16"/>
                            <w:sz w:val="20"/>
                          </w:rPr>
                          <w:t> </w:t>
                        </w:r>
                        <w:r>
                          <w:rPr>
                            <w:color w:val="6D6E71"/>
                            <w:spacing w:val="-5"/>
                            <w:sz w:val="20"/>
                          </w:rPr>
                          <w:t>25%</w:t>
                        </w:r>
                      </w:p>
                    </w:txbxContent>
                  </v:textbox>
                  <v:stroke dashstyle="solid"/>
                  <w10:wrap type="none"/>
                </v:shape>
                <w10:wrap type="none"/>
              </v:group>
            </w:pict>
          </mc:Fallback>
        </mc:AlternateContent>
      </w:r>
      <w:r>
        <w:rPr>
          <w:color w:val="105C84"/>
        </w:rPr>
        <w:t>Data below show the trend in uninsured rates over the past 5 years compared to the region which has decreased more than 38 percent since 2012 for Wayne County (Figure 45).</w:t>
      </w:r>
    </w:p>
    <w:p>
      <w:pPr>
        <w:pStyle w:val="BodyText"/>
        <w:spacing w:before="18"/>
      </w:pPr>
    </w:p>
    <w:p>
      <w:pPr>
        <w:pStyle w:val="Heading6"/>
        <w:ind w:left="13316"/>
      </w:pPr>
      <w:r>
        <w:rPr>
          <w:color w:val="105C84"/>
          <w:spacing w:val="-2"/>
        </w:rPr>
        <w:t>FIGURE</w:t>
      </w:r>
      <w:r>
        <w:rPr>
          <w:color w:val="105C84"/>
          <w:spacing w:val="-10"/>
        </w:rPr>
        <w:t> </w:t>
      </w:r>
      <w:r>
        <w:rPr>
          <w:color w:val="105C84"/>
          <w:spacing w:val="-2"/>
        </w:rPr>
        <w:t>45:</w:t>
      </w:r>
      <w:r>
        <w:rPr>
          <w:color w:val="105C84"/>
          <w:spacing w:val="-10"/>
        </w:rPr>
        <w:t> </w:t>
      </w:r>
      <w:r>
        <w:rPr>
          <w:color w:val="105C84"/>
          <w:spacing w:val="-2"/>
        </w:rPr>
        <w:t>Percent</w:t>
      </w:r>
      <w:r>
        <w:rPr>
          <w:color w:val="105C84"/>
          <w:spacing w:val="-10"/>
        </w:rPr>
        <w:t> </w:t>
      </w:r>
      <w:r>
        <w:rPr>
          <w:color w:val="105C84"/>
          <w:spacing w:val="-2"/>
        </w:rPr>
        <w:t>of</w:t>
      </w:r>
      <w:r>
        <w:rPr>
          <w:color w:val="105C84"/>
          <w:spacing w:val="-10"/>
        </w:rPr>
        <w:t> </w:t>
      </w:r>
      <w:r>
        <w:rPr>
          <w:color w:val="105C84"/>
          <w:spacing w:val="-2"/>
        </w:rPr>
        <w:t>population</w:t>
      </w:r>
      <w:r>
        <w:rPr>
          <w:color w:val="105C84"/>
          <w:spacing w:val="-10"/>
        </w:rPr>
        <w:t> </w:t>
      </w:r>
      <w:r>
        <w:rPr>
          <w:color w:val="105C84"/>
          <w:spacing w:val="-2"/>
        </w:rPr>
        <w:t>that</w:t>
      </w:r>
      <w:r>
        <w:rPr>
          <w:color w:val="105C84"/>
          <w:spacing w:val="-10"/>
        </w:rPr>
        <w:t> </w:t>
      </w:r>
      <w:r>
        <w:rPr>
          <w:color w:val="105C84"/>
          <w:spacing w:val="-2"/>
        </w:rPr>
        <w:t>is</w:t>
      </w:r>
      <w:r>
        <w:rPr>
          <w:color w:val="105C84"/>
          <w:spacing w:val="-9"/>
        </w:rPr>
        <w:t> </w:t>
      </w:r>
      <w:r>
        <w:rPr>
          <w:color w:val="105C84"/>
          <w:spacing w:val="-2"/>
        </w:rPr>
        <w:t>uninsured</w:t>
      </w:r>
    </w:p>
    <w:p>
      <w:pPr>
        <w:pStyle w:val="BodyText"/>
        <w:spacing w:before="150"/>
        <w:rPr>
          <w:b/>
          <w:sz w:val="20"/>
        </w:rPr>
      </w:pPr>
    </w:p>
    <w:p>
      <w:pPr>
        <w:pStyle w:val="BodyText"/>
        <w:spacing w:after="0"/>
        <w:rPr>
          <w:b/>
          <w:sz w:val="20"/>
        </w:rPr>
        <w:sectPr>
          <w:type w:val="continuous"/>
          <w:pgSz w:w="24480" w:h="15840" w:orient="landscape"/>
          <w:pgMar w:header="0" w:footer="0" w:top="0" w:bottom="280" w:left="0" w:right="720"/>
        </w:sectPr>
      </w:pPr>
    </w:p>
    <w:p>
      <w:pPr>
        <w:pStyle w:val="BodyText"/>
        <w:rPr>
          <w:b/>
          <w:sz w:val="18"/>
        </w:rPr>
      </w:pPr>
    </w:p>
    <w:p>
      <w:pPr>
        <w:pStyle w:val="BodyText"/>
        <w:spacing w:before="88"/>
        <w:rPr>
          <w:b/>
          <w:sz w:val="18"/>
        </w:rPr>
      </w:pPr>
    </w:p>
    <w:p>
      <w:pPr>
        <w:spacing w:before="0"/>
        <w:ind w:left="0" w:right="18" w:firstLine="0"/>
        <w:jc w:val="right"/>
        <w:rPr>
          <w:sz w:val="18"/>
        </w:rPr>
      </w:pPr>
      <w:r>
        <w:rPr>
          <w:sz w:val="18"/>
        </w:rPr>
        <mc:AlternateContent>
          <mc:Choice Requires="wps">
            <w:drawing>
              <wp:anchor distT="0" distB="0" distL="0" distR="0" allowOverlap="1" layoutInCell="1" locked="0" behindDoc="0" simplePos="0" relativeHeight="15876096">
                <wp:simplePos x="0" y="0"/>
                <wp:positionH relativeFrom="page">
                  <wp:posOffset>9428821</wp:posOffset>
                </wp:positionH>
                <wp:positionV relativeFrom="paragraph">
                  <wp:posOffset>-185772</wp:posOffset>
                </wp:positionV>
                <wp:extent cx="317500" cy="1270"/>
                <wp:effectExtent l="0" t="0" r="0" b="0"/>
                <wp:wrapNone/>
                <wp:docPr id="1463" name="Graphic 1463"/>
                <wp:cNvGraphicFramePr>
                  <a:graphicFrameLocks/>
                </wp:cNvGraphicFramePr>
                <a:graphic>
                  <a:graphicData uri="http://schemas.microsoft.com/office/word/2010/wordprocessingShape">
                    <wps:wsp>
                      <wps:cNvPr id="1463" name="Graphic 1463"/>
                      <wps:cNvSpPr/>
                      <wps:spPr>
                        <a:xfrm>
                          <a:off x="0" y="0"/>
                          <a:ext cx="317500" cy="1270"/>
                        </a:xfrm>
                        <a:custGeom>
                          <a:avLst/>
                          <a:gdLst/>
                          <a:ahLst/>
                          <a:cxnLst/>
                          <a:rect l="l" t="t" r="r" b="b"/>
                          <a:pathLst>
                            <a:path w="317500" h="0">
                              <a:moveTo>
                                <a:pt x="0" y="0"/>
                              </a:moveTo>
                              <a:lnTo>
                                <a:pt x="317500" y="0"/>
                              </a:lnTo>
                            </a:path>
                          </a:pathLst>
                        </a:custGeom>
                        <a:ln w="25400">
                          <a:solidFill>
                            <a:srgbClr val="105C84"/>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76096" from="742.42688pt,-14.627781pt" to="767.42688pt,-14.627781pt" stroked="true" strokeweight="2pt" strokecolor="#105c84">
                <v:stroke dashstyle="solid"/>
                <w10:wrap type="none"/>
              </v:line>
            </w:pict>
          </mc:Fallback>
        </mc:AlternateContent>
      </w:r>
      <w:r>
        <w:rPr>
          <w:sz w:val="18"/>
        </w:rPr>
        <mc:AlternateContent>
          <mc:Choice Requires="wps">
            <w:drawing>
              <wp:anchor distT="0" distB="0" distL="0" distR="0" allowOverlap="1" layoutInCell="1" locked="0" behindDoc="1" simplePos="0" relativeHeight="475103232">
                <wp:simplePos x="0" y="0"/>
                <wp:positionH relativeFrom="page">
                  <wp:posOffset>10825821</wp:posOffset>
                </wp:positionH>
                <wp:positionV relativeFrom="paragraph">
                  <wp:posOffset>-185772</wp:posOffset>
                </wp:positionV>
                <wp:extent cx="317500" cy="1270"/>
                <wp:effectExtent l="0" t="0" r="0" b="0"/>
                <wp:wrapNone/>
                <wp:docPr id="1464" name="Graphic 1464"/>
                <wp:cNvGraphicFramePr>
                  <a:graphicFrameLocks/>
                </wp:cNvGraphicFramePr>
                <a:graphic>
                  <a:graphicData uri="http://schemas.microsoft.com/office/word/2010/wordprocessingShape">
                    <wps:wsp>
                      <wps:cNvPr id="1464" name="Graphic 1464"/>
                      <wps:cNvSpPr/>
                      <wps:spPr>
                        <a:xfrm>
                          <a:off x="0" y="0"/>
                          <a:ext cx="317500" cy="1270"/>
                        </a:xfrm>
                        <a:custGeom>
                          <a:avLst/>
                          <a:gdLst/>
                          <a:ahLst/>
                          <a:cxnLst/>
                          <a:rect l="l" t="t" r="r" b="b"/>
                          <a:pathLst>
                            <a:path w="317500" h="0">
                              <a:moveTo>
                                <a:pt x="0" y="0"/>
                              </a:moveTo>
                              <a:lnTo>
                                <a:pt x="317500" y="0"/>
                              </a:lnTo>
                            </a:path>
                          </a:pathLst>
                        </a:custGeom>
                        <a:ln w="25400">
                          <a:solidFill>
                            <a:srgbClr val="82BF6A"/>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8213248" from="852.42688pt,-14.627781pt" to="877.42688pt,-14.627781pt" stroked="true" strokeweight="2pt" strokecolor="#82bf6a">
                <v:stroke dashstyle="solid"/>
                <w10:wrap type="none"/>
              </v:line>
            </w:pict>
          </mc:Fallback>
        </mc:AlternateContent>
      </w:r>
      <w:r>
        <w:rPr>
          <w:color w:val="636466"/>
          <w:spacing w:val="-5"/>
          <w:sz w:val="18"/>
        </w:rPr>
        <w:t>16%</w:t>
      </w:r>
    </w:p>
    <w:p>
      <w:pPr>
        <w:spacing w:before="78"/>
        <w:ind w:left="0" w:right="18" w:firstLine="0"/>
        <w:jc w:val="right"/>
        <w:rPr>
          <w:sz w:val="18"/>
        </w:rPr>
      </w:pPr>
      <w:r>
        <w:rPr>
          <w:sz w:val="18"/>
        </w:rPr>
        <mc:AlternateContent>
          <mc:Choice Requires="wps">
            <w:drawing>
              <wp:anchor distT="0" distB="0" distL="0" distR="0" allowOverlap="1" layoutInCell="1" locked="0" behindDoc="0" simplePos="0" relativeHeight="15877120">
                <wp:simplePos x="0" y="0"/>
                <wp:positionH relativeFrom="page">
                  <wp:posOffset>8463770</wp:posOffset>
                </wp:positionH>
                <wp:positionV relativeFrom="paragraph">
                  <wp:posOffset>105463</wp:posOffset>
                </wp:positionV>
                <wp:extent cx="146050" cy="1002665"/>
                <wp:effectExtent l="0" t="0" r="0" b="0"/>
                <wp:wrapNone/>
                <wp:docPr id="1465" name="Textbox 1465"/>
                <wp:cNvGraphicFramePr>
                  <a:graphicFrameLocks/>
                </wp:cNvGraphicFramePr>
                <a:graphic>
                  <a:graphicData uri="http://schemas.microsoft.com/office/word/2010/wordprocessingShape">
                    <wps:wsp>
                      <wps:cNvPr id="1465" name="Textbox 1465"/>
                      <wps:cNvSpPr txBox="1"/>
                      <wps:spPr>
                        <a:xfrm>
                          <a:off x="0" y="0"/>
                          <a:ext cx="146050" cy="1002665"/>
                        </a:xfrm>
                        <a:prstGeom prst="rect">
                          <a:avLst/>
                        </a:prstGeom>
                      </wps:spPr>
                      <wps:txbx>
                        <w:txbxContent>
                          <w:p>
                            <w:pPr>
                              <w:spacing w:before="19"/>
                              <w:ind w:left="20" w:right="0" w:firstLine="0"/>
                              <w:jc w:val="left"/>
                              <w:rPr>
                                <w:sz w:val="16"/>
                              </w:rPr>
                            </w:pPr>
                            <w:r>
                              <w:rPr>
                                <w:color w:val="105C84"/>
                                <w:sz w:val="16"/>
                              </w:rPr>
                              <w:t>Percent</w:t>
                            </w:r>
                            <w:r>
                              <w:rPr>
                                <w:color w:val="105C84"/>
                                <w:spacing w:val="-5"/>
                                <w:sz w:val="16"/>
                              </w:rPr>
                              <w:t> </w:t>
                            </w:r>
                            <w:r>
                              <w:rPr>
                                <w:color w:val="105C84"/>
                                <w:sz w:val="16"/>
                              </w:rPr>
                              <w:t>of</w:t>
                            </w:r>
                            <w:r>
                              <w:rPr>
                                <w:color w:val="105C84"/>
                                <w:spacing w:val="-5"/>
                                <w:sz w:val="16"/>
                              </w:rPr>
                              <w:t> </w:t>
                            </w:r>
                            <w:r>
                              <w:rPr>
                                <w:color w:val="105C84"/>
                                <w:spacing w:val="-2"/>
                                <w:sz w:val="16"/>
                              </w:rPr>
                              <w:t>Population</w:t>
                            </w:r>
                          </w:p>
                        </w:txbxContent>
                      </wps:txbx>
                      <wps:bodyPr wrap="square" lIns="0" tIns="0" rIns="0" bIns="0" rtlCol="0" vert="vert270">
                        <a:noAutofit/>
                      </wps:bodyPr>
                    </wps:wsp>
                  </a:graphicData>
                </a:graphic>
              </wp:anchor>
            </w:drawing>
          </mc:Choice>
          <mc:Fallback>
            <w:pict>
              <v:shape style="position:absolute;margin-left:666.438599pt;margin-top:8.304194pt;width:11.5pt;height:78.95pt;mso-position-horizontal-relative:page;mso-position-vertical-relative:paragraph;z-index:15877120" type="#_x0000_t202" id="docshape1158" filled="false" stroked="false">
                <v:textbox inset="0,0,0,0" style="layout-flow:vertical;mso-layout-flow-alt:bottom-to-top">
                  <w:txbxContent>
                    <w:p>
                      <w:pPr>
                        <w:spacing w:before="19"/>
                        <w:ind w:left="20" w:right="0" w:firstLine="0"/>
                        <w:jc w:val="left"/>
                        <w:rPr>
                          <w:sz w:val="16"/>
                        </w:rPr>
                      </w:pPr>
                      <w:r>
                        <w:rPr>
                          <w:color w:val="105C84"/>
                          <w:sz w:val="16"/>
                        </w:rPr>
                        <w:t>Percent</w:t>
                      </w:r>
                      <w:r>
                        <w:rPr>
                          <w:color w:val="105C84"/>
                          <w:spacing w:val="-5"/>
                          <w:sz w:val="16"/>
                        </w:rPr>
                        <w:t> </w:t>
                      </w:r>
                      <w:r>
                        <w:rPr>
                          <w:color w:val="105C84"/>
                          <w:sz w:val="16"/>
                        </w:rPr>
                        <w:t>of</w:t>
                      </w:r>
                      <w:r>
                        <w:rPr>
                          <w:color w:val="105C84"/>
                          <w:spacing w:val="-5"/>
                          <w:sz w:val="16"/>
                        </w:rPr>
                        <w:t> </w:t>
                      </w:r>
                      <w:r>
                        <w:rPr>
                          <w:color w:val="105C84"/>
                          <w:spacing w:val="-2"/>
                          <w:sz w:val="16"/>
                        </w:rPr>
                        <w:t>Population</w:t>
                      </w:r>
                    </w:p>
                  </w:txbxContent>
                </v:textbox>
                <w10:wrap type="none"/>
              </v:shape>
            </w:pict>
          </mc:Fallback>
        </mc:AlternateContent>
      </w:r>
      <w:r>
        <w:rPr>
          <w:color w:val="636466"/>
          <w:spacing w:val="-5"/>
          <w:sz w:val="18"/>
        </w:rPr>
        <w:t>14%</w:t>
      </w:r>
    </w:p>
    <w:p>
      <w:pPr>
        <w:spacing w:before="63"/>
        <w:ind w:left="0" w:right="18" w:firstLine="0"/>
        <w:jc w:val="right"/>
        <w:rPr>
          <w:sz w:val="18"/>
        </w:rPr>
      </w:pPr>
      <w:r>
        <w:rPr>
          <w:color w:val="636466"/>
          <w:spacing w:val="-5"/>
          <w:sz w:val="18"/>
        </w:rPr>
        <w:t>12%</w:t>
      </w:r>
    </w:p>
    <w:p>
      <w:pPr>
        <w:spacing w:before="78"/>
        <w:ind w:left="0" w:right="18" w:firstLine="0"/>
        <w:jc w:val="right"/>
        <w:rPr>
          <w:sz w:val="18"/>
        </w:rPr>
      </w:pPr>
      <w:r>
        <w:rPr>
          <w:color w:val="636466"/>
          <w:spacing w:val="-5"/>
          <w:sz w:val="18"/>
        </w:rPr>
        <w:t>10%</w:t>
      </w:r>
    </w:p>
    <w:p>
      <w:pPr>
        <w:spacing w:before="78"/>
        <w:ind w:left="0" w:right="0" w:firstLine="0"/>
        <w:jc w:val="right"/>
        <w:rPr>
          <w:sz w:val="18"/>
        </w:rPr>
      </w:pPr>
      <w:r>
        <w:rPr>
          <w:color w:val="636466"/>
          <w:spacing w:val="-5"/>
          <w:sz w:val="18"/>
        </w:rPr>
        <w:t>8%</w:t>
      </w:r>
    </w:p>
    <w:p>
      <w:pPr>
        <w:spacing w:before="78"/>
        <w:ind w:left="0" w:right="0" w:firstLine="0"/>
        <w:jc w:val="right"/>
        <w:rPr>
          <w:sz w:val="18"/>
        </w:rPr>
      </w:pPr>
      <w:r>
        <w:rPr>
          <w:color w:val="636466"/>
          <w:spacing w:val="-5"/>
          <w:sz w:val="18"/>
        </w:rPr>
        <w:t>6%</w:t>
      </w:r>
    </w:p>
    <w:p>
      <w:pPr>
        <w:spacing w:before="78"/>
        <w:ind w:left="0" w:right="0" w:firstLine="0"/>
        <w:jc w:val="right"/>
        <w:rPr>
          <w:sz w:val="18"/>
        </w:rPr>
      </w:pPr>
      <w:r>
        <w:rPr>
          <w:color w:val="636466"/>
          <w:spacing w:val="-5"/>
          <w:sz w:val="18"/>
        </w:rPr>
        <w:t>4%</w:t>
      </w:r>
    </w:p>
    <w:p>
      <w:pPr>
        <w:spacing w:before="77"/>
        <w:ind w:left="0" w:right="0" w:firstLine="0"/>
        <w:jc w:val="right"/>
        <w:rPr>
          <w:sz w:val="18"/>
        </w:rPr>
      </w:pPr>
      <w:r>
        <w:rPr>
          <w:color w:val="636466"/>
          <w:spacing w:val="-5"/>
          <w:sz w:val="18"/>
        </w:rPr>
        <w:t>2%</w:t>
      </w:r>
    </w:p>
    <w:p>
      <w:pPr>
        <w:spacing w:before="78"/>
        <w:ind w:left="0" w:right="0" w:firstLine="0"/>
        <w:jc w:val="right"/>
        <w:rPr>
          <w:sz w:val="18"/>
        </w:rPr>
      </w:pPr>
      <w:r>
        <w:rPr>
          <w:color w:val="636466"/>
          <w:spacing w:val="-5"/>
          <w:sz w:val="18"/>
        </w:rPr>
        <w:t>0%</w:t>
      </w:r>
    </w:p>
    <w:p>
      <w:pPr>
        <w:tabs>
          <w:tab w:pos="3499" w:val="left" w:leader="none"/>
          <w:tab w:pos="5320" w:val="left" w:leader="none"/>
        </w:tabs>
        <w:spacing w:before="100"/>
        <w:ind w:left="1297" w:right="0" w:firstLine="0"/>
        <w:jc w:val="left"/>
        <w:rPr>
          <w:sz w:val="18"/>
        </w:rPr>
      </w:pPr>
      <w:r>
        <w:rPr/>
        <w:br w:type="column"/>
      </w:r>
      <w:r>
        <w:rPr>
          <w:color w:val="636466"/>
          <w:spacing w:val="-4"/>
          <w:sz w:val="18"/>
        </w:rPr>
        <w:t>Wayne</w:t>
      </w:r>
      <w:r>
        <w:rPr>
          <w:color w:val="636466"/>
          <w:spacing w:val="-1"/>
          <w:sz w:val="18"/>
        </w:rPr>
        <w:t> </w:t>
      </w:r>
      <w:r>
        <w:rPr>
          <w:color w:val="636466"/>
          <w:spacing w:val="-2"/>
          <w:sz w:val="18"/>
        </w:rPr>
        <w:t>County</w:t>
      </w:r>
      <w:r>
        <w:rPr>
          <w:color w:val="636466"/>
          <w:sz w:val="18"/>
        </w:rPr>
        <w:tab/>
        <w:t>8-County</w:t>
      </w:r>
      <w:r>
        <w:rPr>
          <w:color w:val="636466"/>
          <w:spacing w:val="-4"/>
          <w:sz w:val="18"/>
        </w:rPr>
        <w:t> </w:t>
      </w:r>
      <w:r>
        <w:rPr>
          <w:color w:val="636466"/>
          <w:spacing w:val="-2"/>
          <w:sz w:val="18"/>
        </w:rPr>
        <w:t>Region</w:t>
      </w:r>
      <w:r>
        <w:rPr>
          <w:color w:val="636466"/>
          <w:sz w:val="18"/>
        </w:rPr>
        <w:tab/>
      </w:r>
      <w:r>
        <w:rPr>
          <w:color w:val="636466"/>
          <w:position w:val="4"/>
          <w:sz w:val="18"/>
        </w:rPr>
        <w:drawing>
          <wp:inline distT="0" distB="0" distL="0" distR="0">
            <wp:extent cx="279400" cy="25400"/>
            <wp:effectExtent l="0" t="0" r="0" b="0"/>
            <wp:docPr id="1466" name="Image 1466"/>
            <wp:cNvGraphicFramePr>
              <a:graphicFrameLocks/>
            </wp:cNvGraphicFramePr>
            <a:graphic>
              <a:graphicData uri="http://schemas.openxmlformats.org/drawingml/2006/picture">
                <pic:pic>
                  <pic:nvPicPr>
                    <pic:cNvPr id="1466" name="Image 1466"/>
                    <pic:cNvPicPr/>
                  </pic:nvPicPr>
                  <pic:blipFill>
                    <a:blip r:embed="rId171" cstate="print"/>
                    <a:stretch>
                      <a:fillRect/>
                    </a:stretch>
                  </pic:blipFill>
                  <pic:spPr>
                    <a:xfrm>
                      <a:off x="0" y="0"/>
                      <a:ext cx="279400" cy="25400"/>
                    </a:xfrm>
                    <a:prstGeom prst="rect">
                      <a:avLst/>
                    </a:prstGeom>
                  </pic:spPr>
                </pic:pic>
              </a:graphicData>
            </a:graphic>
          </wp:inline>
        </w:drawing>
      </w:r>
      <w:r>
        <w:rPr>
          <w:color w:val="636466"/>
          <w:position w:val="4"/>
          <w:sz w:val="18"/>
        </w:rPr>
      </w:r>
      <w:r>
        <w:rPr>
          <w:rFonts w:ascii="Times New Roman"/>
          <w:color w:val="636466"/>
          <w:spacing w:val="80"/>
          <w:sz w:val="18"/>
        </w:rPr>
        <w:t> </w:t>
      </w:r>
      <w:r>
        <w:rPr>
          <w:color w:val="636466"/>
          <w:sz w:val="18"/>
        </w:rPr>
        <w:t>NYS</w:t>
      </w:r>
    </w:p>
    <w:p>
      <w:pPr>
        <w:pStyle w:val="BodyText"/>
        <w:spacing w:before="1"/>
        <w:rPr>
          <w:sz w:val="20"/>
        </w:rPr>
      </w:pPr>
      <w:r>
        <w:rPr>
          <w:sz w:val="20"/>
        </w:rPr>
        <mc:AlternateContent>
          <mc:Choice Requires="wps">
            <w:drawing>
              <wp:anchor distT="0" distB="0" distL="0" distR="0" allowOverlap="1" layoutInCell="1" locked="0" behindDoc="1" simplePos="0" relativeHeight="487732736">
                <wp:simplePos x="0" y="0"/>
                <wp:positionH relativeFrom="page">
                  <wp:posOffset>8997872</wp:posOffset>
                </wp:positionH>
                <wp:positionV relativeFrom="paragraph">
                  <wp:posOffset>162552</wp:posOffset>
                </wp:positionV>
                <wp:extent cx="4685030" cy="1478915"/>
                <wp:effectExtent l="0" t="0" r="0" b="0"/>
                <wp:wrapTopAndBottom/>
                <wp:docPr id="1467" name="Group 1467"/>
                <wp:cNvGraphicFramePr>
                  <a:graphicFrameLocks/>
                </wp:cNvGraphicFramePr>
                <a:graphic>
                  <a:graphicData uri="http://schemas.microsoft.com/office/word/2010/wordprocessingGroup">
                    <wpg:wgp>
                      <wpg:cNvPr id="1467" name="Group 1467"/>
                      <wpg:cNvGrpSpPr/>
                      <wpg:grpSpPr>
                        <a:xfrm>
                          <a:off x="0" y="0"/>
                          <a:ext cx="4685030" cy="1478915"/>
                          <a:chExt cx="4685030" cy="1478915"/>
                        </a:xfrm>
                      </wpg:grpSpPr>
                      <wps:wsp>
                        <wps:cNvPr id="1468" name="Graphic 1468"/>
                        <wps:cNvSpPr/>
                        <wps:spPr>
                          <a:xfrm>
                            <a:off x="5499" y="5499"/>
                            <a:ext cx="4673600" cy="1468120"/>
                          </a:xfrm>
                          <a:custGeom>
                            <a:avLst/>
                            <a:gdLst/>
                            <a:ahLst/>
                            <a:cxnLst/>
                            <a:rect l="l" t="t" r="r" b="b"/>
                            <a:pathLst>
                              <a:path w="4673600" h="1468120">
                                <a:moveTo>
                                  <a:pt x="4673447" y="1467650"/>
                                </a:moveTo>
                                <a:lnTo>
                                  <a:pt x="0" y="1467650"/>
                                </a:lnTo>
                                <a:lnTo>
                                  <a:pt x="0" y="0"/>
                                </a:lnTo>
                              </a:path>
                            </a:pathLst>
                          </a:custGeom>
                          <a:ln w="10998">
                            <a:solidFill>
                              <a:srgbClr val="BCBEC0"/>
                            </a:solidFill>
                            <a:prstDash val="solid"/>
                          </a:ln>
                        </wps:spPr>
                        <wps:bodyPr wrap="square" lIns="0" tIns="0" rIns="0" bIns="0" rtlCol="0">
                          <a:prstTxWarp prst="textNoShape">
                            <a:avLst/>
                          </a:prstTxWarp>
                          <a:noAutofit/>
                        </wps:bodyPr>
                      </wps:wsp>
                      <wps:wsp>
                        <wps:cNvPr id="1469" name="Graphic 1469"/>
                        <wps:cNvSpPr/>
                        <wps:spPr>
                          <a:xfrm>
                            <a:off x="418249" y="630186"/>
                            <a:ext cx="4038600" cy="323850"/>
                          </a:xfrm>
                          <a:custGeom>
                            <a:avLst/>
                            <a:gdLst/>
                            <a:ahLst/>
                            <a:cxnLst/>
                            <a:rect l="l" t="t" r="r" b="b"/>
                            <a:pathLst>
                              <a:path w="4038600" h="323850">
                                <a:moveTo>
                                  <a:pt x="0" y="28575"/>
                                </a:moveTo>
                                <a:lnTo>
                                  <a:pt x="800100" y="0"/>
                                </a:lnTo>
                                <a:lnTo>
                                  <a:pt x="1612900" y="38100"/>
                                </a:lnTo>
                                <a:lnTo>
                                  <a:pt x="2425700" y="114300"/>
                                </a:lnTo>
                                <a:lnTo>
                                  <a:pt x="3225800" y="228600"/>
                                </a:lnTo>
                                <a:lnTo>
                                  <a:pt x="4038600" y="323850"/>
                                </a:lnTo>
                              </a:path>
                            </a:pathLst>
                          </a:custGeom>
                          <a:ln w="21996">
                            <a:solidFill>
                              <a:srgbClr val="105C84"/>
                            </a:solidFill>
                            <a:prstDash val="solid"/>
                          </a:ln>
                        </wps:spPr>
                        <wps:bodyPr wrap="square" lIns="0" tIns="0" rIns="0" bIns="0" rtlCol="0">
                          <a:prstTxWarp prst="textNoShape">
                            <a:avLst/>
                          </a:prstTxWarp>
                          <a:noAutofit/>
                        </wps:bodyPr>
                      </wps:wsp>
                      <wps:wsp>
                        <wps:cNvPr id="1470" name="Graphic 1470"/>
                        <wps:cNvSpPr/>
                        <wps:spPr>
                          <a:xfrm>
                            <a:off x="418249" y="573035"/>
                            <a:ext cx="4038600" cy="276225"/>
                          </a:xfrm>
                          <a:custGeom>
                            <a:avLst/>
                            <a:gdLst/>
                            <a:ahLst/>
                            <a:cxnLst/>
                            <a:rect l="l" t="t" r="r" b="b"/>
                            <a:pathLst>
                              <a:path w="4038600" h="276225">
                                <a:moveTo>
                                  <a:pt x="0" y="0"/>
                                </a:moveTo>
                                <a:lnTo>
                                  <a:pt x="800100" y="0"/>
                                </a:lnTo>
                                <a:lnTo>
                                  <a:pt x="1612900" y="95250"/>
                                </a:lnTo>
                                <a:lnTo>
                                  <a:pt x="2425700" y="180975"/>
                                </a:lnTo>
                                <a:lnTo>
                                  <a:pt x="3225800" y="180975"/>
                                </a:lnTo>
                                <a:lnTo>
                                  <a:pt x="4038600" y="276225"/>
                                </a:lnTo>
                              </a:path>
                            </a:pathLst>
                          </a:custGeom>
                          <a:ln w="21996">
                            <a:solidFill>
                              <a:srgbClr val="82BF6A"/>
                            </a:solidFill>
                            <a:prstDash val="solid"/>
                          </a:ln>
                        </wps:spPr>
                        <wps:bodyPr wrap="square" lIns="0" tIns="0" rIns="0" bIns="0" rtlCol="0">
                          <a:prstTxWarp prst="textNoShape">
                            <a:avLst/>
                          </a:prstTxWarp>
                          <a:noAutofit/>
                        </wps:bodyPr>
                      </wps:wsp>
                      <wps:wsp>
                        <wps:cNvPr id="1471" name="Graphic 1471"/>
                        <wps:cNvSpPr/>
                        <wps:spPr>
                          <a:xfrm>
                            <a:off x="405549" y="115832"/>
                            <a:ext cx="3979545" cy="372745"/>
                          </a:xfrm>
                          <a:custGeom>
                            <a:avLst/>
                            <a:gdLst/>
                            <a:ahLst/>
                            <a:cxnLst/>
                            <a:rect l="l" t="t" r="r" b="b"/>
                            <a:pathLst>
                              <a:path w="3979545" h="372745">
                                <a:moveTo>
                                  <a:pt x="95923" y="0"/>
                                </a:moveTo>
                                <a:lnTo>
                                  <a:pt x="5689" y="0"/>
                                </a:lnTo>
                                <a:lnTo>
                                  <a:pt x="0" y="4254"/>
                                </a:lnTo>
                                <a:lnTo>
                                  <a:pt x="0" y="14782"/>
                                </a:lnTo>
                                <a:lnTo>
                                  <a:pt x="5689" y="19050"/>
                                </a:lnTo>
                                <a:lnTo>
                                  <a:pt x="95923" y="19050"/>
                                </a:lnTo>
                                <a:lnTo>
                                  <a:pt x="101600" y="14782"/>
                                </a:lnTo>
                                <a:lnTo>
                                  <a:pt x="101600" y="4254"/>
                                </a:lnTo>
                                <a:lnTo>
                                  <a:pt x="95923" y="0"/>
                                </a:lnTo>
                                <a:close/>
                              </a:path>
                              <a:path w="3979545" h="372745">
                                <a:moveTo>
                                  <a:pt x="273723" y="0"/>
                                </a:moveTo>
                                <a:lnTo>
                                  <a:pt x="183489" y="0"/>
                                </a:lnTo>
                                <a:lnTo>
                                  <a:pt x="177800" y="4254"/>
                                </a:lnTo>
                                <a:lnTo>
                                  <a:pt x="177800" y="14782"/>
                                </a:lnTo>
                                <a:lnTo>
                                  <a:pt x="183489" y="19050"/>
                                </a:lnTo>
                                <a:lnTo>
                                  <a:pt x="273723" y="19050"/>
                                </a:lnTo>
                                <a:lnTo>
                                  <a:pt x="279400" y="14782"/>
                                </a:lnTo>
                                <a:lnTo>
                                  <a:pt x="279400" y="4254"/>
                                </a:lnTo>
                                <a:lnTo>
                                  <a:pt x="273723" y="0"/>
                                </a:lnTo>
                                <a:close/>
                              </a:path>
                              <a:path w="3979545" h="372745">
                                <a:moveTo>
                                  <a:pt x="451523" y="0"/>
                                </a:moveTo>
                                <a:lnTo>
                                  <a:pt x="361289" y="0"/>
                                </a:lnTo>
                                <a:lnTo>
                                  <a:pt x="355600" y="4254"/>
                                </a:lnTo>
                                <a:lnTo>
                                  <a:pt x="355600" y="14782"/>
                                </a:lnTo>
                                <a:lnTo>
                                  <a:pt x="361289" y="19050"/>
                                </a:lnTo>
                                <a:lnTo>
                                  <a:pt x="451523" y="19050"/>
                                </a:lnTo>
                                <a:lnTo>
                                  <a:pt x="457200" y="14782"/>
                                </a:lnTo>
                                <a:lnTo>
                                  <a:pt x="457200" y="4254"/>
                                </a:lnTo>
                                <a:lnTo>
                                  <a:pt x="451523" y="0"/>
                                </a:lnTo>
                                <a:close/>
                              </a:path>
                              <a:path w="3979545" h="372745">
                                <a:moveTo>
                                  <a:pt x="629323" y="0"/>
                                </a:moveTo>
                                <a:lnTo>
                                  <a:pt x="539089" y="0"/>
                                </a:lnTo>
                                <a:lnTo>
                                  <a:pt x="533400" y="4254"/>
                                </a:lnTo>
                                <a:lnTo>
                                  <a:pt x="533400" y="14782"/>
                                </a:lnTo>
                                <a:lnTo>
                                  <a:pt x="539089" y="19050"/>
                                </a:lnTo>
                                <a:lnTo>
                                  <a:pt x="629323" y="19050"/>
                                </a:lnTo>
                                <a:lnTo>
                                  <a:pt x="635000" y="14782"/>
                                </a:lnTo>
                                <a:lnTo>
                                  <a:pt x="635000" y="4254"/>
                                </a:lnTo>
                                <a:lnTo>
                                  <a:pt x="629323" y="0"/>
                                </a:lnTo>
                                <a:close/>
                              </a:path>
                              <a:path w="3979545" h="372745">
                                <a:moveTo>
                                  <a:pt x="807123" y="0"/>
                                </a:moveTo>
                                <a:lnTo>
                                  <a:pt x="716889" y="0"/>
                                </a:lnTo>
                                <a:lnTo>
                                  <a:pt x="711200" y="4254"/>
                                </a:lnTo>
                                <a:lnTo>
                                  <a:pt x="711200" y="14782"/>
                                </a:lnTo>
                                <a:lnTo>
                                  <a:pt x="716889" y="19050"/>
                                </a:lnTo>
                                <a:lnTo>
                                  <a:pt x="807123" y="19050"/>
                                </a:lnTo>
                                <a:lnTo>
                                  <a:pt x="812800" y="14782"/>
                                </a:lnTo>
                                <a:lnTo>
                                  <a:pt x="812800" y="4254"/>
                                </a:lnTo>
                                <a:lnTo>
                                  <a:pt x="807123" y="0"/>
                                </a:lnTo>
                                <a:close/>
                              </a:path>
                              <a:path w="3979545" h="372745">
                                <a:moveTo>
                                  <a:pt x="895667" y="9588"/>
                                </a:moveTo>
                                <a:lnTo>
                                  <a:pt x="889165" y="13144"/>
                                </a:lnTo>
                                <a:lnTo>
                                  <a:pt x="887006" y="23545"/>
                                </a:lnTo>
                                <a:lnTo>
                                  <a:pt x="891743" y="28409"/>
                                </a:lnTo>
                                <a:lnTo>
                                  <a:pt x="980897" y="38862"/>
                                </a:lnTo>
                                <a:lnTo>
                                  <a:pt x="987386" y="35306"/>
                                </a:lnTo>
                                <a:lnTo>
                                  <a:pt x="989545" y="24904"/>
                                </a:lnTo>
                                <a:lnTo>
                                  <a:pt x="984808" y="20040"/>
                                </a:lnTo>
                                <a:lnTo>
                                  <a:pt x="895667" y="9588"/>
                                </a:lnTo>
                                <a:close/>
                              </a:path>
                              <a:path w="3979545" h="372745">
                                <a:moveTo>
                                  <a:pt x="1071333" y="30175"/>
                                </a:moveTo>
                                <a:lnTo>
                                  <a:pt x="1064831" y="33731"/>
                                </a:lnTo>
                                <a:lnTo>
                                  <a:pt x="1062672" y="44132"/>
                                </a:lnTo>
                                <a:lnTo>
                                  <a:pt x="1067409" y="48996"/>
                                </a:lnTo>
                                <a:lnTo>
                                  <a:pt x="1156563" y="59448"/>
                                </a:lnTo>
                                <a:lnTo>
                                  <a:pt x="1163053" y="55880"/>
                                </a:lnTo>
                                <a:lnTo>
                                  <a:pt x="1165225" y="45491"/>
                                </a:lnTo>
                                <a:lnTo>
                                  <a:pt x="1160475" y="40614"/>
                                </a:lnTo>
                                <a:lnTo>
                                  <a:pt x="1071333" y="30175"/>
                                </a:lnTo>
                                <a:close/>
                              </a:path>
                              <a:path w="3979545" h="372745">
                                <a:moveTo>
                                  <a:pt x="1247000" y="50761"/>
                                </a:moveTo>
                                <a:lnTo>
                                  <a:pt x="1240510" y="54317"/>
                                </a:lnTo>
                                <a:lnTo>
                                  <a:pt x="1238338" y="64719"/>
                                </a:lnTo>
                                <a:lnTo>
                                  <a:pt x="1243088" y="69583"/>
                                </a:lnTo>
                                <a:lnTo>
                                  <a:pt x="1332230" y="80035"/>
                                </a:lnTo>
                                <a:lnTo>
                                  <a:pt x="1338719" y="76466"/>
                                </a:lnTo>
                                <a:lnTo>
                                  <a:pt x="1340891" y="66078"/>
                                </a:lnTo>
                                <a:lnTo>
                                  <a:pt x="1336154" y="61201"/>
                                </a:lnTo>
                                <a:lnTo>
                                  <a:pt x="1247000" y="50761"/>
                                </a:lnTo>
                                <a:close/>
                              </a:path>
                              <a:path w="3979545" h="372745">
                                <a:moveTo>
                                  <a:pt x="1422666" y="71348"/>
                                </a:moveTo>
                                <a:lnTo>
                                  <a:pt x="1416177" y="74891"/>
                                </a:lnTo>
                                <a:lnTo>
                                  <a:pt x="1414005" y="85305"/>
                                </a:lnTo>
                                <a:lnTo>
                                  <a:pt x="1418755" y="90170"/>
                                </a:lnTo>
                                <a:lnTo>
                                  <a:pt x="1507896" y="100622"/>
                                </a:lnTo>
                                <a:lnTo>
                                  <a:pt x="1514386" y="97066"/>
                                </a:lnTo>
                                <a:lnTo>
                                  <a:pt x="1516557" y="86664"/>
                                </a:lnTo>
                                <a:lnTo>
                                  <a:pt x="1511820" y="81788"/>
                                </a:lnTo>
                                <a:lnTo>
                                  <a:pt x="1422666" y="71348"/>
                                </a:lnTo>
                                <a:close/>
                              </a:path>
                              <a:path w="3979545" h="372745">
                                <a:moveTo>
                                  <a:pt x="1598333" y="91935"/>
                                </a:moveTo>
                                <a:lnTo>
                                  <a:pt x="1591843" y="95491"/>
                                </a:lnTo>
                                <a:lnTo>
                                  <a:pt x="1589684" y="105879"/>
                                </a:lnTo>
                                <a:lnTo>
                                  <a:pt x="1594421" y="110756"/>
                                </a:lnTo>
                                <a:lnTo>
                                  <a:pt x="1623631" y="114173"/>
                                </a:lnTo>
                                <a:lnTo>
                                  <a:pt x="1683893" y="120535"/>
                                </a:lnTo>
                                <a:lnTo>
                                  <a:pt x="1690319" y="116903"/>
                                </a:lnTo>
                                <a:lnTo>
                                  <a:pt x="1692262" y="106489"/>
                                </a:lnTo>
                                <a:lnTo>
                                  <a:pt x="1687423" y="101676"/>
                                </a:lnTo>
                                <a:lnTo>
                                  <a:pt x="1628772" y="95491"/>
                                </a:lnTo>
                                <a:lnTo>
                                  <a:pt x="1598333" y="91935"/>
                                </a:lnTo>
                                <a:close/>
                              </a:path>
                              <a:path w="3979545" h="372745">
                                <a:moveTo>
                                  <a:pt x="1774151" y="110820"/>
                                </a:moveTo>
                                <a:lnTo>
                                  <a:pt x="1767725" y="114452"/>
                                </a:lnTo>
                                <a:lnTo>
                                  <a:pt x="1765769" y="124866"/>
                                </a:lnTo>
                                <a:lnTo>
                                  <a:pt x="1770608" y="129679"/>
                                </a:lnTo>
                                <a:lnTo>
                                  <a:pt x="1859953" y="139103"/>
                                </a:lnTo>
                                <a:lnTo>
                                  <a:pt x="1866379" y="135483"/>
                                </a:lnTo>
                                <a:lnTo>
                                  <a:pt x="1868335" y="125069"/>
                                </a:lnTo>
                                <a:lnTo>
                                  <a:pt x="1863496" y="120243"/>
                                </a:lnTo>
                                <a:lnTo>
                                  <a:pt x="1774151" y="110820"/>
                                </a:lnTo>
                                <a:close/>
                              </a:path>
                              <a:path w="3979545" h="372745">
                                <a:moveTo>
                                  <a:pt x="1950212" y="129387"/>
                                </a:moveTo>
                                <a:lnTo>
                                  <a:pt x="1943785" y="133019"/>
                                </a:lnTo>
                                <a:lnTo>
                                  <a:pt x="1941842" y="143433"/>
                                </a:lnTo>
                                <a:lnTo>
                                  <a:pt x="1946681" y="148259"/>
                                </a:lnTo>
                                <a:lnTo>
                                  <a:pt x="2036025" y="157670"/>
                                </a:lnTo>
                                <a:lnTo>
                                  <a:pt x="2042452" y="154051"/>
                                </a:lnTo>
                                <a:lnTo>
                                  <a:pt x="2044407" y="143637"/>
                                </a:lnTo>
                                <a:lnTo>
                                  <a:pt x="2039569" y="138811"/>
                                </a:lnTo>
                                <a:lnTo>
                                  <a:pt x="1950212" y="129387"/>
                                </a:lnTo>
                                <a:close/>
                              </a:path>
                              <a:path w="3979545" h="372745">
                                <a:moveTo>
                                  <a:pt x="2126284" y="147955"/>
                                </a:moveTo>
                                <a:lnTo>
                                  <a:pt x="2119858" y="151587"/>
                                </a:lnTo>
                                <a:lnTo>
                                  <a:pt x="2117902" y="162013"/>
                                </a:lnTo>
                                <a:lnTo>
                                  <a:pt x="2122741" y="166827"/>
                                </a:lnTo>
                                <a:lnTo>
                                  <a:pt x="2212098" y="176250"/>
                                </a:lnTo>
                                <a:lnTo>
                                  <a:pt x="2218512" y="172618"/>
                                </a:lnTo>
                                <a:lnTo>
                                  <a:pt x="2220468" y="162191"/>
                                </a:lnTo>
                                <a:lnTo>
                                  <a:pt x="2215629" y="157391"/>
                                </a:lnTo>
                                <a:lnTo>
                                  <a:pt x="2126284" y="147955"/>
                                </a:lnTo>
                                <a:close/>
                              </a:path>
                              <a:path w="3979545" h="372745">
                                <a:moveTo>
                                  <a:pt x="2302344" y="166522"/>
                                </a:moveTo>
                                <a:lnTo>
                                  <a:pt x="2295931" y="170154"/>
                                </a:lnTo>
                                <a:lnTo>
                                  <a:pt x="2293975" y="180581"/>
                                </a:lnTo>
                                <a:lnTo>
                                  <a:pt x="2298814" y="185394"/>
                                </a:lnTo>
                                <a:lnTo>
                                  <a:pt x="2388158" y="194818"/>
                                </a:lnTo>
                                <a:lnTo>
                                  <a:pt x="2394585" y="191185"/>
                                </a:lnTo>
                                <a:lnTo>
                                  <a:pt x="2396540" y="180759"/>
                                </a:lnTo>
                                <a:lnTo>
                                  <a:pt x="2391702" y="175945"/>
                                </a:lnTo>
                                <a:lnTo>
                                  <a:pt x="2302344" y="166522"/>
                                </a:lnTo>
                                <a:close/>
                              </a:path>
                              <a:path w="3979545" h="372745">
                                <a:moveTo>
                                  <a:pt x="2478532" y="185623"/>
                                </a:moveTo>
                                <a:lnTo>
                                  <a:pt x="2472029" y="189179"/>
                                </a:lnTo>
                                <a:lnTo>
                                  <a:pt x="2469832" y="199567"/>
                                </a:lnTo>
                                <a:lnTo>
                                  <a:pt x="2474556" y="204444"/>
                                </a:lnTo>
                                <a:lnTo>
                                  <a:pt x="2563672" y="215061"/>
                                </a:lnTo>
                                <a:lnTo>
                                  <a:pt x="2570175" y="211505"/>
                                </a:lnTo>
                                <a:lnTo>
                                  <a:pt x="2572372" y="201117"/>
                                </a:lnTo>
                                <a:lnTo>
                                  <a:pt x="2567660" y="196240"/>
                                </a:lnTo>
                                <a:lnTo>
                                  <a:pt x="2478532" y="185623"/>
                                </a:lnTo>
                                <a:close/>
                              </a:path>
                              <a:path w="3979545" h="372745">
                                <a:moveTo>
                                  <a:pt x="2654147" y="206540"/>
                                </a:moveTo>
                                <a:lnTo>
                                  <a:pt x="2647632" y="210083"/>
                                </a:lnTo>
                                <a:lnTo>
                                  <a:pt x="2645435" y="220459"/>
                                </a:lnTo>
                                <a:lnTo>
                                  <a:pt x="2650159" y="225348"/>
                                </a:lnTo>
                                <a:lnTo>
                                  <a:pt x="2739275" y="235953"/>
                                </a:lnTo>
                                <a:lnTo>
                                  <a:pt x="2745778" y="232422"/>
                                </a:lnTo>
                                <a:lnTo>
                                  <a:pt x="2747975" y="222021"/>
                                </a:lnTo>
                                <a:lnTo>
                                  <a:pt x="2743250" y="217144"/>
                                </a:lnTo>
                                <a:lnTo>
                                  <a:pt x="2654147" y="206540"/>
                                </a:lnTo>
                                <a:close/>
                              </a:path>
                              <a:path w="3979545" h="372745">
                                <a:moveTo>
                                  <a:pt x="2829737" y="227431"/>
                                </a:moveTo>
                                <a:lnTo>
                                  <a:pt x="2823235" y="230974"/>
                                </a:lnTo>
                                <a:lnTo>
                                  <a:pt x="2821038" y="241376"/>
                                </a:lnTo>
                                <a:lnTo>
                                  <a:pt x="2825762" y="246240"/>
                                </a:lnTo>
                                <a:lnTo>
                                  <a:pt x="2914878" y="256857"/>
                                </a:lnTo>
                                <a:lnTo>
                                  <a:pt x="2921381" y="253314"/>
                                </a:lnTo>
                                <a:lnTo>
                                  <a:pt x="2923578" y="242925"/>
                                </a:lnTo>
                                <a:lnTo>
                                  <a:pt x="2918853" y="238048"/>
                                </a:lnTo>
                                <a:lnTo>
                                  <a:pt x="2829737" y="227431"/>
                                </a:lnTo>
                                <a:close/>
                              </a:path>
                              <a:path w="3979545" h="372745">
                                <a:moveTo>
                                  <a:pt x="3005340" y="248335"/>
                                </a:moveTo>
                                <a:lnTo>
                                  <a:pt x="2998838" y="251891"/>
                                </a:lnTo>
                                <a:lnTo>
                                  <a:pt x="2996641" y="262267"/>
                                </a:lnTo>
                                <a:lnTo>
                                  <a:pt x="3001365" y="267157"/>
                                </a:lnTo>
                                <a:lnTo>
                                  <a:pt x="3090468" y="277761"/>
                                </a:lnTo>
                                <a:lnTo>
                                  <a:pt x="3096983" y="274231"/>
                                </a:lnTo>
                                <a:lnTo>
                                  <a:pt x="3099181" y="263829"/>
                                </a:lnTo>
                                <a:lnTo>
                                  <a:pt x="3094456" y="258940"/>
                                </a:lnTo>
                                <a:lnTo>
                                  <a:pt x="3005340" y="248335"/>
                                </a:lnTo>
                                <a:close/>
                              </a:path>
                              <a:path w="3979545" h="372745">
                                <a:moveTo>
                                  <a:pt x="3180943" y="269252"/>
                                </a:moveTo>
                                <a:lnTo>
                                  <a:pt x="3174441" y="272783"/>
                                </a:lnTo>
                                <a:lnTo>
                                  <a:pt x="3172244" y="283184"/>
                                </a:lnTo>
                                <a:lnTo>
                                  <a:pt x="3176968" y="288061"/>
                                </a:lnTo>
                                <a:lnTo>
                                  <a:pt x="3236506" y="295148"/>
                                </a:lnTo>
                                <a:lnTo>
                                  <a:pt x="3266376" y="298297"/>
                                </a:lnTo>
                                <a:lnTo>
                                  <a:pt x="3272802" y="294678"/>
                                </a:lnTo>
                                <a:lnTo>
                                  <a:pt x="3274758" y="284264"/>
                                </a:lnTo>
                                <a:lnTo>
                                  <a:pt x="3269907" y="279438"/>
                                </a:lnTo>
                                <a:lnTo>
                                  <a:pt x="3240493" y="276339"/>
                                </a:lnTo>
                                <a:lnTo>
                                  <a:pt x="3180943" y="269252"/>
                                </a:lnTo>
                                <a:close/>
                              </a:path>
                              <a:path w="3979545" h="372745">
                                <a:moveTo>
                                  <a:pt x="3356635" y="288582"/>
                                </a:moveTo>
                                <a:lnTo>
                                  <a:pt x="3350209" y="292214"/>
                                </a:lnTo>
                                <a:lnTo>
                                  <a:pt x="3348253" y="302628"/>
                                </a:lnTo>
                                <a:lnTo>
                                  <a:pt x="3353092" y="307454"/>
                                </a:lnTo>
                                <a:lnTo>
                                  <a:pt x="3442449" y="316877"/>
                                </a:lnTo>
                                <a:lnTo>
                                  <a:pt x="3448862" y="313245"/>
                                </a:lnTo>
                                <a:lnTo>
                                  <a:pt x="3450818" y="302818"/>
                                </a:lnTo>
                                <a:lnTo>
                                  <a:pt x="3445979" y="298005"/>
                                </a:lnTo>
                                <a:lnTo>
                                  <a:pt x="3356635" y="288582"/>
                                </a:lnTo>
                                <a:close/>
                              </a:path>
                              <a:path w="3979545" h="372745">
                                <a:moveTo>
                                  <a:pt x="3532695" y="307149"/>
                                </a:moveTo>
                                <a:lnTo>
                                  <a:pt x="3526282" y="310781"/>
                                </a:lnTo>
                                <a:lnTo>
                                  <a:pt x="3524326" y="321208"/>
                                </a:lnTo>
                                <a:lnTo>
                                  <a:pt x="3529164" y="326021"/>
                                </a:lnTo>
                                <a:lnTo>
                                  <a:pt x="3618509" y="335445"/>
                                </a:lnTo>
                                <a:lnTo>
                                  <a:pt x="3624935" y="331812"/>
                                </a:lnTo>
                                <a:lnTo>
                                  <a:pt x="3626891" y="321386"/>
                                </a:lnTo>
                                <a:lnTo>
                                  <a:pt x="3622052" y="316572"/>
                                </a:lnTo>
                                <a:lnTo>
                                  <a:pt x="3532695" y="307149"/>
                                </a:lnTo>
                                <a:close/>
                              </a:path>
                              <a:path w="3979545" h="372745">
                                <a:moveTo>
                                  <a:pt x="3708768" y="325716"/>
                                </a:moveTo>
                                <a:lnTo>
                                  <a:pt x="3702342" y="329349"/>
                                </a:lnTo>
                                <a:lnTo>
                                  <a:pt x="3700386" y="339775"/>
                                </a:lnTo>
                                <a:lnTo>
                                  <a:pt x="3705237" y="344589"/>
                                </a:lnTo>
                                <a:lnTo>
                                  <a:pt x="3794582" y="354012"/>
                                </a:lnTo>
                                <a:lnTo>
                                  <a:pt x="3801008" y="350380"/>
                                </a:lnTo>
                                <a:lnTo>
                                  <a:pt x="3801973" y="345160"/>
                                </a:lnTo>
                                <a:lnTo>
                                  <a:pt x="3802964" y="339953"/>
                                </a:lnTo>
                                <a:lnTo>
                                  <a:pt x="3798112" y="335140"/>
                                </a:lnTo>
                                <a:lnTo>
                                  <a:pt x="3708768" y="325716"/>
                                </a:lnTo>
                                <a:close/>
                              </a:path>
                              <a:path w="3979545" h="372745">
                                <a:moveTo>
                                  <a:pt x="3884841" y="344284"/>
                                </a:moveTo>
                                <a:lnTo>
                                  <a:pt x="3878414" y="347916"/>
                                </a:lnTo>
                                <a:lnTo>
                                  <a:pt x="3876459" y="358343"/>
                                </a:lnTo>
                                <a:lnTo>
                                  <a:pt x="3881297" y="363143"/>
                                </a:lnTo>
                                <a:lnTo>
                                  <a:pt x="3970654" y="372579"/>
                                </a:lnTo>
                                <a:lnTo>
                                  <a:pt x="3977068" y="368960"/>
                                </a:lnTo>
                                <a:lnTo>
                                  <a:pt x="3979024" y="358533"/>
                                </a:lnTo>
                                <a:lnTo>
                                  <a:pt x="3974185" y="353707"/>
                                </a:lnTo>
                                <a:lnTo>
                                  <a:pt x="3884841" y="344284"/>
                                </a:lnTo>
                                <a:close/>
                              </a:path>
                            </a:pathLst>
                          </a:custGeom>
                          <a:solidFill>
                            <a:srgbClr val="BCBEC0"/>
                          </a:solidFill>
                        </wps:spPr>
                        <wps:bodyPr wrap="square" lIns="0" tIns="0" rIns="0" bIns="0" rtlCol="0">
                          <a:prstTxWarp prst="textNoShape">
                            <a:avLst/>
                          </a:prstTxWarp>
                          <a:noAutofit/>
                        </wps:bodyPr>
                      </wps:wsp>
                    </wpg:wgp>
                  </a:graphicData>
                </a:graphic>
              </wp:anchor>
            </w:drawing>
          </mc:Choice>
          <mc:Fallback>
            <w:pict>
              <v:group style="position:absolute;margin-left:708.493896pt;margin-top:12.79944pt;width:368.9pt;height:116.45pt;mso-position-horizontal-relative:page;mso-position-vertical-relative:paragraph;z-index:-15583744;mso-wrap-distance-left:0;mso-wrap-distance-right:0" id="docshapegroup1159" coordorigin="14170,256" coordsize="7378,2329">
                <v:shape style="position:absolute;left:14178;top:264;width:7360;height:2312" id="docshape1160" coordorigin="14179,265" coordsize="7360,2312" path="m21538,2576l14179,2576,14179,265e" filled="false" stroked="true" strokeweight=".866pt" strokecolor="#bcbec0">
                  <v:path arrowok="t"/>
                  <v:stroke dashstyle="solid"/>
                </v:shape>
                <v:shape style="position:absolute;left:14828;top:1248;width:6360;height:510" id="docshape1161" coordorigin="14829,1248" coordsize="6360,510" path="m14829,1293l16089,1248,17369,1308,18649,1428,19909,1608,21189,1758e" filled="false" stroked="true" strokeweight="1.732pt" strokecolor="#105c84">
                  <v:path arrowok="t"/>
                  <v:stroke dashstyle="solid"/>
                </v:shape>
                <v:shape style="position:absolute;left:14828;top:1158;width:6360;height:435" id="docshape1162" coordorigin="14829,1158" coordsize="6360,435" path="m14829,1158l16089,1158,17369,1308,18649,1443,19909,1443,21189,1593e" filled="false" stroked="true" strokeweight="1.732pt" strokecolor="#82bf6a">
                  <v:path arrowok="t"/>
                  <v:stroke dashstyle="solid"/>
                </v:shape>
                <v:shape style="position:absolute;left:14808;top:438;width:6267;height:587" id="docshape1163" coordorigin="14809,438" coordsize="6267,587" path="m14960,438l14817,438,14809,445,14809,462,14817,468,14960,468,14969,462,14969,445,14960,438xm15240,438l15097,438,15089,445,15089,462,15097,468,15240,468,15249,462,15249,445,15240,438xm15520,438l15377,438,15369,445,15369,462,15377,468,15520,468,15529,462,15529,445,15520,438xm15800,438l15657,438,15649,445,15649,462,15657,468,15800,468,15809,462,15809,445,15800,438xm16080,438l15937,438,15929,445,15929,462,15937,468,16080,468,16089,462,16089,445,16080,438xm16219,454l16209,459,16205,475,16213,483,16353,500,16363,494,16367,478,16359,470,16219,454xm16496,486l16485,492,16482,508,16489,516,16630,532,16640,526,16644,510,16636,502,16496,486xm16772,518l16762,524,16759,540,16766,548,16907,564,16917,559,16920,542,16913,535,16772,518xm17049,551l17039,556,17035,573,17043,580,17183,597,17193,591,17197,575,17189,567,17049,551xm17326,583l17315,589,17312,605,17319,613,17365,618,17460,628,17470,623,17474,606,17466,599,17374,589,17326,583xm17602,613l17592,619,17589,635,17597,643,17738,657,17748,652,17751,635,17743,628,17602,613xm17880,642l17870,648,17867,664,17874,672,18015,687,18025,681,18028,665,18020,657,17880,642xm18157,671l18147,677,18144,694,18151,701,18292,716,18302,710,18305,694,18298,686,18157,671xm18434,701l18424,706,18421,723,18429,730,18569,745,18580,739,18583,723,18575,715,18434,701xm18712,731l18701,736,18698,753,18705,760,18846,777,18856,771,18860,755,18852,747,18712,731xm18988,764l18978,769,18975,786,18982,793,19122,810,19133,804,19136,788,19129,780,18988,764xm19265,797l19255,802,19251,819,19259,826,19399,843,19409,837,19413,821,19405,813,19265,797xm19541,829l19531,835,19528,851,19535,859,19675,876,19686,870,19689,854,19682,846,19541,829xm19818,862l19808,868,19804,884,19812,892,19905,903,19952,908,19963,902,19966,886,19958,878,19912,874,19818,862xm20095,893l20084,899,20081,915,20089,923,20230,937,20240,932,20243,915,20235,908,20095,893xm20372,922l20362,928,20359,944,20366,952,20507,967,20517,961,20520,945,20513,937,20372,922xm20649,951l20639,957,20636,973,20644,981,20784,996,20794,990,20796,982,20797,974,20790,966,20649,951xm20926,981l20916,986,20913,1003,20921,1010,21062,1025,21072,1019,21075,1003,21067,995,20926,981xe" filled="true" fillcolor="#bcbec0" stroked="false">
                  <v:path arrowok="t"/>
                  <v:fill type="solid"/>
                </v:shape>
                <w10:wrap type="topAndBottom"/>
              </v:group>
            </w:pict>
          </mc:Fallback>
        </mc:AlternateContent>
      </w:r>
    </w:p>
    <w:p>
      <w:pPr>
        <w:tabs>
          <w:tab w:pos="1759" w:val="left" w:leader="none"/>
          <w:tab w:pos="3033" w:val="left" w:leader="none"/>
          <w:tab w:pos="4306" w:val="left" w:leader="none"/>
          <w:tab w:pos="5580" w:val="left" w:leader="none"/>
          <w:tab w:pos="6854" w:val="left" w:leader="none"/>
        </w:tabs>
        <w:spacing w:before="65"/>
        <w:ind w:left="485" w:right="0" w:firstLine="0"/>
        <w:jc w:val="left"/>
        <w:rPr>
          <w:sz w:val="18"/>
        </w:rPr>
      </w:pPr>
      <w:r>
        <w:rPr>
          <w:color w:val="636466"/>
          <w:spacing w:val="-4"/>
          <w:sz w:val="18"/>
        </w:rPr>
        <w:t>2012</w:t>
      </w:r>
      <w:r>
        <w:rPr>
          <w:color w:val="636466"/>
          <w:sz w:val="18"/>
        </w:rPr>
        <w:tab/>
      </w:r>
      <w:r>
        <w:rPr>
          <w:color w:val="636466"/>
          <w:spacing w:val="-4"/>
          <w:sz w:val="18"/>
        </w:rPr>
        <w:t>2013</w:t>
      </w:r>
      <w:r>
        <w:rPr>
          <w:color w:val="636466"/>
          <w:sz w:val="18"/>
        </w:rPr>
        <w:tab/>
      </w:r>
      <w:r>
        <w:rPr>
          <w:color w:val="636466"/>
          <w:spacing w:val="-4"/>
          <w:sz w:val="18"/>
        </w:rPr>
        <w:t>2014</w:t>
      </w:r>
      <w:r>
        <w:rPr>
          <w:color w:val="636466"/>
          <w:sz w:val="18"/>
        </w:rPr>
        <w:tab/>
      </w:r>
      <w:r>
        <w:rPr>
          <w:color w:val="636466"/>
          <w:spacing w:val="-4"/>
          <w:sz w:val="18"/>
        </w:rPr>
        <w:t>2015</w:t>
      </w:r>
      <w:r>
        <w:rPr>
          <w:color w:val="636466"/>
          <w:sz w:val="18"/>
        </w:rPr>
        <w:tab/>
      </w:r>
      <w:r>
        <w:rPr>
          <w:color w:val="636466"/>
          <w:spacing w:val="-4"/>
          <w:sz w:val="18"/>
        </w:rPr>
        <w:t>2016</w:t>
      </w:r>
      <w:r>
        <w:rPr>
          <w:color w:val="636466"/>
          <w:sz w:val="18"/>
        </w:rPr>
        <w:tab/>
      </w:r>
      <w:r>
        <w:rPr>
          <w:color w:val="636466"/>
          <w:spacing w:val="-4"/>
          <w:sz w:val="18"/>
        </w:rPr>
        <w:t>2017</w:t>
      </w:r>
    </w:p>
    <w:p>
      <w:pPr>
        <w:spacing w:after="0"/>
        <w:jc w:val="left"/>
        <w:rPr>
          <w:sz w:val="18"/>
        </w:rPr>
        <w:sectPr>
          <w:type w:val="continuous"/>
          <w:pgSz w:w="24480" w:h="15840" w:orient="landscape"/>
          <w:pgMar w:header="0" w:footer="0" w:top="0" w:bottom="280" w:left="0" w:right="720"/>
          <w:cols w:num="2" w:equalWidth="0">
            <w:col w:w="14068" w:space="40"/>
            <w:col w:w="9652"/>
          </w:cols>
        </w:sectPr>
      </w:pPr>
    </w:p>
    <w:p>
      <w:pPr>
        <w:pStyle w:val="BodyText"/>
        <w:spacing w:before="11"/>
        <w:rPr>
          <w:sz w:val="14"/>
        </w:rPr>
      </w:pPr>
    </w:p>
    <w:p>
      <w:pPr>
        <w:pStyle w:val="BodyText"/>
        <w:spacing w:after="0"/>
        <w:rPr>
          <w:sz w:val="14"/>
        </w:rPr>
        <w:sectPr>
          <w:type w:val="continuous"/>
          <w:pgSz w:w="24480" w:h="15840" w:orient="landscape"/>
          <w:pgMar w:header="0" w:footer="0" w:top="0" w:bottom="280" w:left="0" w:right="720"/>
        </w:sectPr>
      </w:pPr>
    </w:p>
    <w:p>
      <w:pPr>
        <w:pStyle w:val="BodyText"/>
        <w:spacing w:before="85"/>
        <w:rPr>
          <w:sz w:val="16"/>
        </w:rPr>
      </w:pPr>
    </w:p>
    <w:p>
      <w:pPr>
        <w:spacing w:before="0"/>
        <w:ind w:left="1094" w:right="0" w:firstLine="0"/>
        <w:jc w:val="left"/>
        <w:rPr>
          <w:sz w:val="16"/>
        </w:rPr>
      </w:pPr>
      <w:r>
        <w:rPr>
          <w:color w:val="0C5D86"/>
          <w:spacing w:val="-4"/>
          <w:sz w:val="16"/>
        </w:rPr>
        <w:t>Source:</w:t>
      </w:r>
      <w:r>
        <w:rPr>
          <w:color w:val="0C5D86"/>
          <w:spacing w:val="-2"/>
          <w:sz w:val="16"/>
        </w:rPr>
        <w:t> </w:t>
      </w:r>
      <w:r>
        <w:rPr>
          <w:color w:val="0C5D86"/>
          <w:spacing w:val="-4"/>
          <w:sz w:val="16"/>
        </w:rPr>
        <w:t>U.S.</w:t>
      </w:r>
      <w:r>
        <w:rPr>
          <w:color w:val="0C5D86"/>
          <w:spacing w:val="-1"/>
          <w:sz w:val="16"/>
        </w:rPr>
        <w:t> </w:t>
      </w:r>
      <w:r>
        <w:rPr>
          <w:color w:val="0C5D86"/>
          <w:spacing w:val="-4"/>
          <w:sz w:val="16"/>
        </w:rPr>
        <w:t>Census</w:t>
      </w:r>
      <w:r>
        <w:rPr>
          <w:color w:val="0C5D86"/>
          <w:spacing w:val="-1"/>
          <w:sz w:val="16"/>
        </w:rPr>
        <w:t> </w:t>
      </w:r>
      <w:r>
        <w:rPr>
          <w:color w:val="0C5D86"/>
          <w:spacing w:val="-4"/>
          <w:sz w:val="16"/>
        </w:rPr>
        <w:t>Bureau</w:t>
      </w:r>
      <w:r>
        <w:rPr>
          <w:color w:val="0C5D86"/>
          <w:spacing w:val="-1"/>
          <w:sz w:val="16"/>
        </w:rPr>
        <w:t> </w:t>
      </w:r>
      <w:r>
        <w:rPr>
          <w:color w:val="0C5D86"/>
          <w:spacing w:val="-4"/>
          <w:sz w:val="16"/>
        </w:rPr>
        <w:t>American</w:t>
      </w:r>
      <w:r>
        <w:rPr>
          <w:color w:val="0C5D86"/>
          <w:spacing w:val="-1"/>
          <w:sz w:val="16"/>
        </w:rPr>
        <w:t> </w:t>
      </w:r>
      <w:r>
        <w:rPr>
          <w:color w:val="0C5D86"/>
          <w:spacing w:val="-4"/>
          <w:sz w:val="16"/>
        </w:rPr>
        <w:t>Community</w:t>
      </w:r>
      <w:r>
        <w:rPr>
          <w:color w:val="0C5D86"/>
          <w:spacing w:val="-1"/>
          <w:sz w:val="16"/>
        </w:rPr>
        <w:t> </w:t>
      </w:r>
      <w:r>
        <w:rPr>
          <w:color w:val="0C5D86"/>
          <w:spacing w:val="-4"/>
          <w:sz w:val="16"/>
        </w:rPr>
        <w:t>Survey</w:t>
      </w:r>
      <w:r>
        <w:rPr>
          <w:color w:val="0C5D86"/>
          <w:spacing w:val="-1"/>
          <w:sz w:val="16"/>
        </w:rPr>
        <w:t> </w:t>
      </w:r>
      <w:r>
        <w:rPr>
          <w:color w:val="0C5D86"/>
          <w:spacing w:val="-4"/>
          <w:sz w:val="16"/>
        </w:rPr>
        <w:t>2013-2017</w:t>
      </w:r>
      <w:r>
        <w:rPr>
          <w:color w:val="0C5D86"/>
          <w:spacing w:val="-1"/>
          <w:sz w:val="16"/>
        </w:rPr>
        <w:t> </w:t>
      </w:r>
      <w:r>
        <w:rPr>
          <w:color w:val="0C5D86"/>
          <w:spacing w:val="-4"/>
          <w:sz w:val="16"/>
        </w:rPr>
        <w:t>5-Year</w:t>
      </w:r>
      <w:r>
        <w:rPr>
          <w:color w:val="0C5D86"/>
          <w:spacing w:val="-1"/>
          <w:sz w:val="16"/>
        </w:rPr>
        <w:t> </w:t>
      </w:r>
      <w:r>
        <w:rPr>
          <w:color w:val="0C5D86"/>
          <w:spacing w:val="-4"/>
          <w:sz w:val="16"/>
        </w:rPr>
        <w:t>estimates</w:t>
      </w:r>
    </w:p>
    <w:p>
      <w:pPr>
        <w:spacing w:before="100"/>
        <w:ind w:left="1924" w:right="0" w:firstLine="0"/>
        <w:jc w:val="left"/>
        <w:rPr>
          <w:sz w:val="16"/>
        </w:rPr>
      </w:pPr>
      <w:r>
        <w:rPr/>
        <w:br w:type="column"/>
      </w:r>
      <w:r>
        <w:rPr>
          <w:color w:val="105C84"/>
          <w:spacing w:val="-2"/>
          <w:sz w:val="16"/>
        </w:rPr>
        <w:t>Data</w:t>
      </w:r>
      <w:r>
        <w:rPr>
          <w:color w:val="105C84"/>
          <w:spacing w:val="-8"/>
          <w:sz w:val="16"/>
        </w:rPr>
        <w:t> </w:t>
      </w:r>
      <w:r>
        <w:rPr>
          <w:color w:val="105C84"/>
          <w:spacing w:val="-2"/>
          <w:sz w:val="16"/>
        </w:rPr>
        <w:t>Source:</w:t>
      </w:r>
      <w:r>
        <w:rPr>
          <w:color w:val="105C84"/>
          <w:spacing w:val="-8"/>
          <w:sz w:val="16"/>
        </w:rPr>
        <w:t> </w:t>
      </w:r>
      <w:r>
        <w:rPr>
          <w:color w:val="105C84"/>
          <w:spacing w:val="-2"/>
          <w:sz w:val="16"/>
        </w:rPr>
        <w:t>U.S.</w:t>
      </w:r>
      <w:r>
        <w:rPr>
          <w:color w:val="105C84"/>
          <w:spacing w:val="-8"/>
          <w:sz w:val="16"/>
        </w:rPr>
        <w:t> </w:t>
      </w:r>
      <w:r>
        <w:rPr>
          <w:color w:val="105C84"/>
          <w:spacing w:val="-2"/>
          <w:sz w:val="16"/>
        </w:rPr>
        <w:t>Census</w:t>
      </w:r>
      <w:r>
        <w:rPr>
          <w:color w:val="105C84"/>
          <w:spacing w:val="-8"/>
          <w:sz w:val="16"/>
        </w:rPr>
        <w:t> </w:t>
      </w:r>
      <w:r>
        <w:rPr>
          <w:color w:val="105C84"/>
          <w:spacing w:val="-2"/>
          <w:sz w:val="16"/>
        </w:rPr>
        <w:t>Bureau</w:t>
      </w:r>
      <w:r>
        <w:rPr>
          <w:color w:val="105C84"/>
          <w:spacing w:val="-8"/>
          <w:sz w:val="16"/>
        </w:rPr>
        <w:t> </w:t>
      </w:r>
      <w:r>
        <w:rPr>
          <w:color w:val="105C84"/>
          <w:spacing w:val="-2"/>
          <w:sz w:val="16"/>
        </w:rPr>
        <w:t>American</w:t>
      </w:r>
      <w:r>
        <w:rPr>
          <w:color w:val="105C84"/>
          <w:spacing w:val="-8"/>
          <w:sz w:val="16"/>
        </w:rPr>
        <w:t> </w:t>
      </w:r>
      <w:r>
        <w:rPr>
          <w:color w:val="105C84"/>
          <w:spacing w:val="-2"/>
          <w:sz w:val="16"/>
        </w:rPr>
        <w:t>Community</w:t>
      </w:r>
      <w:r>
        <w:rPr>
          <w:color w:val="105C84"/>
          <w:spacing w:val="-8"/>
          <w:sz w:val="16"/>
        </w:rPr>
        <w:t> </w:t>
      </w:r>
      <w:r>
        <w:rPr>
          <w:color w:val="105C84"/>
          <w:spacing w:val="-2"/>
          <w:sz w:val="16"/>
        </w:rPr>
        <w:t>Survey</w:t>
      </w:r>
      <w:r>
        <w:rPr>
          <w:color w:val="105C84"/>
          <w:spacing w:val="-8"/>
          <w:sz w:val="16"/>
        </w:rPr>
        <w:t> </w:t>
      </w:r>
      <w:r>
        <w:rPr>
          <w:color w:val="105C84"/>
          <w:spacing w:val="-2"/>
          <w:sz w:val="16"/>
        </w:rPr>
        <w:t>5-Year</w:t>
      </w:r>
      <w:r>
        <w:rPr>
          <w:color w:val="105C84"/>
          <w:spacing w:val="-8"/>
          <w:sz w:val="16"/>
        </w:rPr>
        <w:t> </w:t>
      </w:r>
      <w:r>
        <w:rPr>
          <w:color w:val="105C84"/>
          <w:spacing w:val="-2"/>
          <w:sz w:val="16"/>
        </w:rPr>
        <w:t>Estimate</w:t>
      </w:r>
    </w:p>
    <w:p>
      <w:pPr>
        <w:pStyle w:val="BodyText"/>
        <w:rPr>
          <w:sz w:val="16"/>
        </w:rPr>
      </w:pPr>
    </w:p>
    <w:p>
      <w:pPr>
        <w:pStyle w:val="BodyText"/>
        <w:spacing w:before="81"/>
        <w:rPr>
          <w:sz w:val="16"/>
        </w:rPr>
      </w:pPr>
    </w:p>
    <w:p>
      <w:pPr>
        <w:pStyle w:val="BodyText"/>
        <w:spacing w:line="247" w:lineRule="auto"/>
        <w:ind w:left="1094" w:right="155"/>
        <w:rPr>
          <w:position w:val="7"/>
          <w:sz w:val="13"/>
        </w:rPr>
      </w:pPr>
      <w:r>
        <w:rPr>
          <w:color w:val="105C84"/>
        </w:rPr>
        <w:t>Finally, 23% of Wayne County residents rent vs. own their home. In addition, 7% of occupied housing units have no vehicles available. Another 33% have access to one vehicle. Of note, the average household size for occupied housing is greater than two people. Approximately 40% of residents are</w:t>
      </w:r>
      <w:r>
        <w:rPr>
          <w:color w:val="105C84"/>
          <w:spacing w:val="40"/>
        </w:rPr>
        <w:t> </w:t>
      </w:r>
      <w:r>
        <w:rPr>
          <w:color w:val="105C84"/>
        </w:rPr>
        <w:t>paying 35% or more of their household income in rent costs.</w:t>
      </w:r>
      <w:r>
        <w:rPr>
          <w:color w:val="105C84"/>
          <w:position w:val="7"/>
          <w:sz w:val="13"/>
        </w:rPr>
        <w:t>42</w:t>
      </w:r>
    </w:p>
    <w:p>
      <w:pPr>
        <w:pStyle w:val="BodyText"/>
        <w:spacing w:after="0" w:line="247" w:lineRule="auto"/>
        <w:rPr>
          <w:position w:val="7"/>
          <w:sz w:val="13"/>
        </w:rPr>
        <w:sectPr>
          <w:type w:val="continuous"/>
          <w:pgSz w:w="24480" w:h="15840" w:orient="landscape"/>
          <w:pgMar w:header="0" w:footer="0" w:top="0" w:bottom="280" w:left="0" w:right="720"/>
          <w:cols w:num="2" w:equalWidth="0">
            <w:col w:w="7143" w:space="5079"/>
            <w:col w:w="11538"/>
          </w:cols>
        </w:sectPr>
      </w:pPr>
    </w:p>
    <w:p>
      <w:pPr>
        <w:pStyle w:val="BodyText"/>
        <w:rPr>
          <w:sz w:val="14"/>
        </w:rPr>
      </w:pPr>
      <w:r>
        <w:rPr>
          <w:sz w:val="14"/>
        </w:rPr>
        <w:drawing>
          <wp:anchor distT="0" distB="0" distL="0" distR="0" allowOverlap="1" layoutInCell="1" locked="0" behindDoc="0" simplePos="0" relativeHeight="15874048">
            <wp:simplePos x="0" y="0"/>
            <wp:positionH relativeFrom="page">
              <wp:posOffset>14981556</wp:posOffset>
            </wp:positionH>
            <wp:positionV relativeFrom="page">
              <wp:posOffset>9668103</wp:posOffset>
            </wp:positionV>
            <wp:extent cx="563245" cy="184683"/>
            <wp:effectExtent l="0" t="0" r="0" b="0"/>
            <wp:wrapNone/>
            <wp:docPr id="1472" name="Image 1472"/>
            <wp:cNvGraphicFramePr>
              <a:graphicFrameLocks/>
            </wp:cNvGraphicFramePr>
            <a:graphic>
              <a:graphicData uri="http://schemas.openxmlformats.org/drawingml/2006/picture">
                <pic:pic>
                  <pic:nvPicPr>
                    <pic:cNvPr id="1472" name="Image 1472"/>
                    <pic:cNvPicPr/>
                  </pic:nvPicPr>
                  <pic:blipFill>
                    <a:blip r:embed="rId38" cstate="print"/>
                    <a:stretch>
                      <a:fillRect/>
                    </a:stretch>
                  </pic:blipFill>
                  <pic:spPr>
                    <a:xfrm>
                      <a:off x="0" y="0"/>
                      <a:ext cx="563245" cy="184683"/>
                    </a:xfrm>
                    <a:prstGeom prst="rect">
                      <a:avLst/>
                    </a:prstGeom>
                  </pic:spPr>
                </pic:pic>
              </a:graphicData>
            </a:graphic>
          </wp:anchor>
        </w:drawing>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64"/>
        <w:rPr>
          <w:sz w:val="14"/>
        </w:rPr>
      </w:pPr>
    </w:p>
    <w:p>
      <w:pPr>
        <w:spacing w:line="161" w:lineRule="exact" w:before="0"/>
        <w:ind w:left="1670" w:right="0" w:firstLine="0"/>
        <w:jc w:val="left"/>
        <w:rPr>
          <w:sz w:val="14"/>
        </w:rPr>
      </w:pPr>
      <w:r>
        <w:rPr>
          <w:sz w:val="14"/>
        </w:rPr>
        <w:drawing>
          <wp:anchor distT="0" distB="0" distL="0" distR="0" allowOverlap="1" layoutInCell="1" locked="0" behindDoc="0" simplePos="0" relativeHeight="15874560">
            <wp:simplePos x="0" y="0"/>
            <wp:positionH relativeFrom="page">
              <wp:posOffset>0</wp:posOffset>
            </wp:positionH>
            <wp:positionV relativeFrom="paragraph">
              <wp:posOffset>23362</wp:posOffset>
            </wp:positionV>
            <wp:extent cx="568172" cy="184683"/>
            <wp:effectExtent l="0" t="0" r="0" b="0"/>
            <wp:wrapNone/>
            <wp:docPr id="1473" name="Image 1473"/>
            <wp:cNvGraphicFramePr>
              <a:graphicFrameLocks/>
            </wp:cNvGraphicFramePr>
            <a:graphic>
              <a:graphicData uri="http://schemas.openxmlformats.org/drawingml/2006/picture">
                <pic:pic>
                  <pic:nvPicPr>
                    <pic:cNvPr id="1473" name="Image 1473"/>
                    <pic:cNvPicPr/>
                  </pic:nvPicPr>
                  <pic:blipFill>
                    <a:blip r:embed="rId39" cstate="print"/>
                    <a:stretch>
                      <a:fillRect/>
                    </a:stretch>
                  </pic:blipFill>
                  <pic:spPr>
                    <a:xfrm>
                      <a:off x="0" y="0"/>
                      <a:ext cx="568172" cy="184683"/>
                    </a:xfrm>
                    <a:prstGeom prst="rect">
                      <a:avLst/>
                    </a:prstGeom>
                  </pic:spPr>
                </pic:pic>
              </a:graphicData>
            </a:graphic>
          </wp:anchor>
        </w:drawing>
      </w:r>
      <w:r>
        <w:rPr>
          <w:sz w:val="14"/>
        </w:rPr>
        <mc:AlternateContent>
          <mc:Choice Requires="wps">
            <w:drawing>
              <wp:anchor distT="0" distB="0" distL="0" distR="0" allowOverlap="1" layoutInCell="1" locked="0" behindDoc="0" simplePos="0" relativeHeight="15878144">
                <wp:simplePos x="0" y="0"/>
                <wp:positionH relativeFrom="page">
                  <wp:posOffset>672186</wp:posOffset>
                </wp:positionH>
                <wp:positionV relativeFrom="paragraph">
                  <wp:posOffset>11322</wp:posOffset>
                </wp:positionV>
                <wp:extent cx="195580" cy="226060"/>
                <wp:effectExtent l="0" t="0" r="0" b="0"/>
                <wp:wrapNone/>
                <wp:docPr id="1474" name="Textbox 1474"/>
                <wp:cNvGraphicFramePr>
                  <a:graphicFrameLocks/>
                </wp:cNvGraphicFramePr>
                <a:graphic>
                  <a:graphicData uri="http://schemas.microsoft.com/office/word/2010/wordprocessingShape">
                    <wps:wsp>
                      <wps:cNvPr id="1474" name="Textbox 1474"/>
                      <wps:cNvSpPr txBox="1"/>
                      <wps:spPr>
                        <a:xfrm>
                          <a:off x="0" y="0"/>
                          <a:ext cx="195580" cy="226060"/>
                        </a:xfrm>
                        <a:prstGeom prst="rect">
                          <a:avLst/>
                        </a:prstGeom>
                      </wps:spPr>
                      <wps:txbx>
                        <w:txbxContent>
                          <w:p>
                            <w:pPr>
                              <w:spacing w:before="16"/>
                              <w:ind w:left="0" w:right="0" w:firstLine="0"/>
                              <w:jc w:val="left"/>
                              <w:rPr>
                                <w:b/>
                                <w:sz w:val="26"/>
                              </w:rPr>
                            </w:pPr>
                            <w:r>
                              <w:rPr>
                                <w:b/>
                                <w:color w:val="939598"/>
                                <w:spacing w:val="-5"/>
                                <w:w w:val="105"/>
                                <w:sz w:val="26"/>
                              </w:rPr>
                              <w:t>91</w:t>
                            </w:r>
                          </w:p>
                        </w:txbxContent>
                      </wps:txbx>
                      <wps:bodyPr wrap="square" lIns="0" tIns="0" rIns="0" bIns="0" rtlCol="0">
                        <a:noAutofit/>
                      </wps:bodyPr>
                    </wps:wsp>
                  </a:graphicData>
                </a:graphic>
              </wp:anchor>
            </w:drawing>
          </mc:Choice>
          <mc:Fallback>
            <w:pict>
              <v:shape style="position:absolute;margin-left:52.928101pt;margin-top:.891535pt;width:15.4pt;height:17.8pt;mso-position-horizontal-relative:page;mso-position-vertical-relative:paragraph;z-index:15878144" type="#_x0000_t202" id="docshape1164" filled="false" stroked="false">
                <v:textbox inset="0,0,0,0">
                  <w:txbxContent>
                    <w:p>
                      <w:pPr>
                        <w:spacing w:before="16"/>
                        <w:ind w:left="0" w:right="0" w:firstLine="0"/>
                        <w:jc w:val="left"/>
                        <w:rPr>
                          <w:b/>
                          <w:sz w:val="26"/>
                        </w:rPr>
                      </w:pPr>
                      <w:r>
                        <w:rPr>
                          <w:b/>
                          <w:color w:val="939598"/>
                          <w:spacing w:val="-5"/>
                          <w:w w:val="105"/>
                          <w:sz w:val="26"/>
                        </w:rPr>
                        <w:t>91</w:t>
                      </w:r>
                    </w:p>
                  </w:txbxContent>
                </v:textbox>
                <w10:wrap type="none"/>
              </v:shape>
            </w:pict>
          </mc:Fallback>
        </mc:AlternateContent>
      </w:r>
      <w:r>
        <w:rPr>
          <w:sz w:val="14"/>
        </w:rPr>
        <mc:AlternateContent>
          <mc:Choice Requires="wps">
            <w:drawing>
              <wp:anchor distT="0" distB="0" distL="0" distR="0" allowOverlap="1" layoutInCell="1" locked="0" behindDoc="0" simplePos="0" relativeHeight="15878656">
                <wp:simplePos x="0" y="0"/>
                <wp:positionH relativeFrom="page">
                  <wp:posOffset>14698495</wp:posOffset>
                </wp:positionH>
                <wp:positionV relativeFrom="paragraph">
                  <wp:posOffset>11322</wp:posOffset>
                </wp:positionV>
                <wp:extent cx="195580" cy="226060"/>
                <wp:effectExtent l="0" t="0" r="0" b="0"/>
                <wp:wrapNone/>
                <wp:docPr id="1475" name="Textbox 1475"/>
                <wp:cNvGraphicFramePr>
                  <a:graphicFrameLocks/>
                </wp:cNvGraphicFramePr>
                <a:graphic>
                  <a:graphicData uri="http://schemas.microsoft.com/office/word/2010/wordprocessingShape">
                    <wps:wsp>
                      <wps:cNvPr id="1475" name="Textbox 1475"/>
                      <wps:cNvSpPr txBox="1"/>
                      <wps:spPr>
                        <a:xfrm>
                          <a:off x="0" y="0"/>
                          <a:ext cx="195580" cy="226060"/>
                        </a:xfrm>
                        <a:prstGeom prst="rect">
                          <a:avLst/>
                        </a:prstGeom>
                      </wps:spPr>
                      <wps:txbx>
                        <w:txbxContent>
                          <w:p>
                            <w:pPr>
                              <w:spacing w:before="16"/>
                              <w:ind w:left="0" w:right="0" w:firstLine="0"/>
                              <w:jc w:val="left"/>
                              <w:rPr>
                                <w:b/>
                                <w:sz w:val="26"/>
                              </w:rPr>
                            </w:pPr>
                            <w:r>
                              <w:rPr>
                                <w:b/>
                                <w:color w:val="939598"/>
                                <w:spacing w:val="-5"/>
                                <w:w w:val="105"/>
                                <w:sz w:val="26"/>
                              </w:rPr>
                              <w:t>92</w:t>
                            </w:r>
                          </w:p>
                        </w:txbxContent>
                      </wps:txbx>
                      <wps:bodyPr wrap="square" lIns="0" tIns="0" rIns="0" bIns="0" rtlCol="0">
                        <a:noAutofit/>
                      </wps:bodyPr>
                    </wps:wsp>
                  </a:graphicData>
                </a:graphic>
              </wp:anchor>
            </w:drawing>
          </mc:Choice>
          <mc:Fallback>
            <w:pict>
              <v:shape style="position:absolute;margin-left:1157.361816pt;margin-top:.891535pt;width:15.4pt;height:17.8pt;mso-position-horizontal-relative:page;mso-position-vertical-relative:paragraph;z-index:15878656" type="#_x0000_t202" id="docshape1165" filled="false" stroked="false">
                <v:textbox inset="0,0,0,0">
                  <w:txbxContent>
                    <w:p>
                      <w:pPr>
                        <w:spacing w:before="16"/>
                        <w:ind w:left="0" w:right="0" w:firstLine="0"/>
                        <w:jc w:val="left"/>
                        <w:rPr>
                          <w:b/>
                          <w:sz w:val="26"/>
                        </w:rPr>
                      </w:pPr>
                      <w:r>
                        <w:rPr>
                          <w:b/>
                          <w:color w:val="939598"/>
                          <w:spacing w:val="-5"/>
                          <w:w w:val="105"/>
                          <w:sz w:val="26"/>
                        </w:rPr>
                        <w:t>92</w:t>
                      </w:r>
                    </w:p>
                  </w:txbxContent>
                </v:textbox>
                <w10:wrap type="none"/>
              </v:shape>
            </w:pict>
          </mc:Fallback>
        </mc:AlternateContent>
      </w:r>
      <w:r>
        <w:rPr>
          <w:color w:val="636466"/>
          <w:sz w:val="14"/>
        </w:rPr>
        <w:t>41.</w:t>
      </w:r>
      <w:r>
        <w:rPr>
          <w:color w:val="636466"/>
          <w:spacing w:val="4"/>
          <w:sz w:val="14"/>
        </w:rPr>
        <w:t> </w:t>
      </w:r>
      <w:r>
        <w:rPr>
          <w:color w:val="636466"/>
          <w:sz w:val="14"/>
        </w:rPr>
        <w:t>Disability</w:t>
      </w:r>
      <w:r>
        <w:rPr>
          <w:color w:val="636466"/>
          <w:spacing w:val="4"/>
          <w:sz w:val="14"/>
        </w:rPr>
        <w:t> </w:t>
      </w:r>
      <w:r>
        <w:rPr>
          <w:color w:val="636466"/>
          <w:sz w:val="14"/>
        </w:rPr>
        <w:t>defined</w:t>
      </w:r>
      <w:r>
        <w:rPr>
          <w:color w:val="636466"/>
          <w:spacing w:val="4"/>
          <w:sz w:val="14"/>
        </w:rPr>
        <w:t> </w:t>
      </w:r>
      <w:r>
        <w:rPr>
          <w:color w:val="636466"/>
          <w:sz w:val="14"/>
        </w:rPr>
        <w:t>as</w:t>
      </w:r>
      <w:r>
        <w:rPr>
          <w:color w:val="636466"/>
          <w:spacing w:val="5"/>
          <w:sz w:val="14"/>
        </w:rPr>
        <w:t> </w:t>
      </w:r>
      <w:r>
        <w:rPr>
          <w:color w:val="636466"/>
          <w:sz w:val="14"/>
        </w:rPr>
        <w:t>impairment</w:t>
      </w:r>
      <w:r>
        <w:rPr>
          <w:color w:val="636466"/>
          <w:spacing w:val="4"/>
          <w:sz w:val="14"/>
        </w:rPr>
        <w:t> </w:t>
      </w:r>
      <w:r>
        <w:rPr>
          <w:color w:val="636466"/>
          <w:sz w:val="14"/>
        </w:rPr>
        <w:t>to</w:t>
      </w:r>
      <w:r>
        <w:rPr>
          <w:color w:val="636466"/>
          <w:spacing w:val="4"/>
          <w:sz w:val="14"/>
        </w:rPr>
        <w:t> </w:t>
      </w:r>
      <w:r>
        <w:rPr>
          <w:color w:val="636466"/>
          <w:sz w:val="14"/>
        </w:rPr>
        <w:t>body</w:t>
      </w:r>
      <w:r>
        <w:rPr>
          <w:color w:val="636466"/>
          <w:spacing w:val="5"/>
          <w:sz w:val="14"/>
        </w:rPr>
        <w:t> </w:t>
      </w:r>
      <w:r>
        <w:rPr>
          <w:color w:val="636466"/>
          <w:sz w:val="14"/>
        </w:rPr>
        <w:t>structure</w:t>
      </w:r>
      <w:r>
        <w:rPr>
          <w:color w:val="636466"/>
          <w:spacing w:val="4"/>
          <w:sz w:val="14"/>
        </w:rPr>
        <w:t> </w:t>
      </w:r>
      <w:r>
        <w:rPr>
          <w:color w:val="636466"/>
          <w:sz w:val="14"/>
        </w:rPr>
        <w:t>or</w:t>
      </w:r>
      <w:r>
        <w:rPr>
          <w:color w:val="636466"/>
          <w:spacing w:val="4"/>
          <w:sz w:val="14"/>
        </w:rPr>
        <w:t> </w:t>
      </w:r>
      <w:r>
        <w:rPr>
          <w:color w:val="636466"/>
          <w:sz w:val="14"/>
        </w:rPr>
        <w:t>mental</w:t>
      </w:r>
      <w:r>
        <w:rPr>
          <w:color w:val="636466"/>
          <w:spacing w:val="5"/>
          <w:sz w:val="14"/>
        </w:rPr>
        <w:t> </w:t>
      </w:r>
      <w:r>
        <w:rPr>
          <w:color w:val="636466"/>
          <w:sz w:val="14"/>
        </w:rPr>
        <w:t>functioning,</w:t>
      </w:r>
      <w:r>
        <w:rPr>
          <w:color w:val="636466"/>
          <w:spacing w:val="4"/>
          <w:sz w:val="14"/>
        </w:rPr>
        <w:t> </w:t>
      </w:r>
      <w:r>
        <w:rPr>
          <w:color w:val="636466"/>
          <w:sz w:val="14"/>
        </w:rPr>
        <w:t>activity</w:t>
      </w:r>
      <w:r>
        <w:rPr>
          <w:color w:val="636466"/>
          <w:spacing w:val="4"/>
          <w:sz w:val="14"/>
        </w:rPr>
        <w:t> </w:t>
      </w:r>
      <w:r>
        <w:rPr>
          <w:color w:val="636466"/>
          <w:sz w:val="14"/>
        </w:rPr>
        <w:t>limitation</w:t>
      </w:r>
      <w:r>
        <w:rPr>
          <w:color w:val="636466"/>
          <w:spacing w:val="5"/>
          <w:sz w:val="14"/>
        </w:rPr>
        <w:t> </w:t>
      </w:r>
      <w:r>
        <w:rPr>
          <w:color w:val="636466"/>
          <w:sz w:val="14"/>
        </w:rPr>
        <w:t>such</w:t>
      </w:r>
      <w:r>
        <w:rPr>
          <w:color w:val="636466"/>
          <w:spacing w:val="4"/>
          <w:sz w:val="14"/>
        </w:rPr>
        <w:t> </w:t>
      </w:r>
      <w:r>
        <w:rPr>
          <w:color w:val="636466"/>
          <w:sz w:val="14"/>
        </w:rPr>
        <w:t>as</w:t>
      </w:r>
      <w:r>
        <w:rPr>
          <w:color w:val="636466"/>
          <w:spacing w:val="4"/>
          <w:sz w:val="14"/>
        </w:rPr>
        <w:t> </w:t>
      </w:r>
      <w:r>
        <w:rPr>
          <w:color w:val="636466"/>
          <w:sz w:val="14"/>
        </w:rPr>
        <w:t>difficulty</w:t>
      </w:r>
      <w:r>
        <w:rPr>
          <w:color w:val="636466"/>
          <w:spacing w:val="4"/>
          <w:sz w:val="14"/>
        </w:rPr>
        <w:t> </w:t>
      </w:r>
      <w:r>
        <w:rPr>
          <w:color w:val="636466"/>
          <w:sz w:val="14"/>
        </w:rPr>
        <w:t>hearing,</w:t>
      </w:r>
      <w:r>
        <w:rPr>
          <w:color w:val="636466"/>
          <w:spacing w:val="5"/>
          <w:sz w:val="14"/>
        </w:rPr>
        <w:t> </w:t>
      </w:r>
      <w:r>
        <w:rPr>
          <w:color w:val="636466"/>
          <w:sz w:val="14"/>
        </w:rPr>
        <w:t>moving</w:t>
      </w:r>
      <w:r>
        <w:rPr>
          <w:color w:val="636466"/>
          <w:spacing w:val="4"/>
          <w:sz w:val="14"/>
        </w:rPr>
        <w:t> </w:t>
      </w:r>
      <w:r>
        <w:rPr>
          <w:color w:val="636466"/>
          <w:sz w:val="14"/>
        </w:rPr>
        <w:t>or</w:t>
      </w:r>
      <w:r>
        <w:rPr>
          <w:color w:val="636466"/>
          <w:spacing w:val="4"/>
          <w:sz w:val="14"/>
        </w:rPr>
        <w:t> </w:t>
      </w:r>
      <w:r>
        <w:rPr>
          <w:color w:val="636466"/>
          <w:sz w:val="14"/>
        </w:rPr>
        <w:t>problem-solving,</w:t>
      </w:r>
      <w:r>
        <w:rPr>
          <w:color w:val="636466"/>
          <w:spacing w:val="5"/>
          <w:sz w:val="14"/>
        </w:rPr>
        <w:t> </w:t>
      </w:r>
      <w:r>
        <w:rPr>
          <w:color w:val="636466"/>
          <w:spacing w:val="-5"/>
          <w:sz w:val="14"/>
        </w:rPr>
        <w:t>and</w:t>
      </w:r>
    </w:p>
    <w:p>
      <w:pPr>
        <w:tabs>
          <w:tab w:pos="13319" w:val="left" w:leader="none"/>
        </w:tabs>
        <w:spacing w:line="161" w:lineRule="exact" w:before="0"/>
        <w:ind w:left="2020" w:right="0" w:firstLine="0"/>
        <w:jc w:val="left"/>
        <w:rPr>
          <w:sz w:val="14"/>
        </w:rPr>
      </w:pPr>
      <w:r>
        <w:rPr>
          <w:color w:val="636466"/>
          <w:sz w:val="14"/>
        </w:rPr>
        <w:t>participation</w:t>
      </w:r>
      <w:r>
        <w:rPr>
          <w:color w:val="636466"/>
          <w:spacing w:val="-1"/>
          <w:sz w:val="14"/>
        </w:rPr>
        <w:t> </w:t>
      </w:r>
      <w:r>
        <w:rPr>
          <w:color w:val="636466"/>
          <w:sz w:val="14"/>
        </w:rPr>
        <w:t>restrictions</w:t>
      </w:r>
      <w:r>
        <w:rPr>
          <w:color w:val="636466"/>
          <w:spacing w:val="-1"/>
          <w:sz w:val="14"/>
        </w:rPr>
        <w:t> </w:t>
      </w:r>
      <w:r>
        <w:rPr>
          <w:color w:val="636466"/>
          <w:sz w:val="14"/>
        </w:rPr>
        <w:t>in</w:t>
      </w:r>
      <w:r>
        <w:rPr>
          <w:color w:val="636466"/>
          <w:spacing w:val="-1"/>
          <w:sz w:val="14"/>
        </w:rPr>
        <w:t> </w:t>
      </w:r>
      <w:r>
        <w:rPr>
          <w:color w:val="636466"/>
          <w:sz w:val="14"/>
        </w:rPr>
        <w:t>daily</w:t>
      </w:r>
      <w:r>
        <w:rPr>
          <w:color w:val="636466"/>
          <w:spacing w:val="-1"/>
          <w:sz w:val="14"/>
        </w:rPr>
        <w:t> </w:t>
      </w:r>
      <w:r>
        <w:rPr>
          <w:color w:val="636466"/>
          <w:sz w:val="14"/>
        </w:rPr>
        <w:t>activities such</w:t>
      </w:r>
      <w:r>
        <w:rPr>
          <w:color w:val="636466"/>
          <w:spacing w:val="-1"/>
          <w:sz w:val="14"/>
        </w:rPr>
        <w:t> </w:t>
      </w:r>
      <w:r>
        <w:rPr>
          <w:color w:val="636466"/>
          <w:sz w:val="14"/>
        </w:rPr>
        <w:t>as</w:t>
      </w:r>
      <w:r>
        <w:rPr>
          <w:color w:val="636466"/>
          <w:spacing w:val="-1"/>
          <w:sz w:val="14"/>
        </w:rPr>
        <w:t> </w:t>
      </w:r>
      <w:r>
        <w:rPr>
          <w:color w:val="636466"/>
          <w:sz w:val="14"/>
        </w:rPr>
        <w:t>working,</w:t>
      </w:r>
      <w:r>
        <w:rPr>
          <w:color w:val="636466"/>
          <w:spacing w:val="-1"/>
          <w:sz w:val="14"/>
        </w:rPr>
        <w:t> </w:t>
      </w:r>
      <w:r>
        <w:rPr>
          <w:color w:val="636466"/>
          <w:sz w:val="14"/>
        </w:rPr>
        <w:t>engaging in</w:t>
      </w:r>
      <w:r>
        <w:rPr>
          <w:color w:val="636466"/>
          <w:spacing w:val="-1"/>
          <w:sz w:val="14"/>
        </w:rPr>
        <w:t> </w:t>
      </w:r>
      <w:r>
        <w:rPr>
          <w:color w:val="636466"/>
          <w:sz w:val="14"/>
        </w:rPr>
        <w:t>social/recreational</w:t>
      </w:r>
      <w:r>
        <w:rPr>
          <w:color w:val="636466"/>
          <w:spacing w:val="-1"/>
          <w:sz w:val="14"/>
        </w:rPr>
        <w:t> </w:t>
      </w:r>
      <w:r>
        <w:rPr>
          <w:color w:val="636466"/>
          <w:sz w:val="14"/>
        </w:rPr>
        <w:t>activities</w:t>
      </w:r>
      <w:r>
        <w:rPr>
          <w:color w:val="636466"/>
          <w:spacing w:val="-1"/>
          <w:sz w:val="14"/>
        </w:rPr>
        <w:t> </w:t>
      </w:r>
      <w:r>
        <w:rPr>
          <w:color w:val="636466"/>
          <w:sz w:val="14"/>
        </w:rPr>
        <w:t>or obtaining</w:t>
      </w:r>
      <w:r>
        <w:rPr>
          <w:color w:val="636466"/>
          <w:spacing w:val="-1"/>
          <w:sz w:val="14"/>
        </w:rPr>
        <w:t> </w:t>
      </w:r>
      <w:r>
        <w:rPr>
          <w:color w:val="636466"/>
          <w:sz w:val="14"/>
        </w:rPr>
        <w:t>healthcare</w:t>
      </w:r>
      <w:r>
        <w:rPr>
          <w:color w:val="636466"/>
          <w:spacing w:val="-1"/>
          <w:sz w:val="14"/>
        </w:rPr>
        <w:t> </w:t>
      </w:r>
      <w:r>
        <w:rPr>
          <w:color w:val="636466"/>
          <w:sz w:val="14"/>
        </w:rPr>
        <w:t>or</w:t>
      </w:r>
      <w:r>
        <w:rPr>
          <w:color w:val="636466"/>
          <w:spacing w:val="-1"/>
          <w:sz w:val="14"/>
        </w:rPr>
        <w:t> </w:t>
      </w:r>
      <w:r>
        <w:rPr>
          <w:color w:val="636466"/>
          <w:sz w:val="14"/>
        </w:rPr>
        <w:t>preventative </w:t>
      </w:r>
      <w:r>
        <w:rPr>
          <w:color w:val="636466"/>
          <w:spacing w:val="-2"/>
          <w:sz w:val="14"/>
        </w:rPr>
        <w:t>services.</w:t>
      </w:r>
      <w:r>
        <w:rPr>
          <w:color w:val="636466"/>
          <w:sz w:val="14"/>
        </w:rPr>
        <w:tab/>
      </w:r>
      <w:r>
        <w:rPr>
          <w:color w:val="636466"/>
          <w:spacing w:val="-4"/>
          <w:sz w:val="14"/>
        </w:rPr>
        <w:t>42.</w:t>
      </w:r>
      <w:r>
        <w:rPr>
          <w:color w:val="636466"/>
          <w:spacing w:val="40"/>
          <w:sz w:val="14"/>
        </w:rPr>
        <w:t> </w:t>
      </w:r>
      <w:r>
        <w:rPr>
          <w:color w:val="636466"/>
          <w:spacing w:val="-4"/>
          <w:sz w:val="14"/>
        </w:rPr>
        <w:t>Source:</w:t>
      </w:r>
      <w:r>
        <w:rPr>
          <w:color w:val="636466"/>
          <w:spacing w:val="1"/>
          <w:sz w:val="14"/>
        </w:rPr>
        <w:t> </w:t>
      </w:r>
      <w:r>
        <w:rPr>
          <w:color w:val="636466"/>
          <w:spacing w:val="-4"/>
          <w:sz w:val="14"/>
        </w:rPr>
        <w:t>US</w:t>
      </w:r>
      <w:r>
        <w:rPr>
          <w:color w:val="636466"/>
          <w:spacing w:val="1"/>
          <w:sz w:val="14"/>
        </w:rPr>
        <w:t> </w:t>
      </w:r>
      <w:r>
        <w:rPr>
          <w:color w:val="636466"/>
          <w:spacing w:val="-4"/>
          <w:sz w:val="14"/>
        </w:rPr>
        <w:t>Census</w:t>
      </w:r>
      <w:r>
        <w:rPr>
          <w:color w:val="636466"/>
          <w:sz w:val="14"/>
        </w:rPr>
        <w:t> </w:t>
      </w:r>
      <w:r>
        <w:rPr>
          <w:color w:val="636466"/>
          <w:spacing w:val="-4"/>
          <w:sz w:val="14"/>
        </w:rPr>
        <w:t>Bureau</w:t>
      </w:r>
      <w:r>
        <w:rPr>
          <w:color w:val="636466"/>
          <w:spacing w:val="1"/>
          <w:sz w:val="14"/>
        </w:rPr>
        <w:t> </w:t>
      </w:r>
      <w:r>
        <w:rPr>
          <w:color w:val="636466"/>
          <w:spacing w:val="-4"/>
          <w:sz w:val="14"/>
        </w:rPr>
        <w:t>American</w:t>
      </w:r>
      <w:r>
        <w:rPr>
          <w:color w:val="636466"/>
          <w:spacing w:val="1"/>
          <w:sz w:val="14"/>
        </w:rPr>
        <w:t> </w:t>
      </w:r>
      <w:r>
        <w:rPr>
          <w:color w:val="636466"/>
          <w:spacing w:val="-4"/>
          <w:sz w:val="14"/>
        </w:rPr>
        <w:t>Community</w:t>
      </w:r>
      <w:r>
        <w:rPr>
          <w:color w:val="636466"/>
          <w:spacing w:val="1"/>
          <w:sz w:val="14"/>
        </w:rPr>
        <w:t> </w:t>
      </w:r>
      <w:r>
        <w:rPr>
          <w:color w:val="636466"/>
          <w:spacing w:val="-4"/>
          <w:sz w:val="14"/>
        </w:rPr>
        <w:t>Survey</w:t>
      </w:r>
      <w:r>
        <w:rPr>
          <w:color w:val="636466"/>
          <w:spacing w:val="1"/>
          <w:sz w:val="14"/>
        </w:rPr>
        <w:t> </w:t>
      </w:r>
      <w:r>
        <w:rPr>
          <w:color w:val="636466"/>
          <w:spacing w:val="-4"/>
          <w:sz w:val="14"/>
        </w:rPr>
        <w:t>2013-2017</w:t>
      </w:r>
      <w:r>
        <w:rPr>
          <w:color w:val="636466"/>
          <w:sz w:val="14"/>
        </w:rPr>
        <w:t> </w:t>
      </w:r>
      <w:r>
        <w:rPr>
          <w:color w:val="636466"/>
          <w:spacing w:val="-4"/>
          <w:sz w:val="14"/>
        </w:rPr>
        <w:t>5-Year</w:t>
      </w:r>
      <w:r>
        <w:rPr>
          <w:color w:val="636466"/>
          <w:spacing w:val="1"/>
          <w:sz w:val="14"/>
        </w:rPr>
        <w:t> </w:t>
      </w:r>
      <w:r>
        <w:rPr>
          <w:color w:val="636466"/>
          <w:spacing w:val="-4"/>
          <w:sz w:val="14"/>
        </w:rPr>
        <w:t>Estimates</w:t>
      </w:r>
    </w:p>
    <w:p>
      <w:pPr>
        <w:spacing w:after="0" w:line="161" w:lineRule="exact"/>
        <w:jc w:val="left"/>
        <w:rPr>
          <w:sz w:val="14"/>
        </w:rPr>
        <w:sectPr>
          <w:type w:val="continuous"/>
          <w:pgSz w:w="24480" w:h="15840" w:orient="landscape"/>
          <w:pgMar w:header="0" w:footer="0" w:top="0" w:bottom="280" w:left="0" w:right="720"/>
        </w:sectPr>
      </w:pPr>
    </w:p>
    <w:p>
      <w:pPr>
        <w:pStyle w:val="BodyText"/>
        <w:rPr>
          <w:sz w:val="20"/>
        </w:rPr>
      </w:pPr>
    </w:p>
    <w:p>
      <w:pPr>
        <w:pStyle w:val="BodyText"/>
        <w:spacing w:before="16"/>
        <w:rPr>
          <w:sz w:val="20"/>
        </w:rPr>
      </w:pPr>
    </w:p>
    <w:p>
      <w:pPr>
        <w:pStyle w:val="BodyText"/>
        <w:spacing w:after="0"/>
        <w:rPr>
          <w:sz w:val="20"/>
        </w:rPr>
        <w:sectPr>
          <w:pgSz w:w="24480" w:h="15840" w:orient="landscape"/>
          <w:pgMar w:header="0" w:footer="0" w:top="860" w:bottom="0" w:left="0" w:right="720"/>
        </w:sectPr>
      </w:pPr>
    </w:p>
    <w:p>
      <w:pPr>
        <w:pStyle w:val="Heading6"/>
        <w:spacing w:before="116"/>
      </w:pPr>
      <w:r>
        <w:rPr>
          <w:color w:val="105C84"/>
        </w:rPr>
        <w:t>Main</w:t>
      </w:r>
      <w:r>
        <w:rPr>
          <w:color w:val="105C84"/>
          <w:spacing w:val="-7"/>
        </w:rPr>
        <w:t> </w:t>
      </w:r>
      <w:r>
        <w:rPr>
          <w:color w:val="105C84"/>
        </w:rPr>
        <w:t>Health</w:t>
      </w:r>
      <w:r>
        <w:rPr>
          <w:color w:val="105C84"/>
          <w:spacing w:val="-6"/>
        </w:rPr>
        <w:t> </w:t>
      </w:r>
      <w:r>
        <w:rPr>
          <w:color w:val="105C84"/>
          <w:spacing w:val="-2"/>
        </w:rPr>
        <w:t>Challenges</w:t>
      </w:r>
    </w:p>
    <w:p>
      <w:pPr>
        <w:pStyle w:val="BodyText"/>
        <w:spacing w:line="247" w:lineRule="auto" w:before="268"/>
        <w:ind w:left="1080" w:right="161"/>
      </w:pPr>
      <w:r>
        <w:rPr>
          <w:color w:val="105C84"/>
        </w:rPr>
        <w:t>On May 17, 2019, stakeholders and community members were invited to attend a priority setting meeting. At this meeting, participants reviewed the MAPP process, as well as relevant qualitative, quantitative, primary and secondary data. Data were reviewed from a variety of different sources including,</w:t>
      </w:r>
      <w:r>
        <w:rPr>
          <w:color w:val="105C84"/>
          <w:spacing w:val="28"/>
        </w:rPr>
        <w:t> </w:t>
      </w:r>
      <w:r>
        <w:rPr>
          <w:color w:val="105C84"/>
        </w:rPr>
        <w:t>but</w:t>
      </w:r>
      <w:r>
        <w:rPr>
          <w:color w:val="105C84"/>
          <w:spacing w:val="28"/>
        </w:rPr>
        <w:t> </w:t>
      </w:r>
      <w:r>
        <w:rPr>
          <w:color w:val="105C84"/>
        </w:rPr>
        <w:t>not</w:t>
      </w:r>
      <w:r>
        <w:rPr>
          <w:color w:val="105C84"/>
          <w:spacing w:val="28"/>
        </w:rPr>
        <w:t> </w:t>
      </w:r>
      <w:r>
        <w:rPr>
          <w:color w:val="105C84"/>
        </w:rPr>
        <w:t>limited</w:t>
      </w:r>
      <w:r>
        <w:rPr>
          <w:color w:val="105C84"/>
          <w:spacing w:val="28"/>
        </w:rPr>
        <w:t> </w:t>
      </w:r>
      <w:r>
        <w:rPr>
          <w:color w:val="105C84"/>
        </w:rPr>
        <w:t>to,</w:t>
      </w:r>
      <w:r>
        <w:rPr>
          <w:color w:val="105C84"/>
          <w:spacing w:val="28"/>
        </w:rPr>
        <w:t> </w:t>
      </w:r>
      <w:r>
        <w:rPr>
          <w:color w:val="105C84"/>
        </w:rPr>
        <w:t>the</w:t>
      </w:r>
      <w:r>
        <w:rPr>
          <w:color w:val="105C84"/>
          <w:spacing w:val="28"/>
        </w:rPr>
        <w:t> </w:t>
      </w:r>
      <w:r>
        <w:rPr>
          <w:color w:val="105C84"/>
        </w:rPr>
        <w:t>American</w:t>
      </w:r>
      <w:r>
        <w:rPr>
          <w:color w:val="105C84"/>
          <w:spacing w:val="28"/>
        </w:rPr>
        <w:t> </w:t>
      </w:r>
      <w:r>
        <w:rPr>
          <w:color w:val="105C84"/>
        </w:rPr>
        <w:t>Community</w:t>
      </w:r>
      <w:r>
        <w:rPr>
          <w:color w:val="105C84"/>
          <w:spacing w:val="28"/>
        </w:rPr>
        <w:t> </w:t>
      </w:r>
      <w:r>
        <w:rPr>
          <w:color w:val="105C84"/>
        </w:rPr>
        <w:t>Survey,</w:t>
      </w:r>
      <w:r>
        <w:rPr>
          <w:color w:val="105C84"/>
          <w:spacing w:val="28"/>
        </w:rPr>
        <w:t> </w:t>
      </w:r>
      <w:r>
        <w:rPr>
          <w:color w:val="105C84"/>
        </w:rPr>
        <w:t>the</w:t>
      </w:r>
      <w:r>
        <w:rPr>
          <w:color w:val="105C84"/>
          <w:spacing w:val="28"/>
        </w:rPr>
        <w:t> </w:t>
      </w:r>
      <w:r>
        <w:rPr>
          <w:color w:val="105C84"/>
        </w:rPr>
        <w:t>enhanced</w:t>
      </w:r>
      <w:r>
        <w:rPr>
          <w:color w:val="105C84"/>
          <w:spacing w:val="28"/>
        </w:rPr>
        <w:t> </w:t>
      </w:r>
      <w:r>
        <w:rPr>
          <w:color w:val="105C84"/>
        </w:rPr>
        <w:t>Behavioral</w:t>
      </w:r>
      <w:r>
        <w:rPr>
          <w:color w:val="105C84"/>
          <w:spacing w:val="28"/>
        </w:rPr>
        <w:t> </w:t>
      </w:r>
      <w:r>
        <w:rPr>
          <w:color w:val="105C84"/>
        </w:rPr>
        <w:t>Risk Factor Surveillance System, Vital Statistics, communicable disease and dental reports, primary data collected from the </w:t>
      </w:r>
      <w:r>
        <w:rPr>
          <w:i/>
          <w:color w:val="105C84"/>
        </w:rPr>
        <w:t>My Health Story 2018 </w:t>
      </w:r>
      <w:r>
        <w:rPr>
          <w:color w:val="105C84"/>
        </w:rPr>
        <w:t>Survey and local data sources such as Wayne County’s school student survey. Ultimately, using the Hanlon and PEARL methods, the group selected the following as their priority areas and disparities for the 2019-2021 Community Health Improvement </w:t>
      </w:r>
      <w:r>
        <w:rPr>
          <w:color w:val="105C84"/>
          <w:spacing w:val="-2"/>
        </w:rPr>
        <w:t>Plan:</w:t>
      </w:r>
    </w:p>
    <w:p>
      <w:pPr>
        <w:pStyle w:val="BodyText"/>
        <w:spacing w:before="14"/>
      </w:pPr>
    </w:p>
    <w:p>
      <w:pPr>
        <w:pStyle w:val="Heading5"/>
        <w:spacing w:before="1"/>
      </w:pPr>
      <w:r>
        <w:rPr>
          <w:color w:val="32BCAA"/>
          <w:spacing w:val="2"/>
        </w:rPr>
        <w:t>PREVENT</w:t>
      </w:r>
      <w:r>
        <w:rPr>
          <w:color w:val="32BCAA"/>
          <w:spacing w:val="35"/>
        </w:rPr>
        <w:t> </w:t>
      </w:r>
      <w:r>
        <w:rPr>
          <w:color w:val="32BCAA"/>
          <w:spacing w:val="2"/>
        </w:rPr>
        <w:t>CHRONIC</w:t>
      </w:r>
      <w:r>
        <w:rPr>
          <w:color w:val="32BCAA"/>
          <w:spacing w:val="51"/>
        </w:rPr>
        <w:t> </w:t>
      </w:r>
      <w:r>
        <w:rPr>
          <w:color w:val="32BCAA"/>
          <w:spacing w:val="-2"/>
        </w:rPr>
        <w:t>DISEASES</w:t>
      </w:r>
    </w:p>
    <w:p>
      <w:pPr>
        <w:pStyle w:val="ListParagraph"/>
        <w:numPr>
          <w:ilvl w:val="0"/>
          <w:numId w:val="31"/>
        </w:numPr>
        <w:tabs>
          <w:tab w:pos="1519" w:val="left" w:leader="none"/>
        </w:tabs>
        <w:spacing w:line="240" w:lineRule="auto" w:before="85" w:after="0"/>
        <w:ind w:left="1519" w:right="0" w:hanging="239"/>
        <w:jc w:val="left"/>
        <w:rPr>
          <w:sz w:val="22"/>
        </w:rPr>
      </w:pPr>
      <w:r>
        <w:rPr>
          <w:color w:val="105C84"/>
          <w:sz w:val="22"/>
        </w:rPr>
        <w:t>Tobacco</w:t>
      </w:r>
      <w:r>
        <w:rPr>
          <w:color w:val="105C84"/>
          <w:spacing w:val="-16"/>
          <w:sz w:val="22"/>
        </w:rPr>
        <w:t> </w:t>
      </w:r>
      <w:r>
        <w:rPr>
          <w:color w:val="105C84"/>
          <w:spacing w:val="-2"/>
          <w:sz w:val="22"/>
        </w:rPr>
        <w:t>prevention</w:t>
      </w:r>
    </w:p>
    <w:p>
      <w:pPr>
        <w:pStyle w:val="ListParagraph"/>
        <w:numPr>
          <w:ilvl w:val="0"/>
          <w:numId w:val="31"/>
        </w:numPr>
        <w:tabs>
          <w:tab w:pos="1519" w:val="left" w:leader="none"/>
        </w:tabs>
        <w:spacing w:line="240" w:lineRule="auto" w:before="187" w:after="0"/>
        <w:ind w:left="1519" w:right="0" w:hanging="239"/>
        <w:jc w:val="left"/>
        <w:rPr>
          <w:sz w:val="22"/>
        </w:rPr>
      </w:pPr>
      <w:r>
        <w:rPr>
          <w:color w:val="105C84"/>
          <w:sz w:val="22"/>
        </w:rPr>
        <w:t>Chronic</w:t>
      </w:r>
      <w:r>
        <w:rPr>
          <w:color w:val="105C84"/>
          <w:spacing w:val="2"/>
          <w:sz w:val="22"/>
        </w:rPr>
        <w:t> </w:t>
      </w:r>
      <w:r>
        <w:rPr>
          <w:color w:val="105C84"/>
          <w:sz w:val="22"/>
        </w:rPr>
        <w:t>disease</w:t>
      </w:r>
      <w:r>
        <w:rPr>
          <w:color w:val="105C84"/>
          <w:spacing w:val="3"/>
          <w:sz w:val="22"/>
        </w:rPr>
        <w:t> </w:t>
      </w:r>
      <w:r>
        <w:rPr>
          <w:color w:val="105C84"/>
          <w:sz w:val="22"/>
        </w:rPr>
        <w:t>preventative</w:t>
      </w:r>
      <w:r>
        <w:rPr>
          <w:color w:val="105C84"/>
          <w:spacing w:val="3"/>
          <w:sz w:val="22"/>
        </w:rPr>
        <w:t> </w:t>
      </w:r>
      <w:r>
        <w:rPr>
          <w:color w:val="105C84"/>
          <w:sz w:val="22"/>
        </w:rPr>
        <w:t>care</w:t>
      </w:r>
      <w:r>
        <w:rPr>
          <w:color w:val="105C84"/>
          <w:spacing w:val="3"/>
          <w:sz w:val="22"/>
        </w:rPr>
        <w:t> </w:t>
      </w:r>
      <w:r>
        <w:rPr>
          <w:color w:val="105C84"/>
          <w:sz w:val="22"/>
        </w:rPr>
        <w:t>and</w:t>
      </w:r>
      <w:r>
        <w:rPr>
          <w:color w:val="105C84"/>
          <w:spacing w:val="3"/>
          <w:sz w:val="22"/>
        </w:rPr>
        <w:t> </w:t>
      </w:r>
      <w:r>
        <w:rPr>
          <w:color w:val="105C84"/>
          <w:spacing w:val="-2"/>
          <w:sz w:val="22"/>
        </w:rPr>
        <w:t>management</w:t>
      </w:r>
    </w:p>
    <w:p>
      <w:pPr>
        <w:pStyle w:val="BodyText"/>
        <w:spacing w:before="27"/>
      </w:pPr>
    </w:p>
    <w:p>
      <w:pPr>
        <w:pStyle w:val="Heading5"/>
      </w:pPr>
      <w:r>
        <w:rPr>
          <w:color w:val="32BCAA"/>
        </w:rPr>
        <w:t>PROMOTE</w:t>
      </w:r>
      <w:r>
        <w:rPr>
          <w:color w:val="32BCAA"/>
          <w:spacing w:val="52"/>
        </w:rPr>
        <w:t> </w:t>
      </w:r>
      <w:r>
        <w:rPr>
          <w:color w:val="32BCAA"/>
        </w:rPr>
        <w:t>MENTAL</w:t>
      </w:r>
      <w:r>
        <w:rPr>
          <w:color w:val="32BCAA"/>
          <w:spacing w:val="53"/>
        </w:rPr>
        <w:t> </w:t>
      </w:r>
      <w:r>
        <w:rPr>
          <w:color w:val="32BCAA"/>
        </w:rPr>
        <w:t>WELL-BEING</w:t>
      </w:r>
      <w:r>
        <w:rPr>
          <w:color w:val="32BCAA"/>
          <w:spacing w:val="52"/>
        </w:rPr>
        <w:t> </w:t>
      </w:r>
      <w:r>
        <w:rPr>
          <w:color w:val="32BCAA"/>
        </w:rPr>
        <w:t>AND</w:t>
      </w:r>
      <w:r>
        <w:rPr>
          <w:color w:val="32BCAA"/>
          <w:spacing w:val="53"/>
        </w:rPr>
        <w:t> </w:t>
      </w:r>
      <w:r>
        <w:rPr>
          <w:color w:val="32BCAA"/>
        </w:rPr>
        <w:t>PREVENT</w:t>
      </w:r>
      <w:r>
        <w:rPr>
          <w:color w:val="32BCAA"/>
          <w:spacing w:val="37"/>
        </w:rPr>
        <w:t> </w:t>
      </w:r>
      <w:r>
        <w:rPr>
          <w:color w:val="32BCAA"/>
        </w:rPr>
        <w:t>SUBSTANCE</w:t>
      </w:r>
      <w:r>
        <w:rPr>
          <w:color w:val="32BCAA"/>
          <w:spacing w:val="53"/>
        </w:rPr>
        <w:t> </w:t>
      </w:r>
      <w:r>
        <w:rPr>
          <w:color w:val="32BCAA"/>
        </w:rPr>
        <w:t>USE</w:t>
      </w:r>
      <w:r>
        <w:rPr>
          <w:color w:val="32BCAA"/>
          <w:spacing w:val="52"/>
        </w:rPr>
        <w:t> </w:t>
      </w:r>
      <w:r>
        <w:rPr>
          <w:color w:val="32BCAA"/>
          <w:spacing w:val="-2"/>
        </w:rPr>
        <w:t>DISORDERS</w:t>
      </w:r>
    </w:p>
    <w:p>
      <w:pPr>
        <w:pStyle w:val="ListParagraph"/>
        <w:numPr>
          <w:ilvl w:val="0"/>
          <w:numId w:val="31"/>
        </w:numPr>
        <w:tabs>
          <w:tab w:pos="1519" w:val="left" w:leader="none"/>
        </w:tabs>
        <w:spacing w:line="240" w:lineRule="auto" w:before="86" w:after="0"/>
        <w:ind w:left="1519" w:right="0" w:hanging="239"/>
        <w:jc w:val="left"/>
        <w:rPr>
          <w:sz w:val="22"/>
        </w:rPr>
      </w:pPr>
      <w:r>
        <w:rPr>
          <w:color w:val="105C84"/>
          <w:sz w:val="22"/>
        </w:rPr>
        <w:t>Prevent</w:t>
      </w:r>
      <w:r>
        <w:rPr>
          <w:color w:val="105C84"/>
          <w:spacing w:val="-4"/>
          <w:sz w:val="22"/>
        </w:rPr>
        <w:t> </w:t>
      </w:r>
      <w:r>
        <w:rPr>
          <w:color w:val="105C84"/>
          <w:sz w:val="22"/>
        </w:rPr>
        <w:t>mental</w:t>
      </w:r>
      <w:r>
        <w:rPr>
          <w:color w:val="105C84"/>
          <w:spacing w:val="-4"/>
          <w:sz w:val="22"/>
        </w:rPr>
        <w:t> </w:t>
      </w:r>
      <w:r>
        <w:rPr>
          <w:color w:val="105C84"/>
          <w:sz w:val="22"/>
        </w:rPr>
        <w:t>and</w:t>
      </w:r>
      <w:r>
        <w:rPr>
          <w:color w:val="105C84"/>
          <w:spacing w:val="-3"/>
          <w:sz w:val="22"/>
        </w:rPr>
        <w:t> </w:t>
      </w:r>
      <w:r>
        <w:rPr>
          <w:color w:val="105C84"/>
          <w:sz w:val="22"/>
        </w:rPr>
        <w:t>substance</w:t>
      </w:r>
      <w:r>
        <w:rPr>
          <w:color w:val="105C84"/>
          <w:spacing w:val="-4"/>
          <w:sz w:val="22"/>
        </w:rPr>
        <w:t> </w:t>
      </w:r>
      <w:r>
        <w:rPr>
          <w:color w:val="105C84"/>
          <w:sz w:val="22"/>
        </w:rPr>
        <w:t>use</w:t>
      </w:r>
      <w:r>
        <w:rPr>
          <w:color w:val="105C84"/>
          <w:spacing w:val="-3"/>
          <w:sz w:val="22"/>
        </w:rPr>
        <w:t> </w:t>
      </w:r>
      <w:r>
        <w:rPr>
          <w:color w:val="105C84"/>
          <w:spacing w:val="-2"/>
          <w:sz w:val="22"/>
        </w:rPr>
        <w:t>disorders</w:t>
      </w:r>
    </w:p>
    <w:p>
      <w:pPr>
        <w:pStyle w:val="ListParagraph"/>
        <w:numPr>
          <w:ilvl w:val="0"/>
          <w:numId w:val="31"/>
        </w:numPr>
        <w:tabs>
          <w:tab w:pos="1514" w:val="left" w:leader="none"/>
        </w:tabs>
        <w:spacing w:line="240" w:lineRule="auto" w:before="187" w:after="0"/>
        <w:ind w:left="1514" w:right="0" w:hanging="234"/>
        <w:jc w:val="left"/>
        <w:rPr>
          <w:sz w:val="22"/>
        </w:rPr>
      </w:pPr>
      <w:r>
        <w:rPr>
          <w:color w:val="105C84"/>
          <w:sz w:val="22"/>
        </w:rPr>
        <w:t>Promote</w:t>
      </w:r>
      <w:r>
        <w:rPr>
          <w:color w:val="105C84"/>
          <w:spacing w:val="28"/>
          <w:sz w:val="22"/>
        </w:rPr>
        <w:t> </w:t>
      </w:r>
      <w:r>
        <w:rPr>
          <w:color w:val="105C84"/>
          <w:sz w:val="22"/>
        </w:rPr>
        <w:t>well-</w:t>
      </w:r>
      <w:r>
        <w:rPr>
          <w:color w:val="105C84"/>
          <w:spacing w:val="-2"/>
          <w:sz w:val="22"/>
        </w:rPr>
        <w:t>being</w:t>
      </w:r>
    </w:p>
    <w:p>
      <w:pPr>
        <w:pStyle w:val="BodyText"/>
        <w:spacing w:before="26"/>
      </w:pPr>
    </w:p>
    <w:p>
      <w:pPr>
        <w:pStyle w:val="Heading5"/>
      </w:pPr>
      <w:r>
        <w:rPr>
          <w:color w:val="32BCAA"/>
        </w:rPr>
        <w:t>DISPARITY:</w:t>
      </w:r>
      <w:r>
        <w:rPr>
          <w:color w:val="32BCAA"/>
          <w:spacing w:val="12"/>
        </w:rPr>
        <w:t> </w:t>
      </w:r>
      <w:r>
        <w:rPr>
          <w:color w:val="32BCAA"/>
        </w:rPr>
        <w:t>LOW</w:t>
      </w:r>
      <w:r>
        <w:rPr>
          <w:color w:val="32BCAA"/>
          <w:spacing w:val="19"/>
        </w:rPr>
        <w:t> </w:t>
      </w:r>
      <w:r>
        <w:rPr>
          <w:color w:val="32BCAA"/>
          <w:spacing w:val="-2"/>
        </w:rPr>
        <w:t>INCOME</w:t>
      </w:r>
    </w:p>
    <w:p>
      <w:pPr>
        <w:pStyle w:val="BodyText"/>
        <w:spacing w:line="247" w:lineRule="auto" w:before="86"/>
        <w:ind w:left="1079" w:right="39"/>
      </w:pPr>
      <w:r>
        <w:rPr>
          <w:color w:val="105C84"/>
        </w:rPr>
        <w:t>Lively group discussions took place regarding the potential priority areas. In addition to the group’s</w:t>
      </w:r>
      <w:r>
        <w:rPr>
          <w:color w:val="105C84"/>
          <w:spacing w:val="80"/>
        </w:rPr>
        <w:t> </w:t>
      </w:r>
      <w:r>
        <w:rPr>
          <w:color w:val="105C84"/>
        </w:rPr>
        <w:t>thoughts, </w:t>
      </w:r>
      <w:r>
        <w:rPr>
          <w:i/>
          <w:color w:val="105C84"/>
        </w:rPr>
        <w:t>My Health Story 2018 </w:t>
      </w:r>
      <w:r>
        <w:rPr>
          <w:color w:val="105C84"/>
        </w:rPr>
        <w:t>respondents were also asked questions relating to their top concerns for the health of themselves, loved ones, adults and children in the community (and were reviewed</w:t>
      </w:r>
    </w:p>
    <w:p>
      <w:pPr>
        <w:pStyle w:val="BodyText"/>
        <w:spacing w:line="247" w:lineRule="auto"/>
        <w:ind w:left="1079" w:right="161"/>
      </w:pPr>
      <w:r>
        <w:rPr>
          <w:color w:val="105C84"/>
          <w:w w:val="105"/>
        </w:rPr>
        <w:t>at the meeting). Weight and mental/emotional health issues rose to the top for each of the four </w:t>
      </w:r>
      <w:r>
        <w:rPr>
          <w:color w:val="105C84"/>
        </w:rPr>
        <w:t>categories (Figure 46). Of note, mental health, substance abuse and education were concerns for children in the county. Cost of care and heart conditions were also highlighted as respondents’ top</w:t>
      </w:r>
      <w:r>
        <w:rPr>
          <w:color w:val="105C84"/>
          <w:spacing w:val="40"/>
          <w:w w:val="105"/>
        </w:rPr>
        <w:t> </w:t>
      </w:r>
      <w:r>
        <w:rPr>
          <w:color w:val="105C84"/>
          <w:w w:val="105"/>
        </w:rPr>
        <w:t>fears for themselves and for others.</w:t>
      </w:r>
    </w:p>
    <w:p>
      <w:pPr>
        <w:pStyle w:val="Heading6"/>
        <w:spacing w:before="116"/>
        <w:ind w:right="431"/>
      </w:pPr>
      <w:r>
        <w:rPr>
          <w:b w:val="0"/>
        </w:rPr>
        <w:br w:type="column"/>
      </w:r>
      <w:r>
        <w:rPr>
          <w:color w:val="105C84"/>
          <w:spacing w:val="-2"/>
        </w:rPr>
        <w:t>FIGURE</w:t>
      </w:r>
      <w:r>
        <w:rPr>
          <w:color w:val="105C84"/>
          <w:spacing w:val="-17"/>
        </w:rPr>
        <w:t> </w:t>
      </w:r>
      <w:r>
        <w:rPr>
          <w:color w:val="105C84"/>
          <w:spacing w:val="-2"/>
        </w:rPr>
        <w:t>46:</w:t>
      </w:r>
      <w:r>
        <w:rPr>
          <w:color w:val="105C84"/>
          <w:spacing w:val="-16"/>
        </w:rPr>
        <w:t> </w:t>
      </w:r>
      <w:r>
        <w:rPr>
          <w:color w:val="105C84"/>
          <w:spacing w:val="-2"/>
        </w:rPr>
        <w:t>Wayne</w:t>
      </w:r>
      <w:r>
        <w:rPr>
          <w:color w:val="105C84"/>
          <w:spacing w:val="-16"/>
        </w:rPr>
        <w:t> </w:t>
      </w:r>
      <w:r>
        <w:rPr>
          <w:color w:val="105C84"/>
          <w:spacing w:val="-2"/>
        </w:rPr>
        <w:t>County</w:t>
      </w:r>
      <w:r>
        <w:rPr>
          <w:color w:val="105C84"/>
          <w:spacing w:val="-16"/>
        </w:rPr>
        <w:t> </w:t>
      </w:r>
      <w:r>
        <w:rPr>
          <w:color w:val="105C84"/>
          <w:spacing w:val="-2"/>
        </w:rPr>
        <w:t>summary</w:t>
      </w:r>
      <w:r>
        <w:rPr>
          <w:color w:val="105C84"/>
          <w:spacing w:val="-16"/>
        </w:rPr>
        <w:t> </w:t>
      </w:r>
      <w:r>
        <w:rPr>
          <w:color w:val="105C84"/>
          <w:spacing w:val="-2"/>
        </w:rPr>
        <w:t>of</w:t>
      </w:r>
      <w:r>
        <w:rPr>
          <w:color w:val="105C84"/>
          <w:spacing w:val="-16"/>
        </w:rPr>
        <w:t> </w:t>
      </w:r>
      <w:r>
        <w:rPr>
          <w:color w:val="105C84"/>
          <w:spacing w:val="-2"/>
        </w:rPr>
        <w:t>health-related</w:t>
      </w:r>
      <w:r>
        <w:rPr>
          <w:color w:val="105C84"/>
          <w:spacing w:val="-16"/>
        </w:rPr>
        <w:t> </w:t>
      </w:r>
      <w:r>
        <w:rPr>
          <w:color w:val="105C84"/>
          <w:spacing w:val="-2"/>
        </w:rPr>
        <w:t>concerns</w:t>
      </w:r>
      <w:r>
        <w:rPr>
          <w:color w:val="105C84"/>
          <w:spacing w:val="-16"/>
        </w:rPr>
        <w:t> </w:t>
      </w:r>
      <w:r>
        <w:rPr>
          <w:color w:val="105C84"/>
          <w:spacing w:val="-2"/>
        </w:rPr>
        <w:t>for</w:t>
      </w:r>
      <w:r>
        <w:rPr>
          <w:color w:val="105C84"/>
          <w:spacing w:val="-16"/>
        </w:rPr>
        <w:t> </w:t>
      </w:r>
      <w:r>
        <w:rPr>
          <w:color w:val="105C84"/>
          <w:spacing w:val="-2"/>
        </w:rPr>
        <w:t>self,</w:t>
      </w:r>
      <w:r>
        <w:rPr>
          <w:color w:val="105C84"/>
          <w:spacing w:val="-16"/>
        </w:rPr>
        <w:t> </w:t>
      </w:r>
      <w:r>
        <w:rPr>
          <w:color w:val="105C84"/>
          <w:spacing w:val="-2"/>
        </w:rPr>
        <w:t>loved</w:t>
      </w:r>
      <w:r>
        <w:rPr>
          <w:color w:val="105C84"/>
          <w:spacing w:val="-16"/>
        </w:rPr>
        <w:t> </w:t>
      </w:r>
      <w:r>
        <w:rPr>
          <w:color w:val="105C84"/>
          <w:spacing w:val="-2"/>
        </w:rPr>
        <w:t>ones </w:t>
      </w:r>
      <w:r>
        <w:rPr>
          <w:color w:val="105C84"/>
        </w:rPr>
        <w:t>and county to prioritize</w:t>
      </w:r>
    </w:p>
    <w:p>
      <w:pPr>
        <w:pStyle w:val="BodyText"/>
        <w:spacing w:before="132"/>
        <w:rPr>
          <w:b/>
          <w:sz w:val="20"/>
        </w:rPr>
      </w:pPr>
      <w:r>
        <w:rPr>
          <w:b/>
          <w:sz w:val="20"/>
        </w:rPr>
        <mc:AlternateContent>
          <mc:Choice Requires="wps">
            <w:drawing>
              <wp:anchor distT="0" distB="0" distL="0" distR="0" allowOverlap="1" layoutInCell="1" locked="0" behindDoc="1" simplePos="0" relativeHeight="487587840">
                <wp:simplePos x="0" y="0"/>
                <wp:positionH relativeFrom="page">
                  <wp:posOffset>8458200</wp:posOffset>
                </wp:positionH>
                <wp:positionV relativeFrom="paragraph">
                  <wp:posOffset>245167</wp:posOffset>
                </wp:positionV>
                <wp:extent cx="2891155" cy="1374775"/>
                <wp:effectExtent l="0" t="0" r="0" b="0"/>
                <wp:wrapTopAndBottom/>
                <wp:docPr id="1476" name="Textbox 1476"/>
                <wp:cNvGraphicFramePr>
                  <a:graphicFrameLocks/>
                </wp:cNvGraphicFramePr>
                <a:graphic>
                  <a:graphicData uri="http://schemas.microsoft.com/office/word/2010/wordprocessingShape">
                    <wps:wsp>
                      <wps:cNvPr id="1476" name="Textbox 1476"/>
                      <wps:cNvSpPr txBox="1"/>
                      <wps:spPr>
                        <a:xfrm>
                          <a:off x="0" y="0"/>
                          <a:ext cx="2891155" cy="1374775"/>
                        </a:xfrm>
                        <a:prstGeom prst="rect">
                          <a:avLst/>
                        </a:prstGeom>
                      </wps:spPr>
                      <wps:txbx>
                        <w:txbxContent>
                          <w:tbl>
                            <w:tblPr>
                              <w:tblW w:w="0" w:type="auto"/>
                              <w:jc w:val="left"/>
                              <w:tblInd w:w="2" w:type="dxa"/>
                              <w:tblBorders>
                                <w:top w:val="single" w:sz="2" w:space="0" w:color="636466"/>
                                <w:left w:val="single" w:sz="2" w:space="0" w:color="636466"/>
                                <w:bottom w:val="single" w:sz="2" w:space="0" w:color="636466"/>
                                <w:right w:val="single" w:sz="2" w:space="0" w:color="636466"/>
                                <w:insideH w:val="single" w:sz="2" w:space="0" w:color="636466"/>
                                <w:insideV w:val="single" w:sz="2" w:space="0" w:color="636466"/>
                              </w:tblBorders>
                              <w:tblLayout w:type="fixed"/>
                              <w:tblCellMar>
                                <w:top w:w="0" w:type="dxa"/>
                                <w:left w:w="0" w:type="dxa"/>
                                <w:bottom w:w="0" w:type="dxa"/>
                                <w:right w:w="0" w:type="dxa"/>
                              </w:tblCellMar>
                              <w:tblLook w:val="01E0"/>
                            </w:tblPr>
                            <w:tblGrid>
                              <w:gridCol w:w="4548"/>
                            </w:tblGrid>
                            <w:tr>
                              <w:trPr>
                                <w:trHeight w:val="355" w:hRule="atLeast"/>
                              </w:trPr>
                              <w:tc>
                                <w:tcPr>
                                  <w:tcW w:w="4548" w:type="dxa"/>
                                  <w:shd w:val="clear" w:color="auto" w:fill="82BF6A"/>
                                </w:tcPr>
                                <w:p>
                                  <w:pPr>
                                    <w:pStyle w:val="TableParagraph"/>
                                    <w:spacing w:before="90"/>
                                    <w:ind w:left="80"/>
                                    <w:rPr>
                                      <w:b/>
                                      <w:sz w:val="20"/>
                                    </w:rPr>
                                  </w:pPr>
                                  <w:r>
                                    <w:rPr>
                                      <w:b/>
                                      <w:color w:val="FFFFFF"/>
                                      <w:sz w:val="20"/>
                                    </w:rPr>
                                    <w:t>BIGGEST</w:t>
                                  </w:r>
                                  <w:r>
                                    <w:rPr>
                                      <w:b/>
                                      <w:color w:val="FFFFFF"/>
                                      <w:spacing w:val="-10"/>
                                      <w:sz w:val="20"/>
                                    </w:rPr>
                                    <w:t> </w:t>
                                  </w:r>
                                  <w:r>
                                    <w:rPr>
                                      <w:b/>
                                      <w:color w:val="FFFFFF"/>
                                      <w:sz w:val="20"/>
                                    </w:rPr>
                                    <w:t>FEAR</w:t>
                                  </w:r>
                                  <w:r>
                                    <w:rPr>
                                      <w:b/>
                                      <w:color w:val="FFFFFF"/>
                                      <w:spacing w:val="-10"/>
                                      <w:sz w:val="20"/>
                                    </w:rPr>
                                    <w:t> </w:t>
                                  </w:r>
                                  <w:r>
                                    <w:rPr>
                                      <w:b/>
                                      <w:color w:val="FFFFFF"/>
                                      <w:sz w:val="20"/>
                                    </w:rPr>
                                    <w:t>-</w:t>
                                  </w:r>
                                  <w:r>
                                    <w:rPr>
                                      <w:b/>
                                      <w:color w:val="FFFFFF"/>
                                      <w:spacing w:val="-9"/>
                                      <w:sz w:val="20"/>
                                    </w:rPr>
                                    <w:t> </w:t>
                                  </w:r>
                                  <w:r>
                                    <w:rPr>
                                      <w:b/>
                                      <w:color w:val="FFFFFF"/>
                                      <w:sz w:val="20"/>
                                    </w:rPr>
                                    <w:t>FOR</w:t>
                                  </w:r>
                                  <w:r>
                                    <w:rPr>
                                      <w:b/>
                                      <w:color w:val="FFFFFF"/>
                                      <w:spacing w:val="-10"/>
                                      <w:sz w:val="20"/>
                                    </w:rPr>
                                    <w:t> </w:t>
                                  </w:r>
                                  <w:r>
                                    <w:rPr>
                                      <w:b/>
                                      <w:color w:val="FFFFFF"/>
                                      <w:spacing w:val="-4"/>
                                      <w:sz w:val="20"/>
                                    </w:rPr>
                                    <w:t>SELF</w:t>
                                  </w:r>
                                </w:p>
                              </w:tc>
                            </w:tr>
                            <w:tr>
                              <w:trPr>
                                <w:trHeight w:val="355" w:hRule="atLeast"/>
                              </w:trPr>
                              <w:tc>
                                <w:tcPr>
                                  <w:tcW w:w="4548" w:type="dxa"/>
                                </w:tcPr>
                                <w:p>
                                  <w:pPr>
                                    <w:pStyle w:val="TableParagraph"/>
                                    <w:spacing w:before="90"/>
                                    <w:ind w:left="80"/>
                                    <w:rPr>
                                      <w:sz w:val="20"/>
                                    </w:rPr>
                                  </w:pPr>
                                  <w:r>
                                    <w:rPr>
                                      <w:color w:val="105C84"/>
                                      <w:sz w:val="20"/>
                                    </w:rPr>
                                    <w:t>Cost</w:t>
                                  </w:r>
                                  <w:r>
                                    <w:rPr>
                                      <w:color w:val="105C84"/>
                                      <w:spacing w:val="6"/>
                                      <w:sz w:val="20"/>
                                    </w:rPr>
                                    <w:t> </w:t>
                                  </w:r>
                                  <w:r>
                                    <w:rPr>
                                      <w:color w:val="105C84"/>
                                      <w:spacing w:val="-2"/>
                                      <w:sz w:val="20"/>
                                    </w:rPr>
                                    <w:t>(14.5%)</w:t>
                                  </w:r>
                                </w:p>
                              </w:tc>
                            </w:tr>
                            <w:tr>
                              <w:trPr>
                                <w:trHeight w:val="355" w:hRule="atLeast"/>
                              </w:trPr>
                              <w:tc>
                                <w:tcPr>
                                  <w:tcW w:w="4548" w:type="dxa"/>
                                </w:tcPr>
                                <w:p>
                                  <w:pPr>
                                    <w:pStyle w:val="TableParagraph"/>
                                    <w:spacing w:before="90"/>
                                    <w:ind w:left="80"/>
                                    <w:rPr>
                                      <w:sz w:val="20"/>
                                    </w:rPr>
                                  </w:pPr>
                                  <w:r>
                                    <w:rPr>
                                      <w:color w:val="105C84"/>
                                      <w:sz w:val="20"/>
                                    </w:rPr>
                                    <w:t>Weight</w:t>
                                  </w:r>
                                  <w:r>
                                    <w:rPr>
                                      <w:color w:val="105C84"/>
                                      <w:spacing w:val="27"/>
                                      <w:sz w:val="20"/>
                                    </w:rPr>
                                    <w:t> </w:t>
                                  </w:r>
                                  <w:r>
                                    <w:rPr>
                                      <w:color w:val="105C84"/>
                                      <w:spacing w:val="-2"/>
                                      <w:sz w:val="20"/>
                                    </w:rPr>
                                    <w:t>(12.9%)</w:t>
                                  </w:r>
                                </w:p>
                              </w:tc>
                            </w:tr>
                            <w:tr>
                              <w:trPr>
                                <w:trHeight w:val="355" w:hRule="atLeast"/>
                              </w:trPr>
                              <w:tc>
                                <w:tcPr>
                                  <w:tcW w:w="4548" w:type="dxa"/>
                                </w:tcPr>
                                <w:p>
                                  <w:pPr>
                                    <w:pStyle w:val="TableParagraph"/>
                                    <w:spacing w:before="90"/>
                                    <w:ind w:left="80"/>
                                    <w:rPr>
                                      <w:sz w:val="20"/>
                                    </w:rPr>
                                  </w:pPr>
                                  <w:r>
                                    <w:rPr>
                                      <w:color w:val="105C84"/>
                                      <w:sz w:val="20"/>
                                    </w:rPr>
                                    <w:t>Heart</w:t>
                                  </w:r>
                                  <w:r>
                                    <w:rPr>
                                      <w:color w:val="105C84"/>
                                      <w:spacing w:val="22"/>
                                      <w:sz w:val="20"/>
                                    </w:rPr>
                                    <w:t> </w:t>
                                  </w:r>
                                  <w:r>
                                    <w:rPr>
                                      <w:color w:val="105C84"/>
                                      <w:sz w:val="20"/>
                                    </w:rPr>
                                    <w:t>conditions</w:t>
                                  </w:r>
                                  <w:r>
                                    <w:rPr>
                                      <w:color w:val="105C84"/>
                                      <w:spacing w:val="23"/>
                                      <w:sz w:val="20"/>
                                    </w:rPr>
                                    <w:t> </w:t>
                                  </w:r>
                                  <w:r>
                                    <w:rPr>
                                      <w:color w:val="105C84"/>
                                      <w:spacing w:val="-2"/>
                                      <w:sz w:val="20"/>
                                    </w:rPr>
                                    <w:t>(9.3%)</w:t>
                                  </w:r>
                                </w:p>
                              </w:tc>
                            </w:tr>
                            <w:tr>
                              <w:trPr>
                                <w:trHeight w:val="355" w:hRule="atLeast"/>
                              </w:trPr>
                              <w:tc>
                                <w:tcPr>
                                  <w:tcW w:w="4548" w:type="dxa"/>
                                </w:tcPr>
                                <w:p>
                                  <w:pPr>
                                    <w:pStyle w:val="TableParagraph"/>
                                    <w:spacing w:before="90"/>
                                    <w:ind w:left="80"/>
                                    <w:rPr>
                                      <w:sz w:val="20"/>
                                    </w:rPr>
                                  </w:pPr>
                                  <w:r>
                                    <w:rPr>
                                      <w:color w:val="105C84"/>
                                      <w:sz w:val="20"/>
                                    </w:rPr>
                                    <w:t>Mental</w:t>
                                  </w:r>
                                  <w:r>
                                    <w:rPr>
                                      <w:color w:val="105C84"/>
                                      <w:spacing w:val="13"/>
                                      <w:sz w:val="20"/>
                                    </w:rPr>
                                    <w:t> </w:t>
                                  </w:r>
                                  <w:r>
                                    <w:rPr>
                                      <w:color w:val="105C84"/>
                                      <w:sz w:val="20"/>
                                    </w:rPr>
                                    <w:t>/</w:t>
                                  </w:r>
                                  <w:r>
                                    <w:rPr>
                                      <w:color w:val="105C84"/>
                                      <w:spacing w:val="13"/>
                                      <w:sz w:val="20"/>
                                    </w:rPr>
                                    <w:t> </w:t>
                                  </w:r>
                                  <w:r>
                                    <w:rPr>
                                      <w:color w:val="105C84"/>
                                      <w:sz w:val="20"/>
                                    </w:rPr>
                                    <w:t>emotional</w:t>
                                  </w:r>
                                  <w:r>
                                    <w:rPr>
                                      <w:color w:val="105C84"/>
                                      <w:spacing w:val="13"/>
                                      <w:sz w:val="20"/>
                                    </w:rPr>
                                    <w:t> </w:t>
                                  </w:r>
                                  <w:r>
                                    <w:rPr>
                                      <w:color w:val="105C84"/>
                                      <w:sz w:val="20"/>
                                    </w:rPr>
                                    <w:t>health</w:t>
                                  </w:r>
                                  <w:r>
                                    <w:rPr>
                                      <w:color w:val="105C84"/>
                                      <w:spacing w:val="13"/>
                                      <w:sz w:val="20"/>
                                    </w:rPr>
                                    <w:t> </w:t>
                                  </w:r>
                                  <w:r>
                                    <w:rPr>
                                      <w:color w:val="105C84"/>
                                      <w:sz w:val="20"/>
                                    </w:rPr>
                                    <w:t>issues</w:t>
                                  </w:r>
                                  <w:r>
                                    <w:rPr>
                                      <w:color w:val="105C84"/>
                                      <w:spacing w:val="13"/>
                                      <w:sz w:val="20"/>
                                    </w:rPr>
                                    <w:t> </w:t>
                                  </w:r>
                                  <w:r>
                                    <w:rPr>
                                      <w:color w:val="105C84"/>
                                      <w:spacing w:val="-2"/>
                                      <w:sz w:val="20"/>
                                    </w:rPr>
                                    <w:t>(9.1%)</w:t>
                                  </w:r>
                                </w:p>
                              </w:tc>
                            </w:tr>
                            <w:tr>
                              <w:trPr>
                                <w:trHeight w:val="355" w:hRule="atLeast"/>
                              </w:trPr>
                              <w:tc>
                                <w:tcPr>
                                  <w:tcW w:w="4548" w:type="dxa"/>
                                </w:tcPr>
                                <w:p>
                                  <w:pPr>
                                    <w:pStyle w:val="TableParagraph"/>
                                    <w:spacing w:before="90"/>
                                    <w:ind w:left="80"/>
                                    <w:rPr>
                                      <w:sz w:val="20"/>
                                    </w:rPr>
                                  </w:pPr>
                                  <w:r>
                                    <w:rPr>
                                      <w:color w:val="105C84"/>
                                      <w:sz w:val="20"/>
                                    </w:rPr>
                                    <w:t>Cancer</w:t>
                                  </w:r>
                                  <w:r>
                                    <w:rPr>
                                      <w:color w:val="105C84"/>
                                      <w:spacing w:val="-10"/>
                                      <w:sz w:val="20"/>
                                    </w:rPr>
                                    <w:t> </w:t>
                                  </w:r>
                                  <w:r>
                                    <w:rPr>
                                      <w:color w:val="105C84"/>
                                      <w:spacing w:val="-2"/>
                                      <w:sz w:val="20"/>
                                    </w:rPr>
                                    <w:t>(8.9%)</w:t>
                                  </w:r>
                                </w:p>
                              </w:tc>
                            </w:tr>
                          </w:tbl>
                          <w:p>
                            <w:pPr>
                              <w:pStyle w:val="BodyText"/>
                            </w:pPr>
                          </w:p>
                        </w:txbxContent>
                      </wps:txbx>
                      <wps:bodyPr wrap="square" lIns="0" tIns="0" rIns="0" bIns="0" rtlCol="0">
                        <a:noAutofit/>
                      </wps:bodyPr>
                    </wps:wsp>
                  </a:graphicData>
                </a:graphic>
              </wp:anchor>
            </w:drawing>
          </mc:Choice>
          <mc:Fallback>
            <w:pict>
              <v:shape style="position:absolute;margin-left:666pt;margin-top:19.304493pt;width:227.65pt;height:108.25pt;mso-position-horizontal-relative:page;mso-position-vertical-relative:paragraph;z-index:-15728640;mso-wrap-distance-left:0;mso-wrap-distance-right:0" type="#_x0000_t202" id="docshape1166" filled="false" stroked="false">
                <v:textbox inset="0,0,0,0">
                  <w:txbxContent>
                    <w:tbl>
                      <w:tblPr>
                        <w:tblW w:w="0" w:type="auto"/>
                        <w:jc w:val="left"/>
                        <w:tblInd w:w="2" w:type="dxa"/>
                        <w:tblBorders>
                          <w:top w:val="single" w:sz="2" w:space="0" w:color="636466"/>
                          <w:left w:val="single" w:sz="2" w:space="0" w:color="636466"/>
                          <w:bottom w:val="single" w:sz="2" w:space="0" w:color="636466"/>
                          <w:right w:val="single" w:sz="2" w:space="0" w:color="636466"/>
                          <w:insideH w:val="single" w:sz="2" w:space="0" w:color="636466"/>
                          <w:insideV w:val="single" w:sz="2" w:space="0" w:color="636466"/>
                        </w:tblBorders>
                        <w:tblLayout w:type="fixed"/>
                        <w:tblCellMar>
                          <w:top w:w="0" w:type="dxa"/>
                          <w:left w:w="0" w:type="dxa"/>
                          <w:bottom w:w="0" w:type="dxa"/>
                          <w:right w:w="0" w:type="dxa"/>
                        </w:tblCellMar>
                        <w:tblLook w:val="01E0"/>
                      </w:tblPr>
                      <w:tblGrid>
                        <w:gridCol w:w="4548"/>
                      </w:tblGrid>
                      <w:tr>
                        <w:trPr>
                          <w:trHeight w:val="355" w:hRule="atLeast"/>
                        </w:trPr>
                        <w:tc>
                          <w:tcPr>
                            <w:tcW w:w="4548" w:type="dxa"/>
                            <w:shd w:val="clear" w:color="auto" w:fill="82BF6A"/>
                          </w:tcPr>
                          <w:p>
                            <w:pPr>
                              <w:pStyle w:val="TableParagraph"/>
                              <w:spacing w:before="90"/>
                              <w:ind w:left="80"/>
                              <w:rPr>
                                <w:b/>
                                <w:sz w:val="20"/>
                              </w:rPr>
                            </w:pPr>
                            <w:r>
                              <w:rPr>
                                <w:b/>
                                <w:color w:val="FFFFFF"/>
                                <w:sz w:val="20"/>
                              </w:rPr>
                              <w:t>BIGGEST</w:t>
                            </w:r>
                            <w:r>
                              <w:rPr>
                                <w:b/>
                                <w:color w:val="FFFFFF"/>
                                <w:spacing w:val="-10"/>
                                <w:sz w:val="20"/>
                              </w:rPr>
                              <w:t> </w:t>
                            </w:r>
                            <w:r>
                              <w:rPr>
                                <w:b/>
                                <w:color w:val="FFFFFF"/>
                                <w:sz w:val="20"/>
                              </w:rPr>
                              <w:t>FEAR</w:t>
                            </w:r>
                            <w:r>
                              <w:rPr>
                                <w:b/>
                                <w:color w:val="FFFFFF"/>
                                <w:spacing w:val="-10"/>
                                <w:sz w:val="20"/>
                              </w:rPr>
                              <w:t> </w:t>
                            </w:r>
                            <w:r>
                              <w:rPr>
                                <w:b/>
                                <w:color w:val="FFFFFF"/>
                                <w:sz w:val="20"/>
                              </w:rPr>
                              <w:t>-</w:t>
                            </w:r>
                            <w:r>
                              <w:rPr>
                                <w:b/>
                                <w:color w:val="FFFFFF"/>
                                <w:spacing w:val="-9"/>
                                <w:sz w:val="20"/>
                              </w:rPr>
                              <w:t> </w:t>
                            </w:r>
                            <w:r>
                              <w:rPr>
                                <w:b/>
                                <w:color w:val="FFFFFF"/>
                                <w:sz w:val="20"/>
                              </w:rPr>
                              <w:t>FOR</w:t>
                            </w:r>
                            <w:r>
                              <w:rPr>
                                <w:b/>
                                <w:color w:val="FFFFFF"/>
                                <w:spacing w:val="-10"/>
                                <w:sz w:val="20"/>
                              </w:rPr>
                              <w:t> </w:t>
                            </w:r>
                            <w:r>
                              <w:rPr>
                                <w:b/>
                                <w:color w:val="FFFFFF"/>
                                <w:spacing w:val="-4"/>
                                <w:sz w:val="20"/>
                              </w:rPr>
                              <w:t>SELF</w:t>
                            </w:r>
                          </w:p>
                        </w:tc>
                      </w:tr>
                      <w:tr>
                        <w:trPr>
                          <w:trHeight w:val="355" w:hRule="atLeast"/>
                        </w:trPr>
                        <w:tc>
                          <w:tcPr>
                            <w:tcW w:w="4548" w:type="dxa"/>
                          </w:tcPr>
                          <w:p>
                            <w:pPr>
                              <w:pStyle w:val="TableParagraph"/>
                              <w:spacing w:before="90"/>
                              <w:ind w:left="80"/>
                              <w:rPr>
                                <w:sz w:val="20"/>
                              </w:rPr>
                            </w:pPr>
                            <w:r>
                              <w:rPr>
                                <w:color w:val="105C84"/>
                                <w:sz w:val="20"/>
                              </w:rPr>
                              <w:t>Cost</w:t>
                            </w:r>
                            <w:r>
                              <w:rPr>
                                <w:color w:val="105C84"/>
                                <w:spacing w:val="6"/>
                                <w:sz w:val="20"/>
                              </w:rPr>
                              <w:t> </w:t>
                            </w:r>
                            <w:r>
                              <w:rPr>
                                <w:color w:val="105C84"/>
                                <w:spacing w:val="-2"/>
                                <w:sz w:val="20"/>
                              </w:rPr>
                              <w:t>(14.5%)</w:t>
                            </w:r>
                          </w:p>
                        </w:tc>
                      </w:tr>
                      <w:tr>
                        <w:trPr>
                          <w:trHeight w:val="355" w:hRule="atLeast"/>
                        </w:trPr>
                        <w:tc>
                          <w:tcPr>
                            <w:tcW w:w="4548" w:type="dxa"/>
                          </w:tcPr>
                          <w:p>
                            <w:pPr>
                              <w:pStyle w:val="TableParagraph"/>
                              <w:spacing w:before="90"/>
                              <w:ind w:left="80"/>
                              <w:rPr>
                                <w:sz w:val="20"/>
                              </w:rPr>
                            </w:pPr>
                            <w:r>
                              <w:rPr>
                                <w:color w:val="105C84"/>
                                <w:sz w:val="20"/>
                              </w:rPr>
                              <w:t>Weight</w:t>
                            </w:r>
                            <w:r>
                              <w:rPr>
                                <w:color w:val="105C84"/>
                                <w:spacing w:val="27"/>
                                <w:sz w:val="20"/>
                              </w:rPr>
                              <w:t> </w:t>
                            </w:r>
                            <w:r>
                              <w:rPr>
                                <w:color w:val="105C84"/>
                                <w:spacing w:val="-2"/>
                                <w:sz w:val="20"/>
                              </w:rPr>
                              <w:t>(12.9%)</w:t>
                            </w:r>
                          </w:p>
                        </w:tc>
                      </w:tr>
                      <w:tr>
                        <w:trPr>
                          <w:trHeight w:val="355" w:hRule="atLeast"/>
                        </w:trPr>
                        <w:tc>
                          <w:tcPr>
                            <w:tcW w:w="4548" w:type="dxa"/>
                          </w:tcPr>
                          <w:p>
                            <w:pPr>
                              <w:pStyle w:val="TableParagraph"/>
                              <w:spacing w:before="90"/>
                              <w:ind w:left="80"/>
                              <w:rPr>
                                <w:sz w:val="20"/>
                              </w:rPr>
                            </w:pPr>
                            <w:r>
                              <w:rPr>
                                <w:color w:val="105C84"/>
                                <w:sz w:val="20"/>
                              </w:rPr>
                              <w:t>Heart</w:t>
                            </w:r>
                            <w:r>
                              <w:rPr>
                                <w:color w:val="105C84"/>
                                <w:spacing w:val="22"/>
                                <w:sz w:val="20"/>
                              </w:rPr>
                              <w:t> </w:t>
                            </w:r>
                            <w:r>
                              <w:rPr>
                                <w:color w:val="105C84"/>
                                <w:sz w:val="20"/>
                              </w:rPr>
                              <w:t>conditions</w:t>
                            </w:r>
                            <w:r>
                              <w:rPr>
                                <w:color w:val="105C84"/>
                                <w:spacing w:val="23"/>
                                <w:sz w:val="20"/>
                              </w:rPr>
                              <w:t> </w:t>
                            </w:r>
                            <w:r>
                              <w:rPr>
                                <w:color w:val="105C84"/>
                                <w:spacing w:val="-2"/>
                                <w:sz w:val="20"/>
                              </w:rPr>
                              <w:t>(9.3%)</w:t>
                            </w:r>
                          </w:p>
                        </w:tc>
                      </w:tr>
                      <w:tr>
                        <w:trPr>
                          <w:trHeight w:val="355" w:hRule="atLeast"/>
                        </w:trPr>
                        <w:tc>
                          <w:tcPr>
                            <w:tcW w:w="4548" w:type="dxa"/>
                          </w:tcPr>
                          <w:p>
                            <w:pPr>
                              <w:pStyle w:val="TableParagraph"/>
                              <w:spacing w:before="90"/>
                              <w:ind w:left="80"/>
                              <w:rPr>
                                <w:sz w:val="20"/>
                              </w:rPr>
                            </w:pPr>
                            <w:r>
                              <w:rPr>
                                <w:color w:val="105C84"/>
                                <w:sz w:val="20"/>
                              </w:rPr>
                              <w:t>Mental</w:t>
                            </w:r>
                            <w:r>
                              <w:rPr>
                                <w:color w:val="105C84"/>
                                <w:spacing w:val="13"/>
                                <w:sz w:val="20"/>
                              </w:rPr>
                              <w:t> </w:t>
                            </w:r>
                            <w:r>
                              <w:rPr>
                                <w:color w:val="105C84"/>
                                <w:sz w:val="20"/>
                              </w:rPr>
                              <w:t>/</w:t>
                            </w:r>
                            <w:r>
                              <w:rPr>
                                <w:color w:val="105C84"/>
                                <w:spacing w:val="13"/>
                                <w:sz w:val="20"/>
                              </w:rPr>
                              <w:t> </w:t>
                            </w:r>
                            <w:r>
                              <w:rPr>
                                <w:color w:val="105C84"/>
                                <w:sz w:val="20"/>
                              </w:rPr>
                              <w:t>emotional</w:t>
                            </w:r>
                            <w:r>
                              <w:rPr>
                                <w:color w:val="105C84"/>
                                <w:spacing w:val="13"/>
                                <w:sz w:val="20"/>
                              </w:rPr>
                              <w:t> </w:t>
                            </w:r>
                            <w:r>
                              <w:rPr>
                                <w:color w:val="105C84"/>
                                <w:sz w:val="20"/>
                              </w:rPr>
                              <w:t>health</w:t>
                            </w:r>
                            <w:r>
                              <w:rPr>
                                <w:color w:val="105C84"/>
                                <w:spacing w:val="13"/>
                                <w:sz w:val="20"/>
                              </w:rPr>
                              <w:t> </w:t>
                            </w:r>
                            <w:r>
                              <w:rPr>
                                <w:color w:val="105C84"/>
                                <w:sz w:val="20"/>
                              </w:rPr>
                              <w:t>issues</w:t>
                            </w:r>
                            <w:r>
                              <w:rPr>
                                <w:color w:val="105C84"/>
                                <w:spacing w:val="13"/>
                                <w:sz w:val="20"/>
                              </w:rPr>
                              <w:t> </w:t>
                            </w:r>
                            <w:r>
                              <w:rPr>
                                <w:color w:val="105C84"/>
                                <w:spacing w:val="-2"/>
                                <w:sz w:val="20"/>
                              </w:rPr>
                              <w:t>(9.1%)</w:t>
                            </w:r>
                          </w:p>
                        </w:tc>
                      </w:tr>
                      <w:tr>
                        <w:trPr>
                          <w:trHeight w:val="355" w:hRule="atLeast"/>
                        </w:trPr>
                        <w:tc>
                          <w:tcPr>
                            <w:tcW w:w="4548" w:type="dxa"/>
                          </w:tcPr>
                          <w:p>
                            <w:pPr>
                              <w:pStyle w:val="TableParagraph"/>
                              <w:spacing w:before="90"/>
                              <w:ind w:left="80"/>
                              <w:rPr>
                                <w:sz w:val="20"/>
                              </w:rPr>
                            </w:pPr>
                            <w:r>
                              <w:rPr>
                                <w:color w:val="105C84"/>
                                <w:sz w:val="20"/>
                              </w:rPr>
                              <w:t>Cancer</w:t>
                            </w:r>
                            <w:r>
                              <w:rPr>
                                <w:color w:val="105C84"/>
                                <w:spacing w:val="-10"/>
                                <w:sz w:val="20"/>
                              </w:rPr>
                              <w:t> </w:t>
                            </w:r>
                            <w:r>
                              <w:rPr>
                                <w:color w:val="105C84"/>
                                <w:spacing w:val="-2"/>
                                <w:sz w:val="20"/>
                              </w:rPr>
                              <w:t>(8.9%)</w:t>
                            </w:r>
                          </w:p>
                        </w:tc>
                      </w:tr>
                    </w:tbl>
                    <w:p>
                      <w:pPr>
                        <w:pStyle w:val="BodyText"/>
                      </w:pPr>
                    </w:p>
                  </w:txbxContent>
                </v:textbox>
                <w10:wrap type="topAndBottom"/>
              </v:shape>
            </w:pict>
          </mc:Fallback>
        </mc:AlternateContent>
      </w:r>
      <w:r>
        <w:rPr>
          <w:b/>
          <w:sz w:val="20"/>
        </w:rPr>
        <mc:AlternateContent>
          <mc:Choice Requires="wps">
            <w:drawing>
              <wp:anchor distT="0" distB="0" distL="0" distR="0" allowOverlap="1" layoutInCell="1" locked="0" behindDoc="1" simplePos="0" relativeHeight="487587840">
                <wp:simplePos x="0" y="0"/>
                <wp:positionH relativeFrom="page">
                  <wp:posOffset>11693588</wp:posOffset>
                </wp:positionH>
                <wp:positionV relativeFrom="paragraph">
                  <wp:posOffset>245167</wp:posOffset>
                </wp:positionV>
                <wp:extent cx="3037840" cy="1374775"/>
                <wp:effectExtent l="0" t="0" r="0" b="0"/>
                <wp:wrapTopAndBottom/>
                <wp:docPr id="1477" name="Textbox 1477"/>
                <wp:cNvGraphicFramePr>
                  <a:graphicFrameLocks/>
                </wp:cNvGraphicFramePr>
                <a:graphic>
                  <a:graphicData uri="http://schemas.microsoft.com/office/word/2010/wordprocessingShape">
                    <wps:wsp>
                      <wps:cNvPr id="1477" name="Textbox 1477"/>
                      <wps:cNvSpPr txBox="1"/>
                      <wps:spPr>
                        <a:xfrm>
                          <a:off x="0" y="0"/>
                          <a:ext cx="3037840" cy="1374775"/>
                        </a:xfrm>
                        <a:prstGeom prst="rect">
                          <a:avLst/>
                        </a:prstGeom>
                      </wps:spPr>
                      <wps:txbx>
                        <w:txbxContent>
                          <w:tbl>
                            <w:tblPr>
                              <w:tblW w:w="0" w:type="auto"/>
                              <w:jc w:val="left"/>
                              <w:tblInd w:w="2" w:type="dxa"/>
                              <w:tblBorders>
                                <w:top w:val="single" w:sz="2" w:space="0" w:color="636466"/>
                                <w:left w:val="single" w:sz="2" w:space="0" w:color="636466"/>
                                <w:bottom w:val="single" w:sz="2" w:space="0" w:color="636466"/>
                                <w:right w:val="single" w:sz="2" w:space="0" w:color="636466"/>
                                <w:insideH w:val="single" w:sz="2" w:space="0" w:color="636466"/>
                                <w:insideV w:val="single" w:sz="2" w:space="0" w:color="636466"/>
                              </w:tblBorders>
                              <w:tblLayout w:type="fixed"/>
                              <w:tblCellMar>
                                <w:top w:w="0" w:type="dxa"/>
                                <w:left w:w="0" w:type="dxa"/>
                                <w:bottom w:w="0" w:type="dxa"/>
                                <w:right w:w="0" w:type="dxa"/>
                              </w:tblCellMar>
                              <w:tblLook w:val="01E0"/>
                            </w:tblPr>
                            <w:tblGrid>
                              <w:gridCol w:w="4778"/>
                            </w:tblGrid>
                            <w:tr>
                              <w:trPr>
                                <w:trHeight w:val="355" w:hRule="atLeast"/>
                              </w:trPr>
                              <w:tc>
                                <w:tcPr>
                                  <w:tcW w:w="4778" w:type="dxa"/>
                                  <w:shd w:val="clear" w:color="auto" w:fill="00A79E"/>
                                </w:tcPr>
                                <w:p>
                                  <w:pPr>
                                    <w:pStyle w:val="TableParagraph"/>
                                    <w:spacing w:before="90"/>
                                    <w:ind w:left="79"/>
                                    <w:rPr>
                                      <w:b/>
                                      <w:sz w:val="20"/>
                                    </w:rPr>
                                  </w:pPr>
                                  <w:r>
                                    <w:rPr>
                                      <w:b/>
                                      <w:color w:val="FFFFFF"/>
                                      <w:spacing w:val="-2"/>
                                      <w:sz w:val="20"/>
                                    </w:rPr>
                                    <w:t>BIGGEST</w:t>
                                  </w:r>
                                  <w:r>
                                    <w:rPr>
                                      <w:b/>
                                      <w:color w:val="FFFFFF"/>
                                      <w:spacing w:val="-6"/>
                                      <w:sz w:val="20"/>
                                    </w:rPr>
                                    <w:t> </w:t>
                                  </w:r>
                                  <w:r>
                                    <w:rPr>
                                      <w:b/>
                                      <w:color w:val="FFFFFF"/>
                                      <w:spacing w:val="-2"/>
                                      <w:sz w:val="20"/>
                                    </w:rPr>
                                    <w:t>FEAR</w:t>
                                  </w:r>
                                  <w:r>
                                    <w:rPr>
                                      <w:b/>
                                      <w:color w:val="FFFFFF"/>
                                      <w:spacing w:val="-6"/>
                                      <w:sz w:val="20"/>
                                    </w:rPr>
                                    <w:t> </w:t>
                                  </w:r>
                                  <w:r>
                                    <w:rPr>
                                      <w:b/>
                                      <w:color w:val="FFFFFF"/>
                                      <w:spacing w:val="-2"/>
                                      <w:sz w:val="20"/>
                                    </w:rPr>
                                    <w:t>-FOR</w:t>
                                  </w:r>
                                  <w:r>
                                    <w:rPr>
                                      <w:b/>
                                      <w:color w:val="FFFFFF"/>
                                      <w:spacing w:val="-5"/>
                                      <w:sz w:val="20"/>
                                    </w:rPr>
                                    <w:t> </w:t>
                                  </w:r>
                                  <w:r>
                                    <w:rPr>
                                      <w:b/>
                                      <w:color w:val="FFFFFF"/>
                                      <w:spacing w:val="-2"/>
                                      <w:sz w:val="20"/>
                                    </w:rPr>
                                    <w:t>OTHERS</w:t>
                                  </w:r>
                                </w:p>
                              </w:tc>
                            </w:tr>
                            <w:tr>
                              <w:trPr>
                                <w:trHeight w:val="355" w:hRule="atLeast"/>
                              </w:trPr>
                              <w:tc>
                                <w:tcPr>
                                  <w:tcW w:w="4778" w:type="dxa"/>
                                </w:tcPr>
                                <w:p>
                                  <w:pPr>
                                    <w:pStyle w:val="TableParagraph"/>
                                    <w:spacing w:before="90"/>
                                    <w:ind w:left="79"/>
                                    <w:rPr>
                                      <w:sz w:val="20"/>
                                    </w:rPr>
                                  </w:pPr>
                                  <w:r>
                                    <w:rPr>
                                      <w:color w:val="105C84"/>
                                      <w:sz w:val="20"/>
                                    </w:rPr>
                                    <w:t>Cost</w:t>
                                  </w:r>
                                  <w:r>
                                    <w:rPr>
                                      <w:color w:val="105C84"/>
                                      <w:spacing w:val="6"/>
                                      <w:sz w:val="20"/>
                                    </w:rPr>
                                    <w:t> </w:t>
                                  </w:r>
                                  <w:r>
                                    <w:rPr>
                                      <w:color w:val="105C84"/>
                                      <w:spacing w:val="-2"/>
                                      <w:sz w:val="20"/>
                                    </w:rPr>
                                    <w:t>(12.0%)</w:t>
                                  </w:r>
                                </w:p>
                              </w:tc>
                            </w:tr>
                            <w:tr>
                              <w:trPr>
                                <w:trHeight w:val="355" w:hRule="atLeast"/>
                              </w:trPr>
                              <w:tc>
                                <w:tcPr>
                                  <w:tcW w:w="4778" w:type="dxa"/>
                                </w:tcPr>
                                <w:p>
                                  <w:pPr>
                                    <w:pStyle w:val="TableParagraph"/>
                                    <w:spacing w:before="90"/>
                                    <w:ind w:left="79"/>
                                    <w:rPr>
                                      <w:sz w:val="20"/>
                                    </w:rPr>
                                  </w:pPr>
                                  <w:r>
                                    <w:rPr>
                                      <w:color w:val="105C84"/>
                                      <w:sz w:val="20"/>
                                    </w:rPr>
                                    <w:t>Mental</w:t>
                                  </w:r>
                                  <w:r>
                                    <w:rPr>
                                      <w:color w:val="105C84"/>
                                      <w:spacing w:val="13"/>
                                      <w:sz w:val="20"/>
                                    </w:rPr>
                                    <w:t> </w:t>
                                  </w:r>
                                  <w:r>
                                    <w:rPr>
                                      <w:color w:val="105C84"/>
                                      <w:sz w:val="20"/>
                                    </w:rPr>
                                    <w:t>/</w:t>
                                  </w:r>
                                  <w:r>
                                    <w:rPr>
                                      <w:color w:val="105C84"/>
                                      <w:spacing w:val="13"/>
                                      <w:sz w:val="20"/>
                                    </w:rPr>
                                    <w:t> </w:t>
                                  </w:r>
                                  <w:r>
                                    <w:rPr>
                                      <w:color w:val="105C84"/>
                                      <w:sz w:val="20"/>
                                    </w:rPr>
                                    <w:t>emotional</w:t>
                                  </w:r>
                                  <w:r>
                                    <w:rPr>
                                      <w:color w:val="105C84"/>
                                      <w:spacing w:val="13"/>
                                      <w:sz w:val="20"/>
                                    </w:rPr>
                                    <w:t> </w:t>
                                  </w:r>
                                  <w:r>
                                    <w:rPr>
                                      <w:color w:val="105C84"/>
                                      <w:sz w:val="20"/>
                                    </w:rPr>
                                    <w:t>health</w:t>
                                  </w:r>
                                  <w:r>
                                    <w:rPr>
                                      <w:color w:val="105C84"/>
                                      <w:spacing w:val="13"/>
                                      <w:sz w:val="20"/>
                                    </w:rPr>
                                    <w:t> </w:t>
                                  </w:r>
                                  <w:r>
                                    <w:rPr>
                                      <w:color w:val="105C84"/>
                                      <w:sz w:val="20"/>
                                    </w:rPr>
                                    <w:t>issues</w:t>
                                  </w:r>
                                  <w:r>
                                    <w:rPr>
                                      <w:color w:val="105C84"/>
                                      <w:spacing w:val="13"/>
                                      <w:sz w:val="20"/>
                                    </w:rPr>
                                    <w:t> </w:t>
                                  </w:r>
                                  <w:r>
                                    <w:rPr>
                                      <w:color w:val="105C84"/>
                                      <w:spacing w:val="-2"/>
                                      <w:sz w:val="20"/>
                                    </w:rPr>
                                    <w:t>(10.7%)</w:t>
                                  </w:r>
                                </w:p>
                              </w:tc>
                            </w:tr>
                            <w:tr>
                              <w:trPr>
                                <w:trHeight w:val="355" w:hRule="atLeast"/>
                              </w:trPr>
                              <w:tc>
                                <w:tcPr>
                                  <w:tcW w:w="4778" w:type="dxa"/>
                                </w:tcPr>
                                <w:p>
                                  <w:pPr>
                                    <w:pStyle w:val="TableParagraph"/>
                                    <w:spacing w:before="90"/>
                                    <w:ind w:left="79"/>
                                    <w:rPr>
                                      <w:sz w:val="20"/>
                                    </w:rPr>
                                  </w:pPr>
                                  <w:r>
                                    <w:rPr>
                                      <w:color w:val="105C84"/>
                                      <w:sz w:val="20"/>
                                    </w:rPr>
                                    <w:t>Cancer</w:t>
                                  </w:r>
                                  <w:r>
                                    <w:rPr>
                                      <w:color w:val="105C84"/>
                                      <w:spacing w:val="-10"/>
                                      <w:sz w:val="20"/>
                                    </w:rPr>
                                    <w:t> </w:t>
                                  </w:r>
                                  <w:r>
                                    <w:rPr>
                                      <w:color w:val="105C84"/>
                                      <w:spacing w:val="-2"/>
                                      <w:sz w:val="20"/>
                                    </w:rPr>
                                    <w:t>(9.4%)</w:t>
                                  </w:r>
                                </w:p>
                              </w:tc>
                            </w:tr>
                            <w:tr>
                              <w:trPr>
                                <w:trHeight w:val="355" w:hRule="atLeast"/>
                              </w:trPr>
                              <w:tc>
                                <w:tcPr>
                                  <w:tcW w:w="4778" w:type="dxa"/>
                                </w:tcPr>
                                <w:p>
                                  <w:pPr>
                                    <w:pStyle w:val="TableParagraph"/>
                                    <w:spacing w:before="90"/>
                                    <w:ind w:left="79"/>
                                    <w:rPr>
                                      <w:sz w:val="20"/>
                                    </w:rPr>
                                  </w:pPr>
                                  <w:r>
                                    <w:rPr>
                                      <w:color w:val="105C84"/>
                                      <w:sz w:val="20"/>
                                    </w:rPr>
                                    <w:t>Heart</w:t>
                                  </w:r>
                                  <w:r>
                                    <w:rPr>
                                      <w:color w:val="105C84"/>
                                      <w:spacing w:val="22"/>
                                      <w:sz w:val="20"/>
                                    </w:rPr>
                                    <w:t> </w:t>
                                  </w:r>
                                  <w:r>
                                    <w:rPr>
                                      <w:color w:val="105C84"/>
                                      <w:sz w:val="20"/>
                                    </w:rPr>
                                    <w:t>conditions</w:t>
                                  </w:r>
                                  <w:r>
                                    <w:rPr>
                                      <w:color w:val="105C84"/>
                                      <w:spacing w:val="23"/>
                                      <w:sz w:val="20"/>
                                    </w:rPr>
                                    <w:t> </w:t>
                                  </w:r>
                                  <w:r>
                                    <w:rPr>
                                      <w:color w:val="105C84"/>
                                      <w:spacing w:val="-2"/>
                                      <w:sz w:val="20"/>
                                    </w:rPr>
                                    <w:t>(8.4%)</w:t>
                                  </w:r>
                                </w:p>
                              </w:tc>
                            </w:tr>
                            <w:tr>
                              <w:trPr>
                                <w:trHeight w:val="355" w:hRule="atLeast"/>
                              </w:trPr>
                              <w:tc>
                                <w:tcPr>
                                  <w:tcW w:w="4778" w:type="dxa"/>
                                </w:tcPr>
                                <w:p>
                                  <w:pPr>
                                    <w:pStyle w:val="TableParagraph"/>
                                    <w:spacing w:before="90"/>
                                    <w:ind w:left="79"/>
                                    <w:rPr>
                                      <w:sz w:val="20"/>
                                    </w:rPr>
                                  </w:pPr>
                                  <w:r>
                                    <w:rPr>
                                      <w:color w:val="105C84"/>
                                      <w:sz w:val="20"/>
                                    </w:rPr>
                                    <w:t>Weight</w:t>
                                  </w:r>
                                  <w:r>
                                    <w:rPr>
                                      <w:color w:val="105C84"/>
                                      <w:spacing w:val="27"/>
                                      <w:sz w:val="20"/>
                                    </w:rPr>
                                    <w:t> </w:t>
                                  </w:r>
                                  <w:r>
                                    <w:rPr>
                                      <w:color w:val="105C84"/>
                                      <w:spacing w:val="-2"/>
                                      <w:sz w:val="20"/>
                                    </w:rPr>
                                    <w:t>(6.4%)</w:t>
                                  </w:r>
                                </w:p>
                              </w:tc>
                            </w:tr>
                          </w:tbl>
                          <w:p>
                            <w:pPr>
                              <w:pStyle w:val="BodyText"/>
                            </w:pPr>
                          </w:p>
                        </w:txbxContent>
                      </wps:txbx>
                      <wps:bodyPr wrap="square" lIns="0" tIns="0" rIns="0" bIns="0" rtlCol="0">
                        <a:noAutofit/>
                      </wps:bodyPr>
                    </wps:wsp>
                  </a:graphicData>
                </a:graphic>
              </wp:anchor>
            </w:drawing>
          </mc:Choice>
          <mc:Fallback>
            <w:pict>
              <v:shape style="position:absolute;margin-left:920.755005pt;margin-top:19.304493pt;width:239.2pt;height:108.25pt;mso-position-horizontal-relative:page;mso-position-vertical-relative:paragraph;z-index:-15728640;mso-wrap-distance-left:0;mso-wrap-distance-right:0" type="#_x0000_t202" id="docshape1167" filled="false" stroked="false">
                <v:textbox inset="0,0,0,0">
                  <w:txbxContent>
                    <w:tbl>
                      <w:tblPr>
                        <w:tblW w:w="0" w:type="auto"/>
                        <w:jc w:val="left"/>
                        <w:tblInd w:w="2" w:type="dxa"/>
                        <w:tblBorders>
                          <w:top w:val="single" w:sz="2" w:space="0" w:color="636466"/>
                          <w:left w:val="single" w:sz="2" w:space="0" w:color="636466"/>
                          <w:bottom w:val="single" w:sz="2" w:space="0" w:color="636466"/>
                          <w:right w:val="single" w:sz="2" w:space="0" w:color="636466"/>
                          <w:insideH w:val="single" w:sz="2" w:space="0" w:color="636466"/>
                          <w:insideV w:val="single" w:sz="2" w:space="0" w:color="636466"/>
                        </w:tblBorders>
                        <w:tblLayout w:type="fixed"/>
                        <w:tblCellMar>
                          <w:top w:w="0" w:type="dxa"/>
                          <w:left w:w="0" w:type="dxa"/>
                          <w:bottom w:w="0" w:type="dxa"/>
                          <w:right w:w="0" w:type="dxa"/>
                        </w:tblCellMar>
                        <w:tblLook w:val="01E0"/>
                      </w:tblPr>
                      <w:tblGrid>
                        <w:gridCol w:w="4778"/>
                      </w:tblGrid>
                      <w:tr>
                        <w:trPr>
                          <w:trHeight w:val="355" w:hRule="atLeast"/>
                        </w:trPr>
                        <w:tc>
                          <w:tcPr>
                            <w:tcW w:w="4778" w:type="dxa"/>
                            <w:shd w:val="clear" w:color="auto" w:fill="00A79E"/>
                          </w:tcPr>
                          <w:p>
                            <w:pPr>
                              <w:pStyle w:val="TableParagraph"/>
                              <w:spacing w:before="90"/>
                              <w:ind w:left="79"/>
                              <w:rPr>
                                <w:b/>
                                <w:sz w:val="20"/>
                              </w:rPr>
                            </w:pPr>
                            <w:r>
                              <w:rPr>
                                <w:b/>
                                <w:color w:val="FFFFFF"/>
                                <w:spacing w:val="-2"/>
                                <w:sz w:val="20"/>
                              </w:rPr>
                              <w:t>BIGGEST</w:t>
                            </w:r>
                            <w:r>
                              <w:rPr>
                                <w:b/>
                                <w:color w:val="FFFFFF"/>
                                <w:spacing w:val="-6"/>
                                <w:sz w:val="20"/>
                              </w:rPr>
                              <w:t> </w:t>
                            </w:r>
                            <w:r>
                              <w:rPr>
                                <w:b/>
                                <w:color w:val="FFFFFF"/>
                                <w:spacing w:val="-2"/>
                                <w:sz w:val="20"/>
                              </w:rPr>
                              <w:t>FEAR</w:t>
                            </w:r>
                            <w:r>
                              <w:rPr>
                                <w:b/>
                                <w:color w:val="FFFFFF"/>
                                <w:spacing w:val="-6"/>
                                <w:sz w:val="20"/>
                              </w:rPr>
                              <w:t> </w:t>
                            </w:r>
                            <w:r>
                              <w:rPr>
                                <w:b/>
                                <w:color w:val="FFFFFF"/>
                                <w:spacing w:val="-2"/>
                                <w:sz w:val="20"/>
                              </w:rPr>
                              <w:t>-FOR</w:t>
                            </w:r>
                            <w:r>
                              <w:rPr>
                                <w:b/>
                                <w:color w:val="FFFFFF"/>
                                <w:spacing w:val="-5"/>
                                <w:sz w:val="20"/>
                              </w:rPr>
                              <w:t> </w:t>
                            </w:r>
                            <w:r>
                              <w:rPr>
                                <w:b/>
                                <w:color w:val="FFFFFF"/>
                                <w:spacing w:val="-2"/>
                                <w:sz w:val="20"/>
                              </w:rPr>
                              <w:t>OTHERS</w:t>
                            </w:r>
                          </w:p>
                        </w:tc>
                      </w:tr>
                      <w:tr>
                        <w:trPr>
                          <w:trHeight w:val="355" w:hRule="atLeast"/>
                        </w:trPr>
                        <w:tc>
                          <w:tcPr>
                            <w:tcW w:w="4778" w:type="dxa"/>
                          </w:tcPr>
                          <w:p>
                            <w:pPr>
                              <w:pStyle w:val="TableParagraph"/>
                              <w:spacing w:before="90"/>
                              <w:ind w:left="79"/>
                              <w:rPr>
                                <w:sz w:val="20"/>
                              </w:rPr>
                            </w:pPr>
                            <w:r>
                              <w:rPr>
                                <w:color w:val="105C84"/>
                                <w:sz w:val="20"/>
                              </w:rPr>
                              <w:t>Cost</w:t>
                            </w:r>
                            <w:r>
                              <w:rPr>
                                <w:color w:val="105C84"/>
                                <w:spacing w:val="6"/>
                                <w:sz w:val="20"/>
                              </w:rPr>
                              <w:t> </w:t>
                            </w:r>
                            <w:r>
                              <w:rPr>
                                <w:color w:val="105C84"/>
                                <w:spacing w:val="-2"/>
                                <w:sz w:val="20"/>
                              </w:rPr>
                              <w:t>(12.0%)</w:t>
                            </w:r>
                          </w:p>
                        </w:tc>
                      </w:tr>
                      <w:tr>
                        <w:trPr>
                          <w:trHeight w:val="355" w:hRule="atLeast"/>
                        </w:trPr>
                        <w:tc>
                          <w:tcPr>
                            <w:tcW w:w="4778" w:type="dxa"/>
                          </w:tcPr>
                          <w:p>
                            <w:pPr>
                              <w:pStyle w:val="TableParagraph"/>
                              <w:spacing w:before="90"/>
                              <w:ind w:left="79"/>
                              <w:rPr>
                                <w:sz w:val="20"/>
                              </w:rPr>
                            </w:pPr>
                            <w:r>
                              <w:rPr>
                                <w:color w:val="105C84"/>
                                <w:sz w:val="20"/>
                              </w:rPr>
                              <w:t>Mental</w:t>
                            </w:r>
                            <w:r>
                              <w:rPr>
                                <w:color w:val="105C84"/>
                                <w:spacing w:val="13"/>
                                <w:sz w:val="20"/>
                              </w:rPr>
                              <w:t> </w:t>
                            </w:r>
                            <w:r>
                              <w:rPr>
                                <w:color w:val="105C84"/>
                                <w:sz w:val="20"/>
                              </w:rPr>
                              <w:t>/</w:t>
                            </w:r>
                            <w:r>
                              <w:rPr>
                                <w:color w:val="105C84"/>
                                <w:spacing w:val="13"/>
                                <w:sz w:val="20"/>
                              </w:rPr>
                              <w:t> </w:t>
                            </w:r>
                            <w:r>
                              <w:rPr>
                                <w:color w:val="105C84"/>
                                <w:sz w:val="20"/>
                              </w:rPr>
                              <w:t>emotional</w:t>
                            </w:r>
                            <w:r>
                              <w:rPr>
                                <w:color w:val="105C84"/>
                                <w:spacing w:val="13"/>
                                <w:sz w:val="20"/>
                              </w:rPr>
                              <w:t> </w:t>
                            </w:r>
                            <w:r>
                              <w:rPr>
                                <w:color w:val="105C84"/>
                                <w:sz w:val="20"/>
                              </w:rPr>
                              <w:t>health</w:t>
                            </w:r>
                            <w:r>
                              <w:rPr>
                                <w:color w:val="105C84"/>
                                <w:spacing w:val="13"/>
                                <w:sz w:val="20"/>
                              </w:rPr>
                              <w:t> </w:t>
                            </w:r>
                            <w:r>
                              <w:rPr>
                                <w:color w:val="105C84"/>
                                <w:sz w:val="20"/>
                              </w:rPr>
                              <w:t>issues</w:t>
                            </w:r>
                            <w:r>
                              <w:rPr>
                                <w:color w:val="105C84"/>
                                <w:spacing w:val="13"/>
                                <w:sz w:val="20"/>
                              </w:rPr>
                              <w:t> </w:t>
                            </w:r>
                            <w:r>
                              <w:rPr>
                                <w:color w:val="105C84"/>
                                <w:spacing w:val="-2"/>
                                <w:sz w:val="20"/>
                              </w:rPr>
                              <w:t>(10.7%)</w:t>
                            </w:r>
                          </w:p>
                        </w:tc>
                      </w:tr>
                      <w:tr>
                        <w:trPr>
                          <w:trHeight w:val="355" w:hRule="atLeast"/>
                        </w:trPr>
                        <w:tc>
                          <w:tcPr>
                            <w:tcW w:w="4778" w:type="dxa"/>
                          </w:tcPr>
                          <w:p>
                            <w:pPr>
                              <w:pStyle w:val="TableParagraph"/>
                              <w:spacing w:before="90"/>
                              <w:ind w:left="79"/>
                              <w:rPr>
                                <w:sz w:val="20"/>
                              </w:rPr>
                            </w:pPr>
                            <w:r>
                              <w:rPr>
                                <w:color w:val="105C84"/>
                                <w:sz w:val="20"/>
                              </w:rPr>
                              <w:t>Cancer</w:t>
                            </w:r>
                            <w:r>
                              <w:rPr>
                                <w:color w:val="105C84"/>
                                <w:spacing w:val="-10"/>
                                <w:sz w:val="20"/>
                              </w:rPr>
                              <w:t> </w:t>
                            </w:r>
                            <w:r>
                              <w:rPr>
                                <w:color w:val="105C84"/>
                                <w:spacing w:val="-2"/>
                                <w:sz w:val="20"/>
                              </w:rPr>
                              <w:t>(9.4%)</w:t>
                            </w:r>
                          </w:p>
                        </w:tc>
                      </w:tr>
                      <w:tr>
                        <w:trPr>
                          <w:trHeight w:val="355" w:hRule="atLeast"/>
                        </w:trPr>
                        <w:tc>
                          <w:tcPr>
                            <w:tcW w:w="4778" w:type="dxa"/>
                          </w:tcPr>
                          <w:p>
                            <w:pPr>
                              <w:pStyle w:val="TableParagraph"/>
                              <w:spacing w:before="90"/>
                              <w:ind w:left="79"/>
                              <w:rPr>
                                <w:sz w:val="20"/>
                              </w:rPr>
                            </w:pPr>
                            <w:r>
                              <w:rPr>
                                <w:color w:val="105C84"/>
                                <w:sz w:val="20"/>
                              </w:rPr>
                              <w:t>Heart</w:t>
                            </w:r>
                            <w:r>
                              <w:rPr>
                                <w:color w:val="105C84"/>
                                <w:spacing w:val="22"/>
                                <w:sz w:val="20"/>
                              </w:rPr>
                              <w:t> </w:t>
                            </w:r>
                            <w:r>
                              <w:rPr>
                                <w:color w:val="105C84"/>
                                <w:sz w:val="20"/>
                              </w:rPr>
                              <w:t>conditions</w:t>
                            </w:r>
                            <w:r>
                              <w:rPr>
                                <w:color w:val="105C84"/>
                                <w:spacing w:val="23"/>
                                <w:sz w:val="20"/>
                              </w:rPr>
                              <w:t> </w:t>
                            </w:r>
                            <w:r>
                              <w:rPr>
                                <w:color w:val="105C84"/>
                                <w:spacing w:val="-2"/>
                                <w:sz w:val="20"/>
                              </w:rPr>
                              <w:t>(8.4%)</w:t>
                            </w:r>
                          </w:p>
                        </w:tc>
                      </w:tr>
                      <w:tr>
                        <w:trPr>
                          <w:trHeight w:val="355" w:hRule="atLeast"/>
                        </w:trPr>
                        <w:tc>
                          <w:tcPr>
                            <w:tcW w:w="4778" w:type="dxa"/>
                          </w:tcPr>
                          <w:p>
                            <w:pPr>
                              <w:pStyle w:val="TableParagraph"/>
                              <w:spacing w:before="90"/>
                              <w:ind w:left="79"/>
                              <w:rPr>
                                <w:sz w:val="20"/>
                              </w:rPr>
                            </w:pPr>
                            <w:r>
                              <w:rPr>
                                <w:color w:val="105C84"/>
                                <w:sz w:val="20"/>
                              </w:rPr>
                              <w:t>Weight</w:t>
                            </w:r>
                            <w:r>
                              <w:rPr>
                                <w:color w:val="105C84"/>
                                <w:spacing w:val="27"/>
                                <w:sz w:val="20"/>
                              </w:rPr>
                              <w:t> </w:t>
                            </w:r>
                            <w:r>
                              <w:rPr>
                                <w:color w:val="105C84"/>
                                <w:spacing w:val="-2"/>
                                <w:sz w:val="20"/>
                              </w:rPr>
                              <w:t>(6.4%)</w:t>
                            </w:r>
                          </w:p>
                        </w:tc>
                      </w:tr>
                    </w:tbl>
                    <w:p>
                      <w:pPr>
                        <w:pStyle w:val="BodyText"/>
                      </w:pPr>
                    </w:p>
                  </w:txbxContent>
                </v:textbox>
                <w10:wrap type="topAndBottom"/>
              </v:shape>
            </w:pict>
          </mc:Fallback>
        </mc:AlternateContent>
      </w:r>
      <w:r>
        <w:rPr>
          <w:b/>
          <w:sz w:val="20"/>
        </w:rPr>
        <mc:AlternateContent>
          <mc:Choice Requires="wps">
            <w:drawing>
              <wp:anchor distT="0" distB="0" distL="0" distR="0" allowOverlap="1" layoutInCell="1" locked="0" behindDoc="1" simplePos="0" relativeHeight="487587840">
                <wp:simplePos x="0" y="0"/>
                <wp:positionH relativeFrom="page">
                  <wp:posOffset>8458200</wp:posOffset>
                </wp:positionH>
                <wp:positionV relativeFrom="paragraph">
                  <wp:posOffset>1729479</wp:posOffset>
                </wp:positionV>
                <wp:extent cx="2891155" cy="1374775"/>
                <wp:effectExtent l="0" t="0" r="0" b="0"/>
                <wp:wrapTopAndBottom/>
                <wp:docPr id="1478" name="Textbox 1478"/>
                <wp:cNvGraphicFramePr>
                  <a:graphicFrameLocks/>
                </wp:cNvGraphicFramePr>
                <a:graphic>
                  <a:graphicData uri="http://schemas.microsoft.com/office/word/2010/wordprocessingShape">
                    <wps:wsp>
                      <wps:cNvPr id="1478" name="Textbox 1478"/>
                      <wps:cNvSpPr txBox="1"/>
                      <wps:spPr>
                        <a:xfrm>
                          <a:off x="0" y="0"/>
                          <a:ext cx="2891155" cy="1374775"/>
                        </a:xfrm>
                        <a:prstGeom prst="rect">
                          <a:avLst/>
                        </a:prstGeom>
                      </wps:spPr>
                      <wps:txbx>
                        <w:txbxContent>
                          <w:tbl>
                            <w:tblPr>
                              <w:tblW w:w="0" w:type="auto"/>
                              <w:jc w:val="left"/>
                              <w:tblInd w:w="2" w:type="dxa"/>
                              <w:tblBorders>
                                <w:top w:val="single" w:sz="2" w:space="0" w:color="636466"/>
                                <w:left w:val="single" w:sz="2" w:space="0" w:color="636466"/>
                                <w:bottom w:val="single" w:sz="2" w:space="0" w:color="636466"/>
                                <w:right w:val="single" w:sz="2" w:space="0" w:color="636466"/>
                                <w:insideH w:val="single" w:sz="2" w:space="0" w:color="636466"/>
                                <w:insideV w:val="single" w:sz="2" w:space="0" w:color="636466"/>
                              </w:tblBorders>
                              <w:tblLayout w:type="fixed"/>
                              <w:tblCellMar>
                                <w:top w:w="0" w:type="dxa"/>
                                <w:left w:w="0" w:type="dxa"/>
                                <w:bottom w:w="0" w:type="dxa"/>
                                <w:right w:w="0" w:type="dxa"/>
                              </w:tblCellMar>
                              <w:tblLook w:val="01E0"/>
                            </w:tblPr>
                            <w:tblGrid>
                              <w:gridCol w:w="4548"/>
                            </w:tblGrid>
                            <w:tr>
                              <w:trPr>
                                <w:trHeight w:val="355" w:hRule="atLeast"/>
                              </w:trPr>
                              <w:tc>
                                <w:tcPr>
                                  <w:tcW w:w="4548" w:type="dxa"/>
                                  <w:shd w:val="clear" w:color="auto" w:fill="939598"/>
                                </w:tcPr>
                                <w:p>
                                  <w:pPr>
                                    <w:pStyle w:val="TableParagraph"/>
                                    <w:spacing w:before="90"/>
                                    <w:ind w:left="80"/>
                                    <w:rPr>
                                      <w:b/>
                                      <w:sz w:val="20"/>
                                    </w:rPr>
                                  </w:pPr>
                                  <w:r>
                                    <w:rPr>
                                      <w:b/>
                                      <w:color w:val="FFFFFF"/>
                                      <w:sz w:val="20"/>
                                    </w:rPr>
                                    <w:t>COUNTY</w:t>
                                  </w:r>
                                  <w:r>
                                    <w:rPr>
                                      <w:b/>
                                      <w:color w:val="FFFFFF"/>
                                      <w:spacing w:val="2"/>
                                      <w:sz w:val="20"/>
                                    </w:rPr>
                                    <w:t> </w:t>
                                  </w:r>
                                  <w:r>
                                    <w:rPr>
                                      <w:b/>
                                      <w:color w:val="FFFFFF"/>
                                      <w:sz w:val="20"/>
                                    </w:rPr>
                                    <w:t>PRIORITY</w:t>
                                  </w:r>
                                  <w:r>
                                    <w:rPr>
                                      <w:b/>
                                      <w:color w:val="FFFFFF"/>
                                      <w:spacing w:val="3"/>
                                      <w:sz w:val="20"/>
                                    </w:rPr>
                                    <w:t> </w:t>
                                  </w:r>
                                  <w:r>
                                    <w:rPr>
                                      <w:b/>
                                      <w:color w:val="FFFFFF"/>
                                      <w:sz w:val="20"/>
                                    </w:rPr>
                                    <w:t>-</w:t>
                                  </w:r>
                                  <w:r>
                                    <w:rPr>
                                      <w:b/>
                                      <w:color w:val="FFFFFF"/>
                                      <w:spacing w:val="2"/>
                                      <w:sz w:val="20"/>
                                    </w:rPr>
                                    <w:t> </w:t>
                                  </w:r>
                                  <w:r>
                                    <w:rPr>
                                      <w:b/>
                                      <w:color w:val="FFFFFF"/>
                                      <w:sz w:val="20"/>
                                    </w:rPr>
                                    <w:t>FOR</w:t>
                                  </w:r>
                                  <w:r>
                                    <w:rPr>
                                      <w:b/>
                                      <w:color w:val="FFFFFF"/>
                                      <w:spacing w:val="3"/>
                                      <w:sz w:val="20"/>
                                    </w:rPr>
                                    <w:t> </w:t>
                                  </w:r>
                                  <w:r>
                                    <w:rPr>
                                      <w:b/>
                                      <w:color w:val="FFFFFF"/>
                                      <w:spacing w:val="-2"/>
                                      <w:sz w:val="20"/>
                                    </w:rPr>
                                    <w:t>ADULTS</w:t>
                                  </w:r>
                                </w:p>
                              </w:tc>
                            </w:tr>
                            <w:tr>
                              <w:trPr>
                                <w:trHeight w:val="355" w:hRule="atLeast"/>
                              </w:trPr>
                              <w:tc>
                                <w:tcPr>
                                  <w:tcW w:w="4548" w:type="dxa"/>
                                </w:tcPr>
                                <w:p>
                                  <w:pPr>
                                    <w:pStyle w:val="TableParagraph"/>
                                    <w:spacing w:before="90"/>
                                    <w:ind w:left="80"/>
                                    <w:rPr>
                                      <w:sz w:val="20"/>
                                    </w:rPr>
                                  </w:pPr>
                                  <w:r>
                                    <w:rPr>
                                      <w:color w:val="105C84"/>
                                      <w:sz w:val="20"/>
                                    </w:rPr>
                                    <w:t>Mental</w:t>
                                  </w:r>
                                  <w:r>
                                    <w:rPr>
                                      <w:color w:val="105C84"/>
                                      <w:spacing w:val="13"/>
                                      <w:sz w:val="20"/>
                                    </w:rPr>
                                    <w:t> </w:t>
                                  </w:r>
                                  <w:r>
                                    <w:rPr>
                                      <w:color w:val="105C84"/>
                                      <w:sz w:val="20"/>
                                    </w:rPr>
                                    <w:t>/</w:t>
                                  </w:r>
                                  <w:r>
                                    <w:rPr>
                                      <w:color w:val="105C84"/>
                                      <w:spacing w:val="13"/>
                                      <w:sz w:val="20"/>
                                    </w:rPr>
                                    <w:t> </w:t>
                                  </w:r>
                                  <w:r>
                                    <w:rPr>
                                      <w:color w:val="105C84"/>
                                      <w:sz w:val="20"/>
                                    </w:rPr>
                                    <w:t>emotional</w:t>
                                  </w:r>
                                  <w:r>
                                    <w:rPr>
                                      <w:color w:val="105C84"/>
                                      <w:spacing w:val="13"/>
                                      <w:sz w:val="20"/>
                                    </w:rPr>
                                    <w:t> </w:t>
                                  </w:r>
                                  <w:r>
                                    <w:rPr>
                                      <w:color w:val="105C84"/>
                                      <w:sz w:val="20"/>
                                    </w:rPr>
                                    <w:t>health</w:t>
                                  </w:r>
                                  <w:r>
                                    <w:rPr>
                                      <w:color w:val="105C84"/>
                                      <w:spacing w:val="13"/>
                                      <w:sz w:val="20"/>
                                    </w:rPr>
                                    <w:t> </w:t>
                                  </w:r>
                                  <w:r>
                                    <w:rPr>
                                      <w:color w:val="105C84"/>
                                      <w:sz w:val="20"/>
                                    </w:rPr>
                                    <w:t>issues</w:t>
                                  </w:r>
                                  <w:r>
                                    <w:rPr>
                                      <w:color w:val="105C84"/>
                                      <w:spacing w:val="13"/>
                                      <w:sz w:val="20"/>
                                    </w:rPr>
                                    <w:t> </w:t>
                                  </w:r>
                                  <w:r>
                                    <w:rPr>
                                      <w:color w:val="105C84"/>
                                      <w:spacing w:val="-2"/>
                                      <w:sz w:val="20"/>
                                    </w:rPr>
                                    <w:t>(19.4%)</w:t>
                                  </w:r>
                                </w:p>
                              </w:tc>
                            </w:tr>
                            <w:tr>
                              <w:trPr>
                                <w:trHeight w:val="355" w:hRule="atLeast"/>
                              </w:trPr>
                              <w:tc>
                                <w:tcPr>
                                  <w:tcW w:w="4548" w:type="dxa"/>
                                </w:tcPr>
                                <w:p>
                                  <w:pPr>
                                    <w:pStyle w:val="TableParagraph"/>
                                    <w:spacing w:before="90"/>
                                    <w:ind w:left="80"/>
                                    <w:rPr>
                                      <w:sz w:val="20"/>
                                    </w:rPr>
                                  </w:pPr>
                                  <w:r>
                                    <w:rPr>
                                      <w:color w:val="105C84"/>
                                      <w:sz w:val="20"/>
                                    </w:rPr>
                                    <w:t>Weight</w:t>
                                  </w:r>
                                  <w:r>
                                    <w:rPr>
                                      <w:color w:val="105C84"/>
                                      <w:spacing w:val="27"/>
                                      <w:sz w:val="20"/>
                                    </w:rPr>
                                    <w:t> </w:t>
                                  </w:r>
                                  <w:r>
                                    <w:rPr>
                                      <w:color w:val="105C84"/>
                                      <w:spacing w:val="-2"/>
                                      <w:sz w:val="20"/>
                                    </w:rPr>
                                    <w:t>(16.4%)</w:t>
                                  </w:r>
                                </w:p>
                              </w:tc>
                            </w:tr>
                            <w:tr>
                              <w:trPr>
                                <w:trHeight w:val="355" w:hRule="atLeast"/>
                              </w:trPr>
                              <w:tc>
                                <w:tcPr>
                                  <w:tcW w:w="4548" w:type="dxa"/>
                                </w:tcPr>
                                <w:p>
                                  <w:pPr>
                                    <w:pStyle w:val="TableParagraph"/>
                                    <w:spacing w:before="90"/>
                                    <w:ind w:left="80"/>
                                    <w:rPr>
                                      <w:sz w:val="20"/>
                                    </w:rPr>
                                  </w:pPr>
                                  <w:r>
                                    <w:rPr>
                                      <w:color w:val="105C84"/>
                                      <w:sz w:val="20"/>
                                    </w:rPr>
                                    <w:t>Diet</w:t>
                                  </w:r>
                                  <w:r>
                                    <w:rPr>
                                      <w:color w:val="105C84"/>
                                      <w:spacing w:val="30"/>
                                      <w:sz w:val="20"/>
                                    </w:rPr>
                                    <w:t> </w:t>
                                  </w:r>
                                  <w:r>
                                    <w:rPr>
                                      <w:color w:val="105C84"/>
                                      <w:sz w:val="20"/>
                                    </w:rPr>
                                    <w:t>/</w:t>
                                  </w:r>
                                  <w:r>
                                    <w:rPr>
                                      <w:color w:val="105C84"/>
                                      <w:spacing w:val="30"/>
                                      <w:sz w:val="20"/>
                                    </w:rPr>
                                    <w:t> </w:t>
                                  </w:r>
                                  <w:r>
                                    <w:rPr>
                                      <w:color w:val="105C84"/>
                                      <w:sz w:val="20"/>
                                    </w:rPr>
                                    <w:t>nutrition</w:t>
                                  </w:r>
                                  <w:r>
                                    <w:rPr>
                                      <w:color w:val="105C84"/>
                                      <w:spacing w:val="31"/>
                                      <w:sz w:val="20"/>
                                    </w:rPr>
                                    <w:t> </w:t>
                                  </w:r>
                                  <w:r>
                                    <w:rPr>
                                      <w:color w:val="105C84"/>
                                      <w:spacing w:val="-2"/>
                                      <w:sz w:val="20"/>
                                    </w:rPr>
                                    <w:t>(15.9%)</w:t>
                                  </w:r>
                                </w:p>
                              </w:tc>
                            </w:tr>
                            <w:tr>
                              <w:trPr>
                                <w:trHeight w:val="355" w:hRule="atLeast"/>
                              </w:trPr>
                              <w:tc>
                                <w:tcPr>
                                  <w:tcW w:w="4548" w:type="dxa"/>
                                </w:tcPr>
                                <w:p>
                                  <w:pPr>
                                    <w:pStyle w:val="TableParagraph"/>
                                    <w:spacing w:before="90"/>
                                    <w:ind w:left="80"/>
                                    <w:rPr>
                                      <w:sz w:val="20"/>
                                    </w:rPr>
                                  </w:pPr>
                                  <w:r>
                                    <w:rPr>
                                      <w:color w:val="105C84"/>
                                      <w:sz w:val="20"/>
                                    </w:rPr>
                                    <w:t>Substance</w:t>
                                  </w:r>
                                  <w:r>
                                    <w:rPr>
                                      <w:color w:val="105C84"/>
                                      <w:spacing w:val="-11"/>
                                      <w:sz w:val="20"/>
                                    </w:rPr>
                                    <w:t> </w:t>
                                  </w:r>
                                  <w:r>
                                    <w:rPr>
                                      <w:color w:val="105C84"/>
                                      <w:sz w:val="20"/>
                                    </w:rPr>
                                    <w:t>abuse</w:t>
                                  </w:r>
                                  <w:r>
                                    <w:rPr>
                                      <w:color w:val="105C84"/>
                                      <w:spacing w:val="-10"/>
                                      <w:sz w:val="20"/>
                                    </w:rPr>
                                    <w:t> </w:t>
                                  </w:r>
                                  <w:r>
                                    <w:rPr>
                                      <w:color w:val="105C84"/>
                                      <w:spacing w:val="-2"/>
                                      <w:sz w:val="20"/>
                                    </w:rPr>
                                    <w:t>(15.0%)</w:t>
                                  </w:r>
                                </w:p>
                              </w:tc>
                            </w:tr>
                            <w:tr>
                              <w:trPr>
                                <w:trHeight w:val="355" w:hRule="atLeast"/>
                              </w:trPr>
                              <w:tc>
                                <w:tcPr>
                                  <w:tcW w:w="4548" w:type="dxa"/>
                                </w:tcPr>
                                <w:p>
                                  <w:pPr>
                                    <w:pStyle w:val="TableParagraph"/>
                                    <w:spacing w:before="90"/>
                                    <w:ind w:left="80"/>
                                    <w:rPr>
                                      <w:sz w:val="20"/>
                                    </w:rPr>
                                  </w:pPr>
                                  <w:r>
                                    <w:rPr>
                                      <w:color w:val="105C84"/>
                                      <w:sz w:val="20"/>
                                    </w:rPr>
                                    <w:t>Cost</w:t>
                                  </w:r>
                                  <w:r>
                                    <w:rPr>
                                      <w:color w:val="105C84"/>
                                      <w:spacing w:val="6"/>
                                      <w:sz w:val="20"/>
                                    </w:rPr>
                                    <w:t> </w:t>
                                  </w:r>
                                  <w:r>
                                    <w:rPr>
                                      <w:color w:val="105C84"/>
                                      <w:spacing w:val="-2"/>
                                      <w:sz w:val="20"/>
                                    </w:rPr>
                                    <w:t>(10.9%)</w:t>
                                  </w:r>
                                </w:p>
                              </w:tc>
                            </w:tr>
                          </w:tbl>
                          <w:p>
                            <w:pPr>
                              <w:pStyle w:val="BodyText"/>
                            </w:pPr>
                          </w:p>
                        </w:txbxContent>
                      </wps:txbx>
                      <wps:bodyPr wrap="square" lIns="0" tIns="0" rIns="0" bIns="0" rtlCol="0">
                        <a:noAutofit/>
                      </wps:bodyPr>
                    </wps:wsp>
                  </a:graphicData>
                </a:graphic>
              </wp:anchor>
            </w:drawing>
          </mc:Choice>
          <mc:Fallback>
            <w:pict>
              <v:shape style="position:absolute;margin-left:666pt;margin-top:136.179489pt;width:227.65pt;height:108.25pt;mso-position-horizontal-relative:page;mso-position-vertical-relative:paragraph;z-index:-15728640;mso-wrap-distance-left:0;mso-wrap-distance-right:0" type="#_x0000_t202" id="docshape1168" filled="false" stroked="false">
                <v:textbox inset="0,0,0,0">
                  <w:txbxContent>
                    <w:tbl>
                      <w:tblPr>
                        <w:tblW w:w="0" w:type="auto"/>
                        <w:jc w:val="left"/>
                        <w:tblInd w:w="2" w:type="dxa"/>
                        <w:tblBorders>
                          <w:top w:val="single" w:sz="2" w:space="0" w:color="636466"/>
                          <w:left w:val="single" w:sz="2" w:space="0" w:color="636466"/>
                          <w:bottom w:val="single" w:sz="2" w:space="0" w:color="636466"/>
                          <w:right w:val="single" w:sz="2" w:space="0" w:color="636466"/>
                          <w:insideH w:val="single" w:sz="2" w:space="0" w:color="636466"/>
                          <w:insideV w:val="single" w:sz="2" w:space="0" w:color="636466"/>
                        </w:tblBorders>
                        <w:tblLayout w:type="fixed"/>
                        <w:tblCellMar>
                          <w:top w:w="0" w:type="dxa"/>
                          <w:left w:w="0" w:type="dxa"/>
                          <w:bottom w:w="0" w:type="dxa"/>
                          <w:right w:w="0" w:type="dxa"/>
                        </w:tblCellMar>
                        <w:tblLook w:val="01E0"/>
                      </w:tblPr>
                      <w:tblGrid>
                        <w:gridCol w:w="4548"/>
                      </w:tblGrid>
                      <w:tr>
                        <w:trPr>
                          <w:trHeight w:val="355" w:hRule="atLeast"/>
                        </w:trPr>
                        <w:tc>
                          <w:tcPr>
                            <w:tcW w:w="4548" w:type="dxa"/>
                            <w:shd w:val="clear" w:color="auto" w:fill="939598"/>
                          </w:tcPr>
                          <w:p>
                            <w:pPr>
                              <w:pStyle w:val="TableParagraph"/>
                              <w:spacing w:before="90"/>
                              <w:ind w:left="80"/>
                              <w:rPr>
                                <w:b/>
                                <w:sz w:val="20"/>
                              </w:rPr>
                            </w:pPr>
                            <w:r>
                              <w:rPr>
                                <w:b/>
                                <w:color w:val="FFFFFF"/>
                                <w:sz w:val="20"/>
                              </w:rPr>
                              <w:t>COUNTY</w:t>
                            </w:r>
                            <w:r>
                              <w:rPr>
                                <w:b/>
                                <w:color w:val="FFFFFF"/>
                                <w:spacing w:val="2"/>
                                <w:sz w:val="20"/>
                              </w:rPr>
                              <w:t> </w:t>
                            </w:r>
                            <w:r>
                              <w:rPr>
                                <w:b/>
                                <w:color w:val="FFFFFF"/>
                                <w:sz w:val="20"/>
                              </w:rPr>
                              <w:t>PRIORITY</w:t>
                            </w:r>
                            <w:r>
                              <w:rPr>
                                <w:b/>
                                <w:color w:val="FFFFFF"/>
                                <w:spacing w:val="3"/>
                                <w:sz w:val="20"/>
                              </w:rPr>
                              <w:t> </w:t>
                            </w:r>
                            <w:r>
                              <w:rPr>
                                <w:b/>
                                <w:color w:val="FFFFFF"/>
                                <w:sz w:val="20"/>
                              </w:rPr>
                              <w:t>-</w:t>
                            </w:r>
                            <w:r>
                              <w:rPr>
                                <w:b/>
                                <w:color w:val="FFFFFF"/>
                                <w:spacing w:val="2"/>
                                <w:sz w:val="20"/>
                              </w:rPr>
                              <w:t> </w:t>
                            </w:r>
                            <w:r>
                              <w:rPr>
                                <w:b/>
                                <w:color w:val="FFFFFF"/>
                                <w:sz w:val="20"/>
                              </w:rPr>
                              <w:t>FOR</w:t>
                            </w:r>
                            <w:r>
                              <w:rPr>
                                <w:b/>
                                <w:color w:val="FFFFFF"/>
                                <w:spacing w:val="3"/>
                                <w:sz w:val="20"/>
                              </w:rPr>
                              <w:t> </w:t>
                            </w:r>
                            <w:r>
                              <w:rPr>
                                <w:b/>
                                <w:color w:val="FFFFFF"/>
                                <w:spacing w:val="-2"/>
                                <w:sz w:val="20"/>
                              </w:rPr>
                              <w:t>ADULTS</w:t>
                            </w:r>
                          </w:p>
                        </w:tc>
                      </w:tr>
                      <w:tr>
                        <w:trPr>
                          <w:trHeight w:val="355" w:hRule="atLeast"/>
                        </w:trPr>
                        <w:tc>
                          <w:tcPr>
                            <w:tcW w:w="4548" w:type="dxa"/>
                          </w:tcPr>
                          <w:p>
                            <w:pPr>
                              <w:pStyle w:val="TableParagraph"/>
                              <w:spacing w:before="90"/>
                              <w:ind w:left="80"/>
                              <w:rPr>
                                <w:sz w:val="20"/>
                              </w:rPr>
                            </w:pPr>
                            <w:r>
                              <w:rPr>
                                <w:color w:val="105C84"/>
                                <w:sz w:val="20"/>
                              </w:rPr>
                              <w:t>Mental</w:t>
                            </w:r>
                            <w:r>
                              <w:rPr>
                                <w:color w:val="105C84"/>
                                <w:spacing w:val="13"/>
                                <w:sz w:val="20"/>
                              </w:rPr>
                              <w:t> </w:t>
                            </w:r>
                            <w:r>
                              <w:rPr>
                                <w:color w:val="105C84"/>
                                <w:sz w:val="20"/>
                              </w:rPr>
                              <w:t>/</w:t>
                            </w:r>
                            <w:r>
                              <w:rPr>
                                <w:color w:val="105C84"/>
                                <w:spacing w:val="13"/>
                                <w:sz w:val="20"/>
                              </w:rPr>
                              <w:t> </w:t>
                            </w:r>
                            <w:r>
                              <w:rPr>
                                <w:color w:val="105C84"/>
                                <w:sz w:val="20"/>
                              </w:rPr>
                              <w:t>emotional</w:t>
                            </w:r>
                            <w:r>
                              <w:rPr>
                                <w:color w:val="105C84"/>
                                <w:spacing w:val="13"/>
                                <w:sz w:val="20"/>
                              </w:rPr>
                              <w:t> </w:t>
                            </w:r>
                            <w:r>
                              <w:rPr>
                                <w:color w:val="105C84"/>
                                <w:sz w:val="20"/>
                              </w:rPr>
                              <w:t>health</w:t>
                            </w:r>
                            <w:r>
                              <w:rPr>
                                <w:color w:val="105C84"/>
                                <w:spacing w:val="13"/>
                                <w:sz w:val="20"/>
                              </w:rPr>
                              <w:t> </w:t>
                            </w:r>
                            <w:r>
                              <w:rPr>
                                <w:color w:val="105C84"/>
                                <w:sz w:val="20"/>
                              </w:rPr>
                              <w:t>issues</w:t>
                            </w:r>
                            <w:r>
                              <w:rPr>
                                <w:color w:val="105C84"/>
                                <w:spacing w:val="13"/>
                                <w:sz w:val="20"/>
                              </w:rPr>
                              <w:t> </w:t>
                            </w:r>
                            <w:r>
                              <w:rPr>
                                <w:color w:val="105C84"/>
                                <w:spacing w:val="-2"/>
                                <w:sz w:val="20"/>
                              </w:rPr>
                              <w:t>(19.4%)</w:t>
                            </w:r>
                          </w:p>
                        </w:tc>
                      </w:tr>
                      <w:tr>
                        <w:trPr>
                          <w:trHeight w:val="355" w:hRule="atLeast"/>
                        </w:trPr>
                        <w:tc>
                          <w:tcPr>
                            <w:tcW w:w="4548" w:type="dxa"/>
                          </w:tcPr>
                          <w:p>
                            <w:pPr>
                              <w:pStyle w:val="TableParagraph"/>
                              <w:spacing w:before="90"/>
                              <w:ind w:left="80"/>
                              <w:rPr>
                                <w:sz w:val="20"/>
                              </w:rPr>
                            </w:pPr>
                            <w:r>
                              <w:rPr>
                                <w:color w:val="105C84"/>
                                <w:sz w:val="20"/>
                              </w:rPr>
                              <w:t>Weight</w:t>
                            </w:r>
                            <w:r>
                              <w:rPr>
                                <w:color w:val="105C84"/>
                                <w:spacing w:val="27"/>
                                <w:sz w:val="20"/>
                              </w:rPr>
                              <w:t> </w:t>
                            </w:r>
                            <w:r>
                              <w:rPr>
                                <w:color w:val="105C84"/>
                                <w:spacing w:val="-2"/>
                                <w:sz w:val="20"/>
                              </w:rPr>
                              <w:t>(16.4%)</w:t>
                            </w:r>
                          </w:p>
                        </w:tc>
                      </w:tr>
                      <w:tr>
                        <w:trPr>
                          <w:trHeight w:val="355" w:hRule="atLeast"/>
                        </w:trPr>
                        <w:tc>
                          <w:tcPr>
                            <w:tcW w:w="4548" w:type="dxa"/>
                          </w:tcPr>
                          <w:p>
                            <w:pPr>
                              <w:pStyle w:val="TableParagraph"/>
                              <w:spacing w:before="90"/>
                              <w:ind w:left="80"/>
                              <w:rPr>
                                <w:sz w:val="20"/>
                              </w:rPr>
                            </w:pPr>
                            <w:r>
                              <w:rPr>
                                <w:color w:val="105C84"/>
                                <w:sz w:val="20"/>
                              </w:rPr>
                              <w:t>Diet</w:t>
                            </w:r>
                            <w:r>
                              <w:rPr>
                                <w:color w:val="105C84"/>
                                <w:spacing w:val="30"/>
                                <w:sz w:val="20"/>
                              </w:rPr>
                              <w:t> </w:t>
                            </w:r>
                            <w:r>
                              <w:rPr>
                                <w:color w:val="105C84"/>
                                <w:sz w:val="20"/>
                              </w:rPr>
                              <w:t>/</w:t>
                            </w:r>
                            <w:r>
                              <w:rPr>
                                <w:color w:val="105C84"/>
                                <w:spacing w:val="30"/>
                                <w:sz w:val="20"/>
                              </w:rPr>
                              <w:t> </w:t>
                            </w:r>
                            <w:r>
                              <w:rPr>
                                <w:color w:val="105C84"/>
                                <w:sz w:val="20"/>
                              </w:rPr>
                              <w:t>nutrition</w:t>
                            </w:r>
                            <w:r>
                              <w:rPr>
                                <w:color w:val="105C84"/>
                                <w:spacing w:val="31"/>
                                <w:sz w:val="20"/>
                              </w:rPr>
                              <w:t> </w:t>
                            </w:r>
                            <w:r>
                              <w:rPr>
                                <w:color w:val="105C84"/>
                                <w:spacing w:val="-2"/>
                                <w:sz w:val="20"/>
                              </w:rPr>
                              <w:t>(15.9%)</w:t>
                            </w:r>
                          </w:p>
                        </w:tc>
                      </w:tr>
                      <w:tr>
                        <w:trPr>
                          <w:trHeight w:val="355" w:hRule="atLeast"/>
                        </w:trPr>
                        <w:tc>
                          <w:tcPr>
                            <w:tcW w:w="4548" w:type="dxa"/>
                          </w:tcPr>
                          <w:p>
                            <w:pPr>
                              <w:pStyle w:val="TableParagraph"/>
                              <w:spacing w:before="90"/>
                              <w:ind w:left="80"/>
                              <w:rPr>
                                <w:sz w:val="20"/>
                              </w:rPr>
                            </w:pPr>
                            <w:r>
                              <w:rPr>
                                <w:color w:val="105C84"/>
                                <w:sz w:val="20"/>
                              </w:rPr>
                              <w:t>Substance</w:t>
                            </w:r>
                            <w:r>
                              <w:rPr>
                                <w:color w:val="105C84"/>
                                <w:spacing w:val="-11"/>
                                <w:sz w:val="20"/>
                              </w:rPr>
                              <w:t> </w:t>
                            </w:r>
                            <w:r>
                              <w:rPr>
                                <w:color w:val="105C84"/>
                                <w:sz w:val="20"/>
                              </w:rPr>
                              <w:t>abuse</w:t>
                            </w:r>
                            <w:r>
                              <w:rPr>
                                <w:color w:val="105C84"/>
                                <w:spacing w:val="-10"/>
                                <w:sz w:val="20"/>
                              </w:rPr>
                              <w:t> </w:t>
                            </w:r>
                            <w:r>
                              <w:rPr>
                                <w:color w:val="105C84"/>
                                <w:spacing w:val="-2"/>
                                <w:sz w:val="20"/>
                              </w:rPr>
                              <w:t>(15.0%)</w:t>
                            </w:r>
                          </w:p>
                        </w:tc>
                      </w:tr>
                      <w:tr>
                        <w:trPr>
                          <w:trHeight w:val="355" w:hRule="atLeast"/>
                        </w:trPr>
                        <w:tc>
                          <w:tcPr>
                            <w:tcW w:w="4548" w:type="dxa"/>
                          </w:tcPr>
                          <w:p>
                            <w:pPr>
                              <w:pStyle w:val="TableParagraph"/>
                              <w:spacing w:before="90"/>
                              <w:ind w:left="80"/>
                              <w:rPr>
                                <w:sz w:val="20"/>
                              </w:rPr>
                            </w:pPr>
                            <w:r>
                              <w:rPr>
                                <w:color w:val="105C84"/>
                                <w:sz w:val="20"/>
                              </w:rPr>
                              <w:t>Cost</w:t>
                            </w:r>
                            <w:r>
                              <w:rPr>
                                <w:color w:val="105C84"/>
                                <w:spacing w:val="6"/>
                                <w:sz w:val="20"/>
                              </w:rPr>
                              <w:t> </w:t>
                            </w:r>
                            <w:r>
                              <w:rPr>
                                <w:color w:val="105C84"/>
                                <w:spacing w:val="-2"/>
                                <w:sz w:val="20"/>
                              </w:rPr>
                              <w:t>(10.9%)</w:t>
                            </w:r>
                          </w:p>
                        </w:tc>
                      </w:tr>
                    </w:tbl>
                    <w:p>
                      <w:pPr>
                        <w:pStyle w:val="BodyText"/>
                      </w:pPr>
                    </w:p>
                  </w:txbxContent>
                </v:textbox>
                <w10:wrap type="topAndBottom"/>
              </v:shape>
            </w:pict>
          </mc:Fallback>
        </mc:AlternateContent>
      </w:r>
      <w:r>
        <w:rPr>
          <w:b/>
          <w:sz w:val="20"/>
        </w:rPr>
        <mc:AlternateContent>
          <mc:Choice Requires="wps">
            <w:drawing>
              <wp:anchor distT="0" distB="0" distL="0" distR="0" allowOverlap="1" layoutInCell="1" locked="0" behindDoc="1" simplePos="0" relativeHeight="487587840">
                <wp:simplePos x="0" y="0"/>
                <wp:positionH relativeFrom="page">
                  <wp:posOffset>11693588</wp:posOffset>
                </wp:positionH>
                <wp:positionV relativeFrom="paragraph">
                  <wp:posOffset>1729479</wp:posOffset>
                </wp:positionV>
                <wp:extent cx="3037840" cy="1374775"/>
                <wp:effectExtent l="0" t="0" r="0" b="0"/>
                <wp:wrapTopAndBottom/>
                <wp:docPr id="1479" name="Textbox 1479"/>
                <wp:cNvGraphicFramePr>
                  <a:graphicFrameLocks/>
                </wp:cNvGraphicFramePr>
                <a:graphic>
                  <a:graphicData uri="http://schemas.microsoft.com/office/word/2010/wordprocessingShape">
                    <wps:wsp>
                      <wps:cNvPr id="1479" name="Textbox 1479"/>
                      <wps:cNvSpPr txBox="1"/>
                      <wps:spPr>
                        <a:xfrm>
                          <a:off x="0" y="0"/>
                          <a:ext cx="3037840" cy="1374775"/>
                        </a:xfrm>
                        <a:prstGeom prst="rect">
                          <a:avLst/>
                        </a:prstGeom>
                      </wps:spPr>
                      <wps:txbx>
                        <w:txbxContent>
                          <w:tbl>
                            <w:tblPr>
                              <w:tblW w:w="0" w:type="auto"/>
                              <w:jc w:val="left"/>
                              <w:tblInd w:w="2" w:type="dxa"/>
                              <w:tblBorders>
                                <w:top w:val="single" w:sz="2" w:space="0" w:color="636466"/>
                                <w:left w:val="single" w:sz="2" w:space="0" w:color="636466"/>
                                <w:bottom w:val="single" w:sz="2" w:space="0" w:color="636466"/>
                                <w:right w:val="single" w:sz="2" w:space="0" w:color="636466"/>
                                <w:insideH w:val="single" w:sz="2" w:space="0" w:color="636466"/>
                                <w:insideV w:val="single" w:sz="2" w:space="0" w:color="636466"/>
                              </w:tblBorders>
                              <w:tblLayout w:type="fixed"/>
                              <w:tblCellMar>
                                <w:top w:w="0" w:type="dxa"/>
                                <w:left w:w="0" w:type="dxa"/>
                                <w:bottom w:w="0" w:type="dxa"/>
                                <w:right w:w="0" w:type="dxa"/>
                              </w:tblCellMar>
                              <w:tblLook w:val="01E0"/>
                            </w:tblPr>
                            <w:tblGrid>
                              <w:gridCol w:w="4778"/>
                            </w:tblGrid>
                            <w:tr>
                              <w:trPr>
                                <w:trHeight w:val="355" w:hRule="atLeast"/>
                              </w:trPr>
                              <w:tc>
                                <w:tcPr>
                                  <w:tcW w:w="4778" w:type="dxa"/>
                                  <w:shd w:val="clear" w:color="auto" w:fill="1C75BC"/>
                                </w:tcPr>
                                <w:p>
                                  <w:pPr>
                                    <w:pStyle w:val="TableParagraph"/>
                                    <w:spacing w:before="90"/>
                                    <w:ind w:left="79"/>
                                    <w:rPr>
                                      <w:b/>
                                      <w:sz w:val="20"/>
                                    </w:rPr>
                                  </w:pPr>
                                  <w:r>
                                    <w:rPr>
                                      <w:b/>
                                      <w:color w:val="FFFFFF"/>
                                      <w:sz w:val="20"/>
                                    </w:rPr>
                                    <w:t>COUNTY</w:t>
                                  </w:r>
                                  <w:r>
                                    <w:rPr>
                                      <w:b/>
                                      <w:color w:val="FFFFFF"/>
                                      <w:spacing w:val="2"/>
                                      <w:sz w:val="20"/>
                                    </w:rPr>
                                    <w:t> </w:t>
                                  </w:r>
                                  <w:r>
                                    <w:rPr>
                                      <w:b/>
                                      <w:color w:val="FFFFFF"/>
                                      <w:sz w:val="20"/>
                                    </w:rPr>
                                    <w:t>PRIORITY</w:t>
                                  </w:r>
                                  <w:r>
                                    <w:rPr>
                                      <w:b/>
                                      <w:color w:val="FFFFFF"/>
                                      <w:spacing w:val="3"/>
                                      <w:sz w:val="20"/>
                                    </w:rPr>
                                    <w:t> </w:t>
                                  </w:r>
                                  <w:r>
                                    <w:rPr>
                                      <w:b/>
                                      <w:color w:val="FFFFFF"/>
                                      <w:sz w:val="20"/>
                                    </w:rPr>
                                    <w:t>-</w:t>
                                  </w:r>
                                  <w:r>
                                    <w:rPr>
                                      <w:b/>
                                      <w:color w:val="FFFFFF"/>
                                      <w:spacing w:val="2"/>
                                      <w:sz w:val="20"/>
                                    </w:rPr>
                                    <w:t> </w:t>
                                  </w:r>
                                  <w:r>
                                    <w:rPr>
                                      <w:b/>
                                      <w:color w:val="FFFFFF"/>
                                      <w:sz w:val="20"/>
                                    </w:rPr>
                                    <w:t>FOR</w:t>
                                  </w:r>
                                  <w:r>
                                    <w:rPr>
                                      <w:b/>
                                      <w:color w:val="FFFFFF"/>
                                      <w:spacing w:val="3"/>
                                      <w:sz w:val="20"/>
                                    </w:rPr>
                                    <w:t> </w:t>
                                  </w:r>
                                  <w:r>
                                    <w:rPr>
                                      <w:b/>
                                      <w:color w:val="FFFFFF"/>
                                      <w:spacing w:val="-2"/>
                                      <w:sz w:val="20"/>
                                    </w:rPr>
                                    <w:t>CHILDREN</w:t>
                                  </w:r>
                                </w:p>
                              </w:tc>
                            </w:tr>
                            <w:tr>
                              <w:trPr>
                                <w:trHeight w:val="355" w:hRule="atLeast"/>
                              </w:trPr>
                              <w:tc>
                                <w:tcPr>
                                  <w:tcW w:w="4778" w:type="dxa"/>
                                </w:tcPr>
                                <w:p>
                                  <w:pPr>
                                    <w:pStyle w:val="TableParagraph"/>
                                    <w:spacing w:before="90"/>
                                    <w:ind w:left="79"/>
                                    <w:rPr>
                                      <w:sz w:val="20"/>
                                    </w:rPr>
                                  </w:pPr>
                                  <w:r>
                                    <w:rPr>
                                      <w:color w:val="105C84"/>
                                      <w:sz w:val="20"/>
                                    </w:rPr>
                                    <w:t>Diet</w:t>
                                  </w:r>
                                  <w:r>
                                    <w:rPr>
                                      <w:color w:val="105C84"/>
                                      <w:spacing w:val="30"/>
                                      <w:sz w:val="20"/>
                                    </w:rPr>
                                    <w:t> </w:t>
                                  </w:r>
                                  <w:r>
                                    <w:rPr>
                                      <w:color w:val="105C84"/>
                                      <w:sz w:val="20"/>
                                    </w:rPr>
                                    <w:t>/</w:t>
                                  </w:r>
                                  <w:r>
                                    <w:rPr>
                                      <w:color w:val="105C84"/>
                                      <w:spacing w:val="30"/>
                                      <w:sz w:val="20"/>
                                    </w:rPr>
                                    <w:t> </w:t>
                                  </w:r>
                                  <w:r>
                                    <w:rPr>
                                      <w:color w:val="105C84"/>
                                      <w:sz w:val="20"/>
                                    </w:rPr>
                                    <w:t>nutrition</w:t>
                                  </w:r>
                                  <w:r>
                                    <w:rPr>
                                      <w:color w:val="105C84"/>
                                      <w:spacing w:val="31"/>
                                      <w:sz w:val="20"/>
                                    </w:rPr>
                                    <w:t> </w:t>
                                  </w:r>
                                  <w:r>
                                    <w:rPr>
                                      <w:color w:val="105C84"/>
                                      <w:spacing w:val="-2"/>
                                      <w:sz w:val="20"/>
                                    </w:rPr>
                                    <w:t>(25.8%)</w:t>
                                  </w:r>
                                </w:p>
                              </w:tc>
                            </w:tr>
                            <w:tr>
                              <w:trPr>
                                <w:trHeight w:val="355" w:hRule="atLeast"/>
                              </w:trPr>
                              <w:tc>
                                <w:tcPr>
                                  <w:tcW w:w="4778" w:type="dxa"/>
                                </w:tcPr>
                                <w:p>
                                  <w:pPr>
                                    <w:pStyle w:val="TableParagraph"/>
                                    <w:spacing w:before="90"/>
                                    <w:ind w:left="79"/>
                                    <w:rPr>
                                      <w:sz w:val="20"/>
                                    </w:rPr>
                                  </w:pPr>
                                  <w:r>
                                    <w:rPr>
                                      <w:color w:val="105C84"/>
                                      <w:sz w:val="20"/>
                                    </w:rPr>
                                    <w:t>Mental</w:t>
                                  </w:r>
                                  <w:r>
                                    <w:rPr>
                                      <w:color w:val="105C84"/>
                                      <w:spacing w:val="13"/>
                                      <w:sz w:val="20"/>
                                    </w:rPr>
                                    <w:t> </w:t>
                                  </w:r>
                                  <w:r>
                                    <w:rPr>
                                      <w:color w:val="105C84"/>
                                      <w:sz w:val="20"/>
                                    </w:rPr>
                                    <w:t>/</w:t>
                                  </w:r>
                                  <w:r>
                                    <w:rPr>
                                      <w:color w:val="105C84"/>
                                      <w:spacing w:val="13"/>
                                      <w:sz w:val="20"/>
                                    </w:rPr>
                                    <w:t> </w:t>
                                  </w:r>
                                  <w:r>
                                    <w:rPr>
                                      <w:color w:val="105C84"/>
                                      <w:sz w:val="20"/>
                                    </w:rPr>
                                    <w:t>emotional</w:t>
                                  </w:r>
                                  <w:r>
                                    <w:rPr>
                                      <w:color w:val="105C84"/>
                                      <w:spacing w:val="13"/>
                                      <w:sz w:val="20"/>
                                    </w:rPr>
                                    <w:t> </w:t>
                                  </w:r>
                                  <w:r>
                                    <w:rPr>
                                      <w:color w:val="105C84"/>
                                      <w:sz w:val="20"/>
                                    </w:rPr>
                                    <w:t>health</w:t>
                                  </w:r>
                                  <w:r>
                                    <w:rPr>
                                      <w:color w:val="105C84"/>
                                      <w:spacing w:val="13"/>
                                      <w:sz w:val="20"/>
                                    </w:rPr>
                                    <w:t> </w:t>
                                  </w:r>
                                  <w:r>
                                    <w:rPr>
                                      <w:color w:val="105C84"/>
                                      <w:sz w:val="20"/>
                                    </w:rPr>
                                    <w:t>issues</w:t>
                                  </w:r>
                                  <w:r>
                                    <w:rPr>
                                      <w:color w:val="105C84"/>
                                      <w:spacing w:val="13"/>
                                      <w:sz w:val="20"/>
                                    </w:rPr>
                                    <w:t> </w:t>
                                  </w:r>
                                  <w:r>
                                    <w:rPr>
                                      <w:color w:val="105C84"/>
                                      <w:spacing w:val="-2"/>
                                      <w:sz w:val="20"/>
                                    </w:rPr>
                                    <w:t>(16.9%)</w:t>
                                  </w:r>
                                </w:p>
                              </w:tc>
                            </w:tr>
                            <w:tr>
                              <w:trPr>
                                <w:trHeight w:val="355" w:hRule="atLeast"/>
                              </w:trPr>
                              <w:tc>
                                <w:tcPr>
                                  <w:tcW w:w="4778" w:type="dxa"/>
                                </w:tcPr>
                                <w:p>
                                  <w:pPr>
                                    <w:pStyle w:val="TableParagraph"/>
                                    <w:spacing w:before="90"/>
                                    <w:ind w:left="79"/>
                                    <w:rPr>
                                      <w:sz w:val="20"/>
                                    </w:rPr>
                                  </w:pPr>
                                  <w:r>
                                    <w:rPr>
                                      <w:color w:val="105C84"/>
                                      <w:sz w:val="20"/>
                                    </w:rPr>
                                    <w:t>Weight</w:t>
                                  </w:r>
                                  <w:r>
                                    <w:rPr>
                                      <w:color w:val="105C84"/>
                                      <w:spacing w:val="27"/>
                                      <w:sz w:val="20"/>
                                    </w:rPr>
                                    <w:t> </w:t>
                                  </w:r>
                                  <w:r>
                                    <w:rPr>
                                      <w:color w:val="105C84"/>
                                      <w:spacing w:val="-2"/>
                                      <w:sz w:val="20"/>
                                    </w:rPr>
                                    <w:t>(14.6%)</w:t>
                                  </w:r>
                                </w:p>
                              </w:tc>
                            </w:tr>
                            <w:tr>
                              <w:trPr>
                                <w:trHeight w:val="355" w:hRule="atLeast"/>
                              </w:trPr>
                              <w:tc>
                                <w:tcPr>
                                  <w:tcW w:w="4778" w:type="dxa"/>
                                </w:tcPr>
                                <w:p>
                                  <w:pPr>
                                    <w:pStyle w:val="TableParagraph"/>
                                    <w:spacing w:before="90"/>
                                    <w:ind w:left="79"/>
                                    <w:rPr>
                                      <w:sz w:val="20"/>
                                    </w:rPr>
                                  </w:pPr>
                                  <w:r>
                                    <w:rPr>
                                      <w:color w:val="105C84"/>
                                      <w:sz w:val="20"/>
                                    </w:rPr>
                                    <w:t>Substance</w:t>
                                  </w:r>
                                  <w:r>
                                    <w:rPr>
                                      <w:color w:val="105C84"/>
                                      <w:spacing w:val="-11"/>
                                      <w:sz w:val="20"/>
                                    </w:rPr>
                                    <w:t> </w:t>
                                  </w:r>
                                  <w:r>
                                    <w:rPr>
                                      <w:color w:val="105C84"/>
                                      <w:sz w:val="20"/>
                                    </w:rPr>
                                    <w:t>abuse</w:t>
                                  </w:r>
                                  <w:r>
                                    <w:rPr>
                                      <w:color w:val="105C84"/>
                                      <w:spacing w:val="-10"/>
                                      <w:sz w:val="20"/>
                                    </w:rPr>
                                    <w:t> </w:t>
                                  </w:r>
                                  <w:r>
                                    <w:rPr>
                                      <w:color w:val="105C84"/>
                                      <w:spacing w:val="-2"/>
                                      <w:sz w:val="20"/>
                                    </w:rPr>
                                    <w:t>(13.4%)</w:t>
                                  </w:r>
                                </w:p>
                              </w:tc>
                            </w:tr>
                            <w:tr>
                              <w:trPr>
                                <w:trHeight w:val="355" w:hRule="atLeast"/>
                              </w:trPr>
                              <w:tc>
                                <w:tcPr>
                                  <w:tcW w:w="4778" w:type="dxa"/>
                                </w:tcPr>
                                <w:p>
                                  <w:pPr>
                                    <w:pStyle w:val="TableParagraph"/>
                                    <w:spacing w:before="90"/>
                                    <w:ind w:left="79"/>
                                    <w:rPr>
                                      <w:sz w:val="20"/>
                                    </w:rPr>
                                  </w:pPr>
                                  <w:r>
                                    <w:rPr>
                                      <w:color w:val="105C84"/>
                                      <w:sz w:val="20"/>
                                    </w:rPr>
                                    <w:t>Education</w:t>
                                  </w:r>
                                  <w:r>
                                    <w:rPr>
                                      <w:color w:val="105C84"/>
                                      <w:spacing w:val="20"/>
                                      <w:sz w:val="20"/>
                                    </w:rPr>
                                    <w:t> </w:t>
                                  </w:r>
                                  <w:r>
                                    <w:rPr>
                                      <w:color w:val="105C84"/>
                                      <w:spacing w:val="-2"/>
                                      <w:sz w:val="20"/>
                                    </w:rPr>
                                    <w:t>(13.2%)</w:t>
                                  </w:r>
                                </w:p>
                              </w:tc>
                            </w:tr>
                          </w:tbl>
                          <w:p>
                            <w:pPr>
                              <w:pStyle w:val="BodyText"/>
                            </w:pPr>
                          </w:p>
                        </w:txbxContent>
                      </wps:txbx>
                      <wps:bodyPr wrap="square" lIns="0" tIns="0" rIns="0" bIns="0" rtlCol="0">
                        <a:noAutofit/>
                      </wps:bodyPr>
                    </wps:wsp>
                  </a:graphicData>
                </a:graphic>
              </wp:anchor>
            </w:drawing>
          </mc:Choice>
          <mc:Fallback>
            <w:pict>
              <v:shape style="position:absolute;margin-left:920.755005pt;margin-top:136.179489pt;width:239.2pt;height:108.25pt;mso-position-horizontal-relative:page;mso-position-vertical-relative:paragraph;z-index:-15728640;mso-wrap-distance-left:0;mso-wrap-distance-right:0" type="#_x0000_t202" id="docshape1169" filled="false" stroked="false">
                <v:textbox inset="0,0,0,0">
                  <w:txbxContent>
                    <w:tbl>
                      <w:tblPr>
                        <w:tblW w:w="0" w:type="auto"/>
                        <w:jc w:val="left"/>
                        <w:tblInd w:w="2" w:type="dxa"/>
                        <w:tblBorders>
                          <w:top w:val="single" w:sz="2" w:space="0" w:color="636466"/>
                          <w:left w:val="single" w:sz="2" w:space="0" w:color="636466"/>
                          <w:bottom w:val="single" w:sz="2" w:space="0" w:color="636466"/>
                          <w:right w:val="single" w:sz="2" w:space="0" w:color="636466"/>
                          <w:insideH w:val="single" w:sz="2" w:space="0" w:color="636466"/>
                          <w:insideV w:val="single" w:sz="2" w:space="0" w:color="636466"/>
                        </w:tblBorders>
                        <w:tblLayout w:type="fixed"/>
                        <w:tblCellMar>
                          <w:top w:w="0" w:type="dxa"/>
                          <w:left w:w="0" w:type="dxa"/>
                          <w:bottom w:w="0" w:type="dxa"/>
                          <w:right w:w="0" w:type="dxa"/>
                        </w:tblCellMar>
                        <w:tblLook w:val="01E0"/>
                      </w:tblPr>
                      <w:tblGrid>
                        <w:gridCol w:w="4778"/>
                      </w:tblGrid>
                      <w:tr>
                        <w:trPr>
                          <w:trHeight w:val="355" w:hRule="atLeast"/>
                        </w:trPr>
                        <w:tc>
                          <w:tcPr>
                            <w:tcW w:w="4778" w:type="dxa"/>
                            <w:shd w:val="clear" w:color="auto" w:fill="1C75BC"/>
                          </w:tcPr>
                          <w:p>
                            <w:pPr>
                              <w:pStyle w:val="TableParagraph"/>
                              <w:spacing w:before="90"/>
                              <w:ind w:left="79"/>
                              <w:rPr>
                                <w:b/>
                                <w:sz w:val="20"/>
                              </w:rPr>
                            </w:pPr>
                            <w:r>
                              <w:rPr>
                                <w:b/>
                                <w:color w:val="FFFFFF"/>
                                <w:sz w:val="20"/>
                              </w:rPr>
                              <w:t>COUNTY</w:t>
                            </w:r>
                            <w:r>
                              <w:rPr>
                                <w:b/>
                                <w:color w:val="FFFFFF"/>
                                <w:spacing w:val="2"/>
                                <w:sz w:val="20"/>
                              </w:rPr>
                              <w:t> </w:t>
                            </w:r>
                            <w:r>
                              <w:rPr>
                                <w:b/>
                                <w:color w:val="FFFFFF"/>
                                <w:sz w:val="20"/>
                              </w:rPr>
                              <w:t>PRIORITY</w:t>
                            </w:r>
                            <w:r>
                              <w:rPr>
                                <w:b/>
                                <w:color w:val="FFFFFF"/>
                                <w:spacing w:val="3"/>
                                <w:sz w:val="20"/>
                              </w:rPr>
                              <w:t> </w:t>
                            </w:r>
                            <w:r>
                              <w:rPr>
                                <w:b/>
                                <w:color w:val="FFFFFF"/>
                                <w:sz w:val="20"/>
                              </w:rPr>
                              <w:t>-</w:t>
                            </w:r>
                            <w:r>
                              <w:rPr>
                                <w:b/>
                                <w:color w:val="FFFFFF"/>
                                <w:spacing w:val="2"/>
                                <w:sz w:val="20"/>
                              </w:rPr>
                              <w:t> </w:t>
                            </w:r>
                            <w:r>
                              <w:rPr>
                                <w:b/>
                                <w:color w:val="FFFFFF"/>
                                <w:sz w:val="20"/>
                              </w:rPr>
                              <w:t>FOR</w:t>
                            </w:r>
                            <w:r>
                              <w:rPr>
                                <w:b/>
                                <w:color w:val="FFFFFF"/>
                                <w:spacing w:val="3"/>
                                <w:sz w:val="20"/>
                              </w:rPr>
                              <w:t> </w:t>
                            </w:r>
                            <w:r>
                              <w:rPr>
                                <w:b/>
                                <w:color w:val="FFFFFF"/>
                                <w:spacing w:val="-2"/>
                                <w:sz w:val="20"/>
                              </w:rPr>
                              <w:t>CHILDREN</w:t>
                            </w:r>
                          </w:p>
                        </w:tc>
                      </w:tr>
                      <w:tr>
                        <w:trPr>
                          <w:trHeight w:val="355" w:hRule="atLeast"/>
                        </w:trPr>
                        <w:tc>
                          <w:tcPr>
                            <w:tcW w:w="4778" w:type="dxa"/>
                          </w:tcPr>
                          <w:p>
                            <w:pPr>
                              <w:pStyle w:val="TableParagraph"/>
                              <w:spacing w:before="90"/>
                              <w:ind w:left="79"/>
                              <w:rPr>
                                <w:sz w:val="20"/>
                              </w:rPr>
                            </w:pPr>
                            <w:r>
                              <w:rPr>
                                <w:color w:val="105C84"/>
                                <w:sz w:val="20"/>
                              </w:rPr>
                              <w:t>Diet</w:t>
                            </w:r>
                            <w:r>
                              <w:rPr>
                                <w:color w:val="105C84"/>
                                <w:spacing w:val="30"/>
                                <w:sz w:val="20"/>
                              </w:rPr>
                              <w:t> </w:t>
                            </w:r>
                            <w:r>
                              <w:rPr>
                                <w:color w:val="105C84"/>
                                <w:sz w:val="20"/>
                              </w:rPr>
                              <w:t>/</w:t>
                            </w:r>
                            <w:r>
                              <w:rPr>
                                <w:color w:val="105C84"/>
                                <w:spacing w:val="30"/>
                                <w:sz w:val="20"/>
                              </w:rPr>
                              <w:t> </w:t>
                            </w:r>
                            <w:r>
                              <w:rPr>
                                <w:color w:val="105C84"/>
                                <w:sz w:val="20"/>
                              </w:rPr>
                              <w:t>nutrition</w:t>
                            </w:r>
                            <w:r>
                              <w:rPr>
                                <w:color w:val="105C84"/>
                                <w:spacing w:val="31"/>
                                <w:sz w:val="20"/>
                              </w:rPr>
                              <w:t> </w:t>
                            </w:r>
                            <w:r>
                              <w:rPr>
                                <w:color w:val="105C84"/>
                                <w:spacing w:val="-2"/>
                                <w:sz w:val="20"/>
                              </w:rPr>
                              <w:t>(25.8%)</w:t>
                            </w:r>
                          </w:p>
                        </w:tc>
                      </w:tr>
                      <w:tr>
                        <w:trPr>
                          <w:trHeight w:val="355" w:hRule="atLeast"/>
                        </w:trPr>
                        <w:tc>
                          <w:tcPr>
                            <w:tcW w:w="4778" w:type="dxa"/>
                          </w:tcPr>
                          <w:p>
                            <w:pPr>
                              <w:pStyle w:val="TableParagraph"/>
                              <w:spacing w:before="90"/>
                              <w:ind w:left="79"/>
                              <w:rPr>
                                <w:sz w:val="20"/>
                              </w:rPr>
                            </w:pPr>
                            <w:r>
                              <w:rPr>
                                <w:color w:val="105C84"/>
                                <w:sz w:val="20"/>
                              </w:rPr>
                              <w:t>Mental</w:t>
                            </w:r>
                            <w:r>
                              <w:rPr>
                                <w:color w:val="105C84"/>
                                <w:spacing w:val="13"/>
                                <w:sz w:val="20"/>
                              </w:rPr>
                              <w:t> </w:t>
                            </w:r>
                            <w:r>
                              <w:rPr>
                                <w:color w:val="105C84"/>
                                <w:sz w:val="20"/>
                              </w:rPr>
                              <w:t>/</w:t>
                            </w:r>
                            <w:r>
                              <w:rPr>
                                <w:color w:val="105C84"/>
                                <w:spacing w:val="13"/>
                                <w:sz w:val="20"/>
                              </w:rPr>
                              <w:t> </w:t>
                            </w:r>
                            <w:r>
                              <w:rPr>
                                <w:color w:val="105C84"/>
                                <w:sz w:val="20"/>
                              </w:rPr>
                              <w:t>emotional</w:t>
                            </w:r>
                            <w:r>
                              <w:rPr>
                                <w:color w:val="105C84"/>
                                <w:spacing w:val="13"/>
                                <w:sz w:val="20"/>
                              </w:rPr>
                              <w:t> </w:t>
                            </w:r>
                            <w:r>
                              <w:rPr>
                                <w:color w:val="105C84"/>
                                <w:sz w:val="20"/>
                              </w:rPr>
                              <w:t>health</w:t>
                            </w:r>
                            <w:r>
                              <w:rPr>
                                <w:color w:val="105C84"/>
                                <w:spacing w:val="13"/>
                                <w:sz w:val="20"/>
                              </w:rPr>
                              <w:t> </w:t>
                            </w:r>
                            <w:r>
                              <w:rPr>
                                <w:color w:val="105C84"/>
                                <w:sz w:val="20"/>
                              </w:rPr>
                              <w:t>issues</w:t>
                            </w:r>
                            <w:r>
                              <w:rPr>
                                <w:color w:val="105C84"/>
                                <w:spacing w:val="13"/>
                                <w:sz w:val="20"/>
                              </w:rPr>
                              <w:t> </w:t>
                            </w:r>
                            <w:r>
                              <w:rPr>
                                <w:color w:val="105C84"/>
                                <w:spacing w:val="-2"/>
                                <w:sz w:val="20"/>
                              </w:rPr>
                              <w:t>(16.9%)</w:t>
                            </w:r>
                          </w:p>
                        </w:tc>
                      </w:tr>
                      <w:tr>
                        <w:trPr>
                          <w:trHeight w:val="355" w:hRule="atLeast"/>
                        </w:trPr>
                        <w:tc>
                          <w:tcPr>
                            <w:tcW w:w="4778" w:type="dxa"/>
                          </w:tcPr>
                          <w:p>
                            <w:pPr>
                              <w:pStyle w:val="TableParagraph"/>
                              <w:spacing w:before="90"/>
                              <w:ind w:left="79"/>
                              <w:rPr>
                                <w:sz w:val="20"/>
                              </w:rPr>
                            </w:pPr>
                            <w:r>
                              <w:rPr>
                                <w:color w:val="105C84"/>
                                <w:sz w:val="20"/>
                              </w:rPr>
                              <w:t>Weight</w:t>
                            </w:r>
                            <w:r>
                              <w:rPr>
                                <w:color w:val="105C84"/>
                                <w:spacing w:val="27"/>
                                <w:sz w:val="20"/>
                              </w:rPr>
                              <w:t> </w:t>
                            </w:r>
                            <w:r>
                              <w:rPr>
                                <w:color w:val="105C84"/>
                                <w:spacing w:val="-2"/>
                                <w:sz w:val="20"/>
                              </w:rPr>
                              <w:t>(14.6%)</w:t>
                            </w:r>
                          </w:p>
                        </w:tc>
                      </w:tr>
                      <w:tr>
                        <w:trPr>
                          <w:trHeight w:val="355" w:hRule="atLeast"/>
                        </w:trPr>
                        <w:tc>
                          <w:tcPr>
                            <w:tcW w:w="4778" w:type="dxa"/>
                          </w:tcPr>
                          <w:p>
                            <w:pPr>
                              <w:pStyle w:val="TableParagraph"/>
                              <w:spacing w:before="90"/>
                              <w:ind w:left="79"/>
                              <w:rPr>
                                <w:sz w:val="20"/>
                              </w:rPr>
                            </w:pPr>
                            <w:r>
                              <w:rPr>
                                <w:color w:val="105C84"/>
                                <w:sz w:val="20"/>
                              </w:rPr>
                              <w:t>Substance</w:t>
                            </w:r>
                            <w:r>
                              <w:rPr>
                                <w:color w:val="105C84"/>
                                <w:spacing w:val="-11"/>
                                <w:sz w:val="20"/>
                              </w:rPr>
                              <w:t> </w:t>
                            </w:r>
                            <w:r>
                              <w:rPr>
                                <w:color w:val="105C84"/>
                                <w:sz w:val="20"/>
                              </w:rPr>
                              <w:t>abuse</w:t>
                            </w:r>
                            <w:r>
                              <w:rPr>
                                <w:color w:val="105C84"/>
                                <w:spacing w:val="-10"/>
                                <w:sz w:val="20"/>
                              </w:rPr>
                              <w:t> </w:t>
                            </w:r>
                            <w:r>
                              <w:rPr>
                                <w:color w:val="105C84"/>
                                <w:spacing w:val="-2"/>
                                <w:sz w:val="20"/>
                              </w:rPr>
                              <w:t>(13.4%)</w:t>
                            </w:r>
                          </w:p>
                        </w:tc>
                      </w:tr>
                      <w:tr>
                        <w:trPr>
                          <w:trHeight w:val="355" w:hRule="atLeast"/>
                        </w:trPr>
                        <w:tc>
                          <w:tcPr>
                            <w:tcW w:w="4778" w:type="dxa"/>
                          </w:tcPr>
                          <w:p>
                            <w:pPr>
                              <w:pStyle w:val="TableParagraph"/>
                              <w:spacing w:before="90"/>
                              <w:ind w:left="79"/>
                              <w:rPr>
                                <w:sz w:val="20"/>
                              </w:rPr>
                            </w:pPr>
                            <w:r>
                              <w:rPr>
                                <w:color w:val="105C84"/>
                                <w:sz w:val="20"/>
                              </w:rPr>
                              <w:t>Education</w:t>
                            </w:r>
                            <w:r>
                              <w:rPr>
                                <w:color w:val="105C84"/>
                                <w:spacing w:val="20"/>
                                <w:sz w:val="20"/>
                              </w:rPr>
                              <w:t> </w:t>
                            </w:r>
                            <w:r>
                              <w:rPr>
                                <w:color w:val="105C84"/>
                                <w:spacing w:val="-2"/>
                                <w:sz w:val="20"/>
                              </w:rPr>
                              <w:t>(13.2%)</w:t>
                            </w:r>
                          </w:p>
                        </w:tc>
                      </w:tr>
                    </w:tbl>
                    <w:p>
                      <w:pPr>
                        <w:pStyle w:val="BodyText"/>
                      </w:pPr>
                    </w:p>
                  </w:txbxContent>
                </v:textbox>
                <w10:wrap type="topAndBottom"/>
              </v:shape>
            </w:pict>
          </mc:Fallback>
        </mc:AlternateContent>
      </w:r>
    </w:p>
    <w:p>
      <w:pPr>
        <w:pStyle w:val="BodyText"/>
        <w:spacing w:before="10"/>
        <w:rPr>
          <w:b/>
          <w:sz w:val="12"/>
        </w:rPr>
      </w:pPr>
    </w:p>
    <w:p>
      <w:pPr>
        <w:spacing w:line="235" w:lineRule="auto" w:before="223"/>
        <w:ind w:left="1080" w:right="479" w:firstLine="0"/>
        <w:jc w:val="left"/>
        <w:rPr>
          <w:sz w:val="16"/>
        </w:rPr>
      </w:pPr>
      <w:r>
        <w:rPr>
          <w:color w:val="0C5D86"/>
          <w:sz w:val="16"/>
        </w:rPr>
        <w:t>Source: My Health Story survey 2018. Analysis by Common Ground Health incorporates weighting to normalize survey participants to demographics</w:t>
      </w:r>
      <w:r>
        <w:rPr>
          <w:color w:val="0C5D86"/>
          <w:spacing w:val="-6"/>
          <w:sz w:val="16"/>
        </w:rPr>
        <w:t> </w:t>
      </w:r>
      <w:r>
        <w:rPr>
          <w:color w:val="0C5D86"/>
          <w:sz w:val="16"/>
        </w:rPr>
        <w:t>of</w:t>
      </w:r>
      <w:r>
        <w:rPr>
          <w:color w:val="0C5D86"/>
          <w:spacing w:val="-6"/>
          <w:sz w:val="16"/>
        </w:rPr>
        <w:t> </w:t>
      </w:r>
      <w:r>
        <w:rPr>
          <w:color w:val="0C5D86"/>
          <w:sz w:val="16"/>
        </w:rPr>
        <w:t>each</w:t>
      </w:r>
      <w:r>
        <w:rPr>
          <w:color w:val="0C5D86"/>
          <w:spacing w:val="-6"/>
          <w:sz w:val="16"/>
        </w:rPr>
        <w:t> </w:t>
      </w:r>
      <w:r>
        <w:rPr>
          <w:color w:val="0C5D86"/>
          <w:sz w:val="16"/>
        </w:rPr>
        <w:t>county.</w:t>
      </w:r>
      <w:r>
        <w:rPr>
          <w:color w:val="0C5D86"/>
          <w:spacing w:val="32"/>
          <w:sz w:val="16"/>
        </w:rPr>
        <w:t> </w:t>
      </w:r>
      <w:r>
        <w:rPr>
          <w:color w:val="0C5D86"/>
          <w:sz w:val="16"/>
        </w:rPr>
        <w:t>Top</w:t>
      </w:r>
      <w:r>
        <w:rPr>
          <w:color w:val="0C5D86"/>
          <w:spacing w:val="-6"/>
          <w:sz w:val="16"/>
        </w:rPr>
        <w:t> </w:t>
      </w:r>
      <w:r>
        <w:rPr>
          <w:color w:val="0C5D86"/>
          <w:sz w:val="16"/>
        </w:rPr>
        <w:t>5</w:t>
      </w:r>
      <w:r>
        <w:rPr>
          <w:color w:val="0C5D86"/>
          <w:spacing w:val="-6"/>
          <w:sz w:val="16"/>
        </w:rPr>
        <w:t> </w:t>
      </w:r>
      <w:r>
        <w:rPr>
          <w:color w:val="0C5D86"/>
          <w:sz w:val="16"/>
        </w:rPr>
        <w:t>issues</w:t>
      </w:r>
      <w:r>
        <w:rPr>
          <w:color w:val="0C5D86"/>
          <w:spacing w:val="-6"/>
          <w:sz w:val="16"/>
        </w:rPr>
        <w:t> </w:t>
      </w:r>
      <w:r>
        <w:rPr>
          <w:color w:val="0C5D86"/>
          <w:sz w:val="16"/>
        </w:rPr>
        <w:t>shown</w:t>
      </w:r>
      <w:r>
        <w:rPr>
          <w:color w:val="0C5D86"/>
          <w:spacing w:val="-6"/>
          <w:sz w:val="16"/>
        </w:rPr>
        <w:t> </w:t>
      </w:r>
      <w:r>
        <w:rPr>
          <w:color w:val="0C5D86"/>
          <w:sz w:val="16"/>
        </w:rPr>
        <w:t>for</w:t>
      </w:r>
      <w:r>
        <w:rPr>
          <w:color w:val="0C5D86"/>
          <w:spacing w:val="-6"/>
          <w:sz w:val="16"/>
        </w:rPr>
        <w:t> </w:t>
      </w:r>
      <w:r>
        <w:rPr>
          <w:color w:val="0C5D86"/>
          <w:sz w:val="16"/>
        </w:rPr>
        <w:t>each</w:t>
      </w:r>
      <w:r>
        <w:rPr>
          <w:color w:val="0C5D86"/>
          <w:spacing w:val="-6"/>
          <w:sz w:val="16"/>
        </w:rPr>
        <w:t> </w:t>
      </w:r>
      <w:r>
        <w:rPr>
          <w:color w:val="0C5D86"/>
          <w:sz w:val="16"/>
        </w:rPr>
        <w:t>question.</w:t>
      </w:r>
      <w:r>
        <w:rPr>
          <w:color w:val="0C5D86"/>
          <w:spacing w:val="32"/>
          <w:sz w:val="16"/>
        </w:rPr>
        <w:t> </w:t>
      </w:r>
      <w:r>
        <w:rPr>
          <w:color w:val="0C5D86"/>
          <w:sz w:val="16"/>
        </w:rPr>
        <w:t>Data</w:t>
      </w:r>
      <w:r>
        <w:rPr>
          <w:color w:val="0C5D86"/>
          <w:spacing w:val="-6"/>
          <w:sz w:val="16"/>
        </w:rPr>
        <w:t> </w:t>
      </w:r>
      <w:r>
        <w:rPr>
          <w:color w:val="0C5D86"/>
          <w:sz w:val="16"/>
        </w:rPr>
        <w:t>shown</w:t>
      </w:r>
      <w:r>
        <w:rPr>
          <w:color w:val="0C5D86"/>
          <w:spacing w:val="-6"/>
          <w:sz w:val="16"/>
        </w:rPr>
        <w:t> </w:t>
      </w:r>
      <w:r>
        <w:rPr>
          <w:color w:val="0C5D86"/>
          <w:sz w:val="16"/>
        </w:rPr>
        <w:t>are</w:t>
      </w:r>
      <w:r>
        <w:rPr>
          <w:color w:val="0C5D86"/>
          <w:spacing w:val="-6"/>
          <w:sz w:val="16"/>
        </w:rPr>
        <w:t> </w:t>
      </w:r>
      <w:r>
        <w:rPr>
          <w:color w:val="0C5D86"/>
          <w:sz w:val="16"/>
        </w:rPr>
        <w:t>the</w:t>
      </w:r>
      <w:r>
        <w:rPr>
          <w:color w:val="0C5D86"/>
          <w:spacing w:val="-6"/>
          <w:sz w:val="16"/>
        </w:rPr>
        <w:t> </w:t>
      </w:r>
      <w:r>
        <w:rPr>
          <w:color w:val="0C5D86"/>
          <w:sz w:val="16"/>
        </w:rPr>
        <w:t>percent</w:t>
      </w:r>
      <w:r>
        <w:rPr>
          <w:color w:val="0C5D86"/>
          <w:spacing w:val="-6"/>
          <w:sz w:val="16"/>
        </w:rPr>
        <w:t> </w:t>
      </w:r>
      <w:r>
        <w:rPr>
          <w:color w:val="0C5D86"/>
          <w:sz w:val="16"/>
        </w:rPr>
        <w:t>of</w:t>
      </w:r>
      <w:r>
        <w:rPr>
          <w:color w:val="0C5D86"/>
          <w:spacing w:val="-6"/>
          <w:sz w:val="16"/>
        </w:rPr>
        <w:t> </w:t>
      </w:r>
      <w:r>
        <w:rPr>
          <w:color w:val="0C5D86"/>
          <w:sz w:val="16"/>
        </w:rPr>
        <w:t>participants</w:t>
      </w:r>
      <w:r>
        <w:rPr>
          <w:color w:val="0C5D86"/>
          <w:spacing w:val="-6"/>
          <w:sz w:val="16"/>
        </w:rPr>
        <w:t> </w:t>
      </w:r>
      <w:r>
        <w:rPr>
          <w:color w:val="0C5D86"/>
          <w:sz w:val="16"/>
        </w:rPr>
        <w:t>with</w:t>
      </w:r>
      <w:r>
        <w:rPr>
          <w:color w:val="0C5D86"/>
          <w:spacing w:val="-6"/>
          <w:sz w:val="16"/>
        </w:rPr>
        <w:t> </w:t>
      </w:r>
      <w:r>
        <w:rPr>
          <w:color w:val="0C5D86"/>
          <w:sz w:val="16"/>
        </w:rPr>
        <w:t>responses</w:t>
      </w:r>
      <w:r>
        <w:rPr>
          <w:color w:val="0C5D86"/>
          <w:spacing w:val="-6"/>
          <w:sz w:val="16"/>
        </w:rPr>
        <w:t> </w:t>
      </w:r>
      <w:r>
        <w:rPr>
          <w:color w:val="0C5D86"/>
          <w:sz w:val="16"/>
        </w:rPr>
        <w:t>in</w:t>
      </w:r>
      <w:r>
        <w:rPr>
          <w:color w:val="0C5D86"/>
          <w:spacing w:val="-6"/>
          <w:sz w:val="16"/>
        </w:rPr>
        <w:t> </w:t>
      </w:r>
      <w:r>
        <w:rPr>
          <w:color w:val="0C5D86"/>
          <w:sz w:val="16"/>
        </w:rPr>
        <w:t>each </w:t>
      </w:r>
      <w:r>
        <w:rPr>
          <w:color w:val="0C5D86"/>
          <w:spacing w:val="-2"/>
          <w:sz w:val="16"/>
        </w:rPr>
        <w:t>category.</w:t>
      </w:r>
    </w:p>
    <w:p>
      <w:pPr>
        <w:pStyle w:val="BodyText"/>
        <w:spacing w:before="108"/>
        <w:rPr>
          <w:sz w:val="16"/>
        </w:rPr>
      </w:pPr>
    </w:p>
    <w:p>
      <w:pPr>
        <w:pStyle w:val="Heading6"/>
      </w:pPr>
      <w:r>
        <w:rPr>
          <w:color w:val="105C84"/>
          <w:spacing w:val="-8"/>
        </w:rPr>
        <w:t>Behavioral Risk Factors</w:t>
      </w:r>
    </w:p>
    <w:p>
      <w:pPr>
        <w:pStyle w:val="BodyText"/>
        <w:spacing w:line="247" w:lineRule="auto" w:before="268"/>
        <w:ind w:left="1080" w:right="479"/>
      </w:pPr>
      <w:r>
        <w:rPr/>
        <mc:AlternateContent>
          <mc:Choice Requires="wps">
            <w:drawing>
              <wp:anchor distT="0" distB="0" distL="0" distR="0" allowOverlap="1" layoutInCell="1" locked="0" behindDoc="0" simplePos="0" relativeHeight="15880192">
                <wp:simplePos x="0" y="0"/>
                <wp:positionH relativeFrom="page">
                  <wp:posOffset>0</wp:posOffset>
                </wp:positionH>
                <wp:positionV relativeFrom="paragraph">
                  <wp:posOffset>930800</wp:posOffset>
                </wp:positionV>
                <wp:extent cx="7786370" cy="3858895"/>
                <wp:effectExtent l="0" t="0" r="0" b="0"/>
                <wp:wrapNone/>
                <wp:docPr id="1480" name="Group 1480"/>
                <wp:cNvGraphicFramePr>
                  <a:graphicFrameLocks/>
                </wp:cNvGraphicFramePr>
                <a:graphic>
                  <a:graphicData uri="http://schemas.microsoft.com/office/word/2010/wordprocessingGroup">
                    <wpg:wgp>
                      <wpg:cNvPr id="1480" name="Group 1480"/>
                      <wpg:cNvGrpSpPr/>
                      <wpg:grpSpPr>
                        <a:xfrm>
                          <a:off x="0" y="0"/>
                          <a:ext cx="7786370" cy="3858895"/>
                          <a:chExt cx="7786370" cy="3858895"/>
                        </a:xfrm>
                      </wpg:grpSpPr>
                      <pic:pic>
                        <pic:nvPicPr>
                          <pic:cNvPr id="1481" name="Image 1481"/>
                          <pic:cNvPicPr/>
                        </pic:nvPicPr>
                        <pic:blipFill>
                          <a:blip r:embed="rId39" cstate="print"/>
                          <a:stretch>
                            <a:fillRect/>
                          </a:stretch>
                        </pic:blipFill>
                        <pic:spPr>
                          <a:xfrm>
                            <a:off x="0" y="3468471"/>
                            <a:ext cx="568172" cy="184683"/>
                          </a:xfrm>
                          <a:prstGeom prst="rect">
                            <a:avLst/>
                          </a:prstGeom>
                        </pic:spPr>
                      </pic:pic>
                      <pic:pic>
                        <pic:nvPicPr>
                          <pic:cNvPr id="1482" name="Image 1482"/>
                          <pic:cNvPicPr/>
                        </pic:nvPicPr>
                        <pic:blipFill>
                          <a:blip r:embed="rId211" cstate="print"/>
                          <a:stretch>
                            <a:fillRect/>
                          </a:stretch>
                        </pic:blipFill>
                        <pic:spPr>
                          <a:xfrm>
                            <a:off x="0" y="0"/>
                            <a:ext cx="7786116" cy="3858767"/>
                          </a:xfrm>
                          <a:prstGeom prst="rect">
                            <a:avLst/>
                          </a:prstGeom>
                        </pic:spPr>
                      </pic:pic>
                      <wps:wsp>
                        <wps:cNvPr id="1483" name="Textbox 1483"/>
                        <wps:cNvSpPr txBox="1"/>
                        <wps:spPr>
                          <a:xfrm>
                            <a:off x="713231" y="3395979"/>
                            <a:ext cx="1619250" cy="253365"/>
                          </a:xfrm>
                          <a:prstGeom prst="rect">
                            <a:avLst/>
                          </a:prstGeom>
                        </wps:spPr>
                        <wps:txbx>
                          <w:txbxContent>
                            <w:p>
                              <w:pPr>
                                <w:spacing w:line="235" w:lineRule="auto" w:before="13"/>
                                <w:ind w:left="0" w:right="0" w:firstLine="0"/>
                                <w:jc w:val="left"/>
                                <w:rPr>
                                  <w:sz w:val="16"/>
                                </w:rPr>
                              </w:pPr>
                              <w:r>
                                <w:rPr>
                                  <w:color w:val="FFFFFF"/>
                                  <w:sz w:val="16"/>
                                </w:rPr>
                                <w:t>Chimney Bluffs, Wayne County Courtesy</w:t>
                              </w:r>
                              <w:r>
                                <w:rPr>
                                  <w:color w:val="FFFFFF"/>
                                  <w:spacing w:val="-11"/>
                                  <w:sz w:val="16"/>
                                </w:rPr>
                                <w:t> </w:t>
                              </w:r>
                              <w:r>
                                <w:rPr>
                                  <w:color w:val="FFFFFF"/>
                                  <w:sz w:val="16"/>
                                </w:rPr>
                                <w:t>of</w:t>
                              </w:r>
                              <w:r>
                                <w:rPr>
                                  <w:color w:val="FFFFFF"/>
                                  <w:spacing w:val="-11"/>
                                  <w:sz w:val="16"/>
                                </w:rPr>
                                <w:t> </w:t>
                              </w:r>
                              <w:r>
                                <w:rPr>
                                  <w:color w:val="FFFFFF"/>
                                  <w:sz w:val="16"/>
                                </w:rPr>
                                <w:t>Wayne</w:t>
                              </w:r>
                              <w:r>
                                <w:rPr>
                                  <w:color w:val="FFFFFF"/>
                                  <w:spacing w:val="-11"/>
                                  <w:sz w:val="16"/>
                                </w:rPr>
                                <w:t> </w:t>
                              </w:r>
                              <w:r>
                                <w:rPr>
                                  <w:color w:val="FFFFFF"/>
                                  <w:sz w:val="16"/>
                                </w:rPr>
                                <w:t>County</w:t>
                              </w:r>
                              <w:r>
                                <w:rPr>
                                  <w:color w:val="FFFFFF"/>
                                  <w:spacing w:val="-11"/>
                                  <w:sz w:val="16"/>
                                </w:rPr>
                                <w:t> </w:t>
                              </w:r>
                              <w:r>
                                <w:rPr>
                                  <w:color w:val="FFFFFF"/>
                                  <w:sz w:val="16"/>
                                </w:rPr>
                                <w:t>Tourism</w:t>
                              </w:r>
                            </w:p>
                          </w:txbxContent>
                        </wps:txbx>
                        <wps:bodyPr wrap="square" lIns="0" tIns="0" rIns="0" bIns="0" rtlCol="0">
                          <a:noAutofit/>
                        </wps:bodyPr>
                      </wps:wsp>
                    </wpg:wgp>
                  </a:graphicData>
                </a:graphic>
              </wp:anchor>
            </w:drawing>
          </mc:Choice>
          <mc:Fallback>
            <w:pict>
              <v:group style="position:absolute;margin-left:0pt;margin-top:73.291351pt;width:613.1pt;height:303.850pt;mso-position-horizontal-relative:page;mso-position-vertical-relative:paragraph;z-index:15880192" id="docshapegroup1170" coordorigin="0,1466" coordsize="12262,6077">
                <v:shape style="position:absolute;left:0;top:6927;width:895;height:291" type="#_x0000_t75" id="docshape1171" stroked="false">
                  <v:imagedata r:id="rId39" o:title=""/>
                </v:shape>
                <v:shape style="position:absolute;left:0;top:1465;width:12262;height:6077" type="#_x0000_t75" id="docshape1172" stroked="false">
                  <v:imagedata r:id="rId211" o:title=""/>
                </v:shape>
                <v:shape style="position:absolute;left:1123;top:6813;width:2550;height:399" type="#_x0000_t202" id="docshape1173" filled="false" stroked="false">
                  <v:textbox inset="0,0,0,0">
                    <w:txbxContent>
                      <w:p>
                        <w:pPr>
                          <w:spacing w:line="235" w:lineRule="auto" w:before="13"/>
                          <w:ind w:left="0" w:right="0" w:firstLine="0"/>
                          <w:jc w:val="left"/>
                          <w:rPr>
                            <w:sz w:val="16"/>
                          </w:rPr>
                        </w:pPr>
                        <w:r>
                          <w:rPr>
                            <w:color w:val="FFFFFF"/>
                            <w:sz w:val="16"/>
                          </w:rPr>
                          <w:t>Chimney Bluffs, Wayne County Courtesy</w:t>
                        </w:r>
                        <w:r>
                          <w:rPr>
                            <w:color w:val="FFFFFF"/>
                            <w:spacing w:val="-11"/>
                            <w:sz w:val="16"/>
                          </w:rPr>
                          <w:t> </w:t>
                        </w:r>
                        <w:r>
                          <w:rPr>
                            <w:color w:val="FFFFFF"/>
                            <w:sz w:val="16"/>
                          </w:rPr>
                          <w:t>of</w:t>
                        </w:r>
                        <w:r>
                          <w:rPr>
                            <w:color w:val="FFFFFF"/>
                            <w:spacing w:val="-11"/>
                            <w:sz w:val="16"/>
                          </w:rPr>
                          <w:t> </w:t>
                        </w:r>
                        <w:r>
                          <w:rPr>
                            <w:color w:val="FFFFFF"/>
                            <w:sz w:val="16"/>
                          </w:rPr>
                          <w:t>Wayne</w:t>
                        </w:r>
                        <w:r>
                          <w:rPr>
                            <w:color w:val="FFFFFF"/>
                            <w:spacing w:val="-11"/>
                            <w:sz w:val="16"/>
                          </w:rPr>
                          <w:t> </w:t>
                        </w:r>
                        <w:r>
                          <w:rPr>
                            <w:color w:val="FFFFFF"/>
                            <w:sz w:val="16"/>
                          </w:rPr>
                          <w:t>County</w:t>
                        </w:r>
                        <w:r>
                          <w:rPr>
                            <w:color w:val="FFFFFF"/>
                            <w:spacing w:val="-11"/>
                            <w:sz w:val="16"/>
                          </w:rPr>
                          <w:t> </w:t>
                        </w:r>
                        <w:r>
                          <w:rPr>
                            <w:color w:val="FFFFFF"/>
                            <w:sz w:val="16"/>
                          </w:rPr>
                          <w:t>Tourism</w:t>
                        </w:r>
                      </w:p>
                    </w:txbxContent>
                  </v:textbox>
                  <w10:wrap type="none"/>
                </v:shape>
                <w10:wrap type="none"/>
              </v:group>
            </w:pict>
          </mc:Fallback>
        </mc:AlternateContent>
      </w:r>
      <w:r>
        <w:rPr>
          <w:color w:val="105C84"/>
        </w:rPr>
        <w:t>Approximately 37% of adults in Wayne County are obese, which affects more than 24,450 adults and 990 children. Long-term health complications of obesity include increased risk for development of</w:t>
      </w:r>
      <w:r>
        <w:rPr>
          <w:color w:val="105C84"/>
          <w:spacing w:val="80"/>
        </w:rPr>
        <w:t> </w:t>
      </w:r>
      <w:r>
        <w:rPr>
          <w:color w:val="105C84"/>
        </w:rPr>
        <w:t>diabetes,</w:t>
      </w:r>
      <w:r>
        <w:rPr>
          <w:color w:val="105C84"/>
          <w:spacing w:val="28"/>
        </w:rPr>
        <w:t> </w:t>
      </w:r>
      <w:r>
        <w:rPr>
          <w:color w:val="105C84"/>
        </w:rPr>
        <w:t>hypertension,</w:t>
      </w:r>
      <w:r>
        <w:rPr>
          <w:color w:val="105C84"/>
          <w:spacing w:val="28"/>
        </w:rPr>
        <w:t> </w:t>
      </w:r>
      <w:r>
        <w:rPr>
          <w:color w:val="105C84"/>
        </w:rPr>
        <w:t>and</w:t>
      </w:r>
      <w:r>
        <w:rPr>
          <w:color w:val="105C84"/>
          <w:spacing w:val="28"/>
        </w:rPr>
        <w:t> </w:t>
      </w:r>
      <w:r>
        <w:rPr>
          <w:color w:val="105C84"/>
        </w:rPr>
        <w:t>premature</w:t>
      </w:r>
      <w:r>
        <w:rPr>
          <w:color w:val="105C84"/>
          <w:spacing w:val="28"/>
        </w:rPr>
        <w:t> </w:t>
      </w:r>
      <w:r>
        <w:rPr>
          <w:color w:val="105C84"/>
        </w:rPr>
        <w:t>mortality</w:t>
      </w:r>
      <w:r>
        <w:rPr>
          <w:color w:val="105C84"/>
          <w:spacing w:val="28"/>
        </w:rPr>
        <w:t> </w:t>
      </w:r>
      <w:r>
        <w:rPr>
          <w:color w:val="105C84"/>
        </w:rPr>
        <w:t>due</w:t>
      </w:r>
      <w:r>
        <w:rPr>
          <w:color w:val="105C84"/>
          <w:spacing w:val="28"/>
        </w:rPr>
        <w:t> </w:t>
      </w:r>
      <w:r>
        <w:rPr>
          <w:color w:val="105C84"/>
        </w:rPr>
        <w:t>to</w:t>
      </w:r>
      <w:r>
        <w:rPr>
          <w:color w:val="105C84"/>
          <w:spacing w:val="28"/>
        </w:rPr>
        <w:t> </w:t>
      </w:r>
      <w:r>
        <w:rPr>
          <w:color w:val="105C84"/>
        </w:rPr>
        <w:t>related</w:t>
      </w:r>
      <w:r>
        <w:rPr>
          <w:color w:val="105C84"/>
          <w:spacing w:val="28"/>
        </w:rPr>
        <w:t> </w:t>
      </w:r>
      <w:r>
        <w:rPr>
          <w:color w:val="105C84"/>
        </w:rPr>
        <w:t>conditions.</w:t>
      </w:r>
      <w:r>
        <w:rPr>
          <w:color w:val="105C84"/>
          <w:spacing w:val="28"/>
        </w:rPr>
        <w:t> </w:t>
      </w:r>
      <w:r>
        <w:rPr>
          <w:color w:val="105C84"/>
        </w:rPr>
        <w:t>Regionally,</w:t>
      </w:r>
      <w:r>
        <w:rPr>
          <w:color w:val="105C84"/>
          <w:spacing w:val="28"/>
        </w:rPr>
        <w:t> </w:t>
      </w:r>
      <w:r>
        <w:rPr>
          <w:color w:val="105C84"/>
        </w:rPr>
        <w:t>respondents to</w:t>
      </w:r>
      <w:r>
        <w:rPr>
          <w:color w:val="105C84"/>
          <w:spacing w:val="30"/>
        </w:rPr>
        <w:t> </w:t>
      </w:r>
      <w:r>
        <w:rPr>
          <w:i/>
          <w:color w:val="105C84"/>
        </w:rPr>
        <w:t>My</w:t>
      </w:r>
      <w:r>
        <w:rPr>
          <w:i/>
          <w:color w:val="105C84"/>
          <w:spacing w:val="30"/>
        </w:rPr>
        <w:t> </w:t>
      </w:r>
      <w:r>
        <w:rPr>
          <w:i/>
          <w:color w:val="105C84"/>
        </w:rPr>
        <w:t>Health</w:t>
      </w:r>
      <w:r>
        <w:rPr>
          <w:i/>
          <w:color w:val="105C84"/>
          <w:spacing w:val="30"/>
        </w:rPr>
        <w:t> </w:t>
      </w:r>
      <w:r>
        <w:rPr>
          <w:i/>
          <w:color w:val="105C84"/>
        </w:rPr>
        <w:t>Story</w:t>
      </w:r>
      <w:r>
        <w:rPr>
          <w:i/>
          <w:color w:val="105C84"/>
          <w:spacing w:val="30"/>
        </w:rPr>
        <w:t> </w:t>
      </w:r>
      <w:r>
        <w:rPr>
          <w:i/>
          <w:color w:val="105C84"/>
        </w:rPr>
        <w:t>2018</w:t>
      </w:r>
      <w:r>
        <w:rPr>
          <w:i/>
          <w:color w:val="105C84"/>
          <w:spacing w:val="30"/>
        </w:rPr>
        <w:t> </w:t>
      </w:r>
      <w:r>
        <w:rPr>
          <w:color w:val="105C84"/>
        </w:rPr>
        <w:t>indicated</w:t>
      </w:r>
      <w:r>
        <w:rPr>
          <w:color w:val="105C84"/>
          <w:spacing w:val="30"/>
        </w:rPr>
        <w:t> </w:t>
      </w:r>
      <w:r>
        <w:rPr>
          <w:color w:val="105C84"/>
        </w:rPr>
        <w:t>that</w:t>
      </w:r>
      <w:r>
        <w:rPr>
          <w:color w:val="105C84"/>
          <w:spacing w:val="30"/>
        </w:rPr>
        <w:t> </w:t>
      </w:r>
      <w:r>
        <w:rPr>
          <w:color w:val="105C84"/>
        </w:rPr>
        <w:t>better</w:t>
      </w:r>
      <w:r>
        <w:rPr>
          <w:color w:val="105C84"/>
          <w:spacing w:val="30"/>
        </w:rPr>
        <w:t> </w:t>
      </w:r>
      <w:r>
        <w:rPr>
          <w:color w:val="105C84"/>
        </w:rPr>
        <w:t>diet</w:t>
      </w:r>
      <w:r>
        <w:rPr>
          <w:color w:val="105C84"/>
          <w:spacing w:val="30"/>
        </w:rPr>
        <w:t> </w:t>
      </w:r>
      <w:r>
        <w:rPr>
          <w:color w:val="105C84"/>
        </w:rPr>
        <w:t>and</w:t>
      </w:r>
      <w:r>
        <w:rPr>
          <w:color w:val="105C84"/>
          <w:spacing w:val="30"/>
        </w:rPr>
        <w:t> </w:t>
      </w:r>
      <w:r>
        <w:rPr>
          <w:color w:val="105C84"/>
        </w:rPr>
        <w:t>nutrition</w:t>
      </w:r>
      <w:r>
        <w:rPr>
          <w:color w:val="105C84"/>
          <w:spacing w:val="30"/>
        </w:rPr>
        <w:t> </w:t>
      </w:r>
      <w:r>
        <w:rPr>
          <w:color w:val="105C84"/>
        </w:rPr>
        <w:t>and</w:t>
      </w:r>
      <w:r>
        <w:rPr>
          <w:color w:val="105C84"/>
          <w:spacing w:val="30"/>
        </w:rPr>
        <w:t> </w:t>
      </w:r>
      <w:r>
        <w:rPr>
          <w:color w:val="105C84"/>
        </w:rPr>
        <w:t>physical</w:t>
      </w:r>
      <w:r>
        <w:rPr>
          <w:color w:val="105C84"/>
          <w:spacing w:val="30"/>
        </w:rPr>
        <w:t> </w:t>
      </w:r>
      <w:r>
        <w:rPr>
          <w:color w:val="105C84"/>
        </w:rPr>
        <w:t>activity</w:t>
      </w:r>
      <w:r>
        <w:rPr>
          <w:color w:val="105C84"/>
          <w:spacing w:val="30"/>
        </w:rPr>
        <w:t> </w:t>
      </w:r>
      <w:r>
        <w:rPr>
          <w:color w:val="105C84"/>
        </w:rPr>
        <w:t>habits</w:t>
      </w:r>
      <w:r>
        <w:rPr>
          <w:color w:val="105C84"/>
          <w:spacing w:val="30"/>
        </w:rPr>
        <w:t> </w:t>
      </w:r>
      <w:r>
        <w:rPr>
          <w:color w:val="105C84"/>
        </w:rPr>
        <w:t>would help them manage their weight better.</w:t>
      </w:r>
    </w:p>
    <w:p>
      <w:pPr>
        <w:pStyle w:val="BodyText"/>
        <w:spacing w:line="247" w:lineRule="auto" w:before="178"/>
        <w:ind w:left="1080" w:right="1121"/>
      </w:pPr>
      <w:r>
        <w:rPr>
          <w:color w:val="105C84"/>
        </w:rPr>
        <w:t>In terms of nutrition, ease of access to healthy foods is an important factor in a person’s ability to adopt healthy eating behaviors. According to data from the 2013-14 Behavioral Risk Factor</w:t>
      </w:r>
    </w:p>
    <w:p>
      <w:pPr>
        <w:pStyle w:val="BodyText"/>
        <w:spacing w:line="247" w:lineRule="auto"/>
        <w:ind w:left="1080" w:right="371"/>
      </w:pPr>
      <w:r>
        <w:rPr>
          <w:color w:val="105C84"/>
        </w:rPr>
        <w:t>Surveillance</w:t>
      </w:r>
      <w:r>
        <w:rPr>
          <w:color w:val="105C84"/>
          <w:spacing w:val="28"/>
        </w:rPr>
        <w:t> </w:t>
      </w:r>
      <w:r>
        <w:rPr>
          <w:color w:val="105C84"/>
        </w:rPr>
        <w:t>System,</w:t>
      </w:r>
      <w:r>
        <w:rPr>
          <w:color w:val="105C84"/>
          <w:spacing w:val="28"/>
        </w:rPr>
        <w:t> </w:t>
      </w:r>
      <w:r>
        <w:rPr>
          <w:color w:val="105C84"/>
        </w:rPr>
        <w:t>over</w:t>
      </w:r>
      <w:r>
        <w:rPr>
          <w:color w:val="105C84"/>
          <w:spacing w:val="28"/>
        </w:rPr>
        <w:t> </w:t>
      </w:r>
      <w:r>
        <w:rPr>
          <w:color w:val="105C84"/>
        </w:rPr>
        <w:t>21%</w:t>
      </w:r>
      <w:r>
        <w:rPr>
          <w:color w:val="105C84"/>
          <w:spacing w:val="28"/>
        </w:rPr>
        <w:t> </w:t>
      </w:r>
      <w:r>
        <w:rPr>
          <w:color w:val="105C84"/>
        </w:rPr>
        <w:t>of</w:t>
      </w:r>
      <w:r>
        <w:rPr>
          <w:color w:val="105C84"/>
          <w:spacing w:val="28"/>
        </w:rPr>
        <w:t> </w:t>
      </w:r>
      <w:r>
        <w:rPr>
          <w:color w:val="105C84"/>
        </w:rPr>
        <w:t>Wayne</w:t>
      </w:r>
      <w:r>
        <w:rPr>
          <w:color w:val="105C84"/>
          <w:spacing w:val="28"/>
        </w:rPr>
        <w:t> </w:t>
      </w:r>
      <w:r>
        <w:rPr>
          <w:color w:val="105C84"/>
        </w:rPr>
        <w:t>County’s</w:t>
      </w:r>
      <w:r>
        <w:rPr>
          <w:color w:val="105C84"/>
          <w:spacing w:val="28"/>
        </w:rPr>
        <w:t> </w:t>
      </w:r>
      <w:r>
        <w:rPr>
          <w:color w:val="105C84"/>
        </w:rPr>
        <w:t>population</w:t>
      </w:r>
      <w:r>
        <w:rPr>
          <w:color w:val="105C84"/>
          <w:spacing w:val="28"/>
        </w:rPr>
        <w:t> </w:t>
      </w:r>
      <w:r>
        <w:rPr>
          <w:color w:val="105C84"/>
        </w:rPr>
        <w:t>reported</w:t>
      </w:r>
      <w:r>
        <w:rPr>
          <w:color w:val="105C84"/>
          <w:spacing w:val="28"/>
        </w:rPr>
        <w:t> </w:t>
      </w:r>
      <w:r>
        <w:rPr>
          <w:color w:val="105C84"/>
        </w:rPr>
        <w:t>experiencing</w:t>
      </w:r>
      <w:r>
        <w:rPr>
          <w:color w:val="105C84"/>
          <w:spacing w:val="28"/>
        </w:rPr>
        <w:t> </w:t>
      </w:r>
      <w:r>
        <w:rPr>
          <w:color w:val="105C84"/>
        </w:rPr>
        <w:t>food</w:t>
      </w:r>
      <w:r>
        <w:rPr>
          <w:color w:val="105C84"/>
          <w:spacing w:val="28"/>
        </w:rPr>
        <w:t> </w:t>
      </w:r>
      <w:r>
        <w:rPr>
          <w:color w:val="105C84"/>
        </w:rPr>
        <w:t>insecurity</w:t>
      </w:r>
      <w:r>
        <w:rPr>
          <w:color w:val="105C84"/>
        </w:rPr>
        <w:t> in the past 12 months. Additionally, 16% of Wayne County’s </w:t>
      </w:r>
      <w:r>
        <w:rPr>
          <w:i/>
          <w:color w:val="105C84"/>
        </w:rPr>
        <w:t>My Health Story 2018 </w:t>
      </w:r>
      <w:r>
        <w:rPr>
          <w:color w:val="105C84"/>
        </w:rPr>
        <w:t>survey respondents reported they are always stressed about having enough money to afford healthy food. Map 13 shows the food insecurity rates by census tract for Wayne County. Higher rates of food insecurity are present in eastern Wayne County including Lyons and Newark.</w:t>
      </w:r>
    </w:p>
    <w:p>
      <w:pPr>
        <w:pStyle w:val="BodyText"/>
        <w:spacing w:after="0" w:line="247" w:lineRule="auto"/>
        <w:sectPr>
          <w:type w:val="continuous"/>
          <w:pgSz w:w="24480" w:h="15840" w:orient="landscape"/>
          <w:pgMar w:header="0" w:footer="0" w:top="0" w:bottom="280" w:left="0" w:right="720"/>
          <w:cols w:num="2" w:equalWidth="0">
            <w:col w:w="11169" w:space="1071"/>
            <w:col w:w="11520"/>
          </w:cols>
        </w:sectPr>
      </w:pPr>
    </w:p>
    <w:p>
      <w:pPr>
        <w:pStyle w:val="BodyText"/>
        <w:rPr>
          <w:sz w:val="26"/>
        </w:rPr>
      </w:pPr>
      <w:r>
        <w:rPr>
          <w:sz w:val="26"/>
        </w:rPr>
        <w:drawing>
          <wp:anchor distT="0" distB="0" distL="0" distR="0" allowOverlap="1" layoutInCell="1" locked="0" behindDoc="0" simplePos="0" relativeHeight="15879680">
            <wp:simplePos x="0" y="0"/>
            <wp:positionH relativeFrom="page">
              <wp:posOffset>14981556</wp:posOffset>
            </wp:positionH>
            <wp:positionV relativeFrom="page">
              <wp:posOffset>9668103</wp:posOffset>
            </wp:positionV>
            <wp:extent cx="563245" cy="184683"/>
            <wp:effectExtent l="0" t="0" r="0" b="0"/>
            <wp:wrapNone/>
            <wp:docPr id="1484" name="Image 1484"/>
            <wp:cNvGraphicFramePr>
              <a:graphicFrameLocks/>
            </wp:cNvGraphicFramePr>
            <a:graphic>
              <a:graphicData uri="http://schemas.openxmlformats.org/drawingml/2006/picture">
                <pic:pic>
                  <pic:nvPicPr>
                    <pic:cNvPr id="1484" name="Image 1484"/>
                    <pic:cNvPicPr/>
                  </pic:nvPicPr>
                  <pic:blipFill>
                    <a:blip r:embed="rId38" cstate="print"/>
                    <a:stretch>
                      <a:fillRect/>
                    </a:stretch>
                  </pic:blipFill>
                  <pic:spPr>
                    <a:xfrm>
                      <a:off x="0" y="0"/>
                      <a:ext cx="563245" cy="184683"/>
                    </a:xfrm>
                    <a:prstGeom prst="rect">
                      <a:avLst/>
                    </a:prstGeom>
                  </pic:spPr>
                </pic:pic>
              </a:graphicData>
            </a:graphic>
          </wp:anchor>
        </w:drawing>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63"/>
        <w:rPr>
          <w:sz w:val="26"/>
        </w:rPr>
      </w:pPr>
    </w:p>
    <w:p>
      <w:pPr>
        <w:pStyle w:val="Heading6"/>
        <w:ind w:left="0" w:right="302"/>
        <w:jc w:val="right"/>
      </w:pPr>
      <w:r>
        <w:rPr/>
        <mc:AlternateContent>
          <mc:Choice Requires="wps">
            <w:drawing>
              <wp:anchor distT="0" distB="0" distL="0" distR="0" allowOverlap="1" layoutInCell="1" locked="0" behindDoc="1" simplePos="0" relativeHeight="475105792">
                <wp:simplePos x="0" y="0"/>
                <wp:positionH relativeFrom="page">
                  <wp:posOffset>672186</wp:posOffset>
                </wp:positionH>
                <wp:positionV relativeFrom="paragraph">
                  <wp:posOffset>-9847</wp:posOffset>
                </wp:positionV>
                <wp:extent cx="195580" cy="226060"/>
                <wp:effectExtent l="0" t="0" r="0" b="0"/>
                <wp:wrapNone/>
                <wp:docPr id="1485" name="Textbox 1485"/>
                <wp:cNvGraphicFramePr>
                  <a:graphicFrameLocks/>
                </wp:cNvGraphicFramePr>
                <a:graphic>
                  <a:graphicData uri="http://schemas.microsoft.com/office/word/2010/wordprocessingShape">
                    <wps:wsp>
                      <wps:cNvPr id="1485" name="Textbox 1485"/>
                      <wps:cNvSpPr txBox="1"/>
                      <wps:spPr>
                        <a:xfrm>
                          <a:off x="0" y="0"/>
                          <a:ext cx="195580" cy="226060"/>
                        </a:xfrm>
                        <a:prstGeom prst="rect">
                          <a:avLst/>
                        </a:prstGeom>
                      </wps:spPr>
                      <wps:txbx>
                        <w:txbxContent>
                          <w:p>
                            <w:pPr>
                              <w:spacing w:before="16"/>
                              <w:ind w:left="0" w:right="0" w:firstLine="0"/>
                              <w:jc w:val="left"/>
                              <w:rPr>
                                <w:b/>
                                <w:sz w:val="26"/>
                              </w:rPr>
                            </w:pPr>
                            <w:r>
                              <w:rPr>
                                <w:b/>
                                <w:color w:val="939598"/>
                                <w:spacing w:val="-5"/>
                                <w:w w:val="105"/>
                                <w:sz w:val="26"/>
                              </w:rPr>
                              <w:t>93</w:t>
                            </w:r>
                          </w:p>
                        </w:txbxContent>
                      </wps:txbx>
                      <wps:bodyPr wrap="square" lIns="0" tIns="0" rIns="0" bIns="0" rtlCol="0">
                        <a:noAutofit/>
                      </wps:bodyPr>
                    </wps:wsp>
                  </a:graphicData>
                </a:graphic>
              </wp:anchor>
            </w:drawing>
          </mc:Choice>
          <mc:Fallback>
            <w:pict>
              <v:shape style="position:absolute;margin-left:52.928101pt;margin-top:-.77541pt;width:15.4pt;height:17.8pt;mso-position-horizontal-relative:page;mso-position-vertical-relative:paragraph;z-index:-28210688" type="#_x0000_t202" id="docshape1174" filled="false" stroked="false">
                <v:textbox inset="0,0,0,0">
                  <w:txbxContent>
                    <w:p>
                      <w:pPr>
                        <w:spacing w:before="16"/>
                        <w:ind w:left="0" w:right="0" w:firstLine="0"/>
                        <w:jc w:val="left"/>
                        <w:rPr>
                          <w:b/>
                          <w:sz w:val="26"/>
                        </w:rPr>
                      </w:pPr>
                      <w:r>
                        <w:rPr>
                          <w:b/>
                          <w:color w:val="939598"/>
                          <w:spacing w:val="-5"/>
                          <w:w w:val="105"/>
                          <w:sz w:val="26"/>
                        </w:rPr>
                        <w:t>93</w:t>
                      </w:r>
                    </w:p>
                  </w:txbxContent>
                </v:textbox>
                <w10:wrap type="none"/>
              </v:shape>
            </w:pict>
          </mc:Fallback>
        </mc:AlternateContent>
      </w:r>
      <w:r>
        <w:rPr>
          <w:color w:val="939598"/>
          <w:spacing w:val="-5"/>
          <w:w w:val="105"/>
        </w:rPr>
        <w:t>94</w:t>
      </w:r>
    </w:p>
    <w:p>
      <w:pPr>
        <w:pStyle w:val="Heading6"/>
        <w:spacing w:after="0"/>
        <w:jc w:val="right"/>
        <w:sectPr>
          <w:type w:val="continuous"/>
          <w:pgSz w:w="24480" w:h="15840" w:orient="landscape"/>
          <w:pgMar w:header="0" w:footer="0" w:top="0" w:bottom="280" w:left="0" w:right="720"/>
        </w:sectPr>
      </w:pPr>
    </w:p>
    <w:p>
      <w:pPr>
        <w:pStyle w:val="BodyText"/>
        <w:rPr>
          <w:b/>
          <w:sz w:val="20"/>
        </w:rPr>
      </w:pPr>
    </w:p>
    <w:p>
      <w:pPr>
        <w:pStyle w:val="BodyText"/>
        <w:spacing w:before="16"/>
        <w:rPr>
          <w:b/>
          <w:sz w:val="20"/>
        </w:rPr>
      </w:pPr>
    </w:p>
    <w:p>
      <w:pPr>
        <w:pStyle w:val="BodyText"/>
        <w:spacing w:after="0"/>
        <w:rPr>
          <w:b/>
          <w:sz w:val="20"/>
        </w:rPr>
        <w:sectPr>
          <w:pgSz w:w="24480" w:h="15840" w:orient="landscape"/>
          <w:pgMar w:header="0" w:footer="0" w:top="860" w:bottom="0" w:left="0" w:right="720"/>
        </w:sectPr>
      </w:pPr>
    </w:p>
    <w:p>
      <w:pPr>
        <w:pStyle w:val="Heading6"/>
        <w:spacing w:before="116"/>
      </w:pPr>
      <w:r>
        <w:rPr/>
        <mc:AlternateContent>
          <mc:Choice Requires="wps">
            <w:drawing>
              <wp:anchor distT="0" distB="0" distL="0" distR="0" allowOverlap="1" layoutInCell="1" locked="0" behindDoc="1" simplePos="0" relativeHeight="475107328">
                <wp:simplePos x="0" y="0"/>
                <wp:positionH relativeFrom="page">
                  <wp:posOffset>14698495</wp:posOffset>
                </wp:positionH>
                <wp:positionV relativeFrom="page">
                  <wp:posOffset>9656064</wp:posOffset>
                </wp:positionV>
                <wp:extent cx="195580" cy="226060"/>
                <wp:effectExtent l="0" t="0" r="0" b="0"/>
                <wp:wrapNone/>
                <wp:docPr id="1486" name="Textbox 1486"/>
                <wp:cNvGraphicFramePr>
                  <a:graphicFrameLocks/>
                </wp:cNvGraphicFramePr>
                <a:graphic>
                  <a:graphicData uri="http://schemas.microsoft.com/office/word/2010/wordprocessingShape">
                    <wps:wsp>
                      <wps:cNvPr id="1486" name="Textbox 1486"/>
                      <wps:cNvSpPr txBox="1"/>
                      <wps:spPr>
                        <a:xfrm>
                          <a:off x="0" y="0"/>
                          <a:ext cx="195580" cy="226060"/>
                        </a:xfrm>
                        <a:prstGeom prst="rect">
                          <a:avLst/>
                        </a:prstGeom>
                      </wps:spPr>
                      <wps:txbx>
                        <w:txbxContent>
                          <w:p>
                            <w:pPr>
                              <w:spacing w:before="16"/>
                              <w:ind w:left="0" w:right="0" w:firstLine="0"/>
                              <w:jc w:val="left"/>
                              <w:rPr>
                                <w:b/>
                                <w:sz w:val="26"/>
                              </w:rPr>
                            </w:pPr>
                            <w:r>
                              <w:rPr>
                                <w:b/>
                                <w:color w:val="939598"/>
                                <w:spacing w:val="-5"/>
                                <w:w w:val="105"/>
                                <w:sz w:val="26"/>
                              </w:rPr>
                              <w:t>96</w:t>
                            </w:r>
                          </w:p>
                        </w:txbxContent>
                      </wps:txbx>
                      <wps:bodyPr wrap="square" lIns="0" tIns="0" rIns="0" bIns="0" rtlCol="0">
                        <a:noAutofit/>
                      </wps:bodyPr>
                    </wps:wsp>
                  </a:graphicData>
                </a:graphic>
              </wp:anchor>
            </w:drawing>
          </mc:Choice>
          <mc:Fallback>
            <w:pict>
              <v:shape style="position:absolute;margin-left:1157.361816pt;margin-top:760.320007pt;width:15.4pt;height:17.8pt;mso-position-horizontal-relative:page;mso-position-vertical-relative:page;z-index:-28209152" type="#_x0000_t202" id="docshape1175" filled="false" stroked="false">
                <v:textbox inset="0,0,0,0">
                  <w:txbxContent>
                    <w:p>
                      <w:pPr>
                        <w:spacing w:before="16"/>
                        <w:ind w:left="0" w:right="0" w:firstLine="0"/>
                        <w:jc w:val="left"/>
                        <w:rPr>
                          <w:b/>
                          <w:sz w:val="26"/>
                        </w:rPr>
                      </w:pPr>
                      <w:r>
                        <w:rPr>
                          <w:b/>
                          <w:color w:val="939598"/>
                          <w:spacing w:val="-5"/>
                          <w:w w:val="105"/>
                          <w:sz w:val="26"/>
                        </w:rPr>
                        <w:t>96</w:t>
                      </w:r>
                    </w:p>
                  </w:txbxContent>
                </v:textbox>
                <w10:wrap type="none"/>
              </v:shape>
            </w:pict>
          </mc:Fallback>
        </mc:AlternateContent>
      </w:r>
      <w:r>
        <w:rPr/>
        <mc:AlternateContent>
          <mc:Choice Requires="wps">
            <w:drawing>
              <wp:anchor distT="0" distB="0" distL="0" distR="0" allowOverlap="1" layoutInCell="1" locked="0" behindDoc="0" simplePos="0" relativeHeight="15881216">
                <wp:simplePos x="0" y="0"/>
                <wp:positionH relativeFrom="page">
                  <wp:posOffset>7772400</wp:posOffset>
                </wp:positionH>
                <wp:positionV relativeFrom="page">
                  <wp:posOffset>7168895</wp:posOffset>
                </wp:positionV>
                <wp:extent cx="7772400" cy="2889885"/>
                <wp:effectExtent l="0" t="0" r="0" b="0"/>
                <wp:wrapNone/>
                <wp:docPr id="1487" name="Group 1487"/>
                <wp:cNvGraphicFramePr>
                  <a:graphicFrameLocks/>
                </wp:cNvGraphicFramePr>
                <a:graphic>
                  <a:graphicData uri="http://schemas.microsoft.com/office/word/2010/wordprocessingGroup">
                    <wpg:wgp>
                      <wpg:cNvPr id="1487" name="Group 1487"/>
                      <wpg:cNvGrpSpPr/>
                      <wpg:grpSpPr>
                        <a:xfrm>
                          <a:off x="0" y="0"/>
                          <a:ext cx="7772400" cy="2889885"/>
                          <a:chExt cx="7772400" cy="2889885"/>
                        </a:xfrm>
                      </wpg:grpSpPr>
                      <pic:pic>
                        <pic:nvPicPr>
                          <pic:cNvPr id="1488" name="Image 1488"/>
                          <pic:cNvPicPr/>
                        </pic:nvPicPr>
                        <pic:blipFill>
                          <a:blip r:embed="rId38" cstate="print"/>
                          <a:stretch>
                            <a:fillRect/>
                          </a:stretch>
                        </pic:blipFill>
                        <pic:spPr>
                          <a:xfrm>
                            <a:off x="7209156" y="2499207"/>
                            <a:ext cx="563245" cy="184683"/>
                          </a:xfrm>
                          <a:prstGeom prst="rect">
                            <a:avLst/>
                          </a:prstGeom>
                        </pic:spPr>
                      </pic:pic>
                      <pic:pic>
                        <pic:nvPicPr>
                          <pic:cNvPr id="1489" name="Image 1489"/>
                          <pic:cNvPicPr/>
                        </pic:nvPicPr>
                        <pic:blipFill>
                          <a:blip r:embed="rId212" cstate="print"/>
                          <a:stretch>
                            <a:fillRect/>
                          </a:stretch>
                        </pic:blipFill>
                        <pic:spPr>
                          <a:xfrm>
                            <a:off x="7112" y="0"/>
                            <a:ext cx="7765287" cy="2889504"/>
                          </a:xfrm>
                          <a:prstGeom prst="rect">
                            <a:avLst/>
                          </a:prstGeom>
                        </pic:spPr>
                      </pic:pic>
                      <wps:wsp>
                        <wps:cNvPr id="1490" name="Graphic 1490"/>
                        <wps:cNvSpPr/>
                        <wps:spPr>
                          <a:xfrm>
                            <a:off x="0" y="2121395"/>
                            <a:ext cx="7772400" cy="768350"/>
                          </a:xfrm>
                          <a:custGeom>
                            <a:avLst/>
                            <a:gdLst/>
                            <a:ahLst/>
                            <a:cxnLst/>
                            <a:rect l="l" t="t" r="r" b="b"/>
                            <a:pathLst>
                              <a:path w="7772400" h="768350">
                                <a:moveTo>
                                  <a:pt x="7772400" y="0"/>
                                </a:moveTo>
                                <a:lnTo>
                                  <a:pt x="0" y="0"/>
                                </a:lnTo>
                                <a:lnTo>
                                  <a:pt x="0" y="768108"/>
                                </a:lnTo>
                                <a:lnTo>
                                  <a:pt x="7772400" y="768108"/>
                                </a:lnTo>
                                <a:lnTo>
                                  <a:pt x="7772400" y="0"/>
                                </a:lnTo>
                                <a:close/>
                              </a:path>
                            </a:pathLst>
                          </a:custGeom>
                          <a:solidFill>
                            <a:srgbClr val="000000">
                              <a:alpha val="54998"/>
                            </a:srgbClr>
                          </a:solidFill>
                        </wps:spPr>
                        <wps:bodyPr wrap="square" lIns="0" tIns="0" rIns="0" bIns="0" rtlCol="0">
                          <a:prstTxWarp prst="textNoShape">
                            <a:avLst/>
                          </a:prstTxWarp>
                          <a:noAutofit/>
                        </wps:bodyPr>
                      </wps:wsp>
                      <wps:wsp>
                        <wps:cNvPr id="1491" name="Textbox 1491"/>
                        <wps:cNvSpPr txBox="1"/>
                        <wps:spPr>
                          <a:xfrm>
                            <a:off x="694944" y="2420111"/>
                            <a:ext cx="1619250" cy="253365"/>
                          </a:xfrm>
                          <a:prstGeom prst="rect">
                            <a:avLst/>
                          </a:prstGeom>
                        </wps:spPr>
                        <wps:txbx>
                          <w:txbxContent>
                            <w:p>
                              <w:pPr>
                                <w:spacing w:line="235" w:lineRule="auto" w:before="13"/>
                                <w:ind w:left="0" w:right="0" w:firstLine="0"/>
                                <w:jc w:val="left"/>
                                <w:rPr>
                                  <w:sz w:val="16"/>
                                </w:rPr>
                              </w:pPr>
                              <w:r>
                                <w:rPr>
                                  <w:color w:val="FFFFFF"/>
                                  <w:sz w:val="16"/>
                                </w:rPr>
                                <w:t>Chimney Bluffs, Wayne County Courtesy</w:t>
                              </w:r>
                              <w:r>
                                <w:rPr>
                                  <w:color w:val="FFFFFF"/>
                                  <w:spacing w:val="-11"/>
                                  <w:sz w:val="16"/>
                                </w:rPr>
                                <w:t> </w:t>
                              </w:r>
                              <w:r>
                                <w:rPr>
                                  <w:color w:val="FFFFFF"/>
                                  <w:sz w:val="16"/>
                                </w:rPr>
                                <w:t>of</w:t>
                              </w:r>
                              <w:r>
                                <w:rPr>
                                  <w:color w:val="FFFFFF"/>
                                  <w:spacing w:val="-11"/>
                                  <w:sz w:val="16"/>
                                </w:rPr>
                                <w:t> </w:t>
                              </w:r>
                              <w:r>
                                <w:rPr>
                                  <w:color w:val="FFFFFF"/>
                                  <w:sz w:val="16"/>
                                </w:rPr>
                                <w:t>Wayne</w:t>
                              </w:r>
                              <w:r>
                                <w:rPr>
                                  <w:color w:val="FFFFFF"/>
                                  <w:spacing w:val="-11"/>
                                  <w:sz w:val="16"/>
                                </w:rPr>
                                <w:t> </w:t>
                              </w:r>
                              <w:r>
                                <w:rPr>
                                  <w:color w:val="FFFFFF"/>
                                  <w:sz w:val="16"/>
                                </w:rPr>
                                <w:t>County</w:t>
                              </w:r>
                              <w:r>
                                <w:rPr>
                                  <w:color w:val="FFFFFF"/>
                                  <w:spacing w:val="-11"/>
                                  <w:sz w:val="16"/>
                                </w:rPr>
                                <w:t> </w:t>
                              </w:r>
                              <w:r>
                                <w:rPr>
                                  <w:color w:val="FFFFFF"/>
                                  <w:sz w:val="16"/>
                                </w:rPr>
                                <w:t>Tourism</w:t>
                              </w:r>
                            </w:p>
                          </w:txbxContent>
                        </wps:txbx>
                        <wps:bodyPr wrap="square" lIns="0" tIns="0" rIns="0" bIns="0" rtlCol="0">
                          <a:noAutofit/>
                        </wps:bodyPr>
                      </wps:wsp>
                    </wpg:wgp>
                  </a:graphicData>
                </a:graphic>
              </wp:anchor>
            </w:drawing>
          </mc:Choice>
          <mc:Fallback>
            <w:pict>
              <v:group style="position:absolute;margin-left:612pt;margin-top:564.479980pt;width:612pt;height:227.55pt;mso-position-horizontal-relative:page;mso-position-vertical-relative:page;z-index:15881216" id="docshapegroup1176" coordorigin="12240,11290" coordsize="12240,4551">
                <v:shape style="position:absolute;left:23593;top:15225;width:887;height:291" type="#_x0000_t75" id="docshape1177" stroked="false">
                  <v:imagedata r:id="rId38" o:title=""/>
                </v:shape>
                <v:shape style="position:absolute;left:12251;top:11289;width:12229;height:4551" type="#_x0000_t75" id="docshape1178" stroked="false">
                  <v:imagedata r:id="rId212" o:title=""/>
                </v:shape>
                <v:rect style="position:absolute;left:12240;top:14630;width:12240;height:1210" id="docshape1179" filled="true" fillcolor="#000000" stroked="false">
                  <v:fill opacity="36044f" type="solid"/>
                </v:rect>
                <v:shape style="position:absolute;left:13334;top:15100;width:2550;height:399" type="#_x0000_t202" id="docshape1180" filled="false" stroked="false">
                  <v:textbox inset="0,0,0,0">
                    <w:txbxContent>
                      <w:p>
                        <w:pPr>
                          <w:spacing w:line="235" w:lineRule="auto" w:before="13"/>
                          <w:ind w:left="0" w:right="0" w:firstLine="0"/>
                          <w:jc w:val="left"/>
                          <w:rPr>
                            <w:sz w:val="16"/>
                          </w:rPr>
                        </w:pPr>
                        <w:r>
                          <w:rPr>
                            <w:color w:val="FFFFFF"/>
                            <w:sz w:val="16"/>
                          </w:rPr>
                          <w:t>Chimney Bluffs, Wayne County Courtesy</w:t>
                        </w:r>
                        <w:r>
                          <w:rPr>
                            <w:color w:val="FFFFFF"/>
                            <w:spacing w:val="-11"/>
                            <w:sz w:val="16"/>
                          </w:rPr>
                          <w:t> </w:t>
                        </w:r>
                        <w:r>
                          <w:rPr>
                            <w:color w:val="FFFFFF"/>
                            <w:sz w:val="16"/>
                          </w:rPr>
                          <w:t>of</w:t>
                        </w:r>
                        <w:r>
                          <w:rPr>
                            <w:color w:val="FFFFFF"/>
                            <w:spacing w:val="-11"/>
                            <w:sz w:val="16"/>
                          </w:rPr>
                          <w:t> </w:t>
                        </w:r>
                        <w:r>
                          <w:rPr>
                            <w:color w:val="FFFFFF"/>
                            <w:sz w:val="16"/>
                          </w:rPr>
                          <w:t>Wayne</w:t>
                        </w:r>
                        <w:r>
                          <w:rPr>
                            <w:color w:val="FFFFFF"/>
                            <w:spacing w:val="-11"/>
                            <w:sz w:val="16"/>
                          </w:rPr>
                          <w:t> </w:t>
                        </w:r>
                        <w:r>
                          <w:rPr>
                            <w:color w:val="FFFFFF"/>
                            <w:sz w:val="16"/>
                          </w:rPr>
                          <w:t>County</w:t>
                        </w:r>
                        <w:r>
                          <w:rPr>
                            <w:color w:val="FFFFFF"/>
                            <w:spacing w:val="-11"/>
                            <w:sz w:val="16"/>
                          </w:rPr>
                          <w:t> </w:t>
                        </w:r>
                        <w:r>
                          <w:rPr>
                            <w:color w:val="FFFFFF"/>
                            <w:sz w:val="16"/>
                          </w:rPr>
                          <w:t>Tourism</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82240">
                <wp:simplePos x="0" y="0"/>
                <wp:positionH relativeFrom="page">
                  <wp:posOffset>685800</wp:posOffset>
                </wp:positionH>
                <wp:positionV relativeFrom="paragraph">
                  <wp:posOffset>407745</wp:posOffset>
                </wp:positionV>
                <wp:extent cx="5572760" cy="3166110"/>
                <wp:effectExtent l="0" t="0" r="0" b="0"/>
                <wp:wrapNone/>
                <wp:docPr id="1492" name="Group 1492"/>
                <wp:cNvGraphicFramePr>
                  <a:graphicFrameLocks/>
                </wp:cNvGraphicFramePr>
                <a:graphic>
                  <a:graphicData uri="http://schemas.microsoft.com/office/word/2010/wordprocessingGroup">
                    <wpg:wgp>
                      <wpg:cNvPr id="1492" name="Group 1492"/>
                      <wpg:cNvGrpSpPr/>
                      <wpg:grpSpPr>
                        <a:xfrm>
                          <a:off x="0" y="0"/>
                          <a:ext cx="5572760" cy="3166110"/>
                          <a:chExt cx="5572760" cy="3166110"/>
                        </a:xfrm>
                      </wpg:grpSpPr>
                      <pic:pic>
                        <pic:nvPicPr>
                          <pic:cNvPr id="1493" name="Image 1493"/>
                          <pic:cNvPicPr/>
                        </pic:nvPicPr>
                        <pic:blipFill>
                          <a:blip r:embed="rId213" cstate="print"/>
                          <a:stretch>
                            <a:fillRect/>
                          </a:stretch>
                        </pic:blipFill>
                        <pic:spPr>
                          <a:xfrm>
                            <a:off x="81311" y="134160"/>
                            <a:ext cx="4480142" cy="3031460"/>
                          </a:xfrm>
                          <a:prstGeom prst="rect">
                            <a:avLst/>
                          </a:prstGeom>
                        </pic:spPr>
                      </pic:pic>
                      <wps:wsp>
                        <wps:cNvPr id="1494" name="Graphic 1494"/>
                        <wps:cNvSpPr/>
                        <wps:spPr>
                          <a:xfrm>
                            <a:off x="0" y="0"/>
                            <a:ext cx="5572760" cy="3163570"/>
                          </a:xfrm>
                          <a:custGeom>
                            <a:avLst/>
                            <a:gdLst/>
                            <a:ahLst/>
                            <a:cxnLst/>
                            <a:rect l="l" t="t" r="r" b="b"/>
                            <a:pathLst>
                              <a:path w="5572760" h="3163570">
                                <a:moveTo>
                                  <a:pt x="332778" y="0"/>
                                </a:moveTo>
                                <a:lnTo>
                                  <a:pt x="0" y="0"/>
                                </a:lnTo>
                                <a:lnTo>
                                  <a:pt x="0" y="919810"/>
                                </a:lnTo>
                                <a:lnTo>
                                  <a:pt x="332778" y="919810"/>
                                </a:lnTo>
                                <a:lnTo>
                                  <a:pt x="332778" y="0"/>
                                </a:lnTo>
                                <a:close/>
                              </a:path>
                              <a:path w="5572760" h="3163570">
                                <a:moveTo>
                                  <a:pt x="5572188" y="3163074"/>
                                </a:moveTo>
                                <a:lnTo>
                                  <a:pt x="5561952" y="2778506"/>
                                </a:lnTo>
                                <a:lnTo>
                                  <a:pt x="748538" y="3163074"/>
                                </a:lnTo>
                                <a:lnTo>
                                  <a:pt x="5572188" y="3163074"/>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54pt;margin-top:32.105953pt;width:438.8pt;height:249.3pt;mso-position-horizontal-relative:page;mso-position-vertical-relative:paragraph;z-index:15882240" id="docshapegroup1181" coordorigin="1080,642" coordsize="8776,4986">
                <v:shape style="position:absolute;left:1208;top:853;width:7056;height:4774" type="#_x0000_t75" id="docshape1182" stroked="false">
                  <v:imagedata r:id="rId213" o:title=""/>
                </v:shape>
                <v:shape style="position:absolute;left:1080;top:642;width:8776;height:4982" id="docshape1183" coordorigin="1080,642" coordsize="8776,4982" path="m1604,642l1080,642,1080,2091,1604,2091,1604,642xm9855,5623l9839,5018,2259,5623,9855,5623xe" filled="true" fillcolor="#ffffff"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882752">
                <wp:simplePos x="0" y="0"/>
                <wp:positionH relativeFrom="page">
                  <wp:posOffset>5556446</wp:posOffset>
                </wp:positionH>
                <wp:positionV relativeFrom="paragraph">
                  <wp:posOffset>555146</wp:posOffset>
                </wp:positionV>
                <wp:extent cx="1452880" cy="1791335"/>
                <wp:effectExtent l="0" t="0" r="0" b="0"/>
                <wp:wrapNone/>
                <wp:docPr id="1495" name="Group 1495"/>
                <wp:cNvGraphicFramePr>
                  <a:graphicFrameLocks/>
                </wp:cNvGraphicFramePr>
                <a:graphic>
                  <a:graphicData uri="http://schemas.microsoft.com/office/word/2010/wordprocessingGroup">
                    <wpg:wgp>
                      <wpg:cNvPr id="1495" name="Group 1495"/>
                      <wpg:cNvGrpSpPr/>
                      <wpg:grpSpPr>
                        <a:xfrm>
                          <a:off x="0" y="0"/>
                          <a:ext cx="1452880" cy="1791335"/>
                          <a:chExt cx="1452880" cy="1791335"/>
                        </a:xfrm>
                      </wpg:grpSpPr>
                      <wps:wsp>
                        <wps:cNvPr id="1496" name="Graphic 1496"/>
                        <wps:cNvSpPr/>
                        <wps:spPr>
                          <a:xfrm>
                            <a:off x="95218" y="1471061"/>
                            <a:ext cx="330835" cy="158750"/>
                          </a:xfrm>
                          <a:custGeom>
                            <a:avLst/>
                            <a:gdLst/>
                            <a:ahLst/>
                            <a:cxnLst/>
                            <a:rect l="l" t="t" r="r" b="b"/>
                            <a:pathLst>
                              <a:path w="330835" h="158750">
                                <a:moveTo>
                                  <a:pt x="330466" y="0"/>
                                </a:moveTo>
                                <a:lnTo>
                                  <a:pt x="0" y="0"/>
                                </a:lnTo>
                                <a:lnTo>
                                  <a:pt x="0" y="158457"/>
                                </a:lnTo>
                                <a:lnTo>
                                  <a:pt x="330466" y="158457"/>
                                </a:lnTo>
                                <a:lnTo>
                                  <a:pt x="330466" y="0"/>
                                </a:lnTo>
                                <a:close/>
                              </a:path>
                            </a:pathLst>
                          </a:custGeom>
                          <a:solidFill>
                            <a:srgbClr val="265B29"/>
                          </a:solidFill>
                        </wps:spPr>
                        <wps:bodyPr wrap="square" lIns="0" tIns="0" rIns="0" bIns="0" rtlCol="0">
                          <a:prstTxWarp prst="textNoShape">
                            <a:avLst/>
                          </a:prstTxWarp>
                          <a:noAutofit/>
                        </wps:bodyPr>
                      </wps:wsp>
                      <wps:wsp>
                        <wps:cNvPr id="1497" name="Graphic 1497"/>
                        <wps:cNvSpPr/>
                        <wps:spPr>
                          <a:xfrm>
                            <a:off x="95218" y="1258374"/>
                            <a:ext cx="330835" cy="158750"/>
                          </a:xfrm>
                          <a:custGeom>
                            <a:avLst/>
                            <a:gdLst/>
                            <a:ahLst/>
                            <a:cxnLst/>
                            <a:rect l="l" t="t" r="r" b="b"/>
                            <a:pathLst>
                              <a:path w="330835" h="158750">
                                <a:moveTo>
                                  <a:pt x="330466" y="0"/>
                                </a:moveTo>
                                <a:lnTo>
                                  <a:pt x="0" y="0"/>
                                </a:lnTo>
                                <a:lnTo>
                                  <a:pt x="0" y="158457"/>
                                </a:lnTo>
                                <a:lnTo>
                                  <a:pt x="330466" y="158457"/>
                                </a:lnTo>
                                <a:lnTo>
                                  <a:pt x="330466" y="0"/>
                                </a:lnTo>
                                <a:close/>
                              </a:path>
                            </a:pathLst>
                          </a:custGeom>
                          <a:solidFill>
                            <a:srgbClr val="559751"/>
                          </a:solidFill>
                        </wps:spPr>
                        <wps:bodyPr wrap="square" lIns="0" tIns="0" rIns="0" bIns="0" rtlCol="0">
                          <a:prstTxWarp prst="textNoShape">
                            <a:avLst/>
                          </a:prstTxWarp>
                          <a:noAutofit/>
                        </wps:bodyPr>
                      </wps:wsp>
                      <wps:wsp>
                        <wps:cNvPr id="1498" name="Graphic 1498"/>
                        <wps:cNvSpPr/>
                        <wps:spPr>
                          <a:xfrm>
                            <a:off x="95218" y="1040061"/>
                            <a:ext cx="330835" cy="158750"/>
                          </a:xfrm>
                          <a:custGeom>
                            <a:avLst/>
                            <a:gdLst/>
                            <a:ahLst/>
                            <a:cxnLst/>
                            <a:rect l="l" t="t" r="r" b="b"/>
                            <a:pathLst>
                              <a:path w="330835" h="158750">
                                <a:moveTo>
                                  <a:pt x="330466" y="0"/>
                                </a:moveTo>
                                <a:lnTo>
                                  <a:pt x="0" y="0"/>
                                </a:lnTo>
                                <a:lnTo>
                                  <a:pt x="0" y="158457"/>
                                </a:lnTo>
                                <a:lnTo>
                                  <a:pt x="330466" y="158457"/>
                                </a:lnTo>
                                <a:lnTo>
                                  <a:pt x="330466" y="0"/>
                                </a:lnTo>
                                <a:close/>
                              </a:path>
                            </a:pathLst>
                          </a:custGeom>
                          <a:solidFill>
                            <a:srgbClr val="99CE80"/>
                          </a:solidFill>
                        </wps:spPr>
                        <wps:bodyPr wrap="square" lIns="0" tIns="0" rIns="0" bIns="0" rtlCol="0">
                          <a:prstTxWarp prst="textNoShape">
                            <a:avLst/>
                          </a:prstTxWarp>
                          <a:noAutofit/>
                        </wps:bodyPr>
                      </wps:wsp>
                      <wps:wsp>
                        <wps:cNvPr id="1499" name="Graphic 1499"/>
                        <wps:cNvSpPr/>
                        <wps:spPr>
                          <a:xfrm>
                            <a:off x="95218" y="821735"/>
                            <a:ext cx="330835" cy="158750"/>
                          </a:xfrm>
                          <a:custGeom>
                            <a:avLst/>
                            <a:gdLst/>
                            <a:ahLst/>
                            <a:cxnLst/>
                            <a:rect l="l" t="t" r="r" b="b"/>
                            <a:pathLst>
                              <a:path w="330835" h="158750">
                                <a:moveTo>
                                  <a:pt x="330466" y="0"/>
                                </a:moveTo>
                                <a:lnTo>
                                  <a:pt x="0" y="0"/>
                                </a:lnTo>
                                <a:lnTo>
                                  <a:pt x="0" y="158457"/>
                                </a:lnTo>
                                <a:lnTo>
                                  <a:pt x="330466" y="158457"/>
                                </a:lnTo>
                                <a:lnTo>
                                  <a:pt x="330466" y="0"/>
                                </a:lnTo>
                                <a:close/>
                              </a:path>
                            </a:pathLst>
                          </a:custGeom>
                          <a:solidFill>
                            <a:srgbClr val="BBDDAE"/>
                          </a:solidFill>
                        </wps:spPr>
                        <wps:bodyPr wrap="square" lIns="0" tIns="0" rIns="0" bIns="0" rtlCol="0">
                          <a:prstTxWarp prst="textNoShape">
                            <a:avLst/>
                          </a:prstTxWarp>
                          <a:noAutofit/>
                        </wps:bodyPr>
                      </wps:wsp>
                      <wps:wsp>
                        <wps:cNvPr id="1500" name="Graphic 1500"/>
                        <wps:cNvSpPr/>
                        <wps:spPr>
                          <a:xfrm>
                            <a:off x="95218" y="603422"/>
                            <a:ext cx="330835" cy="158750"/>
                          </a:xfrm>
                          <a:custGeom>
                            <a:avLst/>
                            <a:gdLst/>
                            <a:ahLst/>
                            <a:cxnLst/>
                            <a:rect l="l" t="t" r="r" b="b"/>
                            <a:pathLst>
                              <a:path w="330835" h="158750">
                                <a:moveTo>
                                  <a:pt x="330466" y="0"/>
                                </a:moveTo>
                                <a:lnTo>
                                  <a:pt x="0" y="0"/>
                                </a:lnTo>
                                <a:lnTo>
                                  <a:pt x="0" y="158457"/>
                                </a:lnTo>
                                <a:lnTo>
                                  <a:pt x="330466" y="158457"/>
                                </a:lnTo>
                                <a:lnTo>
                                  <a:pt x="330466" y="0"/>
                                </a:lnTo>
                                <a:close/>
                              </a:path>
                            </a:pathLst>
                          </a:custGeom>
                          <a:solidFill>
                            <a:srgbClr val="E2F0DA"/>
                          </a:solidFill>
                        </wps:spPr>
                        <wps:bodyPr wrap="square" lIns="0" tIns="0" rIns="0" bIns="0" rtlCol="0">
                          <a:prstTxWarp prst="textNoShape">
                            <a:avLst/>
                          </a:prstTxWarp>
                          <a:noAutofit/>
                        </wps:bodyPr>
                      </wps:wsp>
                      <wps:wsp>
                        <wps:cNvPr id="1501" name="Textbox 1501"/>
                        <wps:cNvSpPr txBox="1"/>
                        <wps:spPr>
                          <a:xfrm>
                            <a:off x="2927" y="2927"/>
                            <a:ext cx="1447165" cy="1785620"/>
                          </a:xfrm>
                          <a:prstGeom prst="rect">
                            <a:avLst/>
                          </a:prstGeom>
                          <a:ln w="5854">
                            <a:solidFill>
                              <a:srgbClr val="636466"/>
                            </a:solidFill>
                            <a:prstDash val="solid"/>
                          </a:ln>
                        </wps:spPr>
                        <wps:txbx>
                          <w:txbxContent>
                            <w:p>
                              <w:pPr>
                                <w:spacing w:line="259" w:lineRule="auto" w:before="160"/>
                                <w:ind w:left="124" w:right="39" w:firstLine="0"/>
                                <w:jc w:val="left"/>
                                <w:rPr>
                                  <w:sz w:val="21"/>
                                </w:rPr>
                              </w:pPr>
                              <w:r>
                                <w:rPr>
                                  <w:color w:val="636466"/>
                                  <w:sz w:val="21"/>
                                </w:rPr>
                                <w:t>Food insecurity </w:t>
                              </w:r>
                              <w:r>
                                <w:rPr>
                                  <w:color w:val="636466"/>
                                  <w:sz w:val="21"/>
                                </w:rPr>
                                <w:t>rate </w:t>
                              </w:r>
                              <w:r>
                                <w:rPr>
                                  <w:color w:val="636466"/>
                                  <w:w w:val="110"/>
                                  <w:sz w:val="21"/>
                                </w:rPr>
                                <w:t>(% of population)</w:t>
                              </w:r>
                            </w:p>
                            <w:p>
                              <w:pPr>
                                <w:spacing w:line="240" w:lineRule="auto" w:before="38"/>
                                <w:rPr>
                                  <w:sz w:val="21"/>
                                </w:rPr>
                              </w:pPr>
                            </w:p>
                            <w:p>
                              <w:pPr>
                                <w:spacing w:before="1"/>
                                <w:ind w:left="776" w:right="0" w:firstLine="0"/>
                                <w:jc w:val="left"/>
                                <w:rPr>
                                  <w:sz w:val="18"/>
                                </w:rPr>
                              </w:pPr>
                              <w:r>
                                <w:rPr>
                                  <w:color w:val="636466"/>
                                  <w:sz w:val="18"/>
                                </w:rPr>
                                <w:t>less</w:t>
                              </w:r>
                              <w:r>
                                <w:rPr>
                                  <w:color w:val="636466"/>
                                  <w:spacing w:val="-10"/>
                                  <w:sz w:val="18"/>
                                </w:rPr>
                                <w:t> </w:t>
                              </w:r>
                              <w:r>
                                <w:rPr>
                                  <w:color w:val="636466"/>
                                  <w:sz w:val="18"/>
                                </w:rPr>
                                <w:t>than</w:t>
                              </w:r>
                              <w:r>
                                <w:rPr>
                                  <w:color w:val="636466"/>
                                  <w:spacing w:val="-9"/>
                                  <w:sz w:val="18"/>
                                </w:rPr>
                                <w:t> </w:t>
                              </w:r>
                              <w:r>
                                <w:rPr>
                                  <w:color w:val="636466"/>
                                  <w:spacing w:val="-5"/>
                                  <w:sz w:val="18"/>
                                </w:rPr>
                                <w:t>9%</w:t>
                              </w:r>
                            </w:p>
                            <w:p>
                              <w:pPr>
                                <w:spacing w:before="130"/>
                                <w:ind w:left="776" w:right="0" w:firstLine="0"/>
                                <w:jc w:val="left"/>
                                <w:rPr>
                                  <w:sz w:val="18"/>
                                </w:rPr>
                              </w:pPr>
                              <w:r>
                                <w:rPr>
                                  <w:color w:val="636466"/>
                                  <w:spacing w:val="-2"/>
                                  <w:sz w:val="18"/>
                                </w:rPr>
                                <w:t>9-</w:t>
                              </w:r>
                              <w:r>
                                <w:rPr>
                                  <w:color w:val="636466"/>
                                  <w:spacing w:val="-5"/>
                                  <w:sz w:val="18"/>
                                </w:rPr>
                                <w:t>11%</w:t>
                              </w:r>
                            </w:p>
                            <w:p>
                              <w:pPr>
                                <w:spacing w:before="117"/>
                                <w:ind w:left="776" w:right="0" w:firstLine="0"/>
                                <w:jc w:val="left"/>
                                <w:rPr>
                                  <w:sz w:val="18"/>
                                </w:rPr>
                              </w:pPr>
                              <w:r>
                                <w:rPr>
                                  <w:color w:val="636466"/>
                                  <w:spacing w:val="-2"/>
                                  <w:sz w:val="18"/>
                                </w:rPr>
                                <w:t>12-</w:t>
                              </w:r>
                              <w:r>
                                <w:rPr>
                                  <w:color w:val="636466"/>
                                  <w:spacing w:val="-5"/>
                                  <w:sz w:val="18"/>
                                </w:rPr>
                                <w:t>14%</w:t>
                              </w:r>
                            </w:p>
                            <w:p>
                              <w:pPr>
                                <w:spacing w:before="158"/>
                                <w:ind w:left="776" w:right="0" w:firstLine="0"/>
                                <w:jc w:val="left"/>
                                <w:rPr>
                                  <w:sz w:val="18"/>
                                </w:rPr>
                              </w:pPr>
                              <w:r>
                                <w:rPr>
                                  <w:color w:val="636466"/>
                                  <w:spacing w:val="-2"/>
                                  <w:sz w:val="18"/>
                                </w:rPr>
                                <w:t>15-</w:t>
                              </w:r>
                              <w:r>
                                <w:rPr>
                                  <w:color w:val="636466"/>
                                  <w:spacing w:val="-5"/>
                                  <w:sz w:val="18"/>
                                </w:rPr>
                                <w:t>19%</w:t>
                              </w:r>
                            </w:p>
                            <w:p>
                              <w:pPr>
                                <w:spacing w:before="145"/>
                                <w:ind w:left="776" w:right="0" w:firstLine="0"/>
                                <w:jc w:val="left"/>
                                <w:rPr>
                                  <w:sz w:val="18"/>
                                </w:rPr>
                              </w:pPr>
                              <w:r>
                                <w:rPr>
                                  <w:color w:val="636466"/>
                                  <w:spacing w:val="-4"/>
                                  <w:sz w:val="18"/>
                                </w:rPr>
                                <w:t>20%+</w:t>
                              </w:r>
                            </w:p>
                          </w:txbxContent>
                        </wps:txbx>
                        <wps:bodyPr wrap="square" lIns="0" tIns="0" rIns="0" bIns="0" rtlCol="0">
                          <a:noAutofit/>
                        </wps:bodyPr>
                      </wps:wsp>
                    </wpg:wgp>
                  </a:graphicData>
                </a:graphic>
              </wp:anchor>
            </w:drawing>
          </mc:Choice>
          <mc:Fallback>
            <w:pict>
              <v:group style="position:absolute;margin-left:437.515503pt;margin-top:43.712353pt;width:114.4pt;height:141.050pt;mso-position-horizontal-relative:page;mso-position-vertical-relative:paragraph;z-index:15882752" id="docshapegroup1184" coordorigin="8750,874" coordsize="2288,2821">
                <v:rect style="position:absolute;left:8900;top:3190;width:521;height:250" id="docshape1185" filled="true" fillcolor="#265b29" stroked="false">
                  <v:fill type="solid"/>
                </v:rect>
                <v:rect style="position:absolute;left:8900;top:2855;width:521;height:250" id="docshape1186" filled="true" fillcolor="#559751" stroked="false">
                  <v:fill type="solid"/>
                </v:rect>
                <v:rect style="position:absolute;left:8900;top:2512;width:521;height:250" id="docshape1187" filled="true" fillcolor="#99ce80" stroked="false">
                  <v:fill type="solid"/>
                </v:rect>
                <v:rect style="position:absolute;left:8900;top:2168;width:521;height:250" id="docshape1188" filled="true" fillcolor="#bbddae" stroked="false">
                  <v:fill type="solid"/>
                </v:rect>
                <v:rect style="position:absolute;left:8900;top:1824;width:521;height:250" id="docshape1189" filled="true" fillcolor="#e2f0da" stroked="false">
                  <v:fill type="solid"/>
                </v:rect>
                <v:shape style="position:absolute;left:8754;top:878;width:2279;height:2812" type="#_x0000_t202" id="docshape1190" filled="false" stroked="true" strokeweight=".461pt" strokecolor="#636466">
                  <v:textbox inset="0,0,0,0">
                    <w:txbxContent>
                      <w:p>
                        <w:pPr>
                          <w:spacing w:line="259" w:lineRule="auto" w:before="160"/>
                          <w:ind w:left="124" w:right="39" w:firstLine="0"/>
                          <w:jc w:val="left"/>
                          <w:rPr>
                            <w:sz w:val="21"/>
                          </w:rPr>
                        </w:pPr>
                        <w:r>
                          <w:rPr>
                            <w:color w:val="636466"/>
                            <w:sz w:val="21"/>
                          </w:rPr>
                          <w:t>Food insecurity </w:t>
                        </w:r>
                        <w:r>
                          <w:rPr>
                            <w:color w:val="636466"/>
                            <w:sz w:val="21"/>
                          </w:rPr>
                          <w:t>rate </w:t>
                        </w:r>
                        <w:r>
                          <w:rPr>
                            <w:color w:val="636466"/>
                            <w:w w:val="110"/>
                            <w:sz w:val="21"/>
                          </w:rPr>
                          <w:t>(% of population)</w:t>
                        </w:r>
                      </w:p>
                      <w:p>
                        <w:pPr>
                          <w:spacing w:line="240" w:lineRule="auto" w:before="38"/>
                          <w:rPr>
                            <w:sz w:val="21"/>
                          </w:rPr>
                        </w:pPr>
                      </w:p>
                      <w:p>
                        <w:pPr>
                          <w:spacing w:before="1"/>
                          <w:ind w:left="776" w:right="0" w:firstLine="0"/>
                          <w:jc w:val="left"/>
                          <w:rPr>
                            <w:sz w:val="18"/>
                          </w:rPr>
                        </w:pPr>
                        <w:r>
                          <w:rPr>
                            <w:color w:val="636466"/>
                            <w:sz w:val="18"/>
                          </w:rPr>
                          <w:t>less</w:t>
                        </w:r>
                        <w:r>
                          <w:rPr>
                            <w:color w:val="636466"/>
                            <w:spacing w:val="-10"/>
                            <w:sz w:val="18"/>
                          </w:rPr>
                          <w:t> </w:t>
                        </w:r>
                        <w:r>
                          <w:rPr>
                            <w:color w:val="636466"/>
                            <w:sz w:val="18"/>
                          </w:rPr>
                          <w:t>than</w:t>
                        </w:r>
                        <w:r>
                          <w:rPr>
                            <w:color w:val="636466"/>
                            <w:spacing w:val="-9"/>
                            <w:sz w:val="18"/>
                          </w:rPr>
                          <w:t> </w:t>
                        </w:r>
                        <w:r>
                          <w:rPr>
                            <w:color w:val="636466"/>
                            <w:spacing w:val="-5"/>
                            <w:sz w:val="18"/>
                          </w:rPr>
                          <w:t>9%</w:t>
                        </w:r>
                      </w:p>
                      <w:p>
                        <w:pPr>
                          <w:spacing w:before="130"/>
                          <w:ind w:left="776" w:right="0" w:firstLine="0"/>
                          <w:jc w:val="left"/>
                          <w:rPr>
                            <w:sz w:val="18"/>
                          </w:rPr>
                        </w:pPr>
                        <w:r>
                          <w:rPr>
                            <w:color w:val="636466"/>
                            <w:spacing w:val="-2"/>
                            <w:sz w:val="18"/>
                          </w:rPr>
                          <w:t>9-</w:t>
                        </w:r>
                        <w:r>
                          <w:rPr>
                            <w:color w:val="636466"/>
                            <w:spacing w:val="-5"/>
                            <w:sz w:val="18"/>
                          </w:rPr>
                          <w:t>11%</w:t>
                        </w:r>
                      </w:p>
                      <w:p>
                        <w:pPr>
                          <w:spacing w:before="117"/>
                          <w:ind w:left="776" w:right="0" w:firstLine="0"/>
                          <w:jc w:val="left"/>
                          <w:rPr>
                            <w:sz w:val="18"/>
                          </w:rPr>
                        </w:pPr>
                        <w:r>
                          <w:rPr>
                            <w:color w:val="636466"/>
                            <w:spacing w:val="-2"/>
                            <w:sz w:val="18"/>
                          </w:rPr>
                          <w:t>12-</w:t>
                        </w:r>
                        <w:r>
                          <w:rPr>
                            <w:color w:val="636466"/>
                            <w:spacing w:val="-5"/>
                            <w:sz w:val="18"/>
                          </w:rPr>
                          <w:t>14%</w:t>
                        </w:r>
                      </w:p>
                      <w:p>
                        <w:pPr>
                          <w:spacing w:before="158"/>
                          <w:ind w:left="776" w:right="0" w:firstLine="0"/>
                          <w:jc w:val="left"/>
                          <w:rPr>
                            <w:sz w:val="18"/>
                          </w:rPr>
                        </w:pPr>
                        <w:r>
                          <w:rPr>
                            <w:color w:val="636466"/>
                            <w:spacing w:val="-2"/>
                            <w:sz w:val="18"/>
                          </w:rPr>
                          <w:t>15-</w:t>
                        </w:r>
                        <w:r>
                          <w:rPr>
                            <w:color w:val="636466"/>
                            <w:spacing w:val="-5"/>
                            <w:sz w:val="18"/>
                          </w:rPr>
                          <w:t>19%</w:t>
                        </w:r>
                      </w:p>
                      <w:p>
                        <w:pPr>
                          <w:spacing w:before="145"/>
                          <w:ind w:left="776" w:right="0" w:firstLine="0"/>
                          <w:jc w:val="left"/>
                          <w:rPr>
                            <w:sz w:val="18"/>
                          </w:rPr>
                        </w:pPr>
                        <w:r>
                          <w:rPr>
                            <w:color w:val="636466"/>
                            <w:spacing w:val="-4"/>
                            <w:sz w:val="18"/>
                          </w:rPr>
                          <w:t>20%+</w:t>
                        </w:r>
                      </w:p>
                    </w:txbxContent>
                  </v:textbox>
                  <v:stroke dashstyle="solid"/>
                  <w10:wrap type="none"/>
                </v:shape>
                <w10:wrap type="none"/>
              </v:group>
            </w:pict>
          </mc:Fallback>
        </mc:AlternateContent>
      </w:r>
      <w:r>
        <w:rPr>
          <w:color w:val="105C84"/>
          <w:spacing w:val="-2"/>
        </w:rPr>
        <w:t>MAP</w:t>
      </w:r>
      <w:r>
        <w:rPr>
          <w:color w:val="105C84"/>
          <w:spacing w:val="-12"/>
        </w:rPr>
        <w:t> </w:t>
      </w:r>
      <w:r>
        <w:rPr>
          <w:color w:val="105C84"/>
          <w:spacing w:val="-2"/>
        </w:rPr>
        <w:t>13:</w:t>
      </w:r>
      <w:r>
        <w:rPr>
          <w:color w:val="105C84"/>
          <w:spacing w:val="-12"/>
        </w:rPr>
        <w:t> </w:t>
      </w:r>
      <w:r>
        <w:rPr>
          <w:color w:val="105C84"/>
          <w:spacing w:val="-2"/>
        </w:rPr>
        <w:t>Food</w:t>
      </w:r>
      <w:r>
        <w:rPr>
          <w:color w:val="105C84"/>
          <w:spacing w:val="-12"/>
        </w:rPr>
        <w:t> </w:t>
      </w:r>
      <w:r>
        <w:rPr>
          <w:color w:val="105C84"/>
          <w:spacing w:val="-2"/>
        </w:rPr>
        <w:t>insecurity</w:t>
      </w:r>
      <w:r>
        <w:rPr>
          <w:color w:val="105C84"/>
          <w:spacing w:val="-12"/>
        </w:rPr>
        <w:t> </w:t>
      </w:r>
      <w:r>
        <w:rPr>
          <w:color w:val="105C84"/>
          <w:spacing w:val="-2"/>
        </w:rPr>
        <w:t>rate</w:t>
      </w:r>
      <w:r>
        <w:rPr>
          <w:color w:val="105C84"/>
          <w:spacing w:val="-12"/>
        </w:rPr>
        <w:t> </w:t>
      </w:r>
      <w:r>
        <w:rPr>
          <w:color w:val="105C84"/>
          <w:spacing w:val="-2"/>
        </w:rPr>
        <w:t>by</w:t>
      </w:r>
      <w:r>
        <w:rPr>
          <w:color w:val="105C84"/>
          <w:spacing w:val="-12"/>
        </w:rPr>
        <w:t> </w:t>
      </w:r>
      <w:r>
        <w:rPr>
          <w:color w:val="105C84"/>
          <w:spacing w:val="-2"/>
        </w:rPr>
        <w:t>census</w:t>
      </w:r>
      <w:r>
        <w:rPr>
          <w:color w:val="105C84"/>
          <w:spacing w:val="-12"/>
        </w:rPr>
        <w:t> </w:t>
      </w:r>
      <w:r>
        <w:rPr>
          <w:color w:val="105C84"/>
          <w:spacing w:val="-2"/>
        </w:rPr>
        <w:t>tract,</w:t>
      </w:r>
      <w:r>
        <w:rPr>
          <w:color w:val="105C84"/>
          <w:spacing w:val="-12"/>
        </w:rPr>
        <w:t> </w:t>
      </w:r>
      <w:r>
        <w:rPr>
          <w:color w:val="105C84"/>
          <w:spacing w:val="-2"/>
        </w:rPr>
        <w:t>Wayne</w:t>
      </w:r>
      <w:r>
        <w:rPr>
          <w:color w:val="105C84"/>
          <w:spacing w:val="-12"/>
        </w:rPr>
        <w:t> </w:t>
      </w:r>
      <w:r>
        <w:rPr>
          <w:color w:val="105C84"/>
          <w:spacing w:val="-2"/>
        </w:rPr>
        <w:t>County</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146"/>
        <w:rPr>
          <w:b/>
          <w:sz w:val="26"/>
        </w:rPr>
      </w:pPr>
    </w:p>
    <w:p>
      <w:pPr>
        <w:spacing w:line="235" w:lineRule="auto" w:before="0"/>
        <w:ind w:left="1080" w:right="257" w:firstLine="0"/>
        <w:jc w:val="left"/>
        <w:rPr>
          <w:sz w:val="16"/>
        </w:rPr>
      </w:pPr>
      <w:r>
        <w:rPr>
          <w:color w:val="0C5D86"/>
          <w:sz w:val="16"/>
        </w:rPr>
        <w:t>Data</w:t>
      </w:r>
      <w:r>
        <w:rPr>
          <w:color w:val="0C5D86"/>
          <w:spacing w:val="-6"/>
          <w:sz w:val="16"/>
        </w:rPr>
        <w:t> </w:t>
      </w:r>
      <w:r>
        <w:rPr>
          <w:color w:val="0C5D86"/>
          <w:sz w:val="16"/>
        </w:rPr>
        <w:t>Source:</w:t>
      </w:r>
      <w:r>
        <w:rPr>
          <w:color w:val="0C5D86"/>
          <w:spacing w:val="-6"/>
          <w:sz w:val="16"/>
        </w:rPr>
        <w:t> </w:t>
      </w:r>
      <w:r>
        <w:rPr>
          <w:color w:val="0C5D86"/>
          <w:sz w:val="16"/>
        </w:rPr>
        <w:t>Gundersen</w:t>
      </w:r>
      <w:r>
        <w:rPr>
          <w:color w:val="0C5D86"/>
          <w:spacing w:val="-6"/>
          <w:sz w:val="16"/>
        </w:rPr>
        <w:t> </w:t>
      </w:r>
      <w:r>
        <w:rPr>
          <w:color w:val="0C5D86"/>
          <w:sz w:val="16"/>
        </w:rPr>
        <w:t>C.,</w:t>
      </w:r>
      <w:r>
        <w:rPr>
          <w:color w:val="0C5D86"/>
          <w:spacing w:val="-6"/>
          <w:sz w:val="16"/>
        </w:rPr>
        <w:t> </w:t>
      </w:r>
      <w:r>
        <w:rPr>
          <w:color w:val="0C5D86"/>
          <w:sz w:val="16"/>
        </w:rPr>
        <w:t>Dewey</w:t>
      </w:r>
      <w:r>
        <w:rPr>
          <w:color w:val="0C5D86"/>
          <w:spacing w:val="-6"/>
          <w:sz w:val="16"/>
        </w:rPr>
        <w:t> </w:t>
      </w:r>
      <w:r>
        <w:rPr>
          <w:color w:val="0C5D86"/>
          <w:sz w:val="16"/>
        </w:rPr>
        <w:t>A,</w:t>
      </w:r>
      <w:r>
        <w:rPr>
          <w:color w:val="0C5D86"/>
          <w:spacing w:val="-6"/>
          <w:sz w:val="16"/>
        </w:rPr>
        <w:t> </w:t>
      </w:r>
      <w:r>
        <w:rPr>
          <w:color w:val="0C5D86"/>
          <w:sz w:val="16"/>
        </w:rPr>
        <w:t>Crumbaugh</w:t>
      </w:r>
      <w:r>
        <w:rPr>
          <w:color w:val="0C5D86"/>
          <w:spacing w:val="-6"/>
          <w:sz w:val="16"/>
        </w:rPr>
        <w:t> </w:t>
      </w:r>
      <w:r>
        <w:rPr>
          <w:color w:val="0C5D86"/>
          <w:sz w:val="16"/>
        </w:rPr>
        <w:t>AS,</w:t>
      </w:r>
      <w:r>
        <w:rPr>
          <w:color w:val="0C5D86"/>
          <w:spacing w:val="-6"/>
          <w:sz w:val="16"/>
        </w:rPr>
        <w:t> </w:t>
      </w:r>
      <w:r>
        <w:rPr>
          <w:color w:val="0C5D86"/>
          <w:sz w:val="16"/>
        </w:rPr>
        <w:t>Kato</w:t>
      </w:r>
      <w:r>
        <w:rPr>
          <w:color w:val="0C5D86"/>
          <w:spacing w:val="-6"/>
          <w:sz w:val="16"/>
        </w:rPr>
        <w:t> </w:t>
      </w:r>
      <w:r>
        <w:rPr>
          <w:color w:val="0C5D86"/>
          <w:sz w:val="16"/>
        </w:rPr>
        <w:t>M</w:t>
      </w:r>
      <w:r>
        <w:rPr>
          <w:color w:val="0C5D86"/>
          <w:spacing w:val="-6"/>
          <w:sz w:val="16"/>
        </w:rPr>
        <w:t> </w:t>
      </w:r>
      <w:r>
        <w:rPr>
          <w:color w:val="0C5D86"/>
          <w:sz w:val="16"/>
        </w:rPr>
        <w:t>&amp;</w:t>
      </w:r>
      <w:r>
        <w:rPr>
          <w:color w:val="0C5D86"/>
          <w:spacing w:val="-6"/>
          <w:sz w:val="16"/>
        </w:rPr>
        <w:t> </w:t>
      </w:r>
      <w:r>
        <w:rPr>
          <w:color w:val="0C5D86"/>
          <w:sz w:val="16"/>
        </w:rPr>
        <w:t>Engelhard</w:t>
      </w:r>
      <w:r>
        <w:rPr>
          <w:color w:val="0C5D86"/>
          <w:spacing w:val="-6"/>
          <w:sz w:val="16"/>
        </w:rPr>
        <w:t> </w:t>
      </w:r>
      <w:r>
        <w:rPr>
          <w:color w:val="0C5D86"/>
          <w:sz w:val="16"/>
        </w:rPr>
        <w:t>E.</w:t>
      </w:r>
      <w:r>
        <w:rPr>
          <w:color w:val="0C5D86"/>
          <w:spacing w:val="-6"/>
          <w:sz w:val="16"/>
        </w:rPr>
        <w:t> </w:t>
      </w:r>
      <w:r>
        <w:rPr>
          <w:color w:val="0C5D86"/>
          <w:sz w:val="16"/>
        </w:rPr>
        <w:t>Map</w:t>
      </w:r>
      <w:r>
        <w:rPr>
          <w:color w:val="0C5D86"/>
          <w:spacing w:val="-6"/>
          <w:sz w:val="16"/>
        </w:rPr>
        <w:t> </w:t>
      </w:r>
      <w:r>
        <w:rPr>
          <w:color w:val="0C5D86"/>
          <w:sz w:val="16"/>
        </w:rPr>
        <w:t>the</w:t>
      </w:r>
      <w:r>
        <w:rPr>
          <w:color w:val="0C5D86"/>
          <w:spacing w:val="-6"/>
          <w:sz w:val="16"/>
        </w:rPr>
        <w:t> </w:t>
      </w:r>
      <w:r>
        <w:rPr>
          <w:color w:val="0C5D86"/>
          <w:sz w:val="16"/>
        </w:rPr>
        <w:t>Meal</w:t>
      </w:r>
      <w:r>
        <w:rPr>
          <w:color w:val="0C5D86"/>
          <w:spacing w:val="-6"/>
          <w:sz w:val="16"/>
        </w:rPr>
        <w:t> </w:t>
      </w:r>
      <w:r>
        <w:rPr>
          <w:color w:val="0C5D86"/>
          <w:sz w:val="16"/>
        </w:rPr>
        <w:t>Gap</w:t>
      </w:r>
      <w:r>
        <w:rPr>
          <w:color w:val="0C5D86"/>
          <w:spacing w:val="-6"/>
          <w:sz w:val="16"/>
        </w:rPr>
        <w:t> </w:t>
      </w:r>
      <w:r>
        <w:rPr>
          <w:color w:val="0C5D86"/>
          <w:sz w:val="16"/>
        </w:rPr>
        <w:t>2018:</w:t>
      </w:r>
      <w:r>
        <w:rPr>
          <w:color w:val="0C5D86"/>
          <w:spacing w:val="-6"/>
          <w:sz w:val="16"/>
        </w:rPr>
        <w:t> </w:t>
      </w:r>
      <w:r>
        <w:rPr>
          <w:color w:val="0C5D86"/>
          <w:sz w:val="16"/>
        </w:rPr>
        <w:t>A</w:t>
      </w:r>
      <w:r>
        <w:rPr>
          <w:color w:val="0C5D86"/>
          <w:spacing w:val="-6"/>
          <w:sz w:val="16"/>
        </w:rPr>
        <w:t> </w:t>
      </w:r>
      <w:r>
        <w:rPr>
          <w:color w:val="0C5D86"/>
          <w:sz w:val="16"/>
        </w:rPr>
        <w:t>Report</w:t>
      </w:r>
      <w:r>
        <w:rPr>
          <w:color w:val="0C5D86"/>
          <w:spacing w:val="-6"/>
          <w:sz w:val="16"/>
        </w:rPr>
        <w:t> </w:t>
      </w:r>
      <w:r>
        <w:rPr>
          <w:color w:val="0C5D86"/>
          <w:sz w:val="16"/>
        </w:rPr>
        <w:t>on</w:t>
      </w:r>
      <w:r>
        <w:rPr>
          <w:color w:val="0C5D86"/>
          <w:spacing w:val="-6"/>
          <w:sz w:val="16"/>
        </w:rPr>
        <w:t> </w:t>
      </w:r>
      <w:r>
        <w:rPr>
          <w:color w:val="0C5D86"/>
          <w:sz w:val="16"/>
        </w:rPr>
        <w:t>County</w:t>
      </w:r>
      <w:r>
        <w:rPr>
          <w:color w:val="0C5D86"/>
          <w:spacing w:val="-6"/>
          <w:sz w:val="16"/>
        </w:rPr>
        <w:t> </w:t>
      </w:r>
      <w:r>
        <w:rPr>
          <w:color w:val="0C5D86"/>
          <w:sz w:val="16"/>
        </w:rPr>
        <w:t>and Congressional District Food Insecurity and County Food Cost in the United States, 2016. Feeding America, 2018.</w:t>
      </w:r>
    </w:p>
    <w:p>
      <w:pPr>
        <w:pStyle w:val="BodyText"/>
        <w:rPr>
          <w:sz w:val="16"/>
        </w:rPr>
      </w:pPr>
    </w:p>
    <w:p>
      <w:pPr>
        <w:pStyle w:val="BodyText"/>
        <w:spacing w:before="92"/>
        <w:rPr>
          <w:sz w:val="16"/>
        </w:rPr>
      </w:pPr>
    </w:p>
    <w:p>
      <w:pPr>
        <w:pStyle w:val="BodyText"/>
        <w:spacing w:line="247" w:lineRule="auto"/>
        <w:ind w:left="1080" w:right="257"/>
      </w:pPr>
      <w:r>
        <w:rPr>
          <w:color w:val="105C84"/>
        </w:rPr>
        <w:t>Rates of tobacco use in Wayne County (25%) are similar to the average in the eight county region (22%).</w:t>
      </w:r>
      <w:r>
        <w:rPr>
          <w:color w:val="105C84"/>
          <w:spacing w:val="-8"/>
        </w:rPr>
        <w:t> </w:t>
      </w:r>
      <w:r>
        <w:rPr>
          <w:color w:val="105C84"/>
        </w:rPr>
        <w:t>E-cigarette</w:t>
      </w:r>
      <w:r>
        <w:rPr>
          <w:color w:val="105C84"/>
          <w:spacing w:val="-8"/>
        </w:rPr>
        <w:t> </w:t>
      </w:r>
      <w:r>
        <w:rPr>
          <w:color w:val="105C84"/>
        </w:rPr>
        <w:t>use</w:t>
      </w:r>
      <w:r>
        <w:rPr>
          <w:color w:val="105C84"/>
          <w:spacing w:val="-8"/>
        </w:rPr>
        <w:t> </w:t>
      </w:r>
      <w:r>
        <w:rPr>
          <w:color w:val="105C84"/>
        </w:rPr>
        <w:t>has</w:t>
      </w:r>
      <w:r>
        <w:rPr>
          <w:color w:val="105C84"/>
          <w:spacing w:val="-8"/>
        </w:rPr>
        <w:t> </w:t>
      </w:r>
      <w:r>
        <w:rPr>
          <w:color w:val="105C84"/>
        </w:rPr>
        <w:t>recently</w:t>
      </w:r>
      <w:r>
        <w:rPr>
          <w:color w:val="105C84"/>
          <w:spacing w:val="-8"/>
        </w:rPr>
        <w:t> </w:t>
      </w:r>
      <w:r>
        <w:rPr>
          <w:color w:val="105C84"/>
        </w:rPr>
        <w:t>emerged</w:t>
      </w:r>
      <w:r>
        <w:rPr>
          <w:color w:val="105C84"/>
          <w:spacing w:val="-8"/>
        </w:rPr>
        <w:t> </w:t>
      </w:r>
      <w:r>
        <w:rPr>
          <w:color w:val="105C84"/>
        </w:rPr>
        <w:t>as</w:t>
      </w:r>
      <w:r>
        <w:rPr>
          <w:color w:val="105C84"/>
          <w:spacing w:val="-8"/>
        </w:rPr>
        <w:t> </w:t>
      </w:r>
      <w:r>
        <w:rPr>
          <w:color w:val="105C84"/>
        </w:rPr>
        <w:t>an</w:t>
      </w:r>
      <w:r>
        <w:rPr>
          <w:color w:val="105C84"/>
          <w:spacing w:val="-8"/>
        </w:rPr>
        <w:t> </w:t>
      </w:r>
      <w:r>
        <w:rPr>
          <w:color w:val="105C84"/>
        </w:rPr>
        <w:t>issue</w:t>
      </w:r>
      <w:r>
        <w:rPr>
          <w:color w:val="105C84"/>
          <w:spacing w:val="-8"/>
        </w:rPr>
        <w:t> </w:t>
      </w:r>
      <w:r>
        <w:rPr>
          <w:color w:val="105C84"/>
        </w:rPr>
        <w:t>across</w:t>
      </w:r>
      <w:r>
        <w:rPr>
          <w:color w:val="105C84"/>
          <w:spacing w:val="-8"/>
        </w:rPr>
        <w:t> </w:t>
      </w:r>
      <w:r>
        <w:rPr>
          <w:color w:val="105C84"/>
        </w:rPr>
        <w:t>many</w:t>
      </w:r>
      <w:r>
        <w:rPr>
          <w:color w:val="105C84"/>
          <w:spacing w:val="-8"/>
        </w:rPr>
        <w:t> </w:t>
      </w:r>
      <w:r>
        <w:rPr>
          <w:color w:val="105C84"/>
        </w:rPr>
        <w:t>counties</w:t>
      </w:r>
      <w:r>
        <w:rPr>
          <w:color w:val="105C84"/>
          <w:spacing w:val="-8"/>
        </w:rPr>
        <w:t> </w:t>
      </w:r>
      <w:r>
        <w:rPr>
          <w:color w:val="105C84"/>
        </w:rPr>
        <w:t>and</w:t>
      </w:r>
      <w:r>
        <w:rPr>
          <w:color w:val="105C84"/>
          <w:spacing w:val="-8"/>
        </w:rPr>
        <w:t> </w:t>
      </w:r>
      <w:r>
        <w:rPr>
          <w:color w:val="105C84"/>
        </w:rPr>
        <w:t>New</w:t>
      </w:r>
      <w:r>
        <w:rPr>
          <w:color w:val="105C84"/>
          <w:spacing w:val="-8"/>
        </w:rPr>
        <w:t> </w:t>
      </w:r>
      <w:r>
        <w:rPr>
          <w:color w:val="105C84"/>
        </w:rPr>
        <w:t>York</w:t>
      </w:r>
      <w:r>
        <w:rPr>
          <w:color w:val="105C84"/>
          <w:spacing w:val="-8"/>
        </w:rPr>
        <w:t> </w:t>
      </w:r>
      <w:r>
        <w:rPr>
          <w:color w:val="105C84"/>
        </w:rPr>
        <w:t>State. Data at this time are sparse, though anecdotal evidence suggests an inverse relationship between cigarette</w:t>
      </w:r>
      <w:r>
        <w:rPr>
          <w:color w:val="105C84"/>
          <w:spacing w:val="36"/>
        </w:rPr>
        <w:t> </w:t>
      </w:r>
      <w:r>
        <w:rPr>
          <w:color w:val="105C84"/>
        </w:rPr>
        <w:t>and</w:t>
      </w:r>
      <w:r>
        <w:rPr>
          <w:color w:val="105C84"/>
          <w:spacing w:val="36"/>
        </w:rPr>
        <w:t> </w:t>
      </w:r>
      <w:r>
        <w:rPr>
          <w:color w:val="105C84"/>
        </w:rPr>
        <w:t>e-cigarette</w:t>
      </w:r>
      <w:r>
        <w:rPr>
          <w:color w:val="105C84"/>
          <w:spacing w:val="36"/>
        </w:rPr>
        <w:t> </w:t>
      </w:r>
      <w:r>
        <w:rPr>
          <w:color w:val="105C84"/>
        </w:rPr>
        <w:t>smoking.</w:t>
      </w:r>
      <w:r>
        <w:rPr>
          <w:color w:val="105C84"/>
          <w:spacing w:val="36"/>
        </w:rPr>
        <w:t> </w:t>
      </w:r>
      <w:r>
        <w:rPr>
          <w:color w:val="105C84"/>
        </w:rPr>
        <w:t>Many</w:t>
      </w:r>
      <w:r>
        <w:rPr>
          <w:color w:val="105C84"/>
          <w:spacing w:val="36"/>
        </w:rPr>
        <w:t> </w:t>
      </w:r>
      <w:r>
        <w:rPr>
          <w:color w:val="105C84"/>
        </w:rPr>
        <w:t>persons</w:t>
      </w:r>
      <w:r>
        <w:rPr>
          <w:color w:val="105C84"/>
          <w:spacing w:val="36"/>
        </w:rPr>
        <w:t> </w:t>
      </w:r>
      <w:r>
        <w:rPr>
          <w:color w:val="105C84"/>
        </w:rPr>
        <w:t>have</w:t>
      </w:r>
      <w:r>
        <w:rPr>
          <w:color w:val="105C84"/>
          <w:spacing w:val="36"/>
        </w:rPr>
        <w:t> </w:t>
      </w:r>
      <w:r>
        <w:rPr>
          <w:color w:val="105C84"/>
        </w:rPr>
        <w:t>switched</w:t>
      </w:r>
      <w:r>
        <w:rPr>
          <w:color w:val="105C84"/>
          <w:spacing w:val="36"/>
        </w:rPr>
        <w:t> </w:t>
      </w:r>
      <w:r>
        <w:rPr>
          <w:color w:val="105C84"/>
        </w:rPr>
        <w:t>from</w:t>
      </w:r>
      <w:r>
        <w:rPr>
          <w:color w:val="105C84"/>
          <w:spacing w:val="36"/>
        </w:rPr>
        <w:t> </w:t>
      </w:r>
      <w:r>
        <w:rPr>
          <w:color w:val="105C84"/>
        </w:rPr>
        <w:t>cigarette</w:t>
      </w:r>
      <w:r>
        <w:rPr>
          <w:color w:val="105C84"/>
          <w:spacing w:val="36"/>
        </w:rPr>
        <w:t> </w:t>
      </w:r>
      <w:r>
        <w:rPr>
          <w:color w:val="105C84"/>
        </w:rPr>
        <w:t>to</w:t>
      </w:r>
      <w:r>
        <w:rPr>
          <w:color w:val="105C84"/>
          <w:spacing w:val="36"/>
        </w:rPr>
        <w:t> </w:t>
      </w:r>
      <w:r>
        <w:rPr>
          <w:color w:val="105C84"/>
        </w:rPr>
        <w:t>e-cigarette usage</w:t>
      </w:r>
      <w:r>
        <w:rPr>
          <w:color w:val="105C84"/>
          <w:spacing w:val="19"/>
        </w:rPr>
        <w:t> </w:t>
      </w:r>
      <w:r>
        <w:rPr>
          <w:color w:val="105C84"/>
        </w:rPr>
        <w:t>under</w:t>
      </w:r>
      <w:r>
        <w:rPr>
          <w:color w:val="105C84"/>
          <w:spacing w:val="19"/>
        </w:rPr>
        <w:t> </w:t>
      </w:r>
      <w:r>
        <w:rPr>
          <w:color w:val="105C84"/>
        </w:rPr>
        <w:t>the</w:t>
      </w:r>
      <w:r>
        <w:rPr>
          <w:color w:val="105C84"/>
          <w:spacing w:val="19"/>
        </w:rPr>
        <w:t> </w:t>
      </w:r>
      <w:r>
        <w:rPr>
          <w:color w:val="105C84"/>
        </w:rPr>
        <w:t>impression</w:t>
      </w:r>
      <w:r>
        <w:rPr>
          <w:color w:val="105C84"/>
          <w:spacing w:val="19"/>
        </w:rPr>
        <w:t> </w:t>
      </w:r>
      <w:r>
        <w:rPr>
          <w:color w:val="105C84"/>
        </w:rPr>
        <w:t>that</w:t>
      </w:r>
      <w:r>
        <w:rPr>
          <w:color w:val="105C84"/>
          <w:spacing w:val="19"/>
        </w:rPr>
        <w:t> </w:t>
      </w:r>
      <w:r>
        <w:rPr>
          <w:color w:val="105C84"/>
        </w:rPr>
        <w:t>e-cigarettes</w:t>
      </w:r>
      <w:r>
        <w:rPr>
          <w:color w:val="105C84"/>
          <w:spacing w:val="19"/>
        </w:rPr>
        <w:t> </w:t>
      </w:r>
      <w:r>
        <w:rPr>
          <w:color w:val="105C84"/>
        </w:rPr>
        <w:t>are</w:t>
      </w:r>
      <w:r>
        <w:rPr>
          <w:color w:val="105C84"/>
          <w:spacing w:val="19"/>
        </w:rPr>
        <w:t> </w:t>
      </w:r>
      <w:r>
        <w:rPr>
          <w:color w:val="105C84"/>
        </w:rPr>
        <w:t>“safer.”</w:t>
      </w:r>
      <w:r>
        <w:rPr>
          <w:color w:val="105C84"/>
          <w:spacing w:val="19"/>
        </w:rPr>
        <w:t> </w:t>
      </w:r>
      <w:r>
        <w:rPr>
          <w:color w:val="105C84"/>
        </w:rPr>
        <w:t>This</w:t>
      </w:r>
      <w:r>
        <w:rPr>
          <w:color w:val="105C84"/>
          <w:spacing w:val="19"/>
        </w:rPr>
        <w:t> </w:t>
      </w:r>
      <w:r>
        <w:rPr>
          <w:color w:val="105C84"/>
        </w:rPr>
        <w:t>perception</w:t>
      </w:r>
      <w:r>
        <w:rPr>
          <w:color w:val="105C84"/>
          <w:spacing w:val="19"/>
        </w:rPr>
        <w:t> </w:t>
      </w:r>
      <w:r>
        <w:rPr>
          <w:color w:val="105C84"/>
        </w:rPr>
        <w:t>that</w:t>
      </w:r>
      <w:r>
        <w:rPr>
          <w:color w:val="105C84"/>
          <w:spacing w:val="19"/>
        </w:rPr>
        <w:t> </w:t>
      </w:r>
      <w:r>
        <w:rPr>
          <w:color w:val="105C84"/>
        </w:rPr>
        <w:t>vaping</w:t>
      </w:r>
      <w:r>
        <w:rPr>
          <w:color w:val="105C84"/>
          <w:spacing w:val="19"/>
        </w:rPr>
        <w:t> </w:t>
      </w:r>
      <w:r>
        <w:rPr>
          <w:color w:val="105C84"/>
        </w:rPr>
        <w:t>as</w:t>
      </w:r>
      <w:r>
        <w:rPr>
          <w:color w:val="105C84"/>
          <w:spacing w:val="19"/>
        </w:rPr>
        <w:t> </w:t>
      </w:r>
      <w:r>
        <w:rPr>
          <w:color w:val="105C84"/>
        </w:rPr>
        <w:t>harmless is erroneous. Nicotine is addictive and has an impairing effect on the development of child and</w:t>
      </w:r>
      <w:r>
        <w:rPr>
          <w:color w:val="105C84"/>
          <w:spacing w:val="80"/>
        </w:rPr>
        <w:t> </w:t>
      </w:r>
      <w:r>
        <w:rPr>
          <w:color w:val="105C84"/>
        </w:rPr>
        <w:t>adolescent brains. Chemical flavorings and colorings, as yet unregulated, may damage the oral</w:t>
      </w:r>
    </w:p>
    <w:p>
      <w:pPr>
        <w:pStyle w:val="BodyText"/>
        <w:spacing w:line="247" w:lineRule="auto"/>
        <w:ind w:left="1080"/>
        <w:rPr>
          <w:position w:val="7"/>
          <w:sz w:val="13"/>
        </w:rPr>
      </w:pPr>
      <w:r>
        <w:rPr>
          <w:color w:val="105C84"/>
        </w:rPr>
        <w:t>mucosa and airway. In addition, usage of both items increases the likelihood for development of lung</w:t>
      </w:r>
      <w:r>
        <w:rPr>
          <w:color w:val="105C84"/>
          <w:spacing w:val="40"/>
        </w:rPr>
        <w:t> </w:t>
      </w:r>
      <w:r>
        <w:rPr>
          <w:color w:val="105C84"/>
        </w:rPr>
        <w:t>cancer, hypertension, risk of strokes and heart attacks, and premature mortality. The prevalence of smoking is more commonly seen in vulnerable populations. Estimates of usage among those whose income is less than $25,000 annually (32%) and those living with a disability (30%) are higher than general population estimates (25%).</w:t>
      </w:r>
      <w:r>
        <w:rPr>
          <w:color w:val="105C84"/>
          <w:position w:val="7"/>
          <w:sz w:val="13"/>
        </w:rPr>
        <w:t>43</w:t>
      </w:r>
    </w:p>
    <w:p>
      <w:pPr>
        <w:pStyle w:val="BodyText"/>
        <w:spacing w:line="247" w:lineRule="auto" w:before="173"/>
        <w:ind w:left="1079" w:right="257"/>
      </w:pPr>
      <w:r>
        <w:rPr>
          <w:color w:val="105C84"/>
        </w:rPr>
        <w:t>As</w:t>
      </w:r>
      <w:r>
        <w:rPr>
          <w:color w:val="105C84"/>
          <w:spacing w:val="35"/>
        </w:rPr>
        <w:t> </w:t>
      </w:r>
      <w:r>
        <w:rPr>
          <w:color w:val="105C84"/>
        </w:rPr>
        <w:t>mentioned,</w:t>
      </w:r>
      <w:r>
        <w:rPr>
          <w:color w:val="105C84"/>
          <w:spacing w:val="35"/>
        </w:rPr>
        <w:t> </w:t>
      </w:r>
      <w:r>
        <w:rPr>
          <w:color w:val="105C84"/>
        </w:rPr>
        <w:t>persons</w:t>
      </w:r>
      <w:r>
        <w:rPr>
          <w:color w:val="105C84"/>
          <w:spacing w:val="35"/>
        </w:rPr>
        <w:t> </w:t>
      </w:r>
      <w:r>
        <w:rPr>
          <w:color w:val="105C84"/>
        </w:rPr>
        <w:t>who</w:t>
      </w:r>
      <w:r>
        <w:rPr>
          <w:color w:val="105C84"/>
          <w:spacing w:val="35"/>
        </w:rPr>
        <w:t> </w:t>
      </w:r>
      <w:r>
        <w:rPr>
          <w:color w:val="105C84"/>
        </w:rPr>
        <w:t>smoke</w:t>
      </w:r>
      <w:r>
        <w:rPr>
          <w:color w:val="105C84"/>
          <w:spacing w:val="35"/>
        </w:rPr>
        <w:t> </w:t>
      </w:r>
      <w:r>
        <w:rPr>
          <w:color w:val="105C84"/>
        </w:rPr>
        <w:t>are</w:t>
      </w:r>
      <w:r>
        <w:rPr>
          <w:color w:val="105C84"/>
          <w:spacing w:val="35"/>
        </w:rPr>
        <w:t> </w:t>
      </w:r>
      <w:r>
        <w:rPr>
          <w:color w:val="105C84"/>
        </w:rPr>
        <w:t>at</w:t>
      </w:r>
      <w:r>
        <w:rPr>
          <w:color w:val="105C84"/>
          <w:spacing w:val="35"/>
        </w:rPr>
        <w:t> </w:t>
      </w:r>
      <w:r>
        <w:rPr>
          <w:color w:val="105C84"/>
        </w:rPr>
        <w:t>greater</w:t>
      </w:r>
      <w:r>
        <w:rPr>
          <w:color w:val="105C84"/>
          <w:spacing w:val="35"/>
        </w:rPr>
        <w:t> </w:t>
      </w:r>
      <w:r>
        <w:rPr>
          <w:color w:val="105C84"/>
        </w:rPr>
        <w:t>likelihood</w:t>
      </w:r>
      <w:r>
        <w:rPr>
          <w:color w:val="105C84"/>
          <w:spacing w:val="35"/>
        </w:rPr>
        <w:t> </w:t>
      </w:r>
      <w:r>
        <w:rPr>
          <w:color w:val="105C84"/>
        </w:rPr>
        <w:t>of</w:t>
      </w:r>
      <w:r>
        <w:rPr>
          <w:color w:val="105C84"/>
          <w:spacing w:val="35"/>
        </w:rPr>
        <w:t> </w:t>
      </w:r>
      <w:r>
        <w:rPr>
          <w:color w:val="105C84"/>
        </w:rPr>
        <w:t>developing</w:t>
      </w:r>
      <w:r>
        <w:rPr>
          <w:color w:val="105C84"/>
          <w:spacing w:val="35"/>
        </w:rPr>
        <w:t> </w:t>
      </w:r>
      <w:r>
        <w:rPr>
          <w:color w:val="105C84"/>
        </w:rPr>
        <w:t>chronic</w:t>
      </w:r>
      <w:r>
        <w:rPr>
          <w:color w:val="105C84"/>
          <w:spacing w:val="35"/>
        </w:rPr>
        <w:t> </w:t>
      </w:r>
      <w:r>
        <w:rPr>
          <w:color w:val="105C84"/>
        </w:rPr>
        <w:t>conditions</w:t>
      </w:r>
      <w:r>
        <w:rPr>
          <w:color w:val="105C84"/>
        </w:rPr>
        <w:t> such as hypertension. In Wayne County, it is estimated that 40%</w:t>
      </w:r>
      <w:r>
        <w:rPr>
          <w:color w:val="105C84"/>
          <w:position w:val="7"/>
          <w:sz w:val="13"/>
        </w:rPr>
        <w:t>44</w:t>
      </w:r>
      <w:r>
        <w:rPr>
          <w:color w:val="105C84"/>
          <w:spacing w:val="38"/>
          <w:position w:val="7"/>
          <w:sz w:val="13"/>
        </w:rPr>
        <w:t> </w:t>
      </w:r>
      <w:r>
        <w:rPr>
          <w:color w:val="105C84"/>
        </w:rPr>
        <w:t>of adults have been diagnosed with hypertension (the highest in the region), 77%</w:t>
      </w:r>
      <w:r>
        <w:rPr>
          <w:color w:val="105C84"/>
          <w:position w:val="7"/>
          <w:sz w:val="13"/>
        </w:rPr>
        <w:t>45</w:t>
      </w:r>
      <w:r>
        <w:rPr>
          <w:color w:val="105C84"/>
          <w:spacing w:val="36"/>
          <w:position w:val="7"/>
          <w:sz w:val="13"/>
        </w:rPr>
        <w:t> </w:t>
      </w:r>
      <w:r>
        <w:rPr>
          <w:color w:val="105C84"/>
        </w:rPr>
        <w:t>of whom are in control of their blood pressure, though this varies by income level. Of those residents with the highest socioeconomic status, 81% are in control of their blood pressure, while only 75% of low socioeconomic status residents are</w:t>
      </w:r>
    </w:p>
    <w:p>
      <w:pPr>
        <w:pStyle w:val="BodyText"/>
        <w:spacing w:line="247" w:lineRule="auto"/>
        <w:ind w:left="1079"/>
      </w:pPr>
      <w:r>
        <w:rPr>
          <w:color w:val="105C84"/>
        </w:rPr>
        <w:t>in control of their blood pressure. Reducing the disparity in control rate by socioeconomic status</w:t>
      </w:r>
      <w:r>
        <w:rPr>
          <w:color w:val="105C84"/>
          <w:spacing w:val="80"/>
        </w:rPr>
        <w:t> </w:t>
      </w:r>
      <w:r>
        <w:rPr>
          <w:color w:val="105C84"/>
        </w:rPr>
        <w:t>requires</w:t>
      </w:r>
      <w:r>
        <w:rPr>
          <w:color w:val="105C84"/>
          <w:spacing w:val="34"/>
        </w:rPr>
        <w:t> </w:t>
      </w:r>
      <w:r>
        <w:rPr>
          <w:color w:val="105C84"/>
        </w:rPr>
        <w:t>engaging</w:t>
      </w:r>
      <w:r>
        <w:rPr>
          <w:color w:val="105C84"/>
          <w:spacing w:val="34"/>
        </w:rPr>
        <w:t> </w:t>
      </w:r>
      <w:r>
        <w:rPr>
          <w:color w:val="105C84"/>
        </w:rPr>
        <w:t>patients</w:t>
      </w:r>
      <w:r>
        <w:rPr>
          <w:color w:val="105C84"/>
          <w:spacing w:val="34"/>
        </w:rPr>
        <w:t> </w:t>
      </w:r>
      <w:r>
        <w:rPr>
          <w:color w:val="105C84"/>
        </w:rPr>
        <w:t>in</w:t>
      </w:r>
      <w:r>
        <w:rPr>
          <w:color w:val="105C84"/>
          <w:spacing w:val="34"/>
        </w:rPr>
        <w:t> </w:t>
      </w:r>
      <w:r>
        <w:rPr>
          <w:color w:val="105C84"/>
        </w:rPr>
        <w:t>taking</w:t>
      </w:r>
      <w:r>
        <w:rPr>
          <w:color w:val="105C84"/>
          <w:spacing w:val="34"/>
        </w:rPr>
        <w:t> </w:t>
      </w:r>
      <w:r>
        <w:rPr>
          <w:color w:val="105C84"/>
        </w:rPr>
        <w:t>control</w:t>
      </w:r>
      <w:r>
        <w:rPr>
          <w:color w:val="105C84"/>
          <w:spacing w:val="34"/>
        </w:rPr>
        <w:t> </w:t>
      </w:r>
      <w:r>
        <w:rPr>
          <w:color w:val="105C84"/>
        </w:rPr>
        <w:t>of</w:t>
      </w:r>
      <w:r>
        <w:rPr>
          <w:color w:val="105C84"/>
          <w:spacing w:val="34"/>
        </w:rPr>
        <w:t> </w:t>
      </w:r>
      <w:r>
        <w:rPr>
          <w:color w:val="105C84"/>
        </w:rPr>
        <w:t>their</w:t>
      </w:r>
      <w:r>
        <w:rPr>
          <w:color w:val="105C84"/>
          <w:spacing w:val="34"/>
        </w:rPr>
        <w:t> </w:t>
      </w:r>
      <w:r>
        <w:rPr>
          <w:color w:val="105C84"/>
        </w:rPr>
        <w:t>blood</w:t>
      </w:r>
      <w:r>
        <w:rPr>
          <w:color w:val="105C84"/>
          <w:spacing w:val="34"/>
        </w:rPr>
        <w:t> </w:t>
      </w:r>
      <w:r>
        <w:rPr>
          <w:color w:val="105C84"/>
        </w:rPr>
        <w:t>pressure</w:t>
      </w:r>
      <w:r>
        <w:rPr>
          <w:color w:val="105C84"/>
          <w:spacing w:val="34"/>
        </w:rPr>
        <w:t> </w:t>
      </w:r>
      <w:r>
        <w:rPr>
          <w:color w:val="105C84"/>
        </w:rPr>
        <w:t>through</w:t>
      </w:r>
      <w:r>
        <w:rPr>
          <w:color w:val="105C84"/>
          <w:spacing w:val="34"/>
        </w:rPr>
        <w:t> </w:t>
      </w:r>
      <w:r>
        <w:rPr>
          <w:color w:val="105C84"/>
        </w:rPr>
        <w:t>various</w:t>
      </w:r>
      <w:r>
        <w:rPr>
          <w:color w:val="105C84"/>
          <w:spacing w:val="34"/>
        </w:rPr>
        <w:t> </w:t>
      </w:r>
      <w:r>
        <w:rPr>
          <w:color w:val="105C84"/>
        </w:rPr>
        <w:t>methods:</w:t>
      </w:r>
      <w:r>
        <w:rPr>
          <w:color w:val="105C84"/>
          <w:spacing w:val="34"/>
        </w:rPr>
        <w:t> </w:t>
      </w:r>
      <w:r>
        <w:rPr>
          <w:color w:val="105C84"/>
        </w:rPr>
        <w:t>blood pressure medication adherence, promotion of physical activity, healthy eating, and more. Low income patients</w:t>
      </w:r>
      <w:r>
        <w:rPr>
          <w:color w:val="105C84"/>
          <w:spacing w:val="27"/>
        </w:rPr>
        <w:t> </w:t>
      </w:r>
      <w:r>
        <w:rPr>
          <w:color w:val="105C84"/>
        </w:rPr>
        <w:t>are</w:t>
      </w:r>
      <w:r>
        <w:rPr>
          <w:color w:val="105C84"/>
          <w:spacing w:val="27"/>
        </w:rPr>
        <w:t> </w:t>
      </w:r>
      <w:r>
        <w:rPr>
          <w:color w:val="105C84"/>
        </w:rPr>
        <w:t>often</w:t>
      </w:r>
      <w:r>
        <w:rPr>
          <w:color w:val="105C84"/>
          <w:spacing w:val="27"/>
        </w:rPr>
        <w:t> </w:t>
      </w:r>
      <w:r>
        <w:rPr>
          <w:color w:val="105C84"/>
        </w:rPr>
        <w:t>less</w:t>
      </w:r>
      <w:r>
        <w:rPr>
          <w:color w:val="105C84"/>
          <w:spacing w:val="27"/>
        </w:rPr>
        <w:t> </w:t>
      </w:r>
      <w:r>
        <w:rPr>
          <w:color w:val="105C84"/>
        </w:rPr>
        <w:t>likely</w:t>
      </w:r>
      <w:r>
        <w:rPr>
          <w:color w:val="105C84"/>
          <w:spacing w:val="27"/>
        </w:rPr>
        <w:t> </w:t>
      </w:r>
      <w:r>
        <w:rPr>
          <w:color w:val="105C84"/>
        </w:rPr>
        <w:t>to</w:t>
      </w:r>
      <w:r>
        <w:rPr>
          <w:color w:val="105C84"/>
          <w:spacing w:val="27"/>
        </w:rPr>
        <w:t> </w:t>
      </w:r>
      <w:r>
        <w:rPr>
          <w:color w:val="105C84"/>
        </w:rPr>
        <w:t>be</w:t>
      </w:r>
      <w:r>
        <w:rPr>
          <w:color w:val="105C84"/>
          <w:spacing w:val="27"/>
        </w:rPr>
        <w:t> </w:t>
      </w:r>
      <w:r>
        <w:rPr>
          <w:color w:val="105C84"/>
        </w:rPr>
        <w:t>able</w:t>
      </w:r>
      <w:r>
        <w:rPr>
          <w:color w:val="105C84"/>
          <w:spacing w:val="27"/>
        </w:rPr>
        <w:t> </w:t>
      </w:r>
      <w:r>
        <w:rPr>
          <w:color w:val="105C84"/>
        </w:rPr>
        <w:t>to</w:t>
      </w:r>
      <w:r>
        <w:rPr>
          <w:color w:val="105C84"/>
          <w:spacing w:val="27"/>
        </w:rPr>
        <w:t> </w:t>
      </w:r>
      <w:r>
        <w:rPr>
          <w:color w:val="105C84"/>
        </w:rPr>
        <w:t>afford</w:t>
      </w:r>
      <w:r>
        <w:rPr>
          <w:color w:val="105C84"/>
          <w:spacing w:val="27"/>
        </w:rPr>
        <w:t> </w:t>
      </w:r>
      <w:r>
        <w:rPr>
          <w:color w:val="105C84"/>
        </w:rPr>
        <w:t>medications,</w:t>
      </w:r>
      <w:r>
        <w:rPr>
          <w:color w:val="105C84"/>
          <w:spacing w:val="27"/>
        </w:rPr>
        <w:t> </w:t>
      </w:r>
      <w:r>
        <w:rPr>
          <w:color w:val="105C84"/>
        </w:rPr>
        <w:t>and</w:t>
      </w:r>
      <w:r>
        <w:rPr>
          <w:color w:val="105C84"/>
          <w:spacing w:val="27"/>
        </w:rPr>
        <w:t> </w:t>
      </w:r>
      <w:r>
        <w:rPr>
          <w:color w:val="105C84"/>
        </w:rPr>
        <w:t>it</w:t>
      </w:r>
      <w:r>
        <w:rPr>
          <w:color w:val="105C84"/>
          <w:spacing w:val="27"/>
        </w:rPr>
        <w:t> </w:t>
      </w:r>
      <w:r>
        <w:rPr>
          <w:color w:val="105C84"/>
        </w:rPr>
        <w:t>is</w:t>
      </w:r>
      <w:r>
        <w:rPr>
          <w:color w:val="105C84"/>
          <w:spacing w:val="27"/>
        </w:rPr>
        <w:t> </w:t>
      </w:r>
      <w:r>
        <w:rPr>
          <w:color w:val="105C84"/>
        </w:rPr>
        <w:t>therefore</w:t>
      </w:r>
      <w:r>
        <w:rPr>
          <w:color w:val="105C84"/>
          <w:spacing w:val="27"/>
        </w:rPr>
        <w:t> </w:t>
      </w:r>
      <w:r>
        <w:rPr>
          <w:color w:val="105C84"/>
        </w:rPr>
        <w:t>important</w:t>
      </w:r>
      <w:r>
        <w:rPr>
          <w:color w:val="105C84"/>
          <w:spacing w:val="27"/>
        </w:rPr>
        <w:t> </w:t>
      </w:r>
      <w:r>
        <w:rPr>
          <w:color w:val="105C84"/>
        </w:rPr>
        <w:t>to</w:t>
      </w:r>
      <w:r>
        <w:rPr>
          <w:color w:val="105C84"/>
          <w:spacing w:val="27"/>
        </w:rPr>
        <w:t> </w:t>
      </w:r>
      <w:r>
        <w:rPr>
          <w:color w:val="105C84"/>
        </w:rPr>
        <w:t>work with providers to prescribe generic medications that are less expensive and accepted by insurance companies.</w:t>
      </w:r>
      <w:r>
        <w:rPr>
          <w:color w:val="105C84"/>
          <w:spacing w:val="37"/>
        </w:rPr>
        <w:t> </w:t>
      </w:r>
      <w:r>
        <w:rPr>
          <w:color w:val="105C84"/>
        </w:rPr>
        <w:t>In</w:t>
      </w:r>
      <w:r>
        <w:rPr>
          <w:color w:val="105C84"/>
          <w:spacing w:val="37"/>
        </w:rPr>
        <w:t> </w:t>
      </w:r>
      <w:r>
        <w:rPr>
          <w:color w:val="105C84"/>
        </w:rPr>
        <w:t>addition,</w:t>
      </w:r>
      <w:r>
        <w:rPr>
          <w:color w:val="105C84"/>
          <w:spacing w:val="37"/>
        </w:rPr>
        <w:t> </w:t>
      </w:r>
      <w:r>
        <w:rPr>
          <w:color w:val="105C84"/>
        </w:rPr>
        <w:t>encouraging</w:t>
      </w:r>
      <w:r>
        <w:rPr>
          <w:color w:val="105C84"/>
          <w:spacing w:val="37"/>
        </w:rPr>
        <w:t> </w:t>
      </w:r>
      <w:r>
        <w:rPr>
          <w:color w:val="105C84"/>
        </w:rPr>
        <w:t>and</w:t>
      </w:r>
      <w:r>
        <w:rPr>
          <w:color w:val="105C84"/>
          <w:spacing w:val="37"/>
        </w:rPr>
        <w:t> </w:t>
      </w:r>
      <w:r>
        <w:rPr>
          <w:color w:val="105C84"/>
        </w:rPr>
        <w:t>assisting</w:t>
      </w:r>
      <w:r>
        <w:rPr>
          <w:color w:val="105C84"/>
          <w:spacing w:val="37"/>
        </w:rPr>
        <w:t> </w:t>
      </w:r>
      <w:r>
        <w:rPr>
          <w:color w:val="105C84"/>
        </w:rPr>
        <w:t>patients</w:t>
      </w:r>
      <w:r>
        <w:rPr>
          <w:color w:val="105C84"/>
          <w:spacing w:val="37"/>
        </w:rPr>
        <w:t> </w:t>
      </w:r>
      <w:r>
        <w:rPr>
          <w:color w:val="105C84"/>
        </w:rPr>
        <w:t>in</w:t>
      </w:r>
      <w:r>
        <w:rPr>
          <w:color w:val="105C84"/>
          <w:spacing w:val="37"/>
        </w:rPr>
        <w:t> </w:t>
      </w:r>
      <w:r>
        <w:rPr>
          <w:color w:val="105C84"/>
        </w:rPr>
        <w:t>quitting</w:t>
      </w:r>
      <w:r>
        <w:rPr>
          <w:color w:val="105C84"/>
          <w:spacing w:val="37"/>
        </w:rPr>
        <w:t> </w:t>
      </w:r>
      <w:r>
        <w:rPr>
          <w:color w:val="105C84"/>
        </w:rPr>
        <w:t>smoking</w:t>
      </w:r>
      <w:r>
        <w:rPr>
          <w:color w:val="105C84"/>
          <w:spacing w:val="37"/>
        </w:rPr>
        <w:t> </w:t>
      </w:r>
      <w:r>
        <w:rPr>
          <w:color w:val="105C84"/>
        </w:rPr>
        <w:t>(if</w:t>
      </w:r>
      <w:r>
        <w:rPr>
          <w:color w:val="105C84"/>
          <w:spacing w:val="37"/>
        </w:rPr>
        <w:t> </w:t>
      </w:r>
      <w:r>
        <w:rPr>
          <w:color w:val="105C84"/>
        </w:rPr>
        <w:t>applicable)</w:t>
      </w:r>
      <w:r>
        <w:rPr>
          <w:color w:val="105C84"/>
          <w:spacing w:val="37"/>
        </w:rPr>
        <w:t> </w:t>
      </w:r>
      <w:r>
        <w:rPr>
          <w:color w:val="105C84"/>
        </w:rPr>
        <w:t>could help to improve control.</w:t>
      </w:r>
    </w:p>
    <w:p>
      <w:pPr>
        <w:pStyle w:val="ListParagraph"/>
        <w:numPr>
          <w:ilvl w:val="0"/>
          <w:numId w:val="32"/>
        </w:numPr>
        <w:tabs>
          <w:tab w:pos="3183" w:val="left" w:leader="none"/>
        </w:tabs>
        <w:spacing w:line="240" w:lineRule="auto" w:before="115" w:after="0"/>
        <w:ind w:left="2966" w:right="195" w:firstLine="0"/>
        <w:jc w:val="left"/>
        <w:rPr>
          <w:sz w:val="14"/>
        </w:rPr>
      </w:pPr>
      <w:r>
        <w:rPr>
          <w:color w:val="636466"/>
          <w:sz w:val="14"/>
        </w:rPr>
        <w:t>Source:</w:t>
      </w:r>
      <w:r>
        <w:rPr>
          <w:color w:val="636466"/>
          <w:spacing w:val="-9"/>
          <w:sz w:val="14"/>
        </w:rPr>
        <w:t> </w:t>
      </w:r>
      <w:r>
        <w:rPr>
          <w:color w:val="636466"/>
          <w:sz w:val="14"/>
        </w:rPr>
        <w:t>Behavioral</w:t>
      </w:r>
      <w:r>
        <w:rPr>
          <w:color w:val="636466"/>
          <w:spacing w:val="-9"/>
          <w:sz w:val="14"/>
        </w:rPr>
        <w:t> </w:t>
      </w:r>
      <w:r>
        <w:rPr>
          <w:color w:val="636466"/>
          <w:sz w:val="14"/>
        </w:rPr>
        <w:t>Risk</w:t>
      </w:r>
      <w:r>
        <w:rPr>
          <w:color w:val="636466"/>
          <w:spacing w:val="-9"/>
          <w:sz w:val="14"/>
        </w:rPr>
        <w:t> </w:t>
      </w:r>
      <w:r>
        <w:rPr>
          <w:color w:val="636466"/>
          <w:sz w:val="14"/>
        </w:rPr>
        <w:t>Factor</w:t>
      </w:r>
      <w:r>
        <w:rPr>
          <w:color w:val="636466"/>
          <w:spacing w:val="-9"/>
          <w:sz w:val="14"/>
        </w:rPr>
        <w:t> </w:t>
      </w:r>
      <w:r>
        <w:rPr>
          <w:color w:val="636466"/>
          <w:sz w:val="14"/>
        </w:rPr>
        <w:t>Surveillance</w:t>
      </w:r>
      <w:r>
        <w:rPr>
          <w:color w:val="636466"/>
          <w:spacing w:val="-9"/>
          <w:sz w:val="14"/>
        </w:rPr>
        <w:t> </w:t>
      </w:r>
      <w:r>
        <w:rPr>
          <w:color w:val="636466"/>
          <w:sz w:val="14"/>
        </w:rPr>
        <w:t>System,</w:t>
      </w:r>
      <w:r>
        <w:rPr>
          <w:color w:val="636466"/>
          <w:spacing w:val="-9"/>
          <w:sz w:val="14"/>
        </w:rPr>
        <w:t> </w:t>
      </w:r>
      <w:r>
        <w:rPr>
          <w:color w:val="636466"/>
          <w:sz w:val="14"/>
        </w:rPr>
        <w:t>2016.</w:t>
      </w:r>
      <w:r>
        <w:rPr>
          <w:color w:val="636466"/>
          <w:spacing w:val="-9"/>
          <w:sz w:val="14"/>
        </w:rPr>
        <w:t> </w:t>
      </w:r>
      <w:r>
        <w:rPr>
          <w:color w:val="636466"/>
          <w:sz w:val="14"/>
        </w:rPr>
        <w:t>Data</w:t>
      </w:r>
      <w:r>
        <w:rPr>
          <w:color w:val="636466"/>
          <w:spacing w:val="-9"/>
          <w:sz w:val="14"/>
        </w:rPr>
        <w:t> </w:t>
      </w:r>
      <w:r>
        <w:rPr>
          <w:color w:val="636466"/>
          <w:sz w:val="14"/>
        </w:rPr>
        <w:t>on</w:t>
      </w:r>
      <w:r>
        <w:rPr>
          <w:color w:val="636466"/>
          <w:spacing w:val="-9"/>
          <w:sz w:val="14"/>
        </w:rPr>
        <w:t> </w:t>
      </w:r>
      <w:r>
        <w:rPr>
          <w:color w:val="636466"/>
          <w:sz w:val="14"/>
        </w:rPr>
        <w:t>low-income</w:t>
      </w:r>
      <w:r>
        <w:rPr>
          <w:color w:val="636466"/>
          <w:spacing w:val="-9"/>
          <w:sz w:val="14"/>
        </w:rPr>
        <w:t> </w:t>
      </w:r>
      <w:r>
        <w:rPr>
          <w:color w:val="636466"/>
          <w:sz w:val="14"/>
        </w:rPr>
        <w:t>and</w:t>
      </w:r>
      <w:r>
        <w:rPr>
          <w:color w:val="636466"/>
          <w:spacing w:val="-9"/>
          <w:sz w:val="14"/>
        </w:rPr>
        <w:t> </w:t>
      </w:r>
      <w:r>
        <w:rPr>
          <w:color w:val="636466"/>
          <w:sz w:val="14"/>
        </w:rPr>
        <w:t>those</w:t>
      </w:r>
      <w:r>
        <w:rPr>
          <w:color w:val="636466"/>
          <w:spacing w:val="-9"/>
          <w:sz w:val="14"/>
        </w:rPr>
        <w:t> </w:t>
      </w:r>
      <w:r>
        <w:rPr>
          <w:color w:val="636466"/>
          <w:sz w:val="14"/>
        </w:rPr>
        <w:t>with</w:t>
      </w:r>
      <w:r>
        <w:rPr>
          <w:color w:val="636466"/>
          <w:spacing w:val="-9"/>
          <w:sz w:val="14"/>
        </w:rPr>
        <w:t> </w:t>
      </w:r>
      <w:r>
        <w:rPr>
          <w:color w:val="636466"/>
          <w:sz w:val="14"/>
        </w:rPr>
        <w:t>a</w:t>
      </w:r>
      <w:r>
        <w:rPr>
          <w:color w:val="636466"/>
          <w:spacing w:val="-9"/>
          <w:sz w:val="14"/>
        </w:rPr>
        <w:t> </w:t>
      </w:r>
      <w:r>
        <w:rPr>
          <w:color w:val="636466"/>
          <w:sz w:val="14"/>
        </w:rPr>
        <w:t>disability</w:t>
      </w:r>
      <w:r>
        <w:rPr>
          <w:color w:val="636466"/>
          <w:spacing w:val="-9"/>
          <w:sz w:val="14"/>
        </w:rPr>
        <w:t> </w:t>
      </w:r>
      <w:r>
        <w:rPr>
          <w:color w:val="636466"/>
          <w:sz w:val="14"/>
        </w:rPr>
        <w:t>are</w:t>
      </w:r>
      <w:r>
        <w:rPr>
          <w:color w:val="636466"/>
          <w:spacing w:val="-9"/>
          <w:sz w:val="14"/>
        </w:rPr>
        <w:t> </w:t>
      </w:r>
      <w:r>
        <w:rPr>
          <w:color w:val="636466"/>
          <w:sz w:val="14"/>
        </w:rPr>
        <w:t>unreliable</w:t>
      </w:r>
      <w:r>
        <w:rPr>
          <w:color w:val="636466"/>
          <w:spacing w:val="-9"/>
          <w:sz w:val="14"/>
        </w:rPr>
        <w:t> </w:t>
      </w:r>
      <w:r>
        <w:rPr>
          <w:color w:val="636466"/>
          <w:sz w:val="14"/>
        </w:rPr>
        <w:t>due</w:t>
      </w:r>
      <w:r>
        <w:rPr>
          <w:color w:val="636466"/>
          <w:spacing w:val="-9"/>
          <w:sz w:val="14"/>
        </w:rPr>
        <w:t> </w:t>
      </w:r>
      <w:r>
        <w:rPr>
          <w:color w:val="636466"/>
          <w:sz w:val="14"/>
        </w:rPr>
        <w:t>to</w:t>
      </w:r>
      <w:r>
        <w:rPr>
          <w:color w:val="636466"/>
          <w:spacing w:val="40"/>
          <w:sz w:val="14"/>
        </w:rPr>
        <w:t> </w:t>
      </w:r>
      <w:r>
        <w:rPr>
          <w:color w:val="636466"/>
          <w:sz w:val="14"/>
        </w:rPr>
        <w:t>large standard error: standard error between 24% and 41% for low-income and 20% and 40% for those living with a disability.</w:t>
      </w:r>
    </w:p>
    <w:p>
      <w:pPr>
        <w:pStyle w:val="ListParagraph"/>
        <w:numPr>
          <w:ilvl w:val="0"/>
          <w:numId w:val="32"/>
        </w:numPr>
        <w:tabs>
          <w:tab w:pos="3183" w:val="left" w:leader="none"/>
        </w:tabs>
        <w:spacing w:line="240" w:lineRule="auto" w:before="89" w:after="0"/>
        <w:ind w:left="3183" w:right="0" w:hanging="217"/>
        <w:jc w:val="left"/>
        <w:rPr>
          <w:sz w:val="14"/>
        </w:rPr>
      </w:pPr>
      <w:r>
        <w:rPr>
          <w:color w:val="636466"/>
          <w:spacing w:val="-2"/>
          <w:sz w:val="14"/>
        </w:rPr>
        <w:t>Source:</w:t>
      </w:r>
      <w:r>
        <w:rPr>
          <w:color w:val="636466"/>
          <w:spacing w:val="-8"/>
          <w:sz w:val="14"/>
        </w:rPr>
        <w:t> </w:t>
      </w:r>
      <w:r>
        <w:rPr>
          <w:color w:val="636466"/>
          <w:spacing w:val="-2"/>
          <w:sz w:val="14"/>
        </w:rPr>
        <w:t>Behavioral</w:t>
      </w:r>
      <w:r>
        <w:rPr>
          <w:color w:val="636466"/>
          <w:spacing w:val="-7"/>
          <w:sz w:val="14"/>
        </w:rPr>
        <w:t> </w:t>
      </w:r>
      <w:r>
        <w:rPr>
          <w:color w:val="636466"/>
          <w:spacing w:val="-2"/>
          <w:sz w:val="14"/>
        </w:rPr>
        <w:t>Risk</w:t>
      </w:r>
      <w:r>
        <w:rPr>
          <w:color w:val="636466"/>
          <w:spacing w:val="-7"/>
          <w:sz w:val="14"/>
        </w:rPr>
        <w:t> </w:t>
      </w:r>
      <w:r>
        <w:rPr>
          <w:color w:val="636466"/>
          <w:spacing w:val="-2"/>
          <w:sz w:val="14"/>
        </w:rPr>
        <w:t>Factor</w:t>
      </w:r>
      <w:r>
        <w:rPr>
          <w:color w:val="636466"/>
          <w:spacing w:val="-7"/>
          <w:sz w:val="14"/>
        </w:rPr>
        <w:t> </w:t>
      </w:r>
      <w:r>
        <w:rPr>
          <w:color w:val="636466"/>
          <w:spacing w:val="-2"/>
          <w:sz w:val="14"/>
        </w:rPr>
        <w:t>Surveillance</w:t>
      </w:r>
      <w:r>
        <w:rPr>
          <w:color w:val="636466"/>
          <w:spacing w:val="-7"/>
          <w:sz w:val="14"/>
        </w:rPr>
        <w:t> </w:t>
      </w:r>
      <w:r>
        <w:rPr>
          <w:color w:val="636466"/>
          <w:spacing w:val="-2"/>
          <w:sz w:val="14"/>
        </w:rPr>
        <w:t>System</w:t>
      </w:r>
      <w:r>
        <w:rPr>
          <w:color w:val="636466"/>
          <w:spacing w:val="-7"/>
          <w:sz w:val="14"/>
        </w:rPr>
        <w:t> </w:t>
      </w:r>
      <w:r>
        <w:rPr>
          <w:color w:val="636466"/>
          <w:spacing w:val="-2"/>
          <w:sz w:val="14"/>
        </w:rPr>
        <w:t>2016.</w:t>
      </w:r>
    </w:p>
    <w:p>
      <w:pPr>
        <w:tabs>
          <w:tab w:pos="2966" w:val="left" w:leader="none"/>
        </w:tabs>
        <w:spacing w:before="6"/>
        <w:ind w:left="1058" w:right="0" w:firstLine="0"/>
        <w:jc w:val="left"/>
        <w:rPr>
          <w:sz w:val="14"/>
        </w:rPr>
      </w:pPr>
      <w:r>
        <w:rPr>
          <w:sz w:val="14"/>
        </w:rPr>
        <w:drawing>
          <wp:anchor distT="0" distB="0" distL="0" distR="0" allowOverlap="1" layoutInCell="1" locked="0" behindDoc="0" simplePos="0" relativeHeight="15881728">
            <wp:simplePos x="0" y="0"/>
            <wp:positionH relativeFrom="page">
              <wp:posOffset>0</wp:posOffset>
            </wp:positionH>
            <wp:positionV relativeFrom="paragraph">
              <wp:posOffset>5534</wp:posOffset>
            </wp:positionV>
            <wp:extent cx="568172" cy="184683"/>
            <wp:effectExtent l="0" t="0" r="0" b="0"/>
            <wp:wrapNone/>
            <wp:docPr id="1502" name="Image 1502"/>
            <wp:cNvGraphicFramePr>
              <a:graphicFrameLocks/>
            </wp:cNvGraphicFramePr>
            <a:graphic>
              <a:graphicData uri="http://schemas.openxmlformats.org/drawingml/2006/picture">
                <pic:pic>
                  <pic:nvPicPr>
                    <pic:cNvPr id="1502" name="Image 1502"/>
                    <pic:cNvPicPr/>
                  </pic:nvPicPr>
                  <pic:blipFill>
                    <a:blip r:embed="rId39" cstate="print"/>
                    <a:stretch>
                      <a:fillRect/>
                    </a:stretch>
                  </pic:blipFill>
                  <pic:spPr>
                    <a:xfrm>
                      <a:off x="0" y="0"/>
                      <a:ext cx="568172" cy="184683"/>
                    </a:xfrm>
                    <a:prstGeom prst="rect">
                      <a:avLst/>
                    </a:prstGeom>
                  </pic:spPr>
                </pic:pic>
              </a:graphicData>
            </a:graphic>
          </wp:anchor>
        </w:drawing>
      </w:r>
      <w:r>
        <w:rPr>
          <w:b/>
          <w:color w:val="939598"/>
          <w:spacing w:val="-5"/>
          <w:position w:val="-2"/>
          <w:sz w:val="26"/>
        </w:rPr>
        <w:t>95</w:t>
      </w:r>
      <w:r>
        <w:rPr>
          <w:b/>
          <w:color w:val="939598"/>
          <w:position w:val="-2"/>
          <w:sz w:val="26"/>
        </w:rPr>
        <w:tab/>
      </w:r>
      <w:r>
        <w:rPr>
          <w:color w:val="636466"/>
          <w:spacing w:val="-2"/>
          <w:sz w:val="14"/>
        </w:rPr>
        <w:t>45.</w:t>
      </w:r>
      <w:r>
        <w:rPr>
          <w:color w:val="636466"/>
          <w:spacing w:val="1"/>
          <w:sz w:val="14"/>
        </w:rPr>
        <w:t> </w:t>
      </w:r>
      <w:r>
        <w:rPr>
          <w:color w:val="636466"/>
          <w:spacing w:val="-2"/>
          <w:sz w:val="14"/>
        </w:rPr>
        <w:t>Source:</w:t>
      </w:r>
      <w:r>
        <w:rPr>
          <w:color w:val="636466"/>
          <w:spacing w:val="2"/>
          <w:sz w:val="14"/>
        </w:rPr>
        <w:t> </w:t>
      </w:r>
      <w:r>
        <w:rPr>
          <w:color w:val="636466"/>
          <w:spacing w:val="-2"/>
          <w:sz w:val="14"/>
        </w:rPr>
        <w:t>Common</w:t>
      </w:r>
      <w:r>
        <w:rPr>
          <w:color w:val="636466"/>
          <w:spacing w:val="1"/>
          <w:sz w:val="14"/>
        </w:rPr>
        <w:t> </w:t>
      </w:r>
      <w:r>
        <w:rPr>
          <w:color w:val="636466"/>
          <w:spacing w:val="-2"/>
          <w:sz w:val="14"/>
        </w:rPr>
        <w:t>Ground</w:t>
      </w:r>
      <w:r>
        <w:rPr>
          <w:color w:val="636466"/>
          <w:spacing w:val="2"/>
          <w:sz w:val="14"/>
        </w:rPr>
        <w:t> </w:t>
      </w:r>
      <w:r>
        <w:rPr>
          <w:color w:val="636466"/>
          <w:spacing w:val="-2"/>
          <w:sz w:val="14"/>
        </w:rPr>
        <w:t>Health</w:t>
      </w:r>
      <w:r>
        <w:rPr>
          <w:color w:val="636466"/>
          <w:spacing w:val="1"/>
          <w:sz w:val="14"/>
        </w:rPr>
        <w:t> </w:t>
      </w:r>
      <w:r>
        <w:rPr>
          <w:color w:val="636466"/>
          <w:spacing w:val="-2"/>
          <w:sz w:val="14"/>
        </w:rPr>
        <w:t>High</w:t>
      </w:r>
      <w:r>
        <w:rPr>
          <w:color w:val="636466"/>
          <w:spacing w:val="2"/>
          <w:sz w:val="14"/>
        </w:rPr>
        <w:t> </w:t>
      </w:r>
      <w:r>
        <w:rPr>
          <w:color w:val="636466"/>
          <w:spacing w:val="-2"/>
          <w:sz w:val="14"/>
        </w:rPr>
        <w:t>Blood</w:t>
      </w:r>
      <w:r>
        <w:rPr>
          <w:color w:val="636466"/>
          <w:spacing w:val="1"/>
          <w:sz w:val="14"/>
        </w:rPr>
        <w:t> </w:t>
      </w:r>
      <w:r>
        <w:rPr>
          <w:color w:val="636466"/>
          <w:spacing w:val="-2"/>
          <w:sz w:val="14"/>
        </w:rPr>
        <w:t>Pressure</w:t>
      </w:r>
      <w:r>
        <w:rPr>
          <w:color w:val="636466"/>
          <w:spacing w:val="2"/>
          <w:sz w:val="14"/>
        </w:rPr>
        <w:t> </w:t>
      </w:r>
      <w:r>
        <w:rPr>
          <w:color w:val="636466"/>
          <w:spacing w:val="-2"/>
          <w:sz w:val="14"/>
        </w:rPr>
        <w:t>Registry,</w:t>
      </w:r>
      <w:r>
        <w:rPr>
          <w:color w:val="636466"/>
          <w:spacing w:val="1"/>
          <w:sz w:val="14"/>
        </w:rPr>
        <w:t> </w:t>
      </w:r>
      <w:r>
        <w:rPr>
          <w:color w:val="636466"/>
          <w:spacing w:val="-2"/>
          <w:sz w:val="14"/>
        </w:rPr>
        <w:t>June</w:t>
      </w:r>
      <w:r>
        <w:rPr>
          <w:color w:val="636466"/>
          <w:spacing w:val="2"/>
          <w:sz w:val="14"/>
        </w:rPr>
        <w:t> </w:t>
      </w:r>
      <w:r>
        <w:rPr>
          <w:color w:val="636466"/>
          <w:spacing w:val="-2"/>
          <w:sz w:val="14"/>
        </w:rPr>
        <w:t>2018.</w:t>
      </w:r>
    </w:p>
    <w:p>
      <w:pPr>
        <w:pStyle w:val="BodyText"/>
        <w:spacing w:line="247" w:lineRule="auto" w:before="113"/>
        <w:ind w:right="429"/>
      </w:pPr>
      <w:r>
        <w:rPr/>
        <w:br w:type="column"/>
      </w:r>
      <w:r>
        <w:rPr>
          <w:color w:val="105C84"/>
        </w:rPr>
        <w:t>Smoking not only increases risk of development for hypertension, but it is also the number one cause</w:t>
      </w:r>
      <w:r>
        <w:rPr>
          <w:color w:val="105C84"/>
          <w:spacing w:val="40"/>
        </w:rPr>
        <w:t> </w:t>
      </w:r>
      <w:r>
        <w:rPr>
          <w:color w:val="105C84"/>
        </w:rPr>
        <w:t>of lung cancer. The leading cause of premature death in cancer patients is lung cancer. Of note, screening for different types of cancer can greatly impact the likelihood of early diagnosis and is an important preventative step in primary care. During prioritization meetings, cancer screenings were</w:t>
      </w:r>
      <w:r>
        <w:rPr>
          <w:color w:val="105C84"/>
          <w:spacing w:val="40"/>
        </w:rPr>
        <w:t> </w:t>
      </w:r>
      <w:r>
        <w:rPr>
          <w:color w:val="105C84"/>
        </w:rPr>
        <w:t>identified as a priority area. Figure 47 below shows the percent of that population that has received</w:t>
      </w:r>
      <w:r>
        <w:rPr>
          <w:color w:val="105C84"/>
          <w:spacing w:val="40"/>
        </w:rPr>
        <w:t> </w:t>
      </w:r>
      <w:r>
        <w:rPr>
          <w:color w:val="105C84"/>
        </w:rPr>
        <w:t>screenings for various types of cancer based on recommended guidelines in Wayne County. Of</w:t>
      </w:r>
    </w:p>
    <w:p>
      <w:pPr>
        <w:pStyle w:val="BodyText"/>
        <w:spacing w:line="247" w:lineRule="auto"/>
        <w:ind w:right="429"/>
      </w:pPr>
      <w:r>
        <w:rPr>
          <w:color w:val="105C84"/>
        </w:rPr>
        <w:t>note, prostate cancer screenings have the lowest screening rate, which is similar to each of the other counties in the eight county region.</w:t>
      </w:r>
    </w:p>
    <w:p>
      <w:pPr>
        <w:pStyle w:val="BodyText"/>
        <w:spacing w:before="15"/>
      </w:pPr>
    </w:p>
    <w:p>
      <w:pPr>
        <w:pStyle w:val="Heading6"/>
        <w:ind w:left="0"/>
      </w:pPr>
      <w:r>
        <w:rPr>
          <w:color w:val="105C84"/>
          <w:spacing w:val="-4"/>
        </w:rPr>
        <w:t>FIGURE</w:t>
      </w:r>
      <w:r>
        <w:rPr>
          <w:color w:val="105C84"/>
          <w:spacing w:val="-8"/>
        </w:rPr>
        <w:t> </w:t>
      </w:r>
      <w:r>
        <w:rPr>
          <w:color w:val="105C84"/>
          <w:spacing w:val="-4"/>
        </w:rPr>
        <w:t>47:</w:t>
      </w:r>
      <w:r>
        <w:rPr>
          <w:color w:val="105C84"/>
          <w:spacing w:val="-7"/>
        </w:rPr>
        <w:t> </w:t>
      </w:r>
      <w:r>
        <w:rPr>
          <w:color w:val="105C84"/>
          <w:spacing w:val="-4"/>
        </w:rPr>
        <w:t>Percent</w:t>
      </w:r>
      <w:r>
        <w:rPr>
          <w:color w:val="105C84"/>
          <w:spacing w:val="-7"/>
        </w:rPr>
        <w:t> </w:t>
      </w:r>
      <w:r>
        <w:rPr>
          <w:color w:val="105C84"/>
          <w:spacing w:val="-4"/>
        </w:rPr>
        <w:t>of</w:t>
      </w:r>
      <w:r>
        <w:rPr>
          <w:color w:val="105C84"/>
          <w:spacing w:val="-7"/>
        </w:rPr>
        <w:t> </w:t>
      </w:r>
      <w:r>
        <w:rPr>
          <w:color w:val="105C84"/>
          <w:spacing w:val="-4"/>
        </w:rPr>
        <w:t>eligible</w:t>
      </w:r>
      <w:r>
        <w:rPr>
          <w:color w:val="105C84"/>
          <w:spacing w:val="-8"/>
        </w:rPr>
        <w:t> </w:t>
      </w:r>
      <w:r>
        <w:rPr>
          <w:color w:val="105C84"/>
          <w:spacing w:val="-4"/>
        </w:rPr>
        <w:t>population</w:t>
      </w:r>
      <w:r>
        <w:rPr>
          <w:color w:val="105C84"/>
          <w:spacing w:val="-7"/>
        </w:rPr>
        <w:t> </w:t>
      </w:r>
      <w:r>
        <w:rPr>
          <w:color w:val="105C84"/>
          <w:spacing w:val="-4"/>
        </w:rPr>
        <w:t>receiving</w:t>
      </w:r>
      <w:r>
        <w:rPr>
          <w:color w:val="105C84"/>
          <w:spacing w:val="-7"/>
        </w:rPr>
        <w:t> </w:t>
      </w:r>
      <w:r>
        <w:rPr>
          <w:color w:val="105C84"/>
          <w:spacing w:val="-4"/>
        </w:rPr>
        <w:t>cancer</w:t>
      </w:r>
      <w:r>
        <w:rPr>
          <w:color w:val="105C84"/>
          <w:spacing w:val="-7"/>
        </w:rPr>
        <w:t> </w:t>
      </w:r>
      <w:r>
        <w:rPr>
          <w:color w:val="105C84"/>
          <w:spacing w:val="-4"/>
        </w:rPr>
        <w:t>screening</w:t>
      </w:r>
    </w:p>
    <w:p>
      <w:pPr>
        <w:pStyle w:val="BodyText"/>
        <w:spacing w:before="49"/>
        <w:rPr>
          <w:b/>
          <w:sz w:val="26"/>
        </w:rPr>
      </w:pPr>
    </w:p>
    <w:p>
      <w:pPr>
        <w:spacing w:before="0"/>
        <w:ind w:left="350" w:right="0" w:firstLine="0"/>
        <w:jc w:val="left"/>
        <w:rPr>
          <w:sz w:val="16"/>
        </w:rPr>
      </w:pPr>
      <w:r>
        <w:rPr>
          <w:sz w:val="16"/>
        </w:rPr>
        <mc:AlternateContent>
          <mc:Choice Requires="wps">
            <w:drawing>
              <wp:anchor distT="0" distB="0" distL="0" distR="0" allowOverlap="1" layoutInCell="1" locked="0" behindDoc="0" simplePos="0" relativeHeight="15883264">
                <wp:simplePos x="0" y="0"/>
                <wp:positionH relativeFrom="page">
                  <wp:posOffset>9012772</wp:posOffset>
                </wp:positionH>
                <wp:positionV relativeFrom="paragraph">
                  <wp:posOffset>29459</wp:posOffset>
                </wp:positionV>
                <wp:extent cx="5047615" cy="2146300"/>
                <wp:effectExtent l="0" t="0" r="0" b="0"/>
                <wp:wrapNone/>
                <wp:docPr id="1503" name="Group 1503"/>
                <wp:cNvGraphicFramePr>
                  <a:graphicFrameLocks/>
                </wp:cNvGraphicFramePr>
                <a:graphic>
                  <a:graphicData uri="http://schemas.microsoft.com/office/word/2010/wordprocessingGroup">
                    <wpg:wgp>
                      <wpg:cNvPr id="1503" name="Group 1503"/>
                      <wpg:cNvGrpSpPr/>
                      <wpg:grpSpPr>
                        <a:xfrm>
                          <a:off x="0" y="0"/>
                          <a:ext cx="5047615" cy="2146300"/>
                          <a:chExt cx="5047615" cy="2146300"/>
                        </a:xfrm>
                      </wpg:grpSpPr>
                      <wps:wsp>
                        <wps:cNvPr id="1504" name="Graphic 1504"/>
                        <wps:cNvSpPr/>
                        <wps:spPr>
                          <a:xfrm>
                            <a:off x="254798" y="46504"/>
                            <a:ext cx="67945" cy="67945"/>
                          </a:xfrm>
                          <a:custGeom>
                            <a:avLst/>
                            <a:gdLst/>
                            <a:ahLst/>
                            <a:cxnLst/>
                            <a:rect l="l" t="t" r="r" b="b"/>
                            <a:pathLst>
                              <a:path w="67945" h="67945">
                                <a:moveTo>
                                  <a:pt x="67881" y="0"/>
                                </a:moveTo>
                                <a:lnTo>
                                  <a:pt x="0" y="0"/>
                                </a:lnTo>
                                <a:lnTo>
                                  <a:pt x="0" y="67881"/>
                                </a:lnTo>
                                <a:lnTo>
                                  <a:pt x="67881" y="67881"/>
                                </a:lnTo>
                                <a:lnTo>
                                  <a:pt x="67881" y="0"/>
                                </a:lnTo>
                                <a:close/>
                              </a:path>
                            </a:pathLst>
                          </a:custGeom>
                          <a:solidFill>
                            <a:srgbClr val="105C84"/>
                          </a:solidFill>
                        </wps:spPr>
                        <wps:bodyPr wrap="square" lIns="0" tIns="0" rIns="0" bIns="0" rtlCol="0">
                          <a:prstTxWarp prst="textNoShape">
                            <a:avLst/>
                          </a:prstTxWarp>
                          <a:noAutofit/>
                        </wps:bodyPr>
                      </wps:wsp>
                      <wps:wsp>
                        <wps:cNvPr id="1505" name="Graphic 1505"/>
                        <wps:cNvSpPr/>
                        <wps:spPr>
                          <a:xfrm>
                            <a:off x="1332673" y="46504"/>
                            <a:ext cx="67945" cy="67945"/>
                          </a:xfrm>
                          <a:custGeom>
                            <a:avLst/>
                            <a:gdLst/>
                            <a:ahLst/>
                            <a:cxnLst/>
                            <a:rect l="l" t="t" r="r" b="b"/>
                            <a:pathLst>
                              <a:path w="67945" h="67945">
                                <a:moveTo>
                                  <a:pt x="67881" y="0"/>
                                </a:moveTo>
                                <a:lnTo>
                                  <a:pt x="0" y="0"/>
                                </a:lnTo>
                                <a:lnTo>
                                  <a:pt x="0" y="67881"/>
                                </a:lnTo>
                                <a:lnTo>
                                  <a:pt x="67881" y="67881"/>
                                </a:lnTo>
                                <a:lnTo>
                                  <a:pt x="67881" y="0"/>
                                </a:lnTo>
                                <a:close/>
                              </a:path>
                            </a:pathLst>
                          </a:custGeom>
                          <a:solidFill>
                            <a:srgbClr val="BCBEC0"/>
                          </a:solidFill>
                        </wps:spPr>
                        <wps:bodyPr wrap="square" lIns="0" tIns="0" rIns="0" bIns="0" rtlCol="0">
                          <a:prstTxWarp prst="textNoShape">
                            <a:avLst/>
                          </a:prstTxWarp>
                          <a:noAutofit/>
                        </wps:bodyPr>
                      </wps:wsp>
                      <wps:wsp>
                        <wps:cNvPr id="1506" name="Graphic 1506"/>
                        <wps:cNvSpPr/>
                        <wps:spPr>
                          <a:xfrm>
                            <a:off x="322528" y="475383"/>
                            <a:ext cx="4164965" cy="1661160"/>
                          </a:xfrm>
                          <a:custGeom>
                            <a:avLst/>
                            <a:gdLst/>
                            <a:ahLst/>
                            <a:cxnLst/>
                            <a:rect l="l" t="t" r="r" b="b"/>
                            <a:pathLst>
                              <a:path w="4164965" h="1661160">
                                <a:moveTo>
                                  <a:pt x="288874" y="950874"/>
                                </a:moveTo>
                                <a:lnTo>
                                  <a:pt x="0" y="950874"/>
                                </a:lnTo>
                                <a:lnTo>
                                  <a:pt x="0" y="1661033"/>
                                </a:lnTo>
                                <a:lnTo>
                                  <a:pt x="288874" y="1661033"/>
                                </a:lnTo>
                                <a:lnTo>
                                  <a:pt x="288874" y="950874"/>
                                </a:lnTo>
                                <a:close/>
                              </a:path>
                              <a:path w="4164965" h="1661160">
                                <a:moveTo>
                                  <a:pt x="1576755" y="204622"/>
                                </a:moveTo>
                                <a:lnTo>
                                  <a:pt x="1287881" y="204622"/>
                                </a:lnTo>
                                <a:lnTo>
                                  <a:pt x="1287881" y="1661033"/>
                                </a:lnTo>
                                <a:lnTo>
                                  <a:pt x="1576755" y="1661033"/>
                                </a:lnTo>
                                <a:lnTo>
                                  <a:pt x="1576755" y="204622"/>
                                </a:lnTo>
                                <a:close/>
                              </a:path>
                              <a:path w="4164965" h="1661160">
                                <a:moveTo>
                                  <a:pt x="2864637" y="120370"/>
                                </a:moveTo>
                                <a:lnTo>
                                  <a:pt x="2575776" y="120370"/>
                                </a:lnTo>
                                <a:lnTo>
                                  <a:pt x="2575776" y="1661033"/>
                                </a:lnTo>
                                <a:lnTo>
                                  <a:pt x="2864637" y="1661033"/>
                                </a:lnTo>
                                <a:lnTo>
                                  <a:pt x="2864637" y="120370"/>
                                </a:lnTo>
                                <a:close/>
                              </a:path>
                              <a:path w="4164965" h="1661160">
                                <a:moveTo>
                                  <a:pt x="4164571" y="0"/>
                                </a:moveTo>
                                <a:lnTo>
                                  <a:pt x="3875697" y="0"/>
                                </a:lnTo>
                                <a:lnTo>
                                  <a:pt x="3875697" y="1661020"/>
                                </a:lnTo>
                                <a:lnTo>
                                  <a:pt x="4164571" y="1661020"/>
                                </a:lnTo>
                                <a:lnTo>
                                  <a:pt x="4164571" y="0"/>
                                </a:lnTo>
                                <a:close/>
                              </a:path>
                            </a:pathLst>
                          </a:custGeom>
                          <a:solidFill>
                            <a:srgbClr val="105C84"/>
                          </a:solidFill>
                        </wps:spPr>
                        <wps:bodyPr wrap="square" lIns="0" tIns="0" rIns="0" bIns="0" rtlCol="0">
                          <a:prstTxWarp prst="textNoShape">
                            <a:avLst/>
                          </a:prstTxWarp>
                          <a:noAutofit/>
                        </wps:bodyPr>
                      </wps:wsp>
                      <wps:wsp>
                        <wps:cNvPr id="1507" name="Graphic 1507"/>
                        <wps:cNvSpPr/>
                        <wps:spPr>
                          <a:xfrm>
                            <a:off x="683614" y="427237"/>
                            <a:ext cx="4164965" cy="1709420"/>
                          </a:xfrm>
                          <a:custGeom>
                            <a:avLst/>
                            <a:gdLst/>
                            <a:ahLst/>
                            <a:cxnLst/>
                            <a:rect l="l" t="t" r="r" b="b"/>
                            <a:pathLst>
                              <a:path w="4164965" h="1709420">
                                <a:moveTo>
                                  <a:pt x="288874" y="830503"/>
                                </a:moveTo>
                                <a:lnTo>
                                  <a:pt x="0" y="830503"/>
                                </a:lnTo>
                                <a:lnTo>
                                  <a:pt x="0" y="1709153"/>
                                </a:lnTo>
                                <a:lnTo>
                                  <a:pt x="288874" y="1709153"/>
                                </a:lnTo>
                                <a:lnTo>
                                  <a:pt x="288874" y="830503"/>
                                </a:lnTo>
                                <a:close/>
                              </a:path>
                              <a:path w="4164965" h="1709420">
                                <a:moveTo>
                                  <a:pt x="1588808" y="240741"/>
                                </a:moveTo>
                                <a:lnTo>
                                  <a:pt x="1299933" y="240741"/>
                                </a:lnTo>
                                <a:lnTo>
                                  <a:pt x="1299933" y="1709178"/>
                                </a:lnTo>
                                <a:lnTo>
                                  <a:pt x="1588808" y="1709178"/>
                                </a:lnTo>
                                <a:lnTo>
                                  <a:pt x="1588808" y="240741"/>
                                </a:lnTo>
                                <a:close/>
                              </a:path>
                              <a:path w="4164965" h="1709420">
                                <a:moveTo>
                                  <a:pt x="2876677" y="48145"/>
                                </a:moveTo>
                                <a:lnTo>
                                  <a:pt x="2587815" y="48145"/>
                                </a:lnTo>
                                <a:lnTo>
                                  <a:pt x="2587815" y="1709166"/>
                                </a:lnTo>
                                <a:lnTo>
                                  <a:pt x="2876677" y="1709166"/>
                                </a:lnTo>
                                <a:lnTo>
                                  <a:pt x="2876677" y="48145"/>
                                </a:lnTo>
                                <a:close/>
                              </a:path>
                              <a:path w="4164965" h="1709420">
                                <a:moveTo>
                                  <a:pt x="4164571" y="0"/>
                                </a:moveTo>
                                <a:lnTo>
                                  <a:pt x="3875697" y="0"/>
                                </a:lnTo>
                                <a:lnTo>
                                  <a:pt x="3875697" y="1709153"/>
                                </a:lnTo>
                                <a:lnTo>
                                  <a:pt x="4164571" y="1709153"/>
                                </a:lnTo>
                                <a:lnTo>
                                  <a:pt x="4164571" y="0"/>
                                </a:lnTo>
                                <a:close/>
                              </a:path>
                            </a:pathLst>
                          </a:custGeom>
                          <a:solidFill>
                            <a:srgbClr val="BCBEC0"/>
                          </a:solidFill>
                        </wps:spPr>
                        <wps:bodyPr wrap="square" lIns="0" tIns="0" rIns="0" bIns="0" rtlCol="0">
                          <a:prstTxWarp prst="textNoShape">
                            <a:avLst/>
                          </a:prstTxWarp>
                          <a:noAutofit/>
                        </wps:bodyPr>
                      </wps:wsp>
                      <wps:wsp>
                        <wps:cNvPr id="1508" name="Graphic 1508"/>
                        <wps:cNvSpPr/>
                        <wps:spPr>
                          <a:xfrm>
                            <a:off x="436881" y="1143410"/>
                            <a:ext cx="60325" cy="557530"/>
                          </a:xfrm>
                          <a:custGeom>
                            <a:avLst/>
                            <a:gdLst/>
                            <a:ahLst/>
                            <a:cxnLst/>
                            <a:rect l="l" t="t" r="r" b="b"/>
                            <a:pathLst>
                              <a:path w="60325" h="557530">
                                <a:moveTo>
                                  <a:pt x="27609" y="1790"/>
                                </a:moveTo>
                                <a:lnTo>
                                  <a:pt x="27609" y="557212"/>
                                </a:lnTo>
                              </a:path>
                              <a:path w="60325" h="557530">
                                <a:moveTo>
                                  <a:pt x="0" y="553669"/>
                                </a:moveTo>
                                <a:lnTo>
                                  <a:pt x="60172" y="553669"/>
                                </a:lnTo>
                              </a:path>
                              <a:path w="60325" h="557530">
                                <a:moveTo>
                                  <a:pt x="0" y="0"/>
                                </a:moveTo>
                                <a:lnTo>
                                  <a:pt x="60172" y="0"/>
                                </a:lnTo>
                              </a:path>
                            </a:pathLst>
                          </a:custGeom>
                          <a:ln w="12039">
                            <a:solidFill>
                              <a:srgbClr val="989A9C"/>
                            </a:solidFill>
                            <a:prstDash val="solid"/>
                          </a:ln>
                        </wps:spPr>
                        <wps:bodyPr wrap="square" lIns="0" tIns="0" rIns="0" bIns="0" rtlCol="0">
                          <a:prstTxWarp prst="textNoShape">
                            <a:avLst/>
                          </a:prstTxWarp>
                          <a:noAutofit/>
                        </wps:bodyPr>
                      </wps:wsp>
                      <wps:wsp>
                        <wps:cNvPr id="1509" name="Graphic 1509"/>
                        <wps:cNvSpPr/>
                        <wps:spPr>
                          <a:xfrm>
                            <a:off x="1724765" y="536277"/>
                            <a:ext cx="60325" cy="294640"/>
                          </a:xfrm>
                          <a:custGeom>
                            <a:avLst/>
                            <a:gdLst/>
                            <a:ahLst/>
                            <a:cxnLst/>
                            <a:rect l="l" t="t" r="r" b="b"/>
                            <a:pathLst>
                              <a:path w="60325" h="294640">
                                <a:moveTo>
                                  <a:pt x="30784" y="144437"/>
                                </a:moveTo>
                                <a:lnTo>
                                  <a:pt x="30784" y="288874"/>
                                </a:lnTo>
                              </a:path>
                              <a:path w="60325" h="294640">
                                <a:moveTo>
                                  <a:pt x="30784" y="144437"/>
                                </a:moveTo>
                                <a:lnTo>
                                  <a:pt x="30784" y="0"/>
                                </a:lnTo>
                              </a:path>
                              <a:path w="60325" h="294640">
                                <a:moveTo>
                                  <a:pt x="0" y="294195"/>
                                </a:moveTo>
                                <a:lnTo>
                                  <a:pt x="60172" y="294195"/>
                                </a:lnTo>
                              </a:path>
                              <a:path w="60325" h="294640">
                                <a:moveTo>
                                  <a:pt x="0" y="5308"/>
                                </a:moveTo>
                                <a:lnTo>
                                  <a:pt x="60172" y="5308"/>
                                </a:lnTo>
                              </a:path>
                            </a:pathLst>
                          </a:custGeom>
                          <a:ln w="12039">
                            <a:solidFill>
                              <a:srgbClr val="989A9C"/>
                            </a:solidFill>
                            <a:prstDash val="solid"/>
                          </a:ln>
                        </wps:spPr>
                        <wps:bodyPr wrap="square" lIns="0" tIns="0" rIns="0" bIns="0" rtlCol="0">
                          <a:prstTxWarp prst="textNoShape">
                            <a:avLst/>
                          </a:prstTxWarp>
                          <a:noAutofit/>
                        </wps:bodyPr>
                      </wps:wsp>
                      <wps:wsp>
                        <wps:cNvPr id="1510" name="Graphic 1510"/>
                        <wps:cNvSpPr/>
                        <wps:spPr>
                          <a:xfrm>
                            <a:off x="3024676" y="385123"/>
                            <a:ext cx="48260" cy="421640"/>
                          </a:xfrm>
                          <a:custGeom>
                            <a:avLst/>
                            <a:gdLst/>
                            <a:ahLst/>
                            <a:cxnLst/>
                            <a:rect l="l" t="t" r="r" b="b"/>
                            <a:pathLst>
                              <a:path w="48260" h="421640">
                                <a:moveTo>
                                  <a:pt x="24079" y="216649"/>
                                </a:moveTo>
                                <a:lnTo>
                                  <a:pt x="24079" y="421271"/>
                                </a:lnTo>
                              </a:path>
                              <a:path w="48260" h="421640">
                                <a:moveTo>
                                  <a:pt x="24079" y="216649"/>
                                </a:moveTo>
                                <a:lnTo>
                                  <a:pt x="24079" y="0"/>
                                </a:lnTo>
                              </a:path>
                              <a:path w="48260" h="421640">
                                <a:moveTo>
                                  <a:pt x="0" y="421271"/>
                                </a:moveTo>
                                <a:lnTo>
                                  <a:pt x="48158" y="421271"/>
                                </a:lnTo>
                              </a:path>
                              <a:path w="48260" h="421640">
                                <a:moveTo>
                                  <a:pt x="0" y="0"/>
                                </a:moveTo>
                                <a:lnTo>
                                  <a:pt x="48158" y="0"/>
                                </a:lnTo>
                              </a:path>
                            </a:pathLst>
                          </a:custGeom>
                          <a:ln w="12039">
                            <a:solidFill>
                              <a:srgbClr val="989A9C"/>
                            </a:solidFill>
                            <a:prstDash val="solid"/>
                          </a:ln>
                        </wps:spPr>
                        <wps:bodyPr wrap="square" lIns="0" tIns="0" rIns="0" bIns="0" rtlCol="0">
                          <a:prstTxWarp prst="textNoShape">
                            <a:avLst/>
                          </a:prstTxWarp>
                          <a:noAutofit/>
                        </wps:bodyPr>
                      </wps:wsp>
                      <wps:wsp>
                        <wps:cNvPr id="1511" name="Graphic 1511"/>
                        <wps:cNvSpPr/>
                        <wps:spPr>
                          <a:xfrm>
                            <a:off x="4319642" y="328482"/>
                            <a:ext cx="48260" cy="300990"/>
                          </a:xfrm>
                          <a:custGeom>
                            <a:avLst/>
                            <a:gdLst/>
                            <a:ahLst/>
                            <a:cxnLst/>
                            <a:rect l="l" t="t" r="r" b="b"/>
                            <a:pathLst>
                              <a:path w="48260" h="300990">
                                <a:moveTo>
                                  <a:pt x="24079" y="144437"/>
                                </a:moveTo>
                                <a:lnTo>
                                  <a:pt x="24079" y="300913"/>
                                </a:lnTo>
                              </a:path>
                              <a:path w="48260" h="300990">
                                <a:moveTo>
                                  <a:pt x="24079" y="144437"/>
                                </a:moveTo>
                                <a:lnTo>
                                  <a:pt x="24079" y="0"/>
                                </a:lnTo>
                              </a:path>
                              <a:path w="48260" h="300990">
                                <a:moveTo>
                                  <a:pt x="0" y="300913"/>
                                </a:moveTo>
                                <a:lnTo>
                                  <a:pt x="48158" y="300913"/>
                                </a:lnTo>
                              </a:path>
                              <a:path w="48260" h="300990">
                                <a:moveTo>
                                  <a:pt x="0" y="0"/>
                                </a:moveTo>
                                <a:lnTo>
                                  <a:pt x="48158" y="0"/>
                                </a:lnTo>
                              </a:path>
                            </a:pathLst>
                          </a:custGeom>
                          <a:ln w="12039">
                            <a:solidFill>
                              <a:srgbClr val="989A9C"/>
                            </a:solidFill>
                            <a:prstDash val="solid"/>
                          </a:ln>
                        </wps:spPr>
                        <wps:bodyPr wrap="square" lIns="0" tIns="0" rIns="0" bIns="0" rtlCol="0">
                          <a:prstTxWarp prst="textNoShape">
                            <a:avLst/>
                          </a:prstTxWarp>
                          <a:noAutofit/>
                        </wps:bodyPr>
                      </wps:wsp>
                      <wps:wsp>
                        <wps:cNvPr id="1512" name="Graphic 1512"/>
                        <wps:cNvSpPr/>
                        <wps:spPr>
                          <a:xfrm>
                            <a:off x="809995" y="1191552"/>
                            <a:ext cx="48260" cy="120650"/>
                          </a:xfrm>
                          <a:custGeom>
                            <a:avLst/>
                            <a:gdLst/>
                            <a:ahLst/>
                            <a:cxnLst/>
                            <a:rect l="l" t="t" r="r" b="b"/>
                            <a:pathLst>
                              <a:path w="48260" h="120650">
                                <a:moveTo>
                                  <a:pt x="24079" y="60185"/>
                                </a:moveTo>
                                <a:lnTo>
                                  <a:pt x="24079" y="120357"/>
                                </a:lnTo>
                              </a:path>
                              <a:path w="48260" h="120650">
                                <a:moveTo>
                                  <a:pt x="24079" y="60185"/>
                                </a:moveTo>
                                <a:lnTo>
                                  <a:pt x="24079" y="0"/>
                                </a:lnTo>
                              </a:path>
                              <a:path w="48260" h="120650">
                                <a:moveTo>
                                  <a:pt x="0" y="120357"/>
                                </a:moveTo>
                                <a:lnTo>
                                  <a:pt x="48158" y="120357"/>
                                </a:lnTo>
                              </a:path>
                              <a:path w="48260" h="120650">
                                <a:moveTo>
                                  <a:pt x="0" y="0"/>
                                </a:moveTo>
                                <a:lnTo>
                                  <a:pt x="48158" y="0"/>
                                </a:lnTo>
                              </a:path>
                            </a:pathLst>
                          </a:custGeom>
                          <a:ln w="12039">
                            <a:solidFill>
                              <a:srgbClr val="989A9C"/>
                            </a:solidFill>
                            <a:prstDash val="solid"/>
                          </a:ln>
                        </wps:spPr>
                        <wps:bodyPr wrap="square" lIns="0" tIns="0" rIns="0" bIns="0" rtlCol="0">
                          <a:prstTxWarp prst="textNoShape">
                            <a:avLst/>
                          </a:prstTxWarp>
                          <a:noAutofit/>
                        </wps:bodyPr>
                      </wps:wsp>
                      <wps:wsp>
                        <wps:cNvPr id="1513" name="Graphic 1513"/>
                        <wps:cNvSpPr/>
                        <wps:spPr>
                          <a:xfrm>
                            <a:off x="2097879" y="625849"/>
                            <a:ext cx="48260" cy="84455"/>
                          </a:xfrm>
                          <a:custGeom>
                            <a:avLst/>
                            <a:gdLst/>
                            <a:ahLst/>
                            <a:cxnLst/>
                            <a:rect l="l" t="t" r="r" b="b"/>
                            <a:pathLst>
                              <a:path w="48260" h="84455">
                                <a:moveTo>
                                  <a:pt x="24079" y="36106"/>
                                </a:moveTo>
                                <a:lnTo>
                                  <a:pt x="24079" y="84251"/>
                                </a:lnTo>
                              </a:path>
                              <a:path w="48260" h="84455">
                                <a:moveTo>
                                  <a:pt x="24079" y="36106"/>
                                </a:moveTo>
                                <a:lnTo>
                                  <a:pt x="24079" y="0"/>
                                </a:lnTo>
                              </a:path>
                              <a:path w="48260" h="84455">
                                <a:moveTo>
                                  <a:pt x="0" y="84251"/>
                                </a:moveTo>
                                <a:lnTo>
                                  <a:pt x="48158" y="84251"/>
                                </a:lnTo>
                              </a:path>
                              <a:path w="48260" h="84455">
                                <a:moveTo>
                                  <a:pt x="0" y="0"/>
                                </a:moveTo>
                                <a:lnTo>
                                  <a:pt x="48158" y="0"/>
                                </a:lnTo>
                              </a:path>
                            </a:pathLst>
                          </a:custGeom>
                          <a:ln w="12039">
                            <a:solidFill>
                              <a:srgbClr val="989A9C"/>
                            </a:solidFill>
                            <a:prstDash val="solid"/>
                          </a:ln>
                        </wps:spPr>
                        <wps:bodyPr wrap="square" lIns="0" tIns="0" rIns="0" bIns="0" rtlCol="0">
                          <a:prstTxWarp prst="textNoShape">
                            <a:avLst/>
                          </a:prstTxWarp>
                          <a:noAutofit/>
                        </wps:bodyPr>
                      </wps:wsp>
                      <wps:wsp>
                        <wps:cNvPr id="1514" name="Graphic 1514"/>
                        <wps:cNvSpPr/>
                        <wps:spPr>
                          <a:xfrm>
                            <a:off x="3385757" y="433266"/>
                            <a:ext cx="49530" cy="84455"/>
                          </a:xfrm>
                          <a:custGeom>
                            <a:avLst/>
                            <a:gdLst/>
                            <a:ahLst/>
                            <a:cxnLst/>
                            <a:rect l="l" t="t" r="r" b="b"/>
                            <a:pathLst>
                              <a:path w="49530" h="84455">
                                <a:moveTo>
                                  <a:pt x="24079" y="36106"/>
                                </a:moveTo>
                                <a:lnTo>
                                  <a:pt x="24079" y="84251"/>
                                </a:lnTo>
                              </a:path>
                              <a:path w="49530" h="84455">
                                <a:moveTo>
                                  <a:pt x="24079" y="36106"/>
                                </a:moveTo>
                                <a:lnTo>
                                  <a:pt x="24079" y="0"/>
                                </a:lnTo>
                              </a:path>
                              <a:path w="49530" h="84455">
                                <a:moveTo>
                                  <a:pt x="0" y="84251"/>
                                </a:moveTo>
                                <a:lnTo>
                                  <a:pt x="49148" y="84251"/>
                                </a:lnTo>
                              </a:path>
                              <a:path w="49530" h="84455">
                                <a:moveTo>
                                  <a:pt x="0" y="0"/>
                                </a:moveTo>
                                <a:lnTo>
                                  <a:pt x="49148" y="0"/>
                                </a:lnTo>
                              </a:path>
                            </a:pathLst>
                          </a:custGeom>
                          <a:ln w="12039">
                            <a:solidFill>
                              <a:srgbClr val="989A9C"/>
                            </a:solidFill>
                            <a:prstDash val="solid"/>
                          </a:ln>
                        </wps:spPr>
                        <wps:bodyPr wrap="square" lIns="0" tIns="0" rIns="0" bIns="0" rtlCol="0">
                          <a:prstTxWarp prst="textNoShape">
                            <a:avLst/>
                          </a:prstTxWarp>
                          <a:noAutofit/>
                        </wps:bodyPr>
                      </wps:wsp>
                      <wps:wsp>
                        <wps:cNvPr id="1515" name="Graphic 1515"/>
                        <wps:cNvSpPr/>
                        <wps:spPr>
                          <a:xfrm>
                            <a:off x="4682458" y="385117"/>
                            <a:ext cx="51435" cy="84455"/>
                          </a:xfrm>
                          <a:custGeom>
                            <a:avLst/>
                            <a:gdLst/>
                            <a:ahLst/>
                            <a:cxnLst/>
                            <a:rect l="l" t="t" r="r" b="b"/>
                            <a:pathLst>
                              <a:path w="51435" h="84455">
                                <a:moveTo>
                                  <a:pt x="27305" y="48145"/>
                                </a:moveTo>
                                <a:lnTo>
                                  <a:pt x="27305" y="84251"/>
                                </a:lnTo>
                              </a:path>
                              <a:path w="51435" h="84455">
                                <a:moveTo>
                                  <a:pt x="27305" y="48145"/>
                                </a:moveTo>
                                <a:lnTo>
                                  <a:pt x="27305" y="0"/>
                                </a:lnTo>
                              </a:path>
                              <a:path w="51435" h="84455">
                                <a:moveTo>
                                  <a:pt x="0" y="84251"/>
                                </a:moveTo>
                                <a:lnTo>
                                  <a:pt x="51384" y="84251"/>
                                </a:lnTo>
                              </a:path>
                              <a:path w="51435" h="84455">
                                <a:moveTo>
                                  <a:pt x="0" y="0"/>
                                </a:moveTo>
                                <a:lnTo>
                                  <a:pt x="51384" y="0"/>
                                </a:lnTo>
                              </a:path>
                            </a:pathLst>
                          </a:custGeom>
                          <a:ln w="12039">
                            <a:solidFill>
                              <a:srgbClr val="989A9C"/>
                            </a:solidFill>
                            <a:prstDash val="solid"/>
                          </a:ln>
                        </wps:spPr>
                        <wps:bodyPr wrap="square" lIns="0" tIns="0" rIns="0" bIns="0" rtlCol="0">
                          <a:prstTxWarp prst="textNoShape">
                            <a:avLst/>
                          </a:prstTxWarp>
                          <a:noAutofit/>
                        </wps:bodyPr>
                      </wps:wsp>
                      <wps:wsp>
                        <wps:cNvPr id="1516" name="Graphic 1516"/>
                        <wps:cNvSpPr/>
                        <wps:spPr>
                          <a:xfrm>
                            <a:off x="3568" y="3972"/>
                            <a:ext cx="5040630" cy="2138680"/>
                          </a:xfrm>
                          <a:custGeom>
                            <a:avLst/>
                            <a:gdLst/>
                            <a:ahLst/>
                            <a:cxnLst/>
                            <a:rect l="l" t="t" r="r" b="b"/>
                            <a:pathLst>
                              <a:path w="5040630" h="2138680">
                                <a:moveTo>
                                  <a:pt x="5040388" y="2138451"/>
                                </a:moveTo>
                                <a:lnTo>
                                  <a:pt x="0" y="2138451"/>
                                </a:lnTo>
                                <a:lnTo>
                                  <a:pt x="0" y="0"/>
                                </a:lnTo>
                              </a:path>
                            </a:pathLst>
                          </a:custGeom>
                          <a:ln w="7137">
                            <a:solidFill>
                              <a:srgbClr val="939598"/>
                            </a:solidFill>
                            <a:prstDash val="solid"/>
                          </a:ln>
                        </wps:spPr>
                        <wps:bodyPr wrap="square" lIns="0" tIns="0" rIns="0" bIns="0" rtlCol="0">
                          <a:prstTxWarp prst="textNoShape">
                            <a:avLst/>
                          </a:prstTxWarp>
                          <a:noAutofit/>
                        </wps:bodyPr>
                      </wps:wsp>
                      <wps:wsp>
                        <wps:cNvPr id="1517" name="Textbox 1517"/>
                        <wps:cNvSpPr txBox="1"/>
                        <wps:spPr>
                          <a:xfrm>
                            <a:off x="360069" y="0"/>
                            <a:ext cx="752475" cy="156210"/>
                          </a:xfrm>
                          <a:prstGeom prst="rect">
                            <a:avLst/>
                          </a:prstGeom>
                        </wps:spPr>
                        <wps:txbx>
                          <w:txbxContent>
                            <w:p>
                              <w:pPr>
                                <w:spacing w:before="11"/>
                                <w:ind w:left="0" w:right="0" w:firstLine="0"/>
                                <w:jc w:val="left"/>
                                <w:rPr>
                                  <w:sz w:val="18"/>
                                </w:rPr>
                              </w:pPr>
                              <w:r>
                                <w:rPr>
                                  <w:color w:val="636466"/>
                                  <w:spacing w:val="-4"/>
                                  <w:sz w:val="18"/>
                                </w:rPr>
                                <w:t>Wayne</w:t>
                              </w:r>
                              <w:r>
                                <w:rPr>
                                  <w:color w:val="636466"/>
                                  <w:spacing w:val="-7"/>
                                  <w:sz w:val="18"/>
                                </w:rPr>
                                <w:t> </w:t>
                              </w:r>
                              <w:r>
                                <w:rPr>
                                  <w:color w:val="636466"/>
                                  <w:spacing w:val="-2"/>
                                  <w:sz w:val="18"/>
                                </w:rPr>
                                <w:t>County</w:t>
                              </w:r>
                            </w:p>
                          </w:txbxContent>
                        </wps:txbx>
                        <wps:bodyPr wrap="square" lIns="0" tIns="0" rIns="0" bIns="0" rtlCol="0">
                          <a:noAutofit/>
                        </wps:bodyPr>
                      </wps:wsp>
                      <wps:wsp>
                        <wps:cNvPr id="1518" name="Textbox 1518"/>
                        <wps:cNvSpPr txBox="1"/>
                        <wps:spPr>
                          <a:xfrm>
                            <a:off x="1441118" y="0"/>
                            <a:ext cx="730885" cy="156210"/>
                          </a:xfrm>
                          <a:prstGeom prst="rect">
                            <a:avLst/>
                          </a:prstGeom>
                        </wps:spPr>
                        <wps:txbx>
                          <w:txbxContent>
                            <w:p>
                              <w:pPr>
                                <w:spacing w:before="11"/>
                                <w:ind w:left="0" w:right="0" w:firstLine="0"/>
                                <w:jc w:val="left"/>
                                <w:rPr>
                                  <w:sz w:val="18"/>
                                </w:rPr>
                              </w:pPr>
                              <w:r>
                                <w:rPr>
                                  <w:color w:val="636466"/>
                                  <w:spacing w:val="-6"/>
                                  <w:sz w:val="18"/>
                                </w:rPr>
                                <w:t>NYS</w:t>
                              </w:r>
                              <w:r>
                                <w:rPr>
                                  <w:color w:val="636466"/>
                                  <w:spacing w:val="-7"/>
                                  <w:sz w:val="18"/>
                                </w:rPr>
                                <w:t> </w:t>
                              </w:r>
                              <w:r>
                                <w:rPr>
                                  <w:color w:val="636466"/>
                                  <w:spacing w:val="-6"/>
                                  <w:sz w:val="18"/>
                                </w:rPr>
                                <w:t>Excl NYC</w:t>
                              </w:r>
                            </w:p>
                          </w:txbxContent>
                        </wps:txbx>
                        <wps:bodyPr wrap="square" lIns="0" tIns="0" rIns="0" bIns="0" rtlCol="0">
                          <a:noAutofit/>
                        </wps:bodyPr>
                      </wps:wsp>
                    </wpg:wgp>
                  </a:graphicData>
                </a:graphic>
              </wp:anchor>
            </w:drawing>
          </mc:Choice>
          <mc:Fallback>
            <w:pict>
              <v:group style="position:absolute;margin-left:709.667114pt;margin-top:2.319618pt;width:397.45pt;height:169pt;mso-position-horizontal-relative:page;mso-position-vertical-relative:paragraph;z-index:15883264" id="docshapegroup1191" coordorigin="14193,46" coordsize="7949,3380">
                <v:rect style="position:absolute;left:14594;top:119;width:107;height:107" id="docshape1192" filled="true" fillcolor="#105c84" stroked="false">
                  <v:fill type="solid"/>
                </v:rect>
                <v:rect style="position:absolute;left:16292;top:119;width:107;height:107" id="docshape1193" filled="true" fillcolor="#bcbec0" stroked="false">
                  <v:fill type="solid"/>
                </v:rect>
                <v:shape style="position:absolute;left:14701;top:795;width:6559;height:2616" id="docshape1194" coordorigin="14701,795" coordsize="6559,2616" path="m15156,2292l14701,2292,14701,3411,15156,3411,15156,2292xm17184,1117l16729,1117,16729,3411,17184,3411,17184,1117xm19213,985l18758,985,18758,3411,19213,3411,19213,985xm21260,795l20805,795,20805,3411,21260,3411,21260,795xe" filled="true" fillcolor="#105c84" stroked="false">
                  <v:path arrowok="t"/>
                  <v:fill type="solid"/>
                </v:shape>
                <v:shape style="position:absolute;left:15269;top:719;width:6559;height:2692" id="docshape1195" coordorigin="15270,719" coordsize="6559,2692" path="m15725,2027l15270,2027,15270,3411,15725,3411,15725,2027xm17772,1098l17317,1098,17317,3411,17772,3411,17772,1098xm19800,795l19345,795,19345,3411,19800,3411,19800,795xm21828,719l21373,719,21373,3411,21828,3411,21828,719xe" filled="true" fillcolor="#bcbec0" stroked="false">
                  <v:path arrowok="t"/>
                  <v:fill type="solid"/>
                </v:shape>
                <v:shape style="position:absolute;left:14881;top:1847;width:95;height:878" id="docshape1196" coordorigin="14881,1847" coordsize="95,878" path="m14925,1850l14925,2725m14881,2719l14976,2719m14881,1847l14976,1847e" filled="false" stroked="true" strokeweight=".948pt" strokecolor="#989a9c">
                  <v:path arrowok="t"/>
                  <v:stroke dashstyle="solid"/>
                </v:shape>
                <v:shape style="position:absolute;left:16909;top:890;width:95;height:464" id="docshape1197" coordorigin="16910,891" coordsize="95,464" path="m16958,1118l16958,1346m16958,1118l16958,891m16910,1354l17004,1354m16910,899l17004,899e" filled="false" stroked="true" strokeweight=".948pt" strokecolor="#989a9c">
                  <v:path arrowok="t"/>
                  <v:stroke dashstyle="solid"/>
                </v:shape>
                <v:shape style="position:absolute;left:18956;top:652;width:76;height:664" id="docshape1198" coordorigin="18957,653" coordsize="76,664" path="m18995,994l18995,1316m18995,994l18995,653m18957,1316l19032,1316m18957,653l19032,653e" filled="false" stroked="true" strokeweight=".948pt" strokecolor="#989a9c">
                  <v:path arrowok="t"/>
                  <v:stroke dashstyle="solid"/>
                </v:shape>
                <v:shape style="position:absolute;left:20995;top:563;width:76;height:474" id="docshape1199" coordorigin="20996,564" coordsize="76,474" path="m21034,791l21034,1038m21034,791l21034,564m20996,1038l21072,1038m20996,564l21072,564e" filled="false" stroked="true" strokeweight=".948pt" strokecolor="#989a9c">
                  <v:path arrowok="t"/>
                  <v:stroke dashstyle="solid"/>
                </v:shape>
                <v:shape style="position:absolute;left:15468;top:1922;width:76;height:190" id="docshape1200" coordorigin="15469,1923" coordsize="76,190" path="m15507,2018l15507,2112m15507,2018l15507,1923m15469,2112l15545,2112m15469,1923l15545,1923e" filled="false" stroked="true" strokeweight=".948pt" strokecolor="#989a9c">
                  <v:path arrowok="t"/>
                  <v:stroke dashstyle="solid"/>
                </v:shape>
                <v:shape style="position:absolute;left:17497;top:1031;width:76;height:133" id="docshape1201" coordorigin="17497,1032" coordsize="76,133" path="m17535,1089l17535,1165m17535,1089l17535,1032m17497,1165l17573,1165m17497,1032l17573,1032e" filled="false" stroked="true" strokeweight=".948pt" strokecolor="#989a9c">
                  <v:path arrowok="t"/>
                  <v:stroke dashstyle="solid"/>
                </v:shape>
                <v:shape style="position:absolute;left:19525;top:728;width:78;height:133" id="docshape1202" coordorigin="19525,729" coordsize="78,133" path="m19563,786l19563,861m19563,786l19563,729m19525,861l19603,861m19525,729l19603,729e" filled="false" stroked="true" strokeweight=".948pt" strokecolor="#989a9c">
                  <v:path arrowok="t"/>
                  <v:stroke dashstyle="solid"/>
                </v:shape>
                <v:shape style="position:absolute;left:21567;top:652;width:81;height:133" id="docshape1203" coordorigin="21567,653" coordsize="81,133" path="m21610,729l21610,786m21610,729l21610,653m21567,786l21648,786m21567,653l21648,653e" filled="false" stroked="true" strokeweight=".948pt" strokecolor="#989a9c">
                  <v:path arrowok="t"/>
                  <v:stroke dashstyle="solid"/>
                </v:shape>
                <v:shape style="position:absolute;left:14198;top:52;width:7938;height:3368" id="docshape1204" coordorigin="14199,53" coordsize="7938,3368" path="m22137,3420l14199,3420,14199,53e" filled="false" stroked="true" strokeweight=".562pt" strokecolor="#939598">
                  <v:path arrowok="t"/>
                  <v:stroke dashstyle="solid"/>
                </v:shape>
                <v:shape style="position:absolute;left:14760;top:46;width:1185;height:246" type="#_x0000_t202" id="docshape1205" filled="false" stroked="false">
                  <v:textbox inset="0,0,0,0">
                    <w:txbxContent>
                      <w:p>
                        <w:pPr>
                          <w:spacing w:before="11"/>
                          <w:ind w:left="0" w:right="0" w:firstLine="0"/>
                          <w:jc w:val="left"/>
                          <w:rPr>
                            <w:sz w:val="18"/>
                          </w:rPr>
                        </w:pPr>
                        <w:r>
                          <w:rPr>
                            <w:color w:val="636466"/>
                            <w:spacing w:val="-4"/>
                            <w:sz w:val="18"/>
                          </w:rPr>
                          <w:t>Wayne</w:t>
                        </w:r>
                        <w:r>
                          <w:rPr>
                            <w:color w:val="636466"/>
                            <w:spacing w:val="-7"/>
                            <w:sz w:val="18"/>
                          </w:rPr>
                          <w:t> </w:t>
                        </w:r>
                        <w:r>
                          <w:rPr>
                            <w:color w:val="636466"/>
                            <w:spacing w:val="-2"/>
                            <w:sz w:val="18"/>
                          </w:rPr>
                          <w:t>County</w:t>
                        </w:r>
                      </w:p>
                    </w:txbxContent>
                  </v:textbox>
                  <w10:wrap type="none"/>
                </v:shape>
                <v:shape style="position:absolute;left:16462;top:46;width:1151;height:246" type="#_x0000_t202" id="docshape1206" filled="false" stroked="false">
                  <v:textbox inset="0,0,0,0">
                    <w:txbxContent>
                      <w:p>
                        <w:pPr>
                          <w:spacing w:before="11"/>
                          <w:ind w:left="0" w:right="0" w:firstLine="0"/>
                          <w:jc w:val="left"/>
                          <w:rPr>
                            <w:sz w:val="18"/>
                          </w:rPr>
                        </w:pPr>
                        <w:r>
                          <w:rPr>
                            <w:color w:val="636466"/>
                            <w:spacing w:val="-6"/>
                            <w:sz w:val="18"/>
                          </w:rPr>
                          <w:t>NYS</w:t>
                        </w:r>
                        <w:r>
                          <w:rPr>
                            <w:color w:val="636466"/>
                            <w:spacing w:val="-7"/>
                            <w:sz w:val="18"/>
                          </w:rPr>
                          <w:t> </w:t>
                        </w:r>
                        <w:r>
                          <w:rPr>
                            <w:color w:val="636466"/>
                            <w:spacing w:val="-6"/>
                            <w:sz w:val="18"/>
                          </w:rPr>
                          <w:t>Excl NYC</w:t>
                        </w:r>
                      </w:p>
                    </w:txbxContent>
                  </v:textbox>
                  <w10:wrap type="none"/>
                </v:shape>
                <w10:wrap type="none"/>
              </v:group>
            </w:pict>
          </mc:Fallback>
        </mc:AlternateContent>
      </w:r>
      <w:r>
        <w:rPr>
          <w:color w:val="636466"/>
          <w:spacing w:val="-4"/>
          <w:sz w:val="16"/>
        </w:rPr>
        <w:t>100%</w:t>
      </w:r>
    </w:p>
    <w:p>
      <w:pPr>
        <w:spacing w:before="139"/>
        <w:ind w:left="426" w:right="0" w:firstLine="0"/>
        <w:jc w:val="left"/>
        <w:rPr>
          <w:sz w:val="16"/>
        </w:rPr>
      </w:pPr>
      <w:r>
        <w:rPr>
          <w:color w:val="636466"/>
          <w:spacing w:val="-5"/>
          <w:sz w:val="16"/>
        </w:rPr>
        <w:t>90%</w:t>
      </w:r>
    </w:p>
    <w:p>
      <w:pPr>
        <w:spacing w:before="157"/>
        <w:ind w:left="426" w:right="0" w:firstLine="0"/>
        <w:jc w:val="left"/>
        <w:rPr>
          <w:sz w:val="16"/>
        </w:rPr>
      </w:pPr>
      <w:r>
        <w:rPr>
          <w:sz w:val="16"/>
        </w:rPr>
        <mc:AlternateContent>
          <mc:Choice Requires="wps">
            <w:drawing>
              <wp:anchor distT="0" distB="0" distL="0" distR="0" allowOverlap="1" layoutInCell="1" locked="0" behindDoc="0" simplePos="0" relativeHeight="15883776">
                <wp:simplePos x="0" y="0"/>
                <wp:positionH relativeFrom="page">
                  <wp:posOffset>8454962</wp:posOffset>
                </wp:positionH>
                <wp:positionV relativeFrom="paragraph">
                  <wp:posOffset>112206</wp:posOffset>
                </wp:positionV>
                <wp:extent cx="181610" cy="1287145"/>
                <wp:effectExtent l="0" t="0" r="0" b="0"/>
                <wp:wrapNone/>
                <wp:docPr id="1519" name="Textbox 1519"/>
                <wp:cNvGraphicFramePr>
                  <a:graphicFrameLocks/>
                </wp:cNvGraphicFramePr>
                <a:graphic>
                  <a:graphicData uri="http://schemas.microsoft.com/office/word/2010/wordprocessingShape">
                    <wps:wsp>
                      <wps:cNvPr id="1519" name="Textbox 1519"/>
                      <wps:cNvSpPr txBox="1"/>
                      <wps:spPr>
                        <a:xfrm>
                          <a:off x="0" y="0"/>
                          <a:ext cx="181610" cy="1287145"/>
                        </a:xfrm>
                        <a:prstGeom prst="rect">
                          <a:avLst/>
                        </a:prstGeom>
                      </wps:spPr>
                      <wps:txbx>
                        <w:txbxContent>
                          <w:p>
                            <w:pPr>
                              <w:spacing w:before="31"/>
                              <w:ind w:left="20" w:right="0" w:firstLine="0"/>
                              <w:jc w:val="left"/>
                              <w:rPr>
                                <w:sz w:val="18"/>
                              </w:rPr>
                            </w:pPr>
                            <w:r>
                              <w:rPr>
                                <w:color w:val="105C84"/>
                                <w:sz w:val="18"/>
                              </w:rPr>
                              <w:t>Percent</w:t>
                            </w:r>
                            <w:r>
                              <w:rPr>
                                <w:color w:val="105C84"/>
                                <w:spacing w:val="4"/>
                                <w:sz w:val="18"/>
                              </w:rPr>
                              <w:t> </w:t>
                            </w:r>
                            <w:r>
                              <w:rPr>
                                <w:color w:val="105C84"/>
                                <w:sz w:val="18"/>
                              </w:rPr>
                              <w:t>of</w:t>
                            </w:r>
                            <w:r>
                              <w:rPr>
                                <w:color w:val="105C84"/>
                                <w:spacing w:val="4"/>
                                <w:sz w:val="18"/>
                              </w:rPr>
                              <w:t> </w:t>
                            </w:r>
                            <w:r>
                              <w:rPr>
                                <w:color w:val="105C84"/>
                                <w:sz w:val="18"/>
                              </w:rPr>
                              <w:t>eligible</w:t>
                            </w:r>
                            <w:r>
                              <w:rPr>
                                <w:color w:val="105C84"/>
                                <w:spacing w:val="4"/>
                                <w:sz w:val="18"/>
                              </w:rPr>
                              <w:t> </w:t>
                            </w:r>
                            <w:r>
                              <w:rPr>
                                <w:color w:val="105C84"/>
                                <w:spacing w:val="-2"/>
                                <w:sz w:val="18"/>
                              </w:rPr>
                              <w:t>adults</w:t>
                            </w:r>
                          </w:p>
                        </w:txbxContent>
                      </wps:txbx>
                      <wps:bodyPr wrap="square" lIns="0" tIns="0" rIns="0" bIns="0" rtlCol="0" vert="vert270">
                        <a:noAutofit/>
                      </wps:bodyPr>
                    </wps:wsp>
                  </a:graphicData>
                </a:graphic>
              </wp:anchor>
            </w:drawing>
          </mc:Choice>
          <mc:Fallback>
            <w:pict>
              <v:shape style="position:absolute;margin-left:665.745117pt;margin-top:8.835176pt;width:14.3pt;height:101.35pt;mso-position-horizontal-relative:page;mso-position-vertical-relative:paragraph;z-index:15883776" type="#_x0000_t202" id="docshape1207" filled="false" stroked="false">
                <v:textbox inset="0,0,0,0" style="layout-flow:vertical;mso-layout-flow-alt:bottom-to-top">
                  <w:txbxContent>
                    <w:p>
                      <w:pPr>
                        <w:spacing w:before="31"/>
                        <w:ind w:left="20" w:right="0" w:firstLine="0"/>
                        <w:jc w:val="left"/>
                        <w:rPr>
                          <w:sz w:val="18"/>
                        </w:rPr>
                      </w:pPr>
                      <w:r>
                        <w:rPr>
                          <w:color w:val="105C84"/>
                          <w:sz w:val="18"/>
                        </w:rPr>
                        <w:t>Percent</w:t>
                      </w:r>
                      <w:r>
                        <w:rPr>
                          <w:color w:val="105C84"/>
                          <w:spacing w:val="4"/>
                          <w:sz w:val="18"/>
                        </w:rPr>
                        <w:t> </w:t>
                      </w:r>
                      <w:r>
                        <w:rPr>
                          <w:color w:val="105C84"/>
                          <w:sz w:val="18"/>
                        </w:rPr>
                        <w:t>of</w:t>
                      </w:r>
                      <w:r>
                        <w:rPr>
                          <w:color w:val="105C84"/>
                          <w:spacing w:val="4"/>
                          <w:sz w:val="18"/>
                        </w:rPr>
                        <w:t> </w:t>
                      </w:r>
                      <w:r>
                        <w:rPr>
                          <w:color w:val="105C84"/>
                          <w:sz w:val="18"/>
                        </w:rPr>
                        <w:t>eligible</w:t>
                      </w:r>
                      <w:r>
                        <w:rPr>
                          <w:color w:val="105C84"/>
                          <w:spacing w:val="4"/>
                          <w:sz w:val="18"/>
                        </w:rPr>
                        <w:t> </w:t>
                      </w:r>
                      <w:r>
                        <w:rPr>
                          <w:color w:val="105C84"/>
                          <w:spacing w:val="-2"/>
                          <w:sz w:val="18"/>
                        </w:rPr>
                        <w:t>adults</w:t>
                      </w:r>
                    </w:p>
                  </w:txbxContent>
                </v:textbox>
                <w10:wrap type="none"/>
              </v:shape>
            </w:pict>
          </mc:Fallback>
        </mc:AlternateContent>
      </w:r>
      <w:r>
        <w:rPr>
          <w:color w:val="636466"/>
          <w:spacing w:val="-5"/>
          <w:sz w:val="16"/>
        </w:rPr>
        <w:t>80%</w:t>
      </w:r>
    </w:p>
    <w:p>
      <w:pPr>
        <w:spacing w:before="138"/>
        <w:ind w:left="426" w:right="0" w:firstLine="0"/>
        <w:jc w:val="left"/>
        <w:rPr>
          <w:sz w:val="16"/>
        </w:rPr>
      </w:pPr>
      <w:r>
        <w:rPr>
          <w:color w:val="636466"/>
          <w:spacing w:val="-5"/>
          <w:sz w:val="16"/>
        </w:rPr>
        <w:t>70%</w:t>
      </w:r>
    </w:p>
    <w:p>
      <w:pPr>
        <w:spacing w:before="157"/>
        <w:ind w:left="426" w:right="0" w:firstLine="0"/>
        <w:jc w:val="left"/>
        <w:rPr>
          <w:sz w:val="16"/>
        </w:rPr>
      </w:pPr>
      <w:r>
        <w:rPr>
          <w:color w:val="636466"/>
          <w:spacing w:val="-5"/>
          <w:sz w:val="16"/>
        </w:rPr>
        <w:t>60%</w:t>
      </w:r>
    </w:p>
    <w:p>
      <w:pPr>
        <w:spacing w:before="139"/>
        <w:ind w:left="426" w:right="0" w:firstLine="0"/>
        <w:jc w:val="left"/>
        <w:rPr>
          <w:sz w:val="16"/>
        </w:rPr>
      </w:pPr>
      <w:r>
        <w:rPr>
          <w:color w:val="636466"/>
          <w:spacing w:val="-5"/>
          <w:sz w:val="16"/>
        </w:rPr>
        <w:t>50%</w:t>
      </w:r>
    </w:p>
    <w:p>
      <w:pPr>
        <w:spacing w:before="157"/>
        <w:ind w:left="426" w:right="0" w:firstLine="0"/>
        <w:jc w:val="left"/>
        <w:rPr>
          <w:sz w:val="16"/>
        </w:rPr>
      </w:pPr>
      <w:r>
        <w:rPr>
          <w:color w:val="636466"/>
          <w:spacing w:val="-5"/>
          <w:sz w:val="16"/>
        </w:rPr>
        <w:t>40%</w:t>
      </w:r>
    </w:p>
    <w:p>
      <w:pPr>
        <w:spacing w:before="138"/>
        <w:ind w:left="426" w:right="0" w:firstLine="0"/>
        <w:jc w:val="left"/>
        <w:rPr>
          <w:sz w:val="16"/>
        </w:rPr>
      </w:pPr>
      <w:r>
        <w:rPr>
          <w:color w:val="636466"/>
          <w:spacing w:val="-5"/>
          <w:sz w:val="16"/>
        </w:rPr>
        <w:t>30%</w:t>
      </w:r>
    </w:p>
    <w:p>
      <w:pPr>
        <w:spacing w:before="157"/>
        <w:ind w:left="426" w:right="0" w:firstLine="0"/>
        <w:jc w:val="left"/>
        <w:rPr>
          <w:sz w:val="16"/>
        </w:rPr>
      </w:pPr>
      <w:r>
        <w:rPr>
          <w:color w:val="636466"/>
          <w:spacing w:val="-5"/>
          <w:sz w:val="16"/>
        </w:rPr>
        <w:t>20%</w:t>
      </w:r>
    </w:p>
    <w:p>
      <w:pPr>
        <w:spacing w:before="138"/>
        <w:ind w:left="426" w:right="0" w:firstLine="0"/>
        <w:jc w:val="left"/>
        <w:rPr>
          <w:sz w:val="16"/>
        </w:rPr>
      </w:pPr>
      <w:r>
        <w:rPr>
          <w:color w:val="636466"/>
          <w:spacing w:val="-5"/>
          <w:sz w:val="16"/>
        </w:rPr>
        <w:t>10%</w:t>
      </w:r>
    </w:p>
    <w:p>
      <w:pPr>
        <w:spacing w:before="157"/>
        <w:ind w:left="502" w:right="0" w:firstLine="0"/>
        <w:jc w:val="left"/>
        <w:rPr>
          <w:sz w:val="16"/>
        </w:rPr>
      </w:pPr>
      <w:r>
        <w:rPr>
          <w:color w:val="636466"/>
          <w:spacing w:val="-5"/>
          <w:sz w:val="16"/>
        </w:rPr>
        <w:t>0%</w:t>
      </w:r>
    </w:p>
    <w:p>
      <w:pPr>
        <w:tabs>
          <w:tab w:pos="3535" w:val="left" w:leader="none"/>
          <w:tab w:pos="5723" w:val="left" w:leader="none"/>
          <w:tab w:pos="7698" w:val="left" w:leader="none"/>
        </w:tabs>
        <w:spacing w:before="6"/>
        <w:ind w:left="1587" w:right="0" w:firstLine="0"/>
        <w:jc w:val="left"/>
        <w:rPr>
          <w:sz w:val="18"/>
        </w:rPr>
      </w:pPr>
      <w:r>
        <w:rPr>
          <w:color w:val="636466"/>
          <w:spacing w:val="-2"/>
          <w:sz w:val="18"/>
        </w:rPr>
        <w:t>Prostate</w:t>
      </w:r>
      <w:r>
        <w:rPr>
          <w:color w:val="636466"/>
          <w:sz w:val="18"/>
        </w:rPr>
        <w:tab/>
      </w:r>
      <w:r>
        <w:rPr>
          <w:color w:val="636466"/>
          <w:spacing w:val="-2"/>
          <w:sz w:val="18"/>
        </w:rPr>
        <w:t>Colorectal</w:t>
      </w:r>
      <w:r>
        <w:rPr>
          <w:color w:val="636466"/>
          <w:sz w:val="18"/>
        </w:rPr>
        <w:tab/>
      </w:r>
      <w:r>
        <w:rPr>
          <w:color w:val="636466"/>
          <w:spacing w:val="-2"/>
          <w:sz w:val="18"/>
        </w:rPr>
        <w:t>Breast</w:t>
      </w:r>
      <w:r>
        <w:rPr>
          <w:color w:val="636466"/>
          <w:sz w:val="18"/>
        </w:rPr>
        <w:tab/>
      </w:r>
      <w:r>
        <w:rPr>
          <w:color w:val="636466"/>
          <w:spacing w:val="-2"/>
          <w:sz w:val="18"/>
        </w:rPr>
        <w:t>Cervical</w:t>
      </w:r>
    </w:p>
    <w:p>
      <w:pPr>
        <w:spacing w:line="249" w:lineRule="auto" w:before="161"/>
        <w:ind w:left="885" w:right="1917" w:firstLine="0"/>
        <w:jc w:val="left"/>
        <w:rPr>
          <w:sz w:val="18"/>
        </w:rPr>
      </w:pPr>
      <w:r>
        <w:rPr>
          <w:color w:val="105C84"/>
          <w:sz w:val="18"/>
        </w:rPr>
        <w:t>Data</w:t>
      </w:r>
      <w:r>
        <w:rPr>
          <w:color w:val="105C84"/>
          <w:spacing w:val="-11"/>
          <w:sz w:val="18"/>
        </w:rPr>
        <w:t> </w:t>
      </w:r>
      <w:r>
        <w:rPr>
          <w:color w:val="105C84"/>
          <w:sz w:val="18"/>
        </w:rPr>
        <w:t>Source:</w:t>
      </w:r>
      <w:r>
        <w:rPr>
          <w:color w:val="105C84"/>
          <w:spacing w:val="-11"/>
          <w:sz w:val="18"/>
        </w:rPr>
        <w:t> </w:t>
      </w:r>
      <w:r>
        <w:rPr>
          <w:color w:val="105C84"/>
          <w:sz w:val="18"/>
        </w:rPr>
        <w:t>Division</w:t>
      </w:r>
      <w:r>
        <w:rPr>
          <w:color w:val="105C84"/>
          <w:spacing w:val="-11"/>
          <w:sz w:val="18"/>
        </w:rPr>
        <w:t> </w:t>
      </w:r>
      <w:r>
        <w:rPr>
          <w:color w:val="105C84"/>
          <w:sz w:val="18"/>
        </w:rPr>
        <w:t>of</w:t>
      </w:r>
      <w:r>
        <w:rPr>
          <w:color w:val="105C84"/>
          <w:spacing w:val="-11"/>
          <w:sz w:val="18"/>
        </w:rPr>
        <w:t> </w:t>
      </w:r>
      <w:r>
        <w:rPr>
          <w:color w:val="105C84"/>
          <w:sz w:val="18"/>
        </w:rPr>
        <w:t>Chronic</w:t>
      </w:r>
      <w:r>
        <w:rPr>
          <w:color w:val="105C84"/>
          <w:spacing w:val="-11"/>
          <w:sz w:val="18"/>
        </w:rPr>
        <w:t> </w:t>
      </w:r>
      <w:r>
        <w:rPr>
          <w:color w:val="105C84"/>
          <w:sz w:val="18"/>
        </w:rPr>
        <w:t>Disease</w:t>
      </w:r>
      <w:r>
        <w:rPr>
          <w:color w:val="105C84"/>
          <w:spacing w:val="-11"/>
          <w:sz w:val="18"/>
        </w:rPr>
        <w:t> </w:t>
      </w:r>
      <w:r>
        <w:rPr>
          <w:color w:val="105C84"/>
          <w:sz w:val="18"/>
        </w:rPr>
        <w:t>and</w:t>
      </w:r>
      <w:r>
        <w:rPr>
          <w:color w:val="105C84"/>
          <w:spacing w:val="-11"/>
          <w:sz w:val="18"/>
        </w:rPr>
        <w:t> </w:t>
      </w:r>
      <w:r>
        <w:rPr>
          <w:color w:val="105C84"/>
          <w:sz w:val="18"/>
        </w:rPr>
        <w:t>Injury</w:t>
      </w:r>
      <w:r>
        <w:rPr>
          <w:color w:val="105C84"/>
          <w:spacing w:val="-11"/>
          <w:sz w:val="18"/>
        </w:rPr>
        <w:t> </w:t>
      </w:r>
      <w:r>
        <w:rPr>
          <w:color w:val="105C84"/>
          <w:sz w:val="18"/>
        </w:rPr>
        <w:t>Prevention,</w:t>
      </w:r>
      <w:r>
        <w:rPr>
          <w:color w:val="105C84"/>
          <w:spacing w:val="-11"/>
          <w:sz w:val="18"/>
        </w:rPr>
        <w:t> </w:t>
      </w:r>
      <w:r>
        <w:rPr>
          <w:color w:val="105C84"/>
          <w:sz w:val="18"/>
        </w:rPr>
        <w:t>Bureau</w:t>
      </w:r>
      <w:r>
        <w:rPr>
          <w:color w:val="105C84"/>
          <w:spacing w:val="-11"/>
          <w:sz w:val="18"/>
        </w:rPr>
        <w:t> </w:t>
      </w:r>
      <w:r>
        <w:rPr>
          <w:color w:val="105C84"/>
          <w:sz w:val="18"/>
        </w:rPr>
        <w:t>of</w:t>
      </w:r>
      <w:r>
        <w:rPr>
          <w:color w:val="105C84"/>
          <w:spacing w:val="-11"/>
          <w:sz w:val="18"/>
        </w:rPr>
        <w:t> </w:t>
      </w:r>
      <w:r>
        <w:rPr>
          <w:color w:val="105C84"/>
          <w:sz w:val="18"/>
        </w:rPr>
        <w:t>Chronic</w:t>
      </w:r>
      <w:r>
        <w:rPr>
          <w:color w:val="105C84"/>
          <w:spacing w:val="-11"/>
          <w:sz w:val="18"/>
        </w:rPr>
        <w:t> </w:t>
      </w:r>
      <w:r>
        <w:rPr>
          <w:color w:val="105C84"/>
          <w:sz w:val="18"/>
        </w:rPr>
        <w:t>Evaluation and Research, New York State Department of Health, Behavioral Risk Factor Surveillance System, Year 2016. Analysis Completed by Common Ground Health</w:t>
      </w:r>
    </w:p>
    <w:p>
      <w:pPr>
        <w:pStyle w:val="BodyText"/>
        <w:rPr>
          <w:sz w:val="18"/>
        </w:rPr>
      </w:pPr>
    </w:p>
    <w:p>
      <w:pPr>
        <w:pStyle w:val="BodyText"/>
        <w:spacing w:before="86"/>
        <w:rPr>
          <w:sz w:val="18"/>
        </w:rPr>
      </w:pPr>
    </w:p>
    <w:p>
      <w:pPr>
        <w:pStyle w:val="BodyText"/>
        <w:spacing w:line="247" w:lineRule="auto"/>
        <w:ind w:right="718"/>
      </w:pPr>
      <w:r>
        <w:rPr>
          <w:color w:val="105C84"/>
        </w:rPr>
        <w:t>According to survey data from My Health Story, more than half of the respondents indicated they</w:t>
      </w:r>
      <w:r>
        <w:rPr>
          <w:color w:val="105C84"/>
          <w:spacing w:val="40"/>
        </w:rPr>
        <w:t> </w:t>
      </w:r>
      <w:r>
        <w:rPr>
          <w:color w:val="105C84"/>
        </w:rPr>
        <w:t>have</w:t>
      </w:r>
      <w:r>
        <w:rPr>
          <w:color w:val="105C84"/>
          <w:spacing w:val="19"/>
        </w:rPr>
        <w:t> </w:t>
      </w:r>
      <w:r>
        <w:rPr>
          <w:color w:val="105C84"/>
        </w:rPr>
        <w:t>dealt</w:t>
      </w:r>
      <w:r>
        <w:rPr>
          <w:color w:val="105C84"/>
          <w:spacing w:val="19"/>
        </w:rPr>
        <w:t> </w:t>
      </w:r>
      <w:r>
        <w:rPr>
          <w:color w:val="105C84"/>
        </w:rPr>
        <w:t>with</w:t>
      </w:r>
      <w:r>
        <w:rPr>
          <w:color w:val="105C84"/>
          <w:spacing w:val="19"/>
        </w:rPr>
        <w:t> </w:t>
      </w:r>
      <w:r>
        <w:rPr>
          <w:color w:val="105C84"/>
        </w:rPr>
        <w:t>depression</w:t>
      </w:r>
      <w:r>
        <w:rPr>
          <w:color w:val="105C84"/>
          <w:spacing w:val="19"/>
        </w:rPr>
        <w:t> </w:t>
      </w:r>
      <w:r>
        <w:rPr>
          <w:color w:val="105C84"/>
        </w:rPr>
        <w:t>or</w:t>
      </w:r>
      <w:r>
        <w:rPr>
          <w:color w:val="105C84"/>
          <w:spacing w:val="19"/>
        </w:rPr>
        <w:t> </w:t>
      </w:r>
      <w:r>
        <w:rPr>
          <w:color w:val="105C84"/>
        </w:rPr>
        <w:t>sadness</w:t>
      </w:r>
      <w:r>
        <w:rPr>
          <w:color w:val="105C84"/>
          <w:spacing w:val="19"/>
        </w:rPr>
        <w:t> </w:t>
      </w:r>
      <w:r>
        <w:rPr>
          <w:color w:val="105C84"/>
        </w:rPr>
        <w:t>(54%).</w:t>
      </w:r>
      <w:r>
        <w:rPr>
          <w:color w:val="105C84"/>
          <w:spacing w:val="19"/>
        </w:rPr>
        <w:t> </w:t>
      </w:r>
      <w:r>
        <w:rPr>
          <w:color w:val="105C84"/>
        </w:rPr>
        <w:t>Many</w:t>
      </w:r>
      <w:r>
        <w:rPr>
          <w:color w:val="105C84"/>
          <w:spacing w:val="19"/>
        </w:rPr>
        <w:t> </w:t>
      </w:r>
      <w:r>
        <w:rPr>
          <w:color w:val="105C84"/>
        </w:rPr>
        <w:t>others</w:t>
      </w:r>
      <w:r>
        <w:rPr>
          <w:color w:val="105C84"/>
          <w:spacing w:val="19"/>
        </w:rPr>
        <w:t> </w:t>
      </w:r>
      <w:r>
        <w:rPr>
          <w:color w:val="105C84"/>
        </w:rPr>
        <w:t>also</w:t>
      </w:r>
      <w:r>
        <w:rPr>
          <w:color w:val="105C84"/>
          <w:spacing w:val="19"/>
        </w:rPr>
        <w:t> </w:t>
      </w:r>
      <w:r>
        <w:rPr>
          <w:color w:val="105C84"/>
        </w:rPr>
        <w:t>reported</w:t>
      </w:r>
      <w:r>
        <w:rPr>
          <w:color w:val="105C84"/>
          <w:spacing w:val="19"/>
        </w:rPr>
        <w:t> </w:t>
      </w:r>
      <w:r>
        <w:rPr>
          <w:color w:val="105C84"/>
        </w:rPr>
        <w:t>they</w:t>
      </w:r>
      <w:r>
        <w:rPr>
          <w:color w:val="105C84"/>
          <w:spacing w:val="19"/>
        </w:rPr>
        <w:t> </w:t>
      </w:r>
      <w:r>
        <w:rPr>
          <w:color w:val="105C84"/>
        </w:rPr>
        <w:t>personally</w:t>
      </w:r>
      <w:r>
        <w:rPr>
          <w:color w:val="105C84"/>
          <w:spacing w:val="19"/>
        </w:rPr>
        <w:t> </w:t>
      </w:r>
      <w:r>
        <w:rPr>
          <w:color w:val="105C84"/>
        </w:rPr>
        <w:t>dealt with anxiety or fear (43%) and trouble sleeping (37%). For those who have dealt with these mental or emotional health issues, 70.9% of respondents said they got the help they needed. The most commonly reported support was from doctors, counselors and other mental health professionals</w:t>
      </w:r>
      <w:r>
        <w:rPr>
          <w:color w:val="105C84"/>
          <w:spacing w:val="40"/>
        </w:rPr>
        <w:t> </w:t>
      </w:r>
      <w:r>
        <w:rPr>
          <w:color w:val="105C84"/>
        </w:rPr>
        <w:t>followed by support from friends and family.</w:t>
      </w:r>
    </w:p>
    <w:p>
      <w:pPr>
        <w:pStyle w:val="BodyText"/>
        <w:spacing w:after="0" w:line="247" w:lineRule="auto"/>
        <w:sectPr>
          <w:type w:val="continuous"/>
          <w:pgSz w:w="24480" w:h="15840" w:orient="landscape"/>
          <w:pgMar w:header="0" w:footer="0" w:top="0" w:bottom="280" w:left="0" w:right="720"/>
          <w:cols w:num="2" w:equalWidth="0">
            <w:col w:w="11161" w:space="2154"/>
            <w:col w:w="10445"/>
          </w:cols>
        </w:sectPr>
      </w:pPr>
    </w:p>
    <w:p>
      <w:pPr>
        <w:pStyle w:val="BodyText"/>
        <w:rPr>
          <w:sz w:val="20"/>
        </w:rPr>
      </w:pPr>
    </w:p>
    <w:p>
      <w:pPr>
        <w:pStyle w:val="BodyText"/>
        <w:spacing w:before="16"/>
        <w:rPr>
          <w:sz w:val="20"/>
        </w:rPr>
      </w:pPr>
    </w:p>
    <w:p>
      <w:pPr>
        <w:pStyle w:val="BodyText"/>
        <w:spacing w:after="0"/>
        <w:rPr>
          <w:sz w:val="20"/>
        </w:rPr>
        <w:sectPr>
          <w:pgSz w:w="24480" w:h="15840" w:orient="landscape"/>
          <w:pgMar w:header="0" w:footer="0" w:top="860" w:bottom="0" w:left="0" w:right="720"/>
        </w:sectPr>
      </w:pPr>
    </w:p>
    <w:p>
      <w:pPr>
        <w:pStyle w:val="BodyText"/>
        <w:spacing w:line="247" w:lineRule="auto" w:before="113"/>
        <w:ind w:left="1065" w:right="117"/>
      </w:pPr>
      <w:r>
        <w:rPr>
          <w:color w:val="105C84"/>
        </w:rPr>
        <w:t>The 2019 Wayne County Evalumetrics Youth Survey reports more than half of 8th, 10th and 12th</w:t>
      </w:r>
      <w:r>
        <w:rPr>
          <w:color w:val="105C84"/>
          <w:spacing w:val="80"/>
        </w:rPr>
        <w:t> </w:t>
      </w:r>
      <w:r>
        <w:rPr>
          <w:color w:val="105C84"/>
        </w:rPr>
        <w:t>grade</w:t>
      </w:r>
      <w:r>
        <w:rPr>
          <w:color w:val="105C84"/>
          <w:spacing w:val="19"/>
        </w:rPr>
        <w:t> </w:t>
      </w:r>
      <w:r>
        <w:rPr>
          <w:color w:val="105C84"/>
        </w:rPr>
        <w:t>female</w:t>
      </w:r>
      <w:r>
        <w:rPr>
          <w:color w:val="105C84"/>
          <w:spacing w:val="19"/>
        </w:rPr>
        <w:t> </w:t>
      </w:r>
      <w:r>
        <w:rPr>
          <w:color w:val="105C84"/>
        </w:rPr>
        <w:t>students</w:t>
      </w:r>
      <w:r>
        <w:rPr>
          <w:color w:val="105C84"/>
          <w:spacing w:val="19"/>
        </w:rPr>
        <w:t> </w:t>
      </w:r>
      <w:r>
        <w:rPr>
          <w:color w:val="105C84"/>
        </w:rPr>
        <w:t>report</w:t>
      </w:r>
      <w:r>
        <w:rPr>
          <w:color w:val="105C84"/>
          <w:spacing w:val="19"/>
        </w:rPr>
        <w:t> </w:t>
      </w:r>
      <w:r>
        <w:rPr>
          <w:color w:val="105C84"/>
        </w:rPr>
        <w:t>feeling</w:t>
      </w:r>
      <w:r>
        <w:rPr>
          <w:color w:val="105C84"/>
          <w:spacing w:val="19"/>
        </w:rPr>
        <w:t> </w:t>
      </w:r>
      <w:r>
        <w:rPr>
          <w:color w:val="105C84"/>
        </w:rPr>
        <w:t>depressed</w:t>
      </w:r>
      <w:r>
        <w:rPr>
          <w:color w:val="105C84"/>
          <w:spacing w:val="19"/>
        </w:rPr>
        <w:t> </w:t>
      </w:r>
      <w:r>
        <w:rPr>
          <w:color w:val="105C84"/>
        </w:rPr>
        <w:t>or</w:t>
      </w:r>
      <w:r>
        <w:rPr>
          <w:color w:val="105C84"/>
          <w:spacing w:val="19"/>
        </w:rPr>
        <w:t> </w:t>
      </w:r>
      <w:r>
        <w:rPr>
          <w:color w:val="105C84"/>
        </w:rPr>
        <w:t>sad</w:t>
      </w:r>
      <w:r>
        <w:rPr>
          <w:color w:val="105C84"/>
          <w:spacing w:val="19"/>
        </w:rPr>
        <w:t> </w:t>
      </w:r>
      <w:r>
        <w:rPr>
          <w:color w:val="105C84"/>
        </w:rPr>
        <w:t>most</w:t>
      </w:r>
      <w:r>
        <w:rPr>
          <w:color w:val="105C84"/>
          <w:spacing w:val="19"/>
        </w:rPr>
        <w:t> </w:t>
      </w:r>
      <w:r>
        <w:rPr>
          <w:color w:val="105C84"/>
        </w:rPr>
        <w:t>days,</w:t>
      </w:r>
      <w:r>
        <w:rPr>
          <w:color w:val="105C84"/>
          <w:spacing w:val="19"/>
        </w:rPr>
        <w:t> </w:t>
      </w:r>
      <w:r>
        <w:rPr>
          <w:color w:val="105C84"/>
        </w:rPr>
        <w:t>which</w:t>
      </w:r>
      <w:r>
        <w:rPr>
          <w:color w:val="105C84"/>
          <w:spacing w:val="19"/>
        </w:rPr>
        <w:t> </w:t>
      </w:r>
      <w:r>
        <w:rPr>
          <w:color w:val="105C84"/>
        </w:rPr>
        <w:t>is</w:t>
      </w:r>
      <w:r>
        <w:rPr>
          <w:color w:val="105C84"/>
          <w:spacing w:val="19"/>
        </w:rPr>
        <w:t> </w:t>
      </w:r>
      <w:r>
        <w:rPr>
          <w:color w:val="105C84"/>
        </w:rPr>
        <w:t>38</w:t>
      </w:r>
      <w:r>
        <w:rPr>
          <w:color w:val="105C84"/>
          <w:spacing w:val="19"/>
        </w:rPr>
        <w:t> </w:t>
      </w:r>
      <w:r>
        <w:rPr>
          <w:color w:val="105C84"/>
        </w:rPr>
        <w:t>to</w:t>
      </w:r>
      <w:r>
        <w:rPr>
          <w:color w:val="105C84"/>
          <w:spacing w:val="19"/>
        </w:rPr>
        <w:t> </w:t>
      </w:r>
      <w:r>
        <w:rPr>
          <w:color w:val="105C84"/>
        </w:rPr>
        <w:t>40%</w:t>
      </w:r>
      <w:r>
        <w:rPr>
          <w:color w:val="105C84"/>
          <w:spacing w:val="19"/>
        </w:rPr>
        <w:t> </w:t>
      </w:r>
      <w:r>
        <w:rPr>
          <w:color w:val="105C84"/>
        </w:rPr>
        <w:t>higher</w:t>
      </w:r>
      <w:r>
        <w:rPr>
          <w:color w:val="105C84"/>
          <w:spacing w:val="19"/>
        </w:rPr>
        <w:t> </w:t>
      </w:r>
      <w:r>
        <w:rPr>
          <w:color w:val="105C84"/>
        </w:rPr>
        <w:t>than male reports of the same age. These rates have increased since 2015. Of greatest concern for those experiencing depression and other poor mental health factors is suicide attempts. According to the</w:t>
      </w:r>
      <w:r>
        <w:rPr>
          <w:color w:val="105C84"/>
          <w:spacing w:val="80"/>
          <w:w w:val="150"/>
        </w:rPr>
        <w:t> </w:t>
      </w:r>
      <w:r>
        <w:rPr>
          <w:color w:val="105C84"/>
        </w:rPr>
        <w:t>2019 report, 10th and 12th grade females were twice as likely to report making a plan about how they would attempt suicide than males. Rates were particularly high among 8th and 10th graders (12%). Of significance, these rates have decreased from the 2015 report across all grade years and particularly for 10th graders (21%). Finally, the 2019 report revealed females were also more likely to report self-injury over males, with some age groups reaching rates of almost 3x the male rate (Figure 48).</w:t>
      </w:r>
    </w:p>
    <w:p>
      <w:pPr>
        <w:pStyle w:val="BodyText"/>
        <w:spacing w:before="15"/>
      </w:pPr>
    </w:p>
    <w:p>
      <w:pPr>
        <w:pStyle w:val="Heading6"/>
        <w:ind w:left="1065" w:right="637"/>
      </w:pPr>
      <w:r>
        <w:rPr>
          <w:color w:val="105C84"/>
        </w:rPr>
        <w:t>FIGURE</w:t>
      </w:r>
      <w:r>
        <w:rPr>
          <w:color w:val="105C84"/>
          <w:spacing w:val="-19"/>
        </w:rPr>
        <w:t> </w:t>
      </w:r>
      <w:r>
        <w:rPr>
          <w:color w:val="105C84"/>
        </w:rPr>
        <w:t>48:</w:t>
      </w:r>
      <w:r>
        <w:rPr>
          <w:color w:val="105C84"/>
          <w:spacing w:val="-18"/>
        </w:rPr>
        <w:t> </w:t>
      </w:r>
      <w:r>
        <w:rPr>
          <w:color w:val="105C84"/>
        </w:rPr>
        <w:t>Percent</w:t>
      </w:r>
      <w:r>
        <w:rPr>
          <w:color w:val="105C84"/>
          <w:spacing w:val="-18"/>
        </w:rPr>
        <w:t> </w:t>
      </w:r>
      <w:r>
        <w:rPr>
          <w:color w:val="105C84"/>
        </w:rPr>
        <w:t>of</w:t>
      </w:r>
      <w:r>
        <w:rPr>
          <w:color w:val="105C84"/>
          <w:spacing w:val="-18"/>
        </w:rPr>
        <w:t> </w:t>
      </w:r>
      <w:r>
        <w:rPr>
          <w:color w:val="105C84"/>
        </w:rPr>
        <w:t>students</w:t>
      </w:r>
      <w:r>
        <w:rPr>
          <w:color w:val="105C84"/>
          <w:spacing w:val="-18"/>
        </w:rPr>
        <w:t> </w:t>
      </w:r>
      <w:r>
        <w:rPr>
          <w:color w:val="105C84"/>
        </w:rPr>
        <w:t>reporting</w:t>
      </w:r>
      <w:r>
        <w:rPr>
          <w:color w:val="105C84"/>
          <w:spacing w:val="-18"/>
        </w:rPr>
        <w:t> </w:t>
      </w:r>
      <w:r>
        <w:rPr>
          <w:color w:val="105C84"/>
        </w:rPr>
        <w:t>they</w:t>
      </w:r>
      <w:r>
        <w:rPr>
          <w:color w:val="105C84"/>
          <w:spacing w:val="-18"/>
        </w:rPr>
        <w:t> </w:t>
      </w:r>
      <w:r>
        <w:rPr>
          <w:color w:val="105C84"/>
        </w:rPr>
        <w:t>have</w:t>
      </w:r>
      <w:r>
        <w:rPr>
          <w:color w:val="105C84"/>
          <w:spacing w:val="-18"/>
        </w:rPr>
        <w:t> </w:t>
      </w:r>
      <w:r>
        <w:rPr>
          <w:color w:val="105C84"/>
        </w:rPr>
        <w:t>cut</w:t>
      </w:r>
      <w:r>
        <w:rPr>
          <w:color w:val="105C84"/>
          <w:spacing w:val="-18"/>
        </w:rPr>
        <w:t> </w:t>
      </w:r>
      <w:r>
        <w:rPr>
          <w:color w:val="105C84"/>
        </w:rPr>
        <w:t>or</w:t>
      </w:r>
      <w:r>
        <w:rPr>
          <w:color w:val="105C84"/>
          <w:spacing w:val="-18"/>
        </w:rPr>
        <w:t> </w:t>
      </w:r>
      <w:r>
        <w:rPr>
          <w:color w:val="105C84"/>
        </w:rPr>
        <w:t>burned</w:t>
      </w:r>
      <w:r>
        <w:rPr>
          <w:color w:val="105C84"/>
          <w:spacing w:val="-18"/>
        </w:rPr>
        <w:t> </w:t>
      </w:r>
      <w:r>
        <w:rPr>
          <w:color w:val="105C84"/>
        </w:rPr>
        <w:t>themselves when they were upset</w:t>
      </w:r>
    </w:p>
    <w:p>
      <w:pPr>
        <w:tabs>
          <w:tab w:pos="2937" w:val="left" w:leader="none"/>
        </w:tabs>
        <w:spacing w:before="294"/>
        <w:ind w:left="1882" w:right="0" w:firstLine="0"/>
        <w:jc w:val="left"/>
        <w:rPr>
          <w:sz w:val="18"/>
        </w:rPr>
      </w:pPr>
      <w:r>
        <w:rPr>
          <w:sz w:val="18"/>
        </w:rPr>
        <mc:AlternateContent>
          <mc:Choice Requires="wps">
            <w:drawing>
              <wp:anchor distT="0" distB="0" distL="0" distR="0" allowOverlap="1" layoutInCell="1" locked="0" behindDoc="1" simplePos="0" relativeHeight="487743488">
                <wp:simplePos x="0" y="0"/>
                <wp:positionH relativeFrom="page">
                  <wp:posOffset>889384</wp:posOffset>
                </wp:positionH>
                <wp:positionV relativeFrom="paragraph">
                  <wp:posOffset>343782</wp:posOffset>
                </wp:positionV>
                <wp:extent cx="4953000" cy="1451610"/>
                <wp:effectExtent l="0" t="0" r="0" b="0"/>
                <wp:wrapTopAndBottom/>
                <wp:docPr id="1520" name="Group 1520"/>
                <wp:cNvGraphicFramePr>
                  <a:graphicFrameLocks/>
                </wp:cNvGraphicFramePr>
                <a:graphic>
                  <a:graphicData uri="http://schemas.microsoft.com/office/word/2010/wordprocessingGroup">
                    <wpg:wgp>
                      <wpg:cNvPr id="1520" name="Group 1520"/>
                      <wpg:cNvGrpSpPr/>
                      <wpg:grpSpPr>
                        <a:xfrm>
                          <a:off x="0" y="0"/>
                          <a:ext cx="4953000" cy="1451610"/>
                          <a:chExt cx="4953000" cy="1451610"/>
                        </a:xfrm>
                      </wpg:grpSpPr>
                      <wps:wsp>
                        <wps:cNvPr id="1521" name="Graphic 1521"/>
                        <wps:cNvSpPr/>
                        <wps:spPr>
                          <a:xfrm>
                            <a:off x="309876" y="194455"/>
                            <a:ext cx="3977004" cy="1247775"/>
                          </a:xfrm>
                          <a:custGeom>
                            <a:avLst/>
                            <a:gdLst/>
                            <a:ahLst/>
                            <a:cxnLst/>
                            <a:rect l="l" t="t" r="r" b="b"/>
                            <a:pathLst>
                              <a:path w="3977004" h="1247775">
                                <a:moveTo>
                                  <a:pt x="278472" y="612622"/>
                                </a:moveTo>
                                <a:lnTo>
                                  <a:pt x="0" y="612622"/>
                                </a:lnTo>
                                <a:lnTo>
                                  <a:pt x="0" y="1247546"/>
                                </a:lnTo>
                                <a:lnTo>
                                  <a:pt x="278472" y="1247546"/>
                                </a:lnTo>
                                <a:lnTo>
                                  <a:pt x="278472" y="612622"/>
                                </a:lnTo>
                                <a:close/>
                              </a:path>
                              <a:path w="3977004" h="1247775">
                                <a:moveTo>
                                  <a:pt x="1514881" y="233908"/>
                                </a:moveTo>
                                <a:lnTo>
                                  <a:pt x="1236408" y="233908"/>
                                </a:lnTo>
                                <a:lnTo>
                                  <a:pt x="1236408" y="1247546"/>
                                </a:lnTo>
                                <a:lnTo>
                                  <a:pt x="1514881" y="1247546"/>
                                </a:lnTo>
                                <a:lnTo>
                                  <a:pt x="1514881" y="233908"/>
                                </a:lnTo>
                                <a:close/>
                              </a:path>
                              <a:path w="3977004" h="1247775">
                                <a:moveTo>
                                  <a:pt x="2740152" y="211620"/>
                                </a:moveTo>
                                <a:lnTo>
                                  <a:pt x="2472829" y="211620"/>
                                </a:lnTo>
                                <a:lnTo>
                                  <a:pt x="2472829" y="1247533"/>
                                </a:lnTo>
                                <a:lnTo>
                                  <a:pt x="2740152" y="1247533"/>
                                </a:lnTo>
                                <a:lnTo>
                                  <a:pt x="2740152" y="211620"/>
                                </a:lnTo>
                                <a:close/>
                              </a:path>
                              <a:path w="3977004" h="1247775">
                                <a:moveTo>
                                  <a:pt x="3976573" y="0"/>
                                </a:moveTo>
                                <a:lnTo>
                                  <a:pt x="3698100" y="0"/>
                                </a:lnTo>
                                <a:lnTo>
                                  <a:pt x="3698100" y="1247533"/>
                                </a:lnTo>
                                <a:lnTo>
                                  <a:pt x="3976573" y="1247533"/>
                                </a:lnTo>
                                <a:lnTo>
                                  <a:pt x="3976573" y="0"/>
                                </a:lnTo>
                                <a:close/>
                              </a:path>
                            </a:pathLst>
                          </a:custGeom>
                          <a:solidFill>
                            <a:srgbClr val="105C84"/>
                          </a:solidFill>
                        </wps:spPr>
                        <wps:bodyPr wrap="square" lIns="0" tIns="0" rIns="0" bIns="0" rtlCol="0">
                          <a:prstTxWarp prst="textNoShape">
                            <a:avLst/>
                          </a:prstTxWarp>
                          <a:noAutofit/>
                        </wps:bodyPr>
                      </wps:wsp>
                      <wps:wsp>
                        <wps:cNvPr id="1522" name="Graphic 1522"/>
                        <wps:cNvSpPr/>
                        <wps:spPr>
                          <a:xfrm>
                            <a:off x="655176" y="929607"/>
                            <a:ext cx="3987800" cy="512445"/>
                          </a:xfrm>
                          <a:custGeom>
                            <a:avLst/>
                            <a:gdLst/>
                            <a:ahLst/>
                            <a:cxnLst/>
                            <a:rect l="l" t="t" r="r" b="b"/>
                            <a:pathLst>
                              <a:path w="3987800" h="512445">
                                <a:moveTo>
                                  <a:pt x="278472" y="89103"/>
                                </a:moveTo>
                                <a:lnTo>
                                  <a:pt x="0" y="89103"/>
                                </a:lnTo>
                                <a:lnTo>
                                  <a:pt x="0" y="512381"/>
                                </a:lnTo>
                                <a:lnTo>
                                  <a:pt x="278472" y="512381"/>
                                </a:lnTo>
                                <a:lnTo>
                                  <a:pt x="278472" y="89103"/>
                                </a:lnTo>
                                <a:close/>
                              </a:path>
                              <a:path w="3987800" h="512445">
                                <a:moveTo>
                                  <a:pt x="1514894" y="0"/>
                                </a:moveTo>
                                <a:lnTo>
                                  <a:pt x="1236421" y="0"/>
                                </a:lnTo>
                                <a:lnTo>
                                  <a:pt x="1236421" y="512394"/>
                                </a:lnTo>
                                <a:lnTo>
                                  <a:pt x="1514894" y="512394"/>
                                </a:lnTo>
                                <a:lnTo>
                                  <a:pt x="1514894" y="0"/>
                                </a:lnTo>
                                <a:close/>
                              </a:path>
                              <a:path w="3987800" h="512445">
                                <a:moveTo>
                                  <a:pt x="2751302" y="66840"/>
                                </a:moveTo>
                                <a:lnTo>
                                  <a:pt x="2472829" y="66840"/>
                                </a:lnTo>
                                <a:lnTo>
                                  <a:pt x="2472829" y="512394"/>
                                </a:lnTo>
                                <a:lnTo>
                                  <a:pt x="2751302" y="512394"/>
                                </a:lnTo>
                                <a:lnTo>
                                  <a:pt x="2751302" y="66840"/>
                                </a:lnTo>
                                <a:close/>
                              </a:path>
                              <a:path w="3987800" h="512445">
                                <a:moveTo>
                                  <a:pt x="3987711" y="55689"/>
                                </a:moveTo>
                                <a:lnTo>
                                  <a:pt x="3709238" y="55689"/>
                                </a:lnTo>
                                <a:lnTo>
                                  <a:pt x="3709238" y="512381"/>
                                </a:lnTo>
                                <a:lnTo>
                                  <a:pt x="3987711" y="512381"/>
                                </a:lnTo>
                                <a:lnTo>
                                  <a:pt x="3987711" y="55689"/>
                                </a:lnTo>
                                <a:close/>
                              </a:path>
                            </a:pathLst>
                          </a:custGeom>
                          <a:solidFill>
                            <a:srgbClr val="B0D236"/>
                          </a:solidFill>
                        </wps:spPr>
                        <wps:bodyPr wrap="square" lIns="0" tIns="0" rIns="0" bIns="0" rtlCol="0">
                          <a:prstTxWarp prst="textNoShape">
                            <a:avLst/>
                          </a:prstTxWarp>
                          <a:noAutofit/>
                        </wps:bodyPr>
                      </wps:wsp>
                      <wps:wsp>
                        <wps:cNvPr id="1523" name="Graphic 1523"/>
                        <wps:cNvSpPr/>
                        <wps:spPr>
                          <a:xfrm>
                            <a:off x="3568" y="3568"/>
                            <a:ext cx="4946015" cy="1444625"/>
                          </a:xfrm>
                          <a:custGeom>
                            <a:avLst/>
                            <a:gdLst/>
                            <a:ahLst/>
                            <a:cxnLst/>
                            <a:rect l="l" t="t" r="r" b="b"/>
                            <a:pathLst>
                              <a:path w="4946015" h="1444625">
                                <a:moveTo>
                                  <a:pt x="4945646" y="1444002"/>
                                </a:moveTo>
                                <a:lnTo>
                                  <a:pt x="0" y="1444002"/>
                                </a:lnTo>
                                <a:lnTo>
                                  <a:pt x="0" y="0"/>
                                </a:lnTo>
                              </a:path>
                            </a:pathLst>
                          </a:custGeom>
                          <a:ln w="7137">
                            <a:solidFill>
                              <a:srgbClr val="939598"/>
                            </a:solidFill>
                            <a:prstDash val="solid"/>
                          </a:ln>
                        </wps:spPr>
                        <wps:bodyPr wrap="square" lIns="0" tIns="0" rIns="0" bIns="0" rtlCol="0">
                          <a:prstTxWarp prst="textNoShape">
                            <a:avLst/>
                          </a:prstTxWarp>
                          <a:noAutofit/>
                        </wps:bodyPr>
                      </wps:wsp>
                      <wps:wsp>
                        <wps:cNvPr id="1524" name="Textbox 1524"/>
                        <wps:cNvSpPr txBox="1"/>
                        <wps:spPr>
                          <a:xfrm>
                            <a:off x="3983275" y="2155"/>
                            <a:ext cx="314325" cy="156210"/>
                          </a:xfrm>
                          <a:prstGeom prst="rect">
                            <a:avLst/>
                          </a:prstGeom>
                        </wps:spPr>
                        <wps:txbx>
                          <w:txbxContent>
                            <w:p>
                              <w:pPr>
                                <w:spacing w:before="11"/>
                                <w:ind w:left="0" w:right="0" w:firstLine="0"/>
                                <w:jc w:val="left"/>
                                <w:rPr>
                                  <w:sz w:val="18"/>
                                </w:rPr>
                              </w:pPr>
                              <w:r>
                                <w:rPr>
                                  <w:color w:val="636466"/>
                                  <w:spacing w:val="-7"/>
                                  <w:sz w:val="18"/>
                                </w:rPr>
                                <w:t>23.9%</w:t>
                              </w:r>
                            </w:p>
                          </w:txbxContent>
                        </wps:txbx>
                        <wps:bodyPr wrap="square" lIns="0" tIns="0" rIns="0" bIns="0" rtlCol="0">
                          <a:noAutofit/>
                        </wps:bodyPr>
                      </wps:wsp>
                      <wps:wsp>
                        <wps:cNvPr id="1525" name="Textbox 1525"/>
                        <wps:cNvSpPr txBox="1"/>
                        <wps:spPr>
                          <a:xfrm>
                            <a:off x="1525710" y="247214"/>
                            <a:ext cx="314325" cy="156210"/>
                          </a:xfrm>
                          <a:prstGeom prst="rect">
                            <a:avLst/>
                          </a:prstGeom>
                        </wps:spPr>
                        <wps:txbx>
                          <w:txbxContent>
                            <w:p>
                              <w:pPr>
                                <w:spacing w:before="11"/>
                                <w:ind w:left="0" w:right="0" w:firstLine="0"/>
                                <w:jc w:val="left"/>
                                <w:rPr>
                                  <w:sz w:val="18"/>
                                </w:rPr>
                              </w:pPr>
                              <w:r>
                                <w:rPr>
                                  <w:color w:val="636466"/>
                                  <w:spacing w:val="-7"/>
                                  <w:sz w:val="18"/>
                                </w:rPr>
                                <w:t>19.3%</w:t>
                              </w:r>
                            </w:p>
                          </w:txbxContent>
                        </wps:txbx>
                        <wps:bodyPr wrap="square" lIns="0" tIns="0" rIns="0" bIns="0" rtlCol="0">
                          <a:noAutofit/>
                        </wps:bodyPr>
                      </wps:wsp>
                      <wps:wsp>
                        <wps:cNvPr id="1526" name="Textbox 1526"/>
                        <wps:cNvSpPr txBox="1"/>
                        <wps:spPr>
                          <a:xfrm>
                            <a:off x="2760836" y="224925"/>
                            <a:ext cx="314325" cy="156210"/>
                          </a:xfrm>
                          <a:prstGeom prst="rect">
                            <a:avLst/>
                          </a:prstGeom>
                        </wps:spPr>
                        <wps:txbx>
                          <w:txbxContent>
                            <w:p>
                              <w:pPr>
                                <w:spacing w:before="11"/>
                                <w:ind w:left="0" w:right="0" w:firstLine="0"/>
                                <w:jc w:val="left"/>
                                <w:rPr>
                                  <w:sz w:val="18"/>
                                </w:rPr>
                              </w:pPr>
                              <w:r>
                                <w:rPr>
                                  <w:color w:val="636466"/>
                                  <w:spacing w:val="-7"/>
                                  <w:sz w:val="18"/>
                                </w:rPr>
                                <w:t>19.8%</w:t>
                              </w:r>
                            </w:p>
                          </w:txbxContent>
                        </wps:txbx>
                        <wps:bodyPr wrap="square" lIns="0" tIns="0" rIns="0" bIns="0" rtlCol="0">
                          <a:noAutofit/>
                        </wps:bodyPr>
                      </wps:wsp>
                      <wps:wsp>
                        <wps:cNvPr id="1527" name="Textbox 1527"/>
                        <wps:cNvSpPr txBox="1"/>
                        <wps:spPr>
                          <a:xfrm>
                            <a:off x="290584" y="614803"/>
                            <a:ext cx="314325" cy="156210"/>
                          </a:xfrm>
                          <a:prstGeom prst="rect">
                            <a:avLst/>
                          </a:prstGeom>
                        </wps:spPr>
                        <wps:txbx>
                          <w:txbxContent>
                            <w:p>
                              <w:pPr>
                                <w:spacing w:before="11"/>
                                <w:ind w:left="0" w:right="0" w:firstLine="0"/>
                                <w:jc w:val="left"/>
                                <w:rPr>
                                  <w:sz w:val="18"/>
                                </w:rPr>
                              </w:pPr>
                              <w:r>
                                <w:rPr>
                                  <w:color w:val="636466"/>
                                  <w:spacing w:val="-7"/>
                                  <w:sz w:val="18"/>
                                </w:rPr>
                                <w:t>12.2%</w:t>
                              </w:r>
                            </w:p>
                          </w:txbxContent>
                        </wps:txbx>
                        <wps:bodyPr wrap="square" lIns="0" tIns="0" rIns="0" bIns="0" rtlCol="0">
                          <a:noAutofit/>
                        </wps:bodyPr>
                      </wps:wsp>
                      <wps:wsp>
                        <wps:cNvPr id="1528" name="Textbox 1528"/>
                        <wps:cNvSpPr txBox="1"/>
                        <wps:spPr>
                          <a:xfrm>
                            <a:off x="674175" y="826486"/>
                            <a:ext cx="254635" cy="156210"/>
                          </a:xfrm>
                          <a:prstGeom prst="rect">
                            <a:avLst/>
                          </a:prstGeom>
                        </wps:spPr>
                        <wps:txbx>
                          <w:txbxContent>
                            <w:p>
                              <w:pPr>
                                <w:spacing w:before="11"/>
                                <w:ind w:left="0" w:right="0" w:firstLine="0"/>
                                <w:jc w:val="left"/>
                                <w:rPr>
                                  <w:sz w:val="18"/>
                                </w:rPr>
                              </w:pPr>
                              <w:r>
                                <w:rPr>
                                  <w:color w:val="636466"/>
                                  <w:spacing w:val="-6"/>
                                  <w:sz w:val="18"/>
                                </w:rPr>
                                <w:t>8.2%</w:t>
                              </w:r>
                            </w:p>
                          </w:txbxContent>
                        </wps:txbx>
                        <wps:bodyPr wrap="square" lIns="0" tIns="0" rIns="0" bIns="0" rtlCol="0">
                          <a:noAutofit/>
                        </wps:bodyPr>
                      </wps:wsp>
                      <wps:wsp>
                        <wps:cNvPr id="1529" name="Textbox 1529"/>
                        <wps:cNvSpPr txBox="1"/>
                        <wps:spPr>
                          <a:xfrm>
                            <a:off x="1909301" y="748534"/>
                            <a:ext cx="254635" cy="156210"/>
                          </a:xfrm>
                          <a:prstGeom prst="rect">
                            <a:avLst/>
                          </a:prstGeom>
                        </wps:spPr>
                        <wps:txbx>
                          <w:txbxContent>
                            <w:p>
                              <w:pPr>
                                <w:spacing w:before="11"/>
                                <w:ind w:left="0" w:right="0" w:firstLine="0"/>
                                <w:jc w:val="left"/>
                                <w:rPr>
                                  <w:sz w:val="18"/>
                                </w:rPr>
                              </w:pPr>
                              <w:r>
                                <w:rPr>
                                  <w:color w:val="636466"/>
                                  <w:spacing w:val="-6"/>
                                  <w:sz w:val="18"/>
                                </w:rPr>
                                <w:t>9.8%</w:t>
                              </w:r>
                            </w:p>
                          </w:txbxContent>
                        </wps:txbx>
                        <wps:bodyPr wrap="square" lIns="0" tIns="0" rIns="0" bIns="0" rtlCol="0">
                          <a:noAutofit/>
                        </wps:bodyPr>
                      </wps:wsp>
                      <wps:wsp>
                        <wps:cNvPr id="1530" name="Textbox 1530"/>
                        <wps:cNvSpPr txBox="1"/>
                        <wps:spPr>
                          <a:xfrm>
                            <a:off x="3144427" y="804198"/>
                            <a:ext cx="254635" cy="156210"/>
                          </a:xfrm>
                          <a:prstGeom prst="rect">
                            <a:avLst/>
                          </a:prstGeom>
                        </wps:spPr>
                        <wps:txbx>
                          <w:txbxContent>
                            <w:p>
                              <w:pPr>
                                <w:spacing w:before="11"/>
                                <w:ind w:left="0" w:right="0" w:firstLine="0"/>
                                <w:jc w:val="left"/>
                                <w:rPr>
                                  <w:sz w:val="18"/>
                                </w:rPr>
                              </w:pPr>
                              <w:r>
                                <w:rPr>
                                  <w:color w:val="636466"/>
                                  <w:spacing w:val="-6"/>
                                  <w:sz w:val="18"/>
                                </w:rPr>
                                <w:t>8.6%</w:t>
                              </w:r>
                            </w:p>
                          </w:txbxContent>
                        </wps:txbx>
                        <wps:bodyPr wrap="square" lIns="0" tIns="0" rIns="0" bIns="0" rtlCol="0">
                          <a:noAutofit/>
                        </wps:bodyPr>
                      </wps:wsp>
                      <wps:wsp>
                        <wps:cNvPr id="1531" name="Textbox 1531"/>
                        <wps:cNvSpPr txBox="1"/>
                        <wps:spPr>
                          <a:xfrm>
                            <a:off x="4379553" y="804198"/>
                            <a:ext cx="254635" cy="156210"/>
                          </a:xfrm>
                          <a:prstGeom prst="rect">
                            <a:avLst/>
                          </a:prstGeom>
                        </wps:spPr>
                        <wps:txbx>
                          <w:txbxContent>
                            <w:p>
                              <w:pPr>
                                <w:spacing w:before="11"/>
                                <w:ind w:left="0" w:right="0" w:firstLine="0"/>
                                <w:jc w:val="left"/>
                                <w:rPr>
                                  <w:sz w:val="18"/>
                                </w:rPr>
                              </w:pPr>
                              <w:r>
                                <w:rPr>
                                  <w:color w:val="636466"/>
                                  <w:spacing w:val="-6"/>
                                  <w:sz w:val="18"/>
                                </w:rPr>
                                <w:t>8.7%</w:t>
                              </w:r>
                            </w:p>
                          </w:txbxContent>
                        </wps:txbx>
                        <wps:bodyPr wrap="square" lIns="0" tIns="0" rIns="0" bIns="0" rtlCol="0">
                          <a:noAutofit/>
                        </wps:bodyPr>
                      </wps:wsp>
                    </wpg:wgp>
                  </a:graphicData>
                </a:graphic>
              </wp:anchor>
            </w:drawing>
          </mc:Choice>
          <mc:Fallback>
            <w:pict>
              <v:group style="position:absolute;margin-left:70.030296pt;margin-top:27.069525pt;width:390pt;height:114.3pt;mso-position-horizontal-relative:page;mso-position-vertical-relative:paragraph;z-index:-15572992;mso-wrap-distance-left:0;mso-wrap-distance-right:0" id="docshapegroup1208" coordorigin="1401,541" coordsize="7800,2286">
                <v:shape style="position:absolute;left:1888;top:847;width:6263;height:1965" id="docshape1209" coordorigin="1889,848" coordsize="6263,1965" path="m2327,1812l1889,1812,1889,2812,2327,2812,2327,1812xm4274,1216l3836,1216,3836,2812,4274,2812,4274,1216xm6204,1181l5783,1181,5783,2812,6204,2812,6204,1181xm8151,848l7712,848,7712,2812,8151,2812,8151,848xe" filled="true" fillcolor="#105c84" stroked="false">
                  <v:path arrowok="t"/>
                  <v:fill type="solid"/>
                </v:shape>
                <v:shape style="position:absolute;left:2432;top:2005;width:6280;height:807" id="docshape1210" coordorigin="2432,2005" coordsize="6280,807" path="m2871,2146l2432,2146,2432,2812,2871,2812,2871,2146xm4818,2005l4380,2005,4380,2812,4818,2812,4818,2005xm6765,2111l6327,2111,6327,2812,6765,2812,6765,2111xm8712,2093l8274,2093,8274,2812,8712,2812,8712,2093xe" filled="true" fillcolor="#b0d236" stroked="false">
                  <v:path arrowok="t"/>
                  <v:fill type="solid"/>
                </v:shape>
                <v:shape style="position:absolute;left:1406;top:547;width:7789;height:2275" id="docshape1211" coordorigin="1406,547" coordsize="7789,2275" path="m9195,2821l1406,2821,1406,547e" filled="false" stroked="true" strokeweight=".562pt" strokecolor="#939598">
                  <v:path arrowok="t"/>
                  <v:stroke dashstyle="solid"/>
                </v:shape>
                <v:shape style="position:absolute;left:7673;top:544;width:495;height:246" type="#_x0000_t202" id="docshape1212" filled="false" stroked="false">
                  <v:textbox inset="0,0,0,0">
                    <w:txbxContent>
                      <w:p>
                        <w:pPr>
                          <w:spacing w:before="11"/>
                          <w:ind w:left="0" w:right="0" w:firstLine="0"/>
                          <w:jc w:val="left"/>
                          <w:rPr>
                            <w:sz w:val="18"/>
                          </w:rPr>
                        </w:pPr>
                        <w:r>
                          <w:rPr>
                            <w:color w:val="636466"/>
                            <w:spacing w:val="-7"/>
                            <w:sz w:val="18"/>
                          </w:rPr>
                          <w:t>23.9%</w:t>
                        </w:r>
                      </w:p>
                    </w:txbxContent>
                  </v:textbox>
                  <w10:wrap type="none"/>
                </v:shape>
                <v:shape style="position:absolute;left:3803;top:930;width:495;height:246" type="#_x0000_t202" id="docshape1213" filled="false" stroked="false">
                  <v:textbox inset="0,0,0,0">
                    <w:txbxContent>
                      <w:p>
                        <w:pPr>
                          <w:spacing w:before="11"/>
                          <w:ind w:left="0" w:right="0" w:firstLine="0"/>
                          <w:jc w:val="left"/>
                          <w:rPr>
                            <w:sz w:val="18"/>
                          </w:rPr>
                        </w:pPr>
                        <w:r>
                          <w:rPr>
                            <w:color w:val="636466"/>
                            <w:spacing w:val="-7"/>
                            <w:sz w:val="18"/>
                          </w:rPr>
                          <w:t>19.3%</w:t>
                        </w:r>
                      </w:p>
                    </w:txbxContent>
                  </v:textbox>
                  <w10:wrap type="none"/>
                </v:shape>
                <v:shape style="position:absolute;left:5748;top:895;width:495;height:246" type="#_x0000_t202" id="docshape1214" filled="false" stroked="false">
                  <v:textbox inset="0,0,0,0">
                    <w:txbxContent>
                      <w:p>
                        <w:pPr>
                          <w:spacing w:before="11"/>
                          <w:ind w:left="0" w:right="0" w:firstLine="0"/>
                          <w:jc w:val="left"/>
                          <w:rPr>
                            <w:sz w:val="18"/>
                          </w:rPr>
                        </w:pPr>
                        <w:r>
                          <w:rPr>
                            <w:color w:val="636466"/>
                            <w:spacing w:val="-7"/>
                            <w:sz w:val="18"/>
                          </w:rPr>
                          <w:t>19.8%</w:t>
                        </w:r>
                      </w:p>
                    </w:txbxContent>
                  </v:textbox>
                  <w10:wrap type="none"/>
                </v:shape>
                <v:shape style="position:absolute;left:1858;top:1509;width:495;height:246" type="#_x0000_t202" id="docshape1215" filled="false" stroked="false">
                  <v:textbox inset="0,0,0,0">
                    <w:txbxContent>
                      <w:p>
                        <w:pPr>
                          <w:spacing w:before="11"/>
                          <w:ind w:left="0" w:right="0" w:firstLine="0"/>
                          <w:jc w:val="left"/>
                          <w:rPr>
                            <w:sz w:val="18"/>
                          </w:rPr>
                        </w:pPr>
                        <w:r>
                          <w:rPr>
                            <w:color w:val="636466"/>
                            <w:spacing w:val="-7"/>
                            <w:sz w:val="18"/>
                          </w:rPr>
                          <w:t>12.2%</w:t>
                        </w:r>
                      </w:p>
                    </w:txbxContent>
                  </v:textbox>
                  <w10:wrap type="none"/>
                </v:shape>
                <v:shape style="position:absolute;left:2462;top:1842;width:401;height:246" type="#_x0000_t202" id="docshape1216" filled="false" stroked="false">
                  <v:textbox inset="0,0,0,0">
                    <w:txbxContent>
                      <w:p>
                        <w:pPr>
                          <w:spacing w:before="11"/>
                          <w:ind w:left="0" w:right="0" w:firstLine="0"/>
                          <w:jc w:val="left"/>
                          <w:rPr>
                            <w:sz w:val="18"/>
                          </w:rPr>
                        </w:pPr>
                        <w:r>
                          <w:rPr>
                            <w:color w:val="636466"/>
                            <w:spacing w:val="-6"/>
                            <w:sz w:val="18"/>
                          </w:rPr>
                          <w:t>8.2%</w:t>
                        </w:r>
                      </w:p>
                    </w:txbxContent>
                  </v:textbox>
                  <w10:wrap type="none"/>
                </v:shape>
                <v:shape style="position:absolute;left:4407;top:1720;width:401;height:246" type="#_x0000_t202" id="docshape1217" filled="false" stroked="false">
                  <v:textbox inset="0,0,0,0">
                    <w:txbxContent>
                      <w:p>
                        <w:pPr>
                          <w:spacing w:before="11"/>
                          <w:ind w:left="0" w:right="0" w:firstLine="0"/>
                          <w:jc w:val="left"/>
                          <w:rPr>
                            <w:sz w:val="18"/>
                          </w:rPr>
                        </w:pPr>
                        <w:r>
                          <w:rPr>
                            <w:color w:val="636466"/>
                            <w:spacing w:val="-6"/>
                            <w:sz w:val="18"/>
                          </w:rPr>
                          <w:t>9.8%</w:t>
                        </w:r>
                      </w:p>
                    </w:txbxContent>
                  </v:textbox>
                  <w10:wrap type="none"/>
                </v:shape>
                <v:shape style="position:absolute;left:6352;top:1807;width:401;height:246" type="#_x0000_t202" id="docshape1218" filled="false" stroked="false">
                  <v:textbox inset="0,0,0,0">
                    <w:txbxContent>
                      <w:p>
                        <w:pPr>
                          <w:spacing w:before="11"/>
                          <w:ind w:left="0" w:right="0" w:firstLine="0"/>
                          <w:jc w:val="left"/>
                          <w:rPr>
                            <w:sz w:val="18"/>
                          </w:rPr>
                        </w:pPr>
                        <w:r>
                          <w:rPr>
                            <w:color w:val="636466"/>
                            <w:spacing w:val="-6"/>
                            <w:sz w:val="18"/>
                          </w:rPr>
                          <w:t>8.6%</w:t>
                        </w:r>
                      </w:p>
                    </w:txbxContent>
                  </v:textbox>
                  <w10:wrap type="none"/>
                </v:shape>
                <v:shape style="position:absolute;left:8297;top:1807;width:401;height:246" type="#_x0000_t202" id="docshape1219" filled="false" stroked="false">
                  <v:textbox inset="0,0,0,0">
                    <w:txbxContent>
                      <w:p>
                        <w:pPr>
                          <w:spacing w:before="11"/>
                          <w:ind w:left="0" w:right="0" w:firstLine="0"/>
                          <w:jc w:val="left"/>
                          <w:rPr>
                            <w:sz w:val="18"/>
                          </w:rPr>
                        </w:pPr>
                        <w:r>
                          <w:rPr>
                            <w:color w:val="636466"/>
                            <w:spacing w:val="-6"/>
                            <w:sz w:val="18"/>
                          </w:rPr>
                          <w:t>8.7%</w:t>
                        </w:r>
                      </w:p>
                    </w:txbxContent>
                  </v:textbox>
                  <w10:wrap type="none"/>
                </v:shape>
                <w10:wrap type="topAndBottom"/>
              </v:group>
            </w:pict>
          </mc:Fallback>
        </mc:AlternateContent>
      </w:r>
      <w:r>
        <w:rPr>
          <w:sz w:val="18"/>
        </w:rPr>
        <mc:AlternateContent>
          <mc:Choice Requires="wps">
            <w:drawing>
              <wp:anchor distT="0" distB="0" distL="0" distR="0" allowOverlap="1" layoutInCell="1" locked="0" behindDoc="0" simplePos="0" relativeHeight="15885312">
                <wp:simplePos x="0" y="0"/>
                <wp:positionH relativeFrom="page">
                  <wp:posOffset>676974</wp:posOffset>
                </wp:positionH>
                <wp:positionV relativeFrom="paragraph">
                  <wp:posOffset>541782</wp:posOffset>
                </wp:positionV>
                <wp:extent cx="181610" cy="1022985"/>
                <wp:effectExtent l="0" t="0" r="0" b="0"/>
                <wp:wrapNone/>
                <wp:docPr id="1532" name="Textbox 1532"/>
                <wp:cNvGraphicFramePr>
                  <a:graphicFrameLocks/>
                </wp:cNvGraphicFramePr>
                <a:graphic>
                  <a:graphicData uri="http://schemas.microsoft.com/office/word/2010/wordprocessingShape">
                    <wps:wsp>
                      <wps:cNvPr id="1532" name="Textbox 1532"/>
                      <wps:cNvSpPr txBox="1"/>
                      <wps:spPr>
                        <a:xfrm>
                          <a:off x="0" y="0"/>
                          <a:ext cx="181610" cy="1022985"/>
                        </a:xfrm>
                        <a:prstGeom prst="rect">
                          <a:avLst/>
                        </a:prstGeom>
                      </wps:spPr>
                      <wps:txbx>
                        <w:txbxContent>
                          <w:p>
                            <w:pPr>
                              <w:spacing w:before="31"/>
                              <w:ind w:left="20" w:right="0" w:firstLine="0"/>
                              <w:jc w:val="left"/>
                              <w:rPr>
                                <w:sz w:val="18"/>
                              </w:rPr>
                            </w:pPr>
                            <w:r>
                              <w:rPr>
                                <w:color w:val="105C84"/>
                                <w:sz w:val="18"/>
                              </w:rPr>
                              <w:t>Percent</w:t>
                            </w:r>
                            <w:r>
                              <w:rPr>
                                <w:color w:val="105C84"/>
                                <w:spacing w:val="-6"/>
                                <w:sz w:val="18"/>
                              </w:rPr>
                              <w:t> </w:t>
                            </w:r>
                            <w:r>
                              <w:rPr>
                                <w:color w:val="105C84"/>
                                <w:sz w:val="18"/>
                              </w:rPr>
                              <w:t>of</w:t>
                            </w:r>
                            <w:r>
                              <w:rPr>
                                <w:color w:val="105C84"/>
                                <w:spacing w:val="-6"/>
                                <w:sz w:val="18"/>
                              </w:rPr>
                              <w:t> </w:t>
                            </w:r>
                            <w:r>
                              <w:rPr>
                                <w:color w:val="105C84"/>
                                <w:spacing w:val="-2"/>
                                <w:sz w:val="18"/>
                              </w:rPr>
                              <w:t>Students</w:t>
                            </w:r>
                          </w:p>
                        </w:txbxContent>
                      </wps:txbx>
                      <wps:bodyPr wrap="square" lIns="0" tIns="0" rIns="0" bIns="0" rtlCol="0" vert="vert270">
                        <a:noAutofit/>
                      </wps:bodyPr>
                    </wps:wsp>
                  </a:graphicData>
                </a:graphic>
              </wp:anchor>
            </w:drawing>
          </mc:Choice>
          <mc:Fallback>
            <w:pict>
              <v:shape style="position:absolute;margin-left:53.305099pt;margin-top:42.660019pt;width:14.3pt;height:80.55pt;mso-position-horizontal-relative:page;mso-position-vertical-relative:paragraph;z-index:15885312" type="#_x0000_t202" id="docshape1220" filled="false" stroked="false">
                <v:textbox inset="0,0,0,0" style="layout-flow:vertical;mso-layout-flow-alt:bottom-to-top">
                  <w:txbxContent>
                    <w:p>
                      <w:pPr>
                        <w:spacing w:before="31"/>
                        <w:ind w:left="20" w:right="0" w:firstLine="0"/>
                        <w:jc w:val="left"/>
                        <w:rPr>
                          <w:sz w:val="18"/>
                        </w:rPr>
                      </w:pPr>
                      <w:r>
                        <w:rPr>
                          <w:color w:val="105C84"/>
                          <w:sz w:val="18"/>
                        </w:rPr>
                        <w:t>Percent</w:t>
                      </w:r>
                      <w:r>
                        <w:rPr>
                          <w:color w:val="105C84"/>
                          <w:spacing w:val="-6"/>
                          <w:sz w:val="18"/>
                        </w:rPr>
                        <w:t> </w:t>
                      </w:r>
                      <w:r>
                        <w:rPr>
                          <w:color w:val="105C84"/>
                          <w:sz w:val="18"/>
                        </w:rPr>
                        <w:t>of</w:t>
                      </w:r>
                      <w:r>
                        <w:rPr>
                          <w:color w:val="105C84"/>
                          <w:spacing w:val="-6"/>
                          <w:sz w:val="18"/>
                        </w:rPr>
                        <w:t> </w:t>
                      </w:r>
                      <w:r>
                        <w:rPr>
                          <w:color w:val="105C84"/>
                          <w:spacing w:val="-2"/>
                          <w:sz w:val="18"/>
                        </w:rPr>
                        <w:t>Students</w:t>
                      </w:r>
                    </w:p>
                  </w:txbxContent>
                </v:textbox>
                <w10:wrap type="none"/>
              </v:shape>
            </w:pict>
          </mc:Fallback>
        </mc:AlternateContent>
      </w:r>
      <w:r>
        <w:rPr/>
        <w:drawing>
          <wp:inline distT="0" distB="0" distL="0" distR="0">
            <wp:extent cx="67881" cy="67881"/>
            <wp:effectExtent l="0" t="0" r="0" b="0"/>
            <wp:docPr id="1533" name="Image 1533"/>
            <wp:cNvGraphicFramePr>
              <a:graphicFrameLocks/>
            </wp:cNvGraphicFramePr>
            <a:graphic>
              <a:graphicData uri="http://schemas.openxmlformats.org/drawingml/2006/picture">
                <pic:pic>
                  <pic:nvPicPr>
                    <pic:cNvPr id="1533" name="Image 1533"/>
                    <pic:cNvPicPr/>
                  </pic:nvPicPr>
                  <pic:blipFill>
                    <a:blip r:embed="rId214" cstate="print"/>
                    <a:stretch>
                      <a:fillRect/>
                    </a:stretch>
                  </pic:blipFill>
                  <pic:spPr>
                    <a:xfrm>
                      <a:off x="0" y="0"/>
                      <a:ext cx="67881" cy="67881"/>
                    </a:xfrm>
                    <a:prstGeom prst="rect">
                      <a:avLst/>
                    </a:prstGeom>
                  </pic:spPr>
                </pic:pic>
              </a:graphicData>
            </a:graphic>
          </wp:inline>
        </w:drawing>
      </w:r>
      <w:r>
        <w:rPr/>
      </w:r>
      <w:r>
        <w:rPr>
          <w:rFonts w:ascii="Times New Roman"/>
          <w:sz w:val="20"/>
        </w:rPr>
        <w:t> </w:t>
      </w:r>
      <w:r>
        <w:rPr>
          <w:color w:val="636466"/>
          <w:sz w:val="18"/>
        </w:rPr>
        <w:t>Female</w:t>
        <w:tab/>
      </w:r>
      <w:r>
        <w:rPr>
          <w:color w:val="636466"/>
          <w:sz w:val="18"/>
        </w:rPr>
        <w:drawing>
          <wp:inline distT="0" distB="0" distL="0" distR="0">
            <wp:extent cx="67881" cy="67881"/>
            <wp:effectExtent l="0" t="0" r="0" b="0"/>
            <wp:docPr id="1534" name="Image 1534"/>
            <wp:cNvGraphicFramePr>
              <a:graphicFrameLocks/>
            </wp:cNvGraphicFramePr>
            <a:graphic>
              <a:graphicData uri="http://schemas.openxmlformats.org/drawingml/2006/picture">
                <pic:pic>
                  <pic:nvPicPr>
                    <pic:cNvPr id="1534" name="Image 1534"/>
                    <pic:cNvPicPr/>
                  </pic:nvPicPr>
                  <pic:blipFill>
                    <a:blip r:embed="rId215" cstate="print"/>
                    <a:stretch>
                      <a:fillRect/>
                    </a:stretch>
                  </pic:blipFill>
                  <pic:spPr>
                    <a:xfrm>
                      <a:off x="0" y="0"/>
                      <a:ext cx="67881" cy="67881"/>
                    </a:xfrm>
                    <a:prstGeom prst="rect">
                      <a:avLst/>
                    </a:prstGeom>
                  </pic:spPr>
                </pic:pic>
              </a:graphicData>
            </a:graphic>
          </wp:inline>
        </w:drawing>
      </w:r>
      <w:r>
        <w:rPr>
          <w:color w:val="636466"/>
          <w:sz w:val="18"/>
        </w:rPr>
      </w:r>
      <w:r>
        <w:rPr>
          <w:rFonts w:ascii="Times New Roman"/>
          <w:color w:val="636466"/>
          <w:sz w:val="18"/>
        </w:rPr>
        <w:t> </w:t>
      </w:r>
      <w:r>
        <w:rPr>
          <w:color w:val="636466"/>
          <w:sz w:val="18"/>
        </w:rPr>
        <w:t>Male</w:t>
      </w:r>
    </w:p>
    <w:p>
      <w:pPr>
        <w:tabs>
          <w:tab w:pos="3926" w:val="left" w:leader="none"/>
          <w:tab w:pos="5821" w:val="left" w:leader="none"/>
          <w:tab w:pos="7766" w:val="left" w:leader="none"/>
        </w:tabs>
        <w:spacing w:line="432" w:lineRule="auto" w:before="80"/>
        <w:ind w:left="1401" w:right="2506" w:firstLine="580"/>
        <w:jc w:val="left"/>
        <w:rPr>
          <w:sz w:val="18"/>
        </w:rPr>
      </w:pPr>
      <w:r>
        <w:rPr>
          <w:color w:val="636466"/>
          <w:sz w:val="18"/>
        </w:rPr>
        <w:t>6th Grade</w:t>
        <w:tab/>
        <w:t>8th Grade</w:t>
        <w:tab/>
        <w:t>10th Grade</w:t>
        <w:tab/>
        <w:t>12th</w:t>
      </w:r>
      <w:r>
        <w:rPr>
          <w:color w:val="636466"/>
          <w:spacing w:val="-13"/>
          <w:sz w:val="18"/>
        </w:rPr>
        <w:t> </w:t>
      </w:r>
      <w:r>
        <w:rPr>
          <w:color w:val="636466"/>
          <w:sz w:val="18"/>
        </w:rPr>
        <w:t>Grade </w:t>
      </w:r>
      <w:r>
        <w:rPr>
          <w:color w:val="105C84"/>
          <w:sz w:val="18"/>
        </w:rPr>
        <w:t>Source: 2019 Wayne Coutny Evalumetrics Youth Survey</w:t>
      </w:r>
    </w:p>
    <w:p>
      <w:pPr>
        <w:pStyle w:val="BodyText"/>
        <w:spacing w:line="247" w:lineRule="auto" w:before="138"/>
        <w:ind w:left="1065" w:right="117"/>
      </w:pPr>
      <w:r>
        <w:rPr>
          <w:color w:val="105C84"/>
        </w:rPr>
        <w:t>Wayne County has an Opioid Task Force, which works to address issues around substance misuse, especially opioids. In addition to this relatively new resource, the county is using a program called ODMAP, short for Overdose Detection Mapping Application Program. ODMAP is used by select</w:t>
      </w:r>
      <w:r>
        <w:rPr>
          <w:color w:val="105C84"/>
          <w:spacing w:val="40"/>
        </w:rPr>
        <w:t> </w:t>
      </w:r>
      <w:r>
        <w:rPr>
          <w:color w:val="105C84"/>
        </w:rPr>
        <w:t>agencies in the county, including 911, to show overdoses in Wayne County in as close to real-time as possible. Eventually, the data will show “hot spots,” areas where overdoses are happening at higher rates, and responders may be able to have a greater presence in those areas in order to shorten response times to overdoses, reduce/prevent fatalities, and introduce affected persons to resources that can help them.</w:t>
      </w:r>
    </w:p>
    <w:p>
      <w:pPr>
        <w:pStyle w:val="BodyText"/>
        <w:spacing w:line="247" w:lineRule="auto" w:before="175"/>
        <w:ind w:left="1065" w:right="199"/>
      </w:pPr>
      <w:r>
        <w:rPr>
          <w:color w:val="105C84"/>
        </w:rPr>
        <w:t>The Wayne Behavioral Health Network (WBHN) also runs the Open Access Center, located on Nye Road in Lyons, to serve community members from Wayne and surrounding counties experiencing addiction or mental health crises. The center will eventually operate 24/7 providing greater</w:t>
      </w:r>
      <w:r>
        <w:rPr>
          <w:color w:val="105C84"/>
          <w:spacing w:val="40"/>
        </w:rPr>
        <w:t> </w:t>
      </w:r>
      <w:r>
        <w:rPr>
          <w:color w:val="105C84"/>
        </w:rPr>
        <w:t>accessibility for those seeking help.</w:t>
      </w:r>
    </w:p>
    <w:p>
      <w:pPr>
        <w:pStyle w:val="BodyText"/>
        <w:spacing w:line="247" w:lineRule="auto" w:before="178"/>
        <w:ind w:left="1065" w:right="117"/>
      </w:pPr>
      <w:r>
        <w:rPr>
          <w:color w:val="105C84"/>
        </w:rPr>
        <w:t>County officials have also been proactive in evaluating the potential consequences of the likely upcoming legalization of recreational marijuana, and in April 2019 passed a resolution requesting a moratorium to the legalization of recreational marijuana, until “further non biased research has been</w:t>
      </w:r>
      <w:r>
        <w:rPr>
          <w:color w:val="105C84"/>
          <w:spacing w:val="80"/>
        </w:rPr>
        <w:t> </w:t>
      </w:r>
      <w:r>
        <w:rPr>
          <w:color w:val="105C84"/>
        </w:rPr>
        <w:t>conducted on the potential and known health and social ramifications” and “all areas of concern are</w:t>
      </w:r>
      <w:r>
        <w:rPr>
          <w:color w:val="105C84"/>
          <w:spacing w:val="80"/>
        </w:rPr>
        <w:t> </w:t>
      </w:r>
      <w:r>
        <w:rPr>
          <w:color w:val="105C84"/>
        </w:rPr>
        <w:t>critically analyzed.”</w:t>
      </w:r>
    </w:p>
    <w:p>
      <w:pPr>
        <w:pStyle w:val="BodyText"/>
        <w:spacing w:line="247" w:lineRule="auto" w:before="114"/>
        <w:ind w:left="1065" w:right="535"/>
      </w:pPr>
      <w:r>
        <w:rPr/>
        <w:br w:type="column"/>
      </w:r>
      <w:r>
        <w:rPr>
          <w:color w:val="105C84"/>
        </w:rPr>
        <w:t>Efforts to curb the rise in vaping and possible vaping related illnesses in Wayne County have been ongoing, if only just beginning to gain traction. Students surveyed within several Wayne County</w:t>
      </w:r>
      <w:r>
        <w:rPr>
          <w:color w:val="105C84"/>
          <w:spacing w:val="40"/>
        </w:rPr>
        <w:t> </w:t>
      </w:r>
      <w:r>
        <w:rPr>
          <w:color w:val="105C84"/>
        </w:rPr>
        <w:t>Districts indicated a rise in vaping among their peers, and as part of breakout sessions within a Youth Leadership Forum, focus groups (unrelated to the focus groups used as part of the CHA process)</w:t>
      </w:r>
      <w:r>
        <w:rPr>
          <w:color w:val="105C84"/>
          <w:spacing w:val="80"/>
        </w:rPr>
        <w:t> </w:t>
      </w:r>
      <w:r>
        <w:rPr>
          <w:color w:val="105C84"/>
        </w:rPr>
        <w:t>were held with students of the same ages as the survey takers. It was determined that educational efforts and interventions were necessary, as students were choosing to vape based on incorrect</w:t>
      </w:r>
      <w:r>
        <w:rPr>
          <w:color w:val="105C84"/>
          <w:spacing w:val="40"/>
        </w:rPr>
        <w:t> </w:t>
      </w:r>
      <w:r>
        <w:rPr>
          <w:color w:val="105C84"/>
        </w:rPr>
        <w:t>and/or</w:t>
      </w:r>
      <w:r>
        <w:rPr>
          <w:color w:val="105C84"/>
          <w:spacing w:val="40"/>
        </w:rPr>
        <w:t> </w:t>
      </w:r>
      <w:r>
        <w:rPr>
          <w:color w:val="105C84"/>
        </w:rPr>
        <w:t>incomplete</w:t>
      </w:r>
      <w:r>
        <w:rPr>
          <w:color w:val="105C84"/>
          <w:spacing w:val="40"/>
        </w:rPr>
        <w:t> </w:t>
      </w:r>
      <w:r>
        <w:rPr>
          <w:color w:val="105C84"/>
        </w:rPr>
        <w:t>information.</w:t>
      </w:r>
      <w:r>
        <w:rPr>
          <w:color w:val="105C84"/>
          <w:spacing w:val="40"/>
        </w:rPr>
        <w:t> </w:t>
      </w:r>
      <w:r>
        <w:rPr>
          <w:color w:val="105C84"/>
        </w:rPr>
        <w:t>A</w:t>
      </w:r>
      <w:r>
        <w:rPr>
          <w:color w:val="105C84"/>
          <w:spacing w:val="40"/>
        </w:rPr>
        <w:t> </w:t>
      </w:r>
      <w:r>
        <w:rPr>
          <w:color w:val="105C84"/>
        </w:rPr>
        <w:t>couple</w:t>
      </w:r>
      <w:r>
        <w:rPr>
          <w:color w:val="105C84"/>
          <w:spacing w:val="40"/>
        </w:rPr>
        <w:t> </w:t>
      </w:r>
      <w:r>
        <w:rPr>
          <w:color w:val="105C84"/>
        </w:rPr>
        <w:t>of</w:t>
      </w:r>
      <w:r>
        <w:rPr>
          <w:color w:val="105C84"/>
          <w:spacing w:val="40"/>
        </w:rPr>
        <w:t> </w:t>
      </w:r>
      <w:r>
        <w:rPr>
          <w:color w:val="105C84"/>
        </w:rPr>
        <w:t>schools</w:t>
      </w:r>
      <w:r>
        <w:rPr>
          <w:color w:val="105C84"/>
          <w:spacing w:val="40"/>
        </w:rPr>
        <w:t> </w:t>
      </w:r>
      <w:r>
        <w:rPr>
          <w:color w:val="105C84"/>
        </w:rPr>
        <w:t>offered</w:t>
      </w:r>
      <w:r>
        <w:rPr>
          <w:color w:val="105C84"/>
          <w:spacing w:val="40"/>
        </w:rPr>
        <w:t> </w:t>
      </w:r>
      <w:r>
        <w:rPr>
          <w:color w:val="105C84"/>
        </w:rPr>
        <w:t>community</w:t>
      </w:r>
      <w:r>
        <w:rPr>
          <w:color w:val="105C84"/>
          <w:spacing w:val="40"/>
        </w:rPr>
        <w:t> </w:t>
      </w:r>
      <w:r>
        <w:rPr>
          <w:color w:val="105C84"/>
        </w:rPr>
        <w:t>forum-style</w:t>
      </w:r>
      <w:r>
        <w:rPr>
          <w:color w:val="105C84"/>
          <w:spacing w:val="40"/>
        </w:rPr>
        <w:t> </w:t>
      </w:r>
      <w:r>
        <w:rPr>
          <w:color w:val="105C84"/>
        </w:rPr>
        <w:t>events,</w:t>
      </w:r>
      <w:r>
        <w:rPr>
          <w:color w:val="105C84"/>
          <w:spacing w:val="40"/>
        </w:rPr>
        <w:t> </w:t>
      </w:r>
      <w:r>
        <w:rPr>
          <w:color w:val="105C84"/>
        </w:rPr>
        <w:t>open</w:t>
      </w:r>
    </w:p>
    <w:p>
      <w:pPr>
        <w:pStyle w:val="BodyText"/>
        <w:spacing w:line="247" w:lineRule="auto"/>
        <w:ind w:left="1065" w:right="714"/>
      </w:pPr>
      <w:r>
        <w:rPr>
          <w:color w:val="105C84"/>
        </w:rPr>
        <w:t>to students, their families, and community members, and included panel discussions among area agencies that work in the realm of tobacco prevention and education. These agencies included</w:t>
      </w:r>
      <w:r>
        <w:rPr>
          <w:color w:val="105C84"/>
          <w:spacing w:val="40"/>
        </w:rPr>
        <w:t> </w:t>
      </w:r>
      <w:r>
        <w:rPr>
          <w:color w:val="105C84"/>
        </w:rPr>
        <w:t>Wayne County Public Health, Finger Lakes Alcohol and Substance Abuse Prevention, school administration, The Tobacco Action Coalition of the Finger Lakes (TACFL), and student advocates. Additionally, several specific instances of vaping-related school interventions allowed the Health Educator for Wayne County Public Health to be brought into the school to speak with students</w:t>
      </w:r>
      <w:r>
        <w:rPr>
          <w:color w:val="105C84"/>
          <w:spacing w:val="40"/>
        </w:rPr>
        <w:t> </w:t>
      </w:r>
      <w:r>
        <w:rPr>
          <w:color w:val="105C84"/>
        </w:rPr>
        <w:t>individually</w:t>
      </w:r>
      <w:r>
        <w:rPr>
          <w:color w:val="105C84"/>
          <w:spacing w:val="28"/>
        </w:rPr>
        <w:t> </w:t>
      </w:r>
      <w:r>
        <w:rPr>
          <w:color w:val="105C84"/>
        </w:rPr>
        <w:t>regarding</w:t>
      </w:r>
      <w:r>
        <w:rPr>
          <w:color w:val="105C84"/>
          <w:spacing w:val="28"/>
        </w:rPr>
        <w:t> </w:t>
      </w:r>
      <w:r>
        <w:rPr>
          <w:color w:val="105C84"/>
        </w:rPr>
        <w:t>tobacco</w:t>
      </w:r>
      <w:r>
        <w:rPr>
          <w:color w:val="105C84"/>
          <w:spacing w:val="28"/>
        </w:rPr>
        <w:t> </w:t>
      </w:r>
      <w:r>
        <w:rPr>
          <w:color w:val="105C84"/>
        </w:rPr>
        <w:t>and</w:t>
      </w:r>
      <w:r>
        <w:rPr>
          <w:color w:val="105C84"/>
          <w:spacing w:val="28"/>
        </w:rPr>
        <w:t> </w:t>
      </w:r>
      <w:r>
        <w:rPr>
          <w:color w:val="105C84"/>
        </w:rPr>
        <w:t>vaping</w:t>
      </w:r>
      <w:r>
        <w:rPr>
          <w:color w:val="105C84"/>
          <w:spacing w:val="28"/>
        </w:rPr>
        <w:t> </w:t>
      </w:r>
      <w:r>
        <w:rPr>
          <w:color w:val="105C84"/>
        </w:rPr>
        <w:t>education,</w:t>
      </w:r>
      <w:r>
        <w:rPr>
          <w:color w:val="105C84"/>
          <w:spacing w:val="28"/>
        </w:rPr>
        <w:t> </w:t>
      </w:r>
      <w:r>
        <w:rPr>
          <w:color w:val="105C84"/>
        </w:rPr>
        <w:t>as</w:t>
      </w:r>
      <w:r>
        <w:rPr>
          <w:color w:val="105C84"/>
          <w:spacing w:val="28"/>
        </w:rPr>
        <w:t> </w:t>
      </w:r>
      <w:r>
        <w:rPr>
          <w:color w:val="105C84"/>
        </w:rPr>
        <w:t>well</w:t>
      </w:r>
      <w:r>
        <w:rPr>
          <w:color w:val="105C84"/>
          <w:spacing w:val="28"/>
        </w:rPr>
        <w:t> </w:t>
      </w:r>
      <w:r>
        <w:rPr>
          <w:color w:val="105C84"/>
        </w:rPr>
        <w:t>as</w:t>
      </w:r>
      <w:r>
        <w:rPr>
          <w:color w:val="105C84"/>
          <w:spacing w:val="28"/>
        </w:rPr>
        <w:t> </w:t>
      </w:r>
      <w:r>
        <w:rPr>
          <w:color w:val="105C84"/>
        </w:rPr>
        <w:t>cessation,</w:t>
      </w:r>
      <w:r>
        <w:rPr>
          <w:color w:val="105C84"/>
          <w:spacing w:val="28"/>
        </w:rPr>
        <w:t> </w:t>
      </w:r>
      <w:r>
        <w:rPr>
          <w:color w:val="105C84"/>
        </w:rPr>
        <w:t>using</w:t>
      </w:r>
      <w:r>
        <w:rPr>
          <w:color w:val="105C84"/>
          <w:spacing w:val="28"/>
        </w:rPr>
        <w:t> </w:t>
      </w:r>
      <w:r>
        <w:rPr>
          <w:color w:val="105C84"/>
        </w:rPr>
        <w:t>the</w:t>
      </w:r>
      <w:r>
        <w:rPr>
          <w:color w:val="105C84"/>
          <w:spacing w:val="28"/>
        </w:rPr>
        <w:t> </w:t>
      </w:r>
      <w:r>
        <w:rPr>
          <w:color w:val="105C84"/>
        </w:rPr>
        <w:t>American Lung Association’s “NOT on Tobacco” curriculum, which the Health Educator is certified in. Wayne County Public Health, along with TACFL, organized a “NOT on Tobacco” training at the end of</w:t>
      </w:r>
      <w:r>
        <w:rPr>
          <w:color w:val="105C84"/>
          <w:spacing w:val="40"/>
        </w:rPr>
        <w:t> </w:t>
      </w:r>
      <w:r>
        <w:rPr>
          <w:color w:val="105C84"/>
        </w:rPr>
        <w:t>August 2019, which was attended by 9 individuals representing 3 school districts, and other local</w:t>
      </w:r>
    </w:p>
    <w:p>
      <w:pPr>
        <w:pStyle w:val="BodyText"/>
        <w:spacing w:line="247" w:lineRule="auto"/>
        <w:ind w:left="1065"/>
      </w:pPr>
      <w:r>
        <w:rPr>
          <w:color w:val="105C84"/>
        </w:rPr>
        <w:t>agencies. The goal of this training was to provide interested school districts the opportunity to have a</w:t>
      </w:r>
      <w:r>
        <w:rPr>
          <w:color w:val="105C84"/>
          <w:spacing w:val="80"/>
        </w:rPr>
        <w:t> </w:t>
      </w:r>
      <w:r>
        <w:rPr>
          <w:color w:val="105C84"/>
        </w:rPr>
        <w:t>cessation counselor trained in the “NOT on Tobacco” curriculum in-house, to use as part of any other</w:t>
      </w:r>
      <w:r>
        <w:rPr>
          <w:color w:val="105C84"/>
          <w:spacing w:val="40"/>
        </w:rPr>
        <w:t> </w:t>
      </w:r>
      <w:r>
        <w:rPr>
          <w:color w:val="105C84"/>
        </w:rPr>
        <w:t>intervention and alternative-to-suspension practices currently in use for tobacco and vape related</w:t>
      </w:r>
      <w:r>
        <w:rPr>
          <w:color w:val="105C84"/>
          <w:spacing w:val="40"/>
        </w:rPr>
        <w:t> </w:t>
      </w:r>
      <w:r>
        <w:rPr>
          <w:color w:val="105C84"/>
          <w:spacing w:val="-2"/>
        </w:rPr>
        <w:t>transgressions.</w:t>
      </w:r>
    </w:p>
    <w:p>
      <w:pPr>
        <w:pStyle w:val="BodyText"/>
        <w:spacing w:before="7"/>
      </w:pPr>
    </w:p>
    <w:p>
      <w:pPr>
        <w:pStyle w:val="Heading6"/>
        <w:ind w:left="1065"/>
      </w:pPr>
      <w:r>
        <w:rPr>
          <w:color w:val="105C84"/>
          <w:spacing w:val="-6"/>
        </w:rPr>
        <w:t>Policy</w:t>
      </w:r>
      <w:r>
        <w:rPr>
          <w:color w:val="105C84"/>
          <w:spacing w:val="-8"/>
        </w:rPr>
        <w:t> </w:t>
      </w:r>
      <w:r>
        <w:rPr>
          <w:color w:val="105C84"/>
          <w:spacing w:val="-6"/>
        </w:rPr>
        <w:t>and</w:t>
      </w:r>
      <w:r>
        <w:rPr>
          <w:color w:val="105C84"/>
          <w:spacing w:val="-8"/>
        </w:rPr>
        <w:t> </w:t>
      </w:r>
      <w:r>
        <w:rPr>
          <w:color w:val="105C84"/>
          <w:spacing w:val="-6"/>
        </w:rPr>
        <w:t>Environmental</w:t>
      </w:r>
      <w:r>
        <w:rPr>
          <w:color w:val="105C84"/>
          <w:spacing w:val="-8"/>
        </w:rPr>
        <w:t> </w:t>
      </w:r>
      <w:r>
        <w:rPr>
          <w:color w:val="105C84"/>
          <w:spacing w:val="-6"/>
        </w:rPr>
        <w:t>Factors</w:t>
      </w:r>
    </w:p>
    <w:p>
      <w:pPr>
        <w:pStyle w:val="BodyText"/>
        <w:spacing w:line="247" w:lineRule="auto" w:before="269"/>
        <w:ind w:left="1065" w:right="491"/>
      </w:pPr>
      <w:r>
        <w:rPr>
          <w:color w:val="105C84"/>
        </w:rPr>
        <w:t>Although Wayne County continues to experience high rates of smoking and vaping, the communities</w:t>
      </w:r>
      <w:r>
        <w:rPr>
          <w:color w:val="105C84"/>
          <w:spacing w:val="40"/>
        </w:rPr>
        <w:t> </w:t>
      </w:r>
      <w:r>
        <w:rPr>
          <w:color w:val="105C84"/>
        </w:rPr>
        <w:t>within</w:t>
      </w:r>
      <w:r>
        <w:rPr>
          <w:color w:val="105C84"/>
          <w:spacing w:val="39"/>
        </w:rPr>
        <w:t> </w:t>
      </w:r>
      <w:r>
        <w:rPr>
          <w:color w:val="105C84"/>
        </w:rPr>
        <w:t>the</w:t>
      </w:r>
      <w:r>
        <w:rPr>
          <w:color w:val="105C84"/>
          <w:spacing w:val="39"/>
        </w:rPr>
        <w:t> </w:t>
      </w:r>
      <w:r>
        <w:rPr>
          <w:color w:val="105C84"/>
        </w:rPr>
        <w:t>county</w:t>
      </w:r>
      <w:r>
        <w:rPr>
          <w:color w:val="105C84"/>
          <w:spacing w:val="39"/>
        </w:rPr>
        <w:t> </w:t>
      </w:r>
      <w:r>
        <w:rPr>
          <w:color w:val="105C84"/>
        </w:rPr>
        <w:t>are</w:t>
      </w:r>
      <w:r>
        <w:rPr>
          <w:color w:val="105C84"/>
          <w:spacing w:val="39"/>
        </w:rPr>
        <w:t> </w:t>
      </w:r>
      <w:r>
        <w:rPr>
          <w:color w:val="105C84"/>
        </w:rPr>
        <w:t>becoming</w:t>
      </w:r>
      <w:r>
        <w:rPr>
          <w:color w:val="105C84"/>
          <w:spacing w:val="39"/>
        </w:rPr>
        <w:t> </w:t>
      </w:r>
      <w:r>
        <w:rPr>
          <w:color w:val="105C84"/>
        </w:rPr>
        <w:t>increasingly</w:t>
      </w:r>
      <w:r>
        <w:rPr>
          <w:color w:val="105C84"/>
          <w:spacing w:val="39"/>
        </w:rPr>
        <w:t> </w:t>
      </w:r>
      <w:r>
        <w:rPr>
          <w:color w:val="105C84"/>
        </w:rPr>
        <w:t>proactive</w:t>
      </w:r>
      <w:r>
        <w:rPr>
          <w:color w:val="105C84"/>
          <w:spacing w:val="39"/>
        </w:rPr>
        <w:t> </w:t>
      </w:r>
      <w:r>
        <w:rPr>
          <w:color w:val="105C84"/>
        </w:rPr>
        <w:t>by</w:t>
      </w:r>
      <w:r>
        <w:rPr>
          <w:color w:val="105C84"/>
          <w:spacing w:val="39"/>
        </w:rPr>
        <w:t> </w:t>
      </w:r>
      <w:r>
        <w:rPr>
          <w:color w:val="105C84"/>
        </w:rPr>
        <w:t>adopting</w:t>
      </w:r>
      <w:r>
        <w:rPr>
          <w:color w:val="105C84"/>
          <w:spacing w:val="39"/>
        </w:rPr>
        <w:t> </w:t>
      </w:r>
      <w:r>
        <w:rPr>
          <w:color w:val="105C84"/>
        </w:rPr>
        <w:t>smoke-free</w:t>
      </w:r>
      <w:r>
        <w:rPr>
          <w:color w:val="105C84"/>
          <w:spacing w:val="39"/>
        </w:rPr>
        <w:t> </w:t>
      </w:r>
      <w:r>
        <w:rPr>
          <w:color w:val="105C84"/>
        </w:rPr>
        <w:t>policies</w:t>
      </w:r>
      <w:r>
        <w:rPr>
          <w:color w:val="105C84"/>
          <w:spacing w:val="39"/>
        </w:rPr>
        <w:t> </w:t>
      </w:r>
      <w:r>
        <w:rPr>
          <w:color w:val="105C84"/>
        </w:rPr>
        <w:t>to</w:t>
      </w:r>
      <w:r>
        <w:rPr>
          <w:color w:val="105C84"/>
          <w:spacing w:val="39"/>
        </w:rPr>
        <w:t> </w:t>
      </w:r>
      <w:r>
        <w:rPr>
          <w:color w:val="105C84"/>
        </w:rPr>
        <w:t>protect residents, patrons, and tenants from secondhand smoke. Libraries throughout Wayne County, along with several businesses, have implemented smoke-free policies to protect their customers and employees. Throughout the county, it is forbidden to smoke in a park if children 12 or under are</w:t>
      </w:r>
      <w:r>
        <w:rPr>
          <w:color w:val="105C84"/>
          <w:spacing w:val="40"/>
        </w:rPr>
        <w:t> </w:t>
      </w:r>
      <w:r>
        <w:rPr>
          <w:color w:val="105C84"/>
        </w:rPr>
        <w:t>present. However, the Village of Newark has taken things one step further by implementing Tobacco-Free Outdoor policies in its many parks. Most importantly, several apartment complexes, covering hundreds of units, have adopted smoke-free policies – protecting their tenants from secondhand</w:t>
      </w:r>
      <w:r>
        <w:rPr>
          <w:color w:val="105C84"/>
          <w:spacing w:val="80"/>
        </w:rPr>
        <w:t> </w:t>
      </w:r>
      <w:r>
        <w:rPr>
          <w:color w:val="105C84"/>
        </w:rPr>
        <w:t>smoke and reducing the risk of fires. All Wayne County-owned and leased properties are smoke-free</w:t>
      </w:r>
      <w:r>
        <w:rPr>
          <w:color w:val="105C84"/>
          <w:spacing w:val="40"/>
        </w:rPr>
        <w:t> </w:t>
      </w:r>
      <w:r>
        <w:rPr>
          <w:color w:val="105C84"/>
        </w:rPr>
        <w:t>by law, and although enforcement has been a challenge since its implementation, law enforcement</w:t>
      </w:r>
      <w:r>
        <w:rPr>
          <w:color w:val="105C84"/>
          <w:spacing w:val="80"/>
        </w:rPr>
        <w:t> </w:t>
      </w:r>
      <w:r>
        <w:rPr>
          <w:color w:val="105C84"/>
        </w:rPr>
        <w:t>has become increasingly engaged in 2019.</w:t>
      </w:r>
    </w:p>
    <w:p>
      <w:pPr>
        <w:pStyle w:val="BodyText"/>
        <w:spacing w:line="247" w:lineRule="auto" w:before="174"/>
        <w:ind w:left="1065" w:right="535"/>
      </w:pPr>
      <w:r>
        <w:rPr>
          <w:color w:val="105C84"/>
        </w:rPr>
        <w:t>Residents of some villages in Wayne County also benefit from Complete Streets policies. Complete Streets</w:t>
      </w:r>
      <w:r>
        <w:rPr>
          <w:color w:val="105C84"/>
          <w:spacing w:val="25"/>
        </w:rPr>
        <w:t> </w:t>
      </w:r>
      <w:r>
        <w:rPr>
          <w:color w:val="105C84"/>
        </w:rPr>
        <w:t>policies</w:t>
      </w:r>
      <w:r>
        <w:rPr>
          <w:color w:val="105C84"/>
          <w:spacing w:val="25"/>
        </w:rPr>
        <w:t> </w:t>
      </w:r>
      <w:r>
        <w:rPr>
          <w:color w:val="105C84"/>
        </w:rPr>
        <w:t>make</w:t>
      </w:r>
      <w:r>
        <w:rPr>
          <w:color w:val="105C84"/>
          <w:spacing w:val="25"/>
        </w:rPr>
        <w:t> </w:t>
      </w:r>
      <w:r>
        <w:rPr>
          <w:color w:val="105C84"/>
        </w:rPr>
        <w:t>the</w:t>
      </w:r>
      <w:r>
        <w:rPr>
          <w:color w:val="105C84"/>
          <w:spacing w:val="25"/>
        </w:rPr>
        <w:t> </w:t>
      </w:r>
      <w:r>
        <w:rPr>
          <w:color w:val="105C84"/>
        </w:rPr>
        <w:t>roads</w:t>
      </w:r>
      <w:r>
        <w:rPr>
          <w:color w:val="105C84"/>
          <w:spacing w:val="25"/>
        </w:rPr>
        <w:t> </w:t>
      </w:r>
      <w:r>
        <w:rPr>
          <w:color w:val="105C84"/>
        </w:rPr>
        <w:t>safer</w:t>
      </w:r>
      <w:r>
        <w:rPr>
          <w:color w:val="105C84"/>
          <w:spacing w:val="25"/>
        </w:rPr>
        <w:t> </w:t>
      </w:r>
      <w:r>
        <w:rPr>
          <w:color w:val="105C84"/>
        </w:rPr>
        <w:t>for</w:t>
      </w:r>
      <w:r>
        <w:rPr>
          <w:color w:val="105C84"/>
          <w:spacing w:val="25"/>
        </w:rPr>
        <w:t> </w:t>
      </w:r>
      <w:r>
        <w:rPr>
          <w:color w:val="105C84"/>
        </w:rPr>
        <w:t>pedestrians</w:t>
      </w:r>
      <w:r>
        <w:rPr>
          <w:color w:val="105C84"/>
          <w:spacing w:val="25"/>
        </w:rPr>
        <w:t> </w:t>
      </w:r>
      <w:r>
        <w:rPr>
          <w:color w:val="105C84"/>
        </w:rPr>
        <w:t>and</w:t>
      </w:r>
      <w:r>
        <w:rPr>
          <w:color w:val="105C84"/>
          <w:spacing w:val="25"/>
        </w:rPr>
        <w:t> </w:t>
      </w:r>
      <w:r>
        <w:rPr>
          <w:color w:val="105C84"/>
        </w:rPr>
        <w:t>cyclists,</w:t>
      </w:r>
      <w:r>
        <w:rPr>
          <w:color w:val="105C84"/>
          <w:spacing w:val="25"/>
        </w:rPr>
        <w:t> </w:t>
      </w:r>
      <w:r>
        <w:rPr>
          <w:color w:val="105C84"/>
        </w:rPr>
        <w:t>increasing</w:t>
      </w:r>
      <w:r>
        <w:rPr>
          <w:color w:val="105C84"/>
          <w:spacing w:val="25"/>
        </w:rPr>
        <w:t> </w:t>
      </w:r>
      <w:r>
        <w:rPr>
          <w:color w:val="105C84"/>
        </w:rPr>
        <w:t>opportunities</w:t>
      </w:r>
      <w:r>
        <w:rPr>
          <w:color w:val="105C84"/>
          <w:spacing w:val="25"/>
        </w:rPr>
        <w:t> </w:t>
      </w:r>
      <w:r>
        <w:rPr>
          <w:color w:val="105C84"/>
        </w:rPr>
        <w:t>for physical activity where they live. Although a minority of villages have implemented this so far, there is support for Complete Streets from Wayne County Public Health and the Wayne Health Improvement Partnership (WHIP). Any interested village has access to technical support and letters of support through these entities.</w:t>
      </w:r>
    </w:p>
    <w:p>
      <w:pPr>
        <w:pStyle w:val="BodyText"/>
        <w:spacing w:line="247" w:lineRule="auto" w:before="176"/>
        <w:ind w:left="1065" w:right="535"/>
      </w:pPr>
      <w:r>
        <w:rPr>
          <w:color w:val="105C84"/>
        </w:rPr>
        <w:t>Schools continue to implement their local wellness policies, however some have reported difficulty</w:t>
      </w:r>
      <w:r>
        <w:rPr>
          <w:color w:val="105C84"/>
          <w:spacing w:val="40"/>
        </w:rPr>
        <w:t> </w:t>
      </w:r>
      <w:r>
        <w:rPr>
          <w:color w:val="105C84"/>
        </w:rPr>
        <w:t>adhering to it. Public Health and WHIP are available to assist in identifying and addressing barriers to successful implementation of these policies. Multiple agencies within WHIP are skilled in developing,</w:t>
      </w:r>
      <w:r>
        <w:rPr>
          <w:color w:val="105C84"/>
          <w:spacing w:val="40"/>
        </w:rPr>
        <w:t> </w:t>
      </w:r>
      <w:r>
        <w:rPr>
          <w:color w:val="105C84"/>
        </w:rPr>
        <w:t>implementing and assessing policies/curriculums affecting nutrition and physical activity, such as Genesee Valley BOCES and Cornell Cooperative Extension.</w:t>
      </w:r>
    </w:p>
    <w:p>
      <w:pPr>
        <w:pStyle w:val="BodyText"/>
        <w:spacing w:after="0" w:line="247" w:lineRule="auto"/>
        <w:sectPr>
          <w:type w:val="continuous"/>
          <w:pgSz w:w="24480" w:h="15840" w:orient="landscape"/>
          <w:pgMar w:header="0" w:footer="0" w:top="0" w:bottom="280" w:left="0" w:right="720"/>
          <w:cols w:num="2" w:equalWidth="0">
            <w:col w:w="11174" w:space="1080"/>
            <w:col w:w="11506"/>
          </w:cols>
        </w:sectPr>
      </w:pPr>
    </w:p>
    <w:p>
      <w:pPr>
        <w:pStyle w:val="BodyText"/>
        <w:rPr>
          <w:sz w:val="26"/>
        </w:rPr>
      </w:pPr>
      <w:r>
        <w:rPr>
          <w:sz w:val="26"/>
        </w:rPr>
        <w:drawing>
          <wp:anchor distT="0" distB="0" distL="0" distR="0" allowOverlap="1" layoutInCell="1" locked="0" behindDoc="0" simplePos="0" relativeHeight="15884800">
            <wp:simplePos x="0" y="0"/>
            <wp:positionH relativeFrom="page">
              <wp:posOffset>14981556</wp:posOffset>
            </wp:positionH>
            <wp:positionV relativeFrom="page">
              <wp:posOffset>9668103</wp:posOffset>
            </wp:positionV>
            <wp:extent cx="563245" cy="184683"/>
            <wp:effectExtent l="0" t="0" r="0" b="0"/>
            <wp:wrapNone/>
            <wp:docPr id="1535" name="Image 1535"/>
            <wp:cNvGraphicFramePr>
              <a:graphicFrameLocks/>
            </wp:cNvGraphicFramePr>
            <a:graphic>
              <a:graphicData uri="http://schemas.openxmlformats.org/drawingml/2006/picture">
                <pic:pic>
                  <pic:nvPicPr>
                    <pic:cNvPr id="1535" name="Image 1535"/>
                    <pic:cNvPicPr/>
                  </pic:nvPicPr>
                  <pic:blipFill>
                    <a:blip r:embed="rId38" cstate="print"/>
                    <a:stretch>
                      <a:fillRect/>
                    </a:stretch>
                  </pic:blipFill>
                  <pic:spPr>
                    <a:xfrm>
                      <a:off x="0" y="0"/>
                      <a:ext cx="563245" cy="184683"/>
                    </a:xfrm>
                    <a:prstGeom prst="rect">
                      <a:avLst/>
                    </a:prstGeom>
                  </pic:spPr>
                </pic:pic>
              </a:graphicData>
            </a:graphic>
          </wp:anchor>
        </w:drawing>
      </w:r>
    </w:p>
    <w:p>
      <w:pPr>
        <w:pStyle w:val="BodyText"/>
        <w:rPr>
          <w:sz w:val="26"/>
        </w:rPr>
      </w:pPr>
    </w:p>
    <w:p>
      <w:pPr>
        <w:pStyle w:val="BodyText"/>
        <w:rPr>
          <w:sz w:val="26"/>
        </w:rPr>
      </w:pPr>
    </w:p>
    <w:p>
      <w:pPr>
        <w:pStyle w:val="BodyText"/>
        <w:spacing w:before="190"/>
        <w:rPr>
          <w:sz w:val="26"/>
        </w:rPr>
      </w:pPr>
    </w:p>
    <w:p>
      <w:pPr>
        <w:tabs>
          <w:tab w:pos="23147" w:val="left" w:leader="none"/>
        </w:tabs>
        <w:spacing w:before="0"/>
        <w:ind w:left="0" w:right="0" w:firstLine="0"/>
        <w:jc w:val="left"/>
        <w:rPr>
          <w:b/>
          <w:sz w:val="26"/>
        </w:rPr>
      </w:pPr>
      <w:r>
        <w:rPr>
          <w:position w:val="-4"/>
        </w:rPr>
        <w:drawing>
          <wp:inline distT="0" distB="0" distL="0" distR="0">
            <wp:extent cx="568172" cy="184683"/>
            <wp:effectExtent l="0" t="0" r="0" b="0"/>
            <wp:docPr id="1536" name="Image 1536"/>
            <wp:cNvGraphicFramePr>
              <a:graphicFrameLocks/>
            </wp:cNvGraphicFramePr>
            <a:graphic>
              <a:graphicData uri="http://schemas.openxmlformats.org/drawingml/2006/picture">
                <pic:pic>
                  <pic:nvPicPr>
                    <pic:cNvPr id="1536" name="Image 1536"/>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80"/>
          <w:w w:val="105"/>
          <w:sz w:val="20"/>
        </w:rPr>
        <w:t> </w:t>
      </w:r>
      <w:r>
        <w:rPr>
          <w:b/>
          <w:color w:val="939598"/>
          <w:w w:val="105"/>
          <w:sz w:val="26"/>
        </w:rPr>
        <w:t>97</w:t>
      </w:r>
      <w:r>
        <w:rPr>
          <w:b/>
          <w:color w:val="939598"/>
          <w:sz w:val="26"/>
        </w:rPr>
        <w:tab/>
      </w:r>
      <w:r>
        <w:rPr>
          <w:b/>
          <w:color w:val="939598"/>
          <w:spacing w:val="-5"/>
          <w:w w:val="105"/>
          <w:sz w:val="26"/>
        </w:rPr>
        <w:t>98</w:t>
      </w:r>
    </w:p>
    <w:p>
      <w:pPr>
        <w:spacing w:after="0"/>
        <w:jc w:val="left"/>
        <w:rPr>
          <w:b/>
          <w:sz w:val="26"/>
        </w:rPr>
        <w:sectPr>
          <w:type w:val="continuous"/>
          <w:pgSz w:w="24480" w:h="15840" w:orient="landscape"/>
          <w:pgMar w:header="0" w:footer="0" w:top="0" w:bottom="280" w:left="0" w:right="720"/>
        </w:sectPr>
      </w:pPr>
    </w:p>
    <w:p>
      <w:pPr>
        <w:pStyle w:val="BodyText"/>
        <w:rPr>
          <w:b/>
          <w:sz w:val="20"/>
        </w:rPr>
      </w:pPr>
    </w:p>
    <w:p>
      <w:pPr>
        <w:pStyle w:val="BodyText"/>
        <w:spacing w:before="17"/>
        <w:rPr>
          <w:b/>
          <w:sz w:val="20"/>
        </w:rPr>
      </w:pPr>
    </w:p>
    <w:p>
      <w:pPr>
        <w:pStyle w:val="BodyText"/>
        <w:spacing w:after="0"/>
        <w:rPr>
          <w:b/>
          <w:sz w:val="20"/>
        </w:rPr>
        <w:sectPr>
          <w:pgSz w:w="24480" w:h="15840" w:orient="landscape"/>
          <w:pgMar w:header="0" w:footer="0" w:top="860" w:bottom="0" w:left="0" w:right="720"/>
        </w:sectPr>
      </w:pPr>
    </w:p>
    <w:p>
      <w:pPr>
        <w:pStyle w:val="Heading6"/>
        <w:spacing w:before="172"/>
        <w:ind w:left="1065"/>
      </w:pPr>
      <w:r>
        <w:rPr>
          <w:color w:val="105C84"/>
          <w:spacing w:val="-4"/>
        </w:rPr>
        <w:t>Other</w:t>
      </w:r>
      <w:r>
        <w:rPr>
          <w:color w:val="105C84"/>
          <w:spacing w:val="-7"/>
        </w:rPr>
        <w:t> </w:t>
      </w:r>
      <w:r>
        <w:rPr>
          <w:color w:val="105C84"/>
          <w:spacing w:val="-4"/>
        </w:rPr>
        <w:t>unique</w:t>
      </w:r>
      <w:r>
        <w:rPr>
          <w:color w:val="105C84"/>
          <w:spacing w:val="-6"/>
        </w:rPr>
        <w:t> </w:t>
      </w:r>
      <w:r>
        <w:rPr>
          <w:color w:val="105C84"/>
          <w:spacing w:val="-4"/>
        </w:rPr>
        <w:t>characteristics</w:t>
      </w:r>
      <w:r>
        <w:rPr>
          <w:color w:val="105C84"/>
          <w:spacing w:val="-6"/>
        </w:rPr>
        <w:t> </w:t>
      </w:r>
      <w:r>
        <w:rPr>
          <w:color w:val="105C84"/>
          <w:spacing w:val="-4"/>
        </w:rPr>
        <w:t>contributing</w:t>
      </w:r>
      <w:r>
        <w:rPr>
          <w:color w:val="105C84"/>
          <w:spacing w:val="-6"/>
        </w:rPr>
        <w:t> </w:t>
      </w:r>
      <w:r>
        <w:rPr>
          <w:color w:val="105C84"/>
          <w:spacing w:val="-4"/>
        </w:rPr>
        <w:t>to</w:t>
      </w:r>
      <w:r>
        <w:rPr>
          <w:color w:val="105C84"/>
          <w:spacing w:val="-7"/>
        </w:rPr>
        <w:t> </w:t>
      </w:r>
      <w:r>
        <w:rPr>
          <w:color w:val="105C84"/>
          <w:spacing w:val="-4"/>
        </w:rPr>
        <w:t>health</w:t>
      </w:r>
      <w:r>
        <w:rPr>
          <w:color w:val="105C84"/>
          <w:spacing w:val="-6"/>
        </w:rPr>
        <w:t> </w:t>
      </w:r>
      <w:r>
        <w:rPr>
          <w:color w:val="105C84"/>
          <w:spacing w:val="-4"/>
        </w:rPr>
        <w:t>status</w:t>
      </w:r>
    </w:p>
    <w:p>
      <w:pPr>
        <w:pStyle w:val="BodyText"/>
        <w:spacing w:line="247" w:lineRule="auto" w:before="269"/>
        <w:ind w:left="1065" w:right="183"/>
      </w:pPr>
      <w:r>
        <w:rPr>
          <w:color w:val="105C84"/>
        </w:rPr>
        <w:t>Wayne County has the largest migrant population in New York State, and growing Amish and Mennonite</w:t>
      </w:r>
      <w:r>
        <w:rPr>
          <w:color w:val="105C84"/>
          <w:spacing w:val="33"/>
        </w:rPr>
        <w:t> </w:t>
      </w:r>
      <w:r>
        <w:rPr>
          <w:color w:val="105C84"/>
        </w:rPr>
        <w:t>communities</w:t>
      </w:r>
      <w:r>
        <w:rPr>
          <w:color w:val="105C84"/>
          <w:spacing w:val="33"/>
        </w:rPr>
        <w:t> </w:t>
      </w:r>
      <w:r>
        <w:rPr>
          <w:color w:val="105C84"/>
        </w:rPr>
        <w:t>as</w:t>
      </w:r>
      <w:r>
        <w:rPr>
          <w:color w:val="105C84"/>
          <w:spacing w:val="33"/>
        </w:rPr>
        <w:t> </w:t>
      </w:r>
      <w:r>
        <w:rPr>
          <w:color w:val="105C84"/>
        </w:rPr>
        <w:t>well.</w:t>
      </w:r>
      <w:r>
        <w:rPr>
          <w:color w:val="105C84"/>
          <w:spacing w:val="33"/>
        </w:rPr>
        <w:t> </w:t>
      </w:r>
      <w:r>
        <w:rPr>
          <w:color w:val="105C84"/>
        </w:rPr>
        <w:t>These</w:t>
      </w:r>
      <w:r>
        <w:rPr>
          <w:color w:val="105C84"/>
          <w:spacing w:val="33"/>
        </w:rPr>
        <w:t> </w:t>
      </w:r>
      <w:r>
        <w:rPr>
          <w:color w:val="105C84"/>
        </w:rPr>
        <w:t>populations</w:t>
      </w:r>
      <w:r>
        <w:rPr>
          <w:color w:val="105C84"/>
          <w:spacing w:val="33"/>
        </w:rPr>
        <w:t> </w:t>
      </w:r>
      <w:r>
        <w:rPr>
          <w:color w:val="105C84"/>
        </w:rPr>
        <w:t>each</w:t>
      </w:r>
      <w:r>
        <w:rPr>
          <w:color w:val="105C84"/>
          <w:spacing w:val="33"/>
        </w:rPr>
        <w:t> </w:t>
      </w:r>
      <w:r>
        <w:rPr>
          <w:color w:val="105C84"/>
        </w:rPr>
        <w:t>have</w:t>
      </w:r>
      <w:r>
        <w:rPr>
          <w:color w:val="105C84"/>
          <w:spacing w:val="33"/>
        </w:rPr>
        <w:t> </w:t>
      </w:r>
      <w:r>
        <w:rPr>
          <w:color w:val="105C84"/>
        </w:rPr>
        <w:t>unique</w:t>
      </w:r>
      <w:r>
        <w:rPr>
          <w:color w:val="105C84"/>
          <w:spacing w:val="33"/>
        </w:rPr>
        <w:t> </w:t>
      </w:r>
      <w:r>
        <w:rPr>
          <w:color w:val="105C84"/>
        </w:rPr>
        <w:t>characteristics</w:t>
      </w:r>
      <w:r>
        <w:rPr>
          <w:color w:val="105C84"/>
          <w:spacing w:val="33"/>
        </w:rPr>
        <w:t> </w:t>
      </w:r>
      <w:r>
        <w:rPr>
          <w:color w:val="105C84"/>
        </w:rPr>
        <w:t>impacting health</w:t>
      </w:r>
      <w:r>
        <w:rPr>
          <w:color w:val="105C84"/>
          <w:spacing w:val="26"/>
        </w:rPr>
        <w:t> </w:t>
      </w:r>
      <w:r>
        <w:rPr>
          <w:color w:val="105C84"/>
        </w:rPr>
        <w:t>behaviors</w:t>
      </w:r>
      <w:r>
        <w:rPr>
          <w:color w:val="105C84"/>
          <w:spacing w:val="26"/>
        </w:rPr>
        <w:t> </w:t>
      </w:r>
      <w:r>
        <w:rPr>
          <w:color w:val="105C84"/>
        </w:rPr>
        <w:t>and</w:t>
      </w:r>
      <w:r>
        <w:rPr>
          <w:color w:val="105C84"/>
          <w:spacing w:val="26"/>
        </w:rPr>
        <w:t> </w:t>
      </w:r>
      <w:r>
        <w:rPr>
          <w:color w:val="105C84"/>
        </w:rPr>
        <w:t>outcomes.</w:t>
      </w:r>
      <w:r>
        <w:rPr>
          <w:color w:val="105C84"/>
          <w:spacing w:val="26"/>
        </w:rPr>
        <w:t> </w:t>
      </w:r>
      <w:r>
        <w:rPr>
          <w:color w:val="105C84"/>
        </w:rPr>
        <w:t>This</w:t>
      </w:r>
      <w:r>
        <w:rPr>
          <w:color w:val="105C84"/>
          <w:spacing w:val="26"/>
        </w:rPr>
        <w:t> </w:t>
      </w:r>
      <w:r>
        <w:rPr>
          <w:color w:val="105C84"/>
        </w:rPr>
        <w:t>finding</w:t>
      </w:r>
      <w:r>
        <w:rPr>
          <w:color w:val="105C84"/>
          <w:spacing w:val="26"/>
        </w:rPr>
        <w:t> </w:t>
      </w:r>
      <w:r>
        <w:rPr>
          <w:color w:val="105C84"/>
        </w:rPr>
        <w:t>supports</w:t>
      </w:r>
      <w:r>
        <w:rPr>
          <w:color w:val="105C84"/>
          <w:spacing w:val="26"/>
        </w:rPr>
        <w:t> </w:t>
      </w:r>
      <w:r>
        <w:rPr>
          <w:color w:val="105C84"/>
        </w:rPr>
        <w:t>the</w:t>
      </w:r>
      <w:r>
        <w:rPr>
          <w:color w:val="105C84"/>
          <w:spacing w:val="26"/>
        </w:rPr>
        <w:t> </w:t>
      </w:r>
      <w:r>
        <w:rPr>
          <w:color w:val="105C84"/>
        </w:rPr>
        <w:t>need</w:t>
      </w:r>
      <w:r>
        <w:rPr>
          <w:color w:val="105C84"/>
          <w:spacing w:val="26"/>
        </w:rPr>
        <w:t> </w:t>
      </w:r>
      <w:r>
        <w:rPr>
          <w:color w:val="105C84"/>
        </w:rPr>
        <w:t>for</w:t>
      </w:r>
      <w:r>
        <w:rPr>
          <w:color w:val="105C84"/>
          <w:spacing w:val="26"/>
        </w:rPr>
        <w:t> </w:t>
      </w:r>
      <w:r>
        <w:rPr>
          <w:color w:val="105C84"/>
        </w:rPr>
        <w:t>growing</w:t>
      </w:r>
      <w:r>
        <w:rPr>
          <w:color w:val="105C84"/>
          <w:spacing w:val="26"/>
        </w:rPr>
        <w:t> </w:t>
      </w:r>
      <w:r>
        <w:rPr>
          <w:color w:val="105C84"/>
        </w:rPr>
        <w:t>awareness</w:t>
      </w:r>
      <w:r>
        <w:rPr>
          <w:color w:val="105C84"/>
          <w:spacing w:val="26"/>
        </w:rPr>
        <w:t> </w:t>
      </w:r>
      <w:r>
        <w:rPr>
          <w:color w:val="105C84"/>
        </w:rPr>
        <w:t>of</w:t>
      </w:r>
      <w:r>
        <w:rPr>
          <w:color w:val="105C84"/>
          <w:spacing w:val="26"/>
        </w:rPr>
        <w:t> </w:t>
      </w:r>
      <w:r>
        <w:rPr>
          <w:color w:val="105C84"/>
        </w:rPr>
        <w:t>and support for cultural competency and health literacy in order to sustain a successful health and human services workforce.</w:t>
      </w:r>
    </w:p>
    <w:p>
      <w:pPr>
        <w:pStyle w:val="BodyText"/>
        <w:spacing w:line="247" w:lineRule="auto" w:before="177"/>
        <w:ind w:left="1065" w:right="59"/>
      </w:pPr>
      <w:r>
        <w:rPr>
          <w:color w:val="105C84"/>
        </w:rPr>
        <w:t>As previously mentioned, Amish and Mennonite populations interact with the health care system</w:t>
      </w:r>
      <w:r>
        <w:rPr>
          <w:color w:val="105C84"/>
          <w:spacing w:val="40"/>
        </w:rPr>
        <w:t> </w:t>
      </w:r>
      <w:r>
        <w:rPr>
          <w:color w:val="105C84"/>
        </w:rPr>
        <w:t>differently, often not seeking conventional health care until they feel it is necessary. Many do not have conventional</w:t>
      </w:r>
      <w:r>
        <w:rPr>
          <w:color w:val="105C84"/>
          <w:spacing w:val="26"/>
        </w:rPr>
        <w:t> </w:t>
      </w:r>
      <w:r>
        <w:rPr>
          <w:color w:val="105C84"/>
        </w:rPr>
        <w:t>health</w:t>
      </w:r>
      <w:r>
        <w:rPr>
          <w:color w:val="105C84"/>
          <w:spacing w:val="26"/>
        </w:rPr>
        <w:t> </w:t>
      </w:r>
      <w:r>
        <w:rPr>
          <w:color w:val="105C84"/>
        </w:rPr>
        <w:t>insurance</w:t>
      </w:r>
      <w:r>
        <w:rPr>
          <w:color w:val="105C84"/>
          <w:spacing w:val="26"/>
        </w:rPr>
        <w:t> </w:t>
      </w:r>
      <w:r>
        <w:rPr>
          <w:color w:val="105C84"/>
        </w:rPr>
        <w:t>and</w:t>
      </w:r>
      <w:r>
        <w:rPr>
          <w:color w:val="105C84"/>
          <w:spacing w:val="26"/>
        </w:rPr>
        <w:t> </w:t>
      </w:r>
      <w:r>
        <w:rPr>
          <w:color w:val="105C84"/>
        </w:rPr>
        <w:t>instead</w:t>
      </w:r>
      <w:r>
        <w:rPr>
          <w:color w:val="105C84"/>
          <w:spacing w:val="26"/>
        </w:rPr>
        <w:t> </w:t>
      </w:r>
      <w:r>
        <w:rPr>
          <w:color w:val="105C84"/>
        </w:rPr>
        <w:t>pay</w:t>
      </w:r>
      <w:r>
        <w:rPr>
          <w:color w:val="105C84"/>
          <w:spacing w:val="26"/>
        </w:rPr>
        <w:t> </w:t>
      </w:r>
      <w:r>
        <w:rPr>
          <w:color w:val="105C84"/>
        </w:rPr>
        <w:t>out</w:t>
      </w:r>
      <w:r>
        <w:rPr>
          <w:color w:val="105C84"/>
          <w:spacing w:val="26"/>
        </w:rPr>
        <w:t> </w:t>
      </w:r>
      <w:r>
        <w:rPr>
          <w:color w:val="105C84"/>
        </w:rPr>
        <w:t>of</w:t>
      </w:r>
      <w:r>
        <w:rPr>
          <w:color w:val="105C84"/>
          <w:spacing w:val="26"/>
        </w:rPr>
        <w:t> </w:t>
      </w:r>
      <w:r>
        <w:rPr>
          <w:color w:val="105C84"/>
        </w:rPr>
        <w:t>pocket</w:t>
      </w:r>
      <w:r>
        <w:rPr>
          <w:color w:val="105C84"/>
          <w:spacing w:val="26"/>
        </w:rPr>
        <w:t> </w:t>
      </w:r>
      <w:r>
        <w:rPr>
          <w:color w:val="105C84"/>
        </w:rPr>
        <w:t>or</w:t>
      </w:r>
      <w:r>
        <w:rPr>
          <w:color w:val="105C84"/>
          <w:spacing w:val="26"/>
        </w:rPr>
        <w:t> </w:t>
      </w:r>
      <w:r>
        <w:rPr>
          <w:color w:val="105C84"/>
        </w:rPr>
        <w:t>have</w:t>
      </w:r>
      <w:r>
        <w:rPr>
          <w:color w:val="105C84"/>
          <w:spacing w:val="26"/>
        </w:rPr>
        <w:t> </w:t>
      </w:r>
      <w:r>
        <w:rPr>
          <w:color w:val="105C84"/>
        </w:rPr>
        <w:t>something</w:t>
      </w:r>
      <w:r>
        <w:rPr>
          <w:color w:val="105C84"/>
          <w:spacing w:val="26"/>
        </w:rPr>
        <w:t> </w:t>
      </w:r>
      <w:r>
        <w:rPr>
          <w:color w:val="105C84"/>
        </w:rPr>
        <w:t>conceptually</w:t>
      </w:r>
      <w:r>
        <w:rPr>
          <w:color w:val="105C84"/>
          <w:spacing w:val="26"/>
        </w:rPr>
        <w:t> </w:t>
      </w:r>
      <w:r>
        <w:rPr>
          <w:color w:val="105C84"/>
        </w:rPr>
        <w:t>similar to health insurance through their churches. Persons working with these groups should take extra care</w:t>
      </w:r>
      <w:r>
        <w:rPr>
          <w:color w:val="105C84"/>
          <w:spacing w:val="40"/>
        </w:rPr>
        <w:t> </w:t>
      </w:r>
      <w:r>
        <w:rPr>
          <w:color w:val="105C84"/>
        </w:rPr>
        <w:t>to learn and respect their social norms and cultural values in order to make health care inviting and inclusive for them.</w:t>
      </w:r>
    </w:p>
    <w:p>
      <w:pPr>
        <w:pStyle w:val="BodyText"/>
        <w:spacing w:line="247" w:lineRule="auto" w:before="177"/>
        <w:ind w:left="1065" w:right="183"/>
      </w:pPr>
      <w:r>
        <w:rPr>
          <w:color w:val="105C84"/>
        </w:rPr>
        <w:t>In Wayne County, many Amish and Mennonite families receive information from a publication called The</w:t>
      </w:r>
      <w:r>
        <w:rPr>
          <w:color w:val="105C84"/>
          <w:spacing w:val="18"/>
        </w:rPr>
        <w:t> </w:t>
      </w:r>
      <w:r>
        <w:rPr>
          <w:color w:val="105C84"/>
        </w:rPr>
        <w:t>Flame,</w:t>
      </w:r>
      <w:r>
        <w:rPr>
          <w:color w:val="105C84"/>
          <w:spacing w:val="18"/>
        </w:rPr>
        <w:t> </w:t>
      </w:r>
      <w:r>
        <w:rPr>
          <w:color w:val="105C84"/>
        </w:rPr>
        <w:t>which</w:t>
      </w:r>
      <w:r>
        <w:rPr>
          <w:color w:val="105C84"/>
          <w:spacing w:val="18"/>
        </w:rPr>
        <w:t> </w:t>
      </w:r>
      <w:r>
        <w:rPr>
          <w:color w:val="105C84"/>
        </w:rPr>
        <w:t>may</w:t>
      </w:r>
      <w:r>
        <w:rPr>
          <w:color w:val="105C84"/>
          <w:spacing w:val="18"/>
        </w:rPr>
        <w:t> </w:t>
      </w:r>
      <w:r>
        <w:rPr>
          <w:color w:val="105C84"/>
        </w:rPr>
        <w:t>be</w:t>
      </w:r>
      <w:r>
        <w:rPr>
          <w:color w:val="105C84"/>
          <w:spacing w:val="18"/>
        </w:rPr>
        <w:t> </w:t>
      </w:r>
      <w:r>
        <w:rPr>
          <w:color w:val="105C84"/>
        </w:rPr>
        <w:t>a</w:t>
      </w:r>
      <w:r>
        <w:rPr>
          <w:color w:val="105C84"/>
          <w:spacing w:val="18"/>
        </w:rPr>
        <w:t> </w:t>
      </w:r>
      <w:r>
        <w:rPr>
          <w:color w:val="105C84"/>
        </w:rPr>
        <w:t>valuable</w:t>
      </w:r>
      <w:r>
        <w:rPr>
          <w:color w:val="105C84"/>
          <w:spacing w:val="18"/>
        </w:rPr>
        <w:t> </w:t>
      </w:r>
      <w:r>
        <w:rPr>
          <w:color w:val="105C84"/>
        </w:rPr>
        <w:t>outlet</w:t>
      </w:r>
      <w:r>
        <w:rPr>
          <w:color w:val="105C84"/>
          <w:spacing w:val="18"/>
        </w:rPr>
        <w:t> </w:t>
      </w:r>
      <w:r>
        <w:rPr>
          <w:color w:val="105C84"/>
        </w:rPr>
        <w:t>for</w:t>
      </w:r>
      <w:r>
        <w:rPr>
          <w:color w:val="105C84"/>
          <w:spacing w:val="18"/>
        </w:rPr>
        <w:t> </w:t>
      </w:r>
      <w:r>
        <w:rPr>
          <w:color w:val="105C84"/>
        </w:rPr>
        <w:t>persons</w:t>
      </w:r>
      <w:r>
        <w:rPr>
          <w:color w:val="105C84"/>
          <w:spacing w:val="18"/>
        </w:rPr>
        <w:t> </w:t>
      </w:r>
      <w:r>
        <w:rPr>
          <w:color w:val="105C84"/>
        </w:rPr>
        <w:t>hoping</w:t>
      </w:r>
      <w:r>
        <w:rPr>
          <w:color w:val="105C84"/>
          <w:spacing w:val="18"/>
        </w:rPr>
        <w:t> </w:t>
      </w:r>
      <w:r>
        <w:rPr>
          <w:color w:val="105C84"/>
        </w:rPr>
        <w:t>to</w:t>
      </w:r>
      <w:r>
        <w:rPr>
          <w:color w:val="105C84"/>
          <w:spacing w:val="18"/>
        </w:rPr>
        <w:t> </w:t>
      </w:r>
      <w:r>
        <w:rPr>
          <w:color w:val="105C84"/>
        </w:rPr>
        <w:t>connect</w:t>
      </w:r>
      <w:r>
        <w:rPr>
          <w:color w:val="105C84"/>
          <w:spacing w:val="18"/>
        </w:rPr>
        <w:t> </w:t>
      </w:r>
      <w:r>
        <w:rPr>
          <w:color w:val="105C84"/>
        </w:rPr>
        <w:t>with</w:t>
      </w:r>
      <w:r>
        <w:rPr>
          <w:color w:val="105C84"/>
          <w:spacing w:val="18"/>
        </w:rPr>
        <w:t> </w:t>
      </w:r>
      <w:r>
        <w:rPr>
          <w:color w:val="105C84"/>
        </w:rPr>
        <w:t>those</w:t>
      </w:r>
      <w:r>
        <w:rPr>
          <w:color w:val="105C84"/>
          <w:spacing w:val="18"/>
        </w:rPr>
        <w:t> </w:t>
      </w:r>
      <w:r>
        <w:rPr>
          <w:color w:val="105C84"/>
        </w:rPr>
        <w:t>groups.</w:t>
      </w:r>
      <w:r>
        <w:rPr>
          <w:color w:val="105C84"/>
          <w:spacing w:val="18"/>
        </w:rPr>
        <w:t> </w:t>
      </w:r>
      <w:r>
        <w:rPr>
          <w:color w:val="105C84"/>
        </w:rPr>
        <w:t>Many of the Amish and Mennonite population do not drive cars, instead using horse and buggy, and</w:t>
      </w:r>
      <w:r>
        <w:rPr>
          <w:color w:val="105C84"/>
          <w:spacing w:val="40"/>
        </w:rPr>
        <w:t> </w:t>
      </w:r>
      <w:r>
        <w:rPr>
          <w:color w:val="105C84"/>
        </w:rPr>
        <w:t>inconvenience</w:t>
      </w:r>
      <w:r>
        <w:rPr>
          <w:color w:val="105C84"/>
          <w:spacing w:val="40"/>
        </w:rPr>
        <w:t> </w:t>
      </w:r>
      <w:r>
        <w:rPr>
          <w:color w:val="105C84"/>
        </w:rPr>
        <w:t>of</w:t>
      </w:r>
      <w:r>
        <w:rPr>
          <w:color w:val="105C84"/>
          <w:spacing w:val="40"/>
        </w:rPr>
        <w:t> </w:t>
      </w:r>
      <w:r>
        <w:rPr>
          <w:color w:val="105C84"/>
        </w:rPr>
        <w:t>transportation</w:t>
      </w:r>
      <w:r>
        <w:rPr>
          <w:color w:val="105C84"/>
          <w:spacing w:val="40"/>
        </w:rPr>
        <w:t> </w:t>
      </w:r>
      <w:r>
        <w:rPr>
          <w:color w:val="105C84"/>
        </w:rPr>
        <w:t>should</w:t>
      </w:r>
      <w:r>
        <w:rPr>
          <w:color w:val="105C84"/>
          <w:spacing w:val="40"/>
        </w:rPr>
        <w:t> </w:t>
      </w:r>
      <w:r>
        <w:rPr>
          <w:color w:val="105C84"/>
        </w:rPr>
        <w:t>be</w:t>
      </w:r>
      <w:r>
        <w:rPr>
          <w:color w:val="105C84"/>
          <w:spacing w:val="40"/>
        </w:rPr>
        <w:t> </w:t>
      </w:r>
      <w:r>
        <w:rPr>
          <w:color w:val="105C84"/>
        </w:rPr>
        <w:t>considered</w:t>
      </w:r>
      <w:r>
        <w:rPr>
          <w:color w:val="105C84"/>
          <w:spacing w:val="40"/>
        </w:rPr>
        <w:t> </w:t>
      </w:r>
      <w:r>
        <w:rPr>
          <w:color w:val="105C84"/>
        </w:rPr>
        <w:t>when</w:t>
      </w:r>
      <w:r>
        <w:rPr>
          <w:color w:val="105C84"/>
          <w:spacing w:val="40"/>
        </w:rPr>
        <w:t> </w:t>
      </w:r>
      <w:r>
        <w:rPr>
          <w:color w:val="105C84"/>
        </w:rPr>
        <w:t>trying</w:t>
      </w:r>
      <w:r>
        <w:rPr>
          <w:color w:val="105C84"/>
          <w:spacing w:val="40"/>
        </w:rPr>
        <w:t> </w:t>
      </w:r>
      <w:r>
        <w:rPr>
          <w:color w:val="105C84"/>
        </w:rPr>
        <w:t>to</w:t>
      </w:r>
      <w:r>
        <w:rPr>
          <w:color w:val="105C84"/>
          <w:spacing w:val="40"/>
        </w:rPr>
        <w:t> </w:t>
      </w:r>
      <w:r>
        <w:rPr>
          <w:color w:val="105C84"/>
        </w:rPr>
        <w:t>promote</w:t>
      </w:r>
      <w:r>
        <w:rPr>
          <w:color w:val="105C84"/>
          <w:spacing w:val="40"/>
        </w:rPr>
        <w:t> </w:t>
      </w:r>
      <w:r>
        <w:rPr>
          <w:color w:val="105C84"/>
        </w:rPr>
        <w:t>preventive</w:t>
      </w:r>
      <w:r>
        <w:rPr>
          <w:color w:val="105C84"/>
          <w:spacing w:val="40"/>
        </w:rPr>
        <w:t> </w:t>
      </w:r>
      <w:r>
        <w:rPr>
          <w:color w:val="105C84"/>
        </w:rPr>
        <w:t>care.</w:t>
      </w:r>
    </w:p>
    <w:p>
      <w:pPr>
        <w:pStyle w:val="BodyText"/>
        <w:spacing w:line="247" w:lineRule="auto"/>
        <w:ind w:left="1065" w:right="349"/>
      </w:pPr>
      <w:r>
        <w:rPr>
          <w:color w:val="105C84"/>
        </w:rPr>
        <w:t>Mobile</w:t>
      </w:r>
      <w:r>
        <w:rPr>
          <w:color w:val="105C84"/>
          <w:spacing w:val="19"/>
        </w:rPr>
        <w:t> </w:t>
      </w:r>
      <w:r>
        <w:rPr>
          <w:color w:val="105C84"/>
        </w:rPr>
        <w:t>options,</w:t>
      </w:r>
      <w:r>
        <w:rPr>
          <w:color w:val="105C84"/>
          <w:spacing w:val="19"/>
        </w:rPr>
        <w:t> </w:t>
      </w:r>
      <w:r>
        <w:rPr>
          <w:color w:val="105C84"/>
        </w:rPr>
        <w:t>such</w:t>
      </w:r>
      <w:r>
        <w:rPr>
          <w:color w:val="105C84"/>
          <w:spacing w:val="19"/>
        </w:rPr>
        <w:t> </w:t>
      </w:r>
      <w:r>
        <w:rPr>
          <w:color w:val="105C84"/>
        </w:rPr>
        <w:t>as</w:t>
      </w:r>
      <w:r>
        <w:rPr>
          <w:color w:val="105C84"/>
          <w:spacing w:val="19"/>
        </w:rPr>
        <w:t> </w:t>
      </w:r>
      <w:r>
        <w:rPr>
          <w:color w:val="105C84"/>
        </w:rPr>
        <w:t>home</w:t>
      </w:r>
      <w:r>
        <w:rPr>
          <w:color w:val="105C84"/>
          <w:spacing w:val="19"/>
        </w:rPr>
        <w:t> </w:t>
      </w:r>
      <w:r>
        <w:rPr>
          <w:color w:val="105C84"/>
        </w:rPr>
        <w:t>visits,</w:t>
      </w:r>
      <w:r>
        <w:rPr>
          <w:color w:val="105C84"/>
          <w:spacing w:val="19"/>
        </w:rPr>
        <w:t> </w:t>
      </w:r>
      <w:r>
        <w:rPr>
          <w:color w:val="105C84"/>
        </w:rPr>
        <w:t>may</w:t>
      </w:r>
      <w:r>
        <w:rPr>
          <w:color w:val="105C84"/>
          <w:spacing w:val="19"/>
        </w:rPr>
        <w:t> </w:t>
      </w:r>
      <w:r>
        <w:rPr>
          <w:color w:val="105C84"/>
        </w:rPr>
        <w:t>be</w:t>
      </w:r>
      <w:r>
        <w:rPr>
          <w:color w:val="105C84"/>
          <w:spacing w:val="19"/>
        </w:rPr>
        <w:t> </w:t>
      </w:r>
      <w:r>
        <w:rPr>
          <w:color w:val="105C84"/>
        </w:rPr>
        <w:t>more</w:t>
      </w:r>
      <w:r>
        <w:rPr>
          <w:color w:val="105C84"/>
          <w:spacing w:val="19"/>
        </w:rPr>
        <w:t> </w:t>
      </w:r>
      <w:r>
        <w:rPr>
          <w:color w:val="105C84"/>
        </w:rPr>
        <w:t>appealing.</w:t>
      </w:r>
      <w:r>
        <w:rPr>
          <w:color w:val="105C84"/>
          <w:spacing w:val="19"/>
        </w:rPr>
        <w:t> </w:t>
      </w:r>
      <w:r>
        <w:rPr>
          <w:color w:val="105C84"/>
        </w:rPr>
        <w:t>Even</w:t>
      </w:r>
      <w:r>
        <w:rPr>
          <w:color w:val="105C84"/>
          <w:spacing w:val="19"/>
        </w:rPr>
        <w:t> </w:t>
      </w:r>
      <w:r>
        <w:rPr>
          <w:color w:val="105C84"/>
        </w:rPr>
        <w:t>for</w:t>
      </w:r>
      <w:r>
        <w:rPr>
          <w:color w:val="105C84"/>
          <w:spacing w:val="19"/>
        </w:rPr>
        <w:t> </w:t>
      </w:r>
      <w:r>
        <w:rPr>
          <w:color w:val="105C84"/>
        </w:rPr>
        <w:t>those</w:t>
      </w:r>
      <w:r>
        <w:rPr>
          <w:color w:val="105C84"/>
          <w:spacing w:val="19"/>
        </w:rPr>
        <w:t> </w:t>
      </w:r>
      <w:r>
        <w:rPr>
          <w:color w:val="105C84"/>
        </w:rPr>
        <w:t>who</w:t>
      </w:r>
      <w:r>
        <w:rPr>
          <w:color w:val="105C84"/>
          <w:spacing w:val="19"/>
        </w:rPr>
        <w:t> </w:t>
      </w:r>
      <w:r>
        <w:rPr>
          <w:color w:val="105C84"/>
        </w:rPr>
        <w:t>do</w:t>
      </w:r>
      <w:r>
        <w:rPr>
          <w:color w:val="105C84"/>
          <w:spacing w:val="19"/>
        </w:rPr>
        <w:t> </w:t>
      </w:r>
      <w:r>
        <w:rPr>
          <w:color w:val="105C84"/>
        </w:rPr>
        <w:t>drive</w:t>
      </w:r>
      <w:r>
        <w:rPr>
          <w:color w:val="105C84"/>
          <w:spacing w:val="19"/>
        </w:rPr>
        <w:t> </w:t>
      </w:r>
      <w:r>
        <w:rPr>
          <w:color w:val="105C84"/>
        </w:rPr>
        <w:t>cars, there is often a preference to be seen in their own communities. For example, they may prefer to assemble in a location convenient for them and then all learn about a particular service or screening</w:t>
      </w:r>
      <w:r>
        <w:rPr>
          <w:color w:val="105C84"/>
          <w:spacing w:val="40"/>
        </w:rPr>
        <w:t> </w:t>
      </w:r>
      <w:r>
        <w:rPr>
          <w:color w:val="105C84"/>
        </w:rPr>
        <w:t>at the same time. Amish and Mennonite families often have many children, which can make travel</w:t>
      </w:r>
    </w:p>
    <w:p>
      <w:pPr>
        <w:pStyle w:val="BodyText"/>
        <w:spacing w:line="247" w:lineRule="auto"/>
        <w:ind w:left="1065" w:right="40"/>
        <w:jc w:val="both"/>
      </w:pPr>
      <w:r>
        <w:rPr>
          <w:color w:val="105C84"/>
        </w:rPr>
        <w:t>and scheduling more difficult. Wayne County Public Health is able to provide at-home immunizations, lactation counseling, and more in these communities; and mobile mammography is available through Rochester Regional Health.</w:t>
      </w:r>
    </w:p>
    <w:p>
      <w:pPr>
        <w:pStyle w:val="BodyText"/>
        <w:spacing w:line="247" w:lineRule="auto" w:before="174"/>
        <w:ind w:left="1065" w:right="183"/>
      </w:pPr>
      <w:r>
        <w:rPr>
          <w:color w:val="105C84"/>
        </w:rPr>
        <w:t>Wayne County’s migrant population includes both documented and undocumented individuals and</w:t>
      </w:r>
      <w:r>
        <w:rPr>
          <w:color w:val="105C84"/>
          <w:spacing w:val="80"/>
          <w:w w:val="150"/>
        </w:rPr>
        <w:t> </w:t>
      </w:r>
      <w:r>
        <w:rPr>
          <w:color w:val="105C84"/>
          <w:w w:val="105"/>
        </w:rPr>
        <w:t>their</w:t>
      </w:r>
      <w:r>
        <w:rPr>
          <w:color w:val="105C84"/>
          <w:spacing w:val="-9"/>
          <w:w w:val="105"/>
        </w:rPr>
        <w:t> </w:t>
      </w:r>
      <w:r>
        <w:rPr>
          <w:color w:val="105C84"/>
          <w:w w:val="105"/>
        </w:rPr>
        <w:t>families.</w:t>
      </w:r>
      <w:r>
        <w:rPr>
          <w:color w:val="105C84"/>
          <w:spacing w:val="-9"/>
          <w:w w:val="105"/>
        </w:rPr>
        <w:t> </w:t>
      </w:r>
      <w:r>
        <w:rPr>
          <w:color w:val="105C84"/>
          <w:w w:val="105"/>
        </w:rPr>
        <w:t>Not</w:t>
      </w:r>
      <w:r>
        <w:rPr>
          <w:color w:val="105C84"/>
          <w:spacing w:val="-9"/>
          <w:w w:val="105"/>
        </w:rPr>
        <w:t> </w:t>
      </w:r>
      <w:r>
        <w:rPr>
          <w:color w:val="105C84"/>
          <w:w w:val="105"/>
        </w:rPr>
        <w:t>all</w:t>
      </w:r>
      <w:r>
        <w:rPr>
          <w:color w:val="105C84"/>
          <w:spacing w:val="-9"/>
          <w:w w:val="105"/>
        </w:rPr>
        <w:t> </w:t>
      </w:r>
      <w:r>
        <w:rPr>
          <w:color w:val="105C84"/>
          <w:w w:val="105"/>
        </w:rPr>
        <w:t>migrant</w:t>
      </w:r>
      <w:r>
        <w:rPr>
          <w:color w:val="105C84"/>
          <w:spacing w:val="-9"/>
          <w:w w:val="105"/>
        </w:rPr>
        <w:t> </w:t>
      </w:r>
      <w:r>
        <w:rPr>
          <w:color w:val="105C84"/>
          <w:w w:val="105"/>
        </w:rPr>
        <w:t>workers</w:t>
      </w:r>
      <w:r>
        <w:rPr>
          <w:color w:val="105C84"/>
          <w:spacing w:val="-9"/>
          <w:w w:val="105"/>
        </w:rPr>
        <w:t> </w:t>
      </w:r>
      <w:r>
        <w:rPr>
          <w:color w:val="105C84"/>
          <w:w w:val="105"/>
        </w:rPr>
        <w:t>come</w:t>
      </w:r>
      <w:r>
        <w:rPr>
          <w:color w:val="105C84"/>
          <w:spacing w:val="-9"/>
          <w:w w:val="105"/>
        </w:rPr>
        <w:t> </w:t>
      </w:r>
      <w:r>
        <w:rPr>
          <w:color w:val="105C84"/>
          <w:w w:val="105"/>
        </w:rPr>
        <w:t>from</w:t>
      </w:r>
      <w:r>
        <w:rPr>
          <w:color w:val="105C84"/>
          <w:spacing w:val="-9"/>
          <w:w w:val="105"/>
        </w:rPr>
        <w:t> </w:t>
      </w:r>
      <w:r>
        <w:rPr>
          <w:color w:val="105C84"/>
          <w:w w:val="105"/>
        </w:rPr>
        <w:t>other</w:t>
      </w:r>
      <w:r>
        <w:rPr>
          <w:color w:val="105C84"/>
          <w:spacing w:val="-9"/>
          <w:w w:val="105"/>
        </w:rPr>
        <w:t> </w:t>
      </w:r>
      <w:r>
        <w:rPr>
          <w:color w:val="105C84"/>
          <w:w w:val="105"/>
        </w:rPr>
        <w:t>countries.</w:t>
      </w:r>
      <w:r>
        <w:rPr>
          <w:color w:val="105C84"/>
          <w:spacing w:val="-9"/>
          <w:w w:val="105"/>
        </w:rPr>
        <w:t> </w:t>
      </w:r>
      <w:r>
        <w:rPr>
          <w:color w:val="105C84"/>
          <w:w w:val="105"/>
        </w:rPr>
        <w:t>A</w:t>
      </w:r>
      <w:r>
        <w:rPr>
          <w:color w:val="105C84"/>
          <w:spacing w:val="-9"/>
          <w:w w:val="105"/>
        </w:rPr>
        <w:t> </w:t>
      </w:r>
      <w:r>
        <w:rPr>
          <w:color w:val="105C84"/>
          <w:w w:val="105"/>
        </w:rPr>
        <w:t>large</w:t>
      </w:r>
      <w:r>
        <w:rPr>
          <w:color w:val="105C84"/>
          <w:spacing w:val="-9"/>
          <w:w w:val="105"/>
        </w:rPr>
        <w:t> </w:t>
      </w:r>
      <w:r>
        <w:rPr>
          <w:color w:val="105C84"/>
          <w:w w:val="105"/>
        </w:rPr>
        <w:t>portion</w:t>
      </w:r>
      <w:r>
        <w:rPr>
          <w:color w:val="105C84"/>
          <w:spacing w:val="-9"/>
          <w:w w:val="105"/>
        </w:rPr>
        <w:t> </w:t>
      </w:r>
      <w:r>
        <w:rPr>
          <w:color w:val="105C84"/>
          <w:w w:val="105"/>
        </w:rPr>
        <w:t>of</w:t>
      </w:r>
      <w:r>
        <w:rPr>
          <w:color w:val="105C84"/>
          <w:spacing w:val="-9"/>
          <w:w w:val="105"/>
        </w:rPr>
        <w:t> </w:t>
      </w:r>
      <w:r>
        <w:rPr>
          <w:color w:val="105C84"/>
          <w:w w:val="105"/>
        </w:rPr>
        <w:t>this</w:t>
      </w:r>
      <w:r>
        <w:rPr>
          <w:color w:val="105C84"/>
          <w:spacing w:val="-9"/>
          <w:w w:val="105"/>
        </w:rPr>
        <w:t> </w:t>
      </w:r>
      <w:r>
        <w:rPr>
          <w:color w:val="105C84"/>
          <w:w w:val="105"/>
        </w:rPr>
        <w:t>population has</w:t>
      </w:r>
      <w:r>
        <w:rPr>
          <w:color w:val="105C84"/>
          <w:spacing w:val="-11"/>
          <w:w w:val="105"/>
        </w:rPr>
        <w:t> </w:t>
      </w:r>
      <w:r>
        <w:rPr>
          <w:color w:val="105C84"/>
          <w:w w:val="105"/>
        </w:rPr>
        <w:t>little</w:t>
      </w:r>
      <w:r>
        <w:rPr>
          <w:color w:val="105C84"/>
          <w:spacing w:val="-11"/>
          <w:w w:val="105"/>
        </w:rPr>
        <w:t> </w:t>
      </w:r>
      <w:r>
        <w:rPr>
          <w:color w:val="105C84"/>
          <w:w w:val="105"/>
        </w:rPr>
        <w:t>or</w:t>
      </w:r>
      <w:r>
        <w:rPr>
          <w:color w:val="105C84"/>
          <w:spacing w:val="-11"/>
          <w:w w:val="105"/>
        </w:rPr>
        <w:t> </w:t>
      </w:r>
      <w:r>
        <w:rPr>
          <w:color w:val="105C84"/>
          <w:w w:val="105"/>
        </w:rPr>
        <w:t>no</w:t>
      </w:r>
      <w:r>
        <w:rPr>
          <w:color w:val="105C84"/>
          <w:spacing w:val="-11"/>
          <w:w w:val="105"/>
        </w:rPr>
        <w:t> </w:t>
      </w:r>
      <w:r>
        <w:rPr>
          <w:color w:val="105C84"/>
          <w:w w:val="105"/>
        </w:rPr>
        <w:t>English</w:t>
      </w:r>
      <w:r>
        <w:rPr>
          <w:color w:val="105C84"/>
          <w:spacing w:val="-11"/>
          <w:w w:val="105"/>
        </w:rPr>
        <w:t> </w:t>
      </w:r>
      <w:r>
        <w:rPr>
          <w:color w:val="105C84"/>
          <w:w w:val="105"/>
        </w:rPr>
        <w:t>language</w:t>
      </w:r>
      <w:r>
        <w:rPr>
          <w:color w:val="105C84"/>
          <w:spacing w:val="-11"/>
          <w:w w:val="105"/>
        </w:rPr>
        <w:t> </w:t>
      </w:r>
      <w:r>
        <w:rPr>
          <w:color w:val="105C84"/>
          <w:w w:val="105"/>
        </w:rPr>
        <w:t>proficiency,</w:t>
      </w:r>
      <w:r>
        <w:rPr>
          <w:color w:val="105C84"/>
          <w:spacing w:val="-11"/>
          <w:w w:val="105"/>
        </w:rPr>
        <w:t> </w:t>
      </w:r>
      <w:r>
        <w:rPr>
          <w:color w:val="105C84"/>
          <w:w w:val="105"/>
        </w:rPr>
        <w:t>often</w:t>
      </w:r>
      <w:r>
        <w:rPr>
          <w:color w:val="105C84"/>
          <w:spacing w:val="-11"/>
          <w:w w:val="105"/>
        </w:rPr>
        <w:t> </w:t>
      </w:r>
      <w:r>
        <w:rPr>
          <w:color w:val="105C84"/>
          <w:w w:val="105"/>
        </w:rPr>
        <w:t>having</w:t>
      </w:r>
      <w:r>
        <w:rPr>
          <w:color w:val="105C84"/>
          <w:spacing w:val="-11"/>
          <w:w w:val="105"/>
        </w:rPr>
        <w:t> </w:t>
      </w:r>
      <w:r>
        <w:rPr>
          <w:color w:val="105C84"/>
          <w:w w:val="105"/>
        </w:rPr>
        <w:t>Spanish</w:t>
      </w:r>
      <w:r>
        <w:rPr>
          <w:color w:val="105C84"/>
          <w:spacing w:val="-11"/>
          <w:w w:val="105"/>
        </w:rPr>
        <w:t> </w:t>
      </w:r>
      <w:r>
        <w:rPr>
          <w:color w:val="105C84"/>
          <w:w w:val="105"/>
        </w:rPr>
        <w:t>as</w:t>
      </w:r>
      <w:r>
        <w:rPr>
          <w:color w:val="105C84"/>
          <w:spacing w:val="-11"/>
          <w:w w:val="105"/>
        </w:rPr>
        <w:t> </w:t>
      </w:r>
      <w:r>
        <w:rPr>
          <w:color w:val="105C84"/>
          <w:w w:val="105"/>
        </w:rPr>
        <w:t>a</w:t>
      </w:r>
      <w:r>
        <w:rPr>
          <w:color w:val="105C84"/>
          <w:spacing w:val="-11"/>
          <w:w w:val="105"/>
        </w:rPr>
        <w:t> </w:t>
      </w:r>
      <w:r>
        <w:rPr>
          <w:color w:val="105C84"/>
          <w:w w:val="105"/>
        </w:rPr>
        <w:t>first</w:t>
      </w:r>
      <w:r>
        <w:rPr>
          <w:color w:val="105C84"/>
          <w:spacing w:val="-11"/>
          <w:w w:val="105"/>
        </w:rPr>
        <w:t> </w:t>
      </w:r>
      <w:r>
        <w:rPr>
          <w:color w:val="105C84"/>
          <w:w w:val="105"/>
        </w:rPr>
        <w:t>language.</w:t>
      </w:r>
      <w:r>
        <w:rPr>
          <w:color w:val="105C84"/>
          <w:spacing w:val="-11"/>
          <w:w w:val="105"/>
        </w:rPr>
        <w:t> </w:t>
      </w:r>
      <w:r>
        <w:rPr>
          <w:color w:val="105C84"/>
          <w:w w:val="105"/>
        </w:rPr>
        <w:t>It</w:t>
      </w:r>
      <w:r>
        <w:rPr>
          <w:color w:val="105C84"/>
          <w:spacing w:val="-11"/>
          <w:w w:val="105"/>
        </w:rPr>
        <w:t> </w:t>
      </w:r>
      <w:r>
        <w:rPr>
          <w:color w:val="105C84"/>
          <w:w w:val="105"/>
        </w:rPr>
        <w:t>is</w:t>
      </w:r>
      <w:r>
        <w:rPr>
          <w:color w:val="105C84"/>
          <w:spacing w:val="-11"/>
          <w:w w:val="105"/>
        </w:rPr>
        <w:t> </w:t>
      </w:r>
      <w:r>
        <w:rPr>
          <w:color w:val="105C84"/>
          <w:w w:val="105"/>
        </w:rPr>
        <w:t>difficult to quantify this population, but there is an estimated need for between eight thousand and ten </w:t>
      </w:r>
      <w:r>
        <w:rPr>
          <w:color w:val="105C84"/>
        </w:rPr>
        <w:t>thousand workers during harvest season. In recent history, more workers are seasonal than migrant, </w:t>
      </w:r>
      <w:r>
        <w:rPr>
          <w:color w:val="105C84"/>
          <w:w w:val="105"/>
        </w:rPr>
        <w:t>and</w:t>
      </w:r>
      <w:r>
        <w:rPr>
          <w:color w:val="105C84"/>
          <w:spacing w:val="-7"/>
          <w:w w:val="105"/>
        </w:rPr>
        <w:t> </w:t>
      </w:r>
      <w:r>
        <w:rPr>
          <w:color w:val="105C84"/>
          <w:w w:val="105"/>
        </w:rPr>
        <w:t>a</w:t>
      </w:r>
      <w:r>
        <w:rPr>
          <w:color w:val="105C84"/>
          <w:spacing w:val="-7"/>
          <w:w w:val="105"/>
        </w:rPr>
        <w:t> </w:t>
      </w:r>
      <w:r>
        <w:rPr>
          <w:color w:val="105C84"/>
          <w:w w:val="105"/>
        </w:rPr>
        <w:t>greater</w:t>
      </w:r>
      <w:r>
        <w:rPr>
          <w:color w:val="105C84"/>
          <w:spacing w:val="-7"/>
          <w:w w:val="105"/>
        </w:rPr>
        <w:t> </w:t>
      </w:r>
      <w:r>
        <w:rPr>
          <w:color w:val="105C84"/>
          <w:w w:val="105"/>
        </w:rPr>
        <w:t>proportion</w:t>
      </w:r>
      <w:r>
        <w:rPr>
          <w:color w:val="105C84"/>
          <w:spacing w:val="-7"/>
          <w:w w:val="105"/>
        </w:rPr>
        <w:t> </w:t>
      </w:r>
      <w:r>
        <w:rPr>
          <w:color w:val="105C84"/>
          <w:w w:val="105"/>
        </w:rPr>
        <w:t>of</w:t>
      </w:r>
      <w:r>
        <w:rPr>
          <w:color w:val="105C84"/>
          <w:spacing w:val="-7"/>
          <w:w w:val="105"/>
        </w:rPr>
        <w:t> </w:t>
      </w:r>
      <w:r>
        <w:rPr>
          <w:color w:val="105C84"/>
          <w:w w:val="105"/>
        </w:rPr>
        <w:t>this</w:t>
      </w:r>
      <w:r>
        <w:rPr>
          <w:color w:val="105C84"/>
          <w:spacing w:val="-7"/>
          <w:w w:val="105"/>
        </w:rPr>
        <w:t> </w:t>
      </w:r>
      <w:r>
        <w:rPr>
          <w:color w:val="105C84"/>
          <w:w w:val="105"/>
        </w:rPr>
        <w:t>population</w:t>
      </w:r>
      <w:r>
        <w:rPr>
          <w:color w:val="105C84"/>
          <w:spacing w:val="-7"/>
          <w:w w:val="105"/>
        </w:rPr>
        <w:t> </w:t>
      </w:r>
      <w:r>
        <w:rPr>
          <w:color w:val="105C84"/>
          <w:w w:val="105"/>
        </w:rPr>
        <w:t>is</w:t>
      </w:r>
      <w:r>
        <w:rPr>
          <w:color w:val="105C84"/>
          <w:spacing w:val="-7"/>
          <w:w w:val="105"/>
        </w:rPr>
        <w:t> </w:t>
      </w:r>
      <w:r>
        <w:rPr>
          <w:color w:val="105C84"/>
          <w:w w:val="105"/>
        </w:rPr>
        <w:t>documented</w:t>
      </w:r>
      <w:r>
        <w:rPr>
          <w:color w:val="105C84"/>
          <w:spacing w:val="-7"/>
          <w:w w:val="105"/>
        </w:rPr>
        <w:t> </w:t>
      </w:r>
      <w:r>
        <w:rPr>
          <w:color w:val="105C84"/>
          <w:w w:val="105"/>
        </w:rPr>
        <w:t>than</w:t>
      </w:r>
      <w:r>
        <w:rPr>
          <w:color w:val="105C84"/>
          <w:spacing w:val="-7"/>
          <w:w w:val="105"/>
        </w:rPr>
        <w:t> </w:t>
      </w:r>
      <w:r>
        <w:rPr>
          <w:color w:val="105C84"/>
          <w:w w:val="105"/>
        </w:rPr>
        <w:t>in</w:t>
      </w:r>
      <w:r>
        <w:rPr>
          <w:color w:val="105C84"/>
          <w:spacing w:val="-7"/>
          <w:w w:val="105"/>
        </w:rPr>
        <w:t> </w:t>
      </w:r>
      <w:r>
        <w:rPr>
          <w:color w:val="105C84"/>
          <w:w w:val="105"/>
        </w:rPr>
        <w:t>years</w:t>
      </w:r>
      <w:r>
        <w:rPr>
          <w:color w:val="105C84"/>
          <w:spacing w:val="-7"/>
          <w:w w:val="105"/>
        </w:rPr>
        <w:t> </w:t>
      </w:r>
      <w:r>
        <w:rPr>
          <w:color w:val="105C84"/>
          <w:w w:val="105"/>
        </w:rPr>
        <w:t>past</w:t>
      </w:r>
      <w:r>
        <w:rPr>
          <w:color w:val="105C84"/>
          <w:spacing w:val="-7"/>
          <w:w w:val="105"/>
        </w:rPr>
        <w:t> </w:t>
      </w:r>
      <w:r>
        <w:rPr>
          <w:color w:val="105C84"/>
          <w:w w:val="105"/>
        </w:rPr>
        <w:t>(H2A</w:t>
      </w:r>
      <w:r>
        <w:rPr>
          <w:color w:val="105C84"/>
          <w:spacing w:val="-7"/>
          <w:w w:val="105"/>
        </w:rPr>
        <w:t> </w:t>
      </w:r>
      <w:r>
        <w:rPr>
          <w:color w:val="105C84"/>
          <w:w w:val="105"/>
        </w:rPr>
        <w:t>visas).</w:t>
      </w:r>
    </w:p>
    <w:p>
      <w:pPr>
        <w:pStyle w:val="BodyText"/>
        <w:spacing w:line="247" w:lineRule="auto" w:before="177"/>
        <w:ind w:left="1065" w:right="349"/>
      </w:pPr>
      <w:r>
        <w:rPr>
          <w:color w:val="105C84"/>
        </w:rPr>
        <w:t>Agencies interacting with farms and other worksites employing migrant employees are encouraged</w:t>
      </w:r>
      <w:r>
        <w:rPr>
          <w:color w:val="105C84"/>
          <w:spacing w:val="80"/>
          <w:w w:val="150"/>
        </w:rPr>
        <w:t> </w:t>
      </w:r>
      <w:r>
        <w:rPr>
          <w:color w:val="105C84"/>
        </w:rPr>
        <w:t>to be prepared to communicate in both English and Spanish. Many Wayne County agencies participate</w:t>
      </w:r>
      <w:r>
        <w:rPr>
          <w:color w:val="105C84"/>
          <w:spacing w:val="30"/>
        </w:rPr>
        <w:t> </w:t>
      </w:r>
      <w:r>
        <w:rPr>
          <w:color w:val="105C84"/>
        </w:rPr>
        <w:t>in</w:t>
      </w:r>
      <w:r>
        <w:rPr>
          <w:color w:val="105C84"/>
          <w:spacing w:val="30"/>
        </w:rPr>
        <w:t> </w:t>
      </w:r>
      <w:r>
        <w:rPr>
          <w:color w:val="105C84"/>
        </w:rPr>
        <w:t>the</w:t>
      </w:r>
      <w:r>
        <w:rPr>
          <w:color w:val="105C84"/>
          <w:spacing w:val="30"/>
        </w:rPr>
        <w:t> </w:t>
      </w:r>
      <w:r>
        <w:rPr>
          <w:color w:val="105C84"/>
        </w:rPr>
        <w:t>Finger</w:t>
      </w:r>
      <w:r>
        <w:rPr>
          <w:color w:val="105C84"/>
          <w:spacing w:val="30"/>
        </w:rPr>
        <w:t> </w:t>
      </w:r>
      <w:r>
        <w:rPr>
          <w:color w:val="105C84"/>
        </w:rPr>
        <w:t>Lakes</w:t>
      </w:r>
      <w:r>
        <w:rPr>
          <w:color w:val="105C84"/>
          <w:spacing w:val="30"/>
        </w:rPr>
        <w:t> </w:t>
      </w:r>
      <w:r>
        <w:rPr>
          <w:color w:val="105C84"/>
        </w:rPr>
        <w:t>Coalition</w:t>
      </w:r>
      <w:r>
        <w:rPr>
          <w:color w:val="105C84"/>
          <w:spacing w:val="30"/>
        </w:rPr>
        <w:t> </w:t>
      </w:r>
      <w:r>
        <w:rPr>
          <w:color w:val="105C84"/>
        </w:rPr>
        <w:t>of</w:t>
      </w:r>
      <w:r>
        <w:rPr>
          <w:color w:val="105C84"/>
          <w:spacing w:val="30"/>
        </w:rPr>
        <w:t> </w:t>
      </w:r>
      <w:r>
        <w:rPr>
          <w:color w:val="105C84"/>
        </w:rPr>
        <w:t>Farm</w:t>
      </w:r>
      <w:r>
        <w:rPr>
          <w:color w:val="105C84"/>
          <w:spacing w:val="30"/>
        </w:rPr>
        <w:t> </w:t>
      </w:r>
      <w:r>
        <w:rPr>
          <w:color w:val="105C84"/>
        </w:rPr>
        <w:t>Worker</w:t>
      </w:r>
      <w:r>
        <w:rPr>
          <w:color w:val="105C84"/>
          <w:spacing w:val="30"/>
        </w:rPr>
        <w:t> </w:t>
      </w:r>
      <w:r>
        <w:rPr>
          <w:color w:val="105C84"/>
        </w:rPr>
        <w:t>Serving</w:t>
      </w:r>
      <w:r>
        <w:rPr>
          <w:color w:val="105C84"/>
          <w:spacing w:val="30"/>
        </w:rPr>
        <w:t> </w:t>
      </w:r>
      <w:r>
        <w:rPr>
          <w:color w:val="105C84"/>
        </w:rPr>
        <w:t>Agencies,</w:t>
      </w:r>
      <w:r>
        <w:rPr>
          <w:color w:val="105C84"/>
          <w:spacing w:val="30"/>
        </w:rPr>
        <w:t> </w:t>
      </w:r>
      <w:r>
        <w:rPr>
          <w:color w:val="105C84"/>
        </w:rPr>
        <w:t>working</w:t>
      </w:r>
      <w:r>
        <w:rPr>
          <w:color w:val="105C84"/>
          <w:spacing w:val="30"/>
        </w:rPr>
        <w:t> </w:t>
      </w:r>
      <w:r>
        <w:rPr>
          <w:color w:val="105C84"/>
        </w:rPr>
        <w:t>together</w:t>
      </w:r>
      <w:r>
        <w:rPr>
          <w:color w:val="105C84"/>
          <w:spacing w:val="30"/>
        </w:rPr>
        <w:t> </w:t>
      </w:r>
      <w:r>
        <w:rPr>
          <w:color w:val="105C84"/>
        </w:rPr>
        <w:t>to best meet the needs of this population. This Coalition occasionally holds events, such as the annual Harvest Festival usually held in Sodus, and clinics where workers can connect with consulates from</w:t>
      </w:r>
    </w:p>
    <w:p>
      <w:pPr>
        <w:pStyle w:val="BodyText"/>
        <w:spacing w:line="247" w:lineRule="auto"/>
        <w:ind w:left="1065"/>
      </w:pPr>
      <w:r>
        <w:rPr>
          <w:color w:val="105C84"/>
        </w:rPr>
        <w:t>different countries to ask questions and get assistance with documentation. Finger Lakes Community Health, a network of federally qualified health centers (FQHCs), provides bilingual medical and dental</w:t>
      </w:r>
      <w:r>
        <w:rPr>
          <w:color w:val="105C84"/>
          <w:spacing w:val="40"/>
        </w:rPr>
        <w:t> </w:t>
      </w:r>
      <w:r>
        <w:rPr>
          <w:color w:val="105C84"/>
        </w:rPr>
        <w:t>care</w:t>
      </w:r>
      <w:r>
        <w:rPr>
          <w:color w:val="105C84"/>
          <w:spacing w:val="18"/>
        </w:rPr>
        <w:t> </w:t>
      </w:r>
      <w:r>
        <w:rPr>
          <w:color w:val="105C84"/>
        </w:rPr>
        <w:t>in</w:t>
      </w:r>
      <w:r>
        <w:rPr>
          <w:color w:val="105C84"/>
          <w:spacing w:val="18"/>
        </w:rPr>
        <w:t> </w:t>
      </w:r>
      <w:r>
        <w:rPr>
          <w:color w:val="105C84"/>
        </w:rPr>
        <w:t>Wayne</w:t>
      </w:r>
      <w:r>
        <w:rPr>
          <w:color w:val="105C84"/>
          <w:spacing w:val="18"/>
        </w:rPr>
        <w:t> </w:t>
      </w:r>
      <w:r>
        <w:rPr>
          <w:color w:val="105C84"/>
        </w:rPr>
        <w:t>County</w:t>
      </w:r>
      <w:r>
        <w:rPr>
          <w:color w:val="105C84"/>
          <w:spacing w:val="18"/>
        </w:rPr>
        <w:t> </w:t>
      </w:r>
      <w:r>
        <w:rPr>
          <w:color w:val="105C84"/>
        </w:rPr>
        <w:t>and</w:t>
      </w:r>
      <w:r>
        <w:rPr>
          <w:color w:val="105C84"/>
          <w:spacing w:val="18"/>
        </w:rPr>
        <w:t> </w:t>
      </w:r>
      <w:r>
        <w:rPr>
          <w:color w:val="105C84"/>
        </w:rPr>
        <w:t>has</w:t>
      </w:r>
      <w:r>
        <w:rPr>
          <w:color w:val="105C84"/>
          <w:spacing w:val="18"/>
        </w:rPr>
        <w:t> </w:t>
      </w:r>
      <w:r>
        <w:rPr>
          <w:color w:val="105C84"/>
        </w:rPr>
        <w:t>a</w:t>
      </w:r>
      <w:r>
        <w:rPr>
          <w:color w:val="105C84"/>
          <w:spacing w:val="18"/>
        </w:rPr>
        <w:t> </w:t>
      </w:r>
      <w:r>
        <w:rPr>
          <w:color w:val="105C84"/>
        </w:rPr>
        <w:t>long</w:t>
      </w:r>
      <w:r>
        <w:rPr>
          <w:color w:val="105C84"/>
          <w:spacing w:val="18"/>
        </w:rPr>
        <w:t> </w:t>
      </w:r>
      <w:r>
        <w:rPr>
          <w:color w:val="105C84"/>
        </w:rPr>
        <w:t>history</w:t>
      </w:r>
      <w:r>
        <w:rPr>
          <w:color w:val="105C84"/>
          <w:spacing w:val="18"/>
        </w:rPr>
        <w:t> </w:t>
      </w:r>
      <w:r>
        <w:rPr>
          <w:color w:val="105C84"/>
        </w:rPr>
        <w:t>of</w:t>
      </w:r>
      <w:r>
        <w:rPr>
          <w:color w:val="105C84"/>
          <w:spacing w:val="18"/>
        </w:rPr>
        <w:t> </w:t>
      </w:r>
      <w:r>
        <w:rPr>
          <w:color w:val="105C84"/>
        </w:rPr>
        <w:t>serving</w:t>
      </w:r>
      <w:r>
        <w:rPr>
          <w:color w:val="105C84"/>
          <w:spacing w:val="18"/>
        </w:rPr>
        <w:t> </w:t>
      </w:r>
      <w:r>
        <w:rPr>
          <w:color w:val="105C84"/>
        </w:rPr>
        <w:t>this</w:t>
      </w:r>
      <w:r>
        <w:rPr>
          <w:color w:val="105C84"/>
          <w:spacing w:val="18"/>
        </w:rPr>
        <w:t> </w:t>
      </w:r>
      <w:r>
        <w:rPr>
          <w:color w:val="105C84"/>
        </w:rPr>
        <w:t>population.</w:t>
      </w:r>
      <w:r>
        <w:rPr>
          <w:color w:val="105C84"/>
          <w:spacing w:val="18"/>
        </w:rPr>
        <w:t> </w:t>
      </w:r>
      <w:r>
        <w:rPr>
          <w:color w:val="105C84"/>
        </w:rPr>
        <w:t>Undocumented</w:t>
      </w:r>
      <w:r>
        <w:rPr>
          <w:color w:val="105C84"/>
          <w:spacing w:val="18"/>
        </w:rPr>
        <w:t> </w:t>
      </w:r>
      <w:r>
        <w:rPr>
          <w:color w:val="105C84"/>
        </w:rPr>
        <w:t>migrants</w:t>
      </w:r>
      <w:r>
        <w:rPr>
          <w:color w:val="105C84"/>
          <w:spacing w:val="18"/>
        </w:rPr>
        <w:t> </w:t>
      </w:r>
      <w:r>
        <w:rPr>
          <w:color w:val="105C84"/>
        </w:rPr>
        <w:t>are at</w:t>
      </w:r>
      <w:r>
        <w:rPr>
          <w:color w:val="105C84"/>
          <w:spacing w:val="27"/>
        </w:rPr>
        <w:t> </w:t>
      </w:r>
      <w:r>
        <w:rPr>
          <w:color w:val="105C84"/>
        </w:rPr>
        <w:t>higher</w:t>
      </w:r>
      <w:r>
        <w:rPr>
          <w:color w:val="105C84"/>
          <w:spacing w:val="27"/>
        </w:rPr>
        <w:t> </w:t>
      </w:r>
      <w:r>
        <w:rPr>
          <w:color w:val="105C84"/>
        </w:rPr>
        <w:t>risk</w:t>
      </w:r>
      <w:r>
        <w:rPr>
          <w:color w:val="105C84"/>
          <w:spacing w:val="27"/>
        </w:rPr>
        <w:t> </w:t>
      </w:r>
      <w:r>
        <w:rPr>
          <w:color w:val="105C84"/>
        </w:rPr>
        <w:t>of</w:t>
      </w:r>
      <w:r>
        <w:rPr>
          <w:color w:val="105C84"/>
          <w:spacing w:val="27"/>
        </w:rPr>
        <w:t> </w:t>
      </w:r>
      <w:r>
        <w:rPr>
          <w:color w:val="105C84"/>
        </w:rPr>
        <w:t>certain</w:t>
      </w:r>
      <w:r>
        <w:rPr>
          <w:color w:val="105C84"/>
          <w:spacing w:val="27"/>
        </w:rPr>
        <w:t> </w:t>
      </w:r>
      <w:r>
        <w:rPr>
          <w:color w:val="105C84"/>
        </w:rPr>
        <w:t>health</w:t>
      </w:r>
      <w:r>
        <w:rPr>
          <w:color w:val="105C84"/>
          <w:spacing w:val="27"/>
        </w:rPr>
        <w:t> </w:t>
      </w:r>
      <w:r>
        <w:rPr>
          <w:color w:val="105C84"/>
        </w:rPr>
        <w:t>and</w:t>
      </w:r>
      <w:r>
        <w:rPr>
          <w:color w:val="105C84"/>
          <w:spacing w:val="27"/>
        </w:rPr>
        <w:t> </w:t>
      </w:r>
      <w:r>
        <w:rPr>
          <w:color w:val="105C84"/>
        </w:rPr>
        <w:t>safety</w:t>
      </w:r>
      <w:r>
        <w:rPr>
          <w:color w:val="105C84"/>
          <w:spacing w:val="27"/>
        </w:rPr>
        <w:t> </w:t>
      </w:r>
      <w:r>
        <w:rPr>
          <w:color w:val="105C84"/>
        </w:rPr>
        <w:t>outcomes,</w:t>
      </w:r>
      <w:r>
        <w:rPr>
          <w:color w:val="105C84"/>
          <w:spacing w:val="27"/>
        </w:rPr>
        <w:t> </w:t>
      </w:r>
      <w:r>
        <w:rPr>
          <w:color w:val="105C84"/>
        </w:rPr>
        <w:t>including</w:t>
      </w:r>
      <w:r>
        <w:rPr>
          <w:color w:val="105C84"/>
          <w:spacing w:val="27"/>
        </w:rPr>
        <w:t> </w:t>
      </w:r>
      <w:r>
        <w:rPr>
          <w:color w:val="105C84"/>
        </w:rPr>
        <w:t>unsafe</w:t>
      </w:r>
      <w:r>
        <w:rPr>
          <w:color w:val="105C84"/>
          <w:spacing w:val="27"/>
        </w:rPr>
        <w:t> </w:t>
      </w:r>
      <w:r>
        <w:rPr>
          <w:color w:val="105C84"/>
        </w:rPr>
        <w:t>and</w:t>
      </w:r>
      <w:r>
        <w:rPr>
          <w:color w:val="105C84"/>
          <w:spacing w:val="27"/>
        </w:rPr>
        <w:t> </w:t>
      </w:r>
      <w:r>
        <w:rPr>
          <w:color w:val="105C84"/>
        </w:rPr>
        <w:t>unfair</w:t>
      </w:r>
      <w:r>
        <w:rPr>
          <w:color w:val="105C84"/>
          <w:spacing w:val="27"/>
        </w:rPr>
        <w:t> </w:t>
      </w:r>
      <w:r>
        <w:rPr>
          <w:color w:val="105C84"/>
        </w:rPr>
        <w:t>working</w:t>
      </w:r>
      <w:r>
        <w:rPr>
          <w:color w:val="105C84"/>
          <w:spacing w:val="27"/>
        </w:rPr>
        <w:t> </w:t>
      </w:r>
      <w:r>
        <w:rPr>
          <w:color w:val="105C84"/>
        </w:rPr>
        <w:t>conditions and</w:t>
      </w:r>
      <w:r>
        <w:rPr>
          <w:color w:val="105C84"/>
          <w:spacing w:val="18"/>
        </w:rPr>
        <w:t> </w:t>
      </w:r>
      <w:r>
        <w:rPr>
          <w:color w:val="105C84"/>
        </w:rPr>
        <w:t>refusal</w:t>
      </w:r>
      <w:r>
        <w:rPr>
          <w:color w:val="105C84"/>
          <w:spacing w:val="18"/>
        </w:rPr>
        <w:t> </w:t>
      </w:r>
      <w:r>
        <w:rPr>
          <w:color w:val="105C84"/>
        </w:rPr>
        <w:t>to</w:t>
      </w:r>
      <w:r>
        <w:rPr>
          <w:color w:val="105C84"/>
          <w:spacing w:val="18"/>
        </w:rPr>
        <w:t> </w:t>
      </w:r>
      <w:r>
        <w:rPr>
          <w:color w:val="105C84"/>
        </w:rPr>
        <w:t>seek</w:t>
      </w:r>
      <w:r>
        <w:rPr>
          <w:color w:val="105C84"/>
          <w:spacing w:val="18"/>
        </w:rPr>
        <w:t> </w:t>
      </w:r>
      <w:r>
        <w:rPr>
          <w:color w:val="105C84"/>
        </w:rPr>
        <w:t>medical</w:t>
      </w:r>
      <w:r>
        <w:rPr>
          <w:color w:val="105C84"/>
          <w:spacing w:val="18"/>
        </w:rPr>
        <w:t> </w:t>
      </w:r>
      <w:r>
        <w:rPr>
          <w:color w:val="105C84"/>
        </w:rPr>
        <w:t>care,</w:t>
      </w:r>
      <w:r>
        <w:rPr>
          <w:color w:val="105C84"/>
          <w:spacing w:val="18"/>
        </w:rPr>
        <w:t> </w:t>
      </w:r>
      <w:r>
        <w:rPr>
          <w:color w:val="105C84"/>
        </w:rPr>
        <w:t>due</w:t>
      </w:r>
      <w:r>
        <w:rPr>
          <w:color w:val="105C84"/>
          <w:spacing w:val="18"/>
        </w:rPr>
        <w:t> </w:t>
      </w:r>
      <w:r>
        <w:rPr>
          <w:color w:val="105C84"/>
        </w:rPr>
        <w:t>to</w:t>
      </w:r>
      <w:r>
        <w:rPr>
          <w:color w:val="105C84"/>
          <w:spacing w:val="18"/>
        </w:rPr>
        <w:t> </w:t>
      </w:r>
      <w:r>
        <w:rPr>
          <w:color w:val="105C84"/>
        </w:rPr>
        <w:t>fear</w:t>
      </w:r>
      <w:r>
        <w:rPr>
          <w:color w:val="105C84"/>
          <w:spacing w:val="18"/>
        </w:rPr>
        <w:t> </w:t>
      </w:r>
      <w:r>
        <w:rPr>
          <w:color w:val="105C84"/>
        </w:rPr>
        <w:t>of</w:t>
      </w:r>
      <w:r>
        <w:rPr>
          <w:color w:val="105C84"/>
          <w:spacing w:val="18"/>
        </w:rPr>
        <w:t> </w:t>
      </w:r>
      <w:r>
        <w:rPr>
          <w:color w:val="105C84"/>
        </w:rPr>
        <w:t>being</w:t>
      </w:r>
      <w:r>
        <w:rPr>
          <w:color w:val="105C84"/>
          <w:spacing w:val="18"/>
        </w:rPr>
        <w:t> </w:t>
      </w:r>
      <w:r>
        <w:rPr>
          <w:color w:val="105C84"/>
        </w:rPr>
        <w:t>targeted</w:t>
      </w:r>
      <w:r>
        <w:rPr>
          <w:color w:val="105C84"/>
          <w:spacing w:val="18"/>
        </w:rPr>
        <w:t> </w:t>
      </w:r>
      <w:r>
        <w:rPr>
          <w:color w:val="105C84"/>
        </w:rPr>
        <w:t>by</w:t>
      </w:r>
      <w:r>
        <w:rPr>
          <w:color w:val="105C84"/>
          <w:spacing w:val="18"/>
        </w:rPr>
        <w:t> </w:t>
      </w:r>
      <w:r>
        <w:rPr>
          <w:color w:val="105C84"/>
        </w:rPr>
        <w:t>the</w:t>
      </w:r>
      <w:r>
        <w:rPr>
          <w:color w:val="105C84"/>
          <w:spacing w:val="18"/>
        </w:rPr>
        <w:t> </w:t>
      </w:r>
      <w:r>
        <w:rPr>
          <w:color w:val="105C84"/>
        </w:rPr>
        <w:t>government</w:t>
      </w:r>
      <w:r>
        <w:rPr>
          <w:color w:val="105C84"/>
          <w:spacing w:val="18"/>
        </w:rPr>
        <w:t> </w:t>
      </w:r>
      <w:r>
        <w:rPr>
          <w:color w:val="105C84"/>
        </w:rPr>
        <w:t>and/or</w:t>
      </w:r>
      <w:r>
        <w:rPr>
          <w:color w:val="105C84"/>
          <w:spacing w:val="18"/>
        </w:rPr>
        <w:t> </w:t>
      </w:r>
      <w:r>
        <w:rPr>
          <w:color w:val="105C84"/>
        </w:rPr>
        <w:t>losing</w:t>
      </w:r>
      <w:r>
        <w:rPr>
          <w:color w:val="105C84"/>
          <w:spacing w:val="18"/>
        </w:rPr>
        <w:t> </w:t>
      </w:r>
      <w:r>
        <w:rPr>
          <w:color w:val="105C84"/>
        </w:rPr>
        <w:t>their jobs. Fears of deportation and family separation are especially high at this time due to the political</w:t>
      </w:r>
      <w:r>
        <w:rPr>
          <w:color w:val="105C84"/>
          <w:spacing w:val="80"/>
        </w:rPr>
        <w:t> </w:t>
      </w:r>
      <w:r>
        <w:rPr>
          <w:color w:val="105C84"/>
          <w:spacing w:val="-2"/>
        </w:rPr>
        <w:t>climate.</w:t>
      </w:r>
    </w:p>
    <w:p>
      <w:pPr>
        <w:pStyle w:val="BodyText"/>
        <w:spacing w:line="247" w:lineRule="auto" w:before="114"/>
        <w:ind w:left="1065" w:right="225"/>
      </w:pPr>
      <w:r>
        <w:rPr/>
        <w:br w:type="column"/>
      </w:r>
      <w:r>
        <w:rPr>
          <w:color w:val="105C84"/>
        </w:rPr>
        <w:t>The</w:t>
      </w:r>
      <w:r>
        <w:rPr>
          <w:color w:val="105C84"/>
          <w:spacing w:val="24"/>
        </w:rPr>
        <w:t> </w:t>
      </w:r>
      <w:r>
        <w:rPr>
          <w:color w:val="105C84"/>
        </w:rPr>
        <w:t>transient</w:t>
      </w:r>
      <w:r>
        <w:rPr>
          <w:color w:val="105C84"/>
          <w:spacing w:val="24"/>
        </w:rPr>
        <w:t> </w:t>
      </w:r>
      <w:r>
        <w:rPr>
          <w:color w:val="105C84"/>
        </w:rPr>
        <w:t>population</w:t>
      </w:r>
      <w:r>
        <w:rPr>
          <w:color w:val="105C84"/>
          <w:spacing w:val="24"/>
        </w:rPr>
        <w:t> </w:t>
      </w:r>
      <w:r>
        <w:rPr>
          <w:color w:val="105C84"/>
        </w:rPr>
        <w:t>within</w:t>
      </w:r>
      <w:r>
        <w:rPr>
          <w:color w:val="105C84"/>
          <w:spacing w:val="24"/>
        </w:rPr>
        <w:t> </w:t>
      </w:r>
      <w:r>
        <w:rPr>
          <w:color w:val="105C84"/>
        </w:rPr>
        <w:t>Wayne</w:t>
      </w:r>
      <w:r>
        <w:rPr>
          <w:color w:val="105C84"/>
          <w:spacing w:val="24"/>
        </w:rPr>
        <w:t> </w:t>
      </w:r>
      <w:r>
        <w:rPr>
          <w:color w:val="105C84"/>
        </w:rPr>
        <w:t>County</w:t>
      </w:r>
      <w:r>
        <w:rPr>
          <w:color w:val="105C84"/>
          <w:spacing w:val="24"/>
        </w:rPr>
        <w:t> </w:t>
      </w:r>
      <w:r>
        <w:rPr>
          <w:color w:val="105C84"/>
        </w:rPr>
        <w:t>includes,</w:t>
      </w:r>
      <w:r>
        <w:rPr>
          <w:color w:val="105C84"/>
          <w:spacing w:val="24"/>
        </w:rPr>
        <w:t> </w:t>
      </w:r>
      <w:r>
        <w:rPr>
          <w:color w:val="105C84"/>
        </w:rPr>
        <w:t>but</w:t>
      </w:r>
      <w:r>
        <w:rPr>
          <w:color w:val="105C84"/>
          <w:spacing w:val="24"/>
        </w:rPr>
        <w:t> </w:t>
      </w:r>
      <w:r>
        <w:rPr>
          <w:color w:val="105C84"/>
        </w:rPr>
        <w:t>is</w:t>
      </w:r>
      <w:r>
        <w:rPr>
          <w:color w:val="105C84"/>
          <w:spacing w:val="24"/>
        </w:rPr>
        <w:t> </w:t>
      </w:r>
      <w:r>
        <w:rPr>
          <w:color w:val="105C84"/>
        </w:rPr>
        <w:t>not</w:t>
      </w:r>
      <w:r>
        <w:rPr>
          <w:color w:val="105C84"/>
          <w:spacing w:val="24"/>
        </w:rPr>
        <w:t> </w:t>
      </w:r>
      <w:r>
        <w:rPr>
          <w:color w:val="105C84"/>
        </w:rPr>
        <w:t>limited</w:t>
      </w:r>
      <w:r>
        <w:rPr>
          <w:color w:val="105C84"/>
          <w:spacing w:val="24"/>
        </w:rPr>
        <w:t> </w:t>
      </w:r>
      <w:r>
        <w:rPr>
          <w:color w:val="105C84"/>
        </w:rPr>
        <w:t>to,</w:t>
      </w:r>
      <w:r>
        <w:rPr>
          <w:color w:val="105C84"/>
          <w:spacing w:val="24"/>
        </w:rPr>
        <w:t> </w:t>
      </w:r>
      <w:r>
        <w:rPr>
          <w:color w:val="105C84"/>
        </w:rPr>
        <w:t>the</w:t>
      </w:r>
      <w:r>
        <w:rPr>
          <w:color w:val="105C84"/>
          <w:spacing w:val="24"/>
        </w:rPr>
        <w:t> </w:t>
      </w:r>
      <w:r>
        <w:rPr>
          <w:color w:val="105C84"/>
        </w:rPr>
        <w:t>migrant</w:t>
      </w:r>
      <w:r>
        <w:rPr>
          <w:color w:val="105C84"/>
          <w:spacing w:val="24"/>
        </w:rPr>
        <w:t> </w:t>
      </w:r>
      <w:r>
        <w:rPr>
          <w:color w:val="105C84"/>
        </w:rPr>
        <w:t>population. The 2019 Evalumetrics survey results from Wayne County schools showed that 7.4% of high school students scored above the risk level for transition and mobility. Compared to non-transient students,</w:t>
      </w:r>
      <w:r>
        <w:rPr>
          <w:color w:val="105C84"/>
          <w:spacing w:val="40"/>
        </w:rPr>
        <w:t> </w:t>
      </w:r>
      <w:r>
        <w:rPr>
          <w:color w:val="105C84"/>
        </w:rPr>
        <w:t>these students were:</w:t>
      </w:r>
    </w:p>
    <w:p>
      <w:pPr>
        <w:pStyle w:val="ListParagraph"/>
        <w:numPr>
          <w:ilvl w:val="0"/>
          <w:numId w:val="33"/>
        </w:numPr>
        <w:tabs>
          <w:tab w:pos="1504" w:val="left" w:leader="none"/>
        </w:tabs>
        <w:spacing w:line="240" w:lineRule="auto" w:before="178" w:after="0"/>
        <w:ind w:left="1504" w:right="0" w:hanging="239"/>
        <w:jc w:val="left"/>
        <w:rPr>
          <w:sz w:val="22"/>
        </w:rPr>
      </w:pPr>
      <w:r>
        <w:rPr>
          <w:color w:val="105C84"/>
          <w:sz w:val="22"/>
        </w:rPr>
        <w:t>2.45</w:t>
      </w:r>
      <w:r>
        <w:rPr>
          <w:color w:val="105C84"/>
          <w:spacing w:val="14"/>
          <w:sz w:val="22"/>
        </w:rPr>
        <w:t> </w:t>
      </w:r>
      <w:r>
        <w:rPr>
          <w:color w:val="105C84"/>
          <w:sz w:val="22"/>
        </w:rPr>
        <w:t>times</w:t>
      </w:r>
      <w:r>
        <w:rPr>
          <w:color w:val="105C84"/>
          <w:spacing w:val="15"/>
          <w:sz w:val="22"/>
        </w:rPr>
        <w:t> </w:t>
      </w:r>
      <w:r>
        <w:rPr>
          <w:color w:val="105C84"/>
          <w:sz w:val="22"/>
        </w:rPr>
        <w:t>more</w:t>
      </w:r>
      <w:r>
        <w:rPr>
          <w:color w:val="105C84"/>
          <w:spacing w:val="14"/>
          <w:sz w:val="22"/>
        </w:rPr>
        <w:t> </w:t>
      </w:r>
      <w:r>
        <w:rPr>
          <w:color w:val="105C84"/>
          <w:sz w:val="22"/>
        </w:rPr>
        <w:t>likely</w:t>
      </w:r>
      <w:r>
        <w:rPr>
          <w:color w:val="105C84"/>
          <w:spacing w:val="15"/>
          <w:sz w:val="22"/>
        </w:rPr>
        <w:t> </w:t>
      </w:r>
      <w:r>
        <w:rPr>
          <w:color w:val="105C84"/>
          <w:sz w:val="22"/>
        </w:rPr>
        <w:t>to</w:t>
      </w:r>
      <w:r>
        <w:rPr>
          <w:color w:val="105C84"/>
          <w:spacing w:val="15"/>
          <w:sz w:val="22"/>
        </w:rPr>
        <w:t> </w:t>
      </w:r>
      <w:r>
        <w:rPr>
          <w:color w:val="105C84"/>
          <w:sz w:val="22"/>
        </w:rPr>
        <w:t>report</w:t>
      </w:r>
      <w:r>
        <w:rPr>
          <w:color w:val="105C84"/>
          <w:spacing w:val="14"/>
          <w:sz w:val="22"/>
        </w:rPr>
        <w:t> </w:t>
      </w:r>
      <w:r>
        <w:rPr>
          <w:color w:val="105C84"/>
          <w:sz w:val="22"/>
        </w:rPr>
        <w:t>bullying</w:t>
      </w:r>
      <w:r>
        <w:rPr>
          <w:color w:val="105C84"/>
          <w:spacing w:val="15"/>
          <w:sz w:val="22"/>
        </w:rPr>
        <w:t> </w:t>
      </w:r>
      <w:r>
        <w:rPr>
          <w:color w:val="105C84"/>
          <w:sz w:val="22"/>
        </w:rPr>
        <w:t>another</w:t>
      </w:r>
      <w:r>
        <w:rPr>
          <w:color w:val="105C84"/>
          <w:spacing w:val="14"/>
          <w:sz w:val="22"/>
        </w:rPr>
        <w:t> </w:t>
      </w:r>
      <w:r>
        <w:rPr>
          <w:color w:val="105C84"/>
          <w:spacing w:val="-2"/>
          <w:sz w:val="22"/>
        </w:rPr>
        <w:t>student</w:t>
      </w:r>
    </w:p>
    <w:p>
      <w:pPr>
        <w:pStyle w:val="ListParagraph"/>
        <w:numPr>
          <w:ilvl w:val="0"/>
          <w:numId w:val="33"/>
        </w:numPr>
        <w:tabs>
          <w:tab w:pos="1504" w:val="left" w:leader="none"/>
        </w:tabs>
        <w:spacing w:line="240" w:lineRule="auto" w:before="187" w:after="0"/>
        <w:ind w:left="1504" w:right="0" w:hanging="239"/>
        <w:jc w:val="left"/>
        <w:rPr>
          <w:sz w:val="22"/>
        </w:rPr>
      </w:pPr>
      <w:r>
        <w:rPr>
          <w:color w:val="105C84"/>
          <w:sz w:val="22"/>
        </w:rPr>
        <w:t>2.63</w:t>
      </w:r>
      <w:r>
        <w:rPr>
          <w:color w:val="105C84"/>
          <w:spacing w:val="10"/>
          <w:sz w:val="22"/>
        </w:rPr>
        <w:t> </w:t>
      </w:r>
      <w:r>
        <w:rPr>
          <w:color w:val="105C84"/>
          <w:sz w:val="22"/>
        </w:rPr>
        <w:t>times</w:t>
      </w:r>
      <w:r>
        <w:rPr>
          <w:color w:val="105C84"/>
          <w:spacing w:val="11"/>
          <w:sz w:val="22"/>
        </w:rPr>
        <w:t> </w:t>
      </w:r>
      <w:r>
        <w:rPr>
          <w:color w:val="105C84"/>
          <w:sz w:val="22"/>
        </w:rPr>
        <w:t>more</w:t>
      </w:r>
      <w:r>
        <w:rPr>
          <w:color w:val="105C84"/>
          <w:spacing w:val="11"/>
          <w:sz w:val="22"/>
        </w:rPr>
        <w:t> </w:t>
      </w:r>
      <w:r>
        <w:rPr>
          <w:color w:val="105C84"/>
          <w:sz w:val="22"/>
        </w:rPr>
        <w:t>likely</w:t>
      </w:r>
      <w:r>
        <w:rPr>
          <w:color w:val="105C84"/>
          <w:spacing w:val="10"/>
          <w:sz w:val="22"/>
        </w:rPr>
        <w:t> </w:t>
      </w:r>
      <w:r>
        <w:rPr>
          <w:color w:val="105C84"/>
          <w:sz w:val="22"/>
        </w:rPr>
        <w:t>to</w:t>
      </w:r>
      <w:r>
        <w:rPr>
          <w:color w:val="105C84"/>
          <w:spacing w:val="11"/>
          <w:sz w:val="22"/>
        </w:rPr>
        <w:t> </w:t>
      </w:r>
      <w:r>
        <w:rPr>
          <w:color w:val="105C84"/>
          <w:sz w:val="22"/>
        </w:rPr>
        <w:t>report</w:t>
      </w:r>
      <w:r>
        <w:rPr>
          <w:color w:val="105C84"/>
          <w:spacing w:val="11"/>
          <w:sz w:val="22"/>
        </w:rPr>
        <w:t> </w:t>
      </w:r>
      <w:r>
        <w:rPr>
          <w:color w:val="105C84"/>
          <w:sz w:val="22"/>
        </w:rPr>
        <w:t>being</w:t>
      </w:r>
      <w:r>
        <w:rPr>
          <w:color w:val="105C84"/>
          <w:spacing w:val="10"/>
          <w:sz w:val="22"/>
        </w:rPr>
        <w:t> </w:t>
      </w:r>
      <w:r>
        <w:rPr>
          <w:color w:val="105C84"/>
          <w:sz w:val="22"/>
        </w:rPr>
        <w:t>depressed</w:t>
      </w:r>
      <w:r>
        <w:rPr>
          <w:color w:val="105C84"/>
          <w:spacing w:val="11"/>
          <w:sz w:val="22"/>
        </w:rPr>
        <w:t> </w:t>
      </w:r>
      <w:r>
        <w:rPr>
          <w:color w:val="105C84"/>
          <w:sz w:val="22"/>
        </w:rPr>
        <w:t>or</w:t>
      </w:r>
      <w:r>
        <w:rPr>
          <w:color w:val="105C84"/>
          <w:spacing w:val="11"/>
          <w:sz w:val="22"/>
        </w:rPr>
        <w:t> </w:t>
      </w:r>
      <w:r>
        <w:rPr>
          <w:color w:val="105C84"/>
          <w:sz w:val="22"/>
        </w:rPr>
        <w:t>sad</w:t>
      </w:r>
      <w:r>
        <w:rPr>
          <w:color w:val="105C84"/>
          <w:spacing w:val="11"/>
          <w:sz w:val="22"/>
        </w:rPr>
        <w:t> </w:t>
      </w:r>
      <w:r>
        <w:rPr>
          <w:color w:val="105C84"/>
          <w:sz w:val="22"/>
        </w:rPr>
        <w:t>most</w:t>
      </w:r>
      <w:r>
        <w:rPr>
          <w:color w:val="105C84"/>
          <w:spacing w:val="10"/>
          <w:sz w:val="22"/>
        </w:rPr>
        <w:t> </w:t>
      </w:r>
      <w:r>
        <w:rPr>
          <w:color w:val="105C84"/>
          <w:spacing w:val="-4"/>
          <w:sz w:val="22"/>
        </w:rPr>
        <w:t>days</w:t>
      </w:r>
    </w:p>
    <w:p>
      <w:pPr>
        <w:pStyle w:val="ListParagraph"/>
        <w:numPr>
          <w:ilvl w:val="0"/>
          <w:numId w:val="33"/>
        </w:numPr>
        <w:tabs>
          <w:tab w:pos="1504" w:val="left" w:leader="none"/>
        </w:tabs>
        <w:spacing w:line="240" w:lineRule="auto" w:before="187" w:after="0"/>
        <w:ind w:left="1504" w:right="0" w:hanging="239"/>
        <w:jc w:val="left"/>
        <w:rPr>
          <w:sz w:val="22"/>
        </w:rPr>
      </w:pPr>
      <w:r>
        <w:rPr>
          <w:color w:val="105C84"/>
          <w:sz w:val="22"/>
        </w:rPr>
        <w:t>2.52</w:t>
      </w:r>
      <w:r>
        <w:rPr>
          <w:color w:val="105C84"/>
          <w:spacing w:val="14"/>
          <w:sz w:val="22"/>
        </w:rPr>
        <w:t> </w:t>
      </w:r>
      <w:r>
        <w:rPr>
          <w:color w:val="105C84"/>
          <w:sz w:val="22"/>
        </w:rPr>
        <w:t>times</w:t>
      </w:r>
      <w:r>
        <w:rPr>
          <w:color w:val="105C84"/>
          <w:spacing w:val="14"/>
          <w:sz w:val="22"/>
        </w:rPr>
        <w:t> </w:t>
      </w:r>
      <w:r>
        <w:rPr>
          <w:color w:val="105C84"/>
          <w:sz w:val="22"/>
        </w:rPr>
        <w:t>more</w:t>
      </w:r>
      <w:r>
        <w:rPr>
          <w:color w:val="105C84"/>
          <w:spacing w:val="15"/>
          <w:sz w:val="22"/>
        </w:rPr>
        <w:t> </w:t>
      </w:r>
      <w:r>
        <w:rPr>
          <w:color w:val="105C84"/>
          <w:sz w:val="22"/>
        </w:rPr>
        <w:t>likely</w:t>
      </w:r>
      <w:r>
        <w:rPr>
          <w:color w:val="105C84"/>
          <w:spacing w:val="14"/>
          <w:sz w:val="22"/>
        </w:rPr>
        <w:t> </w:t>
      </w:r>
      <w:r>
        <w:rPr>
          <w:color w:val="105C84"/>
          <w:sz w:val="22"/>
        </w:rPr>
        <w:t>to</w:t>
      </w:r>
      <w:r>
        <w:rPr>
          <w:color w:val="105C84"/>
          <w:spacing w:val="15"/>
          <w:sz w:val="22"/>
        </w:rPr>
        <w:t> </w:t>
      </w:r>
      <w:r>
        <w:rPr>
          <w:color w:val="105C84"/>
          <w:sz w:val="22"/>
        </w:rPr>
        <w:t>report</w:t>
      </w:r>
      <w:r>
        <w:rPr>
          <w:color w:val="105C84"/>
          <w:spacing w:val="14"/>
          <w:sz w:val="22"/>
        </w:rPr>
        <w:t> </w:t>
      </w:r>
      <w:r>
        <w:rPr>
          <w:color w:val="105C84"/>
          <w:sz w:val="22"/>
        </w:rPr>
        <w:t>suicide</w:t>
      </w:r>
      <w:r>
        <w:rPr>
          <w:color w:val="105C84"/>
          <w:spacing w:val="14"/>
          <w:sz w:val="22"/>
        </w:rPr>
        <w:t> </w:t>
      </w:r>
      <w:r>
        <w:rPr>
          <w:color w:val="105C84"/>
          <w:sz w:val="22"/>
        </w:rPr>
        <w:t>ideation,</w:t>
      </w:r>
      <w:r>
        <w:rPr>
          <w:color w:val="105C84"/>
          <w:spacing w:val="15"/>
          <w:sz w:val="22"/>
        </w:rPr>
        <w:t> </w:t>
      </w:r>
      <w:r>
        <w:rPr>
          <w:color w:val="105C84"/>
          <w:sz w:val="22"/>
        </w:rPr>
        <w:t>that</w:t>
      </w:r>
      <w:r>
        <w:rPr>
          <w:color w:val="105C84"/>
          <w:spacing w:val="14"/>
          <w:sz w:val="22"/>
        </w:rPr>
        <w:t> </w:t>
      </w:r>
      <w:r>
        <w:rPr>
          <w:color w:val="105C84"/>
          <w:sz w:val="22"/>
        </w:rPr>
        <w:t>is,</w:t>
      </w:r>
      <w:r>
        <w:rPr>
          <w:color w:val="105C84"/>
          <w:spacing w:val="15"/>
          <w:sz w:val="22"/>
        </w:rPr>
        <w:t> </w:t>
      </w:r>
      <w:r>
        <w:rPr>
          <w:color w:val="105C84"/>
          <w:sz w:val="22"/>
        </w:rPr>
        <w:t>made</w:t>
      </w:r>
      <w:r>
        <w:rPr>
          <w:color w:val="105C84"/>
          <w:spacing w:val="14"/>
          <w:sz w:val="22"/>
        </w:rPr>
        <w:t> </w:t>
      </w:r>
      <w:r>
        <w:rPr>
          <w:color w:val="105C84"/>
          <w:sz w:val="22"/>
        </w:rPr>
        <w:t>a</w:t>
      </w:r>
      <w:r>
        <w:rPr>
          <w:color w:val="105C84"/>
          <w:spacing w:val="15"/>
          <w:sz w:val="22"/>
        </w:rPr>
        <w:t> </w:t>
      </w:r>
      <w:r>
        <w:rPr>
          <w:color w:val="105C84"/>
          <w:sz w:val="22"/>
        </w:rPr>
        <w:t>plan</w:t>
      </w:r>
      <w:r>
        <w:rPr>
          <w:color w:val="105C84"/>
          <w:spacing w:val="14"/>
          <w:sz w:val="22"/>
        </w:rPr>
        <w:t> </w:t>
      </w:r>
      <w:r>
        <w:rPr>
          <w:color w:val="105C84"/>
          <w:sz w:val="22"/>
        </w:rPr>
        <w:t>for</w:t>
      </w:r>
      <w:r>
        <w:rPr>
          <w:color w:val="105C84"/>
          <w:spacing w:val="14"/>
          <w:sz w:val="22"/>
        </w:rPr>
        <w:t> </w:t>
      </w:r>
      <w:r>
        <w:rPr>
          <w:color w:val="105C84"/>
          <w:sz w:val="22"/>
        </w:rPr>
        <w:t>committing</w:t>
      </w:r>
      <w:r>
        <w:rPr>
          <w:color w:val="105C84"/>
          <w:spacing w:val="15"/>
          <w:sz w:val="22"/>
        </w:rPr>
        <w:t> </w:t>
      </w:r>
      <w:r>
        <w:rPr>
          <w:color w:val="105C84"/>
          <w:spacing w:val="-2"/>
          <w:sz w:val="22"/>
        </w:rPr>
        <w:t>suicide</w:t>
      </w:r>
    </w:p>
    <w:p>
      <w:pPr>
        <w:pStyle w:val="ListParagraph"/>
        <w:numPr>
          <w:ilvl w:val="0"/>
          <w:numId w:val="33"/>
        </w:numPr>
        <w:tabs>
          <w:tab w:pos="1504" w:val="left" w:leader="none"/>
        </w:tabs>
        <w:spacing w:line="240" w:lineRule="auto" w:before="187" w:after="0"/>
        <w:ind w:left="1504" w:right="0" w:hanging="239"/>
        <w:jc w:val="left"/>
        <w:rPr>
          <w:sz w:val="22"/>
        </w:rPr>
      </w:pPr>
      <w:r>
        <w:rPr>
          <w:color w:val="105C84"/>
          <w:sz w:val="22"/>
        </w:rPr>
        <w:t>2.34</w:t>
      </w:r>
      <w:r>
        <w:rPr>
          <w:color w:val="105C84"/>
          <w:spacing w:val="9"/>
          <w:sz w:val="22"/>
        </w:rPr>
        <w:t> </w:t>
      </w:r>
      <w:r>
        <w:rPr>
          <w:color w:val="105C84"/>
          <w:sz w:val="22"/>
        </w:rPr>
        <w:t>times</w:t>
      </w:r>
      <w:r>
        <w:rPr>
          <w:color w:val="105C84"/>
          <w:spacing w:val="10"/>
          <w:sz w:val="22"/>
        </w:rPr>
        <w:t> </w:t>
      </w:r>
      <w:r>
        <w:rPr>
          <w:color w:val="105C84"/>
          <w:sz w:val="22"/>
        </w:rPr>
        <w:t>more</w:t>
      </w:r>
      <w:r>
        <w:rPr>
          <w:color w:val="105C84"/>
          <w:spacing w:val="9"/>
          <w:sz w:val="22"/>
        </w:rPr>
        <w:t> </w:t>
      </w:r>
      <w:r>
        <w:rPr>
          <w:color w:val="105C84"/>
          <w:sz w:val="22"/>
        </w:rPr>
        <w:t>likely</w:t>
      </w:r>
      <w:r>
        <w:rPr>
          <w:color w:val="105C84"/>
          <w:spacing w:val="10"/>
          <w:sz w:val="22"/>
        </w:rPr>
        <w:t> </w:t>
      </w:r>
      <w:r>
        <w:rPr>
          <w:color w:val="105C84"/>
          <w:sz w:val="22"/>
        </w:rPr>
        <w:t>to</w:t>
      </w:r>
      <w:r>
        <w:rPr>
          <w:color w:val="105C84"/>
          <w:spacing w:val="10"/>
          <w:sz w:val="22"/>
        </w:rPr>
        <w:t> </w:t>
      </w:r>
      <w:r>
        <w:rPr>
          <w:color w:val="105C84"/>
          <w:sz w:val="22"/>
        </w:rPr>
        <w:t>report</w:t>
      </w:r>
      <w:r>
        <w:rPr>
          <w:color w:val="105C84"/>
          <w:spacing w:val="9"/>
          <w:sz w:val="22"/>
        </w:rPr>
        <w:t> </w:t>
      </w:r>
      <w:r>
        <w:rPr>
          <w:color w:val="105C84"/>
          <w:sz w:val="22"/>
        </w:rPr>
        <w:t>self-</w:t>
      </w:r>
      <w:r>
        <w:rPr>
          <w:color w:val="105C84"/>
          <w:spacing w:val="-2"/>
          <w:sz w:val="22"/>
        </w:rPr>
        <w:t>injury</w:t>
      </w:r>
    </w:p>
    <w:p>
      <w:pPr>
        <w:pStyle w:val="BodyText"/>
        <w:spacing w:line="247" w:lineRule="auto" w:before="187"/>
        <w:ind w:left="1065" w:right="535"/>
      </w:pPr>
      <w:r>
        <w:rPr>
          <w:color w:val="105C84"/>
        </w:rPr>
        <w:t>Finally, all eleven Wayne County school districts have implemented Life Skills curriculum for middle school students. Life Skills is an evidence-based curriculum to reduce suicide ideation and other adverse outcomes among students. Transient students who move around within the county will receive this curriculum regardless of which districts they attend.</w:t>
      </w:r>
    </w:p>
    <w:p>
      <w:pPr>
        <w:pStyle w:val="BodyText"/>
        <w:spacing w:before="15"/>
      </w:pPr>
    </w:p>
    <w:p>
      <w:pPr>
        <w:pStyle w:val="Heading6"/>
        <w:ind w:left="1065"/>
      </w:pPr>
      <w:r>
        <w:rPr>
          <w:color w:val="105C84"/>
          <w:spacing w:val="-6"/>
        </w:rPr>
        <w:t>Community</w:t>
      </w:r>
      <w:r>
        <w:rPr>
          <w:color w:val="105C84"/>
          <w:spacing w:val="-9"/>
        </w:rPr>
        <w:t> </w:t>
      </w:r>
      <w:r>
        <w:rPr>
          <w:color w:val="105C84"/>
          <w:spacing w:val="-6"/>
        </w:rPr>
        <w:t>Assets</w:t>
      </w:r>
      <w:r>
        <w:rPr>
          <w:color w:val="105C84"/>
          <w:spacing w:val="-9"/>
        </w:rPr>
        <w:t> </w:t>
      </w:r>
      <w:r>
        <w:rPr>
          <w:color w:val="105C84"/>
          <w:spacing w:val="-6"/>
        </w:rPr>
        <w:t>and</w:t>
      </w:r>
      <w:r>
        <w:rPr>
          <w:color w:val="105C84"/>
          <w:spacing w:val="-8"/>
        </w:rPr>
        <w:t> </w:t>
      </w:r>
      <w:r>
        <w:rPr>
          <w:color w:val="105C84"/>
          <w:spacing w:val="-6"/>
        </w:rPr>
        <w:t>Resources</w:t>
      </w:r>
      <w:r>
        <w:rPr>
          <w:color w:val="105C84"/>
          <w:spacing w:val="-9"/>
        </w:rPr>
        <w:t> </w:t>
      </w:r>
      <w:r>
        <w:rPr>
          <w:color w:val="105C84"/>
          <w:spacing w:val="-6"/>
        </w:rPr>
        <w:t>to</w:t>
      </w:r>
      <w:r>
        <w:rPr>
          <w:color w:val="105C84"/>
          <w:spacing w:val="-8"/>
        </w:rPr>
        <w:t> </w:t>
      </w:r>
      <w:r>
        <w:rPr>
          <w:color w:val="105C84"/>
          <w:spacing w:val="-6"/>
        </w:rPr>
        <w:t>be</w:t>
      </w:r>
      <w:r>
        <w:rPr>
          <w:color w:val="105C84"/>
          <w:spacing w:val="-9"/>
        </w:rPr>
        <w:t> </w:t>
      </w:r>
      <w:r>
        <w:rPr>
          <w:color w:val="105C84"/>
          <w:spacing w:val="-6"/>
        </w:rPr>
        <w:t>Mobilized</w:t>
      </w:r>
    </w:p>
    <w:p>
      <w:pPr>
        <w:pStyle w:val="BodyText"/>
        <w:spacing w:line="247" w:lineRule="auto" w:before="269"/>
        <w:ind w:left="1065" w:right="670"/>
      </w:pPr>
      <w:r>
        <w:rPr>
          <w:color w:val="105C84"/>
        </w:rPr>
        <w:t>During</w:t>
      </w:r>
      <w:r>
        <w:rPr>
          <w:color w:val="105C84"/>
          <w:spacing w:val="30"/>
        </w:rPr>
        <w:t> </w:t>
      </w:r>
      <w:r>
        <w:rPr>
          <w:color w:val="105C84"/>
        </w:rPr>
        <w:t>focus</w:t>
      </w:r>
      <w:r>
        <w:rPr>
          <w:color w:val="105C84"/>
          <w:spacing w:val="30"/>
        </w:rPr>
        <w:t> </w:t>
      </w:r>
      <w:r>
        <w:rPr>
          <w:color w:val="105C84"/>
        </w:rPr>
        <w:t>groups</w:t>
      </w:r>
      <w:r>
        <w:rPr>
          <w:color w:val="105C84"/>
          <w:spacing w:val="30"/>
        </w:rPr>
        <w:t> </w:t>
      </w:r>
      <w:r>
        <w:rPr>
          <w:color w:val="105C84"/>
        </w:rPr>
        <w:t>completed</w:t>
      </w:r>
      <w:r>
        <w:rPr>
          <w:color w:val="105C84"/>
          <w:spacing w:val="30"/>
        </w:rPr>
        <w:t> </w:t>
      </w:r>
      <w:r>
        <w:rPr>
          <w:color w:val="105C84"/>
        </w:rPr>
        <w:t>in</w:t>
      </w:r>
      <w:r>
        <w:rPr>
          <w:color w:val="105C84"/>
          <w:spacing w:val="30"/>
        </w:rPr>
        <w:t> </w:t>
      </w:r>
      <w:r>
        <w:rPr>
          <w:color w:val="105C84"/>
        </w:rPr>
        <w:t>late</w:t>
      </w:r>
      <w:r>
        <w:rPr>
          <w:color w:val="105C84"/>
          <w:spacing w:val="30"/>
        </w:rPr>
        <w:t> </w:t>
      </w:r>
      <w:r>
        <w:rPr>
          <w:color w:val="105C84"/>
        </w:rPr>
        <w:t>2018</w:t>
      </w:r>
      <w:r>
        <w:rPr>
          <w:color w:val="105C84"/>
          <w:spacing w:val="30"/>
        </w:rPr>
        <w:t> </w:t>
      </w:r>
      <w:r>
        <w:rPr>
          <w:color w:val="105C84"/>
        </w:rPr>
        <w:t>and</w:t>
      </w:r>
      <w:r>
        <w:rPr>
          <w:color w:val="105C84"/>
          <w:spacing w:val="30"/>
        </w:rPr>
        <w:t> </w:t>
      </w:r>
      <w:r>
        <w:rPr>
          <w:color w:val="105C84"/>
        </w:rPr>
        <w:t>early</w:t>
      </w:r>
      <w:r>
        <w:rPr>
          <w:color w:val="105C84"/>
          <w:spacing w:val="30"/>
        </w:rPr>
        <w:t> </w:t>
      </w:r>
      <w:r>
        <w:rPr>
          <w:color w:val="105C84"/>
        </w:rPr>
        <w:t>2019,</w:t>
      </w:r>
      <w:r>
        <w:rPr>
          <w:color w:val="105C84"/>
          <w:spacing w:val="30"/>
        </w:rPr>
        <w:t> </w:t>
      </w:r>
      <w:r>
        <w:rPr>
          <w:color w:val="105C84"/>
        </w:rPr>
        <w:t>community</w:t>
      </w:r>
      <w:r>
        <w:rPr>
          <w:color w:val="105C84"/>
          <w:spacing w:val="30"/>
        </w:rPr>
        <w:t> </w:t>
      </w:r>
      <w:r>
        <w:rPr>
          <w:color w:val="105C84"/>
        </w:rPr>
        <w:t>members</w:t>
      </w:r>
      <w:r>
        <w:rPr>
          <w:color w:val="105C84"/>
          <w:spacing w:val="30"/>
        </w:rPr>
        <w:t> </w:t>
      </w:r>
      <w:r>
        <w:rPr>
          <w:color w:val="105C84"/>
        </w:rPr>
        <w:t>identified several assets and resources in Wayne County. For example, focus group attendees identified local agencies such as libraries, hospitals, schools and the health department as community strengths</w:t>
      </w:r>
      <w:r>
        <w:rPr>
          <w:color w:val="105C84"/>
          <w:spacing w:val="40"/>
        </w:rPr>
        <w:t> </w:t>
      </w:r>
      <w:r>
        <w:rPr>
          <w:color w:val="105C84"/>
        </w:rPr>
        <w:t>and resources. Local programs such as Relay for Life, Green Thumb Thursday and the Justice Org of Youth were also highlighted as strengths as was the county’s local environment (including trails and parks). A comprehensive list of identified strengths and resources can be found in focus group summaries and is available upon request.</w:t>
      </w:r>
    </w:p>
    <w:p>
      <w:pPr>
        <w:pStyle w:val="BodyText"/>
        <w:spacing w:line="247" w:lineRule="auto" w:before="176"/>
        <w:ind w:left="1065" w:right="812"/>
      </w:pPr>
      <w:r>
        <w:rPr>
          <w:color w:val="105C84"/>
        </w:rPr>
        <w:t>Through implementation of the Community Health Improvement Plan, staff will work to leverage</w:t>
      </w:r>
      <w:r>
        <w:rPr>
          <w:color w:val="105C84"/>
          <w:spacing w:val="80"/>
        </w:rPr>
        <w:t> </w:t>
      </w:r>
      <w:r>
        <w:rPr>
          <w:color w:val="105C84"/>
        </w:rPr>
        <w:t>these pre-existing agencies and services. A full description of interventions and partner roles can be found in the Wayne County Community Health Improvement Plan document. Partnering and</w:t>
      </w:r>
      <w:r>
        <w:rPr>
          <w:color w:val="105C84"/>
          <w:spacing w:val="40"/>
        </w:rPr>
        <w:t> </w:t>
      </w:r>
      <w:r>
        <w:rPr>
          <w:color w:val="105C84"/>
        </w:rPr>
        <w:t>leveraging the assets and resources of local community agencies will be imperative to achieving </w:t>
      </w:r>
      <w:r>
        <w:rPr>
          <w:color w:val="105C84"/>
          <w:w w:val="105"/>
        </w:rPr>
        <w:t>success in the plan.</w:t>
      </w:r>
    </w:p>
    <w:p>
      <w:pPr>
        <w:pStyle w:val="BodyText"/>
        <w:spacing w:line="247" w:lineRule="auto" w:before="178"/>
        <w:ind w:left="1065" w:right="343"/>
      </w:pPr>
      <w:r>
        <w:rPr>
          <w:color w:val="105C84"/>
        </w:rPr>
        <w:t>Apart from Life Skills curriculum mentioned in the Special Populations section, which applies to every school, there are other school-based initiatives in Wayne County in place to improve health outcomes</w:t>
      </w:r>
      <w:r>
        <w:rPr>
          <w:color w:val="105C84"/>
          <w:spacing w:val="80"/>
        </w:rPr>
        <w:t> </w:t>
      </w:r>
      <w:r>
        <w:rPr>
          <w:color w:val="105C84"/>
        </w:rPr>
        <w:t>in various districts. CATCH, an evidence-based curriculum designed to reduce childhood obesity by enabling</w:t>
      </w:r>
      <w:r>
        <w:rPr>
          <w:color w:val="105C84"/>
          <w:spacing w:val="23"/>
        </w:rPr>
        <w:t> </w:t>
      </w:r>
      <w:r>
        <w:rPr>
          <w:color w:val="105C84"/>
        </w:rPr>
        <w:t>children</w:t>
      </w:r>
      <w:r>
        <w:rPr>
          <w:color w:val="105C84"/>
          <w:spacing w:val="23"/>
        </w:rPr>
        <w:t> </w:t>
      </w:r>
      <w:r>
        <w:rPr>
          <w:color w:val="105C84"/>
        </w:rPr>
        <w:t>to</w:t>
      </w:r>
      <w:r>
        <w:rPr>
          <w:color w:val="105C84"/>
          <w:spacing w:val="23"/>
        </w:rPr>
        <w:t> </w:t>
      </w:r>
      <w:r>
        <w:rPr>
          <w:color w:val="105C84"/>
        </w:rPr>
        <w:t>identify</w:t>
      </w:r>
      <w:r>
        <w:rPr>
          <w:color w:val="105C84"/>
          <w:spacing w:val="23"/>
        </w:rPr>
        <w:t> </w:t>
      </w:r>
      <w:r>
        <w:rPr>
          <w:color w:val="105C84"/>
        </w:rPr>
        <w:t>healthy</w:t>
      </w:r>
      <w:r>
        <w:rPr>
          <w:color w:val="105C84"/>
          <w:spacing w:val="23"/>
        </w:rPr>
        <w:t> </w:t>
      </w:r>
      <w:r>
        <w:rPr>
          <w:color w:val="105C84"/>
        </w:rPr>
        <w:t>foods</w:t>
      </w:r>
      <w:r>
        <w:rPr>
          <w:color w:val="105C84"/>
          <w:spacing w:val="23"/>
        </w:rPr>
        <w:t> </w:t>
      </w:r>
      <w:r>
        <w:rPr>
          <w:color w:val="105C84"/>
        </w:rPr>
        <w:t>and</w:t>
      </w:r>
      <w:r>
        <w:rPr>
          <w:color w:val="105C84"/>
          <w:spacing w:val="23"/>
        </w:rPr>
        <w:t> </w:t>
      </w:r>
      <w:r>
        <w:rPr>
          <w:color w:val="105C84"/>
        </w:rPr>
        <w:t>engage</w:t>
      </w:r>
      <w:r>
        <w:rPr>
          <w:color w:val="105C84"/>
          <w:spacing w:val="23"/>
        </w:rPr>
        <w:t> </w:t>
      </w:r>
      <w:r>
        <w:rPr>
          <w:color w:val="105C84"/>
        </w:rPr>
        <w:t>in</w:t>
      </w:r>
      <w:r>
        <w:rPr>
          <w:color w:val="105C84"/>
          <w:spacing w:val="23"/>
        </w:rPr>
        <w:t> </w:t>
      </w:r>
      <w:r>
        <w:rPr>
          <w:color w:val="105C84"/>
        </w:rPr>
        <w:t>more</w:t>
      </w:r>
      <w:r>
        <w:rPr>
          <w:color w:val="105C84"/>
          <w:spacing w:val="23"/>
        </w:rPr>
        <w:t> </w:t>
      </w:r>
      <w:r>
        <w:rPr>
          <w:color w:val="105C84"/>
        </w:rPr>
        <w:t>physical</w:t>
      </w:r>
      <w:r>
        <w:rPr>
          <w:color w:val="105C84"/>
          <w:spacing w:val="23"/>
        </w:rPr>
        <w:t> </w:t>
      </w:r>
      <w:r>
        <w:rPr>
          <w:color w:val="105C84"/>
        </w:rPr>
        <w:t>activity,</w:t>
      </w:r>
      <w:r>
        <w:rPr>
          <w:color w:val="105C84"/>
          <w:spacing w:val="23"/>
        </w:rPr>
        <w:t> </w:t>
      </w:r>
      <w:r>
        <w:rPr>
          <w:color w:val="105C84"/>
        </w:rPr>
        <w:t>is</w:t>
      </w:r>
      <w:r>
        <w:rPr>
          <w:color w:val="105C84"/>
          <w:spacing w:val="23"/>
        </w:rPr>
        <w:t> </w:t>
      </w:r>
      <w:r>
        <w:rPr>
          <w:color w:val="105C84"/>
        </w:rPr>
        <w:t>in</w:t>
      </w:r>
      <w:r>
        <w:rPr>
          <w:color w:val="105C84"/>
          <w:spacing w:val="23"/>
        </w:rPr>
        <w:t> </w:t>
      </w:r>
      <w:r>
        <w:rPr>
          <w:color w:val="105C84"/>
        </w:rPr>
        <w:t>place</w:t>
      </w:r>
      <w:r>
        <w:rPr>
          <w:color w:val="105C84"/>
          <w:spacing w:val="23"/>
        </w:rPr>
        <w:t> </w:t>
      </w:r>
      <w:r>
        <w:rPr>
          <w:color w:val="105C84"/>
        </w:rPr>
        <w:t>at</w:t>
      </w:r>
      <w:r>
        <w:rPr>
          <w:color w:val="105C84"/>
          <w:spacing w:val="23"/>
        </w:rPr>
        <w:t> </w:t>
      </w:r>
      <w:r>
        <w:rPr>
          <w:color w:val="105C84"/>
        </w:rPr>
        <w:t>Clyde-Savannah Elementary and Middle Schools and Lyons Elementary and Middle Schools.</w:t>
      </w:r>
    </w:p>
    <w:p>
      <w:pPr>
        <w:pStyle w:val="BodyText"/>
        <w:spacing w:line="247" w:lineRule="auto" w:before="177"/>
        <w:ind w:left="1065" w:right="714"/>
      </w:pPr>
      <w:r>
        <w:rPr>
          <w:color w:val="105C84"/>
        </w:rPr>
        <w:t>Community</w:t>
      </w:r>
      <w:r>
        <w:rPr>
          <w:color w:val="105C84"/>
          <w:spacing w:val="27"/>
        </w:rPr>
        <w:t> </w:t>
      </w:r>
      <w:r>
        <w:rPr>
          <w:color w:val="105C84"/>
        </w:rPr>
        <w:t>Schools</w:t>
      </w:r>
      <w:r>
        <w:rPr>
          <w:color w:val="105C84"/>
          <w:spacing w:val="27"/>
        </w:rPr>
        <w:t> </w:t>
      </w:r>
      <w:r>
        <w:rPr>
          <w:color w:val="105C84"/>
        </w:rPr>
        <w:t>is</w:t>
      </w:r>
      <w:r>
        <w:rPr>
          <w:color w:val="105C84"/>
          <w:spacing w:val="27"/>
        </w:rPr>
        <w:t> </w:t>
      </w:r>
      <w:r>
        <w:rPr>
          <w:color w:val="105C84"/>
        </w:rPr>
        <w:t>an</w:t>
      </w:r>
      <w:r>
        <w:rPr>
          <w:color w:val="105C84"/>
          <w:spacing w:val="27"/>
        </w:rPr>
        <w:t> </w:t>
      </w:r>
      <w:r>
        <w:rPr>
          <w:color w:val="105C84"/>
        </w:rPr>
        <w:t>initiative</w:t>
      </w:r>
      <w:r>
        <w:rPr>
          <w:color w:val="105C84"/>
          <w:spacing w:val="27"/>
        </w:rPr>
        <w:t> </w:t>
      </w:r>
      <w:r>
        <w:rPr>
          <w:color w:val="105C84"/>
        </w:rPr>
        <w:t>impacting</w:t>
      </w:r>
      <w:r>
        <w:rPr>
          <w:color w:val="105C84"/>
          <w:spacing w:val="27"/>
        </w:rPr>
        <w:t> </w:t>
      </w:r>
      <w:r>
        <w:rPr>
          <w:color w:val="105C84"/>
        </w:rPr>
        <w:t>four</w:t>
      </w:r>
      <w:r>
        <w:rPr>
          <w:color w:val="105C84"/>
          <w:spacing w:val="27"/>
        </w:rPr>
        <w:t> </w:t>
      </w:r>
      <w:r>
        <w:rPr>
          <w:color w:val="105C84"/>
        </w:rPr>
        <w:t>Wayne</w:t>
      </w:r>
      <w:r>
        <w:rPr>
          <w:color w:val="105C84"/>
          <w:spacing w:val="27"/>
        </w:rPr>
        <w:t> </w:t>
      </w:r>
      <w:r>
        <w:rPr>
          <w:color w:val="105C84"/>
        </w:rPr>
        <w:t>County</w:t>
      </w:r>
      <w:r>
        <w:rPr>
          <w:color w:val="105C84"/>
          <w:spacing w:val="27"/>
        </w:rPr>
        <w:t> </w:t>
      </w:r>
      <w:r>
        <w:rPr>
          <w:color w:val="105C84"/>
        </w:rPr>
        <w:t>school</w:t>
      </w:r>
      <w:r>
        <w:rPr>
          <w:color w:val="105C84"/>
          <w:spacing w:val="27"/>
        </w:rPr>
        <w:t> </w:t>
      </w:r>
      <w:r>
        <w:rPr>
          <w:color w:val="105C84"/>
        </w:rPr>
        <w:t>districts</w:t>
      </w:r>
      <w:r>
        <w:rPr>
          <w:color w:val="105C84"/>
          <w:spacing w:val="27"/>
        </w:rPr>
        <w:t> </w:t>
      </w:r>
      <w:r>
        <w:rPr>
          <w:color w:val="105C84"/>
        </w:rPr>
        <w:t>at</w:t>
      </w:r>
      <w:r>
        <w:rPr>
          <w:color w:val="105C84"/>
          <w:spacing w:val="27"/>
        </w:rPr>
        <w:t> </w:t>
      </w:r>
      <w:r>
        <w:rPr>
          <w:color w:val="105C84"/>
        </w:rPr>
        <w:t>the</w:t>
      </w:r>
      <w:r>
        <w:rPr>
          <w:color w:val="105C84"/>
          <w:spacing w:val="27"/>
        </w:rPr>
        <w:t> </w:t>
      </w:r>
      <w:r>
        <w:rPr>
          <w:color w:val="105C84"/>
        </w:rPr>
        <w:t>time</w:t>
      </w:r>
      <w:r>
        <w:rPr>
          <w:color w:val="105C84"/>
          <w:spacing w:val="27"/>
        </w:rPr>
        <w:t> </w:t>
      </w:r>
      <w:r>
        <w:rPr>
          <w:color w:val="105C84"/>
        </w:rPr>
        <w:t>of this publication; that number is likely to increase over time. A community school is a school which has been transformed into a resource hub where educators, cross-sector and community partners are able to offer an array of connected services, supports, and opportunities to children, families, and communities (U.S. Department of Education, 2018; New York State Education Department,</w:t>
      </w:r>
    </w:p>
    <w:p>
      <w:pPr>
        <w:pStyle w:val="BodyText"/>
        <w:spacing w:line="247" w:lineRule="auto"/>
        <w:ind w:left="1065" w:right="506"/>
      </w:pPr>
      <w:r>
        <w:rPr>
          <w:color w:val="105C84"/>
        </w:rPr>
        <w:t>2018; Coalition for Community Schools, 2018; Binghamton University, 2018). A goal of a community school</w:t>
      </w:r>
      <w:r>
        <w:rPr>
          <w:color w:val="105C84"/>
          <w:spacing w:val="27"/>
        </w:rPr>
        <w:t> </w:t>
      </w:r>
      <w:r>
        <w:rPr>
          <w:color w:val="105C84"/>
        </w:rPr>
        <w:t>is</w:t>
      </w:r>
      <w:r>
        <w:rPr>
          <w:color w:val="105C84"/>
          <w:spacing w:val="27"/>
        </w:rPr>
        <w:t> </w:t>
      </w:r>
      <w:r>
        <w:rPr>
          <w:color w:val="105C84"/>
        </w:rPr>
        <w:t>to</w:t>
      </w:r>
      <w:r>
        <w:rPr>
          <w:color w:val="105C84"/>
          <w:spacing w:val="27"/>
        </w:rPr>
        <w:t> </w:t>
      </w:r>
      <w:r>
        <w:rPr>
          <w:color w:val="105C84"/>
        </w:rPr>
        <w:t>attain</w:t>
      </w:r>
      <w:r>
        <w:rPr>
          <w:color w:val="105C84"/>
          <w:spacing w:val="27"/>
        </w:rPr>
        <w:t> </w:t>
      </w:r>
      <w:r>
        <w:rPr>
          <w:color w:val="105C84"/>
        </w:rPr>
        <w:t>collective</w:t>
      </w:r>
      <w:r>
        <w:rPr>
          <w:color w:val="105C84"/>
          <w:spacing w:val="27"/>
        </w:rPr>
        <w:t> </w:t>
      </w:r>
      <w:r>
        <w:rPr>
          <w:color w:val="105C84"/>
        </w:rPr>
        <w:t>impact</w:t>
      </w:r>
      <w:r>
        <w:rPr>
          <w:color w:val="105C84"/>
          <w:spacing w:val="27"/>
        </w:rPr>
        <w:t> </w:t>
      </w:r>
      <w:r>
        <w:rPr>
          <w:color w:val="105C84"/>
        </w:rPr>
        <w:t>by</w:t>
      </w:r>
      <w:r>
        <w:rPr>
          <w:color w:val="105C84"/>
          <w:spacing w:val="27"/>
        </w:rPr>
        <w:t> </w:t>
      </w:r>
      <w:r>
        <w:rPr>
          <w:color w:val="105C84"/>
        </w:rPr>
        <w:t>bringing</w:t>
      </w:r>
      <w:r>
        <w:rPr>
          <w:color w:val="105C84"/>
          <w:spacing w:val="27"/>
        </w:rPr>
        <w:t> </w:t>
      </w:r>
      <w:r>
        <w:rPr>
          <w:color w:val="105C84"/>
        </w:rPr>
        <w:t>together</w:t>
      </w:r>
      <w:r>
        <w:rPr>
          <w:color w:val="105C84"/>
          <w:spacing w:val="27"/>
        </w:rPr>
        <w:t> </w:t>
      </w:r>
      <w:r>
        <w:rPr>
          <w:color w:val="105C84"/>
        </w:rPr>
        <w:t>various</w:t>
      </w:r>
      <w:r>
        <w:rPr>
          <w:color w:val="105C84"/>
          <w:spacing w:val="27"/>
        </w:rPr>
        <w:t> </w:t>
      </w:r>
      <w:r>
        <w:rPr>
          <w:color w:val="105C84"/>
        </w:rPr>
        <w:t>community</w:t>
      </w:r>
      <w:r>
        <w:rPr>
          <w:color w:val="105C84"/>
          <w:spacing w:val="27"/>
        </w:rPr>
        <w:t> </w:t>
      </w:r>
      <w:r>
        <w:rPr>
          <w:color w:val="105C84"/>
        </w:rPr>
        <w:t>partners</w:t>
      </w:r>
      <w:r>
        <w:rPr>
          <w:color w:val="105C84"/>
          <w:spacing w:val="27"/>
        </w:rPr>
        <w:t> </w:t>
      </w:r>
      <w:r>
        <w:rPr>
          <w:color w:val="105C84"/>
        </w:rPr>
        <w:t>to</w:t>
      </w:r>
      <w:r>
        <w:rPr>
          <w:color w:val="105C84"/>
          <w:spacing w:val="27"/>
        </w:rPr>
        <w:t> </w:t>
      </w:r>
      <w:r>
        <w:rPr>
          <w:color w:val="105C84"/>
        </w:rPr>
        <w:t>collaborate in</w:t>
      </w:r>
      <w:r>
        <w:rPr>
          <w:color w:val="105C84"/>
          <w:spacing w:val="25"/>
        </w:rPr>
        <w:t> </w:t>
      </w:r>
      <w:r>
        <w:rPr>
          <w:color w:val="105C84"/>
        </w:rPr>
        <w:t>meeting</w:t>
      </w:r>
      <w:r>
        <w:rPr>
          <w:color w:val="105C84"/>
          <w:spacing w:val="25"/>
        </w:rPr>
        <w:t> </w:t>
      </w:r>
      <w:r>
        <w:rPr>
          <w:color w:val="105C84"/>
        </w:rPr>
        <w:t>the</w:t>
      </w:r>
      <w:r>
        <w:rPr>
          <w:color w:val="105C84"/>
          <w:spacing w:val="25"/>
        </w:rPr>
        <w:t> </w:t>
      </w:r>
      <w:r>
        <w:rPr>
          <w:color w:val="105C84"/>
        </w:rPr>
        <w:t>needs</w:t>
      </w:r>
      <w:r>
        <w:rPr>
          <w:color w:val="105C84"/>
          <w:spacing w:val="25"/>
        </w:rPr>
        <w:t> </w:t>
      </w:r>
      <w:r>
        <w:rPr>
          <w:color w:val="105C84"/>
        </w:rPr>
        <w:t>of</w:t>
      </w:r>
      <w:r>
        <w:rPr>
          <w:color w:val="105C84"/>
          <w:spacing w:val="25"/>
        </w:rPr>
        <w:t> </w:t>
      </w:r>
      <w:r>
        <w:rPr>
          <w:color w:val="105C84"/>
        </w:rPr>
        <w:t>their</w:t>
      </w:r>
      <w:r>
        <w:rPr>
          <w:color w:val="105C84"/>
          <w:spacing w:val="25"/>
        </w:rPr>
        <w:t> </w:t>
      </w:r>
      <w:r>
        <w:rPr>
          <w:color w:val="105C84"/>
        </w:rPr>
        <w:t>community,</w:t>
      </w:r>
      <w:r>
        <w:rPr>
          <w:color w:val="105C84"/>
          <w:spacing w:val="25"/>
        </w:rPr>
        <w:t> </w:t>
      </w:r>
      <w:r>
        <w:rPr>
          <w:color w:val="105C84"/>
        </w:rPr>
        <w:t>especially</w:t>
      </w:r>
      <w:r>
        <w:rPr>
          <w:color w:val="105C84"/>
          <w:spacing w:val="25"/>
        </w:rPr>
        <w:t> </w:t>
      </w:r>
      <w:r>
        <w:rPr>
          <w:color w:val="105C84"/>
        </w:rPr>
        <w:t>for</w:t>
      </w:r>
      <w:r>
        <w:rPr>
          <w:color w:val="105C84"/>
          <w:spacing w:val="25"/>
        </w:rPr>
        <w:t> </w:t>
      </w:r>
      <w:r>
        <w:rPr>
          <w:color w:val="105C84"/>
        </w:rPr>
        <w:t>students</w:t>
      </w:r>
      <w:r>
        <w:rPr>
          <w:color w:val="105C84"/>
          <w:spacing w:val="25"/>
        </w:rPr>
        <w:t> </w:t>
      </w:r>
      <w:r>
        <w:rPr>
          <w:color w:val="105C84"/>
        </w:rPr>
        <w:t>and</w:t>
      </w:r>
      <w:r>
        <w:rPr>
          <w:color w:val="105C84"/>
          <w:spacing w:val="25"/>
        </w:rPr>
        <w:t> </w:t>
      </w:r>
      <w:r>
        <w:rPr>
          <w:color w:val="105C84"/>
        </w:rPr>
        <w:t>families</w:t>
      </w:r>
      <w:r>
        <w:rPr>
          <w:color w:val="105C84"/>
          <w:spacing w:val="25"/>
        </w:rPr>
        <w:t> </w:t>
      </w:r>
      <w:r>
        <w:rPr>
          <w:color w:val="105C84"/>
        </w:rPr>
        <w:t>in</w:t>
      </w:r>
      <w:r>
        <w:rPr>
          <w:color w:val="105C84"/>
          <w:spacing w:val="25"/>
        </w:rPr>
        <w:t> </w:t>
      </w:r>
      <w:r>
        <w:rPr>
          <w:color w:val="105C84"/>
        </w:rPr>
        <w:t>high</w:t>
      </w:r>
      <w:r>
        <w:rPr>
          <w:color w:val="105C84"/>
          <w:spacing w:val="25"/>
        </w:rPr>
        <w:t> </w:t>
      </w:r>
      <w:r>
        <w:rPr>
          <w:color w:val="105C84"/>
        </w:rPr>
        <w:t>need.</w:t>
      </w:r>
      <w:r>
        <w:rPr>
          <w:color w:val="105C84"/>
          <w:spacing w:val="25"/>
        </w:rPr>
        <w:t> </w:t>
      </w:r>
      <w:r>
        <w:rPr>
          <w:color w:val="105C84"/>
        </w:rPr>
        <w:t>The main difference between a traditional public school and a community school is that a community</w:t>
      </w:r>
      <w:r>
        <w:rPr>
          <w:color w:val="105C84"/>
          <w:spacing w:val="40"/>
        </w:rPr>
        <w:t> </w:t>
      </w:r>
      <w:r>
        <w:rPr>
          <w:color w:val="105C84"/>
        </w:rPr>
        <w:t>school follows the collective impact model, which focuses on aligning various systems for increasing the efficient use of services and resources. Research and evaluations around the community</w:t>
      </w:r>
    </w:p>
    <w:p>
      <w:pPr>
        <w:pStyle w:val="BodyText"/>
        <w:spacing w:line="250" w:lineRule="exact"/>
        <w:ind w:left="1065"/>
      </w:pPr>
      <w:r>
        <w:rPr>
          <w:color w:val="105C84"/>
        </w:rPr>
        <w:t>schools</w:t>
      </w:r>
      <w:r>
        <w:rPr>
          <w:color w:val="105C84"/>
          <w:spacing w:val="10"/>
        </w:rPr>
        <w:t> </w:t>
      </w:r>
      <w:r>
        <w:rPr>
          <w:color w:val="105C84"/>
        </w:rPr>
        <w:t>strategy</w:t>
      </w:r>
      <w:r>
        <w:rPr>
          <w:color w:val="105C84"/>
          <w:spacing w:val="10"/>
        </w:rPr>
        <w:t> </w:t>
      </w:r>
      <w:r>
        <w:rPr>
          <w:color w:val="105C84"/>
        </w:rPr>
        <w:t>has</w:t>
      </w:r>
      <w:r>
        <w:rPr>
          <w:color w:val="105C84"/>
          <w:spacing w:val="10"/>
        </w:rPr>
        <w:t> </w:t>
      </w:r>
      <w:r>
        <w:rPr>
          <w:color w:val="105C84"/>
        </w:rPr>
        <w:t>indicated</w:t>
      </w:r>
      <w:r>
        <w:rPr>
          <w:color w:val="105C84"/>
          <w:spacing w:val="10"/>
        </w:rPr>
        <w:t> </w:t>
      </w:r>
      <w:r>
        <w:rPr>
          <w:color w:val="105C84"/>
        </w:rPr>
        <w:t>gains</w:t>
      </w:r>
      <w:r>
        <w:rPr>
          <w:color w:val="105C84"/>
          <w:spacing w:val="10"/>
        </w:rPr>
        <w:t> </w:t>
      </w:r>
      <w:r>
        <w:rPr>
          <w:color w:val="105C84"/>
        </w:rPr>
        <w:t>in</w:t>
      </w:r>
      <w:r>
        <w:rPr>
          <w:color w:val="105C84"/>
          <w:spacing w:val="11"/>
        </w:rPr>
        <w:t> </w:t>
      </w:r>
      <w:r>
        <w:rPr>
          <w:color w:val="105C84"/>
        </w:rPr>
        <w:t>academic</w:t>
      </w:r>
      <w:r>
        <w:rPr>
          <w:color w:val="105C84"/>
          <w:spacing w:val="10"/>
        </w:rPr>
        <w:t> </w:t>
      </w:r>
      <w:r>
        <w:rPr>
          <w:color w:val="105C84"/>
        </w:rPr>
        <w:t>achievement,</w:t>
      </w:r>
      <w:r>
        <w:rPr>
          <w:color w:val="105C84"/>
          <w:spacing w:val="10"/>
        </w:rPr>
        <w:t> </w:t>
      </w:r>
      <w:r>
        <w:rPr>
          <w:color w:val="105C84"/>
        </w:rPr>
        <w:t>improved</w:t>
      </w:r>
      <w:r>
        <w:rPr>
          <w:color w:val="105C84"/>
          <w:spacing w:val="10"/>
        </w:rPr>
        <w:t> </w:t>
      </w:r>
      <w:r>
        <w:rPr>
          <w:color w:val="105C84"/>
        </w:rPr>
        <w:t>attendance,</w:t>
      </w:r>
      <w:r>
        <w:rPr>
          <w:color w:val="105C84"/>
          <w:spacing w:val="10"/>
        </w:rPr>
        <w:t> </w:t>
      </w:r>
      <w:r>
        <w:rPr>
          <w:color w:val="105C84"/>
          <w:spacing w:val="-2"/>
        </w:rPr>
        <w:t>reduced</w:t>
      </w:r>
    </w:p>
    <w:p>
      <w:pPr>
        <w:pStyle w:val="BodyText"/>
        <w:spacing w:after="0" w:line="250" w:lineRule="exact"/>
        <w:sectPr>
          <w:type w:val="continuous"/>
          <w:pgSz w:w="24480" w:h="15840" w:orient="landscape"/>
          <w:pgMar w:header="0" w:footer="0" w:top="0" w:bottom="280" w:left="0" w:right="720"/>
          <w:cols w:num="2" w:equalWidth="0">
            <w:col w:w="11197" w:space="1057"/>
            <w:col w:w="11506"/>
          </w:cols>
        </w:sectPr>
      </w:pPr>
    </w:p>
    <w:p>
      <w:pPr>
        <w:pStyle w:val="BodyText"/>
        <w:rPr>
          <w:sz w:val="26"/>
        </w:rPr>
      </w:pPr>
      <w:r>
        <w:rPr>
          <w:sz w:val="26"/>
        </w:rPr>
        <w:drawing>
          <wp:anchor distT="0" distB="0" distL="0" distR="0" allowOverlap="1" layoutInCell="1" locked="0" behindDoc="0" simplePos="0" relativeHeight="15885824">
            <wp:simplePos x="0" y="0"/>
            <wp:positionH relativeFrom="page">
              <wp:posOffset>14981556</wp:posOffset>
            </wp:positionH>
            <wp:positionV relativeFrom="page">
              <wp:posOffset>9668103</wp:posOffset>
            </wp:positionV>
            <wp:extent cx="563245" cy="184683"/>
            <wp:effectExtent l="0" t="0" r="0" b="0"/>
            <wp:wrapNone/>
            <wp:docPr id="1537" name="Image 1537"/>
            <wp:cNvGraphicFramePr>
              <a:graphicFrameLocks/>
            </wp:cNvGraphicFramePr>
            <a:graphic>
              <a:graphicData uri="http://schemas.openxmlformats.org/drawingml/2006/picture">
                <pic:pic>
                  <pic:nvPicPr>
                    <pic:cNvPr id="1537" name="Image 1537"/>
                    <pic:cNvPicPr/>
                  </pic:nvPicPr>
                  <pic:blipFill>
                    <a:blip r:embed="rId38" cstate="print"/>
                    <a:stretch>
                      <a:fillRect/>
                    </a:stretch>
                  </pic:blipFill>
                  <pic:spPr>
                    <a:xfrm>
                      <a:off x="0" y="0"/>
                      <a:ext cx="563245" cy="184683"/>
                    </a:xfrm>
                    <a:prstGeom prst="rect">
                      <a:avLst/>
                    </a:prstGeom>
                  </pic:spPr>
                </pic:pic>
              </a:graphicData>
            </a:graphic>
          </wp:anchor>
        </w:drawing>
      </w:r>
    </w:p>
    <w:p>
      <w:pPr>
        <w:pStyle w:val="BodyText"/>
        <w:spacing w:before="234"/>
        <w:rPr>
          <w:sz w:val="26"/>
        </w:rPr>
      </w:pPr>
    </w:p>
    <w:p>
      <w:pPr>
        <w:tabs>
          <w:tab w:pos="23047" w:val="left" w:leader="none"/>
        </w:tabs>
        <w:spacing w:before="0"/>
        <w:ind w:left="0" w:right="0" w:firstLine="0"/>
        <w:jc w:val="left"/>
        <w:rPr>
          <w:b/>
          <w:sz w:val="26"/>
        </w:rPr>
      </w:pPr>
      <w:r>
        <w:rPr>
          <w:position w:val="-4"/>
        </w:rPr>
        <w:drawing>
          <wp:inline distT="0" distB="0" distL="0" distR="0">
            <wp:extent cx="568172" cy="184683"/>
            <wp:effectExtent l="0" t="0" r="0" b="0"/>
            <wp:docPr id="1538" name="Image 1538"/>
            <wp:cNvGraphicFramePr>
              <a:graphicFrameLocks/>
            </wp:cNvGraphicFramePr>
            <a:graphic>
              <a:graphicData uri="http://schemas.openxmlformats.org/drawingml/2006/picture">
                <pic:pic>
                  <pic:nvPicPr>
                    <pic:cNvPr id="1538" name="Image 1538"/>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80"/>
          <w:w w:val="105"/>
          <w:sz w:val="20"/>
        </w:rPr>
        <w:t> </w:t>
      </w:r>
      <w:r>
        <w:rPr>
          <w:b/>
          <w:color w:val="939598"/>
          <w:w w:val="105"/>
          <w:sz w:val="26"/>
        </w:rPr>
        <w:t>99</w:t>
      </w:r>
      <w:r>
        <w:rPr>
          <w:b/>
          <w:color w:val="939598"/>
          <w:sz w:val="26"/>
        </w:rPr>
        <w:tab/>
      </w:r>
      <w:r>
        <w:rPr>
          <w:b/>
          <w:color w:val="939598"/>
          <w:spacing w:val="-5"/>
          <w:w w:val="105"/>
          <w:sz w:val="26"/>
        </w:rPr>
        <w:t>100</w:t>
      </w:r>
    </w:p>
    <w:p>
      <w:pPr>
        <w:spacing w:after="0"/>
        <w:jc w:val="left"/>
        <w:rPr>
          <w:b/>
          <w:sz w:val="26"/>
        </w:rPr>
        <w:sectPr>
          <w:type w:val="continuous"/>
          <w:pgSz w:w="24480" w:h="15840" w:orient="landscape"/>
          <w:pgMar w:header="0" w:footer="0" w:top="0" w:bottom="280" w:left="0" w:right="720"/>
        </w:sectPr>
      </w:pPr>
    </w:p>
    <w:p>
      <w:pPr>
        <w:pStyle w:val="BodyText"/>
        <w:rPr>
          <w:b/>
          <w:sz w:val="20"/>
        </w:rPr>
      </w:pPr>
    </w:p>
    <w:p>
      <w:pPr>
        <w:pStyle w:val="BodyText"/>
        <w:spacing w:before="16"/>
        <w:rPr>
          <w:b/>
          <w:sz w:val="20"/>
        </w:rPr>
      </w:pPr>
    </w:p>
    <w:p>
      <w:pPr>
        <w:pStyle w:val="BodyText"/>
        <w:spacing w:after="0"/>
        <w:rPr>
          <w:b/>
          <w:sz w:val="20"/>
        </w:rPr>
        <w:sectPr>
          <w:pgSz w:w="24480" w:h="15840" w:orient="landscape"/>
          <w:pgMar w:header="0" w:footer="0" w:top="860" w:bottom="0" w:left="0" w:right="720"/>
        </w:sectPr>
      </w:pPr>
    </w:p>
    <w:p>
      <w:pPr>
        <w:pStyle w:val="BodyText"/>
        <w:spacing w:line="247" w:lineRule="auto" w:before="113"/>
        <w:ind w:left="1079" w:right="356"/>
      </w:pPr>
      <w:r>
        <w:rPr>
          <w:color w:val="105C84"/>
        </w:rPr>
        <w:t>suspensions, reduced high-risk behaviors, better access to services, increased parent involvement, and reduced violence rates for students and families in public schools that function as community schools.</w:t>
      </w:r>
      <w:r>
        <w:rPr>
          <w:color w:val="105C84"/>
          <w:position w:val="7"/>
          <w:sz w:val="13"/>
        </w:rPr>
        <w:t>46</w:t>
      </w:r>
      <w:r>
        <w:rPr>
          <w:color w:val="105C84"/>
          <w:spacing w:val="40"/>
          <w:position w:val="7"/>
          <w:sz w:val="13"/>
        </w:rPr>
        <w:t> </w:t>
      </w:r>
      <w:r>
        <w:rPr>
          <w:color w:val="105C84"/>
        </w:rPr>
        <w:t>Although much of the research on community schools has been in urban communities, the</w:t>
      </w:r>
      <w:r>
        <w:rPr>
          <w:color w:val="105C84"/>
          <w:spacing w:val="15"/>
        </w:rPr>
        <w:t> </w:t>
      </w:r>
      <w:r>
        <w:rPr>
          <w:color w:val="105C84"/>
        </w:rPr>
        <w:t>community</w:t>
      </w:r>
      <w:r>
        <w:rPr>
          <w:color w:val="105C84"/>
          <w:spacing w:val="15"/>
        </w:rPr>
        <w:t> </w:t>
      </w:r>
      <w:r>
        <w:rPr>
          <w:color w:val="105C84"/>
        </w:rPr>
        <w:t>schools</w:t>
      </w:r>
      <w:r>
        <w:rPr>
          <w:color w:val="105C84"/>
          <w:spacing w:val="15"/>
        </w:rPr>
        <w:t> </w:t>
      </w:r>
      <w:r>
        <w:rPr>
          <w:color w:val="105C84"/>
        </w:rPr>
        <w:t>strategy</w:t>
      </w:r>
      <w:r>
        <w:rPr>
          <w:color w:val="105C84"/>
          <w:spacing w:val="15"/>
        </w:rPr>
        <w:t> </w:t>
      </w:r>
      <w:r>
        <w:rPr>
          <w:color w:val="105C84"/>
        </w:rPr>
        <w:t>has</w:t>
      </w:r>
      <w:r>
        <w:rPr>
          <w:color w:val="105C84"/>
          <w:spacing w:val="15"/>
        </w:rPr>
        <w:t> </w:t>
      </w:r>
      <w:r>
        <w:rPr>
          <w:color w:val="105C84"/>
        </w:rPr>
        <w:t>the</w:t>
      </w:r>
      <w:r>
        <w:rPr>
          <w:color w:val="105C84"/>
          <w:spacing w:val="15"/>
        </w:rPr>
        <w:t> </w:t>
      </w:r>
      <w:r>
        <w:rPr>
          <w:color w:val="105C84"/>
        </w:rPr>
        <w:t>potential</w:t>
      </w:r>
      <w:r>
        <w:rPr>
          <w:color w:val="105C84"/>
          <w:spacing w:val="15"/>
        </w:rPr>
        <w:t> </w:t>
      </w:r>
      <w:r>
        <w:rPr>
          <w:color w:val="105C84"/>
        </w:rPr>
        <w:t>to</w:t>
      </w:r>
      <w:r>
        <w:rPr>
          <w:color w:val="105C84"/>
          <w:spacing w:val="15"/>
        </w:rPr>
        <w:t> </w:t>
      </w:r>
      <w:r>
        <w:rPr>
          <w:color w:val="105C84"/>
        </w:rPr>
        <w:t>deliver</w:t>
      </w:r>
      <w:r>
        <w:rPr>
          <w:color w:val="105C84"/>
          <w:spacing w:val="15"/>
        </w:rPr>
        <w:t> </w:t>
      </w:r>
      <w:r>
        <w:rPr>
          <w:color w:val="105C84"/>
        </w:rPr>
        <w:t>a</w:t>
      </w:r>
      <w:r>
        <w:rPr>
          <w:color w:val="105C84"/>
          <w:spacing w:val="15"/>
        </w:rPr>
        <w:t> </w:t>
      </w:r>
      <w:r>
        <w:rPr>
          <w:color w:val="105C84"/>
        </w:rPr>
        <w:t>variety</w:t>
      </w:r>
      <w:r>
        <w:rPr>
          <w:color w:val="105C84"/>
          <w:spacing w:val="15"/>
        </w:rPr>
        <w:t> </w:t>
      </w:r>
      <w:r>
        <w:rPr>
          <w:color w:val="105C84"/>
        </w:rPr>
        <w:t>of</w:t>
      </w:r>
      <w:r>
        <w:rPr>
          <w:color w:val="105C84"/>
          <w:spacing w:val="15"/>
        </w:rPr>
        <w:t> </w:t>
      </w:r>
      <w:r>
        <w:rPr>
          <w:color w:val="105C84"/>
        </w:rPr>
        <w:t>supports</w:t>
      </w:r>
      <w:r>
        <w:rPr>
          <w:color w:val="105C84"/>
          <w:spacing w:val="15"/>
        </w:rPr>
        <w:t> </w:t>
      </w:r>
      <w:r>
        <w:rPr>
          <w:color w:val="105C84"/>
        </w:rPr>
        <w:t>and</w:t>
      </w:r>
      <w:r>
        <w:rPr>
          <w:color w:val="105C84"/>
          <w:spacing w:val="15"/>
        </w:rPr>
        <w:t> </w:t>
      </w:r>
      <w:r>
        <w:rPr>
          <w:color w:val="105C84"/>
        </w:rPr>
        <w:t>services</w:t>
      </w:r>
      <w:r>
        <w:rPr>
          <w:color w:val="105C84"/>
          <w:spacing w:val="15"/>
        </w:rPr>
        <w:t> </w:t>
      </w:r>
      <w:r>
        <w:rPr>
          <w:color w:val="105C84"/>
        </w:rPr>
        <w:t>that</w:t>
      </w:r>
    </w:p>
    <w:p>
      <w:pPr>
        <w:pStyle w:val="BodyText"/>
        <w:spacing w:line="247" w:lineRule="auto"/>
        <w:ind w:left="1079" w:right="59"/>
      </w:pPr>
      <w:r>
        <w:rPr>
          <w:color w:val="105C84"/>
        </w:rPr>
        <w:t>would be strategically provided by community and county-based service providers in rural areas. The premise of the community school strategy is to coordinate vital resources within a school district,</w:t>
      </w:r>
      <w:r>
        <w:rPr>
          <w:color w:val="105C84"/>
          <w:spacing w:val="40"/>
        </w:rPr>
        <w:t> </w:t>
      </w:r>
      <w:r>
        <w:rPr>
          <w:color w:val="105C84"/>
        </w:rPr>
        <w:t>county, and across a region.</w:t>
      </w:r>
    </w:p>
    <w:p>
      <w:pPr>
        <w:pStyle w:val="BodyText"/>
        <w:spacing w:before="16"/>
      </w:pPr>
    </w:p>
    <w:p>
      <w:pPr>
        <w:pStyle w:val="Heading6"/>
      </w:pPr>
      <w:r>
        <w:rPr>
          <w:color w:val="105C84"/>
          <w:spacing w:val="-4"/>
        </w:rPr>
        <w:t>Community</w:t>
      </w:r>
      <w:r>
        <w:rPr>
          <w:color w:val="105C84"/>
          <w:spacing w:val="-2"/>
        </w:rPr>
        <w:t> </w:t>
      </w:r>
      <w:r>
        <w:rPr>
          <w:color w:val="105C84"/>
          <w:spacing w:val="-4"/>
        </w:rPr>
        <w:t>Health</w:t>
      </w:r>
      <w:r>
        <w:rPr>
          <w:color w:val="105C84"/>
          <w:spacing w:val="-2"/>
        </w:rPr>
        <w:t> </w:t>
      </w:r>
      <w:r>
        <w:rPr>
          <w:color w:val="105C84"/>
          <w:spacing w:val="-4"/>
        </w:rPr>
        <w:t>Improvement</w:t>
      </w:r>
      <w:r>
        <w:rPr>
          <w:color w:val="105C84"/>
          <w:spacing w:val="-2"/>
        </w:rPr>
        <w:t> </w:t>
      </w:r>
      <w:r>
        <w:rPr>
          <w:color w:val="105C84"/>
          <w:spacing w:val="-4"/>
        </w:rPr>
        <w:t>Plan/Community</w:t>
      </w:r>
      <w:r>
        <w:rPr>
          <w:color w:val="105C84"/>
          <w:spacing w:val="-2"/>
        </w:rPr>
        <w:t> </w:t>
      </w:r>
      <w:r>
        <w:rPr>
          <w:color w:val="105C84"/>
          <w:spacing w:val="-4"/>
        </w:rPr>
        <w:t>Service</w:t>
      </w:r>
      <w:r>
        <w:rPr>
          <w:color w:val="105C84"/>
          <w:spacing w:val="-2"/>
        </w:rPr>
        <w:t> </w:t>
      </w:r>
      <w:r>
        <w:rPr>
          <w:color w:val="105C84"/>
          <w:spacing w:val="-4"/>
        </w:rPr>
        <w:t>Plan</w:t>
      </w:r>
    </w:p>
    <w:p>
      <w:pPr>
        <w:pStyle w:val="BodyText"/>
        <w:spacing w:line="247" w:lineRule="auto" w:before="268"/>
        <w:ind w:left="1080" w:right="59"/>
      </w:pPr>
      <w:r>
        <w:rPr>
          <w:color w:val="105C84"/>
        </w:rPr>
        <w:t>As previously discussed in the executive summary, the MAPP process was used to help create the Community Health Assessment and Community Health Improvement Plan. County specific pre-read documents were provided to prioritization and Wayne Health Improvement Partnership (WHIP) group</w:t>
      </w:r>
      <w:r>
        <w:rPr>
          <w:color w:val="105C84"/>
          <w:spacing w:val="40"/>
        </w:rPr>
        <w:t> </w:t>
      </w:r>
      <w:r>
        <w:rPr>
          <w:color w:val="105C84"/>
        </w:rPr>
        <w:t>members which included updated data measures for each of the five priority areas outlined in the</w:t>
      </w:r>
      <w:r>
        <w:rPr>
          <w:color w:val="105C84"/>
          <w:spacing w:val="40"/>
        </w:rPr>
        <w:t> </w:t>
      </w:r>
      <w:r>
        <w:rPr>
          <w:color w:val="105C84"/>
        </w:rPr>
        <w:t>Prevention Agenda (please see executive summary for more information on pre-read documents).</w:t>
      </w:r>
    </w:p>
    <w:p>
      <w:pPr>
        <w:pStyle w:val="Heading8"/>
        <w:spacing w:line="250" w:lineRule="exact"/>
      </w:pPr>
      <w:r>
        <w:rPr>
          <w:color w:val="105C84"/>
        </w:rPr>
        <w:t>A</w:t>
      </w:r>
      <w:r>
        <w:rPr>
          <w:color w:val="105C84"/>
          <w:spacing w:val="-6"/>
        </w:rPr>
        <w:t> </w:t>
      </w:r>
      <w:r>
        <w:rPr>
          <w:color w:val="105C84"/>
        </w:rPr>
        <w:t>variety</w:t>
      </w:r>
      <w:r>
        <w:rPr>
          <w:color w:val="105C84"/>
          <w:spacing w:val="-6"/>
        </w:rPr>
        <w:t> </w:t>
      </w:r>
      <w:r>
        <w:rPr>
          <w:color w:val="105C84"/>
        </w:rPr>
        <w:t>of</w:t>
      </w:r>
      <w:r>
        <w:rPr>
          <w:color w:val="105C84"/>
          <w:spacing w:val="-6"/>
        </w:rPr>
        <w:t> </w:t>
      </w:r>
      <w:r>
        <w:rPr>
          <w:color w:val="105C84"/>
        </w:rPr>
        <w:t>partners</w:t>
      </w:r>
      <w:r>
        <w:rPr>
          <w:color w:val="105C84"/>
          <w:spacing w:val="-6"/>
        </w:rPr>
        <w:t> </w:t>
      </w:r>
      <w:r>
        <w:rPr>
          <w:color w:val="105C84"/>
        </w:rPr>
        <w:t>were</w:t>
      </w:r>
      <w:r>
        <w:rPr>
          <w:color w:val="105C84"/>
          <w:spacing w:val="-6"/>
        </w:rPr>
        <w:t> </w:t>
      </w:r>
      <w:r>
        <w:rPr>
          <w:color w:val="105C84"/>
        </w:rPr>
        <w:t>engaged</w:t>
      </w:r>
      <w:r>
        <w:rPr>
          <w:color w:val="105C84"/>
          <w:spacing w:val="-6"/>
        </w:rPr>
        <w:t> </w:t>
      </w:r>
      <w:r>
        <w:rPr>
          <w:color w:val="105C84"/>
        </w:rPr>
        <w:t>in</w:t>
      </w:r>
      <w:r>
        <w:rPr>
          <w:color w:val="105C84"/>
          <w:spacing w:val="-5"/>
        </w:rPr>
        <w:t> </w:t>
      </w:r>
      <w:r>
        <w:rPr>
          <w:color w:val="105C84"/>
        </w:rPr>
        <w:t>Wayne</w:t>
      </w:r>
      <w:r>
        <w:rPr>
          <w:color w:val="105C84"/>
          <w:spacing w:val="-6"/>
        </w:rPr>
        <w:t> </w:t>
      </w:r>
      <w:r>
        <w:rPr>
          <w:color w:val="105C84"/>
        </w:rPr>
        <w:t>County’s</w:t>
      </w:r>
      <w:r>
        <w:rPr>
          <w:color w:val="105C84"/>
          <w:spacing w:val="-6"/>
        </w:rPr>
        <w:t> </w:t>
      </w:r>
      <w:r>
        <w:rPr>
          <w:color w:val="105C84"/>
        </w:rPr>
        <w:t>specific</w:t>
      </w:r>
      <w:r>
        <w:rPr>
          <w:color w:val="105C84"/>
          <w:spacing w:val="-6"/>
        </w:rPr>
        <w:t> </w:t>
      </w:r>
      <w:r>
        <w:rPr>
          <w:color w:val="105C84"/>
        </w:rPr>
        <w:t>process</w:t>
      </w:r>
      <w:r>
        <w:rPr>
          <w:color w:val="105C84"/>
          <w:spacing w:val="-6"/>
        </w:rPr>
        <w:t> </w:t>
      </w:r>
      <w:r>
        <w:rPr>
          <w:color w:val="105C84"/>
          <w:spacing w:val="-2"/>
        </w:rPr>
        <w:t>including:</w:t>
      </w:r>
    </w:p>
    <w:p>
      <w:pPr>
        <w:pStyle w:val="BodyText"/>
        <w:spacing w:before="6"/>
        <w:rPr>
          <w:b/>
          <w:sz w:val="18"/>
        </w:rPr>
      </w:pPr>
    </w:p>
    <w:p>
      <w:pPr>
        <w:spacing w:line="240" w:lineRule="auto"/>
        <w:ind w:left="1079" w:right="-87" w:firstLine="0"/>
        <w:rPr>
          <w:sz w:val="20"/>
        </w:rPr>
      </w:pPr>
      <w:r>
        <w:rPr>
          <w:sz w:val="20"/>
        </w:rPr>
        <mc:AlternateContent>
          <mc:Choice Requires="wps">
            <w:drawing>
              <wp:inline distT="0" distB="0" distL="0" distR="0">
                <wp:extent cx="6420485" cy="318770"/>
                <wp:effectExtent l="9525" t="0" r="0" b="5079"/>
                <wp:docPr id="1539" name="Textbox 1539"/>
                <wp:cNvGraphicFramePr>
                  <a:graphicFrameLocks/>
                </wp:cNvGraphicFramePr>
                <a:graphic>
                  <a:graphicData uri="http://schemas.microsoft.com/office/word/2010/wordprocessingShape">
                    <wps:wsp>
                      <wps:cNvPr id="1539" name="Textbox 1539"/>
                      <wps:cNvSpPr txBox="1"/>
                      <wps:spPr>
                        <a:xfrm>
                          <a:off x="0" y="0"/>
                          <a:ext cx="6420485" cy="318770"/>
                        </a:xfrm>
                        <a:prstGeom prst="rect">
                          <a:avLst/>
                        </a:prstGeom>
                        <a:solidFill>
                          <a:srgbClr val="939598"/>
                        </a:solidFill>
                        <a:ln w="3175">
                          <a:solidFill>
                            <a:srgbClr val="636466"/>
                          </a:solidFill>
                          <a:prstDash val="solid"/>
                        </a:ln>
                      </wps:spPr>
                      <wps:txbx>
                        <w:txbxContent>
                          <w:p>
                            <w:pPr>
                              <w:spacing w:before="160"/>
                              <w:ind w:left="2" w:right="0" w:firstLine="0"/>
                              <w:jc w:val="center"/>
                              <w:rPr>
                                <w:b/>
                                <w:color w:val="000000"/>
                                <w:sz w:val="20"/>
                              </w:rPr>
                            </w:pPr>
                            <w:r>
                              <w:rPr>
                                <w:b/>
                                <w:color w:val="FFFFFF"/>
                                <w:sz w:val="20"/>
                              </w:rPr>
                              <w:t>WAYNE</w:t>
                            </w:r>
                            <w:r>
                              <w:rPr>
                                <w:b/>
                                <w:color w:val="FFFFFF"/>
                                <w:spacing w:val="17"/>
                                <w:sz w:val="20"/>
                              </w:rPr>
                              <w:t> </w:t>
                            </w:r>
                            <w:r>
                              <w:rPr>
                                <w:b/>
                                <w:color w:val="FFFFFF"/>
                                <w:sz w:val="20"/>
                              </w:rPr>
                              <w:t>COUNTY</w:t>
                            </w:r>
                            <w:r>
                              <w:rPr>
                                <w:b/>
                                <w:color w:val="FFFFFF"/>
                                <w:spacing w:val="17"/>
                                <w:sz w:val="20"/>
                              </w:rPr>
                              <w:t> </w:t>
                            </w:r>
                            <w:r>
                              <w:rPr>
                                <w:b/>
                                <w:color w:val="FFFFFF"/>
                                <w:sz w:val="20"/>
                              </w:rPr>
                              <w:t>PRIORITIZATION</w:t>
                            </w:r>
                            <w:r>
                              <w:rPr>
                                <w:b/>
                                <w:color w:val="FFFFFF"/>
                                <w:spacing w:val="18"/>
                                <w:sz w:val="20"/>
                              </w:rPr>
                              <w:t> </w:t>
                            </w:r>
                            <w:r>
                              <w:rPr>
                                <w:b/>
                                <w:color w:val="FFFFFF"/>
                                <w:spacing w:val="-2"/>
                                <w:sz w:val="20"/>
                              </w:rPr>
                              <w:t>AGENCIES</w:t>
                            </w:r>
                          </w:p>
                        </w:txbxContent>
                      </wps:txbx>
                      <wps:bodyPr wrap="square" lIns="0" tIns="0" rIns="0" bIns="0" rtlCol="0">
                        <a:noAutofit/>
                      </wps:bodyPr>
                    </wps:wsp>
                  </a:graphicData>
                </a:graphic>
              </wp:inline>
            </w:drawing>
          </mc:Choice>
          <mc:Fallback>
            <w:pict>
              <v:shape style="width:505.55pt;height:25.1pt;mso-position-horizontal-relative:char;mso-position-vertical-relative:line" type="#_x0000_t202" id="docshape1221" filled="true" fillcolor="#939598" stroked="true" strokeweight=".25pt" strokecolor="#636466">
                <w10:anchorlock/>
                <v:textbox inset="0,0,0,0">
                  <w:txbxContent>
                    <w:p>
                      <w:pPr>
                        <w:spacing w:before="160"/>
                        <w:ind w:left="2" w:right="0" w:firstLine="0"/>
                        <w:jc w:val="center"/>
                        <w:rPr>
                          <w:b/>
                          <w:color w:val="000000"/>
                          <w:sz w:val="20"/>
                        </w:rPr>
                      </w:pPr>
                      <w:r>
                        <w:rPr>
                          <w:b/>
                          <w:color w:val="FFFFFF"/>
                          <w:sz w:val="20"/>
                        </w:rPr>
                        <w:t>WAYNE</w:t>
                      </w:r>
                      <w:r>
                        <w:rPr>
                          <w:b/>
                          <w:color w:val="FFFFFF"/>
                          <w:spacing w:val="17"/>
                          <w:sz w:val="20"/>
                        </w:rPr>
                        <w:t> </w:t>
                      </w:r>
                      <w:r>
                        <w:rPr>
                          <w:b/>
                          <w:color w:val="FFFFFF"/>
                          <w:sz w:val="20"/>
                        </w:rPr>
                        <w:t>COUNTY</w:t>
                      </w:r>
                      <w:r>
                        <w:rPr>
                          <w:b/>
                          <w:color w:val="FFFFFF"/>
                          <w:spacing w:val="17"/>
                          <w:sz w:val="20"/>
                        </w:rPr>
                        <w:t> </w:t>
                      </w:r>
                      <w:r>
                        <w:rPr>
                          <w:b/>
                          <w:color w:val="FFFFFF"/>
                          <w:sz w:val="20"/>
                        </w:rPr>
                        <w:t>PRIORITIZATION</w:t>
                      </w:r>
                      <w:r>
                        <w:rPr>
                          <w:b/>
                          <w:color w:val="FFFFFF"/>
                          <w:spacing w:val="18"/>
                          <w:sz w:val="20"/>
                        </w:rPr>
                        <w:t> </w:t>
                      </w:r>
                      <w:r>
                        <w:rPr>
                          <w:b/>
                          <w:color w:val="FFFFFF"/>
                          <w:spacing w:val="-2"/>
                          <w:sz w:val="20"/>
                        </w:rPr>
                        <w:t>AGENCIES</w:t>
                      </w:r>
                    </w:p>
                  </w:txbxContent>
                </v:textbox>
                <v:fill type="solid"/>
                <v:stroke dashstyle="solid"/>
              </v:shape>
            </w:pict>
          </mc:Fallback>
        </mc:AlternateContent>
      </w:r>
      <w:r>
        <w:rPr>
          <w:sz w:val="20"/>
        </w:rPr>
      </w:r>
    </w:p>
    <w:p>
      <w:pPr>
        <w:pStyle w:val="BodyText"/>
        <w:rPr>
          <w:b/>
          <w:sz w:val="5"/>
        </w:rPr>
      </w:pPr>
    </w:p>
    <w:p>
      <w:pPr>
        <w:pStyle w:val="BodyText"/>
        <w:spacing w:line="247" w:lineRule="auto" w:before="114"/>
        <w:ind w:left="1079" w:right="499"/>
      </w:pPr>
      <w:r>
        <w:rPr/>
        <w:br w:type="column"/>
      </w:r>
      <w:r>
        <w:rPr>
          <w:color w:val="105C84"/>
        </w:rPr>
        <w:t>A regional health survey and focus groups engaged the community at large throughout the</w:t>
      </w:r>
      <w:r>
        <w:rPr>
          <w:color w:val="105C84"/>
          <w:spacing w:val="40"/>
        </w:rPr>
        <w:t> </w:t>
      </w:r>
      <w:r>
        <w:rPr>
          <w:color w:val="105C84"/>
        </w:rPr>
        <w:t>assessment</w:t>
      </w:r>
      <w:r>
        <w:rPr>
          <w:color w:val="105C84"/>
          <w:spacing w:val="38"/>
        </w:rPr>
        <w:t> </w:t>
      </w:r>
      <w:r>
        <w:rPr>
          <w:color w:val="105C84"/>
        </w:rPr>
        <w:t>period.</w:t>
      </w:r>
      <w:r>
        <w:rPr>
          <w:color w:val="105C84"/>
          <w:spacing w:val="38"/>
        </w:rPr>
        <w:t> </w:t>
      </w:r>
      <w:r>
        <w:rPr>
          <w:color w:val="105C84"/>
        </w:rPr>
        <w:t>Community</w:t>
      </w:r>
      <w:r>
        <w:rPr>
          <w:color w:val="105C84"/>
          <w:spacing w:val="38"/>
        </w:rPr>
        <w:t> </w:t>
      </w:r>
      <w:r>
        <w:rPr>
          <w:color w:val="105C84"/>
        </w:rPr>
        <w:t>members</w:t>
      </w:r>
      <w:r>
        <w:rPr>
          <w:color w:val="105C84"/>
          <w:spacing w:val="38"/>
        </w:rPr>
        <w:t> </w:t>
      </w:r>
      <w:r>
        <w:rPr>
          <w:color w:val="105C84"/>
        </w:rPr>
        <w:t>were</w:t>
      </w:r>
      <w:r>
        <w:rPr>
          <w:color w:val="105C84"/>
          <w:spacing w:val="38"/>
        </w:rPr>
        <w:t> </w:t>
      </w:r>
      <w:r>
        <w:rPr>
          <w:color w:val="105C84"/>
        </w:rPr>
        <w:t>also</w:t>
      </w:r>
      <w:r>
        <w:rPr>
          <w:color w:val="105C84"/>
          <w:spacing w:val="38"/>
        </w:rPr>
        <w:t> </w:t>
      </w:r>
      <w:r>
        <w:rPr>
          <w:color w:val="105C84"/>
        </w:rPr>
        <w:t>invited</w:t>
      </w:r>
      <w:r>
        <w:rPr>
          <w:color w:val="105C84"/>
          <w:spacing w:val="38"/>
        </w:rPr>
        <w:t> </w:t>
      </w:r>
      <w:r>
        <w:rPr>
          <w:color w:val="105C84"/>
        </w:rPr>
        <w:t>to</w:t>
      </w:r>
      <w:r>
        <w:rPr>
          <w:color w:val="105C84"/>
          <w:spacing w:val="38"/>
        </w:rPr>
        <w:t> </w:t>
      </w:r>
      <w:r>
        <w:rPr>
          <w:color w:val="105C84"/>
        </w:rPr>
        <w:t>attend</w:t>
      </w:r>
      <w:r>
        <w:rPr>
          <w:color w:val="105C84"/>
          <w:spacing w:val="38"/>
        </w:rPr>
        <w:t> </w:t>
      </w:r>
      <w:r>
        <w:rPr>
          <w:color w:val="105C84"/>
        </w:rPr>
        <w:t>the</w:t>
      </w:r>
      <w:r>
        <w:rPr>
          <w:color w:val="105C84"/>
          <w:spacing w:val="38"/>
        </w:rPr>
        <w:t> </w:t>
      </w:r>
      <w:r>
        <w:rPr>
          <w:color w:val="105C84"/>
        </w:rPr>
        <w:t>prioritization</w:t>
      </w:r>
      <w:r>
        <w:rPr>
          <w:color w:val="105C84"/>
          <w:spacing w:val="38"/>
        </w:rPr>
        <w:t> </w:t>
      </w:r>
      <w:r>
        <w:rPr>
          <w:color w:val="105C84"/>
        </w:rPr>
        <w:t>meeting</w:t>
      </w:r>
      <w:r>
        <w:rPr>
          <w:color w:val="105C84"/>
          <w:spacing w:val="38"/>
        </w:rPr>
        <w:t> </w:t>
      </w:r>
      <w:r>
        <w:rPr>
          <w:color w:val="105C84"/>
        </w:rPr>
        <w:t>to help inform and select the 2019-2021 priority areas. Preliminary findings of the assessment were shared with Wayne Health Improvement Partnership members, prioritization meeting attendees and</w:t>
      </w:r>
      <w:r>
        <w:rPr>
          <w:color w:val="105C84"/>
          <w:spacing w:val="40"/>
        </w:rPr>
        <w:t> </w:t>
      </w:r>
      <w:r>
        <w:rPr>
          <w:color w:val="105C84"/>
        </w:rPr>
        <w:t>the</w:t>
      </w:r>
      <w:r>
        <w:rPr>
          <w:color w:val="105C84"/>
          <w:spacing w:val="40"/>
        </w:rPr>
        <w:t> </w:t>
      </w:r>
      <w:r>
        <w:rPr>
          <w:color w:val="105C84"/>
        </w:rPr>
        <w:t>Health</w:t>
      </w:r>
      <w:r>
        <w:rPr>
          <w:color w:val="105C84"/>
          <w:spacing w:val="40"/>
        </w:rPr>
        <w:t> </w:t>
      </w:r>
      <w:r>
        <w:rPr>
          <w:color w:val="105C84"/>
        </w:rPr>
        <w:t>and</w:t>
      </w:r>
      <w:r>
        <w:rPr>
          <w:color w:val="105C84"/>
          <w:spacing w:val="40"/>
        </w:rPr>
        <w:t> </w:t>
      </w:r>
      <w:r>
        <w:rPr>
          <w:color w:val="105C84"/>
        </w:rPr>
        <w:t>Medical</w:t>
      </w:r>
      <w:r>
        <w:rPr>
          <w:color w:val="105C84"/>
          <w:spacing w:val="40"/>
        </w:rPr>
        <w:t> </w:t>
      </w:r>
      <w:r>
        <w:rPr>
          <w:color w:val="105C84"/>
        </w:rPr>
        <w:t>Committee</w:t>
      </w:r>
      <w:r>
        <w:rPr>
          <w:color w:val="105C84"/>
          <w:spacing w:val="40"/>
        </w:rPr>
        <w:t> </w:t>
      </w:r>
      <w:r>
        <w:rPr>
          <w:color w:val="105C84"/>
        </w:rPr>
        <w:t>(public</w:t>
      </w:r>
      <w:r>
        <w:rPr>
          <w:color w:val="105C84"/>
          <w:spacing w:val="40"/>
        </w:rPr>
        <w:t> </w:t>
      </w:r>
      <w:r>
        <w:rPr>
          <w:color w:val="105C84"/>
        </w:rPr>
        <w:t>health’s</w:t>
      </w:r>
      <w:r>
        <w:rPr>
          <w:color w:val="105C84"/>
          <w:spacing w:val="40"/>
        </w:rPr>
        <w:t> </w:t>
      </w:r>
      <w:r>
        <w:rPr>
          <w:color w:val="105C84"/>
        </w:rPr>
        <w:t>governing</w:t>
      </w:r>
      <w:r>
        <w:rPr>
          <w:color w:val="105C84"/>
          <w:spacing w:val="40"/>
        </w:rPr>
        <w:t> </w:t>
      </w:r>
      <w:r>
        <w:rPr>
          <w:color w:val="105C84"/>
        </w:rPr>
        <w:t>entity).</w:t>
      </w:r>
    </w:p>
    <w:p>
      <w:pPr>
        <w:pStyle w:val="BodyText"/>
        <w:spacing w:line="247" w:lineRule="auto" w:before="177"/>
        <w:ind w:left="1079" w:right="494"/>
      </w:pPr>
      <w:r>
        <w:rPr>
          <w:color w:val="105C84"/>
        </w:rPr>
        <w:t>Specific</w:t>
      </w:r>
      <w:r>
        <w:rPr>
          <w:color w:val="105C84"/>
          <w:spacing w:val="20"/>
        </w:rPr>
        <w:t> </w:t>
      </w:r>
      <w:r>
        <w:rPr>
          <w:color w:val="105C84"/>
        </w:rPr>
        <w:t>interventions</w:t>
      </w:r>
      <w:r>
        <w:rPr>
          <w:color w:val="105C84"/>
          <w:spacing w:val="20"/>
        </w:rPr>
        <w:t> </w:t>
      </w:r>
      <w:r>
        <w:rPr>
          <w:color w:val="105C84"/>
        </w:rPr>
        <w:t>to</w:t>
      </w:r>
      <w:r>
        <w:rPr>
          <w:color w:val="105C84"/>
          <w:spacing w:val="20"/>
        </w:rPr>
        <w:t> </w:t>
      </w:r>
      <w:r>
        <w:rPr>
          <w:color w:val="105C84"/>
        </w:rPr>
        <w:t>address</w:t>
      </w:r>
      <w:r>
        <w:rPr>
          <w:color w:val="105C84"/>
          <w:spacing w:val="20"/>
        </w:rPr>
        <w:t> </w:t>
      </w:r>
      <w:r>
        <w:rPr>
          <w:color w:val="105C84"/>
        </w:rPr>
        <w:t>the</w:t>
      </w:r>
      <w:r>
        <w:rPr>
          <w:color w:val="105C84"/>
          <w:spacing w:val="20"/>
        </w:rPr>
        <w:t> </w:t>
      </w:r>
      <w:r>
        <w:rPr>
          <w:color w:val="105C84"/>
        </w:rPr>
        <w:t>priority</w:t>
      </w:r>
      <w:r>
        <w:rPr>
          <w:color w:val="105C84"/>
          <w:spacing w:val="20"/>
        </w:rPr>
        <w:t> </w:t>
      </w:r>
      <w:r>
        <w:rPr>
          <w:color w:val="105C84"/>
        </w:rPr>
        <w:t>areas</w:t>
      </w:r>
      <w:r>
        <w:rPr>
          <w:color w:val="105C84"/>
          <w:spacing w:val="20"/>
        </w:rPr>
        <w:t> </w:t>
      </w:r>
      <w:r>
        <w:rPr>
          <w:color w:val="105C84"/>
        </w:rPr>
        <w:t>were</w:t>
      </w:r>
      <w:r>
        <w:rPr>
          <w:color w:val="105C84"/>
          <w:spacing w:val="20"/>
        </w:rPr>
        <w:t> </w:t>
      </w:r>
      <w:r>
        <w:rPr>
          <w:color w:val="105C84"/>
        </w:rPr>
        <w:t>selected</w:t>
      </w:r>
      <w:r>
        <w:rPr>
          <w:color w:val="105C84"/>
          <w:spacing w:val="20"/>
        </w:rPr>
        <w:t> </w:t>
      </w:r>
      <w:r>
        <w:rPr>
          <w:color w:val="105C84"/>
        </w:rPr>
        <w:t>at</w:t>
      </w:r>
      <w:r>
        <w:rPr>
          <w:color w:val="105C84"/>
          <w:spacing w:val="20"/>
        </w:rPr>
        <w:t> </w:t>
      </w:r>
      <w:r>
        <w:rPr>
          <w:color w:val="105C84"/>
        </w:rPr>
        <w:t>WHIP</w:t>
      </w:r>
      <w:r>
        <w:rPr>
          <w:color w:val="105C84"/>
          <w:spacing w:val="20"/>
        </w:rPr>
        <w:t> </w:t>
      </w:r>
      <w:r>
        <w:rPr>
          <w:color w:val="105C84"/>
        </w:rPr>
        <w:t>meetings</w:t>
      </w:r>
      <w:r>
        <w:rPr>
          <w:color w:val="105C84"/>
          <w:spacing w:val="20"/>
        </w:rPr>
        <w:t> </w:t>
      </w:r>
      <w:r>
        <w:rPr>
          <w:color w:val="105C84"/>
        </w:rPr>
        <w:t>and</w:t>
      </w:r>
      <w:r>
        <w:rPr>
          <w:color w:val="105C84"/>
          <w:spacing w:val="20"/>
        </w:rPr>
        <w:t> </w:t>
      </w:r>
      <w:r>
        <w:rPr>
          <w:color w:val="105C84"/>
        </w:rPr>
        <w:t>were</w:t>
      </w:r>
      <w:r>
        <w:rPr>
          <w:color w:val="105C84"/>
          <w:spacing w:val="20"/>
        </w:rPr>
        <w:t> </w:t>
      </w:r>
      <w:r>
        <w:rPr>
          <w:color w:val="105C84"/>
        </w:rPr>
        <w:t>a group effort. Each member was expected to highlight where resources already existed and could be</w:t>
      </w:r>
      <w:r>
        <w:rPr>
          <w:color w:val="105C84"/>
          <w:spacing w:val="40"/>
        </w:rPr>
        <w:t> </w:t>
      </w:r>
      <w:r>
        <w:rPr>
          <w:color w:val="105C84"/>
        </w:rPr>
        <w:t>leveraged.</w:t>
      </w:r>
      <w:r>
        <w:rPr>
          <w:color w:val="105C84"/>
          <w:spacing w:val="39"/>
        </w:rPr>
        <w:t> </w:t>
      </w:r>
      <w:r>
        <w:rPr>
          <w:color w:val="105C84"/>
        </w:rPr>
        <w:t>Coordinated</w:t>
      </w:r>
      <w:r>
        <w:rPr>
          <w:color w:val="105C84"/>
          <w:spacing w:val="39"/>
        </w:rPr>
        <w:t> </w:t>
      </w:r>
      <w:r>
        <w:rPr>
          <w:color w:val="105C84"/>
        </w:rPr>
        <w:t>efforts</w:t>
      </w:r>
      <w:r>
        <w:rPr>
          <w:color w:val="105C84"/>
          <w:spacing w:val="39"/>
        </w:rPr>
        <w:t> </w:t>
      </w:r>
      <w:r>
        <w:rPr>
          <w:color w:val="105C84"/>
        </w:rPr>
        <w:t>to</w:t>
      </w:r>
      <w:r>
        <w:rPr>
          <w:color w:val="105C84"/>
          <w:spacing w:val="39"/>
        </w:rPr>
        <w:t> </w:t>
      </w:r>
      <w:r>
        <w:rPr>
          <w:color w:val="105C84"/>
        </w:rPr>
        <w:t>promote</w:t>
      </w:r>
      <w:r>
        <w:rPr>
          <w:color w:val="105C84"/>
          <w:spacing w:val="39"/>
        </w:rPr>
        <w:t> </w:t>
      </w:r>
      <w:r>
        <w:rPr>
          <w:color w:val="105C84"/>
        </w:rPr>
        <w:t>and</w:t>
      </w:r>
      <w:r>
        <w:rPr>
          <w:color w:val="105C84"/>
          <w:spacing w:val="39"/>
        </w:rPr>
        <w:t> </w:t>
      </w:r>
      <w:r>
        <w:rPr>
          <w:color w:val="105C84"/>
        </w:rPr>
        <w:t>engage</w:t>
      </w:r>
      <w:r>
        <w:rPr>
          <w:color w:val="105C84"/>
          <w:spacing w:val="39"/>
        </w:rPr>
        <w:t> </w:t>
      </w:r>
      <w:r>
        <w:rPr>
          <w:color w:val="105C84"/>
        </w:rPr>
        <w:t>community</w:t>
      </w:r>
      <w:r>
        <w:rPr>
          <w:color w:val="105C84"/>
          <w:spacing w:val="39"/>
        </w:rPr>
        <w:t> </w:t>
      </w:r>
      <w:r>
        <w:rPr>
          <w:color w:val="105C84"/>
        </w:rPr>
        <w:t>members</w:t>
      </w:r>
      <w:r>
        <w:rPr>
          <w:color w:val="105C84"/>
          <w:spacing w:val="39"/>
        </w:rPr>
        <w:t> </w:t>
      </w:r>
      <w:r>
        <w:rPr>
          <w:color w:val="105C84"/>
        </w:rPr>
        <w:t>in</w:t>
      </w:r>
      <w:r>
        <w:rPr>
          <w:color w:val="105C84"/>
          <w:spacing w:val="39"/>
        </w:rPr>
        <w:t> </w:t>
      </w:r>
      <w:r>
        <w:rPr>
          <w:color w:val="105C84"/>
        </w:rPr>
        <w:t>selected</w:t>
      </w:r>
      <w:r>
        <w:rPr>
          <w:color w:val="105C84"/>
          <w:spacing w:val="39"/>
        </w:rPr>
        <w:t> </w:t>
      </w:r>
      <w:r>
        <w:rPr>
          <w:color w:val="105C84"/>
        </w:rPr>
        <w:t>initiatives will take place. Wayne County plans to leverage resources from several different agencies including, but not limited to local hospitals and government agencies, community based organizations and</w:t>
      </w:r>
      <w:r>
        <w:rPr>
          <w:color w:val="105C84"/>
          <w:spacing w:val="80"/>
        </w:rPr>
        <w:t> </w:t>
      </w:r>
      <w:r>
        <w:rPr>
          <w:color w:val="105C84"/>
        </w:rPr>
        <w:t>school districts. A full description of objectives, interventions, process measures, partner roles and resources are available in the Wayne County Community Health Improvement Plan (Appendix G).</w:t>
      </w:r>
    </w:p>
    <w:p>
      <w:pPr>
        <w:pStyle w:val="BodyText"/>
        <w:spacing w:line="247" w:lineRule="auto"/>
        <w:ind w:left="1079"/>
      </w:pPr>
      <w:r>
        <w:rPr>
          <w:color w:val="105C84"/>
        </w:rPr>
        <w:t>Interventions selected are evidence based and strive to achieve health equity by focusing on creating greater access for the low-income population.</w:t>
      </w:r>
    </w:p>
    <w:p>
      <w:pPr>
        <w:pStyle w:val="BodyText"/>
        <w:spacing w:line="247" w:lineRule="auto" w:before="156"/>
        <w:ind w:left="1079" w:right="222"/>
      </w:pPr>
      <w:r>
        <w:rPr>
          <w:color w:val="105C84"/>
        </w:rPr>
        <w:t>The Community Health Improvement Plan progress and implementation will be overseen by WHIP, a group</w:t>
      </w:r>
      <w:r>
        <w:rPr>
          <w:color w:val="105C84"/>
          <w:spacing w:val="20"/>
        </w:rPr>
        <w:t> </w:t>
      </w:r>
      <w:r>
        <w:rPr>
          <w:color w:val="105C84"/>
        </w:rPr>
        <w:t>that</w:t>
      </w:r>
      <w:r>
        <w:rPr>
          <w:color w:val="105C84"/>
          <w:spacing w:val="20"/>
        </w:rPr>
        <w:t> </w:t>
      </w:r>
      <w:r>
        <w:rPr>
          <w:color w:val="105C84"/>
        </w:rPr>
        <w:t>meets</w:t>
      </w:r>
      <w:r>
        <w:rPr>
          <w:color w:val="105C84"/>
          <w:spacing w:val="20"/>
        </w:rPr>
        <w:t> </w:t>
      </w:r>
      <w:r>
        <w:rPr>
          <w:color w:val="105C84"/>
        </w:rPr>
        <w:t>monthly</w:t>
      </w:r>
      <w:r>
        <w:rPr>
          <w:color w:val="105C84"/>
          <w:spacing w:val="20"/>
        </w:rPr>
        <w:t> </w:t>
      </w:r>
      <w:r>
        <w:rPr>
          <w:color w:val="105C84"/>
        </w:rPr>
        <w:t>and</w:t>
      </w:r>
      <w:r>
        <w:rPr>
          <w:color w:val="105C84"/>
          <w:spacing w:val="20"/>
        </w:rPr>
        <w:t> </w:t>
      </w:r>
      <w:r>
        <w:rPr>
          <w:color w:val="105C84"/>
        </w:rPr>
        <w:t>brings</w:t>
      </w:r>
      <w:r>
        <w:rPr>
          <w:color w:val="105C84"/>
          <w:spacing w:val="20"/>
        </w:rPr>
        <w:t> </w:t>
      </w:r>
      <w:r>
        <w:rPr>
          <w:color w:val="105C84"/>
        </w:rPr>
        <w:t>together</w:t>
      </w:r>
      <w:r>
        <w:rPr>
          <w:color w:val="105C84"/>
          <w:spacing w:val="20"/>
        </w:rPr>
        <w:t> </w:t>
      </w:r>
      <w:r>
        <w:rPr>
          <w:color w:val="105C84"/>
        </w:rPr>
        <w:t>diverse</w:t>
      </w:r>
      <w:r>
        <w:rPr>
          <w:color w:val="105C84"/>
          <w:spacing w:val="20"/>
        </w:rPr>
        <w:t> </w:t>
      </w:r>
      <w:r>
        <w:rPr>
          <w:color w:val="105C84"/>
        </w:rPr>
        <w:t>partners</w:t>
      </w:r>
      <w:r>
        <w:rPr>
          <w:color w:val="105C84"/>
          <w:spacing w:val="20"/>
        </w:rPr>
        <w:t> </w:t>
      </w:r>
      <w:r>
        <w:rPr>
          <w:color w:val="105C84"/>
        </w:rPr>
        <w:t>to</w:t>
      </w:r>
      <w:r>
        <w:rPr>
          <w:color w:val="105C84"/>
          <w:spacing w:val="20"/>
        </w:rPr>
        <w:t> </w:t>
      </w:r>
      <w:r>
        <w:rPr>
          <w:color w:val="105C84"/>
        </w:rPr>
        <w:t>improve</w:t>
      </w:r>
      <w:r>
        <w:rPr>
          <w:color w:val="105C84"/>
          <w:spacing w:val="20"/>
        </w:rPr>
        <w:t> </w:t>
      </w:r>
      <w:r>
        <w:rPr>
          <w:color w:val="105C84"/>
        </w:rPr>
        <w:t>the</w:t>
      </w:r>
      <w:r>
        <w:rPr>
          <w:color w:val="105C84"/>
          <w:spacing w:val="20"/>
        </w:rPr>
        <w:t> </w:t>
      </w:r>
      <w:r>
        <w:rPr>
          <w:color w:val="105C84"/>
        </w:rPr>
        <w:t>health</w:t>
      </w:r>
      <w:r>
        <w:rPr>
          <w:color w:val="105C84"/>
          <w:spacing w:val="20"/>
        </w:rPr>
        <w:t> </w:t>
      </w:r>
      <w:r>
        <w:rPr>
          <w:color w:val="105C84"/>
        </w:rPr>
        <w:t>of</w:t>
      </w:r>
      <w:r>
        <w:rPr>
          <w:color w:val="105C84"/>
          <w:spacing w:val="20"/>
        </w:rPr>
        <w:t> </w:t>
      </w:r>
      <w:r>
        <w:rPr>
          <w:color w:val="105C84"/>
        </w:rPr>
        <w:t>its</w:t>
      </w:r>
      <w:r>
        <w:rPr>
          <w:color w:val="105C84"/>
          <w:spacing w:val="20"/>
        </w:rPr>
        <w:t> </w:t>
      </w:r>
      <w:r>
        <w:rPr>
          <w:color w:val="105C84"/>
        </w:rPr>
        <w:t>residents. Progress and relevant data on each measure will be regularly reviewed at these meetings. Group members will identify and address any mid-course corrections in interventions and processes that</w:t>
      </w:r>
    </w:p>
    <w:p>
      <w:pPr>
        <w:pStyle w:val="BodyText"/>
        <w:spacing w:after="0" w:line="247" w:lineRule="auto"/>
        <w:sectPr>
          <w:type w:val="continuous"/>
          <w:pgSz w:w="24480" w:h="15840" w:orient="landscape"/>
          <w:pgMar w:header="0" w:footer="0" w:top="0" w:bottom="280" w:left="0" w:right="720"/>
          <w:cols w:num="2" w:equalWidth="0">
            <w:col w:w="11182" w:space="1058"/>
            <w:col w:w="11520"/>
          </w:cols>
        </w:sectPr>
      </w:pPr>
    </w:p>
    <w:p>
      <w:pPr>
        <w:pStyle w:val="BodyText"/>
        <w:tabs>
          <w:tab w:pos="4659" w:val="left" w:leader="none"/>
        </w:tabs>
        <w:spacing w:line="530" w:lineRule="auto"/>
        <w:ind w:left="1162"/>
        <w:rPr>
          <w:position w:val="13"/>
        </w:rPr>
      </w:pPr>
      <w:r>
        <w:rPr>
          <w:position w:val="13"/>
        </w:rPr>
        <mc:AlternateContent>
          <mc:Choice Requires="wps">
            <w:drawing>
              <wp:anchor distT="0" distB="0" distL="0" distR="0" allowOverlap="1" layoutInCell="1" locked="0" behindDoc="0" simplePos="0" relativeHeight="15889920">
                <wp:simplePos x="0" y="0"/>
                <wp:positionH relativeFrom="page">
                  <wp:posOffset>2907792</wp:posOffset>
                </wp:positionH>
                <wp:positionV relativeFrom="paragraph">
                  <wp:posOffset>385837</wp:posOffset>
                </wp:positionV>
                <wp:extent cx="2007235" cy="1270"/>
                <wp:effectExtent l="0" t="0" r="0" b="0"/>
                <wp:wrapNone/>
                <wp:docPr id="1540" name="Graphic 1540"/>
                <wp:cNvGraphicFramePr>
                  <a:graphicFrameLocks/>
                </wp:cNvGraphicFramePr>
                <a:graphic>
                  <a:graphicData uri="http://schemas.microsoft.com/office/word/2010/wordprocessingShape">
                    <wps:wsp>
                      <wps:cNvPr id="1540" name="Graphic 1540"/>
                      <wps:cNvSpPr/>
                      <wps:spPr>
                        <a:xfrm>
                          <a:off x="0" y="0"/>
                          <a:ext cx="2007235" cy="1270"/>
                        </a:xfrm>
                        <a:custGeom>
                          <a:avLst/>
                          <a:gdLst/>
                          <a:ahLst/>
                          <a:cxnLst/>
                          <a:rect l="l" t="t" r="r" b="b"/>
                          <a:pathLst>
                            <a:path w="2007235" h="0">
                              <a:moveTo>
                                <a:pt x="0" y="0"/>
                              </a:moveTo>
                              <a:lnTo>
                                <a:pt x="2007108" y="0"/>
                              </a:lnTo>
                            </a:path>
                          </a:pathLst>
                        </a:custGeom>
                        <a:ln w="3175">
                          <a:solidFill>
                            <a:srgbClr val="63646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89920" from="228.960007pt,30.380869pt" to="387.000007pt,30.380869pt" stroked="true" strokeweight=".25pt" strokecolor="#636466">
                <v:stroke dashstyle="solid"/>
                <w10:wrap type="none"/>
              </v:line>
            </w:pict>
          </mc:Fallback>
        </mc:AlternateContent>
      </w:r>
      <w:r>
        <w:rPr>
          <w:position w:val="13"/>
        </w:rPr>
        <mc:AlternateContent>
          <mc:Choice Requires="wps">
            <w:drawing>
              <wp:anchor distT="0" distB="0" distL="0" distR="0" allowOverlap="1" layoutInCell="1" locked="0" behindDoc="0" simplePos="0" relativeHeight="15891968">
                <wp:simplePos x="0" y="0"/>
                <wp:positionH relativeFrom="page">
                  <wp:posOffset>687387</wp:posOffset>
                </wp:positionH>
                <wp:positionV relativeFrom="paragraph">
                  <wp:posOffset>385837</wp:posOffset>
                </wp:positionV>
                <wp:extent cx="2074545" cy="1270"/>
                <wp:effectExtent l="0" t="0" r="0" b="0"/>
                <wp:wrapNone/>
                <wp:docPr id="1541" name="Graphic 1541"/>
                <wp:cNvGraphicFramePr>
                  <a:graphicFrameLocks/>
                </wp:cNvGraphicFramePr>
                <a:graphic>
                  <a:graphicData uri="http://schemas.microsoft.com/office/word/2010/wordprocessingShape">
                    <wps:wsp>
                      <wps:cNvPr id="1541" name="Graphic 1541"/>
                      <wps:cNvSpPr/>
                      <wps:spPr>
                        <a:xfrm>
                          <a:off x="0" y="0"/>
                          <a:ext cx="2074545" cy="1270"/>
                        </a:xfrm>
                        <a:custGeom>
                          <a:avLst/>
                          <a:gdLst/>
                          <a:ahLst/>
                          <a:cxnLst/>
                          <a:rect l="l" t="t" r="r" b="b"/>
                          <a:pathLst>
                            <a:path w="2074545" h="0">
                              <a:moveTo>
                                <a:pt x="0" y="0"/>
                              </a:moveTo>
                              <a:lnTo>
                                <a:pt x="2074100" y="0"/>
                              </a:lnTo>
                            </a:path>
                          </a:pathLst>
                        </a:custGeom>
                        <a:ln w="3175">
                          <a:solidFill>
                            <a:srgbClr val="63646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91968" from="54.125pt,30.380869pt" to="217.44pt,30.380869pt" stroked="true" strokeweight=".25pt" strokecolor="#636466">
                <v:stroke dashstyle="solid"/>
                <w10:wrap type="none"/>
              </v:line>
            </w:pict>
          </mc:Fallback>
        </mc:AlternateContent>
      </w:r>
      <w:r>
        <w:rPr>
          <w:position w:val="13"/>
        </w:rPr>
        <mc:AlternateContent>
          <mc:Choice Requires="wps">
            <w:drawing>
              <wp:anchor distT="0" distB="0" distL="0" distR="0" allowOverlap="1" layoutInCell="1" locked="0" behindDoc="1" simplePos="0" relativeHeight="475119104">
                <wp:simplePos x="0" y="0"/>
                <wp:positionH relativeFrom="page">
                  <wp:posOffset>687387</wp:posOffset>
                </wp:positionH>
                <wp:positionV relativeFrom="paragraph">
                  <wp:posOffset>816621</wp:posOffset>
                </wp:positionV>
                <wp:extent cx="2074545" cy="1270"/>
                <wp:effectExtent l="0" t="0" r="0" b="0"/>
                <wp:wrapNone/>
                <wp:docPr id="1542" name="Graphic 1542"/>
                <wp:cNvGraphicFramePr>
                  <a:graphicFrameLocks/>
                </wp:cNvGraphicFramePr>
                <a:graphic>
                  <a:graphicData uri="http://schemas.microsoft.com/office/word/2010/wordprocessingShape">
                    <wps:wsp>
                      <wps:cNvPr id="1542" name="Graphic 1542"/>
                      <wps:cNvSpPr/>
                      <wps:spPr>
                        <a:xfrm>
                          <a:off x="0" y="0"/>
                          <a:ext cx="2074545" cy="1270"/>
                        </a:xfrm>
                        <a:custGeom>
                          <a:avLst/>
                          <a:gdLst/>
                          <a:ahLst/>
                          <a:cxnLst/>
                          <a:rect l="l" t="t" r="r" b="b"/>
                          <a:pathLst>
                            <a:path w="2074545" h="0">
                              <a:moveTo>
                                <a:pt x="0" y="0"/>
                              </a:moveTo>
                              <a:lnTo>
                                <a:pt x="2074100" y="0"/>
                              </a:lnTo>
                            </a:path>
                          </a:pathLst>
                        </a:custGeom>
                        <a:ln w="3175">
                          <a:solidFill>
                            <a:srgbClr val="63646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8197376" from="54.125pt,64.300873pt" to="217.44pt,64.300873pt" stroked="true" strokeweight=".25pt" strokecolor="#636466">
                <v:stroke dashstyle="solid"/>
                <w10:wrap type="none"/>
              </v:line>
            </w:pict>
          </mc:Fallback>
        </mc:AlternateContent>
      </w:r>
      <w:r>
        <w:rPr>
          <w:position w:val="13"/>
        </w:rPr>
        <mc:AlternateContent>
          <mc:Choice Requires="wps">
            <w:drawing>
              <wp:anchor distT="0" distB="0" distL="0" distR="0" allowOverlap="1" layoutInCell="1" locked="0" behindDoc="1" simplePos="0" relativeHeight="475120640">
                <wp:simplePos x="0" y="0"/>
                <wp:positionH relativeFrom="page">
                  <wp:posOffset>2958579</wp:posOffset>
                </wp:positionH>
                <wp:positionV relativeFrom="paragraph">
                  <wp:posOffset>165631</wp:posOffset>
                </wp:positionV>
                <wp:extent cx="1227455" cy="191135"/>
                <wp:effectExtent l="0" t="0" r="0" b="0"/>
                <wp:wrapNone/>
                <wp:docPr id="1543" name="Textbox 1543"/>
                <wp:cNvGraphicFramePr>
                  <a:graphicFrameLocks/>
                </wp:cNvGraphicFramePr>
                <a:graphic>
                  <a:graphicData uri="http://schemas.microsoft.com/office/word/2010/wordprocessingShape">
                    <wps:wsp>
                      <wps:cNvPr id="1543" name="Textbox 1543"/>
                      <wps:cNvSpPr txBox="1"/>
                      <wps:spPr>
                        <a:xfrm>
                          <a:off x="0" y="0"/>
                          <a:ext cx="1227455" cy="191135"/>
                        </a:xfrm>
                        <a:prstGeom prst="rect">
                          <a:avLst/>
                        </a:prstGeom>
                      </wps:spPr>
                      <wps:txbx>
                        <w:txbxContent>
                          <w:p>
                            <w:pPr>
                              <w:pStyle w:val="BodyText"/>
                              <w:spacing w:before="13"/>
                            </w:pPr>
                            <w:r>
                              <w:rPr>
                                <w:color w:val="105C84"/>
                              </w:rPr>
                              <w:t>&amp;</w:t>
                            </w:r>
                            <w:r>
                              <w:rPr>
                                <w:color w:val="105C84"/>
                                <w:spacing w:val="-13"/>
                              </w:rPr>
                              <w:t> </w:t>
                            </w:r>
                            <w:r>
                              <w:rPr>
                                <w:color w:val="105C84"/>
                              </w:rPr>
                              <w:t>Recovery</w:t>
                            </w:r>
                            <w:r>
                              <w:rPr>
                                <w:color w:val="105C84"/>
                                <w:spacing w:val="-13"/>
                              </w:rPr>
                              <w:t> </w:t>
                            </w:r>
                            <w:r>
                              <w:rPr>
                                <w:color w:val="105C84"/>
                                <w:spacing w:val="-2"/>
                              </w:rPr>
                              <w:t>Agency</w:t>
                            </w:r>
                          </w:p>
                        </w:txbxContent>
                      </wps:txbx>
                      <wps:bodyPr wrap="square" lIns="0" tIns="0" rIns="0" bIns="0" rtlCol="0">
                        <a:noAutofit/>
                      </wps:bodyPr>
                    </wps:wsp>
                  </a:graphicData>
                </a:graphic>
              </wp:anchor>
            </w:drawing>
          </mc:Choice>
          <mc:Fallback>
            <w:pict>
              <v:shape style="position:absolute;margin-left:232.959pt;margin-top:13.041869pt;width:96.65pt;height:15.05pt;mso-position-horizontal-relative:page;mso-position-vertical-relative:paragraph;z-index:-28195840" type="#_x0000_t202" id="docshape1222" filled="false" stroked="false">
                <v:textbox inset="0,0,0,0">
                  <w:txbxContent>
                    <w:p>
                      <w:pPr>
                        <w:pStyle w:val="BodyText"/>
                        <w:spacing w:before="13"/>
                      </w:pPr>
                      <w:r>
                        <w:rPr>
                          <w:color w:val="105C84"/>
                        </w:rPr>
                        <w:t>&amp;</w:t>
                      </w:r>
                      <w:r>
                        <w:rPr>
                          <w:color w:val="105C84"/>
                          <w:spacing w:val="-13"/>
                        </w:rPr>
                        <w:t> </w:t>
                      </w:r>
                      <w:r>
                        <w:rPr>
                          <w:color w:val="105C84"/>
                        </w:rPr>
                        <w:t>Recovery</w:t>
                      </w:r>
                      <w:r>
                        <w:rPr>
                          <w:color w:val="105C84"/>
                          <w:spacing w:val="-13"/>
                        </w:rPr>
                        <w:t> </w:t>
                      </w:r>
                      <w:r>
                        <w:rPr>
                          <w:color w:val="105C84"/>
                          <w:spacing w:val="-2"/>
                        </w:rPr>
                        <w:t>Agency</w:t>
                      </w:r>
                    </w:p>
                  </w:txbxContent>
                </v:textbox>
                <w10:wrap type="none"/>
              </v:shape>
            </w:pict>
          </mc:Fallback>
        </mc:AlternateContent>
      </w:r>
      <w:r>
        <w:rPr>
          <w:position w:val="13"/>
        </w:rPr>
        <mc:AlternateContent>
          <mc:Choice Requires="wps">
            <w:drawing>
              <wp:anchor distT="0" distB="0" distL="0" distR="0" allowOverlap="1" layoutInCell="1" locked="0" behindDoc="1" simplePos="0" relativeHeight="475121152">
                <wp:simplePos x="0" y="0"/>
                <wp:positionH relativeFrom="page">
                  <wp:posOffset>2907792</wp:posOffset>
                </wp:positionH>
                <wp:positionV relativeFrom="paragraph">
                  <wp:posOffset>603730</wp:posOffset>
                </wp:positionV>
                <wp:extent cx="2007235" cy="191135"/>
                <wp:effectExtent l="0" t="0" r="0" b="0"/>
                <wp:wrapNone/>
                <wp:docPr id="1544" name="Textbox 1544"/>
                <wp:cNvGraphicFramePr>
                  <a:graphicFrameLocks/>
                </wp:cNvGraphicFramePr>
                <a:graphic>
                  <a:graphicData uri="http://schemas.microsoft.com/office/word/2010/wordprocessingShape">
                    <wps:wsp>
                      <wps:cNvPr id="1544" name="Textbox 1544"/>
                      <wps:cNvSpPr txBox="1"/>
                      <wps:spPr>
                        <a:xfrm>
                          <a:off x="0" y="0"/>
                          <a:ext cx="2007235" cy="191135"/>
                        </a:xfrm>
                        <a:prstGeom prst="rect">
                          <a:avLst/>
                        </a:prstGeom>
                      </wps:spPr>
                      <wps:txbx>
                        <w:txbxContent>
                          <w:p>
                            <w:pPr>
                              <w:pStyle w:val="BodyText"/>
                              <w:tabs>
                                <w:tab w:pos="3160" w:val="left" w:leader="none"/>
                              </w:tabs>
                              <w:spacing w:before="13"/>
                            </w:pPr>
                            <w:r>
                              <w:rPr>
                                <w:color w:val="105C84"/>
                                <w:spacing w:val="32"/>
                                <w:u w:val="single" w:color="636466"/>
                              </w:rPr>
                              <w:t> </w:t>
                            </w:r>
                            <w:r>
                              <w:rPr>
                                <w:color w:val="105C84"/>
                                <w:u w:val="single" w:color="636466"/>
                              </w:rPr>
                              <w:t>Community</w:t>
                            </w:r>
                            <w:r>
                              <w:rPr>
                                <w:color w:val="105C84"/>
                                <w:spacing w:val="12"/>
                                <w:u w:val="single" w:color="636466"/>
                              </w:rPr>
                              <w:t> </w:t>
                            </w:r>
                            <w:r>
                              <w:rPr>
                                <w:color w:val="105C84"/>
                                <w:spacing w:val="-2"/>
                                <w:u w:val="single" w:color="636466"/>
                              </w:rPr>
                              <w:t>Health</w:t>
                            </w:r>
                            <w:r>
                              <w:rPr>
                                <w:color w:val="105C84"/>
                                <w:u w:val="single" w:color="636466"/>
                              </w:rPr>
                              <w:tab/>
                            </w:r>
                          </w:p>
                        </w:txbxContent>
                      </wps:txbx>
                      <wps:bodyPr wrap="square" lIns="0" tIns="0" rIns="0" bIns="0" rtlCol="0">
                        <a:noAutofit/>
                      </wps:bodyPr>
                    </wps:wsp>
                  </a:graphicData>
                </a:graphic>
              </wp:anchor>
            </w:drawing>
          </mc:Choice>
          <mc:Fallback>
            <w:pict>
              <v:shape style="position:absolute;margin-left:228.960007pt;margin-top:47.537868pt;width:158.050pt;height:15.05pt;mso-position-horizontal-relative:page;mso-position-vertical-relative:paragraph;z-index:-28195328" type="#_x0000_t202" id="docshape1223" filled="false" stroked="false">
                <v:textbox inset="0,0,0,0">
                  <w:txbxContent>
                    <w:p>
                      <w:pPr>
                        <w:pStyle w:val="BodyText"/>
                        <w:tabs>
                          <w:tab w:pos="3160" w:val="left" w:leader="none"/>
                        </w:tabs>
                        <w:spacing w:before="13"/>
                      </w:pPr>
                      <w:r>
                        <w:rPr>
                          <w:color w:val="105C84"/>
                          <w:spacing w:val="32"/>
                          <w:u w:val="single" w:color="636466"/>
                        </w:rPr>
                        <w:t> </w:t>
                      </w:r>
                      <w:r>
                        <w:rPr>
                          <w:color w:val="105C84"/>
                          <w:u w:val="single" w:color="636466"/>
                        </w:rPr>
                        <w:t>Community</w:t>
                      </w:r>
                      <w:r>
                        <w:rPr>
                          <w:color w:val="105C84"/>
                          <w:spacing w:val="12"/>
                          <w:u w:val="single" w:color="636466"/>
                        </w:rPr>
                        <w:t> </w:t>
                      </w:r>
                      <w:r>
                        <w:rPr>
                          <w:color w:val="105C84"/>
                          <w:spacing w:val="-2"/>
                          <w:u w:val="single" w:color="636466"/>
                        </w:rPr>
                        <w:t>Health</w:t>
                      </w:r>
                      <w:r>
                        <w:rPr>
                          <w:color w:val="105C84"/>
                          <w:u w:val="single" w:color="636466"/>
                        </w:rPr>
                        <w:tab/>
                      </w:r>
                    </w:p>
                  </w:txbxContent>
                </v:textbox>
                <w10:wrap type="none"/>
              </v:shape>
            </w:pict>
          </mc:Fallback>
        </mc:AlternateContent>
      </w:r>
      <w:r>
        <w:rPr>
          <w:color w:val="105C84"/>
          <w:position w:val="-12"/>
        </w:rPr>
        <w:t>Cancer Services Program</w:t>
        <w:tab/>
      </w:r>
      <w:r>
        <w:rPr>
          <w:color w:val="105C84"/>
        </w:rPr>
        <w:t>Finger</w:t>
      </w:r>
      <w:r>
        <w:rPr>
          <w:color w:val="105C84"/>
          <w:spacing w:val="-9"/>
        </w:rPr>
        <w:t> </w:t>
      </w:r>
      <w:r>
        <w:rPr>
          <w:color w:val="105C84"/>
        </w:rPr>
        <w:t>Lakes</w:t>
      </w:r>
      <w:r>
        <w:rPr>
          <w:color w:val="105C84"/>
          <w:spacing w:val="-9"/>
        </w:rPr>
        <w:t> </w:t>
      </w:r>
      <w:r>
        <w:rPr>
          <w:color w:val="105C84"/>
        </w:rPr>
        <w:t>Area</w:t>
      </w:r>
      <w:r>
        <w:rPr>
          <w:color w:val="105C84"/>
          <w:spacing w:val="-9"/>
        </w:rPr>
        <w:t> </w:t>
      </w:r>
      <w:r>
        <w:rPr>
          <w:color w:val="105C84"/>
        </w:rPr>
        <w:t>Counseling Catholic Charities</w:t>
        <w:tab/>
      </w:r>
      <w:r>
        <w:rPr>
          <w:color w:val="105C84"/>
          <w:position w:val="13"/>
        </w:rPr>
        <w:t>Finger Lakes</w:t>
      </w:r>
    </w:p>
    <w:p>
      <w:pPr>
        <w:pStyle w:val="BodyText"/>
        <w:spacing w:line="247" w:lineRule="auto" w:before="14"/>
        <w:ind w:left="422" w:right="1106"/>
      </w:pPr>
      <w:r>
        <w:rPr/>
        <w:br w:type="column"/>
      </w:r>
      <w:r>
        <w:rPr>
          <w:color w:val="105C84"/>
        </w:rPr>
        <w:t>Wayne County Action</w:t>
      </w:r>
      <w:r>
        <w:rPr>
          <w:color w:val="105C84"/>
          <w:spacing w:val="31"/>
        </w:rPr>
        <w:t> </w:t>
      </w:r>
      <w:r>
        <w:rPr>
          <w:color w:val="105C84"/>
          <w:spacing w:val="-2"/>
        </w:rPr>
        <w:t>Program</w:t>
      </w:r>
    </w:p>
    <w:p>
      <w:pPr>
        <w:pStyle w:val="BodyText"/>
        <w:spacing w:before="2"/>
        <w:rPr>
          <w:sz w:val="4"/>
        </w:rPr>
      </w:pPr>
      <w:r>
        <w:rPr>
          <w:sz w:val="4"/>
        </w:rPr>
        <mc:AlternateContent>
          <mc:Choice Requires="wps">
            <w:drawing>
              <wp:anchor distT="0" distB="0" distL="0" distR="0" allowOverlap="1" layoutInCell="1" locked="0" behindDoc="1" simplePos="0" relativeHeight="487746048">
                <wp:simplePos x="0" y="0"/>
                <wp:positionH relativeFrom="page">
                  <wp:posOffset>5088635</wp:posOffset>
                </wp:positionH>
                <wp:positionV relativeFrom="paragraph">
                  <wp:posOffset>46025</wp:posOffset>
                </wp:positionV>
                <wp:extent cx="2019300" cy="1270"/>
                <wp:effectExtent l="0" t="0" r="0" b="0"/>
                <wp:wrapTopAndBottom/>
                <wp:docPr id="1545" name="Graphic 1545"/>
                <wp:cNvGraphicFramePr>
                  <a:graphicFrameLocks/>
                </wp:cNvGraphicFramePr>
                <a:graphic>
                  <a:graphicData uri="http://schemas.microsoft.com/office/word/2010/wordprocessingShape">
                    <wps:wsp>
                      <wps:cNvPr id="1545" name="Graphic 1545"/>
                      <wps:cNvSpPr/>
                      <wps:spPr>
                        <a:xfrm>
                          <a:off x="0" y="0"/>
                          <a:ext cx="2019300" cy="1270"/>
                        </a:xfrm>
                        <a:custGeom>
                          <a:avLst/>
                          <a:gdLst/>
                          <a:ahLst/>
                          <a:cxnLst/>
                          <a:rect l="l" t="t" r="r" b="b"/>
                          <a:pathLst>
                            <a:path w="2019300" h="0">
                              <a:moveTo>
                                <a:pt x="0" y="0"/>
                              </a:moveTo>
                              <a:lnTo>
                                <a:pt x="2019236" y="0"/>
                              </a:lnTo>
                            </a:path>
                          </a:pathLst>
                        </a:custGeom>
                        <a:ln w="3175">
                          <a:solidFill>
                            <a:srgbClr val="636466"/>
                          </a:solidFill>
                          <a:prstDash val="solid"/>
                        </a:ln>
                      </wps:spPr>
                      <wps:bodyPr wrap="square" lIns="0" tIns="0" rIns="0" bIns="0" rtlCol="0">
                        <a:prstTxWarp prst="textNoShape">
                          <a:avLst/>
                        </a:prstTxWarp>
                        <a:noAutofit/>
                      </wps:bodyPr>
                    </wps:wsp>
                  </a:graphicData>
                </a:graphic>
              </wp:anchor>
            </w:drawing>
          </mc:Choice>
          <mc:Fallback>
            <w:pict>
              <v:shape style="position:absolute;margin-left:400.679993pt;margin-top:3.624082pt;width:159pt;height:.1pt;mso-position-horizontal-relative:page;mso-position-vertical-relative:paragraph;z-index:-15570432;mso-wrap-distance-left:0;mso-wrap-distance-right:0" id="docshape1224" coordorigin="8014,72" coordsize="3180,0" path="m8014,72l11193,72e" filled="false" stroked="true" strokeweight=".25pt" strokecolor="#636466">
                <v:path arrowok="t"/>
                <v:stroke dashstyle="solid"/>
                <w10:wrap type="topAndBottom"/>
              </v:shape>
            </w:pict>
          </mc:Fallback>
        </mc:AlternateContent>
      </w:r>
    </w:p>
    <w:p>
      <w:pPr>
        <w:pStyle w:val="BodyText"/>
        <w:spacing w:before="94"/>
        <w:ind w:left="422"/>
      </w:pPr>
      <w:r>
        <w:rPr>
          <w:color w:val="105C84"/>
        </w:rPr>
        <w:t>Wayne</w:t>
      </w:r>
      <w:r>
        <w:rPr>
          <w:color w:val="105C84"/>
          <w:spacing w:val="-2"/>
        </w:rPr>
        <w:t> </w:t>
      </w:r>
      <w:r>
        <w:rPr>
          <w:color w:val="105C84"/>
        </w:rPr>
        <w:t>County</w:t>
      </w:r>
      <w:r>
        <w:rPr>
          <w:color w:val="105C84"/>
          <w:spacing w:val="-1"/>
        </w:rPr>
        <w:t> </w:t>
      </w:r>
      <w:r>
        <w:rPr>
          <w:color w:val="105C84"/>
          <w:spacing w:val="-2"/>
        </w:rPr>
        <w:t>Department</w:t>
      </w:r>
    </w:p>
    <w:p>
      <w:pPr>
        <w:pStyle w:val="BodyText"/>
        <w:tabs>
          <w:tab w:pos="3522" w:val="left" w:leader="none"/>
        </w:tabs>
        <w:spacing w:before="7"/>
        <w:ind w:left="342"/>
      </w:pPr>
      <w:r>
        <w:rPr>
          <w:color w:val="105C84"/>
          <w:spacing w:val="16"/>
          <w:u w:val="single" w:color="636466"/>
        </w:rPr>
        <w:t> </w:t>
      </w:r>
      <w:r>
        <w:rPr>
          <w:color w:val="105C84"/>
          <w:u w:val="single" w:color="636466"/>
        </w:rPr>
        <w:t>of Social </w:t>
      </w:r>
      <w:r>
        <w:rPr>
          <w:color w:val="105C84"/>
          <w:spacing w:val="-2"/>
          <w:u w:val="single" w:color="636466"/>
        </w:rPr>
        <w:t>Services</w:t>
      </w:r>
      <w:r>
        <w:rPr>
          <w:color w:val="105C84"/>
          <w:u w:val="single" w:color="636466"/>
        </w:rPr>
        <w:tab/>
      </w:r>
    </w:p>
    <w:p>
      <w:pPr>
        <w:pStyle w:val="BodyText"/>
        <w:spacing w:before="17"/>
        <w:ind w:left="1162"/>
      </w:pPr>
      <w:r>
        <w:rPr/>
        <w:br w:type="column"/>
      </w:r>
      <w:r>
        <w:rPr>
          <w:color w:val="105C84"/>
        </w:rPr>
        <w:t>need</w:t>
      </w:r>
      <w:r>
        <w:rPr>
          <w:color w:val="105C84"/>
          <w:spacing w:val="13"/>
        </w:rPr>
        <w:t> </w:t>
      </w:r>
      <w:r>
        <w:rPr>
          <w:color w:val="105C84"/>
        </w:rPr>
        <w:t>to</w:t>
      </w:r>
      <w:r>
        <w:rPr>
          <w:color w:val="105C84"/>
          <w:spacing w:val="14"/>
        </w:rPr>
        <w:t> </w:t>
      </w:r>
      <w:r>
        <w:rPr>
          <w:color w:val="105C84"/>
        </w:rPr>
        <w:t>take</w:t>
      </w:r>
      <w:r>
        <w:rPr>
          <w:color w:val="105C84"/>
          <w:spacing w:val="14"/>
        </w:rPr>
        <w:t> </w:t>
      </w:r>
      <w:r>
        <w:rPr>
          <w:color w:val="105C84"/>
        </w:rPr>
        <w:t>place</w:t>
      </w:r>
      <w:r>
        <w:rPr>
          <w:color w:val="105C84"/>
          <w:spacing w:val="14"/>
        </w:rPr>
        <w:t> </w:t>
      </w:r>
      <w:r>
        <w:rPr>
          <w:color w:val="105C84"/>
        </w:rPr>
        <w:t>during</w:t>
      </w:r>
      <w:r>
        <w:rPr>
          <w:color w:val="105C84"/>
          <w:spacing w:val="14"/>
        </w:rPr>
        <w:t> </w:t>
      </w:r>
      <w:r>
        <w:rPr>
          <w:color w:val="105C84"/>
        </w:rPr>
        <w:t>these</w:t>
      </w:r>
      <w:r>
        <w:rPr>
          <w:color w:val="105C84"/>
          <w:spacing w:val="13"/>
        </w:rPr>
        <w:t> </w:t>
      </w:r>
      <w:r>
        <w:rPr>
          <w:color w:val="105C84"/>
          <w:spacing w:val="-2"/>
        </w:rPr>
        <w:t>meetings.</w:t>
      </w:r>
    </w:p>
    <w:p>
      <w:pPr>
        <w:pStyle w:val="BodyText"/>
        <w:spacing w:before="25"/>
      </w:pPr>
    </w:p>
    <w:p>
      <w:pPr>
        <w:pStyle w:val="Heading6"/>
        <w:spacing w:before="1"/>
        <w:ind w:left="1162"/>
      </w:pPr>
      <w:r>
        <w:rPr>
          <w:color w:val="105C84"/>
          <w:spacing w:val="-2"/>
        </w:rPr>
        <w:t>Dissemination</w:t>
      </w:r>
    </w:p>
    <w:p>
      <w:pPr>
        <w:pStyle w:val="BodyText"/>
        <w:spacing w:line="227" w:lineRule="exact" w:before="268"/>
        <w:ind w:left="1162"/>
      </w:pPr>
      <w:r>
        <w:rPr>
          <w:color w:val="105C84"/>
        </w:rPr>
        <w:t>This</w:t>
      </w:r>
      <w:r>
        <w:rPr>
          <w:color w:val="105C84"/>
          <w:spacing w:val="5"/>
        </w:rPr>
        <w:t> </w:t>
      </w:r>
      <w:r>
        <w:rPr>
          <w:color w:val="105C84"/>
        </w:rPr>
        <w:t>document</w:t>
      </w:r>
      <w:r>
        <w:rPr>
          <w:color w:val="105C84"/>
          <w:spacing w:val="5"/>
        </w:rPr>
        <w:t> </w:t>
      </w:r>
      <w:r>
        <w:rPr>
          <w:color w:val="105C84"/>
        </w:rPr>
        <w:t>will</w:t>
      </w:r>
      <w:r>
        <w:rPr>
          <w:color w:val="105C84"/>
          <w:spacing w:val="6"/>
        </w:rPr>
        <w:t> </w:t>
      </w:r>
      <w:r>
        <w:rPr>
          <w:color w:val="105C84"/>
        </w:rPr>
        <w:t>be</w:t>
      </w:r>
      <w:r>
        <w:rPr>
          <w:color w:val="105C84"/>
          <w:spacing w:val="5"/>
        </w:rPr>
        <w:t> </w:t>
      </w:r>
      <w:r>
        <w:rPr>
          <w:color w:val="105C84"/>
        </w:rPr>
        <w:t>shared</w:t>
      </w:r>
      <w:r>
        <w:rPr>
          <w:color w:val="105C84"/>
          <w:spacing w:val="5"/>
        </w:rPr>
        <w:t> </w:t>
      </w:r>
      <w:r>
        <w:rPr>
          <w:color w:val="105C84"/>
        </w:rPr>
        <w:t>by</w:t>
      </w:r>
      <w:r>
        <w:rPr>
          <w:color w:val="105C84"/>
          <w:spacing w:val="6"/>
        </w:rPr>
        <w:t> </w:t>
      </w:r>
      <w:r>
        <w:rPr>
          <w:color w:val="105C84"/>
        </w:rPr>
        <w:t>Wayne</w:t>
      </w:r>
      <w:r>
        <w:rPr>
          <w:color w:val="105C84"/>
          <w:spacing w:val="5"/>
        </w:rPr>
        <w:t> </w:t>
      </w:r>
      <w:r>
        <w:rPr>
          <w:color w:val="105C84"/>
        </w:rPr>
        <w:t>County</w:t>
      </w:r>
      <w:r>
        <w:rPr>
          <w:color w:val="105C84"/>
          <w:spacing w:val="5"/>
        </w:rPr>
        <w:t> </w:t>
      </w:r>
      <w:r>
        <w:rPr>
          <w:color w:val="105C84"/>
        </w:rPr>
        <w:t>Public</w:t>
      </w:r>
      <w:r>
        <w:rPr>
          <w:color w:val="105C84"/>
          <w:spacing w:val="6"/>
        </w:rPr>
        <w:t> </w:t>
      </w:r>
      <w:r>
        <w:rPr>
          <w:color w:val="105C84"/>
        </w:rPr>
        <w:t>Health</w:t>
      </w:r>
      <w:r>
        <w:rPr>
          <w:color w:val="105C84"/>
          <w:spacing w:val="5"/>
        </w:rPr>
        <w:t> </w:t>
      </w:r>
      <w:r>
        <w:rPr>
          <w:color w:val="105C84"/>
        </w:rPr>
        <w:t>and</w:t>
      </w:r>
      <w:r>
        <w:rPr>
          <w:color w:val="105C84"/>
          <w:spacing w:val="5"/>
        </w:rPr>
        <w:t> </w:t>
      </w:r>
      <w:r>
        <w:rPr>
          <w:color w:val="105C84"/>
        </w:rPr>
        <w:t>Rochester</w:t>
      </w:r>
      <w:r>
        <w:rPr>
          <w:color w:val="105C84"/>
          <w:spacing w:val="6"/>
        </w:rPr>
        <w:t> </w:t>
      </w:r>
      <w:r>
        <w:rPr>
          <w:color w:val="105C84"/>
        </w:rPr>
        <w:t>Regional</w:t>
      </w:r>
      <w:r>
        <w:rPr>
          <w:color w:val="105C84"/>
          <w:spacing w:val="5"/>
        </w:rPr>
        <w:t> </w:t>
      </w:r>
      <w:r>
        <w:rPr>
          <w:color w:val="105C84"/>
        </w:rPr>
        <w:t>Health</w:t>
      </w:r>
      <w:r>
        <w:rPr>
          <w:color w:val="105C84"/>
          <w:spacing w:val="6"/>
        </w:rPr>
        <w:t> </w:t>
      </w:r>
      <w:r>
        <w:rPr>
          <w:color w:val="105C84"/>
          <w:spacing w:val="-2"/>
        </w:rPr>
        <w:t>(RRH)</w:t>
      </w:r>
    </w:p>
    <w:p>
      <w:pPr>
        <w:pStyle w:val="BodyText"/>
        <w:spacing w:after="0" w:line="227" w:lineRule="exact"/>
        <w:sectPr>
          <w:type w:val="continuous"/>
          <w:pgSz w:w="24480" w:h="15840" w:orient="landscape"/>
          <w:pgMar w:header="0" w:footer="0" w:top="0" w:bottom="280" w:left="0" w:right="720"/>
          <w:cols w:num="3" w:equalWidth="0">
            <w:col w:w="7632" w:space="40"/>
            <w:col w:w="3563" w:space="923"/>
            <w:col w:w="11602"/>
          </w:cols>
        </w:sectPr>
      </w:pPr>
    </w:p>
    <w:p>
      <w:pPr>
        <w:pStyle w:val="BodyText"/>
        <w:tabs>
          <w:tab w:pos="4659" w:val="left" w:leader="none"/>
          <w:tab w:pos="8093" w:val="left" w:leader="none"/>
        </w:tabs>
        <w:spacing w:line="362" w:lineRule="exact"/>
        <w:ind w:left="1162"/>
        <w:rPr>
          <w:position w:val="13"/>
        </w:rPr>
      </w:pPr>
      <w:r>
        <w:rPr>
          <w:position w:val="13"/>
        </w:rPr>
        <mc:AlternateContent>
          <mc:Choice Requires="wps">
            <w:drawing>
              <wp:anchor distT="0" distB="0" distL="0" distR="0" allowOverlap="1" layoutInCell="1" locked="0" behindDoc="1" simplePos="0" relativeHeight="475121664">
                <wp:simplePos x="0" y="0"/>
                <wp:positionH relativeFrom="page">
                  <wp:posOffset>687387</wp:posOffset>
                </wp:positionH>
                <wp:positionV relativeFrom="paragraph">
                  <wp:posOffset>143225</wp:posOffset>
                </wp:positionV>
                <wp:extent cx="6420485" cy="191135"/>
                <wp:effectExtent l="0" t="0" r="0" b="0"/>
                <wp:wrapNone/>
                <wp:docPr id="1546" name="Textbox 1546"/>
                <wp:cNvGraphicFramePr>
                  <a:graphicFrameLocks/>
                </wp:cNvGraphicFramePr>
                <a:graphic>
                  <a:graphicData uri="http://schemas.microsoft.com/office/word/2010/wordprocessingShape">
                    <wps:wsp>
                      <wps:cNvPr id="1546" name="Textbox 1546"/>
                      <wps:cNvSpPr txBox="1"/>
                      <wps:spPr>
                        <a:xfrm>
                          <a:off x="0" y="0"/>
                          <a:ext cx="6420485" cy="191135"/>
                        </a:xfrm>
                        <a:prstGeom prst="rect">
                          <a:avLst/>
                        </a:prstGeom>
                      </wps:spPr>
                      <wps:txbx>
                        <w:txbxContent>
                          <w:p>
                            <w:pPr>
                              <w:pStyle w:val="BodyText"/>
                              <w:tabs>
                                <w:tab w:pos="3266" w:val="left" w:leader="none"/>
                                <w:tab w:pos="3496" w:val="left" w:leader="none"/>
                                <w:tab w:pos="6657" w:val="left" w:leader="none"/>
                                <w:tab w:pos="6931" w:val="left" w:leader="none"/>
                                <w:tab w:pos="10110" w:val="left" w:leader="none"/>
                              </w:tabs>
                              <w:spacing w:before="13"/>
                            </w:pPr>
                            <w:r>
                              <w:rPr>
                                <w:color w:val="105C84"/>
                                <w:u w:val="single" w:color="636466"/>
                              </w:rPr>
                              <w:tab/>
                            </w:r>
                            <w:r>
                              <w:rPr>
                                <w:color w:val="105C84"/>
                                <w:u w:val="none"/>
                              </w:rPr>
                              <w:tab/>
                            </w:r>
                            <w:r>
                              <w:rPr>
                                <w:color w:val="105C84"/>
                                <w:u w:val="single" w:color="636466"/>
                              </w:rPr>
                              <w:tab/>
                            </w:r>
                            <w:r>
                              <w:rPr>
                                <w:color w:val="105C84"/>
                                <w:u w:val="none"/>
                              </w:rPr>
                              <w:tab/>
                            </w:r>
                            <w:r>
                              <w:rPr>
                                <w:color w:val="105C84"/>
                                <w:spacing w:val="40"/>
                                <w:u w:val="single" w:color="636466"/>
                              </w:rPr>
                              <w:t> </w:t>
                            </w:r>
                            <w:r>
                              <w:rPr>
                                <w:color w:val="105C84"/>
                                <w:u w:val="single" w:color="636466"/>
                              </w:rPr>
                              <w:t>Prioritization</w:t>
                            </w:r>
                            <w:r>
                              <w:rPr>
                                <w:color w:val="105C84"/>
                                <w:spacing w:val="30"/>
                                <w:u w:val="single" w:color="636466"/>
                              </w:rPr>
                              <w:t> </w:t>
                            </w:r>
                            <w:r>
                              <w:rPr>
                                <w:color w:val="105C84"/>
                                <w:u w:val="single" w:color="636466"/>
                              </w:rPr>
                              <w:t>Agencies</w:t>
                              <w:tab/>
                            </w:r>
                          </w:p>
                        </w:txbxContent>
                      </wps:txbx>
                      <wps:bodyPr wrap="square" lIns="0" tIns="0" rIns="0" bIns="0" rtlCol="0">
                        <a:noAutofit/>
                      </wps:bodyPr>
                    </wps:wsp>
                  </a:graphicData>
                </a:graphic>
              </wp:anchor>
            </w:drawing>
          </mc:Choice>
          <mc:Fallback>
            <w:pict>
              <v:shape style="position:absolute;margin-left:54.125pt;margin-top:11.277617pt;width:505.55pt;height:15.05pt;mso-position-horizontal-relative:page;mso-position-vertical-relative:paragraph;z-index:-28194816" type="#_x0000_t202" id="docshape1225" filled="false" stroked="false">
                <v:textbox inset="0,0,0,0">
                  <w:txbxContent>
                    <w:p>
                      <w:pPr>
                        <w:pStyle w:val="BodyText"/>
                        <w:tabs>
                          <w:tab w:pos="3266" w:val="left" w:leader="none"/>
                          <w:tab w:pos="3496" w:val="left" w:leader="none"/>
                          <w:tab w:pos="6657" w:val="left" w:leader="none"/>
                          <w:tab w:pos="6931" w:val="left" w:leader="none"/>
                          <w:tab w:pos="10110" w:val="left" w:leader="none"/>
                        </w:tabs>
                        <w:spacing w:before="13"/>
                      </w:pPr>
                      <w:r>
                        <w:rPr>
                          <w:color w:val="105C84"/>
                          <w:u w:val="single" w:color="636466"/>
                        </w:rPr>
                        <w:tab/>
                      </w:r>
                      <w:r>
                        <w:rPr>
                          <w:color w:val="105C84"/>
                          <w:u w:val="none"/>
                        </w:rPr>
                        <w:tab/>
                      </w:r>
                      <w:r>
                        <w:rPr>
                          <w:color w:val="105C84"/>
                          <w:u w:val="single" w:color="636466"/>
                        </w:rPr>
                        <w:tab/>
                      </w:r>
                      <w:r>
                        <w:rPr>
                          <w:color w:val="105C84"/>
                          <w:u w:val="none"/>
                        </w:rPr>
                        <w:tab/>
                      </w:r>
                      <w:r>
                        <w:rPr>
                          <w:color w:val="105C84"/>
                          <w:spacing w:val="40"/>
                          <w:u w:val="single" w:color="636466"/>
                        </w:rPr>
                        <w:t> </w:t>
                      </w:r>
                      <w:r>
                        <w:rPr>
                          <w:color w:val="105C84"/>
                          <w:u w:val="single" w:color="636466"/>
                        </w:rPr>
                        <w:t>Prioritization</w:t>
                      </w:r>
                      <w:r>
                        <w:rPr>
                          <w:color w:val="105C84"/>
                          <w:spacing w:val="30"/>
                          <w:u w:val="single" w:color="636466"/>
                        </w:rPr>
                        <w:t> </w:t>
                      </w:r>
                      <w:r>
                        <w:rPr>
                          <w:color w:val="105C84"/>
                          <w:u w:val="single" w:color="636466"/>
                        </w:rPr>
                        <w:t>Agencies</w:t>
                        <w:tab/>
                      </w:r>
                    </w:p>
                  </w:txbxContent>
                </v:textbox>
                <w10:wrap type="none"/>
              </v:shape>
            </w:pict>
          </mc:Fallback>
        </mc:AlternateContent>
      </w:r>
      <w:r>
        <w:rPr>
          <w:color w:val="105C84"/>
        </w:rPr>
        <w:t>Common</w:t>
      </w:r>
      <w:r>
        <w:rPr>
          <w:color w:val="105C84"/>
          <w:spacing w:val="26"/>
        </w:rPr>
        <w:t> </w:t>
      </w:r>
      <w:r>
        <w:rPr>
          <w:color w:val="105C84"/>
        </w:rPr>
        <w:t>Ground</w:t>
      </w:r>
      <w:r>
        <w:rPr>
          <w:color w:val="105C84"/>
          <w:spacing w:val="27"/>
        </w:rPr>
        <w:t> </w:t>
      </w:r>
      <w:r>
        <w:rPr>
          <w:color w:val="105C84"/>
          <w:spacing w:val="-2"/>
        </w:rPr>
        <w:t>Health</w:t>
      </w:r>
      <w:r>
        <w:rPr>
          <w:color w:val="105C84"/>
        </w:rPr>
        <w:tab/>
      </w:r>
      <w:r>
        <w:rPr>
          <w:color w:val="105C84"/>
          <w:spacing w:val="-2"/>
        </w:rPr>
        <w:t>Genesee</w:t>
      </w:r>
      <w:r>
        <w:rPr>
          <w:color w:val="105C84"/>
          <w:spacing w:val="-6"/>
        </w:rPr>
        <w:t> </w:t>
      </w:r>
      <w:r>
        <w:rPr>
          <w:color w:val="105C84"/>
          <w:spacing w:val="-2"/>
        </w:rPr>
        <w:t>Valley</w:t>
      </w:r>
      <w:r>
        <w:rPr>
          <w:color w:val="105C84"/>
          <w:spacing w:val="-5"/>
        </w:rPr>
        <w:t> </w:t>
      </w:r>
      <w:r>
        <w:rPr>
          <w:color w:val="105C84"/>
          <w:spacing w:val="-2"/>
        </w:rPr>
        <w:t>BOCES</w:t>
      </w:r>
      <w:r>
        <w:rPr>
          <w:color w:val="105C84"/>
        </w:rPr>
        <w:tab/>
      </w:r>
      <w:r>
        <w:rPr>
          <w:color w:val="105C84"/>
          <w:spacing w:val="-2"/>
          <w:position w:val="13"/>
        </w:rPr>
        <w:t>Wayne</w:t>
      </w:r>
      <w:r>
        <w:rPr>
          <w:color w:val="105C84"/>
          <w:spacing w:val="-10"/>
          <w:position w:val="13"/>
        </w:rPr>
        <w:t> </w:t>
      </w:r>
      <w:r>
        <w:rPr>
          <w:color w:val="105C84"/>
          <w:spacing w:val="-2"/>
          <w:position w:val="13"/>
        </w:rPr>
        <w:t>County</w:t>
      </w:r>
    </w:p>
    <w:p>
      <w:pPr>
        <w:pStyle w:val="BodyText"/>
        <w:tabs>
          <w:tab w:pos="4348" w:val="left" w:leader="none"/>
          <w:tab w:pos="4579" w:val="left" w:leader="none"/>
          <w:tab w:pos="7739" w:val="left" w:leader="none"/>
          <w:tab w:pos="8013" w:val="left" w:leader="none"/>
          <w:tab w:pos="11193" w:val="left" w:leader="none"/>
        </w:tabs>
        <w:spacing w:before="244"/>
        <w:ind w:left="1082"/>
      </w:pPr>
      <w:r>
        <w:rPr>
          <w:color w:val="105C84"/>
          <w:spacing w:val="32"/>
          <w:u w:val="single" w:color="636466"/>
        </w:rPr>
        <w:t> </w:t>
      </w:r>
      <w:r>
        <w:rPr>
          <w:color w:val="105C84"/>
          <w:u w:val="single" w:color="636466"/>
        </w:rPr>
        <w:t>Community</w:t>
      </w:r>
      <w:r>
        <w:rPr>
          <w:color w:val="105C84"/>
          <w:spacing w:val="12"/>
          <w:u w:val="single" w:color="636466"/>
        </w:rPr>
        <w:t> </w:t>
      </w:r>
      <w:r>
        <w:rPr>
          <w:color w:val="105C84"/>
          <w:spacing w:val="-2"/>
          <w:u w:val="single" w:color="636466"/>
        </w:rPr>
        <w:t>Members</w:t>
      </w:r>
      <w:r>
        <w:rPr>
          <w:color w:val="105C84"/>
          <w:u w:val="single" w:color="636466"/>
        </w:rPr>
        <w:tab/>
      </w:r>
      <w:r>
        <w:rPr>
          <w:color w:val="105C84"/>
          <w:u w:val="none"/>
        </w:rPr>
        <w:tab/>
      </w:r>
      <w:r>
        <w:rPr>
          <w:color w:val="105C84"/>
          <w:spacing w:val="40"/>
          <w:u w:val="single" w:color="636466"/>
        </w:rPr>
        <w:t> </w:t>
      </w:r>
      <w:r>
        <w:rPr>
          <w:color w:val="105C84"/>
          <w:u w:val="single" w:color="636466"/>
        </w:rPr>
        <w:t>Mosaic Health</w:t>
        <w:tab/>
      </w:r>
      <w:r>
        <w:rPr>
          <w:color w:val="105C84"/>
          <w:u w:val="none"/>
        </w:rPr>
        <w:tab/>
      </w:r>
      <w:r>
        <w:rPr>
          <w:color w:val="105C84"/>
          <w:spacing w:val="27"/>
          <w:u w:val="single" w:color="636466"/>
        </w:rPr>
        <w:t> </w:t>
      </w:r>
      <w:r>
        <w:rPr>
          <w:color w:val="105C84"/>
          <w:u w:val="single" w:color="636466"/>
        </w:rPr>
        <w:t>Wayne County Public Health</w:t>
        <w:tab/>
      </w:r>
    </w:p>
    <w:p>
      <w:pPr>
        <w:pStyle w:val="BodyText"/>
        <w:spacing w:line="247" w:lineRule="auto"/>
        <w:ind w:left="1082" w:right="540"/>
      </w:pPr>
      <w:r>
        <w:rPr/>
        <w:br w:type="column"/>
      </w:r>
      <w:r>
        <w:rPr>
          <w:color w:val="105C84"/>
        </w:rPr>
        <w:t>Newark-Wayne Community Hospital, and collaborating partners will be encouraged to share it and/</w:t>
      </w:r>
      <w:r>
        <w:rPr>
          <w:color w:val="105C84"/>
          <w:spacing w:val="80"/>
        </w:rPr>
        <w:t> </w:t>
      </w:r>
      <w:r>
        <w:rPr>
          <w:color w:val="105C84"/>
        </w:rPr>
        <w:t>or promote awareness of it on their platforms as well. Both Wayne County Public Health and RRH Newark-Wayne will post the document to their websites.</w:t>
      </w:r>
    </w:p>
    <w:p>
      <w:pPr>
        <w:pStyle w:val="BodyText"/>
        <w:spacing w:after="0" w:line="247" w:lineRule="auto"/>
        <w:sectPr>
          <w:type w:val="continuous"/>
          <w:pgSz w:w="24480" w:h="15840" w:orient="landscape"/>
          <w:pgMar w:header="0" w:footer="0" w:top="0" w:bottom="280" w:left="0" w:right="720"/>
          <w:cols w:num="2" w:equalWidth="0">
            <w:col w:w="11234" w:space="1004"/>
            <w:col w:w="11522"/>
          </w:cols>
        </w:sectPr>
      </w:pPr>
    </w:p>
    <w:p>
      <w:pPr>
        <w:pStyle w:val="BodyText"/>
        <w:spacing w:line="247" w:lineRule="auto" w:before="153"/>
        <w:ind w:left="1162" w:right="38"/>
      </w:pPr>
      <w:r>
        <w:rPr/>
        <mc:AlternateContent>
          <mc:Choice Requires="wps">
            <w:drawing>
              <wp:anchor distT="0" distB="0" distL="0" distR="0" allowOverlap="1" layoutInCell="1" locked="0" behindDoc="0" simplePos="0" relativeHeight="15890432">
                <wp:simplePos x="0" y="0"/>
                <wp:positionH relativeFrom="page">
                  <wp:posOffset>2907792</wp:posOffset>
                </wp:positionH>
                <wp:positionV relativeFrom="paragraph">
                  <wp:posOffset>474929</wp:posOffset>
                </wp:positionV>
                <wp:extent cx="2007235" cy="1270"/>
                <wp:effectExtent l="0" t="0" r="0" b="0"/>
                <wp:wrapNone/>
                <wp:docPr id="1547" name="Graphic 1547"/>
                <wp:cNvGraphicFramePr>
                  <a:graphicFrameLocks/>
                </wp:cNvGraphicFramePr>
                <a:graphic>
                  <a:graphicData uri="http://schemas.microsoft.com/office/word/2010/wordprocessingShape">
                    <wps:wsp>
                      <wps:cNvPr id="1547" name="Graphic 1547"/>
                      <wps:cNvSpPr/>
                      <wps:spPr>
                        <a:xfrm>
                          <a:off x="0" y="0"/>
                          <a:ext cx="2007235" cy="1270"/>
                        </a:xfrm>
                        <a:custGeom>
                          <a:avLst/>
                          <a:gdLst/>
                          <a:ahLst/>
                          <a:cxnLst/>
                          <a:rect l="l" t="t" r="r" b="b"/>
                          <a:pathLst>
                            <a:path w="2007235" h="0">
                              <a:moveTo>
                                <a:pt x="0" y="0"/>
                              </a:moveTo>
                              <a:lnTo>
                                <a:pt x="2007108" y="0"/>
                              </a:lnTo>
                            </a:path>
                          </a:pathLst>
                        </a:custGeom>
                        <a:ln w="3175">
                          <a:solidFill>
                            <a:srgbClr val="63646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90432" from="228.960007pt,37.396011pt" to="387.000007pt,37.396011pt" stroked="true" strokeweight=".25pt" strokecolor="#636466">
                <v:stroke dashstyle="solid"/>
                <w10:wrap type="none"/>
              </v:line>
            </w:pict>
          </mc:Fallback>
        </mc:AlternateContent>
      </w:r>
      <w:r>
        <w:rPr/>
        <mc:AlternateContent>
          <mc:Choice Requires="wps">
            <w:drawing>
              <wp:anchor distT="0" distB="0" distL="0" distR="0" allowOverlap="1" layoutInCell="1" locked="0" behindDoc="0" simplePos="0" relativeHeight="15892992">
                <wp:simplePos x="0" y="0"/>
                <wp:positionH relativeFrom="page">
                  <wp:posOffset>687387</wp:posOffset>
                </wp:positionH>
                <wp:positionV relativeFrom="paragraph">
                  <wp:posOffset>474929</wp:posOffset>
                </wp:positionV>
                <wp:extent cx="2074545" cy="1270"/>
                <wp:effectExtent l="0" t="0" r="0" b="0"/>
                <wp:wrapNone/>
                <wp:docPr id="1548" name="Graphic 1548"/>
                <wp:cNvGraphicFramePr>
                  <a:graphicFrameLocks/>
                </wp:cNvGraphicFramePr>
                <a:graphic>
                  <a:graphicData uri="http://schemas.microsoft.com/office/word/2010/wordprocessingShape">
                    <wps:wsp>
                      <wps:cNvPr id="1548" name="Graphic 1548"/>
                      <wps:cNvSpPr/>
                      <wps:spPr>
                        <a:xfrm>
                          <a:off x="0" y="0"/>
                          <a:ext cx="2074545" cy="1270"/>
                        </a:xfrm>
                        <a:custGeom>
                          <a:avLst/>
                          <a:gdLst/>
                          <a:ahLst/>
                          <a:cxnLst/>
                          <a:rect l="l" t="t" r="r" b="b"/>
                          <a:pathLst>
                            <a:path w="2074545" h="0">
                              <a:moveTo>
                                <a:pt x="0" y="0"/>
                              </a:moveTo>
                              <a:lnTo>
                                <a:pt x="2074100" y="0"/>
                              </a:lnTo>
                            </a:path>
                          </a:pathLst>
                        </a:custGeom>
                        <a:ln w="3175">
                          <a:solidFill>
                            <a:srgbClr val="63646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92992" from="54.125pt,37.396011pt" to="217.44pt,37.396011pt" stroked="true" strokeweight=".25pt" strokecolor="#636466">
                <v:stroke dashstyle="solid"/>
                <w10:wrap type="none"/>
              </v:line>
            </w:pict>
          </mc:Fallback>
        </mc:AlternateContent>
      </w:r>
      <w:r>
        <w:rPr>
          <w:color w:val="105C84"/>
        </w:rPr>
        <w:t>Cornell </w:t>
      </w:r>
      <w:r>
        <w:rPr>
          <w:color w:val="105C84"/>
        </w:rPr>
        <w:t>Cooperative Extension (Wayne)</w:t>
      </w:r>
    </w:p>
    <w:p>
      <w:pPr>
        <w:pStyle w:val="BodyText"/>
        <w:spacing w:line="247" w:lineRule="auto" w:before="153"/>
        <w:ind w:left="1162" w:right="38"/>
      </w:pPr>
      <w:r>
        <w:rPr/>
        <w:br w:type="column"/>
      </w:r>
      <w:r>
        <w:rPr>
          <w:color w:val="105C84"/>
        </w:rPr>
        <w:t>RRH</w:t>
      </w:r>
      <w:r>
        <w:rPr>
          <w:color w:val="105C84"/>
          <w:spacing w:val="-16"/>
        </w:rPr>
        <w:t> </w:t>
      </w:r>
      <w:r>
        <w:rPr>
          <w:color w:val="105C84"/>
        </w:rPr>
        <w:t>Newark-Wayne Community</w:t>
      </w:r>
      <w:r>
        <w:rPr>
          <w:color w:val="105C84"/>
          <w:spacing w:val="27"/>
        </w:rPr>
        <w:t> </w:t>
      </w:r>
      <w:r>
        <w:rPr>
          <w:color w:val="105C84"/>
          <w:spacing w:val="-2"/>
        </w:rPr>
        <w:t>Hospital</w:t>
      </w:r>
    </w:p>
    <w:p>
      <w:pPr>
        <w:pStyle w:val="BodyText"/>
        <w:spacing w:line="247" w:lineRule="auto" w:before="153"/>
        <w:ind w:left="1162" w:right="38"/>
      </w:pPr>
      <w:r>
        <w:rPr/>
        <w:br w:type="column"/>
      </w:r>
      <w:r>
        <w:rPr>
          <w:color w:val="105C84"/>
        </w:rPr>
        <w:t>Wayne</w:t>
      </w:r>
      <w:r>
        <w:rPr>
          <w:color w:val="105C84"/>
          <w:spacing w:val="-16"/>
        </w:rPr>
        <w:t> </w:t>
      </w:r>
      <w:r>
        <w:rPr>
          <w:color w:val="105C84"/>
        </w:rPr>
        <w:t>County</w:t>
      </w:r>
      <w:r>
        <w:rPr>
          <w:color w:val="105C84"/>
          <w:spacing w:val="-15"/>
        </w:rPr>
        <w:t> </w:t>
      </w:r>
      <w:r>
        <w:rPr>
          <w:color w:val="105C84"/>
        </w:rPr>
        <w:t>Rural Health Network</w:t>
      </w:r>
    </w:p>
    <w:p>
      <w:pPr>
        <w:pStyle w:val="BodyText"/>
        <w:spacing w:before="4"/>
        <w:rPr>
          <w:sz w:val="6"/>
        </w:rPr>
      </w:pPr>
    </w:p>
    <w:p>
      <w:pPr>
        <w:spacing w:line="20" w:lineRule="exact"/>
        <w:ind w:left="1082" w:right="-1109" w:firstLine="0"/>
        <w:rPr>
          <w:sz w:val="2"/>
        </w:rPr>
      </w:pPr>
      <w:r>
        <w:rPr>
          <w:sz w:val="2"/>
        </w:rPr>
        <mc:AlternateContent>
          <mc:Choice Requires="wps">
            <w:drawing>
              <wp:inline distT="0" distB="0" distL="0" distR="0">
                <wp:extent cx="2019300" cy="3175"/>
                <wp:effectExtent l="9525" t="0" r="0" b="6350"/>
                <wp:docPr id="1549" name="Group 1549"/>
                <wp:cNvGraphicFramePr>
                  <a:graphicFrameLocks/>
                </wp:cNvGraphicFramePr>
                <a:graphic>
                  <a:graphicData uri="http://schemas.microsoft.com/office/word/2010/wordprocessingGroup">
                    <wpg:wgp>
                      <wpg:cNvPr id="1549" name="Group 1549"/>
                      <wpg:cNvGrpSpPr/>
                      <wpg:grpSpPr>
                        <a:xfrm>
                          <a:off x="0" y="0"/>
                          <a:ext cx="2019300" cy="3175"/>
                          <a:chExt cx="2019300" cy="3175"/>
                        </a:xfrm>
                      </wpg:grpSpPr>
                      <wps:wsp>
                        <wps:cNvPr id="1550" name="Graphic 1550"/>
                        <wps:cNvSpPr/>
                        <wps:spPr>
                          <a:xfrm>
                            <a:off x="0" y="1587"/>
                            <a:ext cx="2019300" cy="1270"/>
                          </a:xfrm>
                          <a:custGeom>
                            <a:avLst/>
                            <a:gdLst/>
                            <a:ahLst/>
                            <a:cxnLst/>
                            <a:rect l="l" t="t" r="r" b="b"/>
                            <a:pathLst>
                              <a:path w="2019300" h="0">
                                <a:moveTo>
                                  <a:pt x="0" y="0"/>
                                </a:moveTo>
                                <a:lnTo>
                                  <a:pt x="2019236" y="0"/>
                                </a:lnTo>
                              </a:path>
                            </a:pathLst>
                          </a:custGeom>
                          <a:ln w="3175">
                            <a:solidFill>
                              <a:srgbClr val="636466"/>
                            </a:solidFill>
                            <a:prstDash val="solid"/>
                          </a:ln>
                        </wps:spPr>
                        <wps:bodyPr wrap="square" lIns="0" tIns="0" rIns="0" bIns="0" rtlCol="0">
                          <a:prstTxWarp prst="textNoShape">
                            <a:avLst/>
                          </a:prstTxWarp>
                          <a:noAutofit/>
                        </wps:bodyPr>
                      </wps:wsp>
                    </wpg:wgp>
                  </a:graphicData>
                </a:graphic>
              </wp:inline>
            </w:drawing>
          </mc:Choice>
          <mc:Fallback>
            <w:pict>
              <v:group style="width:159pt;height:.25pt;mso-position-horizontal-relative:char;mso-position-vertical-relative:line" id="docshapegroup1226" coordorigin="0,0" coordsize="3180,5">
                <v:line style="position:absolute" from="0,3" to="3180,3" stroked="true" strokeweight=".25pt" strokecolor="#636466">
                  <v:stroke dashstyle="solid"/>
                </v:line>
              </v:group>
            </w:pict>
          </mc:Fallback>
        </mc:AlternateContent>
      </w:r>
      <w:r>
        <w:rPr>
          <w:sz w:val="2"/>
        </w:rPr>
      </w:r>
    </w:p>
    <w:p>
      <w:pPr>
        <w:pStyle w:val="BodyText"/>
        <w:spacing w:before="1"/>
        <w:rPr>
          <w:sz w:val="5"/>
        </w:rPr>
      </w:pPr>
    </w:p>
    <w:p>
      <w:pPr>
        <w:pStyle w:val="ListParagraph"/>
        <w:numPr>
          <w:ilvl w:val="0"/>
          <w:numId w:val="34"/>
        </w:numPr>
        <w:tabs>
          <w:tab w:pos="1401" w:val="left" w:leader="none"/>
        </w:tabs>
        <w:spacing w:line="240" w:lineRule="auto" w:before="99" w:after="0"/>
        <w:ind w:left="1401" w:right="0" w:hanging="239"/>
        <w:jc w:val="left"/>
        <w:rPr>
          <w:sz w:val="22"/>
        </w:rPr>
      </w:pPr>
      <w:r>
        <w:rPr/>
        <w:br w:type="column"/>
      </w:r>
      <w:r>
        <w:rPr>
          <w:color w:val="105C84"/>
          <w:sz w:val="22"/>
        </w:rPr>
        <w:t>Public</w:t>
      </w:r>
      <w:r>
        <w:rPr>
          <w:color w:val="105C84"/>
          <w:spacing w:val="42"/>
          <w:sz w:val="22"/>
        </w:rPr>
        <w:t> </w:t>
      </w:r>
      <w:r>
        <w:rPr>
          <w:color w:val="105C84"/>
          <w:sz w:val="22"/>
        </w:rPr>
        <w:t>Health’s</w:t>
      </w:r>
      <w:r>
        <w:rPr>
          <w:color w:val="105C84"/>
          <w:spacing w:val="43"/>
          <w:sz w:val="22"/>
        </w:rPr>
        <w:t> </w:t>
      </w:r>
      <w:r>
        <w:rPr>
          <w:color w:val="105C84"/>
          <w:sz w:val="22"/>
        </w:rPr>
        <w:t>website:</w:t>
      </w:r>
      <w:r>
        <w:rPr>
          <w:color w:val="105C84"/>
          <w:spacing w:val="42"/>
          <w:sz w:val="22"/>
        </w:rPr>
        <w:t> </w:t>
      </w:r>
      <w:hyperlink r:id="rId216">
        <w:r>
          <w:rPr>
            <w:color w:val="105C84"/>
            <w:spacing w:val="-2"/>
            <w:sz w:val="22"/>
          </w:rPr>
          <w:t>https://web.co.wayne.ny.us/index.php/publichealth/</w:t>
        </w:r>
      </w:hyperlink>
    </w:p>
    <w:p>
      <w:pPr>
        <w:pStyle w:val="ListParagraph"/>
        <w:numPr>
          <w:ilvl w:val="0"/>
          <w:numId w:val="34"/>
        </w:numPr>
        <w:tabs>
          <w:tab w:pos="1401" w:val="left" w:leader="none"/>
        </w:tabs>
        <w:spacing w:line="240" w:lineRule="auto" w:before="187" w:after="0"/>
        <w:ind w:left="1401" w:right="0" w:hanging="239"/>
        <w:jc w:val="left"/>
        <w:rPr>
          <w:sz w:val="22"/>
        </w:rPr>
      </w:pPr>
      <w:r>
        <w:rPr>
          <w:color w:val="105C84"/>
          <w:sz w:val="22"/>
        </w:rPr>
        <w:t>Facebook:</w:t>
      </w:r>
      <w:r>
        <w:rPr>
          <w:color w:val="105C84"/>
          <w:spacing w:val="54"/>
          <w:w w:val="150"/>
          <w:sz w:val="22"/>
        </w:rPr>
        <w:t> </w:t>
      </w:r>
      <w:hyperlink r:id="rId217">
        <w:r>
          <w:rPr>
            <w:color w:val="105C84"/>
            <w:spacing w:val="-2"/>
            <w:sz w:val="22"/>
          </w:rPr>
          <w:t>https://www.facebook.com/WayneCountyPublicHealth/</w:t>
        </w:r>
      </w:hyperlink>
    </w:p>
    <w:p>
      <w:pPr>
        <w:pStyle w:val="ListParagraph"/>
        <w:spacing w:after="0" w:line="240" w:lineRule="auto"/>
        <w:jc w:val="left"/>
        <w:rPr>
          <w:sz w:val="22"/>
        </w:rPr>
        <w:sectPr>
          <w:type w:val="continuous"/>
          <w:pgSz w:w="24480" w:h="15840" w:orient="landscape"/>
          <w:pgMar w:header="0" w:footer="0" w:top="0" w:bottom="280" w:left="0" w:right="720"/>
          <w:cols w:num="4" w:equalWidth="0">
            <w:col w:w="3222" w:space="275"/>
            <w:col w:w="3244" w:space="191"/>
            <w:col w:w="3216" w:space="2210"/>
            <w:col w:w="11402"/>
          </w:cols>
        </w:sectPr>
      </w:pPr>
    </w:p>
    <w:p>
      <w:pPr>
        <w:pStyle w:val="BodyText"/>
        <w:spacing w:line="247" w:lineRule="auto" w:before="20"/>
        <w:ind w:left="1162"/>
      </w:pPr>
      <w:r>
        <w:rPr>
          <w:color w:val="105C84"/>
        </w:rPr>
        <w:t>Council on Alcoholism &amp; Addictions of the Finger </w:t>
      </w:r>
      <w:r>
        <w:rPr>
          <w:color w:val="105C84"/>
        </w:rPr>
        <w:t>Lakes</w:t>
      </w:r>
    </w:p>
    <w:p>
      <w:pPr>
        <w:pStyle w:val="BodyText"/>
        <w:tabs>
          <w:tab w:pos="3857" w:val="left" w:leader="none"/>
        </w:tabs>
        <w:spacing w:before="20"/>
        <w:ind w:left="423"/>
      </w:pPr>
      <w:r>
        <w:rPr/>
        <w:br w:type="column"/>
      </w:r>
      <w:r>
        <w:rPr>
          <w:color w:val="105C84"/>
          <w:spacing w:val="-4"/>
          <w:position w:val="-12"/>
        </w:rPr>
        <w:t>S2AY</w:t>
      </w:r>
      <w:r>
        <w:rPr>
          <w:color w:val="105C84"/>
          <w:spacing w:val="-5"/>
          <w:position w:val="-12"/>
        </w:rPr>
        <w:t> </w:t>
      </w:r>
      <w:r>
        <w:rPr>
          <w:color w:val="105C84"/>
          <w:spacing w:val="-4"/>
          <w:position w:val="-12"/>
        </w:rPr>
        <w:t>Rural</w:t>
      </w:r>
      <w:r>
        <w:rPr>
          <w:color w:val="105C84"/>
          <w:spacing w:val="-5"/>
          <w:position w:val="-12"/>
        </w:rPr>
        <w:t> </w:t>
      </w:r>
      <w:r>
        <w:rPr>
          <w:color w:val="105C84"/>
          <w:spacing w:val="-4"/>
          <w:position w:val="-12"/>
        </w:rPr>
        <w:t>Health Network</w:t>
      </w:r>
      <w:r>
        <w:rPr>
          <w:color w:val="105C84"/>
          <w:position w:val="-12"/>
        </w:rPr>
        <w:tab/>
      </w:r>
      <w:r>
        <w:rPr>
          <w:color w:val="105C84"/>
        </w:rPr>
        <w:t>Tobacco</w:t>
      </w:r>
      <w:r>
        <w:rPr>
          <w:color w:val="105C84"/>
          <w:spacing w:val="8"/>
        </w:rPr>
        <w:t> </w:t>
      </w:r>
      <w:r>
        <w:rPr>
          <w:color w:val="105C84"/>
        </w:rPr>
        <w:t>Action</w:t>
      </w:r>
      <w:r>
        <w:rPr>
          <w:color w:val="105C84"/>
          <w:spacing w:val="8"/>
        </w:rPr>
        <w:t> </w:t>
      </w:r>
      <w:r>
        <w:rPr>
          <w:color w:val="105C84"/>
          <w:spacing w:val="-2"/>
        </w:rPr>
        <w:t>Coalition</w:t>
      </w:r>
    </w:p>
    <w:p>
      <w:pPr>
        <w:pStyle w:val="ListParagraph"/>
        <w:numPr>
          <w:ilvl w:val="0"/>
          <w:numId w:val="34"/>
        </w:numPr>
        <w:tabs>
          <w:tab w:pos="1401" w:val="left" w:leader="none"/>
        </w:tabs>
        <w:spacing w:line="240" w:lineRule="auto" w:before="153" w:after="0"/>
        <w:ind w:left="1401" w:right="0" w:hanging="239"/>
        <w:jc w:val="left"/>
        <w:rPr>
          <w:sz w:val="22"/>
        </w:rPr>
      </w:pPr>
      <w:r>
        <w:rPr/>
        <w:br w:type="column"/>
      </w:r>
      <w:r>
        <w:rPr>
          <w:color w:val="105C84"/>
          <w:sz w:val="22"/>
        </w:rPr>
        <w:t>Instagram:</w:t>
      </w:r>
      <w:r>
        <w:rPr>
          <w:color w:val="105C84"/>
          <w:spacing w:val="44"/>
          <w:sz w:val="22"/>
        </w:rPr>
        <w:t> </w:t>
      </w:r>
      <w:r>
        <w:rPr>
          <w:color w:val="105C84"/>
          <w:sz w:val="22"/>
        </w:rPr>
        <w:t>@waynecountypublichealth</w:t>
      </w:r>
      <w:r>
        <w:rPr>
          <w:color w:val="105C84"/>
          <w:spacing w:val="45"/>
          <w:sz w:val="22"/>
        </w:rPr>
        <w:t> </w:t>
      </w:r>
      <w:r>
        <w:rPr>
          <w:color w:val="105C84"/>
          <w:sz w:val="22"/>
        </w:rPr>
        <w:t>or</w:t>
      </w:r>
      <w:r>
        <w:rPr>
          <w:color w:val="105C84"/>
          <w:spacing w:val="45"/>
          <w:sz w:val="22"/>
        </w:rPr>
        <w:t> </w:t>
      </w:r>
      <w:hyperlink r:id="rId218">
        <w:r>
          <w:rPr>
            <w:color w:val="105C84"/>
            <w:spacing w:val="-2"/>
            <w:sz w:val="22"/>
          </w:rPr>
          <w:t>https://www.instagram.com/waynecountypublichealth/</w:t>
        </w:r>
      </w:hyperlink>
    </w:p>
    <w:p>
      <w:pPr>
        <w:pStyle w:val="ListParagraph"/>
        <w:spacing w:after="0" w:line="240" w:lineRule="auto"/>
        <w:jc w:val="left"/>
        <w:rPr>
          <w:sz w:val="22"/>
        </w:rPr>
        <w:sectPr>
          <w:type w:val="continuous"/>
          <w:pgSz w:w="24480" w:h="15840" w:orient="landscape"/>
          <w:pgMar w:header="0" w:footer="0" w:top="0" w:bottom="280" w:left="0" w:right="720"/>
          <w:cols w:num="3" w:equalWidth="0">
            <w:col w:w="4197" w:space="40"/>
            <w:col w:w="6409" w:space="1711"/>
            <w:col w:w="11403"/>
          </w:cols>
        </w:sectPr>
      </w:pPr>
    </w:p>
    <w:p>
      <w:pPr>
        <w:pStyle w:val="BodyText"/>
        <w:spacing w:before="4"/>
        <w:rPr>
          <w:sz w:val="5"/>
        </w:rPr>
      </w:pPr>
    </w:p>
    <w:p>
      <w:pPr>
        <w:tabs>
          <w:tab w:pos="4579" w:val="left" w:leader="none"/>
        </w:tabs>
        <w:spacing w:line="20" w:lineRule="exact"/>
        <w:ind w:left="1082" w:right="0" w:firstLine="0"/>
        <w:rPr>
          <w:sz w:val="2"/>
        </w:rPr>
      </w:pPr>
      <w:r>
        <w:rPr>
          <w:sz w:val="2"/>
        </w:rPr>
        <mc:AlternateContent>
          <mc:Choice Requires="wps">
            <w:drawing>
              <wp:inline distT="0" distB="0" distL="0" distR="0">
                <wp:extent cx="2074545" cy="3175"/>
                <wp:effectExtent l="9525" t="0" r="0" b="6350"/>
                <wp:docPr id="1551" name="Group 1551"/>
                <wp:cNvGraphicFramePr>
                  <a:graphicFrameLocks/>
                </wp:cNvGraphicFramePr>
                <a:graphic>
                  <a:graphicData uri="http://schemas.microsoft.com/office/word/2010/wordprocessingGroup">
                    <wpg:wgp>
                      <wpg:cNvPr id="1551" name="Group 1551"/>
                      <wpg:cNvGrpSpPr/>
                      <wpg:grpSpPr>
                        <a:xfrm>
                          <a:off x="0" y="0"/>
                          <a:ext cx="2074545" cy="3175"/>
                          <a:chExt cx="2074545" cy="3175"/>
                        </a:xfrm>
                      </wpg:grpSpPr>
                      <wps:wsp>
                        <wps:cNvPr id="1552" name="Graphic 1552"/>
                        <wps:cNvSpPr/>
                        <wps:spPr>
                          <a:xfrm>
                            <a:off x="0" y="1587"/>
                            <a:ext cx="2074545" cy="1270"/>
                          </a:xfrm>
                          <a:custGeom>
                            <a:avLst/>
                            <a:gdLst/>
                            <a:ahLst/>
                            <a:cxnLst/>
                            <a:rect l="l" t="t" r="r" b="b"/>
                            <a:pathLst>
                              <a:path w="2074545" h="0">
                                <a:moveTo>
                                  <a:pt x="0" y="0"/>
                                </a:moveTo>
                                <a:lnTo>
                                  <a:pt x="2074100" y="0"/>
                                </a:lnTo>
                              </a:path>
                            </a:pathLst>
                          </a:custGeom>
                          <a:ln w="3175">
                            <a:solidFill>
                              <a:srgbClr val="636466"/>
                            </a:solidFill>
                            <a:prstDash val="solid"/>
                          </a:ln>
                        </wps:spPr>
                        <wps:bodyPr wrap="square" lIns="0" tIns="0" rIns="0" bIns="0" rtlCol="0">
                          <a:prstTxWarp prst="textNoShape">
                            <a:avLst/>
                          </a:prstTxWarp>
                          <a:noAutofit/>
                        </wps:bodyPr>
                      </wps:wsp>
                    </wpg:wgp>
                  </a:graphicData>
                </a:graphic>
              </wp:inline>
            </w:drawing>
          </mc:Choice>
          <mc:Fallback>
            <w:pict>
              <v:group style="width:163.35pt;height:.25pt;mso-position-horizontal-relative:char;mso-position-vertical-relative:line" id="docshapegroup1227" coordorigin="0,0" coordsize="3267,5">
                <v:line style="position:absolute" from="0,3" to="3266,3" stroked="true" strokeweight=".25pt" strokecolor="#636466">
                  <v:stroke dashstyle="solid"/>
                </v:line>
              </v:group>
            </w:pict>
          </mc:Fallback>
        </mc:AlternateContent>
      </w:r>
      <w:r>
        <w:rPr>
          <w:sz w:val="2"/>
        </w:rPr>
      </w:r>
      <w:r>
        <w:rPr>
          <w:sz w:val="2"/>
        </w:rPr>
        <w:tab/>
      </w:r>
      <w:r>
        <w:rPr>
          <w:sz w:val="2"/>
        </w:rPr>
        <mc:AlternateContent>
          <mc:Choice Requires="wps">
            <w:drawing>
              <wp:inline distT="0" distB="0" distL="0" distR="0">
                <wp:extent cx="2007235" cy="3175"/>
                <wp:effectExtent l="9525" t="0" r="0" b="6350"/>
                <wp:docPr id="1553" name="Group 1553"/>
                <wp:cNvGraphicFramePr>
                  <a:graphicFrameLocks/>
                </wp:cNvGraphicFramePr>
                <a:graphic>
                  <a:graphicData uri="http://schemas.microsoft.com/office/word/2010/wordprocessingGroup">
                    <wpg:wgp>
                      <wpg:cNvPr id="1553" name="Group 1553"/>
                      <wpg:cNvGrpSpPr/>
                      <wpg:grpSpPr>
                        <a:xfrm>
                          <a:off x="0" y="0"/>
                          <a:ext cx="2007235" cy="3175"/>
                          <a:chExt cx="2007235" cy="3175"/>
                        </a:xfrm>
                      </wpg:grpSpPr>
                      <wps:wsp>
                        <wps:cNvPr id="1554" name="Graphic 1554"/>
                        <wps:cNvSpPr/>
                        <wps:spPr>
                          <a:xfrm>
                            <a:off x="0" y="1587"/>
                            <a:ext cx="2007235" cy="1270"/>
                          </a:xfrm>
                          <a:custGeom>
                            <a:avLst/>
                            <a:gdLst/>
                            <a:ahLst/>
                            <a:cxnLst/>
                            <a:rect l="l" t="t" r="r" b="b"/>
                            <a:pathLst>
                              <a:path w="2007235" h="0">
                                <a:moveTo>
                                  <a:pt x="0" y="0"/>
                                </a:moveTo>
                                <a:lnTo>
                                  <a:pt x="2007108" y="0"/>
                                </a:lnTo>
                              </a:path>
                            </a:pathLst>
                          </a:custGeom>
                          <a:ln w="3175">
                            <a:solidFill>
                              <a:srgbClr val="636466"/>
                            </a:solidFill>
                            <a:prstDash val="solid"/>
                          </a:ln>
                        </wps:spPr>
                        <wps:bodyPr wrap="square" lIns="0" tIns="0" rIns="0" bIns="0" rtlCol="0">
                          <a:prstTxWarp prst="textNoShape">
                            <a:avLst/>
                          </a:prstTxWarp>
                          <a:noAutofit/>
                        </wps:bodyPr>
                      </wps:wsp>
                    </wpg:wgp>
                  </a:graphicData>
                </a:graphic>
              </wp:inline>
            </w:drawing>
          </mc:Choice>
          <mc:Fallback>
            <w:pict>
              <v:group style="width:158.050pt;height:.25pt;mso-position-horizontal-relative:char;mso-position-vertical-relative:line" id="docshapegroup1228" coordorigin="0,0" coordsize="3161,5">
                <v:line style="position:absolute" from="0,3" to="3161,3" stroked="true" strokeweight=".25pt" strokecolor="#636466">
                  <v:stroke dashstyle="solid"/>
                </v:line>
              </v:group>
            </w:pict>
          </mc:Fallback>
        </mc:AlternateContent>
      </w:r>
      <w:r>
        <w:rPr>
          <w:sz w:val="2"/>
        </w:rPr>
      </w:r>
    </w:p>
    <w:p>
      <w:pPr>
        <w:pStyle w:val="BodyText"/>
        <w:tabs>
          <w:tab w:pos="4659" w:val="left" w:leader="none"/>
          <w:tab w:pos="8093" w:val="left" w:leader="none"/>
        </w:tabs>
        <w:spacing w:before="52"/>
        <w:ind w:left="1162"/>
        <w:rPr>
          <w:position w:val="13"/>
        </w:rPr>
      </w:pPr>
      <w:r>
        <w:rPr>
          <w:position w:val="13"/>
        </w:rPr>
        <mc:AlternateContent>
          <mc:Choice Requires="wps">
            <w:drawing>
              <wp:anchor distT="0" distB="0" distL="0" distR="0" allowOverlap="1" layoutInCell="1" locked="0" behindDoc="0" simplePos="0" relativeHeight="15891456">
                <wp:simplePos x="0" y="0"/>
                <wp:positionH relativeFrom="page">
                  <wp:posOffset>5088635</wp:posOffset>
                </wp:positionH>
                <wp:positionV relativeFrom="paragraph">
                  <wp:posOffset>-12151</wp:posOffset>
                </wp:positionV>
                <wp:extent cx="2019300" cy="1270"/>
                <wp:effectExtent l="0" t="0" r="0" b="0"/>
                <wp:wrapNone/>
                <wp:docPr id="1555" name="Graphic 1555"/>
                <wp:cNvGraphicFramePr>
                  <a:graphicFrameLocks/>
                </wp:cNvGraphicFramePr>
                <a:graphic>
                  <a:graphicData uri="http://schemas.microsoft.com/office/word/2010/wordprocessingShape">
                    <wps:wsp>
                      <wps:cNvPr id="1555" name="Graphic 1555"/>
                      <wps:cNvSpPr/>
                      <wps:spPr>
                        <a:xfrm>
                          <a:off x="0" y="0"/>
                          <a:ext cx="2019300" cy="1270"/>
                        </a:xfrm>
                        <a:custGeom>
                          <a:avLst/>
                          <a:gdLst/>
                          <a:ahLst/>
                          <a:cxnLst/>
                          <a:rect l="l" t="t" r="r" b="b"/>
                          <a:pathLst>
                            <a:path w="2019300" h="0">
                              <a:moveTo>
                                <a:pt x="0" y="0"/>
                              </a:moveTo>
                              <a:lnTo>
                                <a:pt x="2019236" y="0"/>
                              </a:lnTo>
                            </a:path>
                          </a:pathLst>
                        </a:custGeom>
                        <a:ln w="3175">
                          <a:solidFill>
                            <a:srgbClr val="63646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91456" from="400.679993pt,-.95678pt" to="559.674993pt,-.95678pt" stroked="true" strokeweight=".25pt" strokecolor="#636466">
                <v:stroke dashstyle="solid"/>
                <w10:wrap type="none"/>
              </v:line>
            </w:pict>
          </mc:Fallback>
        </mc:AlternateContent>
      </w:r>
      <w:r>
        <w:rPr>
          <w:position w:val="13"/>
        </w:rPr>
        <mc:AlternateContent>
          <mc:Choice Requires="wps">
            <w:drawing>
              <wp:anchor distT="0" distB="0" distL="0" distR="0" allowOverlap="1" layoutInCell="1" locked="0" behindDoc="1" simplePos="0" relativeHeight="475122176">
                <wp:simplePos x="0" y="0"/>
                <wp:positionH relativeFrom="page">
                  <wp:posOffset>5139435</wp:posOffset>
                </wp:positionH>
                <wp:positionV relativeFrom="paragraph">
                  <wp:posOffset>-225879</wp:posOffset>
                </wp:positionV>
                <wp:extent cx="1207135" cy="191135"/>
                <wp:effectExtent l="0" t="0" r="0" b="0"/>
                <wp:wrapNone/>
                <wp:docPr id="1556" name="Textbox 1556"/>
                <wp:cNvGraphicFramePr>
                  <a:graphicFrameLocks/>
                </wp:cNvGraphicFramePr>
                <a:graphic>
                  <a:graphicData uri="http://schemas.microsoft.com/office/word/2010/wordprocessingShape">
                    <wps:wsp>
                      <wps:cNvPr id="1556" name="Textbox 1556"/>
                      <wps:cNvSpPr txBox="1"/>
                      <wps:spPr>
                        <a:xfrm>
                          <a:off x="0" y="0"/>
                          <a:ext cx="1207135" cy="191135"/>
                        </a:xfrm>
                        <a:prstGeom prst="rect">
                          <a:avLst/>
                        </a:prstGeom>
                      </wps:spPr>
                      <wps:txbx>
                        <w:txbxContent>
                          <w:p>
                            <w:pPr>
                              <w:pStyle w:val="BodyText"/>
                              <w:spacing w:before="13"/>
                            </w:pPr>
                            <w:r>
                              <w:rPr>
                                <w:color w:val="105C84"/>
                              </w:rPr>
                              <w:t>of</w:t>
                            </w:r>
                            <w:r>
                              <w:rPr>
                                <w:color w:val="105C84"/>
                                <w:spacing w:val="12"/>
                              </w:rPr>
                              <w:t> </w:t>
                            </w:r>
                            <w:r>
                              <w:rPr>
                                <w:color w:val="105C84"/>
                              </w:rPr>
                              <w:t>the</w:t>
                            </w:r>
                            <w:r>
                              <w:rPr>
                                <w:color w:val="105C84"/>
                                <w:spacing w:val="12"/>
                              </w:rPr>
                              <w:t> </w:t>
                            </w:r>
                            <w:r>
                              <w:rPr>
                                <w:color w:val="105C84"/>
                              </w:rPr>
                              <w:t>Finger</w:t>
                            </w:r>
                            <w:r>
                              <w:rPr>
                                <w:color w:val="105C84"/>
                                <w:spacing w:val="12"/>
                              </w:rPr>
                              <w:t> </w:t>
                            </w:r>
                            <w:r>
                              <w:rPr>
                                <w:color w:val="105C84"/>
                                <w:spacing w:val="-7"/>
                              </w:rPr>
                              <w:t>Lakes</w:t>
                            </w:r>
                          </w:p>
                        </w:txbxContent>
                      </wps:txbx>
                      <wps:bodyPr wrap="square" lIns="0" tIns="0" rIns="0" bIns="0" rtlCol="0">
                        <a:noAutofit/>
                      </wps:bodyPr>
                    </wps:wsp>
                  </a:graphicData>
                </a:graphic>
              </wp:anchor>
            </w:drawing>
          </mc:Choice>
          <mc:Fallback>
            <w:pict>
              <v:shape style="position:absolute;margin-left:404.679993pt;margin-top:-17.78578pt;width:95.05pt;height:15.05pt;mso-position-horizontal-relative:page;mso-position-vertical-relative:paragraph;z-index:-28194304" type="#_x0000_t202" id="docshape1229" filled="false" stroked="false">
                <v:textbox inset="0,0,0,0">
                  <w:txbxContent>
                    <w:p>
                      <w:pPr>
                        <w:pStyle w:val="BodyText"/>
                        <w:spacing w:before="13"/>
                      </w:pPr>
                      <w:r>
                        <w:rPr>
                          <w:color w:val="105C84"/>
                        </w:rPr>
                        <w:t>of</w:t>
                      </w:r>
                      <w:r>
                        <w:rPr>
                          <w:color w:val="105C84"/>
                          <w:spacing w:val="12"/>
                        </w:rPr>
                        <w:t> </w:t>
                      </w:r>
                      <w:r>
                        <w:rPr>
                          <w:color w:val="105C84"/>
                        </w:rPr>
                        <w:t>the</w:t>
                      </w:r>
                      <w:r>
                        <w:rPr>
                          <w:color w:val="105C84"/>
                          <w:spacing w:val="12"/>
                        </w:rPr>
                        <w:t> </w:t>
                      </w:r>
                      <w:r>
                        <w:rPr>
                          <w:color w:val="105C84"/>
                        </w:rPr>
                        <w:t>Finger</w:t>
                      </w:r>
                      <w:r>
                        <w:rPr>
                          <w:color w:val="105C84"/>
                          <w:spacing w:val="12"/>
                        </w:rPr>
                        <w:t> </w:t>
                      </w:r>
                      <w:r>
                        <w:rPr>
                          <w:color w:val="105C84"/>
                          <w:spacing w:val="-7"/>
                        </w:rPr>
                        <w:t>Lakes</w:t>
                      </w:r>
                    </w:p>
                  </w:txbxContent>
                </v:textbox>
                <w10:wrap type="none"/>
              </v:shape>
            </w:pict>
          </mc:Fallback>
        </mc:AlternateContent>
      </w:r>
      <w:r>
        <w:rPr>
          <w:position w:val="13"/>
        </w:rPr>
        <mc:AlternateContent>
          <mc:Choice Requires="wps">
            <w:drawing>
              <wp:anchor distT="0" distB="0" distL="0" distR="0" allowOverlap="1" layoutInCell="1" locked="0" behindDoc="1" simplePos="0" relativeHeight="475122688">
                <wp:simplePos x="0" y="0"/>
                <wp:positionH relativeFrom="page">
                  <wp:posOffset>687387</wp:posOffset>
                </wp:positionH>
                <wp:positionV relativeFrom="paragraph">
                  <wp:posOffset>189728</wp:posOffset>
                </wp:positionV>
                <wp:extent cx="6420485" cy="191135"/>
                <wp:effectExtent l="0" t="0" r="0" b="0"/>
                <wp:wrapNone/>
                <wp:docPr id="1557" name="Textbox 1557"/>
                <wp:cNvGraphicFramePr>
                  <a:graphicFrameLocks/>
                </wp:cNvGraphicFramePr>
                <a:graphic>
                  <a:graphicData uri="http://schemas.microsoft.com/office/word/2010/wordprocessingShape">
                    <wps:wsp>
                      <wps:cNvPr id="1557" name="Textbox 1557"/>
                      <wps:cNvSpPr txBox="1"/>
                      <wps:spPr>
                        <a:xfrm>
                          <a:off x="0" y="0"/>
                          <a:ext cx="6420485" cy="191135"/>
                        </a:xfrm>
                        <a:prstGeom prst="rect">
                          <a:avLst/>
                        </a:prstGeom>
                      </wps:spPr>
                      <wps:txbx>
                        <w:txbxContent>
                          <w:p>
                            <w:pPr>
                              <w:pStyle w:val="BodyText"/>
                              <w:tabs>
                                <w:tab w:pos="3266" w:val="left" w:leader="none"/>
                                <w:tab w:pos="3496" w:val="left" w:leader="none"/>
                                <w:tab w:pos="6657" w:val="left" w:leader="none"/>
                                <w:tab w:pos="6931" w:val="left" w:leader="none"/>
                                <w:tab w:pos="10110" w:val="left" w:leader="none"/>
                              </w:tabs>
                              <w:spacing w:before="13"/>
                            </w:pPr>
                            <w:r>
                              <w:rPr>
                                <w:color w:val="105C84"/>
                                <w:u w:val="single" w:color="636466"/>
                              </w:rPr>
                              <w:tab/>
                            </w:r>
                            <w:r>
                              <w:rPr>
                                <w:color w:val="105C84"/>
                                <w:u w:val="none"/>
                              </w:rPr>
                              <w:tab/>
                            </w:r>
                            <w:r>
                              <w:rPr>
                                <w:color w:val="105C84"/>
                                <w:u w:val="single" w:color="636466"/>
                              </w:rPr>
                              <w:tab/>
                            </w:r>
                            <w:r>
                              <w:rPr>
                                <w:color w:val="105C84"/>
                                <w:u w:val="none"/>
                              </w:rPr>
                              <w:tab/>
                            </w:r>
                            <w:r>
                              <w:rPr>
                                <w:color w:val="105C84"/>
                                <w:spacing w:val="40"/>
                                <w:u w:val="single" w:color="636466"/>
                              </w:rPr>
                              <w:t> </w:t>
                            </w:r>
                            <w:r>
                              <w:rPr>
                                <w:color w:val="105C84"/>
                                <w:u w:val="single" w:color="636466"/>
                              </w:rPr>
                              <w:t>Health Network</w:t>
                              <w:tab/>
                            </w:r>
                          </w:p>
                        </w:txbxContent>
                      </wps:txbx>
                      <wps:bodyPr wrap="square" lIns="0" tIns="0" rIns="0" bIns="0" rtlCol="0">
                        <a:noAutofit/>
                      </wps:bodyPr>
                    </wps:wsp>
                  </a:graphicData>
                </a:graphic>
              </wp:anchor>
            </w:drawing>
          </mc:Choice>
          <mc:Fallback>
            <w:pict>
              <v:shape style="position:absolute;margin-left:54.125pt;margin-top:14.93922pt;width:505.55pt;height:15.05pt;mso-position-horizontal-relative:page;mso-position-vertical-relative:paragraph;z-index:-28193792" type="#_x0000_t202" id="docshape1230" filled="false" stroked="false">
                <v:textbox inset="0,0,0,0">
                  <w:txbxContent>
                    <w:p>
                      <w:pPr>
                        <w:pStyle w:val="BodyText"/>
                        <w:tabs>
                          <w:tab w:pos="3266" w:val="left" w:leader="none"/>
                          <w:tab w:pos="3496" w:val="left" w:leader="none"/>
                          <w:tab w:pos="6657" w:val="left" w:leader="none"/>
                          <w:tab w:pos="6931" w:val="left" w:leader="none"/>
                          <w:tab w:pos="10110" w:val="left" w:leader="none"/>
                        </w:tabs>
                        <w:spacing w:before="13"/>
                      </w:pPr>
                      <w:r>
                        <w:rPr>
                          <w:color w:val="105C84"/>
                          <w:u w:val="single" w:color="636466"/>
                        </w:rPr>
                        <w:tab/>
                      </w:r>
                      <w:r>
                        <w:rPr>
                          <w:color w:val="105C84"/>
                          <w:u w:val="none"/>
                        </w:rPr>
                        <w:tab/>
                      </w:r>
                      <w:r>
                        <w:rPr>
                          <w:color w:val="105C84"/>
                          <w:u w:val="single" w:color="636466"/>
                        </w:rPr>
                        <w:tab/>
                      </w:r>
                      <w:r>
                        <w:rPr>
                          <w:color w:val="105C84"/>
                          <w:u w:val="none"/>
                        </w:rPr>
                        <w:tab/>
                      </w:r>
                      <w:r>
                        <w:rPr>
                          <w:color w:val="105C84"/>
                          <w:spacing w:val="40"/>
                          <w:u w:val="single" w:color="636466"/>
                        </w:rPr>
                        <w:t> </w:t>
                      </w:r>
                      <w:r>
                        <w:rPr>
                          <w:color w:val="105C84"/>
                          <w:u w:val="single" w:color="636466"/>
                        </w:rPr>
                        <w:t>Health Network</w:t>
                        <w:tab/>
                      </w:r>
                    </w:p>
                  </w:txbxContent>
                </v:textbox>
                <w10:wrap type="none"/>
              </v:shape>
            </w:pict>
          </mc:Fallback>
        </mc:AlternateContent>
      </w:r>
      <w:r>
        <w:rPr>
          <w:color w:val="105C84"/>
          <w:spacing w:val="-2"/>
        </w:rPr>
        <w:t>Dentistry</w:t>
      </w:r>
      <w:r>
        <w:rPr>
          <w:color w:val="105C84"/>
        </w:rPr>
        <w:tab/>
      </w:r>
      <w:r>
        <w:rPr>
          <w:color w:val="105C84"/>
          <w:spacing w:val="-2"/>
        </w:rPr>
        <w:t>Evalumetrics</w:t>
      </w:r>
      <w:r>
        <w:rPr>
          <w:color w:val="105C84"/>
          <w:spacing w:val="8"/>
        </w:rPr>
        <w:t> </w:t>
      </w:r>
      <w:r>
        <w:rPr>
          <w:color w:val="105C84"/>
          <w:spacing w:val="-2"/>
        </w:rPr>
        <w:t>Research</w:t>
      </w:r>
      <w:r>
        <w:rPr>
          <w:color w:val="105C84"/>
        </w:rPr>
        <w:tab/>
      </w:r>
      <w:r>
        <w:rPr>
          <w:color w:val="105C84"/>
          <w:spacing w:val="-2"/>
          <w:position w:val="13"/>
        </w:rPr>
        <w:t>Wayne</w:t>
      </w:r>
      <w:r>
        <w:rPr>
          <w:color w:val="105C84"/>
          <w:spacing w:val="-10"/>
          <w:position w:val="13"/>
        </w:rPr>
        <w:t> </w:t>
      </w:r>
      <w:r>
        <w:rPr>
          <w:color w:val="105C84"/>
          <w:spacing w:val="-2"/>
          <w:position w:val="13"/>
        </w:rPr>
        <w:t>Behavioral</w:t>
      </w:r>
    </w:p>
    <w:p>
      <w:pPr>
        <w:pStyle w:val="ListParagraph"/>
        <w:numPr>
          <w:ilvl w:val="0"/>
          <w:numId w:val="34"/>
        </w:numPr>
        <w:tabs>
          <w:tab w:pos="1400" w:val="left" w:leader="none"/>
          <w:tab w:pos="1402" w:val="left" w:leader="none"/>
        </w:tabs>
        <w:spacing w:line="247" w:lineRule="auto" w:before="52" w:after="0"/>
        <w:ind w:left="1402" w:right="1474" w:hanging="241"/>
        <w:jc w:val="left"/>
        <w:rPr>
          <w:sz w:val="22"/>
        </w:rPr>
      </w:pPr>
      <w:r>
        <w:rPr/>
        <w:br w:type="column"/>
      </w:r>
      <w:r>
        <w:rPr>
          <w:color w:val="105C84"/>
          <w:sz w:val="22"/>
        </w:rPr>
        <w:t>RRH Newark-Wayne Community Hospital’s Community Investment Page: </w:t>
      </w:r>
      <w:hyperlink r:id="rId219">
        <w:r>
          <w:rPr>
            <w:color w:val="105C84"/>
            <w:sz w:val="22"/>
          </w:rPr>
          <w:t>https://www.</w:t>
        </w:r>
      </w:hyperlink>
      <w:r>
        <w:rPr>
          <w:color w:val="105C84"/>
          <w:sz w:val="22"/>
        </w:rPr>
        <w:t> </w:t>
      </w:r>
      <w:r>
        <w:rPr>
          <w:color w:val="105C84"/>
          <w:spacing w:val="-2"/>
          <w:sz w:val="22"/>
        </w:rPr>
        <w:t>rochesterregional.org/about/community-investment</w:t>
      </w:r>
    </w:p>
    <w:p>
      <w:pPr>
        <w:pStyle w:val="ListParagraph"/>
        <w:spacing w:after="0" w:line="247" w:lineRule="auto"/>
        <w:jc w:val="left"/>
        <w:rPr>
          <w:sz w:val="22"/>
        </w:rPr>
        <w:sectPr>
          <w:type w:val="continuous"/>
          <w:pgSz w:w="24480" w:h="15840" w:orient="landscape"/>
          <w:pgMar w:header="0" w:footer="0" w:top="0" w:bottom="280" w:left="0" w:right="720"/>
          <w:cols w:num="2" w:equalWidth="0">
            <w:col w:w="9910" w:space="2448"/>
            <w:col w:w="11402"/>
          </w:cols>
        </w:sectPr>
      </w:pPr>
    </w:p>
    <w:p>
      <w:pPr>
        <w:pStyle w:val="BodyText"/>
        <w:spacing w:line="247" w:lineRule="auto" w:before="219" w:after="65"/>
        <w:ind w:left="1162" w:right="38"/>
      </w:pPr>
      <w:r>
        <w:rPr/>
        <mc:AlternateContent>
          <mc:Choice Requires="wps">
            <w:drawing>
              <wp:anchor distT="0" distB="0" distL="0" distR="0" allowOverlap="1" layoutInCell="1" locked="0" behindDoc="0" simplePos="0" relativeHeight="15890944">
                <wp:simplePos x="0" y="0"/>
                <wp:positionH relativeFrom="page">
                  <wp:posOffset>2907792</wp:posOffset>
                </wp:positionH>
                <wp:positionV relativeFrom="paragraph">
                  <wp:posOffset>511507</wp:posOffset>
                </wp:positionV>
                <wp:extent cx="2007235" cy="1270"/>
                <wp:effectExtent l="0" t="0" r="0" b="0"/>
                <wp:wrapNone/>
                <wp:docPr id="1558" name="Graphic 1558"/>
                <wp:cNvGraphicFramePr>
                  <a:graphicFrameLocks/>
                </wp:cNvGraphicFramePr>
                <a:graphic>
                  <a:graphicData uri="http://schemas.microsoft.com/office/word/2010/wordprocessingShape">
                    <wps:wsp>
                      <wps:cNvPr id="1558" name="Graphic 1558"/>
                      <wps:cNvSpPr/>
                      <wps:spPr>
                        <a:xfrm>
                          <a:off x="0" y="0"/>
                          <a:ext cx="2007235" cy="1270"/>
                        </a:xfrm>
                        <a:custGeom>
                          <a:avLst/>
                          <a:gdLst/>
                          <a:ahLst/>
                          <a:cxnLst/>
                          <a:rect l="l" t="t" r="r" b="b"/>
                          <a:pathLst>
                            <a:path w="2007235" h="0">
                              <a:moveTo>
                                <a:pt x="0" y="0"/>
                              </a:moveTo>
                              <a:lnTo>
                                <a:pt x="2007108" y="0"/>
                              </a:lnTo>
                            </a:path>
                          </a:pathLst>
                        </a:custGeom>
                        <a:ln w="3175">
                          <a:solidFill>
                            <a:srgbClr val="63646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90944" from="228.960007pt,40.276188pt" to="387.000007pt,40.276188pt" stroked="true" strokeweight=".25pt" strokecolor="#636466">
                <v:stroke dashstyle="solid"/>
                <w10:wrap type="none"/>
              </v:line>
            </w:pict>
          </mc:Fallback>
        </mc:AlternateContent>
      </w:r>
      <w:r>
        <w:rPr/>
        <mc:AlternateContent>
          <mc:Choice Requires="wps">
            <w:drawing>
              <wp:anchor distT="0" distB="0" distL="0" distR="0" allowOverlap="1" layoutInCell="1" locked="0" behindDoc="0" simplePos="0" relativeHeight="15893504">
                <wp:simplePos x="0" y="0"/>
                <wp:positionH relativeFrom="page">
                  <wp:posOffset>5088635</wp:posOffset>
                </wp:positionH>
                <wp:positionV relativeFrom="paragraph">
                  <wp:posOffset>511507</wp:posOffset>
                </wp:positionV>
                <wp:extent cx="2019300" cy="1270"/>
                <wp:effectExtent l="0" t="0" r="0" b="0"/>
                <wp:wrapNone/>
                <wp:docPr id="1559" name="Graphic 1559"/>
                <wp:cNvGraphicFramePr>
                  <a:graphicFrameLocks/>
                </wp:cNvGraphicFramePr>
                <a:graphic>
                  <a:graphicData uri="http://schemas.microsoft.com/office/word/2010/wordprocessingShape">
                    <wps:wsp>
                      <wps:cNvPr id="1559" name="Graphic 1559"/>
                      <wps:cNvSpPr/>
                      <wps:spPr>
                        <a:xfrm>
                          <a:off x="0" y="0"/>
                          <a:ext cx="2019300" cy="1270"/>
                        </a:xfrm>
                        <a:custGeom>
                          <a:avLst/>
                          <a:gdLst/>
                          <a:ahLst/>
                          <a:cxnLst/>
                          <a:rect l="l" t="t" r="r" b="b"/>
                          <a:pathLst>
                            <a:path w="2019300" h="0">
                              <a:moveTo>
                                <a:pt x="0" y="0"/>
                              </a:moveTo>
                              <a:lnTo>
                                <a:pt x="2019236" y="0"/>
                              </a:lnTo>
                            </a:path>
                          </a:pathLst>
                        </a:custGeom>
                        <a:ln w="3175">
                          <a:solidFill>
                            <a:srgbClr val="63646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93504" from="400.679993pt,40.276188pt" to="559.674993pt,40.276188pt" stroked="true" strokeweight=".25pt" strokecolor="#636466">
                <v:stroke dashstyle="solid"/>
                <w10:wrap type="none"/>
              </v:line>
            </w:pict>
          </mc:Fallback>
        </mc:AlternateContent>
      </w:r>
      <w:r>
        <w:rPr>
          <w:color w:val="105C84"/>
        </w:rPr>
        <w:t>Wayne County </w:t>
      </w:r>
      <w:r>
        <w:rPr>
          <w:color w:val="105C84"/>
        </w:rPr>
        <w:t>Aging and Youth</w:t>
      </w:r>
    </w:p>
    <w:p>
      <w:pPr>
        <w:spacing w:line="20" w:lineRule="exact"/>
        <w:ind w:left="1082" w:right="-1095" w:firstLine="0"/>
        <w:rPr>
          <w:sz w:val="2"/>
        </w:rPr>
      </w:pPr>
      <w:r>
        <w:rPr>
          <w:sz w:val="2"/>
        </w:rPr>
        <mc:AlternateContent>
          <mc:Choice Requires="wps">
            <w:drawing>
              <wp:inline distT="0" distB="0" distL="0" distR="0">
                <wp:extent cx="2074545" cy="3175"/>
                <wp:effectExtent l="9525" t="0" r="0" b="6350"/>
                <wp:docPr id="1560" name="Group 1560"/>
                <wp:cNvGraphicFramePr>
                  <a:graphicFrameLocks/>
                </wp:cNvGraphicFramePr>
                <a:graphic>
                  <a:graphicData uri="http://schemas.microsoft.com/office/word/2010/wordprocessingGroup">
                    <wpg:wgp>
                      <wpg:cNvPr id="1560" name="Group 1560"/>
                      <wpg:cNvGrpSpPr/>
                      <wpg:grpSpPr>
                        <a:xfrm>
                          <a:off x="0" y="0"/>
                          <a:ext cx="2074545" cy="3175"/>
                          <a:chExt cx="2074545" cy="3175"/>
                        </a:xfrm>
                      </wpg:grpSpPr>
                      <wps:wsp>
                        <wps:cNvPr id="1561" name="Graphic 1561"/>
                        <wps:cNvSpPr/>
                        <wps:spPr>
                          <a:xfrm>
                            <a:off x="0" y="1587"/>
                            <a:ext cx="2074545" cy="1270"/>
                          </a:xfrm>
                          <a:custGeom>
                            <a:avLst/>
                            <a:gdLst/>
                            <a:ahLst/>
                            <a:cxnLst/>
                            <a:rect l="l" t="t" r="r" b="b"/>
                            <a:pathLst>
                              <a:path w="2074545" h="0">
                                <a:moveTo>
                                  <a:pt x="0" y="0"/>
                                </a:moveTo>
                                <a:lnTo>
                                  <a:pt x="2074100" y="0"/>
                                </a:lnTo>
                              </a:path>
                            </a:pathLst>
                          </a:custGeom>
                          <a:ln w="3175">
                            <a:solidFill>
                              <a:srgbClr val="636466"/>
                            </a:solidFill>
                            <a:prstDash val="solid"/>
                          </a:ln>
                        </wps:spPr>
                        <wps:bodyPr wrap="square" lIns="0" tIns="0" rIns="0" bIns="0" rtlCol="0">
                          <a:prstTxWarp prst="textNoShape">
                            <a:avLst/>
                          </a:prstTxWarp>
                          <a:noAutofit/>
                        </wps:bodyPr>
                      </wps:wsp>
                    </wpg:wgp>
                  </a:graphicData>
                </a:graphic>
              </wp:inline>
            </w:drawing>
          </mc:Choice>
          <mc:Fallback>
            <w:pict>
              <v:group style="width:163.35pt;height:.25pt;mso-position-horizontal-relative:char;mso-position-vertical-relative:line" id="docshapegroup1231" coordorigin="0,0" coordsize="3267,5">
                <v:line style="position:absolute" from="0,3" to="3266,3" stroked="true" strokeweight=".25pt" strokecolor="#636466">
                  <v:stroke dashstyle="solid"/>
                </v:line>
              </v:group>
            </w:pict>
          </mc:Fallback>
        </mc:AlternateContent>
      </w:r>
      <w:r>
        <w:rPr>
          <w:sz w:val="2"/>
        </w:rPr>
      </w:r>
    </w:p>
    <w:p>
      <w:pPr>
        <w:pStyle w:val="BodyText"/>
        <w:spacing w:before="19"/>
        <w:rPr>
          <w:sz w:val="7"/>
        </w:rPr>
      </w:pPr>
    </w:p>
    <w:p>
      <w:pPr>
        <w:pStyle w:val="BodyText"/>
        <w:spacing w:before="96"/>
      </w:pPr>
      <w:r>
        <w:rPr/>
        <w:br w:type="column"/>
      </w:r>
      <w:r>
        <w:rPr/>
      </w:r>
    </w:p>
    <w:p>
      <w:pPr>
        <w:pStyle w:val="BodyText"/>
        <w:ind w:left="1162"/>
      </w:pPr>
      <w:r>
        <w:rPr>
          <w:color w:val="105C84"/>
          <w:spacing w:val="-2"/>
        </w:rPr>
        <w:t>ProAction</w:t>
      </w:r>
    </w:p>
    <w:p>
      <w:pPr>
        <w:pStyle w:val="BodyText"/>
        <w:spacing w:line="247" w:lineRule="auto" w:before="179"/>
        <w:ind w:left="1162" w:right="485"/>
      </w:pPr>
      <w:r>
        <w:rPr/>
        <w:br w:type="column"/>
      </w:r>
      <w:r>
        <w:rPr>
          <w:color w:val="105C84"/>
        </w:rPr>
        <w:t>To promote awareness that the document is available, Wayne County Public Health – in partnership with</w:t>
      </w:r>
      <w:r>
        <w:rPr>
          <w:color w:val="105C84"/>
          <w:spacing w:val="-3"/>
        </w:rPr>
        <w:t> </w:t>
      </w:r>
      <w:r>
        <w:rPr>
          <w:color w:val="105C84"/>
        </w:rPr>
        <w:t>RRH</w:t>
      </w:r>
      <w:r>
        <w:rPr>
          <w:color w:val="105C84"/>
          <w:spacing w:val="-3"/>
        </w:rPr>
        <w:t> </w:t>
      </w:r>
      <w:r>
        <w:rPr>
          <w:color w:val="105C84"/>
        </w:rPr>
        <w:t>Newark-Wayne</w:t>
      </w:r>
      <w:r>
        <w:rPr>
          <w:color w:val="105C84"/>
          <w:spacing w:val="-3"/>
        </w:rPr>
        <w:t> </w:t>
      </w:r>
      <w:r>
        <w:rPr>
          <w:color w:val="105C84"/>
        </w:rPr>
        <w:t>–</w:t>
      </w:r>
      <w:r>
        <w:rPr>
          <w:color w:val="105C84"/>
          <w:spacing w:val="-3"/>
        </w:rPr>
        <w:t> </w:t>
      </w:r>
      <w:r>
        <w:rPr>
          <w:color w:val="105C84"/>
        </w:rPr>
        <w:t>will</w:t>
      </w:r>
      <w:r>
        <w:rPr>
          <w:color w:val="105C84"/>
          <w:spacing w:val="-3"/>
        </w:rPr>
        <w:t> </w:t>
      </w:r>
      <w:r>
        <w:rPr>
          <w:color w:val="105C84"/>
        </w:rPr>
        <w:t>release</w:t>
      </w:r>
      <w:r>
        <w:rPr>
          <w:color w:val="105C84"/>
          <w:spacing w:val="-3"/>
        </w:rPr>
        <w:t> </w:t>
      </w:r>
      <w:r>
        <w:rPr>
          <w:color w:val="105C84"/>
        </w:rPr>
        <w:t>public</w:t>
      </w:r>
      <w:r>
        <w:rPr>
          <w:color w:val="105C84"/>
          <w:spacing w:val="-3"/>
        </w:rPr>
        <w:t> </w:t>
      </w:r>
      <w:r>
        <w:rPr>
          <w:color w:val="105C84"/>
        </w:rPr>
        <w:t>service</w:t>
      </w:r>
      <w:r>
        <w:rPr>
          <w:color w:val="105C84"/>
          <w:spacing w:val="-3"/>
        </w:rPr>
        <w:t> </w:t>
      </w:r>
      <w:r>
        <w:rPr>
          <w:color w:val="105C84"/>
        </w:rPr>
        <w:t>announcements</w:t>
      </w:r>
      <w:r>
        <w:rPr>
          <w:color w:val="105C84"/>
          <w:spacing w:val="-3"/>
        </w:rPr>
        <w:t> </w:t>
      </w:r>
      <w:r>
        <w:rPr>
          <w:color w:val="105C84"/>
        </w:rPr>
        <w:t>and</w:t>
      </w:r>
      <w:r>
        <w:rPr>
          <w:color w:val="105C84"/>
          <w:spacing w:val="-3"/>
        </w:rPr>
        <w:t> </w:t>
      </w:r>
      <w:r>
        <w:rPr>
          <w:color w:val="105C84"/>
        </w:rPr>
        <w:t>press</w:t>
      </w:r>
      <w:r>
        <w:rPr>
          <w:color w:val="105C84"/>
          <w:spacing w:val="-3"/>
        </w:rPr>
        <w:t> </w:t>
      </w:r>
      <w:r>
        <w:rPr>
          <w:color w:val="105C84"/>
        </w:rPr>
        <w:t>releases.</w:t>
      </w:r>
      <w:r>
        <w:rPr>
          <w:color w:val="105C84"/>
          <w:spacing w:val="-3"/>
        </w:rPr>
        <w:t> </w:t>
      </w:r>
      <w:r>
        <w:rPr>
          <w:color w:val="105C84"/>
        </w:rPr>
        <w:t>Health</w:t>
      </w:r>
      <w:r>
        <w:rPr>
          <w:color w:val="105C84"/>
          <w:spacing w:val="-3"/>
        </w:rPr>
        <w:t> </w:t>
      </w:r>
      <w:r>
        <w:rPr>
          <w:color w:val="105C84"/>
        </w:rPr>
        <w:t>and human service agencies, health care providers, municipalities, chambers of commerce, and elected officials will receive correspondence via email and/or mail notifying them of the new document and</w:t>
      </w:r>
      <w:r>
        <w:rPr>
          <w:color w:val="105C84"/>
          <w:spacing w:val="80"/>
        </w:rPr>
        <w:t> </w:t>
      </w:r>
      <w:r>
        <w:rPr>
          <w:color w:val="105C84"/>
        </w:rPr>
        <w:t>how it may be useful to them.</w:t>
      </w:r>
    </w:p>
    <w:p>
      <w:pPr>
        <w:pStyle w:val="BodyText"/>
        <w:spacing w:after="0" w:line="247" w:lineRule="auto"/>
        <w:sectPr>
          <w:type w:val="continuous"/>
          <w:pgSz w:w="24480" w:h="15840" w:orient="landscape"/>
          <w:pgMar w:header="0" w:footer="0" w:top="0" w:bottom="280" w:left="0" w:right="720"/>
          <w:cols w:num="3" w:equalWidth="0">
            <w:col w:w="3317" w:space="3614"/>
            <w:col w:w="2185" w:space="3042"/>
            <w:col w:w="1160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10"/>
        <w:rPr>
          <w:sz w:val="20"/>
        </w:rPr>
      </w:pPr>
    </w:p>
    <w:p>
      <w:pPr>
        <w:pStyle w:val="BodyText"/>
        <w:spacing w:after="0"/>
        <w:rPr>
          <w:sz w:val="20"/>
        </w:rPr>
        <w:sectPr>
          <w:type w:val="continuous"/>
          <w:pgSz w:w="24480" w:h="15840" w:orient="landscape"/>
          <w:pgMar w:header="0" w:footer="0" w:top="0" w:bottom="280" w:left="0" w:right="720"/>
        </w:sectPr>
      </w:pPr>
    </w:p>
    <w:p>
      <w:pPr>
        <w:spacing w:before="116"/>
        <w:ind w:left="0" w:right="0" w:firstLine="0"/>
        <w:jc w:val="left"/>
        <w:rPr>
          <w:b/>
          <w:sz w:val="26"/>
        </w:rPr>
      </w:pPr>
      <w:r>
        <w:rPr>
          <w:b/>
          <w:sz w:val="26"/>
        </w:rPr>
        <w:drawing>
          <wp:anchor distT="0" distB="0" distL="0" distR="0" allowOverlap="1" layoutInCell="1" locked="0" behindDoc="0" simplePos="0" relativeHeight="15889408">
            <wp:simplePos x="0" y="0"/>
            <wp:positionH relativeFrom="page">
              <wp:posOffset>14981556</wp:posOffset>
            </wp:positionH>
            <wp:positionV relativeFrom="page">
              <wp:posOffset>9668103</wp:posOffset>
            </wp:positionV>
            <wp:extent cx="563245" cy="184683"/>
            <wp:effectExtent l="0" t="0" r="0" b="0"/>
            <wp:wrapNone/>
            <wp:docPr id="1562" name="Image 1562"/>
            <wp:cNvGraphicFramePr>
              <a:graphicFrameLocks/>
            </wp:cNvGraphicFramePr>
            <a:graphic>
              <a:graphicData uri="http://schemas.openxmlformats.org/drawingml/2006/picture">
                <pic:pic>
                  <pic:nvPicPr>
                    <pic:cNvPr id="1562" name="Image 1562"/>
                    <pic:cNvPicPr/>
                  </pic:nvPicPr>
                  <pic:blipFill>
                    <a:blip r:embed="rId38" cstate="print"/>
                    <a:stretch>
                      <a:fillRect/>
                    </a:stretch>
                  </pic:blipFill>
                  <pic:spPr>
                    <a:xfrm>
                      <a:off x="0" y="0"/>
                      <a:ext cx="563245" cy="184683"/>
                    </a:xfrm>
                    <a:prstGeom prst="rect">
                      <a:avLst/>
                    </a:prstGeom>
                  </pic:spPr>
                </pic:pic>
              </a:graphicData>
            </a:graphic>
          </wp:anchor>
        </w:drawing>
      </w:r>
      <w:r>
        <w:rPr>
          <w:position w:val="-4"/>
        </w:rPr>
        <w:drawing>
          <wp:inline distT="0" distB="0" distL="0" distR="0">
            <wp:extent cx="568172" cy="184683"/>
            <wp:effectExtent l="0" t="0" r="0" b="0"/>
            <wp:docPr id="1563" name="Image 1563"/>
            <wp:cNvGraphicFramePr>
              <a:graphicFrameLocks/>
            </wp:cNvGraphicFramePr>
            <a:graphic>
              <a:graphicData uri="http://schemas.openxmlformats.org/drawingml/2006/picture">
                <pic:pic>
                  <pic:nvPicPr>
                    <pic:cNvPr id="1563" name="Image 1563"/>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13"/>
          <w:sz w:val="20"/>
        </w:rPr>
        <w:t> </w:t>
      </w:r>
      <w:r>
        <w:rPr>
          <w:b/>
          <w:color w:val="939598"/>
          <w:spacing w:val="-17"/>
          <w:w w:val="105"/>
          <w:sz w:val="26"/>
        </w:rPr>
        <w:t>101</w:t>
      </w:r>
    </w:p>
    <w:p>
      <w:pPr>
        <w:pStyle w:val="BodyText"/>
        <w:spacing w:before="81"/>
        <w:rPr>
          <w:b/>
          <w:sz w:val="14"/>
        </w:rPr>
      </w:pPr>
      <w:r>
        <w:rPr/>
        <w:br w:type="column"/>
      </w:r>
      <w:r>
        <w:rPr>
          <w:b/>
          <w:sz w:val="14"/>
        </w:rPr>
      </w:r>
    </w:p>
    <w:p>
      <w:pPr>
        <w:pStyle w:val="ListParagraph"/>
        <w:numPr>
          <w:ilvl w:val="0"/>
          <w:numId w:val="35"/>
        </w:numPr>
        <w:tabs>
          <w:tab w:pos="217" w:val="left" w:leader="none"/>
        </w:tabs>
        <w:spacing w:line="240" w:lineRule="auto" w:before="0" w:after="0"/>
        <w:ind w:left="217" w:right="0" w:hanging="217"/>
        <w:jc w:val="left"/>
        <w:rPr>
          <w:sz w:val="14"/>
        </w:rPr>
      </w:pPr>
      <w:r>
        <w:rPr>
          <w:color w:val="636466"/>
          <w:spacing w:val="-2"/>
          <w:sz w:val="14"/>
        </w:rPr>
        <w:t>Dryfoos, 2002; Blank, Melaville, &amp; Shah, </w:t>
      </w:r>
      <w:r>
        <w:rPr>
          <w:color w:val="636466"/>
          <w:spacing w:val="-5"/>
          <w:sz w:val="14"/>
        </w:rPr>
        <w:t>2003</w:t>
      </w:r>
    </w:p>
    <w:p>
      <w:pPr>
        <w:pStyle w:val="Heading6"/>
        <w:spacing w:before="116"/>
        <w:ind w:left="0"/>
      </w:pPr>
      <w:r>
        <w:rPr>
          <w:b w:val="0"/>
        </w:rPr>
        <w:br w:type="column"/>
      </w:r>
      <w:r>
        <w:rPr>
          <w:color w:val="939598"/>
          <w:spacing w:val="-5"/>
          <w:w w:val="105"/>
        </w:rPr>
        <w:t>102</w:t>
      </w:r>
    </w:p>
    <w:p>
      <w:pPr>
        <w:pStyle w:val="Heading6"/>
        <w:spacing w:after="0"/>
        <w:sectPr>
          <w:type w:val="continuous"/>
          <w:pgSz w:w="24480" w:h="15840" w:orient="landscape"/>
          <w:pgMar w:header="0" w:footer="0" w:top="0" w:bottom="280" w:left="0" w:right="720"/>
          <w:cols w:num="3" w:equalWidth="0">
            <w:col w:w="1352" w:space="6828"/>
            <w:col w:w="2981" w:space="11886"/>
            <w:col w:w="713"/>
          </w:cols>
        </w:sectPr>
      </w:pPr>
    </w:p>
    <w:p>
      <w:pPr>
        <w:pStyle w:val="BodyText"/>
        <w:spacing w:before="217"/>
        <w:rPr>
          <w:b/>
          <w:sz w:val="20"/>
        </w:rPr>
      </w:pPr>
    </w:p>
    <w:p>
      <w:pPr>
        <w:pStyle w:val="BodyText"/>
        <w:spacing w:after="0"/>
        <w:rPr>
          <w:b/>
          <w:sz w:val="20"/>
        </w:rPr>
        <w:sectPr>
          <w:pgSz w:w="24480" w:h="15840" w:orient="landscape"/>
          <w:pgMar w:header="0" w:footer="0" w:top="860" w:bottom="0" w:left="0" w:right="720"/>
        </w:sectPr>
      </w:pPr>
    </w:p>
    <w:p>
      <w:pPr>
        <w:pStyle w:val="Heading3"/>
        <w:spacing w:before="120"/>
        <w:ind w:left="1065"/>
      </w:pPr>
      <w:bookmarkStart w:name="_TOC_250008" w:id="11"/>
      <w:r>
        <w:rPr>
          <w:color w:val="82BF6A"/>
          <w:spacing w:val="-2"/>
          <w:w w:val="90"/>
        </w:rPr>
        <w:t>YATES</w:t>
      </w:r>
      <w:r>
        <w:rPr>
          <w:color w:val="82BF6A"/>
          <w:spacing w:val="-4"/>
          <w:w w:val="90"/>
        </w:rPr>
        <w:t> </w:t>
      </w:r>
      <w:bookmarkEnd w:id="11"/>
      <w:r>
        <w:rPr>
          <w:color w:val="82BF6A"/>
          <w:spacing w:val="-2"/>
          <w:w w:val="95"/>
        </w:rPr>
        <w:t>COUNTY</w:t>
      </w:r>
    </w:p>
    <w:p>
      <w:pPr>
        <w:pStyle w:val="Heading6"/>
        <w:spacing w:before="258"/>
        <w:ind w:left="1065"/>
      </w:pPr>
      <w:r>
        <w:rPr>
          <w:color w:val="105C84"/>
          <w:spacing w:val="-6"/>
        </w:rPr>
        <w:t>Demographic</w:t>
      </w:r>
      <w:r>
        <w:rPr>
          <w:color w:val="105C84"/>
          <w:spacing w:val="-8"/>
        </w:rPr>
        <w:t> </w:t>
      </w:r>
      <w:r>
        <w:rPr>
          <w:color w:val="105C84"/>
          <w:spacing w:val="-6"/>
        </w:rPr>
        <w:t>and</w:t>
      </w:r>
      <w:r>
        <w:rPr>
          <w:color w:val="105C84"/>
          <w:spacing w:val="-8"/>
        </w:rPr>
        <w:t> </w:t>
      </w:r>
      <w:r>
        <w:rPr>
          <w:color w:val="105C84"/>
          <w:spacing w:val="-6"/>
        </w:rPr>
        <w:t>Socioeconomic</w:t>
      </w:r>
      <w:r>
        <w:rPr>
          <w:color w:val="105C84"/>
          <w:spacing w:val="-8"/>
        </w:rPr>
        <w:t> </w:t>
      </w:r>
      <w:r>
        <w:rPr>
          <w:color w:val="105C84"/>
          <w:spacing w:val="-6"/>
        </w:rPr>
        <w:t>Health</w:t>
      </w:r>
      <w:r>
        <w:rPr>
          <w:color w:val="105C84"/>
          <w:spacing w:val="-7"/>
        </w:rPr>
        <w:t> </w:t>
      </w:r>
      <w:r>
        <w:rPr>
          <w:color w:val="105C84"/>
          <w:spacing w:val="-6"/>
        </w:rPr>
        <w:t>Indicators</w:t>
      </w:r>
    </w:p>
    <w:p>
      <w:pPr>
        <w:pStyle w:val="BodyText"/>
        <w:spacing w:line="246" w:lineRule="exact" w:before="269"/>
        <w:ind w:left="1065"/>
      </w:pPr>
      <w:r>
        <w:rPr>
          <w:color w:val="105C84"/>
        </w:rPr>
        <w:t>Yates</w:t>
      </w:r>
      <w:r>
        <w:rPr>
          <w:color w:val="105C84"/>
          <w:spacing w:val="4"/>
        </w:rPr>
        <w:t> </w:t>
      </w:r>
      <w:r>
        <w:rPr>
          <w:color w:val="105C84"/>
        </w:rPr>
        <w:t>County</w:t>
      </w:r>
      <w:r>
        <w:rPr>
          <w:color w:val="105C84"/>
          <w:spacing w:val="5"/>
        </w:rPr>
        <w:t> </w:t>
      </w:r>
      <w:r>
        <w:rPr>
          <w:color w:val="105C84"/>
        </w:rPr>
        <w:t>is</w:t>
      </w:r>
      <w:r>
        <w:rPr>
          <w:color w:val="105C84"/>
          <w:spacing w:val="5"/>
        </w:rPr>
        <w:t> </w:t>
      </w:r>
      <w:r>
        <w:rPr>
          <w:color w:val="105C84"/>
        </w:rPr>
        <w:t>centered</w:t>
      </w:r>
      <w:r>
        <w:rPr>
          <w:color w:val="105C84"/>
          <w:spacing w:val="4"/>
        </w:rPr>
        <w:t> </w:t>
      </w:r>
      <w:r>
        <w:rPr>
          <w:color w:val="105C84"/>
        </w:rPr>
        <w:t>in</w:t>
      </w:r>
      <w:r>
        <w:rPr>
          <w:color w:val="105C84"/>
          <w:spacing w:val="5"/>
        </w:rPr>
        <w:t> </w:t>
      </w:r>
      <w:r>
        <w:rPr>
          <w:color w:val="105C84"/>
        </w:rPr>
        <w:t>the</w:t>
      </w:r>
      <w:r>
        <w:rPr>
          <w:color w:val="105C84"/>
          <w:spacing w:val="5"/>
        </w:rPr>
        <w:t> </w:t>
      </w:r>
      <w:r>
        <w:rPr>
          <w:color w:val="105C84"/>
        </w:rPr>
        <w:t>Finger</w:t>
      </w:r>
      <w:r>
        <w:rPr>
          <w:color w:val="105C84"/>
          <w:spacing w:val="5"/>
        </w:rPr>
        <w:t> </w:t>
      </w:r>
      <w:r>
        <w:rPr>
          <w:color w:val="105C84"/>
        </w:rPr>
        <w:t>Lakes</w:t>
      </w:r>
      <w:r>
        <w:rPr>
          <w:color w:val="105C84"/>
          <w:spacing w:val="4"/>
        </w:rPr>
        <w:t> </w:t>
      </w:r>
      <w:r>
        <w:rPr>
          <w:color w:val="105C84"/>
        </w:rPr>
        <w:t>region</w:t>
      </w:r>
      <w:r>
        <w:rPr>
          <w:color w:val="105C84"/>
          <w:spacing w:val="5"/>
        </w:rPr>
        <w:t> </w:t>
      </w:r>
      <w:r>
        <w:rPr>
          <w:color w:val="105C84"/>
        </w:rPr>
        <w:t>and</w:t>
      </w:r>
      <w:r>
        <w:rPr>
          <w:color w:val="105C84"/>
          <w:spacing w:val="5"/>
        </w:rPr>
        <w:t> </w:t>
      </w:r>
      <w:r>
        <w:rPr>
          <w:color w:val="105C84"/>
        </w:rPr>
        <w:t>shares</w:t>
      </w:r>
      <w:r>
        <w:rPr>
          <w:color w:val="105C84"/>
          <w:spacing w:val="4"/>
        </w:rPr>
        <w:t> </w:t>
      </w:r>
      <w:r>
        <w:rPr>
          <w:color w:val="105C84"/>
        </w:rPr>
        <w:t>county</w:t>
      </w:r>
      <w:r>
        <w:rPr>
          <w:color w:val="105C84"/>
          <w:spacing w:val="5"/>
        </w:rPr>
        <w:t> </w:t>
      </w:r>
      <w:r>
        <w:rPr>
          <w:color w:val="105C84"/>
        </w:rPr>
        <w:t>borders</w:t>
      </w:r>
      <w:r>
        <w:rPr>
          <w:color w:val="105C84"/>
          <w:spacing w:val="5"/>
        </w:rPr>
        <w:t> </w:t>
      </w:r>
      <w:r>
        <w:rPr>
          <w:color w:val="105C84"/>
        </w:rPr>
        <w:t>with</w:t>
      </w:r>
      <w:r>
        <w:rPr>
          <w:color w:val="105C84"/>
          <w:spacing w:val="5"/>
        </w:rPr>
        <w:t> </w:t>
      </w:r>
      <w:r>
        <w:rPr>
          <w:color w:val="105C84"/>
        </w:rPr>
        <w:t>Ontario,</w:t>
      </w:r>
      <w:r>
        <w:rPr>
          <w:color w:val="105C84"/>
          <w:spacing w:val="4"/>
        </w:rPr>
        <w:t> </w:t>
      </w:r>
      <w:r>
        <w:rPr>
          <w:color w:val="105C84"/>
          <w:spacing w:val="-2"/>
        </w:rPr>
        <w:t>Steuben,</w:t>
      </w:r>
    </w:p>
    <w:p>
      <w:pPr>
        <w:pStyle w:val="BodyText"/>
        <w:spacing w:line="247" w:lineRule="auto" w:before="142"/>
        <w:ind w:left="1065"/>
      </w:pPr>
      <w:r>
        <w:rPr/>
        <w:br w:type="column"/>
      </w:r>
      <w:r>
        <w:rPr>
          <w:color w:val="105C84"/>
        </w:rPr>
        <w:t>Over the past 5 years, there has been a slight shift in educational attainment where there are more residents aged 25+ who have college experience than in years past (Figure 49).</w:t>
      </w:r>
    </w:p>
    <w:p>
      <w:pPr>
        <w:pStyle w:val="BodyText"/>
        <w:spacing w:before="19"/>
      </w:pPr>
    </w:p>
    <w:p>
      <w:pPr>
        <w:pStyle w:val="Heading6"/>
        <w:ind w:left="1065"/>
      </w:pPr>
      <w:r>
        <w:rPr>
          <w:color w:val="105C84"/>
          <w:spacing w:val="-2"/>
        </w:rPr>
        <w:t>FIGURE</w:t>
      </w:r>
      <w:r>
        <w:rPr>
          <w:color w:val="105C84"/>
          <w:spacing w:val="-16"/>
        </w:rPr>
        <w:t> </w:t>
      </w:r>
      <w:r>
        <w:rPr>
          <w:color w:val="105C84"/>
          <w:spacing w:val="-2"/>
        </w:rPr>
        <w:t>49:</w:t>
      </w:r>
      <w:r>
        <w:rPr>
          <w:color w:val="105C84"/>
          <w:spacing w:val="-15"/>
        </w:rPr>
        <w:t> </w:t>
      </w:r>
      <w:r>
        <w:rPr>
          <w:color w:val="105C84"/>
          <w:spacing w:val="-2"/>
        </w:rPr>
        <w:t>Educational</w:t>
      </w:r>
      <w:r>
        <w:rPr>
          <w:color w:val="105C84"/>
          <w:spacing w:val="-16"/>
        </w:rPr>
        <w:t> </w:t>
      </w:r>
      <w:r>
        <w:rPr>
          <w:color w:val="105C84"/>
          <w:spacing w:val="-2"/>
        </w:rPr>
        <w:t>attainment</w:t>
      </w:r>
      <w:r>
        <w:rPr>
          <w:color w:val="105C84"/>
          <w:spacing w:val="-15"/>
        </w:rPr>
        <w:t> </w:t>
      </w:r>
      <w:r>
        <w:rPr>
          <w:color w:val="105C84"/>
          <w:spacing w:val="-2"/>
        </w:rPr>
        <w:t>for</w:t>
      </w:r>
      <w:r>
        <w:rPr>
          <w:color w:val="105C84"/>
          <w:spacing w:val="-15"/>
        </w:rPr>
        <w:t> </w:t>
      </w:r>
      <w:r>
        <w:rPr>
          <w:color w:val="105C84"/>
          <w:spacing w:val="-2"/>
        </w:rPr>
        <w:t>Yates</w:t>
      </w:r>
      <w:r>
        <w:rPr>
          <w:color w:val="105C84"/>
          <w:spacing w:val="-16"/>
        </w:rPr>
        <w:t> </w:t>
      </w:r>
      <w:r>
        <w:rPr>
          <w:color w:val="105C84"/>
          <w:spacing w:val="-2"/>
        </w:rPr>
        <w:t>County</w:t>
      </w:r>
      <w:r>
        <w:rPr>
          <w:color w:val="105C84"/>
          <w:spacing w:val="-15"/>
        </w:rPr>
        <w:t> </w:t>
      </w:r>
      <w:r>
        <w:rPr>
          <w:color w:val="105C84"/>
          <w:spacing w:val="-2"/>
        </w:rPr>
        <w:t>by</w:t>
      </w:r>
      <w:r>
        <w:rPr>
          <w:color w:val="105C84"/>
          <w:spacing w:val="-15"/>
        </w:rPr>
        <w:t> </w:t>
      </w:r>
      <w:r>
        <w:rPr>
          <w:color w:val="105C84"/>
          <w:spacing w:val="-4"/>
        </w:rPr>
        <w:t>year</w:t>
      </w:r>
    </w:p>
    <w:p>
      <w:pPr>
        <w:pStyle w:val="Heading6"/>
        <w:spacing w:after="0"/>
        <w:sectPr>
          <w:type w:val="continuous"/>
          <w:pgSz w:w="24480" w:h="15840" w:orient="landscape"/>
          <w:pgMar w:header="0" w:footer="0" w:top="0" w:bottom="280" w:left="0" w:right="720"/>
          <w:cols w:num="2" w:equalWidth="0">
            <w:col w:w="11204" w:space="1065"/>
            <w:col w:w="11491"/>
          </w:cols>
        </w:sectPr>
      </w:pPr>
    </w:p>
    <w:p>
      <w:pPr>
        <w:pStyle w:val="BodyText"/>
        <w:spacing w:line="247" w:lineRule="auto" w:before="13"/>
        <w:ind w:left="1065" w:right="67"/>
      </w:pPr>
      <w:r>
        <w:rPr/>
        <mc:AlternateContent>
          <mc:Choice Requires="wps">
            <w:drawing>
              <wp:anchor distT="0" distB="0" distL="0" distR="0" allowOverlap="1" layoutInCell="1" locked="0" behindDoc="0" simplePos="0" relativeHeight="15898112">
                <wp:simplePos x="0" y="0"/>
                <wp:positionH relativeFrom="page">
                  <wp:posOffset>8623946</wp:posOffset>
                </wp:positionH>
                <wp:positionV relativeFrom="paragraph">
                  <wp:posOffset>248748</wp:posOffset>
                </wp:positionV>
                <wp:extent cx="5949950" cy="1478915"/>
                <wp:effectExtent l="0" t="0" r="0" b="0"/>
                <wp:wrapNone/>
                <wp:docPr id="1564" name="Group 1564"/>
                <wp:cNvGraphicFramePr>
                  <a:graphicFrameLocks/>
                </wp:cNvGraphicFramePr>
                <a:graphic>
                  <a:graphicData uri="http://schemas.microsoft.com/office/word/2010/wordprocessingGroup">
                    <wpg:wgp>
                      <wpg:cNvPr id="1564" name="Group 1564"/>
                      <wpg:cNvGrpSpPr/>
                      <wpg:grpSpPr>
                        <a:xfrm>
                          <a:off x="0" y="0"/>
                          <a:ext cx="5949950" cy="1478915"/>
                          <a:chExt cx="5949950" cy="1478915"/>
                        </a:xfrm>
                      </wpg:grpSpPr>
                      <pic:pic>
                        <pic:nvPicPr>
                          <pic:cNvPr id="1565" name="Image 1565"/>
                          <pic:cNvPicPr/>
                        </pic:nvPicPr>
                        <pic:blipFill>
                          <a:blip r:embed="rId220" cstate="print"/>
                          <a:stretch>
                            <a:fillRect/>
                          </a:stretch>
                        </pic:blipFill>
                        <pic:spPr>
                          <a:xfrm>
                            <a:off x="406312" y="68889"/>
                            <a:ext cx="444512" cy="148196"/>
                          </a:xfrm>
                          <a:prstGeom prst="rect">
                            <a:avLst/>
                          </a:prstGeom>
                        </pic:spPr>
                      </pic:pic>
                      <pic:pic>
                        <pic:nvPicPr>
                          <pic:cNvPr id="1566" name="Image 1566"/>
                          <pic:cNvPicPr/>
                        </pic:nvPicPr>
                        <pic:blipFill>
                          <a:blip r:embed="rId221" cstate="print"/>
                          <a:stretch>
                            <a:fillRect/>
                          </a:stretch>
                        </pic:blipFill>
                        <pic:spPr>
                          <a:xfrm>
                            <a:off x="406312" y="115473"/>
                            <a:ext cx="444512" cy="203200"/>
                          </a:xfrm>
                          <a:prstGeom prst="rect">
                            <a:avLst/>
                          </a:prstGeom>
                        </pic:spPr>
                      </pic:pic>
                      <pic:pic>
                        <pic:nvPicPr>
                          <pic:cNvPr id="1567" name="Image 1567"/>
                          <pic:cNvPicPr/>
                        </pic:nvPicPr>
                        <pic:blipFill>
                          <a:blip r:embed="rId222" cstate="print"/>
                          <a:stretch>
                            <a:fillRect/>
                          </a:stretch>
                        </pic:blipFill>
                        <pic:spPr>
                          <a:xfrm>
                            <a:off x="406312" y="217073"/>
                            <a:ext cx="444512" cy="203212"/>
                          </a:xfrm>
                          <a:prstGeom prst="rect">
                            <a:avLst/>
                          </a:prstGeom>
                        </pic:spPr>
                      </pic:pic>
                      <pic:pic>
                        <pic:nvPicPr>
                          <pic:cNvPr id="1568" name="Image 1568"/>
                          <pic:cNvPicPr/>
                        </pic:nvPicPr>
                        <pic:blipFill>
                          <a:blip r:embed="rId223" cstate="print"/>
                          <a:stretch>
                            <a:fillRect/>
                          </a:stretch>
                        </pic:blipFill>
                        <pic:spPr>
                          <a:xfrm>
                            <a:off x="406312" y="318635"/>
                            <a:ext cx="444512" cy="203200"/>
                          </a:xfrm>
                          <a:prstGeom prst="rect">
                            <a:avLst/>
                          </a:prstGeom>
                        </pic:spPr>
                      </pic:pic>
                      <pic:pic>
                        <pic:nvPicPr>
                          <pic:cNvPr id="1569" name="Image 1569"/>
                          <pic:cNvPicPr/>
                        </pic:nvPicPr>
                        <pic:blipFill>
                          <a:blip r:embed="rId222" cstate="print"/>
                          <a:stretch>
                            <a:fillRect/>
                          </a:stretch>
                        </pic:blipFill>
                        <pic:spPr>
                          <a:xfrm>
                            <a:off x="406312" y="420248"/>
                            <a:ext cx="444512" cy="203263"/>
                          </a:xfrm>
                          <a:prstGeom prst="rect">
                            <a:avLst/>
                          </a:prstGeom>
                        </pic:spPr>
                      </pic:pic>
                      <pic:pic>
                        <pic:nvPicPr>
                          <pic:cNvPr id="1570" name="Image 1570"/>
                          <pic:cNvPicPr/>
                        </pic:nvPicPr>
                        <pic:blipFill>
                          <a:blip r:embed="rId224" cstate="print"/>
                          <a:stretch>
                            <a:fillRect/>
                          </a:stretch>
                        </pic:blipFill>
                        <pic:spPr>
                          <a:xfrm>
                            <a:off x="406312" y="521835"/>
                            <a:ext cx="444512" cy="203225"/>
                          </a:xfrm>
                          <a:prstGeom prst="rect">
                            <a:avLst/>
                          </a:prstGeom>
                        </pic:spPr>
                      </pic:pic>
                      <pic:pic>
                        <pic:nvPicPr>
                          <pic:cNvPr id="1571" name="Image 1571"/>
                          <pic:cNvPicPr/>
                        </pic:nvPicPr>
                        <pic:blipFill>
                          <a:blip r:embed="rId225" cstate="print"/>
                          <a:stretch>
                            <a:fillRect/>
                          </a:stretch>
                        </pic:blipFill>
                        <pic:spPr>
                          <a:xfrm>
                            <a:off x="2387512" y="538777"/>
                            <a:ext cx="444487" cy="186283"/>
                          </a:xfrm>
                          <a:prstGeom prst="rect">
                            <a:avLst/>
                          </a:prstGeom>
                        </pic:spPr>
                      </pic:pic>
                      <pic:pic>
                        <pic:nvPicPr>
                          <pic:cNvPr id="1572" name="Image 1572"/>
                          <pic:cNvPicPr/>
                        </pic:nvPicPr>
                        <pic:blipFill>
                          <a:blip r:embed="rId226" cstate="print"/>
                          <a:stretch>
                            <a:fillRect/>
                          </a:stretch>
                        </pic:blipFill>
                        <pic:spPr>
                          <a:xfrm>
                            <a:off x="4368725" y="602289"/>
                            <a:ext cx="444487" cy="122770"/>
                          </a:xfrm>
                          <a:prstGeom prst="rect">
                            <a:avLst/>
                          </a:prstGeom>
                        </pic:spPr>
                      </pic:pic>
                      <pic:pic>
                        <pic:nvPicPr>
                          <pic:cNvPr id="1573" name="Image 1573"/>
                          <pic:cNvPicPr/>
                        </pic:nvPicPr>
                        <pic:blipFill>
                          <a:blip r:embed="rId227" cstate="print"/>
                          <a:stretch>
                            <a:fillRect/>
                          </a:stretch>
                        </pic:blipFill>
                        <pic:spPr>
                          <a:xfrm>
                            <a:off x="406312" y="623460"/>
                            <a:ext cx="444512" cy="203212"/>
                          </a:xfrm>
                          <a:prstGeom prst="rect">
                            <a:avLst/>
                          </a:prstGeom>
                        </pic:spPr>
                      </pic:pic>
                      <pic:pic>
                        <pic:nvPicPr>
                          <pic:cNvPr id="1574" name="Image 1574"/>
                          <pic:cNvPicPr/>
                        </pic:nvPicPr>
                        <pic:blipFill>
                          <a:blip r:embed="rId90" cstate="print"/>
                          <a:stretch>
                            <a:fillRect/>
                          </a:stretch>
                        </pic:blipFill>
                        <pic:spPr>
                          <a:xfrm>
                            <a:off x="2387512" y="623498"/>
                            <a:ext cx="444487" cy="203174"/>
                          </a:xfrm>
                          <a:prstGeom prst="rect">
                            <a:avLst/>
                          </a:prstGeom>
                        </pic:spPr>
                      </pic:pic>
                      <pic:pic>
                        <pic:nvPicPr>
                          <pic:cNvPr id="1575" name="Image 1575"/>
                          <pic:cNvPicPr/>
                        </pic:nvPicPr>
                        <pic:blipFill>
                          <a:blip r:embed="rId175" cstate="print"/>
                          <a:stretch>
                            <a:fillRect/>
                          </a:stretch>
                        </pic:blipFill>
                        <pic:spPr>
                          <a:xfrm>
                            <a:off x="4368737" y="623498"/>
                            <a:ext cx="444474" cy="203174"/>
                          </a:xfrm>
                          <a:prstGeom prst="rect">
                            <a:avLst/>
                          </a:prstGeom>
                        </pic:spPr>
                      </pic:pic>
                      <pic:pic>
                        <pic:nvPicPr>
                          <pic:cNvPr id="1576" name="Image 1576"/>
                          <pic:cNvPicPr/>
                        </pic:nvPicPr>
                        <pic:blipFill>
                          <a:blip r:embed="rId228" cstate="print"/>
                          <a:stretch>
                            <a:fillRect/>
                          </a:stretch>
                        </pic:blipFill>
                        <pic:spPr>
                          <a:xfrm>
                            <a:off x="406312" y="725073"/>
                            <a:ext cx="444512" cy="203174"/>
                          </a:xfrm>
                          <a:prstGeom prst="rect">
                            <a:avLst/>
                          </a:prstGeom>
                        </pic:spPr>
                      </pic:pic>
                      <pic:pic>
                        <pic:nvPicPr>
                          <pic:cNvPr id="1577" name="Image 1577"/>
                          <pic:cNvPicPr/>
                        </pic:nvPicPr>
                        <pic:blipFill>
                          <a:blip r:embed="rId90" cstate="print"/>
                          <a:stretch>
                            <a:fillRect/>
                          </a:stretch>
                        </pic:blipFill>
                        <pic:spPr>
                          <a:xfrm>
                            <a:off x="2387512" y="725086"/>
                            <a:ext cx="444487" cy="203174"/>
                          </a:xfrm>
                          <a:prstGeom prst="rect">
                            <a:avLst/>
                          </a:prstGeom>
                        </pic:spPr>
                      </pic:pic>
                      <pic:pic>
                        <pic:nvPicPr>
                          <pic:cNvPr id="1578" name="Image 1578"/>
                          <pic:cNvPicPr/>
                        </pic:nvPicPr>
                        <pic:blipFill>
                          <a:blip r:embed="rId175" cstate="print"/>
                          <a:stretch>
                            <a:fillRect/>
                          </a:stretch>
                        </pic:blipFill>
                        <pic:spPr>
                          <a:xfrm>
                            <a:off x="4368737" y="725086"/>
                            <a:ext cx="444474" cy="203161"/>
                          </a:xfrm>
                          <a:prstGeom prst="rect">
                            <a:avLst/>
                          </a:prstGeom>
                        </pic:spPr>
                      </pic:pic>
                      <pic:pic>
                        <pic:nvPicPr>
                          <pic:cNvPr id="1579" name="Image 1579"/>
                          <pic:cNvPicPr/>
                        </pic:nvPicPr>
                        <pic:blipFill>
                          <a:blip r:embed="rId229" cstate="print"/>
                          <a:stretch>
                            <a:fillRect/>
                          </a:stretch>
                        </pic:blipFill>
                        <pic:spPr>
                          <a:xfrm>
                            <a:off x="406312" y="826660"/>
                            <a:ext cx="444512" cy="203174"/>
                          </a:xfrm>
                          <a:prstGeom prst="rect">
                            <a:avLst/>
                          </a:prstGeom>
                        </pic:spPr>
                      </pic:pic>
                      <pic:pic>
                        <pic:nvPicPr>
                          <pic:cNvPr id="1580" name="Image 1580"/>
                          <pic:cNvPicPr/>
                        </pic:nvPicPr>
                        <pic:blipFill>
                          <a:blip r:embed="rId181" cstate="print"/>
                          <a:stretch>
                            <a:fillRect/>
                          </a:stretch>
                        </pic:blipFill>
                        <pic:spPr>
                          <a:xfrm>
                            <a:off x="2387512" y="826660"/>
                            <a:ext cx="444487" cy="203161"/>
                          </a:xfrm>
                          <a:prstGeom prst="rect">
                            <a:avLst/>
                          </a:prstGeom>
                        </pic:spPr>
                      </pic:pic>
                      <pic:pic>
                        <pic:nvPicPr>
                          <pic:cNvPr id="1581" name="Image 1581"/>
                          <pic:cNvPicPr/>
                        </pic:nvPicPr>
                        <pic:blipFill>
                          <a:blip r:embed="rId230" cstate="print"/>
                          <a:stretch>
                            <a:fillRect/>
                          </a:stretch>
                        </pic:blipFill>
                        <pic:spPr>
                          <a:xfrm>
                            <a:off x="4368725" y="826660"/>
                            <a:ext cx="444487" cy="203174"/>
                          </a:xfrm>
                          <a:prstGeom prst="rect">
                            <a:avLst/>
                          </a:prstGeom>
                        </pic:spPr>
                      </pic:pic>
                      <pic:pic>
                        <pic:nvPicPr>
                          <pic:cNvPr id="1582" name="Image 1582"/>
                          <pic:cNvPicPr/>
                        </pic:nvPicPr>
                        <pic:blipFill>
                          <a:blip r:embed="rId228" cstate="print"/>
                          <a:stretch>
                            <a:fillRect/>
                          </a:stretch>
                        </pic:blipFill>
                        <pic:spPr>
                          <a:xfrm>
                            <a:off x="406312" y="928260"/>
                            <a:ext cx="444512" cy="203161"/>
                          </a:xfrm>
                          <a:prstGeom prst="rect">
                            <a:avLst/>
                          </a:prstGeom>
                        </pic:spPr>
                      </pic:pic>
                      <pic:pic>
                        <pic:nvPicPr>
                          <pic:cNvPr id="1583" name="Image 1583"/>
                          <pic:cNvPicPr/>
                        </pic:nvPicPr>
                        <pic:blipFill>
                          <a:blip r:embed="rId90" cstate="print"/>
                          <a:stretch>
                            <a:fillRect/>
                          </a:stretch>
                        </pic:blipFill>
                        <pic:spPr>
                          <a:xfrm>
                            <a:off x="2387512" y="928260"/>
                            <a:ext cx="444487" cy="203161"/>
                          </a:xfrm>
                          <a:prstGeom prst="rect">
                            <a:avLst/>
                          </a:prstGeom>
                        </pic:spPr>
                      </pic:pic>
                      <pic:pic>
                        <pic:nvPicPr>
                          <pic:cNvPr id="1584" name="Image 1584"/>
                          <pic:cNvPicPr/>
                        </pic:nvPicPr>
                        <pic:blipFill>
                          <a:blip r:embed="rId175" cstate="print"/>
                          <a:stretch>
                            <a:fillRect/>
                          </a:stretch>
                        </pic:blipFill>
                        <pic:spPr>
                          <a:xfrm>
                            <a:off x="4368737" y="928260"/>
                            <a:ext cx="444474" cy="203161"/>
                          </a:xfrm>
                          <a:prstGeom prst="rect">
                            <a:avLst/>
                          </a:prstGeom>
                        </pic:spPr>
                      </pic:pic>
                      <pic:pic>
                        <pic:nvPicPr>
                          <pic:cNvPr id="1585" name="Image 1585"/>
                          <pic:cNvPicPr/>
                        </pic:nvPicPr>
                        <pic:blipFill>
                          <a:blip r:embed="rId231" cstate="print"/>
                          <a:stretch>
                            <a:fillRect/>
                          </a:stretch>
                        </pic:blipFill>
                        <pic:spPr>
                          <a:xfrm>
                            <a:off x="406312" y="1029835"/>
                            <a:ext cx="444512" cy="203263"/>
                          </a:xfrm>
                          <a:prstGeom prst="rect">
                            <a:avLst/>
                          </a:prstGeom>
                        </pic:spPr>
                      </pic:pic>
                      <pic:pic>
                        <pic:nvPicPr>
                          <pic:cNvPr id="1586" name="Image 1586"/>
                          <pic:cNvPicPr/>
                        </pic:nvPicPr>
                        <pic:blipFill>
                          <a:blip r:embed="rId87" cstate="print"/>
                          <a:stretch>
                            <a:fillRect/>
                          </a:stretch>
                        </pic:blipFill>
                        <pic:spPr>
                          <a:xfrm>
                            <a:off x="2387512" y="1029835"/>
                            <a:ext cx="444487" cy="203263"/>
                          </a:xfrm>
                          <a:prstGeom prst="rect">
                            <a:avLst/>
                          </a:prstGeom>
                        </pic:spPr>
                      </pic:pic>
                      <pic:pic>
                        <pic:nvPicPr>
                          <pic:cNvPr id="1587" name="Image 1587"/>
                          <pic:cNvPicPr/>
                        </pic:nvPicPr>
                        <pic:blipFill>
                          <a:blip r:embed="rId177" cstate="print"/>
                          <a:stretch>
                            <a:fillRect/>
                          </a:stretch>
                        </pic:blipFill>
                        <pic:spPr>
                          <a:xfrm>
                            <a:off x="4368737" y="1029835"/>
                            <a:ext cx="444474" cy="203263"/>
                          </a:xfrm>
                          <a:prstGeom prst="rect">
                            <a:avLst/>
                          </a:prstGeom>
                        </pic:spPr>
                      </pic:pic>
                      <pic:pic>
                        <pic:nvPicPr>
                          <pic:cNvPr id="1588" name="Image 1588"/>
                          <pic:cNvPicPr/>
                        </pic:nvPicPr>
                        <pic:blipFill>
                          <a:blip r:embed="rId232" cstate="print"/>
                          <a:stretch>
                            <a:fillRect/>
                          </a:stretch>
                        </pic:blipFill>
                        <pic:spPr>
                          <a:xfrm>
                            <a:off x="406312" y="1131422"/>
                            <a:ext cx="444512" cy="203276"/>
                          </a:xfrm>
                          <a:prstGeom prst="rect">
                            <a:avLst/>
                          </a:prstGeom>
                        </pic:spPr>
                      </pic:pic>
                      <pic:pic>
                        <pic:nvPicPr>
                          <pic:cNvPr id="1589" name="Image 1589"/>
                          <pic:cNvPicPr/>
                        </pic:nvPicPr>
                        <pic:blipFill>
                          <a:blip r:embed="rId186" cstate="print"/>
                          <a:stretch>
                            <a:fillRect/>
                          </a:stretch>
                        </pic:blipFill>
                        <pic:spPr>
                          <a:xfrm>
                            <a:off x="2387512" y="1131422"/>
                            <a:ext cx="444487" cy="203276"/>
                          </a:xfrm>
                          <a:prstGeom prst="rect">
                            <a:avLst/>
                          </a:prstGeom>
                        </pic:spPr>
                      </pic:pic>
                      <pic:pic>
                        <pic:nvPicPr>
                          <pic:cNvPr id="1590" name="Image 1590"/>
                          <pic:cNvPicPr/>
                        </pic:nvPicPr>
                        <pic:blipFill>
                          <a:blip r:embed="rId233" cstate="print"/>
                          <a:stretch>
                            <a:fillRect/>
                          </a:stretch>
                        </pic:blipFill>
                        <pic:spPr>
                          <a:xfrm>
                            <a:off x="4368725" y="1131422"/>
                            <a:ext cx="444487" cy="203276"/>
                          </a:xfrm>
                          <a:prstGeom prst="rect">
                            <a:avLst/>
                          </a:prstGeom>
                        </pic:spPr>
                      </pic:pic>
                      <pic:pic>
                        <pic:nvPicPr>
                          <pic:cNvPr id="1591" name="Image 1591"/>
                          <pic:cNvPicPr/>
                        </pic:nvPicPr>
                        <pic:blipFill>
                          <a:blip r:embed="rId224" cstate="print"/>
                          <a:stretch>
                            <a:fillRect/>
                          </a:stretch>
                        </pic:blipFill>
                        <pic:spPr>
                          <a:xfrm>
                            <a:off x="406312" y="1233048"/>
                            <a:ext cx="444512" cy="203212"/>
                          </a:xfrm>
                          <a:prstGeom prst="rect">
                            <a:avLst/>
                          </a:prstGeom>
                        </pic:spPr>
                      </pic:pic>
                      <pic:pic>
                        <pic:nvPicPr>
                          <pic:cNvPr id="1592" name="Image 1592"/>
                          <pic:cNvPicPr/>
                        </pic:nvPicPr>
                        <pic:blipFill>
                          <a:blip r:embed="rId89" cstate="print"/>
                          <a:stretch>
                            <a:fillRect/>
                          </a:stretch>
                        </pic:blipFill>
                        <pic:spPr>
                          <a:xfrm>
                            <a:off x="2387512" y="1233048"/>
                            <a:ext cx="444487" cy="203212"/>
                          </a:xfrm>
                          <a:prstGeom prst="rect">
                            <a:avLst/>
                          </a:prstGeom>
                        </pic:spPr>
                      </pic:pic>
                      <pic:pic>
                        <pic:nvPicPr>
                          <pic:cNvPr id="1593" name="Image 1593"/>
                          <pic:cNvPicPr/>
                        </pic:nvPicPr>
                        <pic:blipFill>
                          <a:blip r:embed="rId234" cstate="print"/>
                          <a:stretch>
                            <a:fillRect/>
                          </a:stretch>
                        </pic:blipFill>
                        <pic:spPr>
                          <a:xfrm>
                            <a:off x="4368725" y="1233048"/>
                            <a:ext cx="444487" cy="203212"/>
                          </a:xfrm>
                          <a:prstGeom prst="rect">
                            <a:avLst/>
                          </a:prstGeom>
                        </pic:spPr>
                      </pic:pic>
                      <pic:pic>
                        <pic:nvPicPr>
                          <pic:cNvPr id="1594" name="Image 1594"/>
                          <pic:cNvPicPr/>
                        </pic:nvPicPr>
                        <pic:blipFill>
                          <a:blip r:embed="rId190" cstate="print"/>
                          <a:stretch>
                            <a:fillRect/>
                          </a:stretch>
                        </pic:blipFill>
                        <pic:spPr>
                          <a:xfrm>
                            <a:off x="406312" y="1334673"/>
                            <a:ext cx="444512" cy="143903"/>
                          </a:xfrm>
                          <a:prstGeom prst="rect">
                            <a:avLst/>
                          </a:prstGeom>
                        </pic:spPr>
                      </pic:pic>
                      <pic:pic>
                        <pic:nvPicPr>
                          <pic:cNvPr id="1595" name="Image 1595"/>
                          <pic:cNvPicPr/>
                        </pic:nvPicPr>
                        <pic:blipFill>
                          <a:blip r:embed="rId189" cstate="print"/>
                          <a:stretch>
                            <a:fillRect/>
                          </a:stretch>
                        </pic:blipFill>
                        <pic:spPr>
                          <a:xfrm>
                            <a:off x="2387512" y="1334673"/>
                            <a:ext cx="444487" cy="143903"/>
                          </a:xfrm>
                          <a:prstGeom prst="rect">
                            <a:avLst/>
                          </a:prstGeom>
                        </pic:spPr>
                      </pic:pic>
                      <pic:pic>
                        <pic:nvPicPr>
                          <pic:cNvPr id="1596" name="Image 1596"/>
                          <pic:cNvPicPr/>
                        </pic:nvPicPr>
                        <pic:blipFill>
                          <a:blip r:embed="rId188" cstate="print"/>
                          <a:stretch>
                            <a:fillRect/>
                          </a:stretch>
                        </pic:blipFill>
                        <pic:spPr>
                          <a:xfrm>
                            <a:off x="4368725" y="1334673"/>
                            <a:ext cx="444487" cy="143903"/>
                          </a:xfrm>
                          <a:prstGeom prst="rect">
                            <a:avLst/>
                          </a:prstGeom>
                        </pic:spPr>
                      </pic:pic>
                      <wps:wsp>
                        <wps:cNvPr id="1597" name="Graphic 1597"/>
                        <wps:cNvSpPr/>
                        <wps:spPr>
                          <a:xfrm>
                            <a:off x="965125" y="195902"/>
                            <a:ext cx="4406900" cy="1282700"/>
                          </a:xfrm>
                          <a:custGeom>
                            <a:avLst/>
                            <a:gdLst/>
                            <a:ahLst/>
                            <a:cxnLst/>
                            <a:rect l="l" t="t" r="r" b="b"/>
                            <a:pathLst>
                              <a:path w="4406900" h="1282700">
                                <a:moveTo>
                                  <a:pt x="444500" y="0"/>
                                </a:moveTo>
                                <a:lnTo>
                                  <a:pt x="0" y="0"/>
                                </a:lnTo>
                                <a:lnTo>
                                  <a:pt x="0" y="1282700"/>
                                </a:lnTo>
                                <a:lnTo>
                                  <a:pt x="444500" y="1282700"/>
                                </a:lnTo>
                                <a:lnTo>
                                  <a:pt x="444500" y="0"/>
                                </a:lnTo>
                                <a:close/>
                              </a:path>
                              <a:path w="4406900" h="1282700">
                                <a:moveTo>
                                  <a:pt x="2425700" y="241300"/>
                                </a:moveTo>
                                <a:lnTo>
                                  <a:pt x="1981200" y="241300"/>
                                </a:lnTo>
                                <a:lnTo>
                                  <a:pt x="1981200" y="1282700"/>
                                </a:lnTo>
                                <a:lnTo>
                                  <a:pt x="2425700" y="1282700"/>
                                </a:lnTo>
                                <a:lnTo>
                                  <a:pt x="2425700" y="241300"/>
                                </a:lnTo>
                                <a:close/>
                              </a:path>
                              <a:path w="4406900" h="1282700">
                                <a:moveTo>
                                  <a:pt x="4406900" y="381000"/>
                                </a:moveTo>
                                <a:lnTo>
                                  <a:pt x="3962400" y="381000"/>
                                </a:lnTo>
                                <a:lnTo>
                                  <a:pt x="3962400" y="1282700"/>
                                </a:lnTo>
                                <a:lnTo>
                                  <a:pt x="4406900" y="1282700"/>
                                </a:lnTo>
                                <a:lnTo>
                                  <a:pt x="4406900" y="381000"/>
                                </a:lnTo>
                                <a:close/>
                              </a:path>
                            </a:pathLst>
                          </a:custGeom>
                          <a:solidFill>
                            <a:srgbClr val="0F5D86"/>
                          </a:solidFill>
                        </wps:spPr>
                        <wps:bodyPr wrap="square" lIns="0" tIns="0" rIns="0" bIns="0" rtlCol="0">
                          <a:prstTxWarp prst="textNoShape">
                            <a:avLst/>
                          </a:prstTxWarp>
                          <a:noAutofit/>
                        </wps:bodyPr>
                      </wps:wsp>
                      <wps:wsp>
                        <wps:cNvPr id="1598" name="Graphic 1598"/>
                        <wps:cNvSpPr/>
                        <wps:spPr>
                          <a:xfrm>
                            <a:off x="0" y="67102"/>
                            <a:ext cx="5949950" cy="1411605"/>
                          </a:xfrm>
                          <a:custGeom>
                            <a:avLst/>
                            <a:gdLst/>
                            <a:ahLst/>
                            <a:cxnLst/>
                            <a:rect l="l" t="t" r="r" b="b"/>
                            <a:pathLst>
                              <a:path w="5949950" h="1411605">
                                <a:moveTo>
                                  <a:pt x="12687" y="0"/>
                                </a:moveTo>
                                <a:lnTo>
                                  <a:pt x="0" y="0"/>
                                </a:lnTo>
                                <a:lnTo>
                                  <a:pt x="0" y="1406817"/>
                                </a:lnTo>
                                <a:lnTo>
                                  <a:pt x="673" y="1408455"/>
                                </a:lnTo>
                                <a:lnTo>
                                  <a:pt x="3035" y="1410817"/>
                                </a:lnTo>
                                <a:lnTo>
                                  <a:pt x="4673" y="1411490"/>
                                </a:lnTo>
                                <a:lnTo>
                                  <a:pt x="5949937" y="1411490"/>
                                </a:lnTo>
                                <a:lnTo>
                                  <a:pt x="5949937" y="1398790"/>
                                </a:lnTo>
                                <a:lnTo>
                                  <a:pt x="12687" y="1398790"/>
                                </a:lnTo>
                                <a:lnTo>
                                  <a:pt x="12687" y="0"/>
                                </a:lnTo>
                                <a:close/>
                              </a:path>
                            </a:pathLst>
                          </a:custGeom>
                          <a:solidFill>
                            <a:srgbClr val="BCBEC0"/>
                          </a:solidFill>
                        </wps:spPr>
                        <wps:bodyPr wrap="square" lIns="0" tIns="0" rIns="0" bIns="0" rtlCol="0">
                          <a:prstTxWarp prst="textNoShape">
                            <a:avLst/>
                          </a:prstTxWarp>
                          <a:noAutofit/>
                        </wps:bodyPr>
                      </wps:wsp>
                      <wps:wsp>
                        <wps:cNvPr id="1599" name="Textbox 1599"/>
                        <wps:cNvSpPr txBox="1"/>
                        <wps:spPr>
                          <a:xfrm>
                            <a:off x="1057842" y="0"/>
                            <a:ext cx="224790" cy="135890"/>
                          </a:xfrm>
                          <a:prstGeom prst="rect">
                            <a:avLst/>
                          </a:prstGeom>
                        </wps:spPr>
                        <wps:txbx>
                          <w:txbxContent>
                            <w:p>
                              <w:pPr>
                                <w:spacing w:line="207" w:lineRule="exact" w:before="0"/>
                                <w:ind w:left="0" w:right="0" w:firstLine="0"/>
                                <w:jc w:val="left"/>
                                <w:rPr>
                                  <w:sz w:val="18"/>
                                </w:rPr>
                              </w:pPr>
                              <w:r>
                                <w:rPr>
                                  <w:color w:val="636466"/>
                                  <w:spacing w:val="-7"/>
                                  <w:sz w:val="18"/>
                                </w:rPr>
                                <w:t>40%</w:t>
                              </w:r>
                            </w:p>
                          </w:txbxContent>
                        </wps:txbx>
                        <wps:bodyPr wrap="square" lIns="0" tIns="0" rIns="0" bIns="0" rtlCol="0">
                          <a:noAutofit/>
                        </wps:bodyPr>
                      </wps:wsp>
                      <wps:wsp>
                        <wps:cNvPr id="1600" name="Textbox 1600"/>
                        <wps:cNvSpPr txBox="1"/>
                        <wps:spPr>
                          <a:xfrm>
                            <a:off x="2473905" y="342900"/>
                            <a:ext cx="224790" cy="135890"/>
                          </a:xfrm>
                          <a:prstGeom prst="rect">
                            <a:avLst/>
                          </a:prstGeom>
                        </wps:spPr>
                        <wps:txbx>
                          <w:txbxContent>
                            <w:p>
                              <w:pPr>
                                <w:spacing w:line="207" w:lineRule="exact" w:before="0"/>
                                <w:ind w:left="0" w:right="0" w:firstLine="0"/>
                                <w:jc w:val="left"/>
                                <w:rPr>
                                  <w:sz w:val="18"/>
                                </w:rPr>
                              </w:pPr>
                              <w:r>
                                <w:rPr>
                                  <w:color w:val="636466"/>
                                  <w:spacing w:val="-7"/>
                                  <w:sz w:val="18"/>
                                </w:rPr>
                                <w:t>29%</w:t>
                              </w:r>
                            </w:p>
                          </w:txbxContent>
                        </wps:txbx>
                        <wps:bodyPr wrap="square" lIns="0" tIns="0" rIns="0" bIns="0" rtlCol="0">
                          <a:noAutofit/>
                        </wps:bodyPr>
                      </wps:wsp>
                      <wps:wsp>
                        <wps:cNvPr id="1601" name="Textbox 1601"/>
                        <wps:cNvSpPr txBox="1"/>
                        <wps:spPr>
                          <a:xfrm>
                            <a:off x="3037632" y="241287"/>
                            <a:ext cx="224790" cy="135890"/>
                          </a:xfrm>
                          <a:prstGeom prst="rect">
                            <a:avLst/>
                          </a:prstGeom>
                        </wps:spPr>
                        <wps:txbx>
                          <w:txbxContent>
                            <w:p>
                              <w:pPr>
                                <w:spacing w:line="207" w:lineRule="exact" w:before="0"/>
                                <w:ind w:left="0" w:right="0" w:firstLine="0"/>
                                <w:jc w:val="left"/>
                                <w:rPr>
                                  <w:sz w:val="18"/>
                                </w:rPr>
                              </w:pPr>
                              <w:r>
                                <w:rPr>
                                  <w:color w:val="898B8D"/>
                                  <w:spacing w:val="-7"/>
                                  <w:sz w:val="18"/>
                                </w:rPr>
                                <w:t>32%</w:t>
                              </w:r>
                            </w:p>
                          </w:txbxContent>
                        </wps:txbx>
                        <wps:bodyPr wrap="square" lIns="0" tIns="0" rIns="0" bIns="0" rtlCol="0">
                          <a:noAutofit/>
                        </wps:bodyPr>
                      </wps:wsp>
                      <wps:wsp>
                        <wps:cNvPr id="1602" name="Textbox 1602"/>
                        <wps:cNvSpPr txBox="1"/>
                        <wps:spPr>
                          <a:xfrm>
                            <a:off x="4453695" y="406450"/>
                            <a:ext cx="224790" cy="135890"/>
                          </a:xfrm>
                          <a:prstGeom prst="rect">
                            <a:avLst/>
                          </a:prstGeom>
                        </wps:spPr>
                        <wps:txbx>
                          <w:txbxContent>
                            <w:p>
                              <w:pPr>
                                <w:spacing w:line="207" w:lineRule="exact" w:before="0"/>
                                <w:ind w:left="0" w:right="0" w:firstLine="0"/>
                                <w:jc w:val="left"/>
                                <w:rPr>
                                  <w:sz w:val="18"/>
                                </w:rPr>
                              </w:pPr>
                              <w:r>
                                <w:rPr>
                                  <w:color w:val="636466"/>
                                  <w:spacing w:val="-7"/>
                                  <w:sz w:val="18"/>
                                </w:rPr>
                                <w:t>27%</w:t>
                              </w:r>
                            </w:p>
                          </w:txbxContent>
                        </wps:txbx>
                        <wps:bodyPr wrap="square" lIns="0" tIns="0" rIns="0" bIns="0" rtlCol="0">
                          <a:noAutofit/>
                        </wps:bodyPr>
                      </wps:wsp>
                      <wps:wsp>
                        <wps:cNvPr id="1603" name="Textbox 1603"/>
                        <wps:cNvSpPr txBox="1"/>
                        <wps:spPr>
                          <a:xfrm>
                            <a:off x="5017423" y="393649"/>
                            <a:ext cx="224790" cy="135890"/>
                          </a:xfrm>
                          <a:prstGeom prst="rect">
                            <a:avLst/>
                          </a:prstGeom>
                        </wps:spPr>
                        <wps:txbx>
                          <w:txbxContent>
                            <w:p>
                              <w:pPr>
                                <w:spacing w:line="207" w:lineRule="exact" w:before="0"/>
                                <w:ind w:left="0" w:right="0" w:firstLine="0"/>
                                <w:jc w:val="left"/>
                                <w:rPr>
                                  <w:sz w:val="18"/>
                                </w:rPr>
                              </w:pPr>
                              <w:r>
                                <w:rPr>
                                  <w:color w:val="636466"/>
                                  <w:spacing w:val="-7"/>
                                  <w:sz w:val="18"/>
                                </w:rPr>
                                <w:t>28%</w:t>
                              </w:r>
                            </w:p>
                          </w:txbxContent>
                        </wps:txbx>
                        <wps:bodyPr wrap="square" lIns="0" tIns="0" rIns="0" bIns="0" rtlCol="0">
                          <a:noAutofit/>
                        </wps:bodyPr>
                      </wps:wsp>
                    </wpg:wgp>
                  </a:graphicData>
                </a:graphic>
              </wp:anchor>
            </w:drawing>
          </mc:Choice>
          <mc:Fallback>
            <w:pict>
              <v:group style="position:absolute;margin-left:679.050903pt;margin-top:19.586535pt;width:468.5pt;height:116.45pt;mso-position-horizontal-relative:page;mso-position-vertical-relative:paragraph;z-index:15898112" id="docshapegroup1232" coordorigin="13581,392" coordsize="9370,2329">
                <v:shape style="position:absolute;left:14220;top:500;width:701;height:234" type="#_x0000_t75" id="docshape1233" stroked="false">
                  <v:imagedata r:id="rId220" o:title=""/>
                </v:shape>
                <v:shape style="position:absolute;left:14220;top:573;width:701;height:320" type="#_x0000_t75" id="docshape1234" stroked="false">
                  <v:imagedata r:id="rId221" o:title=""/>
                </v:shape>
                <v:shape style="position:absolute;left:14220;top:733;width:701;height:321" type="#_x0000_t75" id="docshape1235" stroked="false">
                  <v:imagedata r:id="rId222" o:title=""/>
                </v:shape>
                <v:shape style="position:absolute;left:14220;top:893;width:701;height:320" type="#_x0000_t75" id="docshape1236" stroked="false">
                  <v:imagedata r:id="rId223" o:title=""/>
                </v:shape>
                <v:shape style="position:absolute;left:14220;top:1053;width:701;height:321" type="#_x0000_t75" id="docshape1237" stroked="false">
                  <v:imagedata r:id="rId222" o:title=""/>
                </v:shape>
                <v:shape style="position:absolute;left:14220;top:1213;width:701;height:321" type="#_x0000_t75" id="docshape1238" stroked="false">
                  <v:imagedata r:id="rId224" o:title=""/>
                </v:shape>
                <v:shape style="position:absolute;left:17340;top:1240;width:700;height:294" type="#_x0000_t75" id="docshape1239" stroked="false">
                  <v:imagedata r:id="rId225" o:title=""/>
                </v:shape>
                <v:shape style="position:absolute;left:20460;top:1340;width:700;height:194" type="#_x0000_t75" id="docshape1240" stroked="false">
                  <v:imagedata r:id="rId226" o:title=""/>
                </v:shape>
                <v:shape style="position:absolute;left:14220;top:1373;width:701;height:321" type="#_x0000_t75" id="docshape1241" stroked="false">
                  <v:imagedata r:id="rId227" o:title=""/>
                </v:shape>
                <v:shape style="position:absolute;left:17340;top:1373;width:700;height:320" type="#_x0000_t75" id="docshape1242" stroked="false">
                  <v:imagedata r:id="rId90" o:title=""/>
                </v:shape>
                <v:shape style="position:absolute;left:20460;top:1373;width:700;height:320" type="#_x0000_t75" id="docshape1243" stroked="false">
                  <v:imagedata r:id="rId175" o:title=""/>
                </v:shape>
                <v:shape style="position:absolute;left:14220;top:1533;width:701;height:320" type="#_x0000_t75" id="docshape1244" stroked="false">
                  <v:imagedata r:id="rId228" o:title=""/>
                </v:shape>
                <v:shape style="position:absolute;left:17340;top:1533;width:700;height:320" type="#_x0000_t75" id="docshape1245" stroked="false">
                  <v:imagedata r:id="rId90" o:title=""/>
                </v:shape>
                <v:shape style="position:absolute;left:20460;top:1533;width:700;height:320" type="#_x0000_t75" id="docshape1246" stroked="false">
                  <v:imagedata r:id="rId175" o:title=""/>
                </v:shape>
                <v:shape style="position:absolute;left:14220;top:1693;width:701;height:320" type="#_x0000_t75" id="docshape1247" stroked="false">
                  <v:imagedata r:id="rId229" o:title=""/>
                </v:shape>
                <v:shape style="position:absolute;left:17340;top:1693;width:700;height:320" type="#_x0000_t75" id="docshape1248" stroked="false">
                  <v:imagedata r:id="rId181" o:title=""/>
                </v:shape>
                <v:shape style="position:absolute;left:20460;top:1693;width:700;height:320" type="#_x0000_t75" id="docshape1249" stroked="false">
                  <v:imagedata r:id="rId230" o:title=""/>
                </v:shape>
                <v:shape style="position:absolute;left:14220;top:1853;width:701;height:320" type="#_x0000_t75" id="docshape1250" stroked="false">
                  <v:imagedata r:id="rId228" o:title=""/>
                </v:shape>
                <v:shape style="position:absolute;left:17340;top:1853;width:700;height:320" type="#_x0000_t75" id="docshape1251" stroked="false">
                  <v:imagedata r:id="rId90" o:title=""/>
                </v:shape>
                <v:shape style="position:absolute;left:20460;top:1853;width:700;height:320" type="#_x0000_t75" id="docshape1252" stroked="false">
                  <v:imagedata r:id="rId175" o:title=""/>
                </v:shape>
                <v:shape style="position:absolute;left:14220;top:2013;width:701;height:321" type="#_x0000_t75" id="docshape1253" stroked="false">
                  <v:imagedata r:id="rId231" o:title=""/>
                </v:shape>
                <v:shape style="position:absolute;left:17340;top:2013;width:700;height:321" type="#_x0000_t75" id="docshape1254" stroked="false">
                  <v:imagedata r:id="rId87" o:title=""/>
                </v:shape>
                <v:shape style="position:absolute;left:20460;top:2013;width:700;height:321" type="#_x0000_t75" id="docshape1255" stroked="false">
                  <v:imagedata r:id="rId177" o:title=""/>
                </v:shape>
                <v:shape style="position:absolute;left:14220;top:2173;width:701;height:321" type="#_x0000_t75" id="docshape1256" stroked="false">
                  <v:imagedata r:id="rId232" o:title=""/>
                </v:shape>
                <v:shape style="position:absolute;left:17340;top:2173;width:700;height:321" type="#_x0000_t75" id="docshape1257" stroked="false">
                  <v:imagedata r:id="rId186" o:title=""/>
                </v:shape>
                <v:shape style="position:absolute;left:20460;top:2173;width:700;height:321" type="#_x0000_t75" id="docshape1258" stroked="false">
                  <v:imagedata r:id="rId233" o:title=""/>
                </v:shape>
                <v:shape style="position:absolute;left:14220;top:2333;width:701;height:321" type="#_x0000_t75" id="docshape1259" stroked="false">
                  <v:imagedata r:id="rId224" o:title=""/>
                </v:shape>
                <v:shape style="position:absolute;left:17340;top:2333;width:700;height:321" type="#_x0000_t75" id="docshape1260" stroked="false">
                  <v:imagedata r:id="rId89" o:title=""/>
                </v:shape>
                <v:shape style="position:absolute;left:20460;top:2333;width:700;height:321" type="#_x0000_t75" id="docshape1261" stroked="false">
                  <v:imagedata r:id="rId234" o:title=""/>
                </v:shape>
                <v:shape style="position:absolute;left:14220;top:2493;width:701;height:227" type="#_x0000_t75" id="docshape1262" stroked="false">
                  <v:imagedata r:id="rId190" o:title=""/>
                </v:shape>
                <v:shape style="position:absolute;left:17340;top:2493;width:700;height:227" type="#_x0000_t75" id="docshape1263" stroked="false">
                  <v:imagedata r:id="rId189" o:title=""/>
                </v:shape>
                <v:shape style="position:absolute;left:20460;top:2493;width:700;height:227" type="#_x0000_t75" id="docshape1264" stroked="false">
                  <v:imagedata r:id="rId188" o:title=""/>
                </v:shape>
                <v:shape style="position:absolute;left:15100;top:700;width:6940;height:2020" id="docshape1265" coordorigin="15101,700" coordsize="6940,2020" path="m15801,700l15101,700,15101,2720,15801,2720,15801,700xm18921,1080l18221,1080,18221,2720,18921,2720,18921,1080xm22041,1300l21341,1300,21341,2720,22041,2720,22041,1300xe" filled="true" fillcolor="#0f5d86" stroked="false">
                  <v:path arrowok="t"/>
                  <v:fill type="solid"/>
                </v:shape>
                <v:shape style="position:absolute;left:13581;top:497;width:9370;height:2223" id="docshape1266" coordorigin="13581,497" coordsize="9370,2223" path="m13601,497l13581,497,13581,2713,13582,2715,13586,2719,13588,2720,22951,2720,22951,2700,13601,2700,13601,497xe" filled="true" fillcolor="#bcbec0" stroked="false">
                  <v:path arrowok="t"/>
                  <v:fill type="solid"/>
                </v:shape>
                <v:shape style="position:absolute;left:15246;top:391;width:354;height:214" type="#_x0000_t202" id="docshape1267" filled="false" stroked="false">
                  <v:textbox inset="0,0,0,0">
                    <w:txbxContent>
                      <w:p>
                        <w:pPr>
                          <w:spacing w:line="207" w:lineRule="exact" w:before="0"/>
                          <w:ind w:left="0" w:right="0" w:firstLine="0"/>
                          <w:jc w:val="left"/>
                          <w:rPr>
                            <w:sz w:val="18"/>
                          </w:rPr>
                        </w:pPr>
                        <w:r>
                          <w:rPr>
                            <w:color w:val="636466"/>
                            <w:spacing w:val="-7"/>
                            <w:sz w:val="18"/>
                          </w:rPr>
                          <w:t>40%</w:t>
                        </w:r>
                      </w:p>
                    </w:txbxContent>
                  </v:textbox>
                  <w10:wrap type="none"/>
                </v:shape>
                <v:shape style="position:absolute;left:17476;top:931;width:354;height:214" type="#_x0000_t202" id="docshape1268" filled="false" stroked="false">
                  <v:textbox inset="0,0,0,0">
                    <w:txbxContent>
                      <w:p>
                        <w:pPr>
                          <w:spacing w:line="207" w:lineRule="exact" w:before="0"/>
                          <w:ind w:left="0" w:right="0" w:firstLine="0"/>
                          <w:jc w:val="left"/>
                          <w:rPr>
                            <w:sz w:val="18"/>
                          </w:rPr>
                        </w:pPr>
                        <w:r>
                          <w:rPr>
                            <w:color w:val="636466"/>
                            <w:spacing w:val="-7"/>
                            <w:sz w:val="18"/>
                          </w:rPr>
                          <w:t>29%</w:t>
                        </w:r>
                      </w:p>
                    </w:txbxContent>
                  </v:textbox>
                  <w10:wrap type="none"/>
                </v:shape>
                <v:shape style="position:absolute;left:18364;top:771;width:354;height:214" type="#_x0000_t202" id="docshape1269" filled="false" stroked="false">
                  <v:textbox inset="0,0,0,0">
                    <w:txbxContent>
                      <w:p>
                        <w:pPr>
                          <w:spacing w:line="207" w:lineRule="exact" w:before="0"/>
                          <w:ind w:left="0" w:right="0" w:firstLine="0"/>
                          <w:jc w:val="left"/>
                          <w:rPr>
                            <w:sz w:val="18"/>
                          </w:rPr>
                        </w:pPr>
                        <w:r>
                          <w:rPr>
                            <w:color w:val="898B8D"/>
                            <w:spacing w:val="-7"/>
                            <w:sz w:val="18"/>
                          </w:rPr>
                          <w:t>32%</w:t>
                        </w:r>
                      </w:p>
                    </w:txbxContent>
                  </v:textbox>
                  <w10:wrap type="none"/>
                </v:shape>
                <v:shape style="position:absolute;left:20594;top:1031;width:354;height:214" type="#_x0000_t202" id="docshape1270" filled="false" stroked="false">
                  <v:textbox inset="0,0,0,0">
                    <w:txbxContent>
                      <w:p>
                        <w:pPr>
                          <w:spacing w:line="207" w:lineRule="exact" w:before="0"/>
                          <w:ind w:left="0" w:right="0" w:firstLine="0"/>
                          <w:jc w:val="left"/>
                          <w:rPr>
                            <w:sz w:val="18"/>
                          </w:rPr>
                        </w:pPr>
                        <w:r>
                          <w:rPr>
                            <w:color w:val="636466"/>
                            <w:spacing w:val="-7"/>
                            <w:sz w:val="18"/>
                          </w:rPr>
                          <w:t>27%</w:t>
                        </w:r>
                      </w:p>
                    </w:txbxContent>
                  </v:textbox>
                  <w10:wrap type="none"/>
                </v:shape>
                <v:shape style="position:absolute;left:21482;top:1011;width:354;height:214" type="#_x0000_t202" id="docshape1271" filled="false" stroked="false">
                  <v:textbox inset="0,0,0,0">
                    <w:txbxContent>
                      <w:p>
                        <w:pPr>
                          <w:spacing w:line="207" w:lineRule="exact" w:before="0"/>
                          <w:ind w:left="0" w:right="0" w:firstLine="0"/>
                          <w:jc w:val="left"/>
                          <w:rPr>
                            <w:sz w:val="18"/>
                          </w:rPr>
                        </w:pPr>
                        <w:r>
                          <w:rPr>
                            <w:color w:val="636466"/>
                            <w:spacing w:val="-7"/>
                            <w:sz w:val="18"/>
                          </w:rPr>
                          <w:t>28%</w:t>
                        </w:r>
                      </w:p>
                    </w:txbxContent>
                  </v:textbox>
                  <w10:wrap type="none"/>
                </v:shape>
                <w10:wrap type="none"/>
              </v:group>
            </w:pict>
          </mc:Fallback>
        </mc:AlternateContent>
      </w:r>
      <w:r>
        <w:rPr>
          <w:color w:val="105C84"/>
        </w:rPr>
        <w:t>Schuyler and Seneca Counties. The county also touches portions of several of the Finger Lakes including Canandaigua, Keuka and Seneca Lakes. A total of 25,083 persons reside in Yates County, the majority of which (97%) are White Non-Hispanic. Women of childbearing age make up 16% of the population,</w:t>
      </w:r>
      <w:r>
        <w:rPr>
          <w:color w:val="105C84"/>
          <w:spacing w:val="19"/>
        </w:rPr>
        <w:t> </w:t>
      </w:r>
      <w:r>
        <w:rPr>
          <w:color w:val="105C84"/>
        </w:rPr>
        <w:t>and</w:t>
      </w:r>
      <w:r>
        <w:rPr>
          <w:color w:val="105C84"/>
          <w:spacing w:val="19"/>
        </w:rPr>
        <w:t> </w:t>
      </w:r>
      <w:r>
        <w:rPr>
          <w:color w:val="105C84"/>
        </w:rPr>
        <w:t>19.9%</w:t>
      </w:r>
      <w:r>
        <w:rPr>
          <w:color w:val="105C84"/>
          <w:spacing w:val="19"/>
        </w:rPr>
        <w:t> </w:t>
      </w:r>
      <w:r>
        <w:rPr>
          <w:color w:val="105C84"/>
        </w:rPr>
        <w:t>of</w:t>
      </w:r>
      <w:r>
        <w:rPr>
          <w:color w:val="105C84"/>
          <w:spacing w:val="19"/>
        </w:rPr>
        <w:t> </w:t>
      </w:r>
      <w:r>
        <w:rPr>
          <w:color w:val="105C84"/>
        </w:rPr>
        <w:t>the</w:t>
      </w:r>
      <w:r>
        <w:rPr>
          <w:color w:val="105C84"/>
          <w:spacing w:val="19"/>
        </w:rPr>
        <w:t> </w:t>
      </w:r>
      <w:r>
        <w:rPr>
          <w:color w:val="105C84"/>
        </w:rPr>
        <w:t>18+</w:t>
      </w:r>
      <w:r>
        <w:rPr>
          <w:color w:val="105C84"/>
          <w:spacing w:val="19"/>
        </w:rPr>
        <w:t> </w:t>
      </w:r>
      <w:r>
        <w:rPr>
          <w:color w:val="105C84"/>
        </w:rPr>
        <w:t>population</w:t>
      </w:r>
      <w:r>
        <w:rPr>
          <w:color w:val="105C84"/>
          <w:spacing w:val="19"/>
        </w:rPr>
        <w:t> </w:t>
      </w:r>
      <w:r>
        <w:rPr>
          <w:color w:val="105C84"/>
        </w:rPr>
        <w:t>are</w:t>
      </w:r>
      <w:r>
        <w:rPr>
          <w:color w:val="105C84"/>
          <w:spacing w:val="19"/>
        </w:rPr>
        <w:t> </w:t>
      </w:r>
      <w:r>
        <w:rPr>
          <w:color w:val="105C84"/>
        </w:rPr>
        <w:t>living</w:t>
      </w:r>
      <w:r>
        <w:rPr>
          <w:color w:val="105C84"/>
          <w:spacing w:val="19"/>
        </w:rPr>
        <w:t> </w:t>
      </w:r>
      <w:r>
        <w:rPr>
          <w:color w:val="105C84"/>
        </w:rPr>
        <w:t>with</w:t>
      </w:r>
      <w:r>
        <w:rPr>
          <w:color w:val="105C84"/>
          <w:spacing w:val="19"/>
        </w:rPr>
        <w:t> </w:t>
      </w:r>
      <w:r>
        <w:rPr>
          <w:color w:val="105C84"/>
        </w:rPr>
        <w:t>a</w:t>
      </w:r>
      <w:r>
        <w:rPr>
          <w:color w:val="105C84"/>
          <w:spacing w:val="19"/>
        </w:rPr>
        <w:t> </w:t>
      </w:r>
      <w:r>
        <w:rPr>
          <w:color w:val="105C84"/>
        </w:rPr>
        <w:t>disability.</w:t>
      </w:r>
      <w:r>
        <w:rPr>
          <w:color w:val="105C84"/>
          <w:position w:val="7"/>
          <w:sz w:val="13"/>
        </w:rPr>
        <w:t>47</w:t>
      </w:r>
      <w:r>
        <w:rPr>
          <w:color w:val="105C84"/>
          <w:spacing w:val="40"/>
          <w:position w:val="7"/>
          <w:sz w:val="13"/>
        </w:rPr>
        <w:t> </w:t>
      </w:r>
      <w:r>
        <w:rPr>
          <w:color w:val="105C84"/>
        </w:rPr>
        <w:t>2017</w:t>
      </w:r>
      <w:r>
        <w:rPr>
          <w:color w:val="105C84"/>
          <w:spacing w:val="19"/>
        </w:rPr>
        <w:t> </w:t>
      </w:r>
      <w:r>
        <w:rPr>
          <w:color w:val="105C84"/>
        </w:rPr>
        <w:t>estimates</w:t>
      </w:r>
      <w:r>
        <w:rPr>
          <w:color w:val="105C84"/>
          <w:spacing w:val="19"/>
        </w:rPr>
        <w:t> </w:t>
      </w:r>
      <w:r>
        <w:rPr>
          <w:color w:val="105C84"/>
        </w:rPr>
        <w:t>reveal</w:t>
      </w:r>
      <w:r>
        <w:rPr>
          <w:color w:val="105C84"/>
          <w:spacing w:val="19"/>
        </w:rPr>
        <w:t> </w:t>
      </w:r>
      <w:r>
        <w:rPr>
          <w:color w:val="105C84"/>
        </w:rPr>
        <w:t>26% of the 65+ population (N=1,257) is living alone.</w:t>
      </w:r>
    </w:p>
    <w:p>
      <w:pPr>
        <w:pStyle w:val="BodyText"/>
        <w:spacing w:line="247" w:lineRule="auto" w:before="177"/>
        <w:ind w:left="1065" w:right="415"/>
      </w:pPr>
      <w:r>
        <w:rPr>
          <w:color w:val="105C84"/>
        </w:rPr>
        <w:t>It</w:t>
      </w:r>
      <w:r>
        <w:rPr>
          <w:color w:val="105C84"/>
          <w:spacing w:val="32"/>
        </w:rPr>
        <w:t> </w:t>
      </w:r>
      <w:r>
        <w:rPr>
          <w:color w:val="105C84"/>
        </w:rPr>
        <w:t>is</w:t>
      </w:r>
      <w:r>
        <w:rPr>
          <w:color w:val="105C84"/>
          <w:spacing w:val="32"/>
        </w:rPr>
        <w:t> </w:t>
      </w:r>
      <w:r>
        <w:rPr>
          <w:color w:val="105C84"/>
        </w:rPr>
        <w:t>difficult</w:t>
      </w:r>
      <w:r>
        <w:rPr>
          <w:color w:val="105C84"/>
          <w:spacing w:val="32"/>
        </w:rPr>
        <w:t> </w:t>
      </w:r>
      <w:r>
        <w:rPr>
          <w:color w:val="105C84"/>
        </w:rPr>
        <w:t>to</w:t>
      </w:r>
      <w:r>
        <w:rPr>
          <w:color w:val="105C84"/>
          <w:spacing w:val="32"/>
        </w:rPr>
        <w:t> </w:t>
      </w:r>
      <w:r>
        <w:rPr>
          <w:color w:val="105C84"/>
        </w:rPr>
        <w:t>gather</w:t>
      </w:r>
      <w:r>
        <w:rPr>
          <w:color w:val="105C84"/>
          <w:spacing w:val="32"/>
        </w:rPr>
        <w:t> </w:t>
      </w:r>
      <w:r>
        <w:rPr>
          <w:color w:val="105C84"/>
        </w:rPr>
        <w:t>data</w:t>
      </w:r>
      <w:r>
        <w:rPr>
          <w:color w:val="105C84"/>
          <w:spacing w:val="32"/>
        </w:rPr>
        <w:t> </w:t>
      </w:r>
      <w:r>
        <w:rPr>
          <w:color w:val="105C84"/>
        </w:rPr>
        <w:t>on</w:t>
      </w:r>
      <w:r>
        <w:rPr>
          <w:color w:val="105C84"/>
          <w:spacing w:val="32"/>
        </w:rPr>
        <w:t> </w:t>
      </w:r>
      <w:r>
        <w:rPr>
          <w:color w:val="105C84"/>
        </w:rPr>
        <w:t>the</w:t>
      </w:r>
      <w:r>
        <w:rPr>
          <w:color w:val="105C84"/>
          <w:spacing w:val="32"/>
        </w:rPr>
        <w:t> </w:t>
      </w:r>
      <w:r>
        <w:rPr>
          <w:color w:val="105C84"/>
        </w:rPr>
        <w:t>Amish</w:t>
      </w:r>
      <w:r>
        <w:rPr>
          <w:color w:val="105C84"/>
          <w:spacing w:val="32"/>
        </w:rPr>
        <w:t> </w:t>
      </w:r>
      <w:r>
        <w:rPr>
          <w:color w:val="105C84"/>
        </w:rPr>
        <w:t>and</w:t>
      </w:r>
      <w:r>
        <w:rPr>
          <w:color w:val="105C84"/>
          <w:spacing w:val="32"/>
        </w:rPr>
        <w:t> </w:t>
      </w:r>
      <w:r>
        <w:rPr>
          <w:color w:val="105C84"/>
        </w:rPr>
        <w:t>Mennonite</w:t>
      </w:r>
      <w:r>
        <w:rPr>
          <w:color w:val="105C84"/>
          <w:spacing w:val="32"/>
        </w:rPr>
        <w:t> </w:t>
      </w:r>
      <w:r>
        <w:rPr>
          <w:color w:val="105C84"/>
        </w:rPr>
        <w:t>population,</w:t>
      </w:r>
      <w:r>
        <w:rPr>
          <w:color w:val="105C84"/>
          <w:spacing w:val="32"/>
        </w:rPr>
        <w:t> </w:t>
      </w:r>
      <w:r>
        <w:rPr>
          <w:color w:val="105C84"/>
        </w:rPr>
        <w:t>though</w:t>
      </w:r>
      <w:r>
        <w:rPr>
          <w:color w:val="105C84"/>
          <w:spacing w:val="32"/>
        </w:rPr>
        <w:t> </w:t>
      </w:r>
      <w:r>
        <w:rPr>
          <w:color w:val="105C84"/>
        </w:rPr>
        <w:t>it</w:t>
      </w:r>
      <w:r>
        <w:rPr>
          <w:color w:val="105C84"/>
          <w:spacing w:val="32"/>
        </w:rPr>
        <w:t> </w:t>
      </w:r>
      <w:r>
        <w:rPr>
          <w:color w:val="105C84"/>
        </w:rPr>
        <w:t>is</w:t>
      </w:r>
      <w:r>
        <w:rPr>
          <w:color w:val="105C84"/>
          <w:spacing w:val="32"/>
        </w:rPr>
        <w:t> </w:t>
      </w:r>
      <w:r>
        <w:rPr>
          <w:color w:val="105C84"/>
        </w:rPr>
        <w:t>a</w:t>
      </w:r>
      <w:r>
        <w:rPr>
          <w:color w:val="105C84"/>
          <w:spacing w:val="32"/>
        </w:rPr>
        <w:t> </w:t>
      </w:r>
      <w:r>
        <w:rPr>
          <w:color w:val="105C84"/>
        </w:rPr>
        <w:t>prominent demographic in Yates County. Local agencies estimate there are 916 farms in Yates County, 40%</w:t>
      </w:r>
      <w:r>
        <w:rPr>
          <w:color w:val="105C84"/>
          <w:spacing w:val="40"/>
        </w:rPr>
        <w:t> </w:t>
      </w:r>
      <w:r>
        <w:rPr>
          <w:color w:val="105C84"/>
        </w:rPr>
        <w:t>of which are owned by Mennonites. Each year, the Groffdale Conference Old Order Mennonites produces a map that lists all of their members. Per the 2018 map, it is estimated that there are 681</w:t>
      </w:r>
    </w:p>
    <w:p>
      <w:pPr>
        <w:pStyle w:val="BodyText"/>
        <w:spacing w:line="244" w:lineRule="exact"/>
        <w:ind w:left="1065"/>
      </w:pPr>
      <w:r>
        <w:rPr>
          <w:color w:val="105C84"/>
        </w:rPr>
        <w:t>Old</w:t>
      </w:r>
      <w:r>
        <w:rPr>
          <w:color w:val="105C84"/>
          <w:spacing w:val="5"/>
        </w:rPr>
        <w:t> </w:t>
      </w:r>
      <w:r>
        <w:rPr>
          <w:color w:val="105C84"/>
        </w:rPr>
        <w:t>Order</w:t>
      </w:r>
      <w:r>
        <w:rPr>
          <w:color w:val="105C84"/>
          <w:spacing w:val="6"/>
        </w:rPr>
        <w:t> </w:t>
      </w:r>
      <w:r>
        <w:rPr>
          <w:color w:val="105C84"/>
        </w:rPr>
        <w:t>Mennonite</w:t>
      </w:r>
      <w:r>
        <w:rPr>
          <w:color w:val="105C84"/>
          <w:spacing w:val="5"/>
        </w:rPr>
        <w:t> </w:t>
      </w:r>
      <w:r>
        <w:rPr>
          <w:color w:val="105C84"/>
        </w:rPr>
        <w:t>households</w:t>
      </w:r>
      <w:r>
        <w:rPr>
          <w:color w:val="105C84"/>
          <w:spacing w:val="6"/>
        </w:rPr>
        <w:t> </w:t>
      </w:r>
      <w:r>
        <w:rPr>
          <w:color w:val="105C84"/>
        </w:rPr>
        <w:t>–</w:t>
      </w:r>
      <w:r>
        <w:rPr>
          <w:color w:val="105C84"/>
          <w:spacing w:val="6"/>
        </w:rPr>
        <w:t> </w:t>
      </w:r>
      <w:r>
        <w:rPr>
          <w:color w:val="105C84"/>
        </w:rPr>
        <w:t>45</w:t>
      </w:r>
      <w:r>
        <w:rPr>
          <w:color w:val="105C84"/>
          <w:spacing w:val="5"/>
        </w:rPr>
        <w:t> </w:t>
      </w:r>
      <w:r>
        <w:rPr>
          <w:color w:val="105C84"/>
        </w:rPr>
        <w:t>of</w:t>
      </w:r>
      <w:r>
        <w:rPr>
          <w:color w:val="105C84"/>
          <w:spacing w:val="6"/>
        </w:rPr>
        <w:t> </w:t>
      </w:r>
      <w:r>
        <w:rPr>
          <w:color w:val="105C84"/>
        </w:rPr>
        <w:t>which</w:t>
      </w:r>
      <w:r>
        <w:rPr>
          <w:color w:val="105C84"/>
          <w:spacing w:val="5"/>
        </w:rPr>
        <w:t> </w:t>
      </w:r>
      <w:r>
        <w:rPr>
          <w:color w:val="105C84"/>
        </w:rPr>
        <w:t>have</w:t>
      </w:r>
      <w:r>
        <w:rPr>
          <w:color w:val="105C84"/>
          <w:spacing w:val="6"/>
        </w:rPr>
        <w:t> </w:t>
      </w:r>
      <w:r>
        <w:rPr>
          <w:color w:val="105C84"/>
        </w:rPr>
        <w:t>been</w:t>
      </w:r>
      <w:r>
        <w:rPr>
          <w:color w:val="105C84"/>
          <w:spacing w:val="6"/>
        </w:rPr>
        <w:t> </w:t>
      </w:r>
      <w:r>
        <w:rPr>
          <w:color w:val="105C84"/>
        </w:rPr>
        <w:t>newly</w:t>
      </w:r>
      <w:r>
        <w:rPr>
          <w:color w:val="105C84"/>
          <w:spacing w:val="5"/>
        </w:rPr>
        <w:t> </w:t>
      </w:r>
      <w:r>
        <w:rPr>
          <w:color w:val="105C84"/>
        </w:rPr>
        <w:t>established</w:t>
      </w:r>
      <w:r>
        <w:rPr>
          <w:color w:val="105C84"/>
          <w:spacing w:val="6"/>
        </w:rPr>
        <w:t> </w:t>
      </w:r>
      <w:r>
        <w:rPr>
          <w:color w:val="105C84"/>
        </w:rPr>
        <w:t>(&lt;1</w:t>
      </w:r>
      <w:r>
        <w:rPr>
          <w:color w:val="105C84"/>
          <w:spacing w:val="5"/>
        </w:rPr>
        <w:t> </w:t>
      </w:r>
      <w:r>
        <w:rPr>
          <w:color w:val="105C84"/>
        </w:rPr>
        <w:t>year).</w:t>
      </w:r>
      <w:r>
        <w:rPr>
          <w:color w:val="105C84"/>
          <w:spacing w:val="6"/>
        </w:rPr>
        <w:t> </w:t>
      </w:r>
      <w:r>
        <w:rPr>
          <w:color w:val="105C84"/>
        </w:rPr>
        <w:t>It</w:t>
      </w:r>
      <w:r>
        <w:rPr>
          <w:color w:val="105C84"/>
          <w:spacing w:val="6"/>
        </w:rPr>
        <w:t> </w:t>
      </w:r>
      <w:r>
        <w:rPr>
          <w:color w:val="105C84"/>
        </w:rPr>
        <w:t>is</w:t>
      </w:r>
      <w:r>
        <w:rPr>
          <w:color w:val="105C84"/>
          <w:spacing w:val="5"/>
        </w:rPr>
        <w:t> </w:t>
      </w:r>
      <w:r>
        <w:rPr>
          <w:color w:val="105C84"/>
          <w:spacing w:val="-2"/>
        </w:rPr>
        <w:t>important</w:t>
      </w:r>
    </w:p>
    <w:p>
      <w:pPr>
        <w:spacing w:before="191"/>
        <w:ind w:left="0" w:right="38" w:firstLine="0"/>
        <w:jc w:val="right"/>
        <w:rPr>
          <w:sz w:val="18"/>
        </w:rPr>
      </w:pPr>
      <w:r>
        <w:rPr/>
        <w:br w:type="column"/>
      </w:r>
      <w:r>
        <w:rPr>
          <w:color w:val="636466"/>
          <w:spacing w:val="-5"/>
          <w:sz w:val="18"/>
        </w:rPr>
        <w:t>44%</w:t>
      </w:r>
    </w:p>
    <w:p>
      <w:pPr>
        <w:tabs>
          <w:tab w:pos="1805" w:val="left" w:leader="none"/>
        </w:tabs>
        <w:spacing w:before="118"/>
        <w:ind w:left="1065" w:right="0" w:firstLine="0"/>
        <w:jc w:val="left"/>
        <w:rPr>
          <w:sz w:val="18"/>
        </w:rPr>
      </w:pPr>
      <w:r>
        <w:rPr/>
        <w:br w:type="column"/>
      </w:r>
      <w:r>
        <w:rPr/>
        <w:drawing>
          <wp:inline distT="0" distB="0" distL="0" distR="0">
            <wp:extent cx="50812" cy="63500"/>
            <wp:effectExtent l="0" t="0" r="0" b="0"/>
            <wp:docPr id="1604" name="Image 1604"/>
            <wp:cNvGraphicFramePr>
              <a:graphicFrameLocks/>
            </wp:cNvGraphicFramePr>
            <a:graphic>
              <a:graphicData uri="http://schemas.openxmlformats.org/drawingml/2006/picture">
                <pic:pic>
                  <pic:nvPicPr>
                    <pic:cNvPr id="1604" name="Image 1604"/>
                    <pic:cNvPicPr/>
                  </pic:nvPicPr>
                  <pic:blipFill>
                    <a:blip r:embed="rId235" cstate="print"/>
                    <a:stretch>
                      <a:fillRect/>
                    </a:stretch>
                  </pic:blipFill>
                  <pic:spPr>
                    <a:xfrm>
                      <a:off x="0" y="0"/>
                      <a:ext cx="50812" cy="63500"/>
                    </a:xfrm>
                    <a:prstGeom prst="rect">
                      <a:avLst/>
                    </a:prstGeom>
                  </pic:spPr>
                </pic:pic>
              </a:graphicData>
            </a:graphic>
          </wp:inline>
        </w:drawing>
      </w:r>
      <w:r>
        <w:rPr/>
      </w:r>
      <w:r>
        <w:rPr>
          <w:rFonts w:ascii="Times New Roman"/>
          <w:sz w:val="20"/>
        </w:rPr>
        <w:t> </w:t>
      </w:r>
      <w:r>
        <w:rPr>
          <w:color w:val="636466"/>
          <w:sz w:val="18"/>
        </w:rPr>
        <w:t>2012</w:t>
        <w:tab/>
      </w:r>
      <w:r>
        <w:rPr>
          <w:color w:val="636466"/>
          <w:sz w:val="18"/>
        </w:rPr>
        <w:drawing>
          <wp:inline distT="0" distB="0" distL="0" distR="0">
            <wp:extent cx="63500" cy="63500"/>
            <wp:effectExtent l="0" t="0" r="0" b="0"/>
            <wp:docPr id="1605" name="Image 1605"/>
            <wp:cNvGraphicFramePr>
              <a:graphicFrameLocks/>
            </wp:cNvGraphicFramePr>
            <a:graphic>
              <a:graphicData uri="http://schemas.openxmlformats.org/drawingml/2006/picture">
                <pic:pic>
                  <pic:nvPicPr>
                    <pic:cNvPr id="1605" name="Image 1605"/>
                    <pic:cNvPicPr/>
                  </pic:nvPicPr>
                  <pic:blipFill>
                    <a:blip r:embed="rId76" cstate="print"/>
                    <a:stretch>
                      <a:fillRect/>
                    </a:stretch>
                  </pic:blipFill>
                  <pic:spPr>
                    <a:xfrm>
                      <a:off x="0" y="0"/>
                      <a:ext cx="63500" cy="63500"/>
                    </a:xfrm>
                    <a:prstGeom prst="rect">
                      <a:avLst/>
                    </a:prstGeom>
                  </pic:spPr>
                </pic:pic>
              </a:graphicData>
            </a:graphic>
          </wp:inline>
        </w:drawing>
      </w:r>
      <w:r>
        <w:rPr>
          <w:color w:val="636466"/>
          <w:sz w:val="18"/>
        </w:rPr>
      </w:r>
      <w:r>
        <w:rPr>
          <w:rFonts w:ascii="Times New Roman"/>
          <w:color w:val="636466"/>
          <w:spacing w:val="-13"/>
          <w:sz w:val="18"/>
        </w:rPr>
        <w:t> </w:t>
      </w:r>
      <w:r>
        <w:rPr>
          <w:color w:val="636466"/>
          <w:sz w:val="18"/>
        </w:rPr>
        <w:t>2017</w:t>
      </w:r>
    </w:p>
    <w:p>
      <w:pPr>
        <w:spacing w:after="0"/>
        <w:jc w:val="left"/>
        <w:rPr>
          <w:sz w:val="18"/>
        </w:rPr>
        <w:sectPr>
          <w:type w:val="continuous"/>
          <w:pgSz w:w="24480" w:h="15840" w:orient="landscape"/>
          <w:pgMar w:header="0" w:footer="0" w:top="0" w:bottom="280" w:left="0" w:right="720"/>
          <w:cols w:num="3" w:equalWidth="0">
            <w:col w:w="11190" w:space="2103"/>
            <w:col w:w="1440" w:space="4953"/>
            <w:col w:w="4074"/>
          </w:cols>
        </w:sectPr>
      </w:pPr>
    </w:p>
    <w:p>
      <w:pPr>
        <w:pStyle w:val="BodyText"/>
        <w:spacing w:line="247" w:lineRule="auto" w:before="14"/>
        <w:ind w:left="1065" w:right="377"/>
      </w:pPr>
      <w:r>
        <w:rPr>
          <w:color w:val="105C84"/>
        </w:rPr>
        <w:t>to note these data do not include estimates of the Crystal Valley or Horning Order Mennonite</w:t>
      </w:r>
      <w:r>
        <w:rPr>
          <w:color w:val="105C84"/>
          <w:spacing w:val="80"/>
          <w:w w:val="105"/>
        </w:rPr>
        <w:t> </w:t>
      </w:r>
      <w:r>
        <w:rPr>
          <w:color w:val="105C84"/>
          <w:spacing w:val="-2"/>
          <w:w w:val="105"/>
        </w:rPr>
        <w:t>groups.</w:t>
      </w:r>
    </w:p>
    <w:p>
      <w:pPr>
        <w:pStyle w:val="BodyText"/>
        <w:spacing w:line="247" w:lineRule="auto" w:before="179"/>
        <w:ind w:left="1065"/>
      </w:pPr>
      <w:r>
        <w:rPr>
          <w:color w:val="105C84"/>
        </w:rPr>
        <w:t>In Yates County, 13% of residents are living below the federal poverty level, and another 23% live near </w:t>
      </w:r>
      <w:r>
        <w:rPr>
          <w:color w:val="105C84"/>
          <w:w w:val="105"/>
        </w:rPr>
        <w:t>it. The distribution of poverty in the county is shown below in Map 14.</w:t>
      </w:r>
    </w:p>
    <w:p>
      <w:pPr>
        <w:pStyle w:val="BodyText"/>
        <w:spacing w:before="18"/>
      </w:pPr>
    </w:p>
    <w:p>
      <w:pPr>
        <w:pStyle w:val="Heading6"/>
        <w:ind w:left="1065"/>
      </w:pPr>
      <w:r>
        <w:rPr>
          <w:color w:val="105C84"/>
        </w:rPr>
        <w:t>MAP</w:t>
      </w:r>
      <w:r>
        <w:rPr>
          <w:color w:val="105C84"/>
          <w:spacing w:val="-4"/>
        </w:rPr>
        <w:t> </w:t>
      </w:r>
      <w:r>
        <w:rPr>
          <w:color w:val="105C84"/>
        </w:rPr>
        <w:t>14:</w:t>
      </w:r>
      <w:r>
        <w:rPr>
          <w:color w:val="105C84"/>
          <w:spacing w:val="-3"/>
        </w:rPr>
        <w:t> </w:t>
      </w:r>
      <w:r>
        <w:rPr>
          <w:color w:val="105C84"/>
        </w:rPr>
        <w:t>Poverty</w:t>
      </w:r>
      <w:r>
        <w:rPr>
          <w:color w:val="105C84"/>
          <w:spacing w:val="-3"/>
        </w:rPr>
        <w:t> </w:t>
      </w:r>
      <w:r>
        <w:rPr>
          <w:color w:val="105C84"/>
        </w:rPr>
        <w:t>rates</w:t>
      </w:r>
      <w:r>
        <w:rPr>
          <w:color w:val="105C84"/>
          <w:spacing w:val="-4"/>
        </w:rPr>
        <w:t> </w:t>
      </w:r>
      <w:r>
        <w:rPr>
          <w:color w:val="105C84"/>
        </w:rPr>
        <w:t>by</w:t>
      </w:r>
      <w:r>
        <w:rPr>
          <w:color w:val="105C84"/>
          <w:spacing w:val="-3"/>
        </w:rPr>
        <w:t> </w:t>
      </w:r>
      <w:r>
        <w:rPr>
          <w:color w:val="105C84"/>
        </w:rPr>
        <w:t>ZIP</w:t>
      </w:r>
      <w:r>
        <w:rPr>
          <w:color w:val="105C84"/>
          <w:spacing w:val="-4"/>
        </w:rPr>
        <w:t> code</w:t>
      </w:r>
    </w:p>
    <w:p>
      <w:pPr>
        <w:tabs>
          <w:tab w:pos="4858" w:val="left" w:leader="none"/>
          <w:tab w:pos="7849" w:val="left" w:leader="none"/>
        </w:tabs>
        <w:spacing w:before="72"/>
        <w:ind w:left="1364" w:right="0" w:firstLine="0"/>
        <w:jc w:val="left"/>
        <w:rPr>
          <w:sz w:val="18"/>
        </w:rPr>
      </w:pPr>
      <w:r>
        <w:rPr/>
        <w:br w:type="column"/>
      </w:r>
      <w:r>
        <w:rPr>
          <w:color w:val="636466"/>
          <w:sz w:val="18"/>
        </w:rPr>
        <w:t>High School</w:t>
      </w:r>
      <w:r>
        <w:rPr>
          <w:color w:val="636466"/>
          <w:spacing w:val="1"/>
          <w:sz w:val="18"/>
        </w:rPr>
        <w:t> </w:t>
      </w:r>
      <w:r>
        <w:rPr>
          <w:color w:val="636466"/>
          <w:sz w:val="18"/>
        </w:rPr>
        <w:t>Degree or</w:t>
      </w:r>
      <w:r>
        <w:rPr>
          <w:color w:val="636466"/>
          <w:spacing w:val="1"/>
          <w:sz w:val="18"/>
        </w:rPr>
        <w:t> </w:t>
      </w:r>
      <w:r>
        <w:rPr>
          <w:color w:val="636466"/>
          <w:spacing w:val="-2"/>
          <w:sz w:val="18"/>
        </w:rPr>
        <w:t>Equivalent</w:t>
      </w:r>
      <w:r>
        <w:rPr>
          <w:color w:val="636466"/>
          <w:sz w:val="18"/>
        </w:rPr>
        <w:tab/>
        <w:t>Some</w:t>
      </w:r>
      <w:r>
        <w:rPr>
          <w:color w:val="636466"/>
          <w:spacing w:val="-2"/>
          <w:sz w:val="18"/>
        </w:rPr>
        <w:t> </w:t>
      </w:r>
      <w:r>
        <w:rPr>
          <w:color w:val="636466"/>
          <w:sz w:val="18"/>
        </w:rPr>
        <w:t>College</w:t>
      </w:r>
      <w:r>
        <w:rPr>
          <w:color w:val="636466"/>
          <w:spacing w:val="-2"/>
          <w:sz w:val="18"/>
        </w:rPr>
        <w:t> Experience</w:t>
      </w:r>
      <w:r>
        <w:rPr>
          <w:color w:val="636466"/>
          <w:sz w:val="18"/>
        </w:rPr>
        <w:tab/>
        <w:t>Bachelor's</w:t>
      </w:r>
      <w:r>
        <w:rPr>
          <w:color w:val="636466"/>
          <w:spacing w:val="-1"/>
          <w:sz w:val="18"/>
        </w:rPr>
        <w:t> </w:t>
      </w:r>
      <w:r>
        <w:rPr>
          <w:color w:val="636466"/>
          <w:sz w:val="18"/>
        </w:rPr>
        <w:t>Degree</w:t>
      </w:r>
      <w:r>
        <w:rPr>
          <w:color w:val="636466"/>
          <w:spacing w:val="-1"/>
          <w:sz w:val="18"/>
        </w:rPr>
        <w:t> </w:t>
      </w:r>
      <w:r>
        <w:rPr>
          <w:color w:val="636466"/>
          <w:sz w:val="18"/>
        </w:rPr>
        <w:t>or</w:t>
      </w:r>
      <w:r>
        <w:rPr>
          <w:color w:val="636466"/>
          <w:spacing w:val="-1"/>
          <w:sz w:val="18"/>
        </w:rPr>
        <w:t> </w:t>
      </w:r>
      <w:r>
        <w:rPr>
          <w:color w:val="636466"/>
          <w:spacing w:val="-2"/>
          <w:sz w:val="18"/>
        </w:rPr>
        <w:t>Higher</w:t>
      </w:r>
    </w:p>
    <w:p>
      <w:pPr>
        <w:pStyle w:val="BodyText"/>
        <w:spacing w:before="100"/>
        <w:rPr>
          <w:sz w:val="18"/>
        </w:rPr>
      </w:pPr>
    </w:p>
    <w:p>
      <w:pPr>
        <w:spacing w:before="1"/>
        <w:ind w:left="1380" w:right="0" w:firstLine="0"/>
        <w:jc w:val="left"/>
        <w:rPr>
          <w:sz w:val="16"/>
        </w:rPr>
      </w:pPr>
      <w:r>
        <w:rPr>
          <w:sz w:val="16"/>
        </w:rPr>
        <mc:AlternateContent>
          <mc:Choice Requires="wps">
            <w:drawing>
              <wp:anchor distT="0" distB="0" distL="0" distR="0" allowOverlap="1" layoutInCell="1" locked="0" behindDoc="0" simplePos="0" relativeHeight="15900672">
                <wp:simplePos x="0" y="0"/>
                <wp:positionH relativeFrom="page">
                  <wp:posOffset>8484392</wp:posOffset>
                </wp:positionH>
                <wp:positionV relativeFrom="paragraph">
                  <wp:posOffset>-1793961</wp:posOffset>
                </wp:positionV>
                <wp:extent cx="146050" cy="1473200"/>
                <wp:effectExtent l="0" t="0" r="0" b="0"/>
                <wp:wrapNone/>
                <wp:docPr id="1606" name="Textbox 1606"/>
                <wp:cNvGraphicFramePr>
                  <a:graphicFrameLocks/>
                </wp:cNvGraphicFramePr>
                <a:graphic>
                  <a:graphicData uri="http://schemas.microsoft.com/office/word/2010/wordprocessingShape">
                    <wps:wsp>
                      <wps:cNvPr id="1606" name="Textbox 1606"/>
                      <wps:cNvSpPr txBox="1"/>
                      <wps:spPr>
                        <a:xfrm>
                          <a:off x="0" y="0"/>
                          <a:ext cx="146050" cy="1473200"/>
                        </a:xfrm>
                        <a:prstGeom prst="rect">
                          <a:avLst/>
                        </a:prstGeom>
                      </wps:spPr>
                      <wps:txbx>
                        <w:txbxContent>
                          <w:p>
                            <w:pPr>
                              <w:spacing w:before="19"/>
                              <w:ind w:left="20" w:right="0" w:firstLine="0"/>
                              <w:jc w:val="left"/>
                              <w:rPr>
                                <w:sz w:val="16"/>
                              </w:rPr>
                            </w:pPr>
                            <w:r>
                              <w:rPr>
                                <w:color w:val="105C84"/>
                                <w:sz w:val="16"/>
                              </w:rPr>
                              <w:t>Percent</w:t>
                            </w:r>
                            <w:r>
                              <w:rPr>
                                <w:color w:val="105C84"/>
                                <w:spacing w:val="-2"/>
                                <w:sz w:val="16"/>
                              </w:rPr>
                              <w:t> </w:t>
                            </w:r>
                            <w:r>
                              <w:rPr>
                                <w:color w:val="105C84"/>
                                <w:sz w:val="16"/>
                              </w:rPr>
                              <w:t>of</w:t>
                            </w:r>
                            <w:r>
                              <w:rPr>
                                <w:color w:val="105C84"/>
                                <w:spacing w:val="-2"/>
                                <w:sz w:val="16"/>
                              </w:rPr>
                              <w:t> </w:t>
                            </w:r>
                            <w:r>
                              <w:rPr>
                                <w:color w:val="105C84"/>
                                <w:sz w:val="16"/>
                              </w:rPr>
                              <w:t>Population</w:t>
                            </w:r>
                            <w:r>
                              <w:rPr>
                                <w:color w:val="105C84"/>
                                <w:spacing w:val="-2"/>
                                <w:sz w:val="16"/>
                              </w:rPr>
                              <w:t> </w:t>
                            </w:r>
                            <w:r>
                              <w:rPr>
                                <w:color w:val="105C84"/>
                                <w:sz w:val="16"/>
                              </w:rPr>
                              <w:t>25+</w:t>
                            </w:r>
                            <w:r>
                              <w:rPr>
                                <w:color w:val="105C84"/>
                                <w:spacing w:val="-2"/>
                                <w:sz w:val="16"/>
                              </w:rPr>
                              <w:t> </w:t>
                            </w:r>
                            <w:r>
                              <w:rPr>
                                <w:color w:val="105C84"/>
                                <w:spacing w:val="-4"/>
                                <w:sz w:val="16"/>
                              </w:rPr>
                              <w:t>Years</w:t>
                            </w:r>
                          </w:p>
                        </w:txbxContent>
                      </wps:txbx>
                      <wps:bodyPr wrap="square" lIns="0" tIns="0" rIns="0" bIns="0" rtlCol="0" vert="vert270">
                        <a:noAutofit/>
                      </wps:bodyPr>
                    </wps:wsp>
                  </a:graphicData>
                </a:graphic>
              </wp:anchor>
            </w:drawing>
          </mc:Choice>
          <mc:Fallback>
            <w:pict>
              <v:shape style="position:absolute;margin-left:668.062378pt;margin-top:-141.256836pt;width:11.5pt;height:116pt;mso-position-horizontal-relative:page;mso-position-vertical-relative:paragraph;z-index:15900672" type="#_x0000_t202" id="docshape1272" filled="false" stroked="false">
                <v:textbox inset="0,0,0,0" style="layout-flow:vertical;mso-layout-flow-alt:bottom-to-top">
                  <w:txbxContent>
                    <w:p>
                      <w:pPr>
                        <w:spacing w:before="19"/>
                        <w:ind w:left="20" w:right="0" w:firstLine="0"/>
                        <w:jc w:val="left"/>
                        <w:rPr>
                          <w:sz w:val="16"/>
                        </w:rPr>
                      </w:pPr>
                      <w:r>
                        <w:rPr>
                          <w:color w:val="105C84"/>
                          <w:sz w:val="16"/>
                        </w:rPr>
                        <w:t>Percent</w:t>
                      </w:r>
                      <w:r>
                        <w:rPr>
                          <w:color w:val="105C84"/>
                          <w:spacing w:val="-2"/>
                          <w:sz w:val="16"/>
                        </w:rPr>
                        <w:t> </w:t>
                      </w:r>
                      <w:r>
                        <w:rPr>
                          <w:color w:val="105C84"/>
                          <w:sz w:val="16"/>
                        </w:rPr>
                        <w:t>of</w:t>
                      </w:r>
                      <w:r>
                        <w:rPr>
                          <w:color w:val="105C84"/>
                          <w:spacing w:val="-2"/>
                          <w:sz w:val="16"/>
                        </w:rPr>
                        <w:t> </w:t>
                      </w:r>
                      <w:r>
                        <w:rPr>
                          <w:color w:val="105C84"/>
                          <w:sz w:val="16"/>
                        </w:rPr>
                        <w:t>Population</w:t>
                      </w:r>
                      <w:r>
                        <w:rPr>
                          <w:color w:val="105C84"/>
                          <w:spacing w:val="-2"/>
                          <w:sz w:val="16"/>
                        </w:rPr>
                        <w:t> </w:t>
                      </w:r>
                      <w:r>
                        <w:rPr>
                          <w:color w:val="105C84"/>
                          <w:sz w:val="16"/>
                        </w:rPr>
                        <w:t>25+</w:t>
                      </w:r>
                      <w:r>
                        <w:rPr>
                          <w:color w:val="105C84"/>
                          <w:spacing w:val="-2"/>
                          <w:sz w:val="16"/>
                        </w:rPr>
                        <w:t> </w:t>
                      </w:r>
                      <w:r>
                        <w:rPr>
                          <w:color w:val="105C84"/>
                          <w:spacing w:val="-4"/>
                          <w:sz w:val="16"/>
                        </w:rPr>
                        <w:t>Years</w:t>
                      </w:r>
                    </w:p>
                  </w:txbxContent>
                </v:textbox>
                <w10:wrap type="none"/>
              </v:shape>
            </w:pict>
          </mc:Fallback>
        </mc:AlternateContent>
      </w:r>
      <w:r>
        <w:rPr>
          <w:color w:val="105C84"/>
          <w:spacing w:val="-2"/>
          <w:sz w:val="16"/>
        </w:rPr>
        <w:t>Data</w:t>
      </w:r>
      <w:r>
        <w:rPr>
          <w:color w:val="105C84"/>
          <w:spacing w:val="-8"/>
          <w:sz w:val="16"/>
        </w:rPr>
        <w:t> </w:t>
      </w:r>
      <w:r>
        <w:rPr>
          <w:color w:val="105C84"/>
          <w:spacing w:val="-2"/>
          <w:sz w:val="16"/>
        </w:rPr>
        <w:t>Source:</w:t>
      </w:r>
      <w:r>
        <w:rPr>
          <w:color w:val="105C84"/>
          <w:spacing w:val="-8"/>
          <w:sz w:val="16"/>
        </w:rPr>
        <w:t> </w:t>
      </w:r>
      <w:r>
        <w:rPr>
          <w:color w:val="105C84"/>
          <w:spacing w:val="-2"/>
          <w:sz w:val="16"/>
        </w:rPr>
        <w:t>U.S.</w:t>
      </w:r>
      <w:r>
        <w:rPr>
          <w:color w:val="105C84"/>
          <w:spacing w:val="-8"/>
          <w:sz w:val="16"/>
        </w:rPr>
        <w:t> </w:t>
      </w:r>
      <w:r>
        <w:rPr>
          <w:color w:val="105C84"/>
          <w:spacing w:val="-2"/>
          <w:sz w:val="16"/>
        </w:rPr>
        <w:t>Census</w:t>
      </w:r>
      <w:r>
        <w:rPr>
          <w:color w:val="105C84"/>
          <w:spacing w:val="-8"/>
          <w:sz w:val="16"/>
        </w:rPr>
        <w:t> </w:t>
      </w:r>
      <w:r>
        <w:rPr>
          <w:color w:val="105C84"/>
          <w:spacing w:val="-2"/>
          <w:sz w:val="16"/>
        </w:rPr>
        <w:t>Bureau</w:t>
      </w:r>
      <w:r>
        <w:rPr>
          <w:color w:val="105C84"/>
          <w:spacing w:val="-8"/>
          <w:sz w:val="16"/>
        </w:rPr>
        <w:t> </w:t>
      </w:r>
      <w:r>
        <w:rPr>
          <w:color w:val="105C84"/>
          <w:spacing w:val="-2"/>
          <w:sz w:val="16"/>
        </w:rPr>
        <w:t>American</w:t>
      </w:r>
      <w:r>
        <w:rPr>
          <w:color w:val="105C84"/>
          <w:spacing w:val="-8"/>
          <w:sz w:val="16"/>
        </w:rPr>
        <w:t> </w:t>
      </w:r>
      <w:r>
        <w:rPr>
          <w:color w:val="105C84"/>
          <w:spacing w:val="-2"/>
          <w:sz w:val="16"/>
        </w:rPr>
        <w:t>Communtiy</w:t>
      </w:r>
      <w:r>
        <w:rPr>
          <w:color w:val="105C84"/>
          <w:spacing w:val="-8"/>
          <w:sz w:val="16"/>
        </w:rPr>
        <w:t> </w:t>
      </w:r>
      <w:r>
        <w:rPr>
          <w:color w:val="105C84"/>
          <w:spacing w:val="-2"/>
          <w:sz w:val="16"/>
        </w:rPr>
        <w:t>Survey</w:t>
      </w:r>
      <w:r>
        <w:rPr>
          <w:color w:val="105C84"/>
          <w:spacing w:val="-8"/>
          <w:sz w:val="16"/>
        </w:rPr>
        <w:t> </w:t>
      </w:r>
      <w:r>
        <w:rPr>
          <w:color w:val="105C84"/>
          <w:spacing w:val="-2"/>
          <w:sz w:val="16"/>
        </w:rPr>
        <w:t>5-Year</w:t>
      </w:r>
      <w:r>
        <w:rPr>
          <w:color w:val="105C84"/>
          <w:spacing w:val="-8"/>
          <w:sz w:val="16"/>
        </w:rPr>
        <w:t> </w:t>
      </w:r>
      <w:r>
        <w:rPr>
          <w:color w:val="105C84"/>
          <w:spacing w:val="-2"/>
          <w:sz w:val="16"/>
        </w:rPr>
        <w:t>Estimates</w:t>
      </w:r>
    </w:p>
    <w:p>
      <w:pPr>
        <w:pStyle w:val="BodyText"/>
        <w:rPr>
          <w:sz w:val="16"/>
        </w:rPr>
      </w:pPr>
    </w:p>
    <w:p>
      <w:pPr>
        <w:pStyle w:val="BodyText"/>
        <w:rPr>
          <w:sz w:val="16"/>
        </w:rPr>
      </w:pPr>
    </w:p>
    <w:p>
      <w:pPr>
        <w:pStyle w:val="BodyText"/>
        <w:spacing w:before="60"/>
        <w:rPr>
          <w:sz w:val="16"/>
        </w:rPr>
      </w:pPr>
    </w:p>
    <w:p>
      <w:pPr>
        <w:pStyle w:val="BodyText"/>
        <w:spacing w:line="247" w:lineRule="auto"/>
        <w:ind w:left="1065" w:right="136"/>
      </w:pPr>
      <w:r>
        <w:rPr>
          <w:color w:val="105C84"/>
        </w:rPr>
        <w:t>Data below show the trend in uninsured rates in Yates County over the past 5 years compared to NYS and the eight county region which has increased 6 percent since 2012 (Figure 50). This may likely be </w:t>
      </w:r>
      <w:r>
        <w:rPr>
          <w:color w:val="105C84"/>
          <w:w w:val="105"/>
        </w:rPr>
        <w:t>attributed to the high Amish and Mennonite populations found in Yates County who do not utilize traditional health insurance.</w:t>
      </w:r>
    </w:p>
    <w:p>
      <w:pPr>
        <w:pStyle w:val="BodyText"/>
        <w:spacing w:before="17"/>
      </w:pPr>
    </w:p>
    <w:p>
      <w:pPr>
        <w:pStyle w:val="Heading6"/>
        <w:ind w:left="1065"/>
      </w:pPr>
      <w:r>
        <w:rPr>
          <w:color w:val="105C84"/>
          <w:spacing w:val="-2"/>
        </w:rPr>
        <w:t>FIGURE</w:t>
      </w:r>
      <w:r>
        <w:rPr>
          <w:color w:val="105C84"/>
          <w:spacing w:val="-10"/>
        </w:rPr>
        <w:t> </w:t>
      </w:r>
      <w:r>
        <w:rPr>
          <w:color w:val="105C84"/>
          <w:spacing w:val="-2"/>
        </w:rPr>
        <w:t>50:</w:t>
      </w:r>
      <w:r>
        <w:rPr>
          <w:color w:val="105C84"/>
          <w:spacing w:val="-10"/>
        </w:rPr>
        <w:t> </w:t>
      </w:r>
      <w:r>
        <w:rPr>
          <w:color w:val="105C84"/>
          <w:spacing w:val="-2"/>
        </w:rPr>
        <w:t>Percent</w:t>
      </w:r>
      <w:r>
        <w:rPr>
          <w:color w:val="105C84"/>
          <w:spacing w:val="-10"/>
        </w:rPr>
        <w:t> </w:t>
      </w:r>
      <w:r>
        <w:rPr>
          <w:color w:val="105C84"/>
          <w:spacing w:val="-2"/>
        </w:rPr>
        <w:t>of</w:t>
      </w:r>
      <w:r>
        <w:rPr>
          <w:color w:val="105C84"/>
          <w:spacing w:val="-10"/>
        </w:rPr>
        <w:t> </w:t>
      </w:r>
      <w:r>
        <w:rPr>
          <w:color w:val="105C84"/>
          <w:spacing w:val="-2"/>
        </w:rPr>
        <w:t>population</w:t>
      </w:r>
      <w:r>
        <w:rPr>
          <w:color w:val="105C84"/>
          <w:spacing w:val="-10"/>
        </w:rPr>
        <w:t> </w:t>
      </w:r>
      <w:r>
        <w:rPr>
          <w:color w:val="105C84"/>
          <w:spacing w:val="-2"/>
        </w:rPr>
        <w:t>that</w:t>
      </w:r>
      <w:r>
        <w:rPr>
          <w:color w:val="105C84"/>
          <w:spacing w:val="-10"/>
        </w:rPr>
        <w:t> </w:t>
      </w:r>
      <w:r>
        <w:rPr>
          <w:color w:val="105C84"/>
          <w:spacing w:val="-2"/>
        </w:rPr>
        <w:t>is</w:t>
      </w:r>
      <w:r>
        <w:rPr>
          <w:color w:val="105C84"/>
          <w:spacing w:val="-9"/>
        </w:rPr>
        <w:t> </w:t>
      </w:r>
      <w:r>
        <w:rPr>
          <w:color w:val="105C84"/>
          <w:spacing w:val="-2"/>
        </w:rPr>
        <w:t>uninsured</w:t>
      </w:r>
    </w:p>
    <w:p>
      <w:pPr>
        <w:pStyle w:val="Heading6"/>
        <w:spacing w:after="0"/>
        <w:sectPr>
          <w:type w:val="continuous"/>
          <w:pgSz w:w="24480" w:h="15840" w:orient="landscape"/>
          <w:pgMar w:header="0" w:footer="0" w:top="0" w:bottom="280" w:left="0" w:right="720"/>
          <w:cols w:num="2" w:equalWidth="0">
            <w:col w:w="11192" w:space="1077"/>
            <w:col w:w="11491"/>
          </w:cols>
        </w:sectPr>
      </w:pPr>
    </w:p>
    <w:p>
      <w:pPr>
        <w:pStyle w:val="BodyText"/>
        <w:rPr>
          <w:b/>
          <w:sz w:val="20"/>
        </w:rPr>
      </w:pPr>
    </w:p>
    <w:p>
      <w:pPr>
        <w:pStyle w:val="BodyText"/>
        <w:spacing w:before="52"/>
        <w:rPr>
          <w:b/>
          <w:sz w:val="20"/>
        </w:rPr>
      </w:pPr>
    </w:p>
    <w:p>
      <w:pPr>
        <w:pStyle w:val="BodyText"/>
        <w:spacing w:after="0"/>
        <w:rPr>
          <w:b/>
          <w:sz w:val="20"/>
        </w:rPr>
        <w:sectPr>
          <w:type w:val="continuous"/>
          <w:pgSz w:w="24480" w:h="15840" w:orient="landscape"/>
          <w:pgMar w:header="0" w:footer="0" w:top="0" w:bottom="280" w:left="0" w:right="720"/>
        </w:sectPr>
      </w:pPr>
    </w:p>
    <w:p>
      <w:pPr>
        <w:pStyle w:val="BodyText"/>
        <w:rPr>
          <w:b/>
          <w:sz w:val="18"/>
        </w:rPr>
      </w:pPr>
    </w:p>
    <w:p>
      <w:pPr>
        <w:pStyle w:val="BodyText"/>
        <w:spacing w:before="78"/>
        <w:rPr>
          <w:b/>
          <w:sz w:val="18"/>
        </w:rPr>
      </w:pPr>
    </w:p>
    <w:p>
      <w:pPr>
        <w:spacing w:before="0"/>
        <w:ind w:left="0" w:right="0" w:firstLine="0"/>
        <w:jc w:val="right"/>
        <w:rPr>
          <w:sz w:val="18"/>
        </w:rPr>
      </w:pPr>
      <w:r>
        <w:rPr>
          <w:sz w:val="18"/>
        </w:rPr>
        <mc:AlternateContent>
          <mc:Choice Requires="wps">
            <w:drawing>
              <wp:anchor distT="0" distB="0" distL="0" distR="0" allowOverlap="1" layoutInCell="1" locked="0" behindDoc="0" simplePos="0" relativeHeight="15897088">
                <wp:simplePos x="0" y="0"/>
                <wp:positionH relativeFrom="page">
                  <wp:posOffset>694944</wp:posOffset>
                </wp:positionH>
                <wp:positionV relativeFrom="paragraph">
                  <wp:posOffset>-1134345</wp:posOffset>
                </wp:positionV>
                <wp:extent cx="4236720" cy="3667125"/>
                <wp:effectExtent l="0" t="0" r="0" b="0"/>
                <wp:wrapNone/>
                <wp:docPr id="1607" name="Group 1607"/>
                <wp:cNvGraphicFramePr>
                  <a:graphicFrameLocks/>
                </wp:cNvGraphicFramePr>
                <a:graphic>
                  <a:graphicData uri="http://schemas.microsoft.com/office/word/2010/wordprocessingGroup">
                    <wpg:wgp>
                      <wpg:cNvPr id="1607" name="Group 1607"/>
                      <wpg:cNvGrpSpPr/>
                      <wpg:grpSpPr>
                        <a:xfrm>
                          <a:off x="0" y="0"/>
                          <a:ext cx="4236720" cy="3667125"/>
                          <a:chExt cx="4236720" cy="3667125"/>
                        </a:xfrm>
                      </wpg:grpSpPr>
                      <pic:pic>
                        <pic:nvPicPr>
                          <pic:cNvPr id="1608" name="Image 1608"/>
                          <pic:cNvPicPr/>
                        </pic:nvPicPr>
                        <pic:blipFill>
                          <a:blip r:embed="rId236" cstate="print"/>
                          <a:stretch>
                            <a:fillRect/>
                          </a:stretch>
                        </pic:blipFill>
                        <pic:spPr>
                          <a:xfrm>
                            <a:off x="0" y="0"/>
                            <a:ext cx="4236477" cy="3666867"/>
                          </a:xfrm>
                          <a:prstGeom prst="rect">
                            <a:avLst/>
                          </a:prstGeom>
                        </pic:spPr>
                      </pic:pic>
                      <wps:wsp>
                        <wps:cNvPr id="1609" name="Textbox 1609"/>
                        <wps:cNvSpPr txBox="1"/>
                        <wps:spPr>
                          <a:xfrm>
                            <a:off x="2264404" y="716750"/>
                            <a:ext cx="522605" cy="165100"/>
                          </a:xfrm>
                          <a:prstGeom prst="rect">
                            <a:avLst/>
                          </a:prstGeom>
                        </wps:spPr>
                        <wps:txbx>
                          <w:txbxContent>
                            <w:p>
                              <w:pPr>
                                <w:spacing w:before="11"/>
                                <w:ind w:left="0" w:right="0" w:firstLine="0"/>
                                <w:jc w:val="left"/>
                                <w:rPr>
                                  <w:sz w:val="19"/>
                                </w:rPr>
                              </w:pPr>
                              <w:r>
                                <w:rPr>
                                  <w:color w:val="636466"/>
                                  <w:spacing w:val="-2"/>
                                  <w:sz w:val="19"/>
                                </w:rPr>
                                <w:t>Penn</w:t>
                              </w:r>
                              <w:r>
                                <w:rPr>
                                  <w:color w:val="636466"/>
                                  <w:spacing w:val="-11"/>
                                  <w:sz w:val="19"/>
                                </w:rPr>
                                <w:t> </w:t>
                              </w:r>
                              <w:r>
                                <w:rPr>
                                  <w:color w:val="636466"/>
                                  <w:spacing w:val="-5"/>
                                  <w:sz w:val="19"/>
                                </w:rPr>
                                <w:t>Yan</w:t>
                              </w:r>
                            </w:p>
                          </w:txbxContent>
                        </wps:txbx>
                        <wps:bodyPr wrap="square" lIns="0" tIns="0" rIns="0" bIns="0" rtlCol="0">
                          <a:noAutofit/>
                        </wps:bodyPr>
                      </wps:wsp>
                      <wps:wsp>
                        <wps:cNvPr id="1610" name="Textbox 1610"/>
                        <wps:cNvSpPr txBox="1"/>
                        <wps:spPr>
                          <a:xfrm>
                            <a:off x="214308" y="1623926"/>
                            <a:ext cx="394335" cy="165100"/>
                          </a:xfrm>
                          <a:prstGeom prst="rect">
                            <a:avLst/>
                          </a:prstGeom>
                        </wps:spPr>
                        <wps:txbx>
                          <w:txbxContent>
                            <w:p>
                              <w:pPr>
                                <w:spacing w:before="11"/>
                                <w:ind w:left="0" w:right="0" w:firstLine="0"/>
                                <w:jc w:val="left"/>
                                <w:rPr>
                                  <w:sz w:val="19"/>
                                </w:rPr>
                              </w:pPr>
                              <w:r>
                                <w:rPr>
                                  <w:color w:val="636466"/>
                                  <w:spacing w:val="-2"/>
                                  <w:sz w:val="19"/>
                                </w:rPr>
                                <w:t>Naples</w:t>
                              </w:r>
                            </w:p>
                          </w:txbxContent>
                        </wps:txbx>
                        <wps:bodyPr wrap="square" lIns="0" tIns="0" rIns="0" bIns="0" rtlCol="0">
                          <a:noAutofit/>
                        </wps:bodyPr>
                      </wps:wsp>
                      <wps:wsp>
                        <wps:cNvPr id="1611" name="Textbox 1611"/>
                        <wps:cNvSpPr txBox="1"/>
                        <wps:spPr>
                          <a:xfrm>
                            <a:off x="3005380" y="2969324"/>
                            <a:ext cx="443865" cy="165100"/>
                          </a:xfrm>
                          <a:prstGeom prst="rect">
                            <a:avLst/>
                          </a:prstGeom>
                        </wps:spPr>
                        <wps:txbx>
                          <w:txbxContent>
                            <w:p>
                              <w:pPr>
                                <w:spacing w:before="11"/>
                                <w:ind w:left="0" w:right="0" w:firstLine="0"/>
                                <w:jc w:val="left"/>
                                <w:rPr>
                                  <w:sz w:val="19"/>
                                </w:rPr>
                              </w:pPr>
                              <w:r>
                                <w:rPr>
                                  <w:color w:val="636466"/>
                                  <w:spacing w:val="-2"/>
                                  <w:sz w:val="19"/>
                                </w:rPr>
                                <w:t>Dundee</w:t>
                              </w:r>
                            </w:p>
                          </w:txbxContent>
                        </wps:txbx>
                        <wps:bodyPr wrap="square" lIns="0" tIns="0" rIns="0" bIns="0" rtlCol="0">
                          <a:noAutofit/>
                        </wps:bodyPr>
                      </wps:wsp>
                    </wpg:wgp>
                  </a:graphicData>
                </a:graphic>
              </wp:anchor>
            </w:drawing>
          </mc:Choice>
          <mc:Fallback>
            <w:pict>
              <v:group style="position:absolute;margin-left:54.720013pt;margin-top:-89.318542pt;width:333.6pt;height:288.75pt;mso-position-horizontal-relative:page;mso-position-vertical-relative:paragraph;z-index:15897088" id="docshapegroup1273" coordorigin="1094,-1786" coordsize="6672,5775">
                <v:shape style="position:absolute;left:1094;top:-1787;width:6672;height:5775" type="#_x0000_t75" id="docshape1274" stroked="false">
                  <v:imagedata r:id="rId236" o:title=""/>
                </v:shape>
                <v:shape style="position:absolute;left:4660;top:-658;width:823;height:260" type="#_x0000_t202" id="docshape1275" filled="false" stroked="false">
                  <v:textbox inset="0,0,0,0">
                    <w:txbxContent>
                      <w:p>
                        <w:pPr>
                          <w:spacing w:before="11"/>
                          <w:ind w:left="0" w:right="0" w:firstLine="0"/>
                          <w:jc w:val="left"/>
                          <w:rPr>
                            <w:sz w:val="19"/>
                          </w:rPr>
                        </w:pPr>
                        <w:r>
                          <w:rPr>
                            <w:color w:val="636466"/>
                            <w:spacing w:val="-2"/>
                            <w:sz w:val="19"/>
                          </w:rPr>
                          <w:t>Penn</w:t>
                        </w:r>
                        <w:r>
                          <w:rPr>
                            <w:color w:val="636466"/>
                            <w:spacing w:val="-11"/>
                            <w:sz w:val="19"/>
                          </w:rPr>
                          <w:t> </w:t>
                        </w:r>
                        <w:r>
                          <w:rPr>
                            <w:color w:val="636466"/>
                            <w:spacing w:val="-5"/>
                            <w:sz w:val="19"/>
                          </w:rPr>
                          <w:t>Yan</w:t>
                        </w:r>
                      </w:p>
                    </w:txbxContent>
                  </v:textbox>
                  <w10:wrap type="none"/>
                </v:shape>
                <v:shape style="position:absolute;left:1431;top:771;width:621;height:260" type="#_x0000_t202" id="docshape1276" filled="false" stroked="false">
                  <v:textbox inset="0,0,0,0">
                    <w:txbxContent>
                      <w:p>
                        <w:pPr>
                          <w:spacing w:before="11"/>
                          <w:ind w:left="0" w:right="0" w:firstLine="0"/>
                          <w:jc w:val="left"/>
                          <w:rPr>
                            <w:sz w:val="19"/>
                          </w:rPr>
                        </w:pPr>
                        <w:r>
                          <w:rPr>
                            <w:color w:val="636466"/>
                            <w:spacing w:val="-2"/>
                            <w:sz w:val="19"/>
                          </w:rPr>
                          <w:t>Naples</w:t>
                        </w:r>
                      </w:p>
                    </w:txbxContent>
                  </v:textbox>
                  <w10:wrap type="none"/>
                </v:shape>
                <v:shape style="position:absolute;left:5827;top:2889;width:699;height:260" type="#_x0000_t202" id="docshape1277" filled="false" stroked="false">
                  <v:textbox inset="0,0,0,0">
                    <w:txbxContent>
                      <w:p>
                        <w:pPr>
                          <w:spacing w:before="11"/>
                          <w:ind w:left="0" w:right="0" w:firstLine="0"/>
                          <w:jc w:val="left"/>
                          <w:rPr>
                            <w:sz w:val="19"/>
                          </w:rPr>
                        </w:pPr>
                        <w:r>
                          <w:rPr>
                            <w:color w:val="636466"/>
                            <w:spacing w:val="-2"/>
                            <w:sz w:val="19"/>
                          </w:rPr>
                          <w:t>Dundee</w:t>
                        </w:r>
                      </w:p>
                    </w:txbxContent>
                  </v:textbox>
                  <w10:wrap type="none"/>
                </v:shape>
                <w10:wrap type="none"/>
              </v:group>
            </w:pict>
          </mc:Fallback>
        </mc:AlternateContent>
      </w:r>
      <w:r>
        <w:rPr>
          <w:sz w:val="18"/>
        </w:rPr>
        <mc:AlternateContent>
          <mc:Choice Requires="wps">
            <w:drawing>
              <wp:anchor distT="0" distB="0" distL="0" distR="0" allowOverlap="1" layoutInCell="1" locked="0" behindDoc="0" simplePos="0" relativeHeight="15897600">
                <wp:simplePos x="0" y="0"/>
                <wp:positionH relativeFrom="page">
                  <wp:posOffset>5276481</wp:posOffset>
                </wp:positionH>
                <wp:positionV relativeFrom="paragraph">
                  <wp:posOffset>-1123829</wp:posOffset>
                </wp:positionV>
                <wp:extent cx="1810385" cy="2198370"/>
                <wp:effectExtent l="0" t="0" r="0" b="0"/>
                <wp:wrapNone/>
                <wp:docPr id="1612" name="Group 1612"/>
                <wp:cNvGraphicFramePr>
                  <a:graphicFrameLocks/>
                </wp:cNvGraphicFramePr>
                <a:graphic>
                  <a:graphicData uri="http://schemas.microsoft.com/office/word/2010/wordprocessingGroup">
                    <wpg:wgp>
                      <wpg:cNvPr id="1612" name="Group 1612"/>
                      <wpg:cNvGrpSpPr/>
                      <wpg:grpSpPr>
                        <a:xfrm>
                          <a:off x="0" y="0"/>
                          <a:ext cx="1810385" cy="2198370"/>
                          <a:chExt cx="1810385" cy="2198370"/>
                        </a:xfrm>
                      </wpg:grpSpPr>
                      <wps:wsp>
                        <wps:cNvPr id="1613" name="Graphic 1613"/>
                        <wps:cNvSpPr/>
                        <wps:spPr>
                          <a:xfrm>
                            <a:off x="166204" y="806958"/>
                            <a:ext cx="393700" cy="189230"/>
                          </a:xfrm>
                          <a:custGeom>
                            <a:avLst/>
                            <a:gdLst/>
                            <a:ahLst/>
                            <a:cxnLst/>
                            <a:rect l="l" t="t" r="r" b="b"/>
                            <a:pathLst>
                              <a:path w="393700" h="189230">
                                <a:moveTo>
                                  <a:pt x="393407" y="0"/>
                                </a:moveTo>
                                <a:lnTo>
                                  <a:pt x="0" y="0"/>
                                </a:lnTo>
                                <a:lnTo>
                                  <a:pt x="0" y="188645"/>
                                </a:lnTo>
                                <a:lnTo>
                                  <a:pt x="393407" y="188645"/>
                                </a:lnTo>
                                <a:lnTo>
                                  <a:pt x="393407" y="0"/>
                                </a:lnTo>
                                <a:close/>
                              </a:path>
                            </a:pathLst>
                          </a:custGeom>
                          <a:solidFill>
                            <a:srgbClr val="DEF0E7"/>
                          </a:solidFill>
                        </wps:spPr>
                        <wps:bodyPr wrap="square" lIns="0" tIns="0" rIns="0" bIns="0" rtlCol="0">
                          <a:prstTxWarp prst="textNoShape">
                            <a:avLst/>
                          </a:prstTxWarp>
                          <a:noAutofit/>
                        </wps:bodyPr>
                      </wps:wsp>
                      <wps:wsp>
                        <wps:cNvPr id="1614" name="Graphic 1614"/>
                        <wps:cNvSpPr/>
                        <wps:spPr>
                          <a:xfrm>
                            <a:off x="166204" y="1060157"/>
                            <a:ext cx="393700" cy="189230"/>
                          </a:xfrm>
                          <a:custGeom>
                            <a:avLst/>
                            <a:gdLst/>
                            <a:ahLst/>
                            <a:cxnLst/>
                            <a:rect l="l" t="t" r="r" b="b"/>
                            <a:pathLst>
                              <a:path w="393700" h="189230">
                                <a:moveTo>
                                  <a:pt x="393407" y="0"/>
                                </a:moveTo>
                                <a:lnTo>
                                  <a:pt x="0" y="0"/>
                                </a:lnTo>
                                <a:lnTo>
                                  <a:pt x="0" y="188645"/>
                                </a:lnTo>
                                <a:lnTo>
                                  <a:pt x="393407" y="188645"/>
                                </a:lnTo>
                                <a:lnTo>
                                  <a:pt x="393407" y="0"/>
                                </a:lnTo>
                                <a:close/>
                              </a:path>
                            </a:pathLst>
                          </a:custGeom>
                          <a:solidFill>
                            <a:srgbClr val="A6CFB4"/>
                          </a:solidFill>
                        </wps:spPr>
                        <wps:bodyPr wrap="square" lIns="0" tIns="0" rIns="0" bIns="0" rtlCol="0">
                          <a:prstTxWarp prst="textNoShape">
                            <a:avLst/>
                          </a:prstTxWarp>
                          <a:noAutofit/>
                        </wps:bodyPr>
                      </wps:wsp>
                      <wps:wsp>
                        <wps:cNvPr id="1615" name="Graphic 1615"/>
                        <wps:cNvSpPr/>
                        <wps:spPr>
                          <a:xfrm>
                            <a:off x="166204" y="1320063"/>
                            <a:ext cx="393700" cy="189230"/>
                          </a:xfrm>
                          <a:custGeom>
                            <a:avLst/>
                            <a:gdLst/>
                            <a:ahLst/>
                            <a:cxnLst/>
                            <a:rect l="l" t="t" r="r" b="b"/>
                            <a:pathLst>
                              <a:path w="393700" h="189230">
                                <a:moveTo>
                                  <a:pt x="393407" y="0"/>
                                </a:moveTo>
                                <a:lnTo>
                                  <a:pt x="0" y="0"/>
                                </a:lnTo>
                                <a:lnTo>
                                  <a:pt x="0" y="188645"/>
                                </a:lnTo>
                                <a:lnTo>
                                  <a:pt x="393407" y="188645"/>
                                </a:lnTo>
                                <a:lnTo>
                                  <a:pt x="393407" y="0"/>
                                </a:lnTo>
                                <a:close/>
                              </a:path>
                            </a:pathLst>
                          </a:custGeom>
                          <a:solidFill>
                            <a:srgbClr val="77A781"/>
                          </a:solidFill>
                        </wps:spPr>
                        <wps:bodyPr wrap="square" lIns="0" tIns="0" rIns="0" bIns="0" rtlCol="0">
                          <a:prstTxWarp prst="textNoShape">
                            <a:avLst/>
                          </a:prstTxWarp>
                          <a:noAutofit/>
                        </wps:bodyPr>
                      </wps:wsp>
                      <wps:wsp>
                        <wps:cNvPr id="1616" name="Graphic 1616"/>
                        <wps:cNvSpPr/>
                        <wps:spPr>
                          <a:xfrm>
                            <a:off x="166204" y="1579968"/>
                            <a:ext cx="393700" cy="189230"/>
                          </a:xfrm>
                          <a:custGeom>
                            <a:avLst/>
                            <a:gdLst/>
                            <a:ahLst/>
                            <a:cxnLst/>
                            <a:rect l="l" t="t" r="r" b="b"/>
                            <a:pathLst>
                              <a:path w="393700" h="189230">
                                <a:moveTo>
                                  <a:pt x="393407" y="0"/>
                                </a:moveTo>
                                <a:lnTo>
                                  <a:pt x="0" y="0"/>
                                </a:lnTo>
                                <a:lnTo>
                                  <a:pt x="0" y="188645"/>
                                </a:lnTo>
                                <a:lnTo>
                                  <a:pt x="393407" y="188645"/>
                                </a:lnTo>
                                <a:lnTo>
                                  <a:pt x="393407" y="0"/>
                                </a:lnTo>
                                <a:close/>
                              </a:path>
                            </a:pathLst>
                          </a:custGeom>
                          <a:solidFill>
                            <a:srgbClr val="4B8758"/>
                          </a:solidFill>
                        </wps:spPr>
                        <wps:bodyPr wrap="square" lIns="0" tIns="0" rIns="0" bIns="0" rtlCol="0">
                          <a:prstTxWarp prst="textNoShape">
                            <a:avLst/>
                          </a:prstTxWarp>
                          <a:noAutofit/>
                        </wps:bodyPr>
                      </wps:wsp>
                      <wps:wsp>
                        <wps:cNvPr id="1617" name="Graphic 1617"/>
                        <wps:cNvSpPr/>
                        <wps:spPr>
                          <a:xfrm>
                            <a:off x="166204" y="1839874"/>
                            <a:ext cx="393700" cy="189230"/>
                          </a:xfrm>
                          <a:custGeom>
                            <a:avLst/>
                            <a:gdLst/>
                            <a:ahLst/>
                            <a:cxnLst/>
                            <a:rect l="l" t="t" r="r" b="b"/>
                            <a:pathLst>
                              <a:path w="393700" h="189230">
                                <a:moveTo>
                                  <a:pt x="393407" y="0"/>
                                </a:moveTo>
                                <a:lnTo>
                                  <a:pt x="0" y="0"/>
                                </a:lnTo>
                                <a:lnTo>
                                  <a:pt x="0" y="188645"/>
                                </a:lnTo>
                                <a:lnTo>
                                  <a:pt x="393407" y="188645"/>
                                </a:lnTo>
                                <a:lnTo>
                                  <a:pt x="393407" y="0"/>
                                </a:lnTo>
                                <a:close/>
                              </a:path>
                            </a:pathLst>
                          </a:custGeom>
                          <a:solidFill>
                            <a:srgbClr val="236533"/>
                          </a:solidFill>
                        </wps:spPr>
                        <wps:bodyPr wrap="square" lIns="0" tIns="0" rIns="0" bIns="0" rtlCol="0">
                          <a:prstTxWarp prst="textNoShape">
                            <a:avLst/>
                          </a:prstTxWarp>
                          <a:noAutofit/>
                        </wps:bodyPr>
                      </wps:wsp>
                      <wps:wsp>
                        <wps:cNvPr id="1618" name="Textbox 1618"/>
                        <wps:cNvSpPr txBox="1"/>
                        <wps:spPr>
                          <a:xfrm>
                            <a:off x="3175" y="3175"/>
                            <a:ext cx="1804035" cy="2192020"/>
                          </a:xfrm>
                          <a:prstGeom prst="rect">
                            <a:avLst/>
                          </a:prstGeom>
                          <a:ln w="6350">
                            <a:solidFill>
                              <a:srgbClr val="636366"/>
                            </a:solidFill>
                            <a:prstDash val="solid"/>
                          </a:ln>
                        </wps:spPr>
                        <wps:txbx>
                          <w:txbxContent>
                            <w:p>
                              <w:pPr>
                                <w:spacing w:before="188"/>
                                <w:ind w:left="277" w:right="0" w:firstLine="0"/>
                                <w:jc w:val="left"/>
                                <w:rPr>
                                  <w:sz w:val="30"/>
                                </w:rPr>
                              </w:pPr>
                              <w:r>
                                <w:rPr>
                                  <w:color w:val="105C84"/>
                                  <w:spacing w:val="-2"/>
                                  <w:sz w:val="30"/>
                                </w:rPr>
                                <w:t>Legend</w:t>
                              </w:r>
                            </w:p>
                            <w:p>
                              <w:pPr>
                                <w:spacing w:before="301"/>
                                <w:ind w:left="262" w:right="0" w:firstLine="0"/>
                                <w:jc w:val="left"/>
                                <w:rPr>
                                  <w:sz w:val="20"/>
                                </w:rPr>
                              </w:pPr>
                              <w:r>
                                <w:rPr>
                                  <w:color w:val="6D6E71"/>
                                  <w:spacing w:val="-2"/>
                                  <w:sz w:val="20"/>
                                </w:rPr>
                                <w:t>POVERTY</w:t>
                              </w:r>
                            </w:p>
                            <w:p>
                              <w:pPr>
                                <w:spacing w:before="218"/>
                                <w:ind w:left="1054" w:right="0" w:firstLine="0"/>
                                <w:jc w:val="left"/>
                                <w:rPr>
                                  <w:sz w:val="20"/>
                                </w:rPr>
                              </w:pPr>
                              <w:r>
                                <w:rPr>
                                  <w:color w:val="6D6E71"/>
                                  <w:sz w:val="20"/>
                                </w:rPr>
                                <w:t>less</w:t>
                              </w:r>
                              <w:r>
                                <w:rPr>
                                  <w:color w:val="6D6E71"/>
                                  <w:spacing w:val="-5"/>
                                  <w:sz w:val="20"/>
                                </w:rPr>
                                <w:t> </w:t>
                              </w:r>
                              <w:r>
                                <w:rPr>
                                  <w:color w:val="6D6E71"/>
                                  <w:sz w:val="20"/>
                                </w:rPr>
                                <w:t>than</w:t>
                              </w:r>
                              <w:r>
                                <w:rPr>
                                  <w:color w:val="6D6E71"/>
                                  <w:spacing w:val="-4"/>
                                  <w:sz w:val="20"/>
                                </w:rPr>
                                <w:t> </w:t>
                              </w:r>
                              <w:r>
                                <w:rPr>
                                  <w:color w:val="6D6E71"/>
                                  <w:spacing w:val="-5"/>
                                  <w:sz w:val="20"/>
                                </w:rPr>
                                <w:t>10%</w:t>
                              </w:r>
                            </w:p>
                            <w:p>
                              <w:pPr>
                                <w:spacing w:before="180"/>
                                <w:ind w:left="1054" w:right="0" w:firstLine="0"/>
                                <w:jc w:val="left"/>
                                <w:rPr>
                                  <w:sz w:val="20"/>
                                </w:rPr>
                              </w:pPr>
                              <w:r>
                                <w:rPr>
                                  <w:color w:val="6D6E71"/>
                                  <w:sz w:val="20"/>
                                </w:rPr>
                                <w:t>10-</w:t>
                              </w:r>
                              <w:r>
                                <w:rPr>
                                  <w:color w:val="6D6E71"/>
                                  <w:spacing w:val="-5"/>
                                  <w:sz w:val="20"/>
                                </w:rPr>
                                <w:t>15%</w:t>
                              </w:r>
                            </w:p>
                            <w:p>
                              <w:pPr>
                                <w:spacing w:before="180"/>
                                <w:ind w:left="1054" w:right="0" w:firstLine="0"/>
                                <w:jc w:val="left"/>
                                <w:rPr>
                                  <w:sz w:val="20"/>
                                </w:rPr>
                              </w:pPr>
                              <w:r>
                                <w:rPr>
                                  <w:color w:val="6D6E71"/>
                                  <w:sz w:val="20"/>
                                </w:rPr>
                                <w:t>15-</w:t>
                              </w:r>
                              <w:r>
                                <w:rPr>
                                  <w:color w:val="6D6E71"/>
                                  <w:spacing w:val="-5"/>
                                  <w:sz w:val="20"/>
                                </w:rPr>
                                <w:t>20%</w:t>
                              </w:r>
                            </w:p>
                            <w:p>
                              <w:pPr>
                                <w:spacing w:before="180"/>
                                <w:ind w:left="1054" w:right="0" w:firstLine="0"/>
                                <w:jc w:val="left"/>
                                <w:rPr>
                                  <w:sz w:val="20"/>
                                </w:rPr>
                              </w:pPr>
                              <w:r>
                                <w:rPr>
                                  <w:color w:val="6D6E71"/>
                                  <w:sz w:val="20"/>
                                </w:rPr>
                                <w:t>20-</w:t>
                              </w:r>
                              <w:r>
                                <w:rPr>
                                  <w:color w:val="6D6E71"/>
                                  <w:spacing w:val="-5"/>
                                  <w:sz w:val="20"/>
                                </w:rPr>
                                <w:t>25%</w:t>
                              </w:r>
                            </w:p>
                            <w:p>
                              <w:pPr>
                                <w:spacing w:before="180"/>
                                <w:ind w:left="1054" w:right="0" w:firstLine="0"/>
                                <w:jc w:val="left"/>
                                <w:rPr>
                                  <w:sz w:val="20"/>
                                </w:rPr>
                              </w:pPr>
                              <w:r>
                                <w:rPr>
                                  <w:color w:val="6D6E71"/>
                                  <w:sz w:val="20"/>
                                </w:rPr>
                                <w:t>greater</w:t>
                              </w:r>
                              <w:r>
                                <w:rPr>
                                  <w:color w:val="6D6E71"/>
                                  <w:spacing w:val="16"/>
                                  <w:sz w:val="20"/>
                                </w:rPr>
                                <w:t> </w:t>
                              </w:r>
                              <w:r>
                                <w:rPr>
                                  <w:color w:val="6D6E71"/>
                                  <w:sz w:val="20"/>
                                </w:rPr>
                                <w:t>than</w:t>
                              </w:r>
                              <w:r>
                                <w:rPr>
                                  <w:color w:val="6D6E71"/>
                                  <w:spacing w:val="16"/>
                                  <w:sz w:val="20"/>
                                </w:rPr>
                                <w:t> </w:t>
                              </w:r>
                              <w:r>
                                <w:rPr>
                                  <w:color w:val="6D6E71"/>
                                  <w:spacing w:val="-5"/>
                                  <w:sz w:val="20"/>
                                </w:rPr>
                                <w:t>25%</w:t>
                              </w:r>
                            </w:p>
                          </w:txbxContent>
                        </wps:txbx>
                        <wps:bodyPr wrap="square" lIns="0" tIns="0" rIns="0" bIns="0" rtlCol="0">
                          <a:noAutofit/>
                        </wps:bodyPr>
                      </wps:wsp>
                    </wpg:wgp>
                  </a:graphicData>
                </a:graphic>
              </wp:anchor>
            </w:drawing>
          </mc:Choice>
          <mc:Fallback>
            <w:pict>
              <v:group style="position:absolute;margin-left:415.471008pt;margin-top:-88.490532pt;width:142.550pt;height:173.1pt;mso-position-horizontal-relative:page;mso-position-vertical-relative:paragraph;z-index:15897600" id="docshapegroup1278" coordorigin="8309,-1770" coordsize="2851,3462">
                <v:rect style="position:absolute;left:8571;top:-500;width:620;height:298" id="docshape1279" filled="true" fillcolor="#def0e7" stroked="false">
                  <v:fill type="solid"/>
                </v:rect>
                <v:rect style="position:absolute;left:8571;top:-101;width:620;height:298" id="docshape1280" filled="true" fillcolor="#a6cfb4" stroked="false">
                  <v:fill type="solid"/>
                </v:rect>
                <v:rect style="position:absolute;left:8571;top:309;width:620;height:298" id="docshape1281" filled="true" fillcolor="#77a781" stroked="false">
                  <v:fill type="solid"/>
                </v:rect>
                <v:rect style="position:absolute;left:8571;top:718;width:620;height:298" id="docshape1282" filled="true" fillcolor="#4b8758" stroked="false">
                  <v:fill type="solid"/>
                </v:rect>
                <v:rect style="position:absolute;left:8571;top:1127;width:620;height:298" id="docshape1283" filled="true" fillcolor="#236533" stroked="false">
                  <v:fill type="solid"/>
                </v:rect>
                <v:shape style="position:absolute;left:8314;top:-1765;width:2841;height:3452" type="#_x0000_t202" id="docshape1284" filled="false" stroked="true" strokeweight=".5pt" strokecolor="#636366">
                  <v:textbox inset="0,0,0,0">
                    <w:txbxContent>
                      <w:p>
                        <w:pPr>
                          <w:spacing w:before="188"/>
                          <w:ind w:left="277" w:right="0" w:firstLine="0"/>
                          <w:jc w:val="left"/>
                          <w:rPr>
                            <w:sz w:val="30"/>
                          </w:rPr>
                        </w:pPr>
                        <w:r>
                          <w:rPr>
                            <w:color w:val="105C84"/>
                            <w:spacing w:val="-2"/>
                            <w:sz w:val="30"/>
                          </w:rPr>
                          <w:t>Legend</w:t>
                        </w:r>
                      </w:p>
                      <w:p>
                        <w:pPr>
                          <w:spacing w:before="301"/>
                          <w:ind w:left="262" w:right="0" w:firstLine="0"/>
                          <w:jc w:val="left"/>
                          <w:rPr>
                            <w:sz w:val="20"/>
                          </w:rPr>
                        </w:pPr>
                        <w:r>
                          <w:rPr>
                            <w:color w:val="6D6E71"/>
                            <w:spacing w:val="-2"/>
                            <w:sz w:val="20"/>
                          </w:rPr>
                          <w:t>POVERTY</w:t>
                        </w:r>
                      </w:p>
                      <w:p>
                        <w:pPr>
                          <w:spacing w:before="218"/>
                          <w:ind w:left="1054" w:right="0" w:firstLine="0"/>
                          <w:jc w:val="left"/>
                          <w:rPr>
                            <w:sz w:val="20"/>
                          </w:rPr>
                        </w:pPr>
                        <w:r>
                          <w:rPr>
                            <w:color w:val="6D6E71"/>
                            <w:sz w:val="20"/>
                          </w:rPr>
                          <w:t>less</w:t>
                        </w:r>
                        <w:r>
                          <w:rPr>
                            <w:color w:val="6D6E71"/>
                            <w:spacing w:val="-5"/>
                            <w:sz w:val="20"/>
                          </w:rPr>
                          <w:t> </w:t>
                        </w:r>
                        <w:r>
                          <w:rPr>
                            <w:color w:val="6D6E71"/>
                            <w:sz w:val="20"/>
                          </w:rPr>
                          <w:t>than</w:t>
                        </w:r>
                        <w:r>
                          <w:rPr>
                            <w:color w:val="6D6E71"/>
                            <w:spacing w:val="-4"/>
                            <w:sz w:val="20"/>
                          </w:rPr>
                          <w:t> </w:t>
                        </w:r>
                        <w:r>
                          <w:rPr>
                            <w:color w:val="6D6E71"/>
                            <w:spacing w:val="-5"/>
                            <w:sz w:val="20"/>
                          </w:rPr>
                          <w:t>10%</w:t>
                        </w:r>
                      </w:p>
                      <w:p>
                        <w:pPr>
                          <w:spacing w:before="180"/>
                          <w:ind w:left="1054" w:right="0" w:firstLine="0"/>
                          <w:jc w:val="left"/>
                          <w:rPr>
                            <w:sz w:val="20"/>
                          </w:rPr>
                        </w:pPr>
                        <w:r>
                          <w:rPr>
                            <w:color w:val="6D6E71"/>
                            <w:sz w:val="20"/>
                          </w:rPr>
                          <w:t>10-</w:t>
                        </w:r>
                        <w:r>
                          <w:rPr>
                            <w:color w:val="6D6E71"/>
                            <w:spacing w:val="-5"/>
                            <w:sz w:val="20"/>
                          </w:rPr>
                          <w:t>15%</w:t>
                        </w:r>
                      </w:p>
                      <w:p>
                        <w:pPr>
                          <w:spacing w:before="180"/>
                          <w:ind w:left="1054" w:right="0" w:firstLine="0"/>
                          <w:jc w:val="left"/>
                          <w:rPr>
                            <w:sz w:val="20"/>
                          </w:rPr>
                        </w:pPr>
                        <w:r>
                          <w:rPr>
                            <w:color w:val="6D6E71"/>
                            <w:sz w:val="20"/>
                          </w:rPr>
                          <w:t>15-</w:t>
                        </w:r>
                        <w:r>
                          <w:rPr>
                            <w:color w:val="6D6E71"/>
                            <w:spacing w:val="-5"/>
                            <w:sz w:val="20"/>
                          </w:rPr>
                          <w:t>20%</w:t>
                        </w:r>
                      </w:p>
                      <w:p>
                        <w:pPr>
                          <w:spacing w:before="180"/>
                          <w:ind w:left="1054" w:right="0" w:firstLine="0"/>
                          <w:jc w:val="left"/>
                          <w:rPr>
                            <w:sz w:val="20"/>
                          </w:rPr>
                        </w:pPr>
                        <w:r>
                          <w:rPr>
                            <w:color w:val="6D6E71"/>
                            <w:sz w:val="20"/>
                          </w:rPr>
                          <w:t>20-</w:t>
                        </w:r>
                        <w:r>
                          <w:rPr>
                            <w:color w:val="6D6E71"/>
                            <w:spacing w:val="-5"/>
                            <w:sz w:val="20"/>
                          </w:rPr>
                          <w:t>25%</w:t>
                        </w:r>
                      </w:p>
                      <w:p>
                        <w:pPr>
                          <w:spacing w:before="180"/>
                          <w:ind w:left="1054" w:right="0" w:firstLine="0"/>
                          <w:jc w:val="left"/>
                          <w:rPr>
                            <w:sz w:val="20"/>
                          </w:rPr>
                        </w:pPr>
                        <w:r>
                          <w:rPr>
                            <w:color w:val="6D6E71"/>
                            <w:sz w:val="20"/>
                          </w:rPr>
                          <w:t>greater</w:t>
                        </w:r>
                        <w:r>
                          <w:rPr>
                            <w:color w:val="6D6E71"/>
                            <w:spacing w:val="16"/>
                            <w:sz w:val="20"/>
                          </w:rPr>
                          <w:t> </w:t>
                        </w:r>
                        <w:r>
                          <w:rPr>
                            <w:color w:val="6D6E71"/>
                            <w:sz w:val="20"/>
                          </w:rPr>
                          <w:t>than</w:t>
                        </w:r>
                        <w:r>
                          <w:rPr>
                            <w:color w:val="6D6E71"/>
                            <w:spacing w:val="16"/>
                            <w:sz w:val="20"/>
                          </w:rPr>
                          <w:t> </w:t>
                        </w:r>
                        <w:r>
                          <w:rPr>
                            <w:color w:val="6D6E71"/>
                            <w:spacing w:val="-5"/>
                            <w:sz w:val="20"/>
                          </w:rPr>
                          <w:t>25%</w:t>
                        </w:r>
                      </w:p>
                    </w:txbxContent>
                  </v:textbox>
                  <v:stroke dashstyle="solid"/>
                  <w10:wrap type="none"/>
                </v:shape>
                <w10:wrap type="none"/>
              </v:group>
            </w:pict>
          </mc:Fallback>
        </mc:AlternateContent>
      </w:r>
      <w:r>
        <w:rPr>
          <w:sz w:val="18"/>
        </w:rPr>
        <mc:AlternateContent>
          <mc:Choice Requires="wps">
            <w:drawing>
              <wp:anchor distT="0" distB="0" distL="0" distR="0" allowOverlap="1" layoutInCell="1" locked="0" behindDoc="0" simplePos="0" relativeHeight="15899136">
                <wp:simplePos x="0" y="0"/>
                <wp:positionH relativeFrom="page">
                  <wp:posOffset>9464150</wp:posOffset>
                </wp:positionH>
                <wp:positionV relativeFrom="paragraph">
                  <wp:posOffset>-179989</wp:posOffset>
                </wp:positionV>
                <wp:extent cx="317500" cy="1270"/>
                <wp:effectExtent l="0" t="0" r="0" b="0"/>
                <wp:wrapNone/>
                <wp:docPr id="1619" name="Graphic 1619"/>
                <wp:cNvGraphicFramePr>
                  <a:graphicFrameLocks/>
                </wp:cNvGraphicFramePr>
                <a:graphic>
                  <a:graphicData uri="http://schemas.microsoft.com/office/word/2010/wordprocessingShape">
                    <wps:wsp>
                      <wps:cNvPr id="1619" name="Graphic 1619"/>
                      <wps:cNvSpPr/>
                      <wps:spPr>
                        <a:xfrm>
                          <a:off x="0" y="0"/>
                          <a:ext cx="317500" cy="1270"/>
                        </a:xfrm>
                        <a:custGeom>
                          <a:avLst/>
                          <a:gdLst/>
                          <a:ahLst/>
                          <a:cxnLst/>
                          <a:rect l="l" t="t" r="r" b="b"/>
                          <a:pathLst>
                            <a:path w="317500" h="0">
                              <a:moveTo>
                                <a:pt x="0" y="0"/>
                              </a:moveTo>
                              <a:lnTo>
                                <a:pt x="317500" y="0"/>
                              </a:lnTo>
                            </a:path>
                          </a:pathLst>
                        </a:custGeom>
                        <a:ln w="25400">
                          <a:solidFill>
                            <a:srgbClr val="105C84"/>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99136" from="745.208679pt,-14.172429pt" to="770.208679pt,-14.172429pt" stroked="true" strokeweight="2pt" strokecolor="#105c84">
                <v:stroke dashstyle="solid"/>
                <w10:wrap type="none"/>
              </v:line>
            </w:pict>
          </mc:Fallback>
        </mc:AlternateContent>
      </w:r>
      <w:r>
        <w:rPr>
          <w:sz w:val="18"/>
        </w:rPr>
        <mc:AlternateContent>
          <mc:Choice Requires="wps">
            <w:drawing>
              <wp:anchor distT="0" distB="0" distL="0" distR="0" allowOverlap="1" layoutInCell="1" locked="0" behindDoc="1" simplePos="0" relativeHeight="475126272">
                <wp:simplePos x="0" y="0"/>
                <wp:positionH relativeFrom="page">
                  <wp:posOffset>10784950</wp:posOffset>
                </wp:positionH>
                <wp:positionV relativeFrom="paragraph">
                  <wp:posOffset>-179989</wp:posOffset>
                </wp:positionV>
                <wp:extent cx="317500" cy="1270"/>
                <wp:effectExtent l="0" t="0" r="0" b="0"/>
                <wp:wrapNone/>
                <wp:docPr id="1620" name="Graphic 1620"/>
                <wp:cNvGraphicFramePr>
                  <a:graphicFrameLocks/>
                </wp:cNvGraphicFramePr>
                <a:graphic>
                  <a:graphicData uri="http://schemas.microsoft.com/office/word/2010/wordprocessingShape">
                    <wps:wsp>
                      <wps:cNvPr id="1620" name="Graphic 1620"/>
                      <wps:cNvSpPr/>
                      <wps:spPr>
                        <a:xfrm>
                          <a:off x="0" y="0"/>
                          <a:ext cx="317500" cy="1270"/>
                        </a:xfrm>
                        <a:custGeom>
                          <a:avLst/>
                          <a:gdLst/>
                          <a:ahLst/>
                          <a:cxnLst/>
                          <a:rect l="l" t="t" r="r" b="b"/>
                          <a:pathLst>
                            <a:path w="317500" h="0">
                              <a:moveTo>
                                <a:pt x="0" y="0"/>
                              </a:moveTo>
                              <a:lnTo>
                                <a:pt x="317500" y="0"/>
                              </a:lnTo>
                            </a:path>
                          </a:pathLst>
                        </a:custGeom>
                        <a:ln w="25400">
                          <a:solidFill>
                            <a:srgbClr val="82BF6A"/>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8190208" from="849.208679pt,-14.172429pt" to="874.208679pt,-14.172429pt" stroked="true" strokeweight="2pt" strokecolor="#82bf6a">
                <v:stroke dashstyle="solid"/>
                <w10:wrap type="none"/>
              </v:line>
            </w:pict>
          </mc:Fallback>
        </mc:AlternateContent>
      </w:r>
      <w:r>
        <w:rPr>
          <w:color w:val="636466"/>
          <w:spacing w:val="-5"/>
          <w:sz w:val="18"/>
        </w:rPr>
        <w:t>25%</w:t>
      </w:r>
    </w:p>
    <w:p>
      <w:pPr>
        <w:pStyle w:val="BodyText"/>
        <w:spacing w:before="36"/>
        <w:rPr>
          <w:sz w:val="18"/>
        </w:rPr>
      </w:pPr>
    </w:p>
    <w:p>
      <w:pPr>
        <w:spacing w:before="0"/>
        <w:ind w:left="0" w:right="0" w:firstLine="0"/>
        <w:jc w:val="right"/>
        <w:rPr>
          <w:sz w:val="18"/>
        </w:rPr>
      </w:pPr>
      <w:r>
        <w:rPr>
          <w:sz w:val="18"/>
        </w:rPr>
        <mc:AlternateContent>
          <mc:Choice Requires="wps">
            <w:drawing>
              <wp:anchor distT="0" distB="0" distL="0" distR="0" allowOverlap="1" layoutInCell="1" locked="0" behindDoc="0" simplePos="0" relativeHeight="15900160">
                <wp:simplePos x="0" y="0"/>
                <wp:positionH relativeFrom="page">
                  <wp:posOffset>8460993</wp:posOffset>
                </wp:positionH>
                <wp:positionV relativeFrom="paragraph">
                  <wp:posOffset>-43041</wp:posOffset>
                </wp:positionV>
                <wp:extent cx="146050" cy="1002665"/>
                <wp:effectExtent l="0" t="0" r="0" b="0"/>
                <wp:wrapNone/>
                <wp:docPr id="1621" name="Textbox 1621"/>
                <wp:cNvGraphicFramePr>
                  <a:graphicFrameLocks/>
                </wp:cNvGraphicFramePr>
                <a:graphic>
                  <a:graphicData uri="http://schemas.microsoft.com/office/word/2010/wordprocessingShape">
                    <wps:wsp>
                      <wps:cNvPr id="1621" name="Textbox 1621"/>
                      <wps:cNvSpPr txBox="1"/>
                      <wps:spPr>
                        <a:xfrm>
                          <a:off x="0" y="0"/>
                          <a:ext cx="146050" cy="1002665"/>
                        </a:xfrm>
                        <a:prstGeom prst="rect">
                          <a:avLst/>
                        </a:prstGeom>
                      </wps:spPr>
                      <wps:txbx>
                        <w:txbxContent>
                          <w:p>
                            <w:pPr>
                              <w:spacing w:before="19"/>
                              <w:ind w:left="20" w:right="0" w:firstLine="0"/>
                              <w:jc w:val="left"/>
                              <w:rPr>
                                <w:sz w:val="16"/>
                              </w:rPr>
                            </w:pPr>
                            <w:r>
                              <w:rPr>
                                <w:color w:val="105C84"/>
                                <w:sz w:val="16"/>
                              </w:rPr>
                              <w:t>Percent</w:t>
                            </w:r>
                            <w:r>
                              <w:rPr>
                                <w:color w:val="105C84"/>
                                <w:spacing w:val="-5"/>
                                <w:sz w:val="16"/>
                              </w:rPr>
                              <w:t> </w:t>
                            </w:r>
                            <w:r>
                              <w:rPr>
                                <w:color w:val="105C84"/>
                                <w:sz w:val="16"/>
                              </w:rPr>
                              <w:t>of</w:t>
                            </w:r>
                            <w:r>
                              <w:rPr>
                                <w:color w:val="105C84"/>
                                <w:spacing w:val="-5"/>
                                <w:sz w:val="16"/>
                              </w:rPr>
                              <w:t> </w:t>
                            </w:r>
                            <w:r>
                              <w:rPr>
                                <w:color w:val="105C84"/>
                                <w:spacing w:val="-2"/>
                                <w:sz w:val="16"/>
                              </w:rPr>
                              <w:t>Population</w:t>
                            </w:r>
                          </w:p>
                        </w:txbxContent>
                      </wps:txbx>
                      <wps:bodyPr wrap="square" lIns="0" tIns="0" rIns="0" bIns="0" rtlCol="0" vert="vert270">
                        <a:noAutofit/>
                      </wps:bodyPr>
                    </wps:wsp>
                  </a:graphicData>
                </a:graphic>
              </wp:anchor>
            </w:drawing>
          </mc:Choice>
          <mc:Fallback>
            <w:pict>
              <v:shape style="position:absolute;margin-left:666.219971pt;margin-top:-3.389075pt;width:11.5pt;height:78.95pt;mso-position-horizontal-relative:page;mso-position-vertical-relative:paragraph;z-index:15900160" type="#_x0000_t202" id="docshape1285" filled="false" stroked="false">
                <v:textbox inset="0,0,0,0" style="layout-flow:vertical;mso-layout-flow-alt:bottom-to-top">
                  <w:txbxContent>
                    <w:p>
                      <w:pPr>
                        <w:spacing w:before="19"/>
                        <w:ind w:left="20" w:right="0" w:firstLine="0"/>
                        <w:jc w:val="left"/>
                        <w:rPr>
                          <w:sz w:val="16"/>
                        </w:rPr>
                      </w:pPr>
                      <w:r>
                        <w:rPr>
                          <w:color w:val="105C84"/>
                          <w:sz w:val="16"/>
                        </w:rPr>
                        <w:t>Percent</w:t>
                      </w:r>
                      <w:r>
                        <w:rPr>
                          <w:color w:val="105C84"/>
                          <w:spacing w:val="-5"/>
                          <w:sz w:val="16"/>
                        </w:rPr>
                        <w:t> </w:t>
                      </w:r>
                      <w:r>
                        <w:rPr>
                          <w:color w:val="105C84"/>
                          <w:sz w:val="16"/>
                        </w:rPr>
                        <w:t>of</w:t>
                      </w:r>
                      <w:r>
                        <w:rPr>
                          <w:color w:val="105C84"/>
                          <w:spacing w:val="-5"/>
                          <w:sz w:val="16"/>
                        </w:rPr>
                        <w:t> </w:t>
                      </w:r>
                      <w:r>
                        <w:rPr>
                          <w:color w:val="105C84"/>
                          <w:spacing w:val="-2"/>
                          <w:sz w:val="16"/>
                        </w:rPr>
                        <w:t>Population</w:t>
                      </w:r>
                    </w:p>
                  </w:txbxContent>
                </v:textbox>
                <w10:wrap type="none"/>
              </v:shape>
            </w:pict>
          </mc:Fallback>
        </mc:AlternateContent>
      </w:r>
      <w:r>
        <w:rPr>
          <w:color w:val="636466"/>
          <w:spacing w:val="-5"/>
          <w:sz w:val="18"/>
        </w:rPr>
        <w:t>20%</w:t>
      </w:r>
    </w:p>
    <w:p>
      <w:pPr>
        <w:pStyle w:val="BodyText"/>
        <w:spacing w:before="36"/>
        <w:rPr>
          <w:sz w:val="18"/>
        </w:rPr>
      </w:pPr>
    </w:p>
    <w:p>
      <w:pPr>
        <w:spacing w:before="0"/>
        <w:ind w:left="0" w:right="0" w:firstLine="0"/>
        <w:jc w:val="right"/>
        <w:rPr>
          <w:sz w:val="18"/>
        </w:rPr>
      </w:pPr>
      <w:r>
        <w:rPr>
          <w:color w:val="636466"/>
          <w:spacing w:val="-5"/>
          <w:sz w:val="18"/>
        </w:rPr>
        <w:t>15%</w:t>
      </w:r>
    </w:p>
    <w:p>
      <w:pPr>
        <w:tabs>
          <w:tab w:pos="3452" w:val="left" w:leader="none"/>
          <w:tab w:pos="5261" w:val="left" w:leader="none"/>
        </w:tabs>
        <w:spacing w:before="99"/>
        <w:ind w:left="1380" w:right="0" w:firstLine="0"/>
        <w:jc w:val="left"/>
        <w:rPr>
          <w:sz w:val="18"/>
        </w:rPr>
      </w:pPr>
      <w:r>
        <w:rPr/>
        <w:br w:type="column"/>
      </w:r>
      <w:r>
        <w:rPr>
          <w:color w:val="636466"/>
          <w:spacing w:val="-5"/>
          <w:sz w:val="18"/>
        </w:rPr>
        <w:t>Yates</w:t>
      </w:r>
      <w:r>
        <w:rPr>
          <w:color w:val="636466"/>
          <w:spacing w:val="-7"/>
          <w:sz w:val="18"/>
        </w:rPr>
        <w:t> </w:t>
      </w:r>
      <w:r>
        <w:rPr>
          <w:color w:val="636466"/>
          <w:spacing w:val="-2"/>
          <w:sz w:val="18"/>
        </w:rPr>
        <w:t>County</w:t>
      </w:r>
      <w:r>
        <w:rPr>
          <w:color w:val="636466"/>
          <w:sz w:val="18"/>
        </w:rPr>
        <w:tab/>
        <w:t>8-County</w:t>
      </w:r>
      <w:r>
        <w:rPr>
          <w:color w:val="636466"/>
          <w:spacing w:val="-4"/>
          <w:sz w:val="18"/>
        </w:rPr>
        <w:t> </w:t>
      </w:r>
      <w:r>
        <w:rPr>
          <w:color w:val="636466"/>
          <w:spacing w:val="-2"/>
          <w:sz w:val="18"/>
        </w:rPr>
        <w:t>Region</w:t>
      </w:r>
      <w:r>
        <w:rPr>
          <w:color w:val="636466"/>
          <w:sz w:val="18"/>
        </w:rPr>
        <w:tab/>
      </w:r>
      <w:r>
        <w:rPr>
          <w:color w:val="636466"/>
          <w:position w:val="4"/>
          <w:sz w:val="18"/>
        </w:rPr>
        <w:drawing>
          <wp:inline distT="0" distB="0" distL="0" distR="0">
            <wp:extent cx="279400" cy="25400"/>
            <wp:effectExtent l="0" t="0" r="0" b="0"/>
            <wp:docPr id="1622" name="Image 1622"/>
            <wp:cNvGraphicFramePr>
              <a:graphicFrameLocks/>
            </wp:cNvGraphicFramePr>
            <a:graphic>
              <a:graphicData uri="http://schemas.openxmlformats.org/drawingml/2006/picture">
                <pic:pic>
                  <pic:nvPicPr>
                    <pic:cNvPr id="1622" name="Image 1622"/>
                    <pic:cNvPicPr/>
                  </pic:nvPicPr>
                  <pic:blipFill>
                    <a:blip r:embed="rId237" cstate="print"/>
                    <a:stretch>
                      <a:fillRect/>
                    </a:stretch>
                  </pic:blipFill>
                  <pic:spPr>
                    <a:xfrm>
                      <a:off x="0" y="0"/>
                      <a:ext cx="279400" cy="25400"/>
                    </a:xfrm>
                    <a:prstGeom prst="rect">
                      <a:avLst/>
                    </a:prstGeom>
                  </pic:spPr>
                </pic:pic>
              </a:graphicData>
            </a:graphic>
          </wp:inline>
        </w:drawing>
      </w:r>
      <w:r>
        <w:rPr>
          <w:color w:val="636466"/>
          <w:position w:val="4"/>
          <w:sz w:val="18"/>
        </w:rPr>
      </w:r>
      <w:r>
        <w:rPr>
          <w:rFonts w:ascii="Times New Roman"/>
          <w:color w:val="636466"/>
          <w:spacing w:val="80"/>
          <w:sz w:val="18"/>
        </w:rPr>
        <w:t> </w:t>
      </w:r>
      <w:r>
        <w:rPr>
          <w:color w:val="636466"/>
          <w:sz w:val="18"/>
        </w:rPr>
        <w:t>NYS</w:t>
      </w:r>
    </w:p>
    <w:p>
      <w:pPr>
        <w:spacing w:after="0"/>
        <w:jc w:val="left"/>
        <w:rPr>
          <w:sz w:val="18"/>
        </w:rPr>
        <w:sectPr>
          <w:type w:val="continuous"/>
          <w:pgSz w:w="24480" w:h="15840" w:orient="landscape"/>
          <w:pgMar w:header="0" w:footer="0" w:top="0" w:bottom="280" w:left="0" w:right="720"/>
          <w:cols w:num="2" w:equalWidth="0">
            <w:col w:w="14043" w:space="40"/>
            <w:col w:w="9677"/>
          </w:cols>
        </w:sectPr>
      </w:pPr>
    </w:p>
    <w:p>
      <w:pPr>
        <w:pStyle w:val="BodyText"/>
        <w:spacing w:before="36"/>
        <w:rPr>
          <w:sz w:val="18"/>
        </w:rPr>
      </w:pPr>
    </w:p>
    <w:p>
      <w:pPr>
        <w:spacing w:before="0"/>
        <w:ind w:left="3991" w:right="0" w:firstLine="0"/>
        <w:jc w:val="center"/>
        <w:rPr>
          <w:sz w:val="18"/>
        </w:rPr>
      </w:pPr>
      <w:r>
        <w:rPr>
          <w:sz w:val="18"/>
        </w:rPr>
        <mc:AlternateContent>
          <mc:Choice Requires="wps">
            <w:drawing>
              <wp:anchor distT="0" distB="0" distL="0" distR="0" allowOverlap="1" layoutInCell="1" locked="0" behindDoc="0" simplePos="0" relativeHeight="15898624">
                <wp:simplePos x="0" y="0"/>
                <wp:positionH relativeFrom="page">
                  <wp:posOffset>8995102</wp:posOffset>
                </wp:positionH>
                <wp:positionV relativeFrom="paragraph">
                  <wp:posOffset>-823284</wp:posOffset>
                </wp:positionV>
                <wp:extent cx="4672330" cy="1483995"/>
                <wp:effectExtent l="0" t="0" r="0" b="0"/>
                <wp:wrapNone/>
                <wp:docPr id="1623" name="Group 1623"/>
                <wp:cNvGraphicFramePr>
                  <a:graphicFrameLocks/>
                </wp:cNvGraphicFramePr>
                <a:graphic>
                  <a:graphicData uri="http://schemas.microsoft.com/office/word/2010/wordprocessingGroup">
                    <wpg:wgp>
                      <wpg:cNvPr id="1623" name="Group 1623"/>
                      <wpg:cNvGrpSpPr/>
                      <wpg:grpSpPr>
                        <a:xfrm>
                          <a:off x="0" y="0"/>
                          <a:ext cx="4672330" cy="1483995"/>
                          <a:chExt cx="4672330" cy="1483995"/>
                        </a:xfrm>
                      </wpg:grpSpPr>
                      <wps:wsp>
                        <wps:cNvPr id="1624" name="Graphic 1624"/>
                        <wps:cNvSpPr/>
                        <wps:spPr>
                          <a:xfrm>
                            <a:off x="5499" y="5499"/>
                            <a:ext cx="4660900" cy="1473200"/>
                          </a:xfrm>
                          <a:custGeom>
                            <a:avLst/>
                            <a:gdLst/>
                            <a:ahLst/>
                            <a:cxnLst/>
                            <a:rect l="l" t="t" r="r" b="b"/>
                            <a:pathLst>
                              <a:path w="4660900" h="1473200">
                                <a:moveTo>
                                  <a:pt x="4660747" y="1472958"/>
                                </a:moveTo>
                                <a:lnTo>
                                  <a:pt x="0" y="1472958"/>
                                </a:lnTo>
                                <a:lnTo>
                                  <a:pt x="0" y="0"/>
                                </a:lnTo>
                              </a:path>
                            </a:pathLst>
                          </a:custGeom>
                          <a:ln w="10998">
                            <a:solidFill>
                              <a:srgbClr val="BCBEC0"/>
                            </a:solidFill>
                            <a:prstDash val="solid"/>
                          </a:ln>
                        </wps:spPr>
                        <wps:bodyPr wrap="square" lIns="0" tIns="0" rIns="0" bIns="0" rtlCol="0">
                          <a:prstTxWarp prst="textNoShape">
                            <a:avLst/>
                          </a:prstTxWarp>
                          <a:noAutofit/>
                        </wps:bodyPr>
                      </wps:wsp>
                      <wps:wsp>
                        <wps:cNvPr id="1625" name="Graphic 1625"/>
                        <wps:cNvSpPr/>
                        <wps:spPr>
                          <a:xfrm>
                            <a:off x="418247" y="225920"/>
                            <a:ext cx="4038600" cy="161925"/>
                          </a:xfrm>
                          <a:custGeom>
                            <a:avLst/>
                            <a:gdLst/>
                            <a:ahLst/>
                            <a:cxnLst/>
                            <a:rect l="l" t="t" r="r" b="b"/>
                            <a:pathLst>
                              <a:path w="4038600" h="161925">
                                <a:moveTo>
                                  <a:pt x="0" y="161925"/>
                                </a:moveTo>
                                <a:lnTo>
                                  <a:pt x="800100" y="142875"/>
                                </a:lnTo>
                                <a:lnTo>
                                  <a:pt x="1612900" y="104775"/>
                                </a:lnTo>
                                <a:lnTo>
                                  <a:pt x="2413000" y="66675"/>
                                </a:lnTo>
                                <a:lnTo>
                                  <a:pt x="3225800" y="0"/>
                                </a:lnTo>
                                <a:lnTo>
                                  <a:pt x="4038600" y="95250"/>
                                </a:lnTo>
                              </a:path>
                            </a:pathLst>
                          </a:custGeom>
                          <a:ln w="21996">
                            <a:solidFill>
                              <a:srgbClr val="105C84"/>
                            </a:solidFill>
                            <a:prstDash val="solid"/>
                          </a:ln>
                        </wps:spPr>
                        <wps:bodyPr wrap="square" lIns="0" tIns="0" rIns="0" bIns="0" rtlCol="0">
                          <a:prstTxWarp prst="textNoShape">
                            <a:avLst/>
                          </a:prstTxWarp>
                          <a:noAutofit/>
                        </wps:bodyPr>
                      </wps:wsp>
                      <wps:wsp>
                        <wps:cNvPr id="1626" name="Graphic 1626"/>
                        <wps:cNvSpPr/>
                        <wps:spPr>
                          <a:xfrm>
                            <a:off x="418247" y="902195"/>
                            <a:ext cx="4038600" cy="180975"/>
                          </a:xfrm>
                          <a:custGeom>
                            <a:avLst/>
                            <a:gdLst/>
                            <a:ahLst/>
                            <a:cxnLst/>
                            <a:rect l="l" t="t" r="r" b="b"/>
                            <a:pathLst>
                              <a:path w="4038600" h="180975">
                                <a:moveTo>
                                  <a:pt x="0" y="0"/>
                                </a:moveTo>
                                <a:lnTo>
                                  <a:pt x="800100" y="0"/>
                                </a:lnTo>
                                <a:lnTo>
                                  <a:pt x="1612900" y="57150"/>
                                </a:lnTo>
                                <a:lnTo>
                                  <a:pt x="2413000" y="114300"/>
                                </a:lnTo>
                                <a:lnTo>
                                  <a:pt x="3225800" y="114300"/>
                                </a:lnTo>
                                <a:lnTo>
                                  <a:pt x="4038600" y="180975"/>
                                </a:lnTo>
                              </a:path>
                            </a:pathLst>
                          </a:custGeom>
                          <a:ln w="21996">
                            <a:solidFill>
                              <a:srgbClr val="82BF6A"/>
                            </a:solidFill>
                            <a:prstDash val="solid"/>
                          </a:ln>
                        </wps:spPr>
                        <wps:bodyPr wrap="square" lIns="0" tIns="0" rIns="0" bIns="0" rtlCol="0">
                          <a:prstTxWarp prst="textNoShape">
                            <a:avLst/>
                          </a:prstTxWarp>
                          <a:noAutofit/>
                        </wps:bodyPr>
                      </wps:wsp>
                      <wps:wsp>
                        <wps:cNvPr id="1627" name="Graphic 1627"/>
                        <wps:cNvSpPr/>
                        <wps:spPr>
                          <a:xfrm>
                            <a:off x="405547" y="606920"/>
                            <a:ext cx="3999865" cy="243840"/>
                          </a:xfrm>
                          <a:custGeom>
                            <a:avLst/>
                            <a:gdLst/>
                            <a:ahLst/>
                            <a:cxnLst/>
                            <a:rect l="l" t="t" r="r" b="b"/>
                            <a:pathLst>
                              <a:path w="3999865" h="243840">
                                <a:moveTo>
                                  <a:pt x="95910" y="0"/>
                                </a:moveTo>
                                <a:lnTo>
                                  <a:pt x="5689" y="0"/>
                                </a:lnTo>
                                <a:lnTo>
                                  <a:pt x="0" y="4254"/>
                                </a:lnTo>
                                <a:lnTo>
                                  <a:pt x="0" y="14782"/>
                                </a:lnTo>
                                <a:lnTo>
                                  <a:pt x="5689" y="19050"/>
                                </a:lnTo>
                                <a:lnTo>
                                  <a:pt x="95910" y="19050"/>
                                </a:lnTo>
                                <a:lnTo>
                                  <a:pt x="101600" y="14782"/>
                                </a:lnTo>
                                <a:lnTo>
                                  <a:pt x="101600" y="4254"/>
                                </a:lnTo>
                                <a:lnTo>
                                  <a:pt x="95910" y="0"/>
                                </a:lnTo>
                                <a:close/>
                              </a:path>
                              <a:path w="3999865" h="243840">
                                <a:moveTo>
                                  <a:pt x="273710" y="0"/>
                                </a:moveTo>
                                <a:lnTo>
                                  <a:pt x="183489" y="0"/>
                                </a:lnTo>
                                <a:lnTo>
                                  <a:pt x="177800" y="4254"/>
                                </a:lnTo>
                                <a:lnTo>
                                  <a:pt x="177800" y="14782"/>
                                </a:lnTo>
                                <a:lnTo>
                                  <a:pt x="183489" y="19050"/>
                                </a:lnTo>
                                <a:lnTo>
                                  <a:pt x="273710" y="19050"/>
                                </a:lnTo>
                                <a:lnTo>
                                  <a:pt x="279400" y="14782"/>
                                </a:lnTo>
                                <a:lnTo>
                                  <a:pt x="279400" y="4254"/>
                                </a:lnTo>
                                <a:lnTo>
                                  <a:pt x="273710" y="0"/>
                                </a:lnTo>
                                <a:close/>
                              </a:path>
                              <a:path w="3999865" h="243840">
                                <a:moveTo>
                                  <a:pt x="451510" y="0"/>
                                </a:moveTo>
                                <a:lnTo>
                                  <a:pt x="361289" y="0"/>
                                </a:lnTo>
                                <a:lnTo>
                                  <a:pt x="355600" y="4254"/>
                                </a:lnTo>
                                <a:lnTo>
                                  <a:pt x="355600" y="14782"/>
                                </a:lnTo>
                                <a:lnTo>
                                  <a:pt x="361289" y="19050"/>
                                </a:lnTo>
                                <a:lnTo>
                                  <a:pt x="451510" y="19050"/>
                                </a:lnTo>
                                <a:lnTo>
                                  <a:pt x="457200" y="14782"/>
                                </a:lnTo>
                                <a:lnTo>
                                  <a:pt x="457200" y="4254"/>
                                </a:lnTo>
                                <a:lnTo>
                                  <a:pt x="451510" y="0"/>
                                </a:lnTo>
                                <a:close/>
                              </a:path>
                              <a:path w="3999865" h="243840">
                                <a:moveTo>
                                  <a:pt x="629310" y="0"/>
                                </a:moveTo>
                                <a:lnTo>
                                  <a:pt x="539089" y="0"/>
                                </a:lnTo>
                                <a:lnTo>
                                  <a:pt x="533400" y="4254"/>
                                </a:lnTo>
                                <a:lnTo>
                                  <a:pt x="533400" y="14782"/>
                                </a:lnTo>
                                <a:lnTo>
                                  <a:pt x="539089" y="19050"/>
                                </a:lnTo>
                                <a:lnTo>
                                  <a:pt x="629310" y="19050"/>
                                </a:lnTo>
                                <a:lnTo>
                                  <a:pt x="635000" y="14782"/>
                                </a:lnTo>
                                <a:lnTo>
                                  <a:pt x="635000" y="4254"/>
                                </a:lnTo>
                                <a:lnTo>
                                  <a:pt x="629310" y="0"/>
                                </a:lnTo>
                                <a:close/>
                              </a:path>
                              <a:path w="3999865" h="243840">
                                <a:moveTo>
                                  <a:pt x="807110" y="0"/>
                                </a:moveTo>
                                <a:lnTo>
                                  <a:pt x="716889" y="0"/>
                                </a:lnTo>
                                <a:lnTo>
                                  <a:pt x="711200" y="4254"/>
                                </a:lnTo>
                                <a:lnTo>
                                  <a:pt x="711200" y="14782"/>
                                </a:lnTo>
                                <a:lnTo>
                                  <a:pt x="716889" y="19050"/>
                                </a:lnTo>
                                <a:lnTo>
                                  <a:pt x="807110" y="19050"/>
                                </a:lnTo>
                                <a:lnTo>
                                  <a:pt x="812800" y="14782"/>
                                </a:lnTo>
                                <a:lnTo>
                                  <a:pt x="812800" y="4254"/>
                                </a:lnTo>
                                <a:lnTo>
                                  <a:pt x="807110" y="0"/>
                                </a:lnTo>
                                <a:close/>
                              </a:path>
                              <a:path w="3999865" h="243840">
                                <a:moveTo>
                                  <a:pt x="895515" y="5765"/>
                                </a:moveTo>
                                <a:lnTo>
                                  <a:pt x="889317" y="9613"/>
                                </a:lnTo>
                                <a:lnTo>
                                  <a:pt x="888009" y="20091"/>
                                </a:lnTo>
                                <a:lnTo>
                                  <a:pt x="893140" y="24726"/>
                                </a:lnTo>
                                <a:lnTo>
                                  <a:pt x="982980" y="31064"/>
                                </a:lnTo>
                                <a:lnTo>
                                  <a:pt x="989177" y="27203"/>
                                </a:lnTo>
                                <a:lnTo>
                                  <a:pt x="990485" y="16738"/>
                                </a:lnTo>
                                <a:lnTo>
                                  <a:pt x="985342" y="12077"/>
                                </a:lnTo>
                                <a:lnTo>
                                  <a:pt x="895515" y="5765"/>
                                </a:lnTo>
                                <a:close/>
                              </a:path>
                              <a:path w="3999865" h="243840">
                                <a:moveTo>
                                  <a:pt x="1072540" y="18224"/>
                                </a:moveTo>
                                <a:lnTo>
                                  <a:pt x="1066342" y="22072"/>
                                </a:lnTo>
                                <a:lnTo>
                                  <a:pt x="1065034" y="32550"/>
                                </a:lnTo>
                                <a:lnTo>
                                  <a:pt x="1070165" y="37185"/>
                                </a:lnTo>
                                <a:lnTo>
                                  <a:pt x="1160005" y="43497"/>
                                </a:lnTo>
                                <a:lnTo>
                                  <a:pt x="1166190" y="39649"/>
                                </a:lnTo>
                                <a:lnTo>
                                  <a:pt x="1167511" y="29171"/>
                                </a:lnTo>
                                <a:lnTo>
                                  <a:pt x="1162367" y="24536"/>
                                </a:lnTo>
                                <a:lnTo>
                                  <a:pt x="1072540" y="18224"/>
                                </a:lnTo>
                                <a:close/>
                              </a:path>
                              <a:path w="3999865" h="243840">
                                <a:moveTo>
                                  <a:pt x="1249553" y="30657"/>
                                </a:moveTo>
                                <a:lnTo>
                                  <a:pt x="1243368" y="34518"/>
                                </a:lnTo>
                                <a:lnTo>
                                  <a:pt x="1242060" y="44983"/>
                                </a:lnTo>
                                <a:lnTo>
                                  <a:pt x="1247190" y="49631"/>
                                </a:lnTo>
                                <a:lnTo>
                                  <a:pt x="1337030" y="55956"/>
                                </a:lnTo>
                                <a:lnTo>
                                  <a:pt x="1343215" y="52108"/>
                                </a:lnTo>
                                <a:lnTo>
                                  <a:pt x="1344523" y="41630"/>
                                </a:lnTo>
                                <a:lnTo>
                                  <a:pt x="1339392" y="36982"/>
                                </a:lnTo>
                                <a:lnTo>
                                  <a:pt x="1249553" y="30657"/>
                                </a:lnTo>
                                <a:close/>
                              </a:path>
                              <a:path w="3999865" h="243840">
                                <a:moveTo>
                                  <a:pt x="1426578" y="43116"/>
                                </a:moveTo>
                                <a:lnTo>
                                  <a:pt x="1420393" y="46951"/>
                                </a:lnTo>
                                <a:lnTo>
                                  <a:pt x="1419085" y="57442"/>
                                </a:lnTo>
                                <a:lnTo>
                                  <a:pt x="1424216" y="62077"/>
                                </a:lnTo>
                                <a:lnTo>
                                  <a:pt x="1514043" y="68402"/>
                                </a:lnTo>
                                <a:lnTo>
                                  <a:pt x="1520240" y="64541"/>
                                </a:lnTo>
                                <a:lnTo>
                                  <a:pt x="1521548" y="54076"/>
                                </a:lnTo>
                                <a:lnTo>
                                  <a:pt x="1516418" y="49428"/>
                                </a:lnTo>
                                <a:lnTo>
                                  <a:pt x="1426578" y="43116"/>
                                </a:lnTo>
                                <a:close/>
                              </a:path>
                              <a:path w="3999865" h="243840">
                                <a:moveTo>
                                  <a:pt x="1603603" y="55562"/>
                                </a:moveTo>
                                <a:lnTo>
                                  <a:pt x="1597418" y="59410"/>
                                </a:lnTo>
                                <a:lnTo>
                                  <a:pt x="1596110" y="69875"/>
                                </a:lnTo>
                                <a:lnTo>
                                  <a:pt x="1601241" y="74523"/>
                                </a:lnTo>
                                <a:lnTo>
                                  <a:pt x="1691043" y="80911"/>
                                </a:lnTo>
                                <a:lnTo>
                                  <a:pt x="1697240" y="77076"/>
                                </a:lnTo>
                                <a:lnTo>
                                  <a:pt x="1698574" y="66598"/>
                                </a:lnTo>
                                <a:lnTo>
                                  <a:pt x="1693456" y="61950"/>
                                </a:lnTo>
                                <a:lnTo>
                                  <a:pt x="1603603" y="55562"/>
                                </a:lnTo>
                                <a:close/>
                              </a:path>
                              <a:path w="3999865" h="243840">
                                <a:moveTo>
                                  <a:pt x="1780628" y="68173"/>
                                </a:moveTo>
                                <a:lnTo>
                                  <a:pt x="1774431" y="72021"/>
                                </a:lnTo>
                                <a:lnTo>
                                  <a:pt x="1773097" y="82486"/>
                                </a:lnTo>
                                <a:lnTo>
                                  <a:pt x="1778215" y="87147"/>
                                </a:lnTo>
                                <a:lnTo>
                                  <a:pt x="1868043" y="93548"/>
                                </a:lnTo>
                                <a:lnTo>
                                  <a:pt x="1874240" y="89725"/>
                                </a:lnTo>
                                <a:lnTo>
                                  <a:pt x="1875574" y="79235"/>
                                </a:lnTo>
                                <a:lnTo>
                                  <a:pt x="1870456" y="74587"/>
                                </a:lnTo>
                                <a:lnTo>
                                  <a:pt x="1780628" y="68173"/>
                                </a:lnTo>
                                <a:close/>
                              </a:path>
                              <a:path w="3999865" h="243840">
                                <a:moveTo>
                                  <a:pt x="1957628" y="80822"/>
                                </a:moveTo>
                                <a:lnTo>
                                  <a:pt x="1951431" y="84658"/>
                                </a:lnTo>
                                <a:lnTo>
                                  <a:pt x="1950097" y="95135"/>
                                </a:lnTo>
                                <a:lnTo>
                                  <a:pt x="1955215" y="99783"/>
                                </a:lnTo>
                                <a:lnTo>
                                  <a:pt x="2045042" y="106210"/>
                                </a:lnTo>
                                <a:lnTo>
                                  <a:pt x="2051240" y="102362"/>
                                </a:lnTo>
                                <a:lnTo>
                                  <a:pt x="2052561" y="91897"/>
                                </a:lnTo>
                                <a:lnTo>
                                  <a:pt x="2047443" y="87236"/>
                                </a:lnTo>
                                <a:lnTo>
                                  <a:pt x="1957628" y="80822"/>
                                </a:lnTo>
                                <a:close/>
                              </a:path>
                              <a:path w="3999865" h="243840">
                                <a:moveTo>
                                  <a:pt x="2134628" y="93472"/>
                                </a:moveTo>
                                <a:lnTo>
                                  <a:pt x="2128431" y="97294"/>
                                </a:lnTo>
                                <a:lnTo>
                                  <a:pt x="2127097" y="107784"/>
                                </a:lnTo>
                                <a:lnTo>
                                  <a:pt x="2132215" y="112433"/>
                                </a:lnTo>
                                <a:lnTo>
                                  <a:pt x="2222042" y="118846"/>
                                </a:lnTo>
                                <a:lnTo>
                                  <a:pt x="2228240" y="114998"/>
                                </a:lnTo>
                                <a:lnTo>
                                  <a:pt x="2229573" y="104533"/>
                                </a:lnTo>
                                <a:lnTo>
                                  <a:pt x="2224455" y="99872"/>
                                </a:lnTo>
                                <a:lnTo>
                                  <a:pt x="2134628" y="93472"/>
                                </a:lnTo>
                                <a:close/>
                              </a:path>
                              <a:path w="3999865" h="243840">
                                <a:moveTo>
                                  <a:pt x="2311628" y="106108"/>
                                </a:moveTo>
                                <a:lnTo>
                                  <a:pt x="2305431" y="109943"/>
                                </a:lnTo>
                                <a:lnTo>
                                  <a:pt x="2304097" y="120421"/>
                                </a:lnTo>
                                <a:lnTo>
                                  <a:pt x="2309215" y="125069"/>
                                </a:lnTo>
                                <a:lnTo>
                                  <a:pt x="2399042" y="131495"/>
                                </a:lnTo>
                                <a:lnTo>
                                  <a:pt x="2405240" y="127647"/>
                                </a:lnTo>
                                <a:lnTo>
                                  <a:pt x="2405913" y="122415"/>
                                </a:lnTo>
                                <a:lnTo>
                                  <a:pt x="2406561" y="117170"/>
                                </a:lnTo>
                                <a:lnTo>
                                  <a:pt x="2401443" y="112522"/>
                                </a:lnTo>
                                <a:lnTo>
                                  <a:pt x="2311628" y="106108"/>
                                </a:lnTo>
                                <a:close/>
                              </a:path>
                              <a:path w="3999865" h="243840">
                                <a:moveTo>
                                  <a:pt x="2488615" y="118681"/>
                                </a:moveTo>
                                <a:lnTo>
                                  <a:pt x="2482418" y="122529"/>
                                </a:lnTo>
                                <a:lnTo>
                                  <a:pt x="2481122" y="133007"/>
                                </a:lnTo>
                                <a:lnTo>
                                  <a:pt x="2486240" y="137642"/>
                                </a:lnTo>
                                <a:lnTo>
                                  <a:pt x="2576080" y="143967"/>
                                </a:lnTo>
                                <a:lnTo>
                                  <a:pt x="2582265" y="140106"/>
                                </a:lnTo>
                                <a:lnTo>
                                  <a:pt x="2583586" y="129641"/>
                                </a:lnTo>
                                <a:lnTo>
                                  <a:pt x="2578455" y="124993"/>
                                </a:lnTo>
                                <a:lnTo>
                                  <a:pt x="2488615" y="118681"/>
                                </a:lnTo>
                                <a:close/>
                              </a:path>
                              <a:path w="3999865" h="243840">
                                <a:moveTo>
                                  <a:pt x="2665641" y="131114"/>
                                </a:moveTo>
                                <a:lnTo>
                                  <a:pt x="2659456" y="134975"/>
                                </a:lnTo>
                                <a:lnTo>
                                  <a:pt x="2658135" y="145440"/>
                                </a:lnTo>
                                <a:lnTo>
                                  <a:pt x="2663266" y="150101"/>
                                </a:lnTo>
                                <a:lnTo>
                                  <a:pt x="2753106" y="156413"/>
                                </a:lnTo>
                                <a:lnTo>
                                  <a:pt x="2759290" y="152565"/>
                                </a:lnTo>
                                <a:lnTo>
                                  <a:pt x="2760599" y="142087"/>
                                </a:lnTo>
                                <a:lnTo>
                                  <a:pt x="2755468" y="137439"/>
                                </a:lnTo>
                                <a:lnTo>
                                  <a:pt x="2665641" y="131114"/>
                                </a:lnTo>
                                <a:close/>
                              </a:path>
                              <a:path w="3999865" h="243840">
                                <a:moveTo>
                                  <a:pt x="2842653" y="143573"/>
                                </a:moveTo>
                                <a:lnTo>
                                  <a:pt x="2836468" y="147421"/>
                                </a:lnTo>
                                <a:lnTo>
                                  <a:pt x="2835173" y="157899"/>
                                </a:lnTo>
                                <a:lnTo>
                                  <a:pt x="2840291" y="162534"/>
                                </a:lnTo>
                                <a:lnTo>
                                  <a:pt x="2930131" y="168859"/>
                                </a:lnTo>
                                <a:lnTo>
                                  <a:pt x="2936316" y="164998"/>
                                </a:lnTo>
                                <a:lnTo>
                                  <a:pt x="2937624" y="154533"/>
                                </a:lnTo>
                                <a:lnTo>
                                  <a:pt x="2932506" y="149885"/>
                                </a:lnTo>
                                <a:lnTo>
                                  <a:pt x="2842653" y="143573"/>
                                </a:lnTo>
                                <a:close/>
                              </a:path>
                              <a:path w="3999865" h="243840">
                                <a:moveTo>
                                  <a:pt x="3019691" y="156019"/>
                                </a:moveTo>
                                <a:lnTo>
                                  <a:pt x="3013506" y="159867"/>
                                </a:lnTo>
                                <a:lnTo>
                                  <a:pt x="3012186" y="170345"/>
                                </a:lnTo>
                                <a:lnTo>
                                  <a:pt x="3017316" y="174993"/>
                                </a:lnTo>
                                <a:lnTo>
                                  <a:pt x="3107156" y="181305"/>
                                </a:lnTo>
                                <a:lnTo>
                                  <a:pt x="3113341" y="177457"/>
                                </a:lnTo>
                                <a:lnTo>
                                  <a:pt x="3114649" y="166979"/>
                                </a:lnTo>
                                <a:lnTo>
                                  <a:pt x="3109518" y="162331"/>
                                </a:lnTo>
                                <a:lnTo>
                                  <a:pt x="3019691" y="156019"/>
                                </a:lnTo>
                                <a:close/>
                              </a:path>
                              <a:path w="3999865" h="243840">
                                <a:moveTo>
                                  <a:pt x="3196704" y="168465"/>
                                </a:moveTo>
                                <a:lnTo>
                                  <a:pt x="3190519" y="172326"/>
                                </a:lnTo>
                                <a:lnTo>
                                  <a:pt x="3189198" y="182791"/>
                                </a:lnTo>
                                <a:lnTo>
                                  <a:pt x="3194342" y="187439"/>
                                </a:lnTo>
                                <a:lnTo>
                                  <a:pt x="3284169" y="193751"/>
                                </a:lnTo>
                                <a:lnTo>
                                  <a:pt x="3290366" y="189903"/>
                                </a:lnTo>
                                <a:lnTo>
                                  <a:pt x="3291674" y="179425"/>
                                </a:lnTo>
                                <a:lnTo>
                                  <a:pt x="3286556" y="174790"/>
                                </a:lnTo>
                                <a:lnTo>
                                  <a:pt x="3196704" y="168465"/>
                                </a:lnTo>
                                <a:close/>
                              </a:path>
                              <a:path w="3999865" h="243840">
                                <a:moveTo>
                                  <a:pt x="3373742" y="180911"/>
                                </a:moveTo>
                                <a:lnTo>
                                  <a:pt x="3367532" y="184759"/>
                                </a:lnTo>
                                <a:lnTo>
                                  <a:pt x="3366236" y="195237"/>
                                </a:lnTo>
                                <a:lnTo>
                                  <a:pt x="3371367" y="199885"/>
                                </a:lnTo>
                                <a:lnTo>
                                  <a:pt x="3461194" y="206197"/>
                                </a:lnTo>
                                <a:lnTo>
                                  <a:pt x="3467392" y="202349"/>
                                </a:lnTo>
                                <a:lnTo>
                                  <a:pt x="3468700" y="191884"/>
                                </a:lnTo>
                                <a:lnTo>
                                  <a:pt x="3463569" y="187223"/>
                                </a:lnTo>
                                <a:lnTo>
                                  <a:pt x="3373742" y="180911"/>
                                </a:lnTo>
                                <a:close/>
                              </a:path>
                              <a:path w="3999865" h="243840">
                                <a:moveTo>
                                  <a:pt x="3550754" y="193370"/>
                                </a:moveTo>
                                <a:lnTo>
                                  <a:pt x="3544570" y="197218"/>
                                </a:lnTo>
                                <a:lnTo>
                                  <a:pt x="3543249" y="207683"/>
                                </a:lnTo>
                                <a:lnTo>
                                  <a:pt x="3548392" y="212331"/>
                                </a:lnTo>
                                <a:lnTo>
                                  <a:pt x="3638219" y="218643"/>
                                </a:lnTo>
                                <a:lnTo>
                                  <a:pt x="3644404" y="214795"/>
                                </a:lnTo>
                                <a:lnTo>
                                  <a:pt x="3645725" y="204317"/>
                                </a:lnTo>
                                <a:lnTo>
                                  <a:pt x="3640582" y="199682"/>
                                </a:lnTo>
                                <a:lnTo>
                                  <a:pt x="3550754" y="193370"/>
                                </a:lnTo>
                                <a:close/>
                              </a:path>
                              <a:path w="3999865" h="243840">
                                <a:moveTo>
                                  <a:pt x="3727780" y="205803"/>
                                </a:moveTo>
                                <a:lnTo>
                                  <a:pt x="3721582" y="209651"/>
                                </a:lnTo>
                                <a:lnTo>
                                  <a:pt x="3720287" y="220129"/>
                                </a:lnTo>
                                <a:lnTo>
                                  <a:pt x="3725405" y="224764"/>
                                </a:lnTo>
                                <a:lnTo>
                                  <a:pt x="3815245" y="231101"/>
                                </a:lnTo>
                                <a:lnTo>
                                  <a:pt x="3821442" y="227241"/>
                                </a:lnTo>
                                <a:lnTo>
                                  <a:pt x="3822738" y="216776"/>
                                </a:lnTo>
                                <a:lnTo>
                                  <a:pt x="3817620" y="212115"/>
                                </a:lnTo>
                                <a:lnTo>
                                  <a:pt x="3727780" y="205803"/>
                                </a:lnTo>
                                <a:close/>
                              </a:path>
                              <a:path w="3999865" h="243840">
                                <a:moveTo>
                                  <a:pt x="3904805" y="218262"/>
                                </a:moveTo>
                                <a:lnTo>
                                  <a:pt x="3898620" y="222110"/>
                                </a:lnTo>
                                <a:lnTo>
                                  <a:pt x="3897299" y="232587"/>
                                </a:lnTo>
                                <a:lnTo>
                                  <a:pt x="3902443" y="237223"/>
                                </a:lnTo>
                                <a:lnTo>
                                  <a:pt x="3992270" y="243535"/>
                                </a:lnTo>
                                <a:lnTo>
                                  <a:pt x="3998455" y="239687"/>
                                </a:lnTo>
                                <a:lnTo>
                                  <a:pt x="3999776" y="229209"/>
                                </a:lnTo>
                                <a:lnTo>
                                  <a:pt x="3994632" y="224574"/>
                                </a:lnTo>
                                <a:lnTo>
                                  <a:pt x="3904805" y="218262"/>
                                </a:lnTo>
                                <a:close/>
                              </a:path>
                            </a:pathLst>
                          </a:custGeom>
                          <a:solidFill>
                            <a:srgbClr val="BCBEC0"/>
                          </a:solidFill>
                        </wps:spPr>
                        <wps:bodyPr wrap="square" lIns="0" tIns="0" rIns="0" bIns="0" rtlCol="0">
                          <a:prstTxWarp prst="textNoShape">
                            <a:avLst/>
                          </a:prstTxWarp>
                          <a:noAutofit/>
                        </wps:bodyPr>
                      </wps:wsp>
                    </wpg:wgp>
                  </a:graphicData>
                </a:graphic>
              </wp:anchor>
            </w:drawing>
          </mc:Choice>
          <mc:Fallback>
            <w:pict>
              <v:group style="position:absolute;margin-left:708.275818pt;margin-top:-64.825554pt;width:367.9pt;height:116.85pt;mso-position-horizontal-relative:page;mso-position-vertical-relative:paragraph;z-index:15898624" id="docshapegroup1286" coordorigin="14166,-1297" coordsize="7358,2337">
                <v:shape style="position:absolute;left:14174;top:-1288;width:7340;height:2320" id="docshape1287" coordorigin="14174,-1288" coordsize="7340,2320" path="m21514,1032l14174,1032,14174,-1288e" filled="false" stroked="true" strokeweight=".866pt" strokecolor="#bcbec0">
                  <v:path arrowok="t"/>
                  <v:stroke dashstyle="solid"/>
                </v:shape>
                <v:shape style="position:absolute;left:14824;top:-941;width:6360;height:255" id="docshape1288" coordorigin="14824,-941" coordsize="6360,255" path="m14824,-686l16084,-716,17364,-776,18624,-836,19904,-941,21184,-791e" filled="false" stroked="true" strokeweight="1.732pt" strokecolor="#105c84">
                  <v:path arrowok="t"/>
                  <v:stroke dashstyle="solid"/>
                </v:shape>
                <v:shape style="position:absolute;left:14824;top:124;width:6360;height:285" id="docshape1289" coordorigin="14824,124" coordsize="6360,285" path="m14824,124l16084,124,17364,214,18624,304,19904,304,21184,409e" filled="false" stroked="true" strokeweight="1.732pt" strokecolor="#82bf6a">
                  <v:path arrowok="t"/>
                  <v:stroke dashstyle="solid"/>
                </v:shape>
                <v:shape style="position:absolute;left:14804;top:-341;width:6299;height:384" id="docshape1290" coordorigin="14804,-341" coordsize="6299,384" path="m14955,-341l14813,-341,14804,-334,14804,-317,14813,-311,14955,-311,14964,-317,14964,-334,14955,-341xm15235,-341l15093,-341,15084,-334,15084,-317,15093,-311,15235,-311,15244,-317,15244,-334,15235,-341xm15515,-341l15373,-341,15364,-334,15364,-317,15373,-311,15515,-311,15524,-317,15524,-334,15515,-341xm15795,-341l15653,-341,15644,-334,15644,-317,15653,-311,15795,-311,15804,-317,15804,-334,15795,-341xm16075,-341l15933,-341,15924,-334,15924,-317,15933,-311,16075,-311,16084,-317,16084,-334,16075,-341xm16214,-332l16205,-326,16203,-309,16211,-302,16352,-292,16362,-298,16364,-314,16356,-322,16214,-332xm16493,-312l16483,-306,16481,-289,16489,-282,16631,-272,16641,-278,16643,-295,16635,-302,16493,-312xm16772,-292l16762,-286,16760,-270,16768,-263,16910,-253,16919,-259,16922,-275,16913,-282,16772,-292xm17051,-273l17041,-267,17039,-250,17047,-243,17188,-233,17198,-239,17200,-256,17192,-263,17051,-273xm17330,-253l17320,-247,17318,-231,17326,-223,17467,-213,17477,-219,17479,-236,17471,-243,17330,-253xm17608,-233l17599,-227,17596,-211,17605,-203,17746,-193,17756,-199,17758,-216,17750,-223,17608,-233xm17887,-213l17877,-207,17875,-191,17883,-184,18025,-173,18034,-180,18037,-196,18028,-203,17887,-213xm18166,-194l18156,-188,18154,-171,18162,-164,18303,-154,18313,-160,18315,-176,18307,-183,18166,-194xm18445,-174l18435,-168,18433,-151,18441,-144,18582,-134,18592,-140,18593,-148,18594,-156,18586,-164,18445,-174xm18723,-154l18713,-148,18711,-131,18720,-124,18861,-114,18871,-120,18873,-137,18865,-144,18723,-154xm19002,-134l18992,-128,18990,-112,18998,-104,19140,-94,19150,-100,19152,-117,19143,-124,19002,-134xm19281,-115l19271,-109,19269,-92,19277,-85,19419,-75,19428,-81,19430,-97,19422,-105,19281,-115xm19560,-95l19550,-89,19548,-72,19556,-65,19697,-55,19707,-61,19709,-78,19701,-85,19560,-95xm19838,-75l19829,-69,19827,-53,19835,-46,19976,-36,19986,-42,19988,-58,19980,-65,19838,-75xm20117,-56l20107,-50,20105,-33,20113,-26,20255,-16,20265,-22,20267,-39,20259,-46,20117,-56xm20396,-36l20386,-30,20384,-14,20392,-6,20534,4,20543,-2,20545,-19,20537,-26,20396,-36xm20675,-17l20665,-11,20663,6,20671,13,20812,23,20822,17,20824,1,20816,-7,20675,-17xm20953,3l20944,9,20942,26,20950,33,21091,43,21101,37,21103,20,21095,13,20953,3xe" filled="true" fillcolor="#bcbec0" stroked="false">
                  <v:path arrowok="t"/>
                  <v:fill type="solid"/>
                </v:shape>
                <w10:wrap type="none"/>
              </v:group>
            </w:pict>
          </mc:Fallback>
        </mc:AlternateContent>
      </w:r>
      <w:r>
        <w:rPr>
          <w:color w:val="636466"/>
          <w:spacing w:val="-5"/>
          <w:sz w:val="18"/>
        </w:rPr>
        <w:t>10%</w:t>
      </w:r>
    </w:p>
    <w:p>
      <w:pPr>
        <w:pStyle w:val="BodyText"/>
        <w:spacing w:before="36"/>
        <w:rPr>
          <w:sz w:val="18"/>
        </w:rPr>
      </w:pPr>
    </w:p>
    <w:p>
      <w:pPr>
        <w:spacing w:before="0"/>
        <w:ind w:left="4126" w:right="0" w:firstLine="0"/>
        <w:jc w:val="center"/>
        <w:rPr>
          <w:sz w:val="18"/>
        </w:rPr>
      </w:pPr>
      <w:r>
        <w:rPr>
          <w:color w:val="636466"/>
          <w:spacing w:val="-5"/>
          <w:sz w:val="18"/>
        </w:rPr>
        <w:t>5%</w:t>
      </w:r>
    </w:p>
    <w:p>
      <w:pPr>
        <w:pStyle w:val="BodyText"/>
        <w:spacing w:before="51"/>
        <w:rPr>
          <w:sz w:val="18"/>
        </w:rPr>
      </w:pPr>
    </w:p>
    <w:p>
      <w:pPr>
        <w:spacing w:line="203" w:lineRule="exact" w:before="0"/>
        <w:ind w:left="4126" w:right="0" w:firstLine="0"/>
        <w:jc w:val="center"/>
        <w:rPr>
          <w:sz w:val="18"/>
        </w:rPr>
      </w:pPr>
      <w:r>
        <w:rPr>
          <w:color w:val="636466"/>
          <w:spacing w:val="-5"/>
          <w:sz w:val="18"/>
        </w:rPr>
        <w:t>0%</w:t>
      </w:r>
    </w:p>
    <w:p>
      <w:pPr>
        <w:tabs>
          <w:tab w:pos="13421" w:val="left" w:leader="none"/>
          <w:tab w:pos="14693" w:val="left" w:leader="none"/>
          <w:tab w:pos="15965" w:val="left" w:leader="none"/>
          <w:tab w:pos="17237" w:val="left" w:leader="none"/>
          <w:tab w:pos="18509" w:val="left" w:leader="none"/>
        </w:tabs>
        <w:spacing w:line="203" w:lineRule="exact" w:before="0"/>
        <w:ind w:left="12149" w:right="0" w:firstLine="0"/>
        <w:jc w:val="center"/>
        <w:rPr>
          <w:sz w:val="18"/>
        </w:rPr>
      </w:pPr>
      <w:r>
        <w:rPr>
          <w:color w:val="636466"/>
          <w:spacing w:val="-4"/>
          <w:sz w:val="18"/>
        </w:rPr>
        <w:t>2012</w:t>
      </w:r>
      <w:r>
        <w:rPr>
          <w:color w:val="636466"/>
          <w:sz w:val="18"/>
        </w:rPr>
        <w:tab/>
      </w:r>
      <w:r>
        <w:rPr>
          <w:color w:val="636466"/>
          <w:spacing w:val="-4"/>
          <w:sz w:val="18"/>
        </w:rPr>
        <w:t>2013</w:t>
      </w:r>
      <w:r>
        <w:rPr>
          <w:color w:val="636466"/>
          <w:sz w:val="18"/>
        </w:rPr>
        <w:tab/>
      </w:r>
      <w:r>
        <w:rPr>
          <w:color w:val="636466"/>
          <w:spacing w:val="-4"/>
          <w:sz w:val="18"/>
        </w:rPr>
        <w:t>2014</w:t>
      </w:r>
      <w:r>
        <w:rPr>
          <w:color w:val="636466"/>
          <w:sz w:val="18"/>
        </w:rPr>
        <w:tab/>
      </w:r>
      <w:r>
        <w:rPr>
          <w:color w:val="636466"/>
          <w:spacing w:val="-4"/>
          <w:sz w:val="18"/>
        </w:rPr>
        <w:t>2015</w:t>
      </w:r>
      <w:r>
        <w:rPr>
          <w:color w:val="636466"/>
          <w:sz w:val="18"/>
        </w:rPr>
        <w:tab/>
      </w:r>
      <w:r>
        <w:rPr>
          <w:color w:val="636466"/>
          <w:spacing w:val="-4"/>
          <w:sz w:val="18"/>
        </w:rPr>
        <w:t>2016</w:t>
      </w:r>
      <w:r>
        <w:rPr>
          <w:color w:val="636466"/>
          <w:sz w:val="18"/>
        </w:rPr>
        <w:tab/>
      </w:r>
      <w:r>
        <w:rPr>
          <w:color w:val="636466"/>
          <w:spacing w:val="-4"/>
          <w:sz w:val="18"/>
        </w:rPr>
        <w:t>2017</w:t>
      </w:r>
    </w:p>
    <w:p>
      <w:pPr>
        <w:pStyle w:val="BodyText"/>
        <w:spacing w:before="65"/>
        <w:rPr>
          <w:sz w:val="18"/>
        </w:rPr>
      </w:pPr>
    </w:p>
    <w:p>
      <w:pPr>
        <w:spacing w:before="0"/>
        <w:ind w:left="14140" w:right="0" w:firstLine="0"/>
        <w:jc w:val="left"/>
        <w:rPr>
          <w:sz w:val="16"/>
        </w:rPr>
      </w:pPr>
      <w:r>
        <w:rPr>
          <w:color w:val="105C84"/>
          <w:spacing w:val="-2"/>
          <w:sz w:val="16"/>
        </w:rPr>
        <w:t>Data</w:t>
      </w:r>
      <w:r>
        <w:rPr>
          <w:color w:val="105C84"/>
          <w:spacing w:val="-8"/>
          <w:sz w:val="16"/>
        </w:rPr>
        <w:t> </w:t>
      </w:r>
      <w:r>
        <w:rPr>
          <w:color w:val="105C84"/>
          <w:spacing w:val="-2"/>
          <w:sz w:val="16"/>
        </w:rPr>
        <w:t>Source:</w:t>
      </w:r>
      <w:r>
        <w:rPr>
          <w:color w:val="105C84"/>
          <w:spacing w:val="-8"/>
          <w:sz w:val="16"/>
        </w:rPr>
        <w:t> </w:t>
      </w:r>
      <w:r>
        <w:rPr>
          <w:color w:val="105C84"/>
          <w:spacing w:val="-2"/>
          <w:sz w:val="16"/>
        </w:rPr>
        <w:t>U.S.</w:t>
      </w:r>
      <w:r>
        <w:rPr>
          <w:color w:val="105C84"/>
          <w:spacing w:val="-8"/>
          <w:sz w:val="16"/>
        </w:rPr>
        <w:t> </w:t>
      </w:r>
      <w:r>
        <w:rPr>
          <w:color w:val="105C84"/>
          <w:spacing w:val="-2"/>
          <w:sz w:val="16"/>
        </w:rPr>
        <w:t>Census</w:t>
      </w:r>
      <w:r>
        <w:rPr>
          <w:color w:val="105C84"/>
          <w:spacing w:val="-8"/>
          <w:sz w:val="16"/>
        </w:rPr>
        <w:t> </w:t>
      </w:r>
      <w:r>
        <w:rPr>
          <w:color w:val="105C84"/>
          <w:spacing w:val="-2"/>
          <w:sz w:val="16"/>
        </w:rPr>
        <w:t>Bureau</w:t>
      </w:r>
      <w:r>
        <w:rPr>
          <w:color w:val="105C84"/>
          <w:spacing w:val="-8"/>
          <w:sz w:val="16"/>
        </w:rPr>
        <w:t> </w:t>
      </w:r>
      <w:r>
        <w:rPr>
          <w:color w:val="105C84"/>
          <w:spacing w:val="-2"/>
          <w:sz w:val="16"/>
        </w:rPr>
        <w:t>American</w:t>
      </w:r>
      <w:r>
        <w:rPr>
          <w:color w:val="105C84"/>
          <w:spacing w:val="-8"/>
          <w:sz w:val="16"/>
        </w:rPr>
        <w:t> </w:t>
      </w:r>
      <w:r>
        <w:rPr>
          <w:color w:val="105C84"/>
          <w:spacing w:val="-2"/>
          <w:sz w:val="16"/>
        </w:rPr>
        <w:t>Community</w:t>
      </w:r>
      <w:r>
        <w:rPr>
          <w:color w:val="105C84"/>
          <w:spacing w:val="-8"/>
          <w:sz w:val="16"/>
        </w:rPr>
        <w:t> </w:t>
      </w:r>
      <w:r>
        <w:rPr>
          <w:color w:val="105C84"/>
          <w:spacing w:val="-2"/>
          <w:sz w:val="16"/>
        </w:rPr>
        <w:t>Survey</w:t>
      </w:r>
      <w:r>
        <w:rPr>
          <w:color w:val="105C84"/>
          <w:spacing w:val="-8"/>
          <w:sz w:val="16"/>
        </w:rPr>
        <w:t> </w:t>
      </w:r>
      <w:r>
        <w:rPr>
          <w:color w:val="105C84"/>
          <w:spacing w:val="-2"/>
          <w:sz w:val="16"/>
        </w:rPr>
        <w:t>5-Year</w:t>
      </w:r>
      <w:r>
        <w:rPr>
          <w:color w:val="105C84"/>
          <w:spacing w:val="-8"/>
          <w:sz w:val="16"/>
        </w:rPr>
        <w:t> </w:t>
      </w:r>
      <w:r>
        <w:rPr>
          <w:color w:val="105C84"/>
          <w:spacing w:val="-2"/>
          <w:sz w:val="16"/>
        </w:rPr>
        <w:t>Estimate</w:t>
      </w:r>
    </w:p>
    <w:p>
      <w:pPr>
        <w:pStyle w:val="BodyText"/>
        <w:spacing w:before="194"/>
        <w:rPr>
          <w:sz w:val="20"/>
        </w:rPr>
      </w:pPr>
    </w:p>
    <w:p>
      <w:pPr>
        <w:pStyle w:val="BodyText"/>
        <w:spacing w:after="0"/>
        <w:rPr>
          <w:sz w:val="20"/>
        </w:rPr>
        <w:sectPr>
          <w:type w:val="continuous"/>
          <w:pgSz w:w="24480" w:h="15840" w:orient="landscape"/>
          <w:pgMar w:header="0" w:footer="0" w:top="0" w:bottom="280" w:left="0" w:right="720"/>
        </w:sectPr>
      </w:pPr>
    </w:p>
    <w:p>
      <w:pPr>
        <w:pStyle w:val="BodyText"/>
        <w:rPr>
          <w:sz w:val="16"/>
        </w:rPr>
      </w:pPr>
    </w:p>
    <w:p>
      <w:pPr>
        <w:pStyle w:val="BodyText"/>
        <w:rPr>
          <w:sz w:val="16"/>
        </w:rPr>
      </w:pPr>
    </w:p>
    <w:p>
      <w:pPr>
        <w:pStyle w:val="BodyText"/>
        <w:spacing w:before="53"/>
        <w:rPr>
          <w:sz w:val="16"/>
        </w:rPr>
      </w:pPr>
    </w:p>
    <w:p>
      <w:pPr>
        <w:spacing w:before="1"/>
        <w:ind w:left="1080" w:right="0" w:firstLine="0"/>
        <w:jc w:val="left"/>
        <w:rPr>
          <w:sz w:val="16"/>
        </w:rPr>
      </w:pPr>
      <w:r>
        <w:rPr>
          <w:color w:val="0C5D86"/>
          <w:spacing w:val="-4"/>
          <w:sz w:val="16"/>
        </w:rPr>
        <w:t>Source:</w:t>
      </w:r>
      <w:r>
        <w:rPr>
          <w:color w:val="0C5D86"/>
          <w:spacing w:val="-2"/>
          <w:sz w:val="16"/>
        </w:rPr>
        <w:t> </w:t>
      </w:r>
      <w:r>
        <w:rPr>
          <w:color w:val="0C5D86"/>
          <w:spacing w:val="-4"/>
          <w:sz w:val="16"/>
        </w:rPr>
        <w:t>U.S.</w:t>
      </w:r>
      <w:r>
        <w:rPr>
          <w:color w:val="0C5D86"/>
          <w:spacing w:val="-1"/>
          <w:sz w:val="16"/>
        </w:rPr>
        <w:t> </w:t>
      </w:r>
      <w:r>
        <w:rPr>
          <w:color w:val="0C5D86"/>
          <w:spacing w:val="-4"/>
          <w:sz w:val="16"/>
        </w:rPr>
        <w:t>Census</w:t>
      </w:r>
      <w:r>
        <w:rPr>
          <w:color w:val="0C5D86"/>
          <w:spacing w:val="-1"/>
          <w:sz w:val="16"/>
        </w:rPr>
        <w:t> </w:t>
      </w:r>
      <w:r>
        <w:rPr>
          <w:color w:val="0C5D86"/>
          <w:spacing w:val="-4"/>
          <w:sz w:val="16"/>
        </w:rPr>
        <w:t>Bureau</w:t>
      </w:r>
      <w:r>
        <w:rPr>
          <w:color w:val="0C5D86"/>
          <w:spacing w:val="-1"/>
          <w:sz w:val="16"/>
        </w:rPr>
        <w:t> </w:t>
      </w:r>
      <w:r>
        <w:rPr>
          <w:color w:val="0C5D86"/>
          <w:spacing w:val="-4"/>
          <w:sz w:val="16"/>
        </w:rPr>
        <w:t>American</w:t>
      </w:r>
      <w:r>
        <w:rPr>
          <w:color w:val="0C5D86"/>
          <w:spacing w:val="-1"/>
          <w:sz w:val="16"/>
        </w:rPr>
        <w:t> </w:t>
      </w:r>
      <w:r>
        <w:rPr>
          <w:color w:val="0C5D86"/>
          <w:spacing w:val="-4"/>
          <w:sz w:val="16"/>
        </w:rPr>
        <w:t>Community</w:t>
      </w:r>
      <w:r>
        <w:rPr>
          <w:color w:val="0C5D86"/>
          <w:spacing w:val="-1"/>
          <w:sz w:val="16"/>
        </w:rPr>
        <w:t> </w:t>
      </w:r>
      <w:r>
        <w:rPr>
          <w:color w:val="0C5D86"/>
          <w:spacing w:val="-4"/>
          <w:sz w:val="16"/>
        </w:rPr>
        <w:t>Survey</w:t>
      </w:r>
      <w:r>
        <w:rPr>
          <w:color w:val="0C5D86"/>
          <w:spacing w:val="-1"/>
          <w:sz w:val="16"/>
        </w:rPr>
        <w:t> </w:t>
      </w:r>
      <w:r>
        <w:rPr>
          <w:color w:val="0C5D86"/>
          <w:spacing w:val="-4"/>
          <w:sz w:val="16"/>
        </w:rPr>
        <w:t>2013-2017</w:t>
      </w:r>
      <w:r>
        <w:rPr>
          <w:color w:val="0C5D86"/>
          <w:spacing w:val="-1"/>
          <w:sz w:val="16"/>
        </w:rPr>
        <w:t> </w:t>
      </w:r>
      <w:r>
        <w:rPr>
          <w:color w:val="0C5D86"/>
          <w:spacing w:val="-4"/>
          <w:sz w:val="16"/>
        </w:rPr>
        <w:t>5-Year</w:t>
      </w:r>
      <w:r>
        <w:rPr>
          <w:color w:val="0C5D86"/>
          <w:spacing w:val="-1"/>
          <w:sz w:val="16"/>
        </w:rPr>
        <w:t> </w:t>
      </w:r>
      <w:r>
        <w:rPr>
          <w:color w:val="0C5D86"/>
          <w:spacing w:val="-4"/>
          <w:sz w:val="16"/>
        </w:rPr>
        <w:t>estimates</w:t>
      </w:r>
    </w:p>
    <w:p>
      <w:pPr>
        <w:pStyle w:val="BodyText"/>
        <w:spacing w:line="247" w:lineRule="auto" w:before="114"/>
        <w:ind w:left="1080" w:right="135"/>
        <w:rPr>
          <w:position w:val="7"/>
          <w:sz w:val="13"/>
        </w:rPr>
      </w:pPr>
      <w:r>
        <w:rPr/>
        <w:br w:type="column"/>
      </w:r>
      <w:r>
        <w:rPr>
          <w:color w:val="105C84"/>
        </w:rPr>
        <w:t>Finally, 23% of Yates County residents rent vs. own their home. In addition, 13% of occupied housing units have no vehicles available. Another 31% have access to one vehicle. Of note, the average household size for occupied housing is greater than two people. Approximately 43% of residents are</w:t>
      </w:r>
      <w:r>
        <w:rPr>
          <w:color w:val="105C84"/>
          <w:spacing w:val="40"/>
        </w:rPr>
        <w:t> </w:t>
      </w:r>
      <w:r>
        <w:rPr>
          <w:color w:val="105C84"/>
        </w:rPr>
        <w:t>paying 35% or more of their household income in rent costs.</w:t>
      </w:r>
      <w:r>
        <w:rPr>
          <w:color w:val="105C84"/>
          <w:position w:val="7"/>
          <w:sz w:val="13"/>
        </w:rPr>
        <w:t>48</w:t>
      </w:r>
    </w:p>
    <w:p>
      <w:pPr>
        <w:pStyle w:val="BodyText"/>
        <w:spacing w:after="0" w:line="247" w:lineRule="auto"/>
        <w:rPr>
          <w:position w:val="7"/>
          <w:sz w:val="13"/>
        </w:rPr>
        <w:sectPr>
          <w:type w:val="continuous"/>
          <w:pgSz w:w="24480" w:h="15840" w:orient="landscape"/>
          <w:pgMar w:header="0" w:footer="0" w:top="0" w:bottom="280" w:left="0" w:right="720"/>
          <w:cols w:num="2" w:equalWidth="0">
            <w:col w:w="7129" w:space="5126"/>
            <w:col w:w="11505"/>
          </w:cols>
        </w:sectPr>
      </w:pPr>
    </w:p>
    <w:p>
      <w:pPr>
        <w:pStyle w:val="BodyText"/>
        <w:rPr>
          <w:sz w:val="20"/>
        </w:rPr>
      </w:pPr>
    </w:p>
    <w:p>
      <w:pPr>
        <w:pStyle w:val="BodyText"/>
        <w:spacing w:before="61"/>
        <w:rPr>
          <w:sz w:val="20"/>
        </w:rPr>
      </w:pPr>
    </w:p>
    <w:p>
      <w:pPr>
        <w:pStyle w:val="BodyText"/>
        <w:spacing w:after="0"/>
        <w:rPr>
          <w:sz w:val="20"/>
        </w:rPr>
        <w:sectPr>
          <w:type w:val="continuous"/>
          <w:pgSz w:w="24480" w:h="15840" w:orient="landscape"/>
          <w:pgMar w:header="0" w:footer="0" w:top="0" w:bottom="280" w:left="0" w:right="720"/>
        </w:sectPr>
      </w:pPr>
    </w:p>
    <w:p>
      <w:pPr>
        <w:pStyle w:val="BodyText"/>
        <w:spacing w:before="47"/>
        <w:rPr>
          <w:sz w:val="26"/>
        </w:rPr>
      </w:pPr>
      <w:r>
        <w:rPr>
          <w:sz w:val="26"/>
        </w:rPr>
        <w:drawing>
          <wp:anchor distT="0" distB="0" distL="0" distR="0" allowOverlap="1" layoutInCell="1" locked="0" behindDoc="0" simplePos="0" relativeHeight="15896576">
            <wp:simplePos x="0" y="0"/>
            <wp:positionH relativeFrom="page">
              <wp:posOffset>14981556</wp:posOffset>
            </wp:positionH>
            <wp:positionV relativeFrom="page">
              <wp:posOffset>9668103</wp:posOffset>
            </wp:positionV>
            <wp:extent cx="563245" cy="184683"/>
            <wp:effectExtent l="0" t="0" r="0" b="0"/>
            <wp:wrapNone/>
            <wp:docPr id="1628" name="Image 1628"/>
            <wp:cNvGraphicFramePr>
              <a:graphicFrameLocks/>
            </wp:cNvGraphicFramePr>
            <a:graphic>
              <a:graphicData uri="http://schemas.openxmlformats.org/drawingml/2006/picture">
                <pic:pic>
                  <pic:nvPicPr>
                    <pic:cNvPr id="1628" name="Image 1628"/>
                    <pic:cNvPicPr/>
                  </pic:nvPicPr>
                  <pic:blipFill>
                    <a:blip r:embed="rId38" cstate="print"/>
                    <a:stretch>
                      <a:fillRect/>
                    </a:stretch>
                  </pic:blipFill>
                  <pic:spPr>
                    <a:xfrm>
                      <a:off x="0" y="0"/>
                      <a:ext cx="563245" cy="184683"/>
                    </a:xfrm>
                    <a:prstGeom prst="rect">
                      <a:avLst/>
                    </a:prstGeom>
                  </pic:spPr>
                </pic:pic>
              </a:graphicData>
            </a:graphic>
          </wp:anchor>
        </w:drawing>
      </w:r>
    </w:p>
    <w:p>
      <w:pPr>
        <w:spacing w:before="0"/>
        <w:ind w:left="0" w:right="0" w:firstLine="0"/>
        <w:jc w:val="left"/>
        <w:rPr>
          <w:b/>
          <w:sz w:val="26"/>
        </w:rPr>
      </w:pPr>
      <w:r>
        <w:rPr>
          <w:position w:val="-4"/>
        </w:rPr>
        <w:drawing>
          <wp:inline distT="0" distB="0" distL="0" distR="0">
            <wp:extent cx="568172" cy="184683"/>
            <wp:effectExtent l="0" t="0" r="0" b="0"/>
            <wp:docPr id="1629" name="Image 1629"/>
            <wp:cNvGraphicFramePr>
              <a:graphicFrameLocks/>
            </wp:cNvGraphicFramePr>
            <a:graphic>
              <a:graphicData uri="http://schemas.openxmlformats.org/drawingml/2006/picture">
                <pic:pic>
                  <pic:nvPicPr>
                    <pic:cNvPr id="1629" name="Image 1629"/>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13"/>
          <w:sz w:val="20"/>
        </w:rPr>
        <w:t> </w:t>
      </w:r>
      <w:r>
        <w:rPr>
          <w:b/>
          <w:color w:val="939598"/>
          <w:spacing w:val="-17"/>
          <w:w w:val="105"/>
          <w:sz w:val="26"/>
        </w:rPr>
        <w:t>103</w:t>
      </w:r>
    </w:p>
    <w:p>
      <w:pPr>
        <w:pStyle w:val="ListParagraph"/>
        <w:numPr>
          <w:ilvl w:val="0"/>
          <w:numId w:val="35"/>
        </w:numPr>
        <w:tabs>
          <w:tab w:pos="253" w:val="left" w:leader="none"/>
        </w:tabs>
        <w:spacing w:line="240" w:lineRule="auto" w:before="109" w:after="0"/>
        <w:ind w:left="0" w:right="7568" w:firstLine="36"/>
        <w:jc w:val="left"/>
        <w:rPr>
          <w:sz w:val="14"/>
        </w:rPr>
      </w:pPr>
      <w:r>
        <w:rPr/>
        <w:br w:type="column"/>
      </w:r>
      <w:r>
        <w:rPr>
          <w:color w:val="636466"/>
          <w:w w:val="105"/>
          <w:sz w:val="14"/>
        </w:rPr>
        <w:t>Disability</w:t>
      </w:r>
      <w:r>
        <w:rPr>
          <w:color w:val="636466"/>
          <w:spacing w:val="-8"/>
          <w:w w:val="105"/>
          <w:sz w:val="14"/>
        </w:rPr>
        <w:t> </w:t>
      </w:r>
      <w:r>
        <w:rPr>
          <w:color w:val="636466"/>
          <w:w w:val="105"/>
          <w:sz w:val="14"/>
        </w:rPr>
        <w:t>in</w:t>
      </w:r>
      <w:r>
        <w:rPr>
          <w:color w:val="636466"/>
          <w:spacing w:val="-9"/>
          <w:w w:val="105"/>
          <w:sz w:val="14"/>
        </w:rPr>
        <w:t> </w:t>
      </w:r>
      <w:r>
        <w:rPr>
          <w:color w:val="636466"/>
          <w:w w:val="105"/>
          <w:sz w:val="14"/>
        </w:rPr>
        <w:t>this</w:t>
      </w:r>
      <w:r>
        <w:rPr>
          <w:color w:val="636466"/>
          <w:spacing w:val="-8"/>
          <w:w w:val="105"/>
          <w:sz w:val="14"/>
        </w:rPr>
        <w:t> </w:t>
      </w:r>
      <w:r>
        <w:rPr>
          <w:color w:val="636466"/>
          <w:w w:val="105"/>
          <w:sz w:val="14"/>
        </w:rPr>
        <w:t>context</w:t>
      </w:r>
      <w:r>
        <w:rPr>
          <w:color w:val="636466"/>
          <w:spacing w:val="-9"/>
          <w:w w:val="105"/>
          <w:sz w:val="14"/>
        </w:rPr>
        <w:t> </w:t>
      </w:r>
      <w:r>
        <w:rPr>
          <w:color w:val="636466"/>
          <w:w w:val="105"/>
          <w:sz w:val="14"/>
        </w:rPr>
        <w:t>is</w:t>
      </w:r>
      <w:r>
        <w:rPr>
          <w:color w:val="636466"/>
          <w:spacing w:val="-8"/>
          <w:w w:val="105"/>
          <w:sz w:val="14"/>
        </w:rPr>
        <w:t> </w:t>
      </w:r>
      <w:r>
        <w:rPr>
          <w:color w:val="636466"/>
          <w:w w:val="105"/>
          <w:sz w:val="14"/>
        </w:rPr>
        <w:t>defined</w:t>
      </w:r>
      <w:r>
        <w:rPr>
          <w:color w:val="636466"/>
          <w:spacing w:val="-9"/>
          <w:w w:val="105"/>
          <w:sz w:val="14"/>
        </w:rPr>
        <w:t> </w:t>
      </w:r>
      <w:r>
        <w:rPr>
          <w:color w:val="636466"/>
          <w:w w:val="105"/>
          <w:sz w:val="14"/>
        </w:rPr>
        <w:t>as</w:t>
      </w:r>
      <w:r>
        <w:rPr>
          <w:color w:val="636466"/>
          <w:spacing w:val="-8"/>
          <w:w w:val="105"/>
          <w:sz w:val="14"/>
        </w:rPr>
        <w:t> </w:t>
      </w:r>
      <w:r>
        <w:rPr>
          <w:color w:val="636466"/>
          <w:w w:val="105"/>
          <w:sz w:val="14"/>
        </w:rPr>
        <w:t>impairment</w:t>
      </w:r>
      <w:r>
        <w:rPr>
          <w:color w:val="636466"/>
          <w:spacing w:val="-9"/>
          <w:w w:val="105"/>
          <w:sz w:val="14"/>
        </w:rPr>
        <w:t> </w:t>
      </w:r>
      <w:r>
        <w:rPr>
          <w:color w:val="636466"/>
          <w:w w:val="105"/>
          <w:sz w:val="14"/>
        </w:rPr>
        <w:t>to</w:t>
      </w:r>
      <w:r>
        <w:rPr>
          <w:color w:val="636466"/>
          <w:spacing w:val="-8"/>
          <w:w w:val="105"/>
          <w:sz w:val="14"/>
        </w:rPr>
        <w:t> </w:t>
      </w:r>
      <w:r>
        <w:rPr>
          <w:color w:val="636466"/>
          <w:w w:val="105"/>
          <w:sz w:val="14"/>
        </w:rPr>
        <w:t>body</w:t>
      </w:r>
      <w:r>
        <w:rPr>
          <w:color w:val="636466"/>
          <w:spacing w:val="-9"/>
          <w:w w:val="105"/>
          <w:sz w:val="14"/>
        </w:rPr>
        <w:t> </w:t>
      </w:r>
      <w:r>
        <w:rPr>
          <w:color w:val="636466"/>
          <w:w w:val="105"/>
          <w:sz w:val="14"/>
        </w:rPr>
        <w:t>structure</w:t>
      </w:r>
      <w:r>
        <w:rPr>
          <w:color w:val="636466"/>
          <w:spacing w:val="-8"/>
          <w:w w:val="105"/>
          <w:sz w:val="14"/>
        </w:rPr>
        <w:t> </w:t>
      </w:r>
      <w:r>
        <w:rPr>
          <w:color w:val="636466"/>
          <w:w w:val="105"/>
          <w:sz w:val="14"/>
        </w:rPr>
        <w:t>or</w:t>
      </w:r>
      <w:r>
        <w:rPr>
          <w:color w:val="636466"/>
          <w:spacing w:val="-9"/>
          <w:w w:val="105"/>
          <w:sz w:val="14"/>
        </w:rPr>
        <w:t> </w:t>
      </w:r>
      <w:r>
        <w:rPr>
          <w:color w:val="636466"/>
          <w:w w:val="105"/>
          <w:sz w:val="14"/>
        </w:rPr>
        <w:t>mental</w:t>
      </w:r>
      <w:r>
        <w:rPr>
          <w:color w:val="636466"/>
          <w:spacing w:val="-8"/>
          <w:w w:val="105"/>
          <w:sz w:val="14"/>
        </w:rPr>
        <w:t> </w:t>
      </w:r>
      <w:r>
        <w:rPr>
          <w:color w:val="636466"/>
          <w:w w:val="105"/>
          <w:sz w:val="14"/>
        </w:rPr>
        <w:t>functioning,</w:t>
      </w:r>
      <w:r>
        <w:rPr>
          <w:color w:val="636466"/>
          <w:spacing w:val="-9"/>
          <w:w w:val="105"/>
          <w:sz w:val="14"/>
        </w:rPr>
        <w:t> </w:t>
      </w:r>
      <w:r>
        <w:rPr>
          <w:color w:val="636466"/>
          <w:w w:val="105"/>
          <w:sz w:val="14"/>
        </w:rPr>
        <w:t>activity </w:t>
      </w:r>
      <w:r>
        <w:rPr>
          <w:color w:val="636466"/>
          <w:sz w:val="14"/>
        </w:rPr>
        <w:t>limitation such as difficulty hearing, moving or problem-solving, and participation restrictions in daily activities</w:t>
      </w:r>
    </w:p>
    <w:p>
      <w:pPr>
        <w:tabs>
          <w:tab w:pos="8942" w:val="left" w:leader="none"/>
        </w:tabs>
        <w:spacing w:line="159" w:lineRule="exact" w:before="0"/>
        <w:ind w:left="0" w:right="0" w:firstLine="0"/>
        <w:jc w:val="left"/>
        <w:rPr>
          <w:sz w:val="14"/>
        </w:rPr>
      </w:pPr>
      <w:r>
        <w:rPr>
          <w:color w:val="636466"/>
          <w:sz w:val="14"/>
        </w:rPr>
        <w:t>such</w:t>
      </w:r>
      <w:r>
        <w:rPr>
          <w:color w:val="636466"/>
          <w:spacing w:val="-2"/>
          <w:sz w:val="14"/>
        </w:rPr>
        <w:t> </w:t>
      </w:r>
      <w:r>
        <w:rPr>
          <w:color w:val="636466"/>
          <w:sz w:val="14"/>
        </w:rPr>
        <w:t>as</w:t>
      </w:r>
      <w:r>
        <w:rPr>
          <w:color w:val="636466"/>
          <w:spacing w:val="-2"/>
          <w:sz w:val="14"/>
        </w:rPr>
        <w:t> </w:t>
      </w:r>
      <w:r>
        <w:rPr>
          <w:color w:val="636466"/>
          <w:sz w:val="14"/>
        </w:rPr>
        <w:t>working,</w:t>
      </w:r>
      <w:r>
        <w:rPr>
          <w:color w:val="636466"/>
          <w:spacing w:val="-1"/>
          <w:sz w:val="14"/>
        </w:rPr>
        <w:t> </w:t>
      </w:r>
      <w:r>
        <w:rPr>
          <w:color w:val="636466"/>
          <w:sz w:val="14"/>
        </w:rPr>
        <w:t>engaging</w:t>
      </w:r>
      <w:r>
        <w:rPr>
          <w:color w:val="636466"/>
          <w:spacing w:val="-2"/>
          <w:sz w:val="14"/>
        </w:rPr>
        <w:t> </w:t>
      </w:r>
      <w:r>
        <w:rPr>
          <w:color w:val="636466"/>
          <w:sz w:val="14"/>
        </w:rPr>
        <w:t>in</w:t>
      </w:r>
      <w:r>
        <w:rPr>
          <w:color w:val="636466"/>
          <w:spacing w:val="-1"/>
          <w:sz w:val="14"/>
        </w:rPr>
        <w:t> </w:t>
      </w:r>
      <w:r>
        <w:rPr>
          <w:color w:val="636466"/>
          <w:sz w:val="14"/>
        </w:rPr>
        <w:t>social/recreational</w:t>
      </w:r>
      <w:r>
        <w:rPr>
          <w:color w:val="636466"/>
          <w:spacing w:val="-2"/>
          <w:sz w:val="14"/>
        </w:rPr>
        <w:t> </w:t>
      </w:r>
      <w:r>
        <w:rPr>
          <w:color w:val="636466"/>
          <w:sz w:val="14"/>
        </w:rPr>
        <w:t>activities</w:t>
      </w:r>
      <w:r>
        <w:rPr>
          <w:color w:val="636466"/>
          <w:spacing w:val="-1"/>
          <w:sz w:val="14"/>
        </w:rPr>
        <w:t> </w:t>
      </w:r>
      <w:r>
        <w:rPr>
          <w:color w:val="636466"/>
          <w:sz w:val="14"/>
        </w:rPr>
        <w:t>or</w:t>
      </w:r>
      <w:r>
        <w:rPr>
          <w:color w:val="636466"/>
          <w:spacing w:val="-2"/>
          <w:sz w:val="14"/>
        </w:rPr>
        <w:t> </w:t>
      </w:r>
      <w:r>
        <w:rPr>
          <w:color w:val="636466"/>
          <w:sz w:val="14"/>
        </w:rPr>
        <w:t>obtaining</w:t>
      </w:r>
      <w:r>
        <w:rPr>
          <w:color w:val="636466"/>
          <w:spacing w:val="-1"/>
          <w:sz w:val="14"/>
        </w:rPr>
        <w:t> </w:t>
      </w:r>
      <w:r>
        <w:rPr>
          <w:color w:val="636466"/>
          <w:sz w:val="14"/>
        </w:rPr>
        <w:t>healthcare</w:t>
      </w:r>
      <w:r>
        <w:rPr>
          <w:color w:val="636466"/>
          <w:spacing w:val="-2"/>
          <w:sz w:val="14"/>
        </w:rPr>
        <w:t> </w:t>
      </w:r>
      <w:r>
        <w:rPr>
          <w:color w:val="636466"/>
          <w:sz w:val="14"/>
        </w:rPr>
        <w:t>or</w:t>
      </w:r>
      <w:r>
        <w:rPr>
          <w:color w:val="636466"/>
          <w:spacing w:val="-2"/>
          <w:sz w:val="14"/>
        </w:rPr>
        <w:t> </w:t>
      </w:r>
      <w:r>
        <w:rPr>
          <w:color w:val="636466"/>
          <w:sz w:val="14"/>
        </w:rPr>
        <w:t>preventative</w:t>
      </w:r>
      <w:r>
        <w:rPr>
          <w:color w:val="636466"/>
          <w:spacing w:val="-1"/>
          <w:sz w:val="14"/>
        </w:rPr>
        <w:t> </w:t>
      </w:r>
      <w:r>
        <w:rPr>
          <w:color w:val="636466"/>
          <w:spacing w:val="-2"/>
          <w:sz w:val="14"/>
        </w:rPr>
        <w:t>services.</w:t>
      </w:r>
      <w:r>
        <w:rPr>
          <w:color w:val="636466"/>
          <w:sz w:val="14"/>
        </w:rPr>
        <w:tab/>
      </w:r>
      <w:r>
        <w:rPr>
          <w:color w:val="636466"/>
          <w:spacing w:val="-4"/>
          <w:sz w:val="14"/>
        </w:rPr>
        <w:t>48.</w:t>
      </w:r>
      <w:r>
        <w:rPr>
          <w:color w:val="636466"/>
          <w:spacing w:val="1"/>
          <w:sz w:val="14"/>
        </w:rPr>
        <w:t> </w:t>
      </w:r>
      <w:r>
        <w:rPr>
          <w:color w:val="636466"/>
          <w:spacing w:val="-4"/>
          <w:sz w:val="14"/>
        </w:rPr>
        <w:t>Source:</w:t>
      </w:r>
      <w:r>
        <w:rPr>
          <w:color w:val="636466"/>
          <w:spacing w:val="1"/>
          <w:sz w:val="14"/>
        </w:rPr>
        <w:t> </w:t>
      </w:r>
      <w:r>
        <w:rPr>
          <w:color w:val="636466"/>
          <w:spacing w:val="-4"/>
          <w:sz w:val="14"/>
        </w:rPr>
        <w:t>US</w:t>
      </w:r>
      <w:r>
        <w:rPr>
          <w:color w:val="636466"/>
          <w:spacing w:val="1"/>
          <w:sz w:val="14"/>
        </w:rPr>
        <w:t> </w:t>
      </w:r>
      <w:r>
        <w:rPr>
          <w:color w:val="636466"/>
          <w:spacing w:val="-4"/>
          <w:sz w:val="14"/>
        </w:rPr>
        <w:t>Census</w:t>
      </w:r>
      <w:r>
        <w:rPr>
          <w:color w:val="636466"/>
          <w:spacing w:val="1"/>
          <w:sz w:val="14"/>
        </w:rPr>
        <w:t> </w:t>
      </w:r>
      <w:r>
        <w:rPr>
          <w:color w:val="636466"/>
          <w:spacing w:val="-4"/>
          <w:sz w:val="14"/>
        </w:rPr>
        <w:t>Bureau</w:t>
      </w:r>
      <w:r>
        <w:rPr>
          <w:color w:val="636466"/>
          <w:spacing w:val="1"/>
          <w:sz w:val="14"/>
        </w:rPr>
        <w:t> </w:t>
      </w:r>
      <w:r>
        <w:rPr>
          <w:color w:val="636466"/>
          <w:spacing w:val="-4"/>
          <w:sz w:val="14"/>
        </w:rPr>
        <w:t>American</w:t>
      </w:r>
      <w:r>
        <w:rPr>
          <w:color w:val="636466"/>
          <w:spacing w:val="2"/>
          <w:sz w:val="14"/>
        </w:rPr>
        <w:t> </w:t>
      </w:r>
      <w:r>
        <w:rPr>
          <w:color w:val="636466"/>
          <w:spacing w:val="-4"/>
          <w:sz w:val="14"/>
        </w:rPr>
        <w:t>Community</w:t>
      </w:r>
      <w:r>
        <w:rPr>
          <w:color w:val="636466"/>
          <w:spacing w:val="1"/>
          <w:sz w:val="14"/>
        </w:rPr>
        <w:t> </w:t>
      </w:r>
      <w:r>
        <w:rPr>
          <w:color w:val="636466"/>
          <w:spacing w:val="-4"/>
          <w:sz w:val="14"/>
        </w:rPr>
        <w:t>Survey</w:t>
      </w:r>
      <w:r>
        <w:rPr>
          <w:color w:val="636466"/>
          <w:spacing w:val="1"/>
          <w:sz w:val="14"/>
        </w:rPr>
        <w:t> </w:t>
      </w:r>
      <w:r>
        <w:rPr>
          <w:color w:val="636466"/>
          <w:spacing w:val="-4"/>
          <w:sz w:val="14"/>
        </w:rPr>
        <w:t>2013-2017</w:t>
      </w:r>
      <w:r>
        <w:rPr>
          <w:color w:val="636466"/>
          <w:spacing w:val="1"/>
          <w:sz w:val="14"/>
        </w:rPr>
        <w:t> </w:t>
      </w:r>
      <w:r>
        <w:rPr>
          <w:color w:val="636466"/>
          <w:spacing w:val="-4"/>
          <w:sz w:val="14"/>
        </w:rPr>
        <w:t>5-Year</w:t>
      </w:r>
      <w:r>
        <w:rPr>
          <w:color w:val="636466"/>
          <w:spacing w:val="1"/>
          <w:sz w:val="14"/>
        </w:rPr>
        <w:t> </w:t>
      </w:r>
      <w:r>
        <w:rPr>
          <w:color w:val="636466"/>
          <w:spacing w:val="-4"/>
          <w:sz w:val="14"/>
        </w:rPr>
        <w:t>Estimates</w:t>
      </w:r>
    </w:p>
    <w:p>
      <w:pPr>
        <w:pStyle w:val="BodyText"/>
        <w:spacing w:before="47"/>
        <w:rPr>
          <w:sz w:val="26"/>
        </w:rPr>
      </w:pPr>
      <w:r>
        <w:rPr/>
        <w:br w:type="column"/>
      </w:r>
      <w:r>
        <w:rPr>
          <w:sz w:val="26"/>
        </w:rPr>
      </w:r>
    </w:p>
    <w:p>
      <w:pPr>
        <w:pStyle w:val="Heading6"/>
        <w:ind w:left="0"/>
      </w:pPr>
      <w:r>
        <w:rPr>
          <w:color w:val="939598"/>
          <w:spacing w:val="-5"/>
          <w:w w:val="105"/>
        </w:rPr>
        <w:t>104</w:t>
      </w:r>
    </w:p>
    <w:p>
      <w:pPr>
        <w:pStyle w:val="Heading6"/>
        <w:spacing w:after="0"/>
        <w:sectPr>
          <w:type w:val="continuous"/>
          <w:pgSz w:w="24480" w:h="15840" w:orient="landscape"/>
          <w:pgMar w:header="0" w:footer="0" w:top="0" w:bottom="280" w:left="0" w:right="720"/>
          <w:cols w:num="3" w:equalWidth="0">
            <w:col w:w="1352" w:space="3025"/>
            <w:col w:w="14351" w:space="4320"/>
            <w:col w:w="712"/>
          </w:cols>
        </w:sectPr>
      </w:pPr>
    </w:p>
    <w:p>
      <w:pPr>
        <w:pStyle w:val="BodyText"/>
        <w:rPr>
          <w:b/>
          <w:sz w:val="20"/>
        </w:rPr>
      </w:pPr>
    </w:p>
    <w:p>
      <w:pPr>
        <w:pStyle w:val="BodyText"/>
        <w:spacing w:before="16"/>
        <w:rPr>
          <w:b/>
          <w:sz w:val="20"/>
        </w:rPr>
      </w:pPr>
    </w:p>
    <w:p>
      <w:pPr>
        <w:pStyle w:val="BodyText"/>
        <w:spacing w:after="0"/>
        <w:rPr>
          <w:b/>
          <w:sz w:val="20"/>
        </w:rPr>
        <w:sectPr>
          <w:pgSz w:w="24480" w:h="15840" w:orient="landscape"/>
          <w:pgMar w:header="0" w:footer="0" w:top="860" w:bottom="0" w:left="0" w:right="720"/>
        </w:sectPr>
      </w:pPr>
    </w:p>
    <w:p>
      <w:pPr>
        <w:pStyle w:val="Heading6"/>
        <w:spacing w:before="116"/>
      </w:pPr>
      <w:r>
        <w:rPr>
          <w:color w:val="105C84"/>
        </w:rPr>
        <w:t>Main</w:t>
      </w:r>
      <w:r>
        <w:rPr>
          <w:color w:val="105C84"/>
          <w:spacing w:val="-7"/>
        </w:rPr>
        <w:t> </w:t>
      </w:r>
      <w:r>
        <w:rPr>
          <w:color w:val="105C84"/>
        </w:rPr>
        <w:t>Health</w:t>
      </w:r>
      <w:r>
        <w:rPr>
          <w:color w:val="105C84"/>
          <w:spacing w:val="-6"/>
        </w:rPr>
        <w:t> </w:t>
      </w:r>
      <w:r>
        <w:rPr>
          <w:color w:val="105C84"/>
          <w:spacing w:val="-2"/>
        </w:rPr>
        <w:t>Challenges</w:t>
      </w:r>
    </w:p>
    <w:p>
      <w:pPr>
        <w:pStyle w:val="BodyText"/>
        <w:spacing w:line="247" w:lineRule="auto" w:before="268"/>
        <w:ind w:left="1080" w:right="514"/>
      </w:pPr>
      <w:r>
        <w:rPr>
          <w:color w:val="105C84"/>
        </w:rPr>
        <w:t>On May 8, 2019, stakeholders and community members were invited to attend a priority setting meeting. At this meeting, participants (about 20 in total) reviewed the MAPP process, as well as relevant qualitative, quantitative, primary and secondary data. Data were reviewed from a variety</w:t>
      </w:r>
      <w:r>
        <w:rPr>
          <w:color w:val="105C84"/>
          <w:spacing w:val="40"/>
        </w:rPr>
        <w:t> </w:t>
      </w:r>
      <w:r>
        <w:rPr>
          <w:color w:val="105C84"/>
        </w:rPr>
        <w:t>of</w:t>
      </w:r>
      <w:r>
        <w:rPr>
          <w:color w:val="105C84"/>
          <w:spacing w:val="14"/>
        </w:rPr>
        <w:t> </w:t>
      </w:r>
      <w:r>
        <w:rPr>
          <w:color w:val="105C84"/>
        </w:rPr>
        <w:t>different</w:t>
      </w:r>
      <w:r>
        <w:rPr>
          <w:color w:val="105C84"/>
          <w:spacing w:val="15"/>
        </w:rPr>
        <w:t> </w:t>
      </w:r>
      <w:r>
        <w:rPr>
          <w:color w:val="105C84"/>
        </w:rPr>
        <w:t>sources</w:t>
      </w:r>
      <w:r>
        <w:rPr>
          <w:color w:val="105C84"/>
          <w:spacing w:val="14"/>
        </w:rPr>
        <w:t> </w:t>
      </w:r>
      <w:r>
        <w:rPr>
          <w:color w:val="105C84"/>
        </w:rPr>
        <w:t>including,</w:t>
      </w:r>
      <w:r>
        <w:rPr>
          <w:color w:val="105C84"/>
          <w:spacing w:val="15"/>
        </w:rPr>
        <w:t> </w:t>
      </w:r>
      <w:r>
        <w:rPr>
          <w:color w:val="105C84"/>
        </w:rPr>
        <w:t>but</w:t>
      </w:r>
      <w:r>
        <w:rPr>
          <w:color w:val="105C84"/>
          <w:spacing w:val="14"/>
        </w:rPr>
        <w:t> </w:t>
      </w:r>
      <w:r>
        <w:rPr>
          <w:color w:val="105C84"/>
        </w:rPr>
        <w:t>not</w:t>
      </w:r>
      <w:r>
        <w:rPr>
          <w:color w:val="105C84"/>
          <w:spacing w:val="15"/>
        </w:rPr>
        <w:t> </w:t>
      </w:r>
      <w:r>
        <w:rPr>
          <w:color w:val="105C84"/>
        </w:rPr>
        <w:t>limited</w:t>
      </w:r>
      <w:r>
        <w:rPr>
          <w:color w:val="105C84"/>
          <w:spacing w:val="15"/>
        </w:rPr>
        <w:t> </w:t>
      </w:r>
      <w:r>
        <w:rPr>
          <w:color w:val="105C84"/>
        </w:rPr>
        <w:t>to,</w:t>
      </w:r>
      <w:r>
        <w:rPr>
          <w:color w:val="105C84"/>
          <w:spacing w:val="14"/>
        </w:rPr>
        <w:t> </w:t>
      </w:r>
      <w:r>
        <w:rPr>
          <w:color w:val="105C84"/>
        </w:rPr>
        <w:t>the</w:t>
      </w:r>
      <w:r>
        <w:rPr>
          <w:color w:val="105C84"/>
          <w:spacing w:val="15"/>
        </w:rPr>
        <w:t> </w:t>
      </w:r>
      <w:r>
        <w:rPr>
          <w:color w:val="105C84"/>
        </w:rPr>
        <w:t>American</w:t>
      </w:r>
      <w:r>
        <w:rPr>
          <w:color w:val="105C84"/>
          <w:spacing w:val="14"/>
        </w:rPr>
        <w:t> </w:t>
      </w:r>
      <w:r>
        <w:rPr>
          <w:color w:val="105C84"/>
        </w:rPr>
        <w:t>Community</w:t>
      </w:r>
      <w:r>
        <w:rPr>
          <w:color w:val="105C84"/>
          <w:spacing w:val="15"/>
        </w:rPr>
        <w:t> </w:t>
      </w:r>
      <w:r>
        <w:rPr>
          <w:color w:val="105C84"/>
        </w:rPr>
        <w:t>Survey,</w:t>
      </w:r>
      <w:r>
        <w:rPr>
          <w:color w:val="105C84"/>
          <w:spacing w:val="15"/>
        </w:rPr>
        <w:t> </w:t>
      </w:r>
      <w:r>
        <w:rPr>
          <w:color w:val="105C84"/>
        </w:rPr>
        <w:t>the</w:t>
      </w:r>
      <w:r>
        <w:rPr>
          <w:color w:val="105C84"/>
          <w:spacing w:val="14"/>
        </w:rPr>
        <w:t> </w:t>
      </w:r>
      <w:r>
        <w:rPr>
          <w:color w:val="105C84"/>
          <w:spacing w:val="-2"/>
        </w:rPr>
        <w:t>enhanced</w:t>
      </w:r>
    </w:p>
    <w:p>
      <w:pPr>
        <w:pStyle w:val="BodyText"/>
        <w:spacing w:line="247" w:lineRule="auto"/>
        <w:ind w:left="1080"/>
      </w:pPr>
      <w:r>
        <w:rPr>
          <w:color w:val="105C84"/>
        </w:rPr>
        <w:t>Behavioral Risk Factor Surveillance System, Vital Statistics, communicable disease and dental reports and primary data collected from the </w:t>
      </w:r>
      <w:r>
        <w:rPr>
          <w:i/>
          <w:color w:val="105C84"/>
        </w:rPr>
        <w:t>My Health Story 2018 </w:t>
      </w:r>
      <w:r>
        <w:rPr>
          <w:color w:val="105C84"/>
        </w:rPr>
        <w:t>Survey. Ultimately, using the Hanlon and PEARL methods, the group selected the following as their priority areas and disparities for the 2019-2021 Community Health Improvement Plan:</w:t>
      </w:r>
    </w:p>
    <w:p>
      <w:pPr>
        <w:pStyle w:val="BodyText"/>
        <w:spacing w:before="15"/>
      </w:pPr>
    </w:p>
    <w:p>
      <w:pPr>
        <w:pStyle w:val="Heading5"/>
      </w:pPr>
      <w:r>
        <w:rPr>
          <w:color w:val="32BCAA"/>
          <w:spacing w:val="2"/>
        </w:rPr>
        <w:t>PREVENT</w:t>
      </w:r>
      <w:r>
        <w:rPr>
          <w:color w:val="32BCAA"/>
          <w:spacing w:val="35"/>
        </w:rPr>
        <w:t> </w:t>
      </w:r>
      <w:r>
        <w:rPr>
          <w:color w:val="32BCAA"/>
          <w:spacing w:val="2"/>
        </w:rPr>
        <w:t>CHRONIC</w:t>
      </w:r>
      <w:r>
        <w:rPr>
          <w:color w:val="32BCAA"/>
          <w:spacing w:val="51"/>
        </w:rPr>
        <w:t> </w:t>
      </w:r>
      <w:r>
        <w:rPr>
          <w:color w:val="32BCAA"/>
          <w:spacing w:val="-2"/>
        </w:rPr>
        <w:t>DISEASES</w:t>
      </w:r>
    </w:p>
    <w:p>
      <w:pPr>
        <w:pStyle w:val="ListParagraph"/>
        <w:numPr>
          <w:ilvl w:val="0"/>
          <w:numId w:val="36"/>
        </w:numPr>
        <w:tabs>
          <w:tab w:pos="1519" w:val="left" w:leader="none"/>
        </w:tabs>
        <w:spacing w:line="240" w:lineRule="auto" w:before="86" w:after="0"/>
        <w:ind w:left="1519" w:right="0" w:hanging="239"/>
        <w:jc w:val="left"/>
        <w:rPr>
          <w:sz w:val="22"/>
        </w:rPr>
      </w:pPr>
      <w:r>
        <w:rPr>
          <w:color w:val="105C84"/>
          <w:sz w:val="22"/>
        </w:rPr>
        <w:t>Chronic</w:t>
      </w:r>
      <w:r>
        <w:rPr>
          <w:color w:val="105C84"/>
          <w:spacing w:val="-7"/>
          <w:sz w:val="22"/>
        </w:rPr>
        <w:t> </w:t>
      </w:r>
      <w:r>
        <w:rPr>
          <w:color w:val="105C84"/>
          <w:sz w:val="22"/>
        </w:rPr>
        <w:t>Disease</w:t>
      </w:r>
      <w:r>
        <w:rPr>
          <w:color w:val="105C84"/>
          <w:spacing w:val="-6"/>
          <w:sz w:val="22"/>
        </w:rPr>
        <w:t> </w:t>
      </w:r>
      <w:r>
        <w:rPr>
          <w:color w:val="105C84"/>
          <w:sz w:val="22"/>
        </w:rPr>
        <w:t>Preventative</w:t>
      </w:r>
      <w:r>
        <w:rPr>
          <w:color w:val="105C84"/>
          <w:spacing w:val="-6"/>
          <w:sz w:val="22"/>
        </w:rPr>
        <w:t> </w:t>
      </w:r>
      <w:r>
        <w:rPr>
          <w:color w:val="105C84"/>
          <w:sz w:val="22"/>
        </w:rPr>
        <w:t>Care</w:t>
      </w:r>
      <w:r>
        <w:rPr>
          <w:color w:val="105C84"/>
          <w:spacing w:val="-6"/>
          <w:sz w:val="22"/>
        </w:rPr>
        <w:t> </w:t>
      </w:r>
      <w:r>
        <w:rPr>
          <w:color w:val="105C84"/>
          <w:sz w:val="22"/>
        </w:rPr>
        <w:t>and</w:t>
      </w:r>
      <w:r>
        <w:rPr>
          <w:color w:val="105C84"/>
          <w:spacing w:val="-6"/>
          <w:sz w:val="22"/>
        </w:rPr>
        <w:t> </w:t>
      </w:r>
      <w:r>
        <w:rPr>
          <w:color w:val="105C84"/>
          <w:spacing w:val="-2"/>
          <w:sz w:val="22"/>
        </w:rPr>
        <w:t>Management</w:t>
      </w:r>
    </w:p>
    <w:p>
      <w:pPr>
        <w:pStyle w:val="BodyText"/>
        <w:spacing w:before="26"/>
      </w:pPr>
    </w:p>
    <w:p>
      <w:pPr>
        <w:pStyle w:val="Heading5"/>
      </w:pPr>
      <w:r>
        <w:rPr>
          <w:color w:val="32BCAA"/>
        </w:rPr>
        <w:t>PROMOTE</w:t>
      </w:r>
      <w:r>
        <w:rPr>
          <w:color w:val="32BCAA"/>
          <w:spacing w:val="52"/>
        </w:rPr>
        <w:t> </w:t>
      </w:r>
      <w:r>
        <w:rPr>
          <w:color w:val="32BCAA"/>
        </w:rPr>
        <w:t>MENTAL</w:t>
      </w:r>
      <w:r>
        <w:rPr>
          <w:color w:val="32BCAA"/>
          <w:spacing w:val="53"/>
        </w:rPr>
        <w:t> </w:t>
      </w:r>
      <w:r>
        <w:rPr>
          <w:color w:val="32BCAA"/>
        </w:rPr>
        <w:t>WELL-BEING</w:t>
      </w:r>
      <w:r>
        <w:rPr>
          <w:color w:val="32BCAA"/>
          <w:spacing w:val="52"/>
        </w:rPr>
        <w:t> </w:t>
      </w:r>
      <w:r>
        <w:rPr>
          <w:color w:val="32BCAA"/>
        </w:rPr>
        <w:t>AND</w:t>
      </w:r>
      <w:r>
        <w:rPr>
          <w:color w:val="32BCAA"/>
          <w:spacing w:val="53"/>
        </w:rPr>
        <w:t> </w:t>
      </w:r>
      <w:r>
        <w:rPr>
          <w:color w:val="32BCAA"/>
        </w:rPr>
        <w:t>PREVENT</w:t>
      </w:r>
      <w:r>
        <w:rPr>
          <w:color w:val="32BCAA"/>
          <w:spacing w:val="37"/>
        </w:rPr>
        <w:t> </w:t>
      </w:r>
      <w:r>
        <w:rPr>
          <w:color w:val="32BCAA"/>
        </w:rPr>
        <w:t>SUBSTANCE</w:t>
      </w:r>
      <w:r>
        <w:rPr>
          <w:color w:val="32BCAA"/>
          <w:spacing w:val="53"/>
        </w:rPr>
        <w:t> </w:t>
      </w:r>
      <w:r>
        <w:rPr>
          <w:color w:val="32BCAA"/>
        </w:rPr>
        <w:t>USE</w:t>
      </w:r>
      <w:r>
        <w:rPr>
          <w:color w:val="32BCAA"/>
          <w:spacing w:val="52"/>
        </w:rPr>
        <w:t> </w:t>
      </w:r>
      <w:r>
        <w:rPr>
          <w:color w:val="32BCAA"/>
          <w:spacing w:val="-2"/>
        </w:rPr>
        <w:t>DISORDERS</w:t>
      </w:r>
    </w:p>
    <w:p>
      <w:pPr>
        <w:pStyle w:val="ListParagraph"/>
        <w:numPr>
          <w:ilvl w:val="0"/>
          <w:numId w:val="36"/>
        </w:numPr>
        <w:tabs>
          <w:tab w:pos="1519" w:val="left" w:leader="none"/>
        </w:tabs>
        <w:spacing w:line="240" w:lineRule="auto" w:before="86" w:after="0"/>
        <w:ind w:left="1519" w:right="0" w:hanging="239"/>
        <w:jc w:val="left"/>
        <w:rPr>
          <w:sz w:val="22"/>
        </w:rPr>
      </w:pPr>
      <w:r>
        <w:rPr>
          <w:color w:val="105C84"/>
          <w:sz w:val="22"/>
        </w:rPr>
        <w:t>Mental</w:t>
      </w:r>
      <w:r>
        <w:rPr>
          <w:color w:val="105C84"/>
          <w:spacing w:val="1"/>
          <w:sz w:val="22"/>
        </w:rPr>
        <w:t> </w:t>
      </w:r>
      <w:r>
        <w:rPr>
          <w:color w:val="105C84"/>
          <w:sz w:val="22"/>
        </w:rPr>
        <w:t>and</w:t>
      </w:r>
      <w:r>
        <w:rPr>
          <w:color w:val="105C84"/>
          <w:spacing w:val="1"/>
          <w:sz w:val="22"/>
        </w:rPr>
        <w:t> </w:t>
      </w:r>
      <w:r>
        <w:rPr>
          <w:color w:val="105C84"/>
          <w:sz w:val="22"/>
        </w:rPr>
        <w:t>Substance</w:t>
      </w:r>
      <w:r>
        <w:rPr>
          <w:color w:val="105C84"/>
          <w:spacing w:val="1"/>
          <w:sz w:val="22"/>
        </w:rPr>
        <w:t> </w:t>
      </w:r>
      <w:r>
        <w:rPr>
          <w:color w:val="105C84"/>
          <w:sz w:val="22"/>
        </w:rPr>
        <w:t>Use</w:t>
      </w:r>
      <w:r>
        <w:rPr>
          <w:color w:val="105C84"/>
          <w:spacing w:val="2"/>
          <w:sz w:val="22"/>
        </w:rPr>
        <w:t> </w:t>
      </w:r>
      <w:r>
        <w:rPr>
          <w:color w:val="105C84"/>
          <w:sz w:val="22"/>
        </w:rPr>
        <w:t>Disorders</w:t>
      </w:r>
      <w:r>
        <w:rPr>
          <w:color w:val="105C84"/>
          <w:spacing w:val="1"/>
          <w:sz w:val="22"/>
        </w:rPr>
        <w:t> </w:t>
      </w:r>
      <w:r>
        <w:rPr>
          <w:color w:val="105C84"/>
          <w:spacing w:val="-2"/>
          <w:sz w:val="22"/>
        </w:rPr>
        <w:t>Prevention</w:t>
      </w:r>
    </w:p>
    <w:p>
      <w:pPr>
        <w:pStyle w:val="BodyText"/>
        <w:spacing w:before="26"/>
      </w:pPr>
    </w:p>
    <w:p>
      <w:pPr>
        <w:pStyle w:val="Heading5"/>
      </w:pPr>
      <w:r>
        <w:rPr>
          <w:color w:val="32BCAA"/>
        </w:rPr>
        <w:t>DISPARITY:</w:t>
      </w:r>
      <w:r>
        <w:rPr>
          <w:color w:val="32BCAA"/>
          <w:spacing w:val="36"/>
        </w:rPr>
        <w:t> </w:t>
      </w:r>
      <w:r>
        <w:rPr>
          <w:color w:val="32BCAA"/>
        </w:rPr>
        <w:t>LOW</w:t>
      </w:r>
      <w:r>
        <w:rPr>
          <w:color w:val="32BCAA"/>
          <w:spacing w:val="45"/>
        </w:rPr>
        <w:t> </w:t>
      </w:r>
      <w:r>
        <w:rPr>
          <w:color w:val="32BCAA"/>
        </w:rPr>
        <w:t>INCOME</w:t>
      </w:r>
      <w:r>
        <w:rPr>
          <w:color w:val="32BCAA"/>
          <w:spacing w:val="36"/>
        </w:rPr>
        <w:t> </w:t>
      </w:r>
      <w:r>
        <w:rPr>
          <w:color w:val="32BCAA"/>
        </w:rPr>
        <w:t>(CHRONIC</w:t>
      </w:r>
      <w:r>
        <w:rPr>
          <w:color w:val="32BCAA"/>
          <w:spacing w:val="45"/>
        </w:rPr>
        <w:t> </w:t>
      </w:r>
      <w:r>
        <w:rPr>
          <w:color w:val="32BCAA"/>
          <w:spacing w:val="-2"/>
        </w:rPr>
        <w:t>DISEASE)</w:t>
      </w:r>
    </w:p>
    <w:p>
      <w:pPr>
        <w:pStyle w:val="BodyText"/>
        <w:spacing w:line="247" w:lineRule="auto" w:before="86"/>
        <w:ind w:left="1079" w:right="39"/>
      </w:pPr>
      <w:r>
        <w:rPr>
          <w:color w:val="105C84"/>
        </w:rPr>
        <w:t>Lively group discussions took place regarding the potential priority areas. In addition to the group’s</w:t>
      </w:r>
      <w:r>
        <w:rPr>
          <w:color w:val="105C84"/>
          <w:spacing w:val="80"/>
        </w:rPr>
        <w:t> </w:t>
      </w:r>
      <w:r>
        <w:rPr>
          <w:color w:val="105C84"/>
        </w:rPr>
        <w:t>thoughts, </w:t>
      </w:r>
      <w:r>
        <w:rPr>
          <w:i/>
          <w:color w:val="105C84"/>
        </w:rPr>
        <w:t>My Health Story 2018 </w:t>
      </w:r>
      <w:r>
        <w:rPr>
          <w:color w:val="105C84"/>
        </w:rPr>
        <w:t>respondents were also asked questions relating to their top concerns for the health of themselves, loved ones, adults and children in the community (and were reviewed</w:t>
      </w:r>
    </w:p>
    <w:p>
      <w:pPr>
        <w:pStyle w:val="BodyText"/>
        <w:spacing w:line="247" w:lineRule="auto"/>
        <w:ind w:left="1079" w:right="161"/>
      </w:pPr>
      <w:r>
        <w:rPr>
          <w:color w:val="105C84"/>
          <w:w w:val="105"/>
        </w:rPr>
        <w:t>at the meeting). Weight and mental/emotional health issues rose to the top for three of the four categories.</w:t>
      </w:r>
      <w:r>
        <w:rPr>
          <w:color w:val="105C84"/>
          <w:spacing w:val="-6"/>
          <w:w w:val="105"/>
        </w:rPr>
        <w:t> </w:t>
      </w:r>
      <w:r>
        <w:rPr>
          <w:color w:val="105C84"/>
          <w:w w:val="105"/>
        </w:rPr>
        <w:t>Of</w:t>
      </w:r>
      <w:r>
        <w:rPr>
          <w:color w:val="105C84"/>
          <w:spacing w:val="-6"/>
          <w:w w:val="105"/>
        </w:rPr>
        <w:t> </w:t>
      </w:r>
      <w:r>
        <w:rPr>
          <w:color w:val="105C84"/>
          <w:w w:val="105"/>
        </w:rPr>
        <w:t>note,</w:t>
      </w:r>
      <w:r>
        <w:rPr>
          <w:color w:val="105C84"/>
          <w:spacing w:val="-6"/>
          <w:w w:val="105"/>
        </w:rPr>
        <w:t> </w:t>
      </w:r>
      <w:r>
        <w:rPr>
          <w:color w:val="105C84"/>
          <w:w w:val="105"/>
        </w:rPr>
        <w:t>substance</w:t>
      </w:r>
      <w:r>
        <w:rPr>
          <w:color w:val="105C84"/>
          <w:spacing w:val="-6"/>
          <w:w w:val="105"/>
        </w:rPr>
        <w:t> </w:t>
      </w:r>
      <w:r>
        <w:rPr>
          <w:color w:val="105C84"/>
          <w:w w:val="105"/>
        </w:rPr>
        <w:t>use</w:t>
      </w:r>
      <w:r>
        <w:rPr>
          <w:color w:val="105C84"/>
          <w:spacing w:val="-6"/>
          <w:w w:val="105"/>
        </w:rPr>
        <w:t> </w:t>
      </w:r>
      <w:r>
        <w:rPr>
          <w:color w:val="105C84"/>
          <w:w w:val="105"/>
        </w:rPr>
        <w:t>and</w:t>
      </w:r>
      <w:r>
        <w:rPr>
          <w:color w:val="105C84"/>
          <w:spacing w:val="-6"/>
          <w:w w:val="105"/>
        </w:rPr>
        <w:t> </w:t>
      </w:r>
      <w:r>
        <w:rPr>
          <w:color w:val="105C84"/>
          <w:w w:val="105"/>
        </w:rPr>
        <w:t>obesity</w:t>
      </w:r>
      <w:r>
        <w:rPr>
          <w:color w:val="105C84"/>
          <w:spacing w:val="-6"/>
          <w:w w:val="105"/>
        </w:rPr>
        <w:t> </w:t>
      </w:r>
      <w:r>
        <w:rPr>
          <w:color w:val="105C84"/>
          <w:w w:val="105"/>
        </w:rPr>
        <w:t>indicators</w:t>
      </w:r>
      <w:r>
        <w:rPr>
          <w:color w:val="105C84"/>
          <w:spacing w:val="-6"/>
          <w:w w:val="105"/>
        </w:rPr>
        <w:t> </w:t>
      </w:r>
      <w:r>
        <w:rPr>
          <w:color w:val="105C84"/>
          <w:w w:val="105"/>
        </w:rPr>
        <w:t>including</w:t>
      </w:r>
      <w:r>
        <w:rPr>
          <w:color w:val="105C84"/>
          <w:spacing w:val="-6"/>
          <w:w w:val="105"/>
        </w:rPr>
        <w:t> </w:t>
      </w:r>
      <w:r>
        <w:rPr>
          <w:color w:val="105C84"/>
          <w:w w:val="105"/>
        </w:rPr>
        <w:t>exercise,</w:t>
      </w:r>
      <w:r>
        <w:rPr>
          <w:color w:val="105C84"/>
          <w:spacing w:val="-6"/>
          <w:w w:val="105"/>
        </w:rPr>
        <w:t> </w:t>
      </w:r>
      <w:r>
        <w:rPr>
          <w:color w:val="105C84"/>
          <w:w w:val="105"/>
        </w:rPr>
        <w:t>weight,</w:t>
      </w:r>
      <w:r>
        <w:rPr>
          <w:color w:val="105C84"/>
          <w:spacing w:val="-6"/>
          <w:w w:val="105"/>
        </w:rPr>
        <w:t> </w:t>
      </w:r>
      <w:r>
        <w:rPr>
          <w:color w:val="105C84"/>
          <w:w w:val="105"/>
        </w:rPr>
        <w:t>diet</w:t>
      </w:r>
      <w:r>
        <w:rPr>
          <w:color w:val="105C84"/>
          <w:spacing w:val="-6"/>
          <w:w w:val="105"/>
        </w:rPr>
        <w:t> </w:t>
      </w:r>
      <w:r>
        <w:rPr>
          <w:color w:val="105C84"/>
          <w:w w:val="105"/>
        </w:rPr>
        <w:t>and </w:t>
      </w:r>
      <w:r>
        <w:rPr>
          <w:color w:val="105C84"/>
        </w:rPr>
        <w:t>nutrition, are concerns for children in the county. Similar items were found among concerns for adults</w:t>
      </w:r>
      <w:r>
        <w:rPr>
          <w:color w:val="105C84"/>
          <w:spacing w:val="40"/>
          <w:w w:val="105"/>
        </w:rPr>
        <w:t> </w:t>
      </w:r>
      <w:r>
        <w:rPr>
          <w:color w:val="105C84"/>
          <w:w w:val="105"/>
        </w:rPr>
        <w:t>in the county.</w:t>
      </w:r>
    </w:p>
    <w:p>
      <w:pPr>
        <w:pStyle w:val="BodyText"/>
        <w:spacing w:before="16"/>
      </w:pPr>
    </w:p>
    <w:p>
      <w:pPr>
        <w:pStyle w:val="Heading6"/>
      </w:pPr>
      <w:r>
        <w:rPr>
          <w:color w:val="105C84"/>
          <w:spacing w:val="-4"/>
        </w:rPr>
        <w:t>FIGURE</w:t>
      </w:r>
      <w:r>
        <w:rPr>
          <w:color w:val="105C84"/>
          <w:spacing w:val="-9"/>
        </w:rPr>
        <w:t> </w:t>
      </w:r>
      <w:r>
        <w:rPr>
          <w:color w:val="105C84"/>
          <w:spacing w:val="-4"/>
        </w:rPr>
        <w:t>51:</w:t>
      </w:r>
      <w:r>
        <w:rPr>
          <w:color w:val="105C84"/>
          <w:spacing w:val="-9"/>
        </w:rPr>
        <w:t> </w:t>
      </w:r>
      <w:r>
        <w:rPr>
          <w:color w:val="105C84"/>
          <w:spacing w:val="-4"/>
        </w:rPr>
        <w:t>Yates</w:t>
      </w:r>
      <w:r>
        <w:rPr>
          <w:color w:val="105C84"/>
          <w:spacing w:val="-9"/>
        </w:rPr>
        <w:t> </w:t>
      </w:r>
      <w:r>
        <w:rPr>
          <w:color w:val="105C84"/>
          <w:spacing w:val="-4"/>
        </w:rPr>
        <w:t>County</w:t>
      </w:r>
      <w:r>
        <w:rPr>
          <w:color w:val="105C84"/>
          <w:spacing w:val="-9"/>
        </w:rPr>
        <w:t> </w:t>
      </w:r>
      <w:r>
        <w:rPr>
          <w:color w:val="105C84"/>
          <w:spacing w:val="-4"/>
        </w:rPr>
        <w:t>summary</w:t>
      </w:r>
      <w:r>
        <w:rPr>
          <w:color w:val="105C84"/>
          <w:spacing w:val="-9"/>
        </w:rPr>
        <w:t> </w:t>
      </w:r>
      <w:r>
        <w:rPr>
          <w:color w:val="105C84"/>
          <w:spacing w:val="-4"/>
        </w:rPr>
        <w:t>of</w:t>
      </w:r>
      <w:r>
        <w:rPr>
          <w:color w:val="105C84"/>
          <w:spacing w:val="-9"/>
        </w:rPr>
        <w:t> </w:t>
      </w:r>
      <w:r>
        <w:rPr>
          <w:color w:val="105C84"/>
          <w:spacing w:val="-4"/>
        </w:rPr>
        <w:t>health-related</w:t>
      </w:r>
      <w:r>
        <w:rPr>
          <w:color w:val="105C84"/>
          <w:spacing w:val="-9"/>
        </w:rPr>
        <w:t> </w:t>
      </w:r>
      <w:r>
        <w:rPr>
          <w:color w:val="105C84"/>
          <w:spacing w:val="-4"/>
        </w:rPr>
        <w:t>concerns</w:t>
      </w:r>
      <w:r>
        <w:rPr>
          <w:color w:val="105C84"/>
          <w:spacing w:val="-9"/>
        </w:rPr>
        <w:t> </w:t>
      </w:r>
      <w:r>
        <w:rPr>
          <w:color w:val="105C84"/>
          <w:spacing w:val="-4"/>
        </w:rPr>
        <w:t>for</w:t>
      </w:r>
      <w:r>
        <w:rPr>
          <w:color w:val="105C84"/>
          <w:spacing w:val="-9"/>
        </w:rPr>
        <w:t> </w:t>
      </w:r>
      <w:r>
        <w:rPr>
          <w:color w:val="105C84"/>
          <w:spacing w:val="-4"/>
        </w:rPr>
        <w:t>self,</w:t>
      </w:r>
      <w:r>
        <w:rPr>
          <w:color w:val="105C84"/>
          <w:spacing w:val="-9"/>
        </w:rPr>
        <w:t> </w:t>
      </w:r>
      <w:r>
        <w:rPr>
          <w:color w:val="105C84"/>
          <w:spacing w:val="-4"/>
        </w:rPr>
        <w:t>loved</w:t>
      </w:r>
      <w:r>
        <w:rPr>
          <w:color w:val="105C84"/>
          <w:spacing w:val="-9"/>
        </w:rPr>
        <w:t> </w:t>
      </w:r>
      <w:r>
        <w:rPr>
          <w:color w:val="105C84"/>
          <w:spacing w:val="-4"/>
        </w:rPr>
        <w:t>ones </w:t>
      </w:r>
      <w:r>
        <w:rPr>
          <w:color w:val="105C84"/>
        </w:rPr>
        <w:t>and county to prioritize</w:t>
      </w:r>
    </w:p>
    <w:p>
      <w:pPr>
        <w:pStyle w:val="Heading6"/>
        <w:spacing w:before="116"/>
      </w:pPr>
      <w:r>
        <w:rPr>
          <w:b w:val="0"/>
        </w:rPr>
        <w:br w:type="column"/>
      </w:r>
      <w:r>
        <w:rPr>
          <w:color w:val="105C84"/>
          <w:spacing w:val="-8"/>
        </w:rPr>
        <w:t>Behavioral Risk Factors</w:t>
      </w:r>
    </w:p>
    <w:p>
      <w:pPr>
        <w:pStyle w:val="BodyText"/>
        <w:spacing w:line="247" w:lineRule="auto" w:before="268"/>
        <w:ind w:left="1080" w:right="472"/>
      </w:pPr>
      <w:r>
        <w:rPr>
          <w:color w:val="105C84"/>
        </w:rPr>
        <w:t>It is estimated that approximately one in three adults in Yates County are obese. Obesity affects an estimated 5,500 adults and 170 children. Long-term health complications associated with obesity include increased risk for development of diabetes, hypertension, and premature mortality due to</w:t>
      </w:r>
      <w:r>
        <w:rPr>
          <w:color w:val="105C84"/>
          <w:spacing w:val="80"/>
        </w:rPr>
        <w:t> </w:t>
      </w:r>
      <w:r>
        <w:rPr>
          <w:color w:val="105C84"/>
        </w:rPr>
        <w:t>related conditions.</w:t>
      </w:r>
    </w:p>
    <w:p>
      <w:pPr>
        <w:pStyle w:val="BodyText"/>
        <w:spacing w:line="247" w:lineRule="auto" w:before="178"/>
        <w:ind w:left="1080" w:right="222"/>
      </w:pPr>
      <w:r>
        <w:rPr>
          <w:color w:val="105C84"/>
        </w:rPr>
        <w:t>Roughly 34%</w:t>
      </w:r>
      <w:r>
        <w:rPr>
          <w:color w:val="105C84"/>
          <w:position w:val="7"/>
          <w:sz w:val="13"/>
        </w:rPr>
        <w:t>49</w:t>
      </w:r>
      <w:r>
        <w:rPr>
          <w:color w:val="105C84"/>
          <w:spacing w:val="38"/>
          <w:position w:val="7"/>
          <w:sz w:val="13"/>
        </w:rPr>
        <w:t> </w:t>
      </w:r>
      <w:r>
        <w:rPr>
          <w:color w:val="105C84"/>
        </w:rPr>
        <w:t>of adults have been diagnosed with hypertension in the county, 82%</w:t>
      </w:r>
      <w:r>
        <w:rPr>
          <w:color w:val="105C84"/>
          <w:position w:val="7"/>
          <w:sz w:val="13"/>
        </w:rPr>
        <w:t>50</w:t>
      </w:r>
      <w:r>
        <w:rPr>
          <w:color w:val="105C84"/>
          <w:spacing w:val="38"/>
          <w:position w:val="7"/>
          <w:sz w:val="13"/>
        </w:rPr>
        <w:t> </w:t>
      </w:r>
      <w:r>
        <w:rPr>
          <w:color w:val="105C84"/>
        </w:rPr>
        <w:t>of whom are in control of their blood pressure. This control rate varies by income (Figure 52). Reducing the disparity requires</w:t>
      </w:r>
      <w:r>
        <w:rPr>
          <w:color w:val="105C84"/>
          <w:spacing w:val="34"/>
        </w:rPr>
        <w:t> </w:t>
      </w:r>
      <w:r>
        <w:rPr>
          <w:color w:val="105C84"/>
        </w:rPr>
        <w:t>engaging</w:t>
      </w:r>
      <w:r>
        <w:rPr>
          <w:color w:val="105C84"/>
          <w:spacing w:val="34"/>
        </w:rPr>
        <w:t> </w:t>
      </w:r>
      <w:r>
        <w:rPr>
          <w:color w:val="105C84"/>
        </w:rPr>
        <w:t>patients</w:t>
      </w:r>
      <w:r>
        <w:rPr>
          <w:color w:val="105C84"/>
          <w:spacing w:val="34"/>
        </w:rPr>
        <w:t> </w:t>
      </w:r>
      <w:r>
        <w:rPr>
          <w:color w:val="105C84"/>
        </w:rPr>
        <w:t>in</w:t>
      </w:r>
      <w:r>
        <w:rPr>
          <w:color w:val="105C84"/>
          <w:spacing w:val="34"/>
        </w:rPr>
        <w:t> </w:t>
      </w:r>
      <w:r>
        <w:rPr>
          <w:color w:val="105C84"/>
        </w:rPr>
        <w:t>taking</w:t>
      </w:r>
      <w:r>
        <w:rPr>
          <w:color w:val="105C84"/>
          <w:spacing w:val="34"/>
        </w:rPr>
        <w:t> </w:t>
      </w:r>
      <w:r>
        <w:rPr>
          <w:color w:val="105C84"/>
        </w:rPr>
        <w:t>control</w:t>
      </w:r>
      <w:r>
        <w:rPr>
          <w:color w:val="105C84"/>
          <w:spacing w:val="34"/>
        </w:rPr>
        <w:t> </w:t>
      </w:r>
      <w:r>
        <w:rPr>
          <w:color w:val="105C84"/>
        </w:rPr>
        <w:t>of</w:t>
      </w:r>
      <w:r>
        <w:rPr>
          <w:color w:val="105C84"/>
          <w:spacing w:val="34"/>
        </w:rPr>
        <w:t> </w:t>
      </w:r>
      <w:r>
        <w:rPr>
          <w:color w:val="105C84"/>
        </w:rPr>
        <w:t>their</w:t>
      </w:r>
      <w:r>
        <w:rPr>
          <w:color w:val="105C84"/>
          <w:spacing w:val="34"/>
        </w:rPr>
        <w:t> </w:t>
      </w:r>
      <w:r>
        <w:rPr>
          <w:color w:val="105C84"/>
        </w:rPr>
        <w:t>blood</w:t>
      </w:r>
      <w:r>
        <w:rPr>
          <w:color w:val="105C84"/>
          <w:spacing w:val="34"/>
        </w:rPr>
        <w:t> </w:t>
      </w:r>
      <w:r>
        <w:rPr>
          <w:color w:val="105C84"/>
        </w:rPr>
        <w:t>pressure</w:t>
      </w:r>
      <w:r>
        <w:rPr>
          <w:color w:val="105C84"/>
          <w:spacing w:val="34"/>
        </w:rPr>
        <w:t> </w:t>
      </w:r>
      <w:r>
        <w:rPr>
          <w:color w:val="105C84"/>
        </w:rPr>
        <w:t>through</w:t>
      </w:r>
      <w:r>
        <w:rPr>
          <w:color w:val="105C84"/>
          <w:spacing w:val="34"/>
        </w:rPr>
        <w:t> </w:t>
      </w:r>
      <w:r>
        <w:rPr>
          <w:color w:val="105C84"/>
        </w:rPr>
        <w:t>various</w:t>
      </w:r>
      <w:r>
        <w:rPr>
          <w:color w:val="105C84"/>
          <w:spacing w:val="34"/>
        </w:rPr>
        <w:t> </w:t>
      </w:r>
      <w:r>
        <w:rPr>
          <w:color w:val="105C84"/>
        </w:rPr>
        <w:t>methods:</w:t>
      </w:r>
      <w:r>
        <w:rPr>
          <w:color w:val="105C84"/>
          <w:spacing w:val="34"/>
        </w:rPr>
        <w:t> </w:t>
      </w:r>
      <w:r>
        <w:rPr>
          <w:color w:val="105C84"/>
        </w:rPr>
        <w:t>blood pressure medication adherence, promotion of physical activity, healthy eating, and more. Low income patients</w:t>
      </w:r>
      <w:r>
        <w:rPr>
          <w:color w:val="105C84"/>
          <w:spacing w:val="27"/>
        </w:rPr>
        <w:t> </w:t>
      </w:r>
      <w:r>
        <w:rPr>
          <w:color w:val="105C84"/>
        </w:rPr>
        <w:t>are</w:t>
      </w:r>
      <w:r>
        <w:rPr>
          <w:color w:val="105C84"/>
          <w:spacing w:val="27"/>
        </w:rPr>
        <w:t> </w:t>
      </w:r>
      <w:r>
        <w:rPr>
          <w:color w:val="105C84"/>
        </w:rPr>
        <w:t>often</w:t>
      </w:r>
      <w:r>
        <w:rPr>
          <w:color w:val="105C84"/>
          <w:spacing w:val="27"/>
        </w:rPr>
        <w:t> </w:t>
      </w:r>
      <w:r>
        <w:rPr>
          <w:color w:val="105C84"/>
        </w:rPr>
        <w:t>less</w:t>
      </w:r>
      <w:r>
        <w:rPr>
          <w:color w:val="105C84"/>
          <w:spacing w:val="27"/>
        </w:rPr>
        <w:t> </w:t>
      </w:r>
      <w:r>
        <w:rPr>
          <w:color w:val="105C84"/>
        </w:rPr>
        <w:t>likely</w:t>
      </w:r>
      <w:r>
        <w:rPr>
          <w:color w:val="105C84"/>
          <w:spacing w:val="27"/>
        </w:rPr>
        <w:t> </w:t>
      </w:r>
      <w:r>
        <w:rPr>
          <w:color w:val="105C84"/>
        </w:rPr>
        <w:t>to</w:t>
      </w:r>
      <w:r>
        <w:rPr>
          <w:color w:val="105C84"/>
          <w:spacing w:val="27"/>
        </w:rPr>
        <w:t> </w:t>
      </w:r>
      <w:r>
        <w:rPr>
          <w:color w:val="105C84"/>
        </w:rPr>
        <w:t>be</w:t>
      </w:r>
      <w:r>
        <w:rPr>
          <w:color w:val="105C84"/>
          <w:spacing w:val="27"/>
        </w:rPr>
        <w:t> </w:t>
      </w:r>
      <w:r>
        <w:rPr>
          <w:color w:val="105C84"/>
        </w:rPr>
        <w:t>able</w:t>
      </w:r>
      <w:r>
        <w:rPr>
          <w:color w:val="105C84"/>
          <w:spacing w:val="27"/>
        </w:rPr>
        <w:t> </w:t>
      </w:r>
      <w:r>
        <w:rPr>
          <w:color w:val="105C84"/>
        </w:rPr>
        <w:t>to</w:t>
      </w:r>
      <w:r>
        <w:rPr>
          <w:color w:val="105C84"/>
          <w:spacing w:val="27"/>
        </w:rPr>
        <w:t> </w:t>
      </w:r>
      <w:r>
        <w:rPr>
          <w:color w:val="105C84"/>
        </w:rPr>
        <w:t>afford</w:t>
      </w:r>
      <w:r>
        <w:rPr>
          <w:color w:val="105C84"/>
          <w:spacing w:val="27"/>
        </w:rPr>
        <w:t> </w:t>
      </w:r>
      <w:r>
        <w:rPr>
          <w:color w:val="105C84"/>
        </w:rPr>
        <w:t>medications,</w:t>
      </w:r>
      <w:r>
        <w:rPr>
          <w:color w:val="105C84"/>
          <w:spacing w:val="27"/>
        </w:rPr>
        <w:t> </w:t>
      </w:r>
      <w:r>
        <w:rPr>
          <w:color w:val="105C84"/>
        </w:rPr>
        <w:t>and</w:t>
      </w:r>
      <w:r>
        <w:rPr>
          <w:color w:val="105C84"/>
          <w:spacing w:val="27"/>
        </w:rPr>
        <w:t> </w:t>
      </w:r>
      <w:r>
        <w:rPr>
          <w:color w:val="105C84"/>
        </w:rPr>
        <w:t>it</w:t>
      </w:r>
      <w:r>
        <w:rPr>
          <w:color w:val="105C84"/>
          <w:spacing w:val="27"/>
        </w:rPr>
        <w:t> </w:t>
      </w:r>
      <w:r>
        <w:rPr>
          <w:color w:val="105C84"/>
        </w:rPr>
        <w:t>is</w:t>
      </w:r>
      <w:r>
        <w:rPr>
          <w:color w:val="105C84"/>
          <w:spacing w:val="27"/>
        </w:rPr>
        <w:t> </w:t>
      </w:r>
      <w:r>
        <w:rPr>
          <w:color w:val="105C84"/>
        </w:rPr>
        <w:t>therefore</w:t>
      </w:r>
      <w:r>
        <w:rPr>
          <w:color w:val="105C84"/>
          <w:spacing w:val="27"/>
        </w:rPr>
        <w:t> </w:t>
      </w:r>
      <w:r>
        <w:rPr>
          <w:color w:val="105C84"/>
        </w:rPr>
        <w:t>important</w:t>
      </w:r>
      <w:r>
        <w:rPr>
          <w:color w:val="105C84"/>
          <w:spacing w:val="27"/>
        </w:rPr>
        <w:t> </w:t>
      </w:r>
      <w:r>
        <w:rPr>
          <w:color w:val="105C84"/>
        </w:rPr>
        <w:t>to</w:t>
      </w:r>
      <w:r>
        <w:rPr>
          <w:color w:val="105C84"/>
          <w:spacing w:val="27"/>
        </w:rPr>
        <w:t> </w:t>
      </w:r>
      <w:r>
        <w:rPr>
          <w:color w:val="105C84"/>
        </w:rPr>
        <w:t>work with providers to prescribe generic medications that are less expensive and accepted by insurance </w:t>
      </w:r>
      <w:r>
        <w:rPr>
          <w:color w:val="105C84"/>
          <w:spacing w:val="-2"/>
        </w:rPr>
        <w:t>companies.</w:t>
      </w:r>
    </w:p>
    <w:p>
      <w:pPr>
        <w:pStyle w:val="BodyText"/>
        <w:spacing w:before="15"/>
      </w:pPr>
    </w:p>
    <w:p>
      <w:pPr>
        <w:pStyle w:val="Heading6"/>
        <w:spacing w:before="1"/>
      </w:pPr>
      <w:r>
        <w:rPr>
          <w:color w:val="105C84"/>
          <w:spacing w:val="-4"/>
        </w:rPr>
        <w:t>Figure</w:t>
      </w:r>
      <w:r>
        <w:rPr>
          <w:color w:val="105C84"/>
          <w:spacing w:val="-13"/>
        </w:rPr>
        <w:t> </w:t>
      </w:r>
      <w:r>
        <w:rPr>
          <w:color w:val="105C84"/>
          <w:spacing w:val="-4"/>
        </w:rPr>
        <w:t>52:</w:t>
      </w:r>
      <w:r>
        <w:rPr>
          <w:color w:val="105C84"/>
          <w:spacing w:val="-12"/>
        </w:rPr>
        <w:t> </w:t>
      </w:r>
      <w:r>
        <w:rPr>
          <w:color w:val="105C84"/>
          <w:spacing w:val="-4"/>
        </w:rPr>
        <w:t>Yates</w:t>
      </w:r>
      <w:r>
        <w:rPr>
          <w:color w:val="105C84"/>
          <w:spacing w:val="-12"/>
        </w:rPr>
        <w:t> </w:t>
      </w:r>
      <w:r>
        <w:rPr>
          <w:color w:val="105C84"/>
          <w:spacing w:val="-4"/>
        </w:rPr>
        <w:t>County</w:t>
      </w:r>
      <w:r>
        <w:rPr>
          <w:color w:val="105C84"/>
          <w:spacing w:val="-12"/>
        </w:rPr>
        <w:t> </w:t>
      </w:r>
      <w:r>
        <w:rPr>
          <w:color w:val="105C84"/>
          <w:spacing w:val="-4"/>
        </w:rPr>
        <w:t>control</w:t>
      </w:r>
      <w:r>
        <w:rPr>
          <w:color w:val="105C84"/>
          <w:spacing w:val="-12"/>
        </w:rPr>
        <w:t> </w:t>
      </w:r>
      <w:r>
        <w:rPr>
          <w:color w:val="105C84"/>
          <w:spacing w:val="-4"/>
        </w:rPr>
        <w:t>rate</w:t>
      </w:r>
      <w:r>
        <w:rPr>
          <w:color w:val="105C84"/>
          <w:spacing w:val="-13"/>
        </w:rPr>
        <w:t> </w:t>
      </w:r>
      <w:r>
        <w:rPr>
          <w:color w:val="105C84"/>
          <w:spacing w:val="-4"/>
        </w:rPr>
        <w:t>by</w:t>
      </w:r>
      <w:r>
        <w:rPr>
          <w:color w:val="105C84"/>
          <w:spacing w:val="-12"/>
        </w:rPr>
        <w:t> </w:t>
      </w:r>
      <w:r>
        <w:rPr>
          <w:color w:val="105C84"/>
          <w:spacing w:val="-4"/>
        </w:rPr>
        <w:t>socioeconomic</w:t>
      </w:r>
      <w:r>
        <w:rPr>
          <w:color w:val="105C84"/>
          <w:spacing w:val="-12"/>
        </w:rPr>
        <w:t> </w:t>
      </w:r>
      <w:r>
        <w:rPr>
          <w:color w:val="105C84"/>
          <w:spacing w:val="-4"/>
        </w:rPr>
        <w:t>status</w:t>
      </w:r>
      <w:r>
        <w:rPr>
          <w:color w:val="105C84"/>
          <w:spacing w:val="-12"/>
        </w:rPr>
        <w:t> </w:t>
      </w:r>
      <w:r>
        <w:rPr>
          <w:color w:val="105C84"/>
          <w:spacing w:val="-4"/>
        </w:rPr>
        <w:t>over</w:t>
      </w:r>
      <w:r>
        <w:rPr>
          <w:color w:val="105C84"/>
          <w:spacing w:val="-12"/>
        </w:rPr>
        <w:t> </w:t>
      </w:r>
      <w:r>
        <w:rPr>
          <w:color w:val="105C84"/>
          <w:spacing w:val="-4"/>
        </w:rPr>
        <w:t>time</w:t>
      </w:r>
    </w:p>
    <w:p>
      <w:pPr>
        <w:pStyle w:val="BodyText"/>
        <w:spacing w:before="215"/>
        <w:ind w:right="9563"/>
        <w:jc w:val="right"/>
      </w:pPr>
      <w:r>
        <w:rPr/>
        <mc:AlternateContent>
          <mc:Choice Requires="wps">
            <w:drawing>
              <wp:anchor distT="0" distB="0" distL="0" distR="0" allowOverlap="1" layoutInCell="1" locked="0" behindDoc="0" simplePos="0" relativeHeight="15901696">
                <wp:simplePos x="0" y="0"/>
                <wp:positionH relativeFrom="page">
                  <wp:posOffset>9063118</wp:posOffset>
                </wp:positionH>
                <wp:positionV relativeFrom="paragraph">
                  <wp:posOffset>181301</wp:posOffset>
                </wp:positionV>
                <wp:extent cx="3211195" cy="2285365"/>
                <wp:effectExtent l="0" t="0" r="0" b="0"/>
                <wp:wrapNone/>
                <wp:docPr id="1630" name="Group 1630"/>
                <wp:cNvGraphicFramePr>
                  <a:graphicFrameLocks/>
                </wp:cNvGraphicFramePr>
                <a:graphic>
                  <a:graphicData uri="http://schemas.microsoft.com/office/word/2010/wordprocessingGroup">
                    <wpg:wgp>
                      <wpg:cNvPr id="1630" name="Group 1630"/>
                      <wpg:cNvGrpSpPr/>
                      <wpg:grpSpPr>
                        <a:xfrm>
                          <a:off x="0" y="0"/>
                          <a:ext cx="3211195" cy="2285365"/>
                          <a:chExt cx="3211195" cy="2285365"/>
                        </a:xfrm>
                      </wpg:grpSpPr>
                      <wps:wsp>
                        <wps:cNvPr id="1631" name="Graphic 1631"/>
                        <wps:cNvSpPr/>
                        <wps:spPr>
                          <a:xfrm>
                            <a:off x="3568" y="3568"/>
                            <a:ext cx="3204210" cy="2277745"/>
                          </a:xfrm>
                          <a:custGeom>
                            <a:avLst/>
                            <a:gdLst/>
                            <a:ahLst/>
                            <a:cxnLst/>
                            <a:rect l="l" t="t" r="r" b="b"/>
                            <a:pathLst>
                              <a:path w="3204210" h="2277745">
                                <a:moveTo>
                                  <a:pt x="3203994" y="2277668"/>
                                </a:moveTo>
                                <a:lnTo>
                                  <a:pt x="0" y="2277668"/>
                                </a:lnTo>
                                <a:lnTo>
                                  <a:pt x="0" y="0"/>
                                </a:lnTo>
                              </a:path>
                            </a:pathLst>
                          </a:custGeom>
                          <a:ln w="7137">
                            <a:solidFill>
                              <a:srgbClr val="939598"/>
                            </a:solidFill>
                            <a:prstDash val="solid"/>
                          </a:ln>
                        </wps:spPr>
                        <wps:bodyPr wrap="square" lIns="0" tIns="0" rIns="0" bIns="0" rtlCol="0">
                          <a:prstTxWarp prst="textNoShape">
                            <a:avLst/>
                          </a:prstTxWarp>
                          <a:noAutofit/>
                        </wps:bodyPr>
                      </wps:wsp>
                      <wps:wsp>
                        <wps:cNvPr id="1632" name="Graphic 1632"/>
                        <wps:cNvSpPr/>
                        <wps:spPr>
                          <a:xfrm>
                            <a:off x="2211255" y="1733365"/>
                            <a:ext cx="67310" cy="67310"/>
                          </a:xfrm>
                          <a:custGeom>
                            <a:avLst/>
                            <a:gdLst/>
                            <a:ahLst/>
                            <a:cxnLst/>
                            <a:rect l="l" t="t" r="r" b="b"/>
                            <a:pathLst>
                              <a:path w="67310" h="67310">
                                <a:moveTo>
                                  <a:pt x="66700" y="0"/>
                                </a:moveTo>
                                <a:lnTo>
                                  <a:pt x="0" y="0"/>
                                </a:lnTo>
                                <a:lnTo>
                                  <a:pt x="0" y="66687"/>
                                </a:lnTo>
                                <a:lnTo>
                                  <a:pt x="66700" y="66687"/>
                                </a:lnTo>
                                <a:lnTo>
                                  <a:pt x="66700" y="0"/>
                                </a:lnTo>
                                <a:close/>
                              </a:path>
                            </a:pathLst>
                          </a:custGeom>
                          <a:solidFill>
                            <a:srgbClr val="105B83"/>
                          </a:solidFill>
                        </wps:spPr>
                        <wps:bodyPr wrap="square" lIns="0" tIns="0" rIns="0" bIns="0" rtlCol="0">
                          <a:prstTxWarp prst="textNoShape">
                            <a:avLst/>
                          </a:prstTxWarp>
                          <a:noAutofit/>
                        </wps:bodyPr>
                      </wps:wsp>
                      <wps:wsp>
                        <wps:cNvPr id="1633" name="Graphic 1633"/>
                        <wps:cNvSpPr/>
                        <wps:spPr>
                          <a:xfrm>
                            <a:off x="2211255" y="1904904"/>
                            <a:ext cx="67310" cy="67310"/>
                          </a:xfrm>
                          <a:custGeom>
                            <a:avLst/>
                            <a:gdLst/>
                            <a:ahLst/>
                            <a:cxnLst/>
                            <a:rect l="l" t="t" r="r" b="b"/>
                            <a:pathLst>
                              <a:path w="67310" h="67310">
                                <a:moveTo>
                                  <a:pt x="66700" y="0"/>
                                </a:moveTo>
                                <a:lnTo>
                                  <a:pt x="0" y="0"/>
                                </a:lnTo>
                                <a:lnTo>
                                  <a:pt x="0" y="66700"/>
                                </a:lnTo>
                                <a:lnTo>
                                  <a:pt x="66700" y="66700"/>
                                </a:lnTo>
                                <a:lnTo>
                                  <a:pt x="66700" y="0"/>
                                </a:lnTo>
                                <a:close/>
                              </a:path>
                            </a:pathLst>
                          </a:custGeom>
                          <a:solidFill>
                            <a:srgbClr val="939598"/>
                          </a:solidFill>
                        </wps:spPr>
                        <wps:bodyPr wrap="square" lIns="0" tIns="0" rIns="0" bIns="0" rtlCol="0">
                          <a:prstTxWarp prst="textNoShape">
                            <a:avLst/>
                          </a:prstTxWarp>
                          <a:noAutofit/>
                        </wps:bodyPr>
                      </wps:wsp>
                      <wps:wsp>
                        <wps:cNvPr id="1634" name="Graphic 1634"/>
                        <wps:cNvSpPr/>
                        <wps:spPr>
                          <a:xfrm>
                            <a:off x="2211255" y="2063108"/>
                            <a:ext cx="67310" cy="67310"/>
                          </a:xfrm>
                          <a:custGeom>
                            <a:avLst/>
                            <a:gdLst/>
                            <a:ahLst/>
                            <a:cxnLst/>
                            <a:rect l="l" t="t" r="r" b="b"/>
                            <a:pathLst>
                              <a:path w="67310" h="67310">
                                <a:moveTo>
                                  <a:pt x="66700" y="0"/>
                                </a:moveTo>
                                <a:lnTo>
                                  <a:pt x="0" y="0"/>
                                </a:lnTo>
                                <a:lnTo>
                                  <a:pt x="0" y="66700"/>
                                </a:lnTo>
                                <a:lnTo>
                                  <a:pt x="66700" y="66700"/>
                                </a:lnTo>
                                <a:lnTo>
                                  <a:pt x="66700" y="0"/>
                                </a:lnTo>
                                <a:close/>
                              </a:path>
                            </a:pathLst>
                          </a:custGeom>
                          <a:solidFill>
                            <a:srgbClr val="81BF6A"/>
                          </a:solidFill>
                        </wps:spPr>
                        <wps:bodyPr wrap="square" lIns="0" tIns="0" rIns="0" bIns="0" rtlCol="0">
                          <a:prstTxWarp prst="textNoShape">
                            <a:avLst/>
                          </a:prstTxWarp>
                          <a:noAutofit/>
                        </wps:bodyPr>
                      </wps:wsp>
                      <wps:wsp>
                        <wps:cNvPr id="1635" name="Graphic 1635"/>
                        <wps:cNvSpPr/>
                        <wps:spPr>
                          <a:xfrm>
                            <a:off x="456679" y="358884"/>
                            <a:ext cx="2158365" cy="110489"/>
                          </a:xfrm>
                          <a:custGeom>
                            <a:avLst/>
                            <a:gdLst/>
                            <a:ahLst/>
                            <a:cxnLst/>
                            <a:rect l="l" t="t" r="r" b="b"/>
                            <a:pathLst>
                              <a:path w="2158365" h="110489">
                                <a:moveTo>
                                  <a:pt x="0" y="110147"/>
                                </a:moveTo>
                                <a:lnTo>
                                  <a:pt x="1074432" y="105422"/>
                                </a:lnTo>
                                <a:lnTo>
                                  <a:pt x="2158022" y="0"/>
                                </a:lnTo>
                              </a:path>
                            </a:pathLst>
                          </a:custGeom>
                          <a:ln w="15532">
                            <a:solidFill>
                              <a:srgbClr val="81BF6A"/>
                            </a:solidFill>
                            <a:prstDash val="solid"/>
                          </a:ln>
                        </wps:spPr>
                        <wps:bodyPr wrap="square" lIns="0" tIns="0" rIns="0" bIns="0" rtlCol="0">
                          <a:prstTxWarp prst="textNoShape">
                            <a:avLst/>
                          </a:prstTxWarp>
                          <a:noAutofit/>
                        </wps:bodyPr>
                      </wps:wsp>
                      <wps:wsp>
                        <wps:cNvPr id="1636" name="Graphic 1636"/>
                        <wps:cNvSpPr/>
                        <wps:spPr>
                          <a:xfrm>
                            <a:off x="441129" y="344811"/>
                            <a:ext cx="2186305" cy="140335"/>
                          </a:xfrm>
                          <a:custGeom>
                            <a:avLst/>
                            <a:gdLst/>
                            <a:ahLst/>
                            <a:cxnLst/>
                            <a:rect l="l" t="t" r="r" b="b"/>
                            <a:pathLst>
                              <a:path w="2186305" h="140335">
                                <a:moveTo>
                                  <a:pt x="31076" y="115658"/>
                                </a:moveTo>
                                <a:lnTo>
                                  <a:pt x="24130" y="108699"/>
                                </a:lnTo>
                                <a:lnTo>
                                  <a:pt x="6959" y="108699"/>
                                </a:lnTo>
                                <a:lnTo>
                                  <a:pt x="0" y="115658"/>
                                </a:lnTo>
                                <a:lnTo>
                                  <a:pt x="0" y="132816"/>
                                </a:lnTo>
                                <a:lnTo>
                                  <a:pt x="6959" y="139776"/>
                                </a:lnTo>
                                <a:lnTo>
                                  <a:pt x="24130" y="139776"/>
                                </a:lnTo>
                                <a:lnTo>
                                  <a:pt x="31076" y="132816"/>
                                </a:lnTo>
                                <a:lnTo>
                                  <a:pt x="31076" y="124231"/>
                                </a:lnTo>
                                <a:lnTo>
                                  <a:pt x="31076" y="115658"/>
                                </a:lnTo>
                                <a:close/>
                              </a:path>
                              <a:path w="2186305" h="140335">
                                <a:moveTo>
                                  <a:pt x="1111605" y="93243"/>
                                </a:moveTo>
                                <a:lnTo>
                                  <a:pt x="1104658" y="86283"/>
                                </a:lnTo>
                                <a:lnTo>
                                  <a:pt x="1087488" y="86283"/>
                                </a:lnTo>
                                <a:lnTo>
                                  <a:pt x="1080528" y="93243"/>
                                </a:lnTo>
                                <a:lnTo>
                                  <a:pt x="1080528" y="110401"/>
                                </a:lnTo>
                                <a:lnTo>
                                  <a:pt x="1087488" y="117360"/>
                                </a:lnTo>
                                <a:lnTo>
                                  <a:pt x="1104658" y="117360"/>
                                </a:lnTo>
                                <a:lnTo>
                                  <a:pt x="1111605" y="110401"/>
                                </a:lnTo>
                                <a:lnTo>
                                  <a:pt x="1111605" y="101828"/>
                                </a:lnTo>
                                <a:lnTo>
                                  <a:pt x="1111605" y="93243"/>
                                </a:lnTo>
                                <a:close/>
                              </a:path>
                              <a:path w="2186305" h="140335">
                                <a:moveTo>
                                  <a:pt x="2185987" y="6959"/>
                                </a:moveTo>
                                <a:lnTo>
                                  <a:pt x="2179028" y="0"/>
                                </a:lnTo>
                                <a:lnTo>
                                  <a:pt x="2161870" y="0"/>
                                </a:lnTo>
                                <a:lnTo>
                                  <a:pt x="2154910" y="6959"/>
                                </a:lnTo>
                                <a:lnTo>
                                  <a:pt x="2154910" y="24117"/>
                                </a:lnTo>
                                <a:lnTo>
                                  <a:pt x="2161870" y="31076"/>
                                </a:lnTo>
                                <a:lnTo>
                                  <a:pt x="2179028" y="31076"/>
                                </a:lnTo>
                                <a:lnTo>
                                  <a:pt x="2185987" y="24117"/>
                                </a:lnTo>
                                <a:lnTo>
                                  <a:pt x="2185987" y="15532"/>
                                </a:lnTo>
                                <a:lnTo>
                                  <a:pt x="2185987" y="6959"/>
                                </a:lnTo>
                                <a:close/>
                              </a:path>
                            </a:pathLst>
                          </a:custGeom>
                          <a:solidFill>
                            <a:srgbClr val="81BF6A"/>
                          </a:solidFill>
                        </wps:spPr>
                        <wps:bodyPr wrap="square" lIns="0" tIns="0" rIns="0" bIns="0" rtlCol="0">
                          <a:prstTxWarp prst="textNoShape">
                            <a:avLst/>
                          </a:prstTxWarp>
                          <a:noAutofit/>
                        </wps:bodyPr>
                      </wps:wsp>
                      <wps:wsp>
                        <wps:cNvPr id="1637" name="Graphic 1637"/>
                        <wps:cNvSpPr/>
                        <wps:spPr>
                          <a:xfrm>
                            <a:off x="456679" y="383974"/>
                            <a:ext cx="2154555" cy="57150"/>
                          </a:xfrm>
                          <a:custGeom>
                            <a:avLst/>
                            <a:gdLst/>
                            <a:ahLst/>
                            <a:cxnLst/>
                            <a:rect l="l" t="t" r="r" b="b"/>
                            <a:pathLst>
                              <a:path w="2154555" h="57150">
                                <a:moveTo>
                                  <a:pt x="0" y="56705"/>
                                </a:moveTo>
                                <a:lnTo>
                                  <a:pt x="1079004" y="23634"/>
                                </a:lnTo>
                                <a:lnTo>
                                  <a:pt x="2154491" y="0"/>
                                </a:lnTo>
                              </a:path>
                            </a:pathLst>
                          </a:custGeom>
                          <a:ln w="15532">
                            <a:solidFill>
                              <a:srgbClr val="939598"/>
                            </a:solidFill>
                            <a:prstDash val="solid"/>
                          </a:ln>
                        </wps:spPr>
                        <wps:bodyPr wrap="square" lIns="0" tIns="0" rIns="0" bIns="0" rtlCol="0">
                          <a:prstTxWarp prst="textNoShape">
                            <a:avLst/>
                          </a:prstTxWarp>
                          <a:noAutofit/>
                        </wps:bodyPr>
                      </wps:wsp>
                      <wps:wsp>
                        <wps:cNvPr id="1638" name="Graphic 1638"/>
                        <wps:cNvSpPr/>
                        <wps:spPr>
                          <a:xfrm>
                            <a:off x="441129" y="371798"/>
                            <a:ext cx="2185670" cy="107314"/>
                          </a:xfrm>
                          <a:custGeom>
                            <a:avLst/>
                            <a:gdLst/>
                            <a:ahLst/>
                            <a:cxnLst/>
                            <a:rect l="l" t="t" r="r" b="b"/>
                            <a:pathLst>
                              <a:path w="2185670" h="107314">
                                <a:moveTo>
                                  <a:pt x="31076" y="56934"/>
                                </a:moveTo>
                                <a:lnTo>
                                  <a:pt x="24130" y="49974"/>
                                </a:lnTo>
                                <a:lnTo>
                                  <a:pt x="6959" y="49974"/>
                                </a:lnTo>
                                <a:lnTo>
                                  <a:pt x="0" y="56934"/>
                                </a:lnTo>
                                <a:lnTo>
                                  <a:pt x="0" y="74104"/>
                                </a:lnTo>
                                <a:lnTo>
                                  <a:pt x="6959" y="81051"/>
                                </a:lnTo>
                                <a:lnTo>
                                  <a:pt x="24130" y="81051"/>
                                </a:lnTo>
                                <a:lnTo>
                                  <a:pt x="31076" y="74104"/>
                                </a:lnTo>
                                <a:lnTo>
                                  <a:pt x="31076" y="65519"/>
                                </a:lnTo>
                                <a:lnTo>
                                  <a:pt x="31076" y="56934"/>
                                </a:lnTo>
                                <a:close/>
                              </a:path>
                              <a:path w="2185670" h="107314">
                                <a:moveTo>
                                  <a:pt x="1111605" y="82562"/>
                                </a:moveTo>
                                <a:lnTo>
                                  <a:pt x="1104658" y="75603"/>
                                </a:lnTo>
                                <a:lnTo>
                                  <a:pt x="1087488" y="75603"/>
                                </a:lnTo>
                                <a:lnTo>
                                  <a:pt x="1080528" y="82562"/>
                                </a:lnTo>
                                <a:lnTo>
                                  <a:pt x="1080528" y="99733"/>
                                </a:lnTo>
                                <a:lnTo>
                                  <a:pt x="1087488" y="106692"/>
                                </a:lnTo>
                                <a:lnTo>
                                  <a:pt x="1104658" y="106692"/>
                                </a:lnTo>
                                <a:lnTo>
                                  <a:pt x="1111605" y="99733"/>
                                </a:lnTo>
                                <a:lnTo>
                                  <a:pt x="1111605" y="91147"/>
                                </a:lnTo>
                                <a:lnTo>
                                  <a:pt x="1111605" y="82562"/>
                                </a:lnTo>
                                <a:close/>
                              </a:path>
                              <a:path w="2185670" h="107314">
                                <a:moveTo>
                                  <a:pt x="2185581" y="6959"/>
                                </a:moveTo>
                                <a:lnTo>
                                  <a:pt x="2178621" y="0"/>
                                </a:lnTo>
                                <a:lnTo>
                                  <a:pt x="2161463" y="0"/>
                                </a:lnTo>
                                <a:lnTo>
                                  <a:pt x="2154504" y="6959"/>
                                </a:lnTo>
                                <a:lnTo>
                                  <a:pt x="2154504" y="24130"/>
                                </a:lnTo>
                                <a:lnTo>
                                  <a:pt x="2161463" y="31089"/>
                                </a:lnTo>
                                <a:lnTo>
                                  <a:pt x="2178621" y="31089"/>
                                </a:lnTo>
                                <a:lnTo>
                                  <a:pt x="2185581" y="24130"/>
                                </a:lnTo>
                                <a:lnTo>
                                  <a:pt x="2185581" y="15544"/>
                                </a:lnTo>
                                <a:lnTo>
                                  <a:pt x="2185581" y="6959"/>
                                </a:lnTo>
                                <a:close/>
                              </a:path>
                            </a:pathLst>
                          </a:custGeom>
                          <a:solidFill>
                            <a:srgbClr val="939598"/>
                          </a:solidFill>
                        </wps:spPr>
                        <wps:bodyPr wrap="square" lIns="0" tIns="0" rIns="0" bIns="0" rtlCol="0">
                          <a:prstTxWarp prst="textNoShape">
                            <a:avLst/>
                          </a:prstTxWarp>
                          <a:noAutofit/>
                        </wps:bodyPr>
                      </wps:wsp>
                      <wps:wsp>
                        <wps:cNvPr id="1639" name="Graphic 1639"/>
                        <wps:cNvSpPr/>
                        <wps:spPr>
                          <a:xfrm>
                            <a:off x="456679" y="360342"/>
                            <a:ext cx="2151380" cy="245745"/>
                          </a:xfrm>
                          <a:custGeom>
                            <a:avLst/>
                            <a:gdLst/>
                            <a:ahLst/>
                            <a:cxnLst/>
                            <a:rect l="l" t="t" r="r" b="b"/>
                            <a:pathLst>
                              <a:path w="2151380" h="245745">
                                <a:moveTo>
                                  <a:pt x="0" y="0"/>
                                </a:moveTo>
                                <a:lnTo>
                                  <a:pt x="1080528" y="245732"/>
                                </a:lnTo>
                                <a:lnTo>
                                  <a:pt x="2150948" y="132321"/>
                                </a:lnTo>
                              </a:path>
                            </a:pathLst>
                          </a:custGeom>
                          <a:ln w="15532">
                            <a:solidFill>
                              <a:srgbClr val="115C85"/>
                            </a:solidFill>
                            <a:prstDash val="solid"/>
                          </a:ln>
                        </wps:spPr>
                        <wps:bodyPr wrap="square" lIns="0" tIns="0" rIns="0" bIns="0" rtlCol="0">
                          <a:prstTxWarp prst="textNoShape">
                            <a:avLst/>
                          </a:prstTxWarp>
                          <a:noAutofit/>
                        </wps:bodyPr>
                      </wps:wsp>
                      <wps:wsp>
                        <wps:cNvPr id="1640" name="Graphic 1640"/>
                        <wps:cNvSpPr/>
                        <wps:spPr>
                          <a:xfrm>
                            <a:off x="441129" y="344811"/>
                            <a:ext cx="2184400" cy="276860"/>
                          </a:xfrm>
                          <a:custGeom>
                            <a:avLst/>
                            <a:gdLst/>
                            <a:ahLst/>
                            <a:cxnLst/>
                            <a:rect l="l" t="t" r="r" b="b"/>
                            <a:pathLst>
                              <a:path w="2184400" h="276860">
                                <a:moveTo>
                                  <a:pt x="31076" y="6959"/>
                                </a:moveTo>
                                <a:lnTo>
                                  <a:pt x="24130" y="0"/>
                                </a:lnTo>
                                <a:lnTo>
                                  <a:pt x="6959" y="0"/>
                                </a:lnTo>
                                <a:lnTo>
                                  <a:pt x="0" y="6959"/>
                                </a:lnTo>
                                <a:lnTo>
                                  <a:pt x="0" y="24117"/>
                                </a:lnTo>
                                <a:lnTo>
                                  <a:pt x="6959" y="31076"/>
                                </a:lnTo>
                                <a:lnTo>
                                  <a:pt x="24130" y="31076"/>
                                </a:lnTo>
                                <a:lnTo>
                                  <a:pt x="31076" y="24117"/>
                                </a:lnTo>
                                <a:lnTo>
                                  <a:pt x="31076" y="15532"/>
                                </a:lnTo>
                                <a:lnTo>
                                  <a:pt x="31076" y="6959"/>
                                </a:lnTo>
                                <a:close/>
                              </a:path>
                              <a:path w="2184400" h="276860">
                                <a:moveTo>
                                  <a:pt x="1111605" y="252691"/>
                                </a:moveTo>
                                <a:lnTo>
                                  <a:pt x="1104658" y="245732"/>
                                </a:lnTo>
                                <a:lnTo>
                                  <a:pt x="1087488" y="245732"/>
                                </a:lnTo>
                                <a:lnTo>
                                  <a:pt x="1080528" y="252691"/>
                                </a:lnTo>
                                <a:lnTo>
                                  <a:pt x="1080528" y="269862"/>
                                </a:lnTo>
                                <a:lnTo>
                                  <a:pt x="1087488" y="276809"/>
                                </a:lnTo>
                                <a:lnTo>
                                  <a:pt x="1104658" y="276809"/>
                                </a:lnTo>
                                <a:lnTo>
                                  <a:pt x="1111605" y="269862"/>
                                </a:lnTo>
                                <a:lnTo>
                                  <a:pt x="1111605" y="261277"/>
                                </a:lnTo>
                                <a:lnTo>
                                  <a:pt x="1111605" y="252691"/>
                                </a:lnTo>
                                <a:close/>
                              </a:path>
                              <a:path w="2184400" h="276860">
                                <a:moveTo>
                                  <a:pt x="2183892" y="134543"/>
                                </a:moveTo>
                                <a:lnTo>
                                  <a:pt x="2176932" y="127584"/>
                                </a:lnTo>
                                <a:lnTo>
                                  <a:pt x="2159774" y="127584"/>
                                </a:lnTo>
                                <a:lnTo>
                                  <a:pt x="2152815" y="134543"/>
                                </a:lnTo>
                                <a:lnTo>
                                  <a:pt x="2152815" y="151714"/>
                                </a:lnTo>
                                <a:lnTo>
                                  <a:pt x="2159774" y="158661"/>
                                </a:lnTo>
                                <a:lnTo>
                                  <a:pt x="2176932" y="158661"/>
                                </a:lnTo>
                                <a:lnTo>
                                  <a:pt x="2183892" y="151714"/>
                                </a:lnTo>
                                <a:lnTo>
                                  <a:pt x="2183892" y="143129"/>
                                </a:lnTo>
                                <a:lnTo>
                                  <a:pt x="2183892" y="134543"/>
                                </a:lnTo>
                                <a:close/>
                              </a:path>
                            </a:pathLst>
                          </a:custGeom>
                          <a:solidFill>
                            <a:srgbClr val="105B83"/>
                          </a:solidFill>
                        </wps:spPr>
                        <wps:bodyPr wrap="square" lIns="0" tIns="0" rIns="0" bIns="0" rtlCol="0">
                          <a:prstTxWarp prst="textNoShape">
                            <a:avLst/>
                          </a:prstTxWarp>
                          <a:noAutofit/>
                        </wps:bodyPr>
                      </wps:wsp>
                      <wps:wsp>
                        <wps:cNvPr id="1641" name="Textbox 1641"/>
                        <wps:cNvSpPr txBox="1"/>
                        <wps:spPr>
                          <a:xfrm>
                            <a:off x="257404" y="275964"/>
                            <a:ext cx="178435" cy="335915"/>
                          </a:xfrm>
                          <a:prstGeom prst="rect">
                            <a:avLst/>
                          </a:prstGeom>
                        </wps:spPr>
                        <wps:txbx>
                          <w:txbxContent>
                            <w:p>
                              <w:pPr>
                                <w:spacing w:before="8"/>
                                <w:ind w:left="0" w:right="0" w:firstLine="0"/>
                                <w:jc w:val="left"/>
                                <w:rPr>
                                  <w:sz w:val="14"/>
                                </w:rPr>
                              </w:pPr>
                              <w:r>
                                <w:rPr>
                                  <w:color w:val="636466"/>
                                  <w:spacing w:val="-5"/>
                                  <w:sz w:val="14"/>
                                </w:rPr>
                                <w:t>84%</w:t>
                              </w:r>
                            </w:p>
                            <w:p>
                              <w:pPr>
                                <w:spacing w:before="7"/>
                                <w:ind w:left="0" w:right="0" w:firstLine="0"/>
                                <w:jc w:val="left"/>
                                <w:rPr>
                                  <w:sz w:val="14"/>
                                </w:rPr>
                              </w:pPr>
                              <w:r>
                                <w:rPr>
                                  <w:color w:val="636466"/>
                                  <w:spacing w:val="-5"/>
                                  <w:sz w:val="14"/>
                                </w:rPr>
                                <w:t>81%</w:t>
                              </w:r>
                            </w:p>
                            <w:p>
                              <w:pPr>
                                <w:spacing w:before="9"/>
                                <w:ind w:left="0" w:right="0" w:firstLine="0"/>
                                <w:jc w:val="left"/>
                                <w:rPr>
                                  <w:sz w:val="14"/>
                                </w:rPr>
                              </w:pPr>
                              <w:r>
                                <w:rPr>
                                  <w:color w:val="636466"/>
                                  <w:spacing w:val="-5"/>
                                  <w:sz w:val="14"/>
                                </w:rPr>
                                <w:t>80%</w:t>
                              </w:r>
                            </w:p>
                          </w:txbxContent>
                        </wps:txbx>
                        <wps:bodyPr wrap="square" lIns="0" tIns="0" rIns="0" bIns="0" rtlCol="0">
                          <a:noAutofit/>
                        </wps:bodyPr>
                      </wps:wsp>
                      <wps:wsp>
                        <wps:cNvPr id="1642" name="Textbox 1642"/>
                        <wps:cNvSpPr txBox="1"/>
                        <wps:spPr>
                          <a:xfrm>
                            <a:off x="1461910" y="284765"/>
                            <a:ext cx="185420" cy="455930"/>
                          </a:xfrm>
                          <a:prstGeom prst="rect">
                            <a:avLst/>
                          </a:prstGeom>
                        </wps:spPr>
                        <wps:txbx>
                          <w:txbxContent>
                            <w:p>
                              <w:pPr>
                                <w:spacing w:before="8"/>
                                <w:ind w:left="8" w:right="0" w:firstLine="0"/>
                                <w:jc w:val="left"/>
                                <w:rPr>
                                  <w:sz w:val="14"/>
                                </w:rPr>
                              </w:pPr>
                              <w:r>
                                <w:rPr>
                                  <w:color w:val="636466"/>
                                  <w:spacing w:val="-5"/>
                                  <w:sz w:val="14"/>
                                </w:rPr>
                                <w:t>82%</w:t>
                              </w:r>
                            </w:p>
                            <w:p>
                              <w:pPr>
                                <w:spacing w:before="133"/>
                                <w:ind w:left="0" w:right="0" w:firstLine="0"/>
                                <w:jc w:val="left"/>
                                <w:rPr>
                                  <w:sz w:val="14"/>
                                </w:rPr>
                              </w:pPr>
                              <w:r>
                                <w:rPr>
                                  <w:color w:val="636466"/>
                                  <w:spacing w:val="-5"/>
                                  <w:sz w:val="14"/>
                                </w:rPr>
                                <w:t>80%</w:t>
                              </w:r>
                            </w:p>
                            <w:p>
                              <w:pPr>
                                <w:spacing w:before="72"/>
                                <w:ind w:left="12" w:right="0" w:firstLine="0"/>
                                <w:jc w:val="left"/>
                                <w:rPr>
                                  <w:sz w:val="14"/>
                                </w:rPr>
                              </w:pPr>
                              <w:r>
                                <w:rPr>
                                  <w:color w:val="636466"/>
                                  <w:spacing w:val="-5"/>
                                  <w:sz w:val="14"/>
                                </w:rPr>
                                <w:t>76%</w:t>
                              </w:r>
                            </w:p>
                          </w:txbxContent>
                        </wps:txbx>
                        <wps:bodyPr wrap="square" lIns="0" tIns="0" rIns="0" bIns="0" rtlCol="0">
                          <a:noAutofit/>
                        </wps:bodyPr>
                      </wps:wsp>
                      <wps:wsp>
                        <wps:cNvPr id="1643" name="Textbox 1643"/>
                        <wps:cNvSpPr txBox="1"/>
                        <wps:spPr>
                          <a:xfrm>
                            <a:off x="2642858" y="257740"/>
                            <a:ext cx="183515" cy="338455"/>
                          </a:xfrm>
                          <a:prstGeom prst="rect">
                            <a:avLst/>
                          </a:prstGeom>
                        </wps:spPr>
                        <wps:txbx>
                          <w:txbxContent>
                            <w:p>
                              <w:pPr>
                                <w:spacing w:line="148" w:lineRule="exact" w:before="8"/>
                                <w:ind w:left="8" w:right="0" w:firstLine="0"/>
                                <w:jc w:val="left"/>
                                <w:rPr>
                                  <w:sz w:val="14"/>
                                </w:rPr>
                              </w:pPr>
                              <w:r>
                                <w:rPr>
                                  <w:color w:val="636466"/>
                                  <w:spacing w:val="-5"/>
                                  <w:sz w:val="14"/>
                                </w:rPr>
                                <w:t>84%</w:t>
                              </w:r>
                            </w:p>
                            <w:p>
                              <w:pPr>
                                <w:spacing w:line="148" w:lineRule="exact" w:before="0"/>
                                <w:ind w:left="0" w:right="0" w:firstLine="0"/>
                                <w:jc w:val="left"/>
                                <w:rPr>
                                  <w:sz w:val="14"/>
                                </w:rPr>
                              </w:pPr>
                              <w:r>
                                <w:rPr>
                                  <w:color w:val="636466"/>
                                  <w:spacing w:val="-5"/>
                                  <w:sz w:val="14"/>
                                </w:rPr>
                                <w:t>83%</w:t>
                              </w:r>
                            </w:p>
                            <w:p>
                              <w:pPr>
                                <w:spacing w:before="46"/>
                                <w:ind w:left="0" w:right="0" w:firstLine="0"/>
                                <w:jc w:val="left"/>
                                <w:rPr>
                                  <w:sz w:val="14"/>
                                </w:rPr>
                              </w:pPr>
                              <w:r>
                                <w:rPr>
                                  <w:color w:val="636466"/>
                                  <w:spacing w:val="-5"/>
                                  <w:sz w:val="14"/>
                                </w:rPr>
                                <w:t>79%</w:t>
                              </w:r>
                            </w:p>
                          </w:txbxContent>
                        </wps:txbx>
                        <wps:bodyPr wrap="square" lIns="0" tIns="0" rIns="0" bIns="0" rtlCol="0">
                          <a:noAutofit/>
                        </wps:bodyPr>
                      </wps:wsp>
                      <wps:wsp>
                        <wps:cNvPr id="1644" name="Textbox 1644"/>
                        <wps:cNvSpPr txBox="1"/>
                        <wps:spPr>
                          <a:xfrm>
                            <a:off x="2344229" y="1703002"/>
                            <a:ext cx="752475" cy="464820"/>
                          </a:xfrm>
                          <a:prstGeom prst="rect">
                            <a:avLst/>
                          </a:prstGeom>
                        </wps:spPr>
                        <wps:txbx>
                          <w:txbxContent>
                            <w:p>
                              <w:pPr>
                                <w:numPr>
                                  <w:ilvl w:val="0"/>
                                  <w:numId w:val="37"/>
                                </w:numPr>
                                <w:tabs>
                                  <w:tab w:pos="119" w:val="left" w:leader="none"/>
                                </w:tabs>
                                <w:spacing w:before="8"/>
                                <w:ind w:left="119" w:right="0" w:hanging="119"/>
                                <w:jc w:val="left"/>
                                <w:rPr>
                                  <w:sz w:val="14"/>
                                </w:rPr>
                              </w:pPr>
                              <w:r>
                                <w:rPr>
                                  <w:color w:val="105B83"/>
                                  <w:sz w:val="14"/>
                                </w:rPr>
                                <w:t>LOW</w:t>
                              </w:r>
                              <w:r>
                                <w:rPr>
                                  <w:color w:val="105B83"/>
                                  <w:spacing w:val="-3"/>
                                  <w:sz w:val="14"/>
                                </w:rPr>
                                <w:t> </w:t>
                              </w:r>
                              <w:r>
                                <w:rPr>
                                  <w:color w:val="105B83"/>
                                  <w:spacing w:val="-5"/>
                                  <w:sz w:val="14"/>
                                </w:rPr>
                                <w:t>SES</w:t>
                              </w:r>
                            </w:p>
                            <w:p>
                              <w:pPr>
                                <w:numPr>
                                  <w:ilvl w:val="0"/>
                                  <w:numId w:val="37"/>
                                </w:numPr>
                                <w:tabs>
                                  <w:tab w:pos="119" w:val="left" w:leader="none"/>
                                </w:tabs>
                                <w:spacing w:before="119"/>
                                <w:ind w:left="119" w:right="0" w:hanging="119"/>
                                <w:jc w:val="left"/>
                                <w:rPr>
                                  <w:sz w:val="14"/>
                                </w:rPr>
                              </w:pPr>
                              <w:r>
                                <w:rPr>
                                  <w:color w:val="105B83"/>
                                  <w:w w:val="95"/>
                                  <w:sz w:val="14"/>
                                </w:rPr>
                                <w:t>MODERATE</w:t>
                              </w:r>
                              <w:r>
                                <w:rPr>
                                  <w:color w:val="105B83"/>
                                  <w:spacing w:val="12"/>
                                  <w:sz w:val="14"/>
                                </w:rPr>
                                <w:t> </w:t>
                              </w:r>
                              <w:r>
                                <w:rPr>
                                  <w:color w:val="105B83"/>
                                  <w:spacing w:val="-5"/>
                                  <w:w w:val="90"/>
                                  <w:sz w:val="14"/>
                                </w:rPr>
                                <w:t>SES</w:t>
                              </w:r>
                            </w:p>
                            <w:p>
                              <w:pPr>
                                <w:numPr>
                                  <w:ilvl w:val="0"/>
                                  <w:numId w:val="37"/>
                                </w:numPr>
                                <w:tabs>
                                  <w:tab w:pos="119" w:val="left" w:leader="none"/>
                                </w:tabs>
                                <w:spacing w:before="99"/>
                                <w:ind w:left="119" w:right="0" w:hanging="119"/>
                                <w:jc w:val="left"/>
                                <w:rPr>
                                  <w:sz w:val="14"/>
                                </w:rPr>
                              </w:pPr>
                              <w:r>
                                <w:rPr>
                                  <w:color w:val="105B83"/>
                                  <w:sz w:val="14"/>
                                </w:rPr>
                                <w:t>HIGH</w:t>
                              </w:r>
                              <w:r>
                                <w:rPr>
                                  <w:color w:val="105B83"/>
                                  <w:spacing w:val="-7"/>
                                  <w:sz w:val="14"/>
                                </w:rPr>
                                <w:t> </w:t>
                              </w:r>
                              <w:r>
                                <w:rPr>
                                  <w:color w:val="105B83"/>
                                  <w:spacing w:val="-5"/>
                                  <w:sz w:val="14"/>
                                </w:rPr>
                                <w:t>SES</w:t>
                              </w:r>
                            </w:p>
                          </w:txbxContent>
                        </wps:txbx>
                        <wps:bodyPr wrap="square" lIns="0" tIns="0" rIns="0" bIns="0" rtlCol="0">
                          <a:noAutofit/>
                        </wps:bodyPr>
                      </wps:wsp>
                    </wpg:wgp>
                  </a:graphicData>
                </a:graphic>
              </wp:anchor>
            </w:drawing>
          </mc:Choice>
          <mc:Fallback>
            <w:pict>
              <v:group style="position:absolute;margin-left:713.631409pt;margin-top:14.275738pt;width:252.85pt;height:179.95pt;mso-position-horizontal-relative:page;mso-position-vertical-relative:paragraph;z-index:15901696" id="docshapegroup1291" coordorigin="14273,286" coordsize="5057,3599">
                <v:shape style="position:absolute;left:14278;top:291;width:5046;height:3587" id="docshape1292" coordorigin="14278,291" coordsize="5046,3587" path="m19324,3878l14278,3878,14278,291e" filled="false" stroked="true" strokeweight=".562pt" strokecolor="#939598">
                  <v:path arrowok="t"/>
                  <v:stroke dashstyle="solid"/>
                </v:shape>
                <v:rect style="position:absolute;left:17754;top:3015;width:106;height:106" id="docshape1293" filled="true" fillcolor="#105b83" stroked="false">
                  <v:fill type="solid"/>
                </v:rect>
                <v:rect style="position:absolute;left:17754;top:3285;width:106;height:106" id="docshape1294" filled="true" fillcolor="#939598" stroked="false">
                  <v:fill type="solid"/>
                </v:rect>
                <v:rect style="position:absolute;left:17754;top:3534;width:106;height:106" id="docshape1295" filled="true" fillcolor="#81bf6a" stroked="false">
                  <v:fill type="solid"/>
                </v:rect>
                <v:shape style="position:absolute;left:14991;top:850;width:3399;height:174" id="docshape1296" coordorigin="14992,851" coordsize="3399,174" path="m14992,1024l16684,1017,18390,851e" filled="false" stroked="true" strokeweight="1.223pt" strokecolor="#81bf6a">
                  <v:path arrowok="t"/>
                  <v:stroke dashstyle="solid"/>
                </v:shape>
                <v:shape style="position:absolute;left:14967;top:828;width:3443;height:221" id="docshape1297" coordorigin="14967,829" coordsize="3443,221" path="m15016,1011l15005,1000,14978,1000,14967,1011,14967,1038,14978,1049,15005,1049,15016,1038,15016,1024,15016,1011xm16718,975l16707,964,16680,964,16669,975,16669,1002,16680,1013,16707,1013,16718,1002,16718,989,16718,975xm18410,839l18399,829,18372,829,18361,839,18361,867,18372,877,18399,877,18410,867,18410,853,18410,839xe" filled="true" fillcolor="#81bf6a" stroked="false">
                  <v:path arrowok="t"/>
                  <v:fill type="solid"/>
                </v:shape>
                <v:shape style="position:absolute;left:14991;top:890;width:3393;height:90" id="docshape1298" coordorigin="14992,890" coordsize="3393,90" path="m14992,979l16691,927,18385,890e" filled="false" stroked="true" strokeweight="1.223pt" strokecolor="#939598">
                  <v:path arrowok="t"/>
                  <v:stroke dashstyle="solid"/>
                </v:shape>
                <v:shape style="position:absolute;left:14967;top:871;width:3442;height:169" id="docshape1299" coordorigin="14967,871" coordsize="3442,169" path="m15016,961l15005,950,14978,950,14967,961,14967,988,14978,999,15005,999,15016,988,15016,974,15016,961xm16718,1001l16707,990,16680,990,16669,1001,16669,1028,16680,1039,16707,1039,16718,1028,16718,1015,16718,1001xm18409,882l18398,871,18371,871,18360,882,18360,909,18371,920,18398,920,18409,909,18409,896,18409,882xe" filled="true" fillcolor="#939598" stroked="false">
                  <v:path arrowok="t"/>
                  <v:fill type="solid"/>
                </v:shape>
                <v:shape style="position:absolute;left:14991;top:852;width:3388;height:387" id="docshape1300" coordorigin="14992,853" coordsize="3388,387" path="m14992,853l16693,1240,18379,1061e" filled="false" stroked="true" strokeweight="1.223pt" strokecolor="#115c85">
                  <v:path arrowok="t"/>
                  <v:stroke dashstyle="solid"/>
                </v:shape>
                <v:shape style="position:absolute;left:14967;top:828;width:3440;height:436" id="docshape1301" coordorigin="14967,829" coordsize="3440,436" path="m15016,839l15005,829,14978,829,14967,839,14967,867,14978,877,15005,877,15016,867,15016,853,15016,839xm16718,1226l16707,1216,16680,1216,16669,1226,16669,1254,16680,1264,16707,1264,16718,1254,16718,1240,16718,1226xm18407,1040l18396,1029,18369,1029,18358,1040,18358,1067,18369,1078,18396,1078,18407,1067,18407,1054,18407,1040xe" filled="true" fillcolor="#105b83" stroked="false">
                  <v:path arrowok="t"/>
                  <v:fill type="solid"/>
                </v:shape>
                <v:shape style="position:absolute;left:14678;top:720;width:281;height:529" type="#_x0000_t202" id="docshape1302" filled="false" stroked="false">
                  <v:textbox inset="0,0,0,0">
                    <w:txbxContent>
                      <w:p>
                        <w:pPr>
                          <w:spacing w:before="8"/>
                          <w:ind w:left="0" w:right="0" w:firstLine="0"/>
                          <w:jc w:val="left"/>
                          <w:rPr>
                            <w:sz w:val="14"/>
                          </w:rPr>
                        </w:pPr>
                        <w:r>
                          <w:rPr>
                            <w:color w:val="636466"/>
                            <w:spacing w:val="-5"/>
                            <w:sz w:val="14"/>
                          </w:rPr>
                          <w:t>84%</w:t>
                        </w:r>
                      </w:p>
                      <w:p>
                        <w:pPr>
                          <w:spacing w:before="7"/>
                          <w:ind w:left="0" w:right="0" w:firstLine="0"/>
                          <w:jc w:val="left"/>
                          <w:rPr>
                            <w:sz w:val="14"/>
                          </w:rPr>
                        </w:pPr>
                        <w:r>
                          <w:rPr>
                            <w:color w:val="636466"/>
                            <w:spacing w:val="-5"/>
                            <w:sz w:val="14"/>
                          </w:rPr>
                          <w:t>81%</w:t>
                        </w:r>
                      </w:p>
                      <w:p>
                        <w:pPr>
                          <w:spacing w:before="9"/>
                          <w:ind w:left="0" w:right="0" w:firstLine="0"/>
                          <w:jc w:val="left"/>
                          <w:rPr>
                            <w:sz w:val="14"/>
                          </w:rPr>
                        </w:pPr>
                        <w:r>
                          <w:rPr>
                            <w:color w:val="636466"/>
                            <w:spacing w:val="-5"/>
                            <w:sz w:val="14"/>
                          </w:rPr>
                          <w:t>80%</w:t>
                        </w:r>
                      </w:p>
                    </w:txbxContent>
                  </v:textbox>
                  <w10:wrap type="none"/>
                </v:shape>
                <v:shape style="position:absolute;left:16574;top:733;width:292;height:718" type="#_x0000_t202" id="docshape1303" filled="false" stroked="false">
                  <v:textbox inset="0,0,0,0">
                    <w:txbxContent>
                      <w:p>
                        <w:pPr>
                          <w:spacing w:before="8"/>
                          <w:ind w:left="8" w:right="0" w:firstLine="0"/>
                          <w:jc w:val="left"/>
                          <w:rPr>
                            <w:sz w:val="14"/>
                          </w:rPr>
                        </w:pPr>
                        <w:r>
                          <w:rPr>
                            <w:color w:val="636466"/>
                            <w:spacing w:val="-5"/>
                            <w:sz w:val="14"/>
                          </w:rPr>
                          <w:t>82%</w:t>
                        </w:r>
                      </w:p>
                      <w:p>
                        <w:pPr>
                          <w:spacing w:before="133"/>
                          <w:ind w:left="0" w:right="0" w:firstLine="0"/>
                          <w:jc w:val="left"/>
                          <w:rPr>
                            <w:sz w:val="14"/>
                          </w:rPr>
                        </w:pPr>
                        <w:r>
                          <w:rPr>
                            <w:color w:val="636466"/>
                            <w:spacing w:val="-5"/>
                            <w:sz w:val="14"/>
                          </w:rPr>
                          <w:t>80%</w:t>
                        </w:r>
                      </w:p>
                      <w:p>
                        <w:pPr>
                          <w:spacing w:before="72"/>
                          <w:ind w:left="12" w:right="0" w:firstLine="0"/>
                          <w:jc w:val="left"/>
                          <w:rPr>
                            <w:sz w:val="14"/>
                          </w:rPr>
                        </w:pPr>
                        <w:r>
                          <w:rPr>
                            <w:color w:val="636466"/>
                            <w:spacing w:val="-5"/>
                            <w:sz w:val="14"/>
                          </w:rPr>
                          <w:t>76%</w:t>
                        </w:r>
                      </w:p>
                    </w:txbxContent>
                  </v:textbox>
                  <w10:wrap type="none"/>
                </v:shape>
                <v:shape style="position:absolute;left:18434;top:691;width:289;height:533" type="#_x0000_t202" id="docshape1304" filled="false" stroked="false">
                  <v:textbox inset="0,0,0,0">
                    <w:txbxContent>
                      <w:p>
                        <w:pPr>
                          <w:spacing w:line="148" w:lineRule="exact" w:before="8"/>
                          <w:ind w:left="8" w:right="0" w:firstLine="0"/>
                          <w:jc w:val="left"/>
                          <w:rPr>
                            <w:sz w:val="14"/>
                          </w:rPr>
                        </w:pPr>
                        <w:r>
                          <w:rPr>
                            <w:color w:val="636466"/>
                            <w:spacing w:val="-5"/>
                            <w:sz w:val="14"/>
                          </w:rPr>
                          <w:t>84%</w:t>
                        </w:r>
                      </w:p>
                      <w:p>
                        <w:pPr>
                          <w:spacing w:line="148" w:lineRule="exact" w:before="0"/>
                          <w:ind w:left="0" w:right="0" w:firstLine="0"/>
                          <w:jc w:val="left"/>
                          <w:rPr>
                            <w:sz w:val="14"/>
                          </w:rPr>
                        </w:pPr>
                        <w:r>
                          <w:rPr>
                            <w:color w:val="636466"/>
                            <w:spacing w:val="-5"/>
                            <w:sz w:val="14"/>
                          </w:rPr>
                          <w:t>83%</w:t>
                        </w:r>
                      </w:p>
                      <w:p>
                        <w:pPr>
                          <w:spacing w:before="46"/>
                          <w:ind w:left="0" w:right="0" w:firstLine="0"/>
                          <w:jc w:val="left"/>
                          <w:rPr>
                            <w:sz w:val="14"/>
                          </w:rPr>
                        </w:pPr>
                        <w:r>
                          <w:rPr>
                            <w:color w:val="636466"/>
                            <w:spacing w:val="-5"/>
                            <w:sz w:val="14"/>
                          </w:rPr>
                          <w:t>79%</w:t>
                        </w:r>
                      </w:p>
                    </w:txbxContent>
                  </v:textbox>
                  <w10:wrap type="none"/>
                </v:shape>
                <v:shape style="position:absolute;left:17964;top:2967;width:1185;height:732" type="#_x0000_t202" id="docshape1305" filled="false" stroked="false">
                  <v:textbox inset="0,0,0,0">
                    <w:txbxContent>
                      <w:p>
                        <w:pPr>
                          <w:numPr>
                            <w:ilvl w:val="0"/>
                            <w:numId w:val="37"/>
                          </w:numPr>
                          <w:tabs>
                            <w:tab w:pos="119" w:val="left" w:leader="none"/>
                          </w:tabs>
                          <w:spacing w:before="8"/>
                          <w:ind w:left="119" w:right="0" w:hanging="119"/>
                          <w:jc w:val="left"/>
                          <w:rPr>
                            <w:sz w:val="14"/>
                          </w:rPr>
                        </w:pPr>
                        <w:r>
                          <w:rPr>
                            <w:color w:val="105B83"/>
                            <w:sz w:val="14"/>
                          </w:rPr>
                          <w:t>LOW</w:t>
                        </w:r>
                        <w:r>
                          <w:rPr>
                            <w:color w:val="105B83"/>
                            <w:spacing w:val="-3"/>
                            <w:sz w:val="14"/>
                          </w:rPr>
                          <w:t> </w:t>
                        </w:r>
                        <w:r>
                          <w:rPr>
                            <w:color w:val="105B83"/>
                            <w:spacing w:val="-5"/>
                            <w:sz w:val="14"/>
                          </w:rPr>
                          <w:t>SES</w:t>
                        </w:r>
                      </w:p>
                      <w:p>
                        <w:pPr>
                          <w:numPr>
                            <w:ilvl w:val="0"/>
                            <w:numId w:val="37"/>
                          </w:numPr>
                          <w:tabs>
                            <w:tab w:pos="119" w:val="left" w:leader="none"/>
                          </w:tabs>
                          <w:spacing w:before="119"/>
                          <w:ind w:left="119" w:right="0" w:hanging="119"/>
                          <w:jc w:val="left"/>
                          <w:rPr>
                            <w:sz w:val="14"/>
                          </w:rPr>
                        </w:pPr>
                        <w:r>
                          <w:rPr>
                            <w:color w:val="105B83"/>
                            <w:w w:val="95"/>
                            <w:sz w:val="14"/>
                          </w:rPr>
                          <w:t>MODERATE</w:t>
                        </w:r>
                        <w:r>
                          <w:rPr>
                            <w:color w:val="105B83"/>
                            <w:spacing w:val="12"/>
                            <w:sz w:val="14"/>
                          </w:rPr>
                          <w:t> </w:t>
                        </w:r>
                        <w:r>
                          <w:rPr>
                            <w:color w:val="105B83"/>
                            <w:spacing w:val="-5"/>
                            <w:w w:val="90"/>
                            <w:sz w:val="14"/>
                          </w:rPr>
                          <w:t>SES</w:t>
                        </w:r>
                      </w:p>
                      <w:p>
                        <w:pPr>
                          <w:numPr>
                            <w:ilvl w:val="0"/>
                            <w:numId w:val="37"/>
                          </w:numPr>
                          <w:tabs>
                            <w:tab w:pos="119" w:val="left" w:leader="none"/>
                          </w:tabs>
                          <w:spacing w:before="99"/>
                          <w:ind w:left="119" w:right="0" w:hanging="119"/>
                          <w:jc w:val="left"/>
                          <w:rPr>
                            <w:sz w:val="14"/>
                          </w:rPr>
                        </w:pPr>
                        <w:r>
                          <w:rPr>
                            <w:color w:val="105B83"/>
                            <w:sz w:val="14"/>
                          </w:rPr>
                          <w:t>HIGH</w:t>
                        </w:r>
                        <w:r>
                          <w:rPr>
                            <w:color w:val="105B83"/>
                            <w:spacing w:val="-7"/>
                            <w:sz w:val="14"/>
                          </w:rPr>
                          <w:t> </w:t>
                        </w:r>
                        <w:r>
                          <w:rPr>
                            <w:color w:val="105B83"/>
                            <w:spacing w:val="-5"/>
                            <w:sz w:val="14"/>
                          </w:rPr>
                          <w:t>SES</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902720">
                <wp:simplePos x="0" y="0"/>
                <wp:positionH relativeFrom="page">
                  <wp:posOffset>9924715</wp:posOffset>
                </wp:positionH>
                <wp:positionV relativeFrom="paragraph">
                  <wp:posOffset>114470</wp:posOffset>
                </wp:positionV>
                <wp:extent cx="178435" cy="2361565"/>
                <wp:effectExtent l="0" t="0" r="0" b="0"/>
                <wp:wrapNone/>
                <wp:docPr id="1645" name="Textbox 1645"/>
                <wp:cNvGraphicFramePr>
                  <a:graphicFrameLocks/>
                </wp:cNvGraphicFramePr>
                <a:graphic>
                  <a:graphicData uri="http://schemas.microsoft.com/office/word/2010/wordprocessingShape">
                    <wps:wsp>
                      <wps:cNvPr id="1645" name="Textbox 1645"/>
                      <wps:cNvSpPr txBox="1"/>
                      <wps:spPr>
                        <a:xfrm>
                          <a:off x="0" y="0"/>
                          <a:ext cx="178435" cy="2361565"/>
                        </a:xfrm>
                        <a:prstGeom prst="rect">
                          <a:avLst/>
                        </a:prstGeom>
                      </wps:spPr>
                      <wps:txbx>
                        <w:txbxContent>
                          <w:p>
                            <w:pPr>
                              <w:spacing w:before="20"/>
                              <w:ind w:left="20" w:right="0" w:firstLine="0"/>
                              <w:jc w:val="left"/>
                              <w:rPr>
                                <w:rFonts w:ascii="Cambria"/>
                                <w:sz w:val="20"/>
                              </w:rPr>
                            </w:pPr>
                            <w:r>
                              <w:rPr>
                                <w:rFonts w:ascii="Cambria"/>
                                <w:color w:val="939598"/>
                                <w:spacing w:val="39"/>
                                <w:sz w:val="20"/>
                              </w:rPr>
                              <w:t>............................................ </w:t>
                            </w:r>
                          </w:p>
                        </w:txbxContent>
                      </wps:txbx>
                      <wps:bodyPr wrap="square" lIns="0" tIns="0" rIns="0" bIns="0" rtlCol="0" vert="vert270">
                        <a:noAutofit/>
                      </wps:bodyPr>
                    </wps:wsp>
                  </a:graphicData>
                </a:graphic>
              </wp:anchor>
            </w:drawing>
          </mc:Choice>
          <mc:Fallback>
            <w:pict>
              <v:shape style="position:absolute;margin-left:781.473694pt;margin-top:9.013433pt;width:14.05pt;height:185.95pt;mso-position-horizontal-relative:page;mso-position-vertical-relative:paragraph;z-index:15902720" type="#_x0000_t202" id="docshape1306" filled="false" stroked="false">
                <v:textbox inset="0,0,0,0" style="layout-flow:vertical;mso-layout-flow-alt:bottom-to-top">
                  <w:txbxContent>
                    <w:p>
                      <w:pPr>
                        <w:spacing w:before="20"/>
                        <w:ind w:left="20" w:right="0" w:firstLine="0"/>
                        <w:jc w:val="left"/>
                        <w:rPr>
                          <w:rFonts w:ascii="Cambria"/>
                          <w:sz w:val="20"/>
                        </w:rPr>
                      </w:pPr>
                      <w:r>
                        <w:rPr>
                          <w:rFonts w:ascii="Cambria"/>
                          <w:color w:val="939598"/>
                          <w:spacing w:val="39"/>
                          <w:sz w:val="20"/>
                        </w:rPr>
                        <w:t>............................................ </w:t>
                      </w:r>
                    </w:p>
                  </w:txbxContent>
                </v:textbox>
                <w10:wrap type="none"/>
              </v:shape>
            </w:pict>
          </mc:Fallback>
        </mc:AlternateContent>
      </w:r>
      <w:r>
        <w:rPr/>
        <mc:AlternateContent>
          <mc:Choice Requires="wps">
            <w:drawing>
              <wp:anchor distT="0" distB="0" distL="0" distR="0" allowOverlap="1" layoutInCell="1" locked="0" behindDoc="0" simplePos="0" relativeHeight="15903232">
                <wp:simplePos x="0" y="0"/>
                <wp:positionH relativeFrom="page">
                  <wp:posOffset>11013146</wp:posOffset>
                </wp:positionH>
                <wp:positionV relativeFrom="paragraph">
                  <wp:posOffset>114470</wp:posOffset>
                </wp:positionV>
                <wp:extent cx="178435" cy="2361565"/>
                <wp:effectExtent l="0" t="0" r="0" b="0"/>
                <wp:wrapNone/>
                <wp:docPr id="1646" name="Textbox 1646"/>
                <wp:cNvGraphicFramePr>
                  <a:graphicFrameLocks/>
                </wp:cNvGraphicFramePr>
                <a:graphic>
                  <a:graphicData uri="http://schemas.microsoft.com/office/word/2010/wordprocessingShape">
                    <wps:wsp>
                      <wps:cNvPr id="1646" name="Textbox 1646"/>
                      <wps:cNvSpPr txBox="1"/>
                      <wps:spPr>
                        <a:xfrm>
                          <a:off x="0" y="0"/>
                          <a:ext cx="178435" cy="2361565"/>
                        </a:xfrm>
                        <a:prstGeom prst="rect">
                          <a:avLst/>
                        </a:prstGeom>
                      </wps:spPr>
                      <wps:txbx>
                        <w:txbxContent>
                          <w:p>
                            <w:pPr>
                              <w:spacing w:before="20"/>
                              <w:ind w:left="20" w:right="0" w:firstLine="0"/>
                              <w:jc w:val="left"/>
                              <w:rPr>
                                <w:rFonts w:ascii="Cambria"/>
                                <w:sz w:val="20"/>
                              </w:rPr>
                            </w:pPr>
                            <w:r>
                              <w:rPr>
                                <w:rFonts w:ascii="Cambria"/>
                                <w:color w:val="939598"/>
                                <w:spacing w:val="39"/>
                                <w:sz w:val="20"/>
                              </w:rPr>
                              <w:t>............................................ </w:t>
                            </w:r>
                          </w:p>
                        </w:txbxContent>
                      </wps:txbx>
                      <wps:bodyPr wrap="square" lIns="0" tIns="0" rIns="0" bIns="0" rtlCol="0" vert="vert270">
                        <a:noAutofit/>
                      </wps:bodyPr>
                    </wps:wsp>
                  </a:graphicData>
                </a:graphic>
              </wp:anchor>
            </w:drawing>
          </mc:Choice>
          <mc:Fallback>
            <w:pict>
              <v:shape style="position:absolute;margin-left:867.17688pt;margin-top:9.013433pt;width:14.05pt;height:185.95pt;mso-position-horizontal-relative:page;mso-position-vertical-relative:paragraph;z-index:15903232" type="#_x0000_t202" id="docshape1307" filled="false" stroked="false">
                <v:textbox inset="0,0,0,0" style="layout-flow:vertical;mso-layout-flow-alt:bottom-to-top">
                  <w:txbxContent>
                    <w:p>
                      <w:pPr>
                        <w:spacing w:before="20"/>
                        <w:ind w:left="20" w:right="0" w:firstLine="0"/>
                        <w:jc w:val="left"/>
                        <w:rPr>
                          <w:rFonts w:ascii="Cambria"/>
                          <w:sz w:val="20"/>
                        </w:rPr>
                      </w:pPr>
                      <w:r>
                        <w:rPr>
                          <w:rFonts w:ascii="Cambria"/>
                          <w:color w:val="939598"/>
                          <w:spacing w:val="39"/>
                          <w:sz w:val="20"/>
                        </w:rPr>
                        <w:t>............................................ </w:t>
                      </w:r>
                    </w:p>
                  </w:txbxContent>
                </v:textbox>
                <w10:wrap type="none"/>
              </v:shape>
            </w:pict>
          </mc:Fallback>
        </mc:AlternateContent>
      </w:r>
      <w:r>
        <w:rPr>
          <w:color w:val="636466"/>
          <w:spacing w:val="-4"/>
        </w:rPr>
        <w:t>100%</w:t>
      </w:r>
    </w:p>
    <w:p>
      <w:pPr>
        <w:pStyle w:val="BodyText"/>
        <w:spacing w:before="168"/>
      </w:pPr>
    </w:p>
    <w:p>
      <w:pPr>
        <w:pStyle w:val="BodyText"/>
        <w:ind w:right="9596"/>
        <w:jc w:val="right"/>
      </w:pPr>
      <w:r>
        <w:rPr/>
        <mc:AlternateContent>
          <mc:Choice Requires="wps">
            <w:drawing>
              <wp:anchor distT="0" distB="0" distL="0" distR="0" allowOverlap="1" layoutInCell="1" locked="0" behindDoc="0" simplePos="0" relativeHeight="15902208">
                <wp:simplePos x="0" y="0"/>
                <wp:positionH relativeFrom="page">
                  <wp:posOffset>8457072</wp:posOffset>
                </wp:positionH>
                <wp:positionV relativeFrom="paragraph">
                  <wp:posOffset>254568</wp:posOffset>
                </wp:positionV>
                <wp:extent cx="164465" cy="880110"/>
                <wp:effectExtent l="0" t="0" r="0" b="0"/>
                <wp:wrapNone/>
                <wp:docPr id="1647" name="Textbox 1647"/>
                <wp:cNvGraphicFramePr>
                  <a:graphicFrameLocks/>
                </wp:cNvGraphicFramePr>
                <a:graphic>
                  <a:graphicData uri="http://schemas.microsoft.com/office/word/2010/wordprocessingShape">
                    <wps:wsp>
                      <wps:cNvPr id="1647" name="Textbox 1647"/>
                      <wps:cNvSpPr txBox="1"/>
                      <wps:spPr>
                        <a:xfrm>
                          <a:off x="0" y="0"/>
                          <a:ext cx="164465" cy="880110"/>
                        </a:xfrm>
                        <a:prstGeom prst="rect">
                          <a:avLst/>
                        </a:prstGeom>
                      </wps:spPr>
                      <wps:txbx>
                        <w:txbxContent>
                          <w:p>
                            <w:pPr>
                              <w:spacing w:before="30"/>
                              <w:ind w:left="20" w:right="0" w:firstLine="0"/>
                              <w:jc w:val="left"/>
                              <w:rPr>
                                <w:sz w:val="16"/>
                              </w:rPr>
                            </w:pPr>
                            <w:r>
                              <w:rPr>
                                <w:color w:val="105B83"/>
                                <w:spacing w:val="-2"/>
                                <w:sz w:val="16"/>
                              </w:rPr>
                              <w:t>Percent</w:t>
                            </w:r>
                            <w:r>
                              <w:rPr>
                                <w:color w:val="105B83"/>
                                <w:spacing w:val="-1"/>
                                <w:sz w:val="16"/>
                              </w:rPr>
                              <w:t> </w:t>
                            </w:r>
                            <w:r>
                              <w:rPr>
                                <w:color w:val="105B83"/>
                                <w:spacing w:val="-2"/>
                                <w:sz w:val="16"/>
                              </w:rPr>
                              <w:t>Controlled</w:t>
                            </w:r>
                          </w:p>
                        </w:txbxContent>
                      </wps:txbx>
                      <wps:bodyPr wrap="square" lIns="0" tIns="0" rIns="0" bIns="0" rtlCol="0" vert="vert270">
                        <a:noAutofit/>
                      </wps:bodyPr>
                    </wps:wsp>
                  </a:graphicData>
                </a:graphic>
              </wp:anchor>
            </w:drawing>
          </mc:Choice>
          <mc:Fallback>
            <w:pict>
              <v:shape style="position:absolute;margin-left:665.911194pt;margin-top:20.044783pt;width:12.95pt;height:69.3pt;mso-position-horizontal-relative:page;mso-position-vertical-relative:paragraph;z-index:15902208" type="#_x0000_t202" id="docshape1308" filled="false" stroked="false">
                <v:textbox inset="0,0,0,0" style="layout-flow:vertical;mso-layout-flow-alt:bottom-to-top">
                  <w:txbxContent>
                    <w:p>
                      <w:pPr>
                        <w:spacing w:before="30"/>
                        <w:ind w:left="20" w:right="0" w:firstLine="0"/>
                        <w:jc w:val="left"/>
                        <w:rPr>
                          <w:sz w:val="16"/>
                        </w:rPr>
                      </w:pPr>
                      <w:r>
                        <w:rPr>
                          <w:color w:val="105B83"/>
                          <w:spacing w:val="-2"/>
                          <w:sz w:val="16"/>
                        </w:rPr>
                        <w:t>Percent</w:t>
                      </w:r>
                      <w:r>
                        <w:rPr>
                          <w:color w:val="105B83"/>
                          <w:spacing w:val="-1"/>
                          <w:sz w:val="16"/>
                        </w:rPr>
                        <w:t> </w:t>
                      </w:r>
                      <w:r>
                        <w:rPr>
                          <w:color w:val="105B83"/>
                          <w:spacing w:val="-2"/>
                          <w:sz w:val="16"/>
                        </w:rPr>
                        <w:t>Controlled</w:t>
                      </w:r>
                    </w:p>
                  </w:txbxContent>
                </v:textbox>
                <w10:wrap type="none"/>
              </v:shape>
            </w:pict>
          </mc:Fallback>
        </mc:AlternateContent>
      </w:r>
      <w:r>
        <w:rPr>
          <w:color w:val="636466"/>
          <w:spacing w:val="-5"/>
        </w:rPr>
        <w:t>80%</w:t>
      </w:r>
    </w:p>
    <w:p>
      <w:pPr>
        <w:pStyle w:val="BodyText"/>
        <w:spacing w:before="174"/>
      </w:pPr>
    </w:p>
    <w:p>
      <w:pPr>
        <w:pStyle w:val="BodyText"/>
        <w:ind w:right="9576"/>
        <w:jc w:val="right"/>
      </w:pPr>
      <w:r>
        <w:rPr>
          <w:color w:val="636466"/>
          <w:spacing w:val="-5"/>
        </w:rPr>
        <w:t>60%</w:t>
      </w:r>
    </w:p>
    <w:p>
      <w:pPr>
        <w:pStyle w:val="BodyText"/>
        <w:spacing w:before="231"/>
      </w:pPr>
    </w:p>
    <w:p>
      <w:pPr>
        <w:pStyle w:val="BodyText"/>
        <w:ind w:right="9576"/>
        <w:jc w:val="right"/>
      </w:pPr>
      <w:r>
        <w:rPr>
          <w:color w:val="636466"/>
          <w:spacing w:val="-5"/>
        </w:rPr>
        <w:t>40%</w:t>
      </w:r>
    </w:p>
    <w:p>
      <w:pPr>
        <w:pStyle w:val="BodyText"/>
        <w:spacing w:before="177"/>
      </w:pPr>
    </w:p>
    <w:p>
      <w:pPr>
        <w:pStyle w:val="BodyText"/>
        <w:ind w:right="9578"/>
        <w:jc w:val="right"/>
      </w:pPr>
      <w:r>
        <w:rPr>
          <w:color w:val="636466"/>
          <w:spacing w:val="-5"/>
        </w:rPr>
        <w:t>20%</w:t>
      </w:r>
    </w:p>
    <w:p>
      <w:pPr>
        <w:pStyle w:val="BodyText"/>
        <w:spacing w:before="195"/>
      </w:pPr>
    </w:p>
    <w:p>
      <w:pPr>
        <w:pStyle w:val="BodyText"/>
        <w:ind w:right="9592"/>
        <w:jc w:val="right"/>
      </w:pPr>
      <w:r>
        <w:rPr>
          <w:color w:val="636466"/>
          <w:spacing w:val="-5"/>
        </w:rPr>
        <w:t>0%</w:t>
      </w:r>
    </w:p>
    <w:p>
      <w:pPr>
        <w:pStyle w:val="BodyText"/>
        <w:spacing w:after="0"/>
        <w:jc w:val="right"/>
        <w:sectPr>
          <w:type w:val="continuous"/>
          <w:pgSz w:w="24480" w:h="15840" w:orient="landscape"/>
          <w:pgMar w:header="0" w:footer="0" w:top="0" w:bottom="280" w:left="0" w:right="720"/>
          <w:cols w:num="2" w:equalWidth="0">
            <w:col w:w="11169" w:space="1071"/>
            <w:col w:w="11520"/>
          </w:cols>
        </w:sectPr>
      </w:pPr>
    </w:p>
    <w:p>
      <w:pPr>
        <w:tabs>
          <w:tab w:pos="16493" w:val="left" w:leader="none"/>
          <w:tab w:pos="18167" w:val="left" w:leader="none"/>
        </w:tabs>
        <w:spacing w:before="70"/>
        <w:ind w:left="14817" w:right="0" w:firstLine="0"/>
        <w:jc w:val="left"/>
        <w:rPr>
          <w:sz w:val="18"/>
        </w:rPr>
      </w:pPr>
      <w:r>
        <w:rPr>
          <w:sz w:val="18"/>
        </w:rPr>
        <mc:AlternateContent>
          <mc:Choice Requires="wps">
            <w:drawing>
              <wp:anchor distT="0" distB="0" distL="0" distR="0" allowOverlap="1" layoutInCell="1" locked="0" behindDoc="0" simplePos="0" relativeHeight="15903744">
                <wp:simplePos x="0" y="0"/>
                <wp:positionH relativeFrom="page">
                  <wp:posOffset>647700</wp:posOffset>
                </wp:positionH>
                <wp:positionV relativeFrom="paragraph">
                  <wp:posOffset>64834</wp:posOffset>
                </wp:positionV>
                <wp:extent cx="2967355" cy="1374775"/>
                <wp:effectExtent l="0" t="0" r="0" b="0"/>
                <wp:wrapNone/>
                <wp:docPr id="1648" name="Textbox 1648"/>
                <wp:cNvGraphicFramePr>
                  <a:graphicFrameLocks/>
                </wp:cNvGraphicFramePr>
                <a:graphic>
                  <a:graphicData uri="http://schemas.microsoft.com/office/word/2010/wordprocessingShape">
                    <wps:wsp>
                      <wps:cNvPr id="1648" name="Textbox 1648"/>
                      <wps:cNvSpPr txBox="1"/>
                      <wps:spPr>
                        <a:xfrm>
                          <a:off x="0" y="0"/>
                          <a:ext cx="2967355" cy="1374775"/>
                        </a:xfrm>
                        <a:prstGeom prst="rect">
                          <a:avLst/>
                        </a:prstGeom>
                      </wps:spPr>
                      <wps:txbx>
                        <w:txbxContent>
                          <w:tbl>
                            <w:tblPr>
                              <w:tblW w:w="0" w:type="auto"/>
                              <w:jc w:val="left"/>
                              <w:tblInd w:w="62" w:type="dxa"/>
                              <w:tblBorders>
                                <w:top w:val="single" w:sz="2" w:space="0" w:color="636466"/>
                                <w:left w:val="single" w:sz="2" w:space="0" w:color="636466"/>
                                <w:bottom w:val="single" w:sz="2" w:space="0" w:color="636466"/>
                                <w:right w:val="single" w:sz="2" w:space="0" w:color="636466"/>
                                <w:insideH w:val="single" w:sz="2" w:space="0" w:color="636466"/>
                                <w:insideV w:val="single" w:sz="2" w:space="0" w:color="636466"/>
                              </w:tblBorders>
                              <w:tblLayout w:type="fixed"/>
                              <w:tblCellMar>
                                <w:top w:w="0" w:type="dxa"/>
                                <w:left w:w="0" w:type="dxa"/>
                                <w:bottom w:w="0" w:type="dxa"/>
                                <w:right w:w="0" w:type="dxa"/>
                              </w:tblCellMar>
                              <w:tblLook w:val="01E0"/>
                            </w:tblPr>
                            <w:tblGrid>
                              <w:gridCol w:w="4548"/>
                            </w:tblGrid>
                            <w:tr>
                              <w:trPr>
                                <w:trHeight w:val="355" w:hRule="atLeast"/>
                              </w:trPr>
                              <w:tc>
                                <w:tcPr>
                                  <w:tcW w:w="4548" w:type="dxa"/>
                                  <w:shd w:val="clear" w:color="auto" w:fill="82BF6A"/>
                                </w:tcPr>
                                <w:p>
                                  <w:pPr>
                                    <w:pStyle w:val="TableParagraph"/>
                                    <w:spacing w:before="90"/>
                                    <w:ind w:left="80"/>
                                    <w:rPr>
                                      <w:b/>
                                      <w:sz w:val="20"/>
                                    </w:rPr>
                                  </w:pPr>
                                  <w:r>
                                    <w:rPr>
                                      <w:b/>
                                      <w:color w:val="FFFFFF"/>
                                      <w:sz w:val="20"/>
                                    </w:rPr>
                                    <w:t>BIGGEST</w:t>
                                  </w:r>
                                  <w:r>
                                    <w:rPr>
                                      <w:b/>
                                      <w:color w:val="FFFFFF"/>
                                      <w:spacing w:val="-10"/>
                                      <w:sz w:val="20"/>
                                    </w:rPr>
                                    <w:t> </w:t>
                                  </w:r>
                                  <w:r>
                                    <w:rPr>
                                      <w:b/>
                                      <w:color w:val="FFFFFF"/>
                                      <w:sz w:val="20"/>
                                    </w:rPr>
                                    <w:t>FEAR</w:t>
                                  </w:r>
                                  <w:r>
                                    <w:rPr>
                                      <w:b/>
                                      <w:color w:val="FFFFFF"/>
                                      <w:spacing w:val="-10"/>
                                      <w:sz w:val="20"/>
                                    </w:rPr>
                                    <w:t> </w:t>
                                  </w:r>
                                  <w:r>
                                    <w:rPr>
                                      <w:b/>
                                      <w:color w:val="FFFFFF"/>
                                      <w:sz w:val="20"/>
                                    </w:rPr>
                                    <w:t>-</w:t>
                                  </w:r>
                                  <w:r>
                                    <w:rPr>
                                      <w:b/>
                                      <w:color w:val="FFFFFF"/>
                                      <w:spacing w:val="-9"/>
                                      <w:sz w:val="20"/>
                                    </w:rPr>
                                    <w:t> </w:t>
                                  </w:r>
                                  <w:r>
                                    <w:rPr>
                                      <w:b/>
                                      <w:color w:val="FFFFFF"/>
                                      <w:sz w:val="20"/>
                                    </w:rPr>
                                    <w:t>FOR</w:t>
                                  </w:r>
                                  <w:r>
                                    <w:rPr>
                                      <w:b/>
                                      <w:color w:val="FFFFFF"/>
                                      <w:spacing w:val="-10"/>
                                      <w:sz w:val="20"/>
                                    </w:rPr>
                                    <w:t> </w:t>
                                  </w:r>
                                  <w:r>
                                    <w:rPr>
                                      <w:b/>
                                      <w:color w:val="FFFFFF"/>
                                      <w:spacing w:val="-4"/>
                                      <w:sz w:val="20"/>
                                    </w:rPr>
                                    <w:t>SELF</w:t>
                                  </w:r>
                                </w:p>
                              </w:tc>
                            </w:tr>
                            <w:tr>
                              <w:trPr>
                                <w:trHeight w:val="355" w:hRule="atLeast"/>
                              </w:trPr>
                              <w:tc>
                                <w:tcPr>
                                  <w:tcW w:w="4548" w:type="dxa"/>
                                </w:tcPr>
                                <w:p>
                                  <w:pPr>
                                    <w:pStyle w:val="TableParagraph"/>
                                    <w:spacing w:before="90"/>
                                    <w:ind w:left="80"/>
                                    <w:rPr>
                                      <w:sz w:val="20"/>
                                    </w:rPr>
                                  </w:pPr>
                                  <w:r>
                                    <w:rPr>
                                      <w:color w:val="105C84"/>
                                      <w:sz w:val="20"/>
                                    </w:rPr>
                                    <w:t>Weight</w:t>
                                  </w:r>
                                  <w:r>
                                    <w:rPr>
                                      <w:color w:val="105C84"/>
                                      <w:spacing w:val="27"/>
                                      <w:sz w:val="20"/>
                                    </w:rPr>
                                    <w:t> </w:t>
                                  </w:r>
                                  <w:r>
                                    <w:rPr>
                                      <w:color w:val="105C84"/>
                                      <w:spacing w:val="-2"/>
                                      <w:sz w:val="20"/>
                                    </w:rPr>
                                    <w:t>(10.8%)</w:t>
                                  </w:r>
                                </w:p>
                              </w:tc>
                            </w:tr>
                            <w:tr>
                              <w:trPr>
                                <w:trHeight w:val="355" w:hRule="atLeast"/>
                              </w:trPr>
                              <w:tc>
                                <w:tcPr>
                                  <w:tcW w:w="4548" w:type="dxa"/>
                                </w:tcPr>
                                <w:p>
                                  <w:pPr>
                                    <w:pStyle w:val="TableParagraph"/>
                                    <w:spacing w:before="90"/>
                                    <w:ind w:left="80"/>
                                    <w:rPr>
                                      <w:sz w:val="20"/>
                                    </w:rPr>
                                  </w:pPr>
                                  <w:r>
                                    <w:rPr>
                                      <w:color w:val="105C84"/>
                                      <w:sz w:val="20"/>
                                    </w:rPr>
                                    <w:t>Mental</w:t>
                                  </w:r>
                                  <w:r>
                                    <w:rPr>
                                      <w:color w:val="105C84"/>
                                      <w:spacing w:val="13"/>
                                      <w:sz w:val="20"/>
                                    </w:rPr>
                                    <w:t> </w:t>
                                  </w:r>
                                  <w:r>
                                    <w:rPr>
                                      <w:color w:val="105C84"/>
                                      <w:sz w:val="20"/>
                                    </w:rPr>
                                    <w:t>/</w:t>
                                  </w:r>
                                  <w:r>
                                    <w:rPr>
                                      <w:color w:val="105C84"/>
                                      <w:spacing w:val="13"/>
                                      <w:sz w:val="20"/>
                                    </w:rPr>
                                    <w:t> </w:t>
                                  </w:r>
                                  <w:r>
                                    <w:rPr>
                                      <w:color w:val="105C84"/>
                                      <w:sz w:val="20"/>
                                    </w:rPr>
                                    <w:t>emotional</w:t>
                                  </w:r>
                                  <w:r>
                                    <w:rPr>
                                      <w:color w:val="105C84"/>
                                      <w:spacing w:val="13"/>
                                      <w:sz w:val="20"/>
                                    </w:rPr>
                                    <w:t> </w:t>
                                  </w:r>
                                  <w:r>
                                    <w:rPr>
                                      <w:color w:val="105C84"/>
                                      <w:sz w:val="20"/>
                                    </w:rPr>
                                    <w:t>health</w:t>
                                  </w:r>
                                  <w:r>
                                    <w:rPr>
                                      <w:color w:val="105C84"/>
                                      <w:spacing w:val="13"/>
                                      <w:sz w:val="20"/>
                                    </w:rPr>
                                    <w:t> </w:t>
                                  </w:r>
                                  <w:r>
                                    <w:rPr>
                                      <w:color w:val="105C84"/>
                                      <w:sz w:val="20"/>
                                    </w:rPr>
                                    <w:t>issues</w:t>
                                  </w:r>
                                  <w:r>
                                    <w:rPr>
                                      <w:color w:val="105C84"/>
                                      <w:spacing w:val="13"/>
                                      <w:sz w:val="20"/>
                                    </w:rPr>
                                    <w:t> </w:t>
                                  </w:r>
                                  <w:r>
                                    <w:rPr>
                                      <w:color w:val="105C84"/>
                                      <w:spacing w:val="-2"/>
                                      <w:sz w:val="20"/>
                                    </w:rPr>
                                    <w:t>(9.5%)</w:t>
                                  </w:r>
                                </w:p>
                              </w:tc>
                            </w:tr>
                            <w:tr>
                              <w:trPr>
                                <w:trHeight w:val="355" w:hRule="atLeast"/>
                              </w:trPr>
                              <w:tc>
                                <w:tcPr>
                                  <w:tcW w:w="4548" w:type="dxa"/>
                                </w:tcPr>
                                <w:p>
                                  <w:pPr>
                                    <w:pStyle w:val="TableParagraph"/>
                                    <w:spacing w:before="90"/>
                                    <w:ind w:left="80"/>
                                    <w:rPr>
                                      <w:sz w:val="20"/>
                                    </w:rPr>
                                  </w:pPr>
                                  <w:r>
                                    <w:rPr>
                                      <w:color w:val="105C84"/>
                                      <w:sz w:val="20"/>
                                    </w:rPr>
                                    <w:t>Cancer</w:t>
                                  </w:r>
                                  <w:r>
                                    <w:rPr>
                                      <w:color w:val="105C84"/>
                                      <w:spacing w:val="-10"/>
                                      <w:sz w:val="20"/>
                                    </w:rPr>
                                    <w:t> </w:t>
                                  </w:r>
                                  <w:r>
                                    <w:rPr>
                                      <w:color w:val="105C84"/>
                                      <w:spacing w:val="-2"/>
                                      <w:sz w:val="20"/>
                                    </w:rPr>
                                    <w:t>(8.8%)</w:t>
                                  </w:r>
                                </w:p>
                              </w:tc>
                            </w:tr>
                            <w:tr>
                              <w:trPr>
                                <w:trHeight w:val="355" w:hRule="atLeast"/>
                              </w:trPr>
                              <w:tc>
                                <w:tcPr>
                                  <w:tcW w:w="4548" w:type="dxa"/>
                                </w:tcPr>
                                <w:p>
                                  <w:pPr>
                                    <w:pStyle w:val="TableParagraph"/>
                                    <w:spacing w:before="90"/>
                                    <w:ind w:left="80"/>
                                    <w:rPr>
                                      <w:sz w:val="20"/>
                                    </w:rPr>
                                  </w:pPr>
                                  <w:r>
                                    <w:rPr>
                                      <w:color w:val="105C84"/>
                                      <w:sz w:val="20"/>
                                    </w:rPr>
                                    <w:t>Heart</w:t>
                                  </w:r>
                                  <w:r>
                                    <w:rPr>
                                      <w:color w:val="105C84"/>
                                      <w:spacing w:val="22"/>
                                      <w:sz w:val="20"/>
                                    </w:rPr>
                                    <w:t> </w:t>
                                  </w:r>
                                  <w:r>
                                    <w:rPr>
                                      <w:color w:val="105C84"/>
                                      <w:sz w:val="20"/>
                                    </w:rPr>
                                    <w:t>conditions</w:t>
                                  </w:r>
                                  <w:r>
                                    <w:rPr>
                                      <w:color w:val="105C84"/>
                                      <w:spacing w:val="23"/>
                                      <w:sz w:val="20"/>
                                    </w:rPr>
                                    <w:t> </w:t>
                                  </w:r>
                                  <w:r>
                                    <w:rPr>
                                      <w:color w:val="105C84"/>
                                      <w:spacing w:val="-2"/>
                                      <w:sz w:val="20"/>
                                    </w:rPr>
                                    <w:t>(8.5%)</w:t>
                                  </w:r>
                                </w:p>
                              </w:tc>
                            </w:tr>
                            <w:tr>
                              <w:trPr>
                                <w:trHeight w:val="355" w:hRule="atLeast"/>
                              </w:trPr>
                              <w:tc>
                                <w:tcPr>
                                  <w:tcW w:w="4548" w:type="dxa"/>
                                </w:tcPr>
                                <w:p>
                                  <w:pPr>
                                    <w:pStyle w:val="TableParagraph"/>
                                    <w:spacing w:before="90"/>
                                    <w:ind w:left="80"/>
                                    <w:rPr>
                                      <w:sz w:val="20"/>
                                    </w:rPr>
                                  </w:pPr>
                                  <w:r>
                                    <w:rPr>
                                      <w:color w:val="105C84"/>
                                      <w:sz w:val="20"/>
                                    </w:rPr>
                                    <w:t>Aging</w:t>
                                  </w:r>
                                  <w:r>
                                    <w:rPr>
                                      <w:color w:val="105C84"/>
                                      <w:spacing w:val="33"/>
                                      <w:sz w:val="20"/>
                                    </w:rPr>
                                    <w:t> </w:t>
                                  </w:r>
                                  <w:r>
                                    <w:rPr>
                                      <w:color w:val="105C84"/>
                                      <w:spacing w:val="-2"/>
                                      <w:sz w:val="20"/>
                                    </w:rPr>
                                    <w:t>(7.9%)</w:t>
                                  </w:r>
                                </w:p>
                              </w:tc>
                            </w:tr>
                          </w:tbl>
                          <w:p>
                            <w:pPr>
                              <w:pStyle w:val="BodyText"/>
                            </w:pPr>
                          </w:p>
                        </w:txbxContent>
                      </wps:txbx>
                      <wps:bodyPr wrap="square" lIns="0" tIns="0" rIns="0" bIns="0" rtlCol="0">
                        <a:noAutofit/>
                      </wps:bodyPr>
                    </wps:wsp>
                  </a:graphicData>
                </a:graphic>
              </wp:anchor>
            </w:drawing>
          </mc:Choice>
          <mc:Fallback>
            <w:pict>
              <v:shape style="position:absolute;margin-left:51pt;margin-top:5.105054pt;width:233.65pt;height:108.25pt;mso-position-horizontal-relative:page;mso-position-vertical-relative:paragraph;z-index:15903744" type="#_x0000_t202" id="docshape1309" filled="false" stroked="false">
                <v:textbox inset="0,0,0,0">
                  <w:txbxContent>
                    <w:tbl>
                      <w:tblPr>
                        <w:tblW w:w="0" w:type="auto"/>
                        <w:jc w:val="left"/>
                        <w:tblInd w:w="62" w:type="dxa"/>
                        <w:tblBorders>
                          <w:top w:val="single" w:sz="2" w:space="0" w:color="636466"/>
                          <w:left w:val="single" w:sz="2" w:space="0" w:color="636466"/>
                          <w:bottom w:val="single" w:sz="2" w:space="0" w:color="636466"/>
                          <w:right w:val="single" w:sz="2" w:space="0" w:color="636466"/>
                          <w:insideH w:val="single" w:sz="2" w:space="0" w:color="636466"/>
                          <w:insideV w:val="single" w:sz="2" w:space="0" w:color="636466"/>
                        </w:tblBorders>
                        <w:tblLayout w:type="fixed"/>
                        <w:tblCellMar>
                          <w:top w:w="0" w:type="dxa"/>
                          <w:left w:w="0" w:type="dxa"/>
                          <w:bottom w:w="0" w:type="dxa"/>
                          <w:right w:w="0" w:type="dxa"/>
                        </w:tblCellMar>
                        <w:tblLook w:val="01E0"/>
                      </w:tblPr>
                      <w:tblGrid>
                        <w:gridCol w:w="4548"/>
                      </w:tblGrid>
                      <w:tr>
                        <w:trPr>
                          <w:trHeight w:val="355" w:hRule="atLeast"/>
                        </w:trPr>
                        <w:tc>
                          <w:tcPr>
                            <w:tcW w:w="4548" w:type="dxa"/>
                            <w:shd w:val="clear" w:color="auto" w:fill="82BF6A"/>
                          </w:tcPr>
                          <w:p>
                            <w:pPr>
                              <w:pStyle w:val="TableParagraph"/>
                              <w:spacing w:before="90"/>
                              <w:ind w:left="80"/>
                              <w:rPr>
                                <w:b/>
                                <w:sz w:val="20"/>
                              </w:rPr>
                            </w:pPr>
                            <w:r>
                              <w:rPr>
                                <w:b/>
                                <w:color w:val="FFFFFF"/>
                                <w:sz w:val="20"/>
                              </w:rPr>
                              <w:t>BIGGEST</w:t>
                            </w:r>
                            <w:r>
                              <w:rPr>
                                <w:b/>
                                <w:color w:val="FFFFFF"/>
                                <w:spacing w:val="-10"/>
                                <w:sz w:val="20"/>
                              </w:rPr>
                              <w:t> </w:t>
                            </w:r>
                            <w:r>
                              <w:rPr>
                                <w:b/>
                                <w:color w:val="FFFFFF"/>
                                <w:sz w:val="20"/>
                              </w:rPr>
                              <w:t>FEAR</w:t>
                            </w:r>
                            <w:r>
                              <w:rPr>
                                <w:b/>
                                <w:color w:val="FFFFFF"/>
                                <w:spacing w:val="-10"/>
                                <w:sz w:val="20"/>
                              </w:rPr>
                              <w:t> </w:t>
                            </w:r>
                            <w:r>
                              <w:rPr>
                                <w:b/>
                                <w:color w:val="FFFFFF"/>
                                <w:sz w:val="20"/>
                              </w:rPr>
                              <w:t>-</w:t>
                            </w:r>
                            <w:r>
                              <w:rPr>
                                <w:b/>
                                <w:color w:val="FFFFFF"/>
                                <w:spacing w:val="-9"/>
                                <w:sz w:val="20"/>
                              </w:rPr>
                              <w:t> </w:t>
                            </w:r>
                            <w:r>
                              <w:rPr>
                                <w:b/>
                                <w:color w:val="FFFFFF"/>
                                <w:sz w:val="20"/>
                              </w:rPr>
                              <w:t>FOR</w:t>
                            </w:r>
                            <w:r>
                              <w:rPr>
                                <w:b/>
                                <w:color w:val="FFFFFF"/>
                                <w:spacing w:val="-10"/>
                                <w:sz w:val="20"/>
                              </w:rPr>
                              <w:t> </w:t>
                            </w:r>
                            <w:r>
                              <w:rPr>
                                <w:b/>
                                <w:color w:val="FFFFFF"/>
                                <w:spacing w:val="-4"/>
                                <w:sz w:val="20"/>
                              </w:rPr>
                              <w:t>SELF</w:t>
                            </w:r>
                          </w:p>
                        </w:tc>
                      </w:tr>
                      <w:tr>
                        <w:trPr>
                          <w:trHeight w:val="355" w:hRule="atLeast"/>
                        </w:trPr>
                        <w:tc>
                          <w:tcPr>
                            <w:tcW w:w="4548" w:type="dxa"/>
                          </w:tcPr>
                          <w:p>
                            <w:pPr>
                              <w:pStyle w:val="TableParagraph"/>
                              <w:spacing w:before="90"/>
                              <w:ind w:left="80"/>
                              <w:rPr>
                                <w:sz w:val="20"/>
                              </w:rPr>
                            </w:pPr>
                            <w:r>
                              <w:rPr>
                                <w:color w:val="105C84"/>
                                <w:sz w:val="20"/>
                              </w:rPr>
                              <w:t>Weight</w:t>
                            </w:r>
                            <w:r>
                              <w:rPr>
                                <w:color w:val="105C84"/>
                                <w:spacing w:val="27"/>
                                <w:sz w:val="20"/>
                              </w:rPr>
                              <w:t> </w:t>
                            </w:r>
                            <w:r>
                              <w:rPr>
                                <w:color w:val="105C84"/>
                                <w:spacing w:val="-2"/>
                                <w:sz w:val="20"/>
                              </w:rPr>
                              <w:t>(10.8%)</w:t>
                            </w:r>
                          </w:p>
                        </w:tc>
                      </w:tr>
                      <w:tr>
                        <w:trPr>
                          <w:trHeight w:val="355" w:hRule="atLeast"/>
                        </w:trPr>
                        <w:tc>
                          <w:tcPr>
                            <w:tcW w:w="4548" w:type="dxa"/>
                          </w:tcPr>
                          <w:p>
                            <w:pPr>
                              <w:pStyle w:val="TableParagraph"/>
                              <w:spacing w:before="90"/>
                              <w:ind w:left="80"/>
                              <w:rPr>
                                <w:sz w:val="20"/>
                              </w:rPr>
                            </w:pPr>
                            <w:r>
                              <w:rPr>
                                <w:color w:val="105C84"/>
                                <w:sz w:val="20"/>
                              </w:rPr>
                              <w:t>Mental</w:t>
                            </w:r>
                            <w:r>
                              <w:rPr>
                                <w:color w:val="105C84"/>
                                <w:spacing w:val="13"/>
                                <w:sz w:val="20"/>
                              </w:rPr>
                              <w:t> </w:t>
                            </w:r>
                            <w:r>
                              <w:rPr>
                                <w:color w:val="105C84"/>
                                <w:sz w:val="20"/>
                              </w:rPr>
                              <w:t>/</w:t>
                            </w:r>
                            <w:r>
                              <w:rPr>
                                <w:color w:val="105C84"/>
                                <w:spacing w:val="13"/>
                                <w:sz w:val="20"/>
                              </w:rPr>
                              <w:t> </w:t>
                            </w:r>
                            <w:r>
                              <w:rPr>
                                <w:color w:val="105C84"/>
                                <w:sz w:val="20"/>
                              </w:rPr>
                              <w:t>emotional</w:t>
                            </w:r>
                            <w:r>
                              <w:rPr>
                                <w:color w:val="105C84"/>
                                <w:spacing w:val="13"/>
                                <w:sz w:val="20"/>
                              </w:rPr>
                              <w:t> </w:t>
                            </w:r>
                            <w:r>
                              <w:rPr>
                                <w:color w:val="105C84"/>
                                <w:sz w:val="20"/>
                              </w:rPr>
                              <w:t>health</w:t>
                            </w:r>
                            <w:r>
                              <w:rPr>
                                <w:color w:val="105C84"/>
                                <w:spacing w:val="13"/>
                                <w:sz w:val="20"/>
                              </w:rPr>
                              <w:t> </w:t>
                            </w:r>
                            <w:r>
                              <w:rPr>
                                <w:color w:val="105C84"/>
                                <w:sz w:val="20"/>
                              </w:rPr>
                              <w:t>issues</w:t>
                            </w:r>
                            <w:r>
                              <w:rPr>
                                <w:color w:val="105C84"/>
                                <w:spacing w:val="13"/>
                                <w:sz w:val="20"/>
                              </w:rPr>
                              <w:t> </w:t>
                            </w:r>
                            <w:r>
                              <w:rPr>
                                <w:color w:val="105C84"/>
                                <w:spacing w:val="-2"/>
                                <w:sz w:val="20"/>
                              </w:rPr>
                              <w:t>(9.5%)</w:t>
                            </w:r>
                          </w:p>
                        </w:tc>
                      </w:tr>
                      <w:tr>
                        <w:trPr>
                          <w:trHeight w:val="355" w:hRule="atLeast"/>
                        </w:trPr>
                        <w:tc>
                          <w:tcPr>
                            <w:tcW w:w="4548" w:type="dxa"/>
                          </w:tcPr>
                          <w:p>
                            <w:pPr>
                              <w:pStyle w:val="TableParagraph"/>
                              <w:spacing w:before="90"/>
                              <w:ind w:left="80"/>
                              <w:rPr>
                                <w:sz w:val="20"/>
                              </w:rPr>
                            </w:pPr>
                            <w:r>
                              <w:rPr>
                                <w:color w:val="105C84"/>
                                <w:sz w:val="20"/>
                              </w:rPr>
                              <w:t>Cancer</w:t>
                            </w:r>
                            <w:r>
                              <w:rPr>
                                <w:color w:val="105C84"/>
                                <w:spacing w:val="-10"/>
                                <w:sz w:val="20"/>
                              </w:rPr>
                              <w:t> </w:t>
                            </w:r>
                            <w:r>
                              <w:rPr>
                                <w:color w:val="105C84"/>
                                <w:spacing w:val="-2"/>
                                <w:sz w:val="20"/>
                              </w:rPr>
                              <w:t>(8.8%)</w:t>
                            </w:r>
                          </w:p>
                        </w:tc>
                      </w:tr>
                      <w:tr>
                        <w:trPr>
                          <w:trHeight w:val="355" w:hRule="atLeast"/>
                        </w:trPr>
                        <w:tc>
                          <w:tcPr>
                            <w:tcW w:w="4548" w:type="dxa"/>
                          </w:tcPr>
                          <w:p>
                            <w:pPr>
                              <w:pStyle w:val="TableParagraph"/>
                              <w:spacing w:before="90"/>
                              <w:ind w:left="80"/>
                              <w:rPr>
                                <w:sz w:val="20"/>
                              </w:rPr>
                            </w:pPr>
                            <w:r>
                              <w:rPr>
                                <w:color w:val="105C84"/>
                                <w:sz w:val="20"/>
                              </w:rPr>
                              <w:t>Heart</w:t>
                            </w:r>
                            <w:r>
                              <w:rPr>
                                <w:color w:val="105C84"/>
                                <w:spacing w:val="22"/>
                                <w:sz w:val="20"/>
                              </w:rPr>
                              <w:t> </w:t>
                            </w:r>
                            <w:r>
                              <w:rPr>
                                <w:color w:val="105C84"/>
                                <w:sz w:val="20"/>
                              </w:rPr>
                              <w:t>conditions</w:t>
                            </w:r>
                            <w:r>
                              <w:rPr>
                                <w:color w:val="105C84"/>
                                <w:spacing w:val="23"/>
                                <w:sz w:val="20"/>
                              </w:rPr>
                              <w:t> </w:t>
                            </w:r>
                            <w:r>
                              <w:rPr>
                                <w:color w:val="105C84"/>
                                <w:spacing w:val="-2"/>
                                <w:sz w:val="20"/>
                              </w:rPr>
                              <w:t>(8.5%)</w:t>
                            </w:r>
                          </w:p>
                        </w:tc>
                      </w:tr>
                      <w:tr>
                        <w:trPr>
                          <w:trHeight w:val="355" w:hRule="atLeast"/>
                        </w:trPr>
                        <w:tc>
                          <w:tcPr>
                            <w:tcW w:w="4548" w:type="dxa"/>
                          </w:tcPr>
                          <w:p>
                            <w:pPr>
                              <w:pStyle w:val="TableParagraph"/>
                              <w:spacing w:before="90"/>
                              <w:ind w:left="80"/>
                              <w:rPr>
                                <w:sz w:val="20"/>
                              </w:rPr>
                            </w:pPr>
                            <w:r>
                              <w:rPr>
                                <w:color w:val="105C84"/>
                                <w:sz w:val="20"/>
                              </w:rPr>
                              <w:t>Aging</w:t>
                            </w:r>
                            <w:r>
                              <w:rPr>
                                <w:color w:val="105C84"/>
                                <w:spacing w:val="33"/>
                                <w:sz w:val="20"/>
                              </w:rPr>
                              <w:t> </w:t>
                            </w:r>
                            <w:r>
                              <w:rPr>
                                <w:color w:val="105C84"/>
                                <w:spacing w:val="-2"/>
                                <w:sz w:val="20"/>
                              </w:rPr>
                              <w:t>(7.9%)</w:t>
                            </w:r>
                          </w:p>
                        </w:tc>
                      </w:tr>
                    </w:tbl>
                    <w:p>
                      <w:pPr>
                        <w:pStyle w:val="BodyText"/>
                      </w:pPr>
                    </w:p>
                  </w:txbxContent>
                </v:textbox>
                <w10:wrap type="none"/>
              </v:shape>
            </w:pict>
          </mc:Fallback>
        </mc:AlternateContent>
      </w:r>
      <w:r>
        <w:rPr>
          <w:sz w:val="18"/>
        </w:rPr>
        <mc:AlternateContent>
          <mc:Choice Requires="wps">
            <w:drawing>
              <wp:anchor distT="0" distB="0" distL="0" distR="0" allowOverlap="1" layoutInCell="1" locked="0" behindDoc="0" simplePos="0" relativeHeight="15904256">
                <wp:simplePos x="0" y="0"/>
                <wp:positionH relativeFrom="page">
                  <wp:posOffset>3883088</wp:posOffset>
                </wp:positionH>
                <wp:positionV relativeFrom="paragraph">
                  <wp:posOffset>64834</wp:posOffset>
                </wp:positionV>
                <wp:extent cx="3114040" cy="1374775"/>
                <wp:effectExtent l="0" t="0" r="0" b="0"/>
                <wp:wrapNone/>
                <wp:docPr id="1649" name="Textbox 1649"/>
                <wp:cNvGraphicFramePr>
                  <a:graphicFrameLocks/>
                </wp:cNvGraphicFramePr>
                <a:graphic>
                  <a:graphicData uri="http://schemas.microsoft.com/office/word/2010/wordprocessingShape">
                    <wps:wsp>
                      <wps:cNvPr id="1649" name="Textbox 1649"/>
                      <wps:cNvSpPr txBox="1"/>
                      <wps:spPr>
                        <a:xfrm>
                          <a:off x="0" y="0"/>
                          <a:ext cx="3114040" cy="1374775"/>
                        </a:xfrm>
                        <a:prstGeom prst="rect">
                          <a:avLst/>
                        </a:prstGeom>
                      </wps:spPr>
                      <wps:txbx>
                        <w:txbxContent>
                          <w:tbl>
                            <w:tblPr>
                              <w:tblW w:w="0" w:type="auto"/>
                              <w:jc w:val="left"/>
                              <w:tblInd w:w="62" w:type="dxa"/>
                              <w:tblBorders>
                                <w:top w:val="single" w:sz="2" w:space="0" w:color="636466"/>
                                <w:left w:val="single" w:sz="2" w:space="0" w:color="636466"/>
                                <w:bottom w:val="single" w:sz="2" w:space="0" w:color="636466"/>
                                <w:right w:val="single" w:sz="2" w:space="0" w:color="636466"/>
                                <w:insideH w:val="single" w:sz="2" w:space="0" w:color="636466"/>
                                <w:insideV w:val="single" w:sz="2" w:space="0" w:color="636466"/>
                              </w:tblBorders>
                              <w:tblLayout w:type="fixed"/>
                              <w:tblCellMar>
                                <w:top w:w="0" w:type="dxa"/>
                                <w:left w:w="0" w:type="dxa"/>
                                <w:bottom w:w="0" w:type="dxa"/>
                                <w:right w:w="0" w:type="dxa"/>
                              </w:tblCellMar>
                              <w:tblLook w:val="01E0"/>
                            </w:tblPr>
                            <w:tblGrid>
                              <w:gridCol w:w="4778"/>
                            </w:tblGrid>
                            <w:tr>
                              <w:trPr>
                                <w:trHeight w:val="355" w:hRule="atLeast"/>
                              </w:trPr>
                              <w:tc>
                                <w:tcPr>
                                  <w:tcW w:w="4778" w:type="dxa"/>
                                  <w:shd w:val="clear" w:color="auto" w:fill="00A79E"/>
                                </w:tcPr>
                                <w:p>
                                  <w:pPr>
                                    <w:pStyle w:val="TableParagraph"/>
                                    <w:spacing w:before="90"/>
                                    <w:ind w:left="79"/>
                                    <w:rPr>
                                      <w:b/>
                                      <w:sz w:val="20"/>
                                    </w:rPr>
                                  </w:pPr>
                                  <w:r>
                                    <w:rPr>
                                      <w:b/>
                                      <w:color w:val="FFFFFF"/>
                                      <w:spacing w:val="-2"/>
                                      <w:sz w:val="20"/>
                                    </w:rPr>
                                    <w:t>BIGGEST</w:t>
                                  </w:r>
                                  <w:r>
                                    <w:rPr>
                                      <w:b/>
                                      <w:color w:val="FFFFFF"/>
                                      <w:spacing w:val="-6"/>
                                      <w:sz w:val="20"/>
                                    </w:rPr>
                                    <w:t> </w:t>
                                  </w:r>
                                  <w:r>
                                    <w:rPr>
                                      <w:b/>
                                      <w:color w:val="FFFFFF"/>
                                      <w:spacing w:val="-2"/>
                                      <w:sz w:val="20"/>
                                    </w:rPr>
                                    <w:t>FEAR</w:t>
                                  </w:r>
                                  <w:r>
                                    <w:rPr>
                                      <w:b/>
                                      <w:color w:val="FFFFFF"/>
                                      <w:spacing w:val="-6"/>
                                      <w:sz w:val="20"/>
                                    </w:rPr>
                                    <w:t> </w:t>
                                  </w:r>
                                  <w:r>
                                    <w:rPr>
                                      <w:b/>
                                      <w:color w:val="FFFFFF"/>
                                      <w:spacing w:val="-2"/>
                                      <w:sz w:val="20"/>
                                    </w:rPr>
                                    <w:t>-FOR</w:t>
                                  </w:r>
                                  <w:r>
                                    <w:rPr>
                                      <w:b/>
                                      <w:color w:val="FFFFFF"/>
                                      <w:spacing w:val="-5"/>
                                      <w:sz w:val="20"/>
                                    </w:rPr>
                                    <w:t> </w:t>
                                  </w:r>
                                  <w:r>
                                    <w:rPr>
                                      <w:b/>
                                      <w:color w:val="FFFFFF"/>
                                      <w:spacing w:val="-2"/>
                                      <w:sz w:val="20"/>
                                    </w:rPr>
                                    <w:t>OTHERS</w:t>
                                  </w:r>
                                </w:p>
                              </w:tc>
                            </w:tr>
                            <w:tr>
                              <w:trPr>
                                <w:trHeight w:val="355" w:hRule="atLeast"/>
                              </w:trPr>
                              <w:tc>
                                <w:tcPr>
                                  <w:tcW w:w="4778" w:type="dxa"/>
                                </w:tcPr>
                                <w:p>
                                  <w:pPr>
                                    <w:pStyle w:val="TableParagraph"/>
                                    <w:spacing w:before="90"/>
                                    <w:ind w:left="79"/>
                                    <w:rPr>
                                      <w:sz w:val="20"/>
                                    </w:rPr>
                                  </w:pPr>
                                  <w:r>
                                    <w:rPr>
                                      <w:color w:val="105C84"/>
                                      <w:sz w:val="20"/>
                                    </w:rPr>
                                    <w:t>Cancer</w:t>
                                  </w:r>
                                  <w:r>
                                    <w:rPr>
                                      <w:color w:val="105C84"/>
                                      <w:spacing w:val="-10"/>
                                      <w:sz w:val="20"/>
                                    </w:rPr>
                                    <w:t> </w:t>
                                  </w:r>
                                  <w:r>
                                    <w:rPr>
                                      <w:color w:val="105C84"/>
                                      <w:spacing w:val="-2"/>
                                      <w:sz w:val="20"/>
                                    </w:rPr>
                                    <w:t>(10.9%)</w:t>
                                  </w:r>
                                </w:p>
                              </w:tc>
                            </w:tr>
                            <w:tr>
                              <w:trPr>
                                <w:trHeight w:val="355" w:hRule="atLeast"/>
                              </w:trPr>
                              <w:tc>
                                <w:tcPr>
                                  <w:tcW w:w="4778" w:type="dxa"/>
                                </w:tcPr>
                                <w:p>
                                  <w:pPr>
                                    <w:pStyle w:val="TableParagraph"/>
                                    <w:spacing w:before="90"/>
                                    <w:ind w:left="79"/>
                                    <w:rPr>
                                      <w:sz w:val="20"/>
                                    </w:rPr>
                                  </w:pPr>
                                  <w:r>
                                    <w:rPr>
                                      <w:color w:val="105C84"/>
                                      <w:sz w:val="20"/>
                                    </w:rPr>
                                    <w:t>Mental</w:t>
                                  </w:r>
                                  <w:r>
                                    <w:rPr>
                                      <w:color w:val="105C84"/>
                                      <w:spacing w:val="13"/>
                                      <w:sz w:val="20"/>
                                    </w:rPr>
                                    <w:t> </w:t>
                                  </w:r>
                                  <w:r>
                                    <w:rPr>
                                      <w:color w:val="105C84"/>
                                      <w:sz w:val="20"/>
                                    </w:rPr>
                                    <w:t>/</w:t>
                                  </w:r>
                                  <w:r>
                                    <w:rPr>
                                      <w:color w:val="105C84"/>
                                      <w:spacing w:val="13"/>
                                      <w:sz w:val="20"/>
                                    </w:rPr>
                                    <w:t> </w:t>
                                  </w:r>
                                  <w:r>
                                    <w:rPr>
                                      <w:color w:val="105C84"/>
                                      <w:sz w:val="20"/>
                                    </w:rPr>
                                    <w:t>emotional</w:t>
                                  </w:r>
                                  <w:r>
                                    <w:rPr>
                                      <w:color w:val="105C84"/>
                                      <w:spacing w:val="13"/>
                                      <w:sz w:val="20"/>
                                    </w:rPr>
                                    <w:t> </w:t>
                                  </w:r>
                                  <w:r>
                                    <w:rPr>
                                      <w:color w:val="105C84"/>
                                      <w:sz w:val="20"/>
                                    </w:rPr>
                                    <w:t>health</w:t>
                                  </w:r>
                                  <w:r>
                                    <w:rPr>
                                      <w:color w:val="105C84"/>
                                      <w:spacing w:val="13"/>
                                      <w:sz w:val="20"/>
                                    </w:rPr>
                                    <w:t> </w:t>
                                  </w:r>
                                  <w:r>
                                    <w:rPr>
                                      <w:color w:val="105C84"/>
                                      <w:sz w:val="20"/>
                                    </w:rPr>
                                    <w:t>issues</w:t>
                                  </w:r>
                                  <w:r>
                                    <w:rPr>
                                      <w:color w:val="105C84"/>
                                      <w:spacing w:val="13"/>
                                      <w:sz w:val="20"/>
                                    </w:rPr>
                                    <w:t> </w:t>
                                  </w:r>
                                  <w:r>
                                    <w:rPr>
                                      <w:color w:val="105C84"/>
                                      <w:spacing w:val="-2"/>
                                      <w:sz w:val="20"/>
                                    </w:rPr>
                                    <w:t>(10.4%)</w:t>
                                  </w:r>
                                </w:p>
                              </w:tc>
                            </w:tr>
                            <w:tr>
                              <w:trPr>
                                <w:trHeight w:val="355" w:hRule="atLeast"/>
                              </w:trPr>
                              <w:tc>
                                <w:tcPr>
                                  <w:tcW w:w="4778" w:type="dxa"/>
                                </w:tcPr>
                                <w:p>
                                  <w:pPr>
                                    <w:pStyle w:val="TableParagraph"/>
                                    <w:spacing w:before="90"/>
                                    <w:ind w:left="79"/>
                                    <w:rPr>
                                      <w:sz w:val="20"/>
                                    </w:rPr>
                                  </w:pPr>
                                  <w:r>
                                    <w:rPr>
                                      <w:color w:val="105C84"/>
                                      <w:sz w:val="20"/>
                                    </w:rPr>
                                    <w:t>Heart</w:t>
                                  </w:r>
                                  <w:r>
                                    <w:rPr>
                                      <w:color w:val="105C84"/>
                                      <w:spacing w:val="22"/>
                                      <w:sz w:val="20"/>
                                    </w:rPr>
                                    <w:t> </w:t>
                                  </w:r>
                                  <w:r>
                                    <w:rPr>
                                      <w:color w:val="105C84"/>
                                      <w:sz w:val="20"/>
                                    </w:rPr>
                                    <w:t>conditions</w:t>
                                  </w:r>
                                  <w:r>
                                    <w:rPr>
                                      <w:color w:val="105C84"/>
                                      <w:spacing w:val="23"/>
                                      <w:sz w:val="20"/>
                                    </w:rPr>
                                    <w:t> </w:t>
                                  </w:r>
                                  <w:r>
                                    <w:rPr>
                                      <w:color w:val="105C84"/>
                                      <w:spacing w:val="-2"/>
                                      <w:sz w:val="20"/>
                                    </w:rPr>
                                    <w:t>(8.0%)</w:t>
                                  </w:r>
                                </w:p>
                              </w:tc>
                            </w:tr>
                            <w:tr>
                              <w:trPr>
                                <w:trHeight w:val="355" w:hRule="atLeast"/>
                              </w:trPr>
                              <w:tc>
                                <w:tcPr>
                                  <w:tcW w:w="4778" w:type="dxa"/>
                                </w:tcPr>
                                <w:p>
                                  <w:pPr>
                                    <w:pStyle w:val="TableParagraph"/>
                                    <w:spacing w:before="90"/>
                                    <w:ind w:left="79"/>
                                    <w:rPr>
                                      <w:sz w:val="20"/>
                                    </w:rPr>
                                  </w:pPr>
                                  <w:r>
                                    <w:rPr>
                                      <w:color w:val="105C84"/>
                                      <w:sz w:val="20"/>
                                    </w:rPr>
                                    <w:t>Cost</w:t>
                                  </w:r>
                                  <w:r>
                                    <w:rPr>
                                      <w:color w:val="105C84"/>
                                      <w:spacing w:val="4"/>
                                      <w:sz w:val="20"/>
                                    </w:rPr>
                                    <w:t> </w:t>
                                  </w:r>
                                  <w:r>
                                    <w:rPr>
                                      <w:color w:val="105C84"/>
                                      <w:spacing w:val="-2"/>
                                      <w:sz w:val="20"/>
                                    </w:rPr>
                                    <w:t>(7.9%)</w:t>
                                  </w:r>
                                </w:p>
                              </w:tc>
                            </w:tr>
                            <w:tr>
                              <w:trPr>
                                <w:trHeight w:val="355" w:hRule="atLeast"/>
                              </w:trPr>
                              <w:tc>
                                <w:tcPr>
                                  <w:tcW w:w="4778" w:type="dxa"/>
                                </w:tcPr>
                                <w:p>
                                  <w:pPr>
                                    <w:pStyle w:val="TableParagraph"/>
                                    <w:spacing w:before="90"/>
                                    <w:ind w:left="79"/>
                                    <w:rPr>
                                      <w:sz w:val="20"/>
                                    </w:rPr>
                                  </w:pPr>
                                  <w:r>
                                    <w:rPr>
                                      <w:color w:val="105C84"/>
                                      <w:sz w:val="20"/>
                                    </w:rPr>
                                    <w:t>Diet</w:t>
                                  </w:r>
                                  <w:r>
                                    <w:rPr>
                                      <w:color w:val="105C84"/>
                                      <w:spacing w:val="30"/>
                                      <w:sz w:val="20"/>
                                    </w:rPr>
                                    <w:t> </w:t>
                                  </w:r>
                                  <w:r>
                                    <w:rPr>
                                      <w:color w:val="105C84"/>
                                      <w:sz w:val="20"/>
                                    </w:rPr>
                                    <w:t>/</w:t>
                                  </w:r>
                                  <w:r>
                                    <w:rPr>
                                      <w:color w:val="105C84"/>
                                      <w:spacing w:val="30"/>
                                      <w:sz w:val="20"/>
                                    </w:rPr>
                                    <w:t> </w:t>
                                  </w:r>
                                  <w:r>
                                    <w:rPr>
                                      <w:color w:val="105C84"/>
                                      <w:sz w:val="20"/>
                                    </w:rPr>
                                    <w:t>nutrition</w:t>
                                  </w:r>
                                  <w:r>
                                    <w:rPr>
                                      <w:color w:val="105C84"/>
                                      <w:spacing w:val="31"/>
                                      <w:sz w:val="20"/>
                                    </w:rPr>
                                    <w:t> </w:t>
                                  </w:r>
                                  <w:r>
                                    <w:rPr>
                                      <w:color w:val="105C84"/>
                                      <w:spacing w:val="-2"/>
                                      <w:sz w:val="20"/>
                                    </w:rPr>
                                    <w:t>(6.6%)</w:t>
                                  </w:r>
                                </w:p>
                              </w:tc>
                            </w:tr>
                          </w:tbl>
                          <w:p>
                            <w:pPr>
                              <w:pStyle w:val="BodyText"/>
                            </w:pPr>
                          </w:p>
                        </w:txbxContent>
                      </wps:txbx>
                      <wps:bodyPr wrap="square" lIns="0" tIns="0" rIns="0" bIns="0" rtlCol="0">
                        <a:noAutofit/>
                      </wps:bodyPr>
                    </wps:wsp>
                  </a:graphicData>
                </a:graphic>
              </wp:anchor>
            </w:drawing>
          </mc:Choice>
          <mc:Fallback>
            <w:pict>
              <v:shape style="position:absolute;margin-left:305.755005pt;margin-top:5.105054pt;width:245.2pt;height:108.25pt;mso-position-horizontal-relative:page;mso-position-vertical-relative:paragraph;z-index:15904256" type="#_x0000_t202" id="docshape1310" filled="false" stroked="false">
                <v:textbox inset="0,0,0,0">
                  <w:txbxContent>
                    <w:tbl>
                      <w:tblPr>
                        <w:tblW w:w="0" w:type="auto"/>
                        <w:jc w:val="left"/>
                        <w:tblInd w:w="62" w:type="dxa"/>
                        <w:tblBorders>
                          <w:top w:val="single" w:sz="2" w:space="0" w:color="636466"/>
                          <w:left w:val="single" w:sz="2" w:space="0" w:color="636466"/>
                          <w:bottom w:val="single" w:sz="2" w:space="0" w:color="636466"/>
                          <w:right w:val="single" w:sz="2" w:space="0" w:color="636466"/>
                          <w:insideH w:val="single" w:sz="2" w:space="0" w:color="636466"/>
                          <w:insideV w:val="single" w:sz="2" w:space="0" w:color="636466"/>
                        </w:tblBorders>
                        <w:tblLayout w:type="fixed"/>
                        <w:tblCellMar>
                          <w:top w:w="0" w:type="dxa"/>
                          <w:left w:w="0" w:type="dxa"/>
                          <w:bottom w:w="0" w:type="dxa"/>
                          <w:right w:w="0" w:type="dxa"/>
                        </w:tblCellMar>
                        <w:tblLook w:val="01E0"/>
                      </w:tblPr>
                      <w:tblGrid>
                        <w:gridCol w:w="4778"/>
                      </w:tblGrid>
                      <w:tr>
                        <w:trPr>
                          <w:trHeight w:val="355" w:hRule="atLeast"/>
                        </w:trPr>
                        <w:tc>
                          <w:tcPr>
                            <w:tcW w:w="4778" w:type="dxa"/>
                            <w:shd w:val="clear" w:color="auto" w:fill="00A79E"/>
                          </w:tcPr>
                          <w:p>
                            <w:pPr>
                              <w:pStyle w:val="TableParagraph"/>
                              <w:spacing w:before="90"/>
                              <w:ind w:left="79"/>
                              <w:rPr>
                                <w:b/>
                                <w:sz w:val="20"/>
                              </w:rPr>
                            </w:pPr>
                            <w:r>
                              <w:rPr>
                                <w:b/>
                                <w:color w:val="FFFFFF"/>
                                <w:spacing w:val="-2"/>
                                <w:sz w:val="20"/>
                              </w:rPr>
                              <w:t>BIGGEST</w:t>
                            </w:r>
                            <w:r>
                              <w:rPr>
                                <w:b/>
                                <w:color w:val="FFFFFF"/>
                                <w:spacing w:val="-6"/>
                                <w:sz w:val="20"/>
                              </w:rPr>
                              <w:t> </w:t>
                            </w:r>
                            <w:r>
                              <w:rPr>
                                <w:b/>
                                <w:color w:val="FFFFFF"/>
                                <w:spacing w:val="-2"/>
                                <w:sz w:val="20"/>
                              </w:rPr>
                              <w:t>FEAR</w:t>
                            </w:r>
                            <w:r>
                              <w:rPr>
                                <w:b/>
                                <w:color w:val="FFFFFF"/>
                                <w:spacing w:val="-6"/>
                                <w:sz w:val="20"/>
                              </w:rPr>
                              <w:t> </w:t>
                            </w:r>
                            <w:r>
                              <w:rPr>
                                <w:b/>
                                <w:color w:val="FFFFFF"/>
                                <w:spacing w:val="-2"/>
                                <w:sz w:val="20"/>
                              </w:rPr>
                              <w:t>-FOR</w:t>
                            </w:r>
                            <w:r>
                              <w:rPr>
                                <w:b/>
                                <w:color w:val="FFFFFF"/>
                                <w:spacing w:val="-5"/>
                                <w:sz w:val="20"/>
                              </w:rPr>
                              <w:t> </w:t>
                            </w:r>
                            <w:r>
                              <w:rPr>
                                <w:b/>
                                <w:color w:val="FFFFFF"/>
                                <w:spacing w:val="-2"/>
                                <w:sz w:val="20"/>
                              </w:rPr>
                              <w:t>OTHERS</w:t>
                            </w:r>
                          </w:p>
                        </w:tc>
                      </w:tr>
                      <w:tr>
                        <w:trPr>
                          <w:trHeight w:val="355" w:hRule="atLeast"/>
                        </w:trPr>
                        <w:tc>
                          <w:tcPr>
                            <w:tcW w:w="4778" w:type="dxa"/>
                          </w:tcPr>
                          <w:p>
                            <w:pPr>
                              <w:pStyle w:val="TableParagraph"/>
                              <w:spacing w:before="90"/>
                              <w:ind w:left="79"/>
                              <w:rPr>
                                <w:sz w:val="20"/>
                              </w:rPr>
                            </w:pPr>
                            <w:r>
                              <w:rPr>
                                <w:color w:val="105C84"/>
                                <w:sz w:val="20"/>
                              </w:rPr>
                              <w:t>Cancer</w:t>
                            </w:r>
                            <w:r>
                              <w:rPr>
                                <w:color w:val="105C84"/>
                                <w:spacing w:val="-10"/>
                                <w:sz w:val="20"/>
                              </w:rPr>
                              <w:t> </w:t>
                            </w:r>
                            <w:r>
                              <w:rPr>
                                <w:color w:val="105C84"/>
                                <w:spacing w:val="-2"/>
                                <w:sz w:val="20"/>
                              </w:rPr>
                              <w:t>(10.9%)</w:t>
                            </w:r>
                          </w:p>
                        </w:tc>
                      </w:tr>
                      <w:tr>
                        <w:trPr>
                          <w:trHeight w:val="355" w:hRule="atLeast"/>
                        </w:trPr>
                        <w:tc>
                          <w:tcPr>
                            <w:tcW w:w="4778" w:type="dxa"/>
                          </w:tcPr>
                          <w:p>
                            <w:pPr>
                              <w:pStyle w:val="TableParagraph"/>
                              <w:spacing w:before="90"/>
                              <w:ind w:left="79"/>
                              <w:rPr>
                                <w:sz w:val="20"/>
                              </w:rPr>
                            </w:pPr>
                            <w:r>
                              <w:rPr>
                                <w:color w:val="105C84"/>
                                <w:sz w:val="20"/>
                              </w:rPr>
                              <w:t>Mental</w:t>
                            </w:r>
                            <w:r>
                              <w:rPr>
                                <w:color w:val="105C84"/>
                                <w:spacing w:val="13"/>
                                <w:sz w:val="20"/>
                              </w:rPr>
                              <w:t> </w:t>
                            </w:r>
                            <w:r>
                              <w:rPr>
                                <w:color w:val="105C84"/>
                                <w:sz w:val="20"/>
                              </w:rPr>
                              <w:t>/</w:t>
                            </w:r>
                            <w:r>
                              <w:rPr>
                                <w:color w:val="105C84"/>
                                <w:spacing w:val="13"/>
                                <w:sz w:val="20"/>
                              </w:rPr>
                              <w:t> </w:t>
                            </w:r>
                            <w:r>
                              <w:rPr>
                                <w:color w:val="105C84"/>
                                <w:sz w:val="20"/>
                              </w:rPr>
                              <w:t>emotional</w:t>
                            </w:r>
                            <w:r>
                              <w:rPr>
                                <w:color w:val="105C84"/>
                                <w:spacing w:val="13"/>
                                <w:sz w:val="20"/>
                              </w:rPr>
                              <w:t> </w:t>
                            </w:r>
                            <w:r>
                              <w:rPr>
                                <w:color w:val="105C84"/>
                                <w:sz w:val="20"/>
                              </w:rPr>
                              <w:t>health</w:t>
                            </w:r>
                            <w:r>
                              <w:rPr>
                                <w:color w:val="105C84"/>
                                <w:spacing w:val="13"/>
                                <w:sz w:val="20"/>
                              </w:rPr>
                              <w:t> </w:t>
                            </w:r>
                            <w:r>
                              <w:rPr>
                                <w:color w:val="105C84"/>
                                <w:sz w:val="20"/>
                              </w:rPr>
                              <w:t>issues</w:t>
                            </w:r>
                            <w:r>
                              <w:rPr>
                                <w:color w:val="105C84"/>
                                <w:spacing w:val="13"/>
                                <w:sz w:val="20"/>
                              </w:rPr>
                              <w:t> </w:t>
                            </w:r>
                            <w:r>
                              <w:rPr>
                                <w:color w:val="105C84"/>
                                <w:spacing w:val="-2"/>
                                <w:sz w:val="20"/>
                              </w:rPr>
                              <w:t>(10.4%)</w:t>
                            </w:r>
                          </w:p>
                        </w:tc>
                      </w:tr>
                      <w:tr>
                        <w:trPr>
                          <w:trHeight w:val="355" w:hRule="atLeast"/>
                        </w:trPr>
                        <w:tc>
                          <w:tcPr>
                            <w:tcW w:w="4778" w:type="dxa"/>
                          </w:tcPr>
                          <w:p>
                            <w:pPr>
                              <w:pStyle w:val="TableParagraph"/>
                              <w:spacing w:before="90"/>
                              <w:ind w:left="79"/>
                              <w:rPr>
                                <w:sz w:val="20"/>
                              </w:rPr>
                            </w:pPr>
                            <w:r>
                              <w:rPr>
                                <w:color w:val="105C84"/>
                                <w:sz w:val="20"/>
                              </w:rPr>
                              <w:t>Heart</w:t>
                            </w:r>
                            <w:r>
                              <w:rPr>
                                <w:color w:val="105C84"/>
                                <w:spacing w:val="22"/>
                                <w:sz w:val="20"/>
                              </w:rPr>
                              <w:t> </w:t>
                            </w:r>
                            <w:r>
                              <w:rPr>
                                <w:color w:val="105C84"/>
                                <w:sz w:val="20"/>
                              </w:rPr>
                              <w:t>conditions</w:t>
                            </w:r>
                            <w:r>
                              <w:rPr>
                                <w:color w:val="105C84"/>
                                <w:spacing w:val="23"/>
                                <w:sz w:val="20"/>
                              </w:rPr>
                              <w:t> </w:t>
                            </w:r>
                            <w:r>
                              <w:rPr>
                                <w:color w:val="105C84"/>
                                <w:spacing w:val="-2"/>
                                <w:sz w:val="20"/>
                              </w:rPr>
                              <w:t>(8.0%)</w:t>
                            </w:r>
                          </w:p>
                        </w:tc>
                      </w:tr>
                      <w:tr>
                        <w:trPr>
                          <w:trHeight w:val="355" w:hRule="atLeast"/>
                        </w:trPr>
                        <w:tc>
                          <w:tcPr>
                            <w:tcW w:w="4778" w:type="dxa"/>
                          </w:tcPr>
                          <w:p>
                            <w:pPr>
                              <w:pStyle w:val="TableParagraph"/>
                              <w:spacing w:before="90"/>
                              <w:ind w:left="79"/>
                              <w:rPr>
                                <w:sz w:val="20"/>
                              </w:rPr>
                            </w:pPr>
                            <w:r>
                              <w:rPr>
                                <w:color w:val="105C84"/>
                                <w:sz w:val="20"/>
                              </w:rPr>
                              <w:t>Cost</w:t>
                            </w:r>
                            <w:r>
                              <w:rPr>
                                <w:color w:val="105C84"/>
                                <w:spacing w:val="4"/>
                                <w:sz w:val="20"/>
                              </w:rPr>
                              <w:t> </w:t>
                            </w:r>
                            <w:r>
                              <w:rPr>
                                <w:color w:val="105C84"/>
                                <w:spacing w:val="-2"/>
                                <w:sz w:val="20"/>
                              </w:rPr>
                              <w:t>(7.9%)</w:t>
                            </w:r>
                          </w:p>
                        </w:tc>
                      </w:tr>
                      <w:tr>
                        <w:trPr>
                          <w:trHeight w:val="355" w:hRule="atLeast"/>
                        </w:trPr>
                        <w:tc>
                          <w:tcPr>
                            <w:tcW w:w="4778" w:type="dxa"/>
                          </w:tcPr>
                          <w:p>
                            <w:pPr>
                              <w:pStyle w:val="TableParagraph"/>
                              <w:spacing w:before="90"/>
                              <w:ind w:left="79"/>
                              <w:rPr>
                                <w:sz w:val="20"/>
                              </w:rPr>
                            </w:pPr>
                            <w:r>
                              <w:rPr>
                                <w:color w:val="105C84"/>
                                <w:sz w:val="20"/>
                              </w:rPr>
                              <w:t>Diet</w:t>
                            </w:r>
                            <w:r>
                              <w:rPr>
                                <w:color w:val="105C84"/>
                                <w:spacing w:val="30"/>
                                <w:sz w:val="20"/>
                              </w:rPr>
                              <w:t> </w:t>
                            </w:r>
                            <w:r>
                              <w:rPr>
                                <w:color w:val="105C84"/>
                                <w:sz w:val="20"/>
                              </w:rPr>
                              <w:t>/</w:t>
                            </w:r>
                            <w:r>
                              <w:rPr>
                                <w:color w:val="105C84"/>
                                <w:spacing w:val="30"/>
                                <w:sz w:val="20"/>
                              </w:rPr>
                              <w:t> </w:t>
                            </w:r>
                            <w:r>
                              <w:rPr>
                                <w:color w:val="105C84"/>
                                <w:sz w:val="20"/>
                              </w:rPr>
                              <w:t>nutrition</w:t>
                            </w:r>
                            <w:r>
                              <w:rPr>
                                <w:color w:val="105C84"/>
                                <w:spacing w:val="31"/>
                                <w:sz w:val="20"/>
                              </w:rPr>
                              <w:t> </w:t>
                            </w:r>
                            <w:r>
                              <w:rPr>
                                <w:color w:val="105C84"/>
                                <w:spacing w:val="-2"/>
                                <w:sz w:val="20"/>
                              </w:rPr>
                              <w:t>(6.6%)</w:t>
                            </w:r>
                          </w:p>
                        </w:tc>
                      </w:tr>
                    </w:tbl>
                    <w:p>
                      <w:pPr>
                        <w:pStyle w:val="BodyText"/>
                      </w:pPr>
                    </w:p>
                  </w:txbxContent>
                </v:textbox>
                <w10:wrap type="none"/>
              </v:shape>
            </w:pict>
          </mc:Fallback>
        </mc:AlternateContent>
      </w:r>
      <w:r>
        <w:rPr>
          <w:color w:val="636466"/>
          <w:spacing w:val="-4"/>
          <w:sz w:val="18"/>
        </w:rPr>
        <w:t>2016</w:t>
      </w:r>
      <w:r>
        <w:rPr>
          <w:color w:val="636466"/>
          <w:sz w:val="18"/>
        </w:rPr>
        <w:tab/>
      </w:r>
      <w:r>
        <w:rPr>
          <w:color w:val="636466"/>
          <w:spacing w:val="-4"/>
          <w:sz w:val="18"/>
        </w:rPr>
        <w:t>2017</w:t>
      </w:r>
      <w:r>
        <w:rPr>
          <w:color w:val="636466"/>
          <w:sz w:val="18"/>
        </w:rPr>
        <w:tab/>
      </w:r>
      <w:r>
        <w:rPr>
          <w:color w:val="636466"/>
          <w:spacing w:val="-4"/>
          <w:sz w:val="18"/>
        </w:rPr>
        <w:t>2018</w:t>
      </w:r>
    </w:p>
    <w:p>
      <w:pPr>
        <w:spacing w:before="178"/>
        <w:ind w:left="14266" w:right="0" w:firstLine="0"/>
        <w:jc w:val="left"/>
        <w:rPr>
          <w:sz w:val="16"/>
        </w:rPr>
      </w:pPr>
      <w:r>
        <w:rPr>
          <w:color w:val="105B83"/>
          <w:sz w:val="16"/>
        </w:rPr>
        <w:t>Data</w:t>
      </w:r>
      <w:r>
        <w:rPr>
          <w:color w:val="105B83"/>
          <w:spacing w:val="-7"/>
          <w:sz w:val="16"/>
        </w:rPr>
        <w:t> </w:t>
      </w:r>
      <w:r>
        <w:rPr>
          <w:color w:val="105B83"/>
          <w:sz w:val="16"/>
        </w:rPr>
        <w:t>Source:</w:t>
      </w:r>
      <w:r>
        <w:rPr>
          <w:color w:val="105B83"/>
          <w:spacing w:val="-6"/>
          <w:sz w:val="16"/>
        </w:rPr>
        <w:t> </w:t>
      </w:r>
      <w:r>
        <w:rPr>
          <w:color w:val="105B83"/>
          <w:sz w:val="16"/>
        </w:rPr>
        <w:t>June</w:t>
      </w:r>
      <w:r>
        <w:rPr>
          <w:color w:val="105B83"/>
          <w:spacing w:val="-6"/>
          <w:sz w:val="16"/>
        </w:rPr>
        <w:t> </w:t>
      </w:r>
      <w:r>
        <w:rPr>
          <w:color w:val="105B83"/>
          <w:sz w:val="16"/>
        </w:rPr>
        <w:t>2018</w:t>
      </w:r>
      <w:r>
        <w:rPr>
          <w:color w:val="105B83"/>
          <w:spacing w:val="-7"/>
          <w:sz w:val="16"/>
        </w:rPr>
        <w:t> </w:t>
      </w:r>
      <w:r>
        <w:rPr>
          <w:color w:val="105B83"/>
          <w:sz w:val="16"/>
        </w:rPr>
        <w:t>Common</w:t>
      </w:r>
      <w:r>
        <w:rPr>
          <w:color w:val="105B83"/>
          <w:spacing w:val="-6"/>
          <w:sz w:val="16"/>
        </w:rPr>
        <w:t> </w:t>
      </w:r>
      <w:r>
        <w:rPr>
          <w:color w:val="105B83"/>
          <w:sz w:val="16"/>
        </w:rPr>
        <w:t>Ground</w:t>
      </w:r>
      <w:r>
        <w:rPr>
          <w:color w:val="105B83"/>
          <w:spacing w:val="-6"/>
          <w:sz w:val="16"/>
        </w:rPr>
        <w:t> </w:t>
      </w:r>
      <w:r>
        <w:rPr>
          <w:color w:val="105B83"/>
          <w:sz w:val="16"/>
        </w:rPr>
        <w:t>Health</w:t>
      </w:r>
      <w:r>
        <w:rPr>
          <w:color w:val="105B83"/>
          <w:spacing w:val="-6"/>
          <w:sz w:val="16"/>
        </w:rPr>
        <w:t> </w:t>
      </w:r>
      <w:r>
        <w:rPr>
          <w:color w:val="105B83"/>
          <w:sz w:val="16"/>
        </w:rPr>
        <w:t>Hypertension</w:t>
      </w:r>
      <w:r>
        <w:rPr>
          <w:color w:val="105B83"/>
          <w:spacing w:val="-7"/>
          <w:sz w:val="16"/>
        </w:rPr>
        <w:t> </w:t>
      </w:r>
      <w:r>
        <w:rPr>
          <w:color w:val="105B83"/>
          <w:spacing w:val="-2"/>
          <w:sz w:val="16"/>
        </w:rPr>
        <w:t>Registry</w:t>
      </w:r>
    </w:p>
    <w:p>
      <w:pPr>
        <w:pStyle w:val="BodyText"/>
        <w:spacing w:before="122"/>
        <w:rPr>
          <w:sz w:val="16"/>
        </w:rPr>
      </w:pPr>
    </w:p>
    <w:p>
      <w:pPr>
        <w:pStyle w:val="BodyText"/>
        <w:spacing w:line="247" w:lineRule="auto"/>
        <w:ind w:left="13319" w:right="389"/>
      </w:pPr>
      <w:r>
        <w:rPr>
          <w:color w:val="105C84"/>
        </w:rPr>
        <w:t>Obesity may also lead to increased risk of developing diabetes. In Yates County, rates of persons diagnosed with diabetes has remained around 14% over the past several years.</w:t>
      </w:r>
      <w:r>
        <w:rPr>
          <w:color w:val="105C84"/>
          <w:position w:val="7"/>
          <w:sz w:val="13"/>
        </w:rPr>
        <w:t>51</w:t>
      </w:r>
      <w:r>
        <w:rPr>
          <w:color w:val="105C84"/>
          <w:spacing w:val="40"/>
          <w:position w:val="7"/>
          <w:sz w:val="13"/>
        </w:rPr>
        <w:t> </w:t>
      </w:r>
      <w:r>
        <w:rPr>
          <w:color w:val="105C84"/>
        </w:rPr>
        <w:t>Regionally, respondents</w:t>
      </w:r>
      <w:r>
        <w:rPr>
          <w:color w:val="105C84"/>
          <w:spacing w:val="22"/>
        </w:rPr>
        <w:t> </w:t>
      </w:r>
      <w:r>
        <w:rPr>
          <w:color w:val="105C84"/>
        </w:rPr>
        <w:t>to</w:t>
      </w:r>
      <w:r>
        <w:rPr>
          <w:color w:val="105C84"/>
          <w:spacing w:val="22"/>
        </w:rPr>
        <w:t> </w:t>
      </w:r>
      <w:r>
        <w:rPr>
          <w:i/>
          <w:color w:val="105C84"/>
        </w:rPr>
        <w:t>My</w:t>
      </w:r>
      <w:r>
        <w:rPr>
          <w:i/>
          <w:color w:val="105C84"/>
          <w:spacing w:val="22"/>
        </w:rPr>
        <w:t> </w:t>
      </w:r>
      <w:r>
        <w:rPr>
          <w:i/>
          <w:color w:val="105C84"/>
        </w:rPr>
        <w:t>Health</w:t>
      </w:r>
      <w:r>
        <w:rPr>
          <w:i/>
          <w:color w:val="105C84"/>
          <w:spacing w:val="22"/>
        </w:rPr>
        <w:t> </w:t>
      </w:r>
      <w:r>
        <w:rPr>
          <w:i/>
          <w:color w:val="105C84"/>
        </w:rPr>
        <w:t>Story</w:t>
      </w:r>
      <w:r>
        <w:rPr>
          <w:i/>
          <w:color w:val="105C84"/>
          <w:spacing w:val="22"/>
        </w:rPr>
        <w:t> </w:t>
      </w:r>
      <w:r>
        <w:rPr>
          <w:i/>
          <w:color w:val="105C84"/>
        </w:rPr>
        <w:t>2018</w:t>
      </w:r>
      <w:r>
        <w:rPr>
          <w:i/>
          <w:color w:val="105C84"/>
          <w:spacing w:val="22"/>
        </w:rPr>
        <w:t> </w:t>
      </w:r>
      <w:r>
        <w:rPr>
          <w:color w:val="105C84"/>
        </w:rPr>
        <w:t>indicated</w:t>
      </w:r>
      <w:r>
        <w:rPr>
          <w:color w:val="105C84"/>
          <w:spacing w:val="22"/>
        </w:rPr>
        <w:t> </w:t>
      </w:r>
      <w:r>
        <w:rPr>
          <w:color w:val="105C84"/>
        </w:rPr>
        <w:t>that</w:t>
      </w:r>
      <w:r>
        <w:rPr>
          <w:color w:val="105C84"/>
          <w:spacing w:val="22"/>
        </w:rPr>
        <w:t> </w:t>
      </w:r>
      <w:r>
        <w:rPr>
          <w:color w:val="105C84"/>
        </w:rPr>
        <w:t>better</w:t>
      </w:r>
      <w:r>
        <w:rPr>
          <w:color w:val="105C84"/>
          <w:spacing w:val="22"/>
        </w:rPr>
        <w:t> </w:t>
      </w:r>
      <w:r>
        <w:rPr>
          <w:color w:val="105C84"/>
        </w:rPr>
        <w:t>diet</w:t>
      </w:r>
      <w:r>
        <w:rPr>
          <w:color w:val="105C84"/>
          <w:spacing w:val="22"/>
        </w:rPr>
        <w:t> </w:t>
      </w:r>
      <w:r>
        <w:rPr>
          <w:color w:val="105C84"/>
        </w:rPr>
        <w:t>and</w:t>
      </w:r>
      <w:r>
        <w:rPr>
          <w:color w:val="105C84"/>
          <w:spacing w:val="22"/>
        </w:rPr>
        <w:t> </w:t>
      </w:r>
      <w:r>
        <w:rPr>
          <w:color w:val="105C84"/>
        </w:rPr>
        <w:t>nutrition</w:t>
      </w:r>
      <w:r>
        <w:rPr>
          <w:color w:val="105C84"/>
          <w:spacing w:val="22"/>
        </w:rPr>
        <w:t> </w:t>
      </w:r>
      <w:r>
        <w:rPr>
          <w:color w:val="105C84"/>
        </w:rPr>
        <w:t>habits</w:t>
      </w:r>
      <w:r>
        <w:rPr>
          <w:color w:val="105C84"/>
          <w:spacing w:val="22"/>
        </w:rPr>
        <w:t> </w:t>
      </w:r>
      <w:r>
        <w:rPr>
          <w:color w:val="105C84"/>
        </w:rPr>
        <w:t>would</w:t>
      </w:r>
      <w:r>
        <w:rPr>
          <w:color w:val="105C84"/>
          <w:spacing w:val="22"/>
        </w:rPr>
        <w:t> </w:t>
      </w:r>
      <w:r>
        <w:rPr>
          <w:color w:val="105C84"/>
        </w:rPr>
        <w:t>help</w:t>
      </w:r>
      <w:r>
        <w:rPr>
          <w:color w:val="105C84"/>
          <w:spacing w:val="22"/>
        </w:rPr>
        <w:t> </w:t>
      </w:r>
      <w:r>
        <w:rPr>
          <w:color w:val="105C84"/>
        </w:rPr>
        <w:t>them manage their diabetes (and hypertension) better.</w:t>
      </w:r>
    </w:p>
    <w:p>
      <w:pPr>
        <w:pStyle w:val="BodyText"/>
        <w:spacing w:line="247" w:lineRule="auto" w:before="178"/>
        <w:ind w:left="13319" w:right="389"/>
      </w:pPr>
      <w:r>
        <w:rPr/>
        <mc:AlternateContent>
          <mc:Choice Requires="wps">
            <w:drawing>
              <wp:anchor distT="0" distB="0" distL="0" distR="0" allowOverlap="1" layoutInCell="1" locked="0" behindDoc="0" simplePos="0" relativeHeight="15904768">
                <wp:simplePos x="0" y="0"/>
                <wp:positionH relativeFrom="page">
                  <wp:posOffset>647700</wp:posOffset>
                </wp:positionH>
                <wp:positionV relativeFrom="paragraph">
                  <wp:posOffset>287260</wp:posOffset>
                </wp:positionV>
                <wp:extent cx="2967355" cy="1374775"/>
                <wp:effectExtent l="0" t="0" r="0" b="0"/>
                <wp:wrapNone/>
                <wp:docPr id="1650" name="Textbox 1650"/>
                <wp:cNvGraphicFramePr>
                  <a:graphicFrameLocks/>
                </wp:cNvGraphicFramePr>
                <a:graphic>
                  <a:graphicData uri="http://schemas.microsoft.com/office/word/2010/wordprocessingShape">
                    <wps:wsp>
                      <wps:cNvPr id="1650" name="Textbox 1650"/>
                      <wps:cNvSpPr txBox="1"/>
                      <wps:spPr>
                        <a:xfrm>
                          <a:off x="0" y="0"/>
                          <a:ext cx="2967355" cy="1374775"/>
                        </a:xfrm>
                        <a:prstGeom prst="rect">
                          <a:avLst/>
                        </a:prstGeom>
                      </wps:spPr>
                      <wps:txbx>
                        <w:txbxContent>
                          <w:tbl>
                            <w:tblPr>
                              <w:tblW w:w="0" w:type="auto"/>
                              <w:jc w:val="left"/>
                              <w:tblInd w:w="62" w:type="dxa"/>
                              <w:tblBorders>
                                <w:top w:val="single" w:sz="2" w:space="0" w:color="636466"/>
                                <w:left w:val="single" w:sz="2" w:space="0" w:color="636466"/>
                                <w:bottom w:val="single" w:sz="2" w:space="0" w:color="636466"/>
                                <w:right w:val="single" w:sz="2" w:space="0" w:color="636466"/>
                                <w:insideH w:val="single" w:sz="2" w:space="0" w:color="636466"/>
                                <w:insideV w:val="single" w:sz="2" w:space="0" w:color="636466"/>
                              </w:tblBorders>
                              <w:tblLayout w:type="fixed"/>
                              <w:tblCellMar>
                                <w:top w:w="0" w:type="dxa"/>
                                <w:left w:w="0" w:type="dxa"/>
                                <w:bottom w:w="0" w:type="dxa"/>
                                <w:right w:w="0" w:type="dxa"/>
                              </w:tblCellMar>
                              <w:tblLook w:val="01E0"/>
                            </w:tblPr>
                            <w:tblGrid>
                              <w:gridCol w:w="4548"/>
                            </w:tblGrid>
                            <w:tr>
                              <w:trPr>
                                <w:trHeight w:val="355" w:hRule="atLeast"/>
                              </w:trPr>
                              <w:tc>
                                <w:tcPr>
                                  <w:tcW w:w="4548" w:type="dxa"/>
                                  <w:shd w:val="clear" w:color="auto" w:fill="939598"/>
                                </w:tcPr>
                                <w:p>
                                  <w:pPr>
                                    <w:pStyle w:val="TableParagraph"/>
                                    <w:spacing w:before="90"/>
                                    <w:ind w:left="80"/>
                                    <w:rPr>
                                      <w:b/>
                                      <w:sz w:val="20"/>
                                    </w:rPr>
                                  </w:pPr>
                                  <w:r>
                                    <w:rPr>
                                      <w:b/>
                                      <w:color w:val="FFFFFF"/>
                                      <w:sz w:val="20"/>
                                    </w:rPr>
                                    <w:t>COUNTY</w:t>
                                  </w:r>
                                  <w:r>
                                    <w:rPr>
                                      <w:b/>
                                      <w:color w:val="FFFFFF"/>
                                      <w:spacing w:val="2"/>
                                      <w:sz w:val="20"/>
                                    </w:rPr>
                                    <w:t> </w:t>
                                  </w:r>
                                  <w:r>
                                    <w:rPr>
                                      <w:b/>
                                      <w:color w:val="FFFFFF"/>
                                      <w:sz w:val="20"/>
                                    </w:rPr>
                                    <w:t>PRIORITY</w:t>
                                  </w:r>
                                  <w:r>
                                    <w:rPr>
                                      <w:b/>
                                      <w:color w:val="FFFFFF"/>
                                      <w:spacing w:val="3"/>
                                      <w:sz w:val="20"/>
                                    </w:rPr>
                                    <w:t> </w:t>
                                  </w:r>
                                  <w:r>
                                    <w:rPr>
                                      <w:b/>
                                      <w:color w:val="FFFFFF"/>
                                      <w:sz w:val="20"/>
                                    </w:rPr>
                                    <w:t>-</w:t>
                                  </w:r>
                                  <w:r>
                                    <w:rPr>
                                      <w:b/>
                                      <w:color w:val="FFFFFF"/>
                                      <w:spacing w:val="2"/>
                                      <w:sz w:val="20"/>
                                    </w:rPr>
                                    <w:t> </w:t>
                                  </w:r>
                                  <w:r>
                                    <w:rPr>
                                      <w:b/>
                                      <w:color w:val="FFFFFF"/>
                                      <w:sz w:val="20"/>
                                    </w:rPr>
                                    <w:t>FOR</w:t>
                                  </w:r>
                                  <w:r>
                                    <w:rPr>
                                      <w:b/>
                                      <w:color w:val="FFFFFF"/>
                                      <w:spacing w:val="3"/>
                                      <w:sz w:val="20"/>
                                    </w:rPr>
                                    <w:t> </w:t>
                                  </w:r>
                                  <w:r>
                                    <w:rPr>
                                      <w:b/>
                                      <w:color w:val="FFFFFF"/>
                                      <w:spacing w:val="-2"/>
                                      <w:sz w:val="20"/>
                                    </w:rPr>
                                    <w:t>ADULTS</w:t>
                                  </w:r>
                                </w:p>
                              </w:tc>
                            </w:tr>
                            <w:tr>
                              <w:trPr>
                                <w:trHeight w:val="355" w:hRule="atLeast"/>
                              </w:trPr>
                              <w:tc>
                                <w:tcPr>
                                  <w:tcW w:w="4548" w:type="dxa"/>
                                </w:tcPr>
                                <w:p>
                                  <w:pPr>
                                    <w:pStyle w:val="TableParagraph"/>
                                    <w:spacing w:before="90"/>
                                    <w:ind w:left="80"/>
                                    <w:rPr>
                                      <w:sz w:val="20"/>
                                    </w:rPr>
                                  </w:pPr>
                                  <w:r>
                                    <w:rPr>
                                      <w:color w:val="105C84"/>
                                      <w:sz w:val="20"/>
                                    </w:rPr>
                                    <w:t>Substance</w:t>
                                  </w:r>
                                  <w:r>
                                    <w:rPr>
                                      <w:color w:val="105C84"/>
                                      <w:spacing w:val="-11"/>
                                      <w:sz w:val="20"/>
                                    </w:rPr>
                                    <w:t> </w:t>
                                  </w:r>
                                  <w:r>
                                    <w:rPr>
                                      <w:color w:val="105C84"/>
                                      <w:sz w:val="20"/>
                                    </w:rPr>
                                    <w:t>abuse</w:t>
                                  </w:r>
                                  <w:r>
                                    <w:rPr>
                                      <w:color w:val="105C84"/>
                                      <w:spacing w:val="-10"/>
                                      <w:sz w:val="20"/>
                                    </w:rPr>
                                    <w:t> </w:t>
                                  </w:r>
                                  <w:r>
                                    <w:rPr>
                                      <w:color w:val="105C84"/>
                                      <w:spacing w:val="-2"/>
                                      <w:sz w:val="20"/>
                                    </w:rPr>
                                    <w:t>(27.8%)</w:t>
                                  </w:r>
                                </w:p>
                              </w:tc>
                            </w:tr>
                            <w:tr>
                              <w:trPr>
                                <w:trHeight w:val="355" w:hRule="atLeast"/>
                              </w:trPr>
                              <w:tc>
                                <w:tcPr>
                                  <w:tcW w:w="4548" w:type="dxa"/>
                                </w:tcPr>
                                <w:p>
                                  <w:pPr>
                                    <w:pStyle w:val="TableParagraph"/>
                                    <w:spacing w:before="90"/>
                                    <w:ind w:left="80"/>
                                    <w:rPr>
                                      <w:sz w:val="20"/>
                                    </w:rPr>
                                  </w:pPr>
                                  <w:r>
                                    <w:rPr>
                                      <w:color w:val="105C84"/>
                                      <w:sz w:val="20"/>
                                    </w:rPr>
                                    <w:t>Weight</w:t>
                                  </w:r>
                                  <w:r>
                                    <w:rPr>
                                      <w:color w:val="105C84"/>
                                      <w:spacing w:val="27"/>
                                      <w:sz w:val="20"/>
                                    </w:rPr>
                                    <w:t> </w:t>
                                  </w:r>
                                  <w:r>
                                    <w:rPr>
                                      <w:color w:val="105C84"/>
                                      <w:spacing w:val="-2"/>
                                      <w:sz w:val="20"/>
                                    </w:rPr>
                                    <w:t>(13.1%)</w:t>
                                  </w:r>
                                </w:p>
                              </w:tc>
                            </w:tr>
                            <w:tr>
                              <w:trPr>
                                <w:trHeight w:val="355" w:hRule="atLeast"/>
                              </w:trPr>
                              <w:tc>
                                <w:tcPr>
                                  <w:tcW w:w="4548" w:type="dxa"/>
                                </w:tcPr>
                                <w:p>
                                  <w:pPr>
                                    <w:pStyle w:val="TableParagraph"/>
                                    <w:spacing w:before="90"/>
                                    <w:ind w:left="80"/>
                                    <w:rPr>
                                      <w:sz w:val="20"/>
                                    </w:rPr>
                                  </w:pPr>
                                  <w:r>
                                    <w:rPr>
                                      <w:color w:val="105C84"/>
                                      <w:sz w:val="20"/>
                                    </w:rPr>
                                    <w:t>Mental</w:t>
                                  </w:r>
                                  <w:r>
                                    <w:rPr>
                                      <w:color w:val="105C84"/>
                                      <w:spacing w:val="13"/>
                                      <w:sz w:val="20"/>
                                    </w:rPr>
                                    <w:t> </w:t>
                                  </w:r>
                                  <w:r>
                                    <w:rPr>
                                      <w:color w:val="105C84"/>
                                      <w:sz w:val="20"/>
                                    </w:rPr>
                                    <w:t>/</w:t>
                                  </w:r>
                                  <w:r>
                                    <w:rPr>
                                      <w:color w:val="105C84"/>
                                      <w:spacing w:val="13"/>
                                      <w:sz w:val="20"/>
                                    </w:rPr>
                                    <w:t> </w:t>
                                  </w:r>
                                  <w:r>
                                    <w:rPr>
                                      <w:color w:val="105C84"/>
                                      <w:sz w:val="20"/>
                                    </w:rPr>
                                    <w:t>emotional</w:t>
                                  </w:r>
                                  <w:r>
                                    <w:rPr>
                                      <w:color w:val="105C84"/>
                                      <w:spacing w:val="13"/>
                                      <w:sz w:val="20"/>
                                    </w:rPr>
                                    <w:t> </w:t>
                                  </w:r>
                                  <w:r>
                                    <w:rPr>
                                      <w:color w:val="105C84"/>
                                      <w:sz w:val="20"/>
                                    </w:rPr>
                                    <w:t>health</w:t>
                                  </w:r>
                                  <w:r>
                                    <w:rPr>
                                      <w:color w:val="105C84"/>
                                      <w:spacing w:val="13"/>
                                      <w:sz w:val="20"/>
                                    </w:rPr>
                                    <w:t> </w:t>
                                  </w:r>
                                  <w:r>
                                    <w:rPr>
                                      <w:color w:val="105C84"/>
                                      <w:sz w:val="20"/>
                                    </w:rPr>
                                    <w:t>issues</w:t>
                                  </w:r>
                                  <w:r>
                                    <w:rPr>
                                      <w:color w:val="105C84"/>
                                      <w:spacing w:val="13"/>
                                      <w:sz w:val="20"/>
                                    </w:rPr>
                                    <w:t> </w:t>
                                  </w:r>
                                  <w:r>
                                    <w:rPr>
                                      <w:color w:val="105C84"/>
                                      <w:spacing w:val="-2"/>
                                      <w:sz w:val="20"/>
                                    </w:rPr>
                                    <w:t>(10.7%)</w:t>
                                  </w:r>
                                </w:p>
                              </w:tc>
                            </w:tr>
                            <w:tr>
                              <w:trPr>
                                <w:trHeight w:val="355" w:hRule="atLeast"/>
                              </w:trPr>
                              <w:tc>
                                <w:tcPr>
                                  <w:tcW w:w="4548" w:type="dxa"/>
                                </w:tcPr>
                                <w:p>
                                  <w:pPr>
                                    <w:pStyle w:val="TableParagraph"/>
                                    <w:spacing w:before="90"/>
                                    <w:ind w:left="80"/>
                                    <w:rPr>
                                      <w:sz w:val="20"/>
                                    </w:rPr>
                                  </w:pPr>
                                  <w:r>
                                    <w:rPr>
                                      <w:color w:val="105C84"/>
                                      <w:sz w:val="20"/>
                                    </w:rPr>
                                    <w:t>Cost</w:t>
                                  </w:r>
                                  <w:r>
                                    <w:rPr>
                                      <w:color w:val="105C84"/>
                                      <w:spacing w:val="6"/>
                                      <w:sz w:val="20"/>
                                    </w:rPr>
                                    <w:t> </w:t>
                                  </w:r>
                                  <w:r>
                                    <w:rPr>
                                      <w:color w:val="105C84"/>
                                      <w:spacing w:val="-2"/>
                                      <w:sz w:val="20"/>
                                    </w:rPr>
                                    <w:t>(10.6%)</w:t>
                                  </w:r>
                                </w:p>
                              </w:tc>
                            </w:tr>
                            <w:tr>
                              <w:trPr>
                                <w:trHeight w:val="355" w:hRule="atLeast"/>
                              </w:trPr>
                              <w:tc>
                                <w:tcPr>
                                  <w:tcW w:w="4548" w:type="dxa"/>
                                </w:tcPr>
                                <w:p>
                                  <w:pPr>
                                    <w:pStyle w:val="TableParagraph"/>
                                    <w:spacing w:before="90"/>
                                    <w:ind w:left="80"/>
                                    <w:rPr>
                                      <w:sz w:val="20"/>
                                    </w:rPr>
                                  </w:pPr>
                                  <w:r>
                                    <w:rPr>
                                      <w:color w:val="105C84"/>
                                      <w:sz w:val="20"/>
                                    </w:rPr>
                                    <w:t>Diet</w:t>
                                  </w:r>
                                  <w:r>
                                    <w:rPr>
                                      <w:color w:val="105C84"/>
                                      <w:spacing w:val="30"/>
                                      <w:sz w:val="20"/>
                                    </w:rPr>
                                    <w:t> </w:t>
                                  </w:r>
                                  <w:r>
                                    <w:rPr>
                                      <w:color w:val="105C84"/>
                                      <w:sz w:val="20"/>
                                    </w:rPr>
                                    <w:t>/</w:t>
                                  </w:r>
                                  <w:r>
                                    <w:rPr>
                                      <w:color w:val="105C84"/>
                                      <w:spacing w:val="30"/>
                                      <w:sz w:val="20"/>
                                    </w:rPr>
                                    <w:t> </w:t>
                                  </w:r>
                                  <w:r>
                                    <w:rPr>
                                      <w:color w:val="105C84"/>
                                      <w:sz w:val="20"/>
                                    </w:rPr>
                                    <w:t>nutrition</w:t>
                                  </w:r>
                                  <w:r>
                                    <w:rPr>
                                      <w:color w:val="105C84"/>
                                      <w:spacing w:val="31"/>
                                      <w:sz w:val="20"/>
                                    </w:rPr>
                                    <w:t> </w:t>
                                  </w:r>
                                  <w:r>
                                    <w:rPr>
                                      <w:color w:val="105C84"/>
                                      <w:spacing w:val="-2"/>
                                      <w:sz w:val="20"/>
                                    </w:rPr>
                                    <w:t>(10.0%)</w:t>
                                  </w:r>
                                </w:p>
                              </w:tc>
                            </w:tr>
                          </w:tbl>
                          <w:p>
                            <w:pPr>
                              <w:pStyle w:val="BodyText"/>
                            </w:pPr>
                          </w:p>
                        </w:txbxContent>
                      </wps:txbx>
                      <wps:bodyPr wrap="square" lIns="0" tIns="0" rIns="0" bIns="0" rtlCol="0">
                        <a:noAutofit/>
                      </wps:bodyPr>
                    </wps:wsp>
                  </a:graphicData>
                </a:graphic>
              </wp:anchor>
            </w:drawing>
          </mc:Choice>
          <mc:Fallback>
            <w:pict>
              <v:shape style="position:absolute;margin-left:51pt;margin-top:22.618921pt;width:233.65pt;height:108.25pt;mso-position-horizontal-relative:page;mso-position-vertical-relative:paragraph;z-index:15904768" type="#_x0000_t202" id="docshape1311" filled="false" stroked="false">
                <v:textbox inset="0,0,0,0">
                  <w:txbxContent>
                    <w:tbl>
                      <w:tblPr>
                        <w:tblW w:w="0" w:type="auto"/>
                        <w:jc w:val="left"/>
                        <w:tblInd w:w="62" w:type="dxa"/>
                        <w:tblBorders>
                          <w:top w:val="single" w:sz="2" w:space="0" w:color="636466"/>
                          <w:left w:val="single" w:sz="2" w:space="0" w:color="636466"/>
                          <w:bottom w:val="single" w:sz="2" w:space="0" w:color="636466"/>
                          <w:right w:val="single" w:sz="2" w:space="0" w:color="636466"/>
                          <w:insideH w:val="single" w:sz="2" w:space="0" w:color="636466"/>
                          <w:insideV w:val="single" w:sz="2" w:space="0" w:color="636466"/>
                        </w:tblBorders>
                        <w:tblLayout w:type="fixed"/>
                        <w:tblCellMar>
                          <w:top w:w="0" w:type="dxa"/>
                          <w:left w:w="0" w:type="dxa"/>
                          <w:bottom w:w="0" w:type="dxa"/>
                          <w:right w:w="0" w:type="dxa"/>
                        </w:tblCellMar>
                        <w:tblLook w:val="01E0"/>
                      </w:tblPr>
                      <w:tblGrid>
                        <w:gridCol w:w="4548"/>
                      </w:tblGrid>
                      <w:tr>
                        <w:trPr>
                          <w:trHeight w:val="355" w:hRule="atLeast"/>
                        </w:trPr>
                        <w:tc>
                          <w:tcPr>
                            <w:tcW w:w="4548" w:type="dxa"/>
                            <w:shd w:val="clear" w:color="auto" w:fill="939598"/>
                          </w:tcPr>
                          <w:p>
                            <w:pPr>
                              <w:pStyle w:val="TableParagraph"/>
                              <w:spacing w:before="90"/>
                              <w:ind w:left="80"/>
                              <w:rPr>
                                <w:b/>
                                <w:sz w:val="20"/>
                              </w:rPr>
                            </w:pPr>
                            <w:r>
                              <w:rPr>
                                <w:b/>
                                <w:color w:val="FFFFFF"/>
                                <w:sz w:val="20"/>
                              </w:rPr>
                              <w:t>COUNTY</w:t>
                            </w:r>
                            <w:r>
                              <w:rPr>
                                <w:b/>
                                <w:color w:val="FFFFFF"/>
                                <w:spacing w:val="2"/>
                                <w:sz w:val="20"/>
                              </w:rPr>
                              <w:t> </w:t>
                            </w:r>
                            <w:r>
                              <w:rPr>
                                <w:b/>
                                <w:color w:val="FFFFFF"/>
                                <w:sz w:val="20"/>
                              </w:rPr>
                              <w:t>PRIORITY</w:t>
                            </w:r>
                            <w:r>
                              <w:rPr>
                                <w:b/>
                                <w:color w:val="FFFFFF"/>
                                <w:spacing w:val="3"/>
                                <w:sz w:val="20"/>
                              </w:rPr>
                              <w:t> </w:t>
                            </w:r>
                            <w:r>
                              <w:rPr>
                                <w:b/>
                                <w:color w:val="FFFFFF"/>
                                <w:sz w:val="20"/>
                              </w:rPr>
                              <w:t>-</w:t>
                            </w:r>
                            <w:r>
                              <w:rPr>
                                <w:b/>
                                <w:color w:val="FFFFFF"/>
                                <w:spacing w:val="2"/>
                                <w:sz w:val="20"/>
                              </w:rPr>
                              <w:t> </w:t>
                            </w:r>
                            <w:r>
                              <w:rPr>
                                <w:b/>
                                <w:color w:val="FFFFFF"/>
                                <w:sz w:val="20"/>
                              </w:rPr>
                              <w:t>FOR</w:t>
                            </w:r>
                            <w:r>
                              <w:rPr>
                                <w:b/>
                                <w:color w:val="FFFFFF"/>
                                <w:spacing w:val="3"/>
                                <w:sz w:val="20"/>
                              </w:rPr>
                              <w:t> </w:t>
                            </w:r>
                            <w:r>
                              <w:rPr>
                                <w:b/>
                                <w:color w:val="FFFFFF"/>
                                <w:spacing w:val="-2"/>
                                <w:sz w:val="20"/>
                              </w:rPr>
                              <w:t>ADULTS</w:t>
                            </w:r>
                          </w:p>
                        </w:tc>
                      </w:tr>
                      <w:tr>
                        <w:trPr>
                          <w:trHeight w:val="355" w:hRule="atLeast"/>
                        </w:trPr>
                        <w:tc>
                          <w:tcPr>
                            <w:tcW w:w="4548" w:type="dxa"/>
                          </w:tcPr>
                          <w:p>
                            <w:pPr>
                              <w:pStyle w:val="TableParagraph"/>
                              <w:spacing w:before="90"/>
                              <w:ind w:left="80"/>
                              <w:rPr>
                                <w:sz w:val="20"/>
                              </w:rPr>
                            </w:pPr>
                            <w:r>
                              <w:rPr>
                                <w:color w:val="105C84"/>
                                <w:sz w:val="20"/>
                              </w:rPr>
                              <w:t>Substance</w:t>
                            </w:r>
                            <w:r>
                              <w:rPr>
                                <w:color w:val="105C84"/>
                                <w:spacing w:val="-11"/>
                                <w:sz w:val="20"/>
                              </w:rPr>
                              <w:t> </w:t>
                            </w:r>
                            <w:r>
                              <w:rPr>
                                <w:color w:val="105C84"/>
                                <w:sz w:val="20"/>
                              </w:rPr>
                              <w:t>abuse</w:t>
                            </w:r>
                            <w:r>
                              <w:rPr>
                                <w:color w:val="105C84"/>
                                <w:spacing w:val="-10"/>
                                <w:sz w:val="20"/>
                              </w:rPr>
                              <w:t> </w:t>
                            </w:r>
                            <w:r>
                              <w:rPr>
                                <w:color w:val="105C84"/>
                                <w:spacing w:val="-2"/>
                                <w:sz w:val="20"/>
                              </w:rPr>
                              <w:t>(27.8%)</w:t>
                            </w:r>
                          </w:p>
                        </w:tc>
                      </w:tr>
                      <w:tr>
                        <w:trPr>
                          <w:trHeight w:val="355" w:hRule="atLeast"/>
                        </w:trPr>
                        <w:tc>
                          <w:tcPr>
                            <w:tcW w:w="4548" w:type="dxa"/>
                          </w:tcPr>
                          <w:p>
                            <w:pPr>
                              <w:pStyle w:val="TableParagraph"/>
                              <w:spacing w:before="90"/>
                              <w:ind w:left="80"/>
                              <w:rPr>
                                <w:sz w:val="20"/>
                              </w:rPr>
                            </w:pPr>
                            <w:r>
                              <w:rPr>
                                <w:color w:val="105C84"/>
                                <w:sz w:val="20"/>
                              </w:rPr>
                              <w:t>Weight</w:t>
                            </w:r>
                            <w:r>
                              <w:rPr>
                                <w:color w:val="105C84"/>
                                <w:spacing w:val="27"/>
                                <w:sz w:val="20"/>
                              </w:rPr>
                              <w:t> </w:t>
                            </w:r>
                            <w:r>
                              <w:rPr>
                                <w:color w:val="105C84"/>
                                <w:spacing w:val="-2"/>
                                <w:sz w:val="20"/>
                              </w:rPr>
                              <w:t>(13.1%)</w:t>
                            </w:r>
                          </w:p>
                        </w:tc>
                      </w:tr>
                      <w:tr>
                        <w:trPr>
                          <w:trHeight w:val="355" w:hRule="atLeast"/>
                        </w:trPr>
                        <w:tc>
                          <w:tcPr>
                            <w:tcW w:w="4548" w:type="dxa"/>
                          </w:tcPr>
                          <w:p>
                            <w:pPr>
                              <w:pStyle w:val="TableParagraph"/>
                              <w:spacing w:before="90"/>
                              <w:ind w:left="80"/>
                              <w:rPr>
                                <w:sz w:val="20"/>
                              </w:rPr>
                            </w:pPr>
                            <w:r>
                              <w:rPr>
                                <w:color w:val="105C84"/>
                                <w:sz w:val="20"/>
                              </w:rPr>
                              <w:t>Mental</w:t>
                            </w:r>
                            <w:r>
                              <w:rPr>
                                <w:color w:val="105C84"/>
                                <w:spacing w:val="13"/>
                                <w:sz w:val="20"/>
                              </w:rPr>
                              <w:t> </w:t>
                            </w:r>
                            <w:r>
                              <w:rPr>
                                <w:color w:val="105C84"/>
                                <w:sz w:val="20"/>
                              </w:rPr>
                              <w:t>/</w:t>
                            </w:r>
                            <w:r>
                              <w:rPr>
                                <w:color w:val="105C84"/>
                                <w:spacing w:val="13"/>
                                <w:sz w:val="20"/>
                              </w:rPr>
                              <w:t> </w:t>
                            </w:r>
                            <w:r>
                              <w:rPr>
                                <w:color w:val="105C84"/>
                                <w:sz w:val="20"/>
                              </w:rPr>
                              <w:t>emotional</w:t>
                            </w:r>
                            <w:r>
                              <w:rPr>
                                <w:color w:val="105C84"/>
                                <w:spacing w:val="13"/>
                                <w:sz w:val="20"/>
                              </w:rPr>
                              <w:t> </w:t>
                            </w:r>
                            <w:r>
                              <w:rPr>
                                <w:color w:val="105C84"/>
                                <w:sz w:val="20"/>
                              </w:rPr>
                              <w:t>health</w:t>
                            </w:r>
                            <w:r>
                              <w:rPr>
                                <w:color w:val="105C84"/>
                                <w:spacing w:val="13"/>
                                <w:sz w:val="20"/>
                              </w:rPr>
                              <w:t> </w:t>
                            </w:r>
                            <w:r>
                              <w:rPr>
                                <w:color w:val="105C84"/>
                                <w:sz w:val="20"/>
                              </w:rPr>
                              <w:t>issues</w:t>
                            </w:r>
                            <w:r>
                              <w:rPr>
                                <w:color w:val="105C84"/>
                                <w:spacing w:val="13"/>
                                <w:sz w:val="20"/>
                              </w:rPr>
                              <w:t> </w:t>
                            </w:r>
                            <w:r>
                              <w:rPr>
                                <w:color w:val="105C84"/>
                                <w:spacing w:val="-2"/>
                                <w:sz w:val="20"/>
                              </w:rPr>
                              <w:t>(10.7%)</w:t>
                            </w:r>
                          </w:p>
                        </w:tc>
                      </w:tr>
                      <w:tr>
                        <w:trPr>
                          <w:trHeight w:val="355" w:hRule="atLeast"/>
                        </w:trPr>
                        <w:tc>
                          <w:tcPr>
                            <w:tcW w:w="4548" w:type="dxa"/>
                          </w:tcPr>
                          <w:p>
                            <w:pPr>
                              <w:pStyle w:val="TableParagraph"/>
                              <w:spacing w:before="90"/>
                              <w:ind w:left="80"/>
                              <w:rPr>
                                <w:sz w:val="20"/>
                              </w:rPr>
                            </w:pPr>
                            <w:r>
                              <w:rPr>
                                <w:color w:val="105C84"/>
                                <w:sz w:val="20"/>
                              </w:rPr>
                              <w:t>Cost</w:t>
                            </w:r>
                            <w:r>
                              <w:rPr>
                                <w:color w:val="105C84"/>
                                <w:spacing w:val="6"/>
                                <w:sz w:val="20"/>
                              </w:rPr>
                              <w:t> </w:t>
                            </w:r>
                            <w:r>
                              <w:rPr>
                                <w:color w:val="105C84"/>
                                <w:spacing w:val="-2"/>
                                <w:sz w:val="20"/>
                              </w:rPr>
                              <w:t>(10.6%)</w:t>
                            </w:r>
                          </w:p>
                        </w:tc>
                      </w:tr>
                      <w:tr>
                        <w:trPr>
                          <w:trHeight w:val="355" w:hRule="atLeast"/>
                        </w:trPr>
                        <w:tc>
                          <w:tcPr>
                            <w:tcW w:w="4548" w:type="dxa"/>
                          </w:tcPr>
                          <w:p>
                            <w:pPr>
                              <w:pStyle w:val="TableParagraph"/>
                              <w:spacing w:before="90"/>
                              <w:ind w:left="80"/>
                              <w:rPr>
                                <w:sz w:val="20"/>
                              </w:rPr>
                            </w:pPr>
                            <w:r>
                              <w:rPr>
                                <w:color w:val="105C84"/>
                                <w:sz w:val="20"/>
                              </w:rPr>
                              <w:t>Diet</w:t>
                            </w:r>
                            <w:r>
                              <w:rPr>
                                <w:color w:val="105C84"/>
                                <w:spacing w:val="30"/>
                                <w:sz w:val="20"/>
                              </w:rPr>
                              <w:t> </w:t>
                            </w:r>
                            <w:r>
                              <w:rPr>
                                <w:color w:val="105C84"/>
                                <w:sz w:val="20"/>
                              </w:rPr>
                              <w:t>/</w:t>
                            </w:r>
                            <w:r>
                              <w:rPr>
                                <w:color w:val="105C84"/>
                                <w:spacing w:val="30"/>
                                <w:sz w:val="20"/>
                              </w:rPr>
                              <w:t> </w:t>
                            </w:r>
                            <w:r>
                              <w:rPr>
                                <w:color w:val="105C84"/>
                                <w:sz w:val="20"/>
                              </w:rPr>
                              <w:t>nutrition</w:t>
                            </w:r>
                            <w:r>
                              <w:rPr>
                                <w:color w:val="105C84"/>
                                <w:spacing w:val="31"/>
                                <w:sz w:val="20"/>
                              </w:rPr>
                              <w:t> </w:t>
                            </w:r>
                            <w:r>
                              <w:rPr>
                                <w:color w:val="105C84"/>
                                <w:spacing w:val="-2"/>
                                <w:sz w:val="20"/>
                              </w:rPr>
                              <w:t>(10.0%)</w:t>
                            </w:r>
                          </w:p>
                        </w:tc>
                      </w:tr>
                    </w:tbl>
                    <w:p>
                      <w:pPr>
                        <w:pStyle w:val="BodyText"/>
                      </w:pPr>
                    </w:p>
                  </w:txbxContent>
                </v:textbox>
                <w10:wrap type="none"/>
              </v:shape>
            </w:pict>
          </mc:Fallback>
        </mc:AlternateContent>
      </w:r>
      <w:r>
        <w:rPr/>
        <mc:AlternateContent>
          <mc:Choice Requires="wps">
            <w:drawing>
              <wp:anchor distT="0" distB="0" distL="0" distR="0" allowOverlap="1" layoutInCell="1" locked="0" behindDoc="0" simplePos="0" relativeHeight="15905280">
                <wp:simplePos x="0" y="0"/>
                <wp:positionH relativeFrom="page">
                  <wp:posOffset>3883088</wp:posOffset>
                </wp:positionH>
                <wp:positionV relativeFrom="paragraph">
                  <wp:posOffset>287260</wp:posOffset>
                </wp:positionV>
                <wp:extent cx="3114040" cy="1374775"/>
                <wp:effectExtent l="0" t="0" r="0" b="0"/>
                <wp:wrapNone/>
                <wp:docPr id="1651" name="Textbox 1651"/>
                <wp:cNvGraphicFramePr>
                  <a:graphicFrameLocks/>
                </wp:cNvGraphicFramePr>
                <a:graphic>
                  <a:graphicData uri="http://schemas.microsoft.com/office/word/2010/wordprocessingShape">
                    <wps:wsp>
                      <wps:cNvPr id="1651" name="Textbox 1651"/>
                      <wps:cNvSpPr txBox="1"/>
                      <wps:spPr>
                        <a:xfrm>
                          <a:off x="0" y="0"/>
                          <a:ext cx="3114040" cy="1374775"/>
                        </a:xfrm>
                        <a:prstGeom prst="rect">
                          <a:avLst/>
                        </a:prstGeom>
                      </wps:spPr>
                      <wps:txbx>
                        <w:txbxContent>
                          <w:tbl>
                            <w:tblPr>
                              <w:tblW w:w="0" w:type="auto"/>
                              <w:jc w:val="left"/>
                              <w:tblInd w:w="62" w:type="dxa"/>
                              <w:tblBorders>
                                <w:top w:val="single" w:sz="2" w:space="0" w:color="636466"/>
                                <w:left w:val="single" w:sz="2" w:space="0" w:color="636466"/>
                                <w:bottom w:val="single" w:sz="2" w:space="0" w:color="636466"/>
                                <w:right w:val="single" w:sz="2" w:space="0" w:color="636466"/>
                                <w:insideH w:val="single" w:sz="2" w:space="0" w:color="636466"/>
                                <w:insideV w:val="single" w:sz="2" w:space="0" w:color="636466"/>
                              </w:tblBorders>
                              <w:tblLayout w:type="fixed"/>
                              <w:tblCellMar>
                                <w:top w:w="0" w:type="dxa"/>
                                <w:left w:w="0" w:type="dxa"/>
                                <w:bottom w:w="0" w:type="dxa"/>
                                <w:right w:w="0" w:type="dxa"/>
                              </w:tblCellMar>
                              <w:tblLook w:val="01E0"/>
                            </w:tblPr>
                            <w:tblGrid>
                              <w:gridCol w:w="4778"/>
                            </w:tblGrid>
                            <w:tr>
                              <w:trPr>
                                <w:trHeight w:val="355" w:hRule="atLeast"/>
                              </w:trPr>
                              <w:tc>
                                <w:tcPr>
                                  <w:tcW w:w="4778" w:type="dxa"/>
                                  <w:shd w:val="clear" w:color="auto" w:fill="1C75BC"/>
                                </w:tcPr>
                                <w:p>
                                  <w:pPr>
                                    <w:pStyle w:val="TableParagraph"/>
                                    <w:spacing w:before="90"/>
                                    <w:ind w:left="79"/>
                                    <w:rPr>
                                      <w:b/>
                                      <w:sz w:val="20"/>
                                    </w:rPr>
                                  </w:pPr>
                                  <w:r>
                                    <w:rPr>
                                      <w:b/>
                                      <w:color w:val="FFFFFF"/>
                                      <w:sz w:val="20"/>
                                    </w:rPr>
                                    <w:t>COUNTY</w:t>
                                  </w:r>
                                  <w:r>
                                    <w:rPr>
                                      <w:b/>
                                      <w:color w:val="FFFFFF"/>
                                      <w:spacing w:val="2"/>
                                      <w:sz w:val="20"/>
                                    </w:rPr>
                                    <w:t> </w:t>
                                  </w:r>
                                  <w:r>
                                    <w:rPr>
                                      <w:b/>
                                      <w:color w:val="FFFFFF"/>
                                      <w:sz w:val="20"/>
                                    </w:rPr>
                                    <w:t>PRIORITY</w:t>
                                  </w:r>
                                  <w:r>
                                    <w:rPr>
                                      <w:b/>
                                      <w:color w:val="FFFFFF"/>
                                      <w:spacing w:val="3"/>
                                      <w:sz w:val="20"/>
                                    </w:rPr>
                                    <w:t> </w:t>
                                  </w:r>
                                  <w:r>
                                    <w:rPr>
                                      <w:b/>
                                      <w:color w:val="FFFFFF"/>
                                      <w:sz w:val="20"/>
                                    </w:rPr>
                                    <w:t>-</w:t>
                                  </w:r>
                                  <w:r>
                                    <w:rPr>
                                      <w:b/>
                                      <w:color w:val="FFFFFF"/>
                                      <w:spacing w:val="2"/>
                                      <w:sz w:val="20"/>
                                    </w:rPr>
                                    <w:t> </w:t>
                                  </w:r>
                                  <w:r>
                                    <w:rPr>
                                      <w:b/>
                                      <w:color w:val="FFFFFF"/>
                                      <w:sz w:val="20"/>
                                    </w:rPr>
                                    <w:t>FOR</w:t>
                                  </w:r>
                                  <w:r>
                                    <w:rPr>
                                      <w:b/>
                                      <w:color w:val="FFFFFF"/>
                                      <w:spacing w:val="3"/>
                                      <w:sz w:val="20"/>
                                    </w:rPr>
                                    <w:t> </w:t>
                                  </w:r>
                                  <w:r>
                                    <w:rPr>
                                      <w:b/>
                                      <w:color w:val="FFFFFF"/>
                                      <w:spacing w:val="-2"/>
                                      <w:sz w:val="20"/>
                                    </w:rPr>
                                    <w:t>CHILDREN</w:t>
                                  </w:r>
                                </w:p>
                              </w:tc>
                            </w:tr>
                            <w:tr>
                              <w:trPr>
                                <w:trHeight w:val="355" w:hRule="atLeast"/>
                              </w:trPr>
                              <w:tc>
                                <w:tcPr>
                                  <w:tcW w:w="4778" w:type="dxa"/>
                                </w:tcPr>
                                <w:p>
                                  <w:pPr>
                                    <w:pStyle w:val="TableParagraph"/>
                                    <w:spacing w:before="90"/>
                                    <w:ind w:left="79"/>
                                    <w:rPr>
                                      <w:sz w:val="20"/>
                                    </w:rPr>
                                  </w:pPr>
                                  <w:r>
                                    <w:rPr>
                                      <w:color w:val="105C84"/>
                                      <w:sz w:val="20"/>
                                    </w:rPr>
                                    <w:t>Substance</w:t>
                                  </w:r>
                                  <w:r>
                                    <w:rPr>
                                      <w:color w:val="105C84"/>
                                      <w:spacing w:val="-11"/>
                                      <w:sz w:val="20"/>
                                    </w:rPr>
                                    <w:t> </w:t>
                                  </w:r>
                                  <w:r>
                                    <w:rPr>
                                      <w:color w:val="105C84"/>
                                      <w:sz w:val="20"/>
                                    </w:rPr>
                                    <w:t>abuse</w:t>
                                  </w:r>
                                  <w:r>
                                    <w:rPr>
                                      <w:color w:val="105C84"/>
                                      <w:spacing w:val="-10"/>
                                      <w:sz w:val="20"/>
                                    </w:rPr>
                                    <w:t> </w:t>
                                  </w:r>
                                  <w:r>
                                    <w:rPr>
                                      <w:color w:val="105C84"/>
                                      <w:spacing w:val="-2"/>
                                      <w:sz w:val="20"/>
                                    </w:rPr>
                                    <w:t>(26.3%)</w:t>
                                  </w:r>
                                </w:p>
                              </w:tc>
                            </w:tr>
                            <w:tr>
                              <w:trPr>
                                <w:trHeight w:val="355" w:hRule="atLeast"/>
                              </w:trPr>
                              <w:tc>
                                <w:tcPr>
                                  <w:tcW w:w="4778" w:type="dxa"/>
                                </w:tcPr>
                                <w:p>
                                  <w:pPr>
                                    <w:pStyle w:val="TableParagraph"/>
                                    <w:spacing w:before="90"/>
                                    <w:ind w:left="79"/>
                                    <w:rPr>
                                      <w:sz w:val="20"/>
                                    </w:rPr>
                                  </w:pPr>
                                  <w:r>
                                    <w:rPr>
                                      <w:color w:val="105C84"/>
                                      <w:sz w:val="20"/>
                                    </w:rPr>
                                    <w:t>Diet</w:t>
                                  </w:r>
                                  <w:r>
                                    <w:rPr>
                                      <w:color w:val="105C84"/>
                                      <w:spacing w:val="30"/>
                                      <w:sz w:val="20"/>
                                    </w:rPr>
                                    <w:t> </w:t>
                                  </w:r>
                                  <w:r>
                                    <w:rPr>
                                      <w:color w:val="105C84"/>
                                      <w:sz w:val="20"/>
                                    </w:rPr>
                                    <w:t>/</w:t>
                                  </w:r>
                                  <w:r>
                                    <w:rPr>
                                      <w:color w:val="105C84"/>
                                      <w:spacing w:val="30"/>
                                      <w:sz w:val="20"/>
                                    </w:rPr>
                                    <w:t> </w:t>
                                  </w:r>
                                  <w:r>
                                    <w:rPr>
                                      <w:color w:val="105C84"/>
                                      <w:sz w:val="20"/>
                                    </w:rPr>
                                    <w:t>nutrition</w:t>
                                  </w:r>
                                  <w:r>
                                    <w:rPr>
                                      <w:color w:val="105C84"/>
                                      <w:spacing w:val="31"/>
                                      <w:sz w:val="20"/>
                                    </w:rPr>
                                    <w:t> </w:t>
                                  </w:r>
                                  <w:r>
                                    <w:rPr>
                                      <w:color w:val="105C84"/>
                                      <w:spacing w:val="-2"/>
                                      <w:sz w:val="20"/>
                                    </w:rPr>
                                    <w:t>(25.0%)</w:t>
                                  </w:r>
                                </w:p>
                              </w:tc>
                            </w:tr>
                            <w:tr>
                              <w:trPr>
                                <w:trHeight w:val="355" w:hRule="atLeast"/>
                              </w:trPr>
                              <w:tc>
                                <w:tcPr>
                                  <w:tcW w:w="4778" w:type="dxa"/>
                                </w:tcPr>
                                <w:p>
                                  <w:pPr>
                                    <w:pStyle w:val="TableParagraph"/>
                                    <w:spacing w:before="90"/>
                                    <w:ind w:left="79"/>
                                    <w:rPr>
                                      <w:sz w:val="20"/>
                                    </w:rPr>
                                  </w:pPr>
                                  <w:r>
                                    <w:rPr>
                                      <w:color w:val="105C84"/>
                                      <w:spacing w:val="-4"/>
                                      <w:sz w:val="20"/>
                                    </w:rPr>
                                    <w:t>Exercise</w:t>
                                  </w:r>
                                  <w:r>
                                    <w:rPr>
                                      <w:color w:val="105C84"/>
                                      <w:spacing w:val="3"/>
                                      <w:sz w:val="20"/>
                                    </w:rPr>
                                    <w:t> </w:t>
                                  </w:r>
                                  <w:r>
                                    <w:rPr>
                                      <w:color w:val="105C84"/>
                                      <w:spacing w:val="-2"/>
                                      <w:sz w:val="20"/>
                                    </w:rPr>
                                    <w:t>(19.9%)</w:t>
                                  </w:r>
                                </w:p>
                              </w:tc>
                            </w:tr>
                            <w:tr>
                              <w:trPr>
                                <w:trHeight w:val="355" w:hRule="atLeast"/>
                              </w:trPr>
                              <w:tc>
                                <w:tcPr>
                                  <w:tcW w:w="4778" w:type="dxa"/>
                                </w:tcPr>
                                <w:p>
                                  <w:pPr>
                                    <w:pStyle w:val="TableParagraph"/>
                                    <w:spacing w:before="90"/>
                                    <w:ind w:left="79"/>
                                    <w:rPr>
                                      <w:sz w:val="20"/>
                                    </w:rPr>
                                  </w:pPr>
                                  <w:r>
                                    <w:rPr>
                                      <w:color w:val="105C84"/>
                                      <w:sz w:val="20"/>
                                    </w:rPr>
                                    <w:t>Mental</w:t>
                                  </w:r>
                                  <w:r>
                                    <w:rPr>
                                      <w:color w:val="105C84"/>
                                      <w:spacing w:val="13"/>
                                      <w:sz w:val="20"/>
                                    </w:rPr>
                                    <w:t> </w:t>
                                  </w:r>
                                  <w:r>
                                    <w:rPr>
                                      <w:color w:val="105C84"/>
                                      <w:sz w:val="20"/>
                                    </w:rPr>
                                    <w:t>/</w:t>
                                  </w:r>
                                  <w:r>
                                    <w:rPr>
                                      <w:color w:val="105C84"/>
                                      <w:spacing w:val="13"/>
                                      <w:sz w:val="20"/>
                                    </w:rPr>
                                    <w:t> </w:t>
                                  </w:r>
                                  <w:r>
                                    <w:rPr>
                                      <w:color w:val="105C84"/>
                                      <w:sz w:val="20"/>
                                    </w:rPr>
                                    <w:t>emotional</w:t>
                                  </w:r>
                                  <w:r>
                                    <w:rPr>
                                      <w:color w:val="105C84"/>
                                      <w:spacing w:val="13"/>
                                      <w:sz w:val="20"/>
                                    </w:rPr>
                                    <w:t> </w:t>
                                  </w:r>
                                  <w:r>
                                    <w:rPr>
                                      <w:color w:val="105C84"/>
                                      <w:sz w:val="20"/>
                                    </w:rPr>
                                    <w:t>health</w:t>
                                  </w:r>
                                  <w:r>
                                    <w:rPr>
                                      <w:color w:val="105C84"/>
                                      <w:spacing w:val="13"/>
                                      <w:sz w:val="20"/>
                                    </w:rPr>
                                    <w:t> </w:t>
                                  </w:r>
                                  <w:r>
                                    <w:rPr>
                                      <w:color w:val="105C84"/>
                                      <w:sz w:val="20"/>
                                    </w:rPr>
                                    <w:t>issues</w:t>
                                  </w:r>
                                  <w:r>
                                    <w:rPr>
                                      <w:color w:val="105C84"/>
                                      <w:spacing w:val="13"/>
                                      <w:sz w:val="20"/>
                                    </w:rPr>
                                    <w:t> </w:t>
                                  </w:r>
                                  <w:r>
                                    <w:rPr>
                                      <w:color w:val="105C84"/>
                                      <w:spacing w:val="-2"/>
                                      <w:sz w:val="20"/>
                                    </w:rPr>
                                    <w:t>(9.2%)</w:t>
                                  </w:r>
                                </w:p>
                              </w:tc>
                            </w:tr>
                            <w:tr>
                              <w:trPr>
                                <w:trHeight w:val="355" w:hRule="atLeast"/>
                              </w:trPr>
                              <w:tc>
                                <w:tcPr>
                                  <w:tcW w:w="4778" w:type="dxa"/>
                                </w:tcPr>
                                <w:p>
                                  <w:pPr>
                                    <w:pStyle w:val="TableParagraph"/>
                                    <w:spacing w:before="90"/>
                                    <w:ind w:left="79"/>
                                    <w:rPr>
                                      <w:sz w:val="20"/>
                                    </w:rPr>
                                  </w:pPr>
                                  <w:r>
                                    <w:rPr>
                                      <w:color w:val="105C84"/>
                                      <w:sz w:val="20"/>
                                    </w:rPr>
                                    <w:t>Weight</w:t>
                                  </w:r>
                                  <w:r>
                                    <w:rPr>
                                      <w:color w:val="105C84"/>
                                      <w:spacing w:val="27"/>
                                      <w:sz w:val="20"/>
                                    </w:rPr>
                                    <w:t> </w:t>
                                  </w:r>
                                  <w:r>
                                    <w:rPr>
                                      <w:color w:val="105C84"/>
                                      <w:spacing w:val="-2"/>
                                      <w:sz w:val="20"/>
                                    </w:rPr>
                                    <w:t>(7.5%)</w:t>
                                  </w:r>
                                </w:p>
                              </w:tc>
                            </w:tr>
                          </w:tbl>
                          <w:p>
                            <w:pPr>
                              <w:pStyle w:val="BodyText"/>
                            </w:pPr>
                          </w:p>
                        </w:txbxContent>
                      </wps:txbx>
                      <wps:bodyPr wrap="square" lIns="0" tIns="0" rIns="0" bIns="0" rtlCol="0">
                        <a:noAutofit/>
                      </wps:bodyPr>
                    </wps:wsp>
                  </a:graphicData>
                </a:graphic>
              </wp:anchor>
            </w:drawing>
          </mc:Choice>
          <mc:Fallback>
            <w:pict>
              <v:shape style="position:absolute;margin-left:305.755005pt;margin-top:22.618921pt;width:245.2pt;height:108.25pt;mso-position-horizontal-relative:page;mso-position-vertical-relative:paragraph;z-index:15905280" type="#_x0000_t202" id="docshape1312" filled="false" stroked="false">
                <v:textbox inset="0,0,0,0">
                  <w:txbxContent>
                    <w:tbl>
                      <w:tblPr>
                        <w:tblW w:w="0" w:type="auto"/>
                        <w:jc w:val="left"/>
                        <w:tblInd w:w="62" w:type="dxa"/>
                        <w:tblBorders>
                          <w:top w:val="single" w:sz="2" w:space="0" w:color="636466"/>
                          <w:left w:val="single" w:sz="2" w:space="0" w:color="636466"/>
                          <w:bottom w:val="single" w:sz="2" w:space="0" w:color="636466"/>
                          <w:right w:val="single" w:sz="2" w:space="0" w:color="636466"/>
                          <w:insideH w:val="single" w:sz="2" w:space="0" w:color="636466"/>
                          <w:insideV w:val="single" w:sz="2" w:space="0" w:color="636466"/>
                        </w:tblBorders>
                        <w:tblLayout w:type="fixed"/>
                        <w:tblCellMar>
                          <w:top w:w="0" w:type="dxa"/>
                          <w:left w:w="0" w:type="dxa"/>
                          <w:bottom w:w="0" w:type="dxa"/>
                          <w:right w:w="0" w:type="dxa"/>
                        </w:tblCellMar>
                        <w:tblLook w:val="01E0"/>
                      </w:tblPr>
                      <w:tblGrid>
                        <w:gridCol w:w="4778"/>
                      </w:tblGrid>
                      <w:tr>
                        <w:trPr>
                          <w:trHeight w:val="355" w:hRule="atLeast"/>
                        </w:trPr>
                        <w:tc>
                          <w:tcPr>
                            <w:tcW w:w="4778" w:type="dxa"/>
                            <w:shd w:val="clear" w:color="auto" w:fill="1C75BC"/>
                          </w:tcPr>
                          <w:p>
                            <w:pPr>
                              <w:pStyle w:val="TableParagraph"/>
                              <w:spacing w:before="90"/>
                              <w:ind w:left="79"/>
                              <w:rPr>
                                <w:b/>
                                <w:sz w:val="20"/>
                              </w:rPr>
                            </w:pPr>
                            <w:r>
                              <w:rPr>
                                <w:b/>
                                <w:color w:val="FFFFFF"/>
                                <w:sz w:val="20"/>
                              </w:rPr>
                              <w:t>COUNTY</w:t>
                            </w:r>
                            <w:r>
                              <w:rPr>
                                <w:b/>
                                <w:color w:val="FFFFFF"/>
                                <w:spacing w:val="2"/>
                                <w:sz w:val="20"/>
                              </w:rPr>
                              <w:t> </w:t>
                            </w:r>
                            <w:r>
                              <w:rPr>
                                <w:b/>
                                <w:color w:val="FFFFFF"/>
                                <w:sz w:val="20"/>
                              </w:rPr>
                              <w:t>PRIORITY</w:t>
                            </w:r>
                            <w:r>
                              <w:rPr>
                                <w:b/>
                                <w:color w:val="FFFFFF"/>
                                <w:spacing w:val="3"/>
                                <w:sz w:val="20"/>
                              </w:rPr>
                              <w:t> </w:t>
                            </w:r>
                            <w:r>
                              <w:rPr>
                                <w:b/>
                                <w:color w:val="FFFFFF"/>
                                <w:sz w:val="20"/>
                              </w:rPr>
                              <w:t>-</w:t>
                            </w:r>
                            <w:r>
                              <w:rPr>
                                <w:b/>
                                <w:color w:val="FFFFFF"/>
                                <w:spacing w:val="2"/>
                                <w:sz w:val="20"/>
                              </w:rPr>
                              <w:t> </w:t>
                            </w:r>
                            <w:r>
                              <w:rPr>
                                <w:b/>
                                <w:color w:val="FFFFFF"/>
                                <w:sz w:val="20"/>
                              </w:rPr>
                              <w:t>FOR</w:t>
                            </w:r>
                            <w:r>
                              <w:rPr>
                                <w:b/>
                                <w:color w:val="FFFFFF"/>
                                <w:spacing w:val="3"/>
                                <w:sz w:val="20"/>
                              </w:rPr>
                              <w:t> </w:t>
                            </w:r>
                            <w:r>
                              <w:rPr>
                                <w:b/>
                                <w:color w:val="FFFFFF"/>
                                <w:spacing w:val="-2"/>
                                <w:sz w:val="20"/>
                              </w:rPr>
                              <w:t>CHILDREN</w:t>
                            </w:r>
                          </w:p>
                        </w:tc>
                      </w:tr>
                      <w:tr>
                        <w:trPr>
                          <w:trHeight w:val="355" w:hRule="atLeast"/>
                        </w:trPr>
                        <w:tc>
                          <w:tcPr>
                            <w:tcW w:w="4778" w:type="dxa"/>
                          </w:tcPr>
                          <w:p>
                            <w:pPr>
                              <w:pStyle w:val="TableParagraph"/>
                              <w:spacing w:before="90"/>
                              <w:ind w:left="79"/>
                              <w:rPr>
                                <w:sz w:val="20"/>
                              </w:rPr>
                            </w:pPr>
                            <w:r>
                              <w:rPr>
                                <w:color w:val="105C84"/>
                                <w:sz w:val="20"/>
                              </w:rPr>
                              <w:t>Substance</w:t>
                            </w:r>
                            <w:r>
                              <w:rPr>
                                <w:color w:val="105C84"/>
                                <w:spacing w:val="-11"/>
                                <w:sz w:val="20"/>
                              </w:rPr>
                              <w:t> </w:t>
                            </w:r>
                            <w:r>
                              <w:rPr>
                                <w:color w:val="105C84"/>
                                <w:sz w:val="20"/>
                              </w:rPr>
                              <w:t>abuse</w:t>
                            </w:r>
                            <w:r>
                              <w:rPr>
                                <w:color w:val="105C84"/>
                                <w:spacing w:val="-10"/>
                                <w:sz w:val="20"/>
                              </w:rPr>
                              <w:t> </w:t>
                            </w:r>
                            <w:r>
                              <w:rPr>
                                <w:color w:val="105C84"/>
                                <w:spacing w:val="-2"/>
                                <w:sz w:val="20"/>
                              </w:rPr>
                              <w:t>(26.3%)</w:t>
                            </w:r>
                          </w:p>
                        </w:tc>
                      </w:tr>
                      <w:tr>
                        <w:trPr>
                          <w:trHeight w:val="355" w:hRule="atLeast"/>
                        </w:trPr>
                        <w:tc>
                          <w:tcPr>
                            <w:tcW w:w="4778" w:type="dxa"/>
                          </w:tcPr>
                          <w:p>
                            <w:pPr>
                              <w:pStyle w:val="TableParagraph"/>
                              <w:spacing w:before="90"/>
                              <w:ind w:left="79"/>
                              <w:rPr>
                                <w:sz w:val="20"/>
                              </w:rPr>
                            </w:pPr>
                            <w:r>
                              <w:rPr>
                                <w:color w:val="105C84"/>
                                <w:sz w:val="20"/>
                              </w:rPr>
                              <w:t>Diet</w:t>
                            </w:r>
                            <w:r>
                              <w:rPr>
                                <w:color w:val="105C84"/>
                                <w:spacing w:val="30"/>
                                <w:sz w:val="20"/>
                              </w:rPr>
                              <w:t> </w:t>
                            </w:r>
                            <w:r>
                              <w:rPr>
                                <w:color w:val="105C84"/>
                                <w:sz w:val="20"/>
                              </w:rPr>
                              <w:t>/</w:t>
                            </w:r>
                            <w:r>
                              <w:rPr>
                                <w:color w:val="105C84"/>
                                <w:spacing w:val="30"/>
                                <w:sz w:val="20"/>
                              </w:rPr>
                              <w:t> </w:t>
                            </w:r>
                            <w:r>
                              <w:rPr>
                                <w:color w:val="105C84"/>
                                <w:sz w:val="20"/>
                              </w:rPr>
                              <w:t>nutrition</w:t>
                            </w:r>
                            <w:r>
                              <w:rPr>
                                <w:color w:val="105C84"/>
                                <w:spacing w:val="31"/>
                                <w:sz w:val="20"/>
                              </w:rPr>
                              <w:t> </w:t>
                            </w:r>
                            <w:r>
                              <w:rPr>
                                <w:color w:val="105C84"/>
                                <w:spacing w:val="-2"/>
                                <w:sz w:val="20"/>
                              </w:rPr>
                              <w:t>(25.0%)</w:t>
                            </w:r>
                          </w:p>
                        </w:tc>
                      </w:tr>
                      <w:tr>
                        <w:trPr>
                          <w:trHeight w:val="355" w:hRule="atLeast"/>
                        </w:trPr>
                        <w:tc>
                          <w:tcPr>
                            <w:tcW w:w="4778" w:type="dxa"/>
                          </w:tcPr>
                          <w:p>
                            <w:pPr>
                              <w:pStyle w:val="TableParagraph"/>
                              <w:spacing w:before="90"/>
                              <w:ind w:left="79"/>
                              <w:rPr>
                                <w:sz w:val="20"/>
                              </w:rPr>
                            </w:pPr>
                            <w:r>
                              <w:rPr>
                                <w:color w:val="105C84"/>
                                <w:spacing w:val="-4"/>
                                <w:sz w:val="20"/>
                              </w:rPr>
                              <w:t>Exercise</w:t>
                            </w:r>
                            <w:r>
                              <w:rPr>
                                <w:color w:val="105C84"/>
                                <w:spacing w:val="3"/>
                                <w:sz w:val="20"/>
                              </w:rPr>
                              <w:t> </w:t>
                            </w:r>
                            <w:r>
                              <w:rPr>
                                <w:color w:val="105C84"/>
                                <w:spacing w:val="-2"/>
                                <w:sz w:val="20"/>
                              </w:rPr>
                              <w:t>(19.9%)</w:t>
                            </w:r>
                          </w:p>
                        </w:tc>
                      </w:tr>
                      <w:tr>
                        <w:trPr>
                          <w:trHeight w:val="355" w:hRule="atLeast"/>
                        </w:trPr>
                        <w:tc>
                          <w:tcPr>
                            <w:tcW w:w="4778" w:type="dxa"/>
                          </w:tcPr>
                          <w:p>
                            <w:pPr>
                              <w:pStyle w:val="TableParagraph"/>
                              <w:spacing w:before="90"/>
                              <w:ind w:left="79"/>
                              <w:rPr>
                                <w:sz w:val="20"/>
                              </w:rPr>
                            </w:pPr>
                            <w:r>
                              <w:rPr>
                                <w:color w:val="105C84"/>
                                <w:sz w:val="20"/>
                              </w:rPr>
                              <w:t>Mental</w:t>
                            </w:r>
                            <w:r>
                              <w:rPr>
                                <w:color w:val="105C84"/>
                                <w:spacing w:val="13"/>
                                <w:sz w:val="20"/>
                              </w:rPr>
                              <w:t> </w:t>
                            </w:r>
                            <w:r>
                              <w:rPr>
                                <w:color w:val="105C84"/>
                                <w:sz w:val="20"/>
                              </w:rPr>
                              <w:t>/</w:t>
                            </w:r>
                            <w:r>
                              <w:rPr>
                                <w:color w:val="105C84"/>
                                <w:spacing w:val="13"/>
                                <w:sz w:val="20"/>
                              </w:rPr>
                              <w:t> </w:t>
                            </w:r>
                            <w:r>
                              <w:rPr>
                                <w:color w:val="105C84"/>
                                <w:sz w:val="20"/>
                              </w:rPr>
                              <w:t>emotional</w:t>
                            </w:r>
                            <w:r>
                              <w:rPr>
                                <w:color w:val="105C84"/>
                                <w:spacing w:val="13"/>
                                <w:sz w:val="20"/>
                              </w:rPr>
                              <w:t> </w:t>
                            </w:r>
                            <w:r>
                              <w:rPr>
                                <w:color w:val="105C84"/>
                                <w:sz w:val="20"/>
                              </w:rPr>
                              <w:t>health</w:t>
                            </w:r>
                            <w:r>
                              <w:rPr>
                                <w:color w:val="105C84"/>
                                <w:spacing w:val="13"/>
                                <w:sz w:val="20"/>
                              </w:rPr>
                              <w:t> </w:t>
                            </w:r>
                            <w:r>
                              <w:rPr>
                                <w:color w:val="105C84"/>
                                <w:sz w:val="20"/>
                              </w:rPr>
                              <w:t>issues</w:t>
                            </w:r>
                            <w:r>
                              <w:rPr>
                                <w:color w:val="105C84"/>
                                <w:spacing w:val="13"/>
                                <w:sz w:val="20"/>
                              </w:rPr>
                              <w:t> </w:t>
                            </w:r>
                            <w:r>
                              <w:rPr>
                                <w:color w:val="105C84"/>
                                <w:spacing w:val="-2"/>
                                <w:sz w:val="20"/>
                              </w:rPr>
                              <w:t>(9.2%)</w:t>
                            </w:r>
                          </w:p>
                        </w:tc>
                      </w:tr>
                      <w:tr>
                        <w:trPr>
                          <w:trHeight w:val="355" w:hRule="atLeast"/>
                        </w:trPr>
                        <w:tc>
                          <w:tcPr>
                            <w:tcW w:w="4778" w:type="dxa"/>
                          </w:tcPr>
                          <w:p>
                            <w:pPr>
                              <w:pStyle w:val="TableParagraph"/>
                              <w:spacing w:before="90"/>
                              <w:ind w:left="79"/>
                              <w:rPr>
                                <w:sz w:val="20"/>
                              </w:rPr>
                            </w:pPr>
                            <w:r>
                              <w:rPr>
                                <w:color w:val="105C84"/>
                                <w:sz w:val="20"/>
                              </w:rPr>
                              <w:t>Weight</w:t>
                            </w:r>
                            <w:r>
                              <w:rPr>
                                <w:color w:val="105C84"/>
                                <w:spacing w:val="27"/>
                                <w:sz w:val="20"/>
                              </w:rPr>
                              <w:t> </w:t>
                            </w:r>
                            <w:r>
                              <w:rPr>
                                <w:color w:val="105C84"/>
                                <w:spacing w:val="-2"/>
                                <w:sz w:val="20"/>
                              </w:rPr>
                              <w:t>(7.5%)</w:t>
                            </w:r>
                          </w:p>
                        </w:tc>
                      </w:tr>
                    </w:tbl>
                    <w:p>
                      <w:pPr>
                        <w:pStyle w:val="BodyText"/>
                      </w:pPr>
                    </w:p>
                  </w:txbxContent>
                </v:textbox>
                <w10:wrap type="none"/>
              </v:shape>
            </w:pict>
          </mc:Fallback>
        </mc:AlternateContent>
      </w:r>
      <w:r>
        <w:rPr>
          <w:color w:val="105C84"/>
        </w:rPr>
        <w:t>Screening for cancer is another area that came up as a priority in meetings with Yates County</w:t>
      </w:r>
      <w:r>
        <w:rPr>
          <w:color w:val="105C84"/>
          <w:spacing w:val="40"/>
        </w:rPr>
        <w:t> </w:t>
      </w:r>
      <w:r>
        <w:rPr>
          <w:color w:val="105C84"/>
        </w:rPr>
        <w:t>agencies. As previously mentioned, screening for cancers is an important preventative step in primary care. Figure 53 shows the percent of the population that has received screenings for various types of cancer based on recommended guidelines in Yates County. Of note, cervical cancer screenings in the county are significantly lower than nearby counties and NYS excluding NYC.</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6"/>
        <w:rPr>
          <w:sz w:val="20"/>
        </w:rPr>
      </w:pPr>
    </w:p>
    <w:p>
      <w:pPr>
        <w:pStyle w:val="BodyText"/>
        <w:spacing w:after="0"/>
        <w:rPr>
          <w:sz w:val="20"/>
        </w:rPr>
        <w:sectPr>
          <w:type w:val="continuous"/>
          <w:pgSz w:w="24480" w:h="15840" w:orient="landscape"/>
          <w:pgMar w:header="0" w:footer="0" w:top="0" w:bottom="280" w:left="0" w:right="720"/>
        </w:sectPr>
      </w:pPr>
    </w:p>
    <w:p>
      <w:pPr>
        <w:spacing w:line="235" w:lineRule="auto" w:before="113"/>
        <w:ind w:left="1080" w:right="0" w:firstLine="0"/>
        <w:jc w:val="left"/>
        <w:rPr>
          <w:sz w:val="16"/>
        </w:rPr>
      </w:pPr>
      <w:r>
        <w:rPr>
          <w:sz w:val="16"/>
        </w:rPr>
        <w:drawing>
          <wp:anchor distT="0" distB="0" distL="0" distR="0" allowOverlap="1" layoutInCell="1" locked="0" behindDoc="0" simplePos="0" relativeHeight="15901184">
            <wp:simplePos x="0" y="0"/>
            <wp:positionH relativeFrom="page">
              <wp:posOffset>14981556</wp:posOffset>
            </wp:positionH>
            <wp:positionV relativeFrom="page">
              <wp:posOffset>9668103</wp:posOffset>
            </wp:positionV>
            <wp:extent cx="563245" cy="184683"/>
            <wp:effectExtent l="0" t="0" r="0" b="0"/>
            <wp:wrapNone/>
            <wp:docPr id="1652" name="Image 1652"/>
            <wp:cNvGraphicFramePr>
              <a:graphicFrameLocks/>
            </wp:cNvGraphicFramePr>
            <a:graphic>
              <a:graphicData uri="http://schemas.openxmlformats.org/drawingml/2006/picture">
                <pic:pic>
                  <pic:nvPicPr>
                    <pic:cNvPr id="1652" name="Image 1652"/>
                    <pic:cNvPicPr/>
                  </pic:nvPicPr>
                  <pic:blipFill>
                    <a:blip r:embed="rId38" cstate="print"/>
                    <a:stretch>
                      <a:fillRect/>
                    </a:stretch>
                  </pic:blipFill>
                  <pic:spPr>
                    <a:xfrm>
                      <a:off x="0" y="0"/>
                      <a:ext cx="563245" cy="184683"/>
                    </a:xfrm>
                    <a:prstGeom prst="rect">
                      <a:avLst/>
                    </a:prstGeom>
                  </pic:spPr>
                </pic:pic>
              </a:graphicData>
            </a:graphic>
          </wp:anchor>
        </w:drawing>
      </w:r>
      <w:r>
        <w:rPr>
          <w:color w:val="0C5D86"/>
          <w:sz w:val="16"/>
        </w:rPr>
        <w:t>Source: My Health Story survey 2018. Analysis by Common Ground Health incorporates weighting to normalize survey participants to demographics</w:t>
      </w:r>
      <w:r>
        <w:rPr>
          <w:color w:val="0C5D86"/>
          <w:spacing w:val="-7"/>
          <w:sz w:val="16"/>
        </w:rPr>
        <w:t> </w:t>
      </w:r>
      <w:r>
        <w:rPr>
          <w:color w:val="0C5D86"/>
          <w:sz w:val="16"/>
        </w:rPr>
        <w:t>of</w:t>
      </w:r>
      <w:r>
        <w:rPr>
          <w:color w:val="0C5D86"/>
          <w:spacing w:val="-7"/>
          <w:sz w:val="16"/>
        </w:rPr>
        <w:t> </w:t>
      </w:r>
      <w:r>
        <w:rPr>
          <w:color w:val="0C5D86"/>
          <w:sz w:val="16"/>
        </w:rPr>
        <w:t>each</w:t>
      </w:r>
      <w:r>
        <w:rPr>
          <w:color w:val="0C5D86"/>
          <w:spacing w:val="-7"/>
          <w:sz w:val="16"/>
        </w:rPr>
        <w:t> </w:t>
      </w:r>
      <w:r>
        <w:rPr>
          <w:color w:val="0C5D86"/>
          <w:sz w:val="16"/>
        </w:rPr>
        <w:t>county.</w:t>
      </w:r>
      <w:r>
        <w:rPr>
          <w:color w:val="0C5D86"/>
          <w:spacing w:val="32"/>
          <w:sz w:val="16"/>
        </w:rPr>
        <w:t> </w:t>
      </w:r>
      <w:r>
        <w:rPr>
          <w:color w:val="0C5D86"/>
          <w:sz w:val="16"/>
        </w:rPr>
        <w:t>Top</w:t>
      </w:r>
      <w:r>
        <w:rPr>
          <w:color w:val="0C5D86"/>
          <w:spacing w:val="-7"/>
          <w:sz w:val="16"/>
        </w:rPr>
        <w:t> </w:t>
      </w:r>
      <w:r>
        <w:rPr>
          <w:color w:val="0C5D86"/>
          <w:sz w:val="16"/>
        </w:rPr>
        <w:t>5</w:t>
      </w:r>
      <w:r>
        <w:rPr>
          <w:color w:val="0C5D86"/>
          <w:spacing w:val="-7"/>
          <w:sz w:val="16"/>
        </w:rPr>
        <w:t> </w:t>
      </w:r>
      <w:r>
        <w:rPr>
          <w:color w:val="0C5D86"/>
          <w:sz w:val="16"/>
        </w:rPr>
        <w:t>issues</w:t>
      </w:r>
      <w:r>
        <w:rPr>
          <w:color w:val="0C5D86"/>
          <w:spacing w:val="-7"/>
          <w:sz w:val="16"/>
        </w:rPr>
        <w:t> </w:t>
      </w:r>
      <w:r>
        <w:rPr>
          <w:color w:val="0C5D86"/>
          <w:sz w:val="16"/>
        </w:rPr>
        <w:t>shown</w:t>
      </w:r>
      <w:r>
        <w:rPr>
          <w:color w:val="0C5D86"/>
          <w:spacing w:val="-7"/>
          <w:sz w:val="16"/>
        </w:rPr>
        <w:t> </w:t>
      </w:r>
      <w:r>
        <w:rPr>
          <w:color w:val="0C5D86"/>
          <w:sz w:val="16"/>
        </w:rPr>
        <w:t>for</w:t>
      </w:r>
      <w:r>
        <w:rPr>
          <w:color w:val="0C5D86"/>
          <w:spacing w:val="-7"/>
          <w:sz w:val="16"/>
        </w:rPr>
        <w:t> </w:t>
      </w:r>
      <w:r>
        <w:rPr>
          <w:color w:val="0C5D86"/>
          <w:sz w:val="16"/>
        </w:rPr>
        <w:t>each</w:t>
      </w:r>
      <w:r>
        <w:rPr>
          <w:color w:val="0C5D86"/>
          <w:spacing w:val="-7"/>
          <w:sz w:val="16"/>
        </w:rPr>
        <w:t> </w:t>
      </w:r>
      <w:r>
        <w:rPr>
          <w:color w:val="0C5D86"/>
          <w:sz w:val="16"/>
        </w:rPr>
        <w:t>question.</w:t>
      </w:r>
      <w:r>
        <w:rPr>
          <w:color w:val="0C5D86"/>
          <w:spacing w:val="32"/>
          <w:sz w:val="16"/>
        </w:rPr>
        <w:t> </w:t>
      </w:r>
      <w:r>
        <w:rPr>
          <w:color w:val="0C5D86"/>
          <w:sz w:val="16"/>
        </w:rPr>
        <w:t>Data</w:t>
      </w:r>
      <w:r>
        <w:rPr>
          <w:color w:val="0C5D86"/>
          <w:spacing w:val="-7"/>
          <w:sz w:val="16"/>
        </w:rPr>
        <w:t> </w:t>
      </w:r>
      <w:r>
        <w:rPr>
          <w:color w:val="0C5D86"/>
          <w:sz w:val="16"/>
        </w:rPr>
        <w:t>shown</w:t>
      </w:r>
      <w:r>
        <w:rPr>
          <w:color w:val="0C5D86"/>
          <w:spacing w:val="-7"/>
          <w:sz w:val="16"/>
        </w:rPr>
        <w:t> </w:t>
      </w:r>
      <w:r>
        <w:rPr>
          <w:color w:val="0C5D86"/>
          <w:sz w:val="16"/>
        </w:rPr>
        <w:t>are</w:t>
      </w:r>
      <w:r>
        <w:rPr>
          <w:color w:val="0C5D86"/>
          <w:spacing w:val="-7"/>
          <w:sz w:val="16"/>
        </w:rPr>
        <w:t> </w:t>
      </w:r>
      <w:r>
        <w:rPr>
          <w:color w:val="0C5D86"/>
          <w:sz w:val="16"/>
        </w:rPr>
        <w:t>the</w:t>
      </w:r>
      <w:r>
        <w:rPr>
          <w:color w:val="0C5D86"/>
          <w:spacing w:val="-7"/>
          <w:sz w:val="16"/>
        </w:rPr>
        <w:t> </w:t>
      </w:r>
      <w:r>
        <w:rPr>
          <w:color w:val="0C5D86"/>
          <w:sz w:val="16"/>
        </w:rPr>
        <w:t>percent</w:t>
      </w:r>
      <w:r>
        <w:rPr>
          <w:color w:val="0C5D86"/>
          <w:spacing w:val="-7"/>
          <w:sz w:val="16"/>
        </w:rPr>
        <w:t> </w:t>
      </w:r>
      <w:r>
        <w:rPr>
          <w:color w:val="0C5D86"/>
          <w:sz w:val="16"/>
        </w:rPr>
        <w:t>of</w:t>
      </w:r>
      <w:r>
        <w:rPr>
          <w:color w:val="0C5D86"/>
          <w:spacing w:val="-7"/>
          <w:sz w:val="16"/>
        </w:rPr>
        <w:t> </w:t>
      </w:r>
      <w:r>
        <w:rPr>
          <w:color w:val="0C5D86"/>
          <w:sz w:val="16"/>
        </w:rPr>
        <w:t>participants</w:t>
      </w:r>
      <w:r>
        <w:rPr>
          <w:color w:val="0C5D86"/>
          <w:spacing w:val="-7"/>
          <w:sz w:val="16"/>
        </w:rPr>
        <w:t> </w:t>
      </w:r>
      <w:r>
        <w:rPr>
          <w:color w:val="0C5D86"/>
          <w:sz w:val="16"/>
        </w:rPr>
        <w:t>with</w:t>
      </w:r>
      <w:r>
        <w:rPr>
          <w:color w:val="0C5D86"/>
          <w:spacing w:val="-7"/>
          <w:sz w:val="16"/>
        </w:rPr>
        <w:t> </w:t>
      </w:r>
      <w:r>
        <w:rPr>
          <w:color w:val="0C5D86"/>
          <w:sz w:val="16"/>
        </w:rPr>
        <w:t>responses</w:t>
      </w:r>
      <w:r>
        <w:rPr>
          <w:color w:val="0C5D86"/>
          <w:spacing w:val="-7"/>
          <w:sz w:val="16"/>
        </w:rPr>
        <w:t> </w:t>
      </w:r>
      <w:r>
        <w:rPr>
          <w:color w:val="0C5D86"/>
          <w:sz w:val="16"/>
        </w:rPr>
        <w:t>in</w:t>
      </w:r>
      <w:r>
        <w:rPr>
          <w:color w:val="0C5D86"/>
          <w:spacing w:val="-7"/>
          <w:sz w:val="16"/>
        </w:rPr>
        <w:t> </w:t>
      </w:r>
      <w:r>
        <w:rPr>
          <w:color w:val="0C5D86"/>
          <w:sz w:val="16"/>
        </w:rPr>
        <w:t>each </w:t>
      </w:r>
      <w:r>
        <w:rPr>
          <w:color w:val="0C5D86"/>
          <w:spacing w:val="-2"/>
          <w:sz w:val="16"/>
        </w:rPr>
        <w:t>category.</w:t>
      </w:r>
    </w:p>
    <w:p>
      <w:pPr>
        <w:pStyle w:val="BodyText"/>
        <w:spacing w:before="92"/>
        <w:rPr>
          <w:sz w:val="16"/>
        </w:rPr>
      </w:pPr>
    </w:p>
    <w:p>
      <w:pPr>
        <w:spacing w:before="0"/>
        <w:ind w:left="0" w:right="0" w:firstLine="0"/>
        <w:jc w:val="left"/>
        <w:rPr>
          <w:b/>
          <w:sz w:val="26"/>
        </w:rPr>
      </w:pPr>
      <w:r>
        <w:rPr>
          <w:position w:val="-4"/>
        </w:rPr>
        <w:drawing>
          <wp:inline distT="0" distB="0" distL="0" distR="0">
            <wp:extent cx="568172" cy="184683"/>
            <wp:effectExtent l="0" t="0" r="0" b="0"/>
            <wp:docPr id="1653" name="Image 1653"/>
            <wp:cNvGraphicFramePr>
              <a:graphicFrameLocks/>
            </wp:cNvGraphicFramePr>
            <a:graphic>
              <a:graphicData uri="http://schemas.openxmlformats.org/drawingml/2006/picture">
                <pic:pic>
                  <pic:nvPicPr>
                    <pic:cNvPr id="1653" name="Image 1653"/>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13"/>
          <w:sz w:val="20"/>
        </w:rPr>
        <w:t> </w:t>
      </w:r>
      <w:r>
        <w:rPr>
          <w:b/>
          <w:color w:val="939598"/>
          <w:w w:val="105"/>
          <w:sz w:val="26"/>
        </w:rPr>
        <w:t>105</w:t>
      </w:r>
    </w:p>
    <w:p>
      <w:pPr>
        <w:pStyle w:val="BodyText"/>
        <w:rPr>
          <w:b/>
          <w:sz w:val="14"/>
        </w:rPr>
      </w:pPr>
      <w:r>
        <w:rPr/>
        <w:br w:type="column"/>
      </w:r>
      <w:r>
        <w:rPr>
          <w:b/>
          <w:sz w:val="14"/>
        </w:rPr>
      </w:r>
    </w:p>
    <w:p>
      <w:pPr>
        <w:pStyle w:val="BodyText"/>
        <w:rPr>
          <w:b/>
          <w:sz w:val="14"/>
        </w:rPr>
      </w:pPr>
    </w:p>
    <w:p>
      <w:pPr>
        <w:pStyle w:val="BodyText"/>
        <w:spacing w:before="73"/>
        <w:rPr>
          <w:b/>
          <w:sz w:val="14"/>
        </w:rPr>
      </w:pPr>
    </w:p>
    <w:p>
      <w:pPr>
        <w:pStyle w:val="ListParagraph"/>
        <w:numPr>
          <w:ilvl w:val="0"/>
          <w:numId w:val="38"/>
        </w:numPr>
        <w:tabs>
          <w:tab w:pos="217" w:val="left" w:leader="none"/>
        </w:tabs>
        <w:spacing w:line="240" w:lineRule="auto" w:before="1" w:after="0"/>
        <w:ind w:left="217" w:right="0" w:hanging="217"/>
        <w:jc w:val="left"/>
        <w:rPr>
          <w:sz w:val="14"/>
        </w:rPr>
      </w:pPr>
      <w:r>
        <w:rPr>
          <w:color w:val="636466"/>
          <w:spacing w:val="-2"/>
          <w:sz w:val="14"/>
        </w:rPr>
        <w:t>Source:</w:t>
      </w:r>
      <w:r>
        <w:rPr>
          <w:color w:val="636466"/>
          <w:spacing w:val="-8"/>
          <w:sz w:val="14"/>
        </w:rPr>
        <w:t> </w:t>
      </w:r>
      <w:r>
        <w:rPr>
          <w:color w:val="636466"/>
          <w:spacing w:val="-2"/>
          <w:sz w:val="14"/>
        </w:rPr>
        <w:t>Behavioral</w:t>
      </w:r>
      <w:r>
        <w:rPr>
          <w:color w:val="636466"/>
          <w:spacing w:val="-7"/>
          <w:sz w:val="14"/>
        </w:rPr>
        <w:t> </w:t>
      </w:r>
      <w:r>
        <w:rPr>
          <w:color w:val="636466"/>
          <w:spacing w:val="-2"/>
          <w:sz w:val="14"/>
        </w:rPr>
        <w:t>Risk</w:t>
      </w:r>
      <w:r>
        <w:rPr>
          <w:color w:val="636466"/>
          <w:spacing w:val="-7"/>
          <w:sz w:val="14"/>
        </w:rPr>
        <w:t> </w:t>
      </w:r>
      <w:r>
        <w:rPr>
          <w:color w:val="636466"/>
          <w:spacing w:val="-2"/>
          <w:sz w:val="14"/>
        </w:rPr>
        <w:t>Factor</w:t>
      </w:r>
      <w:r>
        <w:rPr>
          <w:color w:val="636466"/>
          <w:spacing w:val="-7"/>
          <w:sz w:val="14"/>
        </w:rPr>
        <w:t> </w:t>
      </w:r>
      <w:r>
        <w:rPr>
          <w:color w:val="636466"/>
          <w:spacing w:val="-2"/>
          <w:sz w:val="14"/>
        </w:rPr>
        <w:t>Surveillance</w:t>
      </w:r>
      <w:r>
        <w:rPr>
          <w:color w:val="636466"/>
          <w:spacing w:val="-7"/>
          <w:sz w:val="14"/>
        </w:rPr>
        <w:t> </w:t>
      </w:r>
      <w:r>
        <w:rPr>
          <w:color w:val="636466"/>
          <w:spacing w:val="-2"/>
          <w:sz w:val="14"/>
        </w:rPr>
        <w:t>System,</w:t>
      </w:r>
      <w:r>
        <w:rPr>
          <w:color w:val="636466"/>
          <w:spacing w:val="-7"/>
          <w:sz w:val="14"/>
        </w:rPr>
        <w:t> </w:t>
      </w:r>
      <w:r>
        <w:rPr>
          <w:color w:val="636466"/>
          <w:spacing w:val="-4"/>
          <w:sz w:val="14"/>
        </w:rPr>
        <w:t>2016</w:t>
      </w:r>
    </w:p>
    <w:p>
      <w:pPr>
        <w:pStyle w:val="ListParagraph"/>
        <w:numPr>
          <w:ilvl w:val="0"/>
          <w:numId w:val="38"/>
        </w:numPr>
        <w:tabs>
          <w:tab w:pos="217" w:val="left" w:leader="none"/>
        </w:tabs>
        <w:spacing w:line="240" w:lineRule="auto" w:before="89" w:after="0"/>
        <w:ind w:left="217" w:right="0" w:hanging="217"/>
        <w:jc w:val="left"/>
        <w:rPr>
          <w:sz w:val="14"/>
        </w:rPr>
      </w:pPr>
      <w:r>
        <w:rPr>
          <w:color w:val="636466"/>
          <w:sz w:val="14"/>
        </w:rPr>
        <w:t>Source:</w:t>
      </w:r>
      <w:r>
        <w:rPr>
          <w:color w:val="636466"/>
          <w:spacing w:val="-10"/>
          <w:sz w:val="14"/>
        </w:rPr>
        <w:t> </w:t>
      </w:r>
      <w:r>
        <w:rPr>
          <w:color w:val="636466"/>
          <w:sz w:val="14"/>
        </w:rPr>
        <w:t>Common</w:t>
      </w:r>
      <w:r>
        <w:rPr>
          <w:color w:val="636466"/>
          <w:spacing w:val="-9"/>
          <w:sz w:val="14"/>
        </w:rPr>
        <w:t> </w:t>
      </w:r>
      <w:r>
        <w:rPr>
          <w:color w:val="636466"/>
          <w:sz w:val="14"/>
        </w:rPr>
        <w:t>Ground</w:t>
      </w:r>
      <w:r>
        <w:rPr>
          <w:color w:val="636466"/>
          <w:spacing w:val="-9"/>
          <w:sz w:val="14"/>
        </w:rPr>
        <w:t> </w:t>
      </w:r>
      <w:r>
        <w:rPr>
          <w:color w:val="636466"/>
          <w:sz w:val="14"/>
        </w:rPr>
        <w:t>Health</w:t>
      </w:r>
      <w:r>
        <w:rPr>
          <w:color w:val="636466"/>
          <w:spacing w:val="-10"/>
          <w:sz w:val="14"/>
        </w:rPr>
        <w:t> </w:t>
      </w:r>
      <w:r>
        <w:rPr>
          <w:color w:val="636466"/>
          <w:sz w:val="14"/>
        </w:rPr>
        <w:t>High</w:t>
      </w:r>
      <w:r>
        <w:rPr>
          <w:color w:val="636466"/>
          <w:spacing w:val="-9"/>
          <w:sz w:val="14"/>
        </w:rPr>
        <w:t> </w:t>
      </w:r>
      <w:r>
        <w:rPr>
          <w:color w:val="636466"/>
          <w:sz w:val="14"/>
        </w:rPr>
        <w:t>Blood</w:t>
      </w:r>
      <w:r>
        <w:rPr>
          <w:color w:val="636466"/>
          <w:spacing w:val="-9"/>
          <w:sz w:val="14"/>
        </w:rPr>
        <w:t> </w:t>
      </w:r>
      <w:r>
        <w:rPr>
          <w:color w:val="636466"/>
          <w:sz w:val="14"/>
        </w:rPr>
        <w:t>Pressure</w:t>
      </w:r>
      <w:r>
        <w:rPr>
          <w:color w:val="636466"/>
          <w:spacing w:val="-10"/>
          <w:sz w:val="14"/>
        </w:rPr>
        <w:t> </w:t>
      </w:r>
      <w:r>
        <w:rPr>
          <w:color w:val="636466"/>
          <w:sz w:val="14"/>
        </w:rPr>
        <w:t>Registry,</w:t>
      </w:r>
      <w:r>
        <w:rPr>
          <w:color w:val="636466"/>
          <w:spacing w:val="-9"/>
          <w:sz w:val="14"/>
        </w:rPr>
        <w:t> </w:t>
      </w:r>
      <w:r>
        <w:rPr>
          <w:color w:val="636466"/>
          <w:sz w:val="14"/>
        </w:rPr>
        <w:t>June</w:t>
      </w:r>
      <w:r>
        <w:rPr>
          <w:color w:val="636466"/>
          <w:spacing w:val="-9"/>
          <w:sz w:val="14"/>
        </w:rPr>
        <w:t> </w:t>
      </w:r>
      <w:r>
        <w:rPr>
          <w:color w:val="636466"/>
          <w:spacing w:val="-2"/>
          <w:sz w:val="14"/>
        </w:rPr>
        <w:t>2018.</w:t>
      </w:r>
    </w:p>
    <w:p>
      <w:pPr>
        <w:pStyle w:val="ListParagraph"/>
        <w:numPr>
          <w:ilvl w:val="0"/>
          <w:numId w:val="38"/>
        </w:numPr>
        <w:tabs>
          <w:tab w:pos="217" w:val="left" w:leader="none"/>
        </w:tabs>
        <w:spacing w:line="240" w:lineRule="auto" w:before="89" w:after="0"/>
        <w:ind w:left="217" w:right="0" w:hanging="217"/>
        <w:jc w:val="left"/>
        <w:rPr>
          <w:sz w:val="14"/>
        </w:rPr>
      </w:pPr>
      <w:r>
        <w:rPr>
          <w:color w:val="636466"/>
          <w:spacing w:val="-2"/>
          <w:sz w:val="14"/>
        </w:rPr>
        <w:t>Source:</w:t>
      </w:r>
      <w:r>
        <w:rPr>
          <w:color w:val="636466"/>
          <w:spacing w:val="-6"/>
          <w:sz w:val="14"/>
        </w:rPr>
        <w:t> </w:t>
      </w:r>
      <w:r>
        <w:rPr>
          <w:color w:val="636466"/>
          <w:spacing w:val="-2"/>
          <w:sz w:val="14"/>
        </w:rPr>
        <w:t>Behavioral</w:t>
      </w:r>
      <w:r>
        <w:rPr>
          <w:color w:val="636466"/>
          <w:spacing w:val="-6"/>
          <w:sz w:val="14"/>
        </w:rPr>
        <w:t> </w:t>
      </w:r>
      <w:r>
        <w:rPr>
          <w:color w:val="636466"/>
          <w:spacing w:val="-2"/>
          <w:sz w:val="14"/>
        </w:rPr>
        <w:t>Risk</w:t>
      </w:r>
      <w:r>
        <w:rPr>
          <w:color w:val="636466"/>
          <w:spacing w:val="-6"/>
          <w:sz w:val="14"/>
        </w:rPr>
        <w:t> </w:t>
      </w:r>
      <w:r>
        <w:rPr>
          <w:color w:val="636466"/>
          <w:spacing w:val="-2"/>
          <w:sz w:val="14"/>
        </w:rPr>
        <w:t>Factor</w:t>
      </w:r>
      <w:r>
        <w:rPr>
          <w:color w:val="636466"/>
          <w:spacing w:val="-5"/>
          <w:sz w:val="14"/>
        </w:rPr>
        <w:t> </w:t>
      </w:r>
      <w:r>
        <w:rPr>
          <w:color w:val="636466"/>
          <w:spacing w:val="-2"/>
          <w:sz w:val="14"/>
        </w:rPr>
        <w:t>Surveillance</w:t>
      </w:r>
      <w:r>
        <w:rPr>
          <w:color w:val="636466"/>
          <w:spacing w:val="-6"/>
          <w:sz w:val="14"/>
        </w:rPr>
        <w:t> </w:t>
      </w:r>
      <w:r>
        <w:rPr>
          <w:color w:val="636466"/>
          <w:spacing w:val="-2"/>
          <w:sz w:val="14"/>
        </w:rPr>
        <w:t>System</w:t>
      </w:r>
    </w:p>
    <w:p>
      <w:pPr>
        <w:pStyle w:val="BodyText"/>
        <w:rPr>
          <w:sz w:val="26"/>
        </w:rPr>
      </w:pPr>
      <w:r>
        <w:rPr/>
        <w:br w:type="column"/>
      </w:r>
      <w:r>
        <w:rPr>
          <w:sz w:val="26"/>
        </w:rPr>
      </w:r>
    </w:p>
    <w:p>
      <w:pPr>
        <w:pStyle w:val="BodyText"/>
        <w:rPr>
          <w:sz w:val="26"/>
        </w:rPr>
      </w:pPr>
    </w:p>
    <w:p>
      <w:pPr>
        <w:pStyle w:val="BodyText"/>
        <w:spacing w:before="33"/>
        <w:rPr>
          <w:sz w:val="26"/>
        </w:rPr>
      </w:pPr>
    </w:p>
    <w:p>
      <w:pPr>
        <w:pStyle w:val="Heading6"/>
        <w:ind w:left="0"/>
      </w:pPr>
      <w:r>
        <w:rPr>
          <w:color w:val="939598"/>
          <w:spacing w:val="-5"/>
          <w:w w:val="105"/>
        </w:rPr>
        <w:t>106</w:t>
      </w:r>
    </w:p>
    <w:p>
      <w:pPr>
        <w:pStyle w:val="Heading6"/>
        <w:spacing w:after="0"/>
        <w:sectPr>
          <w:type w:val="continuous"/>
          <w:pgSz w:w="24480" w:h="15840" w:orient="landscape"/>
          <w:pgMar w:header="0" w:footer="0" w:top="0" w:bottom="280" w:left="0" w:right="720"/>
          <w:cols w:num="3" w:equalWidth="0">
            <w:col w:w="10702" w:space="2603"/>
            <w:col w:w="4822" w:space="4920"/>
            <w:col w:w="713"/>
          </w:cols>
        </w:sectPr>
      </w:pPr>
    </w:p>
    <w:p>
      <w:pPr>
        <w:pStyle w:val="BodyText"/>
        <w:rPr>
          <w:b/>
          <w:sz w:val="20"/>
        </w:rPr>
      </w:pPr>
    </w:p>
    <w:p>
      <w:pPr>
        <w:pStyle w:val="BodyText"/>
        <w:spacing w:before="16"/>
        <w:rPr>
          <w:b/>
          <w:sz w:val="20"/>
        </w:rPr>
      </w:pPr>
    </w:p>
    <w:p>
      <w:pPr>
        <w:pStyle w:val="BodyText"/>
        <w:spacing w:after="0"/>
        <w:rPr>
          <w:b/>
          <w:sz w:val="20"/>
        </w:rPr>
        <w:sectPr>
          <w:pgSz w:w="24480" w:h="15840" w:orient="landscape"/>
          <w:pgMar w:header="0" w:footer="0" w:top="860" w:bottom="0" w:left="0" w:right="720"/>
        </w:sectPr>
      </w:pPr>
    </w:p>
    <w:p>
      <w:pPr>
        <w:pStyle w:val="Heading6"/>
        <w:spacing w:before="116"/>
        <w:ind w:left="1094"/>
      </w:pPr>
      <w:r>
        <w:rPr>
          <w:color w:val="105C84"/>
          <w:spacing w:val="-4"/>
        </w:rPr>
        <w:t>FIGURE</w:t>
      </w:r>
      <w:r>
        <w:rPr>
          <w:color w:val="105C84"/>
          <w:spacing w:val="-10"/>
        </w:rPr>
        <w:t> </w:t>
      </w:r>
      <w:r>
        <w:rPr>
          <w:color w:val="105C84"/>
          <w:spacing w:val="-4"/>
        </w:rPr>
        <w:t>53:</w:t>
      </w:r>
      <w:r>
        <w:rPr>
          <w:color w:val="105C84"/>
          <w:spacing w:val="-10"/>
        </w:rPr>
        <w:t> </w:t>
      </w:r>
      <w:r>
        <w:rPr>
          <w:color w:val="105C84"/>
          <w:spacing w:val="-4"/>
        </w:rPr>
        <w:t>Percent</w:t>
      </w:r>
      <w:r>
        <w:rPr>
          <w:color w:val="105C84"/>
          <w:spacing w:val="-10"/>
        </w:rPr>
        <w:t> </w:t>
      </w:r>
      <w:r>
        <w:rPr>
          <w:color w:val="105C84"/>
          <w:spacing w:val="-4"/>
        </w:rPr>
        <w:t>of</w:t>
      </w:r>
      <w:r>
        <w:rPr>
          <w:color w:val="105C84"/>
          <w:spacing w:val="-9"/>
        </w:rPr>
        <w:t> </w:t>
      </w:r>
      <w:r>
        <w:rPr>
          <w:color w:val="105C84"/>
          <w:spacing w:val="-4"/>
        </w:rPr>
        <w:t>population</w:t>
      </w:r>
      <w:r>
        <w:rPr>
          <w:color w:val="105C84"/>
          <w:spacing w:val="-10"/>
        </w:rPr>
        <w:t> </w:t>
      </w:r>
      <w:r>
        <w:rPr>
          <w:color w:val="105C84"/>
          <w:spacing w:val="-4"/>
        </w:rPr>
        <w:t>receiving</w:t>
      </w:r>
      <w:r>
        <w:rPr>
          <w:color w:val="105C84"/>
          <w:spacing w:val="-10"/>
        </w:rPr>
        <w:t> </w:t>
      </w:r>
      <w:r>
        <w:rPr>
          <w:color w:val="105C84"/>
          <w:spacing w:val="-4"/>
        </w:rPr>
        <w:t>cancer</w:t>
      </w:r>
      <w:r>
        <w:rPr>
          <w:color w:val="105C84"/>
          <w:spacing w:val="-9"/>
        </w:rPr>
        <w:t> </w:t>
      </w:r>
      <w:r>
        <w:rPr>
          <w:color w:val="105C84"/>
          <w:spacing w:val="-4"/>
        </w:rPr>
        <w:t>screenings</w:t>
      </w:r>
    </w:p>
    <w:p>
      <w:pPr>
        <w:pStyle w:val="BodyText"/>
        <w:spacing w:before="12"/>
        <w:rPr>
          <w:b/>
          <w:sz w:val="26"/>
        </w:rPr>
      </w:pPr>
    </w:p>
    <w:p>
      <w:pPr>
        <w:spacing w:before="0"/>
        <w:ind w:left="1517" w:right="0" w:firstLine="0"/>
        <w:jc w:val="left"/>
        <w:rPr>
          <w:sz w:val="16"/>
        </w:rPr>
      </w:pPr>
      <w:r>
        <w:rPr>
          <w:sz w:val="16"/>
        </w:rPr>
        <mc:AlternateContent>
          <mc:Choice Requires="wps">
            <w:drawing>
              <wp:anchor distT="0" distB="0" distL="0" distR="0" allowOverlap="1" layoutInCell="1" locked="0" behindDoc="1" simplePos="0" relativeHeight="475132928">
                <wp:simplePos x="0" y="0"/>
                <wp:positionH relativeFrom="page">
                  <wp:posOffset>1229409</wp:posOffset>
                </wp:positionH>
                <wp:positionV relativeFrom="paragraph">
                  <wp:posOffset>-24560</wp:posOffset>
                </wp:positionV>
                <wp:extent cx="4933950" cy="2056764"/>
                <wp:effectExtent l="0" t="0" r="0" b="0"/>
                <wp:wrapNone/>
                <wp:docPr id="1654" name="Group 1654"/>
                <wp:cNvGraphicFramePr>
                  <a:graphicFrameLocks/>
                </wp:cNvGraphicFramePr>
                <a:graphic>
                  <a:graphicData uri="http://schemas.microsoft.com/office/word/2010/wordprocessingGroup">
                    <wpg:wgp>
                      <wpg:cNvPr id="1654" name="Group 1654"/>
                      <wpg:cNvGrpSpPr/>
                      <wpg:grpSpPr>
                        <a:xfrm>
                          <a:off x="0" y="0"/>
                          <a:ext cx="4933950" cy="2056764"/>
                          <a:chExt cx="4933950" cy="2056764"/>
                        </a:xfrm>
                      </wpg:grpSpPr>
                      <wps:wsp>
                        <wps:cNvPr id="1655" name="Graphic 1655"/>
                        <wps:cNvSpPr/>
                        <wps:spPr>
                          <a:xfrm>
                            <a:off x="330340" y="39095"/>
                            <a:ext cx="67945" cy="67945"/>
                          </a:xfrm>
                          <a:custGeom>
                            <a:avLst/>
                            <a:gdLst/>
                            <a:ahLst/>
                            <a:cxnLst/>
                            <a:rect l="l" t="t" r="r" b="b"/>
                            <a:pathLst>
                              <a:path w="67945" h="67945">
                                <a:moveTo>
                                  <a:pt x="67881" y="0"/>
                                </a:moveTo>
                                <a:lnTo>
                                  <a:pt x="0" y="0"/>
                                </a:lnTo>
                                <a:lnTo>
                                  <a:pt x="0" y="67881"/>
                                </a:lnTo>
                                <a:lnTo>
                                  <a:pt x="67881" y="67881"/>
                                </a:lnTo>
                                <a:lnTo>
                                  <a:pt x="67881" y="0"/>
                                </a:lnTo>
                                <a:close/>
                              </a:path>
                            </a:pathLst>
                          </a:custGeom>
                          <a:solidFill>
                            <a:srgbClr val="105C84"/>
                          </a:solidFill>
                        </wps:spPr>
                        <wps:bodyPr wrap="square" lIns="0" tIns="0" rIns="0" bIns="0" rtlCol="0">
                          <a:prstTxWarp prst="textNoShape">
                            <a:avLst/>
                          </a:prstTxWarp>
                          <a:noAutofit/>
                        </wps:bodyPr>
                      </wps:wsp>
                      <wps:wsp>
                        <wps:cNvPr id="1656" name="Graphic 1656"/>
                        <wps:cNvSpPr/>
                        <wps:spPr>
                          <a:xfrm>
                            <a:off x="1317359" y="39095"/>
                            <a:ext cx="67945" cy="67945"/>
                          </a:xfrm>
                          <a:custGeom>
                            <a:avLst/>
                            <a:gdLst/>
                            <a:ahLst/>
                            <a:cxnLst/>
                            <a:rect l="l" t="t" r="r" b="b"/>
                            <a:pathLst>
                              <a:path w="67945" h="67945">
                                <a:moveTo>
                                  <a:pt x="67881" y="0"/>
                                </a:moveTo>
                                <a:lnTo>
                                  <a:pt x="0" y="0"/>
                                </a:lnTo>
                                <a:lnTo>
                                  <a:pt x="0" y="67881"/>
                                </a:lnTo>
                                <a:lnTo>
                                  <a:pt x="67881" y="67881"/>
                                </a:lnTo>
                                <a:lnTo>
                                  <a:pt x="67881" y="0"/>
                                </a:lnTo>
                                <a:close/>
                              </a:path>
                            </a:pathLst>
                          </a:custGeom>
                          <a:solidFill>
                            <a:srgbClr val="BCBEC0"/>
                          </a:solidFill>
                        </wps:spPr>
                        <wps:bodyPr wrap="square" lIns="0" tIns="0" rIns="0" bIns="0" rtlCol="0">
                          <a:prstTxWarp prst="textNoShape">
                            <a:avLst/>
                          </a:prstTxWarp>
                          <a:noAutofit/>
                        </wps:bodyPr>
                      </wps:wsp>
                      <wps:wsp>
                        <wps:cNvPr id="1657" name="Graphic 1657"/>
                        <wps:cNvSpPr/>
                        <wps:spPr>
                          <a:xfrm>
                            <a:off x="301169" y="441824"/>
                            <a:ext cx="3972560" cy="1610995"/>
                          </a:xfrm>
                          <a:custGeom>
                            <a:avLst/>
                            <a:gdLst/>
                            <a:ahLst/>
                            <a:cxnLst/>
                            <a:rect l="l" t="t" r="r" b="b"/>
                            <a:pathLst>
                              <a:path w="3972560" h="1610995">
                                <a:moveTo>
                                  <a:pt x="274358" y="906576"/>
                                </a:moveTo>
                                <a:lnTo>
                                  <a:pt x="0" y="906576"/>
                                </a:lnTo>
                                <a:lnTo>
                                  <a:pt x="0" y="1610372"/>
                                </a:lnTo>
                                <a:lnTo>
                                  <a:pt x="274358" y="1610372"/>
                                </a:lnTo>
                                <a:lnTo>
                                  <a:pt x="274358" y="906576"/>
                                </a:lnTo>
                                <a:close/>
                              </a:path>
                              <a:path w="3972560" h="1610995">
                                <a:moveTo>
                                  <a:pt x="1503019" y="0"/>
                                </a:moveTo>
                                <a:lnTo>
                                  <a:pt x="1228661" y="0"/>
                                </a:lnTo>
                                <a:lnTo>
                                  <a:pt x="1228661" y="1610385"/>
                                </a:lnTo>
                                <a:lnTo>
                                  <a:pt x="1503019" y="1610385"/>
                                </a:lnTo>
                                <a:lnTo>
                                  <a:pt x="1503019" y="0"/>
                                </a:lnTo>
                                <a:close/>
                              </a:path>
                              <a:path w="3972560" h="1610995">
                                <a:moveTo>
                                  <a:pt x="2743593" y="155079"/>
                                </a:moveTo>
                                <a:lnTo>
                                  <a:pt x="2457323" y="155079"/>
                                </a:lnTo>
                                <a:lnTo>
                                  <a:pt x="2457323" y="1610385"/>
                                </a:lnTo>
                                <a:lnTo>
                                  <a:pt x="2743593" y="1610385"/>
                                </a:lnTo>
                                <a:lnTo>
                                  <a:pt x="2743593" y="155079"/>
                                </a:lnTo>
                                <a:close/>
                              </a:path>
                              <a:path w="3972560" h="1610995">
                                <a:moveTo>
                                  <a:pt x="3972280" y="560654"/>
                                </a:moveTo>
                                <a:lnTo>
                                  <a:pt x="3697909" y="560654"/>
                                </a:lnTo>
                                <a:lnTo>
                                  <a:pt x="3697909" y="1610385"/>
                                </a:lnTo>
                                <a:lnTo>
                                  <a:pt x="3972280" y="1610385"/>
                                </a:lnTo>
                                <a:lnTo>
                                  <a:pt x="3972280" y="560654"/>
                                </a:lnTo>
                                <a:close/>
                              </a:path>
                            </a:pathLst>
                          </a:custGeom>
                          <a:solidFill>
                            <a:srgbClr val="105C84"/>
                          </a:solidFill>
                        </wps:spPr>
                        <wps:bodyPr wrap="square" lIns="0" tIns="0" rIns="0" bIns="0" rtlCol="0">
                          <a:prstTxWarp prst="textNoShape">
                            <a:avLst/>
                          </a:prstTxWarp>
                          <a:noAutofit/>
                        </wps:bodyPr>
                      </wps:wsp>
                      <wps:wsp>
                        <wps:cNvPr id="1658" name="Graphic 1658"/>
                        <wps:cNvSpPr/>
                        <wps:spPr>
                          <a:xfrm>
                            <a:off x="647104" y="286745"/>
                            <a:ext cx="3972560" cy="1765935"/>
                          </a:xfrm>
                          <a:custGeom>
                            <a:avLst/>
                            <a:gdLst/>
                            <a:ahLst/>
                            <a:cxnLst/>
                            <a:rect l="l" t="t" r="r" b="b"/>
                            <a:pathLst>
                              <a:path w="3972560" h="1765935">
                                <a:moveTo>
                                  <a:pt x="274370" y="846950"/>
                                </a:moveTo>
                                <a:lnTo>
                                  <a:pt x="0" y="846950"/>
                                </a:lnTo>
                                <a:lnTo>
                                  <a:pt x="0" y="1765465"/>
                                </a:lnTo>
                                <a:lnTo>
                                  <a:pt x="274370" y="1765465"/>
                                </a:lnTo>
                                <a:lnTo>
                                  <a:pt x="274370" y="846950"/>
                                </a:lnTo>
                                <a:close/>
                              </a:path>
                              <a:path w="3972560" h="1765935">
                                <a:moveTo>
                                  <a:pt x="1514944" y="238582"/>
                                </a:moveTo>
                                <a:lnTo>
                                  <a:pt x="1240586" y="238582"/>
                                </a:lnTo>
                                <a:lnTo>
                                  <a:pt x="1240586" y="1765465"/>
                                </a:lnTo>
                                <a:lnTo>
                                  <a:pt x="1514944" y="1765465"/>
                                </a:lnTo>
                                <a:lnTo>
                                  <a:pt x="1514944" y="238582"/>
                                </a:lnTo>
                                <a:close/>
                              </a:path>
                              <a:path w="3972560" h="1765935">
                                <a:moveTo>
                                  <a:pt x="2743606" y="47726"/>
                                </a:moveTo>
                                <a:lnTo>
                                  <a:pt x="2469248" y="47726"/>
                                </a:lnTo>
                                <a:lnTo>
                                  <a:pt x="2469248" y="1765465"/>
                                </a:lnTo>
                                <a:lnTo>
                                  <a:pt x="2743606" y="1765465"/>
                                </a:lnTo>
                                <a:lnTo>
                                  <a:pt x="2743606" y="47726"/>
                                </a:lnTo>
                                <a:close/>
                              </a:path>
                              <a:path w="3972560" h="1765935">
                                <a:moveTo>
                                  <a:pt x="3972293" y="0"/>
                                </a:moveTo>
                                <a:lnTo>
                                  <a:pt x="3697922" y="0"/>
                                </a:lnTo>
                                <a:lnTo>
                                  <a:pt x="3697922" y="1765452"/>
                                </a:lnTo>
                                <a:lnTo>
                                  <a:pt x="3972293" y="1765452"/>
                                </a:lnTo>
                                <a:lnTo>
                                  <a:pt x="3972293" y="0"/>
                                </a:lnTo>
                                <a:close/>
                              </a:path>
                            </a:pathLst>
                          </a:custGeom>
                          <a:solidFill>
                            <a:srgbClr val="BCBEC0"/>
                          </a:solidFill>
                        </wps:spPr>
                        <wps:bodyPr wrap="square" lIns="0" tIns="0" rIns="0" bIns="0" rtlCol="0">
                          <a:prstTxWarp prst="textNoShape">
                            <a:avLst/>
                          </a:prstTxWarp>
                          <a:noAutofit/>
                        </wps:bodyPr>
                      </wps:wsp>
                      <wps:wsp>
                        <wps:cNvPr id="1659" name="Graphic 1659"/>
                        <wps:cNvSpPr/>
                        <wps:spPr>
                          <a:xfrm>
                            <a:off x="414488" y="1068089"/>
                            <a:ext cx="48260" cy="572770"/>
                          </a:xfrm>
                          <a:custGeom>
                            <a:avLst/>
                            <a:gdLst/>
                            <a:ahLst/>
                            <a:cxnLst/>
                            <a:rect l="l" t="t" r="r" b="b"/>
                            <a:pathLst>
                              <a:path w="48260" h="572770">
                                <a:moveTo>
                                  <a:pt x="23863" y="286283"/>
                                </a:moveTo>
                                <a:lnTo>
                                  <a:pt x="23863" y="572566"/>
                                </a:lnTo>
                              </a:path>
                              <a:path w="48260" h="572770">
                                <a:moveTo>
                                  <a:pt x="23863" y="286283"/>
                                </a:moveTo>
                                <a:lnTo>
                                  <a:pt x="23863" y="0"/>
                                </a:lnTo>
                              </a:path>
                              <a:path w="48260" h="572770">
                                <a:moveTo>
                                  <a:pt x="0" y="572566"/>
                                </a:moveTo>
                                <a:lnTo>
                                  <a:pt x="47713" y="572566"/>
                                </a:lnTo>
                              </a:path>
                              <a:path w="48260" h="572770">
                                <a:moveTo>
                                  <a:pt x="0" y="0"/>
                                </a:moveTo>
                                <a:lnTo>
                                  <a:pt x="47713" y="0"/>
                                </a:lnTo>
                              </a:path>
                            </a:pathLst>
                          </a:custGeom>
                          <a:ln w="11925">
                            <a:solidFill>
                              <a:srgbClr val="939598"/>
                            </a:solidFill>
                            <a:prstDash val="solid"/>
                          </a:ln>
                        </wps:spPr>
                        <wps:bodyPr wrap="square" lIns="0" tIns="0" rIns="0" bIns="0" rtlCol="0">
                          <a:prstTxWarp prst="textNoShape">
                            <a:avLst/>
                          </a:prstTxWarp>
                          <a:noAutofit/>
                        </wps:bodyPr>
                      </wps:wsp>
                      <wps:wsp>
                        <wps:cNvPr id="1660" name="Graphic 1660"/>
                        <wps:cNvSpPr/>
                        <wps:spPr>
                          <a:xfrm>
                            <a:off x="1643151" y="280781"/>
                            <a:ext cx="48260" cy="310515"/>
                          </a:xfrm>
                          <a:custGeom>
                            <a:avLst/>
                            <a:gdLst/>
                            <a:ahLst/>
                            <a:cxnLst/>
                            <a:rect l="l" t="t" r="r" b="b"/>
                            <a:pathLst>
                              <a:path w="48260" h="310515">
                                <a:moveTo>
                                  <a:pt x="23863" y="155079"/>
                                </a:moveTo>
                                <a:lnTo>
                                  <a:pt x="23863" y="310146"/>
                                </a:lnTo>
                              </a:path>
                              <a:path w="48260" h="310515">
                                <a:moveTo>
                                  <a:pt x="23863" y="155079"/>
                                </a:moveTo>
                                <a:lnTo>
                                  <a:pt x="23863" y="0"/>
                                </a:lnTo>
                              </a:path>
                              <a:path w="48260" h="310515">
                                <a:moveTo>
                                  <a:pt x="0" y="310146"/>
                                </a:moveTo>
                                <a:lnTo>
                                  <a:pt x="47713" y="310146"/>
                                </a:lnTo>
                              </a:path>
                              <a:path w="48260" h="310515">
                                <a:moveTo>
                                  <a:pt x="0" y="0"/>
                                </a:moveTo>
                                <a:lnTo>
                                  <a:pt x="47713" y="0"/>
                                </a:lnTo>
                              </a:path>
                            </a:pathLst>
                          </a:custGeom>
                          <a:ln w="11925">
                            <a:solidFill>
                              <a:srgbClr val="939598"/>
                            </a:solidFill>
                            <a:prstDash val="solid"/>
                          </a:ln>
                        </wps:spPr>
                        <wps:bodyPr wrap="square" lIns="0" tIns="0" rIns="0" bIns="0" rtlCol="0">
                          <a:prstTxWarp prst="textNoShape">
                            <a:avLst/>
                          </a:prstTxWarp>
                          <a:noAutofit/>
                        </wps:bodyPr>
                      </wps:wsp>
                      <wps:wsp>
                        <wps:cNvPr id="1661" name="Graphic 1661"/>
                        <wps:cNvSpPr/>
                        <wps:spPr>
                          <a:xfrm>
                            <a:off x="2871826" y="376215"/>
                            <a:ext cx="59690" cy="429895"/>
                          </a:xfrm>
                          <a:custGeom>
                            <a:avLst/>
                            <a:gdLst/>
                            <a:ahLst/>
                            <a:cxnLst/>
                            <a:rect l="l" t="t" r="r" b="b"/>
                            <a:pathLst>
                              <a:path w="59690" h="429895">
                                <a:moveTo>
                                  <a:pt x="32626" y="214718"/>
                                </a:moveTo>
                                <a:lnTo>
                                  <a:pt x="32626" y="429437"/>
                                </a:lnTo>
                              </a:path>
                              <a:path w="59690" h="429895">
                                <a:moveTo>
                                  <a:pt x="32626" y="214718"/>
                                </a:moveTo>
                                <a:lnTo>
                                  <a:pt x="32626" y="0"/>
                                </a:lnTo>
                              </a:path>
                              <a:path w="59690" h="429895">
                                <a:moveTo>
                                  <a:pt x="0" y="429437"/>
                                </a:moveTo>
                                <a:lnTo>
                                  <a:pt x="59639" y="429437"/>
                                </a:lnTo>
                              </a:path>
                              <a:path w="59690" h="429895">
                                <a:moveTo>
                                  <a:pt x="0" y="0"/>
                                </a:moveTo>
                                <a:lnTo>
                                  <a:pt x="59639" y="0"/>
                                </a:lnTo>
                              </a:path>
                            </a:pathLst>
                          </a:custGeom>
                          <a:ln w="11925">
                            <a:solidFill>
                              <a:srgbClr val="939598"/>
                            </a:solidFill>
                            <a:prstDash val="solid"/>
                          </a:ln>
                        </wps:spPr>
                        <wps:bodyPr wrap="square" lIns="0" tIns="0" rIns="0" bIns="0" rtlCol="0">
                          <a:prstTxWarp prst="textNoShape">
                            <a:avLst/>
                          </a:prstTxWarp>
                          <a:noAutofit/>
                        </wps:bodyPr>
                      </wps:wsp>
                      <wps:wsp>
                        <wps:cNvPr id="1662" name="Graphic 1662"/>
                        <wps:cNvSpPr/>
                        <wps:spPr>
                          <a:xfrm>
                            <a:off x="4112402" y="853373"/>
                            <a:ext cx="48260" cy="310515"/>
                          </a:xfrm>
                          <a:custGeom>
                            <a:avLst/>
                            <a:gdLst/>
                            <a:ahLst/>
                            <a:cxnLst/>
                            <a:rect l="l" t="t" r="r" b="b"/>
                            <a:pathLst>
                              <a:path w="48260" h="310515">
                                <a:moveTo>
                                  <a:pt x="23863" y="155067"/>
                                </a:moveTo>
                                <a:lnTo>
                                  <a:pt x="23863" y="310134"/>
                                </a:lnTo>
                              </a:path>
                              <a:path w="48260" h="310515">
                                <a:moveTo>
                                  <a:pt x="23863" y="155067"/>
                                </a:moveTo>
                                <a:lnTo>
                                  <a:pt x="23863" y="0"/>
                                </a:lnTo>
                              </a:path>
                              <a:path w="48260" h="310515">
                                <a:moveTo>
                                  <a:pt x="0" y="310134"/>
                                </a:moveTo>
                                <a:lnTo>
                                  <a:pt x="47726" y="310134"/>
                                </a:lnTo>
                              </a:path>
                              <a:path w="48260" h="310515">
                                <a:moveTo>
                                  <a:pt x="0" y="0"/>
                                </a:moveTo>
                                <a:lnTo>
                                  <a:pt x="47726" y="0"/>
                                </a:lnTo>
                              </a:path>
                            </a:pathLst>
                          </a:custGeom>
                          <a:ln w="11925">
                            <a:solidFill>
                              <a:srgbClr val="939598"/>
                            </a:solidFill>
                            <a:prstDash val="solid"/>
                          </a:ln>
                        </wps:spPr>
                        <wps:bodyPr wrap="square" lIns="0" tIns="0" rIns="0" bIns="0" rtlCol="0">
                          <a:prstTxWarp prst="textNoShape">
                            <a:avLst/>
                          </a:prstTxWarp>
                          <a:noAutofit/>
                        </wps:bodyPr>
                      </wps:wsp>
                      <wps:wsp>
                        <wps:cNvPr id="1663" name="Graphic 1663"/>
                        <wps:cNvSpPr/>
                        <wps:spPr>
                          <a:xfrm>
                            <a:off x="760430" y="1068080"/>
                            <a:ext cx="54610" cy="131445"/>
                          </a:xfrm>
                          <a:custGeom>
                            <a:avLst/>
                            <a:gdLst/>
                            <a:ahLst/>
                            <a:cxnLst/>
                            <a:rect l="l" t="t" r="r" b="b"/>
                            <a:pathLst>
                              <a:path w="54610" h="131445">
                                <a:moveTo>
                                  <a:pt x="28244" y="71577"/>
                                </a:moveTo>
                                <a:lnTo>
                                  <a:pt x="28244" y="131216"/>
                                </a:lnTo>
                              </a:path>
                              <a:path w="54610" h="131445">
                                <a:moveTo>
                                  <a:pt x="28244" y="71577"/>
                                </a:moveTo>
                                <a:lnTo>
                                  <a:pt x="28244" y="0"/>
                                </a:lnTo>
                              </a:path>
                              <a:path w="54610" h="131445">
                                <a:moveTo>
                                  <a:pt x="0" y="131216"/>
                                </a:moveTo>
                                <a:lnTo>
                                  <a:pt x="54444" y="131216"/>
                                </a:lnTo>
                              </a:path>
                              <a:path w="54610" h="131445">
                                <a:moveTo>
                                  <a:pt x="0" y="0"/>
                                </a:moveTo>
                                <a:lnTo>
                                  <a:pt x="54444" y="0"/>
                                </a:lnTo>
                              </a:path>
                            </a:pathLst>
                          </a:custGeom>
                          <a:ln w="11925">
                            <a:solidFill>
                              <a:srgbClr val="939598"/>
                            </a:solidFill>
                            <a:prstDash val="solid"/>
                          </a:ln>
                        </wps:spPr>
                        <wps:bodyPr wrap="square" lIns="0" tIns="0" rIns="0" bIns="0" rtlCol="0">
                          <a:prstTxWarp prst="textNoShape">
                            <a:avLst/>
                          </a:prstTxWarp>
                          <a:noAutofit/>
                        </wps:bodyPr>
                      </wps:wsp>
                      <wps:wsp>
                        <wps:cNvPr id="1664" name="Graphic 1664"/>
                        <wps:cNvSpPr/>
                        <wps:spPr>
                          <a:xfrm>
                            <a:off x="1999566" y="495503"/>
                            <a:ext cx="49530" cy="59690"/>
                          </a:xfrm>
                          <a:custGeom>
                            <a:avLst/>
                            <a:gdLst/>
                            <a:ahLst/>
                            <a:cxnLst/>
                            <a:rect l="l" t="t" r="r" b="b"/>
                            <a:pathLst>
                              <a:path w="49530" h="59690">
                                <a:moveTo>
                                  <a:pt x="25311" y="35788"/>
                                </a:moveTo>
                                <a:lnTo>
                                  <a:pt x="25311" y="59639"/>
                                </a:lnTo>
                              </a:path>
                              <a:path w="49530" h="59690">
                                <a:moveTo>
                                  <a:pt x="25311" y="35788"/>
                                </a:moveTo>
                                <a:lnTo>
                                  <a:pt x="25311" y="0"/>
                                </a:lnTo>
                              </a:path>
                              <a:path w="49530" h="59690">
                                <a:moveTo>
                                  <a:pt x="0" y="59639"/>
                                </a:moveTo>
                                <a:lnTo>
                                  <a:pt x="49161" y="59639"/>
                                </a:lnTo>
                              </a:path>
                              <a:path w="49530" h="59690">
                                <a:moveTo>
                                  <a:pt x="0" y="0"/>
                                </a:moveTo>
                                <a:lnTo>
                                  <a:pt x="49161" y="0"/>
                                </a:lnTo>
                              </a:path>
                            </a:pathLst>
                          </a:custGeom>
                          <a:ln w="11925">
                            <a:solidFill>
                              <a:srgbClr val="939598"/>
                            </a:solidFill>
                            <a:prstDash val="solid"/>
                          </a:ln>
                        </wps:spPr>
                        <wps:bodyPr wrap="square" lIns="0" tIns="0" rIns="0" bIns="0" rtlCol="0">
                          <a:prstTxWarp prst="textNoShape">
                            <a:avLst/>
                          </a:prstTxWarp>
                          <a:noAutofit/>
                        </wps:bodyPr>
                      </wps:wsp>
                      <wps:wsp>
                        <wps:cNvPr id="1665" name="Graphic 1665"/>
                        <wps:cNvSpPr/>
                        <wps:spPr>
                          <a:xfrm>
                            <a:off x="3229678" y="292712"/>
                            <a:ext cx="48260" cy="71755"/>
                          </a:xfrm>
                          <a:custGeom>
                            <a:avLst/>
                            <a:gdLst/>
                            <a:ahLst/>
                            <a:cxnLst/>
                            <a:rect l="l" t="t" r="r" b="b"/>
                            <a:pathLst>
                              <a:path w="48260" h="71755">
                                <a:moveTo>
                                  <a:pt x="23863" y="35788"/>
                                </a:moveTo>
                                <a:lnTo>
                                  <a:pt x="23863" y="71577"/>
                                </a:lnTo>
                              </a:path>
                              <a:path w="48260" h="71755">
                                <a:moveTo>
                                  <a:pt x="23863" y="35788"/>
                                </a:moveTo>
                                <a:lnTo>
                                  <a:pt x="23863" y="0"/>
                                </a:lnTo>
                              </a:path>
                              <a:path w="48260" h="71755">
                                <a:moveTo>
                                  <a:pt x="0" y="71577"/>
                                </a:moveTo>
                                <a:lnTo>
                                  <a:pt x="47713" y="71577"/>
                                </a:lnTo>
                              </a:path>
                              <a:path w="48260" h="71755">
                                <a:moveTo>
                                  <a:pt x="0" y="0"/>
                                </a:moveTo>
                                <a:lnTo>
                                  <a:pt x="47713" y="0"/>
                                </a:lnTo>
                              </a:path>
                            </a:pathLst>
                          </a:custGeom>
                          <a:ln w="11925">
                            <a:solidFill>
                              <a:srgbClr val="939598"/>
                            </a:solidFill>
                            <a:prstDash val="solid"/>
                          </a:ln>
                        </wps:spPr>
                        <wps:bodyPr wrap="square" lIns="0" tIns="0" rIns="0" bIns="0" rtlCol="0">
                          <a:prstTxWarp prst="textNoShape">
                            <a:avLst/>
                          </a:prstTxWarp>
                          <a:noAutofit/>
                        </wps:bodyPr>
                      </wps:wsp>
                      <wps:wsp>
                        <wps:cNvPr id="1666" name="Graphic 1666"/>
                        <wps:cNvSpPr/>
                        <wps:spPr>
                          <a:xfrm>
                            <a:off x="4458341" y="244994"/>
                            <a:ext cx="48260" cy="83820"/>
                          </a:xfrm>
                          <a:custGeom>
                            <a:avLst/>
                            <a:gdLst/>
                            <a:ahLst/>
                            <a:cxnLst/>
                            <a:rect l="l" t="t" r="r" b="b"/>
                            <a:pathLst>
                              <a:path w="48260" h="83820">
                                <a:moveTo>
                                  <a:pt x="23863" y="35788"/>
                                </a:moveTo>
                                <a:lnTo>
                                  <a:pt x="23863" y="83502"/>
                                </a:lnTo>
                              </a:path>
                              <a:path w="48260" h="83820">
                                <a:moveTo>
                                  <a:pt x="23863" y="35788"/>
                                </a:moveTo>
                                <a:lnTo>
                                  <a:pt x="23863" y="0"/>
                                </a:lnTo>
                              </a:path>
                              <a:path w="48260" h="83820">
                                <a:moveTo>
                                  <a:pt x="0" y="83502"/>
                                </a:moveTo>
                                <a:lnTo>
                                  <a:pt x="47713" y="83502"/>
                                </a:lnTo>
                              </a:path>
                              <a:path w="48260" h="83820">
                                <a:moveTo>
                                  <a:pt x="0" y="0"/>
                                </a:moveTo>
                                <a:lnTo>
                                  <a:pt x="47713" y="0"/>
                                </a:lnTo>
                              </a:path>
                            </a:pathLst>
                          </a:custGeom>
                          <a:ln w="11925">
                            <a:solidFill>
                              <a:srgbClr val="939598"/>
                            </a:solidFill>
                            <a:prstDash val="solid"/>
                          </a:ln>
                        </wps:spPr>
                        <wps:bodyPr wrap="square" lIns="0" tIns="0" rIns="0" bIns="0" rtlCol="0">
                          <a:prstTxWarp prst="textNoShape">
                            <a:avLst/>
                          </a:prstTxWarp>
                          <a:noAutofit/>
                        </wps:bodyPr>
                      </wps:wsp>
                      <wps:wsp>
                        <wps:cNvPr id="1667" name="Graphic 1667"/>
                        <wps:cNvSpPr/>
                        <wps:spPr>
                          <a:xfrm>
                            <a:off x="3568" y="35948"/>
                            <a:ext cx="4926965" cy="2017395"/>
                          </a:xfrm>
                          <a:custGeom>
                            <a:avLst/>
                            <a:gdLst/>
                            <a:ahLst/>
                            <a:cxnLst/>
                            <a:rect l="l" t="t" r="r" b="b"/>
                            <a:pathLst>
                              <a:path w="4926965" h="2017395">
                                <a:moveTo>
                                  <a:pt x="4926584" y="2016874"/>
                                </a:moveTo>
                                <a:lnTo>
                                  <a:pt x="0" y="2016874"/>
                                </a:lnTo>
                                <a:lnTo>
                                  <a:pt x="0" y="0"/>
                                </a:lnTo>
                              </a:path>
                            </a:pathLst>
                          </a:custGeom>
                          <a:ln w="7137">
                            <a:solidFill>
                              <a:srgbClr val="939598"/>
                            </a:solidFill>
                            <a:prstDash val="solid"/>
                          </a:ln>
                        </wps:spPr>
                        <wps:bodyPr wrap="square" lIns="0" tIns="0" rIns="0" bIns="0" rtlCol="0">
                          <a:prstTxWarp prst="textNoShape">
                            <a:avLst/>
                          </a:prstTxWarp>
                          <a:noAutofit/>
                        </wps:bodyPr>
                      </wps:wsp>
                      <wps:wsp>
                        <wps:cNvPr id="1668" name="Textbox 1668"/>
                        <wps:cNvSpPr txBox="1"/>
                        <wps:spPr>
                          <a:xfrm>
                            <a:off x="450245" y="0"/>
                            <a:ext cx="673735" cy="156210"/>
                          </a:xfrm>
                          <a:prstGeom prst="rect">
                            <a:avLst/>
                          </a:prstGeom>
                        </wps:spPr>
                        <wps:txbx>
                          <w:txbxContent>
                            <w:p>
                              <w:pPr>
                                <w:spacing w:before="11"/>
                                <w:ind w:left="0" w:right="0" w:firstLine="0"/>
                                <w:jc w:val="left"/>
                                <w:rPr>
                                  <w:sz w:val="18"/>
                                </w:rPr>
                              </w:pPr>
                              <w:r>
                                <w:rPr>
                                  <w:color w:val="636466"/>
                                  <w:spacing w:val="-9"/>
                                  <w:sz w:val="18"/>
                                </w:rPr>
                                <w:t>Yates</w:t>
                              </w:r>
                              <w:r>
                                <w:rPr>
                                  <w:color w:val="636466"/>
                                  <w:spacing w:val="-4"/>
                                  <w:sz w:val="18"/>
                                </w:rPr>
                                <w:t> </w:t>
                              </w:r>
                              <w:r>
                                <w:rPr>
                                  <w:color w:val="636466"/>
                                  <w:spacing w:val="-2"/>
                                  <w:sz w:val="18"/>
                                </w:rPr>
                                <w:t>County</w:t>
                              </w:r>
                            </w:p>
                          </w:txbxContent>
                        </wps:txbx>
                        <wps:bodyPr wrap="square" lIns="0" tIns="0" rIns="0" bIns="0" rtlCol="0">
                          <a:noAutofit/>
                        </wps:bodyPr>
                      </wps:wsp>
                      <wps:wsp>
                        <wps:cNvPr id="1669" name="Textbox 1669"/>
                        <wps:cNvSpPr txBox="1"/>
                        <wps:spPr>
                          <a:xfrm>
                            <a:off x="1430368" y="0"/>
                            <a:ext cx="730885" cy="156210"/>
                          </a:xfrm>
                          <a:prstGeom prst="rect">
                            <a:avLst/>
                          </a:prstGeom>
                        </wps:spPr>
                        <wps:txbx>
                          <w:txbxContent>
                            <w:p>
                              <w:pPr>
                                <w:spacing w:before="11"/>
                                <w:ind w:left="0" w:right="0" w:firstLine="0"/>
                                <w:jc w:val="left"/>
                                <w:rPr>
                                  <w:sz w:val="18"/>
                                </w:rPr>
                              </w:pPr>
                              <w:r>
                                <w:rPr>
                                  <w:color w:val="636466"/>
                                  <w:spacing w:val="-6"/>
                                  <w:sz w:val="18"/>
                                </w:rPr>
                                <w:t>NYS</w:t>
                              </w:r>
                              <w:r>
                                <w:rPr>
                                  <w:color w:val="636466"/>
                                  <w:spacing w:val="-7"/>
                                  <w:sz w:val="18"/>
                                </w:rPr>
                                <w:t> </w:t>
                              </w:r>
                              <w:r>
                                <w:rPr>
                                  <w:color w:val="636466"/>
                                  <w:spacing w:val="-6"/>
                                  <w:sz w:val="18"/>
                                </w:rPr>
                                <w:t>Excl NYC</w:t>
                              </w:r>
                            </w:p>
                          </w:txbxContent>
                        </wps:txbx>
                        <wps:bodyPr wrap="square" lIns="0" tIns="0" rIns="0" bIns="0" rtlCol="0">
                          <a:noAutofit/>
                        </wps:bodyPr>
                      </wps:wsp>
                    </wpg:wgp>
                  </a:graphicData>
                </a:graphic>
              </wp:anchor>
            </w:drawing>
          </mc:Choice>
          <mc:Fallback>
            <w:pict>
              <v:group style="position:absolute;margin-left:96.803902pt;margin-top:-1.933908pt;width:388.5pt;height:161.950pt;mso-position-horizontal-relative:page;mso-position-vertical-relative:paragraph;z-index:-28183552" id="docshapegroup1313" coordorigin="1936,-39" coordsize="7770,3239">
                <v:rect style="position:absolute;left:2456;top:22;width:107;height:107" id="docshape1314" filled="true" fillcolor="#105c84" stroked="false">
                  <v:fill type="solid"/>
                </v:rect>
                <v:rect style="position:absolute;left:4010;top:22;width:107;height:107" id="docshape1315" filled="true" fillcolor="#bcbec0" stroked="false">
                  <v:fill type="solid"/>
                </v:rect>
                <v:shape style="position:absolute;left:2410;top:657;width:6256;height:2537" id="docshape1316" coordorigin="2410,657" coordsize="6256,2537" path="m2842,2085l2410,2085,2410,3193,2842,3193,2842,2085xm4777,657l4345,657,4345,3193,4777,3193,4777,657xm6731,901l6280,901,6280,3193,6731,3193,6731,901xm8666,1540l8234,1540,8234,3193,8666,3193,8666,1540xe" filled="true" fillcolor="#105c84" stroked="false">
                  <v:path arrowok="t"/>
                  <v:fill type="solid"/>
                </v:shape>
                <v:shape style="position:absolute;left:2955;top:412;width:6256;height:2781" id="docshape1317" coordorigin="2955,413" coordsize="6256,2781" path="m3387,1747l2955,1747,2955,3193,3387,3193,3387,1747xm5341,789l4909,789,4909,3193,5341,3193,5341,789xm7276,488l6844,488,6844,3193,7276,3193,7276,488xm9211,413l8779,413,8779,3193,9211,3193,9211,413xe" filled="true" fillcolor="#bcbec0" stroked="false">
                  <v:path arrowok="t"/>
                  <v:fill type="solid"/>
                </v:shape>
                <v:shape style="position:absolute;left:2588;top:1643;width:76;height:902" id="docshape1318" coordorigin="2589,1643" coordsize="76,902" path="m2626,2094l2626,2545m2626,2094l2626,1643m2589,2545l2664,2545m2589,1643l2664,1643e" filled="false" stroked="true" strokeweight=".939pt" strokecolor="#939598">
                  <v:path arrowok="t"/>
                  <v:stroke dashstyle="solid"/>
                </v:shape>
                <v:shape style="position:absolute;left:4523;top:403;width:76;height:489" id="docshape1319" coordorigin="4524,403" coordsize="76,489" path="m4561,648l4561,892m4561,648l4561,403m4524,892l4599,892m4524,403l4599,403e" filled="false" stroked="true" strokeweight=".939pt" strokecolor="#939598">
                  <v:path arrowok="t"/>
                  <v:stroke dashstyle="solid"/>
                </v:shape>
                <v:shape style="position:absolute;left:6458;top:553;width:94;height:677" id="docshape1320" coordorigin="6459,554" coordsize="94,677" path="m6510,892l6510,1230m6510,892l6510,554m6459,1230l6553,1230m6459,554l6553,554e" filled="false" stroked="true" strokeweight=".939pt" strokecolor="#939598">
                  <v:path arrowok="t"/>
                  <v:stroke dashstyle="solid"/>
                </v:shape>
                <v:shape style="position:absolute;left:8412;top:1305;width:76;height:489" id="docshape1321" coordorigin="8412,1305" coordsize="76,489" path="m8450,1549l8450,1794m8450,1549l8450,1305m8412,1794l8487,1794m8412,1305l8487,1305e" filled="false" stroked="true" strokeweight=".939pt" strokecolor="#939598">
                  <v:path arrowok="t"/>
                  <v:stroke dashstyle="solid"/>
                </v:shape>
                <v:shape style="position:absolute;left:3133;top:1643;width:86;height:207" id="docshape1322" coordorigin="3134,1643" coordsize="86,207" path="m3178,1756l3178,1850m3178,1756l3178,1643m3134,1850l3219,1850m3134,1643l3219,1643e" filled="false" stroked="true" strokeweight=".939pt" strokecolor="#939598">
                  <v:path arrowok="t"/>
                  <v:stroke dashstyle="solid"/>
                </v:shape>
                <v:shape style="position:absolute;left:5085;top:741;width:78;height:94" id="docshape1323" coordorigin="5085,742" coordsize="78,94" path="m5125,798l5125,836m5125,798l5125,742m5085,836l5162,836m5085,742l5162,742e" filled="false" stroked="true" strokeweight=".939pt" strokecolor="#939598">
                  <v:path arrowok="t"/>
                  <v:stroke dashstyle="solid"/>
                </v:shape>
                <v:shape style="position:absolute;left:7022;top:422;width:76;height:113" id="docshape1324" coordorigin="7022,422" coordsize="76,113" path="m7060,479l7060,535m7060,479l7060,422m7022,535l7097,535m7022,422l7097,422e" filled="false" stroked="true" strokeweight=".939pt" strokecolor="#939598">
                  <v:path arrowok="t"/>
                  <v:stroke dashstyle="solid"/>
                </v:shape>
                <v:shape style="position:absolute;left:8957;top:347;width:76;height:132" id="docshape1325" coordorigin="8957,347" coordsize="76,132" path="m8995,403l8995,479m8995,403l8995,347m8957,479l9032,479m8957,347l9032,347e" filled="false" stroked="true" strokeweight=".939pt" strokecolor="#939598">
                  <v:path arrowok="t"/>
                  <v:stroke dashstyle="solid"/>
                </v:shape>
                <v:shape style="position:absolute;left:1941;top:17;width:7759;height:3177" id="docshape1326" coordorigin="1942,18" coordsize="7759,3177" path="m9700,3194l1942,3194,1942,18e" filled="false" stroked="true" strokeweight=".562pt" strokecolor="#939598">
                  <v:path arrowok="t"/>
                  <v:stroke dashstyle="solid"/>
                </v:shape>
                <v:shape style="position:absolute;left:2645;top:-39;width:1061;height:246" type="#_x0000_t202" id="docshape1327" filled="false" stroked="false">
                  <v:textbox inset="0,0,0,0">
                    <w:txbxContent>
                      <w:p>
                        <w:pPr>
                          <w:spacing w:before="11"/>
                          <w:ind w:left="0" w:right="0" w:firstLine="0"/>
                          <w:jc w:val="left"/>
                          <w:rPr>
                            <w:sz w:val="18"/>
                          </w:rPr>
                        </w:pPr>
                        <w:r>
                          <w:rPr>
                            <w:color w:val="636466"/>
                            <w:spacing w:val="-9"/>
                            <w:sz w:val="18"/>
                          </w:rPr>
                          <w:t>Yates</w:t>
                        </w:r>
                        <w:r>
                          <w:rPr>
                            <w:color w:val="636466"/>
                            <w:spacing w:val="-4"/>
                            <w:sz w:val="18"/>
                          </w:rPr>
                          <w:t> </w:t>
                        </w:r>
                        <w:r>
                          <w:rPr>
                            <w:color w:val="636466"/>
                            <w:spacing w:val="-2"/>
                            <w:sz w:val="18"/>
                          </w:rPr>
                          <w:t>County</w:t>
                        </w:r>
                      </w:p>
                    </w:txbxContent>
                  </v:textbox>
                  <w10:wrap type="none"/>
                </v:shape>
                <v:shape style="position:absolute;left:4188;top:-39;width:1151;height:246" type="#_x0000_t202" id="docshape1328" filled="false" stroked="false">
                  <v:textbox inset="0,0,0,0">
                    <w:txbxContent>
                      <w:p>
                        <w:pPr>
                          <w:spacing w:before="11"/>
                          <w:ind w:left="0" w:right="0" w:firstLine="0"/>
                          <w:jc w:val="left"/>
                          <w:rPr>
                            <w:sz w:val="18"/>
                          </w:rPr>
                        </w:pPr>
                        <w:r>
                          <w:rPr>
                            <w:color w:val="636466"/>
                            <w:spacing w:val="-6"/>
                            <w:sz w:val="18"/>
                          </w:rPr>
                          <w:t>NYS</w:t>
                        </w:r>
                        <w:r>
                          <w:rPr>
                            <w:color w:val="636466"/>
                            <w:spacing w:val="-7"/>
                            <w:sz w:val="18"/>
                          </w:rPr>
                          <w:t> </w:t>
                        </w:r>
                        <w:r>
                          <w:rPr>
                            <w:color w:val="636466"/>
                            <w:spacing w:val="-6"/>
                            <w:sz w:val="18"/>
                          </w:rPr>
                          <w:t>Excl NYC</w:t>
                        </w:r>
                      </w:p>
                    </w:txbxContent>
                  </v:textbox>
                  <w10:wrap type="none"/>
                </v:shape>
                <w10:wrap type="none"/>
              </v:group>
            </w:pict>
          </mc:Fallback>
        </mc:AlternateContent>
      </w:r>
      <w:r>
        <w:rPr>
          <w:color w:val="636466"/>
          <w:spacing w:val="-5"/>
          <w:sz w:val="16"/>
        </w:rPr>
        <w:t>90%</w:t>
      </w:r>
    </w:p>
    <w:p>
      <w:pPr>
        <w:spacing w:before="154"/>
        <w:ind w:left="1517" w:right="0" w:firstLine="0"/>
        <w:jc w:val="left"/>
        <w:rPr>
          <w:sz w:val="16"/>
        </w:rPr>
      </w:pPr>
      <w:r>
        <w:rPr>
          <w:sz w:val="16"/>
        </w:rPr>
        <mc:AlternateContent>
          <mc:Choice Requires="wps">
            <w:drawing>
              <wp:anchor distT="0" distB="0" distL="0" distR="0" allowOverlap="1" layoutInCell="1" locked="0" behindDoc="0" simplePos="0" relativeHeight="15907328">
                <wp:simplePos x="0" y="0"/>
                <wp:positionH relativeFrom="page">
                  <wp:posOffset>695262</wp:posOffset>
                </wp:positionH>
                <wp:positionV relativeFrom="paragraph">
                  <wp:posOffset>242824</wp:posOffset>
                </wp:positionV>
                <wp:extent cx="181610" cy="1287145"/>
                <wp:effectExtent l="0" t="0" r="0" b="0"/>
                <wp:wrapNone/>
                <wp:docPr id="1670" name="Textbox 1670"/>
                <wp:cNvGraphicFramePr>
                  <a:graphicFrameLocks/>
                </wp:cNvGraphicFramePr>
                <a:graphic>
                  <a:graphicData uri="http://schemas.microsoft.com/office/word/2010/wordprocessingShape">
                    <wps:wsp>
                      <wps:cNvPr id="1670" name="Textbox 1670"/>
                      <wps:cNvSpPr txBox="1"/>
                      <wps:spPr>
                        <a:xfrm>
                          <a:off x="0" y="0"/>
                          <a:ext cx="181610" cy="1287145"/>
                        </a:xfrm>
                        <a:prstGeom prst="rect">
                          <a:avLst/>
                        </a:prstGeom>
                      </wps:spPr>
                      <wps:txbx>
                        <w:txbxContent>
                          <w:p>
                            <w:pPr>
                              <w:spacing w:before="31"/>
                              <w:ind w:left="20" w:right="0" w:firstLine="0"/>
                              <w:jc w:val="left"/>
                              <w:rPr>
                                <w:sz w:val="18"/>
                              </w:rPr>
                            </w:pPr>
                            <w:r>
                              <w:rPr>
                                <w:color w:val="105C84"/>
                                <w:sz w:val="18"/>
                              </w:rPr>
                              <w:t>Percent</w:t>
                            </w:r>
                            <w:r>
                              <w:rPr>
                                <w:color w:val="105C84"/>
                                <w:spacing w:val="4"/>
                                <w:sz w:val="18"/>
                              </w:rPr>
                              <w:t> </w:t>
                            </w:r>
                            <w:r>
                              <w:rPr>
                                <w:color w:val="105C84"/>
                                <w:sz w:val="18"/>
                              </w:rPr>
                              <w:t>of</w:t>
                            </w:r>
                            <w:r>
                              <w:rPr>
                                <w:color w:val="105C84"/>
                                <w:spacing w:val="4"/>
                                <w:sz w:val="18"/>
                              </w:rPr>
                              <w:t> </w:t>
                            </w:r>
                            <w:r>
                              <w:rPr>
                                <w:color w:val="105C84"/>
                                <w:sz w:val="18"/>
                              </w:rPr>
                              <w:t>eligible</w:t>
                            </w:r>
                            <w:r>
                              <w:rPr>
                                <w:color w:val="105C84"/>
                                <w:spacing w:val="4"/>
                                <w:sz w:val="18"/>
                              </w:rPr>
                              <w:t> </w:t>
                            </w:r>
                            <w:r>
                              <w:rPr>
                                <w:color w:val="105C84"/>
                                <w:spacing w:val="-2"/>
                                <w:sz w:val="18"/>
                              </w:rPr>
                              <w:t>adults</w:t>
                            </w:r>
                          </w:p>
                        </w:txbxContent>
                      </wps:txbx>
                      <wps:bodyPr wrap="square" lIns="0" tIns="0" rIns="0" bIns="0" rtlCol="0" vert="vert270">
                        <a:noAutofit/>
                      </wps:bodyPr>
                    </wps:wsp>
                  </a:graphicData>
                </a:graphic>
              </wp:anchor>
            </w:drawing>
          </mc:Choice>
          <mc:Fallback>
            <w:pict>
              <v:shape style="position:absolute;margin-left:54.745098pt;margin-top:19.120070pt;width:14.3pt;height:101.35pt;mso-position-horizontal-relative:page;mso-position-vertical-relative:paragraph;z-index:15907328" type="#_x0000_t202" id="docshape1329" filled="false" stroked="false">
                <v:textbox inset="0,0,0,0" style="layout-flow:vertical;mso-layout-flow-alt:bottom-to-top">
                  <w:txbxContent>
                    <w:p>
                      <w:pPr>
                        <w:spacing w:before="31"/>
                        <w:ind w:left="20" w:right="0" w:firstLine="0"/>
                        <w:jc w:val="left"/>
                        <w:rPr>
                          <w:sz w:val="18"/>
                        </w:rPr>
                      </w:pPr>
                      <w:r>
                        <w:rPr>
                          <w:color w:val="105C84"/>
                          <w:sz w:val="18"/>
                        </w:rPr>
                        <w:t>Percent</w:t>
                      </w:r>
                      <w:r>
                        <w:rPr>
                          <w:color w:val="105C84"/>
                          <w:spacing w:val="4"/>
                          <w:sz w:val="18"/>
                        </w:rPr>
                        <w:t> </w:t>
                      </w:r>
                      <w:r>
                        <w:rPr>
                          <w:color w:val="105C84"/>
                          <w:sz w:val="18"/>
                        </w:rPr>
                        <w:t>of</w:t>
                      </w:r>
                      <w:r>
                        <w:rPr>
                          <w:color w:val="105C84"/>
                          <w:spacing w:val="4"/>
                          <w:sz w:val="18"/>
                        </w:rPr>
                        <w:t> </w:t>
                      </w:r>
                      <w:r>
                        <w:rPr>
                          <w:color w:val="105C84"/>
                          <w:sz w:val="18"/>
                        </w:rPr>
                        <w:t>eligible</w:t>
                      </w:r>
                      <w:r>
                        <w:rPr>
                          <w:color w:val="105C84"/>
                          <w:spacing w:val="4"/>
                          <w:sz w:val="18"/>
                        </w:rPr>
                        <w:t> </w:t>
                      </w:r>
                      <w:r>
                        <w:rPr>
                          <w:color w:val="105C84"/>
                          <w:spacing w:val="-2"/>
                          <w:sz w:val="18"/>
                        </w:rPr>
                        <w:t>adults</w:t>
                      </w:r>
                    </w:p>
                  </w:txbxContent>
                </v:textbox>
                <w10:wrap type="none"/>
              </v:shape>
            </w:pict>
          </mc:Fallback>
        </mc:AlternateContent>
      </w:r>
      <w:r>
        <w:rPr>
          <w:color w:val="636466"/>
          <w:spacing w:val="-5"/>
          <w:sz w:val="16"/>
        </w:rPr>
        <w:t>80%</w:t>
      </w:r>
    </w:p>
    <w:p>
      <w:pPr>
        <w:spacing w:before="154"/>
        <w:ind w:left="1517" w:right="0" w:firstLine="0"/>
        <w:jc w:val="left"/>
        <w:rPr>
          <w:sz w:val="16"/>
        </w:rPr>
      </w:pPr>
      <w:r>
        <w:rPr>
          <w:color w:val="636466"/>
          <w:spacing w:val="-5"/>
          <w:sz w:val="16"/>
        </w:rPr>
        <w:t>70%</w:t>
      </w:r>
    </w:p>
    <w:p>
      <w:pPr>
        <w:spacing w:before="173"/>
        <w:ind w:left="1517" w:right="0" w:firstLine="0"/>
        <w:jc w:val="left"/>
        <w:rPr>
          <w:sz w:val="16"/>
        </w:rPr>
      </w:pPr>
      <w:r>
        <w:rPr>
          <w:color w:val="636466"/>
          <w:spacing w:val="-5"/>
          <w:sz w:val="16"/>
        </w:rPr>
        <w:t>60%</w:t>
      </w:r>
    </w:p>
    <w:p>
      <w:pPr>
        <w:spacing w:before="154"/>
        <w:ind w:left="1517" w:right="0" w:firstLine="0"/>
        <w:jc w:val="left"/>
        <w:rPr>
          <w:sz w:val="16"/>
        </w:rPr>
      </w:pPr>
      <w:r>
        <w:rPr>
          <w:color w:val="636466"/>
          <w:spacing w:val="-5"/>
          <w:sz w:val="16"/>
        </w:rPr>
        <w:t>50%</w:t>
      </w:r>
    </w:p>
    <w:p>
      <w:pPr>
        <w:spacing w:before="154"/>
        <w:ind w:left="1517" w:right="0" w:firstLine="0"/>
        <w:jc w:val="left"/>
        <w:rPr>
          <w:sz w:val="16"/>
        </w:rPr>
      </w:pPr>
      <w:r>
        <w:rPr>
          <w:color w:val="636466"/>
          <w:spacing w:val="-5"/>
          <w:sz w:val="16"/>
        </w:rPr>
        <w:t>40%</w:t>
      </w:r>
    </w:p>
    <w:p>
      <w:pPr>
        <w:spacing w:before="173"/>
        <w:ind w:left="1517" w:right="0" w:firstLine="0"/>
        <w:jc w:val="left"/>
        <w:rPr>
          <w:sz w:val="16"/>
        </w:rPr>
      </w:pPr>
      <w:r>
        <w:rPr>
          <w:color w:val="636466"/>
          <w:spacing w:val="-5"/>
          <w:sz w:val="16"/>
        </w:rPr>
        <w:t>30%</w:t>
      </w:r>
    </w:p>
    <w:p>
      <w:pPr>
        <w:spacing w:before="154"/>
        <w:ind w:left="1517" w:right="0" w:firstLine="0"/>
        <w:jc w:val="left"/>
        <w:rPr>
          <w:sz w:val="16"/>
        </w:rPr>
      </w:pPr>
      <w:r>
        <w:rPr>
          <w:color w:val="636466"/>
          <w:spacing w:val="-5"/>
          <w:sz w:val="16"/>
        </w:rPr>
        <w:t>20%</w:t>
      </w:r>
    </w:p>
    <w:p>
      <w:pPr>
        <w:spacing w:before="154"/>
        <w:ind w:left="1517" w:right="0" w:firstLine="0"/>
        <w:jc w:val="left"/>
        <w:rPr>
          <w:sz w:val="16"/>
        </w:rPr>
      </w:pPr>
      <w:r>
        <w:rPr>
          <w:color w:val="636466"/>
          <w:spacing w:val="-5"/>
          <w:sz w:val="16"/>
        </w:rPr>
        <w:t>10%</w:t>
      </w:r>
    </w:p>
    <w:p>
      <w:pPr>
        <w:pStyle w:val="BodyText"/>
        <w:spacing w:line="247" w:lineRule="auto" w:before="114"/>
        <w:ind w:left="1094" w:right="399"/>
      </w:pPr>
      <w:r>
        <w:rPr/>
        <w:br w:type="column"/>
      </w:r>
      <w:r>
        <w:rPr>
          <w:color w:val="105C84"/>
        </w:rPr>
        <w:t>Suicide rates in Yates County have increased over the past several years (Figure 54). In 2011-2013, there were a total of 6 suicide deaths which occurred (rate of 5.4 per 100,000 residents). In</w:t>
      </w:r>
      <w:r>
        <w:rPr>
          <w:color w:val="105C84"/>
          <w:spacing w:val="80"/>
        </w:rPr>
        <w:t> </w:t>
      </w:r>
      <w:r>
        <w:rPr>
          <w:color w:val="105C84"/>
        </w:rPr>
        <w:t>2014-2016, deaths doubled to 12 (rate of 12.4 per 1000,000 residents). The prevalence of mental emotional health issues reported in </w:t>
      </w:r>
      <w:r>
        <w:rPr>
          <w:i/>
          <w:color w:val="105C84"/>
        </w:rPr>
        <w:t>My Health Story 2018 </w:t>
      </w:r>
      <w:r>
        <w:rPr>
          <w:color w:val="105C84"/>
        </w:rPr>
        <w:t>and increase in suicide rates support the county’s decision to focus on mental well-being, specifically suicide prevention, in the upcoming health</w:t>
      </w:r>
      <w:r>
        <w:rPr>
          <w:color w:val="105C84"/>
          <w:spacing w:val="80"/>
        </w:rPr>
        <w:t> </w:t>
      </w:r>
      <w:r>
        <w:rPr>
          <w:color w:val="105C84"/>
        </w:rPr>
        <w:t>improvement period.</w:t>
      </w:r>
    </w:p>
    <w:p>
      <w:pPr>
        <w:pStyle w:val="BodyText"/>
        <w:spacing w:before="15"/>
      </w:pPr>
    </w:p>
    <w:p>
      <w:pPr>
        <w:pStyle w:val="Heading6"/>
        <w:ind w:left="1094"/>
      </w:pPr>
      <w:r>
        <w:rPr/>
        <mc:AlternateContent>
          <mc:Choice Requires="wps">
            <w:drawing>
              <wp:anchor distT="0" distB="0" distL="0" distR="0" allowOverlap="1" layoutInCell="1" locked="0" behindDoc="0" simplePos="0" relativeHeight="15906816">
                <wp:simplePos x="0" y="0"/>
                <wp:positionH relativeFrom="page">
                  <wp:posOffset>8908591</wp:posOffset>
                </wp:positionH>
                <wp:positionV relativeFrom="paragraph">
                  <wp:posOffset>414302</wp:posOffset>
                </wp:positionV>
                <wp:extent cx="4967605" cy="2339340"/>
                <wp:effectExtent l="0" t="0" r="0" b="0"/>
                <wp:wrapNone/>
                <wp:docPr id="1671" name="Group 1671"/>
                <wp:cNvGraphicFramePr>
                  <a:graphicFrameLocks/>
                </wp:cNvGraphicFramePr>
                <a:graphic>
                  <a:graphicData uri="http://schemas.microsoft.com/office/word/2010/wordprocessingGroup">
                    <wpg:wgp>
                      <wpg:cNvPr id="1671" name="Group 1671"/>
                      <wpg:cNvGrpSpPr/>
                      <wpg:grpSpPr>
                        <a:xfrm>
                          <a:off x="0" y="0"/>
                          <a:ext cx="4967605" cy="2339340"/>
                          <a:chExt cx="4967605" cy="2339340"/>
                        </a:xfrm>
                      </wpg:grpSpPr>
                      <wps:wsp>
                        <wps:cNvPr id="1672" name="Graphic 1672"/>
                        <wps:cNvSpPr/>
                        <wps:spPr>
                          <a:xfrm>
                            <a:off x="390920" y="586566"/>
                            <a:ext cx="4368800" cy="1752600"/>
                          </a:xfrm>
                          <a:custGeom>
                            <a:avLst/>
                            <a:gdLst/>
                            <a:ahLst/>
                            <a:cxnLst/>
                            <a:rect l="l" t="t" r="r" b="b"/>
                            <a:pathLst>
                              <a:path w="4368800" h="1752600">
                                <a:moveTo>
                                  <a:pt x="508000" y="977900"/>
                                </a:moveTo>
                                <a:lnTo>
                                  <a:pt x="0" y="977900"/>
                                </a:lnTo>
                                <a:lnTo>
                                  <a:pt x="0" y="1752600"/>
                                </a:lnTo>
                                <a:lnTo>
                                  <a:pt x="508000" y="1752600"/>
                                </a:lnTo>
                                <a:lnTo>
                                  <a:pt x="508000" y="977900"/>
                                </a:lnTo>
                                <a:close/>
                              </a:path>
                              <a:path w="4368800" h="1752600">
                                <a:moveTo>
                                  <a:pt x="1803400" y="609600"/>
                                </a:moveTo>
                                <a:lnTo>
                                  <a:pt x="1282700" y="609600"/>
                                </a:lnTo>
                                <a:lnTo>
                                  <a:pt x="1282700" y="1752600"/>
                                </a:lnTo>
                                <a:lnTo>
                                  <a:pt x="1803400" y="1752600"/>
                                </a:lnTo>
                                <a:lnTo>
                                  <a:pt x="1803400" y="609600"/>
                                </a:lnTo>
                                <a:close/>
                              </a:path>
                              <a:path w="4368800" h="1752600">
                                <a:moveTo>
                                  <a:pt x="3086100" y="419100"/>
                                </a:moveTo>
                                <a:lnTo>
                                  <a:pt x="2565400" y="419100"/>
                                </a:lnTo>
                                <a:lnTo>
                                  <a:pt x="2565400" y="1752600"/>
                                </a:lnTo>
                                <a:lnTo>
                                  <a:pt x="3086100" y="1752600"/>
                                </a:lnTo>
                                <a:lnTo>
                                  <a:pt x="3086100" y="419100"/>
                                </a:lnTo>
                                <a:close/>
                              </a:path>
                              <a:path w="4368800" h="1752600">
                                <a:moveTo>
                                  <a:pt x="4368800" y="0"/>
                                </a:moveTo>
                                <a:lnTo>
                                  <a:pt x="3860787" y="0"/>
                                </a:lnTo>
                                <a:lnTo>
                                  <a:pt x="3860787" y="1752600"/>
                                </a:lnTo>
                                <a:lnTo>
                                  <a:pt x="4368800" y="1752600"/>
                                </a:lnTo>
                                <a:lnTo>
                                  <a:pt x="4368800" y="0"/>
                                </a:lnTo>
                                <a:close/>
                              </a:path>
                            </a:pathLst>
                          </a:custGeom>
                          <a:solidFill>
                            <a:srgbClr val="105C84"/>
                          </a:solidFill>
                        </wps:spPr>
                        <wps:bodyPr wrap="square" lIns="0" tIns="0" rIns="0" bIns="0" rtlCol="0">
                          <a:prstTxWarp prst="textNoShape">
                            <a:avLst/>
                          </a:prstTxWarp>
                          <a:noAutofit/>
                        </wps:bodyPr>
                      </wps:wsp>
                      <wps:wsp>
                        <wps:cNvPr id="1673" name="Graphic 1673"/>
                        <wps:cNvSpPr/>
                        <wps:spPr>
                          <a:xfrm>
                            <a:off x="3568" y="3568"/>
                            <a:ext cx="4960620" cy="2329815"/>
                          </a:xfrm>
                          <a:custGeom>
                            <a:avLst/>
                            <a:gdLst/>
                            <a:ahLst/>
                            <a:cxnLst/>
                            <a:rect l="l" t="t" r="r" b="b"/>
                            <a:pathLst>
                              <a:path w="4960620" h="2329815">
                                <a:moveTo>
                                  <a:pt x="4960023" y="2329256"/>
                                </a:moveTo>
                                <a:lnTo>
                                  <a:pt x="0" y="2329256"/>
                                </a:lnTo>
                                <a:lnTo>
                                  <a:pt x="0" y="0"/>
                                </a:lnTo>
                              </a:path>
                            </a:pathLst>
                          </a:custGeom>
                          <a:ln w="7137">
                            <a:solidFill>
                              <a:srgbClr val="939598"/>
                            </a:solidFill>
                            <a:prstDash val="solid"/>
                          </a:ln>
                        </wps:spPr>
                        <wps:bodyPr wrap="square" lIns="0" tIns="0" rIns="0" bIns="0" rtlCol="0">
                          <a:prstTxWarp prst="textNoShape">
                            <a:avLst/>
                          </a:prstTxWarp>
                          <a:noAutofit/>
                        </wps:bodyPr>
                      </wps:wsp>
                      <wps:wsp>
                        <wps:cNvPr id="1674" name="Textbox 1674"/>
                        <wps:cNvSpPr txBox="1"/>
                        <wps:spPr>
                          <a:xfrm>
                            <a:off x="4402513" y="396016"/>
                            <a:ext cx="220979" cy="156210"/>
                          </a:xfrm>
                          <a:prstGeom prst="rect">
                            <a:avLst/>
                          </a:prstGeom>
                        </wps:spPr>
                        <wps:txbx>
                          <w:txbxContent>
                            <w:p>
                              <w:pPr>
                                <w:spacing w:before="11"/>
                                <w:ind w:left="0" w:right="0" w:firstLine="0"/>
                                <w:jc w:val="left"/>
                                <w:rPr>
                                  <w:sz w:val="18"/>
                                </w:rPr>
                              </w:pPr>
                              <w:r>
                                <w:rPr>
                                  <w:color w:val="636466"/>
                                  <w:spacing w:val="-5"/>
                                  <w:sz w:val="18"/>
                                </w:rPr>
                                <w:t>12.3</w:t>
                              </w:r>
                            </w:p>
                          </w:txbxContent>
                        </wps:txbx>
                        <wps:bodyPr wrap="square" lIns="0" tIns="0" rIns="0" bIns="0" rtlCol="0">
                          <a:noAutofit/>
                        </wps:bodyPr>
                      </wps:wsp>
                      <wps:wsp>
                        <wps:cNvPr id="1675" name="Textbox 1675"/>
                        <wps:cNvSpPr txBox="1"/>
                        <wps:spPr>
                          <a:xfrm>
                            <a:off x="3138241" y="802467"/>
                            <a:ext cx="161290" cy="156210"/>
                          </a:xfrm>
                          <a:prstGeom prst="rect">
                            <a:avLst/>
                          </a:prstGeom>
                        </wps:spPr>
                        <wps:txbx>
                          <w:txbxContent>
                            <w:p>
                              <w:pPr>
                                <w:spacing w:before="11"/>
                                <w:ind w:left="0" w:right="0" w:firstLine="0"/>
                                <w:jc w:val="left"/>
                                <w:rPr>
                                  <w:sz w:val="18"/>
                                </w:rPr>
                              </w:pPr>
                              <w:r>
                                <w:rPr>
                                  <w:color w:val="636466"/>
                                  <w:spacing w:val="-5"/>
                                  <w:sz w:val="18"/>
                                </w:rPr>
                                <w:t>9.4</w:t>
                              </w:r>
                            </w:p>
                          </w:txbxContent>
                        </wps:txbx>
                        <wps:bodyPr wrap="square" lIns="0" tIns="0" rIns="0" bIns="0" rtlCol="0">
                          <a:noAutofit/>
                        </wps:bodyPr>
                      </wps:wsp>
                      <wps:wsp>
                        <wps:cNvPr id="1676" name="Textbox 1676"/>
                        <wps:cNvSpPr txBox="1"/>
                        <wps:spPr>
                          <a:xfrm>
                            <a:off x="1907458" y="1005692"/>
                            <a:ext cx="72390" cy="156210"/>
                          </a:xfrm>
                          <a:prstGeom prst="rect">
                            <a:avLst/>
                          </a:prstGeom>
                        </wps:spPr>
                        <wps:txbx>
                          <w:txbxContent>
                            <w:p>
                              <w:pPr>
                                <w:spacing w:before="11"/>
                                <w:ind w:left="0" w:right="0" w:firstLine="0"/>
                                <w:jc w:val="left"/>
                                <w:rPr>
                                  <w:sz w:val="18"/>
                                </w:rPr>
                              </w:pPr>
                              <w:r>
                                <w:rPr>
                                  <w:color w:val="636466"/>
                                  <w:spacing w:val="-10"/>
                                  <w:sz w:val="18"/>
                                </w:rPr>
                                <w:t>8</w:t>
                              </w:r>
                            </w:p>
                          </w:txbxContent>
                        </wps:txbx>
                        <wps:bodyPr wrap="square" lIns="0" tIns="0" rIns="0" bIns="0" rtlCol="0">
                          <a:noAutofit/>
                        </wps:bodyPr>
                      </wps:wsp>
                      <wps:wsp>
                        <wps:cNvPr id="1677" name="Textbox 1677"/>
                        <wps:cNvSpPr txBox="1"/>
                        <wps:spPr>
                          <a:xfrm>
                            <a:off x="562376" y="1373967"/>
                            <a:ext cx="161290" cy="156210"/>
                          </a:xfrm>
                          <a:prstGeom prst="rect">
                            <a:avLst/>
                          </a:prstGeom>
                        </wps:spPr>
                        <wps:txbx>
                          <w:txbxContent>
                            <w:p>
                              <w:pPr>
                                <w:spacing w:before="11"/>
                                <w:ind w:left="0" w:right="0" w:firstLine="0"/>
                                <w:jc w:val="left"/>
                                <w:rPr>
                                  <w:sz w:val="18"/>
                                </w:rPr>
                              </w:pPr>
                              <w:r>
                                <w:rPr>
                                  <w:color w:val="636466"/>
                                  <w:spacing w:val="-5"/>
                                  <w:sz w:val="18"/>
                                </w:rPr>
                                <w:t>5.4</w:t>
                              </w:r>
                            </w:p>
                          </w:txbxContent>
                        </wps:txbx>
                        <wps:bodyPr wrap="square" lIns="0" tIns="0" rIns="0" bIns="0" rtlCol="0">
                          <a:noAutofit/>
                        </wps:bodyPr>
                      </wps:wsp>
                    </wpg:wgp>
                  </a:graphicData>
                </a:graphic>
              </wp:anchor>
            </w:drawing>
          </mc:Choice>
          <mc:Fallback>
            <w:pict>
              <v:group style="position:absolute;margin-left:701.463928pt;margin-top:32.622265pt;width:391.15pt;height:184.2pt;mso-position-horizontal-relative:page;mso-position-vertical-relative:paragraph;z-index:15906816" id="docshapegroup1330" coordorigin="14029,652" coordsize="7823,3684">
                <v:shape style="position:absolute;left:14644;top:1576;width:6880;height:2760" id="docshape1331" coordorigin="14645,1576" coordsize="6880,2760" path="m15445,3116l14645,3116,14645,4336,15445,4336,15445,3116xm17485,2536l16665,2536,16665,4336,17485,4336,17485,2536xm19505,2236l18685,2236,18685,4336,19505,4336,19505,2236xm21525,1576l20725,1576,20725,4336,21525,4336,21525,1576xe" filled="true" fillcolor="#105c84" stroked="false">
                  <v:path arrowok="t"/>
                  <v:fill type="solid"/>
                </v:shape>
                <v:shape style="position:absolute;left:14034;top:658;width:7812;height:3669" id="docshape1332" coordorigin="14035,658" coordsize="7812,3669" path="m21846,4326l14035,4326,14035,658e" filled="false" stroked="true" strokeweight=".562pt" strokecolor="#939598">
                  <v:path arrowok="t"/>
                  <v:stroke dashstyle="solid"/>
                </v:shape>
                <v:shape style="position:absolute;left:20962;top:1276;width:348;height:246" type="#_x0000_t202" id="docshape1333" filled="false" stroked="false">
                  <v:textbox inset="0,0,0,0">
                    <w:txbxContent>
                      <w:p>
                        <w:pPr>
                          <w:spacing w:before="11"/>
                          <w:ind w:left="0" w:right="0" w:firstLine="0"/>
                          <w:jc w:val="left"/>
                          <w:rPr>
                            <w:sz w:val="18"/>
                          </w:rPr>
                        </w:pPr>
                        <w:r>
                          <w:rPr>
                            <w:color w:val="636466"/>
                            <w:spacing w:val="-5"/>
                            <w:sz w:val="18"/>
                          </w:rPr>
                          <w:t>12.3</w:t>
                        </w:r>
                      </w:p>
                    </w:txbxContent>
                  </v:textbox>
                  <w10:wrap type="none"/>
                </v:shape>
                <v:shape style="position:absolute;left:18971;top:1916;width:254;height:246" type="#_x0000_t202" id="docshape1334" filled="false" stroked="false">
                  <v:textbox inset="0,0,0,0">
                    <w:txbxContent>
                      <w:p>
                        <w:pPr>
                          <w:spacing w:before="11"/>
                          <w:ind w:left="0" w:right="0" w:firstLine="0"/>
                          <w:jc w:val="left"/>
                          <w:rPr>
                            <w:sz w:val="18"/>
                          </w:rPr>
                        </w:pPr>
                        <w:r>
                          <w:rPr>
                            <w:color w:val="636466"/>
                            <w:spacing w:val="-5"/>
                            <w:sz w:val="18"/>
                          </w:rPr>
                          <w:t>9.4</w:t>
                        </w:r>
                      </w:p>
                    </w:txbxContent>
                  </v:textbox>
                  <w10:wrap type="none"/>
                </v:shape>
                <v:shape style="position:absolute;left:17033;top:2236;width:114;height:246" type="#_x0000_t202" id="docshape1335" filled="false" stroked="false">
                  <v:textbox inset="0,0,0,0">
                    <w:txbxContent>
                      <w:p>
                        <w:pPr>
                          <w:spacing w:before="11"/>
                          <w:ind w:left="0" w:right="0" w:firstLine="0"/>
                          <w:jc w:val="left"/>
                          <w:rPr>
                            <w:sz w:val="18"/>
                          </w:rPr>
                        </w:pPr>
                        <w:r>
                          <w:rPr>
                            <w:color w:val="636466"/>
                            <w:spacing w:val="-10"/>
                            <w:sz w:val="18"/>
                          </w:rPr>
                          <w:t>8</w:t>
                        </w:r>
                      </w:p>
                    </w:txbxContent>
                  </v:textbox>
                  <w10:wrap type="none"/>
                </v:shape>
                <v:shape style="position:absolute;left:14914;top:2816;width:254;height:246" type="#_x0000_t202" id="docshape1336" filled="false" stroked="false">
                  <v:textbox inset="0,0,0,0">
                    <w:txbxContent>
                      <w:p>
                        <w:pPr>
                          <w:spacing w:before="11"/>
                          <w:ind w:left="0" w:right="0" w:firstLine="0"/>
                          <w:jc w:val="left"/>
                          <w:rPr>
                            <w:sz w:val="18"/>
                          </w:rPr>
                        </w:pPr>
                        <w:r>
                          <w:rPr>
                            <w:color w:val="636466"/>
                            <w:spacing w:val="-5"/>
                            <w:sz w:val="18"/>
                          </w:rPr>
                          <w:t>5.4</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75134464">
                <wp:simplePos x="0" y="0"/>
                <wp:positionH relativeFrom="page">
                  <wp:posOffset>8467663</wp:posOffset>
                </wp:positionH>
                <wp:positionV relativeFrom="paragraph">
                  <wp:posOffset>384344</wp:posOffset>
                </wp:positionV>
                <wp:extent cx="181610" cy="2406650"/>
                <wp:effectExtent l="0" t="0" r="0" b="0"/>
                <wp:wrapNone/>
                <wp:docPr id="1678" name="Textbox 1678"/>
                <wp:cNvGraphicFramePr>
                  <a:graphicFrameLocks/>
                </wp:cNvGraphicFramePr>
                <a:graphic>
                  <a:graphicData uri="http://schemas.microsoft.com/office/word/2010/wordprocessingShape">
                    <wps:wsp>
                      <wps:cNvPr id="1678" name="Textbox 1678"/>
                      <wps:cNvSpPr txBox="1"/>
                      <wps:spPr>
                        <a:xfrm>
                          <a:off x="0" y="0"/>
                          <a:ext cx="181610" cy="2406650"/>
                        </a:xfrm>
                        <a:prstGeom prst="rect">
                          <a:avLst/>
                        </a:prstGeom>
                      </wps:spPr>
                      <wps:txbx>
                        <w:txbxContent>
                          <w:p>
                            <w:pPr>
                              <w:spacing w:before="31"/>
                              <w:ind w:left="20" w:right="0" w:firstLine="0"/>
                              <w:jc w:val="left"/>
                              <w:rPr>
                                <w:sz w:val="18"/>
                              </w:rPr>
                            </w:pPr>
                            <w:r>
                              <w:rPr>
                                <w:color w:val="105C84"/>
                                <w:sz w:val="18"/>
                              </w:rPr>
                              <w:t>Age/Sex</w:t>
                            </w:r>
                            <w:r>
                              <w:rPr>
                                <w:color w:val="105C84"/>
                                <w:spacing w:val="-12"/>
                                <w:sz w:val="18"/>
                              </w:rPr>
                              <w:t> </w:t>
                            </w:r>
                            <w:r>
                              <w:rPr>
                                <w:color w:val="105C84"/>
                                <w:sz w:val="18"/>
                              </w:rPr>
                              <w:t>Adjusted</w:t>
                            </w:r>
                            <w:r>
                              <w:rPr>
                                <w:color w:val="105C84"/>
                                <w:spacing w:val="-12"/>
                                <w:sz w:val="18"/>
                              </w:rPr>
                              <w:t> </w:t>
                            </w:r>
                            <w:r>
                              <w:rPr>
                                <w:color w:val="105C84"/>
                                <w:sz w:val="18"/>
                              </w:rPr>
                              <w:t>Rate</w:t>
                            </w:r>
                            <w:r>
                              <w:rPr>
                                <w:color w:val="105C84"/>
                                <w:spacing w:val="-12"/>
                                <w:sz w:val="18"/>
                              </w:rPr>
                              <w:t> </w:t>
                            </w:r>
                            <w:r>
                              <w:rPr>
                                <w:color w:val="105C84"/>
                                <w:sz w:val="18"/>
                              </w:rPr>
                              <w:t>per</w:t>
                            </w:r>
                            <w:r>
                              <w:rPr>
                                <w:color w:val="105C84"/>
                                <w:spacing w:val="-12"/>
                                <w:sz w:val="18"/>
                              </w:rPr>
                              <w:t> </w:t>
                            </w:r>
                            <w:r>
                              <w:rPr>
                                <w:color w:val="105C84"/>
                                <w:sz w:val="18"/>
                              </w:rPr>
                              <w:t>100,000</w:t>
                            </w:r>
                            <w:r>
                              <w:rPr>
                                <w:color w:val="105C84"/>
                                <w:spacing w:val="-12"/>
                                <w:sz w:val="18"/>
                              </w:rPr>
                              <w:t> </w:t>
                            </w:r>
                            <w:r>
                              <w:rPr>
                                <w:color w:val="105C84"/>
                                <w:spacing w:val="-2"/>
                                <w:sz w:val="18"/>
                              </w:rPr>
                              <w:t>Population</w:t>
                            </w:r>
                          </w:p>
                        </w:txbxContent>
                      </wps:txbx>
                      <wps:bodyPr wrap="square" lIns="0" tIns="0" rIns="0" bIns="0" rtlCol="0" vert="vert270">
                        <a:noAutofit/>
                      </wps:bodyPr>
                    </wps:wsp>
                  </a:graphicData>
                </a:graphic>
              </wp:anchor>
            </w:drawing>
          </mc:Choice>
          <mc:Fallback>
            <w:pict>
              <v:shape style="position:absolute;margin-left:666.745178pt;margin-top:30.263357pt;width:14.3pt;height:189.5pt;mso-position-horizontal-relative:page;mso-position-vertical-relative:paragraph;z-index:-28182016" type="#_x0000_t202" id="docshape1337" filled="false" stroked="false">
                <v:textbox inset="0,0,0,0" style="layout-flow:vertical;mso-layout-flow-alt:bottom-to-top">
                  <w:txbxContent>
                    <w:p>
                      <w:pPr>
                        <w:spacing w:before="31"/>
                        <w:ind w:left="20" w:right="0" w:firstLine="0"/>
                        <w:jc w:val="left"/>
                        <w:rPr>
                          <w:sz w:val="18"/>
                        </w:rPr>
                      </w:pPr>
                      <w:r>
                        <w:rPr>
                          <w:color w:val="105C84"/>
                          <w:sz w:val="18"/>
                        </w:rPr>
                        <w:t>Age/Sex</w:t>
                      </w:r>
                      <w:r>
                        <w:rPr>
                          <w:color w:val="105C84"/>
                          <w:spacing w:val="-12"/>
                          <w:sz w:val="18"/>
                        </w:rPr>
                        <w:t> </w:t>
                      </w:r>
                      <w:r>
                        <w:rPr>
                          <w:color w:val="105C84"/>
                          <w:sz w:val="18"/>
                        </w:rPr>
                        <w:t>Adjusted</w:t>
                      </w:r>
                      <w:r>
                        <w:rPr>
                          <w:color w:val="105C84"/>
                          <w:spacing w:val="-12"/>
                          <w:sz w:val="18"/>
                        </w:rPr>
                        <w:t> </w:t>
                      </w:r>
                      <w:r>
                        <w:rPr>
                          <w:color w:val="105C84"/>
                          <w:sz w:val="18"/>
                        </w:rPr>
                        <w:t>Rate</w:t>
                      </w:r>
                      <w:r>
                        <w:rPr>
                          <w:color w:val="105C84"/>
                          <w:spacing w:val="-12"/>
                          <w:sz w:val="18"/>
                        </w:rPr>
                        <w:t> </w:t>
                      </w:r>
                      <w:r>
                        <w:rPr>
                          <w:color w:val="105C84"/>
                          <w:sz w:val="18"/>
                        </w:rPr>
                        <w:t>per</w:t>
                      </w:r>
                      <w:r>
                        <w:rPr>
                          <w:color w:val="105C84"/>
                          <w:spacing w:val="-12"/>
                          <w:sz w:val="18"/>
                        </w:rPr>
                        <w:t> </w:t>
                      </w:r>
                      <w:r>
                        <w:rPr>
                          <w:color w:val="105C84"/>
                          <w:sz w:val="18"/>
                        </w:rPr>
                        <w:t>100,000</w:t>
                      </w:r>
                      <w:r>
                        <w:rPr>
                          <w:color w:val="105C84"/>
                          <w:spacing w:val="-12"/>
                          <w:sz w:val="18"/>
                        </w:rPr>
                        <w:t> </w:t>
                      </w:r>
                      <w:r>
                        <w:rPr>
                          <w:color w:val="105C84"/>
                          <w:spacing w:val="-2"/>
                          <w:sz w:val="18"/>
                        </w:rPr>
                        <w:t>Population</w:t>
                      </w:r>
                    </w:p>
                  </w:txbxContent>
                </v:textbox>
                <w10:wrap type="none"/>
              </v:shape>
            </w:pict>
          </mc:Fallback>
        </mc:AlternateContent>
      </w:r>
      <w:r>
        <w:rPr>
          <w:color w:val="105C84"/>
        </w:rPr>
        <w:t>FIGURE</w:t>
      </w:r>
      <w:r>
        <w:rPr>
          <w:color w:val="105C84"/>
          <w:spacing w:val="-15"/>
        </w:rPr>
        <w:t> </w:t>
      </w:r>
      <w:r>
        <w:rPr>
          <w:color w:val="105C84"/>
        </w:rPr>
        <w:t>54:</w:t>
      </w:r>
      <w:r>
        <w:rPr>
          <w:color w:val="105C84"/>
          <w:spacing w:val="-14"/>
        </w:rPr>
        <w:t> </w:t>
      </w:r>
      <w:r>
        <w:rPr>
          <w:color w:val="105C84"/>
        </w:rPr>
        <w:t>Suicide</w:t>
      </w:r>
      <w:r>
        <w:rPr>
          <w:color w:val="105C84"/>
          <w:spacing w:val="-14"/>
        </w:rPr>
        <w:t> </w:t>
      </w:r>
      <w:r>
        <w:rPr>
          <w:color w:val="105C84"/>
        </w:rPr>
        <w:t>mortality</w:t>
      </w:r>
      <w:r>
        <w:rPr>
          <w:color w:val="105C84"/>
          <w:spacing w:val="-14"/>
        </w:rPr>
        <w:t> </w:t>
      </w:r>
      <w:r>
        <w:rPr>
          <w:color w:val="105C84"/>
        </w:rPr>
        <w:t>rates</w:t>
      </w:r>
      <w:r>
        <w:rPr>
          <w:color w:val="105C84"/>
          <w:spacing w:val="-14"/>
        </w:rPr>
        <w:t> </w:t>
      </w:r>
      <w:r>
        <w:rPr>
          <w:color w:val="105C84"/>
        </w:rPr>
        <w:t>per</w:t>
      </w:r>
      <w:r>
        <w:rPr>
          <w:color w:val="105C84"/>
          <w:spacing w:val="-14"/>
        </w:rPr>
        <w:t> </w:t>
      </w:r>
      <w:r>
        <w:rPr>
          <w:color w:val="105C84"/>
        </w:rPr>
        <w:t>100,000</w:t>
      </w:r>
      <w:r>
        <w:rPr>
          <w:color w:val="105C84"/>
          <w:spacing w:val="-15"/>
        </w:rPr>
        <w:t> </w:t>
      </w:r>
      <w:r>
        <w:rPr>
          <w:color w:val="105C84"/>
          <w:spacing w:val="-2"/>
        </w:rPr>
        <w:t>population</w:t>
      </w:r>
    </w:p>
    <w:p>
      <w:pPr>
        <w:pStyle w:val="BodyText"/>
        <w:rPr>
          <w:b/>
          <w:sz w:val="26"/>
        </w:rPr>
      </w:pPr>
    </w:p>
    <w:p>
      <w:pPr>
        <w:pStyle w:val="BodyText"/>
        <w:spacing w:before="190"/>
        <w:rPr>
          <w:b/>
          <w:sz w:val="26"/>
        </w:rPr>
      </w:pPr>
    </w:p>
    <w:p>
      <w:pPr>
        <w:spacing w:before="0"/>
        <w:ind w:left="1489" w:right="0" w:firstLine="0"/>
        <w:jc w:val="left"/>
        <w:rPr>
          <w:sz w:val="18"/>
        </w:rPr>
      </w:pPr>
      <w:r>
        <w:rPr>
          <w:color w:val="636466"/>
          <w:spacing w:val="-5"/>
          <w:sz w:val="18"/>
        </w:rPr>
        <w:t>14</w:t>
      </w:r>
    </w:p>
    <w:p>
      <w:pPr>
        <w:pStyle w:val="BodyText"/>
        <w:spacing w:before="26"/>
        <w:rPr>
          <w:sz w:val="18"/>
        </w:rPr>
      </w:pPr>
    </w:p>
    <w:p>
      <w:pPr>
        <w:spacing w:before="0"/>
        <w:ind w:left="1489" w:right="0" w:firstLine="0"/>
        <w:jc w:val="left"/>
        <w:rPr>
          <w:sz w:val="18"/>
        </w:rPr>
      </w:pPr>
      <w:r>
        <w:rPr>
          <w:color w:val="636466"/>
          <w:spacing w:val="-5"/>
          <w:sz w:val="18"/>
        </w:rPr>
        <w:t>12</w:t>
      </w:r>
    </w:p>
    <w:p>
      <w:pPr>
        <w:spacing w:after="0"/>
        <w:jc w:val="left"/>
        <w:rPr>
          <w:sz w:val="18"/>
        </w:rPr>
        <w:sectPr>
          <w:type w:val="continuous"/>
          <w:pgSz w:w="24480" w:h="15840" w:orient="landscape"/>
          <w:pgMar w:header="0" w:footer="0" w:top="0" w:bottom="280" w:left="0" w:right="720"/>
          <w:cols w:num="2" w:equalWidth="0">
            <w:col w:w="8591" w:space="3649"/>
            <w:col w:w="11520"/>
          </w:cols>
        </w:sectPr>
      </w:pPr>
    </w:p>
    <w:p>
      <w:pPr>
        <w:spacing w:line="156" w:lineRule="exact" w:before="127"/>
        <w:ind w:left="1592" w:right="0" w:firstLine="0"/>
        <w:jc w:val="left"/>
        <w:rPr>
          <w:sz w:val="16"/>
        </w:rPr>
      </w:pPr>
      <w:r>
        <w:rPr>
          <w:color w:val="636466"/>
          <w:spacing w:val="-5"/>
          <w:sz w:val="16"/>
        </w:rPr>
        <w:t>0%</w:t>
      </w:r>
    </w:p>
    <w:p>
      <w:pPr>
        <w:tabs>
          <w:tab w:pos="4465" w:val="left" w:leader="none"/>
          <w:tab w:pos="6539" w:val="left" w:leader="none"/>
          <w:tab w:pos="8422" w:val="left" w:leader="none"/>
          <w:tab w:pos="13916" w:val="right" w:leader="none"/>
        </w:tabs>
        <w:spacing w:line="239" w:lineRule="exact" w:before="0"/>
        <w:ind w:left="2590" w:right="0" w:firstLine="0"/>
        <w:jc w:val="left"/>
        <w:rPr>
          <w:position w:val="6"/>
          <w:sz w:val="18"/>
        </w:rPr>
      </w:pPr>
      <w:r>
        <w:rPr>
          <w:color w:val="636466"/>
          <w:spacing w:val="-2"/>
          <w:sz w:val="18"/>
        </w:rPr>
        <w:t>Prostate</w:t>
      </w:r>
      <w:r>
        <w:rPr>
          <w:color w:val="636466"/>
          <w:sz w:val="18"/>
        </w:rPr>
        <w:tab/>
      </w:r>
      <w:r>
        <w:rPr>
          <w:color w:val="636466"/>
          <w:spacing w:val="-2"/>
          <w:sz w:val="18"/>
        </w:rPr>
        <w:t>Colorectal</w:t>
      </w:r>
      <w:r>
        <w:rPr>
          <w:color w:val="636466"/>
          <w:sz w:val="18"/>
        </w:rPr>
        <w:tab/>
      </w:r>
      <w:r>
        <w:rPr>
          <w:color w:val="636466"/>
          <w:spacing w:val="-2"/>
          <w:sz w:val="18"/>
        </w:rPr>
        <w:t>Breast</w:t>
      </w:r>
      <w:r>
        <w:rPr>
          <w:color w:val="636466"/>
          <w:sz w:val="18"/>
        </w:rPr>
        <w:tab/>
      </w:r>
      <w:r>
        <w:rPr>
          <w:color w:val="636466"/>
          <w:spacing w:val="-2"/>
          <w:sz w:val="18"/>
        </w:rPr>
        <w:t>Cervical</w:t>
      </w:r>
      <w:r>
        <w:rPr>
          <w:color w:val="636466"/>
          <w:sz w:val="18"/>
        </w:rPr>
        <w:tab/>
      </w:r>
      <w:r>
        <w:rPr>
          <w:color w:val="636466"/>
          <w:spacing w:val="-5"/>
          <w:position w:val="6"/>
          <w:sz w:val="18"/>
        </w:rPr>
        <w:t>10</w:t>
      </w:r>
    </w:p>
    <w:p>
      <w:pPr>
        <w:tabs>
          <w:tab w:pos="13917" w:val="right" w:leader="none"/>
        </w:tabs>
        <w:spacing w:line="231" w:lineRule="exact" w:before="131"/>
        <w:ind w:left="1947" w:right="0" w:firstLine="0"/>
        <w:jc w:val="left"/>
        <w:rPr>
          <w:position w:val="-3"/>
          <w:sz w:val="18"/>
        </w:rPr>
      </w:pPr>
      <w:r>
        <w:rPr>
          <w:color w:val="105C84"/>
          <w:sz w:val="18"/>
        </w:rPr>
        <w:t>Data</w:t>
      </w:r>
      <w:r>
        <w:rPr>
          <w:color w:val="105C84"/>
          <w:spacing w:val="-11"/>
          <w:sz w:val="18"/>
        </w:rPr>
        <w:t> </w:t>
      </w:r>
      <w:r>
        <w:rPr>
          <w:color w:val="105C84"/>
          <w:sz w:val="18"/>
        </w:rPr>
        <w:t>Source:</w:t>
      </w:r>
      <w:r>
        <w:rPr>
          <w:color w:val="105C84"/>
          <w:spacing w:val="-11"/>
          <w:sz w:val="18"/>
        </w:rPr>
        <w:t> </w:t>
      </w:r>
      <w:r>
        <w:rPr>
          <w:color w:val="105C84"/>
          <w:sz w:val="18"/>
        </w:rPr>
        <w:t>Division</w:t>
      </w:r>
      <w:r>
        <w:rPr>
          <w:color w:val="105C84"/>
          <w:spacing w:val="-11"/>
          <w:sz w:val="18"/>
        </w:rPr>
        <w:t> </w:t>
      </w:r>
      <w:r>
        <w:rPr>
          <w:color w:val="105C84"/>
          <w:sz w:val="18"/>
        </w:rPr>
        <w:t>of</w:t>
      </w:r>
      <w:r>
        <w:rPr>
          <w:color w:val="105C84"/>
          <w:spacing w:val="-11"/>
          <w:sz w:val="18"/>
        </w:rPr>
        <w:t> </w:t>
      </w:r>
      <w:r>
        <w:rPr>
          <w:color w:val="105C84"/>
          <w:sz w:val="18"/>
        </w:rPr>
        <w:t>Chronic</w:t>
      </w:r>
      <w:r>
        <w:rPr>
          <w:color w:val="105C84"/>
          <w:spacing w:val="-11"/>
          <w:sz w:val="18"/>
        </w:rPr>
        <w:t> </w:t>
      </w:r>
      <w:r>
        <w:rPr>
          <w:color w:val="105C84"/>
          <w:sz w:val="18"/>
        </w:rPr>
        <w:t>Disease</w:t>
      </w:r>
      <w:r>
        <w:rPr>
          <w:color w:val="105C84"/>
          <w:spacing w:val="-10"/>
          <w:sz w:val="18"/>
        </w:rPr>
        <w:t> </w:t>
      </w:r>
      <w:r>
        <w:rPr>
          <w:color w:val="105C84"/>
          <w:sz w:val="18"/>
        </w:rPr>
        <w:t>and</w:t>
      </w:r>
      <w:r>
        <w:rPr>
          <w:color w:val="105C84"/>
          <w:spacing w:val="-11"/>
          <w:sz w:val="18"/>
        </w:rPr>
        <w:t> </w:t>
      </w:r>
      <w:r>
        <w:rPr>
          <w:color w:val="105C84"/>
          <w:sz w:val="18"/>
        </w:rPr>
        <w:t>Injury</w:t>
      </w:r>
      <w:r>
        <w:rPr>
          <w:color w:val="105C84"/>
          <w:spacing w:val="-11"/>
          <w:sz w:val="18"/>
        </w:rPr>
        <w:t> </w:t>
      </w:r>
      <w:r>
        <w:rPr>
          <w:color w:val="105C84"/>
          <w:sz w:val="18"/>
        </w:rPr>
        <w:t>Prevention,</w:t>
      </w:r>
      <w:r>
        <w:rPr>
          <w:color w:val="105C84"/>
          <w:spacing w:val="-11"/>
          <w:sz w:val="18"/>
        </w:rPr>
        <w:t> </w:t>
      </w:r>
      <w:r>
        <w:rPr>
          <w:color w:val="105C84"/>
          <w:sz w:val="18"/>
        </w:rPr>
        <w:t>Bureau</w:t>
      </w:r>
      <w:r>
        <w:rPr>
          <w:color w:val="105C84"/>
          <w:spacing w:val="-11"/>
          <w:sz w:val="18"/>
        </w:rPr>
        <w:t> </w:t>
      </w:r>
      <w:r>
        <w:rPr>
          <w:color w:val="105C84"/>
          <w:sz w:val="18"/>
        </w:rPr>
        <w:t>of</w:t>
      </w:r>
      <w:r>
        <w:rPr>
          <w:color w:val="105C84"/>
          <w:spacing w:val="-10"/>
          <w:sz w:val="18"/>
        </w:rPr>
        <w:t> </w:t>
      </w:r>
      <w:r>
        <w:rPr>
          <w:color w:val="105C84"/>
          <w:sz w:val="18"/>
        </w:rPr>
        <w:t>Chronic</w:t>
      </w:r>
      <w:r>
        <w:rPr>
          <w:color w:val="105C84"/>
          <w:spacing w:val="-11"/>
          <w:sz w:val="18"/>
        </w:rPr>
        <w:t> </w:t>
      </w:r>
      <w:r>
        <w:rPr>
          <w:color w:val="105C84"/>
          <w:spacing w:val="-2"/>
          <w:sz w:val="18"/>
        </w:rPr>
        <w:t>Evaluation</w:t>
      </w:r>
      <w:r>
        <w:rPr>
          <w:color w:val="105C84"/>
          <w:sz w:val="18"/>
        </w:rPr>
        <w:tab/>
      </w:r>
      <w:r>
        <w:rPr>
          <w:color w:val="636466"/>
          <w:spacing w:val="-10"/>
          <w:position w:val="-3"/>
          <w:sz w:val="18"/>
        </w:rPr>
        <w:t>8</w:t>
      </w:r>
    </w:p>
    <w:p>
      <w:pPr>
        <w:spacing w:line="191" w:lineRule="exact" w:before="0"/>
        <w:ind w:left="1947" w:right="0" w:firstLine="0"/>
        <w:jc w:val="left"/>
        <w:rPr>
          <w:sz w:val="18"/>
        </w:rPr>
      </w:pPr>
      <w:r>
        <w:rPr>
          <w:color w:val="105C84"/>
          <w:spacing w:val="-2"/>
          <w:sz w:val="18"/>
        </w:rPr>
        <w:t>and</w:t>
      </w:r>
      <w:r>
        <w:rPr>
          <w:color w:val="105C84"/>
          <w:spacing w:val="-3"/>
          <w:sz w:val="18"/>
        </w:rPr>
        <w:t> </w:t>
      </w:r>
      <w:r>
        <w:rPr>
          <w:color w:val="105C84"/>
          <w:spacing w:val="-2"/>
          <w:sz w:val="18"/>
        </w:rPr>
        <w:t>Research, New York State Department of Health, Behavioral Risk Factor Surveillance System,</w:t>
      </w:r>
    </w:p>
    <w:p>
      <w:pPr>
        <w:tabs>
          <w:tab w:pos="13917" w:val="right" w:leader="none"/>
        </w:tabs>
        <w:spacing w:before="9"/>
        <w:ind w:left="1947" w:right="0" w:firstLine="0"/>
        <w:jc w:val="left"/>
        <w:rPr>
          <w:position w:val="-4"/>
          <w:sz w:val="18"/>
        </w:rPr>
      </w:pPr>
      <w:r>
        <w:rPr>
          <w:color w:val="105C84"/>
          <w:sz w:val="18"/>
        </w:rPr>
        <w:t>Year</w:t>
      </w:r>
      <w:r>
        <w:rPr>
          <w:color w:val="105C84"/>
          <w:spacing w:val="-9"/>
          <w:sz w:val="18"/>
        </w:rPr>
        <w:t> </w:t>
      </w:r>
      <w:r>
        <w:rPr>
          <w:color w:val="105C84"/>
          <w:sz w:val="18"/>
        </w:rPr>
        <w:t>2016.</w:t>
      </w:r>
      <w:r>
        <w:rPr>
          <w:color w:val="105C84"/>
          <w:spacing w:val="-8"/>
          <w:sz w:val="18"/>
        </w:rPr>
        <w:t> </w:t>
      </w:r>
      <w:r>
        <w:rPr>
          <w:color w:val="105C84"/>
          <w:sz w:val="18"/>
        </w:rPr>
        <w:t>Analysis</w:t>
      </w:r>
      <w:r>
        <w:rPr>
          <w:color w:val="105C84"/>
          <w:spacing w:val="-8"/>
          <w:sz w:val="18"/>
        </w:rPr>
        <w:t> </w:t>
      </w:r>
      <w:r>
        <w:rPr>
          <w:color w:val="105C84"/>
          <w:sz w:val="18"/>
        </w:rPr>
        <w:t>Completed</w:t>
      </w:r>
      <w:r>
        <w:rPr>
          <w:color w:val="105C84"/>
          <w:spacing w:val="-8"/>
          <w:sz w:val="18"/>
        </w:rPr>
        <w:t> </w:t>
      </w:r>
      <w:r>
        <w:rPr>
          <w:color w:val="105C84"/>
          <w:sz w:val="18"/>
        </w:rPr>
        <w:t>by</w:t>
      </w:r>
      <w:r>
        <w:rPr>
          <w:color w:val="105C84"/>
          <w:spacing w:val="-8"/>
          <w:sz w:val="18"/>
        </w:rPr>
        <w:t> </w:t>
      </w:r>
      <w:r>
        <w:rPr>
          <w:color w:val="105C84"/>
          <w:sz w:val="18"/>
        </w:rPr>
        <w:t>Common</w:t>
      </w:r>
      <w:r>
        <w:rPr>
          <w:color w:val="105C84"/>
          <w:spacing w:val="-8"/>
          <w:sz w:val="18"/>
        </w:rPr>
        <w:t> </w:t>
      </w:r>
      <w:r>
        <w:rPr>
          <w:color w:val="105C84"/>
          <w:sz w:val="18"/>
        </w:rPr>
        <w:t>Ground</w:t>
      </w:r>
      <w:r>
        <w:rPr>
          <w:color w:val="105C84"/>
          <w:spacing w:val="-8"/>
          <w:sz w:val="18"/>
        </w:rPr>
        <w:t> </w:t>
      </w:r>
      <w:r>
        <w:rPr>
          <w:color w:val="105C84"/>
          <w:spacing w:val="-2"/>
          <w:sz w:val="18"/>
        </w:rPr>
        <w:t>Health</w:t>
      </w:r>
      <w:r>
        <w:rPr>
          <w:color w:val="105C84"/>
          <w:sz w:val="18"/>
        </w:rPr>
        <w:tab/>
      </w:r>
      <w:r>
        <w:rPr>
          <w:color w:val="636466"/>
          <w:spacing w:val="-10"/>
          <w:position w:val="-4"/>
          <w:sz w:val="18"/>
        </w:rPr>
        <w:t>6</w:t>
      </w:r>
    </w:p>
    <w:p>
      <w:pPr>
        <w:spacing w:after="0"/>
        <w:jc w:val="left"/>
        <w:rPr>
          <w:position w:val="-4"/>
          <w:sz w:val="18"/>
        </w:rPr>
        <w:sectPr>
          <w:type w:val="continuous"/>
          <w:pgSz w:w="24480" w:h="15840" w:orient="landscape"/>
          <w:pgMar w:header="0" w:footer="0" w:top="0" w:bottom="280" w:left="0" w:right="720"/>
        </w:sectPr>
      </w:pPr>
    </w:p>
    <w:p>
      <w:pPr>
        <w:pStyle w:val="BodyText"/>
        <w:spacing w:line="247" w:lineRule="auto" w:before="282"/>
        <w:ind w:left="1094"/>
      </w:pPr>
      <w:r>
        <w:rPr>
          <w:color w:val="105C84"/>
        </w:rPr>
        <w:t>In terms of colorectal cancer screenings, an estimated 74% of county residents have received recommended</w:t>
      </w:r>
      <w:r>
        <w:rPr>
          <w:color w:val="105C84"/>
          <w:spacing w:val="-1"/>
        </w:rPr>
        <w:t> </w:t>
      </w:r>
      <w:r>
        <w:rPr>
          <w:color w:val="105C84"/>
        </w:rPr>
        <w:t>screenings.</w:t>
      </w:r>
      <w:r>
        <w:rPr>
          <w:color w:val="105C84"/>
          <w:spacing w:val="-1"/>
        </w:rPr>
        <w:t> </w:t>
      </w:r>
      <w:r>
        <w:rPr>
          <w:color w:val="105C84"/>
        </w:rPr>
        <w:t>However,</w:t>
      </w:r>
      <w:r>
        <w:rPr>
          <w:color w:val="105C84"/>
          <w:spacing w:val="-1"/>
        </w:rPr>
        <w:t> </w:t>
      </w:r>
      <w:r>
        <w:rPr>
          <w:color w:val="105C84"/>
        </w:rPr>
        <w:t>this</w:t>
      </w:r>
      <w:r>
        <w:rPr>
          <w:color w:val="105C84"/>
          <w:spacing w:val="-1"/>
        </w:rPr>
        <w:t> </w:t>
      </w:r>
      <w:r>
        <w:rPr>
          <w:color w:val="105C84"/>
        </w:rPr>
        <w:t>varies</w:t>
      </w:r>
      <w:r>
        <w:rPr>
          <w:color w:val="105C84"/>
          <w:spacing w:val="-1"/>
        </w:rPr>
        <w:t> </w:t>
      </w:r>
      <w:r>
        <w:rPr>
          <w:color w:val="105C84"/>
        </w:rPr>
        <w:t>by</w:t>
      </w:r>
      <w:r>
        <w:rPr>
          <w:color w:val="105C84"/>
          <w:spacing w:val="-1"/>
        </w:rPr>
        <w:t> </w:t>
      </w:r>
      <w:r>
        <w:rPr>
          <w:color w:val="105C84"/>
        </w:rPr>
        <w:t>sex</w:t>
      </w:r>
      <w:r>
        <w:rPr>
          <w:color w:val="105C84"/>
          <w:spacing w:val="-1"/>
        </w:rPr>
        <w:t> </w:t>
      </w:r>
      <w:r>
        <w:rPr>
          <w:color w:val="105C84"/>
        </w:rPr>
        <w:t>and</w:t>
      </w:r>
      <w:r>
        <w:rPr>
          <w:color w:val="105C84"/>
          <w:spacing w:val="-1"/>
        </w:rPr>
        <w:t> </w:t>
      </w:r>
      <w:r>
        <w:rPr>
          <w:color w:val="105C84"/>
        </w:rPr>
        <w:t>income</w:t>
      </w:r>
      <w:r>
        <w:rPr>
          <w:color w:val="105C84"/>
          <w:spacing w:val="-1"/>
        </w:rPr>
        <w:t> </w:t>
      </w:r>
      <w:r>
        <w:rPr>
          <w:color w:val="105C84"/>
        </w:rPr>
        <w:t>as</w:t>
      </w:r>
      <w:r>
        <w:rPr>
          <w:color w:val="105C84"/>
          <w:spacing w:val="-1"/>
        </w:rPr>
        <w:t> </w:t>
      </w:r>
      <w:r>
        <w:rPr>
          <w:color w:val="105C84"/>
        </w:rPr>
        <w:t>shown</w:t>
      </w:r>
      <w:r>
        <w:rPr>
          <w:color w:val="105C84"/>
          <w:spacing w:val="-1"/>
        </w:rPr>
        <w:t> </w:t>
      </w:r>
      <w:r>
        <w:rPr>
          <w:color w:val="105C84"/>
        </w:rPr>
        <w:t>below</w:t>
      </w:r>
      <w:r>
        <w:rPr>
          <w:color w:val="105C84"/>
          <w:spacing w:val="-1"/>
        </w:rPr>
        <w:t> </w:t>
      </w:r>
      <w:r>
        <w:rPr>
          <w:color w:val="105C84"/>
        </w:rPr>
        <w:t>in</w:t>
      </w:r>
      <w:r>
        <w:rPr>
          <w:color w:val="105C84"/>
          <w:spacing w:val="-1"/>
        </w:rPr>
        <w:t> </w:t>
      </w:r>
      <w:r>
        <w:rPr>
          <w:color w:val="105C84"/>
        </w:rPr>
        <w:t>Table</w:t>
      </w:r>
      <w:r>
        <w:rPr>
          <w:color w:val="105C84"/>
          <w:spacing w:val="-1"/>
        </w:rPr>
        <w:t> </w:t>
      </w:r>
      <w:r>
        <w:rPr>
          <w:color w:val="105C84"/>
        </w:rPr>
        <w:t>13. Particular focus ought to be put on increasing screening rates in females and the low income </w:t>
      </w:r>
      <w:r>
        <w:rPr>
          <w:color w:val="105C84"/>
          <w:spacing w:val="-2"/>
        </w:rPr>
        <w:t>population.</w:t>
      </w:r>
    </w:p>
    <w:p>
      <w:pPr>
        <w:pStyle w:val="Heading6"/>
        <w:spacing w:before="271"/>
        <w:ind w:left="1094"/>
      </w:pPr>
      <w:r>
        <w:rPr>
          <w:color w:val="105C84"/>
          <w:spacing w:val="-6"/>
        </w:rPr>
        <w:t>TABLE</w:t>
      </w:r>
      <w:r>
        <w:rPr>
          <w:color w:val="105C84"/>
          <w:spacing w:val="-12"/>
        </w:rPr>
        <w:t> </w:t>
      </w:r>
      <w:r>
        <w:rPr>
          <w:color w:val="105C84"/>
          <w:spacing w:val="-6"/>
        </w:rPr>
        <w:t>13:</w:t>
      </w:r>
      <w:r>
        <w:rPr>
          <w:color w:val="105C84"/>
          <w:spacing w:val="-12"/>
        </w:rPr>
        <w:t> </w:t>
      </w:r>
      <w:r>
        <w:rPr>
          <w:color w:val="105C84"/>
          <w:spacing w:val="-6"/>
        </w:rPr>
        <w:t>Colorectal</w:t>
      </w:r>
      <w:r>
        <w:rPr>
          <w:color w:val="105C84"/>
          <w:spacing w:val="-11"/>
        </w:rPr>
        <w:t> </w:t>
      </w:r>
      <w:r>
        <w:rPr>
          <w:color w:val="105C84"/>
          <w:spacing w:val="-6"/>
        </w:rPr>
        <w:t>cancer</w:t>
      </w:r>
      <w:r>
        <w:rPr>
          <w:color w:val="105C84"/>
          <w:spacing w:val="-12"/>
        </w:rPr>
        <w:t> </w:t>
      </w:r>
      <w:r>
        <w:rPr>
          <w:color w:val="105C84"/>
          <w:spacing w:val="-6"/>
        </w:rPr>
        <w:t>screening</w:t>
      </w:r>
      <w:r>
        <w:rPr>
          <w:color w:val="105C84"/>
          <w:spacing w:val="-11"/>
        </w:rPr>
        <w:t> </w:t>
      </w:r>
      <w:r>
        <w:rPr>
          <w:color w:val="105C84"/>
          <w:spacing w:val="-6"/>
        </w:rPr>
        <w:t>rates</w:t>
      </w:r>
      <w:r>
        <w:rPr>
          <w:color w:val="105C84"/>
          <w:spacing w:val="-12"/>
        </w:rPr>
        <w:t> </w:t>
      </w:r>
      <w:r>
        <w:rPr>
          <w:color w:val="105C84"/>
          <w:spacing w:val="-6"/>
        </w:rPr>
        <w:t>by</w:t>
      </w:r>
      <w:r>
        <w:rPr>
          <w:color w:val="105C84"/>
          <w:spacing w:val="-11"/>
        </w:rPr>
        <w:t> </w:t>
      </w:r>
      <w:r>
        <w:rPr>
          <w:color w:val="105C84"/>
          <w:spacing w:val="-6"/>
        </w:rPr>
        <w:t>demographic</w:t>
      </w:r>
    </w:p>
    <w:p>
      <w:pPr>
        <w:pStyle w:val="BodyText"/>
        <w:spacing w:before="44"/>
        <w:rPr>
          <w:b/>
          <w:sz w:val="18"/>
        </w:rPr>
      </w:pPr>
      <w:r>
        <w:rPr/>
        <w:br w:type="column"/>
      </w:r>
      <w:r>
        <w:rPr>
          <w:b/>
          <w:sz w:val="18"/>
        </w:rPr>
      </w:r>
    </w:p>
    <w:p>
      <w:pPr>
        <w:spacing w:before="0"/>
        <w:ind w:left="1094" w:right="0" w:firstLine="0"/>
        <w:jc w:val="left"/>
        <w:rPr>
          <w:sz w:val="18"/>
        </w:rPr>
      </w:pPr>
      <w:r>
        <w:rPr>
          <w:color w:val="636466"/>
          <w:spacing w:val="-10"/>
          <w:sz w:val="18"/>
        </w:rPr>
        <w:t>4</w:t>
      </w:r>
    </w:p>
    <w:p>
      <w:pPr>
        <w:pStyle w:val="BodyText"/>
        <w:spacing w:before="26"/>
        <w:rPr>
          <w:sz w:val="18"/>
        </w:rPr>
      </w:pPr>
    </w:p>
    <w:p>
      <w:pPr>
        <w:spacing w:before="0"/>
        <w:ind w:left="1094" w:right="0" w:firstLine="0"/>
        <w:jc w:val="left"/>
        <w:rPr>
          <w:sz w:val="18"/>
        </w:rPr>
      </w:pPr>
      <w:r>
        <w:rPr>
          <w:color w:val="636466"/>
          <w:spacing w:val="-10"/>
          <w:sz w:val="18"/>
        </w:rPr>
        <w:t>2</w:t>
      </w:r>
    </w:p>
    <w:p>
      <w:pPr>
        <w:pStyle w:val="BodyText"/>
        <w:spacing w:before="46"/>
        <w:rPr>
          <w:sz w:val="18"/>
        </w:rPr>
      </w:pPr>
    </w:p>
    <w:p>
      <w:pPr>
        <w:spacing w:before="0"/>
        <w:ind w:left="1094" w:right="0" w:firstLine="0"/>
        <w:jc w:val="left"/>
        <w:rPr>
          <w:sz w:val="18"/>
        </w:rPr>
      </w:pPr>
      <w:r>
        <w:rPr>
          <w:color w:val="636466"/>
          <w:spacing w:val="-10"/>
          <w:sz w:val="18"/>
        </w:rPr>
        <w:t>0</w:t>
      </w:r>
    </w:p>
    <w:p>
      <w:pPr>
        <w:tabs>
          <w:tab w:pos="3942" w:val="left" w:leader="none"/>
          <w:tab w:pos="5970" w:val="left" w:leader="none"/>
          <w:tab w:pos="7998" w:val="left" w:leader="none"/>
        </w:tabs>
        <w:spacing w:before="33"/>
        <w:ind w:left="1894" w:right="0" w:firstLine="0"/>
        <w:jc w:val="left"/>
        <w:rPr>
          <w:sz w:val="18"/>
        </w:rPr>
      </w:pPr>
      <w:r>
        <w:rPr>
          <w:color w:val="636466"/>
          <w:w w:val="90"/>
          <w:sz w:val="18"/>
        </w:rPr>
        <w:t>2011-</w:t>
      </w:r>
      <w:r>
        <w:rPr>
          <w:color w:val="636466"/>
          <w:spacing w:val="-4"/>
          <w:w w:val="95"/>
          <w:sz w:val="18"/>
        </w:rPr>
        <w:t>2013</w:t>
      </w:r>
      <w:r>
        <w:rPr>
          <w:color w:val="636466"/>
          <w:sz w:val="18"/>
        </w:rPr>
        <w:tab/>
      </w:r>
      <w:r>
        <w:rPr>
          <w:color w:val="636466"/>
          <w:w w:val="90"/>
          <w:sz w:val="18"/>
        </w:rPr>
        <w:t>2012-</w:t>
      </w:r>
      <w:r>
        <w:rPr>
          <w:color w:val="636466"/>
          <w:spacing w:val="-4"/>
          <w:sz w:val="18"/>
        </w:rPr>
        <w:t>2014</w:t>
      </w:r>
      <w:r>
        <w:rPr>
          <w:color w:val="636466"/>
          <w:sz w:val="18"/>
        </w:rPr>
        <w:tab/>
      </w:r>
      <w:r>
        <w:rPr>
          <w:color w:val="636466"/>
          <w:w w:val="90"/>
          <w:sz w:val="18"/>
        </w:rPr>
        <w:t>2013-</w:t>
      </w:r>
      <w:r>
        <w:rPr>
          <w:color w:val="636466"/>
          <w:spacing w:val="-4"/>
          <w:sz w:val="18"/>
        </w:rPr>
        <w:t>2015</w:t>
      </w:r>
      <w:r>
        <w:rPr>
          <w:color w:val="636466"/>
          <w:sz w:val="18"/>
        </w:rPr>
        <w:tab/>
      </w:r>
      <w:r>
        <w:rPr>
          <w:color w:val="636466"/>
          <w:w w:val="90"/>
          <w:sz w:val="18"/>
        </w:rPr>
        <w:t>2014-</w:t>
      </w:r>
      <w:r>
        <w:rPr>
          <w:color w:val="636466"/>
          <w:spacing w:val="-4"/>
          <w:sz w:val="18"/>
        </w:rPr>
        <w:t>2016</w:t>
      </w:r>
    </w:p>
    <w:p>
      <w:pPr>
        <w:spacing w:after="0"/>
        <w:jc w:val="left"/>
        <w:rPr>
          <w:sz w:val="18"/>
        </w:rPr>
        <w:sectPr>
          <w:type w:val="continuous"/>
          <w:pgSz w:w="24480" w:h="15840" w:orient="landscape"/>
          <w:pgMar w:header="0" w:footer="0" w:top="0" w:bottom="280" w:left="0" w:right="720"/>
          <w:cols w:num="2" w:equalWidth="0">
            <w:col w:w="10534" w:space="2195"/>
            <w:col w:w="11031"/>
          </w:cols>
        </w:sectPr>
      </w:pPr>
    </w:p>
    <w:p>
      <w:pPr>
        <w:pStyle w:val="BodyText"/>
        <w:spacing w:before="154"/>
        <w:rPr>
          <w:sz w:val="20"/>
        </w:rPr>
      </w:pPr>
    </w:p>
    <w:tbl>
      <w:tblPr>
        <w:tblW w:w="0" w:type="auto"/>
        <w:jc w:val="left"/>
        <w:tblInd w:w="1099" w:type="dxa"/>
        <w:tblBorders>
          <w:top w:val="single" w:sz="2" w:space="0" w:color="636466"/>
          <w:left w:val="single" w:sz="2" w:space="0" w:color="636466"/>
          <w:bottom w:val="single" w:sz="2" w:space="0" w:color="636466"/>
          <w:right w:val="single" w:sz="2" w:space="0" w:color="636466"/>
          <w:insideH w:val="single" w:sz="2" w:space="0" w:color="636466"/>
          <w:insideV w:val="single" w:sz="2" w:space="0" w:color="636466"/>
        </w:tblBorders>
        <w:tblLayout w:type="fixed"/>
        <w:tblCellMar>
          <w:top w:w="0" w:type="dxa"/>
          <w:left w:w="0" w:type="dxa"/>
          <w:bottom w:w="0" w:type="dxa"/>
          <w:right w:w="0" w:type="dxa"/>
        </w:tblCellMar>
        <w:tblLook w:val="01E0"/>
      </w:tblPr>
      <w:tblGrid>
        <w:gridCol w:w="2524"/>
        <w:gridCol w:w="2524"/>
        <w:gridCol w:w="2524"/>
        <w:gridCol w:w="2524"/>
      </w:tblGrid>
      <w:tr>
        <w:trPr>
          <w:trHeight w:val="502" w:hRule="atLeast"/>
        </w:trPr>
        <w:tc>
          <w:tcPr>
            <w:tcW w:w="2524" w:type="dxa"/>
          </w:tcPr>
          <w:p>
            <w:pPr>
              <w:pStyle w:val="TableParagraph"/>
              <w:rPr>
                <w:rFonts w:ascii="Times New Roman"/>
                <w:sz w:val="20"/>
              </w:rPr>
            </w:pPr>
          </w:p>
        </w:tc>
        <w:tc>
          <w:tcPr>
            <w:tcW w:w="2524" w:type="dxa"/>
            <w:shd w:val="clear" w:color="auto" w:fill="1C75BC"/>
          </w:tcPr>
          <w:p>
            <w:pPr>
              <w:pStyle w:val="TableParagraph"/>
              <w:spacing w:before="116"/>
              <w:ind w:left="6"/>
              <w:jc w:val="center"/>
              <w:rPr>
                <w:sz w:val="22"/>
              </w:rPr>
            </w:pPr>
            <w:r>
              <w:rPr>
                <w:color w:val="FFFFFF"/>
                <w:spacing w:val="-4"/>
                <w:sz w:val="22"/>
              </w:rPr>
              <w:t>MALE</w:t>
            </w:r>
          </w:p>
        </w:tc>
        <w:tc>
          <w:tcPr>
            <w:tcW w:w="2524" w:type="dxa"/>
            <w:shd w:val="clear" w:color="auto" w:fill="82BF6A"/>
          </w:tcPr>
          <w:p>
            <w:pPr>
              <w:pStyle w:val="TableParagraph"/>
              <w:spacing w:before="116"/>
              <w:ind w:left="6" w:right="1"/>
              <w:jc w:val="center"/>
              <w:rPr>
                <w:sz w:val="22"/>
              </w:rPr>
            </w:pPr>
            <w:r>
              <w:rPr>
                <w:color w:val="FFFFFF"/>
                <w:spacing w:val="-2"/>
                <w:sz w:val="22"/>
              </w:rPr>
              <w:t>FEMALE</w:t>
            </w:r>
          </w:p>
        </w:tc>
        <w:tc>
          <w:tcPr>
            <w:tcW w:w="2524" w:type="dxa"/>
            <w:shd w:val="clear" w:color="auto" w:fill="00A79E"/>
          </w:tcPr>
          <w:p>
            <w:pPr>
              <w:pStyle w:val="TableParagraph"/>
              <w:spacing w:before="116"/>
              <w:ind w:left="6" w:right="2"/>
              <w:jc w:val="center"/>
              <w:rPr>
                <w:sz w:val="22"/>
              </w:rPr>
            </w:pPr>
            <w:r>
              <w:rPr>
                <w:color w:val="FFFFFF"/>
                <w:sz w:val="22"/>
              </w:rPr>
              <w:t>LOW-</w:t>
            </w:r>
            <w:r>
              <w:rPr>
                <w:color w:val="FFFFFF"/>
                <w:spacing w:val="-2"/>
                <w:sz w:val="22"/>
              </w:rPr>
              <w:t>INCOME</w:t>
            </w:r>
          </w:p>
        </w:tc>
      </w:tr>
      <w:tr>
        <w:trPr>
          <w:trHeight w:val="715" w:hRule="atLeast"/>
        </w:trPr>
        <w:tc>
          <w:tcPr>
            <w:tcW w:w="2524" w:type="dxa"/>
            <w:shd w:val="clear" w:color="auto" w:fill="E6E7E8"/>
          </w:tcPr>
          <w:p>
            <w:pPr>
              <w:pStyle w:val="TableParagraph"/>
              <w:spacing w:line="247" w:lineRule="auto" w:before="92"/>
              <w:ind w:left="79"/>
              <w:rPr>
                <w:sz w:val="22"/>
              </w:rPr>
            </w:pPr>
            <w:r>
              <w:rPr>
                <w:color w:val="105C84"/>
                <w:sz w:val="22"/>
              </w:rPr>
              <w:t>Colorectal </w:t>
            </w:r>
            <w:r>
              <w:rPr>
                <w:color w:val="105C84"/>
                <w:sz w:val="22"/>
              </w:rPr>
              <w:t>Cancer Screening Rates</w:t>
            </w:r>
          </w:p>
        </w:tc>
        <w:tc>
          <w:tcPr>
            <w:tcW w:w="2524" w:type="dxa"/>
          </w:tcPr>
          <w:p>
            <w:pPr>
              <w:pStyle w:val="TableParagraph"/>
              <w:spacing w:before="222"/>
              <w:ind w:left="6" w:right="1"/>
              <w:jc w:val="center"/>
              <w:rPr>
                <w:sz w:val="22"/>
              </w:rPr>
            </w:pPr>
            <w:r>
              <w:rPr>
                <w:color w:val="105C84"/>
                <w:spacing w:val="-5"/>
                <w:sz w:val="22"/>
              </w:rPr>
              <w:t>78%</w:t>
            </w:r>
          </w:p>
        </w:tc>
        <w:tc>
          <w:tcPr>
            <w:tcW w:w="2524" w:type="dxa"/>
          </w:tcPr>
          <w:p>
            <w:pPr>
              <w:pStyle w:val="TableParagraph"/>
              <w:spacing w:before="222"/>
              <w:ind w:left="6" w:right="2"/>
              <w:jc w:val="center"/>
              <w:rPr>
                <w:sz w:val="22"/>
              </w:rPr>
            </w:pPr>
            <w:r>
              <w:rPr>
                <w:color w:val="105C84"/>
                <w:spacing w:val="-5"/>
                <w:sz w:val="22"/>
              </w:rPr>
              <w:t>65%</w:t>
            </w:r>
          </w:p>
        </w:tc>
        <w:tc>
          <w:tcPr>
            <w:tcW w:w="2524" w:type="dxa"/>
          </w:tcPr>
          <w:p>
            <w:pPr>
              <w:pStyle w:val="TableParagraph"/>
              <w:spacing w:before="222"/>
              <w:ind w:left="6" w:right="3"/>
              <w:jc w:val="center"/>
              <w:rPr>
                <w:sz w:val="22"/>
              </w:rPr>
            </w:pPr>
            <w:r>
              <w:rPr>
                <w:color w:val="105C84"/>
                <w:spacing w:val="-4"/>
                <w:sz w:val="22"/>
              </w:rPr>
              <w:t>63%*</w:t>
            </w:r>
          </w:p>
        </w:tc>
      </w:tr>
    </w:tbl>
    <w:p>
      <w:pPr>
        <w:spacing w:line="235" w:lineRule="auto" w:before="101"/>
        <w:ind w:left="1096" w:right="0" w:firstLine="0"/>
        <w:jc w:val="left"/>
        <w:rPr>
          <w:sz w:val="16"/>
        </w:rPr>
      </w:pPr>
      <w:r>
        <w:rPr>
          <w:color w:val="0C5D86"/>
          <w:sz w:val="16"/>
        </w:rPr>
        <w:t>Source:</w:t>
      </w:r>
      <w:r>
        <w:rPr>
          <w:color w:val="0C5D86"/>
          <w:spacing w:val="-10"/>
          <w:sz w:val="16"/>
        </w:rPr>
        <w:t> </w:t>
      </w:r>
      <w:r>
        <w:rPr>
          <w:color w:val="0C5D86"/>
          <w:sz w:val="16"/>
        </w:rPr>
        <w:t>Division</w:t>
      </w:r>
      <w:r>
        <w:rPr>
          <w:color w:val="0C5D86"/>
          <w:spacing w:val="-10"/>
          <w:sz w:val="16"/>
        </w:rPr>
        <w:t> </w:t>
      </w:r>
      <w:r>
        <w:rPr>
          <w:color w:val="0C5D86"/>
          <w:sz w:val="16"/>
        </w:rPr>
        <w:t>of</w:t>
      </w:r>
      <w:r>
        <w:rPr>
          <w:color w:val="0C5D86"/>
          <w:spacing w:val="-10"/>
          <w:sz w:val="16"/>
        </w:rPr>
        <w:t> </w:t>
      </w:r>
      <w:r>
        <w:rPr>
          <w:color w:val="0C5D86"/>
          <w:sz w:val="16"/>
        </w:rPr>
        <w:t>Chronic</w:t>
      </w:r>
      <w:r>
        <w:rPr>
          <w:color w:val="0C5D86"/>
          <w:spacing w:val="-10"/>
          <w:sz w:val="16"/>
        </w:rPr>
        <w:t> </w:t>
      </w:r>
      <w:r>
        <w:rPr>
          <w:color w:val="0C5D86"/>
          <w:sz w:val="16"/>
        </w:rPr>
        <w:t>Disease</w:t>
      </w:r>
      <w:r>
        <w:rPr>
          <w:color w:val="0C5D86"/>
          <w:spacing w:val="-10"/>
          <w:sz w:val="16"/>
        </w:rPr>
        <w:t> </w:t>
      </w:r>
      <w:r>
        <w:rPr>
          <w:color w:val="0C5D86"/>
          <w:sz w:val="16"/>
        </w:rPr>
        <w:t>and</w:t>
      </w:r>
      <w:r>
        <w:rPr>
          <w:color w:val="0C5D86"/>
          <w:spacing w:val="-10"/>
          <w:sz w:val="16"/>
        </w:rPr>
        <w:t> </w:t>
      </w:r>
      <w:r>
        <w:rPr>
          <w:color w:val="0C5D86"/>
          <w:sz w:val="16"/>
        </w:rPr>
        <w:t>Injury</w:t>
      </w:r>
      <w:r>
        <w:rPr>
          <w:color w:val="0C5D86"/>
          <w:spacing w:val="-10"/>
          <w:sz w:val="16"/>
        </w:rPr>
        <w:t> </w:t>
      </w:r>
      <w:r>
        <w:rPr>
          <w:color w:val="0C5D86"/>
          <w:sz w:val="16"/>
        </w:rPr>
        <w:t>Prevention,</w:t>
      </w:r>
      <w:r>
        <w:rPr>
          <w:color w:val="0C5D86"/>
          <w:spacing w:val="-10"/>
          <w:sz w:val="16"/>
        </w:rPr>
        <w:t> </w:t>
      </w:r>
      <w:r>
        <w:rPr>
          <w:color w:val="0C5D86"/>
          <w:sz w:val="16"/>
        </w:rPr>
        <w:t>Bureau</w:t>
      </w:r>
      <w:r>
        <w:rPr>
          <w:color w:val="0C5D86"/>
          <w:spacing w:val="-10"/>
          <w:sz w:val="16"/>
        </w:rPr>
        <w:t> </w:t>
      </w:r>
      <w:r>
        <w:rPr>
          <w:color w:val="0C5D86"/>
          <w:sz w:val="16"/>
        </w:rPr>
        <w:t>of</w:t>
      </w:r>
      <w:r>
        <w:rPr>
          <w:color w:val="0C5D86"/>
          <w:spacing w:val="-10"/>
          <w:sz w:val="16"/>
        </w:rPr>
        <w:t> </w:t>
      </w:r>
      <w:r>
        <w:rPr>
          <w:color w:val="0C5D86"/>
          <w:sz w:val="16"/>
        </w:rPr>
        <w:t>Chronic</w:t>
      </w:r>
      <w:r>
        <w:rPr>
          <w:color w:val="0C5D86"/>
          <w:spacing w:val="-10"/>
          <w:sz w:val="16"/>
        </w:rPr>
        <w:t> </w:t>
      </w:r>
      <w:r>
        <w:rPr>
          <w:color w:val="0C5D86"/>
          <w:sz w:val="16"/>
        </w:rPr>
        <w:t>Evaluation</w:t>
      </w:r>
      <w:r>
        <w:rPr>
          <w:color w:val="0C5D86"/>
          <w:spacing w:val="-10"/>
          <w:sz w:val="16"/>
        </w:rPr>
        <w:t> </w:t>
      </w:r>
      <w:r>
        <w:rPr>
          <w:color w:val="0C5D86"/>
          <w:sz w:val="16"/>
        </w:rPr>
        <w:t>and</w:t>
      </w:r>
      <w:r>
        <w:rPr>
          <w:color w:val="0C5D86"/>
          <w:spacing w:val="-10"/>
          <w:sz w:val="16"/>
        </w:rPr>
        <w:t> </w:t>
      </w:r>
      <w:r>
        <w:rPr>
          <w:color w:val="0C5D86"/>
          <w:sz w:val="16"/>
        </w:rPr>
        <w:t>Research,</w:t>
      </w:r>
      <w:r>
        <w:rPr>
          <w:color w:val="0C5D86"/>
          <w:spacing w:val="-10"/>
          <w:sz w:val="16"/>
        </w:rPr>
        <w:t> </w:t>
      </w:r>
      <w:r>
        <w:rPr>
          <w:color w:val="0C5D86"/>
          <w:sz w:val="16"/>
        </w:rPr>
        <w:t>New</w:t>
      </w:r>
      <w:r>
        <w:rPr>
          <w:color w:val="0C5D86"/>
          <w:spacing w:val="-10"/>
          <w:sz w:val="16"/>
        </w:rPr>
        <w:t> </w:t>
      </w:r>
      <w:r>
        <w:rPr>
          <w:color w:val="0C5D86"/>
          <w:sz w:val="16"/>
        </w:rPr>
        <w:t>York</w:t>
      </w:r>
      <w:r>
        <w:rPr>
          <w:color w:val="0C5D86"/>
          <w:spacing w:val="-10"/>
          <w:sz w:val="16"/>
        </w:rPr>
        <w:t> </w:t>
      </w:r>
      <w:r>
        <w:rPr>
          <w:color w:val="0C5D86"/>
          <w:sz w:val="16"/>
        </w:rPr>
        <w:t>State</w:t>
      </w:r>
      <w:r>
        <w:rPr>
          <w:color w:val="0C5D86"/>
          <w:spacing w:val="-10"/>
          <w:sz w:val="16"/>
        </w:rPr>
        <w:t> </w:t>
      </w:r>
      <w:r>
        <w:rPr>
          <w:color w:val="0C5D86"/>
          <w:sz w:val="16"/>
        </w:rPr>
        <w:t>Department</w:t>
      </w:r>
      <w:r>
        <w:rPr>
          <w:color w:val="0C5D86"/>
          <w:spacing w:val="-10"/>
          <w:sz w:val="16"/>
        </w:rPr>
        <w:t> </w:t>
      </w:r>
      <w:r>
        <w:rPr>
          <w:color w:val="0C5D86"/>
          <w:sz w:val="16"/>
        </w:rPr>
        <w:t>of</w:t>
      </w:r>
      <w:r>
        <w:rPr>
          <w:color w:val="0C5D86"/>
          <w:spacing w:val="-10"/>
          <w:sz w:val="16"/>
        </w:rPr>
        <w:t> </w:t>
      </w:r>
      <w:r>
        <w:rPr>
          <w:color w:val="0C5D86"/>
          <w:sz w:val="16"/>
        </w:rPr>
        <w:t>Health, Behavioral</w:t>
      </w:r>
      <w:r>
        <w:rPr>
          <w:color w:val="0C5D86"/>
          <w:spacing w:val="-3"/>
          <w:sz w:val="16"/>
        </w:rPr>
        <w:t> </w:t>
      </w:r>
      <w:r>
        <w:rPr>
          <w:color w:val="0C5D86"/>
          <w:sz w:val="16"/>
        </w:rPr>
        <w:t>Risk</w:t>
      </w:r>
      <w:r>
        <w:rPr>
          <w:color w:val="0C5D86"/>
          <w:spacing w:val="-3"/>
          <w:sz w:val="16"/>
        </w:rPr>
        <w:t> </w:t>
      </w:r>
      <w:r>
        <w:rPr>
          <w:color w:val="0C5D86"/>
          <w:sz w:val="16"/>
        </w:rPr>
        <w:t>Factor</w:t>
      </w:r>
      <w:r>
        <w:rPr>
          <w:color w:val="0C5D86"/>
          <w:spacing w:val="-3"/>
          <w:sz w:val="16"/>
        </w:rPr>
        <w:t> </w:t>
      </w:r>
      <w:r>
        <w:rPr>
          <w:color w:val="0C5D86"/>
          <w:sz w:val="16"/>
        </w:rPr>
        <w:t>Surveillance</w:t>
      </w:r>
      <w:r>
        <w:rPr>
          <w:color w:val="0C5D86"/>
          <w:spacing w:val="-3"/>
          <w:sz w:val="16"/>
        </w:rPr>
        <w:t> </w:t>
      </w:r>
      <w:r>
        <w:rPr>
          <w:color w:val="0C5D86"/>
          <w:sz w:val="16"/>
        </w:rPr>
        <w:t>System,</w:t>
      </w:r>
      <w:r>
        <w:rPr>
          <w:color w:val="0C5D86"/>
          <w:spacing w:val="-3"/>
          <w:sz w:val="16"/>
        </w:rPr>
        <w:t> </w:t>
      </w:r>
      <w:r>
        <w:rPr>
          <w:color w:val="0C5D86"/>
          <w:sz w:val="16"/>
        </w:rPr>
        <w:t>Year</w:t>
      </w:r>
      <w:r>
        <w:rPr>
          <w:color w:val="0C5D86"/>
          <w:spacing w:val="-3"/>
          <w:sz w:val="16"/>
        </w:rPr>
        <w:t> </w:t>
      </w:r>
      <w:r>
        <w:rPr>
          <w:color w:val="0C5D86"/>
          <w:sz w:val="16"/>
        </w:rPr>
        <w:t>2016.</w:t>
      </w:r>
      <w:r>
        <w:rPr>
          <w:color w:val="0C5D86"/>
          <w:spacing w:val="-3"/>
          <w:sz w:val="16"/>
        </w:rPr>
        <w:t> </w:t>
      </w:r>
      <w:r>
        <w:rPr>
          <w:color w:val="0C5D86"/>
          <w:sz w:val="16"/>
        </w:rPr>
        <w:t>Analysis</w:t>
      </w:r>
      <w:r>
        <w:rPr>
          <w:color w:val="0C5D86"/>
          <w:spacing w:val="-3"/>
          <w:sz w:val="16"/>
        </w:rPr>
        <w:t> </w:t>
      </w:r>
      <w:r>
        <w:rPr>
          <w:color w:val="0C5D86"/>
          <w:sz w:val="16"/>
        </w:rPr>
        <w:t>Completed</w:t>
      </w:r>
      <w:r>
        <w:rPr>
          <w:color w:val="0C5D86"/>
          <w:spacing w:val="-3"/>
          <w:sz w:val="16"/>
        </w:rPr>
        <w:t> </w:t>
      </w:r>
      <w:r>
        <w:rPr>
          <w:color w:val="0C5D86"/>
          <w:sz w:val="16"/>
        </w:rPr>
        <w:t>by</w:t>
      </w:r>
      <w:r>
        <w:rPr>
          <w:color w:val="0C5D86"/>
          <w:spacing w:val="-3"/>
          <w:sz w:val="16"/>
        </w:rPr>
        <w:t> </w:t>
      </w:r>
      <w:r>
        <w:rPr>
          <w:color w:val="0C5D86"/>
          <w:sz w:val="16"/>
        </w:rPr>
        <w:t>Common</w:t>
      </w:r>
      <w:r>
        <w:rPr>
          <w:color w:val="0C5D86"/>
          <w:spacing w:val="-3"/>
          <w:sz w:val="16"/>
        </w:rPr>
        <w:t> </w:t>
      </w:r>
      <w:r>
        <w:rPr>
          <w:color w:val="0C5D86"/>
          <w:sz w:val="16"/>
        </w:rPr>
        <w:t>Ground</w:t>
      </w:r>
      <w:r>
        <w:rPr>
          <w:color w:val="0C5D86"/>
          <w:spacing w:val="-3"/>
          <w:sz w:val="16"/>
        </w:rPr>
        <w:t> </w:t>
      </w:r>
      <w:r>
        <w:rPr>
          <w:color w:val="0C5D86"/>
          <w:sz w:val="16"/>
        </w:rPr>
        <w:t>Health.</w:t>
      </w:r>
      <w:r>
        <w:rPr>
          <w:color w:val="0C5D86"/>
          <w:spacing w:val="-3"/>
          <w:sz w:val="16"/>
        </w:rPr>
        <w:t> </w:t>
      </w:r>
      <w:r>
        <w:rPr>
          <w:color w:val="0C5D86"/>
          <w:sz w:val="16"/>
        </w:rPr>
        <w:t>*low</w:t>
      </w:r>
      <w:r>
        <w:rPr>
          <w:color w:val="0C5D86"/>
          <w:spacing w:val="-3"/>
          <w:sz w:val="16"/>
        </w:rPr>
        <w:t> </w:t>
      </w:r>
      <w:r>
        <w:rPr>
          <w:color w:val="0C5D86"/>
          <w:sz w:val="16"/>
        </w:rPr>
        <w:t>income</w:t>
      </w:r>
      <w:r>
        <w:rPr>
          <w:color w:val="0C5D86"/>
          <w:spacing w:val="-3"/>
          <w:sz w:val="16"/>
        </w:rPr>
        <w:t> </w:t>
      </w:r>
      <w:r>
        <w:rPr>
          <w:color w:val="0C5D86"/>
          <w:sz w:val="16"/>
        </w:rPr>
        <w:t>data</w:t>
      </w:r>
      <w:r>
        <w:rPr>
          <w:color w:val="0C5D86"/>
          <w:spacing w:val="-3"/>
          <w:sz w:val="16"/>
        </w:rPr>
        <w:t> </w:t>
      </w:r>
      <w:r>
        <w:rPr>
          <w:color w:val="0C5D86"/>
          <w:sz w:val="16"/>
        </w:rPr>
        <w:t>from</w:t>
      </w:r>
      <w:r>
        <w:rPr>
          <w:color w:val="0C5D86"/>
          <w:spacing w:val="-3"/>
          <w:sz w:val="16"/>
        </w:rPr>
        <w:t> </w:t>
      </w:r>
      <w:r>
        <w:rPr>
          <w:color w:val="0C5D86"/>
          <w:sz w:val="16"/>
        </w:rPr>
        <w:t>2013-2014 Behavioral Risk Factor Surveillance System</w:t>
      </w:r>
    </w:p>
    <w:p>
      <w:pPr>
        <w:pStyle w:val="BodyText"/>
        <w:rPr>
          <w:sz w:val="16"/>
        </w:rPr>
      </w:pPr>
    </w:p>
    <w:p>
      <w:pPr>
        <w:pStyle w:val="BodyText"/>
        <w:spacing w:before="9"/>
        <w:rPr>
          <w:sz w:val="16"/>
        </w:rPr>
      </w:pPr>
    </w:p>
    <w:p>
      <w:pPr>
        <w:pStyle w:val="BodyText"/>
        <w:spacing w:line="247" w:lineRule="auto"/>
        <w:ind w:left="1094" w:right="113"/>
      </w:pPr>
      <w:r>
        <w:rPr>
          <w:color w:val="105C84"/>
        </w:rPr>
        <w:t>Deaths due to opioids in Yates County have increased 133% from 3 deaths in 2016 to 7 in 2017, according</w:t>
      </w:r>
      <w:r>
        <w:rPr>
          <w:color w:val="105C84"/>
          <w:spacing w:val="24"/>
        </w:rPr>
        <w:t> </w:t>
      </w:r>
      <w:r>
        <w:rPr>
          <w:color w:val="105C84"/>
        </w:rPr>
        <w:t>to</w:t>
      </w:r>
      <w:r>
        <w:rPr>
          <w:color w:val="105C84"/>
          <w:spacing w:val="24"/>
        </w:rPr>
        <w:t> </w:t>
      </w:r>
      <w:r>
        <w:rPr>
          <w:color w:val="105C84"/>
        </w:rPr>
        <w:t>reports</w:t>
      </w:r>
      <w:r>
        <w:rPr>
          <w:color w:val="105C84"/>
          <w:spacing w:val="24"/>
        </w:rPr>
        <w:t> </w:t>
      </w:r>
      <w:r>
        <w:rPr>
          <w:color w:val="105C84"/>
        </w:rPr>
        <w:t>published</w:t>
      </w:r>
      <w:r>
        <w:rPr>
          <w:color w:val="105C84"/>
          <w:spacing w:val="24"/>
        </w:rPr>
        <w:t> </w:t>
      </w:r>
      <w:r>
        <w:rPr>
          <w:color w:val="105C84"/>
        </w:rPr>
        <w:t>by</w:t>
      </w:r>
      <w:r>
        <w:rPr>
          <w:color w:val="105C84"/>
          <w:spacing w:val="24"/>
        </w:rPr>
        <w:t> </w:t>
      </w:r>
      <w:r>
        <w:rPr>
          <w:color w:val="105C84"/>
        </w:rPr>
        <w:t>New</w:t>
      </w:r>
      <w:r>
        <w:rPr>
          <w:color w:val="105C84"/>
          <w:spacing w:val="24"/>
        </w:rPr>
        <w:t> </w:t>
      </w:r>
      <w:r>
        <w:rPr>
          <w:color w:val="105C84"/>
        </w:rPr>
        <w:t>York</w:t>
      </w:r>
      <w:r>
        <w:rPr>
          <w:color w:val="105C84"/>
          <w:spacing w:val="24"/>
        </w:rPr>
        <w:t> </w:t>
      </w:r>
      <w:r>
        <w:rPr>
          <w:color w:val="105C84"/>
        </w:rPr>
        <w:t>State</w:t>
      </w:r>
      <w:r>
        <w:rPr>
          <w:color w:val="105C84"/>
          <w:spacing w:val="24"/>
        </w:rPr>
        <w:t> </w:t>
      </w:r>
      <w:r>
        <w:rPr>
          <w:color w:val="105C84"/>
        </w:rPr>
        <w:t>Quarterly</w:t>
      </w:r>
      <w:r>
        <w:rPr>
          <w:color w:val="105C84"/>
          <w:spacing w:val="24"/>
        </w:rPr>
        <w:t> </w:t>
      </w:r>
      <w:r>
        <w:rPr>
          <w:color w:val="105C84"/>
        </w:rPr>
        <w:t>Opioid</w:t>
      </w:r>
      <w:r>
        <w:rPr>
          <w:color w:val="105C84"/>
          <w:spacing w:val="24"/>
        </w:rPr>
        <w:t> </w:t>
      </w:r>
      <w:r>
        <w:rPr>
          <w:color w:val="105C84"/>
        </w:rPr>
        <w:t>Reporting.</w:t>
      </w:r>
      <w:r>
        <w:rPr>
          <w:color w:val="105C84"/>
          <w:spacing w:val="24"/>
        </w:rPr>
        <w:t> </w:t>
      </w:r>
      <w:r>
        <w:rPr>
          <w:color w:val="105C84"/>
        </w:rPr>
        <w:t>To</w:t>
      </w:r>
      <w:r>
        <w:rPr>
          <w:color w:val="105C84"/>
          <w:spacing w:val="24"/>
        </w:rPr>
        <w:t> </w:t>
      </w:r>
      <w:r>
        <w:rPr>
          <w:color w:val="105C84"/>
        </w:rPr>
        <w:t>date,</w:t>
      </w:r>
      <w:r>
        <w:rPr>
          <w:color w:val="105C84"/>
          <w:spacing w:val="24"/>
        </w:rPr>
        <w:t> </w:t>
      </w:r>
      <w:r>
        <w:rPr>
          <w:color w:val="105C84"/>
        </w:rPr>
        <w:t>data</w:t>
      </w:r>
      <w:r>
        <w:rPr>
          <w:color w:val="105C84"/>
          <w:spacing w:val="24"/>
        </w:rPr>
        <w:t> </w:t>
      </w:r>
      <w:r>
        <w:rPr>
          <w:color w:val="105C84"/>
        </w:rPr>
        <w:t>show a</w:t>
      </w:r>
      <w:r>
        <w:rPr>
          <w:color w:val="105C84"/>
          <w:spacing w:val="11"/>
        </w:rPr>
        <w:t> </w:t>
      </w:r>
      <w:r>
        <w:rPr>
          <w:color w:val="105C84"/>
        </w:rPr>
        <w:t>dip</w:t>
      </w:r>
      <w:r>
        <w:rPr>
          <w:color w:val="105C84"/>
          <w:spacing w:val="11"/>
        </w:rPr>
        <w:t> </w:t>
      </w:r>
      <w:r>
        <w:rPr>
          <w:color w:val="105C84"/>
        </w:rPr>
        <w:t>in</w:t>
      </w:r>
      <w:r>
        <w:rPr>
          <w:color w:val="105C84"/>
          <w:spacing w:val="11"/>
        </w:rPr>
        <w:t> </w:t>
      </w:r>
      <w:r>
        <w:rPr>
          <w:color w:val="105C84"/>
        </w:rPr>
        <w:t>Yates</w:t>
      </w:r>
      <w:r>
        <w:rPr>
          <w:color w:val="105C84"/>
          <w:spacing w:val="11"/>
        </w:rPr>
        <w:t> </w:t>
      </w:r>
      <w:r>
        <w:rPr>
          <w:color w:val="105C84"/>
        </w:rPr>
        <w:t>County’s</w:t>
      </w:r>
      <w:r>
        <w:rPr>
          <w:color w:val="105C84"/>
          <w:spacing w:val="11"/>
        </w:rPr>
        <w:t> </w:t>
      </w:r>
      <w:r>
        <w:rPr>
          <w:color w:val="105C84"/>
        </w:rPr>
        <w:t>overdose</w:t>
      </w:r>
      <w:r>
        <w:rPr>
          <w:color w:val="105C84"/>
          <w:spacing w:val="11"/>
        </w:rPr>
        <w:t> </w:t>
      </w:r>
      <w:r>
        <w:rPr>
          <w:color w:val="105C84"/>
        </w:rPr>
        <w:t>deaths</w:t>
      </w:r>
      <w:r>
        <w:rPr>
          <w:color w:val="105C84"/>
          <w:spacing w:val="11"/>
        </w:rPr>
        <w:t> </w:t>
      </w:r>
      <w:r>
        <w:rPr>
          <w:color w:val="105C84"/>
        </w:rPr>
        <w:t>for</w:t>
      </w:r>
      <w:r>
        <w:rPr>
          <w:color w:val="105C84"/>
          <w:spacing w:val="11"/>
        </w:rPr>
        <w:t> </w:t>
      </w:r>
      <w:r>
        <w:rPr>
          <w:color w:val="105C84"/>
        </w:rPr>
        <w:t>the</w:t>
      </w:r>
      <w:r>
        <w:rPr>
          <w:color w:val="105C84"/>
          <w:spacing w:val="11"/>
        </w:rPr>
        <w:t> </w:t>
      </w:r>
      <w:r>
        <w:rPr>
          <w:color w:val="105C84"/>
        </w:rPr>
        <w:t>first</w:t>
      </w:r>
      <w:r>
        <w:rPr>
          <w:color w:val="105C84"/>
          <w:spacing w:val="11"/>
        </w:rPr>
        <w:t> </w:t>
      </w:r>
      <w:r>
        <w:rPr>
          <w:color w:val="105C84"/>
        </w:rPr>
        <w:t>two</w:t>
      </w:r>
      <w:r>
        <w:rPr>
          <w:color w:val="105C84"/>
          <w:spacing w:val="11"/>
        </w:rPr>
        <w:t> </w:t>
      </w:r>
      <w:r>
        <w:rPr>
          <w:color w:val="105C84"/>
        </w:rPr>
        <w:t>quarters</w:t>
      </w:r>
      <w:r>
        <w:rPr>
          <w:color w:val="105C84"/>
          <w:spacing w:val="11"/>
        </w:rPr>
        <w:t> </w:t>
      </w:r>
      <w:r>
        <w:rPr>
          <w:color w:val="105C84"/>
        </w:rPr>
        <w:t>of</w:t>
      </w:r>
      <w:r>
        <w:rPr>
          <w:color w:val="105C84"/>
          <w:spacing w:val="11"/>
        </w:rPr>
        <w:t> </w:t>
      </w:r>
      <w:r>
        <w:rPr>
          <w:color w:val="105C84"/>
        </w:rPr>
        <w:t>2018.</w:t>
      </w:r>
      <w:r>
        <w:rPr>
          <w:color w:val="105C84"/>
          <w:spacing w:val="11"/>
        </w:rPr>
        <w:t> </w:t>
      </w:r>
      <w:r>
        <w:rPr>
          <w:color w:val="105C84"/>
        </w:rPr>
        <w:t>It</w:t>
      </w:r>
      <w:r>
        <w:rPr>
          <w:color w:val="105C84"/>
          <w:spacing w:val="11"/>
        </w:rPr>
        <w:t> </w:t>
      </w:r>
      <w:r>
        <w:rPr>
          <w:color w:val="105C84"/>
        </w:rPr>
        <w:t>is</w:t>
      </w:r>
      <w:r>
        <w:rPr>
          <w:color w:val="105C84"/>
          <w:spacing w:val="11"/>
        </w:rPr>
        <w:t> </w:t>
      </w:r>
      <w:r>
        <w:rPr>
          <w:color w:val="105C84"/>
        </w:rPr>
        <w:t>unknown</w:t>
      </w:r>
      <w:r>
        <w:rPr>
          <w:color w:val="105C84"/>
          <w:spacing w:val="11"/>
        </w:rPr>
        <w:t> </w:t>
      </w:r>
      <w:r>
        <w:rPr>
          <w:color w:val="105C84"/>
        </w:rPr>
        <w:t>at</w:t>
      </w:r>
      <w:r>
        <w:rPr>
          <w:color w:val="105C84"/>
          <w:spacing w:val="11"/>
        </w:rPr>
        <w:t> </w:t>
      </w:r>
      <w:r>
        <w:rPr>
          <w:color w:val="105C84"/>
        </w:rPr>
        <w:t>this</w:t>
      </w:r>
      <w:r>
        <w:rPr>
          <w:color w:val="105C84"/>
          <w:spacing w:val="11"/>
        </w:rPr>
        <w:t> </w:t>
      </w:r>
      <w:r>
        <w:rPr>
          <w:color w:val="105C84"/>
        </w:rPr>
        <w:t>time if</w:t>
      </w:r>
      <w:r>
        <w:rPr>
          <w:color w:val="105C84"/>
          <w:spacing w:val="35"/>
        </w:rPr>
        <w:t> </w:t>
      </w:r>
      <w:r>
        <w:rPr>
          <w:color w:val="105C84"/>
        </w:rPr>
        <w:t>this</w:t>
      </w:r>
      <w:r>
        <w:rPr>
          <w:color w:val="105C84"/>
          <w:spacing w:val="35"/>
        </w:rPr>
        <w:t> </w:t>
      </w:r>
      <w:r>
        <w:rPr>
          <w:color w:val="105C84"/>
        </w:rPr>
        <w:t>trend</w:t>
      </w:r>
      <w:r>
        <w:rPr>
          <w:color w:val="105C84"/>
          <w:spacing w:val="35"/>
        </w:rPr>
        <w:t> </w:t>
      </w:r>
      <w:r>
        <w:rPr>
          <w:color w:val="105C84"/>
        </w:rPr>
        <w:t>continued</w:t>
      </w:r>
      <w:r>
        <w:rPr>
          <w:color w:val="105C84"/>
          <w:spacing w:val="35"/>
        </w:rPr>
        <w:t> </w:t>
      </w:r>
      <w:r>
        <w:rPr>
          <w:color w:val="105C84"/>
        </w:rPr>
        <w:t>throughout</w:t>
      </w:r>
      <w:r>
        <w:rPr>
          <w:color w:val="105C84"/>
          <w:spacing w:val="35"/>
        </w:rPr>
        <w:t> </w:t>
      </w:r>
      <w:r>
        <w:rPr>
          <w:color w:val="105C84"/>
        </w:rPr>
        <w:t>the</w:t>
      </w:r>
      <w:r>
        <w:rPr>
          <w:color w:val="105C84"/>
          <w:spacing w:val="35"/>
        </w:rPr>
        <w:t> </w:t>
      </w:r>
      <w:r>
        <w:rPr>
          <w:color w:val="105C84"/>
        </w:rPr>
        <w:t>rest</w:t>
      </w:r>
      <w:r>
        <w:rPr>
          <w:color w:val="105C84"/>
          <w:spacing w:val="35"/>
        </w:rPr>
        <w:t> </w:t>
      </w:r>
      <w:r>
        <w:rPr>
          <w:color w:val="105C84"/>
        </w:rPr>
        <w:t>of</w:t>
      </w:r>
      <w:r>
        <w:rPr>
          <w:color w:val="105C84"/>
          <w:spacing w:val="35"/>
        </w:rPr>
        <w:t> </w:t>
      </w:r>
      <w:r>
        <w:rPr>
          <w:color w:val="105C84"/>
        </w:rPr>
        <w:t>the</w:t>
      </w:r>
      <w:r>
        <w:rPr>
          <w:color w:val="105C84"/>
          <w:spacing w:val="35"/>
        </w:rPr>
        <w:t> </w:t>
      </w:r>
      <w:r>
        <w:rPr>
          <w:color w:val="105C84"/>
        </w:rPr>
        <w:t>year.</w:t>
      </w:r>
      <w:r>
        <w:rPr>
          <w:color w:val="105C84"/>
          <w:spacing w:val="35"/>
        </w:rPr>
        <w:t> </w:t>
      </w:r>
      <w:r>
        <w:rPr>
          <w:color w:val="105C84"/>
        </w:rPr>
        <w:t>Clients</w:t>
      </w:r>
      <w:r>
        <w:rPr>
          <w:color w:val="105C84"/>
          <w:spacing w:val="35"/>
        </w:rPr>
        <w:t> </w:t>
      </w:r>
      <w:r>
        <w:rPr>
          <w:color w:val="105C84"/>
        </w:rPr>
        <w:t>being</w:t>
      </w:r>
      <w:r>
        <w:rPr>
          <w:color w:val="105C84"/>
          <w:spacing w:val="35"/>
        </w:rPr>
        <w:t> </w:t>
      </w:r>
      <w:r>
        <w:rPr>
          <w:color w:val="105C84"/>
        </w:rPr>
        <w:t>admitted</w:t>
      </w:r>
      <w:r>
        <w:rPr>
          <w:color w:val="105C84"/>
          <w:spacing w:val="35"/>
        </w:rPr>
        <w:t> </w:t>
      </w:r>
      <w:r>
        <w:rPr>
          <w:color w:val="105C84"/>
        </w:rPr>
        <w:t>to</w:t>
      </w:r>
      <w:r>
        <w:rPr>
          <w:color w:val="105C84"/>
          <w:spacing w:val="35"/>
        </w:rPr>
        <w:t> </w:t>
      </w:r>
      <w:r>
        <w:rPr>
          <w:color w:val="105C84"/>
        </w:rPr>
        <w:t>OASAS-certified chemical dependence treatment programs have continued in Yates County though have shown no increase or decrease in the number of unique clients admitted (N=126 for both 2016 and 2017). The</w:t>
      </w:r>
    </w:p>
    <w:p>
      <w:pPr>
        <w:pStyle w:val="BodyText"/>
        <w:spacing w:line="247" w:lineRule="auto"/>
        <w:ind w:left="1094"/>
      </w:pPr>
      <w:r>
        <w:rPr>
          <w:color w:val="105C84"/>
          <w:w w:val="105"/>
        </w:rPr>
        <w:t>support</w:t>
      </w:r>
      <w:r>
        <w:rPr>
          <w:color w:val="105C84"/>
          <w:spacing w:val="-10"/>
          <w:w w:val="105"/>
        </w:rPr>
        <w:t> </w:t>
      </w:r>
      <w:r>
        <w:rPr>
          <w:color w:val="105C84"/>
          <w:w w:val="105"/>
        </w:rPr>
        <w:t>from</w:t>
      </w:r>
      <w:r>
        <w:rPr>
          <w:color w:val="105C84"/>
          <w:spacing w:val="-10"/>
          <w:w w:val="105"/>
        </w:rPr>
        <w:t> </w:t>
      </w:r>
      <w:r>
        <w:rPr>
          <w:color w:val="105C84"/>
          <w:w w:val="105"/>
        </w:rPr>
        <w:t>these</w:t>
      </w:r>
      <w:r>
        <w:rPr>
          <w:color w:val="105C84"/>
          <w:spacing w:val="-10"/>
          <w:w w:val="105"/>
        </w:rPr>
        <w:t> </w:t>
      </w:r>
      <w:r>
        <w:rPr>
          <w:color w:val="105C84"/>
          <w:w w:val="105"/>
        </w:rPr>
        <w:t>programs</w:t>
      </w:r>
      <w:r>
        <w:rPr>
          <w:color w:val="105C84"/>
          <w:spacing w:val="-10"/>
          <w:w w:val="105"/>
        </w:rPr>
        <w:t> </w:t>
      </w:r>
      <w:r>
        <w:rPr>
          <w:color w:val="105C84"/>
          <w:w w:val="105"/>
        </w:rPr>
        <w:t>are</w:t>
      </w:r>
      <w:r>
        <w:rPr>
          <w:color w:val="105C84"/>
          <w:spacing w:val="-10"/>
          <w:w w:val="105"/>
        </w:rPr>
        <w:t> </w:t>
      </w:r>
      <w:r>
        <w:rPr>
          <w:color w:val="105C84"/>
          <w:w w:val="105"/>
        </w:rPr>
        <w:t>likely</w:t>
      </w:r>
      <w:r>
        <w:rPr>
          <w:color w:val="105C84"/>
          <w:spacing w:val="-10"/>
          <w:w w:val="105"/>
        </w:rPr>
        <w:t> </w:t>
      </w:r>
      <w:r>
        <w:rPr>
          <w:color w:val="105C84"/>
          <w:w w:val="105"/>
        </w:rPr>
        <w:t>helpful</w:t>
      </w:r>
      <w:r>
        <w:rPr>
          <w:color w:val="105C84"/>
          <w:spacing w:val="-10"/>
          <w:w w:val="105"/>
        </w:rPr>
        <w:t> </w:t>
      </w:r>
      <w:r>
        <w:rPr>
          <w:color w:val="105C84"/>
          <w:w w:val="105"/>
        </w:rPr>
        <w:t>in</w:t>
      </w:r>
      <w:r>
        <w:rPr>
          <w:color w:val="105C84"/>
          <w:spacing w:val="-10"/>
          <w:w w:val="105"/>
        </w:rPr>
        <w:t> </w:t>
      </w:r>
      <w:r>
        <w:rPr>
          <w:color w:val="105C84"/>
          <w:w w:val="105"/>
        </w:rPr>
        <w:t>contributing</w:t>
      </w:r>
      <w:r>
        <w:rPr>
          <w:color w:val="105C84"/>
          <w:spacing w:val="-10"/>
          <w:w w:val="105"/>
        </w:rPr>
        <w:t> </w:t>
      </w:r>
      <w:r>
        <w:rPr>
          <w:color w:val="105C84"/>
          <w:w w:val="105"/>
        </w:rPr>
        <w:t>to</w:t>
      </w:r>
      <w:r>
        <w:rPr>
          <w:color w:val="105C84"/>
          <w:spacing w:val="-10"/>
          <w:w w:val="105"/>
        </w:rPr>
        <w:t> </w:t>
      </w:r>
      <w:r>
        <w:rPr>
          <w:color w:val="105C84"/>
          <w:w w:val="105"/>
        </w:rPr>
        <w:t>the</w:t>
      </w:r>
      <w:r>
        <w:rPr>
          <w:color w:val="105C84"/>
          <w:spacing w:val="-10"/>
          <w:w w:val="105"/>
        </w:rPr>
        <w:t> </w:t>
      </w:r>
      <w:r>
        <w:rPr>
          <w:color w:val="105C84"/>
          <w:w w:val="105"/>
        </w:rPr>
        <w:t>lower</w:t>
      </w:r>
      <w:r>
        <w:rPr>
          <w:color w:val="105C84"/>
          <w:spacing w:val="-10"/>
          <w:w w:val="105"/>
        </w:rPr>
        <w:t> </w:t>
      </w:r>
      <w:r>
        <w:rPr>
          <w:color w:val="105C84"/>
          <w:w w:val="105"/>
        </w:rPr>
        <w:t>number</w:t>
      </w:r>
      <w:r>
        <w:rPr>
          <w:color w:val="105C84"/>
          <w:spacing w:val="-10"/>
          <w:w w:val="105"/>
        </w:rPr>
        <w:t> </w:t>
      </w:r>
      <w:r>
        <w:rPr>
          <w:color w:val="105C84"/>
          <w:w w:val="105"/>
        </w:rPr>
        <w:t>of</w:t>
      </w:r>
      <w:r>
        <w:rPr>
          <w:color w:val="105C84"/>
          <w:spacing w:val="-10"/>
          <w:w w:val="105"/>
        </w:rPr>
        <w:t> </w:t>
      </w:r>
      <w:r>
        <w:rPr>
          <w:color w:val="105C84"/>
          <w:w w:val="105"/>
        </w:rPr>
        <w:t>deaths</w:t>
      </w:r>
      <w:r>
        <w:rPr>
          <w:color w:val="105C84"/>
          <w:spacing w:val="-10"/>
          <w:w w:val="105"/>
        </w:rPr>
        <w:t> </w:t>
      </w:r>
      <w:r>
        <w:rPr>
          <w:color w:val="105C84"/>
          <w:w w:val="105"/>
        </w:rPr>
        <w:t>related to opioids noted in 2018.</w:t>
      </w:r>
    </w:p>
    <w:p>
      <w:pPr>
        <w:pStyle w:val="BodyText"/>
        <w:spacing w:line="247" w:lineRule="auto" w:before="176"/>
        <w:ind w:left="1094" w:right="113"/>
      </w:pPr>
      <w:r>
        <w:rPr>
          <w:color w:val="105C84"/>
        </w:rPr>
        <w:t>According to survey data from </w:t>
      </w:r>
      <w:r>
        <w:rPr>
          <w:i/>
          <w:color w:val="105C84"/>
        </w:rPr>
        <w:t>My Health Story 2018</w:t>
      </w:r>
      <w:r>
        <w:rPr>
          <w:color w:val="105C84"/>
        </w:rPr>
        <w:t>, almost half of the respondents indicated they have dealt with anxiety or fear (48%), depression or sadness (47%). For those who have dealt with mental or emotional health issues, 73% of survey respondents said they got the help they needed. The most commonly reported support was from doctors, counselors and other mental health</w:t>
      </w:r>
      <w:r>
        <w:rPr>
          <w:color w:val="105C84"/>
          <w:spacing w:val="40"/>
        </w:rPr>
        <w:t> </w:t>
      </w:r>
      <w:r>
        <w:rPr>
          <w:color w:val="105C84"/>
        </w:rPr>
        <w:t>professionals followed by support from friends and family.</w:t>
      </w:r>
    </w:p>
    <w:p>
      <w:pPr>
        <w:pStyle w:val="Heading6"/>
        <w:spacing w:before="91"/>
        <w:ind w:left="1094"/>
      </w:pPr>
      <w:r>
        <w:rPr>
          <w:b w:val="0"/>
        </w:rPr>
        <w:br w:type="column"/>
      </w:r>
      <w:r>
        <w:rPr>
          <w:color w:val="105C84"/>
          <w:spacing w:val="-6"/>
        </w:rPr>
        <w:t>Policy</w:t>
      </w:r>
      <w:r>
        <w:rPr>
          <w:color w:val="105C84"/>
          <w:spacing w:val="-8"/>
        </w:rPr>
        <w:t> </w:t>
      </w:r>
      <w:r>
        <w:rPr>
          <w:color w:val="105C84"/>
          <w:spacing w:val="-6"/>
        </w:rPr>
        <w:t>and</w:t>
      </w:r>
      <w:r>
        <w:rPr>
          <w:color w:val="105C84"/>
          <w:spacing w:val="-8"/>
        </w:rPr>
        <w:t> </w:t>
      </w:r>
      <w:r>
        <w:rPr>
          <w:color w:val="105C84"/>
          <w:spacing w:val="-6"/>
        </w:rPr>
        <w:t>Environmental</w:t>
      </w:r>
      <w:r>
        <w:rPr>
          <w:color w:val="105C84"/>
          <w:spacing w:val="-8"/>
        </w:rPr>
        <w:t> </w:t>
      </w:r>
      <w:r>
        <w:rPr>
          <w:color w:val="105C84"/>
          <w:spacing w:val="-6"/>
        </w:rPr>
        <w:t>Factors</w:t>
      </w:r>
    </w:p>
    <w:p>
      <w:pPr>
        <w:pStyle w:val="BodyText"/>
        <w:spacing w:line="247" w:lineRule="auto" w:before="268"/>
        <w:ind w:left="1094" w:right="222"/>
      </w:pPr>
      <w:r>
        <w:rPr>
          <w:color w:val="105C84"/>
        </w:rPr>
        <w:t>There are several policies and environmental factors that impact the health of Yates County residents. For example, Yates County recently approved a local law that prohibits tobacco and vaping use on county property including county-owned vehicles. In addition, the Village of Penn Yan has smoke-free parks.</w:t>
      </w:r>
      <w:r>
        <w:rPr>
          <w:color w:val="105C84"/>
          <w:spacing w:val="19"/>
        </w:rPr>
        <w:t> </w:t>
      </w:r>
      <w:r>
        <w:rPr>
          <w:color w:val="105C84"/>
        </w:rPr>
        <w:t>Both</w:t>
      </w:r>
      <w:r>
        <w:rPr>
          <w:color w:val="105C84"/>
          <w:spacing w:val="19"/>
        </w:rPr>
        <w:t> </w:t>
      </w:r>
      <w:r>
        <w:rPr>
          <w:color w:val="105C84"/>
        </w:rPr>
        <w:t>of</w:t>
      </w:r>
      <w:r>
        <w:rPr>
          <w:color w:val="105C84"/>
          <w:spacing w:val="19"/>
        </w:rPr>
        <w:t> </w:t>
      </w:r>
      <w:r>
        <w:rPr>
          <w:color w:val="105C84"/>
        </w:rPr>
        <w:t>these</w:t>
      </w:r>
      <w:r>
        <w:rPr>
          <w:color w:val="105C84"/>
          <w:spacing w:val="19"/>
        </w:rPr>
        <w:t> </w:t>
      </w:r>
      <w:r>
        <w:rPr>
          <w:color w:val="105C84"/>
        </w:rPr>
        <w:t>examples</w:t>
      </w:r>
      <w:r>
        <w:rPr>
          <w:color w:val="105C84"/>
          <w:spacing w:val="19"/>
        </w:rPr>
        <w:t> </w:t>
      </w:r>
      <w:r>
        <w:rPr>
          <w:color w:val="105C84"/>
        </w:rPr>
        <w:t>aid</w:t>
      </w:r>
      <w:r>
        <w:rPr>
          <w:color w:val="105C84"/>
          <w:spacing w:val="19"/>
        </w:rPr>
        <w:t> </w:t>
      </w:r>
      <w:r>
        <w:rPr>
          <w:color w:val="105C84"/>
        </w:rPr>
        <w:t>in</w:t>
      </w:r>
      <w:r>
        <w:rPr>
          <w:color w:val="105C84"/>
          <w:spacing w:val="19"/>
        </w:rPr>
        <w:t> </w:t>
      </w:r>
      <w:r>
        <w:rPr>
          <w:color w:val="105C84"/>
        </w:rPr>
        <w:t>reducing</w:t>
      </w:r>
      <w:r>
        <w:rPr>
          <w:color w:val="105C84"/>
          <w:spacing w:val="19"/>
        </w:rPr>
        <w:t> </w:t>
      </w:r>
      <w:r>
        <w:rPr>
          <w:color w:val="105C84"/>
        </w:rPr>
        <w:t>primary</w:t>
      </w:r>
      <w:r>
        <w:rPr>
          <w:color w:val="105C84"/>
          <w:spacing w:val="19"/>
        </w:rPr>
        <w:t> </w:t>
      </w:r>
      <w:r>
        <w:rPr>
          <w:color w:val="105C84"/>
        </w:rPr>
        <w:t>and</w:t>
      </w:r>
      <w:r>
        <w:rPr>
          <w:color w:val="105C84"/>
          <w:spacing w:val="19"/>
        </w:rPr>
        <w:t> </w:t>
      </w:r>
      <w:r>
        <w:rPr>
          <w:color w:val="105C84"/>
        </w:rPr>
        <w:t>secondary</w:t>
      </w:r>
      <w:r>
        <w:rPr>
          <w:color w:val="105C84"/>
          <w:spacing w:val="19"/>
        </w:rPr>
        <w:t> </w:t>
      </w:r>
      <w:r>
        <w:rPr>
          <w:color w:val="105C84"/>
        </w:rPr>
        <w:t>exposure</w:t>
      </w:r>
      <w:r>
        <w:rPr>
          <w:color w:val="105C84"/>
          <w:spacing w:val="19"/>
        </w:rPr>
        <w:t> </w:t>
      </w:r>
      <w:r>
        <w:rPr>
          <w:color w:val="105C84"/>
        </w:rPr>
        <w:t>to</w:t>
      </w:r>
      <w:r>
        <w:rPr>
          <w:color w:val="105C84"/>
          <w:spacing w:val="19"/>
        </w:rPr>
        <w:t> </w:t>
      </w:r>
      <w:r>
        <w:rPr>
          <w:color w:val="105C84"/>
        </w:rPr>
        <w:t>tobacco</w:t>
      </w:r>
      <w:r>
        <w:rPr>
          <w:color w:val="105C84"/>
          <w:spacing w:val="19"/>
        </w:rPr>
        <w:t> </w:t>
      </w:r>
      <w:r>
        <w:rPr>
          <w:color w:val="105C84"/>
        </w:rPr>
        <w:t>products.</w:t>
      </w:r>
    </w:p>
    <w:p>
      <w:pPr>
        <w:pStyle w:val="BodyText"/>
        <w:spacing w:line="247" w:lineRule="auto" w:before="178"/>
        <w:ind w:left="1094" w:right="479"/>
      </w:pPr>
      <w:r>
        <w:rPr>
          <w:color w:val="105C84"/>
        </w:rPr>
        <w:t>The local environment includes several green spaces where residents and visitors can engage in outdoor recreational activities. This is encouraged by Yates County and its partners. In fact, the local Cornell Cooperative Extension has a brochure listing trails with opportunities to exercise for both</w:t>
      </w:r>
      <w:r>
        <w:rPr>
          <w:color w:val="105C84"/>
          <w:spacing w:val="80"/>
        </w:rPr>
        <w:t> </w:t>
      </w:r>
      <w:r>
        <w:rPr>
          <w:color w:val="105C84"/>
        </w:rPr>
        <w:t>residents and visitors.</w:t>
      </w:r>
    </w:p>
    <w:p>
      <w:pPr>
        <w:pStyle w:val="BodyText"/>
        <w:spacing w:line="247" w:lineRule="auto" w:before="178"/>
        <w:ind w:left="1094" w:right="558"/>
      </w:pPr>
      <w:r>
        <w:rPr>
          <w:color w:val="105C84"/>
        </w:rPr>
        <w:t>While</w:t>
      </w:r>
      <w:r>
        <w:rPr>
          <w:color w:val="105C84"/>
          <w:spacing w:val="26"/>
        </w:rPr>
        <w:t> </w:t>
      </w:r>
      <w:r>
        <w:rPr>
          <w:color w:val="105C84"/>
        </w:rPr>
        <w:t>the</w:t>
      </w:r>
      <w:r>
        <w:rPr>
          <w:color w:val="105C84"/>
          <w:spacing w:val="26"/>
        </w:rPr>
        <w:t> </w:t>
      </w:r>
      <w:r>
        <w:rPr>
          <w:color w:val="105C84"/>
        </w:rPr>
        <w:t>county</w:t>
      </w:r>
      <w:r>
        <w:rPr>
          <w:color w:val="105C84"/>
          <w:spacing w:val="26"/>
        </w:rPr>
        <w:t> </w:t>
      </w:r>
      <w:r>
        <w:rPr>
          <w:color w:val="105C84"/>
        </w:rPr>
        <w:t>has</w:t>
      </w:r>
      <w:r>
        <w:rPr>
          <w:color w:val="105C84"/>
          <w:spacing w:val="26"/>
        </w:rPr>
        <w:t> </w:t>
      </w:r>
      <w:r>
        <w:rPr>
          <w:color w:val="105C84"/>
        </w:rPr>
        <w:t>worked</w:t>
      </w:r>
      <w:r>
        <w:rPr>
          <w:color w:val="105C84"/>
          <w:spacing w:val="26"/>
        </w:rPr>
        <w:t> </w:t>
      </w:r>
      <w:r>
        <w:rPr>
          <w:color w:val="105C84"/>
        </w:rPr>
        <w:t>towards</w:t>
      </w:r>
      <w:r>
        <w:rPr>
          <w:color w:val="105C84"/>
          <w:spacing w:val="26"/>
        </w:rPr>
        <w:t> </w:t>
      </w:r>
      <w:r>
        <w:rPr>
          <w:color w:val="105C84"/>
        </w:rPr>
        <w:t>bolstering</w:t>
      </w:r>
      <w:r>
        <w:rPr>
          <w:color w:val="105C84"/>
          <w:spacing w:val="26"/>
        </w:rPr>
        <w:t> </w:t>
      </w:r>
      <w:r>
        <w:rPr>
          <w:color w:val="105C84"/>
        </w:rPr>
        <w:t>natural</w:t>
      </w:r>
      <w:r>
        <w:rPr>
          <w:color w:val="105C84"/>
          <w:spacing w:val="26"/>
        </w:rPr>
        <w:t> </w:t>
      </w:r>
      <w:r>
        <w:rPr>
          <w:color w:val="105C84"/>
        </w:rPr>
        <w:t>and</w:t>
      </w:r>
      <w:r>
        <w:rPr>
          <w:color w:val="105C84"/>
          <w:spacing w:val="26"/>
        </w:rPr>
        <w:t> </w:t>
      </w:r>
      <w:r>
        <w:rPr>
          <w:color w:val="105C84"/>
        </w:rPr>
        <w:t>manmade</w:t>
      </w:r>
      <w:r>
        <w:rPr>
          <w:color w:val="105C84"/>
          <w:spacing w:val="26"/>
        </w:rPr>
        <w:t> </w:t>
      </w:r>
      <w:r>
        <w:rPr>
          <w:color w:val="105C84"/>
        </w:rPr>
        <w:t>recreational</w:t>
      </w:r>
      <w:r>
        <w:rPr>
          <w:color w:val="105C84"/>
          <w:spacing w:val="26"/>
        </w:rPr>
        <w:t> </w:t>
      </w:r>
      <w:r>
        <w:rPr>
          <w:color w:val="105C84"/>
        </w:rPr>
        <w:t>areas,</w:t>
      </w:r>
      <w:r>
        <w:rPr>
          <w:color w:val="105C84"/>
          <w:spacing w:val="26"/>
        </w:rPr>
        <w:t> </w:t>
      </w:r>
      <w:r>
        <w:rPr>
          <w:color w:val="105C84"/>
        </w:rPr>
        <w:t>there are</w:t>
      </w:r>
      <w:r>
        <w:rPr>
          <w:color w:val="105C84"/>
          <w:spacing w:val="24"/>
        </w:rPr>
        <w:t> </w:t>
      </w:r>
      <w:r>
        <w:rPr>
          <w:color w:val="105C84"/>
        </w:rPr>
        <w:t>still</w:t>
      </w:r>
      <w:r>
        <w:rPr>
          <w:color w:val="105C84"/>
          <w:spacing w:val="24"/>
        </w:rPr>
        <w:t> </w:t>
      </w:r>
      <w:r>
        <w:rPr>
          <w:color w:val="105C84"/>
        </w:rPr>
        <w:t>issues</w:t>
      </w:r>
      <w:r>
        <w:rPr>
          <w:color w:val="105C84"/>
          <w:spacing w:val="24"/>
        </w:rPr>
        <w:t> </w:t>
      </w:r>
      <w:r>
        <w:rPr>
          <w:color w:val="105C84"/>
        </w:rPr>
        <w:t>of</w:t>
      </w:r>
      <w:r>
        <w:rPr>
          <w:color w:val="105C84"/>
          <w:spacing w:val="24"/>
        </w:rPr>
        <w:t> </w:t>
      </w:r>
      <w:r>
        <w:rPr>
          <w:color w:val="105C84"/>
        </w:rPr>
        <w:t>concern</w:t>
      </w:r>
      <w:r>
        <w:rPr>
          <w:color w:val="105C84"/>
          <w:spacing w:val="24"/>
        </w:rPr>
        <w:t> </w:t>
      </w:r>
      <w:r>
        <w:rPr>
          <w:color w:val="105C84"/>
        </w:rPr>
        <w:t>that</w:t>
      </w:r>
      <w:r>
        <w:rPr>
          <w:color w:val="105C84"/>
          <w:spacing w:val="24"/>
        </w:rPr>
        <w:t> </w:t>
      </w:r>
      <w:r>
        <w:rPr>
          <w:color w:val="105C84"/>
        </w:rPr>
        <w:t>may</w:t>
      </w:r>
      <w:r>
        <w:rPr>
          <w:color w:val="105C84"/>
          <w:spacing w:val="24"/>
        </w:rPr>
        <w:t> </w:t>
      </w:r>
      <w:r>
        <w:rPr>
          <w:color w:val="105C84"/>
        </w:rPr>
        <w:t>negatively</w:t>
      </w:r>
      <w:r>
        <w:rPr>
          <w:color w:val="105C84"/>
          <w:spacing w:val="24"/>
        </w:rPr>
        <w:t> </w:t>
      </w:r>
      <w:r>
        <w:rPr>
          <w:color w:val="105C84"/>
        </w:rPr>
        <w:t>impact</w:t>
      </w:r>
      <w:r>
        <w:rPr>
          <w:color w:val="105C84"/>
          <w:spacing w:val="24"/>
        </w:rPr>
        <w:t> </w:t>
      </w:r>
      <w:r>
        <w:rPr>
          <w:color w:val="105C84"/>
        </w:rPr>
        <w:t>opportunities.</w:t>
      </w:r>
      <w:r>
        <w:rPr>
          <w:color w:val="105C84"/>
          <w:spacing w:val="24"/>
        </w:rPr>
        <w:t> </w:t>
      </w:r>
      <w:r>
        <w:rPr>
          <w:color w:val="105C84"/>
        </w:rPr>
        <w:t>For</w:t>
      </w:r>
      <w:r>
        <w:rPr>
          <w:color w:val="105C84"/>
          <w:spacing w:val="24"/>
        </w:rPr>
        <w:t> </w:t>
      </w:r>
      <w:r>
        <w:rPr>
          <w:color w:val="105C84"/>
        </w:rPr>
        <w:t>example,</w:t>
      </w:r>
      <w:r>
        <w:rPr>
          <w:color w:val="105C84"/>
          <w:spacing w:val="24"/>
        </w:rPr>
        <w:t> </w:t>
      </w:r>
      <w:r>
        <w:rPr>
          <w:color w:val="105C84"/>
        </w:rPr>
        <w:t>several</w:t>
      </w:r>
      <w:r>
        <w:rPr>
          <w:color w:val="105C84"/>
          <w:spacing w:val="24"/>
        </w:rPr>
        <w:t> </w:t>
      </w:r>
      <w:r>
        <w:rPr>
          <w:color w:val="105C84"/>
        </w:rPr>
        <w:t>villages</w:t>
      </w:r>
      <w:r>
        <w:rPr>
          <w:color w:val="105C84"/>
        </w:rPr>
        <w:t> in</w:t>
      </w:r>
      <w:r>
        <w:rPr>
          <w:color w:val="105C84"/>
          <w:spacing w:val="27"/>
        </w:rPr>
        <w:t> </w:t>
      </w:r>
      <w:r>
        <w:rPr>
          <w:color w:val="105C84"/>
        </w:rPr>
        <w:t>the</w:t>
      </w:r>
      <w:r>
        <w:rPr>
          <w:color w:val="105C84"/>
          <w:spacing w:val="27"/>
        </w:rPr>
        <w:t> </w:t>
      </w:r>
      <w:r>
        <w:rPr>
          <w:color w:val="105C84"/>
        </w:rPr>
        <w:t>county</w:t>
      </w:r>
      <w:r>
        <w:rPr>
          <w:color w:val="105C84"/>
          <w:spacing w:val="27"/>
        </w:rPr>
        <w:t> </w:t>
      </w:r>
      <w:r>
        <w:rPr>
          <w:color w:val="105C84"/>
        </w:rPr>
        <w:t>have</w:t>
      </w:r>
      <w:r>
        <w:rPr>
          <w:color w:val="105C84"/>
          <w:spacing w:val="27"/>
        </w:rPr>
        <w:t> </w:t>
      </w:r>
      <w:r>
        <w:rPr>
          <w:color w:val="105C84"/>
        </w:rPr>
        <w:t>old,</w:t>
      </w:r>
      <w:r>
        <w:rPr>
          <w:color w:val="105C84"/>
          <w:spacing w:val="27"/>
        </w:rPr>
        <w:t> </w:t>
      </w:r>
      <w:r>
        <w:rPr>
          <w:color w:val="105C84"/>
        </w:rPr>
        <w:t>broken</w:t>
      </w:r>
      <w:r>
        <w:rPr>
          <w:color w:val="105C84"/>
          <w:spacing w:val="27"/>
        </w:rPr>
        <w:t> </w:t>
      </w:r>
      <w:r>
        <w:rPr>
          <w:color w:val="105C84"/>
        </w:rPr>
        <w:t>and</w:t>
      </w:r>
      <w:r>
        <w:rPr>
          <w:color w:val="105C84"/>
          <w:spacing w:val="27"/>
        </w:rPr>
        <w:t> </w:t>
      </w:r>
      <w:r>
        <w:rPr>
          <w:color w:val="105C84"/>
        </w:rPr>
        <w:t>sometimes</w:t>
      </w:r>
      <w:r>
        <w:rPr>
          <w:color w:val="105C84"/>
          <w:spacing w:val="27"/>
        </w:rPr>
        <w:t> </w:t>
      </w:r>
      <w:r>
        <w:rPr>
          <w:color w:val="105C84"/>
        </w:rPr>
        <w:t>non-existent</w:t>
      </w:r>
      <w:r>
        <w:rPr>
          <w:color w:val="105C84"/>
          <w:spacing w:val="27"/>
        </w:rPr>
        <w:t> </w:t>
      </w:r>
      <w:r>
        <w:rPr>
          <w:color w:val="105C84"/>
        </w:rPr>
        <w:t>sidewalks</w:t>
      </w:r>
      <w:r>
        <w:rPr>
          <w:color w:val="105C84"/>
          <w:spacing w:val="27"/>
        </w:rPr>
        <w:t> </w:t>
      </w:r>
      <w:r>
        <w:rPr>
          <w:color w:val="105C84"/>
        </w:rPr>
        <w:t>making</w:t>
      </w:r>
      <w:r>
        <w:rPr>
          <w:color w:val="105C84"/>
          <w:spacing w:val="27"/>
        </w:rPr>
        <w:t> </w:t>
      </w:r>
      <w:r>
        <w:rPr>
          <w:color w:val="105C84"/>
        </w:rPr>
        <w:t>it</w:t>
      </w:r>
      <w:r>
        <w:rPr>
          <w:color w:val="105C84"/>
          <w:spacing w:val="27"/>
        </w:rPr>
        <w:t> </w:t>
      </w:r>
      <w:r>
        <w:rPr>
          <w:color w:val="105C84"/>
        </w:rPr>
        <w:t>difficult</w:t>
      </w:r>
      <w:r>
        <w:rPr>
          <w:color w:val="105C84"/>
          <w:spacing w:val="27"/>
        </w:rPr>
        <w:t> </w:t>
      </w:r>
      <w:r>
        <w:rPr>
          <w:color w:val="105C84"/>
        </w:rPr>
        <w:t>for</w:t>
      </w:r>
      <w:r>
        <w:rPr>
          <w:color w:val="105C84"/>
          <w:spacing w:val="27"/>
        </w:rPr>
        <w:t> </w:t>
      </w:r>
      <w:r>
        <w:rPr>
          <w:color w:val="105C84"/>
        </w:rPr>
        <w:t>some to</w:t>
      </w:r>
      <w:r>
        <w:rPr>
          <w:color w:val="105C84"/>
          <w:spacing w:val="14"/>
        </w:rPr>
        <w:t> </w:t>
      </w:r>
      <w:r>
        <w:rPr>
          <w:color w:val="105C84"/>
        </w:rPr>
        <w:t>use</w:t>
      </w:r>
      <w:r>
        <w:rPr>
          <w:color w:val="105C84"/>
          <w:spacing w:val="14"/>
        </w:rPr>
        <w:t> </w:t>
      </w:r>
      <w:r>
        <w:rPr>
          <w:color w:val="105C84"/>
        </w:rPr>
        <w:t>when</w:t>
      </w:r>
      <w:r>
        <w:rPr>
          <w:color w:val="105C84"/>
          <w:spacing w:val="14"/>
        </w:rPr>
        <w:t> </w:t>
      </w:r>
      <w:r>
        <w:rPr>
          <w:color w:val="105C84"/>
        </w:rPr>
        <w:t>trying</w:t>
      </w:r>
      <w:r>
        <w:rPr>
          <w:color w:val="105C84"/>
          <w:spacing w:val="14"/>
        </w:rPr>
        <w:t> </w:t>
      </w:r>
      <w:r>
        <w:rPr>
          <w:color w:val="105C84"/>
        </w:rPr>
        <w:t>to</w:t>
      </w:r>
      <w:r>
        <w:rPr>
          <w:color w:val="105C84"/>
          <w:spacing w:val="14"/>
        </w:rPr>
        <w:t> </w:t>
      </w:r>
      <w:r>
        <w:rPr>
          <w:color w:val="105C84"/>
        </w:rPr>
        <w:t>walk</w:t>
      </w:r>
      <w:r>
        <w:rPr>
          <w:color w:val="105C84"/>
          <w:spacing w:val="14"/>
        </w:rPr>
        <w:t> </w:t>
      </w:r>
      <w:r>
        <w:rPr>
          <w:color w:val="105C84"/>
        </w:rPr>
        <w:t>in</w:t>
      </w:r>
      <w:r>
        <w:rPr>
          <w:color w:val="105C84"/>
          <w:spacing w:val="14"/>
        </w:rPr>
        <w:t> </w:t>
      </w:r>
      <w:r>
        <w:rPr>
          <w:color w:val="105C84"/>
        </w:rPr>
        <w:t>the</w:t>
      </w:r>
      <w:r>
        <w:rPr>
          <w:color w:val="105C84"/>
          <w:spacing w:val="14"/>
        </w:rPr>
        <w:t> </w:t>
      </w:r>
      <w:r>
        <w:rPr>
          <w:color w:val="105C84"/>
        </w:rPr>
        <w:t>community.</w:t>
      </w:r>
      <w:r>
        <w:rPr>
          <w:color w:val="105C84"/>
          <w:spacing w:val="14"/>
        </w:rPr>
        <w:t> </w:t>
      </w:r>
      <w:r>
        <w:rPr>
          <w:color w:val="105C84"/>
        </w:rPr>
        <w:t>In</w:t>
      </w:r>
      <w:r>
        <w:rPr>
          <w:color w:val="105C84"/>
          <w:spacing w:val="14"/>
        </w:rPr>
        <w:t> </w:t>
      </w:r>
      <w:r>
        <w:rPr>
          <w:color w:val="105C84"/>
        </w:rPr>
        <w:t>addition,</w:t>
      </w:r>
      <w:r>
        <w:rPr>
          <w:color w:val="105C84"/>
          <w:spacing w:val="14"/>
        </w:rPr>
        <w:t> </w:t>
      </w:r>
      <w:r>
        <w:rPr>
          <w:color w:val="105C84"/>
        </w:rPr>
        <w:t>the</w:t>
      </w:r>
      <w:r>
        <w:rPr>
          <w:color w:val="105C84"/>
          <w:spacing w:val="14"/>
        </w:rPr>
        <w:t> </w:t>
      </w:r>
      <w:r>
        <w:rPr>
          <w:color w:val="105C84"/>
        </w:rPr>
        <w:t>public</w:t>
      </w:r>
      <w:r>
        <w:rPr>
          <w:color w:val="105C84"/>
          <w:spacing w:val="14"/>
        </w:rPr>
        <w:t> </w:t>
      </w:r>
      <w:r>
        <w:rPr>
          <w:color w:val="105C84"/>
        </w:rPr>
        <w:t>waterline</w:t>
      </w:r>
      <w:r>
        <w:rPr>
          <w:color w:val="105C84"/>
          <w:spacing w:val="14"/>
        </w:rPr>
        <w:t> </w:t>
      </w:r>
      <w:r>
        <w:rPr>
          <w:color w:val="105C84"/>
        </w:rPr>
        <w:t>infrastructure</w:t>
      </w:r>
      <w:r>
        <w:rPr>
          <w:color w:val="105C84"/>
          <w:spacing w:val="14"/>
        </w:rPr>
        <w:t> </w:t>
      </w:r>
      <w:r>
        <w:rPr>
          <w:color w:val="105C84"/>
        </w:rPr>
        <w:t>in</w:t>
      </w:r>
      <w:r>
        <w:rPr>
          <w:color w:val="105C84"/>
          <w:spacing w:val="14"/>
        </w:rPr>
        <w:t> </w:t>
      </w:r>
      <w:r>
        <w:rPr>
          <w:color w:val="105C84"/>
        </w:rPr>
        <w:t>Penn</w:t>
      </w:r>
    </w:p>
    <w:p>
      <w:pPr>
        <w:pStyle w:val="BodyText"/>
        <w:spacing w:line="247" w:lineRule="auto"/>
        <w:ind w:left="1094" w:right="472"/>
      </w:pPr>
      <w:r>
        <w:rPr>
          <w:color w:val="105C84"/>
        </w:rPr>
        <w:t>Yan contains old pipes, which may be lead-lined and in many cases are breaking apart. This poses a public health issue.</w:t>
      </w:r>
    </w:p>
    <w:p>
      <w:pPr>
        <w:pStyle w:val="BodyText"/>
        <w:spacing w:after="0" w:line="247" w:lineRule="auto"/>
        <w:sectPr>
          <w:type w:val="continuous"/>
          <w:pgSz w:w="24480" w:h="15840" w:orient="landscape"/>
          <w:pgMar w:header="0" w:footer="0" w:top="0" w:bottom="280" w:left="0" w:right="720"/>
          <w:cols w:num="2" w:equalWidth="0">
            <w:col w:w="11118" w:space="1122"/>
            <w:col w:w="11520"/>
          </w:cols>
        </w:sectPr>
      </w:pPr>
    </w:p>
    <w:p>
      <w:pPr>
        <w:pStyle w:val="BodyText"/>
        <w:rPr>
          <w:sz w:val="26"/>
        </w:rPr>
      </w:pPr>
      <w:r>
        <w:rPr>
          <w:sz w:val="26"/>
        </w:rPr>
        <w:drawing>
          <wp:anchor distT="0" distB="0" distL="0" distR="0" allowOverlap="1" layoutInCell="1" locked="0" behindDoc="0" simplePos="0" relativeHeight="15905792">
            <wp:simplePos x="0" y="0"/>
            <wp:positionH relativeFrom="page">
              <wp:posOffset>14981556</wp:posOffset>
            </wp:positionH>
            <wp:positionV relativeFrom="page">
              <wp:posOffset>9668103</wp:posOffset>
            </wp:positionV>
            <wp:extent cx="563245" cy="184683"/>
            <wp:effectExtent l="0" t="0" r="0" b="0"/>
            <wp:wrapNone/>
            <wp:docPr id="1679" name="Image 1679"/>
            <wp:cNvGraphicFramePr>
              <a:graphicFrameLocks/>
            </wp:cNvGraphicFramePr>
            <a:graphic>
              <a:graphicData uri="http://schemas.openxmlformats.org/drawingml/2006/picture">
                <pic:pic>
                  <pic:nvPicPr>
                    <pic:cNvPr id="1679" name="Image 1679"/>
                    <pic:cNvPicPr/>
                  </pic:nvPicPr>
                  <pic:blipFill>
                    <a:blip r:embed="rId38" cstate="print"/>
                    <a:stretch>
                      <a:fillRect/>
                    </a:stretch>
                  </pic:blipFill>
                  <pic:spPr>
                    <a:xfrm>
                      <a:off x="0" y="0"/>
                      <a:ext cx="563245" cy="184683"/>
                    </a:xfrm>
                    <a:prstGeom prst="rect">
                      <a:avLst/>
                    </a:prstGeom>
                  </pic:spPr>
                </pic:pic>
              </a:graphicData>
            </a:graphic>
          </wp:anchor>
        </w:drawing>
      </w:r>
    </w:p>
    <w:p>
      <w:pPr>
        <w:pStyle w:val="BodyText"/>
        <w:spacing w:before="170"/>
        <w:rPr>
          <w:sz w:val="26"/>
        </w:rPr>
      </w:pPr>
    </w:p>
    <w:p>
      <w:pPr>
        <w:tabs>
          <w:tab w:pos="23047" w:val="left" w:leader="none"/>
        </w:tabs>
        <w:spacing w:before="0"/>
        <w:ind w:left="0" w:right="0" w:firstLine="0"/>
        <w:jc w:val="left"/>
        <w:rPr>
          <w:b/>
          <w:sz w:val="26"/>
        </w:rPr>
      </w:pPr>
      <w:r>
        <w:rPr>
          <w:position w:val="-4"/>
        </w:rPr>
        <w:drawing>
          <wp:inline distT="0" distB="0" distL="0" distR="0">
            <wp:extent cx="568172" cy="184683"/>
            <wp:effectExtent l="0" t="0" r="0" b="0"/>
            <wp:docPr id="1680" name="Image 1680"/>
            <wp:cNvGraphicFramePr>
              <a:graphicFrameLocks/>
            </wp:cNvGraphicFramePr>
            <a:graphic>
              <a:graphicData uri="http://schemas.openxmlformats.org/drawingml/2006/picture">
                <pic:pic>
                  <pic:nvPicPr>
                    <pic:cNvPr id="1680" name="Image 1680"/>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13"/>
          <w:sz w:val="20"/>
        </w:rPr>
        <w:t> </w:t>
      </w:r>
      <w:r>
        <w:rPr>
          <w:b/>
          <w:color w:val="939598"/>
          <w:w w:val="105"/>
          <w:sz w:val="26"/>
        </w:rPr>
        <w:t>107</w:t>
      </w:r>
      <w:r>
        <w:rPr>
          <w:b/>
          <w:color w:val="939598"/>
          <w:sz w:val="26"/>
        </w:rPr>
        <w:tab/>
      </w:r>
      <w:r>
        <w:rPr>
          <w:b/>
          <w:color w:val="939598"/>
          <w:spacing w:val="-5"/>
          <w:w w:val="105"/>
          <w:sz w:val="26"/>
        </w:rPr>
        <w:t>108</w:t>
      </w:r>
    </w:p>
    <w:p>
      <w:pPr>
        <w:spacing w:after="0"/>
        <w:jc w:val="left"/>
        <w:rPr>
          <w:b/>
          <w:sz w:val="26"/>
        </w:rPr>
        <w:sectPr>
          <w:type w:val="continuous"/>
          <w:pgSz w:w="24480" w:h="15840" w:orient="landscape"/>
          <w:pgMar w:header="0" w:footer="0" w:top="0" w:bottom="280" w:left="0" w:right="720"/>
        </w:sectPr>
      </w:pPr>
    </w:p>
    <w:p>
      <w:pPr>
        <w:pStyle w:val="BodyText"/>
        <w:rPr>
          <w:b/>
          <w:sz w:val="20"/>
        </w:rPr>
      </w:pPr>
    </w:p>
    <w:p>
      <w:pPr>
        <w:pStyle w:val="BodyText"/>
        <w:spacing w:before="16"/>
        <w:rPr>
          <w:b/>
          <w:sz w:val="20"/>
        </w:rPr>
      </w:pPr>
    </w:p>
    <w:p>
      <w:pPr>
        <w:pStyle w:val="BodyText"/>
        <w:spacing w:after="0"/>
        <w:rPr>
          <w:b/>
          <w:sz w:val="20"/>
        </w:rPr>
        <w:sectPr>
          <w:pgSz w:w="24480" w:h="15840" w:orient="landscape"/>
          <w:pgMar w:header="0" w:footer="0" w:top="860" w:bottom="0" w:left="0" w:right="720"/>
        </w:sectPr>
      </w:pPr>
    </w:p>
    <w:p>
      <w:pPr>
        <w:pStyle w:val="Heading6"/>
        <w:spacing w:before="116"/>
        <w:ind w:left="1085"/>
        <w:jc w:val="both"/>
      </w:pPr>
      <w:r>
        <w:rPr>
          <w:color w:val="105C84"/>
          <w:spacing w:val="-4"/>
        </w:rPr>
        <w:t>Unique Characteristics</w:t>
      </w:r>
      <w:r>
        <w:rPr>
          <w:color w:val="105C84"/>
          <w:spacing w:val="-3"/>
        </w:rPr>
        <w:t> </w:t>
      </w:r>
      <w:r>
        <w:rPr>
          <w:color w:val="105C84"/>
          <w:spacing w:val="-4"/>
        </w:rPr>
        <w:t>Contributing</w:t>
      </w:r>
      <w:r>
        <w:rPr>
          <w:color w:val="105C84"/>
          <w:spacing w:val="-3"/>
        </w:rPr>
        <w:t> </w:t>
      </w:r>
      <w:r>
        <w:rPr>
          <w:color w:val="105C84"/>
          <w:spacing w:val="-4"/>
        </w:rPr>
        <w:t>to Health</w:t>
      </w:r>
      <w:r>
        <w:rPr>
          <w:color w:val="105C84"/>
          <w:spacing w:val="-3"/>
        </w:rPr>
        <w:t> </w:t>
      </w:r>
      <w:r>
        <w:rPr>
          <w:color w:val="105C84"/>
          <w:spacing w:val="-4"/>
        </w:rPr>
        <w:t>Status</w:t>
      </w:r>
    </w:p>
    <w:p>
      <w:pPr>
        <w:pStyle w:val="BodyText"/>
        <w:spacing w:line="247" w:lineRule="auto" w:before="268"/>
        <w:ind w:left="1085" w:right="330"/>
        <w:jc w:val="both"/>
      </w:pPr>
      <w:r>
        <w:rPr>
          <w:color w:val="105C84"/>
        </w:rPr>
        <w:t>The local hospital recently requested discontinuation of inpatient mental health services. This may likely present challenges for some in accessing specialist care that is not located within the county. This is a particular concern given the burden of mental and emotional health challenges expressed by Yates County residents in </w:t>
      </w:r>
      <w:r>
        <w:rPr>
          <w:i/>
          <w:color w:val="105C84"/>
        </w:rPr>
        <w:t>My Health Story 2018 </w:t>
      </w:r>
      <w:r>
        <w:rPr>
          <w:color w:val="105C84"/>
        </w:rPr>
        <w:t>and in other secondary data sources.</w:t>
      </w:r>
    </w:p>
    <w:p>
      <w:pPr>
        <w:pStyle w:val="BodyText"/>
        <w:spacing w:line="247" w:lineRule="auto" w:before="178"/>
        <w:ind w:left="1085" w:right="207"/>
      </w:pPr>
      <w:r>
        <w:rPr>
          <w:color w:val="105C84"/>
        </w:rPr>
        <w:t>To aid in the mental health and substance use epidemic, FLACRA has recently announced the launch of their new Center of Treatment Innovation (COTI). This was created to address the opioid and</w:t>
      </w:r>
      <w:r>
        <w:rPr>
          <w:color w:val="105C84"/>
          <w:spacing w:val="80"/>
          <w:w w:val="150"/>
        </w:rPr>
        <w:t> </w:t>
      </w:r>
      <w:r>
        <w:rPr>
          <w:color w:val="105C84"/>
        </w:rPr>
        <w:t>heroin crisis in Ontario and Yates Counties. COTI will focus on increased access to treatment, unmet treatment needs and reducing overdose related deaths. The no cost services will be available 24/7</w:t>
      </w:r>
      <w:r>
        <w:rPr>
          <w:color w:val="105C84"/>
          <w:spacing w:val="80"/>
        </w:rPr>
        <w:t> </w:t>
      </w:r>
      <w:r>
        <w:rPr>
          <w:color w:val="105C84"/>
        </w:rPr>
        <w:t>and will aid in reducing death due to substance use.</w:t>
      </w:r>
    </w:p>
    <w:p>
      <w:pPr>
        <w:pStyle w:val="BodyText"/>
        <w:spacing w:line="247" w:lineRule="auto" w:before="160"/>
        <w:ind w:left="1085"/>
      </w:pPr>
      <w:r>
        <w:rPr>
          <w:color w:val="105C84"/>
        </w:rPr>
        <w:t>Yates County also has a large percentage of Mennonite families and a growing birth cohort, which presents interesting implications on health related measures in Yates County. As previously discussed, the Amish and Mennonite population practices natural and homeopathic medicine vs. traditional</w:t>
      </w:r>
      <w:r>
        <w:rPr>
          <w:color w:val="105C84"/>
          <w:spacing w:val="80"/>
          <w:w w:val="150"/>
        </w:rPr>
        <w:t> </w:t>
      </w:r>
      <w:r>
        <w:rPr>
          <w:color w:val="105C84"/>
        </w:rPr>
        <w:t>American healthcare. This negatively affects Yates County health indicator data by causing lower reported rates of immunization and lead screening. In addition, the population has many heavy farm</w:t>
      </w:r>
      <w:r>
        <w:rPr>
          <w:color w:val="105C84"/>
          <w:spacing w:val="40"/>
        </w:rPr>
        <w:t> </w:t>
      </w:r>
      <w:r>
        <w:rPr>
          <w:color w:val="105C84"/>
        </w:rPr>
        <w:t>equipment workers and therefore they experience increased farm related injuries compared to the</w:t>
      </w:r>
      <w:r>
        <w:rPr>
          <w:color w:val="105C84"/>
          <w:spacing w:val="40"/>
        </w:rPr>
        <w:t> </w:t>
      </w:r>
      <w:r>
        <w:rPr>
          <w:color w:val="105C84"/>
        </w:rPr>
        <w:t>average resident. This population, however, also positively impacts health data as the Amish and</w:t>
      </w:r>
    </w:p>
    <w:p>
      <w:pPr>
        <w:pStyle w:val="Heading6"/>
        <w:spacing w:before="116"/>
        <w:ind w:left="1085"/>
      </w:pPr>
      <w:r>
        <w:rPr>
          <w:b w:val="0"/>
        </w:rPr>
        <w:br w:type="column"/>
      </w:r>
      <w:r>
        <w:rPr>
          <w:color w:val="105C84"/>
          <w:spacing w:val="-4"/>
        </w:rPr>
        <w:t>Community</w:t>
      </w:r>
      <w:r>
        <w:rPr>
          <w:color w:val="105C84"/>
          <w:spacing w:val="-2"/>
        </w:rPr>
        <w:t> </w:t>
      </w:r>
      <w:r>
        <w:rPr>
          <w:color w:val="105C84"/>
          <w:spacing w:val="-4"/>
        </w:rPr>
        <w:t>Health</w:t>
      </w:r>
      <w:r>
        <w:rPr>
          <w:color w:val="105C84"/>
          <w:spacing w:val="-2"/>
        </w:rPr>
        <w:t> </w:t>
      </w:r>
      <w:r>
        <w:rPr>
          <w:color w:val="105C84"/>
          <w:spacing w:val="-4"/>
        </w:rPr>
        <w:t>Improvement</w:t>
      </w:r>
      <w:r>
        <w:rPr>
          <w:color w:val="105C84"/>
          <w:spacing w:val="-2"/>
        </w:rPr>
        <w:t> </w:t>
      </w:r>
      <w:r>
        <w:rPr>
          <w:color w:val="105C84"/>
          <w:spacing w:val="-4"/>
        </w:rPr>
        <w:t>Plan/Community</w:t>
      </w:r>
      <w:r>
        <w:rPr>
          <w:color w:val="105C84"/>
          <w:spacing w:val="-2"/>
        </w:rPr>
        <w:t> </w:t>
      </w:r>
      <w:r>
        <w:rPr>
          <w:color w:val="105C84"/>
          <w:spacing w:val="-4"/>
        </w:rPr>
        <w:t>Service</w:t>
      </w:r>
      <w:r>
        <w:rPr>
          <w:color w:val="105C84"/>
          <w:spacing w:val="-2"/>
        </w:rPr>
        <w:t> </w:t>
      </w:r>
      <w:r>
        <w:rPr>
          <w:color w:val="105C84"/>
          <w:spacing w:val="-4"/>
        </w:rPr>
        <w:t>Plan</w:t>
      </w:r>
    </w:p>
    <w:p>
      <w:pPr>
        <w:pStyle w:val="BodyText"/>
        <w:spacing w:line="247" w:lineRule="auto" w:before="268"/>
        <w:ind w:left="1085" w:right="459"/>
        <w:rPr>
          <w:b/>
        </w:rPr>
      </w:pPr>
      <w:r>
        <w:rPr>
          <w:color w:val="105C84"/>
        </w:rPr>
        <w:t>As previously discussed in the executive summary, the MAPP process was used to help create the Community Health Assessment and Community Health Improvement Plan. County specific pre-read documents were provided to prioritization meeting attendees and Choose Health Yates (CHY) group</w:t>
      </w:r>
      <w:r>
        <w:rPr>
          <w:color w:val="105C84"/>
          <w:spacing w:val="40"/>
        </w:rPr>
        <w:t> </w:t>
      </w:r>
      <w:r>
        <w:rPr>
          <w:color w:val="105C84"/>
        </w:rPr>
        <w:t>members. These documents included updated data measures for each of the five priority areas outlined in the Prevention Agenda (please see executive summary for more information on pre-read documents). </w:t>
      </w:r>
      <w:r>
        <w:rPr>
          <w:b/>
          <w:color w:val="105C84"/>
        </w:rPr>
        <w:t>A variety of partners were engaged in Yates County’s specific process including:</w:t>
      </w:r>
    </w:p>
    <w:p>
      <w:pPr>
        <w:pStyle w:val="BodyText"/>
        <w:spacing w:before="6"/>
        <w:rPr>
          <w:b/>
          <w:sz w:val="15"/>
        </w:rPr>
      </w:pPr>
      <w:r>
        <w:rPr>
          <w:b/>
          <w:sz w:val="15"/>
        </w:rPr>
        <mc:AlternateContent>
          <mc:Choice Requires="wps">
            <w:drawing>
              <wp:anchor distT="0" distB="0" distL="0" distR="0" allowOverlap="1" layoutInCell="1" locked="0" behindDoc="1" simplePos="0" relativeHeight="487767552">
                <wp:simplePos x="0" y="0"/>
                <wp:positionH relativeFrom="page">
                  <wp:posOffset>8459787</wp:posOffset>
                </wp:positionH>
                <wp:positionV relativeFrom="paragraph">
                  <wp:posOffset>130909</wp:posOffset>
                </wp:positionV>
                <wp:extent cx="6255385" cy="318770"/>
                <wp:effectExtent l="0" t="0" r="0" b="0"/>
                <wp:wrapTopAndBottom/>
                <wp:docPr id="1681" name="Textbox 1681"/>
                <wp:cNvGraphicFramePr>
                  <a:graphicFrameLocks/>
                </wp:cNvGraphicFramePr>
                <a:graphic>
                  <a:graphicData uri="http://schemas.microsoft.com/office/word/2010/wordprocessingShape">
                    <wps:wsp>
                      <wps:cNvPr id="1681" name="Textbox 1681"/>
                      <wps:cNvSpPr txBox="1"/>
                      <wps:spPr>
                        <a:xfrm>
                          <a:off x="0" y="0"/>
                          <a:ext cx="6255385" cy="318770"/>
                        </a:xfrm>
                        <a:prstGeom prst="rect">
                          <a:avLst/>
                        </a:prstGeom>
                        <a:solidFill>
                          <a:srgbClr val="939598"/>
                        </a:solidFill>
                        <a:ln w="3175">
                          <a:solidFill>
                            <a:srgbClr val="636466"/>
                          </a:solidFill>
                          <a:prstDash val="solid"/>
                        </a:ln>
                      </wps:spPr>
                      <wps:txbx>
                        <w:txbxContent>
                          <w:p>
                            <w:pPr>
                              <w:spacing w:before="160"/>
                              <w:ind w:left="2" w:right="0" w:firstLine="0"/>
                              <w:jc w:val="center"/>
                              <w:rPr>
                                <w:b/>
                                <w:color w:val="000000"/>
                                <w:sz w:val="20"/>
                              </w:rPr>
                            </w:pPr>
                            <w:r>
                              <w:rPr>
                                <w:b/>
                                <w:color w:val="FFFFFF"/>
                                <w:sz w:val="20"/>
                              </w:rPr>
                              <w:t>YATES</w:t>
                            </w:r>
                            <w:r>
                              <w:rPr>
                                <w:b/>
                                <w:color w:val="FFFFFF"/>
                                <w:spacing w:val="-5"/>
                                <w:sz w:val="20"/>
                              </w:rPr>
                              <w:t> </w:t>
                            </w:r>
                            <w:r>
                              <w:rPr>
                                <w:b/>
                                <w:color w:val="FFFFFF"/>
                                <w:sz w:val="20"/>
                              </w:rPr>
                              <w:t>COUNTY</w:t>
                            </w:r>
                            <w:r>
                              <w:rPr>
                                <w:b/>
                                <w:color w:val="FFFFFF"/>
                                <w:spacing w:val="-5"/>
                                <w:sz w:val="20"/>
                              </w:rPr>
                              <w:t> </w:t>
                            </w:r>
                            <w:r>
                              <w:rPr>
                                <w:b/>
                                <w:color w:val="FFFFFF"/>
                                <w:sz w:val="20"/>
                              </w:rPr>
                              <w:t>PRIORITIZATION</w:t>
                            </w:r>
                            <w:r>
                              <w:rPr>
                                <w:b/>
                                <w:color w:val="FFFFFF"/>
                                <w:spacing w:val="-5"/>
                                <w:sz w:val="20"/>
                              </w:rPr>
                              <w:t> </w:t>
                            </w:r>
                            <w:r>
                              <w:rPr>
                                <w:b/>
                                <w:color w:val="FFFFFF"/>
                                <w:spacing w:val="-2"/>
                                <w:sz w:val="20"/>
                              </w:rPr>
                              <w:t>AGENCIES</w:t>
                            </w:r>
                          </w:p>
                        </w:txbxContent>
                      </wps:txbx>
                      <wps:bodyPr wrap="square" lIns="0" tIns="0" rIns="0" bIns="0" rtlCol="0">
                        <a:noAutofit/>
                      </wps:bodyPr>
                    </wps:wsp>
                  </a:graphicData>
                </a:graphic>
              </wp:anchor>
            </w:drawing>
          </mc:Choice>
          <mc:Fallback>
            <w:pict>
              <v:shape style="position:absolute;margin-left:666.125pt;margin-top:10.307861pt;width:492.55pt;height:25.1pt;mso-position-horizontal-relative:page;mso-position-vertical-relative:paragraph;z-index:-15548928;mso-wrap-distance-left:0;mso-wrap-distance-right:0" type="#_x0000_t202" id="docshape1338" filled="true" fillcolor="#939598" stroked="true" strokeweight=".25pt" strokecolor="#636466">
                <v:textbox inset="0,0,0,0">
                  <w:txbxContent>
                    <w:p>
                      <w:pPr>
                        <w:spacing w:before="160"/>
                        <w:ind w:left="2" w:right="0" w:firstLine="0"/>
                        <w:jc w:val="center"/>
                        <w:rPr>
                          <w:b/>
                          <w:color w:val="000000"/>
                          <w:sz w:val="20"/>
                        </w:rPr>
                      </w:pPr>
                      <w:r>
                        <w:rPr>
                          <w:b/>
                          <w:color w:val="FFFFFF"/>
                          <w:sz w:val="20"/>
                        </w:rPr>
                        <w:t>YATES</w:t>
                      </w:r>
                      <w:r>
                        <w:rPr>
                          <w:b/>
                          <w:color w:val="FFFFFF"/>
                          <w:spacing w:val="-5"/>
                          <w:sz w:val="20"/>
                        </w:rPr>
                        <w:t> </w:t>
                      </w:r>
                      <w:r>
                        <w:rPr>
                          <w:b/>
                          <w:color w:val="FFFFFF"/>
                          <w:sz w:val="20"/>
                        </w:rPr>
                        <w:t>COUNTY</w:t>
                      </w:r>
                      <w:r>
                        <w:rPr>
                          <w:b/>
                          <w:color w:val="FFFFFF"/>
                          <w:spacing w:val="-5"/>
                          <w:sz w:val="20"/>
                        </w:rPr>
                        <w:t> </w:t>
                      </w:r>
                      <w:r>
                        <w:rPr>
                          <w:b/>
                          <w:color w:val="FFFFFF"/>
                          <w:sz w:val="20"/>
                        </w:rPr>
                        <w:t>PRIORITIZATION</w:t>
                      </w:r>
                      <w:r>
                        <w:rPr>
                          <w:b/>
                          <w:color w:val="FFFFFF"/>
                          <w:spacing w:val="-5"/>
                          <w:sz w:val="20"/>
                        </w:rPr>
                        <w:t> </w:t>
                      </w:r>
                      <w:r>
                        <w:rPr>
                          <w:b/>
                          <w:color w:val="FFFFFF"/>
                          <w:spacing w:val="-2"/>
                          <w:sz w:val="20"/>
                        </w:rPr>
                        <w:t>AGENCIES</w:t>
                      </w:r>
                    </w:p>
                  </w:txbxContent>
                </v:textbox>
                <v:fill type="solid"/>
                <v:stroke dashstyle="solid"/>
                <w10:wrap type="topAndBottom"/>
              </v:shape>
            </w:pict>
          </mc:Fallback>
        </mc:AlternateContent>
      </w:r>
    </w:p>
    <w:p>
      <w:pPr>
        <w:pStyle w:val="BodyText"/>
        <w:tabs>
          <w:tab w:pos="4399" w:val="left" w:leader="none"/>
          <w:tab w:pos="7832" w:val="left" w:leader="none"/>
        </w:tabs>
        <w:spacing w:line="410" w:lineRule="auto" w:before="103"/>
        <w:ind w:left="1168" w:right="951"/>
      </w:pPr>
      <w:r>
        <w:rPr>
          <w:color w:val="105C84"/>
        </w:rPr>
        <w:t>Yates County Public Health</w:t>
        <w:tab/>
        <w:t>S2AY Rural Health Network</w:t>
        <w:tab/>
        <w:t>Common Ground Health Dundee Our Town Rocks</w:t>
        <w:tab/>
        <w:t>Dundee Council of Churches</w:t>
        <w:tab/>
        <w:t>Child</w:t>
      </w:r>
      <w:r>
        <w:rPr>
          <w:color w:val="105C84"/>
          <w:spacing w:val="-16"/>
        </w:rPr>
        <w:t> </w:t>
      </w:r>
      <w:r>
        <w:rPr>
          <w:color w:val="105C84"/>
        </w:rPr>
        <w:t>and</w:t>
      </w:r>
      <w:r>
        <w:rPr>
          <w:color w:val="105C84"/>
          <w:spacing w:val="-15"/>
        </w:rPr>
        <w:t> </w:t>
      </w:r>
      <w:r>
        <w:rPr>
          <w:color w:val="105C84"/>
        </w:rPr>
        <w:t>Family</w:t>
      </w:r>
      <w:r>
        <w:rPr>
          <w:color w:val="105C84"/>
          <w:spacing w:val="-15"/>
        </w:rPr>
        <w:t> </w:t>
      </w:r>
      <w:r>
        <w:rPr>
          <w:color w:val="105C84"/>
        </w:rPr>
        <w:t>Resources Finger Lakes Health</w:t>
        <w:tab/>
        <w:t>Keuka College</w:t>
        <w:tab/>
        <w:t>Yates County Legislature</w:t>
      </w:r>
    </w:p>
    <w:p>
      <w:pPr>
        <w:pStyle w:val="BodyText"/>
        <w:tabs>
          <w:tab w:pos="4399" w:val="left" w:leader="none"/>
          <w:tab w:pos="7832" w:val="left" w:leader="none"/>
        </w:tabs>
        <w:spacing w:line="349" w:lineRule="exact"/>
        <w:ind w:left="1168"/>
      </w:pPr>
      <w:r>
        <w:rPr/>
        <mc:AlternateContent>
          <mc:Choice Requires="wps">
            <w:drawing>
              <wp:anchor distT="0" distB="0" distL="0" distR="0" allowOverlap="1" layoutInCell="1" locked="0" behindDoc="0" simplePos="0" relativeHeight="15911936">
                <wp:simplePos x="0" y="0"/>
                <wp:positionH relativeFrom="page">
                  <wp:posOffset>10512022</wp:posOffset>
                </wp:positionH>
                <wp:positionV relativeFrom="paragraph">
                  <wp:posOffset>-615175</wp:posOffset>
                </wp:positionV>
                <wp:extent cx="1979295" cy="1270"/>
                <wp:effectExtent l="0" t="0" r="0" b="0"/>
                <wp:wrapNone/>
                <wp:docPr id="1682" name="Graphic 1682"/>
                <wp:cNvGraphicFramePr>
                  <a:graphicFrameLocks/>
                </wp:cNvGraphicFramePr>
                <a:graphic>
                  <a:graphicData uri="http://schemas.microsoft.com/office/word/2010/wordprocessingShape">
                    <wps:wsp>
                      <wps:cNvPr id="1682" name="Graphic 1682"/>
                      <wps:cNvSpPr/>
                      <wps:spPr>
                        <a:xfrm>
                          <a:off x="0" y="0"/>
                          <a:ext cx="1979295" cy="1270"/>
                        </a:xfrm>
                        <a:custGeom>
                          <a:avLst/>
                          <a:gdLst/>
                          <a:ahLst/>
                          <a:cxnLst/>
                          <a:rect l="l" t="t" r="r" b="b"/>
                          <a:pathLst>
                            <a:path w="1979295" h="0">
                              <a:moveTo>
                                <a:pt x="0" y="0"/>
                              </a:moveTo>
                              <a:lnTo>
                                <a:pt x="1978685" y="0"/>
                              </a:lnTo>
                            </a:path>
                          </a:pathLst>
                        </a:custGeom>
                        <a:ln w="3175">
                          <a:solidFill>
                            <a:srgbClr val="63646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11936" from="827.718323pt,-48.438988pt" to="983.520323pt,-48.438988pt" stroked="true" strokeweight=".25pt" strokecolor="#636466">
                <v:stroke dashstyle="solid"/>
                <w10:wrap type="none"/>
              </v:line>
            </w:pict>
          </mc:Fallback>
        </mc:AlternateContent>
      </w:r>
      <w:r>
        <w:rPr/>
        <mc:AlternateContent>
          <mc:Choice Requires="wps">
            <w:drawing>
              <wp:anchor distT="0" distB="0" distL="0" distR="0" allowOverlap="1" layoutInCell="1" locked="0" behindDoc="0" simplePos="0" relativeHeight="15912448">
                <wp:simplePos x="0" y="0"/>
                <wp:positionH relativeFrom="page">
                  <wp:posOffset>10512022</wp:posOffset>
                </wp:positionH>
                <wp:positionV relativeFrom="paragraph">
                  <wp:posOffset>-340855</wp:posOffset>
                </wp:positionV>
                <wp:extent cx="1979295" cy="1270"/>
                <wp:effectExtent l="0" t="0" r="0" b="0"/>
                <wp:wrapNone/>
                <wp:docPr id="1683" name="Graphic 1683"/>
                <wp:cNvGraphicFramePr>
                  <a:graphicFrameLocks/>
                </wp:cNvGraphicFramePr>
                <a:graphic>
                  <a:graphicData uri="http://schemas.microsoft.com/office/word/2010/wordprocessingShape">
                    <wps:wsp>
                      <wps:cNvPr id="1683" name="Graphic 1683"/>
                      <wps:cNvSpPr/>
                      <wps:spPr>
                        <a:xfrm>
                          <a:off x="0" y="0"/>
                          <a:ext cx="1979295" cy="1270"/>
                        </a:xfrm>
                        <a:custGeom>
                          <a:avLst/>
                          <a:gdLst/>
                          <a:ahLst/>
                          <a:cxnLst/>
                          <a:rect l="l" t="t" r="r" b="b"/>
                          <a:pathLst>
                            <a:path w="1979295" h="0">
                              <a:moveTo>
                                <a:pt x="0" y="0"/>
                              </a:moveTo>
                              <a:lnTo>
                                <a:pt x="1978685" y="0"/>
                              </a:lnTo>
                            </a:path>
                          </a:pathLst>
                        </a:custGeom>
                        <a:ln w="3175">
                          <a:solidFill>
                            <a:srgbClr val="63646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12448" from="827.718323pt,-26.838989pt" to="983.520323pt,-26.838989pt" stroked="true" strokeweight=".25pt" strokecolor="#636466">
                <v:stroke dashstyle="solid"/>
                <w10:wrap type="none"/>
              </v:line>
            </w:pict>
          </mc:Fallback>
        </mc:AlternateContent>
      </w:r>
      <w:r>
        <w:rPr/>
        <mc:AlternateContent>
          <mc:Choice Requires="wps">
            <w:drawing>
              <wp:anchor distT="0" distB="0" distL="0" distR="0" allowOverlap="1" layoutInCell="1" locked="0" behindDoc="0" simplePos="0" relativeHeight="15912960">
                <wp:simplePos x="0" y="0"/>
                <wp:positionH relativeFrom="page">
                  <wp:posOffset>10512022</wp:posOffset>
                </wp:positionH>
                <wp:positionV relativeFrom="paragraph">
                  <wp:posOffset>-66535</wp:posOffset>
                </wp:positionV>
                <wp:extent cx="1979295" cy="1270"/>
                <wp:effectExtent l="0" t="0" r="0" b="0"/>
                <wp:wrapNone/>
                <wp:docPr id="1684" name="Graphic 1684"/>
                <wp:cNvGraphicFramePr>
                  <a:graphicFrameLocks/>
                </wp:cNvGraphicFramePr>
                <a:graphic>
                  <a:graphicData uri="http://schemas.microsoft.com/office/word/2010/wordprocessingShape">
                    <wps:wsp>
                      <wps:cNvPr id="1684" name="Graphic 1684"/>
                      <wps:cNvSpPr/>
                      <wps:spPr>
                        <a:xfrm>
                          <a:off x="0" y="0"/>
                          <a:ext cx="1979295" cy="1270"/>
                        </a:xfrm>
                        <a:custGeom>
                          <a:avLst/>
                          <a:gdLst/>
                          <a:ahLst/>
                          <a:cxnLst/>
                          <a:rect l="l" t="t" r="r" b="b"/>
                          <a:pathLst>
                            <a:path w="1979295" h="0">
                              <a:moveTo>
                                <a:pt x="0" y="0"/>
                              </a:moveTo>
                              <a:lnTo>
                                <a:pt x="1978685" y="0"/>
                              </a:lnTo>
                            </a:path>
                          </a:pathLst>
                        </a:custGeom>
                        <a:ln w="3175">
                          <a:solidFill>
                            <a:srgbClr val="63646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12960" from="827.718323pt,-5.238989pt" to="983.520323pt,-5.238989pt" stroked="true" strokeweight=".25pt" strokecolor="#636466">
                <v:stroke dashstyle="solid"/>
                <w10:wrap type="none"/>
              </v:line>
            </w:pict>
          </mc:Fallback>
        </mc:AlternateContent>
      </w:r>
      <w:r>
        <w:rPr/>
        <mc:AlternateContent>
          <mc:Choice Requires="wps">
            <w:drawing>
              <wp:anchor distT="0" distB="0" distL="0" distR="0" allowOverlap="1" layoutInCell="1" locked="0" behindDoc="0" simplePos="0" relativeHeight="15913984">
                <wp:simplePos x="0" y="0"/>
                <wp:positionH relativeFrom="page">
                  <wp:posOffset>8459787</wp:posOffset>
                </wp:positionH>
                <wp:positionV relativeFrom="paragraph">
                  <wp:posOffset>-615175</wp:posOffset>
                </wp:positionV>
                <wp:extent cx="1854835" cy="1270"/>
                <wp:effectExtent l="0" t="0" r="0" b="0"/>
                <wp:wrapNone/>
                <wp:docPr id="1685" name="Graphic 1685"/>
                <wp:cNvGraphicFramePr>
                  <a:graphicFrameLocks/>
                </wp:cNvGraphicFramePr>
                <a:graphic>
                  <a:graphicData uri="http://schemas.microsoft.com/office/word/2010/wordprocessingShape">
                    <wps:wsp>
                      <wps:cNvPr id="1685" name="Graphic 1685"/>
                      <wps:cNvSpPr/>
                      <wps:spPr>
                        <a:xfrm>
                          <a:off x="0" y="0"/>
                          <a:ext cx="1854835" cy="1270"/>
                        </a:xfrm>
                        <a:custGeom>
                          <a:avLst/>
                          <a:gdLst/>
                          <a:ahLst/>
                          <a:cxnLst/>
                          <a:rect l="l" t="t" r="r" b="b"/>
                          <a:pathLst>
                            <a:path w="1854835" h="0">
                              <a:moveTo>
                                <a:pt x="0" y="0"/>
                              </a:moveTo>
                              <a:lnTo>
                                <a:pt x="1854644" y="0"/>
                              </a:lnTo>
                            </a:path>
                          </a:pathLst>
                        </a:custGeom>
                        <a:ln w="3175">
                          <a:solidFill>
                            <a:srgbClr val="63646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13984" from="666.125pt,-48.438988pt" to="812.16pt,-48.438988pt" stroked="true" strokeweight=".25pt" strokecolor="#636466">
                <v:stroke dashstyle="solid"/>
                <w10:wrap type="none"/>
              </v:line>
            </w:pict>
          </mc:Fallback>
        </mc:AlternateContent>
      </w:r>
      <w:r>
        <w:rPr/>
        <mc:AlternateContent>
          <mc:Choice Requires="wps">
            <w:drawing>
              <wp:anchor distT="0" distB="0" distL="0" distR="0" allowOverlap="1" layoutInCell="1" locked="0" behindDoc="0" simplePos="0" relativeHeight="15914496">
                <wp:simplePos x="0" y="0"/>
                <wp:positionH relativeFrom="page">
                  <wp:posOffset>12691871</wp:posOffset>
                </wp:positionH>
                <wp:positionV relativeFrom="paragraph">
                  <wp:posOffset>-615175</wp:posOffset>
                </wp:positionV>
                <wp:extent cx="2023110" cy="1270"/>
                <wp:effectExtent l="0" t="0" r="0" b="0"/>
                <wp:wrapNone/>
                <wp:docPr id="1686" name="Graphic 1686"/>
                <wp:cNvGraphicFramePr>
                  <a:graphicFrameLocks/>
                </wp:cNvGraphicFramePr>
                <a:graphic>
                  <a:graphicData uri="http://schemas.microsoft.com/office/word/2010/wordprocessingShape">
                    <wps:wsp>
                      <wps:cNvPr id="1686" name="Graphic 1686"/>
                      <wps:cNvSpPr/>
                      <wps:spPr>
                        <a:xfrm>
                          <a:off x="0" y="0"/>
                          <a:ext cx="2023110" cy="1270"/>
                        </a:xfrm>
                        <a:custGeom>
                          <a:avLst/>
                          <a:gdLst/>
                          <a:ahLst/>
                          <a:cxnLst/>
                          <a:rect l="l" t="t" r="r" b="b"/>
                          <a:pathLst>
                            <a:path w="2023110" h="0">
                              <a:moveTo>
                                <a:pt x="0" y="0"/>
                              </a:moveTo>
                              <a:lnTo>
                                <a:pt x="2022817" y="0"/>
                              </a:lnTo>
                            </a:path>
                          </a:pathLst>
                        </a:custGeom>
                        <a:ln w="3175">
                          <a:solidFill>
                            <a:srgbClr val="63646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14496" from="999.359985pt,-48.438988pt" to="1158.636985pt,-48.438988pt" stroked="true" strokeweight=".25pt" strokecolor="#636466">
                <v:stroke dashstyle="solid"/>
                <w10:wrap type="none"/>
              </v:line>
            </w:pict>
          </mc:Fallback>
        </mc:AlternateContent>
      </w:r>
      <w:r>
        <w:rPr/>
        <mc:AlternateContent>
          <mc:Choice Requires="wps">
            <w:drawing>
              <wp:anchor distT="0" distB="0" distL="0" distR="0" allowOverlap="1" layoutInCell="1" locked="0" behindDoc="0" simplePos="0" relativeHeight="15915008">
                <wp:simplePos x="0" y="0"/>
                <wp:positionH relativeFrom="page">
                  <wp:posOffset>8459787</wp:posOffset>
                </wp:positionH>
                <wp:positionV relativeFrom="paragraph">
                  <wp:posOffset>-340855</wp:posOffset>
                </wp:positionV>
                <wp:extent cx="1854835" cy="1270"/>
                <wp:effectExtent l="0" t="0" r="0" b="0"/>
                <wp:wrapNone/>
                <wp:docPr id="1687" name="Graphic 1687"/>
                <wp:cNvGraphicFramePr>
                  <a:graphicFrameLocks/>
                </wp:cNvGraphicFramePr>
                <a:graphic>
                  <a:graphicData uri="http://schemas.microsoft.com/office/word/2010/wordprocessingShape">
                    <wps:wsp>
                      <wps:cNvPr id="1687" name="Graphic 1687"/>
                      <wps:cNvSpPr/>
                      <wps:spPr>
                        <a:xfrm>
                          <a:off x="0" y="0"/>
                          <a:ext cx="1854835" cy="1270"/>
                        </a:xfrm>
                        <a:custGeom>
                          <a:avLst/>
                          <a:gdLst/>
                          <a:ahLst/>
                          <a:cxnLst/>
                          <a:rect l="l" t="t" r="r" b="b"/>
                          <a:pathLst>
                            <a:path w="1854835" h="0">
                              <a:moveTo>
                                <a:pt x="0" y="0"/>
                              </a:moveTo>
                              <a:lnTo>
                                <a:pt x="1854644" y="0"/>
                              </a:lnTo>
                            </a:path>
                          </a:pathLst>
                        </a:custGeom>
                        <a:ln w="3175">
                          <a:solidFill>
                            <a:srgbClr val="63646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15008" from="666.125pt,-26.838989pt" to="812.16pt,-26.838989pt" stroked="true" strokeweight=".25pt" strokecolor="#636466">
                <v:stroke dashstyle="solid"/>
                <w10:wrap type="none"/>
              </v:line>
            </w:pict>
          </mc:Fallback>
        </mc:AlternateContent>
      </w:r>
      <w:r>
        <w:rPr/>
        <mc:AlternateContent>
          <mc:Choice Requires="wps">
            <w:drawing>
              <wp:anchor distT="0" distB="0" distL="0" distR="0" allowOverlap="1" layoutInCell="1" locked="0" behindDoc="0" simplePos="0" relativeHeight="15915520">
                <wp:simplePos x="0" y="0"/>
                <wp:positionH relativeFrom="page">
                  <wp:posOffset>12691871</wp:posOffset>
                </wp:positionH>
                <wp:positionV relativeFrom="paragraph">
                  <wp:posOffset>-340855</wp:posOffset>
                </wp:positionV>
                <wp:extent cx="2023110" cy="1270"/>
                <wp:effectExtent l="0" t="0" r="0" b="0"/>
                <wp:wrapNone/>
                <wp:docPr id="1688" name="Graphic 1688"/>
                <wp:cNvGraphicFramePr>
                  <a:graphicFrameLocks/>
                </wp:cNvGraphicFramePr>
                <a:graphic>
                  <a:graphicData uri="http://schemas.microsoft.com/office/word/2010/wordprocessingShape">
                    <wps:wsp>
                      <wps:cNvPr id="1688" name="Graphic 1688"/>
                      <wps:cNvSpPr/>
                      <wps:spPr>
                        <a:xfrm>
                          <a:off x="0" y="0"/>
                          <a:ext cx="2023110" cy="1270"/>
                        </a:xfrm>
                        <a:custGeom>
                          <a:avLst/>
                          <a:gdLst/>
                          <a:ahLst/>
                          <a:cxnLst/>
                          <a:rect l="l" t="t" r="r" b="b"/>
                          <a:pathLst>
                            <a:path w="2023110" h="0">
                              <a:moveTo>
                                <a:pt x="0" y="0"/>
                              </a:moveTo>
                              <a:lnTo>
                                <a:pt x="2022817" y="0"/>
                              </a:lnTo>
                            </a:path>
                          </a:pathLst>
                        </a:custGeom>
                        <a:ln w="3175">
                          <a:solidFill>
                            <a:srgbClr val="63646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15520" from="999.359985pt,-26.838989pt" to="1158.636985pt,-26.838989pt" stroked="true" strokeweight=".25pt" strokecolor="#636466">
                <v:stroke dashstyle="solid"/>
                <w10:wrap type="none"/>
              </v:line>
            </w:pict>
          </mc:Fallback>
        </mc:AlternateContent>
      </w:r>
      <w:r>
        <w:rPr/>
        <mc:AlternateContent>
          <mc:Choice Requires="wps">
            <w:drawing>
              <wp:anchor distT="0" distB="0" distL="0" distR="0" allowOverlap="1" layoutInCell="1" locked="0" behindDoc="0" simplePos="0" relativeHeight="15916032">
                <wp:simplePos x="0" y="0"/>
                <wp:positionH relativeFrom="page">
                  <wp:posOffset>8459787</wp:posOffset>
                </wp:positionH>
                <wp:positionV relativeFrom="paragraph">
                  <wp:posOffset>-66535</wp:posOffset>
                </wp:positionV>
                <wp:extent cx="1854835" cy="1270"/>
                <wp:effectExtent l="0" t="0" r="0" b="0"/>
                <wp:wrapNone/>
                <wp:docPr id="1689" name="Graphic 1689"/>
                <wp:cNvGraphicFramePr>
                  <a:graphicFrameLocks/>
                </wp:cNvGraphicFramePr>
                <a:graphic>
                  <a:graphicData uri="http://schemas.microsoft.com/office/word/2010/wordprocessingShape">
                    <wps:wsp>
                      <wps:cNvPr id="1689" name="Graphic 1689"/>
                      <wps:cNvSpPr/>
                      <wps:spPr>
                        <a:xfrm>
                          <a:off x="0" y="0"/>
                          <a:ext cx="1854835" cy="1270"/>
                        </a:xfrm>
                        <a:custGeom>
                          <a:avLst/>
                          <a:gdLst/>
                          <a:ahLst/>
                          <a:cxnLst/>
                          <a:rect l="l" t="t" r="r" b="b"/>
                          <a:pathLst>
                            <a:path w="1854835" h="0">
                              <a:moveTo>
                                <a:pt x="0" y="0"/>
                              </a:moveTo>
                              <a:lnTo>
                                <a:pt x="1854644" y="0"/>
                              </a:lnTo>
                            </a:path>
                          </a:pathLst>
                        </a:custGeom>
                        <a:ln w="3175">
                          <a:solidFill>
                            <a:srgbClr val="63646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16032" from="666.125pt,-5.238989pt" to="812.16pt,-5.238989pt" stroked="true" strokeweight=".25pt" strokecolor="#636466">
                <v:stroke dashstyle="solid"/>
                <w10:wrap type="none"/>
              </v:line>
            </w:pict>
          </mc:Fallback>
        </mc:AlternateContent>
      </w:r>
      <w:r>
        <w:rPr/>
        <mc:AlternateContent>
          <mc:Choice Requires="wps">
            <w:drawing>
              <wp:anchor distT="0" distB="0" distL="0" distR="0" allowOverlap="1" layoutInCell="1" locked="0" behindDoc="0" simplePos="0" relativeHeight="15916544">
                <wp:simplePos x="0" y="0"/>
                <wp:positionH relativeFrom="page">
                  <wp:posOffset>12691871</wp:posOffset>
                </wp:positionH>
                <wp:positionV relativeFrom="paragraph">
                  <wp:posOffset>-66535</wp:posOffset>
                </wp:positionV>
                <wp:extent cx="2023110" cy="1270"/>
                <wp:effectExtent l="0" t="0" r="0" b="0"/>
                <wp:wrapNone/>
                <wp:docPr id="1690" name="Graphic 1690"/>
                <wp:cNvGraphicFramePr>
                  <a:graphicFrameLocks/>
                </wp:cNvGraphicFramePr>
                <a:graphic>
                  <a:graphicData uri="http://schemas.microsoft.com/office/word/2010/wordprocessingShape">
                    <wps:wsp>
                      <wps:cNvPr id="1690" name="Graphic 1690"/>
                      <wps:cNvSpPr/>
                      <wps:spPr>
                        <a:xfrm>
                          <a:off x="0" y="0"/>
                          <a:ext cx="2023110" cy="1270"/>
                        </a:xfrm>
                        <a:custGeom>
                          <a:avLst/>
                          <a:gdLst/>
                          <a:ahLst/>
                          <a:cxnLst/>
                          <a:rect l="l" t="t" r="r" b="b"/>
                          <a:pathLst>
                            <a:path w="2023110" h="0">
                              <a:moveTo>
                                <a:pt x="0" y="0"/>
                              </a:moveTo>
                              <a:lnTo>
                                <a:pt x="2022817" y="0"/>
                              </a:lnTo>
                            </a:path>
                          </a:pathLst>
                        </a:custGeom>
                        <a:ln w="3175">
                          <a:solidFill>
                            <a:srgbClr val="63646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16544" from="999.359985pt,-5.238989pt" to="1158.636985pt,-5.238989pt" stroked="true" strokeweight=".25pt" strokecolor="#636466">
                <v:stroke dashstyle="solid"/>
                <w10:wrap type="none"/>
              </v:line>
            </w:pict>
          </mc:Fallback>
        </mc:AlternateContent>
      </w:r>
      <w:r>
        <w:rPr/>
        <mc:AlternateContent>
          <mc:Choice Requires="wps">
            <w:drawing>
              <wp:anchor distT="0" distB="0" distL="0" distR="0" allowOverlap="1" layoutInCell="1" locked="0" behindDoc="1" simplePos="0" relativeHeight="475143680">
                <wp:simplePos x="0" y="0"/>
                <wp:positionH relativeFrom="page">
                  <wp:posOffset>8459787</wp:posOffset>
                </wp:positionH>
                <wp:positionV relativeFrom="paragraph">
                  <wp:posOffset>135229</wp:posOffset>
                </wp:positionV>
                <wp:extent cx="1854835" cy="191135"/>
                <wp:effectExtent l="0" t="0" r="0" b="0"/>
                <wp:wrapNone/>
                <wp:docPr id="1691" name="Textbox 1691"/>
                <wp:cNvGraphicFramePr>
                  <a:graphicFrameLocks/>
                </wp:cNvGraphicFramePr>
                <a:graphic>
                  <a:graphicData uri="http://schemas.microsoft.com/office/word/2010/wordprocessingShape">
                    <wps:wsp>
                      <wps:cNvPr id="1691" name="Textbox 1691"/>
                      <wps:cNvSpPr txBox="1"/>
                      <wps:spPr>
                        <a:xfrm>
                          <a:off x="0" y="0"/>
                          <a:ext cx="1854835" cy="191135"/>
                        </a:xfrm>
                        <a:prstGeom prst="rect">
                          <a:avLst/>
                        </a:prstGeom>
                      </wps:spPr>
                      <wps:txbx>
                        <w:txbxContent>
                          <w:p>
                            <w:pPr>
                              <w:pStyle w:val="BodyText"/>
                              <w:tabs>
                                <w:tab w:pos="2920" w:val="left" w:leader="none"/>
                              </w:tabs>
                              <w:spacing w:before="13"/>
                            </w:pPr>
                            <w:r>
                              <w:rPr>
                                <w:color w:val="105C84"/>
                                <w:spacing w:val="27"/>
                                <w:u w:val="single" w:color="636466"/>
                              </w:rPr>
                              <w:t> </w:t>
                            </w:r>
                            <w:r>
                              <w:rPr>
                                <w:color w:val="105C84"/>
                                <w:u w:val="single" w:color="636466"/>
                              </w:rPr>
                              <w:t>of</w:t>
                            </w:r>
                            <w:r>
                              <w:rPr>
                                <w:color w:val="105C84"/>
                                <w:spacing w:val="8"/>
                                <w:u w:val="single" w:color="636466"/>
                              </w:rPr>
                              <w:t> </w:t>
                            </w:r>
                            <w:r>
                              <w:rPr>
                                <w:color w:val="105C84"/>
                                <w:u w:val="single" w:color="636466"/>
                              </w:rPr>
                              <w:t>the</w:t>
                            </w:r>
                            <w:r>
                              <w:rPr>
                                <w:color w:val="105C84"/>
                                <w:spacing w:val="9"/>
                                <w:u w:val="single" w:color="636466"/>
                              </w:rPr>
                              <w:t> </w:t>
                            </w:r>
                            <w:r>
                              <w:rPr>
                                <w:color w:val="105C84"/>
                                <w:u w:val="single" w:color="636466"/>
                              </w:rPr>
                              <w:t>Finger</w:t>
                            </w:r>
                            <w:r>
                              <w:rPr>
                                <w:color w:val="105C84"/>
                                <w:spacing w:val="7"/>
                                <w:u w:val="single" w:color="636466"/>
                              </w:rPr>
                              <w:t> </w:t>
                            </w:r>
                            <w:r>
                              <w:rPr>
                                <w:color w:val="105C84"/>
                                <w:spacing w:val="-2"/>
                                <w:u w:val="single" w:color="636466"/>
                              </w:rPr>
                              <w:t>Lakes</w:t>
                            </w:r>
                            <w:r>
                              <w:rPr>
                                <w:color w:val="105C84"/>
                                <w:u w:val="single" w:color="636466"/>
                              </w:rPr>
                              <w:tab/>
                            </w:r>
                          </w:p>
                        </w:txbxContent>
                      </wps:txbx>
                      <wps:bodyPr wrap="square" lIns="0" tIns="0" rIns="0" bIns="0" rtlCol="0">
                        <a:noAutofit/>
                      </wps:bodyPr>
                    </wps:wsp>
                  </a:graphicData>
                </a:graphic>
              </wp:anchor>
            </w:drawing>
          </mc:Choice>
          <mc:Fallback>
            <w:pict>
              <v:shape style="position:absolute;margin-left:666.125pt;margin-top:10.648011pt;width:146.050pt;height:15.05pt;mso-position-horizontal-relative:page;mso-position-vertical-relative:paragraph;z-index:-28172800" type="#_x0000_t202" id="docshape1339" filled="false" stroked="false">
                <v:textbox inset="0,0,0,0">
                  <w:txbxContent>
                    <w:p>
                      <w:pPr>
                        <w:pStyle w:val="BodyText"/>
                        <w:tabs>
                          <w:tab w:pos="2920" w:val="left" w:leader="none"/>
                        </w:tabs>
                        <w:spacing w:before="13"/>
                      </w:pPr>
                      <w:r>
                        <w:rPr>
                          <w:color w:val="105C84"/>
                          <w:spacing w:val="27"/>
                          <w:u w:val="single" w:color="636466"/>
                        </w:rPr>
                        <w:t> </w:t>
                      </w:r>
                      <w:r>
                        <w:rPr>
                          <w:color w:val="105C84"/>
                          <w:u w:val="single" w:color="636466"/>
                        </w:rPr>
                        <w:t>of</w:t>
                      </w:r>
                      <w:r>
                        <w:rPr>
                          <w:color w:val="105C84"/>
                          <w:spacing w:val="8"/>
                          <w:u w:val="single" w:color="636466"/>
                        </w:rPr>
                        <w:t> </w:t>
                      </w:r>
                      <w:r>
                        <w:rPr>
                          <w:color w:val="105C84"/>
                          <w:u w:val="single" w:color="636466"/>
                        </w:rPr>
                        <w:t>the</w:t>
                      </w:r>
                      <w:r>
                        <w:rPr>
                          <w:color w:val="105C84"/>
                          <w:spacing w:val="9"/>
                          <w:u w:val="single" w:color="636466"/>
                        </w:rPr>
                        <w:t> </w:t>
                      </w:r>
                      <w:r>
                        <w:rPr>
                          <w:color w:val="105C84"/>
                          <w:u w:val="single" w:color="636466"/>
                        </w:rPr>
                        <w:t>Finger</w:t>
                      </w:r>
                      <w:r>
                        <w:rPr>
                          <w:color w:val="105C84"/>
                          <w:spacing w:val="7"/>
                          <w:u w:val="single" w:color="636466"/>
                        </w:rPr>
                        <w:t> </w:t>
                      </w:r>
                      <w:r>
                        <w:rPr>
                          <w:color w:val="105C84"/>
                          <w:spacing w:val="-2"/>
                          <w:u w:val="single" w:color="636466"/>
                        </w:rPr>
                        <w:t>Lakes</w:t>
                      </w:r>
                      <w:r>
                        <w:rPr>
                          <w:color w:val="105C84"/>
                          <w:u w:val="single" w:color="636466"/>
                        </w:rPr>
                        <w:tab/>
                      </w:r>
                    </w:p>
                  </w:txbxContent>
                </v:textbox>
                <w10:wrap type="none"/>
              </v:shape>
            </w:pict>
          </mc:Fallback>
        </mc:AlternateContent>
      </w:r>
      <w:r>
        <w:rPr>
          <w:color w:val="105C84"/>
          <w:position w:val="13"/>
        </w:rPr>
        <w:t>Tobacco</w:t>
      </w:r>
      <w:r>
        <w:rPr>
          <w:color w:val="105C84"/>
          <w:spacing w:val="8"/>
          <w:position w:val="13"/>
        </w:rPr>
        <w:t> </w:t>
      </w:r>
      <w:r>
        <w:rPr>
          <w:color w:val="105C84"/>
          <w:position w:val="13"/>
        </w:rPr>
        <w:t>Action</w:t>
      </w:r>
      <w:r>
        <w:rPr>
          <w:color w:val="105C84"/>
          <w:spacing w:val="8"/>
          <w:position w:val="13"/>
        </w:rPr>
        <w:t> </w:t>
      </w:r>
      <w:r>
        <w:rPr>
          <w:color w:val="105C84"/>
          <w:spacing w:val="-2"/>
          <w:position w:val="13"/>
        </w:rPr>
        <w:t>Coalition</w:t>
      </w:r>
      <w:r>
        <w:rPr>
          <w:color w:val="105C84"/>
          <w:position w:val="13"/>
        </w:rPr>
        <w:tab/>
      </w:r>
      <w:r>
        <w:rPr>
          <w:color w:val="105C84"/>
        </w:rPr>
        <w:t>The</w:t>
      </w:r>
      <w:r>
        <w:rPr>
          <w:color w:val="105C84"/>
          <w:spacing w:val="-2"/>
        </w:rPr>
        <w:t> </w:t>
      </w:r>
      <w:r>
        <w:rPr>
          <w:color w:val="105C84"/>
        </w:rPr>
        <w:t>Living</w:t>
      </w:r>
      <w:r>
        <w:rPr>
          <w:color w:val="105C84"/>
          <w:spacing w:val="-2"/>
        </w:rPr>
        <w:t> </w:t>
      </w:r>
      <w:r>
        <w:rPr>
          <w:color w:val="105C84"/>
          <w:spacing w:val="-4"/>
        </w:rPr>
        <w:t>Well</w:t>
      </w:r>
      <w:r>
        <w:rPr>
          <w:color w:val="105C84"/>
        </w:rPr>
        <w:tab/>
      </w:r>
      <w:r>
        <w:rPr>
          <w:color w:val="105C84"/>
          <w:spacing w:val="-2"/>
        </w:rPr>
        <w:t>Yates</w:t>
      </w:r>
      <w:r>
        <w:rPr>
          <w:color w:val="105C84"/>
          <w:spacing w:val="-7"/>
        </w:rPr>
        <w:t> </w:t>
      </w:r>
      <w:r>
        <w:rPr>
          <w:color w:val="105C84"/>
          <w:spacing w:val="-2"/>
        </w:rPr>
        <w:t>County</w:t>
      </w:r>
      <w:r>
        <w:rPr>
          <w:color w:val="105C84"/>
          <w:spacing w:val="-7"/>
        </w:rPr>
        <w:t> </w:t>
      </w:r>
      <w:r>
        <w:rPr>
          <w:color w:val="105C84"/>
          <w:spacing w:val="-2"/>
        </w:rPr>
        <w:t>Sheriff’s</w:t>
      </w:r>
      <w:r>
        <w:rPr>
          <w:color w:val="105C84"/>
          <w:spacing w:val="-6"/>
        </w:rPr>
        <w:t> </w:t>
      </w:r>
      <w:r>
        <w:rPr>
          <w:color w:val="105C84"/>
          <w:spacing w:val="-2"/>
        </w:rPr>
        <w:t>Office</w:t>
      </w:r>
    </w:p>
    <w:p>
      <w:pPr>
        <w:pStyle w:val="BodyText"/>
        <w:rPr>
          <w:sz w:val="13"/>
        </w:rPr>
      </w:pPr>
      <w:r>
        <w:rPr>
          <w:sz w:val="13"/>
        </w:rPr>
        <mc:AlternateContent>
          <mc:Choice Requires="wps">
            <w:drawing>
              <wp:anchor distT="0" distB="0" distL="0" distR="0" allowOverlap="1" layoutInCell="1" locked="0" behindDoc="1" simplePos="0" relativeHeight="487768064">
                <wp:simplePos x="0" y="0"/>
                <wp:positionH relativeFrom="page">
                  <wp:posOffset>10512022</wp:posOffset>
                </wp:positionH>
                <wp:positionV relativeFrom="paragraph">
                  <wp:posOffset>110300</wp:posOffset>
                </wp:positionV>
                <wp:extent cx="1979295" cy="1270"/>
                <wp:effectExtent l="0" t="0" r="0" b="0"/>
                <wp:wrapTopAndBottom/>
                <wp:docPr id="1692" name="Graphic 1692"/>
                <wp:cNvGraphicFramePr>
                  <a:graphicFrameLocks/>
                </wp:cNvGraphicFramePr>
                <a:graphic>
                  <a:graphicData uri="http://schemas.microsoft.com/office/word/2010/wordprocessingShape">
                    <wps:wsp>
                      <wps:cNvPr id="1692" name="Graphic 1692"/>
                      <wps:cNvSpPr/>
                      <wps:spPr>
                        <a:xfrm>
                          <a:off x="0" y="0"/>
                          <a:ext cx="1979295" cy="1270"/>
                        </a:xfrm>
                        <a:custGeom>
                          <a:avLst/>
                          <a:gdLst/>
                          <a:ahLst/>
                          <a:cxnLst/>
                          <a:rect l="l" t="t" r="r" b="b"/>
                          <a:pathLst>
                            <a:path w="1979295" h="0">
                              <a:moveTo>
                                <a:pt x="0" y="0"/>
                              </a:moveTo>
                              <a:lnTo>
                                <a:pt x="1978685" y="0"/>
                              </a:lnTo>
                            </a:path>
                          </a:pathLst>
                        </a:custGeom>
                        <a:ln w="3175">
                          <a:solidFill>
                            <a:srgbClr val="636466"/>
                          </a:solidFill>
                          <a:prstDash val="solid"/>
                        </a:ln>
                      </wps:spPr>
                      <wps:bodyPr wrap="square" lIns="0" tIns="0" rIns="0" bIns="0" rtlCol="0">
                        <a:prstTxWarp prst="textNoShape">
                          <a:avLst/>
                        </a:prstTxWarp>
                        <a:noAutofit/>
                      </wps:bodyPr>
                    </wps:wsp>
                  </a:graphicData>
                </a:graphic>
              </wp:anchor>
            </w:drawing>
          </mc:Choice>
          <mc:Fallback>
            <w:pict>
              <v:shape style="position:absolute;margin-left:827.718323pt;margin-top:8.68506pt;width:155.85pt;height:.1pt;mso-position-horizontal-relative:page;mso-position-vertical-relative:paragraph;z-index:-15548416;mso-wrap-distance-left:0;mso-wrap-distance-right:0" id="docshape1340" coordorigin="16554,174" coordsize="3117,0" path="m16554,174l19670,174e" filled="false" stroked="true" strokeweight=".25pt" strokecolor="#636466">
                <v:path arrowok="t"/>
                <v:stroke dashstyle="solid"/>
                <w10:wrap type="topAndBottom"/>
              </v:shape>
            </w:pict>
          </mc:Fallback>
        </mc:AlternateContent>
      </w:r>
      <w:r>
        <w:rPr>
          <w:sz w:val="13"/>
        </w:rPr>
        <mc:AlternateContent>
          <mc:Choice Requires="wps">
            <w:drawing>
              <wp:anchor distT="0" distB="0" distL="0" distR="0" allowOverlap="1" layoutInCell="1" locked="0" behindDoc="1" simplePos="0" relativeHeight="487768576">
                <wp:simplePos x="0" y="0"/>
                <wp:positionH relativeFrom="page">
                  <wp:posOffset>12691871</wp:posOffset>
                </wp:positionH>
                <wp:positionV relativeFrom="paragraph">
                  <wp:posOffset>110300</wp:posOffset>
                </wp:positionV>
                <wp:extent cx="2023110" cy="1270"/>
                <wp:effectExtent l="0" t="0" r="0" b="0"/>
                <wp:wrapTopAndBottom/>
                <wp:docPr id="1693" name="Graphic 1693"/>
                <wp:cNvGraphicFramePr>
                  <a:graphicFrameLocks/>
                </wp:cNvGraphicFramePr>
                <a:graphic>
                  <a:graphicData uri="http://schemas.microsoft.com/office/word/2010/wordprocessingShape">
                    <wps:wsp>
                      <wps:cNvPr id="1693" name="Graphic 1693"/>
                      <wps:cNvSpPr/>
                      <wps:spPr>
                        <a:xfrm>
                          <a:off x="0" y="0"/>
                          <a:ext cx="2023110" cy="1270"/>
                        </a:xfrm>
                        <a:custGeom>
                          <a:avLst/>
                          <a:gdLst/>
                          <a:ahLst/>
                          <a:cxnLst/>
                          <a:rect l="l" t="t" r="r" b="b"/>
                          <a:pathLst>
                            <a:path w="2023110" h="0">
                              <a:moveTo>
                                <a:pt x="0" y="0"/>
                              </a:moveTo>
                              <a:lnTo>
                                <a:pt x="2022817" y="0"/>
                              </a:lnTo>
                            </a:path>
                          </a:pathLst>
                        </a:custGeom>
                        <a:ln w="3175">
                          <a:solidFill>
                            <a:srgbClr val="636466"/>
                          </a:solidFill>
                          <a:prstDash val="solid"/>
                        </a:ln>
                      </wps:spPr>
                      <wps:bodyPr wrap="square" lIns="0" tIns="0" rIns="0" bIns="0" rtlCol="0">
                        <a:prstTxWarp prst="textNoShape">
                          <a:avLst/>
                        </a:prstTxWarp>
                        <a:noAutofit/>
                      </wps:bodyPr>
                    </wps:wsp>
                  </a:graphicData>
                </a:graphic>
              </wp:anchor>
            </w:drawing>
          </mc:Choice>
          <mc:Fallback>
            <w:pict>
              <v:shape style="position:absolute;margin-left:999.359985pt;margin-top:8.68506pt;width:159.3pt;height:.1pt;mso-position-horizontal-relative:page;mso-position-vertical-relative:paragraph;z-index:-15547904;mso-wrap-distance-left:0;mso-wrap-distance-right:0" id="docshape1341" coordorigin="19987,174" coordsize="3186,0" path="m19987,174l23173,174e" filled="false" stroked="true" strokeweight=".25pt" strokecolor="#636466">
                <v:path arrowok="t"/>
                <v:stroke dashstyle="solid"/>
                <w10:wrap type="topAndBottom"/>
              </v:shape>
            </w:pict>
          </mc:Fallback>
        </mc:AlternateContent>
      </w:r>
    </w:p>
    <w:p>
      <w:pPr>
        <w:pStyle w:val="BodyText"/>
        <w:tabs>
          <w:tab w:pos="4399" w:val="left" w:leader="none"/>
          <w:tab w:pos="7832" w:val="left" w:leader="none"/>
        </w:tabs>
        <w:spacing w:line="242" w:lineRule="exact" w:before="69"/>
        <w:ind w:left="1168"/>
        <w:rPr>
          <w:position w:val="13"/>
        </w:rPr>
      </w:pPr>
      <w:r>
        <w:rPr>
          <w:color w:val="105C84"/>
        </w:rPr>
        <w:t>Chamber</w:t>
      </w:r>
      <w:r>
        <w:rPr>
          <w:color w:val="105C84"/>
          <w:spacing w:val="12"/>
        </w:rPr>
        <w:t> </w:t>
      </w:r>
      <w:r>
        <w:rPr>
          <w:color w:val="105C84"/>
        </w:rPr>
        <w:t>of</w:t>
      </w:r>
      <w:r>
        <w:rPr>
          <w:color w:val="105C84"/>
          <w:spacing w:val="13"/>
        </w:rPr>
        <w:t> </w:t>
      </w:r>
      <w:r>
        <w:rPr>
          <w:color w:val="105C84"/>
          <w:spacing w:val="-2"/>
        </w:rPr>
        <w:t>Commerce</w:t>
      </w:r>
      <w:r>
        <w:rPr>
          <w:color w:val="105C84"/>
        </w:rPr>
        <w:tab/>
        <w:t>Council</w:t>
      </w:r>
      <w:r>
        <w:rPr>
          <w:color w:val="105C84"/>
          <w:spacing w:val="14"/>
        </w:rPr>
        <w:t> </w:t>
      </w:r>
      <w:r>
        <w:rPr>
          <w:color w:val="105C84"/>
        </w:rPr>
        <w:t>on</w:t>
      </w:r>
      <w:r>
        <w:rPr>
          <w:color w:val="105C84"/>
          <w:spacing w:val="14"/>
        </w:rPr>
        <w:t> </w:t>
      </w:r>
      <w:r>
        <w:rPr>
          <w:color w:val="105C84"/>
          <w:spacing w:val="-2"/>
        </w:rPr>
        <w:t>Alcoholism</w:t>
      </w:r>
      <w:r>
        <w:rPr>
          <w:color w:val="105C84"/>
        </w:rPr>
        <w:tab/>
      </w:r>
      <w:r>
        <w:rPr>
          <w:color w:val="105C84"/>
          <w:position w:val="13"/>
        </w:rPr>
        <w:t>Our</w:t>
      </w:r>
      <w:r>
        <w:rPr>
          <w:color w:val="105C84"/>
          <w:spacing w:val="7"/>
          <w:position w:val="13"/>
        </w:rPr>
        <w:t> </w:t>
      </w:r>
      <w:r>
        <w:rPr>
          <w:color w:val="105C84"/>
          <w:position w:val="13"/>
        </w:rPr>
        <w:t>Lady</w:t>
      </w:r>
      <w:r>
        <w:rPr>
          <w:color w:val="105C84"/>
          <w:spacing w:val="7"/>
          <w:position w:val="13"/>
        </w:rPr>
        <w:t> </w:t>
      </w:r>
      <w:r>
        <w:rPr>
          <w:color w:val="105C84"/>
          <w:position w:val="13"/>
        </w:rPr>
        <w:t>of</w:t>
      </w:r>
      <w:r>
        <w:rPr>
          <w:color w:val="105C84"/>
          <w:spacing w:val="7"/>
          <w:position w:val="13"/>
        </w:rPr>
        <w:t> </w:t>
      </w:r>
      <w:r>
        <w:rPr>
          <w:color w:val="105C84"/>
          <w:position w:val="13"/>
        </w:rPr>
        <w:t>the</w:t>
      </w:r>
      <w:r>
        <w:rPr>
          <w:color w:val="105C84"/>
          <w:spacing w:val="7"/>
          <w:position w:val="13"/>
        </w:rPr>
        <w:t> </w:t>
      </w:r>
      <w:r>
        <w:rPr>
          <w:color w:val="105C84"/>
          <w:spacing w:val="-2"/>
          <w:position w:val="13"/>
        </w:rPr>
        <w:t>Lakes</w:t>
      </w:r>
    </w:p>
    <w:p>
      <w:pPr>
        <w:pStyle w:val="BodyText"/>
        <w:spacing w:after="0" w:line="242" w:lineRule="exact"/>
        <w:rPr>
          <w:position w:val="13"/>
        </w:rPr>
        <w:sectPr>
          <w:type w:val="continuous"/>
          <w:pgSz w:w="24480" w:h="15840" w:orient="landscape"/>
          <w:pgMar w:header="0" w:footer="0" w:top="0" w:bottom="280" w:left="0" w:right="720"/>
          <w:cols w:num="2" w:equalWidth="0">
            <w:col w:w="11219" w:space="1015"/>
            <w:col w:w="11526"/>
          </w:cols>
        </w:sectPr>
      </w:pPr>
    </w:p>
    <w:p>
      <w:pPr>
        <w:pStyle w:val="BodyText"/>
        <w:tabs>
          <w:tab w:pos="13322" w:val="left" w:leader="none"/>
          <w:tab w:pos="16243" w:val="left" w:leader="none"/>
        </w:tabs>
        <w:spacing w:line="247" w:lineRule="auto" w:before="13"/>
        <w:ind w:left="1085" w:right="38"/>
      </w:pPr>
      <w:r>
        <w:rPr/>
        <mc:AlternateContent>
          <mc:Choice Requires="wps">
            <w:drawing>
              <wp:anchor distT="0" distB="0" distL="0" distR="0" allowOverlap="1" layoutInCell="1" locked="0" behindDoc="0" simplePos="0" relativeHeight="15913472">
                <wp:simplePos x="0" y="0"/>
                <wp:positionH relativeFrom="page">
                  <wp:posOffset>10512022</wp:posOffset>
                </wp:positionH>
                <wp:positionV relativeFrom="paragraph">
                  <wp:posOffset>199493</wp:posOffset>
                </wp:positionV>
                <wp:extent cx="1979295" cy="1270"/>
                <wp:effectExtent l="0" t="0" r="0" b="0"/>
                <wp:wrapNone/>
                <wp:docPr id="1694" name="Graphic 1694"/>
                <wp:cNvGraphicFramePr>
                  <a:graphicFrameLocks/>
                </wp:cNvGraphicFramePr>
                <a:graphic>
                  <a:graphicData uri="http://schemas.microsoft.com/office/word/2010/wordprocessingShape">
                    <wps:wsp>
                      <wps:cNvPr id="1694" name="Graphic 1694"/>
                      <wps:cNvSpPr/>
                      <wps:spPr>
                        <a:xfrm>
                          <a:off x="0" y="0"/>
                          <a:ext cx="1979295" cy="1270"/>
                        </a:xfrm>
                        <a:custGeom>
                          <a:avLst/>
                          <a:gdLst/>
                          <a:ahLst/>
                          <a:cxnLst/>
                          <a:rect l="l" t="t" r="r" b="b"/>
                          <a:pathLst>
                            <a:path w="1979295" h="0">
                              <a:moveTo>
                                <a:pt x="0" y="0"/>
                              </a:moveTo>
                              <a:lnTo>
                                <a:pt x="1978685" y="0"/>
                              </a:lnTo>
                            </a:path>
                          </a:pathLst>
                        </a:custGeom>
                        <a:ln w="3175">
                          <a:solidFill>
                            <a:srgbClr val="63646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13472" from="827.718323pt,15.708122pt" to="983.520323pt,15.708122pt" stroked="true" strokeweight=".25pt" strokecolor="#636466">
                <v:stroke dashstyle="solid"/>
                <w10:wrap type="none"/>
              </v:line>
            </w:pict>
          </mc:Fallback>
        </mc:AlternateContent>
      </w:r>
      <w:r>
        <w:rPr>
          <w:color w:val="105C84"/>
        </w:rPr>
        <w:t>Mennonite are more likely to initiate and extend breastfeeding, which may lead to decreased obesity</w:t>
        <w:tab/>
      </w:r>
      <w:r>
        <w:rPr>
          <w:color w:val="105C84"/>
          <w:u w:val="single" w:color="636466"/>
        </w:rPr>
        <w:tab/>
      </w:r>
      <w:r>
        <w:rPr>
          <w:color w:val="105C84"/>
          <w:u w:val="none"/>
        </w:rPr>
        <w:t> rates in the longer term.</w:t>
      </w:r>
    </w:p>
    <w:p>
      <w:pPr>
        <w:pStyle w:val="BodyText"/>
        <w:spacing w:before="18"/>
        <w:ind w:left="1085"/>
      </w:pPr>
      <w:r>
        <w:rPr/>
        <w:br w:type="column"/>
      </w:r>
      <w:r>
        <w:rPr>
          <w:color w:val="105C84"/>
        </w:rPr>
        <w:t>Catholic</w:t>
      </w:r>
      <w:r>
        <w:rPr>
          <w:color w:val="105C84"/>
          <w:spacing w:val="20"/>
        </w:rPr>
        <w:t> </w:t>
      </w:r>
      <w:r>
        <w:rPr>
          <w:color w:val="105C84"/>
          <w:spacing w:val="-2"/>
        </w:rPr>
        <w:t>Community</w:t>
      </w:r>
    </w:p>
    <w:p>
      <w:pPr>
        <w:pStyle w:val="BodyText"/>
        <w:spacing w:before="8"/>
        <w:rPr>
          <w:sz w:val="3"/>
        </w:rPr>
      </w:pPr>
    </w:p>
    <w:p>
      <w:pPr>
        <w:spacing w:line="20" w:lineRule="exact"/>
        <w:ind w:left="1005" w:right="0" w:firstLine="0"/>
        <w:rPr>
          <w:sz w:val="2"/>
        </w:rPr>
      </w:pPr>
      <w:r>
        <w:rPr>
          <w:sz w:val="2"/>
        </w:rPr>
        <mc:AlternateContent>
          <mc:Choice Requires="wps">
            <w:drawing>
              <wp:inline distT="0" distB="0" distL="0" distR="0">
                <wp:extent cx="2023110" cy="3175"/>
                <wp:effectExtent l="9525" t="0" r="0" b="6350"/>
                <wp:docPr id="1695" name="Group 1695"/>
                <wp:cNvGraphicFramePr>
                  <a:graphicFrameLocks/>
                </wp:cNvGraphicFramePr>
                <a:graphic>
                  <a:graphicData uri="http://schemas.microsoft.com/office/word/2010/wordprocessingGroup">
                    <wpg:wgp>
                      <wpg:cNvPr id="1695" name="Group 1695"/>
                      <wpg:cNvGrpSpPr/>
                      <wpg:grpSpPr>
                        <a:xfrm>
                          <a:off x="0" y="0"/>
                          <a:ext cx="2023110" cy="3175"/>
                          <a:chExt cx="2023110" cy="3175"/>
                        </a:xfrm>
                      </wpg:grpSpPr>
                      <wps:wsp>
                        <wps:cNvPr id="1696" name="Graphic 1696"/>
                        <wps:cNvSpPr/>
                        <wps:spPr>
                          <a:xfrm>
                            <a:off x="0" y="1587"/>
                            <a:ext cx="2023110" cy="1270"/>
                          </a:xfrm>
                          <a:custGeom>
                            <a:avLst/>
                            <a:gdLst/>
                            <a:ahLst/>
                            <a:cxnLst/>
                            <a:rect l="l" t="t" r="r" b="b"/>
                            <a:pathLst>
                              <a:path w="2023110" h="0">
                                <a:moveTo>
                                  <a:pt x="0" y="0"/>
                                </a:moveTo>
                                <a:lnTo>
                                  <a:pt x="2022817" y="0"/>
                                </a:lnTo>
                              </a:path>
                            </a:pathLst>
                          </a:custGeom>
                          <a:ln w="3175">
                            <a:solidFill>
                              <a:srgbClr val="636466"/>
                            </a:solidFill>
                            <a:prstDash val="solid"/>
                          </a:ln>
                        </wps:spPr>
                        <wps:bodyPr wrap="square" lIns="0" tIns="0" rIns="0" bIns="0" rtlCol="0">
                          <a:prstTxWarp prst="textNoShape">
                            <a:avLst/>
                          </a:prstTxWarp>
                          <a:noAutofit/>
                        </wps:bodyPr>
                      </wps:wsp>
                    </wpg:wgp>
                  </a:graphicData>
                </a:graphic>
              </wp:inline>
            </w:drawing>
          </mc:Choice>
          <mc:Fallback>
            <w:pict>
              <v:group style="width:159.3pt;height:.25pt;mso-position-horizontal-relative:char;mso-position-vertical-relative:line" id="docshapegroup1342" coordorigin="0,0" coordsize="3186,5">
                <v:line style="position:absolute" from="0,3" to="3186,3" stroked="true" strokeweight=".25pt" strokecolor="#636466">
                  <v:stroke dashstyle="solid"/>
                </v:line>
              </v:group>
            </w:pict>
          </mc:Fallback>
        </mc:AlternateContent>
      </w:r>
      <w:r>
        <w:rPr>
          <w:sz w:val="2"/>
        </w:rPr>
      </w:r>
    </w:p>
    <w:p>
      <w:pPr>
        <w:pStyle w:val="BodyText"/>
        <w:spacing w:before="19"/>
        <w:rPr>
          <w:sz w:val="7"/>
        </w:rPr>
      </w:pPr>
    </w:p>
    <w:p>
      <w:pPr>
        <w:pStyle w:val="BodyText"/>
        <w:spacing w:after="0"/>
        <w:rPr>
          <w:sz w:val="7"/>
        </w:rPr>
        <w:sectPr>
          <w:type w:val="continuous"/>
          <w:pgSz w:w="24480" w:h="15840" w:orient="landscape"/>
          <w:pgMar w:header="0" w:footer="0" w:top="0" w:bottom="280" w:left="0" w:right="720"/>
          <w:cols w:num="2" w:equalWidth="0">
            <w:col w:w="16284" w:space="2698"/>
            <w:col w:w="4778"/>
          </w:cols>
        </w:sectPr>
      </w:pPr>
    </w:p>
    <w:p>
      <w:pPr>
        <w:pStyle w:val="Heading6"/>
        <w:spacing w:before="271"/>
        <w:ind w:left="1085"/>
      </w:pPr>
      <w:r>
        <w:rPr>
          <w:color w:val="105C84"/>
          <w:spacing w:val="-6"/>
        </w:rPr>
        <w:t>Community</w:t>
      </w:r>
      <w:r>
        <w:rPr>
          <w:color w:val="105C84"/>
          <w:spacing w:val="-9"/>
        </w:rPr>
        <w:t> </w:t>
      </w:r>
      <w:r>
        <w:rPr>
          <w:color w:val="105C84"/>
          <w:spacing w:val="-6"/>
        </w:rPr>
        <w:t>Assets</w:t>
      </w:r>
      <w:r>
        <w:rPr>
          <w:color w:val="105C84"/>
          <w:spacing w:val="-9"/>
        </w:rPr>
        <w:t> </w:t>
      </w:r>
      <w:r>
        <w:rPr>
          <w:color w:val="105C84"/>
          <w:spacing w:val="-6"/>
        </w:rPr>
        <w:t>and</w:t>
      </w:r>
      <w:r>
        <w:rPr>
          <w:color w:val="105C84"/>
          <w:spacing w:val="-8"/>
        </w:rPr>
        <w:t> </w:t>
      </w:r>
      <w:r>
        <w:rPr>
          <w:color w:val="105C84"/>
          <w:spacing w:val="-6"/>
        </w:rPr>
        <w:t>Resources</w:t>
      </w:r>
      <w:r>
        <w:rPr>
          <w:color w:val="105C84"/>
          <w:spacing w:val="-9"/>
        </w:rPr>
        <w:t> </w:t>
      </w:r>
      <w:r>
        <w:rPr>
          <w:color w:val="105C84"/>
          <w:spacing w:val="-6"/>
        </w:rPr>
        <w:t>to</w:t>
      </w:r>
      <w:r>
        <w:rPr>
          <w:color w:val="105C84"/>
          <w:spacing w:val="-8"/>
        </w:rPr>
        <w:t> </w:t>
      </w:r>
      <w:r>
        <w:rPr>
          <w:color w:val="105C84"/>
          <w:spacing w:val="-6"/>
        </w:rPr>
        <w:t>be</w:t>
      </w:r>
      <w:r>
        <w:rPr>
          <w:color w:val="105C84"/>
          <w:spacing w:val="-9"/>
        </w:rPr>
        <w:t> </w:t>
      </w:r>
      <w:r>
        <w:rPr>
          <w:color w:val="105C84"/>
          <w:spacing w:val="-6"/>
        </w:rPr>
        <w:t>Mobilized</w:t>
      </w:r>
    </w:p>
    <w:p>
      <w:pPr>
        <w:pStyle w:val="BodyText"/>
        <w:spacing w:line="247" w:lineRule="auto" w:before="269"/>
        <w:ind w:left="1085"/>
      </w:pPr>
      <w:r>
        <w:rPr>
          <w:color w:val="105C84"/>
        </w:rPr>
        <w:t>During focus groups completed in late 2018 and early 2019, community members identified several assets and resources in Yates County. For example, focus group attendees identified food assistance programs such as Hope Center, Foodlink and Living Well as community strengths and resources.</w:t>
      </w:r>
    </w:p>
    <w:p>
      <w:pPr>
        <w:pStyle w:val="BodyText"/>
        <w:spacing w:line="247" w:lineRule="auto"/>
        <w:ind w:left="1085"/>
      </w:pPr>
      <w:r>
        <w:rPr>
          <w:color w:val="105C84"/>
        </w:rPr>
        <w:t>In</w:t>
      </w:r>
      <w:r>
        <w:rPr>
          <w:color w:val="105C84"/>
          <w:spacing w:val="40"/>
        </w:rPr>
        <w:t> </w:t>
      </w:r>
      <w:r>
        <w:rPr>
          <w:color w:val="105C84"/>
        </w:rPr>
        <w:t>addition,</w:t>
      </w:r>
      <w:r>
        <w:rPr>
          <w:color w:val="105C84"/>
          <w:spacing w:val="40"/>
        </w:rPr>
        <w:t> </w:t>
      </w:r>
      <w:r>
        <w:rPr>
          <w:color w:val="105C84"/>
        </w:rPr>
        <w:t>attendees</w:t>
      </w:r>
      <w:r>
        <w:rPr>
          <w:color w:val="105C84"/>
          <w:spacing w:val="40"/>
        </w:rPr>
        <w:t> </w:t>
      </w:r>
      <w:r>
        <w:rPr>
          <w:color w:val="105C84"/>
        </w:rPr>
        <w:t>identified</w:t>
      </w:r>
      <w:r>
        <w:rPr>
          <w:color w:val="105C84"/>
          <w:spacing w:val="40"/>
        </w:rPr>
        <w:t> </w:t>
      </w:r>
      <w:r>
        <w:rPr>
          <w:color w:val="105C84"/>
        </w:rPr>
        <w:t>the</w:t>
      </w:r>
      <w:r>
        <w:rPr>
          <w:color w:val="105C84"/>
          <w:spacing w:val="40"/>
        </w:rPr>
        <w:t> </w:t>
      </w:r>
      <w:r>
        <w:rPr>
          <w:color w:val="105C84"/>
        </w:rPr>
        <w:t>county’s</w:t>
      </w:r>
      <w:r>
        <w:rPr>
          <w:color w:val="105C84"/>
          <w:spacing w:val="40"/>
        </w:rPr>
        <w:t> </w:t>
      </w:r>
      <w:r>
        <w:rPr>
          <w:color w:val="105C84"/>
        </w:rPr>
        <w:t>clean</w:t>
      </w:r>
      <w:r>
        <w:rPr>
          <w:color w:val="105C84"/>
          <w:spacing w:val="40"/>
        </w:rPr>
        <w:t> </w:t>
      </w:r>
      <w:r>
        <w:rPr>
          <w:color w:val="105C84"/>
        </w:rPr>
        <w:t>environment,</w:t>
      </w:r>
      <w:r>
        <w:rPr>
          <w:color w:val="105C84"/>
          <w:spacing w:val="40"/>
        </w:rPr>
        <w:t> </w:t>
      </w:r>
      <w:r>
        <w:rPr>
          <w:color w:val="105C84"/>
        </w:rPr>
        <w:t>supportive</w:t>
      </w:r>
      <w:r>
        <w:rPr>
          <w:color w:val="105C84"/>
          <w:spacing w:val="40"/>
        </w:rPr>
        <w:t> </w:t>
      </w:r>
      <w:r>
        <w:rPr>
          <w:color w:val="105C84"/>
        </w:rPr>
        <w:t>community</w:t>
      </w:r>
      <w:r>
        <w:rPr>
          <w:color w:val="105C84"/>
          <w:spacing w:val="40"/>
        </w:rPr>
        <w:t> </w:t>
      </w:r>
      <w:r>
        <w:rPr>
          <w:color w:val="105C84"/>
        </w:rPr>
        <w:t>and</w:t>
      </w:r>
      <w:r>
        <w:rPr>
          <w:color w:val="105C84"/>
          <w:spacing w:val="40"/>
        </w:rPr>
        <w:t> </w:t>
      </w:r>
      <w:r>
        <w:rPr>
          <w:color w:val="105C84"/>
        </w:rPr>
        <w:t>good quality of life as strengths. A comprehensive list of identified strengths and resources can be found in focus group summaries and is available upon request.</w:t>
      </w:r>
    </w:p>
    <w:p>
      <w:pPr>
        <w:pStyle w:val="BodyText"/>
        <w:spacing w:line="247" w:lineRule="auto" w:before="176"/>
        <w:ind w:left="1085"/>
      </w:pPr>
      <w:r>
        <w:rPr>
          <w:color w:val="105C84"/>
        </w:rPr>
        <w:t>Through</w:t>
      </w:r>
      <w:r>
        <w:rPr>
          <w:color w:val="105C84"/>
          <w:spacing w:val="35"/>
        </w:rPr>
        <w:t> </w:t>
      </w:r>
      <w:r>
        <w:rPr>
          <w:color w:val="105C84"/>
        </w:rPr>
        <w:t>implementation</w:t>
      </w:r>
      <w:r>
        <w:rPr>
          <w:color w:val="105C84"/>
          <w:spacing w:val="35"/>
        </w:rPr>
        <w:t> </w:t>
      </w:r>
      <w:r>
        <w:rPr>
          <w:color w:val="105C84"/>
        </w:rPr>
        <w:t>of</w:t>
      </w:r>
      <w:r>
        <w:rPr>
          <w:color w:val="105C84"/>
          <w:spacing w:val="35"/>
        </w:rPr>
        <w:t> </w:t>
      </w:r>
      <w:r>
        <w:rPr>
          <w:color w:val="105C84"/>
        </w:rPr>
        <w:t>the</w:t>
      </w:r>
      <w:r>
        <w:rPr>
          <w:color w:val="105C84"/>
          <w:spacing w:val="35"/>
        </w:rPr>
        <w:t> </w:t>
      </w:r>
      <w:r>
        <w:rPr>
          <w:color w:val="105C84"/>
        </w:rPr>
        <w:t>Community</w:t>
      </w:r>
      <w:r>
        <w:rPr>
          <w:color w:val="105C84"/>
          <w:spacing w:val="35"/>
        </w:rPr>
        <w:t> </w:t>
      </w:r>
      <w:r>
        <w:rPr>
          <w:color w:val="105C84"/>
        </w:rPr>
        <w:t>Health</w:t>
      </w:r>
      <w:r>
        <w:rPr>
          <w:color w:val="105C84"/>
          <w:spacing w:val="35"/>
        </w:rPr>
        <w:t> </w:t>
      </w:r>
      <w:r>
        <w:rPr>
          <w:color w:val="105C84"/>
        </w:rPr>
        <w:t>Improvement</w:t>
      </w:r>
      <w:r>
        <w:rPr>
          <w:color w:val="105C84"/>
          <w:spacing w:val="35"/>
        </w:rPr>
        <w:t> </w:t>
      </w:r>
      <w:r>
        <w:rPr>
          <w:color w:val="105C84"/>
        </w:rPr>
        <w:t>Plan,</w:t>
      </w:r>
      <w:r>
        <w:rPr>
          <w:color w:val="105C84"/>
          <w:spacing w:val="35"/>
        </w:rPr>
        <w:t> </w:t>
      </w:r>
      <w:r>
        <w:rPr>
          <w:color w:val="105C84"/>
        </w:rPr>
        <w:t>staff</w:t>
      </w:r>
      <w:r>
        <w:rPr>
          <w:color w:val="105C84"/>
          <w:spacing w:val="35"/>
        </w:rPr>
        <w:t> </w:t>
      </w:r>
      <w:r>
        <w:rPr>
          <w:color w:val="105C84"/>
        </w:rPr>
        <w:t>will</w:t>
      </w:r>
      <w:r>
        <w:rPr>
          <w:color w:val="105C84"/>
          <w:spacing w:val="35"/>
        </w:rPr>
        <w:t> </w:t>
      </w:r>
      <w:r>
        <w:rPr>
          <w:color w:val="105C84"/>
        </w:rPr>
        <w:t>work</w:t>
      </w:r>
      <w:r>
        <w:rPr>
          <w:color w:val="105C84"/>
          <w:spacing w:val="35"/>
        </w:rPr>
        <w:t> </w:t>
      </w:r>
      <w:r>
        <w:rPr>
          <w:color w:val="105C84"/>
        </w:rPr>
        <w:t>to</w:t>
      </w:r>
      <w:r>
        <w:rPr>
          <w:color w:val="105C84"/>
          <w:spacing w:val="35"/>
        </w:rPr>
        <w:t> </w:t>
      </w:r>
      <w:r>
        <w:rPr>
          <w:color w:val="105C84"/>
        </w:rPr>
        <w:t>leverage these pre-existing agencies and services. A full description of interventions and partner roles is in the Yates County Community Health Improvement Plan document. Partnering and leveraging the assets and resources of local community agencies will be imperative to achieving success in the plan.</w:t>
      </w:r>
    </w:p>
    <w:p>
      <w:pPr>
        <w:pStyle w:val="BodyText"/>
        <w:spacing w:line="247" w:lineRule="auto" w:before="196"/>
        <w:ind w:left="1085" w:right="581"/>
      </w:pPr>
      <w:r>
        <w:rPr/>
        <w:br w:type="column"/>
      </w:r>
      <w:r>
        <w:rPr>
          <w:color w:val="105C84"/>
        </w:rPr>
        <w:t>A regional health survey and focus groups engage the community throughout the assessment</w:t>
      </w:r>
      <w:r>
        <w:rPr>
          <w:color w:val="105C84"/>
          <w:spacing w:val="80"/>
        </w:rPr>
        <w:t> </w:t>
      </w:r>
      <w:r>
        <w:rPr>
          <w:color w:val="105C84"/>
        </w:rPr>
        <w:t>period.</w:t>
      </w:r>
      <w:r>
        <w:rPr>
          <w:color w:val="105C84"/>
          <w:spacing w:val="40"/>
        </w:rPr>
        <w:t> </w:t>
      </w:r>
      <w:r>
        <w:rPr>
          <w:color w:val="105C84"/>
        </w:rPr>
        <w:t>Community</w:t>
      </w:r>
      <w:r>
        <w:rPr>
          <w:color w:val="105C84"/>
          <w:spacing w:val="40"/>
        </w:rPr>
        <w:t> </w:t>
      </w:r>
      <w:r>
        <w:rPr>
          <w:color w:val="105C84"/>
        </w:rPr>
        <w:t>members</w:t>
      </w:r>
      <w:r>
        <w:rPr>
          <w:color w:val="105C84"/>
          <w:spacing w:val="40"/>
        </w:rPr>
        <w:t> </w:t>
      </w:r>
      <w:r>
        <w:rPr>
          <w:color w:val="105C84"/>
        </w:rPr>
        <w:t>were</w:t>
      </w:r>
      <w:r>
        <w:rPr>
          <w:color w:val="105C84"/>
          <w:spacing w:val="40"/>
        </w:rPr>
        <w:t> </w:t>
      </w:r>
      <w:r>
        <w:rPr>
          <w:color w:val="105C84"/>
        </w:rPr>
        <w:t>also</w:t>
      </w:r>
      <w:r>
        <w:rPr>
          <w:color w:val="105C84"/>
          <w:spacing w:val="40"/>
        </w:rPr>
        <w:t> </w:t>
      </w:r>
      <w:r>
        <w:rPr>
          <w:color w:val="105C84"/>
        </w:rPr>
        <w:t>invited</w:t>
      </w:r>
      <w:r>
        <w:rPr>
          <w:color w:val="105C84"/>
          <w:spacing w:val="40"/>
        </w:rPr>
        <w:t> </w:t>
      </w:r>
      <w:r>
        <w:rPr>
          <w:color w:val="105C84"/>
        </w:rPr>
        <w:t>to</w:t>
      </w:r>
      <w:r>
        <w:rPr>
          <w:color w:val="105C84"/>
          <w:spacing w:val="40"/>
        </w:rPr>
        <w:t> </w:t>
      </w:r>
      <w:r>
        <w:rPr>
          <w:color w:val="105C84"/>
        </w:rPr>
        <w:t>attend</w:t>
      </w:r>
      <w:r>
        <w:rPr>
          <w:color w:val="105C84"/>
          <w:spacing w:val="40"/>
        </w:rPr>
        <w:t> </w:t>
      </w:r>
      <w:r>
        <w:rPr>
          <w:color w:val="105C84"/>
        </w:rPr>
        <w:t>the</w:t>
      </w:r>
      <w:r>
        <w:rPr>
          <w:color w:val="105C84"/>
          <w:spacing w:val="40"/>
        </w:rPr>
        <w:t> </w:t>
      </w:r>
      <w:r>
        <w:rPr>
          <w:color w:val="105C84"/>
        </w:rPr>
        <w:t>prioritization</w:t>
      </w:r>
      <w:r>
        <w:rPr>
          <w:color w:val="105C84"/>
          <w:spacing w:val="40"/>
        </w:rPr>
        <w:t> </w:t>
      </w:r>
      <w:r>
        <w:rPr>
          <w:color w:val="105C84"/>
        </w:rPr>
        <w:t>meeting</w:t>
      </w:r>
      <w:r>
        <w:rPr>
          <w:color w:val="105C84"/>
          <w:spacing w:val="40"/>
        </w:rPr>
        <w:t> </w:t>
      </w:r>
      <w:r>
        <w:rPr>
          <w:color w:val="105C84"/>
        </w:rPr>
        <w:t>to</w:t>
      </w:r>
      <w:r>
        <w:rPr>
          <w:color w:val="105C84"/>
          <w:spacing w:val="40"/>
        </w:rPr>
        <w:t> </w:t>
      </w:r>
      <w:r>
        <w:rPr>
          <w:color w:val="105C84"/>
        </w:rPr>
        <w:t>help</w:t>
      </w:r>
      <w:r>
        <w:rPr>
          <w:color w:val="105C84"/>
          <w:spacing w:val="40"/>
        </w:rPr>
        <w:t> </w:t>
      </w:r>
      <w:r>
        <w:rPr>
          <w:color w:val="105C84"/>
        </w:rPr>
        <w:t>inform and select the 2019-2021 priority areas. Preliminary findings of the assessment were shared with the public via public service announcements in two local newspapers. In addition, preliminary results were</w:t>
      </w:r>
      <w:r>
        <w:rPr>
          <w:color w:val="105C84"/>
          <w:spacing w:val="40"/>
        </w:rPr>
        <w:t> </w:t>
      </w:r>
      <w:r>
        <w:rPr>
          <w:color w:val="105C84"/>
        </w:rPr>
        <w:t>emailed</w:t>
      </w:r>
      <w:r>
        <w:rPr>
          <w:color w:val="105C84"/>
          <w:spacing w:val="40"/>
        </w:rPr>
        <w:t> </w:t>
      </w:r>
      <w:r>
        <w:rPr>
          <w:color w:val="105C84"/>
        </w:rPr>
        <w:t>to</w:t>
      </w:r>
      <w:r>
        <w:rPr>
          <w:color w:val="105C84"/>
          <w:spacing w:val="40"/>
        </w:rPr>
        <w:t> </w:t>
      </w:r>
      <w:r>
        <w:rPr>
          <w:color w:val="105C84"/>
        </w:rPr>
        <w:t>prioritization</w:t>
      </w:r>
      <w:r>
        <w:rPr>
          <w:color w:val="105C84"/>
          <w:spacing w:val="40"/>
        </w:rPr>
        <w:t> </w:t>
      </w:r>
      <w:r>
        <w:rPr>
          <w:color w:val="105C84"/>
        </w:rPr>
        <w:t>meeting</w:t>
      </w:r>
      <w:r>
        <w:rPr>
          <w:color w:val="105C84"/>
          <w:spacing w:val="40"/>
        </w:rPr>
        <w:t> </w:t>
      </w:r>
      <w:r>
        <w:rPr>
          <w:color w:val="105C84"/>
        </w:rPr>
        <w:t>attendees</w:t>
      </w:r>
      <w:r>
        <w:rPr>
          <w:color w:val="105C84"/>
          <w:spacing w:val="40"/>
        </w:rPr>
        <w:t> </w:t>
      </w:r>
      <w:r>
        <w:rPr>
          <w:color w:val="105C84"/>
        </w:rPr>
        <w:t>and</w:t>
      </w:r>
      <w:r>
        <w:rPr>
          <w:color w:val="105C84"/>
          <w:spacing w:val="40"/>
        </w:rPr>
        <w:t> </w:t>
      </w:r>
      <w:r>
        <w:rPr>
          <w:color w:val="105C84"/>
        </w:rPr>
        <w:t>stakeholders.</w:t>
      </w:r>
    </w:p>
    <w:p>
      <w:pPr>
        <w:pStyle w:val="BodyText"/>
        <w:spacing w:line="247" w:lineRule="auto" w:before="177"/>
        <w:ind w:left="1085" w:right="459"/>
      </w:pPr>
      <w:r>
        <w:rPr>
          <w:color w:val="105C84"/>
        </w:rPr>
        <w:t>Specific</w:t>
      </w:r>
      <w:r>
        <w:rPr>
          <w:color w:val="105C84"/>
          <w:spacing w:val="20"/>
        </w:rPr>
        <w:t> </w:t>
      </w:r>
      <w:r>
        <w:rPr>
          <w:color w:val="105C84"/>
        </w:rPr>
        <w:t>interventions</w:t>
      </w:r>
      <w:r>
        <w:rPr>
          <w:color w:val="105C84"/>
          <w:spacing w:val="20"/>
        </w:rPr>
        <w:t> </w:t>
      </w:r>
      <w:r>
        <w:rPr>
          <w:color w:val="105C84"/>
        </w:rPr>
        <w:t>to</w:t>
      </w:r>
      <w:r>
        <w:rPr>
          <w:color w:val="105C84"/>
          <w:spacing w:val="20"/>
        </w:rPr>
        <w:t> </w:t>
      </w:r>
      <w:r>
        <w:rPr>
          <w:color w:val="105C84"/>
        </w:rPr>
        <w:t>address</w:t>
      </w:r>
      <w:r>
        <w:rPr>
          <w:color w:val="105C84"/>
          <w:spacing w:val="20"/>
        </w:rPr>
        <w:t> </w:t>
      </w:r>
      <w:r>
        <w:rPr>
          <w:color w:val="105C84"/>
        </w:rPr>
        <w:t>the</w:t>
      </w:r>
      <w:r>
        <w:rPr>
          <w:color w:val="105C84"/>
          <w:spacing w:val="20"/>
        </w:rPr>
        <w:t> </w:t>
      </w:r>
      <w:r>
        <w:rPr>
          <w:color w:val="105C84"/>
        </w:rPr>
        <w:t>priority</w:t>
      </w:r>
      <w:r>
        <w:rPr>
          <w:color w:val="105C84"/>
          <w:spacing w:val="20"/>
        </w:rPr>
        <w:t> </w:t>
      </w:r>
      <w:r>
        <w:rPr>
          <w:color w:val="105C84"/>
        </w:rPr>
        <w:t>areas</w:t>
      </w:r>
      <w:r>
        <w:rPr>
          <w:color w:val="105C84"/>
          <w:spacing w:val="20"/>
        </w:rPr>
        <w:t> </w:t>
      </w:r>
      <w:r>
        <w:rPr>
          <w:color w:val="105C84"/>
        </w:rPr>
        <w:t>were</w:t>
      </w:r>
      <w:r>
        <w:rPr>
          <w:color w:val="105C84"/>
          <w:spacing w:val="20"/>
        </w:rPr>
        <w:t> </w:t>
      </w:r>
      <w:r>
        <w:rPr>
          <w:color w:val="105C84"/>
        </w:rPr>
        <w:t>selected</w:t>
      </w:r>
      <w:r>
        <w:rPr>
          <w:color w:val="105C84"/>
          <w:spacing w:val="20"/>
        </w:rPr>
        <w:t> </w:t>
      </w:r>
      <w:r>
        <w:rPr>
          <w:color w:val="105C84"/>
        </w:rPr>
        <w:t>at</w:t>
      </w:r>
      <w:r>
        <w:rPr>
          <w:color w:val="105C84"/>
          <w:spacing w:val="20"/>
        </w:rPr>
        <w:t> </w:t>
      </w:r>
      <w:r>
        <w:rPr>
          <w:color w:val="105C84"/>
        </w:rPr>
        <w:t>CHY</w:t>
      </w:r>
      <w:r>
        <w:rPr>
          <w:color w:val="105C84"/>
          <w:spacing w:val="20"/>
        </w:rPr>
        <w:t> </w:t>
      </w:r>
      <w:r>
        <w:rPr>
          <w:color w:val="105C84"/>
        </w:rPr>
        <w:t>meetings</w:t>
      </w:r>
      <w:r>
        <w:rPr>
          <w:color w:val="105C84"/>
          <w:spacing w:val="20"/>
        </w:rPr>
        <w:t> </w:t>
      </w:r>
      <w:r>
        <w:rPr>
          <w:color w:val="105C84"/>
        </w:rPr>
        <w:t>and</w:t>
      </w:r>
      <w:r>
        <w:rPr>
          <w:color w:val="105C84"/>
          <w:spacing w:val="20"/>
        </w:rPr>
        <w:t> </w:t>
      </w:r>
      <w:r>
        <w:rPr>
          <w:color w:val="105C84"/>
        </w:rPr>
        <w:t>were</w:t>
      </w:r>
      <w:r>
        <w:rPr>
          <w:color w:val="105C84"/>
          <w:spacing w:val="20"/>
        </w:rPr>
        <w:t> </w:t>
      </w:r>
      <w:r>
        <w:rPr>
          <w:color w:val="105C84"/>
        </w:rPr>
        <w:t>a</w:t>
      </w:r>
      <w:r>
        <w:rPr>
          <w:color w:val="105C84"/>
        </w:rPr>
        <w:t> group effort. Each member was expected to highlight where resources already existed and could be</w:t>
      </w:r>
      <w:r>
        <w:rPr>
          <w:color w:val="105C84"/>
          <w:spacing w:val="40"/>
        </w:rPr>
        <w:t> </w:t>
      </w:r>
      <w:r>
        <w:rPr>
          <w:color w:val="105C84"/>
        </w:rPr>
        <w:t>leveraged.</w:t>
      </w:r>
      <w:r>
        <w:rPr>
          <w:color w:val="105C84"/>
          <w:spacing w:val="39"/>
        </w:rPr>
        <w:t> </w:t>
      </w:r>
      <w:r>
        <w:rPr>
          <w:color w:val="105C84"/>
        </w:rPr>
        <w:t>Coordinated</w:t>
      </w:r>
      <w:r>
        <w:rPr>
          <w:color w:val="105C84"/>
          <w:spacing w:val="39"/>
        </w:rPr>
        <w:t> </w:t>
      </w:r>
      <w:r>
        <w:rPr>
          <w:color w:val="105C84"/>
        </w:rPr>
        <w:t>efforts</w:t>
      </w:r>
      <w:r>
        <w:rPr>
          <w:color w:val="105C84"/>
          <w:spacing w:val="39"/>
        </w:rPr>
        <w:t> </w:t>
      </w:r>
      <w:r>
        <w:rPr>
          <w:color w:val="105C84"/>
        </w:rPr>
        <w:t>to</w:t>
      </w:r>
      <w:r>
        <w:rPr>
          <w:color w:val="105C84"/>
          <w:spacing w:val="39"/>
        </w:rPr>
        <w:t> </w:t>
      </w:r>
      <w:r>
        <w:rPr>
          <w:color w:val="105C84"/>
        </w:rPr>
        <w:t>promote</w:t>
      </w:r>
      <w:r>
        <w:rPr>
          <w:color w:val="105C84"/>
          <w:spacing w:val="39"/>
        </w:rPr>
        <w:t> </w:t>
      </w:r>
      <w:r>
        <w:rPr>
          <w:color w:val="105C84"/>
        </w:rPr>
        <w:t>and</w:t>
      </w:r>
      <w:r>
        <w:rPr>
          <w:color w:val="105C84"/>
          <w:spacing w:val="39"/>
        </w:rPr>
        <w:t> </w:t>
      </w:r>
      <w:r>
        <w:rPr>
          <w:color w:val="105C84"/>
        </w:rPr>
        <w:t>engage</w:t>
      </w:r>
      <w:r>
        <w:rPr>
          <w:color w:val="105C84"/>
          <w:spacing w:val="39"/>
        </w:rPr>
        <w:t> </w:t>
      </w:r>
      <w:r>
        <w:rPr>
          <w:color w:val="105C84"/>
        </w:rPr>
        <w:t>community</w:t>
      </w:r>
      <w:r>
        <w:rPr>
          <w:color w:val="105C84"/>
          <w:spacing w:val="39"/>
        </w:rPr>
        <w:t> </w:t>
      </w:r>
      <w:r>
        <w:rPr>
          <w:color w:val="105C84"/>
        </w:rPr>
        <w:t>members</w:t>
      </w:r>
      <w:r>
        <w:rPr>
          <w:color w:val="105C84"/>
          <w:spacing w:val="39"/>
        </w:rPr>
        <w:t> </w:t>
      </w:r>
      <w:r>
        <w:rPr>
          <w:color w:val="105C84"/>
        </w:rPr>
        <w:t>in</w:t>
      </w:r>
      <w:r>
        <w:rPr>
          <w:color w:val="105C84"/>
          <w:spacing w:val="39"/>
        </w:rPr>
        <w:t> </w:t>
      </w:r>
      <w:r>
        <w:rPr>
          <w:color w:val="105C84"/>
        </w:rPr>
        <w:t>selected</w:t>
      </w:r>
      <w:r>
        <w:rPr>
          <w:color w:val="105C84"/>
          <w:spacing w:val="39"/>
        </w:rPr>
        <w:t> </w:t>
      </w:r>
      <w:r>
        <w:rPr>
          <w:color w:val="105C84"/>
        </w:rPr>
        <w:t>initiatives will take place. A full description of objectives, interventions, process measures, partner roles and resources are available in the Yates County Community Health Improvement Plan (Appendix H).</w:t>
      </w:r>
    </w:p>
    <w:p>
      <w:pPr>
        <w:pStyle w:val="BodyText"/>
        <w:spacing w:line="247" w:lineRule="auto"/>
        <w:ind w:left="1085"/>
      </w:pPr>
      <w:r>
        <w:rPr>
          <w:color w:val="105C84"/>
        </w:rPr>
        <w:t>Interventions selected are evidence based and strive to achieve health equity by focusing on creating greater access for the low-income population.</w:t>
      </w:r>
    </w:p>
    <w:p>
      <w:pPr>
        <w:pStyle w:val="BodyText"/>
        <w:spacing w:line="247" w:lineRule="auto" w:before="177"/>
        <w:ind w:left="1085" w:right="300"/>
      </w:pPr>
      <w:r>
        <w:rPr/>
        <mc:AlternateContent>
          <mc:Choice Requires="wps">
            <w:drawing>
              <wp:anchor distT="0" distB="0" distL="0" distR="0" allowOverlap="1" layoutInCell="1" locked="0" behindDoc="0" simplePos="0" relativeHeight="15911424">
                <wp:simplePos x="0" y="0"/>
                <wp:positionH relativeFrom="page">
                  <wp:posOffset>0</wp:posOffset>
                </wp:positionH>
                <wp:positionV relativeFrom="paragraph">
                  <wp:posOffset>387230</wp:posOffset>
                </wp:positionV>
                <wp:extent cx="7772400" cy="2962910"/>
                <wp:effectExtent l="0" t="0" r="0" b="0"/>
                <wp:wrapNone/>
                <wp:docPr id="1697" name="Group 1697"/>
                <wp:cNvGraphicFramePr>
                  <a:graphicFrameLocks/>
                </wp:cNvGraphicFramePr>
                <a:graphic>
                  <a:graphicData uri="http://schemas.microsoft.com/office/word/2010/wordprocessingGroup">
                    <wpg:wgp>
                      <wpg:cNvPr id="1697" name="Group 1697"/>
                      <wpg:cNvGrpSpPr/>
                      <wpg:grpSpPr>
                        <a:xfrm>
                          <a:off x="0" y="0"/>
                          <a:ext cx="7772400" cy="2962910"/>
                          <a:chExt cx="7772400" cy="2962910"/>
                        </a:xfrm>
                      </wpg:grpSpPr>
                      <pic:pic>
                        <pic:nvPicPr>
                          <pic:cNvPr id="1698" name="Image 1698"/>
                          <pic:cNvPicPr/>
                        </pic:nvPicPr>
                        <pic:blipFill>
                          <a:blip r:embed="rId39" cstate="print"/>
                          <a:stretch>
                            <a:fillRect/>
                          </a:stretch>
                        </pic:blipFill>
                        <pic:spPr>
                          <a:xfrm>
                            <a:off x="0" y="2572359"/>
                            <a:ext cx="568172" cy="184683"/>
                          </a:xfrm>
                          <a:prstGeom prst="rect">
                            <a:avLst/>
                          </a:prstGeom>
                        </pic:spPr>
                      </pic:pic>
                      <pic:pic>
                        <pic:nvPicPr>
                          <pic:cNvPr id="1699" name="Image 1699"/>
                          <pic:cNvPicPr/>
                        </pic:nvPicPr>
                        <pic:blipFill>
                          <a:blip r:embed="rId238" cstate="print"/>
                          <a:stretch>
                            <a:fillRect/>
                          </a:stretch>
                        </pic:blipFill>
                        <pic:spPr>
                          <a:xfrm>
                            <a:off x="0" y="0"/>
                            <a:ext cx="7772400" cy="2962656"/>
                          </a:xfrm>
                          <a:prstGeom prst="rect">
                            <a:avLst/>
                          </a:prstGeom>
                        </pic:spPr>
                      </pic:pic>
                      <wps:wsp>
                        <wps:cNvPr id="1700" name="Textbox 1700"/>
                        <wps:cNvSpPr txBox="1"/>
                        <wps:spPr>
                          <a:xfrm>
                            <a:off x="0" y="0"/>
                            <a:ext cx="7772400" cy="2962910"/>
                          </a:xfrm>
                          <a:prstGeom prst="rect">
                            <a:avLst/>
                          </a:prstGeom>
                        </wps:spPr>
                        <wps:txbx>
                          <w:txbxContent>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65"/>
                                <w:rPr>
                                  <w:b/>
                                  <w:sz w:val="16"/>
                                </w:rPr>
                              </w:pPr>
                            </w:p>
                            <w:p>
                              <w:pPr>
                                <w:spacing w:line="182" w:lineRule="exact" w:before="0"/>
                                <w:ind w:left="1123" w:right="0" w:firstLine="0"/>
                                <w:jc w:val="left"/>
                                <w:rPr>
                                  <w:sz w:val="16"/>
                                </w:rPr>
                              </w:pPr>
                              <w:r>
                                <w:rPr>
                                  <w:color w:val="FFFFFF"/>
                                  <w:spacing w:val="-6"/>
                                  <w:sz w:val="16"/>
                                </w:rPr>
                                <w:t>Yates</w:t>
                              </w:r>
                              <w:r>
                                <w:rPr>
                                  <w:color w:val="FFFFFF"/>
                                  <w:spacing w:val="-3"/>
                                  <w:sz w:val="16"/>
                                </w:rPr>
                                <w:t> </w:t>
                              </w:r>
                              <w:r>
                                <w:rPr>
                                  <w:color w:val="FFFFFF"/>
                                  <w:spacing w:val="-2"/>
                                  <w:sz w:val="16"/>
                                </w:rPr>
                                <w:t>County</w:t>
                              </w:r>
                            </w:p>
                            <w:p>
                              <w:pPr>
                                <w:spacing w:line="180" w:lineRule="exact" w:before="0"/>
                                <w:ind w:left="1123" w:right="0" w:firstLine="0"/>
                                <w:jc w:val="left"/>
                                <w:rPr>
                                  <w:sz w:val="16"/>
                                </w:rPr>
                              </w:pPr>
                              <w:r>
                                <w:rPr>
                                  <w:color w:val="FFFFFF"/>
                                  <w:sz w:val="16"/>
                                </w:rPr>
                                <w:t>Photo</w:t>
                              </w:r>
                              <w:r>
                                <w:rPr>
                                  <w:color w:val="FFFFFF"/>
                                  <w:spacing w:val="-5"/>
                                  <w:sz w:val="16"/>
                                </w:rPr>
                                <w:t> </w:t>
                              </w:r>
                              <w:r>
                                <w:rPr>
                                  <w:color w:val="FFFFFF"/>
                                  <w:sz w:val="16"/>
                                </w:rPr>
                                <w:t>by</w:t>
                              </w:r>
                              <w:r>
                                <w:rPr>
                                  <w:color w:val="FFFFFF"/>
                                  <w:spacing w:val="-4"/>
                                  <w:sz w:val="16"/>
                                </w:rPr>
                                <w:t> </w:t>
                              </w:r>
                              <w:r>
                                <w:rPr>
                                  <w:color w:val="FFFFFF"/>
                                  <w:sz w:val="16"/>
                                </w:rPr>
                                <w:t>Lisa</w:t>
                              </w:r>
                              <w:r>
                                <w:rPr>
                                  <w:color w:val="FFFFFF"/>
                                  <w:spacing w:val="-4"/>
                                  <w:sz w:val="16"/>
                                </w:rPr>
                                <w:t> </w:t>
                              </w:r>
                              <w:r>
                                <w:rPr>
                                  <w:color w:val="FFFFFF"/>
                                  <w:spacing w:val="-2"/>
                                  <w:sz w:val="16"/>
                                </w:rPr>
                                <w:t>Heartman</w:t>
                              </w:r>
                            </w:p>
                            <w:p>
                              <w:pPr>
                                <w:spacing w:line="182" w:lineRule="exact" w:before="0"/>
                                <w:ind w:left="1123" w:right="0" w:firstLine="0"/>
                                <w:jc w:val="left"/>
                                <w:rPr>
                                  <w:sz w:val="16"/>
                                </w:rPr>
                              </w:pPr>
                              <w:r>
                                <w:rPr>
                                  <w:color w:val="FFFFFF"/>
                                  <w:sz w:val="16"/>
                                </w:rPr>
                                <w:t>Courtesy</w:t>
                              </w:r>
                              <w:r>
                                <w:rPr>
                                  <w:color w:val="FFFFFF"/>
                                  <w:spacing w:val="-4"/>
                                  <w:sz w:val="16"/>
                                </w:rPr>
                                <w:t> </w:t>
                              </w:r>
                              <w:r>
                                <w:rPr>
                                  <w:color w:val="FFFFFF"/>
                                  <w:sz w:val="16"/>
                                </w:rPr>
                                <w:t>of</w:t>
                              </w:r>
                              <w:r>
                                <w:rPr>
                                  <w:color w:val="FFFFFF"/>
                                  <w:spacing w:val="-3"/>
                                  <w:sz w:val="16"/>
                                </w:rPr>
                                <w:t> </w:t>
                              </w:r>
                              <w:r>
                                <w:rPr>
                                  <w:color w:val="FFFFFF"/>
                                  <w:sz w:val="16"/>
                                </w:rPr>
                                <w:t>Yates</w:t>
                              </w:r>
                              <w:r>
                                <w:rPr>
                                  <w:color w:val="FFFFFF"/>
                                  <w:spacing w:val="-3"/>
                                  <w:sz w:val="16"/>
                                </w:rPr>
                                <w:t> </w:t>
                              </w:r>
                              <w:r>
                                <w:rPr>
                                  <w:color w:val="FFFFFF"/>
                                  <w:sz w:val="16"/>
                                </w:rPr>
                                <w:t>County</w:t>
                              </w:r>
                              <w:r>
                                <w:rPr>
                                  <w:color w:val="FFFFFF"/>
                                  <w:spacing w:val="-4"/>
                                  <w:sz w:val="16"/>
                                </w:rPr>
                                <w:t> </w:t>
                              </w:r>
                              <w:r>
                                <w:rPr>
                                  <w:color w:val="FFFFFF"/>
                                  <w:sz w:val="16"/>
                                </w:rPr>
                                <w:t>Public</w:t>
                              </w:r>
                              <w:r>
                                <w:rPr>
                                  <w:color w:val="FFFFFF"/>
                                  <w:spacing w:val="-3"/>
                                  <w:sz w:val="16"/>
                                </w:rPr>
                                <w:t> </w:t>
                              </w:r>
                              <w:r>
                                <w:rPr>
                                  <w:color w:val="FFFFFF"/>
                                  <w:spacing w:val="-2"/>
                                  <w:sz w:val="16"/>
                                </w:rPr>
                                <w:t>Health</w:t>
                              </w:r>
                            </w:p>
                          </w:txbxContent>
                        </wps:txbx>
                        <wps:bodyPr wrap="square" lIns="0" tIns="0" rIns="0" bIns="0" rtlCol="0">
                          <a:noAutofit/>
                        </wps:bodyPr>
                      </wps:wsp>
                    </wpg:wgp>
                  </a:graphicData>
                </a:graphic>
              </wp:anchor>
            </w:drawing>
          </mc:Choice>
          <mc:Fallback>
            <w:pict>
              <v:group style="position:absolute;margin-left:0pt;margin-top:30.490612pt;width:612pt;height:233.3pt;mso-position-horizontal-relative:page;mso-position-vertical-relative:paragraph;z-index:15911424" id="docshapegroup1343" coordorigin="0,610" coordsize="12240,4666">
                <v:shape style="position:absolute;left:0;top:4660;width:895;height:291" type="#_x0000_t75" id="docshape1344" stroked="false">
                  <v:imagedata r:id="rId39" o:title=""/>
                </v:shape>
                <v:shape style="position:absolute;left:0;top:609;width:12240;height:4666" type="#_x0000_t75" id="docshape1345" stroked="false">
                  <v:imagedata r:id="rId238" o:title=""/>
                </v:shape>
                <v:shape style="position:absolute;left:0;top:609;width:12240;height:4666" type="#_x0000_t202" id="docshape1346" filled="false" stroked="false">
                  <v:textbox inset="0,0,0,0">
                    <w:txbxContent>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65"/>
                          <w:rPr>
                            <w:b/>
                            <w:sz w:val="16"/>
                          </w:rPr>
                        </w:pPr>
                      </w:p>
                      <w:p>
                        <w:pPr>
                          <w:spacing w:line="182" w:lineRule="exact" w:before="0"/>
                          <w:ind w:left="1123" w:right="0" w:firstLine="0"/>
                          <w:jc w:val="left"/>
                          <w:rPr>
                            <w:sz w:val="16"/>
                          </w:rPr>
                        </w:pPr>
                        <w:r>
                          <w:rPr>
                            <w:color w:val="FFFFFF"/>
                            <w:spacing w:val="-6"/>
                            <w:sz w:val="16"/>
                          </w:rPr>
                          <w:t>Yates</w:t>
                        </w:r>
                        <w:r>
                          <w:rPr>
                            <w:color w:val="FFFFFF"/>
                            <w:spacing w:val="-3"/>
                            <w:sz w:val="16"/>
                          </w:rPr>
                          <w:t> </w:t>
                        </w:r>
                        <w:r>
                          <w:rPr>
                            <w:color w:val="FFFFFF"/>
                            <w:spacing w:val="-2"/>
                            <w:sz w:val="16"/>
                          </w:rPr>
                          <w:t>County</w:t>
                        </w:r>
                      </w:p>
                      <w:p>
                        <w:pPr>
                          <w:spacing w:line="180" w:lineRule="exact" w:before="0"/>
                          <w:ind w:left="1123" w:right="0" w:firstLine="0"/>
                          <w:jc w:val="left"/>
                          <w:rPr>
                            <w:sz w:val="16"/>
                          </w:rPr>
                        </w:pPr>
                        <w:r>
                          <w:rPr>
                            <w:color w:val="FFFFFF"/>
                            <w:sz w:val="16"/>
                          </w:rPr>
                          <w:t>Photo</w:t>
                        </w:r>
                        <w:r>
                          <w:rPr>
                            <w:color w:val="FFFFFF"/>
                            <w:spacing w:val="-5"/>
                            <w:sz w:val="16"/>
                          </w:rPr>
                          <w:t> </w:t>
                        </w:r>
                        <w:r>
                          <w:rPr>
                            <w:color w:val="FFFFFF"/>
                            <w:sz w:val="16"/>
                          </w:rPr>
                          <w:t>by</w:t>
                        </w:r>
                        <w:r>
                          <w:rPr>
                            <w:color w:val="FFFFFF"/>
                            <w:spacing w:val="-4"/>
                            <w:sz w:val="16"/>
                          </w:rPr>
                          <w:t> </w:t>
                        </w:r>
                        <w:r>
                          <w:rPr>
                            <w:color w:val="FFFFFF"/>
                            <w:sz w:val="16"/>
                          </w:rPr>
                          <w:t>Lisa</w:t>
                        </w:r>
                        <w:r>
                          <w:rPr>
                            <w:color w:val="FFFFFF"/>
                            <w:spacing w:val="-4"/>
                            <w:sz w:val="16"/>
                          </w:rPr>
                          <w:t> </w:t>
                        </w:r>
                        <w:r>
                          <w:rPr>
                            <w:color w:val="FFFFFF"/>
                            <w:spacing w:val="-2"/>
                            <w:sz w:val="16"/>
                          </w:rPr>
                          <w:t>Heartman</w:t>
                        </w:r>
                      </w:p>
                      <w:p>
                        <w:pPr>
                          <w:spacing w:line="182" w:lineRule="exact" w:before="0"/>
                          <w:ind w:left="1123" w:right="0" w:firstLine="0"/>
                          <w:jc w:val="left"/>
                          <w:rPr>
                            <w:sz w:val="16"/>
                          </w:rPr>
                        </w:pPr>
                        <w:r>
                          <w:rPr>
                            <w:color w:val="FFFFFF"/>
                            <w:sz w:val="16"/>
                          </w:rPr>
                          <w:t>Courtesy</w:t>
                        </w:r>
                        <w:r>
                          <w:rPr>
                            <w:color w:val="FFFFFF"/>
                            <w:spacing w:val="-4"/>
                            <w:sz w:val="16"/>
                          </w:rPr>
                          <w:t> </w:t>
                        </w:r>
                        <w:r>
                          <w:rPr>
                            <w:color w:val="FFFFFF"/>
                            <w:sz w:val="16"/>
                          </w:rPr>
                          <w:t>of</w:t>
                        </w:r>
                        <w:r>
                          <w:rPr>
                            <w:color w:val="FFFFFF"/>
                            <w:spacing w:val="-3"/>
                            <w:sz w:val="16"/>
                          </w:rPr>
                          <w:t> </w:t>
                        </w:r>
                        <w:r>
                          <w:rPr>
                            <w:color w:val="FFFFFF"/>
                            <w:sz w:val="16"/>
                          </w:rPr>
                          <w:t>Yates</w:t>
                        </w:r>
                        <w:r>
                          <w:rPr>
                            <w:color w:val="FFFFFF"/>
                            <w:spacing w:val="-3"/>
                            <w:sz w:val="16"/>
                          </w:rPr>
                          <w:t> </w:t>
                        </w:r>
                        <w:r>
                          <w:rPr>
                            <w:color w:val="FFFFFF"/>
                            <w:sz w:val="16"/>
                          </w:rPr>
                          <w:t>County</w:t>
                        </w:r>
                        <w:r>
                          <w:rPr>
                            <w:color w:val="FFFFFF"/>
                            <w:spacing w:val="-4"/>
                            <w:sz w:val="16"/>
                          </w:rPr>
                          <w:t> </w:t>
                        </w:r>
                        <w:r>
                          <w:rPr>
                            <w:color w:val="FFFFFF"/>
                            <w:sz w:val="16"/>
                          </w:rPr>
                          <w:t>Public</w:t>
                        </w:r>
                        <w:r>
                          <w:rPr>
                            <w:color w:val="FFFFFF"/>
                            <w:spacing w:val="-3"/>
                            <w:sz w:val="16"/>
                          </w:rPr>
                          <w:t> </w:t>
                        </w:r>
                        <w:r>
                          <w:rPr>
                            <w:color w:val="FFFFFF"/>
                            <w:spacing w:val="-2"/>
                            <w:sz w:val="16"/>
                          </w:rPr>
                          <w:t>Health</w:t>
                        </w:r>
                      </w:p>
                    </w:txbxContent>
                  </v:textbox>
                  <w10:wrap type="none"/>
                </v:shape>
                <w10:wrap type="none"/>
              </v:group>
            </w:pict>
          </mc:Fallback>
        </mc:AlternateContent>
      </w:r>
      <w:r>
        <w:rPr>
          <w:color w:val="105C84"/>
        </w:rPr>
        <w:t>The Community Health Improvement Plan progress and implementation will be overseen by Choose Health</w:t>
      </w:r>
      <w:r>
        <w:rPr>
          <w:color w:val="105C84"/>
          <w:spacing w:val="29"/>
        </w:rPr>
        <w:t> </w:t>
      </w:r>
      <w:r>
        <w:rPr>
          <w:color w:val="105C84"/>
        </w:rPr>
        <w:t>Yates,</w:t>
      </w:r>
      <w:r>
        <w:rPr>
          <w:color w:val="105C84"/>
          <w:spacing w:val="29"/>
        </w:rPr>
        <w:t> </w:t>
      </w:r>
      <w:r>
        <w:rPr>
          <w:color w:val="105C84"/>
        </w:rPr>
        <w:t>a</w:t>
      </w:r>
      <w:r>
        <w:rPr>
          <w:color w:val="105C84"/>
          <w:spacing w:val="29"/>
        </w:rPr>
        <w:t> </w:t>
      </w:r>
      <w:r>
        <w:rPr>
          <w:color w:val="105C84"/>
        </w:rPr>
        <w:t>group</w:t>
      </w:r>
      <w:r>
        <w:rPr>
          <w:color w:val="105C84"/>
          <w:spacing w:val="29"/>
        </w:rPr>
        <w:t> </w:t>
      </w:r>
      <w:r>
        <w:rPr>
          <w:color w:val="105C84"/>
        </w:rPr>
        <w:t>that</w:t>
      </w:r>
      <w:r>
        <w:rPr>
          <w:color w:val="105C84"/>
          <w:spacing w:val="29"/>
        </w:rPr>
        <w:t> </w:t>
      </w:r>
      <w:r>
        <w:rPr>
          <w:color w:val="105C84"/>
        </w:rPr>
        <w:t>meets</w:t>
      </w:r>
      <w:r>
        <w:rPr>
          <w:color w:val="105C84"/>
          <w:spacing w:val="29"/>
        </w:rPr>
        <w:t> </w:t>
      </w:r>
      <w:r>
        <w:rPr>
          <w:color w:val="105C84"/>
        </w:rPr>
        <w:t>bi-monthly</w:t>
      </w:r>
      <w:r>
        <w:rPr>
          <w:color w:val="105C84"/>
          <w:spacing w:val="29"/>
        </w:rPr>
        <w:t> </w:t>
      </w:r>
      <w:r>
        <w:rPr>
          <w:color w:val="105C84"/>
        </w:rPr>
        <w:t>and</w:t>
      </w:r>
      <w:r>
        <w:rPr>
          <w:color w:val="105C84"/>
          <w:spacing w:val="29"/>
        </w:rPr>
        <w:t> </w:t>
      </w:r>
      <w:r>
        <w:rPr>
          <w:color w:val="105C84"/>
        </w:rPr>
        <w:t>brings</w:t>
      </w:r>
      <w:r>
        <w:rPr>
          <w:color w:val="105C84"/>
          <w:spacing w:val="29"/>
        </w:rPr>
        <w:t> </w:t>
      </w:r>
      <w:r>
        <w:rPr>
          <w:color w:val="105C84"/>
        </w:rPr>
        <w:t>together</w:t>
      </w:r>
      <w:r>
        <w:rPr>
          <w:color w:val="105C84"/>
          <w:spacing w:val="29"/>
        </w:rPr>
        <w:t> </w:t>
      </w:r>
      <w:r>
        <w:rPr>
          <w:color w:val="105C84"/>
        </w:rPr>
        <w:t>diverse</w:t>
      </w:r>
      <w:r>
        <w:rPr>
          <w:color w:val="105C84"/>
          <w:spacing w:val="29"/>
        </w:rPr>
        <w:t> </w:t>
      </w:r>
      <w:r>
        <w:rPr>
          <w:color w:val="105C84"/>
        </w:rPr>
        <w:t>partners</w:t>
      </w:r>
      <w:r>
        <w:rPr>
          <w:color w:val="105C84"/>
          <w:spacing w:val="29"/>
        </w:rPr>
        <w:t> </w:t>
      </w:r>
      <w:r>
        <w:rPr>
          <w:color w:val="105C84"/>
        </w:rPr>
        <w:t>to</w:t>
      </w:r>
      <w:r>
        <w:rPr>
          <w:color w:val="105C84"/>
          <w:spacing w:val="29"/>
        </w:rPr>
        <w:t> </w:t>
      </w:r>
      <w:r>
        <w:rPr>
          <w:color w:val="105C84"/>
        </w:rPr>
        <w:t>improve</w:t>
      </w:r>
      <w:r>
        <w:rPr>
          <w:color w:val="105C84"/>
          <w:spacing w:val="29"/>
        </w:rPr>
        <w:t> </w:t>
      </w:r>
      <w:r>
        <w:rPr>
          <w:color w:val="105C84"/>
        </w:rPr>
        <w:t>the health</w:t>
      </w:r>
      <w:r>
        <w:rPr>
          <w:color w:val="105C84"/>
          <w:spacing w:val="17"/>
        </w:rPr>
        <w:t> </w:t>
      </w:r>
      <w:r>
        <w:rPr>
          <w:color w:val="105C84"/>
        </w:rPr>
        <w:t>of</w:t>
      </w:r>
      <w:r>
        <w:rPr>
          <w:color w:val="105C84"/>
          <w:spacing w:val="17"/>
        </w:rPr>
        <w:t> </w:t>
      </w:r>
      <w:r>
        <w:rPr>
          <w:color w:val="105C84"/>
        </w:rPr>
        <w:t>its</w:t>
      </w:r>
      <w:r>
        <w:rPr>
          <w:color w:val="105C84"/>
          <w:spacing w:val="17"/>
        </w:rPr>
        <w:t> </w:t>
      </w:r>
      <w:r>
        <w:rPr>
          <w:color w:val="105C84"/>
        </w:rPr>
        <w:t>residents.</w:t>
      </w:r>
      <w:r>
        <w:rPr>
          <w:color w:val="105C84"/>
          <w:spacing w:val="17"/>
        </w:rPr>
        <w:t> </w:t>
      </w:r>
      <w:r>
        <w:rPr>
          <w:color w:val="105C84"/>
        </w:rPr>
        <w:t>Progress</w:t>
      </w:r>
      <w:r>
        <w:rPr>
          <w:color w:val="105C84"/>
          <w:spacing w:val="17"/>
        </w:rPr>
        <w:t> </w:t>
      </w:r>
      <w:r>
        <w:rPr>
          <w:color w:val="105C84"/>
        </w:rPr>
        <w:t>and</w:t>
      </w:r>
      <w:r>
        <w:rPr>
          <w:color w:val="105C84"/>
          <w:spacing w:val="17"/>
        </w:rPr>
        <w:t> </w:t>
      </w:r>
      <w:r>
        <w:rPr>
          <w:color w:val="105C84"/>
        </w:rPr>
        <w:t>relevant</w:t>
      </w:r>
      <w:r>
        <w:rPr>
          <w:color w:val="105C84"/>
          <w:spacing w:val="17"/>
        </w:rPr>
        <w:t> </w:t>
      </w:r>
      <w:r>
        <w:rPr>
          <w:color w:val="105C84"/>
        </w:rPr>
        <w:t>data</w:t>
      </w:r>
      <w:r>
        <w:rPr>
          <w:color w:val="105C84"/>
          <w:spacing w:val="17"/>
        </w:rPr>
        <w:t> </w:t>
      </w:r>
      <w:r>
        <w:rPr>
          <w:color w:val="105C84"/>
        </w:rPr>
        <w:t>on</w:t>
      </w:r>
      <w:r>
        <w:rPr>
          <w:color w:val="105C84"/>
          <w:spacing w:val="17"/>
        </w:rPr>
        <w:t> </w:t>
      </w:r>
      <w:r>
        <w:rPr>
          <w:color w:val="105C84"/>
        </w:rPr>
        <w:t>each</w:t>
      </w:r>
      <w:r>
        <w:rPr>
          <w:color w:val="105C84"/>
          <w:spacing w:val="17"/>
        </w:rPr>
        <w:t> </w:t>
      </w:r>
      <w:r>
        <w:rPr>
          <w:color w:val="105C84"/>
        </w:rPr>
        <w:t>measure</w:t>
      </w:r>
      <w:r>
        <w:rPr>
          <w:color w:val="105C84"/>
          <w:spacing w:val="17"/>
        </w:rPr>
        <w:t> </w:t>
      </w:r>
      <w:r>
        <w:rPr>
          <w:color w:val="105C84"/>
        </w:rPr>
        <w:t>will</w:t>
      </w:r>
      <w:r>
        <w:rPr>
          <w:color w:val="105C84"/>
          <w:spacing w:val="17"/>
        </w:rPr>
        <w:t> </w:t>
      </w:r>
      <w:r>
        <w:rPr>
          <w:color w:val="105C84"/>
        </w:rPr>
        <w:t>be</w:t>
      </w:r>
      <w:r>
        <w:rPr>
          <w:color w:val="105C84"/>
          <w:spacing w:val="17"/>
        </w:rPr>
        <w:t> </w:t>
      </w:r>
      <w:r>
        <w:rPr>
          <w:color w:val="105C84"/>
        </w:rPr>
        <w:t>regularly</w:t>
      </w:r>
      <w:r>
        <w:rPr>
          <w:color w:val="105C84"/>
          <w:spacing w:val="17"/>
        </w:rPr>
        <w:t> </w:t>
      </w:r>
      <w:r>
        <w:rPr>
          <w:color w:val="105C84"/>
        </w:rPr>
        <w:t>reviewed</w:t>
      </w:r>
      <w:r>
        <w:rPr>
          <w:color w:val="105C84"/>
          <w:spacing w:val="17"/>
        </w:rPr>
        <w:t> </w:t>
      </w:r>
      <w:r>
        <w:rPr>
          <w:color w:val="105C84"/>
        </w:rPr>
        <w:t>at</w:t>
      </w:r>
      <w:r>
        <w:rPr>
          <w:color w:val="105C84"/>
        </w:rPr>
        <w:t> these meetings. Group members will identify and address any mid-course corrections in interventions and processes that need to take place during these meetings.</w:t>
      </w:r>
    </w:p>
    <w:p>
      <w:pPr>
        <w:pStyle w:val="BodyText"/>
        <w:spacing w:before="16"/>
      </w:pPr>
    </w:p>
    <w:p>
      <w:pPr>
        <w:pStyle w:val="Heading6"/>
        <w:ind w:left="1085"/>
      </w:pPr>
      <w:r>
        <w:rPr>
          <w:color w:val="105C84"/>
          <w:spacing w:val="-2"/>
        </w:rPr>
        <w:t>Dissemination</w:t>
      </w:r>
    </w:p>
    <w:p>
      <w:pPr>
        <w:pStyle w:val="BodyText"/>
        <w:spacing w:line="247" w:lineRule="auto" w:before="268"/>
        <w:ind w:left="1085" w:right="581"/>
      </w:pPr>
      <w:r>
        <w:rPr>
          <w:color w:val="105C84"/>
        </w:rPr>
        <w:t>The Community Health Assessment and Community Health Improvement plan will be disseminated via email to key stakeholders and governing bodies including the Yates County Legislature, Choose Health Yates and County Departments. The plan will be posted to the county website at </w:t>
      </w:r>
      <w:hyperlink r:id="rId239">
        <w:r>
          <w:rPr>
            <w:color w:val="105C84"/>
          </w:rPr>
          <w:t>www.</w:t>
        </w:r>
      </w:hyperlink>
      <w:r>
        <w:rPr>
          <w:color w:val="105C84"/>
        </w:rPr>
        <w:t> yatescounty.org. Hard copies will be provide to the local libraries for ease of access by members</w:t>
      </w:r>
    </w:p>
    <w:p>
      <w:pPr>
        <w:pStyle w:val="BodyText"/>
        <w:spacing w:line="247" w:lineRule="auto"/>
        <w:ind w:left="1085" w:right="581"/>
      </w:pPr>
      <w:r>
        <w:rPr>
          <w:color w:val="105C84"/>
        </w:rPr>
        <w:t>of the public that may not have internet access. Public service announcements to the local media outlets</w:t>
      </w:r>
      <w:r>
        <w:rPr>
          <w:color w:val="105C84"/>
          <w:spacing w:val="21"/>
        </w:rPr>
        <w:t> </w:t>
      </w:r>
      <w:r>
        <w:rPr>
          <w:color w:val="105C84"/>
        </w:rPr>
        <w:t>and</w:t>
      </w:r>
      <w:r>
        <w:rPr>
          <w:color w:val="105C84"/>
          <w:spacing w:val="21"/>
        </w:rPr>
        <w:t> </w:t>
      </w:r>
      <w:r>
        <w:rPr>
          <w:color w:val="105C84"/>
        </w:rPr>
        <w:t>social</w:t>
      </w:r>
      <w:r>
        <w:rPr>
          <w:color w:val="105C84"/>
          <w:spacing w:val="21"/>
        </w:rPr>
        <w:t> </w:t>
      </w:r>
      <w:r>
        <w:rPr>
          <w:color w:val="105C84"/>
        </w:rPr>
        <w:t>media</w:t>
      </w:r>
      <w:r>
        <w:rPr>
          <w:color w:val="105C84"/>
          <w:spacing w:val="21"/>
        </w:rPr>
        <w:t> </w:t>
      </w:r>
      <w:r>
        <w:rPr>
          <w:color w:val="105C84"/>
        </w:rPr>
        <w:t>posts</w:t>
      </w:r>
      <w:r>
        <w:rPr>
          <w:color w:val="105C84"/>
          <w:spacing w:val="21"/>
        </w:rPr>
        <w:t> </w:t>
      </w:r>
      <w:r>
        <w:rPr>
          <w:color w:val="105C84"/>
        </w:rPr>
        <w:t>will</w:t>
      </w:r>
      <w:r>
        <w:rPr>
          <w:color w:val="105C84"/>
          <w:spacing w:val="21"/>
        </w:rPr>
        <w:t> </w:t>
      </w:r>
      <w:r>
        <w:rPr>
          <w:color w:val="105C84"/>
        </w:rPr>
        <w:t>be</w:t>
      </w:r>
      <w:r>
        <w:rPr>
          <w:color w:val="105C84"/>
          <w:spacing w:val="21"/>
        </w:rPr>
        <w:t> </w:t>
      </w:r>
      <w:r>
        <w:rPr>
          <w:color w:val="105C84"/>
        </w:rPr>
        <w:t>used</w:t>
      </w:r>
      <w:r>
        <w:rPr>
          <w:color w:val="105C84"/>
          <w:spacing w:val="21"/>
        </w:rPr>
        <w:t> </w:t>
      </w:r>
      <w:r>
        <w:rPr>
          <w:color w:val="105C84"/>
        </w:rPr>
        <w:t>to</w:t>
      </w:r>
      <w:r>
        <w:rPr>
          <w:color w:val="105C84"/>
          <w:spacing w:val="21"/>
        </w:rPr>
        <w:t> </w:t>
      </w:r>
      <w:r>
        <w:rPr>
          <w:color w:val="105C84"/>
        </w:rPr>
        <w:t>inform</w:t>
      </w:r>
      <w:r>
        <w:rPr>
          <w:color w:val="105C84"/>
          <w:spacing w:val="21"/>
        </w:rPr>
        <w:t> </w:t>
      </w:r>
      <w:r>
        <w:rPr>
          <w:color w:val="105C84"/>
        </w:rPr>
        <w:t>the</w:t>
      </w:r>
      <w:r>
        <w:rPr>
          <w:color w:val="105C84"/>
          <w:spacing w:val="21"/>
        </w:rPr>
        <w:t> </w:t>
      </w:r>
      <w:r>
        <w:rPr>
          <w:color w:val="105C84"/>
        </w:rPr>
        <w:t>public</w:t>
      </w:r>
      <w:r>
        <w:rPr>
          <w:color w:val="105C84"/>
          <w:spacing w:val="21"/>
        </w:rPr>
        <w:t> </w:t>
      </w:r>
      <w:r>
        <w:rPr>
          <w:color w:val="105C84"/>
        </w:rPr>
        <w:t>how</w:t>
      </w:r>
      <w:r>
        <w:rPr>
          <w:color w:val="105C84"/>
          <w:spacing w:val="21"/>
        </w:rPr>
        <w:t> </w:t>
      </w:r>
      <w:r>
        <w:rPr>
          <w:color w:val="105C84"/>
        </w:rPr>
        <w:t>they</w:t>
      </w:r>
      <w:r>
        <w:rPr>
          <w:color w:val="105C84"/>
          <w:spacing w:val="21"/>
        </w:rPr>
        <w:t> </w:t>
      </w:r>
      <w:r>
        <w:rPr>
          <w:color w:val="105C84"/>
        </w:rPr>
        <w:t>can</w:t>
      </w:r>
      <w:r>
        <w:rPr>
          <w:color w:val="105C84"/>
          <w:spacing w:val="21"/>
        </w:rPr>
        <w:t> </w:t>
      </w:r>
      <w:r>
        <w:rPr>
          <w:color w:val="105C84"/>
        </w:rPr>
        <w:t>access</w:t>
      </w:r>
      <w:r>
        <w:rPr>
          <w:color w:val="105C84"/>
          <w:spacing w:val="21"/>
        </w:rPr>
        <w:t> </w:t>
      </w:r>
      <w:r>
        <w:rPr>
          <w:color w:val="105C84"/>
        </w:rPr>
        <w:t>the</w:t>
      </w:r>
      <w:r>
        <w:rPr>
          <w:color w:val="105C84"/>
          <w:spacing w:val="21"/>
        </w:rPr>
        <w:t> </w:t>
      </w:r>
      <w:r>
        <w:rPr>
          <w:color w:val="105C84"/>
        </w:rPr>
        <w:t>plan.</w:t>
      </w:r>
    </w:p>
    <w:p>
      <w:pPr>
        <w:pStyle w:val="BodyText"/>
        <w:spacing w:after="0" w:line="247" w:lineRule="auto"/>
        <w:sectPr>
          <w:type w:val="continuous"/>
          <w:pgSz w:w="24480" w:h="15840" w:orient="landscape"/>
          <w:pgMar w:header="0" w:footer="0" w:top="0" w:bottom="280" w:left="0" w:right="720"/>
          <w:cols w:num="2" w:equalWidth="0">
            <w:col w:w="11169" w:space="1065"/>
            <w:col w:w="11526"/>
          </w:cols>
        </w:sectPr>
      </w:pPr>
    </w:p>
    <w:p>
      <w:pPr>
        <w:pStyle w:val="BodyText"/>
        <w:rPr>
          <w:sz w:val="26"/>
        </w:rPr>
      </w:pPr>
      <w:r>
        <w:rPr>
          <w:sz w:val="26"/>
        </w:rPr>
        <w:drawing>
          <wp:anchor distT="0" distB="0" distL="0" distR="0" allowOverlap="1" layoutInCell="1" locked="0" behindDoc="0" simplePos="0" relativeHeight="15910912">
            <wp:simplePos x="0" y="0"/>
            <wp:positionH relativeFrom="page">
              <wp:posOffset>14981556</wp:posOffset>
            </wp:positionH>
            <wp:positionV relativeFrom="page">
              <wp:posOffset>9668103</wp:posOffset>
            </wp:positionV>
            <wp:extent cx="563245" cy="184683"/>
            <wp:effectExtent l="0" t="0" r="0" b="0"/>
            <wp:wrapNone/>
            <wp:docPr id="1701" name="Image 1701"/>
            <wp:cNvGraphicFramePr>
              <a:graphicFrameLocks/>
            </wp:cNvGraphicFramePr>
            <a:graphic>
              <a:graphicData uri="http://schemas.openxmlformats.org/drawingml/2006/picture">
                <pic:pic>
                  <pic:nvPicPr>
                    <pic:cNvPr id="1701" name="Image 1701"/>
                    <pic:cNvPicPr/>
                  </pic:nvPicPr>
                  <pic:blipFill>
                    <a:blip r:embed="rId38" cstate="print"/>
                    <a:stretch>
                      <a:fillRect/>
                    </a:stretch>
                  </pic:blipFill>
                  <pic:spPr>
                    <a:xfrm>
                      <a:off x="0" y="0"/>
                      <a:ext cx="563245" cy="184683"/>
                    </a:xfrm>
                    <a:prstGeom prst="rect">
                      <a:avLst/>
                    </a:prstGeom>
                  </pic:spPr>
                </pic:pic>
              </a:graphicData>
            </a:graphic>
          </wp:anchor>
        </w:drawing>
      </w:r>
    </w:p>
    <w:p>
      <w:pPr>
        <w:pStyle w:val="BodyText"/>
        <w:spacing w:before="180"/>
        <w:rPr>
          <w:sz w:val="26"/>
        </w:rPr>
      </w:pPr>
    </w:p>
    <w:p>
      <w:pPr>
        <w:pStyle w:val="Heading6"/>
        <w:ind w:left="0" w:right="249"/>
        <w:jc w:val="right"/>
      </w:pPr>
      <w:r>
        <w:rPr/>
        <mc:AlternateContent>
          <mc:Choice Requires="wps">
            <w:drawing>
              <wp:anchor distT="0" distB="0" distL="0" distR="0" allowOverlap="1" layoutInCell="1" locked="0" behindDoc="1" simplePos="0" relativeHeight="475137024">
                <wp:simplePos x="0" y="0"/>
                <wp:positionH relativeFrom="page">
                  <wp:posOffset>593344</wp:posOffset>
                </wp:positionH>
                <wp:positionV relativeFrom="paragraph">
                  <wp:posOffset>-9738</wp:posOffset>
                </wp:positionV>
                <wp:extent cx="265430" cy="226060"/>
                <wp:effectExtent l="0" t="0" r="0" b="0"/>
                <wp:wrapNone/>
                <wp:docPr id="1702" name="Textbox 1702"/>
                <wp:cNvGraphicFramePr>
                  <a:graphicFrameLocks/>
                </wp:cNvGraphicFramePr>
                <a:graphic>
                  <a:graphicData uri="http://schemas.microsoft.com/office/word/2010/wordprocessingShape">
                    <wps:wsp>
                      <wps:cNvPr id="1702" name="Textbox 1702"/>
                      <wps:cNvSpPr txBox="1"/>
                      <wps:spPr>
                        <a:xfrm>
                          <a:off x="0" y="0"/>
                          <a:ext cx="265430" cy="226060"/>
                        </a:xfrm>
                        <a:prstGeom prst="rect">
                          <a:avLst/>
                        </a:prstGeom>
                      </wps:spPr>
                      <wps:txbx>
                        <w:txbxContent>
                          <w:p>
                            <w:pPr>
                              <w:spacing w:before="16"/>
                              <w:ind w:left="0" w:right="0" w:firstLine="0"/>
                              <w:jc w:val="left"/>
                              <w:rPr>
                                <w:b/>
                                <w:sz w:val="26"/>
                              </w:rPr>
                            </w:pPr>
                            <w:r>
                              <w:rPr>
                                <w:b/>
                                <w:color w:val="939598"/>
                                <w:spacing w:val="-17"/>
                                <w:w w:val="105"/>
                                <w:sz w:val="26"/>
                              </w:rPr>
                              <w:t>109</w:t>
                            </w:r>
                          </w:p>
                        </w:txbxContent>
                      </wps:txbx>
                      <wps:bodyPr wrap="square" lIns="0" tIns="0" rIns="0" bIns="0" rtlCol="0">
                        <a:noAutofit/>
                      </wps:bodyPr>
                    </wps:wsp>
                  </a:graphicData>
                </a:graphic>
              </wp:anchor>
            </w:drawing>
          </mc:Choice>
          <mc:Fallback>
            <w:pict>
              <v:shape style="position:absolute;margin-left:46.720001pt;margin-top:-.766834pt;width:20.9pt;height:17.8pt;mso-position-horizontal-relative:page;mso-position-vertical-relative:paragraph;z-index:-28179456" type="#_x0000_t202" id="docshape1347" filled="false" stroked="false">
                <v:textbox inset="0,0,0,0">
                  <w:txbxContent>
                    <w:p>
                      <w:pPr>
                        <w:spacing w:before="16"/>
                        <w:ind w:left="0" w:right="0" w:firstLine="0"/>
                        <w:jc w:val="left"/>
                        <w:rPr>
                          <w:b/>
                          <w:sz w:val="26"/>
                        </w:rPr>
                      </w:pPr>
                      <w:r>
                        <w:rPr>
                          <w:b/>
                          <w:color w:val="939598"/>
                          <w:spacing w:val="-17"/>
                          <w:w w:val="105"/>
                          <w:sz w:val="26"/>
                        </w:rPr>
                        <w:t>109</w:t>
                      </w:r>
                    </w:p>
                  </w:txbxContent>
                </v:textbox>
                <w10:wrap type="none"/>
              </v:shape>
            </w:pict>
          </mc:Fallback>
        </mc:AlternateContent>
      </w:r>
      <w:r>
        <w:rPr>
          <w:color w:val="939598"/>
          <w:spacing w:val="-5"/>
          <w:w w:val="105"/>
        </w:rPr>
        <w:t>110</w:t>
      </w:r>
    </w:p>
    <w:p>
      <w:pPr>
        <w:pStyle w:val="Heading6"/>
        <w:spacing w:after="0"/>
        <w:jc w:val="right"/>
        <w:sectPr>
          <w:type w:val="continuous"/>
          <w:pgSz w:w="24480" w:h="15840" w:orient="landscape"/>
          <w:pgMar w:header="0" w:footer="0" w:top="0" w:bottom="280" w:left="0" w:right="720"/>
        </w:sectPr>
      </w:pPr>
    </w:p>
    <w:p>
      <w:pPr>
        <w:pStyle w:val="Heading2"/>
      </w:pPr>
      <w:r>
        <w:rPr/>
        <w:drawing>
          <wp:anchor distT="0" distB="0" distL="0" distR="0" allowOverlap="1" layoutInCell="1" locked="0" behindDoc="0" simplePos="0" relativeHeight="15917568">
            <wp:simplePos x="0" y="0"/>
            <wp:positionH relativeFrom="page">
              <wp:posOffset>14981556</wp:posOffset>
            </wp:positionH>
            <wp:positionV relativeFrom="page">
              <wp:posOffset>9668103</wp:posOffset>
            </wp:positionV>
            <wp:extent cx="563245" cy="184683"/>
            <wp:effectExtent l="0" t="0" r="0" b="0"/>
            <wp:wrapNone/>
            <wp:docPr id="1708" name="Image 1708"/>
            <wp:cNvGraphicFramePr>
              <a:graphicFrameLocks/>
            </wp:cNvGraphicFramePr>
            <a:graphic>
              <a:graphicData uri="http://schemas.openxmlformats.org/drawingml/2006/picture">
                <pic:pic>
                  <pic:nvPicPr>
                    <pic:cNvPr id="1708" name="Image 1708"/>
                    <pic:cNvPicPr/>
                  </pic:nvPicPr>
                  <pic:blipFill>
                    <a:blip r:embed="rId38" cstate="print"/>
                    <a:stretch>
                      <a:fillRect/>
                    </a:stretch>
                  </pic:blipFill>
                  <pic:spPr>
                    <a:xfrm>
                      <a:off x="0" y="0"/>
                      <a:ext cx="563245" cy="184683"/>
                    </a:xfrm>
                    <a:prstGeom prst="rect">
                      <a:avLst/>
                    </a:prstGeom>
                  </pic:spPr>
                </pic:pic>
              </a:graphicData>
            </a:graphic>
          </wp:anchor>
        </w:drawing>
      </w:r>
      <w:r>
        <w:rPr/>
        <mc:AlternateContent>
          <mc:Choice Requires="wps">
            <w:drawing>
              <wp:anchor distT="0" distB="0" distL="0" distR="0" allowOverlap="1" layoutInCell="1" locked="0" behindDoc="0" simplePos="0" relativeHeight="15918080">
                <wp:simplePos x="0" y="0"/>
                <wp:positionH relativeFrom="page">
                  <wp:posOffset>12965593</wp:posOffset>
                </wp:positionH>
                <wp:positionV relativeFrom="paragraph">
                  <wp:posOffset>292608</wp:posOffset>
                </wp:positionV>
                <wp:extent cx="1918970" cy="681990"/>
                <wp:effectExtent l="0" t="0" r="0" b="0"/>
                <wp:wrapNone/>
                <wp:docPr id="1709" name="Group 1709"/>
                <wp:cNvGraphicFramePr>
                  <a:graphicFrameLocks/>
                </wp:cNvGraphicFramePr>
                <a:graphic>
                  <a:graphicData uri="http://schemas.microsoft.com/office/word/2010/wordprocessingGroup">
                    <wpg:wgp>
                      <wpg:cNvPr id="1709" name="Group 1709"/>
                      <wpg:cNvGrpSpPr/>
                      <wpg:grpSpPr>
                        <a:xfrm>
                          <a:off x="0" y="0"/>
                          <a:ext cx="1918970" cy="681990"/>
                          <a:chExt cx="1918970" cy="681990"/>
                        </a:xfrm>
                      </wpg:grpSpPr>
                      <pic:pic>
                        <pic:nvPicPr>
                          <pic:cNvPr id="1710" name="Image 1710"/>
                          <pic:cNvPicPr/>
                        </pic:nvPicPr>
                        <pic:blipFill>
                          <a:blip r:embed="rId241" cstate="print"/>
                          <a:stretch>
                            <a:fillRect/>
                          </a:stretch>
                        </pic:blipFill>
                        <pic:spPr>
                          <a:xfrm>
                            <a:off x="1275703" y="0"/>
                            <a:ext cx="643101" cy="681824"/>
                          </a:xfrm>
                          <a:prstGeom prst="rect">
                            <a:avLst/>
                          </a:prstGeom>
                        </pic:spPr>
                      </pic:pic>
                      <pic:pic>
                        <pic:nvPicPr>
                          <pic:cNvPr id="1711" name="Image 1711"/>
                          <pic:cNvPicPr/>
                        </pic:nvPicPr>
                        <pic:blipFill>
                          <a:blip r:embed="rId242" cstate="print"/>
                          <a:stretch>
                            <a:fillRect/>
                          </a:stretch>
                        </pic:blipFill>
                        <pic:spPr>
                          <a:xfrm>
                            <a:off x="0" y="91440"/>
                            <a:ext cx="1232015" cy="261461"/>
                          </a:xfrm>
                          <a:prstGeom prst="rect">
                            <a:avLst/>
                          </a:prstGeom>
                        </pic:spPr>
                      </pic:pic>
                    </wpg:wgp>
                  </a:graphicData>
                </a:graphic>
              </wp:anchor>
            </w:drawing>
          </mc:Choice>
          <mc:Fallback>
            <w:pict>
              <v:group style="position:absolute;margin-left:1020.912903pt;margin-top:23.040001pt;width:151.1pt;height:53.7pt;mso-position-horizontal-relative:page;mso-position-vertical-relative:paragraph;z-index:15918080" id="docshapegroup1353" coordorigin="20418,461" coordsize="3022,1074">
                <v:shape style="position:absolute;left:22427;top:460;width:1013;height:1074" type="#_x0000_t75" id="docshape1354" stroked="false">
                  <v:imagedata r:id="rId241" o:title=""/>
                </v:shape>
                <v:shape style="position:absolute;left:20418;top:604;width:1941;height:412" type="#_x0000_t75" id="docshape1355" stroked="false">
                  <v:imagedata r:id="rId242" o:title=""/>
                </v:shape>
                <w10:wrap type="none"/>
              </v:group>
            </w:pict>
          </mc:Fallback>
        </mc:AlternateContent>
      </w:r>
      <w:bookmarkStart w:name="_TOC_250007" w:id="12"/>
      <w:r>
        <w:rPr>
          <w:color w:val="636466"/>
        </w:rPr>
        <w:t>Chemung</w:t>
      </w:r>
      <w:r>
        <w:rPr>
          <w:color w:val="636466"/>
          <w:spacing w:val="62"/>
        </w:rPr>
        <w:t> </w:t>
      </w:r>
      <w:r>
        <w:rPr>
          <w:color w:val="636466"/>
        </w:rPr>
        <w:t>County</w:t>
      </w:r>
      <w:r>
        <w:rPr>
          <w:color w:val="636466"/>
          <w:spacing w:val="62"/>
        </w:rPr>
        <w:t> </w:t>
      </w:r>
      <w:r>
        <w:rPr>
          <w:color w:val="636466"/>
        </w:rPr>
        <w:t>Appendix</w:t>
      </w:r>
      <w:r>
        <w:rPr>
          <w:color w:val="636466"/>
          <w:spacing w:val="63"/>
        </w:rPr>
        <w:t> </w:t>
      </w:r>
      <w:bookmarkEnd w:id="12"/>
      <w:r>
        <w:rPr>
          <w:color w:val="636466"/>
          <w:spacing w:val="-10"/>
        </w:rPr>
        <w:t>A</w:t>
      </w:r>
    </w:p>
    <w:p>
      <w:pPr>
        <w:spacing w:before="235"/>
        <w:ind w:left="1089" w:right="0" w:firstLine="0"/>
        <w:jc w:val="left"/>
        <w:rPr>
          <w:b/>
          <w:sz w:val="32"/>
        </w:rPr>
      </w:pPr>
      <w:r>
        <w:rPr>
          <w:b/>
          <w:color w:val="82BF6A"/>
          <w:spacing w:val="-10"/>
          <w:sz w:val="32"/>
        </w:rPr>
        <w:t>PRIORITY:</w:t>
      </w:r>
      <w:r>
        <w:rPr>
          <w:b/>
          <w:color w:val="82BF6A"/>
          <w:spacing w:val="1"/>
          <w:sz w:val="32"/>
        </w:rPr>
        <w:t> </w:t>
      </w:r>
      <w:r>
        <w:rPr>
          <w:b/>
          <w:color w:val="82BF6A"/>
          <w:spacing w:val="-10"/>
          <w:sz w:val="32"/>
        </w:rPr>
        <w:t>PREVENT</w:t>
      </w:r>
      <w:r>
        <w:rPr>
          <w:b/>
          <w:color w:val="82BF6A"/>
          <w:spacing w:val="1"/>
          <w:sz w:val="32"/>
        </w:rPr>
        <w:t> </w:t>
      </w:r>
      <w:r>
        <w:rPr>
          <w:b/>
          <w:color w:val="82BF6A"/>
          <w:spacing w:val="-10"/>
          <w:sz w:val="32"/>
        </w:rPr>
        <w:t>CHRONIC</w:t>
      </w:r>
      <w:r>
        <w:rPr>
          <w:b/>
          <w:color w:val="82BF6A"/>
          <w:spacing w:val="1"/>
          <w:sz w:val="32"/>
        </w:rPr>
        <w:t> </w:t>
      </w:r>
      <w:r>
        <w:rPr>
          <w:b/>
          <w:color w:val="82BF6A"/>
          <w:spacing w:val="-10"/>
          <w:sz w:val="32"/>
        </w:rPr>
        <w:t>DISEASES,</w:t>
      </w:r>
      <w:r>
        <w:rPr>
          <w:b/>
          <w:color w:val="82BF6A"/>
          <w:spacing w:val="2"/>
          <w:sz w:val="32"/>
        </w:rPr>
        <w:t> </w:t>
      </w:r>
      <w:r>
        <w:rPr>
          <w:b/>
          <w:color w:val="82BF6A"/>
          <w:spacing w:val="-10"/>
          <w:sz w:val="32"/>
        </w:rPr>
        <w:t>HEALTHY</w:t>
      </w:r>
      <w:r>
        <w:rPr>
          <w:b/>
          <w:color w:val="82BF6A"/>
          <w:spacing w:val="1"/>
          <w:sz w:val="32"/>
        </w:rPr>
        <w:t> </w:t>
      </w:r>
      <w:r>
        <w:rPr>
          <w:b/>
          <w:color w:val="82BF6A"/>
          <w:spacing w:val="-10"/>
          <w:sz w:val="32"/>
        </w:rPr>
        <w:t>EATING</w:t>
      </w:r>
    </w:p>
    <w:p>
      <w:pPr>
        <w:pStyle w:val="BodyText"/>
        <w:rPr>
          <w:b/>
          <w:sz w:val="20"/>
        </w:rPr>
      </w:pPr>
    </w:p>
    <w:p>
      <w:pPr>
        <w:pStyle w:val="BodyText"/>
        <w:spacing w:before="112"/>
        <w:rPr>
          <w:b/>
          <w:sz w:val="20"/>
        </w:rPr>
      </w:pPr>
    </w:p>
    <w:tbl>
      <w:tblPr>
        <w:tblW w:w="0" w:type="auto"/>
        <w:jc w:val="left"/>
        <w:tblInd w:w="1099"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1324"/>
        <w:gridCol w:w="1814"/>
        <w:gridCol w:w="1814"/>
        <w:gridCol w:w="1814"/>
        <w:gridCol w:w="1814"/>
        <w:gridCol w:w="5932"/>
        <w:gridCol w:w="1698"/>
        <w:gridCol w:w="1740"/>
        <w:gridCol w:w="1392"/>
        <w:gridCol w:w="1661"/>
        <w:gridCol w:w="1332"/>
      </w:tblGrid>
      <w:tr>
        <w:trPr>
          <w:trHeight w:val="990" w:hRule="atLeast"/>
        </w:trPr>
        <w:tc>
          <w:tcPr>
            <w:tcW w:w="1324" w:type="dxa"/>
            <w:tcBorders>
              <w:right w:val="single" w:sz="4" w:space="0" w:color="FFFFFF"/>
            </w:tcBorders>
            <w:shd w:val="clear" w:color="auto" w:fill="A7A9AC"/>
          </w:tcPr>
          <w:p>
            <w:pPr>
              <w:pStyle w:val="TableParagraph"/>
              <w:spacing w:before="177"/>
              <w:rPr>
                <w:b/>
                <w:sz w:val="20"/>
              </w:rPr>
            </w:pPr>
          </w:p>
          <w:p>
            <w:pPr>
              <w:pStyle w:val="TableParagraph"/>
              <w:ind w:left="79"/>
              <w:rPr>
                <w:b/>
                <w:sz w:val="20"/>
              </w:rPr>
            </w:pPr>
            <w:r>
              <w:rPr>
                <w:b/>
                <w:color w:val="FFFFFF"/>
                <w:spacing w:val="-2"/>
                <w:sz w:val="20"/>
              </w:rPr>
              <w:t>Priority</w:t>
            </w:r>
          </w:p>
        </w:tc>
        <w:tc>
          <w:tcPr>
            <w:tcW w:w="1814" w:type="dxa"/>
            <w:tcBorders>
              <w:left w:val="single" w:sz="4" w:space="0" w:color="FFFFFF"/>
              <w:right w:val="single" w:sz="4" w:space="0" w:color="FFFFFF"/>
            </w:tcBorders>
            <w:shd w:val="clear" w:color="auto" w:fill="A7A9AC"/>
          </w:tcPr>
          <w:p>
            <w:pPr>
              <w:pStyle w:val="TableParagraph"/>
              <w:spacing w:before="177"/>
              <w:rPr>
                <w:b/>
                <w:sz w:val="20"/>
              </w:rPr>
            </w:pPr>
          </w:p>
          <w:p>
            <w:pPr>
              <w:pStyle w:val="TableParagraph"/>
              <w:ind w:left="80"/>
              <w:rPr>
                <w:b/>
                <w:sz w:val="20"/>
              </w:rPr>
            </w:pPr>
            <w:r>
              <w:rPr>
                <w:b/>
                <w:color w:val="FFFFFF"/>
                <w:w w:val="90"/>
                <w:sz w:val="20"/>
              </w:rPr>
              <w:t>Focus</w:t>
            </w:r>
            <w:r>
              <w:rPr>
                <w:b/>
                <w:color w:val="FFFFFF"/>
                <w:spacing w:val="8"/>
                <w:sz w:val="20"/>
              </w:rPr>
              <w:t> </w:t>
            </w:r>
            <w:r>
              <w:rPr>
                <w:b/>
                <w:color w:val="FFFFFF"/>
                <w:spacing w:val="-4"/>
                <w:sz w:val="20"/>
              </w:rPr>
              <w:t>Area</w:t>
            </w:r>
          </w:p>
        </w:tc>
        <w:tc>
          <w:tcPr>
            <w:tcW w:w="1814" w:type="dxa"/>
            <w:tcBorders>
              <w:left w:val="single" w:sz="4" w:space="0" w:color="FFFFFF"/>
              <w:right w:val="single" w:sz="4" w:space="0" w:color="FFFFFF"/>
            </w:tcBorders>
            <w:shd w:val="clear" w:color="auto" w:fill="A7A9AC"/>
          </w:tcPr>
          <w:p>
            <w:pPr>
              <w:pStyle w:val="TableParagraph"/>
              <w:spacing w:before="177"/>
              <w:rPr>
                <w:b/>
                <w:sz w:val="20"/>
              </w:rPr>
            </w:pPr>
          </w:p>
          <w:p>
            <w:pPr>
              <w:pStyle w:val="TableParagraph"/>
              <w:ind w:left="80"/>
              <w:rPr>
                <w:b/>
                <w:sz w:val="20"/>
              </w:rPr>
            </w:pPr>
            <w:r>
              <w:rPr>
                <w:b/>
                <w:color w:val="FFFFFF"/>
                <w:spacing w:val="-6"/>
                <w:sz w:val="20"/>
              </w:rPr>
              <w:t>Goal</w:t>
            </w:r>
            <w:r>
              <w:rPr>
                <w:b/>
                <w:color w:val="FFFFFF"/>
                <w:spacing w:val="-1"/>
                <w:sz w:val="20"/>
              </w:rPr>
              <w:t> </w:t>
            </w:r>
            <w:r>
              <w:rPr>
                <w:b/>
                <w:color w:val="FFFFFF"/>
                <w:spacing w:val="-6"/>
                <w:sz w:val="20"/>
              </w:rPr>
              <w:t>Focus</w:t>
            </w:r>
            <w:r>
              <w:rPr>
                <w:b/>
                <w:color w:val="FFFFFF"/>
                <w:spacing w:val="-1"/>
                <w:sz w:val="20"/>
              </w:rPr>
              <w:t> </w:t>
            </w:r>
            <w:r>
              <w:rPr>
                <w:b/>
                <w:color w:val="FFFFFF"/>
                <w:spacing w:val="-6"/>
                <w:sz w:val="20"/>
              </w:rPr>
              <w:t>Area</w:t>
            </w:r>
          </w:p>
        </w:tc>
        <w:tc>
          <w:tcPr>
            <w:tcW w:w="1814" w:type="dxa"/>
            <w:tcBorders>
              <w:left w:val="single" w:sz="4" w:space="0" w:color="FFFFFF"/>
              <w:right w:val="single" w:sz="4" w:space="0" w:color="FFFFFF"/>
            </w:tcBorders>
            <w:shd w:val="clear" w:color="auto" w:fill="A7A9AC"/>
          </w:tcPr>
          <w:p>
            <w:pPr>
              <w:pStyle w:val="TableParagraph"/>
              <w:spacing w:before="177"/>
              <w:rPr>
                <w:b/>
                <w:sz w:val="20"/>
              </w:rPr>
            </w:pPr>
          </w:p>
          <w:p>
            <w:pPr>
              <w:pStyle w:val="TableParagraph"/>
              <w:ind w:left="81"/>
              <w:rPr>
                <w:b/>
                <w:sz w:val="20"/>
              </w:rPr>
            </w:pPr>
            <w:r>
              <w:rPr>
                <w:b/>
                <w:color w:val="FFFFFF"/>
                <w:spacing w:val="-2"/>
                <w:sz w:val="20"/>
              </w:rPr>
              <w:t>Objectives</w:t>
            </w:r>
          </w:p>
        </w:tc>
        <w:tc>
          <w:tcPr>
            <w:tcW w:w="1814" w:type="dxa"/>
            <w:tcBorders>
              <w:left w:val="single" w:sz="4" w:space="0" w:color="FFFFFF"/>
              <w:right w:val="single" w:sz="4" w:space="0" w:color="FFFFFF"/>
            </w:tcBorders>
            <w:shd w:val="clear" w:color="auto" w:fill="A7A9AC"/>
          </w:tcPr>
          <w:p>
            <w:pPr>
              <w:pStyle w:val="TableParagraph"/>
              <w:spacing w:before="177"/>
              <w:rPr>
                <w:b/>
                <w:sz w:val="20"/>
              </w:rPr>
            </w:pPr>
          </w:p>
          <w:p>
            <w:pPr>
              <w:pStyle w:val="TableParagraph"/>
              <w:ind w:left="81"/>
              <w:rPr>
                <w:b/>
                <w:sz w:val="20"/>
              </w:rPr>
            </w:pPr>
            <w:r>
              <w:rPr>
                <w:b/>
                <w:color w:val="FFFFFF"/>
                <w:spacing w:val="-2"/>
                <w:sz w:val="20"/>
              </w:rPr>
              <w:t>Disparities</w:t>
            </w:r>
          </w:p>
        </w:tc>
        <w:tc>
          <w:tcPr>
            <w:tcW w:w="5932" w:type="dxa"/>
            <w:tcBorders>
              <w:left w:val="single" w:sz="4" w:space="0" w:color="FFFFFF"/>
              <w:right w:val="single" w:sz="4" w:space="0" w:color="FFFFFF"/>
            </w:tcBorders>
            <w:shd w:val="clear" w:color="auto" w:fill="A7A9AC"/>
          </w:tcPr>
          <w:p>
            <w:pPr>
              <w:pStyle w:val="TableParagraph"/>
              <w:spacing w:before="177"/>
              <w:rPr>
                <w:b/>
                <w:sz w:val="20"/>
              </w:rPr>
            </w:pPr>
          </w:p>
          <w:p>
            <w:pPr>
              <w:pStyle w:val="TableParagraph"/>
              <w:tabs>
                <w:tab w:pos="3652" w:val="left" w:leader="none"/>
              </w:tabs>
              <w:ind w:left="81"/>
              <w:rPr>
                <w:b/>
                <w:sz w:val="20"/>
              </w:rPr>
            </w:pPr>
            <w:r>
              <w:rPr>
                <w:b/>
                <w:color w:val="FFFFFF"/>
                <w:spacing w:val="-2"/>
                <w:sz w:val="20"/>
              </w:rPr>
              <w:t>Interventions</w:t>
            </w:r>
            <w:r>
              <w:rPr>
                <w:b/>
                <w:color w:val="FFFFFF"/>
                <w:sz w:val="20"/>
              </w:rPr>
              <w:tab/>
              <w:t>Family</w:t>
            </w:r>
            <w:r>
              <w:rPr>
                <w:b/>
                <w:color w:val="FFFFFF"/>
                <w:spacing w:val="-12"/>
                <w:sz w:val="20"/>
              </w:rPr>
              <w:t> </w:t>
            </w:r>
            <w:r>
              <w:rPr>
                <w:b/>
                <w:color w:val="FFFFFF"/>
                <w:sz w:val="20"/>
              </w:rPr>
              <w:t>of</w:t>
            </w:r>
            <w:r>
              <w:rPr>
                <w:b/>
                <w:color w:val="FFFFFF"/>
                <w:spacing w:val="-12"/>
                <w:sz w:val="20"/>
              </w:rPr>
              <w:t> </w:t>
            </w:r>
            <w:r>
              <w:rPr>
                <w:b/>
                <w:color w:val="FFFFFF"/>
                <w:spacing w:val="-2"/>
                <w:sz w:val="20"/>
              </w:rPr>
              <w:t>Measures</w:t>
            </w:r>
          </w:p>
        </w:tc>
        <w:tc>
          <w:tcPr>
            <w:tcW w:w="1698" w:type="dxa"/>
            <w:tcBorders>
              <w:left w:val="single" w:sz="4" w:space="0" w:color="FFFFFF"/>
              <w:right w:val="single" w:sz="4" w:space="0" w:color="FFFFFF"/>
            </w:tcBorders>
            <w:shd w:val="clear" w:color="auto" w:fill="A7A9AC"/>
          </w:tcPr>
          <w:p>
            <w:pPr>
              <w:pStyle w:val="TableParagraph"/>
              <w:spacing w:line="230" w:lineRule="auto" w:before="195"/>
              <w:ind w:left="82" w:right="69"/>
              <w:rPr>
                <w:b/>
                <w:sz w:val="20"/>
              </w:rPr>
            </w:pPr>
            <w:r>
              <w:rPr>
                <w:b/>
                <w:color w:val="FFFFFF"/>
                <w:sz w:val="20"/>
              </w:rPr>
              <w:t>Projected (or </w:t>
            </w:r>
            <w:r>
              <w:rPr>
                <w:b/>
                <w:color w:val="FFFFFF"/>
                <w:spacing w:val="-2"/>
                <w:sz w:val="20"/>
              </w:rPr>
              <w:t>completed)</w:t>
            </w:r>
            <w:r>
              <w:rPr>
                <w:b/>
                <w:color w:val="FFFFFF"/>
                <w:spacing w:val="-12"/>
                <w:sz w:val="20"/>
              </w:rPr>
              <w:t> </w:t>
            </w:r>
            <w:r>
              <w:rPr>
                <w:b/>
                <w:color w:val="FFFFFF"/>
                <w:spacing w:val="-2"/>
                <w:sz w:val="20"/>
              </w:rPr>
              <w:t>Year </w:t>
            </w:r>
            <w:r>
              <w:rPr>
                <w:b/>
                <w:color w:val="FFFFFF"/>
                <w:sz w:val="20"/>
              </w:rPr>
              <w:t>1 Intervention</w:t>
            </w:r>
          </w:p>
        </w:tc>
        <w:tc>
          <w:tcPr>
            <w:tcW w:w="1740" w:type="dxa"/>
            <w:tcBorders>
              <w:left w:val="single" w:sz="4" w:space="0" w:color="FFFFFF"/>
              <w:right w:val="single" w:sz="4" w:space="0" w:color="FFFFFF"/>
            </w:tcBorders>
            <w:shd w:val="clear" w:color="auto" w:fill="A7A9AC"/>
          </w:tcPr>
          <w:p>
            <w:pPr>
              <w:pStyle w:val="TableParagraph"/>
              <w:spacing w:before="177"/>
              <w:rPr>
                <w:b/>
                <w:sz w:val="20"/>
              </w:rPr>
            </w:pPr>
          </w:p>
          <w:p>
            <w:pPr>
              <w:pStyle w:val="TableParagraph"/>
              <w:ind w:left="83"/>
              <w:rPr>
                <w:b/>
                <w:sz w:val="20"/>
              </w:rPr>
            </w:pPr>
            <w:r>
              <w:rPr>
                <w:b/>
                <w:color w:val="FFFFFF"/>
                <w:spacing w:val="-2"/>
                <w:sz w:val="20"/>
              </w:rPr>
              <w:t>Projected</w:t>
            </w:r>
            <w:r>
              <w:rPr>
                <w:b/>
                <w:color w:val="FFFFFF"/>
                <w:spacing w:val="-8"/>
                <w:sz w:val="20"/>
              </w:rPr>
              <w:t> </w:t>
            </w:r>
            <w:r>
              <w:rPr>
                <w:b/>
                <w:color w:val="FFFFFF"/>
                <w:spacing w:val="-2"/>
                <w:sz w:val="20"/>
              </w:rPr>
              <w:t>Year</w:t>
            </w:r>
            <w:r>
              <w:rPr>
                <w:b/>
                <w:color w:val="FFFFFF"/>
                <w:spacing w:val="-7"/>
                <w:sz w:val="20"/>
              </w:rPr>
              <w:t> </w:t>
            </w:r>
            <w:r>
              <w:rPr>
                <w:b/>
                <w:color w:val="FFFFFF"/>
                <w:spacing w:val="-10"/>
                <w:sz w:val="20"/>
              </w:rPr>
              <w:t>2</w:t>
            </w:r>
          </w:p>
        </w:tc>
        <w:tc>
          <w:tcPr>
            <w:tcW w:w="1392" w:type="dxa"/>
            <w:tcBorders>
              <w:left w:val="single" w:sz="4" w:space="0" w:color="FFFFFF"/>
              <w:right w:val="single" w:sz="4" w:space="0" w:color="FFFFFF"/>
            </w:tcBorders>
            <w:shd w:val="clear" w:color="auto" w:fill="A7A9AC"/>
          </w:tcPr>
          <w:p>
            <w:pPr>
              <w:pStyle w:val="TableParagraph"/>
              <w:spacing w:line="230" w:lineRule="auto" w:before="195"/>
              <w:ind w:left="84"/>
              <w:rPr>
                <w:b/>
                <w:sz w:val="20"/>
              </w:rPr>
            </w:pPr>
            <w:r>
              <w:rPr>
                <w:b/>
                <w:color w:val="FFFFFF"/>
                <w:spacing w:val="-2"/>
                <w:sz w:val="20"/>
              </w:rPr>
              <w:t>Projected </w:t>
            </w:r>
            <w:r>
              <w:rPr>
                <w:b/>
                <w:color w:val="FFFFFF"/>
                <w:sz w:val="20"/>
              </w:rPr>
              <w:t>Year 3 </w:t>
            </w:r>
            <w:r>
              <w:rPr>
                <w:b/>
                <w:color w:val="FFFFFF"/>
                <w:spacing w:val="-4"/>
                <w:sz w:val="20"/>
              </w:rPr>
              <w:t>Interventions</w:t>
            </w:r>
          </w:p>
        </w:tc>
        <w:tc>
          <w:tcPr>
            <w:tcW w:w="1661" w:type="dxa"/>
            <w:tcBorders>
              <w:left w:val="single" w:sz="4" w:space="0" w:color="FFFFFF"/>
            </w:tcBorders>
            <w:shd w:val="clear" w:color="auto" w:fill="A7A9AC"/>
          </w:tcPr>
          <w:p>
            <w:pPr>
              <w:pStyle w:val="TableParagraph"/>
              <w:spacing w:before="74"/>
              <w:rPr>
                <w:b/>
                <w:sz w:val="20"/>
              </w:rPr>
            </w:pPr>
          </w:p>
          <w:p>
            <w:pPr>
              <w:pStyle w:val="TableParagraph"/>
              <w:spacing w:line="230" w:lineRule="auto" w:before="1"/>
              <w:ind w:left="85"/>
              <w:rPr>
                <w:b/>
                <w:sz w:val="20"/>
              </w:rPr>
            </w:pPr>
            <w:r>
              <w:rPr>
                <w:b/>
                <w:color w:val="FFFFFF"/>
                <w:spacing w:val="-2"/>
                <w:sz w:val="20"/>
              </w:rPr>
              <w:t>Implementation Partner</w:t>
            </w:r>
          </w:p>
        </w:tc>
        <w:tc>
          <w:tcPr>
            <w:tcW w:w="1332" w:type="dxa"/>
            <w:shd w:val="clear" w:color="auto" w:fill="A7A9AC"/>
          </w:tcPr>
          <w:p>
            <w:pPr>
              <w:pStyle w:val="TableParagraph"/>
              <w:spacing w:line="230" w:lineRule="auto" w:before="195"/>
              <w:ind w:left="86" w:right="195"/>
              <w:rPr>
                <w:b/>
                <w:sz w:val="20"/>
              </w:rPr>
            </w:pPr>
            <w:r>
              <w:rPr>
                <w:b/>
                <w:color w:val="FFFFFF"/>
                <w:spacing w:val="-2"/>
                <w:sz w:val="20"/>
              </w:rPr>
              <w:t>Partner </w:t>
            </w:r>
            <w:r>
              <w:rPr>
                <w:b/>
                <w:color w:val="FFFFFF"/>
                <w:spacing w:val="-6"/>
                <w:sz w:val="20"/>
              </w:rPr>
              <w:t>Role(s)</w:t>
            </w:r>
            <w:r>
              <w:rPr>
                <w:b/>
                <w:color w:val="FFFFFF"/>
                <w:spacing w:val="-8"/>
                <w:sz w:val="20"/>
              </w:rPr>
              <w:t> </w:t>
            </w:r>
            <w:r>
              <w:rPr>
                <w:b/>
                <w:color w:val="FFFFFF"/>
                <w:spacing w:val="-6"/>
                <w:sz w:val="20"/>
              </w:rPr>
              <w:t>and </w:t>
            </w:r>
            <w:r>
              <w:rPr>
                <w:b/>
                <w:color w:val="FFFFFF"/>
                <w:spacing w:val="-2"/>
                <w:sz w:val="20"/>
              </w:rPr>
              <w:t>Resources</w:t>
            </w:r>
          </w:p>
        </w:tc>
      </w:tr>
      <w:tr>
        <w:trPr>
          <w:trHeight w:val="5600" w:hRule="atLeast"/>
        </w:trPr>
        <w:tc>
          <w:tcPr>
            <w:tcW w:w="1324" w:type="dxa"/>
            <w:shd w:val="clear" w:color="auto" w:fill="E6E7E8"/>
          </w:tcPr>
          <w:p>
            <w:pPr>
              <w:pStyle w:val="TableParagraph"/>
              <w:spacing w:line="232" w:lineRule="auto" w:before="101"/>
              <w:ind w:left="89" w:right="507"/>
              <w:jc w:val="both"/>
              <w:rPr>
                <w:sz w:val="18"/>
              </w:rPr>
            </w:pPr>
            <w:r>
              <w:rPr>
                <w:color w:val="105C84"/>
                <w:spacing w:val="-2"/>
                <w:sz w:val="18"/>
              </w:rPr>
              <w:t>Prevent Chronic </w:t>
            </w:r>
            <w:r>
              <w:rPr>
                <w:color w:val="105C84"/>
                <w:spacing w:val="-6"/>
                <w:sz w:val="18"/>
              </w:rPr>
              <w:t>Diseases</w:t>
            </w:r>
          </w:p>
        </w:tc>
        <w:tc>
          <w:tcPr>
            <w:tcW w:w="1814" w:type="dxa"/>
          </w:tcPr>
          <w:p>
            <w:pPr>
              <w:pStyle w:val="TableParagraph"/>
              <w:spacing w:line="232" w:lineRule="auto" w:before="101"/>
              <w:ind w:left="90" w:right="152"/>
              <w:rPr>
                <w:sz w:val="18"/>
              </w:rPr>
            </w:pPr>
            <w:r>
              <w:rPr>
                <w:color w:val="105C84"/>
                <w:sz w:val="18"/>
              </w:rPr>
              <w:t>Focus Area 1: Healthy</w:t>
            </w:r>
            <w:r>
              <w:rPr>
                <w:color w:val="105C84"/>
                <w:spacing w:val="-13"/>
                <w:sz w:val="18"/>
              </w:rPr>
              <w:t> </w:t>
            </w:r>
            <w:r>
              <w:rPr>
                <w:color w:val="105C84"/>
                <w:sz w:val="18"/>
              </w:rPr>
              <w:t>eating</w:t>
            </w:r>
            <w:r>
              <w:rPr>
                <w:color w:val="105C84"/>
                <w:spacing w:val="-12"/>
                <w:sz w:val="18"/>
              </w:rPr>
              <w:t> </w:t>
            </w:r>
            <w:r>
              <w:rPr>
                <w:color w:val="105C84"/>
                <w:sz w:val="18"/>
              </w:rPr>
              <w:t>and food security</w:t>
            </w:r>
          </w:p>
        </w:tc>
        <w:tc>
          <w:tcPr>
            <w:tcW w:w="1814" w:type="dxa"/>
          </w:tcPr>
          <w:p>
            <w:pPr>
              <w:pStyle w:val="TableParagraph"/>
              <w:spacing w:line="203" w:lineRule="exact" w:before="96"/>
              <w:ind w:left="90"/>
              <w:rPr>
                <w:sz w:val="18"/>
              </w:rPr>
            </w:pPr>
            <w:r>
              <w:rPr>
                <w:color w:val="105C84"/>
                <w:sz w:val="18"/>
              </w:rPr>
              <w:t>Goal</w:t>
            </w:r>
            <w:r>
              <w:rPr>
                <w:color w:val="105C84"/>
                <w:spacing w:val="-4"/>
                <w:sz w:val="18"/>
              </w:rPr>
              <w:t> 1.2:</w:t>
            </w:r>
          </w:p>
          <w:p>
            <w:pPr>
              <w:pStyle w:val="TableParagraph"/>
              <w:spacing w:line="232" w:lineRule="auto" w:before="1"/>
              <w:ind w:left="90" w:right="152"/>
              <w:rPr>
                <w:sz w:val="18"/>
              </w:rPr>
            </w:pPr>
            <w:r>
              <w:rPr>
                <w:color w:val="105C84"/>
                <w:sz w:val="18"/>
              </w:rPr>
              <w:t>Increase skills and knowledge to support healthy food</w:t>
            </w:r>
            <w:r>
              <w:rPr>
                <w:color w:val="105C84"/>
                <w:spacing w:val="-4"/>
                <w:sz w:val="18"/>
              </w:rPr>
              <w:t> </w:t>
            </w:r>
            <w:r>
              <w:rPr>
                <w:color w:val="105C84"/>
                <w:sz w:val="18"/>
              </w:rPr>
              <w:t>and</w:t>
            </w:r>
            <w:r>
              <w:rPr>
                <w:color w:val="105C84"/>
                <w:spacing w:val="-4"/>
                <w:sz w:val="18"/>
              </w:rPr>
              <w:t> </w:t>
            </w:r>
            <w:r>
              <w:rPr>
                <w:color w:val="105C84"/>
                <w:sz w:val="18"/>
              </w:rPr>
              <w:t>beverage </w:t>
            </w:r>
            <w:r>
              <w:rPr>
                <w:color w:val="105C84"/>
                <w:spacing w:val="-2"/>
                <w:sz w:val="18"/>
              </w:rPr>
              <w:t>choices</w:t>
            </w:r>
          </w:p>
        </w:tc>
        <w:tc>
          <w:tcPr>
            <w:tcW w:w="1814" w:type="dxa"/>
          </w:tcPr>
          <w:p>
            <w:pPr>
              <w:pStyle w:val="TableParagraph"/>
              <w:spacing w:line="232" w:lineRule="auto" w:before="101"/>
              <w:ind w:left="91" w:right="144"/>
              <w:rPr>
                <w:sz w:val="18"/>
              </w:rPr>
            </w:pPr>
            <w:r>
              <w:rPr>
                <w:color w:val="105C84"/>
                <w:sz w:val="18"/>
              </w:rPr>
              <w:t>Objective 1.1: Decrease the percentage of children with obesity (among children ages 2-4 years participating in the Special </w:t>
            </w:r>
            <w:r>
              <w:rPr>
                <w:color w:val="105C84"/>
                <w:spacing w:val="-2"/>
                <w:sz w:val="18"/>
              </w:rPr>
              <w:t>Supplemental </w:t>
            </w:r>
            <w:r>
              <w:rPr>
                <w:color w:val="105C84"/>
                <w:sz w:val="18"/>
              </w:rPr>
              <w:t>Nutrition Program for</w:t>
            </w:r>
            <w:r>
              <w:rPr>
                <w:color w:val="105C84"/>
                <w:spacing w:val="-15"/>
                <w:sz w:val="18"/>
              </w:rPr>
              <w:t> </w:t>
            </w:r>
            <w:r>
              <w:rPr>
                <w:color w:val="105C84"/>
                <w:sz w:val="18"/>
              </w:rPr>
              <w:t>Women,</w:t>
            </w:r>
            <w:r>
              <w:rPr>
                <w:color w:val="105C84"/>
                <w:spacing w:val="-12"/>
                <w:sz w:val="18"/>
              </w:rPr>
              <w:t> </w:t>
            </w:r>
            <w:r>
              <w:rPr>
                <w:color w:val="105C84"/>
                <w:sz w:val="18"/>
              </w:rPr>
              <w:t>Infants, and</w:t>
            </w:r>
            <w:r>
              <w:rPr>
                <w:color w:val="105C84"/>
                <w:spacing w:val="-1"/>
                <w:sz w:val="18"/>
              </w:rPr>
              <w:t> </w:t>
            </w:r>
            <w:r>
              <w:rPr>
                <w:color w:val="105C84"/>
                <w:sz w:val="18"/>
              </w:rPr>
              <w:t>Children</w:t>
            </w:r>
            <w:r>
              <w:rPr>
                <w:color w:val="105C84"/>
                <w:spacing w:val="-1"/>
                <w:sz w:val="18"/>
              </w:rPr>
              <w:t> </w:t>
            </w:r>
            <w:r>
              <w:rPr>
                <w:color w:val="105C84"/>
                <w:spacing w:val="-5"/>
                <w:sz w:val="18"/>
              </w:rPr>
              <w:t>[WIC])</w:t>
            </w:r>
          </w:p>
        </w:tc>
        <w:tc>
          <w:tcPr>
            <w:tcW w:w="1814" w:type="dxa"/>
          </w:tcPr>
          <w:p>
            <w:pPr>
              <w:pStyle w:val="TableParagraph"/>
              <w:spacing w:before="96"/>
              <w:ind w:left="91"/>
              <w:rPr>
                <w:sz w:val="18"/>
              </w:rPr>
            </w:pPr>
            <w:r>
              <w:rPr>
                <w:color w:val="105C84"/>
                <w:sz w:val="18"/>
              </w:rPr>
              <w:t>Low</w:t>
            </w:r>
            <w:r>
              <w:rPr>
                <w:color w:val="105C84"/>
                <w:spacing w:val="-11"/>
                <w:sz w:val="18"/>
              </w:rPr>
              <w:t> </w:t>
            </w:r>
            <w:r>
              <w:rPr>
                <w:color w:val="105C84"/>
                <w:spacing w:val="-2"/>
                <w:sz w:val="18"/>
              </w:rPr>
              <w:t>income</w:t>
            </w:r>
          </w:p>
        </w:tc>
        <w:tc>
          <w:tcPr>
            <w:tcW w:w="5932" w:type="dxa"/>
          </w:tcPr>
          <w:p>
            <w:pPr>
              <w:pStyle w:val="TableParagraph"/>
              <w:tabs>
                <w:tab w:pos="3652" w:val="left" w:leader="none"/>
              </w:tabs>
              <w:spacing w:line="203" w:lineRule="exact" w:before="96"/>
              <w:ind w:left="92"/>
              <w:rPr>
                <w:sz w:val="18"/>
              </w:rPr>
            </w:pPr>
            <w:r>
              <w:rPr>
                <w:color w:val="105C84"/>
                <w:sz w:val="18"/>
              </w:rPr>
              <w:t>Intervention</w:t>
            </w:r>
            <w:r>
              <w:rPr>
                <w:color w:val="105C84"/>
                <w:spacing w:val="12"/>
                <w:sz w:val="18"/>
              </w:rPr>
              <w:t> </w:t>
            </w:r>
            <w:r>
              <w:rPr>
                <w:color w:val="105C84"/>
                <w:spacing w:val="-2"/>
                <w:sz w:val="18"/>
              </w:rPr>
              <w:t>1.0.2</w:t>
            </w:r>
            <w:r>
              <w:rPr>
                <w:color w:val="105C84"/>
                <w:sz w:val="18"/>
              </w:rPr>
              <w:tab/>
              <w:t>WIC</w:t>
            </w:r>
            <w:r>
              <w:rPr>
                <w:color w:val="105C84"/>
                <w:spacing w:val="-8"/>
                <w:sz w:val="18"/>
              </w:rPr>
              <w:t> </w:t>
            </w:r>
            <w:r>
              <w:rPr>
                <w:color w:val="105C84"/>
                <w:sz w:val="18"/>
              </w:rPr>
              <w:t>provides</w:t>
            </w:r>
            <w:r>
              <w:rPr>
                <w:color w:val="105C84"/>
                <w:spacing w:val="-7"/>
                <w:sz w:val="18"/>
              </w:rPr>
              <w:t> </w:t>
            </w:r>
            <w:r>
              <w:rPr>
                <w:color w:val="105C84"/>
                <w:spacing w:val="-2"/>
                <w:sz w:val="18"/>
              </w:rPr>
              <w:t>nutrition</w:t>
            </w:r>
          </w:p>
          <w:p>
            <w:pPr>
              <w:pStyle w:val="TableParagraph"/>
              <w:tabs>
                <w:tab w:pos="3652" w:val="left" w:leader="none"/>
              </w:tabs>
              <w:spacing w:line="200" w:lineRule="exact"/>
              <w:ind w:left="92"/>
              <w:rPr>
                <w:sz w:val="18"/>
              </w:rPr>
            </w:pPr>
            <w:r>
              <w:rPr>
                <w:color w:val="105C84"/>
                <w:sz w:val="18"/>
              </w:rPr>
              <w:t>Quality</w:t>
            </w:r>
            <w:r>
              <w:rPr>
                <w:color w:val="105C84"/>
                <w:spacing w:val="5"/>
                <w:sz w:val="18"/>
              </w:rPr>
              <w:t> </w:t>
            </w:r>
            <w:r>
              <w:rPr>
                <w:color w:val="105C84"/>
                <w:spacing w:val="-2"/>
                <w:sz w:val="18"/>
              </w:rPr>
              <w:t>nutrition</w:t>
            </w:r>
            <w:r>
              <w:rPr>
                <w:color w:val="105C84"/>
                <w:sz w:val="18"/>
              </w:rPr>
              <w:tab/>
              <w:t>education</w:t>
            </w:r>
            <w:r>
              <w:rPr>
                <w:color w:val="105C84"/>
                <w:spacing w:val="5"/>
                <w:sz w:val="18"/>
              </w:rPr>
              <w:t> </w:t>
            </w:r>
            <w:r>
              <w:rPr>
                <w:color w:val="105C84"/>
                <w:sz w:val="18"/>
              </w:rPr>
              <w:t>at</w:t>
            </w:r>
            <w:r>
              <w:rPr>
                <w:color w:val="105C84"/>
                <w:spacing w:val="5"/>
                <w:sz w:val="18"/>
              </w:rPr>
              <w:t> </w:t>
            </w:r>
            <w:r>
              <w:rPr>
                <w:color w:val="105C84"/>
                <w:spacing w:val="-2"/>
                <w:sz w:val="18"/>
              </w:rPr>
              <w:t>every</w:t>
            </w:r>
          </w:p>
          <w:p>
            <w:pPr>
              <w:pStyle w:val="TableParagraph"/>
              <w:tabs>
                <w:tab w:pos="3652" w:val="left" w:leader="none"/>
              </w:tabs>
              <w:spacing w:line="200" w:lineRule="exact"/>
              <w:ind w:left="92"/>
              <w:rPr>
                <w:sz w:val="18"/>
              </w:rPr>
            </w:pPr>
            <w:r>
              <w:rPr>
                <w:color w:val="105C84"/>
                <w:spacing w:val="-2"/>
                <w:sz w:val="18"/>
              </w:rPr>
              <w:t>(and</w:t>
            </w:r>
            <w:r>
              <w:rPr>
                <w:color w:val="105C84"/>
                <w:spacing w:val="-7"/>
                <w:sz w:val="18"/>
              </w:rPr>
              <w:t> </w:t>
            </w:r>
            <w:r>
              <w:rPr>
                <w:color w:val="105C84"/>
                <w:spacing w:val="-2"/>
                <w:sz w:val="18"/>
              </w:rPr>
              <w:t>physical</w:t>
            </w:r>
            <w:r>
              <w:rPr>
                <w:color w:val="105C84"/>
                <w:sz w:val="18"/>
              </w:rPr>
              <w:tab/>
            </w:r>
            <w:r>
              <w:rPr>
                <w:color w:val="105C84"/>
                <w:spacing w:val="-2"/>
                <w:sz w:val="18"/>
              </w:rPr>
              <w:t>appointment</w:t>
            </w:r>
          </w:p>
          <w:p>
            <w:pPr>
              <w:pStyle w:val="TableParagraph"/>
              <w:tabs>
                <w:tab w:pos="3652" w:val="left" w:leader="none"/>
              </w:tabs>
              <w:spacing w:line="245" w:lineRule="exact"/>
              <w:ind w:left="92"/>
              <w:rPr>
                <w:sz w:val="18"/>
              </w:rPr>
            </w:pPr>
            <w:r>
              <w:rPr>
                <w:color w:val="105C84"/>
                <w:position w:val="9"/>
                <w:sz w:val="18"/>
              </w:rPr>
              <w:t>activity)</w:t>
            </w:r>
            <w:r>
              <w:rPr>
                <w:color w:val="105C84"/>
                <w:spacing w:val="-10"/>
                <w:position w:val="9"/>
                <w:sz w:val="18"/>
              </w:rPr>
              <w:t> </w:t>
            </w:r>
            <w:r>
              <w:rPr>
                <w:color w:val="105C84"/>
                <w:position w:val="9"/>
                <w:sz w:val="18"/>
              </w:rPr>
              <w:t>in</w:t>
            </w:r>
            <w:r>
              <w:rPr>
                <w:color w:val="105C84"/>
                <w:spacing w:val="-9"/>
                <w:position w:val="9"/>
                <w:sz w:val="18"/>
              </w:rPr>
              <w:t> </w:t>
            </w:r>
            <w:r>
              <w:rPr>
                <w:color w:val="105C84"/>
                <w:spacing w:val="-2"/>
                <w:position w:val="9"/>
                <w:sz w:val="18"/>
              </w:rPr>
              <w:t>early</w:t>
            </w:r>
            <w:r>
              <w:rPr>
                <w:color w:val="105C84"/>
                <w:position w:val="9"/>
                <w:sz w:val="18"/>
              </w:rPr>
              <w:tab/>
            </w:r>
            <w:r>
              <w:rPr>
                <w:color w:val="105C84"/>
                <w:spacing w:val="-4"/>
                <w:sz w:val="18"/>
              </w:rPr>
              <w:t>Secondary</w:t>
            </w:r>
            <w:r>
              <w:rPr>
                <w:color w:val="105C84"/>
                <w:spacing w:val="6"/>
                <w:sz w:val="18"/>
              </w:rPr>
              <w:t> </w:t>
            </w:r>
            <w:r>
              <w:rPr>
                <w:color w:val="105C84"/>
                <w:spacing w:val="-2"/>
                <w:sz w:val="18"/>
              </w:rPr>
              <w:t>nutrition</w:t>
            </w:r>
          </w:p>
          <w:p>
            <w:pPr>
              <w:pStyle w:val="TableParagraph"/>
              <w:tabs>
                <w:tab w:pos="3652" w:val="left" w:leader="none"/>
              </w:tabs>
              <w:spacing w:line="200" w:lineRule="exact"/>
              <w:ind w:left="92"/>
              <w:rPr>
                <w:sz w:val="18"/>
              </w:rPr>
            </w:pPr>
            <w:r>
              <w:rPr>
                <w:color w:val="105C84"/>
                <w:position w:val="9"/>
                <w:sz w:val="18"/>
              </w:rPr>
              <w:t>learning and</w:t>
            </w:r>
            <w:r>
              <w:rPr>
                <w:color w:val="105C84"/>
                <w:spacing w:val="1"/>
                <w:position w:val="9"/>
                <w:sz w:val="18"/>
              </w:rPr>
              <w:t> </w:t>
            </w:r>
            <w:r>
              <w:rPr>
                <w:color w:val="105C84"/>
                <w:spacing w:val="-2"/>
                <w:position w:val="9"/>
                <w:sz w:val="18"/>
              </w:rPr>
              <w:t>child</w:t>
            </w:r>
            <w:r>
              <w:rPr>
                <w:color w:val="105C84"/>
                <w:position w:val="9"/>
                <w:sz w:val="18"/>
              </w:rPr>
              <w:tab/>
            </w:r>
            <w:r>
              <w:rPr>
                <w:color w:val="105C84"/>
                <w:sz w:val="18"/>
              </w:rPr>
              <w:t>education</w:t>
            </w:r>
            <w:r>
              <w:rPr>
                <w:color w:val="105C84"/>
                <w:spacing w:val="9"/>
                <w:sz w:val="18"/>
              </w:rPr>
              <w:t> </w:t>
            </w:r>
            <w:r>
              <w:rPr>
                <w:color w:val="105C84"/>
                <w:sz w:val="18"/>
              </w:rPr>
              <w:t>contact</w:t>
            </w:r>
            <w:r>
              <w:rPr>
                <w:color w:val="105C84"/>
                <w:spacing w:val="9"/>
                <w:sz w:val="18"/>
              </w:rPr>
              <w:t> </w:t>
            </w:r>
            <w:r>
              <w:rPr>
                <w:color w:val="105C84"/>
                <w:spacing w:val="-4"/>
                <w:sz w:val="18"/>
              </w:rPr>
              <w:t>also</w:t>
            </w:r>
          </w:p>
          <w:p>
            <w:pPr>
              <w:pStyle w:val="TableParagraph"/>
              <w:tabs>
                <w:tab w:pos="3652" w:val="left" w:leader="none"/>
              </w:tabs>
              <w:spacing w:line="170" w:lineRule="auto"/>
              <w:ind w:left="92"/>
              <w:rPr>
                <w:position w:val="-8"/>
                <w:sz w:val="18"/>
              </w:rPr>
            </w:pPr>
            <w:r>
              <w:rPr>
                <w:color w:val="105C84"/>
                <w:spacing w:val="-4"/>
                <w:sz w:val="18"/>
              </w:rPr>
              <w:t>care</w:t>
            </w:r>
            <w:r>
              <w:rPr>
                <w:color w:val="105C84"/>
                <w:spacing w:val="-6"/>
                <w:sz w:val="18"/>
              </w:rPr>
              <w:t> </w:t>
            </w:r>
            <w:r>
              <w:rPr>
                <w:color w:val="105C84"/>
                <w:spacing w:val="-2"/>
                <w:sz w:val="18"/>
              </w:rPr>
              <w:t>settings</w:t>
            </w:r>
            <w:r>
              <w:rPr>
                <w:color w:val="105C84"/>
                <w:sz w:val="18"/>
              </w:rPr>
              <w:tab/>
            </w:r>
            <w:r>
              <w:rPr>
                <w:color w:val="105C84"/>
                <w:spacing w:val="-4"/>
                <w:position w:val="-8"/>
                <w:sz w:val="18"/>
              </w:rPr>
              <w:t>made</w:t>
            </w:r>
          </w:p>
          <w:p>
            <w:pPr>
              <w:pStyle w:val="TableParagraph"/>
              <w:spacing w:line="232" w:lineRule="auto" w:before="99"/>
              <w:ind w:left="3652" w:right="116"/>
              <w:rPr>
                <w:sz w:val="18"/>
              </w:rPr>
            </w:pPr>
            <w:r>
              <w:rPr>
                <w:color w:val="105C84"/>
                <w:sz w:val="18"/>
              </w:rPr>
              <w:t>Education provided at annual</w:t>
            </w:r>
            <w:r>
              <w:rPr>
                <w:color w:val="105C84"/>
                <w:spacing w:val="-15"/>
                <w:sz w:val="18"/>
              </w:rPr>
              <w:t> </w:t>
            </w:r>
            <w:r>
              <w:rPr>
                <w:color w:val="105C84"/>
                <w:sz w:val="18"/>
              </w:rPr>
              <w:t>breastfeeding</w:t>
            </w:r>
            <w:r>
              <w:rPr>
                <w:color w:val="105C84"/>
                <w:spacing w:val="-12"/>
                <w:sz w:val="18"/>
              </w:rPr>
              <w:t> </w:t>
            </w:r>
            <w:r>
              <w:rPr>
                <w:color w:val="105C84"/>
                <w:sz w:val="18"/>
              </w:rPr>
              <w:t>and community baby shower </w:t>
            </w:r>
            <w:r>
              <w:rPr>
                <w:color w:val="105C84"/>
                <w:spacing w:val="-2"/>
                <w:sz w:val="18"/>
              </w:rPr>
              <w:t>events</w:t>
            </w:r>
          </w:p>
          <w:p>
            <w:pPr>
              <w:pStyle w:val="TableParagraph"/>
              <w:spacing w:line="232" w:lineRule="auto" w:before="87"/>
              <w:ind w:left="3652" w:right="116"/>
              <w:rPr>
                <w:sz w:val="18"/>
              </w:rPr>
            </w:pPr>
            <w:r>
              <w:rPr>
                <w:color w:val="105C84"/>
                <w:sz w:val="18"/>
              </w:rPr>
              <w:t>Refers to Supplemental Nutrition Assistance Program (SNAP) and </w:t>
            </w:r>
            <w:r>
              <w:rPr>
                <w:color w:val="105C84"/>
                <w:spacing w:val="-2"/>
                <w:sz w:val="18"/>
              </w:rPr>
              <w:t>Temporary</w:t>
            </w:r>
            <w:r>
              <w:rPr>
                <w:color w:val="105C84"/>
                <w:spacing w:val="-13"/>
                <w:sz w:val="18"/>
              </w:rPr>
              <w:t> </w:t>
            </w:r>
            <w:r>
              <w:rPr>
                <w:color w:val="105C84"/>
                <w:spacing w:val="-2"/>
                <w:sz w:val="18"/>
              </w:rPr>
              <w:t>Assistance</w:t>
            </w:r>
            <w:r>
              <w:rPr>
                <w:color w:val="105C84"/>
                <w:spacing w:val="-10"/>
                <w:sz w:val="18"/>
              </w:rPr>
              <w:t> </w:t>
            </w:r>
            <w:r>
              <w:rPr>
                <w:color w:val="105C84"/>
                <w:spacing w:val="-2"/>
                <w:sz w:val="18"/>
              </w:rPr>
              <w:t>for </w:t>
            </w:r>
            <w:r>
              <w:rPr>
                <w:color w:val="105C84"/>
                <w:sz w:val="18"/>
              </w:rPr>
              <w:t>Needy Families (TANF)</w:t>
            </w:r>
          </w:p>
          <w:p>
            <w:pPr>
              <w:pStyle w:val="TableParagraph"/>
              <w:spacing w:line="232" w:lineRule="auto" w:before="86"/>
              <w:ind w:left="3652" w:right="116"/>
              <w:rPr>
                <w:sz w:val="18"/>
              </w:rPr>
            </w:pPr>
            <w:r>
              <w:rPr>
                <w:color w:val="105C84"/>
                <w:sz w:val="18"/>
              </w:rPr>
              <w:t>Nutrition and</w:t>
            </w:r>
            <w:r>
              <w:rPr>
                <w:color w:val="105C84"/>
                <w:spacing w:val="80"/>
                <w:sz w:val="18"/>
              </w:rPr>
              <w:t> </w:t>
            </w:r>
            <w:r>
              <w:rPr>
                <w:color w:val="105C84"/>
                <w:spacing w:val="-2"/>
                <w:sz w:val="18"/>
              </w:rPr>
              <w:t>breastfeeding</w:t>
            </w:r>
            <w:r>
              <w:rPr>
                <w:color w:val="105C84"/>
                <w:spacing w:val="-11"/>
                <w:sz w:val="18"/>
              </w:rPr>
              <w:t> </w:t>
            </w:r>
            <w:r>
              <w:rPr>
                <w:color w:val="105C84"/>
                <w:spacing w:val="-2"/>
                <w:sz w:val="18"/>
              </w:rPr>
              <w:t>assessments </w:t>
            </w:r>
            <w:r>
              <w:rPr>
                <w:color w:val="105C84"/>
                <w:sz w:val="18"/>
              </w:rPr>
              <w:t>conducted. Education on reducing sugar sweetened beverages included</w:t>
            </w:r>
          </w:p>
          <w:p>
            <w:pPr>
              <w:pStyle w:val="TableParagraph"/>
              <w:spacing w:line="232" w:lineRule="auto" w:before="86"/>
              <w:ind w:left="3652" w:right="116"/>
              <w:rPr>
                <w:sz w:val="18"/>
              </w:rPr>
            </w:pPr>
            <w:r>
              <w:rPr>
                <w:color w:val="105C84"/>
                <w:sz w:val="18"/>
              </w:rPr>
              <w:t>Obesity rate of children, daily</w:t>
            </w:r>
            <w:r>
              <w:rPr>
                <w:color w:val="105C84"/>
                <w:spacing w:val="-3"/>
                <w:sz w:val="18"/>
              </w:rPr>
              <w:t> </w:t>
            </w:r>
            <w:r>
              <w:rPr>
                <w:color w:val="105C84"/>
                <w:sz w:val="18"/>
              </w:rPr>
              <w:t>consumption</w:t>
            </w:r>
            <w:r>
              <w:rPr>
                <w:color w:val="105C84"/>
                <w:spacing w:val="-3"/>
                <w:sz w:val="18"/>
              </w:rPr>
              <w:t> </w:t>
            </w:r>
            <w:r>
              <w:rPr>
                <w:color w:val="105C84"/>
                <w:sz w:val="18"/>
              </w:rPr>
              <w:t>of</w:t>
            </w:r>
            <w:r>
              <w:rPr>
                <w:color w:val="105C84"/>
                <w:spacing w:val="-3"/>
                <w:sz w:val="18"/>
              </w:rPr>
              <w:t> </w:t>
            </w:r>
            <w:r>
              <w:rPr>
                <w:color w:val="105C84"/>
                <w:sz w:val="18"/>
              </w:rPr>
              <w:t>fruits and vegetables, and high maternal weight gain </w:t>
            </w:r>
            <w:r>
              <w:rPr>
                <w:color w:val="105C84"/>
                <w:spacing w:val="-2"/>
                <w:sz w:val="18"/>
              </w:rPr>
              <w:t>tracked</w:t>
            </w:r>
          </w:p>
        </w:tc>
        <w:tc>
          <w:tcPr>
            <w:tcW w:w="1698" w:type="dxa"/>
          </w:tcPr>
          <w:p>
            <w:pPr>
              <w:pStyle w:val="TableParagraph"/>
              <w:spacing w:line="203" w:lineRule="exact" w:before="95"/>
              <w:ind w:left="92"/>
              <w:rPr>
                <w:sz w:val="18"/>
              </w:rPr>
            </w:pPr>
            <w:r>
              <w:rPr>
                <w:color w:val="105C84"/>
                <w:spacing w:val="-2"/>
                <w:sz w:val="18"/>
              </w:rPr>
              <w:t>Obesity</w:t>
            </w:r>
            <w:r>
              <w:rPr>
                <w:color w:val="105C84"/>
                <w:spacing w:val="-3"/>
                <w:sz w:val="18"/>
              </w:rPr>
              <w:t> </w:t>
            </w:r>
            <w:r>
              <w:rPr>
                <w:color w:val="105C84"/>
                <w:spacing w:val="-2"/>
                <w:sz w:val="18"/>
              </w:rPr>
              <w:t>NYS</w:t>
            </w:r>
            <w:r>
              <w:rPr>
                <w:color w:val="105C84"/>
                <w:spacing w:val="-3"/>
                <w:sz w:val="18"/>
              </w:rPr>
              <w:t> </w:t>
            </w:r>
            <w:r>
              <w:rPr>
                <w:color w:val="105C84"/>
                <w:spacing w:val="-4"/>
                <w:sz w:val="18"/>
              </w:rPr>
              <w:t>10.1</w:t>
            </w:r>
          </w:p>
          <w:p>
            <w:pPr>
              <w:pStyle w:val="TableParagraph"/>
              <w:spacing w:line="203" w:lineRule="exact"/>
              <w:ind w:left="92"/>
              <w:rPr>
                <w:sz w:val="18"/>
              </w:rPr>
            </w:pPr>
            <w:r>
              <w:rPr>
                <w:color w:val="105C84"/>
                <w:sz w:val="18"/>
              </w:rPr>
              <w:t>Chemung</w:t>
            </w:r>
            <w:r>
              <w:rPr>
                <w:color w:val="105C84"/>
                <w:spacing w:val="3"/>
                <w:sz w:val="18"/>
              </w:rPr>
              <w:t> </w:t>
            </w:r>
            <w:r>
              <w:rPr>
                <w:color w:val="105C84"/>
                <w:spacing w:val="-5"/>
                <w:sz w:val="18"/>
              </w:rPr>
              <w:t>9.7</w:t>
            </w:r>
          </w:p>
          <w:p>
            <w:pPr>
              <w:pStyle w:val="TableParagraph"/>
              <w:spacing w:line="232" w:lineRule="auto" w:before="88"/>
              <w:ind w:left="92" w:right="192"/>
              <w:rPr>
                <w:sz w:val="18"/>
              </w:rPr>
            </w:pPr>
            <w:r>
              <w:rPr>
                <w:color w:val="105C84"/>
                <w:sz w:val="18"/>
              </w:rPr>
              <w:t>High Maternal Weight</w:t>
            </w:r>
            <w:r>
              <w:rPr>
                <w:color w:val="105C84"/>
                <w:spacing w:val="-15"/>
                <w:sz w:val="18"/>
              </w:rPr>
              <w:t> </w:t>
            </w:r>
            <w:r>
              <w:rPr>
                <w:color w:val="105C84"/>
                <w:sz w:val="18"/>
              </w:rPr>
              <w:t>Gain</w:t>
            </w:r>
            <w:r>
              <w:rPr>
                <w:color w:val="105C84"/>
                <w:spacing w:val="-12"/>
                <w:sz w:val="18"/>
              </w:rPr>
              <w:t> </w:t>
            </w:r>
            <w:r>
              <w:rPr>
                <w:color w:val="105C84"/>
                <w:sz w:val="18"/>
              </w:rPr>
              <w:t>NYS 35.0% Chemung</w:t>
            </w:r>
          </w:p>
          <w:p>
            <w:pPr>
              <w:pStyle w:val="TableParagraph"/>
              <w:spacing w:line="200" w:lineRule="exact"/>
              <w:ind w:left="92"/>
              <w:rPr>
                <w:sz w:val="18"/>
              </w:rPr>
            </w:pPr>
            <w:r>
              <w:rPr>
                <w:color w:val="105C84"/>
                <w:spacing w:val="-2"/>
                <w:sz w:val="18"/>
              </w:rPr>
              <w:t>41.8%</w:t>
            </w:r>
          </w:p>
          <w:p>
            <w:pPr>
              <w:pStyle w:val="TableParagraph"/>
              <w:spacing w:line="232" w:lineRule="auto" w:before="88"/>
              <w:ind w:left="92" w:right="192"/>
              <w:rPr>
                <w:sz w:val="18"/>
              </w:rPr>
            </w:pPr>
            <w:r>
              <w:rPr>
                <w:color w:val="105C84"/>
                <w:spacing w:val="-2"/>
                <w:sz w:val="18"/>
              </w:rPr>
              <w:t>Fruits/Veggies </w:t>
            </w:r>
            <w:r>
              <w:rPr>
                <w:color w:val="105C84"/>
                <w:sz w:val="18"/>
              </w:rPr>
              <w:t>NYS 82.8</w:t>
            </w:r>
          </w:p>
          <w:p>
            <w:pPr>
              <w:pStyle w:val="TableParagraph"/>
              <w:spacing w:line="200" w:lineRule="exact"/>
              <w:ind w:left="92"/>
              <w:rPr>
                <w:sz w:val="18"/>
              </w:rPr>
            </w:pPr>
            <w:r>
              <w:rPr>
                <w:color w:val="105C84"/>
                <w:sz w:val="18"/>
              </w:rPr>
              <w:t>Chemung</w:t>
            </w:r>
            <w:r>
              <w:rPr>
                <w:color w:val="105C84"/>
                <w:spacing w:val="3"/>
                <w:sz w:val="18"/>
              </w:rPr>
              <w:t> </w:t>
            </w:r>
            <w:r>
              <w:rPr>
                <w:color w:val="105C84"/>
                <w:spacing w:val="-2"/>
                <w:sz w:val="18"/>
              </w:rPr>
              <w:t>78.5%</w:t>
            </w:r>
          </w:p>
        </w:tc>
        <w:tc>
          <w:tcPr>
            <w:tcW w:w="1740" w:type="dxa"/>
          </w:tcPr>
          <w:p>
            <w:pPr>
              <w:pStyle w:val="TableParagraph"/>
              <w:spacing w:line="203" w:lineRule="exact" w:before="95"/>
              <w:ind w:left="94"/>
              <w:rPr>
                <w:sz w:val="18"/>
              </w:rPr>
            </w:pPr>
            <w:r>
              <w:rPr>
                <w:color w:val="105C84"/>
                <w:spacing w:val="-2"/>
                <w:sz w:val="18"/>
              </w:rPr>
              <w:t>Obesity</w:t>
            </w:r>
            <w:r>
              <w:rPr>
                <w:color w:val="105C84"/>
                <w:spacing w:val="-3"/>
                <w:sz w:val="18"/>
              </w:rPr>
              <w:t> </w:t>
            </w:r>
            <w:r>
              <w:rPr>
                <w:color w:val="105C84"/>
                <w:spacing w:val="-2"/>
                <w:sz w:val="18"/>
              </w:rPr>
              <w:t>NYS</w:t>
            </w:r>
            <w:r>
              <w:rPr>
                <w:color w:val="105C84"/>
                <w:spacing w:val="-3"/>
                <w:sz w:val="18"/>
              </w:rPr>
              <w:t> </w:t>
            </w:r>
            <w:r>
              <w:rPr>
                <w:color w:val="105C84"/>
                <w:spacing w:val="-4"/>
                <w:sz w:val="18"/>
              </w:rPr>
              <w:t>10.1</w:t>
            </w:r>
          </w:p>
          <w:p>
            <w:pPr>
              <w:pStyle w:val="TableParagraph"/>
              <w:spacing w:line="203" w:lineRule="exact"/>
              <w:ind w:left="94"/>
              <w:rPr>
                <w:sz w:val="18"/>
              </w:rPr>
            </w:pPr>
            <w:r>
              <w:rPr>
                <w:color w:val="105C84"/>
                <w:sz w:val="18"/>
              </w:rPr>
              <w:t>Chemung</w:t>
            </w:r>
            <w:r>
              <w:rPr>
                <w:color w:val="105C84"/>
                <w:spacing w:val="3"/>
                <w:sz w:val="18"/>
              </w:rPr>
              <w:t> </w:t>
            </w:r>
            <w:r>
              <w:rPr>
                <w:color w:val="105C84"/>
                <w:spacing w:val="-5"/>
                <w:sz w:val="18"/>
              </w:rPr>
              <w:t>9.7</w:t>
            </w:r>
          </w:p>
          <w:p>
            <w:pPr>
              <w:pStyle w:val="TableParagraph"/>
              <w:spacing w:line="232" w:lineRule="auto" w:before="88"/>
              <w:ind w:left="94" w:right="232"/>
              <w:rPr>
                <w:sz w:val="18"/>
              </w:rPr>
            </w:pPr>
            <w:r>
              <w:rPr>
                <w:color w:val="105C84"/>
                <w:sz w:val="18"/>
              </w:rPr>
              <w:t>High Maternal Weight</w:t>
            </w:r>
            <w:r>
              <w:rPr>
                <w:color w:val="105C84"/>
                <w:spacing w:val="-15"/>
                <w:sz w:val="18"/>
              </w:rPr>
              <w:t> </w:t>
            </w:r>
            <w:r>
              <w:rPr>
                <w:color w:val="105C84"/>
                <w:sz w:val="18"/>
              </w:rPr>
              <w:t>Gain</w:t>
            </w:r>
            <w:r>
              <w:rPr>
                <w:color w:val="105C84"/>
                <w:spacing w:val="-12"/>
                <w:sz w:val="18"/>
              </w:rPr>
              <w:t> </w:t>
            </w:r>
            <w:r>
              <w:rPr>
                <w:color w:val="105C84"/>
                <w:sz w:val="18"/>
              </w:rPr>
              <w:t>NYS 35.0% Chemung</w:t>
            </w:r>
          </w:p>
          <w:p>
            <w:pPr>
              <w:pStyle w:val="TableParagraph"/>
              <w:spacing w:line="200" w:lineRule="exact"/>
              <w:ind w:left="94"/>
              <w:rPr>
                <w:sz w:val="18"/>
              </w:rPr>
            </w:pPr>
            <w:r>
              <w:rPr>
                <w:color w:val="105C84"/>
                <w:spacing w:val="-2"/>
                <w:sz w:val="18"/>
              </w:rPr>
              <w:t>41.8%</w:t>
            </w:r>
          </w:p>
          <w:p>
            <w:pPr>
              <w:pStyle w:val="TableParagraph"/>
              <w:spacing w:line="203" w:lineRule="exact" w:before="83"/>
              <w:ind w:left="94"/>
              <w:rPr>
                <w:sz w:val="18"/>
              </w:rPr>
            </w:pPr>
            <w:r>
              <w:rPr>
                <w:color w:val="105C84"/>
                <w:spacing w:val="-2"/>
                <w:sz w:val="18"/>
              </w:rPr>
              <w:t>Fruits/Veggies</w:t>
            </w:r>
            <w:r>
              <w:rPr>
                <w:color w:val="105C84"/>
                <w:spacing w:val="6"/>
                <w:sz w:val="18"/>
              </w:rPr>
              <w:t> </w:t>
            </w:r>
            <w:r>
              <w:rPr>
                <w:color w:val="105C84"/>
                <w:spacing w:val="-5"/>
                <w:sz w:val="18"/>
              </w:rPr>
              <w:t>NYS</w:t>
            </w:r>
          </w:p>
          <w:p>
            <w:pPr>
              <w:pStyle w:val="TableParagraph"/>
              <w:spacing w:line="200" w:lineRule="exact"/>
              <w:ind w:left="94"/>
              <w:rPr>
                <w:sz w:val="18"/>
              </w:rPr>
            </w:pPr>
            <w:r>
              <w:rPr>
                <w:color w:val="105C84"/>
                <w:spacing w:val="-6"/>
                <w:sz w:val="18"/>
              </w:rPr>
              <w:t>82.8</w:t>
            </w:r>
            <w:r>
              <w:rPr>
                <w:color w:val="105C84"/>
                <w:spacing w:val="-5"/>
                <w:sz w:val="18"/>
              </w:rPr>
              <w:t> </w:t>
            </w:r>
            <w:r>
              <w:rPr>
                <w:color w:val="105C84"/>
                <w:spacing w:val="-2"/>
                <w:sz w:val="18"/>
              </w:rPr>
              <w:t>Chemung</w:t>
            </w:r>
          </w:p>
          <w:p>
            <w:pPr>
              <w:pStyle w:val="TableParagraph"/>
              <w:spacing w:line="203" w:lineRule="exact"/>
              <w:ind w:left="94"/>
              <w:rPr>
                <w:sz w:val="18"/>
              </w:rPr>
            </w:pPr>
            <w:r>
              <w:rPr>
                <w:color w:val="105C84"/>
                <w:spacing w:val="-2"/>
                <w:sz w:val="18"/>
              </w:rPr>
              <w:t>78.5%</w:t>
            </w:r>
          </w:p>
        </w:tc>
        <w:tc>
          <w:tcPr>
            <w:tcW w:w="1392" w:type="dxa"/>
          </w:tcPr>
          <w:p>
            <w:pPr>
              <w:pStyle w:val="TableParagraph"/>
              <w:spacing w:line="203" w:lineRule="exact" w:before="94"/>
              <w:ind w:left="94"/>
              <w:rPr>
                <w:sz w:val="18"/>
              </w:rPr>
            </w:pPr>
            <w:r>
              <w:rPr>
                <w:color w:val="105C84"/>
                <w:sz w:val="18"/>
              </w:rPr>
              <w:t>Obesity</w:t>
            </w:r>
            <w:r>
              <w:rPr>
                <w:color w:val="105C84"/>
                <w:spacing w:val="8"/>
                <w:sz w:val="18"/>
              </w:rPr>
              <w:t> </w:t>
            </w:r>
            <w:r>
              <w:rPr>
                <w:color w:val="105C84"/>
                <w:spacing w:val="-5"/>
                <w:sz w:val="18"/>
              </w:rPr>
              <w:t>NYS</w:t>
            </w:r>
          </w:p>
          <w:p>
            <w:pPr>
              <w:pStyle w:val="TableParagraph"/>
              <w:spacing w:line="200" w:lineRule="exact"/>
              <w:ind w:left="94"/>
              <w:rPr>
                <w:sz w:val="18"/>
              </w:rPr>
            </w:pPr>
            <w:r>
              <w:rPr>
                <w:color w:val="105C84"/>
                <w:spacing w:val="-6"/>
                <w:sz w:val="18"/>
              </w:rPr>
              <w:t>10.1</w:t>
            </w:r>
            <w:r>
              <w:rPr>
                <w:color w:val="105C84"/>
                <w:spacing w:val="-5"/>
                <w:sz w:val="18"/>
              </w:rPr>
              <w:t> </w:t>
            </w:r>
            <w:r>
              <w:rPr>
                <w:color w:val="105C84"/>
                <w:spacing w:val="-2"/>
                <w:sz w:val="18"/>
              </w:rPr>
              <w:t>Chemung</w:t>
            </w:r>
          </w:p>
          <w:p>
            <w:pPr>
              <w:pStyle w:val="TableParagraph"/>
              <w:spacing w:line="203" w:lineRule="exact"/>
              <w:ind w:left="94"/>
              <w:rPr>
                <w:sz w:val="18"/>
              </w:rPr>
            </w:pPr>
            <w:r>
              <w:rPr>
                <w:color w:val="105C84"/>
                <w:spacing w:val="-5"/>
                <w:sz w:val="18"/>
              </w:rPr>
              <w:t>9.7</w:t>
            </w:r>
          </w:p>
          <w:p>
            <w:pPr>
              <w:pStyle w:val="TableParagraph"/>
              <w:spacing w:line="232" w:lineRule="auto" w:before="88"/>
              <w:ind w:left="94"/>
              <w:rPr>
                <w:sz w:val="18"/>
              </w:rPr>
            </w:pPr>
            <w:r>
              <w:rPr>
                <w:color w:val="105C84"/>
                <w:sz w:val="18"/>
              </w:rPr>
              <w:t>High</w:t>
            </w:r>
            <w:r>
              <w:rPr>
                <w:color w:val="105C84"/>
                <w:spacing w:val="-13"/>
                <w:sz w:val="18"/>
              </w:rPr>
              <w:t> </w:t>
            </w:r>
            <w:r>
              <w:rPr>
                <w:color w:val="105C84"/>
                <w:sz w:val="18"/>
              </w:rPr>
              <w:t>Maternal Weight Gain NYS 35.0%</w:t>
            </w:r>
          </w:p>
          <w:p>
            <w:pPr>
              <w:pStyle w:val="TableParagraph"/>
              <w:spacing w:line="232" w:lineRule="auto"/>
              <w:ind w:left="94" w:right="41"/>
              <w:rPr>
                <w:sz w:val="18"/>
              </w:rPr>
            </w:pPr>
            <w:r>
              <w:rPr>
                <w:color w:val="105C84"/>
                <w:spacing w:val="-2"/>
                <w:sz w:val="18"/>
              </w:rPr>
              <w:t>Chemung 41.8%</w:t>
            </w:r>
          </w:p>
          <w:p>
            <w:pPr>
              <w:pStyle w:val="TableParagraph"/>
              <w:spacing w:line="232" w:lineRule="auto" w:before="87"/>
              <w:ind w:left="94"/>
              <w:rPr>
                <w:sz w:val="18"/>
              </w:rPr>
            </w:pPr>
            <w:r>
              <w:rPr>
                <w:color w:val="105C84"/>
                <w:spacing w:val="-2"/>
                <w:sz w:val="18"/>
              </w:rPr>
              <w:t>Fruits/Veggies </w:t>
            </w:r>
            <w:r>
              <w:rPr>
                <w:color w:val="105C84"/>
                <w:sz w:val="18"/>
              </w:rPr>
              <w:t>NYS 82.8</w:t>
            </w:r>
          </w:p>
          <w:p>
            <w:pPr>
              <w:pStyle w:val="TableParagraph"/>
              <w:spacing w:line="232" w:lineRule="auto" w:before="88"/>
              <w:ind w:left="94" w:right="41"/>
              <w:rPr>
                <w:sz w:val="18"/>
              </w:rPr>
            </w:pPr>
            <w:r>
              <w:rPr>
                <w:color w:val="105C84"/>
                <w:spacing w:val="-2"/>
                <w:sz w:val="18"/>
              </w:rPr>
              <w:t>Chemung 78.5%</w:t>
            </w:r>
          </w:p>
        </w:tc>
        <w:tc>
          <w:tcPr>
            <w:tcW w:w="1661" w:type="dxa"/>
          </w:tcPr>
          <w:p>
            <w:pPr>
              <w:pStyle w:val="TableParagraph"/>
              <w:spacing w:line="232" w:lineRule="auto" w:before="99"/>
              <w:ind w:left="95"/>
              <w:rPr>
                <w:sz w:val="18"/>
              </w:rPr>
            </w:pPr>
            <w:r>
              <w:rPr>
                <w:color w:val="105C84"/>
                <w:spacing w:val="-2"/>
                <w:sz w:val="18"/>
              </w:rPr>
              <w:t>Local</w:t>
            </w:r>
            <w:r>
              <w:rPr>
                <w:color w:val="105C84"/>
                <w:spacing w:val="-11"/>
                <w:sz w:val="18"/>
              </w:rPr>
              <w:t> </w:t>
            </w:r>
            <w:r>
              <w:rPr>
                <w:color w:val="105C84"/>
                <w:spacing w:val="-2"/>
                <w:sz w:val="18"/>
              </w:rPr>
              <w:t>health department</w:t>
            </w:r>
          </w:p>
        </w:tc>
        <w:tc>
          <w:tcPr>
            <w:tcW w:w="1332" w:type="dxa"/>
          </w:tcPr>
          <w:p>
            <w:pPr>
              <w:pStyle w:val="TableParagraph"/>
              <w:spacing w:line="203" w:lineRule="exact" w:before="94"/>
              <w:ind w:left="96"/>
              <w:rPr>
                <w:sz w:val="18"/>
              </w:rPr>
            </w:pPr>
            <w:r>
              <w:rPr>
                <w:color w:val="105C84"/>
                <w:spacing w:val="-2"/>
                <w:sz w:val="18"/>
              </w:rPr>
              <w:t>CCHD/WIC</w:t>
            </w:r>
          </w:p>
          <w:p>
            <w:pPr>
              <w:pStyle w:val="TableParagraph"/>
              <w:spacing w:line="232" w:lineRule="auto" w:before="2"/>
              <w:ind w:left="96" w:right="89"/>
              <w:rPr>
                <w:sz w:val="18"/>
              </w:rPr>
            </w:pPr>
            <w:r>
              <w:rPr>
                <w:color w:val="105C84"/>
                <w:spacing w:val="-2"/>
                <w:sz w:val="18"/>
              </w:rPr>
              <w:t>responsible</w:t>
            </w:r>
            <w:r>
              <w:rPr>
                <w:color w:val="105C84"/>
                <w:spacing w:val="40"/>
                <w:sz w:val="18"/>
              </w:rPr>
              <w:t> </w:t>
            </w:r>
            <w:r>
              <w:rPr>
                <w:color w:val="105C84"/>
                <w:spacing w:val="-4"/>
                <w:sz w:val="18"/>
              </w:rPr>
              <w:t>for</w:t>
            </w:r>
            <w:r>
              <w:rPr>
                <w:color w:val="105C84"/>
                <w:spacing w:val="40"/>
                <w:sz w:val="18"/>
              </w:rPr>
              <w:t> </w:t>
            </w:r>
            <w:r>
              <w:rPr>
                <w:color w:val="105C84"/>
                <w:spacing w:val="-2"/>
                <w:sz w:val="18"/>
              </w:rPr>
              <w:t>intervention providing </w:t>
            </w:r>
            <w:r>
              <w:rPr>
                <w:color w:val="105C84"/>
                <w:sz w:val="18"/>
              </w:rPr>
              <w:t>needed staff </w:t>
            </w:r>
            <w:r>
              <w:rPr>
                <w:color w:val="105C84"/>
                <w:spacing w:val="-2"/>
                <w:sz w:val="18"/>
              </w:rPr>
              <w:t>and</w:t>
            </w:r>
            <w:r>
              <w:rPr>
                <w:color w:val="105C84"/>
                <w:spacing w:val="-11"/>
                <w:sz w:val="18"/>
              </w:rPr>
              <w:t> </w:t>
            </w:r>
            <w:r>
              <w:rPr>
                <w:color w:val="105C84"/>
                <w:spacing w:val="-2"/>
                <w:sz w:val="18"/>
              </w:rPr>
              <w:t>resources </w:t>
            </w:r>
            <w:r>
              <w:rPr>
                <w:color w:val="105C84"/>
                <w:sz w:val="18"/>
              </w:rPr>
              <w:t>to meet </w:t>
            </w:r>
            <w:r>
              <w:rPr>
                <w:color w:val="105C84"/>
                <w:spacing w:val="-2"/>
                <w:sz w:val="18"/>
              </w:rPr>
              <w:t>measures</w:t>
            </w:r>
            <w:r>
              <w:rPr>
                <w:color w:val="105C84"/>
                <w:spacing w:val="-11"/>
                <w:sz w:val="18"/>
              </w:rPr>
              <w:t> </w:t>
            </w:r>
            <w:r>
              <w:rPr>
                <w:color w:val="105C84"/>
                <w:spacing w:val="-2"/>
                <w:sz w:val="18"/>
              </w:rPr>
              <w:t>with assistance </w:t>
            </w:r>
            <w:r>
              <w:rPr>
                <w:color w:val="105C84"/>
                <w:sz w:val="18"/>
              </w:rPr>
              <w:t>from Health </w:t>
            </w:r>
            <w:r>
              <w:rPr>
                <w:color w:val="105C84"/>
                <w:spacing w:val="-2"/>
                <w:sz w:val="18"/>
              </w:rPr>
              <w:t>Priorities </w:t>
            </w:r>
            <w:r>
              <w:rPr>
                <w:color w:val="105C84"/>
                <w:sz w:val="18"/>
              </w:rPr>
              <w:t>Partners as </w:t>
            </w:r>
            <w:r>
              <w:rPr>
                <w:color w:val="105C84"/>
                <w:spacing w:val="-2"/>
                <w:sz w:val="18"/>
              </w:rPr>
              <w:t>needed</w:t>
            </w:r>
          </w:p>
        </w:tc>
      </w:tr>
    </w:tbl>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252"/>
        <w:rPr>
          <w:b/>
          <w:sz w:val="26"/>
        </w:rPr>
      </w:pPr>
    </w:p>
    <w:p>
      <w:pPr>
        <w:tabs>
          <w:tab w:pos="23047" w:val="left" w:leader="none"/>
        </w:tabs>
        <w:spacing w:before="0"/>
        <w:ind w:left="0" w:right="0" w:firstLine="0"/>
        <w:jc w:val="left"/>
        <w:rPr>
          <w:b/>
          <w:sz w:val="26"/>
        </w:rPr>
      </w:pPr>
      <w:r>
        <w:rPr>
          <w:position w:val="-4"/>
        </w:rPr>
        <w:drawing>
          <wp:inline distT="0" distB="0" distL="0" distR="0">
            <wp:extent cx="568172" cy="184683"/>
            <wp:effectExtent l="0" t="0" r="0" b="0"/>
            <wp:docPr id="1712" name="Image 1712"/>
            <wp:cNvGraphicFramePr>
              <a:graphicFrameLocks/>
            </wp:cNvGraphicFramePr>
            <a:graphic>
              <a:graphicData uri="http://schemas.openxmlformats.org/drawingml/2006/picture">
                <pic:pic>
                  <pic:nvPicPr>
                    <pic:cNvPr id="1712" name="Image 1712"/>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13"/>
          <w:sz w:val="20"/>
        </w:rPr>
        <w:t> </w:t>
      </w:r>
      <w:r>
        <w:rPr>
          <w:b/>
          <w:color w:val="939598"/>
          <w:w w:val="105"/>
          <w:sz w:val="26"/>
        </w:rPr>
        <w:t>111</w:t>
      </w:r>
      <w:r>
        <w:rPr>
          <w:b/>
          <w:color w:val="939598"/>
          <w:sz w:val="26"/>
        </w:rPr>
        <w:tab/>
      </w:r>
      <w:r>
        <w:rPr>
          <w:b/>
          <w:color w:val="939598"/>
          <w:spacing w:val="-5"/>
          <w:w w:val="105"/>
          <w:sz w:val="26"/>
        </w:rPr>
        <w:t>112</w:t>
      </w:r>
    </w:p>
    <w:p>
      <w:pPr>
        <w:spacing w:after="0"/>
        <w:jc w:val="left"/>
        <w:rPr>
          <w:b/>
          <w:sz w:val="26"/>
        </w:rPr>
        <w:sectPr>
          <w:headerReference w:type="default" r:id="rId240"/>
          <w:pgSz w:w="24480" w:h="15840" w:orient="landscape"/>
          <w:pgMar w:header="0" w:footer="0" w:top="860" w:bottom="0" w:left="0" w:right="720"/>
        </w:sectPr>
      </w:pPr>
    </w:p>
    <w:p>
      <w:pPr>
        <w:spacing w:before="607"/>
        <w:ind w:left="1089" w:right="0" w:firstLine="0"/>
        <w:jc w:val="left"/>
        <w:rPr>
          <w:sz w:val="54"/>
        </w:rPr>
      </w:pPr>
      <w:r>
        <w:rPr>
          <w:sz w:val="54"/>
        </w:rPr>
        <w:drawing>
          <wp:anchor distT="0" distB="0" distL="0" distR="0" allowOverlap="1" layoutInCell="1" locked="0" behindDoc="0" simplePos="0" relativeHeight="15918592">
            <wp:simplePos x="0" y="0"/>
            <wp:positionH relativeFrom="page">
              <wp:posOffset>14981556</wp:posOffset>
            </wp:positionH>
            <wp:positionV relativeFrom="page">
              <wp:posOffset>9668103</wp:posOffset>
            </wp:positionV>
            <wp:extent cx="563245" cy="184683"/>
            <wp:effectExtent l="0" t="0" r="0" b="0"/>
            <wp:wrapNone/>
            <wp:docPr id="1713" name="Image 1713"/>
            <wp:cNvGraphicFramePr>
              <a:graphicFrameLocks/>
            </wp:cNvGraphicFramePr>
            <a:graphic>
              <a:graphicData uri="http://schemas.openxmlformats.org/drawingml/2006/picture">
                <pic:pic>
                  <pic:nvPicPr>
                    <pic:cNvPr id="1713" name="Image 1713"/>
                    <pic:cNvPicPr/>
                  </pic:nvPicPr>
                  <pic:blipFill>
                    <a:blip r:embed="rId38" cstate="print"/>
                    <a:stretch>
                      <a:fillRect/>
                    </a:stretch>
                  </pic:blipFill>
                  <pic:spPr>
                    <a:xfrm>
                      <a:off x="0" y="0"/>
                      <a:ext cx="563245" cy="184683"/>
                    </a:xfrm>
                    <a:prstGeom prst="rect">
                      <a:avLst/>
                    </a:prstGeom>
                  </pic:spPr>
                </pic:pic>
              </a:graphicData>
            </a:graphic>
          </wp:anchor>
        </w:drawing>
      </w:r>
      <w:r>
        <w:rPr>
          <w:sz w:val="54"/>
        </w:rPr>
        <mc:AlternateContent>
          <mc:Choice Requires="wps">
            <w:drawing>
              <wp:anchor distT="0" distB="0" distL="0" distR="0" allowOverlap="1" layoutInCell="1" locked="0" behindDoc="0" simplePos="0" relativeHeight="15919104">
                <wp:simplePos x="0" y="0"/>
                <wp:positionH relativeFrom="page">
                  <wp:posOffset>12965593</wp:posOffset>
                </wp:positionH>
                <wp:positionV relativeFrom="paragraph">
                  <wp:posOffset>292608</wp:posOffset>
                </wp:positionV>
                <wp:extent cx="1918970" cy="681990"/>
                <wp:effectExtent l="0" t="0" r="0" b="0"/>
                <wp:wrapNone/>
                <wp:docPr id="1714" name="Group 1714"/>
                <wp:cNvGraphicFramePr>
                  <a:graphicFrameLocks/>
                </wp:cNvGraphicFramePr>
                <a:graphic>
                  <a:graphicData uri="http://schemas.microsoft.com/office/word/2010/wordprocessingGroup">
                    <wpg:wgp>
                      <wpg:cNvPr id="1714" name="Group 1714"/>
                      <wpg:cNvGrpSpPr/>
                      <wpg:grpSpPr>
                        <a:xfrm>
                          <a:off x="0" y="0"/>
                          <a:ext cx="1918970" cy="681990"/>
                          <a:chExt cx="1918970" cy="681990"/>
                        </a:xfrm>
                      </wpg:grpSpPr>
                      <pic:pic>
                        <pic:nvPicPr>
                          <pic:cNvPr id="1715" name="Image 1715"/>
                          <pic:cNvPicPr/>
                        </pic:nvPicPr>
                        <pic:blipFill>
                          <a:blip r:embed="rId241" cstate="print"/>
                          <a:stretch>
                            <a:fillRect/>
                          </a:stretch>
                        </pic:blipFill>
                        <pic:spPr>
                          <a:xfrm>
                            <a:off x="1275703" y="0"/>
                            <a:ext cx="643101" cy="681824"/>
                          </a:xfrm>
                          <a:prstGeom prst="rect">
                            <a:avLst/>
                          </a:prstGeom>
                        </pic:spPr>
                      </pic:pic>
                      <pic:pic>
                        <pic:nvPicPr>
                          <pic:cNvPr id="1716" name="Image 1716"/>
                          <pic:cNvPicPr/>
                        </pic:nvPicPr>
                        <pic:blipFill>
                          <a:blip r:embed="rId242" cstate="print"/>
                          <a:stretch>
                            <a:fillRect/>
                          </a:stretch>
                        </pic:blipFill>
                        <pic:spPr>
                          <a:xfrm>
                            <a:off x="0" y="91440"/>
                            <a:ext cx="1232015" cy="261461"/>
                          </a:xfrm>
                          <a:prstGeom prst="rect">
                            <a:avLst/>
                          </a:prstGeom>
                        </pic:spPr>
                      </pic:pic>
                    </wpg:wgp>
                  </a:graphicData>
                </a:graphic>
              </wp:anchor>
            </w:drawing>
          </mc:Choice>
          <mc:Fallback>
            <w:pict>
              <v:group style="position:absolute;margin-left:1020.912903pt;margin-top:23.040001pt;width:151.1pt;height:53.7pt;mso-position-horizontal-relative:page;mso-position-vertical-relative:paragraph;z-index:15919104" id="docshapegroup1356" coordorigin="20418,461" coordsize="3022,1074">
                <v:shape style="position:absolute;left:22427;top:460;width:1013;height:1074" type="#_x0000_t75" id="docshape1357" stroked="false">
                  <v:imagedata r:id="rId241" o:title=""/>
                </v:shape>
                <v:shape style="position:absolute;left:20418;top:604;width:1941;height:412" type="#_x0000_t75" id="docshape1358" stroked="false">
                  <v:imagedata r:id="rId242" o:title=""/>
                </v:shape>
                <w10:wrap type="none"/>
              </v:group>
            </w:pict>
          </mc:Fallback>
        </mc:AlternateContent>
      </w:r>
      <w:r>
        <w:rPr>
          <w:color w:val="636466"/>
          <w:sz w:val="54"/>
        </w:rPr>
        <w:t>Chemung</w:t>
      </w:r>
      <w:r>
        <w:rPr>
          <w:color w:val="636466"/>
          <w:spacing w:val="62"/>
          <w:sz w:val="54"/>
        </w:rPr>
        <w:t> </w:t>
      </w:r>
      <w:r>
        <w:rPr>
          <w:color w:val="636466"/>
          <w:sz w:val="54"/>
        </w:rPr>
        <w:t>County</w:t>
      </w:r>
      <w:r>
        <w:rPr>
          <w:color w:val="636466"/>
          <w:spacing w:val="62"/>
          <w:sz w:val="54"/>
        </w:rPr>
        <w:t> </w:t>
      </w:r>
      <w:r>
        <w:rPr>
          <w:color w:val="636466"/>
          <w:sz w:val="54"/>
        </w:rPr>
        <w:t>Appendix</w:t>
      </w:r>
      <w:r>
        <w:rPr>
          <w:color w:val="636466"/>
          <w:spacing w:val="63"/>
          <w:sz w:val="54"/>
        </w:rPr>
        <w:t> </w:t>
      </w:r>
      <w:r>
        <w:rPr>
          <w:color w:val="636466"/>
          <w:spacing w:val="-10"/>
          <w:sz w:val="54"/>
        </w:rPr>
        <w:t>A</w:t>
      </w:r>
    </w:p>
    <w:p>
      <w:pPr>
        <w:spacing w:before="235"/>
        <w:ind w:left="1089" w:right="0" w:firstLine="0"/>
        <w:jc w:val="left"/>
        <w:rPr>
          <w:b/>
          <w:sz w:val="32"/>
        </w:rPr>
      </w:pPr>
      <w:r>
        <w:rPr>
          <w:b/>
          <w:color w:val="82BF6A"/>
          <w:spacing w:val="-10"/>
          <w:sz w:val="32"/>
        </w:rPr>
        <w:t>PRIORITY:</w:t>
      </w:r>
      <w:r>
        <w:rPr>
          <w:b/>
          <w:color w:val="82BF6A"/>
          <w:spacing w:val="1"/>
          <w:sz w:val="32"/>
        </w:rPr>
        <w:t> </w:t>
      </w:r>
      <w:r>
        <w:rPr>
          <w:b/>
          <w:color w:val="82BF6A"/>
          <w:spacing w:val="-10"/>
          <w:sz w:val="32"/>
        </w:rPr>
        <w:t>PREVENT</w:t>
      </w:r>
      <w:r>
        <w:rPr>
          <w:b/>
          <w:color w:val="82BF6A"/>
          <w:spacing w:val="1"/>
          <w:sz w:val="32"/>
        </w:rPr>
        <w:t> </w:t>
      </w:r>
      <w:r>
        <w:rPr>
          <w:b/>
          <w:color w:val="82BF6A"/>
          <w:spacing w:val="-10"/>
          <w:sz w:val="32"/>
        </w:rPr>
        <w:t>CHRONIC</w:t>
      </w:r>
      <w:r>
        <w:rPr>
          <w:b/>
          <w:color w:val="82BF6A"/>
          <w:spacing w:val="1"/>
          <w:sz w:val="32"/>
        </w:rPr>
        <w:t> </w:t>
      </w:r>
      <w:r>
        <w:rPr>
          <w:b/>
          <w:color w:val="82BF6A"/>
          <w:spacing w:val="-10"/>
          <w:sz w:val="32"/>
        </w:rPr>
        <w:t>DISEASES,</w:t>
      </w:r>
      <w:r>
        <w:rPr>
          <w:b/>
          <w:color w:val="82BF6A"/>
          <w:spacing w:val="2"/>
          <w:sz w:val="32"/>
        </w:rPr>
        <w:t> </w:t>
      </w:r>
      <w:r>
        <w:rPr>
          <w:b/>
          <w:color w:val="82BF6A"/>
          <w:spacing w:val="-10"/>
          <w:sz w:val="32"/>
        </w:rPr>
        <w:t>HEALTHY</w:t>
      </w:r>
      <w:r>
        <w:rPr>
          <w:b/>
          <w:color w:val="82BF6A"/>
          <w:spacing w:val="1"/>
          <w:sz w:val="32"/>
        </w:rPr>
        <w:t> </w:t>
      </w:r>
      <w:r>
        <w:rPr>
          <w:b/>
          <w:color w:val="82BF6A"/>
          <w:spacing w:val="-10"/>
          <w:sz w:val="32"/>
        </w:rPr>
        <w:t>EATING</w:t>
      </w:r>
    </w:p>
    <w:p>
      <w:pPr>
        <w:pStyle w:val="BodyText"/>
        <w:rPr>
          <w:b/>
          <w:sz w:val="20"/>
        </w:rPr>
      </w:pPr>
    </w:p>
    <w:p>
      <w:pPr>
        <w:pStyle w:val="BodyText"/>
        <w:spacing w:before="112"/>
        <w:rPr>
          <w:b/>
          <w:sz w:val="20"/>
        </w:rPr>
      </w:pPr>
    </w:p>
    <w:tbl>
      <w:tblPr>
        <w:tblW w:w="0" w:type="auto"/>
        <w:jc w:val="left"/>
        <w:tblInd w:w="1099"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1065"/>
        <w:gridCol w:w="1361"/>
        <w:gridCol w:w="1203"/>
        <w:gridCol w:w="1354"/>
        <w:gridCol w:w="1152"/>
        <w:gridCol w:w="1447"/>
        <w:gridCol w:w="8251"/>
        <w:gridCol w:w="1742"/>
        <w:gridCol w:w="1585"/>
        <w:gridCol w:w="1661"/>
        <w:gridCol w:w="1485"/>
      </w:tblGrid>
      <w:tr>
        <w:trPr>
          <w:trHeight w:val="990" w:hRule="atLeast"/>
        </w:trPr>
        <w:tc>
          <w:tcPr>
            <w:tcW w:w="1065" w:type="dxa"/>
            <w:tcBorders>
              <w:right w:val="single" w:sz="4" w:space="0" w:color="FFFFFF"/>
            </w:tcBorders>
            <w:shd w:val="clear" w:color="auto" w:fill="A7A9AC"/>
          </w:tcPr>
          <w:p>
            <w:pPr>
              <w:pStyle w:val="TableParagraph"/>
              <w:spacing w:before="177"/>
              <w:rPr>
                <w:b/>
                <w:sz w:val="20"/>
              </w:rPr>
            </w:pPr>
          </w:p>
          <w:p>
            <w:pPr>
              <w:pStyle w:val="TableParagraph"/>
              <w:ind w:left="80"/>
              <w:rPr>
                <w:b/>
                <w:sz w:val="20"/>
              </w:rPr>
            </w:pPr>
            <w:r>
              <w:rPr>
                <w:b/>
                <w:color w:val="FFFFFF"/>
                <w:spacing w:val="-2"/>
                <w:sz w:val="20"/>
              </w:rPr>
              <w:t>Priority</w:t>
            </w:r>
          </w:p>
        </w:tc>
        <w:tc>
          <w:tcPr>
            <w:tcW w:w="1361" w:type="dxa"/>
            <w:tcBorders>
              <w:left w:val="single" w:sz="4" w:space="0" w:color="FFFFFF"/>
              <w:right w:val="single" w:sz="4" w:space="0" w:color="FFFFFF"/>
            </w:tcBorders>
            <w:shd w:val="clear" w:color="auto" w:fill="A7A9AC"/>
          </w:tcPr>
          <w:p>
            <w:pPr>
              <w:pStyle w:val="TableParagraph"/>
              <w:spacing w:before="177"/>
              <w:rPr>
                <w:b/>
                <w:sz w:val="20"/>
              </w:rPr>
            </w:pPr>
          </w:p>
          <w:p>
            <w:pPr>
              <w:pStyle w:val="TableParagraph"/>
              <w:ind w:left="80"/>
              <w:rPr>
                <w:b/>
                <w:sz w:val="20"/>
              </w:rPr>
            </w:pPr>
            <w:r>
              <w:rPr>
                <w:b/>
                <w:color w:val="FFFFFF"/>
                <w:w w:val="90"/>
                <w:sz w:val="20"/>
              </w:rPr>
              <w:t>Focus</w:t>
            </w:r>
            <w:r>
              <w:rPr>
                <w:b/>
                <w:color w:val="FFFFFF"/>
                <w:spacing w:val="8"/>
                <w:sz w:val="20"/>
              </w:rPr>
              <w:t> </w:t>
            </w:r>
            <w:r>
              <w:rPr>
                <w:b/>
                <w:color w:val="FFFFFF"/>
                <w:spacing w:val="-4"/>
                <w:sz w:val="20"/>
              </w:rPr>
              <w:t>Area</w:t>
            </w:r>
          </w:p>
        </w:tc>
        <w:tc>
          <w:tcPr>
            <w:tcW w:w="1203" w:type="dxa"/>
            <w:tcBorders>
              <w:left w:val="single" w:sz="4" w:space="0" w:color="FFFFFF"/>
              <w:right w:val="single" w:sz="4" w:space="0" w:color="FFFFFF"/>
            </w:tcBorders>
            <w:shd w:val="clear" w:color="auto" w:fill="A7A9AC"/>
          </w:tcPr>
          <w:p>
            <w:pPr>
              <w:pStyle w:val="TableParagraph"/>
              <w:spacing w:before="74"/>
              <w:rPr>
                <w:b/>
                <w:sz w:val="20"/>
              </w:rPr>
            </w:pPr>
          </w:p>
          <w:p>
            <w:pPr>
              <w:pStyle w:val="TableParagraph"/>
              <w:spacing w:line="230" w:lineRule="auto" w:before="1"/>
              <w:ind w:left="80"/>
              <w:rPr>
                <w:b/>
                <w:sz w:val="20"/>
              </w:rPr>
            </w:pPr>
            <w:r>
              <w:rPr>
                <w:b/>
                <w:color w:val="FFFFFF"/>
                <w:spacing w:val="-8"/>
                <w:sz w:val="20"/>
              </w:rPr>
              <w:t>Goal</w:t>
            </w:r>
            <w:r>
              <w:rPr>
                <w:b/>
                <w:color w:val="FFFFFF"/>
                <w:spacing w:val="-6"/>
                <w:sz w:val="20"/>
              </w:rPr>
              <w:t> </w:t>
            </w:r>
            <w:r>
              <w:rPr>
                <w:b/>
                <w:color w:val="FFFFFF"/>
                <w:spacing w:val="-8"/>
                <w:sz w:val="20"/>
              </w:rPr>
              <w:t>Focus </w:t>
            </w:r>
            <w:r>
              <w:rPr>
                <w:b/>
                <w:color w:val="FFFFFF"/>
                <w:spacing w:val="-4"/>
                <w:sz w:val="20"/>
              </w:rPr>
              <w:t>Area</w:t>
            </w:r>
          </w:p>
        </w:tc>
        <w:tc>
          <w:tcPr>
            <w:tcW w:w="1354" w:type="dxa"/>
            <w:tcBorders>
              <w:left w:val="single" w:sz="4" w:space="0" w:color="FFFFFF"/>
              <w:right w:val="single" w:sz="4" w:space="0" w:color="FFFFFF"/>
            </w:tcBorders>
            <w:shd w:val="clear" w:color="auto" w:fill="A7A9AC"/>
          </w:tcPr>
          <w:p>
            <w:pPr>
              <w:pStyle w:val="TableParagraph"/>
              <w:spacing w:before="177"/>
              <w:rPr>
                <w:b/>
                <w:sz w:val="20"/>
              </w:rPr>
            </w:pPr>
          </w:p>
          <w:p>
            <w:pPr>
              <w:pStyle w:val="TableParagraph"/>
              <w:ind w:left="79"/>
              <w:rPr>
                <w:b/>
                <w:sz w:val="20"/>
              </w:rPr>
            </w:pPr>
            <w:r>
              <w:rPr>
                <w:b/>
                <w:color w:val="FFFFFF"/>
                <w:spacing w:val="-2"/>
                <w:sz w:val="20"/>
              </w:rPr>
              <w:t>Objectives</w:t>
            </w:r>
          </w:p>
        </w:tc>
        <w:tc>
          <w:tcPr>
            <w:tcW w:w="1152" w:type="dxa"/>
            <w:tcBorders>
              <w:left w:val="single" w:sz="4" w:space="0" w:color="FFFFFF"/>
              <w:right w:val="single" w:sz="4" w:space="0" w:color="FFFFFF"/>
            </w:tcBorders>
            <w:shd w:val="clear" w:color="auto" w:fill="A7A9AC"/>
          </w:tcPr>
          <w:p>
            <w:pPr>
              <w:pStyle w:val="TableParagraph"/>
              <w:spacing w:before="177"/>
              <w:rPr>
                <w:b/>
                <w:sz w:val="20"/>
              </w:rPr>
            </w:pPr>
          </w:p>
          <w:p>
            <w:pPr>
              <w:pStyle w:val="TableParagraph"/>
              <w:ind w:left="6" w:right="1"/>
              <w:jc w:val="center"/>
              <w:rPr>
                <w:b/>
                <w:sz w:val="20"/>
              </w:rPr>
            </w:pPr>
            <w:r>
              <w:rPr>
                <w:b/>
                <w:color w:val="FFFFFF"/>
                <w:spacing w:val="-2"/>
                <w:sz w:val="20"/>
              </w:rPr>
              <w:t>Disparities</w:t>
            </w:r>
          </w:p>
        </w:tc>
        <w:tc>
          <w:tcPr>
            <w:tcW w:w="1447" w:type="dxa"/>
            <w:tcBorders>
              <w:left w:val="single" w:sz="4" w:space="0" w:color="FFFFFF"/>
              <w:right w:val="single" w:sz="4" w:space="0" w:color="FFFFFF"/>
            </w:tcBorders>
            <w:shd w:val="clear" w:color="auto" w:fill="A7A9AC"/>
          </w:tcPr>
          <w:p>
            <w:pPr>
              <w:pStyle w:val="TableParagraph"/>
              <w:spacing w:before="177"/>
              <w:rPr>
                <w:b/>
                <w:sz w:val="20"/>
              </w:rPr>
            </w:pPr>
          </w:p>
          <w:p>
            <w:pPr>
              <w:pStyle w:val="TableParagraph"/>
              <w:ind w:left="79"/>
              <w:rPr>
                <w:b/>
                <w:sz w:val="20"/>
              </w:rPr>
            </w:pPr>
            <w:r>
              <w:rPr>
                <w:b/>
                <w:color w:val="FFFFFF"/>
                <w:spacing w:val="-2"/>
                <w:sz w:val="20"/>
              </w:rPr>
              <w:t>Interventions</w:t>
            </w:r>
          </w:p>
        </w:tc>
        <w:tc>
          <w:tcPr>
            <w:tcW w:w="8251" w:type="dxa"/>
            <w:tcBorders>
              <w:left w:val="single" w:sz="4" w:space="0" w:color="FFFFFF"/>
              <w:right w:val="single" w:sz="4" w:space="0" w:color="FFFFFF"/>
            </w:tcBorders>
            <w:shd w:val="clear" w:color="auto" w:fill="A7A9AC"/>
          </w:tcPr>
          <w:p>
            <w:pPr>
              <w:pStyle w:val="TableParagraph"/>
              <w:spacing w:before="94"/>
              <w:rPr>
                <w:b/>
                <w:sz w:val="20"/>
              </w:rPr>
            </w:pPr>
          </w:p>
          <w:p>
            <w:pPr>
              <w:pStyle w:val="TableParagraph"/>
              <w:tabs>
                <w:tab w:pos="4650" w:val="left" w:leader="none"/>
              </w:tabs>
              <w:spacing w:line="156" w:lineRule="auto"/>
              <w:ind w:left="4650" w:right="603" w:hanging="4562"/>
              <w:rPr>
                <w:b/>
                <w:sz w:val="20"/>
              </w:rPr>
            </w:pPr>
            <w:r>
              <w:rPr>
                <w:b/>
                <w:color w:val="FFFFFF"/>
                <w:position w:val="-10"/>
                <w:sz w:val="20"/>
              </w:rPr>
              <w:t>Family of Measures</w:t>
              <w:tab/>
            </w:r>
            <w:r>
              <w:rPr>
                <w:b/>
                <w:color w:val="FFFFFF"/>
                <w:sz w:val="20"/>
              </w:rPr>
              <w:t>Projected</w:t>
            </w:r>
            <w:r>
              <w:rPr>
                <w:b/>
                <w:color w:val="FFFFFF"/>
                <w:spacing w:val="-14"/>
                <w:sz w:val="20"/>
              </w:rPr>
              <w:t> </w:t>
            </w:r>
            <w:r>
              <w:rPr>
                <w:b/>
                <w:color w:val="FFFFFF"/>
                <w:sz w:val="20"/>
              </w:rPr>
              <w:t>(or</w:t>
            </w:r>
            <w:r>
              <w:rPr>
                <w:b/>
                <w:color w:val="FFFFFF"/>
                <w:spacing w:val="-14"/>
                <w:sz w:val="20"/>
              </w:rPr>
              <w:t> </w:t>
            </w:r>
            <w:r>
              <w:rPr>
                <w:b/>
                <w:color w:val="FFFFFF"/>
                <w:sz w:val="20"/>
              </w:rPr>
              <w:t>completed)</w:t>
            </w:r>
            <w:r>
              <w:rPr>
                <w:b/>
                <w:color w:val="FFFFFF"/>
                <w:spacing w:val="-14"/>
                <w:sz w:val="20"/>
              </w:rPr>
              <w:t> </w:t>
            </w:r>
            <w:r>
              <w:rPr>
                <w:b/>
                <w:color w:val="FFFFFF"/>
                <w:sz w:val="20"/>
              </w:rPr>
              <w:t>Year</w:t>
            </w:r>
            <w:r>
              <w:rPr>
                <w:b/>
                <w:color w:val="FFFFFF"/>
                <w:spacing w:val="-14"/>
                <w:sz w:val="20"/>
              </w:rPr>
              <w:t> </w:t>
            </w:r>
            <w:r>
              <w:rPr>
                <w:b/>
                <w:color w:val="FFFFFF"/>
                <w:sz w:val="20"/>
              </w:rPr>
              <w:t>1 </w:t>
            </w:r>
            <w:r>
              <w:rPr>
                <w:b/>
                <w:color w:val="FFFFFF"/>
                <w:spacing w:val="-2"/>
                <w:sz w:val="20"/>
              </w:rPr>
              <w:t>Intervention</w:t>
            </w:r>
          </w:p>
        </w:tc>
        <w:tc>
          <w:tcPr>
            <w:tcW w:w="1742" w:type="dxa"/>
            <w:tcBorders>
              <w:left w:val="single" w:sz="4" w:space="0" w:color="FFFFFF"/>
              <w:right w:val="single" w:sz="4" w:space="0" w:color="FFFFFF"/>
            </w:tcBorders>
            <w:shd w:val="clear" w:color="auto" w:fill="A7A9AC"/>
          </w:tcPr>
          <w:p>
            <w:pPr>
              <w:pStyle w:val="TableParagraph"/>
              <w:spacing w:before="177"/>
              <w:rPr>
                <w:b/>
                <w:sz w:val="20"/>
              </w:rPr>
            </w:pPr>
          </w:p>
          <w:p>
            <w:pPr>
              <w:pStyle w:val="TableParagraph"/>
              <w:ind w:left="79"/>
              <w:rPr>
                <w:b/>
                <w:sz w:val="20"/>
              </w:rPr>
            </w:pPr>
            <w:r>
              <w:rPr>
                <w:b/>
                <w:color w:val="FFFFFF"/>
                <w:spacing w:val="-2"/>
                <w:sz w:val="20"/>
              </w:rPr>
              <w:t>Projected</w:t>
            </w:r>
            <w:r>
              <w:rPr>
                <w:b/>
                <w:color w:val="FFFFFF"/>
                <w:spacing w:val="-8"/>
                <w:sz w:val="20"/>
              </w:rPr>
              <w:t> </w:t>
            </w:r>
            <w:r>
              <w:rPr>
                <w:b/>
                <w:color w:val="FFFFFF"/>
                <w:spacing w:val="-2"/>
                <w:sz w:val="20"/>
              </w:rPr>
              <w:t>Year</w:t>
            </w:r>
            <w:r>
              <w:rPr>
                <w:b/>
                <w:color w:val="FFFFFF"/>
                <w:spacing w:val="-7"/>
                <w:sz w:val="20"/>
              </w:rPr>
              <w:t> </w:t>
            </w:r>
            <w:r>
              <w:rPr>
                <w:b/>
                <w:color w:val="FFFFFF"/>
                <w:spacing w:val="-10"/>
                <w:sz w:val="20"/>
              </w:rPr>
              <w:t>2</w:t>
            </w:r>
          </w:p>
        </w:tc>
        <w:tc>
          <w:tcPr>
            <w:tcW w:w="1585" w:type="dxa"/>
            <w:tcBorders>
              <w:left w:val="single" w:sz="4" w:space="0" w:color="FFFFFF"/>
              <w:right w:val="single" w:sz="4" w:space="0" w:color="FFFFFF"/>
            </w:tcBorders>
            <w:shd w:val="clear" w:color="auto" w:fill="A7A9AC"/>
          </w:tcPr>
          <w:p>
            <w:pPr>
              <w:pStyle w:val="TableParagraph"/>
              <w:spacing w:before="74"/>
              <w:rPr>
                <w:b/>
                <w:sz w:val="20"/>
              </w:rPr>
            </w:pPr>
          </w:p>
          <w:p>
            <w:pPr>
              <w:pStyle w:val="TableParagraph"/>
              <w:spacing w:line="230" w:lineRule="auto" w:before="1"/>
              <w:ind w:left="79" w:right="85"/>
              <w:rPr>
                <w:b/>
                <w:sz w:val="20"/>
              </w:rPr>
            </w:pPr>
            <w:r>
              <w:rPr>
                <w:b/>
                <w:color w:val="FFFFFF"/>
                <w:sz w:val="20"/>
              </w:rPr>
              <w:t>Projected</w:t>
            </w:r>
            <w:r>
              <w:rPr>
                <w:b/>
                <w:color w:val="FFFFFF"/>
                <w:spacing w:val="-14"/>
                <w:sz w:val="20"/>
              </w:rPr>
              <w:t> </w:t>
            </w:r>
            <w:r>
              <w:rPr>
                <w:b/>
                <w:color w:val="FFFFFF"/>
                <w:sz w:val="20"/>
              </w:rPr>
              <w:t>Year 3</w:t>
            </w:r>
            <w:r>
              <w:rPr>
                <w:b/>
                <w:color w:val="FFFFFF"/>
                <w:spacing w:val="9"/>
                <w:sz w:val="20"/>
              </w:rPr>
              <w:t> </w:t>
            </w:r>
            <w:r>
              <w:rPr>
                <w:b/>
                <w:color w:val="FFFFFF"/>
                <w:spacing w:val="-4"/>
                <w:sz w:val="20"/>
              </w:rPr>
              <w:t>Interventions</w:t>
            </w:r>
          </w:p>
        </w:tc>
        <w:tc>
          <w:tcPr>
            <w:tcW w:w="1661" w:type="dxa"/>
            <w:tcBorders>
              <w:left w:val="single" w:sz="4" w:space="0" w:color="FFFFFF"/>
            </w:tcBorders>
            <w:shd w:val="clear" w:color="auto" w:fill="A7A9AC"/>
          </w:tcPr>
          <w:p>
            <w:pPr>
              <w:pStyle w:val="TableParagraph"/>
              <w:spacing w:before="74"/>
              <w:rPr>
                <w:b/>
                <w:sz w:val="20"/>
              </w:rPr>
            </w:pPr>
          </w:p>
          <w:p>
            <w:pPr>
              <w:pStyle w:val="TableParagraph"/>
              <w:spacing w:line="230" w:lineRule="auto" w:before="1"/>
              <w:ind w:left="80"/>
              <w:rPr>
                <w:b/>
                <w:sz w:val="20"/>
              </w:rPr>
            </w:pPr>
            <w:r>
              <w:rPr>
                <w:b/>
                <w:color w:val="FFFFFF"/>
                <w:spacing w:val="-2"/>
                <w:sz w:val="20"/>
              </w:rPr>
              <w:t>Implementation Partner</w:t>
            </w:r>
          </w:p>
        </w:tc>
        <w:tc>
          <w:tcPr>
            <w:tcW w:w="1485" w:type="dxa"/>
            <w:shd w:val="clear" w:color="auto" w:fill="A7A9AC"/>
          </w:tcPr>
          <w:p>
            <w:pPr>
              <w:pStyle w:val="TableParagraph"/>
              <w:spacing w:line="230" w:lineRule="auto" w:before="195"/>
              <w:ind w:left="81" w:right="353"/>
              <w:rPr>
                <w:b/>
                <w:sz w:val="20"/>
              </w:rPr>
            </w:pPr>
            <w:r>
              <w:rPr>
                <w:b/>
                <w:color w:val="FFFFFF"/>
                <w:spacing w:val="-2"/>
                <w:sz w:val="20"/>
              </w:rPr>
              <w:t>Partner </w:t>
            </w:r>
            <w:r>
              <w:rPr>
                <w:b/>
                <w:color w:val="FFFFFF"/>
                <w:spacing w:val="-6"/>
                <w:sz w:val="20"/>
              </w:rPr>
              <w:t>Role(s)</w:t>
            </w:r>
            <w:r>
              <w:rPr>
                <w:b/>
                <w:color w:val="FFFFFF"/>
                <w:spacing w:val="-8"/>
                <w:sz w:val="20"/>
              </w:rPr>
              <w:t> </w:t>
            </w:r>
            <w:r>
              <w:rPr>
                <w:b/>
                <w:color w:val="FFFFFF"/>
                <w:spacing w:val="-6"/>
                <w:sz w:val="20"/>
              </w:rPr>
              <w:t>and </w:t>
            </w:r>
            <w:r>
              <w:rPr>
                <w:b/>
                <w:color w:val="FFFFFF"/>
                <w:spacing w:val="-2"/>
                <w:sz w:val="20"/>
              </w:rPr>
              <w:t>Resources</w:t>
            </w:r>
          </w:p>
        </w:tc>
      </w:tr>
      <w:tr>
        <w:trPr>
          <w:trHeight w:val="9290" w:hRule="atLeast"/>
        </w:trPr>
        <w:tc>
          <w:tcPr>
            <w:tcW w:w="1065" w:type="dxa"/>
            <w:shd w:val="clear" w:color="auto" w:fill="E6E7E8"/>
          </w:tcPr>
          <w:p>
            <w:pPr>
              <w:pStyle w:val="TableParagraph"/>
              <w:spacing w:line="232" w:lineRule="auto" w:before="101"/>
              <w:ind w:left="90" w:right="248"/>
              <w:jc w:val="both"/>
              <w:rPr>
                <w:sz w:val="18"/>
              </w:rPr>
            </w:pPr>
            <w:r>
              <w:rPr>
                <w:color w:val="105C84"/>
                <w:spacing w:val="-2"/>
                <w:sz w:val="18"/>
              </w:rPr>
              <w:t>Prevent Chronic </w:t>
            </w:r>
            <w:r>
              <w:rPr>
                <w:color w:val="105C84"/>
                <w:spacing w:val="-6"/>
                <w:sz w:val="18"/>
              </w:rPr>
              <w:t>Diseases</w:t>
            </w:r>
          </w:p>
        </w:tc>
        <w:tc>
          <w:tcPr>
            <w:tcW w:w="1361" w:type="dxa"/>
          </w:tcPr>
          <w:p>
            <w:pPr>
              <w:pStyle w:val="TableParagraph"/>
              <w:spacing w:line="232" w:lineRule="auto" w:before="101"/>
              <w:ind w:left="90"/>
              <w:rPr>
                <w:sz w:val="18"/>
              </w:rPr>
            </w:pPr>
            <w:r>
              <w:rPr>
                <w:color w:val="105C84"/>
                <w:sz w:val="18"/>
              </w:rPr>
              <w:t>Focus Area 1: Healthy</w:t>
            </w:r>
            <w:r>
              <w:rPr>
                <w:color w:val="105C84"/>
                <w:spacing w:val="-13"/>
                <w:sz w:val="18"/>
              </w:rPr>
              <w:t> </w:t>
            </w:r>
            <w:r>
              <w:rPr>
                <w:color w:val="105C84"/>
                <w:sz w:val="18"/>
              </w:rPr>
              <w:t>eating and food </w:t>
            </w:r>
            <w:r>
              <w:rPr>
                <w:color w:val="105C84"/>
                <w:spacing w:val="-2"/>
                <w:sz w:val="18"/>
              </w:rPr>
              <w:t>security</w:t>
            </w:r>
          </w:p>
        </w:tc>
        <w:tc>
          <w:tcPr>
            <w:tcW w:w="1203" w:type="dxa"/>
          </w:tcPr>
          <w:p>
            <w:pPr>
              <w:pStyle w:val="TableParagraph"/>
              <w:spacing w:line="232" w:lineRule="auto" w:before="101"/>
              <w:ind w:left="90" w:right="206"/>
              <w:rPr>
                <w:sz w:val="18"/>
              </w:rPr>
            </w:pPr>
            <w:r>
              <w:rPr>
                <w:color w:val="105C84"/>
                <w:sz w:val="18"/>
              </w:rPr>
              <w:t>Goal 1.2: </w:t>
            </w:r>
            <w:r>
              <w:rPr>
                <w:color w:val="105C84"/>
                <w:spacing w:val="-2"/>
                <w:sz w:val="18"/>
              </w:rPr>
              <w:t>Increase </w:t>
            </w:r>
            <w:r>
              <w:rPr>
                <w:color w:val="105C84"/>
                <w:sz w:val="18"/>
              </w:rPr>
              <w:t>skills and </w:t>
            </w:r>
            <w:r>
              <w:rPr>
                <w:color w:val="105C84"/>
                <w:spacing w:val="-2"/>
                <w:sz w:val="18"/>
              </w:rPr>
              <w:t>knowledge </w:t>
            </w:r>
            <w:r>
              <w:rPr>
                <w:color w:val="105C84"/>
                <w:sz w:val="18"/>
              </w:rPr>
              <w:t>to support </w:t>
            </w:r>
            <w:r>
              <w:rPr>
                <w:color w:val="105C84"/>
                <w:spacing w:val="-2"/>
                <w:sz w:val="18"/>
              </w:rPr>
              <w:t>healthy </w:t>
            </w:r>
            <w:r>
              <w:rPr>
                <w:color w:val="105C84"/>
                <w:sz w:val="18"/>
              </w:rPr>
              <w:t>food and </w:t>
            </w:r>
            <w:r>
              <w:rPr>
                <w:color w:val="105C84"/>
                <w:spacing w:val="-2"/>
                <w:sz w:val="18"/>
              </w:rPr>
              <w:t>beverage choices</w:t>
            </w:r>
          </w:p>
        </w:tc>
        <w:tc>
          <w:tcPr>
            <w:tcW w:w="1354" w:type="dxa"/>
          </w:tcPr>
          <w:p>
            <w:pPr>
              <w:pStyle w:val="TableParagraph"/>
              <w:spacing w:line="232" w:lineRule="auto" w:before="101"/>
              <w:ind w:left="89" w:right="147"/>
              <w:rPr>
                <w:sz w:val="18"/>
              </w:rPr>
            </w:pPr>
            <w:r>
              <w:rPr>
                <w:color w:val="105C84"/>
                <w:sz w:val="18"/>
              </w:rPr>
              <w:t>Objective</w:t>
            </w:r>
            <w:r>
              <w:rPr>
                <w:color w:val="105C84"/>
                <w:spacing w:val="-13"/>
                <w:sz w:val="18"/>
              </w:rPr>
              <w:t> </w:t>
            </w:r>
            <w:r>
              <w:rPr>
                <w:color w:val="105C84"/>
                <w:sz w:val="18"/>
              </w:rPr>
              <w:t>1.2: Decrease the </w:t>
            </w:r>
            <w:r>
              <w:rPr>
                <w:color w:val="105C84"/>
                <w:spacing w:val="-2"/>
                <w:sz w:val="18"/>
              </w:rPr>
              <w:t>percentage</w:t>
            </w:r>
            <w:r>
              <w:rPr>
                <w:color w:val="105C84"/>
                <w:spacing w:val="80"/>
                <w:sz w:val="18"/>
              </w:rPr>
              <w:t> </w:t>
            </w:r>
            <w:r>
              <w:rPr>
                <w:color w:val="105C84"/>
                <w:sz w:val="18"/>
              </w:rPr>
              <w:t>of children with obesity </w:t>
            </w:r>
            <w:r>
              <w:rPr>
                <w:color w:val="105C84"/>
                <w:spacing w:val="-2"/>
                <w:sz w:val="18"/>
              </w:rPr>
              <w:t>(among</w:t>
            </w:r>
            <w:r>
              <w:rPr>
                <w:color w:val="105C84"/>
                <w:spacing w:val="40"/>
                <w:sz w:val="18"/>
              </w:rPr>
              <w:t> </w:t>
            </w:r>
            <w:r>
              <w:rPr>
                <w:color w:val="105C84"/>
                <w:sz w:val="18"/>
              </w:rPr>
              <w:t>public school students in </w:t>
            </w:r>
            <w:r>
              <w:rPr>
                <w:color w:val="105C84"/>
                <w:spacing w:val="-6"/>
                <w:sz w:val="18"/>
              </w:rPr>
              <w:t>NYS</w:t>
            </w:r>
            <w:r>
              <w:rPr>
                <w:color w:val="105C84"/>
                <w:spacing w:val="-7"/>
                <w:sz w:val="18"/>
              </w:rPr>
              <w:t> </w:t>
            </w:r>
            <w:r>
              <w:rPr>
                <w:color w:val="105C84"/>
                <w:spacing w:val="-6"/>
                <w:sz w:val="18"/>
              </w:rPr>
              <w:t>exclusive </w:t>
            </w:r>
            <w:r>
              <w:rPr>
                <w:color w:val="105C84"/>
                <w:sz w:val="18"/>
              </w:rPr>
              <w:t>of New York City [NYC])</w:t>
            </w:r>
          </w:p>
        </w:tc>
        <w:tc>
          <w:tcPr>
            <w:tcW w:w="1152" w:type="dxa"/>
          </w:tcPr>
          <w:p>
            <w:pPr>
              <w:pStyle w:val="TableParagraph"/>
              <w:spacing w:before="96"/>
              <w:ind w:left="5" w:right="6"/>
              <w:jc w:val="center"/>
              <w:rPr>
                <w:sz w:val="18"/>
              </w:rPr>
            </w:pPr>
            <w:r>
              <w:rPr>
                <w:color w:val="105C84"/>
                <w:sz w:val="18"/>
              </w:rPr>
              <w:t>Low</w:t>
            </w:r>
            <w:r>
              <w:rPr>
                <w:color w:val="105C84"/>
                <w:spacing w:val="-11"/>
                <w:sz w:val="18"/>
              </w:rPr>
              <w:t> </w:t>
            </w:r>
            <w:r>
              <w:rPr>
                <w:color w:val="105C84"/>
                <w:spacing w:val="-2"/>
                <w:sz w:val="18"/>
              </w:rPr>
              <w:t>income</w:t>
            </w:r>
          </w:p>
        </w:tc>
        <w:tc>
          <w:tcPr>
            <w:tcW w:w="1447" w:type="dxa"/>
          </w:tcPr>
          <w:p>
            <w:pPr>
              <w:pStyle w:val="TableParagraph"/>
              <w:spacing w:line="203" w:lineRule="exact" w:before="96"/>
              <w:ind w:left="89"/>
              <w:rPr>
                <w:sz w:val="18"/>
              </w:rPr>
            </w:pPr>
            <w:r>
              <w:rPr>
                <w:color w:val="105C84"/>
                <w:spacing w:val="-2"/>
                <w:sz w:val="18"/>
              </w:rPr>
              <w:t>Intervention</w:t>
            </w:r>
          </w:p>
          <w:p>
            <w:pPr>
              <w:pStyle w:val="TableParagraph"/>
              <w:spacing w:line="232" w:lineRule="auto" w:before="1"/>
              <w:ind w:left="89" w:right="312"/>
              <w:rPr>
                <w:sz w:val="18"/>
              </w:rPr>
            </w:pPr>
            <w:r>
              <w:rPr>
                <w:color w:val="105C84"/>
                <w:sz w:val="18"/>
              </w:rPr>
              <w:t>1.0.2</w:t>
            </w:r>
            <w:r>
              <w:rPr>
                <w:color w:val="105C84"/>
                <w:spacing w:val="-13"/>
                <w:sz w:val="18"/>
              </w:rPr>
              <w:t> </w:t>
            </w:r>
            <w:r>
              <w:rPr>
                <w:color w:val="105C84"/>
                <w:sz w:val="18"/>
              </w:rPr>
              <w:t>Quality </w:t>
            </w:r>
            <w:r>
              <w:rPr>
                <w:color w:val="105C84"/>
                <w:spacing w:val="-2"/>
                <w:sz w:val="18"/>
              </w:rPr>
              <w:t>nutrition</w:t>
            </w:r>
            <w:r>
              <w:rPr>
                <w:color w:val="105C84"/>
                <w:spacing w:val="80"/>
                <w:sz w:val="18"/>
              </w:rPr>
              <w:t> </w:t>
            </w:r>
            <w:r>
              <w:rPr>
                <w:color w:val="105C84"/>
                <w:spacing w:val="-4"/>
                <w:sz w:val="18"/>
              </w:rPr>
              <w:t>(and</w:t>
            </w:r>
            <w:r>
              <w:rPr>
                <w:color w:val="105C84"/>
                <w:spacing w:val="-9"/>
                <w:sz w:val="18"/>
              </w:rPr>
              <w:t> </w:t>
            </w:r>
            <w:r>
              <w:rPr>
                <w:color w:val="105C84"/>
                <w:spacing w:val="-4"/>
                <w:sz w:val="18"/>
              </w:rPr>
              <w:t>physica</w:t>
            </w:r>
            <w:r>
              <w:rPr>
                <w:color w:val="105C84"/>
                <w:spacing w:val="-4"/>
                <w:sz w:val="18"/>
              </w:rPr>
              <w:t>l</w:t>
            </w:r>
            <w:r>
              <w:rPr>
                <w:color w:val="105C84"/>
                <w:spacing w:val="-4"/>
                <w:sz w:val="18"/>
              </w:rPr>
              <w:t> </w:t>
            </w:r>
            <w:r>
              <w:rPr>
                <w:color w:val="105C84"/>
                <w:sz w:val="18"/>
              </w:rPr>
              <w:t>activity) in</w:t>
            </w:r>
          </w:p>
          <w:p>
            <w:pPr>
              <w:pStyle w:val="TableParagraph"/>
              <w:spacing w:line="232" w:lineRule="auto"/>
              <w:ind w:left="89" w:right="229"/>
              <w:jc w:val="both"/>
              <w:rPr>
                <w:sz w:val="18"/>
              </w:rPr>
            </w:pPr>
            <w:r>
              <w:rPr>
                <w:color w:val="105C84"/>
                <w:sz w:val="18"/>
              </w:rPr>
              <w:t>early</w:t>
            </w:r>
            <w:r>
              <w:rPr>
                <w:color w:val="105C84"/>
                <w:spacing w:val="-2"/>
                <w:sz w:val="18"/>
              </w:rPr>
              <w:t> </w:t>
            </w:r>
            <w:r>
              <w:rPr>
                <w:color w:val="105C84"/>
                <w:sz w:val="18"/>
              </w:rPr>
              <w:t>learning and</w:t>
            </w:r>
            <w:r>
              <w:rPr>
                <w:color w:val="105C84"/>
                <w:spacing w:val="-15"/>
                <w:sz w:val="18"/>
              </w:rPr>
              <w:t> </w:t>
            </w:r>
            <w:r>
              <w:rPr>
                <w:color w:val="105C84"/>
                <w:sz w:val="18"/>
              </w:rPr>
              <w:t>child</w:t>
            </w:r>
            <w:r>
              <w:rPr>
                <w:color w:val="105C84"/>
                <w:spacing w:val="-12"/>
                <w:sz w:val="18"/>
              </w:rPr>
              <w:t> </w:t>
            </w:r>
            <w:r>
              <w:rPr>
                <w:color w:val="105C84"/>
                <w:sz w:val="18"/>
              </w:rPr>
              <w:t>care </w:t>
            </w:r>
            <w:r>
              <w:rPr>
                <w:color w:val="105C84"/>
                <w:spacing w:val="-2"/>
                <w:sz w:val="18"/>
              </w:rPr>
              <w:t>settings</w:t>
            </w:r>
          </w:p>
        </w:tc>
        <w:tc>
          <w:tcPr>
            <w:tcW w:w="8251" w:type="dxa"/>
          </w:tcPr>
          <w:p>
            <w:pPr>
              <w:pStyle w:val="TableParagraph"/>
              <w:tabs>
                <w:tab w:pos="4650" w:val="left" w:leader="none"/>
              </w:tabs>
              <w:spacing w:line="203" w:lineRule="exact" w:before="95"/>
              <w:ind w:left="89"/>
              <w:rPr>
                <w:sz w:val="18"/>
              </w:rPr>
            </w:pPr>
            <w:r>
              <w:rPr>
                <w:color w:val="105C84"/>
                <w:sz w:val="18"/>
              </w:rPr>
              <w:t>Economic</w:t>
            </w:r>
            <w:r>
              <w:rPr>
                <w:color w:val="105C84"/>
                <w:spacing w:val="-4"/>
                <w:sz w:val="18"/>
              </w:rPr>
              <w:t> </w:t>
            </w:r>
            <w:r>
              <w:rPr>
                <w:color w:val="105C84"/>
                <w:spacing w:val="-2"/>
                <w:sz w:val="18"/>
              </w:rPr>
              <w:t>Opportunity</w:t>
            </w:r>
            <w:r>
              <w:rPr>
                <w:color w:val="105C84"/>
                <w:sz w:val="18"/>
              </w:rPr>
              <w:tab/>
              <w:t>Five</w:t>
            </w:r>
            <w:r>
              <w:rPr>
                <w:color w:val="105C84"/>
                <w:spacing w:val="-11"/>
                <w:sz w:val="18"/>
              </w:rPr>
              <w:t> </w:t>
            </w:r>
            <w:r>
              <w:rPr>
                <w:color w:val="105C84"/>
                <w:sz w:val="18"/>
              </w:rPr>
              <w:t>Head</w:t>
            </w:r>
            <w:r>
              <w:rPr>
                <w:color w:val="105C84"/>
                <w:spacing w:val="-8"/>
                <w:sz w:val="18"/>
              </w:rPr>
              <w:t> </w:t>
            </w:r>
            <w:r>
              <w:rPr>
                <w:color w:val="105C84"/>
                <w:sz w:val="18"/>
              </w:rPr>
              <w:t>Start</w:t>
            </w:r>
            <w:r>
              <w:rPr>
                <w:color w:val="105C84"/>
                <w:spacing w:val="-9"/>
                <w:sz w:val="18"/>
              </w:rPr>
              <w:t> </w:t>
            </w:r>
            <w:r>
              <w:rPr>
                <w:color w:val="105C84"/>
                <w:sz w:val="18"/>
              </w:rPr>
              <w:t>sites</w:t>
            </w:r>
            <w:r>
              <w:rPr>
                <w:color w:val="105C84"/>
                <w:spacing w:val="-8"/>
                <w:sz w:val="18"/>
              </w:rPr>
              <w:t> </w:t>
            </w:r>
            <w:r>
              <w:rPr>
                <w:color w:val="105C84"/>
                <w:sz w:val="18"/>
              </w:rPr>
              <w:t>and</w:t>
            </w:r>
            <w:r>
              <w:rPr>
                <w:color w:val="105C84"/>
                <w:spacing w:val="-9"/>
                <w:sz w:val="18"/>
              </w:rPr>
              <w:t> </w:t>
            </w:r>
            <w:r>
              <w:rPr>
                <w:color w:val="105C84"/>
                <w:sz w:val="18"/>
              </w:rPr>
              <w:t>a</w:t>
            </w:r>
            <w:r>
              <w:rPr>
                <w:color w:val="105C84"/>
                <w:spacing w:val="-8"/>
                <w:sz w:val="18"/>
              </w:rPr>
              <w:t> </w:t>
            </w:r>
            <w:r>
              <w:rPr>
                <w:color w:val="105C84"/>
                <w:sz w:val="18"/>
              </w:rPr>
              <w:t>home</w:t>
            </w:r>
            <w:r>
              <w:rPr>
                <w:color w:val="105C84"/>
                <w:spacing w:val="-8"/>
                <w:sz w:val="18"/>
              </w:rPr>
              <w:t> </w:t>
            </w:r>
            <w:r>
              <w:rPr>
                <w:color w:val="105C84"/>
                <w:spacing w:val="-2"/>
                <w:sz w:val="18"/>
              </w:rPr>
              <w:t>based</w:t>
            </w:r>
          </w:p>
          <w:p>
            <w:pPr>
              <w:pStyle w:val="TableParagraph"/>
              <w:tabs>
                <w:tab w:pos="4650" w:val="left" w:leader="none"/>
              </w:tabs>
              <w:spacing w:line="200" w:lineRule="exact"/>
              <w:ind w:left="89"/>
              <w:rPr>
                <w:sz w:val="18"/>
              </w:rPr>
            </w:pPr>
            <w:r>
              <w:rPr>
                <w:color w:val="105C84"/>
                <w:spacing w:val="-2"/>
                <w:sz w:val="18"/>
              </w:rPr>
              <w:t>Program</w:t>
            </w:r>
            <w:r>
              <w:rPr>
                <w:color w:val="105C84"/>
                <w:spacing w:val="-5"/>
                <w:sz w:val="18"/>
              </w:rPr>
              <w:t> </w:t>
            </w:r>
            <w:r>
              <w:rPr>
                <w:color w:val="105C84"/>
                <w:spacing w:val="-2"/>
                <w:sz w:val="18"/>
              </w:rPr>
              <w:t>(EOP)</w:t>
            </w:r>
            <w:r>
              <w:rPr>
                <w:color w:val="105C84"/>
                <w:spacing w:val="-5"/>
                <w:sz w:val="18"/>
              </w:rPr>
              <w:t> </w:t>
            </w:r>
            <w:r>
              <w:rPr>
                <w:color w:val="105C84"/>
                <w:spacing w:val="-2"/>
                <w:sz w:val="18"/>
              </w:rPr>
              <w:t>Birth</w:t>
            </w:r>
            <w:r>
              <w:rPr>
                <w:color w:val="105C84"/>
                <w:spacing w:val="-5"/>
                <w:sz w:val="18"/>
              </w:rPr>
              <w:t> </w:t>
            </w:r>
            <w:r>
              <w:rPr>
                <w:color w:val="105C84"/>
                <w:spacing w:val="-2"/>
                <w:sz w:val="18"/>
              </w:rPr>
              <w:t>to</w:t>
            </w:r>
            <w:r>
              <w:rPr>
                <w:color w:val="105C84"/>
                <w:spacing w:val="-4"/>
                <w:sz w:val="18"/>
              </w:rPr>
              <w:t> Five</w:t>
            </w:r>
            <w:r>
              <w:rPr>
                <w:color w:val="105C84"/>
                <w:sz w:val="18"/>
              </w:rPr>
              <w:tab/>
              <w:t>program</w:t>
            </w:r>
            <w:r>
              <w:rPr>
                <w:color w:val="105C84"/>
                <w:spacing w:val="-8"/>
                <w:sz w:val="18"/>
              </w:rPr>
              <w:t> </w:t>
            </w:r>
            <w:r>
              <w:rPr>
                <w:color w:val="105C84"/>
                <w:sz w:val="18"/>
              </w:rPr>
              <w:t>serving</w:t>
            </w:r>
            <w:r>
              <w:rPr>
                <w:color w:val="105C84"/>
                <w:spacing w:val="-7"/>
                <w:sz w:val="18"/>
              </w:rPr>
              <w:t> </w:t>
            </w:r>
            <w:r>
              <w:rPr>
                <w:color w:val="105C84"/>
                <w:sz w:val="18"/>
              </w:rPr>
              <w:t>204</w:t>
            </w:r>
            <w:r>
              <w:rPr>
                <w:color w:val="105C84"/>
                <w:spacing w:val="-8"/>
                <w:sz w:val="18"/>
              </w:rPr>
              <w:t> </w:t>
            </w:r>
            <w:r>
              <w:rPr>
                <w:color w:val="105C84"/>
                <w:sz w:val="18"/>
              </w:rPr>
              <w:t>center</w:t>
            </w:r>
            <w:r>
              <w:rPr>
                <w:color w:val="105C84"/>
                <w:spacing w:val="-7"/>
                <w:sz w:val="18"/>
              </w:rPr>
              <w:t> </w:t>
            </w:r>
            <w:r>
              <w:rPr>
                <w:color w:val="105C84"/>
                <w:sz w:val="18"/>
              </w:rPr>
              <w:t>based</w:t>
            </w:r>
            <w:r>
              <w:rPr>
                <w:color w:val="105C84"/>
                <w:spacing w:val="-7"/>
                <w:sz w:val="18"/>
              </w:rPr>
              <w:t> </w:t>
            </w:r>
            <w:r>
              <w:rPr>
                <w:color w:val="105C84"/>
                <w:spacing w:val="-4"/>
                <w:sz w:val="18"/>
              </w:rPr>
              <w:t>Head</w:t>
            </w:r>
          </w:p>
          <w:p>
            <w:pPr>
              <w:pStyle w:val="TableParagraph"/>
              <w:tabs>
                <w:tab w:pos="4650" w:val="left" w:leader="none"/>
              </w:tabs>
              <w:spacing w:line="200" w:lineRule="exact"/>
              <w:ind w:left="89"/>
              <w:rPr>
                <w:sz w:val="18"/>
              </w:rPr>
            </w:pPr>
            <w:r>
              <w:rPr>
                <w:color w:val="105C84"/>
                <w:spacing w:val="-2"/>
                <w:sz w:val="18"/>
              </w:rPr>
              <w:t>School</w:t>
            </w:r>
            <w:r>
              <w:rPr>
                <w:color w:val="105C84"/>
                <w:spacing w:val="-6"/>
                <w:sz w:val="18"/>
              </w:rPr>
              <w:t> </w:t>
            </w:r>
            <w:r>
              <w:rPr>
                <w:color w:val="105C84"/>
                <w:spacing w:val="-2"/>
                <w:sz w:val="18"/>
              </w:rPr>
              <w:t>Readiness</w:t>
            </w:r>
            <w:r>
              <w:rPr>
                <w:color w:val="105C84"/>
                <w:spacing w:val="-6"/>
                <w:sz w:val="18"/>
              </w:rPr>
              <w:t> </w:t>
            </w:r>
            <w:r>
              <w:rPr>
                <w:color w:val="105C84"/>
                <w:spacing w:val="-2"/>
                <w:sz w:val="18"/>
              </w:rPr>
              <w:t>supports</w:t>
            </w:r>
            <w:r>
              <w:rPr>
                <w:color w:val="105C84"/>
                <w:spacing w:val="-5"/>
                <w:sz w:val="18"/>
              </w:rPr>
              <w:t> </w:t>
            </w:r>
            <w:r>
              <w:rPr>
                <w:color w:val="105C84"/>
                <w:spacing w:val="-4"/>
                <w:sz w:val="18"/>
              </w:rPr>
              <w:t>five</w:t>
            </w:r>
            <w:r>
              <w:rPr>
                <w:color w:val="105C84"/>
                <w:sz w:val="18"/>
              </w:rPr>
              <w:tab/>
              <w:t>Start</w:t>
            </w:r>
            <w:r>
              <w:rPr>
                <w:color w:val="105C84"/>
                <w:spacing w:val="-12"/>
                <w:sz w:val="18"/>
              </w:rPr>
              <w:t> </w:t>
            </w:r>
            <w:r>
              <w:rPr>
                <w:color w:val="105C84"/>
                <w:sz w:val="18"/>
              </w:rPr>
              <w:t>children,</w:t>
            </w:r>
            <w:r>
              <w:rPr>
                <w:color w:val="105C84"/>
                <w:spacing w:val="-12"/>
                <w:sz w:val="18"/>
              </w:rPr>
              <w:t> </w:t>
            </w:r>
            <w:r>
              <w:rPr>
                <w:color w:val="105C84"/>
                <w:sz w:val="18"/>
              </w:rPr>
              <w:t>27</w:t>
            </w:r>
            <w:r>
              <w:rPr>
                <w:color w:val="105C84"/>
                <w:spacing w:val="-12"/>
                <w:sz w:val="18"/>
              </w:rPr>
              <w:t> </w:t>
            </w:r>
            <w:r>
              <w:rPr>
                <w:color w:val="105C84"/>
                <w:sz w:val="18"/>
              </w:rPr>
              <w:t>center</w:t>
            </w:r>
            <w:r>
              <w:rPr>
                <w:color w:val="105C84"/>
                <w:spacing w:val="-12"/>
                <w:sz w:val="18"/>
              </w:rPr>
              <w:t> </w:t>
            </w:r>
            <w:r>
              <w:rPr>
                <w:color w:val="105C84"/>
                <w:sz w:val="18"/>
              </w:rPr>
              <w:t>based</w:t>
            </w:r>
            <w:r>
              <w:rPr>
                <w:color w:val="105C84"/>
                <w:spacing w:val="-11"/>
                <w:sz w:val="18"/>
              </w:rPr>
              <w:t> </w:t>
            </w:r>
            <w:r>
              <w:rPr>
                <w:color w:val="105C84"/>
                <w:sz w:val="18"/>
              </w:rPr>
              <w:t>Early</w:t>
            </w:r>
            <w:r>
              <w:rPr>
                <w:color w:val="105C84"/>
                <w:spacing w:val="-12"/>
                <w:sz w:val="18"/>
              </w:rPr>
              <w:t> </w:t>
            </w:r>
            <w:r>
              <w:rPr>
                <w:color w:val="105C84"/>
                <w:spacing w:val="-4"/>
                <w:sz w:val="18"/>
              </w:rPr>
              <w:t>Head</w:t>
            </w:r>
          </w:p>
          <w:p>
            <w:pPr>
              <w:pStyle w:val="TableParagraph"/>
              <w:tabs>
                <w:tab w:pos="4650" w:val="left" w:leader="none"/>
              </w:tabs>
              <w:spacing w:line="200" w:lineRule="exact"/>
              <w:ind w:left="89"/>
              <w:rPr>
                <w:sz w:val="18"/>
              </w:rPr>
            </w:pPr>
            <w:r>
              <w:rPr>
                <w:color w:val="105C84"/>
                <w:spacing w:val="-2"/>
                <w:sz w:val="18"/>
              </w:rPr>
              <w:t>locations</w:t>
            </w:r>
            <w:r>
              <w:rPr>
                <w:color w:val="105C84"/>
                <w:spacing w:val="-7"/>
                <w:sz w:val="18"/>
              </w:rPr>
              <w:t> </w:t>
            </w:r>
            <w:r>
              <w:rPr>
                <w:color w:val="105C84"/>
                <w:spacing w:val="-2"/>
                <w:sz w:val="18"/>
              </w:rPr>
              <w:t>as</w:t>
            </w:r>
            <w:r>
              <w:rPr>
                <w:color w:val="105C84"/>
                <w:spacing w:val="-6"/>
                <w:sz w:val="18"/>
              </w:rPr>
              <w:t> </w:t>
            </w:r>
            <w:r>
              <w:rPr>
                <w:color w:val="105C84"/>
                <w:spacing w:val="-2"/>
                <w:sz w:val="18"/>
              </w:rPr>
              <w:t>well</w:t>
            </w:r>
            <w:r>
              <w:rPr>
                <w:color w:val="105C84"/>
                <w:spacing w:val="-6"/>
                <w:sz w:val="18"/>
              </w:rPr>
              <w:t> </w:t>
            </w:r>
            <w:r>
              <w:rPr>
                <w:color w:val="105C84"/>
                <w:spacing w:val="-2"/>
                <w:sz w:val="18"/>
              </w:rPr>
              <w:t>as</w:t>
            </w:r>
            <w:r>
              <w:rPr>
                <w:color w:val="105C84"/>
                <w:spacing w:val="-7"/>
                <w:sz w:val="18"/>
              </w:rPr>
              <w:t> </w:t>
            </w:r>
            <w:r>
              <w:rPr>
                <w:color w:val="105C84"/>
                <w:spacing w:val="-2"/>
                <w:sz w:val="18"/>
              </w:rPr>
              <w:t>a</w:t>
            </w:r>
            <w:r>
              <w:rPr>
                <w:color w:val="105C84"/>
                <w:spacing w:val="-6"/>
                <w:sz w:val="18"/>
              </w:rPr>
              <w:t> </w:t>
            </w:r>
            <w:r>
              <w:rPr>
                <w:color w:val="105C84"/>
                <w:spacing w:val="-4"/>
                <w:sz w:val="18"/>
              </w:rPr>
              <w:t>Home</w:t>
            </w:r>
            <w:r>
              <w:rPr>
                <w:color w:val="105C84"/>
                <w:sz w:val="18"/>
              </w:rPr>
              <w:tab/>
            </w:r>
            <w:r>
              <w:rPr>
                <w:color w:val="105C84"/>
                <w:spacing w:val="-2"/>
                <w:sz w:val="18"/>
              </w:rPr>
              <w:t>Start</w:t>
            </w:r>
            <w:r>
              <w:rPr>
                <w:color w:val="105C84"/>
                <w:spacing w:val="-4"/>
                <w:sz w:val="18"/>
              </w:rPr>
              <w:t> </w:t>
            </w:r>
            <w:r>
              <w:rPr>
                <w:color w:val="105C84"/>
                <w:spacing w:val="-2"/>
                <w:sz w:val="18"/>
              </w:rPr>
              <w:t>children,</w:t>
            </w:r>
            <w:r>
              <w:rPr>
                <w:color w:val="105C84"/>
                <w:spacing w:val="-3"/>
                <w:sz w:val="18"/>
              </w:rPr>
              <w:t> </w:t>
            </w:r>
            <w:r>
              <w:rPr>
                <w:color w:val="105C84"/>
                <w:spacing w:val="-2"/>
                <w:sz w:val="18"/>
              </w:rPr>
              <w:t>50</w:t>
            </w:r>
            <w:r>
              <w:rPr>
                <w:color w:val="105C84"/>
                <w:spacing w:val="-3"/>
                <w:sz w:val="18"/>
              </w:rPr>
              <w:t> </w:t>
            </w:r>
            <w:r>
              <w:rPr>
                <w:color w:val="105C84"/>
                <w:spacing w:val="-2"/>
                <w:sz w:val="18"/>
              </w:rPr>
              <w:t>Early</w:t>
            </w:r>
            <w:r>
              <w:rPr>
                <w:color w:val="105C84"/>
                <w:spacing w:val="-3"/>
                <w:sz w:val="18"/>
              </w:rPr>
              <w:t> </w:t>
            </w:r>
            <w:r>
              <w:rPr>
                <w:color w:val="105C84"/>
                <w:spacing w:val="-2"/>
                <w:sz w:val="18"/>
              </w:rPr>
              <w:t>Head</w:t>
            </w:r>
            <w:r>
              <w:rPr>
                <w:color w:val="105C84"/>
                <w:spacing w:val="-3"/>
                <w:sz w:val="18"/>
              </w:rPr>
              <w:t> </w:t>
            </w:r>
            <w:r>
              <w:rPr>
                <w:color w:val="105C84"/>
                <w:spacing w:val="-2"/>
                <w:sz w:val="18"/>
              </w:rPr>
              <w:t>Start</w:t>
            </w:r>
            <w:r>
              <w:rPr>
                <w:color w:val="105C84"/>
                <w:spacing w:val="-3"/>
                <w:sz w:val="18"/>
              </w:rPr>
              <w:t> </w:t>
            </w:r>
            <w:r>
              <w:rPr>
                <w:color w:val="105C84"/>
                <w:spacing w:val="-4"/>
                <w:sz w:val="18"/>
              </w:rPr>
              <w:t>home</w:t>
            </w:r>
          </w:p>
          <w:p>
            <w:pPr>
              <w:pStyle w:val="TableParagraph"/>
              <w:tabs>
                <w:tab w:pos="4650" w:val="left" w:leader="none"/>
              </w:tabs>
              <w:spacing w:line="200" w:lineRule="exact"/>
              <w:ind w:left="89"/>
              <w:rPr>
                <w:sz w:val="18"/>
              </w:rPr>
            </w:pPr>
            <w:r>
              <w:rPr>
                <w:color w:val="105C84"/>
                <w:spacing w:val="-4"/>
                <w:sz w:val="18"/>
              </w:rPr>
              <w:t>Based</w:t>
            </w:r>
            <w:r>
              <w:rPr>
                <w:color w:val="105C84"/>
                <w:spacing w:val="-5"/>
                <w:sz w:val="18"/>
              </w:rPr>
              <w:t> </w:t>
            </w:r>
            <w:r>
              <w:rPr>
                <w:color w:val="105C84"/>
                <w:spacing w:val="-2"/>
                <w:sz w:val="18"/>
              </w:rPr>
              <w:t>Program</w:t>
            </w:r>
            <w:r>
              <w:rPr>
                <w:color w:val="105C84"/>
                <w:sz w:val="18"/>
              </w:rPr>
              <w:tab/>
              <w:t>based</w:t>
            </w:r>
            <w:r>
              <w:rPr>
                <w:color w:val="105C84"/>
                <w:spacing w:val="-3"/>
                <w:sz w:val="18"/>
              </w:rPr>
              <w:t> </w:t>
            </w:r>
            <w:r>
              <w:rPr>
                <w:color w:val="105C84"/>
                <w:sz w:val="18"/>
              </w:rPr>
              <w:t>children</w:t>
            </w:r>
            <w:r>
              <w:rPr>
                <w:color w:val="105C84"/>
                <w:spacing w:val="-3"/>
                <w:sz w:val="18"/>
              </w:rPr>
              <w:t> </w:t>
            </w:r>
            <w:r>
              <w:rPr>
                <w:color w:val="105C84"/>
                <w:sz w:val="18"/>
              </w:rPr>
              <w:t>and</w:t>
            </w:r>
            <w:r>
              <w:rPr>
                <w:color w:val="105C84"/>
                <w:spacing w:val="-3"/>
                <w:sz w:val="18"/>
              </w:rPr>
              <w:t> </w:t>
            </w:r>
            <w:r>
              <w:rPr>
                <w:color w:val="105C84"/>
                <w:sz w:val="18"/>
              </w:rPr>
              <w:t>12</w:t>
            </w:r>
            <w:r>
              <w:rPr>
                <w:color w:val="105C84"/>
                <w:spacing w:val="-3"/>
                <w:sz w:val="18"/>
              </w:rPr>
              <w:t> </w:t>
            </w:r>
            <w:r>
              <w:rPr>
                <w:color w:val="105C84"/>
                <w:sz w:val="18"/>
              </w:rPr>
              <w:t>pregnant</w:t>
            </w:r>
            <w:r>
              <w:rPr>
                <w:color w:val="105C84"/>
                <w:spacing w:val="-2"/>
                <w:sz w:val="18"/>
              </w:rPr>
              <w:t> </w:t>
            </w:r>
            <w:r>
              <w:rPr>
                <w:color w:val="105C84"/>
                <w:sz w:val="18"/>
              </w:rPr>
              <w:t>mothers</w:t>
            </w:r>
            <w:r>
              <w:rPr>
                <w:color w:val="105C84"/>
                <w:spacing w:val="-3"/>
                <w:sz w:val="18"/>
              </w:rPr>
              <w:t> </w:t>
            </w:r>
            <w:r>
              <w:rPr>
                <w:color w:val="105C84"/>
                <w:spacing w:val="-5"/>
                <w:sz w:val="18"/>
              </w:rPr>
              <w:t>in</w:t>
            </w:r>
          </w:p>
          <w:p>
            <w:pPr>
              <w:pStyle w:val="TableParagraph"/>
              <w:tabs>
                <w:tab w:pos="4650" w:val="left" w:leader="none"/>
              </w:tabs>
              <w:spacing w:line="148" w:lineRule="auto" w:before="26"/>
              <w:ind w:left="89"/>
              <w:rPr>
                <w:sz w:val="18"/>
              </w:rPr>
            </w:pPr>
            <w:r>
              <w:rPr>
                <w:color w:val="105C84"/>
                <w:position w:val="-8"/>
                <w:sz w:val="18"/>
              </w:rPr>
              <w:t>They</w:t>
            </w:r>
            <w:r>
              <w:rPr>
                <w:color w:val="105C84"/>
                <w:spacing w:val="-7"/>
                <w:position w:val="-8"/>
                <w:sz w:val="18"/>
              </w:rPr>
              <w:t> </w:t>
            </w:r>
            <w:r>
              <w:rPr>
                <w:color w:val="105C84"/>
                <w:position w:val="-8"/>
                <w:sz w:val="18"/>
              </w:rPr>
              <w:t>utilize</w:t>
            </w:r>
            <w:r>
              <w:rPr>
                <w:color w:val="105C84"/>
                <w:spacing w:val="-7"/>
                <w:position w:val="-8"/>
                <w:sz w:val="18"/>
              </w:rPr>
              <w:t> </w:t>
            </w:r>
            <w:r>
              <w:rPr>
                <w:color w:val="105C84"/>
                <w:position w:val="-8"/>
                <w:sz w:val="18"/>
              </w:rPr>
              <w:t>the</w:t>
            </w:r>
            <w:r>
              <w:rPr>
                <w:color w:val="105C84"/>
                <w:spacing w:val="-6"/>
                <w:position w:val="-8"/>
                <w:sz w:val="18"/>
              </w:rPr>
              <w:t> </w:t>
            </w:r>
            <w:r>
              <w:rPr>
                <w:color w:val="105C84"/>
                <w:position w:val="-8"/>
                <w:sz w:val="18"/>
              </w:rPr>
              <w:t>I</w:t>
            </w:r>
            <w:r>
              <w:rPr>
                <w:color w:val="105C84"/>
                <w:spacing w:val="-7"/>
                <w:position w:val="-8"/>
                <w:sz w:val="18"/>
              </w:rPr>
              <w:t> </w:t>
            </w:r>
            <w:r>
              <w:rPr>
                <w:color w:val="105C84"/>
                <w:position w:val="-8"/>
                <w:sz w:val="18"/>
              </w:rPr>
              <w:t>am</w:t>
            </w:r>
            <w:r>
              <w:rPr>
                <w:color w:val="105C84"/>
                <w:spacing w:val="-7"/>
                <w:position w:val="-8"/>
                <w:sz w:val="18"/>
              </w:rPr>
              <w:t> </w:t>
            </w:r>
            <w:r>
              <w:rPr>
                <w:color w:val="105C84"/>
                <w:spacing w:val="-2"/>
                <w:position w:val="-8"/>
                <w:sz w:val="18"/>
              </w:rPr>
              <w:t>Moving,</w:t>
            </w:r>
            <w:r>
              <w:rPr>
                <w:color w:val="105C84"/>
                <w:position w:val="-8"/>
                <w:sz w:val="18"/>
              </w:rPr>
              <w:tab/>
            </w:r>
            <w:r>
              <w:rPr>
                <w:color w:val="105C84"/>
                <w:sz w:val="18"/>
              </w:rPr>
              <w:t>the</w:t>
            </w:r>
            <w:r>
              <w:rPr>
                <w:color w:val="105C84"/>
                <w:spacing w:val="3"/>
                <w:sz w:val="18"/>
              </w:rPr>
              <w:t> </w:t>
            </w:r>
            <w:r>
              <w:rPr>
                <w:color w:val="105C84"/>
                <w:sz w:val="18"/>
              </w:rPr>
              <w:t>home</w:t>
            </w:r>
            <w:r>
              <w:rPr>
                <w:color w:val="105C84"/>
                <w:spacing w:val="3"/>
                <w:sz w:val="18"/>
              </w:rPr>
              <w:t> </w:t>
            </w:r>
            <w:r>
              <w:rPr>
                <w:color w:val="105C84"/>
                <w:sz w:val="18"/>
              </w:rPr>
              <w:t>based</w:t>
            </w:r>
            <w:r>
              <w:rPr>
                <w:color w:val="105C84"/>
                <w:spacing w:val="3"/>
                <w:sz w:val="18"/>
              </w:rPr>
              <w:t> </w:t>
            </w:r>
            <w:r>
              <w:rPr>
                <w:color w:val="105C84"/>
                <w:sz w:val="18"/>
              </w:rPr>
              <w:t>program</w:t>
            </w:r>
            <w:r>
              <w:rPr>
                <w:color w:val="105C84"/>
                <w:spacing w:val="4"/>
                <w:sz w:val="18"/>
              </w:rPr>
              <w:t> </w:t>
            </w:r>
            <w:r>
              <w:rPr>
                <w:color w:val="105C84"/>
                <w:sz w:val="18"/>
              </w:rPr>
              <w:t>for</w:t>
            </w:r>
            <w:r>
              <w:rPr>
                <w:color w:val="105C84"/>
                <w:spacing w:val="3"/>
                <w:sz w:val="18"/>
              </w:rPr>
              <w:t> </w:t>
            </w:r>
            <w:r>
              <w:rPr>
                <w:color w:val="105C84"/>
                <w:sz w:val="18"/>
              </w:rPr>
              <w:t>a</w:t>
            </w:r>
            <w:r>
              <w:rPr>
                <w:color w:val="105C84"/>
                <w:spacing w:val="3"/>
                <w:sz w:val="18"/>
              </w:rPr>
              <w:t> </w:t>
            </w:r>
            <w:r>
              <w:rPr>
                <w:color w:val="105C84"/>
                <w:sz w:val="18"/>
              </w:rPr>
              <w:t>total</w:t>
            </w:r>
            <w:r>
              <w:rPr>
                <w:color w:val="105C84"/>
                <w:spacing w:val="3"/>
                <w:sz w:val="18"/>
              </w:rPr>
              <w:t> </w:t>
            </w:r>
            <w:r>
              <w:rPr>
                <w:color w:val="105C84"/>
                <w:sz w:val="18"/>
              </w:rPr>
              <w:t>of</w:t>
            </w:r>
            <w:r>
              <w:rPr>
                <w:color w:val="105C84"/>
                <w:spacing w:val="4"/>
                <w:sz w:val="18"/>
              </w:rPr>
              <w:t> </w:t>
            </w:r>
            <w:r>
              <w:rPr>
                <w:color w:val="105C84"/>
                <w:spacing w:val="-5"/>
                <w:sz w:val="18"/>
              </w:rPr>
              <w:t>293</w:t>
            </w:r>
          </w:p>
          <w:p>
            <w:pPr>
              <w:pStyle w:val="TableParagraph"/>
              <w:tabs>
                <w:tab w:pos="4650" w:val="left" w:leader="none"/>
              </w:tabs>
              <w:spacing w:line="246" w:lineRule="exact"/>
              <w:ind w:left="89"/>
              <w:rPr>
                <w:position w:val="9"/>
                <w:sz w:val="18"/>
              </w:rPr>
            </w:pPr>
            <w:r>
              <w:rPr>
                <w:color w:val="105C84"/>
                <w:spacing w:val="-2"/>
                <w:sz w:val="18"/>
              </w:rPr>
              <w:t>I</w:t>
            </w:r>
            <w:r>
              <w:rPr>
                <w:color w:val="105C84"/>
                <w:spacing w:val="-8"/>
                <w:sz w:val="18"/>
              </w:rPr>
              <w:t> </w:t>
            </w:r>
            <w:r>
              <w:rPr>
                <w:color w:val="105C84"/>
                <w:spacing w:val="-2"/>
                <w:sz w:val="18"/>
              </w:rPr>
              <w:t>am</w:t>
            </w:r>
            <w:r>
              <w:rPr>
                <w:color w:val="105C84"/>
                <w:spacing w:val="-8"/>
                <w:sz w:val="18"/>
              </w:rPr>
              <w:t> </w:t>
            </w:r>
            <w:r>
              <w:rPr>
                <w:color w:val="105C84"/>
                <w:spacing w:val="-2"/>
                <w:sz w:val="18"/>
              </w:rPr>
              <w:t>Learning</w:t>
            </w:r>
            <w:r>
              <w:rPr>
                <w:color w:val="105C84"/>
                <w:spacing w:val="-7"/>
                <w:sz w:val="18"/>
              </w:rPr>
              <w:t> </w:t>
            </w:r>
            <w:r>
              <w:rPr>
                <w:color w:val="105C84"/>
                <w:spacing w:val="-2"/>
                <w:sz w:val="18"/>
              </w:rPr>
              <w:t>(IMIL)</w:t>
            </w:r>
            <w:r>
              <w:rPr>
                <w:color w:val="105C84"/>
                <w:spacing w:val="-8"/>
                <w:sz w:val="18"/>
              </w:rPr>
              <w:t> </w:t>
            </w:r>
            <w:r>
              <w:rPr>
                <w:color w:val="105C84"/>
                <w:spacing w:val="-2"/>
                <w:sz w:val="18"/>
              </w:rPr>
              <w:t>Program.</w:t>
            </w:r>
            <w:r>
              <w:rPr>
                <w:color w:val="105C84"/>
                <w:sz w:val="18"/>
              </w:rPr>
              <w:tab/>
            </w:r>
            <w:r>
              <w:rPr>
                <w:color w:val="105C84"/>
                <w:position w:val="9"/>
                <w:sz w:val="18"/>
              </w:rPr>
              <w:t>students</w:t>
            </w:r>
            <w:r>
              <w:rPr>
                <w:color w:val="105C84"/>
                <w:spacing w:val="1"/>
                <w:position w:val="9"/>
                <w:sz w:val="18"/>
              </w:rPr>
              <w:t> </w:t>
            </w:r>
            <w:r>
              <w:rPr>
                <w:color w:val="105C84"/>
                <w:position w:val="9"/>
                <w:sz w:val="18"/>
              </w:rPr>
              <w:t>and</w:t>
            </w:r>
            <w:r>
              <w:rPr>
                <w:color w:val="105C84"/>
                <w:spacing w:val="1"/>
                <w:position w:val="9"/>
                <w:sz w:val="18"/>
              </w:rPr>
              <w:t> </w:t>
            </w:r>
            <w:r>
              <w:rPr>
                <w:color w:val="105C84"/>
                <w:position w:val="9"/>
                <w:sz w:val="18"/>
              </w:rPr>
              <w:t>their</w:t>
            </w:r>
            <w:r>
              <w:rPr>
                <w:color w:val="105C84"/>
                <w:spacing w:val="1"/>
                <w:position w:val="9"/>
                <w:sz w:val="18"/>
              </w:rPr>
              <w:t> </w:t>
            </w:r>
            <w:r>
              <w:rPr>
                <w:color w:val="105C84"/>
                <w:spacing w:val="-2"/>
                <w:position w:val="9"/>
                <w:sz w:val="18"/>
              </w:rPr>
              <w:t>families</w:t>
            </w:r>
          </w:p>
          <w:p>
            <w:pPr>
              <w:pStyle w:val="TableParagraph"/>
              <w:tabs>
                <w:tab w:pos="4650" w:val="left" w:leader="none"/>
              </w:tabs>
              <w:spacing w:line="200" w:lineRule="exact"/>
              <w:ind w:left="89"/>
              <w:rPr>
                <w:sz w:val="18"/>
              </w:rPr>
            </w:pPr>
            <w:r>
              <w:rPr>
                <w:color w:val="105C84"/>
                <w:sz w:val="18"/>
              </w:rPr>
              <w:t>The</w:t>
            </w:r>
            <w:r>
              <w:rPr>
                <w:color w:val="105C84"/>
                <w:spacing w:val="-7"/>
                <w:sz w:val="18"/>
              </w:rPr>
              <w:t> </w:t>
            </w:r>
            <w:r>
              <w:rPr>
                <w:color w:val="105C84"/>
                <w:sz w:val="18"/>
              </w:rPr>
              <w:t>goals</w:t>
            </w:r>
            <w:r>
              <w:rPr>
                <w:color w:val="105C84"/>
                <w:spacing w:val="-7"/>
                <w:sz w:val="18"/>
              </w:rPr>
              <w:t> </w:t>
            </w:r>
            <w:r>
              <w:rPr>
                <w:color w:val="105C84"/>
                <w:sz w:val="18"/>
              </w:rPr>
              <w:t>of</w:t>
            </w:r>
            <w:r>
              <w:rPr>
                <w:color w:val="105C84"/>
                <w:spacing w:val="-7"/>
                <w:sz w:val="18"/>
              </w:rPr>
              <w:t> </w:t>
            </w:r>
            <w:r>
              <w:rPr>
                <w:color w:val="105C84"/>
                <w:sz w:val="18"/>
              </w:rPr>
              <w:t>IMIL</w:t>
            </w:r>
            <w:r>
              <w:rPr>
                <w:color w:val="105C84"/>
                <w:spacing w:val="-7"/>
                <w:sz w:val="18"/>
              </w:rPr>
              <w:t> </w:t>
            </w:r>
            <w:r>
              <w:rPr>
                <w:color w:val="105C84"/>
                <w:spacing w:val="-4"/>
                <w:sz w:val="18"/>
              </w:rPr>
              <w:t>are:</w:t>
            </w:r>
            <w:r>
              <w:rPr>
                <w:color w:val="105C84"/>
                <w:sz w:val="18"/>
              </w:rPr>
              <w:tab/>
              <w:t>40-60</w:t>
            </w:r>
            <w:r>
              <w:rPr>
                <w:color w:val="105C84"/>
                <w:spacing w:val="-4"/>
                <w:sz w:val="18"/>
              </w:rPr>
              <w:t> </w:t>
            </w:r>
            <w:r>
              <w:rPr>
                <w:color w:val="105C84"/>
                <w:sz w:val="18"/>
              </w:rPr>
              <w:t>minutes</w:t>
            </w:r>
            <w:r>
              <w:rPr>
                <w:color w:val="105C84"/>
                <w:spacing w:val="-3"/>
                <w:sz w:val="18"/>
              </w:rPr>
              <w:t> </w:t>
            </w:r>
            <w:r>
              <w:rPr>
                <w:color w:val="105C84"/>
                <w:sz w:val="18"/>
              </w:rPr>
              <w:t>of</w:t>
            </w:r>
            <w:r>
              <w:rPr>
                <w:color w:val="105C84"/>
                <w:spacing w:val="-3"/>
                <w:sz w:val="18"/>
              </w:rPr>
              <w:t> </w:t>
            </w:r>
            <w:r>
              <w:rPr>
                <w:color w:val="105C84"/>
                <w:sz w:val="18"/>
              </w:rPr>
              <w:t>active</w:t>
            </w:r>
            <w:r>
              <w:rPr>
                <w:color w:val="105C84"/>
                <w:spacing w:val="-3"/>
                <w:sz w:val="18"/>
              </w:rPr>
              <w:t> </w:t>
            </w:r>
            <w:r>
              <w:rPr>
                <w:color w:val="105C84"/>
                <w:sz w:val="18"/>
              </w:rPr>
              <w:t>indoor</w:t>
            </w:r>
            <w:r>
              <w:rPr>
                <w:color w:val="105C84"/>
                <w:spacing w:val="-3"/>
                <w:sz w:val="18"/>
              </w:rPr>
              <w:t> </w:t>
            </w:r>
            <w:r>
              <w:rPr>
                <w:color w:val="105C84"/>
                <w:sz w:val="18"/>
              </w:rPr>
              <w:t>or</w:t>
            </w:r>
            <w:r>
              <w:rPr>
                <w:color w:val="105C84"/>
                <w:spacing w:val="-3"/>
                <w:sz w:val="18"/>
              </w:rPr>
              <w:t> </w:t>
            </w:r>
            <w:r>
              <w:rPr>
                <w:color w:val="105C84"/>
                <w:spacing w:val="-2"/>
                <w:sz w:val="18"/>
              </w:rPr>
              <w:t>outdoor</w:t>
            </w:r>
          </w:p>
          <w:p>
            <w:pPr>
              <w:pStyle w:val="TableParagraph"/>
              <w:numPr>
                <w:ilvl w:val="0"/>
                <w:numId w:val="39"/>
              </w:numPr>
              <w:tabs>
                <w:tab w:pos="275" w:val="left" w:leader="none"/>
                <w:tab w:pos="4650" w:val="left" w:leader="none"/>
              </w:tabs>
              <w:spacing w:line="148" w:lineRule="auto" w:before="27" w:after="0"/>
              <w:ind w:left="275" w:right="0" w:hanging="186"/>
              <w:jc w:val="left"/>
              <w:rPr>
                <w:color w:val="105C84"/>
                <w:position w:val="-8"/>
                <w:sz w:val="18"/>
              </w:rPr>
            </w:pPr>
            <w:r>
              <w:rPr>
                <w:color w:val="105C84"/>
                <w:spacing w:val="-4"/>
                <w:position w:val="-8"/>
                <w:sz w:val="18"/>
              </w:rPr>
              <w:t>Increase</w:t>
            </w:r>
            <w:r>
              <w:rPr>
                <w:color w:val="105C84"/>
                <w:spacing w:val="2"/>
                <w:position w:val="-8"/>
                <w:sz w:val="18"/>
              </w:rPr>
              <w:t> </w:t>
            </w:r>
            <w:r>
              <w:rPr>
                <w:color w:val="105C84"/>
                <w:spacing w:val="-4"/>
                <w:position w:val="-8"/>
                <w:sz w:val="18"/>
              </w:rPr>
              <w:t>Physical</w:t>
            </w:r>
            <w:r>
              <w:rPr>
                <w:color w:val="105C84"/>
                <w:spacing w:val="3"/>
                <w:position w:val="-8"/>
                <w:sz w:val="18"/>
              </w:rPr>
              <w:t> </w:t>
            </w:r>
            <w:r>
              <w:rPr>
                <w:color w:val="105C84"/>
                <w:spacing w:val="-4"/>
                <w:position w:val="-8"/>
                <w:sz w:val="18"/>
              </w:rPr>
              <w:t>Activity</w:t>
            </w:r>
            <w:r>
              <w:rPr>
                <w:color w:val="105C84"/>
                <w:spacing w:val="3"/>
                <w:position w:val="-8"/>
                <w:sz w:val="18"/>
              </w:rPr>
              <w:t> </w:t>
            </w:r>
            <w:r>
              <w:rPr>
                <w:color w:val="105C84"/>
                <w:spacing w:val="-5"/>
                <w:position w:val="-8"/>
                <w:sz w:val="18"/>
              </w:rPr>
              <w:t>in</w:t>
            </w:r>
            <w:r>
              <w:rPr>
                <w:color w:val="105C84"/>
                <w:position w:val="-8"/>
                <w:sz w:val="18"/>
              </w:rPr>
              <w:tab/>
            </w:r>
            <w:r>
              <w:rPr>
                <w:color w:val="105C84"/>
                <w:spacing w:val="-2"/>
                <w:sz w:val="18"/>
              </w:rPr>
              <w:t>play,</w:t>
            </w:r>
            <w:r>
              <w:rPr>
                <w:color w:val="105C84"/>
                <w:spacing w:val="-10"/>
                <w:sz w:val="18"/>
              </w:rPr>
              <w:t> </w:t>
            </w:r>
            <w:r>
              <w:rPr>
                <w:color w:val="105C84"/>
                <w:spacing w:val="-2"/>
                <w:sz w:val="18"/>
              </w:rPr>
              <w:t>as</w:t>
            </w:r>
            <w:r>
              <w:rPr>
                <w:color w:val="105C84"/>
                <w:spacing w:val="-9"/>
                <w:sz w:val="18"/>
              </w:rPr>
              <w:t> </w:t>
            </w:r>
            <w:r>
              <w:rPr>
                <w:color w:val="105C84"/>
                <w:spacing w:val="-2"/>
                <w:sz w:val="18"/>
              </w:rPr>
              <w:t>well</w:t>
            </w:r>
            <w:r>
              <w:rPr>
                <w:color w:val="105C84"/>
                <w:spacing w:val="-9"/>
                <w:sz w:val="18"/>
              </w:rPr>
              <w:t> </w:t>
            </w:r>
            <w:r>
              <w:rPr>
                <w:color w:val="105C84"/>
                <w:spacing w:val="-2"/>
                <w:sz w:val="18"/>
              </w:rPr>
              <w:t>as</w:t>
            </w:r>
            <w:r>
              <w:rPr>
                <w:color w:val="105C84"/>
                <w:spacing w:val="-9"/>
                <w:sz w:val="18"/>
              </w:rPr>
              <w:t> </w:t>
            </w:r>
            <w:r>
              <w:rPr>
                <w:color w:val="105C84"/>
                <w:spacing w:val="-2"/>
                <w:sz w:val="18"/>
              </w:rPr>
              <w:t>several</w:t>
            </w:r>
            <w:r>
              <w:rPr>
                <w:color w:val="105C84"/>
                <w:spacing w:val="-9"/>
                <w:sz w:val="18"/>
              </w:rPr>
              <w:t> </w:t>
            </w:r>
            <w:r>
              <w:rPr>
                <w:color w:val="105C84"/>
                <w:spacing w:val="-2"/>
                <w:sz w:val="18"/>
              </w:rPr>
              <w:t>15</w:t>
            </w:r>
            <w:r>
              <w:rPr>
                <w:color w:val="105C84"/>
                <w:spacing w:val="-9"/>
                <w:sz w:val="18"/>
              </w:rPr>
              <w:t> </w:t>
            </w:r>
            <w:r>
              <w:rPr>
                <w:color w:val="105C84"/>
                <w:spacing w:val="-2"/>
                <w:sz w:val="18"/>
              </w:rPr>
              <w:t>minute</w:t>
            </w:r>
            <w:r>
              <w:rPr>
                <w:color w:val="105C84"/>
                <w:spacing w:val="-9"/>
                <w:sz w:val="18"/>
              </w:rPr>
              <w:t> </w:t>
            </w:r>
            <w:r>
              <w:rPr>
                <w:color w:val="105C84"/>
                <w:spacing w:val="-2"/>
                <w:sz w:val="18"/>
              </w:rPr>
              <w:t>sessions</w:t>
            </w:r>
          </w:p>
          <w:p>
            <w:pPr>
              <w:pStyle w:val="TableParagraph"/>
              <w:tabs>
                <w:tab w:pos="4650" w:val="left" w:leader="none"/>
              </w:tabs>
              <w:spacing w:line="148" w:lineRule="auto"/>
              <w:ind w:left="89"/>
              <w:rPr>
                <w:sz w:val="18"/>
              </w:rPr>
            </w:pPr>
            <w:r>
              <w:rPr>
                <w:color w:val="105C84"/>
                <w:position w:val="-8"/>
                <w:sz w:val="18"/>
              </w:rPr>
              <w:t>the</w:t>
            </w:r>
            <w:r>
              <w:rPr>
                <w:color w:val="105C84"/>
                <w:spacing w:val="3"/>
                <w:position w:val="-8"/>
                <w:sz w:val="18"/>
              </w:rPr>
              <w:t> </w:t>
            </w:r>
            <w:r>
              <w:rPr>
                <w:color w:val="105C84"/>
                <w:spacing w:val="-2"/>
                <w:position w:val="-8"/>
                <w:sz w:val="18"/>
              </w:rPr>
              <w:t>Classroom</w:t>
            </w:r>
            <w:r>
              <w:rPr>
                <w:color w:val="105C84"/>
                <w:position w:val="-8"/>
                <w:sz w:val="18"/>
              </w:rPr>
              <w:tab/>
            </w:r>
            <w:r>
              <w:rPr>
                <w:color w:val="105C84"/>
                <w:sz w:val="18"/>
              </w:rPr>
              <w:t>of</w:t>
            </w:r>
            <w:r>
              <w:rPr>
                <w:color w:val="105C84"/>
                <w:spacing w:val="8"/>
                <w:sz w:val="18"/>
              </w:rPr>
              <w:t> </w:t>
            </w:r>
            <w:r>
              <w:rPr>
                <w:color w:val="105C84"/>
                <w:sz w:val="18"/>
              </w:rPr>
              <w:t>movement</w:t>
            </w:r>
            <w:r>
              <w:rPr>
                <w:color w:val="105C84"/>
                <w:spacing w:val="9"/>
                <w:sz w:val="18"/>
              </w:rPr>
              <w:t> </w:t>
            </w:r>
            <w:r>
              <w:rPr>
                <w:color w:val="105C84"/>
                <w:sz w:val="18"/>
              </w:rPr>
              <w:t>throughout</w:t>
            </w:r>
            <w:r>
              <w:rPr>
                <w:color w:val="105C84"/>
                <w:spacing w:val="9"/>
                <w:sz w:val="18"/>
              </w:rPr>
              <w:t> </w:t>
            </w:r>
            <w:r>
              <w:rPr>
                <w:color w:val="105C84"/>
                <w:sz w:val="18"/>
              </w:rPr>
              <w:t>the</w:t>
            </w:r>
            <w:r>
              <w:rPr>
                <w:color w:val="105C84"/>
                <w:spacing w:val="9"/>
                <w:sz w:val="18"/>
              </w:rPr>
              <w:t> </w:t>
            </w:r>
            <w:r>
              <w:rPr>
                <w:color w:val="105C84"/>
                <w:sz w:val="18"/>
              </w:rPr>
              <w:t>day</w:t>
            </w:r>
            <w:r>
              <w:rPr>
                <w:color w:val="105C84"/>
                <w:spacing w:val="8"/>
                <w:sz w:val="18"/>
              </w:rPr>
              <w:t> </w:t>
            </w:r>
            <w:r>
              <w:rPr>
                <w:color w:val="105C84"/>
                <w:spacing w:val="-4"/>
                <w:sz w:val="18"/>
              </w:rPr>
              <w:t>such</w:t>
            </w:r>
          </w:p>
          <w:p>
            <w:pPr>
              <w:pStyle w:val="TableParagraph"/>
              <w:spacing w:line="145" w:lineRule="exact"/>
              <w:ind w:right="323"/>
              <w:jc w:val="right"/>
              <w:rPr>
                <w:sz w:val="18"/>
              </w:rPr>
            </w:pPr>
            <w:r>
              <w:rPr>
                <w:color w:val="105C84"/>
                <w:sz w:val="18"/>
              </w:rPr>
              <w:t>as</w:t>
            </w:r>
            <w:r>
              <w:rPr>
                <w:color w:val="105C84"/>
                <w:spacing w:val="-8"/>
                <w:sz w:val="18"/>
              </w:rPr>
              <w:t> </w:t>
            </w:r>
            <w:r>
              <w:rPr>
                <w:color w:val="105C84"/>
                <w:sz w:val="18"/>
              </w:rPr>
              <w:t>circle</w:t>
            </w:r>
            <w:r>
              <w:rPr>
                <w:color w:val="105C84"/>
                <w:spacing w:val="-8"/>
                <w:sz w:val="18"/>
              </w:rPr>
              <w:t> </w:t>
            </w:r>
            <w:r>
              <w:rPr>
                <w:color w:val="105C84"/>
                <w:sz w:val="18"/>
              </w:rPr>
              <w:t>time</w:t>
            </w:r>
            <w:r>
              <w:rPr>
                <w:color w:val="105C84"/>
                <w:spacing w:val="-7"/>
                <w:sz w:val="18"/>
              </w:rPr>
              <w:t> </w:t>
            </w:r>
            <w:r>
              <w:rPr>
                <w:color w:val="105C84"/>
                <w:sz w:val="18"/>
              </w:rPr>
              <w:t>dance</w:t>
            </w:r>
            <w:r>
              <w:rPr>
                <w:color w:val="105C84"/>
                <w:spacing w:val="-8"/>
                <w:sz w:val="18"/>
              </w:rPr>
              <w:t> </w:t>
            </w:r>
            <w:r>
              <w:rPr>
                <w:color w:val="105C84"/>
                <w:sz w:val="18"/>
              </w:rPr>
              <w:t>&amp;</w:t>
            </w:r>
            <w:r>
              <w:rPr>
                <w:color w:val="105C84"/>
                <w:spacing w:val="-8"/>
                <w:sz w:val="18"/>
              </w:rPr>
              <w:t> </w:t>
            </w:r>
            <w:r>
              <w:rPr>
                <w:color w:val="105C84"/>
                <w:sz w:val="18"/>
              </w:rPr>
              <w:t>songs,</w:t>
            </w:r>
            <w:r>
              <w:rPr>
                <w:color w:val="105C84"/>
                <w:spacing w:val="-7"/>
                <w:sz w:val="18"/>
              </w:rPr>
              <w:t> </w:t>
            </w:r>
            <w:r>
              <w:rPr>
                <w:color w:val="105C84"/>
                <w:sz w:val="18"/>
              </w:rPr>
              <w:t>and</w:t>
            </w:r>
            <w:r>
              <w:rPr>
                <w:color w:val="105C84"/>
                <w:spacing w:val="-8"/>
                <w:sz w:val="18"/>
              </w:rPr>
              <w:t> </w:t>
            </w:r>
            <w:r>
              <w:rPr>
                <w:color w:val="105C84"/>
                <w:spacing w:val="-2"/>
                <w:sz w:val="18"/>
              </w:rPr>
              <w:t>Zumba</w:t>
            </w:r>
          </w:p>
          <w:p>
            <w:pPr>
              <w:pStyle w:val="TableParagraph"/>
              <w:numPr>
                <w:ilvl w:val="0"/>
                <w:numId w:val="39"/>
              </w:numPr>
              <w:tabs>
                <w:tab w:pos="186" w:val="left" w:leader="none"/>
                <w:tab w:pos="4561" w:val="left" w:leader="none"/>
              </w:tabs>
              <w:spacing w:line="200" w:lineRule="exact" w:before="0" w:after="0"/>
              <w:ind w:left="186" w:right="292" w:hanging="186"/>
              <w:jc w:val="right"/>
              <w:rPr>
                <w:color w:val="105C84"/>
                <w:position w:val="2"/>
                <w:sz w:val="18"/>
              </w:rPr>
            </w:pPr>
            <w:r>
              <w:rPr>
                <w:color w:val="105C84"/>
                <w:position w:val="2"/>
                <w:sz w:val="18"/>
              </w:rPr>
              <w:t>Improve</w:t>
            </w:r>
            <w:r>
              <w:rPr>
                <w:color w:val="105C84"/>
                <w:spacing w:val="2"/>
                <w:position w:val="2"/>
                <w:sz w:val="18"/>
              </w:rPr>
              <w:t> </w:t>
            </w:r>
            <w:r>
              <w:rPr>
                <w:color w:val="105C84"/>
                <w:position w:val="2"/>
                <w:sz w:val="18"/>
              </w:rPr>
              <w:t>the</w:t>
            </w:r>
            <w:r>
              <w:rPr>
                <w:color w:val="105C84"/>
                <w:spacing w:val="3"/>
                <w:position w:val="2"/>
                <w:sz w:val="18"/>
              </w:rPr>
              <w:t> </w:t>
            </w:r>
            <w:r>
              <w:rPr>
                <w:color w:val="105C84"/>
                <w:position w:val="2"/>
                <w:sz w:val="18"/>
              </w:rPr>
              <w:t>Quality</w:t>
            </w:r>
            <w:r>
              <w:rPr>
                <w:color w:val="105C84"/>
                <w:spacing w:val="2"/>
                <w:position w:val="2"/>
                <w:sz w:val="18"/>
              </w:rPr>
              <w:t> </w:t>
            </w:r>
            <w:r>
              <w:rPr>
                <w:color w:val="105C84"/>
                <w:spacing w:val="-5"/>
                <w:position w:val="2"/>
                <w:sz w:val="18"/>
              </w:rPr>
              <w:t>of</w:t>
            </w:r>
            <w:r>
              <w:rPr>
                <w:color w:val="105C84"/>
                <w:position w:val="2"/>
                <w:sz w:val="18"/>
              </w:rPr>
              <w:tab/>
            </w:r>
            <w:r>
              <w:rPr>
                <w:color w:val="105C84"/>
                <w:sz w:val="18"/>
              </w:rPr>
              <w:t>Kids</w:t>
            </w:r>
            <w:r>
              <w:rPr>
                <w:color w:val="105C84"/>
                <w:spacing w:val="-10"/>
                <w:sz w:val="18"/>
              </w:rPr>
              <w:t> </w:t>
            </w:r>
            <w:r>
              <w:rPr>
                <w:color w:val="105C84"/>
                <w:sz w:val="18"/>
              </w:rPr>
              <w:t>Jr.</w:t>
            </w:r>
            <w:r>
              <w:rPr>
                <w:color w:val="105C84"/>
                <w:spacing w:val="-10"/>
                <w:sz w:val="18"/>
              </w:rPr>
              <w:t> </w:t>
            </w:r>
            <w:r>
              <w:rPr>
                <w:color w:val="105C84"/>
                <w:sz w:val="18"/>
              </w:rPr>
              <w:t>for</w:t>
            </w:r>
            <w:r>
              <w:rPr>
                <w:color w:val="105C84"/>
                <w:spacing w:val="-10"/>
                <w:sz w:val="18"/>
              </w:rPr>
              <w:t> </w:t>
            </w:r>
            <w:r>
              <w:rPr>
                <w:color w:val="105C84"/>
                <w:sz w:val="18"/>
              </w:rPr>
              <w:t>30</w:t>
            </w:r>
            <w:r>
              <w:rPr>
                <w:color w:val="105C84"/>
                <w:spacing w:val="-10"/>
                <w:sz w:val="18"/>
              </w:rPr>
              <w:t> </w:t>
            </w:r>
            <w:r>
              <w:rPr>
                <w:color w:val="105C84"/>
                <w:sz w:val="18"/>
              </w:rPr>
              <w:t>minutes</w:t>
            </w:r>
            <w:r>
              <w:rPr>
                <w:color w:val="105C84"/>
                <w:spacing w:val="-10"/>
                <w:sz w:val="18"/>
              </w:rPr>
              <w:t> </w:t>
            </w:r>
            <w:r>
              <w:rPr>
                <w:color w:val="105C84"/>
                <w:sz w:val="18"/>
              </w:rPr>
              <w:t>1-2</w:t>
            </w:r>
            <w:r>
              <w:rPr>
                <w:color w:val="105C84"/>
                <w:spacing w:val="-10"/>
                <w:sz w:val="18"/>
              </w:rPr>
              <w:t> </w:t>
            </w:r>
            <w:r>
              <w:rPr>
                <w:color w:val="105C84"/>
                <w:sz w:val="18"/>
              </w:rPr>
              <w:t>times</w:t>
            </w:r>
            <w:r>
              <w:rPr>
                <w:color w:val="105C84"/>
                <w:spacing w:val="-10"/>
                <w:sz w:val="18"/>
              </w:rPr>
              <w:t> </w:t>
            </w:r>
            <w:r>
              <w:rPr>
                <w:color w:val="105C84"/>
                <w:sz w:val="18"/>
              </w:rPr>
              <w:t>per</w:t>
            </w:r>
            <w:r>
              <w:rPr>
                <w:color w:val="105C84"/>
                <w:spacing w:val="-10"/>
                <w:sz w:val="18"/>
              </w:rPr>
              <w:t> </w:t>
            </w:r>
            <w:r>
              <w:rPr>
                <w:color w:val="105C84"/>
                <w:spacing w:val="-4"/>
                <w:sz w:val="18"/>
              </w:rPr>
              <w:t>week</w:t>
            </w:r>
          </w:p>
          <w:p>
            <w:pPr>
              <w:pStyle w:val="TableParagraph"/>
              <w:tabs>
                <w:tab w:pos="4650" w:val="left" w:leader="none"/>
              </w:tabs>
              <w:spacing w:line="213" w:lineRule="exact"/>
              <w:ind w:left="89"/>
              <w:rPr>
                <w:sz w:val="18"/>
              </w:rPr>
            </w:pPr>
            <w:r>
              <w:rPr>
                <w:color w:val="105C84"/>
                <w:w w:val="105"/>
                <w:position w:val="2"/>
                <w:sz w:val="18"/>
              </w:rPr>
              <w:t>Nutrition</w:t>
            </w:r>
            <w:r>
              <w:rPr>
                <w:color w:val="105C84"/>
                <w:spacing w:val="-1"/>
                <w:w w:val="105"/>
                <w:position w:val="2"/>
                <w:sz w:val="18"/>
              </w:rPr>
              <w:t> </w:t>
            </w:r>
            <w:r>
              <w:rPr>
                <w:color w:val="105C84"/>
                <w:spacing w:val="-2"/>
                <w:w w:val="105"/>
                <w:position w:val="2"/>
                <w:sz w:val="18"/>
              </w:rPr>
              <w:t>Provided</w:t>
            </w:r>
            <w:r>
              <w:rPr>
                <w:color w:val="105C84"/>
                <w:position w:val="2"/>
                <w:sz w:val="18"/>
              </w:rPr>
              <w:tab/>
            </w:r>
            <w:r>
              <w:rPr>
                <w:color w:val="105C84"/>
                <w:spacing w:val="-2"/>
                <w:w w:val="105"/>
                <w:sz w:val="18"/>
              </w:rPr>
              <w:t>provided</w:t>
            </w:r>
          </w:p>
          <w:p>
            <w:pPr>
              <w:pStyle w:val="TableParagraph"/>
              <w:numPr>
                <w:ilvl w:val="0"/>
                <w:numId w:val="39"/>
              </w:numPr>
              <w:tabs>
                <w:tab w:pos="275" w:val="left" w:leader="none"/>
                <w:tab w:pos="4650" w:val="left" w:leader="none"/>
              </w:tabs>
              <w:spacing w:line="223" w:lineRule="exact" w:before="44" w:after="0"/>
              <w:ind w:left="275" w:right="0" w:hanging="186"/>
              <w:jc w:val="left"/>
              <w:rPr>
                <w:color w:val="105C84"/>
                <w:position w:val="2"/>
                <w:sz w:val="18"/>
              </w:rPr>
            </w:pPr>
            <w:r>
              <w:rPr>
                <w:color w:val="105C84"/>
                <w:position w:val="2"/>
                <w:sz w:val="18"/>
              </w:rPr>
              <w:t>Improve</w:t>
            </w:r>
            <w:r>
              <w:rPr>
                <w:color w:val="105C84"/>
                <w:spacing w:val="-11"/>
                <w:position w:val="2"/>
                <w:sz w:val="18"/>
              </w:rPr>
              <w:t> </w:t>
            </w:r>
            <w:r>
              <w:rPr>
                <w:color w:val="105C84"/>
                <w:position w:val="2"/>
                <w:sz w:val="18"/>
              </w:rPr>
              <w:t>Staff</w:t>
            </w:r>
            <w:r>
              <w:rPr>
                <w:color w:val="105C84"/>
                <w:spacing w:val="-11"/>
                <w:position w:val="2"/>
                <w:sz w:val="18"/>
              </w:rPr>
              <w:t> </w:t>
            </w:r>
            <w:r>
              <w:rPr>
                <w:color w:val="105C84"/>
                <w:spacing w:val="-2"/>
                <w:position w:val="2"/>
                <w:sz w:val="18"/>
              </w:rPr>
              <w:t>Wellness</w:t>
            </w:r>
            <w:r>
              <w:rPr>
                <w:color w:val="105C84"/>
                <w:position w:val="2"/>
                <w:sz w:val="18"/>
              </w:rPr>
              <w:tab/>
            </w:r>
            <w:r>
              <w:rPr>
                <w:color w:val="105C84"/>
                <w:sz w:val="18"/>
              </w:rPr>
              <w:t>In</w:t>
            </w:r>
            <w:r>
              <w:rPr>
                <w:color w:val="105C84"/>
                <w:spacing w:val="-12"/>
                <w:sz w:val="18"/>
              </w:rPr>
              <w:t> </w:t>
            </w:r>
            <w:r>
              <w:rPr>
                <w:color w:val="105C84"/>
                <w:sz w:val="18"/>
              </w:rPr>
              <w:t>year</w:t>
            </w:r>
            <w:r>
              <w:rPr>
                <w:color w:val="105C84"/>
                <w:spacing w:val="-12"/>
                <w:sz w:val="18"/>
              </w:rPr>
              <w:t> </w:t>
            </w:r>
            <w:r>
              <w:rPr>
                <w:color w:val="105C84"/>
                <w:sz w:val="18"/>
              </w:rPr>
              <w:t>one</w:t>
            </w:r>
            <w:r>
              <w:rPr>
                <w:color w:val="105C84"/>
                <w:spacing w:val="-12"/>
                <w:sz w:val="18"/>
              </w:rPr>
              <w:t> </w:t>
            </w:r>
            <w:r>
              <w:rPr>
                <w:color w:val="105C84"/>
                <w:sz w:val="18"/>
              </w:rPr>
              <w:t>children’s</w:t>
            </w:r>
            <w:r>
              <w:rPr>
                <w:color w:val="105C84"/>
                <w:spacing w:val="-12"/>
                <w:sz w:val="18"/>
              </w:rPr>
              <w:t> </w:t>
            </w:r>
            <w:r>
              <w:rPr>
                <w:color w:val="105C84"/>
                <w:sz w:val="18"/>
              </w:rPr>
              <w:t>BMI</w:t>
            </w:r>
            <w:r>
              <w:rPr>
                <w:color w:val="105C84"/>
                <w:spacing w:val="-11"/>
                <w:sz w:val="18"/>
              </w:rPr>
              <w:t> </w:t>
            </w:r>
            <w:r>
              <w:rPr>
                <w:color w:val="105C84"/>
                <w:sz w:val="18"/>
              </w:rPr>
              <w:t>was</w:t>
            </w:r>
            <w:r>
              <w:rPr>
                <w:color w:val="105C84"/>
                <w:spacing w:val="-12"/>
                <w:sz w:val="18"/>
              </w:rPr>
              <w:t> </w:t>
            </w:r>
            <w:r>
              <w:rPr>
                <w:color w:val="105C84"/>
                <w:sz w:val="18"/>
              </w:rPr>
              <w:t>reduced</w:t>
            </w:r>
            <w:r>
              <w:rPr>
                <w:color w:val="105C84"/>
                <w:spacing w:val="-12"/>
                <w:sz w:val="18"/>
              </w:rPr>
              <w:t> </w:t>
            </w:r>
            <w:r>
              <w:rPr>
                <w:color w:val="105C84"/>
                <w:spacing w:val="-5"/>
                <w:sz w:val="18"/>
              </w:rPr>
              <w:t>by</w:t>
            </w:r>
          </w:p>
          <w:p>
            <w:pPr>
              <w:pStyle w:val="TableParagraph"/>
              <w:numPr>
                <w:ilvl w:val="0"/>
                <w:numId w:val="39"/>
              </w:numPr>
              <w:tabs>
                <w:tab w:pos="275" w:val="left" w:leader="none"/>
                <w:tab w:pos="4650" w:val="left" w:leader="none"/>
              </w:tabs>
              <w:spacing w:line="153" w:lineRule="auto" w:before="31" w:after="0"/>
              <w:ind w:left="275" w:right="0" w:hanging="186"/>
              <w:jc w:val="left"/>
              <w:rPr>
                <w:color w:val="105C84"/>
                <w:position w:val="-6"/>
                <w:sz w:val="18"/>
              </w:rPr>
            </w:pPr>
            <w:r>
              <w:rPr>
                <w:color w:val="105C84"/>
                <w:position w:val="-6"/>
                <w:sz w:val="18"/>
              </w:rPr>
              <w:t>Improve</w:t>
            </w:r>
            <w:r>
              <w:rPr>
                <w:color w:val="105C84"/>
                <w:spacing w:val="-11"/>
                <w:position w:val="-6"/>
                <w:sz w:val="18"/>
              </w:rPr>
              <w:t> </w:t>
            </w:r>
            <w:r>
              <w:rPr>
                <w:color w:val="105C84"/>
                <w:position w:val="-6"/>
                <w:sz w:val="18"/>
              </w:rPr>
              <w:t>Family</w:t>
            </w:r>
            <w:r>
              <w:rPr>
                <w:color w:val="105C84"/>
                <w:spacing w:val="-10"/>
                <w:position w:val="-6"/>
                <w:sz w:val="18"/>
              </w:rPr>
              <w:t> </w:t>
            </w:r>
            <w:r>
              <w:rPr>
                <w:color w:val="105C84"/>
                <w:spacing w:val="-2"/>
                <w:position w:val="-6"/>
                <w:sz w:val="18"/>
              </w:rPr>
              <w:t>Engagement</w:t>
            </w:r>
            <w:r>
              <w:rPr>
                <w:color w:val="105C84"/>
                <w:position w:val="-6"/>
                <w:sz w:val="18"/>
              </w:rPr>
              <w:tab/>
            </w:r>
            <w:r>
              <w:rPr>
                <w:color w:val="105C84"/>
                <w:sz w:val="18"/>
              </w:rPr>
              <w:t>3%</w:t>
            </w:r>
            <w:r>
              <w:rPr>
                <w:color w:val="105C84"/>
                <w:spacing w:val="-2"/>
                <w:sz w:val="18"/>
              </w:rPr>
              <w:t> </w:t>
            </w:r>
            <w:r>
              <w:rPr>
                <w:color w:val="105C84"/>
                <w:sz w:val="18"/>
              </w:rPr>
              <w:t>and</w:t>
            </w:r>
            <w:r>
              <w:rPr>
                <w:color w:val="105C84"/>
                <w:spacing w:val="-1"/>
                <w:sz w:val="18"/>
              </w:rPr>
              <w:t> </w:t>
            </w:r>
            <w:r>
              <w:rPr>
                <w:color w:val="105C84"/>
                <w:sz w:val="18"/>
              </w:rPr>
              <w:t>the</w:t>
            </w:r>
            <w:r>
              <w:rPr>
                <w:color w:val="105C84"/>
                <w:spacing w:val="-1"/>
                <w:sz w:val="18"/>
              </w:rPr>
              <w:t> </w:t>
            </w:r>
            <w:r>
              <w:rPr>
                <w:color w:val="105C84"/>
                <w:sz w:val="18"/>
              </w:rPr>
              <w:t>number</w:t>
            </w:r>
            <w:r>
              <w:rPr>
                <w:color w:val="105C84"/>
                <w:spacing w:val="-1"/>
                <w:sz w:val="18"/>
              </w:rPr>
              <w:t> </w:t>
            </w:r>
            <w:r>
              <w:rPr>
                <w:color w:val="105C84"/>
                <w:sz w:val="18"/>
              </w:rPr>
              <w:t>of</w:t>
            </w:r>
            <w:r>
              <w:rPr>
                <w:color w:val="105C84"/>
                <w:spacing w:val="-1"/>
                <w:sz w:val="18"/>
              </w:rPr>
              <w:t> </w:t>
            </w:r>
            <w:r>
              <w:rPr>
                <w:color w:val="105C84"/>
                <w:sz w:val="18"/>
              </w:rPr>
              <w:t>children</w:t>
            </w:r>
            <w:r>
              <w:rPr>
                <w:color w:val="105C84"/>
                <w:spacing w:val="-1"/>
                <w:sz w:val="18"/>
              </w:rPr>
              <w:t> </w:t>
            </w:r>
            <w:r>
              <w:rPr>
                <w:color w:val="105C84"/>
                <w:sz w:val="18"/>
              </w:rPr>
              <w:t>in</w:t>
            </w:r>
            <w:r>
              <w:rPr>
                <w:color w:val="105C84"/>
                <w:spacing w:val="-1"/>
                <w:sz w:val="18"/>
              </w:rPr>
              <w:t> </w:t>
            </w:r>
            <w:r>
              <w:rPr>
                <w:color w:val="105C84"/>
                <w:sz w:val="18"/>
              </w:rPr>
              <w:t>the</w:t>
            </w:r>
            <w:r>
              <w:rPr>
                <w:color w:val="105C84"/>
                <w:spacing w:val="-1"/>
                <w:sz w:val="18"/>
              </w:rPr>
              <w:t> </w:t>
            </w:r>
            <w:r>
              <w:rPr>
                <w:color w:val="105C84"/>
                <w:spacing w:val="-2"/>
                <w:sz w:val="18"/>
              </w:rPr>
              <w:t>obese</w:t>
            </w:r>
          </w:p>
          <w:p>
            <w:pPr>
              <w:pStyle w:val="TableParagraph"/>
              <w:tabs>
                <w:tab w:pos="4650" w:val="left" w:leader="none"/>
              </w:tabs>
              <w:spacing w:line="290" w:lineRule="exact"/>
              <w:ind w:left="89"/>
              <w:rPr>
                <w:position w:val="16"/>
                <w:sz w:val="18"/>
              </w:rPr>
            </w:pPr>
            <w:r>
              <w:rPr>
                <w:color w:val="105C84"/>
                <w:sz w:val="18"/>
              </w:rPr>
              <w:t>Nutrition</w:t>
            </w:r>
            <w:r>
              <w:rPr>
                <w:color w:val="105C84"/>
                <w:spacing w:val="10"/>
                <w:sz w:val="18"/>
              </w:rPr>
              <w:t> </w:t>
            </w:r>
            <w:r>
              <w:rPr>
                <w:color w:val="105C84"/>
                <w:sz w:val="18"/>
              </w:rPr>
              <w:t>education</w:t>
            </w:r>
            <w:r>
              <w:rPr>
                <w:color w:val="105C84"/>
                <w:spacing w:val="11"/>
                <w:sz w:val="18"/>
              </w:rPr>
              <w:t> </w:t>
            </w:r>
            <w:r>
              <w:rPr>
                <w:color w:val="105C84"/>
                <w:sz w:val="18"/>
              </w:rPr>
              <w:t>is</w:t>
            </w:r>
            <w:r>
              <w:rPr>
                <w:color w:val="105C84"/>
                <w:spacing w:val="11"/>
                <w:sz w:val="18"/>
              </w:rPr>
              <w:t> </w:t>
            </w:r>
            <w:r>
              <w:rPr>
                <w:color w:val="105C84"/>
                <w:spacing w:val="-2"/>
                <w:sz w:val="18"/>
              </w:rPr>
              <w:t>provided</w:t>
            </w:r>
            <w:r>
              <w:rPr>
                <w:color w:val="105C84"/>
                <w:sz w:val="18"/>
              </w:rPr>
              <w:tab/>
            </w:r>
            <w:r>
              <w:rPr>
                <w:color w:val="105C84"/>
                <w:position w:val="16"/>
                <w:sz w:val="18"/>
              </w:rPr>
              <w:t>category</w:t>
            </w:r>
            <w:r>
              <w:rPr>
                <w:color w:val="105C84"/>
                <w:spacing w:val="-12"/>
                <w:position w:val="16"/>
                <w:sz w:val="18"/>
              </w:rPr>
              <w:t> </w:t>
            </w:r>
            <w:r>
              <w:rPr>
                <w:color w:val="105C84"/>
                <w:position w:val="16"/>
                <w:sz w:val="18"/>
              </w:rPr>
              <w:t>was</w:t>
            </w:r>
            <w:r>
              <w:rPr>
                <w:color w:val="105C84"/>
                <w:spacing w:val="-12"/>
                <w:position w:val="16"/>
                <w:sz w:val="18"/>
              </w:rPr>
              <w:t> </w:t>
            </w:r>
            <w:r>
              <w:rPr>
                <w:color w:val="105C84"/>
                <w:position w:val="16"/>
                <w:sz w:val="18"/>
              </w:rPr>
              <w:t>decreased</w:t>
            </w:r>
            <w:r>
              <w:rPr>
                <w:color w:val="105C84"/>
                <w:spacing w:val="-13"/>
                <w:position w:val="16"/>
                <w:sz w:val="18"/>
              </w:rPr>
              <w:t> </w:t>
            </w:r>
            <w:r>
              <w:rPr>
                <w:color w:val="105C84"/>
                <w:position w:val="16"/>
                <w:sz w:val="18"/>
              </w:rPr>
              <w:t>by</w:t>
            </w:r>
            <w:r>
              <w:rPr>
                <w:color w:val="105C84"/>
                <w:spacing w:val="-12"/>
                <w:position w:val="16"/>
                <w:sz w:val="18"/>
              </w:rPr>
              <w:t> </w:t>
            </w:r>
            <w:r>
              <w:rPr>
                <w:color w:val="105C84"/>
                <w:spacing w:val="-5"/>
                <w:position w:val="16"/>
                <w:sz w:val="18"/>
              </w:rPr>
              <w:t>2%</w:t>
            </w:r>
          </w:p>
          <w:p>
            <w:pPr>
              <w:pStyle w:val="TableParagraph"/>
              <w:tabs>
                <w:tab w:pos="4650" w:val="left" w:leader="none"/>
              </w:tabs>
              <w:spacing w:line="153" w:lineRule="auto"/>
              <w:ind w:left="89"/>
              <w:rPr>
                <w:sz w:val="18"/>
              </w:rPr>
            </w:pPr>
            <w:r>
              <w:rPr>
                <w:color w:val="105C84"/>
                <w:position w:val="-6"/>
                <w:sz w:val="18"/>
              </w:rPr>
              <w:t>daily</w:t>
            </w:r>
            <w:r>
              <w:rPr>
                <w:color w:val="105C84"/>
                <w:spacing w:val="1"/>
                <w:position w:val="-6"/>
                <w:sz w:val="18"/>
              </w:rPr>
              <w:t> </w:t>
            </w:r>
            <w:r>
              <w:rPr>
                <w:color w:val="105C84"/>
                <w:position w:val="-6"/>
                <w:sz w:val="18"/>
              </w:rPr>
              <w:t>to</w:t>
            </w:r>
            <w:r>
              <w:rPr>
                <w:color w:val="105C84"/>
                <w:spacing w:val="2"/>
                <w:position w:val="-6"/>
                <w:sz w:val="18"/>
              </w:rPr>
              <w:t> </w:t>
            </w:r>
            <w:r>
              <w:rPr>
                <w:color w:val="105C84"/>
                <w:position w:val="-6"/>
                <w:sz w:val="18"/>
              </w:rPr>
              <w:t>the</w:t>
            </w:r>
            <w:r>
              <w:rPr>
                <w:color w:val="105C84"/>
                <w:spacing w:val="2"/>
                <w:position w:val="-6"/>
                <w:sz w:val="18"/>
              </w:rPr>
              <w:t> </w:t>
            </w:r>
            <w:r>
              <w:rPr>
                <w:color w:val="105C84"/>
                <w:position w:val="-6"/>
                <w:sz w:val="18"/>
              </w:rPr>
              <w:t>children,</w:t>
            </w:r>
            <w:r>
              <w:rPr>
                <w:color w:val="105C84"/>
                <w:spacing w:val="2"/>
                <w:position w:val="-6"/>
                <w:sz w:val="18"/>
              </w:rPr>
              <w:t> </w:t>
            </w:r>
            <w:r>
              <w:rPr>
                <w:color w:val="105C84"/>
                <w:spacing w:val="-2"/>
                <w:position w:val="-6"/>
                <w:sz w:val="18"/>
              </w:rPr>
              <w:t>quarterly</w:t>
            </w:r>
            <w:r>
              <w:rPr>
                <w:color w:val="105C84"/>
                <w:position w:val="-6"/>
                <w:sz w:val="18"/>
              </w:rPr>
              <w:tab/>
            </w:r>
            <w:r>
              <w:rPr>
                <w:color w:val="105C84"/>
                <w:sz w:val="18"/>
              </w:rPr>
              <w:t>Children</w:t>
            </w:r>
            <w:r>
              <w:rPr>
                <w:color w:val="105C84"/>
                <w:spacing w:val="5"/>
                <w:sz w:val="18"/>
              </w:rPr>
              <w:t> </w:t>
            </w:r>
            <w:r>
              <w:rPr>
                <w:color w:val="105C84"/>
                <w:sz w:val="18"/>
              </w:rPr>
              <w:t>participated</w:t>
            </w:r>
            <w:r>
              <w:rPr>
                <w:color w:val="105C84"/>
                <w:spacing w:val="5"/>
                <w:sz w:val="18"/>
              </w:rPr>
              <w:t> </w:t>
            </w:r>
            <w:r>
              <w:rPr>
                <w:color w:val="105C84"/>
                <w:sz w:val="18"/>
              </w:rPr>
              <w:t>in</w:t>
            </w:r>
            <w:r>
              <w:rPr>
                <w:color w:val="105C84"/>
                <w:spacing w:val="5"/>
                <w:sz w:val="18"/>
              </w:rPr>
              <w:t> </w:t>
            </w:r>
            <w:r>
              <w:rPr>
                <w:color w:val="105C84"/>
                <w:sz w:val="18"/>
              </w:rPr>
              <w:t>a</w:t>
            </w:r>
            <w:r>
              <w:rPr>
                <w:color w:val="105C84"/>
                <w:spacing w:val="5"/>
                <w:sz w:val="18"/>
              </w:rPr>
              <w:t> </w:t>
            </w:r>
            <w:r>
              <w:rPr>
                <w:color w:val="105C84"/>
                <w:spacing w:val="-2"/>
                <w:sz w:val="18"/>
              </w:rPr>
              <w:t>“Food</w:t>
            </w:r>
          </w:p>
          <w:p>
            <w:pPr>
              <w:pStyle w:val="TableParagraph"/>
              <w:tabs>
                <w:tab w:pos="4650" w:val="left" w:leader="none"/>
              </w:tabs>
              <w:spacing w:line="153" w:lineRule="auto"/>
              <w:ind w:left="89"/>
              <w:rPr>
                <w:sz w:val="18"/>
              </w:rPr>
            </w:pPr>
            <w:r>
              <w:rPr>
                <w:color w:val="105C84"/>
                <w:position w:val="-6"/>
                <w:sz w:val="18"/>
              </w:rPr>
              <w:t>in</w:t>
            </w:r>
            <w:r>
              <w:rPr>
                <w:color w:val="105C84"/>
                <w:spacing w:val="-4"/>
                <w:position w:val="-6"/>
                <w:sz w:val="18"/>
              </w:rPr>
              <w:t> </w:t>
            </w:r>
            <w:r>
              <w:rPr>
                <w:color w:val="105C84"/>
                <w:position w:val="-6"/>
                <w:sz w:val="18"/>
              </w:rPr>
              <w:t>a</w:t>
            </w:r>
            <w:r>
              <w:rPr>
                <w:color w:val="105C84"/>
                <w:spacing w:val="-3"/>
                <w:position w:val="-6"/>
                <w:sz w:val="18"/>
              </w:rPr>
              <w:t> </w:t>
            </w:r>
            <w:r>
              <w:rPr>
                <w:color w:val="105C84"/>
                <w:position w:val="-6"/>
                <w:sz w:val="18"/>
              </w:rPr>
              <w:t>newsletter</w:t>
            </w:r>
            <w:r>
              <w:rPr>
                <w:color w:val="105C84"/>
                <w:spacing w:val="-3"/>
                <w:position w:val="-6"/>
                <w:sz w:val="18"/>
              </w:rPr>
              <w:t> </w:t>
            </w:r>
            <w:r>
              <w:rPr>
                <w:color w:val="105C84"/>
                <w:position w:val="-6"/>
                <w:sz w:val="18"/>
              </w:rPr>
              <w:t>to</w:t>
            </w:r>
            <w:r>
              <w:rPr>
                <w:color w:val="105C84"/>
                <w:spacing w:val="-3"/>
                <w:position w:val="-6"/>
                <w:sz w:val="18"/>
              </w:rPr>
              <w:t> </w:t>
            </w:r>
            <w:r>
              <w:rPr>
                <w:color w:val="105C84"/>
                <w:position w:val="-6"/>
                <w:sz w:val="18"/>
              </w:rPr>
              <w:t>families,</w:t>
            </w:r>
            <w:r>
              <w:rPr>
                <w:color w:val="105C84"/>
                <w:spacing w:val="-3"/>
                <w:position w:val="-6"/>
                <w:sz w:val="18"/>
              </w:rPr>
              <w:t> </w:t>
            </w:r>
            <w:r>
              <w:rPr>
                <w:color w:val="105C84"/>
                <w:spacing w:val="-5"/>
                <w:position w:val="-6"/>
                <w:sz w:val="18"/>
              </w:rPr>
              <w:t>and</w:t>
            </w:r>
            <w:r>
              <w:rPr>
                <w:color w:val="105C84"/>
                <w:position w:val="-6"/>
                <w:sz w:val="18"/>
              </w:rPr>
              <w:tab/>
            </w:r>
            <w:r>
              <w:rPr>
                <w:color w:val="105C84"/>
                <w:sz w:val="18"/>
              </w:rPr>
              <w:t>Experience”</w:t>
            </w:r>
            <w:r>
              <w:rPr>
                <w:color w:val="105C84"/>
                <w:spacing w:val="10"/>
                <w:sz w:val="18"/>
              </w:rPr>
              <w:t> </w:t>
            </w:r>
            <w:r>
              <w:rPr>
                <w:color w:val="105C84"/>
                <w:sz w:val="18"/>
              </w:rPr>
              <w:t>monthly</w:t>
            </w:r>
            <w:r>
              <w:rPr>
                <w:color w:val="105C84"/>
                <w:spacing w:val="11"/>
                <w:sz w:val="18"/>
              </w:rPr>
              <w:t> </w:t>
            </w:r>
            <w:r>
              <w:rPr>
                <w:color w:val="105C84"/>
                <w:sz w:val="18"/>
              </w:rPr>
              <w:t>learning</w:t>
            </w:r>
            <w:r>
              <w:rPr>
                <w:color w:val="105C84"/>
                <w:spacing w:val="11"/>
                <w:sz w:val="18"/>
              </w:rPr>
              <w:t> </w:t>
            </w:r>
            <w:r>
              <w:rPr>
                <w:color w:val="105C84"/>
                <w:sz w:val="18"/>
              </w:rPr>
              <w:t>about</w:t>
            </w:r>
            <w:r>
              <w:rPr>
                <w:color w:val="105C84"/>
                <w:spacing w:val="11"/>
                <w:sz w:val="18"/>
              </w:rPr>
              <w:t> </w:t>
            </w:r>
            <w:r>
              <w:rPr>
                <w:color w:val="105C84"/>
                <w:spacing w:val="-5"/>
                <w:sz w:val="18"/>
              </w:rPr>
              <w:t>and</w:t>
            </w:r>
          </w:p>
          <w:p>
            <w:pPr>
              <w:pStyle w:val="TableParagraph"/>
              <w:tabs>
                <w:tab w:pos="4650" w:val="left" w:leader="none"/>
              </w:tabs>
              <w:spacing w:line="235" w:lineRule="exact"/>
              <w:ind w:left="89"/>
              <w:rPr>
                <w:position w:val="7"/>
                <w:sz w:val="18"/>
              </w:rPr>
            </w:pPr>
            <w:r>
              <w:rPr>
                <w:color w:val="105C84"/>
                <w:sz w:val="18"/>
              </w:rPr>
              <w:t>monthly</w:t>
            </w:r>
            <w:r>
              <w:rPr>
                <w:color w:val="105C84"/>
                <w:spacing w:val="2"/>
                <w:sz w:val="18"/>
              </w:rPr>
              <w:t> </w:t>
            </w:r>
            <w:r>
              <w:rPr>
                <w:color w:val="105C84"/>
                <w:sz w:val="18"/>
              </w:rPr>
              <w:t>to</w:t>
            </w:r>
            <w:r>
              <w:rPr>
                <w:color w:val="105C84"/>
                <w:spacing w:val="3"/>
                <w:sz w:val="18"/>
              </w:rPr>
              <w:t> </w:t>
            </w:r>
            <w:r>
              <w:rPr>
                <w:color w:val="105C84"/>
                <w:sz w:val="18"/>
              </w:rPr>
              <w:t>families</w:t>
            </w:r>
            <w:r>
              <w:rPr>
                <w:color w:val="105C84"/>
                <w:spacing w:val="3"/>
                <w:sz w:val="18"/>
              </w:rPr>
              <w:t> </w:t>
            </w:r>
            <w:r>
              <w:rPr>
                <w:color w:val="105C84"/>
                <w:sz w:val="18"/>
              </w:rPr>
              <w:t>at</w:t>
            </w:r>
            <w:r>
              <w:rPr>
                <w:color w:val="105C84"/>
                <w:spacing w:val="3"/>
                <w:sz w:val="18"/>
              </w:rPr>
              <w:t> </w:t>
            </w:r>
            <w:r>
              <w:rPr>
                <w:color w:val="105C84"/>
                <w:spacing w:val="-2"/>
                <w:sz w:val="18"/>
              </w:rPr>
              <w:t>meetings</w:t>
            </w:r>
            <w:r>
              <w:rPr>
                <w:color w:val="105C84"/>
                <w:sz w:val="18"/>
              </w:rPr>
              <w:tab/>
            </w:r>
            <w:r>
              <w:rPr>
                <w:color w:val="105C84"/>
                <w:position w:val="7"/>
                <w:sz w:val="18"/>
              </w:rPr>
              <w:t>cooking</w:t>
            </w:r>
            <w:r>
              <w:rPr>
                <w:color w:val="105C84"/>
                <w:spacing w:val="-2"/>
                <w:position w:val="7"/>
                <w:sz w:val="18"/>
              </w:rPr>
              <w:t> </w:t>
            </w:r>
            <w:r>
              <w:rPr>
                <w:color w:val="105C84"/>
                <w:position w:val="7"/>
                <w:sz w:val="18"/>
              </w:rPr>
              <w:t>a</w:t>
            </w:r>
            <w:r>
              <w:rPr>
                <w:color w:val="105C84"/>
                <w:spacing w:val="-2"/>
                <w:position w:val="7"/>
                <w:sz w:val="18"/>
              </w:rPr>
              <w:t> </w:t>
            </w:r>
            <w:r>
              <w:rPr>
                <w:color w:val="105C84"/>
                <w:position w:val="7"/>
                <w:sz w:val="18"/>
              </w:rPr>
              <w:t>healthy</w:t>
            </w:r>
            <w:r>
              <w:rPr>
                <w:color w:val="105C84"/>
                <w:spacing w:val="-2"/>
                <w:position w:val="7"/>
                <w:sz w:val="18"/>
              </w:rPr>
              <w:t> </w:t>
            </w:r>
            <w:r>
              <w:rPr>
                <w:color w:val="105C84"/>
                <w:spacing w:val="-4"/>
                <w:position w:val="7"/>
                <w:sz w:val="18"/>
              </w:rPr>
              <w:t>food</w:t>
            </w:r>
          </w:p>
          <w:p>
            <w:pPr>
              <w:pStyle w:val="TableParagraph"/>
              <w:tabs>
                <w:tab w:pos="4650" w:val="left" w:leader="none"/>
              </w:tabs>
              <w:spacing w:line="220" w:lineRule="exact"/>
              <w:ind w:left="89"/>
              <w:rPr>
                <w:sz w:val="18"/>
              </w:rPr>
            </w:pPr>
            <w:r>
              <w:rPr>
                <w:color w:val="105C84"/>
                <w:position w:val="2"/>
                <w:sz w:val="18"/>
              </w:rPr>
              <w:t>at</w:t>
            </w:r>
            <w:r>
              <w:rPr>
                <w:color w:val="105C84"/>
                <w:spacing w:val="3"/>
                <w:position w:val="2"/>
                <w:sz w:val="18"/>
              </w:rPr>
              <w:t> </w:t>
            </w:r>
            <w:r>
              <w:rPr>
                <w:color w:val="105C84"/>
                <w:position w:val="2"/>
                <w:sz w:val="18"/>
              </w:rPr>
              <w:t>their</w:t>
            </w:r>
            <w:r>
              <w:rPr>
                <w:color w:val="105C84"/>
                <w:spacing w:val="4"/>
                <w:position w:val="2"/>
                <w:sz w:val="18"/>
              </w:rPr>
              <w:t> </w:t>
            </w:r>
            <w:r>
              <w:rPr>
                <w:color w:val="105C84"/>
                <w:spacing w:val="-4"/>
                <w:position w:val="2"/>
                <w:sz w:val="18"/>
              </w:rPr>
              <w:t>site</w:t>
            </w:r>
            <w:r>
              <w:rPr>
                <w:color w:val="105C84"/>
                <w:position w:val="2"/>
                <w:sz w:val="18"/>
              </w:rPr>
              <w:tab/>
            </w:r>
            <w:r>
              <w:rPr>
                <w:color w:val="105C84"/>
                <w:sz w:val="18"/>
              </w:rPr>
              <w:t>Child</w:t>
            </w:r>
            <w:r>
              <w:rPr>
                <w:color w:val="105C84"/>
                <w:spacing w:val="2"/>
                <w:sz w:val="18"/>
              </w:rPr>
              <w:t> </w:t>
            </w:r>
            <w:r>
              <w:rPr>
                <w:color w:val="105C84"/>
                <w:sz w:val="18"/>
              </w:rPr>
              <w:t>and</w:t>
            </w:r>
            <w:r>
              <w:rPr>
                <w:color w:val="105C84"/>
                <w:spacing w:val="3"/>
                <w:sz w:val="18"/>
              </w:rPr>
              <w:t> </w:t>
            </w:r>
            <w:r>
              <w:rPr>
                <w:color w:val="105C84"/>
                <w:sz w:val="18"/>
              </w:rPr>
              <w:t>Adult</w:t>
            </w:r>
            <w:r>
              <w:rPr>
                <w:color w:val="105C84"/>
                <w:spacing w:val="3"/>
                <w:sz w:val="18"/>
              </w:rPr>
              <w:t> </w:t>
            </w:r>
            <w:r>
              <w:rPr>
                <w:color w:val="105C84"/>
                <w:sz w:val="18"/>
              </w:rPr>
              <w:t>Care</w:t>
            </w:r>
            <w:r>
              <w:rPr>
                <w:color w:val="105C84"/>
                <w:spacing w:val="3"/>
                <w:sz w:val="18"/>
              </w:rPr>
              <w:t> </w:t>
            </w:r>
            <w:r>
              <w:rPr>
                <w:color w:val="105C84"/>
                <w:sz w:val="18"/>
              </w:rPr>
              <w:t>Food</w:t>
            </w:r>
            <w:r>
              <w:rPr>
                <w:color w:val="105C84"/>
                <w:spacing w:val="3"/>
                <w:sz w:val="18"/>
              </w:rPr>
              <w:t> </w:t>
            </w:r>
            <w:r>
              <w:rPr>
                <w:color w:val="105C84"/>
                <w:spacing w:val="-2"/>
                <w:sz w:val="18"/>
              </w:rPr>
              <w:t>Program</w:t>
            </w:r>
          </w:p>
          <w:p>
            <w:pPr>
              <w:pStyle w:val="TableParagraph"/>
              <w:tabs>
                <w:tab w:pos="4650" w:val="left" w:leader="none"/>
              </w:tabs>
              <w:spacing w:line="230" w:lineRule="auto"/>
              <w:ind w:left="89"/>
              <w:rPr>
                <w:sz w:val="18"/>
              </w:rPr>
            </w:pPr>
            <w:r>
              <w:rPr>
                <w:color w:val="105C84"/>
                <w:spacing w:val="-2"/>
                <w:position w:val="-6"/>
                <w:sz w:val="18"/>
              </w:rPr>
              <w:t>The</w:t>
            </w:r>
            <w:r>
              <w:rPr>
                <w:color w:val="105C84"/>
                <w:spacing w:val="-9"/>
                <w:position w:val="-6"/>
                <w:sz w:val="18"/>
              </w:rPr>
              <w:t> </w:t>
            </w:r>
            <w:r>
              <w:rPr>
                <w:color w:val="105C84"/>
                <w:spacing w:val="-2"/>
                <w:position w:val="-6"/>
                <w:sz w:val="18"/>
              </w:rPr>
              <w:t>Eat</w:t>
            </w:r>
            <w:r>
              <w:rPr>
                <w:color w:val="105C84"/>
                <w:spacing w:val="-9"/>
                <w:position w:val="-6"/>
                <w:sz w:val="18"/>
              </w:rPr>
              <w:t> </w:t>
            </w:r>
            <w:r>
              <w:rPr>
                <w:color w:val="105C84"/>
                <w:spacing w:val="-2"/>
                <w:position w:val="-6"/>
                <w:sz w:val="18"/>
              </w:rPr>
              <w:t>Well</w:t>
            </w:r>
            <w:r>
              <w:rPr>
                <w:color w:val="105C84"/>
                <w:spacing w:val="-8"/>
                <w:position w:val="-6"/>
                <w:sz w:val="18"/>
              </w:rPr>
              <w:t> </w:t>
            </w:r>
            <w:r>
              <w:rPr>
                <w:color w:val="105C84"/>
                <w:spacing w:val="-2"/>
                <w:position w:val="-6"/>
                <w:sz w:val="18"/>
              </w:rPr>
              <w:t>Play</w:t>
            </w:r>
            <w:r>
              <w:rPr>
                <w:color w:val="105C84"/>
                <w:spacing w:val="-9"/>
                <w:position w:val="-6"/>
                <w:sz w:val="18"/>
              </w:rPr>
              <w:t> </w:t>
            </w:r>
            <w:r>
              <w:rPr>
                <w:color w:val="105C84"/>
                <w:spacing w:val="-4"/>
                <w:position w:val="-6"/>
                <w:sz w:val="18"/>
              </w:rPr>
              <w:t>Hard</w:t>
            </w:r>
            <w:r>
              <w:rPr>
                <w:color w:val="105C84"/>
                <w:position w:val="-6"/>
                <w:sz w:val="18"/>
              </w:rPr>
              <w:tab/>
            </w:r>
            <w:r>
              <w:rPr>
                <w:color w:val="105C84"/>
                <w:spacing w:val="-4"/>
                <w:sz w:val="18"/>
              </w:rPr>
              <w:t>(CACFP)</w:t>
            </w:r>
            <w:r>
              <w:rPr>
                <w:color w:val="105C84"/>
                <w:spacing w:val="6"/>
                <w:sz w:val="18"/>
              </w:rPr>
              <w:t> </w:t>
            </w:r>
            <w:r>
              <w:rPr>
                <w:color w:val="105C84"/>
                <w:spacing w:val="-4"/>
                <w:sz w:val="18"/>
              </w:rPr>
              <w:t>guidelines</w:t>
            </w:r>
            <w:r>
              <w:rPr>
                <w:color w:val="105C84"/>
                <w:spacing w:val="6"/>
                <w:sz w:val="18"/>
              </w:rPr>
              <w:t> </w:t>
            </w:r>
            <w:r>
              <w:rPr>
                <w:color w:val="105C84"/>
                <w:spacing w:val="-4"/>
                <w:sz w:val="18"/>
              </w:rPr>
              <w:t>followed</w:t>
            </w:r>
          </w:p>
          <w:p>
            <w:pPr>
              <w:pStyle w:val="TableParagraph"/>
              <w:tabs>
                <w:tab w:pos="4650" w:val="left" w:leader="none"/>
              </w:tabs>
              <w:spacing w:line="210" w:lineRule="exact"/>
              <w:ind w:left="89"/>
              <w:rPr>
                <w:sz w:val="18"/>
              </w:rPr>
            </w:pPr>
            <w:r>
              <w:rPr>
                <w:color w:val="105C84"/>
                <w:position w:val="2"/>
                <w:sz w:val="18"/>
              </w:rPr>
              <w:t>curriculum</w:t>
            </w:r>
            <w:r>
              <w:rPr>
                <w:color w:val="105C84"/>
                <w:spacing w:val="4"/>
                <w:position w:val="2"/>
                <w:sz w:val="18"/>
              </w:rPr>
              <w:t> </w:t>
            </w:r>
            <w:r>
              <w:rPr>
                <w:color w:val="105C84"/>
                <w:position w:val="2"/>
                <w:sz w:val="18"/>
              </w:rPr>
              <w:t>will</w:t>
            </w:r>
            <w:r>
              <w:rPr>
                <w:color w:val="105C84"/>
                <w:spacing w:val="4"/>
                <w:position w:val="2"/>
                <w:sz w:val="18"/>
              </w:rPr>
              <w:t> </w:t>
            </w:r>
            <w:r>
              <w:rPr>
                <w:color w:val="105C84"/>
                <w:position w:val="2"/>
                <w:sz w:val="18"/>
              </w:rPr>
              <w:t>be</w:t>
            </w:r>
            <w:r>
              <w:rPr>
                <w:color w:val="105C84"/>
                <w:spacing w:val="5"/>
                <w:position w:val="2"/>
                <w:sz w:val="18"/>
              </w:rPr>
              <w:t> </w:t>
            </w:r>
            <w:r>
              <w:rPr>
                <w:color w:val="105C84"/>
                <w:position w:val="2"/>
                <w:sz w:val="18"/>
              </w:rPr>
              <w:t>added</w:t>
            </w:r>
            <w:r>
              <w:rPr>
                <w:color w:val="105C84"/>
                <w:spacing w:val="4"/>
                <w:position w:val="2"/>
                <w:sz w:val="18"/>
              </w:rPr>
              <w:t> </w:t>
            </w:r>
            <w:r>
              <w:rPr>
                <w:color w:val="105C84"/>
                <w:spacing w:val="-5"/>
                <w:position w:val="2"/>
                <w:sz w:val="18"/>
              </w:rPr>
              <w:t>to</w:t>
            </w:r>
            <w:r>
              <w:rPr>
                <w:color w:val="105C84"/>
                <w:position w:val="2"/>
                <w:sz w:val="18"/>
              </w:rPr>
              <w:tab/>
            </w:r>
            <w:r>
              <w:rPr>
                <w:color w:val="105C84"/>
                <w:sz w:val="18"/>
              </w:rPr>
              <w:t>In</w:t>
            </w:r>
            <w:r>
              <w:rPr>
                <w:color w:val="105C84"/>
                <w:spacing w:val="-4"/>
                <w:sz w:val="18"/>
              </w:rPr>
              <w:t> </w:t>
            </w:r>
            <w:r>
              <w:rPr>
                <w:color w:val="105C84"/>
                <w:sz w:val="18"/>
              </w:rPr>
              <w:t>addition,</w:t>
            </w:r>
            <w:r>
              <w:rPr>
                <w:color w:val="105C84"/>
                <w:spacing w:val="-3"/>
                <w:sz w:val="18"/>
              </w:rPr>
              <w:t> </w:t>
            </w:r>
            <w:r>
              <w:rPr>
                <w:color w:val="105C84"/>
                <w:sz w:val="18"/>
              </w:rPr>
              <w:t>we</w:t>
            </w:r>
            <w:r>
              <w:rPr>
                <w:color w:val="105C84"/>
                <w:spacing w:val="-4"/>
                <w:sz w:val="18"/>
              </w:rPr>
              <w:t> </w:t>
            </w:r>
            <w:r>
              <w:rPr>
                <w:color w:val="105C84"/>
                <w:sz w:val="18"/>
              </w:rPr>
              <w:t>have</w:t>
            </w:r>
            <w:r>
              <w:rPr>
                <w:color w:val="105C84"/>
                <w:spacing w:val="-3"/>
                <w:sz w:val="18"/>
              </w:rPr>
              <w:t> </w:t>
            </w:r>
            <w:r>
              <w:rPr>
                <w:color w:val="105C84"/>
                <w:sz w:val="18"/>
              </w:rPr>
              <w:t>done</w:t>
            </w:r>
            <w:r>
              <w:rPr>
                <w:color w:val="105C84"/>
                <w:spacing w:val="-3"/>
                <w:sz w:val="18"/>
              </w:rPr>
              <w:t> </w:t>
            </w:r>
            <w:r>
              <w:rPr>
                <w:color w:val="105C84"/>
                <w:sz w:val="18"/>
              </w:rPr>
              <w:t>away</w:t>
            </w:r>
            <w:r>
              <w:rPr>
                <w:color w:val="105C84"/>
                <w:spacing w:val="-4"/>
                <w:sz w:val="18"/>
              </w:rPr>
              <w:t> </w:t>
            </w:r>
            <w:r>
              <w:rPr>
                <w:color w:val="105C84"/>
                <w:sz w:val="18"/>
              </w:rPr>
              <w:t>with</w:t>
            </w:r>
            <w:r>
              <w:rPr>
                <w:color w:val="105C84"/>
                <w:spacing w:val="-3"/>
                <w:sz w:val="18"/>
              </w:rPr>
              <w:t> </w:t>
            </w:r>
            <w:r>
              <w:rPr>
                <w:color w:val="105C84"/>
                <w:spacing w:val="-5"/>
                <w:sz w:val="18"/>
              </w:rPr>
              <w:t>all</w:t>
            </w:r>
          </w:p>
          <w:p>
            <w:pPr>
              <w:pStyle w:val="TableParagraph"/>
              <w:tabs>
                <w:tab w:pos="4650" w:val="left" w:leader="none"/>
              </w:tabs>
              <w:spacing w:line="200" w:lineRule="exact"/>
              <w:ind w:left="89"/>
              <w:rPr>
                <w:sz w:val="18"/>
              </w:rPr>
            </w:pPr>
            <w:r>
              <w:rPr>
                <w:color w:val="105C84"/>
                <w:position w:val="2"/>
                <w:sz w:val="18"/>
              </w:rPr>
              <w:t>three sites</w:t>
            </w:r>
            <w:r>
              <w:rPr>
                <w:color w:val="105C84"/>
                <w:spacing w:val="1"/>
                <w:position w:val="2"/>
                <w:sz w:val="18"/>
              </w:rPr>
              <w:t> </w:t>
            </w:r>
            <w:r>
              <w:rPr>
                <w:color w:val="105C84"/>
                <w:position w:val="2"/>
                <w:sz w:val="18"/>
              </w:rPr>
              <w:t>in</w:t>
            </w:r>
            <w:r>
              <w:rPr>
                <w:color w:val="105C84"/>
                <w:spacing w:val="1"/>
                <w:position w:val="2"/>
                <w:sz w:val="18"/>
              </w:rPr>
              <w:t> </w:t>
            </w:r>
            <w:r>
              <w:rPr>
                <w:color w:val="105C84"/>
                <w:position w:val="2"/>
                <w:sz w:val="18"/>
              </w:rPr>
              <w:t>October</w:t>
            </w:r>
            <w:r>
              <w:rPr>
                <w:color w:val="105C84"/>
                <w:spacing w:val="1"/>
                <w:position w:val="2"/>
                <w:sz w:val="18"/>
              </w:rPr>
              <w:t> </w:t>
            </w:r>
            <w:r>
              <w:rPr>
                <w:color w:val="105C84"/>
                <w:position w:val="2"/>
                <w:sz w:val="18"/>
              </w:rPr>
              <w:t>and</w:t>
            </w:r>
            <w:r>
              <w:rPr>
                <w:color w:val="105C84"/>
                <w:spacing w:val="1"/>
                <w:position w:val="2"/>
                <w:sz w:val="18"/>
              </w:rPr>
              <w:t> </w:t>
            </w:r>
            <w:r>
              <w:rPr>
                <w:color w:val="105C84"/>
                <w:spacing w:val="-5"/>
                <w:position w:val="2"/>
                <w:sz w:val="18"/>
              </w:rPr>
              <w:t>two</w:t>
            </w:r>
            <w:r>
              <w:rPr>
                <w:color w:val="105C84"/>
                <w:position w:val="2"/>
                <w:sz w:val="18"/>
              </w:rPr>
              <w:tab/>
            </w:r>
            <w:r>
              <w:rPr>
                <w:color w:val="105C84"/>
                <w:sz w:val="18"/>
              </w:rPr>
              <w:t>canned</w:t>
            </w:r>
            <w:r>
              <w:rPr>
                <w:color w:val="105C84"/>
                <w:spacing w:val="-1"/>
                <w:sz w:val="18"/>
              </w:rPr>
              <w:t> </w:t>
            </w:r>
            <w:r>
              <w:rPr>
                <w:color w:val="105C84"/>
                <w:sz w:val="18"/>
              </w:rPr>
              <w:t>foods and the children only </w:t>
            </w:r>
            <w:r>
              <w:rPr>
                <w:color w:val="105C84"/>
                <w:spacing w:val="-2"/>
                <w:sz w:val="18"/>
              </w:rPr>
              <w:t>receive</w:t>
            </w:r>
          </w:p>
          <w:p>
            <w:pPr>
              <w:pStyle w:val="TableParagraph"/>
              <w:tabs>
                <w:tab w:pos="4650" w:val="left" w:leader="none"/>
              </w:tabs>
              <w:spacing w:line="200" w:lineRule="exact"/>
              <w:ind w:left="89"/>
              <w:rPr>
                <w:sz w:val="18"/>
              </w:rPr>
            </w:pPr>
            <w:r>
              <w:rPr>
                <w:color w:val="105C84"/>
                <w:position w:val="2"/>
                <w:sz w:val="18"/>
              </w:rPr>
              <w:t>others</w:t>
            </w:r>
            <w:r>
              <w:rPr>
                <w:color w:val="105C84"/>
                <w:spacing w:val="-5"/>
                <w:position w:val="2"/>
                <w:sz w:val="18"/>
              </w:rPr>
              <w:t> </w:t>
            </w:r>
            <w:r>
              <w:rPr>
                <w:color w:val="105C84"/>
                <w:position w:val="2"/>
                <w:sz w:val="18"/>
              </w:rPr>
              <w:t>in</w:t>
            </w:r>
            <w:r>
              <w:rPr>
                <w:color w:val="105C84"/>
                <w:spacing w:val="-5"/>
                <w:position w:val="2"/>
                <w:sz w:val="18"/>
              </w:rPr>
              <w:t> </w:t>
            </w:r>
            <w:r>
              <w:rPr>
                <w:color w:val="105C84"/>
                <w:position w:val="2"/>
                <w:sz w:val="18"/>
              </w:rPr>
              <w:t>the</w:t>
            </w:r>
            <w:r>
              <w:rPr>
                <w:color w:val="105C84"/>
                <w:spacing w:val="-5"/>
                <w:position w:val="2"/>
                <w:sz w:val="18"/>
              </w:rPr>
              <w:t> </w:t>
            </w:r>
            <w:r>
              <w:rPr>
                <w:color w:val="105C84"/>
                <w:position w:val="2"/>
                <w:sz w:val="18"/>
              </w:rPr>
              <w:t>spring</w:t>
            </w:r>
            <w:r>
              <w:rPr>
                <w:color w:val="105C84"/>
                <w:spacing w:val="-5"/>
                <w:position w:val="2"/>
                <w:sz w:val="18"/>
              </w:rPr>
              <w:t> </w:t>
            </w:r>
            <w:r>
              <w:rPr>
                <w:color w:val="105C84"/>
                <w:position w:val="2"/>
                <w:sz w:val="18"/>
              </w:rPr>
              <w:t>of</w:t>
            </w:r>
            <w:r>
              <w:rPr>
                <w:color w:val="105C84"/>
                <w:spacing w:val="-5"/>
                <w:position w:val="2"/>
                <w:sz w:val="18"/>
              </w:rPr>
              <w:t> </w:t>
            </w:r>
            <w:r>
              <w:rPr>
                <w:color w:val="105C84"/>
                <w:position w:val="2"/>
                <w:sz w:val="18"/>
              </w:rPr>
              <w:t>2020.</w:t>
            </w:r>
            <w:r>
              <w:rPr>
                <w:color w:val="105C84"/>
                <w:spacing w:val="-4"/>
                <w:position w:val="2"/>
                <w:sz w:val="18"/>
              </w:rPr>
              <w:t> </w:t>
            </w:r>
            <w:r>
              <w:rPr>
                <w:color w:val="105C84"/>
                <w:spacing w:val="-5"/>
                <w:position w:val="2"/>
                <w:sz w:val="18"/>
              </w:rPr>
              <w:t>It</w:t>
            </w:r>
            <w:r>
              <w:rPr>
                <w:color w:val="105C84"/>
                <w:position w:val="2"/>
                <w:sz w:val="18"/>
              </w:rPr>
              <w:tab/>
            </w:r>
            <w:r>
              <w:rPr>
                <w:color w:val="105C84"/>
                <w:sz w:val="18"/>
              </w:rPr>
              <w:t>fresh</w:t>
            </w:r>
            <w:r>
              <w:rPr>
                <w:color w:val="105C84"/>
                <w:spacing w:val="-11"/>
                <w:sz w:val="18"/>
              </w:rPr>
              <w:t> </w:t>
            </w:r>
            <w:r>
              <w:rPr>
                <w:color w:val="105C84"/>
                <w:sz w:val="18"/>
              </w:rPr>
              <w:t>vegetables</w:t>
            </w:r>
            <w:r>
              <w:rPr>
                <w:color w:val="105C84"/>
                <w:spacing w:val="-10"/>
                <w:sz w:val="18"/>
              </w:rPr>
              <w:t> </w:t>
            </w:r>
            <w:r>
              <w:rPr>
                <w:color w:val="105C84"/>
                <w:sz w:val="18"/>
              </w:rPr>
              <w:t>and</w:t>
            </w:r>
            <w:r>
              <w:rPr>
                <w:color w:val="105C84"/>
                <w:spacing w:val="-11"/>
                <w:sz w:val="18"/>
              </w:rPr>
              <w:t> </w:t>
            </w:r>
            <w:r>
              <w:rPr>
                <w:color w:val="105C84"/>
                <w:sz w:val="18"/>
              </w:rPr>
              <w:t>as</w:t>
            </w:r>
            <w:r>
              <w:rPr>
                <w:color w:val="105C84"/>
                <w:spacing w:val="-10"/>
                <w:sz w:val="18"/>
              </w:rPr>
              <w:t> </w:t>
            </w:r>
            <w:r>
              <w:rPr>
                <w:color w:val="105C84"/>
                <w:sz w:val="18"/>
              </w:rPr>
              <w:t>much</w:t>
            </w:r>
            <w:r>
              <w:rPr>
                <w:color w:val="105C84"/>
                <w:spacing w:val="-11"/>
                <w:sz w:val="18"/>
              </w:rPr>
              <w:t> </w:t>
            </w:r>
            <w:r>
              <w:rPr>
                <w:color w:val="105C84"/>
                <w:sz w:val="18"/>
              </w:rPr>
              <w:t>local</w:t>
            </w:r>
            <w:r>
              <w:rPr>
                <w:color w:val="105C84"/>
                <w:spacing w:val="-10"/>
                <w:sz w:val="18"/>
              </w:rPr>
              <w:t> </w:t>
            </w:r>
            <w:r>
              <w:rPr>
                <w:color w:val="105C84"/>
                <w:spacing w:val="-2"/>
                <w:sz w:val="18"/>
              </w:rPr>
              <w:t>organic</w:t>
            </w:r>
          </w:p>
          <w:p>
            <w:pPr>
              <w:pStyle w:val="TableParagraph"/>
              <w:tabs>
                <w:tab w:pos="4650" w:val="left" w:leader="none"/>
              </w:tabs>
              <w:spacing w:line="213" w:lineRule="exact"/>
              <w:ind w:left="89"/>
              <w:rPr>
                <w:sz w:val="18"/>
              </w:rPr>
            </w:pPr>
            <w:r>
              <w:rPr>
                <w:color w:val="105C84"/>
                <w:position w:val="2"/>
                <w:sz w:val="18"/>
              </w:rPr>
              <w:t>includes</w:t>
            </w:r>
            <w:r>
              <w:rPr>
                <w:color w:val="105C84"/>
                <w:spacing w:val="-11"/>
                <w:position w:val="2"/>
                <w:sz w:val="18"/>
              </w:rPr>
              <w:t> </w:t>
            </w:r>
            <w:r>
              <w:rPr>
                <w:color w:val="105C84"/>
                <w:position w:val="2"/>
                <w:sz w:val="18"/>
              </w:rPr>
              <w:t>these</w:t>
            </w:r>
            <w:r>
              <w:rPr>
                <w:color w:val="105C84"/>
                <w:spacing w:val="-10"/>
                <w:position w:val="2"/>
                <w:sz w:val="18"/>
              </w:rPr>
              <w:t> </w:t>
            </w:r>
            <w:r>
              <w:rPr>
                <w:color w:val="105C84"/>
                <w:spacing w:val="-2"/>
                <w:position w:val="2"/>
                <w:sz w:val="18"/>
              </w:rPr>
              <w:t>initiatives:</w:t>
            </w:r>
            <w:r>
              <w:rPr>
                <w:color w:val="105C84"/>
                <w:position w:val="2"/>
                <w:sz w:val="18"/>
              </w:rPr>
              <w:tab/>
            </w:r>
            <w:r>
              <w:rPr>
                <w:color w:val="105C84"/>
                <w:sz w:val="18"/>
              </w:rPr>
              <w:t>produce</w:t>
            </w:r>
            <w:r>
              <w:rPr>
                <w:color w:val="105C84"/>
                <w:spacing w:val="-7"/>
                <w:sz w:val="18"/>
              </w:rPr>
              <w:t> </w:t>
            </w:r>
            <w:r>
              <w:rPr>
                <w:color w:val="105C84"/>
                <w:sz w:val="18"/>
              </w:rPr>
              <w:t>as</w:t>
            </w:r>
            <w:r>
              <w:rPr>
                <w:color w:val="105C84"/>
                <w:spacing w:val="-7"/>
                <w:sz w:val="18"/>
              </w:rPr>
              <w:t> </w:t>
            </w:r>
            <w:r>
              <w:rPr>
                <w:color w:val="105C84"/>
                <w:spacing w:val="-2"/>
                <w:sz w:val="18"/>
              </w:rPr>
              <w:t>possible</w:t>
            </w:r>
          </w:p>
          <w:p>
            <w:pPr>
              <w:pStyle w:val="TableParagraph"/>
              <w:numPr>
                <w:ilvl w:val="0"/>
                <w:numId w:val="40"/>
              </w:numPr>
              <w:tabs>
                <w:tab w:pos="275" w:val="left" w:leader="none"/>
                <w:tab w:pos="4650" w:val="left" w:leader="none"/>
              </w:tabs>
              <w:spacing w:line="213" w:lineRule="exact" w:before="56" w:after="0"/>
              <w:ind w:left="275" w:right="0" w:hanging="186"/>
              <w:jc w:val="left"/>
              <w:rPr>
                <w:color w:val="105C84"/>
                <w:position w:val="2"/>
                <w:sz w:val="18"/>
              </w:rPr>
            </w:pPr>
            <w:r>
              <w:rPr>
                <w:color w:val="105C84"/>
                <w:position w:val="2"/>
                <w:sz w:val="18"/>
              </w:rPr>
              <w:t>Make</w:t>
            </w:r>
            <w:r>
              <w:rPr>
                <w:color w:val="105C84"/>
                <w:spacing w:val="8"/>
                <w:position w:val="2"/>
                <w:sz w:val="18"/>
              </w:rPr>
              <w:t> </w:t>
            </w:r>
            <w:r>
              <w:rPr>
                <w:color w:val="105C84"/>
                <w:position w:val="2"/>
                <w:sz w:val="18"/>
              </w:rPr>
              <w:t>nutrition</w:t>
            </w:r>
            <w:r>
              <w:rPr>
                <w:color w:val="105C84"/>
                <w:spacing w:val="9"/>
                <w:position w:val="2"/>
                <w:sz w:val="18"/>
              </w:rPr>
              <w:t> </w:t>
            </w:r>
            <w:r>
              <w:rPr>
                <w:color w:val="105C84"/>
                <w:spacing w:val="-5"/>
                <w:position w:val="2"/>
                <w:sz w:val="18"/>
              </w:rPr>
              <w:t>and</w:t>
            </w:r>
            <w:r>
              <w:rPr>
                <w:color w:val="105C84"/>
                <w:position w:val="2"/>
                <w:sz w:val="18"/>
              </w:rPr>
              <w:tab/>
            </w:r>
            <w:r>
              <w:rPr>
                <w:color w:val="105C84"/>
                <w:sz w:val="18"/>
              </w:rPr>
              <w:t>We</w:t>
            </w:r>
            <w:r>
              <w:rPr>
                <w:color w:val="105C84"/>
                <w:spacing w:val="-9"/>
                <w:sz w:val="18"/>
              </w:rPr>
              <w:t> </w:t>
            </w:r>
            <w:r>
              <w:rPr>
                <w:color w:val="105C84"/>
                <w:sz w:val="18"/>
              </w:rPr>
              <w:t>do</w:t>
            </w:r>
            <w:r>
              <w:rPr>
                <w:color w:val="105C84"/>
                <w:spacing w:val="-8"/>
                <w:sz w:val="18"/>
              </w:rPr>
              <w:t> </w:t>
            </w:r>
            <w:r>
              <w:rPr>
                <w:color w:val="105C84"/>
                <w:sz w:val="18"/>
              </w:rPr>
              <w:t>serve</w:t>
            </w:r>
            <w:r>
              <w:rPr>
                <w:color w:val="105C84"/>
                <w:spacing w:val="-8"/>
                <w:sz w:val="18"/>
              </w:rPr>
              <w:t> </w:t>
            </w:r>
            <w:r>
              <w:rPr>
                <w:color w:val="105C84"/>
                <w:sz w:val="18"/>
              </w:rPr>
              <w:t>fresh-frozen,</w:t>
            </w:r>
            <w:r>
              <w:rPr>
                <w:color w:val="105C84"/>
                <w:spacing w:val="-8"/>
                <w:sz w:val="18"/>
              </w:rPr>
              <w:t> </w:t>
            </w:r>
            <w:r>
              <w:rPr>
                <w:color w:val="105C84"/>
                <w:sz w:val="18"/>
              </w:rPr>
              <w:t>but</w:t>
            </w:r>
            <w:r>
              <w:rPr>
                <w:color w:val="105C84"/>
                <w:spacing w:val="-8"/>
                <w:sz w:val="18"/>
              </w:rPr>
              <w:t> </w:t>
            </w:r>
            <w:r>
              <w:rPr>
                <w:color w:val="105C84"/>
                <w:sz w:val="18"/>
              </w:rPr>
              <w:t>we</w:t>
            </w:r>
            <w:r>
              <w:rPr>
                <w:color w:val="105C84"/>
                <w:spacing w:val="-8"/>
                <w:sz w:val="18"/>
              </w:rPr>
              <w:t> </w:t>
            </w:r>
            <w:r>
              <w:rPr>
                <w:color w:val="105C84"/>
                <w:sz w:val="18"/>
              </w:rPr>
              <w:t>try</w:t>
            </w:r>
            <w:r>
              <w:rPr>
                <w:color w:val="105C84"/>
                <w:spacing w:val="-8"/>
                <w:sz w:val="18"/>
              </w:rPr>
              <w:t> </w:t>
            </w:r>
            <w:r>
              <w:rPr>
                <w:color w:val="105C84"/>
                <w:spacing w:val="-5"/>
                <w:sz w:val="18"/>
              </w:rPr>
              <w:t>not</w:t>
            </w:r>
          </w:p>
          <w:p>
            <w:pPr>
              <w:pStyle w:val="TableParagraph"/>
              <w:tabs>
                <w:tab w:pos="4650" w:val="left" w:leader="none"/>
              </w:tabs>
              <w:spacing w:line="200" w:lineRule="exact"/>
              <w:ind w:left="89"/>
              <w:rPr>
                <w:sz w:val="18"/>
              </w:rPr>
            </w:pPr>
            <w:r>
              <w:rPr>
                <w:color w:val="105C84"/>
                <w:position w:val="2"/>
                <w:sz w:val="18"/>
              </w:rPr>
              <w:t>movement</w:t>
            </w:r>
            <w:r>
              <w:rPr>
                <w:color w:val="105C84"/>
                <w:spacing w:val="-3"/>
                <w:position w:val="2"/>
                <w:sz w:val="18"/>
              </w:rPr>
              <w:t> </w:t>
            </w:r>
            <w:r>
              <w:rPr>
                <w:color w:val="105C84"/>
                <w:position w:val="2"/>
                <w:sz w:val="18"/>
              </w:rPr>
              <w:t>lessons</w:t>
            </w:r>
            <w:r>
              <w:rPr>
                <w:color w:val="105C84"/>
                <w:spacing w:val="-2"/>
                <w:position w:val="2"/>
                <w:sz w:val="18"/>
              </w:rPr>
              <w:t> </w:t>
            </w:r>
            <w:r>
              <w:rPr>
                <w:color w:val="105C84"/>
                <w:position w:val="2"/>
                <w:sz w:val="18"/>
              </w:rPr>
              <w:t>part</w:t>
            </w:r>
            <w:r>
              <w:rPr>
                <w:color w:val="105C84"/>
                <w:spacing w:val="-2"/>
                <w:position w:val="2"/>
                <w:sz w:val="18"/>
              </w:rPr>
              <w:t> </w:t>
            </w:r>
            <w:r>
              <w:rPr>
                <w:color w:val="105C84"/>
                <w:position w:val="2"/>
                <w:sz w:val="18"/>
              </w:rPr>
              <w:t>of</w:t>
            </w:r>
            <w:r>
              <w:rPr>
                <w:color w:val="105C84"/>
                <w:spacing w:val="-2"/>
                <w:position w:val="2"/>
                <w:sz w:val="18"/>
              </w:rPr>
              <w:t> </w:t>
            </w:r>
            <w:r>
              <w:rPr>
                <w:color w:val="105C84"/>
                <w:spacing w:val="-10"/>
                <w:position w:val="2"/>
                <w:sz w:val="18"/>
              </w:rPr>
              <w:t>a</w:t>
            </w:r>
            <w:r>
              <w:rPr>
                <w:color w:val="105C84"/>
                <w:position w:val="2"/>
                <w:sz w:val="18"/>
              </w:rPr>
              <w:tab/>
            </w:r>
            <w:r>
              <w:rPr>
                <w:color w:val="105C84"/>
                <w:sz w:val="18"/>
              </w:rPr>
              <w:t>to.</w:t>
            </w:r>
            <w:r>
              <w:rPr>
                <w:color w:val="105C84"/>
                <w:spacing w:val="3"/>
                <w:sz w:val="18"/>
              </w:rPr>
              <w:t> </w:t>
            </w:r>
            <w:r>
              <w:rPr>
                <w:color w:val="105C84"/>
                <w:sz w:val="18"/>
              </w:rPr>
              <w:t>In</w:t>
            </w:r>
            <w:r>
              <w:rPr>
                <w:color w:val="105C84"/>
                <w:spacing w:val="3"/>
                <w:sz w:val="18"/>
              </w:rPr>
              <w:t> </w:t>
            </w:r>
            <w:r>
              <w:rPr>
                <w:color w:val="105C84"/>
                <w:sz w:val="18"/>
              </w:rPr>
              <w:t>addition,</w:t>
            </w:r>
            <w:r>
              <w:rPr>
                <w:color w:val="105C84"/>
                <w:spacing w:val="3"/>
                <w:sz w:val="18"/>
              </w:rPr>
              <w:t> </w:t>
            </w:r>
            <w:r>
              <w:rPr>
                <w:color w:val="105C84"/>
                <w:sz w:val="18"/>
              </w:rPr>
              <w:t>children</w:t>
            </w:r>
            <w:r>
              <w:rPr>
                <w:color w:val="105C84"/>
                <w:spacing w:val="4"/>
                <w:sz w:val="18"/>
              </w:rPr>
              <w:t> </w:t>
            </w:r>
            <w:r>
              <w:rPr>
                <w:color w:val="105C84"/>
                <w:sz w:val="18"/>
              </w:rPr>
              <w:t>are</w:t>
            </w:r>
            <w:r>
              <w:rPr>
                <w:color w:val="105C84"/>
                <w:spacing w:val="3"/>
                <w:sz w:val="18"/>
              </w:rPr>
              <w:t> </w:t>
            </w:r>
            <w:r>
              <w:rPr>
                <w:color w:val="105C84"/>
                <w:sz w:val="18"/>
              </w:rPr>
              <w:t>taught</w:t>
            </w:r>
            <w:r>
              <w:rPr>
                <w:color w:val="105C84"/>
                <w:spacing w:val="3"/>
                <w:sz w:val="18"/>
              </w:rPr>
              <w:t> </w:t>
            </w:r>
            <w:r>
              <w:rPr>
                <w:color w:val="105C84"/>
                <w:sz w:val="18"/>
              </w:rPr>
              <w:t>how</w:t>
            </w:r>
            <w:r>
              <w:rPr>
                <w:color w:val="105C84"/>
                <w:spacing w:val="3"/>
                <w:sz w:val="18"/>
              </w:rPr>
              <w:t> </w:t>
            </w:r>
            <w:r>
              <w:rPr>
                <w:color w:val="105C84"/>
                <w:spacing w:val="-5"/>
                <w:sz w:val="18"/>
              </w:rPr>
              <w:t>to</w:t>
            </w:r>
          </w:p>
          <w:p>
            <w:pPr>
              <w:pStyle w:val="TableParagraph"/>
              <w:tabs>
                <w:tab w:pos="4650" w:val="left" w:leader="none"/>
              </w:tabs>
              <w:spacing w:line="210" w:lineRule="exact"/>
              <w:ind w:left="89"/>
              <w:rPr>
                <w:sz w:val="18"/>
              </w:rPr>
            </w:pPr>
            <w:r>
              <w:rPr>
                <w:color w:val="105C84"/>
                <w:position w:val="2"/>
                <w:sz w:val="18"/>
              </w:rPr>
              <w:t>child’s</w:t>
            </w:r>
            <w:r>
              <w:rPr>
                <w:color w:val="105C84"/>
                <w:spacing w:val="-12"/>
                <w:position w:val="2"/>
                <w:sz w:val="18"/>
              </w:rPr>
              <w:t> </w:t>
            </w:r>
            <w:r>
              <w:rPr>
                <w:color w:val="105C84"/>
                <w:position w:val="2"/>
                <w:sz w:val="18"/>
              </w:rPr>
              <w:t>daily</w:t>
            </w:r>
            <w:r>
              <w:rPr>
                <w:color w:val="105C84"/>
                <w:spacing w:val="-12"/>
                <w:position w:val="2"/>
                <w:sz w:val="18"/>
              </w:rPr>
              <w:t> </w:t>
            </w:r>
            <w:r>
              <w:rPr>
                <w:color w:val="105C84"/>
                <w:spacing w:val="-2"/>
                <w:position w:val="2"/>
                <w:sz w:val="18"/>
              </w:rPr>
              <w:t>routine</w:t>
            </w:r>
            <w:r>
              <w:rPr>
                <w:color w:val="105C84"/>
                <w:position w:val="2"/>
                <w:sz w:val="18"/>
              </w:rPr>
              <w:tab/>
            </w:r>
            <w:r>
              <w:rPr>
                <w:color w:val="105C84"/>
                <w:sz w:val="18"/>
              </w:rPr>
              <w:t>self-serve</w:t>
            </w:r>
            <w:r>
              <w:rPr>
                <w:color w:val="105C84"/>
                <w:spacing w:val="-5"/>
                <w:sz w:val="18"/>
              </w:rPr>
              <w:t> </w:t>
            </w:r>
            <w:r>
              <w:rPr>
                <w:color w:val="105C84"/>
                <w:sz w:val="18"/>
              </w:rPr>
              <w:t>in</w:t>
            </w:r>
            <w:r>
              <w:rPr>
                <w:color w:val="105C84"/>
                <w:spacing w:val="-5"/>
                <w:sz w:val="18"/>
              </w:rPr>
              <w:t> </w:t>
            </w:r>
            <w:r>
              <w:rPr>
                <w:color w:val="105C84"/>
                <w:sz w:val="18"/>
              </w:rPr>
              <w:t>specialty</w:t>
            </w:r>
            <w:r>
              <w:rPr>
                <w:color w:val="105C84"/>
                <w:spacing w:val="-5"/>
                <w:sz w:val="18"/>
              </w:rPr>
              <w:t> </w:t>
            </w:r>
            <w:r>
              <w:rPr>
                <w:color w:val="105C84"/>
                <w:sz w:val="18"/>
              </w:rPr>
              <w:t>portioned</w:t>
            </w:r>
            <w:r>
              <w:rPr>
                <w:color w:val="105C84"/>
                <w:spacing w:val="-5"/>
                <w:sz w:val="18"/>
              </w:rPr>
              <w:t> </w:t>
            </w:r>
            <w:r>
              <w:rPr>
                <w:color w:val="105C84"/>
                <w:sz w:val="18"/>
              </w:rPr>
              <w:t>cups</w:t>
            </w:r>
            <w:r>
              <w:rPr>
                <w:color w:val="105C84"/>
                <w:spacing w:val="-5"/>
                <w:sz w:val="18"/>
              </w:rPr>
              <w:t> and</w:t>
            </w:r>
          </w:p>
          <w:p>
            <w:pPr>
              <w:pStyle w:val="TableParagraph"/>
              <w:numPr>
                <w:ilvl w:val="0"/>
                <w:numId w:val="40"/>
              </w:numPr>
              <w:tabs>
                <w:tab w:pos="275" w:val="left" w:leader="none"/>
                <w:tab w:pos="4650" w:val="left" w:leader="none"/>
              </w:tabs>
              <w:spacing w:line="153" w:lineRule="auto" w:before="32" w:after="0"/>
              <w:ind w:left="275" w:right="0" w:hanging="186"/>
              <w:jc w:val="left"/>
              <w:rPr>
                <w:color w:val="105C84"/>
                <w:position w:val="-6"/>
                <w:sz w:val="18"/>
              </w:rPr>
            </w:pPr>
            <w:r>
              <w:rPr>
                <w:color w:val="105C84"/>
                <w:position w:val="-6"/>
                <w:sz w:val="18"/>
              </w:rPr>
              <w:t>Provide</w:t>
            </w:r>
            <w:r>
              <w:rPr>
                <w:color w:val="105C84"/>
                <w:spacing w:val="3"/>
                <w:position w:val="-6"/>
                <w:sz w:val="18"/>
              </w:rPr>
              <w:t> </w:t>
            </w:r>
            <w:r>
              <w:rPr>
                <w:color w:val="105C84"/>
                <w:position w:val="-6"/>
                <w:sz w:val="18"/>
              </w:rPr>
              <w:t>nutrition</w:t>
            </w:r>
            <w:r>
              <w:rPr>
                <w:color w:val="105C84"/>
                <w:spacing w:val="4"/>
                <w:position w:val="-6"/>
                <w:sz w:val="18"/>
              </w:rPr>
              <w:t> </w:t>
            </w:r>
            <w:r>
              <w:rPr>
                <w:color w:val="105C84"/>
                <w:position w:val="-6"/>
                <w:sz w:val="18"/>
              </w:rPr>
              <w:t>and</w:t>
            </w:r>
            <w:r>
              <w:rPr>
                <w:color w:val="105C84"/>
                <w:spacing w:val="4"/>
                <w:position w:val="-6"/>
                <w:sz w:val="18"/>
              </w:rPr>
              <w:t> </w:t>
            </w:r>
            <w:r>
              <w:rPr>
                <w:color w:val="105C84"/>
                <w:spacing w:val="-2"/>
                <w:position w:val="-6"/>
                <w:sz w:val="18"/>
              </w:rPr>
              <w:t>physical</w:t>
            </w:r>
            <w:r>
              <w:rPr>
                <w:color w:val="105C84"/>
                <w:position w:val="-6"/>
                <w:sz w:val="18"/>
              </w:rPr>
              <w:tab/>
            </w:r>
            <w:r>
              <w:rPr>
                <w:color w:val="105C84"/>
                <w:spacing w:val="-2"/>
                <w:sz w:val="18"/>
              </w:rPr>
              <w:t>scoops.</w:t>
            </w:r>
            <w:r>
              <w:rPr>
                <w:color w:val="105C84"/>
                <w:spacing w:val="-6"/>
                <w:sz w:val="18"/>
              </w:rPr>
              <w:t> </w:t>
            </w:r>
            <w:r>
              <w:rPr>
                <w:color w:val="105C84"/>
                <w:spacing w:val="-2"/>
                <w:sz w:val="18"/>
              </w:rPr>
              <w:t>They</w:t>
            </w:r>
            <w:r>
              <w:rPr>
                <w:color w:val="105C84"/>
                <w:spacing w:val="-5"/>
                <w:sz w:val="18"/>
              </w:rPr>
              <w:t> </w:t>
            </w:r>
            <w:r>
              <w:rPr>
                <w:color w:val="105C84"/>
                <w:spacing w:val="-2"/>
                <w:sz w:val="18"/>
              </w:rPr>
              <w:t>learn</w:t>
            </w:r>
            <w:r>
              <w:rPr>
                <w:color w:val="105C84"/>
                <w:spacing w:val="-5"/>
                <w:sz w:val="18"/>
              </w:rPr>
              <w:t> </w:t>
            </w:r>
            <w:r>
              <w:rPr>
                <w:color w:val="105C84"/>
                <w:spacing w:val="-2"/>
                <w:sz w:val="18"/>
              </w:rPr>
              <w:t>what</w:t>
            </w:r>
            <w:r>
              <w:rPr>
                <w:color w:val="105C84"/>
                <w:spacing w:val="-5"/>
                <w:sz w:val="18"/>
              </w:rPr>
              <w:t> </w:t>
            </w:r>
            <w:r>
              <w:rPr>
                <w:color w:val="105C84"/>
                <w:spacing w:val="-2"/>
                <w:sz w:val="18"/>
              </w:rPr>
              <w:t>a</w:t>
            </w:r>
            <w:r>
              <w:rPr>
                <w:color w:val="105C84"/>
                <w:spacing w:val="-5"/>
                <w:sz w:val="18"/>
              </w:rPr>
              <w:t> </w:t>
            </w:r>
            <w:r>
              <w:rPr>
                <w:color w:val="105C84"/>
                <w:spacing w:val="-2"/>
                <w:sz w:val="18"/>
              </w:rPr>
              <w:t>serving</w:t>
            </w:r>
            <w:r>
              <w:rPr>
                <w:color w:val="105C84"/>
                <w:spacing w:val="-5"/>
                <w:sz w:val="18"/>
              </w:rPr>
              <w:t> </w:t>
            </w:r>
            <w:r>
              <w:rPr>
                <w:color w:val="105C84"/>
                <w:spacing w:val="-2"/>
                <w:sz w:val="18"/>
              </w:rPr>
              <w:t>is,</w:t>
            </w:r>
            <w:r>
              <w:rPr>
                <w:color w:val="105C84"/>
                <w:spacing w:val="-5"/>
                <w:sz w:val="18"/>
              </w:rPr>
              <w:t> and</w:t>
            </w:r>
          </w:p>
          <w:p>
            <w:pPr>
              <w:pStyle w:val="TableParagraph"/>
              <w:tabs>
                <w:tab w:pos="4650" w:val="left" w:leader="none"/>
              </w:tabs>
              <w:spacing w:line="153" w:lineRule="auto"/>
              <w:ind w:left="89"/>
              <w:rPr>
                <w:sz w:val="18"/>
              </w:rPr>
            </w:pPr>
            <w:r>
              <w:rPr>
                <w:color w:val="105C84"/>
                <w:position w:val="-6"/>
                <w:sz w:val="18"/>
              </w:rPr>
              <w:t>activity</w:t>
            </w:r>
            <w:r>
              <w:rPr>
                <w:color w:val="105C84"/>
                <w:spacing w:val="5"/>
                <w:position w:val="-6"/>
                <w:sz w:val="18"/>
              </w:rPr>
              <w:t> </w:t>
            </w:r>
            <w:r>
              <w:rPr>
                <w:color w:val="105C84"/>
                <w:position w:val="-6"/>
                <w:sz w:val="18"/>
              </w:rPr>
              <w:t>education</w:t>
            </w:r>
            <w:r>
              <w:rPr>
                <w:color w:val="105C84"/>
                <w:spacing w:val="6"/>
                <w:position w:val="-6"/>
                <w:sz w:val="18"/>
              </w:rPr>
              <w:t> </w:t>
            </w:r>
            <w:r>
              <w:rPr>
                <w:color w:val="105C84"/>
                <w:position w:val="-6"/>
                <w:sz w:val="18"/>
              </w:rPr>
              <w:t>to</w:t>
            </w:r>
            <w:r>
              <w:rPr>
                <w:color w:val="105C84"/>
                <w:spacing w:val="6"/>
                <w:position w:val="-6"/>
                <w:sz w:val="18"/>
              </w:rPr>
              <w:t> </w:t>
            </w:r>
            <w:r>
              <w:rPr>
                <w:color w:val="105C84"/>
                <w:spacing w:val="-2"/>
                <w:position w:val="-6"/>
                <w:sz w:val="18"/>
              </w:rPr>
              <w:t>families</w:t>
            </w:r>
            <w:r>
              <w:rPr>
                <w:color w:val="105C84"/>
                <w:position w:val="-6"/>
                <w:sz w:val="18"/>
              </w:rPr>
              <w:tab/>
            </w:r>
            <w:r>
              <w:rPr>
                <w:color w:val="105C84"/>
                <w:sz w:val="18"/>
              </w:rPr>
              <w:t>what</w:t>
            </w:r>
            <w:r>
              <w:rPr>
                <w:color w:val="105C84"/>
                <w:spacing w:val="-2"/>
                <w:sz w:val="18"/>
              </w:rPr>
              <w:t> </w:t>
            </w:r>
            <w:r>
              <w:rPr>
                <w:color w:val="105C84"/>
                <w:sz w:val="18"/>
              </w:rPr>
              <w:t>it</w:t>
            </w:r>
            <w:r>
              <w:rPr>
                <w:color w:val="105C84"/>
                <w:spacing w:val="-1"/>
                <w:sz w:val="18"/>
              </w:rPr>
              <w:t> </w:t>
            </w:r>
            <w:r>
              <w:rPr>
                <w:color w:val="105C84"/>
                <w:sz w:val="18"/>
              </w:rPr>
              <w:t>should</w:t>
            </w:r>
            <w:r>
              <w:rPr>
                <w:color w:val="105C84"/>
                <w:spacing w:val="-2"/>
                <w:sz w:val="18"/>
              </w:rPr>
              <w:t> </w:t>
            </w:r>
            <w:r>
              <w:rPr>
                <w:color w:val="105C84"/>
                <w:sz w:val="18"/>
              </w:rPr>
              <w:t>look</w:t>
            </w:r>
            <w:r>
              <w:rPr>
                <w:color w:val="105C84"/>
                <w:spacing w:val="-1"/>
                <w:sz w:val="18"/>
              </w:rPr>
              <w:t> </w:t>
            </w:r>
            <w:r>
              <w:rPr>
                <w:color w:val="105C84"/>
                <w:sz w:val="18"/>
              </w:rPr>
              <w:t>like.</w:t>
            </w:r>
            <w:r>
              <w:rPr>
                <w:color w:val="105C84"/>
                <w:spacing w:val="-1"/>
                <w:sz w:val="18"/>
              </w:rPr>
              <w:t> </w:t>
            </w:r>
            <w:r>
              <w:rPr>
                <w:color w:val="105C84"/>
                <w:sz w:val="18"/>
              </w:rPr>
              <w:t>The</w:t>
            </w:r>
            <w:r>
              <w:rPr>
                <w:color w:val="105C84"/>
                <w:spacing w:val="-2"/>
                <w:sz w:val="18"/>
              </w:rPr>
              <w:t> </w:t>
            </w:r>
            <w:r>
              <w:rPr>
                <w:color w:val="105C84"/>
                <w:sz w:val="18"/>
              </w:rPr>
              <w:t>children</w:t>
            </w:r>
            <w:r>
              <w:rPr>
                <w:color w:val="105C84"/>
                <w:spacing w:val="-1"/>
                <w:sz w:val="18"/>
              </w:rPr>
              <w:t> </w:t>
            </w:r>
            <w:r>
              <w:rPr>
                <w:color w:val="105C84"/>
                <w:spacing w:val="-5"/>
                <w:sz w:val="18"/>
              </w:rPr>
              <w:t>eat</w:t>
            </w:r>
          </w:p>
          <w:p>
            <w:pPr>
              <w:pStyle w:val="TableParagraph"/>
              <w:numPr>
                <w:ilvl w:val="0"/>
                <w:numId w:val="40"/>
              </w:numPr>
              <w:tabs>
                <w:tab w:pos="275" w:val="left" w:leader="none"/>
                <w:tab w:pos="4650" w:val="left" w:leader="none"/>
              </w:tabs>
              <w:spacing w:line="136" w:lineRule="auto" w:before="0" w:after="0"/>
              <w:ind w:left="275" w:right="0" w:hanging="186"/>
              <w:jc w:val="left"/>
              <w:rPr>
                <w:color w:val="105C84"/>
                <w:position w:val="-15"/>
                <w:sz w:val="18"/>
              </w:rPr>
            </w:pPr>
            <w:r>
              <w:rPr>
                <w:color w:val="105C84"/>
                <w:position w:val="-15"/>
                <w:sz w:val="18"/>
              </w:rPr>
              <w:t>Offer</w:t>
            </w:r>
            <w:r>
              <w:rPr>
                <w:color w:val="105C84"/>
                <w:spacing w:val="-2"/>
                <w:position w:val="-15"/>
                <w:sz w:val="18"/>
              </w:rPr>
              <w:t> </w:t>
            </w:r>
            <w:r>
              <w:rPr>
                <w:color w:val="105C84"/>
                <w:position w:val="-15"/>
                <w:sz w:val="18"/>
              </w:rPr>
              <w:t>fruits,</w:t>
            </w:r>
            <w:r>
              <w:rPr>
                <w:color w:val="105C84"/>
                <w:spacing w:val="-2"/>
                <w:position w:val="-15"/>
                <w:sz w:val="18"/>
              </w:rPr>
              <w:t> </w:t>
            </w:r>
            <w:r>
              <w:rPr>
                <w:color w:val="105C84"/>
                <w:position w:val="-15"/>
                <w:sz w:val="18"/>
              </w:rPr>
              <w:t>vegetables,</w:t>
            </w:r>
            <w:r>
              <w:rPr>
                <w:color w:val="105C84"/>
                <w:spacing w:val="-1"/>
                <w:position w:val="-15"/>
                <w:sz w:val="18"/>
              </w:rPr>
              <w:t> </w:t>
            </w:r>
            <w:r>
              <w:rPr>
                <w:color w:val="105C84"/>
                <w:spacing w:val="-5"/>
                <w:position w:val="-15"/>
                <w:sz w:val="18"/>
              </w:rPr>
              <w:t>and</w:t>
            </w:r>
            <w:r>
              <w:rPr>
                <w:color w:val="105C84"/>
                <w:position w:val="-15"/>
                <w:sz w:val="18"/>
              </w:rPr>
              <w:tab/>
            </w:r>
            <w:r>
              <w:rPr>
                <w:color w:val="105C84"/>
                <w:sz w:val="18"/>
              </w:rPr>
              <w:t>whole</w:t>
            </w:r>
            <w:r>
              <w:rPr>
                <w:color w:val="105C84"/>
                <w:spacing w:val="-7"/>
                <w:sz w:val="18"/>
              </w:rPr>
              <w:t> </w:t>
            </w:r>
            <w:r>
              <w:rPr>
                <w:color w:val="105C84"/>
                <w:sz w:val="18"/>
              </w:rPr>
              <w:t>grains,</w:t>
            </w:r>
            <w:r>
              <w:rPr>
                <w:color w:val="105C84"/>
                <w:spacing w:val="-7"/>
                <w:sz w:val="18"/>
              </w:rPr>
              <w:t> </w:t>
            </w:r>
            <w:r>
              <w:rPr>
                <w:color w:val="105C84"/>
                <w:sz w:val="18"/>
              </w:rPr>
              <w:t>vegetables,</w:t>
            </w:r>
            <w:r>
              <w:rPr>
                <w:color w:val="105C84"/>
                <w:spacing w:val="-6"/>
                <w:sz w:val="18"/>
              </w:rPr>
              <w:t> </w:t>
            </w:r>
            <w:r>
              <w:rPr>
                <w:color w:val="105C84"/>
                <w:sz w:val="18"/>
              </w:rPr>
              <w:t>fruits,</w:t>
            </w:r>
            <w:r>
              <w:rPr>
                <w:color w:val="105C84"/>
                <w:spacing w:val="-7"/>
                <w:sz w:val="18"/>
              </w:rPr>
              <w:t> </w:t>
            </w:r>
            <w:r>
              <w:rPr>
                <w:color w:val="105C84"/>
                <w:spacing w:val="-2"/>
                <w:sz w:val="18"/>
              </w:rPr>
              <w:t>protein,</w:t>
            </w:r>
          </w:p>
          <w:p>
            <w:pPr>
              <w:pStyle w:val="TableParagraph"/>
              <w:tabs>
                <w:tab w:pos="4650" w:val="left" w:leader="none"/>
              </w:tabs>
              <w:spacing w:line="120" w:lineRule="auto"/>
              <w:ind w:left="89"/>
              <w:rPr>
                <w:sz w:val="18"/>
              </w:rPr>
            </w:pPr>
            <w:r>
              <w:rPr>
                <w:color w:val="105C84"/>
                <w:position w:val="-15"/>
                <w:sz w:val="18"/>
              </w:rPr>
              <w:t>low-fat</w:t>
            </w:r>
            <w:r>
              <w:rPr>
                <w:color w:val="105C84"/>
                <w:spacing w:val="-1"/>
                <w:position w:val="-15"/>
                <w:sz w:val="18"/>
              </w:rPr>
              <w:t> </w:t>
            </w:r>
            <w:r>
              <w:rPr>
                <w:color w:val="105C84"/>
                <w:position w:val="-15"/>
                <w:sz w:val="18"/>
              </w:rPr>
              <w:t>dairy more </w:t>
            </w:r>
            <w:r>
              <w:rPr>
                <w:color w:val="105C84"/>
                <w:spacing w:val="-2"/>
                <w:position w:val="-15"/>
                <w:sz w:val="18"/>
              </w:rPr>
              <w:t>often</w:t>
            </w:r>
            <w:r>
              <w:rPr>
                <w:color w:val="105C84"/>
                <w:position w:val="-15"/>
                <w:sz w:val="18"/>
              </w:rPr>
              <w:tab/>
            </w:r>
            <w:r>
              <w:rPr>
                <w:color w:val="105C84"/>
                <w:sz w:val="18"/>
              </w:rPr>
              <w:t>and</w:t>
            </w:r>
            <w:r>
              <w:rPr>
                <w:color w:val="105C84"/>
                <w:spacing w:val="-7"/>
                <w:sz w:val="18"/>
              </w:rPr>
              <w:t> </w:t>
            </w:r>
            <w:r>
              <w:rPr>
                <w:color w:val="105C84"/>
                <w:sz w:val="18"/>
              </w:rPr>
              <w:t>dairy</w:t>
            </w:r>
            <w:r>
              <w:rPr>
                <w:color w:val="105C84"/>
                <w:spacing w:val="-6"/>
                <w:sz w:val="18"/>
              </w:rPr>
              <w:t> </w:t>
            </w:r>
            <w:r>
              <w:rPr>
                <w:color w:val="105C84"/>
                <w:sz w:val="18"/>
              </w:rPr>
              <w:t>at</w:t>
            </w:r>
            <w:r>
              <w:rPr>
                <w:color w:val="105C84"/>
                <w:spacing w:val="-6"/>
                <w:sz w:val="18"/>
              </w:rPr>
              <w:t> </w:t>
            </w:r>
            <w:r>
              <w:rPr>
                <w:color w:val="105C84"/>
                <w:sz w:val="18"/>
              </w:rPr>
              <w:t>each</w:t>
            </w:r>
            <w:r>
              <w:rPr>
                <w:color w:val="105C84"/>
                <w:spacing w:val="-6"/>
                <w:sz w:val="18"/>
              </w:rPr>
              <w:t> </w:t>
            </w:r>
            <w:r>
              <w:rPr>
                <w:color w:val="105C84"/>
                <w:sz w:val="18"/>
              </w:rPr>
              <w:t>meal.</w:t>
            </w:r>
            <w:r>
              <w:rPr>
                <w:color w:val="105C84"/>
                <w:spacing w:val="-6"/>
                <w:sz w:val="18"/>
              </w:rPr>
              <w:t> </w:t>
            </w:r>
            <w:r>
              <w:rPr>
                <w:color w:val="105C84"/>
                <w:sz w:val="18"/>
              </w:rPr>
              <w:t>Allergies</w:t>
            </w:r>
            <w:r>
              <w:rPr>
                <w:color w:val="105C84"/>
                <w:spacing w:val="-6"/>
                <w:sz w:val="18"/>
              </w:rPr>
              <w:t> </w:t>
            </w:r>
            <w:r>
              <w:rPr>
                <w:color w:val="105C84"/>
                <w:spacing w:val="-5"/>
                <w:sz w:val="18"/>
              </w:rPr>
              <w:t>are</w:t>
            </w:r>
          </w:p>
          <w:p>
            <w:pPr>
              <w:pStyle w:val="TableParagraph"/>
              <w:spacing w:line="136" w:lineRule="exact"/>
              <w:ind w:right="400"/>
              <w:jc w:val="right"/>
              <w:rPr>
                <w:sz w:val="18"/>
              </w:rPr>
            </w:pPr>
            <w:r>
              <w:rPr>
                <w:color w:val="105C84"/>
                <w:spacing w:val="-2"/>
                <w:sz w:val="18"/>
              </w:rPr>
              <w:t>always</w:t>
            </w:r>
            <w:r>
              <w:rPr>
                <w:color w:val="105C84"/>
                <w:spacing w:val="2"/>
                <w:sz w:val="18"/>
              </w:rPr>
              <w:t> </w:t>
            </w:r>
            <w:r>
              <w:rPr>
                <w:color w:val="105C84"/>
                <w:spacing w:val="-2"/>
                <w:sz w:val="18"/>
              </w:rPr>
              <w:t>accommodated.</w:t>
            </w:r>
            <w:r>
              <w:rPr>
                <w:color w:val="105C84"/>
                <w:spacing w:val="3"/>
                <w:sz w:val="18"/>
              </w:rPr>
              <w:t> </w:t>
            </w:r>
            <w:r>
              <w:rPr>
                <w:color w:val="105C84"/>
                <w:spacing w:val="-2"/>
                <w:sz w:val="18"/>
              </w:rPr>
              <w:t>Families</w:t>
            </w:r>
            <w:r>
              <w:rPr>
                <w:color w:val="105C84"/>
                <w:spacing w:val="3"/>
                <w:sz w:val="18"/>
              </w:rPr>
              <w:t> </w:t>
            </w:r>
            <w:r>
              <w:rPr>
                <w:color w:val="105C84"/>
                <w:spacing w:val="-2"/>
                <w:sz w:val="18"/>
              </w:rPr>
              <w:t>receive</w:t>
            </w:r>
          </w:p>
          <w:p>
            <w:pPr>
              <w:pStyle w:val="TableParagraph"/>
              <w:numPr>
                <w:ilvl w:val="0"/>
                <w:numId w:val="40"/>
              </w:numPr>
              <w:tabs>
                <w:tab w:pos="275" w:val="left" w:leader="none"/>
                <w:tab w:pos="4650" w:val="left" w:leader="none"/>
              </w:tabs>
              <w:spacing w:line="225" w:lineRule="exact" w:before="0" w:after="0"/>
              <w:ind w:left="275" w:right="0" w:hanging="186"/>
              <w:jc w:val="left"/>
              <w:rPr>
                <w:color w:val="105C84"/>
                <w:position w:val="-4"/>
                <w:sz w:val="18"/>
              </w:rPr>
            </w:pPr>
            <w:r>
              <w:rPr>
                <w:color w:val="105C84"/>
                <w:position w:val="-4"/>
                <w:sz w:val="18"/>
              </w:rPr>
              <w:t>Create</w:t>
            </w:r>
            <w:r>
              <w:rPr>
                <w:color w:val="105C84"/>
                <w:spacing w:val="-10"/>
                <w:position w:val="-4"/>
                <w:sz w:val="18"/>
              </w:rPr>
              <w:t> </w:t>
            </w:r>
            <w:r>
              <w:rPr>
                <w:color w:val="105C84"/>
                <w:position w:val="-4"/>
                <w:sz w:val="18"/>
              </w:rPr>
              <w:t>or</w:t>
            </w:r>
            <w:r>
              <w:rPr>
                <w:color w:val="105C84"/>
                <w:spacing w:val="-9"/>
                <w:position w:val="-4"/>
                <w:sz w:val="18"/>
              </w:rPr>
              <w:t> </w:t>
            </w:r>
            <w:r>
              <w:rPr>
                <w:color w:val="105C84"/>
                <w:position w:val="-4"/>
                <w:sz w:val="18"/>
              </w:rPr>
              <w:t>enhance</w:t>
            </w:r>
            <w:r>
              <w:rPr>
                <w:color w:val="105C84"/>
                <w:spacing w:val="-9"/>
                <w:position w:val="-4"/>
                <w:sz w:val="18"/>
              </w:rPr>
              <w:t> </w:t>
            </w:r>
            <w:r>
              <w:rPr>
                <w:color w:val="105C84"/>
                <w:spacing w:val="-2"/>
                <w:position w:val="-4"/>
                <w:sz w:val="18"/>
              </w:rPr>
              <w:t>nutrition</w:t>
            </w:r>
            <w:r>
              <w:rPr>
                <w:color w:val="105C84"/>
                <w:position w:val="-4"/>
                <w:sz w:val="18"/>
              </w:rPr>
              <w:tab/>
            </w:r>
            <w:r>
              <w:rPr>
                <w:color w:val="105C84"/>
                <w:sz w:val="18"/>
              </w:rPr>
              <w:t>a</w:t>
            </w:r>
            <w:r>
              <w:rPr>
                <w:color w:val="105C84"/>
                <w:spacing w:val="-6"/>
                <w:sz w:val="18"/>
              </w:rPr>
              <w:t> </w:t>
            </w:r>
            <w:r>
              <w:rPr>
                <w:color w:val="105C84"/>
                <w:sz w:val="18"/>
              </w:rPr>
              <w:t>quarterly</w:t>
            </w:r>
            <w:r>
              <w:rPr>
                <w:color w:val="105C84"/>
                <w:spacing w:val="-5"/>
                <w:sz w:val="18"/>
              </w:rPr>
              <w:t> </w:t>
            </w:r>
            <w:r>
              <w:rPr>
                <w:color w:val="105C84"/>
                <w:sz w:val="18"/>
              </w:rPr>
              <w:t>newsletter</w:t>
            </w:r>
            <w:r>
              <w:rPr>
                <w:color w:val="105C84"/>
                <w:spacing w:val="-5"/>
                <w:sz w:val="18"/>
              </w:rPr>
              <w:t> </w:t>
            </w:r>
            <w:r>
              <w:rPr>
                <w:color w:val="105C84"/>
                <w:sz w:val="18"/>
              </w:rPr>
              <w:t>with</w:t>
            </w:r>
            <w:r>
              <w:rPr>
                <w:color w:val="105C84"/>
                <w:spacing w:val="-5"/>
                <w:sz w:val="18"/>
              </w:rPr>
              <w:t> </w:t>
            </w:r>
            <w:r>
              <w:rPr>
                <w:color w:val="105C84"/>
                <w:sz w:val="18"/>
              </w:rPr>
              <w:t>fresh</w:t>
            </w:r>
            <w:r>
              <w:rPr>
                <w:color w:val="105C84"/>
                <w:spacing w:val="-6"/>
                <w:sz w:val="18"/>
              </w:rPr>
              <w:t> </w:t>
            </w:r>
            <w:r>
              <w:rPr>
                <w:color w:val="105C84"/>
                <w:spacing w:val="-2"/>
                <w:sz w:val="18"/>
              </w:rPr>
              <w:t>healthy</w:t>
            </w:r>
          </w:p>
          <w:p>
            <w:pPr>
              <w:pStyle w:val="TableParagraph"/>
              <w:tabs>
                <w:tab w:pos="4650" w:val="left" w:leader="none"/>
              </w:tabs>
              <w:spacing w:line="160" w:lineRule="auto"/>
              <w:ind w:left="89"/>
              <w:rPr>
                <w:sz w:val="18"/>
              </w:rPr>
            </w:pPr>
            <w:r>
              <w:rPr>
                <w:color w:val="105C84"/>
                <w:position w:val="-4"/>
                <w:sz w:val="18"/>
              </w:rPr>
              <w:t>and</w:t>
            </w:r>
            <w:r>
              <w:rPr>
                <w:color w:val="105C84"/>
                <w:spacing w:val="-11"/>
                <w:position w:val="-4"/>
                <w:sz w:val="18"/>
              </w:rPr>
              <w:t> </w:t>
            </w:r>
            <w:r>
              <w:rPr>
                <w:color w:val="105C84"/>
                <w:position w:val="-4"/>
                <w:sz w:val="18"/>
              </w:rPr>
              <w:t>physical</w:t>
            </w:r>
            <w:r>
              <w:rPr>
                <w:color w:val="105C84"/>
                <w:spacing w:val="-10"/>
                <w:position w:val="-4"/>
                <w:sz w:val="18"/>
              </w:rPr>
              <w:t> </w:t>
            </w:r>
            <w:r>
              <w:rPr>
                <w:color w:val="105C84"/>
                <w:position w:val="-4"/>
                <w:sz w:val="18"/>
              </w:rPr>
              <w:t>activity</w:t>
            </w:r>
            <w:r>
              <w:rPr>
                <w:color w:val="105C84"/>
                <w:spacing w:val="-10"/>
                <w:position w:val="-4"/>
                <w:sz w:val="18"/>
              </w:rPr>
              <w:t> </w:t>
            </w:r>
            <w:r>
              <w:rPr>
                <w:color w:val="105C84"/>
                <w:spacing w:val="-2"/>
                <w:position w:val="-4"/>
                <w:sz w:val="18"/>
              </w:rPr>
              <w:t>policies</w:t>
            </w:r>
            <w:r>
              <w:rPr>
                <w:color w:val="105C84"/>
                <w:position w:val="-4"/>
                <w:sz w:val="18"/>
              </w:rPr>
              <w:tab/>
            </w:r>
            <w:r>
              <w:rPr>
                <w:color w:val="105C84"/>
                <w:sz w:val="18"/>
              </w:rPr>
              <w:t>recipes</w:t>
            </w:r>
            <w:r>
              <w:rPr>
                <w:color w:val="105C84"/>
                <w:spacing w:val="-3"/>
                <w:sz w:val="18"/>
              </w:rPr>
              <w:t> </w:t>
            </w:r>
            <w:r>
              <w:rPr>
                <w:color w:val="105C84"/>
                <w:sz w:val="18"/>
              </w:rPr>
              <w:t>on</w:t>
            </w:r>
            <w:r>
              <w:rPr>
                <w:color w:val="105C84"/>
                <w:spacing w:val="-2"/>
                <w:sz w:val="18"/>
              </w:rPr>
              <w:t> </w:t>
            </w:r>
            <w:r>
              <w:rPr>
                <w:color w:val="105C84"/>
                <w:sz w:val="18"/>
              </w:rPr>
              <w:t>a</w:t>
            </w:r>
            <w:r>
              <w:rPr>
                <w:color w:val="105C84"/>
                <w:spacing w:val="-2"/>
                <w:sz w:val="18"/>
              </w:rPr>
              <w:t> </w:t>
            </w:r>
            <w:r>
              <w:rPr>
                <w:color w:val="105C84"/>
                <w:sz w:val="18"/>
              </w:rPr>
              <w:t>budget.</w:t>
            </w:r>
            <w:r>
              <w:rPr>
                <w:color w:val="105C84"/>
                <w:spacing w:val="-2"/>
                <w:sz w:val="18"/>
              </w:rPr>
              <w:t> </w:t>
            </w:r>
            <w:r>
              <w:rPr>
                <w:color w:val="105C84"/>
                <w:sz w:val="18"/>
              </w:rPr>
              <w:t>They</w:t>
            </w:r>
            <w:r>
              <w:rPr>
                <w:color w:val="105C84"/>
                <w:spacing w:val="-3"/>
                <w:sz w:val="18"/>
              </w:rPr>
              <w:t> </w:t>
            </w:r>
            <w:r>
              <w:rPr>
                <w:color w:val="105C84"/>
                <w:sz w:val="18"/>
              </w:rPr>
              <w:t>are</w:t>
            </w:r>
            <w:r>
              <w:rPr>
                <w:color w:val="105C84"/>
                <w:spacing w:val="-2"/>
                <w:sz w:val="18"/>
              </w:rPr>
              <w:t> </w:t>
            </w:r>
            <w:r>
              <w:rPr>
                <w:color w:val="105C84"/>
                <w:sz w:val="18"/>
              </w:rPr>
              <w:t>invited</w:t>
            </w:r>
            <w:r>
              <w:rPr>
                <w:color w:val="105C84"/>
                <w:spacing w:val="-2"/>
                <w:sz w:val="18"/>
              </w:rPr>
              <w:t> </w:t>
            </w:r>
            <w:r>
              <w:rPr>
                <w:color w:val="105C84"/>
                <w:spacing w:val="-5"/>
                <w:sz w:val="18"/>
              </w:rPr>
              <w:t>to</w:t>
            </w:r>
          </w:p>
          <w:p>
            <w:pPr>
              <w:pStyle w:val="TableParagraph"/>
              <w:numPr>
                <w:ilvl w:val="0"/>
                <w:numId w:val="40"/>
              </w:numPr>
              <w:tabs>
                <w:tab w:pos="275" w:val="left" w:leader="none"/>
                <w:tab w:pos="4650" w:val="left" w:leader="none"/>
              </w:tabs>
              <w:spacing w:line="139" w:lineRule="auto" w:before="0" w:after="0"/>
              <w:ind w:left="275" w:right="0" w:hanging="186"/>
              <w:jc w:val="left"/>
              <w:rPr>
                <w:color w:val="105C84"/>
                <w:position w:val="-13"/>
                <w:sz w:val="18"/>
              </w:rPr>
            </w:pPr>
            <w:r>
              <w:rPr>
                <w:color w:val="105C84"/>
                <w:position w:val="-13"/>
                <w:sz w:val="18"/>
              </w:rPr>
              <w:t>Make</w:t>
            </w:r>
            <w:r>
              <w:rPr>
                <w:color w:val="105C84"/>
                <w:spacing w:val="-1"/>
                <w:position w:val="-13"/>
                <w:sz w:val="18"/>
              </w:rPr>
              <w:t> </w:t>
            </w:r>
            <w:r>
              <w:rPr>
                <w:color w:val="105C84"/>
                <w:position w:val="-13"/>
                <w:sz w:val="18"/>
              </w:rPr>
              <w:t>family-style dining</w:t>
            </w:r>
            <w:r>
              <w:rPr>
                <w:color w:val="105C84"/>
                <w:spacing w:val="-1"/>
                <w:position w:val="-13"/>
                <w:sz w:val="18"/>
              </w:rPr>
              <w:t> </w:t>
            </w:r>
            <w:r>
              <w:rPr>
                <w:color w:val="105C84"/>
                <w:spacing w:val="-5"/>
                <w:position w:val="-13"/>
                <w:sz w:val="18"/>
              </w:rPr>
              <w:t>an</w:t>
            </w:r>
            <w:r>
              <w:rPr>
                <w:color w:val="105C84"/>
                <w:position w:val="-13"/>
                <w:sz w:val="18"/>
              </w:rPr>
              <w:tab/>
            </w:r>
            <w:r>
              <w:rPr>
                <w:color w:val="105C84"/>
                <w:sz w:val="18"/>
              </w:rPr>
              <w:t>education events surrounding </w:t>
            </w:r>
            <w:r>
              <w:rPr>
                <w:color w:val="105C84"/>
                <w:spacing w:val="-2"/>
                <w:sz w:val="18"/>
              </w:rPr>
              <w:t>nutrition</w:t>
            </w:r>
          </w:p>
          <w:p>
            <w:pPr>
              <w:pStyle w:val="TableParagraph"/>
              <w:tabs>
                <w:tab w:pos="4650" w:val="left" w:leader="none"/>
              </w:tabs>
              <w:spacing w:line="134" w:lineRule="auto"/>
              <w:ind w:left="89"/>
              <w:rPr>
                <w:sz w:val="18"/>
              </w:rPr>
            </w:pPr>
            <w:r>
              <w:rPr>
                <w:color w:val="105C84"/>
                <w:spacing w:val="-2"/>
                <w:position w:val="-13"/>
                <w:sz w:val="18"/>
              </w:rPr>
              <w:t>everyday</w:t>
            </w:r>
            <w:r>
              <w:rPr>
                <w:color w:val="105C84"/>
                <w:spacing w:val="-10"/>
                <w:position w:val="-13"/>
                <w:sz w:val="18"/>
              </w:rPr>
              <w:t> </w:t>
            </w:r>
            <w:r>
              <w:rPr>
                <w:color w:val="105C84"/>
                <w:spacing w:val="-2"/>
                <w:position w:val="-13"/>
                <w:sz w:val="18"/>
              </w:rPr>
              <w:t>practice</w:t>
            </w:r>
            <w:r>
              <w:rPr>
                <w:color w:val="105C84"/>
                <w:position w:val="-13"/>
                <w:sz w:val="18"/>
              </w:rPr>
              <w:tab/>
            </w:r>
            <w:r>
              <w:rPr>
                <w:color w:val="105C84"/>
                <w:sz w:val="18"/>
              </w:rPr>
              <w:t>&amp;</w:t>
            </w:r>
            <w:r>
              <w:rPr>
                <w:color w:val="105C84"/>
                <w:spacing w:val="-7"/>
                <w:sz w:val="18"/>
              </w:rPr>
              <w:t> </w:t>
            </w:r>
            <w:r>
              <w:rPr>
                <w:color w:val="105C84"/>
                <w:sz w:val="18"/>
              </w:rPr>
              <w:t>health.</w:t>
            </w:r>
            <w:r>
              <w:rPr>
                <w:color w:val="105C84"/>
                <w:spacing w:val="-6"/>
                <w:sz w:val="18"/>
              </w:rPr>
              <w:t> </w:t>
            </w:r>
            <w:r>
              <w:rPr>
                <w:color w:val="105C84"/>
                <w:sz w:val="18"/>
              </w:rPr>
              <w:t>We</w:t>
            </w:r>
            <w:r>
              <w:rPr>
                <w:color w:val="105C84"/>
                <w:spacing w:val="-6"/>
                <w:sz w:val="18"/>
              </w:rPr>
              <w:t> </w:t>
            </w:r>
            <w:r>
              <w:rPr>
                <w:color w:val="105C84"/>
                <w:sz w:val="18"/>
              </w:rPr>
              <w:t>recently</w:t>
            </w:r>
            <w:r>
              <w:rPr>
                <w:color w:val="105C84"/>
                <w:spacing w:val="-6"/>
                <w:sz w:val="18"/>
              </w:rPr>
              <w:t> </w:t>
            </w:r>
            <w:r>
              <w:rPr>
                <w:color w:val="105C84"/>
                <w:sz w:val="18"/>
              </w:rPr>
              <w:t>hosted</w:t>
            </w:r>
            <w:r>
              <w:rPr>
                <w:color w:val="105C84"/>
                <w:spacing w:val="-6"/>
                <w:sz w:val="18"/>
              </w:rPr>
              <w:t> </w:t>
            </w:r>
            <w:r>
              <w:rPr>
                <w:color w:val="105C84"/>
                <w:sz w:val="18"/>
              </w:rPr>
              <w:t>Dr.</w:t>
            </w:r>
            <w:r>
              <w:rPr>
                <w:color w:val="105C84"/>
                <w:spacing w:val="-6"/>
                <w:sz w:val="18"/>
              </w:rPr>
              <w:t> </w:t>
            </w:r>
            <w:r>
              <w:rPr>
                <w:color w:val="105C84"/>
                <w:spacing w:val="-4"/>
                <w:sz w:val="18"/>
              </w:rPr>
              <w:t>Zama</w:t>
            </w:r>
          </w:p>
          <w:p>
            <w:pPr>
              <w:pStyle w:val="TableParagraph"/>
              <w:spacing w:line="135" w:lineRule="exact"/>
              <w:ind w:left="4650"/>
              <w:rPr>
                <w:sz w:val="18"/>
              </w:rPr>
            </w:pPr>
            <w:r>
              <w:rPr>
                <w:color w:val="105C84"/>
                <w:sz w:val="18"/>
              </w:rPr>
              <w:t>with</w:t>
            </w:r>
            <w:r>
              <w:rPr>
                <w:color w:val="105C84"/>
                <w:spacing w:val="-3"/>
                <w:sz w:val="18"/>
              </w:rPr>
              <w:t> </w:t>
            </w:r>
            <w:r>
              <w:rPr>
                <w:color w:val="105C84"/>
                <w:sz w:val="18"/>
              </w:rPr>
              <w:t>Arnot</w:t>
            </w:r>
            <w:r>
              <w:rPr>
                <w:color w:val="105C84"/>
                <w:spacing w:val="-3"/>
                <w:sz w:val="18"/>
              </w:rPr>
              <w:t> </w:t>
            </w:r>
            <w:r>
              <w:rPr>
                <w:color w:val="105C84"/>
                <w:sz w:val="18"/>
              </w:rPr>
              <w:t>Health</w:t>
            </w:r>
            <w:r>
              <w:rPr>
                <w:color w:val="105C84"/>
                <w:spacing w:val="-2"/>
                <w:sz w:val="18"/>
              </w:rPr>
              <w:t> </w:t>
            </w:r>
            <w:r>
              <w:rPr>
                <w:color w:val="105C84"/>
                <w:sz w:val="18"/>
              </w:rPr>
              <w:t>who</w:t>
            </w:r>
            <w:r>
              <w:rPr>
                <w:color w:val="105C84"/>
                <w:spacing w:val="-3"/>
                <w:sz w:val="18"/>
              </w:rPr>
              <w:t> </w:t>
            </w:r>
            <w:r>
              <w:rPr>
                <w:color w:val="105C84"/>
                <w:sz w:val="18"/>
              </w:rPr>
              <w:t>discussed</w:t>
            </w:r>
            <w:r>
              <w:rPr>
                <w:color w:val="105C84"/>
                <w:spacing w:val="-2"/>
                <w:sz w:val="18"/>
              </w:rPr>
              <w:t> Heart</w:t>
            </w:r>
          </w:p>
          <w:p>
            <w:pPr>
              <w:pStyle w:val="TableParagraph"/>
              <w:numPr>
                <w:ilvl w:val="0"/>
                <w:numId w:val="40"/>
              </w:numPr>
              <w:tabs>
                <w:tab w:pos="275" w:val="left" w:leader="none"/>
                <w:tab w:pos="4650" w:val="left" w:leader="none"/>
              </w:tabs>
              <w:spacing w:line="215" w:lineRule="exact" w:before="0" w:after="0"/>
              <w:ind w:left="275" w:right="0" w:hanging="186"/>
              <w:jc w:val="left"/>
              <w:rPr>
                <w:color w:val="105C84"/>
                <w:position w:val="-2"/>
                <w:sz w:val="18"/>
              </w:rPr>
            </w:pPr>
            <w:r>
              <w:rPr>
                <w:color w:val="105C84"/>
                <w:position w:val="-2"/>
                <w:sz w:val="18"/>
              </w:rPr>
              <w:t>and</w:t>
            </w:r>
            <w:r>
              <w:rPr>
                <w:color w:val="105C84"/>
                <w:spacing w:val="-3"/>
                <w:position w:val="-2"/>
                <w:sz w:val="18"/>
              </w:rPr>
              <w:t> </w:t>
            </w:r>
            <w:r>
              <w:rPr>
                <w:color w:val="105C84"/>
                <w:position w:val="-2"/>
                <w:sz w:val="18"/>
              </w:rPr>
              <w:t>provides</w:t>
            </w:r>
            <w:r>
              <w:rPr>
                <w:color w:val="105C84"/>
                <w:spacing w:val="-2"/>
                <w:position w:val="-2"/>
                <w:sz w:val="18"/>
              </w:rPr>
              <w:t> education</w:t>
            </w:r>
            <w:r>
              <w:rPr>
                <w:color w:val="105C84"/>
                <w:position w:val="-2"/>
                <w:sz w:val="18"/>
              </w:rPr>
              <w:tab/>
            </w:r>
            <w:r>
              <w:rPr>
                <w:color w:val="105C84"/>
                <w:sz w:val="18"/>
              </w:rPr>
              <w:t>Health.</w:t>
            </w:r>
            <w:r>
              <w:rPr>
                <w:color w:val="105C84"/>
                <w:spacing w:val="-4"/>
                <w:sz w:val="18"/>
              </w:rPr>
              <w:t> </w:t>
            </w:r>
            <w:r>
              <w:rPr>
                <w:color w:val="105C84"/>
                <w:sz w:val="18"/>
              </w:rPr>
              <w:t>Our</w:t>
            </w:r>
            <w:r>
              <w:rPr>
                <w:color w:val="105C84"/>
                <w:spacing w:val="-4"/>
                <w:sz w:val="18"/>
              </w:rPr>
              <w:t> </w:t>
            </w:r>
            <w:r>
              <w:rPr>
                <w:color w:val="105C84"/>
                <w:sz w:val="18"/>
              </w:rPr>
              <w:t>Health</w:t>
            </w:r>
            <w:r>
              <w:rPr>
                <w:color w:val="105C84"/>
                <w:spacing w:val="-3"/>
                <w:sz w:val="18"/>
              </w:rPr>
              <w:t> </w:t>
            </w:r>
            <w:r>
              <w:rPr>
                <w:color w:val="105C84"/>
                <w:sz w:val="18"/>
              </w:rPr>
              <w:t>Educator</w:t>
            </w:r>
            <w:r>
              <w:rPr>
                <w:color w:val="105C84"/>
                <w:spacing w:val="-4"/>
                <w:sz w:val="18"/>
              </w:rPr>
              <w:t> </w:t>
            </w:r>
            <w:r>
              <w:rPr>
                <w:color w:val="105C84"/>
                <w:sz w:val="18"/>
              </w:rPr>
              <w:t>also</w:t>
            </w:r>
            <w:r>
              <w:rPr>
                <w:color w:val="105C84"/>
                <w:spacing w:val="-4"/>
                <w:sz w:val="18"/>
              </w:rPr>
              <w:t> </w:t>
            </w:r>
            <w:r>
              <w:rPr>
                <w:color w:val="105C84"/>
                <w:spacing w:val="-2"/>
                <w:sz w:val="18"/>
              </w:rPr>
              <w:t>attends</w:t>
            </w:r>
          </w:p>
          <w:p>
            <w:pPr>
              <w:pStyle w:val="TableParagraph"/>
              <w:tabs>
                <w:tab w:pos="4650" w:val="left" w:leader="none"/>
              </w:tabs>
              <w:spacing w:line="220" w:lineRule="auto"/>
              <w:ind w:left="4650" w:right="323" w:hanging="4562"/>
              <w:rPr>
                <w:sz w:val="18"/>
              </w:rPr>
            </w:pPr>
            <w:r>
              <w:rPr>
                <w:color w:val="105C84"/>
                <w:position w:val="-2"/>
                <w:sz w:val="18"/>
              </w:rPr>
              <w:t>workshops/trainings for families</w:t>
              <w:tab/>
            </w:r>
            <w:r>
              <w:rPr>
                <w:color w:val="105C84"/>
                <w:sz w:val="18"/>
              </w:rPr>
              <w:t>monthly meetings with the parents and delivers</w:t>
            </w:r>
            <w:r>
              <w:rPr>
                <w:color w:val="105C84"/>
                <w:spacing w:val="-3"/>
                <w:sz w:val="18"/>
              </w:rPr>
              <w:t> </w:t>
            </w:r>
            <w:r>
              <w:rPr>
                <w:color w:val="105C84"/>
                <w:sz w:val="18"/>
              </w:rPr>
              <w:t>health</w:t>
            </w:r>
            <w:r>
              <w:rPr>
                <w:color w:val="105C84"/>
                <w:spacing w:val="-3"/>
                <w:sz w:val="18"/>
              </w:rPr>
              <w:t> </w:t>
            </w:r>
            <w:r>
              <w:rPr>
                <w:color w:val="105C84"/>
                <w:sz w:val="18"/>
              </w:rPr>
              <w:t>information</w:t>
            </w:r>
            <w:r>
              <w:rPr>
                <w:color w:val="105C84"/>
                <w:spacing w:val="-3"/>
                <w:sz w:val="18"/>
              </w:rPr>
              <w:t> </w:t>
            </w:r>
            <w:r>
              <w:rPr>
                <w:color w:val="105C84"/>
                <w:sz w:val="18"/>
              </w:rPr>
              <w:t>that</w:t>
            </w:r>
            <w:r>
              <w:rPr>
                <w:color w:val="105C84"/>
                <w:spacing w:val="-3"/>
                <w:sz w:val="18"/>
              </w:rPr>
              <w:t> </w:t>
            </w:r>
            <w:r>
              <w:rPr>
                <w:color w:val="105C84"/>
                <w:sz w:val="18"/>
              </w:rPr>
              <w:t>is</w:t>
            </w:r>
            <w:r>
              <w:rPr>
                <w:color w:val="105C84"/>
                <w:spacing w:val="-3"/>
                <w:sz w:val="18"/>
              </w:rPr>
              <w:t> </w:t>
            </w:r>
            <w:r>
              <w:rPr>
                <w:color w:val="105C84"/>
                <w:sz w:val="18"/>
              </w:rPr>
              <w:t>current and</w:t>
            </w:r>
            <w:r>
              <w:rPr>
                <w:color w:val="105C84"/>
                <w:spacing w:val="-9"/>
                <w:sz w:val="18"/>
              </w:rPr>
              <w:t> </w:t>
            </w:r>
            <w:r>
              <w:rPr>
                <w:color w:val="105C84"/>
                <w:sz w:val="18"/>
              </w:rPr>
              <w:t>addresses</w:t>
            </w:r>
            <w:r>
              <w:rPr>
                <w:color w:val="105C84"/>
                <w:spacing w:val="-9"/>
                <w:sz w:val="18"/>
              </w:rPr>
              <w:t> </w:t>
            </w:r>
            <w:r>
              <w:rPr>
                <w:color w:val="105C84"/>
                <w:sz w:val="18"/>
              </w:rPr>
              <w:t>issues</w:t>
            </w:r>
            <w:r>
              <w:rPr>
                <w:color w:val="105C84"/>
                <w:spacing w:val="-9"/>
                <w:sz w:val="18"/>
              </w:rPr>
              <w:t> </w:t>
            </w:r>
            <w:r>
              <w:rPr>
                <w:color w:val="105C84"/>
                <w:sz w:val="18"/>
              </w:rPr>
              <w:t>they</w:t>
            </w:r>
            <w:r>
              <w:rPr>
                <w:color w:val="105C84"/>
                <w:spacing w:val="-9"/>
                <w:sz w:val="18"/>
              </w:rPr>
              <w:t> </w:t>
            </w:r>
            <w:r>
              <w:rPr>
                <w:color w:val="105C84"/>
                <w:sz w:val="18"/>
              </w:rPr>
              <w:t>may</w:t>
            </w:r>
            <w:r>
              <w:rPr>
                <w:color w:val="105C84"/>
                <w:spacing w:val="-9"/>
                <w:sz w:val="18"/>
              </w:rPr>
              <w:t> </w:t>
            </w:r>
            <w:r>
              <w:rPr>
                <w:color w:val="105C84"/>
                <w:sz w:val="18"/>
              </w:rPr>
              <w:t>have</w:t>
            </w:r>
            <w:r>
              <w:rPr>
                <w:color w:val="105C84"/>
                <w:spacing w:val="-9"/>
                <w:sz w:val="18"/>
              </w:rPr>
              <w:t> </w:t>
            </w:r>
            <w:r>
              <w:rPr>
                <w:color w:val="105C84"/>
                <w:sz w:val="18"/>
              </w:rPr>
              <w:t>(for example changes with immunizations)</w:t>
            </w:r>
          </w:p>
        </w:tc>
        <w:tc>
          <w:tcPr>
            <w:tcW w:w="1742" w:type="dxa"/>
          </w:tcPr>
          <w:p>
            <w:pPr>
              <w:pStyle w:val="TableParagraph"/>
              <w:spacing w:line="232" w:lineRule="auto" w:before="99"/>
              <w:ind w:left="89" w:right="385"/>
              <w:rPr>
                <w:sz w:val="18"/>
              </w:rPr>
            </w:pPr>
            <w:r>
              <w:rPr>
                <w:color w:val="105C84"/>
                <w:sz w:val="18"/>
              </w:rPr>
              <w:t>We would like to increase the physical</w:t>
            </w:r>
            <w:r>
              <w:rPr>
                <w:color w:val="105C84"/>
                <w:spacing w:val="-13"/>
                <w:sz w:val="18"/>
              </w:rPr>
              <w:t> </w:t>
            </w:r>
            <w:r>
              <w:rPr>
                <w:color w:val="105C84"/>
                <w:sz w:val="18"/>
              </w:rPr>
              <w:t>activity to</w:t>
            </w:r>
            <w:r>
              <w:rPr>
                <w:color w:val="105C84"/>
                <w:spacing w:val="-10"/>
                <w:sz w:val="18"/>
              </w:rPr>
              <w:t> </w:t>
            </w:r>
            <w:r>
              <w:rPr>
                <w:color w:val="105C84"/>
                <w:sz w:val="18"/>
              </w:rPr>
              <w:t>1.5</w:t>
            </w:r>
            <w:r>
              <w:rPr>
                <w:color w:val="105C84"/>
                <w:spacing w:val="-7"/>
                <w:sz w:val="18"/>
              </w:rPr>
              <w:t> </w:t>
            </w:r>
            <w:r>
              <w:rPr>
                <w:color w:val="105C84"/>
                <w:sz w:val="18"/>
              </w:rPr>
              <w:t>hours</w:t>
            </w:r>
            <w:r>
              <w:rPr>
                <w:color w:val="105C84"/>
                <w:spacing w:val="-7"/>
                <w:sz w:val="18"/>
              </w:rPr>
              <w:t> </w:t>
            </w:r>
            <w:r>
              <w:rPr>
                <w:color w:val="105C84"/>
                <w:spacing w:val="-5"/>
                <w:sz w:val="18"/>
              </w:rPr>
              <w:t>per</w:t>
            </w:r>
          </w:p>
          <w:p>
            <w:pPr>
              <w:pStyle w:val="TableParagraph"/>
              <w:spacing w:line="232" w:lineRule="auto"/>
              <w:ind w:left="89" w:right="152"/>
              <w:jc w:val="both"/>
              <w:rPr>
                <w:sz w:val="18"/>
              </w:rPr>
            </w:pPr>
            <w:r>
              <w:rPr>
                <w:color w:val="105C84"/>
                <w:sz w:val="18"/>
              </w:rPr>
              <w:t>day and increase Zumba Kids Jr. to 2 times per week as well as explore other</w:t>
            </w:r>
            <w:r>
              <w:rPr>
                <w:color w:val="105C84"/>
                <w:spacing w:val="12"/>
                <w:sz w:val="18"/>
              </w:rPr>
              <w:t> </w:t>
            </w:r>
            <w:r>
              <w:rPr>
                <w:color w:val="105C84"/>
                <w:sz w:val="18"/>
              </w:rPr>
              <w:t>options</w:t>
            </w:r>
            <w:r>
              <w:rPr>
                <w:color w:val="105C84"/>
                <w:spacing w:val="12"/>
                <w:sz w:val="18"/>
              </w:rPr>
              <w:t> </w:t>
            </w:r>
            <w:r>
              <w:rPr>
                <w:color w:val="105C84"/>
                <w:spacing w:val="-5"/>
                <w:sz w:val="18"/>
              </w:rPr>
              <w:t>such</w:t>
            </w:r>
          </w:p>
          <w:p>
            <w:pPr>
              <w:pStyle w:val="TableParagraph"/>
              <w:spacing w:line="232" w:lineRule="auto"/>
              <w:ind w:left="89" w:right="116"/>
              <w:jc w:val="both"/>
              <w:rPr>
                <w:sz w:val="18"/>
              </w:rPr>
            </w:pPr>
            <w:r>
              <w:rPr>
                <w:color w:val="105C84"/>
                <w:spacing w:val="-4"/>
                <w:sz w:val="18"/>
              </w:rPr>
              <w:t>as</w:t>
            </w:r>
            <w:r>
              <w:rPr>
                <w:color w:val="105C84"/>
                <w:spacing w:val="-11"/>
                <w:sz w:val="18"/>
              </w:rPr>
              <w:t> </w:t>
            </w:r>
            <w:r>
              <w:rPr>
                <w:color w:val="105C84"/>
                <w:spacing w:val="-4"/>
                <w:sz w:val="18"/>
              </w:rPr>
              <w:t>children’s</w:t>
            </w:r>
            <w:r>
              <w:rPr>
                <w:color w:val="105C84"/>
                <w:spacing w:val="-8"/>
                <w:sz w:val="18"/>
              </w:rPr>
              <w:t> </w:t>
            </w:r>
            <w:r>
              <w:rPr>
                <w:color w:val="105C84"/>
                <w:spacing w:val="-4"/>
                <w:sz w:val="18"/>
              </w:rPr>
              <w:t>YOGA </w:t>
            </w:r>
            <w:r>
              <w:rPr>
                <w:color w:val="105C84"/>
                <w:sz w:val="18"/>
              </w:rPr>
              <w:t>and Mindfulness</w:t>
            </w:r>
          </w:p>
        </w:tc>
        <w:tc>
          <w:tcPr>
            <w:tcW w:w="1585" w:type="dxa"/>
          </w:tcPr>
          <w:p>
            <w:pPr>
              <w:pStyle w:val="TableParagraph"/>
              <w:spacing w:line="232" w:lineRule="auto" w:before="99"/>
              <w:ind w:left="89" w:right="228"/>
              <w:rPr>
                <w:sz w:val="18"/>
              </w:rPr>
            </w:pPr>
            <w:r>
              <w:rPr>
                <w:color w:val="105C84"/>
                <w:sz w:val="18"/>
              </w:rPr>
              <w:t>We would like to increase the physical</w:t>
            </w:r>
            <w:r>
              <w:rPr>
                <w:color w:val="105C84"/>
                <w:spacing w:val="-13"/>
                <w:sz w:val="18"/>
              </w:rPr>
              <w:t> </w:t>
            </w:r>
            <w:r>
              <w:rPr>
                <w:color w:val="105C84"/>
                <w:sz w:val="18"/>
              </w:rPr>
              <w:t>activity to</w:t>
            </w:r>
            <w:r>
              <w:rPr>
                <w:color w:val="105C84"/>
                <w:spacing w:val="-10"/>
                <w:sz w:val="18"/>
              </w:rPr>
              <w:t> </w:t>
            </w:r>
            <w:r>
              <w:rPr>
                <w:color w:val="105C84"/>
                <w:sz w:val="18"/>
              </w:rPr>
              <w:t>1.5</w:t>
            </w:r>
            <w:r>
              <w:rPr>
                <w:color w:val="105C84"/>
                <w:spacing w:val="-7"/>
                <w:sz w:val="18"/>
              </w:rPr>
              <w:t> </w:t>
            </w:r>
            <w:r>
              <w:rPr>
                <w:color w:val="105C84"/>
                <w:sz w:val="18"/>
              </w:rPr>
              <w:t>hours</w:t>
            </w:r>
            <w:r>
              <w:rPr>
                <w:color w:val="105C84"/>
                <w:spacing w:val="-7"/>
                <w:sz w:val="18"/>
              </w:rPr>
              <w:t> </w:t>
            </w:r>
            <w:r>
              <w:rPr>
                <w:color w:val="105C84"/>
                <w:spacing w:val="-5"/>
                <w:sz w:val="18"/>
              </w:rPr>
              <w:t>per</w:t>
            </w:r>
          </w:p>
          <w:p>
            <w:pPr>
              <w:pStyle w:val="TableParagraph"/>
              <w:spacing w:line="232" w:lineRule="auto"/>
              <w:ind w:left="89" w:right="85"/>
              <w:rPr>
                <w:sz w:val="18"/>
              </w:rPr>
            </w:pPr>
            <w:r>
              <w:rPr>
                <w:color w:val="105C84"/>
                <w:sz w:val="18"/>
              </w:rPr>
              <w:t>day</w:t>
            </w:r>
            <w:r>
              <w:rPr>
                <w:color w:val="105C84"/>
                <w:spacing w:val="-6"/>
                <w:sz w:val="18"/>
              </w:rPr>
              <w:t> </w:t>
            </w:r>
            <w:r>
              <w:rPr>
                <w:color w:val="105C84"/>
                <w:sz w:val="18"/>
              </w:rPr>
              <w:t>and</w:t>
            </w:r>
            <w:r>
              <w:rPr>
                <w:color w:val="105C84"/>
                <w:spacing w:val="-6"/>
                <w:sz w:val="18"/>
              </w:rPr>
              <w:t> </w:t>
            </w:r>
            <w:r>
              <w:rPr>
                <w:color w:val="105C84"/>
                <w:sz w:val="18"/>
              </w:rPr>
              <w:t>increase Zumba</w:t>
            </w:r>
            <w:r>
              <w:rPr>
                <w:color w:val="105C84"/>
                <w:spacing w:val="-13"/>
                <w:sz w:val="18"/>
              </w:rPr>
              <w:t> </w:t>
            </w:r>
            <w:r>
              <w:rPr>
                <w:color w:val="105C84"/>
                <w:sz w:val="18"/>
              </w:rPr>
              <w:t>Kids</w:t>
            </w:r>
            <w:r>
              <w:rPr>
                <w:color w:val="105C84"/>
                <w:spacing w:val="-12"/>
                <w:sz w:val="18"/>
              </w:rPr>
              <w:t> </w:t>
            </w:r>
            <w:r>
              <w:rPr>
                <w:color w:val="105C84"/>
                <w:sz w:val="18"/>
              </w:rPr>
              <w:t>Jr.</w:t>
            </w:r>
            <w:r>
              <w:rPr>
                <w:color w:val="105C84"/>
                <w:spacing w:val="-13"/>
                <w:sz w:val="18"/>
              </w:rPr>
              <w:t> </w:t>
            </w:r>
            <w:r>
              <w:rPr>
                <w:color w:val="105C84"/>
                <w:sz w:val="18"/>
              </w:rPr>
              <w:t>to 3 times per week </w:t>
            </w:r>
            <w:r>
              <w:rPr>
                <w:color w:val="105C84"/>
                <w:spacing w:val="-2"/>
                <w:sz w:val="18"/>
              </w:rPr>
              <w:t>as</w:t>
            </w:r>
            <w:r>
              <w:rPr>
                <w:color w:val="105C84"/>
                <w:spacing w:val="-11"/>
                <w:sz w:val="18"/>
              </w:rPr>
              <w:t> </w:t>
            </w:r>
            <w:r>
              <w:rPr>
                <w:color w:val="105C84"/>
                <w:spacing w:val="-2"/>
                <w:sz w:val="18"/>
              </w:rPr>
              <w:t>well</w:t>
            </w:r>
            <w:r>
              <w:rPr>
                <w:color w:val="105C84"/>
                <w:spacing w:val="-10"/>
                <w:sz w:val="18"/>
              </w:rPr>
              <w:t> </w:t>
            </w:r>
            <w:r>
              <w:rPr>
                <w:color w:val="105C84"/>
                <w:spacing w:val="-2"/>
                <w:sz w:val="18"/>
              </w:rPr>
              <w:t>as</w:t>
            </w:r>
            <w:r>
              <w:rPr>
                <w:color w:val="105C84"/>
                <w:spacing w:val="-11"/>
                <w:sz w:val="18"/>
              </w:rPr>
              <w:t> </w:t>
            </w:r>
            <w:r>
              <w:rPr>
                <w:color w:val="105C84"/>
                <w:spacing w:val="-2"/>
                <w:sz w:val="18"/>
              </w:rPr>
              <w:t>explore </w:t>
            </w:r>
            <w:r>
              <w:rPr>
                <w:color w:val="105C84"/>
                <w:sz w:val="18"/>
              </w:rPr>
              <w:t>other options </w:t>
            </w:r>
            <w:r>
              <w:rPr>
                <w:color w:val="105C84"/>
                <w:spacing w:val="-2"/>
                <w:sz w:val="18"/>
              </w:rPr>
              <w:t>such</w:t>
            </w:r>
            <w:r>
              <w:rPr>
                <w:color w:val="105C84"/>
                <w:spacing w:val="-13"/>
                <w:sz w:val="18"/>
              </w:rPr>
              <w:t> </w:t>
            </w:r>
            <w:r>
              <w:rPr>
                <w:color w:val="105C84"/>
                <w:spacing w:val="-2"/>
                <w:sz w:val="18"/>
              </w:rPr>
              <w:t>as</w:t>
            </w:r>
            <w:r>
              <w:rPr>
                <w:color w:val="105C84"/>
                <w:spacing w:val="-10"/>
                <w:sz w:val="18"/>
              </w:rPr>
              <w:t> </w:t>
            </w:r>
            <w:r>
              <w:rPr>
                <w:color w:val="105C84"/>
                <w:spacing w:val="-2"/>
                <w:sz w:val="18"/>
              </w:rPr>
              <w:t>children’s </w:t>
            </w:r>
            <w:r>
              <w:rPr>
                <w:color w:val="105C84"/>
                <w:sz w:val="18"/>
              </w:rPr>
              <w:t>YOGA and </w:t>
            </w:r>
            <w:r>
              <w:rPr>
                <w:color w:val="105C84"/>
                <w:spacing w:val="-2"/>
                <w:sz w:val="18"/>
              </w:rPr>
              <w:t>Mindfulness</w:t>
            </w:r>
          </w:p>
        </w:tc>
        <w:tc>
          <w:tcPr>
            <w:tcW w:w="1661" w:type="dxa"/>
          </w:tcPr>
          <w:p>
            <w:pPr>
              <w:pStyle w:val="TableParagraph"/>
              <w:spacing w:before="93"/>
              <w:ind w:left="90"/>
              <w:rPr>
                <w:sz w:val="18"/>
              </w:rPr>
            </w:pPr>
            <w:r>
              <w:rPr>
                <w:color w:val="105C84"/>
                <w:spacing w:val="-2"/>
                <w:sz w:val="18"/>
              </w:rPr>
              <w:t>Headstart</w:t>
            </w:r>
          </w:p>
        </w:tc>
        <w:tc>
          <w:tcPr>
            <w:tcW w:w="1485" w:type="dxa"/>
          </w:tcPr>
          <w:p>
            <w:pPr>
              <w:pStyle w:val="TableParagraph"/>
              <w:spacing w:line="203" w:lineRule="exact" w:before="93"/>
              <w:ind w:left="91"/>
              <w:rPr>
                <w:sz w:val="18"/>
              </w:rPr>
            </w:pPr>
            <w:r>
              <w:rPr>
                <w:color w:val="105C84"/>
                <w:spacing w:val="-5"/>
                <w:sz w:val="18"/>
              </w:rPr>
              <w:t>EOP</w:t>
            </w:r>
          </w:p>
          <w:p>
            <w:pPr>
              <w:pStyle w:val="TableParagraph"/>
              <w:spacing w:line="232" w:lineRule="auto" w:before="2"/>
              <w:ind w:left="91" w:right="106"/>
              <w:rPr>
                <w:sz w:val="18"/>
              </w:rPr>
            </w:pPr>
            <w:r>
              <w:rPr>
                <w:color w:val="105C84"/>
                <w:sz w:val="18"/>
              </w:rPr>
              <w:t>responsible for </w:t>
            </w:r>
            <w:r>
              <w:rPr>
                <w:color w:val="105C84"/>
                <w:spacing w:val="-2"/>
                <w:sz w:val="18"/>
              </w:rPr>
              <w:t>intervention providing </w:t>
            </w:r>
            <w:r>
              <w:rPr>
                <w:color w:val="105C84"/>
                <w:sz w:val="18"/>
              </w:rPr>
              <w:t>needed staff and resources to meet measures with assistance</w:t>
            </w:r>
            <w:r>
              <w:rPr>
                <w:color w:val="105C84"/>
                <w:spacing w:val="-13"/>
                <w:sz w:val="18"/>
              </w:rPr>
              <w:t> </w:t>
            </w:r>
            <w:r>
              <w:rPr>
                <w:color w:val="105C84"/>
                <w:sz w:val="18"/>
              </w:rPr>
              <w:t>from Health</w:t>
            </w:r>
            <w:r>
              <w:rPr>
                <w:color w:val="105C84"/>
                <w:spacing w:val="-13"/>
                <w:sz w:val="18"/>
              </w:rPr>
              <w:t> </w:t>
            </w:r>
            <w:r>
              <w:rPr>
                <w:color w:val="105C84"/>
                <w:sz w:val="18"/>
              </w:rPr>
              <w:t>Priorities Partners as </w:t>
            </w:r>
            <w:r>
              <w:rPr>
                <w:color w:val="105C84"/>
                <w:spacing w:val="-2"/>
                <w:sz w:val="18"/>
              </w:rPr>
              <w:t>needed</w:t>
            </w:r>
          </w:p>
        </w:tc>
      </w:tr>
    </w:tbl>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150"/>
        <w:rPr>
          <w:b/>
          <w:sz w:val="26"/>
        </w:rPr>
      </w:pPr>
    </w:p>
    <w:p>
      <w:pPr>
        <w:tabs>
          <w:tab w:pos="23047" w:val="left" w:leader="none"/>
        </w:tabs>
        <w:spacing w:before="0"/>
        <w:ind w:left="0" w:right="0" w:firstLine="0"/>
        <w:jc w:val="left"/>
        <w:rPr>
          <w:b/>
          <w:sz w:val="26"/>
        </w:rPr>
      </w:pPr>
      <w:r>
        <w:rPr>
          <w:position w:val="-4"/>
        </w:rPr>
        <w:drawing>
          <wp:inline distT="0" distB="0" distL="0" distR="0">
            <wp:extent cx="568172" cy="184683"/>
            <wp:effectExtent l="0" t="0" r="0" b="0"/>
            <wp:docPr id="1717" name="Image 1717"/>
            <wp:cNvGraphicFramePr>
              <a:graphicFrameLocks/>
            </wp:cNvGraphicFramePr>
            <a:graphic>
              <a:graphicData uri="http://schemas.openxmlformats.org/drawingml/2006/picture">
                <pic:pic>
                  <pic:nvPicPr>
                    <pic:cNvPr id="1717" name="Image 1717"/>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13"/>
          <w:sz w:val="20"/>
        </w:rPr>
        <w:t> </w:t>
      </w:r>
      <w:r>
        <w:rPr>
          <w:b/>
          <w:color w:val="939598"/>
          <w:w w:val="105"/>
          <w:sz w:val="26"/>
        </w:rPr>
        <w:t>113</w:t>
      </w:r>
      <w:r>
        <w:rPr>
          <w:b/>
          <w:color w:val="939598"/>
          <w:sz w:val="26"/>
        </w:rPr>
        <w:tab/>
      </w:r>
      <w:r>
        <w:rPr>
          <w:b/>
          <w:color w:val="939598"/>
          <w:spacing w:val="-5"/>
          <w:w w:val="105"/>
          <w:sz w:val="26"/>
        </w:rPr>
        <w:t>114</w:t>
      </w:r>
    </w:p>
    <w:p>
      <w:pPr>
        <w:spacing w:after="0"/>
        <w:jc w:val="left"/>
        <w:rPr>
          <w:b/>
          <w:sz w:val="26"/>
        </w:rPr>
        <w:sectPr>
          <w:pgSz w:w="24480" w:h="15840" w:orient="landscape"/>
          <w:pgMar w:header="0" w:footer="0" w:top="860" w:bottom="0" w:left="0" w:right="720"/>
        </w:sectPr>
      </w:pPr>
    </w:p>
    <w:p>
      <w:pPr>
        <w:spacing w:before="607"/>
        <w:ind w:left="1089" w:right="0" w:firstLine="0"/>
        <w:jc w:val="left"/>
        <w:rPr>
          <w:sz w:val="54"/>
        </w:rPr>
      </w:pPr>
      <w:r>
        <w:rPr>
          <w:sz w:val="54"/>
        </w:rPr>
        <w:drawing>
          <wp:anchor distT="0" distB="0" distL="0" distR="0" allowOverlap="1" layoutInCell="1" locked="0" behindDoc="0" simplePos="0" relativeHeight="15919616">
            <wp:simplePos x="0" y="0"/>
            <wp:positionH relativeFrom="page">
              <wp:posOffset>14981556</wp:posOffset>
            </wp:positionH>
            <wp:positionV relativeFrom="page">
              <wp:posOffset>9668103</wp:posOffset>
            </wp:positionV>
            <wp:extent cx="563245" cy="184683"/>
            <wp:effectExtent l="0" t="0" r="0" b="0"/>
            <wp:wrapNone/>
            <wp:docPr id="1718" name="Image 1718"/>
            <wp:cNvGraphicFramePr>
              <a:graphicFrameLocks/>
            </wp:cNvGraphicFramePr>
            <a:graphic>
              <a:graphicData uri="http://schemas.openxmlformats.org/drawingml/2006/picture">
                <pic:pic>
                  <pic:nvPicPr>
                    <pic:cNvPr id="1718" name="Image 1718"/>
                    <pic:cNvPicPr/>
                  </pic:nvPicPr>
                  <pic:blipFill>
                    <a:blip r:embed="rId38" cstate="print"/>
                    <a:stretch>
                      <a:fillRect/>
                    </a:stretch>
                  </pic:blipFill>
                  <pic:spPr>
                    <a:xfrm>
                      <a:off x="0" y="0"/>
                      <a:ext cx="563245" cy="184683"/>
                    </a:xfrm>
                    <a:prstGeom prst="rect">
                      <a:avLst/>
                    </a:prstGeom>
                  </pic:spPr>
                </pic:pic>
              </a:graphicData>
            </a:graphic>
          </wp:anchor>
        </w:drawing>
      </w:r>
      <w:r>
        <w:rPr>
          <w:sz w:val="54"/>
        </w:rPr>
        <mc:AlternateContent>
          <mc:Choice Requires="wps">
            <w:drawing>
              <wp:anchor distT="0" distB="0" distL="0" distR="0" allowOverlap="1" layoutInCell="1" locked="0" behindDoc="0" simplePos="0" relativeHeight="15920128">
                <wp:simplePos x="0" y="0"/>
                <wp:positionH relativeFrom="page">
                  <wp:posOffset>12965593</wp:posOffset>
                </wp:positionH>
                <wp:positionV relativeFrom="paragraph">
                  <wp:posOffset>292608</wp:posOffset>
                </wp:positionV>
                <wp:extent cx="1918970" cy="681990"/>
                <wp:effectExtent l="0" t="0" r="0" b="0"/>
                <wp:wrapNone/>
                <wp:docPr id="1719" name="Group 1719"/>
                <wp:cNvGraphicFramePr>
                  <a:graphicFrameLocks/>
                </wp:cNvGraphicFramePr>
                <a:graphic>
                  <a:graphicData uri="http://schemas.microsoft.com/office/word/2010/wordprocessingGroup">
                    <wpg:wgp>
                      <wpg:cNvPr id="1719" name="Group 1719"/>
                      <wpg:cNvGrpSpPr/>
                      <wpg:grpSpPr>
                        <a:xfrm>
                          <a:off x="0" y="0"/>
                          <a:ext cx="1918970" cy="681990"/>
                          <a:chExt cx="1918970" cy="681990"/>
                        </a:xfrm>
                      </wpg:grpSpPr>
                      <pic:pic>
                        <pic:nvPicPr>
                          <pic:cNvPr id="1720" name="Image 1720"/>
                          <pic:cNvPicPr/>
                        </pic:nvPicPr>
                        <pic:blipFill>
                          <a:blip r:embed="rId241" cstate="print"/>
                          <a:stretch>
                            <a:fillRect/>
                          </a:stretch>
                        </pic:blipFill>
                        <pic:spPr>
                          <a:xfrm>
                            <a:off x="1275703" y="0"/>
                            <a:ext cx="643101" cy="681824"/>
                          </a:xfrm>
                          <a:prstGeom prst="rect">
                            <a:avLst/>
                          </a:prstGeom>
                        </pic:spPr>
                      </pic:pic>
                      <pic:pic>
                        <pic:nvPicPr>
                          <pic:cNvPr id="1721" name="Image 1721"/>
                          <pic:cNvPicPr/>
                        </pic:nvPicPr>
                        <pic:blipFill>
                          <a:blip r:embed="rId242" cstate="print"/>
                          <a:stretch>
                            <a:fillRect/>
                          </a:stretch>
                        </pic:blipFill>
                        <pic:spPr>
                          <a:xfrm>
                            <a:off x="0" y="91440"/>
                            <a:ext cx="1232015" cy="261461"/>
                          </a:xfrm>
                          <a:prstGeom prst="rect">
                            <a:avLst/>
                          </a:prstGeom>
                        </pic:spPr>
                      </pic:pic>
                    </wpg:wgp>
                  </a:graphicData>
                </a:graphic>
              </wp:anchor>
            </w:drawing>
          </mc:Choice>
          <mc:Fallback>
            <w:pict>
              <v:group style="position:absolute;margin-left:1020.912903pt;margin-top:23.040001pt;width:151.1pt;height:53.7pt;mso-position-horizontal-relative:page;mso-position-vertical-relative:paragraph;z-index:15920128" id="docshapegroup1359" coordorigin="20418,461" coordsize="3022,1074">
                <v:shape style="position:absolute;left:22427;top:460;width:1013;height:1074" type="#_x0000_t75" id="docshape1360" stroked="false">
                  <v:imagedata r:id="rId241" o:title=""/>
                </v:shape>
                <v:shape style="position:absolute;left:20418;top:604;width:1941;height:412" type="#_x0000_t75" id="docshape1361" stroked="false">
                  <v:imagedata r:id="rId242" o:title=""/>
                </v:shape>
                <w10:wrap type="none"/>
              </v:group>
            </w:pict>
          </mc:Fallback>
        </mc:AlternateContent>
      </w:r>
      <w:r>
        <w:rPr>
          <w:color w:val="636466"/>
          <w:sz w:val="54"/>
        </w:rPr>
        <w:t>Chemung</w:t>
      </w:r>
      <w:r>
        <w:rPr>
          <w:color w:val="636466"/>
          <w:spacing w:val="62"/>
          <w:sz w:val="54"/>
        </w:rPr>
        <w:t> </w:t>
      </w:r>
      <w:r>
        <w:rPr>
          <w:color w:val="636466"/>
          <w:sz w:val="54"/>
        </w:rPr>
        <w:t>County</w:t>
      </w:r>
      <w:r>
        <w:rPr>
          <w:color w:val="636466"/>
          <w:spacing w:val="62"/>
          <w:sz w:val="54"/>
        </w:rPr>
        <w:t> </w:t>
      </w:r>
      <w:r>
        <w:rPr>
          <w:color w:val="636466"/>
          <w:sz w:val="54"/>
        </w:rPr>
        <w:t>Appendix</w:t>
      </w:r>
      <w:r>
        <w:rPr>
          <w:color w:val="636466"/>
          <w:spacing w:val="63"/>
          <w:sz w:val="54"/>
        </w:rPr>
        <w:t> </w:t>
      </w:r>
      <w:r>
        <w:rPr>
          <w:color w:val="636466"/>
          <w:spacing w:val="-10"/>
          <w:sz w:val="54"/>
        </w:rPr>
        <w:t>A</w:t>
      </w:r>
    </w:p>
    <w:p>
      <w:pPr>
        <w:spacing w:before="235"/>
        <w:ind w:left="1089" w:right="0" w:firstLine="0"/>
        <w:jc w:val="left"/>
        <w:rPr>
          <w:b/>
          <w:sz w:val="32"/>
        </w:rPr>
      </w:pPr>
      <w:r>
        <w:rPr>
          <w:b/>
          <w:color w:val="82BF6A"/>
          <w:spacing w:val="-10"/>
          <w:sz w:val="32"/>
        </w:rPr>
        <w:t>PRIORITY:</w:t>
      </w:r>
      <w:r>
        <w:rPr>
          <w:b/>
          <w:color w:val="82BF6A"/>
          <w:spacing w:val="1"/>
          <w:sz w:val="32"/>
        </w:rPr>
        <w:t> </w:t>
      </w:r>
      <w:r>
        <w:rPr>
          <w:b/>
          <w:color w:val="82BF6A"/>
          <w:spacing w:val="-10"/>
          <w:sz w:val="32"/>
        </w:rPr>
        <w:t>PREVENT</w:t>
      </w:r>
      <w:r>
        <w:rPr>
          <w:b/>
          <w:color w:val="82BF6A"/>
          <w:spacing w:val="1"/>
          <w:sz w:val="32"/>
        </w:rPr>
        <w:t> </w:t>
      </w:r>
      <w:r>
        <w:rPr>
          <w:b/>
          <w:color w:val="82BF6A"/>
          <w:spacing w:val="-10"/>
          <w:sz w:val="32"/>
        </w:rPr>
        <w:t>CHRONIC</w:t>
      </w:r>
      <w:r>
        <w:rPr>
          <w:b/>
          <w:color w:val="82BF6A"/>
          <w:spacing w:val="1"/>
          <w:sz w:val="32"/>
        </w:rPr>
        <w:t> </w:t>
      </w:r>
      <w:r>
        <w:rPr>
          <w:b/>
          <w:color w:val="82BF6A"/>
          <w:spacing w:val="-10"/>
          <w:sz w:val="32"/>
        </w:rPr>
        <w:t>DISEASES,</w:t>
      </w:r>
      <w:r>
        <w:rPr>
          <w:b/>
          <w:color w:val="82BF6A"/>
          <w:spacing w:val="2"/>
          <w:sz w:val="32"/>
        </w:rPr>
        <w:t> </w:t>
      </w:r>
      <w:r>
        <w:rPr>
          <w:b/>
          <w:color w:val="82BF6A"/>
          <w:spacing w:val="-10"/>
          <w:sz w:val="32"/>
        </w:rPr>
        <w:t>HEALTHY</w:t>
      </w:r>
      <w:r>
        <w:rPr>
          <w:b/>
          <w:color w:val="82BF6A"/>
          <w:spacing w:val="1"/>
          <w:sz w:val="32"/>
        </w:rPr>
        <w:t> </w:t>
      </w:r>
      <w:r>
        <w:rPr>
          <w:b/>
          <w:color w:val="82BF6A"/>
          <w:spacing w:val="-10"/>
          <w:sz w:val="32"/>
        </w:rPr>
        <w:t>EATING</w:t>
      </w:r>
    </w:p>
    <w:p>
      <w:pPr>
        <w:pStyle w:val="BodyText"/>
        <w:rPr>
          <w:b/>
          <w:sz w:val="20"/>
        </w:rPr>
      </w:pPr>
    </w:p>
    <w:p>
      <w:pPr>
        <w:pStyle w:val="BodyText"/>
        <w:spacing w:before="112"/>
        <w:rPr>
          <w:b/>
          <w:sz w:val="20"/>
        </w:rPr>
      </w:pPr>
    </w:p>
    <w:tbl>
      <w:tblPr>
        <w:tblW w:w="0" w:type="auto"/>
        <w:jc w:val="left"/>
        <w:tblInd w:w="1099"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1008"/>
        <w:gridCol w:w="1383"/>
        <w:gridCol w:w="1297"/>
        <w:gridCol w:w="1499"/>
        <w:gridCol w:w="1153"/>
        <w:gridCol w:w="1412"/>
        <w:gridCol w:w="3519"/>
        <w:gridCol w:w="3229"/>
        <w:gridCol w:w="2017"/>
        <w:gridCol w:w="2062"/>
        <w:gridCol w:w="1764"/>
        <w:gridCol w:w="1985"/>
      </w:tblGrid>
      <w:tr>
        <w:trPr>
          <w:trHeight w:val="990" w:hRule="atLeast"/>
        </w:trPr>
        <w:tc>
          <w:tcPr>
            <w:tcW w:w="1008" w:type="dxa"/>
            <w:tcBorders>
              <w:right w:val="single" w:sz="4" w:space="0" w:color="FFFFFF"/>
            </w:tcBorders>
            <w:shd w:val="clear" w:color="auto" w:fill="A7A9AC"/>
          </w:tcPr>
          <w:p>
            <w:pPr>
              <w:pStyle w:val="TableParagraph"/>
              <w:spacing w:before="177"/>
              <w:rPr>
                <w:b/>
                <w:sz w:val="20"/>
              </w:rPr>
            </w:pPr>
          </w:p>
          <w:p>
            <w:pPr>
              <w:pStyle w:val="TableParagraph"/>
              <w:ind w:left="80"/>
              <w:rPr>
                <w:b/>
                <w:sz w:val="20"/>
              </w:rPr>
            </w:pPr>
            <w:r>
              <w:rPr>
                <w:b/>
                <w:color w:val="FFFFFF"/>
                <w:spacing w:val="-2"/>
                <w:sz w:val="20"/>
              </w:rPr>
              <w:t>Priority</w:t>
            </w:r>
          </w:p>
        </w:tc>
        <w:tc>
          <w:tcPr>
            <w:tcW w:w="1383" w:type="dxa"/>
            <w:tcBorders>
              <w:left w:val="single" w:sz="4" w:space="0" w:color="FFFFFF"/>
              <w:right w:val="single" w:sz="4" w:space="0" w:color="FFFFFF"/>
            </w:tcBorders>
            <w:shd w:val="clear" w:color="auto" w:fill="A7A9AC"/>
          </w:tcPr>
          <w:p>
            <w:pPr>
              <w:pStyle w:val="TableParagraph"/>
              <w:spacing w:before="177"/>
              <w:rPr>
                <w:b/>
                <w:sz w:val="20"/>
              </w:rPr>
            </w:pPr>
          </w:p>
          <w:p>
            <w:pPr>
              <w:pStyle w:val="TableParagraph"/>
              <w:ind w:left="79"/>
              <w:rPr>
                <w:b/>
                <w:sz w:val="20"/>
              </w:rPr>
            </w:pPr>
            <w:r>
              <w:rPr>
                <w:b/>
                <w:color w:val="FFFFFF"/>
                <w:w w:val="90"/>
                <w:sz w:val="20"/>
              </w:rPr>
              <w:t>Focus</w:t>
            </w:r>
            <w:r>
              <w:rPr>
                <w:b/>
                <w:color w:val="FFFFFF"/>
                <w:spacing w:val="8"/>
                <w:sz w:val="20"/>
              </w:rPr>
              <w:t> </w:t>
            </w:r>
            <w:r>
              <w:rPr>
                <w:b/>
                <w:color w:val="FFFFFF"/>
                <w:spacing w:val="-4"/>
                <w:sz w:val="20"/>
              </w:rPr>
              <w:t>Area</w:t>
            </w:r>
          </w:p>
        </w:tc>
        <w:tc>
          <w:tcPr>
            <w:tcW w:w="1297" w:type="dxa"/>
            <w:tcBorders>
              <w:left w:val="single" w:sz="4" w:space="0" w:color="FFFFFF"/>
              <w:right w:val="single" w:sz="4" w:space="0" w:color="FFFFFF"/>
            </w:tcBorders>
            <w:shd w:val="clear" w:color="auto" w:fill="A7A9AC"/>
          </w:tcPr>
          <w:p>
            <w:pPr>
              <w:pStyle w:val="TableParagraph"/>
              <w:spacing w:before="74"/>
              <w:rPr>
                <w:b/>
                <w:sz w:val="20"/>
              </w:rPr>
            </w:pPr>
          </w:p>
          <w:p>
            <w:pPr>
              <w:pStyle w:val="TableParagraph"/>
              <w:spacing w:line="230" w:lineRule="auto" w:before="1"/>
              <w:ind w:left="78"/>
              <w:rPr>
                <w:b/>
                <w:sz w:val="20"/>
              </w:rPr>
            </w:pPr>
            <w:r>
              <w:rPr>
                <w:b/>
                <w:color w:val="FFFFFF"/>
                <w:spacing w:val="-8"/>
                <w:sz w:val="20"/>
              </w:rPr>
              <w:t>Goal</w:t>
            </w:r>
            <w:r>
              <w:rPr>
                <w:b/>
                <w:color w:val="FFFFFF"/>
                <w:spacing w:val="-6"/>
                <w:sz w:val="20"/>
              </w:rPr>
              <w:t> </w:t>
            </w:r>
            <w:r>
              <w:rPr>
                <w:b/>
                <w:color w:val="FFFFFF"/>
                <w:spacing w:val="-8"/>
                <w:sz w:val="20"/>
              </w:rPr>
              <w:t>Focus </w:t>
            </w:r>
            <w:r>
              <w:rPr>
                <w:b/>
                <w:color w:val="FFFFFF"/>
                <w:spacing w:val="-4"/>
                <w:sz w:val="20"/>
              </w:rPr>
              <w:t>Area</w:t>
            </w:r>
          </w:p>
        </w:tc>
        <w:tc>
          <w:tcPr>
            <w:tcW w:w="1499" w:type="dxa"/>
            <w:tcBorders>
              <w:left w:val="single" w:sz="4" w:space="0" w:color="FFFFFF"/>
              <w:right w:val="single" w:sz="4" w:space="0" w:color="FFFFFF"/>
            </w:tcBorders>
            <w:shd w:val="clear" w:color="auto" w:fill="A7A9AC"/>
          </w:tcPr>
          <w:p>
            <w:pPr>
              <w:pStyle w:val="TableParagraph"/>
              <w:spacing w:before="177"/>
              <w:rPr>
                <w:b/>
                <w:sz w:val="20"/>
              </w:rPr>
            </w:pPr>
          </w:p>
          <w:p>
            <w:pPr>
              <w:pStyle w:val="TableParagraph"/>
              <w:ind w:left="78"/>
              <w:rPr>
                <w:b/>
                <w:sz w:val="20"/>
              </w:rPr>
            </w:pPr>
            <w:r>
              <w:rPr>
                <w:b/>
                <w:color w:val="FFFFFF"/>
                <w:spacing w:val="-2"/>
                <w:sz w:val="20"/>
              </w:rPr>
              <w:t>Objectives</w:t>
            </w:r>
          </w:p>
        </w:tc>
        <w:tc>
          <w:tcPr>
            <w:tcW w:w="1153" w:type="dxa"/>
            <w:tcBorders>
              <w:left w:val="single" w:sz="4" w:space="0" w:color="FFFFFF"/>
              <w:right w:val="single" w:sz="4" w:space="0" w:color="FFFFFF"/>
            </w:tcBorders>
            <w:shd w:val="clear" w:color="auto" w:fill="A7A9AC"/>
          </w:tcPr>
          <w:p>
            <w:pPr>
              <w:pStyle w:val="TableParagraph"/>
              <w:spacing w:before="177"/>
              <w:rPr>
                <w:b/>
                <w:sz w:val="20"/>
              </w:rPr>
            </w:pPr>
          </w:p>
          <w:p>
            <w:pPr>
              <w:pStyle w:val="TableParagraph"/>
              <w:ind w:left="76"/>
              <w:rPr>
                <w:b/>
                <w:sz w:val="20"/>
              </w:rPr>
            </w:pPr>
            <w:r>
              <w:rPr>
                <w:b/>
                <w:color w:val="FFFFFF"/>
                <w:spacing w:val="-2"/>
                <w:sz w:val="20"/>
              </w:rPr>
              <w:t>Disparities</w:t>
            </w:r>
          </w:p>
        </w:tc>
        <w:tc>
          <w:tcPr>
            <w:tcW w:w="1412" w:type="dxa"/>
            <w:tcBorders>
              <w:left w:val="single" w:sz="4" w:space="0" w:color="FFFFFF"/>
              <w:right w:val="single" w:sz="4" w:space="0" w:color="FFFFFF"/>
            </w:tcBorders>
            <w:shd w:val="clear" w:color="auto" w:fill="A7A9AC"/>
          </w:tcPr>
          <w:p>
            <w:pPr>
              <w:pStyle w:val="TableParagraph"/>
              <w:spacing w:before="177"/>
              <w:rPr>
                <w:b/>
                <w:sz w:val="20"/>
              </w:rPr>
            </w:pPr>
          </w:p>
          <w:p>
            <w:pPr>
              <w:pStyle w:val="TableParagraph"/>
              <w:ind w:left="75"/>
              <w:rPr>
                <w:b/>
                <w:sz w:val="20"/>
              </w:rPr>
            </w:pPr>
            <w:r>
              <w:rPr>
                <w:b/>
                <w:color w:val="FFFFFF"/>
                <w:spacing w:val="-2"/>
                <w:sz w:val="20"/>
              </w:rPr>
              <w:t>Interventions</w:t>
            </w:r>
          </w:p>
        </w:tc>
        <w:tc>
          <w:tcPr>
            <w:tcW w:w="3519" w:type="dxa"/>
            <w:tcBorders>
              <w:left w:val="single" w:sz="4" w:space="0" w:color="FFFFFF"/>
              <w:right w:val="nil"/>
            </w:tcBorders>
            <w:shd w:val="clear" w:color="auto" w:fill="A7A9AC"/>
          </w:tcPr>
          <w:p>
            <w:pPr>
              <w:pStyle w:val="TableParagraph"/>
              <w:spacing w:before="177"/>
              <w:rPr>
                <w:b/>
                <w:sz w:val="20"/>
              </w:rPr>
            </w:pPr>
          </w:p>
          <w:p>
            <w:pPr>
              <w:pStyle w:val="TableParagraph"/>
              <w:ind w:left="84"/>
              <w:rPr>
                <w:b/>
                <w:sz w:val="20"/>
              </w:rPr>
            </w:pPr>
            <w:r>
              <w:rPr>
                <w:b/>
                <w:color w:val="FFFFFF"/>
                <w:sz w:val="20"/>
              </w:rPr>
              <w:t>Family</w:t>
            </w:r>
            <w:r>
              <w:rPr>
                <w:b/>
                <w:color w:val="FFFFFF"/>
                <w:spacing w:val="-12"/>
                <w:sz w:val="20"/>
              </w:rPr>
              <w:t> </w:t>
            </w:r>
            <w:r>
              <w:rPr>
                <w:b/>
                <w:color w:val="FFFFFF"/>
                <w:sz w:val="20"/>
              </w:rPr>
              <w:t>of</w:t>
            </w:r>
            <w:r>
              <w:rPr>
                <w:b/>
                <w:color w:val="FFFFFF"/>
                <w:spacing w:val="-12"/>
                <w:sz w:val="20"/>
              </w:rPr>
              <w:t> </w:t>
            </w:r>
            <w:r>
              <w:rPr>
                <w:b/>
                <w:color w:val="FFFFFF"/>
                <w:spacing w:val="-2"/>
                <w:sz w:val="20"/>
              </w:rPr>
              <w:t>Measures</w:t>
            </w:r>
          </w:p>
        </w:tc>
        <w:tc>
          <w:tcPr>
            <w:tcW w:w="3229" w:type="dxa"/>
            <w:tcBorders>
              <w:left w:val="nil"/>
              <w:right w:val="single" w:sz="4" w:space="0" w:color="FFFFFF"/>
            </w:tcBorders>
            <w:shd w:val="clear" w:color="auto" w:fill="A7A9AC"/>
          </w:tcPr>
          <w:p>
            <w:pPr>
              <w:pStyle w:val="TableParagraph"/>
              <w:spacing w:line="230" w:lineRule="auto" w:before="195"/>
              <w:ind w:left="1046" w:right="463"/>
              <w:rPr>
                <w:b/>
                <w:sz w:val="20"/>
              </w:rPr>
            </w:pPr>
            <w:r>
              <w:rPr>
                <w:b/>
                <w:color w:val="FFFFFF"/>
                <w:sz w:val="20"/>
              </w:rPr>
              <w:t>Projected (or completed)</w:t>
            </w:r>
            <w:r>
              <w:rPr>
                <w:b/>
                <w:color w:val="FFFFFF"/>
                <w:spacing w:val="-14"/>
                <w:sz w:val="20"/>
              </w:rPr>
              <w:t> </w:t>
            </w:r>
            <w:r>
              <w:rPr>
                <w:b/>
                <w:color w:val="FFFFFF"/>
                <w:sz w:val="20"/>
              </w:rPr>
              <w:t>Year</w:t>
            </w:r>
            <w:r>
              <w:rPr>
                <w:b/>
                <w:color w:val="FFFFFF"/>
                <w:spacing w:val="-14"/>
                <w:sz w:val="20"/>
              </w:rPr>
              <w:t> </w:t>
            </w:r>
            <w:r>
              <w:rPr>
                <w:b/>
                <w:color w:val="FFFFFF"/>
                <w:sz w:val="20"/>
              </w:rPr>
              <w:t>1 </w:t>
            </w:r>
            <w:r>
              <w:rPr>
                <w:b/>
                <w:color w:val="FFFFFF"/>
                <w:spacing w:val="-2"/>
                <w:sz w:val="20"/>
              </w:rPr>
              <w:t>Intervention</w:t>
            </w:r>
          </w:p>
        </w:tc>
        <w:tc>
          <w:tcPr>
            <w:tcW w:w="2017" w:type="dxa"/>
            <w:tcBorders>
              <w:left w:val="single" w:sz="4" w:space="0" w:color="FFFFFF"/>
              <w:right w:val="single" w:sz="4" w:space="0" w:color="FFFFFF"/>
            </w:tcBorders>
            <w:shd w:val="clear" w:color="auto" w:fill="A7A9AC"/>
          </w:tcPr>
          <w:p>
            <w:pPr>
              <w:pStyle w:val="TableParagraph"/>
              <w:spacing w:before="177"/>
              <w:rPr>
                <w:b/>
                <w:sz w:val="20"/>
              </w:rPr>
            </w:pPr>
          </w:p>
          <w:p>
            <w:pPr>
              <w:pStyle w:val="TableParagraph"/>
              <w:ind w:left="73"/>
              <w:rPr>
                <w:b/>
                <w:sz w:val="20"/>
              </w:rPr>
            </w:pPr>
            <w:r>
              <w:rPr>
                <w:b/>
                <w:color w:val="FFFFFF"/>
                <w:spacing w:val="-2"/>
                <w:sz w:val="20"/>
              </w:rPr>
              <w:t>Projected</w:t>
            </w:r>
            <w:r>
              <w:rPr>
                <w:b/>
                <w:color w:val="FFFFFF"/>
                <w:spacing w:val="-8"/>
                <w:sz w:val="20"/>
              </w:rPr>
              <w:t> </w:t>
            </w:r>
            <w:r>
              <w:rPr>
                <w:b/>
                <w:color w:val="FFFFFF"/>
                <w:spacing w:val="-2"/>
                <w:sz w:val="20"/>
              </w:rPr>
              <w:t>Year</w:t>
            </w:r>
            <w:r>
              <w:rPr>
                <w:b/>
                <w:color w:val="FFFFFF"/>
                <w:spacing w:val="-7"/>
                <w:sz w:val="20"/>
              </w:rPr>
              <w:t> </w:t>
            </w:r>
            <w:r>
              <w:rPr>
                <w:b/>
                <w:color w:val="FFFFFF"/>
                <w:spacing w:val="-10"/>
                <w:sz w:val="20"/>
              </w:rPr>
              <w:t>2</w:t>
            </w:r>
          </w:p>
        </w:tc>
        <w:tc>
          <w:tcPr>
            <w:tcW w:w="2062" w:type="dxa"/>
            <w:tcBorders>
              <w:left w:val="single" w:sz="4" w:space="0" w:color="FFFFFF"/>
              <w:right w:val="single" w:sz="4" w:space="0" w:color="FFFFFF"/>
            </w:tcBorders>
            <w:shd w:val="clear" w:color="auto" w:fill="A7A9AC"/>
          </w:tcPr>
          <w:p>
            <w:pPr>
              <w:pStyle w:val="TableParagraph"/>
              <w:spacing w:before="74"/>
              <w:rPr>
                <w:b/>
                <w:sz w:val="20"/>
              </w:rPr>
            </w:pPr>
          </w:p>
          <w:p>
            <w:pPr>
              <w:pStyle w:val="TableParagraph"/>
              <w:spacing w:line="230" w:lineRule="auto" w:before="1"/>
              <w:ind w:left="72" w:right="169"/>
              <w:rPr>
                <w:b/>
                <w:sz w:val="20"/>
              </w:rPr>
            </w:pPr>
            <w:r>
              <w:rPr>
                <w:b/>
                <w:color w:val="FFFFFF"/>
                <w:spacing w:val="-2"/>
                <w:sz w:val="20"/>
              </w:rPr>
              <w:t>Projected</w:t>
            </w:r>
            <w:r>
              <w:rPr>
                <w:b/>
                <w:color w:val="FFFFFF"/>
                <w:spacing w:val="-12"/>
                <w:sz w:val="20"/>
              </w:rPr>
              <w:t> </w:t>
            </w:r>
            <w:r>
              <w:rPr>
                <w:b/>
                <w:color w:val="FFFFFF"/>
                <w:spacing w:val="-2"/>
                <w:sz w:val="20"/>
              </w:rPr>
              <w:t>Year</w:t>
            </w:r>
            <w:r>
              <w:rPr>
                <w:b/>
                <w:color w:val="FFFFFF"/>
                <w:spacing w:val="-12"/>
                <w:sz w:val="20"/>
              </w:rPr>
              <w:t> </w:t>
            </w:r>
            <w:r>
              <w:rPr>
                <w:b/>
                <w:color w:val="FFFFFF"/>
                <w:spacing w:val="-2"/>
                <w:sz w:val="20"/>
              </w:rPr>
              <w:t>3 Interventions</w:t>
            </w:r>
          </w:p>
        </w:tc>
        <w:tc>
          <w:tcPr>
            <w:tcW w:w="1764" w:type="dxa"/>
            <w:tcBorders>
              <w:left w:val="single" w:sz="4" w:space="0" w:color="FFFFFF"/>
            </w:tcBorders>
            <w:shd w:val="clear" w:color="auto" w:fill="A7A9AC"/>
          </w:tcPr>
          <w:p>
            <w:pPr>
              <w:pStyle w:val="TableParagraph"/>
              <w:spacing w:before="74"/>
              <w:rPr>
                <w:b/>
                <w:sz w:val="20"/>
              </w:rPr>
            </w:pPr>
          </w:p>
          <w:p>
            <w:pPr>
              <w:pStyle w:val="TableParagraph"/>
              <w:spacing w:line="230" w:lineRule="auto" w:before="1"/>
              <w:ind w:left="70"/>
              <w:rPr>
                <w:b/>
                <w:sz w:val="20"/>
              </w:rPr>
            </w:pPr>
            <w:r>
              <w:rPr>
                <w:b/>
                <w:color w:val="FFFFFF"/>
                <w:spacing w:val="-2"/>
                <w:sz w:val="20"/>
              </w:rPr>
              <w:t>Implementation Partner</w:t>
            </w:r>
          </w:p>
        </w:tc>
        <w:tc>
          <w:tcPr>
            <w:tcW w:w="1985" w:type="dxa"/>
            <w:shd w:val="clear" w:color="auto" w:fill="A7A9AC"/>
          </w:tcPr>
          <w:p>
            <w:pPr>
              <w:pStyle w:val="TableParagraph"/>
              <w:spacing w:before="74"/>
              <w:rPr>
                <w:b/>
                <w:sz w:val="20"/>
              </w:rPr>
            </w:pPr>
          </w:p>
          <w:p>
            <w:pPr>
              <w:pStyle w:val="TableParagraph"/>
              <w:spacing w:line="230" w:lineRule="auto" w:before="1"/>
              <w:ind w:left="69"/>
              <w:rPr>
                <w:b/>
                <w:sz w:val="20"/>
              </w:rPr>
            </w:pPr>
            <w:r>
              <w:rPr>
                <w:b/>
                <w:color w:val="FFFFFF"/>
                <w:spacing w:val="-4"/>
                <w:sz w:val="20"/>
              </w:rPr>
              <w:t>Partner</w:t>
            </w:r>
            <w:r>
              <w:rPr>
                <w:b/>
                <w:color w:val="FFFFFF"/>
                <w:spacing w:val="-10"/>
                <w:sz w:val="20"/>
              </w:rPr>
              <w:t> </w:t>
            </w:r>
            <w:r>
              <w:rPr>
                <w:b/>
                <w:color w:val="FFFFFF"/>
                <w:spacing w:val="-4"/>
                <w:sz w:val="20"/>
              </w:rPr>
              <w:t>Role(s)</w:t>
            </w:r>
            <w:r>
              <w:rPr>
                <w:b/>
                <w:color w:val="FFFFFF"/>
                <w:spacing w:val="-10"/>
                <w:sz w:val="20"/>
              </w:rPr>
              <w:t> </w:t>
            </w:r>
            <w:r>
              <w:rPr>
                <w:b/>
                <w:color w:val="FFFFFF"/>
                <w:spacing w:val="-4"/>
                <w:sz w:val="20"/>
              </w:rPr>
              <w:t>and </w:t>
            </w:r>
            <w:r>
              <w:rPr>
                <w:b/>
                <w:color w:val="FFFFFF"/>
                <w:spacing w:val="-2"/>
                <w:sz w:val="20"/>
              </w:rPr>
              <w:t>Resources</w:t>
            </w:r>
          </w:p>
        </w:tc>
      </w:tr>
      <w:tr>
        <w:trPr>
          <w:trHeight w:val="2150" w:hRule="atLeast"/>
        </w:trPr>
        <w:tc>
          <w:tcPr>
            <w:tcW w:w="1008" w:type="dxa"/>
            <w:tcBorders>
              <w:bottom w:val="nil"/>
            </w:tcBorders>
            <w:shd w:val="clear" w:color="auto" w:fill="E6E7E8"/>
          </w:tcPr>
          <w:p>
            <w:pPr>
              <w:pStyle w:val="TableParagraph"/>
              <w:spacing w:line="232" w:lineRule="auto" w:before="101"/>
              <w:ind w:left="89" w:right="191"/>
              <w:jc w:val="both"/>
              <w:rPr>
                <w:sz w:val="18"/>
              </w:rPr>
            </w:pPr>
            <w:r>
              <w:rPr>
                <w:color w:val="105C84"/>
                <w:spacing w:val="-2"/>
                <w:sz w:val="18"/>
              </w:rPr>
              <w:t>Prevent Chronic </w:t>
            </w:r>
            <w:r>
              <w:rPr>
                <w:color w:val="105C84"/>
                <w:spacing w:val="-6"/>
                <w:sz w:val="18"/>
              </w:rPr>
              <w:t>Diseases</w:t>
            </w:r>
          </w:p>
        </w:tc>
        <w:tc>
          <w:tcPr>
            <w:tcW w:w="1383" w:type="dxa"/>
            <w:tcBorders>
              <w:bottom w:val="nil"/>
            </w:tcBorders>
          </w:tcPr>
          <w:p>
            <w:pPr>
              <w:pStyle w:val="TableParagraph"/>
              <w:spacing w:line="232" w:lineRule="auto" w:before="101"/>
              <w:ind w:left="89"/>
              <w:rPr>
                <w:sz w:val="18"/>
              </w:rPr>
            </w:pPr>
            <w:r>
              <w:rPr>
                <w:color w:val="105C84"/>
                <w:sz w:val="18"/>
              </w:rPr>
              <w:t>Focus Area 1: Healthy</w:t>
            </w:r>
            <w:r>
              <w:rPr>
                <w:color w:val="105C84"/>
                <w:spacing w:val="-13"/>
                <w:sz w:val="18"/>
              </w:rPr>
              <w:t> </w:t>
            </w:r>
            <w:r>
              <w:rPr>
                <w:color w:val="105C84"/>
                <w:sz w:val="18"/>
              </w:rPr>
              <w:t>eating and food </w:t>
            </w:r>
            <w:r>
              <w:rPr>
                <w:color w:val="105C84"/>
                <w:spacing w:val="-2"/>
                <w:sz w:val="18"/>
              </w:rPr>
              <w:t>security</w:t>
            </w:r>
          </w:p>
        </w:tc>
        <w:tc>
          <w:tcPr>
            <w:tcW w:w="1297" w:type="dxa"/>
            <w:tcBorders>
              <w:bottom w:val="nil"/>
            </w:tcBorders>
          </w:tcPr>
          <w:p>
            <w:pPr>
              <w:pStyle w:val="TableParagraph"/>
              <w:spacing w:line="232" w:lineRule="auto" w:before="101"/>
              <w:ind w:left="89" w:right="191"/>
              <w:rPr>
                <w:sz w:val="18"/>
              </w:rPr>
            </w:pPr>
            <w:r>
              <w:rPr>
                <w:color w:val="105C84"/>
                <w:sz w:val="18"/>
              </w:rPr>
              <w:t>Goal 1.2: </w:t>
            </w:r>
            <w:r>
              <w:rPr>
                <w:color w:val="105C84"/>
                <w:spacing w:val="-2"/>
                <w:sz w:val="18"/>
              </w:rPr>
              <w:t>Increase </w:t>
            </w:r>
            <w:r>
              <w:rPr>
                <w:color w:val="105C84"/>
                <w:sz w:val="18"/>
              </w:rPr>
              <w:t>skills and </w:t>
            </w:r>
            <w:r>
              <w:rPr>
                <w:color w:val="105C84"/>
                <w:spacing w:val="-2"/>
                <w:sz w:val="18"/>
              </w:rPr>
              <w:t>knowledge</w:t>
            </w:r>
            <w:r>
              <w:rPr>
                <w:color w:val="105C84"/>
                <w:spacing w:val="40"/>
                <w:sz w:val="18"/>
              </w:rPr>
              <w:t> </w:t>
            </w:r>
            <w:r>
              <w:rPr>
                <w:color w:val="105C84"/>
                <w:sz w:val="18"/>
              </w:rPr>
              <w:t>to support healthy</w:t>
            </w:r>
            <w:r>
              <w:rPr>
                <w:color w:val="105C84"/>
                <w:spacing w:val="-13"/>
                <w:sz w:val="18"/>
              </w:rPr>
              <w:t> </w:t>
            </w:r>
            <w:r>
              <w:rPr>
                <w:color w:val="105C84"/>
                <w:sz w:val="18"/>
              </w:rPr>
              <w:t>food</w:t>
            </w:r>
          </w:p>
          <w:p>
            <w:pPr>
              <w:pStyle w:val="TableParagraph"/>
              <w:spacing w:line="232" w:lineRule="auto"/>
              <w:ind w:left="89"/>
              <w:rPr>
                <w:sz w:val="18"/>
              </w:rPr>
            </w:pPr>
            <w:r>
              <w:rPr>
                <w:color w:val="105C84"/>
                <w:sz w:val="18"/>
              </w:rPr>
              <w:t>and</w:t>
            </w:r>
            <w:r>
              <w:rPr>
                <w:color w:val="105C84"/>
                <w:spacing w:val="-13"/>
                <w:sz w:val="18"/>
              </w:rPr>
              <w:t> </w:t>
            </w:r>
            <w:r>
              <w:rPr>
                <w:color w:val="105C84"/>
                <w:sz w:val="18"/>
              </w:rPr>
              <w:t>beverage </w:t>
            </w:r>
            <w:r>
              <w:rPr>
                <w:color w:val="105C84"/>
                <w:spacing w:val="-2"/>
                <w:sz w:val="18"/>
              </w:rPr>
              <w:t>choices</w:t>
            </w:r>
          </w:p>
        </w:tc>
        <w:tc>
          <w:tcPr>
            <w:tcW w:w="1499" w:type="dxa"/>
            <w:tcBorders>
              <w:bottom w:val="nil"/>
            </w:tcBorders>
          </w:tcPr>
          <w:p>
            <w:pPr>
              <w:pStyle w:val="TableParagraph"/>
              <w:spacing w:line="232" w:lineRule="auto" w:before="101"/>
              <w:ind w:left="88" w:right="120"/>
              <w:rPr>
                <w:sz w:val="18"/>
              </w:rPr>
            </w:pPr>
            <w:r>
              <w:rPr>
                <w:color w:val="105C84"/>
                <w:sz w:val="18"/>
              </w:rPr>
              <w:t>Objective 1.2: Decrease the percentage of children with obesity</w:t>
            </w:r>
            <w:r>
              <w:rPr>
                <w:color w:val="105C84"/>
                <w:spacing w:val="-5"/>
                <w:sz w:val="18"/>
              </w:rPr>
              <w:t> </w:t>
            </w:r>
            <w:r>
              <w:rPr>
                <w:color w:val="105C84"/>
                <w:sz w:val="18"/>
              </w:rPr>
              <w:t>(among public school </w:t>
            </w:r>
            <w:r>
              <w:rPr>
                <w:color w:val="105C84"/>
                <w:spacing w:val="-2"/>
                <w:sz w:val="18"/>
              </w:rPr>
              <w:t>students</w:t>
            </w:r>
            <w:r>
              <w:rPr>
                <w:color w:val="105C84"/>
                <w:spacing w:val="-13"/>
                <w:sz w:val="18"/>
              </w:rPr>
              <w:t> </w:t>
            </w:r>
            <w:r>
              <w:rPr>
                <w:color w:val="105C84"/>
                <w:spacing w:val="-2"/>
                <w:sz w:val="18"/>
              </w:rPr>
              <w:t>in</w:t>
            </w:r>
            <w:r>
              <w:rPr>
                <w:color w:val="105C84"/>
                <w:spacing w:val="-10"/>
                <w:sz w:val="18"/>
              </w:rPr>
              <w:t> </w:t>
            </w:r>
            <w:r>
              <w:rPr>
                <w:color w:val="105C84"/>
                <w:spacing w:val="-2"/>
                <w:sz w:val="18"/>
              </w:rPr>
              <w:t>NYS </w:t>
            </w:r>
            <w:r>
              <w:rPr>
                <w:color w:val="105C84"/>
                <w:sz w:val="18"/>
              </w:rPr>
              <w:t>exclusive of New York City </w:t>
            </w:r>
            <w:r>
              <w:rPr>
                <w:color w:val="105C84"/>
                <w:spacing w:val="-2"/>
                <w:sz w:val="18"/>
              </w:rPr>
              <w:t>[NYC])</w:t>
            </w:r>
          </w:p>
        </w:tc>
        <w:tc>
          <w:tcPr>
            <w:tcW w:w="1153" w:type="dxa"/>
            <w:vMerge w:val="restart"/>
          </w:tcPr>
          <w:p>
            <w:pPr>
              <w:pStyle w:val="TableParagraph"/>
              <w:rPr>
                <w:rFonts w:ascii="Times New Roman"/>
                <w:sz w:val="18"/>
              </w:rPr>
            </w:pPr>
          </w:p>
        </w:tc>
        <w:tc>
          <w:tcPr>
            <w:tcW w:w="1412" w:type="dxa"/>
          </w:tcPr>
          <w:p>
            <w:pPr>
              <w:pStyle w:val="TableParagraph"/>
              <w:spacing w:line="203" w:lineRule="exact" w:before="96"/>
              <w:ind w:left="85"/>
              <w:rPr>
                <w:sz w:val="18"/>
              </w:rPr>
            </w:pPr>
            <w:r>
              <w:rPr>
                <w:color w:val="105C84"/>
                <w:spacing w:val="-2"/>
                <w:sz w:val="18"/>
              </w:rPr>
              <w:t>Intervention</w:t>
            </w:r>
          </w:p>
          <w:p>
            <w:pPr>
              <w:pStyle w:val="TableParagraph"/>
              <w:spacing w:line="232" w:lineRule="auto" w:before="1"/>
              <w:ind w:left="85" w:right="280"/>
              <w:rPr>
                <w:sz w:val="18"/>
              </w:rPr>
            </w:pPr>
            <w:r>
              <w:rPr>
                <w:color w:val="105C84"/>
                <w:sz w:val="18"/>
              </w:rPr>
              <w:t>1.0.2</w:t>
            </w:r>
            <w:r>
              <w:rPr>
                <w:color w:val="105C84"/>
                <w:spacing w:val="-13"/>
                <w:sz w:val="18"/>
              </w:rPr>
              <w:t> </w:t>
            </w:r>
            <w:r>
              <w:rPr>
                <w:color w:val="105C84"/>
                <w:sz w:val="18"/>
              </w:rPr>
              <w:t>Quality </w:t>
            </w:r>
            <w:r>
              <w:rPr>
                <w:color w:val="105C84"/>
                <w:spacing w:val="-2"/>
                <w:sz w:val="18"/>
              </w:rPr>
              <w:t>nutrition</w:t>
            </w:r>
            <w:r>
              <w:rPr>
                <w:color w:val="105C84"/>
                <w:spacing w:val="80"/>
                <w:sz w:val="18"/>
              </w:rPr>
              <w:t> </w:t>
            </w:r>
            <w:r>
              <w:rPr>
                <w:color w:val="105C84"/>
                <w:spacing w:val="-2"/>
                <w:sz w:val="18"/>
              </w:rPr>
              <w:t>(and</w:t>
            </w:r>
            <w:r>
              <w:rPr>
                <w:color w:val="105C84"/>
                <w:spacing w:val="-11"/>
                <w:sz w:val="18"/>
              </w:rPr>
              <w:t> </w:t>
            </w:r>
            <w:r>
              <w:rPr>
                <w:color w:val="105C84"/>
                <w:spacing w:val="-2"/>
                <w:sz w:val="18"/>
              </w:rPr>
              <w:t>physica</w:t>
            </w:r>
            <w:r>
              <w:rPr>
                <w:color w:val="105C84"/>
                <w:spacing w:val="-2"/>
                <w:sz w:val="18"/>
              </w:rPr>
              <w:t>l</w:t>
            </w:r>
            <w:r>
              <w:rPr>
                <w:color w:val="105C84"/>
                <w:spacing w:val="-2"/>
                <w:sz w:val="18"/>
              </w:rPr>
              <w:t> </w:t>
            </w:r>
            <w:r>
              <w:rPr>
                <w:color w:val="105C84"/>
                <w:sz w:val="18"/>
              </w:rPr>
              <w:t>activity) in</w:t>
            </w:r>
          </w:p>
          <w:p>
            <w:pPr>
              <w:pStyle w:val="TableParagraph"/>
              <w:spacing w:line="232" w:lineRule="auto"/>
              <w:ind w:left="85" w:right="197"/>
              <w:jc w:val="both"/>
              <w:rPr>
                <w:sz w:val="18"/>
              </w:rPr>
            </w:pPr>
            <w:r>
              <w:rPr>
                <w:color w:val="105C84"/>
                <w:sz w:val="18"/>
              </w:rPr>
              <w:t>early</w:t>
            </w:r>
            <w:r>
              <w:rPr>
                <w:color w:val="105C84"/>
                <w:spacing w:val="-1"/>
                <w:sz w:val="18"/>
              </w:rPr>
              <w:t> </w:t>
            </w:r>
            <w:r>
              <w:rPr>
                <w:color w:val="105C84"/>
                <w:sz w:val="18"/>
              </w:rPr>
              <w:t>learning and</w:t>
            </w:r>
            <w:r>
              <w:rPr>
                <w:color w:val="105C84"/>
                <w:spacing w:val="-15"/>
                <w:sz w:val="18"/>
              </w:rPr>
              <w:t> </w:t>
            </w:r>
            <w:r>
              <w:rPr>
                <w:color w:val="105C84"/>
                <w:sz w:val="18"/>
              </w:rPr>
              <w:t>child</w:t>
            </w:r>
            <w:r>
              <w:rPr>
                <w:color w:val="105C84"/>
                <w:spacing w:val="-12"/>
                <w:sz w:val="18"/>
              </w:rPr>
              <w:t> </w:t>
            </w:r>
            <w:r>
              <w:rPr>
                <w:color w:val="105C84"/>
                <w:sz w:val="18"/>
              </w:rPr>
              <w:t>care </w:t>
            </w:r>
            <w:r>
              <w:rPr>
                <w:color w:val="105C84"/>
                <w:spacing w:val="-2"/>
                <w:sz w:val="18"/>
              </w:rPr>
              <w:t>settings</w:t>
            </w:r>
          </w:p>
        </w:tc>
        <w:tc>
          <w:tcPr>
            <w:tcW w:w="3519" w:type="dxa"/>
            <w:tcBorders>
              <w:right w:val="nil"/>
            </w:tcBorders>
          </w:tcPr>
          <w:p>
            <w:pPr>
              <w:pStyle w:val="TableParagraph"/>
              <w:spacing w:line="232" w:lineRule="auto" w:before="100"/>
              <w:ind w:left="84" w:right="1168"/>
              <w:rPr>
                <w:sz w:val="18"/>
              </w:rPr>
            </w:pPr>
            <w:r>
              <w:rPr>
                <w:color w:val="105C84"/>
                <w:spacing w:val="-2"/>
                <w:sz w:val="18"/>
              </w:rPr>
              <w:t>Comprehensive Interdisciplinary </w:t>
            </w:r>
            <w:r>
              <w:rPr>
                <w:color w:val="105C84"/>
                <w:sz w:val="18"/>
              </w:rPr>
              <w:t>Developmental Services </w:t>
            </w:r>
            <w:r>
              <w:rPr>
                <w:color w:val="105C84"/>
                <w:spacing w:val="-4"/>
                <w:sz w:val="18"/>
              </w:rPr>
              <w:t>(CIDS) encourages </w:t>
            </w:r>
            <w:r>
              <w:rPr>
                <w:color w:val="105C84"/>
                <w:spacing w:val="-4"/>
                <w:sz w:val="18"/>
              </w:rPr>
              <w:t>healthy </w:t>
            </w:r>
            <w:r>
              <w:rPr>
                <w:color w:val="105C84"/>
                <w:sz w:val="18"/>
              </w:rPr>
              <w:t>eating and breastfeeding during home visits</w:t>
            </w:r>
          </w:p>
        </w:tc>
        <w:tc>
          <w:tcPr>
            <w:tcW w:w="3229" w:type="dxa"/>
            <w:tcBorders>
              <w:left w:val="nil"/>
            </w:tcBorders>
          </w:tcPr>
          <w:p>
            <w:pPr>
              <w:pStyle w:val="TableParagraph"/>
              <w:spacing w:before="95"/>
              <w:ind w:left="1056"/>
              <w:rPr>
                <w:sz w:val="18"/>
              </w:rPr>
            </w:pPr>
            <w:r>
              <w:rPr>
                <w:color w:val="105C84"/>
                <w:sz w:val="18"/>
              </w:rPr>
              <w:t>#</w:t>
            </w:r>
            <w:r>
              <w:rPr>
                <w:color w:val="105C84"/>
                <w:spacing w:val="-1"/>
                <w:sz w:val="18"/>
              </w:rPr>
              <w:t> </w:t>
            </w:r>
            <w:r>
              <w:rPr>
                <w:color w:val="105C84"/>
                <w:sz w:val="18"/>
              </w:rPr>
              <w:t>of home </w:t>
            </w:r>
            <w:r>
              <w:rPr>
                <w:color w:val="105C84"/>
                <w:spacing w:val="-2"/>
                <w:sz w:val="18"/>
              </w:rPr>
              <w:t>visits</w:t>
            </w:r>
          </w:p>
        </w:tc>
        <w:tc>
          <w:tcPr>
            <w:tcW w:w="2017" w:type="dxa"/>
          </w:tcPr>
          <w:p>
            <w:pPr>
              <w:pStyle w:val="TableParagraph"/>
              <w:spacing w:before="95"/>
              <w:ind w:left="83"/>
              <w:rPr>
                <w:sz w:val="18"/>
              </w:rPr>
            </w:pPr>
            <w:r>
              <w:rPr>
                <w:color w:val="105C84"/>
                <w:sz w:val="18"/>
              </w:rPr>
              <w:t>#</w:t>
            </w:r>
            <w:r>
              <w:rPr>
                <w:color w:val="105C84"/>
                <w:spacing w:val="-1"/>
                <w:sz w:val="18"/>
              </w:rPr>
              <w:t> </w:t>
            </w:r>
            <w:r>
              <w:rPr>
                <w:color w:val="105C84"/>
                <w:sz w:val="18"/>
              </w:rPr>
              <w:t>of home </w:t>
            </w:r>
            <w:r>
              <w:rPr>
                <w:color w:val="105C84"/>
                <w:spacing w:val="-2"/>
                <w:sz w:val="18"/>
              </w:rPr>
              <w:t>visits</w:t>
            </w:r>
          </w:p>
        </w:tc>
        <w:tc>
          <w:tcPr>
            <w:tcW w:w="2062" w:type="dxa"/>
          </w:tcPr>
          <w:p>
            <w:pPr>
              <w:pStyle w:val="TableParagraph"/>
              <w:spacing w:before="95"/>
              <w:ind w:left="82"/>
              <w:rPr>
                <w:sz w:val="18"/>
              </w:rPr>
            </w:pPr>
            <w:r>
              <w:rPr>
                <w:color w:val="105C84"/>
                <w:sz w:val="18"/>
              </w:rPr>
              <w:t>#</w:t>
            </w:r>
            <w:r>
              <w:rPr>
                <w:color w:val="105C84"/>
                <w:spacing w:val="-1"/>
                <w:sz w:val="18"/>
              </w:rPr>
              <w:t> </w:t>
            </w:r>
            <w:r>
              <w:rPr>
                <w:color w:val="105C84"/>
                <w:sz w:val="18"/>
              </w:rPr>
              <w:t>of home </w:t>
            </w:r>
            <w:r>
              <w:rPr>
                <w:color w:val="105C84"/>
                <w:spacing w:val="-2"/>
                <w:sz w:val="18"/>
              </w:rPr>
              <w:t>visits</w:t>
            </w:r>
          </w:p>
        </w:tc>
        <w:tc>
          <w:tcPr>
            <w:tcW w:w="1764" w:type="dxa"/>
          </w:tcPr>
          <w:p>
            <w:pPr>
              <w:pStyle w:val="TableParagraph"/>
              <w:spacing w:line="232" w:lineRule="auto" w:before="100"/>
              <w:ind w:left="80"/>
              <w:rPr>
                <w:sz w:val="18"/>
              </w:rPr>
            </w:pPr>
            <w:r>
              <w:rPr>
                <w:color w:val="105C84"/>
                <w:spacing w:val="-2"/>
                <w:sz w:val="18"/>
              </w:rPr>
              <w:t>Community-</w:t>
            </w:r>
            <w:r>
              <w:rPr>
                <w:color w:val="105C84"/>
                <w:spacing w:val="-2"/>
                <w:sz w:val="18"/>
              </w:rPr>
              <w:t>based organizations</w:t>
            </w:r>
          </w:p>
        </w:tc>
        <w:tc>
          <w:tcPr>
            <w:tcW w:w="1985" w:type="dxa"/>
          </w:tcPr>
          <w:p>
            <w:pPr>
              <w:pStyle w:val="TableParagraph"/>
              <w:spacing w:line="232" w:lineRule="auto" w:before="100"/>
              <w:ind w:left="79" w:right="312"/>
              <w:rPr>
                <w:sz w:val="18"/>
              </w:rPr>
            </w:pPr>
            <w:r>
              <w:rPr>
                <w:color w:val="105C84"/>
                <w:sz w:val="18"/>
              </w:rPr>
              <w:t>CIDS</w:t>
            </w:r>
            <w:r>
              <w:rPr>
                <w:color w:val="105C84"/>
                <w:spacing w:val="-7"/>
                <w:sz w:val="18"/>
              </w:rPr>
              <w:t> </w:t>
            </w:r>
            <w:r>
              <w:rPr>
                <w:color w:val="105C84"/>
                <w:sz w:val="18"/>
              </w:rPr>
              <w:t>responsible for intervention providing </w:t>
            </w:r>
            <w:r>
              <w:rPr>
                <w:color w:val="105C84"/>
                <w:sz w:val="18"/>
              </w:rPr>
              <w:t>needed</w:t>
            </w:r>
          </w:p>
          <w:p>
            <w:pPr>
              <w:pStyle w:val="TableParagraph"/>
              <w:spacing w:line="232" w:lineRule="auto"/>
              <w:ind w:left="79"/>
              <w:rPr>
                <w:sz w:val="18"/>
              </w:rPr>
            </w:pPr>
            <w:r>
              <w:rPr>
                <w:color w:val="105C84"/>
                <w:sz w:val="18"/>
              </w:rPr>
              <w:t>staff and resources to meet measures with </w:t>
            </w:r>
            <w:r>
              <w:rPr>
                <w:color w:val="105C84"/>
                <w:spacing w:val="-2"/>
                <w:sz w:val="18"/>
              </w:rPr>
              <w:t>assistance</w:t>
            </w:r>
            <w:r>
              <w:rPr>
                <w:color w:val="105C84"/>
                <w:spacing w:val="-13"/>
                <w:sz w:val="18"/>
              </w:rPr>
              <w:t> </w:t>
            </w:r>
            <w:r>
              <w:rPr>
                <w:color w:val="105C84"/>
                <w:spacing w:val="-2"/>
                <w:sz w:val="18"/>
              </w:rPr>
              <w:t>from</w:t>
            </w:r>
            <w:r>
              <w:rPr>
                <w:color w:val="105C84"/>
                <w:spacing w:val="-10"/>
                <w:sz w:val="18"/>
              </w:rPr>
              <w:t> </w:t>
            </w:r>
            <w:r>
              <w:rPr>
                <w:color w:val="105C84"/>
                <w:spacing w:val="-2"/>
                <w:sz w:val="18"/>
              </w:rPr>
              <w:t>Health </w:t>
            </w:r>
            <w:r>
              <w:rPr>
                <w:color w:val="105C84"/>
                <w:sz w:val="18"/>
              </w:rPr>
              <w:t>Priorities Partners as </w:t>
            </w:r>
            <w:r>
              <w:rPr>
                <w:color w:val="105C84"/>
                <w:spacing w:val="-2"/>
                <w:sz w:val="18"/>
              </w:rPr>
              <w:t>needed</w:t>
            </w:r>
          </w:p>
        </w:tc>
      </w:tr>
      <w:tr>
        <w:trPr>
          <w:trHeight w:val="2240" w:hRule="atLeast"/>
        </w:trPr>
        <w:tc>
          <w:tcPr>
            <w:tcW w:w="1008" w:type="dxa"/>
            <w:tcBorders>
              <w:top w:val="nil"/>
              <w:bottom w:val="nil"/>
            </w:tcBorders>
            <w:shd w:val="clear" w:color="auto" w:fill="E6E7E8"/>
          </w:tcPr>
          <w:p>
            <w:pPr>
              <w:pStyle w:val="TableParagraph"/>
              <w:rPr>
                <w:rFonts w:ascii="Times New Roman"/>
                <w:sz w:val="18"/>
              </w:rPr>
            </w:pPr>
          </w:p>
        </w:tc>
        <w:tc>
          <w:tcPr>
            <w:tcW w:w="1383" w:type="dxa"/>
            <w:tcBorders>
              <w:top w:val="nil"/>
              <w:bottom w:val="nil"/>
            </w:tcBorders>
          </w:tcPr>
          <w:p>
            <w:pPr>
              <w:pStyle w:val="TableParagraph"/>
              <w:rPr>
                <w:rFonts w:ascii="Times New Roman"/>
                <w:sz w:val="18"/>
              </w:rPr>
            </w:pPr>
          </w:p>
        </w:tc>
        <w:tc>
          <w:tcPr>
            <w:tcW w:w="1297" w:type="dxa"/>
            <w:tcBorders>
              <w:top w:val="nil"/>
              <w:bottom w:val="nil"/>
            </w:tcBorders>
          </w:tcPr>
          <w:p>
            <w:pPr>
              <w:pStyle w:val="TableParagraph"/>
              <w:rPr>
                <w:rFonts w:ascii="Times New Roman"/>
                <w:sz w:val="18"/>
              </w:rPr>
            </w:pPr>
          </w:p>
        </w:tc>
        <w:tc>
          <w:tcPr>
            <w:tcW w:w="1499" w:type="dxa"/>
            <w:tcBorders>
              <w:top w:val="nil"/>
              <w:bottom w:val="nil"/>
            </w:tcBorders>
          </w:tcPr>
          <w:p>
            <w:pPr>
              <w:pStyle w:val="TableParagraph"/>
              <w:rPr>
                <w:rFonts w:ascii="Times New Roman"/>
                <w:sz w:val="18"/>
              </w:rPr>
            </w:pPr>
          </w:p>
        </w:tc>
        <w:tc>
          <w:tcPr>
            <w:tcW w:w="1153" w:type="dxa"/>
            <w:vMerge/>
            <w:tcBorders>
              <w:top w:val="nil"/>
            </w:tcBorders>
          </w:tcPr>
          <w:p>
            <w:pPr>
              <w:rPr>
                <w:sz w:val="2"/>
                <w:szCs w:val="2"/>
              </w:rPr>
            </w:pPr>
          </w:p>
        </w:tc>
        <w:tc>
          <w:tcPr>
            <w:tcW w:w="1412" w:type="dxa"/>
          </w:tcPr>
          <w:p>
            <w:pPr>
              <w:pStyle w:val="TableParagraph"/>
              <w:spacing w:line="203" w:lineRule="exact" w:before="95"/>
              <w:ind w:left="85"/>
              <w:rPr>
                <w:sz w:val="18"/>
              </w:rPr>
            </w:pPr>
            <w:r>
              <w:rPr>
                <w:color w:val="105C84"/>
                <w:spacing w:val="-2"/>
                <w:sz w:val="18"/>
              </w:rPr>
              <w:t>Intervention</w:t>
            </w:r>
          </w:p>
          <w:p>
            <w:pPr>
              <w:pStyle w:val="TableParagraph"/>
              <w:spacing w:line="232" w:lineRule="auto" w:before="2"/>
              <w:ind w:left="85" w:right="280"/>
              <w:rPr>
                <w:sz w:val="18"/>
              </w:rPr>
            </w:pPr>
            <w:r>
              <w:rPr>
                <w:color w:val="105C84"/>
                <w:sz w:val="18"/>
              </w:rPr>
              <w:t>1.0.2</w:t>
            </w:r>
            <w:r>
              <w:rPr>
                <w:color w:val="105C84"/>
                <w:spacing w:val="-13"/>
                <w:sz w:val="18"/>
              </w:rPr>
              <w:t> </w:t>
            </w:r>
            <w:r>
              <w:rPr>
                <w:color w:val="105C84"/>
                <w:sz w:val="18"/>
              </w:rPr>
              <w:t>Quality </w:t>
            </w:r>
            <w:r>
              <w:rPr>
                <w:color w:val="105C84"/>
                <w:spacing w:val="-2"/>
                <w:sz w:val="18"/>
              </w:rPr>
              <w:t>nutrition</w:t>
            </w:r>
            <w:r>
              <w:rPr>
                <w:color w:val="105C84"/>
                <w:spacing w:val="80"/>
                <w:sz w:val="18"/>
              </w:rPr>
              <w:t> </w:t>
            </w:r>
            <w:r>
              <w:rPr>
                <w:color w:val="105C84"/>
                <w:spacing w:val="-2"/>
                <w:sz w:val="18"/>
              </w:rPr>
              <w:t>(and</w:t>
            </w:r>
            <w:r>
              <w:rPr>
                <w:color w:val="105C84"/>
                <w:spacing w:val="-11"/>
                <w:sz w:val="18"/>
              </w:rPr>
              <w:t> </w:t>
            </w:r>
            <w:r>
              <w:rPr>
                <w:color w:val="105C84"/>
                <w:spacing w:val="-2"/>
                <w:sz w:val="18"/>
              </w:rPr>
              <w:t>physica</w:t>
            </w:r>
            <w:r>
              <w:rPr>
                <w:color w:val="105C84"/>
                <w:spacing w:val="-2"/>
                <w:sz w:val="18"/>
              </w:rPr>
              <w:t>l</w:t>
            </w:r>
            <w:r>
              <w:rPr>
                <w:color w:val="105C84"/>
                <w:spacing w:val="-2"/>
                <w:sz w:val="18"/>
              </w:rPr>
              <w:t> </w:t>
            </w:r>
            <w:r>
              <w:rPr>
                <w:color w:val="105C84"/>
                <w:sz w:val="18"/>
              </w:rPr>
              <w:t>activity) in</w:t>
            </w:r>
          </w:p>
          <w:p>
            <w:pPr>
              <w:pStyle w:val="TableParagraph"/>
              <w:spacing w:line="232" w:lineRule="auto"/>
              <w:ind w:left="85" w:right="197"/>
              <w:jc w:val="both"/>
              <w:rPr>
                <w:sz w:val="18"/>
              </w:rPr>
            </w:pPr>
            <w:r>
              <w:rPr>
                <w:color w:val="105C84"/>
                <w:sz w:val="18"/>
              </w:rPr>
              <w:t>early</w:t>
            </w:r>
            <w:r>
              <w:rPr>
                <w:color w:val="105C84"/>
                <w:spacing w:val="-1"/>
                <w:sz w:val="18"/>
              </w:rPr>
              <w:t> </w:t>
            </w:r>
            <w:r>
              <w:rPr>
                <w:color w:val="105C84"/>
                <w:sz w:val="18"/>
              </w:rPr>
              <w:t>learning and</w:t>
            </w:r>
            <w:r>
              <w:rPr>
                <w:color w:val="105C84"/>
                <w:spacing w:val="-15"/>
                <w:sz w:val="18"/>
              </w:rPr>
              <w:t> </w:t>
            </w:r>
            <w:r>
              <w:rPr>
                <w:color w:val="105C84"/>
                <w:sz w:val="18"/>
              </w:rPr>
              <w:t>child</w:t>
            </w:r>
            <w:r>
              <w:rPr>
                <w:color w:val="105C84"/>
                <w:spacing w:val="-12"/>
                <w:sz w:val="18"/>
              </w:rPr>
              <w:t> </w:t>
            </w:r>
            <w:r>
              <w:rPr>
                <w:color w:val="105C84"/>
                <w:sz w:val="18"/>
              </w:rPr>
              <w:t>care </w:t>
            </w:r>
            <w:r>
              <w:rPr>
                <w:color w:val="105C84"/>
                <w:spacing w:val="-2"/>
                <w:sz w:val="18"/>
              </w:rPr>
              <w:t>settings</w:t>
            </w:r>
          </w:p>
        </w:tc>
        <w:tc>
          <w:tcPr>
            <w:tcW w:w="3519" w:type="dxa"/>
            <w:tcBorders>
              <w:right w:val="nil"/>
            </w:tcBorders>
          </w:tcPr>
          <w:p>
            <w:pPr>
              <w:pStyle w:val="TableParagraph"/>
              <w:spacing w:line="232" w:lineRule="auto" w:before="100"/>
              <w:ind w:left="84" w:right="1168"/>
              <w:rPr>
                <w:sz w:val="18"/>
              </w:rPr>
            </w:pPr>
            <w:r>
              <w:rPr>
                <w:color w:val="105C84"/>
                <w:sz w:val="18"/>
              </w:rPr>
              <w:t>Chemung County Health Department</w:t>
            </w:r>
            <w:r>
              <w:rPr>
                <w:color w:val="105C84"/>
                <w:spacing w:val="-15"/>
                <w:sz w:val="18"/>
              </w:rPr>
              <w:t> </w:t>
            </w:r>
            <w:r>
              <w:rPr>
                <w:color w:val="105C84"/>
                <w:sz w:val="18"/>
              </w:rPr>
              <w:t>(CCHD),</w:t>
            </w:r>
            <w:r>
              <w:rPr>
                <w:color w:val="105C84"/>
                <w:spacing w:val="-12"/>
                <w:sz w:val="18"/>
              </w:rPr>
              <w:t> </w:t>
            </w:r>
            <w:r>
              <w:rPr>
                <w:color w:val="105C84"/>
                <w:sz w:val="18"/>
              </w:rPr>
              <w:t>Arnot Health, and community partners provide education at free summer meal sites</w:t>
            </w:r>
          </w:p>
        </w:tc>
        <w:tc>
          <w:tcPr>
            <w:tcW w:w="3229" w:type="dxa"/>
            <w:tcBorders>
              <w:left w:val="nil"/>
            </w:tcBorders>
          </w:tcPr>
          <w:p>
            <w:pPr>
              <w:pStyle w:val="TableParagraph"/>
              <w:spacing w:line="232" w:lineRule="auto" w:before="100"/>
              <w:ind w:left="1056" w:right="160"/>
              <w:rPr>
                <w:sz w:val="18"/>
              </w:rPr>
            </w:pPr>
            <w:r>
              <w:rPr>
                <w:color w:val="105C84"/>
                <w:sz w:val="18"/>
              </w:rPr>
              <w:t>CCHD tabled at 7 meal sites. Arnot Health was</w:t>
            </w:r>
            <w:r>
              <w:rPr>
                <w:color w:val="105C84"/>
                <w:spacing w:val="40"/>
                <w:sz w:val="18"/>
              </w:rPr>
              <w:t> </w:t>
            </w:r>
            <w:r>
              <w:rPr>
                <w:color w:val="105C84"/>
                <w:sz w:val="18"/>
              </w:rPr>
              <w:t>at</w:t>
            </w:r>
            <w:r>
              <w:rPr>
                <w:color w:val="105C84"/>
                <w:spacing w:val="-15"/>
                <w:sz w:val="18"/>
              </w:rPr>
              <w:t> </w:t>
            </w:r>
            <w:r>
              <w:rPr>
                <w:color w:val="105C84"/>
                <w:sz w:val="18"/>
              </w:rPr>
              <w:t>7</w:t>
            </w:r>
            <w:r>
              <w:rPr>
                <w:color w:val="105C84"/>
                <w:spacing w:val="-12"/>
                <w:sz w:val="18"/>
              </w:rPr>
              <w:t> </w:t>
            </w:r>
            <w:r>
              <w:rPr>
                <w:color w:val="105C84"/>
                <w:sz w:val="18"/>
              </w:rPr>
              <w:t>locations</w:t>
            </w:r>
            <w:r>
              <w:rPr>
                <w:color w:val="105C84"/>
                <w:spacing w:val="-13"/>
                <w:sz w:val="18"/>
              </w:rPr>
              <w:t> </w:t>
            </w:r>
            <w:r>
              <w:rPr>
                <w:color w:val="105C84"/>
                <w:sz w:val="18"/>
              </w:rPr>
              <w:t>serving</w:t>
            </w:r>
            <w:r>
              <w:rPr>
                <w:color w:val="105C84"/>
                <w:spacing w:val="-12"/>
                <w:sz w:val="18"/>
              </w:rPr>
              <w:t> </w:t>
            </w:r>
            <w:r>
              <w:rPr>
                <w:color w:val="105C84"/>
                <w:sz w:val="18"/>
              </w:rPr>
              <w:t>107 </w:t>
            </w:r>
            <w:r>
              <w:rPr>
                <w:color w:val="105C84"/>
                <w:spacing w:val="-2"/>
                <w:sz w:val="18"/>
              </w:rPr>
              <w:t>children</w:t>
            </w:r>
          </w:p>
        </w:tc>
        <w:tc>
          <w:tcPr>
            <w:tcW w:w="2017" w:type="dxa"/>
          </w:tcPr>
          <w:p>
            <w:pPr>
              <w:pStyle w:val="TableParagraph"/>
              <w:spacing w:line="232" w:lineRule="auto" w:before="100"/>
              <w:ind w:left="83" w:right="1130"/>
              <w:rPr>
                <w:sz w:val="18"/>
              </w:rPr>
            </w:pPr>
            <w:r>
              <w:rPr>
                <w:color w:val="105C84"/>
                <w:sz w:val="18"/>
              </w:rPr>
              <w:t># of sites #</w:t>
            </w:r>
            <w:r>
              <w:rPr>
                <w:color w:val="105C84"/>
                <w:spacing w:val="-13"/>
                <w:sz w:val="18"/>
              </w:rPr>
              <w:t> </w:t>
            </w:r>
            <w:r>
              <w:rPr>
                <w:color w:val="105C84"/>
                <w:spacing w:val="-2"/>
                <w:sz w:val="18"/>
              </w:rPr>
              <w:t>reached</w:t>
            </w:r>
          </w:p>
        </w:tc>
        <w:tc>
          <w:tcPr>
            <w:tcW w:w="2062" w:type="dxa"/>
          </w:tcPr>
          <w:p>
            <w:pPr>
              <w:pStyle w:val="TableParagraph"/>
              <w:spacing w:line="232" w:lineRule="auto" w:before="100"/>
              <w:ind w:left="82" w:right="1176"/>
              <w:rPr>
                <w:sz w:val="18"/>
              </w:rPr>
            </w:pPr>
            <w:r>
              <w:rPr>
                <w:color w:val="105C84"/>
                <w:sz w:val="18"/>
              </w:rPr>
              <w:t># of sites #</w:t>
            </w:r>
            <w:r>
              <w:rPr>
                <w:color w:val="105C84"/>
                <w:spacing w:val="-13"/>
                <w:sz w:val="18"/>
              </w:rPr>
              <w:t> </w:t>
            </w:r>
            <w:r>
              <w:rPr>
                <w:color w:val="105C84"/>
                <w:spacing w:val="-2"/>
                <w:sz w:val="18"/>
              </w:rPr>
              <w:t>reached</w:t>
            </w:r>
          </w:p>
        </w:tc>
        <w:tc>
          <w:tcPr>
            <w:tcW w:w="1764" w:type="dxa"/>
          </w:tcPr>
          <w:p>
            <w:pPr>
              <w:pStyle w:val="TableParagraph"/>
              <w:spacing w:line="232" w:lineRule="auto" w:before="100"/>
              <w:ind w:left="80"/>
              <w:rPr>
                <w:sz w:val="18"/>
              </w:rPr>
            </w:pPr>
            <w:r>
              <w:rPr>
                <w:color w:val="105C84"/>
                <w:spacing w:val="-2"/>
                <w:sz w:val="18"/>
              </w:rPr>
              <w:t>Local</w:t>
            </w:r>
            <w:r>
              <w:rPr>
                <w:color w:val="105C84"/>
                <w:spacing w:val="-11"/>
                <w:sz w:val="18"/>
              </w:rPr>
              <w:t> </w:t>
            </w:r>
            <w:r>
              <w:rPr>
                <w:color w:val="105C84"/>
                <w:spacing w:val="-2"/>
                <w:sz w:val="18"/>
              </w:rPr>
              <w:t>health department</w:t>
            </w:r>
          </w:p>
        </w:tc>
        <w:tc>
          <w:tcPr>
            <w:tcW w:w="1985" w:type="dxa"/>
          </w:tcPr>
          <w:p>
            <w:pPr>
              <w:pStyle w:val="TableParagraph"/>
              <w:spacing w:line="232" w:lineRule="auto" w:before="100"/>
              <w:ind w:left="79"/>
              <w:rPr>
                <w:sz w:val="18"/>
              </w:rPr>
            </w:pPr>
            <w:r>
              <w:rPr>
                <w:color w:val="105C84"/>
                <w:sz w:val="18"/>
              </w:rPr>
              <w:t>CCHD, Arnot Health, and HP2 members responsible for intervention providing needed staff and resources to meet measures with </w:t>
            </w:r>
            <w:r>
              <w:rPr>
                <w:color w:val="105C84"/>
                <w:spacing w:val="-2"/>
                <w:sz w:val="18"/>
              </w:rPr>
              <w:t>assistance</w:t>
            </w:r>
            <w:r>
              <w:rPr>
                <w:color w:val="105C84"/>
                <w:spacing w:val="-13"/>
                <w:sz w:val="18"/>
              </w:rPr>
              <w:t> </w:t>
            </w:r>
            <w:r>
              <w:rPr>
                <w:color w:val="105C84"/>
                <w:spacing w:val="-2"/>
                <w:sz w:val="18"/>
              </w:rPr>
              <w:t>from</w:t>
            </w:r>
            <w:r>
              <w:rPr>
                <w:color w:val="105C84"/>
                <w:spacing w:val="-10"/>
                <w:sz w:val="18"/>
              </w:rPr>
              <w:t> </w:t>
            </w:r>
            <w:r>
              <w:rPr>
                <w:color w:val="105C84"/>
                <w:spacing w:val="-2"/>
                <w:sz w:val="18"/>
              </w:rPr>
              <w:t>Health </w:t>
            </w:r>
            <w:r>
              <w:rPr>
                <w:color w:val="105C84"/>
                <w:sz w:val="18"/>
              </w:rPr>
              <w:t>Priorities Partners as </w:t>
            </w:r>
            <w:r>
              <w:rPr>
                <w:color w:val="105C84"/>
                <w:spacing w:val="-2"/>
                <w:sz w:val="18"/>
              </w:rPr>
              <w:t>needed</w:t>
            </w:r>
          </w:p>
        </w:tc>
      </w:tr>
      <w:tr>
        <w:trPr>
          <w:trHeight w:val="3926" w:hRule="atLeast"/>
        </w:trPr>
        <w:tc>
          <w:tcPr>
            <w:tcW w:w="1008" w:type="dxa"/>
            <w:tcBorders>
              <w:top w:val="nil"/>
              <w:bottom w:val="nil"/>
            </w:tcBorders>
            <w:shd w:val="clear" w:color="auto" w:fill="E6E7E8"/>
          </w:tcPr>
          <w:p>
            <w:pPr>
              <w:pStyle w:val="TableParagraph"/>
              <w:rPr>
                <w:rFonts w:ascii="Times New Roman"/>
                <w:sz w:val="18"/>
              </w:rPr>
            </w:pPr>
          </w:p>
        </w:tc>
        <w:tc>
          <w:tcPr>
            <w:tcW w:w="1383" w:type="dxa"/>
            <w:tcBorders>
              <w:top w:val="nil"/>
              <w:bottom w:val="nil"/>
            </w:tcBorders>
          </w:tcPr>
          <w:p>
            <w:pPr>
              <w:pStyle w:val="TableParagraph"/>
              <w:rPr>
                <w:rFonts w:ascii="Times New Roman"/>
                <w:sz w:val="18"/>
              </w:rPr>
            </w:pPr>
          </w:p>
        </w:tc>
        <w:tc>
          <w:tcPr>
            <w:tcW w:w="1297" w:type="dxa"/>
            <w:tcBorders>
              <w:top w:val="nil"/>
              <w:bottom w:val="nil"/>
            </w:tcBorders>
          </w:tcPr>
          <w:p>
            <w:pPr>
              <w:pStyle w:val="TableParagraph"/>
              <w:rPr>
                <w:rFonts w:ascii="Times New Roman"/>
                <w:sz w:val="18"/>
              </w:rPr>
            </w:pPr>
          </w:p>
        </w:tc>
        <w:tc>
          <w:tcPr>
            <w:tcW w:w="1499" w:type="dxa"/>
            <w:tcBorders>
              <w:top w:val="nil"/>
              <w:bottom w:val="nil"/>
            </w:tcBorders>
          </w:tcPr>
          <w:p>
            <w:pPr>
              <w:pStyle w:val="TableParagraph"/>
              <w:rPr>
                <w:rFonts w:ascii="Times New Roman"/>
                <w:sz w:val="18"/>
              </w:rPr>
            </w:pPr>
          </w:p>
        </w:tc>
        <w:tc>
          <w:tcPr>
            <w:tcW w:w="1153" w:type="dxa"/>
            <w:vMerge/>
            <w:tcBorders>
              <w:top w:val="nil"/>
            </w:tcBorders>
          </w:tcPr>
          <w:p>
            <w:pPr>
              <w:rPr>
                <w:sz w:val="2"/>
                <w:szCs w:val="2"/>
              </w:rPr>
            </w:pPr>
          </w:p>
        </w:tc>
        <w:tc>
          <w:tcPr>
            <w:tcW w:w="1412" w:type="dxa"/>
            <w:tcBorders>
              <w:bottom w:val="nil"/>
            </w:tcBorders>
          </w:tcPr>
          <w:p>
            <w:pPr>
              <w:pStyle w:val="TableParagraph"/>
              <w:spacing w:line="203" w:lineRule="exact" w:before="95"/>
              <w:ind w:left="85"/>
              <w:rPr>
                <w:sz w:val="18"/>
              </w:rPr>
            </w:pPr>
            <w:r>
              <w:rPr>
                <w:color w:val="105C84"/>
                <w:spacing w:val="-2"/>
                <w:sz w:val="18"/>
              </w:rPr>
              <w:t>Intervention</w:t>
            </w:r>
          </w:p>
          <w:p>
            <w:pPr>
              <w:pStyle w:val="TableParagraph"/>
              <w:spacing w:line="232" w:lineRule="auto" w:before="1"/>
              <w:ind w:left="85" w:right="243"/>
              <w:rPr>
                <w:sz w:val="18"/>
              </w:rPr>
            </w:pPr>
            <w:r>
              <w:rPr>
                <w:color w:val="105C84"/>
                <w:sz w:val="18"/>
              </w:rPr>
              <w:t>1.0.4 Multi-</w:t>
            </w:r>
            <w:r>
              <w:rPr>
                <w:color w:val="105C84"/>
                <w:spacing w:val="-2"/>
                <w:sz w:val="18"/>
              </w:rPr>
              <w:t>component school-</w:t>
            </w:r>
            <w:r>
              <w:rPr>
                <w:color w:val="105C84"/>
                <w:spacing w:val="-2"/>
                <w:sz w:val="18"/>
              </w:rPr>
              <w:t>base</w:t>
            </w:r>
            <w:r>
              <w:rPr>
                <w:color w:val="105C84"/>
                <w:spacing w:val="-2"/>
                <w:sz w:val="18"/>
              </w:rPr>
              <w:t>d</w:t>
            </w:r>
            <w:r>
              <w:rPr>
                <w:color w:val="105C84"/>
                <w:spacing w:val="-2"/>
                <w:sz w:val="18"/>
              </w:rPr>
              <w:t> obesity prevention interventions</w:t>
            </w:r>
          </w:p>
        </w:tc>
        <w:tc>
          <w:tcPr>
            <w:tcW w:w="3519" w:type="dxa"/>
            <w:tcBorders>
              <w:bottom w:val="nil"/>
              <w:right w:val="nil"/>
            </w:tcBorders>
          </w:tcPr>
          <w:p>
            <w:pPr>
              <w:pStyle w:val="TableParagraph"/>
              <w:spacing w:line="232" w:lineRule="auto" w:before="99"/>
              <w:ind w:left="84" w:right="1287"/>
              <w:rPr>
                <w:sz w:val="18"/>
              </w:rPr>
            </w:pPr>
            <w:r>
              <w:rPr>
                <w:color w:val="105C84"/>
                <w:sz w:val="18"/>
              </w:rPr>
              <w:t>Steuben Rural Health Network;</w:t>
            </w:r>
            <w:r>
              <w:rPr>
                <w:color w:val="105C84"/>
                <w:spacing w:val="-12"/>
                <w:sz w:val="18"/>
              </w:rPr>
              <w:t> </w:t>
            </w:r>
            <w:r>
              <w:rPr>
                <w:color w:val="105C84"/>
                <w:sz w:val="18"/>
              </w:rPr>
              <w:t>Girls</w:t>
            </w:r>
            <w:r>
              <w:rPr>
                <w:color w:val="105C84"/>
                <w:spacing w:val="-12"/>
                <w:sz w:val="18"/>
              </w:rPr>
              <w:t> </w:t>
            </w:r>
            <w:r>
              <w:rPr>
                <w:color w:val="105C84"/>
                <w:sz w:val="18"/>
              </w:rPr>
              <w:t>on</w:t>
            </w:r>
            <w:r>
              <w:rPr>
                <w:color w:val="105C84"/>
                <w:spacing w:val="-12"/>
                <w:sz w:val="18"/>
              </w:rPr>
              <w:t> </w:t>
            </w:r>
            <w:r>
              <w:rPr>
                <w:color w:val="105C84"/>
                <w:sz w:val="18"/>
              </w:rPr>
              <w:t>the</w:t>
            </w:r>
            <w:r>
              <w:rPr>
                <w:color w:val="105C84"/>
                <w:spacing w:val="-12"/>
                <w:sz w:val="18"/>
              </w:rPr>
              <w:t> </w:t>
            </w:r>
            <w:r>
              <w:rPr>
                <w:color w:val="105C84"/>
                <w:sz w:val="18"/>
              </w:rPr>
              <w:t>Run of the Southern Tier:</w:t>
            </w:r>
          </w:p>
          <w:p>
            <w:pPr>
              <w:pStyle w:val="TableParagraph"/>
              <w:spacing w:line="232" w:lineRule="auto" w:before="88"/>
              <w:ind w:left="84" w:right="1168"/>
              <w:rPr>
                <w:sz w:val="18"/>
              </w:rPr>
            </w:pPr>
            <w:r>
              <w:rPr>
                <w:color w:val="105C84"/>
                <w:sz w:val="18"/>
              </w:rPr>
              <w:t>80% of participants in Girls on the Run of the Southern Tier</w:t>
            </w:r>
            <w:r>
              <w:rPr>
                <w:color w:val="105C84"/>
                <w:spacing w:val="-11"/>
                <w:sz w:val="18"/>
              </w:rPr>
              <w:t> </w:t>
            </w:r>
            <w:r>
              <w:rPr>
                <w:color w:val="105C84"/>
                <w:sz w:val="18"/>
              </w:rPr>
              <w:t>will</w:t>
            </w:r>
            <w:r>
              <w:rPr>
                <w:color w:val="105C84"/>
                <w:spacing w:val="-11"/>
                <w:sz w:val="18"/>
              </w:rPr>
              <w:t> </w:t>
            </w:r>
            <w:r>
              <w:rPr>
                <w:color w:val="105C84"/>
                <w:sz w:val="18"/>
              </w:rPr>
              <w:t>show</w:t>
            </w:r>
            <w:r>
              <w:rPr>
                <w:color w:val="105C84"/>
                <w:spacing w:val="-11"/>
                <w:sz w:val="18"/>
              </w:rPr>
              <w:t> </w:t>
            </w:r>
            <w:r>
              <w:rPr>
                <w:color w:val="105C84"/>
                <w:sz w:val="18"/>
              </w:rPr>
              <w:t>an</w:t>
            </w:r>
            <w:r>
              <w:rPr>
                <w:color w:val="105C84"/>
                <w:spacing w:val="-11"/>
                <w:sz w:val="18"/>
              </w:rPr>
              <w:t> </w:t>
            </w:r>
            <w:r>
              <w:rPr>
                <w:color w:val="105C84"/>
                <w:sz w:val="18"/>
              </w:rPr>
              <w:t>increase</w:t>
            </w:r>
            <w:r>
              <w:rPr>
                <w:color w:val="105C84"/>
                <w:spacing w:val="-11"/>
                <w:sz w:val="18"/>
              </w:rPr>
              <w:t> </w:t>
            </w:r>
            <w:r>
              <w:rPr>
                <w:color w:val="105C84"/>
                <w:sz w:val="18"/>
              </w:rPr>
              <w:t>of physical activity outside of participating in the </w:t>
            </w:r>
            <w:r>
              <w:rPr>
                <w:color w:val="105C84"/>
                <w:sz w:val="18"/>
              </w:rPr>
              <w:t>program during the weekday and </w:t>
            </w:r>
            <w:r>
              <w:rPr>
                <w:color w:val="105C84"/>
                <w:spacing w:val="-2"/>
                <w:sz w:val="18"/>
              </w:rPr>
              <w:t>weekend</w:t>
            </w:r>
          </w:p>
          <w:p>
            <w:pPr>
              <w:pStyle w:val="TableParagraph"/>
              <w:spacing w:line="232" w:lineRule="auto" w:before="85"/>
              <w:ind w:left="84" w:right="978"/>
              <w:rPr>
                <w:sz w:val="18"/>
              </w:rPr>
            </w:pPr>
            <w:r>
              <w:rPr>
                <w:color w:val="105C84"/>
                <w:sz w:val="18"/>
              </w:rPr>
              <w:t>80%</w:t>
            </w:r>
            <w:r>
              <w:rPr>
                <w:color w:val="105C84"/>
                <w:spacing w:val="-10"/>
                <w:sz w:val="18"/>
              </w:rPr>
              <w:t> </w:t>
            </w:r>
            <w:r>
              <w:rPr>
                <w:color w:val="105C84"/>
                <w:sz w:val="18"/>
              </w:rPr>
              <w:t>of</w:t>
            </w:r>
            <w:r>
              <w:rPr>
                <w:color w:val="105C84"/>
                <w:spacing w:val="-10"/>
                <w:sz w:val="18"/>
              </w:rPr>
              <w:t> </w:t>
            </w:r>
            <w:r>
              <w:rPr>
                <w:color w:val="105C84"/>
                <w:sz w:val="18"/>
              </w:rPr>
              <w:t>participants</w:t>
            </w:r>
            <w:r>
              <w:rPr>
                <w:color w:val="105C84"/>
                <w:spacing w:val="-10"/>
                <w:sz w:val="18"/>
              </w:rPr>
              <w:t> </w:t>
            </w:r>
            <w:r>
              <w:rPr>
                <w:color w:val="105C84"/>
                <w:sz w:val="18"/>
              </w:rPr>
              <w:t>in</w:t>
            </w:r>
            <w:r>
              <w:rPr>
                <w:color w:val="105C84"/>
                <w:spacing w:val="-10"/>
                <w:sz w:val="18"/>
              </w:rPr>
              <w:t> </w:t>
            </w:r>
            <w:r>
              <w:rPr>
                <w:color w:val="105C84"/>
                <w:sz w:val="18"/>
              </w:rPr>
              <w:t>Girls</w:t>
            </w:r>
            <w:r>
              <w:rPr>
                <w:color w:val="105C84"/>
                <w:spacing w:val="-10"/>
                <w:sz w:val="18"/>
              </w:rPr>
              <w:t> </w:t>
            </w:r>
            <w:r>
              <w:rPr>
                <w:color w:val="105C84"/>
                <w:sz w:val="18"/>
              </w:rPr>
              <w:t>on the Run of the Southern Tier </w:t>
            </w:r>
            <w:r>
              <w:rPr>
                <w:color w:val="105C84"/>
                <w:spacing w:val="-2"/>
                <w:sz w:val="18"/>
              </w:rPr>
              <w:t>will</w:t>
            </w:r>
            <w:r>
              <w:rPr>
                <w:color w:val="105C84"/>
                <w:spacing w:val="-10"/>
                <w:sz w:val="18"/>
              </w:rPr>
              <w:t> </w:t>
            </w:r>
            <w:r>
              <w:rPr>
                <w:color w:val="105C84"/>
                <w:spacing w:val="-2"/>
                <w:sz w:val="18"/>
              </w:rPr>
              <w:t>show</w:t>
            </w:r>
            <w:r>
              <w:rPr>
                <w:color w:val="105C84"/>
                <w:spacing w:val="-10"/>
                <w:sz w:val="18"/>
              </w:rPr>
              <w:t> </w:t>
            </w:r>
            <w:r>
              <w:rPr>
                <w:color w:val="105C84"/>
                <w:spacing w:val="-2"/>
                <w:sz w:val="18"/>
              </w:rPr>
              <w:t>a</w:t>
            </w:r>
            <w:r>
              <w:rPr>
                <w:color w:val="105C84"/>
                <w:spacing w:val="-10"/>
                <w:sz w:val="18"/>
              </w:rPr>
              <w:t> </w:t>
            </w:r>
            <w:r>
              <w:rPr>
                <w:color w:val="105C84"/>
                <w:spacing w:val="-2"/>
                <w:sz w:val="18"/>
              </w:rPr>
              <w:t>decrease</w:t>
            </w:r>
            <w:r>
              <w:rPr>
                <w:color w:val="105C84"/>
                <w:spacing w:val="-10"/>
                <w:sz w:val="18"/>
              </w:rPr>
              <w:t> </w:t>
            </w:r>
            <w:r>
              <w:rPr>
                <w:color w:val="105C84"/>
                <w:spacing w:val="-2"/>
                <w:sz w:val="18"/>
              </w:rPr>
              <w:t>in</w:t>
            </w:r>
            <w:r>
              <w:rPr>
                <w:color w:val="105C84"/>
                <w:spacing w:val="-10"/>
                <w:sz w:val="18"/>
              </w:rPr>
              <w:t> </w:t>
            </w:r>
            <w:r>
              <w:rPr>
                <w:color w:val="105C84"/>
                <w:spacing w:val="-2"/>
                <w:sz w:val="18"/>
              </w:rPr>
              <w:t>screen </w:t>
            </w:r>
            <w:r>
              <w:rPr>
                <w:color w:val="105C84"/>
                <w:sz w:val="18"/>
              </w:rPr>
              <w:t>time after participating in the program</w:t>
            </w:r>
            <w:r>
              <w:rPr>
                <w:color w:val="105C84"/>
                <w:spacing w:val="-9"/>
                <w:sz w:val="18"/>
              </w:rPr>
              <w:t> </w:t>
            </w:r>
            <w:r>
              <w:rPr>
                <w:color w:val="105C84"/>
                <w:sz w:val="18"/>
              </w:rPr>
              <w:t>(These</w:t>
            </w:r>
            <w:r>
              <w:rPr>
                <w:color w:val="105C84"/>
                <w:spacing w:val="-9"/>
                <w:sz w:val="18"/>
              </w:rPr>
              <w:t> </w:t>
            </w:r>
            <w:r>
              <w:rPr>
                <w:color w:val="105C84"/>
                <w:sz w:val="18"/>
              </w:rPr>
              <w:t>measured</w:t>
            </w:r>
            <w:r>
              <w:rPr>
                <w:color w:val="105C84"/>
                <w:spacing w:val="-9"/>
                <w:sz w:val="18"/>
              </w:rPr>
              <w:t> </w:t>
            </w:r>
            <w:r>
              <w:rPr>
                <w:color w:val="105C84"/>
                <w:sz w:val="18"/>
              </w:rPr>
              <w:t>by completion of pre and post survey asking 2 questions on physical activity)</w:t>
            </w:r>
          </w:p>
        </w:tc>
        <w:tc>
          <w:tcPr>
            <w:tcW w:w="3229" w:type="dxa"/>
            <w:tcBorders>
              <w:left w:val="nil"/>
              <w:bottom w:val="nil"/>
            </w:tcBorders>
          </w:tcPr>
          <w:p>
            <w:pPr>
              <w:pStyle w:val="TableParagraph"/>
              <w:spacing w:line="232" w:lineRule="auto" w:before="99"/>
              <w:ind w:left="1056" w:right="184"/>
              <w:rPr>
                <w:sz w:val="18"/>
              </w:rPr>
            </w:pPr>
            <w:r>
              <w:rPr>
                <w:color w:val="105C84"/>
                <w:sz w:val="18"/>
              </w:rPr>
              <w:t>80% of participants will show an increase of physical</w:t>
            </w:r>
            <w:r>
              <w:rPr>
                <w:color w:val="105C84"/>
                <w:spacing w:val="-15"/>
                <w:sz w:val="18"/>
              </w:rPr>
              <w:t> </w:t>
            </w:r>
            <w:r>
              <w:rPr>
                <w:color w:val="105C84"/>
                <w:sz w:val="18"/>
              </w:rPr>
              <w:t>activity</w:t>
            </w:r>
            <w:r>
              <w:rPr>
                <w:color w:val="105C84"/>
                <w:spacing w:val="-12"/>
                <w:sz w:val="18"/>
              </w:rPr>
              <w:t> </w:t>
            </w:r>
            <w:r>
              <w:rPr>
                <w:color w:val="105C84"/>
                <w:sz w:val="18"/>
              </w:rPr>
              <w:t>outside of the program</w:t>
            </w:r>
          </w:p>
          <w:p>
            <w:pPr>
              <w:pStyle w:val="TableParagraph"/>
              <w:spacing w:line="232" w:lineRule="auto" w:before="87"/>
              <w:ind w:left="1056" w:right="86"/>
              <w:rPr>
                <w:sz w:val="18"/>
              </w:rPr>
            </w:pPr>
            <w:r>
              <w:rPr>
                <w:color w:val="105C84"/>
                <w:sz w:val="18"/>
              </w:rPr>
              <w:t>80% of participants will </w:t>
            </w:r>
            <w:r>
              <w:rPr>
                <w:color w:val="105C84"/>
                <w:spacing w:val="-2"/>
                <w:sz w:val="18"/>
              </w:rPr>
              <w:t>show</w:t>
            </w:r>
            <w:r>
              <w:rPr>
                <w:color w:val="105C84"/>
                <w:spacing w:val="-13"/>
                <w:sz w:val="18"/>
              </w:rPr>
              <w:t> </w:t>
            </w:r>
            <w:r>
              <w:rPr>
                <w:color w:val="105C84"/>
                <w:spacing w:val="-2"/>
                <w:sz w:val="18"/>
              </w:rPr>
              <w:t>a</w:t>
            </w:r>
            <w:r>
              <w:rPr>
                <w:color w:val="105C84"/>
                <w:spacing w:val="-10"/>
                <w:sz w:val="18"/>
              </w:rPr>
              <w:t> </w:t>
            </w:r>
            <w:r>
              <w:rPr>
                <w:color w:val="105C84"/>
                <w:spacing w:val="-2"/>
                <w:sz w:val="18"/>
              </w:rPr>
              <w:t>decrease</w:t>
            </w:r>
            <w:r>
              <w:rPr>
                <w:color w:val="105C84"/>
                <w:spacing w:val="-11"/>
                <w:sz w:val="18"/>
              </w:rPr>
              <w:t> </w:t>
            </w:r>
            <w:r>
              <w:rPr>
                <w:color w:val="105C84"/>
                <w:spacing w:val="-2"/>
                <w:sz w:val="18"/>
              </w:rPr>
              <w:t>in</w:t>
            </w:r>
            <w:r>
              <w:rPr>
                <w:color w:val="105C84"/>
                <w:spacing w:val="-10"/>
                <w:sz w:val="18"/>
              </w:rPr>
              <w:t> </w:t>
            </w:r>
            <w:r>
              <w:rPr>
                <w:color w:val="105C84"/>
                <w:spacing w:val="-2"/>
                <w:sz w:val="18"/>
              </w:rPr>
              <w:t>screen </w:t>
            </w:r>
            <w:r>
              <w:rPr>
                <w:color w:val="105C84"/>
                <w:sz w:val="18"/>
              </w:rPr>
              <w:t>time after participating in the program (completion of pre and post survey asking 2 questions on physical activity)</w:t>
            </w:r>
          </w:p>
          <w:p>
            <w:pPr>
              <w:pStyle w:val="TableParagraph"/>
              <w:spacing w:line="232" w:lineRule="auto" w:before="84"/>
              <w:ind w:left="1056"/>
              <w:rPr>
                <w:sz w:val="18"/>
              </w:rPr>
            </w:pPr>
            <w:r>
              <w:rPr>
                <w:color w:val="105C84"/>
                <w:sz w:val="18"/>
              </w:rPr>
              <w:t>90%</w:t>
            </w:r>
            <w:r>
              <w:rPr>
                <w:color w:val="105C84"/>
                <w:spacing w:val="-13"/>
                <w:sz w:val="18"/>
              </w:rPr>
              <w:t> </w:t>
            </w:r>
            <w:r>
              <w:rPr>
                <w:color w:val="105C84"/>
                <w:sz w:val="18"/>
              </w:rPr>
              <w:t>of</w:t>
            </w:r>
            <w:r>
              <w:rPr>
                <w:color w:val="105C84"/>
                <w:spacing w:val="-12"/>
                <w:sz w:val="18"/>
              </w:rPr>
              <w:t> </w:t>
            </w:r>
            <w:r>
              <w:rPr>
                <w:color w:val="105C84"/>
                <w:sz w:val="18"/>
              </w:rPr>
              <w:t>participants</w:t>
            </w:r>
            <w:r>
              <w:rPr>
                <w:color w:val="105C84"/>
                <w:spacing w:val="-13"/>
                <w:sz w:val="18"/>
              </w:rPr>
              <w:t> </w:t>
            </w:r>
            <w:r>
              <w:rPr>
                <w:color w:val="105C84"/>
                <w:sz w:val="18"/>
              </w:rPr>
              <w:t>will complete a 5K</w:t>
            </w:r>
          </w:p>
          <w:p>
            <w:pPr>
              <w:pStyle w:val="TableParagraph"/>
              <w:spacing w:line="232" w:lineRule="auto" w:before="89"/>
              <w:ind w:left="1056" w:right="130"/>
              <w:rPr>
                <w:sz w:val="18"/>
              </w:rPr>
            </w:pPr>
            <w:r>
              <w:rPr>
                <w:color w:val="105C84"/>
                <w:spacing w:val="-2"/>
                <w:w w:val="105"/>
                <w:sz w:val="18"/>
              </w:rPr>
              <w:t>Open</w:t>
            </w:r>
            <w:r>
              <w:rPr>
                <w:color w:val="105C84"/>
                <w:spacing w:val="-12"/>
                <w:w w:val="105"/>
                <w:sz w:val="18"/>
              </w:rPr>
              <w:t> </w:t>
            </w:r>
            <w:r>
              <w:rPr>
                <w:color w:val="105C84"/>
                <w:spacing w:val="-2"/>
                <w:w w:val="105"/>
                <w:sz w:val="18"/>
              </w:rPr>
              <w:t>rate</w:t>
            </w:r>
            <w:r>
              <w:rPr>
                <w:color w:val="105C84"/>
                <w:spacing w:val="-11"/>
                <w:w w:val="105"/>
                <w:sz w:val="18"/>
              </w:rPr>
              <w:t> </w:t>
            </w:r>
            <w:r>
              <w:rPr>
                <w:color w:val="105C84"/>
                <w:spacing w:val="-2"/>
                <w:w w:val="105"/>
                <w:sz w:val="18"/>
              </w:rPr>
              <w:t>of</w:t>
            </w:r>
            <w:r>
              <w:rPr>
                <w:color w:val="105C84"/>
                <w:spacing w:val="-11"/>
                <w:w w:val="105"/>
                <w:sz w:val="18"/>
              </w:rPr>
              <w:t> </w:t>
            </w:r>
            <w:r>
              <w:rPr>
                <w:color w:val="105C84"/>
                <w:spacing w:val="-2"/>
                <w:w w:val="105"/>
                <w:sz w:val="18"/>
              </w:rPr>
              <w:t>35</w:t>
            </w:r>
            <w:r>
              <w:rPr>
                <w:color w:val="105C84"/>
                <w:spacing w:val="-11"/>
                <w:w w:val="105"/>
                <w:sz w:val="18"/>
              </w:rPr>
              <w:t> </w:t>
            </w:r>
            <w:r>
              <w:rPr>
                <w:color w:val="105C84"/>
                <w:spacing w:val="-2"/>
                <w:w w:val="105"/>
                <w:sz w:val="18"/>
              </w:rPr>
              <w:t>%</w:t>
            </w:r>
            <w:r>
              <w:rPr>
                <w:color w:val="105C84"/>
                <w:spacing w:val="-11"/>
                <w:w w:val="105"/>
                <w:sz w:val="18"/>
              </w:rPr>
              <w:t> </w:t>
            </w:r>
            <w:r>
              <w:rPr>
                <w:color w:val="105C84"/>
                <w:spacing w:val="-2"/>
                <w:w w:val="105"/>
                <w:sz w:val="18"/>
              </w:rPr>
              <w:t>for</w:t>
            </w:r>
            <w:r>
              <w:rPr>
                <w:color w:val="105C84"/>
                <w:spacing w:val="-11"/>
                <w:w w:val="105"/>
                <w:sz w:val="18"/>
              </w:rPr>
              <w:t> </w:t>
            </w:r>
            <w:r>
              <w:rPr>
                <w:color w:val="105C84"/>
                <w:spacing w:val="-2"/>
                <w:w w:val="105"/>
                <w:sz w:val="18"/>
              </w:rPr>
              <w:t>the </w:t>
            </w:r>
            <w:r>
              <w:rPr>
                <w:color w:val="105C84"/>
                <w:w w:val="105"/>
                <w:sz w:val="18"/>
              </w:rPr>
              <w:t>nutrition fact email</w:t>
            </w:r>
          </w:p>
        </w:tc>
        <w:tc>
          <w:tcPr>
            <w:tcW w:w="2017" w:type="dxa"/>
            <w:tcBorders>
              <w:bottom w:val="nil"/>
            </w:tcBorders>
          </w:tcPr>
          <w:p>
            <w:pPr>
              <w:pStyle w:val="TableParagraph"/>
              <w:spacing w:line="232" w:lineRule="auto" w:before="99"/>
              <w:ind w:left="83" w:right="350"/>
              <w:rPr>
                <w:sz w:val="18"/>
              </w:rPr>
            </w:pPr>
            <w:r>
              <w:rPr>
                <w:color w:val="105C84"/>
                <w:sz w:val="18"/>
              </w:rPr>
              <w:t>85%</w:t>
            </w:r>
            <w:r>
              <w:rPr>
                <w:color w:val="105C84"/>
                <w:spacing w:val="-1"/>
                <w:sz w:val="18"/>
              </w:rPr>
              <w:t> </w:t>
            </w:r>
            <w:r>
              <w:rPr>
                <w:color w:val="105C84"/>
                <w:sz w:val="18"/>
              </w:rPr>
              <w:t>of</w:t>
            </w:r>
            <w:r>
              <w:rPr>
                <w:color w:val="105C84"/>
                <w:spacing w:val="-1"/>
                <w:sz w:val="18"/>
              </w:rPr>
              <w:t> </w:t>
            </w:r>
            <w:r>
              <w:rPr>
                <w:color w:val="105C84"/>
                <w:sz w:val="18"/>
              </w:rPr>
              <w:t>participants will show an increase</w:t>
            </w:r>
            <w:r>
              <w:rPr>
                <w:color w:val="105C84"/>
                <w:spacing w:val="-15"/>
                <w:sz w:val="18"/>
              </w:rPr>
              <w:t> </w:t>
            </w:r>
            <w:r>
              <w:rPr>
                <w:color w:val="105C84"/>
                <w:sz w:val="18"/>
              </w:rPr>
              <w:t>of</w:t>
            </w:r>
            <w:r>
              <w:rPr>
                <w:color w:val="105C84"/>
                <w:spacing w:val="-12"/>
                <w:sz w:val="18"/>
              </w:rPr>
              <w:t> </w:t>
            </w:r>
            <w:r>
              <w:rPr>
                <w:color w:val="105C84"/>
                <w:sz w:val="18"/>
              </w:rPr>
              <w:t>physical activity outside of participating in the program</w:t>
            </w:r>
            <w:r>
              <w:rPr>
                <w:color w:val="105C84"/>
                <w:spacing w:val="13"/>
                <w:sz w:val="18"/>
              </w:rPr>
              <w:t> </w:t>
            </w:r>
            <w:r>
              <w:rPr>
                <w:color w:val="105C84"/>
                <w:sz w:val="18"/>
              </w:rPr>
              <w:t>during</w:t>
            </w:r>
            <w:r>
              <w:rPr>
                <w:color w:val="105C84"/>
                <w:spacing w:val="14"/>
                <w:sz w:val="18"/>
              </w:rPr>
              <w:t> </w:t>
            </w:r>
            <w:r>
              <w:rPr>
                <w:color w:val="105C84"/>
                <w:spacing w:val="-5"/>
                <w:sz w:val="18"/>
              </w:rPr>
              <w:t>the</w:t>
            </w:r>
          </w:p>
          <w:p>
            <w:pPr>
              <w:pStyle w:val="TableParagraph"/>
              <w:spacing w:line="197" w:lineRule="exact"/>
              <w:ind w:left="83"/>
              <w:rPr>
                <w:sz w:val="18"/>
              </w:rPr>
            </w:pPr>
            <w:r>
              <w:rPr>
                <w:color w:val="105C84"/>
                <w:sz w:val="18"/>
              </w:rPr>
              <w:t>weekday</w:t>
            </w:r>
            <w:r>
              <w:rPr>
                <w:color w:val="105C84"/>
                <w:spacing w:val="-10"/>
                <w:sz w:val="18"/>
              </w:rPr>
              <w:t> </w:t>
            </w:r>
            <w:r>
              <w:rPr>
                <w:color w:val="105C84"/>
                <w:sz w:val="18"/>
              </w:rPr>
              <w:t>and</w:t>
            </w:r>
            <w:r>
              <w:rPr>
                <w:color w:val="105C84"/>
                <w:spacing w:val="-10"/>
                <w:sz w:val="18"/>
              </w:rPr>
              <w:t> </w:t>
            </w:r>
            <w:r>
              <w:rPr>
                <w:color w:val="105C84"/>
                <w:spacing w:val="-2"/>
                <w:sz w:val="18"/>
              </w:rPr>
              <w:t>weekend</w:t>
            </w:r>
          </w:p>
          <w:p>
            <w:pPr>
              <w:pStyle w:val="TableParagraph"/>
              <w:spacing w:line="232" w:lineRule="auto" w:before="88"/>
              <w:ind w:left="83" w:right="209"/>
              <w:rPr>
                <w:sz w:val="18"/>
              </w:rPr>
            </w:pPr>
            <w:r>
              <w:rPr>
                <w:color w:val="105C84"/>
                <w:sz w:val="18"/>
              </w:rPr>
              <w:t>85% of participants </w:t>
            </w:r>
            <w:r>
              <w:rPr>
                <w:color w:val="105C84"/>
                <w:spacing w:val="-2"/>
                <w:sz w:val="18"/>
              </w:rPr>
              <w:t>will</w:t>
            </w:r>
            <w:r>
              <w:rPr>
                <w:color w:val="105C84"/>
                <w:spacing w:val="-11"/>
                <w:sz w:val="18"/>
              </w:rPr>
              <w:t> </w:t>
            </w:r>
            <w:r>
              <w:rPr>
                <w:color w:val="105C84"/>
                <w:spacing w:val="-2"/>
                <w:sz w:val="18"/>
              </w:rPr>
              <w:t>show</w:t>
            </w:r>
            <w:r>
              <w:rPr>
                <w:color w:val="105C84"/>
                <w:spacing w:val="-10"/>
                <w:sz w:val="18"/>
              </w:rPr>
              <w:t> </w:t>
            </w:r>
            <w:r>
              <w:rPr>
                <w:color w:val="105C84"/>
                <w:spacing w:val="-2"/>
                <w:sz w:val="18"/>
              </w:rPr>
              <w:t>a</w:t>
            </w:r>
            <w:r>
              <w:rPr>
                <w:color w:val="105C84"/>
                <w:spacing w:val="-11"/>
                <w:sz w:val="18"/>
              </w:rPr>
              <w:t> </w:t>
            </w:r>
            <w:r>
              <w:rPr>
                <w:color w:val="105C84"/>
                <w:spacing w:val="-2"/>
                <w:sz w:val="18"/>
              </w:rPr>
              <w:t>decrease </w:t>
            </w:r>
            <w:r>
              <w:rPr>
                <w:color w:val="105C84"/>
                <w:sz w:val="18"/>
              </w:rPr>
              <w:t>in screen time after participating in the </w:t>
            </w:r>
            <w:r>
              <w:rPr>
                <w:color w:val="105C84"/>
                <w:spacing w:val="-2"/>
                <w:sz w:val="18"/>
              </w:rPr>
              <w:t>program</w:t>
            </w:r>
          </w:p>
          <w:p>
            <w:pPr>
              <w:pStyle w:val="TableParagraph"/>
              <w:spacing w:line="232" w:lineRule="auto" w:before="86"/>
              <w:ind w:left="83"/>
              <w:rPr>
                <w:sz w:val="18"/>
              </w:rPr>
            </w:pPr>
            <w:r>
              <w:rPr>
                <w:color w:val="105C84"/>
                <w:sz w:val="18"/>
              </w:rPr>
              <w:t>90%</w:t>
            </w:r>
            <w:r>
              <w:rPr>
                <w:color w:val="105C84"/>
                <w:spacing w:val="-13"/>
                <w:sz w:val="18"/>
              </w:rPr>
              <w:t> </w:t>
            </w:r>
            <w:r>
              <w:rPr>
                <w:color w:val="105C84"/>
                <w:sz w:val="18"/>
              </w:rPr>
              <w:t>of</w:t>
            </w:r>
            <w:r>
              <w:rPr>
                <w:color w:val="105C84"/>
                <w:spacing w:val="-12"/>
                <w:sz w:val="18"/>
              </w:rPr>
              <w:t> </w:t>
            </w:r>
            <w:r>
              <w:rPr>
                <w:color w:val="105C84"/>
                <w:sz w:val="18"/>
              </w:rPr>
              <w:t>participants</w:t>
            </w:r>
            <w:r>
              <w:rPr>
                <w:color w:val="105C84"/>
                <w:spacing w:val="-13"/>
                <w:sz w:val="18"/>
              </w:rPr>
              <w:t> </w:t>
            </w:r>
            <w:r>
              <w:rPr>
                <w:color w:val="105C84"/>
                <w:sz w:val="18"/>
              </w:rPr>
              <w:t>will complete a 5K</w:t>
            </w:r>
          </w:p>
          <w:p>
            <w:pPr>
              <w:pStyle w:val="TableParagraph"/>
              <w:spacing w:line="232" w:lineRule="auto" w:before="88"/>
              <w:ind w:left="83" w:right="119"/>
              <w:rPr>
                <w:sz w:val="18"/>
              </w:rPr>
            </w:pPr>
            <w:r>
              <w:rPr>
                <w:color w:val="105C84"/>
                <w:w w:val="105"/>
                <w:sz w:val="18"/>
              </w:rPr>
              <w:t>Open</w:t>
            </w:r>
            <w:r>
              <w:rPr>
                <w:color w:val="105C84"/>
                <w:spacing w:val="-9"/>
                <w:w w:val="105"/>
                <w:sz w:val="18"/>
              </w:rPr>
              <w:t> </w:t>
            </w:r>
            <w:r>
              <w:rPr>
                <w:color w:val="105C84"/>
                <w:w w:val="105"/>
                <w:sz w:val="18"/>
              </w:rPr>
              <w:t>rate</w:t>
            </w:r>
            <w:r>
              <w:rPr>
                <w:color w:val="105C84"/>
                <w:spacing w:val="-9"/>
                <w:w w:val="105"/>
                <w:sz w:val="18"/>
              </w:rPr>
              <w:t> </w:t>
            </w:r>
            <w:r>
              <w:rPr>
                <w:color w:val="105C84"/>
                <w:w w:val="105"/>
                <w:sz w:val="18"/>
              </w:rPr>
              <w:t>of</w:t>
            </w:r>
            <w:r>
              <w:rPr>
                <w:color w:val="105C84"/>
                <w:spacing w:val="-9"/>
                <w:w w:val="105"/>
                <w:sz w:val="18"/>
              </w:rPr>
              <w:t> </w:t>
            </w:r>
            <w:r>
              <w:rPr>
                <w:color w:val="105C84"/>
                <w:w w:val="105"/>
                <w:sz w:val="18"/>
              </w:rPr>
              <w:t>40</w:t>
            </w:r>
            <w:r>
              <w:rPr>
                <w:color w:val="105C84"/>
                <w:spacing w:val="-9"/>
                <w:w w:val="105"/>
                <w:sz w:val="18"/>
              </w:rPr>
              <w:t> </w:t>
            </w:r>
            <w:r>
              <w:rPr>
                <w:color w:val="105C84"/>
                <w:w w:val="105"/>
                <w:sz w:val="18"/>
              </w:rPr>
              <w:t>%</w:t>
            </w:r>
            <w:r>
              <w:rPr>
                <w:color w:val="105C84"/>
                <w:spacing w:val="-9"/>
                <w:w w:val="105"/>
                <w:sz w:val="18"/>
              </w:rPr>
              <w:t> </w:t>
            </w:r>
            <w:r>
              <w:rPr>
                <w:color w:val="105C84"/>
                <w:w w:val="105"/>
                <w:sz w:val="18"/>
              </w:rPr>
              <w:t>for the</w:t>
            </w:r>
            <w:r>
              <w:rPr>
                <w:color w:val="105C84"/>
                <w:spacing w:val="-13"/>
                <w:w w:val="105"/>
                <w:sz w:val="18"/>
              </w:rPr>
              <w:t> </w:t>
            </w:r>
            <w:r>
              <w:rPr>
                <w:color w:val="105C84"/>
                <w:w w:val="105"/>
                <w:sz w:val="18"/>
              </w:rPr>
              <w:t>nutrition</w:t>
            </w:r>
            <w:r>
              <w:rPr>
                <w:color w:val="105C84"/>
                <w:spacing w:val="-13"/>
                <w:w w:val="105"/>
                <w:sz w:val="18"/>
              </w:rPr>
              <w:t> </w:t>
            </w:r>
            <w:r>
              <w:rPr>
                <w:color w:val="105C84"/>
                <w:w w:val="105"/>
                <w:sz w:val="18"/>
              </w:rPr>
              <w:t>fact</w:t>
            </w:r>
            <w:r>
              <w:rPr>
                <w:color w:val="105C84"/>
                <w:spacing w:val="-13"/>
                <w:w w:val="105"/>
                <w:sz w:val="18"/>
              </w:rPr>
              <w:t> </w:t>
            </w:r>
            <w:r>
              <w:rPr>
                <w:color w:val="105C84"/>
                <w:spacing w:val="-5"/>
                <w:w w:val="105"/>
                <w:sz w:val="18"/>
              </w:rPr>
              <w:t>email</w:t>
            </w:r>
          </w:p>
        </w:tc>
        <w:tc>
          <w:tcPr>
            <w:tcW w:w="2062" w:type="dxa"/>
            <w:tcBorders>
              <w:bottom w:val="nil"/>
            </w:tcBorders>
          </w:tcPr>
          <w:p>
            <w:pPr>
              <w:pStyle w:val="TableParagraph"/>
              <w:spacing w:line="232" w:lineRule="auto" w:before="98"/>
              <w:ind w:left="82"/>
              <w:rPr>
                <w:sz w:val="18"/>
              </w:rPr>
            </w:pPr>
            <w:r>
              <w:rPr>
                <w:color w:val="105C84"/>
                <w:sz w:val="18"/>
              </w:rPr>
              <w:t>90% of participants will show an increase of physical</w:t>
            </w:r>
            <w:r>
              <w:rPr>
                <w:color w:val="105C84"/>
                <w:spacing w:val="-15"/>
                <w:sz w:val="18"/>
              </w:rPr>
              <w:t> </w:t>
            </w:r>
            <w:r>
              <w:rPr>
                <w:color w:val="105C84"/>
                <w:sz w:val="18"/>
              </w:rPr>
              <w:t>activity</w:t>
            </w:r>
            <w:r>
              <w:rPr>
                <w:color w:val="105C84"/>
                <w:spacing w:val="-12"/>
                <w:sz w:val="18"/>
              </w:rPr>
              <w:t> </w:t>
            </w:r>
            <w:r>
              <w:rPr>
                <w:color w:val="105C84"/>
                <w:sz w:val="18"/>
              </w:rPr>
              <w:t>outside of participating in the program during the weekday and weekend</w:t>
            </w:r>
          </w:p>
          <w:p>
            <w:pPr>
              <w:pStyle w:val="TableParagraph"/>
              <w:spacing w:line="232" w:lineRule="auto" w:before="85"/>
              <w:ind w:left="82" w:right="255"/>
              <w:rPr>
                <w:sz w:val="18"/>
              </w:rPr>
            </w:pPr>
            <w:r>
              <w:rPr>
                <w:color w:val="105C84"/>
                <w:sz w:val="18"/>
              </w:rPr>
              <w:t>90% of participants </w:t>
            </w:r>
            <w:r>
              <w:rPr>
                <w:color w:val="105C84"/>
                <w:spacing w:val="-2"/>
                <w:sz w:val="18"/>
              </w:rPr>
              <w:t>will</w:t>
            </w:r>
            <w:r>
              <w:rPr>
                <w:color w:val="105C84"/>
                <w:spacing w:val="-11"/>
                <w:sz w:val="18"/>
              </w:rPr>
              <w:t> </w:t>
            </w:r>
            <w:r>
              <w:rPr>
                <w:color w:val="105C84"/>
                <w:spacing w:val="-2"/>
                <w:sz w:val="18"/>
              </w:rPr>
              <w:t>show</w:t>
            </w:r>
            <w:r>
              <w:rPr>
                <w:color w:val="105C84"/>
                <w:spacing w:val="-10"/>
                <w:sz w:val="18"/>
              </w:rPr>
              <w:t> </w:t>
            </w:r>
            <w:r>
              <w:rPr>
                <w:color w:val="105C84"/>
                <w:spacing w:val="-2"/>
                <w:sz w:val="18"/>
              </w:rPr>
              <w:t>a</w:t>
            </w:r>
            <w:r>
              <w:rPr>
                <w:color w:val="105C84"/>
                <w:spacing w:val="-11"/>
                <w:sz w:val="18"/>
              </w:rPr>
              <w:t> </w:t>
            </w:r>
            <w:r>
              <w:rPr>
                <w:color w:val="105C84"/>
                <w:spacing w:val="-2"/>
                <w:sz w:val="18"/>
              </w:rPr>
              <w:t>decrease </w:t>
            </w:r>
            <w:r>
              <w:rPr>
                <w:color w:val="105C84"/>
                <w:sz w:val="18"/>
              </w:rPr>
              <w:t>in screen time after participating in the </w:t>
            </w:r>
            <w:r>
              <w:rPr>
                <w:color w:val="105C84"/>
                <w:spacing w:val="-2"/>
                <w:sz w:val="18"/>
              </w:rPr>
              <w:t>program</w:t>
            </w:r>
          </w:p>
          <w:p>
            <w:pPr>
              <w:pStyle w:val="TableParagraph"/>
              <w:spacing w:line="232" w:lineRule="auto" w:before="87"/>
              <w:ind w:left="82"/>
              <w:rPr>
                <w:sz w:val="18"/>
              </w:rPr>
            </w:pPr>
            <w:r>
              <w:rPr>
                <w:color w:val="105C84"/>
                <w:sz w:val="18"/>
              </w:rPr>
              <w:t>90%</w:t>
            </w:r>
            <w:r>
              <w:rPr>
                <w:color w:val="105C84"/>
                <w:spacing w:val="-13"/>
                <w:sz w:val="18"/>
              </w:rPr>
              <w:t> </w:t>
            </w:r>
            <w:r>
              <w:rPr>
                <w:color w:val="105C84"/>
                <w:sz w:val="18"/>
              </w:rPr>
              <w:t>of</w:t>
            </w:r>
            <w:r>
              <w:rPr>
                <w:color w:val="105C84"/>
                <w:spacing w:val="-12"/>
                <w:sz w:val="18"/>
              </w:rPr>
              <w:t> </w:t>
            </w:r>
            <w:r>
              <w:rPr>
                <w:color w:val="105C84"/>
                <w:sz w:val="18"/>
              </w:rPr>
              <w:t>participants</w:t>
            </w:r>
            <w:r>
              <w:rPr>
                <w:color w:val="105C84"/>
                <w:spacing w:val="-13"/>
                <w:sz w:val="18"/>
              </w:rPr>
              <w:t> </w:t>
            </w:r>
            <w:r>
              <w:rPr>
                <w:color w:val="105C84"/>
                <w:sz w:val="18"/>
              </w:rPr>
              <w:t>will complete a 5K</w:t>
            </w:r>
          </w:p>
          <w:p>
            <w:pPr>
              <w:pStyle w:val="TableParagraph"/>
              <w:spacing w:line="232" w:lineRule="auto" w:before="88"/>
              <w:ind w:left="82"/>
              <w:rPr>
                <w:sz w:val="18"/>
              </w:rPr>
            </w:pPr>
            <w:r>
              <w:rPr>
                <w:color w:val="105C84"/>
                <w:w w:val="105"/>
                <w:sz w:val="18"/>
              </w:rPr>
              <w:t>Open rate of 45% for </w:t>
            </w:r>
            <w:r>
              <w:rPr>
                <w:color w:val="105C84"/>
                <w:spacing w:val="-2"/>
                <w:w w:val="105"/>
                <w:sz w:val="18"/>
              </w:rPr>
              <w:t>the</w:t>
            </w:r>
            <w:r>
              <w:rPr>
                <w:color w:val="105C84"/>
                <w:spacing w:val="-12"/>
                <w:w w:val="105"/>
                <w:sz w:val="18"/>
              </w:rPr>
              <w:t> </w:t>
            </w:r>
            <w:r>
              <w:rPr>
                <w:color w:val="105C84"/>
                <w:spacing w:val="-2"/>
                <w:w w:val="105"/>
                <w:sz w:val="18"/>
              </w:rPr>
              <w:t>nutrition</w:t>
            </w:r>
            <w:r>
              <w:rPr>
                <w:color w:val="105C84"/>
                <w:spacing w:val="-11"/>
                <w:w w:val="105"/>
                <w:sz w:val="18"/>
              </w:rPr>
              <w:t> </w:t>
            </w:r>
            <w:r>
              <w:rPr>
                <w:color w:val="105C84"/>
                <w:spacing w:val="-2"/>
                <w:w w:val="105"/>
                <w:sz w:val="18"/>
              </w:rPr>
              <w:t>fact</w:t>
            </w:r>
            <w:r>
              <w:rPr>
                <w:color w:val="105C84"/>
                <w:spacing w:val="-11"/>
                <w:w w:val="105"/>
                <w:sz w:val="18"/>
              </w:rPr>
              <w:t> </w:t>
            </w:r>
            <w:r>
              <w:rPr>
                <w:color w:val="105C84"/>
                <w:spacing w:val="-2"/>
                <w:w w:val="105"/>
                <w:sz w:val="18"/>
              </w:rPr>
              <w:t>email</w:t>
            </w:r>
          </w:p>
        </w:tc>
        <w:tc>
          <w:tcPr>
            <w:tcW w:w="1764" w:type="dxa"/>
            <w:tcBorders>
              <w:bottom w:val="nil"/>
            </w:tcBorders>
          </w:tcPr>
          <w:p>
            <w:pPr>
              <w:pStyle w:val="TableParagraph"/>
              <w:spacing w:line="232" w:lineRule="auto" w:before="98"/>
              <w:ind w:left="80"/>
              <w:rPr>
                <w:sz w:val="18"/>
              </w:rPr>
            </w:pPr>
            <w:r>
              <w:rPr>
                <w:color w:val="105C84"/>
                <w:spacing w:val="-2"/>
                <w:sz w:val="18"/>
              </w:rPr>
              <w:t>Community-</w:t>
            </w:r>
            <w:r>
              <w:rPr>
                <w:color w:val="105C84"/>
                <w:spacing w:val="-2"/>
                <w:sz w:val="18"/>
              </w:rPr>
              <w:t>based organizations</w:t>
            </w:r>
          </w:p>
        </w:tc>
        <w:tc>
          <w:tcPr>
            <w:tcW w:w="1985" w:type="dxa"/>
            <w:tcBorders>
              <w:bottom w:val="nil"/>
            </w:tcBorders>
          </w:tcPr>
          <w:p>
            <w:pPr>
              <w:pStyle w:val="TableParagraph"/>
              <w:spacing w:line="232" w:lineRule="auto" w:before="98"/>
              <w:ind w:left="79" w:right="188"/>
              <w:rPr>
                <w:sz w:val="18"/>
              </w:rPr>
            </w:pPr>
            <w:r>
              <w:rPr>
                <w:color w:val="105C84"/>
                <w:sz w:val="18"/>
              </w:rPr>
              <w:t>SRHN responsible</w:t>
            </w:r>
            <w:r>
              <w:rPr>
                <w:color w:val="105C84"/>
                <w:spacing w:val="40"/>
                <w:sz w:val="18"/>
              </w:rPr>
              <w:t> </w:t>
            </w:r>
            <w:r>
              <w:rPr>
                <w:color w:val="105C84"/>
                <w:sz w:val="18"/>
              </w:rPr>
              <w:t>for intervention providing needed staff</w:t>
            </w:r>
            <w:r>
              <w:rPr>
                <w:color w:val="105C84"/>
                <w:spacing w:val="-13"/>
                <w:sz w:val="18"/>
              </w:rPr>
              <w:t> </w:t>
            </w:r>
            <w:r>
              <w:rPr>
                <w:color w:val="105C84"/>
                <w:sz w:val="18"/>
              </w:rPr>
              <w:t>and</w:t>
            </w:r>
            <w:r>
              <w:rPr>
                <w:color w:val="105C84"/>
                <w:spacing w:val="-12"/>
                <w:sz w:val="18"/>
              </w:rPr>
              <w:t> </w:t>
            </w:r>
            <w:r>
              <w:rPr>
                <w:color w:val="105C84"/>
                <w:sz w:val="18"/>
              </w:rPr>
              <w:t>resources</w:t>
            </w:r>
            <w:r>
              <w:rPr>
                <w:color w:val="105C84"/>
                <w:spacing w:val="-13"/>
                <w:sz w:val="18"/>
              </w:rPr>
              <w:t> </w:t>
            </w:r>
            <w:r>
              <w:rPr>
                <w:color w:val="105C84"/>
                <w:sz w:val="18"/>
              </w:rPr>
              <w:t>to meet measures with</w:t>
            </w:r>
          </w:p>
          <w:p>
            <w:pPr>
              <w:pStyle w:val="TableParagraph"/>
              <w:spacing w:line="232" w:lineRule="auto"/>
              <w:ind w:left="79"/>
              <w:rPr>
                <w:sz w:val="18"/>
              </w:rPr>
            </w:pPr>
            <w:r>
              <w:rPr>
                <w:color w:val="105C84"/>
                <w:spacing w:val="-2"/>
                <w:sz w:val="18"/>
              </w:rPr>
              <w:t>assistance</w:t>
            </w:r>
            <w:r>
              <w:rPr>
                <w:color w:val="105C84"/>
                <w:spacing w:val="-13"/>
                <w:sz w:val="18"/>
              </w:rPr>
              <w:t> </w:t>
            </w:r>
            <w:r>
              <w:rPr>
                <w:color w:val="105C84"/>
                <w:spacing w:val="-2"/>
                <w:sz w:val="18"/>
              </w:rPr>
              <w:t>from</w:t>
            </w:r>
            <w:r>
              <w:rPr>
                <w:color w:val="105C84"/>
                <w:spacing w:val="-10"/>
                <w:sz w:val="18"/>
              </w:rPr>
              <w:t> </w:t>
            </w:r>
            <w:r>
              <w:rPr>
                <w:color w:val="105C84"/>
                <w:spacing w:val="-2"/>
                <w:sz w:val="18"/>
              </w:rPr>
              <w:t>Health </w:t>
            </w:r>
            <w:r>
              <w:rPr>
                <w:color w:val="105C84"/>
                <w:sz w:val="18"/>
              </w:rPr>
              <w:t>Priorities Partners as </w:t>
            </w:r>
            <w:r>
              <w:rPr>
                <w:color w:val="105C84"/>
                <w:spacing w:val="-2"/>
                <w:sz w:val="18"/>
              </w:rPr>
              <w:t>needed</w:t>
            </w:r>
          </w:p>
        </w:tc>
      </w:tr>
      <w:tr>
        <w:trPr>
          <w:trHeight w:val="479" w:hRule="atLeast"/>
        </w:trPr>
        <w:tc>
          <w:tcPr>
            <w:tcW w:w="1008" w:type="dxa"/>
            <w:tcBorders>
              <w:top w:val="nil"/>
              <w:bottom w:val="nil"/>
            </w:tcBorders>
            <w:shd w:val="clear" w:color="auto" w:fill="E6E7E8"/>
          </w:tcPr>
          <w:p>
            <w:pPr>
              <w:pStyle w:val="TableParagraph"/>
              <w:rPr>
                <w:rFonts w:ascii="Times New Roman"/>
                <w:sz w:val="18"/>
              </w:rPr>
            </w:pPr>
          </w:p>
        </w:tc>
        <w:tc>
          <w:tcPr>
            <w:tcW w:w="1383" w:type="dxa"/>
            <w:tcBorders>
              <w:top w:val="nil"/>
              <w:bottom w:val="nil"/>
            </w:tcBorders>
          </w:tcPr>
          <w:p>
            <w:pPr>
              <w:pStyle w:val="TableParagraph"/>
              <w:rPr>
                <w:rFonts w:ascii="Times New Roman"/>
                <w:sz w:val="18"/>
              </w:rPr>
            </w:pPr>
          </w:p>
        </w:tc>
        <w:tc>
          <w:tcPr>
            <w:tcW w:w="1297" w:type="dxa"/>
            <w:tcBorders>
              <w:top w:val="nil"/>
              <w:bottom w:val="nil"/>
            </w:tcBorders>
          </w:tcPr>
          <w:p>
            <w:pPr>
              <w:pStyle w:val="TableParagraph"/>
              <w:rPr>
                <w:rFonts w:ascii="Times New Roman"/>
                <w:sz w:val="18"/>
              </w:rPr>
            </w:pPr>
          </w:p>
        </w:tc>
        <w:tc>
          <w:tcPr>
            <w:tcW w:w="1499" w:type="dxa"/>
            <w:tcBorders>
              <w:top w:val="nil"/>
              <w:bottom w:val="nil"/>
            </w:tcBorders>
          </w:tcPr>
          <w:p>
            <w:pPr>
              <w:pStyle w:val="TableParagraph"/>
              <w:rPr>
                <w:rFonts w:ascii="Times New Roman"/>
                <w:sz w:val="18"/>
              </w:rPr>
            </w:pPr>
          </w:p>
        </w:tc>
        <w:tc>
          <w:tcPr>
            <w:tcW w:w="1153" w:type="dxa"/>
            <w:vMerge/>
            <w:tcBorders>
              <w:top w:val="nil"/>
            </w:tcBorders>
          </w:tcPr>
          <w:p>
            <w:pPr>
              <w:rPr>
                <w:sz w:val="2"/>
                <w:szCs w:val="2"/>
              </w:rPr>
            </w:pPr>
          </w:p>
        </w:tc>
        <w:tc>
          <w:tcPr>
            <w:tcW w:w="1412" w:type="dxa"/>
            <w:tcBorders>
              <w:top w:val="nil"/>
              <w:bottom w:val="nil"/>
            </w:tcBorders>
          </w:tcPr>
          <w:p>
            <w:pPr>
              <w:pStyle w:val="TableParagraph"/>
              <w:rPr>
                <w:rFonts w:ascii="Times New Roman"/>
                <w:sz w:val="18"/>
              </w:rPr>
            </w:pPr>
          </w:p>
        </w:tc>
        <w:tc>
          <w:tcPr>
            <w:tcW w:w="3519" w:type="dxa"/>
            <w:tcBorders>
              <w:top w:val="nil"/>
              <w:bottom w:val="nil"/>
              <w:right w:val="nil"/>
            </w:tcBorders>
          </w:tcPr>
          <w:p>
            <w:pPr>
              <w:pStyle w:val="TableParagraph"/>
              <w:spacing w:line="232" w:lineRule="auto" w:before="33"/>
              <w:ind w:left="84" w:right="1168"/>
              <w:rPr>
                <w:sz w:val="18"/>
              </w:rPr>
            </w:pPr>
            <w:r>
              <w:rPr>
                <w:color w:val="105C84"/>
                <w:sz w:val="18"/>
              </w:rPr>
              <w:t>90%</w:t>
            </w:r>
            <w:r>
              <w:rPr>
                <w:color w:val="105C84"/>
                <w:spacing w:val="-13"/>
                <w:sz w:val="18"/>
              </w:rPr>
              <w:t> </w:t>
            </w:r>
            <w:r>
              <w:rPr>
                <w:color w:val="105C84"/>
                <w:sz w:val="18"/>
              </w:rPr>
              <w:t>of</w:t>
            </w:r>
            <w:r>
              <w:rPr>
                <w:color w:val="105C84"/>
                <w:spacing w:val="-12"/>
                <w:sz w:val="18"/>
              </w:rPr>
              <w:t> </w:t>
            </w:r>
            <w:r>
              <w:rPr>
                <w:color w:val="105C84"/>
                <w:sz w:val="18"/>
              </w:rPr>
              <w:t>participants</w:t>
            </w:r>
            <w:r>
              <w:rPr>
                <w:color w:val="105C84"/>
                <w:spacing w:val="-13"/>
                <w:sz w:val="18"/>
              </w:rPr>
              <w:t> </w:t>
            </w:r>
            <w:r>
              <w:rPr>
                <w:color w:val="105C84"/>
                <w:sz w:val="18"/>
              </w:rPr>
              <w:t>will complete a 5K</w:t>
            </w:r>
          </w:p>
        </w:tc>
        <w:tc>
          <w:tcPr>
            <w:tcW w:w="3229" w:type="dxa"/>
            <w:tcBorders>
              <w:top w:val="nil"/>
              <w:left w:val="nil"/>
              <w:bottom w:val="nil"/>
            </w:tcBorders>
          </w:tcPr>
          <w:p>
            <w:pPr>
              <w:pStyle w:val="TableParagraph"/>
              <w:rPr>
                <w:rFonts w:ascii="Times New Roman"/>
                <w:sz w:val="18"/>
              </w:rPr>
            </w:pPr>
          </w:p>
        </w:tc>
        <w:tc>
          <w:tcPr>
            <w:tcW w:w="2017" w:type="dxa"/>
            <w:tcBorders>
              <w:top w:val="nil"/>
              <w:bottom w:val="nil"/>
            </w:tcBorders>
          </w:tcPr>
          <w:p>
            <w:pPr>
              <w:pStyle w:val="TableParagraph"/>
              <w:rPr>
                <w:rFonts w:ascii="Times New Roman"/>
                <w:sz w:val="18"/>
              </w:rPr>
            </w:pPr>
          </w:p>
        </w:tc>
        <w:tc>
          <w:tcPr>
            <w:tcW w:w="2062" w:type="dxa"/>
            <w:tcBorders>
              <w:top w:val="nil"/>
              <w:bottom w:val="nil"/>
            </w:tcBorders>
          </w:tcPr>
          <w:p>
            <w:pPr>
              <w:pStyle w:val="TableParagraph"/>
              <w:rPr>
                <w:rFonts w:ascii="Times New Roman"/>
                <w:sz w:val="18"/>
              </w:rPr>
            </w:pPr>
          </w:p>
        </w:tc>
        <w:tc>
          <w:tcPr>
            <w:tcW w:w="1764" w:type="dxa"/>
            <w:tcBorders>
              <w:top w:val="nil"/>
              <w:bottom w:val="nil"/>
            </w:tcBorders>
          </w:tcPr>
          <w:p>
            <w:pPr>
              <w:pStyle w:val="TableParagraph"/>
              <w:rPr>
                <w:rFonts w:ascii="Times New Roman"/>
                <w:sz w:val="18"/>
              </w:rPr>
            </w:pPr>
          </w:p>
        </w:tc>
        <w:tc>
          <w:tcPr>
            <w:tcW w:w="1985" w:type="dxa"/>
            <w:tcBorders>
              <w:top w:val="nil"/>
              <w:bottom w:val="nil"/>
            </w:tcBorders>
          </w:tcPr>
          <w:p>
            <w:pPr>
              <w:pStyle w:val="TableParagraph"/>
              <w:rPr>
                <w:rFonts w:ascii="Times New Roman"/>
                <w:sz w:val="18"/>
              </w:rPr>
            </w:pPr>
          </w:p>
        </w:tc>
      </w:tr>
      <w:tr>
        <w:trPr>
          <w:trHeight w:val="883" w:hRule="atLeast"/>
        </w:trPr>
        <w:tc>
          <w:tcPr>
            <w:tcW w:w="1008" w:type="dxa"/>
            <w:tcBorders>
              <w:top w:val="nil"/>
            </w:tcBorders>
            <w:shd w:val="clear" w:color="auto" w:fill="E6E7E8"/>
          </w:tcPr>
          <w:p>
            <w:pPr>
              <w:pStyle w:val="TableParagraph"/>
              <w:rPr>
                <w:rFonts w:ascii="Times New Roman"/>
                <w:sz w:val="18"/>
              </w:rPr>
            </w:pPr>
          </w:p>
        </w:tc>
        <w:tc>
          <w:tcPr>
            <w:tcW w:w="1383" w:type="dxa"/>
            <w:tcBorders>
              <w:top w:val="nil"/>
            </w:tcBorders>
          </w:tcPr>
          <w:p>
            <w:pPr>
              <w:pStyle w:val="TableParagraph"/>
              <w:rPr>
                <w:rFonts w:ascii="Times New Roman"/>
                <w:sz w:val="18"/>
              </w:rPr>
            </w:pPr>
          </w:p>
        </w:tc>
        <w:tc>
          <w:tcPr>
            <w:tcW w:w="1297" w:type="dxa"/>
            <w:tcBorders>
              <w:top w:val="nil"/>
            </w:tcBorders>
          </w:tcPr>
          <w:p>
            <w:pPr>
              <w:pStyle w:val="TableParagraph"/>
              <w:rPr>
                <w:rFonts w:ascii="Times New Roman"/>
                <w:sz w:val="18"/>
              </w:rPr>
            </w:pPr>
          </w:p>
        </w:tc>
        <w:tc>
          <w:tcPr>
            <w:tcW w:w="1499" w:type="dxa"/>
            <w:tcBorders>
              <w:top w:val="nil"/>
            </w:tcBorders>
          </w:tcPr>
          <w:p>
            <w:pPr>
              <w:pStyle w:val="TableParagraph"/>
              <w:rPr>
                <w:rFonts w:ascii="Times New Roman"/>
                <w:sz w:val="18"/>
              </w:rPr>
            </w:pPr>
          </w:p>
        </w:tc>
        <w:tc>
          <w:tcPr>
            <w:tcW w:w="1153" w:type="dxa"/>
            <w:vMerge/>
            <w:tcBorders>
              <w:top w:val="nil"/>
            </w:tcBorders>
          </w:tcPr>
          <w:p>
            <w:pPr>
              <w:rPr>
                <w:sz w:val="2"/>
                <w:szCs w:val="2"/>
              </w:rPr>
            </w:pPr>
          </w:p>
        </w:tc>
        <w:tc>
          <w:tcPr>
            <w:tcW w:w="1412" w:type="dxa"/>
            <w:tcBorders>
              <w:top w:val="nil"/>
            </w:tcBorders>
          </w:tcPr>
          <w:p>
            <w:pPr>
              <w:pStyle w:val="TableParagraph"/>
              <w:rPr>
                <w:rFonts w:ascii="Times New Roman"/>
                <w:sz w:val="18"/>
              </w:rPr>
            </w:pPr>
          </w:p>
        </w:tc>
        <w:tc>
          <w:tcPr>
            <w:tcW w:w="3519" w:type="dxa"/>
            <w:tcBorders>
              <w:top w:val="nil"/>
              <w:right w:val="nil"/>
            </w:tcBorders>
          </w:tcPr>
          <w:p>
            <w:pPr>
              <w:pStyle w:val="TableParagraph"/>
              <w:spacing w:line="232" w:lineRule="auto" w:before="33"/>
              <w:ind w:left="84" w:right="978"/>
              <w:rPr>
                <w:sz w:val="18"/>
              </w:rPr>
            </w:pPr>
            <w:r>
              <w:rPr>
                <w:color w:val="105C84"/>
                <w:sz w:val="18"/>
              </w:rPr>
              <w:t>Open rate for “Nutrition tips and tricks” sent weekly to families</w:t>
            </w:r>
            <w:r>
              <w:rPr>
                <w:color w:val="105C84"/>
                <w:spacing w:val="-9"/>
                <w:sz w:val="18"/>
              </w:rPr>
              <w:t> </w:t>
            </w:r>
            <w:r>
              <w:rPr>
                <w:color w:val="105C84"/>
                <w:sz w:val="18"/>
              </w:rPr>
              <w:t>via</w:t>
            </w:r>
            <w:r>
              <w:rPr>
                <w:color w:val="105C84"/>
                <w:spacing w:val="-9"/>
                <w:sz w:val="18"/>
              </w:rPr>
              <w:t> </w:t>
            </w:r>
            <w:r>
              <w:rPr>
                <w:color w:val="105C84"/>
                <w:sz w:val="18"/>
              </w:rPr>
              <w:t>email</w:t>
            </w:r>
            <w:r>
              <w:rPr>
                <w:color w:val="105C84"/>
                <w:spacing w:val="-9"/>
                <w:sz w:val="18"/>
              </w:rPr>
              <w:t> </w:t>
            </w:r>
            <w:r>
              <w:rPr>
                <w:color w:val="105C84"/>
                <w:sz w:val="18"/>
              </w:rPr>
              <w:t>and</w:t>
            </w:r>
            <w:r>
              <w:rPr>
                <w:color w:val="105C84"/>
                <w:spacing w:val="-9"/>
                <w:sz w:val="18"/>
              </w:rPr>
              <w:t> </w:t>
            </w:r>
            <w:r>
              <w:rPr>
                <w:color w:val="105C84"/>
                <w:sz w:val="18"/>
              </w:rPr>
              <w:t>posted on social media</w:t>
            </w:r>
          </w:p>
        </w:tc>
        <w:tc>
          <w:tcPr>
            <w:tcW w:w="3229" w:type="dxa"/>
            <w:tcBorders>
              <w:top w:val="nil"/>
              <w:left w:val="nil"/>
            </w:tcBorders>
          </w:tcPr>
          <w:p>
            <w:pPr>
              <w:pStyle w:val="TableParagraph"/>
              <w:rPr>
                <w:rFonts w:ascii="Times New Roman"/>
                <w:sz w:val="18"/>
              </w:rPr>
            </w:pPr>
          </w:p>
        </w:tc>
        <w:tc>
          <w:tcPr>
            <w:tcW w:w="2017" w:type="dxa"/>
            <w:tcBorders>
              <w:top w:val="nil"/>
            </w:tcBorders>
          </w:tcPr>
          <w:p>
            <w:pPr>
              <w:pStyle w:val="TableParagraph"/>
              <w:rPr>
                <w:rFonts w:ascii="Times New Roman"/>
                <w:sz w:val="18"/>
              </w:rPr>
            </w:pPr>
          </w:p>
        </w:tc>
        <w:tc>
          <w:tcPr>
            <w:tcW w:w="2062" w:type="dxa"/>
            <w:tcBorders>
              <w:top w:val="nil"/>
            </w:tcBorders>
          </w:tcPr>
          <w:p>
            <w:pPr>
              <w:pStyle w:val="TableParagraph"/>
              <w:rPr>
                <w:rFonts w:ascii="Times New Roman"/>
                <w:sz w:val="18"/>
              </w:rPr>
            </w:pPr>
          </w:p>
        </w:tc>
        <w:tc>
          <w:tcPr>
            <w:tcW w:w="1764" w:type="dxa"/>
            <w:tcBorders>
              <w:top w:val="nil"/>
            </w:tcBorders>
          </w:tcPr>
          <w:p>
            <w:pPr>
              <w:pStyle w:val="TableParagraph"/>
              <w:rPr>
                <w:rFonts w:ascii="Times New Roman"/>
                <w:sz w:val="18"/>
              </w:rPr>
            </w:pPr>
          </w:p>
        </w:tc>
        <w:tc>
          <w:tcPr>
            <w:tcW w:w="1985" w:type="dxa"/>
            <w:tcBorders>
              <w:top w:val="nil"/>
            </w:tcBorders>
          </w:tcPr>
          <w:p>
            <w:pPr>
              <w:pStyle w:val="TableParagraph"/>
              <w:rPr>
                <w:rFonts w:ascii="Times New Roman"/>
                <w:sz w:val="18"/>
              </w:rPr>
            </w:pPr>
          </w:p>
        </w:tc>
      </w:tr>
    </w:tbl>
    <w:p>
      <w:pPr>
        <w:pStyle w:val="BodyText"/>
        <w:rPr>
          <w:b/>
          <w:sz w:val="26"/>
        </w:rPr>
      </w:pPr>
    </w:p>
    <w:p>
      <w:pPr>
        <w:pStyle w:val="BodyText"/>
        <w:rPr>
          <w:b/>
          <w:sz w:val="26"/>
        </w:rPr>
      </w:pPr>
    </w:p>
    <w:p>
      <w:pPr>
        <w:pStyle w:val="BodyText"/>
        <w:rPr>
          <w:b/>
          <w:sz w:val="26"/>
        </w:rPr>
      </w:pPr>
    </w:p>
    <w:p>
      <w:pPr>
        <w:pStyle w:val="BodyText"/>
        <w:spacing w:before="21"/>
        <w:rPr>
          <w:b/>
          <w:sz w:val="26"/>
        </w:rPr>
      </w:pPr>
    </w:p>
    <w:p>
      <w:pPr>
        <w:tabs>
          <w:tab w:pos="23047" w:val="left" w:leader="none"/>
        </w:tabs>
        <w:spacing w:before="0"/>
        <w:ind w:left="0" w:right="0" w:firstLine="0"/>
        <w:jc w:val="left"/>
        <w:rPr>
          <w:b/>
          <w:sz w:val="26"/>
        </w:rPr>
      </w:pPr>
      <w:r>
        <w:rPr>
          <w:position w:val="-4"/>
        </w:rPr>
        <w:drawing>
          <wp:inline distT="0" distB="0" distL="0" distR="0">
            <wp:extent cx="568172" cy="184683"/>
            <wp:effectExtent l="0" t="0" r="0" b="0"/>
            <wp:docPr id="1722" name="Image 1722"/>
            <wp:cNvGraphicFramePr>
              <a:graphicFrameLocks/>
            </wp:cNvGraphicFramePr>
            <a:graphic>
              <a:graphicData uri="http://schemas.openxmlformats.org/drawingml/2006/picture">
                <pic:pic>
                  <pic:nvPicPr>
                    <pic:cNvPr id="1722" name="Image 1722"/>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13"/>
          <w:sz w:val="20"/>
        </w:rPr>
        <w:t> </w:t>
      </w:r>
      <w:r>
        <w:rPr>
          <w:b/>
          <w:color w:val="939598"/>
          <w:w w:val="105"/>
          <w:sz w:val="26"/>
        </w:rPr>
        <w:t>115</w:t>
      </w:r>
      <w:r>
        <w:rPr>
          <w:b/>
          <w:color w:val="939598"/>
          <w:sz w:val="26"/>
        </w:rPr>
        <w:tab/>
      </w:r>
      <w:r>
        <w:rPr>
          <w:b/>
          <w:color w:val="939598"/>
          <w:spacing w:val="-5"/>
          <w:w w:val="105"/>
          <w:sz w:val="26"/>
        </w:rPr>
        <w:t>116</w:t>
      </w:r>
    </w:p>
    <w:p>
      <w:pPr>
        <w:spacing w:after="0"/>
        <w:jc w:val="left"/>
        <w:rPr>
          <w:b/>
          <w:sz w:val="26"/>
        </w:rPr>
        <w:sectPr>
          <w:pgSz w:w="24480" w:h="15840" w:orient="landscape"/>
          <w:pgMar w:header="0" w:footer="0" w:top="860" w:bottom="0" w:left="0" w:right="720"/>
        </w:sectPr>
      </w:pPr>
    </w:p>
    <w:p>
      <w:pPr>
        <w:spacing w:before="607"/>
        <w:ind w:left="1089" w:right="0" w:firstLine="0"/>
        <w:jc w:val="left"/>
        <w:rPr>
          <w:sz w:val="54"/>
        </w:rPr>
      </w:pPr>
      <w:r>
        <w:rPr>
          <w:sz w:val="54"/>
        </w:rPr>
        <w:drawing>
          <wp:anchor distT="0" distB="0" distL="0" distR="0" allowOverlap="1" layoutInCell="1" locked="0" behindDoc="0" simplePos="0" relativeHeight="15920640">
            <wp:simplePos x="0" y="0"/>
            <wp:positionH relativeFrom="page">
              <wp:posOffset>14981556</wp:posOffset>
            </wp:positionH>
            <wp:positionV relativeFrom="page">
              <wp:posOffset>9668103</wp:posOffset>
            </wp:positionV>
            <wp:extent cx="563245" cy="184683"/>
            <wp:effectExtent l="0" t="0" r="0" b="0"/>
            <wp:wrapNone/>
            <wp:docPr id="1723" name="Image 1723"/>
            <wp:cNvGraphicFramePr>
              <a:graphicFrameLocks/>
            </wp:cNvGraphicFramePr>
            <a:graphic>
              <a:graphicData uri="http://schemas.openxmlformats.org/drawingml/2006/picture">
                <pic:pic>
                  <pic:nvPicPr>
                    <pic:cNvPr id="1723" name="Image 1723"/>
                    <pic:cNvPicPr/>
                  </pic:nvPicPr>
                  <pic:blipFill>
                    <a:blip r:embed="rId38" cstate="print"/>
                    <a:stretch>
                      <a:fillRect/>
                    </a:stretch>
                  </pic:blipFill>
                  <pic:spPr>
                    <a:xfrm>
                      <a:off x="0" y="0"/>
                      <a:ext cx="563245" cy="184683"/>
                    </a:xfrm>
                    <a:prstGeom prst="rect">
                      <a:avLst/>
                    </a:prstGeom>
                  </pic:spPr>
                </pic:pic>
              </a:graphicData>
            </a:graphic>
          </wp:anchor>
        </w:drawing>
      </w:r>
      <w:r>
        <w:rPr>
          <w:sz w:val="54"/>
        </w:rPr>
        <mc:AlternateContent>
          <mc:Choice Requires="wps">
            <w:drawing>
              <wp:anchor distT="0" distB="0" distL="0" distR="0" allowOverlap="1" layoutInCell="1" locked="0" behindDoc="0" simplePos="0" relativeHeight="15921152">
                <wp:simplePos x="0" y="0"/>
                <wp:positionH relativeFrom="page">
                  <wp:posOffset>12965593</wp:posOffset>
                </wp:positionH>
                <wp:positionV relativeFrom="paragraph">
                  <wp:posOffset>292608</wp:posOffset>
                </wp:positionV>
                <wp:extent cx="1918970" cy="681990"/>
                <wp:effectExtent l="0" t="0" r="0" b="0"/>
                <wp:wrapNone/>
                <wp:docPr id="1724" name="Group 1724"/>
                <wp:cNvGraphicFramePr>
                  <a:graphicFrameLocks/>
                </wp:cNvGraphicFramePr>
                <a:graphic>
                  <a:graphicData uri="http://schemas.microsoft.com/office/word/2010/wordprocessingGroup">
                    <wpg:wgp>
                      <wpg:cNvPr id="1724" name="Group 1724"/>
                      <wpg:cNvGrpSpPr/>
                      <wpg:grpSpPr>
                        <a:xfrm>
                          <a:off x="0" y="0"/>
                          <a:ext cx="1918970" cy="681990"/>
                          <a:chExt cx="1918970" cy="681990"/>
                        </a:xfrm>
                      </wpg:grpSpPr>
                      <pic:pic>
                        <pic:nvPicPr>
                          <pic:cNvPr id="1725" name="Image 1725"/>
                          <pic:cNvPicPr/>
                        </pic:nvPicPr>
                        <pic:blipFill>
                          <a:blip r:embed="rId241" cstate="print"/>
                          <a:stretch>
                            <a:fillRect/>
                          </a:stretch>
                        </pic:blipFill>
                        <pic:spPr>
                          <a:xfrm>
                            <a:off x="1275703" y="0"/>
                            <a:ext cx="643101" cy="681824"/>
                          </a:xfrm>
                          <a:prstGeom prst="rect">
                            <a:avLst/>
                          </a:prstGeom>
                        </pic:spPr>
                      </pic:pic>
                      <pic:pic>
                        <pic:nvPicPr>
                          <pic:cNvPr id="1726" name="Image 1726"/>
                          <pic:cNvPicPr/>
                        </pic:nvPicPr>
                        <pic:blipFill>
                          <a:blip r:embed="rId242" cstate="print"/>
                          <a:stretch>
                            <a:fillRect/>
                          </a:stretch>
                        </pic:blipFill>
                        <pic:spPr>
                          <a:xfrm>
                            <a:off x="0" y="91440"/>
                            <a:ext cx="1232015" cy="261461"/>
                          </a:xfrm>
                          <a:prstGeom prst="rect">
                            <a:avLst/>
                          </a:prstGeom>
                        </pic:spPr>
                      </pic:pic>
                    </wpg:wgp>
                  </a:graphicData>
                </a:graphic>
              </wp:anchor>
            </w:drawing>
          </mc:Choice>
          <mc:Fallback>
            <w:pict>
              <v:group style="position:absolute;margin-left:1020.912903pt;margin-top:23.040001pt;width:151.1pt;height:53.7pt;mso-position-horizontal-relative:page;mso-position-vertical-relative:paragraph;z-index:15921152" id="docshapegroup1362" coordorigin="20418,461" coordsize="3022,1074">
                <v:shape style="position:absolute;left:22427;top:460;width:1013;height:1074" type="#_x0000_t75" id="docshape1363" stroked="false">
                  <v:imagedata r:id="rId241" o:title=""/>
                </v:shape>
                <v:shape style="position:absolute;left:20418;top:604;width:1941;height:412" type="#_x0000_t75" id="docshape1364" stroked="false">
                  <v:imagedata r:id="rId242" o:title=""/>
                </v:shape>
                <w10:wrap type="none"/>
              </v:group>
            </w:pict>
          </mc:Fallback>
        </mc:AlternateContent>
      </w:r>
      <w:r>
        <w:rPr>
          <w:color w:val="636466"/>
          <w:sz w:val="54"/>
        </w:rPr>
        <w:t>Chemung</w:t>
      </w:r>
      <w:r>
        <w:rPr>
          <w:color w:val="636466"/>
          <w:spacing w:val="62"/>
          <w:sz w:val="54"/>
        </w:rPr>
        <w:t> </w:t>
      </w:r>
      <w:r>
        <w:rPr>
          <w:color w:val="636466"/>
          <w:sz w:val="54"/>
        </w:rPr>
        <w:t>County</w:t>
      </w:r>
      <w:r>
        <w:rPr>
          <w:color w:val="636466"/>
          <w:spacing w:val="62"/>
          <w:sz w:val="54"/>
        </w:rPr>
        <w:t> </w:t>
      </w:r>
      <w:r>
        <w:rPr>
          <w:color w:val="636466"/>
          <w:sz w:val="54"/>
        </w:rPr>
        <w:t>Appendix</w:t>
      </w:r>
      <w:r>
        <w:rPr>
          <w:color w:val="636466"/>
          <w:spacing w:val="63"/>
          <w:sz w:val="54"/>
        </w:rPr>
        <w:t> </w:t>
      </w:r>
      <w:r>
        <w:rPr>
          <w:color w:val="636466"/>
          <w:spacing w:val="-10"/>
          <w:sz w:val="54"/>
        </w:rPr>
        <w:t>A</w:t>
      </w:r>
    </w:p>
    <w:p>
      <w:pPr>
        <w:spacing w:before="235"/>
        <w:ind w:left="1089" w:right="0" w:firstLine="0"/>
        <w:jc w:val="left"/>
        <w:rPr>
          <w:b/>
          <w:sz w:val="32"/>
        </w:rPr>
      </w:pPr>
      <w:r>
        <w:rPr>
          <w:b/>
          <w:color w:val="82BF6A"/>
          <w:spacing w:val="-10"/>
          <w:sz w:val="32"/>
        </w:rPr>
        <w:t>PRIORITY:</w:t>
      </w:r>
      <w:r>
        <w:rPr>
          <w:b/>
          <w:color w:val="82BF6A"/>
          <w:spacing w:val="1"/>
          <w:sz w:val="32"/>
        </w:rPr>
        <w:t> </w:t>
      </w:r>
      <w:r>
        <w:rPr>
          <w:b/>
          <w:color w:val="82BF6A"/>
          <w:spacing w:val="-10"/>
          <w:sz w:val="32"/>
        </w:rPr>
        <w:t>PREVENT</w:t>
      </w:r>
      <w:r>
        <w:rPr>
          <w:b/>
          <w:color w:val="82BF6A"/>
          <w:spacing w:val="1"/>
          <w:sz w:val="32"/>
        </w:rPr>
        <w:t> </w:t>
      </w:r>
      <w:r>
        <w:rPr>
          <w:b/>
          <w:color w:val="82BF6A"/>
          <w:spacing w:val="-10"/>
          <w:sz w:val="32"/>
        </w:rPr>
        <w:t>CHRONIC</w:t>
      </w:r>
      <w:r>
        <w:rPr>
          <w:b/>
          <w:color w:val="82BF6A"/>
          <w:spacing w:val="1"/>
          <w:sz w:val="32"/>
        </w:rPr>
        <w:t> </w:t>
      </w:r>
      <w:r>
        <w:rPr>
          <w:b/>
          <w:color w:val="82BF6A"/>
          <w:spacing w:val="-10"/>
          <w:sz w:val="32"/>
        </w:rPr>
        <w:t>DISEASES,</w:t>
      </w:r>
      <w:r>
        <w:rPr>
          <w:b/>
          <w:color w:val="82BF6A"/>
          <w:spacing w:val="2"/>
          <w:sz w:val="32"/>
        </w:rPr>
        <w:t> </w:t>
      </w:r>
      <w:r>
        <w:rPr>
          <w:b/>
          <w:color w:val="82BF6A"/>
          <w:spacing w:val="-10"/>
          <w:sz w:val="32"/>
        </w:rPr>
        <w:t>HEALTHY</w:t>
      </w:r>
      <w:r>
        <w:rPr>
          <w:b/>
          <w:color w:val="82BF6A"/>
          <w:spacing w:val="1"/>
          <w:sz w:val="32"/>
        </w:rPr>
        <w:t> </w:t>
      </w:r>
      <w:r>
        <w:rPr>
          <w:b/>
          <w:color w:val="82BF6A"/>
          <w:spacing w:val="-10"/>
          <w:sz w:val="32"/>
        </w:rPr>
        <w:t>EATING</w:t>
      </w:r>
    </w:p>
    <w:p>
      <w:pPr>
        <w:pStyle w:val="BodyText"/>
        <w:rPr>
          <w:b/>
          <w:sz w:val="20"/>
        </w:rPr>
      </w:pPr>
    </w:p>
    <w:p>
      <w:pPr>
        <w:pStyle w:val="BodyText"/>
        <w:spacing w:before="112"/>
        <w:rPr>
          <w:b/>
          <w:sz w:val="20"/>
        </w:rPr>
      </w:pPr>
    </w:p>
    <w:tbl>
      <w:tblPr>
        <w:tblW w:w="0" w:type="auto"/>
        <w:jc w:val="left"/>
        <w:tblInd w:w="1099"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1008"/>
        <w:gridCol w:w="1383"/>
        <w:gridCol w:w="1297"/>
        <w:gridCol w:w="1441"/>
        <w:gridCol w:w="1153"/>
        <w:gridCol w:w="1441"/>
        <w:gridCol w:w="3510"/>
        <w:gridCol w:w="3951"/>
        <w:gridCol w:w="1844"/>
        <w:gridCol w:w="1844"/>
        <w:gridCol w:w="1671"/>
        <w:gridCol w:w="1984"/>
      </w:tblGrid>
      <w:tr>
        <w:trPr>
          <w:trHeight w:val="990" w:hRule="atLeast"/>
        </w:trPr>
        <w:tc>
          <w:tcPr>
            <w:tcW w:w="1008" w:type="dxa"/>
            <w:tcBorders>
              <w:right w:val="single" w:sz="4" w:space="0" w:color="FFFFFF"/>
            </w:tcBorders>
            <w:shd w:val="clear" w:color="auto" w:fill="A7A9AC"/>
          </w:tcPr>
          <w:p>
            <w:pPr>
              <w:pStyle w:val="TableParagraph"/>
              <w:spacing w:before="177"/>
              <w:rPr>
                <w:b/>
                <w:sz w:val="20"/>
              </w:rPr>
            </w:pPr>
          </w:p>
          <w:p>
            <w:pPr>
              <w:pStyle w:val="TableParagraph"/>
              <w:ind w:left="79"/>
              <w:rPr>
                <w:b/>
                <w:sz w:val="20"/>
              </w:rPr>
            </w:pPr>
            <w:r>
              <w:rPr>
                <w:b/>
                <w:color w:val="FFFFFF"/>
                <w:spacing w:val="-2"/>
                <w:sz w:val="20"/>
              </w:rPr>
              <w:t>Priority</w:t>
            </w:r>
          </w:p>
        </w:tc>
        <w:tc>
          <w:tcPr>
            <w:tcW w:w="1383" w:type="dxa"/>
            <w:tcBorders>
              <w:left w:val="single" w:sz="4" w:space="0" w:color="FFFFFF"/>
              <w:right w:val="single" w:sz="4" w:space="0" w:color="FFFFFF"/>
            </w:tcBorders>
            <w:shd w:val="clear" w:color="auto" w:fill="A7A9AC"/>
          </w:tcPr>
          <w:p>
            <w:pPr>
              <w:pStyle w:val="TableParagraph"/>
              <w:spacing w:before="177"/>
              <w:rPr>
                <w:b/>
                <w:sz w:val="20"/>
              </w:rPr>
            </w:pPr>
          </w:p>
          <w:p>
            <w:pPr>
              <w:pStyle w:val="TableParagraph"/>
              <w:ind w:left="79"/>
              <w:rPr>
                <w:b/>
                <w:sz w:val="20"/>
              </w:rPr>
            </w:pPr>
            <w:r>
              <w:rPr>
                <w:b/>
                <w:color w:val="FFFFFF"/>
                <w:w w:val="90"/>
                <w:sz w:val="20"/>
              </w:rPr>
              <w:t>Focus</w:t>
            </w:r>
            <w:r>
              <w:rPr>
                <w:b/>
                <w:color w:val="FFFFFF"/>
                <w:spacing w:val="8"/>
                <w:sz w:val="20"/>
              </w:rPr>
              <w:t> </w:t>
            </w:r>
            <w:r>
              <w:rPr>
                <w:b/>
                <w:color w:val="FFFFFF"/>
                <w:spacing w:val="-4"/>
                <w:sz w:val="20"/>
              </w:rPr>
              <w:t>Area</w:t>
            </w:r>
          </w:p>
        </w:tc>
        <w:tc>
          <w:tcPr>
            <w:tcW w:w="1297" w:type="dxa"/>
            <w:tcBorders>
              <w:left w:val="single" w:sz="4" w:space="0" w:color="FFFFFF"/>
              <w:right w:val="single" w:sz="4" w:space="0" w:color="FFFFFF"/>
            </w:tcBorders>
            <w:shd w:val="clear" w:color="auto" w:fill="A7A9AC"/>
          </w:tcPr>
          <w:p>
            <w:pPr>
              <w:pStyle w:val="TableParagraph"/>
              <w:spacing w:before="74"/>
              <w:rPr>
                <w:b/>
                <w:sz w:val="20"/>
              </w:rPr>
            </w:pPr>
          </w:p>
          <w:p>
            <w:pPr>
              <w:pStyle w:val="TableParagraph"/>
              <w:spacing w:line="230" w:lineRule="auto" w:before="1"/>
              <w:ind w:left="78"/>
              <w:rPr>
                <w:b/>
                <w:sz w:val="20"/>
              </w:rPr>
            </w:pPr>
            <w:r>
              <w:rPr>
                <w:b/>
                <w:color w:val="FFFFFF"/>
                <w:spacing w:val="-8"/>
                <w:sz w:val="20"/>
              </w:rPr>
              <w:t>Goal</w:t>
            </w:r>
            <w:r>
              <w:rPr>
                <w:b/>
                <w:color w:val="FFFFFF"/>
                <w:spacing w:val="-6"/>
                <w:sz w:val="20"/>
              </w:rPr>
              <w:t> </w:t>
            </w:r>
            <w:r>
              <w:rPr>
                <w:b/>
                <w:color w:val="FFFFFF"/>
                <w:spacing w:val="-8"/>
                <w:sz w:val="20"/>
              </w:rPr>
              <w:t>Focus </w:t>
            </w:r>
            <w:r>
              <w:rPr>
                <w:b/>
                <w:color w:val="FFFFFF"/>
                <w:spacing w:val="-4"/>
                <w:sz w:val="20"/>
              </w:rPr>
              <w:t>Area</w:t>
            </w:r>
          </w:p>
        </w:tc>
        <w:tc>
          <w:tcPr>
            <w:tcW w:w="1441" w:type="dxa"/>
            <w:tcBorders>
              <w:left w:val="single" w:sz="4" w:space="0" w:color="FFFFFF"/>
              <w:right w:val="single" w:sz="4" w:space="0" w:color="FFFFFF"/>
            </w:tcBorders>
            <w:shd w:val="clear" w:color="auto" w:fill="A7A9AC"/>
          </w:tcPr>
          <w:p>
            <w:pPr>
              <w:pStyle w:val="TableParagraph"/>
              <w:spacing w:before="177"/>
              <w:rPr>
                <w:b/>
                <w:sz w:val="20"/>
              </w:rPr>
            </w:pPr>
          </w:p>
          <w:p>
            <w:pPr>
              <w:pStyle w:val="TableParagraph"/>
              <w:ind w:left="77"/>
              <w:rPr>
                <w:b/>
                <w:sz w:val="20"/>
              </w:rPr>
            </w:pPr>
            <w:r>
              <w:rPr>
                <w:b/>
                <w:color w:val="FFFFFF"/>
                <w:spacing w:val="-2"/>
                <w:sz w:val="20"/>
              </w:rPr>
              <w:t>Objectives</w:t>
            </w:r>
          </w:p>
        </w:tc>
        <w:tc>
          <w:tcPr>
            <w:tcW w:w="1153" w:type="dxa"/>
            <w:tcBorders>
              <w:left w:val="single" w:sz="4" w:space="0" w:color="FFFFFF"/>
              <w:right w:val="single" w:sz="4" w:space="0" w:color="FFFFFF"/>
            </w:tcBorders>
            <w:shd w:val="clear" w:color="auto" w:fill="A7A9AC"/>
          </w:tcPr>
          <w:p>
            <w:pPr>
              <w:pStyle w:val="TableParagraph"/>
              <w:spacing w:before="177"/>
              <w:rPr>
                <w:b/>
                <w:sz w:val="20"/>
              </w:rPr>
            </w:pPr>
          </w:p>
          <w:p>
            <w:pPr>
              <w:pStyle w:val="TableParagraph"/>
              <w:ind w:left="76"/>
              <w:rPr>
                <w:b/>
                <w:sz w:val="20"/>
              </w:rPr>
            </w:pPr>
            <w:r>
              <w:rPr>
                <w:b/>
                <w:color w:val="FFFFFF"/>
                <w:spacing w:val="-2"/>
                <w:sz w:val="20"/>
              </w:rPr>
              <w:t>Disparities</w:t>
            </w:r>
          </w:p>
        </w:tc>
        <w:tc>
          <w:tcPr>
            <w:tcW w:w="1441" w:type="dxa"/>
            <w:tcBorders>
              <w:left w:val="single" w:sz="4" w:space="0" w:color="FFFFFF"/>
              <w:right w:val="single" w:sz="4" w:space="0" w:color="FFFFFF"/>
            </w:tcBorders>
            <w:shd w:val="clear" w:color="auto" w:fill="A7A9AC"/>
          </w:tcPr>
          <w:p>
            <w:pPr>
              <w:pStyle w:val="TableParagraph"/>
              <w:spacing w:before="177"/>
              <w:rPr>
                <w:b/>
                <w:sz w:val="20"/>
              </w:rPr>
            </w:pPr>
          </w:p>
          <w:p>
            <w:pPr>
              <w:pStyle w:val="TableParagraph"/>
              <w:ind w:left="75"/>
              <w:rPr>
                <w:b/>
                <w:sz w:val="20"/>
              </w:rPr>
            </w:pPr>
            <w:r>
              <w:rPr>
                <w:b/>
                <w:color w:val="FFFFFF"/>
                <w:spacing w:val="-2"/>
                <w:sz w:val="20"/>
              </w:rPr>
              <w:t>Interventions</w:t>
            </w:r>
          </w:p>
        </w:tc>
        <w:tc>
          <w:tcPr>
            <w:tcW w:w="3510" w:type="dxa"/>
            <w:tcBorders>
              <w:left w:val="single" w:sz="4" w:space="0" w:color="FFFFFF"/>
              <w:right w:val="nil"/>
            </w:tcBorders>
            <w:shd w:val="clear" w:color="auto" w:fill="A7A9AC"/>
          </w:tcPr>
          <w:p>
            <w:pPr>
              <w:pStyle w:val="TableParagraph"/>
              <w:spacing w:before="177"/>
              <w:rPr>
                <w:b/>
                <w:sz w:val="20"/>
              </w:rPr>
            </w:pPr>
          </w:p>
          <w:p>
            <w:pPr>
              <w:pStyle w:val="TableParagraph"/>
              <w:ind w:left="84"/>
              <w:rPr>
                <w:b/>
                <w:sz w:val="20"/>
              </w:rPr>
            </w:pPr>
            <w:r>
              <w:rPr>
                <w:b/>
                <w:color w:val="FFFFFF"/>
                <w:sz w:val="20"/>
              </w:rPr>
              <w:t>Family</w:t>
            </w:r>
            <w:r>
              <w:rPr>
                <w:b/>
                <w:color w:val="FFFFFF"/>
                <w:spacing w:val="-12"/>
                <w:sz w:val="20"/>
              </w:rPr>
              <w:t> </w:t>
            </w:r>
            <w:r>
              <w:rPr>
                <w:b/>
                <w:color w:val="FFFFFF"/>
                <w:sz w:val="20"/>
              </w:rPr>
              <w:t>of</w:t>
            </w:r>
            <w:r>
              <w:rPr>
                <w:b/>
                <w:color w:val="FFFFFF"/>
                <w:spacing w:val="-12"/>
                <w:sz w:val="20"/>
              </w:rPr>
              <w:t> </w:t>
            </w:r>
            <w:r>
              <w:rPr>
                <w:b/>
                <w:color w:val="FFFFFF"/>
                <w:spacing w:val="-2"/>
                <w:sz w:val="20"/>
              </w:rPr>
              <w:t>Measures</w:t>
            </w:r>
          </w:p>
        </w:tc>
        <w:tc>
          <w:tcPr>
            <w:tcW w:w="3951" w:type="dxa"/>
            <w:tcBorders>
              <w:left w:val="nil"/>
              <w:right w:val="single" w:sz="4" w:space="0" w:color="FFFFFF"/>
            </w:tcBorders>
            <w:shd w:val="clear" w:color="auto" w:fill="A7A9AC"/>
          </w:tcPr>
          <w:p>
            <w:pPr>
              <w:pStyle w:val="TableParagraph"/>
              <w:spacing w:before="74"/>
              <w:rPr>
                <w:b/>
                <w:sz w:val="20"/>
              </w:rPr>
            </w:pPr>
          </w:p>
          <w:p>
            <w:pPr>
              <w:pStyle w:val="TableParagraph"/>
              <w:spacing w:line="230" w:lineRule="auto" w:before="1"/>
              <w:ind w:left="997" w:right="102"/>
              <w:rPr>
                <w:b/>
                <w:sz w:val="20"/>
              </w:rPr>
            </w:pPr>
            <w:r>
              <w:rPr>
                <w:b/>
                <w:color w:val="FFFFFF"/>
                <w:spacing w:val="-2"/>
                <w:sz w:val="20"/>
              </w:rPr>
              <w:t>Projected</w:t>
            </w:r>
            <w:r>
              <w:rPr>
                <w:b/>
                <w:color w:val="FFFFFF"/>
                <w:spacing w:val="-8"/>
                <w:sz w:val="20"/>
              </w:rPr>
              <w:t> </w:t>
            </w:r>
            <w:r>
              <w:rPr>
                <w:b/>
                <w:color w:val="FFFFFF"/>
                <w:spacing w:val="-2"/>
                <w:sz w:val="20"/>
              </w:rPr>
              <w:t>(or</w:t>
            </w:r>
            <w:r>
              <w:rPr>
                <w:b/>
                <w:color w:val="FFFFFF"/>
                <w:spacing w:val="-8"/>
                <w:sz w:val="20"/>
              </w:rPr>
              <w:t> </w:t>
            </w:r>
            <w:r>
              <w:rPr>
                <w:b/>
                <w:color w:val="FFFFFF"/>
                <w:spacing w:val="-2"/>
                <w:sz w:val="20"/>
              </w:rPr>
              <w:t>completed)</w:t>
            </w:r>
            <w:r>
              <w:rPr>
                <w:b/>
                <w:color w:val="FFFFFF"/>
                <w:spacing w:val="-8"/>
                <w:sz w:val="20"/>
              </w:rPr>
              <w:t> </w:t>
            </w:r>
            <w:r>
              <w:rPr>
                <w:b/>
                <w:color w:val="FFFFFF"/>
                <w:spacing w:val="-2"/>
                <w:sz w:val="20"/>
              </w:rPr>
              <w:t>Year </w:t>
            </w:r>
            <w:r>
              <w:rPr>
                <w:b/>
                <w:color w:val="FFFFFF"/>
                <w:sz w:val="20"/>
              </w:rPr>
              <w:t>1 Intervention</w:t>
            </w:r>
          </w:p>
        </w:tc>
        <w:tc>
          <w:tcPr>
            <w:tcW w:w="1844" w:type="dxa"/>
            <w:tcBorders>
              <w:left w:val="single" w:sz="4" w:space="0" w:color="FFFFFF"/>
              <w:right w:val="single" w:sz="4" w:space="0" w:color="FFFFFF"/>
            </w:tcBorders>
            <w:shd w:val="clear" w:color="auto" w:fill="A7A9AC"/>
          </w:tcPr>
          <w:p>
            <w:pPr>
              <w:pStyle w:val="TableParagraph"/>
              <w:spacing w:before="177"/>
              <w:rPr>
                <w:b/>
                <w:sz w:val="20"/>
              </w:rPr>
            </w:pPr>
          </w:p>
          <w:p>
            <w:pPr>
              <w:pStyle w:val="TableParagraph"/>
              <w:ind w:left="73"/>
              <w:rPr>
                <w:b/>
                <w:sz w:val="20"/>
              </w:rPr>
            </w:pPr>
            <w:r>
              <w:rPr>
                <w:b/>
                <w:color w:val="FFFFFF"/>
                <w:spacing w:val="-2"/>
                <w:sz w:val="20"/>
              </w:rPr>
              <w:t>Projected</w:t>
            </w:r>
            <w:r>
              <w:rPr>
                <w:b/>
                <w:color w:val="FFFFFF"/>
                <w:spacing w:val="-8"/>
                <w:sz w:val="20"/>
              </w:rPr>
              <w:t> </w:t>
            </w:r>
            <w:r>
              <w:rPr>
                <w:b/>
                <w:color w:val="FFFFFF"/>
                <w:spacing w:val="-2"/>
                <w:sz w:val="20"/>
              </w:rPr>
              <w:t>Year</w:t>
            </w:r>
            <w:r>
              <w:rPr>
                <w:b/>
                <w:color w:val="FFFFFF"/>
                <w:spacing w:val="-7"/>
                <w:sz w:val="20"/>
              </w:rPr>
              <w:t> </w:t>
            </w:r>
            <w:r>
              <w:rPr>
                <w:b/>
                <w:color w:val="FFFFFF"/>
                <w:spacing w:val="-10"/>
                <w:sz w:val="20"/>
              </w:rPr>
              <w:t>2</w:t>
            </w:r>
          </w:p>
        </w:tc>
        <w:tc>
          <w:tcPr>
            <w:tcW w:w="1844" w:type="dxa"/>
            <w:tcBorders>
              <w:left w:val="single" w:sz="4" w:space="0" w:color="FFFFFF"/>
              <w:right w:val="single" w:sz="4" w:space="0" w:color="FFFFFF"/>
            </w:tcBorders>
            <w:shd w:val="clear" w:color="auto" w:fill="A7A9AC"/>
          </w:tcPr>
          <w:p>
            <w:pPr>
              <w:pStyle w:val="TableParagraph"/>
              <w:spacing w:before="74"/>
              <w:rPr>
                <w:b/>
                <w:sz w:val="20"/>
              </w:rPr>
            </w:pPr>
          </w:p>
          <w:p>
            <w:pPr>
              <w:pStyle w:val="TableParagraph"/>
              <w:spacing w:line="230" w:lineRule="auto" w:before="1"/>
              <w:ind w:left="72"/>
              <w:rPr>
                <w:b/>
                <w:sz w:val="20"/>
              </w:rPr>
            </w:pPr>
            <w:r>
              <w:rPr>
                <w:b/>
                <w:color w:val="FFFFFF"/>
                <w:spacing w:val="-2"/>
                <w:sz w:val="20"/>
              </w:rPr>
              <w:t>Projected</w:t>
            </w:r>
            <w:r>
              <w:rPr>
                <w:b/>
                <w:color w:val="FFFFFF"/>
                <w:spacing w:val="-12"/>
                <w:sz w:val="20"/>
              </w:rPr>
              <w:t> </w:t>
            </w:r>
            <w:r>
              <w:rPr>
                <w:b/>
                <w:color w:val="FFFFFF"/>
                <w:spacing w:val="-2"/>
                <w:sz w:val="20"/>
              </w:rPr>
              <w:t>Year</w:t>
            </w:r>
            <w:r>
              <w:rPr>
                <w:b/>
                <w:color w:val="FFFFFF"/>
                <w:spacing w:val="-12"/>
                <w:sz w:val="20"/>
              </w:rPr>
              <w:t> </w:t>
            </w:r>
            <w:r>
              <w:rPr>
                <w:b/>
                <w:color w:val="FFFFFF"/>
                <w:spacing w:val="-2"/>
                <w:sz w:val="20"/>
              </w:rPr>
              <w:t>3 Interventions</w:t>
            </w:r>
          </w:p>
        </w:tc>
        <w:tc>
          <w:tcPr>
            <w:tcW w:w="1671" w:type="dxa"/>
            <w:tcBorders>
              <w:left w:val="single" w:sz="4" w:space="0" w:color="FFFFFF"/>
            </w:tcBorders>
            <w:shd w:val="clear" w:color="auto" w:fill="A7A9AC"/>
          </w:tcPr>
          <w:p>
            <w:pPr>
              <w:pStyle w:val="TableParagraph"/>
              <w:spacing w:before="74"/>
              <w:rPr>
                <w:b/>
                <w:sz w:val="20"/>
              </w:rPr>
            </w:pPr>
          </w:p>
          <w:p>
            <w:pPr>
              <w:pStyle w:val="TableParagraph"/>
              <w:spacing w:line="230" w:lineRule="auto" w:before="1"/>
              <w:ind w:left="71" w:right="103"/>
              <w:rPr>
                <w:b/>
                <w:sz w:val="20"/>
              </w:rPr>
            </w:pPr>
            <w:r>
              <w:rPr>
                <w:b/>
                <w:color w:val="FFFFFF"/>
                <w:spacing w:val="-2"/>
                <w:sz w:val="20"/>
              </w:rPr>
              <w:t>Implementation Partner</w:t>
            </w:r>
          </w:p>
        </w:tc>
        <w:tc>
          <w:tcPr>
            <w:tcW w:w="1984" w:type="dxa"/>
            <w:shd w:val="clear" w:color="auto" w:fill="A7A9AC"/>
          </w:tcPr>
          <w:p>
            <w:pPr>
              <w:pStyle w:val="TableParagraph"/>
              <w:spacing w:before="74"/>
              <w:rPr>
                <w:b/>
                <w:sz w:val="20"/>
              </w:rPr>
            </w:pPr>
          </w:p>
          <w:p>
            <w:pPr>
              <w:pStyle w:val="TableParagraph"/>
              <w:spacing w:line="230" w:lineRule="auto" w:before="1"/>
              <w:ind w:left="70" w:right="93"/>
              <w:rPr>
                <w:b/>
                <w:sz w:val="20"/>
              </w:rPr>
            </w:pPr>
            <w:r>
              <w:rPr>
                <w:b/>
                <w:color w:val="FFFFFF"/>
                <w:spacing w:val="-4"/>
                <w:sz w:val="20"/>
              </w:rPr>
              <w:t>Partner</w:t>
            </w:r>
            <w:r>
              <w:rPr>
                <w:b/>
                <w:color w:val="FFFFFF"/>
                <w:spacing w:val="-10"/>
                <w:sz w:val="20"/>
              </w:rPr>
              <w:t> </w:t>
            </w:r>
            <w:r>
              <w:rPr>
                <w:b/>
                <w:color w:val="FFFFFF"/>
                <w:spacing w:val="-4"/>
                <w:sz w:val="20"/>
              </w:rPr>
              <w:t>Role(s)</w:t>
            </w:r>
            <w:r>
              <w:rPr>
                <w:b/>
                <w:color w:val="FFFFFF"/>
                <w:spacing w:val="-10"/>
                <w:sz w:val="20"/>
              </w:rPr>
              <w:t> </w:t>
            </w:r>
            <w:r>
              <w:rPr>
                <w:b/>
                <w:color w:val="FFFFFF"/>
                <w:spacing w:val="-4"/>
                <w:sz w:val="20"/>
              </w:rPr>
              <w:t>and </w:t>
            </w:r>
            <w:r>
              <w:rPr>
                <w:b/>
                <w:color w:val="FFFFFF"/>
                <w:spacing w:val="-2"/>
                <w:sz w:val="20"/>
              </w:rPr>
              <w:t>Resources</w:t>
            </w:r>
          </w:p>
        </w:tc>
      </w:tr>
      <w:tr>
        <w:trPr>
          <w:trHeight w:val="2637" w:hRule="atLeast"/>
        </w:trPr>
        <w:tc>
          <w:tcPr>
            <w:tcW w:w="1008" w:type="dxa"/>
            <w:tcBorders>
              <w:bottom w:val="nil"/>
            </w:tcBorders>
            <w:shd w:val="clear" w:color="auto" w:fill="E6E7E8"/>
          </w:tcPr>
          <w:p>
            <w:pPr>
              <w:pStyle w:val="TableParagraph"/>
              <w:spacing w:line="232" w:lineRule="auto" w:before="101"/>
              <w:ind w:left="89" w:right="191"/>
              <w:jc w:val="both"/>
              <w:rPr>
                <w:sz w:val="18"/>
              </w:rPr>
            </w:pPr>
            <w:r>
              <w:rPr>
                <w:color w:val="105C84"/>
                <w:spacing w:val="-2"/>
                <w:sz w:val="18"/>
              </w:rPr>
              <w:t>Prevent Chronic </w:t>
            </w:r>
            <w:r>
              <w:rPr>
                <w:color w:val="105C84"/>
                <w:spacing w:val="-6"/>
                <w:sz w:val="18"/>
              </w:rPr>
              <w:t>Diseases</w:t>
            </w:r>
          </w:p>
        </w:tc>
        <w:tc>
          <w:tcPr>
            <w:tcW w:w="1383" w:type="dxa"/>
            <w:tcBorders>
              <w:bottom w:val="nil"/>
            </w:tcBorders>
          </w:tcPr>
          <w:p>
            <w:pPr>
              <w:pStyle w:val="TableParagraph"/>
              <w:spacing w:line="232" w:lineRule="auto" w:before="101"/>
              <w:ind w:left="89"/>
              <w:rPr>
                <w:sz w:val="18"/>
              </w:rPr>
            </w:pPr>
            <w:r>
              <w:rPr>
                <w:color w:val="105C84"/>
                <w:sz w:val="18"/>
              </w:rPr>
              <w:t>Focus Area 1: Healthy</w:t>
            </w:r>
            <w:r>
              <w:rPr>
                <w:color w:val="105C84"/>
                <w:spacing w:val="-13"/>
                <w:sz w:val="18"/>
              </w:rPr>
              <w:t> </w:t>
            </w:r>
            <w:r>
              <w:rPr>
                <w:color w:val="105C84"/>
                <w:sz w:val="18"/>
              </w:rPr>
              <w:t>eating and food </w:t>
            </w:r>
            <w:r>
              <w:rPr>
                <w:color w:val="105C84"/>
                <w:spacing w:val="-2"/>
                <w:sz w:val="18"/>
              </w:rPr>
              <w:t>security</w:t>
            </w:r>
          </w:p>
        </w:tc>
        <w:tc>
          <w:tcPr>
            <w:tcW w:w="1297" w:type="dxa"/>
            <w:tcBorders>
              <w:bottom w:val="nil"/>
            </w:tcBorders>
          </w:tcPr>
          <w:p>
            <w:pPr>
              <w:pStyle w:val="TableParagraph"/>
              <w:spacing w:line="232" w:lineRule="auto" w:before="101"/>
              <w:ind w:left="89" w:right="191"/>
              <w:rPr>
                <w:sz w:val="18"/>
              </w:rPr>
            </w:pPr>
            <w:r>
              <w:rPr>
                <w:color w:val="105C84"/>
                <w:sz w:val="18"/>
              </w:rPr>
              <w:t>Goal 1.2: </w:t>
            </w:r>
            <w:r>
              <w:rPr>
                <w:color w:val="105C84"/>
                <w:spacing w:val="-2"/>
                <w:sz w:val="18"/>
              </w:rPr>
              <w:t>Increase </w:t>
            </w:r>
            <w:r>
              <w:rPr>
                <w:color w:val="105C84"/>
                <w:sz w:val="18"/>
              </w:rPr>
              <w:t>skills and </w:t>
            </w:r>
            <w:r>
              <w:rPr>
                <w:color w:val="105C84"/>
                <w:spacing w:val="-2"/>
                <w:sz w:val="18"/>
              </w:rPr>
              <w:t>knowledge</w:t>
            </w:r>
            <w:r>
              <w:rPr>
                <w:color w:val="105C84"/>
                <w:spacing w:val="40"/>
                <w:sz w:val="18"/>
              </w:rPr>
              <w:t> </w:t>
            </w:r>
            <w:r>
              <w:rPr>
                <w:color w:val="105C84"/>
                <w:sz w:val="18"/>
              </w:rPr>
              <w:t>to support healthy</w:t>
            </w:r>
            <w:r>
              <w:rPr>
                <w:color w:val="105C84"/>
                <w:spacing w:val="-13"/>
                <w:sz w:val="18"/>
              </w:rPr>
              <w:t> </w:t>
            </w:r>
            <w:r>
              <w:rPr>
                <w:color w:val="105C84"/>
                <w:sz w:val="18"/>
              </w:rPr>
              <w:t>food</w:t>
            </w:r>
          </w:p>
          <w:p>
            <w:pPr>
              <w:pStyle w:val="TableParagraph"/>
              <w:spacing w:line="232" w:lineRule="auto"/>
              <w:ind w:left="89"/>
              <w:rPr>
                <w:sz w:val="18"/>
              </w:rPr>
            </w:pPr>
            <w:r>
              <w:rPr>
                <w:color w:val="105C84"/>
                <w:sz w:val="18"/>
              </w:rPr>
              <w:t>and</w:t>
            </w:r>
            <w:r>
              <w:rPr>
                <w:color w:val="105C84"/>
                <w:spacing w:val="-13"/>
                <w:sz w:val="18"/>
              </w:rPr>
              <w:t> </w:t>
            </w:r>
            <w:r>
              <w:rPr>
                <w:color w:val="105C84"/>
                <w:sz w:val="18"/>
              </w:rPr>
              <w:t>beverage </w:t>
            </w:r>
            <w:r>
              <w:rPr>
                <w:color w:val="105C84"/>
                <w:spacing w:val="-2"/>
                <w:sz w:val="18"/>
              </w:rPr>
              <w:t>choices</w:t>
            </w:r>
          </w:p>
        </w:tc>
        <w:tc>
          <w:tcPr>
            <w:tcW w:w="1441" w:type="dxa"/>
            <w:tcBorders>
              <w:bottom w:val="nil"/>
            </w:tcBorders>
          </w:tcPr>
          <w:p>
            <w:pPr>
              <w:pStyle w:val="TableParagraph"/>
              <w:spacing w:line="232" w:lineRule="auto" w:before="101"/>
              <w:ind w:left="88" w:right="103"/>
              <w:rPr>
                <w:sz w:val="18"/>
              </w:rPr>
            </w:pPr>
            <w:r>
              <w:rPr>
                <w:color w:val="105C84"/>
                <w:sz w:val="18"/>
              </w:rPr>
              <w:t>Objective 1.2: Decrease the percentage of children with obesity</w:t>
            </w:r>
            <w:r>
              <w:rPr>
                <w:color w:val="105C84"/>
                <w:spacing w:val="-13"/>
                <w:sz w:val="18"/>
              </w:rPr>
              <w:t> </w:t>
            </w:r>
            <w:r>
              <w:rPr>
                <w:color w:val="105C84"/>
                <w:sz w:val="18"/>
              </w:rPr>
              <w:t>(among public school students in NYS exclusive of New York City [NYC])</w:t>
            </w:r>
          </w:p>
        </w:tc>
        <w:tc>
          <w:tcPr>
            <w:tcW w:w="1153" w:type="dxa"/>
            <w:vMerge w:val="restart"/>
          </w:tcPr>
          <w:p>
            <w:pPr>
              <w:pStyle w:val="TableParagraph"/>
              <w:rPr>
                <w:rFonts w:ascii="Times New Roman"/>
                <w:sz w:val="18"/>
              </w:rPr>
            </w:pPr>
          </w:p>
        </w:tc>
        <w:tc>
          <w:tcPr>
            <w:tcW w:w="1441" w:type="dxa"/>
            <w:tcBorders>
              <w:bottom w:val="nil"/>
            </w:tcBorders>
          </w:tcPr>
          <w:p>
            <w:pPr>
              <w:pStyle w:val="TableParagraph"/>
              <w:spacing w:line="203" w:lineRule="exact" w:before="96"/>
              <w:ind w:left="86"/>
              <w:rPr>
                <w:sz w:val="18"/>
              </w:rPr>
            </w:pPr>
            <w:r>
              <w:rPr>
                <w:color w:val="105C84"/>
                <w:spacing w:val="-2"/>
                <w:sz w:val="18"/>
              </w:rPr>
              <w:t>Intervention</w:t>
            </w:r>
          </w:p>
          <w:p>
            <w:pPr>
              <w:pStyle w:val="TableParagraph"/>
              <w:spacing w:line="232" w:lineRule="auto" w:before="1"/>
              <w:ind w:left="86" w:right="272"/>
              <w:rPr>
                <w:sz w:val="18"/>
              </w:rPr>
            </w:pPr>
            <w:r>
              <w:rPr>
                <w:color w:val="105C84"/>
                <w:sz w:val="18"/>
              </w:rPr>
              <w:t>1.0.4 Multi-</w:t>
            </w:r>
            <w:r>
              <w:rPr>
                <w:color w:val="105C84"/>
                <w:spacing w:val="-2"/>
                <w:sz w:val="18"/>
              </w:rPr>
              <w:t>component school-</w:t>
            </w:r>
            <w:r>
              <w:rPr>
                <w:color w:val="105C84"/>
                <w:spacing w:val="-2"/>
                <w:sz w:val="18"/>
              </w:rPr>
              <w:t>base</w:t>
            </w:r>
            <w:r>
              <w:rPr>
                <w:color w:val="105C84"/>
                <w:spacing w:val="-2"/>
                <w:sz w:val="18"/>
              </w:rPr>
              <w:t>d</w:t>
            </w:r>
            <w:r>
              <w:rPr>
                <w:color w:val="105C84"/>
                <w:spacing w:val="-2"/>
                <w:sz w:val="18"/>
              </w:rPr>
              <w:t> obesity prevention interventions</w:t>
            </w:r>
          </w:p>
        </w:tc>
        <w:tc>
          <w:tcPr>
            <w:tcW w:w="3510" w:type="dxa"/>
            <w:tcBorders>
              <w:bottom w:val="nil"/>
              <w:right w:val="nil"/>
            </w:tcBorders>
          </w:tcPr>
          <w:p>
            <w:pPr>
              <w:pStyle w:val="TableParagraph"/>
              <w:spacing w:line="232" w:lineRule="auto" w:before="100"/>
              <w:ind w:left="85" w:right="1415"/>
              <w:rPr>
                <w:sz w:val="18"/>
              </w:rPr>
            </w:pPr>
            <w:r>
              <w:rPr>
                <w:color w:val="105C84"/>
                <w:sz w:val="18"/>
              </w:rPr>
              <w:t>Finger Lakes Eat Smart </w:t>
            </w:r>
            <w:r>
              <w:rPr>
                <w:color w:val="105C84"/>
                <w:spacing w:val="-4"/>
                <w:sz w:val="18"/>
              </w:rPr>
              <w:t>NY</w:t>
            </w:r>
            <w:r>
              <w:rPr>
                <w:color w:val="105C84"/>
                <w:spacing w:val="-9"/>
                <w:sz w:val="18"/>
              </w:rPr>
              <w:t> </w:t>
            </w:r>
            <w:r>
              <w:rPr>
                <w:color w:val="105C84"/>
                <w:spacing w:val="-4"/>
                <w:sz w:val="18"/>
              </w:rPr>
              <w:t>(FLESNY)</w:t>
            </w:r>
            <w:r>
              <w:rPr>
                <w:color w:val="105C84"/>
                <w:spacing w:val="-8"/>
                <w:sz w:val="18"/>
              </w:rPr>
              <w:t> </w:t>
            </w:r>
            <w:r>
              <w:rPr>
                <w:color w:val="105C84"/>
                <w:spacing w:val="-4"/>
                <w:sz w:val="18"/>
              </w:rPr>
              <w:t>and</w:t>
            </w:r>
            <w:r>
              <w:rPr>
                <w:color w:val="105C84"/>
                <w:spacing w:val="-9"/>
                <w:sz w:val="18"/>
              </w:rPr>
              <w:t> </w:t>
            </w:r>
            <w:r>
              <w:rPr>
                <w:color w:val="105C84"/>
                <w:spacing w:val="-4"/>
                <w:sz w:val="18"/>
              </w:rPr>
              <w:t>Cornell</w:t>
            </w:r>
          </w:p>
          <w:p>
            <w:pPr>
              <w:pStyle w:val="TableParagraph"/>
              <w:spacing w:line="232" w:lineRule="auto"/>
              <w:ind w:left="85" w:right="1028"/>
              <w:rPr>
                <w:sz w:val="18"/>
              </w:rPr>
            </w:pPr>
            <w:r>
              <w:rPr>
                <w:color w:val="105C84"/>
                <w:spacing w:val="-2"/>
                <w:sz w:val="18"/>
              </w:rPr>
              <w:t>Cooperative</w:t>
            </w:r>
            <w:r>
              <w:rPr>
                <w:color w:val="105C84"/>
                <w:spacing w:val="-13"/>
                <w:sz w:val="18"/>
              </w:rPr>
              <w:t> </w:t>
            </w:r>
            <w:r>
              <w:rPr>
                <w:color w:val="105C84"/>
                <w:spacing w:val="-2"/>
                <w:sz w:val="18"/>
              </w:rPr>
              <w:t>Extension</w:t>
            </w:r>
            <w:r>
              <w:rPr>
                <w:color w:val="105C84"/>
                <w:spacing w:val="-10"/>
                <w:sz w:val="18"/>
              </w:rPr>
              <w:t> </w:t>
            </w:r>
            <w:r>
              <w:rPr>
                <w:color w:val="105C84"/>
                <w:spacing w:val="-2"/>
                <w:sz w:val="18"/>
              </w:rPr>
              <w:t>(CCE) </w:t>
            </w:r>
            <w:r>
              <w:rPr>
                <w:color w:val="105C84"/>
                <w:sz w:val="18"/>
              </w:rPr>
              <w:t>work with local elementary and middle schools to implement the Coordinated Approach To Child Health (CATCH) program</w:t>
            </w:r>
          </w:p>
          <w:p>
            <w:pPr>
              <w:pStyle w:val="TableParagraph"/>
              <w:spacing w:line="232" w:lineRule="auto" w:before="84"/>
              <w:ind w:left="85" w:right="1028"/>
              <w:rPr>
                <w:sz w:val="18"/>
              </w:rPr>
            </w:pPr>
            <w:r>
              <w:rPr>
                <w:color w:val="105C84"/>
                <w:sz w:val="18"/>
              </w:rPr>
              <w:t>Quality</w:t>
            </w:r>
            <w:r>
              <w:rPr>
                <w:color w:val="105C84"/>
                <w:spacing w:val="-4"/>
                <w:sz w:val="18"/>
              </w:rPr>
              <w:t> </w:t>
            </w:r>
            <w:r>
              <w:rPr>
                <w:color w:val="105C84"/>
                <w:sz w:val="18"/>
              </w:rPr>
              <w:t>nutrition</w:t>
            </w:r>
            <w:r>
              <w:rPr>
                <w:color w:val="105C84"/>
                <w:spacing w:val="-4"/>
                <w:sz w:val="18"/>
              </w:rPr>
              <w:t> </w:t>
            </w:r>
            <w:r>
              <w:rPr>
                <w:color w:val="105C84"/>
                <w:sz w:val="18"/>
              </w:rPr>
              <w:t>and</w:t>
            </w:r>
            <w:r>
              <w:rPr>
                <w:color w:val="105C84"/>
                <w:spacing w:val="-4"/>
                <w:sz w:val="18"/>
              </w:rPr>
              <w:t> </w:t>
            </w:r>
            <w:r>
              <w:rPr>
                <w:color w:val="105C84"/>
                <w:sz w:val="18"/>
              </w:rPr>
              <w:t>physical activity is provided in seven area schools serving 2,851 </w:t>
            </w:r>
            <w:r>
              <w:rPr>
                <w:color w:val="105C84"/>
                <w:spacing w:val="-2"/>
                <w:sz w:val="18"/>
              </w:rPr>
              <w:t>students</w:t>
            </w:r>
          </w:p>
        </w:tc>
        <w:tc>
          <w:tcPr>
            <w:tcW w:w="3951" w:type="dxa"/>
            <w:tcBorders>
              <w:left w:val="nil"/>
              <w:bottom w:val="nil"/>
            </w:tcBorders>
          </w:tcPr>
          <w:p>
            <w:pPr>
              <w:pStyle w:val="TableParagraph"/>
              <w:spacing w:line="232" w:lineRule="auto" w:before="100"/>
              <w:ind w:left="997" w:right="102"/>
              <w:rPr>
                <w:sz w:val="18"/>
              </w:rPr>
            </w:pPr>
            <w:r>
              <w:rPr>
                <w:color w:val="105C84"/>
                <w:sz w:val="18"/>
              </w:rPr>
              <w:t>7</w:t>
            </w:r>
            <w:r>
              <w:rPr>
                <w:color w:val="105C84"/>
                <w:spacing w:val="-13"/>
                <w:sz w:val="18"/>
              </w:rPr>
              <w:t> </w:t>
            </w:r>
            <w:r>
              <w:rPr>
                <w:color w:val="105C84"/>
                <w:sz w:val="18"/>
              </w:rPr>
              <w:t>schools</w:t>
            </w:r>
            <w:r>
              <w:rPr>
                <w:color w:val="105C84"/>
                <w:spacing w:val="-12"/>
                <w:sz w:val="18"/>
              </w:rPr>
              <w:t> </w:t>
            </w:r>
            <w:r>
              <w:rPr>
                <w:color w:val="105C84"/>
                <w:sz w:val="18"/>
              </w:rPr>
              <w:t>trained</w:t>
            </w:r>
            <w:r>
              <w:rPr>
                <w:color w:val="105C84"/>
                <w:spacing w:val="-13"/>
                <w:sz w:val="18"/>
              </w:rPr>
              <w:t> </w:t>
            </w:r>
            <w:r>
              <w:rPr>
                <w:color w:val="105C84"/>
                <w:sz w:val="18"/>
              </w:rPr>
              <w:t>in</w:t>
            </w:r>
            <w:r>
              <w:rPr>
                <w:color w:val="105C84"/>
                <w:spacing w:val="-12"/>
                <w:sz w:val="18"/>
              </w:rPr>
              <w:t> </w:t>
            </w:r>
            <w:r>
              <w:rPr>
                <w:color w:val="105C84"/>
                <w:sz w:val="18"/>
              </w:rPr>
              <w:t>CATCH</w:t>
            </w:r>
            <w:r>
              <w:rPr>
                <w:color w:val="105C84"/>
                <w:spacing w:val="-13"/>
                <w:sz w:val="18"/>
              </w:rPr>
              <w:t> </w:t>
            </w:r>
            <w:r>
              <w:rPr>
                <w:color w:val="105C84"/>
                <w:sz w:val="18"/>
              </w:rPr>
              <w:t>wit</w:t>
            </w:r>
            <w:r>
              <w:rPr>
                <w:color w:val="105C84"/>
                <w:sz w:val="18"/>
              </w:rPr>
              <w:t>h</w:t>
            </w:r>
            <w:r>
              <w:rPr>
                <w:color w:val="105C84"/>
                <w:sz w:val="18"/>
              </w:rPr>
              <w:t> 2,851 students impacted</w:t>
            </w:r>
          </w:p>
          <w:p>
            <w:pPr>
              <w:pStyle w:val="TableParagraph"/>
              <w:spacing w:line="232" w:lineRule="auto" w:before="198"/>
              <w:ind w:left="997" w:right="102"/>
              <w:rPr>
                <w:sz w:val="18"/>
              </w:rPr>
            </w:pPr>
            <w:r>
              <w:rPr>
                <w:color w:val="105C84"/>
                <w:sz w:val="18"/>
              </w:rPr>
              <w:t>ECSD adopted CATCH in their wellness policy for all elementary schools, CATCH is used school </w:t>
            </w:r>
            <w:r>
              <w:rPr>
                <w:color w:val="105C84"/>
                <w:spacing w:val="-2"/>
                <w:sz w:val="18"/>
              </w:rPr>
              <w:t>wide</w:t>
            </w:r>
            <w:r>
              <w:rPr>
                <w:color w:val="105C84"/>
                <w:spacing w:val="-13"/>
                <w:sz w:val="18"/>
              </w:rPr>
              <w:t> </w:t>
            </w:r>
            <w:r>
              <w:rPr>
                <w:color w:val="105C84"/>
                <w:spacing w:val="-2"/>
                <w:sz w:val="18"/>
              </w:rPr>
              <w:t>(classroom,</w:t>
            </w:r>
            <w:r>
              <w:rPr>
                <w:color w:val="105C84"/>
                <w:spacing w:val="-10"/>
                <w:sz w:val="18"/>
              </w:rPr>
              <w:t> </w:t>
            </w:r>
            <w:r>
              <w:rPr>
                <w:color w:val="105C84"/>
                <w:spacing w:val="-2"/>
                <w:sz w:val="18"/>
              </w:rPr>
              <w:t>PE,</w:t>
            </w:r>
            <w:r>
              <w:rPr>
                <w:color w:val="105C84"/>
                <w:spacing w:val="-11"/>
                <w:sz w:val="18"/>
              </w:rPr>
              <w:t> </w:t>
            </w:r>
            <w:r>
              <w:rPr>
                <w:color w:val="105C84"/>
                <w:spacing w:val="-2"/>
                <w:sz w:val="18"/>
              </w:rPr>
              <w:t>brain</w:t>
            </w:r>
            <w:r>
              <w:rPr>
                <w:color w:val="105C84"/>
                <w:spacing w:val="-10"/>
                <w:sz w:val="18"/>
              </w:rPr>
              <w:t> </w:t>
            </w:r>
            <w:r>
              <w:rPr>
                <w:color w:val="105C84"/>
                <w:spacing w:val="-2"/>
                <w:sz w:val="18"/>
              </w:rPr>
              <w:t>breaks, </w:t>
            </w:r>
            <w:r>
              <w:rPr>
                <w:color w:val="105C84"/>
                <w:sz w:val="18"/>
              </w:rPr>
              <w:t>MBE minutes, cafeteria)</w:t>
            </w:r>
          </w:p>
        </w:tc>
        <w:tc>
          <w:tcPr>
            <w:tcW w:w="1844" w:type="dxa"/>
            <w:tcBorders>
              <w:bottom w:val="nil"/>
            </w:tcBorders>
          </w:tcPr>
          <w:p>
            <w:pPr>
              <w:pStyle w:val="TableParagraph"/>
              <w:spacing w:line="232" w:lineRule="auto" w:before="100"/>
              <w:ind w:left="83"/>
              <w:rPr>
                <w:sz w:val="18"/>
              </w:rPr>
            </w:pPr>
            <w:r>
              <w:rPr>
                <w:color w:val="105C84"/>
                <w:sz w:val="18"/>
              </w:rPr>
              <w:t>8</w:t>
            </w:r>
            <w:r>
              <w:rPr>
                <w:color w:val="105C84"/>
                <w:spacing w:val="-13"/>
                <w:sz w:val="18"/>
              </w:rPr>
              <w:t> </w:t>
            </w:r>
            <w:r>
              <w:rPr>
                <w:color w:val="105C84"/>
                <w:sz w:val="18"/>
              </w:rPr>
              <w:t>schools</w:t>
            </w:r>
            <w:r>
              <w:rPr>
                <w:color w:val="105C84"/>
                <w:spacing w:val="-12"/>
                <w:sz w:val="18"/>
              </w:rPr>
              <w:t> </w:t>
            </w:r>
            <w:r>
              <w:rPr>
                <w:color w:val="105C84"/>
                <w:sz w:val="18"/>
              </w:rPr>
              <w:t>trained</w:t>
            </w:r>
            <w:r>
              <w:rPr>
                <w:color w:val="105C84"/>
                <w:spacing w:val="-13"/>
                <w:sz w:val="18"/>
              </w:rPr>
              <w:t> </w:t>
            </w:r>
            <w:r>
              <w:rPr>
                <w:color w:val="105C84"/>
                <w:sz w:val="18"/>
              </w:rPr>
              <w:t>in</w:t>
            </w:r>
            <w:r>
              <w:rPr>
                <w:color w:val="105C84"/>
                <w:sz w:val="18"/>
              </w:rPr>
              <w:t> </w:t>
            </w:r>
            <w:r>
              <w:rPr>
                <w:color w:val="105C84"/>
                <w:spacing w:val="-4"/>
                <w:sz w:val="18"/>
              </w:rPr>
              <w:t>CATCH</w:t>
            </w:r>
          </w:p>
          <w:p>
            <w:pPr>
              <w:pStyle w:val="TableParagraph"/>
              <w:spacing w:line="232" w:lineRule="auto" w:before="198"/>
              <w:ind w:left="83"/>
              <w:rPr>
                <w:sz w:val="18"/>
              </w:rPr>
            </w:pPr>
            <w:r>
              <w:rPr>
                <w:color w:val="105C84"/>
                <w:sz w:val="18"/>
              </w:rPr>
              <w:t>3,157 students impacted</w:t>
            </w:r>
            <w:r>
              <w:rPr>
                <w:color w:val="105C84"/>
                <w:spacing w:val="-15"/>
                <w:sz w:val="18"/>
              </w:rPr>
              <w:t> </w:t>
            </w:r>
            <w:r>
              <w:rPr>
                <w:color w:val="105C84"/>
                <w:sz w:val="18"/>
              </w:rPr>
              <w:t>in</w:t>
            </w:r>
            <w:r>
              <w:rPr>
                <w:color w:val="105C84"/>
                <w:spacing w:val="-12"/>
                <w:sz w:val="18"/>
              </w:rPr>
              <w:t> </w:t>
            </w:r>
            <w:r>
              <w:rPr>
                <w:color w:val="105C84"/>
                <w:sz w:val="18"/>
              </w:rPr>
              <w:t>CATCH </w:t>
            </w:r>
            <w:r>
              <w:rPr>
                <w:color w:val="105C84"/>
                <w:spacing w:val="-2"/>
                <w:sz w:val="18"/>
              </w:rPr>
              <w:t>schools</w:t>
            </w:r>
          </w:p>
        </w:tc>
        <w:tc>
          <w:tcPr>
            <w:tcW w:w="1844" w:type="dxa"/>
            <w:tcBorders>
              <w:bottom w:val="nil"/>
            </w:tcBorders>
          </w:tcPr>
          <w:p>
            <w:pPr>
              <w:pStyle w:val="TableParagraph"/>
              <w:spacing w:line="232" w:lineRule="auto" w:before="100"/>
              <w:ind w:left="82"/>
              <w:rPr>
                <w:sz w:val="18"/>
              </w:rPr>
            </w:pPr>
            <w:r>
              <w:rPr>
                <w:color w:val="105C84"/>
                <w:sz w:val="18"/>
              </w:rPr>
              <w:t>8</w:t>
            </w:r>
            <w:r>
              <w:rPr>
                <w:color w:val="105C84"/>
                <w:spacing w:val="-13"/>
                <w:sz w:val="18"/>
              </w:rPr>
              <w:t> </w:t>
            </w:r>
            <w:r>
              <w:rPr>
                <w:color w:val="105C84"/>
                <w:sz w:val="18"/>
              </w:rPr>
              <w:t>schools</w:t>
            </w:r>
            <w:r>
              <w:rPr>
                <w:color w:val="105C84"/>
                <w:spacing w:val="-12"/>
                <w:sz w:val="18"/>
              </w:rPr>
              <w:t> </w:t>
            </w:r>
            <w:r>
              <w:rPr>
                <w:color w:val="105C84"/>
                <w:sz w:val="18"/>
              </w:rPr>
              <w:t>trained</w:t>
            </w:r>
            <w:r>
              <w:rPr>
                <w:color w:val="105C84"/>
                <w:spacing w:val="-13"/>
                <w:sz w:val="18"/>
              </w:rPr>
              <w:t> </w:t>
            </w:r>
            <w:r>
              <w:rPr>
                <w:color w:val="105C84"/>
                <w:sz w:val="18"/>
              </w:rPr>
              <w:t>in</w:t>
            </w:r>
            <w:r>
              <w:rPr>
                <w:color w:val="105C84"/>
                <w:sz w:val="18"/>
              </w:rPr>
              <w:t> </w:t>
            </w:r>
            <w:r>
              <w:rPr>
                <w:color w:val="105C84"/>
                <w:spacing w:val="-4"/>
                <w:sz w:val="18"/>
              </w:rPr>
              <w:t>CATCH</w:t>
            </w:r>
          </w:p>
          <w:p>
            <w:pPr>
              <w:pStyle w:val="TableParagraph"/>
              <w:spacing w:line="232" w:lineRule="auto" w:before="198"/>
              <w:ind w:left="82"/>
              <w:rPr>
                <w:sz w:val="18"/>
              </w:rPr>
            </w:pPr>
            <w:r>
              <w:rPr>
                <w:color w:val="105C84"/>
                <w:sz w:val="18"/>
              </w:rPr>
              <w:t>3,157 students impacted</w:t>
            </w:r>
            <w:r>
              <w:rPr>
                <w:color w:val="105C84"/>
                <w:spacing w:val="-15"/>
                <w:sz w:val="18"/>
              </w:rPr>
              <w:t> </w:t>
            </w:r>
            <w:r>
              <w:rPr>
                <w:color w:val="105C84"/>
                <w:sz w:val="18"/>
              </w:rPr>
              <w:t>in</w:t>
            </w:r>
            <w:r>
              <w:rPr>
                <w:color w:val="105C84"/>
                <w:spacing w:val="-12"/>
                <w:sz w:val="18"/>
              </w:rPr>
              <w:t> </w:t>
            </w:r>
            <w:r>
              <w:rPr>
                <w:color w:val="105C84"/>
                <w:sz w:val="18"/>
              </w:rPr>
              <w:t>CATCH </w:t>
            </w:r>
            <w:r>
              <w:rPr>
                <w:color w:val="105C84"/>
                <w:spacing w:val="-2"/>
                <w:sz w:val="18"/>
              </w:rPr>
              <w:t>schools</w:t>
            </w:r>
          </w:p>
        </w:tc>
        <w:tc>
          <w:tcPr>
            <w:tcW w:w="1671" w:type="dxa"/>
            <w:tcBorders>
              <w:bottom w:val="nil"/>
            </w:tcBorders>
          </w:tcPr>
          <w:p>
            <w:pPr>
              <w:pStyle w:val="TableParagraph"/>
              <w:spacing w:line="232" w:lineRule="auto" w:before="99"/>
              <w:ind w:left="81" w:right="103"/>
              <w:rPr>
                <w:sz w:val="18"/>
              </w:rPr>
            </w:pPr>
            <w:r>
              <w:rPr>
                <w:color w:val="105C84"/>
                <w:spacing w:val="-2"/>
                <w:sz w:val="18"/>
              </w:rPr>
              <w:t>Community-</w:t>
            </w:r>
            <w:r>
              <w:rPr>
                <w:color w:val="105C84"/>
                <w:spacing w:val="-2"/>
                <w:sz w:val="18"/>
              </w:rPr>
              <w:t>based organizations</w:t>
            </w:r>
          </w:p>
        </w:tc>
        <w:tc>
          <w:tcPr>
            <w:tcW w:w="1984" w:type="dxa"/>
            <w:vMerge w:val="restart"/>
          </w:tcPr>
          <w:p>
            <w:pPr>
              <w:pStyle w:val="TableParagraph"/>
              <w:spacing w:line="232" w:lineRule="auto" w:before="99"/>
              <w:ind w:left="81" w:right="93" w:firstLine="46"/>
              <w:rPr>
                <w:sz w:val="18"/>
              </w:rPr>
            </w:pPr>
            <w:r>
              <w:rPr>
                <w:color w:val="105C84"/>
                <w:sz w:val="18"/>
              </w:rPr>
              <w:t>FLESNY responsible for intervention providing needed</w:t>
            </w:r>
            <w:r>
              <w:rPr>
                <w:color w:val="105C84"/>
                <w:spacing w:val="80"/>
                <w:sz w:val="18"/>
              </w:rPr>
              <w:t> </w:t>
            </w:r>
            <w:r>
              <w:rPr>
                <w:color w:val="105C84"/>
                <w:sz w:val="18"/>
              </w:rPr>
              <w:t>staff and resources to meet measures with </w:t>
            </w:r>
            <w:r>
              <w:rPr>
                <w:color w:val="105C84"/>
                <w:spacing w:val="-2"/>
                <w:sz w:val="18"/>
              </w:rPr>
              <w:t>assistance</w:t>
            </w:r>
            <w:r>
              <w:rPr>
                <w:color w:val="105C84"/>
                <w:spacing w:val="-13"/>
                <w:sz w:val="18"/>
              </w:rPr>
              <w:t> </w:t>
            </w:r>
            <w:r>
              <w:rPr>
                <w:color w:val="105C84"/>
                <w:spacing w:val="-2"/>
                <w:sz w:val="18"/>
              </w:rPr>
              <w:t>from</w:t>
            </w:r>
            <w:r>
              <w:rPr>
                <w:color w:val="105C84"/>
                <w:spacing w:val="-10"/>
                <w:sz w:val="18"/>
              </w:rPr>
              <w:t> </w:t>
            </w:r>
            <w:r>
              <w:rPr>
                <w:color w:val="105C84"/>
                <w:spacing w:val="-2"/>
                <w:sz w:val="18"/>
              </w:rPr>
              <w:t>Health </w:t>
            </w:r>
            <w:r>
              <w:rPr>
                <w:color w:val="105C84"/>
                <w:sz w:val="18"/>
              </w:rPr>
              <w:t>Priorities Partners as </w:t>
            </w:r>
            <w:r>
              <w:rPr>
                <w:color w:val="105C84"/>
                <w:spacing w:val="-2"/>
                <w:sz w:val="18"/>
              </w:rPr>
              <w:t>needed</w:t>
            </w:r>
          </w:p>
        </w:tc>
      </w:tr>
      <w:tr>
        <w:trPr>
          <w:trHeight w:val="1482" w:hRule="atLeast"/>
        </w:trPr>
        <w:tc>
          <w:tcPr>
            <w:tcW w:w="1008" w:type="dxa"/>
            <w:tcBorders>
              <w:top w:val="nil"/>
              <w:bottom w:val="nil"/>
            </w:tcBorders>
            <w:shd w:val="clear" w:color="auto" w:fill="E6E7E8"/>
          </w:tcPr>
          <w:p>
            <w:pPr>
              <w:pStyle w:val="TableParagraph"/>
              <w:rPr>
                <w:rFonts w:ascii="Times New Roman"/>
                <w:sz w:val="18"/>
              </w:rPr>
            </w:pPr>
          </w:p>
        </w:tc>
        <w:tc>
          <w:tcPr>
            <w:tcW w:w="1383" w:type="dxa"/>
            <w:tcBorders>
              <w:top w:val="nil"/>
              <w:bottom w:val="nil"/>
            </w:tcBorders>
          </w:tcPr>
          <w:p>
            <w:pPr>
              <w:pStyle w:val="TableParagraph"/>
              <w:rPr>
                <w:rFonts w:ascii="Times New Roman"/>
                <w:sz w:val="18"/>
              </w:rPr>
            </w:pPr>
          </w:p>
        </w:tc>
        <w:tc>
          <w:tcPr>
            <w:tcW w:w="1297" w:type="dxa"/>
            <w:tcBorders>
              <w:top w:val="nil"/>
              <w:bottom w:val="nil"/>
            </w:tcBorders>
          </w:tcPr>
          <w:p>
            <w:pPr>
              <w:pStyle w:val="TableParagraph"/>
              <w:rPr>
                <w:rFonts w:ascii="Times New Roman"/>
                <w:sz w:val="18"/>
              </w:rPr>
            </w:pPr>
          </w:p>
        </w:tc>
        <w:tc>
          <w:tcPr>
            <w:tcW w:w="1441" w:type="dxa"/>
            <w:tcBorders>
              <w:top w:val="nil"/>
            </w:tcBorders>
          </w:tcPr>
          <w:p>
            <w:pPr>
              <w:pStyle w:val="TableParagraph"/>
              <w:rPr>
                <w:rFonts w:ascii="Times New Roman"/>
                <w:sz w:val="18"/>
              </w:rPr>
            </w:pPr>
          </w:p>
        </w:tc>
        <w:tc>
          <w:tcPr>
            <w:tcW w:w="1153" w:type="dxa"/>
            <w:vMerge/>
            <w:tcBorders>
              <w:top w:val="nil"/>
            </w:tcBorders>
          </w:tcPr>
          <w:p>
            <w:pPr>
              <w:rPr>
                <w:sz w:val="2"/>
                <w:szCs w:val="2"/>
              </w:rPr>
            </w:pPr>
          </w:p>
        </w:tc>
        <w:tc>
          <w:tcPr>
            <w:tcW w:w="1441" w:type="dxa"/>
            <w:tcBorders>
              <w:top w:val="nil"/>
            </w:tcBorders>
          </w:tcPr>
          <w:p>
            <w:pPr>
              <w:pStyle w:val="TableParagraph"/>
              <w:rPr>
                <w:rFonts w:ascii="Times New Roman"/>
                <w:sz w:val="18"/>
              </w:rPr>
            </w:pPr>
          </w:p>
        </w:tc>
        <w:tc>
          <w:tcPr>
            <w:tcW w:w="3510" w:type="dxa"/>
            <w:tcBorders>
              <w:top w:val="nil"/>
              <w:right w:val="nil"/>
            </w:tcBorders>
          </w:tcPr>
          <w:p>
            <w:pPr>
              <w:pStyle w:val="TableParagraph"/>
              <w:spacing w:line="232" w:lineRule="auto" w:before="33"/>
              <w:ind w:left="85" w:right="997"/>
              <w:rPr>
                <w:sz w:val="18"/>
              </w:rPr>
            </w:pPr>
            <w:r>
              <w:rPr>
                <w:color w:val="105C84"/>
                <w:sz w:val="18"/>
              </w:rPr>
              <w:t>The</w:t>
            </w:r>
            <w:r>
              <w:rPr>
                <w:color w:val="105C84"/>
                <w:spacing w:val="-15"/>
                <w:sz w:val="18"/>
              </w:rPr>
              <w:t> </w:t>
            </w:r>
            <w:r>
              <w:rPr>
                <w:color w:val="105C84"/>
                <w:sz w:val="18"/>
              </w:rPr>
              <w:t>Elmira</w:t>
            </w:r>
            <w:r>
              <w:rPr>
                <w:color w:val="105C84"/>
                <w:spacing w:val="-12"/>
                <w:sz w:val="18"/>
              </w:rPr>
              <w:t> </w:t>
            </w:r>
            <w:r>
              <w:rPr>
                <w:color w:val="105C84"/>
                <w:sz w:val="18"/>
              </w:rPr>
              <w:t>City</w:t>
            </w:r>
            <w:r>
              <w:rPr>
                <w:color w:val="105C84"/>
                <w:spacing w:val="-13"/>
                <w:sz w:val="18"/>
              </w:rPr>
              <w:t> </w:t>
            </w:r>
            <w:r>
              <w:rPr>
                <w:color w:val="105C84"/>
                <w:sz w:val="18"/>
              </w:rPr>
              <w:t>School</w:t>
            </w:r>
            <w:r>
              <w:rPr>
                <w:color w:val="105C84"/>
                <w:spacing w:val="-12"/>
                <w:sz w:val="18"/>
              </w:rPr>
              <w:t> </w:t>
            </w:r>
            <w:r>
              <w:rPr>
                <w:color w:val="105C84"/>
                <w:sz w:val="18"/>
              </w:rPr>
              <w:t>District (ECSD) adopted CATCH in their wellness policy for all </w:t>
            </w:r>
            <w:r>
              <w:rPr>
                <w:color w:val="105C84"/>
                <w:spacing w:val="-2"/>
                <w:sz w:val="18"/>
              </w:rPr>
              <w:t>elementary</w:t>
            </w:r>
            <w:r>
              <w:rPr>
                <w:color w:val="105C84"/>
                <w:spacing w:val="-10"/>
                <w:sz w:val="18"/>
              </w:rPr>
              <w:t> </w:t>
            </w:r>
            <w:r>
              <w:rPr>
                <w:color w:val="105C84"/>
                <w:spacing w:val="-2"/>
                <w:sz w:val="18"/>
              </w:rPr>
              <w:t>schools,</w:t>
            </w:r>
            <w:r>
              <w:rPr>
                <w:color w:val="105C84"/>
                <w:spacing w:val="-10"/>
                <w:sz w:val="18"/>
              </w:rPr>
              <w:t> </w:t>
            </w:r>
            <w:r>
              <w:rPr>
                <w:color w:val="105C84"/>
                <w:spacing w:val="-2"/>
                <w:sz w:val="18"/>
              </w:rPr>
              <w:t>CATCH</w:t>
            </w:r>
            <w:r>
              <w:rPr>
                <w:color w:val="105C84"/>
                <w:spacing w:val="-10"/>
                <w:sz w:val="18"/>
              </w:rPr>
              <w:t> </w:t>
            </w:r>
            <w:r>
              <w:rPr>
                <w:color w:val="105C84"/>
                <w:spacing w:val="-2"/>
                <w:sz w:val="18"/>
              </w:rPr>
              <w:t>is </w:t>
            </w:r>
            <w:r>
              <w:rPr>
                <w:color w:val="105C84"/>
                <w:sz w:val="18"/>
              </w:rPr>
              <w:t>used school wide (classroom, PE, brain breaks, MBE minutes, cafeteria)</w:t>
            </w:r>
          </w:p>
        </w:tc>
        <w:tc>
          <w:tcPr>
            <w:tcW w:w="3951" w:type="dxa"/>
            <w:tcBorders>
              <w:top w:val="nil"/>
              <w:left w:val="nil"/>
            </w:tcBorders>
          </w:tcPr>
          <w:p>
            <w:pPr>
              <w:pStyle w:val="TableParagraph"/>
              <w:rPr>
                <w:rFonts w:ascii="Times New Roman"/>
                <w:sz w:val="18"/>
              </w:rPr>
            </w:pPr>
          </w:p>
        </w:tc>
        <w:tc>
          <w:tcPr>
            <w:tcW w:w="1844" w:type="dxa"/>
            <w:tcBorders>
              <w:top w:val="nil"/>
            </w:tcBorders>
          </w:tcPr>
          <w:p>
            <w:pPr>
              <w:pStyle w:val="TableParagraph"/>
              <w:rPr>
                <w:rFonts w:ascii="Times New Roman"/>
                <w:sz w:val="18"/>
              </w:rPr>
            </w:pPr>
          </w:p>
        </w:tc>
        <w:tc>
          <w:tcPr>
            <w:tcW w:w="1844" w:type="dxa"/>
            <w:tcBorders>
              <w:top w:val="nil"/>
            </w:tcBorders>
          </w:tcPr>
          <w:p>
            <w:pPr>
              <w:pStyle w:val="TableParagraph"/>
              <w:rPr>
                <w:rFonts w:ascii="Times New Roman"/>
                <w:sz w:val="18"/>
              </w:rPr>
            </w:pPr>
          </w:p>
        </w:tc>
        <w:tc>
          <w:tcPr>
            <w:tcW w:w="1671" w:type="dxa"/>
            <w:tcBorders>
              <w:top w:val="nil"/>
            </w:tcBorders>
          </w:tcPr>
          <w:p>
            <w:pPr>
              <w:pStyle w:val="TableParagraph"/>
              <w:rPr>
                <w:rFonts w:ascii="Times New Roman"/>
                <w:sz w:val="18"/>
              </w:rPr>
            </w:pPr>
          </w:p>
        </w:tc>
        <w:tc>
          <w:tcPr>
            <w:tcW w:w="1984" w:type="dxa"/>
            <w:vMerge/>
            <w:tcBorders>
              <w:top w:val="nil"/>
            </w:tcBorders>
          </w:tcPr>
          <w:p>
            <w:pPr>
              <w:rPr>
                <w:sz w:val="2"/>
                <w:szCs w:val="2"/>
              </w:rPr>
            </w:pPr>
          </w:p>
        </w:tc>
      </w:tr>
      <w:tr>
        <w:trPr>
          <w:trHeight w:val="5380" w:hRule="atLeast"/>
        </w:trPr>
        <w:tc>
          <w:tcPr>
            <w:tcW w:w="1008" w:type="dxa"/>
            <w:tcBorders>
              <w:top w:val="nil"/>
            </w:tcBorders>
            <w:shd w:val="clear" w:color="auto" w:fill="E6E7E8"/>
          </w:tcPr>
          <w:p>
            <w:pPr>
              <w:pStyle w:val="TableParagraph"/>
              <w:rPr>
                <w:rFonts w:ascii="Times New Roman"/>
                <w:sz w:val="18"/>
              </w:rPr>
            </w:pPr>
          </w:p>
        </w:tc>
        <w:tc>
          <w:tcPr>
            <w:tcW w:w="1383" w:type="dxa"/>
            <w:tcBorders>
              <w:top w:val="nil"/>
            </w:tcBorders>
          </w:tcPr>
          <w:p>
            <w:pPr>
              <w:pStyle w:val="TableParagraph"/>
              <w:rPr>
                <w:rFonts w:ascii="Times New Roman"/>
                <w:sz w:val="18"/>
              </w:rPr>
            </w:pPr>
          </w:p>
        </w:tc>
        <w:tc>
          <w:tcPr>
            <w:tcW w:w="1297" w:type="dxa"/>
            <w:tcBorders>
              <w:top w:val="nil"/>
            </w:tcBorders>
          </w:tcPr>
          <w:p>
            <w:pPr>
              <w:pStyle w:val="TableParagraph"/>
              <w:rPr>
                <w:rFonts w:ascii="Times New Roman"/>
                <w:sz w:val="18"/>
              </w:rPr>
            </w:pPr>
          </w:p>
        </w:tc>
        <w:tc>
          <w:tcPr>
            <w:tcW w:w="1441" w:type="dxa"/>
          </w:tcPr>
          <w:p>
            <w:pPr>
              <w:pStyle w:val="TableParagraph"/>
              <w:spacing w:line="232" w:lineRule="auto" w:before="99"/>
              <w:ind w:left="88" w:right="109"/>
              <w:rPr>
                <w:sz w:val="18"/>
              </w:rPr>
            </w:pPr>
            <w:r>
              <w:rPr>
                <w:color w:val="105C84"/>
                <w:sz w:val="18"/>
              </w:rPr>
              <w:t>Objective 1.5: Decrease the percentage of adults ages 18 years</w:t>
            </w:r>
            <w:r>
              <w:rPr>
                <w:color w:val="105C84"/>
                <w:spacing w:val="-15"/>
                <w:sz w:val="18"/>
              </w:rPr>
              <w:t> </w:t>
            </w:r>
            <w:r>
              <w:rPr>
                <w:color w:val="105C84"/>
                <w:sz w:val="18"/>
              </w:rPr>
              <w:t>and</w:t>
            </w:r>
            <w:r>
              <w:rPr>
                <w:color w:val="105C84"/>
                <w:spacing w:val="-12"/>
                <w:sz w:val="18"/>
              </w:rPr>
              <w:t> </w:t>
            </w:r>
            <w:r>
              <w:rPr>
                <w:color w:val="105C84"/>
                <w:sz w:val="18"/>
              </w:rPr>
              <w:t>older with obesity (among adults with an annual </w:t>
            </w:r>
            <w:r>
              <w:rPr>
                <w:color w:val="105C84"/>
                <w:spacing w:val="-2"/>
                <w:sz w:val="18"/>
              </w:rPr>
              <w:t>household </w:t>
            </w:r>
            <w:r>
              <w:rPr>
                <w:color w:val="105C84"/>
                <w:sz w:val="18"/>
              </w:rPr>
              <w:t>income of</w:t>
            </w:r>
          </w:p>
          <w:p>
            <w:pPr>
              <w:pStyle w:val="TableParagraph"/>
              <w:spacing w:line="194" w:lineRule="exact"/>
              <w:ind w:left="88"/>
              <w:rPr>
                <w:sz w:val="18"/>
              </w:rPr>
            </w:pPr>
            <w:r>
              <w:rPr>
                <w:color w:val="105C84"/>
                <w:spacing w:val="-2"/>
                <w:sz w:val="18"/>
              </w:rPr>
              <w:t>&lt;$25,000)</w:t>
            </w:r>
          </w:p>
        </w:tc>
        <w:tc>
          <w:tcPr>
            <w:tcW w:w="1153" w:type="dxa"/>
          </w:tcPr>
          <w:p>
            <w:pPr>
              <w:pStyle w:val="TableParagraph"/>
              <w:rPr>
                <w:rFonts w:ascii="Times New Roman"/>
                <w:sz w:val="18"/>
              </w:rPr>
            </w:pPr>
          </w:p>
        </w:tc>
        <w:tc>
          <w:tcPr>
            <w:tcW w:w="1441" w:type="dxa"/>
          </w:tcPr>
          <w:p>
            <w:pPr>
              <w:pStyle w:val="TableParagraph"/>
              <w:spacing w:line="203" w:lineRule="exact" w:before="94"/>
              <w:ind w:left="86"/>
              <w:rPr>
                <w:sz w:val="18"/>
              </w:rPr>
            </w:pPr>
            <w:r>
              <w:rPr>
                <w:color w:val="105C84"/>
                <w:spacing w:val="-2"/>
                <w:sz w:val="18"/>
              </w:rPr>
              <w:t>Intervention</w:t>
            </w:r>
          </w:p>
          <w:p>
            <w:pPr>
              <w:pStyle w:val="TableParagraph"/>
              <w:spacing w:line="232" w:lineRule="auto" w:before="2"/>
              <w:ind w:left="86" w:right="272"/>
              <w:rPr>
                <w:sz w:val="18"/>
              </w:rPr>
            </w:pPr>
            <w:r>
              <w:rPr>
                <w:color w:val="105C84"/>
                <w:sz w:val="18"/>
              </w:rPr>
              <w:t>1.0.4 Multi-</w:t>
            </w:r>
            <w:r>
              <w:rPr>
                <w:color w:val="105C84"/>
                <w:spacing w:val="-2"/>
                <w:sz w:val="18"/>
              </w:rPr>
              <w:t>component school-</w:t>
            </w:r>
            <w:r>
              <w:rPr>
                <w:color w:val="105C84"/>
                <w:spacing w:val="-2"/>
                <w:sz w:val="18"/>
              </w:rPr>
              <w:t>base</w:t>
            </w:r>
            <w:r>
              <w:rPr>
                <w:color w:val="105C84"/>
                <w:spacing w:val="-2"/>
                <w:sz w:val="18"/>
              </w:rPr>
              <w:t>d</w:t>
            </w:r>
            <w:r>
              <w:rPr>
                <w:color w:val="105C84"/>
                <w:spacing w:val="-2"/>
                <w:sz w:val="18"/>
              </w:rPr>
              <w:t> obesity prevention interventions</w:t>
            </w:r>
          </w:p>
        </w:tc>
        <w:tc>
          <w:tcPr>
            <w:tcW w:w="3510" w:type="dxa"/>
            <w:tcBorders>
              <w:right w:val="nil"/>
            </w:tcBorders>
          </w:tcPr>
          <w:p>
            <w:pPr>
              <w:pStyle w:val="TableParagraph"/>
              <w:spacing w:line="232" w:lineRule="auto" w:before="99"/>
              <w:ind w:left="85" w:right="1108"/>
              <w:rPr>
                <w:sz w:val="18"/>
              </w:rPr>
            </w:pPr>
            <w:r>
              <w:rPr>
                <w:color w:val="105C84"/>
                <w:sz w:val="18"/>
              </w:rPr>
              <w:t>Creating Healthy Schools and Communities (CHSC) work with Elmira School District</w:t>
            </w:r>
            <w:r>
              <w:rPr>
                <w:color w:val="105C84"/>
                <w:spacing w:val="-4"/>
                <w:sz w:val="18"/>
              </w:rPr>
              <w:t> </w:t>
            </w:r>
            <w:r>
              <w:rPr>
                <w:color w:val="105C84"/>
                <w:sz w:val="18"/>
              </w:rPr>
              <w:t>staff</w:t>
            </w:r>
            <w:r>
              <w:rPr>
                <w:color w:val="105C84"/>
                <w:spacing w:val="-4"/>
                <w:sz w:val="18"/>
              </w:rPr>
              <w:t> </w:t>
            </w:r>
            <w:r>
              <w:rPr>
                <w:color w:val="105C84"/>
                <w:sz w:val="18"/>
              </w:rPr>
              <w:t>and</w:t>
            </w:r>
            <w:r>
              <w:rPr>
                <w:color w:val="105C84"/>
                <w:spacing w:val="-4"/>
                <w:sz w:val="18"/>
              </w:rPr>
              <w:t> </w:t>
            </w:r>
            <w:r>
              <w:rPr>
                <w:color w:val="105C84"/>
                <w:sz w:val="18"/>
              </w:rPr>
              <w:t>partners</w:t>
            </w:r>
            <w:r>
              <w:rPr>
                <w:color w:val="105C84"/>
                <w:spacing w:val="-4"/>
                <w:sz w:val="18"/>
              </w:rPr>
              <w:t> </w:t>
            </w:r>
            <w:r>
              <w:rPr>
                <w:color w:val="105C84"/>
                <w:sz w:val="18"/>
              </w:rPr>
              <w:t>to build</w:t>
            </w:r>
            <w:r>
              <w:rPr>
                <w:color w:val="105C84"/>
                <w:spacing w:val="4"/>
                <w:sz w:val="18"/>
              </w:rPr>
              <w:t> </w:t>
            </w:r>
            <w:r>
              <w:rPr>
                <w:color w:val="105C84"/>
                <w:sz w:val="18"/>
              </w:rPr>
              <w:t>capacity</w:t>
            </w:r>
            <w:r>
              <w:rPr>
                <w:color w:val="105C84"/>
                <w:spacing w:val="4"/>
                <w:sz w:val="18"/>
              </w:rPr>
              <w:t> </w:t>
            </w:r>
            <w:r>
              <w:rPr>
                <w:color w:val="105C84"/>
                <w:sz w:val="18"/>
              </w:rPr>
              <w:t>for</w:t>
            </w:r>
            <w:r>
              <w:rPr>
                <w:color w:val="105C84"/>
                <w:spacing w:val="4"/>
                <w:sz w:val="18"/>
              </w:rPr>
              <w:t> </w:t>
            </w:r>
            <w:r>
              <w:rPr>
                <w:color w:val="105C84"/>
                <w:spacing w:val="-6"/>
                <w:sz w:val="18"/>
              </w:rPr>
              <w:t>assessing,</w:t>
            </w:r>
          </w:p>
          <w:p>
            <w:pPr>
              <w:pStyle w:val="TableParagraph"/>
              <w:spacing w:line="232" w:lineRule="auto"/>
              <w:ind w:left="85" w:right="997"/>
              <w:rPr>
                <w:sz w:val="18"/>
              </w:rPr>
            </w:pPr>
            <w:r>
              <w:rPr>
                <w:color w:val="105C84"/>
                <w:sz w:val="18"/>
              </w:rPr>
              <w:t>developing and </w:t>
            </w:r>
            <w:r>
              <w:rPr>
                <w:color w:val="105C84"/>
                <w:sz w:val="18"/>
              </w:rPr>
              <w:t>implementing Local Wellness Policy (LWP) aligned with USDA Healthy, Hunger-Free Kids Act</w:t>
            </w:r>
          </w:p>
        </w:tc>
        <w:tc>
          <w:tcPr>
            <w:tcW w:w="3951" w:type="dxa"/>
            <w:tcBorders>
              <w:left w:val="nil"/>
            </w:tcBorders>
          </w:tcPr>
          <w:p>
            <w:pPr>
              <w:pStyle w:val="TableParagraph"/>
              <w:spacing w:line="232" w:lineRule="auto" w:before="99"/>
              <w:ind w:left="997" w:right="102"/>
              <w:rPr>
                <w:sz w:val="18"/>
              </w:rPr>
            </w:pPr>
            <w:r>
              <w:rPr>
                <w:color w:val="105C84"/>
                <w:w w:val="105"/>
                <w:sz w:val="18"/>
              </w:rPr>
              <w:t>Providing ongoing support to </w:t>
            </w:r>
            <w:r>
              <w:rPr>
                <w:color w:val="105C84"/>
                <w:sz w:val="18"/>
              </w:rPr>
              <w:t>assist</w:t>
            </w:r>
            <w:r>
              <w:rPr>
                <w:color w:val="105C84"/>
                <w:spacing w:val="-11"/>
                <w:sz w:val="18"/>
              </w:rPr>
              <w:t> </w:t>
            </w:r>
            <w:r>
              <w:rPr>
                <w:color w:val="105C84"/>
                <w:sz w:val="18"/>
              </w:rPr>
              <w:t>with</w:t>
            </w:r>
            <w:r>
              <w:rPr>
                <w:color w:val="105C84"/>
                <w:spacing w:val="-11"/>
                <w:sz w:val="18"/>
              </w:rPr>
              <w:t> </w:t>
            </w:r>
            <w:r>
              <w:rPr>
                <w:color w:val="105C84"/>
                <w:sz w:val="18"/>
              </w:rPr>
              <w:t>implementation</w:t>
            </w:r>
            <w:r>
              <w:rPr>
                <w:color w:val="105C84"/>
                <w:spacing w:val="-11"/>
                <w:sz w:val="18"/>
              </w:rPr>
              <w:t> </w:t>
            </w:r>
            <w:r>
              <w:rPr>
                <w:color w:val="105C84"/>
                <w:sz w:val="18"/>
              </w:rPr>
              <w:t>of</w:t>
            </w:r>
            <w:r>
              <w:rPr>
                <w:color w:val="105C84"/>
                <w:spacing w:val="-11"/>
                <w:sz w:val="18"/>
              </w:rPr>
              <w:t> </w:t>
            </w:r>
            <w:r>
              <w:rPr>
                <w:color w:val="105C84"/>
                <w:sz w:val="18"/>
              </w:rPr>
              <w:t>2017</w:t>
            </w:r>
          </w:p>
          <w:p>
            <w:pPr>
              <w:pStyle w:val="TableParagraph"/>
              <w:spacing w:line="232" w:lineRule="auto"/>
              <w:ind w:left="997" w:right="84"/>
              <w:rPr>
                <w:sz w:val="18"/>
              </w:rPr>
            </w:pPr>
            <w:r>
              <w:rPr>
                <w:color w:val="105C84"/>
                <w:sz w:val="18"/>
              </w:rPr>
              <w:t>updated</w:t>
            </w:r>
            <w:r>
              <w:rPr>
                <w:color w:val="105C84"/>
                <w:spacing w:val="-11"/>
                <w:sz w:val="18"/>
              </w:rPr>
              <w:t> </w:t>
            </w:r>
            <w:r>
              <w:rPr>
                <w:color w:val="105C84"/>
                <w:sz w:val="18"/>
              </w:rPr>
              <w:t>LWP,</w:t>
            </w:r>
            <w:r>
              <w:rPr>
                <w:color w:val="105C84"/>
                <w:spacing w:val="-11"/>
                <w:sz w:val="18"/>
              </w:rPr>
              <w:t> </w:t>
            </w:r>
            <w:r>
              <w:rPr>
                <w:color w:val="105C84"/>
                <w:sz w:val="18"/>
              </w:rPr>
              <w:t>impacting</w:t>
            </w:r>
            <w:r>
              <w:rPr>
                <w:color w:val="105C84"/>
                <w:spacing w:val="-11"/>
                <w:sz w:val="18"/>
              </w:rPr>
              <w:t> </w:t>
            </w:r>
            <w:r>
              <w:rPr>
                <w:color w:val="105C84"/>
                <w:sz w:val="18"/>
              </w:rPr>
              <w:t>the</w:t>
            </w:r>
            <w:r>
              <w:rPr>
                <w:color w:val="105C84"/>
                <w:spacing w:val="-11"/>
                <w:sz w:val="18"/>
              </w:rPr>
              <w:t> </w:t>
            </w:r>
            <w:r>
              <w:rPr>
                <w:color w:val="105C84"/>
                <w:sz w:val="18"/>
              </w:rPr>
              <w:t>6,000+ students. Support provided for</w:t>
            </w:r>
            <w:r>
              <w:rPr>
                <w:color w:val="105C84"/>
                <w:spacing w:val="40"/>
                <w:sz w:val="18"/>
              </w:rPr>
              <w:t> </w:t>
            </w:r>
            <w:r>
              <w:rPr>
                <w:color w:val="105C84"/>
                <w:sz w:val="18"/>
              </w:rPr>
              <w:t>using</w:t>
            </w:r>
            <w:r>
              <w:rPr>
                <w:color w:val="105C84"/>
                <w:spacing w:val="-13"/>
                <w:sz w:val="18"/>
              </w:rPr>
              <w:t> </w:t>
            </w:r>
            <w:r>
              <w:rPr>
                <w:color w:val="105C84"/>
                <w:sz w:val="18"/>
              </w:rPr>
              <w:t>the</w:t>
            </w:r>
            <w:r>
              <w:rPr>
                <w:color w:val="105C84"/>
                <w:spacing w:val="-12"/>
                <w:sz w:val="18"/>
              </w:rPr>
              <w:t> </w:t>
            </w:r>
            <w:r>
              <w:rPr>
                <w:color w:val="105C84"/>
                <w:sz w:val="18"/>
              </w:rPr>
              <w:t>2017</w:t>
            </w:r>
            <w:r>
              <w:rPr>
                <w:color w:val="105C84"/>
                <w:spacing w:val="-13"/>
                <w:sz w:val="18"/>
              </w:rPr>
              <w:t> </w:t>
            </w:r>
            <w:r>
              <w:rPr>
                <w:color w:val="105C84"/>
                <w:sz w:val="18"/>
              </w:rPr>
              <w:t>School</w:t>
            </w:r>
            <w:r>
              <w:rPr>
                <w:color w:val="105C84"/>
                <w:spacing w:val="-12"/>
                <w:sz w:val="18"/>
              </w:rPr>
              <w:t> </w:t>
            </w:r>
            <w:r>
              <w:rPr>
                <w:color w:val="105C84"/>
                <w:sz w:val="18"/>
              </w:rPr>
              <w:t>Health</w:t>
            </w:r>
            <w:r>
              <w:rPr>
                <w:color w:val="105C84"/>
                <w:spacing w:val="-13"/>
                <w:sz w:val="18"/>
              </w:rPr>
              <w:t> </w:t>
            </w:r>
            <w:r>
              <w:rPr>
                <w:color w:val="105C84"/>
                <w:sz w:val="18"/>
              </w:rPr>
              <w:t>Index, self-assessment</w:t>
            </w:r>
            <w:r>
              <w:rPr>
                <w:color w:val="105C84"/>
                <w:spacing w:val="-12"/>
                <w:sz w:val="18"/>
              </w:rPr>
              <w:t> </w:t>
            </w:r>
            <w:r>
              <w:rPr>
                <w:color w:val="105C84"/>
                <w:sz w:val="18"/>
              </w:rPr>
              <w:t>planning</w:t>
            </w:r>
            <w:r>
              <w:rPr>
                <w:color w:val="105C84"/>
                <w:spacing w:val="-12"/>
                <w:sz w:val="18"/>
              </w:rPr>
              <w:t> </w:t>
            </w:r>
            <w:r>
              <w:rPr>
                <w:color w:val="105C84"/>
                <w:sz w:val="18"/>
              </w:rPr>
              <w:t>tool</w:t>
            </w:r>
            <w:r>
              <w:rPr>
                <w:color w:val="105C84"/>
                <w:spacing w:val="-12"/>
                <w:sz w:val="18"/>
              </w:rPr>
              <w:t> </w:t>
            </w:r>
            <w:r>
              <w:rPr>
                <w:color w:val="105C84"/>
                <w:sz w:val="18"/>
              </w:rPr>
              <w:t>at</w:t>
            </w:r>
            <w:r>
              <w:rPr>
                <w:color w:val="105C84"/>
                <w:spacing w:val="-12"/>
                <w:sz w:val="18"/>
              </w:rPr>
              <w:t> </w:t>
            </w:r>
            <w:r>
              <w:rPr>
                <w:color w:val="105C84"/>
                <w:sz w:val="18"/>
              </w:rPr>
              <w:t>the school level to guide:</w:t>
            </w:r>
          </w:p>
          <w:p>
            <w:pPr>
              <w:pStyle w:val="TableParagraph"/>
              <w:numPr>
                <w:ilvl w:val="0"/>
                <w:numId w:val="41"/>
              </w:numPr>
              <w:tabs>
                <w:tab w:pos="1102" w:val="left" w:leader="none"/>
              </w:tabs>
              <w:spacing w:line="232" w:lineRule="auto" w:before="84" w:after="0"/>
              <w:ind w:left="997" w:right="716" w:firstLine="0"/>
              <w:jc w:val="left"/>
              <w:rPr>
                <w:sz w:val="18"/>
              </w:rPr>
            </w:pPr>
            <w:r>
              <w:rPr>
                <w:color w:val="105C84"/>
                <w:sz w:val="18"/>
              </w:rPr>
              <w:t>daily</w:t>
            </w:r>
            <w:r>
              <w:rPr>
                <w:color w:val="105C84"/>
                <w:spacing w:val="-13"/>
                <w:sz w:val="18"/>
              </w:rPr>
              <w:t> </w:t>
            </w:r>
            <w:r>
              <w:rPr>
                <w:color w:val="105C84"/>
                <w:sz w:val="18"/>
              </w:rPr>
              <w:t>recess</w:t>
            </w:r>
            <w:r>
              <w:rPr>
                <w:color w:val="105C84"/>
                <w:spacing w:val="-12"/>
                <w:sz w:val="18"/>
              </w:rPr>
              <w:t> </w:t>
            </w:r>
            <w:r>
              <w:rPr>
                <w:color w:val="105C84"/>
                <w:sz w:val="18"/>
              </w:rPr>
              <w:t>for</w:t>
            </w:r>
            <w:r>
              <w:rPr>
                <w:color w:val="105C84"/>
                <w:spacing w:val="-13"/>
                <w:sz w:val="18"/>
              </w:rPr>
              <w:t> </w:t>
            </w:r>
            <w:r>
              <w:rPr>
                <w:color w:val="105C84"/>
                <w:sz w:val="18"/>
              </w:rPr>
              <w:t>elementary </w:t>
            </w:r>
            <w:r>
              <w:rPr>
                <w:color w:val="105C84"/>
                <w:spacing w:val="-2"/>
                <w:sz w:val="18"/>
              </w:rPr>
              <w:t>students</w:t>
            </w:r>
          </w:p>
          <w:p>
            <w:pPr>
              <w:pStyle w:val="TableParagraph"/>
              <w:numPr>
                <w:ilvl w:val="0"/>
                <w:numId w:val="41"/>
              </w:numPr>
              <w:tabs>
                <w:tab w:pos="1102" w:val="left" w:leader="none"/>
              </w:tabs>
              <w:spacing w:line="232" w:lineRule="auto" w:before="89" w:after="0"/>
              <w:ind w:left="997" w:right="133" w:firstLine="0"/>
              <w:jc w:val="left"/>
              <w:rPr>
                <w:sz w:val="18"/>
              </w:rPr>
            </w:pPr>
            <w:r>
              <w:rPr>
                <w:color w:val="105C84"/>
                <w:sz w:val="18"/>
              </w:rPr>
              <w:t>access</w:t>
            </w:r>
            <w:r>
              <w:rPr>
                <w:color w:val="105C84"/>
                <w:spacing w:val="-15"/>
                <w:sz w:val="18"/>
              </w:rPr>
              <w:t> </w:t>
            </w:r>
            <w:r>
              <w:rPr>
                <w:color w:val="105C84"/>
                <w:sz w:val="18"/>
              </w:rPr>
              <w:t>to</w:t>
            </w:r>
            <w:r>
              <w:rPr>
                <w:color w:val="105C84"/>
                <w:spacing w:val="-12"/>
                <w:sz w:val="18"/>
              </w:rPr>
              <w:t> </w:t>
            </w:r>
            <w:r>
              <w:rPr>
                <w:color w:val="105C84"/>
                <w:sz w:val="18"/>
              </w:rPr>
              <w:t>physical</w:t>
            </w:r>
            <w:r>
              <w:rPr>
                <w:color w:val="105C84"/>
                <w:spacing w:val="-13"/>
                <w:sz w:val="18"/>
              </w:rPr>
              <w:t> </w:t>
            </w:r>
            <w:r>
              <w:rPr>
                <w:color w:val="105C84"/>
                <w:sz w:val="18"/>
              </w:rPr>
              <w:t>activity</w:t>
            </w:r>
            <w:r>
              <w:rPr>
                <w:color w:val="105C84"/>
                <w:spacing w:val="-12"/>
                <w:sz w:val="18"/>
              </w:rPr>
              <w:t> </w:t>
            </w:r>
            <w:r>
              <w:rPr>
                <w:color w:val="105C84"/>
                <w:sz w:val="18"/>
              </w:rPr>
              <w:t>facilities outside of school day</w:t>
            </w:r>
          </w:p>
          <w:p>
            <w:pPr>
              <w:pStyle w:val="TableParagraph"/>
              <w:numPr>
                <w:ilvl w:val="0"/>
                <w:numId w:val="41"/>
              </w:numPr>
              <w:tabs>
                <w:tab w:pos="1102" w:val="left" w:leader="none"/>
              </w:tabs>
              <w:spacing w:line="232" w:lineRule="auto" w:before="88" w:after="0"/>
              <w:ind w:left="997" w:right="450" w:firstLine="0"/>
              <w:jc w:val="both"/>
              <w:rPr>
                <w:sz w:val="18"/>
              </w:rPr>
            </w:pPr>
            <w:r>
              <w:rPr>
                <w:color w:val="105C84"/>
                <w:sz w:val="18"/>
              </w:rPr>
              <w:t>prohibit</w:t>
            </w:r>
            <w:r>
              <w:rPr>
                <w:color w:val="105C84"/>
                <w:spacing w:val="-6"/>
                <w:sz w:val="18"/>
              </w:rPr>
              <w:t> </w:t>
            </w:r>
            <w:r>
              <w:rPr>
                <w:color w:val="105C84"/>
                <w:sz w:val="18"/>
              </w:rPr>
              <w:t>using</w:t>
            </w:r>
            <w:r>
              <w:rPr>
                <w:color w:val="105C84"/>
                <w:spacing w:val="-6"/>
                <w:sz w:val="18"/>
              </w:rPr>
              <w:t> </w:t>
            </w:r>
            <w:r>
              <w:rPr>
                <w:color w:val="105C84"/>
                <w:sz w:val="18"/>
              </w:rPr>
              <w:t>physical</w:t>
            </w:r>
            <w:r>
              <w:rPr>
                <w:color w:val="105C84"/>
                <w:spacing w:val="-6"/>
                <w:sz w:val="18"/>
              </w:rPr>
              <w:t> </w:t>
            </w:r>
            <w:r>
              <w:rPr>
                <w:color w:val="105C84"/>
                <w:sz w:val="18"/>
              </w:rPr>
              <w:t>activity as</w:t>
            </w:r>
            <w:r>
              <w:rPr>
                <w:color w:val="105C84"/>
                <w:spacing w:val="-15"/>
                <w:sz w:val="18"/>
              </w:rPr>
              <w:t> </w:t>
            </w:r>
            <w:r>
              <w:rPr>
                <w:color w:val="105C84"/>
                <w:sz w:val="18"/>
              </w:rPr>
              <w:t>punishment</w:t>
            </w:r>
            <w:r>
              <w:rPr>
                <w:color w:val="105C84"/>
                <w:spacing w:val="-12"/>
                <w:sz w:val="18"/>
              </w:rPr>
              <w:t> </w:t>
            </w:r>
            <w:r>
              <w:rPr>
                <w:color w:val="105C84"/>
                <w:sz w:val="18"/>
              </w:rPr>
              <w:t>and</w:t>
            </w:r>
            <w:r>
              <w:rPr>
                <w:color w:val="105C84"/>
                <w:spacing w:val="-13"/>
                <w:sz w:val="18"/>
              </w:rPr>
              <w:t> </w:t>
            </w:r>
            <w:r>
              <w:rPr>
                <w:color w:val="105C84"/>
                <w:sz w:val="18"/>
              </w:rPr>
              <w:t>taking</w:t>
            </w:r>
            <w:r>
              <w:rPr>
                <w:color w:val="105C84"/>
                <w:spacing w:val="-12"/>
                <w:sz w:val="18"/>
              </w:rPr>
              <w:t> </w:t>
            </w:r>
            <w:r>
              <w:rPr>
                <w:color w:val="105C84"/>
                <w:sz w:val="18"/>
              </w:rPr>
              <w:t>away physical</w:t>
            </w:r>
            <w:r>
              <w:rPr>
                <w:color w:val="105C84"/>
                <w:spacing w:val="-5"/>
                <w:sz w:val="18"/>
              </w:rPr>
              <w:t> </w:t>
            </w:r>
            <w:r>
              <w:rPr>
                <w:color w:val="105C84"/>
                <w:sz w:val="18"/>
              </w:rPr>
              <w:t>activity</w:t>
            </w:r>
            <w:r>
              <w:rPr>
                <w:color w:val="105C84"/>
                <w:spacing w:val="-5"/>
                <w:sz w:val="18"/>
              </w:rPr>
              <w:t> </w:t>
            </w:r>
            <w:r>
              <w:rPr>
                <w:color w:val="105C84"/>
                <w:sz w:val="18"/>
              </w:rPr>
              <w:t>as</w:t>
            </w:r>
            <w:r>
              <w:rPr>
                <w:color w:val="105C84"/>
                <w:spacing w:val="-5"/>
                <w:sz w:val="18"/>
              </w:rPr>
              <w:t> </w:t>
            </w:r>
            <w:r>
              <w:rPr>
                <w:color w:val="105C84"/>
                <w:sz w:val="18"/>
              </w:rPr>
              <w:t>punishment</w:t>
            </w:r>
          </w:p>
          <w:p>
            <w:pPr>
              <w:pStyle w:val="TableParagraph"/>
              <w:numPr>
                <w:ilvl w:val="0"/>
                <w:numId w:val="41"/>
              </w:numPr>
              <w:tabs>
                <w:tab w:pos="1102" w:val="left" w:leader="none"/>
              </w:tabs>
              <w:spacing w:line="232" w:lineRule="auto" w:before="88" w:after="0"/>
              <w:ind w:left="997" w:right="965" w:firstLine="0"/>
              <w:jc w:val="left"/>
              <w:rPr>
                <w:sz w:val="18"/>
              </w:rPr>
            </w:pPr>
            <w:r>
              <w:rPr>
                <w:color w:val="105C84"/>
                <w:sz w:val="18"/>
              </w:rPr>
              <w:t>using</w:t>
            </w:r>
            <w:r>
              <w:rPr>
                <w:color w:val="105C84"/>
                <w:spacing w:val="-11"/>
                <w:sz w:val="18"/>
              </w:rPr>
              <w:t> </w:t>
            </w:r>
            <w:r>
              <w:rPr>
                <w:color w:val="105C84"/>
                <w:sz w:val="18"/>
              </w:rPr>
              <w:t>food</w:t>
            </w:r>
            <w:r>
              <w:rPr>
                <w:color w:val="105C84"/>
                <w:spacing w:val="-11"/>
                <w:sz w:val="18"/>
              </w:rPr>
              <w:t> </w:t>
            </w:r>
            <w:r>
              <w:rPr>
                <w:color w:val="105C84"/>
                <w:sz w:val="18"/>
              </w:rPr>
              <w:t>as</w:t>
            </w:r>
            <w:r>
              <w:rPr>
                <w:color w:val="105C84"/>
                <w:spacing w:val="-11"/>
                <w:sz w:val="18"/>
              </w:rPr>
              <w:t> </w:t>
            </w:r>
            <w:r>
              <w:rPr>
                <w:color w:val="105C84"/>
                <w:sz w:val="18"/>
              </w:rPr>
              <w:t>reward</w:t>
            </w:r>
            <w:r>
              <w:rPr>
                <w:color w:val="105C84"/>
                <w:spacing w:val="-11"/>
                <w:sz w:val="18"/>
              </w:rPr>
              <w:t> </w:t>
            </w:r>
            <w:r>
              <w:rPr>
                <w:color w:val="105C84"/>
                <w:sz w:val="18"/>
              </w:rPr>
              <w:t>or </w:t>
            </w:r>
            <w:r>
              <w:rPr>
                <w:color w:val="105C84"/>
                <w:spacing w:val="-2"/>
                <w:sz w:val="18"/>
              </w:rPr>
              <w:t>punishment</w:t>
            </w:r>
          </w:p>
          <w:p>
            <w:pPr>
              <w:pStyle w:val="TableParagraph"/>
              <w:numPr>
                <w:ilvl w:val="0"/>
                <w:numId w:val="41"/>
              </w:numPr>
              <w:tabs>
                <w:tab w:pos="1102" w:val="left" w:leader="none"/>
              </w:tabs>
              <w:spacing w:line="240" w:lineRule="auto" w:before="83" w:after="0"/>
              <w:ind w:left="1102" w:right="0" w:hanging="105"/>
              <w:jc w:val="left"/>
              <w:rPr>
                <w:sz w:val="18"/>
              </w:rPr>
            </w:pPr>
            <w:r>
              <w:rPr>
                <w:color w:val="105C84"/>
                <w:sz w:val="18"/>
              </w:rPr>
              <w:t>access</w:t>
            </w:r>
            <w:r>
              <w:rPr>
                <w:color w:val="105C84"/>
                <w:spacing w:val="-8"/>
                <w:sz w:val="18"/>
              </w:rPr>
              <w:t> </w:t>
            </w:r>
            <w:r>
              <w:rPr>
                <w:color w:val="105C84"/>
                <w:sz w:val="18"/>
              </w:rPr>
              <w:t>to</w:t>
            </w:r>
            <w:r>
              <w:rPr>
                <w:color w:val="105C84"/>
                <w:spacing w:val="-7"/>
                <w:sz w:val="18"/>
              </w:rPr>
              <w:t> </w:t>
            </w:r>
            <w:r>
              <w:rPr>
                <w:color w:val="105C84"/>
                <w:sz w:val="18"/>
              </w:rPr>
              <w:t>drinking</w:t>
            </w:r>
            <w:r>
              <w:rPr>
                <w:color w:val="105C84"/>
                <w:spacing w:val="-7"/>
                <w:sz w:val="18"/>
              </w:rPr>
              <w:t> </w:t>
            </w:r>
            <w:r>
              <w:rPr>
                <w:color w:val="105C84"/>
                <w:spacing w:val="-2"/>
                <w:sz w:val="18"/>
              </w:rPr>
              <w:t>water</w:t>
            </w:r>
          </w:p>
          <w:p>
            <w:pPr>
              <w:pStyle w:val="TableParagraph"/>
              <w:numPr>
                <w:ilvl w:val="0"/>
                <w:numId w:val="41"/>
              </w:numPr>
              <w:tabs>
                <w:tab w:pos="1102" w:val="left" w:leader="none"/>
              </w:tabs>
              <w:spacing w:line="232" w:lineRule="auto" w:before="88" w:after="0"/>
              <w:ind w:left="997" w:right="178" w:firstLine="0"/>
              <w:jc w:val="left"/>
              <w:rPr>
                <w:sz w:val="18"/>
              </w:rPr>
            </w:pPr>
            <w:r>
              <w:rPr>
                <w:color w:val="105C84"/>
                <w:sz w:val="18"/>
              </w:rPr>
              <w:t>all foods/beverage sold and served</w:t>
            </w:r>
            <w:r>
              <w:rPr>
                <w:color w:val="105C84"/>
                <w:spacing w:val="-5"/>
                <w:sz w:val="18"/>
              </w:rPr>
              <w:t> </w:t>
            </w:r>
            <w:r>
              <w:rPr>
                <w:color w:val="105C84"/>
                <w:sz w:val="18"/>
              </w:rPr>
              <w:t>during</w:t>
            </w:r>
            <w:r>
              <w:rPr>
                <w:color w:val="105C84"/>
                <w:spacing w:val="-5"/>
                <w:sz w:val="18"/>
              </w:rPr>
              <w:t> </w:t>
            </w:r>
            <w:r>
              <w:rPr>
                <w:color w:val="105C84"/>
                <w:sz w:val="18"/>
              </w:rPr>
              <w:t>the</w:t>
            </w:r>
            <w:r>
              <w:rPr>
                <w:color w:val="105C84"/>
                <w:spacing w:val="-5"/>
                <w:sz w:val="18"/>
              </w:rPr>
              <w:t> </w:t>
            </w:r>
            <w:r>
              <w:rPr>
                <w:color w:val="105C84"/>
                <w:sz w:val="18"/>
              </w:rPr>
              <w:t>school</w:t>
            </w:r>
            <w:r>
              <w:rPr>
                <w:color w:val="105C84"/>
                <w:spacing w:val="-5"/>
                <w:sz w:val="18"/>
              </w:rPr>
              <w:t> </w:t>
            </w:r>
            <w:r>
              <w:rPr>
                <w:color w:val="105C84"/>
                <w:sz w:val="18"/>
              </w:rPr>
              <w:t>day</w:t>
            </w:r>
            <w:r>
              <w:rPr>
                <w:color w:val="105C84"/>
                <w:spacing w:val="-5"/>
                <w:sz w:val="18"/>
              </w:rPr>
              <w:t> </w:t>
            </w:r>
            <w:r>
              <w:rPr>
                <w:color w:val="105C84"/>
                <w:sz w:val="18"/>
              </w:rPr>
              <w:t>meet USDA’s Smart Snacks in Schools nutrition standards</w:t>
            </w:r>
          </w:p>
          <w:p>
            <w:pPr>
              <w:pStyle w:val="TableParagraph"/>
              <w:spacing w:line="232" w:lineRule="auto" w:before="87"/>
              <w:ind w:left="997" w:right="835"/>
              <w:rPr>
                <w:sz w:val="18"/>
              </w:rPr>
            </w:pPr>
            <w:r>
              <w:rPr>
                <w:color w:val="105C84"/>
                <w:sz w:val="18"/>
              </w:rPr>
              <w:t>-implicitly</w:t>
            </w:r>
            <w:r>
              <w:rPr>
                <w:color w:val="105C84"/>
                <w:spacing w:val="-15"/>
                <w:sz w:val="18"/>
              </w:rPr>
              <w:t> </w:t>
            </w:r>
            <w:r>
              <w:rPr>
                <w:color w:val="105C84"/>
                <w:sz w:val="18"/>
              </w:rPr>
              <w:t>addresses</w:t>
            </w:r>
            <w:r>
              <w:rPr>
                <w:color w:val="105C84"/>
                <w:spacing w:val="-12"/>
                <w:sz w:val="18"/>
              </w:rPr>
              <w:t> </w:t>
            </w:r>
            <w:r>
              <w:rPr>
                <w:color w:val="105C84"/>
                <w:sz w:val="18"/>
              </w:rPr>
              <w:t>sugar sweetened beverages</w:t>
            </w:r>
          </w:p>
        </w:tc>
        <w:tc>
          <w:tcPr>
            <w:tcW w:w="1844" w:type="dxa"/>
          </w:tcPr>
          <w:p>
            <w:pPr>
              <w:pStyle w:val="TableParagraph"/>
              <w:spacing w:line="232" w:lineRule="auto" w:before="98"/>
              <w:ind w:left="83" w:right="145"/>
              <w:rPr>
                <w:sz w:val="18"/>
              </w:rPr>
            </w:pPr>
            <w:r>
              <w:rPr>
                <w:color w:val="105C84"/>
                <w:sz w:val="18"/>
              </w:rPr>
              <w:t>Ongoing support </w:t>
            </w:r>
            <w:r>
              <w:rPr>
                <w:color w:val="105C84"/>
                <w:sz w:val="18"/>
              </w:rPr>
              <w:t>to </w:t>
            </w:r>
            <w:r>
              <w:rPr>
                <w:color w:val="105C84"/>
                <w:spacing w:val="-4"/>
                <w:sz w:val="18"/>
              </w:rPr>
              <w:t>assist</w:t>
            </w:r>
            <w:r>
              <w:rPr>
                <w:color w:val="105C84"/>
                <w:spacing w:val="-11"/>
                <w:sz w:val="18"/>
              </w:rPr>
              <w:t> </w:t>
            </w:r>
            <w:r>
              <w:rPr>
                <w:color w:val="105C84"/>
                <w:spacing w:val="-4"/>
                <w:sz w:val="18"/>
              </w:rPr>
              <w:t>with</w:t>
            </w:r>
            <w:r>
              <w:rPr>
                <w:color w:val="105C84"/>
                <w:spacing w:val="-8"/>
                <w:sz w:val="18"/>
              </w:rPr>
              <w:t> </w:t>
            </w:r>
            <w:r>
              <w:rPr>
                <w:color w:val="105C84"/>
                <w:spacing w:val="-4"/>
                <w:sz w:val="18"/>
              </w:rPr>
              <w:t>assessing </w:t>
            </w:r>
            <w:r>
              <w:rPr>
                <w:color w:val="105C84"/>
                <w:sz w:val="18"/>
              </w:rPr>
              <w:t>and enhancing</w:t>
            </w:r>
            <w:r>
              <w:rPr>
                <w:color w:val="105C84"/>
                <w:spacing w:val="40"/>
                <w:sz w:val="18"/>
              </w:rPr>
              <w:t> </w:t>
            </w:r>
            <w:r>
              <w:rPr>
                <w:color w:val="105C84"/>
                <w:sz w:val="18"/>
              </w:rPr>
              <w:t>2017 LWP in 2020</w:t>
            </w:r>
          </w:p>
          <w:p>
            <w:pPr>
              <w:pStyle w:val="TableParagraph"/>
              <w:spacing w:line="232" w:lineRule="auto"/>
              <w:ind w:left="83" w:right="119"/>
              <w:rPr>
                <w:sz w:val="18"/>
              </w:rPr>
            </w:pPr>
            <w:r>
              <w:rPr>
                <w:color w:val="105C84"/>
                <w:sz w:val="18"/>
              </w:rPr>
              <w:t>as well as ongoing support to assist</w:t>
            </w:r>
            <w:r>
              <w:rPr>
                <w:color w:val="105C84"/>
                <w:spacing w:val="40"/>
                <w:sz w:val="18"/>
              </w:rPr>
              <w:t> </w:t>
            </w:r>
            <w:r>
              <w:rPr>
                <w:color w:val="105C84"/>
                <w:sz w:val="18"/>
              </w:rPr>
              <w:t>with </w:t>
            </w:r>
            <w:r>
              <w:rPr>
                <w:color w:val="105C84"/>
                <w:sz w:val="18"/>
              </w:rPr>
              <w:t>implementation of 2017 LWP and 2020 updated LWP, impacting the</w:t>
            </w:r>
            <w:r>
              <w:rPr>
                <w:color w:val="105C84"/>
                <w:spacing w:val="40"/>
                <w:sz w:val="18"/>
              </w:rPr>
              <w:t> </w:t>
            </w:r>
            <w:r>
              <w:rPr>
                <w:color w:val="105C84"/>
                <w:sz w:val="18"/>
              </w:rPr>
              <w:t>6,000+ students</w:t>
            </w:r>
          </w:p>
        </w:tc>
        <w:tc>
          <w:tcPr>
            <w:tcW w:w="1844" w:type="dxa"/>
          </w:tcPr>
          <w:p>
            <w:pPr>
              <w:pStyle w:val="TableParagraph"/>
              <w:rPr>
                <w:rFonts w:ascii="Times New Roman"/>
                <w:sz w:val="18"/>
              </w:rPr>
            </w:pPr>
          </w:p>
        </w:tc>
        <w:tc>
          <w:tcPr>
            <w:tcW w:w="1671" w:type="dxa"/>
          </w:tcPr>
          <w:p>
            <w:pPr>
              <w:pStyle w:val="TableParagraph"/>
              <w:spacing w:line="232" w:lineRule="auto" w:before="98"/>
              <w:ind w:left="81" w:right="103"/>
              <w:rPr>
                <w:sz w:val="18"/>
              </w:rPr>
            </w:pPr>
            <w:r>
              <w:rPr>
                <w:color w:val="105C84"/>
                <w:spacing w:val="-2"/>
                <w:sz w:val="18"/>
              </w:rPr>
              <w:t>Community-</w:t>
            </w:r>
            <w:r>
              <w:rPr>
                <w:color w:val="105C84"/>
                <w:spacing w:val="-2"/>
                <w:sz w:val="18"/>
              </w:rPr>
              <w:t>based organizations</w:t>
            </w:r>
          </w:p>
        </w:tc>
        <w:tc>
          <w:tcPr>
            <w:tcW w:w="1984" w:type="dxa"/>
          </w:tcPr>
          <w:p>
            <w:pPr>
              <w:pStyle w:val="TableParagraph"/>
              <w:spacing w:line="232" w:lineRule="auto" w:before="98"/>
              <w:ind w:left="81" w:right="186"/>
              <w:rPr>
                <w:sz w:val="18"/>
              </w:rPr>
            </w:pPr>
            <w:r>
              <w:rPr>
                <w:color w:val="105C84"/>
                <w:sz w:val="18"/>
              </w:rPr>
              <w:t>CHSC responsible</w:t>
            </w:r>
            <w:r>
              <w:rPr>
                <w:color w:val="105C84"/>
                <w:spacing w:val="40"/>
                <w:sz w:val="18"/>
              </w:rPr>
              <w:t> </w:t>
            </w:r>
            <w:r>
              <w:rPr>
                <w:color w:val="105C84"/>
                <w:sz w:val="18"/>
              </w:rPr>
              <w:t>for intervention providing needed staff</w:t>
            </w:r>
            <w:r>
              <w:rPr>
                <w:color w:val="105C84"/>
                <w:spacing w:val="-13"/>
                <w:sz w:val="18"/>
              </w:rPr>
              <w:t> </w:t>
            </w:r>
            <w:r>
              <w:rPr>
                <w:color w:val="105C84"/>
                <w:sz w:val="18"/>
              </w:rPr>
              <w:t>and</w:t>
            </w:r>
            <w:r>
              <w:rPr>
                <w:color w:val="105C84"/>
                <w:spacing w:val="-12"/>
                <w:sz w:val="18"/>
              </w:rPr>
              <w:t> </w:t>
            </w:r>
            <w:r>
              <w:rPr>
                <w:color w:val="105C84"/>
                <w:sz w:val="18"/>
              </w:rPr>
              <w:t>resources</w:t>
            </w:r>
            <w:r>
              <w:rPr>
                <w:color w:val="105C84"/>
                <w:spacing w:val="-13"/>
                <w:sz w:val="18"/>
              </w:rPr>
              <w:t> </w:t>
            </w:r>
            <w:r>
              <w:rPr>
                <w:color w:val="105C84"/>
                <w:sz w:val="18"/>
              </w:rPr>
              <w:t>to meet measures with</w:t>
            </w:r>
          </w:p>
          <w:p>
            <w:pPr>
              <w:pStyle w:val="TableParagraph"/>
              <w:spacing w:line="232" w:lineRule="auto"/>
              <w:ind w:left="81" w:right="93"/>
              <w:rPr>
                <w:sz w:val="18"/>
              </w:rPr>
            </w:pPr>
            <w:r>
              <w:rPr>
                <w:color w:val="105C84"/>
                <w:spacing w:val="-2"/>
                <w:sz w:val="18"/>
              </w:rPr>
              <w:t>assistance</w:t>
            </w:r>
            <w:r>
              <w:rPr>
                <w:color w:val="105C84"/>
                <w:spacing w:val="-13"/>
                <w:sz w:val="18"/>
              </w:rPr>
              <w:t> </w:t>
            </w:r>
            <w:r>
              <w:rPr>
                <w:color w:val="105C84"/>
                <w:spacing w:val="-2"/>
                <w:sz w:val="18"/>
              </w:rPr>
              <w:t>from</w:t>
            </w:r>
            <w:r>
              <w:rPr>
                <w:color w:val="105C84"/>
                <w:spacing w:val="-10"/>
                <w:sz w:val="18"/>
              </w:rPr>
              <w:t> </w:t>
            </w:r>
            <w:r>
              <w:rPr>
                <w:color w:val="105C84"/>
                <w:spacing w:val="-2"/>
                <w:sz w:val="18"/>
              </w:rPr>
              <w:t>Health </w:t>
            </w:r>
            <w:r>
              <w:rPr>
                <w:color w:val="105C84"/>
                <w:sz w:val="18"/>
              </w:rPr>
              <w:t>Priorities Partners as </w:t>
            </w:r>
            <w:r>
              <w:rPr>
                <w:color w:val="105C84"/>
                <w:spacing w:val="-2"/>
                <w:sz w:val="18"/>
              </w:rPr>
              <w:t>needed</w:t>
            </w:r>
          </w:p>
        </w:tc>
      </w:tr>
    </w:tbl>
    <w:p>
      <w:pPr>
        <w:pStyle w:val="BodyText"/>
        <w:rPr>
          <w:b/>
          <w:sz w:val="26"/>
        </w:rPr>
      </w:pPr>
    </w:p>
    <w:p>
      <w:pPr>
        <w:pStyle w:val="BodyText"/>
        <w:rPr>
          <w:b/>
          <w:sz w:val="26"/>
        </w:rPr>
      </w:pPr>
    </w:p>
    <w:p>
      <w:pPr>
        <w:pStyle w:val="BodyText"/>
        <w:rPr>
          <w:b/>
          <w:sz w:val="26"/>
        </w:rPr>
      </w:pPr>
    </w:p>
    <w:p>
      <w:pPr>
        <w:pStyle w:val="BodyText"/>
        <w:spacing w:before="220"/>
        <w:rPr>
          <w:b/>
          <w:sz w:val="26"/>
        </w:rPr>
      </w:pPr>
    </w:p>
    <w:p>
      <w:pPr>
        <w:tabs>
          <w:tab w:pos="23047" w:val="left" w:leader="none"/>
        </w:tabs>
        <w:spacing w:before="0"/>
        <w:ind w:left="0" w:right="0" w:firstLine="0"/>
        <w:jc w:val="left"/>
        <w:rPr>
          <w:b/>
          <w:sz w:val="26"/>
        </w:rPr>
      </w:pPr>
      <w:r>
        <w:rPr>
          <w:position w:val="-4"/>
        </w:rPr>
        <w:drawing>
          <wp:inline distT="0" distB="0" distL="0" distR="0">
            <wp:extent cx="568172" cy="184683"/>
            <wp:effectExtent l="0" t="0" r="0" b="0"/>
            <wp:docPr id="1727" name="Image 1727"/>
            <wp:cNvGraphicFramePr>
              <a:graphicFrameLocks/>
            </wp:cNvGraphicFramePr>
            <a:graphic>
              <a:graphicData uri="http://schemas.openxmlformats.org/drawingml/2006/picture">
                <pic:pic>
                  <pic:nvPicPr>
                    <pic:cNvPr id="1727" name="Image 1727"/>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13"/>
          <w:sz w:val="20"/>
        </w:rPr>
        <w:t> </w:t>
      </w:r>
      <w:r>
        <w:rPr>
          <w:b/>
          <w:color w:val="939598"/>
          <w:w w:val="105"/>
          <w:sz w:val="26"/>
        </w:rPr>
        <w:t>117</w:t>
      </w:r>
      <w:r>
        <w:rPr>
          <w:b/>
          <w:color w:val="939598"/>
          <w:sz w:val="26"/>
        </w:rPr>
        <w:tab/>
      </w:r>
      <w:r>
        <w:rPr>
          <w:b/>
          <w:color w:val="939598"/>
          <w:spacing w:val="-5"/>
          <w:w w:val="105"/>
          <w:sz w:val="26"/>
        </w:rPr>
        <w:t>118</w:t>
      </w:r>
    </w:p>
    <w:p>
      <w:pPr>
        <w:spacing w:after="0"/>
        <w:jc w:val="left"/>
        <w:rPr>
          <w:b/>
          <w:sz w:val="26"/>
        </w:rPr>
        <w:sectPr>
          <w:pgSz w:w="24480" w:h="15840" w:orient="landscape"/>
          <w:pgMar w:header="0" w:footer="0" w:top="860" w:bottom="0" w:left="0" w:right="720"/>
        </w:sectPr>
      </w:pPr>
    </w:p>
    <w:p>
      <w:pPr>
        <w:spacing w:before="523"/>
        <w:ind w:left="1080" w:right="0" w:firstLine="0"/>
        <w:jc w:val="left"/>
        <w:rPr>
          <w:sz w:val="54"/>
        </w:rPr>
      </w:pPr>
      <w:r>
        <w:rPr>
          <w:sz w:val="54"/>
        </w:rPr>
        <w:drawing>
          <wp:anchor distT="0" distB="0" distL="0" distR="0" allowOverlap="1" layoutInCell="1" locked="0" behindDoc="0" simplePos="0" relativeHeight="15921664">
            <wp:simplePos x="0" y="0"/>
            <wp:positionH relativeFrom="page">
              <wp:posOffset>14981556</wp:posOffset>
            </wp:positionH>
            <wp:positionV relativeFrom="page">
              <wp:posOffset>9668103</wp:posOffset>
            </wp:positionV>
            <wp:extent cx="563245" cy="184683"/>
            <wp:effectExtent l="0" t="0" r="0" b="0"/>
            <wp:wrapNone/>
            <wp:docPr id="1728" name="Image 1728"/>
            <wp:cNvGraphicFramePr>
              <a:graphicFrameLocks/>
            </wp:cNvGraphicFramePr>
            <a:graphic>
              <a:graphicData uri="http://schemas.openxmlformats.org/drawingml/2006/picture">
                <pic:pic>
                  <pic:nvPicPr>
                    <pic:cNvPr id="1728" name="Image 1728"/>
                    <pic:cNvPicPr/>
                  </pic:nvPicPr>
                  <pic:blipFill>
                    <a:blip r:embed="rId38" cstate="print"/>
                    <a:stretch>
                      <a:fillRect/>
                    </a:stretch>
                  </pic:blipFill>
                  <pic:spPr>
                    <a:xfrm>
                      <a:off x="0" y="0"/>
                      <a:ext cx="563245" cy="184683"/>
                    </a:xfrm>
                    <a:prstGeom prst="rect">
                      <a:avLst/>
                    </a:prstGeom>
                  </pic:spPr>
                </pic:pic>
              </a:graphicData>
            </a:graphic>
          </wp:anchor>
        </w:drawing>
      </w:r>
      <w:r>
        <w:rPr>
          <w:sz w:val="54"/>
        </w:rPr>
        <mc:AlternateContent>
          <mc:Choice Requires="wps">
            <w:drawing>
              <wp:anchor distT="0" distB="0" distL="0" distR="0" allowOverlap="1" layoutInCell="1" locked="0" behindDoc="0" simplePos="0" relativeHeight="15922176">
                <wp:simplePos x="0" y="0"/>
                <wp:positionH relativeFrom="page">
                  <wp:posOffset>12965593</wp:posOffset>
                </wp:positionH>
                <wp:positionV relativeFrom="paragraph">
                  <wp:posOffset>292608</wp:posOffset>
                </wp:positionV>
                <wp:extent cx="1918970" cy="681990"/>
                <wp:effectExtent l="0" t="0" r="0" b="0"/>
                <wp:wrapNone/>
                <wp:docPr id="1729" name="Group 1729"/>
                <wp:cNvGraphicFramePr>
                  <a:graphicFrameLocks/>
                </wp:cNvGraphicFramePr>
                <a:graphic>
                  <a:graphicData uri="http://schemas.microsoft.com/office/word/2010/wordprocessingGroup">
                    <wpg:wgp>
                      <wpg:cNvPr id="1729" name="Group 1729"/>
                      <wpg:cNvGrpSpPr/>
                      <wpg:grpSpPr>
                        <a:xfrm>
                          <a:off x="0" y="0"/>
                          <a:ext cx="1918970" cy="681990"/>
                          <a:chExt cx="1918970" cy="681990"/>
                        </a:xfrm>
                      </wpg:grpSpPr>
                      <pic:pic>
                        <pic:nvPicPr>
                          <pic:cNvPr id="1730" name="Image 1730"/>
                          <pic:cNvPicPr/>
                        </pic:nvPicPr>
                        <pic:blipFill>
                          <a:blip r:embed="rId241" cstate="print"/>
                          <a:stretch>
                            <a:fillRect/>
                          </a:stretch>
                        </pic:blipFill>
                        <pic:spPr>
                          <a:xfrm>
                            <a:off x="1275703" y="0"/>
                            <a:ext cx="643101" cy="681824"/>
                          </a:xfrm>
                          <a:prstGeom prst="rect">
                            <a:avLst/>
                          </a:prstGeom>
                        </pic:spPr>
                      </pic:pic>
                      <pic:pic>
                        <pic:nvPicPr>
                          <pic:cNvPr id="1731" name="Image 1731"/>
                          <pic:cNvPicPr/>
                        </pic:nvPicPr>
                        <pic:blipFill>
                          <a:blip r:embed="rId242" cstate="print"/>
                          <a:stretch>
                            <a:fillRect/>
                          </a:stretch>
                        </pic:blipFill>
                        <pic:spPr>
                          <a:xfrm>
                            <a:off x="0" y="91440"/>
                            <a:ext cx="1232015" cy="261461"/>
                          </a:xfrm>
                          <a:prstGeom prst="rect">
                            <a:avLst/>
                          </a:prstGeom>
                        </pic:spPr>
                      </pic:pic>
                    </wpg:wgp>
                  </a:graphicData>
                </a:graphic>
              </wp:anchor>
            </w:drawing>
          </mc:Choice>
          <mc:Fallback>
            <w:pict>
              <v:group style="position:absolute;margin-left:1020.912903pt;margin-top:23.040001pt;width:151.1pt;height:53.7pt;mso-position-horizontal-relative:page;mso-position-vertical-relative:paragraph;z-index:15922176" id="docshapegroup1365" coordorigin="20418,461" coordsize="3022,1074">
                <v:shape style="position:absolute;left:22427;top:460;width:1013;height:1074" type="#_x0000_t75" id="docshape1366" stroked="false">
                  <v:imagedata r:id="rId241" o:title=""/>
                </v:shape>
                <v:shape style="position:absolute;left:20418;top:604;width:1941;height:412" type="#_x0000_t75" id="docshape1367" stroked="false">
                  <v:imagedata r:id="rId242" o:title=""/>
                </v:shape>
                <w10:wrap type="none"/>
              </v:group>
            </w:pict>
          </mc:Fallback>
        </mc:AlternateContent>
      </w:r>
      <w:r>
        <w:rPr>
          <w:color w:val="636466"/>
          <w:sz w:val="54"/>
        </w:rPr>
        <w:t>Chemung</w:t>
      </w:r>
      <w:r>
        <w:rPr>
          <w:color w:val="636466"/>
          <w:spacing w:val="62"/>
          <w:sz w:val="54"/>
        </w:rPr>
        <w:t> </w:t>
      </w:r>
      <w:r>
        <w:rPr>
          <w:color w:val="636466"/>
          <w:sz w:val="54"/>
        </w:rPr>
        <w:t>County</w:t>
      </w:r>
      <w:r>
        <w:rPr>
          <w:color w:val="636466"/>
          <w:spacing w:val="62"/>
          <w:sz w:val="54"/>
        </w:rPr>
        <w:t> </w:t>
      </w:r>
      <w:r>
        <w:rPr>
          <w:color w:val="636466"/>
          <w:sz w:val="54"/>
        </w:rPr>
        <w:t>Appendix</w:t>
      </w:r>
      <w:r>
        <w:rPr>
          <w:color w:val="636466"/>
          <w:spacing w:val="63"/>
          <w:sz w:val="54"/>
        </w:rPr>
        <w:t> </w:t>
      </w:r>
      <w:r>
        <w:rPr>
          <w:color w:val="636466"/>
          <w:spacing w:val="-10"/>
          <w:sz w:val="54"/>
        </w:rPr>
        <w:t>A</w:t>
      </w:r>
    </w:p>
    <w:p>
      <w:pPr>
        <w:spacing w:before="235"/>
        <w:ind w:left="1080" w:right="0" w:firstLine="0"/>
        <w:jc w:val="left"/>
        <w:rPr>
          <w:b/>
          <w:sz w:val="32"/>
        </w:rPr>
      </w:pPr>
      <w:r>
        <w:rPr>
          <w:b/>
          <w:color w:val="82BF6A"/>
          <w:spacing w:val="-10"/>
          <w:sz w:val="32"/>
        </w:rPr>
        <w:t>PRIORITY:</w:t>
      </w:r>
      <w:r>
        <w:rPr>
          <w:b/>
          <w:color w:val="82BF6A"/>
          <w:spacing w:val="1"/>
          <w:sz w:val="32"/>
        </w:rPr>
        <w:t> </w:t>
      </w:r>
      <w:r>
        <w:rPr>
          <w:b/>
          <w:color w:val="82BF6A"/>
          <w:spacing w:val="-10"/>
          <w:sz w:val="32"/>
        </w:rPr>
        <w:t>PREVENT</w:t>
      </w:r>
      <w:r>
        <w:rPr>
          <w:b/>
          <w:color w:val="82BF6A"/>
          <w:spacing w:val="1"/>
          <w:sz w:val="32"/>
        </w:rPr>
        <w:t> </w:t>
      </w:r>
      <w:r>
        <w:rPr>
          <w:b/>
          <w:color w:val="82BF6A"/>
          <w:spacing w:val="-10"/>
          <w:sz w:val="32"/>
        </w:rPr>
        <w:t>CHRONIC</w:t>
      </w:r>
      <w:r>
        <w:rPr>
          <w:b/>
          <w:color w:val="82BF6A"/>
          <w:spacing w:val="1"/>
          <w:sz w:val="32"/>
        </w:rPr>
        <w:t> </w:t>
      </w:r>
      <w:r>
        <w:rPr>
          <w:b/>
          <w:color w:val="82BF6A"/>
          <w:spacing w:val="-10"/>
          <w:sz w:val="32"/>
        </w:rPr>
        <w:t>DISEASES,</w:t>
      </w:r>
      <w:r>
        <w:rPr>
          <w:b/>
          <w:color w:val="82BF6A"/>
          <w:spacing w:val="2"/>
          <w:sz w:val="32"/>
        </w:rPr>
        <w:t> </w:t>
      </w:r>
      <w:r>
        <w:rPr>
          <w:b/>
          <w:color w:val="82BF6A"/>
          <w:spacing w:val="-10"/>
          <w:sz w:val="32"/>
        </w:rPr>
        <w:t>HEALTHY</w:t>
      </w:r>
      <w:r>
        <w:rPr>
          <w:b/>
          <w:color w:val="82BF6A"/>
          <w:spacing w:val="1"/>
          <w:sz w:val="32"/>
        </w:rPr>
        <w:t> </w:t>
      </w:r>
      <w:r>
        <w:rPr>
          <w:b/>
          <w:color w:val="82BF6A"/>
          <w:spacing w:val="-10"/>
          <w:sz w:val="32"/>
        </w:rPr>
        <w:t>EATING</w:t>
      </w:r>
    </w:p>
    <w:p>
      <w:pPr>
        <w:pStyle w:val="BodyText"/>
        <w:rPr>
          <w:b/>
          <w:sz w:val="20"/>
        </w:rPr>
      </w:pPr>
    </w:p>
    <w:p>
      <w:pPr>
        <w:pStyle w:val="BodyText"/>
        <w:spacing w:before="112"/>
        <w:rPr>
          <w:b/>
          <w:sz w:val="20"/>
        </w:rPr>
      </w:pPr>
    </w:p>
    <w:tbl>
      <w:tblPr>
        <w:tblW w:w="0" w:type="auto"/>
        <w:jc w:val="left"/>
        <w:tblInd w:w="1090"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1008"/>
        <w:gridCol w:w="1383"/>
        <w:gridCol w:w="1297"/>
        <w:gridCol w:w="1499"/>
        <w:gridCol w:w="1153"/>
        <w:gridCol w:w="1614"/>
        <w:gridCol w:w="7410"/>
        <w:gridCol w:w="1729"/>
        <w:gridCol w:w="1563"/>
        <w:gridCol w:w="1685"/>
        <w:gridCol w:w="1984"/>
      </w:tblGrid>
      <w:tr>
        <w:trPr>
          <w:trHeight w:val="990" w:hRule="atLeast"/>
        </w:trPr>
        <w:tc>
          <w:tcPr>
            <w:tcW w:w="1008" w:type="dxa"/>
            <w:tcBorders>
              <w:right w:val="single" w:sz="4" w:space="0" w:color="FFFFFF"/>
            </w:tcBorders>
            <w:shd w:val="clear" w:color="auto" w:fill="A7A9AC"/>
          </w:tcPr>
          <w:p>
            <w:pPr>
              <w:pStyle w:val="TableParagraph"/>
              <w:spacing w:before="177"/>
              <w:rPr>
                <w:b/>
                <w:sz w:val="20"/>
              </w:rPr>
            </w:pPr>
          </w:p>
          <w:p>
            <w:pPr>
              <w:pStyle w:val="TableParagraph"/>
              <w:ind w:left="80"/>
              <w:rPr>
                <w:b/>
                <w:sz w:val="20"/>
              </w:rPr>
            </w:pPr>
            <w:r>
              <w:rPr>
                <w:b/>
                <w:color w:val="FFFFFF"/>
                <w:spacing w:val="-2"/>
                <w:sz w:val="20"/>
              </w:rPr>
              <w:t>Priority</w:t>
            </w:r>
          </w:p>
        </w:tc>
        <w:tc>
          <w:tcPr>
            <w:tcW w:w="1383" w:type="dxa"/>
            <w:tcBorders>
              <w:left w:val="single" w:sz="4" w:space="0" w:color="FFFFFF"/>
              <w:right w:val="single" w:sz="4" w:space="0" w:color="FFFFFF"/>
            </w:tcBorders>
            <w:shd w:val="clear" w:color="auto" w:fill="A7A9AC"/>
          </w:tcPr>
          <w:p>
            <w:pPr>
              <w:pStyle w:val="TableParagraph"/>
              <w:spacing w:before="177"/>
              <w:rPr>
                <w:b/>
                <w:sz w:val="20"/>
              </w:rPr>
            </w:pPr>
          </w:p>
          <w:p>
            <w:pPr>
              <w:pStyle w:val="TableParagraph"/>
              <w:ind w:left="79"/>
              <w:rPr>
                <w:b/>
                <w:sz w:val="20"/>
              </w:rPr>
            </w:pPr>
            <w:r>
              <w:rPr>
                <w:b/>
                <w:color w:val="FFFFFF"/>
                <w:w w:val="90"/>
                <w:sz w:val="20"/>
              </w:rPr>
              <w:t>Focus</w:t>
            </w:r>
            <w:r>
              <w:rPr>
                <w:b/>
                <w:color w:val="FFFFFF"/>
                <w:spacing w:val="8"/>
                <w:sz w:val="20"/>
              </w:rPr>
              <w:t> </w:t>
            </w:r>
            <w:r>
              <w:rPr>
                <w:b/>
                <w:color w:val="FFFFFF"/>
                <w:spacing w:val="-4"/>
                <w:sz w:val="20"/>
              </w:rPr>
              <w:t>Area</w:t>
            </w:r>
          </w:p>
        </w:tc>
        <w:tc>
          <w:tcPr>
            <w:tcW w:w="1297" w:type="dxa"/>
            <w:tcBorders>
              <w:left w:val="single" w:sz="4" w:space="0" w:color="FFFFFF"/>
              <w:right w:val="single" w:sz="4" w:space="0" w:color="FFFFFF"/>
            </w:tcBorders>
            <w:shd w:val="clear" w:color="auto" w:fill="A7A9AC"/>
          </w:tcPr>
          <w:p>
            <w:pPr>
              <w:pStyle w:val="TableParagraph"/>
              <w:spacing w:before="74"/>
              <w:rPr>
                <w:b/>
                <w:sz w:val="20"/>
              </w:rPr>
            </w:pPr>
          </w:p>
          <w:p>
            <w:pPr>
              <w:pStyle w:val="TableParagraph"/>
              <w:spacing w:line="230" w:lineRule="auto" w:before="1"/>
              <w:ind w:left="79"/>
              <w:rPr>
                <w:b/>
                <w:sz w:val="20"/>
              </w:rPr>
            </w:pPr>
            <w:r>
              <w:rPr>
                <w:b/>
                <w:color w:val="FFFFFF"/>
                <w:spacing w:val="-8"/>
                <w:sz w:val="20"/>
              </w:rPr>
              <w:t>Goal</w:t>
            </w:r>
            <w:r>
              <w:rPr>
                <w:b/>
                <w:color w:val="FFFFFF"/>
                <w:spacing w:val="-6"/>
                <w:sz w:val="20"/>
              </w:rPr>
              <w:t> </w:t>
            </w:r>
            <w:r>
              <w:rPr>
                <w:b/>
                <w:color w:val="FFFFFF"/>
                <w:spacing w:val="-8"/>
                <w:sz w:val="20"/>
              </w:rPr>
              <w:t>Focus </w:t>
            </w:r>
            <w:r>
              <w:rPr>
                <w:b/>
                <w:color w:val="FFFFFF"/>
                <w:spacing w:val="-4"/>
                <w:sz w:val="20"/>
              </w:rPr>
              <w:t>Area</w:t>
            </w:r>
          </w:p>
        </w:tc>
        <w:tc>
          <w:tcPr>
            <w:tcW w:w="1499" w:type="dxa"/>
            <w:tcBorders>
              <w:left w:val="single" w:sz="4" w:space="0" w:color="FFFFFF"/>
              <w:right w:val="single" w:sz="4" w:space="0" w:color="FFFFFF"/>
            </w:tcBorders>
            <w:shd w:val="clear" w:color="auto" w:fill="A7A9AC"/>
          </w:tcPr>
          <w:p>
            <w:pPr>
              <w:pStyle w:val="TableParagraph"/>
              <w:spacing w:before="177"/>
              <w:rPr>
                <w:b/>
                <w:sz w:val="20"/>
              </w:rPr>
            </w:pPr>
          </w:p>
          <w:p>
            <w:pPr>
              <w:pStyle w:val="TableParagraph"/>
              <w:ind w:left="78"/>
              <w:rPr>
                <w:b/>
                <w:sz w:val="20"/>
              </w:rPr>
            </w:pPr>
            <w:r>
              <w:rPr>
                <w:b/>
                <w:color w:val="FFFFFF"/>
                <w:spacing w:val="-2"/>
                <w:sz w:val="20"/>
              </w:rPr>
              <w:t>Objectives</w:t>
            </w:r>
          </w:p>
        </w:tc>
        <w:tc>
          <w:tcPr>
            <w:tcW w:w="1153" w:type="dxa"/>
            <w:tcBorders>
              <w:left w:val="single" w:sz="4" w:space="0" w:color="FFFFFF"/>
              <w:right w:val="single" w:sz="4" w:space="0" w:color="FFFFFF"/>
            </w:tcBorders>
            <w:shd w:val="clear" w:color="auto" w:fill="A7A9AC"/>
          </w:tcPr>
          <w:p>
            <w:pPr>
              <w:pStyle w:val="TableParagraph"/>
              <w:spacing w:before="177"/>
              <w:rPr>
                <w:b/>
                <w:sz w:val="20"/>
              </w:rPr>
            </w:pPr>
          </w:p>
          <w:p>
            <w:pPr>
              <w:pStyle w:val="TableParagraph"/>
              <w:ind w:left="76"/>
              <w:rPr>
                <w:b/>
                <w:sz w:val="20"/>
              </w:rPr>
            </w:pPr>
            <w:r>
              <w:rPr>
                <w:b/>
                <w:color w:val="FFFFFF"/>
                <w:spacing w:val="-2"/>
                <w:sz w:val="20"/>
              </w:rPr>
              <w:t>Disparities</w:t>
            </w:r>
          </w:p>
        </w:tc>
        <w:tc>
          <w:tcPr>
            <w:tcW w:w="1614" w:type="dxa"/>
            <w:tcBorders>
              <w:left w:val="single" w:sz="4" w:space="0" w:color="FFFFFF"/>
              <w:right w:val="single" w:sz="4" w:space="0" w:color="FFFFFF"/>
            </w:tcBorders>
            <w:shd w:val="clear" w:color="auto" w:fill="A7A9AC"/>
          </w:tcPr>
          <w:p>
            <w:pPr>
              <w:pStyle w:val="TableParagraph"/>
              <w:spacing w:before="177"/>
              <w:rPr>
                <w:b/>
                <w:sz w:val="20"/>
              </w:rPr>
            </w:pPr>
          </w:p>
          <w:p>
            <w:pPr>
              <w:pStyle w:val="TableParagraph"/>
              <w:ind w:left="75"/>
              <w:rPr>
                <w:b/>
                <w:sz w:val="20"/>
              </w:rPr>
            </w:pPr>
            <w:r>
              <w:rPr>
                <w:b/>
                <w:color w:val="FFFFFF"/>
                <w:spacing w:val="-2"/>
                <w:sz w:val="20"/>
              </w:rPr>
              <w:t>Interventions</w:t>
            </w:r>
          </w:p>
        </w:tc>
        <w:tc>
          <w:tcPr>
            <w:tcW w:w="7410" w:type="dxa"/>
            <w:tcBorders>
              <w:left w:val="single" w:sz="4" w:space="0" w:color="FFFFFF"/>
              <w:right w:val="single" w:sz="4" w:space="0" w:color="FFFFFF"/>
            </w:tcBorders>
            <w:shd w:val="clear" w:color="auto" w:fill="A7A9AC"/>
          </w:tcPr>
          <w:p>
            <w:pPr>
              <w:pStyle w:val="TableParagraph"/>
              <w:spacing w:before="94"/>
              <w:rPr>
                <w:b/>
                <w:sz w:val="20"/>
              </w:rPr>
            </w:pPr>
          </w:p>
          <w:p>
            <w:pPr>
              <w:pStyle w:val="TableParagraph"/>
              <w:tabs>
                <w:tab w:pos="4278" w:val="left" w:leader="none"/>
              </w:tabs>
              <w:spacing w:line="156" w:lineRule="auto"/>
              <w:ind w:left="4278" w:right="780" w:hanging="4194"/>
              <w:rPr>
                <w:b/>
                <w:sz w:val="20"/>
              </w:rPr>
            </w:pPr>
            <w:r>
              <w:rPr>
                <w:b/>
                <w:color w:val="FFFFFF"/>
                <w:position w:val="-10"/>
                <w:sz w:val="20"/>
              </w:rPr>
              <w:t>Family of Measures</w:t>
              <w:tab/>
            </w:r>
            <w:r>
              <w:rPr>
                <w:b/>
                <w:color w:val="FFFFFF"/>
                <w:sz w:val="20"/>
              </w:rPr>
              <w:t>Projected</w:t>
            </w:r>
            <w:r>
              <w:rPr>
                <w:b/>
                <w:color w:val="FFFFFF"/>
                <w:spacing w:val="-14"/>
                <w:sz w:val="20"/>
              </w:rPr>
              <w:t> </w:t>
            </w:r>
            <w:r>
              <w:rPr>
                <w:b/>
                <w:color w:val="FFFFFF"/>
                <w:sz w:val="20"/>
              </w:rPr>
              <w:t>(or</w:t>
            </w:r>
            <w:r>
              <w:rPr>
                <w:b/>
                <w:color w:val="FFFFFF"/>
                <w:spacing w:val="-14"/>
                <w:sz w:val="20"/>
              </w:rPr>
              <w:t> </w:t>
            </w:r>
            <w:r>
              <w:rPr>
                <w:b/>
                <w:color w:val="FFFFFF"/>
                <w:sz w:val="20"/>
              </w:rPr>
              <w:t>completed) Year 1 Intervention</w:t>
            </w:r>
          </w:p>
        </w:tc>
        <w:tc>
          <w:tcPr>
            <w:tcW w:w="1729" w:type="dxa"/>
            <w:tcBorders>
              <w:left w:val="single" w:sz="4" w:space="0" w:color="FFFFFF"/>
              <w:right w:val="single" w:sz="4" w:space="0" w:color="FFFFFF"/>
            </w:tcBorders>
            <w:shd w:val="clear" w:color="auto" w:fill="A7A9AC"/>
          </w:tcPr>
          <w:p>
            <w:pPr>
              <w:pStyle w:val="TableParagraph"/>
              <w:spacing w:before="177"/>
              <w:rPr>
                <w:b/>
                <w:sz w:val="20"/>
              </w:rPr>
            </w:pPr>
          </w:p>
          <w:p>
            <w:pPr>
              <w:pStyle w:val="TableParagraph"/>
              <w:ind w:left="73"/>
              <w:rPr>
                <w:b/>
                <w:sz w:val="20"/>
              </w:rPr>
            </w:pPr>
            <w:r>
              <w:rPr>
                <w:b/>
                <w:color w:val="FFFFFF"/>
                <w:spacing w:val="-2"/>
                <w:sz w:val="20"/>
              </w:rPr>
              <w:t>Projected</w:t>
            </w:r>
            <w:r>
              <w:rPr>
                <w:b/>
                <w:color w:val="FFFFFF"/>
                <w:spacing w:val="-8"/>
                <w:sz w:val="20"/>
              </w:rPr>
              <w:t> </w:t>
            </w:r>
            <w:r>
              <w:rPr>
                <w:b/>
                <w:color w:val="FFFFFF"/>
                <w:spacing w:val="-2"/>
                <w:sz w:val="20"/>
              </w:rPr>
              <w:t>Year</w:t>
            </w:r>
            <w:r>
              <w:rPr>
                <w:b/>
                <w:color w:val="FFFFFF"/>
                <w:spacing w:val="-7"/>
                <w:sz w:val="20"/>
              </w:rPr>
              <w:t> </w:t>
            </w:r>
            <w:r>
              <w:rPr>
                <w:b/>
                <w:color w:val="FFFFFF"/>
                <w:spacing w:val="-10"/>
                <w:sz w:val="20"/>
              </w:rPr>
              <w:t>2</w:t>
            </w:r>
          </w:p>
        </w:tc>
        <w:tc>
          <w:tcPr>
            <w:tcW w:w="1563" w:type="dxa"/>
            <w:tcBorders>
              <w:left w:val="single" w:sz="4" w:space="0" w:color="FFFFFF"/>
              <w:right w:val="single" w:sz="4" w:space="0" w:color="FFFFFF"/>
            </w:tcBorders>
            <w:shd w:val="clear" w:color="auto" w:fill="A7A9AC"/>
          </w:tcPr>
          <w:p>
            <w:pPr>
              <w:pStyle w:val="TableParagraph"/>
              <w:spacing w:before="74"/>
              <w:rPr>
                <w:b/>
                <w:sz w:val="20"/>
              </w:rPr>
            </w:pPr>
          </w:p>
          <w:p>
            <w:pPr>
              <w:pStyle w:val="TableParagraph"/>
              <w:spacing w:line="230" w:lineRule="auto" w:before="1"/>
              <w:ind w:left="72" w:right="74"/>
              <w:rPr>
                <w:b/>
                <w:sz w:val="20"/>
              </w:rPr>
            </w:pPr>
            <w:r>
              <w:rPr>
                <w:b/>
                <w:color w:val="FFFFFF"/>
                <w:sz w:val="20"/>
              </w:rPr>
              <w:t>Projected</w:t>
            </w:r>
            <w:r>
              <w:rPr>
                <w:b/>
                <w:color w:val="FFFFFF"/>
                <w:spacing w:val="-14"/>
                <w:sz w:val="20"/>
              </w:rPr>
              <w:t> </w:t>
            </w:r>
            <w:r>
              <w:rPr>
                <w:b/>
                <w:color w:val="FFFFFF"/>
                <w:sz w:val="20"/>
              </w:rPr>
              <w:t>Year 3</w:t>
            </w:r>
            <w:r>
              <w:rPr>
                <w:b/>
                <w:color w:val="FFFFFF"/>
                <w:spacing w:val="4"/>
                <w:sz w:val="20"/>
              </w:rPr>
              <w:t> </w:t>
            </w:r>
            <w:r>
              <w:rPr>
                <w:b/>
                <w:color w:val="FFFFFF"/>
                <w:spacing w:val="-4"/>
                <w:sz w:val="20"/>
              </w:rPr>
              <w:t>Interventions</w:t>
            </w:r>
          </w:p>
        </w:tc>
        <w:tc>
          <w:tcPr>
            <w:tcW w:w="1685" w:type="dxa"/>
            <w:tcBorders>
              <w:left w:val="single" w:sz="4" w:space="0" w:color="FFFFFF"/>
            </w:tcBorders>
            <w:shd w:val="clear" w:color="auto" w:fill="A7A9AC"/>
          </w:tcPr>
          <w:p>
            <w:pPr>
              <w:pStyle w:val="TableParagraph"/>
              <w:spacing w:before="74"/>
              <w:rPr>
                <w:b/>
                <w:sz w:val="20"/>
              </w:rPr>
            </w:pPr>
          </w:p>
          <w:p>
            <w:pPr>
              <w:pStyle w:val="TableParagraph"/>
              <w:spacing w:line="230" w:lineRule="auto" w:before="1"/>
              <w:ind w:left="71"/>
              <w:rPr>
                <w:b/>
                <w:sz w:val="20"/>
              </w:rPr>
            </w:pPr>
            <w:r>
              <w:rPr>
                <w:b/>
                <w:color w:val="FFFFFF"/>
                <w:spacing w:val="-2"/>
                <w:sz w:val="20"/>
              </w:rPr>
              <w:t>Implementation Partner</w:t>
            </w:r>
          </w:p>
        </w:tc>
        <w:tc>
          <w:tcPr>
            <w:tcW w:w="1984" w:type="dxa"/>
            <w:shd w:val="clear" w:color="auto" w:fill="A7A9AC"/>
          </w:tcPr>
          <w:p>
            <w:pPr>
              <w:pStyle w:val="TableParagraph"/>
              <w:spacing w:before="74"/>
              <w:rPr>
                <w:b/>
                <w:sz w:val="20"/>
              </w:rPr>
            </w:pPr>
          </w:p>
          <w:p>
            <w:pPr>
              <w:pStyle w:val="TableParagraph"/>
              <w:spacing w:line="230" w:lineRule="auto" w:before="1"/>
              <w:ind w:left="71" w:right="93"/>
              <w:rPr>
                <w:b/>
                <w:sz w:val="20"/>
              </w:rPr>
            </w:pPr>
            <w:r>
              <w:rPr>
                <w:b/>
                <w:color w:val="FFFFFF"/>
                <w:spacing w:val="-4"/>
                <w:sz w:val="20"/>
              </w:rPr>
              <w:t>Partner</w:t>
            </w:r>
            <w:r>
              <w:rPr>
                <w:b/>
                <w:color w:val="FFFFFF"/>
                <w:spacing w:val="-10"/>
                <w:sz w:val="20"/>
              </w:rPr>
              <w:t> </w:t>
            </w:r>
            <w:r>
              <w:rPr>
                <w:b/>
                <w:color w:val="FFFFFF"/>
                <w:spacing w:val="-4"/>
                <w:sz w:val="20"/>
              </w:rPr>
              <w:t>Role(s)</w:t>
            </w:r>
            <w:r>
              <w:rPr>
                <w:b/>
                <w:color w:val="FFFFFF"/>
                <w:spacing w:val="-10"/>
                <w:sz w:val="20"/>
              </w:rPr>
              <w:t> </w:t>
            </w:r>
            <w:r>
              <w:rPr>
                <w:b/>
                <w:color w:val="FFFFFF"/>
                <w:spacing w:val="-4"/>
                <w:sz w:val="20"/>
              </w:rPr>
              <w:t>and </w:t>
            </w:r>
            <w:r>
              <w:rPr>
                <w:b/>
                <w:color w:val="FFFFFF"/>
                <w:spacing w:val="-2"/>
                <w:sz w:val="20"/>
              </w:rPr>
              <w:t>Resources</w:t>
            </w:r>
          </w:p>
        </w:tc>
      </w:tr>
      <w:tr>
        <w:trPr>
          <w:trHeight w:val="6360" w:hRule="atLeast"/>
        </w:trPr>
        <w:tc>
          <w:tcPr>
            <w:tcW w:w="1008" w:type="dxa"/>
            <w:vMerge w:val="restart"/>
            <w:shd w:val="clear" w:color="auto" w:fill="E6E7E8"/>
          </w:tcPr>
          <w:p>
            <w:pPr>
              <w:pStyle w:val="TableParagraph"/>
              <w:spacing w:line="232" w:lineRule="auto" w:before="101"/>
              <w:ind w:left="90" w:right="191"/>
              <w:jc w:val="both"/>
              <w:rPr>
                <w:sz w:val="18"/>
              </w:rPr>
            </w:pPr>
            <w:r>
              <w:rPr>
                <w:color w:val="105C84"/>
                <w:spacing w:val="-2"/>
                <w:sz w:val="18"/>
              </w:rPr>
              <w:t>Prevent Chronic </w:t>
            </w:r>
            <w:r>
              <w:rPr>
                <w:color w:val="105C84"/>
                <w:spacing w:val="-6"/>
                <w:sz w:val="18"/>
              </w:rPr>
              <w:t>Diseases</w:t>
            </w:r>
          </w:p>
        </w:tc>
        <w:tc>
          <w:tcPr>
            <w:tcW w:w="1383" w:type="dxa"/>
            <w:vMerge w:val="restart"/>
          </w:tcPr>
          <w:p>
            <w:pPr>
              <w:pStyle w:val="TableParagraph"/>
              <w:spacing w:line="232" w:lineRule="auto" w:before="101"/>
              <w:ind w:left="89"/>
              <w:rPr>
                <w:sz w:val="18"/>
              </w:rPr>
            </w:pPr>
            <w:r>
              <w:rPr>
                <w:color w:val="105C84"/>
                <w:sz w:val="18"/>
              </w:rPr>
              <w:t>Focus Area 1: Healthy</w:t>
            </w:r>
            <w:r>
              <w:rPr>
                <w:color w:val="105C84"/>
                <w:spacing w:val="-13"/>
                <w:sz w:val="18"/>
              </w:rPr>
              <w:t> </w:t>
            </w:r>
            <w:r>
              <w:rPr>
                <w:color w:val="105C84"/>
                <w:sz w:val="18"/>
              </w:rPr>
              <w:t>eating and food </w:t>
            </w:r>
            <w:r>
              <w:rPr>
                <w:color w:val="105C84"/>
                <w:spacing w:val="-2"/>
                <w:sz w:val="18"/>
              </w:rPr>
              <w:t>security</w:t>
            </w:r>
          </w:p>
        </w:tc>
        <w:tc>
          <w:tcPr>
            <w:tcW w:w="1297" w:type="dxa"/>
            <w:vMerge w:val="restart"/>
          </w:tcPr>
          <w:p>
            <w:pPr>
              <w:pStyle w:val="TableParagraph"/>
              <w:spacing w:line="232" w:lineRule="auto" w:before="101"/>
              <w:ind w:left="89" w:right="191"/>
              <w:rPr>
                <w:sz w:val="18"/>
              </w:rPr>
            </w:pPr>
            <w:r>
              <w:rPr>
                <w:color w:val="105C84"/>
                <w:sz w:val="18"/>
              </w:rPr>
              <w:t>Goal 1.2: </w:t>
            </w:r>
            <w:r>
              <w:rPr>
                <w:color w:val="105C84"/>
                <w:spacing w:val="-2"/>
                <w:sz w:val="18"/>
              </w:rPr>
              <w:t>Increase </w:t>
            </w:r>
            <w:r>
              <w:rPr>
                <w:color w:val="105C84"/>
                <w:sz w:val="18"/>
              </w:rPr>
              <w:t>skills and </w:t>
            </w:r>
            <w:r>
              <w:rPr>
                <w:color w:val="105C84"/>
                <w:spacing w:val="-2"/>
                <w:sz w:val="18"/>
              </w:rPr>
              <w:t>knowledge</w:t>
            </w:r>
            <w:r>
              <w:rPr>
                <w:color w:val="105C84"/>
                <w:spacing w:val="40"/>
                <w:sz w:val="18"/>
              </w:rPr>
              <w:t> </w:t>
            </w:r>
            <w:r>
              <w:rPr>
                <w:color w:val="105C84"/>
                <w:sz w:val="18"/>
              </w:rPr>
              <w:t>to support healthy</w:t>
            </w:r>
            <w:r>
              <w:rPr>
                <w:color w:val="105C84"/>
                <w:spacing w:val="-13"/>
                <w:sz w:val="18"/>
              </w:rPr>
              <w:t> </w:t>
            </w:r>
            <w:r>
              <w:rPr>
                <w:color w:val="105C84"/>
                <w:sz w:val="18"/>
              </w:rPr>
              <w:t>food</w:t>
            </w:r>
          </w:p>
          <w:p>
            <w:pPr>
              <w:pStyle w:val="TableParagraph"/>
              <w:spacing w:line="232" w:lineRule="auto"/>
              <w:ind w:left="89"/>
              <w:rPr>
                <w:sz w:val="18"/>
              </w:rPr>
            </w:pPr>
            <w:r>
              <w:rPr>
                <w:color w:val="105C84"/>
                <w:sz w:val="18"/>
              </w:rPr>
              <w:t>and</w:t>
            </w:r>
            <w:r>
              <w:rPr>
                <w:color w:val="105C84"/>
                <w:spacing w:val="-13"/>
                <w:sz w:val="18"/>
              </w:rPr>
              <w:t> </w:t>
            </w:r>
            <w:r>
              <w:rPr>
                <w:color w:val="105C84"/>
                <w:sz w:val="18"/>
              </w:rPr>
              <w:t>beverage </w:t>
            </w:r>
            <w:r>
              <w:rPr>
                <w:color w:val="105C84"/>
                <w:spacing w:val="-2"/>
                <w:sz w:val="18"/>
              </w:rPr>
              <w:t>choices</w:t>
            </w:r>
          </w:p>
        </w:tc>
        <w:tc>
          <w:tcPr>
            <w:tcW w:w="1499" w:type="dxa"/>
            <w:vMerge w:val="restart"/>
          </w:tcPr>
          <w:p>
            <w:pPr>
              <w:pStyle w:val="TableParagraph"/>
              <w:spacing w:line="232" w:lineRule="auto" w:before="101"/>
              <w:ind w:left="88" w:right="167"/>
              <w:rPr>
                <w:sz w:val="18"/>
              </w:rPr>
            </w:pPr>
            <w:r>
              <w:rPr>
                <w:color w:val="105C84"/>
                <w:sz w:val="18"/>
              </w:rPr>
              <w:t>Objective 1.4: Decrease the percentage of adults ages 18 years</w:t>
            </w:r>
            <w:r>
              <w:rPr>
                <w:color w:val="105C84"/>
                <w:spacing w:val="-15"/>
                <w:sz w:val="18"/>
              </w:rPr>
              <w:t> </w:t>
            </w:r>
            <w:r>
              <w:rPr>
                <w:color w:val="105C84"/>
                <w:sz w:val="18"/>
              </w:rPr>
              <w:t>and</w:t>
            </w:r>
            <w:r>
              <w:rPr>
                <w:color w:val="105C84"/>
                <w:spacing w:val="-12"/>
                <w:sz w:val="18"/>
              </w:rPr>
              <w:t> </w:t>
            </w:r>
            <w:r>
              <w:rPr>
                <w:color w:val="105C84"/>
                <w:sz w:val="18"/>
              </w:rPr>
              <w:t>older with obesity (among all </w:t>
            </w:r>
            <w:r>
              <w:rPr>
                <w:color w:val="105C84"/>
                <w:spacing w:val="-2"/>
                <w:sz w:val="18"/>
              </w:rPr>
              <w:t>adults)</w:t>
            </w:r>
          </w:p>
        </w:tc>
        <w:tc>
          <w:tcPr>
            <w:tcW w:w="1153" w:type="dxa"/>
            <w:vMerge w:val="restart"/>
          </w:tcPr>
          <w:p>
            <w:pPr>
              <w:pStyle w:val="TableParagraph"/>
              <w:rPr>
                <w:rFonts w:ascii="Times New Roman"/>
                <w:sz w:val="18"/>
              </w:rPr>
            </w:pPr>
          </w:p>
        </w:tc>
        <w:tc>
          <w:tcPr>
            <w:tcW w:w="1614" w:type="dxa"/>
          </w:tcPr>
          <w:p>
            <w:pPr>
              <w:pStyle w:val="TableParagraph"/>
              <w:spacing w:line="232" w:lineRule="auto" w:before="101"/>
              <w:ind w:left="85"/>
              <w:rPr>
                <w:sz w:val="18"/>
              </w:rPr>
            </w:pPr>
            <w:r>
              <w:rPr>
                <w:color w:val="105C84"/>
                <w:spacing w:val="-2"/>
                <w:sz w:val="18"/>
              </w:rPr>
              <w:t>Intervention</w:t>
            </w:r>
            <w:r>
              <w:rPr>
                <w:color w:val="105C84"/>
                <w:spacing w:val="-11"/>
                <w:sz w:val="18"/>
              </w:rPr>
              <w:t> </w:t>
            </w:r>
            <w:r>
              <w:rPr>
                <w:color w:val="105C84"/>
                <w:spacing w:val="-2"/>
                <w:sz w:val="18"/>
              </w:rPr>
              <w:t>1.0.3: </w:t>
            </w:r>
            <w:r>
              <w:rPr>
                <w:color w:val="105C84"/>
                <w:sz w:val="18"/>
              </w:rPr>
              <w:t>Worksite nutrition and physical activity programs designed to improve health behaviors and </w:t>
            </w:r>
            <w:r>
              <w:rPr>
                <w:color w:val="105C84"/>
                <w:spacing w:val="-2"/>
                <w:sz w:val="18"/>
              </w:rPr>
              <w:t>results</w:t>
            </w:r>
          </w:p>
        </w:tc>
        <w:tc>
          <w:tcPr>
            <w:tcW w:w="7410" w:type="dxa"/>
          </w:tcPr>
          <w:p>
            <w:pPr>
              <w:pStyle w:val="TableParagraph"/>
              <w:tabs>
                <w:tab w:pos="4278" w:val="left" w:leader="none"/>
              </w:tabs>
              <w:spacing w:line="203" w:lineRule="exact" w:before="95"/>
              <w:ind w:left="84"/>
              <w:rPr>
                <w:sz w:val="18"/>
              </w:rPr>
            </w:pPr>
            <w:r>
              <w:rPr>
                <w:color w:val="105C84"/>
                <w:sz w:val="18"/>
              </w:rPr>
              <w:t>Creating</w:t>
            </w:r>
            <w:r>
              <w:rPr>
                <w:color w:val="105C84"/>
                <w:spacing w:val="-2"/>
                <w:sz w:val="18"/>
              </w:rPr>
              <w:t> </w:t>
            </w:r>
            <w:r>
              <w:rPr>
                <w:color w:val="105C84"/>
                <w:sz w:val="18"/>
              </w:rPr>
              <w:t>Healthy</w:t>
            </w:r>
            <w:r>
              <w:rPr>
                <w:color w:val="105C84"/>
                <w:spacing w:val="-2"/>
                <w:sz w:val="18"/>
              </w:rPr>
              <w:t> Schools</w:t>
            </w:r>
            <w:r>
              <w:rPr>
                <w:color w:val="105C84"/>
                <w:sz w:val="18"/>
              </w:rPr>
              <w:tab/>
              <w:t>Arnot</w:t>
            </w:r>
            <w:r>
              <w:rPr>
                <w:color w:val="105C84"/>
                <w:spacing w:val="-1"/>
                <w:sz w:val="18"/>
              </w:rPr>
              <w:t> </w:t>
            </w:r>
            <w:r>
              <w:rPr>
                <w:color w:val="105C84"/>
                <w:sz w:val="18"/>
              </w:rPr>
              <w:t>Health: new </w:t>
            </w:r>
            <w:r>
              <w:rPr>
                <w:color w:val="105C84"/>
                <w:spacing w:val="-2"/>
                <w:sz w:val="18"/>
              </w:rPr>
              <w:t>Community</w:t>
            </w:r>
          </w:p>
          <w:p>
            <w:pPr>
              <w:pStyle w:val="TableParagraph"/>
              <w:tabs>
                <w:tab w:pos="4278" w:val="left" w:leader="none"/>
              </w:tabs>
              <w:spacing w:line="203" w:lineRule="exact"/>
              <w:ind w:left="84"/>
              <w:rPr>
                <w:sz w:val="18"/>
              </w:rPr>
            </w:pPr>
            <w:r>
              <w:rPr>
                <w:color w:val="105C84"/>
                <w:sz w:val="18"/>
              </w:rPr>
              <w:t>and</w:t>
            </w:r>
            <w:r>
              <w:rPr>
                <w:color w:val="105C84"/>
                <w:spacing w:val="-1"/>
                <w:sz w:val="18"/>
              </w:rPr>
              <w:t> </w:t>
            </w:r>
            <w:r>
              <w:rPr>
                <w:color w:val="105C84"/>
                <w:sz w:val="18"/>
              </w:rPr>
              <w:t>Communities </w:t>
            </w:r>
            <w:r>
              <w:rPr>
                <w:color w:val="105C84"/>
                <w:spacing w:val="-2"/>
                <w:sz w:val="18"/>
              </w:rPr>
              <w:t>(CHSC)</w:t>
            </w:r>
            <w:r>
              <w:rPr>
                <w:color w:val="105C84"/>
                <w:sz w:val="18"/>
              </w:rPr>
              <w:tab/>
              <w:t>Supported</w:t>
            </w:r>
            <w:r>
              <w:rPr>
                <w:color w:val="105C84"/>
                <w:spacing w:val="15"/>
                <w:sz w:val="18"/>
              </w:rPr>
              <w:t> </w:t>
            </w:r>
            <w:r>
              <w:rPr>
                <w:color w:val="105C84"/>
                <w:sz w:val="18"/>
              </w:rPr>
              <w:t>Agriculture</w:t>
            </w:r>
            <w:r>
              <w:rPr>
                <w:color w:val="105C84"/>
                <w:spacing w:val="16"/>
                <w:sz w:val="18"/>
              </w:rPr>
              <w:t> </w:t>
            </w:r>
            <w:r>
              <w:rPr>
                <w:color w:val="105C84"/>
                <w:spacing w:val="-2"/>
                <w:sz w:val="18"/>
              </w:rPr>
              <w:t>program</w:t>
            </w:r>
          </w:p>
          <w:p>
            <w:pPr>
              <w:pStyle w:val="TableParagraph"/>
              <w:tabs>
                <w:tab w:pos="4278" w:val="left" w:leader="none"/>
              </w:tabs>
              <w:spacing w:before="83"/>
              <w:ind w:left="84"/>
              <w:rPr>
                <w:sz w:val="18"/>
              </w:rPr>
            </w:pPr>
            <w:r>
              <w:rPr>
                <w:color w:val="105C84"/>
                <w:sz w:val="18"/>
              </w:rPr>
              <w:t>#</w:t>
            </w:r>
            <w:r>
              <w:rPr>
                <w:color w:val="105C84"/>
                <w:spacing w:val="3"/>
                <w:sz w:val="18"/>
              </w:rPr>
              <w:t> </w:t>
            </w:r>
            <w:r>
              <w:rPr>
                <w:color w:val="105C84"/>
                <w:sz w:val="18"/>
              </w:rPr>
              <w:t>of</w:t>
            </w:r>
            <w:r>
              <w:rPr>
                <w:color w:val="105C84"/>
                <w:spacing w:val="4"/>
                <w:sz w:val="18"/>
              </w:rPr>
              <w:t> </w:t>
            </w:r>
            <w:r>
              <w:rPr>
                <w:color w:val="105C84"/>
                <w:sz w:val="18"/>
              </w:rPr>
              <w:t>engaged</w:t>
            </w:r>
            <w:r>
              <w:rPr>
                <w:color w:val="105C84"/>
                <w:spacing w:val="4"/>
                <w:sz w:val="18"/>
              </w:rPr>
              <w:t> </w:t>
            </w:r>
            <w:r>
              <w:rPr>
                <w:color w:val="105C84"/>
                <w:spacing w:val="-2"/>
                <w:sz w:val="18"/>
              </w:rPr>
              <w:t>worksites</w:t>
            </w:r>
            <w:r>
              <w:rPr>
                <w:color w:val="105C84"/>
                <w:sz w:val="18"/>
              </w:rPr>
              <w:tab/>
            </w:r>
            <w:r>
              <w:rPr>
                <w:color w:val="105C84"/>
                <w:spacing w:val="-2"/>
                <w:sz w:val="18"/>
              </w:rPr>
              <w:t>CIDS:</w:t>
            </w:r>
            <w:r>
              <w:rPr>
                <w:color w:val="105C84"/>
                <w:spacing w:val="-4"/>
                <w:sz w:val="18"/>
              </w:rPr>
              <w:t> </w:t>
            </w:r>
            <w:r>
              <w:rPr>
                <w:color w:val="105C84"/>
                <w:spacing w:val="-2"/>
                <w:sz w:val="18"/>
              </w:rPr>
              <w:t>new</w:t>
            </w:r>
            <w:r>
              <w:rPr>
                <w:color w:val="105C84"/>
                <w:spacing w:val="-3"/>
                <w:sz w:val="18"/>
              </w:rPr>
              <w:t> </w:t>
            </w:r>
            <w:r>
              <w:rPr>
                <w:color w:val="105C84"/>
                <w:spacing w:val="-2"/>
                <w:sz w:val="18"/>
              </w:rPr>
              <w:t>Healthy</w:t>
            </w:r>
            <w:r>
              <w:rPr>
                <w:color w:val="105C84"/>
                <w:spacing w:val="-3"/>
                <w:sz w:val="18"/>
              </w:rPr>
              <w:t> </w:t>
            </w:r>
            <w:r>
              <w:rPr>
                <w:color w:val="105C84"/>
                <w:spacing w:val="-2"/>
                <w:sz w:val="18"/>
              </w:rPr>
              <w:t>Vending</w:t>
            </w:r>
            <w:r>
              <w:rPr>
                <w:color w:val="105C84"/>
                <w:spacing w:val="-3"/>
                <w:sz w:val="18"/>
              </w:rPr>
              <w:t> </w:t>
            </w:r>
            <w:r>
              <w:rPr>
                <w:color w:val="105C84"/>
                <w:spacing w:val="-2"/>
                <w:sz w:val="18"/>
              </w:rPr>
              <w:t>Machine</w:t>
            </w:r>
          </w:p>
          <w:p>
            <w:pPr>
              <w:pStyle w:val="TableParagraph"/>
              <w:tabs>
                <w:tab w:pos="4278" w:val="left" w:leader="none"/>
              </w:tabs>
              <w:spacing w:line="203" w:lineRule="exact" w:before="83"/>
              <w:ind w:left="84"/>
              <w:rPr>
                <w:sz w:val="18"/>
              </w:rPr>
            </w:pPr>
            <w:r>
              <w:rPr>
                <w:color w:val="105C84"/>
                <w:sz w:val="18"/>
              </w:rPr>
              <w:t>#</w:t>
            </w:r>
            <w:r>
              <w:rPr>
                <w:color w:val="105C84"/>
                <w:spacing w:val="-2"/>
                <w:sz w:val="18"/>
              </w:rPr>
              <w:t> </w:t>
            </w:r>
            <w:r>
              <w:rPr>
                <w:color w:val="105C84"/>
                <w:sz w:val="18"/>
              </w:rPr>
              <w:t>of</w:t>
            </w:r>
            <w:r>
              <w:rPr>
                <w:color w:val="105C84"/>
                <w:spacing w:val="-1"/>
                <w:sz w:val="18"/>
              </w:rPr>
              <w:t> </w:t>
            </w:r>
            <w:r>
              <w:rPr>
                <w:color w:val="105C84"/>
                <w:sz w:val="18"/>
              </w:rPr>
              <w:t>engaged</w:t>
            </w:r>
            <w:r>
              <w:rPr>
                <w:color w:val="105C84"/>
                <w:spacing w:val="-1"/>
                <w:sz w:val="18"/>
              </w:rPr>
              <w:t> </w:t>
            </w:r>
            <w:r>
              <w:rPr>
                <w:color w:val="105C84"/>
                <w:sz w:val="18"/>
              </w:rPr>
              <w:t>small</w:t>
            </w:r>
            <w:r>
              <w:rPr>
                <w:color w:val="105C84"/>
                <w:spacing w:val="-1"/>
                <w:sz w:val="18"/>
              </w:rPr>
              <w:t> </w:t>
            </w:r>
            <w:r>
              <w:rPr>
                <w:color w:val="105C84"/>
                <w:spacing w:val="-2"/>
                <w:sz w:val="18"/>
              </w:rPr>
              <w:t>retailers</w:t>
            </w:r>
            <w:r>
              <w:rPr>
                <w:color w:val="105C84"/>
                <w:sz w:val="18"/>
              </w:rPr>
              <w:tab/>
            </w:r>
            <w:r>
              <w:rPr>
                <w:color w:val="105C84"/>
                <w:spacing w:val="-2"/>
                <w:sz w:val="18"/>
              </w:rPr>
              <w:t>EOP:</w:t>
            </w:r>
            <w:r>
              <w:rPr>
                <w:color w:val="105C84"/>
                <w:spacing w:val="-4"/>
                <w:sz w:val="18"/>
              </w:rPr>
              <w:t> </w:t>
            </w:r>
            <w:r>
              <w:rPr>
                <w:color w:val="105C84"/>
                <w:spacing w:val="-2"/>
                <w:sz w:val="18"/>
              </w:rPr>
              <w:t>new</w:t>
            </w:r>
            <w:r>
              <w:rPr>
                <w:color w:val="105C84"/>
                <w:spacing w:val="-3"/>
                <w:sz w:val="18"/>
              </w:rPr>
              <w:t> </w:t>
            </w:r>
            <w:r>
              <w:rPr>
                <w:color w:val="105C84"/>
                <w:spacing w:val="-2"/>
                <w:sz w:val="18"/>
              </w:rPr>
              <w:t>Healthy</w:t>
            </w:r>
            <w:r>
              <w:rPr>
                <w:color w:val="105C84"/>
                <w:spacing w:val="-3"/>
                <w:sz w:val="18"/>
              </w:rPr>
              <w:t> </w:t>
            </w:r>
            <w:r>
              <w:rPr>
                <w:color w:val="105C84"/>
                <w:spacing w:val="-2"/>
                <w:sz w:val="18"/>
              </w:rPr>
              <w:t>Vending,</w:t>
            </w:r>
            <w:r>
              <w:rPr>
                <w:color w:val="105C84"/>
                <w:spacing w:val="-3"/>
                <w:sz w:val="18"/>
              </w:rPr>
              <w:t> </w:t>
            </w:r>
            <w:r>
              <w:rPr>
                <w:color w:val="105C84"/>
                <w:spacing w:val="-2"/>
                <w:sz w:val="18"/>
              </w:rPr>
              <w:t>Wellness</w:t>
            </w:r>
          </w:p>
          <w:p>
            <w:pPr>
              <w:pStyle w:val="TableParagraph"/>
              <w:tabs>
                <w:tab w:pos="4278" w:val="left" w:leader="none"/>
              </w:tabs>
              <w:spacing w:line="148" w:lineRule="auto" w:before="27"/>
              <w:ind w:left="84"/>
              <w:rPr>
                <w:sz w:val="18"/>
              </w:rPr>
            </w:pPr>
            <w:r>
              <w:rPr>
                <w:color w:val="105C84"/>
                <w:position w:val="-8"/>
                <w:sz w:val="18"/>
              </w:rPr>
              <w:t>#</w:t>
            </w:r>
            <w:r>
              <w:rPr>
                <w:color w:val="105C84"/>
                <w:spacing w:val="-1"/>
                <w:position w:val="-8"/>
                <w:sz w:val="18"/>
              </w:rPr>
              <w:t> </w:t>
            </w:r>
            <w:r>
              <w:rPr>
                <w:color w:val="105C84"/>
                <w:position w:val="-8"/>
                <w:sz w:val="18"/>
              </w:rPr>
              <w:t>of</w:t>
            </w:r>
            <w:r>
              <w:rPr>
                <w:color w:val="105C84"/>
                <w:spacing w:val="-1"/>
                <w:position w:val="-8"/>
                <w:sz w:val="18"/>
              </w:rPr>
              <w:t> </w:t>
            </w:r>
            <w:r>
              <w:rPr>
                <w:color w:val="105C84"/>
                <w:position w:val="-8"/>
                <w:sz w:val="18"/>
              </w:rPr>
              <w:t>policies </w:t>
            </w:r>
            <w:r>
              <w:rPr>
                <w:color w:val="105C84"/>
                <w:spacing w:val="-2"/>
                <w:position w:val="-8"/>
                <w:sz w:val="18"/>
              </w:rPr>
              <w:t>adopted</w:t>
            </w:r>
            <w:r>
              <w:rPr>
                <w:color w:val="105C84"/>
                <w:position w:val="-8"/>
                <w:sz w:val="18"/>
              </w:rPr>
              <w:tab/>
            </w:r>
            <w:r>
              <w:rPr>
                <w:color w:val="105C84"/>
                <w:sz w:val="18"/>
              </w:rPr>
              <w:t>Newsletter,</w:t>
            </w:r>
            <w:r>
              <w:rPr>
                <w:color w:val="105C84"/>
                <w:spacing w:val="-4"/>
                <w:sz w:val="18"/>
              </w:rPr>
              <w:t> </w:t>
            </w:r>
            <w:r>
              <w:rPr>
                <w:color w:val="105C84"/>
                <w:sz w:val="18"/>
              </w:rPr>
              <w:t>&amp;</w:t>
            </w:r>
            <w:r>
              <w:rPr>
                <w:color w:val="105C84"/>
                <w:spacing w:val="-4"/>
                <w:sz w:val="18"/>
              </w:rPr>
              <w:t> </w:t>
            </w:r>
            <w:r>
              <w:rPr>
                <w:color w:val="105C84"/>
                <w:sz w:val="18"/>
              </w:rPr>
              <w:t>Employee</w:t>
            </w:r>
            <w:r>
              <w:rPr>
                <w:color w:val="105C84"/>
                <w:spacing w:val="-4"/>
                <w:sz w:val="18"/>
              </w:rPr>
              <w:t> </w:t>
            </w:r>
            <w:r>
              <w:rPr>
                <w:color w:val="105C84"/>
                <w:spacing w:val="-2"/>
                <w:sz w:val="18"/>
              </w:rPr>
              <w:t>Wellness</w:t>
            </w:r>
          </w:p>
          <w:p>
            <w:pPr>
              <w:pStyle w:val="TableParagraph"/>
              <w:tabs>
                <w:tab w:pos="4278" w:val="left" w:leader="none"/>
              </w:tabs>
              <w:spacing w:line="245" w:lineRule="exact"/>
              <w:ind w:left="84"/>
              <w:rPr>
                <w:position w:val="9"/>
                <w:sz w:val="18"/>
              </w:rPr>
            </w:pPr>
            <w:r>
              <w:rPr>
                <w:color w:val="105C84"/>
                <w:sz w:val="18"/>
              </w:rPr>
              <w:t>Education</w:t>
            </w:r>
            <w:r>
              <w:rPr>
                <w:color w:val="105C84"/>
                <w:spacing w:val="11"/>
                <w:sz w:val="18"/>
              </w:rPr>
              <w:t> </w:t>
            </w:r>
            <w:r>
              <w:rPr>
                <w:color w:val="105C84"/>
                <w:sz w:val="18"/>
              </w:rPr>
              <w:t>provided</w:t>
            </w:r>
            <w:r>
              <w:rPr>
                <w:color w:val="105C84"/>
                <w:spacing w:val="11"/>
                <w:sz w:val="18"/>
              </w:rPr>
              <w:t> </w:t>
            </w:r>
            <w:r>
              <w:rPr>
                <w:color w:val="105C84"/>
                <w:spacing w:val="-5"/>
                <w:sz w:val="18"/>
              </w:rPr>
              <w:t>and</w:t>
            </w:r>
            <w:r>
              <w:rPr>
                <w:color w:val="105C84"/>
                <w:sz w:val="18"/>
              </w:rPr>
              <w:tab/>
            </w:r>
            <w:r>
              <w:rPr>
                <w:color w:val="105C84"/>
                <w:spacing w:val="-2"/>
                <w:position w:val="9"/>
                <w:sz w:val="18"/>
              </w:rPr>
              <w:t>Activities</w:t>
            </w:r>
          </w:p>
          <w:p>
            <w:pPr>
              <w:pStyle w:val="TableParagraph"/>
              <w:tabs>
                <w:tab w:pos="4278" w:val="left" w:leader="none"/>
              </w:tabs>
              <w:spacing w:line="232" w:lineRule="auto" w:before="1"/>
              <w:ind w:left="4278" w:right="200" w:hanging="4194"/>
              <w:rPr>
                <w:sz w:val="18"/>
              </w:rPr>
            </w:pPr>
            <w:r>
              <w:rPr>
                <w:color w:val="105C84"/>
                <w:spacing w:val="-2"/>
                <w:sz w:val="18"/>
              </w:rPr>
              <w:t>distributed</w:t>
            </w:r>
            <w:r>
              <w:rPr>
                <w:color w:val="105C84"/>
                <w:sz w:val="18"/>
              </w:rPr>
              <w:tab/>
              <w:t>Perry &amp; Carrol: new Healthy Snack options being offered to </w:t>
            </w:r>
            <w:r>
              <w:rPr>
                <w:color w:val="105C84"/>
                <w:sz w:val="18"/>
              </w:rPr>
              <w:t>employees.</w:t>
            </w:r>
          </w:p>
          <w:p>
            <w:pPr>
              <w:pStyle w:val="TableParagraph"/>
              <w:spacing w:line="232" w:lineRule="auto" w:before="88"/>
              <w:ind w:left="4278" w:right="75"/>
              <w:rPr>
                <w:sz w:val="18"/>
              </w:rPr>
            </w:pPr>
            <w:r>
              <w:rPr>
                <w:color w:val="105C84"/>
                <w:sz w:val="18"/>
              </w:rPr>
              <w:t>Riverside Elementary: Smoothie blenders</w:t>
            </w:r>
            <w:r>
              <w:rPr>
                <w:color w:val="105C84"/>
                <w:spacing w:val="-12"/>
                <w:sz w:val="18"/>
              </w:rPr>
              <w:t> </w:t>
            </w:r>
            <w:r>
              <w:rPr>
                <w:color w:val="105C84"/>
                <w:sz w:val="18"/>
              </w:rPr>
              <w:t>purchased</w:t>
            </w:r>
            <w:r>
              <w:rPr>
                <w:color w:val="105C84"/>
                <w:spacing w:val="-12"/>
                <w:sz w:val="18"/>
              </w:rPr>
              <w:t> </w:t>
            </w:r>
            <w:r>
              <w:rPr>
                <w:color w:val="105C84"/>
                <w:sz w:val="18"/>
              </w:rPr>
              <w:t>for</w:t>
            </w:r>
            <w:r>
              <w:rPr>
                <w:color w:val="105C84"/>
                <w:spacing w:val="-12"/>
                <w:sz w:val="18"/>
              </w:rPr>
              <w:t> </w:t>
            </w:r>
            <w:r>
              <w:rPr>
                <w:color w:val="105C84"/>
                <w:sz w:val="18"/>
              </w:rPr>
              <w:t>staff</w:t>
            </w:r>
            <w:r>
              <w:rPr>
                <w:color w:val="105C84"/>
                <w:spacing w:val="-12"/>
                <w:sz w:val="18"/>
              </w:rPr>
              <w:t> </w:t>
            </w:r>
            <w:r>
              <w:rPr>
                <w:color w:val="105C84"/>
                <w:sz w:val="18"/>
              </w:rPr>
              <w:t>break rooms; indoor walking path floor decals with motivational posters</w:t>
            </w:r>
          </w:p>
          <w:p>
            <w:pPr>
              <w:pStyle w:val="TableParagraph"/>
              <w:spacing w:line="232" w:lineRule="auto" w:before="87"/>
              <w:ind w:left="4278"/>
              <w:rPr>
                <w:sz w:val="18"/>
              </w:rPr>
            </w:pPr>
            <w:r>
              <w:rPr>
                <w:color w:val="105C84"/>
                <w:sz w:val="18"/>
              </w:rPr>
              <w:t>Parley</w:t>
            </w:r>
            <w:r>
              <w:rPr>
                <w:color w:val="105C84"/>
                <w:spacing w:val="-13"/>
                <w:sz w:val="18"/>
              </w:rPr>
              <w:t> </w:t>
            </w:r>
            <w:r>
              <w:rPr>
                <w:color w:val="105C84"/>
                <w:sz w:val="18"/>
              </w:rPr>
              <w:t>Coburn:</w:t>
            </w:r>
            <w:r>
              <w:rPr>
                <w:color w:val="105C84"/>
                <w:spacing w:val="-12"/>
                <w:sz w:val="18"/>
              </w:rPr>
              <w:t> </w:t>
            </w:r>
            <w:r>
              <w:rPr>
                <w:color w:val="105C84"/>
                <w:sz w:val="18"/>
              </w:rPr>
              <w:t>Yoga</w:t>
            </w:r>
            <w:r>
              <w:rPr>
                <w:color w:val="105C84"/>
                <w:spacing w:val="-13"/>
                <w:sz w:val="18"/>
              </w:rPr>
              <w:t> </w:t>
            </w:r>
            <w:r>
              <w:rPr>
                <w:color w:val="105C84"/>
                <w:sz w:val="18"/>
              </w:rPr>
              <w:t>materials</w:t>
            </w:r>
            <w:r>
              <w:rPr>
                <w:color w:val="105C84"/>
                <w:spacing w:val="-12"/>
                <w:sz w:val="18"/>
              </w:rPr>
              <w:t> </w:t>
            </w:r>
            <w:r>
              <w:rPr>
                <w:color w:val="105C84"/>
                <w:sz w:val="18"/>
              </w:rPr>
              <w:t>to</w:t>
            </w:r>
            <w:r>
              <w:rPr>
                <w:color w:val="105C84"/>
                <w:spacing w:val="-13"/>
                <w:sz w:val="18"/>
              </w:rPr>
              <w:t> </w:t>
            </w:r>
            <w:r>
              <w:rPr>
                <w:color w:val="105C84"/>
                <w:sz w:val="18"/>
              </w:rPr>
              <w:t>offer classes for staff</w:t>
            </w:r>
          </w:p>
          <w:p>
            <w:pPr>
              <w:pStyle w:val="TableParagraph"/>
              <w:spacing w:line="232" w:lineRule="auto" w:before="89"/>
              <w:ind w:left="4278" w:right="75"/>
              <w:rPr>
                <w:sz w:val="18"/>
              </w:rPr>
            </w:pPr>
            <w:r>
              <w:rPr>
                <w:color w:val="105C84"/>
                <w:sz w:val="18"/>
              </w:rPr>
              <w:t>Able2: Community Garden and Produce Cart, distribution of educational</w:t>
            </w:r>
            <w:r>
              <w:rPr>
                <w:color w:val="105C84"/>
                <w:spacing w:val="-9"/>
                <w:sz w:val="18"/>
              </w:rPr>
              <w:t> </w:t>
            </w:r>
            <w:r>
              <w:rPr>
                <w:color w:val="105C84"/>
                <w:sz w:val="18"/>
              </w:rPr>
              <w:t>materials</w:t>
            </w:r>
            <w:r>
              <w:rPr>
                <w:color w:val="105C84"/>
                <w:spacing w:val="-9"/>
                <w:sz w:val="18"/>
              </w:rPr>
              <w:t> </w:t>
            </w:r>
            <w:r>
              <w:rPr>
                <w:color w:val="105C84"/>
                <w:sz w:val="18"/>
              </w:rPr>
              <w:t>to</w:t>
            </w:r>
            <w:r>
              <w:rPr>
                <w:color w:val="105C84"/>
                <w:spacing w:val="-9"/>
                <w:sz w:val="18"/>
              </w:rPr>
              <w:t> </w:t>
            </w:r>
            <w:r>
              <w:rPr>
                <w:color w:val="105C84"/>
                <w:sz w:val="18"/>
              </w:rPr>
              <w:t>all</w:t>
            </w:r>
            <w:r>
              <w:rPr>
                <w:color w:val="105C84"/>
                <w:spacing w:val="-9"/>
                <w:sz w:val="18"/>
              </w:rPr>
              <w:t> </w:t>
            </w:r>
            <w:r>
              <w:rPr>
                <w:color w:val="105C84"/>
                <w:sz w:val="18"/>
              </w:rPr>
              <w:t>work</w:t>
            </w:r>
            <w:r>
              <w:rPr>
                <w:color w:val="105C84"/>
                <w:spacing w:val="-9"/>
                <w:sz w:val="18"/>
              </w:rPr>
              <w:t> </w:t>
            </w:r>
            <w:r>
              <w:rPr>
                <w:color w:val="105C84"/>
                <w:sz w:val="18"/>
              </w:rPr>
              <w:t>sites</w:t>
            </w:r>
          </w:p>
          <w:p>
            <w:pPr>
              <w:pStyle w:val="TableParagraph"/>
              <w:spacing w:line="232" w:lineRule="auto" w:before="87"/>
              <w:ind w:left="4278" w:right="75"/>
              <w:rPr>
                <w:sz w:val="18"/>
              </w:rPr>
            </w:pPr>
            <w:r>
              <w:rPr>
                <w:color w:val="105C84"/>
                <w:sz w:val="18"/>
              </w:rPr>
              <w:t>3</w:t>
            </w:r>
            <w:r>
              <w:rPr>
                <w:color w:val="105C84"/>
                <w:spacing w:val="-9"/>
                <w:sz w:val="18"/>
              </w:rPr>
              <w:t> </w:t>
            </w:r>
            <w:r>
              <w:rPr>
                <w:color w:val="105C84"/>
                <w:sz w:val="18"/>
              </w:rPr>
              <w:t>small</w:t>
            </w:r>
            <w:r>
              <w:rPr>
                <w:color w:val="105C84"/>
                <w:spacing w:val="-9"/>
                <w:sz w:val="18"/>
              </w:rPr>
              <w:t> </w:t>
            </w:r>
            <w:r>
              <w:rPr>
                <w:color w:val="105C84"/>
                <w:sz w:val="18"/>
              </w:rPr>
              <w:t>retail</w:t>
            </w:r>
            <w:r>
              <w:rPr>
                <w:color w:val="105C84"/>
                <w:spacing w:val="-9"/>
                <w:sz w:val="18"/>
              </w:rPr>
              <w:t> </w:t>
            </w:r>
            <w:r>
              <w:rPr>
                <w:color w:val="105C84"/>
                <w:sz w:val="18"/>
              </w:rPr>
              <w:t>locations</w:t>
            </w:r>
            <w:r>
              <w:rPr>
                <w:color w:val="105C84"/>
                <w:spacing w:val="-9"/>
                <w:sz w:val="18"/>
              </w:rPr>
              <w:t> </w:t>
            </w:r>
            <w:r>
              <w:rPr>
                <w:color w:val="105C84"/>
                <w:sz w:val="18"/>
              </w:rPr>
              <w:t>adding</w:t>
            </w:r>
            <w:r>
              <w:rPr>
                <w:color w:val="105C84"/>
                <w:spacing w:val="-9"/>
                <w:sz w:val="18"/>
              </w:rPr>
              <w:t> </w:t>
            </w:r>
            <w:r>
              <w:rPr>
                <w:color w:val="105C84"/>
                <w:sz w:val="18"/>
              </w:rPr>
              <w:t>fresh</w:t>
            </w:r>
            <w:r>
              <w:rPr>
                <w:color w:val="105C84"/>
                <w:sz w:val="18"/>
              </w:rPr>
              <w:t> fruit stand to their stores.</w:t>
            </w:r>
          </w:p>
          <w:p>
            <w:pPr>
              <w:pStyle w:val="TableParagraph"/>
              <w:spacing w:line="232" w:lineRule="auto" w:before="89"/>
              <w:ind w:left="4278" w:right="75"/>
              <w:rPr>
                <w:sz w:val="18"/>
              </w:rPr>
            </w:pPr>
            <w:r>
              <w:rPr>
                <w:color w:val="105C84"/>
                <w:sz w:val="18"/>
              </w:rPr>
              <w:t>2 small retailers signing up to accept Fruit &amp; Vegetable Prescription </w:t>
            </w:r>
            <w:r>
              <w:rPr>
                <w:color w:val="105C84"/>
                <w:spacing w:val="-2"/>
                <w:sz w:val="18"/>
              </w:rPr>
              <w:t>Program</w:t>
            </w:r>
            <w:r>
              <w:rPr>
                <w:color w:val="105C84"/>
                <w:spacing w:val="-8"/>
                <w:sz w:val="18"/>
              </w:rPr>
              <w:t> </w:t>
            </w:r>
            <w:r>
              <w:rPr>
                <w:color w:val="105C84"/>
                <w:spacing w:val="-2"/>
                <w:sz w:val="18"/>
              </w:rPr>
              <w:t>vouchers,</w:t>
            </w:r>
            <w:r>
              <w:rPr>
                <w:color w:val="105C84"/>
                <w:spacing w:val="-8"/>
                <w:sz w:val="18"/>
              </w:rPr>
              <w:t> </w:t>
            </w:r>
            <w:r>
              <w:rPr>
                <w:color w:val="105C84"/>
                <w:spacing w:val="-2"/>
                <w:sz w:val="18"/>
              </w:rPr>
              <w:t>which</w:t>
            </w:r>
            <w:r>
              <w:rPr>
                <w:color w:val="105C84"/>
                <w:spacing w:val="-8"/>
                <w:sz w:val="18"/>
              </w:rPr>
              <w:t> </w:t>
            </w:r>
            <w:r>
              <w:rPr>
                <w:color w:val="105C84"/>
                <w:spacing w:val="-2"/>
                <w:sz w:val="18"/>
              </w:rPr>
              <w:t>will</w:t>
            </w:r>
            <w:r>
              <w:rPr>
                <w:color w:val="105C84"/>
                <w:spacing w:val="-8"/>
                <w:sz w:val="18"/>
              </w:rPr>
              <w:t> </w:t>
            </w:r>
            <w:r>
              <w:rPr>
                <w:color w:val="105C84"/>
                <w:spacing w:val="-2"/>
                <w:sz w:val="18"/>
              </w:rPr>
              <w:t>increas</w:t>
            </w:r>
            <w:r>
              <w:rPr>
                <w:color w:val="105C84"/>
                <w:spacing w:val="-2"/>
                <w:sz w:val="18"/>
              </w:rPr>
              <w:t>e</w:t>
            </w:r>
            <w:r>
              <w:rPr>
                <w:color w:val="105C84"/>
                <w:spacing w:val="-2"/>
                <w:sz w:val="18"/>
              </w:rPr>
              <w:t> </w:t>
            </w:r>
            <w:r>
              <w:rPr>
                <w:color w:val="105C84"/>
                <w:sz w:val="18"/>
              </w:rPr>
              <w:t>access to healthy options in low income neighborhoods</w:t>
            </w:r>
          </w:p>
          <w:p>
            <w:pPr>
              <w:pStyle w:val="TableParagraph"/>
              <w:spacing w:line="232" w:lineRule="auto" w:before="86"/>
              <w:ind w:left="4278" w:right="190"/>
              <w:rPr>
                <w:sz w:val="18"/>
              </w:rPr>
            </w:pPr>
            <w:r>
              <w:rPr>
                <w:color w:val="105C84"/>
                <w:sz w:val="18"/>
              </w:rPr>
              <w:t>CHSC signage outside location advertising that fruit is now </w:t>
            </w:r>
            <w:r>
              <w:rPr>
                <w:color w:val="105C84"/>
                <w:sz w:val="18"/>
              </w:rPr>
              <w:t>being sold here</w:t>
            </w:r>
          </w:p>
        </w:tc>
        <w:tc>
          <w:tcPr>
            <w:tcW w:w="1729" w:type="dxa"/>
          </w:tcPr>
          <w:p>
            <w:pPr>
              <w:pStyle w:val="TableParagraph"/>
              <w:spacing w:line="232" w:lineRule="auto" w:before="100"/>
              <w:ind w:left="83"/>
              <w:rPr>
                <w:sz w:val="18"/>
              </w:rPr>
            </w:pPr>
            <w:r>
              <w:rPr>
                <w:color w:val="105C84"/>
                <w:sz w:val="18"/>
              </w:rPr>
              <w:t>#</w:t>
            </w:r>
            <w:r>
              <w:rPr>
                <w:color w:val="105C84"/>
                <w:spacing w:val="-9"/>
                <w:sz w:val="18"/>
              </w:rPr>
              <w:t> </w:t>
            </w:r>
            <w:r>
              <w:rPr>
                <w:color w:val="105C84"/>
                <w:sz w:val="18"/>
              </w:rPr>
              <w:t>of</w:t>
            </w:r>
            <w:r>
              <w:rPr>
                <w:color w:val="105C84"/>
                <w:spacing w:val="-9"/>
                <w:sz w:val="18"/>
              </w:rPr>
              <w:t> </w:t>
            </w:r>
            <w:r>
              <w:rPr>
                <w:color w:val="105C84"/>
                <w:sz w:val="18"/>
              </w:rPr>
              <w:t>engaged </w:t>
            </w:r>
            <w:r>
              <w:rPr>
                <w:color w:val="105C84"/>
                <w:spacing w:val="-2"/>
                <w:sz w:val="18"/>
              </w:rPr>
              <w:t>worksites</w:t>
            </w:r>
          </w:p>
          <w:p>
            <w:pPr>
              <w:pStyle w:val="TableParagraph"/>
              <w:spacing w:line="232" w:lineRule="auto" w:before="88"/>
              <w:ind w:left="83"/>
              <w:rPr>
                <w:sz w:val="18"/>
              </w:rPr>
            </w:pPr>
            <w:r>
              <w:rPr>
                <w:color w:val="105C84"/>
                <w:sz w:val="18"/>
              </w:rPr>
              <w:t>#</w:t>
            </w:r>
            <w:r>
              <w:rPr>
                <w:color w:val="105C84"/>
                <w:spacing w:val="-11"/>
                <w:sz w:val="18"/>
              </w:rPr>
              <w:t> </w:t>
            </w:r>
            <w:r>
              <w:rPr>
                <w:color w:val="105C84"/>
                <w:sz w:val="18"/>
              </w:rPr>
              <w:t>of</w:t>
            </w:r>
            <w:r>
              <w:rPr>
                <w:color w:val="105C84"/>
                <w:spacing w:val="-11"/>
                <w:sz w:val="18"/>
              </w:rPr>
              <w:t> </w:t>
            </w:r>
            <w:r>
              <w:rPr>
                <w:color w:val="105C84"/>
                <w:sz w:val="18"/>
              </w:rPr>
              <w:t>engaged</w:t>
            </w:r>
            <w:r>
              <w:rPr>
                <w:color w:val="105C84"/>
                <w:spacing w:val="-11"/>
                <w:sz w:val="18"/>
              </w:rPr>
              <w:t> </w:t>
            </w:r>
            <w:r>
              <w:rPr>
                <w:color w:val="105C84"/>
                <w:sz w:val="18"/>
              </w:rPr>
              <w:t>small </w:t>
            </w:r>
            <w:r>
              <w:rPr>
                <w:color w:val="105C84"/>
                <w:spacing w:val="-2"/>
                <w:sz w:val="18"/>
              </w:rPr>
              <w:t>retailers</w:t>
            </w:r>
          </w:p>
          <w:p>
            <w:pPr>
              <w:pStyle w:val="TableParagraph"/>
              <w:spacing w:line="232" w:lineRule="auto" w:before="88"/>
              <w:ind w:left="83" w:right="557"/>
              <w:rPr>
                <w:sz w:val="18"/>
              </w:rPr>
            </w:pPr>
            <w:r>
              <w:rPr>
                <w:color w:val="105C84"/>
                <w:sz w:val="18"/>
              </w:rPr>
              <w:t>#</w:t>
            </w:r>
            <w:r>
              <w:rPr>
                <w:color w:val="105C84"/>
                <w:spacing w:val="-15"/>
                <w:sz w:val="18"/>
              </w:rPr>
              <w:t> </w:t>
            </w:r>
            <w:r>
              <w:rPr>
                <w:color w:val="105C84"/>
                <w:sz w:val="18"/>
              </w:rPr>
              <w:t>of</w:t>
            </w:r>
            <w:r>
              <w:rPr>
                <w:color w:val="105C84"/>
                <w:spacing w:val="-12"/>
                <w:sz w:val="18"/>
              </w:rPr>
              <w:t> </w:t>
            </w:r>
            <w:r>
              <w:rPr>
                <w:color w:val="105C84"/>
                <w:sz w:val="18"/>
              </w:rPr>
              <w:t>policies </w:t>
            </w:r>
            <w:r>
              <w:rPr>
                <w:color w:val="105C84"/>
                <w:spacing w:val="-2"/>
                <w:sz w:val="18"/>
              </w:rPr>
              <w:t>adopted</w:t>
            </w:r>
          </w:p>
          <w:p>
            <w:pPr>
              <w:pStyle w:val="TableParagraph"/>
              <w:spacing w:line="232" w:lineRule="auto" w:before="89"/>
              <w:ind w:left="83" w:right="557"/>
              <w:rPr>
                <w:sz w:val="18"/>
              </w:rPr>
            </w:pPr>
            <w:r>
              <w:rPr>
                <w:color w:val="105C84"/>
                <w:spacing w:val="-2"/>
                <w:w w:val="105"/>
                <w:sz w:val="18"/>
              </w:rPr>
              <w:t>Education provided</w:t>
            </w:r>
            <w:r>
              <w:rPr>
                <w:color w:val="105C84"/>
                <w:spacing w:val="-12"/>
                <w:w w:val="105"/>
                <w:sz w:val="18"/>
              </w:rPr>
              <w:t> </w:t>
            </w:r>
            <w:r>
              <w:rPr>
                <w:color w:val="105C84"/>
                <w:spacing w:val="-2"/>
                <w:w w:val="105"/>
                <w:sz w:val="18"/>
              </w:rPr>
              <w:t>and distributed</w:t>
            </w:r>
          </w:p>
        </w:tc>
        <w:tc>
          <w:tcPr>
            <w:tcW w:w="1563" w:type="dxa"/>
          </w:tcPr>
          <w:p>
            <w:pPr>
              <w:pStyle w:val="TableParagraph"/>
              <w:rPr>
                <w:rFonts w:ascii="Times New Roman"/>
                <w:sz w:val="18"/>
              </w:rPr>
            </w:pPr>
          </w:p>
        </w:tc>
        <w:tc>
          <w:tcPr>
            <w:tcW w:w="1685" w:type="dxa"/>
          </w:tcPr>
          <w:p>
            <w:pPr>
              <w:pStyle w:val="TableParagraph"/>
              <w:spacing w:line="232" w:lineRule="auto" w:before="99"/>
              <w:ind w:left="81"/>
              <w:rPr>
                <w:sz w:val="18"/>
              </w:rPr>
            </w:pPr>
            <w:r>
              <w:rPr>
                <w:color w:val="105C84"/>
                <w:spacing w:val="-2"/>
                <w:sz w:val="18"/>
              </w:rPr>
              <w:t>Community-</w:t>
            </w:r>
            <w:r>
              <w:rPr>
                <w:color w:val="105C84"/>
                <w:spacing w:val="-2"/>
                <w:sz w:val="18"/>
              </w:rPr>
              <w:t>based organizations</w:t>
            </w:r>
          </w:p>
        </w:tc>
        <w:tc>
          <w:tcPr>
            <w:tcW w:w="1984" w:type="dxa"/>
          </w:tcPr>
          <w:p>
            <w:pPr>
              <w:pStyle w:val="TableParagraph"/>
              <w:spacing w:line="232" w:lineRule="auto" w:before="99"/>
              <w:ind w:left="81" w:right="185"/>
              <w:rPr>
                <w:sz w:val="18"/>
              </w:rPr>
            </w:pPr>
            <w:r>
              <w:rPr>
                <w:color w:val="105C84"/>
                <w:sz w:val="18"/>
              </w:rPr>
              <w:t>CHSC responsible</w:t>
            </w:r>
            <w:r>
              <w:rPr>
                <w:color w:val="105C84"/>
                <w:spacing w:val="40"/>
                <w:sz w:val="18"/>
              </w:rPr>
              <w:t> </w:t>
            </w:r>
            <w:r>
              <w:rPr>
                <w:color w:val="105C84"/>
                <w:sz w:val="18"/>
              </w:rPr>
              <w:t>for intervention providing needed staff</w:t>
            </w:r>
            <w:r>
              <w:rPr>
                <w:color w:val="105C84"/>
                <w:spacing w:val="-13"/>
                <w:sz w:val="18"/>
              </w:rPr>
              <w:t> </w:t>
            </w:r>
            <w:r>
              <w:rPr>
                <w:color w:val="105C84"/>
                <w:sz w:val="18"/>
              </w:rPr>
              <w:t>and</w:t>
            </w:r>
            <w:r>
              <w:rPr>
                <w:color w:val="105C84"/>
                <w:spacing w:val="-12"/>
                <w:sz w:val="18"/>
              </w:rPr>
              <w:t> </w:t>
            </w:r>
            <w:r>
              <w:rPr>
                <w:color w:val="105C84"/>
                <w:sz w:val="18"/>
              </w:rPr>
              <w:t>resources</w:t>
            </w:r>
            <w:r>
              <w:rPr>
                <w:color w:val="105C84"/>
                <w:spacing w:val="-13"/>
                <w:sz w:val="18"/>
              </w:rPr>
              <w:t> </w:t>
            </w:r>
            <w:r>
              <w:rPr>
                <w:color w:val="105C84"/>
                <w:sz w:val="18"/>
              </w:rPr>
              <w:t>to meet measures with</w:t>
            </w:r>
          </w:p>
          <w:p>
            <w:pPr>
              <w:pStyle w:val="TableParagraph"/>
              <w:spacing w:line="232" w:lineRule="auto"/>
              <w:ind w:left="81"/>
              <w:rPr>
                <w:sz w:val="18"/>
              </w:rPr>
            </w:pPr>
            <w:r>
              <w:rPr>
                <w:color w:val="105C84"/>
                <w:spacing w:val="-2"/>
                <w:sz w:val="18"/>
              </w:rPr>
              <w:t>assistance</w:t>
            </w:r>
            <w:r>
              <w:rPr>
                <w:color w:val="105C84"/>
                <w:spacing w:val="-13"/>
                <w:sz w:val="18"/>
              </w:rPr>
              <w:t> </w:t>
            </w:r>
            <w:r>
              <w:rPr>
                <w:color w:val="105C84"/>
                <w:spacing w:val="-2"/>
                <w:sz w:val="18"/>
              </w:rPr>
              <w:t>from</w:t>
            </w:r>
            <w:r>
              <w:rPr>
                <w:color w:val="105C84"/>
                <w:spacing w:val="-10"/>
                <w:sz w:val="18"/>
              </w:rPr>
              <w:t> </w:t>
            </w:r>
            <w:r>
              <w:rPr>
                <w:color w:val="105C84"/>
                <w:spacing w:val="-2"/>
                <w:sz w:val="18"/>
              </w:rPr>
              <w:t>Health </w:t>
            </w:r>
            <w:r>
              <w:rPr>
                <w:color w:val="105C84"/>
                <w:sz w:val="18"/>
              </w:rPr>
              <w:t>Priorities Partners as </w:t>
            </w:r>
            <w:r>
              <w:rPr>
                <w:color w:val="105C84"/>
                <w:spacing w:val="-2"/>
                <w:sz w:val="18"/>
              </w:rPr>
              <w:t>needed</w:t>
            </w:r>
          </w:p>
        </w:tc>
      </w:tr>
      <w:tr>
        <w:trPr>
          <w:trHeight w:val="3710" w:hRule="atLeast"/>
        </w:trPr>
        <w:tc>
          <w:tcPr>
            <w:tcW w:w="1008" w:type="dxa"/>
            <w:vMerge/>
            <w:tcBorders>
              <w:top w:val="nil"/>
            </w:tcBorders>
            <w:shd w:val="clear" w:color="auto" w:fill="E6E7E8"/>
          </w:tcPr>
          <w:p>
            <w:pPr>
              <w:rPr>
                <w:sz w:val="2"/>
                <w:szCs w:val="2"/>
              </w:rPr>
            </w:pPr>
          </w:p>
        </w:tc>
        <w:tc>
          <w:tcPr>
            <w:tcW w:w="1383" w:type="dxa"/>
            <w:vMerge/>
            <w:tcBorders>
              <w:top w:val="nil"/>
            </w:tcBorders>
          </w:tcPr>
          <w:p>
            <w:pPr>
              <w:rPr>
                <w:sz w:val="2"/>
                <w:szCs w:val="2"/>
              </w:rPr>
            </w:pPr>
          </w:p>
        </w:tc>
        <w:tc>
          <w:tcPr>
            <w:tcW w:w="1297" w:type="dxa"/>
            <w:vMerge/>
            <w:tcBorders>
              <w:top w:val="nil"/>
            </w:tcBorders>
          </w:tcPr>
          <w:p>
            <w:pPr>
              <w:rPr>
                <w:sz w:val="2"/>
                <w:szCs w:val="2"/>
              </w:rPr>
            </w:pPr>
          </w:p>
        </w:tc>
        <w:tc>
          <w:tcPr>
            <w:tcW w:w="1499" w:type="dxa"/>
            <w:vMerge/>
            <w:tcBorders>
              <w:top w:val="nil"/>
            </w:tcBorders>
          </w:tcPr>
          <w:p>
            <w:pPr>
              <w:rPr>
                <w:sz w:val="2"/>
                <w:szCs w:val="2"/>
              </w:rPr>
            </w:pPr>
          </w:p>
        </w:tc>
        <w:tc>
          <w:tcPr>
            <w:tcW w:w="1153" w:type="dxa"/>
            <w:vMerge/>
            <w:tcBorders>
              <w:top w:val="nil"/>
            </w:tcBorders>
          </w:tcPr>
          <w:p>
            <w:pPr>
              <w:rPr>
                <w:sz w:val="2"/>
                <w:szCs w:val="2"/>
              </w:rPr>
            </w:pPr>
          </w:p>
        </w:tc>
        <w:tc>
          <w:tcPr>
            <w:tcW w:w="1614" w:type="dxa"/>
          </w:tcPr>
          <w:p>
            <w:pPr>
              <w:pStyle w:val="TableParagraph"/>
              <w:spacing w:line="232" w:lineRule="auto" w:before="99"/>
              <w:ind w:left="85"/>
              <w:rPr>
                <w:sz w:val="18"/>
              </w:rPr>
            </w:pPr>
            <w:r>
              <w:rPr>
                <w:color w:val="105C84"/>
                <w:spacing w:val="-2"/>
                <w:sz w:val="18"/>
              </w:rPr>
              <w:t>Intervention</w:t>
            </w:r>
            <w:r>
              <w:rPr>
                <w:color w:val="105C84"/>
                <w:spacing w:val="-11"/>
                <w:sz w:val="18"/>
              </w:rPr>
              <w:t> </w:t>
            </w:r>
            <w:r>
              <w:rPr>
                <w:color w:val="105C84"/>
                <w:spacing w:val="-2"/>
                <w:sz w:val="18"/>
              </w:rPr>
              <w:t>1.0.3: </w:t>
            </w:r>
            <w:r>
              <w:rPr>
                <w:color w:val="105C84"/>
                <w:sz w:val="18"/>
              </w:rPr>
              <w:t>Worksite nutrition and physical activity programs designed to improve health behaviors and </w:t>
            </w:r>
            <w:r>
              <w:rPr>
                <w:color w:val="105C84"/>
                <w:spacing w:val="-2"/>
                <w:sz w:val="18"/>
              </w:rPr>
              <w:t>results.</w:t>
            </w:r>
          </w:p>
        </w:tc>
        <w:tc>
          <w:tcPr>
            <w:tcW w:w="7410" w:type="dxa"/>
          </w:tcPr>
          <w:p>
            <w:pPr>
              <w:pStyle w:val="TableParagraph"/>
              <w:tabs>
                <w:tab w:pos="4278" w:val="left" w:leader="none"/>
              </w:tabs>
              <w:spacing w:line="203" w:lineRule="exact" w:before="94"/>
              <w:ind w:left="84"/>
              <w:rPr>
                <w:sz w:val="18"/>
              </w:rPr>
            </w:pPr>
            <w:r>
              <w:rPr>
                <w:color w:val="105C84"/>
                <w:spacing w:val="-8"/>
                <w:sz w:val="18"/>
              </w:rPr>
              <w:t>EOP,</w:t>
            </w:r>
            <w:r>
              <w:rPr>
                <w:color w:val="105C84"/>
                <w:spacing w:val="-1"/>
                <w:sz w:val="18"/>
              </w:rPr>
              <w:t> </w:t>
            </w:r>
            <w:r>
              <w:rPr>
                <w:color w:val="105C84"/>
                <w:spacing w:val="-8"/>
                <w:sz w:val="18"/>
              </w:rPr>
              <w:t>CCHD,</w:t>
            </w:r>
            <w:r>
              <w:rPr>
                <w:color w:val="105C84"/>
                <w:sz w:val="18"/>
              </w:rPr>
              <w:t> </w:t>
            </w:r>
            <w:r>
              <w:rPr>
                <w:color w:val="105C84"/>
                <w:spacing w:val="-8"/>
                <w:sz w:val="18"/>
              </w:rPr>
              <w:t>Arnot</w:t>
            </w:r>
            <w:r>
              <w:rPr>
                <w:color w:val="105C84"/>
                <w:sz w:val="18"/>
              </w:rPr>
              <w:tab/>
              <w:t>EOP</w:t>
            </w:r>
            <w:r>
              <w:rPr>
                <w:color w:val="105C84"/>
                <w:spacing w:val="-7"/>
                <w:sz w:val="18"/>
              </w:rPr>
              <w:t> </w:t>
            </w:r>
            <w:r>
              <w:rPr>
                <w:color w:val="105C84"/>
                <w:sz w:val="18"/>
              </w:rPr>
              <w:t>recently</w:t>
            </w:r>
            <w:r>
              <w:rPr>
                <w:color w:val="105C84"/>
                <w:spacing w:val="-7"/>
                <w:sz w:val="18"/>
              </w:rPr>
              <w:t> </w:t>
            </w:r>
            <w:r>
              <w:rPr>
                <w:color w:val="105C84"/>
                <w:sz w:val="18"/>
              </w:rPr>
              <w:t>put</w:t>
            </w:r>
            <w:r>
              <w:rPr>
                <w:color w:val="105C84"/>
                <w:spacing w:val="-6"/>
                <w:sz w:val="18"/>
              </w:rPr>
              <w:t> </w:t>
            </w:r>
            <w:r>
              <w:rPr>
                <w:color w:val="105C84"/>
                <w:sz w:val="18"/>
              </w:rPr>
              <w:t>in</w:t>
            </w:r>
            <w:r>
              <w:rPr>
                <w:color w:val="105C84"/>
                <w:spacing w:val="-7"/>
                <w:sz w:val="18"/>
              </w:rPr>
              <w:t> </w:t>
            </w:r>
            <w:r>
              <w:rPr>
                <w:color w:val="105C84"/>
                <w:sz w:val="18"/>
              </w:rPr>
              <w:t>a</w:t>
            </w:r>
            <w:r>
              <w:rPr>
                <w:color w:val="105C84"/>
                <w:spacing w:val="-6"/>
                <w:sz w:val="18"/>
              </w:rPr>
              <w:t> </w:t>
            </w:r>
            <w:r>
              <w:rPr>
                <w:color w:val="105C84"/>
                <w:spacing w:val="-2"/>
                <w:sz w:val="18"/>
              </w:rPr>
              <w:t>“healthy</w:t>
            </w:r>
          </w:p>
          <w:p>
            <w:pPr>
              <w:pStyle w:val="TableParagraph"/>
              <w:tabs>
                <w:tab w:pos="4278" w:val="left" w:leader="none"/>
              </w:tabs>
              <w:spacing w:line="200" w:lineRule="exact"/>
              <w:ind w:left="84"/>
              <w:rPr>
                <w:sz w:val="18"/>
              </w:rPr>
            </w:pPr>
            <w:r>
              <w:rPr>
                <w:color w:val="105C84"/>
                <w:sz w:val="18"/>
              </w:rPr>
              <w:t>Health,</w:t>
            </w:r>
            <w:r>
              <w:rPr>
                <w:color w:val="105C84"/>
                <w:spacing w:val="2"/>
                <w:sz w:val="18"/>
              </w:rPr>
              <w:t> </w:t>
            </w:r>
            <w:r>
              <w:rPr>
                <w:color w:val="105C84"/>
                <w:sz w:val="18"/>
              </w:rPr>
              <w:t>and</w:t>
            </w:r>
            <w:r>
              <w:rPr>
                <w:color w:val="105C84"/>
                <w:spacing w:val="2"/>
                <w:sz w:val="18"/>
              </w:rPr>
              <w:t> </w:t>
            </w:r>
            <w:r>
              <w:rPr>
                <w:color w:val="105C84"/>
                <w:sz w:val="18"/>
              </w:rPr>
              <w:t>other</w:t>
            </w:r>
            <w:r>
              <w:rPr>
                <w:color w:val="105C84"/>
                <w:spacing w:val="2"/>
                <w:sz w:val="18"/>
              </w:rPr>
              <w:t> </w:t>
            </w:r>
            <w:r>
              <w:rPr>
                <w:color w:val="105C84"/>
                <w:spacing w:val="-2"/>
                <w:sz w:val="18"/>
              </w:rPr>
              <w:t>partners</w:t>
            </w:r>
            <w:r>
              <w:rPr>
                <w:color w:val="105C84"/>
                <w:sz w:val="18"/>
              </w:rPr>
              <w:tab/>
              <w:t>vending”</w:t>
            </w:r>
            <w:r>
              <w:rPr>
                <w:color w:val="105C84"/>
                <w:spacing w:val="6"/>
                <w:sz w:val="18"/>
              </w:rPr>
              <w:t> </w:t>
            </w:r>
            <w:r>
              <w:rPr>
                <w:color w:val="105C84"/>
                <w:sz w:val="18"/>
              </w:rPr>
              <w:t>machine</w:t>
            </w:r>
            <w:r>
              <w:rPr>
                <w:color w:val="105C84"/>
                <w:spacing w:val="7"/>
                <w:sz w:val="18"/>
              </w:rPr>
              <w:t> </w:t>
            </w:r>
            <w:r>
              <w:rPr>
                <w:color w:val="105C84"/>
                <w:sz w:val="18"/>
              </w:rPr>
              <w:t>that</w:t>
            </w:r>
            <w:r>
              <w:rPr>
                <w:color w:val="105C84"/>
                <w:spacing w:val="7"/>
                <w:sz w:val="18"/>
              </w:rPr>
              <w:t> </w:t>
            </w:r>
            <w:r>
              <w:rPr>
                <w:color w:val="105C84"/>
                <w:sz w:val="18"/>
              </w:rPr>
              <w:t>offers</w:t>
            </w:r>
            <w:r>
              <w:rPr>
                <w:color w:val="105C84"/>
                <w:spacing w:val="7"/>
                <w:sz w:val="18"/>
              </w:rPr>
              <w:t> </w:t>
            </w:r>
            <w:r>
              <w:rPr>
                <w:color w:val="105C84"/>
                <w:spacing w:val="-4"/>
                <w:sz w:val="18"/>
              </w:rPr>
              <w:t>more</w:t>
            </w:r>
          </w:p>
          <w:p>
            <w:pPr>
              <w:pStyle w:val="TableParagraph"/>
              <w:tabs>
                <w:tab w:pos="4278" w:val="left" w:leader="none"/>
              </w:tabs>
              <w:spacing w:line="200" w:lineRule="exact"/>
              <w:ind w:left="84"/>
              <w:rPr>
                <w:sz w:val="18"/>
              </w:rPr>
            </w:pPr>
            <w:r>
              <w:rPr>
                <w:color w:val="105C84"/>
                <w:sz w:val="18"/>
              </w:rPr>
              <w:t>participate</w:t>
            </w:r>
            <w:r>
              <w:rPr>
                <w:color w:val="105C84"/>
                <w:spacing w:val="8"/>
                <w:sz w:val="18"/>
              </w:rPr>
              <w:t> </w:t>
            </w:r>
            <w:r>
              <w:rPr>
                <w:color w:val="105C84"/>
                <w:sz w:val="18"/>
              </w:rPr>
              <w:t>in</w:t>
            </w:r>
            <w:r>
              <w:rPr>
                <w:color w:val="105C84"/>
                <w:spacing w:val="9"/>
                <w:sz w:val="18"/>
              </w:rPr>
              <w:t> </w:t>
            </w:r>
            <w:r>
              <w:rPr>
                <w:color w:val="105C84"/>
                <w:sz w:val="18"/>
              </w:rPr>
              <w:t>the</w:t>
            </w:r>
            <w:r>
              <w:rPr>
                <w:color w:val="105C84"/>
                <w:spacing w:val="9"/>
                <w:sz w:val="18"/>
              </w:rPr>
              <w:t> </w:t>
            </w:r>
            <w:r>
              <w:rPr>
                <w:color w:val="105C84"/>
                <w:spacing w:val="-4"/>
                <w:sz w:val="18"/>
              </w:rPr>
              <w:t>CHSC</w:t>
            </w:r>
            <w:r>
              <w:rPr>
                <w:color w:val="105C84"/>
                <w:sz w:val="18"/>
              </w:rPr>
              <w:tab/>
              <w:t>healthy</w:t>
            </w:r>
            <w:r>
              <w:rPr>
                <w:color w:val="105C84"/>
                <w:spacing w:val="-4"/>
                <w:sz w:val="18"/>
              </w:rPr>
              <w:t> </w:t>
            </w:r>
            <w:r>
              <w:rPr>
                <w:color w:val="105C84"/>
                <w:sz w:val="18"/>
              </w:rPr>
              <w:t>choices</w:t>
            </w:r>
            <w:r>
              <w:rPr>
                <w:color w:val="105C84"/>
                <w:spacing w:val="-3"/>
                <w:sz w:val="18"/>
              </w:rPr>
              <w:t> </w:t>
            </w:r>
            <w:r>
              <w:rPr>
                <w:color w:val="105C84"/>
                <w:sz w:val="18"/>
              </w:rPr>
              <w:t>and</w:t>
            </w:r>
            <w:r>
              <w:rPr>
                <w:color w:val="105C84"/>
                <w:spacing w:val="-3"/>
                <w:sz w:val="18"/>
              </w:rPr>
              <w:t> </w:t>
            </w:r>
            <w:r>
              <w:rPr>
                <w:color w:val="105C84"/>
                <w:sz w:val="18"/>
              </w:rPr>
              <w:t>promotes</w:t>
            </w:r>
            <w:r>
              <w:rPr>
                <w:color w:val="105C84"/>
                <w:spacing w:val="-3"/>
                <w:sz w:val="18"/>
              </w:rPr>
              <w:t> </w:t>
            </w:r>
            <w:r>
              <w:rPr>
                <w:color w:val="105C84"/>
                <w:spacing w:val="-2"/>
                <w:sz w:val="18"/>
              </w:rPr>
              <w:t>health.</w:t>
            </w:r>
          </w:p>
          <w:p>
            <w:pPr>
              <w:pStyle w:val="TableParagraph"/>
              <w:tabs>
                <w:tab w:pos="4278" w:val="left" w:leader="none"/>
              </w:tabs>
              <w:spacing w:line="290" w:lineRule="exact"/>
              <w:ind w:left="84"/>
              <w:rPr>
                <w:sz w:val="18"/>
              </w:rPr>
            </w:pPr>
            <w:r>
              <w:rPr>
                <w:color w:val="105C84"/>
                <w:spacing w:val="-2"/>
                <w:position w:val="9"/>
                <w:sz w:val="18"/>
              </w:rPr>
              <w:t>program</w:t>
            </w:r>
            <w:r>
              <w:rPr>
                <w:color w:val="105C84"/>
                <w:position w:val="9"/>
                <w:sz w:val="18"/>
              </w:rPr>
              <w:tab/>
            </w:r>
            <w:r>
              <w:rPr>
                <w:color w:val="105C84"/>
                <w:sz w:val="18"/>
              </w:rPr>
              <w:t>They</w:t>
            </w:r>
            <w:r>
              <w:rPr>
                <w:color w:val="105C84"/>
                <w:spacing w:val="-7"/>
                <w:sz w:val="18"/>
              </w:rPr>
              <w:t> </w:t>
            </w:r>
            <w:r>
              <w:rPr>
                <w:color w:val="105C84"/>
                <w:sz w:val="18"/>
              </w:rPr>
              <w:t>have</w:t>
            </w:r>
            <w:r>
              <w:rPr>
                <w:color w:val="105C84"/>
                <w:spacing w:val="-7"/>
                <w:sz w:val="18"/>
              </w:rPr>
              <w:t> </w:t>
            </w:r>
            <w:r>
              <w:rPr>
                <w:color w:val="105C84"/>
                <w:sz w:val="18"/>
              </w:rPr>
              <w:t>instituted</w:t>
            </w:r>
            <w:r>
              <w:rPr>
                <w:color w:val="105C84"/>
                <w:spacing w:val="-6"/>
                <w:sz w:val="18"/>
              </w:rPr>
              <w:t> </w:t>
            </w:r>
            <w:r>
              <w:rPr>
                <w:color w:val="105C84"/>
                <w:sz w:val="18"/>
              </w:rPr>
              <w:t>a</w:t>
            </w:r>
            <w:r>
              <w:rPr>
                <w:color w:val="105C84"/>
                <w:spacing w:val="-7"/>
                <w:sz w:val="18"/>
              </w:rPr>
              <w:t> </w:t>
            </w:r>
            <w:r>
              <w:rPr>
                <w:color w:val="105C84"/>
                <w:spacing w:val="-2"/>
                <w:sz w:val="18"/>
              </w:rPr>
              <w:t>Wellness</w:t>
            </w:r>
          </w:p>
          <w:p>
            <w:pPr>
              <w:pStyle w:val="TableParagraph"/>
              <w:spacing w:line="232" w:lineRule="auto" w:before="2"/>
              <w:ind w:left="4278"/>
              <w:rPr>
                <w:sz w:val="18"/>
              </w:rPr>
            </w:pPr>
            <w:r>
              <w:rPr>
                <w:color w:val="105C84"/>
                <w:sz w:val="18"/>
              </w:rPr>
              <w:t>Program for staff educating and encouraging them to make </w:t>
            </w:r>
            <w:r>
              <w:rPr>
                <w:color w:val="105C84"/>
                <w:sz w:val="18"/>
              </w:rPr>
              <w:t>healthier </w:t>
            </w:r>
            <w:r>
              <w:rPr>
                <w:color w:val="105C84"/>
                <w:spacing w:val="-2"/>
                <w:sz w:val="18"/>
              </w:rPr>
              <w:t>choices</w:t>
            </w:r>
          </w:p>
          <w:p>
            <w:pPr>
              <w:pStyle w:val="TableParagraph"/>
              <w:spacing w:line="232" w:lineRule="auto" w:before="87"/>
              <w:ind w:left="4278" w:right="75"/>
              <w:rPr>
                <w:sz w:val="18"/>
              </w:rPr>
            </w:pPr>
            <w:r>
              <w:rPr>
                <w:color w:val="105C84"/>
                <w:spacing w:val="-2"/>
                <w:sz w:val="18"/>
              </w:rPr>
              <w:t>They</w:t>
            </w:r>
            <w:r>
              <w:rPr>
                <w:color w:val="105C84"/>
                <w:spacing w:val="-8"/>
                <w:sz w:val="18"/>
              </w:rPr>
              <w:t> </w:t>
            </w:r>
            <w:r>
              <w:rPr>
                <w:color w:val="105C84"/>
                <w:spacing w:val="-2"/>
                <w:sz w:val="18"/>
              </w:rPr>
              <w:t>provide</w:t>
            </w:r>
            <w:r>
              <w:rPr>
                <w:color w:val="105C84"/>
                <w:spacing w:val="-8"/>
                <w:sz w:val="18"/>
              </w:rPr>
              <w:t> </w:t>
            </w:r>
            <w:r>
              <w:rPr>
                <w:color w:val="105C84"/>
                <w:spacing w:val="-2"/>
                <w:sz w:val="18"/>
              </w:rPr>
              <w:t>healthy</w:t>
            </w:r>
            <w:r>
              <w:rPr>
                <w:color w:val="105C84"/>
                <w:spacing w:val="-8"/>
                <w:sz w:val="18"/>
              </w:rPr>
              <w:t> </w:t>
            </w:r>
            <w:r>
              <w:rPr>
                <w:color w:val="105C84"/>
                <w:spacing w:val="-2"/>
                <w:sz w:val="18"/>
              </w:rPr>
              <w:t>snacks</w:t>
            </w:r>
            <w:r>
              <w:rPr>
                <w:color w:val="105C84"/>
                <w:spacing w:val="-8"/>
                <w:sz w:val="18"/>
              </w:rPr>
              <w:t> </w:t>
            </w:r>
            <w:r>
              <w:rPr>
                <w:color w:val="105C84"/>
                <w:spacing w:val="-2"/>
                <w:sz w:val="18"/>
              </w:rPr>
              <w:t>at </w:t>
            </w:r>
            <w:r>
              <w:rPr>
                <w:color w:val="105C84"/>
                <w:sz w:val="18"/>
              </w:rPr>
              <w:t>meetings and gatherings</w:t>
            </w:r>
          </w:p>
          <w:p>
            <w:pPr>
              <w:pStyle w:val="TableParagraph"/>
              <w:spacing w:line="232" w:lineRule="auto" w:before="89"/>
              <w:ind w:left="4278"/>
              <w:rPr>
                <w:sz w:val="18"/>
              </w:rPr>
            </w:pPr>
            <w:r>
              <w:rPr>
                <w:color w:val="105C84"/>
                <w:sz w:val="18"/>
              </w:rPr>
              <w:t>CCHD</w:t>
            </w:r>
            <w:r>
              <w:rPr>
                <w:color w:val="105C84"/>
                <w:spacing w:val="-11"/>
                <w:sz w:val="18"/>
              </w:rPr>
              <w:t> </w:t>
            </w:r>
            <w:r>
              <w:rPr>
                <w:color w:val="105C84"/>
                <w:sz w:val="18"/>
              </w:rPr>
              <w:t>provides</w:t>
            </w:r>
            <w:r>
              <w:rPr>
                <w:color w:val="105C84"/>
                <w:spacing w:val="-11"/>
                <w:sz w:val="18"/>
              </w:rPr>
              <w:t> </w:t>
            </w:r>
            <w:r>
              <w:rPr>
                <w:color w:val="105C84"/>
                <w:sz w:val="18"/>
              </w:rPr>
              <w:t>monthly</w:t>
            </w:r>
            <w:r>
              <w:rPr>
                <w:color w:val="105C84"/>
                <w:spacing w:val="-11"/>
                <w:sz w:val="18"/>
              </w:rPr>
              <w:t> </w:t>
            </w:r>
            <w:r>
              <w:rPr>
                <w:color w:val="105C84"/>
                <w:sz w:val="18"/>
              </w:rPr>
              <w:t>wellness</w:t>
            </w:r>
            <w:r>
              <w:rPr>
                <w:color w:val="105C84"/>
                <w:spacing w:val="-11"/>
                <w:sz w:val="18"/>
              </w:rPr>
              <w:t> </w:t>
            </w:r>
            <w:r>
              <w:rPr>
                <w:color w:val="105C84"/>
                <w:sz w:val="18"/>
              </w:rPr>
              <w:t>tips and provides activities to encourage physical activity</w:t>
            </w:r>
          </w:p>
          <w:p>
            <w:pPr>
              <w:pStyle w:val="TableParagraph"/>
              <w:spacing w:line="232" w:lineRule="auto" w:before="87"/>
              <w:ind w:left="4278"/>
              <w:rPr>
                <w:sz w:val="18"/>
              </w:rPr>
            </w:pPr>
            <w:r>
              <w:rPr>
                <w:color w:val="105C84"/>
                <w:sz w:val="18"/>
              </w:rPr>
              <w:t>Arnot Health started a Community Supported Agriculture program and holds</w:t>
            </w:r>
            <w:r>
              <w:rPr>
                <w:color w:val="105C84"/>
                <w:spacing w:val="-13"/>
                <w:sz w:val="18"/>
              </w:rPr>
              <w:t> </w:t>
            </w:r>
            <w:r>
              <w:rPr>
                <w:color w:val="105C84"/>
                <w:sz w:val="18"/>
              </w:rPr>
              <w:t>a</w:t>
            </w:r>
            <w:r>
              <w:rPr>
                <w:color w:val="105C84"/>
                <w:spacing w:val="-12"/>
                <w:sz w:val="18"/>
              </w:rPr>
              <w:t> </w:t>
            </w:r>
            <w:r>
              <w:rPr>
                <w:color w:val="105C84"/>
                <w:sz w:val="18"/>
              </w:rPr>
              <w:t>weekly</w:t>
            </w:r>
            <w:r>
              <w:rPr>
                <w:color w:val="105C84"/>
                <w:spacing w:val="-13"/>
                <w:sz w:val="18"/>
              </w:rPr>
              <w:t> </w:t>
            </w:r>
            <w:r>
              <w:rPr>
                <w:color w:val="105C84"/>
                <w:sz w:val="18"/>
              </w:rPr>
              <w:t>farmers</w:t>
            </w:r>
            <w:r>
              <w:rPr>
                <w:color w:val="105C84"/>
                <w:spacing w:val="-12"/>
                <w:sz w:val="18"/>
              </w:rPr>
              <w:t> </w:t>
            </w:r>
            <w:r>
              <w:rPr>
                <w:color w:val="105C84"/>
                <w:sz w:val="18"/>
              </w:rPr>
              <w:t>market.</w:t>
            </w:r>
            <w:r>
              <w:rPr>
                <w:color w:val="105C84"/>
                <w:spacing w:val="-13"/>
                <w:sz w:val="18"/>
              </w:rPr>
              <w:t> </w:t>
            </w:r>
            <w:r>
              <w:rPr>
                <w:color w:val="105C84"/>
                <w:sz w:val="18"/>
              </w:rPr>
              <w:t>Many others listed above</w:t>
            </w:r>
          </w:p>
        </w:tc>
        <w:tc>
          <w:tcPr>
            <w:tcW w:w="1729" w:type="dxa"/>
          </w:tcPr>
          <w:p>
            <w:pPr>
              <w:pStyle w:val="TableParagraph"/>
              <w:spacing w:line="232" w:lineRule="auto" w:before="99"/>
              <w:ind w:left="83" w:right="167"/>
              <w:rPr>
                <w:sz w:val="18"/>
              </w:rPr>
            </w:pPr>
            <w:r>
              <w:rPr>
                <w:color w:val="105C84"/>
                <w:w w:val="105"/>
                <w:sz w:val="18"/>
              </w:rPr>
              <w:t>Continue</w:t>
            </w:r>
            <w:r>
              <w:rPr>
                <w:color w:val="105C84"/>
                <w:spacing w:val="-1"/>
                <w:w w:val="105"/>
                <w:sz w:val="18"/>
              </w:rPr>
              <w:t> </w:t>
            </w:r>
            <w:r>
              <w:rPr>
                <w:color w:val="105C84"/>
                <w:w w:val="105"/>
                <w:sz w:val="18"/>
              </w:rPr>
              <w:t>to </w:t>
            </w:r>
            <w:r>
              <w:rPr>
                <w:color w:val="105C84"/>
                <w:spacing w:val="-2"/>
                <w:w w:val="105"/>
                <w:sz w:val="18"/>
              </w:rPr>
              <w:t>provide</w:t>
            </w:r>
            <w:r>
              <w:rPr>
                <w:color w:val="105C84"/>
                <w:spacing w:val="-12"/>
                <w:w w:val="105"/>
                <w:sz w:val="18"/>
              </w:rPr>
              <w:t> </w:t>
            </w:r>
            <w:r>
              <w:rPr>
                <w:color w:val="105C84"/>
                <w:spacing w:val="-2"/>
                <w:w w:val="105"/>
                <w:sz w:val="18"/>
              </w:rPr>
              <w:t>education </w:t>
            </w:r>
            <w:r>
              <w:rPr>
                <w:color w:val="105C84"/>
                <w:sz w:val="18"/>
              </w:rPr>
              <w:t>and</w:t>
            </w:r>
            <w:r>
              <w:rPr>
                <w:color w:val="105C84"/>
                <w:spacing w:val="-1"/>
                <w:sz w:val="18"/>
              </w:rPr>
              <w:t> </w:t>
            </w:r>
            <w:r>
              <w:rPr>
                <w:color w:val="105C84"/>
                <w:spacing w:val="-2"/>
                <w:sz w:val="18"/>
              </w:rPr>
              <w:t>opportunities</w:t>
            </w:r>
          </w:p>
          <w:p>
            <w:pPr>
              <w:pStyle w:val="TableParagraph"/>
              <w:spacing w:line="232" w:lineRule="auto" w:before="87"/>
              <w:ind w:left="83" w:right="29"/>
              <w:rPr>
                <w:sz w:val="18"/>
              </w:rPr>
            </w:pPr>
            <w:r>
              <w:rPr>
                <w:color w:val="105C84"/>
                <w:spacing w:val="-2"/>
                <w:sz w:val="18"/>
              </w:rPr>
              <w:t>Increase</w:t>
            </w:r>
            <w:r>
              <w:rPr>
                <w:color w:val="105C84"/>
                <w:spacing w:val="-11"/>
                <w:sz w:val="18"/>
              </w:rPr>
              <w:t> </w:t>
            </w:r>
            <w:r>
              <w:rPr>
                <w:color w:val="105C84"/>
                <w:spacing w:val="-2"/>
                <w:sz w:val="18"/>
              </w:rPr>
              <w:t>education </w:t>
            </w:r>
            <w:r>
              <w:rPr>
                <w:color w:val="105C84"/>
                <w:sz w:val="18"/>
              </w:rPr>
              <w:t>to families and </w:t>
            </w:r>
            <w:r>
              <w:rPr>
                <w:color w:val="105C84"/>
                <w:spacing w:val="-2"/>
                <w:sz w:val="18"/>
              </w:rPr>
              <w:t>employees</w:t>
            </w:r>
          </w:p>
          <w:p>
            <w:pPr>
              <w:pStyle w:val="TableParagraph"/>
              <w:spacing w:line="232" w:lineRule="auto" w:before="88"/>
              <w:ind w:left="83"/>
              <w:rPr>
                <w:sz w:val="18"/>
              </w:rPr>
            </w:pPr>
            <w:r>
              <w:rPr>
                <w:color w:val="105C84"/>
                <w:sz w:val="18"/>
              </w:rPr>
              <w:t>Implement</w:t>
            </w:r>
            <w:r>
              <w:rPr>
                <w:color w:val="105C84"/>
                <w:spacing w:val="-13"/>
                <w:sz w:val="18"/>
              </w:rPr>
              <w:t> </w:t>
            </w:r>
            <w:r>
              <w:rPr>
                <w:color w:val="105C84"/>
                <w:sz w:val="18"/>
              </w:rPr>
              <w:t>Healthy food Policies</w:t>
            </w:r>
          </w:p>
        </w:tc>
        <w:tc>
          <w:tcPr>
            <w:tcW w:w="1563" w:type="dxa"/>
          </w:tcPr>
          <w:p>
            <w:pPr>
              <w:pStyle w:val="TableParagraph"/>
              <w:rPr>
                <w:rFonts w:ascii="Times New Roman"/>
                <w:sz w:val="18"/>
              </w:rPr>
            </w:pPr>
          </w:p>
        </w:tc>
        <w:tc>
          <w:tcPr>
            <w:tcW w:w="1685" w:type="dxa"/>
          </w:tcPr>
          <w:p>
            <w:pPr>
              <w:pStyle w:val="TableParagraph"/>
              <w:spacing w:line="232" w:lineRule="auto" w:before="99"/>
              <w:ind w:left="81"/>
              <w:rPr>
                <w:sz w:val="18"/>
              </w:rPr>
            </w:pPr>
            <w:r>
              <w:rPr>
                <w:color w:val="105C84"/>
                <w:spacing w:val="-2"/>
                <w:sz w:val="18"/>
              </w:rPr>
              <w:t>Community-</w:t>
            </w:r>
            <w:r>
              <w:rPr>
                <w:color w:val="105C84"/>
                <w:spacing w:val="-2"/>
                <w:sz w:val="18"/>
              </w:rPr>
              <w:t>based organizations</w:t>
            </w:r>
          </w:p>
        </w:tc>
        <w:tc>
          <w:tcPr>
            <w:tcW w:w="1984" w:type="dxa"/>
          </w:tcPr>
          <w:p>
            <w:pPr>
              <w:pStyle w:val="TableParagraph"/>
              <w:spacing w:line="232" w:lineRule="auto" w:before="99"/>
              <w:ind w:left="81"/>
              <w:rPr>
                <w:sz w:val="18"/>
              </w:rPr>
            </w:pPr>
            <w:r>
              <w:rPr>
                <w:color w:val="105C84"/>
                <w:sz w:val="18"/>
              </w:rPr>
              <w:t>CCHD and partners responsible for intervention providing needed staff and resources to meet measures with </w:t>
            </w:r>
            <w:r>
              <w:rPr>
                <w:color w:val="105C84"/>
                <w:spacing w:val="-2"/>
                <w:sz w:val="18"/>
              </w:rPr>
              <w:t>assistance</w:t>
            </w:r>
            <w:r>
              <w:rPr>
                <w:color w:val="105C84"/>
                <w:spacing w:val="-13"/>
                <w:sz w:val="18"/>
              </w:rPr>
              <w:t> </w:t>
            </w:r>
            <w:r>
              <w:rPr>
                <w:color w:val="105C84"/>
                <w:spacing w:val="-2"/>
                <w:sz w:val="18"/>
              </w:rPr>
              <w:t>from</w:t>
            </w:r>
            <w:r>
              <w:rPr>
                <w:color w:val="105C84"/>
                <w:spacing w:val="-10"/>
                <w:sz w:val="18"/>
              </w:rPr>
              <w:t> </w:t>
            </w:r>
            <w:r>
              <w:rPr>
                <w:color w:val="105C84"/>
                <w:spacing w:val="-2"/>
                <w:sz w:val="18"/>
              </w:rPr>
              <w:t>Health </w:t>
            </w:r>
            <w:r>
              <w:rPr>
                <w:color w:val="105C84"/>
                <w:sz w:val="18"/>
              </w:rPr>
              <w:t>Priorities Partners as </w:t>
            </w:r>
            <w:r>
              <w:rPr>
                <w:color w:val="105C84"/>
                <w:spacing w:val="-2"/>
                <w:sz w:val="18"/>
              </w:rPr>
              <w:t>needed</w:t>
            </w:r>
          </w:p>
        </w:tc>
      </w:tr>
    </w:tbl>
    <w:p>
      <w:pPr>
        <w:pStyle w:val="BodyText"/>
        <w:rPr>
          <w:b/>
          <w:sz w:val="26"/>
        </w:rPr>
      </w:pPr>
    </w:p>
    <w:p>
      <w:pPr>
        <w:pStyle w:val="BodyText"/>
        <w:rPr>
          <w:b/>
          <w:sz w:val="26"/>
        </w:rPr>
      </w:pPr>
    </w:p>
    <w:p>
      <w:pPr>
        <w:pStyle w:val="BodyText"/>
        <w:spacing w:before="42"/>
        <w:rPr>
          <w:b/>
          <w:sz w:val="26"/>
        </w:rPr>
      </w:pPr>
    </w:p>
    <w:p>
      <w:pPr>
        <w:tabs>
          <w:tab w:pos="23047" w:val="left" w:leader="none"/>
        </w:tabs>
        <w:spacing w:before="0"/>
        <w:ind w:left="0" w:right="0" w:firstLine="0"/>
        <w:jc w:val="left"/>
        <w:rPr>
          <w:b/>
          <w:sz w:val="26"/>
        </w:rPr>
      </w:pPr>
      <w:r>
        <w:rPr>
          <w:position w:val="-4"/>
        </w:rPr>
        <w:drawing>
          <wp:inline distT="0" distB="0" distL="0" distR="0">
            <wp:extent cx="568172" cy="184683"/>
            <wp:effectExtent l="0" t="0" r="0" b="0"/>
            <wp:docPr id="1732" name="Image 1732"/>
            <wp:cNvGraphicFramePr>
              <a:graphicFrameLocks/>
            </wp:cNvGraphicFramePr>
            <a:graphic>
              <a:graphicData uri="http://schemas.openxmlformats.org/drawingml/2006/picture">
                <pic:pic>
                  <pic:nvPicPr>
                    <pic:cNvPr id="1732" name="Image 1732"/>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13"/>
          <w:sz w:val="20"/>
        </w:rPr>
        <w:t> </w:t>
      </w:r>
      <w:r>
        <w:rPr>
          <w:b/>
          <w:color w:val="939598"/>
          <w:w w:val="105"/>
          <w:sz w:val="26"/>
        </w:rPr>
        <w:t>119</w:t>
      </w:r>
      <w:r>
        <w:rPr>
          <w:b/>
          <w:color w:val="939598"/>
          <w:sz w:val="26"/>
        </w:rPr>
        <w:tab/>
      </w:r>
      <w:r>
        <w:rPr>
          <w:b/>
          <w:color w:val="939598"/>
          <w:spacing w:val="-5"/>
          <w:w w:val="105"/>
          <w:sz w:val="26"/>
        </w:rPr>
        <w:t>120</w:t>
      </w:r>
    </w:p>
    <w:p>
      <w:pPr>
        <w:spacing w:after="0"/>
        <w:jc w:val="left"/>
        <w:rPr>
          <w:b/>
          <w:sz w:val="26"/>
        </w:rPr>
        <w:sectPr>
          <w:pgSz w:w="24480" w:h="15840" w:orient="landscape"/>
          <w:pgMar w:header="0" w:footer="0" w:top="860" w:bottom="0" w:left="0" w:right="720"/>
        </w:sectPr>
      </w:pPr>
    </w:p>
    <w:p>
      <w:pPr>
        <w:spacing w:before="607"/>
        <w:ind w:left="1089" w:right="0" w:firstLine="0"/>
        <w:jc w:val="left"/>
        <w:rPr>
          <w:sz w:val="54"/>
        </w:rPr>
      </w:pPr>
      <w:r>
        <w:rPr>
          <w:sz w:val="54"/>
        </w:rPr>
        <w:drawing>
          <wp:anchor distT="0" distB="0" distL="0" distR="0" allowOverlap="1" layoutInCell="1" locked="0" behindDoc="0" simplePos="0" relativeHeight="15922688">
            <wp:simplePos x="0" y="0"/>
            <wp:positionH relativeFrom="page">
              <wp:posOffset>14981556</wp:posOffset>
            </wp:positionH>
            <wp:positionV relativeFrom="page">
              <wp:posOffset>9668103</wp:posOffset>
            </wp:positionV>
            <wp:extent cx="563245" cy="184683"/>
            <wp:effectExtent l="0" t="0" r="0" b="0"/>
            <wp:wrapNone/>
            <wp:docPr id="1733" name="Image 1733"/>
            <wp:cNvGraphicFramePr>
              <a:graphicFrameLocks/>
            </wp:cNvGraphicFramePr>
            <a:graphic>
              <a:graphicData uri="http://schemas.openxmlformats.org/drawingml/2006/picture">
                <pic:pic>
                  <pic:nvPicPr>
                    <pic:cNvPr id="1733" name="Image 1733"/>
                    <pic:cNvPicPr/>
                  </pic:nvPicPr>
                  <pic:blipFill>
                    <a:blip r:embed="rId38" cstate="print"/>
                    <a:stretch>
                      <a:fillRect/>
                    </a:stretch>
                  </pic:blipFill>
                  <pic:spPr>
                    <a:xfrm>
                      <a:off x="0" y="0"/>
                      <a:ext cx="563245" cy="184683"/>
                    </a:xfrm>
                    <a:prstGeom prst="rect">
                      <a:avLst/>
                    </a:prstGeom>
                  </pic:spPr>
                </pic:pic>
              </a:graphicData>
            </a:graphic>
          </wp:anchor>
        </w:drawing>
      </w:r>
      <w:r>
        <w:rPr>
          <w:sz w:val="54"/>
        </w:rPr>
        <mc:AlternateContent>
          <mc:Choice Requires="wps">
            <w:drawing>
              <wp:anchor distT="0" distB="0" distL="0" distR="0" allowOverlap="1" layoutInCell="1" locked="0" behindDoc="0" simplePos="0" relativeHeight="15923200">
                <wp:simplePos x="0" y="0"/>
                <wp:positionH relativeFrom="page">
                  <wp:posOffset>12965593</wp:posOffset>
                </wp:positionH>
                <wp:positionV relativeFrom="paragraph">
                  <wp:posOffset>292608</wp:posOffset>
                </wp:positionV>
                <wp:extent cx="1918970" cy="681990"/>
                <wp:effectExtent l="0" t="0" r="0" b="0"/>
                <wp:wrapNone/>
                <wp:docPr id="1734" name="Group 1734"/>
                <wp:cNvGraphicFramePr>
                  <a:graphicFrameLocks/>
                </wp:cNvGraphicFramePr>
                <a:graphic>
                  <a:graphicData uri="http://schemas.microsoft.com/office/word/2010/wordprocessingGroup">
                    <wpg:wgp>
                      <wpg:cNvPr id="1734" name="Group 1734"/>
                      <wpg:cNvGrpSpPr/>
                      <wpg:grpSpPr>
                        <a:xfrm>
                          <a:off x="0" y="0"/>
                          <a:ext cx="1918970" cy="681990"/>
                          <a:chExt cx="1918970" cy="681990"/>
                        </a:xfrm>
                      </wpg:grpSpPr>
                      <pic:pic>
                        <pic:nvPicPr>
                          <pic:cNvPr id="1735" name="Image 1735"/>
                          <pic:cNvPicPr/>
                        </pic:nvPicPr>
                        <pic:blipFill>
                          <a:blip r:embed="rId241" cstate="print"/>
                          <a:stretch>
                            <a:fillRect/>
                          </a:stretch>
                        </pic:blipFill>
                        <pic:spPr>
                          <a:xfrm>
                            <a:off x="1275703" y="0"/>
                            <a:ext cx="643101" cy="681824"/>
                          </a:xfrm>
                          <a:prstGeom prst="rect">
                            <a:avLst/>
                          </a:prstGeom>
                        </pic:spPr>
                      </pic:pic>
                      <pic:pic>
                        <pic:nvPicPr>
                          <pic:cNvPr id="1736" name="Image 1736"/>
                          <pic:cNvPicPr/>
                        </pic:nvPicPr>
                        <pic:blipFill>
                          <a:blip r:embed="rId242" cstate="print"/>
                          <a:stretch>
                            <a:fillRect/>
                          </a:stretch>
                        </pic:blipFill>
                        <pic:spPr>
                          <a:xfrm>
                            <a:off x="0" y="91440"/>
                            <a:ext cx="1232015" cy="261461"/>
                          </a:xfrm>
                          <a:prstGeom prst="rect">
                            <a:avLst/>
                          </a:prstGeom>
                        </pic:spPr>
                      </pic:pic>
                    </wpg:wgp>
                  </a:graphicData>
                </a:graphic>
              </wp:anchor>
            </w:drawing>
          </mc:Choice>
          <mc:Fallback>
            <w:pict>
              <v:group style="position:absolute;margin-left:1020.912903pt;margin-top:23.040001pt;width:151.1pt;height:53.7pt;mso-position-horizontal-relative:page;mso-position-vertical-relative:paragraph;z-index:15923200" id="docshapegroup1368" coordorigin="20418,461" coordsize="3022,1074">
                <v:shape style="position:absolute;left:22427;top:460;width:1013;height:1074" type="#_x0000_t75" id="docshape1369" stroked="false">
                  <v:imagedata r:id="rId241" o:title=""/>
                </v:shape>
                <v:shape style="position:absolute;left:20418;top:604;width:1941;height:412" type="#_x0000_t75" id="docshape1370" stroked="false">
                  <v:imagedata r:id="rId242" o:title=""/>
                </v:shape>
                <w10:wrap type="none"/>
              </v:group>
            </w:pict>
          </mc:Fallback>
        </mc:AlternateContent>
      </w:r>
      <w:r>
        <w:rPr>
          <w:color w:val="636466"/>
          <w:sz w:val="54"/>
        </w:rPr>
        <w:t>Chemung</w:t>
      </w:r>
      <w:r>
        <w:rPr>
          <w:color w:val="636466"/>
          <w:spacing w:val="62"/>
          <w:sz w:val="54"/>
        </w:rPr>
        <w:t> </w:t>
      </w:r>
      <w:r>
        <w:rPr>
          <w:color w:val="636466"/>
          <w:sz w:val="54"/>
        </w:rPr>
        <w:t>County</w:t>
      </w:r>
      <w:r>
        <w:rPr>
          <w:color w:val="636466"/>
          <w:spacing w:val="62"/>
          <w:sz w:val="54"/>
        </w:rPr>
        <w:t> </w:t>
      </w:r>
      <w:r>
        <w:rPr>
          <w:color w:val="636466"/>
          <w:sz w:val="54"/>
        </w:rPr>
        <w:t>Appendix</w:t>
      </w:r>
      <w:r>
        <w:rPr>
          <w:color w:val="636466"/>
          <w:spacing w:val="63"/>
          <w:sz w:val="54"/>
        </w:rPr>
        <w:t> </w:t>
      </w:r>
      <w:r>
        <w:rPr>
          <w:color w:val="636466"/>
          <w:spacing w:val="-10"/>
          <w:sz w:val="54"/>
        </w:rPr>
        <w:t>A</w:t>
      </w:r>
    </w:p>
    <w:p>
      <w:pPr>
        <w:spacing w:before="235"/>
        <w:ind w:left="1089" w:right="0" w:firstLine="0"/>
        <w:jc w:val="left"/>
        <w:rPr>
          <w:b/>
          <w:sz w:val="32"/>
        </w:rPr>
      </w:pPr>
      <w:r>
        <w:rPr>
          <w:b/>
          <w:color w:val="82BF6A"/>
          <w:spacing w:val="-8"/>
          <w:sz w:val="32"/>
        </w:rPr>
        <w:t>PRIORITY:</w:t>
      </w:r>
      <w:r>
        <w:rPr>
          <w:b/>
          <w:color w:val="82BF6A"/>
          <w:spacing w:val="-13"/>
          <w:sz w:val="32"/>
        </w:rPr>
        <w:t> </w:t>
      </w:r>
      <w:r>
        <w:rPr>
          <w:b/>
          <w:color w:val="82BF6A"/>
          <w:spacing w:val="-8"/>
          <w:sz w:val="32"/>
        </w:rPr>
        <w:t>PREVENT</w:t>
      </w:r>
      <w:r>
        <w:rPr>
          <w:b/>
          <w:color w:val="82BF6A"/>
          <w:spacing w:val="-13"/>
          <w:sz w:val="32"/>
        </w:rPr>
        <w:t> </w:t>
      </w:r>
      <w:r>
        <w:rPr>
          <w:b/>
          <w:color w:val="82BF6A"/>
          <w:spacing w:val="-8"/>
          <w:sz w:val="32"/>
        </w:rPr>
        <w:t>CHRONIC</w:t>
      </w:r>
      <w:r>
        <w:rPr>
          <w:b/>
          <w:color w:val="82BF6A"/>
          <w:spacing w:val="-12"/>
          <w:sz w:val="32"/>
        </w:rPr>
        <w:t> </w:t>
      </w:r>
      <w:r>
        <w:rPr>
          <w:b/>
          <w:color w:val="82BF6A"/>
          <w:spacing w:val="-8"/>
          <w:sz w:val="32"/>
        </w:rPr>
        <w:t>DISEASES,</w:t>
      </w:r>
      <w:r>
        <w:rPr>
          <w:b/>
          <w:color w:val="82BF6A"/>
          <w:spacing w:val="-13"/>
          <w:sz w:val="32"/>
        </w:rPr>
        <w:t> </w:t>
      </w:r>
      <w:r>
        <w:rPr>
          <w:b/>
          <w:color w:val="82BF6A"/>
          <w:spacing w:val="-8"/>
          <w:sz w:val="32"/>
        </w:rPr>
        <w:t>PHYSICAL</w:t>
      </w:r>
      <w:r>
        <w:rPr>
          <w:b/>
          <w:color w:val="82BF6A"/>
          <w:spacing w:val="-13"/>
          <w:sz w:val="32"/>
        </w:rPr>
        <w:t> </w:t>
      </w:r>
      <w:r>
        <w:rPr>
          <w:b/>
          <w:color w:val="82BF6A"/>
          <w:spacing w:val="-8"/>
          <w:sz w:val="32"/>
        </w:rPr>
        <w:t>ACTIVITY</w:t>
      </w:r>
    </w:p>
    <w:p>
      <w:pPr>
        <w:pStyle w:val="BodyText"/>
        <w:spacing w:before="8"/>
        <w:rPr>
          <w:b/>
          <w:sz w:val="16"/>
        </w:rPr>
      </w:pPr>
    </w:p>
    <w:tbl>
      <w:tblPr>
        <w:tblW w:w="0" w:type="auto"/>
        <w:jc w:val="left"/>
        <w:tblInd w:w="1099"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1008"/>
        <w:gridCol w:w="1152"/>
        <w:gridCol w:w="1382"/>
        <w:gridCol w:w="1411"/>
        <w:gridCol w:w="1152"/>
        <w:gridCol w:w="1901"/>
        <w:gridCol w:w="3270"/>
        <w:gridCol w:w="3894"/>
        <w:gridCol w:w="1843"/>
        <w:gridCol w:w="1843"/>
        <w:gridCol w:w="1670"/>
        <w:gridCol w:w="1751"/>
      </w:tblGrid>
      <w:tr>
        <w:trPr>
          <w:trHeight w:val="990" w:hRule="atLeast"/>
        </w:trPr>
        <w:tc>
          <w:tcPr>
            <w:tcW w:w="1008" w:type="dxa"/>
            <w:tcBorders>
              <w:right w:val="single" w:sz="4" w:space="0" w:color="FFFFFF"/>
            </w:tcBorders>
            <w:shd w:val="clear" w:color="auto" w:fill="A7A9AC"/>
          </w:tcPr>
          <w:p>
            <w:pPr>
              <w:pStyle w:val="TableParagraph"/>
              <w:spacing w:before="177"/>
              <w:rPr>
                <w:b/>
                <w:sz w:val="20"/>
              </w:rPr>
            </w:pPr>
          </w:p>
          <w:p>
            <w:pPr>
              <w:pStyle w:val="TableParagraph"/>
              <w:ind w:left="80"/>
              <w:rPr>
                <w:b/>
                <w:sz w:val="20"/>
              </w:rPr>
            </w:pPr>
            <w:r>
              <w:rPr>
                <w:b/>
                <w:color w:val="FFFFFF"/>
                <w:spacing w:val="-2"/>
                <w:sz w:val="20"/>
              </w:rPr>
              <w:t>Priority</w:t>
            </w:r>
          </w:p>
        </w:tc>
        <w:tc>
          <w:tcPr>
            <w:tcW w:w="1152" w:type="dxa"/>
            <w:tcBorders>
              <w:left w:val="single" w:sz="4" w:space="0" w:color="FFFFFF"/>
              <w:right w:val="single" w:sz="4" w:space="0" w:color="FFFFFF"/>
            </w:tcBorders>
            <w:shd w:val="clear" w:color="auto" w:fill="A7A9AC"/>
          </w:tcPr>
          <w:p>
            <w:pPr>
              <w:pStyle w:val="TableParagraph"/>
              <w:spacing w:before="74"/>
              <w:rPr>
                <w:b/>
                <w:sz w:val="20"/>
              </w:rPr>
            </w:pPr>
          </w:p>
          <w:p>
            <w:pPr>
              <w:pStyle w:val="TableParagraph"/>
              <w:spacing w:line="230" w:lineRule="auto" w:before="1"/>
              <w:ind w:left="79" w:right="522"/>
              <w:rPr>
                <w:b/>
                <w:sz w:val="20"/>
              </w:rPr>
            </w:pPr>
            <w:r>
              <w:rPr>
                <w:b/>
                <w:color w:val="FFFFFF"/>
                <w:spacing w:val="-2"/>
                <w:w w:val="90"/>
                <w:sz w:val="20"/>
              </w:rPr>
              <w:t>Focus </w:t>
            </w:r>
            <w:r>
              <w:rPr>
                <w:b/>
                <w:color w:val="FFFFFF"/>
                <w:spacing w:val="-4"/>
                <w:sz w:val="20"/>
              </w:rPr>
              <w:t>Area</w:t>
            </w:r>
          </w:p>
        </w:tc>
        <w:tc>
          <w:tcPr>
            <w:tcW w:w="1382" w:type="dxa"/>
            <w:tcBorders>
              <w:left w:val="single" w:sz="4" w:space="0" w:color="FFFFFF"/>
              <w:right w:val="single" w:sz="4" w:space="0" w:color="FFFFFF"/>
            </w:tcBorders>
            <w:shd w:val="clear" w:color="auto" w:fill="A7A9AC"/>
          </w:tcPr>
          <w:p>
            <w:pPr>
              <w:pStyle w:val="TableParagraph"/>
              <w:spacing w:before="74"/>
              <w:rPr>
                <w:b/>
                <w:sz w:val="20"/>
              </w:rPr>
            </w:pPr>
          </w:p>
          <w:p>
            <w:pPr>
              <w:pStyle w:val="TableParagraph"/>
              <w:spacing w:line="230" w:lineRule="auto" w:before="1"/>
              <w:ind w:left="79" w:right="134"/>
              <w:rPr>
                <w:b/>
                <w:sz w:val="20"/>
              </w:rPr>
            </w:pPr>
            <w:r>
              <w:rPr>
                <w:b/>
                <w:color w:val="FFFFFF"/>
                <w:spacing w:val="-8"/>
                <w:sz w:val="20"/>
              </w:rPr>
              <w:t>Goal</w:t>
            </w:r>
            <w:r>
              <w:rPr>
                <w:b/>
                <w:color w:val="FFFFFF"/>
                <w:spacing w:val="-6"/>
                <w:sz w:val="20"/>
              </w:rPr>
              <w:t> </w:t>
            </w:r>
            <w:r>
              <w:rPr>
                <w:b/>
                <w:color w:val="FFFFFF"/>
                <w:spacing w:val="-8"/>
                <w:sz w:val="20"/>
              </w:rPr>
              <w:t>Focus </w:t>
            </w:r>
            <w:r>
              <w:rPr>
                <w:b/>
                <w:color w:val="FFFFFF"/>
                <w:spacing w:val="-4"/>
                <w:sz w:val="20"/>
              </w:rPr>
              <w:t>Area</w:t>
            </w:r>
          </w:p>
        </w:tc>
        <w:tc>
          <w:tcPr>
            <w:tcW w:w="1411" w:type="dxa"/>
            <w:tcBorders>
              <w:left w:val="single" w:sz="4" w:space="0" w:color="FFFFFF"/>
              <w:right w:val="single" w:sz="4" w:space="0" w:color="FFFFFF"/>
            </w:tcBorders>
            <w:shd w:val="clear" w:color="auto" w:fill="A7A9AC"/>
          </w:tcPr>
          <w:p>
            <w:pPr>
              <w:pStyle w:val="TableParagraph"/>
              <w:spacing w:before="177"/>
              <w:rPr>
                <w:b/>
                <w:sz w:val="20"/>
              </w:rPr>
            </w:pPr>
          </w:p>
          <w:p>
            <w:pPr>
              <w:pStyle w:val="TableParagraph"/>
              <w:ind w:left="80"/>
              <w:rPr>
                <w:b/>
                <w:sz w:val="20"/>
              </w:rPr>
            </w:pPr>
            <w:r>
              <w:rPr>
                <w:b/>
                <w:color w:val="FFFFFF"/>
                <w:spacing w:val="-2"/>
                <w:sz w:val="20"/>
              </w:rPr>
              <w:t>Objectives</w:t>
            </w:r>
          </w:p>
        </w:tc>
        <w:tc>
          <w:tcPr>
            <w:tcW w:w="1152" w:type="dxa"/>
            <w:tcBorders>
              <w:left w:val="single" w:sz="4" w:space="0" w:color="FFFFFF"/>
              <w:right w:val="single" w:sz="4" w:space="0" w:color="FFFFFF"/>
            </w:tcBorders>
            <w:shd w:val="clear" w:color="auto" w:fill="A7A9AC"/>
          </w:tcPr>
          <w:p>
            <w:pPr>
              <w:pStyle w:val="TableParagraph"/>
              <w:spacing w:before="177"/>
              <w:rPr>
                <w:b/>
                <w:sz w:val="20"/>
              </w:rPr>
            </w:pPr>
          </w:p>
          <w:p>
            <w:pPr>
              <w:pStyle w:val="TableParagraph"/>
              <w:ind w:left="80"/>
              <w:rPr>
                <w:b/>
                <w:sz w:val="20"/>
              </w:rPr>
            </w:pPr>
            <w:r>
              <w:rPr>
                <w:b/>
                <w:color w:val="FFFFFF"/>
                <w:spacing w:val="-2"/>
                <w:sz w:val="20"/>
              </w:rPr>
              <w:t>Disparities</w:t>
            </w:r>
          </w:p>
        </w:tc>
        <w:tc>
          <w:tcPr>
            <w:tcW w:w="1901" w:type="dxa"/>
            <w:tcBorders>
              <w:left w:val="single" w:sz="4" w:space="0" w:color="FFFFFF"/>
              <w:right w:val="single" w:sz="4" w:space="0" w:color="FFFFFF"/>
            </w:tcBorders>
            <w:shd w:val="clear" w:color="auto" w:fill="A7A9AC"/>
          </w:tcPr>
          <w:p>
            <w:pPr>
              <w:pStyle w:val="TableParagraph"/>
              <w:spacing w:before="177"/>
              <w:rPr>
                <w:b/>
                <w:sz w:val="20"/>
              </w:rPr>
            </w:pPr>
          </w:p>
          <w:p>
            <w:pPr>
              <w:pStyle w:val="TableParagraph"/>
              <w:ind w:left="80"/>
              <w:rPr>
                <w:b/>
                <w:sz w:val="20"/>
              </w:rPr>
            </w:pPr>
            <w:r>
              <w:rPr>
                <w:b/>
                <w:color w:val="FFFFFF"/>
                <w:spacing w:val="-2"/>
                <w:sz w:val="20"/>
              </w:rPr>
              <w:t>Interventions</w:t>
            </w:r>
          </w:p>
        </w:tc>
        <w:tc>
          <w:tcPr>
            <w:tcW w:w="3270" w:type="dxa"/>
            <w:tcBorders>
              <w:left w:val="single" w:sz="4" w:space="0" w:color="FFFFFF"/>
              <w:right w:val="nil"/>
            </w:tcBorders>
            <w:shd w:val="clear" w:color="auto" w:fill="A7A9AC"/>
          </w:tcPr>
          <w:p>
            <w:pPr>
              <w:pStyle w:val="TableParagraph"/>
              <w:spacing w:before="177"/>
              <w:rPr>
                <w:b/>
                <w:sz w:val="20"/>
              </w:rPr>
            </w:pPr>
          </w:p>
          <w:p>
            <w:pPr>
              <w:pStyle w:val="TableParagraph"/>
              <w:ind w:left="90"/>
              <w:rPr>
                <w:b/>
                <w:sz w:val="20"/>
              </w:rPr>
            </w:pPr>
            <w:r>
              <w:rPr>
                <w:b/>
                <w:color w:val="FFFFFF"/>
                <w:sz w:val="20"/>
              </w:rPr>
              <w:t>Family</w:t>
            </w:r>
            <w:r>
              <w:rPr>
                <w:b/>
                <w:color w:val="FFFFFF"/>
                <w:spacing w:val="-12"/>
                <w:sz w:val="20"/>
              </w:rPr>
              <w:t> </w:t>
            </w:r>
            <w:r>
              <w:rPr>
                <w:b/>
                <w:color w:val="FFFFFF"/>
                <w:sz w:val="20"/>
              </w:rPr>
              <w:t>of</w:t>
            </w:r>
            <w:r>
              <w:rPr>
                <w:b/>
                <w:color w:val="FFFFFF"/>
                <w:spacing w:val="-12"/>
                <w:sz w:val="20"/>
              </w:rPr>
              <w:t> </w:t>
            </w:r>
            <w:r>
              <w:rPr>
                <w:b/>
                <w:color w:val="FFFFFF"/>
                <w:spacing w:val="-2"/>
                <w:sz w:val="20"/>
              </w:rPr>
              <w:t>Measures</w:t>
            </w:r>
          </w:p>
        </w:tc>
        <w:tc>
          <w:tcPr>
            <w:tcW w:w="3894" w:type="dxa"/>
            <w:tcBorders>
              <w:left w:val="nil"/>
              <w:right w:val="single" w:sz="4" w:space="0" w:color="FFFFFF"/>
            </w:tcBorders>
            <w:shd w:val="clear" w:color="auto" w:fill="A7A9AC"/>
          </w:tcPr>
          <w:p>
            <w:pPr>
              <w:pStyle w:val="TableParagraph"/>
              <w:spacing w:before="74"/>
              <w:rPr>
                <w:b/>
                <w:sz w:val="20"/>
              </w:rPr>
            </w:pPr>
          </w:p>
          <w:p>
            <w:pPr>
              <w:pStyle w:val="TableParagraph"/>
              <w:spacing w:line="230" w:lineRule="auto" w:before="1"/>
              <w:ind w:left="954" w:right="587"/>
              <w:rPr>
                <w:b/>
                <w:sz w:val="20"/>
              </w:rPr>
            </w:pPr>
            <w:r>
              <w:rPr>
                <w:b/>
                <w:color w:val="FFFFFF"/>
                <w:sz w:val="20"/>
              </w:rPr>
              <w:t>Projected</w:t>
            </w:r>
            <w:r>
              <w:rPr>
                <w:b/>
                <w:color w:val="FFFFFF"/>
                <w:spacing w:val="-14"/>
                <w:sz w:val="20"/>
              </w:rPr>
              <w:t> </w:t>
            </w:r>
            <w:r>
              <w:rPr>
                <w:b/>
                <w:color w:val="FFFFFF"/>
                <w:sz w:val="20"/>
              </w:rPr>
              <w:t>(or</w:t>
            </w:r>
            <w:r>
              <w:rPr>
                <w:b/>
                <w:color w:val="FFFFFF"/>
                <w:spacing w:val="-14"/>
                <w:sz w:val="20"/>
              </w:rPr>
              <w:t> </w:t>
            </w:r>
            <w:r>
              <w:rPr>
                <w:b/>
                <w:color w:val="FFFFFF"/>
                <w:sz w:val="20"/>
              </w:rPr>
              <w:t>completed) Year 1 Intervention</w:t>
            </w:r>
          </w:p>
        </w:tc>
        <w:tc>
          <w:tcPr>
            <w:tcW w:w="1843" w:type="dxa"/>
            <w:tcBorders>
              <w:left w:val="single" w:sz="4" w:space="0" w:color="FFFFFF"/>
              <w:right w:val="single" w:sz="4" w:space="0" w:color="FFFFFF"/>
            </w:tcBorders>
            <w:shd w:val="clear" w:color="auto" w:fill="A7A9AC"/>
          </w:tcPr>
          <w:p>
            <w:pPr>
              <w:pStyle w:val="TableParagraph"/>
              <w:spacing w:before="177"/>
              <w:rPr>
                <w:b/>
                <w:sz w:val="20"/>
              </w:rPr>
            </w:pPr>
          </w:p>
          <w:p>
            <w:pPr>
              <w:pStyle w:val="TableParagraph"/>
              <w:ind w:right="126"/>
              <w:jc w:val="center"/>
              <w:rPr>
                <w:b/>
                <w:sz w:val="20"/>
              </w:rPr>
            </w:pPr>
            <w:r>
              <w:rPr>
                <w:b/>
                <w:color w:val="FFFFFF"/>
                <w:spacing w:val="-2"/>
                <w:sz w:val="20"/>
              </w:rPr>
              <w:t>Projected</w:t>
            </w:r>
            <w:r>
              <w:rPr>
                <w:b/>
                <w:color w:val="FFFFFF"/>
                <w:spacing w:val="-8"/>
                <w:sz w:val="20"/>
              </w:rPr>
              <w:t> </w:t>
            </w:r>
            <w:r>
              <w:rPr>
                <w:b/>
                <w:color w:val="FFFFFF"/>
                <w:spacing w:val="-2"/>
                <w:sz w:val="20"/>
              </w:rPr>
              <w:t>Year</w:t>
            </w:r>
            <w:r>
              <w:rPr>
                <w:b/>
                <w:color w:val="FFFFFF"/>
                <w:spacing w:val="-7"/>
                <w:sz w:val="20"/>
              </w:rPr>
              <w:t> </w:t>
            </w:r>
            <w:r>
              <w:rPr>
                <w:b/>
                <w:color w:val="FFFFFF"/>
                <w:spacing w:val="-10"/>
                <w:sz w:val="20"/>
              </w:rPr>
              <w:t>2</w:t>
            </w:r>
          </w:p>
        </w:tc>
        <w:tc>
          <w:tcPr>
            <w:tcW w:w="1843" w:type="dxa"/>
            <w:tcBorders>
              <w:left w:val="single" w:sz="4" w:space="0" w:color="FFFFFF"/>
              <w:right w:val="single" w:sz="4" w:space="0" w:color="FFFFFF"/>
            </w:tcBorders>
            <w:shd w:val="clear" w:color="auto" w:fill="A7A9AC"/>
          </w:tcPr>
          <w:p>
            <w:pPr>
              <w:pStyle w:val="TableParagraph"/>
              <w:spacing w:before="74"/>
              <w:rPr>
                <w:b/>
                <w:sz w:val="20"/>
              </w:rPr>
            </w:pPr>
          </w:p>
          <w:p>
            <w:pPr>
              <w:pStyle w:val="TableParagraph"/>
              <w:spacing w:line="230" w:lineRule="auto" w:before="1"/>
              <w:ind w:left="80" w:right="197"/>
              <w:rPr>
                <w:b/>
                <w:sz w:val="20"/>
              </w:rPr>
            </w:pPr>
            <w:r>
              <w:rPr>
                <w:b/>
                <w:color w:val="FFFFFF"/>
                <w:spacing w:val="-2"/>
                <w:sz w:val="20"/>
              </w:rPr>
              <w:t>Projected</w:t>
            </w:r>
            <w:r>
              <w:rPr>
                <w:b/>
                <w:color w:val="FFFFFF"/>
                <w:spacing w:val="-12"/>
                <w:sz w:val="20"/>
              </w:rPr>
              <w:t> </w:t>
            </w:r>
            <w:r>
              <w:rPr>
                <w:b/>
                <w:color w:val="FFFFFF"/>
                <w:spacing w:val="-2"/>
                <w:sz w:val="20"/>
              </w:rPr>
              <w:t>Year</w:t>
            </w:r>
            <w:r>
              <w:rPr>
                <w:b/>
                <w:color w:val="FFFFFF"/>
                <w:spacing w:val="-12"/>
                <w:sz w:val="20"/>
              </w:rPr>
              <w:t> </w:t>
            </w:r>
            <w:r>
              <w:rPr>
                <w:b/>
                <w:color w:val="FFFFFF"/>
                <w:spacing w:val="-2"/>
                <w:sz w:val="20"/>
              </w:rPr>
              <w:t>3 Interventions</w:t>
            </w:r>
          </w:p>
        </w:tc>
        <w:tc>
          <w:tcPr>
            <w:tcW w:w="1670" w:type="dxa"/>
            <w:tcBorders>
              <w:left w:val="single" w:sz="4" w:space="0" w:color="FFFFFF"/>
            </w:tcBorders>
            <w:shd w:val="clear" w:color="auto" w:fill="A7A9AC"/>
          </w:tcPr>
          <w:p>
            <w:pPr>
              <w:pStyle w:val="TableParagraph"/>
              <w:spacing w:before="74"/>
              <w:rPr>
                <w:b/>
                <w:sz w:val="20"/>
              </w:rPr>
            </w:pPr>
          </w:p>
          <w:p>
            <w:pPr>
              <w:pStyle w:val="TableParagraph"/>
              <w:spacing w:line="230" w:lineRule="auto" w:before="1"/>
              <w:ind w:left="80"/>
              <w:rPr>
                <w:b/>
                <w:sz w:val="20"/>
              </w:rPr>
            </w:pPr>
            <w:r>
              <w:rPr>
                <w:b/>
                <w:color w:val="FFFFFF"/>
                <w:spacing w:val="-2"/>
                <w:sz w:val="20"/>
              </w:rPr>
              <w:t>Implementation Partner</w:t>
            </w:r>
          </w:p>
        </w:tc>
        <w:tc>
          <w:tcPr>
            <w:tcW w:w="1751" w:type="dxa"/>
            <w:shd w:val="clear" w:color="auto" w:fill="A7A9AC"/>
          </w:tcPr>
          <w:p>
            <w:pPr>
              <w:pStyle w:val="TableParagraph"/>
              <w:spacing w:before="74"/>
              <w:rPr>
                <w:b/>
                <w:sz w:val="20"/>
              </w:rPr>
            </w:pPr>
          </w:p>
          <w:p>
            <w:pPr>
              <w:pStyle w:val="TableParagraph"/>
              <w:spacing w:line="230" w:lineRule="auto" w:before="1"/>
              <w:ind w:left="80"/>
              <w:rPr>
                <w:b/>
                <w:sz w:val="20"/>
              </w:rPr>
            </w:pPr>
            <w:r>
              <w:rPr>
                <w:b/>
                <w:color w:val="FFFFFF"/>
                <w:spacing w:val="-6"/>
                <w:sz w:val="20"/>
              </w:rPr>
              <w:t>Partner</w:t>
            </w:r>
            <w:r>
              <w:rPr>
                <w:b/>
                <w:color w:val="FFFFFF"/>
                <w:spacing w:val="-8"/>
                <w:sz w:val="20"/>
              </w:rPr>
              <w:t> </w:t>
            </w:r>
            <w:r>
              <w:rPr>
                <w:b/>
                <w:color w:val="FFFFFF"/>
                <w:spacing w:val="-6"/>
                <w:sz w:val="20"/>
              </w:rPr>
              <w:t>Role(s) </w:t>
            </w:r>
            <w:r>
              <w:rPr>
                <w:b/>
                <w:color w:val="FFFFFF"/>
                <w:sz w:val="20"/>
              </w:rPr>
              <w:t>and</w:t>
            </w:r>
            <w:r>
              <w:rPr>
                <w:b/>
                <w:color w:val="FFFFFF"/>
                <w:spacing w:val="-8"/>
                <w:sz w:val="20"/>
              </w:rPr>
              <w:t> Resources</w:t>
            </w:r>
          </w:p>
        </w:tc>
      </w:tr>
      <w:tr>
        <w:trPr>
          <w:trHeight w:val="2240" w:hRule="atLeast"/>
        </w:trPr>
        <w:tc>
          <w:tcPr>
            <w:tcW w:w="1008" w:type="dxa"/>
            <w:vMerge w:val="restart"/>
            <w:shd w:val="clear" w:color="auto" w:fill="E6E7E8"/>
          </w:tcPr>
          <w:p>
            <w:pPr>
              <w:pStyle w:val="TableParagraph"/>
              <w:spacing w:line="232" w:lineRule="auto" w:before="101"/>
              <w:ind w:left="90" w:right="191"/>
              <w:jc w:val="both"/>
              <w:rPr>
                <w:sz w:val="18"/>
              </w:rPr>
            </w:pPr>
            <w:r>
              <w:rPr>
                <w:color w:val="105C84"/>
                <w:spacing w:val="-2"/>
                <w:sz w:val="18"/>
              </w:rPr>
              <w:t>Prevent Chronic </w:t>
            </w:r>
            <w:r>
              <w:rPr>
                <w:color w:val="105C84"/>
                <w:spacing w:val="-6"/>
                <w:sz w:val="18"/>
              </w:rPr>
              <w:t>Diseases</w:t>
            </w:r>
          </w:p>
        </w:tc>
        <w:tc>
          <w:tcPr>
            <w:tcW w:w="1152" w:type="dxa"/>
            <w:vMerge w:val="restart"/>
          </w:tcPr>
          <w:p>
            <w:pPr>
              <w:pStyle w:val="TableParagraph"/>
              <w:spacing w:line="232" w:lineRule="auto" w:before="101"/>
              <w:ind w:left="89" w:right="157"/>
              <w:rPr>
                <w:sz w:val="18"/>
              </w:rPr>
            </w:pPr>
            <w:r>
              <w:rPr>
                <w:color w:val="105C84"/>
                <w:spacing w:val="-4"/>
                <w:sz w:val="18"/>
              </w:rPr>
              <w:t>Focus</w:t>
            </w:r>
            <w:r>
              <w:rPr>
                <w:color w:val="105C84"/>
                <w:spacing w:val="-9"/>
                <w:sz w:val="18"/>
              </w:rPr>
              <w:t> </w:t>
            </w:r>
            <w:r>
              <w:rPr>
                <w:color w:val="105C84"/>
                <w:spacing w:val="-4"/>
                <w:sz w:val="18"/>
              </w:rPr>
              <w:t>Area </w:t>
            </w:r>
            <w:r>
              <w:rPr>
                <w:color w:val="105C84"/>
                <w:sz w:val="18"/>
              </w:rPr>
              <w:t>2:</w:t>
            </w:r>
            <w:r>
              <w:rPr>
                <w:color w:val="105C84"/>
                <w:spacing w:val="-13"/>
                <w:sz w:val="18"/>
              </w:rPr>
              <w:t> </w:t>
            </w:r>
            <w:r>
              <w:rPr>
                <w:color w:val="105C84"/>
                <w:sz w:val="18"/>
              </w:rPr>
              <w:t>Physical </w:t>
            </w:r>
            <w:r>
              <w:rPr>
                <w:color w:val="105C84"/>
                <w:spacing w:val="-2"/>
                <w:sz w:val="18"/>
              </w:rPr>
              <w:t>activity</w:t>
            </w:r>
          </w:p>
        </w:tc>
        <w:tc>
          <w:tcPr>
            <w:tcW w:w="1382" w:type="dxa"/>
            <w:vMerge w:val="restart"/>
          </w:tcPr>
          <w:p>
            <w:pPr>
              <w:pStyle w:val="TableParagraph"/>
              <w:spacing w:line="232" w:lineRule="auto" w:before="101"/>
              <w:ind w:left="89" w:right="134"/>
              <w:rPr>
                <w:sz w:val="18"/>
              </w:rPr>
            </w:pPr>
            <w:r>
              <w:rPr>
                <w:color w:val="105C84"/>
                <w:sz w:val="18"/>
              </w:rPr>
              <w:t>Goal 2.2: </w:t>
            </w:r>
            <w:r>
              <w:rPr>
                <w:color w:val="105C84"/>
                <w:spacing w:val="-2"/>
                <w:sz w:val="18"/>
              </w:rPr>
              <w:t>Promote </w:t>
            </w:r>
            <w:r>
              <w:rPr>
                <w:color w:val="105C84"/>
                <w:sz w:val="18"/>
              </w:rPr>
              <w:t>school, child care and </w:t>
            </w:r>
            <w:r>
              <w:rPr>
                <w:color w:val="105C84"/>
                <w:spacing w:val="-2"/>
                <w:sz w:val="18"/>
              </w:rPr>
              <w:t>worksite environments </w:t>
            </w:r>
            <w:r>
              <w:rPr>
                <w:color w:val="105C84"/>
                <w:sz w:val="18"/>
              </w:rPr>
              <w:t>that increase </w:t>
            </w:r>
            <w:r>
              <w:rPr>
                <w:color w:val="105C84"/>
                <w:spacing w:val="-2"/>
                <w:sz w:val="18"/>
              </w:rPr>
              <w:t>physical activity</w:t>
            </w:r>
          </w:p>
        </w:tc>
        <w:tc>
          <w:tcPr>
            <w:tcW w:w="1411" w:type="dxa"/>
          </w:tcPr>
          <w:p>
            <w:pPr>
              <w:pStyle w:val="TableParagraph"/>
              <w:spacing w:line="232" w:lineRule="auto" w:before="101"/>
              <w:ind w:left="90" w:right="204"/>
              <w:rPr>
                <w:sz w:val="18"/>
              </w:rPr>
            </w:pPr>
            <w:r>
              <w:rPr>
                <w:color w:val="105C84"/>
                <w:sz w:val="18"/>
              </w:rPr>
              <w:t>Objective</w:t>
            </w:r>
            <w:r>
              <w:rPr>
                <w:color w:val="105C84"/>
                <w:spacing w:val="-13"/>
                <w:sz w:val="18"/>
              </w:rPr>
              <w:t> </w:t>
            </w:r>
            <w:r>
              <w:rPr>
                <w:color w:val="105C84"/>
                <w:sz w:val="18"/>
              </w:rPr>
              <w:t>1.1: Decrease</w:t>
            </w:r>
            <w:r>
              <w:rPr>
                <w:color w:val="105C84"/>
                <w:spacing w:val="-4"/>
                <w:sz w:val="18"/>
              </w:rPr>
              <w:t> </w:t>
            </w:r>
            <w:r>
              <w:rPr>
                <w:color w:val="105C84"/>
                <w:sz w:val="18"/>
              </w:rPr>
              <w:t>the </w:t>
            </w:r>
            <w:r>
              <w:rPr>
                <w:color w:val="105C84"/>
                <w:spacing w:val="-2"/>
                <w:sz w:val="18"/>
              </w:rPr>
              <w:t>percentage</w:t>
            </w:r>
            <w:r>
              <w:rPr>
                <w:color w:val="105C84"/>
                <w:spacing w:val="80"/>
                <w:sz w:val="18"/>
              </w:rPr>
              <w:t> </w:t>
            </w:r>
            <w:r>
              <w:rPr>
                <w:color w:val="105C84"/>
                <w:sz w:val="18"/>
              </w:rPr>
              <w:t>of children with obesity (among WIC children</w:t>
            </w:r>
            <w:r>
              <w:rPr>
                <w:color w:val="105C84"/>
                <w:spacing w:val="-4"/>
                <w:sz w:val="18"/>
              </w:rPr>
              <w:t> </w:t>
            </w:r>
            <w:r>
              <w:rPr>
                <w:color w:val="105C84"/>
                <w:sz w:val="18"/>
              </w:rPr>
              <w:t>ages 2-4 years)</w:t>
            </w:r>
          </w:p>
        </w:tc>
        <w:tc>
          <w:tcPr>
            <w:tcW w:w="1152" w:type="dxa"/>
          </w:tcPr>
          <w:p>
            <w:pPr>
              <w:pStyle w:val="TableParagraph"/>
              <w:rPr>
                <w:rFonts w:ascii="Times New Roman"/>
                <w:sz w:val="18"/>
              </w:rPr>
            </w:pPr>
          </w:p>
        </w:tc>
        <w:tc>
          <w:tcPr>
            <w:tcW w:w="1901" w:type="dxa"/>
          </w:tcPr>
          <w:p>
            <w:pPr>
              <w:pStyle w:val="TableParagraph"/>
              <w:spacing w:line="232" w:lineRule="auto" w:before="101"/>
              <w:ind w:left="90" w:right="270"/>
              <w:rPr>
                <w:sz w:val="18"/>
              </w:rPr>
            </w:pPr>
            <w:r>
              <w:rPr>
                <w:color w:val="105C84"/>
                <w:sz w:val="18"/>
              </w:rPr>
              <w:t>2.2 Promote school, child care and worksite environments</w:t>
            </w:r>
            <w:r>
              <w:rPr>
                <w:color w:val="105C84"/>
                <w:spacing w:val="-13"/>
                <w:sz w:val="18"/>
              </w:rPr>
              <w:t> </w:t>
            </w:r>
            <w:r>
              <w:rPr>
                <w:color w:val="105C84"/>
                <w:sz w:val="18"/>
              </w:rPr>
              <w:t>that</w:t>
            </w:r>
            <w:r>
              <w:rPr>
                <w:color w:val="105C84"/>
                <w:sz w:val="18"/>
              </w:rPr>
              <w:t> increase physical </w:t>
            </w:r>
            <w:r>
              <w:rPr>
                <w:color w:val="105C84"/>
                <w:spacing w:val="-2"/>
                <w:sz w:val="18"/>
              </w:rPr>
              <w:t>activity</w:t>
            </w:r>
          </w:p>
        </w:tc>
        <w:tc>
          <w:tcPr>
            <w:tcW w:w="3270" w:type="dxa"/>
            <w:tcBorders>
              <w:right w:val="nil"/>
            </w:tcBorders>
          </w:tcPr>
          <w:p>
            <w:pPr>
              <w:pStyle w:val="TableParagraph"/>
              <w:spacing w:line="232" w:lineRule="auto" w:before="100"/>
              <w:ind w:left="90" w:right="1065"/>
              <w:rPr>
                <w:sz w:val="18"/>
              </w:rPr>
            </w:pPr>
            <w:r>
              <w:rPr>
                <w:color w:val="105C84"/>
                <w:sz w:val="18"/>
              </w:rPr>
              <w:t>WIC</w:t>
            </w:r>
            <w:r>
              <w:rPr>
                <w:color w:val="105C84"/>
                <w:spacing w:val="40"/>
                <w:sz w:val="18"/>
              </w:rPr>
              <w:t> </w:t>
            </w:r>
            <w:r>
              <w:rPr>
                <w:color w:val="105C84"/>
                <w:sz w:val="18"/>
              </w:rPr>
              <w:t>- Decrease the percentage of TV and Screen</w:t>
            </w:r>
            <w:r>
              <w:rPr>
                <w:color w:val="105C84"/>
                <w:spacing w:val="-13"/>
                <w:sz w:val="18"/>
              </w:rPr>
              <w:t> </w:t>
            </w:r>
            <w:r>
              <w:rPr>
                <w:color w:val="105C84"/>
                <w:sz w:val="18"/>
              </w:rPr>
              <w:t>Time</w:t>
            </w:r>
            <w:r>
              <w:rPr>
                <w:color w:val="105C84"/>
                <w:spacing w:val="-12"/>
                <w:sz w:val="18"/>
              </w:rPr>
              <w:t> </w:t>
            </w:r>
            <w:r>
              <w:rPr>
                <w:color w:val="105C84"/>
                <w:sz w:val="18"/>
              </w:rPr>
              <w:t>to</w:t>
            </w:r>
            <w:r>
              <w:rPr>
                <w:color w:val="105C84"/>
                <w:spacing w:val="-13"/>
                <w:sz w:val="18"/>
              </w:rPr>
              <w:t> </w:t>
            </w:r>
            <w:r>
              <w:rPr>
                <w:color w:val="105C84"/>
                <w:sz w:val="18"/>
              </w:rPr>
              <w:t>less</w:t>
            </w:r>
            <w:r>
              <w:rPr>
                <w:color w:val="105C84"/>
                <w:spacing w:val="-12"/>
                <w:sz w:val="18"/>
              </w:rPr>
              <w:t> </w:t>
            </w:r>
            <w:r>
              <w:rPr>
                <w:color w:val="105C84"/>
                <w:sz w:val="18"/>
              </w:rPr>
              <w:t>than</w:t>
            </w:r>
            <w:r>
              <w:rPr>
                <w:color w:val="105C84"/>
                <w:spacing w:val="-13"/>
                <w:sz w:val="18"/>
              </w:rPr>
              <w:t> </w:t>
            </w:r>
            <w:r>
              <w:rPr>
                <w:color w:val="105C84"/>
                <w:sz w:val="18"/>
              </w:rPr>
              <w:t>2 </w:t>
            </w:r>
            <w:r>
              <w:rPr>
                <w:color w:val="105C84"/>
                <w:spacing w:val="-2"/>
                <w:sz w:val="18"/>
              </w:rPr>
              <w:t>Hours</w:t>
            </w:r>
            <w:r>
              <w:rPr>
                <w:color w:val="105C84"/>
                <w:spacing w:val="-1"/>
                <w:sz w:val="18"/>
              </w:rPr>
              <w:t> </w:t>
            </w:r>
            <w:r>
              <w:rPr>
                <w:color w:val="105C84"/>
                <w:spacing w:val="-2"/>
                <w:sz w:val="18"/>
              </w:rPr>
              <w:t>daily</w:t>
            </w:r>
            <w:r>
              <w:rPr>
                <w:color w:val="105C84"/>
                <w:sz w:val="18"/>
              </w:rPr>
              <w:t> </w:t>
            </w:r>
            <w:r>
              <w:rPr>
                <w:color w:val="105C84"/>
                <w:spacing w:val="-2"/>
                <w:sz w:val="18"/>
              </w:rPr>
              <w:t>(currently</w:t>
            </w:r>
            <w:r>
              <w:rPr>
                <w:color w:val="105C84"/>
                <w:sz w:val="18"/>
              </w:rPr>
              <w:t> </w:t>
            </w:r>
            <w:r>
              <w:rPr>
                <w:color w:val="105C84"/>
                <w:spacing w:val="-10"/>
                <w:sz w:val="18"/>
              </w:rPr>
              <w:t>83%)</w:t>
            </w:r>
          </w:p>
        </w:tc>
        <w:tc>
          <w:tcPr>
            <w:tcW w:w="3894" w:type="dxa"/>
            <w:tcBorders>
              <w:left w:val="nil"/>
            </w:tcBorders>
          </w:tcPr>
          <w:p>
            <w:pPr>
              <w:pStyle w:val="TableParagraph"/>
              <w:numPr>
                <w:ilvl w:val="0"/>
                <w:numId w:val="42"/>
              </w:numPr>
              <w:tabs>
                <w:tab w:pos="1093" w:val="left" w:leader="none"/>
              </w:tabs>
              <w:spacing w:line="336" w:lineRule="auto" w:before="95" w:after="0"/>
              <w:ind w:left="954" w:right="1081" w:firstLine="0"/>
              <w:jc w:val="left"/>
              <w:rPr>
                <w:sz w:val="18"/>
              </w:rPr>
            </w:pPr>
            <w:r>
              <w:rPr>
                <w:color w:val="105C84"/>
                <w:sz w:val="18"/>
              </w:rPr>
              <w:t>earned</w:t>
            </w:r>
            <w:r>
              <w:rPr>
                <w:color w:val="105C84"/>
                <w:spacing w:val="-15"/>
                <w:sz w:val="18"/>
              </w:rPr>
              <w:t> </w:t>
            </w:r>
            <w:r>
              <w:rPr>
                <w:color w:val="105C84"/>
                <w:sz w:val="18"/>
              </w:rPr>
              <w:t>media</w:t>
            </w:r>
            <w:r>
              <w:rPr>
                <w:color w:val="105C84"/>
                <w:spacing w:val="-12"/>
                <w:sz w:val="18"/>
              </w:rPr>
              <w:t> </w:t>
            </w:r>
            <w:r>
              <w:rPr>
                <w:color w:val="105C84"/>
                <w:sz w:val="18"/>
              </w:rPr>
              <w:t>activity 3 social media posts</w:t>
            </w:r>
          </w:p>
          <w:p>
            <w:pPr>
              <w:pStyle w:val="TableParagraph"/>
              <w:numPr>
                <w:ilvl w:val="0"/>
                <w:numId w:val="42"/>
              </w:numPr>
              <w:tabs>
                <w:tab w:pos="1093" w:val="left" w:leader="none"/>
              </w:tabs>
              <w:spacing w:line="232" w:lineRule="auto" w:before="6" w:after="0"/>
              <w:ind w:left="954" w:right="601" w:firstLine="0"/>
              <w:jc w:val="left"/>
              <w:rPr>
                <w:sz w:val="18"/>
              </w:rPr>
            </w:pPr>
            <w:r>
              <w:rPr>
                <w:color w:val="105C84"/>
                <w:sz w:val="18"/>
              </w:rPr>
              <w:t>community outreach disseminating information </w:t>
            </w:r>
            <w:r>
              <w:rPr>
                <w:color w:val="105C84"/>
                <w:sz w:val="18"/>
              </w:rPr>
              <w:t>on reducing screen time</w:t>
            </w:r>
          </w:p>
        </w:tc>
        <w:tc>
          <w:tcPr>
            <w:tcW w:w="1843" w:type="dxa"/>
          </w:tcPr>
          <w:p>
            <w:pPr>
              <w:pStyle w:val="TableParagraph"/>
              <w:spacing w:line="232" w:lineRule="auto" w:before="100"/>
              <w:ind w:left="90" w:right="197"/>
              <w:rPr>
                <w:sz w:val="18"/>
              </w:rPr>
            </w:pPr>
            <w:r>
              <w:rPr>
                <w:color w:val="105C84"/>
                <w:sz w:val="18"/>
              </w:rPr>
              <w:t>1</w:t>
            </w:r>
            <w:r>
              <w:rPr>
                <w:color w:val="105C84"/>
                <w:spacing w:val="-15"/>
                <w:sz w:val="18"/>
              </w:rPr>
              <w:t> </w:t>
            </w:r>
            <w:r>
              <w:rPr>
                <w:color w:val="105C84"/>
                <w:sz w:val="18"/>
              </w:rPr>
              <w:t>earned</w:t>
            </w:r>
            <w:r>
              <w:rPr>
                <w:color w:val="105C84"/>
                <w:spacing w:val="-12"/>
                <w:sz w:val="18"/>
              </w:rPr>
              <w:t> </w:t>
            </w:r>
            <w:r>
              <w:rPr>
                <w:color w:val="105C84"/>
                <w:sz w:val="18"/>
              </w:rPr>
              <w:t>media</w:t>
            </w:r>
            <w:r>
              <w:rPr>
                <w:color w:val="105C84"/>
                <w:sz w:val="18"/>
              </w:rPr>
              <w:t> </w:t>
            </w:r>
            <w:r>
              <w:rPr>
                <w:color w:val="105C84"/>
                <w:spacing w:val="-2"/>
                <w:sz w:val="18"/>
              </w:rPr>
              <w:t>activity</w:t>
            </w:r>
          </w:p>
          <w:p>
            <w:pPr>
              <w:pStyle w:val="TableParagraph"/>
              <w:spacing w:before="84"/>
              <w:ind w:left="90"/>
              <w:rPr>
                <w:sz w:val="18"/>
              </w:rPr>
            </w:pPr>
            <w:r>
              <w:rPr>
                <w:color w:val="105C84"/>
                <w:sz w:val="18"/>
              </w:rPr>
              <w:t>3</w:t>
            </w:r>
            <w:r>
              <w:rPr>
                <w:color w:val="105C84"/>
                <w:spacing w:val="-9"/>
                <w:sz w:val="18"/>
              </w:rPr>
              <w:t> </w:t>
            </w:r>
            <w:r>
              <w:rPr>
                <w:color w:val="105C84"/>
                <w:sz w:val="18"/>
              </w:rPr>
              <w:t>social</w:t>
            </w:r>
            <w:r>
              <w:rPr>
                <w:color w:val="105C84"/>
                <w:spacing w:val="-9"/>
                <w:sz w:val="18"/>
              </w:rPr>
              <w:t> </w:t>
            </w:r>
            <w:r>
              <w:rPr>
                <w:color w:val="105C84"/>
                <w:sz w:val="18"/>
              </w:rPr>
              <w:t>media</w:t>
            </w:r>
            <w:r>
              <w:rPr>
                <w:color w:val="105C84"/>
                <w:spacing w:val="-9"/>
                <w:sz w:val="18"/>
              </w:rPr>
              <w:t> </w:t>
            </w:r>
            <w:r>
              <w:rPr>
                <w:color w:val="105C84"/>
                <w:spacing w:val="-2"/>
                <w:sz w:val="18"/>
              </w:rPr>
              <w:t>posts</w:t>
            </w:r>
          </w:p>
          <w:p>
            <w:pPr>
              <w:pStyle w:val="TableParagraph"/>
              <w:spacing w:line="232" w:lineRule="auto" w:before="88"/>
              <w:ind w:left="90" w:right="197"/>
              <w:rPr>
                <w:sz w:val="18"/>
              </w:rPr>
            </w:pPr>
            <w:r>
              <w:rPr>
                <w:color w:val="105C84"/>
                <w:sz w:val="18"/>
              </w:rPr>
              <w:t>2 community </w:t>
            </w:r>
            <w:r>
              <w:rPr>
                <w:color w:val="105C84"/>
                <w:spacing w:val="-2"/>
                <w:sz w:val="18"/>
              </w:rPr>
              <w:t>outreach disseminating </w:t>
            </w:r>
            <w:r>
              <w:rPr>
                <w:color w:val="105C84"/>
                <w:sz w:val="18"/>
              </w:rPr>
              <w:t>information on </w:t>
            </w:r>
            <w:r>
              <w:rPr>
                <w:color w:val="105C84"/>
                <w:spacing w:val="-2"/>
                <w:sz w:val="18"/>
              </w:rPr>
              <w:t>reducing</w:t>
            </w:r>
            <w:r>
              <w:rPr>
                <w:color w:val="105C84"/>
                <w:spacing w:val="-11"/>
                <w:sz w:val="18"/>
              </w:rPr>
              <w:t> </w:t>
            </w:r>
            <w:r>
              <w:rPr>
                <w:color w:val="105C84"/>
                <w:spacing w:val="-2"/>
                <w:sz w:val="18"/>
              </w:rPr>
              <w:t>scree</w:t>
            </w:r>
            <w:r>
              <w:rPr>
                <w:color w:val="105C84"/>
                <w:spacing w:val="-2"/>
                <w:sz w:val="18"/>
              </w:rPr>
              <w:t>n</w:t>
            </w:r>
            <w:r>
              <w:rPr>
                <w:color w:val="105C84"/>
                <w:spacing w:val="-2"/>
                <w:sz w:val="18"/>
              </w:rPr>
              <w:t> </w:t>
            </w:r>
            <w:r>
              <w:rPr>
                <w:color w:val="105C84"/>
                <w:spacing w:val="-4"/>
                <w:sz w:val="18"/>
              </w:rPr>
              <w:t>time</w:t>
            </w:r>
          </w:p>
        </w:tc>
        <w:tc>
          <w:tcPr>
            <w:tcW w:w="1843" w:type="dxa"/>
          </w:tcPr>
          <w:p>
            <w:pPr>
              <w:pStyle w:val="TableParagraph"/>
              <w:spacing w:line="232" w:lineRule="auto" w:before="100"/>
              <w:ind w:left="90" w:right="197"/>
              <w:rPr>
                <w:sz w:val="18"/>
              </w:rPr>
            </w:pPr>
            <w:r>
              <w:rPr>
                <w:color w:val="105C84"/>
                <w:sz w:val="18"/>
              </w:rPr>
              <w:t>1</w:t>
            </w:r>
            <w:r>
              <w:rPr>
                <w:color w:val="105C84"/>
                <w:spacing w:val="-15"/>
                <w:sz w:val="18"/>
              </w:rPr>
              <w:t> </w:t>
            </w:r>
            <w:r>
              <w:rPr>
                <w:color w:val="105C84"/>
                <w:sz w:val="18"/>
              </w:rPr>
              <w:t>earned</w:t>
            </w:r>
            <w:r>
              <w:rPr>
                <w:color w:val="105C84"/>
                <w:spacing w:val="-12"/>
                <w:sz w:val="18"/>
              </w:rPr>
              <w:t> </w:t>
            </w:r>
            <w:r>
              <w:rPr>
                <w:color w:val="105C84"/>
                <w:sz w:val="18"/>
              </w:rPr>
              <w:t>media</w:t>
            </w:r>
            <w:r>
              <w:rPr>
                <w:color w:val="105C84"/>
                <w:sz w:val="18"/>
              </w:rPr>
              <w:t> </w:t>
            </w:r>
            <w:r>
              <w:rPr>
                <w:color w:val="105C84"/>
                <w:spacing w:val="-2"/>
                <w:sz w:val="18"/>
              </w:rPr>
              <w:t>activity</w:t>
            </w:r>
          </w:p>
          <w:p>
            <w:pPr>
              <w:pStyle w:val="TableParagraph"/>
              <w:spacing w:before="84"/>
              <w:ind w:left="90"/>
              <w:rPr>
                <w:sz w:val="18"/>
              </w:rPr>
            </w:pPr>
            <w:r>
              <w:rPr>
                <w:color w:val="105C84"/>
                <w:sz w:val="18"/>
              </w:rPr>
              <w:t>3</w:t>
            </w:r>
            <w:r>
              <w:rPr>
                <w:color w:val="105C84"/>
                <w:spacing w:val="-9"/>
                <w:sz w:val="18"/>
              </w:rPr>
              <w:t> </w:t>
            </w:r>
            <w:r>
              <w:rPr>
                <w:color w:val="105C84"/>
                <w:sz w:val="18"/>
              </w:rPr>
              <w:t>social</w:t>
            </w:r>
            <w:r>
              <w:rPr>
                <w:color w:val="105C84"/>
                <w:spacing w:val="-9"/>
                <w:sz w:val="18"/>
              </w:rPr>
              <w:t> </w:t>
            </w:r>
            <w:r>
              <w:rPr>
                <w:color w:val="105C84"/>
                <w:sz w:val="18"/>
              </w:rPr>
              <w:t>media</w:t>
            </w:r>
            <w:r>
              <w:rPr>
                <w:color w:val="105C84"/>
                <w:spacing w:val="-9"/>
                <w:sz w:val="18"/>
              </w:rPr>
              <w:t> </w:t>
            </w:r>
            <w:r>
              <w:rPr>
                <w:color w:val="105C84"/>
                <w:spacing w:val="-2"/>
                <w:sz w:val="18"/>
              </w:rPr>
              <w:t>posts</w:t>
            </w:r>
          </w:p>
          <w:p>
            <w:pPr>
              <w:pStyle w:val="TableParagraph"/>
              <w:spacing w:line="232" w:lineRule="auto" w:before="88"/>
              <w:ind w:left="90" w:right="197"/>
              <w:rPr>
                <w:sz w:val="18"/>
              </w:rPr>
            </w:pPr>
            <w:r>
              <w:rPr>
                <w:color w:val="105C84"/>
                <w:sz w:val="18"/>
              </w:rPr>
              <w:t>2 community </w:t>
            </w:r>
            <w:r>
              <w:rPr>
                <w:color w:val="105C84"/>
                <w:spacing w:val="-2"/>
                <w:sz w:val="18"/>
              </w:rPr>
              <w:t>outreach disseminating </w:t>
            </w:r>
            <w:r>
              <w:rPr>
                <w:color w:val="105C84"/>
                <w:sz w:val="18"/>
              </w:rPr>
              <w:t>information on </w:t>
            </w:r>
            <w:r>
              <w:rPr>
                <w:color w:val="105C84"/>
                <w:spacing w:val="-2"/>
                <w:sz w:val="18"/>
              </w:rPr>
              <w:t>reducing</w:t>
            </w:r>
            <w:r>
              <w:rPr>
                <w:color w:val="105C84"/>
                <w:spacing w:val="-11"/>
                <w:sz w:val="18"/>
              </w:rPr>
              <w:t> </w:t>
            </w:r>
            <w:r>
              <w:rPr>
                <w:color w:val="105C84"/>
                <w:spacing w:val="-2"/>
                <w:sz w:val="18"/>
              </w:rPr>
              <w:t>scree</w:t>
            </w:r>
            <w:r>
              <w:rPr>
                <w:color w:val="105C84"/>
                <w:spacing w:val="-2"/>
                <w:sz w:val="18"/>
              </w:rPr>
              <w:t>n</w:t>
            </w:r>
            <w:r>
              <w:rPr>
                <w:color w:val="105C84"/>
                <w:spacing w:val="-2"/>
                <w:sz w:val="18"/>
              </w:rPr>
              <w:t> </w:t>
            </w:r>
            <w:r>
              <w:rPr>
                <w:color w:val="105C84"/>
                <w:spacing w:val="-4"/>
                <w:sz w:val="18"/>
              </w:rPr>
              <w:t>time</w:t>
            </w:r>
          </w:p>
        </w:tc>
        <w:tc>
          <w:tcPr>
            <w:tcW w:w="1670" w:type="dxa"/>
          </w:tcPr>
          <w:p>
            <w:pPr>
              <w:pStyle w:val="TableParagraph"/>
              <w:spacing w:line="232" w:lineRule="auto" w:before="100"/>
              <w:ind w:left="90"/>
              <w:rPr>
                <w:sz w:val="18"/>
              </w:rPr>
            </w:pPr>
            <w:r>
              <w:rPr>
                <w:color w:val="105C84"/>
                <w:spacing w:val="-2"/>
                <w:sz w:val="18"/>
              </w:rPr>
              <w:t>Local</w:t>
            </w:r>
            <w:r>
              <w:rPr>
                <w:color w:val="105C84"/>
                <w:spacing w:val="-11"/>
                <w:sz w:val="18"/>
              </w:rPr>
              <w:t> </w:t>
            </w:r>
            <w:r>
              <w:rPr>
                <w:color w:val="105C84"/>
                <w:spacing w:val="-2"/>
                <w:sz w:val="18"/>
              </w:rPr>
              <w:t>health department</w:t>
            </w:r>
          </w:p>
        </w:tc>
        <w:tc>
          <w:tcPr>
            <w:tcW w:w="1751" w:type="dxa"/>
          </w:tcPr>
          <w:p>
            <w:pPr>
              <w:pStyle w:val="TableParagraph"/>
              <w:spacing w:line="203" w:lineRule="exact" w:before="95"/>
              <w:ind w:left="90"/>
              <w:rPr>
                <w:sz w:val="18"/>
              </w:rPr>
            </w:pPr>
            <w:r>
              <w:rPr>
                <w:color w:val="105C84"/>
                <w:spacing w:val="-2"/>
                <w:sz w:val="18"/>
              </w:rPr>
              <w:t>CCHD/WIC</w:t>
            </w:r>
          </w:p>
          <w:p>
            <w:pPr>
              <w:pStyle w:val="TableParagraph"/>
              <w:spacing w:line="232" w:lineRule="auto" w:before="2"/>
              <w:ind w:left="90" w:right="110"/>
              <w:rPr>
                <w:sz w:val="18"/>
              </w:rPr>
            </w:pPr>
            <w:r>
              <w:rPr>
                <w:color w:val="105C84"/>
                <w:sz w:val="18"/>
              </w:rPr>
              <w:t>responsible for </w:t>
            </w:r>
            <w:r>
              <w:rPr>
                <w:color w:val="105C84"/>
                <w:spacing w:val="-2"/>
                <w:sz w:val="18"/>
              </w:rPr>
              <w:t>intervention </w:t>
            </w:r>
            <w:r>
              <w:rPr>
                <w:color w:val="105C84"/>
                <w:sz w:val="18"/>
              </w:rPr>
              <w:t>providing needed </w:t>
            </w:r>
            <w:r>
              <w:rPr>
                <w:color w:val="105C84"/>
                <w:spacing w:val="-2"/>
                <w:sz w:val="18"/>
              </w:rPr>
              <w:t>staff</w:t>
            </w:r>
            <w:r>
              <w:rPr>
                <w:color w:val="105C84"/>
                <w:spacing w:val="-13"/>
                <w:sz w:val="18"/>
              </w:rPr>
              <w:t> </w:t>
            </w:r>
            <w:r>
              <w:rPr>
                <w:color w:val="105C84"/>
                <w:spacing w:val="-2"/>
                <w:sz w:val="18"/>
              </w:rPr>
              <w:t>and</w:t>
            </w:r>
            <w:r>
              <w:rPr>
                <w:color w:val="105C84"/>
                <w:spacing w:val="-10"/>
                <w:sz w:val="18"/>
              </w:rPr>
              <w:t> </w:t>
            </w:r>
            <w:r>
              <w:rPr>
                <w:color w:val="105C84"/>
                <w:spacing w:val="-2"/>
                <w:sz w:val="18"/>
              </w:rPr>
              <w:t>resources </w:t>
            </w:r>
            <w:r>
              <w:rPr>
                <w:color w:val="105C84"/>
                <w:sz w:val="18"/>
              </w:rPr>
              <w:t>to meet measures with assistance from Health Priorities Partners as needed</w:t>
            </w:r>
          </w:p>
        </w:tc>
      </w:tr>
      <w:tr>
        <w:trPr>
          <w:trHeight w:val="3040" w:hRule="atLeast"/>
        </w:trPr>
        <w:tc>
          <w:tcPr>
            <w:tcW w:w="1008" w:type="dxa"/>
            <w:vMerge/>
            <w:tcBorders>
              <w:top w:val="nil"/>
            </w:tcBorders>
            <w:shd w:val="clear" w:color="auto" w:fill="E6E7E8"/>
          </w:tcPr>
          <w:p>
            <w:pPr>
              <w:rPr>
                <w:sz w:val="2"/>
                <w:szCs w:val="2"/>
              </w:rPr>
            </w:pPr>
          </w:p>
        </w:tc>
        <w:tc>
          <w:tcPr>
            <w:tcW w:w="1152" w:type="dxa"/>
            <w:vMerge/>
            <w:tcBorders>
              <w:top w:val="nil"/>
            </w:tcBorders>
          </w:tcPr>
          <w:p>
            <w:pPr>
              <w:rPr>
                <w:sz w:val="2"/>
                <w:szCs w:val="2"/>
              </w:rPr>
            </w:pPr>
          </w:p>
        </w:tc>
        <w:tc>
          <w:tcPr>
            <w:tcW w:w="1382" w:type="dxa"/>
            <w:vMerge/>
            <w:tcBorders>
              <w:top w:val="nil"/>
            </w:tcBorders>
          </w:tcPr>
          <w:p>
            <w:pPr>
              <w:rPr>
                <w:sz w:val="2"/>
                <w:szCs w:val="2"/>
              </w:rPr>
            </w:pPr>
          </w:p>
        </w:tc>
        <w:tc>
          <w:tcPr>
            <w:tcW w:w="1411" w:type="dxa"/>
          </w:tcPr>
          <w:p>
            <w:pPr>
              <w:pStyle w:val="TableParagraph"/>
              <w:spacing w:line="232" w:lineRule="auto" w:before="100"/>
              <w:ind w:left="90" w:right="204"/>
              <w:rPr>
                <w:sz w:val="18"/>
              </w:rPr>
            </w:pPr>
            <w:r>
              <w:rPr>
                <w:color w:val="105C84"/>
                <w:sz w:val="18"/>
              </w:rPr>
              <w:t>Objective</w:t>
            </w:r>
            <w:r>
              <w:rPr>
                <w:color w:val="105C84"/>
                <w:spacing w:val="-13"/>
                <w:sz w:val="18"/>
              </w:rPr>
              <w:t> </w:t>
            </w:r>
            <w:r>
              <w:rPr>
                <w:color w:val="105C84"/>
                <w:sz w:val="18"/>
              </w:rPr>
              <w:t>1.1: Decrease</w:t>
            </w:r>
            <w:r>
              <w:rPr>
                <w:color w:val="105C84"/>
                <w:spacing w:val="-4"/>
                <w:sz w:val="18"/>
              </w:rPr>
              <w:t> </w:t>
            </w:r>
            <w:r>
              <w:rPr>
                <w:color w:val="105C84"/>
                <w:sz w:val="18"/>
              </w:rPr>
              <w:t>the </w:t>
            </w:r>
            <w:r>
              <w:rPr>
                <w:color w:val="105C84"/>
                <w:spacing w:val="-2"/>
                <w:sz w:val="18"/>
              </w:rPr>
              <w:t>percentage</w:t>
            </w:r>
            <w:r>
              <w:rPr>
                <w:color w:val="105C84"/>
                <w:spacing w:val="80"/>
                <w:sz w:val="18"/>
              </w:rPr>
              <w:t> </w:t>
            </w:r>
            <w:r>
              <w:rPr>
                <w:color w:val="105C84"/>
                <w:sz w:val="18"/>
              </w:rPr>
              <w:t>of children with obesity (among WIC children</w:t>
            </w:r>
            <w:r>
              <w:rPr>
                <w:color w:val="105C84"/>
                <w:spacing w:val="-4"/>
                <w:sz w:val="18"/>
              </w:rPr>
              <w:t> </w:t>
            </w:r>
            <w:r>
              <w:rPr>
                <w:color w:val="105C84"/>
                <w:sz w:val="18"/>
              </w:rPr>
              <w:t>ages 2-4 years)</w:t>
            </w:r>
          </w:p>
        </w:tc>
        <w:tc>
          <w:tcPr>
            <w:tcW w:w="1152" w:type="dxa"/>
          </w:tcPr>
          <w:p>
            <w:pPr>
              <w:pStyle w:val="TableParagraph"/>
              <w:rPr>
                <w:rFonts w:ascii="Times New Roman"/>
                <w:sz w:val="18"/>
              </w:rPr>
            </w:pPr>
          </w:p>
        </w:tc>
        <w:tc>
          <w:tcPr>
            <w:tcW w:w="1901" w:type="dxa"/>
          </w:tcPr>
          <w:p>
            <w:pPr>
              <w:pStyle w:val="TableParagraph"/>
              <w:spacing w:line="232" w:lineRule="auto" w:before="100"/>
              <w:ind w:left="90" w:right="270"/>
              <w:rPr>
                <w:sz w:val="18"/>
              </w:rPr>
            </w:pPr>
            <w:r>
              <w:rPr>
                <w:color w:val="105C84"/>
                <w:sz w:val="18"/>
              </w:rPr>
              <w:t>2.2 Promote school, child care and worksite environments</w:t>
            </w:r>
            <w:r>
              <w:rPr>
                <w:color w:val="105C84"/>
                <w:spacing w:val="-13"/>
                <w:sz w:val="18"/>
              </w:rPr>
              <w:t> </w:t>
            </w:r>
            <w:r>
              <w:rPr>
                <w:color w:val="105C84"/>
                <w:sz w:val="18"/>
              </w:rPr>
              <w:t>that</w:t>
            </w:r>
            <w:r>
              <w:rPr>
                <w:color w:val="105C84"/>
                <w:sz w:val="18"/>
              </w:rPr>
              <w:t> increase physical </w:t>
            </w:r>
            <w:r>
              <w:rPr>
                <w:color w:val="105C84"/>
                <w:spacing w:val="-2"/>
                <w:sz w:val="18"/>
              </w:rPr>
              <w:t>activity</w:t>
            </w:r>
          </w:p>
        </w:tc>
        <w:tc>
          <w:tcPr>
            <w:tcW w:w="3270" w:type="dxa"/>
            <w:tcBorders>
              <w:right w:val="nil"/>
            </w:tcBorders>
          </w:tcPr>
          <w:p>
            <w:pPr>
              <w:pStyle w:val="TableParagraph"/>
              <w:spacing w:line="232" w:lineRule="auto" w:before="99"/>
              <w:ind w:left="90" w:right="862"/>
              <w:rPr>
                <w:sz w:val="18"/>
              </w:rPr>
            </w:pPr>
            <w:r>
              <w:rPr>
                <w:color w:val="105C84"/>
                <w:sz w:val="18"/>
              </w:rPr>
              <w:t>Economic Opportunity Program</w:t>
            </w:r>
            <w:r>
              <w:rPr>
                <w:color w:val="105C84"/>
                <w:spacing w:val="-15"/>
                <w:sz w:val="18"/>
              </w:rPr>
              <w:t> </w:t>
            </w:r>
            <w:r>
              <w:rPr>
                <w:color w:val="105C84"/>
                <w:sz w:val="18"/>
              </w:rPr>
              <w:t>(EOP)</w:t>
            </w:r>
            <w:r>
              <w:rPr>
                <w:color w:val="105C84"/>
                <w:spacing w:val="-12"/>
                <w:sz w:val="18"/>
              </w:rPr>
              <w:t> </w:t>
            </w:r>
            <w:r>
              <w:rPr>
                <w:color w:val="105C84"/>
                <w:sz w:val="18"/>
              </w:rPr>
              <w:t>-</w:t>
            </w:r>
            <w:r>
              <w:rPr>
                <w:color w:val="105C84"/>
                <w:spacing w:val="-13"/>
                <w:sz w:val="18"/>
              </w:rPr>
              <w:t> </w:t>
            </w:r>
            <w:r>
              <w:rPr>
                <w:color w:val="105C84"/>
                <w:sz w:val="18"/>
              </w:rPr>
              <w:t>Head</w:t>
            </w:r>
            <w:r>
              <w:rPr>
                <w:color w:val="105C84"/>
                <w:spacing w:val="-12"/>
                <w:sz w:val="18"/>
              </w:rPr>
              <w:t> </w:t>
            </w:r>
            <w:r>
              <w:rPr>
                <w:color w:val="105C84"/>
                <w:sz w:val="18"/>
              </w:rPr>
              <w:t>Start provides</w:t>
            </w:r>
            <w:r>
              <w:rPr>
                <w:color w:val="105C84"/>
                <w:spacing w:val="-15"/>
                <w:sz w:val="18"/>
              </w:rPr>
              <w:t> </w:t>
            </w:r>
            <w:r>
              <w:rPr>
                <w:color w:val="105C84"/>
                <w:sz w:val="18"/>
              </w:rPr>
              <w:t>structured</w:t>
            </w:r>
            <w:r>
              <w:rPr>
                <w:color w:val="105C84"/>
                <w:spacing w:val="-12"/>
                <w:sz w:val="18"/>
              </w:rPr>
              <w:t> </w:t>
            </w:r>
            <w:r>
              <w:rPr>
                <w:color w:val="105C84"/>
                <w:sz w:val="18"/>
              </w:rPr>
              <w:t>physical activity opportunities every </w:t>
            </w:r>
            <w:r>
              <w:rPr>
                <w:color w:val="105C84"/>
                <w:spacing w:val="-4"/>
                <w:sz w:val="18"/>
              </w:rPr>
              <w:t>day</w:t>
            </w:r>
          </w:p>
          <w:p>
            <w:pPr>
              <w:pStyle w:val="TableParagraph"/>
              <w:spacing w:line="232" w:lineRule="auto" w:before="87"/>
              <w:ind w:left="90" w:right="862"/>
              <w:rPr>
                <w:sz w:val="18"/>
              </w:rPr>
            </w:pPr>
            <w:r>
              <w:rPr>
                <w:color w:val="105C84"/>
                <w:w w:val="105"/>
                <w:sz w:val="18"/>
              </w:rPr>
              <w:t>In the Family Support Services program the monthly events offered occasionally</w:t>
            </w:r>
            <w:r>
              <w:rPr>
                <w:color w:val="105C84"/>
                <w:spacing w:val="-1"/>
                <w:w w:val="105"/>
                <w:sz w:val="18"/>
              </w:rPr>
              <w:t> </w:t>
            </w:r>
            <w:r>
              <w:rPr>
                <w:color w:val="105C84"/>
                <w:w w:val="105"/>
                <w:sz w:val="18"/>
              </w:rPr>
              <w:t>offer opportunities for physical activity which may include </w:t>
            </w:r>
            <w:r>
              <w:rPr>
                <w:color w:val="105C84"/>
                <w:sz w:val="18"/>
              </w:rPr>
              <w:t>swimming,</w:t>
            </w:r>
            <w:r>
              <w:rPr>
                <w:color w:val="105C84"/>
                <w:spacing w:val="-12"/>
                <w:sz w:val="18"/>
              </w:rPr>
              <w:t> </w:t>
            </w:r>
            <w:r>
              <w:rPr>
                <w:color w:val="105C84"/>
                <w:sz w:val="18"/>
              </w:rPr>
              <w:t>walking</w:t>
            </w:r>
            <w:r>
              <w:rPr>
                <w:color w:val="105C84"/>
                <w:spacing w:val="-12"/>
                <w:sz w:val="18"/>
              </w:rPr>
              <w:t> </w:t>
            </w:r>
            <w:r>
              <w:rPr>
                <w:color w:val="105C84"/>
                <w:sz w:val="18"/>
              </w:rPr>
              <w:t>in</w:t>
            </w:r>
            <w:r>
              <w:rPr>
                <w:color w:val="105C84"/>
                <w:spacing w:val="-12"/>
                <w:sz w:val="18"/>
              </w:rPr>
              <w:t> </w:t>
            </w:r>
            <w:r>
              <w:rPr>
                <w:color w:val="105C84"/>
                <w:sz w:val="18"/>
              </w:rPr>
              <w:t>a</w:t>
            </w:r>
            <w:r>
              <w:rPr>
                <w:color w:val="105C84"/>
                <w:spacing w:val="-12"/>
                <w:sz w:val="18"/>
              </w:rPr>
              <w:t> </w:t>
            </w:r>
            <w:r>
              <w:rPr>
                <w:color w:val="105C84"/>
                <w:sz w:val="18"/>
              </w:rPr>
              <w:t>park </w:t>
            </w:r>
            <w:r>
              <w:rPr>
                <w:color w:val="105C84"/>
                <w:w w:val="105"/>
                <w:sz w:val="18"/>
              </w:rPr>
              <w:t>or at the YMCA, going to the Zoo, bowling, etc.</w:t>
            </w:r>
          </w:p>
        </w:tc>
        <w:tc>
          <w:tcPr>
            <w:tcW w:w="3894" w:type="dxa"/>
            <w:tcBorders>
              <w:left w:val="nil"/>
            </w:tcBorders>
          </w:tcPr>
          <w:p>
            <w:pPr>
              <w:pStyle w:val="TableParagraph"/>
              <w:spacing w:line="232" w:lineRule="auto" w:before="99"/>
              <w:ind w:left="954" w:right="53"/>
              <w:rPr>
                <w:sz w:val="18"/>
              </w:rPr>
            </w:pPr>
            <w:r>
              <w:rPr>
                <w:color w:val="105C84"/>
                <w:sz w:val="18"/>
              </w:rPr>
              <w:t>EOP provides 40-60 minutes per day of structured indoor-outdoor play, as well as 30 minutes of Zumba Kids Jr. and movement/ dance</w:t>
            </w:r>
            <w:r>
              <w:rPr>
                <w:color w:val="105C84"/>
                <w:spacing w:val="-3"/>
                <w:sz w:val="18"/>
              </w:rPr>
              <w:t> </w:t>
            </w:r>
            <w:r>
              <w:rPr>
                <w:color w:val="105C84"/>
                <w:sz w:val="18"/>
              </w:rPr>
              <w:t>breaks</w:t>
            </w:r>
            <w:r>
              <w:rPr>
                <w:color w:val="105C84"/>
                <w:spacing w:val="-3"/>
                <w:sz w:val="18"/>
              </w:rPr>
              <w:t> </w:t>
            </w:r>
            <w:r>
              <w:rPr>
                <w:color w:val="105C84"/>
                <w:sz w:val="18"/>
              </w:rPr>
              <w:t>throughout</w:t>
            </w:r>
            <w:r>
              <w:rPr>
                <w:color w:val="105C84"/>
                <w:spacing w:val="-3"/>
                <w:sz w:val="18"/>
              </w:rPr>
              <w:t> </w:t>
            </w:r>
            <w:r>
              <w:rPr>
                <w:color w:val="105C84"/>
                <w:sz w:val="18"/>
              </w:rPr>
              <w:t>the</w:t>
            </w:r>
            <w:r>
              <w:rPr>
                <w:color w:val="105C84"/>
                <w:spacing w:val="-3"/>
                <w:sz w:val="18"/>
              </w:rPr>
              <w:t> </w:t>
            </w:r>
            <w:r>
              <w:rPr>
                <w:color w:val="105C84"/>
                <w:sz w:val="18"/>
              </w:rPr>
              <w:t>day</w:t>
            </w:r>
            <w:r>
              <w:rPr>
                <w:color w:val="105C84"/>
                <w:spacing w:val="-3"/>
                <w:sz w:val="18"/>
              </w:rPr>
              <w:t> </w:t>
            </w:r>
            <w:r>
              <w:rPr>
                <w:color w:val="105C84"/>
                <w:sz w:val="18"/>
              </w:rPr>
              <w:t>of 15 minutes or so</w:t>
            </w:r>
          </w:p>
        </w:tc>
        <w:tc>
          <w:tcPr>
            <w:tcW w:w="1843" w:type="dxa"/>
          </w:tcPr>
          <w:p>
            <w:pPr>
              <w:pStyle w:val="TableParagraph"/>
              <w:spacing w:before="94"/>
              <w:ind w:right="44"/>
              <w:jc w:val="center"/>
              <w:rPr>
                <w:sz w:val="18"/>
              </w:rPr>
            </w:pPr>
            <w:r>
              <w:rPr>
                <w:color w:val="105C84"/>
                <w:sz w:val="18"/>
              </w:rPr>
              <w:t>Continue</w:t>
            </w:r>
            <w:r>
              <w:rPr>
                <w:color w:val="105C84"/>
                <w:spacing w:val="9"/>
                <w:sz w:val="18"/>
              </w:rPr>
              <w:t> </w:t>
            </w:r>
            <w:r>
              <w:rPr>
                <w:color w:val="105C84"/>
                <w:sz w:val="18"/>
              </w:rPr>
              <w:t>to</w:t>
            </w:r>
            <w:r>
              <w:rPr>
                <w:color w:val="105C84"/>
                <w:spacing w:val="10"/>
                <w:sz w:val="18"/>
              </w:rPr>
              <w:t> </w:t>
            </w:r>
            <w:r>
              <w:rPr>
                <w:color w:val="105C84"/>
                <w:spacing w:val="-2"/>
                <w:sz w:val="18"/>
              </w:rPr>
              <w:t>provide</w:t>
            </w:r>
          </w:p>
        </w:tc>
        <w:tc>
          <w:tcPr>
            <w:tcW w:w="1843" w:type="dxa"/>
          </w:tcPr>
          <w:p>
            <w:pPr>
              <w:pStyle w:val="TableParagraph"/>
              <w:spacing w:before="94"/>
              <w:ind w:left="90"/>
              <w:rPr>
                <w:sz w:val="18"/>
              </w:rPr>
            </w:pPr>
            <w:r>
              <w:rPr>
                <w:color w:val="105C84"/>
                <w:sz w:val="18"/>
              </w:rPr>
              <w:t>Continue</w:t>
            </w:r>
            <w:r>
              <w:rPr>
                <w:color w:val="105C84"/>
                <w:spacing w:val="9"/>
                <w:sz w:val="18"/>
              </w:rPr>
              <w:t> </w:t>
            </w:r>
            <w:r>
              <w:rPr>
                <w:color w:val="105C84"/>
                <w:sz w:val="18"/>
              </w:rPr>
              <w:t>to</w:t>
            </w:r>
            <w:r>
              <w:rPr>
                <w:color w:val="105C84"/>
                <w:spacing w:val="10"/>
                <w:sz w:val="18"/>
              </w:rPr>
              <w:t> </w:t>
            </w:r>
            <w:r>
              <w:rPr>
                <w:color w:val="105C84"/>
                <w:spacing w:val="-2"/>
                <w:sz w:val="18"/>
              </w:rPr>
              <w:t>provide</w:t>
            </w:r>
          </w:p>
        </w:tc>
        <w:tc>
          <w:tcPr>
            <w:tcW w:w="1670" w:type="dxa"/>
          </w:tcPr>
          <w:p>
            <w:pPr>
              <w:pStyle w:val="TableParagraph"/>
              <w:spacing w:before="94"/>
              <w:ind w:left="90"/>
              <w:rPr>
                <w:sz w:val="18"/>
              </w:rPr>
            </w:pPr>
            <w:r>
              <w:rPr>
                <w:color w:val="105C84"/>
                <w:spacing w:val="-2"/>
                <w:sz w:val="18"/>
              </w:rPr>
              <w:t>Headstart</w:t>
            </w:r>
          </w:p>
        </w:tc>
        <w:tc>
          <w:tcPr>
            <w:tcW w:w="1751" w:type="dxa"/>
          </w:tcPr>
          <w:p>
            <w:pPr>
              <w:pStyle w:val="TableParagraph"/>
              <w:spacing w:line="232" w:lineRule="auto" w:before="99"/>
              <w:ind w:left="90" w:right="110"/>
              <w:rPr>
                <w:sz w:val="18"/>
              </w:rPr>
            </w:pPr>
            <w:r>
              <w:rPr>
                <w:color w:val="105C84"/>
                <w:sz w:val="18"/>
              </w:rPr>
              <w:t>EOP responsible for intervention providing needed </w:t>
            </w:r>
            <w:r>
              <w:rPr>
                <w:color w:val="105C84"/>
                <w:spacing w:val="-2"/>
                <w:sz w:val="18"/>
              </w:rPr>
              <w:t>staff</w:t>
            </w:r>
            <w:r>
              <w:rPr>
                <w:color w:val="105C84"/>
                <w:spacing w:val="-13"/>
                <w:sz w:val="18"/>
              </w:rPr>
              <w:t> </w:t>
            </w:r>
            <w:r>
              <w:rPr>
                <w:color w:val="105C84"/>
                <w:spacing w:val="-2"/>
                <w:sz w:val="18"/>
              </w:rPr>
              <w:t>and</w:t>
            </w:r>
            <w:r>
              <w:rPr>
                <w:color w:val="105C84"/>
                <w:spacing w:val="-10"/>
                <w:sz w:val="18"/>
              </w:rPr>
              <w:t> </w:t>
            </w:r>
            <w:r>
              <w:rPr>
                <w:color w:val="105C84"/>
                <w:spacing w:val="-2"/>
                <w:sz w:val="18"/>
              </w:rPr>
              <w:t>resources </w:t>
            </w:r>
            <w:r>
              <w:rPr>
                <w:color w:val="105C84"/>
                <w:sz w:val="18"/>
              </w:rPr>
              <w:t>to meet measures with assistance from Health Priorities Partners as needed</w:t>
            </w:r>
          </w:p>
        </w:tc>
      </w:tr>
      <w:tr>
        <w:trPr>
          <w:trHeight w:val="2950" w:hRule="atLeast"/>
        </w:trPr>
        <w:tc>
          <w:tcPr>
            <w:tcW w:w="1008" w:type="dxa"/>
            <w:vMerge/>
            <w:tcBorders>
              <w:top w:val="nil"/>
            </w:tcBorders>
            <w:shd w:val="clear" w:color="auto" w:fill="E6E7E8"/>
          </w:tcPr>
          <w:p>
            <w:pPr>
              <w:rPr>
                <w:sz w:val="2"/>
                <w:szCs w:val="2"/>
              </w:rPr>
            </w:pPr>
          </w:p>
        </w:tc>
        <w:tc>
          <w:tcPr>
            <w:tcW w:w="1152" w:type="dxa"/>
            <w:vMerge/>
            <w:tcBorders>
              <w:top w:val="nil"/>
            </w:tcBorders>
          </w:tcPr>
          <w:p>
            <w:pPr>
              <w:rPr>
                <w:sz w:val="2"/>
                <w:szCs w:val="2"/>
              </w:rPr>
            </w:pPr>
          </w:p>
        </w:tc>
        <w:tc>
          <w:tcPr>
            <w:tcW w:w="1382" w:type="dxa"/>
          </w:tcPr>
          <w:p>
            <w:pPr>
              <w:pStyle w:val="TableParagraph"/>
              <w:spacing w:line="232" w:lineRule="auto" w:before="99"/>
              <w:ind w:left="89" w:right="134"/>
              <w:rPr>
                <w:sz w:val="18"/>
              </w:rPr>
            </w:pPr>
            <w:r>
              <w:rPr>
                <w:color w:val="105C84"/>
                <w:sz w:val="18"/>
              </w:rPr>
              <w:t>Goal 2.1: </w:t>
            </w:r>
            <w:r>
              <w:rPr>
                <w:color w:val="105C84"/>
                <w:spacing w:val="-2"/>
                <w:sz w:val="18"/>
              </w:rPr>
              <w:t>Improve community environments </w:t>
            </w:r>
            <w:r>
              <w:rPr>
                <w:color w:val="105C84"/>
                <w:sz w:val="18"/>
              </w:rPr>
              <w:t>that support </w:t>
            </w:r>
            <w:r>
              <w:rPr>
                <w:color w:val="105C84"/>
                <w:spacing w:val="-2"/>
                <w:sz w:val="18"/>
              </w:rPr>
              <w:t>active transportation </w:t>
            </w:r>
            <w:r>
              <w:rPr>
                <w:color w:val="105C84"/>
                <w:spacing w:val="-4"/>
                <w:sz w:val="18"/>
              </w:rPr>
              <w:t>and </w:t>
            </w:r>
            <w:r>
              <w:rPr>
                <w:color w:val="105C84"/>
                <w:spacing w:val="-2"/>
                <w:sz w:val="18"/>
              </w:rPr>
              <w:t>recreational physical </w:t>
            </w:r>
            <w:r>
              <w:rPr>
                <w:color w:val="105C84"/>
                <w:sz w:val="18"/>
              </w:rPr>
              <w:t>activity for people of</w:t>
            </w:r>
          </w:p>
          <w:p>
            <w:pPr>
              <w:pStyle w:val="TableParagraph"/>
              <w:spacing w:line="232" w:lineRule="auto"/>
              <w:ind w:left="89" w:right="319"/>
              <w:rPr>
                <w:sz w:val="18"/>
              </w:rPr>
            </w:pPr>
            <w:r>
              <w:rPr>
                <w:color w:val="105C84"/>
                <w:sz w:val="18"/>
              </w:rPr>
              <w:t>all</w:t>
            </w:r>
            <w:r>
              <w:rPr>
                <w:color w:val="105C84"/>
                <w:spacing w:val="-15"/>
                <w:sz w:val="18"/>
              </w:rPr>
              <w:t> </w:t>
            </w:r>
            <w:r>
              <w:rPr>
                <w:color w:val="105C84"/>
                <w:sz w:val="18"/>
              </w:rPr>
              <w:t>ages</w:t>
            </w:r>
            <w:r>
              <w:rPr>
                <w:color w:val="105C84"/>
                <w:spacing w:val="-12"/>
                <w:sz w:val="18"/>
              </w:rPr>
              <w:t> </w:t>
            </w:r>
            <w:r>
              <w:rPr>
                <w:color w:val="105C84"/>
                <w:sz w:val="18"/>
              </w:rPr>
              <w:t>and </w:t>
            </w:r>
            <w:r>
              <w:rPr>
                <w:color w:val="105C84"/>
                <w:spacing w:val="-2"/>
                <w:sz w:val="18"/>
              </w:rPr>
              <w:t>abilities</w:t>
            </w:r>
          </w:p>
        </w:tc>
        <w:tc>
          <w:tcPr>
            <w:tcW w:w="1411" w:type="dxa"/>
          </w:tcPr>
          <w:p>
            <w:pPr>
              <w:pStyle w:val="TableParagraph"/>
              <w:spacing w:line="232" w:lineRule="auto" w:before="99"/>
              <w:ind w:left="90" w:right="103"/>
              <w:rPr>
                <w:sz w:val="18"/>
              </w:rPr>
            </w:pPr>
            <w:r>
              <w:rPr>
                <w:color w:val="105C84"/>
                <w:sz w:val="18"/>
              </w:rPr>
              <w:t>Objective</w:t>
            </w:r>
            <w:r>
              <w:rPr>
                <w:color w:val="105C84"/>
                <w:spacing w:val="-13"/>
                <w:sz w:val="18"/>
              </w:rPr>
              <w:t> </w:t>
            </w:r>
            <w:r>
              <w:rPr>
                <w:color w:val="105C84"/>
                <w:sz w:val="18"/>
              </w:rPr>
              <w:t>1.15: Increase the </w:t>
            </w:r>
            <w:r>
              <w:rPr>
                <w:color w:val="105C84"/>
                <w:spacing w:val="-2"/>
                <w:sz w:val="18"/>
              </w:rPr>
              <w:t>percentage</w:t>
            </w:r>
          </w:p>
          <w:p>
            <w:pPr>
              <w:pStyle w:val="TableParagraph"/>
              <w:spacing w:line="232" w:lineRule="auto"/>
              <w:ind w:left="90" w:right="104"/>
              <w:rPr>
                <w:sz w:val="18"/>
              </w:rPr>
            </w:pPr>
            <w:r>
              <w:rPr>
                <w:color w:val="105C84"/>
                <w:sz w:val="18"/>
              </w:rPr>
              <w:t>of adults age 18 and over who walk or bike to get</w:t>
            </w:r>
            <w:r>
              <w:rPr>
                <w:color w:val="105C84"/>
                <w:spacing w:val="40"/>
                <w:sz w:val="18"/>
              </w:rPr>
              <w:t> </w:t>
            </w:r>
            <w:r>
              <w:rPr>
                <w:color w:val="105C84"/>
                <w:sz w:val="18"/>
              </w:rPr>
              <w:t>from</w:t>
            </w:r>
            <w:r>
              <w:rPr>
                <w:color w:val="105C84"/>
                <w:spacing w:val="-12"/>
                <w:sz w:val="18"/>
              </w:rPr>
              <w:t> </w:t>
            </w:r>
            <w:r>
              <w:rPr>
                <w:color w:val="105C84"/>
                <w:sz w:val="18"/>
              </w:rPr>
              <w:t>one</w:t>
            </w:r>
            <w:r>
              <w:rPr>
                <w:color w:val="105C84"/>
                <w:spacing w:val="-12"/>
                <w:sz w:val="18"/>
              </w:rPr>
              <w:t> </w:t>
            </w:r>
            <w:r>
              <w:rPr>
                <w:color w:val="105C84"/>
                <w:sz w:val="18"/>
              </w:rPr>
              <w:t>place to another (among all </w:t>
            </w:r>
            <w:r>
              <w:rPr>
                <w:color w:val="105C84"/>
                <w:spacing w:val="-2"/>
                <w:sz w:val="18"/>
              </w:rPr>
              <w:t>adults)</w:t>
            </w:r>
          </w:p>
        </w:tc>
        <w:tc>
          <w:tcPr>
            <w:tcW w:w="1152" w:type="dxa"/>
          </w:tcPr>
          <w:p>
            <w:pPr>
              <w:pStyle w:val="TableParagraph"/>
              <w:rPr>
                <w:rFonts w:ascii="Times New Roman"/>
                <w:sz w:val="18"/>
              </w:rPr>
            </w:pPr>
          </w:p>
        </w:tc>
        <w:tc>
          <w:tcPr>
            <w:tcW w:w="1901" w:type="dxa"/>
          </w:tcPr>
          <w:p>
            <w:pPr>
              <w:pStyle w:val="TableParagraph"/>
              <w:spacing w:line="232" w:lineRule="auto" w:before="99"/>
              <w:ind w:left="90" w:right="430"/>
              <w:rPr>
                <w:sz w:val="18"/>
              </w:rPr>
            </w:pPr>
            <w:r>
              <w:rPr>
                <w:color w:val="105C84"/>
                <w:sz w:val="18"/>
              </w:rPr>
              <w:t>2.1.1 Implement a</w:t>
            </w:r>
            <w:r>
              <w:rPr>
                <w:color w:val="105C84"/>
                <w:spacing w:val="-4"/>
                <w:sz w:val="18"/>
              </w:rPr>
              <w:t> </w:t>
            </w:r>
            <w:r>
              <w:rPr>
                <w:color w:val="105C84"/>
                <w:sz w:val="18"/>
              </w:rPr>
              <w:t>combination</w:t>
            </w:r>
            <w:r>
              <w:rPr>
                <w:color w:val="105C84"/>
                <w:spacing w:val="-4"/>
                <w:sz w:val="18"/>
              </w:rPr>
              <w:t> </w:t>
            </w:r>
            <w:r>
              <w:rPr>
                <w:color w:val="105C84"/>
                <w:sz w:val="18"/>
              </w:rPr>
              <w:t>of</w:t>
            </w:r>
          </w:p>
          <w:p>
            <w:pPr>
              <w:pStyle w:val="TableParagraph"/>
              <w:spacing w:line="232" w:lineRule="auto"/>
              <w:ind w:left="90" w:right="109"/>
              <w:rPr>
                <w:sz w:val="18"/>
              </w:rPr>
            </w:pPr>
            <w:r>
              <w:rPr>
                <w:color w:val="105C84"/>
                <w:sz w:val="18"/>
              </w:rPr>
              <w:t>one or more new or improved</w:t>
            </w:r>
            <w:r>
              <w:rPr>
                <w:color w:val="105C84"/>
                <w:spacing w:val="-9"/>
                <w:sz w:val="18"/>
              </w:rPr>
              <w:t> </w:t>
            </w:r>
            <w:r>
              <w:rPr>
                <w:color w:val="105C84"/>
                <w:sz w:val="18"/>
              </w:rPr>
              <w:t>pedestrian, bicycle, or transit </w:t>
            </w:r>
            <w:r>
              <w:rPr>
                <w:color w:val="105C84"/>
                <w:spacing w:val="-2"/>
                <w:sz w:val="18"/>
              </w:rPr>
              <w:t>transportation</w:t>
            </w:r>
            <w:r>
              <w:rPr>
                <w:color w:val="105C84"/>
                <w:spacing w:val="80"/>
                <w:sz w:val="18"/>
              </w:rPr>
              <w:t> </w:t>
            </w:r>
            <w:r>
              <w:rPr>
                <w:color w:val="105C84"/>
                <w:sz w:val="18"/>
              </w:rPr>
              <w:t>system components (i.e., activity-friendly </w:t>
            </w:r>
            <w:r>
              <w:rPr>
                <w:color w:val="105C84"/>
                <w:spacing w:val="-2"/>
                <w:sz w:val="18"/>
              </w:rPr>
              <w:t>routes)</w:t>
            </w:r>
          </w:p>
        </w:tc>
        <w:tc>
          <w:tcPr>
            <w:tcW w:w="3270" w:type="dxa"/>
            <w:tcBorders>
              <w:right w:val="nil"/>
            </w:tcBorders>
          </w:tcPr>
          <w:p>
            <w:pPr>
              <w:pStyle w:val="TableParagraph"/>
              <w:spacing w:line="232" w:lineRule="auto" w:before="99"/>
              <w:ind w:left="90" w:right="1065"/>
              <w:rPr>
                <w:sz w:val="18"/>
              </w:rPr>
            </w:pPr>
            <w:r>
              <w:rPr>
                <w:color w:val="105C84"/>
                <w:sz w:val="18"/>
              </w:rPr>
              <w:t>Creating Health Schools </w:t>
            </w:r>
            <w:r>
              <w:rPr>
                <w:color w:val="105C84"/>
                <w:spacing w:val="-2"/>
                <w:sz w:val="18"/>
              </w:rPr>
              <w:t>and</w:t>
            </w:r>
            <w:r>
              <w:rPr>
                <w:color w:val="105C84"/>
                <w:spacing w:val="-13"/>
                <w:sz w:val="18"/>
              </w:rPr>
              <w:t> </w:t>
            </w:r>
            <w:r>
              <w:rPr>
                <w:color w:val="105C84"/>
                <w:spacing w:val="-2"/>
                <w:sz w:val="18"/>
              </w:rPr>
              <w:t>Communities</w:t>
            </w:r>
            <w:r>
              <w:rPr>
                <w:color w:val="105C84"/>
                <w:spacing w:val="-10"/>
                <w:sz w:val="18"/>
              </w:rPr>
              <w:t> </w:t>
            </w:r>
            <w:r>
              <w:rPr>
                <w:color w:val="105C84"/>
                <w:spacing w:val="-2"/>
                <w:sz w:val="18"/>
              </w:rPr>
              <w:t>(CHSC) </w:t>
            </w:r>
            <w:r>
              <w:rPr>
                <w:color w:val="105C84"/>
                <w:sz w:val="18"/>
              </w:rPr>
              <w:t>and Chemung County Planning - # Complete Streets policies adopted</w:t>
            </w:r>
          </w:p>
        </w:tc>
        <w:tc>
          <w:tcPr>
            <w:tcW w:w="3894" w:type="dxa"/>
            <w:tcBorders>
              <w:left w:val="nil"/>
            </w:tcBorders>
          </w:tcPr>
          <w:p>
            <w:pPr>
              <w:pStyle w:val="TableParagraph"/>
              <w:spacing w:line="232" w:lineRule="auto" w:before="99"/>
              <w:ind w:left="954" w:right="53"/>
              <w:rPr>
                <w:sz w:val="18"/>
              </w:rPr>
            </w:pPr>
            <w:r>
              <w:rPr>
                <w:color w:val="105C84"/>
                <w:sz w:val="18"/>
              </w:rPr>
              <w:t>Town</w:t>
            </w:r>
            <w:r>
              <w:rPr>
                <w:color w:val="105C84"/>
                <w:spacing w:val="-15"/>
                <w:sz w:val="18"/>
              </w:rPr>
              <w:t> </w:t>
            </w:r>
            <w:r>
              <w:rPr>
                <w:color w:val="105C84"/>
                <w:sz w:val="18"/>
              </w:rPr>
              <w:t>of</w:t>
            </w:r>
            <w:r>
              <w:rPr>
                <w:color w:val="105C84"/>
                <w:spacing w:val="-12"/>
                <w:sz w:val="18"/>
              </w:rPr>
              <w:t> </w:t>
            </w:r>
            <w:r>
              <w:rPr>
                <w:color w:val="105C84"/>
                <w:sz w:val="18"/>
              </w:rPr>
              <w:t>Elmira:</w:t>
            </w:r>
            <w:r>
              <w:rPr>
                <w:color w:val="105C84"/>
                <w:spacing w:val="-13"/>
                <w:sz w:val="18"/>
              </w:rPr>
              <w:t> </w:t>
            </w:r>
            <w:r>
              <w:rPr>
                <w:color w:val="105C84"/>
                <w:sz w:val="18"/>
              </w:rPr>
              <w:t>Complete</w:t>
            </w:r>
            <w:r>
              <w:rPr>
                <w:color w:val="105C84"/>
                <w:spacing w:val="-12"/>
                <w:sz w:val="18"/>
              </w:rPr>
              <w:t> </w:t>
            </w:r>
            <w:r>
              <w:rPr>
                <w:color w:val="105C84"/>
                <w:sz w:val="18"/>
              </w:rPr>
              <w:t>Streets Traffic Calming Signage</w:t>
            </w:r>
          </w:p>
          <w:p>
            <w:pPr>
              <w:pStyle w:val="TableParagraph"/>
              <w:spacing w:line="232" w:lineRule="auto" w:before="88"/>
              <w:ind w:left="954" w:right="60"/>
              <w:rPr>
                <w:sz w:val="18"/>
              </w:rPr>
            </w:pPr>
            <w:r>
              <w:rPr>
                <w:color w:val="105C84"/>
                <w:w w:val="105"/>
                <w:sz w:val="18"/>
              </w:rPr>
              <w:t>Town of Southport: Complete Street Implementation Project to </w:t>
            </w:r>
            <w:r>
              <w:rPr>
                <w:color w:val="105C84"/>
                <w:spacing w:val="-2"/>
                <w:sz w:val="18"/>
              </w:rPr>
              <w:t>increase</w:t>
            </w:r>
            <w:r>
              <w:rPr>
                <w:color w:val="105C84"/>
                <w:spacing w:val="-6"/>
                <w:sz w:val="18"/>
              </w:rPr>
              <w:t> </w:t>
            </w:r>
            <w:r>
              <w:rPr>
                <w:color w:val="105C84"/>
                <w:spacing w:val="-2"/>
                <w:sz w:val="18"/>
              </w:rPr>
              <w:t>community</w:t>
            </w:r>
            <w:r>
              <w:rPr>
                <w:color w:val="105C84"/>
                <w:spacing w:val="-6"/>
                <w:sz w:val="18"/>
              </w:rPr>
              <w:t> </w:t>
            </w:r>
            <w:r>
              <w:rPr>
                <w:color w:val="105C84"/>
                <w:spacing w:val="-2"/>
                <w:sz w:val="18"/>
              </w:rPr>
              <w:t>physical</w:t>
            </w:r>
            <w:r>
              <w:rPr>
                <w:color w:val="105C84"/>
                <w:spacing w:val="-6"/>
                <w:sz w:val="18"/>
              </w:rPr>
              <w:t> </w:t>
            </w:r>
            <w:r>
              <w:rPr>
                <w:color w:val="105C84"/>
                <w:spacing w:val="-2"/>
                <w:sz w:val="18"/>
              </w:rPr>
              <w:t>fitness </w:t>
            </w:r>
            <w:r>
              <w:rPr>
                <w:color w:val="105C84"/>
                <w:w w:val="105"/>
                <w:sz w:val="18"/>
              </w:rPr>
              <w:t>– fit stations</w:t>
            </w:r>
          </w:p>
          <w:p>
            <w:pPr>
              <w:pStyle w:val="TableParagraph"/>
              <w:spacing w:line="232" w:lineRule="auto" w:before="87"/>
              <w:ind w:left="954" w:right="123"/>
              <w:rPr>
                <w:sz w:val="18"/>
              </w:rPr>
            </w:pPr>
            <w:r>
              <w:rPr>
                <w:color w:val="105C84"/>
                <w:sz w:val="18"/>
              </w:rPr>
              <w:t>Walking College - planning a Complete Streets </w:t>
            </w:r>
            <w:r>
              <w:rPr>
                <w:color w:val="105C84"/>
                <w:sz w:val="18"/>
              </w:rPr>
              <w:t>implementation project to increase community physical fitness and boost economic development</w:t>
            </w:r>
          </w:p>
        </w:tc>
        <w:tc>
          <w:tcPr>
            <w:tcW w:w="1843" w:type="dxa"/>
          </w:tcPr>
          <w:p>
            <w:pPr>
              <w:pStyle w:val="TableParagraph"/>
              <w:spacing w:line="232" w:lineRule="auto" w:before="98"/>
              <w:ind w:left="90" w:right="197"/>
              <w:rPr>
                <w:sz w:val="18"/>
              </w:rPr>
            </w:pPr>
            <w:r>
              <w:rPr>
                <w:color w:val="105C84"/>
                <w:sz w:val="18"/>
              </w:rPr>
              <w:t>#</w:t>
            </w:r>
            <w:r>
              <w:rPr>
                <w:color w:val="105C84"/>
                <w:spacing w:val="-15"/>
                <w:sz w:val="18"/>
              </w:rPr>
              <w:t> </w:t>
            </w:r>
            <w:r>
              <w:rPr>
                <w:color w:val="105C84"/>
                <w:sz w:val="18"/>
              </w:rPr>
              <w:t>Complete</w:t>
            </w:r>
            <w:r>
              <w:rPr>
                <w:color w:val="105C84"/>
                <w:spacing w:val="-12"/>
                <w:sz w:val="18"/>
              </w:rPr>
              <w:t> </w:t>
            </w:r>
            <w:r>
              <w:rPr>
                <w:color w:val="105C84"/>
                <w:sz w:val="18"/>
              </w:rPr>
              <w:t>Streets policies adopted</w:t>
            </w:r>
          </w:p>
        </w:tc>
        <w:tc>
          <w:tcPr>
            <w:tcW w:w="1843" w:type="dxa"/>
          </w:tcPr>
          <w:p>
            <w:pPr>
              <w:pStyle w:val="TableParagraph"/>
              <w:spacing w:line="232" w:lineRule="auto" w:before="98"/>
              <w:ind w:left="90" w:right="197"/>
              <w:rPr>
                <w:sz w:val="18"/>
              </w:rPr>
            </w:pPr>
            <w:r>
              <w:rPr>
                <w:color w:val="105C84"/>
                <w:sz w:val="18"/>
              </w:rPr>
              <w:t>#</w:t>
            </w:r>
            <w:r>
              <w:rPr>
                <w:color w:val="105C84"/>
                <w:spacing w:val="-15"/>
                <w:sz w:val="18"/>
              </w:rPr>
              <w:t> </w:t>
            </w:r>
            <w:r>
              <w:rPr>
                <w:color w:val="105C84"/>
                <w:sz w:val="18"/>
              </w:rPr>
              <w:t>Complete</w:t>
            </w:r>
            <w:r>
              <w:rPr>
                <w:color w:val="105C84"/>
                <w:spacing w:val="-12"/>
                <w:sz w:val="18"/>
              </w:rPr>
              <w:t> </w:t>
            </w:r>
            <w:r>
              <w:rPr>
                <w:color w:val="105C84"/>
                <w:sz w:val="18"/>
              </w:rPr>
              <w:t>Streets policies adopted</w:t>
            </w:r>
          </w:p>
        </w:tc>
        <w:tc>
          <w:tcPr>
            <w:tcW w:w="1670" w:type="dxa"/>
          </w:tcPr>
          <w:p>
            <w:pPr>
              <w:pStyle w:val="TableParagraph"/>
              <w:spacing w:line="232" w:lineRule="auto" w:before="98"/>
              <w:ind w:left="90"/>
              <w:rPr>
                <w:sz w:val="18"/>
              </w:rPr>
            </w:pPr>
            <w:r>
              <w:rPr>
                <w:color w:val="105C84"/>
                <w:spacing w:val="-2"/>
                <w:sz w:val="18"/>
              </w:rPr>
              <w:t>Community-</w:t>
            </w:r>
            <w:r>
              <w:rPr>
                <w:color w:val="105C84"/>
                <w:spacing w:val="-2"/>
                <w:sz w:val="18"/>
              </w:rPr>
              <w:t>based organizations</w:t>
            </w:r>
          </w:p>
        </w:tc>
        <w:tc>
          <w:tcPr>
            <w:tcW w:w="1751" w:type="dxa"/>
          </w:tcPr>
          <w:p>
            <w:pPr>
              <w:pStyle w:val="TableParagraph"/>
              <w:spacing w:line="232" w:lineRule="auto" w:before="98"/>
              <w:ind w:left="90" w:right="110"/>
              <w:rPr>
                <w:sz w:val="18"/>
              </w:rPr>
            </w:pPr>
            <w:r>
              <w:rPr>
                <w:color w:val="105C84"/>
                <w:sz w:val="18"/>
              </w:rPr>
              <w:t>CHSC</w:t>
            </w:r>
            <w:r>
              <w:rPr>
                <w:color w:val="105C84"/>
                <w:spacing w:val="-13"/>
                <w:sz w:val="18"/>
              </w:rPr>
              <w:t> </w:t>
            </w:r>
            <w:r>
              <w:rPr>
                <w:color w:val="105C84"/>
                <w:sz w:val="18"/>
              </w:rPr>
              <w:t>responsible for intervention providing needed </w:t>
            </w:r>
            <w:r>
              <w:rPr>
                <w:color w:val="105C84"/>
                <w:spacing w:val="-2"/>
                <w:sz w:val="18"/>
              </w:rPr>
              <w:t>staff</w:t>
            </w:r>
            <w:r>
              <w:rPr>
                <w:color w:val="105C84"/>
                <w:spacing w:val="-13"/>
                <w:sz w:val="18"/>
              </w:rPr>
              <w:t> </w:t>
            </w:r>
            <w:r>
              <w:rPr>
                <w:color w:val="105C84"/>
                <w:spacing w:val="-2"/>
                <w:sz w:val="18"/>
              </w:rPr>
              <w:t>and</w:t>
            </w:r>
            <w:r>
              <w:rPr>
                <w:color w:val="105C84"/>
                <w:spacing w:val="-10"/>
                <w:sz w:val="18"/>
              </w:rPr>
              <w:t> </w:t>
            </w:r>
            <w:r>
              <w:rPr>
                <w:color w:val="105C84"/>
                <w:spacing w:val="-2"/>
                <w:sz w:val="18"/>
              </w:rPr>
              <w:t>resources </w:t>
            </w:r>
            <w:r>
              <w:rPr>
                <w:color w:val="105C84"/>
                <w:sz w:val="18"/>
              </w:rPr>
              <w:t>to meet measures with assistance from Health Priorities Partners as needed</w:t>
            </w:r>
          </w:p>
        </w:tc>
      </w:tr>
    </w:tbl>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75"/>
        <w:rPr>
          <w:b/>
          <w:sz w:val="26"/>
        </w:rPr>
      </w:pPr>
    </w:p>
    <w:p>
      <w:pPr>
        <w:tabs>
          <w:tab w:pos="23047" w:val="left" w:leader="none"/>
        </w:tabs>
        <w:spacing w:before="0"/>
        <w:ind w:left="0" w:right="0" w:firstLine="0"/>
        <w:jc w:val="left"/>
        <w:rPr>
          <w:b/>
          <w:sz w:val="26"/>
        </w:rPr>
      </w:pPr>
      <w:r>
        <w:rPr>
          <w:position w:val="-4"/>
        </w:rPr>
        <w:drawing>
          <wp:inline distT="0" distB="0" distL="0" distR="0">
            <wp:extent cx="568172" cy="184683"/>
            <wp:effectExtent l="0" t="0" r="0" b="0"/>
            <wp:docPr id="1737" name="Image 1737"/>
            <wp:cNvGraphicFramePr>
              <a:graphicFrameLocks/>
            </wp:cNvGraphicFramePr>
            <a:graphic>
              <a:graphicData uri="http://schemas.openxmlformats.org/drawingml/2006/picture">
                <pic:pic>
                  <pic:nvPicPr>
                    <pic:cNvPr id="1737" name="Image 1737"/>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13"/>
          <w:sz w:val="20"/>
        </w:rPr>
        <w:t> </w:t>
      </w:r>
      <w:r>
        <w:rPr>
          <w:b/>
          <w:color w:val="939598"/>
          <w:w w:val="105"/>
          <w:sz w:val="26"/>
        </w:rPr>
        <w:t>121</w:t>
      </w:r>
      <w:r>
        <w:rPr>
          <w:b/>
          <w:color w:val="939598"/>
          <w:sz w:val="26"/>
        </w:rPr>
        <w:tab/>
      </w:r>
      <w:r>
        <w:rPr>
          <w:b/>
          <w:color w:val="939598"/>
          <w:spacing w:val="-5"/>
          <w:w w:val="105"/>
          <w:sz w:val="26"/>
        </w:rPr>
        <w:t>122</w:t>
      </w:r>
    </w:p>
    <w:p>
      <w:pPr>
        <w:spacing w:after="0"/>
        <w:jc w:val="left"/>
        <w:rPr>
          <w:b/>
          <w:sz w:val="26"/>
        </w:rPr>
        <w:sectPr>
          <w:pgSz w:w="24480" w:h="15840" w:orient="landscape"/>
          <w:pgMar w:header="0" w:footer="0" w:top="860" w:bottom="0" w:left="0" w:right="720"/>
        </w:sectPr>
      </w:pPr>
    </w:p>
    <w:p>
      <w:pPr>
        <w:spacing w:before="607"/>
        <w:ind w:left="1089" w:right="0" w:firstLine="0"/>
        <w:jc w:val="left"/>
        <w:rPr>
          <w:sz w:val="54"/>
        </w:rPr>
      </w:pPr>
      <w:r>
        <w:rPr>
          <w:sz w:val="54"/>
        </w:rPr>
        <w:drawing>
          <wp:anchor distT="0" distB="0" distL="0" distR="0" allowOverlap="1" layoutInCell="1" locked="0" behindDoc="0" simplePos="0" relativeHeight="15923712">
            <wp:simplePos x="0" y="0"/>
            <wp:positionH relativeFrom="page">
              <wp:posOffset>14981556</wp:posOffset>
            </wp:positionH>
            <wp:positionV relativeFrom="page">
              <wp:posOffset>9668103</wp:posOffset>
            </wp:positionV>
            <wp:extent cx="563245" cy="184683"/>
            <wp:effectExtent l="0" t="0" r="0" b="0"/>
            <wp:wrapNone/>
            <wp:docPr id="1738" name="Image 1738"/>
            <wp:cNvGraphicFramePr>
              <a:graphicFrameLocks/>
            </wp:cNvGraphicFramePr>
            <a:graphic>
              <a:graphicData uri="http://schemas.openxmlformats.org/drawingml/2006/picture">
                <pic:pic>
                  <pic:nvPicPr>
                    <pic:cNvPr id="1738" name="Image 1738"/>
                    <pic:cNvPicPr/>
                  </pic:nvPicPr>
                  <pic:blipFill>
                    <a:blip r:embed="rId38" cstate="print"/>
                    <a:stretch>
                      <a:fillRect/>
                    </a:stretch>
                  </pic:blipFill>
                  <pic:spPr>
                    <a:xfrm>
                      <a:off x="0" y="0"/>
                      <a:ext cx="563245" cy="184683"/>
                    </a:xfrm>
                    <a:prstGeom prst="rect">
                      <a:avLst/>
                    </a:prstGeom>
                  </pic:spPr>
                </pic:pic>
              </a:graphicData>
            </a:graphic>
          </wp:anchor>
        </w:drawing>
      </w:r>
      <w:r>
        <w:rPr>
          <w:sz w:val="54"/>
        </w:rPr>
        <mc:AlternateContent>
          <mc:Choice Requires="wps">
            <w:drawing>
              <wp:anchor distT="0" distB="0" distL="0" distR="0" allowOverlap="1" layoutInCell="1" locked="0" behindDoc="0" simplePos="0" relativeHeight="15924224">
                <wp:simplePos x="0" y="0"/>
                <wp:positionH relativeFrom="page">
                  <wp:posOffset>12965593</wp:posOffset>
                </wp:positionH>
                <wp:positionV relativeFrom="paragraph">
                  <wp:posOffset>292608</wp:posOffset>
                </wp:positionV>
                <wp:extent cx="1918970" cy="681990"/>
                <wp:effectExtent l="0" t="0" r="0" b="0"/>
                <wp:wrapNone/>
                <wp:docPr id="1739" name="Group 1739"/>
                <wp:cNvGraphicFramePr>
                  <a:graphicFrameLocks/>
                </wp:cNvGraphicFramePr>
                <a:graphic>
                  <a:graphicData uri="http://schemas.microsoft.com/office/word/2010/wordprocessingGroup">
                    <wpg:wgp>
                      <wpg:cNvPr id="1739" name="Group 1739"/>
                      <wpg:cNvGrpSpPr/>
                      <wpg:grpSpPr>
                        <a:xfrm>
                          <a:off x="0" y="0"/>
                          <a:ext cx="1918970" cy="681990"/>
                          <a:chExt cx="1918970" cy="681990"/>
                        </a:xfrm>
                      </wpg:grpSpPr>
                      <pic:pic>
                        <pic:nvPicPr>
                          <pic:cNvPr id="1740" name="Image 1740"/>
                          <pic:cNvPicPr/>
                        </pic:nvPicPr>
                        <pic:blipFill>
                          <a:blip r:embed="rId241" cstate="print"/>
                          <a:stretch>
                            <a:fillRect/>
                          </a:stretch>
                        </pic:blipFill>
                        <pic:spPr>
                          <a:xfrm>
                            <a:off x="1275703" y="0"/>
                            <a:ext cx="643101" cy="681824"/>
                          </a:xfrm>
                          <a:prstGeom prst="rect">
                            <a:avLst/>
                          </a:prstGeom>
                        </pic:spPr>
                      </pic:pic>
                      <pic:pic>
                        <pic:nvPicPr>
                          <pic:cNvPr id="1741" name="Image 1741"/>
                          <pic:cNvPicPr/>
                        </pic:nvPicPr>
                        <pic:blipFill>
                          <a:blip r:embed="rId242" cstate="print"/>
                          <a:stretch>
                            <a:fillRect/>
                          </a:stretch>
                        </pic:blipFill>
                        <pic:spPr>
                          <a:xfrm>
                            <a:off x="0" y="91440"/>
                            <a:ext cx="1232015" cy="261461"/>
                          </a:xfrm>
                          <a:prstGeom prst="rect">
                            <a:avLst/>
                          </a:prstGeom>
                        </pic:spPr>
                      </pic:pic>
                    </wpg:wgp>
                  </a:graphicData>
                </a:graphic>
              </wp:anchor>
            </w:drawing>
          </mc:Choice>
          <mc:Fallback>
            <w:pict>
              <v:group style="position:absolute;margin-left:1020.912903pt;margin-top:23.040001pt;width:151.1pt;height:53.7pt;mso-position-horizontal-relative:page;mso-position-vertical-relative:paragraph;z-index:15924224" id="docshapegroup1371" coordorigin="20418,461" coordsize="3022,1074">
                <v:shape style="position:absolute;left:22427;top:460;width:1013;height:1074" type="#_x0000_t75" id="docshape1372" stroked="false">
                  <v:imagedata r:id="rId241" o:title=""/>
                </v:shape>
                <v:shape style="position:absolute;left:20418;top:604;width:1941;height:412" type="#_x0000_t75" id="docshape1373" stroked="false">
                  <v:imagedata r:id="rId242" o:title=""/>
                </v:shape>
                <w10:wrap type="none"/>
              </v:group>
            </w:pict>
          </mc:Fallback>
        </mc:AlternateContent>
      </w:r>
      <w:r>
        <w:rPr>
          <w:color w:val="636466"/>
          <w:sz w:val="54"/>
        </w:rPr>
        <w:t>Chemung</w:t>
      </w:r>
      <w:r>
        <w:rPr>
          <w:color w:val="636466"/>
          <w:spacing w:val="62"/>
          <w:sz w:val="54"/>
        </w:rPr>
        <w:t> </w:t>
      </w:r>
      <w:r>
        <w:rPr>
          <w:color w:val="636466"/>
          <w:sz w:val="54"/>
        </w:rPr>
        <w:t>County</w:t>
      </w:r>
      <w:r>
        <w:rPr>
          <w:color w:val="636466"/>
          <w:spacing w:val="62"/>
          <w:sz w:val="54"/>
        </w:rPr>
        <w:t> </w:t>
      </w:r>
      <w:r>
        <w:rPr>
          <w:color w:val="636466"/>
          <w:sz w:val="54"/>
        </w:rPr>
        <w:t>Appendix</w:t>
      </w:r>
      <w:r>
        <w:rPr>
          <w:color w:val="636466"/>
          <w:spacing w:val="63"/>
          <w:sz w:val="54"/>
        </w:rPr>
        <w:t> </w:t>
      </w:r>
      <w:r>
        <w:rPr>
          <w:color w:val="636466"/>
          <w:spacing w:val="-10"/>
          <w:sz w:val="54"/>
        </w:rPr>
        <w:t>A</w:t>
      </w:r>
    </w:p>
    <w:p>
      <w:pPr>
        <w:spacing w:before="235"/>
        <w:ind w:left="1089" w:right="0" w:firstLine="0"/>
        <w:jc w:val="left"/>
        <w:rPr>
          <w:b/>
          <w:sz w:val="32"/>
        </w:rPr>
      </w:pPr>
      <w:r>
        <w:rPr>
          <w:b/>
          <w:color w:val="82BF6A"/>
          <w:spacing w:val="-8"/>
          <w:sz w:val="32"/>
        </w:rPr>
        <w:t>PRIORITY:</w:t>
      </w:r>
      <w:r>
        <w:rPr>
          <w:b/>
          <w:color w:val="82BF6A"/>
          <w:spacing w:val="-13"/>
          <w:sz w:val="32"/>
        </w:rPr>
        <w:t> </w:t>
      </w:r>
      <w:r>
        <w:rPr>
          <w:b/>
          <w:color w:val="82BF6A"/>
          <w:spacing w:val="-8"/>
          <w:sz w:val="32"/>
        </w:rPr>
        <w:t>PREVENT</w:t>
      </w:r>
      <w:r>
        <w:rPr>
          <w:b/>
          <w:color w:val="82BF6A"/>
          <w:spacing w:val="-13"/>
          <w:sz w:val="32"/>
        </w:rPr>
        <w:t> </w:t>
      </w:r>
      <w:r>
        <w:rPr>
          <w:b/>
          <w:color w:val="82BF6A"/>
          <w:spacing w:val="-8"/>
          <w:sz w:val="32"/>
        </w:rPr>
        <w:t>CHRONIC</w:t>
      </w:r>
      <w:r>
        <w:rPr>
          <w:b/>
          <w:color w:val="82BF6A"/>
          <w:spacing w:val="-12"/>
          <w:sz w:val="32"/>
        </w:rPr>
        <w:t> </w:t>
      </w:r>
      <w:r>
        <w:rPr>
          <w:b/>
          <w:color w:val="82BF6A"/>
          <w:spacing w:val="-8"/>
          <w:sz w:val="32"/>
        </w:rPr>
        <w:t>DISEASES,</w:t>
      </w:r>
      <w:r>
        <w:rPr>
          <w:b/>
          <w:color w:val="82BF6A"/>
          <w:spacing w:val="-13"/>
          <w:sz w:val="32"/>
        </w:rPr>
        <w:t> </w:t>
      </w:r>
      <w:r>
        <w:rPr>
          <w:b/>
          <w:color w:val="82BF6A"/>
          <w:spacing w:val="-8"/>
          <w:sz w:val="32"/>
        </w:rPr>
        <w:t>PHYSICAL</w:t>
      </w:r>
      <w:r>
        <w:rPr>
          <w:b/>
          <w:color w:val="82BF6A"/>
          <w:spacing w:val="-13"/>
          <w:sz w:val="32"/>
        </w:rPr>
        <w:t> </w:t>
      </w:r>
      <w:r>
        <w:rPr>
          <w:b/>
          <w:color w:val="82BF6A"/>
          <w:spacing w:val="-8"/>
          <w:sz w:val="32"/>
        </w:rPr>
        <w:t>ACTIVITY</w:t>
      </w:r>
    </w:p>
    <w:p>
      <w:pPr>
        <w:pStyle w:val="BodyText"/>
        <w:spacing w:before="8"/>
        <w:rPr>
          <w:b/>
          <w:sz w:val="16"/>
        </w:rPr>
      </w:pPr>
    </w:p>
    <w:tbl>
      <w:tblPr>
        <w:tblW w:w="0" w:type="auto"/>
        <w:jc w:val="left"/>
        <w:tblInd w:w="1099"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950"/>
        <w:gridCol w:w="1152"/>
        <w:gridCol w:w="1354"/>
        <w:gridCol w:w="1498"/>
        <w:gridCol w:w="1181"/>
        <w:gridCol w:w="2218"/>
        <w:gridCol w:w="6869"/>
        <w:gridCol w:w="1771"/>
        <w:gridCol w:w="1843"/>
        <w:gridCol w:w="1685"/>
        <w:gridCol w:w="1795"/>
      </w:tblGrid>
      <w:tr>
        <w:trPr>
          <w:trHeight w:val="990" w:hRule="atLeast"/>
        </w:trPr>
        <w:tc>
          <w:tcPr>
            <w:tcW w:w="950" w:type="dxa"/>
            <w:tcBorders>
              <w:right w:val="single" w:sz="4" w:space="0" w:color="FFFFFF"/>
            </w:tcBorders>
            <w:shd w:val="clear" w:color="auto" w:fill="A7A9AC"/>
          </w:tcPr>
          <w:p>
            <w:pPr>
              <w:pStyle w:val="TableParagraph"/>
              <w:spacing w:before="177"/>
              <w:rPr>
                <w:b/>
                <w:sz w:val="20"/>
              </w:rPr>
            </w:pPr>
          </w:p>
          <w:p>
            <w:pPr>
              <w:pStyle w:val="TableParagraph"/>
              <w:ind w:left="79"/>
              <w:rPr>
                <w:b/>
                <w:sz w:val="20"/>
              </w:rPr>
            </w:pPr>
            <w:r>
              <w:rPr>
                <w:b/>
                <w:color w:val="FFFFFF"/>
                <w:spacing w:val="-2"/>
                <w:sz w:val="20"/>
              </w:rPr>
              <w:t>Priority</w:t>
            </w:r>
          </w:p>
        </w:tc>
        <w:tc>
          <w:tcPr>
            <w:tcW w:w="1152" w:type="dxa"/>
            <w:tcBorders>
              <w:left w:val="single" w:sz="4" w:space="0" w:color="FFFFFF"/>
              <w:right w:val="single" w:sz="4" w:space="0" w:color="FFFFFF"/>
            </w:tcBorders>
            <w:shd w:val="clear" w:color="auto" w:fill="A7A9AC"/>
          </w:tcPr>
          <w:p>
            <w:pPr>
              <w:pStyle w:val="TableParagraph"/>
              <w:spacing w:before="74"/>
              <w:rPr>
                <w:b/>
                <w:sz w:val="20"/>
              </w:rPr>
            </w:pPr>
          </w:p>
          <w:p>
            <w:pPr>
              <w:pStyle w:val="TableParagraph"/>
              <w:spacing w:line="230" w:lineRule="auto" w:before="1"/>
              <w:ind w:left="79" w:right="522"/>
              <w:rPr>
                <w:b/>
                <w:sz w:val="20"/>
              </w:rPr>
            </w:pPr>
            <w:r>
              <w:rPr>
                <w:b/>
                <w:color w:val="FFFFFF"/>
                <w:spacing w:val="-2"/>
                <w:w w:val="90"/>
                <w:sz w:val="20"/>
              </w:rPr>
              <w:t>Focus </w:t>
            </w:r>
            <w:r>
              <w:rPr>
                <w:b/>
                <w:color w:val="FFFFFF"/>
                <w:spacing w:val="-4"/>
                <w:sz w:val="20"/>
              </w:rPr>
              <w:t>Area</w:t>
            </w:r>
          </w:p>
        </w:tc>
        <w:tc>
          <w:tcPr>
            <w:tcW w:w="1354" w:type="dxa"/>
            <w:tcBorders>
              <w:left w:val="single" w:sz="4" w:space="0" w:color="FFFFFF"/>
              <w:right w:val="single" w:sz="4" w:space="0" w:color="FFFFFF"/>
            </w:tcBorders>
            <w:shd w:val="clear" w:color="auto" w:fill="A7A9AC"/>
          </w:tcPr>
          <w:p>
            <w:pPr>
              <w:pStyle w:val="TableParagraph"/>
              <w:spacing w:before="74"/>
              <w:rPr>
                <w:b/>
                <w:sz w:val="20"/>
              </w:rPr>
            </w:pPr>
          </w:p>
          <w:p>
            <w:pPr>
              <w:pStyle w:val="TableParagraph"/>
              <w:spacing w:line="230" w:lineRule="auto" w:before="1"/>
              <w:ind w:left="79"/>
              <w:rPr>
                <w:b/>
                <w:sz w:val="20"/>
              </w:rPr>
            </w:pPr>
            <w:r>
              <w:rPr>
                <w:b/>
                <w:color w:val="FFFFFF"/>
                <w:spacing w:val="-8"/>
                <w:sz w:val="20"/>
              </w:rPr>
              <w:t>Goal</w:t>
            </w:r>
            <w:r>
              <w:rPr>
                <w:b/>
                <w:color w:val="FFFFFF"/>
                <w:spacing w:val="-6"/>
                <w:sz w:val="20"/>
              </w:rPr>
              <w:t> </w:t>
            </w:r>
            <w:r>
              <w:rPr>
                <w:b/>
                <w:color w:val="FFFFFF"/>
                <w:spacing w:val="-8"/>
                <w:sz w:val="20"/>
              </w:rPr>
              <w:t>Focus </w:t>
            </w:r>
            <w:r>
              <w:rPr>
                <w:b/>
                <w:color w:val="FFFFFF"/>
                <w:spacing w:val="-4"/>
                <w:sz w:val="20"/>
              </w:rPr>
              <w:t>Area</w:t>
            </w:r>
          </w:p>
        </w:tc>
        <w:tc>
          <w:tcPr>
            <w:tcW w:w="1498" w:type="dxa"/>
            <w:tcBorders>
              <w:left w:val="single" w:sz="4" w:space="0" w:color="FFFFFF"/>
              <w:right w:val="single" w:sz="4" w:space="0" w:color="FFFFFF"/>
            </w:tcBorders>
            <w:shd w:val="clear" w:color="auto" w:fill="A7A9AC"/>
          </w:tcPr>
          <w:p>
            <w:pPr>
              <w:pStyle w:val="TableParagraph"/>
              <w:spacing w:before="177"/>
              <w:rPr>
                <w:b/>
                <w:sz w:val="20"/>
              </w:rPr>
            </w:pPr>
          </w:p>
          <w:p>
            <w:pPr>
              <w:pStyle w:val="TableParagraph"/>
              <w:ind w:left="79"/>
              <w:rPr>
                <w:b/>
                <w:sz w:val="20"/>
              </w:rPr>
            </w:pPr>
            <w:r>
              <w:rPr>
                <w:b/>
                <w:color w:val="FFFFFF"/>
                <w:spacing w:val="-2"/>
                <w:sz w:val="20"/>
              </w:rPr>
              <w:t>Objectives</w:t>
            </w:r>
          </w:p>
        </w:tc>
        <w:tc>
          <w:tcPr>
            <w:tcW w:w="1181" w:type="dxa"/>
            <w:tcBorders>
              <w:left w:val="single" w:sz="4" w:space="0" w:color="FFFFFF"/>
              <w:right w:val="single" w:sz="4" w:space="0" w:color="FFFFFF"/>
            </w:tcBorders>
            <w:shd w:val="clear" w:color="auto" w:fill="A7A9AC"/>
          </w:tcPr>
          <w:p>
            <w:pPr>
              <w:pStyle w:val="TableParagraph"/>
              <w:spacing w:before="177"/>
              <w:rPr>
                <w:b/>
                <w:sz w:val="20"/>
              </w:rPr>
            </w:pPr>
          </w:p>
          <w:p>
            <w:pPr>
              <w:pStyle w:val="TableParagraph"/>
              <w:ind w:left="79"/>
              <w:rPr>
                <w:b/>
                <w:sz w:val="20"/>
              </w:rPr>
            </w:pPr>
            <w:r>
              <w:rPr>
                <w:b/>
                <w:color w:val="FFFFFF"/>
                <w:spacing w:val="-2"/>
                <w:sz w:val="20"/>
              </w:rPr>
              <w:t>Disparities</w:t>
            </w:r>
          </w:p>
        </w:tc>
        <w:tc>
          <w:tcPr>
            <w:tcW w:w="2218" w:type="dxa"/>
            <w:tcBorders>
              <w:left w:val="single" w:sz="4" w:space="0" w:color="FFFFFF"/>
              <w:right w:val="single" w:sz="4" w:space="0" w:color="FFFFFF"/>
            </w:tcBorders>
            <w:shd w:val="clear" w:color="auto" w:fill="A7A9AC"/>
          </w:tcPr>
          <w:p>
            <w:pPr>
              <w:pStyle w:val="TableParagraph"/>
              <w:spacing w:before="177"/>
              <w:rPr>
                <w:b/>
                <w:sz w:val="20"/>
              </w:rPr>
            </w:pPr>
          </w:p>
          <w:p>
            <w:pPr>
              <w:pStyle w:val="TableParagraph"/>
              <w:ind w:left="78"/>
              <w:rPr>
                <w:b/>
                <w:sz w:val="20"/>
              </w:rPr>
            </w:pPr>
            <w:r>
              <w:rPr>
                <w:b/>
                <w:color w:val="FFFFFF"/>
                <w:spacing w:val="-2"/>
                <w:sz w:val="20"/>
              </w:rPr>
              <w:t>Interventions</w:t>
            </w:r>
          </w:p>
        </w:tc>
        <w:tc>
          <w:tcPr>
            <w:tcW w:w="6869" w:type="dxa"/>
            <w:tcBorders>
              <w:left w:val="single" w:sz="4" w:space="0" w:color="FFFFFF"/>
              <w:right w:val="single" w:sz="4" w:space="0" w:color="FFFFFF"/>
            </w:tcBorders>
            <w:shd w:val="clear" w:color="auto" w:fill="A7A9AC"/>
          </w:tcPr>
          <w:p>
            <w:pPr>
              <w:pStyle w:val="TableParagraph"/>
              <w:spacing w:before="94"/>
              <w:rPr>
                <w:b/>
                <w:sz w:val="20"/>
              </w:rPr>
            </w:pPr>
          </w:p>
          <w:p>
            <w:pPr>
              <w:pStyle w:val="TableParagraph"/>
              <w:tabs>
                <w:tab w:pos="3893" w:val="left" w:leader="none"/>
              </w:tabs>
              <w:spacing w:line="156" w:lineRule="auto"/>
              <w:ind w:left="3893" w:right="622" w:hanging="3806"/>
              <w:rPr>
                <w:b/>
                <w:sz w:val="20"/>
              </w:rPr>
            </w:pPr>
            <w:r>
              <w:rPr>
                <w:b/>
                <w:color w:val="FFFFFF"/>
                <w:position w:val="-10"/>
                <w:sz w:val="20"/>
              </w:rPr>
              <w:t>Family of Measures</w:t>
              <w:tab/>
            </w:r>
            <w:r>
              <w:rPr>
                <w:b/>
                <w:color w:val="FFFFFF"/>
                <w:sz w:val="20"/>
              </w:rPr>
              <w:t>Projected</w:t>
            </w:r>
            <w:r>
              <w:rPr>
                <w:b/>
                <w:color w:val="FFFFFF"/>
                <w:spacing w:val="-14"/>
                <w:sz w:val="20"/>
              </w:rPr>
              <w:t> </w:t>
            </w:r>
            <w:r>
              <w:rPr>
                <w:b/>
                <w:color w:val="FFFFFF"/>
                <w:sz w:val="20"/>
              </w:rPr>
              <w:t>(or</w:t>
            </w:r>
            <w:r>
              <w:rPr>
                <w:b/>
                <w:color w:val="FFFFFF"/>
                <w:spacing w:val="-14"/>
                <w:sz w:val="20"/>
              </w:rPr>
              <w:t> </w:t>
            </w:r>
            <w:r>
              <w:rPr>
                <w:b/>
                <w:color w:val="FFFFFF"/>
                <w:sz w:val="20"/>
              </w:rPr>
              <w:t>completed) Year 1 Intervention</w:t>
            </w:r>
          </w:p>
        </w:tc>
        <w:tc>
          <w:tcPr>
            <w:tcW w:w="1771" w:type="dxa"/>
            <w:tcBorders>
              <w:left w:val="single" w:sz="4" w:space="0" w:color="FFFFFF"/>
              <w:right w:val="single" w:sz="4" w:space="0" w:color="FFFFFF"/>
            </w:tcBorders>
            <w:shd w:val="clear" w:color="auto" w:fill="A7A9AC"/>
          </w:tcPr>
          <w:p>
            <w:pPr>
              <w:pStyle w:val="TableParagraph"/>
              <w:spacing w:before="177"/>
              <w:rPr>
                <w:b/>
                <w:sz w:val="20"/>
              </w:rPr>
            </w:pPr>
          </w:p>
          <w:p>
            <w:pPr>
              <w:pStyle w:val="TableParagraph"/>
              <w:ind w:left="78"/>
              <w:rPr>
                <w:b/>
                <w:sz w:val="20"/>
              </w:rPr>
            </w:pPr>
            <w:r>
              <w:rPr>
                <w:b/>
                <w:color w:val="FFFFFF"/>
                <w:spacing w:val="-2"/>
                <w:sz w:val="20"/>
              </w:rPr>
              <w:t>Projected</w:t>
            </w:r>
            <w:r>
              <w:rPr>
                <w:b/>
                <w:color w:val="FFFFFF"/>
                <w:spacing w:val="-8"/>
                <w:sz w:val="20"/>
              </w:rPr>
              <w:t> </w:t>
            </w:r>
            <w:r>
              <w:rPr>
                <w:b/>
                <w:color w:val="FFFFFF"/>
                <w:spacing w:val="-2"/>
                <w:sz w:val="20"/>
              </w:rPr>
              <w:t>Year</w:t>
            </w:r>
            <w:r>
              <w:rPr>
                <w:b/>
                <w:color w:val="FFFFFF"/>
                <w:spacing w:val="-7"/>
                <w:sz w:val="20"/>
              </w:rPr>
              <w:t> </w:t>
            </w:r>
            <w:r>
              <w:rPr>
                <w:b/>
                <w:color w:val="FFFFFF"/>
                <w:spacing w:val="-10"/>
                <w:sz w:val="20"/>
              </w:rPr>
              <w:t>2</w:t>
            </w:r>
          </w:p>
        </w:tc>
        <w:tc>
          <w:tcPr>
            <w:tcW w:w="1843" w:type="dxa"/>
            <w:tcBorders>
              <w:left w:val="single" w:sz="4" w:space="0" w:color="FFFFFF"/>
              <w:right w:val="single" w:sz="4" w:space="0" w:color="FFFFFF"/>
            </w:tcBorders>
            <w:shd w:val="clear" w:color="auto" w:fill="A7A9AC"/>
          </w:tcPr>
          <w:p>
            <w:pPr>
              <w:pStyle w:val="TableParagraph"/>
              <w:spacing w:before="74"/>
              <w:rPr>
                <w:b/>
                <w:sz w:val="20"/>
              </w:rPr>
            </w:pPr>
          </w:p>
          <w:p>
            <w:pPr>
              <w:pStyle w:val="TableParagraph"/>
              <w:spacing w:line="230" w:lineRule="auto" w:before="1"/>
              <w:ind w:left="78" w:right="197"/>
              <w:rPr>
                <w:b/>
                <w:sz w:val="20"/>
              </w:rPr>
            </w:pPr>
            <w:r>
              <w:rPr>
                <w:b/>
                <w:color w:val="FFFFFF"/>
                <w:spacing w:val="-2"/>
                <w:sz w:val="20"/>
              </w:rPr>
              <w:t>Projected</w:t>
            </w:r>
            <w:r>
              <w:rPr>
                <w:b/>
                <w:color w:val="FFFFFF"/>
                <w:spacing w:val="-12"/>
                <w:sz w:val="20"/>
              </w:rPr>
              <w:t> </w:t>
            </w:r>
            <w:r>
              <w:rPr>
                <w:b/>
                <w:color w:val="FFFFFF"/>
                <w:spacing w:val="-2"/>
                <w:sz w:val="20"/>
              </w:rPr>
              <w:t>Year</w:t>
            </w:r>
            <w:r>
              <w:rPr>
                <w:b/>
                <w:color w:val="FFFFFF"/>
                <w:spacing w:val="-12"/>
                <w:sz w:val="20"/>
              </w:rPr>
              <w:t> </w:t>
            </w:r>
            <w:r>
              <w:rPr>
                <w:b/>
                <w:color w:val="FFFFFF"/>
                <w:spacing w:val="-2"/>
                <w:sz w:val="20"/>
              </w:rPr>
              <w:t>3 Interventions</w:t>
            </w:r>
          </w:p>
        </w:tc>
        <w:tc>
          <w:tcPr>
            <w:tcW w:w="1685" w:type="dxa"/>
            <w:tcBorders>
              <w:left w:val="single" w:sz="4" w:space="0" w:color="FFFFFF"/>
            </w:tcBorders>
            <w:shd w:val="clear" w:color="auto" w:fill="A7A9AC"/>
          </w:tcPr>
          <w:p>
            <w:pPr>
              <w:pStyle w:val="TableParagraph"/>
              <w:spacing w:before="74"/>
              <w:rPr>
                <w:b/>
                <w:sz w:val="20"/>
              </w:rPr>
            </w:pPr>
          </w:p>
          <w:p>
            <w:pPr>
              <w:pStyle w:val="TableParagraph"/>
              <w:spacing w:line="230" w:lineRule="auto" w:before="1"/>
              <w:ind w:left="78"/>
              <w:rPr>
                <w:b/>
                <w:sz w:val="20"/>
              </w:rPr>
            </w:pPr>
            <w:r>
              <w:rPr>
                <w:b/>
                <w:color w:val="FFFFFF"/>
                <w:spacing w:val="-2"/>
                <w:sz w:val="20"/>
              </w:rPr>
              <w:t>Implementation Partner</w:t>
            </w:r>
          </w:p>
        </w:tc>
        <w:tc>
          <w:tcPr>
            <w:tcW w:w="1795" w:type="dxa"/>
            <w:shd w:val="clear" w:color="auto" w:fill="A7A9AC"/>
          </w:tcPr>
          <w:p>
            <w:pPr>
              <w:pStyle w:val="TableParagraph"/>
              <w:spacing w:before="74"/>
              <w:rPr>
                <w:b/>
                <w:sz w:val="20"/>
              </w:rPr>
            </w:pPr>
          </w:p>
          <w:p>
            <w:pPr>
              <w:pStyle w:val="TableParagraph"/>
              <w:spacing w:line="230" w:lineRule="auto" w:before="1"/>
              <w:ind w:left="78" w:right="36"/>
              <w:rPr>
                <w:b/>
                <w:sz w:val="20"/>
              </w:rPr>
            </w:pPr>
            <w:r>
              <w:rPr>
                <w:b/>
                <w:color w:val="FFFFFF"/>
                <w:spacing w:val="-6"/>
                <w:sz w:val="20"/>
              </w:rPr>
              <w:t>Partner</w:t>
            </w:r>
            <w:r>
              <w:rPr>
                <w:b/>
                <w:color w:val="FFFFFF"/>
                <w:spacing w:val="-8"/>
                <w:sz w:val="20"/>
              </w:rPr>
              <w:t> </w:t>
            </w:r>
            <w:r>
              <w:rPr>
                <w:b/>
                <w:color w:val="FFFFFF"/>
                <w:spacing w:val="-6"/>
                <w:sz w:val="20"/>
              </w:rPr>
              <w:t>Role(s) </w:t>
            </w:r>
            <w:r>
              <w:rPr>
                <w:b/>
                <w:color w:val="FFFFFF"/>
                <w:sz w:val="20"/>
              </w:rPr>
              <w:t>and</w:t>
            </w:r>
            <w:r>
              <w:rPr>
                <w:b/>
                <w:color w:val="FFFFFF"/>
                <w:spacing w:val="-8"/>
                <w:sz w:val="20"/>
              </w:rPr>
              <w:t> Resources</w:t>
            </w:r>
          </w:p>
        </w:tc>
      </w:tr>
      <w:tr>
        <w:trPr>
          <w:trHeight w:val="4617" w:hRule="atLeast"/>
        </w:trPr>
        <w:tc>
          <w:tcPr>
            <w:tcW w:w="950" w:type="dxa"/>
            <w:shd w:val="clear" w:color="auto" w:fill="E6E7E8"/>
          </w:tcPr>
          <w:p>
            <w:pPr>
              <w:pStyle w:val="TableParagraph"/>
              <w:spacing w:line="232" w:lineRule="auto" w:before="101"/>
              <w:ind w:left="89" w:right="133"/>
              <w:jc w:val="both"/>
              <w:rPr>
                <w:sz w:val="18"/>
              </w:rPr>
            </w:pPr>
            <w:r>
              <w:rPr>
                <w:color w:val="105C84"/>
                <w:spacing w:val="-2"/>
                <w:sz w:val="18"/>
              </w:rPr>
              <w:t>Prevent Chronic </w:t>
            </w:r>
            <w:r>
              <w:rPr>
                <w:color w:val="105C84"/>
                <w:spacing w:val="-6"/>
                <w:sz w:val="18"/>
              </w:rPr>
              <w:t>Diseases</w:t>
            </w:r>
          </w:p>
        </w:tc>
        <w:tc>
          <w:tcPr>
            <w:tcW w:w="1152" w:type="dxa"/>
          </w:tcPr>
          <w:p>
            <w:pPr>
              <w:pStyle w:val="TableParagraph"/>
              <w:spacing w:line="232" w:lineRule="auto" w:before="101"/>
              <w:ind w:left="90" w:right="156"/>
              <w:rPr>
                <w:sz w:val="18"/>
              </w:rPr>
            </w:pPr>
            <w:r>
              <w:rPr>
                <w:color w:val="105C84"/>
                <w:spacing w:val="-4"/>
                <w:sz w:val="18"/>
              </w:rPr>
              <w:t>Focus</w:t>
            </w:r>
            <w:r>
              <w:rPr>
                <w:color w:val="105C84"/>
                <w:spacing w:val="-9"/>
                <w:sz w:val="18"/>
              </w:rPr>
              <w:t> </w:t>
            </w:r>
            <w:r>
              <w:rPr>
                <w:color w:val="105C84"/>
                <w:spacing w:val="-4"/>
                <w:sz w:val="18"/>
              </w:rPr>
              <w:t>Area </w:t>
            </w:r>
            <w:r>
              <w:rPr>
                <w:color w:val="105C84"/>
                <w:sz w:val="18"/>
              </w:rPr>
              <w:t>2:</w:t>
            </w:r>
            <w:r>
              <w:rPr>
                <w:color w:val="105C84"/>
                <w:spacing w:val="-13"/>
                <w:sz w:val="18"/>
              </w:rPr>
              <w:t> </w:t>
            </w:r>
            <w:r>
              <w:rPr>
                <w:color w:val="105C84"/>
                <w:sz w:val="18"/>
              </w:rPr>
              <w:t>Physical </w:t>
            </w:r>
            <w:r>
              <w:rPr>
                <w:color w:val="105C84"/>
                <w:spacing w:val="-2"/>
                <w:sz w:val="18"/>
              </w:rPr>
              <w:t>activity</w:t>
            </w:r>
          </w:p>
        </w:tc>
        <w:tc>
          <w:tcPr>
            <w:tcW w:w="1354" w:type="dxa"/>
          </w:tcPr>
          <w:p>
            <w:pPr>
              <w:pStyle w:val="TableParagraph"/>
              <w:spacing w:line="232" w:lineRule="auto" w:before="101"/>
              <w:ind w:left="90" w:right="89"/>
              <w:rPr>
                <w:sz w:val="18"/>
              </w:rPr>
            </w:pPr>
            <w:r>
              <w:rPr>
                <w:color w:val="105C84"/>
                <w:sz w:val="18"/>
              </w:rPr>
              <w:t>Goal 2.1: </w:t>
            </w:r>
            <w:r>
              <w:rPr>
                <w:color w:val="105C84"/>
                <w:spacing w:val="-2"/>
                <w:sz w:val="18"/>
              </w:rPr>
              <w:t>Improve community environments </w:t>
            </w:r>
            <w:r>
              <w:rPr>
                <w:color w:val="105C84"/>
                <w:sz w:val="18"/>
              </w:rPr>
              <w:t>that support </w:t>
            </w:r>
            <w:r>
              <w:rPr>
                <w:color w:val="105C84"/>
                <w:spacing w:val="-2"/>
                <w:sz w:val="18"/>
              </w:rPr>
              <w:t>active transportation </w:t>
            </w:r>
            <w:r>
              <w:rPr>
                <w:color w:val="105C84"/>
                <w:spacing w:val="-4"/>
                <w:sz w:val="18"/>
              </w:rPr>
              <w:t>and </w:t>
            </w:r>
            <w:r>
              <w:rPr>
                <w:color w:val="105C84"/>
                <w:spacing w:val="-2"/>
                <w:sz w:val="18"/>
              </w:rPr>
              <w:t>recreational physical </w:t>
            </w:r>
            <w:r>
              <w:rPr>
                <w:color w:val="105C84"/>
                <w:sz w:val="18"/>
              </w:rPr>
              <w:t>activity for people of</w:t>
            </w:r>
          </w:p>
          <w:p>
            <w:pPr>
              <w:pStyle w:val="TableParagraph"/>
              <w:spacing w:line="232" w:lineRule="auto"/>
              <w:ind w:left="90" w:right="290"/>
              <w:rPr>
                <w:sz w:val="18"/>
              </w:rPr>
            </w:pPr>
            <w:r>
              <w:rPr>
                <w:color w:val="105C84"/>
                <w:sz w:val="18"/>
              </w:rPr>
              <w:t>all</w:t>
            </w:r>
            <w:r>
              <w:rPr>
                <w:color w:val="105C84"/>
                <w:spacing w:val="-15"/>
                <w:sz w:val="18"/>
              </w:rPr>
              <w:t> </w:t>
            </w:r>
            <w:r>
              <w:rPr>
                <w:color w:val="105C84"/>
                <w:sz w:val="18"/>
              </w:rPr>
              <w:t>ages</w:t>
            </w:r>
            <w:r>
              <w:rPr>
                <w:color w:val="105C84"/>
                <w:spacing w:val="-12"/>
                <w:sz w:val="18"/>
              </w:rPr>
              <w:t> </w:t>
            </w:r>
            <w:r>
              <w:rPr>
                <w:color w:val="105C84"/>
                <w:sz w:val="18"/>
              </w:rPr>
              <w:t>and </w:t>
            </w:r>
            <w:r>
              <w:rPr>
                <w:color w:val="105C84"/>
                <w:spacing w:val="-2"/>
                <w:sz w:val="18"/>
              </w:rPr>
              <w:t>abilities</w:t>
            </w:r>
          </w:p>
        </w:tc>
        <w:tc>
          <w:tcPr>
            <w:tcW w:w="1498" w:type="dxa"/>
          </w:tcPr>
          <w:p>
            <w:pPr>
              <w:pStyle w:val="TableParagraph"/>
              <w:spacing w:line="232" w:lineRule="auto" w:before="101"/>
              <w:ind w:left="89" w:right="118"/>
              <w:rPr>
                <w:sz w:val="18"/>
              </w:rPr>
            </w:pPr>
            <w:r>
              <w:rPr>
                <w:color w:val="105C84"/>
                <w:sz w:val="18"/>
              </w:rPr>
              <w:t>Objective 1.7: Increase the percentage of adults age 18 years</w:t>
            </w:r>
            <w:r>
              <w:rPr>
                <w:color w:val="105C84"/>
                <w:spacing w:val="-15"/>
                <w:sz w:val="18"/>
              </w:rPr>
              <w:t> </w:t>
            </w:r>
            <w:r>
              <w:rPr>
                <w:color w:val="105C84"/>
                <w:sz w:val="18"/>
              </w:rPr>
              <w:t>and</w:t>
            </w:r>
            <w:r>
              <w:rPr>
                <w:color w:val="105C84"/>
                <w:spacing w:val="-12"/>
                <w:sz w:val="18"/>
              </w:rPr>
              <w:t> </w:t>
            </w:r>
            <w:r>
              <w:rPr>
                <w:color w:val="105C84"/>
                <w:sz w:val="18"/>
              </w:rPr>
              <w:t>older who</w:t>
            </w:r>
            <w:r>
              <w:rPr>
                <w:color w:val="105C84"/>
                <w:spacing w:val="-7"/>
                <w:sz w:val="18"/>
              </w:rPr>
              <w:t> </w:t>
            </w:r>
            <w:r>
              <w:rPr>
                <w:color w:val="105C84"/>
                <w:sz w:val="18"/>
              </w:rPr>
              <w:t>participate in leisure-time </w:t>
            </w:r>
            <w:r>
              <w:rPr>
                <w:color w:val="105C84"/>
                <w:spacing w:val="-2"/>
                <w:sz w:val="18"/>
              </w:rPr>
              <w:t>physical</w:t>
            </w:r>
            <w:r>
              <w:rPr>
                <w:color w:val="105C84"/>
                <w:spacing w:val="-11"/>
                <w:sz w:val="18"/>
              </w:rPr>
              <w:t> </w:t>
            </w:r>
            <w:r>
              <w:rPr>
                <w:color w:val="105C84"/>
                <w:spacing w:val="-2"/>
                <w:sz w:val="18"/>
              </w:rPr>
              <w:t>activity </w:t>
            </w:r>
            <w:r>
              <w:rPr>
                <w:color w:val="105C84"/>
                <w:sz w:val="18"/>
              </w:rPr>
              <w:t>(among all </w:t>
            </w:r>
            <w:r>
              <w:rPr>
                <w:color w:val="105C84"/>
                <w:spacing w:val="-2"/>
                <w:sz w:val="18"/>
              </w:rPr>
              <w:t>adults)</w:t>
            </w:r>
          </w:p>
        </w:tc>
        <w:tc>
          <w:tcPr>
            <w:tcW w:w="1181" w:type="dxa"/>
          </w:tcPr>
          <w:p>
            <w:pPr>
              <w:pStyle w:val="TableParagraph"/>
              <w:rPr>
                <w:rFonts w:ascii="Times New Roman"/>
                <w:sz w:val="18"/>
              </w:rPr>
            </w:pPr>
          </w:p>
        </w:tc>
        <w:tc>
          <w:tcPr>
            <w:tcW w:w="2218" w:type="dxa"/>
          </w:tcPr>
          <w:p>
            <w:pPr>
              <w:pStyle w:val="TableParagraph"/>
              <w:spacing w:line="232" w:lineRule="auto" w:before="101"/>
              <w:ind w:left="89" w:right="145"/>
              <w:rPr>
                <w:sz w:val="18"/>
              </w:rPr>
            </w:pPr>
            <w:r>
              <w:rPr>
                <w:color w:val="105C84"/>
                <w:sz w:val="18"/>
              </w:rPr>
              <w:t>2.3.1 Implement and/or promote a combination of community walking, wheeling, or biking programs, Open Streets programs, joint use agreements</w:t>
            </w:r>
            <w:r>
              <w:rPr>
                <w:color w:val="105C84"/>
                <w:spacing w:val="-15"/>
                <w:sz w:val="18"/>
              </w:rPr>
              <w:t> </w:t>
            </w:r>
            <w:r>
              <w:rPr>
                <w:color w:val="105C84"/>
                <w:sz w:val="18"/>
              </w:rPr>
              <w:t>with</w:t>
            </w:r>
            <w:r>
              <w:rPr>
                <w:color w:val="105C84"/>
                <w:spacing w:val="-12"/>
                <w:sz w:val="18"/>
              </w:rPr>
              <w:t> </w:t>
            </w:r>
            <w:r>
              <w:rPr>
                <w:color w:val="105C84"/>
                <w:sz w:val="18"/>
              </w:rPr>
              <w:t>schools</w:t>
            </w:r>
            <w:r>
              <w:rPr>
                <w:color w:val="105C84"/>
                <w:sz w:val="18"/>
              </w:rPr>
              <w:t> and</w:t>
            </w:r>
            <w:r>
              <w:rPr>
                <w:color w:val="105C84"/>
                <w:spacing w:val="-13"/>
                <w:sz w:val="18"/>
              </w:rPr>
              <w:t> </w:t>
            </w:r>
            <w:r>
              <w:rPr>
                <w:color w:val="105C84"/>
                <w:sz w:val="18"/>
              </w:rPr>
              <w:t>community</w:t>
            </w:r>
            <w:r>
              <w:rPr>
                <w:color w:val="105C84"/>
                <w:spacing w:val="-12"/>
                <w:sz w:val="18"/>
              </w:rPr>
              <w:t> </w:t>
            </w:r>
            <w:r>
              <w:rPr>
                <w:color w:val="105C84"/>
                <w:sz w:val="18"/>
              </w:rPr>
              <w:t>facilities,</w:t>
            </w:r>
            <w:r>
              <w:rPr>
                <w:color w:val="105C84"/>
                <w:sz w:val="18"/>
              </w:rPr>
              <w:t> Safe Routes to School programs, increased park and recreation facility safety and decreased incivilities, new or upgraded park</w:t>
            </w:r>
            <w:r>
              <w:rPr>
                <w:color w:val="105C84"/>
                <w:spacing w:val="80"/>
                <w:sz w:val="18"/>
              </w:rPr>
              <w:t> </w:t>
            </w:r>
            <w:r>
              <w:rPr>
                <w:color w:val="105C84"/>
                <w:sz w:val="18"/>
              </w:rPr>
              <w:t>or facility amenities or</w:t>
            </w:r>
          </w:p>
          <w:p>
            <w:pPr>
              <w:pStyle w:val="TableParagraph"/>
              <w:spacing w:line="187" w:lineRule="exact"/>
              <w:ind w:left="89"/>
              <w:rPr>
                <w:sz w:val="18"/>
              </w:rPr>
            </w:pPr>
            <w:r>
              <w:rPr>
                <w:color w:val="105C84"/>
                <w:sz w:val="18"/>
              </w:rPr>
              <w:t>universal</w:t>
            </w:r>
            <w:r>
              <w:rPr>
                <w:color w:val="105C84"/>
                <w:spacing w:val="-13"/>
                <w:sz w:val="18"/>
              </w:rPr>
              <w:t> </w:t>
            </w:r>
            <w:r>
              <w:rPr>
                <w:color w:val="105C84"/>
                <w:sz w:val="18"/>
              </w:rPr>
              <w:t>design</w:t>
            </w:r>
            <w:r>
              <w:rPr>
                <w:color w:val="105C84"/>
                <w:spacing w:val="-12"/>
                <w:sz w:val="18"/>
              </w:rPr>
              <w:t> </w:t>
            </w:r>
            <w:r>
              <w:rPr>
                <w:color w:val="105C84"/>
                <w:spacing w:val="-2"/>
                <w:sz w:val="18"/>
              </w:rPr>
              <w:t>features;</w:t>
            </w:r>
          </w:p>
          <w:p>
            <w:pPr>
              <w:pStyle w:val="TableParagraph"/>
              <w:spacing w:line="232" w:lineRule="auto" w:before="1"/>
              <w:ind w:left="89" w:right="305"/>
              <w:rPr>
                <w:sz w:val="18"/>
              </w:rPr>
            </w:pPr>
            <w:r>
              <w:rPr>
                <w:color w:val="105C84"/>
                <w:sz w:val="18"/>
              </w:rPr>
              <w:t>supervised</w:t>
            </w:r>
            <w:r>
              <w:rPr>
                <w:color w:val="105C84"/>
                <w:spacing w:val="-15"/>
                <w:sz w:val="18"/>
              </w:rPr>
              <w:t> </w:t>
            </w:r>
            <w:r>
              <w:rPr>
                <w:color w:val="105C84"/>
                <w:sz w:val="18"/>
              </w:rPr>
              <w:t>activities</w:t>
            </w:r>
            <w:r>
              <w:rPr>
                <w:color w:val="105C84"/>
                <w:spacing w:val="-12"/>
                <w:sz w:val="18"/>
              </w:rPr>
              <w:t> </w:t>
            </w:r>
            <w:r>
              <w:rPr>
                <w:color w:val="105C84"/>
                <w:sz w:val="18"/>
              </w:rPr>
              <w:t>or programs combined with onsite marketing,</w:t>
            </w:r>
          </w:p>
          <w:p>
            <w:pPr>
              <w:pStyle w:val="TableParagraph"/>
              <w:spacing w:line="232" w:lineRule="auto"/>
              <w:ind w:left="89"/>
              <w:rPr>
                <w:sz w:val="18"/>
              </w:rPr>
            </w:pPr>
            <w:r>
              <w:rPr>
                <w:color w:val="105C84"/>
                <w:sz w:val="18"/>
              </w:rPr>
              <w:t>community</w:t>
            </w:r>
            <w:r>
              <w:rPr>
                <w:color w:val="105C84"/>
                <w:spacing w:val="-13"/>
                <w:sz w:val="18"/>
              </w:rPr>
              <w:t> </w:t>
            </w:r>
            <w:r>
              <w:rPr>
                <w:color w:val="105C84"/>
                <w:sz w:val="18"/>
              </w:rPr>
              <w:t>outreach,</w:t>
            </w:r>
            <w:r>
              <w:rPr>
                <w:color w:val="105C84"/>
                <w:spacing w:val="-12"/>
                <w:sz w:val="18"/>
              </w:rPr>
              <w:t> </w:t>
            </w:r>
            <w:r>
              <w:rPr>
                <w:color w:val="105C84"/>
                <w:sz w:val="18"/>
              </w:rPr>
              <w:t>and safety education</w:t>
            </w:r>
          </w:p>
        </w:tc>
        <w:tc>
          <w:tcPr>
            <w:tcW w:w="6869" w:type="dxa"/>
          </w:tcPr>
          <w:p>
            <w:pPr>
              <w:pStyle w:val="TableParagraph"/>
              <w:tabs>
                <w:tab w:pos="3893" w:val="left" w:leader="none"/>
              </w:tabs>
              <w:spacing w:line="203" w:lineRule="exact" w:before="95"/>
              <w:ind w:left="88"/>
              <w:rPr>
                <w:sz w:val="18"/>
              </w:rPr>
            </w:pPr>
            <w:r>
              <w:rPr>
                <w:color w:val="105C84"/>
                <w:sz w:val="18"/>
              </w:rPr>
              <w:t>Chemung</w:t>
            </w:r>
            <w:r>
              <w:rPr>
                <w:color w:val="105C84"/>
                <w:spacing w:val="3"/>
                <w:sz w:val="18"/>
              </w:rPr>
              <w:t> </w:t>
            </w:r>
            <w:r>
              <w:rPr>
                <w:color w:val="105C84"/>
                <w:spacing w:val="-2"/>
                <w:sz w:val="18"/>
              </w:rPr>
              <w:t>County</w:t>
            </w:r>
            <w:r>
              <w:rPr>
                <w:color w:val="105C84"/>
                <w:sz w:val="18"/>
              </w:rPr>
              <w:tab/>
              <w:t>278</w:t>
            </w:r>
            <w:r>
              <w:rPr>
                <w:color w:val="105C84"/>
                <w:spacing w:val="-2"/>
                <w:sz w:val="18"/>
              </w:rPr>
              <w:t> </w:t>
            </w:r>
            <w:r>
              <w:rPr>
                <w:color w:val="105C84"/>
                <w:sz w:val="18"/>
              </w:rPr>
              <w:t>people</w:t>
            </w:r>
            <w:r>
              <w:rPr>
                <w:color w:val="105C84"/>
                <w:spacing w:val="-2"/>
                <w:sz w:val="18"/>
              </w:rPr>
              <w:t> </w:t>
            </w:r>
            <w:r>
              <w:rPr>
                <w:color w:val="105C84"/>
                <w:sz w:val="18"/>
              </w:rPr>
              <w:t>at</w:t>
            </w:r>
            <w:r>
              <w:rPr>
                <w:color w:val="105C84"/>
                <w:spacing w:val="-1"/>
                <w:sz w:val="18"/>
              </w:rPr>
              <w:t> </w:t>
            </w:r>
            <w:r>
              <w:rPr>
                <w:color w:val="105C84"/>
                <w:sz w:val="18"/>
              </w:rPr>
              <w:t>final</w:t>
            </w:r>
            <w:r>
              <w:rPr>
                <w:color w:val="105C84"/>
                <w:spacing w:val="-2"/>
                <w:sz w:val="18"/>
              </w:rPr>
              <w:t> </w:t>
            </w:r>
            <w:r>
              <w:rPr>
                <w:color w:val="105C84"/>
                <w:sz w:val="18"/>
              </w:rPr>
              <w:t>event</w:t>
            </w:r>
            <w:r>
              <w:rPr>
                <w:color w:val="105C84"/>
                <w:spacing w:val="-2"/>
                <w:sz w:val="18"/>
              </w:rPr>
              <w:t> </w:t>
            </w:r>
            <w:r>
              <w:rPr>
                <w:color w:val="105C84"/>
                <w:sz w:val="18"/>
              </w:rPr>
              <w:t>for</w:t>
            </w:r>
            <w:r>
              <w:rPr>
                <w:color w:val="105C84"/>
                <w:spacing w:val="-1"/>
                <w:sz w:val="18"/>
              </w:rPr>
              <w:t> </w:t>
            </w:r>
            <w:r>
              <w:rPr>
                <w:color w:val="105C84"/>
                <w:spacing w:val="-4"/>
                <w:sz w:val="18"/>
              </w:rPr>
              <w:t>Gold</w:t>
            </w:r>
          </w:p>
          <w:p>
            <w:pPr>
              <w:pStyle w:val="TableParagraph"/>
              <w:tabs>
                <w:tab w:pos="3893" w:val="left" w:leader="none"/>
              </w:tabs>
              <w:spacing w:line="200" w:lineRule="exact"/>
              <w:ind w:left="88"/>
              <w:rPr>
                <w:sz w:val="18"/>
              </w:rPr>
            </w:pPr>
            <w:r>
              <w:rPr>
                <w:color w:val="105C84"/>
                <w:sz w:val="18"/>
              </w:rPr>
              <w:t>Health </w:t>
            </w:r>
            <w:r>
              <w:rPr>
                <w:color w:val="105C84"/>
                <w:spacing w:val="-2"/>
                <w:sz w:val="18"/>
              </w:rPr>
              <w:t>Department</w:t>
            </w:r>
            <w:r>
              <w:rPr>
                <w:color w:val="105C84"/>
                <w:sz w:val="18"/>
              </w:rPr>
              <w:tab/>
            </w:r>
            <w:r>
              <w:rPr>
                <w:color w:val="105C84"/>
                <w:spacing w:val="-4"/>
                <w:sz w:val="18"/>
              </w:rPr>
              <w:t>Shoe</w:t>
            </w:r>
          </w:p>
          <w:p>
            <w:pPr>
              <w:pStyle w:val="TableParagraph"/>
              <w:tabs>
                <w:tab w:pos="3893" w:val="left" w:leader="none"/>
              </w:tabs>
              <w:spacing w:line="127" w:lineRule="auto" w:before="76"/>
              <w:ind w:left="88" w:right="104"/>
              <w:rPr>
                <w:sz w:val="18"/>
              </w:rPr>
            </w:pPr>
            <w:r>
              <w:rPr>
                <w:color w:val="105C84"/>
                <w:position w:val="9"/>
                <w:sz w:val="18"/>
              </w:rPr>
              <w:t>(CCHD), Arnot Health,</w:t>
              <w:tab/>
            </w:r>
            <w:r>
              <w:rPr>
                <w:color w:val="105C84"/>
                <w:sz w:val="18"/>
              </w:rPr>
              <w:t>65</w:t>
            </w:r>
            <w:r>
              <w:rPr>
                <w:color w:val="105C84"/>
                <w:spacing w:val="-10"/>
                <w:sz w:val="18"/>
              </w:rPr>
              <w:t> </w:t>
            </w:r>
            <w:r>
              <w:rPr>
                <w:color w:val="105C84"/>
                <w:sz w:val="18"/>
              </w:rPr>
              <w:t>screenings</w:t>
            </w:r>
            <w:r>
              <w:rPr>
                <w:color w:val="105C84"/>
                <w:spacing w:val="-8"/>
                <w:sz w:val="18"/>
              </w:rPr>
              <w:t> </w:t>
            </w:r>
            <w:r>
              <w:rPr>
                <w:color w:val="105C84"/>
                <w:sz w:val="18"/>
              </w:rPr>
              <w:t>done</w:t>
            </w:r>
            <w:r>
              <w:rPr>
                <w:color w:val="105C84"/>
                <w:spacing w:val="-8"/>
                <w:sz w:val="18"/>
              </w:rPr>
              <w:t> </w:t>
            </w:r>
            <w:r>
              <w:rPr>
                <w:color w:val="105C84"/>
                <w:sz w:val="18"/>
              </w:rPr>
              <w:t>by</w:t>
            </w:r>
            <w:r>
              <w:rPr>
                <w:color w:val="105C84"/>
                <w:spacing w:val="-8"/>
                <w:sz w:val="18"/>
              </w:rPr>
              <w:t> </w:t>
            </w:r>
            <w:r>
              <w:rPr>
                <w:color w:val="105C84"/>
                <w:sz w:val="18"/>
              </w:rPr>
              <w:t>Arnot</w:t>
            </w:r>
            <w:r>
              <w:rPr>
                <w:color w:val="105C84"/>
                <w:spacing w:val="-8"/>
                <w:sz w:val="18"/>
              </w:rPr>
              <w:t> </w:t>
            </w:r>
            <w:r>
              <w:rPr>
                <w:color w:val="105C84"/>
                <w:sz w:val="18"/>
              </w:rPr>
              <w:t>Health and community</w:t>
            </w:r>
          </w:p>
          <w:p>
            <w:pPr>
              <w:pStyle w:val="TableParagraph"/>
              <w:tabs>
                <w:tab w:pos="3893" w:val="left" w:leader="none"/>
              </w:tabs>
              <w:spacing w:line="205" w:lineRule="exact"/>
              <w:ind w:left="88"/>
              <w:rPr>
                <w:sz w:val="18"/>
              </w:rPr>
            </w:pPr>
            <w:r>
              <w:rPr>
                <w:color w:val="105C84"/>
                <w:spacing w:val="-2"/>
                <w:position w:val="-1"/>
                <w:sz w:val="18"/>
              </w:rPr>
              <w:t>partners:</w:t>
            </w:r>
            <w:r>
              <w:rPr>
                <w:color w:val="105C84"/>
                <w:position w:val="-1"/>
                <w:sz w:val="18"/>
              </w:rPr>
              <w:tab/>
            </w:r>
            <w:r>
              <w:rPr>
                <w:color w:val="105C84"/>
                <w:sz w:val="18"/>
              </w:rPr>
              <w:t>95%</w:t>
            </w:r>
            <w:r>
              <w:rPr>
                <w:color w:val="105C84"/>
                <w:spacing w:val="-9"/>
                <w:sz w:val="18"/>
              </w:rPr>
              <w:t> </w:t>
            </w:r>
            <w:r>
              <w:rPr>
                <w:color w:val="105C84"/>
                <w:sz w:val="18"/>
              </w:rPr>
              <w:t>visited</w:t>
            </w:r>
            <w:r>
              <w:rPr>
                <w:color w:val="105C84"/>
                <w:spacing w:val="-8"/>
                <w:sz w:val="18"/>
              </w:rPr>
              <w:t> </w:t>
            </w:r>
            <w:r>
              <w:rPr>
                <w:color w:val="105C84"/>
                <w:sz w:val="18"/>
              </w:rPr>
              <w:t>one</w:t>
            </w:r>
            <w:r>
              <w:rPr>
                <w:color w:val="105C84"/>
                <w:spacing w:val="-8"/>
                <w:sz w:val="18"/>
              </w:rPr>
              <w:t> </w:t>
            </w:r>
            <w:r>
              <w:rPr>
                <w:color w:val="105C84"/>
                <w:sz w:val="18"/>
              </w:rPr>
              <w:t>or</w:t>
            </w:r>
            <w:r>
              <w:rPr>
                <w:color w:val="105C84"/>
                <w:spacing w:val="-8"/>
                <w:sz w:val="18"/>
              </w:rPr>
              <w:t> </w:t>
            </w:r>
            <w:r>
              <w:rPr>
                <w:color w:val="105C84"/>
                <w:sz w:val="18"/>
              </w:rPr>
              <w:t>more</w:t>
            </w:r>
            <w:r>
              <w:rPr>
                <w:color w:val="105C84"/>
                <w:spacing w:val="-8"/>
                <w:sz w:val="18"/>
              </w:rPr>
              <w:t> </w:t>
            </w:r>
            <w:r>
              <w:rPr>
                <w:color w:val="105C84"/>
                <w:sz w:val="18"/>
              </w:rPr>
              <w:t>parks</w:t>
            </w:r>
            <w:r>
              <w:rPr>
                <w:color w:val="105C84"/>
                <w:spacing w:val="-8"/>
                <w:sz w:val="18"/>
              </w:rPr>
              <w:t> </w:t>
            </w:r>
            <w:r>
              <w:rPr>
                <w:color w:val="105C84"/>
                <w:spacing w:val="-5"/>
                <w:sz w:val="18"/>
              </w:rPr>
              <w:t>for</w:t>
            </w:r>
          </w:p>
          <w:p>
            <w:pPr>
              <w:pStyle w:val="TableParagraph"/>
              <w:tabs>
                <w:tab w:pos="3893" w:val="left" w:leader="none"/>
              </w:tabs>
              <w:spacing w:line="144" w:lineRule="auto" w:before="9"/>
              <w:ind w:left="88"/>
              <w:rPr>
                <w:sz w:val="18"/>
              </w:rPr>
            </w:pPr>
            <w:r>
              <w:rPr>
                <w:color w:val="105C84"/>
                <w:position w:val="-10"/>
                <w:sz w:val="18"/>
              </w:rPr>
              <w:t>#</w:t>
            </w:r>
            <w:r>
              <w:rPr>
                <w:color w:val="105C84"/>
                <w:spacing w:val="6"/>
                <w:position w:val="-10"/>
                <w:sz w:val="18"/>
              </w:rPr>
              <w:t> </w:t>
            </w:r>
            <w:r>
              <w:rPr>
                <w:color w:val="105C84"/>
                <w:position w:val="-10"/>
                <w:sz w:val="18"/>
              </w:rPr>
              <w:t>participating</w:t>
            </w:r>
            <w:r>
              <w:rPr>
                <w:color w:val="105C84"/>
                <w:spacing w:val="7"/>
                <w:position w:val="-10"/>
                <w:sz w:val="18"/>
              </w:rPr>
              <w:t> </w:t>
            </w:r>
            <w:r>
              <w:rPr>
                <w:color w:val="105C84"/>
                <w:position w:val="-10"/>
                <w:sz w:val="18"/>
              </w:rPr>
              <w:t>in</w:t>
            </w:r>
            <w:r>
              <w:rPr>
                <w:color w:val="105C84"/>
                <w:spacing w:val="7"/>
                <w:position w:val="-10"/>
                <w:sz w:val="18"/>
              </w:rPr>
              <w:t> </w:t>
            </w:r>
            <w:r>
              <w:rPr>
                <w:color w:val="105C84"/>
                <w:spacing w:val="-4"/>
                <w:position w:val="-10"/>
                <w:sz w:val="18"/>
              </w:rPr>
              <w:t>Gold</w:t>
            </w:r>
            <w:r>
              <w:rPr>
                <w:color w:val="105C84"/>
                <w:position w:val="-10"/>
                <w:sz w:val="18"/>
              </w:rPr>
              <w:tab/>
            </w:r>
            <w:r>
              <w:rPr>
                <w:color w:val="105C84"/>
                <w:sz w:val="18"/>
              </w:rPr>
              <w:t>the</w:t>
            </w:r>
            <w:r>
              <w:rPr>
                <w:color w:val="105C84"/>
                <w:spacing w:val="-8"/>
                <w:sz w:val="18"/>
              </w:rPr>
              <w:t> </w:t>
            </w:r>
            <w:r>
              <w:rPr>
                <w:color w:val="105C84"/>
                <w:sz w:val="18"/>
              </w:rPr>
              <w:t>first</w:t>
            </w:r>
            <w:r>
              <w:rPr>
                <w:color w:val="105C84"/>
                <w:spacing w:val="-7"/>
                <w:sz w:val="18"/>
              </w:rPr>
              <w:t> </w:t>
            </w:r>
            <w:r>
              <w:rPr>
                <w:color w:val="105C84"/>
                <w:sz w:val="18"/>
              </w:rPr>
              <w:t>time,</w:t>
            </w:r>
            <w:r>
              <w:rPr>
                <w:color w:val="105C84"/>
                <w:spacing w:val="-8"/>
                <w:sz w:val="18"/>
              </w:rPr>
              <w:t> </w:t>
            </w:r>
            <w:r>
              <w:rPr>
                <w:color w:val="105C84"/>
                <w:sz w:val="18"/>
              </w:rPr>
              <w:t>84%</w:t>
            </w:r>
            <w:r>
              <w:rPr>
                <w:color w:val="105C84"/>
                <w:spacing w:val="-7"/>
                <w:sz w:val="18"/>
              </w:rPr>
              <w:t> </w:t>
            </w:r>
            <w:r>
              <w:rPr>
                <w:color w:val="105C84"/>
                <w:sz w:val="18"/>
              </w:rPr>
              <w:t>said</w:t>
            </w:r>
            <w:r>
              <w:rPr>
                <w:color w:val="105C84"/>
                <w:spacing w:val="-8"/>
                <w:sz w:val="18"/>
              </w:rPr>
              <w:t> </w:t>
            </w:r>
            <w:r>
              <w:rPr>
                <w:color w:val="105C84"/>
                <w:sz w:val="18"/>
              </w:rPr>
              <w:t>they</w:t>
            </w:r>
            <w:r>
              <w:rPr>
                <w:color w:val="105C84"/>
                <w:spacing w:val="-7"/>
                <w:sz w:val="18"/>
              </w:rPr>
              <w:t> </w:t>
            </w:r>
            <w:r>
              <w:rPr>
                <w:color w:val="105C84"/>
                <w:spacing w:val="-4"/>
                <w:sz w:val="18"/>
              </w:rPr>
              <w:t>felt</w:t>
            </w:r>
          </w:p>
          <w:p>
            <w:pPr>
              <w:pStyle w:val="TableParagraph"/>
              <w:tabs>
                <w:tab w:pos="3893" w:val="left" w:leader="none"/>
              </w:tabs>
              <w:spacing w:line="144" w:lineRule="auto"/>
              <w:ind w:left="88"/>
              <w:rPr>
                <w:sz w:val="18"/>
              </w:rPr>
            </w:pPr>
            <w:r>
              <w:rPr>
                <w:color w:val="105C84"/>
                <w:spacing w:val="-4"/>
                <w:position w:val="-10"/>
                <w:sz w:val="18"/>
              </w:rPr>
              <w:t>Shoe</w:t>
            </w:r>
            <w:r>
              <w:rPr>
                <w:color w:val="105C84"/>
                <w:position w:val="-10"/>
                <w:sz w:val="18"/>
              </w:rPr>
              <w:tab/>
            </w:r>
            <w:r>
              <w:rPr>
                <w:color w:val="105C84"/>
                <w:sz w:val="18"/>
              </w:rPr>
              <w:t>healthier,</w:t>
            </w:r>
            <w:r>
              <w:rPr>
                <w:color w:val="105C84"/>
                <w:spacing w:val="-2"/>
                <w:sz w:val="18"/>
              </w:rPr>
              <w:t> </w:t>
            </w:r>
            <w:r>
              <w:rPr>
                <w:color w:val="105C84"/>
                <w:sz w:val="18"/>
              </w:rPr>
              <w:t>and</w:t>
            </w:r>
            <w:r>
              <w:rPr>
                <w:color w:val="105C84"/>
                <w:spacing w:val="-1"/>
                <w:sz w:val="18"/>
              </w:rPr>
              <w:t> </w:t>
            </w:r>
            <w:r>
              <w:rPr>
                <w:color w:val="105C84"/>
                <w:sz w:val="18"/>
              </w:rPr>
              <w:t>82</w:t>
            </w:r>
            <w:r>
              <w:rPr>
                <w:color w:val="105C84"/>
                <w:spacing w:val="-1"/>
                <w:sz w:val="18"/>
              </w:rPr>
              <w:t> </w:t>
            </w:r>
            <w:r>
              <w:rPr>
                <w:color w:val="105C84"/>
                <w:sz w:val="18"/>
              </w:rPr>
              <w:t>participated</w:t>
            </w:r>
            <w:r>
              <w:rPr>
                <w:color w:val="105C84"/>
                <w:spacing w:val="-1"/>
                <w:sz w:val="18"/>
              </w:rPr>
              <w:t> </w:t>
            </w:r>
            <w:r>
              <w:rPr>
                <w:color w:val="105C84"/>
                <w:spacing w:val="-5"/>
                <w:sz w:val="18"/>
              </w:rPr>
              <w:t>in</w:t>
            </w:r>
          </w:p>
          <w:p>
            <w:pPr>
              <w:pStyle w:val="TableParagraph"/>
              <w:spacing w:line="144" w:lineRule="exact"/>
              <w:ind w:left="3893"/>
              <w:rPr>
                <w:sz w:val="18"/>
              </w:rPr>
            </w:pPr>
            <w:r>
              <w:rPr>
                <w:color w:val="105C84"/>
                <w:sz w:val="18"/>
              </w:rPr>
              <w:t>scheduled</w:t>
            </w:r>
            <w:r>
              <w:rPr>
                <w:color w:val="105C84"/>
                <w:spacing w:val="-4"/>
                <w:sz w:val="18"/>
              </w:rPr>
              <w:t> walks</w:t>
            </w:r>
          </w:p>
          <w:p>
            <w:pPr>
              <w:pStyle w:val="TableParagraph"/>
              <w:tabs>
                <w:tab w:pos="3893" w:val="left" w:leader="none"/>
              </w:tabs>
              <w:spacing w:line="245" w:lineRule="exact"/>
              <w:ind w:left="88"/>
              <w:rPr>
                <w:sz w:val="18"/>
              </w:rPr>
            </w:pPr>
            <w:r>
              <w:rPr>
                <w:color w:val="105C84"/>
                <w:position w:val="9"/>
                <w:sz w:val="18"/>
              </w:rPr>
              <w:t>#</w:t>
            </w:r>
            <w:r>
              <w:rPr>
                <w:color w:val="105C84"/>
                <w:spacing w:val="6"/>
                <w:position w:val="9"/>
                <w:sz w:val="18"/>
              </w:rPr>
              <w:t> </w:t>
            </w:r>
            <w:r>
              <w:rPr>
                <w:color w:val="105C84"/>
                <w:position w:val="9"/>
                <w:sz w:val="18"/>
              </w:rPr>
              <w:t>participating</w:t>
            </w:r>
            <w:r>
              <w:rPr>
                <w:color w:val="105C84"/>
                <w:spacing w:val="7"/>
                <w:position w:val="9"/>
                <w:sz w:val="18"/>
              </w:rPr>
              <w:t> </w:t>
            </w:r>
            <w:r>
              <w:rPr>
                <w:color w:val="105C84"/>
                <w:position w:val="9"/>
                <w:sz w:val="18"/>
              </w:rPr>
              <w:t>in</w:t>
            </w:r>
            <w:r>
              <w:rPr>
                <w:color w:val="105C84"/>
                <w:spacing w:val="7"/>
                <w:position w:val="9"/>
                <w:sz w:val="18"/>
              </w:rPr>
              <w:t> </w:t>
            </w:r>
            <w:r>
              <w:rPr>
                <w:color w:val="105C84"/>
                <w:spacing w:val="-4"/>
                <w:position w:val="9"/>
                <w:sz w:val="18"/>
              </w:rPr>
              <w:t>Park</w:t>
            </w:r>
            <w:r>
              <w:rPr>
                <w:color w:val="105C84"/>
                <w:position w:val="9"/>
                <w:sz w:val="18"/>
              </w:rPr>
              <w:tab/>
            </w:r>
            <w:r>
              <w:rPr>
                <w:color w:val="105C84"/>
                <w:sz w:val="18"/>
              </w:rPr>
              <w:t>CCHD</w:t>
            </w:r>
            <w:r>
              <w:rPr>
                <w:color w:val="105C84"/>
                <w:spacing w:val="-1"/>
                <w:sz w:val="18"/>
              </w:rPr>
              <w:t> </w:t>
            </w:r>
            <w:r>
              <w:rPr>
                <w:color w:val="105C84"/>
                <w:sz w:val="18"/>
              </w:rPr>
              <w:t>newsletter</w:t>
            </w:r>
            <w:r>
              <w:rPr>
                <w:color w:val="105C84"/>
                <w:spacing w:val="-1"/>
                <w:sz w:val="18"/>
              </w:rPr>
              <w:t> </w:t>
            </w:r>
            <w:r>
              <w:rPr>
                <w:color w:val="105C84"/>
                <w:sz w:val="18"/>
              </w:rPr>
              <w:t>goes</w:t>
            </w:r>
            <w:r>
              <w:rPr>
                <w:color w:val="105C84"/>
                <w:spacing w:val="-1"/>
                <w:sz w:val="18"/>
              </w:rPr>
              <w:t> </w:t>
            </w:r>
            <w:r>
              <w:rPr>
                <w:color w:val="105C84"/>
                <w:sz w:val="18"/>
              </w:rPr>
              <w:t>out</w:t>
            </w:r>
            <w:r>
              <w:rPr>
                <w:color w:val="105C84"/>
                <w:spacing w:val="-1"/>
                <w:sz w:val="18"/>
              </w:rPr>
              <w:t> </w:t>
            </w:r>
            <w:r>
              <w:rPr>
                <w:color w:val="105C84"/>
                <w:spacing w:val="-5"/>
                <w:sz w:val="18"/>
              </w:rPr>
              <w:t>to</w:t>
            </w:r>
          </w:p>
          <w:p>
            <w:pPr>
              <w:pStyle w:val="TableParagraph"/>
              <w:tabs>
                <w:tab w:pos="3893" w:val="left" w:leader="none"/>
              </w:tabs>
              <w:spacing w:line="170" w:lineRule="auto"/>
              <w:ind w:left="88"/>
              <w:rPr>
                <w:position w:val="-8"/>
                <w:sz w:val="18"/>
              </w:rPr>
            </w:pPr>
            <w:r>
              <w:rPr>
                <w:color w:val="105C84"/>
                <w:spacing w:val="-6"/>
                <w:sz w:val="18"/>
              </w:rPr>
              <w:t>Prize</w:t>
            </w:r>
            <w:r>
              <w:rPr>
                <w:color w:val="105C84"/>
                <w:spacing w:val="-3"/>
                <w:sz w:val="18"/>
              </w:rPr>
              <w:t> </w:t>
            </w:r>
            <w:r>
              <w:rPr>
                <w:color w:val="105C84"/>
                <w:spacing w:val="-2"/>
                <w:sz w:val="18"/>
              </w:rPr>
              <w:t>Pursuit</w:t>
            </w:r>
            <w:r>
              <w:rPr>
                <w:color w:val="105C84"/>
                <w:sz w:val="18"/>
              </w:rPr>
              <w:tab/>
            </w:r>
            <w:r>
              <w:rPr>
                <w:color w:val="105C84"/>
                <w:spacing w:val="-8"/>
                <w:position w:val="-8"/>
                <w:sz w:val="18"/>
              </w:rPr>
              <w:t>593</w:t>
            </w:r>
            <w:r>
              <w:rPr>
                <w:color w:val="105C84"/>
                <w:spacing w:val="-2"/>
                <w:position w:val="-8"/>
                <w:sz w:val="18"/>
              </w:rPr>
              <w:t> people</w:t>
            </w:r>
          </w:p>
          <w:p>
            <w:pPr>
              <w:pStyle w:val="TableParagraph"/>
              <w:ind w:left="88"/>
              <w:rPr>
                <w:sz w:val="18"/>
              </w:rPr>
            </w:pPr>
            <w:r>
              <w:rPr>
                <w:color w:val="105C84"/>
                <w:sz w:val="18"/>
              </w:rPr>
              <w:t>#</w:t>
            </w:r>
            <w:r>
              <w:rPr>
                <w:color w:val="105C84"/>
                <w:spacing w:val="-9"/>
                <w:sz w:val="18"/>
              </w:rPr>
              <w:t> </w:t>
            </w:r>
            <w:r>
              <w:rPr>
                <w:color w:val="105C84"/>
                <w:sz w:val="18"/>
              </w:rPr>
              <w:t>social</w:t>
            </w:r>
            <w:r>
              <w:rPr>
                <w:color w:val="105C84"/>
                <w:spacing w:val="-9"/>
                <w:sz w:val="18"/>
              </w:rPr>
              <w:t> </w:t>
            </w:r>
            <w:r>
              <w:rPr>
                <w:color w:val="105C84"/>
                <w:sz w:val="18"/>
              </w:rPr>
              <w:t>media</w:t>
            </w:r>
            <w:r>
              <w:rPr>
                <w:color w:val="105C84"/>
                <w:spacing w:val="-9"/>
                <w:sz w:val="18"/>
              </w:rPr>
              <w:t> </w:t>
            </w:r>
            <w:r>
              <w:rPr>
                <w:color w:val="105C84"/>
                <w:spacing w:val="-2"/>
                <w:sz w:val="18"/>
              </w:rPr>
              <w:t>posts</w:t>
            </w:r>
          </w:p>
          <w:p>
            <w:pPr>
              <w:pStyle w:val="TableParagraph"/>
              <w:spacing w:line="232" w:lineRule="auto" w:before="57"/>
              <w:ind w:left="88" w:right="4556"/>
              <w:rPr>
                <w:sz w:val="18"/>
              </w:rPr>
            </w:pPr>
            <w:r>
              <w:rPr>
                <w:color w:val="105C84"/>
                <w:sz w:val="18"/>
              </w:rPr>
              <w:t>#</w:t>
            </w:r>
            <w:r>
              <w:rPr>
                <w:color w:val="105C84"/>
                <w:spacing w:val="-15"/>
                <w:sz w:val="18"/>
              </w:rPr>
              <w:t> </w:t>
            </w:r>
            <w:r>
              <w:rPr>
                <w:color w:val="105C84"/>
                <w:sz w:val="18"/>
              </w:rPr>
              <w:t>reached</w:t>
            </w:r>
            <w:r>
              <w:rPr>
                <w:color w:val="105C84"/>
                <w:spacing w:val="-12"/>
                <w:sz w:val="18"/>
              </w:rPr>
              <w:t> </w:t>
            </w:r>
            <w:r>
              <w:rPr>
                <w:color w:val="105C84"/>
                <w:sz w:val="18"/>
              </w:rPr>
              <w:t>through </w:t>
            </w:r>
            <w:r>
              <w:rPr>
                <w:color w:val="105C84"/>
                <w:spacing w:val="-2"/>
                <w:sz w:val="18"/>
              </w:rPr>
              <w:t>newsletter</w:t>
            </w:r>
          </w:p>
        </w:tc>
        <w:tc>
          <w:tcPr>
            <w:tcW w:w="1771" w:type="dxa"/>
          </w:tcPr>
          <w:p>
            <w:pPr>
              <w:pStyle w:val="TableParagraph"/>
              <w:spacing w:line="232" w:lineRule="auto" w:before="100"/>
              <w:ind w:left="88" w:right="112"/>
              <w:rPr>
                <w:sz w:val="18"/>
              </w:rPr>
            </w:pPr>
            <w:r>
              <w:rPr>
                <w:color w:val="105C84"/>
                <w:sz w:val="18"/>
              </w:rPr>
              <w:t>#</w:t>
            </w:r>
            <w:r>
              <w:rPr>
                <w:color w:val="105C84"/>
                <w:spacing w:val="-4"/>
                <w:sz w:val="18"/>
              </w:rPr>
              <w:t> </w:t>
            </w:r>
            <w:r>
              <w:rPr>
                <w:color w:val="105C84"/>
                <w:sz w:val="18"/>
              </w:rPr>
              <w:t>participating</w:t>
            </w:r>
            <w:r>
              <w:rPr>
                <w:color w:val="105C84"/>
                <w:spacing w:val="-2"/>
                <w:sz w:val="18"/>
              </w:rPr>
              <w:t> </w:t>
            </w:r>
            <w:r>
              <w:rPr>
                <w:color w:val="105C84"/>
                <w:sz w:val="18"/>
              </w:rPr>
              <w:t>in Gold Shoe</w:t>
            </w:r>
          </w:p>
          <w:p>
            <w:pPr>
              <w:pStyle w:val="TableParagraph"/>
              <w:spacing w:line="232" w:lineRule="auto" w:before="88"/>
              <w:ind w:left="88" w:right="112"/>
              <w:rPr>
                <w:sz w:val="18"/>
              </w:rPr>
            </w:pPr>
            <w:r>
              <w:rPr>
                <w:color w:val="105C84"/>
                <w:sz w:val="18"/>
              </w:rPr>
              <w:t># participating in </w:t>
            </w:r>
            <w:r>
              <w:rPr>
                <w:color w:val="105C84"/>
                <w:w w:val="90"/>
                <w:sz w:val="18"/>
              </w:rPr>
              <w:t>Park</w:t>
            </w:r>
            <w:r>
              <w:rPr>
                <w:color w:val="105C84"/>
                <w:spacing w:val="5"/>
                <w:sz w:val="18"/>
              </w:rPr>
              <w:t> </w:t>
            </w:r>
            <w:r>
              <w:rPr>
                <w:color w:val="105C84"/>
                <w:w w:val="90"/>
                <w:sz w:val="18"/>
              </w:rPr>
              <w:t>Prize</w:t>
            </w:r>
            <w:r>
              <w:rPr>
                <w:color w:val="105C84"/>
                <w:spacing w:val="6"/>
                <w:sz w:val="18"/>
              </w:rPr>
              <w:t> </w:t>
            </w:r>
            <w:r>
              <w:rPr>
                <w:color w:val="105C84"/>
                <w:spacing w:val="-2"/>
                <w:w w:val="90"/>
                <w:sz w:val="18"/>
              </w:rPr>
              <w:t>Pursuit</w:t>
            </w:r>
          </w:p>
          <w:p>
            <w:pPr>
              <w:pStyle w:val="TableParagraph"/>
              <w:spacing w:line="232" w:lineRule="auto" w:before="89"/>
              <w:ind w:left="88" w:right="112"/>
              <w:rPr>
                <w:sz w:val="18"/>
              </w:rPr>
            </w:pPr>
            <w:r>
              <w:rPr>
                <w:color w:val="105C84"/>
                <w:sz w:val="18"/>
              </w:rPr>
              <w:t># social media posts # reached through</w:t>
            </w:r>
            <w:r>
              <w:rPr>
                <w:color w:val="105C84"/>
                <w:spacing w:val="-11"/>
                <w:sz w:val="18"/>
              </w:rPr>
              <w:t> </w:t>
            </w:r>
            <w:r>
              <w:rPr>
                <w:color w:val="105C84"/>
                <w:sz w:val="18"/>
              </w:rPr>
              <w:t>newsletter</w:t>
            </w:r>
          </w:p>
        </w:tc>
        <w:tc>
          <w:tcPr>
            <w:tcW w:w="1843" w:type="dxa"/>
          </w:tcPr>
          <w:p>
            <w:pPr>
              <w:pStyle w:val="TableParagraph"/>
              <w:spacing w:line="232" w:lineRule="auto" w:before="100"/>
              <w:ind w:left="88" w:right="197"/>
              <w:rPr>
                <w:sz w:val="18"/>
              </w:rPr>
            </w:pPr>
            <w:r>
              <w:rPr>
                <w:color w:val="105C84"/>
                <w:sz w:val="18"/>
              </w:rPr>
              <w:t>#</w:t>
            </w:r>
            <w:r>
              <w:rPr>
                <w:color w:val="105C84"/>
                <w:spacing w:val="-4"/>
                <w:sz w:val="18"/>
              </w:rPr>
              <w:t> </w:t>
            </w:r>
            <w:r>
              <w:rPr>
                <w:color w:val="105C84"/>
                <w:sz w:val="18"/>
              </w:rPr>
              <w:t>participating</w:t>
            </w:r>
            <w:r>
              <w:rPr>
                <w:color w:val="105C84"/>
                <w:spacing w:val="-2"/>
                <w:sz w:val="18"/>
              </w:rPr>
              <w:t> </w:t>
            </w:r>
            <w:r>
              <w:rPr>
                <w:color w:val="105C84"/>
                <w:sz w:val="18"/>
              </w:rPr>
              <w:t>in Gold Shoe</w:t>
            </w:r>
          </w:p>
          <w:p>
            <w:pPr>
              <w:pStyle w:val="TableParagraph"/>
              <w:spacing w:line="232" w:lineRule="auto" w:before="88"/>
              <w:ind w:left="88" w:right="197"/>
              <w:rPr>
                <w:sz w:val="18"/>
              </w:rPr>
            </w:pPr>
            <w:r>
              <w:rPr>
                <w:color w:val="105C84"/>
                <w:sz w:val="18"/>
              </w:rPr>
              <w:t># participating in </w:t>
            </w:r>
            <w:r>
              <w:rPr>
                <w:color w:val="105C84"/>
                <w:w w:val="90"/>
                <w:sz w:val="18"/>
              </w:rPr>
              <w:t>Park</w:t>
            </w:r>
            <w:r>
              <w:rPr>
                <w:color w:val="105C84"/>
                <w:spacing w:val="5"/>
                <w:sz w:val="18"/>
              </w:rPr>
              <w:t> </w:t>
            </w:r>
            <w:r>
              <w:rPr>
                <w:color w:val="105C84"/>
                <w:w w:val="90"/>
                <w:sz w:val="18"/>
              </w:rPr>
              <w:t>Prize</w:t>
            </w:r>
            <w:r>
              <w:rPr>
                <w:color w:val="105C84"/>
                <w:spacing w:val="6"/>
                <w:sz w:val="18"/>
              </w:rPr>
              <w:t> </w:t>
            </w:r>
            <w:r>
              <w:rPr>
                <w:color w:val="105C84"/>
                <w:spacing w:val="-2"/>
                <w:w w:val="90"/>
                <w:sz w:val="18"/>
              </w:rPr>
              <w:t>Pursuit</w:t>
            </w:r>
          </w:p>
          <w:p>
            <w:pPr>
              <w:pStyle w:val="TableParagraph"/>
              <w:spacing w:before="83"/>
              <w:ind w:left="88"/>
              <w:rPr>
                <w:sz w:val="18"/>
              </w:rPr>
            </w:pPr>
            <w:r>
              <w:rPr>
                <w:color w:val="105C84"/>
                <w:sz w:val="18"/>
              </w:rPr>
              <w:t>#</w:t>
            </w:r>
            <w:r>
              <w:rPr>
                <w:color w:val="105C84"/>
                <w:spacing w:val="-9"/>
                <w:sz w:val="18"/>
              </w:rPr>
              <w:t> </w:t>
            </w:r>
            <w:r>
              <w:rPr>
                <w:color w:val="105C84"/>
                <w:sz w:val="18"/>
              </w:rPr>
              <w:t>social</w:t>
            </w:r>
            <w:r>
              <w:rPr>
                <w:color w:val="105C84"/>
                <w:spacing w:val="-9"/>
                <w:sz w:val="18"/>
              </w:rPr>
              <w:t> </w:t>
            </w:r>
            <w:r>
              <w:rPr>
                <w:color w:val="105C84"/>
                <w:sz w:val="18"/>
              </w:rPr>
              <w:t>media</w:t>
            </w:r>
            <w:r>
              <w:rPr>
                <w:color w:val="105C84"/>
                <w:spacing w:val="-9"/>
                <w:sz w:val="18"/>
              </w:rPr>
              <w:t> </w:t>
            </w:r>
            <w:r>
              <w:rPr>
                <w:color w:val="105C84"/>
                <w:spacing w:val="-2"/>
                <w:sz w:val="18"/>
              </w:rPr>
              <w:t>posts</w:t>
            </w:r>
          </w:p>
          <w:p>
            <w:pPr>
              <w:pStyle w:val="TableParagraph"/>
              <w:spacing w:line="232" w:lineRule="auto" w:before="88"/>
              <w:ind w:left="88" w:right="197"/>
              <w:rPr>
                <w:sz w:val="18"/>
              </w:rPr>
            </w:pPr>
            <w:r>
              <w:rPr>
                <w:color w:val="105C84"/>
                <w:sz w:val="18"/>
              </w:rPr>
              <w:t>#</w:t>
            </w:r>
            <w:r>
              <w:rPr>
                <w:color w:val="105C84"/>
                <w:spacing w:val="-15"/>
                <w:sz w:val="18"/>
              </w:rPr>
              <w:t> </w:t>
            </w:r>
            <w:r>
              <w:rPr>
                <w:color w:val="105C84"/>
                <w:sz w:val="18"/>
              </w:rPr>
              <w:t>reached</w:t>
            </w:r>
            <w:r>
              <w:rPr>
                <w:color w:val="105C84"/>
                <w:spacing w:val="-12"/>
                <w:sz w:val="18"/>
              </w:rPr>
              <w:t> </w:t>
            </w:r>
            <w:r>
              <w:rPr>
                <w:color w:val="105C84"/>
                <w:sz w:val="18"/>
              </w:rPr>
              <w:t>through </w:t>
            </w:r>
            <w:r>
              <w:rPr>
                <w:color w:val="105C84"/>
                <w:spacing w:val="-2"/>
                <w:sz w:val="18"/>
              </w:rPr>
              <w:t>newsletter</w:t>
            </w:r>
          </w:p>
        </w:tc>
        <w:tc>
          <w:tcPr>
            <w:tcW w:w="1685" w:type="dxa"/>
          </w:tcPr>
          <w:p>
            <w:pPr>
              <w:pStyle w:val="TableParagraph"/>
              <w:spacing w:line="232" w:lineRule="auto" w:before="99"/>
              <w:ind w:left="88"/>
              <w:rPr>
                <w:sz w:val="18"/>
              </w:rPr>
            </w:pPr>
            <w:r>
              <w:rPr>
                <w:color w:val="105C84"/>
                <w:spacing w:val="-2"/>
                <w:sz w:val="18"/>
              </w:rPr>
              <w:t>Local</w:t>
            </w:r>
            <w:r>
              <w:rPr>
                <w:color w:val="105C84"/>
                <w:spacing w:val="-11"/>
                <w:sz w:val="18"/>
              </w:rPr>
              <w:t> </w:t>
            </w:r>
            <w:r>
              <w:rPr>
                <w:color w:val="105C84"/>
                <w:spacing w:val="-2"/>
                <w:sz w:val="18"/>
              </w:rPr>
              <w:t>health department</w:t>
            </w:r>
          </w:p>
        </w:tc>
        <w:tc>
          <w:tcPr>
            <w:tcW w:w="1795" w:type="dxa"/>
          </w:tcPr>
          <w:p>
            <w:pPr>
              <w:pStyle w:val="TableParagraph"/>
              <w:spacing w:line="232" w:lineRule="auto" w:before="99"/>
              <w:ind w:left="88" w:right="36"/>
              <w:rPr>
                <w:sz w:val="18"/>
              </w:rPr>
            </w:pPr>
            <w:r>
              <w:rPr>
                <w:color w:val="105C84"/>
                <w:sz w:val="18"/>
              </w:rPr>
              <w:t>Arnot, HP2, and CCHD responsible for intervention providing needed staff and resources to meet measures </w:t>
            </w:r>
            <w:r>
              <w:rPr>
                <w:color w:val="105C84"/>
                <w:spacing w:val="-2"/>
                <w:sz w:val="18"/>
              </w:rPr>
              <w:t>with</w:t>
            </w:r>
            <w:r>
              <w:rPr>
                <w:color w:val="105C84"/>
                <w:spacing w:val="-13"/>
                <w:sz w:val="18"/>
              </w:rPr>
              <w:t> </w:t>
            </w:r>
            <w:r>
              <w:rPr>
                <w:color w:val="105C84"/>
                <w:spacing w:val="-2"/>
                <w:sz w:val="18"/>
              </w:rPr>
              <w:t>assistance</w:t>
            </w:r>
            <w:r>
              <w:rPr>
                <w:color w:val="105C84"/>
                <w:spacing w:val="-10"/>
                <w:sz w:val="18"/>
              </w:rPr>
              <w:t> </w:t>
            </w:r>
            <w:r>
              <w:rPr>
                <w:color w:val="105C84"/>
                <w:spacing w:val="-2"/>
                <w:sz w:val="18"/>
              </w:rPr>
              <w:t>from </w:t>
            </w:r>
            <w:r>
              <w:rPr>
                <w:color w:val="105C84"/>
                <w:sz w:val="18"/>
              </w:rPr>
              <w:t>Health Priorities Partners</w:t>
            </w:r>
            <w:r>
              <w:rPr>
                <w:color w:val="105C84"/>
                <w:spacing w:val="-4"/>
                <w:sz w:val="18"/>
              </w:rPr>
              <w:t> </w:t>
            </w:r>
            <w:r>
              <w:rPr>
                <w:color w:val="105C84"/>
                <w:sz w:val="18"/>
              </w:rPr>
              <w:t>as</w:t>
            </w:r>
            <w:r>
              <w:rPr>
                <w:color w:val="105C84"/>
                <w:spacing w:val="-4"/>
                <w:sz w:val="18"/>
              </w:rPr>
              <w:t> </w:t>
            </w:r>
            <w:r>
              <w:rPr>
                <w:color w:val="105C84"/>
                <w:sz w:val="18"/>
              </w:rPr>
              <w:t>needed</w:t>
            </w:r>
          </w:p>
        </w:tc>
      </w:tr>
    </w:tbl>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120"/>
        <w:rPr>
          <w:b/>
          <w:sz w:val="26"/>
        </w:rPr>
      </w:pPr>
    </w:p>
    <w:p>
      <w:pPr>
        <w:tabs>
          <w:tab w:pos="23047" w:val="left" w:leader="none"/>
        </w:tabs>
        <w:spacing w:before="0"/>
        <w:ind w:left="0" w:right="0" w:firstLine="0"/>
        <w:jc w:val="left"/>
        <w:rPr>
          <w:b/>
          <w:sz w:val="26"/>
        </w:rPr>
      </w:pPr>
      <w:r>
        <w:rPr>
          <w:position w:val="-4"/>
        </w:rPr>
        <w:drawing>
          <wp:inline distT="0" distB="0" distL="0" distR="0">
            <wp:extent cx="568172" cy="184683"/>
            <wp:effectExtent l="0" t="0" r="0" b="0"/>
            <wp:docPr id="1742" name="Image 1742"/>
            <wp:cNvGraphicFramePr>
              <a:graphicFrameLocks/>
            </wp:cNvGraphicFramePr>
            <a:graphic>
              <a:graphicData uri="http://schemas.openxmlformats.org/drawingml/2006/picture">
                <pic:pic>
                  <pic:nvPicPr>
                    <pic:cNvPr id="1742" name="Image 1742"/>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13"/>
          <w:sz w:val="20"/>
        </w:rPr>
        <w:t> </w:t>
      </w:r>
      <w:r>
        <w:rPr>
          <w:b/>
          <w:color w:val="939598"/>
          <w:w w:val="105"/>
          <w:sz w:val="26"/>
        </w:rPr>
        <w:t>123</w:t>
      </w:r>
      <w:r>
        <w:rPr>
          <w:b/>
          <w:color w:val="939598"/>
          <w:sz w:val="26"/>
        </w:rPr>
        <w:tab/>
      </w:r>
      <w:r>
        <w:rPr>
          <w:b/>
          <w:color w:val="939598"/>
          <w:spacing w:val="-5"/>
          <w:w w:val="105"/>
          <w:sz w:val="26"/>
        </w:rPr>
        <w:t>124</w:t>
      </w:r>
    </w:p>
    <w:p>
      <w:pPr>
        <w:spacing w:after="0"/>
        <w:jc w:val="left"/>
        <w:rPr>
          <w:b/>
          <w:sz w:val="26"/>
        </w:rPr>
        <w:sectPr>
          <w:pgSz w:w="24480" w:h="15840" w:orient="landscape"/>
          <w:pgMar w:header="0" w:footer="0" w:top="860" w:bottom="0" w:left="0" w:right="720"/>
        </w:sectPr>
      </w:pPr>
    </w:p>
    <w:p>
      <w:pPr>
        <w:spacing w:before="607"/>
        <w:ind w:left="1089" w:right="0" w:firstLine="0"/>
        <w:jc w:val="left"/>
        <w:rPr>
          <w:sz w:val="54"/>
        </w:rPr>
      </w:pPr>
      <w:r>
        <w:rPr>
          <w:sz w:val="54"/>
        </w:rPr>
        <w:drawing>
          <wp:anchor distT="0" distB="0" distL="0" distR="0" allowOverlap="1" layoutInCell="1" locked="0" behindDoc="0" simplePos="0" relativeHeight="15924736">
            <wp:simplePos x="0" y="0"/>
            <wp:positionH relativeFrom="page">
              <wp:posOffset>14981556</wp:posOffset>
            </wp:positionH>
            <wp:positionV relativeFrom="page">
              <wp:posOffset>9668103</wp:posOffset>
            </wp:positionV>
            <wp:extent cx="563245" cy="184683"/>
            <wp:effectExtent l="0" t="0" r="0" b="0"/>
            <wp:wrapNone/>
            <wp:docPr id="1743" name="Image 1743"/>
            <wp:cNvGraphicFramePr>
              <a:graphicFrameLocks/>
            </wp:cNvGraphicFramePr>
            <a:graphic>
              <a:graphicData uri="http://schemas.openxmlformats.org/drawingml/2006/picture">
                <pic:pic>
                  <pic:nvPicPr>
                    <pic:cNvPr id="1743" name="Image 1743"/>
                    <pic:cNvPicPr/>
                  </pic:nvPicPr>
                  <pic:blipFill>
                    <a:blip r:embed="rId38" cstate="print"/>
                    <a:stretch>
                      <a:fillRect/>
                    </a:stretch>
                  </pic:blipFill>
                  <pic:spPr>
                    <a:xfrm>
                      <a:off x="0" y="0"/>
                      <a:ext cx="563245" cy="184683"/>
                    </a:xfrm>
                    <a:prstGeom prst="rect">
                      <a:avLst/>
                    </a:prstGeom>
                  </pic:spPr>
                </pic:pic>
              </a:graphicData>
            </a:graphic>
          </wp:anchor>
        </w:drawing>
      </w:r>
      <w:r>
        <w:rPr>
          <w:sz w:val="54"/>
        </w:rPr>
        <mc:AlternateContent>
          <mc:Choice Requires="wps">
            <w:drawing>
              <wp:anchor distT="0" distB="0" distL="0" distR="0" allowOverlap="1" layoutInCell="1" locked="0" behindDoc="0" simplePos="0" relativeHeight="15925248">
                <wp:simplePos x="0" y="0"/>
                <wp:positionH relativeFrom="page">
                  <wp:posOffset>12965593</wp:posOffset>
                </wp:positionH>
                <wp:positionV relativeFrom="paragraph">
                  <wp:posOffset>292608</wp:posOffset>
                </wp:positionV>
                <wp:extent cx="1918970" cy="681990"/>
                <wp:effectExtent l="0" t="0" r="0" b="0"/>
                <wp:wrapNone/>
                <wp:docPr id="1744" name="Group 1744"/>
                <wp:cNvGraphicFramePr>
                  <a:graphicFrameLocks/>
                </wp:cNvGraphicFramePr>
                <a:graphic>
                  <a:graphicData uri="http://schemas.microsoft.com/office/word/2010/wordprocessingGroup">
                    <wpg:wgp>
                      <wpg:cNvPr id="1744" name="Group 1744"/>
                      <wpg:cNvGrpSpPr/>
                      <wpg:grpSpPr>
                        <a:xfrm>
                          <a:off x="0" y="0"/>
                          <a:ext cx="1918970" cy="681990"/>
                          <a:chExt cx="1918970" cy="681990"/>
                        </a:xfrm>
                      </wpg:grpSpPr>
                      <pic:pic>
                        <pic:nvPicPr>
                          <pic:cNvPr id="1745" name="Image 1745"/>
                          <pic:cNvPicPr/>
                        </pic:nvPicPr>
                        <pic:blipFill>
                          <a:blip r:embed="rId241" cstate="print"/>
                          <a:stretch>
                            <a:fillRect/>
                          </a:stretch>
                        </pic:blipFill>
                        <pic:spPr>
                          <a:xfrm>
                            <a:off x="1275703" y="0"/>
                            <a:ext cx="643101" cy="681824"/>
                          </a:xfrm>
                          <a:prstGeom prst="rect">
                            <a:avLst/>
                          </a:prstGeom>
                        </pic:spPr>
                      </pic:pic>
                      <pic:pic>
                        <pic:nvPicPr>
                          <pic:cNvPr id="1746" name="Image 1746"/>
                          <pic:cNvPicPr/>
                        </pic:nvPicPr>
                        <pic:blipFill>
                          <a:blip r:embed="rId242" cstate="print"/>
                          <a:stretch>
                            <a:fillRect/>
                          </a:stretch>
                        </pic:blipFill>
                        <pic:spPr>
                          <a:xfrm>
                            <a:off x="0" y="91440"/>
                            <a:ext cx="1232015" cy="261461"/>
                          </a:xfrm>
                          <a:prstGeom prst="rect">
                            <a:avLst/>
                          </a:prstGeom>
                        </pic:spPr>
                      </pic:pic>
                    </wpg:wgp>
                  </a:graphicData>
                </a:graphic>
              </wp:anchor>
            </w:drawing>
          </mc:Choice>
          <mc:Fallback>
            <w:pict>
              <v:group style="position:absolute;margin-left:1020.912903pt;margin-top:23.040001pt;width:151.1pt;height:53.7pt;mso-position-horizontal-relative:page;mso-position-vertical-relative:paragraph;z-index:15925248" id="docshapegroup1374" coordorigin="20418,461" coordsize="3022,1074">
                <v:shape style="position:absolute;left:22427;top:460;width:1013;height:1074" type="#_x0000_t75" id="docshape1375" stroked="false">
                  <v:imagedata r:id="rId241" o:title=""/>
                </v:shape>
                <v:shape style="position:absolute;left:20418;top:604;width:1941;height:412" type="#_x0000_t75" id="docshape1376" stroked="false">
                  <v:imagedata r:id="rId242" o:title=""/>
                </v:shape>
                <w10:wrap type="none"/>
              </v:group>
            </w:pict>
          </mc:Fallback>
        </mc:AlternateContent>
      </w:r>
      <w:r>
        <w:rPr>
          <w:color w:val="636466"/>
          <w:sz w:val="54"/>
        </w:rPr>
        <w:t>Chemung</w:t>
      </w:r>
      <w:r>
        <w:rPr>
          <w:color w:val="636466"/>
          <w:spacing w:val="62"/>
          <w:sz w:val="54"/>
        </w:rPr>
        <w:t> </w:t>
      </w:r>
      <w:r>
        <w:rPr>
          <w:color w:val="636466"/>
          <w:sz w:val="54"/>
        </w:rPr>
        <w:t>County</w:t>
      </w:r>
      <w:r>
        <w:rPr>
          <w:color w:val="636466"/>
          <w:spacing w:val="62"/>
          <w:sz w:val="54"/>
        </w:rPr>
        <w:t> </w:t>
      </w:r>
      <w:r>
        <w:rPr>
          <w:color w:val="636466"/>
          <w:sz w:val="54"/>
        </w:rPr>
        <w:t>Appendix</w:t>
      </w:r>
      <w:r>
        <w:rPr>
          <w:color w:val="636466"/>
          <w:spacing w:val="63"/>
          <w:sz w:val="54"/>
        </w:rPr>
        <w:t> </w:t>
      </w:r>
      <w:r>
        <w:rPr>
          <w:color w:val="636466"/>
          <w:spacing w:val="-10"/>
          <w:sz w:val="54"/>
        </w:rPr>
        <w:t>A</w:t>
      </w:r>
    </w:p>
    <w:p>
      <w:pPr>
        <w:spacing w:before="235"/>
        <w:ind w:left="1089" w:right="0" w:firstLine="0"/>
        <w:jc w:val="left"/>
        <w:rPr>
          <w:b/>
          <w:sz w:val="32"/>
        </w:rPr>
      </w:pPr>
      <w:r>
        <w:rPr>
          <w:b/>
          <w:color w:val="82BF6A"/>
          <w:spacing w:val="-8"/>
          <w:sz w:val="32"/>
        </w:rPr>
        <w:t>PRIORITY:</w:t>
      </w:r>
      <w:r>
        <w:rPr>
          <w:b/>
          <w:color w:val="82BF6A"/>
          <w:spacing w:val="-2"/>
          <w:sz w:val="32"/>
        </w:rPr>
        <w:t> </w:t>
      </w:r>
      <w:r>
        <w:rPr>
          <w:b/>
          <w:color w:val="82BF6A"/>
          <w:spacing w:val="-8"/>
          <w:sz w:val="32"/>
        </w:rPr>
        <w:t>PREVENT</w:t>
      </w:r>
      <w:r>
        <w:rPr>
          <w:b/>
          <w:color w:val="82BF6A"/>
          <w:spacing w:val="-1"/>
          <w:sz w:val="32"/>
        </w:rPr>
        <w:t> </w:t>
      </w:r>
      <w:r>
        <w:rPr>
          <w:b/>
          <w:color w:val="82BF6A"/>
          <w:spacing w:val="-8"/>
          <w:sz w:val="32"/>
        </w:rPr>
        <w:t>CHRONIC</w:t>
      </w:r>
      <w:r>
        <w:rPr>
          <w:b/>
          <w:color w:val="82BF6A"/>
          <w:spacing w:val="-1"/>
          <w:sz w:val="32"/>
        </w:rPr>
        <w:t> </w:t>
      </w:r>
      <w:r>
        <w:rPr>
          <w:b/>
          <w:color w:val="82BF6A"/>
          <w:spacing w:val="-8"/>
          <w:sz w:val="32"/>
        </w:rPr>
        <w:t>DISEASES,</w:t>
      </w:r>
      <w:r>
        <w:rPr>
          <w:b/>
          <w:color w:val="82BF6A"/>
          <w:spacing w:val="-2"/>
          <w:sz w:val="32"/>
        </w:rPr>
        <w:t> </w:t>
      </w:r>
      <w:r>
        <w:rPr>
          <w:b/>
          <w:color w:val="82BF6A"/>
          <w:spacing w:val="-8"/>
          <w:sz w:val="32"/>
        </w:rPr>
        <w:t>TOBACCO</w:t>
      </w:r>
      <w:r>
        <w:rPr>
          <w:b/>
          <w:color w:val="82BF6A"/>
          <w:spacing w:val="-1"/>
          <w:sz w:val="32"/>
        </w:rPr>
        <w:t> </w:t>
      </w:r>
      <w:r>
        <w:rPr>
          <w:b/>
          <w:color w:val="82BF6A"/>
          <w:spacing w:val="-8"/>
          <w:sz w:val="32"/>
        </w:rPr>
        <w:t>PREVENTION</w:t>
      </w:r>
    </w:p>
    <w:p>
      <w:pPr>
        <w:pStyle w:val="BodyText"/>
        <w:spacing w:before="8"/>
        <w:rPr>
          <w:b/>
          <w:sz w:val="16"/>
        </w:rPr>
      </w:pPr>
    </w:p>
    <w:tbl>
      <w:tblPr>
        <w:tblW w:w="0" w:type="auto"/>
        <w:jc w:val="left"/>
        <w:tblInd w:w="1099"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1008"/>
        <w:gridCol w:w="1152"/>
        <w:gridCol w:w="1181"/>
        <w:gridCol w:w="1815"/>
        <w:gridCol w:w="1160"/>
        <w:gridCol w:w="1844"/>
        <w:gridCol w:w="3073"/>
        <w:gridCol w:w="4179"/>
        <w:gridCol w:w="1757"/>
        <w:gridCol w:w="1757"/>
        <w:gridCol w:w="1642"/>
        <w:gridCol w:w="1781"/>
      </w:tblGrid>
      <w:tr>
        <w:trPr>
          <w:trHeight w:val="990" w:hRule="atLeast"/>
        </w:trPr>
        <w:tc>
          <w:tcPr>
            <w:tcW w:w="1008" w:type="dxa"/>
            <w:tcBorders>
              <w:right w:val="single" w:sz="4" w:space="0" w:color="FFFFFF"/>
            </w:tcBorders>
            <w:shd w:val="clear" w:color="auto" w:fill="A7A9AC"/>
          </w:tcPr>
          <w:p>
            <w:pPr>
              <w:pStyle w:val="TableParagraph"/>
              <w:spacing w:before="177"/>
              <w:rPr>
                <w:b/>
                <w:sz w:val="20"/>
              </w:rPr>
            </w:pPr>
          </w:p>
          <w:p>
            <w:pPr>
              <w:pStyle w:val="TableParagraph"/>
              <w:ind w:left="79"/>
              <w:rPr>
                <w:b/>
                <w:sz w:val="20"/>
              </w:rPr>
            </w:pPr>
            <w:r>
              <w:rPr>
                <w:b/>
                <w:color w:val="FFFFFF"/>
                <w:spacing w:val="-2"/>
                <w:sz w:val="20"/>
              </w:rPr>
              <w:t>Priority</w:t>
            </w:r>
          </w:p>
        </w:tc>
        <w:tc>
          <w:tcPr>
            <w:tcW w:w="1152" w:type="dxa"/>
            <w:tcBorders>
              <w:left w:val="single" w:sz="4" w:space="0" w:color="FFFFFF"/>
              <w:right w:val="single" w:sz="4" w:space="0" w:color="FFFFFF"/>
            </w:tcBorders>
            <w:shd w:val="clear" w:color="auto" w:fill="A7A9AC"/>
          </w:tcPr>
          <w:p>
            <w:pPr>
              <w:pStyle w:val="TableParagraph"/>
              <w:spacing w:before="74"/>
              <w:rPr>
                <w:b/>
                <w:sz w:val="20"/>
              </w:rPr>
            </w:pPr>
          </w:p>
          <w:p>
            <w:pPr>
              <w:pStyle w:val="TableParagraph"/>
              <w:spacing w:line="230" w:lineRule="auto" w:before="1"/>
              <w:ind w:left="79" w:right="522"/>
              <w:rPr>
                <w:b/>
                <w:sz w:val="20"/>
              </w:rPr>
            </w:pPr>
            <w:r>
              <w:rPr>
                <w:b/>
                <w:color w:val="FFFFFF"/>
                <w:spacing w:val="-2"/>
                <w:w w:val="90"/>
                <w:sz w:val="20"/>
              </w:rPr>
              <w:t>Focus </w:t>
            </w:r>
            <w:r>
              <w:rPr>
                <w:b/>
                <w:color w:val="FFFFFF"/>
                <w:spacing w:val="-4"/>
                <w:sz w:val="20"/>
              </w:rPr>
              <w:t>Area</w:t>
            </w:r>
          </w:p>
        </w:tc>
        <w:tc>
          <w:tcPr>
            <w:tcW w:w="1181" w:type="dxa"/>
            <w:tcBorders>
              <w:left w:val="single" w:sz="4" w:space="0" w:color="FFFFFF"/>
              <w:right w:val="single" w:sz="4" w:space="0" w:color="FFFFFF"/>
            </w:tcBorders>
            <w:shd w:val="clear" w:color="auto" w:fill="A7A9AC"/>
          </w:tcPr>
          <w:p>
            <w:pPr>
              <w:pStyle w:val="TableParagraph"/>
              <w:spacing w:line="230" w:lineRule="auto" w:before="195"/>
              <w:ind w:left="79" w:right="551"/>
              <w:rPr>
                <w:b/>
                <w:sz w:val="20"/>
              </w:rPr>
            </w:pPr>
            <w:r>
              <w:rPr>
                <w:b/>
                <w:color w:val="FFFFFF"/>
                <w:spacing w:val="-4"/>
                <w:sz w:val="20"/>
              </w:rPr>
              <w:t>Goal </w:t>
            </w:r>
            <w:r>
              <w:rPr>
                <w:b/>
                <w:color w:val="FFFFFF"/>
                <w:spacing w:val="-2"/>
                <w:w w:val="90"/>
                <w:sz w:val="20"/>
              </w:rPr>
              <w:t>Focus </w:t>
            </w:r>
            <w:r>
              <w:rPr>
                <w:b/>
                <w:color w:val="FFFFFF"/>
                <w:spacing w:val="-4"/>
                <w:sz w:val="20"/>
              </w:rPr>
              <w:t>Area</w:t>
            </w:r>
          </w:p>
        </w:tc>
        <w:tc>
          <w:tcPr>
            <w:tcW w:w="1815" w:type="dxa"/>
            <w:tcBorders>
              <w:left w:val="single" w:sz="4" w:space="0" w:color="FFFFFF"/>
              <w:right w:val="single" w:sz="4" w:space="0" w:color="FFFFFF"/>
            </w:tcBorders>
            <w:shd w:val="clear" w:color="auto" w:fill="A7A9AC"/>
          </w:tcPr>
          <w:p>
            <w:pPr>
              <w:pStyle w:val="TableParagraph"/>
              <w:spacing w:before="177"/>
              <w:rPr>
                <w:b/>
                <w:sz w:val="20"/>
              </w:rPr>
            </w:pPr>
          </w:p>
          <w:p>
            <w:pPr>
              <w:pStyle w:val="TableParagraph"/>
              <w:ind w:left="79"/>
              <w:rPr>
                <w:b/>
                <w:sz w:val="20"/>
              </w:rPr>
            </w:pPr>
            <w:r>
              <w:rPr>
                <w:b/>
                <w:color w:val="FFFFFF"/>
                <w:spacing w:val="-2"/>
                <w:sz w:val="20"/>
              </w:rPr>
              <w:t>Objectives</w:t>
            </w:r>
          </w:p>
        </w:tc>
        <w:tc>
          <w:tcPr>
            <w:tcW w:w="1160" w:type="dxa"/>
            <w:tcBorders>
              <w:left w:val="single" w:sz="4" w:space="0" w:color="FFFFFF"/>
              <w:right w:val="single" w:sz="4" w:space="0" w:color="FFFFFF"/>
            </w:tcBorders>
            <w:shd w:val="clear" w:color="auto" w:fill="A7A9AC"/>
          </w:tcPr>
          <w:p>
            <w:pPr>
              <w:pStyle w:val="TableParagraph"/>
              <w:spacing w:before="177"/>
              <w:rPr>
                <w:b/>
                <w:sz w:val="20"/>
              </w:rPr>
            </w:pPr>
          </w:p>
          <w:p>
            <w:pPr>
              <w:pStyle w:val="TableParagraph"/>
              <w:ind w:left="78"/>
              <w:rPr>
                <w:b/>
                <w:sz w:val="20"/>
              </w:rPr>
            </w:pPr>
            <w:r>
              <w:rPr>
                <w:b/>
                <w:color w:val="FFFFFF"/>
                <w:spacing w:val="-2"/>
                <w:sz w:val="20"/>
              </w:rPr>
              <w:t>Disparities</w:t>
            </w:r>
          </w:p>
        </w:tc>
        <w:tc>
          <w:tcPr>
            <w:tcW w:w="1844" w:type="dxa"/>
            <w:tcBorders>
              <w:left w:val="single" w:sz="4" w:space="0" w:color="FFFFFF"/>
              <w:right w:val="single" w:sz="4" w:space="0" w:color="FFFFFF"/>
            </w:tcBorders>
            <w:shd w:val="clear" w:color="auto" w:fill="A7A9AC"/>
          </w:tcPr>
          <w:p>
            <w:pPr>
              <w:pStyle w:val="TableParagraph"/>
              <w:spacing w:before="177"/>
              <w:rPr>
                <w:b/>
                <w:sz w:val="20"/>
              </w:rPr>
            </w:pPr>
          </w:p>
          <w:p>
            <w:pPr>
              <w:pStyle w:val="TableParagraph"/>
              <w:ind w:left="77"/>
              <w:rPr>
                <w:b/>
                <w:sz w:val="20"/>
              </w:rPr>
            </w:pPr>
            <w:r>
              <w:rPr>
                <w:b/>
                <w:color w:val="FFFFFF"/>
                <w:spacing w:val="-2"/>
                <w:sz w:val="20"/>
              </w:rPr>
              <w:t>Interventions</w:t>
            </w:r>
          </w:p>
        </w:tc>
        <w:tc>
          <w:tcPr>
            <w:tcW w:w="3073" w:type="dxa"/>
            <w:tcBorders>
              <w:left w:val="single" w:sz="4" w:space="0" w:color="FFFFFF"/>
              <w:right w:val="nil"/>
            </w:tcBorders>
            <w:shd w:val="clear" w:color="auto" w:fill="A7A9AC"/>
          </w:tcPr>
          <w:p>
            <w:pPr>
              <w:pStyle w:val="TableParagraph"/>
              <w:spacing w:before="177"/>
              <w:rPr>
                <w:b/>
                <w:sz w:val="20"/>
              </w:rPr>
            </w:pPr>
          </w:p>
          <w:p>
            <w:pPr>
              <w:pStyle w:val="TableParagraph"/>
              <w:ind w:left="87"/>
              <w:rPr>
                <w:b/>
                <w:sz w:val="20"/>
              </w:rPr>
            </w:pPr>
            <w:r>
              <w:rPr>
                <w:b/>
                <w:color w:val="FFFFFF"/>
                <w:sz w:val="20"/>
              </w:rPr>
              <w:t>Family</w:t>
            </w:r>
            <w:r>
              <w:rPr>
                <w:b/>
                <w:color w:val="FFFFFF"/>
                <w:spacing w:val="-12"/>
                <w:sz w:val="20"/>
              </w:rPr>
              <w:t> </w:t>
            </w:r>
            <w:r>
              <w:rPr>
                <w:b/>
                <w:color w:val="FFFFFF"/>
                <w:sz w:val="20"/>
              </w:rPr>
              <w:t>of</w:t>
            </w:r>
            <w:r>
              <w:rPr>
                <w:b/>
                <w:color w:val="FFFFFF"/>
                <w:spacing w:val="-12"/>
                <w:sz w:val="20"/>
              </w:rPr>
              <w:t> </w:t>
            </w:r>
            <w:r>
              <w:rPr>
                <w:b/>
                <w:color w:val="FFFFFF"/>
                <w:spacing w:val="-2"/>
                <w:sz w:val="20"/>
              </w:rPr>
              <w:t>Measures</w:t>
            </w:r>
          </w:p>
        </w:tc>
        <w:tc>
          <w:tcPr>
            <w:tcW w:w="4179" w:type="dxa"/>
            <w:tcBorders>
              <w:left w:val="nil"/>
              <w:right w:val="single" w:sz="4" w:space="0" w:color="FFFFFF"/>
            </w:tcBorders>
            <w:shd w:val="clear" w:color="auto" w:fill="A7A9AC"/>
          </w:tcPr>
          <w:p>
            <w:pPr>
              <w:pStyle w:val="TableParagraph"/>
              <w:spacing w:before="74"/>
              <w:rPr>
                <w:b/>
                <w:sz w:val="20"/>
              </w:rPr>
            </w:pPr>
          </w:p>
          <w:p>
            <w:pPr>
              <w:pStyle w:val="TableParagraph"/>
              <w:spacing w:line="230" w:lineRule="auto" w:before="1"/>
              <w:ind w:left="1004" w:right="822"/>
              <w:rPr>
                <w:b/>
                <w:sz w:val="20"/>
              </w:rPr>
            </w:pPr>
            <w:r>
              <w:rPr>
                <w:b/>
                <w:color w:val="FFFFFF"/>
                <w:sz w:val="20"/>
              </w:rPr>
              <w:t>Projected</w:t>
            </w:r>
            <w:r>
              <w:rPr>
                <w:b/>
                <w:color w:val="FFFFFF"/>
                <w:spacing w:val="-14"/>
                <w:sz w:val="20"/>
              </w:rPr>
              <w:t> </w:t>
            </w:r>
            <w:r>
              <w:rPr>
                <w:b/>
                <w:color w:val="FFFFFF"/>
                <w:sz w:val="20"/>
              </w:rPr>
              <w:t>(or</w:t>
            </w:r>
            <w:r>
              <w:rPr>
                <w:b/>
                <w:color w:val="FFFFFF"/>
                <w:spacing w:val="-14"/>
                <w:sz w:val="20"/>
              </w:rPr>
              <w:t> </w:t>
            </w:r>
            <w:r>
              <w:rPr>
                <w:b/>
                <w:color w:val="FFFFFF"/>
                <w:sz w:val="20"/>
              </w:rPr>
              <w:t>completed) Year 1 Intervention</w:t>
            </w:r>
          </w:p>
        </w:tc>
        <w:tc>
          <w:tcPr>
            <w:tcW w:w="1757" w:type="dxa"/>
            <w:tcBorders>
              <w:left w:val="single" w:sz="4" w:space="0" w:color="FFFFFF"/>
              <w:right w:val="single" w:sz="4" w:space="0" w:color="FFFFFF"/>
            </w:tcBorders>
            <w:shd w:val="clear" w:color="auto" w:fill="A7A9AC"/>
          </w:tcPr>
          <w:p>
            <w:pPr>
              <w:pStyle w:val="TableParagraph"/>
              <w:spacing w:before="177"/>
              <w:rPr>
                <w:b/>
                <w:sz w:val="20"/>
              </w:rPr>
            </w:pPr>
          </w:p>
          <w:p>
            <w:pPr>
              <w:pStyle w:val="TableParagraph"/>
              <w:ind w:left="75"/>
              <w:rPr>
                <w:b/>
                <w:sz w:val="20"/>
              </w:rPr>
            </w:pPr>
            <w:r>
              <w:rPr>
                <w:b/>
                <w:color w:val="FFFFFF"/>
                <w:spacing w:val="-2"/>
                <w:sz w:val="20"/>
              </w:rPr>
              <w:t>Projected</w:t>
            </w:r>
            <w:r>
              <w:rPr>
                <w:b/>
                <w:color w:val="FFFFFF"/>
                <w:spacing w:val="-8"/>
                <w:sz w:val="20"/>
              </w:rPr>
              <w:t> </w:t>
            </w:r>
            <w:r>
              <w:rPr>
                <w:b/>
                <w:color w:val="FFFFFF"/>
                <w:spacing w:val="-2"/>
                <w:sz w:val="20"/>
              </w:rPr>
              <w:t>Year</w:t>
            </w:r>
            <w:r>
              <w:rPr>
                <w:b/>
                <w:color w:val="FFFFFF"/>
                <w:spacing w:val="-7"/>
                <w:sz w:val="20"/>
              </w:rPr>
              <w:t> </w:t>
            </w:r>
            <w:r>
              <w:rPr>
                <w:b/>
                <w:color w:val="FFFFFF"/>
                <w:spacing w:val="-10"/>
                <w:sz w:val="20"/>
              </w:rPr>
              <w:t>2</w:t>
            </w:r>
          </w:p>
        </w:tc>
        <w:tc>
          <w:tcPr>
            <w:tcW w:w="1757" w:type="dxa"/>
            <w:tcBorders>
              <w:left w:val="single" w:sz="4" w:space="0" w:color="FFFFFF"/>
              <w:right w:val="single" w:sz="4" w:space="0" w:color="FFFFFF"/>
            </w:tcBorders>
            <w:shd w:val="clear" w:color="auto" w:fill="A7A9AC"/>
          </w:tcPr>
          <w:p>
            <w:pPr>
              <w:pStyle w:val="TableParagraph"/>
              <w:spacing w:before="74"/>
              <w:rPr>
                <w:b/>
                <w:sz w:val="20"/>
              </w:rPr>
            </w:pPr>
          </w:p>
          <w:p>
            <w:pPr>
              <w:pStyle w:val="TableParagraph"/>
              <w:spacing w:line="230" w:lineRule="auto" w:before="1"/>
              <w:ind w:left="75"/>
              <w:rPr>
                <w:b/>
                <w:sz w:val="20"/>
              </w:rPr>
            </w:pPr>
            <w:r>
              <w:rPr>
                <w:b/>
                <w:color w:val="FFFFFF"/>
                <w:spacing w:val="-2"/>
                <w:sz w:val="20"/>
              </w:rPr>
              <w:t>Projected</w:t>
            </w:r>
            <w:r>
              <w:rPr>
                <w:b/>
                <w:color w:val="FFFFFF"/>
                <w:spacing w:val="-12"/>
                <w:sz w:val="20"/>
              </w:rPr>
              <w:t> </w:t>
            </w:r>
            <w:r>
              <w:rPr>
                <w:b/>
                <w:color w:val="FFFFFF"/>
                <w:spacing w:val="-2"/>
                <w:sz w:val="20"/>
              </w:rPr>
              <w:t>Year</w:t>
            </w:r>
            <w:r>
              <w:rPr>
                <w:b/>
                <w:color w:val="FFFFFF"/>
                <w:spacing w:val="-12"/>
                <w:sz w:val="20"/>
              </w:rPr>
              <w:t> </w:t>
            </w:r>
            <w:r>
              <w:rPr>
                <w:b/>
                <w:color w:val="FFFFFF"/>
                <w:spacing w:val="-2"/>
                <w:sz w:val="20"/>
              </w:rPr>
              <w:t>3 Interventions</w:t>
            </w:r>
          </w:p>
        </w:tc>
        <w:tc>
          <w:tcPr>
            <w:tcW w:w="1642" w:type="dxa"/>
            <w:tcBorders>
              <w:left w:val="single" w:sz="4" w:space="0" w:color="FFFFFF"/>
            </w:tcBorders>
            <w:shd w:val="clear" w:color="auto" w:fill="A7A9AC"/>
          </w:tcPr>
          <w:p>
            <w:pPr>
              <w:pStyle w:val="TableParagraph"/>
              <w:spacing w:before="74"/>
              <w:rPr>
                <w:b/>
                <w:sz w:val="20"/>
              </w:rPr>
            </w:pPr>
          </w:p>
          <w:p>
            <w:pPr>
              <w:pStyle w:val="TableParagraph"/>
              <w:spacing w:line="230" w:lineRule="auto" w:before="1"/>
              <w:ind w:left="75"/>
              <w:rPr>
                <w:b/>
                <w:sz w:val="20"/>
              </w:rPr>
            </w:pPr>
            <w:r>
              <w:rPr>
                <w:b/>
                <w:color w:val="FFFFFF"/>
                <w:spacing w:val="-2"/>
                <w:sz w:val="20"/>
              </w:rPr>
              <w:t>Implementation Partner</w:t>
            </w:r>
          </w:p>
        </w:tc>
        <w:tc>
          <w:tcPr>
            <w:tcW w:w="1781" w:type="dxa"/>
            <w:shd w:val="clear" w:color="auto" w:fill="A7A9AC"/>
          </w:tcPr>
          <w:p>
            <w:pPr>
              <w:pStyle w:val="TableParagraph"/>
              <w:spacing w:before="74"/>
              <w:rPr>
                <w:b/>
                <w:sz w:val="20"/>
              </w:rPr>
            </w:pPr>
          </w:p>
          <w:p>
            <w:pPr>
              <w:pStyle w:val="TableParagraph"/>
              <w:spacing w:line="230" w:lineRule="auto" w:before="1"/>
              <w:ind w:left="74" w:right="69"/>
              <w:rPr>
                <w:b/>
                <w:sz w:val="20"/>
              </w:rPr>
            </w:pPr>
            <w:r>
              <w:rPr>
                <w:b/>
                <w:color w:val="FFFFFF"/>
                <w:spacing w:val="-6"/>
                <w:sz w:val="20"/>
              </w:rPr>
              <w:t>Partner</w:t>
            </w:r>
            <w:r>
              <w:rPr>
                <w:b/>
                <w:color w:val="FFFFFF"/>
                <w:spacing w:val="-8"/>
                <w:sz w:val="20"/>
              </w:rPr>
              <w:t> </w:t>
            </w:r>
            <w:r>
              <w:rPr>
                <w:b/>
                <w:color w:val="FFFFFF"/>
                <w:spacing w:val="-6"/>
                <w:sz w:val="20"/>
              </w:rPr>
              <w:t>Role(s) </w:t>
            </w:r>
            <w:r>
              <w:rPr>
                <w:b/>
                <w:color w:val="FFFFFF"/>
                <w:sz w:val="20"/>
              </w:rPr>
              <w:t>and</w:t>
            </w:r>
            <w:r>
              <w:rPr>
                <w:b/>
                <w:color w:val="FFFFFF"/>
                <w:spacing w:val="-8"/>
                <w:sz w:val="20"/>
              </w:rPr>
              <w:t> Resources</w:t>
            </w:r>
          </w:p>
        </w:tc>
      </w:tr>
      <w:tr>
        <w:trPr>
          <w:trHeight w:val="3400" w:hRule="atLeast"/>
        </w:trPr>
        <w:tc>
          <w:tcPr>
            <w:tcW w:w="1008" w:type="dxa"/>
            <w:vMerge w:val="restart"/>
            <w:shd w:val="clear" w:color="auto" w:fill="E6E7E8"/>
          </w:tcPr>
          <w:p>
            <w:pPr>
              <w:pStyle w:val="TableParagraph"/>
              <w:spacing w:line="232" w:lineRule="auto" w:before="101"/>
              <w:ind w:left="89" w:right="191"/>
              <w:jc w:val="both"/>
              <w:rPr>
                <w:sz w:val="18"/>
              </w:rPr>
            </w:pPr>
            <w:r>
              <w:rPr>
                <w:color w:val="105C84"/>
                <w:spacing w:val="-2"/>
                <w:sz w:val="18"/>
              </w:rPr>
              <w:t>Prevent Chronic </w:t>
            </w:r>
            <w:r>
              <w:rPr>
                <w:color w:val="105C84"/>
                <w:spacing w:val="-6"/>
                <w:sz w:val="18"/>
              </w:rPr>
              <w:t>Diseases</w:t>
            </w:r>
          </w:p>
        </w:tc>
        <w:tc>
          <w:tcPr>
            <w:tcW w:w="1152" w:type="dxa"/>
            <w:vMerge w:val="restart"/>
          </w:tcPr>
          <w:p>
            <w:pPr>
              <w:pStyle w:val="TableParagraph"/>
              <w:spacing w:line="232" w:lineRule="auto" w:before="101"/>
              <w:ind w:left="89" w:right="159"/>
              <w:jc w:val="both"/>
              <w:rPr>
                <w:sz w:val="18"/>
              </w:rPr>
            </w:pPr>
            <w:r>
              <w:rPr>
                <w:color w:val="105C84"/>
                <w:spacing w:val="-4"/>
                <w:sz w:val="18"/>
              </w:rPr>
              <w:t>Focus</w:t>
            </w:r>
            <w:r>
              <w:rPr>
                <w:color w:val="105C84"/>
                <w:spacing w:val="-9"/>
                <w:sz w:val="18"/>
              </w:rPr>
              <w:t> </w:t>
            </w:r>
            <w:r>
              <w:rPr>
                <w:color w:val="105C84"/>
                <w:spacing w:val="-4"/>
                <w:sz w:val="18"/>
              </w:rPr>
              <w:t>Area </w:t>
            </w:r>
            <w:r>
              <w:rPr>
                <w:color w:val="105C84"/>
                <w:sz w:val="18"/>
              </w:rPr>
              <w:t>3:</w:t>
            </w:r>
            <w:r>
              <w:rPr>
                <w:color w:val="105C84"/>
                <w:spacing w:val="-13"/>
                <w:sz w:val="18"/>
              </w:rPr>
              <w:t> </w:t>
            </w:r>
            <w:r>
              <w:rPr>
                <w:color w:val="105C84"/>
                <w:sz w:val="18"/>
              </w:rPr>
              <w:t>Tobacco </w:t>
            </w:r>
            <w:r>
              <w:rPr>
                <w:color w:val="105C84"/>
                <w:spacing w:val="-2"/>
                <w:sz w:val="18"/>
              </w:rPr>
              <w:t>prevention</w:t>
            </w:r>
          </w:p>
        </w:tc>
        <w:tc>
          <w:tcPr>
            <w:tcW w:w="1181" w:type="dxa"/>
            <w:vMerge w:val="restart"/>
          </w:tcPr>
          <w:p>
            <w:pPr>
              <w:pStyle w:val="TableParagraph"/>
              <w:spacing w:line="232" w:lineRule="auto" w:before="101"/>
              <w:ind w:left="89" w:right="101"/>
              <w:rPr>
                <w:sz w:val="18"/>
              </w:rPr>
            </w:pPr>
            <w:r>
              <w:rPr>
                <w:color w:val="105C84"/>
                <w:sz w:val="18"/>
              </w:rPr>
              <w:t>Goal 3.1: </w:t>
            </w:r>
            <w:r>
              <w:rPr>
                <w:color w:val="105C84"/>
                <w:spacing w:val="-2"/>
                <w:sz w:val="18"/>
              </w:rPr>
              <w:t>Prevent </w:t>
            </w:r>
            <w:r>
              <w:rPr>
                <w:color w:val="105C84"/>
                <w:sz w:val="18"/>
              </w:rPr>
              <w:t>initiation of tobacco</w:t>
            </w:r>
            <w:r>
              <w:rPr>
                <w:color w:val="105C84"/>
                <w:spacing w:val="14"/>
                <w:sz w:val="18"/>
              </w:rPr>
              <w:t> </w:t>
            </w:r>
            <w:r>
              <w:rPr>
                <w:color w:val="105C84"/>
                <w:spacing w:val="-8"/>
                <w:sz w:val="18"/>
              </w:rPr>
              <w:t>use</w:t>
            </w:r>
          </w:p>
        </w:tc>
        <w:tc>
          <w:tcPr>
            <w:tcW w:w="1815" w:type="dxa"/>
          </w:tcPr>
          <w:p>
            <w:pPr>
              <w:pStyle w:val="TableParagraph"/>
              <w:spacing w:line="232" w:lineRule="auto" w:before="101"/>
              <w:ind w:left="89"/>
              <w:rPr>
                <w:sz w:val="18"/>
              </w:rPr>
            </w:pPr>
            <w:r>
              <w:rPr>
                <w:color w:val="105C84"/>
                <w:sz w:val="18"/>
              </w:rPr>
              <w:t>3.1.1: Decrease the prevalence of any tobacco</w:t>
            </w:r>
            <w:r>
              <w:rPr>
                <w:color w:val="105C84"/>
                <w:spacing w:val="-9"/>
                <w:sz w:val="18"/>
              </w:rPr>
              <w:t> </w:t>
            </w:r>
            <w:r>
              <w:rPr>
                <w:color w:val="105C84"/>
                <w:sz w:val="18"/>
              </w:rPr>
              <w:t>use</w:t>
            </w:r>
            <w:r>
              <w:rPr>
                <w:color w:val="105C84"/>
                <w:spacing w:val="-9"/>
                <w:sz w:val="18"/>
              </w:rPr>
              <w:t> </w:t>
            </w:r>
            <w:r>
              <w:rPr>
                <w:color w:val="105C84"/>
                <w:sz w:val="18"/>
              </w:rPr>
              <w:t>by</w:t>
            </w:r>
            <w:r>
              <w:rPr>
                <w:color w:val="105C84"/>
                <w:spacing w:val="-9"/>
                <w:sz w:val="18"/>
              </w:rPr>
              <w:t> </w:t>
            </w:r>
            <w:r>
              <w:rPr>
                <w:color w:val="105C84"/>
                <w:sz w:val="18"/>
              </w:rPr>
              <w:t>high</w:t>
            </w:r>
            <w:r>
              <w:rPr>
                <w:color w:val="105C84"/>
                <w:sz w:val="18"/>
              </w:rPr>
              <w:t> school students</w:t>
            </w:r>
          </w:p>
        </w:tc>
        <w:tc>
          <w:tcPr>
            <w:tcW w:w="1160" w:type="dxa"/>
          </w:tcPr>
          <w:p>
            <w:pPr>
              <w:pStyle w:val="TableParagraph"/>
              <w:rPr>
                <w:rFonts w:ascii="Times New Roman"/>
                <w:sz w:val="18"/>
              </w:rPr>
            </w:pPr>
          </w:p>
        </w:tc>
        <w:tc>
          <w:tcPr>
            <w:tcW w:w="1844" w:type="dxa"/>
          </w:tcPr>
          <w:p>
            <w:pPr>
              <w:pStyle w:val="TableParagraph"/>
              <w:spacing w:line="232" w:lineRule="auto" w:before="101"/>
              <w:ind w:left="88" w:right="399"/>
              <w:rPr>
                <w:sz w:val="18"/>
              </w:rPr>
            </w:pPr>
            <w:r>
              <w:rPr>
                <w:color w:val="105C84"/>
                <w:spacing w:val="-4"/>
                <w:sz w:val="18"/>
              </w:rPr>
              <w:t>3.1.2:</w:t>
            </w:r>
            <w:r>
              <w:rPr>
                <w:color w:val="105C84"/>
                <w:spacing w:val="-11"/>
                <w:sz w:val="18"/>
              </w:rPr>
              <w:t> </w:t>
            </w:r>
            <w:r>
              <w:rPr>
                <w:color w:val="105C84"/>
                <w:spacing w:val="-4"/>
                <w:sz w:val="18"/>
              </w:rPr>
              <w:t>Use</w:t>
            </w:r>
            <w:r>
              <w:rPr>
                <w:color w:val="105C84"/>
                <w:spacing w:val="-8"/>
                <w:sz w:val="18"/>
              </w:rPr>
              <w:t> </w:t>
            </w:r>
            <w:r>
              <w:rPr>
                <w:color w:val="105C84"/>
                <w:spacing w:val="-4"/>
                <w:sz w:val="18"/>
              </w:rPr>
              <w:t>medi</w:t>
            </w:r>
            <w:r>
              <w:rPr>
                <w:color w:val="105C84"/>
                <w:spacing w:val="-4"/>
                <w:sz w:val="18"/>
              </w:rPr>
              <w:t>a</w:t>
            </w:r>
            <w:r>
              <w:rPr>
                <w:color w:val="105C84"/>
                <w:spacing w:val="-4"/>
                <w:sz w:val="18"/>
              </w:rPr>
              <w:t> </w:t>
            </w:r>
            <w:r>
              <w:rPr>
                <w:color w:val="105C84"/>
                <w:sz w:val="18"/>
              </w:rPr>
              <w:t>and health </w:t>
            </w:r>
            <w:r>
              <w:rPr>
                <w:color w:val="105C84"/>
                <w:spacing w:val="-2"/>
                <w:sz w:val="18"/>
              </w:rPr>
              <w:t>communications </w:t>
            </w:r>
            <w:r>
              <w:rPr>
                <w:color w:val="105C84"/>
                <w:sz w:val="18"/>
              </w:rPr>
              <w:t>to highlight the</w:t>
            </w:r>
          </w:p>
          <w:p>
            <w:pPr>
              <w:pStyle w:val="TableParagraph"/>
              <w:spacing w:line="232" w:lineRule="auto"/>
              <w:ind w:left="88"/>
              <w:rPr>
                <w:sz w:val="18"/>
              </w:rPr>
            </w:pPr>
            <w:r>
              <w:rPr>
                <w:color w:val="105C84"/>
                <w:sz w:val="18"/>
              </w:rPr>
              <w:t>dangers of tobacco, promote effective tobacco control policies</w:t>
            </w:r>
            <w:r>
              <w:rPr>
                <w:color w:val="105C84"/>
                <w:spacing w:val="-15"/>
                <w:sz w:val="18"/>
              </w:rPr>
              <w:t> </w:t>
            </w:r>
            <w:r>
              <w:rPr>
                <w:color w:val="105C84"/>
                <w:sz w:val="18"/>
              </w:rPr>
              <w:t>and</w:t>
            </w:r>
            <w:r>
              <w:rPr>
                <w:color w:val="105C84"/>
                <w:spacing w:val="-12"/>
                <w:sz w:val="18"/>
              </w:rPr>
              <w:t> </w:t>
            </w:r>
            <w:r>
              <w:rPr>
                <w:color w:val="105C84"/>
                <w:sz w:val="18"/>
              </w:rPr>
              <w:t>reshape social norms</w:t>
            </w:r>
          </w:p>
        </w:tc>
        <w:tc>
          <w:tcPr>
            <w:tcW w:w="3073" w:type="dxa"/>
            <w:tcBorders>
              <w:right w:val="nil"/>
            </w:tcBorders>
          </w:tcPr>
          <w:p>
            <w:pPr>
              <w:pStyle w:val="TableParagraph"/>
              <w:spacing w:line="232" w:lineRule="auto" w:before="101"/>
              <w:ind w:left="87" w:right="1037"/>
              <w:rPr>
                <w:sz w:val="18"/>
              </w:rPr>
            </w:pPr>
            <w:r>
              <w:rPr>
                <w:color w:val="105C84"/>
                <w:spacing w:val="-2"/>
                <w:sz w:val="18"/>
              </w:rPr>
              <w:t>Southern</w:t>
            </w:r>
            <w:r>
              <w:rPr>
                <w:color w:val="105C84"/>
                <w:spacing w:val="-13"/>
                <w:sz w:val="18"/>
              </w:rPr>
              <w:t> </w:t>
            </w:r>
            <w:r>
              <w:rPr>
                <w:color w:val="105C84"/>
                <w:spacing w:val="-2"/>
                <w:sz w:val="18"/>
              </w:rPr>
              <w:t>Tier</w:t>
            </w:r>
            <w:r>
              <w:rPr>
                <w:color w:val="105C84"/>
                <w:spacing w:val="-10"/>
                <w:sz w:val="18"/>
              </w:rPr>
              <w:t> </w:t>
            </w:r>
            <w:r>
              <w:rPr>
                <w:color w:val="105C84"/>
                <w:spacing w:val="-2"/>
                <w:sz w:val="18"/>
              </w:rPr>
              <w:t>Tobacco </w:t>
            </w:r>
            <w:r>
              <w:rPr>
                <w:color w:val="105C84"/>
                <w:sz w:val="18"/>
              </w:rPr>
              <w:t>Awareness Coalition </w:t>
            </w:r>
            <w:r>
              <w:rPr>
                <w:color w:val="105C84"/>
                <w:spacing w:val="-2"/>
                <w:sz w:val="18"/>
              </w:rPr>
              <w:t>(STTAC)</w:t>
            </w:r>
          </w:p>
          <w:p>
            <w:pPr>
              <w:pStyle w:val="TableParagraph"/>
              <w:spacing w:line="232" w:lineRule="auto" w:before="87"/>
              <w:ind w:left="87" w:right="1037"/>
              <w:rPr>
                <w:sz w:val="18"/>
              </w:rPr>
            </w:pPr>
            <w:r>
              <w:rPr>
                <w:color w:val="105C84"/>
                <w:sz w:val="18"/>
              </w:rPr>
              <w:t># of media outreaches </w:t>
            </w:r>
            <w:r>
              <w:rPr>
                <w:color w:val="105C84"/>
                <w:spacing w:val="-6"/>
                <w:sz w:val="18"/>
              </w:rPr>
              <w:t>(radio,</w:t>
            </w:r>
            <w:r>
              <w:rPr>
                <w:color w:val="105C84"/>
                <w:spacing w:val="-3"/>
                <w:sz w:val="18"/>
              </w:rPr>
              <w:t> </w:t>
            </w:r>
            <w:r>
              <w:rPr>
                <w:color w:val="105C84"/>
                <w:spacing w:val="-6"/>
                <w:sz w:val="18"/>
              </w:rPr>
              <w:t>TV,</w:t>
            </w:r>
            <w:r>
              <w:rPr>
                <w:color w:val="105C84"/>
                <w:spacing w:val="-2"/>
                <w:sz w:val="18"/>
              </w:rPr>
              <w:t> </w:t>
            </w:r>
            <w:r>
              <w:rPr>
                <w:color w:val="105C84"/>
                <w:spacing w:val="-6"/>
                <w:sz w:val="18"/>
              </w:rPr>
              <w:t>newspapers)</w:t>
            </w:r>
          </w:p>
          <w:p>
            <w:pPr>
              <w:pStyle w:val="TableParagraph"/>
              <w:spacing w:line="232" w:lineRule="auto" w:before="89"/>
              <w:ind w:left="87" w:right="1037"/>
              <w:rPr>
                <w:sz w:val="18"/>
              </w:rPr>
            </w:pPr>
            <w:r>
              <w:rPr>
                <w:color w:val="105C84"/>
                <w:sz w:val="18"/>
              </w:rPr>
              <w:t># of paid ads in Chemung</w:t>
            </w:r>
            <w:r>
              <w:rPr>
                <w:color w:val="105C84"/>
                <w:spacing w:val="-13"/>
                <w:sz w:val="18"/>
              </w:rPr>
              <w:t> </w:t>
            </w:r>
            <w:r>
              <w:rPr>
                <w:color w:val="105C84"/>
                <w:sz w:val="18"/>
              </w:rPr>
              <w:t>County</w:t>
            </w:r>
          </w:p>
          <w:p>
            <w:pPr>
              <w:pStyle w:val="TableParagraph"/>
              <w:spacing w:before="83"/>
              <w:ind w:left="87"/>
              <w:rPr>
                <w:sz w:val="18"/>
              </w:rPr>
            </w:pPr>
            <w:r>
              <w:rPr>
                <w:color w:val="105C84"/>
                <w:sz w:val="18"/>
              </w:rPr>
              <w:t>#</w:t>
            </w:r>
            <w:r>
              <w:rPr>
                <w:color w:val="105C84"/>
                <w:spacing w:val="-5"/>
                <w:sz w:val="18"/>
              </w:rPr>
              <w:t> </w:t>
            </w:r>
            <w:r>
              <w:rPr>
                <w:color w:val="105C84"/>
                <w:sz w:val="18"/>
              </w:rPr>
              <w:t>of</w:t>
            </w:r>
            <w:r>
              <w:rPr>
                <w:color w:val="105C84"/>
                <w:spacing w:val="-3"/>
                <w:sz w:val="18"/>
              </w:rPr>
              <w:t> </w:t>
            </w:r>
            <w:r>
              <w:rPr>
                <w:color w:val="105C84"/>
                <w:spacing w:val="-2"/>
                <w:sz w:val="18"/>
              </w:rPr>
              <w:t>educational</w:t>
            </w:r>
          </w:p>
          <w:p>
            <w:pPr>
              <w:pStyle w:val="TableParagraph"/>
              <w:spacing w:line="232" w:lineRule="auto" w:before="88"/>
              <w:ind w:left="87" w:right="1037"/>
              <w:rPr>
                <w:sz w:val="18"/>
              </w:rPr>
            </w:pPr>
            <w:r>
              <w:rPr>
                <w:color w:val="105C84"/>
                <w:sz w:val="18"/>
              </w:rPr>
              <w:t>presentations</w:t>
            </w:r>
            <w:r>
              <w:rPr>
                <w:color w:val="105C84"/>
                <w:spacing w:val="-8"/>
                <w:sz w:val="18"/>
              </w:rPr>
              <w:t> </w:t>
            </w:r>
            <w:r>
              <w:rPr>
                <w:color w:val="105C84"/>
                <w:sz w:val="18"/>
              </w:rPr>
              <w:t>provided to youth focused </w:t>
            </w:r>
            <w:r>
              <w:rPr>
                <w:color w:val="105C84"/>
                <w:spacing w:val="-2"/>
                <w:sz w:val="18"/>
              </w:rPr>
              <w:t>organizations</w:t>
            </w:r>
          </w:p>
          <w:p>
            <w:pPr>
              <w:pStyle w:val="TableParagraph"/>
              <w:spacing w:line="232" w:lineRule="auto" w:before="88"/>
              <w:ind w:left="87" w:right="1037"/>
              <w:rPr>
                <w:sz w:val="18"/>
              </w:rPr>
            </w:pPr>
            <w:r>
              <w:rPr>
                <w:color w:val="105C84"/>
                <w:sz w:val="18"/>
              </w:rPr>
              <w:t># of Reality Check activities</w:t>
            </w:r>
            <w:r>
              <w:rPr>
                <w:color w:val="105C84"/>
                <w:spacing w:val="-15"/>
                <w:sz w:val="18"/>
              </w:rPr>
              <w:t> </w:t>
            </w:r>
            <w:r>
              <w:rPr>
                <w:color w:val="105C84"/>
                <w:sz w:val="18"/>
              </w:rPr>
              <w:t>in</w:t>
            </w:r>
            <w:r>
              <w:rPr>
                <w:color w:val="105C84"/>
                <w:spacing w:val="-12"/>
                <w:sz w:val="18"/>
              </w:rPr>
              <w:t> </w:t>
            </w:r>
            <w:r>
              <w:rPr>
                <w:color w:val="105C84"/>
                <w:sz w:val="18"/>
              </w:rPr>
              <w:t>Chemung </w:t>
            </w:r>
            <w:r>
              <w:rPr>
                <w:color w:val="105C84"/>
                <w:spacing w:val="-2"/>
                <w:sz w:val="18"/>
              </w:rPr>
              <w:t>County</w:t>
            </w:r>
          </w:p>
        </w:tc>
        <w:tc>
          <w:tcPr>
            <w:tcW w:w="4179" w:type="dxa"/>
            <w:tcBorders>
              <w:left w:val="nil"/>
            </w:tcBorders>
          </w:tcPr>
          <w:p>
            <w:pPr>
              <w:pStyle w:val="TableParagraph"/>
              <w:spacing w:line="232" w:lineRule="auto" w:before="101"/>
              <w:ind w:left="1004" w:right="230"/>
              <w:rPr>
                <w:sz w:val="18"/>
              </w:rPr>
            </w:pPr>
            <w:r>
              <w:rPr>
                <w:color w:val="105C84"/>
                <w:sz w:val="18"/>
              </w:rPr>
              <w:t>YTD - 57 earned media outreaches (March</w:t>
            </w:r>
            <w:r>
              <w:rPr>
                <w:color w:val="105C84"/>
                <w:spacing w:val="-13"/>
                <w:sz w:val="18"/>
              </w:rPr>
              <w:t> </w:t>
            </w:r>
            <w:r>
              <w:rPr>
                <w:color w:val="105C84"/>
                <w:sz w:val="18"/>
              </w:rPr>
              <w:t>-</w:t>
            </w:r>
            <w:r>
              <w:rPr>
                <w:color w:val="105C84"/>
                <w:spacing w:val="-12"/>
                <w:sz w:val="18"/>
              </w:rPr>
              <w:t> </w:t>
            </w:r>
            <w:r>
              <w:rPr>
                <w:color w:val="105C84"/>
                <w:sz w:val="18"/>
              </w:rPr>
              <w:t>Kick</w:t>
            </w:r>
            <w:r>
              <w:rPr>
                <w:color w:val="105C84"/>
                <w:spacing w:val="-13"/>
                <w:sz w:val="18"/>
              </w:rPr>
              <w:t> </w:t>
            </w:r>
            <w:r>
              <w:rPr>
                <w:color w:val="105C84"/>
                <w:sz w:val="18"/>
              </w:rPr>
              <w:t>Butts</w:t>
            </w:r>
            <w:r>
              <w:rPr>
                <w:color w:val="105C84"/>
                <w:spacing w:val="-12"/>
                <w:sz w:val="18"/>
              </w:rPr>
              <w:t> </w:t>
            </w:r>
            <w:r>
              <w:rPr>
                <w:color w:val="105C84"/>
                <w:sz w:val="18"/>
              </w:rPr>
              <w:t>Day,</w:t>
            </w:r>
            <w:r>
              <w:rPr>
                <w:color w:val="105C84"/>
                <w:spacing w:val="-13"/>
                <w:sz w:val="18"/>
              </w:rPr>
              <w:t> </w:t>
            </w:r>
            <w:r>
              <w:rPr>
                <w:color w:val="105C84"/>
                <w:sz w:val="18"/>
              </w:rPr>
              <w:t>May</w:t>
            </w:r>
            <w:r>
              <w:rPr>
                <w:color w:val="105C84"/>
                <w:spacing w:val="-13"/>
                <w:sz w:val="18"/>
              </w:rPr>
              <w:t> </w:t>
            </w:r>
            <w:r>
              <w:rPr>
                <w:color w:val="105C84"/>
                <w:sz w:val="18"/>
              </w:rPr>
              <w:t>-</w:t>
            </w:r>
            <w:r>
              <w:rPr>
                <w:color w:val="105C84"/>
                <w:spacing w:val="-12"/>
                <w:sz w:val="18"/>
              </w:rPr>
              <w:t> </w:t>
            </w:r>
            <w:r>
              <w:rPr>
                <w:color w:val="105C84"/>
                <w:sz w:val="18"/>
              </w:rPr>
              <w:t>World No</w:t>
            </w:r>
            <w:r>
              <w:rPr>
                <w:color w:val="105C84"/>
                <w:spacing w:val="-6"/>
                <w:sz w:val="18"/>
              </w:rPr>
              <w:t> </w:t>
            </w:r>
            <w:r>
              <w:rPr>
                <w:color w:val="105C84"/>
                <w:sz w:val="18"/>
              </w:rPr>
              <w:t>Tobacco</w:t>
            </w:r>
            <w:r>
              <w:rPr>
                <w:color w:val="105C84"/>
                <w:spacing w:val="-6"/>
                <w:sz w:val="18"/>
              </w:rPr>
              <w:t> </w:t>
            </w:r>
            <w:r>
              <w:rPr>
                <w:color w:val="105C84"/>
                <w:sz w:val="18"/>
              </w:rPr>
              <w:t>Day,</w:t>
            </w:r>
            <w:r>
              <w:rPr>
                <w:color w:val="105C84"/>
                <w:spacing w:val="-6"/>
                <w:sz w:val="18"/>
              </w:rPr>
              <w:t> </w:t>
            </w:r>
            <w:r>
              <w:rPr>
                <w:color w:val="105C84"/>
                <w:sz w:val="18"/>
              </w:rPr>
              <w:t>November</w:t>
            </w:r>
            <w:r>
              <w:rPr>
                <w:color w:val="105C84"/>
                <w:spacing w:val="-6"/>
                <w:sz w:val="18"/>
              </w:rPr>
              <w:t> </w:t>
            </w:r>
            <w:r>
              <w:rPr>
                <w:color w:val="105C84"/>
                <w:sz w:val="18"/>
              </w:rPr>
              <w:t>-</w:t>
            </w:r>
            <w:r>
              <w:rPr>
                <w:color w:val="105C84"/>
                <w:spacing w:val="-6"/>
                <w:sz w:val="18"/>
              </w:rPr>
              <w:t> </w:t>
            </w:r>
            <w:r>
              <w:rPr>
                <w:color w:val="105C84"/>
                <w:sz w:val="18"/>
              </w:rPr>
              <w:t>Great American Smokeout)</w:t>
            </w:r>
          </w:p>
          <w:p>
            <w:pPr>
              <w:pStyle w:val="TableParagraph"/>
              <w:spacing w:line="203" w:lineRule="exact" w:before="81"/>
              <w:ind w:left="1004"/>
              <w:rPr>
                <w:sz w:val="18"/>
              </w:rPr>
            </w:pPr>
            <w:r>
              <w:rPr>
                <w:color w:val="105C84"/>
                <w:sz w:val="18"/>
              </w:rPr>
              <w:t>4 -</w:t>
            </w:r>
            <w:r>
              <w:rPr>
                <w:color w:val="105C84"/>
                <w:spacing w:val="1"/>
                <w:sz w:val="18"/>
              </w:rPr>
              <w:t> </w:t>
            </w:r>
            <w:r>
              <w:rPr>
                <w:color w:val="105C84"/>
                <w:sz w:val="18"/>
              </w:rPr>
              <w:t>paid</w:t>
            </w:r>
            <w:r>
              <w:rPr>
                <w:color w:val="105C84"/>
                <w:spacing w:val="1"/>
                <w:sz w:val="18"/>
              </w:rPr>
              <w:t> </w:t>
            </w:r>
            <w:r>
              <w:rPr>
                <w:color w:val="105C84"/>
                <w:sz w:val="18"/>
              </w:rPr>
              <w:t>ads completed</w:t>
            </w:r>
            <w:r>
              <w:rPr>
                <w:color w:val="105C84"/>
                <w:spacing w:val="1"/>
                <w:sz w:val="18"/>
              </w:rPr>
              <w:t> </w:t>
            </w:r>
            <w:r>
              <w:rPr>
                <w:color w:val="105C84"/>
                <w:sz w:val="18"/>
              </w:rPr>
              <w:t>-</w:t>
            </w:r>
            <w:r>
              <w:rPr>
                <w:color w:val="105C84"/>
                <w:spacing w:val="1"/>
                <w:sz w:val="18"/>
              </w:rPr>
              <w:t> </w:t>
            </w:r>
            <w:r>
              <w:rPr>
                <w:color w:val="105C84"/>
                <w:spacing w:val="-2"/>
                <w:sz w:val="18"/>
              </w:rPr>
              <w:t>April</w:t>
            </w:r>
          </w:p>
          <w:p>
            <w:pPr>
              <w:pStyle w:val="TableParagraph"/>
              <w:spacing w:line="200" w:lineRule="exact"/>
              <w:ind w:left="1004"/>
              <w:rPr>
                <w:sz w:val="18"/>
              </w:rPr>
            </w:pPr>
            <w:r>
              <w:rPr>
                <w:color w:val="105C84"/>
                <w:spacing w:val="-2"/>
                <w:sz w:val="18"/>
              </w:rPr>
              <w:t>-Newspaper?,</w:t>
            </w:r>
            <w:r>
              <w:rPr>
                <w:color w:val="105C84"/>
                <w:spacing w:val="-4"/>
                <w:sz w:val="18"/>
              </w:rPr>
              <w:t> </w:t>
            </w:r>
            <w:r>
              <w:rPr>
                <w:color w:val="105C84"/>
                <w:spacing w:val="-2"/>
                <w:sz w:val="18"/>
              </w:rPr>
              <w:t>May</w:t>
            </w:r>
            <w:r>
              <w:rPr>
                <w:color w:val="105C84"/>
                <w:spacing w:val="-4"/>
                <w:sz w:val="18"/>
              </w:rPr>
              <w:t> </w:t>
            </w:r>
            <w:r>
              <w:rPr>
                <w:color w:val="105C84"/>
                <w:spacing w:val="-2"/>
                <w:sz w:val="18"/>
              </w:rPr>
              <w:t>-</w:t>
            </w:r>
            <w:r>
              <w:rPr>
                <w:color w:val="105C84"/>
                <w:spacing w:val="-4"/>
                <w:sz w:val="18"/>
              </w:rPr>
              <w:t> </w:t>
            </w:r>
            <w:r>
              <w:rPr>
                <w:color w:val="105C84"/>
                <w:spacing w:val="-2"/>
                <w:sz w:val="18"/>
              </w:rPr>
              <w:t>Radio,</w:t>
            </w:r>
            <w:r>
              <w:rPr>
                <w:color w:val="105C84"/>
                <w:spacing w:val="-4"/>
                <w:sz w:val="18"/>
              </w:rPr>
              <w:t> June</w:t>
            </w:r>
          </w:p>
          <w:p>
            <w:pPr>
              <w:pStyle w:val="TableParagraph"/>
              <w:spacing w:line="232" w:lineRule="auto" w:before="2"/>
              <w:ind w:left="1004" w:right="109"/>
              <w:rPr>
                <w:sz w:val="18"/>
              </w:rPr>
            </w:pPr>
            <w:r>
              <w:rPr>
                <w:color w:val="105C84"/>
                <w:spacing w:val="-2"/>
                <w:sz w:val="18"/>
              </w:rPr>
              <w:t>-Tobacco-free</w:t>
            </w:r>
            <w:r>
              <w:rPr>
                <w:color w:val="105C84"/>
                <w:spacing w:val="-9"/>
                <w:sz w:val="18"/>
              </w:rPr>
              <w:t> </w:t>
            </w:r>
            <w:r>
              <w:rPr>
                <w:color w:val="105C84"/>
                <w:spacing w:val="-2"/>
                <w:sz w:val="18"/>
              </w:rPr>
              <w:t>pharmacies,</w:t>
            </w:r>
            <w:r>
              <w:rPr>
                <w:color w:val="105C84"/>
                <w:spacing w:val="-9"/>
                <w:sz w:val="18"/>
              </w:rPr>
              <w:t> </w:t>
            </w:r>
            <w:r>
              <w:rPr>
                <w:color w:val="105C84"/>
                <w:spacing w:val="-2"/>
                <w:sz w:val="18"/>
              </w:rPr>
              <w:t>June</w:t>
            </w:r>
            <w:r>
              <w:rPr>
                <w:color w:val="105C84"/>
                <w:spacing w:val="-9"/>
                <w:sz w:val="18"/>
              </w:rPr>
              <w:t> </w:t>
            </w:r>
            <w:r>
              <w:rPr>
                <w:color w:val="105C84"/>
                <w:spacing w:val="-2"/>
                <w:sz w:val="18"/>
              </w:rPr>
              <w:t>- </w:t>
            </w:r>
            <w:r>
              <w:rPr>
                <w:color w:val="105C84"/>
                <w:sz w:val="18"/>
              </w:rPr>
              <w:t>Reality Check recruitment</w:t>
            </w:r>
          </w:p>
          <w:p>
            <w:pPr>
              <w:pStyle w:val="TableParagraph"/>
              <w:spacing w:line="232" w:lineRule="auto" w:before="88"/>
              <w:ind w:left="1004" w:right="230"/>
              <w:rPr>
                <w:sz w:val="18"/>
              </w:rPr>
            </w:pPr>
            <w:r>
              <w:rPr>
                <w:color w:val="105C84"/>
                <w:sz w:val="18"/>
              </w:rPr>
              <w:t>3</w:t>
            </w:r>
            <w:r>
              <w:rPr>
                <w:color w:val="105C84"/>
                <w:spacing w:val="-6"/>
                <w:sz w:val="18"/>
              </w:rPr>
              <w:t> </w:t>
            </w:r>
            <w:r>
              <w:rPr>
                <w:color w:val="105C84"/>
                <w:sz w:val="18"/>
              </w:rPr>
              <w:t>-</w:t>
            </w:r>
            <w:r>
              <w:rPr>
                <w:color w:val="105C84"/>
                <w:spacing w:val="-6"/>
                <w:sz w:val="18"/>
              </w:rPr>
              <w:t> </w:t>
            </w:r>
            <w:r>
              <w:rPr>
                <w:color w:val="105C84"/>
                <w:sz w:val="18"/>
              </w:rPr>
              <w:t>presentations</w:t>
            </w:r>
            <w:r>
              <w:rPr>
                <w:color w:val="105C84"/>
                <w:spacing w:val="-6"/>
                <w:sz w:val="18"/>
              </w:rPr>
              <w:t> </w:t>
            </w:r>
            <w:r>
              <w:rPr>
                <w:color w:val="105C84"/>
                <w:sz w:val="18"/>
              </w:rPr>
              <w:t>to</w:t>
            </w:r>
            <w:r>
              <w:rPr>
                <w:color w:val="105C84"/>
                <w:spacing w:val="-6"/>
                <w:sz w:val="18"/>
              </w:rPr>
              <w:t> </w:t>
            </w:r>
            <w:r>
              <w:rPr>
                <w:color w:val="105C84"/>
                <w:sz w:val="18"/>
              </w:rPr>
              <w:t>youth</w:t>
            </w:r>
            <w:r>
              <w:rPr>
                <w:color w:val="105C84"/>
                <w:spacing w:val="-6"/>
                <w:sz w:val="18"/>
              </w:rPr>
              <w:t> </w:t>
            </w:r>
            <w:r>
              <w:rPr>
                <w:color w:val="105C84"/>
                <w:sz w:val="18"/>
              </w:rPr>
              <w:t>focused organizations completed</w:t>
            </w:r>
          </w:p>
          <w:p>
            <w:pPr>
              <w:pStyle w:val="TableParagraph"/>
              <w:spacing w:line="232" w:lineRule="auto" w:before="89"/>
              <w:ind w:left="1004" w:right="912"/>
              <w:rPr>
                <w:sz w:val="18"/>
              </w:rPr>
            </w:pPr>
            <w:r>
              <w:rPr>
                <w:color w:val="105C84"/>
                <w:sz w:val="18"/>
              </w:rPr>
              <w:t>3</w:t>
            </w:r>
            <w:r>
              <w:rPr>
                <w:color w:val="105C84"/>
                <w:spacing w:val="-13"/>
                <w:sz w:val="18"/>
              </w:rPr>
              <w:t> </w:t>
            </w:r>
            <w:r>
              <w:rPr>
                <w:color w:val="105C84"/>
                <w:sz w:val="18"/>
              </w:rPr>
              <w:t>-</w:t>
            </w:r>
            <w:r>
              <w:rPr>
                <w:color w:val="105C84"/>
                <w:spacing w:val="-12"/>
                <w:sz w:val="18"/>
              </w:rPr>
              <w:t> </w:t>
            </w:r>
            <w:r>
              <w:rPr>
                <w:color w:val="105C84"/>
                <w:sz w:val="18"/>
              </w:rPr>
              <w:t>Reality</w:t>
            </w:r>
            <w:r>
              <w:rPr>
                <w:color w:val="105C84"/>
                <w:spacing w:val="-13"/>
                <w:sz w:val="18"/>
              </w:rPr>
              <w:t> </w:t>
            </w:r>
            <w:r>
              <w:rPr>
                <w:color w:val="105C84"/>
                <w:sz w:val="18"/>
              </w:rPr>
              <w:t>Check</w:t>
            </w:r>
            <w:r>
              <w:rPr>
                <w:color w:val="105C84"/>
                <w:spacing w:val="-12"/>
                <w:sz w:val="18"/>
              </w:rPr>
              <w:t> </w:t>
            </w:r>
            <w:r>
              <w:rPr>
                <w:color w:val="105C84"/>
                <w:sz w:val="18"/>
              </w:rPr>
              <w:t>activities</w:t>
            </w:r>
            <w:r>
              <w:rPr>
                <w:color w:val="105C84"/>
                <w:spacing w:val="-13"/>
                <w:sz w:val="18"/>
              </w:rPr>
              <w:t> </w:t>
            </w:r>
            <w:r>
              <w:rPr>
                <w:color w:val="105C84"/>
                <w:sz w:val="18"/>
              </w:rPr>
              <w:t>in</w:t>
            </w:r>
            <w:r>
              <w:rPr>
                <w:color w:val="105C84"/>
                <w:sz w:val="18"/>
              </w:rPr>
              <w:t> Chemung County</w:t>
            </w:r>
          </w:p>
        </w:tc>
        <w:tc>
          <w:tcPr>
            <w:tcW w:w="1757" w:type="dxa"/>
          </w:tcPr>
          <w:p>
            <w:pPr>
              <w:pStyle w:val="TableParagraph"/>
              <w:spacing w:line="232" w:lineRule="auto" w:before="100"/>
              <w:ind w:left="85"/>
              <w:rPr>
                <w:sz w:val="18"/>
              </w:rPr>
            </w:pPr>
            <w:r>
              <w:rPr>
                <w:color w:val="105C84"/>
                <w:sz w:val="18"/>
              </w:rPr>
              <w:t>6-</w:t>
            </w:r>
            <w:r>
              <w:rPr>
                <w:color w:val="105C84"/>
                <w:spacing w:val="-15"/>
                <w:sz w:val="18"/>
              </w:rPr>
              <w:t> </w:t>
            </w:r>
            <w:r>
              <w:rPr>
                <w:color w:val="105C84"/>
                <w:sz w:val="18"/>
              </w:rPr>
              <w:t>earned</w:t>
            </w:r>
            <w:r>
              <w:rPr>
                <w:color w:val="105C84"/>
                <w:spacing w:val="-12"/>
                <w:sz w:val="18"/>
              </w:rPr>
              <w:t> </w:t>
            </w:r>
            <w:r>
              <w:rPr>
                <w:color w:val="105C84"/>
                <w:sz w:val="18"/>
              </w:rPr>
              <w:t>media</w:t>
            </w:r>
            <w:r>
              <w:rPr>
                <w:color w:val="105C84"/>
                <w:sz w:val="18"/>
              </w:rPr>
              <w:t> </w:t>
            </w:r>
            <w:r>
              <w:rPr>
                <w:color w:val="105C84"/>
                <w:spacing w:val="-2"/>
                <w:sz w:val="18"/>
              </w:rPr>
              <w:t>outreaches</w:t>
            </w:r>
          </w:p>
          <w:p>
            <w:pPr>
              <w:pStyle w:val="TableParagraph"/>
              <w:spacing w:before="84"/>
              <w:ind w:left="85"/>
              <w:rPr>
                <w:sz w:val="18"/>
              </w:rPr>
            </w:pPr>
            <w:r>
              <w:rPr>
                <w:color w:val="105C84"/>
                <w:sz w:val="18"/>
              </w:rPr>
              <w:t>1</w:t>
            </w:r>
            <w:r>
              <w:rPr>
                <w:color w:val="105C84"/>
                <w:spacing w:val="-2"/>
                <w:sz w:val="18"/>
              </w:rPr>
              <w:t> </w:t>
            </w:r>
            <w:r>
              <w:rPr>
                <w:color w:val="105C84"/>
                <w:sz w:val="18"/>
              </w:rPr>
              <w:t>-</w:t>
            </w:r>
            <w:r>
              <w:rPr>
                <w:color w:val="105C84"/>
                <w:spacing w:val="-2"/>
                <w:sz w:val="18"/>
              </w:rPr>
              <w:t> </w:t>
            </w:r>
            <w:r>
              <w:rPr>
                <w:color w:val="105C84"/>
                <w:sz w:val="18"/>
              </w:rPr>
              <w:t>paid</w:t>
            </w:r>
            <w:r>
              <w:rPr>
                <w:color w:val="105C84"/>
                <w:spacing w:val="-2"/>
                <w:sz w:val="18"/>
              </w:rPr>
              <w:t> </w:t>
            </w:r>
            <w:r>
              <w:rPr>
                <w:color w:val="105C84"/>
                <w:spacing w:val="-5"/>
                <w:sz w:val="18"/>
              </w:rPr>
              <w:t>ad</w:t>
            </w:r>
          </w:p>
          <w:p>
            <w:pPr>
              <w:pStyle w:val="TableParagraph"/>
              <w:spacing w:line="232" w:lineRule="auto" w:before="88"/>
              <w:ind w:left="85" w:right="218"/>
              <w:rPr>
                <w:sz w:val="18"/>
              </w:rPr>
            </w:pPr>
            <w:r>
              <w:rPr>
                <w:color w:val="105C84"/>
                <w:sz w:val="18"/>
              </w:rPr>
              <w:t>5</w:t>
            </w:r>
            <w:r>
              <w:rPr>
                <w:color w:val="105C84"/>
                <w:spacing w:val="-15"/>
                <w:sz w:val="18"/>
              </w:rPr>
              <w:t> </w:t>
            </w:r>
            <w:r>
              <w:rPr>
                <w:color w:val="105C84"/>
                <w:sz w:val="18"/>
              </w:rPr>
              <w:t>-</w:t>
            </w:r>
            <w:r>
              <w:rPr>
                <w:color w:val="105C84"/>
                <w:spacing w:val="-12"/>
                <w:sz w:val="18"/>
              </w:rPr>
              <w:t> </w:t>
            </w:r>
            <w:r>
              <w:rPr>
                <w:color w:val="105C84"/>
                <w:sz w:val="18"/>
              </w:rPr>
              <w:t>presentations to</w:t>
            </w:r>
            <w:r>
              <w:rPr>
                <w:color w:val="105C84"/>
                <w:spacing w:val="-7"/>
                <w:sz w:val="18"/>
              </w:rPr>
              <w:t> </w:t>
            </w:r>
            <w:r>
              <w:rPr>
                <w:color w:val="105C84"/>
                <w:sz w:val="18"/>
              </w:rPr>
              <w:t>youth</w:t>
            </w:r>
            <w:r>
              <w:rPr>
                <w:color w:val="105C84"/>
                <w:spacing w:val="-7"/>
                <w:sz w:val="18"/>
              </w:rPr>
              <w:t> </w:t>
            </w:r>
            <w:r>
              <w:rPr>
                <w:color w:val="105C84"/>
                <w:sz w:val="18"/>
              </w:rPr>
              <w:t>focused </w:t>
            </w:r>
            <w:r>
              <w:rPr>
                <w:color w:val="105C84"/>
                <w:spacing w:val="-2"/>
                <w:sz w:val="18"/>
              </w:rPr>
              <w:t>organizations completed</w:t>
            </w:r>
          </w:p>
          <w:p>
            <w:pPr>
              <w:pStyle w:val="TableParagraph"/>
              <w:spacing w:line="232" w:lineRule="auto" w:before="87"/>
              <w:ind w:left="85" w:right="218"/>
              <w:rPr>
                <w:sz w:val="18"/>
              </w:rPr>
            </w:pPr>
            <w:r>
              <w:rPr>
                <w:color w:val="105C84"/>
                <w:sz w:val="18"/>
              </w:rPr>
              <w:t>3 - Reality Check activities in Chemung</w:t>
            </w:r>
            <w:r>
              <w:rPr>
                <w:color w:val="105C84"/>
                <w:spacing w:val="-13"/>
                <w:sz w:val="18"/>
              </w:rPr>
              <w:t> </w:t>
            </w:r>
            <w:r>
              <w:rPr>
                <w:color w:val="105C84"/>
                <w:sz w:val="18"/>
              </w:rPr>
              <w:t>County</w:t>
            </w:r>
          </w:p>
        </w:tc>
        <w:tc>
          <w:tcPr>
            <w:tcW w:w="1757" w:type="dxa"/>
          </w:tcPr>
          <w:p>
            <w:pPr>
              <w:pStyle w:val="TableParagraph"/>
              <w:spacing w:line="232" w:lineRule="auto" w:before="100"/>
              <w:ind w:left="85"/>
              <w:rPr>
                <w:sz w:val="18"/>
              </w:rPr>
            </w:pPr>
            <w:r>
              <w:rPr>
                <w:color w:val="105C84"/>
                <w:sz w:val="18"/>
              </w:rPr>
              <w:t>6</w:t>
            </w:r>
            <w:r>
              <w:rPr>
                <w:color w:val="105C84"/>
                <w:spacing w:val="-13"/>
                <w:sz w:val="18"/>
              </w:rPr>
              <w:t> </w:t>
            </w:r>
            <w:r>
              <w:rPr>
                <w:color w:val="105C84"/>
                <w:sz w:val="18"/>
              </w:rPr>
              <w:t>-</w:t>
            </w:r>
            <w:r>
              <w:rPr>
                <w:color w:val="105C84"/>
                <w:spacing w:val="-12"/>
                <w:sz w:val="18"/>
              </w:rPr>
              <w:t> </w:t>
            </w:r>
            <w:r>
              <w:rPr>
                <w:color w:val="105C84"/>
                <w:sz w:val="18"/>
              </w:rPr>
              <w:t>earned</w:t>
            </w:r>
            <w:r>
              <w:rPr>
                <w:color w:val="105C84"/>
                <w:spacing w:val="-13"/>
                <w:sz w:val="18"/>
              </w:rPr>
              <w:t> </w:t>
            </w:r>
            <w:r>
              <w:rPr>
                <w:color w:val="105C84"/>
                <w:sz w:val="18"/>
              </w:rPr>
              <w:t>media</w:t>
            </w:r>
            <w:r>
              <w:rPr>
                <w:color w:val="105C84"/>
                <w:sz w:val="18"/>
              </w:rPr>
              <w:t> </w:t>
            </w:r>
            <w:r>
              <w:rPr>
                <w:color w:val="105C84"/>
                <w:spacing w:val="-2"/>
                <w:sz w:val="18"/>
              </w:rPr>
              <w:t>outreaches</w:t>
            </w:r>
          </w:p>
          <w:p>
            <w:pPr>
              <w:pStyle w:val="TableParagraph"/>
              <w:spacing w:before="84"/>
              <w:ind w:left="85"/>
              <w:rPr>
                <w:sz w:val="18"/>
              </w:rPr>
            </w:pPr>
            <w:r>
              <w:rPr>
                <w:color w:val="105C84"/>
                <w:sz w:val="18"/>
              </w:rPr>
              <w:t>1</w:t>
            </w:r>
            <w:r>
              <w:rPr>
                <w:color w:val="105C84"/>
                <w:spacing w:val="-2"/>
                <w:sz w:val="18"/>
              </w:rPr>
              <w:t> </w:t>
            </w:r>
            <w:r>
              <w:rPr>
                <w:color w:val="105C84"/>
                <w:sz w:val="18"/>
              </w:rPr>
              <w:t>-</w:t>
            </w:r>
            <w:r>
              <w:rPr>
                <w:color w:val="105C84"/>
                <w:spacing w:val="-2"/>
                <w:sz w:val="18"/>
              </w:rPr>
              <w:t> </w:t>
            </w:r>
            <w:r>
              <w:rPr>
                <w:color w:val="105C84"/>
                <w:sz w:val="18"/>
              </w:rPr>
              <w:t>paid</w:t>
            </w:r>
            <w:r>
              <w:rPr>
                <w:color w:val="105C84"/>
                <w:spacing w:val="-2"/>
                <w:sz w:val="18"/>
              </w:rPr>
              <w:t> </w:t>
            </w:r>
            <w:r>
              <w:rPr>
                <w:color w:val="105C84"/>
                <w:spacing w:val="-5"/>
                <w:sz w:val="18"/>
              </w:rPr>
              <w:t>ad</w:t>
            </w:r>
          </w:p>
          <w:p>
            <w:pPr>
              <w:pStyle w:val="TableParagraph"/>
              <w:spacing w:line="232" w:lineRule="auto" w:before="88"/>
              <w:ind w:left="85" w:right="218"/>
              <w:rPr>
                <w:sz w:val="18"/>
              </w:rPr>
            </w:pPr>
            <w:r>
              <w:rPr>
                <w:color w:val="105C84"/>
                <w:sz w:val="18"/>
              </w:rPr>
              <w:t>5</w:t>
            </w:r>
            <w:r>
              <w:rPr>
                <w:color w:val="105C84"/>
                <w:spacing w:val="-15"/>
                <w:sz w:val="18"/>
              </w:rPr>
              <w:t> </w:t>
            </w:r>
            <w:r>
              <w:rPr>
                <w:color w:val="105C84"/>
                <w:sz w:val="18"/>
              </w:rPr>
              <w:t>-</w:t>
            </w:r>
            <w:r>
              <w:rPr>
                <w:color w:val="105C84"/>
                <w:spacing w:val="-12"/>
                <w:sz w:val="18"/>
              </w:rPr>
              <w:t> </w:t>
            </w:r>
            <w:r>
              <w:rPr>
                <w:color w:val="105C84"/>
                <w:sz w:val="18"/>
              </w:rPr>
              <w:t>presentations to</w:t>
            </w:r>
            <w:r>
              <w:rPr>
                <w:color w:val="105C84"/>
                <w:spacing w:val="-7"/>
                <w:sz w:val="18"/>
              </w:rPr>
              <w:t> </w:t>
            </w:r>
            <w:r>
              <w:rPr>
                <w:color w:val="105C84"/>
                <w:sz w:val="18"/>
              </w:rPr>
              <w:t>youth</w:t>
            </w:r>
            <w:r>
              <w:rPr>
                <w:color w:val="105C84"/>
                <w:spacing w:val="-7"/>
                <w:sz w:val="18"/>
              </w:rPr>
              <w:t> </w:t>
            </w:r>
            <w:r>
              <w:rPr>
                <w:color w:val="105C84"/>
                <w:sz w:val="18"/>
              </w:rPr>
              <w:t>focused </w:t>
            </w:r>
            <w:r>
              <w:rPr>
                <w:color w:val="105C84"/>
                <w:spacing w:val="-2"/>
                <w:sz w:val="18"/>
              </w:rPr>
              <w:t>organizations completed</w:t>
            </w:r>
          </w:p>
          <w:p>
            <w:pPr>
              <w:pStyle w:val="TableParagraph"/>
              <w:spacing w:line="232" w:lineRule="auto" w:before="86"/>
              <w:ind w:left="85" w:right="218"/>
              <w:rPr>
                <w:sz w:val="18"/>
              </w:rPr>
            </w:pPr>
            <w:r>
              <w:rPr>
                <w:color w:val="105C84"/>
                <w:sz w:val="18"/>
              </w:rPr>
              <w:t>3 - Reality Check activities in Chemung</w:t>
            </w:r>
            <w:r>
              <w:rPr>
                <w:color w:val="105C84"/>
                <w:spacing w:val="-13"/>
                <w:sz w:val="18"/>
              </w:rPr>
              <w:t> </w:t>
            </w:r>
            <w:r>
              <w:rPr>
                <w:color w:val="105C84"/>
                <w:sz w:val="18"/>
              </w:rPr>
              <w:t>County</w:t>
            </w:r>
          </w:p>
        </w:tc>
        <w:tc>
          <w:tcPr>
            <w:tcW w:w="1642" w:type="dxa"/>
          </w:tcPr>
          <w:p>
            <w:pPr>
              <w:pStyle w:val="TableParagraph"/>
              <w:spacing w:line="232" w:lineRule="auto" w:before="100"/>
              <w:ind w:left="85"/>
              <w:rPr>
                <w:sz w:val="18"/>
              </w:rPr>
            </w:pPr>
            <w:r>
              <w:rPr>
                <w:color w:val="105C84"/>
                <w:spacing w:val="-2"/>
                <w:sz w:val="18"/>
              </w:rPr>
              <w:t>Local</w:t>
            </w:r>
            <w:r>
              <w:rPr>
                <w:color w:val="105C84"/>
                <w:spacing w:val="-11"/>
                <w:sz w:val="18"/>
              </w:rPr>
              <w:t> </w:t>
            </w:r>
            <w:r>
              <w:rPr>
                <w:color w:val="105C84"/>
                <w:spacing w:val="-2"/>
                <w:sz w:val="18"/>
              </w:rPr>
              <w:t>health department</w:t>
            </w:r>
          </w:p>
        </w:tc>
        <w:tc>
          <w:tcPr>
            <w:tcW w:w="1781" w:type="dxa"/>
          </w:tcPr>
          <w:p>
            <w:pPr>
              <w:pStyle w:val="TableParagraph"/>
              <w:spacing w:line="203" w:lineRule="exact" w:before="95"/>
              <w:ind w:left="84"/>
              <w:rPr>
                <w:sz w:val="18"/>
              </w:rPr>
            </w:pPr>
            <w:r>
              <w:rPr>
                <w:color w:val="105C84"/>
                <w:spacing w:val="-2"/>
                <w:sz w:val="18"/>
              </w:rPr>
              <w:t>CCHD/STTAC</w:t>
            </w:r>
          </w:p>
          <w:p>
            <w:pPr>
              <w:pStyle w:val="TableParagraph"/>
              <w:spacing w:line="232" w:lineRule="auto" w:before="2"/>
              <w:ind w:left="84" w:right="69"/>
              <w:rPr>
                <w:sz w:val="18"/>
              </w:rPr>
            </w:pPr>
            <w:r>
              <w:rPr>
                <w:color w:val="105C84"/>
                <w:sz w:val="18"/>
              </w:rPr>
              <w:t>responsible for </w:t>
            </w:r>
            <w:r>
              <w:rPr>
                <w:color w:val="105C84"/>
                <w:spacing w:val="-2"/>
                <w:sz w:val="18"/>
              </w:rPr>
              <w:t>intervention </w:t>
            </w:r>
            <w:r>
              <w:rPr>
                <w:color w:val="105C84"/>
                <w:sz w:val="18"/>
              </w:rPr>
              <w:t>providing needed staff and resources to meet measures </w:t>
            </w:r>
            <w:r>
              <w:rPr>
                <w:color w:val="105C84"/>
                <w:spacing w:val="-2"/>
                <w:sz w:val="18"/>
              </w:rPr>
              <w:t>with</w:t>
            </w:r>
            <w:r>
              <w:rPr>
                <w:color w:val="105C84"/>
                <w:spacing w:val="-13"/>
                <w:sz w:val="18"/>
              </w:rPr>
              <w:t> </w:t>
            </w:r>
            <w:r>
              <w:rPr>
                <w:color w:val="105C84"/>
                <w:spacing w:val="-2"/>
                <w:sz w:val="18"/>
              </w:rPr>
              <w:t>assistance</w:t>
            </w:r>
            <w:r>
              <w:rPr>
                <w:color w:val="105C84"/>
                <w:spacing w:val="-10"/>
                <w:sz w:val="18"/>
              </w:rPr>
              <w:t> </w:t>
            </w:r>
            <w:r>
              <w:rPr>
                <w:color w:val="105C84"/>
                <w:spacing w:val="-2"/>
                <w:sz w:val="18"/>
              </w:rPr>
              <w:t>from </w:t>
            </w:r>
            <w:r>
              <w:rPr>
                <w:color w:val="105C84"/>
                <w:sz w:val="18"/>
              </w:rPr>
              <w:t>Health Priorities Partners</w:t>
            </w:r>
            <w:r>
              <w:rPr>
                <w:color w:val="105C84"/>
                <w:spacing w:val="-4"/>
                <w:sz w:val="18"/>
              </w:rPr>
              <w:t> </w:t>
            </w:r>
            <w:r>
              <w:rPr>
                <w:color w:val="105C84"/>
                <w:sz w:val="18"/>
              </w:rPr>
              <w:t>as</w:t>
            </w:r>
            <w:r>
              <w:rPr>
                <w:color w:val="105C84"/>
                <w:spacing w:val="-4"/>
                <w:sz w:val="18"/>
              </w:rPr>
              <w:t> </w:t>
            </w:r>
            <w:r>
              <w:rPr>
                <w:color w:val="105C84"/>
                <w:sz w:val="18"/>
              </w:rPr>
              <w:t>needed</w:t>
            </w:r>
          </w:p>
        </w:tc>
      </w:tr>
      <w:tr>
        <w:trPr>
          <w:trHeight w:val="3220" w:hRule="atLeast"/>
        </w:trPr>
        <w:tc>
          <w:tcPr>
            <w:tcW w:w="1008" w:type="dxa"/>
            <w:vMerge/>
            <w:tcBorders>
              <w:top w:val="nil"/>
            </w:tcBorders>
            <w:shd w:val="clear" w:color="auto" w:fill="E6E7E8"/>
          </w:tcPr>
          <w:p>
            <w:pPr>
              <w:rPr>
                <w:sz w:val="2"/>
                <w:szCs w:val="2"/>
              </w:rPr>
            </w:pPr>
          </w:p>
        </w:tc>
        <w:tc>
          <w:tcPr>
            <w:tcW w:w="1152" w:type="dxa"/>
            <w:vMerge/>
            <w:tcBorders>
              <w:top w:val="nil"/>
            </w:tcBorders>
          </w:tcPr>
          <w:p>
            <w:pPr>
              <w:rPr>
                <w:sz w:val="2"/>
                <w:szCs w:val="2"/>
              </w:rPr>
            </w:pPr>
          </w:p>
        </w:tc>
        <w:tc>
          <w:tcPr>
            <w:tcW w:w="1181" w:type="dxa"/>
            <w:vMerge/>
            <w:tcBorders>
              <w:top w:val="nil"/>
            </w:tcBorders>
          </w:tcPr>
          <w:p>
            <w:pPr>
              <w:rPr>
                <w:sz w:val="2"/>
                <w:szCs w:val="2"/>
              </w:rPr>
            </w:pPr>
          </w:p>
        </w:tc>
        <w:tc>
          <w:tcPr>
            <w:tcW w:w="1815" w:type="dxa"/>
          </w:tcPr>
          <w:p>
            <w:pPr>
              <w:pStyle w:val="TableParagraph"/>
              <w:spacing w:line="232" w:lineRule="auto" w:before="100"/>
              <w:ind w:left="89" w:right="384"/>
              <w:rPr>
                <w:sz w:val="18"/>
              </w:rPr>
            </w:pPr>
            <w:r>
              <w:rPr>
                <w:color w:val="105C84"/>
                <w:sz w:val="18"/>
              </w:rPr>
              <w:t>3.1.6 Increase the number of </w:t>
            </w:r>
            <w:r>
              <w:rPr>
                <w:color w:val="105C84"/>
                <w:spacing w:val="-2"/>
                <w:sz w:val="18"/>
              </w:rPr>
              <w:t>municipalities </w:t>
            </w:r>
            <w:r>
              <w:rPr>
                <w:color w:val="105C84"/>
                <w:sz w:val="18"/>
              </w:rPr>
              <w:t>that adopt </w:t>
            </w:r>
            <w:r>
              <w:rPr>
                <w:color w:val="105C84"/>
                <w:sz w:val="18"/>
              </w:rPr>
              <w:t>retail</w:t>
            </w:r>
            <w:r>
              <w:rPr>
                <w:color w:val="105C84"/>
                <w:sz w:val="18"/>
              </w:rPr>
              <w:t> </w:t>
            </w:r>
            <w:r>
              <w:rPr>
                <w:color w:val="105C84"/>
                <w:spacing w:val="-2"/>
                <w:sz w:val="18"/>
              </w:rPr>
              <w:t>environment</w:t>
            </w:r>
          </w:p>
          <w:p>
            <w:pPr>
              <w:pStyle w:val="TableParagraph"/>
              <w:spacing w:line="232" w:lineRule="auto"/>
              <w:ind w:left="89" w:right="105"/>
              <w:rPr>
                <w:sz w:val="18"/>
              </w:rPr>
            </w:pPr>
            <w:r>
              <w:rPr>
                <w:color w:val="105C84"/>
                <w:sz w:val="18"/>
              </w:rPr>
              <w:t>policies, including those that restrict the density of tobacco retailers, keep the price of tobacco products high, and prohibit the</w:t>
            </w:r>
            <w:r>
              <w:rPr>
                <w:color w:val="105C84"/>
                <w:spacing w:val="-13"/>
                <w:sz w:val="18"/>
              </w:rPr>
              <w:t> </w:t>
            </w:r>
            <w:r>
              <w:rPr>
                <w:color w:val="105C84"/>
                <w:sz w:val="18"/>
              </w:rPr>
              <w:t>sale</w:t>
            </w:r>
            <w:r>
              <w:rPr>
                <w:color w:val="105C84"/>
                <w:spacing w:val="-12"/>
                <w:sz w:val="18"/>
              </w:rPr>
              <w:t> </w:t>
            </w:r>
            <w:r>
              <w:rPr>
                <w:color w:val="105C84"/>
                <w:sz w:val="18"/>
              </w:rPr>
              <w:t>of</w:t>
            </w:r>
            <w:r>
              <w:rPr>
                <w:color w:val="105C84"/>
                <w:spacing w:val="-13"/>
                <w:sz w:val="18"/>
              </w:rPr>
              <w:t> </w:t>
            </w:r>
            <w:r>
              <w:rPr>
                <w:color w:val="105C84"/>
                <w:sz w:val="18"/>
              </w:rPr>
              <w:t>flavored tobacco products </w:t>
            </w:r>
            <w:r>
              <w:rPr>
                <w:color w:val="105C84"/>
                <w:spacing w:val="-2"/>
                <w:sz w:val="18"/>
              </w:rPr>
              <w:t>areas</w:t>
            </w:r>
          </w:p>
        </w:tc>
        <w:tc>
          <w:tcPr>
            <w:tcW w:w="1160" w:type="dxa"/>
          </w:tcPr>
          <w:p>
            <w:pPr>
              <w:pStyle w:val="TableParagraph"/>
              <w:spacing w:line="232" w:lineRule="auto" w:before="100"/>
              <w:ind w:left="88" w:right="94"/>
              <w:rPr>
                <w:sz w:val="18"/>
              </w:rPr>
            </w:pPr>
            <w:r>
              <w:rPr>
                <w:color w:val="105C84"/>
                <w:sz w:val="18"/>
              </w:rPr>
              <w:t>Low</w:t>
            </w:r>
            <w:r>
              <w:rPr>
                <w:color w:val="105C84"/>
                <w:spacing w:val="-13"/>
                <w:sz w:val="18"/>
              </w:rPr>
              <w:t> </w:t>
            </w:r>
            <w:r>
              <w:rPr>
                <w:color w:val="105C84"/>
                <w:sz w:val="18"/>
              </w:rPr>
              <w:t>income </w:t>
            </w:r>
            <w:r>
              <w:rPr>
                <w:color w:val="105C84"/>
                <w:spacing w:val="-2"/>
                <w:sz w:val="18"/>
              </w:rPr>
              <w:t>Minorities Rural</w:t>
            </w:r>
          </w:p>
        </w:tc>
        <w:tc>
          <w:tcPr>
            <w:tcW w:w="1844" w:type="dxa"/>
          </w:tcPr>
          <w:p>
            <w:pPr>
              <w:pStyle w:val="TableParagraph"/>
              <w:spacing w:line="232" w:lineRule="auto" w:before="100"/>
              <w:ind w:left="88" w:right="133"/>
              <w:rPr>
                <w:sz w:val="18"/>
              </w:rPr>
            </w:pPr>
            <w:r>
              <w:rPr>
                <w:color w:val="105C84"/>
                <w:sz w:val="18"/>
              </w:rPr>
              <w:t>3.1.3:</w:t>
            </w:r>
            <w:r>
              <w:rPr>
                <w:color w:val="105C84"/>
                <w:spacing w:val="-4"/>
                <w:sz w:val="18"/>
              </w:rPr>
              <w:t> </w:t>
            </w:r>
            <w:r>
              <w:rPr>
                <w:color w:val="105C84"/>
                <w:sz w:val="18"/>
              </w:rPr>
              <w:t>Pursue</w:t>
            </w:r>
            <w:r>
              <w:rPr>
                <w:color w:val="105C84"/>
                <w:spacing w:val="-4"/>
                <w:sz w:val="18"/>
              </w:rPr>
              <w:t> </w:t>
            </w:r>
            <w:r>
              <w:rPr>
                <w:color w:val="105C84"/>
                <w:sz w:val="18"/>
              </w:rPr>
              <w:t>policy action</w:t>
            </w:r>
            <w:r>
              <w:rPr>
                <w:color w:val="105C84"/>
                <w:spacing w:val="-3"/>
                <w:sz w:val="18"/>
              </w:rPr>
              <w:t> </w:t>
            </w:r>
            <w:r>
              <w:rPr>
                <w:color w:val="105C84"/>
                <w:sz w:val="18"/>
              </w:rPr>
              <w:t>to</w:t>
            </w:r>
            <w:r>
              <w:rPr>
                <w:color w:val="105C84"/>
                <w:spacing w:val="-3"/>
                <w:sz w:val="18"/>
              </w:rPr>
              <w:t> </w:t>
            </w:r>
            <w:r>
              <w:rPr>
                <w:color w:val="105C84"/>
                <w:sz w:val="18"/>
              </w:rPr>
              <w:t>reduce</w:t>
            </w:r>
            <w:r>
              <w:rPr>
                <w:color w:val="105C84"/>
                <w:spacing w:val="-3"/>
                <w:sz w:val="18"/>
              </w:rPr>
              <w:t> </w:t>
            </w:r>
            <w:r>
              <w:rPr>
                <w:color w:val="105C84"/>
                <w:sz w:val="18"/>
              </w:rPr>
              <w:t>the</w:t>
            </w:r>
            <w:r>
              <w:rPr>
                <w:color w:val="105C84"/>
                <w:sz w:val="18"/>
              </w:rPr>
              <w:t> impact of tobacco marketing in lower-income and racial/ ethnic minority </w:t>
            </w:r>
            <w:r>
              <w:rPr>
                <w:color w:val="105C84"/>
                <w:spacing w:val="-2"/>
                <w:sz w:val="18"/>
              </w:rPr>
              <w:t>communities, disadvantaged</w:t>
            </w:r>
            <w:r>
              <w:rPr>
                <w:color w:val="105C84"/>
                <w:spacing w:val="40"/>
                <w:sz w:val="18"/>
              </w:rPr>
              <w:t> </w:t>
            </w:r>
            <w:r>
              <w:rPr>
                <w:color w:val="105C84"/>
                <w:spacing w:val="-2"/>
                <w:sz w:val="18"/>
              </w:rPr>
              <w:t>urban </w:t>
            </w:r>
            <w:r>
              <w:rPr>
                <w:color w:val="105C84"/>
                <w:sz w:val="18"/>
              </w:rPr>
              <w:t>neighborhoods and rural areas</w:t>
            </w:r>
          </w:p>
        </w:tc>
        <w:tc>
          <w:tcPr>
            <w:tcW w:w="3073" w:type="dxa"/>
            <w:tcBorders>
              <w:right w:val="nil"/>
            </w:tcBorders>
          </w:tcPr>
          <w:p>
            <w:pPr>
              <w:pStyle w:val="TableParagraph"/>
              <w:spacing w:line="232" w:lineRule="auto" w:before="99"/>
              <w:ind w:left="87" w:right="969"/>
              <w:rPr>
                <w:sz w:val="18"/>
              </w:rPr>
            </w:pPr>
            <w:r>
              <w:rPr>
                <w:color w:val="105C84"/>
                <w:sz w:val="18"/>
              </w:rPr>
              <w:t>STTAC</w:t>
            </w:r>
            <w:r>
              <w:rPr>
                <w:color w:val="105C84"/>
                <w:spacing w:val="10"/>
                <w:sz w:val="18"/>
              </w:rPr>
              <w:t> </w:t>
            </w:r>
            <w:r>
              <w:rPr>
                <w:color w:val="105C84"/>
                <w:sz w:val="18"/>
              </w:rPr>
              <w:t>-</w:t>
            </w:r>
            <w:r>
              <w:rPr>
                <w:color w:val="105C84"/>
                <w:spacing w:val="-13"/>
                <w:sz w:val="18"/>
              </w:rPr>
              <w:t> </w:t>
            </w:r>
            <w:r>
              <w:rPr>
                <w:color w:val="105C84"/>
                <w:sz w:val="18"/>
              </w:rPr>
              <w:t>#</w:t>
            </w:r>
            <w:r>
              <w:rPr>
                <w:color w:val="105C84"/>
                <w:spacing w:val="-12"/>
                <w:sz w:val="18"/>
              </w:rPr>
              <w:t> </w:t>
            </w:r>
            <w:r>
              <w:rPr>
                <w:color w:val="105C84"/>
                <w:sz w:val="18"/>
              </w:rPr>
              <w:t>of</w:t>
            </w:r>
            <w:r>
              <w:rPr>
                <w:color w:val="105C84"/>
                <w:spacing w:val="-13"/>
                <w:sz w:val="18"/>
              </w:rPr>
              <w:t> </w:t>
            </w:r>
            <w:r>
              <w:rPr>
                <w:color w:val="105C84"/>
                <w:sz w:val="18"/>
              </w:rPr>
              <w:t>community events hosted or attended in Chemung </w:t>
            </w:r>
            <w:r>
              <w:rPr>
                <w:color w:val="105C84"/>
                <w:spacing w:val="-2"/>
                <w:sz w:val="18"/>
              </w:rPr>
              <w:t>County</w:t>
            </w:r>
          </w:p>
          <w:p>
            <w:pPr>
              <w:pStyle w:val="TableParagraph"/>
              <w:spacing w:line="232" w:lineRule="auto" w:before="87"/>
              <w:ind w:left="87" w:right="1037"/>
              <w:rPr>
                <w:sz w:val="18"/>
              </w:rPr>
            </w:pPr>
            <w:r>
              <w:rPr>
                <w:color w:val="105C84"/>
                <w:sz w:val="18"/>
              </w:rPr>
              <w:t>#</w:t>
            </w:r>
            <w:r>
              <w:rPr>
                <w:color w:val="105C84"/>
                <w:spacing w:val="-15"/>
                <w:sz w:val="18"/>
              </w:rPr>
              <w:t> </w:t>
            </w:r>
            <w:r>
              <w:rPr>
                <w:color w:val="105C84"/>
                <w:sz w:val="18"/>
              </w:rPr>
              <w:t>of</w:t>
            </w:r>
            <w:r>
              <w:rPr>
                <w:color w:val="105C84"/>
                <w:spacing w:val="-12"/>
                <w:sz w:val="18"/>
              </w:rPr>
              <w:t> </w:t>
            </w:r>
            <w:r>
              <w:rPr>
                <w:color w:val="105C84"/>
                <w:sz w:val="18"/>
              </w:rPr>
              <w:t>stakeholders </w:t>
            </w:r>
            <w:r>
              <w:rPr>
                <w:color w:val="105C84"/>
                <w:spacing w:val="-2"/>
                <w:sz w:val="18"/>
              </w:rPr>
              <w:t>educated</w:t>
            </w:r>
          </w:p>
          <w:p>
            <w:pPr>
              <w:pStyle w:val="TableParagraph"/>
              <w:spacing w:line="232" w:lineRule="auto" w:before="89"/>
              <w:ind w:left="87" w:right="1037"/>
              <w:rPr>
                <w:sz w:val="18"/>
              </w:rPr>
            </w:pPr>
            <w:r>
              <w:rPr>
                <w:color w:val="105C84"/>
                <w:sz w:val="18"/>
              </w:rPr>
              <w:t>#</w:t>
            </w:r>
            <w:r>
              <w:rPr>
                <w:color w:val="105C84"/>
                <w:spacing w:val="-13"/>
                <w:sz w:val="18"/>
              </w:rPr>
              <w:t> </w:t>
            </w:r>
            <w:r>
              <w:rPr>
                <w:color w:val="105C84"/>
                <w:sz w:val="18"/>
              </w:rPr>
              <w:t>of</w:t>
            </w:r>
            <w:r>
              <w:rPr>
                <w:color w:val="105C84"/>
                <w:spacing w:val="-12"/>
                <w:sz w:val="18"/>
              </w:rPr>
              <w:t> </w:t>
            </w:r>
            <w:r>
              <w:rPr>
                <w:color w:val="105C84"/>
                <w:sz w:val="18"/>
              </w:rPr>
              <w:t>retail</w:t>
            </w:r>
            <w:r>
              <w:rPr>
                <w:color w:val="105C84"/>
                <w:spacing w:val="-13"/>
                <w:sz w:val="18"/>
              </w:rPr>
              <w:t> </w:t>
            </w:r>
            <w:r>
              <w:rPr>
                <w:color w:val="105C84"/>
                <w:sz w:val="18"/>
              </w:rPr>
              <w:t>observations </w:t>
            </w:r>
            <w:r>
              <w:rPr>
                <w:color w:val="105C84"/>
                <w:spacing w:val="-2"/>
                <w:sz w:val="18"/>
              </w:rPr>
              <w:t>completed</w:t>
            </w:r>
          </w:p>
          <w:p>
            <w:pPr>
              <w:pStyle w:val="TableParagraph"/>
              <w:spacing w:line="232" w:lineRule="auto" w:before="88"/>
              <w:ind w:left="87" w:right="1037"/>
              <w:rPr>
                <w:sz w:val="18"/>
              </w:rPr>
            </w:pPr>
            <w:r>
              <w:rPr>
                <w:color w:val="105C84"/>
                <w:sz w:val="18"/>
              </w:rPr>
              <w:t># of community members mobilized </w:t>
            </w:r>
            <w:r>
              <w:rPr>
                <w:color w:val="105C84"/>
                <w:sz w:val="18"/>
              </w:rPr>
              <w:t>to write or spread about tobacco marketing</w:t>
            </w:r>
          </w:p>
        </w:tc>
        <w:tc>
          <w:tcPr>
            <w:tcW w:w="4179" w:type="dxa"/>
            <w:tcBorders>
              <w:left w:val="nil"/>
            </w:tcBorders>
          </w:tcPr>
          <w:p>
            <w:pPr>
              <w:pStyle w:val="TableParagraph"/>
              <w:spacing w:line="232" w:lineRule="auto" w:before="99"/>
              <w:ind w:left="1004" w:right="662"/>
              <w:rPr>
                <w:sz w:val="18"/>
              </w:rPr>
            </w:pPr>
            <w:r>
              <w:rPr>
                <w:color w:val="105C84"/>
                <w:sz w:val="18"/>
              </w:rPr>
              <w:t>5 - community events hosted</w:t>
            </w:r>
            <w:r>
              <w:rPr>
                <w:color w:val="105C84"/>
                <w:spacing w:val="40"/>
                <w:sz w:val="18"/>
              </w:rPr>
              <w:t> </w:t>
            </w:r>
            <w:r>
              <w:rPr>
                <w:color w:val="105C84"/>
                <w:sz w:val="18"/>
              </w:rPr>
              <w:t>or</w:t>
            </w:r>
            <w:r>
              <w:rPr>
                <w:color w:val="105C84"/>
                <w:spacing w:val="-11"/>
                <w:sz w:val="18"/>
              </w:rPr>
              <w:t> </w:t>
            </w:r>
            <w:r>
              <w:rPr>
                <w:color w:val="105C84"/>
                <w:sz w:val="18"/>
              </w:rPr>
              <w:t>attended</w:t>
            </w:r>
            <w:r>
              <w:rPr>
                <w:color w:val="105C84"/>
                <w:spacing w:val="-11"/>
                <w:sz w:val="18"/>
              </w:rPr>
              <w:t> </w:t>
            </w:r>
            <w:r>
              <w:rPr>
                <w:color w:val="105C84"/>
                <w:sz w:val="18"/>
              </w:rPr>
              <w:t>(March</w:t>
            </w:r>
            <w:r>
              <w:rPr>
                <w:color w:val="105C84"/>
                <w:spacing w:val="-11"/>
                <w:sz w:val="18"/>
              </w:rPr>
              <w:t> </w:t>
            </w:r>
            <w:r>
              <w:rPr>
                <w:color w:val="105C84"/>
                <w:sz w:val="18"/>
              </w:rPr>
              <w:t>–</w:t>
            </w:r>
            <w:r>
              <w:rPr>
                <w:color w:val="105C84"/>
                <w:spacing w:val="-11"/>
                <w:sz w:val="18"/>
              </w:rPr>
              <w:t> </w:t>
            </w:r>
            <w:r>
              <w:rPr>
                <w:color w:val="105C84"/>
                <w:sz w:val="18"/>
              </w:rPr>
              <w:t>Kick</w:t>
            </w:r>
            <w:r>
              <w:rPr>
                <w:color w:val="105C84"/>
                <w:spacing w:val="-11"/>
                <w:sz w:val="18"/>
              </w:rPr>
              <w:t> </w:t>
            </w:r>
            <w:r>
              <w:rPr>
                <w:color w:val="105C84"/>
                <w:sz w:val="18"/>
              </w:rPr>
              <w:t>Butts</w:t>
            </w:r>
            <w:r>
              <w:rPr>
                <w:color w:val="105C84"/>
                <w:sz w:val="18"/>
              </w:rPr>
              <w:t> Day, March – Neighborhood</w:t>
            </w:r>
          </w:p>
          <w:p>
            <w:pPr>
              <w:pStyle w:val="TableParagraph"/>
              <w:spacing w:line="232" w:lineRule="auto"/>
              <w:ind w:left="1004" w:right="88"/>
              <w:jc w:val="both"/>
              <w:rPr>
                <w:sz w:val="18"/>
              </w:rPr>
            </w:pPr>
            <w:r>
              <w:rPr>
                <w:color w:val="105C84"/>
                <w:sz w:val="18"/>
              </w:rPr>
              <w:t>Conversations</w:t>
            </w:r>
            <w:r>
              <w:rPr>
                <w:color w:val="105C84"/>
                <w:spacing w:val="-13"/>
                <w:sz w:val="18"/>
              </w:rPr>
              <w:t> </w:t>
            </w:r>
            <w:r>
              <w:rPr>
                <w:color w:val="105C84"/>
                <w:sz w:val="18"/>
              </w:rPr>
              <w:t>,</w:t>
            </w:r>
            <w:r>
              <w:rPr>
                <w:color w:val="105C84"/>
                <w:spacing w:val="-12"/>
                <w:sz w:val="18"/>
              </w:rPr>
              <w:t> </w:t>
            </w:r>
            <w:r>
              <w:rPr>
                <w:color w:val="105C84"/>
                <w:sz w:val="18"/>
              </w:rPr>
              <w:t>April</w:t>
            </w:r>
            <w:r>
              <w:rPr>
                <w:color w:val="105C84"/>
                <w:spacing w:val="-13"/>
                <w:sz w:val="18"/>
              </w:rPr>
              <w:t> </w:t>
            </w:r>
            <w:r>
              <w:rPr>
                <w:color w:val="105C84"/>
                <w:sz w:val="18"/>
              </w:rPr>
              <w:t>–</w:t>
            </w:r>
            <w:r>
              <w:rPr>
                <w:color w:val="105C84"/>
                <w:spacing w:val="-12"/>
                <w:sz w:val="18"/>
              </w:rPr>
              <w:t> </w:t>
            </w:r>
            <w:r>
              <w:rPr>
                <w:color w:val="105C84"/>
                <w:sz w:val="18"/>
              </w:rPr>
              <w:t>Earth</w:t>
            </w:r>
            <w:r>
              <w:rPr>
                <w:color w:val="105C84"/>
                <w:spacing w:val="-13"/>
                <w:sz w:val="18"/>
              </w:rPr>
              <w:t> </w:t>
            </w:r>
            <w:r>
              <w:rPr>
                <w:color w:val="105C84"/>
                <w:sz w:val="18"/>
              </w:rPr>
              <w:t>Day,</w:t>
            </w:r>
            <w:r>
              <w:rPr>
                <w:color w:val="105C84"/>
                <w:spacing w:val="-13"/>
                <w:sz w:val="18"/>
              </w:rPr>
              <w:t> </w:t>
            </w:r>
            <w:r>
              <w:rPr>
                <w:color w:val="105C84"/>
                <w:sz w:val="18"/>
              </w:rPr>
              <w:t>April –</w:t>
            </w:r>
            <w:r>
              <w:rPr>
                <w:color w:val="105C84"/>
                <w:spacing w:val="-8"/>
                <w:sz w:val="18"/>
              </w:rPr>
              <w:t> </w:t>
            </w:r>
            <w:r>
              <w:rPr>
                <w:color w:val="105C84"/>
                <w:sz w:val="18"/>
              </w:rPr>
              <w:t>Neighborhood</w:t>
            </w:r>
            <w:r>
              <w:rPr>
                <w:color w:val="105C84"/>
                <w:spacing w:val="-8"/>
                <w:sz w:val="18"/>
              </w:rPr>
              <w:t> </w:t>
            </w:r>
            <w:r>
              <w:rPr>
                <w:color w:val="105C84"/>
                <w:sz w:val="18"/>
              </w:rPr>
              <w:t>Conversations,</w:t>
            </w:r>
            <w:r>
              <w:rPr>
                <w:color w:val="105C84"/>
                <w:spacing w:val="-8"/>
                <w:sz w:val="18"/>
              </w:rPr>
              <w:t> </w:t>
            </w:r>
            <w:r>
              <w:rPr>
                <w:color w:val="105C84"/>
                <w:sz w:val="18"/>
              </w:rPr>
              <w:t>May</w:t>
            </w:r>
            <w:r>
              <w:rPr>
                <w:color w:val="105C84"/>
                <w:spacing w:val="-8"/>
                <w:sz w:val="18"/>
              </w:rPr>
              <w:t> </w:t>
            </w:r>
            <w:r>
              <w:rPr>
                <w:color w:val="105C84"/>
                <w:sz w:val="18"/>
              </w:rPr>
              <w:t>– World No Tobacco Day)</w:t>
            </w:r>
          </w:p>
          <w:p>
            <w:pPr>
              <w:pStyle w:val="TableParagraph"/>
              <w:spacing w:line="232" w:lineRule="auto" w:before="85"/>
              <w:ind w:left="1004" w:right="109"/>
              <w:rPr>
                <w:sz w:val="18"/>
              </w:rPr>
            </w:pPr>
            <w:r>
              <w:rPr>
                <w:color w:val="105C84"/>
                <w:sz w:val="18"/>
              </w:rPr>
              <w:t>19 - stakeholders were educated - (Feb – Legislative Education Day (2), March</w:t>
            </w:r>
            <w:r>
              <w:rPr>
                <w:color w:val="105C84"/>
                <w:spacing w:val="-5"/>
                <w:sz w:val="18"/>
              </w:rPr>
              <w:t> </w:t>
            </w:r>
            <w:r>
              <w:rPr>
                <w:color w:val="105C84"/>
                <w:sz w:val="18"/>
              </w:rPr>
              <w:t>–</w:t>
            </w:r>
            <w:r>
              <w:rPr>
                <w:color w:val="105C84"/>
                <w:spacing w:val="-5"/>
                <w:sz w:val="18"/>
              </w:rPr>
              <w:t> </w:t>
            </w:r>
            <w:r>
              <w:rPr>
                <w:color w:val="105C84"/>
                <w:sz w:val="18"/>
              </w:rPr>
              <w:t>Neighborhood</w:t>
            </w:r>
            <w:r>
              <w:rPr>
                <w:color w:val="105C84"/>
                <w:spacing w:val="-5"/>
                <w:sz w:val="18"/>
              </w:rPr>
              <w:t> </w:t>
            </w:r>
            <w:r>
              <w:rPr>
                <w:color w:val="105C84"/>
                <w:sz w:val="18"/>
              </w:rPr>
              <w:t>Conversations</w:t>
            </w:r>
            <w:r>
              <w:rPr>
                <w:color w:val="105C84"/>
                <w:sz w:val="18"/>
              </w:rPr>
              <w:t> (1),</w:t>
            </w:r>
            <w:r>
              <w:rPr>
                <w:color w:val="105C84"/>
                <w:spacing w:val="-13"/>
                <w:sz w:val="18"/>
              </w:rPr>
              <w:t> </w:t>
            </w:r>
            <w:r>
              <w:rPr>
                <w:color w:val="105C84"/>
                <w:sz w:val="18"/>
              </w:rPr>
              <w:t>May</w:t>
            </w:r>
            <w:r>
              <w:rPr>
                <w:color w:val="105C84"/>
                <w:spacing w:val="-12"/>
                <w:sz w:val="18"/>
              </w:rPr>
              <w:t> </w:t>
            </w:r>
            <w:r>
              <w:rPr>
                <w:color w:val="105C84"/>
                <w:sz w:val="18"/>
              </w:rPr>
              <w:t>–</w:t>
            </w:r>
            <w:r>
              <w:rPr>
                <w:color w:val="105C84"/>
                <w:spacing w:val="-12"/>
                <w:sz w:val="18"/>
              </w:rPr>
              <w:t> </w:t>
            </w:r>
            <w:r>
              <w:rPr>
                <w:color w:val="105C84"/>
                <w:sz w:val="18"/>
              </w:rPr>
              <w:t>World</w:t>
            </w:r>
            <w:r>
              <w:rPr>
                <w:color w:val="105C84"/>
                <w:spacing w:val="-12"/>
                <w:sz w:val="18"/>
              </w:rPr>
              <w:t> </w:t>
            </w:r>
            <w:r>
              <w:rPr>
                <w:color w:val="105C84"/>
                <w:sz w:val="18"/>
              </w:rPr>
              <w:t>No</w:t>
            </w:r>
            <w:r>
              <w:rPr>
                <w:color w:val="105C84"/>
                <w:spacing w:val="-12"/>
                <w:sz w:val="18"/>
              </w:rPr>
              <w:t> </w:t>
            </w:r>
            <w:r>
              <w:rPr>
                <w:color w:val="105C84"/>
                <w:sz w:val="18"/>
              </w:rPr>
              <w:t>Tobacco</w:t>
            </w:r>
            <w:r>
              <w:rPr>
                <w:color w:val="105C84"/>
                <w:spacing w:val="-12"/>
                <w:sz w:val="18"/>
              </w:rPr>
              <w:t> </w:t>
            </w:r>
            <w:r>
              <w:rPr>
                <w:color w:val="105C84"/>
                <w:sz w:val="18"/>
              </w:rPr>
              <w:t>Day</w:t>
            </w:r>
            <w:r>
              <w:rPr>
                <w:color w:val="105C84"/>
                <w:spacing w:val="-12"/>
                <w:sz w:val="18"/>
              </w:rPr>
              <w:t> </w:t>
            </w:r>
            <w:r>
              <w:rPr>
                <w:color w:val="105C84"/>
                <w:spacing w:val="-5"/>
                <w:sz w:val="18"/>
              </w:rPr>
              <w:t>(15))</w:t>
            </w:r>
          </w:p>
          <w:p>
            <w:pPr>
              <w:pStyle w:val="TableParagraph"/>
              <w:spacing w:line="232" w:lineRule="auto" w:before="87"/>
              <w:ind w:left="1004" w:right="230"/>
              <w:rPr>
                <w:sz w:val="18"/>
              </w:rPr>
            </w:pPr>
            <w:r>
              <w:rPr>
                <w:color w:val="105C84"/>
                <w:sz w:val="18"/>
              </w:rPr>
              <w:t>2</w:t>
            </w:r>
            <w:r>
              <w:rPr>
                <w:color w:val="105C84"/>
                <w:spacing w:val="-5"/>
                <w:sz w:val="18"/>
              </w:rPr>
              <w:t> </w:t>
            </w:r>
            <w:r>
              <w:rPr>
                <w:color w:val="105C84"/>
                <w:sz w:val="18"/>
              </w:rPr>
              <w:t>-</w:t>
            </w:r>
            <w:r>
              <w:rPr>
                <w:color w:val="105C84"/>
                <w:spacing w:val="-5"/>
                <w:sz w:val="18"/>
              </w:rPr>
              <w:t> </w:t>
            </w:r>
            <w:r>
              <w:rPr>
                <w:color w:val="105C84"/>
                <w:sz w:val="18"/>
              </w:rPr>
              <w:t>retail</w:t>
            </w:r>
            <w:r>
              <w:rPr>
                <w:color w:val="105C84"/>
                <w:spacing w:val="-5"/>
                <w:sz w:val="18"/>
              </w:rPr>
              <w:t> </w:t>
            </w:r>
            <w:r>
              <w:rPr>
                <w:color w:val="105C84"/>
                <w:sz w:val="18"/>
              </w:rPr>
              <w:t>observations</w:t>
            </w:r>
            <w:r>
              <w:rPr>
                <w:color w:val="105C84"/>
                <w:spacing w:val="-5"/>
                <w:sz w:val="18"/>
              </w:rPr>
              <w:t> </w:t>
            </w:r>
            <w:r>
              <w:rPr>
                <w:color w:val="105C84"/>
                <w:sz w:val="18"/>
              </w:rPr>
              <w:t>completed</w:t>
            </w:r>
            <w:r>
              <w:rPr>
                <w:color w:val="105C84"/>
                <w:spacing w:val="-5"/>
                <w:sz w:val="18"/>
              </w:rPr>
              <w:t> </w:t>
            </w:r>
            <w:r>
              <w:rPr>
                <w:color w:val="105C84"/>
                <w:sz w:val="18"/>
              </w:rPr>
              <w:t>,</w:t>
            </w:r>
            <w:r>
              <w:rPr>
                <w:color w:val="105C84"/>
                <w:sz w:val="18"/>
              </w:rPr>
              <w:t> (June – Dollar General, AA Mart)</w:t>
            </w:r>
          </w:p>
          <w:p>
            <w:pPr>
              <w:pStyle w:val="TableParagraph"/>
              <w:spacing w:line="232" w:lineRule="auto" w:before="89"/>
              <w:ind w:left="1004" w:right="109"/>
              <w:rPr>
                <w:sz w:val="18"/>
              </w:rPr>
            </w:pPr>
            <w:r>
              <w:rPr>
                <w:color w:val="105C84"/>
                <w:sz w:val="18"/>
              </w:rPr>
              <w:t>4</w:t>
            </w:r>
            <w:r>
              <w:rPr>
                <w:color w:val="105C84"/>
                <w:spacing w:val="-5"/>
                <w:sz w:val="18"/>
              </w:rPr>
              <w:t> </w:t>
            </w:r>
            <w:r>
              <w:rPr>
                <w:color w:val="105C84"/>
                <w:sz w:val="18"/>
              </w:rPr>
              <w:t>-</w:t>
            </w:r>
            <w:r>
              <w:rPr>
                <w:color w:val="105C84"/>
                <w:spacing w:val="-5"/>
                <w:sz w:val="18"/>
              </w:rPr>
              <w:t> </w:t>
            </w:r>
            <w:r>
              <w:rPr>
                <w:color w:val="105C84"/>
                <w:sz w:val="18"/>
              </w:rPr>
              <w:t>community</w:t>
            </w:r>
            <w:r>
              <w:rPr>
                <w:color w:val="105C84"/>
                <w:spacing w:val="-5"/>
                <w:sz w:val="18"/>
              </w:rPr>
              <w:t> </w:t>
            </w:r>
            <w:r>
              <w:rPr>
                <w:color w:val="105C84"/>
                <w:sz w:val="18"/>
              </w:rPr>
              <w:t>members</w:t>
            </w:r>
            <w:r>
              <w:rPr>
                <w:color w:val="105C84"/>
                <w:spacing w:val="-5"/>
                <w:sz w:val="18"/>
              </w:rPr>
              <w:t> </w:t>
            </w:r>
            <w:r>
              <w:rPr>
                <w:color w:val="105C84"/>
                <w:sz w:val="18"/>
              </w:rPr>
              <w:t>wrote</w:t>
            </w:r>
            <w:r>
              <w:rPr>
                <w:color w:val="105C84"/>
                <w:spacing w:val="-5"/>
                <w:sz w:val="18"/>
              </w:rPr>
              <w:t> </w:t>
            </w:r>
            <w:r>
              <w:rPr>
                <w:color w:val="105C84"/>
                <w:sz w:val="18"/>
              </w:rPr>
              <w:t>or</w:t>
            </w:r>
            <w:r>
              <w:rPr>
                <w:color w:val="105C84"/>
                <w:sz w:val="18"/>
              </w:rPr>
              <w:t> spoke about tobacco marketing</w:t>
            </w:r>
          </w:p>
        </w:tc>
        <w:tc>
          <w:tcPr>
            <w:tcW w:w="1757" w:type="dxa"/>
          </w:tcPr>
          <w:p>
            <w:pPr>
              <w:pStyle w:val="TableParagraph"/>
              <w:spacing w:line="232" w:lineRule="auto" w:before="99"/>
              <w:ind w:left="85" w:right="218"/>
              <w:rPr>
                <w:sz w:val="18"/>
              </w:rPr>
            </w:pPr>
            <w:r>
              <w:rPr>
                <w:color w:val="105C84"/>
                <w:sz w:val="18"/>
              </w:rPr>
              <w:t>5 - community events</w:t>
            </w:r>
            <w:r>
              <w:rPr>
                <w:color w:val="105C84"/>
                <w:spacing w:val="-15"/>
                <w:sz w:val="18"/>
              </w:rPr>
              <w:t> </w:t>
            </w:r>
            <w:r>
              <w:rPr>
                <w:color w:val="105C84"/>
                <w:sz w:val="18"/>
              </w:rPr>
              <w:t>hosted</w:t>
            </w:r>
            <w:r>
              <w:rPr>
                <w:color w:val="105C84"/>
                <w:spacing w:val="-12"/>
                <w:sz w:val="18"/>
              </w:rPr>
              <w:t> </w:t>
            </w:r>
            <w:r>
              <w:rPr>
                <w:color w:val="105C84"/>
                <w:sz w:val="18"/>
              </w:rPr>
              <w:t>or</w:t>
            </w:r>
            <w:r>
              <w:rPr>
                <w:color w:val="105C84"/>
                <w:sz w:val="18"/>
              </w:rPr>
              <w:t> </w:t>
            </w:r>
            <w:r>
              <w:rPr>
                <w:color w:val="105C84"/>
                <w:spacing w:val="-2"/>
                <w:sz w:val="18"/>
              </w:rPr>
              <w:t>attended</w:t>
            </w:r>
          </w:p>
          <w:p>
            <w:pPr>
              <w:pStyle w:val="TableParagraph"/>
              <w:spacing w:line="232" w:lineRule="auto" w:before="88"/>
              <w:ind w:left="85" w:right="218"/>
              <w:rPr>
                <w:sz w:val="18"/>
              </w:rPr>
            </w:pPr>
            <w:r>
              <w:rPr>
                <w:color w:val="105C84"/>
                <w:spacing w:val="-2"/>
                <w:sz w:val="18"/>
              </w:rPr>
              <w:t>3</w:t>
            </w:r>
            <w:r>
              <w:rPr>
                <w:color w:val="105C84"/>
                <w:spacing w:val="-13"/>
                <w:sz w:val="18"/>
              </w:rPr>
              <w:t> </w:t>
            </w:r>
            <w:r>
              <w:rPr>
                <w:color w:val="105C84"/>
                <w:spacing w:val="-2"/>
                <w:sz w:val="18"/>
              </w:rPr>
              <w:t>-</w:t>
            </w:r>
            <w:r>
              <w:rPr>
                <w:color w:val="105C84"/>
                <w:spacing w:val="-10"/>
                <w:sz w:val="18"/>
              </w:rPr>
              <w:t> </w:t>
            </w:r>
            <w:r>
              <w:rPr>
                <w:color w:val="105C84"/>
                <w:spacing w:val="-2"/>
                <w:sz w:val="18"/>
              </w:rPr>
              <w:t>stakeholder</w:t>
            </w:r>
            <w:r>
              <w:rPr>
                <w:color w:val="105C84"/>
                <w:spacing w:val="-2"/>
                <w:sz w:val="18"/>
              </w:rPr>
              <w:t>s</w:t>
            </w:r>
            <w:r>
              <w:rPr>
                <w:color w:val="105C84"/>
                <w:spacing w:val="-2"/>
                <w:sz w:val="18"/>
              </w:rPr>
              <w:t> </w:t>
            </w:r>
            <w:r>
              <w:rPr>
                <w:color w:val="105C84"/>
                <w:sz w:val="18"/>
              </w:rPr>
              <w:t>were educated</w:t>
            </w:r>
          </w:p>
          <w:p>
            <w:pPr>
              <w:pStyle w:val="TableParagraph"/>
              <w:spacing w:line="232" w:lineRule="auto" w:before="88"/>
              <w:ind w:left="85" w:right="218"/>
              <w:rPr>
                <w:sz w:val="18"/>
              </w:rPr>
            </w:pPr>
            <w:r>
              <w:rPr>
                <w:color w:val="105C84"/>
                <w:sz w:val="18"/>
              </w:rPr>
              <w:t>2 - retail </w:t>
            </w:r>
            <w:r>
              <w:rPr>
                <w:color w:val="105C84"/>
                <w:spacing w:val="-2"/>
                <w:sz w:val="18"/>
              </w:rPr>
              <w:t>observations completed</w:t>
            </w:r>
          </w:p>
          <w:p>
            <w:pPr>
              <w:pStyle w:val="TableParagraph"/>
              <w:spacing w:line="232" w:lineRule="auto" w:before="88"/>
              <w:ind w:left="85" w:right="294"/>
              <w:rPr>
                <w:sz w:val="18"/>
              </w:rPr>
            </w:pPr>
            <w:r>
              <w:rPr>
                <w:color w:val="105C84"/>
                <w:sz w:val="18"/>
              </w:rPr>
              <w:t>5 - community members</w:t>
            </w:r>
            <w:r>
              <w:rPr>
                <w:color w:val="105C84"/>
                <w:spacing w:val="-13"/>
                <w:sz w:val="18"/>
              </w:rPr>
              <w:t> </w:t>
            </w:r>
            <w:r>
              <w:rPr>
                <w:color w:val="105C84"/>
                <w:sz w:val="18"/>
              </w:rPr>
              <w:t>wrote</w:t>
            </w:r>
            <w:r>
              <w:rPr>
                <w:color w:val="105C84"/>
                <w:sz w:val="18"/>
              </w:rPr>
              <w:t> or</w:t>
            </w:r>
            <w:r>
              <w:rPr>
                <w:color w:val="105C84"/>
                <w:spacing w:val="-4"/>
                <w:sz w:val="18"/>
              </w:rPr>
              <w:t> </w:t>
            </w:r>
            <w:r>
              <w:rPr>
                <w:color w:val="105C84"/>
                <w:sz w:val="18"/>
              </w:rPr>
              <w:t>spoke</w:t>
            </w:r>
            <w:r>
              <w:rPr>
                <w:color w:val="105C84"/>
                <w:spacing w:val="-3"/>
                <w:sz w:val="18"/>
              </w:rPr>
              <w:t> </w:t>
            </w:r>
            <w:r>
              <w:rPr>
                <w:color w:val="105C84"/>
                <w:spacing w:val="-2"/>
                <w:sz w:val="18"/>
              </w:rPr>
              <w:t>about</w:t>
            </w:r>
          </w:p>
          <w:p>
            <w:pPr>
              <w:pStyle w:val="TableParagraph"/>
              <w:spacing w:line="200" w:lineRule="exact"/>
              <w:ind w:left="85"/>
              <w:rPr>
                <w:sz w:val="18"/>
              </w:rPr>
            </w:pPr>
            <w:r>
              <w:rPr>
                <w:color w:val="105C84"/>
                <w:sz w:val="18"/>
              </w:rPr>
              <w:t>tobacco</w:t>
            </w:r>
            <w:r>
              <w:rPr>
                <w:color w:val="105C84"/>
                <w:spacing w:val="14"/>
                <w:sz w:val="18"/>
              </w:rPr>
              <w:t> </w:t>
            </w:r>
            <w:r>
              <w:rPr>
                <w:color w:val="105C84"/>
                <w:spacing w:val="-2"/>
                <w:sz w:val="18"/>
              </w:rPr>
              <w:t>marketing</w:t>
            </w:r>
          </w:p>
        </w:tc>
        <w:tc>
          <w:tcPr>
            <w:tcW w:w="1757" w:type="dxa"/>
          </w:tcPr>
          <w:p>
            <w:pPr>
              <w:pStyle w:val="TableParagraph"/>
              <w:spacing w:line="232" w:lineRule="auto" w:before="99"/>
              <w:ind w:left="85" w:right="218"/>
              <w:rPr>
                <w:sz w:val="18"/>
              </w:rPr>
            </w:pPr>
            <w:r>
              <w:rPr>
                <w:color w:val="105C84"/>
                <w:sz w:val="18"/>
              </w:rPr>
              <w:t>5 - community events</w:t>
            </w:r>
            <w:r>
              <w:rPr>
                <w:color w:val="105C84"/>
                <w:spacing w:val="-15"/>
                <w:sz w:val="18"/>
              </w:rPr>
              <w:t> </w:t>
            </w:r>
            <w:r>
              <w:rPr>
                <w:color w:val="105C84"/>
                <w:sz w:val="18"/>
              </w:rPr>
              <w:t>hosted</w:t>
            </w:r>
            <w:r>
              <w:rPr>
                <w:color w:val="105C84"/>
                <w:spacing w:val="-12"/>
                <w:sz w:val="18"/>
              </w:rPr>
              <w:t> </w:t>
            </w:r>
            <w:r>
              <w:rPr>
                <w:color w:val="105C84"/>
                <w:sz w:val="18"/>
              </w:rPr>
              <w:t>or</w:t>
            </w:r>
            <w:r>
              <w:rPr>
                <w:color w:val="105C84"/>
                <w:sz w:val="18"/>
              </w:rPr>
              <w:t> </w:t>
            </w:r>
            <w:r>
              <w:rPr>
                <w:color w:val="105C84"/>
                <w:spacing w:val="-2"/>
                <w:sz w:val="18"/>
              </w:rPr>
              <w:t>attended</w:t>
            </w:r>
          </w:p>
          <w:p>
            <w:pPr>
              <w:pStyle w:val="TableParagraph"/>
              <w:spacing w:line="232" w:lineRule="auto" w:before="87"/>
              <w:ind w:left="85" w:right="218"/>
              <w:rPr>
                <w:sz w:val="18"/>
              </w:rPr>
            </w:pPr>
            <w:r>
              <w:rPr>
                <w:color w:val="105C84"/>
                <w:spacing w:val="-2"/>
                <w:sz w:val="18"/>
              </w:rPr>
              <w:t>3</w:t>
            </w:r>
            <w:r>
              <w:rPr>
                <w:color w:val="105C84"/>
                <w:spacing w:val="-13"/>
                <w:sz w:val="18"/>
              </w:rPr>
              <w:t> </w:t>
            </w:r>
            <w:r>
              <w:rPr>
                <w:color w:val="105C84"/>
                <w:spacing w:val="-2"/>
                <w:sz w:val="18"/>
              </w:rPr>
              <w:t>-</w:t>
            </w:r>
            <w:r>
              <w:rPr>
                <w:color w:val="105C84"/>
                <w:spacing w:val="-10"/>
                <w:sz w:val="18"/>
              </w:rPr>
              <w:t> </w:t>
            </w:r>
            <w:r>
              <w:rPr>
                <w:color w:val="105C84"/>
                <w:spacing w:val="-2"/>
                <w:sz w:val="18"/>
              </w:rPr>
              <w:t>stakeholder</w:t>
            </w:r>
            <w:r>
              <w:rPr>
                <w:color w:val="105C84"/>
                <w:spacing w:val="-2"/>
                <w:sz w:val="18"/>
              </w:rPr>
              <w:t>s</w:t>
            </w:r>
            <w:r>
              <w:rPr>
                <w:color w:val="105C84"/>
                <w:spacing w:val="-2"/>
                <w:sz w:val="18"/>
              </w:rPr>
              <w:t> </w:t>
            </w:r>
            <w:r>
              <w:rPr>
                <w:color w:val="105C84"/>
                <w:sz w:val="18"/>
              </w:rPr>
              <w:t>were educated</w:t>
            </w:r>
          </w:p>
          <w:p>
            <w:pPr>
              <w:pStyle w:val="TableParagraph"/>
              <w:spacing w:line="232" w:lineRule="auto" w:before="89"/>
              <w:ind w:left="85" w:right="218"/>
              <w:rPr>
                <w:sz w:val="18"/>
              </w:rPr>
            </w:pPr>
            <w:r>
              <w:rPr>
                <w:color w:val="105C84"/>
                <w:sz w:val="18"/>
              </w:rPr>
              <w:t>2 - retail </w:t>
            </w:r>
            <w:r>
              <w:rPr>
                <w:color w:val="105C84"/>
                <w:spacing w:val="-2"/>
                <w:sz w:val="18"/>
              </w:rPr>
              <w:t>observations completed</w:t>
            </w:r>
          </w:p>
          <w:p>
            <w:pPr>
              <w:pStyle w:val="TableParagraph"/>
              <w:spacing w:line="232" w:lineRule="auto" w:before="88"/>
              <w:ind w:left="85" w:right="294"/>
              <w:rPr>
                <w:sz w:val="18"/>
              </w:rPr>
            </w:pPr>
            <w:r>
              <w:rPr>
                <w:color w:val="105C84"/>
                <w:sz w:val="18"/>
              </w:rPr>
              <w:t>5 - community members</w:t>
            </w:r>
            <w:r>
              <w:rPr>
                <w:color w:val="105C84"/>
                <w:spacing w:val="-13"/>
                <w:sz w:val="18"/>
              </w:rPr>
              <w:t> </w:t>
            </w:r>
            <w:r>
              <w:rPr>
                <w:color w:val="105C84"/>
                <w:sz w:val="18"/>
              </w:rPr>
              <w:t>wrote</w:t>
            </w:r>
            <w:r>
              <w:rPr>
                <w:color w:val="105C84"/>
                <w:sz w:val="18"/>
              </w:rPr>
              <w:t> or</w:t>
            </w:r>
            <w:r>
              <w:rPr>
                <w:color w:val="105C84"/>
                <w:spacing w:val="-4"/>
                <w:sz w:val="18"/>
              </w:rPr>
              <w:t> </w:t>
            </w:r>
            <w:r>
              <w:rPr>
                <w:color w:val="105C84"/>
                <w:sz w:val="18"/>
              </w:rPr>
              <w:t>spoke</w:t>
            </w:r>
            <w:r>
              <w:rPr>
                <w:color w:val="105C84"/>
                <w:spacing w:val="-3"/>
                <w:sz w:val="18"/>
              </w:rPr>
              <w:t> </w:t>
            </w:r>
            <w:r>
              <w:rPr>
                <w:color w:val="105C84"/>
                <w:spacing w:val="-2"/>
                <w:sz w:val="18"/>
              </w:rPr>
              <w:t>about</w:t>
            </w:r>
          </w:p>
          <w:p>
            <w:pPr>
              <w:pStyle w:val="TableParagraph"/>
              <w:spacing w:line="200" w:lineRule="exact"/>
              <w:ind w:left="85"/>
              <w:rPr>
                <w:sz w:val="18"/>
              </w:rPr>
            </w:pPr>
            <w:r>
              <w:rPr>
                <w:color w:val="105C84"/>
                <w:sz w:val="18"/>
              </w:rPr>
              <w:t>tobacco</w:t>
            </w:r>
            <w:r>
              <w:rPr>
                <w:color w:val="105C84"/>
                <w:spacing w:val="14"/>
                <w:sz w:val="18"/>
              </w:rPr>
              <w:t> </w:t>
            </w:r>
            <w:r>
              <w:rPr>
                <w:color w:val="105C84"/>
                <w:spacing w:val="-2"/>
                <w:sz w:val="18"/>
              </w:rPr>
              <w:t>marketing</w:t>
            </w:r>
          </w:p>
        </w:tc>
        <w:tc>
          <w:tcPr>
            <w:tcW w:w="1642" w:type="dxa"/>
          </w:tcPr>
          <w:p>
            <w:pPr>
              <w:pStyle w:val="TableParagraph"/>
              <w:spacing w:line="232" w:lineRule="auto" w:before="99"/>
              <w:ind w:left="85"/>
              <w:rPr>
                <w:sz w:val="18"/>
              </w:rPr>
            </w:pPr>
            <w:r>
              <w:rPr>
                <w:color w:val="105C84"/>
                <w:spacing w:val="-2"/>
                <w:sz w:val="18"/>
              </w:rPr>
              <w:t>Local</w:t>
            </w:r>
            <w:r>
              <w:rPr>
                <w:color w:val="105C84"/>
                <w:spacing w:val="-11"/>
                <w:sz w:val="18"/>
              </w:rPr>
              <w:t> </w:t>
            </w:r>
            <w:r>
              <w:rPr>
                <w:color w:val="105C84"/>
                <w:spacing w:val="-2"/>
                <w:sz w:val="18"/>
              </w:rPr>
              <w:t>health department</w:t>
            </w:r>
          </w:p>
        </w:tc>
        <w:tc>
          <w:tcPr>
            <w:tcW w:w="1781" w:type="dxa"/>
          </w:tcPr>
          <w:p>
            <w:pPr>
              <w:pStyle w:val="TableParagraph"/>
              <w:spacing w:line="203" w:lineRule="exact" w:before="94"/>
              <w:ind w:left="84"/>
              <w:rPr>
                <w:sz w:val="18"/>
              </w:rPr>
            </w:pPr>
            <w:r>
              <w:rPr>
                <w:color w:val="105C84"/>
                <w:spacing w:val="-2"/>
                <w:sz w:val="18"/>
              </w:rPr>
              <w:t>CCHD/STTAC</w:t>
            </w:r>
          </w:p>
          <w:p>
            <w:pPr>
              <w:pStyle w:val="TableParagraph"/>
              <w:spacing w:line="232" w:lineRule="auto" w:before="1"/>
              <w:ind w:left="84" w:right="69"/>
              <w:rPr>
                <w:sz w:val="18"/>
              </w:rPr>
            </w:pPr>
            <w:r>
              <w:rPr>
                <w:color w:val="105C84"/>
                <w:sz w:val="18"/>
              </w:rPr>
              <w:t>responsible for </w:t>
            </w:r>
            <w:r>
              <w:rPr>
                <w:color w:val="105C84"/>
                <w:spacing w:val="-2"/>
                <w:sz w:val="18"/>
              </w:rPr>
              <w:t>intervention </w:t>
            </w:r>
            <w:r>
              <w:rPr>
                <w:color w:val="105C84"/>
                <w:sz w:val="18"/>
              </w:rPr>
              <w:t>providing needed staff and resources to meet measures </w:t>
            </w:r>
            <w:r>
              <w:rPr>
                <w:color w:val="105C84"/>
                <w:spacing w:val="-2"/>
                <w:sz w:val="18"/>
              </w:rPr>
              <w:t>with</w:t>
            </w:r>
            <w:r>
              <w:rPr>
                <w:color w:val="105C84"/>
                <w:spacing w:val="-13"/>
                <w:sz w:val="18"/>
              </w:rPr>
              <w:t> </w:t>
            </w:r>
            <w:r>
              <w:rPr>
                <w:color w:val="105C84"/>
                <w:spacing w:val="-2"/>
                <w:sz w:val="18"/>
              </w:rPr>
              <w:t>assistance</w:t>
            </w:r>
            <w:r>
              <w:rPr>
                <w:color w:val="105C84"/>
                <w:spacing w:val="-10"/>
                <w:sz w:val="18"/>
              </w:rPr>
              <w:t> </w:t>
            </w:r>
            <w:r>
              <w:rPr>
                <w:color w:val="105C84"/>
                <w:spacing w:val="-2"/>
                <w:sz w:val="18"/>
              </w:rPr>
              <w:t>from </w:t>
            </w:r>
            <w:r>
              <w:rPr>
                <w:color w:val="105C84"/>
                <w:sz w:val="18"/>
              </w:rPr>
              <w:t>Health Priorities Partners</w:t>
            </w:r>
            <w:r>
              <w:rPr>
                <w:color w:val="105C84"/>
                <w:spacing w:val="-4"/>
                <w:sz w:val="18"/>
              </w:rPr>
              <w:t> </w:t>
            </w:r>
            <w:r>
              <w:rPr>
                <w:color w:val="105C84"/>
                <w:sz w:val="18"/>
              </w:rPr>
              <w:t>as</w:t>
            </w:r>
            <w:r>
              <w:rPr>
                <w:color w:val="105C84"/>
                <w:spacing w:val="-4"/>
                <w:sz w:val="18"/>
              </w:rPr>
              <w:t> </w:t>
            </w:r>
            <w:r>
              <w:rPr>
                <w:color w:val="105C84"/>
                <w:sz w:val="18"/>
              </w:rPr>
              <w:t>needed</w:t>
            </w:r>
          </w:p>
        </w:tc>
      </w:tr>
      <w:tr>
        <w:trPr>
          <w:trHeight w:val="3730" w:hRule="atLeast"/>
        </w:trPr>
        <w:tc>
          <w:tcPr>
            <w:tcW w:w="1008" w:type="dxa"/>
            <w:vMerge/>
            <w:tcBorders>
              <w:top w:val="nil"/>
            </w:tcBorders>
            <w:shd w:val="clear" w:color="auto" w:fill="E6E7E8"/>
          </w:tcPr>
          <w:p>
            <w:pPr>
              <w:rPr>
                <w:sz w:val="2"/>
                <w:szCs w:val="2"/>
              </w:rPr>
            </w:pPr>
          </w:p>
        </w:tc>
        <w:tc>
          <w:tcPr>
            <w:tcW w:w="1152" w:type="dxa"/>
          </w:tcPr>
          <w:p>
            <w:pPr>
              <w:pStyle w:val="TableParagraph"/>
              <w:spacing w:line="232" w:lineRule="auto" w:before="99"/>
              <w:ind w:left="89" w:right="159"/>
              <w:jc w:val="both"/>
              <w:rPr>
                <w:sz w:val="18"/>
              </w:rPr>
            </w:pPr>
            <w:r>
              <w:rPr>
                <w:color w:val="105C84"/>
                <w:spacing w:val="-4"/>
                <w:sz w:val="18"/>
              </w:rPr>
              <w:t>Focus</w:t>
            </w:r>
            <w:r>
              <w:rPr>
                <w:color w:val="105C84"/>
                <w:spacing w:val="-9"/>
                <w:sz w:val="18"/>
              </w:rPr>
              <w:t> </w:t>
            </w:r>
            <w:r>
              <w:rPr>
                <w:color w:val="105C84"/>
                <w:spacing w:val="-4"/>
                <w:sz w:val="18"/>
              </w:rPr>
              <w:t>Area </w:t>
            </w:r>
            <w:r>
              <w:rPr>
                <w:color w:val="105C84"/>
                <w:sz w:val="18"/>
              </w:rPr>
              <w:t>3:</w:t>
            </w:r>
            <w:r>
              <w:rPr>
                <w:color w:val="105C84"/>
                <w:spacing w:val="-13"/>
                <w:sz w:val="18"/>
              </w:rPr>
              <w:t> </w:t>
            </w:r>
            <w:r>
              <w:rPr>
                <w:color w:val="105C84"/>
                <w:sz w:val="18"/>
              </w:rPr>
              <w:t>Tobacco </w:t>
            </w:r>
            <w:r>
              <w:rPr>
                <w:color w:val="105C84"/>
                <w:spacing w:val="-2"/>
                <w:sz w:val="18"/>
              </w:rPr>
              <w:t>prevention</w:t>
            </w:r>
          </w:p>
        </w:tc>
        <w:tc>
          <w:tcPr>
            <w:tcW w:w="1181" w:type="dxa"/>
          </w:tcPr>
          <w:p>
            <w:pPr>
              <w:pStyle w:val="TableParagraph"/>
              <w:spacing w:line="232" w:lineRule="auto" w:before="99"/>
              <w:ind w:left="89" w:right="104"/>
              <w:rPr>
                <w:sz w:val="18"/>
              </w:rPr>
            </w:pPr>
            <w:r>
              <w:rPr>
                <w:color w:val="105C84"/>
                <w:sz w:val="18"/>
              </w:rPr>
              <w:t>Goal 3.2: </w:t>
            </w:r>
            <w:r>
              <w:rPr>
                <w:color w:val="105C84"/>
                <w:spacing w:val="-2"/>
                <w:sz w:val="18"/>
              </w:rPr>
              <w:t>Promote </w:t>
            </w:r>
            <w:r>
              <w:rPr>
                <w:color w:val="105C84"/>
                <w:sz w:val="18"/>
              </w:rPr>
              <w:t>tobacco</w:t>
            </w:r>
            <w:r>
              <w:rPr>
                <w:color w:val="105C84"/>
                <w:spacing w:val="-13"/>
                <w:sz w:val="18"/>
              </w:rPr>
              <w:t> </w:t>
            </w:r>
            <w:r>
              <w:rPr>
                <w:color w:val="105C84"/>
                <w:sz w:val="18"/>
              </w:rPr>
              <w:t>use </w:t>
            </w:r>
            <w:r>
              <w:rPr>
                <w:color w:val="105C84"/>
                <w:spacing w:val="-2"/>
                <w:sz w:val="18"/>
              </w:rPr>
              <w:t>cessation</w:t>
            </w:r>
          </w:p>
        </w:tc>
        <w:tc>
          <w:tcPr>
            <w:tcW w:w="1815" w:type="dxa"/>
          </w:tcPr>
          <w:p>
            <w:pPr>
              <w:pStyle w:val="TableParagraph"/>
              <w:spacing w:line="232" w:lineRule="auto" w:before="99"/>
              <w:ind w:left="89" w:right="384"/>
              <w:rPr>
                <w:sz w:val="18"/>
              </w:rPr>
            </w:pPr>
            <w:r>
              <w:rPr>
                <w:color w:val="105C84"/>
                <w:sz w:val="18"/>
              </w:rPr>
              <w:t>3.2.1 Increase the percentage of</w:t>
            </w:r>
            <w:r>
              <w:rPr>
                <w:color w:val="105C84"/>
                <w:spacing w:val="-10"/>
                <w:sz w:val="18"/>
              </w:rPr>
              <w:t> </w:t>
            </w:r>
            <w:r>
              <w:rPr>
                <w:color w:val="105C84"/>
                <w:sz w:val="18"/>
              </w:rPr>
              <w:t>smokers</w:t>
            </w:r>
            <w:r>
              <w:rPr>
                <w:color w:val="105C84"/>
                <w:spacing w:val="-10"/>
                <w:sz w:val="18"/>
              </w:rPr>
              <w:t> </w:t>
            </w:r>
            <w:r>
              <w:rPr>
                <w:color w:val="105C84"/>
                <w:spacing w:val="-5"/>
                <w:sz w:val="18"/>
              </w:rPr>
              <w:t>wh</w:t>
            </w:r>
            <w:r>
              <w:rPr>
                <w:color w:val="105C84"/>
                <w:spacing w:val="-5"/>
                <w:sz w:val="18"/>
              </w:rPr>
              <w:t>o</w:t>
            </w:r>
          </w:p>
          <w:p>
            <w:pPr>
              <w:pStyle w:val="TableParagraph"/>
              <w:spacing w:line="232" w:lineRule="auto"/>
              <w:ind w:left="89" w:right="85"/>
              <w:rPr>
                <w:sz w:val="18"/>
              </w:rPr>
            </w:pPr>
            <w:r>
              <w:rPr>
                <w:color w:val="105C84"/>
                <w:sz w:val="18"/>
              </w:rPr>
              <w:t>received assistance from their health care</w:t>
            </w:r>
            <w:r>
              <w:rPr>
                <w:color w:val="105C84"/>
                <w:spacing w:val="-1"/>
                <w:sz w:val="18"/>
              </w:rPr>
              <w:t> </w:t>
            </w:r>
            <w:r>
              <w:rPr>
                <w:color w:val="105C84"/>
                <w:sz w:val="18"/>
              </w:rPr>
              <w:t>provider</w:t>
            </w:r>
            <w:r>
              <w:rPr>
                <w:color w:val="105C84"/>
                <w:spacing w:val="-1"/>
                <w:sz w:val="18"/>
              </w:rPr>
              <w:t> </w:t>
            </w:r>
            <w:r>
              <w:rPr>
                <w:color w:val="105C84"/>
                <w:sz w:val="18"/>
              </w:rPr>
              <w:t>to</w:t>
            </w:r>
            <w:r>
              <w:rPr>
                <w:color w:val="105C84"/>
                <w:spacing w:val="-1"/>
                <w:sz w:val="18"/>
              </w:rPr>
              <w:t> </w:t>
            </w:r>
            <w:r>
              <w:rPr>
                <w:color w:val="105C84"/>
                <w:sz w:val="18"/>
              </w:rPr>
              <w:t>quit smoking by 13.1%</w:t>
            </w:r>
          </w:p>
          <w:p>
            <w:pPr>
              <w:pStyle w:val="TableParagraph"/>
              <w:spacing w:line="195" w:lineRule="exact"/>
              <w:ind w:left="89"/>
              <w:rPr>
                <w:sz w:val="18"/>
              </w:rPr>
            </w:pPr>
            <w:r>
              <w:rPr>
                <w:color w:val="105C84"/>
                <w:spacing w:val="-4"/>
                <w:sz w:val="18"/>
              </w:rPr>
              <w:t>from</w:t>
            </w:r>
            <w:r>
              <w:rPr>
                <w:color w:val="105C84"/>
                <w:spacing w:val="-3"/>
                <w:sz w:val="18"/>
              </w:rPr>
              <w:t> </w:t>
            </w:r>
            <w:r>
              <w:rPr>
                <w:color w:val="105C84"/>
                <w:spacing w:val="-4"/>
                <w:sz w:val="18"/>
              </w:rPr>
              <w:t>53.1%</w:t>
            </w:r>
            <w:r>
              <w:rPr>
                <w:color w:val="105C84"/>
                <w:spacing w:val="-2"/>
                <w:sz w:val="18"/>
              </w:rPr>
              <w:t> </w:t>
            </w:r>
            <w:r>
              <w:rPr>
                <w:color w:val="105C84"/>
                <w:spacing w:val="-4"/>
                <w:sz w:val="18"/>
              </w:rPr>
              <w:t>(2017)</w:t>
            </w:r>
          </w:p>
          <w:p>
            <w:pPr>
              <w:pStyle w:val="TableParagraph"/>
              <w:spacing w:line="203" w:lineRule="exact"/>
              <w:ind w:left="89"/>
              <w:rPr>
                <w:sz w:val="18"/>
              </w:rPr>
            </w:pPr>
            <w:r>
              <w:rPr>
                <w:color w:val="105C84"/>
                <w:sz w:val="18"/>
              </w:rPr>
              <w:t>to</w:t>
            </w:r>
            <w:r>
              <w:rPr>
                <w:color w:val="105C84"/>
                <w:spacing w:val="12"/>
                <w:sz w:val="18"/>
              </w:rPr>
              <w:t> </w:t>
            </w:r>
            <w:r>
              <w:rPr>
                <w:color w:val="105C84"/>
                <w:spacing w:val="-2"/>
                <w:sz w:val="18"/>
              </w:rPr>
              <w:t>60.1%</w:t>
            </w:r>
          </w:p>
        </w:tc>
        <w:tc>
          <w:tcPr>
            <w:tcW w:w="1160" w:type="dxa"/>
          </w:tcPr>
          <w:p>
            <w:pPr>
              <w:pStyle w:val="TableParagraph"/>
              <w:rPr>
                <w:rFonts w:ascii="Times New Roman"/>
                <w:sz w:val="18"/>
              </w:rPr>
            </w:pPr>
          </w:p>
        </w:tc>
        <w:tc>
          <w:tcPr>
            <w:tcW w:w="1844" w:type="dxa"/>
          </w:tcPr>
          <w:p>
            <w:pPr>
              <w:pStyle w:val="TableParagraph"/>
              <w:spacing w:line="232" w:lineRule="auto" w:before="98"/>
              <w:ind w:left="88" w:right="399"/>
              <w:rPr>
                <w:sz w:val="18"/>
              </w:rPr>
            </w:pPr>
            <w:r>
              <w:rPr>
                <w:color w:val="105C84"/>
                <w:sz w:val="18"/>
              </w:rPr>
              <w:t>3.2.3</w:t>
            </w:r>
            <w:r>
              <w:rPr>
                <w:color w:val="105C84"/>
                <w:spacing w:val="-3"/>
                <w:sz w:val="18"/>
              </w:rPr>
              <w:t> </w:t>
            </w:r>
            <w:r>
              <w:rPr>
                <w:color w:val="105C84"/>
                <w:sz w:val="18"/>
              </w:rPr>
              <w:t>Use</w:t>
            </w:r>
            <w:r>
              <w:rPr>
                <w:color w:val="105C84"/>
                <w:spacing w:val="-3"/>
                <w:sz w:val="18"/>
              </w:rPr>
              <w:t> </w:t>
            </w:r>
            <w:r>
              <w:rPr>
                <w:color w:val="105C84"/>
                <w:sz w:val="18"/>
              </w:rPr>
              <w:t>health </w:t>
            </w:r>
            <w:r>
              <w:rPr>
                <w:color w:val="105C84"/>
                <w:spacing w:val="-2"/>
                <w:sz w:val="18"/>
              </w:rPr>
              <w:t>communications </w:t>
            </w:r>
            <w:r>
              <w:rPr>
                <w:color w:val="105C84"/>
                <w:sz w:val="18"/>
              </w:rPr>
              <w:t>targeting health care</w:t>
            </w:r>
            <w:r>
              <w:rPr>
                <w:color w:val="105C84"/>
                <w:spacing w:val="-15"/>
                <w:sz w:val="18"/>
              </w:rPr>
              <w:t> </w:t>
            </w:r>
            <w:r>
              <w:rPr>
                <w:color w:val="105C84"/>
                <w:sz w:val="18"/>
              </w:rPr>
              <w:t>providers</w:t>
            </w:r>
            <w:r>
              <w:rPr>
                <w:color w:val="105C84"/>
                <w:spacing w:val="-12"/>
                <w:sz w:val="18"/>
              </w:rPr>
              <w:t> </w:t>
            </w:r>
            <w:r>
              <w:rPr>
                <w:color w:val="105C84"/>
                <w:sz w:val="18"/>
              </w:rPr>
              <w:t>to</w:t>
            </w:r>
            <w:r>
              <w:rPr>
                <w:color w:val="105C84"/>
                <w:sz w:val="18"/>
              </w:rPr>
              <w:t> encourage their involvement in their patients' quit attempts encouraging</w:t>
            </w:r>
            <w:r>
              <w:rPr>
                <w:color w:val="105C84"/>
                <w:spacing w:val="-13"/>
                <w:sz w:val="18"/>
              </w:rPr>
              <w:t> </w:t>
            </w:r>
            <w:r>
              <w:rPr>
                <w:color w:val="105C84"/>
                <w:sz w:val="18"/>
              </w:rPr>
              <w:t>use</w:t>
            </w:r>
          </w:p>
          <w:p>
            <w:pPr>
              <w:pStyle w:val="TableParagraph"/>
              <w:spacing w:line="232" w:lineRule="auto"/>
              <w:ind w:left="88" w:right="208"/>
              <w:rPr>
                <w:sz w:val="18"/>
              </w:rPr>
            </w:pPr>
            <w:r>
              <w:rPr>
                <w:color w:val="105C84"/>
                <w:sz w:val="18"/>
              </w:rPr>
              <w:t>of evidence-based quitting,</w:t>
            </w:r>
            <w:r>
              <w:rPr>
                <w:color w:val="105C84"/>
                <w:spacing w:val="-9"/>
                <w:sz w:val="18"/>
              </w:rPr>
              <w:t> </w:t>
            </w:r>
            <w:r>
              <w:rPr>
                <w:color w:val="105C84"/>
                <w:sz w:val="18"/>
              </w:rPr>
              <w:t>increasing awareness of available</w:t>
            </w:r>
            <w:r>
              <w:rPr>
                <w:color w:val="105C84"/>
                <w:spacing w:val="-13"/>
                <w:sz w:val="18"/>
              </w:rPr>
              <w:t> </w:t>
            </w:r>
            <w:r>
              <w:rPr>
                <w:color w:val="105C84"/>
                <w:sz w:val="18"/>
              </w:rPr>
              <w:t>cessation benefits</w:t>
            </w:r>
            <w:r>
              <w:rPr>
                <w:color w:val="105C84"/>
                <w:spacing w:val="-13"/>
                <w:sz w:val="18"/>
              </w:rPr>
              <w:t> </w:t>
            </w:r>
            <w:r>
              <w:rPr>
                <w:color w:val="105C84"/>
                <w:sz w:val="18"/>
              </w:rPr>
              <w:t>(especially Medicaid), and removing barriers to treatment</w:t>
            </w:r>
          </w:p>
        </w:tc>
        <w:tc>
          <w:tcPr>
            <w:tcW w:w="3073" w:type="dxa"/>
            <w:tcBorders>
              <w:right w:val="nil"/>
            </w:tcBorders>
          </w:tcPr>
          <w:p>
            <w:pPr>
              <w:pStyle w:val="TableParagraph"/>
              <w:spacing w:line="232" w:lineRule="auto" w:before="98"/>
              <w:ind w:left="87" w:right="1037"/>
              <w:rPr>
                <w:sz w:val="18"/>
              </w:rPr>
            </w:pPr>
            <w:r>
              <w:rPr>
                <w:color w:val="105C84"/>
                <w:sz w:val="18"/>
              </w:rPr>
              <w:t>Arnot Health - Percentage of patients aged 18+ who were screened for tobacco use one or more times within 24 months and who received tobacco cessation</w:t>
            </w:r>
            <w:r>
              <w:rPr>
                <w:color w:val="105C84"/>
                <w:spacing w:val="-15"/>
                <w:sz w:val="18"/>
              </w:rPr>
              <w:t> </w:t>
            </w:r>
            <w:r>
              <w:rPr>
                <w:color w:val="105C84"/>
                <w:sz w:val="18"/>
              </w:rPr>
              <w:t>intervention</w:t>
            </w:r>
            <w:r>
              <w:rPr>
                <w:color w:val="105C84"/>
                <w:spacing w:val="-12"/>
                <w:sz w:val="18"/>
              </w:rPr>
              <w:t> </w:t>
            </w:r>
            <w:r>
              <w:rPr>
                <w:color w:val="105C84"/>
                <w:sz w:val="18"/>
              </w:rPr>
              <w:t>if identified as a tobacco user (MIPS quality </w:t>
            </w:r>
            <w:r>
              <w:rPr>
                <w:color w:val="105C84"/>
                <w:spacing w:val="-2"/>
                <w:sz w:val="18"/>
              </w:rPr>
              <w:t>measure)</w:t>
            </w:r>
          </w:p>
          <w:p>
            <w:pPr>
              <w:pStyle w:val="TableParagraph"/>
              <w:spacing w:line="232" w:lineRule="auto" w:before="81"/>
              <w:ind w:left="87" w:right="1382"/>
              <w:rPr>
                <w:sz w:val="18"/>
              </w:rPr>
            </w:pPr>
            <w:r>
              <w:rPr>
                <w:color w:val="105C84"/>
                <w:sz w:val="18"/>
              </w:rPr>
              <w:t>#</w:t>
            </w:r>
            <w:r>
              <w:rPr>
                <w:color w:val="105C84"/>
                <w:spacing w:val="-15"/>
                <w:sz w:val="18"/>
              </w:rPr>
              <w:t> </w:t>
            </w:r>
            <w:r>
              <w:rPr>
                <w:color w:val="105C84"/>
                <w:sz w:val="18"/>
              </w:rPr>
              <w:t>of</w:t>
            </w:r>
            <w:r>
              <w:rPr>
                <w:color w:val="105C84"/>
                <w:spacing w:val="-12"/>
                <w:sz w:val="18"/>
              </w:rPr>
              <w:t> </w:t>
            </w:r>
            <w:r>
              <w:rPr>
                <w:color w:val="105C84"/>
                <w:sz w:val="18"/>
              </w:rPr>
              <w:t>referrals</w:t>
            </w:r>
            <w:r>
              <w:rPr>
                <w:color w:val="105C84"/>
                <w:spacing w:val="-13"/>
                <w:sz w:val="18"/>
              </w:rPr>
              <w:t> </w:t>
            </w:r>
            <w:r>
              <w:rPr>
                <w:color w:val="105C84"/>
                <w:sz w:val="18"/>
              </w:rPr>
              <w:t>to</w:t>
            </w:r>
            <w:r>
              <w:rPr>
                <w:color w:val="105C84"/>
                <w:spacing w:val="-12"/>
                <w:sz w:val="18"/>
              </w:rPr>
              <w:t> </w:t>
            </w:r>
            <w:r>
              <w:rPr>
                <w:color w:val="105C84"/>
                <w:sz w:val="18"/>
              </w:rPr>
              <w:t>NYS </w:t>
            </w:r>
            <w:r>
              <w:rPr>
                <w:color w:val="105C84"/>
                <w:spacing w:val="-2"/>
                <w:w w:val="105"/>
                <w:sz w:val="18"/>
              </w:rPr>
              <w:t>Quitline</w:t>
            </w:r>
          </w:p>
          <w:p>
            <w:pPr>
              <w:pStyle w:val="TableParagraph"/>
              <w:spacing w:line="232" w:lineRule="auto" w:before="89"/>
              <w:ind w:left="87" w:right="1445"/>
              <w:rPr>
                <w:sz w:val="18"/>
              </w:rPr>
            </w:pPr>
            <w:r>
              <w:rPr>
                <w:color w:val="105C84"/>
                <w:sz w:val="18"/>
              </w:rPr>
              <w:t># of prescriptions</w:t>
            </w:r>
            <w:r>
              <w:rPr>
                <w:color w:val="105C84"/>
                <w:spacing w:val="40"/>
                <w:sz w:val="18"/>
              </w:rPr>
              <w:t> </w:t>
            </w:r>
            <w:r>
              <w:rPr>
                <w:color w:val="105C84"/>
                <w:sz w:val="18"/>
              </w:rPr>
              <w:t>to</w:t>
            </w:r>
            <w:r>
              <w:rPr>
                <w:color w:val="105C84"/>
                <w:spacing w:val="-13"/>
                <w:sz w:val="18"/>
              </w:rPr>
              <w:t> </w:t>
            </w:r>
            <w:r>
              <w:rPr>
                <w:color w:val="105C84"/>
                <w:sz w:val="18"/>
              </w:rPr>
              <w:t>address</w:t>
            </w:r>
            <w:r>
              <w:rPr>
                <w:color w:val="105C84"/>
                <w:spacing w:val="-12"/>
                <w:sz w:val="18"/>
              </w:rPr>
              <w:t> </w:t>
            </w:r>
            <w:r>
              <w:rPr>
                <w:color w:val="105C84"/>
                <w:sz w:val="18"/>
              </w:rPr>
              <w:t>tobacco </w:t>
            </w:r>
            <w:r>
              <w:rPr>
                <w:color w:val="105C84"/>
                <w:spacing w:val="-2"/>
                <w:sz w:val="18"/>
              </w:rPr>
              <w:t>dependency</w:t>
            </w:r>
          </w:p>
        </w:tc>
        <w:tc>
          <w:tcPr>
            <w:tcW w:w="4179" w:type="dxa"/>
            <w:tcBorders>
              <w:left w:val="nil"/>
            </w:tcBorders>
          </w:tcPr>
          <w:p>
            <w:pPr>
              <w:pStyle w:val="TableParagraph"/>
              <w:spacing w:line="232" w:lineRule="auto" w:before="98"/>
              <w:ind w:left="1004" w:right="252"/>
              <w:jc w:val="both"/>
              <w:rPr>
                <w:sz w:val="18"/>
              </w:rPr>
            </w:pPr>
            <w:r>
              <w:rPr>
                <w:color w:val="105C84"/>
                <w:sz w:val="18"/>
              </w:rPr>
              <w:t>Currently</w:t>
            </w:r>
            <w:r>
              <w:rPr>
                <w:color w:val="105C84"/>
                <w:spacing w:val="-13"/>
                <w:sz w:val="18"/>
              </w:rPr>
              <w:t> </w:t>
            </w:r>
            <w:r>
              <w:rPr>
                <w:color w:val="105C84"/>
                <w:sz w:val="18"/>
              </w:rPr>
              <w:t>all</w:t>
            </w:r>
            <w:r>
              <w:rPr>
                <w:color w:val="105C84"/>
                <w:spacing w:val="-12"/>
                <w:sz w:val="18"/>
              </w:rPr>
              <w:t> </w:t>
            </w:r>
            <w:r>
              <w:rPr>
                <w:color w:val="105C84"/>
                <w:sz w:val="18"/>
              </w:rPr>
              <w:t>PCP</w:t>
            </w:r>
            <w:r>
              <w:rPr>
                <w:color w:val="105C84"/>
                <w:spacing w:val="-13"/>
                <w:sz w:val="18"/>
              </w:rPr>
              <w:t> </w:t>
            </w:r>
            <w:r>
              <w:rPr>
                <w:color w:val="105C84"/>
                <w:sz w:val="18"/>
              </w:rPr>
              <w:t>show</w:t>
            </w:r>
            <w:r>
              <w:rPr>
                <w:color w:val="105C84"/>
                <w:spacing w:val="-12"/>
                <w:sz w:val="18"/>
              </w:rPr>
              <w:t> </w:t>
            </w:r>
            <w:r>
              <w:rPr>
                <w:color w:val="105C84"/>
                <w:sz w:val="18"/>
              </w:rPr>
              <w:t>a</w:t>
            </w:r>
            <w:r>
              <w:rPr>
                <w:color w:val="105C84"/>
                <w:spacing w:val="-13"/>
                <w:sz w:val="18"/>
              </w:rPr>
              <w:t> </w:t>
            </w:r>
            <w:r>
              <w:rPr>
                <w:color w:val="105C84"/>
                <w:sz w:val="18"/>
              </w:rPr>
              <w:t>rate</w:t>
            </w:r>
            <w:r>
              <w:rPr>
                <w:color w:val="105C84"/>
                <w:spacing w:val="-13"/>
                <w:sz w:val="18"/>
              </w:rPr>
              <w:t> </w:t>
            </w:r>
            <w:r>
              <w:rPr>
                <w:color w:val="105C84"/>
                <w:sz w:val="18"/>
              </w:rPr>
              <w:t>of</w:t>
            </w:r>
            <w:r>
              <w:rPr>
                <w:color w:val="105C84"/>
                <w:spacing w:val="-12"/>
                <w:sz w:val="18"/>
              </w:rPr>
              <w:t> </w:t>
            </w:r>
            <w:r>
              <w:rPr>
                <w:color w:val="105C84"/>
                <w:sz w:val="18"/>
              </w:rPr>
              <w:t>91% compliance</w:t>
            </w:r>
            <w:r>
              <w:rPr>
                <w:color w:val="105C84"/>
                <w:spacing w:val="-1"/>
                <w:sz w:val="18"/>
              </w:rPr>
              <w:t> </w:t>
            </w:r>
            <w:r>
              <w:rPr>
                <w:color w:val="105C84"/>
                <w:sz w:val="18"/>
              </w:rPr>
              <w:t>of</w:t>
            </w:r>
            <w:r>
              <w:rPr>
                <w:color w:val="105C84"/>
                <w:spacing w:val="-1"/>
                <w:sz w:val="18"/>
              </w:rPr>
              <w:t> </w:t>
            </w:r>
            <w:r>
              <w:rPr>
                <w:color w:val="105C84"/>
                <w:sz w:val="18"/>
              </w:rPr>
              <w:t>screening</w:t>
            </w:r>
            <w:r>
              <w:rPr>
                <w:color w:val="105C84"/>
                <w:spacing w:val="-1"/>
                <w:sz w:val="18"/>
              </w:rPr>
              <w:t> </w:t>
            </w:r>
            <w:r>
              <w:rPr>
                <w:color w:val="105C84"/>
                <w:sz w:val="18"/>
              </w:rPr>
              <w:t>for</w:t>
            </w:r>
            <w:r>
              <w:rPr>
                <w:color w:val="105C84"/>
                <w:spacing w:val="-1"/>
                <w:sz w:val="18"/>
              </w:rPr>
              <w:t> </w:t>
            </w:r>
            <w:r>
              <w:rPr>
                <w:color w:val="105C84"/>
                <w:sz w:val="18"/>
              </w:rPr>
              <w:t>tobacco </w:t>
            </w:r>
            <w:r>
              <w:rPr>
                <w:color w:val="105C84"/>
                <w:spacing w:val="-4"/>
                <w:sz w:val="18"/>
              </w:rPr>
              <w:t>use</w:t>
            </w:r>
          </w:p>
          <w:p>
            <w:pPr>
              <w:pStyle w:val="TableParagraph"/>
              <w:spacing w:line="232" w:lineRule="auto" w:before="87"/>
              <w:ind w:left="1004" w:right="173"/>
              <w:rPr>
                <w:sz w:val="18"/>
              </w:rPr>
            </w:pPr>
            <w:r>
              <w:rPr>
                <w:color w:val="105C84"/>
                <w:sz w:val="18"/>
              </w:rPr>
              <w:t>Jan.</w:t>
            </w:r>
            <w:r>
              <w:rPr>
                <w:color w:val="105C84"/>
                <w:spacing w:val="-13"/>
                <w:sz w:val="18"/>
              </w:rPr>
              <w:t> </w:t>
            </w:r>
            <w:r>
              <w:rPr>
                <w:color w:val="105C84"/>
                <w:sz w:val="18"/>
              </w:rPr>
              <w:t>-</w:t>
            </w:r>
            <w:r>
              <w:rPr>
                <w:color w:val="105C84"/>
                <w:spacing w:val="-12"/>
                <w:sz w:val="18"/>
              </w:rPr>
              <w:t> </w:t>
            </w:r>
            <w:r>
              <w:rPr>
                <w:color w:val="105C84"/>
                <w:sz w:val="18"/>
              </w:rPr>
              <w:t>July</w:t>
            </w:r>
            <w:r>
              <w:rPr>
                <w:color w:val="105C84"/>
                <w:spacing w:val="-13"/>
                <w:sz w:val="18"/>
              </w:rPr>
              <w:t> </w:t>
            </w:r>
            <w:r>
              <w:rPr>
                <w:color w:val="105C84"/>
                <w:sz w:val="18"/>
              </w:rPr>
              <w:t>2019</w:t>
            </w:r>
            <w:r>
              <w:rPr>
                <w:color w:val="105C84"/>
                <w:spacing w:val="-12"/>
                <w:sz w:val="18"/>
              </w:rPr>
              <w:t> </w:t>
            </w:r>
            <w:r>
              <w:rPr>
                <w:color w:val="105C84"/>
                <w:sz w:val="18"/>
              </w:rPr>
              <w:t>3,842</w:t>
            </w:r>
            <w:r>
              <w:rPr>
                <w:color w:val="105C84"/>
                <w:spacing w:val="-13"/>
                <w:sz w:val="18"/>
              </w:rPr>
              <w:t> </w:t>
            </w:r>
            <w:r>
              <w:rPr>
                <w:color w:val="105C84"/>
                <w:sz w:val="18"/>
              </w:rPr>
              <w:t>unique</w:t>
            </w:r>
            <w:r>
              <w:rPr>
                <w:color w:val="105C84"/>
                <w:spacing w:val="-13"/>
                <w:sz w:val="18"/>
              </w:rPr>
              <w:t> </w:t>
            </w:r>
            <w:r>
              <w:rPr>
                <w:color w:val="105C84"/>
                <w:sz w:val="18"/>
              </w:rPr>
              <w:t>patients (19,000</w:t>
            </w:r>
            <w:r>
              <w:rPr>
                <w:color w:val="105C84"/>
                <w:spacing w:val="-13"/>
                <w:sz w:val="18"/>
              </w:rPr>
              <w:t> </w:t>
            </w:r>
            <w:r>
              <w:rPr>
                <w:color w:val="105C84"/>
                <w:sz w:val="18"/>
              </w:rPr>
              <w:t>scripts)</w:t>
            </w:r>
            <w:r>
              <w:rPr>
                <w:color w:val="105C84"/>
                <w:spacing w:val="10"/>
                <w:sz w:val="18"/>
              </w:rPr>
              <w:t> </w:t>
            </w:r>
            <w:r>
              <w:rPr>
                <w:color w:val="105C84"/>
                <w:sz w:val="18"/>
              </w:rPr>
              <w:t>receiving</w:t>
            </w:r>
            <w:r>
              <w:rPr>
                <w:color w:val="105C84"/>
                <w:spacing w:val="-12"/>
                <w:sz w:val="18"/>
              </w:rPr>
              <w:t> </w:t>
            </w:r>
            <w:r>
              <w:rPr>
                <w:color w:val="105C84"/>
                <w:sz w:val="18"/>
              </w:rPr>
              <w:t>prescription and non-prescription medications (Nicotrol, Nicorette, Nicoderm, RA Gum, Chantix, Buproprion, etc.).</w:t>
            </w:r>
          </w:p>
          <w:p>
            <w:pPr>
              <w:pStyle w:val="TableParagraph"/>
              <w:spacing w:line="232" w:lineRule="auto" w:before="86"/>
              <w:ind w:left="1004" w:right="230"/>
              <w:rPr>
                <w:sz w:val="18"/>
              </w:rPr>
            </w:pPr>
            <w:r>
              <w:rPr>
                <w:color w:val="105C84"/>
                <w:sz w:val="18"/>
              </w:rPr>
              <w:t>Approximately</w:t>
            </w:r>
            <w:r>
              <w:rPr>
                <w:color w:val="105C84"/>
                <w:spacing w:val="-15"/>
                <w:sz w:val="18"/>
              </w:rPr>
              <w:t> </w:t>
            </w:r>
            <w:r>
              <w:rPr>
                <w:color w:val="105C84"/>
                <w:sz w:val="18"/>
              </w:rPr>
              <w:t>1,211</w:t>
            </w:r>
            <w:r>
              <w:rPr>
                <w:color w:val="105C84"/>
                <w:spacing w:val="-12"/>
                <w:sz w:val="18"/>
              </w:rPr>
              <w:t> </w:t>
            </w:r>
            <w:r>
              <w:rPr>
                <w:color w:val="105C84"/>
                <w:sz w:val="18"/>
              </w:rPr>
              <w:t>referrals</w:t>
            </w:r>
            <w:r>
              <w:rPr>
                <w:color w:val="105C84"/>
                <w:spacing w:val="-13"/>
                <w:sz w:val="18"/>
              </w:rPr>
              <w:t> </w:t>
            </w:r>
            <w:r>
              <w:rPr>
                <w:color w:val="105C84"/>
                <w:sz w:val="18"/>
              </w:rPr>
              <w:t>to</w:t>
            </w:r>
            <w:r>
              <w:rPr>
                <w:color w:val="105C84"/>
                <w:spacing w:val="-12"/>
                <w:sz w:val="18"/>
              </w:rPr>
              <w:t> </w:t>
            </w:r>
            <w:r>
              <w:rPr>
                <w:color w:val="105C84"/>
                <w:sz w:val="18"/>
              </w:rPr>
              <w:t>NYS Quitline during this time</w:t>
            </w:r>
          </w:p>
        </w:tc>
        <w:tc>
          <w:tcPr>
            <w:tcW w:w="1757" w:type="dxa"/>
          </w:tcPr>
          <w:p>
            <w:pPr>
              <w:pStyle w:val="TableParagraph"/>
              <w:spacing w:line="232" w:lineRule="auto" w:before="98"/>
              <w:ind w:left="85" w:right="118"/>
              <w:rPr>
                <w:sz w:val="18"/>
              </w:rPr>
            </w:pPr>
            <w:r>
              <w:rPr>
                <w:color w:val="105C84"/>
                <w:sz w:val="18"/>
              </w:rPr>
              <w:t>Percentage of patients aged 18+ </w:t>
            </w:r>
            <w:r>
              <w:rPr>
                <w:color w:val="105C84"/>
                <w:spacing w:val="-2"/>
                <w:sz w:val="18"/>
              </w:rPr>
              <w:t>who</w:t>
            </w:r>
            <w:r>
              <w:rPr>
                <w:color w:val="105C84"/>
                <w:spacing w:val="-13"/>
                <w:sz w:val="18"/>
              </w:rPr>
              <w:t> </w:t>
            </w:r>
            <w:r>
              <w:rPr>
                <w:color w:val="105C84"/>
                <w:spacing w:val="-2"/>
                <w:sz w:val="18"/>
              </w:rPr>
              <w:t>were</w:t>
            </w:r>
            <w:r>
              <w:rPr>
                <w:color w:val="105C84"/>
                <w:spacing w:val="-10"/>
                <w:sz w:val="18"/>
              </w:rPr>
              <w:t> </w:t>
            </w:r>
            <w:r>
              <w:rPr>
                <w:color w:val="105C84"/>
                <w:spacing w:val="-2"/>
                <w:sz w:val="18"/>
              </w:rPr>
              <w:t>screened </w:t>
            </w:r>
            <w:r>
              <w:rPr>
                <w:color w:val="105C84"/>
                <w:sz w:val="18"/>
              </w:rPr>
              <w:t>for tobacco use</w:t>
            </w:r>
            <w:r>
              <w:rPr>
                <w:color w:val="105C84"/>
                <w:spacing w:val="40"/>
                <w:sz w:val="18"/>
              </w:rPr>
              <w:t> </w:t>
            </w:r>
            <w:r>
              <w:rPr>
                <w:color w:val="105C84"/>
                <w:sz w:val="18"/>
              </w:rPr>
              <w:t>one or more times within 24 months and who received tobacco cessation intervention if identified as a </w:t>
            </w:r>
            <w:r>
              <w:rPr>
                <w:color w:val="105C84"/>
                <w:spacing w:val="-2"/>
                <w:sz w:val="18"/>
              </w:rPr>
              <w:t>tobacco</w:t>
            </w:r>
            <w:r>
              <w:rPr>
                <w:color w:val="105C84"/>
                <w:spacing w:val="-13"/>
                <w:sz w:val="18"/>
              </w:rPr>
              <w:t> </w:t>
            </w:r>
            <w:r>
              <w:rPr>
                <w:color w:val="105C84"/>
                <w:spacing w:val="-2"/>
                <w:sz w:val="18"/>
              </w:rPr>
              <w:t>user</w:t>
            </w:r>
            <w:r>
              <w:rPr>
                <w:color w:val="105C84"/>
                <w:spacing w:val="-10"/>
                <w:sz w:val="18"/>
              </w:rPr>
              <w:t> </w:t>
            </w:r>
            <w:r>
              <w:rPr>
                <w:color w:val="105C84"/>
                <w:spacing w:val="-2"/>
                <w:sz w:val="18"/>
              </w:rPr>
              <w:t>(MIPS </w:t>
            </w:r>
            <w:r>
              <w:rPr>
                <w:color w:val="105C84"/>
                <w:sz w:val="18"/>
              </w:rPr>
              <w:t>quality measure)</w:t>
            </w:r>
          </w:p>
          <w:p>
            <w:pPr>
              <w:pStyle w:val="TableParagraph"/>
              <w:spacing w:line="232" w:lineRule="auto" w:before="80"/>
              <w:ind w:left="85" w:right="218"/>
              <w:rPr>
                <w:sz w:val="18"/>
              </w:rPr>
            </w:pPr>
            <w:r>
              <w:rPr>
                <w:color w:val="105C84"/>
                <w:sz w:val="18"/>
              </w:rPr>
              <w:t>#</w:t>
            </w:r>
            <w:r>
              <w:rPr>
                <w:color w:val="105C84"/>
                <w:spacing w:val="-13"/>
                <w:sz w:val="18"/>
              </w:rPr>
              <w:t> </w:t>
            </w:r>
            <w:r>
              <w:rPr>
                <w:color w:val="105C84"/>
                <w:sz w:val="18"/>
              </w:rPr>
              <w:t>of</w:t>
            </w:r>
            <w:r>
              <w:rPr>
                <w:color w:val="105C84"/>
                <w:spacing w:val="-12"/>
                <w:sz w:val="18"/>
              </w:rPr>
              <w:t> </w:t>
            </w:r>
            <w:r>
              <w:rPr>
                <w:color w:val="105C84"/>
                <w:sz w:val="18"/>
              </w:rPr>
              <w:t>referrals</w:t>
            </w:r>
            <w:r>
              <w:rPr>
                <w:color w:val="105C84"/>
                <w:spacing w:val="-13"/>
                <w:sz w:val="18"/>
              </w:rPr>
              <w:t> </w:t>
            </w:r>
            <w:r>
              <w:rPr>
                <w:color w:val="105C84"/>
                <w:sz w:val="18"/>
              </w:rPr>
              <w:t>to </w:t>
            </w:r>
            <w:r>
              <w:rPr>
                <w:color w:val="105C84"/>
                <w:w w:val="105"/>
                <w:sz w:val="18"/>
              </w:rPr>
              <w:t>NYS</w:t>
            </w:r>
            <w:r>
              <w:rPr>
                <w:color w:val="105C84"/>
                <w:spacing w:val="-1"/>
                <w:w w:val="105"/>
                <w:sz w:val="18"/>
              </w:rPr>
              <w:t> </w:t>
            </w:r>
            <w:r>
              <w:rPr>
                <w:color w:val="105C84"/>
                <w:w w:val="105"/>
                <w:sz w:val="18"/>
              </w:rPr>
              <w:t>Quitline</w:t>
            </w:r>
          </w:p>
          <w:p>
            <w:pPr>
              <w:pStyle w:val="TableParagraph"/>
              <w:spacing w:line="232" w:lineRule="auto" w:before="88"/>
              <w:ind w:left="85" w:right="126"/>
              <w:rPr>
                <w:sz w:val="18"/>
              </w:rPr>
            </w:pPr>
            <w:r>
              <w:rPr>
                <w:color w:val="105C84"/>
                <w:sz w:val="18"/>
              </w:rPr>
              <w:t># of prescriptions</w:t>
            </w:r>
            <w:r>
              <w:rPr>
                <w:color w:val="105C84"/>
                <w:spacing w:val="40"/>
                <w:sz w:val="18"/>
              </w:rPr>
              <w:t> </w:t>
            </w:r>
            <w:r>
              <w:rPr>
                <w:color w:val="105C84"/>
                <w:sz w:val="18"/>
              </w:rPr>
              <w:t>to</w:t>
            </w:r>
            <w:r>
              <w:rPr>
                <w:color w:val="105C84"/>
                <w:spacing w:val="-13"/>
                <w:sz w:val="18"/>
              </w:rPr>
              <w:t> </w:t>
            </w:r>
            <w:r>
              <w:rPr>
                <w:color w:val="105C84"/>
                <w:sz w:val="18"/>
              </w:rPr>
              <w:t>address</w:t>
            </w:r>
            <w:r>
              <w:rPr>
                <w:color w:val="105C84"/>
                <w:spacing w:val="-12"/>
                <w:sz w:val="18"/>
              </w:rPr>
              <w:t> </w:t>
            </w:r>
            <w:r>
              <w:rPr>
                <w:color w:val="105C84"/>
                <w:sz w:val="18"/>
              </w:rPr>
              <w:t>tobacco </w:t>
            </w:r>
            <w:r>
              <w:rPr>
                <w:color w:val="105C84"/>
                <w:spacing w:val="-2"/>
                <w:sz w:val="18"/>
              </w:rPr>
              <w:t>dependency</w:t>
            </w:r>
          </w:p>
        </w:tc>
        <w:tc>
          <w:tcPr>
            <w:tcW w:w="1757" w:type="dxa"/>
          </w:tcPr>
          <w:p>
            <w:pPr>
              <w:pStyle w:val="TableParagraph"/>
              <w:spacing w:line="232" w:lineRule="auto" w:before="97"/>
              <w:ind w:left="85" w:right="118"/>
              <w:rPr>
                <w:sz w:val="18"/>
              </w:rPr>
            </w:pPr>
            <w:r>
              <w:rPr>
                <w:color w:val="105C84"/>
                <w:sz w:val="18"/>
              </w:rPr>
              <w:t>Percentage of patients aged 18+ </w:t>
            </w:r>
            <w:r>
              <w:rPr>
                <w:color w:val="105C84"/>
                <w:spacing w:val="-2"/>
                <w:sz w:val="18"/>
              </w:rPr>
              <w:t>who</w:t>
            </w:r>
            <w:r>
              <w:rPr>
                <w:color w:val="105C84"/>
                <w:spacing w:val="-13"/>
                <w:sz w:val="18"/>
              </w:rPr>
              <w:t> </w:t>
            </w:r>
            <w:r>
              <w:rPr>
                <w:color w:val="105C84"/>
                <w:spacing w:val="-2"/>
                <w:sz w:val="18"/>
              </w:rPr>
              <w:t>were</w:t>
            </w:r>
            <w:r>
              <w:rPr>
                <w:color w:val="105C84"/>
                <w:spacing w:val="-10"/>
                <w:sz w:val="18"/>
              </w:rPr>
              <w:t> </w:t>
            </w:r>
            <w:r>
              <w:rPr>
                <w:color w:val="105C84"/>
                <w:spacing w:val="-2"/>
                <w:sz w:val="18"/>
              </w:rPr>
              <w:t>screened </w:t>
            </w:r>
            <w:r>
              <w:rPr>
                <w:color w:val="105C84"/>
                <w:sz w:val="18"/>
              </w:rPr>
              <w:t>for tobacco use</w:t>
            </w:r>
            <w:r>
              <w:rPr>
                <w:color w:val="105C84"/>
                <w:spacing w:val="40"/>
                <w:sz w:val="18"/>
              </w:rPr>
              <w:t> </w:t>
            </w:r>
            <w:r>
              <w:rPr>
                <w:color w:val="105C84"/>
                <w:sz w:val="18"/>
              </w:rPr>
              <w:t>one or more times within 24 months and who received tobacco cessation intervention if identified as a </w:t>
            </w:r>
            <w:r>
              <w:rPr>
                <w:color w:val="105C84"/>
                <w:spacing w:val="-2"/>
                <w:sz w:val="18"/>
              </w:rPr>
              <w:t>tobacco</w:t>
            </w:r>
            <w:r>
              <w:rPr>
                <w:color w:val="105C84"/>
                <w:spacing w:val="-13"/>
                <w:sz w:val="18"/>
              </w:rPr>
              <w:t> </w:t>
            </w:r>
            <w:r>
              <w:rPr>
                <w:color w:val="105C84"/>
                <w:spacing w:val="-2"/>
                <w:sz w:val="18"/>
              </w:rPr>
              <w:t>user</w:t>
            </w:r>
            <w:r>
              <w:rPr>
                <w:color w:val="105C84"/>
                <w:spacing w:val="-10"/>
                <w:sz w:val="18"/>
              </w:rPr>
              <w:t> </w:t>
            </w:r>
            <w:r>
              <w:rPr>
                <w:color w:val="105C84"/>
                <w:spacing w:val="-2"/>
                <w:sz w:val="18"/>
              </w:rPr>
              <w:t>(MIPS </w:t>
            </w:r>
            <w:r>
              <w:rPr>
                <w:color w:val="105C84"/>
                <w:sz w:val="18"/>
              </w:rPr>
              <w:t>quality measure)</w:t>
            </w:r>
          </w:p>
          <w:p>
            <w:pPr>
              <w:pStyle w:val="TableParagraph"/>
              <w:spacing w:line="232" w:lineRule="auto" w:before="81"/>
              <w:ind w:left="85" w:right="218"/>
              <w:rPr>
                <w:sz w:val="18"/>
              </w:rPr>
            </w:pPr>
            <w:r>
              <w:rPr>
                <w:color w:val="105C84"/>
                <w:sz w:val="18"/>
              </w:rPr>
              <w:t>#</w:t>
            </w:r>
            <w:r>
              <w:rPr>
                <w:color w:val="105C84"/>
                <w:spacing w:val="-13"/>
                <w:sz w:val="18"/>
              </w:rPr>
              <w:t> </w:t>
            </w:r>
            <w:r>
              <w:rPr>
                <w:color w:val="105C84"/>
                <w:sz w:val="18"/>
              </w:rPr>
              <w:t>of</w:t>
            </w:r>
            <w:r>
              <w:rPr>
                <w:color w:val="105C84"/>
                <w:spacing w:val="-12"/>
                <w:sz w:val="18"/>
              </w:rPr>
              <w:t> </w:t>
            </w:r>
            <w:r>
              <w:rPr>
                <w:color w:val="105C84"/>
                <w:sz w:val="18"/>
              </w:rPr>
              <w:t>referrals</w:t>
            </w:r>
            <w:r>
              <w:rPr>
                <w:color w:val="105C84"/>
                <w:spacing w:val="-13"/>
                <w:sz w:val="18"/>
              </w:rPr>
              <w:t> </w:t>
            </w:r>
            <w:r>
              <w:rPr>
                <w:color w:val="105C84"/>
                <w:sz w:val="18"/>
              </w:rPr>
              <w:t>to </w:t>
            </w:r>
            <w:r>
              <w:rPr>
                <w:color w:val="105C84"/>
                <w:w w:val="105"/>
                <w:sz w:val="18"/>
              </w:rPr>
              <w:t>NYS</w:t>
            </w:r>
            <w:r>
              <w:rPr>
                <w:color w:val="105C84"/>
                <w:spacing w:val="-1"/>
                <w:w w:val="105"/>
                <w:sz w:val="18"/>
              </w:rPr>
              <w:t> </w:t>
            </w:r>
            <w:r>
              <w:rPr>
                <w:color w:val="105C84"/>
                <w:w w:val="105"/>
                <w:sz w:val="18"/>
              </w:rPr>
              <w:t>Quitline</w:t>
            </w:r>
          </w:p>
          <w:p>
            <w:pPr>
              <w:pStyle w:val="TableParagraph"/>
              <w:spacing w:line="232" w:lineRule="auto" w:before="88"/>
              <w:ind w:left="85" w:right="126"/>
              <w:rPr>
                <w:sz w:val="18"/>
              </w:rPr>
            </w:pPr>
            <w:r>
              <w:rPr>
                <w:color w:val="105C84"/>
                <w:sz w:val="18"/>
              </w:rPr>
              <w:t># of prescriptions</w:t>
            </w:r>
            <w:r>
              <w:rPr>
                <w:color w:val="105C84"/>
                <w:spacing w:val="40"/>
                <w:sz w:val="18"/>
              </w:rPr>
              <w:t> </w:t>
            </w:r>
            <w:r>
              <w:rPr>
                <w:color w:val="105C84"/>
                <w:sz w:val="18"/>
              </w:rPr>
              <w:t>to</w:t>
            </w:r>
            <w:r>
              <w:rPr>
                <w:color w:val="105C84"/>
                <w:spacing w:val="-13"/>
                <w:sz w:val="18"/>
              </w:rPr>
              <w:t> </w:t>
            </w:r>
            <w:r>
              <w:rPr>
                <w:color w:val="105C84"/>
                <w:sz w:val="18"/>
              </w:rPr>
              <w:t>address</w:t>
            </w:r>
            <w:r>
              <w:rPr>
                <w:color w:val="105C84"/>
                <w:spacing w:val="-12"/>
                <w:sz w:val="18"/>
              </w:rPr>
              <w:t> </w:t>
            </w:r>
            <w:r>
              <w:rPr>
                <w:color w:val="105C84"/>
                <w:sz w:val="18"/>
              </w:rPr>
              <w:t>tobacco </w:t>
            </w:r>
            <w:r>
              <w:rPr>
                <w:color w:val="105C84"/>
                <w:spacing w:val="-2"/>
                <w:sz w:val="18"/>
              </w:rPr>
              <w:t>dependency</w:t>
            </w:r>
          </w:p>
        </w:tc>
        <w:tc>
          <w:tcPr>
            <w:tcW w:w="1642" w:type="dxa"/>
          </w:tcPr>
          <w:p>
            <w:pPr>
              <w:pStyle w:val="TableParagraph"/>
              <w:spacing w:before="92"/>
              <w:ind w:left="85"/>
              <w:rPr>
                <w:sz w:val="18"/>
              </w:rPr>
            </w:pPr>
            <w:r>
              <w:rPr>
                <w:color w:val="105C84"/>
                <w:spacing w:val="-2"/>
                <w:sz w:val="18"/>
              </w:rPr>
              <w:t>Hospital</w:t>
            </w:r>
          </w:p>
        </w:tc>
        <w:tc>
          <w:tcPr>
            <w:tcW w:w="1781" w:type="dxa"/>
          </w:tcPr>
          <w:p>
            <w:pPr>
              <w:pStyle w:val="TableParagraph"/>
              <w:spacing w:line="232" w:lineRule="auto" w:before="97"/>
              <w:ind w:left="84" w:right="69"/>
              <w:rPr>
                <w:sz w:val="18"/>
              </w:rPr>
            </w:pPr>
            <w:r>
              <w:rPr>
                <w:color w:val="105C84"/>
                <w:w w:val="105"/>
                <w:sz w:val="18"/>
              </w:rPr>
              <w:t>Arnot</w:t>
            </w:r>
            <w:r>
              <w:rPr>
                <w:color w:val="105C84"/>
                <w:spacing w:val="-1"/>
                <w:w w:val="105"/>
                <w:sz w:val="18"/>
              </w:rPr>
              <w:t> </w:t>
            </w:r>
            <w:r>
              <w:rPr>
                <w:color w:val="105C84"/>
                <w:w w:val="105"/>
                <w:sz w:val="18"/>
              </w:rPr>
              <w:t>responsible for</w:t>
            </w:r>
            <w:r>
              <w:rPr>
                <w:color w:val="105C84"/>
                <w:spacing w:val="-1"/>
                <w:w w:val="105"/>
                <w:sz w:val="18"/>
              </w:rPr>
              <w:t> </w:t>
            </w:r>
            <w:r>
              <w:rPr>
                <w:color w:val="105C84"/>
                <w:w w:val="105"/>
                <w:sz w:val="18"/>
              </w:rPr>
              <w:t>intervention providing</w:t>
            </w:r>
            <w:r>
              <w:rPr>
                <w:color w:val="105C84"/>
                <w:spacing w:val="-1"/>
                <w:w w:val="105"/>
                <w:sz w:val="18"/>
              </w:rPr>
              <w:t> </w:t>
            </w:r>
            <w:r>
              <w:rPr>
                <w:color w:val="105C84"/>
                <w:w w:val="105"/>
                <w:sz w:val="18"/>
              </w:rPr>
              <w:t>needed staff</w:t>
            </w:r>
            <w:r>
              <w:rPr>
                <w:color w:val="105C84"/>
                <w:spacing w:val="-14"/>
                <w:w w:val="105"/>
                <w:sz w:val="18"/>
              </w:rPr>
              <w:t> </w:t>
            </w:r>
            <w:r>
              <w:rPr>
                <w:color w:val="105C84"/>
                <w:w w:val="105"/>
                <w:sz w:val="18"/>
              </w:rPr>
              <w:t>and</w:t>
            </w:r>
            <w:r>
              <w:rPr>
                <w:color w:val="105C84"/>
                <w:spacing w:val="-13"/>
                <w:w w:val="105"/>
                <w:sz w:val="18"/>
              </w:rPr>
              <w:t> </w:t>
            </w:r>
            <w:r>
              <w:rPr>
                <w:color w:val="105C84"/>
                <w:w w:val="105"/>
                <w:sz w:val="18"/>
              </w:rPr>
              <w:t>resources to meet measures </w:t>
            </w:r>
            <w:r>
              <w:rPr>
                <w:color w:val="105C84"/>
                <w:spacing w:val="-2"/>
                <w:sz w:val="18"/>
              </w:rPr>
              <w:t>with</w:t>
            </w:r>
            <w:r>
              <w:rPr>
                <w:color w:val="105C84"/>
                <w:spacing w:val="-13"/>
                <w:sz w:val="18"/>
              </w:rPr>
              <w:t> </w:t>
            </w:r>
            <w:r>
              <w:rPr>
                <w:color w:val="105C84"/>
                <w:spacing w:val="-2"/>
                <w:sz w:val="18"/>
              </w:rPr>
              <w:t>assistance</w:t>
            </w:r>
            <w:r>
              <w:rPr>
                <w:color w:val="105C84"/>
                <w:spacing w:val="-10"/>
                <w:sz w:val="18"/>
              </w:rPr>
              <w:t> </w:t>
            </w:r>
            <w:r>
              <w:rPr>
                <w:color w:val="105C84"/>
                <w:spacing w:val="-2"/>
                <w:sz w:val="18"/>
              </w:rPr>
              <w:t>from </w:t>
            </w:r>
            <w:r>
              <w:rPr>
                <w:color w:val="105C84"/>
                <w:w w:val="105"/>
                <w:sz w:val="18"/>
              </w:rPr>
              <w:t>Health</w:t>
            </w:r>
            <w:r>
              <w:rPr>
                <w:color w:val="105C84"/>
                <w:spacing w:val="-1"/>
                <w:w w:val="105"/>
                <w:sz w:val="18"/>
              </w:rPr>
              <w:t> </w:t>
            </w:r>
            <w:r>
              <w:rPr>
                <w:color w:val="105C84"/>
                <w:w w:val="105"/>
                <w:sz w:val="18"/>
              </w:rPr>
              <w:t>Priorities </w:t>
            </w:r>
            <w:r>
              <w:rPr>
                <w:color w:val="105C84"/>
                <w:sz w:val="18"/>
              </w:rPr>
              <w:t>Partners</w:t>
            </w:r>
            <w:r>
              <w:rPr>
                <w:color w:val="105C84"/>
                <w:spacing w:val="-4"/>
                <w:sz w:val="18"/>
              </w:rPr>
              <w:t> </w:t>
            </w:r>
            <w:r>
              <w:rPr>
                <w:color w:val="105C84"/>
                <w:sz w:val="18"/>
              </w:rPr>
              <w:t>as</w:t>
            </w:r>
            <w:r>
              <w:rPr>
                <w:color w:val="105C84"/>
                <w:spacing w:val="-4"/>
                <w:sz w:val="18"/>
              </w:rPr>
              <w:t> </w:t>
            </w:r>
            <w:r>
              <w:rPr>
                <w:color w:val="105C84"/>
                <w:sz w:val="18"/>
              </w:rPr>
              <w:t>needed</w:t>
            </w:r>
          </w:p>
        </w:tc>
      </w:tr>
    </w:tbl>
    <w:p>
      <w:pPr>
        <w:pStyle w:val="BodyText"/>
        <w:rPr>
          <w:b/>
          <w:sz w:val="26"/>
        </w:rPr>
      </w:pPr>
    </w:p>
    <w:p>
      <w:pPr>
        <w:pStyle w:val="BodyText"/>
        <w:rPr>
          <w:b/>
          <w:sz w:val="26"/>
        </w:rPr>
      </w:pPr>
    </w:p>
    <w:p>
      <w:pPr>
        <w:pStyle w:val="BodyText"/>
        <w:spacing w:before="48"/>
        <w:rPr>
          <w:b/>
          <w:sz w:val="26"/>
        </w:rPr>
      </w:pPr>
    </w:p>
    <w:p>
      <w:pPr>
        <w:tabs>
          <w:tab w:pos="23047" w:val="left" w:leader="none"/>
        </w:tabs>
        <w:spacing w:before="0"/>
        <w:ind w:left="0" w:right="0" w:firstLine="0"/>
        <w:jc w:val="left"/>
        <w:rPr>
          <w:b/>
          <w:sz w:val="26"/>
        </w:rPr>
      </w:pPr>
      <w:r>
        <w:rPr>
          <w:position w:val="-4"/>
        </w:rPr>
        <w:drawing>
          <wp:inline distT="0" distB="0" distL="0" distR="0">
            <wp:extent cx="568172" cy="184683"/>
            <wp:effectExtent l="0" t="0" r="0" b="0"/>
            <wp:docPr id="1747" name="Image 1747"/>
            <wp:cNvGraphicFramePr>
              <a:graphicFrameLocks/>
            </wp:cNvGraphicFramePr>
            <a:graphic>
              <a:graphicData uri="http://schemas.openxmlformats.org/drawingml/2006/picture">
                <pic:pic>
                  <pic:nvPicPr>
                    <pic:cNvPr id="1747" name="Image 1747"/>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13"/>
          <w:sz w:val="20"/>
        </w:rPr>
        <w:t> </w:t>
      </w:r>
      <w:r>
        <w:rPr>
          <w:b/>
          <w:color w:val="939598"/>
          <w:w w:val="105"/>
          <w:sz w:val="26"/>
        </w:rPr>
        <w:t>125</w:t>
      </w:r>
      <w:r>
        <w:rPr>
          <w:b/>
          <w:color w:val="939598"/>
          <w:sz w:val="26"/>
        </w:rPr>
        <w:tab/>
      </w:r>
      <w:r>
        <w:rPr>
          <w:b/>
          <w:color w:val="939598"/>
          <w:spacing w:val="-5"/>
          <w:w w:val="105"/>
          <w:sz w:val="26"/>
        </w:rPr>
        <w:t>126</w:t>
      </w:r>
    </w:p>
    <w:p>
      <w:pPr>
        <w:spacing w:after="0"/>
        <w:jc w:val="left"/>
        <w:rPr>
          <w:b/>
          <w:sz w:val="26"/>
        </w:rPr>
        <w:sectPr>
          <w:pgSz w:w="24480" w:h="15840" w:orient="landscape"/>
          <w:pgMar w:header="0" w:footer="0" w:top="860" w:bottom="0" w:left="0" w:right="720"/>
        </w:sectPr>
      </w:pPr>
    </w:p>
    <w:p>
      <w:pPr>
        <w:spacing w:before="607"/>
        <w:ind w:left="1089" w:right="0" w:firstLine="0"/>
        <w:jc w:val="left"/>
        <w:rPr>
          <w:sz w:val="54"/>
        </w:rPr>
      </w:pPr>
      <w:r>
        <w:rPr>
          <w:sz w:val="54"/>
        </w:rPr>
        <w:drawing>
          <wp:anchor distT="0" distB="0" distL="0" distR="0" allowOverlap="1" layoutInCell="1" locked="0" behindDoc="0" simplePos="0" relativeHeight="15925760">
            <wp:simplePos x="0" y="0"/>
            <wp:positionH relativeFrom="page">
              <wp:posOffset>14981556</wp:posOffset>
            </wp:positionH>
            <wp:positionV relativeFrom="page">
              <wp:posOffset>9668103</wp:posOffset>
            </wp:positionV>
            <wp:extent cx="563245" cy="184683"/>
            <wp:effectExtent l="0" t="0" r="0" b="0"/>
            <wp:wrapNone/>
            <wp:docPr id="1748" name="Image 1748"/>
            <wp:cNvGraphicFramePr>
              <a:graphicFrameLocks/>
            </wp:cNvGraphicFramePr>
            <a:graphic>
              <a:graphicData uri="http://schemas.openxmlformats.org/drawingml/2006/picture">
                <pic:pic>
                  <pic:nvPicPr>
                    <pic:cNvPr id="1748" name="Image 1748"/>
                    <pic:cNvPicPr/>
                  </pic:nvPicPr>
                  <pic:blipFill>
                    <a:blip r:embed="rId38" cstate="print"/>
                    <a:stretch>
                      <a:fillRect/>
                    </a:stretch>
                  </pic:blipFill>
                  <pic:spPr>
                    <a:xfrm>
                      <a:off x="0" y="0"/>
                      <a:ext cx="563245" cy="184683"/>
                    </a:xfrm>
                    <a:prstGeom prst="rect">
                      <a:avLst/>
                    </a:prstGeom>
                  </pic:spPr>
                </pic:pic>
              </a:graphicData>
            </a:graphic>
          </wp:anchor>
        </w:drawing>
      </w:r>
      <w:r>
        <w:rPr>
          <w:sz w:val="54"/>
        </w:rPr>
        <mc:AlternateContent>
          <mc:Choice Requires="wps">
            <w:drawing>
              <wp:anchor distT="0" distB="0" distL="0" distR="0" allowOverlap="1" layoutInCell="1" locked="0" behindDoc="0" simplePos="0" relativeHeight="15926272">
                <wp:simplePos x="0" y="0"/>
                <wp:positionH relativeFrom="page">
                  <wp:posOffset>12965593</wp:posOffset>
                </wp:positionH>
                <wp:positionV relativeFrom="paragraph">
                  <wp:posOffset>292608</wp:posOffset>
                </wp:positionV>
                <wp:extent cx="1918970" cy="681990"/>
                <wp:effectExtent l="0" t="0" r="0" b="0"/>
                <wp:wrapNone/>
                <wp:docPr id="1749" name="Group 1749"/>
                <wp:cNvGraphicFramePr>
                  <a:graphicFrameLocks/>
                </wp:cNvGraphicFramePr>
                <a:graphic>
                  <a:graphicData uri="http://schemas.microsoft.com/office/word/2010/wordprocessingGroup">
                    <wpg:wgp>
                      <wpg:cNvPr id="1749" name="Group 1749"/>
                      <wpg:cNvGrpSpPr/>
                      <wpg:grpSpPr>
                        <a:xfrm>
                          <a:off x="0" y="0"/>
                          <a:ext cx="1918970" cy="681990"/>
                          <a:chExt cx="1918970" cy="681990"/>
                        </a:xfrm>
                      </wpg:grpSpPr>
                      <pic:pic>
                        <pic:nvPicPr>
                          <pic:cNvPr id="1750" name="Image 1750"/>
                          <pic:cNvPicPr/>
                        </pic:nvPicPr>
                        <pic:blipFill>
                          <a:blip r:embed="rId241" cstate="print"/>
                          <a:stretch>
                            <a:fillRect/>
                          </a:stretch>
                        </pic:blipFill>
                        <pic:spPr>
                          <a:xfrm>
                            <a:off x="1275703" y="0"/>
                            <a:ext cx="643101" cy="681824"/>
                          </a:xfrm>
                          <a:prstGeom prst="rect">
                            <a:avLst/>
                          </a:prstGeom>
                        </pic:spPr>
                      </pic:pic>
                      <pic:pic>
                        <pic:nvPicPr>
                          <pic:cNvPr id="1751" name="Image 1751"/>
                          <pic:cNvPicPr/>
                        </pic:nvPicPr>
                        <pic:blipFill>
                          <a:blip r:embed="rId242" cstate="print"/>
                          <a:stretch>
                            <a:fillRect/>
                          </a:stretch>
                        </pic:blipFill>
                        <pic:spPr>
                          <a:xfrm>
                            <a:off x="0" y="91440"/>
                            <a:ext cx="1232015" cy="261461"/>
                          </a:xfrm>
                          <a:prstGeom prst="rect">
                            <a:avLst/>
                          </a:prstGeom>
                        </pic:spPr>
                      </pic:pic>
                    </wpg:wgp>
                  </a:graphicData>
                </a:graphic>
              </wp:anchor>
            </w:drawing>
          </mc:Choice>
          <mc:Fallback>
            <w:pict>
              <v:group style="position:absolute;margin-left:1020.912903pt;margin-top:23.040001pt;width:151.1pt;height:53.7pt;mso-position-horizontal-relative:page;mso-position-vertical-relative:paragraph;z-index:15926272" id="docshapegroup1377" coordorigin="20418,461" coordsize="3022,1074">
                <v:shape style="position:absolute;left:22427;top:460;width:1013;height:1074" type="#_x0000_t75" id="docshape1378" stroked="false">
                  <v:imagedata r:id="rId241" o:title=""/>
                </v:shape>
                <v:shape style="position:absolute;left:20418;top:604;width:1941;height:412" type="#_x0000_t75" id="docshape1379" stroked="false">
                  <v:imagedata r:id="rId242" o:title=""/>
                </v:shape>
                <w10:wrap type="none"/>
              </v:group>
            </w:pict>
          </mc:Fallback>
        </mc:AlternateContent>
      </w:r>
      <w:r>
        <w:rPr>
          <w:color w:val="636466"/>
          <w:sz w:val="54"/>
        </w:rPr>
        <w:t>Chemung</w:t>
      </w:r>
      <w:r>
        <w:rPr>
          <w:color w:val="636466"/>
          <w:spacing w:val="62"/>
          <w:sz w:val="54"/>
        </w:rPr>
        <w:t> </w:t>
      </w:r>
      <w:r>
        <w:rPr>
          <w:color w:val="636466"/>
          <w:sz w:val="54"/>
        </w:rPr>
        <w:t>County</w:t>
      </w:r>
      <w:r>
        <w:rPr>
          <w:color w:val="636466"/>
          <w:spacing w:val="62"/>
          <w:sz w:val="54"/>
        </w:rPr>
        <w:t> </w:t>
      </w:r>
      <w:r>
        <w:rPr>
          <w:color w:val="636466"/>
          <w:sz w:val="54"/>
        </w:rPr>
        <w:t>Appendix</w:t>
      </w:r>
      <w:r>
        <w:rPr>
          <w:color w:val="636466"/>
          <w:spacing w:val="63"/>
          <w:sz w:val="54"/>
        </w:rPr>
        <w:t> </w:t>
      </w:r>
      <w:r>
        <w:rPr>
          <w:color w:val="636466"/>
          <w:spacing w:val="-10"/>
          <w:sz w:val="54"/>
        </w:rPr>
        <w:t>A</w:t>
      </w:r>
    </w:p>
    <w:p>
      <w:pPr>
        <w:spacing w:before="235"/>
        <w:ind w:left="1089" w:right="0" w:firstLine="0"/>
        <w:jc w:val="left"/>
        <w:rPr>
          <w:b/>
          <w:sz w:val="32"/>
        </w:rPr>
      </w:pPr>
      <w:r>
        <w:rPr>
          <w:b/>
          <w:color w:val="82BF6A"/>
          <w:spacing w:val="-8"/>
          <w:sz w:val="32"/>
        </w:rPr>
        <w:t>PRIORITY:</w:t>
      </w:r>
      <w:r>
        <w:rPr>
          <w:b/>
          <w:color w:val="82BF6A"/>
          <w:spacing w:val="-2"/>
          <w:sz w:val="32"/>
        </w:rPr>
        <w:t> </w:t>
      </w:r>
      <w:r>
        <w:rPr>
          <w:b/>
          <w:color w:val="82BF6A"/>
          <w:spacing w:val="-8"/>
          <w:sz w:val="32"/>
        </w:rPr>
        <w:t>PREVENT</w:t>
      </w:r>
      <w:r>
        <w:rPr>
          <w:b/>
          <w:color w:val="82BF6A"/>
          <w:spacing w:val="-1"/>
          <w:sz w:val="32"/>
        </w:rPr>
        <w:t> </w:t>
      </w:r>
      <w:r>
        <w:rPr>
          <w:b/>
          <w:color w:val="82BF6A"/>
          <w:spacing w:val="-8"/>
          <w:sz w:val="32"/>
        </w:rPr>
        <w:t>CHRONIC</w:t>
      </w:r>
      <w:r>
        <w:rPr>
          <w:b/>
          <w:color w:val="82BF6A"/>
          <w:spacing w:val="-1"/>
          <w:sz w:val="32"/>
        </w:rPr>
        <w:t> </w:t>
      </w:r>
      <w:r>
        <w:rPr>
          <w:b/>
          <w:color w:val="82BF6A"/>
          <w:spacing w:val="-8"/>
          <w:sz w:val="32"/>
        </w:rPr>
        <w:t>DISEASES,</w:t>
      </w:r>
      <w:r>
        <w:rPr>
          <w:b/>
          <w:color w:val="82BF6A"/>
          <w:spacing w:val="-2"/>
          <w:sz w:val="32"/>
        </w:rPr>
        <w:t> </w:t>
      </w:r>
      <w:r>
        <w:rPr>
          <w:b/>
          <w:color w:val="82BF6A"/>
          <w:spacing w:val="-8"/>
          <w:sz w:val="32"/>
        </w:rPr>
        <w:t>TOBACCO</w:t>
      </w:r>
      <w:r>
        <w:rPr>
          <w:b/>
          <w:color w:val="82BF6A"/>
          <w:spacing w:val="-1"/>
          <w:sz w:val="32"/>
        </w:rPr>
        <w:t> </w:t>
      </w:r>
      <w:r>
        <w:rPr>
          <w:b/>
          <w:color w:val="82BF6A"/>
          <w:spacing w:val="-8"/>
          <w:sz w:val="32"/>
        </w:rPr>
        <w:t>PREVENTION</w:t>
      </w:r>
    </w:p>
    <w:p>
      <w:pPr>
        <w:pStyle w:val="BodyText"/>
        <w:spacing w:before="8"/>
        <w:rPr>
          <w:b/>
          <w:sz w:val="16"/>
        </w:rPr>
      </w:pPr>
    </w:p>
    <w:tbl>
      <w:tblPr>
        <w:tblW w:w="0" w:type="auto"/>
        <w:jc w:val="left"/>
        <w:tblInd w:w="1099"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1008"/>
        <w:gridCol w:w="1152"/>
        <w:gridCol w:w="1181"/>
        <w:gridCol w:w="1411"/>
        <w:gridCol w:w="1181"/>
        <w:gridCol w:w="2103"/>
        <w:gridCol w:w="3202"/>
        <w:gridCol w:w="4058"/>
        <w:gridCol w:w="1758"/>
        <w:gridCol w:w="1758"/>
        <w:gridCol w:w="1672"/>
        <w:gridCol w:w="1847"/>
      </w:tblGrid>
      <w:tr>
        <w:trPr>
          <w:trHeight w:val="990" w:hRule="atLeast"/>
        </w:trPr>
        <w:tc>
          <w:tcPr>
            <w:tcW w:w="1008" w:type="dxa"/>
            <w:tcBorders>
              <w:right w:val="single" w:sz="4" w:space="0" w:color="FFFFFF"/>
            </w:tcBorders>
            <w:shd w:val="clear" w:color="auto" w:fill="A7A9AC"/>
          </w:tcPr>
          <w:p>
            <w:pPr>
              <w:pStyle w:val="TableParagraph"/>
              <w:spacing w:before="177"/>
              <w:rPr>
                <w:b/>
                <w:sz w:val="20"/>
              </w:rPr>
            </w:pPr>
          </w:p>
          <w:p>
            <w:pPr>
              <w:pStyle w:val="TableParagraph"/>
              <w:ind w:left="80"/>
              <w:rPr>
                <w:b/>
                <w:sz w:val="20"/>
              </w:rPr>
            </w:pPr>
            <w:r>
              <w:rPr>
                <w:b/>
                <w:color w:val="FFFFFF"/>
                <w:spacing w:val="-2"/>
                <w:sz w:val="20"/>
              </w:rPr>
              <w:t>Priority</w:t>
            </w:r>
          </w:p>
        </w:tc>
        <w:tc>
          <w:tcPr>
            <w:tcW w:w="1152" w:type="dxa"/>
            <w:tcBorders>
              <w:left w:val="single" w:sz="4" w:space="0" w:color="FFFFFF"/>
              <w:right w:val="single" w:sz="4" w:space="0" w:color="FFFFFF"/>
            </w:tcBorders>
            <w:shd w:val="clear" w:color="auto" w:fill="A7A9AC"/>
          </w:tcPr>
          <w:p>
            <w:pPr>
              <w:pStyle w:val="TableParagraph"/>
              <w:spacing w:before="74"/>
              <w:rPr>
                <w:b/>
                <w:sz w:val="20"/>
              </w:rPr>
            </w:pPr>
          </w:p>
          <w:p>
            <w:pPr>
              <w:pStyle w:val="TableParagraph"/>
              <w:spacing w:line="230" w:lineRule="auto" w:before="1"/>
              <w:ind w:left="79" w:right="522"/>
              <w:rPr>
                <w:b/>
                <w:sz w:val="20"/>
              </w:rPr>
            </w:pPr>
            <w:r>
              <w:rPr>
                <w:b/>
                <w:color w:val="FFFFFF"/>
                <w:spacing w:val="-2"/>
                <w:w w:val="90"/>
                <w:sz w:val="20"/>
              </w:rPr>
              <w:t>Focus </w:t>
            </w:r>
            <w:r>
              <w:rPr>
                <w:b/>
                <w:color w:val="FFFFFF"/>
                <w:spacing w:val="-4"/>
                <w:sz w:val="20"/>
              </w:rPr>
              <w:t>Area</w:t>
            </w:r>
          </w:p>
        </w:tc>
        <w:tc>
          <w:tcPr>
            <w:tcW w:w="1181" w:type="dxa"/>
            <w:tcBorders>
              <w:left w:val="single" w:sz="4" w:space="0" w:color="FFFFFF"/>
              <w:right w:val="single" w:sz="4" w:space="0" w:color="FFFFFF"/>
            </w:tcBorders>
            <w:shd w:val="clear" w:color="auto" w:fill="A7A9AC"/>
          </w:tcPr>
          <w:p>
            <w:pPr>
              <w:pStyle w:val="TableParagraph"/>
              <w:spacing w:line="230" w:lineRule="auto" w:before="195"/>
              <w:ind w:left="79" w:right="551"/>
              <w:rPr>
                <w:b/>
                <w:sz w:val="20"/>
              </w:rPr>
            </w:pPr>
            <w:r>
              <w:rPr>
                <w:b/>
                <w:color w:val="FFFFFF"/>
                <w:spacing w:val="-4"/>
                <w:sz w:val="20"/>
              </w:rPr>
              <w:t>Goal </w:t>
            </w:r>
            <w:r>
              <w:rPr>
                <w:b/>
                <w:color w:val="FFFFFF"/>
                <w:spacing w:val="-2"/>
                <w:w w:val="90"/>
                <w:sz w:val="20"/>
              </w:rPr>
              <w:t>Focus </w:t>
            </w:r>
            <w:r>
              <w:rPr>
                <w:b/>
                <w:color w:val="FFFFFF"/>
                <w:spacing w:val="-4"/>
                <w:sz w:val="20"/>
              </w:rPr>
              <w:t>Area</w:t>
            </w:r>
          </w:p>
        </w:tc>
        <w:tc>
          <w:tcPr>
            <w:tcW w:w="1411" w:type="dxa"/>
            <w:tcBorders>
              <w:left w:val="single" w:sz="4" w:space="0" w:color="FFFFFF"/>
              <w:right w:val="single" w:sz="4" w:space="0" w:color="FFFFFF"/>
            </w:tcBorders>
            <w:shd w:val="clear" w:color="auto" w:fill="A7A9AC"/>
          </w:tcPr>
          <w:p>
            <w:pPr>
              <w:pStyle w:val="TableParagraph"/>
              <w:spacing w:before="177"/>
              <w:rPr>
                <w:b/>
                <w:sz w:val="20"/>
              </w:rPr>
            </w:pPr>
          </w:p>
          <w:p>
            <w:pPr>
              <w:pStyle w:val="TableParagraph"/>
              <w:ind w:left="79"/>
              <w:rPr>
                <w:b/>
                <w:sz w:val="20"/>
              </w:rPr>
            </w:pPr>
            <w:r>
              <w:rPr>
                <w:b/>
                <w:color w:val="FFFFFF"/>
                <w:spacing w:val="-2"/>
                <w:sz w:val="20"/>
              </w:rPr>
              <w:t>Objectives</w:t>
            </w:r>
          </w:p>
        </w:tc>
        <w:tc>
          <w:tcPr>
            <w:tcW w:w="1181" w:type="dxa"/>
            <w:tcBorders>
              <w:left w:val="single" w:sz="4" w:space="0" w:color="FFFFFF"/>
              <w:right w:val="single" w:sz="4" w:space="0" w:color="FFFFFF"/>
            </w:tcBorders>
            <w:shd w:val="clear" w:color="auto" w:fill="A7A9AC"/>
          </w:tcPr>
          <w:p>
            <w:pPr>
              <w:pStyle w:val="TableParagraph"/>
              <w:spacing w:before="177"/>
              <w:rPr>
                <w:b/>
                <w:sz w:val="20"/>
              </w:rPr>
            </w:pPr>
          </w:p>
          <w:p>
            <w:pPr>
              <w:pStyle w:val="TableParagraph"/>
              <w:ind w:left="9" w:right="29"/>
              <w:jc w:val="center"/>
              <w:rPr>
                <w:b/>
                <w:sz w:val="20"/>
              </w:rPr>
            </w:pPr>
            <w:r>
              <w:rPr>
                <w:b/>
                <w:color w:val="FFFFFF"/>
                <w:spacing w:val="-2"/>
                <w:sz w:val="20"/>
              </w:rPr>
              <w:t>Disparities</w:t>
            </w:r>
          </w:p>
        </w:tc>
        <w:tc>
          <w:tcPr>
            <w:tcW w:w="2103" w:type="dxa"/>
            <w:tcBorders>
              <w:left w:val="single" w:sz="4" w:space="0" w:color="FFFFFF"/>
              <w:right w:val="single" w:sz="4" w:space="0" w:color="FFFFFF"/>
            </w:tcBorders>
            <w:shd w:val="clear" w:color="auto" w:fill="A7A9AC"/>
          </w:tcPr>
          <w:p>
            <w:pPr>
              <w:pStyle w:val="TableParagraph"/>
              <w:spacing w:before="177"/>
              <w:rPr>
                <w:b/>
                <w:sz w:val="20"/>
              </w:rPr>
            </w:pPr>
          </w:p>
          <w:p>
            <w:pPr>
              <w:pStyle w:val="TableParagraph"/>
              <w:ind w:left="79"/>
              <w:rPr>
                <w:b/>
                <w:sz w:val="20"/>
              </w:rPr>
            </w:pPr>
            <w:r>
              <w:rPr>
                <w:b/>
                <w:color w:val="FFFFFF"/>
                <w:spacing w:val="-2"/>
                <w:sz w:val="20"/>
              </w:rPr>
              <w:t>Interventions</w:t>
            </w:r>
          </w:p>
        </w:tc>
        <w:tc>
          <w:tcPr>
            <w:tcW w:w="3202" w:type="dxa"/>
            <w:tcBorders>
              <w:left w:val="single" w:sz="4" w:space="0" w:color="FFFFFF"/>
              <w:right w:val="nil"/>
            </w:tcBorders>
            <w:shd w:val="clear" w:color="auto" w:fill="A7A9AC"/>
          </w:tcPr>
          <w:p>
            <w:pPr>
              <w:pStyle w:val="TableParagraph"/>
              <w:spacing w:before="177"/>
              <w:rPr>
                <w:b/>
                <w:sz w:val="20"/>
              </w:rPr>
            </w:pPr>
          </w:p>
          <w:p>
            <w:pPr>
              <w:pStyle w:val="TableParagraph"/>
              <w:ind w:left="88"/>
              <w:rPr>
                <w:b/>
                <w:sz w:val="20"/>
              </w:rPr>
            </w:pPr>
            <w:r>
              <w:rPr>
                <w:b/>
                <w:color w:val="FFFFFF"/>
                <w:sz w:val="20"/>
              </w:rPr>
              <w:t>Family</w:t>
            </w:r>
            <w:r>
              <w:rPr>
                <w:b/>
                <w:color w:val="FFFFFF"/>
                <w:spacing w:val="-12"/>
                <w:sz w:val="20"/>
              </w:rPr>
              <w:t> </w:t>
            </w:r>
            <w:r>
              <w:rPr>
                <w:b/>
                <w:color w:val="FFFFFF"/>
                <w:sz w:val="20"/>
              </w:rPr>
              <w:t>of</w:t>
            </w:r>
            <w:r>
              <w:rPr>
                <w:b/>
                <w:color w:val="FFFFFF"/>
                <w:spacing w:val="-12"/>
                <w:sz w:val="20"/>
              </w:rPr>
              <w:t> </w:t>
            </w:r>
            <w:r>
              <w:rPr>
                <w:b/>
                <w:color w:val="FFFFFF"/>
                <w:spacing w:val="-2"/>
                <w:sz w:val="20"/>
              </w:rPr>
              <w:t>Measures</w:t>
            </w:r>
          </w:p>
        </w:tc>
        <w:tc>
          <w:tcPr>
            <w:tcW w:w="4058" w:type="dxa"/>
            <w:tcBorders>
              <w:left w:val="nil"/>
              <w:right w:val="single" w:sz="4" w:space="0" w:color="FFFFFF"/>
            </w:tcBorders>
            <w:shd w:val="clear" w:color="auto" w:fill="A7A9AC"/>
          </w:tcPr>
          <w:p>
            <w:pPr>
              <w:pStyle w:val="TableParagraph"/>
              <w:spacing w:before="74"/>
              <w:rPr>
                <w:b/>
                <w:sz w:val="20"/>
              </w:rPr>
            </w:pPr>
          </w:p>
          <w:p>
            <w:pPr>
              <w:pStyle w:val="TableParagraph"/>
              <w:spacing w:line="230" w:lineRule="auto" w:before="1"/>
              <w:ind w:left="999" w:right="706"/>
              <w:rPr>
                <w:b/>
                <w:sz w:val="20"/>
              </w:rPr>
            </w:pPr>
            <w:r>
              <w:rPr>
                <w:b/>
                <w:color w:val="FFFFFF"/>
                <w:sz w:val="20"/>
              </w:rPr>
              <w:t>Projected</w:t>
            </w:r>
            <w:r>
              <w:rPr>
                <w:b/>
                <w:color w:val="FFFFFF"/>
                <w:spacing w:val="-14"/>
                <w:sz w:val="20"/>
              </w:rPr>
              <w:t> </w:t>
            </w:r>
            <w:r>
              <w:rPr>
                <w:b/>
                <w:color w:val="FFFFFF"/>
                <w:sz w:val="20"/>
              </w:rPr>
              <w:t>(or</w:t>
            </w:r>
            <w:r>
              <w:rPr>
                <w:b/>
                <w:color w:val="FFFFFF"/>
                <w:spacing w:val="-14"/>
                <w:sz w:val="20"/>
              </w:rPr>
              <w:t> </w:t>
            </w:r>
            <w:r>
              <w:rPr>
                <w:b/>
                <w:color w:val="FFFFFF"/>
                <w:sz w:val="20"/>
              </w:rPr>
              <w:t>completed) Year 1 Intervention</w:t>
            </w:r>
          </w:p>
        </w:tc>
        <w:tc>
          <w:tcPr>
            <w:tcW w:w="1758" w:type="dxa"/>
            <w:tcBorders>
              <w:left w:val="single" w:sz="4" w:space="0" w:color="FFFFFF"/>
              <w:right w:val="single" w:sz="4" w:space="0" w:color="FFFFFF"/>
            </w:tcBorders>
            <w:shd w:val="clear" w:color="auto" w:fill="A7A9AC"/>
          </w:tcPr>
          <w:p>
            <w:pPr>
              <w:pStyle w:val="TableParagraph"/>
              <w:spacing w:before="177"/>
              <w:rPr>
                <w:b/>
                <w:sz w:val="20"/>
              </w:rPr>
            </w:pPr>
          </w:p>
          <w:p>
            <w:pPr>
              <w:pStyle w:val="TableParagraph"/>
              <w:ind w:left="76"/>
              <w:rPr>
                <w:b/>
                <w:sz w:val="20"/>
              </w:rPr>
            </w:pPr>
            <w:r>
              <w:rPr>
                <w:b/>
                <w:color w:val="FFFFFF"/>
                <w:spacing w:val="-2"/>
                <w:sz w:val="20"/>
              </w:rPr>
              <w:t>Projected</w:t>
            </w:r>
            <w:r>
              <w:rPr>
                <w:b/>
                <w:color w:val="FFFFFF"/>
                <w:spacing w:val="-8"/>
                <w:sz w:val="20"/>
              </w:rPr>
              <w:t> </w:t>
            </w:r>
            <w:r>
              <w:rPr>
                <w:b/>
                <w:color w:val="FFFFFF"/>
                <w:spacing w:val="-2"/>
                <w:sz w:val="20"/>
              </w:rPr>
              <w:t>Year</w:t>
            </w:r>
            <w:r>
              <w:rPr>
                <w:b/>
                <w:color w:val="FFFFFF"/>
                <w:spacing w:val="-7"/>
                <w:sz w:val="20"/>
              </w:rPr>
              <w:t> </w:t>
            </w:r>
            <w:r>
              <w:rPr>
                <w:b/>
                <w:color w:val="FFFFFF"/>
                <w:spacing w:val="-10"/>
                <w:sz w:val="20"/>
              </w:rPr>
              <w:t>2</w:t>
            </w:r>
          </w:p>
        </w:tc>
        <w:tc>
          <w:tcPr>
            <w:tcW w:w="1758" w:type="dxa"/>
            <w:tcBorders>
              <w:left w:val="single" w:sz="4" w:space="0" w:color="FFFFFF"/>
              <w:right w:val="single" w:sz="4" w:space="0" w:color="FFFFFF"/>
            </w:tcBorders>
            <w:shd w:val="clear" w:color="auto" w:fill="A7A9AC"/>
          </w:tcPr>
          <w:p>
            <w:pPr>
              <w:pStyle w:val="TableParagraph"/>
              <w:spacing w:before="74"/>
              <w:rPr>
                <w:b/>
                <w:sz w:val="20"/>
              </w:rPr>
            </w:pPr>
          </w:p>
          <w:p>
            <w:pPr>
              <w:pStyle w:val="TableParagraph"/>
              <w:spacing w:line="230" w:lineRule="auto" w:before="1"/>
              <w:ind w:left="75"/>
              <w:rPr>
                <w:b/>
                <w:sz w:val="20"/>
              </w:rPr>
            </w:pPr>
            <w:r>
              <w:rPr>
                <w:b/>
                <w:color w:val="FFFFFF"/>
                <w:spacing w:val="-2"/>
                <w:sz w:val="20"/>
              </w:rPr>
              <w:t>Projected</w:t>
            </w:r>
            <w:r>
              <w:rPr>
                <w:b/>
                <w:color w:val="FFFFFF"/>
                <w:spacing w:val="-12"/>
                <w:sz w:val="20"/>
              </w:rPr>
              <w:t> </w:t>
            </w:r>
            <w:r>
              <w:rPr>
                <w:b/>
                <w:color w:val="FFFFFF"/>
                <w:spacing w:val="-2"/>
                <w:sz w:val="20"/>
              </w:rPr>
              <w:t>Year</w:t>
            </w:r>
            <w:r>
              <w:rPr>
                <w:b/>
                <w:color w:val="FFFFFF"/>
                <w:spacing w:val="-12"/>
                <w:sz w:val="20"/>
              </w:rPr>
              <w:t> </w:t>
            </w:r>
            <w:r>
              <w:rPr>
                <w:b/>
                <w:color w:val="FFFFFF"/>
                <w:spacing w:val="-2"/>
                <w:sz w:val="20"/>
              </w:rPr>
              <w:t>3 Interventions</w:t>
            </w:r>
          </w:p>
        </w:tc>
        <w:tc>
          <w:tcPr>
            <w:tcW w:w="1672" w:type="dxa"/>
            <w:tcBorders>
              <w:left w:val="single" w:sz="4" w:space="0" w:color="FFFFFF"/>
            </w:tcBorders>
            <w:shd w:val="clear" w:color="auto" w:fill="A7A9AC"/>
          </w:tcPr>
          <w:p>
            <w:pPr>
              <w:pStyle w:val="TableParagraph"/>
              <w:spacing w:before="74"/>
              <w:rPr>
                <w:b/>
                <w:sz w:val="20"/>
              </w:rPr>
            </w:pPr>
          </w:p>
          <w:p>
            <w:pPr>
              <w:pStyle w:val="TableParagraph"/>
              <w:spacing w:line="230" w:lineRule="auto" w:before="1"/>
              <w:ind w:left="74"/>
              <w:rPr>
                <w:b/>
                <w:sz w:val="20"/>
              </w:rPr>
            </w:pPr>
            <w:r>
              <w:rPr>
                <w:b/>
                <w:color w:val="FFFFFF"/>
                <w:spacing w:val="-2"/>
                <w:sz w:val="20"/>
              </w:rPr>
              <w:t>Implementation Partner</w:t>
            </w:r>
          </w:p>
        </w:tc>
        <w:tc>
          <w:tcPr>
            <w:tcW w:w="1847" w:type="dxa"/>
            <w:shd w:val="clear" w:color="auto" w:fill="A7A9AC"/>
          </w:tcPr>
          <w:p>
            <w:pPr>
              <w:pStyle w:val="TableParagraph"/>
              <w:spacing w:before="74"/>
              <w:rPr>
                <w:b/>
                <w:sz w:val="20"/>
              </w:rPr>
            </w:pPr>
          </w:p>
          <w:p>
            <w:pPr>
              <w:pStyle w:val="TableParagraph"/>
              <w:spacing w:line="230" w:lineRule="auto" w:before="1"/>
              <w:ind w:left="72" w:right="137"/>
              <w:rPr>
                <w:b/>
                <w:sz w:val="20"/>
              </w:rPr>
            </w:pPr>
            <w:r>
              <w:rPr>
                <w:b/>
                <w:color w:val="FFFFFF"/>
                <w:spacing w:val="-6"/>
                <w:sz w:val="20"/>
              </w:rPr>
              <w:t>Partner</w:t>
            </w:r>
            <w:r>
              <w:rPr>
                <w:b/>
                <w:color w:val="FFFFFF"/>
                <w:spacing w:val="-8"/>
                <w:sz w:val="20"/>
              </w:rPr>
              <w:t> </w:t>
            </w:r>
            <w:r>
              <w:rPr>
                <w:b/>
                <w:color w:val="FFFFFF"/>
                <w:spacing w:val="-6"/>
                <w:sz w:val="20"/>
              </w:rPr>
              <w:t>Role(s) </w:t>
            </w:r>
            <w:r>
              <w:rPr>
                <w:b/>
                <w:color w:val="FFFFFF"/>
                <w:sz w:val="20"/>
              </w:rPr>
              <w:t>and</w:t>
            </w:r>
            <w:r>
              <w:rPr>
                <w:b/>
                <w:color w:val="FFFFFF"/>
                <w:spacing w:val="-8"/>
                <w:sz w:val="20"/>
              </w:rPr>
              <w:t> Resources</w:t>
            </w:r>
          </w:p>
        </w:tc>
      </w:tr>
      <w:tr>
        <w:trPr>
          <w:trHeight w:val="4542" w:hRule="atLeast"/>
        </w:trPr>
        <w:tc>
          <w:tcPr>
            <w:tcW w:w="1008" w:type="dxa"/>
            <w:tcBorders>
              <w:bottom w:val="nil"/>
            </w:tcBorders>
            <w:shd w:val="clear" w:color="auto" w:fill="E6E7E8"/>
          </w:tcPr>
          <w:p>
            <w:pPr>
              <w:pStyle w:val="TableParagraph"/>
              <w:spacing w:line="232" w:lineRule="auto" w:before="101"/>
              <w:ind w:left="90" w:right="191"/>
              <w:jc w:val="both"/>
              <w:rPr>
                <w:sz w:val="18"/>
              </w:rPr>
            </w:pPr>
            <w:r>
              <w:rPr>
                <w:color w:val="105C84"/>
                <w:spacing w:val="-2"/>
                <w:sz w:val="18"/>
              </w:rPr>
              <w:t>Prevent Chronic </w:t>
            </w:r>
            <w:r>
              <w:rPr>
                <w:color w:val="105C84"/>
                <w:spacing w:val="-6"/>
                <w:sz w:val="18"/>
              </w:rPr>
              <w:t>Diseases</w:t>
            </w:r>
          </w:p>
        </w:tc>
        <w:tc>
          <w:tcPr>
            <w:tcW w:w="1152" w:type="dxa"/>
            <w:tcBorders>
              <w:bottom w:val="nil"/>
            </w:tcBorders>
          </w:tcPr>
          <w:p>
            <w:pPr>
              <w:pStyle w:val="TableParagraph"/>
              <w:spacing w:line="232" w:lineRule="auto" w:before="101"/>
              <w:ind w:left="89" w:right="159"/>
              <w:jc w:val="both"/>
              <w:rPr>
                <w:sz w:val="18"/>
              </w:rPr>
            </w:pPr>
            <w:r>
              <w:rPr>
                <w:color w:val="105C84"/>
                <w:spacing w:val="-4"/>
                <w:sz w:val="18"/>
              </w:rPr>
              <w:t>Focus</w:t>
            </w:r>
            <w:r>
              <w:rPr>
                <w:color w:val="105C84"/>
                <w:spacing w:val="-9"/>
                <w:sz w:val="18"/>
              </w:rPr>
              <w:t> </w:t>
            </w:r>
            <w:r>
              <w:rPr>
                <w:color w:val="105C84"/>
                <w:spacing w:val="-4"/>
                <w:sz w:val="18"/>
              </w:rPr>
              <w:t>Area </w:t>
            </w:r>
            <w:r>
              <w:rPr>
                <w:color w:val="105C84"/>
                <w:sz w:val="18"/>
              </w:rPr>
              <w:t>3:</w:t>
            </w:r>
            <w:r>
              <w:rPr>
                <w:color w:val="105C84"/>
                <w:spacing w:val="-13"/>
                <w:sz w:val="18"/>
              </w:rPr>
              <w:t> </w:t>
            </w:r>
            <w:r>
              <w:rPr>
                <w:color w:val="105C84"/>
                <w:sz w:val="18"/>
              </w:rPr>
              <w:t>Tobacco </w:t>
            </w:r>
            <w:r>
              <w:rPr>
                <w:color w:val="105C84"/>
                <w:spacing w:val="-2"/>
                <w:sz w:val="18"/>
              </w:rPr>
              <w:t>prevention</w:t>
            </w:r>
          </w:p>
        </w:tc>
        <w:tc>
          <w:tcPr>
            <w:tcW w:w="1181" w:type="dxa"/>
            <w:tcBorders>
              <w:bottom w:val="nil"/>
            </w:tcBorders>
          </w:tcPr>
          <w:p>
            <w:pPr>
              <w:pStyle w:val="TableParagraph"/>
              <w:spacing w:line="232" w:lineRule="auto" w:before="101"/>
              <w:ind w:left="89" w:right="104"/>
              <w:rPr>
                <w:sz w:val="18"/>
              </w:rPr>
            </w:pPr>
            <w:r>
              <w:rPr>
                <w:color w:val="105C84"/>
                <w:sz w:val="18"/>
              </w:rPr>
              <w:t>Goal 3.2: </w:t>
            </w:r>
            <w:r>
              <w:rPr>
                <w:color w:val="105C84"/>
                <w:spacing w:val="-2"/>
                <w:sz w:val="18"/>
              </w:rPr>
              <w:t>Promote </w:t>
            </w:r>
            <w:r>
              <w:rPr>
                <w:color w:val="105C84"/>
                <w:sz w:val="18"/>
              </w:rPr>
              <w:t>tobacco</w:t>
            </w:r>
            <w:r>
              <w:rPr>
                <w:color w:val="105C84"/>
                <w:spacing w:val="-13"/>
                <w:sz w:val="18"/>
              </w:rPr>
              <w:t> </w:t>
            </w:r>
            <w:r>
              <w:rPr>
                <w:color w:val="105C84"/>
                <w:sz w:val="18"/>
              </w:rPr>
              <w:t>use </w:t>
            </w:r>
            <w:r>
              <w:rPr>
                <w:color w:val="105C84"/>
                <w:spacing w:val="-2"/>
                <w:sz w:val="18"/>
              </w:rPr>
              <w:t>cessation</w:t>
            </w:r>
          </w:p>
        </w:tc>
        <w:tc>
          <w:tcPr>
            <w:tcW w:w="1411" w:type="dxa"/>
            <w:tcBorders>
              <w:bottom w:val="nil"/>
            </w:tcBorders>
          </w:tcPr>
          <w:p>
            <w:pPr>
              <w:pStyle w:val="TableParagraph"/>
              <w:spacing w:line="232" w:lineRule="auto" w:before="101"/>
              <w:ind w:left="89" w:right="61"/>
              <w:rPr>
                <w:sz w:val="18"/>
              </w:rPr>
            </w:pPr>
            <w:r>
              <w:rPr>
                <w:color w:val="105C84"/>
                <w:spacing w:val="-4"/>
                <w:sz w:val="18"/>
              </w:rPr>
              <w:t>3.2.3:</w:t>
            </w:r>
            <w:r>
              <w:rPr>
                <w:color w:val="105C84"/>
                <w:spacing w:val="-9"/>
                <w:sz w:val="18"/>
              </w:rPr>
              <w:t> </w:t>
            </w:r>
            <w:r>
              <w:rPr>
                <w:color w:val="105C84"/>
                <w:spacing w:val="-4"/>
                <w:sz w:val="18"/>
              </w:rPr>
              <w:t>Decrease </w:t>
            </w:r>
            <w:r>
              <w:rPr>
                <w:color w:val="105C84"/>
                <w:sz w:val="18"/>
              </w:rPr>
              <w:t>the prevalence of cigarette smoking by adults ages 18 years</w:t>
            </w:r>
            <w:r>
              <w:rPr>
                <w:color w:val="105C84"/>
                <w:spacing w:val="-15"/>
                <w:sz w:val="18"/>
              </w:rPr>
              <w:t> </w:t>
            </w:r>
            <w:r>
              <w:rPr>
                <w:color w:val="105C84"/>
                <w:sz w:val="18"/>
              </w:rPr>
              <w:t>and</w:t>
            </w:r>
            <w:r>
              <w:rPr>
                <w:color w:val="105C84"/>
                <w:spacing w:val="-12"/>
                <w:sz w:val="18"/>
              </w:rPr>
              <w:t> </w:t>
            </w:r>
            <w:r>
              <w:rPr>
                <w:color w:val="105C84"/>
                <w:sz w:val="18"/>
              </w:rPr>
              <w:t>older</w:t>
            </w:r>
            <w:r>
              <w:rPr>
                <w:color w:val="105C84"/>
                <w:sz w:val="18"/>
              </w:rPr>
              <w:t> (among adults with income less than</w:t>
            </w:r>
          </w:p>
          <w:p>
            <w:pPr>
              <w:pStyle w:val="TableParagraph"/>
              <w:spacing w:line="195" w:lineRule="exact"/>
              <w:ind w:left="89"/>
              <w:rPr>
                <w:sz w:val="18"/>
              </w:rPr>
            </w:pPr>
            <w:r>
              <w:rPr>
                <w:color w:val="105C84"/>
                <w:spacing w:val="-2"/>
                <w:sz w:val="18"/>
              </w:rPr>
              <w:t>$25,000)</w:t>
            </w:r>
          </w:p>
        </w:tc>
        <w:tc>
          <w:tcPr>
            <w:tcW w:w="1181" w:type="dxa"/>
            <w:tcBorders>
              <w:bottom w:val="nil"/>
            </w:tcBorders>
          </w:tcPr>
          <w:p>
            <w:pPr>
              <w:pStyle w:val="TableParagraph"/>
              <w:spacing w:line="232" w:lineRule="auto" w:before="101"/>
              <w:ind w:left="89" w:right="347"/>
              <w:rPr>
                <w:sz w:val="18"/>
              </w:rPr>
            </w:pPr>
            <w:r>
              <w:rPr>
                <w:color w:val="105C84"/>
                <w:spacing w:val="-2"/>
                <w:sz w:val="18"/>
              </w:rPr>
              <w:t>Pregnant mothers</w:t>
            </w:r>
          </w:p>
        </w:tc>
        <w:tc>
          <w:tcPr>
            <w:tcW w:w="2103" w:type="dxa"/>
            <w:tcBorders>
              <w:bottom w:val="nil"/>
            </w:tcBorders>
          </w:tcPr>
          <w:p>
            <w:pPr>
              <w:pStyle w:val="TableParagraph"/>
              <w:spacing w:line="232" w:lineRule="auto" w:before="101"/>
              <w:ind w:left="89" w:right="80"/>
              <w:rPr>
                <w:sz w:val="18"/>
              </w:rPr>
            </w:pPr>
            <w:r>
              <w:rPr>
                <w:color w:val="105C84"/>
                <w:sz w:val="18"/>
              </w:rPr>
              <w:t>3.2.2 Use health communications and media opportunities to promote the treatment of tobacco </w:t>
            </w:r>
            <w:r>
              <w:rPr>
                <w:color w:val="105C84"/>
                <w:sz w:val="18"/>
              </w:rPr>
              <w:t>dependence</w:t>
            </w:r>
            <w:r>
              <w:rPr>
                <w:color w:val="105C84"/>
                <w:sz w:val="18"/>
              </w:rPr>
              <w:t> by targeting smokers with emotionally evocative and graphic messages</w:t>
            </w:r>
            <w:r>
              <w:rPr>
                <w:color w:val="105C84"/>
                <w:spacing w:val="-15"/>
                <w:sz w:val="18"/>
              </w:rPr>
              <w:t> </w:t>
            </w:r>
            <w:r>
              <w:rPr>
                <w:color w:val="105C84"/>
                <w:sz w:val="18"/>
              </w:rPr>
              <w:t>to</w:t>
            </w:r>
            <w:r>
              <w:rPr>
                <w:color w:val="105C84"/>
                <w:spacing w:val="-12"/>
                <w:sz w:val="18"/>
              </w:rPr>
              <w:t> </w:t>
            </w:r>
            <w:r>
              <w:rPr>
                <w:color w:val="105C84"/>
                <w:sz w:val="18"/>
              </w:rPr>
              <w:t>encourage evidence-based quit attempts, to increase awareness of available cessation benefits (especially Medicaid), and to encourage</w:t>
            </w:r>
            <w:r>
              <w:rPr>
                <w:color w:val="105C84"/>
                <w:spacing w:val="40"/>
                <w:sz w:val="18"/>
              </w:rPr>
              <w:t> </w:t>
            </w:r>
            <w:r>
              <w:rPr>
                <w:color w:val="105C84"/>
                <w:sz w:val="18"/>
              </w:rPr>
              <w:t>health care provider involvement with additional assistance from the NYS Smokers' Quitline. (among all adults focusing on pregnant moms)</w:t>
            </w:r>
          </w:p>
        </w:tc>
        <w:tc>
          <w:tcPr>
            <w:tcW w:w="3202" w:type="dxa"/>
            <w:tcBorders>
              <w:bottom w:val="nil"/>
              <w:right w:val="nil"/>
            </w:tcBorders>
          </w:tcPr>
          <w:p>
            <w:pPr>
              <w:pStyle w:val="TableParagraph"/>
              <w:spacing w:line="232" w:lineRule="auto" w:before="100"/>
              <w:ind w:left="88" w:right="1025"/>
              <w:rPr>
                <w:sz w:val="18"/>
              </w:rPr>
            </w:pPr>
            <w:r>
              <w:rPr>
                <w:color w:val="105C84"/>
                <w:sz w:val="18"/>
              </w:rPr>
              <w:t>Mothers &amp; Babies Perinatal</w:t>
            </w:r>
            <w:r>
              <w:rPr>
                <w:color w:val="105C84"/>
                <w:spacing w:val="-15"/>
                <w:sz w:val="18"/>
              </w:rPr>
              <w:t> </w:t>
            </w:r>
            <w:r>
              <w:rPr>
                <w:color w:val="105C84"/>
                <w:sz w:val="18"/>
              </w:rPr>
              <w:t>Network,</w:t>
            </w:r>
            <w:r>
              <w:rPr>
                <w:color w:val="105C84"/>
                <w:spacing w:val="-12"/>
                <w:sz w:val="18"/>
              </w:rPr>
              <w:t> </w:t>
            </w:r>
            <w:r>
              <w:rPr>
                <w:color w:val="105C84"/>
                <w:sz w:val="18"/>
              </w:rPr>
              <w:t>CCHD, CIDS,</w:t>
            </w:r>
            <w:r>
              <w:rPr>
                <w:color w:val="105C84"/>
                <w:spacing w:val="40"/>
                <w:sz w:val="18"/>
              </w:rPr>
              <w:t> </w:t>
            </w:r>
            <w:r>
              <w:rPr>
                <w:color w:val="105C84"/>
                <w:sz w:val="18"/>
              </w:rPr>
              <w:t>and community partners</w:t>
            </w:r>
            <w:r>
              <w:rPr>
                <w:color w:val="105C84"/>
                <w:spacing w:val="38"/>
                <w:sz w:val="18"/>
              </w:rPr>
              <w:t> </w:t>
            </w:r>
            <w:r>
              <w:rPr>
                <w:color w:val="105C84"/>
                <w:sz w:val="18"/>
              </w:rPr>
              <w:t>-</w:t>
            </w:r>
            <w:r>
              <w:rPr>
                <w:color w:val="105C84"/>
                <w:spacing w:val="-7"/>
                <w:sz w:val="18"/>
              </w:rPr>
              <w:t> </w:t>
            </w:r>
            <w:r>
              <w:rPr>
                <w:color w:val="105C84"/>
                <w:sz w:val="18"/>
              </w:rPr>
              <w:t>#</w:t>
            </w:r>
            <w:r>
              <w:rPr>
                <w:color w:val="105C84"/>
                <w:spacing w:val="-7"/>
                <w:sz w:val="18"/>
              </w:rPr>
              <w:t> </w:t>
            </w:r>
            <w:r>
              <w:rPr>
                <w:color w:val="105C84"/>
                <w:sz w:val="18"/>
              </w:rPr>
              <w:t>of</w:t>
            </w:r>
            <w:r>
              <w:rPr>
                <w:color w:val="105C84"/>
                <w:spacing w:val="-7"/>
                <w:sz w:val="18"/>
              </w:rPr>
              <w:t> </w:t>
            </w:r>
            <w:r>
              <w:rPr>
                <w:color w:val="105C84"/>
                <w:sz w:val="18"/>
              </w:rPr>
              <w:t>referrals</w:t>
            </w:r>
            <w:r>
              <w:rPr>
                <w:color w:val="105C84"/>
                <w:spacing w:val="-7"/>
                <w:sz w:val="18"/>
              </w:rPr>
              <w:t> </w:t>
            </w:r>
            <w:r>
              <w:rPr>
                <w:color w:val="105C84"/>
                <w:sz w:val="18"/>
              </w:rPr>
              <w:t>to Quit Kit Program’s phone based,</w:t>
            </w:r>
            <w:r>
              <w:rPr>
                <w:color w:val="105C84"/>
                <w:spacing w:val="-15"/>
                <w:sz w:val="18"/>
              </w:rPr>
              <w:t> </w:t>
            </w:r>
            <w:r>
              <w:rPr>
                <w:color w:val="105C84"/>
                <w:sz w:val="18"/>
              </w:rPr>
              <w:t>smoking</w:t>
            </w:r>
            <w:r>
              <w:rPr>
                <w:color w:val="105C84"/>
                <w:spacing w:val="-12"/>
                <w:sz w:val="18"/>
              </w:rPr>
              <w:t> </w:t>
            </w:r>
            <w:r>
              <w:rPr>
                <w:color w:val="105C84"/>
                <w:sz w:val="18"/>
              </w:rPr>
              <w:t>cessation program</w:t>
            </w:r>
            <w:r>
              <w:rPr>
                <w:color w:val="105C84"/>
                <w:spacing w:val="21"/>
                <w:sz w:val="18"/>
              </w:rPr>
              <w:t> </w:t>
            </w:r>
            <w:r>
              <w:rPr>
                <w:color w:val="105C84"/>
                <w:sz w:val="18"/>
              </w:rPr>
              <w:t>for</w:t>
            </w:r>
            <w:r>
              <w:rPr>
                <w:color w:val="105C84"/>
                <w:spacing w:val="21"/>
                <w:sz w:val="18"/>
              </w:rPr>
              <w:t> </w:t>
            </w:r>
            <w:r>
              <w:rPr>
                <w:color w:val="105C84"/>
                <w:sz w:val="18"/>
              </w:rPr>
              <w:t>pregnant</w:t>
            </w:r>
            <w:r>
              <w:rPr>
                <w:color w:val="105C84"/>
                <w:spacing w:val="80"/>
                <w:sz w:val="18"/>
              </w:rPr>
              <w:t> </w:t>
            </w:r>
            <w:r>
              <w:rPr>
                <w:color w:val="105C84"/>
                <w:sz w:val="18"/>
              </w:rPr>
              <w:t>and parenting women &amp;</w:t>
            </w:r>
          </w:p>
          <w:p>
            <w:pPr>
              <w:pStyle w:val="TableParagraph"/>
              <w:spacing w:line="232" w:lineRule="auto"/>
              <w:ind w:left="88" w:right="927"/>
              <w:rPr>
                <w:sz w:val="18"/>
              </w:rPr>
            </w:pPr>
            <w:r>
              <w:rPr>
                <w:color w:val="105C84"/>
                <w:sz w:val="18"/>
              </w:rPr>
              <w:t>family</w:t>
            </w:r>
            <w:r>
              <w:rPr>
                <w:color w:val="105C84"/>
                <w:spacing w:val="-13"/>
                <w:sz w:val="18"/>
              </w:rPr>
              <w:t> </w:t>
            </w:r>
            <w:r>
              <w:rPr>
                <w:color w:val="105C84"/>
                <w:sz w:val="18"/>
              </w:rPr>
              <w:t>members</w:t>
            </w:r>
            <w:r>
              <w:rPr>
                <w:color w:val="105C84"/>
                <w:spacing w:val="-12"/>
                <w:sz w:val="18"/>
              </w:rPr>
              <w:t> </w:t>
            </w:r>
            <w:r>
              <w:rPr>
                <w:color w:val="105C84"/>
                <w:sz w:val="18"/>
              </w:rPr>
              <w:t>or</w:t>
            </w:r>
            <w:r>
              <w:rPr>
                <w:color w:val="105C84"/>
                <w:spacing w:val="-13"/>
                <w:sz w:val="18"/>
              </w:rPr>
              <w:t> </w:t>
            </w:r>
            <w:r>
              <w:rPr>
                <w:color w:val="105C84"/>
                <w:sz w:val="18"/>
              </w:rPr>
              <w:t>anyone caring for young children based on American Lung Association materials</w:t>
            </w:r>
          </w:p>
          <w:p>
            <w:pPr>
              <w:pStyle w:val="TableParagraph"/>
              <w:spacing w:line="232" w:lineRule="auto" w:before="81"/>
              <w:ind w:left="88" w:right="927"/>
              <w:rPr>
                <w:sz w:val="18"/>
              </w:rPr>
            </w:pPr>
            <w:r>
              <w:rPr>
                <w:color w:val="105C84"/>
                <w:sz w:val="18"/>
              </w:rPr>
              <w:t>URMC Center for Community Health &amp; Prevention</w:t>
            </w:r>
            <w:r>
              <w:rPr>
                <w:color w:val="105C84"/>
                <w:spacing w:val="-15"/>
                <w:sz w:val="18"/>
              </w:rPr>
              <w:t> </w:t>
            </w:r>
            <w:r>
              <w:rPr>
                <w:color w:val="105C84"/>
                <w:sz w:val="18"/>
              </w:rPr>
              <w:t>Stop</w:t>
            </w:r>
            <w:r>
              <w:rPr>
                <w:color w:val="105C84"/>
                <w:spacing w:val="-12"/>
                <w:sz w:val="18"/>
              </w:rPr>
              <w:t> </w:t>
            </w:r>
            <w:r>
              <w:rPr>
                <w:color w:val="105C84"/>
                <w:sz w:val="18"/>
              </w:rPr>
              <w:t>Smoking program available for others, in addition to the NYS Quitline</w:t>
            </w:r>
          </w:p>
          <w:p>
            <w:pPr>
              <w:pStyle w:val="TableParagraph"/>
              <w:spacing w:line="232" w:lineRule="auto" w:before="85"/>
              <w:ind w:left="88" w:right="927"/>
              <w:rPr>
                <w:sz w:val="18"/>
              </w:rPr>
            </w:pPr>
            <w:r>
              <w:rPr>
                <w:color w:val="105C84"/>
                <w:sz w:val="18"/>
              </w:rPr>
              <w:t># of social media posts, outreach, etc.</w:t>
            </w:r>
            <w:r>
              <w:rPr>
                <w:color w:val="105C84"/>
                <w:spacing w:val="40"/>
                <w:sz w:val="18"/>
              </w:rPr>
              <w:t> </w:t>
            </w:r>
            <w:r>
              <w:rPr>
                <w:color w:val="105C84"/>
                <w:sz w:val="18"/>
              </w:rPr>
              <w:t>promoting these programs</w:t>
            </w:r>
          </w:p>
        </w:tc>
        <w:tc>
          <w:tcPr>
            <w:tcW w:w="4058" w:type="dxa"/>
            <w:tcBorders>
              <w:left w:val="nil"/>
              <w:bottom w:val="nil"/>
            </w:tcBorders>
          </w:tcPr>
          <w:p>
            <w:pPr>
              <w:pStyle w:val="TableParagraph"/>
              <w:spacing w:line="232" w:lineRule="auto" w:before="100"/>
              <w:ind w:left="999"/>
              <w:rPr>
                <w:sz w:val="18"/>
              </w:rPr>
            </w:pPr>
            <w:r>
              <w:rPr>
                <w:color w:val="105C84"/>
                <w:sz w:val="18"/>
              </w:rPr>
              <w:t>Increase</w:t>
            </w:r>
            <w:r>
              <w:rPr>
                <w:color w:val="105C84"/>
                <w:spacing w:val="-11"/>
                <w:sz w:val="18"/>
              </w:rPr>
              <w:t> </w:t>
            </w:r>
            <w:r>
              <w:rPr>
                <w:color w:val="105C84"/>
                <w:sz w:val="18"/>
              </w:rPr>
              <w:t>referrals</w:t>
            </w:r>
            <w:r>
              <w:rPr>
                <w:color w:val="105C84"/>
                <w:spacing w:val="-11"/>
                <w:sz w:val="18"/>
              </w:rPr>
              <w:t> </w:t>
            </w:r>
            <w:r>
              <w:rPr>
                <w:color w:val="105C84"/>
                <w:sz w:val="18"/>
              </w:rPr>
              <w:t>to</w:t>
            </w:r>
            <w:r>
              <w:rPr>
                <w:color w:val="105C84"/>
                <w:spacing w:val="-11"/>
                <w:sz w:val="18"/>
              </w:rPr>
              <w:t> </w:t>
            </w:r>
            <w:r>
              <w:rPr>
                <w:color w:val="105C84"/>
                <w:sz w:val="18"/>
              </w:rPr>
              <w:t>Quit</w:t>
            </w:r>
            <w:r>
              <w:rPr>
                <w:color w:val="105C84"/>
                <w:spacing w:val="-11"/>
                <w:sz w:val="18"/>
              </w:rPr>
              <w:t> </w:t>
            </w:r>
            <w:r>
              <w:rPr>
                <w:color w:val="105C84"/>
                <w:sz w:val="18"/>
              </w:rPr>
              <w:t>Kit</w:t>
            </w:r>
            <w:r>
              <w:rPr>
                <w:color w:val="105C84"/>
                <w:spacing w:val="-11"/>
                <w:sz w:val="18"/>
              </w:rPr>
              <w:t> </w:t>
            </w:r>
            <w:r>
              <w:rPr>
                <w:color w:val="105C84"/>
                <w:sz w:val="18"/>
              </w:rPr>
              <w:t>smoking program by 10%</w:t>
            </w:r>
          </w:p>
          <w:p>
            <w:pPr>
              <w:pStyle w:val="TableParagraph"/>
              <w:spacing w:line="232" w:lineRule="auto" w:before="88"/>
              <w:ind w:left="999"/>
              <w:rPr>
                <w:sz w:val="18"/>
              </w:rPr>
            </w:pPr>
            <w:r>
              <w:rPr>
                <w:color w:val="105C84"/>
                <w:sz w:val="18"/>
              </w:rPr>
              <w:t>2 tobacco free outdoor policies </w:t>
            </w:r>
            <w:r>
              <w:rPr>
                <w:color w:val="105C84"/>
                <w:sz w:val="18"/>
              </w:rPr>
              <w:t>by</w:t>
            </w:r>
            <w:r>
              <w:rPr>
                <w:color w:val="105C84"/>
                <w:sz w:val="18"/>
              </w:rPr>
              <w:t> </w:t>
            </w:r>
            <w:r>
              <w:rPr>
                <w:color w:val="105C84"/>
                <w:spacing w:val="-2"/>
                <w:sz w:val="18"/>
              </w:rPr>
              <w:t>6/30/20</w:t>
            </w:r>
          </w:p>
          <w:p>
            <w:pPr>
              <w:pStyle w:val="TableParagraph"/>
              <w:spacing w:before="84"/>
              <w:ind w:left="999"/>
              <w:rPr>
                <w:sz w:val="18"/>
              </w:rPr>
            </w:pPr>
            <w:r>
              <w:rPr>
                <w:color w:val="105C84"/>
                <w:spacing w:val="-2"/>
                <w:sz w:val="18"/>
              </w:rPr>
              <w:t>#</w:t>
            </w:r>
            <w:r>
              <w:rPr>
                <w:color w:val="105C84"/>
                <w:spacing w:val="-8"/>
                <w:sz w:val="18"/>
              </w:rPr>
              <w:t> </w:t>
            </w:r>
            <w:r>
              <w:rPr>
                <w:color w:val="105C84"/>
                <w:spacing w:val="-2"/>
                <w:sz w:val="18"/>
              </w:rPr>
              <w:t>referrals</w:t>
            </w:r>
            <w:r>
              <w:rPr>
                <w:color w:val="105C84"/>
                <w:spacing w:val="-7"/>
                <w:sz w:val="18"/>
              </w:rPr>
              <w:t> </w:t>
            </w:r>
            <w:r>
              <w:rPr>
                <w:color w:val="105C84"/>
                <w:spacing w:val="-2"/>
                <w:sz w:val="18"/>
              </w:rPr>
              <w:t>to</w:t>
            </w:r>
            <w:r>
              <w:rPr>
                <w:color w:val="105C84"/>
                <w:spacing w:val="-7"/>
                <w:sz w:val="18"/>
              </w:rPr>
              <w:t> </w:t>
            </w:r>
            <w:r>
              <w:rPr>
                <w:color w:val="105C84"/>
                <w:spacing w:val="-2"/>
                <w:sz w:val="18"/>
              </w:rPr>
              <w:t>NYS</w:t>
            </w:r>
            <w:r>
              <w:rPr>
                <w:color w:val="105C84"/>
                <w:spacing w:val="-7"/>
                <w:sz w:val="18"/>
              </w:rPr>
              <w:t> </w:t>
            </w:r>
            <w:r>
              <w:rPr>
                <w:color w:val="105C84"/>
                <w:spacing w:val="-2"/>
                <w:sz w:val="18"/>
              </w:rPr>
              <w:t>Quitline</w:t>
            </w:r>
          </w:p>
        </w:tc>
        <w:tc>
          <w:tcPr>
            <w:tcW w:w="1758" w:type="dxa"/>
            <w:tcBorders>
              <w:bottom w:val="nil"/>
            </w:tcBorders>
          </w:tcPr>
          <w:p>
            <w:pPr>
              <w:pStyle w:val="TableParagraph"/>
              <w:spacing w:line="232" w:lineRule="auto" w:before="100"/>
              <w:ind w:left="86" w:right="111"/>
              <w:rPr>
                <w:sz w:val="18"/>
              </w:rPr>
            </w:pPr>
            <w:r>
              <w:rPr>
                <w:color w:val="105C84"/>
                <w:sz w:val="18"/>
              </w:rPr>
              <w:t>Increase referrals to Quit Kit </w:t>
            </w:r>
            <w:r>
              <w:rPr>
                <w:color w:val="105C84"/>
                <w:sz w:val="18"/>
              </w:rPr>
              <w:t>smoking program by 10%</w:t>
            </w:r>
          </w:p>
          <w:p>
            <w:pPr>
              <w:pStyle w:val="TableParagraph"/>
              <w:spacing w:before="80"/>
              <w:rPr>
                <w:b/>
                <w:sz w:val="18"/>
              </w:rPr>
            </w:pPr>
          </w:p>
          <w:p>
            <w:pPr>
              <w:pStyle w:val="TableParagraph"/>
              <w:spacing w:line="232" w:lineRule="auto"/>
              <w:ind w:left="86"/>
              <w:rPr>
                <w:sz w:val="18"/>
              </w:rPr>
            </w:pPr>
            <w:r>
              <w:rPr>
                <w:color w:val="105C84"/>
                <w:sz w:val="18"/>
              </w:rPr>
              <w:t>2 tobacco free outdoor policies </w:t>
            </w:r>
            <w:r>
              <w:rPr>
                <w:color w:val="105C84"/>
                <w:sz w:val="18"/>
              </w:rPr>
              <w:t>by</w:t>
            </w:r>
            <w:r>
              <w:rPr>
                <w:color w:val="105C84"/>
                <w:sz w:val="18"/>
              </w:rPr>
              <w:t> </w:t>
            </w:r>
            <w:r>
              <w:rPr>
                <w:color w:val="105C84"/>
                <w:spacing w:val="-2"/>
                <w:sz w:val="18"/>
              </w:rPr>
              <w:t>6/30/20</w:t>
            </w:r>
          </w:p>
          <w:p>
            <w:pPr>
              <w:pStyle w:val="TableParagraph"/>
              <w:spacing w:line="232" w:lineRule="auto" w:before="88"/>
              <w:ind w:left="86"/>
              <w:rPr>
                <w:sz w:val="18"/>
              </w:rPr>
            </w:pPr>
            <w:r>
              <w:rPr>
                <w:color w:val="105C84"/>
                <w:spacing w:val="-2"/>
                <w:sz w:val="18"/>
              </w:rPr>
              <w:t>#</w:t>
            </w:r>
            <w:r>
              <w:rPr>
                <w:color w:val="105C84"/>
                <w:spacing w:val="-11"/>
                <w:sz w:val="18"/>
              </w:rPr>
              <w:t> </w:t>
            </w:r>
            <w:r>
              <w:rPr>
                <w:color w:val="105C84"/>
                <w:spacing w:val="-2"/>
                <w:sz w:val="18"/>
              </w:rPr>
              <w:t>referrals</w:t>
            </w:r>
            <w:r>
              <w:rPr>
                <w:color w:val="105C84"/>
                <w:spacing w:val="-10"/>
                <w:sz w:val="18"/>
              </w:rPr>
              <w:t> </w:t>
            </w:r>
            <w:r>
              <w:rPr>
                <w:color w:val="105C84"/>
                <w:spacing w:val="-2"/>
                <w:sz w:val="18"/>
              </w:rPr>
              <w:t>to</w:t>
            </w:r>
            <w:r>
              <w:rPr>
                <w:color w:val="105C84"/>
                <w:spacing w:val="-11"/>
                <w:sz w:val="18"/>
              </w:rPr>
              <w:t> </w:t>
            </w:r>
            <w:r>
              <w:rPr>
                <w:color w:val="105C84"/>
                <w:spacing w:val="-2"/>
                <w:sz w:val="18"/>
              </w:rPr>
              <w:t>NYS Quitline</w:t>
            </w:r>
          </w:p>
        </w:tc>
        <w:tc>
          <w:tcPr>
            <w:tcW w:w="1758" w:type="dxa"/>
            <w:tcBorders>
              <w:bottom w:val="nil"/>
            </w:tcBorders>
          </w:tcPr>
          <w:p>
            <w:pPr>
              <w:pStyle w:val="TableParagraph"/>
              <w:spacing w:line="232" w:lineRule="auto" w:before="100"/>
              <w:ind w:left="85" w:right="112"/>
              <w:rPr>
                <w:sz w:val="18"/>
              </w:rPr>
            </w:pPr>
            <w:r>
              <w:rPr>
                <w:color w:val="105C84"/>
                <w:sz w:val="18"/>
              </w:rPr>
              <w:t>Increase referrals to Quit Kit </w:t>
            </w:r>
            <w:r>
              <w:rPr>
                <w:color w:val="105C84"/>
                <w:sz w:val="18"/>
              </w:rPr>
              <w:t>smoking program by 10%</w:t>
            </w:r>
          </w:p>
          <w:p>
            <w:pPr>
              <w:pStyle w:val="TableParagraph"/>
              <w:spacing w:line="232" w:lineRule="auto" w:before="87"/>
              <w:ind w:left="85"/>
              <w:rPr>
                <w:sz w:val="18"/>
              </w:rPr>
            </w:pPr>
            <w:r>
              <w:rPr>
                <w:color w:val="105C84"/>
                <w:spacing w:val="-2"/>
                <w:sz w:val="18"/>
              </w:rPr>
              <w:t>#</w:t>
            </w:r>
            <w:r>
              <w:rPr>
                <w:color w:val="105C84"/>
                <w:spacing w:val="-11"/>
                <w:sz w:val="18"/>
              </w:rPr>
              <w:t> </w:t>
            </w:r>
            <w:r>
              <w:rPr>
                <w:color w:val="105C84"/>
                <w:spacing w:val="-2"/>
                <w:sz w:val="18"/>
              </w:rPr>
              <w:t>referrals</w:t>
            </w:r>
            <w:r>
              <w:rPr>
                <w:color w:val="105C84"/>
                <w:spacing w:val="-10"/>
                <w:sz w:val="18"/>
              </w:rPr>
              <w:t> </w:t>
            </w:r>
            <w:r>
              <w:rPr>
                <w:color w:val="105C84"/>
                <w:spacing w:val="-2"/>
                <w:sz w:val="18"/>
              </w:rPr>
              <w:t>to</w:t>
            </w:r>
            <w:r>
              <w:rPr>
                <w:color w:val="105C84"/>
                <w:spacing w:val="-11"/>
                <w:sz w:val="18"/>
              </w:rPr>
              <w:t> </w:t>
            </w:r>
            <w:r>
              <w:rPr>
                <w:color w:val="105C84"/>
                <w:spacing w:val="-2"/>
                <w:sz w:val="18"/>
              </w:rPr>
              <w:t>NYS Quitline</w:t>
            </w:r>
          </w:p>
        </w:tc>
        <w:tc>
          <w:tcPr>
            <w:tcW w:w="1672" w:type="dxa"/>
            <w:tcBorders>
              <w:bottom w:val="nil"/>
            </w:tcBorders>
          </w:tcPr>
          <w:p>
            <w:pPr>
              <w:pStyle w:val="TableParagraph"/>
              <w:spacing w:line="232" w:lineRule="auto" w:before="100"/>
              <w:ind w:left="84"/>
              <w:rPr>
                <w:sz w:val="18"/>
              </w:rPr>
            </w:pPr>
            <w:r>
              <w:rPr>
                <w:color w:val="105C84"/>
                <w:spacing w:val="-2"/>
                <w:sz w:val="18"/>
              </w:rPr>
              <w:t>Community-</w:t>
            </w:r>
            <w:r>
              <w:rPr>
                <w:color w:val="105C84"/>
                <w:spacing w:val="-2"/>
                <w:sz w:val="18"/>
              </w:rPr>
              <w:t>based organizations</w:t>
            </w:r>
          </w:p>
        </w:tc>
        <w:tc>
          <w:tcPr>
            <w:tcW w:w="1847" w:type="dxa"/>
            <w:tcBorders>
              <w:bottom w:val="nil"/>
            </w:tcBorders>
          </w:tcPr>
          <w:p>
            <w:pPr>
              <w:pStyle w:val="TableParagraph"/>
              <w:spacing w:line="232" w:lineRule="auto" w:before="100"/>
              <w:ind w:left="82" w:right="137"/>
              <w:rPr>
                <w:sz w:val="18"/>
              </w:rPr>
            </w:pPr>
            <w:r>
              <w:rPr>
                <w:color w:val="105C84"/>
                <w:sz w:val="18"/>
              </w:rPr>
              <w:t>Mothers</w:t>
            </w:r>
            <w:r>
              <w:rPr>
                <w:color w:val="105C84"/>
                <w:spacing w:val="-15"/>
                <w:sz w:val="18"/>
              </w:rPr>
              <w:t> </w:t>
            </w:r>
            <w:r>
              <w:rPr>
                <w:color w:val="105C84"/>
                <w:sz w:val="18"/>
              </w:rPr>
              <w:t>&amp;</w:t>
            </w:r>
            <w:r>
              <w:rPr>
                <w:color w:val="105C84"/>
                <w:spacing w:val="-12"/>
                <w:sz w:val="18"/>
              </w:rPr>
              <w:t> </w:t>
            </w:r>
            <w:r>
              <w:rPr>
                <w:color w:val="105C84"/>
                <w:sz w:val="18"/>
              </w:rPr>
              <w:t>Babies, </w:t>
            </w:r>
            <w:r>
              <w:rPr>
                <w:color w:val="105C84"/>
                <w:spacing w:val="-2"/>
                <w:sz w:val="18"/>
              </w:rPr>
              <w:t>CCHD,CIDS,</w:t>
            </w:r>
          </w:p>
          <w:p>
            <w:pPr>
              <w:pStyle w:val="TableParagraph"/>
              <w:spacing w:line="232" w:lineRule="auto"/>
              <w:ind w:left="82" w:right="137"/>
              <w:rPr>
                <w:sz w:val="18"/>
              </w:rPr>
            </w:pPr>
            <w:r>
              <w:rPr>
                <w:color w:val="105C84"/>
                <w:sz w:val="18"/>
              </w:rPr>
              <w:t>STTAC responsible for intervention providing needed staff and resources to meet measures </w:t>
            </w:r>
            <w:r>
              <w:rPr>
                <w:color w:val="105C84"/>
                <w:spacing w:val="-2"/>
                <w:sz w:val="18"/>
              </w:rPr>
              <w:t>with</w:t>
            </w:r>
            <w:r>
              <w:rPr>
                <w:color w:val="105C84"/>
                <w:spacing w:val="-13"/>
                <w:sz w:val="18"/>
              </w:rPr>
              <w:t> </w:t>
            </w:r>
            <w:r>
              <w:rPr>
                <w:color w:val="105C84"/>
                <w:spacing w:val="-2"/>
                <w:sz w:val="18"/>
              </w:rPr>
              <w:t>assistance</w:t>
            </w:r>
            <w:r>
              <w:rPr>
                <w:color w:val="105C84"/>
                <w:spacing w:val="-10"/>
                <w:sz w:val="18"/>
              </w:rPr>
              <w:t> </w:t>
            </w:r>
            <w:r>
              <w:rPr>
                <w:color w:val="105C84"/>
                <w:spacing w:val="-2"/>
                <w:sz w:val="18"/>
              </w:rPr>
              <w:t>from </w:t>
            </w:r>
            <w:r>
              <w:rPr>
                <w:color w:val="105C84"/>
                <w:sz w:val="18"/>
              </w:rPr>
              <w:t>Health Priorities Partners</w:t>
            </w:r>
            <w:r>
              <w:rPr>
                <w:color w:val="105C84"/>
                <w:spacing w:val="-4"/>
                <w:sz w:val="18"/>
              </w:rPr>
              <w:t> </w:t>
            </w:r>
            <w:r>
              <w:rPr>
                <w:color w:val="105C84"/>
                <w:sz w:val="18"/>
              </w:rPr>
              <w:t>as</w:t>
            </w:r>
            <w:r>
              <w:rPr>
                <w:color w:val="105C84"/>
                <w:spacing w:val="-4"/>
                <w:sz w:val="18"/>
              </w:rPr>
              <w:t> </w:t>
            </w:r>
            <w:r>
              <w:rPr>
                <w:color w:val="105C84"/>
                <w:sz w:val="18"/>
              </w:rPr>
              <w:t>needed</w:t>
            </w:r>
          </w:p>
        </w:tc>
      </w:tr>
      <w:tr>
        <w:trPr>
          <w:trHeight w:val="677" w:hRule="atLeast"/>
        </w:trPr>
        <w:tc>
          <w:tcPr>
            <w:tcW w:w="1008" w:type="dxa"/>
            <w:tcBorders>
              <w:top w:val="nil"/>
              <w:bottom w:val="nil"/>
            </w:tcBorders>
            <w:shd w:val="clear" w:color="auto" w:fill="E6E7E8"/>
          </w:tcPr>
          <w:p>
            <w:pPr>
              <w:pStyle w:val="TableParagraph"/>
              <w:rPr>
                <w:rFonts w:ascii="Times New Roman"/>
                <w:sz w:val="18"/>
              </w:rPr>
            </w:pPr>
          </w:p>
        </w:tc>
        <w:tc>
          <w:tcPr>
            <w:tcW w:w="1152" w:type="dxa"/>
            <w:tcBorders>
              <w:top w:val="nil"/>
              <w:bottom w:val="nil"/>
            </w:tcBorders>
          </w:tcPr>
          <w:p>
            <w:pPr>
              <w:pStyle w:val="TableParagraph"/>
              <w:rPr>
                <w:rFonts w:ascii="Times New Roman"/>
                <w:sz w:val="18"/>
              </w:rPr>
            </w:pPr>
          </w:p>
        </w:tc>
        <w:tc>
          <w:tcPr>
            <w:tcW w:w="1181" w:type="dxa"/>
            <w:tcBorders>
              <w:top w:val="nil"/>
            </w:tcBorders>
          </w:tcPr>
          <w:p>
            <w:pPr>
              <w:pStyle w:val="TableParagraph"/>
              <w:rPr>
                <w:rFonts w:ascii="Times New Roman"/>
                <w:sz w:val="18"/>
              </w:rPr>
            </w:pPr>
          </w:p>
        </w:tc>
        <w:tc>
          <w:tcPr>
            <w:tcW w:w="1411" w:type="dxa"/>
            <w:tcBorders>
              <w:top w:val="nil"/>
            </w:tcBorders>
          </w:tcPr>
          <w:p>
            <w:pPr>
              <w:pStyle w:val="TableParagraph"/>
              <w:rPr>
                <w:rFonts w:ascii="Times New Roman"/>
                <w:sz w:val="18"/>
              </w:rPr>
            </w:pPr>
          </w:p>
        </w:tc>
        <w:tc>
          <w:tcPr>
            <w:tcW w:w="1181" w:type="dxa"/>
            <w:tcBorders>
              <w:top w:val="nil"/>
            </w:tcBorders>
          </w:tcPr>
          <w:p>
            <w:pPr>
              <w:pStyle w:val="TableParagraph"/>
              <w:rPr>
                <w:rFonts w:ascii="Times New Roman"/>
                <w:sz w:val="18"/>
              </w:rPr>
            </w:pPr>
          </w:p>
        </w:tc>
        <w:tc>
          <w:tcPr>
            <w:tcW w:w="2103" w:type="dxa"/>
            <w:tcBorders>
              <w:top w:val="nil"/>
            </w:tcBorders>
          </w:tcPr>
          <w:p>
            <w:pPr>
              <w:pStyle w:val="TableParagraph"/>
              <w:rPr>
                <w:rFonts w:ascii="Times New Roman"/>
                <w:sz w:val="18"/>
              </w:rPr>
            </w:pPr>
          </w:p>
        </w:tc>
        <w:tc>
          <w:tcPr>
            <w:tcW w:w="3202" w:type="dxa"/>
            <w:tcBorders>
              <w:top w:val="nil"/>
              <w:right w:val="nil"/>
            </w:tcBorders>
          </w:tcPr>
          <w:p>
            <w:pPr>
              <w:pStyle w:val="TableParagraph"/>
              <w:spacing w:line="232" w:lineRule="auto" w:before="28"/>
              <w:ind w:left="88" w:right="927"/>
              <w:rPr>
                <w:sz w:val="18"/>
              </w:rPr>
            </w:pPr>
            <w:r>
              <w:rPr>
                <w:color w:val="105C84"/>
                <w:sz w:val="18"/>
              </w:rPr>
              <w:t>STTAC</w:t>
            </w:r>
            <w:r>
              <w:rPr>
                <w:color w:val="105C84"/>
                <w:spacing w:val="-11"/>
                <w:sz w:val="18"/>
              </w:rPr>
              <w:t> </w:t>
            </w:r>
            <w:r>
              <w:rPr>
                <w:color w:val="105C84"/>
                <w:sz w:val="18"/>
              </w:rPr>
              <w:t>–</w:t>
            </w:r>
            <w:r>
              <w:rPr>
                <w:color w:val="105C84"/>
                <w:spacing w:val="-11"/>
                <w:sz w:val="18"/>
              </w:rPr>
              <w:t> </w:t>
            </w:r>
            <w:r>
              <w:rPr>
                <w:color w:val="105C84"/>
                <w:sz w:val="18"/>
              </w:rPr>
              <w:t>concentrate</w:t>
            </w:r>
            <w:r>
              <w:rPr>
                <w:color w:val="105C84"/>
                <w:spacing w:val="-11"/>
                <w:sz w:val="18"/>
              </w:rPr>
              <w:t> </w:t>
            </w:r>
            <w:r>
              <w:rPr>
                <w:color w:val="105C84"/>
                <w:sz w:val="18"/>
              </w:rPr>
              <w:t>on policies</w:t>
            </w:r>
            <w:r>
              <w:rPr>
                <w:color w:val="105C84"/>
                <w:spacing w:val="-11"/>
                <w:sz w:val="18"/>
              </w:rPr>
              <w:t> </w:t>
            </w:r>
            <w:r>
              <w:rPr>
                <w:color w:val="105C84"/>
                <w:sz w:val="18"/>
              </w:rPr>
              <w:t>for</w:t>
            </w:r>
            <w:r>
              <w:rPr>
                <w:color w:val="105C84"/>
                <w:spacing w:val="-11"/>
                <w:sz w:val="18"/>
              </w:rPr>
              <w:t> </w:t>
            </w:r>
            <w:r>
              <w:rPr>
                <w:color w:val="105C84"/>
                <w:sz w:val="18"/>
              </w:rPr>
              <w:t>those</w:t>
            </w:r>
            <w:r>
              <w:rPr>
                <w:color w:val="105C84"/>
                <w:spacing w:val="-11"/>
                <w:sz w:val="18"/>
              </w:rPr>
              <w:t> </w:t>
            </w:r>
            <w:r>
              <w:rPr>
                <w:color w:val="105C84"/>
                <w:sz w:val="18"/>
              </w:rPr>
              <w:t>serving pregnant moms</w:t>
            </w:r>
          </w:p>
        </w:tc>
        <w:tc>
          <w:tcPr>
            <w:tcW w:w="4058" w:type="dxa"/>
            <w:tcBorders>
              <w:top w:val="nil"/>
              <w:left w:val="nil"/>
            </w:tcBorders>
          </w:tcPr>
          <w:p>
            <w:pPr>
              <w:pStyle w:val="TableParagraph"/>
              <w:rPr>
                <w:rFonts w:ascii="Times New Roman"/>
                <w:sz w:val="18"/>
              </w:rPr>
            </w:pPr>
          </w:p>
        </w:tc>
        <w:tc>
          <w:tcPr>
            <w:tcW w:w="1758" w:type="dxa"/>
            <w:tcBorders>
              <w:top w:val="nil"/>
            </w:tcBorders>
          </w:tcPr>
          <w:p>
            <w:pPr>
              <w:pStyle w:val="TableParagraph"/>
              <w:rPr>
                <w:rFonts w:ascii="Times New Roman"/>
                <w:sz w:val="18"/>
              </w:rPr>
            </w:pPr>
          </w:p>
        </w:tc>
        <w:tc>
          <w:tcPr>
            <w:tcW w:w="1758" w:type="dxa"/>
            <w:tcBorders>
              <w:top w:val="nil"/>
            </w:tcBorders>
          </w:tcPr>
          <w:p>
            <w:pPr>
              <w:pStyle w:val="TableParagraph"/>
              <w:rPr>
                <w:rFonts w:ascii="Times New Roman"/>
                <w:sz w:val="18"/>
              </w:rPr>
            </w:pPr>
          </w:p>
        </w:tc>
        <w:tc>
          <w:tcPr>
            <w:tcW w:w="1672" w:type="dxa"/>
            <w:tcBorders>
              <w:top w:val="nil"/>
            </w:tcBorders>
          </w:tcPr>
          <w:p>
            <w:pPr>
              <w:pStyle w:val="TableParagraph"/>
              <w:rPr>
                <w:rFonts w:ascii="Times New Roman"/>
                <w:sz w:val="18"/>
              </w:rPr>
            </w:pPr>
          </w:p>
        </w:tc>
        <w:tc>
          <w:tcPr>
            <w:tcW w:w="1847" w:type="dxa"/>
            <w:tcBorders>
              <w:top w:val="nil"/>
            </w:tcBorders>
          </w:tcPr>
          <w:p>
            <w:pPr>
              <w:pStyle w:val="TableParagraph"/>
              <w:rPr>
                <w:rFonts w:ascii="Times New Roman"/>
                <w:sz w:val="18"/>
              </w:rPr>
            </w:pPr>
          </w:p>
        </w:tc>
      </w:tr>
      <w:tr>
        <w:trPr>
          <w:trHeight w:val="2530" w:hRule="atLeast"/>
        </w:trPr>
        <w:tc>
          <w:tcPr>
            <w:tcW w:w="1008" w:type="dxa"/>
            <w:tcBorders>
              <w:top w:val="nil"/>
              <w:bottom w:val="nil"/>
            </w:tcBorders>
            <w:shd w:val="clear" w:color="auto" w:fill="E6E7E8"/>
          </w:tcPr>
          <w:p>
            <w:pPr>
              <w:pStyle w:val="TableParagraph"/>
              <w:rPr>
                <w:rFonts w:ascii="Times New Roman"/>
                <w:sz w:val="18"/>
              </w:rPr>
            </w:pPr>
          </w:p>
        </w:tc>
        <w:tc>
          <w:tcPr>
            <w:tcW w:w="1152" w:type="dxa"/>
            <w:tcBorders>
              <w:top w:val="nil"/>
              <w:bottom w:val="nil"/>
            </w:tcBorders>
          </w:tcPr>
          <w:p>
            <w:pPr>
              <w:pStyle w:val="TableParagraph"/>
              <w:rPr>
                <w:rFonts w:ascii="Times New Roman"/>
                <w:sz w:val="18"/>
              </w:rPr>
            </w:pPr>
          </w:p>
        </w:tc>
        <w:tc>
          <w:tcPr>
            <w:tcW w:w="1181" w:type="dxa"/>
            <w:tcBorders>
              <w:bottom w:val="nil"/>
            </w:tcBorders>
          </w:tcPr>
          <w:p>
            <w:pPr>
              <w:pStyle w:val="TableParagraph"/>
              <w:spacing w:line="232" w:lineRule="auto" w:before="100"/>
              <w:ind w:left="89"/>
              <w:rPr>
                <w:sz w:val="18"/>
              </w:rPr>
            </w:pPr>
            <w:r>
              <w:rPr>
                <w:color w:val="105C84"/>
                <w:sz w:val="18"/>
              </w:rPr>
              <w:t>Goal 3.3: </w:t>
            </w:r>
            <w:r>
              <w:rPr>
                <w:color w:val="105C84"/>
                <w:spacing w:val="-2"/>
                <w:sz w:val="18"/>
              </w:rPr>
              <w:t>Eliminate </w:t>
            </w:r>
            <w:r>
              <w:rPr>
                <w:color w:val="105C84"/>
                <w:sz w:val="18"/>
              </w:rPr>
              <w:t>exposure to </w:t>
            </w:r>
            <w:r>
              <w:rPr>
                <w:color w:val="105C84"/>
                <w:spacing w:val="-2"/>
                <w:sz w:val="18"/>
              </w:rPr>
              <w:t>secondhand smoke</w:t>
            </w:r>
          </w:p>
        </w:tc>
        <w:tc>
          <w:tcPr>
            <w:tcW w:w="1411" w:type="dxa"/>
          </w:tcPr>
          <w:p>
            <w:pPr>
              <w:pStyle w:val="TableParagraph"/>
              <w:spacing w:line="232" w:lineRule="auto" w:before="100"/>
              <w:ind w:left="89" w:right="61"/>
              <w:rPr>
                <w:sz w:val="18"/>
              </w:rPr>
            </w:pPr>
            <w:r>
              <w:rPr>
                <w:color w:val="105C84"/>
                <w:spacing w:val="-4"/>
                <w:sz w:val="18"/>
              </w:rPr>
              <w:t>3.3.1:</w:t>
            </w:r>
            <w:r>
              <w:rPr>
                <w:color w:val="105C84"/>
                <w:spacing w:val="-9"/>
                <w:sz w:val="18"/>
              </w:rPr>
              <w:t> </w:t>
            </w:r>
            <w:r>
              <w:rPr>
                <w:color w:val="105C84"/>
                <w:spacing w:val="-4"/>
                <w:sz w:val="18"/>
              </w:rPr>
              <w:t>Decrease </w:t>
            </w:r>
            <w:r>
              <w:rPr>
                <w:color w:val="105C84"/>
                <w:sz w:val="18"/>
              </w:rPr>
              <w:t>the</w:t>
            </w:r>
            <w:r>
              <w:rPr>
                <w:color w:val="105C84"/>
                <w:spacing w:val="-13"/>
                <w:sz w:val="18"/>
              </w:rPr>
              <w:t> </w:t>
            </w:r>
            <w:r>
              <w:rPr>
                <w:color w:val="105C84"/>
                <w:sz w:val="18"/>
              </w:rPr>
              <w:t>percentage</w:t>
            </w:r>
            <w:r>
              <w:rPr>
                <w:color w:val="105C84"/>
                <w:sz w:val="18"/>
              </w:rPr>
              <w:t> of adults (non-smokers)</w:t>
            </w:r>
            <w:r>
              <w:rPr>
                <w:color w:val="105C84"/>
                <w:spacing w:val="-13"/>
                <w:sz w:val="18"/>
              </w:rPr>
              <w:t> </w:t>
            </w:r>
            <w:r>
              <w:rPr>
                <w:color w:val="105C84"/>
                <w:sz w:val="18"/>
              </w:rPr>
              <w:t>living in multi-unit housing who were exposed to secondhand smoke in their </w:t>
            </w:r>
            <w:r>
              <w:rPr>
                <w:color w:val="105C84"/>
                <w:spacing w:val="-2"/>
                <w:sz w:val="18"/>
              </w:rPr>
              <w:t>homes</w:t>
            </w:r>
          </w:p>
        </w:tc>
        <w:tc>
          <w:tcPr>
            <w:tcW w:w="1181" w:type="dxa"/>
          </w:tcPr>
          <w:p>
            <w:pPr>
              <w:pStyle w:val="TableParagraph"/>
              <w:spacing w:before="94"/>
              <w:ind w:right="29"/>
              <w:jc w:val="center"/>
              <w:rPr>
                <w:sz w:val="18"/>
              </w:rPr>
            </w:pPr>
            <w:r>
              <w:rPr>
                <w:color w:val="105C84"/>
                <w:sz w:val="18"/>
              </w:rPr>
              <w:t>Low</w:t>
            </w:r>
            <w:r>
              <w:rPr>
                <w:color w:val="105C84"/>
                <w:spacing w:val="-11"/>
                <w:sz w:val="18"/>
              </w:rPr>
              <w:t> </w:t>
            </w:r>
            <w:r>
              <w:rPr>
                <w:color w:val="105C84"/>
                <w:spacing w:val="-2"/>
                <w:sz w:val="18"/>
              </w:rPr>
              <w:t>income</w:t>
            </w:r>
          </w:p>
        </w:tc>
        <w:tc>
          <w:tcPr>
            <w:tcW w:w="2103" w:type="dxa"/>
          </w:tcPr>
          <w:p>
            <w:pPr>
              <w:pStyle w:val="TableParagraph"/>
              <w:spacing w:line="232" w:lineRule="auto" w:before="99"/>
              <w:ind w:left="89"/>
              <w:rPr>
                <w:sz w:val="18"/>
              </w:rPr>
            </w:pPr>
            <w:r>
              <w:rPr>
                <w:color w:val="105C84"/>
                <w:spacing w:val="-2"/>
                <w:sz w:val="18"/>
              </w:rPr>
              <w:t>3.3.1:</w:t>
            </w:r>
            <w:r>
              <w:rPr>
                <w:color w:val="105C84"/>
                <w:spacing w:val="-13"/>
                <w:sz w:val="18"/>
              </w:rPr>
              <w:t> </w:t>
            </w:r>
            <w:r>
              <w:rPr>
                <w:color w:val="105C84"/>
                <w:spacing w:val="-2"/>
                <w:sz w:val="18"/>
              </w:rPr>
              <w:t>Promote</w:t>
            </w:r>
            <w:r>
              <w:rPr>
                <w:color w:val="105C84"/>
                <w:spacing w:val="-10"/>
                <w:sz w:val="18"/>
              </w:rPr>
              <w:t> </w:t>
            </w:r>
            <w:r>
              <w:rPr>
                <w:color w:val="105C84"/>
                <w:spacing w:val="-2"/>
                <w:sz w:val="18"/>
              </w:rPr>
              <w:t>smoke</w:t>
            </w:r>
            <w:r>
              <w:rPr>
                <w:color w:val="105C84"/>
                <w:spacing w:val="-2"/>
                <w:sz w:val="18"/>
              </w:rPr>
              <w:t>-</w:t>
            </w:r>
            <w:r>
              <w:rPr>
                <w:color w:val="105C84"/>
                <w:sz w:val="18"/>
              </w:rPr>
              <w:t>free and aerosol-free (from electronic</w:t>
            </w:r>
          </w:p>
          <w:p>
            <w:pPr>
              <w:pStyle w:val="TableParagraph"/>
              <w:spacing w:line="232" w:lineRule="auto"/>
              <w:ind w:left="89" w:right="173"/>
              <w:rPr>
                <w:sz w:val="18"/>
              </w:rPr>
            </w:pPr>
            <w:r>
              <w:rPr>
                <w:color w:val="105C84"/>
                <w:sz w:val="18"/>
              </w:rPr>
              <w:t>vapor products) policies in multi-unit housing, including apartment</w:t>
            </w:r>
            <w:r>
              <w:rPr>
                <w:color w:val="105C84"/>
                <w:spacing w:val="-13"/>
                <w:sz w:val="18"/>
              </w:rPr>
              <w:t> </w:t>
            </w:r>
            <w:r>
              <w:rPr>
                <w:color w:val="105C84"/>
                <w:sz w:val="18"/>
              </w:rPr>
              <w:t>complexes, condominiums and</w:t>
            </w:r>
          </w:p>
          <w:p>
            <w:pPr>
              <w:pStyle w:val="TableParagraph"/>
              <w:spacing w:line="232" w:lineRule="auto"/>
              <w:ind w:left="89" w:right="89"/>
              <w:rPr>
                <w:sz w:val="18"/>
              </w:rPr>
            </w:pPr>
            <w:r>
              <w:rPr>
                <w:color w:val="105C84"/>
                <w:sz w:val="18"/>
              </w:rPr>
              <w:t>co-ops,</w:t>
            </w:r>
            <w:r>
              <w:rPr>
                <w:color w:val="105C84"/>
                <w:spacing w:val="-15"/>
                <w:sz w:val="18"/>
              </w:rPr>
              <w:t> </w:t>
            </w:r>
            <w:r>
              <w:rPr>
                <w:color w:val="105C84"/>
                <w:sz w:val="18"/>
              </w:rPr>
              <w:t>especially</w:t>
            </w:r>
            <w:r>
              <w:rPr>
                <w:color w:val="105C84"/>
                <w:spacing w:val="-12"/>
                <w:sz w:val="18"/>
              </w:rPr>
              <w:t> </w:t>
            </w:r>
            <w:r>
              <w:rPr>
                <w:color w:val="105C84"/>
                <w:sz w:val="18"/>
              </w:rPr>
              <w:t>those that house low-SES </w:t>
            </w:r>
            <w:r>
              <w:rPr>
                <w:color w:val="105C84"/>
                <w:spacing w:val="-2"/>
                <w:sz w:val="18"/>
              </w:rPr>
              <w:t>residents</w:t>
            </w:r>
          </w:p>
        </w:tc>
        <w:tc>
          <w:tcPr>
            <w:tcW w:w="3202" w:type="dxa"/>
            <w:tcBorders>
              <w:right w:val="nil"/>
            </w:tcBorders>
          </w:tcPr>
          <w:p>
            <w:pPr>
              <w:pStyle w:val="TableParagraph"/>
              <w:spacing w:line="232" w:lineRule="auto" w:before="99"/>
              <w:ind w:left="88" w:right="1052"/>
              <w:rPr>
                <w:sz w:val="18"/>
              </w:rPr>
            </w:pPr>
            <w:r>
              <w:rPr>
                <w:color w:val="105C84"/>
                <w:spacing w:val="-2"/>
                <w:sz w:val="18"/>
              </w:rPr>
              <w:t>STTAC</w:t>
            </w:r>
            <w:r>
              <w:rPr>
                <w:color w:val="105C84"/>
                <w:spacing w:val="-13"/>
                <w:sz w:val="18"/>
              </w:rPr>
              <w:t> </w:t>
            </w:r>
            <w:r>
              <w:rPr>
                <w:color w:val="105C84"/>
                <w:spacing w:val="-2"/>
                <w:sz w:val="18"/>
              </w:rPr>
              <w:t>-</w:t>
            </w:r>
            <w:r>
              <w:rPr>
                <w:color w:val="105C84"/>
                <w:spacing w:val="-10"/>
                <w:sz w:val="18"/>
              </w:rPr>
              <w:t> </w:t>
            </w:r>
            <w:r>
              <w:rPr>
                <w:color w:val="105C84"/>
                <w:spacing w:val="-2"/>
                <w:sz w:val="18"/>
              </w:rPr>
              <w:t>#</w:t>
            </w:r>
            <w:r>
              <w:rPr>
                <w:color w:val="105C84"/>
                <w:spacing w:val="-11"/>
                <w:sz w:val="18"/>
              </w:rPr>
              <w:t> </w:t>
            </w:r>
            <w:r>
              <w:rPr>
                <w:color w:val="105C84"/>
                <w:spacing w:val="-2"/>
                <w:sz w:val="18"/>
              </w:rPr>
              <w:t>of</w:t>
            </w:r>
            <w:r>
              <w:rPr>
                <w:color w:val="105C84"/>
                <w:spacing w:val="-10"/>
                <w:sz w:val="18"/>
              </w:rPr>
              <w:t> </w:t>
            </w:r>
            <w:r>
              <w:rPr>
                <w:color w:val="105C84"/>
                <w:spacing w:val="-2"/>
                <w:sz w:val="18"/>
              </w:rPr>
              <w:t>earned </w:t>
            </w:r>
            <w:r>
              <w:rPr>
                <w:color w:val="105C84"/>
                <w:sz w:val="18"/>
              </w:rPr>
              <w:t>media outreaches</w:t>
            </w:r>
          </w:p>
          <w:p>
            <w:pPr>
              <w:pStyle w:val="TableParagraph"/>
              <w:spacing w:line="232" w:lineRule="auto" w:before="89"/>
              <w:ind w:left="88" w:right="927"/>
              <w:rPr>
                <w:sz w:val="18"/>
              </w:rPr>
            </w:pPr>
            <w:r>
              <w:rPr>
                <w:color w:val="105C84"/>
                <w:sz w:val="18"/>
              </w:rPr>
              <w:t># venues/events information</w:t>
            </w:r>
            <w:r>
              <w:rPr>
                <w:color w:val="105C84"/>
                <w:spacing w:val="25"/>
                <w:sz w:val="18"/>
              </w:rPr>
              <w:t> </w:t>
            </w:r>
            <w:r>
              <w:rPr>
                <w:color w:val="105C84"/>
                <w:spacing w:val="-2"/>
                <w:sz w:val="18"/>
              </w:rPr>
              <w:t>disseminated</w:t>
            </w:r>
          </w:p>
          <w:p>
            <w:pPr>
              <w:pStyle w:val="TableParagraph"/>
              <w:spacing w:before="83"/>
              <w:ind w:left="88"/>
              <w:rPr>
                <w:sz w:val="18"/>
              </w:rPr>
            </w:pPr>
            <w:r>
              <w:rPr>
                <w:color w:val="105C84"/>
                <w:spacing w:val="-2"/>
                <w:sz w:val="18"/>
              </w:rPr>
              <w:t>#</w:t>
            </w:r>
            <w:r>
              <w:rPr>
                <w:color w:val="105C84"/>
                <w:sz w:val="18"/>
              </w:rPr>
              <w:t> </w:t>
            </w:r>
            <w:r>
              <w:rPr>
                <w:color w:val="105C84"/>
                <w:spacing w:val="-2"/>
                <w:sz w:val="18"/>
              </w:rPr>
              <w:t>stakeholders</w:t>
            </w:r>
            <w:r>
              <w:rPr>
                <w:color w:val="105C84"/>
                <w:sz w:val="18"/>
              </w:rPr>
              <w:t> </w:t>
            </w:r>
            <w:r>
              <w:rPr>
                <w:color w:val="105C84"/>
                <w:spacing w:val="-2"/>
                <w:sz w:val="18"/>
              </w:rPr>
              <w:t>educated</w:t>
            </w:r>
          </w:p>
          <w:p>
            <w:pPr>
              <w:pStyle w:val="TableParagraph"/>
              <w:spacing w:line="232" w:lineRule="auto" w:before="88"/>
              <w:ind w:left="88" w:right="927"/>
              <w:rPr>
                <w:sz w:val="18"/>
              </w:rPr>
            </w:pPr>
            <w:r>
              <w:rPr>
                <w:color w:val="105C84"/>
                <w:sz w:val="18"/>
              </w:rPr>
              <w:t>#</w:t>
            </w:r>
            <w:r>
              <w:rPr>
                <w:color w:val="105C84"/>
                <w:spacing w:val="-15"/>
                <w:sz w:val="18"/>
              </w:rPr>
              <w:t> </w:t>
            </w:r>
            <w:r>
              <w:rPr>
                <w:color w:val="105C84"/>
                <w:sz w:val="18"/>
              </w:rPr>
              <w:t>new</w:t>
            </w:r>
            <w:r>
              <w:rPr>
                <w:color w:val="105C84"/>
                <w:spacing w:val="-12"/>
                <w:sz w:val="18"/>
              </w:rPr>
              <w:t> </w:t>
            </w:r>
            <w:r>
              <w:rPr>
                <w:color w:val="105C84"/>
                <w:sz w:val="18"/>
              </w:rPr>
              <w:t>units</w:t>
            </w:r>
            <w:r>
              <w:rPr>
                <w:color w:val="105C84"/>
                <w:spacing w:val="-13"/>
                <w:sz w:val="18"/>
              </w:rPr>
              <w:t> </w:t>
            </w:r>
            <w:r>
              <w:rPr>
                <w:color w:val="105C84"/>
                <w:sz w:val="18"/>
              </w:rPr>
              <w:t>covered</w:t>
            </w:r>
            <w:r>
              <w:rPr>
                <w:color w:val="105C84"/>
                <w:spacing w:val="-12"/>
                <w:sz w:val="18"/>
              </w:rPr>
              <w:t> </w:t>
            </w:r>
            <w:r>
              <w:rPr>
                <w:color w:val="105C84"/>
                <w:sz w:val="18"/>
              </w:rPr>
              <w:t>by </w:t>
            </w:r>
            <w:r>
              <w:rPr>
                <w:color w:val="105C84"/>
                <w:spacing w:val="-2"/>
                <w:sz w:val="18"/>
              </w:rPr>
              <w:t>policies</w:t>
            </w:r>
          </w:p>
        </w:tc>
        <w:tc>
          <w:tcPr>
            <w:tcW w:w="4058" w:type="dxa"/>
            <w:tcBorders>
              <w:left w:val="nil"/>
            </w:tcBorders>
          </w:tcPr>
          <w:p>
            <w:pPr>
              <w:pStyle w:val="TableParagraph"/>
              <w:spacing w:line="232" w:lineRule="auto" w:before="99"/>
              <w:ind w:left="999" w:right="134"/>
              <w:rPr>
                <w:sz w:val="18"/>
              </w:rPr>
            </w:pPr>
            <w:r>
              <w:rPr>
                <w:color w:val="105C84"/>
                <w:sz w:val="18"/>
              </w:rPr>
              <w:t>3 earned media outreaches (February</w:t>
            </w:r>
            <w:r>
              <w:rPr>
                <w:color w:val="105C84"/>
                <w:spacing w:val="-15"/>
                <w:sz w:val="18"/>
              </w:rPr>
              <w:t> </w:t>
            </w:r>
            <w:r>
              <w:rPr>
                <w:color w:val="105C84"/>
                <w:sz w:val="18"/>
              </w:rPr>
              <w:t>-</w:t>
            </w:r>
            <w:r>
              <w:rPr>
                <w:color w:val="105C84"/>
                <w:spacing w:val="-12"/>
                <w:sz w:val="18"/>
              </w:rPr>
              <w:t> </w:t>
            </w:r>
            <w:r>
              <w:rPr>
                <w:color w:val="105C84"/>
                <w:sz w:val="18"/>
              </w:rPr>
              <w:t>legislative</w:t>
            </w:r>
            <w:r>
              <w:rPr>
                <w:color w:val="105C84"/>
                <w:spacing w:val="-13"/>
                <w:sz w:val="18"/>
              </w:rPr>
              <w:t> </w:t>
            </w:r>
            <w:r>
              <w:rPr>
                <w:color w:val="105C84"/>
                <w:sz w:val="18"/>
              </w:rPr>
              <w:t>education</w:t>
            </w:r>
            <w:r>
              <w:rPr>
                <w:color w:val="105C84"/>
                <w:spacing w:val="-12"/>
                <w:sz w:val="18"/>
              </w:rPr>
              <w:t> </w:t>
            </w:r>
            <w:r>
              <w:rPr>
                <w:color w:val="105C84"/>
                <w:sz w:val="18"/>
              </w:rPr>
              <w:t>day</w:t>
            </w:r>
            <w:r>
              <w:rPr>
                <w:color w:val="105C84"/>
                <w:sz w:val="18"/>
              </w:rPr>
              <w:t>,</w:t>
            </w:r>
            <w:r>
              <w:rPr>
                <w:color w:val="105C84"/>
                <w:sz w:val="18"/>
              </w:rPr>
              <w:t> June - grant renewal, July - HUD </w:t>
            </w:r>
            <w:r>
              <w:rPr>
                <w:color w:val="105C84"/>
                <w:spacing w:val="-2"/>
                <w:sz w:val="18"/>
              </w:rPr>
              <w:t>anniversary)</w:t>
            </w:r>
          </w:p>
          <w:p>
            <w:pPr>
              <w:pStyle w:val="TableParagraph"/>
              <w:spacing w:line="232" w:lineRule="auto" w:before="87"/>
              <w:ind w:left="999" w:right="134"/>
              <w:rPr>
                <w:sz w:val="18"/>
              </w:rPr>
            </w:pPr>
            <w:r>
              <w:rPr>
                <w:color w:val="105C84"/>
                <w:sz w:val="18"/>
              </w:rPr>
              <w:t># venues/events/stakeholders educated</w:t>
            </w:r>
            <w:r>
              <w:rPr>
                <w:color w:val="105C84"/>
                <w:spacing w:val="-15"/>
                <w:sz w:val="18"/>
              </w:rPr>
              <w:t> </w:t>
            </w:r>
            <w:r>
              <w:rPr>
                <w:color w:val="105C84"/>
                <w:sz w:val="18"/>
              </w:rPr>
              <w:t>(February</w:t>
            </w:r>
            <w:r>
              <w:rPr>
                <w:color w:val="105C84"/>
                <w:spacing w:val="-12"/>
                <w:sz w:val="18"/>
              </w:rPr>
              <w:t> </w:t>
            </w:r>
            <w:r>
              <w:rPr>
                <w:color w:val="105C84"/>
                <w:sz w:val="18"/>
              </w:rPr>
              <w:t>-</w:t>
            </w:r>
            <w:r>
              <w:rPr>
                <w:color w:val="105C84"/>
                <w:spacing w:val="-13"/>
                <w:sz w:val="18"/>
              </w:rPr>
              <w:t> </w:t>
            </w:r>
            <w:r>
              <w:rPr>
                <w:color w:val="105C84"/>
                <w:sz w:val="18"/>
              </w:rPr>
              <w:t>St.</w:t>
            </w:r>
            <w:r>
              <w:rPr>
                <w:color w:val="105C84"/>
                <w:spacing w:val="-12"/>
                <w:sz w:val="18"/>
              </w:rPr>
              <w:t> </w:t>
            </w:r>
            <w:r>
              <w:rPr>
                <w:color w:val="105C84"/>
                <w:sz w:val="18"/>
              </w:rPr>
              <w:t>Joseph's and St. Patrick's, April &amp; June - </w:t>
            </w:r>
            <w:r>
              <w:rPr>
                <w:color w:val="105C84"/>
                <w:spacing w:val="-2"/>
                <w:sz w:val="18"/>
              </w:rPr>
              <w:t>Libertad)</w:t>
            </w:r>
          </w:p>
          <w:p>
            <w:pPr>
              <w:pStyle w:val="TableParagraph"/>
              <w:spacing w:line="232" w:lineRule="auto" w:before="87"/>
              <w:ind w:left="999"/>
              <w:rPr>
                <w:sz w:val="18"/>
              </w:rPr>
            </w:pPr>
            <w:r>
              <w:rPr>
                <w:color w:val="105C84"/>
                <w:sz w:val="18"/>
              </w:rPr>
              <w:t>107</w:t>
            </w:r>
            <w:r>
              <w:rPr>
                <w:color w:val="105C84"/>
                <w:spacing w:val="-13"/>
                <w:sz w:val="18"/>
              </w:rPr>
              <w:t> </w:t>
            </w:r>
            <w:r>
              <w:rPr>
                <w:color w:val="105C84"/>
                <w:sz w:val="18"/>
              </w:rPr>
              <w:t>new</w:t>
            </w:r>
            <w:r>
              <w:rPr>
                <w:color w:val="105C84"/>
                <w:spacing w:val="-12"/>
                <w:sz w:val="18"/>
              </w:rPr>
              <w:t> </w:t>
            </w:r>
            <w:r>
              <w:rPr>
                <w:color w:val="105C84"/>
                <w:sz w:val="18"/>
              </w:rPr>
              <w:t>units</w:t>
            </w:r>
            <w:r>
              <w:rPr>
                <w:color w:val="105C84"/>
                <w:spacing w:val="-13"/>
                <w:sz w:val="18"/>
              </w:rPr>
              <w:t> </w:t>
            </w:r>
            <w:r>
              <w:rPr>
                <w:color w:val="105C84"/>
                <w:sz w:val="18"/>
              </w:rPr>
              <w:t>covered</w:t>
            </w:r>
            <w:r>
              <w:rPr>
                <w:color w:val="105C84"/>
                <w:spacing w:val="-12"/>
                <w:sz w:val="18"/>
              </w:rPr>
              <w:t> </w:t>
            </w:r>
            <w:r>
              <w:rPr>
                <w:color w:val="105C84"/>
                <w:sz w:val="18"/>
              </w:rPr>
              <w:t>by</w:t>
            </w:r>
            <w:r>
              <w:rPr>
                <w:color w:val="105C84"/>
                <w:spacing w:val="-13"/>
                <w:sz w:val="18"/>
              </w:rPr>
              <w:t> </w:t>
            </w:r>
            <w:r>
              <w:rPr>
                <w:color w:val="105C84"/>
                <w:sz w:val="18"/>
              </w:rPr>
              <w:t>smoke</w:t>
            </w:r>
            <w:r>
              <w:rPr>
                <w:color w:val="105C84"/>
                <w:spacing w:val="-13"/>
                <w:sz w:val="18"/>
              </w:rPr>
              <w:t> </w:t>
            </w:r>
            <w:r>
              <w:rPr>
                <w:color w:val="105C84"/>
                <w:sz w:val="18"/>
              </w:rPr>
              <w:t>free</w:t>
            </w:r>
            <w:r>
              <w:rPr>
                <w:color w:val="105C84"/>
                <w:sz w:val="18"/>
              </w:rPr>
              <w:t> policies - (St. Joseph's, St. Patrick's, and Skip Mills)</w:t>
            </w:r>
          </w:p>
        </w:tc>
        <w:tc>
          <w:tcPr>
            <w:tcW w:w="1758" w:type="dxa"/>
          </w:tcPr>
          <w:p>
            <w:pPr>
              <w:pStyle w:val="TableParagraph"/>
              <w:spacing w:line="232" w:lineRule="auto" w:before="99"/>
              <w:ind w:left="86"/>
              <w:rPr>
                <w:sz w:val="18"/>
              </w:rPr>
            </w:pPr>
            <w:r>
              <w:rPr>
                <w:color w:val="105C84"/>
                <w:sz w:val="18"/>
              </w:rPr>
              <w:t>3</w:t>
            </w:r>
            <w:r>
              <w:rPr>
                <w:color w:val="105C84"/>
                <w:spacing w:val="-15"/>
                <w:sz w:val="18"/>
              </w:rPr>
              <w:t> </w:t>
            </w:r>
            <w:r>
              <w:rPr>
                <w:color w:val="105C84"/>
                <w:sz w:val="18"/>
              </w:rPr>
              <w:t>earned</w:t>
            </w:r>
            <w:r>
              <w:rPr>
                <w:color w:val="105C84"/>
                <w:spacing w:val="-12"/>
                <w:sz w:val="18"/>
              </w:rPr>
              <w:t> </w:t>
            </w:r>
            <w:r>
              <w:rPr>
                <w:color w:val="105C84"/>
                <w:sz w:val="18"/>
              </w:rPr>
              <w:t>media</w:t>
            </w:r>
            <w:r>
              <w:rPr>
                <w:color w:val="105C84"/>
                <w:sz w:val="18"/>
              </w:rPr>
              <w:t> </w:t>
            </w:r>
            <w:r>
              <w:rPr>
                <w:color w:val="105C84"/>
                <w:spacing w:val="-2"/>
                <w:sz w:val="18"/>
              </w:rPr>
              <w:t>outreaches</w:t>
            </w:r>
          </w:p>
          <w:p>
            <w:pPr>
              <w:pStyle w:val="TableParagraph"/>
              <w:spacing w:line="232" w:lineRule="auto" w:before="88"/>
              <w:ind w:left="86" w:right="370"/>
              <w:rPr>
                <w:sz w:val="18"/>
              </w:rPr>
            </w:pPr>
            <w:r>
              <w:rPr>
                <w:color w:val="105C84"/>
                <w:spacing w:val="-2"/>
                <w:sz w:val="18"/>
              </w:rPr>
              <w:t>#</w:t>
            </w:r>
            <w:r>
              <w:rPr>
                <w:color w:val="105C84"/>
                <w:spacing w:val="-11"/>
                <w:sz w:val="18"/>
              </w:rPr>
              <w:t> </w:t>
            </w:r>
            <w:r>
              <w:rPr>
                <w:color w:val="105C84"/>
                <w:spacing w:val="-2"/>
                <w:sz w:val="18"/>
              </w:rPr>
              <w:t>venues/events information disseminated</w:t>
            </w:r>
          </w:p>
          <w:p>
            <w:pPr>
              <w:pStyle w:val="TableParagraph"/>
              <w:spacing w:line="232" w:lineRule="auto" w:before="88"/>
              <w:ind w:left="86" w:right="574"/>
              <w:rPr>
                <w:sz w:val="18"/>
              </w:rPr>
            </w:pPr>
            <w:r>
              <w:rPr>
                <w:color w:val="105C84"/>
                <w:sz w:val="18"/>
              </w:rPr>
              <w:t>1</w:t>
            </w:r>
            <w:r>
              <w:rPr>
                <w:color w:val="105C84"/>
                <w:spacing w:val="-13"/>
                <w:sz w:val="18"/>
              </w:rPr>
              <w:t> </w:t>
            </w:r>
            <w:r>
              <w:rPr>
                <w:color w:val="105C84"/>
                <w:sz w:val="18"/>
              </w:rPr>
              <w:t>stakeholder </w:t>
            </w:r>
            <w:r>
              <w:rPr>
                <w:color w:val="105C84"/>
                <w:spacing w:val="-2"/>
                <w:sz w:val="18"/>
              </w:rPr>
              <w:t>educated</w:t>
            </w:r>
          </w:p>
          <w:p>
            <w:pPr>
              <w:pStyle w:val="TableParagraph"/>
              <w:spacing w:line="232" w:lineRule="auto" w:before="88"/>
              <w:ind w:left="86" w:right="111"/>
              <w:rPr>
                <w:sz w:val="18"/>
              </w:rPr>
            </w:pPr>
            <w:r>
              <w:rPr>
                <w:color w:val="105C84"/>
                <w:sz w:val="18"/>
              </w:rPr>
              <w:t>15 new units covered</w:t>
            </w:r>
            <w:r>
              <w:rPr>
                <w:color w:val="105C84"/>
                <w:spacing w:val="-15"/>
                <w:sz w:val="18"/>
              </w:rPr>
              <w:t> </w:t>
            </w:r>
            <w:r>
              <w:rPr>
                <w:color w:val="105C84"/>
                <w:sz w:val="18"/>
              </w:rPr>
              <w:t>by</w:t>
            </w:r>
            <w:r>
              <w:rPr>
                <w:color w:val="105C84"/>
                <w:spacing w:val="-12"/>
                <w:sz w:val="18"/>
              </w:rPr>
              <w:t> </w:t>
            </w:r>
            <w:r>
              <w:rPr>
                <w:color w:val="105C84"/>
                <w:sz w:val="18"/>
              </w:rPr>
              <w:t>policies</w:t>
            </w:r>
          </w:p>
        </w:tc>
        <w:tc>
          <w:tcPr>
            <w:tcW w:w="1758" w:type="dxa"/>
          </w:tcPr>
          <w:p>
            <w:pPr>
              <w:pStyle w:val="TableParagraph"/>
              <w:spacing w:line="232" w:lineRule="auto" w:before="99"/>
              <w:ind w:left="85"/>
              <w:rPr>
                <w:sz w:val="18"/>
              </w:rPr>
            </w:pPr>
            <w:r>
              <w:rPr>
                <w:color w:val="105C84"/>
                <w:sz w:val="18"/>
              </w:rPr>
              <w:t>3</w:t>
            </w:r>
            <w:r>
              <w:rPr>
                <w:color w:val="105C84"/>
                <w:spacing w:val="-15"/>
                <w:sz w:val="18"/>
              </w:rPr>
              <w:t> </w:t>
            </w:r>
            <w:r>
              <w:rPr>
                <w:color w:val="105C84"/>
                <w:sz w:val="18"/>
              </w:rPr>
              <w:t>earned</w:t>
            </w:r>
            <w:r>
              <w:rPr>
                <w:color w:val="105C84"/>
                <w:spacing w:val="-12"/>
                <w:sz w:val="18"/>
              </w:rPr>
              <w:t> </w:t>
            </w:r>
            <w:r>
              <w:rPr>
                <w:color w:val="105C84"/>
                <w:sz w:val="18"/>
              </w:rPr>
              <w:t>media</w:t>
            </w:r>
            <w:r>
              <w:rPr>
                <w:color w:val="105C84"/>
                <w:sz w:val="18"/>
              </w:rPr>
              <w:t> </w:t>
            </w:r>
            <w:r>
              <w:rPr>
                <w:color w:val="105C84"/>
                <w:spacing w:val="-2"/>
                <w:sz w:val="18"/>
              </w:rPr>
              <w:t>outreaches</w:t>
            </w:r>
          </w:p>
          <w:p>
            <w:pPr>
              <w:pStyle w:val="TableParagraph"/>
              <w:spacing w:line="232" w:lineRule="auto" w:before="88"/>
              <w:ind w:left="85" w:right="371"/>
              <w:rPr>
                <w:sz w:val="18"/>
              </w:rPr>
            </w:pPr>
            <w:r>
              <w:rPr>
                <w:color w:val="105C84"/>
                <w:spacing w:val="-2"/>
                <w:sz w:val="18"/>
              </w:rPr>
              <w:t>#</w:t>
            </w:r>
            <w:r>
              <w:rPr>
                <w:color w:val="105C84"/>
                <w:spacing w:val="-11"/>
                <w:sz w:val="18"/>
              </w:rPr>
              <w:t> </w:t>
            </w:r>
            <w:r>
              <w:rPr>
                <w:color w:val="105C84"/>
                <w:spacing w:val="-2"/>
                <w:sz w:val="18"/>
              </w:rPr>
              <w:t>venues/events information disseminated</w:t>
            </w:r>
          </w:p>
          <w:p>
            <w:pPr>
              <w:pStyle w:val="TableParagraph"/>
              <w:spacing w:line="232" w:lineRule="auto" w:before="88"/>
              <w:ind w:left="85" w:right="575"/>
              <w:rPr>
                <w:sz w:val="18"/>
              </w:rPr>
            </w:pPr>
            <w:r>
              <w:rPr>
                <w:color w:val="105C84"/>
                <w:sz w:val="18"/>
              </w:rPr>
              <w:t>1</w:t>
            </w:r>
            <w:r>
              <w:rPr>
                <w:color w:val="105C84"/>
                <w:spacing w:val="-13"/>
                <w:sz w:val="18"/>
              </w:rPr>
              <w:t> </w:t>
            </w:r>
            <w:r>
              <w:rPr>
                <w:color w:val="105C84"/>
                <w:sz w:val="18"/>
              </w:rPr>
              <w:t>stakeholder </w:t>
            </w:r>
            <w:r>
              <w:rPr>
                <w:color w:val="105C84"/>
                <w:spacing w:val="-2"/>
                <w:sz w:val="18"/>
              </w:rPr>
              <w:t>educated</w:t>
            </w:r>
          </w:p>
          <w:p>
            <w:pPr>
              <w:pStyle w:val="TableParagraph"/>
              <w:spacing w:line="232" w:lineRule="auto" w:before="88"/>
              <w:ind w:left="85" w:right="111"/>
              <w:rPr>
                <w:sz w:val="18"/>
              </w:rPr>
            </w:pPr>
            <w:r>
              <w:rPr>
                <w:color w:val="105C84"/>
                <w:sz w:val="18"/>
              </w:rPr>
              <w:t>15 new units covered</w:t>
            </w:r>
            <w:r>
              <w:rPr>
                <w:color w:val="105C84"/>
                <w:spacing w:val="-15"/>
                <w:sz w:val="18"/>
              </w:rPr>
              <w:t> </w:t>
            </w:r>
            <w:r>
              <w:rPr>
                <w:color w:val="105C84"/>
                <w:sz w:val="18"/>
              </w:rPr>
              <w:t>by</w:t>
            </w:r>
            <w:r>
              <w:rPr>
                <w:color w:val="105C84"/>
                <w:spacing w:val="-12"/>
                <w:sz w:val="18"/>
              </w:rPr>
              <w:t> </w:t>
            </w:r>
            <w:r>
              <w:rPr>
                <w:color w:val="105C84"/>
                <w:sz w:val="18"/>
              </w:rPr>
              <w:t>policies</w:t>
            </w:r>
          </w:p>
        </w:tc>
        <w:tc>
          <w:tcPr>
            <w:tcW w:w="1672" w:type="dxa"/>
          </w:tcPr>
          <w:p>
            <w:pPr>
              <w:pStyle w:val="TableParagraph"/>
              <w:spacing w:line="232" w:lineRule="auto" w:before="98"/>
              <w:ind w:left="84"/>
              <w:rPr>
                <w:sz w:val="18"/>
              </w:rPr>
            </w:pPr>
            <w:r>
              <w:rPr>
                <w:color w:val="105C84"/>
                <w:spacing w:val="-2"/>
                <w:sz w:val="18"/>
              </w:rPr>
              <w:t>Local</w:t>
            </w:r>
            <w:r>
              <w:rPr>
                <w:color w:val="105C84"/>
                <w:spacing w:val="-11"/>
                <w:sz w:val="18"/>
              </w:rPr>
              <w:t> </w:t>
            </w:r>
            <w:r>
              <w:rPr>
                <w:color w:val="105C84"/>
                <w:spacing w:val="-2"/>
                <w:sz w:val="18"/>
              </w:rPr>
              <w:t>health department</w:t>
            </w:r>
          </w:p>
        </w:tc>
        <w:tc>
          <w:tcPr>
            <w:tcW w:w="1847" w:type="dxa"/>
          </w:tcPr>
          <w:p>
            <w:pPr>
              <w:pStyle w:val="TableParagraph"/>
              <w:spacing w:line="203" w:lineRule="exact" w:before="93"/>
              <w:ind w:left="82"/>
              <w:rPr>
                <w:sz w:val="18"/>
              </w:rPr>
            </w:pPr>
            <w:r>
              <w:rPr>
                <w:color w:val="105C84"/>
                <w:spacing w:val="-2"/>
                <w:sz w:val="18"/>
              </w:rPr>
              <w:t>CCHD/STTAC</w:t>
            </w:r>
          </w:p>
          <w:p>
            <w:pPr>
              <w:pStyle w:val="TableParagraph"/>
              <w:spacing w:line="232" w:lineRule="auto" w:before="2"/>
              <w:ind w:left="82" w:right="137"/>
              <w:rPr>
                <w:sz w:val="18"/>
              </w:rPr>
            </w:pPr>
            <w:r>
              <w:rPr>
                <w:color w:val="105C84"/>
                <w:sz w:val="18"/>
              </w:rPr>
              <w:t>responsible for </w:t>
            </w:r>
            <w:r>
              <w:rPr>
                <w:color w:val="105C84"/>
                <w:spacing w:val="-2"/>
                <w:sz w:val="18"/>
              </w:rPr>
              <w:t>intervention </w:t>
            </w:r>
            <w:r>
              <w:rPr>
                <w:color w:val="105C84"/>
                <w:sz w:val="18"/>
              </w:rPr>
              <w:t>providing needed staff and resources to meet measures </w:t>
            </w:r>
            <w:r>
              <w:rPr>
                <w:color w:val="105C84"/>
                <w:spacing w:val="-2"/>
                <w:sz w:val="18"/>
              </w:rPr>
              <w:t>with</w:t>
            </w:r>
            <w:r>
              <w:rPr>
                <w:color w:val="105C84"/>
                <w:spacing w:val="-13"/>
                <w:sz w:val="18"/>
              </w:rPr>
              <w:t> </w:t>
            </w:r>
            <w:r>
              <w:rPr>
                <w:color w:val="105C84"/>
                <w:spacing w:val="-2"/>
                <w:sz w:val="18"/>
              </w:rPr>
              <w:t>assistance</w:t>
            </w:r>
            <w:r>
              <w:rPr>
                <w:color w:val="105C84"/>
                <w:spacing w:val="-10"/>
                <w:sz w:val="18"/>
              </w:rPr>
              <w:t> </w:t>
            </w:r>
            <w:r>
              <w:rPr>
                <w:color w:val="105C84"/>
                <w:spacing w:val="-2"/>
                <w:sz w:val="18"/>
              </w:rPr>
              <w:t>from </w:t>
            </w:r>
            <w:r>
              <w:rPr>
                <w:color w:val="105C84"/>
                <w:sz w:val="18"/>
              </w:rPr>
              <w:t>Health Priorities Partners</w:t>
            </w:r>
            <w:r>
              <w:rPr>
                <w:color w:val="105C84"/>
                <w:spacing w:val="-4"/>
                <w:sz w:val="18"/>
              </w:rPr>
              <w:t> </w:t>
            </w:r>
            <w:r>
              <w:rPr>
                <w:color w:val="105C84"/>
                <w:sz w:val="18"/>
              </w:rPr>
              <w:t>as</w:t>
            </w:r>
            <w:r>
              <w:rPr>
                <w:color w:val="105C84"/>
                <w:spacing w:val="-4"/>
                <w:sz w:val="18"/>
              </w:rPr>
              <w:t> </w:t>
            </w:r>
            <w:r>
              <w:rPr>
                <w:color w:val="105C84"/>
                <w:sz w:val="18"/>
              </w:rPr>
              <w:t>needed</w:t>
            </w:r>
          </w:p>
        </w:tc>
      </w:tr>
      <w:tr>
        <w:trPr>
          <w:trHeight w:val="2620" w:hRule="atLeast"/>
        </w:trPr>
        <w:tc>
          <w:tcPr>
            <w:tcW w:w="1008" w:type="dxa"/>
            <w:tcBorders>
              <w:top w:val="nil"/>
            </w:tcBorders>
            <w:shd w:val="clear" w:color="auto" w:fill="E6E7E8"/>
          </w:tcPr>
          <w:p>
            <w:pPr>
              <w:pStyle w:val="TableParagraph"/>
              <w:rPr>
                <w:rFonts w:ascii="Times New Roman"/>
                <w:sz w:val="18"/>
              </w:rPr>
            </w:pPr>
          </w:p>
        </w:tc>
        <w:tc>
          <w:tcPr>
            <w:tcW w:w="1152" w:type="dxa"/>
            <w:tcBorders>
              <w:top w:val="nil"/>
            </w:tcBorders>
          </w:tcPr>
          <w:p>
            <w:pPr>
              <w:pStyle w:val="TableParagraph"/>
              <w:rPr>
                <w:rFonts w:ascii="Times New Roman"/>
                <w:sz w:val="18"/>
              </w:rPr>
            </w:pPr>
          </w:p>
        </w:tc>
        <w:tc>
          <w:tcPr>
            <w:tcW w:w="1181" w:type="dxa"/>
            <w:tcBorders>
              <w:top w:val="nil"/>
            </w:tcBorders>
          </w:tcPr>
          <w:p>
            <w:pPr>
              <w:pStyle w:val="TableParagraph"/>
              <w:rPr>
                <w:rFonts w:ascii="Times New Roman"/>
                <w:sz w:val="18"/>
              </w:rPr>
            </w:pPr>
          </w:p>
        </w:tc>
        <w:tc>
          <w:tcPr>
            <w:tcW w:w="1411" w:type="dxa"/>
          </w:tcPr>
          <w:p>
            <w:pPr>
              <w:pStyle w:val="TableParagraph"/>
              <w:spacing w:line="232" w:lineRule="auto" w:before="98"/>
              <w:ind w:left="89" w:right="188"/>
              <w:rPr>
                <w:sz w:val="18"/>
              </w:rPr>
            </w:pPr>
            <w:r>
              <w:rPr>
                <w:color w:val="105C84"/>
                <w:sz w:val="18"/>
              </w:rPr>
              <w:t>Decrease the </w:t>
            </w:r>
            <w:r>
              <w:rPr>
                <w:color w:val="105C84"/>
                <w:spacing w:val="-2"/>
                <w:sz w:val="18"/>
              </w:rPr>
              <w:t>percentage</w:t>
            </w:r>
            <w:r>
              <w:rPr>
                <w:color w:val="105C84"/>
                <w:spacing w:val="80"/>
                <w:w w:val="150"/>
                <w:sz w:val="18"/>
              </w:rPr>
              <w:t> </w:t>
            </w:r>
            <w:r>
              <w:rPr>
                <w:color w:val="105C84"/>
                <w:sz w:val="18"/>
              </w:rPr>
              <w:t>of residents </w:t>
            </w:r>
            <w:r>
              <w:rPr>
                <w:color w:val="105C84"/>
                <w:spacing w:val="-4"/>
                <w:sz w:val="18"/>
              </w:rPr>
              <w:t>(non-smokers) </w:t>
            </w:r>
            <w:r>
              <w:rPr>
                <w:color w:val="105C84"/>
                <w:sz w:val="18"/>
              </w:rPr>
              <w:t>exposed to </w:t>
            </w:r>
            <w:r>
              <w:rPr>
                <w:color w:val="105C84"/>
                <w:spacing w:val="-2"/>
                <w:sz w:val="18"/>
              </w:rPr>
              <w:t>secondhand </w:t>
            </w:r>
            <w:r>
              <w:rPr>
                <w:color w:val="105C84"/>
                <w:sz w:val="18"/>
              </w:rPr>
              <w:t>smoke in the </w:t>
            </w:r>
            <w:r>
              <w:rPr>
                <w:color w:val="105C84"/>
                <w:spacing w:val="-2"/>
                <w:sz w:val="18"/>
              </w:rPr>
              <w:t>community</w:t>
            </w:r>
          </w:p>
        </w:tc>
        <w:tc>
          <w:tcPr>
            <w:tcW w:w="1181" w:type="dxa"/>
          </w:tcPr>
          <w:p>
            <w:pPr>
              <w:pStyle w:val="TableParagraph"/>
              <w:rPr>
                <w:rFonts w:ascii="Times New Roman"/>
                <w:sz w:val="18"/>
              </w:rPr>
            </w:pPr>
          </w:p>
        </w:tc>
        <w:tc>
          <w:tcPr>
            <w:tcW w:w="2103" w:type="dxa"/>
          </w:tcPr>
          <w:p>
            <w:pPr>
              <w:pStyle w:val="TableParagraph"/>
              <w:spacing w:line="232" w:lineRule="auto" w:before="98"/>
              <w:ind w:left="89" w:right="263"/>
              <w:rPr>
                <w:sz w:val="18"/>
              </w:rPr>
            </w:pPr>
            <w:r>
              <w:rPr>
                <w:color w:val="105C84"/>
                <w:sz w:val="18"/>
              </w:rPr>
              <w:t>3.3.2: Increase the number of smoke-free parks, beaches, playgrounds,</w:t>
            </w:r>
            <w:r>
              <w:rPr>
                <w:color w:val="105C84"/>
                <w:spacing w:val="-13"/>
                <w:sz w:val="18"/>
              </w:rPr>
              <w:t> </w:t>
            </w:r>
            <w:r>
              <w:rPr>
                <w:color w:val="105C84"/>
                <w:sz w:val="18"/>
              </w:rPr>
              <w:t>college</w:t>
            </w:r>
          </w:p>
          <w:p>
            <w:pPr>
              <w:pStyle w:val="TableParagraph"/>
              <w:spacing w:line="199" w:lineRule="exact"/>
              <w:ind w:left="89"/>
              <w:rPr>
                <w:sz w:val="18"/>
              </w:rPr>
            </w:pPr>
            <w:r>
              <w:rPr>
                <w:color w:val="105C84"/>
                <w:sz w:val="18"/>
              </w:rPr>
              <w:t>and</w:t>
            </w:r>
            <w:r>
              <w:rPr>
                <w:color w:val="105C84"/>
                <w:spacing w:val="8"/>
                <w:sz w:val="18"/>
              </w:rPr>
              <w:t> </w:t>
            </w:r>
            <w:r>
              <w:rPr>
                <w:color w:val="105C84"/>
                <w:sz w:val="18"/>
              </w:rPr>
              <w:t>other</w:t>
            </w:r>
            <w:r>
              <w:rPr>
                <w:color w:val="105C84"/>
                <w:spacing w:val="8"/>
                <w:sz w:val="18"/>
              </w:rPr>
              <w:t> </w:t>
            </w:r>
            <w:r>
              <w:rPr>
                <w:color w:val="105C84"/>
                <w:sz w:val="18"/>
              </w:rPr>
              <w:t>public</w:t>
            </w:r>
            <w:r>
              <w:rPr>
                <w:color w:val="105C84"/>
                <w:spacing w:val="8"/>
                <w:sz w:val="18"/>
              </w:rPr>
              <w:t> </w:t>
            </w:r>
            <w:r>
              <w:rPr>
                <w:color w:val="105C84"/>
                <w:spacing w:val="-2"/>
                <w:sz w:val="18"/>
              </w:rPr>
              <w:t>spaces</w:t>
            </w:r>
          </w:p>
        </w:tc>
        <w:tc>
          <w:tcPr>
            <w:tcW w:w="3202" w:type="dxa"/>
            <w:tcBorders>
              <w:right w:val="nil"/>
            </w:tcBorders>
          </w:tcPr>
          <w:p>
            <w:pPr>
              <w:pStyle w:val="TableParagraph"/>
              <w:spacing w:line="232" w:lineRule="auto" w:before="98"/>
              <w:ind w:left="88" w:right="1052"/>
              <w:rPr>
                <w:sz w:val="18"/>
              </w:rPr>
            </w:pPr>
            <w:r>
              <w:rPr>
                <w:color w:val="105C84"/>
                <w:spacing w:val="-2"/>
                <w:sz w:val="18"/>
              </w:rPr>
              <w:t>STTAC</w:t>
            </w:r>
            <w:r>
              <w:rPr>
                <w:color w:val="105C84"/>
                <w:spacing w:val="-13"/>
                <w:sz w:val="18"/>
              </w:rPr>
              <w:t> </w:t>
            </w:r>
            <w:r>
              <w:rPr>
                <w:color w:val="105C84"/>
                <w:spacing w:val="-2"/>
                <w:sz w:val="18"/>
              </w:rPr>
              <w:t>-</w:t>
            </w:r>
            <w:r>
              <w:rPr>
                <w:color w:val="105C84"/>
                <w:spacing w:val="-10"/>
                <w:sz w:val="18"/>
              </w:rPr>
              <w:t> </w:t>
            </w:r>
            <w:r>
              <w:rPr>
                <w:color w:val="105C84"/>
                <w:spacing w:val="-2"/>
                <w:sz w:val="18"/>
              </w:rPr>
              <w:t>#</w:t>
            </w:r>
            <w:r>
              <w:rPr>
                <w:color w:val="105C84"/>
                <w:spacing w:val="-11"/>
                <w:sz w:val="18"/>
              </w:rPr>
              <w:t> </w:t>
            </w:r>
            <w:r>
              <w:rPr>
                <w:color w:val="105C84"/>
                <w:spacing w:val="-2"/>
                <w:sz w:val="18"/>
              </w:rPr>
              <w:t>of</w:t>
            </w:r>
            <w:r>
              <w:rPr>
                <w:color w:val="105C84"/>
                <w:spacing w:val="-10"/>
                <w:sz w:val="18"/>
              </w:rPr>
              <w:t> </w:t>
            </w:r>
            <w:r>
              <w:rPr>
                <w:color w:val="105C84"/>
                <w:spacing w:val="-2"/>
                <w:sz w:val="18"/>
              </w:rPr>
              <w:t>earned </w:t>
            </w:r>
            <w:r>
              <w:rPr>
                <w:color w:val="105C84"/>
                <w:sz w:val="18"/>
              </w:rPr>
              <w:t>media outreaches</w:t>
            </w:r>
          </w:p>
          <w:p>
            <w:pPr>
              <w:pStyle w:val="TableParagraph"/>
              <w:spacing w:line="232" w:lineRule="auto" w:before="89"/>
              <w:ind w:left="88" w:right="927"/>
              <w:rPr>
                <w:sz w:val="18"/>
              </w:rPr>
            </w:pPr>
            <w:r>
              <w:rPr>
                <w:color w:val="105C84"/>
                <w:sz w:val="18"/>
              </w:rPr>
              <w:t># venues/events information</w:t>
            </w:r>
            <w:r>
              <w:rPr>
                <w:color w:val="105C84"/>
                <w:spacing w:val="25"/>
                <w:sz w:val="18"/>
              </w:rPr>
              <w:t> </w:t>
            </w:r>
            <w:r>
              <w:rPr>
                <w:color w:val="105C84"/>
                <w:spacing w:val="-2"/>
                <w:sz w:val="18"/>
              </w:rPr>
              <w:t>disseminated</w:t>
            </w:r>
          </w:p>
          <w:p>
            <w:pPr>
              <w:pStyle w:val="TableParagraph"/>
              <w:spacing w:before="83"/>
              <w:ind w:left="88"/>
              <w:rPr>
                <w:sz w:val="18"/>
              </w:rPr>
            </w:pPr>
            <w:r>
              <w:rPr>
                <w:color w:val="105C84"/>
                <w:spacing w:val="-2"/>
                <w:sz w:val="18"/>
              </w:rPr>
              <w:t>#</w:t>
            </w:r>
            <w:r>
              <w:rPr>
                <w:color w:val="105C84"/>
                <w:sz w:val="18"/>
              </w:rPr>
              <w:t> </w:t>
            </w:r>
            <w:r>
              <w:rPr>
                <w:color w:val="105C84"/>
                <w:spacing w:val="-2"/>
                <w:sz w:val="18"/>
              </w:rPr>
              <w:t>stakeholders</w:t>
            </w:r>
            <w:r>
              <w:rPr>
                <w:color w:val="105C84"/>
                <w:sz w:val="18"/>
              </w:rPr>
              <w:t> </w:t>
            </w:r>
            <w:r>
              <w:rPr>
                <w:color w:val="105C84"/>
                <w:spacing w:val="-2"/>
                <w:sz w:val="18"/>
              </w:rPr>
              <w:t>educated</w:t>
            </w:r>
          </w:p>
          <w:p>
            <w:pPr>
              <w:pStyle w:val="TableParagraph"/>
              <w:spacing w:line="232" w:lineRule="auto" w:before="88"/>
              <w:ind w:left="88" w:right="927"/>
              <w:rPr>
                <w:sz w:val="18"/>
              </w:rPr>
            </w:pPr>
            <w:r>
              <w:rPr>
                <w:color w:val="105C84"/>
                <w:sz w:val="18"/>
              </w:rPr>
              <w:t># tobacco free major employer</w:t>
            </w:r>
            <w:r>
              <w:rPr>
                <w:color w:val="105C84"/>
                <w:spacing w:val="-4"/>
                <w:sz w:val="18"/>
              </w:rPr>
              <w:t> </w:t>
            </w:r>
            <w:r>
              <w:rPr>
                <w:color w:val="105C84"/>
                <w:sz w:val="18"/>
              </w:rPr>
              <w:t>or</w:t>
            </w:r>
            <w:r>
              <w:rPr>
                <w:color w:val="105C84"/>
                <w:spacing w:val="-4"/>
                <w:sz w:val="18"/>
              </w:rPr>
              <w:t> </w:t>
            </w:r>
            <w:r>
              <w:rPr>
                <w:color w:val="105C84"/>
                <w:sz w:val="18"/>
              </w:rPr>
              <w:t>municipal policies adopted</w:t>
            </w:r>
          </w:p>
        </w:tc>
        <w:tc>
          <w:tcPr>
            <w:tcW w:w="4058" w:type="dxa"/>
            <w:tcBorders>
              <w:left w:val="nil"/>
            </w:tcBorders>
          </w:tcPr>
          <w:p>
            <w:pPr>
              <w:pStyle w:val="TableParagraph"/>
              <w:spacing w:before="93"/>
              <w:ind w:left="999"/>
              <w:rPr>
                <w:sz w:val="18"/>
              </w:rPr>
            </w:pPr>
            <w:r>
              <w:rPr>
                <w:color w:val="105C84"/>
                <w:sz w:val="18"/>
              </w:rPr>
              <w:t>8</w:t>
            </w:r>
            <w:r>
              <w:rPr>
                <w:color w:val="105C84"/>
                <w:spacing w:val="-5"/>
                <w:sz w:val="18"/>
              </w:rPr>
              <w:t> </w:t>
            </w:r>
            <w:r>
              <w:rPr>
                <w:color w:val="105C84"/>
                <w:sz w:val="18"/>
              </w:rPr>
              <w:t>earned</w:t>
            </w:r>
            <w:r>
              <w:rPr>
                <w:color w:val="105C84"/>
                <w:spacing w:val="-4"/>
                <w:sz w:val="18"/>
              </w:rPr>
              <w:t> </w:t>
            </w:r>
            <w:r>
              <w:rPr>
                <w:color w:val="105C84"/>
                <w:sz w:val="18"/>
              </w:rPr>
              <w:t>media</w:t>
            </w:r>
            <w:r>
              <w:rPr>
                <w:color w:val="105C84"/>
                <w:spacing w:val="-4"/>
                <w:sz w:val="18"/>
              </w:rPr>
              <w:t> </w:t>
            </w:r>
            <w:r>
              <w:rPr>
                <w:color w:val="105C84"/>
                <w:spacing w:val="-2"/>
                <w:sz w:val="18"/>
              </w:rPr>
              <w:t>outreaches</w:t>
            </w:r>
          </w:p>
          <w:p>
            <w:pPr>
              <w:pStyle w:val="TableParagraph"/>
              <w:spacing w:line="232" w:lineRule="auto" w:before="88"/>
              <w:ind w:left="999" w:right="706"/>
              <w:rPr>
                <w:sz w:val="18"/>
              </w:rPr>
            </w:pPr>
            <w:r>
              <w:rPr>
                <w:color w:val="105C84"/>
                <w:sz w:val="18"/>
              </w:rPr>
              <w:t>#</w:t>
            </w:r>
            <w:r>
              <w:rPr>
                <w:color w:val="105C84"/>
                <w:spacing w:val="-15"/>
                <w:sz w:val="18"/>
              </w:rPr>
              <w:t> </w:t>
            </w:r>
            <w:r>
              <w:rPr>
                <w:color w:val="105C84"/>
                <w:sz w:val="18"/>
              </w:rPr>
              <w:t>venues/events</w:t>
            </w:r>
            <w:r>
              <w:rPr>
                <w:color w:val="105C84"/>
                <w:spacing w:val="-12"/>
                <w:sz w:val="18"/>
              </w:rPr>
              <w:t> </w:t>
            </w:r>
            <w:r>
              <w:rPr>
                <w:color w:val="105C84"/>
                <w:sz w:val="18"/>
              </w:rPr>
              <w:t>information </w:t>
            </w:r>
            <w:r>
              <w:rPr>
                <w:color w:val="105C84"/>
                <w:spacing w:val="-2"/>
                <w:sz w:val="18"/>
              </w:rPr>
              <w:t>disseminated</w:t>
            </w:r>
          </w:p>
          <w:p>
            <w:pPr>
              <w:pStyle w:val="TableParagraph"/>
              <w:spacing w:before="83"/>
              <w:ind w:left="999"/>
              <w:rPr>
                <w:sz w:val="18"/>
              </w:rPr>
            </w:pPr>
            <w:r>
              <w:rPr>
                <w:color w:val="105C84"/>
                <w:spacing w:val="-2"/>
                <w:sz w:val="18"/>
              </w:rPr>
              <w:t>6</w:t>
            </w:r>
            <w:r>
              <w:rPr>
                <w:color w:val="105C84"/>
                <w:sz w:val="18"/>
              </w:rPr>
              <w:t> </w:t>
            </w:r>
            <w:r>
              <w:rPr>
                <w:color w:val="105C84"/>
                <w:spacing w:val="-2"/>
                <w:sz w:val="18"/>
              </w:rPr>
              <w:t>stakeholders</w:t>
            </w:r>
            <w:r>
              <w:rPr>
                <w:color w:val="105C84"/>
                <w:sz w:val="18"/>
              </w:rPr>
              <w:t> </w:t>
            </w:r>
            <w:r>
              <w:rPr>
                <w:color w:val="105C84"/>
                <w:spacing w:val="-2"/>
                <w:sz w:val="18"/>
              </w:rPr>
              <w:t>educated</w:t>
            </w:r>
          </w:p>
          <w:p>
            <w:pPr>
              <w:pStyle w:val="TableParagraph"/>
              <w:spacing w:before="83"/>
              <w:ind w:left="999"/>
              <w:rPr>
                <w:sz w:val="18"/>
              </w:rPr>
            </w:pPr>
            <w:r>
              <w:rPr>
                <w:color w:val="105C84"/>
                <w:sz w:val="18"/>
              </w:rPr>
              <w:t>3 tobacco free policies </w:t>
            </w:r>
            <w:r>
              <w:rPr>
                <w:color w:val="105C84"/>
                <w:spacing w:val="-2"/>
                <w:sz w:val="18"/>
              </w:rPr>
              <w:t>adopted</w:t>
            </w:r>
          </w:p>
        </w:tc>
        <w:tc>
          <w:tcPr>
            <w:tcW w:w="1758" w:type="dxa"/>
          </w:tcPr>
          <w:p>
            <w:pPr>
              <w:pStyle w:val="TableParagraph"/>
              <w:spacing w:line="232" w:lineRule="auto" w:before="98"/>
              <w:ind w:left="86"/>
              <w:rPr>
                <w:sz w:val="18"/>
              </w:rPr>
            </w:pPr>
            <w:r>
              <w:rPr>
                <w:color w:val="105C84"/>
                <w:sz w:val="18"/>
              </w:rPr>
              <w:t>6</w:t>
            </w:r>
            <w:r>
              <w:rPr>
                <w:color w:val="105C84"/>
                <w:spacing w:val="-15"/>
                <w:sz w:val="18"/>
              </w:rPr>
              <w:t> </w:t>
            </w:r>
            <w:r>
              <w:rPr>
                <w:color w:val="105C84"/>
                <w:sz w:val="18"/>
              </w:rPr>
              <w:t>earned</w:t>
            </w:r>
            <w:r>
              <w:rPr>
                <w:color w:val="105C84"/>
                <w:spacing w:val="-12"/>
                <w:sz w:val="18"/>
              </w:rPr>
              <w:t> </w:t>
            </w:r>
            <w:r>
              <w:rPr>
                <w:color w:val="105C84"/>
                <w:sz w:val="18"/>
              </w:rPr>
              <w:t>media</w:t>
            </w:r>
            <w:r>
              <w:rPr>
                <w:color w:val="105C84"/>
                <w:sz w:val="18"/>
              </w:rPr>
              <w:t> </w:t>
            </w:r>
            <w:r>
              <w:rPr>
                <w:color w:val="105C84"/>
                <w:spacing w:val="-2"/>
                <w:sz w:val="18"/>
              </w:rPr>
              <w:t>outreaches</w:t>
            </w:r>
          </w:p>
          <w:p>
            <w:pPr>
              <w:pStyle w:val="TableParagraph"/>
              <w:spacing w:line="232" w:lineRule="auto" w:before="88"/>
              <w:ind w:left="86" w:right="370"/>
              <w:rPr>
                <w:sz w:val="18"/>
              </w:rPr>
            </w:pPr>
            <w:r>
              <w:rPr>
                <w:color w:val="105C84"/>
                <w:spacing w:val="-2"/>
                <w:sz w:val="18"/>
              </w:rPr>
              <w:t>#</w:t>
            </w:r>
            <w:r>
              <w:rPr>
                <w:color w:val="105C84"/>
                <w:spacing w:val="-11"/>
                <w:sz w:val="18"/>
              </w:rPr>
              <w:t> </w:t>
            </w:r>
            <w:r>
              <w:rPr>
                <w:color w:val="105C84"/>
                <w:spacing w:val="-2"/>
                <w:sz w:val="18"/>
              </w:rPr>
              <w:t>venues/events information disseminated</w:t>
            </w:r>
          </w:p>
          <w:p>
            <w:pPr>
              <w:pStyle w:val="TableParagraph"/>
              <w:spacing w:line="232" w:lineRule="auto" w:before="88"/>
              <w:ind w:left="86"/>
              <w:rPr>
                <w:sz w:val="18"/>
              </w:rPr>
            </w:pPr>
            <w:r>
              <w:rPr>
                <w:color w:val="105C84"/>
                <w:spacing w:val="-2"/>
                <w:sz w:val="18"/>
              </w:rPr>
              <w:t>3</w:t>
            </w:r>
            <w:r>
              <w:rPr>
                <w:color w:val="105C84"/>
                <w:spacing w:val="-11"/>
                <w:sz w:val="18"/>
              </w:rPr>
              <w:t> </w:t>
            </w:r>
            <w:r>
              <w:rPr>
                <w:color w:val="105C84"/>
                <w:spacing w:val="-2"/>
                <w:sz w:val="18"/>
              </w:rPr>
              <w:t>stakeholder</w:t>
            </w:r>
            <w:r>
              <w:rPr>
                <w:color w:val="105C84"/>
                <w:spacing w:val="-2"/>
                <w:sz w:val="18"/>
              </w:rPr>
              <w:t>s</w:t>
            </w:r>
            <w:r>
              <w:rPr>
                <w:color w:val="105C84"/>
                <w:spacing w:val="-2"/>
                <w:sz w:val="18"/>
              </w:rPr>
              <w:t> educated</w:t>
            </w:r>
          </w:p>
          <w:p>
            <w:pPr>
              <w:pStyle w:val="TableParagraph"/>
              <w:spacing w:line="232" w:lineRule="auto" w:before="88"/>
              <w:ind w:left="86" w:right="111"/>
              <w:rPr>
                <w:sz w:val="18"/>
              </w:rPr>
            </w:pPr>
            <w:r>
              <w:rPr>
                <w:color w:val="105C84"/>
                <w:sz w:val="18"/>
              </w:rPr>
              <w:t>2 tobacco free major</w:t>
            </w:r>
            <w:r>
              <w:rPr>
                <w:color w:val="105C84"/>
                <w:spacing w:val="-7"/>
                <w:sz w:val="18"/>
              </w:rPr>
              <w:t> </w:t>
            </w:r>
            <w:r>
              <w:rPr>
                <w:color w:val="105C84"/>
                <w:sz w:val="18"/>
              </w:rPr>
              <w:t>employer</w:t>
            </w:r>
            <w:r>
              <w:rPr>
                <w:color w:val="105C84"/>
                <w:spacing w:val="-7"/>
                <w:sz w:val="18"/>
              </w:rPr>
              <w:t> </w:t>
            </w:r>
            <w:r>
              <w:rPr>
                <w:color w:val="105C84"/>
                <w:sz w:val="18"/>
              </w:rPr>
              <w:t>or</w:t>
            </w:r>
            <w:r>
              <w:rPr>
                <w:color w:val="105C84"/>
                <w:sz w:val="18"/>
              </w:rPr>
              <w:t> municipal policies </w:t>
            </w:r>
            <w:r>
              <w:rPr>
                <w:color w:val="105C84"/>
                <w:spacing w:val="-2"/>
                <w:sz w:val="18"/>
              </w:rPr>
              <w:t>adopted</w:t>
            </w:r>
          </w:p>
        </w:tc>
        <w:tc>
          <w:tcPr>
            <w:tcW w:w="1758" w:type="dxa"/>
          </w:tcPr>
          <w:p>
            <w:pPr>
              <w:pStyle w:val="TableParagraph"/>
              <w:spacing w:line="232" w:lineRule="auto" w:before="98"/>
              <w:ind w:left="85"/>
              <w:rPr>
                <w:sz w:val="18"/>
              </w:rPr>
            </w:pPr>
            <w:r>
              <w:rPr>
                <w:color w:val="105C84"/>
                <w:sz w:val="18"/>
              </w:rPr>
              <w:t>6</w:t>
            </w:r>
            <w:r>
              <w:rPr>
                <w:color w:val="105C84"/>
                <w:spacing w:val="-15"/>
                <w:sz w:val="18"/>
              </w:rPr>
              <w:t> </w:t>
            </w:r>
            <w:r>
              <w:rPr>
                <w:color w:val="105C84"/>
                <w:sz w:val="18"/>
              </w:rPr>
              <w:t>earned</w:t>
            </w:r>
            <w:r>
              <w:rPr>
                <w:color w:val="105C84"/>
                <w:spacing w:val="-12"/>
                <w:sz w:val="18"/>
              </w:rPr>
              <w:t> </w:t>
            </w:r>
            <w:r>
              <w:rPr>
                <w:color w:val="105C84"/>
                <w:sz w:val="18"/>
              </w:rPr>
              <w:t>media</w:t>
            </w:r>
            <w:r>
              <w:rPr>
                <w:color w:val="105C84"/>
                <w:sz w:val="18"/>
              </w:rPr>
              <w:t> </w:t>
            </w:r>
            <w:r>
              <w:rPr>
                <w:color w:val="105C84"/>
                <w:spacing w:val="-2"/>
                <w:sz w:val="18"/>
              </w:rPr>
              <w:t>outreaches</w:t>
            </w:r>
          </w:p>
          <w:p>
            <w:pPr>
              <w:pStyle w:val="TableParagraph"/>
              <w:spacing w:line="232" w:lineRule="auto" w:before="88"/>
              <w:ind w:left="85" w:right="371"/>
              <w:rPr>
                <w:sz w:val="18"/>
              </w:rPr>
            </w:pPr>
            <w:r>
              <w:rPr>
                <w:color w:val="105C84"/>
                <w:spacing w:val="-2"/>
                <w:sz w:val="18"/>
              </w:rPr>
              <w:t>#</w:t>
            </w:r>
            <w:r>
              <w:rPr>
                <w:color w:val="105C84"/>
                <w:spacing w:val="-11"/>
                <w:sz w:val="18"/>
              </w:rPr>
              <w:t> </w:t>
            </w:r>
            <w:r>
              <w:rPr>
                <w:color w:val="105C84"/>
                <w:spacing w:val="-2"/>
                <w:sz w:val="18"/>
              </w:rPr>
              <w:t>venues/events information disseminated</w:t>
            </w:r>
          </w:p>
          <w:p>
            <w:pPr>
              <w:pStyle w:val="TableParagraph"/>
              <w:spacing w:line="232" w:lineRule="auto" w:before="88"/>
              <w:ind w:left="85"/>
              <w:rPr>
                <w:sz w:val="18"/>
              </w:rPr>
            </w:pPr>
            <w:r>
              <w:rPr>
                <w:color w:val="105C84"/>
                <w:spacing w:val="-2"/>
                <w:sz w:val="18"/>
              </w:rPr>
              <w:t>3</w:t>
            </w:r>
            <w:r>
              <w:rPr>
                <w:color w:val="105C84"/>
                <w:spacing w:val="-11"/>
                <w:sz w:val="18"/>
              </w:rPr>
              <w:t> </w:t>
            </w:r>
            <w:r>
              <w:rPr>
                <w:color w:val="105C84"/>
                <w:spacing w:val="-2"/>
                <w:sz w:val="18"/>
              </w:rPr>
              <w:t>stakeholder</w:t>
            </w:r>
            <w:r>
              <w:rPr>
                <w:color w:val="105C84"/>
                <w:spacing w:val="-2"/>
                <w:sz w:val="18"/>
              </w:rPr>
              <w:t>s</w:t>
            </w:r>
            <w:r>
              <w:rPr>
                <w:color w:val="105C84"/>
                <w:spacing w:val="-2"/>
                <w:sz w:val="18"/>
              </w:rPr>
              <w:t> educated</w:t>
            </w:r>
          </w:p>
          <w:p>
            <w:pPr>
              <w:pStyle w:val="TableParagraph"/>
              <w:spacing w:line="232" w:lineRule="auto" w:before="88"/>
              <w:ind w:left="85" w:right="111"/>
              <w:rPr>
                <w:sz w:val="18"/>
              </w:rPr>
            </w:pPr>
            <w:r>
              <w:rPr>
                <w:color w:val="105C84"/>
                <w:sz w:val="18"/>
              </w:rPr>
              <w:t>2 tobacco free major</w:t>
            </w:r>
            <w:r>
              <w:rPr>
                <w:color w:val="105C84"/>
                <w:spacing w:val="-7"/>
                <w:sz w:val="18"/>
              </w:rPr>
              <w:t> </w:t>
            </w:r>
            <w:r>
              <w:rPr>
                <w:color w:val="105C84"/>
                <w:sz w:val="18"/>
              </w:rPr>
              <w:t>employer</w:t>
            </w:r>
            <w:r>
              <w:rPr>
                <w:color w:val="105C84"/>
                <w:spacing w:val="-7"/>
                <w:sz w:val="18"/>
              </w:rPr>
              <w:t> </w:t>
            </w:r>
            <w:r>
              <w:rPr>
                <w:color w:val="105C84"/>
                <w:sz w:val="18"/>
              </w:rPr>
              <w:t>or</w:t>
            </w:r>
            <w:r>
              <w:rPr>
                <w:color w:val="105C84"/>
                <w:sz w:val="18"/>
              </w:rPr>
              <w:t> municipal policies </w:t>
            </w:r>
            <w:r>
              <w:rPr>
                <w:color w:val="105C84"/>
                <w:spacing w:val="-2"/>
                <w:sz w:val="18"/>
              </w:rPr>
              <w:t>adopted</w:t>
            </w:r>
          </w:p>
        </w:tc>
        <w:tc>
          <w:tcPr>
            <w:tcW w:w="1672" w:type="dxa"/>
          </w:tcPr>
          <w:p>
            <w:pPr>
              <w:pStyle w:val="TableParagraph"/>
              <w:spacing w:line="232" w:lineRule="auto" w:before="98"/>
              <w:ind w:left="84"/>
              <w:rPr>
                <w:sz w:val="18"/>
              </w:rPr>
            </w:pPr>
            <w:r>
              <w:rPr>
                <w:color w:val="105C84"/>
                <w:spacing w:val="-2"/>
                <w:sz w:val="18"/>
              </w:rPr>
              <w:t>Local</w:t>
            </w:r>
            <w:r>
              <w:rPr>
                <w:color w:val="105C84"/>
                <w:spacing w:val="-11"/>
                <w:sz w:val="18"/>
              </w:rPr>
              <w:t> </w:t>
            </w:r>
            <w:r>
              <w:rPr>
                <w:color w:val="105C84"/>
                <w:spacing w:val="-2"/>
                <w:sz w:val="18"/>
              </w:rPr>
              <w:t>health department</w:t>
            </w:r>
          </w:p>
        </w:tc>
        <w:tc>
          <w:tcPr>
            <w:tcW w:w="1847" w:type="dxa"/>
          </w:tcPr>
          <w:p>
            <w:pPr>
              <w:pStyle w:val="TableParagraph"/>
              <w:spacing w:line="203" w:lineRule="exact" w:before="93"/>
              <w:ind w:left="82"/>
              <w:rPr>
                <w:sz w:val="18"/>
              </w:rPr>
            </w:pPr>
            <w:r>
              <w:rPr>
                <w:color w:val="105C84"/>
                <w:spacing w:val="-2"/>
                <w:sz w:val="18"/>
              </w:rPr>
              <w:t>CCHD/STTAC</w:t>
            </w:r>
          </w:p>
          <w:p>
            <w:pPr>
              <w:pStyle w:val="TableParagraph"/>
              <w:spacing w:line="232" w:lineRule="auto" w:before="1"/>
              <w:ind w:left="82" w:right="137"/>
              <w:rPr>
                <w:sz w:val="18"/>
              </w:rPr>
            </w:pPr>
            <w:r>
              <w:rPr>
                <w:color w:val="105C84"/>
                <w:sz w:val="18"/>
              </w:rPr>
              <w:t>responsible for </w:t>
            </w:r>
            <w:r>
              <w:rPr>
                <w:color w:val="105C84"/>
                <w:spacing w:val="-2"/>
                <w:sz w:val="18"/>
              </w:rPr>
              <w:t>intervention </w:t>
            </w:r>
            <w:r>
              <w:rPr>
                <w:color w:val="105C84"/>
                <w:sz w:val="18"/>
              </w:rPr>
              <w:t>providing needed staff and resources to meet measures </w:t>
            </w:r>
            <w:r>
              <w:rPr>
                <w:color w:val="105C84"/>
                <w:spacing w:val="-2"/>
                <w:sz w:val="18"/>
              </w:rPr>
              <w:t>with</w:t>
            </w:r>
            <w:r>
              <w:rPr>
                <w:color w:val="105C84"/>
                <w:spacing w:val="-13"/>
                <w:sz w:val="18"/>
              </w:rPr>
              <w:t> </w:t>
            </w:r>
            <w:r>
              <w:rPr>
                <w:color w:val="105C84"/>
                <w:spacing w:val="-2"/>
                <w:sz w:val="18"/>
              </w:rPr>
              <w:t>assistance</w:t>
            </w:r>
            <w:r>
              <w:rPr>
                <w:color w:val="105C84"/>
                <w:spacing w:val="-10"/>
                <w:sz w:val="18"/>
              </w:rPr>
              <w:t> </w:t>
            </w:r>
            <w:r>
              <w:rPr>
                <w:color w:val="105C84"/>
                <w:spacing w:val="-2"/>
                <w:sz w:val="18"/>
              </w:rPr>
              <w:t>from </w:t>
            </w:r>
            <w:r>
              <w:rPr>
                <w:color w:val="105C84"/>
                <w:sz w:val="18"/>
              </w:rPr>
              <w:t>Health Priorities Partners</w:t>
            </w:r>
            <w:r>
              <w:rPr>
                <w:color w:val="105C84"/>
                <w:spacing w:val="-4"/>
                <w:sz w:val="18"/>
              </w:rPr>
              <w:t> </w:t>
            </w:r>
            <w:r>
              <w:rPr>
                <w:color w:val="105C84"/>
                <w:sz w:val="18"/>
              </w:rPr>
              <w:t>as</w:t>
            </w:r>
            <w:r>
              <w:rPr>
                <w:color w:val="105C84"/>
                <w:spacing w:val="-4"/>
                <w:sz w:val="18"/>
              </w:rPr>
              <w:t> </w:t>
            </w:r>
            <w:r>
              <w:rPr>
                <w:color w:val="105C84"/>
                <w:sz w:val="18"/>
              </w:rPr>
              <w:t>needed</w:t>
            </w:r>
          </w:p>
        </w:tc>
      </w:tr>
    </w:tbl>
    <w:p>
      <w:pPr>
        <w:pStyle w:val="BodyText"/>
        <w:rPr>
          <w:b/>
          <w:sz w:val="26"/>
        </w:rPr>
      </w:pPr>
    </w:p>
    <w:p>
      <w:pPr>
        <w:pStyle w:val="BodyText"/>
        <w:rPr>
          <w:b/>
          <w:sz w:val="26"/>
        </w:rPr>
      </w:pPr>
    </w:p>
    <w:p>
      <w:pPr>
        <w:pStyle w:val="BodyText"/>
        <w:spacing w:before="29"/>
        <w:rPr>
          <w:b/>
          <w:sz w:val="26"/>
        </w:rPr>
      </w:pPr>
    </w:p>
    <w:p>
      <w:pPr>
        <w:tabs>
          <w:tab w:pos="23047" w:val="left" w:leader="none"/>
        </w:tabs>
        <w:spacing w:before="0"/>
        <w:ind w:left="0" w:right="0" w:firstLine="0"/>
        <w:jc w:val="left"/>
        <w:rPr>
          <w:b/>
          <w:sz w:val="26"/>
        </w:rPr>
      </w:pPr>
      <w:r>
        <w:rPr>
          <w:position w:val="-4"/>
        </w:rPr>
        <w:drawing>
          <wp:inline distT="0" distB="0" distL="0" distR="0">
            <wp:extent cx="568172" cy="184683"/>
            <wp:effectExtent l="0" t="0" r="0" b="0"/>
            <wp:docPr id="1752" name="Image 1752"/>
            <wp:cNvGraphicFramePr>
              <a:graphicFrameLocks/>
            </wp:cNvGraphicFramePr>
            <a:graphic>
              <a:graphicData uri="http://schemas.openxmlformats.org/drawingml/2006/picture">
                <pic:pic>
                  <pic:nvPicPr>
                    <pic:cNvPr id="1752" name="Image 1752"/>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13"/>
          <w:sz w:val="20"/>
        </w:rPr>
        <w:t> </w:t>
      </w:r>
      <w:r>
        <w:rPr>
          <w:b/>
          <w:color w:val="939598"/>
          <w:w w:val="105"/>
          <w:sz w:val="26"/>
        </w:rPr>
        <w:t>127</w:t>
      </w:r>
      <w:r>
        <w:rPr>
          <w:b/>
          <w:color w:val="939598"/>
          <w:sz w:val="26"/>
        </w:rPr>
        <w:tab/>
      </w:r>
      <w:r>
        <w:rPr>
          <w:b/>
          <w:color w:val="939598"/>
          <w:spacing w:val="-5"/>
          <w:w w:val="105"/>
          <w:sz w:val="26"/>
        </w:rPr>
        <w:t>128</w:t>
      </w:r>
    </w:p>
    <w:p>
      <w:pPr>
        <w:spacing w:after="0"/>
        <w:jc w:val="left"/>
        <w:rPr>
          <w:b/>
          <w:sz w:val="26"/>
        </w:rPr>
        <w:sectPr>
          <w:pgSz w:w="24480" w:h="15840" w:orient="landscape"/>
          <w:pgMar w:header="0" w:footer="0" w:top="860" w:bottom="0" w:left="0" w:right="720"/>
        </w:sectPr>
      </w:pPr>
    </w:p>
    <w:p>
      <w:pPr>
        <w:pStyle w:val="Heading2"/>
      </w:pPr>
      <w:r>
        <w:rPr/>
        <w:drawing>
          <wp:anchor distT="0" distB="0" distL="0" distR="0" allowOverlap="1" layoutInCell="1" locked="0" behindDoc="0" simplePos="0" relativeHeight="15926784">
            <wp:simplePos x="0" y="0"/>
            <wp:positionH relativeFrom="page">
              <wp:posOffset>14981556</wp:posOffset>
            </wp:positionH>
            <wp:positionV relativeFrom="page">
              <wp:posOffset>9668103</wp:posOffset>
            </wp:positionV>
            <wp:extent cx="563245" cy="184683"/>
            <wp:effectExtent l="0" t="0" r="0" b="0"/>
            <wp:wrapNone/>
            <wp:docPr id="1758" name="Image 1758"/>
            <wp:cNvGraphicFramePr>
              <a:graphicFrameLocks/>
            </wp:cNvGraphicFramePr>
            <a:graphic>
              <a:graphicData uri="http://schemas.openxmlformats.org/drawingml/2006/picture">
                <pic:pic>
                  <pic:nvPicPr>
                    <pic:cNvPr id="1758" name="Image 1758"/>
                    <pic:cNvPicPr/>
                  </pic:nvPicPr>
                  <pic:blipFill>
                    <a:blip r:embed="rId38" cstate="print"/>
                    <a:stretch>
                      <a:fillRect/>
                    </a:stretch>
                  </pic:blipFill>
                  <pic:spPr>
                    <a:xfrm>
                      <a:off x="0" y="0"/>
                      <a:ext cx="563245" cy="184683"/>
                    </a:xfrm>
                    <a:prstGeom prst="rect">
                      <a:avLst/>
                    </a:prstGeom>
                  </pic:spPr>
                </pic:pic>
              </a:graphicData>
            </a:graphic>
          </wp:anchor>
        </w:drawing>
      </w:r>
      <w:r>
        <w:rPr/>
        <w:drawing>
          <wp:anchor distT="0" distB="0" distL="0" distR="0" allowOverlap="1" layoutInCell="1" locked="0" behindDoc="0" simplePos="0" relativeHeight="15927296">
            <wp:simplePos x="0" y="0"/>
            <wp:positionH relativeFrom="page">
              <wp:posOffset>14162106</wp:posOffset>
            </wp:positionH>
            <wp:positionV relativeFrom="paragraph">
              <wp:posOffset>321014</wp:posOffset>
            </wp:positionV>
            <wp:extent cx="696753" cy="690419"/>
            <wp:effectExtent l="0" t="0" r="0" b="0"/>
            <wp:wrapNone/>
            <wp:docPr id="1759" name="Image 1759"/>
            <wp:cNvGraphicFramePr>
              <a:graphicFrameLocks/>
            </wp:cNvGraphicFramePr>
            <a:graphic>
              <a:graphicData uri="http://schemas.openxmlformats.org/drawingml/2006/picture">
                <pic:pic>
                  <pic:nvPicPr>
                    <pic:cNvPr id="1759" name="Image 1759"/>
                    <pic:cNvPicPr/>
                  </pic:nvPicPr>
                  <pic:blipFill>
                    <a:blip r:embed="rId244" cstate="print"/>
                    <a:stretch>
                      <a:fillRect/>
                    </a:stretch>
                  </pic:blipFill>
                  <pic:spPr>
                    <a:xfrm>
                      <a:off x="0" y="0"/>
                      <a:ext cx="696753" cy="690419"/>
                    </a:xfrm>
                    <a:prstGeom prst="rect">
                      <a:avLst/>
                    </a:prstGeom>
                  </pic:spPr>
                </pic:pic>
              </a:graphicData>
            </a:graphic>
          </wp:anchor>
        </w:drawing>
      </w:r>
      <w:r>
        <w:rPr/>
        <w:drawing>
          <wp:anchor distT="0" distB="0" distL="0" distR="0" allowOverlap="1" layoutInCell="1" locked="0" behindDoc="0" simplePos="0" relativeHeight="15927808">
            <wp:simplePos x="0" y="0"/>
            <wp:positionH relativeFrom="page">
              <wp:posOffset>12710185</wp:posOffset>
            </wp:positionH>
            <wp:positionV relativeFrom="paragraph">
              <wp:posOffset>365760</wp:posOffset>
            </wp:positionV>
            <wp:extent cx="1326527" cy="258263"/>
            <wp:effectExtent l="0" t="0" r="0" b="0"/>
            <wp:wrapNone/>
            <wp:docPr id="1760" name="Image 1760"/>
            <wp:cNvGraphicFramePr>
              <a:graphicFrameLocks/>
            </wp:cNvGraphicFramePr>
            <a:graphic>
              <a:graphicData uri="http://schemas.openxmlformats.org/drawingml/2006/picture">
                <pic:pic>
                  <pic:nvPicPr>
                    <pic:cNvPr id="1760" name="Image 1760"/>
                    <pic:cNvPicPr/>
                  </pic:nvPicPr>
                  <pic:blipFill>
                    <a:blip r:embed="rId245" cstate="print"/>
                    <a:stretch>
                      <a:fillRect/>
                    </a:stretch>
                  </pic:blipFill>
                  <pic:spPr>
                    <a:xfrm>
                      <a:off x="0" y="0"/>
                      <a:ext cx="1326527" cy="258263"/>
                    </a:xfrm>
                    <a:prstGeom prst="rect">
                      <a:avLst/>
                    </a:prstGeom>
                  </pic:spPr>
                </pic:pic>
              </a:graphicData>
            </a:graphic>
          </wp:anchor>
        </w:drawing>
      </w:r>
      <w:r>
        <w:rPr/>
        <w:drawing>
          <wp:anchor distT="0" distB="0" distL="0" distR="0" allowOverlap="1" layoutInCell="1" locked="0" behindDoc="0" simplePos="0" relativeHeight="15928320">
            <wp:simplePos x="0" y="0"/>
            <wp:positionH relativeFrom="page">
              <wp:posOffset>11252403</wp:posOffset>
            </wp:positionH>
            <wp:positionV relativeFrom="paragraph">
              <wp:posOffset>311404</wp:posOffset>
            </wp:positionV>
            <wp:extent cx="1291335" cy="314959"/>
            <wp:effectExtent l="0" t="0" r="0" b="0"/>
            <wp:wrapNone/>
            <wp:docPr id="1761" name="Image 1761"/>
            <wp:cNvGraphicFramePr>
              <a:graphicFrameLocks/>
            </wp:cNvGraphicFramePr>
            <a:graphic>
              <a:graphicData uri="http://schemas.openxmlformats.org/drawingml/2006/picture">
                <pic:pic>
                  <pic:nvPicPr>
                    <pic:cNvPr id="1761" name="Image 1761"/>
                    <pic:cNvPicPr/>
                  </pic:nvPicPr>
                  <pic:blipFill>
                    <a:blip r:embed="rId246" cstate="print"/>
                    <a:stretch>
                      <a:fillRect/>
                    </a:stretch>
                  </pic:blipFill>
                  <pic:spPr>
                    <a:xfrm>
                      <a:off x="0" y="0"/>
                      <a:ext cx="1291335" cy="314959"/>
                    </a:xfrm>
                    <a:prstGeom prst="rect">
                      <a:avLst/>
                    </a:prstGeom>
                  </pic:spPr>
                </pic:pic>
              </a:graphicData>
            </a:graphic>
          </wp:anchor>
        </w:drawing>
      </w:r>
      <w:bookmarkStart w:name="_TOC_250006" w:id="13"/>
      <w:r>
        <w:rPr>
          <w:color w:val="636466"/>
        </w:rPr>
        <w:t>Livingston</w:t>
      </w:r>
      <w:r>
        <w:rPr>
          <w:color w:val="636466"/>
          <w:spacing w:val="70"/>
        </w:rPr>
        <w:t> </w:t>
      </w:r>
      <w:r>
        <w:rPr>
          <w:color w:val="636466"/>
        </w:rPr>
        <w:t>County</w:t>
      </w:r>
      <w:r>
        <w:rPr>
          <w:color w:val="636466"/>
          <w:spacing w:val="71"/>
        </w:rPr>
        <w:t> </w:t>
      </w:r>
      <w:r>
        <w:rPr>
          <w:color w:val="636466"/>
        </w:rPr>
        <w:t>Appendix</w:t>
      </w:r>
      <w:r>
        <w:rPr>
          <w:color w:val="636466"/>
          <w:spacing w:val="71"/>
        </w:rPr>
        <w:t> </w:t>
      </w:r>
      <w:bookmarkEnd w:id="13"/>
      <w:r>
        <w:rPr>
          <w:color w:val="636466"/>
          <w:spacing w:val="-10"/>
        </w:rPr>
        <w:t>B</w:t>
      </w:r>
    </w:p>
    <w:p>
      <w:pPr>
        <w:spacing w:before="235"/>
        <w:ind w:left="1089" w:right="0" w:firstLine="0"/>
        <w:jc w:val="left"/>
        <w:rPr>
          <w:b/>
          <w:sz w:val="32"/>
        </w:rPr>
      </w:pPr>
      <w:r>
        <w:rPr>
          <w:b/>
          <w:color w:val="82BF6A"/>
          <w:spacing w:val="-6"/>
          <w:sz w:val="32"/>
        </w:rPr>
        <w:t>PRIORITY:</w:t>
      </w:r>
      <w:r>
        <w:rPr>
          <w:b/>
          <w:color w:val="82BF6A"/>
          <w:spacing w:val="-13"/>
          <w:sz w:val="32"/>
        </w:rPr>
        <w:t> </w:t>
      </w:r>
      <w:r>
        <w:rPr>
          <w:b/>
          <w:color w:val="82BF6A"/>
          <w:spacing w:val="-6"/>
          <w:sz w:val="32"/>
        </w:rPr>
        <w:t>PREVENT</w:t>
      </w:r>
      <w:r>
        <w:rPr>
          <w:b/>
          <w:color w:val="82BF6A"/>
          <w:spacing w:val="-13"/>
          <w:sz w:val="32"/>
        </w:rPr>
        <w:t> </w:t>
      </w:r>
      <w:r>
        <w:rPr>
          <w:b/>
          <w:color w:val="82BF6A"/>
          <w:spacing w:val="-6"/>
          <w:sz w:val="32"/>
        </w:rPr>
        <w:t>CHRONIC</w:t>
      </w:r>
      <w:r>
        <w:rPr>
          <w:b/>
          <w:color w:val="82BF6A"/>
          <w:spacing w:val="-13"/>
          <w:sz w:val="32"/>
        </w:rPr>
        <w:t> </w:t>
      </w:r>
      <w:r>
        <w:rPr>
          <w:b/>
          <w:color w:val="82BF6A"/>
          <w:spacing w:val="-6"/>
          <w:sz w:val="32"/>
        </w:rPr>
        <w:t>DISEASES</w:t>
      </w:r>
    </w:p>
    <w:p>
      <w:pPr>
        <w:pStyle w:val="BodyText"/>
        <w:spacing w:before="8"/>
        <w:rPr>
          <w:b/>
          <w:sz w:val="16"/>
        </w:rPr>
      </w:pPr>
    </w:p>
    <w:tbl>
      <w:tblPr>
        <w:tblW w:w="0" w:type="auto"/>
        <w:jc w:val="left"/>
        <w:tblInd w:w="1099"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1008"/>
        <w:gridCol w:w="1152"/>
        <w:gridCol w:w="1181"/>
        <w:gridCol w:w="2477"/>
        <w:gridCol w:w="1210"/>
        <w:gridCol w:w="4109"/>
        <w:gridCol w:w="4150"/>
        <w:gridCol w:w="1757"/>
        <w:gridCol w:w="2967"/>
        <w:gridCol w:w="2242"/>
      </w:tblGrid>
      <w:tr>
        <w:trPr>
          <w:trHeight w:val="990" w:hRule="atLeast"/>
        </w:trPr>
        <w:tc>
          <w:tcPr>
            <w:tcW w:w="1008" w:type="dxa"/>
            <w:tcBorders>
              <w:right w:val="single" w:sz="4" w:space="0" w:color="FFFFFF"/>
            </w:tcBorders>
            <w:shd w:val="clear" w:color="auto" w:fill="A7A9AC"/>
          </w:tcPr>
          <w:p>
            <w:pPr>
              <w:pStyle w:val="TableParagraph"/>
              <w:spacing w:before="177"/>
              <w:rPr>
                <w:b/>
                <w:sz w:val="20"/>
              </w:rPr>
            </w:pPr>
          </w:p>
          <w:p>
            <w:pPr>
              <w:pStyle w:val="TableParagraph"/>
              <w:ind w:left="80"/>
              <w:rPr>
                <w:b/>
                <w:sz w:val="20"/>
              </w:rPr>
            </w:pPr>
            <w:r>
              <w:rPr>
                <w:b/>
                <w:color w:val="FFFFFF"/>
                <w:spacing w:val="-2"/>
                <w:sz w:val="20"/>
              </w:rPr>
              <w:t>Priority</w:t>
            </w:r>
          </w:p>
        </w:tc>
        <w:tc>
          <w:tcPr>
            <w:tcW w:w="1152" w:type="dxa"/>
            <w:tcBorders>
              <w:left w:val="single" w:sz="4" w:space="0" w:color="FFFFFF"/>
              <w:right w:val="single" w:sz="4" w:space="0" w:color="FFFFFF"/>
            </w:tcBorders>
            <w:shd w:val="clear" w:color="auto" w:fill="A7A9AC"/>
          </w:tcPr>
          <w:p>
            <w:pPr>
              <w:pStyle w:val="TableParagraph"/>
              <w:spacing w:before="74"/>
              <w:rPr>
                <w:b/>
                <w:sz w:val="20"/>
              </w:rPr>
            </w:pPr>
          </w:p>
          <w:p>
            <w:pPr>
              <w:pStyle w:val="TableParagraph"/>
              <w:spacing w:line="230" w:lineRule="auto" w:before="1"/>
              <w:ind w:left="79" w:right="522"/>
              <w:rPr>
                <w:b/>
                <w:sz w:val="20"/>
              </w:rPr>
            </w:pPr>
            <w:r>
              <w:rPr>
                <w:b/>
                <w:color w:val="FFFFFF"/>
                <w:spacing w:val="-2"/>
                <w:w w:val="90"/>
                <w:sz w:val="20"/>
              </w:rPr>
              <w:t>Focus </w:t>
            </w:r>
            <w:r>
              <w:rPr>
                <w:b/>
                <w:color w:val="FFFFFF"/>
                <w:spacing w:val="-4"/>
                <w:sz w:val="20"/>
              </w:rPr>
              <w:t>Area</w:t>
            </w:r>
          </w:p>
        </w:tc>
        <w:tc>
          <w:tcPr>
            <w:tcW w:w="1181" w:type="dxa"/>
            <w:tcBorders>
              <w:left w:val="single" w:sz="4" w:space="0" w:color="FFFFFF"/>
              <w:right w:val="single" w:sz="4" w:space="0" w:color="FFFFFF"/>
            </w:tcBorders>
            <w:shd w:val="clear" w:color="auto" w:fill="A7A9AC"/>
          </w:tcPr>
          <w:p>
            <w:pPr>
              <w:pStyle w:val="TableParagraph"/>
              <w:spacing w:line="230" w:lineRule="auto" w:before="195"/>
              <w:ind w:left="79" w:right="551"/>
              <w:rPr>
                <w:b/>
                <w:sz w:val="20"/>
              </w:rPr>
            </w:pPr>
            <w:r>
              <w:rPr>
                <w:b/>
                <w:color w:val="FFFFFF"/>
                <w:spacing w:val="-4"/>
                <w:sz w:val="20"/>
              </w:rPr>
              <w:t>Goal </w:t>
            </w:r>
            <w:r>
              <w:rPr>
                <w:b/>
                <w:color w:val="FFFFFF"/>
                <w:spacing w:val="-2"/>
                <w:w w:val="90"/>
                <w:sz w:val="20"/>
              </w:rPr>
              <w:t>Focus </w:t>
            </w:r>
            <w:r>
              <w:rPr>
                <w:b/>
                <w:color w:val="FFFFFF"/>
                <w:spacing w:val="-4"/>
                <w:sz w:val="20"/>
              </w:rPr>
              <w:t>Area</w:t>
            </w:r>
          </w:p>
        </w:tc>
        <w:tc>
          <w:tcPr>
            <w:tcW w:w="2477" w:type="dxa"/>
            <w:tcBorders>
              <w:left w:val="single" w:sz="4" w:space="0" w:color="FFFFFF"/>
              <w:right w:val="single" w:sz="4" w:space="0" w:color="FFFFFF"/>
            </w:tcBorders>
            <w:shd w:val="clear" w:color="auto" w:fill="A7A9AC"/>
          </w:tcPr>
          <w:p>
            <w:pPr>
              <w:pStyle w:val="TableParagraph"/>
              <w:spacing w:before="177"/>
              <w:rPr>
                <w:b/>
                <w:sz w:val="20"/>
              </w:rPr>
            </w:pPr>
          </w:p>
          <w:p>
            <w:pPr>
              <w:pStyle w:val="TableParagraph"/>
              <w:ind w:left="79"/>
              <w:rPr>
                <w:b/>
                <w:sz w:val="20"/>
              </w:rPr>
            </w:pPr>
            <w:r>
              <w:rPr>
                <w:b/>
                <w:color w:val="FFFFFF"/>
                <w:spacing w:val="-2"/>
                <w:sz w:val="20"/>
              </w:rPr>
              <w:t>Objectives</w:t>
            </w:r>
          </w:p>
        </w:tc>
        <w:tc>
          <w:tcPr>
            <w:tcW w:w="1210" w:type="dxa"/>
            <w:tcBorders>
              <w:left w:val="single" w:sz="4" w:space="0" w:color="FFFFFF"/>
              <w:right w:val="single" w:sz="4" w:space="0" w:color="FFFFFF"/>
            </w:tcBorders>
            <w:shd w:val="clear" w:color="auto" w:fill="A7A9AC"/>
          </w:tcPr>
          <w:p>
            <w:pPr>
              <w:pStyle w:val="TableParagraph"/>
              <w:spacing w:before="177"/>
              <w:rPr>
                <w:b/>
                <w:sz w:val="20"/>
              </w:rPr>
            </w:pPr>
          </w:p>
          <w:p>
            <w:pPr>
              <w:pStyle w:val="TableParagraph"/>
              <w:ind w:left="79"/>
              <w:rPr>
                <w:b/>
                <w:sz w:val="20"/>
              </w:rPr>
            </w:pPr>
            <w:r>
              <w:rPr>
                <w:b/>
                <w:color w:val="FFFFFF"/>
                <w:spacing w:val="-2"/>
                <w:sz w:val="20"/>
              </w:rPr>
              <w:t>Disparities</w:t>
            </w:r>
          </w:p>
        </w:tc>
        <w:tc>
          <w:tcPr>
            <w:tcW w:w="4109" w:type="dxa"/>
            <w:tcBorders>
              <w:left w:val="single" w:sz="4" w:space="0" w:color="FFFFFF"/>
              <w:right w:val="nil"/>
            </w:tcBorders>
            <w:shd w:val="clear" w:color="auto" w:fill="A7A9AC"/>
          </w:tcPr>
          <w:p>
            <w:pPr>
              <w:pStyle w:val="TableParagraph"/>
              <w:spacing w:before="177"/>
              <w:rPr>
                <w:b/>
                <w:sz w:val="20"/>
              </w:rPr>
            </w:pPr>
          </w:p>
          <w:p>
            <w:pPr>
              <w:pStyle w:val="TableParagraph"/>
              <w:ind w:left="78"/>
              <w:rPr>
                <w:b/>
                <w:sz w:val="20"/>
              </w:rPr>
            </w:pPr>
            <w:r>
              <w:rPr>
                <w:b/>
                <w:color w:val="FFFFFF"/>
                <w:spacing w:val="-2"/>
                <w:sz w:val="20"/>
              </w:rPr>
              <w:t>Interventions</w:t>
            </w:r>
          </w:p>
        </w:tc>
        <w:tc>
          <w:tcPr>
            <w:tcW w:w="4150" w:type="dxa"/>
            <w:tcBorders>
              <w:left w:val="nil"/>
              <w:right w:val="single" w:sz="4" w:space="0" w:color="FFFFFF"/>
            </w:tcBorders>
            <w:shd w:val="clear" w:color="auto" w:fill="A7A9AC"/>
          </w:tcPr>
          <w:p>
            <w:pPr>
              <w:pStyle w:val="TableParagraph"/>
              <w:spacing w:before="177"/>
              <w:rPr>
                <w:b/>
                <w:sz w:val="20"/>
              </w:rPr>
            </w:pPr>
          </w:p>
          <w:p>
            <w:pPr>
              <w:pStyle w:val="TableParagraph"/>
              <w:ind w:left="1183"/>
              <w:rPr>
                <w:b/>
                <w:sz w:val="20"/>
              </w:rPr>
            </w:pPr>
            <w:r>
              <w:rPr>
                <w:b/>
                <w:color w:val="FFFFFF"/>
                <w:sz w:val="20"/>
              </w:rPr>
              <w:t>Family</w:t>
            </w:r>
            <w:r>
              <w:rPr>
                <w:b/>
                <w:color w:val="FFFFFF"/>
                <w:spacing w:val="-12"/>
                <w:sz w:val="20"/>
              </w:rPr>
              <w:t> </w:t>
            </w:r>
            <w:r>
              <w:rPr>
                <w:b/>
                <w:color w:val="FFFFFF"/>
                <w:sz w:val="20"/>
              </w:rPr>
              <w:t>of</w:t>
            </w:r>
            <w:r>
              <w:rPr>
                <w:b/>
                <w:color w:val="FFFFFF"/>
                <w:spacing w:val="-12"/>
                <w:sz w:val="20"/>
              </w:rPr>
              <w:t> </w:t>
            </w:r>
            <w:r>
              <w:rPr>
                <w:b/>
                <w:color w:val="FFFFFF"/>
                <w:spacing w:val="-2"/>
                <w:sz w:val="20"/>
              </w:rPr>
              <w:t>Measures</w:t>
            </w:r>
          </w:p>
        </w:tc>
        <w:tc>
          <w:tcPr>
            <w:tcW w:w="1757" w:type="dxa"/>
            <w:tcBorders>
              <w:left w:val="single" w:sz="4" w:space="0" w:color="FFFFFF"/>
              <w:right w:val="single" w:sz="4" w:space="0" w:color="FFFFFF"/>
            </w:tcBorders>
            <w:shd w:val="clear" w:color="auto" w:fill="A7A9AC"/>
          </w:tcPr>
          <w:p>
            <w:pPr>
              <w:pStyle w:val="TableParagraph"/>
              <w:spacing w:before="74"/>
              <w:rPr>
                <w:b/>
                <w:sz w:val="20"/>
              </w:rPr>
            </w:pPr>
          </w:p>
          <w:p>
            <w:pPr>
              <w:pStyle w:val="TableParagraph"/>
              <w:spacing w:line="230" w:lineRule="auto" w:before="1"/>
              <w:ind w:left="88"/>
              <w:rPr>
                <w:b/>
                <w:sz w:val="20"/>
              </w:rPr>
            </w:pPr>
            <w:r>
              <w:rPr>
                <w:b/>
                <w:color w:val="FFFFFF"/>
                <w:spacing w:val="-2"/>
                <w:sz w:val="20"/>
              </w:rPr>
              <w:t>Implementation Partner</w:t>
            </w:r>
          </w:p>
        </w:tc>
        <w:tc>
          <w:tcPr>
            <w:tcW w:w="2967" w:type="dxa"/>
            <w:tcBorders>
              <w:left w:val="single" w:sz="4" w:space="0" w:color="FFFFFF"/>
              <w:right w:val="single" w:sz="4" w:space="0" w:color="FFFFFF"/>
            </w:tcBorders>
            <w:shd w:val="clear" w:color="auto" w:fill="A7A9AC"/>
          </w:tcPr>
          <w:p>
            <w:pPr>
              <w:pStyle w:val="TableParagraph"/>
              <w:spacing w:before="177"/>
              <w:rPr>
                <w:b/>
                <w:sz w:val="20"/>
              </w:rPr>
            </w:pPr>
          </w:p>
          <w:p>
            <w:pPr>
              <w:pStyle w:val="TableParagraph"/>
              <w:ind w:left="78"/>
              <w:rPr>
                <w:b/>
                <w:sz w:val="20"/>
              </w:rPr>
            </w:pPr>
            <w:r>
              <w:rPr>
                <w:b/>
                <w:color w:val="FFFFFF"/>
                <w:spacing w:val="-4"/>
                <w:sz w:val="20"/>
              </w:rPr>
              <w:t>Partner</w:t>
            </w:r>
            <w:r>
              <w:rPr>
                <w:b/>
                <w:color w:val="FFFFFF"/>
                <w:spacing w:val="-2"/>
                <w:sz w:val="20"/>
              </w:rPr>
              <w:t> </w:t>
            </w:r>
            <w:r>
              <w:rPr>
                <w:b/>
                <w:color w:val="FFFFFF"/>
                <w:spacing w:val="-4"/>
                <w:sz w:val="20"/>
              </w:rPr>
              <w:t>Roles</w:t>
            </w:r>
            <w:r>
              <w:rPr>
                <w:b/>
                <w:color w:val="FFFFFF"/>
                <w:spacing w:val="-2"/>
                <w:sz w:val="20"/>
              </w:rPr>
              <w:t> </w:t>
            </w:r>
            <w:r>
              <w:rPr>
                <w:b/>
                <w:color w:val="FFFFFF"/>
                <w:spacing w:val="-4"/>
                <w:sz w:val="20"/>
              </w:rPr>
              <w:t>Resources</w:t>
            </w:r>
          </w:p>
        </w:tc>
        <w:tc>
          <w:tcPr>
            <w:tcW w:w="2242" w:type="dxa"/>
            <w:tcBorders>
              <w:left w:val="single" w:sz="4" w:space="0" w:color="FFFFFF"/>
              <w:right w:val="single" w:sz="4" w:space="0" w:color="FFFFFF"/>
            </w:tcBorders>
            <w:shd w:val="clear" w:color="auto" w:fill="A7A9AC"/>
          </w:tcPr>
          <w:p>
            <w:pPr>
              <w:pStyle w:val="TableParagraph"/>
              <w:spacing w:before="67"/>
              <w:rPr>
                <w:b/>
                <w:sz w:val="20"/>
              </w:rPr>
            </w:pPr>
          </w:p>
          <w:p>
            <w:pPr>
              <w:pStyle w:val="TableParagraph"/>
              <w:spacing w:line="225" w:lineRule="exact"/>
              <w:ind w:left="77"/>
              <w:rPr>
                <w:b/>
                <w:sz w:val="20"/>
              </w:rPr>
            </w:pPr>
            <w:r>
              <w:rPr>
                <w:b/>
                <w:color w:val="FFFFFF"/>
                <w:spacing w:val="-2"/>
                <w:sz w:val="20"/>
              </w:rPr>
              <w:t>Projected</w:t>
            </w:r>
            <w:r>
              <w:rPr>
                <w:b/>
                <w:color w:val="FFFFFF"/>
                <w:spacing w:val="-8"/>
                <w:sz w:val="20"/>
              </w:rPr>
              <w:t> </w:t>
            </w:r>
            <w:r>
              <w:rPr>
                <w:b/>
                <w:color w:val="FFFFFF"/>
                <w:spacing w:val="-2"/>
                <w:sz w:val="20"/>
              </w:rPr>
              <w:t>Year</w:t>
            </w:r>
            <w:r>
              <w:rPr>
                <w:b/>
                <w:color w:val="FFFFFF"/>
                <w:spacing w:val="-7"/>
                <w:sz w:val="20"/>
              </w:rPr>
              <w:t> </w:t>
            </w:r>
            <w:r>
              <w:rPr>
                <w:b/>
                <w:color w:val="FFFFFF"/>
                <w:spacing w:val="-4"/>
                <w:sz w:val="20"/>
              </w:rPr>
              <w:t>1,2,</w:t>
            </w:r>
          </w:p>
          <w:p>
            <w:pPr>
              <w:pStyle w:val="TableParagraph"/>
              <w:spacing w:line="225" w:lineRule="exact"/>
              <w:ind w:left="77"/>
              <w:rPr>
                <w:b/>
                <w:sz w:val="20"/>
              </w:rPr>
            </w:pPr>
            <w:r>
              <w:rPr>
                <w:b/>
                <w:color w:val="FFFFFF"/>
                <w:sz w:val="20"/>
              </w:rPr>
              <w:t>and</w:t>
            </w:r>
            <w:r>
              <w:rPr>
                <w:b/>
                <w:color w:val="FFFFFF"/>
                <w:spacing w:val="-8"/>
                <w:sz w:val="20"/>
              </w:rPr>
              <w:t> </w:t>
            </w:r>
            <w:r>
              <w:rPr>
                <w:b/>
                <w:color w:val="FFFFFF"/>
                <w:spacing w:val="-10"/>
                <w:sz w:val="20"/>
              </w:rPr>
              <w:t>3</w:t>
            </w:r>
          </w:p>
        </w:tc>
      </w:tr>
      <w:tr>
        <w:trPr>
          <w:trHeight w:val="2107" w:hRule="atLeast"/>
        </w:trPr>
        <w:tc>
          <w:tcPr>
            <w:tcW w:w="1008" w:type="dxa"/>
            <w:tcBorders>
              <w:bottom w:val="nil"/>
            </w:tcBorders>
            <w:shd w:val="clear" w:color="auto" w:fill="E6E7E8"/>
          </w:tcPr>
          <w:p>
            <w:pPr>
              <w:pStyle w:val="TableParagraph"/>
              <w:spacing w:line="232" w:lineRule="auto" w:before="101"/>
              <w:ind w:left="90" w:right="191"/>
              <w:jc w:val="both"/>
              <w:rPr>
                <w:sz w:val="18"/>
              </w:rPr>
            </w:pPr>
            <w:r>
              <w:rPr>
                <w:color w:val="105C84"/>
                <w:spacing w:val="-2"/>
                <w:sz w:val="18"/>
              </w:rPr>
              <w:t>Prevent Chronic </w:t>
            </w:r>
            <w:r>
              <w:rPr>
                <w:color w:val="105C84"/>
                <w:spacing w:val="-6"/>
                <w:sz w:val="18"/>
              </w:rPr>
              <w:t>Diseases</w:t>
            </w:r>
          </w:p>
        </w:tc>
        <w:tc>
          <w:tcPr>
            <w:tcW w:w="1152" w:type="dxa"/>
            <w:tcBorders>
              <w:bottom w:val="nil"/>
            </w:tcBorders>
          </w:tcPr>
          <w:p>
            <w:pPr>
              <w:pStyle w:val="TableParagraph"/>
              <w:spacing w:line="232" w:lineRule="auto" w:before="101"/>
              <w:ind w:left="89" w:right="157"/>
              <w:rPr>
                <w:sz w:val="18"/>
              </w:rPr>
            </w:pPr>
            <w:r>
              <w:rPr>
                <w:color w:val="105C84"/>
                <w:spacing w:val="-4"/>
                <w:sz w:val="18"/>
              </w:rPr>
              <w:t>Focus</w:t>
            </w:r>
            <w:r>
              <w:rPr>
                <w:color w:val="105C84"/>
                <w:spacing w:val="-9"/>
                <w:sz w:val="18"/>
              </w:rPr>
              <w:t> </w:t>
            </w:r>
            <w:r>
              <w:rPr>
                <w:color w:val="105C84"/>
                <w:spacing w:val="-4"/>
                <w:sz w:val="18"/>
              </w:rPr>
              <w:t>Area </w:t>
            </w:r>
            <w:r>
              <w:rPr>
                <w:color w:val="105C84"/>
                <w:sz w:val="18"/>
              </w:rPr>
              <w:t>1: Healthy </w:t>
            </w:r>
            <w:r>
              <w:rPr>
                <w:color w:val="105C84"/>
                <w:spacing w:val="-2"/>
                <w:sz w:val="18"/>
              </w:rPr>
              <w:t>Eating</w:t>
            </w:r>
          </w:p>
          <w:p>
            <w:pPr>
              <w:pStyle w:val="TableParagraph"/>
              <w:spacing w:line="232" w:lineRule="auto"/>
              <w:ind w:left="89" w:right="140"/>
              <w:rPr>
                <w:sz w:val="18"/>
              </w:rPr>
            </w:pPr>
            <w:r>
              <w:rPr>
                <w:color w:val="105C84"/>
                <w:sz w:val="18"/>
              </w:rPr>
              <w:t>and</w:t>
            </w:r>
            <w:r>
              <w:rPr>
                <w:color w:val="105C84"/>
                <w:spacing w:val="-13"/>
                <w:sz w:val="18"/>
              </w:rPr>
              <w:t> </w:t>
            </w:r>
            <w:r>
              <w:rPr>
                <w:color w:val="105C84"/>
                <w:sz w:val="18"/>
              </w:rPr>
              <w:t>Food </w:t>
            </w:r>
            <w:r>
              <w:rPr>
                <w:color w:val="105C84"/>
                <w:spacing w:val="-2"/>
                <w:sz w:val="18"/>
              </w:rPr>
              <w:t>Security</w:t>
            </w:r>
          </w:p>
        </w:tc>
        <w:tc>
          <w:tcPr>
            <w:tcW w:w="1181" w:type="dxa"/>
            <w:tcBorders>
              <w:bottom w:val="nil"/>
            </w:tcBorders>
          </w:tcPr>
          <w:p>
            <w:pPr>
              <w:pStyle w:val="TableParagraph"/>
              <w:spacing w:line="232" w:lineRule="auto" w:before="101"/>
              <w:ind w:left="89"/>
              <w:rPr>
                <w:sz w:val="18"/>
              </w:rPr>
            </w:pPr>
            <w:r>
              <w:rPr>
                <w:color w:val="105C84"/>
                <w:spacing w:val="-6"/>
                <w:sz w:val="18"/>
              </w:rPr>
              <w:t>1.1</w:t>
            </w:r>
            <w:r>
              <w:rPr>
                <w:color w:val="105C84"/>
                <w:spacing w:val="-7"/>
                <w:sz w:val="18"/>
              </w:rPr>
              <w:t> </w:t>
            </w:r>
            <w:r>
              <w:rPr>
                <w:color w:val="105C84"/>
                <w:spacing w:val="-6"/>
                <w:sz w:val="18"/>
              </w:rPr>
              <w:t>Increas</w:t>
            </w:r>
            <w:r>
              <w:rPr>
                <w:color w:val="105C84"/>
                <w:spacing w:val="-6"/>
                <w:sz w:val="18"/>
              </w:rPr>
              <w:t>e</w:t>
            </w:r>
            <w:r>
              <w:rPr>
                <w:color w:val="105C84"/>
                <w:spacing w:val="-6"/>
                <w:sz w:val="18"/>
              </w:rPr>
              <w:t> </w:t>
            </w:r>
            <w:r>
              <w:rPr>
                <w:color w:val="105C84"/>
                <w:sz w:val="18"/>
              </w:rPr>
              <w:t>access to healthy</w:t>
            </w:r>
            <w:r>
              <w:rPr>
                <w:color w:val="105C84"/>
                <w:spacing w:val="-13"/>
                <w:sz w:val="18"/>
              </w:rPr>
              <w:t> </w:t>
            </w:r>
            <w:r>
              <w:rPr>
                <w:color w:val="105C84"/>
                <w:sz w:val="18"/>
              </w:rPr>
              <w:t>and </w:t>
            </w:r>
            <w:r>
              <w:rPr>
                <w:color w:val="105C84"/>
                <w:spacing w:val="-2"/>
                <w:sz w:val="18"/>
              </w:rPr>
              <w:t>affordable </w:t>
            </w:r>
            <w:r>
              <w:rPr>
                <w:color w:val="105C84"/>
                <w:sz w:val="18"/>
              </w:rPr>
              <w:t>foods and </w:t>
            </w:r>
            <w:r>
              <w:rPr>
                <w:color w:val="105C84"/>
                <w:spacing w:val="-2"/>
                <w:sz w:val="18"/>
              </w:rPr>
              <w:t>beverages</w:t>
            </w:r>
          </w:p>
        </w:tc>
        <w:tc>
          <w:tcPr>
            <w:tcW w:w="2477" w:type="dxa"/>
            <w:tcBorders>
              <w:bottom w:val="nil"/>
            </w:tcBorders>
          </w:tcPr>
          <w:p>
            <w:pPr>
              <w:pStyle w:val="TableParagraph"/>
              <w:spacing w:line="232" w:lineRule="auto" w:before="101"/>
              <w:ind w:left="89"/>
              <w:rPr>
                <w:sz w:val="18"/>
              </w:rPr>
            </w:pPr>
            <w:r>
              <w:rPr>
                <w:color w:val="105C84"/>
                <w:sz w:val="18"/>
              </w:rPr>
              <w:t>1.2 By December 2021, decrease the percentage of children</w:t>
            </w:r>
            <w:r>
              <w:rPr>
                <w:color w:val="105C84"/>
                <w:spacing w:val="-8"/>
                <w:sz w:val="18"/>
              </w:rPr>
              <w:t> </w:t>
            </w:r>
            <w:r>
              <w:rPr>
                <w:color w:val="105C84"/>
                <w:sz w:val="18"/>
              </w:rPr>
              <w:t>with</w:t>
            </w:r>
            <w:r>
              <w:rPr>
                <w:color w:val="105C84"/>
                <w:spacing w:val="-8"/>
                <w:sz w:val="18"/>
              </w:rPr>
              <w:t> </w:t>
            </w:r>
            <w:r>
              <w:rPr>
                <w:color w:val="105C84"/>
                <w:sz w:val="18"/>
              </w:rPr>
              <w:t>obesity</w:t>
            </w:r>
            <w:r>
              <w:rPr>
                <w:color w:val="105C84"/>
                <w:spacing w:val="-8"/>
                <w:sz w:val="18"/>
              </w:rPr>
              <w:t> </w:t>
            </w:r>
            <w:r>
              <w:rPr>
                <w:color w:val="105C84"/>
                <w:sz w:val="18"/>
              </w:rPr>
              <w:t>(among Livingston County public school students) by 1%</w:t>
            </w:r>
          </w:p>
        </w:tc>
        <w:tc>
          <w:tcPr>
            <w:tcW w:w="1210" w:type="dxa"/>
            <w:tcBorders>
              <w:bottom w:val="nil"/>
            </w:tcBorders>
          </w:tcPr>
          <w:p>
            <w:pPr>
              <w:pStyle w:val="TableParagraph"/>
              <w:spacing w:before="96"/>
              <w:ind w:left="89"/>
              <w:rPr>
                <w:sz w:val="18"/>
              </w:rPr>
            </w:pPr>
            <w:r>
              <w:rPr>
                <w:color w:val="105C84"/>
                <w:sz w:val="18"/>
              </w:rPr>
              <w:t>Low</w:t>
            </w:r>
            <w:r>
              <w:rPr>
                <w:color w:val="105C84"/>
                <w:spacing w:val="-11"/>
                <w:sz w:val="18"/>
              </w:rPr>
              <w:t> </w:t>
            </w:r>
            <w:r>
              <w:rPr>
                <w:color w:val="105C84"/>
                <w:spacing w:val="-5"/>
                <w:sz w:val="18"/>
              </w:rPr>
              <w:t>SES</w:t>
            </w:r>
          </w:p>
        </w:tc>
        <w:tc>
          <w:tcPr>
            <w:tcW w:w="4109" w:type="dxa"/>
            <w:vMerge w:val="restart"/>
            <w:tcBorders>
              <w:right w:val="nil"/>
            </w:tcBorders>
          </w:tcPr>
          <w:p>
            <w:pPr>
              <w:pStyle w:val="TableParagraph"/>
              <w:spacing w:line="232" w:lineRule="auto" w:before="101"/>
              <w:ind w:left="88" w:right="1054"/>
              <w:rPr>
                <w:sz w:val="18"/>
              </w:rPr>
            </w:pPr>
            <w:r>
              <w:rPr>
                <w:color w:val="105C84"/>
                <w:sz w:val="18"/>
              </w:rPr>
              <w:t>1.0.4</w:t>
            </w:r>
            <w:r>
              <w:rPr>
                <w:color w:val="105C84"/>
                <w:spacing w:val="-5"/>
                <w:sz w:val="18"/>
              </w:rPr>
              <w:t> </w:t>
            </w:r>
            <w:r>
              <w:rPr>
                <w:color w:val="105C84"/>
                <w:sz w:val="18"/>
              </w:rPr>
              <w:t>Multi-component</w:t>
            </w:r>
            <w:r>
              <w:rPr>
                <w:color w:val="105C84"/>
                <w:spacing w:val="-5"/>
                <w:sz w:val="18"/>
              </w:rPr>
              <w:t> </w:t>
            </w:r>
            <w:r>
              <w:rPr>
                <w:color w:val="105C84"/>
                <w:sz w:val="18"/>
              </w:rPr>
              <w:t>school-</w:t>
            </w:r>
            <w:r>
              <w:rPr>
                <w:color w:val="105C84"/>
                <w:sz w:val="18"/>
              </w:rPr>
              <w:t>based</w:t>
            </w:r>
            <w:r>
              <w:rPr>
                <w:color w:val="105C84"/>
                <w:sz w:val="18"/>
              </w:rPr>
              <w:t> obesity prevention interventions, including: completion of School Health Index (SHI), CATCH, providing healthy eating learning opportunities and participating in Farm to School Programs</w:t>
            </w:r>
          </w:p>
        </w:tc>
        <w:tc>
          <w:tcPr>
            <w:tcW w:w="4150" w:type="dxa"/>
            <w:vMerge w:val="restart"/>
            <w:tcBorders>
              <w:left w:val="nil"/>
            </w:tcBorders>
          </w:tcPr>
          <w:p>
            <w:pPr>
              <w:pStyle w:val="TableParagraph"/>
              <w:spacing w:line="232" w:lineRule="auto" w:before="101"/>
              <w:ind w:left="1093"/>
              <w:rPr>
                <w:sz w:val="18"/>
              </w:rPr>
            </w:pPr>
            <w:r>
              <w:rPr>
                <w:color w:val="105C84"/>
                <w:spacing w:val="-4"/>
                <w:sz w:val="18"/>
              </w:rPr>
              <w:t>Increase</w:t>
            </w:r>
            <w:r>
              <w:rPr>
                <w:color w:val="105C84"/>
                <w:spacing w:val="-6"/>
                <w:sz w:val="18"/>
              </w:rPr>
              <w:t> </w:t>
            </w:r>
            <w:r>
              <w:rPr>
                <w:color w:val="105C84"/>
                <w:spacing w:val="-4"/>
                <w:sz w:val="18"/>
              </w:rPr>
              <w:t>number</w:t>
            </w:r>
            <w:r>
              <w:rPr>
                <w:color w:val="105C84"/>
                <w:spacing w:val="-6"/>
                <w:sz w:val="18"/>
              </w:rPr>
              <w:t> </w:t>
            </w:r>
            <w:r>
              <w:rPr>
                <w:color w:val="105C84"/>
                <w:spacing w:val="-4"/>
                <w:sz w:val="18"/>
              </w:rPr>
              <w:t>of</w:t>
            </w:r>
            <w:r>
              <w:rPr>
                <w:color w:val="105C84"/>
                <w:spacing w:val="-6"/>
                <w:sz w:val="18"/>
              </w:rPr>
              <w:t> </w:t>
            </w:r>
            <w:r>
              <w:rPr>
                <w:color w:val="105C84"/>
                <w:spacing w:val="-4"/>
                <w:sz w:val="18"/>
              </w:rPr>
              <w:t>SHI</w:t>
            </w:r>
            <w:r>
              <w:rPr>
                <w:color w:val="105C84"/>
                <w:spacing w:val="-6"/>
                <w:sz w:val="18"/>
              </w:rPr>
              <w:t> </w:t>
            </w:r>
            <w:r>
              <w:rPr>
                <w:color w:val="105C84"/>
                <w:spacing w:val="-4"/>
                <w:sz w:val="18"/>
              </w:rPr>
              <w:t>assessments </w:t>
            </w:r>
            <w:r>
              <w:rPr>
                <w:color w:val="105C84"/>
                <w:spacing w:val="-2"/>
                <w:sz w:val="18"/>
              </w:rPr>
              <w:t>completed</w:t>
            </w:r>
          </w:p>
          <w:p>
            <w:pPr>
              <w:pStyle w:val="TableParagraph"/>
              <w:spacing w:before="83"/>
              <w:ind w:left="1093"/>
              <w:rPr>
                <w:sz w:val="18"/>
              </w:rPr>
            </w:pPr>
            <w:r>
              <w:rPr>
                <w:color w:val="105C84"/>
                <w:spacing w:val="-2"/>
                <w:sz w:val="18"/>
              </w:rPr>
              <w:t>NYSDOH Prevention Agenda</w:t>
            </w:r>
          </w:p>
          <w:p>
            <w:pPr>
              <w:pStyle w:val="TableParagraph"/>
              <w:spacing w:line="232" w:lineRule="auto" w:before="88"/>
              <w:ind w:left="1093"/>
              <w:rPr>
                <w:sz w:val="18"/>
              </w:rPr>
            </w:pPr>
            <w:r>
              <w:rPr>
                <w:color w:val="105C84"/>
                <w:sz w:val="18"/>
              </w:rPr>
              <w:t>Increase</w:t>
            </w:r>
            <w:r>
              <w:rPr>
                <w:color w:val="105C84"/>
                <w:spacing w:val="-10"/>
                <w:sz w:val="18"/>
              </w:rPr>
              <w:t> </w:t>
            </w:r>
            <w:r>
              <w:rPr>
                <w:color w:val="105C84"/>
                <w:sz w:val="18"/>
              </w:rPr>
              <w:t>number</w:t>
            </w:r>
            <w:r>
              <w:rPr>
                <w:color w:val="105C84"/>
                <w:spacing w:val="-10"/>
                <w:sz w:val="18"/>
              </w:rPr>
              <w:t> </w:t>
            </w:r>
            <w:r>
              <w:rPr>
                <w:color w:val="105C84"/>
                <w:sz w:val="18"/>
              </w:rPr>
              <w:t>of</w:t>
            </w:r>
            <w:r>
              <w:rPr>
                <w:color w:val="105C84"/>
                <w:spacing w:val="-10"/>
                <w:sz w:val="18"/>
              </w:rPr>
              <w:t> </w:t>
            </w:r>
            <w:r>
              <w:rPr>
                <w:color w:val="105C84"/>
                <w:sz w:val="18"/>
              </w:rPr>
              <w:t>policy/practices </w:t>
            </w:r>
            <w:r>
              <w:rPr>
                <w:color w:val="105C84"/>
                <w:spacing w:val="-2"/>
                <w:sz w:val="18"/>
              </w:rPr>
              <w:t>implemented</w:t>
            </w:r>
          </w:p>
          <w:p>
            <w:pPr>
              <w:pStyle w:val="TableParagraph"/>
              <w:spacing w:line="232" w:lineRule="auto" w:before="88"/>
              <w:ind w:left="1093" w:right="104"/>
              <w:rPr>
                <w:sz w:val="18"/>
              </w:rPr>
            </w:pPr>
            <w:r>
              <w:rPr>
                <w:color w:val="105C84"/>
                <w:sz w:val="18"/>
              </w:rPr>
              <w:t>Increase number of schools that </w:t>
            </w:r>
            <w:r>
              <w:rPr>
                <w:color w:val="105C84"/>
                <w:spacing w:val="-2"/>
                <w:sz w:val="18"/>
              </w:rPr>
              <w:t>implement</w:t>
            </w:r>
            <w:r>
              <w:rPr>
                <w:color w:val="105C84"/>
                <w:spacing w:val="-11"/>
                <w:sz w:val="18"/>
              </w:rPr>
              <w:t> </w:t>
            </w:r>
            <w:r>
              <w:rPr>
                <w:color w:val="105C84"/>
                <w:spacing w:val="-2"/>
                <w:sz w:val="18"/>
              </w:rPr>
              <w:t>CATCH</w:t>
            </w:r>
            <w:r>
              <w:rPr>
                <w:color w:val="105C84"/>
                <w:spacing w:val="-10"/>
                <w:sz w:val="18"/>
              </w:rPr>
              <w:t> </w:t>
            </w:r>
            <w:r>
              <w:rPr>
                <w:color w:val="105C84"/>
                <w:spacing w:val="-2"/>
                <w:sz w:val="18"/>
              </w:rPr>
              <w:t>(Baseline:</w:t>
            </w:r>
            <w:r>
              <w:rPr>
                <w:color w:val="105C84"/>
                <w:spacing w:val="-11"/>
                <w:sz w:val="18"/>
              </w:rPr>
              <w:t> </w:t>
            </w:r>
            <w:r>
              <w:rPr>
                <w:color w:val="105C84"/>
                <w:spacing w:val="-2"/>
                <w:sz w:val="18"/>
              </w:rPr>
              <w:t>0-</w:t>
            </w:r>
            <w:r>
              <w:rPr>
                <w:color w:val="105C84"/>
                <w:spacing w:val="-2"/>
                <w:sz w:val="18"/>
              </w:rPr>
              <w:t>2018)</w:t>
            </w:r>
          </w:p>
          <w:p>
            <w:pPr>
              <w:pStyle w:val="TableParagraph"/>
              <w:spacing w:line="232" w:lineRule="auto" w:before="89"/>
              <w:ind w:left="1093" w:right="268"/>
              <w:rPr>
                <w:sz w:val="18"/>
              </w:rPr>
            </w:pPr>
            <w:r>
              <w:rPr>
                <w:color w:val="105C84"/>
                <w:sz w:val="18"/>
              </w:rPr>
              <w:t>Baseline: Free and reduced lunch Dalton Sch - 52%; Mid/High Sch </w:t>
            </w:r>
            <w:r>
              <w:rPr>
                <w:color w:val="105C84"/>
                <w:spacing w:val="-2"/>
                <w:sz w:val="18"/>
              </w:rPr>
              <w:t>Nunda-46%;</w:t>
            </w:r>
            <w:r>
              <w:rPr>
                <w:color w:val="105C84"/>
                <w:spacing w:val="-8"/>
                <w:sz w:val="18"/>
              </w:rPr>
              <w:t> </w:t>
            </w:r>
            <w:r>
              <w:rPr>
                <w:color w:val="105C84"/>
                <w:spacing w:val="-2"/>
                <w:sz w:val="18"/>
              </w:rPr>
              <w:t>Primary</w:t>
            </w:r>
            <w:r>
              <w:rPr>
                <w:color w:val="105C84"/>
                <w:spacing w:val="-8"/>
                <w:sz w:val="18"/>
              </w:rPr>
              <w:t> </w:t>
            </w:r>
            <w:r>
              <w:rPr>
                <w:color w:val="105C84"/>
                <w:spacing w:val="-2"/>
                <w:sz w:val="18"/>
              </w:rPr>
              <w:t>Sch</w:t>
            </w:r>
            <w:r>
              <w:rPr>
                <w:color w:val="105C84"/>
                <w:spacing w:val="-8"/>
                <w:sz w:val="18"/>
              </w:rPr>
              <w:t> </w:t>
            </w:r>
            <w:r>
              <w:rPr>
                <w:color w:val="105C84"/>
                <w:spacing w:val="-2"/>
                <w:sz w:val="18"/>
              </w:rPr>
              <w:t>Mt</w:t>
            </w:r>
            <w:r>
              <w:rPr>
                <w:color w:val="105C84"/>
                <w:spacing w:val="-8"/>
                <w:sz w:val="18"/>
              </w:rPr>
              <w:t> </w:t>
            </w:r>
            <w:r>
              <w:rPr>
                <w:color w:val="105C84"/>
                <w:spacing w:val="-2"/>
                <w:sz w:val="18"/>
              </w:rPr>
              <w:t>Morris </w:t>
            </w:r>
            <w:r>
              <w:rPr>
                <w:color w:val="105C84"/>
                <w:sz w:val="18"/>
              </w:rPr>
              <w:t>53%; Mid/High Sch Mt Morris</w:t>
            </w:r>
          </w:p>
          <w:p>
            <w:pPr>
              <w:pStyle w:val="TableParagraph"/>
              <w:spacing w:line="199" w:lineRule="exact"/>
              <w:ind w:left="1093"/>
              <w:rPr>
                <w:sz w:val="18"/>
              </w:rPr>
            </w:pPr>
            <w:r>
              <w:rPr>
                <w:color w:val="105C84"/>
                <w:spacing w:val="-7"/>
                <w:sz w:val="18"/>
              </w:rPr>
              <w:t>64%-</w:t>
            </w:r>
            <w:r>
              <w:rPr>
                <w:color w:val="105C84"/>
                <w:spacing w:val="-6"/>
                <w:sz w:val="18"/>
              </w:rPr>
              <w:t> </w:t>
            </w:r>
            <w:r>
              <w:rPr>
                <w:color w:val="105C84"/>
                <w:spacing w:val="-4"/>
                <w:sz w:val="18"/>
              </w:rPr>
              <w:t>2019</w:t>
            </w:r>
          </w:p>
        </w:tc>
        <w:tc>
          <w:tcPr>
            <w:tcW w:w="1757" w:type="dxa"/>
            <w:tcBorders>
              <w:bottom w:val="nil"/>
            </w:tcBorders>
          </w:tcPr>
          <w:p>
            <w:pPr>
              <w:pStyle w:val="TableParagraph"/>
              <w:spacing w:line="232" w:lineRule="auto" w:before="100"/>
              <w:ind w:left="88"/>
              <w:rPr>
                <w:sz w:val="18"/>
              </w:rPr>
            </w:pPr>
            <w:r>
              <w:rPr>
                <w:color w:val="105C84"/>
                <w:sz w:val="18"/>
              </w:rPr>
              <w:t>Genesee Valley </w:t>
            </w:r>
            <w:r>
              <w:rPr>
                <w:color w:val="105C84"/>
                <w:spacing w:val="-2"/>
                <w:sz w:val="18"/>
              </w:rPr>
              <w:t>Health</w:t>
            </w:r>
            <w:r>
              <w:rPr>
                <w:color w:val="105C84"/>
                <w:spacing w:val="-11"/>
                <w:sz w:val="18"/>
              </w:rPr>
              <w:t> </w:t>
            </w:r>
            <w:r>
              <w:rPr>
                <w:color w:val="105C84"/>
                <w:spacing w:val="-2"/>
                <w:sz w:val="18"/>
              </w:rPr>
              <w:t>Partnership </w:t>
            </w:r>
            <w:r>
              <w:rPr>
                <w:color w:val="105C84"/>
                <w:sz w:val="18"/>
              </w:rPr>
              <w:t>(GVHP/Be Well </w:t>
            </w:r>
            <w:r>
              <w:rPr>
                <w:color w:val="105C84"/>
                <w:spacing w:val="-2"/>
                <w:sz w:val="18"/>
              </w:rPr>
              <w:t>Committee)</w:t>
            </w:r>
          </w:p>
          <w:p>
            <w:pPr>
              <w:pStyle w:val="TableParagraph"/>
              <w:spacing w:before="82"/>
              <w:ind w:left="88"/>
              <w:rPr>
                <w:sz w:val="18"/>
              </w:rPr>
            </w:pPr>
            <w:r>
              <w:rPr>
                <w:color w:val="105C84"/>
                <w:spacing w:val="-2"/>
                <w:sz w:val="18"/>
              </w:rPr>
              <w:t>LCDOH</w:t>
            </w:r>
          </w:p>
          <w:p>
            <w:pPr>
              <w:pStyle w:val="TableParagraph"/>
              <w:spacing w:line="290" w:lineRule="atLeast"/>
              <w:ind w:left="88"/>
              <w:rPr>
                <w:sz w:val="18"/>
              </w:rPr>
            </w:pPr>
            <w:r>
              <w:rPr>
                <w:color w:val="105C84"/>
                <w:sz w:val="18"/>
              </w:rPr>
              <w:t>UR Med Noyes Cornell</w:t>
            </w:r>
            <w:r>
              <w:rPr>
                <w:color w:val="105C84"/>
                <w:spacing w:val="-11"/>
                <w:sz w:val="18"/>
              </w:rPr>
              <w:t> </w:t>
            </w:r>
            <w:r>
              <w:rPr>
                <w:color w:val="105C84"/>
                <w:sz w:val="18"/>
              </w:rPr>
              <w:t>Coop</w:t>
            </w:r>
            <w:r>
              <w:rPr>
                <w:color w:val="105C84"/>
                <w:spacing w:val="-11"/>
                <w:sz w:val="18"/>
              </w:rPr>
              <w:t> </w:t>
            </w:r>
            <w:r>
              <w:rPr>
                <w:color w:val="105C84"/>
                <w:sz w:val="18"/>
              </w:rPr>
              <w:t>Ext </w:t>
            </w:r>
            <w:r>
              <w:rPr>
                <w:color w:val="105C84"/>
                <w:spacing w:val="-4"/>
                <w:sz w:val="18"/>
              </w:rPr>
              <w:t>URMC</w:t>
            </w:r>
          </w:p>
        </w:tc>
        <w:tc>
          <w:tcPr>
            <w:tcW w:w="2967" w:type="dxa"/>
            <w:vMerge w:val="restart"/>
          </w:tcPr>
          <w:p>
            <w:pPr>
              <w:pStyle w:val="TableParagraph"/>
              <w:spacing w:line="232" w:lineRule="auto" w:before="100"/>
              <w:ind w:left="88" w:right="507"/>
              <w:rPr>
                <w:sz w:val="18"/>
              </w:rPr>
            </w:pPr>
            <w:r>
              <w:rPr>
                <w:color w:val="105C84"/>
                <w:sz w:val="18"/>
              </w:rPr>
              <w:t>LCDOH</w:t>
            </w:r>
            <w:r>
              <w:rPr>
                <w:color w:val="105C84"/>
                <w:spacing w:val="-5"/>
                <w:sz w:val="18"/>
              </w:rPr>
              <w:t> </w:t>
            </w:r>
            <w:r>
              <w:rPr>
                <w:color w:val="105C84"/>
                <w:sz w:val="18"/>
              </w:rPr>
              <w:t>to</w:t>
            </w:r>
            <w:r>
              <w:rPr>
                <w:color w:val="105C84"/>
                <w:spacing w:val="-5"/>
                <w:sz w:val="18"/>
              </w:rPr>
              <w:t> </w:t>
            </w:r>
            <w:r>
              <w:rPr>
                <w:color w:val="105C84"/>
                <w:sz w:val="18"/>
              </w:rPr>
              <w:t>complete</w:t>
            </w:r>
            <w:r>
              <w:rPr>
                <w:color w:val="105C84"/>
                <w:spacing w:val="-5"/>
                <w:sz w:val="18"/>
              </w:rPr>
              <w:t> </w:t>
            </w:r>
            <w:r>
              <w:rPr>
                <w:color w:val="105C84"/>
                <w:sz w:val="18"/>
              </w:rPr>
              <w:t>SHI</w:t>
            </w:r>
            <w:r>
              <w:rPr>
                <w:color w:val="105C84"/>
                <w:spacing w:val="-5"/>
                <w:sz w:val="18"/>
              </w:rPr>
              <w:t> </w:t>
            </w:r>
            <w:r>
              <w:rPr>
                <w:color w:val="105C84"/>
                <w:sz w:val="18"/>
              </w:rPr>
              <w:t>with </w:t>
            </w:r>
            <w:r>
              <w:rPr>
                <w:color w:val="105C84"/>
                <w:spacing w:val="-2"/>
                <w:w w:val="105"/>
                <w:sz w:val="18"/>
              </w:rPr>
              <w:t>school</w:t>
            </w:r>
          </w:p>
          <w:p>
            <w:pPr>
              <w:pStyle w:val="TableParagraph"/>
              <w:spacing w:line="232" w:lineRule="auto" w:before="89"/>
              <w:ind w:left="88"/>
              <w:rPr>
                <w:sz w:val="18"/>
              </w:rPr>
            </w:pPr>
            <w:r>
              <w:rPr>
                <w:color w:val="105C84"/>
                <w:spacing w:val="-2"/>
                <w:sz w:val="18"/>
              </w:rPr>
              <w:t>Genesee</w:t>
            </w:r>
            <w:r>
              <w:rPr>
                <w:color w:val="105C84"/>
                <w:spacing w:val="-11"/>
                <w:sz w:val="18"/>
              </w:rPr>
              <w:t> </w:t>
            </w:r>
            <w:r>
              <w:rPr>
                <w:color w:val="105C84"/>
                <w:spacing w:val="-2"/>
                <w:sz w:val="18"/>
              </w:rPr>
              <w:t>Valley</w:t>
            </w:r>
            <w:r>
              <w:rPr>
                <w:color w:val="105C84"/>
                <w:spacing w:val="-10"/>
                <w:sz w:val="18"/>
              </w:rPr>
              <w:t> </w:t>
            </w:r>
            <w:r>
              <w:rPr>
                <w:color w:val="105C84"/>
                <w:spacing w:val="-2"/>
                <w:sz w:val="18"/>
              </w:rPr>
              <w:t>Health</w:t>
            </w:r>
            <w:r>
              <w:rPr>
                <w:color w:val="105C84"/>
                <w:spacing w:val="-11"/>
                <w:sz w:val="18"/>
              </w:rPr>
              <w:t> </w:t>
            </w:r>
            <w:r>
              <w:rPr>
                <w:color w:val="105C84"/>
                <w:spacing w:val="-2"/>
                <w:sz w:val="18"/>
              </w:rPr>
              <w:t>Partnership </w:t>
            </w:r>
            <w:r>
              <w:rPr>
                <w:color w:val="105C84"/>
                <w:sz w:val="18"/>
              </w:rPr>
              <w:t>(GVHP/Be Well Committee) to provide resources to improve nutrition/physical activity areas of improvement identified by SHI</w:t>
            </w:r>
          </w:p>
          <w:p>
            <w:pPr>
              <w:pStyle w:val="TableParagraph"/>
              <w:spacing w:line="232" w:lineRule="auto" w:before="86"/>
              <w:ind w:left="88" w:right="507"/>
              <w:rPr>
                <w:sz w:val="18"/>
              </w:rPr>
            </w:pPr>
            <w:r>
              <w:rPr>
                <w:color w:val="105C84"/>
                <w:w w:val="105"/>
                <w:sz w:val="18"/>
              </w:rPr>
              <w:t>Fingerlakes</w:t>
            </w:r>
            <w:r>
              <w:rPr>
                <w:color w:val="105C84"/>
                <w:spacing w:val="-14"/>
                <w:w w:val="105"/>
                <w:sz w:val="18"/>
              </w:rPr>
              <w:t> </w:t>
            </w:r>
            <w:r>
              <w:rPr>
                <w:color w:val="105C84"/>
                <w:w w:val="105"/>
                <w:sz w:val="18"/>
              </w:rPr>
              <w:t>Eat</w:t>
            </w:r>
            <w:r>
              <w:rPr>
                <w:color w:val="105C84"/>
                <w:spacing w:val="-13"/>
                <w:w w:val="105"/>
                <w:sz w:val="18"/>
              </w:rPr>
              <w:t> </w:t>
            </w:r>
            <w:r>
              <w:rPr>
                <w:color w:val="105C84"/>
                <w:w w:val="105"/>
                <w:sz w:val="18"/>
              </w:rPr>
              <w:t>Smart</w:t>
            </w:r>
            <w:r>
              <w:rPr>
                <w:color w:val="105C84"/>
                <w:spacing w:val="-13"/>
                <w:w w:val="105"/>
                <w:sz w:val="18"/>
              </w:rPr>
              <w:t> </w:t>
            </w:r>
            <w:r>
              <w:rPr>
                <w:color w:val="105C84"/>
                <w:w w:val="105"/>
                <w:sz w:val="18"/>
              </w:rPr>
              <w:t>NY</w:t>
            </w:r>
            <w:r>
              <w:rPr>
                <w:color w:val="105C84"/>
                <w:spacing w:val="-13"/>
                <w:w w:val="105"/>
                <w:sz w:val="18"/>
              </w:rPr>
              <w:t> </w:t>
            </w:r>
            <w:r>
              <w:rPr>
                <w:color w:val="105C84"/>
                <w:w w:val="105"/>
                <w:sz w:val="18"/>
              </w:rPr>
              <w:t>to </w:t>
            </w:r>
            <w:r>
              <w:rPr>
                <w:color w:val="105C84"/>
                <w:spacing w:val="-2"/>
                <w:w w:val="105"/>
                <w:sz w:val="18"/>
              </w:rPr>
              <w:t>provide</w:t>
            </w:r>
            <w:r>
              <w:rPr>
                <w:color w:val="105C84"/>
                <w:spacing w:val="-10"/>
                <w:w w:val="105"/>
                <w:sz w:val="18"/>
              </w:rPr>
              <w:t> </w:t>
            </w:r>
            <w:r>
              <w:rPr>
                <w:color w:val="105C84"/>
                <w:spacing w:val="-2"/>
                <w:w w:val="105"/>
                <w:sz w:val="18"/>
              </w:rPr>
              <w:t>training/tech</w:t>
            </w:r>
            <w:r>
              <w:rPr>
                <w:color w:val="105C84"/>
                <w:spacing w:val="-10"/>
                <w:w w:val="105"/>
                <w:sz w:val="18"/>
              </w:rPr>
              <w:t> </w:t>
            </w:r>
            <w:r>
              <w:rPr>
                <w:color w:val="105C84"/>
                <w:spacing w:val="-2"/>
                <w:w w:val="105"/>
                <w:sz w:val="18"/>
              </w:rPr>
              <w:t>support</w:t>
            </w:r>
          </w:p>
          <w:p>
            <w:pPr>
              <w:pStyle w:val="TableParagraph"/>
              <w:spacing w:line="232" w:lineRule="auto" w:before="88"/>
              <w:ind w:left="88"/>
              <w:rPr>
                <w:sz w:val="18"/>
              </w:rPr>
            </w:pPr>
            <w:r>
              <w:rPr>
                <w:color w:val="105C84"/>
                <w:sz w:val="18"/>
              </w:rPr>
              <w:t>Schools to complete assessment, dev and implement </w:t>
            </w:r>
            <w:r>
              <w:rPr>
                <w:color w:val="105C84"/>
                <w:sz w:val="18"/>
              </w:rPr>
              <w:t>policy/practice including CATCH</w:t>
            </w:r>
          </w:p>
          <w:p>
            <w:pPr>
              <w:pStyle w:val="TableParagraph"/>
              <w:spacing w:line="232" w:lineRule="auto" w:before="88"/>
              <w:ind w:left="88"/>
              <w:rPr>
                <w:sz w:val="18"/>
              </w:rPr>
            </w:pPr>
            <w:r>
              <w:rPr>
                <w:color w:val="105C84"/>
                <w:sz w:val="18"/>
              </w:rPr>
              <w:t>Farmers</w:t>
            </w:r>
            <w:r>
              <w:rPr>
                <w:color w:val="105C84"/>
                <w:spacing w:val="-12"/>
                <w:sz w:val="18"/>
              </w:rPr>
              <w:t> </w:t>
            </w:r>
            <w:r>
              <w:rPr>
                <w:color w:val="105C84"/>
                <w:sz w:val="18"/>
              </w:rPr>
              <w:t>to</w:t>
            </w:r>
            <w:r>
              <w:rPr>
                <w:color w:val="105C84"/>
                <w:spacing w:val="-12"/>
                <w:sz w:val="18"/>
              </w:rPr>
              <w:t> </w:t>
            </w:r>
            <w:r>
              <w:rPr>
                <w:color w:val="105C84"/>
                <w:sz w:val="18"/>
              </w:rPr>
              <w:t>work</w:t>
            </w:r>
            <w:r>
              <w:rPr>
                <w:color w:val="105C84"/>
                <w:spacing w:val="-13"/>
                <w:sz w:val="18"/>
              </w:rPr>
              <w:t> </w:t>
            </w:r>
            <w:r>
              <w:rPr>
                <w:color w:val="105C84"/>
                <w:sz w:val="18"/>
              </w:rPr>
              <w:t>with</w:t>
            </w:r>
            <w:r>
              <w:rPr>
                <w:color w:val="105C84"/>
                <w:spacing w:val="-12"/>
                <w:sz w:val="18"/>
              </w:rPr>
              <w:t> </w:t>
            </w:r>
            <w:r>
              <w:rPr>
                <w:color w:val="105C84"/>
                <w:sz w:val="18"/>
              </w:rPr>
              <w:t>schools</w:t>
            </w:r>
            <w:r>
              <w:rPr>
                <w:color w:val="105C84"/>
                <w:spacing w:val="-12"/>
                <w:sz w:val="18"/>
              </w:rPr>
              <w:t> </w:t>
            </w:r>
            <w:r>
              <w:rPr>
                <w:color w:val="105C84"/>
                <w:sz w:val="18"/>
              </w:rPr>
              <w:t>on Farm to School Programs</w:t>
            </w:r>
          </w:p>
        </w:tc>
        <w:tc>
          <w:tcPr>
            <w:tcW w:w="2242" w:type="dxa"/>
            <w:tcBorders>
              <w:bottom w:val="nil"/>
            </w:tcBorders>
          </w:tcPr>
          <w:p>
            <w:pPr>
              <w:pStyle w:val="TableParagraph"/>
              <w:spacing w:line="232" w:lineRule="auto" w:before="100"/>
              <w:ind w:left="87"/>
              <w:rPr>
                <w:sz w:val="18"/>
              </w:rPr>
            </w:pPr>
            <w:r>
              <w:rPr>
                <w:color w:val="105C84"/>
                <w:w w:val="105"/>
                <w:sz w:val="18"/>
              </w:rPr>
              <w:t>Minimum of two schools </w:t>
            </w:r>
            <w:r>
              <w:rPr>
                <w:color w:val="105C84"/>
                <w:sz w:val="18"/>
              </w:rPr>
              <w:t>to</w:t>
            </w:r>
            <w:r>
              <w:rPr>
                <w:color w:val="105C84"/>
                <w:spacing w:val="-10"/>
                <w:sz w:val="18"/>
              </w:rPr>
              <w:t> </w:t>
            </w:r>
            <w:r>
              <w:rPr>
                <w:color w:val="105C84"/>
                <w:sz w:val="18"/>
              </w:rPr>
              <w:t>complete</w:t>
            </w:r>
            <w:r>
              <w:rPr>
                <w:color w:val="105C84"/>
                <w:spacing w:val="-10"/>
                <w:sz w:val="18"/>
              </w:rPr>
              <w:t> </w:t>
            </w:r>
            <w:r>
              <w:rPr>
                <w:color w:val="105C84"/>
                <w:sz w:val="18"/>
              </w:rPr>
              <w:t>SHI</w:t>
            </w:r>
            <w:r>
              <w:rPr>
                <w:color w:val="105C84"/>
                <w:spacing w:val="-10"/>
                <w:sz w:val="18"/>
              </w:rPr>
              <w:t> </w:t>
            </w:r>
            <w:r>
              <w:rPr>
                <w:color w:val="105C84"/>
                <w:sz w:val="18"/>
              </w:rPr>
              <w:t>by</w:t>
            </w:r>
            <w:r>
              <w:rPr>
                <w:color w:val="105C84"/>
                <w:spacing w:val="-10"/>
                <w:sz w:val="18"/>
              </w:rPr>
              <w:t> </w:t>
            </w:r>
            <w:r>
              <w:rPr>
                <w:color w:val="105C84"/>
                <w:sz w:val="18"/>
              </w:rPr>
              <w:t>year</w:t>
            </w:r>
            <w:r>
              <w:rPr>
                <w:color w:val="105C84"/>
                <w:spacing w:val="-10"/>
                <w:sz w:val="18"/>
              </w:rPr>
              <w:t> </w:t>
            </w:r>
            <w:r>
              <w:rPr>
                <w:color w:val="105C84"/>
                <w:sz w:val="18"/>
              </w:rPr>
              <w:t>3</w:t>
            </w:r>
          </w:p>
          <w:p>
            <w:pPr>
              <w:pStyle w:val="TableParagraph"/>
              <w:spacing w:line="232" w:lineRule="auto" w:before="88"/>
              <w:ind w:left="87"/>
              <w:rPr>
                <w:sz w:val="18"/>
              </w:rPr>
            </w:pPr>
            <w:r>
              <w:rPr>
                <w:color w:val="105C84"/>
                <w:sz w:val="18"/>
              </w:rPr>
              <w:t>Minimum</w:t>
            </w:r>
            <w:r>
              <w:rPr>
                <w:color w:val="105C84"/>
                <w:spacing w:val="-5"/>
                <w:sz w:val="18"/>
              </w:rPr>
              <w:t> </w:t>
            </w:r>
            <w:r>
              <w:rPr>
                <w:color w:val="105C84"/>
                <w:sz w:val="18"/>
              </w:rPr>
              <w:t>of</w:t>
            </w:r>
            <w:r>
              <w:rPr>
                <w:color w:val="105C84"/>
                <w:spacing w:val="-5"/>
                <w:sz w:val="18"/>
              </w:rPr>
              <w:t> </w:t>
            </w:r>
            <w:r>
              <w:rPr>
                <w:color w:val="105C84"/>
                <w:sz w:val="18"/>
              </w:rPr>
              <w:t>two</w:t>
            </w:r>
            <w:r>
              <w:rPr>
                <w:color w:val="105C84"/>
                <w:spacing w:val="-5"/>
                <w:sz w:val="18"/>
              </w:rPr>
              <w:t> </w:t>
            </w:r>
            <w:r>
              <w:rPr>
                <w:color w:val="105C84"/>
                <w:sz w:val="18"/>
              </w:rPr>
              <w:t>schools which adopts policy/ practice by year 3</w:t>
            </w:r>
          </w:p>
          <w:p>
            <w:pPr>
              <w:pStyle w:val="TableParagraph"/>
              <w:spacing w:line="232" w:lineRule="auto" w:before="88"/>
              <w:ind w:left="87" w:right="74"/>
              <w:rPr>
                <w:sz w:val="18"/>
              </w:rPr>
            </w:pPr>
            <w:r>
              <w:rPr>
                <w:color w:val="105C84"/>
                <w:sz w:val="18"/>
              </w:rPr>
              <w:t>A</w:t>
            </w:r>
            <w:r>
              <w:rPr>
                <w:color w:val="105C84"/>
                <w:spacing w:val="-3"/>
                <w:sz w:val="18"/>
              </w:rPr>
              <w:t> </w:t>
            </w:r>
            <w:r>
              <w:rPr>
                <w:color w:val="105C84"/>
                <w:sz w:val="18"/>
              </w:rPr>
              <w:t>minimum</w:t>
            </w:r>
            <w:r>
              <w:rPr>
                <w:color w:val="105C84"/>
                <w:spacing w:val="-3"/>
                <w:sz w:val="18"/>
              </w:rPr>
              <w:t> </w:t>
            </w:r>
            <w:r>
              <w:rPr>
                <w:color w:val="105C84"/>
                <w:sz w:val="18"/>
              </w:rPr>
              <w:t>of</w:t>
            </w:r>
            <w:r>
              <w:rPr>
                <w:color w:val="105C84"/>
                <w:spacing w:val="-3"/>
                <w:sz w:val="18"/>
              </w:rPr>
              <w:t> </w:t>
            </w:r>
            <w:r>
              <w:rPr>
                <w:color w:val="105C84"/>
                <w:sz w:val="18"/>
              </w:rPr>
              <w:t>two</w:t>
            </w:r>
            <w:r>
              <w:rPr>
                <w:color w:val="105C84"/>
                <w:spacing w:val="-3"/>
                <w:sz w:val="18"/>
              </w:rPr>
              <w:t> </w:t>
            </w:r>
            <w:r>
              <w:rPr>
                <w:color w:val="105C84"/>
                <w:sz w:val="18"/>
              </w:rPr>
              <w:t>which implement CATCH by year 3</w:t>
            </w:r>
          </w:p>
        </w:tc>
      </w:tr>
      <w:tr>
        <w:trPr>
          <w:trHeight w:val="479" w:hRule="atLeast"/>
        </w:trPr>
        <w:tc>
          <w:tcPr>
            <w:tcW w:w="1008" w:type="dxa"/>
            <w:tcBorders>
              <w:top w:val="nil"/>
              <w:bottom w:val="nil"/>
            </w:tcBorders>
            <w:shd w:val="clear" w:color="auto" w:fill="E6E7E8"/>
          </w:tcPr>
          <w:p>
            <w:pPr>
              <w:pStyle w:val="TableParagraph"/>
              <w:rPr>
                <w:rFonts w:ascii="Times New Roman"/>
                <w:sz w:val="18"/>
              </w:rPr>
            </w:pPr>
          </w:p>
        </w:tc>
        <w:tc>
          <w:tcPr>
            <w:tcW w:w="1152" w:type="dxa"/>
            <w:tcBorders>
              <w:top w:val="nil"/>
              <w:bottom w:val="nil"/>
            </w:tcBorders>
          </w:tcPr>
          <w:p>
            <w:pPr>
              <w:pStyle w:val="TableParagraph"/>
              <w:rPr>
                <w:rFonts w:ascii="Times New Roman"/>
                <w:sz w:val="18"/>
              </w:rPr>
            </w:pPr>
          </w:p>
        </w:tc>
        <w:tc>
          <w:tcPr>
            <w:tcW w:w="1181" w:type="dxa"/>
            <w:tcBorders>
              <w:top w:val="nil"/>
              <w:bottom w:val="nil"/>
            </w:tcBorders>
          </w:tcPr>
          <w:p>
            <w:pPr>
              <w:pStyle w:val="TableParagraph"/>
              <w:rPr>
                <w:rFonts w:ascii="Times New Roman"/>
                <w:sz w:val="18"/>
              </w:rPr>
            </w:pPr>
          </w:p>
        </w:tc>
        <w:tc>
          <w:tcPr>
            <w:tcW w:w="2477" w:type="dxa"/>
            <w:tcBorders>
              <w:top w:val="nil"/>
              <w:bottom w:val="nil"/>
            </w:tcBorders>
          </w:tcPr>
          <w:p>
            <w:pPr>
              <w:pStyle w:val="TableParagraph"/>
              <w:rPr>
                <w:rFonts w:ascii="Times New Roman"/>
                <w:sz w:val="18"/>
              </w:rPr>
            </w:pPr>
          </w:p>
        </w:tc>
        <w:tc>
          <w:tcPr>
            <w:tcW w:w="1210" w:type="dxa"/>
            <w:tcBorders>
              <w:top w:val="nil"/>
              <w:bottom w:val="nil"/>
            </w:tcBorders>
          </w:tcPr>
          <w:p>
            <w:pPr>
              <w:pStyle w:val="TableParagraph"/>
              <w:rPr>
                <w:rFonts w:ascii="Times New Roman"/>
                <w:sz w:val="18"/>
              </w:rPr>
            </w:pPr>
          </w:p>
        </w:tc>
        <w:tc>
          <w:tcPr>
            <w:tcW w:w="4109" w:type="dxa"/>
            <w:vMerge/>
            <w:tcBorders>
              <w:top w:val="nil"/>
              <w:right w:val="nil"/>
            </w:tcBorders>
          </w:tcPr>
          <w:p>
            <w:pPr>
              <w:rPr>
                <w:sz w:val="2"/>
                <w:szCs w:val="2"/>
              </w:rPr>
            </w:pPr>
          </w:p>
        </w:tc>
        <w:tc>
          <w:tcPr>
            <w:tcW w:w="4150" w:type="dxa"/>
            <w:vMerge/>
            <w:tcBorders>
              <w:top w:val="nil"/>
              <w:left w:val="nil"/>
            </w:tcBorders>
          </w:tcPr>
          <w:p>
            <w:pPr>
              <w:rPr>
                <w:sz w:val="2"/>
                <w:szCs w:val="2"/>
              </w:rPr>
            </w:pPr>
          </w:p>
        </w:tc>
        <w:tc>
          <w:tcPr>
            <w:tcW w:w="1757" w:type="dxa"/>
            <w:tcBorders>
              <w:top w:val="nil"/>
              <w:bottom w:val="nil"/>
            </w:tcBorders>
          </w:tcPr>
          <w:p>
            <w:pPr>
              <w:pStyle w:val="TableParagraph"/>
              <w:spacing w:line="232" w:lineRule="auto" w:before="33"/>
              <w:ind w:left="88" w:right="427"/>
              <w:rPr>
                <w:sz w:val="18"/>
              </w:rPr>
            </w:pPr>
            <w:r>
              <w:rPr>
                <w:color w:val="105C84"/>
                <w:spacing w:val="-2"/>
                <w:sz w:val="18"/>
              </w:rPr>
              <w:t>Fingerlakes</w:t>
            </w:r>
            <w:r>
              <w:rPr>
                <w:color w:val="105C84"/>
                <w:spacing w:val="-11"/>
                <w:sz w:val="18"/>
              </w:rPr>
              <w:t> </w:t>
            </w:r>
            <w:r>
              <w:rPr>
                <w:color w:val="105C84"/>
                <w:spacing w:val="-2"/>
                <w:sz w:val="18"/>
              </w:rPr>
              <w:t>Eat </w:t>
            </w:r>
            <w:r>
              <w:rPr>
                <w:color w:val="105C84"/>
                <w:sz w:val="18"/>
              </w:rPr>
              <w:t>Smart NY</w:t>
            </w:r>
          </w:p>
        </w:tc>
        <w:tc>
          <w:tcPr>
            <w:tcW w:w="2967" w:type="dxa"/>
            <w:vMerge/>
            <w:tcBorders>
              <w:top w:val="nil"/>
            </w:tcBorders>
          </w:tcPr>
          <w:p>
            <w:pPr>
              <w:rPr>
                <w:sz w:val="2"/>
                <w:szCs w:val="2"/>
              </w:rPr>
            </w:pPr>
          </w:p>
        </w:tc>
        <w:tc>
          <w:tcPr>
            <w:tcW w:w="2242" w:type="dxa"/>
            <w:tcBorders>
              <w:top w:val="nil"/>
              <w:bottom w:val="nil"/>
            </w:tcBorders>
          </w:tcPr>
          <w:p>
            <w:pPr>
              <w:pStyle w:val="TableParagraph"/>
              <w:rPr>
                <w:rFonts w:ascii="Times New Roman"/>
                <w:sz w:val="18"/>
              </w:rPr>
            </w:pPr>
          </w:p>
        </w:tc>
      </w:tr>
      <w:tr>
        <w:trPr>
          <w:trHeight w:val="279" w:hRule="atLeast"/>
        </w:trPr>
        <w:tc>
          <w:tcPr>
            <w:tcW w:w="1008" w:type="dxa"/>
            <w:tcBorders>
              <w:top w:val="nil"/>
              <w:bottom w:val="nil"/>
            </w:tcBorders>
            <w:shd w:val="clear" w:color="auto" w:fill="E6E7E8"/>
          </w:tcPr>
          <w:p>
            <w:pPr>
              <w:pStyle w:val="TableParagraph"/>
              <w:rPr>
                <w:rFonts w:ascii="Times New Roman"/>
                <w:sz w:val="18"/>
              </w:rPr>
            </w:pPr>
          </w:p>
        </w:tc>
        <w:tc>
          <w:tcPr>
            <w:tcW w:w="1152" w:type="dxa"/>
            <w:tcBorders>
              <w:top w:val="nil"/>
              <w:bottom w:val="nil"/>
            </w:tcBorders>
          </w:tcPr>
          <w:p>
            <w:pPr>
              <w:pStyle w:val="TableParagraph"/>
              <w:rPr>
                <w:rFonts w:ascii="Times New Roman"/>
                <w:sz w:val="18"/>
              </w:rPr>
            </w:pPr>
          </w:p>
        </w:tc>
        <w:tc>
          <w:tcPr>
            <w:tcW w:w="1181" w:type="dxa"/>
            <w:tcBorders>
              <w:top w:val="nil"/>
              <w:bottom w:val="nil"/>
            </w:tcBorders>
          </w:tcPr>
          <w:p>
            <w:pPr>
              <w:pStyle w:val="TableParagraph"/>
              <w:rPr>
                <w:rFonts w:ascii="Times New Roman"/>
                <w:sz w:val="18"/>
              </w:rPr>
            </w:pPr>
          </w:p>
        </w:tc>
        <w:tc>
          <w:tcPr>
            <w:tcW w:w="2477" w:type="dxa"/>
            <w:tcBorders>
              <w:top w:val="nil"/>
              <w:bottom w:val="nil"/>
            </w:tcBorders>
          </w:tcPr>
          <w:p>
            <w:pPr>
              <w:pStyle w:val="TableParagraph"/>
              <w:rPr>
                <w:rFonts w:ascii="Times New Roman"/>
                <w:sz w:val="18"/>
              </w:rPr>
            </w:pPr>
          </w:p>
        </w:tc>
        <w:tc>
          <w:tcPr>
            <w:tcW w:w="1210" w:type="dxa"/>
            <w:tcBorders>
              <w:top w:val="nil"/>
              <w:bottom w:val="nil"/>
            </w:tcBorders>
          </w:tcPr>
          <w:p>
            <w:pPr>
              <w:pStyle w:val="TableParagraph"/>
              <w:rPr>
                <w:rFonts w:ascii="Times New Roman"/>
                <w:sz w:val="18"/>
              </w:rPr>
            </w:pPr>
          </w:p>
        </w:tc>
        <w:tc>
          <w:tcPr>
            <w:tcW w:w="4109" w:type="dxa"/>
            <w:vMerge/>
            <w:tcBorders>
              <w:top w:val="nil"/>
              <w:right w:val="nil"/>
            </w:tcBorders>
          </w:tcPr>
          <w:p>
            <w:pPr>
              <w:rPr>
                <w:sz w:val="2"/>
                <w:szCs w:val="2"/>
              </w:rPr>
            </w:pPr>
          </w:p>
        </w:tc>
        <w:tc>
          <w:tcPr>
            <w:tcW w:w="4150" w:type="dxa"/>
            <w:vMerge/>
            <w:tcBorders>
              <w:top w:val="nil"/>
              <w:left w:val="nil"/>
            </w:tcBorders>
          </w:tcPr>
          <w:p>
            <w:pPr>
              <w:rPr>
                <w:sz w:val="2"/>
                <w:szCs w:val="2"/>
              </w:rPr>
            </w:pPr>
          </w:p>
        </w:tc>
        <w:tc>
          <w:tcPr>
            <w:tcW w:w="1757" w:type="dxa"/>
            <w:tcBorders>
              <w:top w:val="nil"/>
              <w:bottom w:val="nil"/>
            </w:tcBorders>
          </w:tcPr>
          <w:p>
            <w:pPr>
              <w:pStyle w:val="TableParagraph"/>
              <w:spacing w:before="28"/>
              <w:ind w:left="88"/>
              <w:rPr>
                <w:sz w:val="18"/>
              </w:rPr>
            </w:pPr>
            <w:r>
              <w:rPr>
                <w:color w:val="105C84"/>
                <w:spacing w:val="-2"/>
                <w:sz w:val="18"/>
              </w:rPr>
              <w:t>Schools</w:t>
            </w:r>
          </w:p>
        </w:tc>
        <w:tc>
          <w:tcPr>
            <w:tcW w:w="2967" w:type="dxa"/>
            <w:vMerge/>
            <w:tcBorders>
              <w:top w:val="nil"/>
            </w:tcBorders>
          </w:tcPr>
          <w:p>
            <w:pPr>
              <w:rPr>
                <w:sz w:val="2"/>
                <w:szCs w:val="2"/>
              </w:rPr>
            </w:pPr>
          </w:p>
        </w:tc>
        <w:tc>
          <w:tcPr>
            <w:tcW w:w="2242" w:type="dxa"/>
            <w:tcBorders>
              <w:top w:val="nil"/>
              <w:bottom w:val="nil"/>
            </w:tcBorders>
          </w:tcPr>
          <w:p>
            <w:pPr>
              <w:pStyle w:val="TableParagraph"/>
              <w:rPr>
                <w:rFonts w:ascii="Times New Roman"/>
                <w:sz w:val="18"/>
              </w:rPr>
            </w:pPr>
          </w:p>
        </w:tc>
      </w:tr>
      <w:tr>
        <w:trPr>
          <w:trHeight w:val="480" w:hRule="atLeast"/>
        </w:trPr>
        <w:tc>
          <w:tcPr>
            <w:tcW w:w="1008" w:type="dxa"/>
            <w:tcBorders>
              <w:top w:val="nil"/>
              <w:bottom w:val="nil"/>
            </w:tcBorders>
            <w:shd w:val="clear" w:color="auto" w:fill="E6E7E8"/>
          </w:tcPr>
          <w:p>
            <w:pPr>
              <w:pStyle w:val="TableParagraph"/>
              <w:rPr>
                <w:rFonts w:ascii="Times New Roman"/>
                <w:sz w:val="18"/>
              </w:rPr>
            </w:pPr>
          </w:p>
        </w:tc>
        <w:tc>
          <w:tcPr>
            <w:tcW w:w="1152" w:type="dxa"/>
            <w:tcBorders>
              <w:top w:val="nil"/>
              <w:bottom w:val="nil"/>
            </w:tcBorders>
          </w:tcPr>
          <w:p>
            <w:pPr>
              <w:pStyle w:val="TableParagraph"/>
              <w:rPr>
                <w:rFonts w:ascii="Times New Roman"/>
                <w:sz w:val="18"/>
              </w:rPr>
            </w:pPr>
          </w:p>
        </w:tc>
        <w:tc>
          <w:tcPr>
            <w:tcW w:w="1181" w:type="dxa"/>
            <w:tcBorders>
              <w:top w:val="nil"/>
              <w:bottom w:val="nil"/>
            </w:tcBorders>
          </w:tcPr>
          <w:p>
            <w:pPr>
              <w:pStyle w:val="TableParagraph"/>
              <w:rPr>
                <w:rFonts w:ascii="Times New Roman"/>
                <w:sz w:val="18"/>
              </w:rPr>
            </w:pPr>
          </w:p>
        </w:tc>
        <w:tc>
          <w:tcPr>
            <w:tcW w:w="2477" w:type="dxa"/>
            <w:tcBorders>
              <w:top w:val="nil"/>
            </w:tcBorders>
          </w:tcPr>
          <w:p>
            <w:pPr>
              <w:pStyle w:val="TableParagraph"/>
              <w:rPr>
                <w:rFonts w:ascii="Times New Roman"/>
                <w:sz w:val="18"/>
              </w:rPr>
            </w:pPr>
          </w:p>
        </w:tc>
        <w:tc>
          <w:tcPr>
            <w:tcW w:w="1210" w:type="dxa"/>
            <w:tcBorders>
              <w:top w:val="nil"/>
            </w:tcBorders>
          </w:tcPr>
          <w:p>
            <w:pPr>
              <w:pStyle w:val="TableParagraph"/>
              <w:rPr>
                <w:rFonts w:ascii="Times New Roman"/>
                <w:sz w:val="18"/>
              </w:rPr>
            </w:pPr>
          </w:p>
        </w:tc>
        <w:tc>
          <w:tcPr>
            <w:tcW w:w="4109" w:type="dxa"/>
            <w:vMerge/>
            <w:tcBorders>
              <w:top w:val="nil"/>
              <w:right w:val="nil"/>
            </w:tcBorders>
          </w:tcPr>
          <w:p>
            <w:pPr>
              <w:rPr>
                <w:sz w:val="2"/>
                <w:szCs w:val="2"/>
              </w:rPr>
            </w:pPr>
          </w:p>
        </w:tc>
        <w:tc>
          <w:tcPr>
            <w:tcW w:w="4150" w:type="dxa"/>
            <w:vMerge/>
            <w:tcBorders>
              <w:top w:val="nil"/>
              <w:left w:val="nil"/>
            </w:tcBorders>
          </w:tcPr>
          <w:p>
            <w:pPr>
              <w:rPr>
                <w:sz w:val="2"/>
                <w:szCs w:val="2"/>
              </w:rPr>
            </w:pPr>
          </w:p>
        </w:tc>
        <w:tc>
          <w:tcPr>
            <w:tcW w:w="1757" w:type="dxa"/>
            <w:tcBorders>
              <w:top w:val="nil"/>
            </w:tcBorders>
          </w:tcPr>
          <w:p>
            <w:pPr>
              <w:pStyle w:val="TableParagraph"/>
              <w:spacing w:before="28"/>
              <w:ind w:left="88"/>
              <w:rPr>
                <w:sz w:val="18"/>
              </w:rPr>
            </w:pPr>
            <w:r>
              <w:rPr>
                <w:color w:val="105C84"/>
                <w:spacing w:val="-2"/>
                <w:sz w:val="18"/>
              </w:rPr>
              <w:t>Farmers</w:t>
            </w:r>
          </w:p>
        </w:tc>
        <w:tc>
          <w:tcPr>
            <w:tcW w:w="2967" w:type="dxa"/>
            <w:vMerge/>
            <w:tcBorders>
              <w:top w:val="nil"/>
            </w:tcBorders>
          </w:tcPr>
          <w:p>
            <w:pPr>
              <w:rPr>
                <w:sz w:val="2"/>
                <w:szCs w:val="2"/>
              </w:rPr>
            </w:pPr>
          </w:p>
        </w:tc>
        <w:tc>
          <w:tcPr>
            <w:tcW w:w="2242" w:type="dxa"/>
            <w:tcBorders>
              <w:top w:val="nil"/>
            </w:tcBorders>
          </w:tcPr>
          <w:p>
            <w:pPr>
              <w:pStyle w:val="TableParagraph"/>
              <w:rPr>
                <w:rFonts w:ascii="Times New Roman"/>
                <w:sz w:val="18"/>
              </w:rPr>
            </w:pPr>
          </w:p>
        </w:tc>
      </w:tr>
      <w:tr>
        <w:trPr>
          <w:trHeight w:val="2890" w:hRule="atLeast"/>
        </w:trPr>
        <w:tc>
          <w:tcPr>
            <w:tcW w:w="1008" w:type="dxa"/>
            <w:tcBorders>
              <w:top w:val="nil"/>
              <w:bottom w:val="nil"/>
            </w:tcBorders>
            <w:shd w:val="clear" w:color="auto" w:fill="E6E7E8"/>
          </w:tcPr>
          <w:p>
            <w:pPr>
              <w:pStyle w:val="TableParagraph"/>
              <w:rPr>
                <w:rFonts w:ascii="Times New Roman"/>
                <w:sz w:val="18"/>
              </w:rPr>
            </w:pPr>
          </w:p>
        </w:tc>
        <w:tc>
          <w:tcPr>
            <w:tcW w:w="1152" w:type="dxa"/>
            <w:tcBorders>
              <w:top w:val="nil"/>
              <w:bottom w:val="nil"/>
            </w:tcBorders>
          </w:tcPr>
          <w:p>
            <w:pPr>
              <w:pStyle w:val="TableParagraph"/>
              <w:rPr>
                <w:rFonts w:ascii="Times New Roman"/>
                <w:sz w:val="18"/>
              </w:rPr>
            </w:pPr>
          </w:p>
        </w:tc>
        <w:tc>
          <w:tcPr>
            <w:tcW w:w="1181" w:type="dxa"/>
            <w:tcBorders>
              <w:top w:val="nil"/>
              <w:bottom w:val="nil"/>
            </w:tcBorders>
          </w:tcPr>
          <w:p>
            <w:pPr>
              <w:pStyle w:val="TableParagraph"/>
              <w:rPr>
                <w:rFonts w:ascii="Times New Roman"/>
                <w:sz w:val="18"/>
              </w:rPr>
            </w:pPr>
          </w:p>
        </w:tc>
        <w:tc>
          <w:tcPr>
            <w:tcW w:w="2477" w:type="dxa"/>
          </w:tcPr>
          <w:p>
            <w:pPr>
              <w:pStyle w:val="TableParagraph"/>
              <w:spacing w:line="232" w:lineRule="auto" w:before="100"/>
              <w:ind w:left="89" w:right="336"/>
              <w:rPr>
                <w:sz w:val="18"/>
              </w:rPr>
            </w:pPr>
            <w:r>
              <w:rPr>
                <w:color w:val="105C84"/>
                <w:sz w:val="18"/>
              </w:rPr>
              <w:t>1.5 By December 2021, decrease</w:t>
            </w:r>
            <w:r>
              <w:rPr>
                <w:color w:val="105C84"/>
                <w:spacing w:val="-15"/>
                <w:sz w:val="18"/>
              </w:rPr>
              <w:t> </w:t>
            </w:r>
            <w:r>
              <w:rPr>
                <w:color w:val="105C84"/>
                <w:sz w:val="18"/>
              </w:rPr>
              <w:t>the</w:t>
            </w:r>
            <w:r>
              <w:rPr>
                <w:color w:val="105C84"/>
                <w:spacing w:val="-12"/>
                <w:sz w:val="18"/>
              </w:rPr>
              <w:t> </w:t>
            </w:r>
            <w:r>
              <w:rPr>
                <w:color w:val="105C84"/>
                <w:sz w:val="18"/>
              </w:rPr>
              <w:t>percentage</w:t>
            </w:r>
            <w:r>
              <w:rPr>
                <w:color w:val="105C84"/>
                <w:sz w:val="18"/>
              </w:rPr>
              <w:t> of adults ages 18 years and older with obesity (among adults with an</w:t>
            </w:r>
          </w:p>
          <w:p>
            <w:pPr>
              <w:pStyle w:val="TableParagraph"/>
              <w:spacing w:line="194" w:lineRule="exact"/>
              <w:ind w:left="89"/>
              <w:rPr>
                <w:sz w:val="18"/>
              </w:rPr>
            </w:pPr>
            <w:r>
              <w:rPr>
                <w:color w:val="105C84"/>
                <w:sz w:val="18"/>
              </w:rPr>
              <w:t>annual</w:t>
            </w:r>
            <w:r>
              <w:rPr>
                <w:color w:val="105C84"/>
                <w:spacing w:val="-3"/>
                <w:sz w:val="18"/>
              </w:rPr>
              <w:t> </w:t>
            </w:r>
            <w:r>
              <w:rPr>
                <w:color w:val="105C84"/>
                <w:sz w:val="18"/>
              </w:rPr>
              <w:t>household</w:t>
            </w:r>
            <w:r>
              <w:rPr>
                <w:color w:val="105C84"/>
                <w:spacing w:val="-3"/>
                <w:sz w:val="18"/>
              </w:rPr>
              <w:t> </w:t>
            </w:r>
            <w:r>
              <w:rPr>
                <w:color w:val="105C84"/>
                <w:sz w:val="18"/>
              </w:rPr>
              <w:t>income</w:t>
            </w:r>
            <w:r>
              <w:rPr>
                <w:color w:val="105C84"/>
                <w:spacing w:val="-3"/>
                <w:sz w:val="18"/>
              </w:rPr>
              <w:t> </w:t>
            </w:r>
            <w:r>
              <w:rPr>
                <w:color w:val="105C84"/>
                <w:spacing w:val="-5"/>
                <w:sz w:val="18"/>
              </w:rPr>
              <w:t>of</w:t>
            </w:r>
          </w:p>
          <w:p>
            <w:pPr>
              <w:pStyle w:val="TableParagraph"/>
              <w:spacing w:line="203" w:lineRule="exact"/>
              <w:ind w:left="89"/>
              <w:rPr>
                <w:sz w:val="18"/>
              </w:rPr>
            </w:pPr>
            <w:r>
              <w:rPr>
                <w:color w:val="105C84"/>
                <w:spacing w:val="-4"/>
                <w:sz w:val="18"/>
              </w:rPr>
              <w:t>&lt;$25,000)</w:t>
            </w:r>
            <w:r>
              <w:rPr>
                <w:color w:val="105C84"/>
                <w:spacing w:val="-2"/>
                <w:sz w:val="18"/>
              </w:rPr>
              <w:t> </w:t>
            </w:r>
            <w:r>
              <w:rPr>
                <w:color w:val="105C84"/>
                <w:spacing w:val="-4"/>
                <w:sz w:val="18"/>
              </w:rPr>
              <w:t>by</w:t>
            </w:r>
            <w:r>
              <w:rPr>
                <w:color w:val="105C84"/>
                <w:spacing w:val="-1"/>
                <w:sz w:val="18"/>
              </w:rPr>
              <w:t> </w:t>
            </w:r>
            <w:r>
              <w:rPr>
                <w:color w:val="105C84"/>
                <w:spacing w:val="-5"/>
                <w:sz w:val="18"/>
              </w:rPr>
              <w:t>1%</w:t>
            </w:r>
          </w:p>
        </w:tc>
        <w:tc>
          <w:tcPr>
            <w:tcW w:w="1210" w:type="dxa"/>
          </w:tcPr>
          <w:p>
            <w:pPr>
              <w:pStyle w:val="TableParagraph"/>
              <w:spacing w:before="95"/>
              <w:ind w:left="89"/>
              <w:rPr>
                <w:sz w:val="18"/>
              </w:rPr>
            </w:pPr>
            <w:r>
              <w:rPr>
                <w:color w:val="105C84"/>
                <w:sz w:val="18"/>
              </w:rPr>
              <w:t>Low</w:t>
            </w:r>
            <w:r>
              <w:rPr>
                <w:color w:val="105C84"/>
                <w:spacing w:val="-11"/>
                <w:sz w:val="18"/>
              </w:rPr>
              <w:t> </w:t>
            </w:r>
            <w:r>
              <w:rPr>
                <w:color w:val="105C84"/>
                <w:spacing w:val="-5"/>
                <w:sz w:val="18"/>
              </w:rPr>
              <w:t>SES</w:t>
            </w:r>
          </w:p>
        </w:tc>
        <w:tc>
          <w:tcPr>
            <w:tcW w:w="4109" w:type="dxa"/>
            <w:tcBorders>
              <w:right w:val="nil"/>
            </w:tcBorders>
          </w:tcPr>
          <w:p>
            <w:pPr>
              <w:pStyle w:val="TableParagraph"/>
              <w:spacing w:line="232" w:lineRule="auto" w:before="100"/>
              <w:ind w:left="88" w:right="1054"/>
              <w:rPr>
                <w:sz w:val="18"/>
              </w:rPr>
            </w:pPr>
            <w:r>
              <w:rPr>
                <w:color w:val="105C84"/>
                <w:sz w:val="18"/>
              </w:rPr>
              <w:t>1.0.3 Worksite nutrition and physical activity programs designed to improve</w:t>
            </w:r>
            <w:r>
              <w:rPr>
                <w:color w:val="105C84"/>
                <w:spacing w:val="-13"/>
                <w:sz w:val="18"/>
              </w:rPr>
              <w:t> </w:t>
            </w:r>
            <w:r>
              <w:rPr>
                <w:color w:val="105C84"/>
                <w:sz w:val="18"/>
              </w:rPr>
              <w:t>health</w:t>
            </w:r>
            <w:r>
              <w:rPr>
                <w:color w:val="105C84"/>
                <w:spacing w:val="-12"/>
                <w:sz w:val="18"/>
              </w:rPr>
              <w:t> </w:t>
            </w:r>
            <w:r>
              <w:rPr>
                <w:color w:val="105C84"/>
                <w:sz w:val="18"/>
              </w:rPr>
              <w:t>behaviors</w:t>
            </w:r>
            <w:r>
              <w:rPr>
                <w:color w:val="105C84"/>
                <w:spacing w:val="-13"/>
                <w:sz w:val="18"/>
              </w:rPr>
              <w:t> </w:t>
            </w:r>
            <w:r>
              <w:rPr>
                <w:color w:val="105C84"/>
                <w:sz w:val="18"/>
              </w:rPr>
              <w:t>and</w:t>
            </w:r>
            <w:r>
              <w:rPr>
                <w:color w:val="105C84"/>
                <w:spacing w:val="-12"/>
                <w:sz w:val="18"/>
              </w:rPr>
              <w:t> </w:t>
            </w:r>
            <w:r>
              <w:rPr>
                <w:color w:val="105C84"/>
                <w:sz w:val="18"/>
              </w:rPr>
              <w:t>results</w:t>
            </w:r>
          </w:p>
        </w:tc>
        <w:tc>
          <w:tcPr>
            <w:tcW w:w="4150" w:type="dxa"/>
            <w:tcBorders>
              <w:left w:val="nil"/>
            </w:tcBorders>
          </w:tcPr>
          <w:p>
            <w:pPr>
              <w:pStyle w:val="TableParagraph"/>
              <w:spacing w:line="232" w:lineRule="auto" w:before="100"/>
              <w:ind w:left="1093" w:right="167"/>
              <w:jc w:val="both"/>
              <w:rPr>
                <w:sz w:val="18"/>
              </w:rPr>
            </w:pPr>
            <w:r>
              <w:rPr>
                <w:color w:val="105C84"/>
                <w:spacing w:val="-2"/>
                <w:sz w:val="18"/>
              </w:rPr>
              <w:t>Increase</w:t>
            </w:r>
            <w:r>
              <w:rPr>
                <w:color w:val="105C84"/>
                <w:spacing w:val="-13"/>
                <w:sz w:val="18"/>
              </w:rPr>
              <w:t> </w:t>
            </w:r>
            <w:r>
              <w:rPr>
                <w:color w:val="105C84"/>
                <w:spacing w:val="-2"/>
                <w:sz w:val="18"/>
              </w:rPr>
              <w:t>the</w:t>
            </w:r>
            <w:r>
              <w:rPr>
                <w:color w:val="105C84"/>
                <w:spacing w:val="-10"/>
                <w:sz w:val="18"/>
              </w:rPr>
              <w:t> </w:t>
            </w:r>
            <w:r>
              <w:rPr>
                <w:color w:val="105C84"/>
                <w:spacing w:val="-2"/>
                <w:sz w:val="18"/>
              </w:rPr>
              <w:t>number</w:t>
            </w:r>
            <w:r>
              <w:rPr>
                <w:color w:val="105C84"/>
                <w:spacing w:val="-11"/>
                <w:sz w:val="18"/>
              </w:rPr>
              <w:t> </w:t>
            </w:r>
            <w:r>
              <w:rPr>
                <w:color w:val="105C84"/>
                <w:spacing w:val="-2"/>
                <w:sz w:val="18"/>
              </w:rPr>
              <w:t>of</w:t>
            </w:r>
            <w:r>
              <w:rPr>
                <w:color w:val="105C84"/>
                <w:spacing w:val="-10"/>
                <w:sz w:val="18"/>
              </w:rPr>
              <w:t> </w:t>
            </w:r>
            <w:r>
              <w:rPr>
                <w:color w:val="105C84"/>
                <w:spacing w:val="-2"/>
                <w:sz w:val="18"/>
              </w:rPr>
              <w:t>assessments </w:t>
            </w:r>
            <w:r>
              <w:rPr>
                <w:color w:val="105C84"/>
                <w:sz w:val="18"/>
              </w:rPr>
              <w:t>(from</w:t>
            </w:r>
            <w:r>
              <w:rPr>
                <w:color w:val="105C84"/>
                <w:spacing w:val="-13"/>
                <w:sz w:val="18"/>
              </w:rPr>
              <w:t> </w:t>
            </w:r>
            <w:r>
              <w:rPr>
                <w:color w:val="105C84"/>
                <w:sz w:val="18"/>
              </w:rPr>
              <w:t>NYSDOH</w:t>
            </w:r>
            <w:r>
              <w:rPr>
                <w:color w:val="105C84"/>
                <w:spacing w:val="-12"/>
                <w:sz w:val="18"/>
              </w:rPr>
              <w:t> </w:t>
            </w:r>
            <w:r>
              <w:rPr>
                <w:color w:val="105C84"/>
                <w:sz w:val="18"/>
              </w:rPr>
              <w:t>Prevention</w:t>
            </w:r>
            <w:r>
              <w:rPr>
                <w:color w:val="105C84"/>
                <w:spacing w:val="-13"/>
                <w:sz w:val="18"/>
              </w:rPr>
              <w:t> </w:t>
            </w:r>
            <w:r>
              <w:rPr>
                <w:color w:val="105C84"/>
                <w:sz w:val="18"/>
              </w:rPr>
              <w:t>Agenda) </w:t>
            </w:r>
            <w:r>
              <w:rPr>
                <w:color w:val="105C84"/>
                <w:spacing w:val="-2"/>
                <w:sz w:val="18"/>
              </w:rPr>
              <w:t>completed</w:t>
            </w:r>
          </w:p>
          <w:p>
            <w:pPr>
              <w:pStyle w:val="TableParagraph"/>
              <w:spacing w:line="232" w:lineRule="auto" w:before="87"/>
              <w:ind w:left="1093" w:right="164"/>
              <w:jc w:val="both"/>
              <w:rPr>
                <w:sz w:val="18"/>
              </w:rPr>
            </w:pPr>
            <w:r>
              <w:rPr>
                <w:color w:val="105C84"/>
                <w:sz w:val="18"/>
              </w:rPr>
              <w:t>Increase</w:t>
            </w:r>
            <w:r>
              <w:rPr>
                <w:color w:val="105C84"/>
                <w:spacing w:val="-9"/>
                <w:sz w:val="18"/>
              </w:rPr>
              <w:t> </w:t>
            </w:r>
            <w:r>
              <w:rPr>
                <w:color w:val="105C84"/>
                <w:sz w:val="18"/>
              </w:rPr>
              <w:t>number</w:t>
            </w:r>
            <w:r>
              <w:rPr>
                <w:color w:val="105C84"/>
                <w:spacing w:val="-9"/>
                <w:sz w:val="18"/>
              </w:rPr>
              <w:t> </w:t>
            </w:r>
            <w:r>
              <w:rPr>
                <w:color w:val="105C84"/>
                <w:sz w:val="18"/>
              </w:rPr>
              <w:t>of</w:t>
            </w:r>
            <w:r>
              <w:rPr>
                <w:color w:val="105C84"/>
                <w:spacing w:val="-9"/>
                <w:sz w:val="18"/>
              </w:rPr>
              <w:t> </w:t>
            </w:r>
            <w:r>
              <w:rPr>
                <w:color w:val="105C84"/>
                <w:sz w:val="18"/>
              </w:rPr>
              <w:t>practices</w:t>
            </w:r>
            <w:r>
              <w:rPr>
                <w:color w:val="105C84"/>
                <w:spacing w:val="-9"/>
                <w:sz w:val="18"/>
              </w:rPr>
              <w:t> </w:t>
            </w:r>
            <w:r>
              <w:rPr>
                <w:color w:val="105C84"/>
                <w:sz w:val="18"/>
              </w:rPr>
              <w:t>and/or </w:t>
            </w:r>
            <w:r>
              <w:rPr>
                <w:color w:val="105C84"/>
                <w:w w:val="105"/>
                <w:sz w:val="18"/>
              </w:rPr>
              <w:t>policies</w:t>
            </w:r>
            <w:r>
              <w:rPr>
                <w:color w:val="105C84"/>
                <w:spacing w:val="-1"/>
                <w:w w:val="105"/>
                <w:sz w:val="18"/>
              </w:rPr>
              <w:t> </w:t>
            </w:r>
            <w:r>
              <w:rPr>
                <w:color w:val="105C84"/>
                <w:w w:val="105"/>
                <w:sz w:val="18"/>
              </w:rPr>
              <w:t>implemented</w:t>
            </w:r>
          </w:p>
          <w:p>
            <w:pPr>
              <w:pStyle w:val="TableParagraph"/>
              <w:spacing w:line="232" w:lineRule="auto" w:before="89"/>
              <w:ind w:left="1093" w:right="192"/>
              <w:rPr>
                <w:sz w:val="18"/>
              </w:rPr>
            </w:pPr>
            <w:r>
              <w:rPr>
                <w:color w:val="105C84"/>
                <w:sz w:val="18"/>
              </w:rPr>
              <w:t>Baseline:</w:t>
            </w:r>
            <w:r>
              <w:rPr>
                <w:color w:val="105C84"/>
                <w:spacing w:val="-3"/>
                <w:sz w:val="18"/>
              </w:rPr>
              <w:t> </w:t>
            </w:r>
            <w:r>
              <w:rPr>
                <w:color w:val="105C84"/>
                <w:sz w:val="18"/>
              </w:rPr>
              <w:t>22</w:t>
            </w:r>
            <w:r>
              <w:rPr>
                <w:color w:val="105C84"/>
                <w:spacing w:val="-3"/>
                <w:sz w:val="18"/>
              </w:rPr>
              <w:t> </w:t>
            </w:r>
            <w:r>
              <w:rPr>
                <w:color w:val="105C84"/>
                <w:sz w:val="18"/>
              </w:rPr>
              <w:t>Liv</w:t>
            </w:r>
            <w:r>
              <w:rPr>
                <w:color w:val="105C84"/>
                <w:spacing w:val="-3"/>
                <w:sz w:val="18"/>
              </w:rPr>
              <w:t> </w:t>
            </w:r>
            <w:r>
              <w:rPr>
                <w:color w:val="105C84"/>
                <w:sz w:val="18"/>
              </w:rPr>
              <w:t>Co</w:t>
            </w:r>
            <w:r>
              <w:rPr>
                <w:color w:val="105C84"/>
                <w:spacing w:val="-3"/>
                <w:sz w:val="18"/>
              </w:rPr>
              <w:t> </w:t>
            </w:r>
            <w:r>
              <w:rPr>
                <w:color w:val="105C84"/>
                <w:sz w:val="18"/>
              </w:rPr>
              <w:t>worksites</w:t>
            </w:r>
            <w:r>
              <w:rPr>
                <w:color w:val="105C84"/>
                <w:spacing w:val="-3"/>
                <w:sz w:val="18"/>
              </w:rPr>
              <w:t> </w:t>
            </w:r>
            <w:r>
              <w:rPr>
                <w:color w:val="105C84"/>
                <w:sz w:val="18"/>
              </w:rPr>
              <w:t>have adopted and implemented </w:t>
            </w:r>
            <w:r>
              <w:rPr>
                <w:color w:val="105C84"/>
                <w:sz w:val="18"/>
              </w:rPr>
              <w:t>policies as of 2018-LCDOH</w:t>
            </w:r>
          </w:p>
          <w:p>
            <w:pPr>
              <w:pStyle w:val="TableParagraph"/>
              <w:spacing w:line="232" w:lineRule="auto" w:before="87"/>
              <w:ind w:left="1093" w:right="192"/>
              <w:rPr>
                <w:sz w:val="18"/>
              </w:rPr>
            </w:pPr>
            <w:r>
              <w:rPr>
                <w:color w:val="105C84"/>
                <w:sz w:val="18"/>
              </w:rPr>
              <w:t>Baseline:</w:t>
            </w:r>
            <w:r>
              <w:rPr>
                <w:color w:val="105C84"/>
                <w:spacing w:val="-15"/>
                <w:sz w:val="18"/>
              </w:rPr>
              <w:t> </w:t>
            </w:r>
            <w:r>
              <w:rPr>
                <w:color w:val="105C84"/>
                <w:sz w:val="18"/>
              </w:rPr>
              <w:t>44.2%</w:t>
            </w:r>
            <w:r>
              <w:rPr>
                <w:color w:val="105C84"/>
                <w:spacing w:val="-12"/>
                <w:sz w:val="18"/>
              </w:rPr>
              <w:t> </w:t>
            </w:r>
            <w:r>
              <w:rPr>
                <w:color w:val="105C84"/>
                <w:sz w:val="18"/>
              </w:rPr>
              <w:t>with</w:t>
            </w:r>
            <w:r>
              <w:rPr>
                <w:color w:val="105C84"/>
                <w:spacing w:val="-13"/>
                <w:sz w:val="18"/>
              </w:rPr>
              <w:t> </w:t>
            </w:r>
            <w:r>
              <w:rPr>
                <w:color w:val="105C84"/>
                <w:sz w:val="18"/>
              </w:rPr>
              <w:t>obesity</w:t>
            </w:r>
            <w:r>
              <w:rPr>
                <w:color w:val="105C84"/>
                <w:spacing w:val="-12"/>
                <w:sz w:val="18"/>
              </w:rPr>
              <w:t> </w:t>
            </w:r>
            <w:r>
              <w:rPr>
                <w:color w:val="105C84"/>
                <w:sz w:val="18"/>
              </w:rPr>
              <w:t>among adults with an annual household income of &lt;$25,000, 2013-2014</w:t>
            </w:r>
          </w:p>
          <w:p>
            <w:pPr>
              <w:pStyle w:val="TableParagraph"/>
              <w:spacing w:line="200" w:lineRule="exact"/>
              <w:ind w:left="1093"/>
              <w:rPr>
                <w:sz w:val="18"/>
              </w:rPr>
            </w:pPr>
            <w:r>
              <w:rPr>
                <w:color w:val="105C84"/>
                <w:spacing w:val="-2"/>
                <w:sz w:val="18"/>
              </w:rPr>
              <w:t>e-BRFSS</w:t>
            </w:r>
          </w:p>
        </w:tc>
        <w:tc>
          <w:tcPr>
            <w:tcW w:w="1757" w:type="dxa"/>
          </w:tcPr>
          <w:p>
            <w:pPr>
              <w:pStyle w:val="TableParagraph"/>
              <w:spacing w:line="232" w:lineRule="auto" w:before="100"/>
              <w:ind w:left="88"/>
              <w:rPr>
                <w:sz w:val="18"/>
              </w:rPr>
            </w:pPr>
            <w:r>
              <w:rPr>
                <w:color w:val="105C84"/>
                <w:sz w:val="18"/>
              </w:rPr>
              <w:t>Genesee Valley </w:t>
            </w:r>
            <w:r>
              <w:rPr>
                <w:color w:val="105C84"/>
                <w:spacing w:val="-2"/>
                <w:sz w:val="18"/>
              </w:rPr>
              <w:t>Health</w:t>
            </w:r>
            <w:r>
              <w:rPr>
                <w:color w:val="105C84"/>
                <w:spacing w:val="-11"/>
                <w:sz w:val="18"/>
              </w:rPr>
              <w:t> </w:t>
            </w:r>
            <w:r>
              <w:rPr>
                <w:color w:val="105C84"/>
                <w:spacing w:val="-2"/>
                <w:sz w:val="18"/>
              </w:rPr>
              <w:t>Partnership </w:t>
            </w:r>
            <w:r>
              <w:rPr>
                <w:color w:val="105C84"/>
                <w:sz w:val="18"/>
              </w:rPr>
              <w:t>(GVHP/Be Well </w:t>
            </w:r>
            <w:r>
              <w:rPr>
                <w:color w:val="105C84"/>
                <w:spacing w:val="-2"/>
                <w:sz w:val="18"/>
              </w:rPr>
              <w:t>Committee)</w:t>
            </w:r>
          </w:p>
          <w:p>
            <w:pPr>
              <w:pStyle w:val="TableParagraph"/>
              <w:spacing w:before="81"/>
              <w:ind w:left="88"/>
              <w:rPr>
                <w:sz w:val="18"/>
              </w:rPr>
            </w:pPr>
            <w:r>
              <w:rPr>
                <w:color w:val="105C84"/>
                <w:spacing w:val="-2"/>
                <w:sz w:val="18"/>
              </w:rPr>
              <w:t>LCDOH</w:t>
            </w:r>
          </w:p>
          <w:p>
            <w:pPr>
              <w:pStyle w:val="TableParagraph"/>
              <w:spacing w:line="336" w:lineRule="auto" w:before="83"/>
              <w:ind w:left="88"/>
              <w:rPr>
                <w:sz w:val="18"/>
              </w:rPr>
            </w:pPr>
            <w:r>
              <w:rPr>
                <w:color w:val="105C84"/>
                <w:sz w:val="18"/>
              </w:rPr>
              <w:t>UR Med Noyes Cornell</w:t>
            </w:r>
            <w:r>
              <w:rPr>
                <w:color w:val="105C84"/>
                <w:spacing w:val="-11"/>
                <w:sz w:val="18"/>
              </w:rPr>
              <w:t> </w:t>
            </w:r>
            <w:r>
              <w:rPr>
                <w:color w:val="105C84"/>
                <w:sz w:val="18"/>
              </w:rPr>
              <w:t>Coop</w:t>
            </w:r>
            <w:r>
              <w:rPr>
                <w:color w:val="105C84"/>
                <w:spacing w:val="-11"/>
                <w:sz w:val="18"/>
              </w:rPr>
              <w:t> </w:t>
            </w:r>
            <w:r>
              <w:rPr>
                <w:color w:val="105C84"/>
                <w:sz w:val="18"/>
              </w:rPr>
              <w:t>Ext </w:t>
            </w:r>
            <w:r>
              <w:rPr>
                <w:color w:val="105C84"/>
                <w:spacing w:val="-4"/>
                <w:sz w:val="18"/>
              </w:rPr>
              <w:t>URMC</w:t>
            </w:r>
          </w:p>
          <w:p>
            <w:pPr>
              <w:pStyle w:val="TableParagraph"/>
              <w:spacing w:line="232" w:lineRule="auto" w:before="6"/>
              <w:ind w:left="88" w:right="441"/>
              <w:rPr>
                <w:sz w:val="18"/>
              </w:rPr>
            </w:pPr>
            <w:r>
              <w:rPr>
                <w:color w:val="105C84"/>
                <w:sz w:val="18"/>
              </w:rPr>
              <w:t>American</w:t>
            </w:r>
            <w:r>
              <w:rPr>
                <w:color w:val="105C84"/>
                <w:spacing w:val="-13"/>
                <w:sz w:val="18"/>
              </w:rPr>
              <w:t> </w:t>
            </w:r>
            <w:r>
              <w:rPr>
                <w:color w:val="105C84"/>
                <w:sz w:val="18"/>
              </w:rPr>
              <w:t>Lung </w:t>
            </w:r>
            <w:r>
              <w:rPr>
                <w:color w:val="105C84"/>
                <w:spacing w:val="-2"/>
                <w:sz w:val="18"/>
              </w:rPr>
              <w:t>Association</w:t>
            </w:r>
          </w:p>
          <w:p>
            <w:pPr>
              <w:pStyle w:val="TableParagraph"/>
              <w:spacing w:before="83"/>
              <w:ind w:left="88"/>
              <w:rPr>
                <w:sz w:val="18"/>
              </w:rPr>
            </w:pPr>
            <w:r>
              <w:rPr>
                <w:color w:val="105C84"/>
                <w:spacing w:val="-2"/>
                <w:sz w:val="18"/>
              </w:rPr>
              <w:t>Worksites</w:t>
            </w:r>
          </w:p>
        </w:tc>
        <w:tc>
          <w:tcPr>
            <w:tcW w:w="2967" w:type="dxa"/>
          </w:tcPr>
          <w:p>
            <w:pPr>
              <w:pStyle w:val="TableParagraph"/>
              <w:spacing w:line="232" w:lineRule="auto" w:before="99"/>
              <w:ind w:left="88" w:right="51"/>
              <w:rPr>
                <w:sz w:val="18"/>
              </w:rPr>
            </w:pPr>
            <w:r>
              <w:rPr>
                <w:color w:val="105C84"/>
                <w:spacing w:val="-2"/>
                <w:sz w:val="18"/>
              </w:rPr>
              <w:t>Genesee</w:t>
            </w:r>
            <w:r>
              <w:rPr>
                <w:color w:val="105C84"/>
                <w:spacing w:val="-4"/>
                <w:sz w:val="18"/>
              </w:rPr>
              <w:t> </w:t>
            </w:r>
            <w:r>
              <w:rPr>
                <w:color w:val="105C84"/>
                <w:spacing w:val="-2"/>
                <w:sz w:val="18"/>
              </w:rPr>
              <w:t>Valley</w:t>
            </w:r>
            <w:r>
              <w:rPr>
                <w:color w:val="105C84"/>
                <w:spacing w:val="-4"/>
                <w:sz w:val="18"/>
              </w:rPr>
              <w:t> </w:t>
            </w:r>
            <w:r>
              <w:rPr>
                <w:color w:val="105C84"/>
                <w:spacing w:val="-2"/>
                <w:sz w:val="18"/>
              </w:rPr>
              <w:t>Health</w:t>
            </w:r>
            <w:r>
              <w:rPr>
                <w:color w:val="105C84"/>
                <w:spacing w:val="-4"/>
                <w:sz w:val="18"/>
              </w:rPr>
              <w:t> </w:t>
            </w:r>
            <w:r>
              <w:rPr>
                <w:color w:val="105C84"/>
                <w:spacing w:val="-2"/>
                <w:sz w:val="18"/>
              </w:rPr>
              <w:t>Partnership </w:t>
            </w:r>
            <w:r>
              <w:rPr>
                <w:color w:val="105C84"/>
                <w:sz w:val="18"/>
              </w:rPr>
              <w:t>(GVHP/Be Well Committee including</w:t>
            </w:r>
            <w:r>
              <w:rPr>
                <w:color w:val="105C84"/>
                <w:spacing w:val="-6"/>
                <w:sz w:val="18"/>
              </w:rPr>
              <w:t> </w:t>
            </w:r>
            <w:r>
              <w:rPr>
                <w:color w:val="105C84"/>
                <w:sz w:val="18"/>
              </w:rPr>
              <w:t>LCDOH,</w:t>
            </w:r>
            <w:r>
              <w:rPr>
                <w:color w:val="105C84"/>
                <w:spacing w:val="-6"/>
                <w:sz w:val="18"/>
              </w:rPr>
              <w:t> </w:t>
            </w:r>
            <w:r>
              <w:rPr>
                <w:color w:val="105C84"/>
                <w:sz w:val="18"/>
              </w:rPr>
              <w:t>UR</w:t>
            </w:r>
            <w:r>
              <w:rPr>
                <w:color w:val="105C84"/>
                <w:spacing w:val="-6"/>
                <w:sz w:val="18"/>
              </w:rPr>
              <w:t> </w:t>
            </w:r>
            <w:r>
              <w:rPr>
                <w:color w:val="105C84"/>
                <w:sz w:val="18"/>
              </w:rPr>
              <w:t>Med</w:t>
            </w:r>
            <w:r>
              <w:rPr>
                <w:color w:val="105C84"/>
                <w:spacing w:val="-6"/>
                <w:sz w:val="18"/>
              </w:rPr>
              <w:t> </w:t>
            </w:r>
            <w:r>
              <w:rPr>
                <w:color w:val="105C84"/>
                <w:sz w:val="18"/>
              </w:rPr>
              <w:t>Noyes, Cornell Coop Ext) to assist with development, implementation </w:t>
            </w:r>
            <w:r>
              <w:rPr>
                <w:color w:val="105C84"/>
                <w:sz w:val="18"/>
              </w:rPr>
              <w:t>and eval of policy/practice change</w:t>
            </w:r>
          </w:p>
          <w:p>
            <w:pPr>
              <w:pStyle w:val="TableParagraph"/>
              <w:spacing w:before="81"/>
              <w:ind w:left="88"/>
              <w:rPr>
                <w:sz w:val="18"/>
              </w:rPr>
            </w:pPr>
            <w:r>
              <w:rPr>
                <w:color w:val="105C84"/>
                <w:spacing w:val="-7"/>
                <w:sz w:val="18"/>
              </w:rPr>
              <w:t>GVHP-</w:t>
            </w:r>
            <w:r>
              <w:rPr>
                <w:color w:val="105C84"/>
                <w:spacing w:val="-4"/>
                <w:sz w:val="18"/>
              </w:rPr>
              <w:t> </w:t>
            </w:r>
            <w:r>
              <w:rPr>
                <w:color w:val="105C84"/>
                <w:spacing w:val="-2"/>
                <w:sz w:val="18"/>
              </w:rPr>
              <w:t>$1,000</w:t>
            </w:r>
          </w:p>
          <w:p>
            <w:pPr>
              <w:pStyle w:val="TableParagraph"/>
              <w:spacing w:line="232" w:lineRule="auto" w:before="88"/>
              <w:ind w:left="88"/>
              <w:rPr>
                <w:sz w:val="18"/>
              </w:rPr>
            </w:pPr>
            <w:r>
              <w:rPr>
                <w:color w:val="105C84"/>
                <w:sz w:val="18"/>
              </w:rPr>
              <w:t>American</w:t>
            </w:r>
            <w:r>
              <w:rPr>
                <w:color w:val="105C84"/>
                <w:spacing w:val="-15"/>
                <w:sz w:val="18"/>
              </w:rPr>
              <w:t> </w:t>
            </w:r>
            <w:r>
              <w:rPr>
                <w:color w:val="105C84"/>
                <w:sz w:val="18"/>
              </w:rPr>
              <w:t>Lung</w:t>
            </w:r>
            <w:r>
              <w:rPr>
                <w:color w:val="105C84"/>
                <w:spacing w:val="-12"/>
                <w:sz w:val="18"/>
              </w:rPr>
              <w:t> </w:t>
            </w:r>
            <w:r>
              <w:rPr>
                <w:color w:val="105C84"/>
                <w:sz w:val="18"/>
              </w:rPr>
              <w:t>assist</w:t>
            </w:r>
            <w:r>
              <w:rPr>
                <w:color w:val="105C84"/>
                <w:spacing w:val="-13"/>
                <w:sz w:val="18"/>
              </w:rPr>
              <w:t> </w:t>
            </w:r>
            <w:r>
              <w:rPr>
                <w:color w:val="105C84"/>
                <w:sz w:val="18"/>
              </w:rPr>
              <w:t>with</w:t>
            </w:r>
            <w:r>
              <w:rPr>
                <w:color w:val="105C84"/>
                <w:spacing w:val="-12"/>
                <w:sz w:val="18"/>
              </w:rPr>
              <w:t> </w:t>
            </w:r>
            <w:r>
              <w:rPr>
                <w:color w:val="105C84"/>
                <w:sz w:val="18"/>
              </w:rPr>
              <w:t>tobacco free policy/practice</w:t>
            </w:r>
          </w:p>
          <w:p>
            <w:pPr>
              <w:pStyle w:val="TableParagraph"/>
              <w:spacing w:line="232" w:lineRule="auto" w:before="88"/>
              <w:ind w:left="88"/>
              <w:rPr>
                <w:sz w:val="18"/>
              </w:rPr>
            </w:pPr>
            <w:r>
              <w:rPr>
                <w:color w:val="105C84"/>
                <w:spacing w:val="-2"/>
                <w:w w:val="105"/>
                <w:sz w:val="18"/>
              </w:rPr>
              <w:t>Worksite</w:t>
            </w:r>
            <w:r>
              <w:rPr>
                <w:color w:val="105C84"/>
                <w:spacing w:val="-12"/>
                <w:w w:val="105"/>
                <w:sz w:val="18"/>
              </w:rPr>
              <w:t> </w:t>
            </w:r>
            <w:r>
              <w:rPr>
                <w:color w:val="105C84"/>
                <w:spacing w:val="-2"/>
                <w:w w:val="105"/>
                <w:sz w:val="18"/>
              </w:rPr>
              <w:t>to</w:t>
            </w:r>
            <w:r>
              <w:rPr>
                <w:color w:val="105C84"/>
                <w:spacing w:val="-11"/>
                <w:w w:val="105"/>
                <w:sz w:val="18"/>
              </w:rPr>
              <w:t> </w:t>
            </w:r>
            <w:r>
              <w:rPr>
                <w:color w:val="105C84"/>
                <w:spacing w:val="-2"/>
                <w:w w:val="105"/>
                <w:sz w:val="18"/>
              </w:rPr>
              <w:t>adopt</w:t>
            </w:r>
            <w:r>
              <w:rPr>
                <w:color w:val="105C84"/>
                <w:spacing w:val="-11"/>
                <w:w w:val="105"/>
                <w:sz w:val="18"/>
              </w:rPr>
              <w:t> </w:t>
            </w:r>
            <w:r>
              <w:rPr>
                <w:color w:val="105C84"/>
                <w:spacing w:val="-2"/>
                <w:w w:val="105"/>
                <w:sz w:val="18"/>
              </w:rPr>
              <w:t>and</w:t>
            </w:r>
            <w:r>
              <w:rPr>
                <w:color w:val="105C84"/>
                <w:spacing w:val="-11"/>
                <w:w w:val="105"/>
                <w:sz w:val="18"/>
              </w:rPr>
              <w:t> </w:t>
            </w:r>
            <w:r>
              <w:rPr>
                <w:color w:val="105C84"/>
                <w:spacing w:val="-2"/>
                <w:w w:val="105"/>
                <w:sz w:val="18"/>
              </w:rPr>
              <w:t>implement </w:t>
            </w:r>
            <w:r>
              <w:rPr>
                <w:color w:val="105C84"/>
                <w:w w:val="105"/>
                <w:sz w:val="18"/>
              </w:rPr>
              <w:t>policy/practice</w:t>
            </w:r>
            <w:r>
              <w:rPr>
                <w:color w:val="105C84"/>
                <w:spacing w:val="-1"/>
                <w:w w:val="105"/>
                <w:sz w:val="18"/>
              </w:rPr>
              <w:t> </w:t>
            </w:r>
            <w:r>
              <w:rPr>
                <w:color w:val="105C84"/>
                <w:w w:val="105"/>
                <w:sz w:val="18"/>
              </w:rPr>
              <w:t>change</w:t>
            </w:r>
          </w:p>
        </w:tc>
        <w:tc>
          <w:tcPr>
            <w:tcW w:w="2242" w:type="dxa"/>
          </w:tcPr>
          <w:p>
            <w:pPr>
              <w:pStyle w:val="TableParagraph"/>
              <w:spacing w:line="232" w:lineRule="auto" w:before="99"/>
              <w:ind w:left="87" w:right="74"/>
              <w:rPr>
                <w:sz w:val="18"/>
              </w:rPr>
            </w:pPr>
            <w:r>
              <w:rPr>
                <w:color w:val="105C84"/>
                <w:sz w:val="18"/>
              </w:rPr>
              <w:t>A minimum of one worksite</w:t>
            </w:r>
            <w:r>
              <w:rPr>
                <w:color w:val="105C84"/>
                <w:spacing w:val="-13"/>
                <w:sz w:val="18"/>
              </w:rPr>
              <w:t> </w:t>
            </w:r>
            <w:r>
              <w:rPr>
                <w:color w:val="105C84"/>
                <w:sz w:val="18"/>
              </w:rPr>
              <w:t>which</w:t>
            </w:r>
            <w:r>
              <w:rPr>
                <w:color w:val="105C84"/>
                <w:spacing w:val="-12"/>
                <w:sz w:val="18"/>
              </w:rPr>
              <w:t> </w:t>
            </w:r>
            <w:r>
              <w:rPr>
                <w:color w:val="105C84"/>
                <w:sz w:val="18"/>
              </w:rPr>
              <w:t>adopts</w:t>
            </w:r>
            <w:r>
              <w:rPr>
                <w:color w:val="105C84"/>
                <w:spacing w:val="-13"/>
                <w:sz w:val="18"/>
              </w:rPr>
              <w:t> </w:t>
            </w:r>
            <w:r>
              <w:rPr>
                <w:color w:val="105C84"/>
                <w:sz w:val="18"/>
              </w:rPr>
              <w:t>a policy or implements a practice per year</w:t>
            </w:r>
          </w:p>
        </w:tc>
      </w:tr>
      <w:tr>
        <w:trPr>
          <w:trHeight w:val="1235" w:hRule="atLeast"/>
        </w:trPr>
        <w:tc>
          <w:tcPr>
            <w:tcW w:w="1008" w:type="dxa"/>
            <w:tcBorders>
              <w:top w:val="nil"/>
              <w:bottom w:val="nil"/>
            </w:tcBorders>
            <w:shd w:val="clear" w:color="auto" w:fill="E6E7E8"/>
          </w:tcPr>
          <w:p>
            <w:pPr>
              <w:pStyle w:val="TableParagraph"/>
              <w:rPr>
                <w:rFonts w:ascii="Times New Roman"/>
                <w:sz w:val="18"/>
              </w:rPr>
            </w:pPr>
          </w:p>
        </w:tc>
        <w:tc>
          <w:tcPr>
            <w:tcW w:w="1152" w:type="dxa"/>
            <w:tcBorders>
              <w:top w:val="nil"/>
              <w:bottom w:val="nil"/>
            </w:tcBorders>
          </w:tcPr>
          <w:p>
            <w:pPr>
              <w:pStyle w:val="TableParagraph"/>
              <w:rPr>
                <w:rFonts w:ascii="Times New Roman"/>
                <w:sz w:val="18"/>
              </w:rPr>
            </w:pPr>
          </w:p>
        </w:tc>
        <w:tc>
          <w:tcPr>
            <w:tcW w:w="1181" w:type="dxa"/>
            <w:tcBorders>
              <w:top w:val="nil"/>
              <w:bottom w:val="nil"/>
            </w:tcBorders>
          </w:tcPr>
          <w:p>
            <w:pPr>
              <w:pStyle w:val="TableParagraph"/>
              <w:rPr>
                <w:rFonts w:ascii="Times New Roman"/>
                <w:sz w:val="18"/>
              </w:rPr>
            </w:pPr>
          </w:p>
        </w:tc>
        <w:tc>
          <w:tcPr>
            <w:tcW w:w="2477" w:type="dxa"/>
            <w:tcBorders>
              <w:bottom w:val="nil"/>
            </w:tcBorders>
          </w:tcPr>
          <w:p>
            <w:pPr>
              <w:pStyle w:val="TableParagraph"/>
              <w:spacing w:line="232" w:lineRule="auto" w:before="99"/>
              <w:ind w:left="89" w:right="135"/>
              <w:rPr>
                <w:sz w:val="18"/>
              </w:rPr>
            </w:pPr>
            <w:r>
              <w:rPr>
                <w:color w:val="105C84"/>
                <w:sz w:val="18"/>
              </w:rPr>
              <w:t>1.7 By December 2021, decrease</w:t>
            </w:r>
            <w:r>
              <w:rPr>
                <w:color w:val="105C84"/>
                <w:spacing w:val="-9"/>
                <w:sz w:val="18"/>
              </w:rPr>
              <w:t> </w:t>
            </w:r>
            <w:r>
              <w:rPr>
                <w:color w:val="105C84"/>
                <w:sz w:val="18"/>
              </w:rPr>
              <w:t>the</w:t>
            </w:r>
            <w:r>
              <w:rPr>
                <w:color w:val="105C84"/>
                <w:spacing w:val="-9"/>
                <w:sz w:val="18"/>
              </w:rPr>
              <w:t> </w:t>
            </w:r>
            <w:r>
              <w:rPr>
                <w:color w:val="105C84"/>
                <w:sz w:val="18"/>
              </w:rPr>
              <w:t>percentage</w:t>
            </w:r>
            <w:r>
              <w:rPr>
                <w:color w:val="105C84"/>
                <w:spacing w:val="-9"/>
                <w:sz w:val="18"/>
              </w:rPr>
              <w:t> </w:t>
            </w:r>
            <w:r>
              <w:rPr>
                <w:color w:val="105C84"/>
                <w:sz w:val="18"/>
              </w:rPr>
              <w:t>of</w:t>
            </w:r>
            <w:r>
              <w:rPr>
                <w:color w:val="105C84"/>
                <w:sz w:val="18"/>
              </w:rPr>
              <w:t> adults</w:t>
            </w:r>
            <w:r>
              <w:rPr>
                <w:color w:val="105C84"/>
                <w:spacing w:val="-10"/>
                <w:sz w:val="18"/>
              </w:rPr>
              <w:t> </w:t>
            </w:r>
            <w:r>
              <w:rPr>
                <w:color w:val="105C84"/>
                <w:sz w:val="18"/>
              </w:rPr>
              <w:t>who</w:t>
            </w:r>
            <w:r>
              <w:rPr>
                <w:color w:val="105C84"/>
                <w:spacing w:val="-10"/>
                <w:sz w:val="18"/>
              </w:rPr>
              <w:t> </w:t>
            </w:r>
            <w:r>
              <w:rPr>
                <w:color w:val="105C84"/>
                <w:sz w:val="18"/>
              </w:rPr>
              <w:t>consume</w:t>
            </w:r>
            <w:r>
              <w:rPr>
                <w:color w:val="105C84"/>
                <w:spacing w:val="-10"/>
                <w:sz w:val="18"/>
              </w:rPr>
              <w:t> </w:t>
            </w:r>
            <w:r>
              <w:rPr>
                <w:color w:val="105C84"/>
                <w:sz w:val="18"/>
              </w:rPr>
              <w:t>one</w:t>
            </w:r>
            <w:r>
              <w:rPr>
                <w:color w:val="105C84"/>
                <w:spacing w:val="-10"/>
                <w:sz w:val="18"/>
              </w:rPr>
              <w:t> </w:t>
            </w:r>
            <w:r>
              <w:rPr>
                <w:color w:val="105C84"/>
                <w:sz w:val="18"/>
              </w:rPr>
              <w:t>or</w:t>
            </w:r>
            <w:r>
              <w:rPr>
                <w:color w:val="105C84"/>
                <w:sz w:val="18"/>
              </w:rPr>
              <w:t> more</w:t>
            </w:r>
            <w:r>
              <w:rPr>
                <w:color w:val="105C84"/>
                <w:spacing w:val="-5"/>
                <w:sz w:val="18"/>
              </w:rPr>
              <w:t> </w:t>
            </w:r>
            <w:r>
              <w:rPr>
                <w:color w:val="105C84"/>
                <w:sz w:val="18"/>
              </w:rPr>
              <w:t>sugary</w:t>
            </w:r>
            <w:r>
              <w:rPr>
                <w:color w:val="105C84"/>
                <w:spacing w:val="-5"/>
                <w:sz w:val="18"/>
              </w:rPr>
              <w:t> </w:t>
            </w:r>
            <w:r>
              <w:rPr>
                <w:color w:val="105C84"/>
                <w:sz w:val="18"/>
              </w:rPr>
              <w:t>drinks</w:t>
            </w:r>
            <w:r>
              <w:rPr>
                <w:color w:val="105C84"/>
                <w:spacing w:val="-5"/>
                <w:sz w:val="18"/>
              </w:rPr>
              <w:t> </w:t>
            </w:r>
            <w:r>
              <w:rPr>
                <w:color w:val="105C84"/>
                <w:sz w:val="18"/>
              </w:rPr>
              <w:t>per</w:t>
            </w:r>
            <w:r>
              <w:rPr>
                <w:color w:val="105C84"/>
                <w:spacing w:val="-5"/>
                <w:sz w:val="18"/>
              </w:rPr>
              <w:t> </w:t>
            </w:r>
            <w:r>
              <w:rPr>
                <w:color w:val="105C84"/>
                <w:sz w:val="18"/>
              </w:rPr>
              <w:t>day by 2%</w:t>
            </w:r>
          </w:p>
        </w:tc>
        <w:tc>
          <w:tcPr>
            <w:tcW w:w="1210" w:type="dxa"/>
            <w:vMerge w:val="restart"/>
          </w:tcPr>
          <w:p>
            <w:pPr>
              <w:pStyle w:val="TableParagraph"/>
              <w:rPr>
                <w:rFonts w:ascii="Times New Roman"/>
                <w:sz w:val="18"/>
              </w:rPr>
            </w:pPr>
          </w:p>
        </w:tc>
        <w:tc>
          <w:tcPr>
            <w:tcW w:w="4109" w:type="dxa"/>
            <w:vMerge w:val="restart"/>
            <w:tcBorders>
              <w:right w:val="nil"/>
            </w:tcBorders>
          </w:tcPr>
          <w:p>
            <w:pPr>
              <w:pStyle w:val="TableParagraph"/>
              <w:spacing w:line="232" w:lineRule="auto" w:before="99"/>
              <w:ind w:left="88" w:right="1108"/>
              <w:rPr>
                <w:sz w:val="18"/>
              </w:rPr>
            </w:pPr>
            <w:r>
              <w:rPr>
                <w:color w:val="105C84"/>
                <w:sz w:val="18"/>
              </w:rPr>
              <w:t>1.0.1 Adopt policies and implement practices to reduce (over) consumption</w:t>
            </w:r>
            <w:r>
              <w:rPr>
                <w:color w:val="105C84"/>
                <w:spacing w:val="-15"/>
                <w:sz w:val="18"/>
              </w:rPr>
              <w:t> </w:t>
            </w:r>
            <w:r>
              <w:rPr>
                <w:color w:val="105C84"/>
                <w:sz w:val="18"/>
              </w:rPr>
              <w:t>of</w:t>
            </w:r>
            <w:r>
              <w:rPr>
                <w:color w:val="105C84"/>
                <w:spacing w:val="-12"/>
                <w:sz w:val="18"/>
              </w:rPr>
              <w:t> </w:t>
            </w:r>
            <w:r>
              <w:rPr>
                <w:color w:val="105C84"/>
                <w:sz w:val="18"/>
              </w:rPr>
              <w:t>sugary</w:t>
            </w:r>
            <w:r>
              <w:rPr>
                <w:color w:val="105C84"/>
                <w:spacing w:val="-13"/>
                <w:sz w:val="18"/>
              </w:rPr>
              <w:t> </w:t>
            </w:r>
            <w:r>
              <w:rPr>
                <w:color w:val="105C84"/>
                <w:sz w:val="18"/>
              </w:rPr>
              <w:t>drinks</w:t>
            </w:r>
            <w:r>
              <w:rPr>
                <w:color w:val="105C84"/>
                <w:spacing w:val="-12"/>
                <w:sz w:val="18"/>
              </w:rPr>
              <w:t> </w:t>
            </w:r>
            <w:r>
              <w:rPr>
                <w:color w:val="105C84"/>
                <w:sz w:val="18"/>
              </w:rPr>
              <w:t>Sugar</w:t>
            </w:r>
            <w:r>
              <w:rPr>
                <w:color w:val="105C84"/>
                <w:sz w:val="18"/>
              </w:rPr>
              <w:t>-</w:t>
            </w:r>
            <w:r>
              <w:rPr>
                <w:color w:val="105C84"/>
                <w:spacing w:val="-2"/>
                <w:sz w:val="18"/>
              </w:rPr>
              <w:t>sweetened</w:t>
            </w:r>
            <w:r>
              <w:rPr>
                <w:color w:val="105C84"/>
                <w:spacing w:val="-13"/>
                <w:sz w:val="18"/>
              </w:rPr>
              <w:t> </w:t>
            </w:r>
            <w:r>
              <w:rPr>
                <w:color w:val="105C84"/>
                <w:spacing w:val="-2"/>
                <w:sz w:val="18"/>
              </w:rPr>
              <w:t>beverages</w:t>
            </w:r>
            <w:r>
              <w:rPr>
                <w:color w:val="105C84"/>
                <w:spacing w:val="-10"/>
                <w:sz w:val="18"/>
              </w:rPr>
              <w:t> </w:t>
            </w:r>
            <w:r>
              <w:rPr>
                <w:color w:val="105C84"/>
                <w:spacing w:val="-2"/>
                <w:sz w:val="18"/>
              </w:rPr>
              <w:t>(SSBs)</w:t>
            </w:r>
            <w:r>
              <w:rPr>
                <w:color w:val="105C84"/>
                <w:spacing w:val="-11"/>
                <w:sz w:val="18"/>
              </w:rPr>
              <w:t> </w:t>
            </w:r>
            <w:r>
              <w:rPr>
                <w:color w:val="105C84"/>
                <w:spacing w:val="-2"/>
                <w:sz w:val="18"/>
              </w:rPr>
              <w:t>are</w:t>
            </w:r>
            <w:r>
              <w:rPr>
                <w:color w:val="105C84"/>
                <w:spacing w:val="-10"/>
                <w:sz w:val="18"/>
              </w:rPr>
              <w:t> </w:t>
            </w:r>
            <w:r>
              <w:rPr>
                <w:color w:val="105C84"/>
                <w:spacing w:val="-2"/>
                <w:sz w:val="18"/>
              </w:rPr>
              <w:t>the </w:t>
            </w:r>
            <w:r>
              <w:rPr>
                <w:color w:val="105C84"/>
                <w:sz w:val="18"/>
              </w:rPr>
              <w:t>largest source of added sugar and an important contributor of calories in the U.S. diet</w:t>
            </w:r>
          </w:p>
        </w:tc>
        <w:tc>
          <w:tcPr>
            <w:tcW w:w="4150" w:type="dxa"/>
            <w:vMerge w:val="restart"/>
            <w:tcBorders>
              <w:left w:val="nil"/>
            </w:tcBorders>
          </w:tcPr>
          <w:p>
            <w:pPr>
              <w:pStyle w:val="TableParagraph"/>
              <w:spacing w:line="232" w:lineRule="auto" w:before="99"/>
              <w:ind w:left="1093" w:right="192"/>
              <w:rPr>
                <w:sz w:val="18"/>
              </w:rPr>
            </w:pPr>
            <w:r>
              <w:rPr>
                <w:color w:val="105C84"/>
                <w:sz w:val="18"/>
              </w:rPr>
              <w:t>Increase the number of entities which adopts policies or </w:t>
            </w:r>
            <w:r>
              <w:rPr>
                <w:color w:val="105C84"/>
                <w:sz w:val="18"/>
              </w:rPr>
              <w:t>implement practices to reduce consumption of sugary drinks NYSPrevAgenda</w:t>
            </w:r>
          </w:p>
          <w:p>
            <w:pPr>
              <w:pStyle w:val="TableParagraph"/>
              <w:spacing w:before="82"/>
              <w:ind w:left="1093"/>
              <w:rPr>
                <w:sz w:val="18"/>
              </w:rPr>
            </w:pPr>
            <w:r>
              <w:rPr>
                <w:color w:val="105C84"/>
                <w:spacing w:val="-4"/>
                <w:sz w:val="18"/>
              </w:rPr>
              <w:t>Baseline:</w:t>
            </w:r>
            <w:r>
              <w:rPr>
                <w:color w:val="105C84"/>
                <w:spacing w:val="-6"/>
                <w:sz w:val="18"/>
              </w:rPr>
              <w:t> </w:t>
            </w:r>
            <w:r>
              <w:rPr>
                <w:color w:val="105C84"/>
                <w:spacing w:val="-4"/>
                <w:sz w:val="18"/>
              </w:rPr>
              <w:t>33.3%</w:t>
            </w:r>
            <w:r>
              <w:rPr>
                <w:color w:val="105C84"/>
                <w:spacing w:val="-5"/>
                <w:sz w:val="18"/>
              </w:rPr>
              <w:t> </w:t>
            </w:r>
            <w:r>
              <w:rPr>
                <w:color w:val="105C84"/>
                <w:spacing w:val="-4"/>
                <w:sz w:val="18"/>
              </w:rPr>
              <w:t>for</w:t>
            </w:r>
            <w:r>
              <w:rPr>
                <w:color w:val="105C84"/>
                <w:spacing w:val="-5"/>
                <w:sz w:val="18"/>
              </w:rPr>
              <w:t> </w:t>
            </w:r>
            <w:r>
              <w:rPr>
                <w:color w:val="105C84"/>
                <w:spacing w:val="-4"/>
                <w:sz w:val="18"/>
              </w:rPr>
              <w:t>2016</w:t>
            </w:r>
            <w:r>
              <w:rPr>
                <w:color w:val="105C84"/>
                <w:spacing w:val="-5"/>
                <w:sz w:val="18"/>
              </w:rPr>
              <w:t> </w:t>
            </w:r>
            <w:r>
              <w:rPr>
                <w:color w:val="105C84"/>
                <w:spacing w:val="-4"/>
                <w:sz w:val="18"/>
              </w:rPr>
              <w:t>BRFSS</w:t>
            </w:r>
          </w:p>
          <w:p>
            <w:pPr>
              <w:pStyle w:val="TableParagraph"/>
              <w:spacing w:line="232" w:lineRule="auto" w:before="88"/>
              <w:ind w:left="1093" w:right="264"/>
              <w:rPr>
                <w:sz w:val="18"/>
              </w:rPr>
            </w:pPr>
            <w:r>
              <w:rPr>
                <w:color w:val="105C84"/>
                <w:sz w:val="18"/>
              </w:rPr>
              <w:t>Baseline: Free and reduced lunch Dalton Sch - 52%; Mid/High Sch </w:t>
            </w:r>
            <w:r>
              <w:rPr>
                <w:color w:val="105C84"/>
                <w:spacing w:val="-2"/>
                <w:sz w:val="18"/>
              </w:rPr>
              <w:t>Nunda-46%;</w:t>
            </w:r>
            <w:r>
              <w:rPr>
                <w:color w:val="105C84"/>
                <w:spacing w:val="-7"/>
                <w:sz w:val="18"/>
              </w:rPr>
              <w:t> </w:t>
            </w:r>
            <w:r>
              <w:rPr>
                <w:color w:val="105C84"/>
                <w:spacing w:val="-2"/>
                <w:sz w:val="18"/>
              </w:rPr>
              <w:t>Primary</w:t>
            </w:r>
            <w:r>
              <w:rPr>
                <w:color w:val="105C84"/>
                <w:spacing w:val="-7"/>
                <w:sz w:val="18"/>
              </w:rPr>
              <w:t> </w:t>
            </w:r>
            <w:r>
              <w:rPr>
                <w:color w:val="105C84"/>
                <w:spacing w:val="-2"/>
                <w:sz w:val="18"/>
              </w:rPr>
              <w:t>Sch</w:t>
            </w:r>
            <w:r>
              <w:rPr>
                <w:color w:val="105C84"/>
                <w:spacing w:val="-7"/>
                <w:sz w:val="18"/>
              </w:rPr>
              <w:t> </w:t>
            </w:r>
            <w:r>
              <w:rPr>
                <w:color w:val="105C84"/>
                <w:spacing w:val="-2"/>
                <w:sz w:val="18"/>
              </w:rPr>
              <w:t>Mt</w:t>
            </w:r>
            <w:r>
              <w:rPr>
                <w:color w:val="105C84"/>
                <w:spacing w:val="-7"/>
                <w:sz w:val="18"/>
              </w:rPr>
              <w:t> </w:t>
            </w:r>
            <w:r>
              <w:rPr>
                <w:color w:val="105C84"/>
                <w:spacing w:val="-2"/>
                <w:sz w:val="18"/>
              </w:rPr>
              <w:t>Morris </w:t>
            </w:r>
            <w:r>
              <w:rPr>
                <w:color w:val="105C84"/>
                <w:sz w:val="18"/>
              </w:rPr>
              <w:t>53%;</w:t>
            </w:r>
            <w:r>
              <w:rPr>
                <w:color w:val="105C84"/>
                <w:spacing w:val="-1"/>
                <w:sz w:val="18"/>
              </w:rPr>
              <w:t> </w:t>
            </w:r>
            <w:r>
              <w:rPr>
                <w:color w:val="105C84"/>
                <w:sz w:val="18"/>
              </w:rPr>
              <w:t>Mid/High</w:t>
            </w:r>
            <w:r>
              <w:rPr>
                <w:color w:val="105C84"/>
                <w:spacing w:val="-1"/>
                <w:sz w:val="18"/>
              </w:rPr>
              <w:t> </w:t>
            </w:r>
            <w:r>
              <w:rPr>
                <w:color w:val="105C84"/>
                <w:sz w:val="18"/>
              </w:rPr>
              <w:t>Sch Mt</w:t>
            </w:r>
            <w:r>
              <w:rPr>
                <w:color w:val="105C84"/>
                <w:spacing w:val="-1"/>
                <w:sz w:val="18"/>
              </w:rPr>
              <w:t> </w:t>
            </w:r>
            <w:r>
              <w:rPr>
                <w:color w:val="105C84"/>
                <w:sz w:val="18"/>
              </w:rPr>
              <w:t>Morris </w:t>
            </w:r>
            <w:r>
              <w:rPr>
                <w:color w:val="105C84"/>
                <w:spacing w:val="-6"/>
                <w:sz w:val="18"/>
              </w:rPr>
              <w:t>64%-</w:t>
            </w:r>
          </w:p>
          <w:p>
            <w:pPr>
              <w:pStyle w:val="TableParagraph"/>
              <w:spacing w:line="199" w:lineRule="exact"/>
              <w:ind w:left="1093"/>
              <w:rPr>
                <w:sz w:val="18"/>
              </w:rPr>
            </w:pPr>
            <w:r>
              <w:rPr>
                <w:color w:val="105C84"/>
                <w:spacing w:val="-4"/>
                <w:sz w:val="18"/>
              </w:rPr>
              <w:t>2019</w:t>
            </w:r>
          </w:p>
          <w:p>
            <w:pPr>
              <w:pStyle w:val="TableParagraph"/>
              <w:spacing w:line="232" w:lineRule="auto" w:before="88"/>
              <w:ind w:left="1093"/>
              <w:rPr>
                <w:sz w:val="18"/>
              </w:rPr>
            </w:pPr>
            <w:r>
              <w:rPr>
                <w:color w:val="105C84"/>
                <w:sz w:val="18"/>
              </w:rPr>
              <w:t>Baseline: 25.9% of adults who consume</w:t>
            </w:r>
            <w:r>
              <w:rPr>
                <w:color w:val="105C84"/>
                <w:spacing w:val="-13"/>
                <w:sz w:val="18"/>
              </w:rPr>
              <w:t> </w:t>
            </w:r>
            <w:r>
              <w:rPr>
                <w:color w:val="105C84"/>
                <w:sz w:val="18"/>
              </w:rPr>
              <w:t>one</w:t>
            </w:r>
            <w:r>
              <w:rPr>
                <w:color w:val="105C84"/>
                <w:spacing w:val="-12"/>
                <w:sz w:val="18"/>
              </w:rPr>
              <w:t> </w:t>
            </w:r>
            <w:r>
              <w:rPr>
                <w:color w:val="105C84"/>
                <w:sz w:val="18"/>
              </w:rPr>
              <w:t>or</w:t>
            </w:r>
            <w:r>
              <w:rPr>
                <w:color w:val="105C84"/>
                <w:spacing w:val="-13"/>
                <w:sz w:val="18"/>
              </w:rPr>
              <w:t> </w:t>
            </w:r>
            <w:r>
              <w:rPr>
                <w:color w:val="105C84"/>
                <w:sz w:val="18"/>
              </w:rPr>
              <w:t>more</w:t>
            </w:r>
            <w:r>
              <w:rPr>
                <w:color w:val="105C84"/>
                <w:spacing w:val="-12"/>
                <w:sz w:val="18"/>
              </w:rPr>
              <w:t> </w:t>
            </w:r>
            <w:r>
              <w:rPr>
                <w:color w:val="105C84"/>
                <w:sz w:val="18"/>
              </w:rPr>
              <w:t>sugary</w:t>
            </w:r>
            <w:r>
              <w:rPr>
                <w:color w:val="105C84"/>
                <w:spacing w:val="-13"/>
                <w:sz w:val="18"/>
              </w:rPr>
              <w:t> </w:t>
            </w:r>
            <w:r>
              <w:rPr>
                <w:color w:val="105C84"/>
                <w:sz w:val="18"/>
              </w:rPr>
              <w:t>drinks daily 2013-2014- eBRFSS</w:t>
            </w:r>
          </w:p>
        </w:tc>
        <w:tc>
          <w:tcPr>
            <w:tcW w:w="1757" w:type="dxa"/>
            <w:tcBorders>
              <w:bottom w:val="nil"/>
            </w:tcBorders>
          </w:tcPr>
          <w:p>
            <w:pPr>
              <w:pStyle w:val="TableParagraph"/>
              <w:spacing w:line="232" w:lineRule="auto" w:before="99"/>
              <w:ind w:left="88"/>
              <w:rPr>
                <w:sz w:val="18"/>
              </w:rPr>
            </w:pPr>
            <w:r>
              <w:rPr>
                <w:color w:val="105C84"/>
                <w:sz w:val="18"/>
              </w:rPr>
              <w:t>Genesee Valley </w:t>
            </w:r>
            <w:r>
              <w:rPr>
                <w:color w:val="105C84"/>
                <w:spacing w:val="-2"/>
                <w:sz w:val="18"/>
              </w:rPr>
              <w:t>Health</w:t>
            </w:r>
            <w:r>
              <w:rPr>
                <w:color w:val="105C84"/>
                <w:spacing w:val="-11"/>
                <w:sz w:val="18"/>
              </w:rPr>
              <w:t> </w:t>
            </w:r>
            <w:r>
              <w:rPr>
                <w:color w:val="105C84"/>
                <w:spacing w:val="-2"/>
                <w:sz w:val="18"/>
              </w:rPr>
              <w:t>Partnership </w:t>
            </w:r>
            <w:r>
              <w:rPr>
                <w:color w:val="105C84"/>
                <w:sz w:val="18"/>
              </w:rPr>
              <w:t>(GVHP/Be Well </w:t>
            </w:r>
            <w:r>
              <w:rPr>
                <w:color w:val="105C84"/>
                <w:spacing w:val="-2"/>
                <w:sz w:val="18"/>
              </w:rPr>
              <w:t>Committee)</w:t>
            </w:r>
          </w:p>
          <w:p>
            <w:pPr>
              <w:pStyle w:val="TableParagraph"/>
              <w:spacing w:before="82"/>
              <w:ind w:left="88"/>
              <w:rPr>
                <w:sz w:val="18"/>
              </w:rPr>
            </w:pPr>
            <w:r>
              <w:rPr>
                <w:color w:val="105C84"/>
                <w:spacing w:val="-2"/>
                <w:sz w:val="18"/>
              </w:rPr>
              <w:t>LCDOH</w:t>
            </w:r>
          </w:p>
        </w:tc>
        <w:tc>
          <w:tcPr>
            <w:tcW w:w="2967" w:type="dxa"/>
            <w:vMerge w:val="restart"/>
          </w:tcPr>
          <w:p>
            <w:pPr>
              <w:pStyle w:val="TableParagraph"/>
              <w:spacing w:line="232" w:lineRule="auto" w:before="99"/>
              <w:ind w:left="88" w:right="51"/>
              <w:rPr>
                <w:sz w:val="18"/>
              </w:rPr>
            </w:pPr>
            <w:r>
              <w:rPr>
                <w:color w:val="105C84"/>
                <w:spacing w:val="-2"/>
                <w:sz w:val="18"/>
              </w:rPr>
              <w:t>Genesee</w:t>
            </w:r>
            <w:r>
              <w:rPr>
                <w:color w:val="105C84"/>
                <w:spacing w:val="-4"/>
                <w:sz w:val="18"/>
              </w:rPr>
              <w:t> </w:t>
            </w:r>
            <w:r>
              <w:rPr>
                <w:color w:val="105C84"/>
                <w:spacing w:val="-2"/>
                <w:sz w:val="18"/>
              </w:rPr>
              <w:t>Valley</w:t>
            </w:r>
            <w:r>
              <w:rPr>
                <w:color w:val="105C84"/>
                <w:spacing w:val="-4"/>
                <w:sz w:val="18"/>
              </w:rPr>
              <w:t> </w:t>
            </w:r>
            <w:r>
              <w:rPr>
                <w:color w:val="105C84"/>
                <w:spacing w:val="-2"/>
                <w:sz w:val="18"/>
              </w:rPr>
              <w:t>Health</w:t>
            </w:r>
            <w:r>
              <w:rPr>
                <w:color w:val="105C84"/>
                <w:spacing w:val="-4"/>
                <w:sz w:val="18"/>
              </w:rPr>
              <w:t> </w:t>
            </w:r>
            <w:r>
              <w:rPr>
                <w:color w:val="105C84"/>
                <w:spacing w:val="-2"/>
                <w:sz w:val="18"/>
              </w:rPr>
              <w:t>Partnership </w:t>
            </w:r>
            <w:r>
              <w:rPr>
                <w:color w:val="105C84"/>
                <w:sz w:val="18"/>
              </w:rPr>
              <w:t>(GVHP/Be Well Committee including</w:t>
            </w:r>
            <w:r>
              <w:rPr>
                <w:color w:val="105C84"/>
                <w:spacing w:val="-6"/>
                <w:sz w:val="18"/>
              </w:rPr>
              <w:t> </w:t>
            </w:r>
            <w:r>
              <w:rPr>
                <w:color w:val="105C84"/>
                <w:sz w:val="18"/>
              </w:rPr>
              <w:t>LCDOH,</w:t>
            </w:r>
            <w:r>
              <w:rPr>
                <w:color w:val="105C84"/>
                <w:spacing w:val="-6"/>
                <w:sz w:val="18"/>
              </w:rPr>
              <w:t> </w:t>
            </w:r>
            <w:r>
              <w:rPr>
                <w:color w:val="105C84"/>
                <w:sz w:val="18"/>
              </w:rPr>
              <w:t>UR</w:t>
            </w:r>
            <w:r>
              <w:rPr>
                <w:color w:val="105C84"/>
                <w:spacing w:val="-6"/>
                <w:sz w:val="18"/>
              </w:rPr>
              <w:t> </w:t>
            </w:r>
            <w:r>
              <w:rPr>
                <w:color w:val="105C84"/>
                <w:sz w:val="18"/>
              </w:rPr>
              <w:t>Med</w:t>
            </w:r>
            <w:r>
              <w:rPr>
                <w:color w:val="105C84"/>
                <w:spacing w:val="-6"/>
                <w:sz w:val="18"/>
              </w:rPr>
              <w:t> </w:t>
            </w:r>
            <w:r>
              <w:rPr>
                <w:color w:val="105C84"/>
                <w:sz w:val="18"/>
              </w:rPr>
              <w:t>Noyes, Cornell Coop Ext) to assist with development, implementation </w:t>
            </w:r>
            <w:r>
              <w:rPr>
                <w:color w:val="105C84"/>
                <w:sz w:val="18"/>
              </w:rPr>
              <w:t>and eval of policy/practice change</w:t>
            </w:r>
          </w:p>
          <w:p>
            <w:pPr>
              <w:pStyle w:val="TableParagraph"/>
              <w:spacing w:before="80"/>
              <w:ind w:left="88"/>
              <w:rPr>
                <w:sz w:val="18"/>
              </w:rPr>
            </w:pPr>
            <w:r>
              <w:rPr>
                <w:color w:val="105C84"/>
                <w:spacing w:val="-7"/>
                <w:sz w:val="18"/>
              </w:rPr>
              <w:t>GVHP-</w:t>
            </w:r>
            <w:r>
              <w:rPr>
                <w:color w:val="105C84"/>
                <w:spacing w:val="-4"/>
                <w:sz w:val="18"/>
              </w:rPr>
              <w:t> $700</w:t>
            </w:r>
          </w:p>
          <w:p>
            <w:pPr>
              <w:pStyle w:val="TableParagraph"/>
              <w:spacing w:before="83"/>
              <w:ind w:left="88"/>
              <w:rPr>
                <w:sz w:val="18"/>
              </w:rPr>
            </w:pPr>
            <w:r>
              <w:rPr>
                <w:color w:val="105C84"/>
                <w:spacing w:val="-2"/>
                <w:sz w:val="18"/>
              </w:rPr>
              <w:t>NYSDOH</w:t>
            </w:r>
            <w:r>
              <w:rPr>
                <w:color w:val="105C84"/>
                <w:spacing w:val="-8"/>
                <w:sz w:val="18"/>
              </w:rPr>
              <w:t> </w:t>
            </w:r>
            <w:r>
              <w:rPr>
                <w:color w:val="105C84"/>
                <w:spacing w:val="-2"/>
                <w:sz w:val="18"/>
              </w:rPr>
              <w:t>materials</w:t>
            </w:r>
          </w:p>
          <w:p>
            <w:pPr>
              <w:pStyle w:val="TableParagraph"/>
              <w:spacing w:line="232" w:lineRule="auto" w:before="88"/>
              <w:ind w:left="88" w:right="325"/>
              <w:rPr>
                <w:sz w:val="18"/>
              </w:rPr>
            </w:pPr>
            <w:r>
              <w:rPr>
                <w:color w:val="105C84"/>
                <w:sz w:val="18"/>
              </w:rPr>
              <w:t>Worksites</w:t>
            </w:r>
            <w:r>
              <w:rPr>
                <w:color w:val="105C84"/>
                <w:spacing w:val="-7"/>
                <w:sz w:val="18"/>
              </w:rPr>
              <w:t> </w:t>
            </w:r>
            <w:r>
              <w:rPr>
                <w:color w:val="105C84"/>
                <w:sz w:val="18"/>
              </w:rPr>
              <w:t>and</w:t>
            </w:r>
            <w:r>
              <w:rPr>
                <w:color w:val="105C84"/>
                <w:spacing w:val="-7"/>
                <w:sz w:val="18"/>
              </w:rPr>
              <w:t> </w:t>
            </w:r>
            <w:r>
              <w:rPr>
                <w:color w:val="105C84"/>
                <w:sz w:val="18"/>
              </w:rPr>
              <w:t>schools</w:t>
            </w:r>
            <w:r>
              <w:rPr>
                <w:color w:val="105C84"/>
                <w:spacing w:val="-7"/>
                <w:sz w:val="18"/>
              </w:rPr>
              <w:t> </w:t>
            </w:r>
            <w:r>
              <w:rPr>
                <w:color w:val="105C84"/>
                <w:sz w:val="18"/>
              </w:rPr>
              <w:t>to</w:t>
            </w:r>
            <w:r>
              <w:rPr>
                <w:color w:val="105C84"/>
                <w:spacing w:val="-7"/>
                <w:sz w:val="18"/>
              </w:rPr>
              <w:t> </w:t>
            </w:r>
            <w:r>
              <w:rPr>
                <w:color w:val="105C84"/>
                <w:sz w:val="18"/>
              </w:rPr>
              <w:t>adopt </w:t>
            </w:r>
            <w:r>
              <w:rPr>
                <w:color w:val="105C84"/>
                <w:w w:val="105"/>
                <w:sz w:val="18"/>
              </w:rPr>
              <w:t>and</w:t>
            </w:r>
            <w:r>
              <w:rPr>
                <w:color w:val="105C84"/>
                <w:spacing w:val="-1"/>
                <w:w w:val="105"/>
                <w:sz w:val="18"/>
              </w:rPr>
              <w:t> </w:t>
            </w:r>
            <w:r>
              <w:rPr>
                <w:color w:val="105C84"/>
                <w:w w:val="105"/>
                <w:sz w:val="18"/>
              </w:rPr>
              <w:t>implement</w:t>
            </w:r>
          </w:p>
        </w:tc>
        <w:tc>
          <w:tcPr>
            <w:tcW w:w="2242" w:type="dxa"/>
            <w:tcBorders>
              <w:bottom w:val="nil"/>
            </w:tcBorders>
          </w:tcPr>
          <w:p>
            <w:pPr>
              <w:pStyle w:val="TableParagraph"/>
              <w:spacing w:line="232" w:lineRule="auto" w:before="98"/>
              <w:ind w:left="87" w:right="194"/>
              <w:rPr>
                <w:sz w:val="18"/>
              </w:rPr>
            </w:pPr>
            <w:r>
              <w:rPr>
                <w:color w:val="105C84"/>
                <w:sz w:val="18"/>
              </w:rPr>
              <w:t>A minimum of one school</w:t>
            </w:r>
            <w:r>
              <w:rPr>
                <w:color w:val="105C84"/>
                <w:spacing w:val="-12"/>
                <w:sz w:val="18"/>
              </w:rPr>
              <w:t> </w:t>
            </w:r>
            <w:r>
              <w:rPr>
                <w:color w:val="105C84"/>
                <w:sz w:val="18"/>
              </w:rPr>
              <w:t>and</w:t>
            </w:r>
            <w:r>
              <w:rPr>
                <w:color w:val="105C84"/>
                <w:spacing w:val="-12"/>
                <w:sz w:val="18"/>
              </w:rPr>
              <w:t> </w:t>
            </w:r>
            <w:r>
              <w:rPr>
                <w:color w:val="105C84"/>
                <w:sz w:val="18"/>
              </w:rPr>
              <w:t>one</w:t>
            </w:r>
            <w:r>
              <w:rPr>
                <w:color w:val="105C84"/>
                <w:spacing w:val="-12"/>
                <w:sz w:val="18"/>
              </w:rPr>
              <w:t> </w:t>
            </w:r>
            <w:r>
              <w:rPr>
                <w:color w:val="105C84"/>
                <w:sz w:val="18"/>
              </w:rPr>
              <w:t>worksite which</w:t>
            </w:r>
            <w:r>
              <w:rPr>
                <w:color w:val="105C84"/>
                <w:spacing w:val="-7"/>
                <w:sz w:val="18"/>
              </w:rPr>
              <w:t> </w:t>
            </w:r>
            <w:r>
              <w:rPr>
                <w:color w:val="105C84"/>
                <w:sz w:val="18"/>
              </w:rPr>
              <w:t>adopts</w:t>
            </w:r>
            <w:r>
              <w:rPr>
                <w:color w:val="105C84"/>
                <w:spacing w:val="-7"/>
                <w:sz w:val="18"/>
              </w:rPr>
              <w:t> </w:t>
            </w:r>
            <w:r>
              <w:rPr>
                <w:color w:val="105C84"/>
                <w:sz w:val="18"/>
              </w:rPr>
              <w:t>a</w:t>
            </w:r>
            <w:r>
              <w:rPr>
                <w:color w:val="105C84"/>
                <w:spacing w:val="-7"/>
                <w:sz w:val="18"/>
              </w:rPr>
              <w:t> </w:t>
            </w:r>
            <w:r>
              <w:rPr>
                <w:color w:val="105C84"/>
                <w:sz w:val="18"/>
              </w:rPr>
              <w:t>policy</w:t>
            </w:r>
            <w:r>
              <w:rPr>
                <w:color w:val="105C84"/>
                <w:spacing w:val="-7"/>
                <w:sz w:val="18"/>
              </w:rPr>
              <w:t> </w:t>
            </w:r>
            <w:r>
              <w:rPr>
                <w:color w:val="105C84"/>
                <w:sz w:val="18"/>
              </w:rPr>
              <w:t>or implements a practice per year</w:t>
            </w:r>
          </w:p>
        </w:tc>
      </w:tr>
      <w:tr>
        <w:trPr>
          <w:trHeight w:val="279" w:hRule="atLeast"/>
        </w:trPr>
        <w:tc>
          <w:tcPr>
            <w:tcW w:w="1008" w:type="dxa"/>
            <w:tcBorders>
              <w:top w:val="nil"/>
              <w:bottom w:val="nil"/>
            </w:tcBorders>
            <w:shd w:val="clear" w:color="auto" w:fill="E6E7E8"/>
          </w:tcPr>
          <w:p>
            <w:pPr>
              <w:pStyle w:val="TableParagraph"/>
              <w:rPr>
                <w:rFonts w:ascii="Times New Roman"/>
                <w:sz w:val="18"/>
              </w:rPr>
            </w:pPr>
          </w:p>
        </w:tc>
        <w:tc>
          <w:tcPr>
            <w:tcW w:w="1152" w:type="dxa"/>
            <w:tcBorders>
              <w:top w:val="nil"/>
              <w:bottom w:val="nil"/>
            </w:tcBorders>
          </w:tcPr>
          <w:p>
            <w:pPr>
              <w:pStyle w:val="TableParagraph"/>
              <w:rPr>
                <w:rFonts w:ascii="Times New Roman"/>
                <w:sz w:val="18"/>
              </w:rPr>
            </w:pPr>
          </w:p>
        </w:tc>
        <w:tc>
          <w:tcPr>
            <w:tcW w:w="1181" w:type="dxa"/>
            <w:tcBorders>
              <w:top w:val="nil"/>
              <w:bottom w:val="nil"/>
            </w:tcBorders>
          </w:tcPr>
          <w:p>
            <w:pPr>
              <w:pStyle w:val="TableParagraph"/>
              <w:rPr>
                <w:rFonts w:ascii="Times New Roman"/>
                <w:sz w:val="18"/>
              </w:rPr>
            </w:pPr>
          </w:p>
        </w:tc>
        <w:tc>
          <w:tcPr>
            <w:tcW w:w="2477" w:type="dxa"/>
            <w:tcBorders>
              <w:top w:val="nil"/>
              <w:bottom w:val="nil"/>
            </w:tcBorders>
          </w:tcPr>
          <w:p>
            <w:pPr>
              <w:pStyle w:val="TableParagraph"/>
              <w:rPr>
                <w:rFonts w:ascii="Times New Roman"/>
                <w:sz w:val="18"/>
              </w:rPr>
            </w:pPr>
          </w:p>
        </w:tc>
        <w:tc>
          <w:tcPr>
            <w:tcW w:w="1210" w:type="dxa"/>
            <w:vMerge/>
            <w:tcBorders>
              <w:top w:val="nil"/>
            </w:tcBorders>
          </w:tcPr>
          <w:p>
            <w:pPr>
              <w:rPr>
                <w:sz w:val="2"/>
                <w:szCs w:val="2"/>
              </w:rPr>
            </w:pPr>
          </w:p>
        </w:tc>
        <w:tc>
          <w:tcPr>
            <w:tcW w:w="4109" w:type="dxa"/>
            <w:vMerge/>
            <w:tcBorders>
              <w:top w:val="nil"/>
              <w:right w:val="nil"/>
            </w:tcBorders>
          </w:tcPr>
          <w:p>
            <w:pPr>
              <w:rPr>
                <w:sz w:val="2"/>
                <w:szCs w:val="2"/>
              </w:rPr>
            </w:pPr>
          </w:p>
        </w:tc>
        <w:tc>
          <w:tcPr>
            <w:tcW w:w="4150" w:type="dxa"/>
            <w:vMerge/>
            <w:tcBorders>
              <w:top w:val="nil"/>
              <w:left w:val="nil"/>
            </w:tcBorders>
          </w:tcPr>
          <w:p>
            <w:pPr>
              <w:rPr>
                <w:sz w:val="2"/>
                <w:szCs w:val="2"/>
              </w:rPr>
            </w:pPr>
          </w:p>
        </w:tc>
        <w:tc>
          <w:tcPr>
            <w:tcW w:w="1757" w:type="dxa"/>
            <w:tcBorders>
              <w:top w:val="nil"/>
              <w:bottom w:val="nil"/>
            </w:tcBorders>
          </w:tcPr>
          <w:p>
            <w:pPr>
              <w:pStyle w:val="TableParagraph"/>
              <w:spacing w:before="28"/>
              <w:ind w:left="88"/>
              <w:rPr>
                <w:sz w:val="18"/>
              </w:rPr>
            </w:pPr>
            <w:r>
              <w:rPr>
                <w:color w:val="105C84"/>
                <w:sz w:val="18"/>
              </w:rPr>
              <w:t>UR</w:t>
            </w:r>
            <w:r>
              <w:rPr>
                <w:color w:val="105C84"/>
                <w:spacing w:val="-11"/>
                <w:sz w:val="18"/>
              </w:rPr>
              <w:t> </w:t>
            </w:r>
            <w:r>
              <w:rPr>
                <w:color w:val="105C84"/>
                <w:sz w:val="18"/>
              </w:rPr>
              <w:t>Med</w:t>
            </w:r>
            <w:r>
              <w:rPr>
                <w:color w:val="105C84"/>
                <w:spacing w:val="-11"/>
                <w:sz w:val="18"/>
              </w:rPr>
              <w:t> </w:t>
            </w:r>
            <w:r>
              <w:rPr>
                <w:color w:val="105C84"/>
                <w:spacing w:val="-2"/>
                <w:sz w:val="18"/>
              </w:rPr>
              <w:t>Noyes</w:t>
            </w:r>
          </w:p>
        </w:tc>
        <w:tc>
          <w:tcPr>
            <w:tcW w:w="2967" w:type="dxa"/>
            <w:vMerge/>
            <w:tcBorders>
              <w:top w:val="nil"/>
            </w:tcBorders>
          </w:tcPr>
          <w:p>
            <w:pPr>
              <w:rPr>
                <w:sz w:val="2"/>
                <w:szCs w:val="2"/>
              </w:rPr>
            </w:pPr>
          </w:p>
        </w:tc>
        <w:tc>
          <w:tcPr>
            <w:tcW w:w="2242" w:type="dxa"/>
            <w:tcBorders>
              <w:top w:val="nil"/>
              <w:bottom w:val="nil"/>
            </w:tcBorders>
          </w:tcPr>
          <w:p>
            <w:pPr>
              <w:pStyle w:val="TableParagraph"/>
              <w:rPr>
                <w:rFonts w:ascii="Times New Roman"/>
                <w:sz w:val="18"/>
              </w:rPr>
            </w:pPr>
          </w:p>
        </w:tc>
      </w:tr>
      <w:tr>
        <w:trPr>
          <w:trHeight w:val="279" w:hRule="atLeast"/>
        </w:trPr>
        <w:tc>
          <w:tcPr>
            <w:tcW w:w="1008" w:type="dxa"/>
            <w:tcBorders>
              <w:top w:val="nil"/>
              <w:bottom w:val="nil"/>
            </w:tcBorders>
            <w:shd w:val="clear" w:color="auto" w:fill="E6E7E8"/>
          </w:tcPr>
          <w:p>
            <w:pPr>
              <w:pStyle w:val="TableParagraph"/>
              <w:rPr>
                <w:rFonts w:ascii="Times New Roman"/>
                <w:sz w:val="18"/>
              </w:rPr>
            </w:pPr>
          </w:p>
        </w:tc>
        <w:tc>
          <w:tcPr>
            <w:tcW w:w="1152" w:type="dxa"/>
            <w:tcBorders>
              <w:top w:val="nil"/>
              <w:bottom w:val="nil"/>
            </w:tcBorders>
          </w:tcPr>
          <w:p>
            <w:pPr>
              <w:pStyle w:val="TableParagraph"/>
              <w:rPr>
                <w:rFonts w:ascii="Times New Roman"/>
                <w:sz w:val="18"/>
              </w:rPr>
            </w:pPr>
          </w:p>
        </w:tc>
        <w:tc>
          <w:tcPr>
            <w:tcW w:w="1181" w:type="dxa"/>
            <w:tcBorders>
              <w:top w:val="nil"/>
              <w:bottom w:val="nil"/>
            </w:tcBorders>
          </w:tcPr>
          <w:p>
            <w:pPr>
              <w:pStyle w:val="TableParagraph"/>
              <w:rPr>
                <w:rFonts w:ascii="Times New Roman"/>
                <w:sz w:val="18"/>
              </w:rPr>
            </w:pPr>
          </w:p>
        </w:tc>
        <w:tc>
          <w:tcPr>
            <w:tcW w:w="2477" w:type="dxa"/>
            <w:tcBorders>
              <w:top w:val="nil"/>
              <w:bottom w:val="nil"/>
            </w:tcBorders>
          </w:tcPr>
          <w:p>
            <w:pPr>
              <w:pStyle w:val="TableParagraph"/>
              <w:rPr>
                <w:rFonts w:ascii="Times New Roman"/>
                <w:sz w:val="18"/>
              </w:rPr>
            </w:pPr>
          </w:p>
        </w:tc>
        <w:tc>
          <w:tcPr>
            <w:tcW w:w="1210" w:type="dxa"/>
            <w:vMerge/>
            <w:tcBorders>
              <w:top w:val="nil"/>
            </w:tcBorders>
          </w:tcPr>
          <w:p>
            <w:pPr>
              <w:rPr>
                <w:sz w:val="2"/>
                <w:szCs w:val="2"/>
              </w:rPr>
            </w:pPr>
          </w:p>
        </w:tc>
        <w:tc>
          <w:tcPr>
            <w:tcW w:w="4109" w:type="dxa"/>
            <w:vMerge/>
            <w:tcBorders>
              <w:top w:val="nil"/>
              <w:right w:val="nil"/>
            </w:tcBorders>
          </w:tcPr>
          <w:p>
            <w:pPr>
              <w:rPr>
                <w:sz w:val="2"/>
                <w:szCs w:val="2"/>
              </w:rPr>
            </w:pPr>
          </w:p>
        </w:tc>
        <w:tc>
          <w:tcPr>
            <w:tcW w:w="4150" w:type="dxa"/>
            <w:vMerge/>
            <w:tcBorders>
              <w:top w:val="nil"/>
              <w:left w:val="nil"/>
            </w:tcBorders>
          </w:tcPr>
          <w:p>
            <w:pPr>
              <w:rPr>
                <w:sz w:val="2"/>
                <w:szCs w:val="2"/>
              </w:rPr>
            </w:pPr>
          </w:p>
        </w:tc>
        <w:tc>
          <w:tcPr>
            <w:tcW w:w="1757" w:type="dxa"/>
            <w:tcBorders>
              <w:top w:val="nil"/>
              <w:bottom w:val="nil"/>
            </w:tcBorders>
          </w:tcPr>
          <w:p>
            <w:pPr>
              <w:pStyle w:val="TableParagraph"/>
              <w:spacing w:before="28"/>
              <w:ind w:left="88"/>
              <w:rPr>
                <w:sz w:val="18"/>
              </w:rPr>
            </w:pPr>
            <w:r>
              <w:rPr>
                <w:color w:val="105C84"/>
                <w:sz w:val="18"/>
              </w:rPr>
              <w:t>Cornell</w:t>
            </w:r>
            <w:r>
              <w:rPr>
                <w:color w:val="105C84"/>
                <w:spacing w:val="8"/>
                <w:sz w:val="18"/>
              </w:rPr>
              <w:t> </w:t>
            </w:r>
            <w:r>
              <w:rPr>
                <w:color w:val="105C84"/>
                <w:sz w:val="18"/>
              </w:rPr>
              <w:t>Coop</w:t>
            </w:r>
            <w:r>
              <w:rPr>
                <w:color w:val="105C84"/>
                <w:spacing w:val="9"/>
                <w:sz w:val="18"/>
              </w:rPr>
              <w:t> </w:t>
            </w:r>
            <w:r>
              <w:rPr>
                <w:color w:val="105C84"/>
                <w:spacing w:val="-5"/>
                <w:sz w:val="18"/>
              </w:rPr>
              <w:t>Ext</w:t>
            </w:r>
          </w:p>
        </w:tc>
        <w:tc>
          <w:tcPr>
            <w:tcW w:w="2967" w:type="dxa"/>
            <w:vMerge/>
            <w:tcBorders>
              <w:top w:val="nil"/>
            </w:tcBorders>
          </w:tcPr>
          <w:p>
            <w:pPr>
              <w:rPr>
                <w:sz w:val="2"/>
                <w:szCs w:val="2"/>
              </w:rPr>
            </w:pPr>
          </w:p>
        </w:tc>
        <w:tc>
          <w:tcPr>
            <w:tcW w:w="2242" w:type="dxa"/>
            <w:tcBorders>
              <w:top w:val="nil"/>
              <w:bottom w:val="nil"/>
            </w:tcBorders>
          </w:tcPr>
          <w:p>
            <w:pPr>
              <w:pStyle w:val="TableParagraph"/>
              <w:rPr>
                <w:rFonts w:ascii="Times New Roman"/>
                <w:sz w:val="18"/>
              </w:rPr>
            </w:pPr>
          </w:p>
        </w:tc>
      </w:tr>
      <w:tr>
        <w:trPr>
          <w:trHeight w:val="279" w:hRule="atLeast"/>
        </w:trPr>
        <w:tc>
          <w:tcPr>
            <w:tcW w:w="1008" w:type="dxa"/>
            <w:tcBorders>
              <w:top w:val="nil"/>
              <w:bottom w:val="nil"/>
            </w:tcBorders>
            <w:shd w:val="clear" w:color="auto" w:fill="E6E7E8"/>
          </w:tcPr>
          <w:p>
            <w:pPr>
              <w:pStyle w:val="TableParagraph"/>
              <w:rPr>
                <w:rFonts w:ascii="Times New Roman"/>
                <w:sz w:val="18"/>
              </w:rPr>
            </w:pPr>
          </w:p>
        </w:tc>
        <w:tc>
          <w:tcPr>
            <w:tcW w:w="1152" w:type="dxa"/>
            <w:tcBorders>
              <w:top w:val="nil"/>
              <w:bottom w:val="nil"/>
            </w:tcBorders>
          </w:tcPr>
          <w:p>
            <w:pPr>
              <w:pStyle w:val="TableParagraph"/>
              <w:rPr>
                <w:rFonts w:ascii="Times New Roman"/>
                <w:sz w:val="18"/>
              </w:rPr>
            </w:pPr>
          </w:p>
        </w:tc>
        <w:tc>
          <w:tcPr>
            <w:tcW w:w="1181" w:type="dxa"/>
            <w:tcBorders>
              <w:top w:val="nil"/>
              <w:bottom w:val="nil"/>
            </w:tcBorders>
          </w:tcPr>
          <w:p>
            <w:pPr>
              <w:pStyle w:val="TableParagraph"/>
              <w:rPr>
                <w:rFonts w:ascii="Times New Roman"/>
                <w:sz w:val="18"/>
              </w:rPr>
            </w:pPr>
          </w:p>
        </w:tc>
        <w:tc>
          <w:tcPr>
            <w:tcW w:w="2477" w:type="dxa"/>
            <w:tcBorders>
              <w:top w:val="nil"/>
              <w:bottom w:val="nil"/>
            </w:tcBorders>
          </w:tcPr>
          <w:p>
            <w:pPr>
              <w:pStyle w:val="TableParagraph"/>
              <w:rPr>
                <w:rFonts w:ascii="Times New Roman"/>
                <w:sz w:val="18"/>
              </w:rPr>
            </w:pPr>
          </w:p>
        </w:tc>
        <w:tc>
          <w:tcPr>
            <w:tcW w:w="1210" w:type="dxa"/>
            <w:vMerge/>
            <w:tcBorders>
              <w:top w:val="nil"/>
            </w:tcBorders>
          </w:tcPr>
          <w:p>
            <w:pPr>
              <w:rPr>
                <w:sz w:val="2"/>
                <w:szCs w:val="2"/>
              </w:rPr>
            </w:pPr>
          </w:p>
        </w:tc>
        <w:tc>
          <w:tcPr>
            <w:tcW w:w="4109" w:type="dxa"/>
            <w:vMerge/>
            <w:tcBorders>
              <w:top w:val="nil"/>
              <w:right w:val="nil"/>
            </w:tcBorders>
          </w:tcPr>
          <w:p>
            <w:pPr>
              <w:rPr>
                <w:sz w:val="2"/>
                <w:szCs w:val="2"/>
              </w:rPr>
            </w:pPr>
          </w:p>
        </w:tc>
        <w:tc>
          <w:tcPr>
            <w:tcW w:w="4150" w:type="dxa"/>
            <w:vMerge/>
            <w:tcBorders>
              <w:top w:val="nil"/>
              <w:left w:val="nil"/>
            </w:tcBorders>
          </w:tcPr>
          <w:p>
            <w:pPr>
              <w:rPr>
                <w:sz w:val="2"/>
                <w:szCs w:val="2"/>
              </w:rPr>
            </w:pPr>
          </w:p>
        </w:tc>
        <w:tc>
          <w:tcPr>
            <w:tcW w:w="1757" w:type="dxa"/>
            <w:tcBorders>
              <w:top w:val="nil"/>
              <w:bottom w:val="nil"/>
            </w:tcBorders>
          </w:tcPr>
          <w:p>
            <w:pPr>
              <w:pStyle w:val="TableParagraph"/>
              <w:spacing w:before="28"/>
              <w:ind w:left="88"/>
              <w:rPr>
                <w:sz w:val="18"/>
              </w:rPr>
            </w:pPr>
            <w:r>
              <w:rPr>
                <w:color w:val="105C84"/>
                <w:spacing w:val="-2"/>
                <w:sz w:val="18"/>
              </w:rPr>
              <w:t>NYSDOH</w:t>
            </w:r>
          </w:p>
        </w:tc>
        <w:tc>
          <w:tcPr>
            <w:tcW w:w="2967" w:type="dxa"/>
            <w:vMerge/>
            <w:tcBorders>
              <w:top w:val="nil"/>
            </w:tcBorders>
          </w:tcPr>
          <w:p>
            <w:pPr>
              <w:rPr>
                <w:sz w:val="2"/>
                <w:szCs w:val="2"/>
              </w:rPr>
            </w:pPr>
          </w:p>
        </w:tc>
        <w:tc>
          <w:tcPr>
            <w:tcW w:w="2242" w:type="dxa"/>
            <w:tcBorders>
              <w:top w:val="nil"/>
              <w:bottom w:val="nil"/>
            </w:tcBorders>
          </w:tcPr>
          <w:p>
            <w:pPr>
              <w:pStyle w:val="TableParagraph"/>
              <w:rPr>
                <w:rFonts w:ascii="Times New Roman"/>
                <w:sz w:val="18"/>
              </w:rPr>
            </w:pPr>
          </w:p>
        </w:tc>
      </w:tr>
      <w:tr>
        <w:trPr>
          <w:trHeight w:val="279" w:hRule="atLeast"/>
        </w:trPr>
        <w:tc>
          <w:tcPr>
            <w:tcW w:w="1008" w:type="dxa"/>
            <w:tcBorders>
              <w:top w:val="nil"/>
              <w:bottom w:val="nil"/>
            </w:tcBorders>
            <w:shd w:val="clear" w:color="auto" w:fill="E6E7E8"/>
          </w:tcPr>
          <w:p>
            <w:pPr>
              <w:pStyle w:val="TableParagraph"/>
              <w:rPr>
                <w:rFonts w:ascii="Times New Roman"/>
                <w:sz w:val="18"/>
              </w:rPr>
            </w:pPr>
          </w:p>
        </w:tc>
        <w:tc>
          <w:tcPr>
            <w:tcW w:w="1152" w:type="dxa"/>
            <w:tcBorders>
              <w:top w:val="nil"/>
              <w:bottom w:val="nil"/>
            </w:tcBorders>
          </w:tcPr>
          <w:p>
            <w:pPr>
              <w:pStyle w:val="TableParagraph"/>
              <w:rPr>
                <w:rFonts w:ascii="Times New Roman"/>
                <w:sz w:val="18"/>
              </w:rPr>
            </w:pPr>
          </w:p>
        </w:tc>
        <w:tc>
          <w:tcPr>
            <w:tcW w:w="1181" w:type="dxa"/>
            <w:tcBorders>
              <w:top w:val="nil"/>
              <w:bottom w:val="nil"/>
            </w:tcBorders>
          </w:tcPr>
          <w:p>
            <w:pPr>
              <w:pStyle w:val="TableParagraph"/>
              <w:rPr>
                <w:rFonts w:ascii="Times New Roman"/>
                <w:sz w:val="18"/>
              </w:rPr>
            </w:pPr>
          </w:p>
        </w:tc>
        <w:tc>
          <w:tcPr>
            <w:tcW w:w="2477" w:type="dxa"/>
            <w:tcBorders>
              <w:top w:val="nil"/>
              <w:bottom w:val="nil"/>
            </w:tcBorders>
          </w:tcPr>
          <w:p>
            <w:pPr>
              <w:pStyle w:val="TableParagraph"/>
              <w:rPr>
                <w:rFonts w:ascii="Times New Roman"/>
                <w:sz w:val="18"/>
              </w:rPr>
            </w:pPr>
          </w:p>
        </w:tc>
        <w:tc>
          <w:tcPr>
            <w:tcW w:w="1210" w:type="dxa"/>
            <w:vMerge/>
            <w:tcBorders>
              <w:top w:val="nil"/>
            </w:tcBorders>
          </w:tcPr>
          <w:p>
            <w:pPr>
              <w:rPr>
                <w:sz w:val="2"/>
                <w:szCs w:val="2"/>
              </w:rPr>
            </w:pPr>
          </w:p>
        </w:tc>
        <w:tc>
          <w:tcPr>
            <w:tcW w:w="4109" w:type="dxa"/>
            <w:vMerge/>
            <w:tcBorders>
              <w:top w:val="nil"/>
              <w:right w:val="nil"/>
            </w:tcBorders>
          </w:tcPr>
          <w:p>
            <w:pPr>
              <w:rPr>
                <w:sz w:val="2"/>
                <w:szCs w:val="2"/>
              </w:rPr>
            </w:pPr>
          </w:p>
        </w:tc>
        <w:tc>
          <w:tcPr>
            <w:tcW w:w="4150" w:type="dxa"/>
            <w:vMerge/>
            <w:tcBorders>
              <w:top w:val="nil"/>
              <w:left w:val="nil"/>
            </w:tcBorders>
          </w:tcPr>
          <w:p>
            <w:pPr>
              <w:rPr>
                <w:sz w:val="2"/>
                <w:szCs w:val="2"/>
              </w:rPr>
            </w:pPr>
          </w:p>
        </w:tc>
        <w:tc>
          <w:tcPr>
            <w:tcW w:w="1757" w:type="dxa"/>
            <w:tcBorders>
              <w:top w:val="nil"/>
              <w:bottom w:val="nil"/>
            </w:tcBorders>
          </w:tcPr>
          <w:p>
            <w:pPr>
              <w:pStyle w:val="TableParagraph"/>
              <w:spacing w:before="28"/>
              <w:ind w:left="88"/>
              <w:rPr>
                <w:sz w:val="18"/>
              </w:rPr>
            </w:pPr>
            <w:r>
              <w:rPr>
                <w:color w:val="105C84"/>
                <w:spacing w:val="-2"/>
                <w:sz w:val="18"/>
              </w:rPr>
              <w:t>Worksites</w:t>
            </w:r>
          </w:p>
        </w:tc>
        <w:tc>
          <w:tcPr>
            <w:tcW w:w="2967" w:type="dxa"/>
            <w:vMerge/>
            <w:tcBorders>
              <w:top w:val="nil"/>
            </w:tcBorders>
          </w:tcPr>
          <w:p>
            <w:pPr>
              <w:rPr>
                <w:sz w:val="2"/>
                <w:szCs w:val="2"/>
              </w:rPr>
            </w:pPr>
          </w:p>
        </w:tc>
        <w:tc>
          <w:tcPr>
            <w:tcW w:w="2242" w:type="dxa"/>
            <w:tcBorders>
              <w:top w:val="nil"/>
              <w:bottom w:val="nil"/>
            </w:tcBorders>
          </w:tcPr>
          <w:p>
            <w:pPr>
              <w:pStyle w:val="TableParagraph"/>
              <w:rPr>
                <w:rFonts w:ascii="Times New Roman"/>
                <w:sz w:val="18"/>
              </w:rPr>
            </w:pPr>
          </w:p>
        </w:tc>
      </w:tr>
      <w:tr>
        <w:trPr>
          <w:trHeight w:val="614" w:hRule="atLeast"/>
        </w:trPr>
        <w:tc>
          <w:tcPr>
            <w:tcW w:w="1008" w:type="dxa"/>
            <w:tcBorders>
              <w:top w:val="nil"/>
            </w:tcBorders>
            <w:shd w:val="clear" w:color="auto" w:fill="E6E7E8"/>
          </w:tcPr>
          <w:p>
            <w:pPr>
              <w:pStyle w:val="TableParagraph"/>
              <w:rPr>
                <w:rFonts w:ascii="Times New Roman"/>
                <w:sz w:val="18"/>
              </w:rPr>
            </w:pPr>
          </w:p>
        </w:tc>
        <w:tc>
          <w:tcPr>
            <w:tcW w:w="1152" w:type="dxa"/>
            <w:tcBorders>
              <w:top w:val="nil"/>
            </w:tcBorders>
          </w:tcPr>
          <w:p>
            <w:pPr>
              <w:pStyle w:val="TableParagraph"/>
              <w:rPr>
                <w:rFonts w:ascii="Times New Roman"/>
                <w:sz w:val="18"/>
              </w:rPr>
            </w:pPr>
          </w:p>
        </w:tc>
        <w:tc>
          <w:tcPr>
            <w:tcW w:w="1181" w:type="dxa"/>
            <w:tcBorders>
              <w:top w:val="nil"/>
            </w:tcBorders>
          </w:tcPr>
          <w:p>
            <w:pPr>
              <w:pStyle w:val="TableParagraph"/>
              <w:rPr>
                <w:rFonts w:ascii="Times New Roman"/>
                <w:sz w:val="18"/>
              </w:rPr>
            </w:pPr>
          </w:p>
        </w:tc>
        <w:tc>
          <w:tcPr>
            <w:tcW w:w="2477" w:type="dxa"/>
            <w:tcBorders>
              <w:top w:val="nil"/>
            </w:tcBorders>
          </w:tcPr>
          <w:p>
            <w:pPr>
              <w:pStyle w:val="TableParagraph"/>
              <w:rPr>
                <w:rFonts w:ascii="Times New Roman"/>
                <w:sz w:val="18"/>
              </w:rPr>
            </w:pPr>
          </w:p>
        </w:tc>
        <w:tc>
          <w:tcPr>
            <w:tcW w:w="1210" w:type="dxa"/>
            <w:vMerge/>
            <w:tcBorders>
              <w:top w:val="nil"/>
            </w:tcBorders>
          </w:tcPr>
          <w:p>
            <w:pPr>
              <w:rPr>
                <w:sz w:val="2"/>
                <w:szCs w:val="2"/>
              </w:rPr>
            </w:pPr>
          </w:p>
        </w:tc>
        <w:tc>
          <w:tcPr>
            <w:tcW w:w="4109" w:type="dxa"/>
            <w:vMerge/>
            <w:tcBorders>
              <w:top w:val="nil"/>
              <w:right w:val="nil"/>
            </w:tcBorders>
          </w:tcPr>
          <w:p>
            <w:pPr>
              <w:rPr>
                <w:sz w:val="2"/>
                <w:szCs w:val="2"/>
              </w:rPr>
            </w:pPr>
          </w:p>
        </w:tc>
        <w:tc>
          <w:tcPr>
            <w:tcW w:w="4150" w:type="dxa"/>
            <w:vMerge/>
            <w:tcBorders>
              <w:top w:val="nil"/>
              <w:left w:val="nil"/>
            </w:tcBorders>
          </w:tcPr>
          <w:p>
            <w:pPr>
              <w:rPr>
                <w:sz w:val="2"/>
                <w:szCs w:val="2"/>
              </w:rPr>
            </w:pPr>
          </w:p>
        </w:tc>
        <w:tc>
          <w:tcPr>
            <w:tcW w:w="1757" w:type="dxa"/>
            <w:tcBorders>
              <w:top w:val="nil"/>
            </w:tcBorders>
          </w:tcPr>
          <w:p>
            <w:pPr>
              <w:pStyle w:val="TableParagraph"/>
              <w:spacing w:before="28"/>
              <w:ind w:left="88"/>
              <w:rPr>
                <w:sz w:val="18"/>
              </w:rPr>
            </w:pPr>
            <w:r>
              <w:rPr>
                <w:color w:val="105C84"/>
                <w:spacing w:val="-2"/>
                <w:sz w:val="18"/>
              </w:rPr>
              <w:t>Schools</w:t>
            </w:r>
          </w:p>
        </w:tc>
        <w:tc>
          <w:tcPr>
            <w:tcW w:w="2967" w:type="dxa"/>
            <w:vMerge/>
            <w:tcBorders>
              <w:top w:val="nil"/>
            </w:tcBorders>
          </w:tcPr>
          <w:p>
            <w:pPr>
              <w:rPr>
                <w:sz w:val="2"/>
                <w:szCs w:val="2"/>
              </w:rPr>
            </w:pPr>
          </w:p>
        </w:tc>
        <w:tc>
          <w:tcPr>
            <w:tcW w:w="2242" w:type="dxa"/>
            <w:tcBorders>
              <w:top w:val="nil"/>
            </w:tcBorders>
          </w:tcPr>
          <w:p>
            <w:pPr>
              <w:pStyle w:val="TableParagraph"/>
              <w:rPr>
                <w:rFonts w:ascii="Times New Roman"/>
                <w:sz w:val="18"/>
              </w:rPr>
            </w:pPr>
          </w:p>
        </w:tc>
      </w:tr>
    </w:tbl>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221"/>
        <w:rPr>
          <w:b/>
          <w:sz w:val="26"/>
        </w:rPr>
      </w:pPr>
    </w:p>
    <w:p>
      <w:pPr>
        <w:tabs>
          <w:tab w:pos="23047" w:val="left" w:leader="none"/>
        </w:tabs>
        <w:spacing w:before="0"/>
        <w:ind w:left="0" w:right="0" w:firstLine="0"/>
        <w:jc w:val="left"/>
        <w:rPr>
          <w:b/>
          <w:sz w:val="26"/>
        </w:rPr>
      </w:pPr>
      <w:r>
        <w:rPr>
          <w:position w:val="-4"/>
        </w:rPr>
        <w:drawing>
          <wp:inline distT="0" distB="0" distL="0" distR="0">
            <wp:extent cx="568172" cy="184683"/>
            <wp:effectExtent l="0" t="0" r="0" b="0"/>
            <wp:docPr id="1762" name="Image 1762"/>
            <wp:cNvGraphicFramePr>
              <a:graphicFrameLocks/>
            </wp:cNvGraphicFramePr>
            <a:graphic>
              <a:graphicData uri="http://schemas.openxmlformats.org/drawingml/2006/picture">
                <pic:pic>
                  <pic:nvPicPr>
                    <pic:cNvPr id="1762" name="Image 1762"/>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13"/>
          <w:sz w:val="20"/>
        </w:rPr>
        <w:t> </w:t>
      </w:r>
      <w:r>
        <w:rPr>
          <w:b/>
          <w:color w:val="939598"/>
          <w:w w:val="105"/>
          <w:sz w:val="26"/>
        </w:rPr>
        <w:t>129</w:t>
      </w:r>
      <w:r>
        <w:rPr>
          <w:b/>
          <w:color w:val="939598"/>
          <w:sz w:val="26"/>
        </w:rPr>
        <w:tab/>
      </w:r>
      <w:r>
        <w:rPr>
          <w:b/>
          <w:color w:val="939598"/>
          <w:spacing w:val="-5"/>
          <w:w w:val="105"/>
          <w:sz w:val="26"/>
        </w:rPr>
        <w:t>130</w:t>
      </w:r>
    </w:p>
    <w:p>
      <w:pPr>
        <w:spacing w:after="0"/>
        <w:jc w:val="left"/>
        <w:rPr>
          <w:b/>
          <w:sz w:val="26"/>
        </w:rPr>
        <w:sectPr>
          <w:headerReference w:type="default" r:id="rId243"/>
          <w:pgSz w:w="24480" w:h="15840" w:orient="landscape"/>
          <w:pgMar w:header="0" w:footer="0" w:top="860" w:bottom="0" w:left="0" w:right="720"/>
        </w:sectPr>
      </w:pPr>
    </w:p>
    <w:p>
      <w:pPr>
        <w:spacing w:before="607"/>
        <w:ind w:left="1089" w:right="0" w:firstLine="0"/>
        <w:jc w:val="left"/>
        <w:rPr>
          <w:sz w:val="54"/>
        </w:rPr>
      </w:pPr>
      <w:r>
        <w:rPr>
          <w:sz w:val="54"/>
        </w:rPr>
        <w:drawing>
          <wp:anchor distT="0" distB="0" distL="0" distR="0" allowOverlap="1" layoutInCell="1" locked="0" behindDoc="0" simplePos="0" relativeHeight="15928832">
            <wp:simplePos x="0" y="0"/>
            <wp:positionH relativeFrom="page">
              <wp:posOffset>14981556</wp:posOffset>
            </wp:positionH>
            <wp:positionV relativeFrom="page">
              <wp:posOffset>9668103</wp:posOffset>
            </wp:positionV>
            <wp:extent cx="563245" cy="184683"/>
            <wp:effectExtent l="0" t="0" r="0" b="0"/>
            <wp:wrapNone/>
            <wp:docPr id="1763" name="Image 1763"/>
            <wp:cNvGraphicFramePr>
              <a:graphicFrameLocks/>
            </wp:cNvGraphicFramePr>
            <a:graphic>
              <a:graphicData uri="http://schemas.openxmlformats.org/drawingml/2006/picture">
                <pic:pic>
                  <pic:nvPicPr>
                    <pic:cNvPr id="1763" name="Image 1763"/>
                    <pic:cNvPicPr/>
                  </pic:nvPicPr>
                  <pic:blipFill>
                    <a:blip r:embed="rId38" cstate="print"/>
                    <a:stretch>
                      <a:fillRect/>
                    </a:stretch>
                  </pic:blipFill>
                  <pic:spPr>
                    <a:xfrm>
                      <a:off x="0" y="0"/>
                      <a:ext cx="563245" cy="184683"/>
                    </a:xfrm>
                    <a:prstGeom prst="rect">
                      <a:avLst/>
                    </a:prstGeom>
                  </pic:spPr>
                </pic:pic>
              </a:graphicData>
            </a:graphic>
          </wp:anchor>
        </w:drawing>
      </w:r>
      <w:r>
        <w:rPr>
          <w:sz w:val="54"/>
        </w:rPr>
        <w:drawing>
          <wp:anchor distT="0" distB="0" distL="0" distR="0" allowOverlap="1" layoutInCell="1" locked="0" behindDoc="0" simplePos="0" relativeHeight="15929344">
            <wp:simplePos x="0" y="0"/>
            <wp:positionH relativeFrom="page">
              <wp:posOffset>14162106</wp:posOffset>
            </wp:positionH>
            <wp:positionV relativeFrom="paragraph">
              <wp:posOffset>321014</wp:posOffset>
            </wp:positionV>
            <wp:extent cx="696753" cy="690419"/>
            <wp:effectExtent l="0" t="0" r="0" b="0"/>
            <wp:wrapNone/>
            <wp:docPr id="1764" name="Image 1764"/>
            <wp:cNvGraphicFramePr>
              <a:graphicFrameLocks/>
            </wp:cNvGraphicFramePr>
            <a:graphic>
              <a:graphicData uri="http://schemas.openxmlformats.org/drawingml/2006/picture">
                <pic:pic>
                  <pic:nvPicPr>
                    <pic:cNvPr id="1764" name="Image 1764"/>
                    <pic:cNvPicPr/>
                  </pic:nvPicPr>
                  <pic:blipFill>
                    <a:blip r:embed="rId244" cstate="print"/>
                    <a:stretch>
                      <a:fillRect/>
                    </a:stretch>
                  </pic:blipFill>
                  <pic:spPr>
                    <a:xfrm>
                      <a:off x="0" y="0"/>
                      <a:ext cx="696753" cy="690419"/>
                    </a:xfrm>
                    <a:prstGeom prst="rect">
                      <a:avLst/>
                    </a:prstGeom>
                  </pic:spPr>
                </pic:pic>
              </a:graphicData>
            </a:graphic>
          </wp:anchor>
        </w:drawing>
      </w:r>
      <w:r>
        <w:rPr>
          <w:sz w:val="54"/>
        </w:rPr>
        <w:drawing>
          <wp:anchor distT="0" distB="0" distL="0" distR="0" allowOverlap="1" layoutInCell="1" locked="0" behindDoc="0" simplePos="0" relativeHeight="15929856">
            <wp:simplePos x="0" y="0"/>
            <wp:positionH relativeFrom="page">
              <wp:posOffset>12710185</wp:posOffset>
            </wp:positionH>
            <wp:positionV relativeFrom="paragraph">
              <wp:posOffset>365760</wp:posOffset>
            </wp:positionV>
            <wp:extent cx="1326527" cy="258263"/>
            <wp:effectExtent l="0" t="0" r="0" b="0"/>
            <wp:wrapNone/>
            <wp:docPr id="1765" name="Image 1765"/>
            <wp:cNvGraphicFramePr>
              <a:graphicFrameLocks/>
            </wp:cNvGraphicFramePr>
            <a:graphic>
              <a:graphicData uri="http://schemas.openxmlformats.org/drawingml/2006/picture">
                <pic:pic>
                  <pic:nvPicPr>
                    <pic:cNvPr id="1765" name="Image 1765"/>
                    <pic:cNvPicPr/>
                  </pic:nvPicPr>
                  <pic:blipFill>
                    <a:blip r:embed="rId245" cstate="print"/>
                    <a:stretch>
                      <a:fillRect/>
                    </a:stretch>
                  </pic:blipFill>
                  <pic:spPr>
                    <a:xfrm>
                      <a:off x="0" y="0"/>
                      <a:ext cx="1326527" cy="258263"/>
                    </a:xfrm>
                    <a:prstGeom prst="rect">
                      <a:avLst/>
                    </a:prstGeom>
                  </pic:spPr>
                </pic:pic>
              </a:graphicData>
            </a:graphic>
          </wp:anchor>
        </w:drawing>
      </w:r>
      <w:r>
        <w:rPr>
          <w:sz w:val="54"/>
        </w:rPr>
        <w:drawing>
          <wp:anchor distT="0" distB="0" distL="0" distR="0" allowOverlap="1" layoutInCell="1" locked="0" behindDoc="0" simplePos="0" relativeHeight="15930368">
            <wp:simplePos x="0" y="0"/>
            <wp:positionH relativeFrom="page">
              <wp:posOffset>11252403</wp:posOffset>
            </wp:positionH>
            <wp:positionV relativeFrom="paragraph">
              <wp:posOffset>311404</wp:posOffset>
            </wp:positionV>
            <wp:extent cx="1291335" cy="314959"/>
            <wp:effectExtent l="0" t="0" r="0" b="0"/>
            <wp:wrapNone/>
            <wp:docPr id="1766" name="Image 1766"/>
            <wp:cNvGraphicFramePr>
              <a:graphicFrameLocks/>
            </wp:cNvGraphicFramePr>
            <a:graphic>
              <a:graphicData uri="http://schemas.openxmlformats.org/drawingml/2006/picture">
                <pic:pic>
                  <pic:nvPicPr>
                    <pic:cNvPr id="1766" name="Image 1766"/>
                    <pic:cNvPicPr/>
                  </pic:nvPicPr>
                  <pic:blipFill>
                    <a:blip r:embed="rId246" cstate="print"/>
                    <a:stretch>
                      <a:fillRect/>
                    </a:stretch>
                  </pic:blipFill>
                  <pic:spPr>
                    <a:xfrm>
                      <a:off x="0" y="0"/>
                      <a:ext cx="1291335" cy="314959"/>
                    </a:xfrm>
                    <a:prstGeom prst="rect">
                      <a:avLst/>
                    </a:prstGeom>
                  </pic:spPr>
                </pic:pic>
              </a:graphicData>
            </a:graphic>
          </wp:anchor>
        </w:drawing>
      </w:r>
      <w:r>
        <w:rPr>
          <w:color w:val="636466"/>
          <w:sz w:val="54"/>
        </w:rPr>
        <w:t>Livingston</w:t>
      </w:r>
      <w:r>
        <w:rPr>
          <w:color w:val="636466"/>
          <w:spacing w:val="70"/>
          <w:sz w:val="54"/>
        </w:rPr>
        <w:t> </w:t>
      </w:r>
      <w:r>
        <w:rPr>
          <w:color w:val="636466"/>
          <w:sz w:val="54"/>
        </w:rPr>
        <w:t>County</w:t>
      </w:r>
      <w:r>
        <w:rPr>
          <w:color w:val="636466"/>
          <w:spacing w:val="71"/>
          <w:sz w:val="54"/>
        </w:rPr>
        <w:t> </w:t>
      </w:r>
      <w:r>
        <w:rPr>
          <w:color w:val="636466"/>
          <w:sz w:val="54"/>
        </w:rPr>
        <w:t>Appendix</w:t>
      </w:r>
      <w:r>
        <w:rPr>
          <w:color w:val="636466"/>
          <w:spacing w:val="71"/>
          <w:sz w:val="54"/>
        </w:rPr>
        <w:t> </w:t>
      </w:r>
      <w:r>
        <w:rPr>
          <w:color w:val="636466"/>
          <w:spacing w:val="-10"/>
          <w:sz w:val="54"/>
        </w:rPr>
        <w:t>B</w:t>
      </w:r>
    </w:p>
    <w:p>
      <w:pPr>
        <w:spacing w:before="235"/>
        <w:ind w:left="1089" w:right="0" w:firstLine="0"/>
        <w:jc w:val="left"/>
        <w:rPr>
          <w:b/>
          <w:sz w:val="32"/>
        </w:rPr>
      </w:pPr>
      <w:r>
        <w:rPr>
          <w:b/>
          <w:color w:val="82BF6A"/>
          <w:spacing w:val="-6"/>
          <w:sz w:val="32"/>
        </w:rPr>
        <w:t>PRIORITY:</w:t>
      </w:r>
      <w:r>
        <w:rPr>
          <w:b/>
          <w:color w:val="82BF6A"/>
          <w:spacing w:val="-13"/>
          <w:sz w:val="32"/>
        </w:rPr>
        <w:t> </w:t>
      </w:r>
      <w:r>
        <w:rPr>
          <w:b/>
          <w:color w:val="82BF6A"/>
          <w:spacing w:val="-6"/>
          <w:sz w:val="32"/>
        </w:rPr>
        <w:t>PREVENT</w:t>
      </w:r>
      <w:r>
        <w:rPr>
          <w:b/>
          <w:color w:val="82BF6A"/>
          <w:spacing w:val="-13"/>
          <w:sz w:val="32"/>
        </w:rPr>
        <w:t> </w:t>
      </w:r>
      <w:r>
        <w:rPr>
          <w:b/>
          <w:color w:val="82BF6A"/>
          <w:spacing w:val="-6"/>
          <w:sz w:val="32"/>
        </w:rPr>
        <w:t>CHRONIC</w:t>
      </w:r>
      <w:r>
        <w:rPr>
          <w:b/>
          <w:color w:val="82BF6A"/>
          <w:spacing w:val="-13"/>
          <w:sz w:val="32"/>
        </w:rPr>
        <w:t> </w:t>
      </w:r>
      <w:r>
        <w:rPr>
          <w:b/>
          <w:color w:val="82BF6A"/>
          <w:spacing w:val="-6"/>
          <w:sz w:val="32"/>
        </w:rPr>
        <w:t>DISEASES</w:t>
      </w:r>
    </w:p>
    <w:p>
      <w:pPr>
        <w:pStyle w:val="BodyText"/>
        <w:spacing w:before="8"/>
        <w:rPr>
          <w:b/>
          <w:sz w:val="16"/>
        </w:rPr>
      </w:pPr>
    </w:p>
    <w:tbl>
      <w:tblPr>
        <w:tblW w:w="0" w:type="auto"/>
        <w:jc w:val="left"/>
        <w:tblInd w:w="1099"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1008"/>
        <w:gridCol w:w="1152"/>
        <w:gridCol w:w="1426"/>
        <w:gridCol w:w="2592"/>
        <w:gridCol w:w="1267"/>
        <w:gridCol w:w="3708"/>
        <w:gridCol w:w="4061"/>
        <w:gridCol w:w="1757"/>
        <w:gridCol w:w="2967"/>
        <w:gridCol w:w="2300"/>
      </w:tblGrid>
      <w:tr>
        <w:trPr>
          <w:trHeight w:val="770" w:hRule="atLeast"/>
        </w:trPr>
        <w:tc>
          <w:tcPr>
            <w:tcW w:w="1008" w:type="dxa"/>
            <w:tcBorders>
              <w:right w:val="single" w:sz="4" w:space="0" w:color="FFFFFF"/>
            </w:tcBorders>
            <w:shd w:val="clear" w:color="auto" w:fill="A7A9AC"/>
          </w:tcPr>
          <w:p>
            <w:pPr>
              <w:pStyle w:val="TableParagraph"/>
              <w:spacing w:before="67"/>
              <w:rPr>
                <w:b/>
                <w:sz w:val="20"/>
              </w:rPr>
            </w:pPr>
          </w:p>
          <w:p>
            <w:pPr>
              <w:pStyle w:val="TableParagraph"/>
              <w:ind w:left="80"/>
              <w:rPr>
                <w:b/>
                <w:sz w:val="20"/>
              </w:rPr>
            </w:pPr>
            <w:r>
              <w:rPr>
                <w:b/>
                <w:color w:val="FFFFFF"/>
                <w:spacing w:val="-2"/>
                <w:sz w:val="20"/>
              </w:rPr>
              <w:t>Priority</w:t>
            </w:r>
          </w:p>
        </w:tc>
        <w:tc>
          <w:tcPr>
            <w:tcW w:w="1152" w:type="dxa"/>
            <w:tcBorders>
              <w:left w:val="single" w:sz="4" w:space="0" w:color="FFFFFF"/>
              <w:right w:val="single" w:sz="4" w:space="0" w:color="FFFFFF"/>
            </w:tcBorders>
            <w:shd w:val="clear" w:color="auto" w:fill="A7A9AC"/>
          </w:tcPr>
          <w:p>
            <w:pPr>
              <w:pStyle w:val="TableParagraph"/>
              <w:spacing w:line="230" w:lineRule="auto" w:before="195"/>
              <w:ind w:left="79" w:right="522"/>
              <w:rPr>
                <w:b/>
                <w:sz w:val="20"/>
              </w:rPr>
            </w:pPr>
            <w:r>
              <w:rPr>
                <w:b/>
                <w:color w:val="FFFFFF"/>
                <w:spacing w:val="-2"/>
                <w:w w:val="90"/>
                <w:sz w:val="20"/>
              </w:rPr>
              <w:t>Focus </w:t>
            </w:r>
            <w:r>
              <w:rPr>
                <w:b/>
                <w:color w:val="FFFFFF"/>
                <w:spacing w:val="-4"/>
                <w:sz w:val="20"/>
              </w:rPr>
              <w:t>Area</w:t>
            </w:r>
          </w:p>
        </w:tc>
        <w:tc>
          <w:tcPr>
            <w:tcW w:w="1426" w:type="dxa"/>
            <w:tcBorders>
              <w:left w:val="single" w:sz="4" w:space="0" w:color="FFFFFF"/>
              <w:right w:val="single" w:sz="4" w:space="0" w:color="FFFFFF"/>
            </w:tcBorders>
            <w:shd w:val="clear" w:color="auto" w:fill="A7A9AC"/>
          </w:tcPr>
          <w:p>
            <w:pPr>
              <w:pStyle w:val="TableParagraph"/>
              <w:spacing w:line="230" w:lineRule="auto" w:before="195"/>
              <w:ind w:left="79"/>
              <w:rPr>
                <w:b/>
                <w:sz w:val="20"/>
              </w:rPr>
            </w:pPr>
            <w:r>
              <w:rPr>
                <w:b/>
                <w:color w:val="FFFFFF"/>
                <w:spacing w:val="-8"/>
                <w:sz w:val="20"/>
              </w:rPr>
              <w:t>Goal</w:t>
            </w:r>
            <w:r>
              <w:rPr>
                <w:b/>
                <w:color w:val="FFFFFF"/>
                <w:spacing w:val="-6"/>
                <w:sz w:val="20"/>
              </w:rPr>
              <w:t> </w:t>
            </w:r>
            <w:r>
              <w:rPr>
                <w:b/>
                <w:color w:val="FFFFFF"/>
                <w:spacing w:val="-8"/>
                <w:sz w:val="20"/>
              </w:rPr>
              <w:t>Focus </w:t>
            </w:r>
            <w:r>
              <w:rPr>
                <w:b/>
                <w:color w:val="FFFFFF"/>
                <w:spacing w:val="-4"/>
                <w:sz w:val="20"/>
              </w:rPr>
              <w:t>Area</w:t>
            </w:r>
          </w:p>
        </w:tc>
        <w:tc>
          <w:tcPr>
            <w:tcW w:w="2592" w:type="dxa"/>
            <w:tcBorders>
              <w:left w:val="single" w:sz="4" w:space="0" w:color="FFFFFF"/>
              <w:right w:val="single" w:sz="4" w:space="0" w:color="FFFFFF"/>
            </w:tcBorders>
            <w:shd w:val="clear" w:color="auto" w:fill="A7A9AC"/>
          </w:tcPr>
          <w:p>
            <w:pPr>
              <w:pStyle w:val="TableParagraph"/>
              <w:spacing w:before="67"/>
              <w:rPr>
                <w:b/>
                <w:sz w:val="20"/>
              </w:rPr>
            </w:pPr>
          </w:p>
          <w:p>
            <w:pPr>
              <w:pStyle w:val="TableParagraph"/>
              <w:ind w:left="79"/>
              <w:rPr>
                <w:b/>
                <w:sz w:val="20"/>
              </w:rPr>
            </w:pPr>
            <w:r>
              <w:rPr>
                <w:b/>
                <w:color w:val="FFFFFF"/>
                <w:spacing w:val="-2"/>
                <w:sz w:val="20"/>
              </w:rPr>
              <w:t>Objectives</w:t>
            </w:r>
          </w:p>
        </w:tc>
        <w:tc>
          <w:tcPr>
            <w:tcW w:w="1267" w:type="dxa"/>
            <w:tcBorders>
              <w:left w:val="single" w:sz="4" w:space="0" w:color="FFFFFF"/>
              <w:right w:val="single" w:sz="4" w:space="0" w:color="FFFFFF"/>
            </w:tcBorders>
            <w:shd w:val="clear" w:color="auto" w:fill="A7A9AC"/>
          </w:tcPr>
          <w:p>
            <w:pPr>
              <w:pStyle w:val="TableParagraph"/>
              <w:spacing w:before="67"/>
              <w:rPr>
                <w:b/>
                <w:sz w:val="20"/>
              </w:rPr>
            </w:pPr>
          </w:p>
          <w:p>
            <w:pPr>
              <w:pStyle w:val="TableParagraph"/>
              <w:ind w:left="79"/>
              <w:rPr>
                <w:b/>
                <w:sz w:val="20"/>
              </w:rPr>
            </w:pPr>
            <w:r>
              <w:rPr>
                <w:b/>
                <w:color w:val="FFFFFF"/>
                <w:spacing w:val="-2"/>
                <w:sz w:val="20"/>
              </w:rPr>
              <w:t>Disparities</w:t>
            </w:r>
          </w:p>
        </w:tc>
        <w:tc>
          <w:tcPr>
            <w:tcW w:w="3708" w:type="dxa"/>
            <w:tcBorders>
              <w:left w:val="single" w:sz="4" w:space="0" w:color="FFFFFF"/>
              <w:right w:val="single" w:sz="4" w:space="0" w:color="FFFFFF"/>
            </w:tcBorders>
            <w:shd w:val="clear" w:color="auto" w:fill="A7A9AC"/>
          </w:tcPr>
          <w:p>
            <w:pPr>
              <w:pStyle w:val="TableParagraph"/>
              <w:spacing w:before="67"/>
              <w:rPr>
                <w:b/>
                <w:sz w:val="20"/>
              </w:rPr>
            </w:pPr>
          </w:p>
          <w:p>
            <w:pPr>
              <w:pStyle w:val="TableParagraph"/>
              <w:ind w:left="79"/>
              <w:rPr>
                <w:b/>
                <w:sz w:val="20"/>
              </w:rPr>
            </w:pPr>
            <w:r>
              <w:rPr>
                <w:b/>
                <w:color w:val="FFFFFF"/>
                <w:spacing w:val="-2"/>
                <w:sz w:val="20"/>
              </w:rPr>
              <w:t>Interventions</w:t>
            </w:r>
          </w:p>
        </w:tc>
        <w:tc>
          <w:tcPr>
            <w:tcW w:w="4061" w:type="dxa"/>
            <w:tcBorders>
              <w:left w:val="single" w:sz="4" w:space="0" w:color="FFFFFF"/>
              <w:right w:val="single" w:sz="4" w:space="0" w:color="FFFFFF"/>
            </w:tcBorders>
            <w:shd w:val="clear" w:color="auto" w:fill="A7A9AC"/>
          </w:tcPr>
          <w:p>
            <w:pPr>
              <w:pStyle w:val="TableParagraph"/>
              <w:spacing w:before="67"/>
              <w:rPr>
                <w:b/>
                <w:sz w:val="20"/>
              </w:rPr>
            </w:pPr>
          </w:p>
          <w:p>
            <w:pPr>
              <w:pStyle w:val="TableParagraph"/>
              <w:ind w:left="1169"/>
              <w:rPr>
                <w:b/>
                <w:sz w:val="20"/>
              </w:rPr>
            </w:pPr>
            <w:r>
              <w:rPr>
                <w:b/>
                <w:color w:val="FFFFFF"/>
                <w:sz w:val="20"/>
              </w:rPr>
              <w:t>Family</w:t>
            </w:r>
            <w:r>
              <w:rPr>
                <w:b/>
                <w:color w:val="FFFFFF"/>
                <w:spacing w:val="-12"/>
                <w:sz w:val="20"/>
              </w:rPr>
              <w:t> </w:t>
            </w:r>
            <w:r>
              <w:rPr>
                <w:b/>
                <w:color w:val="FFFFFF"/>
                <w:sz w:val="20"/>
              </w:rPr>
              <w:t>of</w:t>
            </w:r>
            <w:r>
              <w:rPr>
                <w:b/>
                <w:color w:val="FFFFFF"/>
                <w:spacing w:val="-12"/>
                <w:sz w:val="20"/>
              </w:rPr>
              <w:t> </w:t>
            </w:r>
            <w:r>
              <w:rPr>
                <w:b/>
                <w:color w:val="FFFFFF"/>
                <w:spacing w:val="-2"/>
                <w:sz w:val="20"/>
              </w:rPr>
              <w:t>Measures</w:t>
            </w:r>
          </w:p>
        </w:tc>
        <w:tc>
          <w:tcPr>
            <w:tcW w:w="1757" w:type="dxa"/>
            <w:tcBorders>
              <w:left w:val="single" w:sz="4" w:space="0" w:color="FFFFFF"/>
              <w:right w:val="single" w:sz="4" w:space="0" w:color="FFFFFF"/>
            </w:tcBorders>
            <w:shd w:val="clear" w:color="auto" w:fill="A7A9AC"/>
          </w:tcPr>
          <w:p>
            <w:pPr>
              <w:pStyle w:val="TableParagraph"/>
              <w:spacing w:line="230" w:lineRule="auto" w:before="195"/>
              <w:ind w:left="89"/>
              <w:rPr>
                <w:b/>
                <w:sz w:val="20"/>
              </w:rPr>
            </w:pPr>
            <w:r>
              <w:rPr>
                <w:b/>
                <w:color w:val="FFFFFF"/>
                <w:spacing w:val="-2"/>
                <w:sz w:val="20"/>
              </w:rPr>
              <w:t>Implementation Partner</w:t>
            </w:r>
          </w:p>
        </w:tc>
        <w:tc>
          <w:tcPr>
            <w:tcW w:w="2967" w:type="dxa"/>
            <w:tcBorders>
              <w:left w:val="single" w:sz="4" w:space="0" w:color="FFFFFF"/>
              <w:right w:val="single" w:sz="4" w:space="0" w:color="FFFFFF"/>
            </w:tcBorders>
            <w:shd w:val="clear" w:color="auto" w:fill="A7A9AC"/>
          </w:tcPr>
          <w:p>
            <w:pPr>
              <w:pStyle w:val="TableParagraph"/>
              <w:spacing w:before="67"/>
              <w:rPr>
                <w:b/>
                <w:sz w:val="20"/>
              </w:rPr>
            </w:pPr>
          </w:p>
          <w:p>
            <w:pPr>
              <w:pStyle w:val="TableParagraph"/>
              <w:ind w:left="79"/>
              <w:rPr>
                <w:b/>
                <w:sz w:val="20"/>
              </w:rPr>
            </w:pPr>
            <w:r>
              <w:rPr>
                <w:b/>
                <w:color w:val="FFFFFF"/>
                <w:spacing w:val="-4"/>
                <w:sz w:val="20"/>
              </w:rPr>
              <w:t>Partner</w:t>
            </w:r>
            <w:r>
              <w:rPr>
                <w:b/>
                <w:color w:val="FFFFFF"/>
                <w:spacing w:val="-2"/>
                <w:sz w:val="20"/>
              </w:rPr>
              <w:t> </w:t>
            </w:r>
            <w:r>
              <w:rPr>
                <w:b/>
                <w:color w:val="FFFFFF"/>
                <w:spacing w:val="-4"/>
                <w:sz w:val="20"/>
              </w:rPr>
              <w:t>Roles</w:t>
            </w:r>
            <w:r>
              <w:rPr>
                <w:b/>
                <w:color w:val="FFFFFF"/>
                <w:spacing w:val="-2"/>
                <w:sz w:val="20"/>
              </w:rPr>
              <w:t> </w:t>
            </w:r>
            <w:r>
              <w:rPr>
                <w:b/>
                <w:color w:val="FFFFFF"/>
                <w:spacing w:val="-4"/>
                <w:sz w:val="20"/>
              </w:rPr>
              <w:t>Resources</w:t>
            </w:r>
          </w:p>
        </w:tc>
        <w:tc>
          <w:tcPr>
            <w:tcW w:w="2300" w:type="dxa"/>
            <w:tcBorders>
              <w:left w:val="single" w:sz="4" w:space="0" w:color="FFFFFF"/>
              <w:right w:val="single" w:sz="4" w:space="0" w:color="FFFFFF"/>
            </w:tcBorders>
            <w:shd w:val="clear" w:color="auto" w:fill="A7A9AC"/>
          </w:tcPr>
          <w:p>
            <w:pPr>
              <w:pStyle w:val="TableParagraph"/>
              <w:spacing w:line="225" w:lineRule="exact" w:before="187"/>
              <w:ind w:left="78"/>
              <w:rPr>
                <w:b/>
                <w:sz w:val="20"/>
              </w:rPr>
            </w:pPr>
            <w:r>
              <w:rPr>
                <w:b/>
                <w:color w:val="FFFFFF"/>
                <w:spacing w:val="-2"/>
                <w:sz w:val="20"/>
              </w:rPr>
              <w:t>Projected</w:t>
            </w:r>
            <w:r>
              <w:rPr>
                <w:b/>
                <w:color w:val="FFFFFF"/>
                <w:spacing w:val="-8"/>
                <w:sz w:val="20"/>
              </w:rPr>
              <w:t> </w:t>
            </w:r>
            <w:r>
              <w:rPr>
                <w:b/>
                <w:color w:val="FFFFFF"/>
                <w:spacing w:val="-2"/>
                <w:sz w:val="20"/>
              </w:rPr>
              <w:t>Year</w:t>
            </w:r>
            <w:r>
              <w:rPr>
                <w:b/>
                <w:color w:val="FFFFFF"/>
                <w:spacing w:val="-7"/>
                <w:sz w:val="20"/>
              </w:rPr>
              <w:t> </w:t>
            </w:r>
            <w:r>
              <w:rPr>
                <w:b/>
                <w:color w:val="FFFFFF"/>
                <w:spacing w:val="-4"/>
                <w:sz w:val="20"/>
              </w:rPr>
              <w:t>1,2,</w:t>
            </w:r>
          </w:p>
          <w:p>
            <w:pPr>
              <w:pStyle w:val="TableParagraph"/>
              <w:spacing w:line="225" w:lineRule="exact"/>
              <w:ind w:left="78"/>
              <w:rPr>
                <w:b/>
                <w:sz w:val="20"/>
              </w:rPr>
            </w:pPr>
            <w:r>
              <w:rPr>
                <w:b/>
                <w:color w:val="FFFFFF"/>
                <w:sz w:val="20"/>
              </w:rPr>
              <w:t>and</w:t>
            </w:r>
            <w:r>
              <w:rPr>
                <w:b/>
                <w:color w:val="FFFFFF"/>
                <w:spacing w:val="-8"/>
                <w:sz w:val="20"/>
              </w:rPr>
              <w:t> </w:t>
            </w:r>
            <w:r>
              <w:rPr>
                <w:b/>
                <w:color w:val="FFFFFF"/>
                <w:spacing w:val="-10"/>
                <w:sz w:val="20"/>
              </w:rPr>
              <w:t>3</w:t>
            </w:r>
          </w:p>
        </w:tc>
      </w:tr>
      <w:tr>
        <w:trPr>
          <w:trHeight w:val="5910" w:hRule="atLeast"/>
        </w:trPr>
        <w:tc>
          <w:tcPr>
            <w:tcW w:w="1008" w:type="dxa"/>
            <w:vMerge w:val="restart"/>
            <w:shd w:val="clear" w:color="auto" w:fill="E6E7E8"/>
          </w:tcPr>
          <w:p>
            <w:pPr>
              <w:pStyle w:val="TableParagraph"/>
              <w:spacing w:line="232" w:lineRule="auto" w:before="101"/>
              <w:ind w:left="90" w:right="191"/>
              <w:jc w:val="both"/>
              <w:rPr>
                <w:sz w:val="18"/>
              </w:rPr>
            </w:pPr>
            <w:r>
              <w:rPr>
                <w:color w:val="105C84"/>
                <w:spacing w:val="-2"/>
                <w:sz w:val="18"/>
              </w:rPr>
              <w:t>Prevent Chronic </w:t>
            </w:r>
            <w:r>
              <w:rPr>
                <w:color w:val="105C84"/>
                <w:spacing w:val="-6"/>
                <w:sz w:val="18"/>
              </w:rPr>
              <w:t>Diseases</w:t>
            </w:r>
          </w:p>
        </w:tc>
        <w:tc>
          <w:tcPr>
            <w:tcW w:w="1152" w:type="dxa"/>
          </w:tcPr>
          <w:p>
            <w:pPr>
              <w:pStyle w:val="TableParagraph"/>
              <w:spacing w:line="232" w:lineRule="auto" w:before="101"/>
              <w:ind w:left="89" w:right="157"/>
              <w:rPr>
                <w:sz w:val="18"/>
              </w:rPr>
            </w:pPr>
            <w:r>
              <w:rPr>
                <w:color w:val="105C84"/>
                <w:spacing w:val="-4"/>
                <w:sz w:val="18"/>
              </w:rPr>
              <w:t>Focus</w:t>
            </w:r>
            <w:r>
              <w:rPr>
                <w:color w:val="105C84"/>
                <w:spacing w:val="-9"/>
                <w:sz w:val="18"/>
              </w:rPr>
              <w:t> </w:t>
            </w:r>
            <w:r>
              <w:rPr>
                <w:color w:val="105C84"/>
                <w:spacing w:val="-4"/>
                <w:sz w:val="18"/>
              </w:rPr>
              <w:t>Area </w:t>
            </w:r>
            <w:r>
              <w:rPr>
                <w:color w:val="105C84"/>
                <w:sz w:val="18"/>
              </w:rPr>
              <w:t>1: Healthy </w:t>
            </w:r>
            <w:r>
              <w:rPr>
                <w:color w:val="105C84"/>
                <w:spacing w:val="-2"/>
                <w:sz w:val="18"/>
              </w:rPr>
              <w:t>Eating</w:t>
            </w:r>
          </w:p>
          <w:p>
            <w:pPr>
              <w:pStyle w:val="TableParagraph"/>
              <w:spacing w:line="232" w:lineRule="auto"/>
              <w:ind w:left="89" w:right="140"/>
              <w:rPr>
                <w:sz w:val="18"/>
              </w:rPr>
            </w:pPr>
            <w:r>
              <w:rPr>
                <w:color w:val="105C84"/>
                <w:sz w:val="18"/>
              </w:rPr>
              <w:t>and</w:t>
            </w:r>
            <w:r>
              <w:rPr>
                <w:color w:val="105C84"/>
                <w:spacing w:val="-13"/>
                <w:sz w:val="18"/>
              </w:rPr>
              <w:t> </w:t>
            </w:r>
            <w:r>
              <w:rPr>
                <w:color w:val="105C84"/>
                <w:sz w:val="18"/>
              </w:rPr>
              <w:t>Food </w:t>
            </w:r>
            <w:r>
              <w:rPr>
                <w:color w:val="105C84"/>
                <w:spacing w:val="-2"/>
                <w:sz w:val="18"/>
              </w:rPr>
              <w:t>Security</w:t>
            </w:r>
          </w:p>
        </w:tc>
        <w:tc>
          <w:tcPr>
            <w:tcW w:w="1426" w:type="dxa"/>
          </w:tcPr>
          <w:p>
            <w:pPr>
              <w:pStyle w:val="TableParagraph"/>
              <w:spacing w:line="232" w:lineRule="auto" w:before="101"/>
              <w:ind w:left="89"/>
              <w:rPr>
                <w:sz w:val="18"/>
              </w:rPr>
            </w:pPr>
            <w:r>
              <w:rPr>
                <w:color w:val="105C84"/>
                <w:sz w:val="18"/>
              </w:rPr>
              <w:t>1.3 Increase </w:t>
            </w:r>
            <w:r>
              <w:rPr>
                <w:color w:val="105C84"/>
                <w:spacing w:val="-2"/>
                <w:sz w:val="18"/>
              </w:rPr>
              <w:t>Food</w:t>
            </w:r>
            <w:r>
              <w:rPr>
                <w:color w:val="105C84"/>
                <w:spacing w:val="-11"/>
                <w:sz w:val="18"/>
              </w:rPr>
              <w:t> </w:t>
            </w:r>
            <w:r>
              <w:rPr>
                <w:color w:val="105C84"/>
                <w:spacing w:val="-2"/>
                <w:sz w:val="18"/>
              </w:rPr>
              <w:t>Securit</w:t>
            </w:r>
            <w:r>
              <w:rPr>
                <w:color w:val="105C84"/>
                <w:spacing w:val="-2"/>
                <w:sz w:val="18"/>
              </w:rPr>
              <w:t>y</w:t>
            </w:r>
          </w:p>
        </w:tc>
        <w:tc>
          <w:tcPr>
            <w:tcW w:w="2592" w:type="dxa"/>
          </w:tcPr>
          <w:p>
            <w:pPr>
              <w:pStyle w:val="TableParagraph"/>
              <w:spacing w:line="232" w:lineRule="auto" w:before="101"/>
              <w:ind w:left="89" w:right="131"/>
              <w:rPr>
                <w:sz w:val="18"/>
              </w:rPr>
            </w:pPr>
            <w:r>
              <w:rPr>
                <w:color w:val="105C84"/>
                <w:sz w:val="18"/>
              </w:rPr>
              <w:t>1.14 By December 2021, increase the percentage of adults with perceived food security (among adults with an</w:t>
            </w:r>
            <w:r>
              <w:rPr>
                <w:color w:val="105C84"/>
                <w:spacing w:val="-13"/>
                <w:sz w:val="18"/>
              </w:rPr>
              <w:t> </w:t>
            </w:r>
            <w:r>
              <w:rPr>
                <w:color w:val="105C84"/>
                <w:sz w:val="18"/>
              </w:rPr>
              <w:t>annual</w:t>
            </w:r>
            <w:r>
              <w:rPr>
                <w:color w:val="105C84"/>
                <w:spacing w:val="-12"/>
                <w:sz w:val="18"/>
              </w:rPr>
              <w:t> </w:t>
            </w:r>
            <w:r>
              <w:rPr>
                <w:color w:val="105C84"/>
                <w:sz w:val="18"/>
              </w:rPr>
              <w:t>household</w:t>
            </w:r>
            <w:r>
              <w:rPr>
                <w:color w:val="105C84"/>
                <w:spacing w:val="-13"/>
                <w:sz w:val="18"/>
              </w:rPr>
              <w:t> </w:t>
            </w:r>
            <w:r>
              <w:rPr>
                <w:color w:val="105C84"/>
                <w:sz w:val="18"/>
              </w:rPr>
              <w:t>income</w:t>
            </w:r>
            <w:r>
              <w:rPr>
                <w:color w:val="105C84"/>
                <w:sz w:val="18"/>
              </w:rPr>
              <w:t> of &lt;$25,000) by 2%</w:t>
            </w:r>
          </w:p>
        </w:tc>
        <w:tc>
          <w:tcPr>
            <w:tcW w:w="1267" w:type="dxa"/>
          </w:tcPr>
          <w:p>
            <w:pPr>
              <w:pStyle w:val="TableParagraph"/>
              <w:spacing w:line="232" w:lineRule="auto" w:before="101"/>
              <w:ind w:left="89"/>
              <w:rPr>
                <w:sz w:val="18"/>
              </w:rPr>
            </w:pPr>
            <w:r>
              <w:rPr>
                <w:color w:val="105C84"/>
                <w:spacing w:val="-8"/>
                <w:sz w:val="18"/>
              </w:rPr>
              <w:t>Low</w:t>
            </w:r>
            <w:r>
              <w:rPr>
                <w:color w:val="105C84"/>
                <w:spacing w:val="-7"/>
                <w:sz w:val="18"/>
              </w:rPr>
              <w:t> </w:t>
            </w:r>
            <w:r>
              <w:rPr>
                <w:color w:val="105C84"/>
                <w:spacing w:val="-8"/>
                <w:sz w:val="18"/>
              </w:rPr>
              <w:t>SES</w:t>
            </w:r>
            <w:r>
              <w:rPr>
                <w:color w:val="105C84"/>
                <w:spacing w:val="-4"/>
                <w:sz w:val="18"/>
              </w:rPr>
              <w:t> </w:t>
            </w:r>
            <w:r>
              <w:rPr>
                <w:color w:val="105C84"/>
                <w:spacing w:val="-8"/>
                <w:sz w:val="18"/>
              </w:rPr>
              <w:t>and </w:t>
            </w:r>
            <w:r>
              <w:rPr>
                <w:color w:val="105C84"/>
                <w:sz w:val="18"/>
              </w:rPr>
              <w:t>older adults</w:t>
            </w:r>
          </w:p>
        </w:tc>
        <w:tc>
          <w:tcPr>
            <w:tcW w:w="7769" w:type="dxa"/>
            <w:gridSpan w:val="2"/>
          </w:tcPr>
          <w:p>
            <w:pPr>
              <w:pStyle w:val="TableParagraph"/>
              <w:tabs>
                <w:tab w:pos="4787" w:val="left" w:leader="none"/>
              </w:tabs>
              <w:spacing w:line="203" w:lineRule="exact" w:before="96"/>
              <w:ind w:left="89"/>
              <w:rPr>
                <w:sz w:val="18"/>
              </w:rPr>
            </w:pPr>
            <w:r>
              <w:rPr>
                <w:color w:val="105C84"/>
                <w:sz w:val="18"/>
              </w:rPr>
              <w:t>1.0.6</w:t>
            </w:r>
            <w:r>
              <w:rPr>
                <w:color w:val="105C84"/>
                <w:spacing w:val="-11"/>
                <w:sz w:val="18"/>
              </w:rPr>
              <w:t> </w:t>
            </w:r>
            <w:r>
              <w:rPr>
                <w:color w:val="105C84"/>
                <w:sz w:val="18"/>
              </w:rPr>
              <w:t>Screen</w:t>
            </w:r>
            <w:r>
              <w:rPr>
                <w:color w:val="105C84"/>
                <w:spacing w:val="-11"/>
                <w:sz w:val="18"/>
              </w:rPr>
              <w:t> </w:t>
            </w:r>
            <w:r>
              <w:rPr>
                <w:color w:val="105C84"/>
                <w:sz w:val="18"/>
              </w:rPr>
              <w:t>for</w:t>
            </w:r>
            <w:r>
              <w:rPr>
                <w:color w:val="105C84"/>
                <w:spacing w:val="-10"/>
                <w:sz w:val="18"/>
              </w:rPr>
              <w:t> </w:t>
            </w:r>
            <w:r>
              <w:rPr>
                <w:color w:val="105C84"/>
                <w:sz w:val="18"/>
              </w:rPr>
              <w:t>food</w:t>
            </w:r>
            <w:r>
              <w:rPr>
                <w:color w:val="105C84"/>
                <w:spacing w:val="-11"/>
                <w:sz w:val="18"/>
              </w:rPr>
              <w:t> </w:t>
            </w:r>
            <w:r>
              <w:rPr>
                <w:color w:val="105C84"/>
                <w:spacing w:val="-2"/>
                <w:sz w:val="18"/>
              </w:rPr>
              <w:t>insecurity,</w:t>
            </w:r>
            <w:r>
              <w:rPr>
                <w:color w:val="105C84"/>
                <w:sz w:val="18"/>
              </w:rPr>
              <w:tab/>
              <w:t>Monitor</w:t>
            </w:r>
            <w:r>
              <w:rPr>
                <w:color w:val="105C84"/>
                <w:spacing w:val="15"/>
                <w:sz w:val="18"/>
              </w:rPr>
              <w:t> </w:t>
            </w:r>
            <w:r>
              <w:rPr>
                <w:color w:val="105C84"/>
                <w:sz w:val="18"/>
              </w:rPr>
              <w:t>number</w:t>
            </w:r>
            <w:r>
              <w:rPr>
                <w:color w:val="105C84"/>
                <w:spacing w:val="15"/>
                <w:sz w:val="18"/>
              </w:rPr>
              <w:t> </w:t>
            </w:r>
            <w:r>
              <w:rPr>
                <w:color w:val="105C84"/>
                <w:sz w:val="18"/>
              </w:rPr>
              <w:t>of</w:t>
            </w:r>
            <w:r>
              <w:rPr>
                <w:color w:val="105C84"/>
                <w:spacing w:val="15"/>
                <w:sz w:val="18"/>
              </w:rPr>
              <w:t> </w:t>
            </w:r>
            <w:r>
              <w:rPr>
                <w:color w:val="105C84"/>
                <w:spacing w:val="-2"/>
                <w:sz w:val="18"/>
              </w:rPr>
              <w:t>education</w:t>
            </w:r>
          </w:p>
          <w:p>
            <w:pPr>
              <w:pStyle w:val="TableParagraph"/>
              <w:tabs>
                <w:tab w:pos="4787" w:val="left" w:leader="none"/>
              </w:tabs>
              <w:spacing w:line="200" w:lineRule="exact"/>
              <w:ind w:left="89"/>
              <w:rPr>
                <w:sz w:val="18"/>
              </w:rPr>
            </w:pPr>
            <w:r>
              <w:rPr>
                <w:color w:val="105C84"/>
                <w:sz w:val="18"/>
              </w:rPr>
              <w:t>facilitate</w:t>
            </w:r>
            <w:r>
              <w:rPr>
                <w:color w:val="105C84"/>
                <w:spacing w:val="-3"/>
                <w:sz w:val="18"/>
              </w:rPr>
              <w:t> </w:t>
            </w:r>
            <w:r>
              <w:rPr>
                <w:color w:val="105C84"/>
                <w:sz w:val="18"/>
              </w:rPr>
              <w:t>and</w:t>
            </w:r>
            <w:r>
              <w:rPr>
                <w:color w:val="105C84"/>
                <w:spacing w:val="-3"/>
                <w:sz w:val="18"/>
              </w:rPr>
              <w:t> </w:t>
            </w:r>
            <w:r>
              <w:rPr>
                <w:color w:val="105C84"/>
                <w:sz w:val="18"/>
              </w:rPr>
              <w:t>actively</w:t>
            </w:r>
            <w:r>
              <w:rPr>
                <w:color w:val="105C84"/>
                <w:spacing w:val="-3"/>
                <w:sz w:val="18"/>
              </w:rPr>
              <w:t> </w:t>
            </w:r>
            <w:r>
              <w:rPr>
                <w:color w:val="105C84"/>
                <w:spacing w:val="-2"/>
                <w:sz w:val="18"/>
              </w:rPr>
              <w:t>support</w:t>
            </w:r>
            <w:r>
              <w:rPr>
                <w:color w:val="105C84"/>
                <w:sz w:val="18"/>
              </w:rPr>
              <w:tab/>
              <w:t>sessions</w:t>
            </w:r>
            <w:r>
              <w:rPr>
                <w:color w:val="105C84"/>
                <w:spacing w:val="-12"/>
                <w:sz w:val="18"/>
              </w:rPr>
              <w:t> </w:t>
            </w:r>
            <w:r>
              <w:rPr>
                <w:color w:val="105C84"/>
                <w:sz w:val="18"/>
              </w:rPr>
              <w:t>with</w:t>
            </w:r>
            <w:r>
              <w:rPr>
                <w:color w:val="105C84"/>
                <w:spacing w:val="-12"/>
                <w:sz w:val="18"/>
              </w:rPr>
              <w:t> </w:t>
            </w:r>
            <w:r>
              <w:rPr>
                <w:color w:val="105C84"/>
                <w:sz w:val="18"/>
              </w:rPr>
              <w:t>focus</w:t>
            </w:r>
            <w:r>
              <w:rPr>
                <w:color w:val="105C84"/>
                <w:spacing w:val="-12"/>
                <w:sz w:val="18"/>
              </w:rPr>
              <w:t> </w:t>
            </w:r>
            <w:r>
              <w:rPr>
                <w:color w:val="105C84"/>
                <w:sz w:val="18"/>
              </w:rPr>
              <w:t>on</w:t>
            </w:r>
            <w:r>
              <w:rPr>
                <w:color w:val="105C84"/>
                <w:spacing w:val="-11"/>
                <w:sz w:val="18"/>
              </w:rPr>
              <w:t> </w:t>
            </w:r>
            <w:r>
              <w:rPr>
                <w:color w:val="105C84"/>
                <w:sz w:val="18"/>
              </w:rPr>
              <w:t>low</w:t>
            </w:r>
            <w:r>
              <w:rPr>
                <w:color w:val="105C84"/>
                <w:spacing w:val="-12"/>
                <w:sz w:val="18"/>
              </w:rPr>
              <w:t> </w:t>
            </w:r>
            <w:r>
              <w:rPr>
                <w:color w:val="105C84"/>
                <w:spacing w:val="-2"/>
                <w:sz w:val="18"/>
              </w:rPr>
              <w:t>income,</w:t>
            </w:r>
          </w:p>
          <w:p>
            <w:pPr>
              <w:pStyle w:val="TableParagraph"/>
              <w:tabs>
                <w:tab w:pos="4787" w:val="left" w:leader="none"/>
              </w:tabs>
              <w:spacing w:line="203" w:lineRule="exact"/>
              <w:ind w:left="89"/>
              <w:rPr>
                <w:sz w:val="18"/>
              </w:rPr>
            </w:pPr>
            <w:r>
              <w:rPr>
                <w:color w:val="105C84"/>
                <w:spacing w:val="-2"/>
                <w:sz w:val="18"/>
              </w:rPr>
              <w:t>referral.</w:t>
            </w:r>
            <w:r>
              <w:rPr>
                <w:color w:val="105C84"/>
                <w:sz w:val="18"/>
              </w:rPr>
              <w:tab/>
              <w:t>high</w:t>
            </w:r>
            <w:r>
              <w:rPr>
                <w:color w:val="105C84"/>
                <w:spacing w:val="5"/>
                <w:sz w:val="18"/>
              </w:rPr>
              <w:t> </w:t>
            </w:r>
            <w:r>
              <w:rPr>
                <w:color w:val="105C84"/>
                <w:sz w:val="18"/>
              </w:rPr>
              <w:t>need</w:t>
            </w:r>
            <w:r>
              <w:rPr>
                <w:color w:val="105C84"/>
                <w:spacing w:val="5"/>
                <w:sz w:val="18"/>
              </w:rPr>
              <w:t> </w:t>
            </w:r>
            <w:r>
              <w:rPr>
                <w:color w:val="105C84"/>
                <w:spacing w:val="-4"/>
                <w:sz w:val="18"/>
              </w:rPr>
              <w:t>area</w:t>
            </w:r>
          </w:p>
          <w:p>
            <w:pPr>
              <w:pStyle w:val="TableParagraph"/>
              <w:spacing w:line="232" w:lineRule="auto" w:before="88"/>
              <w:ind w:left="4787" w:right="786"/>
              <w:rPr>
                <w:sz w:val="18"/>
              </w:rPr>
            </w:pPr>
            <w:r>
              <w:rPr>
                <w:color w:val="105C84"/>
                <w:sz w:val="18"/>
              </w:rPr>
              <w:t>Baseline: 34 adult direct</w:t>
            </w:r>
            <w:r>
              <w:rPr>
                <w:color w:val="105C84"/>
                <w:spacing w:val="40"/>
                <w:sz w:val="18"/>
              </w:rPr>
              <w:t> </w:t>
            </w:r>
            <w:r>
              <w:rPr>
                <w:color w:val="105C84"/>
                <w:spacing w:val="-2"/>
                <w:sz w:val="18"/>
              </w:rPr>
              <w:t>ed.</w:t>
            </w:r>
            <w:r>
              <w:rPr>
                <w:color w:val="105C84"/>
                <w:spacing w:val="-13"/>
                <w:sz w:val="18"/>
              </w:rPr>
              <w:t> </w:t>
            </w:r>
            <w:r>
              <w:rPr>
                <w:color w:val="105C84"/>
                <w:spacing w:val="-2"/>
                <w:sz w:val="18"/>
              </w:rPr>
              <w:t>sessions</w:t>
            </w:r>
            <w:r>
              <w:rPr>
                <w:color w:val="105C84"/>
                <w:spacing w:val="-10"/>
                <w:sz w:val="18"/>
              </w:rPr>
              <w:t> </w:t>
            </w:r>
            <w:r>
              <w:rPr>
                <w:color w:val="105C84"/>
                <w:spacing w:val="-2"/>
                <w:sz w:val="18"/>
              </w:rPr>
              <w:t>with</w:t>
            </w:r>
            <w:r>
              <w:rPr>
                <w:color w:val="105C84"/>
                <w:spacing w:val="-11"/>
                <w:sz w:val="18"/>
              </w:rPr>
              <w:t> </w:t>
            </w:r>
            <w:r>
              <w:rPr>
                <w:color w:val="105C84"/>
                <w:spacing w:val="-2"/>
                <w:sz w:val="18"/>
              </w:rPr>
              <w:t>468</w:t>
            </w:r>
            <w:r>
              <w:rPr>
                <w:color w:val="105C84"/>
                <w:spacing w:val="-10"/>
                <w:sz w:val="18"/>
              </w:rPr>
              <w:t> </w:t>
            </w:r>
            <w:r>
              <w:rPr>
                <w:color w:val="105C84"/>
                <w:spacing w:val="-2"/>
                <w:sz w:val="18"/>
              </w:rPr>
              <w:t>adults</w:t>
            </w:r>
          </w:p>
          <w:p>
            <w:pPr>
              <w:pStyle w:val="TableParagraph"/>
              <w:spacing w:line="232" w:lineRule="auto"/>
              <w:ind w:left="4787" w:right="173"/>
              <w:rPr>
                <w:sz w:val="18"/>
              </w:rPr>
            </w:pPr>
            <w:r>
              <w:rPr>
                <w:color w:val="105C84"/>
                <w:sz w:val="18"/>
              </w:rPr>
              <w:t>participants, 22 adult indirect education sessions with 500 adult participants,</w:t>
            </w:r>
            <w:r>
              <w:rPr>
                <w:color w:val="105C84"/>
                <w:spacing w:val="-9"/>
                <w:sz w:val="18"/>
              </w:rPr>
              <w:t> </w:t>
            </w:r>
            <w:r>
              <w:rPr>
                <w:color w:val="105C84"/>
                <w:sz w:val="18"/>
              </w:rPr>
              <w:t>240</w:t>
            </w:r>
            <w:r>
              <w:rPr>
                <w:color w:val="105C84"/>
                <w:spacing w:val="-9"/>
                <w:sz w:val="18"/>
              </w:rPr>
              <w:t> </w:t>
            </w:r>
            <w:r>
              <w:rPr>
                <w:color w:val="105C84"/>
                <w:sz w:val="18"/>
              </w:rPr>
              <w:t>youth</w:t>
            </w:r>
            <w:r>
              <w:rPr>
                <w:color w:val="105C84"/>
                <w:spacing w:val="-9"/>
                <w:sz w:val="18"/>
              </w:rPr>
              <w:t> </w:t>
            </w:r>
            <w:r>
              <w:rPr>
                <w:color w:val="105C84"/>
                <w:sz w:val="18"/>
              </w:rPr>
              <w:t>participants reached with direct education-</w:t>
            </w:r>
            <w:r>
              <w:rPr>
                <w:color w:val="105C84"/>
                <w:spacing w:val="-2"/>
                <w:sz w:val="18"/>
              </w:rPr>
              <w:t>FLESNY;</w:t>
            </w:r>
            <w:r>
              <w:rPr>
                <w:color w:val="105C84"/>
                <w:spacing w:val="-11"/>
                <w:sz w:val="18"/>
              </w:rPr>
              <w:t> </w:t>
            </w:r>
            <w:r>
              <w:rPr>
                <w:color w:val="105C84"/>
                <w:spacing w:val="-2"/>
                <w:sz w:val="18"/>
              </w:rPr>
              <w:t>and</w:t>
            </w:r>
            <w:r>
              <w:rPr>
                <w:color w:val="105C84"/>
                <w:spacing w:val="-10"/>
                <w:sz w:val="18"/>
              </w:rPr>
              <w:t> </w:t>
            </w:r>
            <w:r>
              <w:rPr>
                <w:color w:val="105C84"/>
                <w:spacing w:val="-2"/>
                <w:sz w:val="18"/>
              </w:rPr>
              <w:t>6</w:t>
            </w:r>
            <w:r>
              <w:rPr>
                <w:color w:val="105C84"/>
                <w:spacing w:val="-11"/>
                <w:sz w:val="18"/>
              </w:rPr>
              <w:t> </w:t>
            </w:r>
            <w:r>
              <w:rPr>
                <w:color w:val="105C84"/>
                <w:spacing w:val="-2"/>
                <w:sz w:val="18"/>
              </w:rPr>
              <w:t>sessions</w:t>
            </w:r>
            <w:r>
              <w:rPr>
                <w:color w:val="105C84"/>
                <w:spacing w:val="-10"/>
                <w:sz w:val="18"/>
              </w:rPr>
              <w:t> </w:t>
            </w:r>
            <w:r>
              <w:rPr>
                <w:color w:val="105C84"/>
                <w:spacing w:val="-2"/>
                <w:sz w:val="18"/>
              </w:rPr>
              <w:t>of</w:t>
            </w:r>
            <w:r>
              <w:rPr>
                <w:color w:val="105C84"/>
                <w:spacing w:val="-11"/>
                <w:sz w:val="18"/>
              </w:rPr>
              <w:t> </w:t>
            </w:r>
            <w:r>
              <w:rPr>
                <w:color w:val="105C84"/>
                <w:spacing w:val="-2"/>
                <w:sz w:val="18"/>
              </w:rPr>
              <w:t>nutrition </w:t>
            </w:r>
            <w:r>
              <w:rPr>
                <w:color w:val="105C84"/>
                <w:sz w:val="18"/>
              </w:rPr>
              <w:t>education</w:t>
            </w:r>
            <w:r>
              <w:rPr>
                <w:color w:val="105C84"/>
                <w:spacing w:val="7"/>
                <w:sz w:val="18"/>
              </w:rPr>
              <w:t> </w:t>
            </w:r>
            <w:r>
              <w:rPr>
                <w:color w:val="105C84"/>
                <w:sz w:val="18"/>
              </w:rPr>
              <w:t>at</w:t>
            </w:r>
            <w:r>
              <w:rPr>
                <w:color w:val="105C84"/>
                <w:spacing w:val="8"/>
                <w:sz w:val="18"/>
              </w:rPr>
              <w:t> </w:t>
            </w:r>
            <w:r>
              <w:rPr>
                <w:color w:val="105C84"/>
                <w:sz w:val="18"/>
              </w:rPr>
              <w:t>Senior</w:t>
            </w:r>
            <w:r>
              <w:rPr>
                <w:color w:val="105C84"/>
                <w:spacing w:val="8"/>
                <w:sz w:val="18"/>
              </w:rPr>
              <w:t> </w:t>
            </w:r>
            <w:r>
              <w:rPr>
                <w:color w:val="105C84"/>
                <w:sz w:val="18"/>
              </w:rPr>
              <w:t>Nutrition</w:t>
            </w:r>
            <w:r>
              <w:rPr>
                <w:color w:val="105C84"/>
                <w:spacing w:val="8"/>
                <w:sz w:val="18"/>
              </w:rPr>
              <w:t> </w:t>
            </w:r>
            <w:r>
              <w:rPr>
                <w:color w:val="105C84"/>
                <w:spacing w:val="-2"/>
                <w:sz w:val="18"/>
              </w:rPr>
              <w:t>Sites</w:t>
            </w:r>
          </w:p>
          <w:p>
            <w:pPr>
              <w:pStyle w:val="TableParagraph"/>
              <w:spacing w:line="197" w:lineRule="exact"/>
              <w:ind w:left="4787"/>
              <w:rPr>
                <w:sz w:val="18"/>
              </w:rPr>
            </w:pPr>
            <w:r>
              <w:rPr>
                <w:color w:val="105C84"/>
                <w:spacing w:val="-4"/>
                <w:sz w:val="18"/>
              </w:rPr>
              <w:t>-</w:t>
            </w:r>
            <w:r>
              <w:rPr>
                <w:color w:val="105C84"/>
                <w:spacing w:val="-6"/>
                <w:sz w:val="18"/>
              </w:rPr>
              <w:t> </w:t>
            </w:r>
            <w:r>
              <w:rPr>
                <w:color w:val="105C84"/>
                <w:spacing w:val="-4"/>
                <w:sz w:val="18"/>
              </w:rPr>
              <w:t>CCE-</w:t>
            </w:r>
            <w:r>
              <w:rPr>
                <w:color w:val="105C84"/>
                <w:spacing w:val="-6"/>
                <w:sz w:val="18"/>
              </w:rPr>
              <w:t> </w:t>
            </w:r>
            <w:r>
              <w:rPr>
                <w:color w:val="105C84"/>
                <w:spacing w:val="-4"/>
                <w:sz w:val="18"/>
              </w:rPr>
              <w:t>2018</w:t>
            </w:r>
          </w:p>
          <w:p>
            <w:pPr>
              <w:pStyle w:val="TableParagraph"/>
              <w:spacing w:line="232" w:lineRule="auto" w:before="86"/>
              <w:ind w:left="4787" w:right="490"/>
              <w:rPr>
                <w:sz w:val="18"/>
              </w:rPr>
            </w:pPr>
            <w:r>
              <w:rPr>
                <w:color w:val="105C84"/>
                <w:sz w:val="18"/>
              </w:rPr>
              <w:t>Baseline: 5.2%of population with low income and low access to supermarket or </w:t>
            </w:r>
            <w:r>
              <w:rPr>
                <w:color w:val="105C84"/>
                <w:spacing w:val="-4"/>
                <w:sz w:val="18"/>
              </w:rPr>
              <w:t>grocery</w:t>
            </w:r>
            <w:r>
              <w:rPr>
                <w:color w:val="105C84"/>
                <w:spacing w:val="-9"/>
                <w:sz w:val="18"/>
              </w:rPr>
              <w:t> </w:t>
            </w:r>
            <w:r>
              <w:rPr>
                <w:color w:val="105C84"/>
                <w:spacing w:val="-4"/>
                <w:sz w:val="18"/>
              </w:rPr>
              <w:t>store-</w:t>
            </w:r>
            <w:r>
              <w:rPr>
                <w:color w:val="105C84"/>
                <w:spacing w:val="-8"/>
                <w:sz w:val="18"/>
              </w:rPr>
              <w:t> </w:t>
            </w:r>
            <w:r>
              <w:rPr>
                <w:color w:val="105C84"/>
                <w:spacing w:val="-4"/>
                <w:sz w:val="18"/>
              </w:rPr>
              <w:t>2015</w:t>
            </w:r>
            <w:r>
              <w:rPr>
                <w:color w:val="105C84"/>
                <w:spacing w:val="-9"/>
                <w:sz w:val="18"/>
              </w:rPr>
              <w:t> </w:t>
            </w:r>
            <w:r>
              <w:rPr>
                <w:color w:val="105C84"/>
                <w:spacing w:val="-4"/>
                <w:sz w:val="18"/>
              </w:rPr>
              <w:t>NYSCHIRS </w:t>
            </w:r>
            <w:r>
              <w:rPr>
                <w:color w:val="105C84"/>
                <w:sz w:val="18"/>
              </w:rPr>
              <w:t>Monitor utilization of Curbside </w:t>
            </w:r>
            <w:r>
              <w:rPr>
                <w:color w:val="105C84"/>
                <w:spacing w:val="-2"/>
                <w:sz w:val="18"/>
              </w:rPr>
              <w:t>Markets</w:t>
            </w:r>
          </w:p>
          <w:p>
            <w:pPr>
              <w:pStyle w:val="TableParagraph"/>
              <w:spacing w:line="232" w:lineRule="auto" w:before="85"/>
              <w:ind w:left="4787" w:right="173"/>
              <w:rPr>
                <w:sz w:val="18"/>
              </w:rPr>
            </w:pPr>
            <w:r>
              <w:rPr>
                <w:color w:val="105C84"/>
                <w:spacing w:val="-2"/>
                <w:sz w:val="18"/>
              </w:rPr>
              <w:t>Baseline:</w:t>
            </w:r>
            <w:r>
              <w:rPr>
                <w:color w:val="105C84"/>
                <w:spacing w:val="-10"/>
                <w:sz w:val="18"/>
              </w:rPr>
              <w:t> </w:t>
            </w:r>
            <w:r>
              <w:rPr>
                <w:color w:val="105C84"/>
                <w:spacing w:val="-2"/>
                <w:sz w:val="18"/>
              </w:rPr>
              <w:t>39</w:t>
            </w:r>
            <w:r>
              <w:rPr>
                <w:color w:val="105C84"/>
                <w:spacing w:val="-10"/>
                <w:sz w:val="18"/>
              </w:rPr>
              <w:t> </w:t>
            </w:r>
            <w:r>
              <w:rPr>
                <w:color w:val="105C84"/>
                <w:spacing w:val="-2"/>
                <w:sz w:val="18"/>
              </w:rPr>
              <w:t>sites</w:t>
            </w:r>
            <w:r>
              <w:rPr>
                <w:color w:val="105C84"/>
                <w:spacing w:val="-10"/>
                <w:sz w:val="18"/>
              </w:rPr>
              <w:t> </w:t>
            </w:r>
            <w:r>
              <w:rPr>
                <w:color w:val="105C84"/>
                <w:spacing w:val="-2"/>
                <w:sz w:val="18"/>
              </w:rPr>
              <w:t>for</w:t>
            </w:r>
            <w:r>
              <w:rPr>
                <w:color w:val="105C84"/>
                <w:spacing w:val="-10"/>
                <w:sz w:val="18"/>
              </w:rPr>
              <w:t> </w:t>
            </w:r>
            <w:r>
              <w:rPr>
                <w:color w:val="105C84"/>
                <w:spacing w:val="-2"/>
                <w:sz w:val="18"/>
              </w:rPr>
              <w:t>13</w:t>
            </w:r>
            <w:r>
              <w:rPr>
                <w:color w:val="105C84"/>
                <w:spacing w:val="-10"/>
                <w:sz w:val="18"/>
              </w:rPr>
              <w:t> </w:t>
            </w:r>
            <w:r>
              <w:rPr>
                <w:color w:val="105C84"/>
                <w:spacing w:val="-2"/>
                <w:sz w:val="18"/>
              </w:rPr>
              <w:t>days</w:t>
            </w:r>
            <w:r>
              <w:rPr>
                <w:color w:val="105C84"/>
                <w:spacing w:val="-10"/>
                <w:sz w:val="18"/>
              </w:rPr>
              <w:t> </w:t>
            </w:r>
            <w:r>
              <w:rPr>
                <w:color w:val="105C84"/>
                <w:spacing w:val="-2"/>
                <w:sz w:val="18"/>
              </w:rPr>
              <w:t>with </w:t>
            </w:r>
            <w:r>
              <w:rPr>
                <w:color w:val="105C84"/>
                <w:sz w:val="18"/>
              </w:rPr>
              <w:t>338 people served, total sales</w:t>
            </w:r>
          </w:p>
          <w:p>
            <w:pPr>
              <w:pStyle w:val="TableParagraph"/>
              <w:spacing w:line="232" w:lineRule="auto"/>
              <w:ind w:left="4787" w:right="413"/>
              <w:rPr>
                <w:sz w:val="18"/>
              </w:rPr>
            </w:pPr>
            <w:r>
              <w:rPr>
                <w:color w:val="105C84"/>
                <w:sz w:val="18"/>
              </w:rPr>
              <w:t>$3,057.19- Curbside; 90 SNAP </w:t>
            </w:r>
            <w:r>
              <w:rPr>
                <w:color w:val="105C84"/>
                <w:spacing w:val="-2"/>
                <w:sz w:val="18"/>
              </w:rPr>
              <w:t>transitions</w:t>
            </w:r>
            <w:r>
              <w:rPr>
                <w:color w:val="105C84"/>
                <w:spacing w:val="-13"/>
                <w:sz w:val="18"/>
              </w:rPr>
              <w:t> </w:t>
            </w:r>
            <w:r>
              <w:rPr>
                <w:color w:val="105C84"/>
                <w:spacing w:val="-2"/>
                <w:sz w:val="18"/>
              </w:rPr>
              <w:t>with</w:t>
            </w:r>
            <w:r>
              <w:rPr>
                <w:color w:val="105C84"/>
                <w:spacing w:val="-10"/>
                <w:sz w:val="18"/>
              </w:rPr>
              <w:t> </w:t>
            </w:r>
            <w:r>
              <w:rPr>
                <w:color w:val="105C84"/>
                <w:spacing w:val="-2"/>
                <w:sz w:val="18"/>
              </w:rPr>
              <w:t>$668.76</w:t>
            </w:r>
            <w:r>
              <w:rPr>
                <w:color w:val="105C84"/>
                <w:spacing w:val="-11"/>
                <w:sz w:val="18"/>
              </w:rPr>
              <w:t> </w:t>
            </w:r>
            <w:r>
              <w:rPr>
                <w:color w:val="105C84"/>
                <w:spacing w:val="-2"/>
                <w:sz w:val="18"/>
              </w:rPr>
              <w:t>in</w:t>
            </w:r>
            <w:r>
              <w:rPr>
                <w:color w:val="105C84"/>
                <w:spacing w:val="-10"/>
                <w:sz w:val="18"/>
              </w:rPr>
              <w:t> </w:t>
            </w:r>
            <w:r>
              <w:rPr>
                <w:color w:val="105C84"/>
                <w:spacing w:val="-2"/>
                <w:sz w:val="18"/>
              </w:rPr>
              <w:t>SNAP </w:t>
            </w:r>
            <w:r>
              <w:rPr>
                <w:color w:val="105C84"/>
                <w:sz w:val="18"/>
              </w:rPr>
              <w:t>sales- Foodlink</w:t>
            </w:r>
          </w:p>
          <w:p>
            <w:pPr>
              <w:pStyle w:val="TableParagraph"/>
              <w:spacing w:line="232" w:lineRule="auto" w:before="86"/>
              <w:ind w:left="4787" w:right="490"/>
              <w:rPr>
                <w:sz w:val="18"/>
              </w:rPr>
            </w:pPr>
            <w:r>
              <w:rPr>
                <w:color w:val="105C84"/>
                <w:w w:val="105"/>
                <w:sz w:val="18"/>
              </w:rPr>
              <w:t>Create</w:t>
            </w:r>
            <w:r>
              <w:rPr>
                <w:color w:val="105C84"/>
                <w:spacing w:val="-11"/>
                <w:w w:val="105"/>
                <w:sz w:val="18"/>
              </w:rPr>
              <w:t> </w:t>
            </w:r>
            <w:r>
              <w:rPr>
                <w:color w:val="105C84"/>
                <w:w w:val="105"/>
                <w:sz w:val="18"/>
              </w:rPr>
              <w:t>service</w:t>
            </w:r>
            <w:r>
              <w:rPr>
                <w:color w:val="105C84"/>
                <w:spacing w:val="-11"/>
                <w:w w:val="105"/>
                <w:sz w:val="18"/>
              </w:rPr>
              <w:t> </w:t>
            </w:r>
            <w:r>
              <w:rPr>
                <w:color w:val="105C84"/>
                <w:w w:val="105"/>
                <w:sz w:val="18"/>
              </w:rPr>
              <w:t>guide</w:t>
            </w:r>
            <w:r>
              <w:rPr>
                <w:color w:val="105C84"/>
                <w:spacing w:val="-11"/>
                <w:w w:val="105"/>
                <w:sz w:val="18"/>
              </w:rPr>
              <w:t> </w:t>
            </w:r>
            <w:r>
              <w:rPr>
                <w:color w:val="105C84"/>
                <w:w w:val="105"/>
                <w:sz w:val="18"/>
              </w:rPr>
              <w:t>re:</w:t>
            </w:r>
            <w:r>
              <w:rPr>
                <w:color w:val="105C84"/>
                <w:spacing w:val="-11"/>
                <w:w w:val="105"/>
                <w:sz w:val="18"/>
              </w:rPr>
              <w:t> </w:t>
            </w:r>
            <w:r>
              <w:rPr>
                <w:color w:val="105C84"/>
                <w:w w:val="105"/>
                <w:sz w:val="18"/>
              </w:rPr>
              <w:t>food security, promote 2-1-1 and </w:t>
            </w:r>
            <w:r>
              <w:rPr>
                <w:color w:val="105C84"/>
                <w:sz w:val="18"/>
              </w:rPr>
              <w:t>NY</w:t>
            </w:r>
            <w:r>
              <w:rPr>
                <w:color w:val="105C84"/>
                <w:spacing w:val="-2"/>
                <w:sz w:val="18"/>
              </w:rPr>
              <w:t> </w:t>
            </w:r>
            <w:r>
              <w:rPr>
                <w:color w:val="105C84"/>
                <w:sz w:val="18"/>
              </w:rPr>
              <w:t>Connects</w:t>
            </w:r>
            <w:r>
              <w:rPr>
                <w:color w:val="105C84"/>
                <w:spacing w:val="-2"/>
                <w:sz w:val="18"/>
              </w:rPr>
              <w:t> </w:t>
            </w:r>
            <w:r>
              <w:rPr>
                <w:color w:val="105C84"/>
                <w:sz w:val="18"/>
              </w:rPr>
              <w:t>and</w:t>
            </w:r>
            <w:r>
              <w:rPr>
                <w:color w:val="105C84"/>
                <w:spacing w:val="-2"/>
                <w:sz w:val="18"/>
              </w:rPr>
              <w:t> </w:t>
            </w:r>
            <w:r>
              <w:rPr>
                <w:color w:val="105C84"/>
                <w:sz w:val="18"/>
              </w:rPr>
              <w:t>distribute</w:t>
            </w:r>
            <w:r>
              <w:rPr>
                <w:color w:val="105C84"/>
                <w:spacing w:val="-2"/>
                <w:sz w:val="18"/>
              </w:rPr>
              <w:t> </w:t>
            </w:r>
            <w:r>
              <w:rPr>
                <w:color w:val="105C84"/>
                <w:sz w:val="18"/>
              </w:rPr>
              <w:t>to</w:t>
            </w:r>
          </w:p>
          <w:p>
            <w:pPr>
              <w:pStyle w:val="TableParagraph"/>
              <w:spacing w:line="200" w:lineRule="exact"/>
              <w:ind w:left="4787"/>
              <w:rPr>
                <w:sz w:val="18"/>
              </w:rPr>
            </w:pPr>
            <w:r>
              <w:rPr>
                <w:color w:val="105C84"/>
                <w:sz w:val="18"/>
              </w:rPr>
              <w:t>community</w:t>
            </w:r>
            <w:r>
              <w:rPr>
                <w:color w:val="105C84"/>
                <w:spacing w:val="3"/>
                <w:sz w:val="18"/>
              </w:rPr>
              <w:t> </w:t>
            </w:r>
            <w:r>
              <w:rPr>
                <w:color w:val="105C84"/>
                <w:sz w:val="18"/>
              </w:rPr>
              <w:t>partners</w:t>
            </w:r>
            <w:r>
              <w:rPr>
                <w:color w:val="105C84"/>
                <w:spacing w:val="4"/>
                <w:sz w:val="18"/>
              </w:rPr>
              <w:t> </w:t>
            </w:r>
            <w:r>
              <w:rPr>
                <w:color w:val="105C84"/>
                <w:sz w:val="18"/>
              </w:rPr>
              <w:t>including</w:t>
            </w:r>
            <w:r>
              <w:rPr>
                <w:color w:val="105C84"/>
                <w:spacing w:val="4"/>
                <w:sz w:val="18"/>
              </w:rPr>
              <w:t> </w:t>
            </w:r>
            <w:r>
              <w:rPr>
                <w:color w:val="105C84"/>
                <w:spacing w:val="-4"/>
                <w:sz w:val="18"/>
              </w:rPr>
              <w:t>HCPs</w:t>
            </w:r>
          </w:p>
        </w:tc>
        <w:tc>
          <w:tcPr>
            <w:tcW w:w="1757" w:type="dxa"/>
          </w:tcPr>
          <w:p>
            <w:pPr>
              <w:pStyle w:val="TableParagraph"/>
              <w:spacing w:line="336" w:lineRule="auto" w:before="95"/>
              <w:ind w:left="89" w:right="1017"/>
              <w:rPr>
                <w:sz w:val="18"/>
              </w:rPr>
            </w:pPr>
            <w:r>
              <w:rPr>
                <w:color w:val="105C84"/>
                <w:spacing w:val="-4"/>
                <w:sz w:val="18"/>
              </w:rPr>
              <w:t>GVHP </w:t>
            </w:r>
            <w:r>
              <w:rPr>
                <w:color w:val="105C84"/>
                <w:spacing w:val="-2"/>
                <w:sz w:val="18"/>
              </w:rPr>
              <w:t>LCDOH</w:t>
            </w:r>
          </w:p>
          <w:p>
            <w:pPr>
              <w:pStyle w:val="TableParagraph"/>
              <w:spacing w:line="336" w:lineRule="auto" w:before="1"/>
              <w:ind w:left="89"/>
              <w:rPr>
                <w:sz w:val="18"/>
              </w:rPr>
            </w:pPr>
            <w:r>
              <w:rPr>
                <w:color w:val="105C84"/>
                <w:sz w:val="18"/>
              </w:rPr>
              <w:t>UR Med Noyes Office</w:t>
            </w:r>
            <w:r>
              <w:rPr>
                <w:color w:val="105C84"/>
                <w:spacing w:val="3"/>
                <w:sz w:val="18"/>
              </w:rPr>
              <w:t> </w:t>
            </w:r>
            <w:r>
              <w:rPr>
                <w:color w:val="105C84"/>
                <w:sz w:val="18"/>
              </w:rPr>
              <w:t>for</w:t>
            </w:r>
            <w:r>
              <w:rPr>
                <w:color w:val="105C84"/>
                <w:spacing w:val="3"/>
                <w:sz w:val="18"/>
              </w:rPr>
              <w:t> </w:t>
            </w:r>
            <w:r>
              <w:rPr>
                <w:color w:val="105C84"/>
                <w:spacing w:val="-2"/>
                <w:sz w:val="18"/>
              </w:rPr>
              <w:t>Aging</w:t>
            </w:r>
          </w:p>
          <w:p>
            <w:pPr>
              <w:pStyle w:val="TableParagraph"/>
              <w:spacing w:line="232" w:lineRule="auto" w:before="5"/>
              <w:ind w:left="89"/>
              <w:rPr>
                <w:sz w:val="18"/>
              </w:rPr>
            </w:pPr>
            <w:r>
              <w:rPr>
                <w:color w:val="105C84"/>
                <w:sz w:val="18"/>
              </w:rPr>
              <w:t>Food Security Coalition</w:t>
            </w:r>
            <w:r>
              <w:rPr>
                <w:color w:val="105C84"/>
                <w:spacing w:val="-7"/>
                <w:sz w:val="18"/>
              </w:rPr>
              <w:t> </w:t>
            </w:r>
            <w:r>
              <w:rPr>
                <w:color w:val="105C84"/>
                <w:sz w:val="18"/>
              </w:rPr>
              <w:t>(Office</w:t>
            </w:r>
            <w:r>
              <w:rPr>
                <w:color w:val="105C84"/>
                <w:spacing w:val="-7"/>
                <w:sz w:val="18"/>
              </w:rPr>
              <w:t> </w:t>
            </w:r>
            <w:r>
              <w:rPr>
                <w:color w:val="105C84"/>
                <w:sz w:val="18"/>
              </w:rPr>
              <w:t>for Aging, Local Food Pantries, Cornell </w:t>
            </w:r>
            <w:r>
              <w:rPr>
                <w:color w:val="105C84"/>
                <w:spacing w:val="-2"/>
                <w:sz w:val="18"/>
              </w:rPr>
              <w:t>Cooperative Extension)</w:t>
            </w:r>
          </w:p>
          <w:p>
            <w:pPr>
              <w:pStyle w:val="TableParagraph"/>
              <w:spacing w:line="232" w:lineRule="auto" w:before="85"/>
              <w:ind w:left="89" w:right="426"/>
              <w:rPr>
                <w:sz w:val="18"/>
              </w:rPr>
            </w:pPr>
            <w:r>
              <w:rPr>
                <w:color w:val="105C84"/>
                <w:spacing w:val="-2"/>
                <w:sz w:val="18"/>
              </w:rPr>
              <w:t>Fingerlakes</w:t>
            </w:r>
            <w:r>
              <w:rPr>
                <w:color w:val="105C84"/>
                <w:spacing w:val="-11"/>
                <w:sz w:val="18"/>
              </w:rPr>
              <w:t> </w:t>
            </w:r>
            <w:r>
              <w:rPr>
                <w:color w:val="105C84"/>
                <w:spacing w:val="-2"/>
                <w:sz w:val="18"/>
              </w:rPr>
              <w:t>Eat </w:t>
            </w:r>
            <w:r>
              <w:rPr>
                <w:color w:val="105C84"/>
                <w:sz w:val="18"/>
              </w:rPr>
              <w:t>Smart NY</w:t>
            </w:r>
          </w:p>
          <w:p>
            <w:pPr>
              <w:pStyle w:val="TableParagraph"/>
              <w:spacing w:before="84"/>
              <w:ind w:left="89"/>
              <w:rPr>
                <w:sz w:val="18"/>
              </w:rPr>
            </w:pPr>
            <w:r>
              <w:rPr>
                <w:color w:val="105C84"/>
                <w:spacing w:val="-2"/>
                <w:sz w:val="18"/>
              </w:rPr>
              <w:t>Foodlink</w:t>
            </w:r>
          </w:p>
          <w:p>
            <w:pPr>
              <w:pStyle w:val="TableParagraph"/>
              <w:spacing w:line="232" w:lineRule="auto" w:before="88"/>
              <w:ind w:left="89"/>
              <w:rPr>
                <w:sz w:val="18"/>
              </w:rPr>
            </w:pPr>
            <w:r>
              <w:rPr>
                <w:color w:val="105C84"/>
                <w:spacing w:val="-2"/>
                <w:sz w:val="18"/>
              </w:rPr>
              <w:t>Legal</w:t>
            </w:r>
            <w:r>
              <w:rPr>
                <w:color w:val="105C84"/>
                <w:spacing w:val="-13"/>
                <w:sz w:val="18"/>
              </w:rPr>
              <w:t> </w:t>
            </w:r>
            <w:r>
              <w:rPr>
                <w:color w:val="105C84"/>
                <w:spacing w:val="-2"/>
                <w:sz w:val="18"/>
              </w:rPr>
              <w:t>Assistance</w:t>
            </w:r>
            <w:r>
              <w:rPr>
                <w:color w:val="105C84"/>
                <w:spacing w:val="-10"/>
                <w:sz w:val="18"/>
              </w:rPr>
              <w:t> </w:t>
            </w:r>
            <w:r>
              <w:rPr>
                <w:color w:val="105C84"/>
                <w:spacing w:val="-2"/>
                <w:sz w:val="18"/>
              </w:rPr>
              <w:t>of </w:t>
            </w:r>
            <w:r>
              <w:rPr>
                <w:color w:val="105C84"/>
                <w:spacing w:val="-4"/>
                <w:sz w:val="18"/>
              </w:rPr>
              <w:t>WNY</w:t>
            </w:r>
          </w:p>
          <w:p>
            <w:pPr>
              <w:pStyle w:val="TableParagraph"/>
              <w:spacing w:line="232" w:lineRule="auto" w:before="88"/>
              <w:ind w:left="89"/>
              <w:rPr>
                <w:sz w:val="18"/>
              </w:rPr>
            </w:pPr>
            <w:r>
              <w:rPr>
                <w:color w:val="105C84"/>
                <w:spacing w:val="-2"/>
                <w:sz w:val="18"/>
              </w:rPr>
              <w:t>Food</w:t>
            </w:r>
            <w:r>
              <w:rPr>
                <w:color w:val="105C84"/>
                <w:spacing w:val="-11"/>
                <w:sz w:val="18"/>
              </w:rPr>
              <w:t> </w:t>
            </w:r>
            <w:r>
              <w:rPr>
                <w:color w:val="105C84"/>
                <w:spacing w:val="-2"/>
                <w:sz w:val="18"/>
              </w:rPr>
              <w:t>Security Coalition</w:t>
            </w:r>
          </w:p>
        </w:tc>
        <w:tc>
          <w:tcPr>
            <w:tcW w:w="2967" w:type="dxa"/>
          </w:tcPr>
          <w:p>
            <w:pPr>
              <w:pStyle w:val="TableParagraph"/>
              <w:spacing w:before="95"/>
              <w:ind w:left="89"/>
              <w:rPr>
                <w:sz w:val="18"/>
              </w:rPr>
            </w:pPr>
            <w:r>
              <w:rPr>
                <w:color w:val="105C84"/>
                <w:spacing w:val="-6"/>
                <w:sz w:val="18"/>
              </w:rPr>
              <w:t>GVHP</w:t>
            </w:r>
            <w:r>
              <w:rPr>
                <w:color w:val="105C84"/>
                <w:spacing w:val="-5"/>
                <w:sz w:val="18"/>
              </w:rPr>
              <w:t> </w:t>
            </w:r>
            <w:r>
              <w:rPr>
                <w:color w:val="105C84"/>
                <w:spacing w:val="-6"/>
                <w:sz w:val="18"/>
              </w:rPr>
              <w:t>-</w:t>
            </w:r>
            <w:r>
              <w:rPr>
                <w:color w:val="105C84"/>
                <w:spacing w:val="-4"/>
                <w:sz w:val="18"/>
              </w:rPr>
              <w:t> </w:t>
            </w:r>
            <w:r>
              <w:rPr>
                <w:color w:val="105C84"/>
                <w:spacing w:val="-6"/>
                <w:sz w:val="18"/>
              </w:rPr>
              <w:t>$700</w:t>
            </w:r>
          </w:p>
          <w:p>
            <w:pPr>
              <w:pStyle w:val="TableParagraph"/>
              <w:spacing w:line="232" w:lineRule="auto" w:before="88"/>
              <w:ind w:left="89"/>
              <w:rPr>
                <w:sz w:val="18"/>
              </w:rPr>
            </w:pPr>
            <w:r>
              <w:rPr>
                <w:color w:val="105C84"/>
                <w:spacing w:val="-4"/>
                <w:sz w:val="18"/>
              </w:rPr>
              <w:t>LCDOH</w:t>
            </w:r>
            <w:r>
              <w:rPr>
                <w:color w:val="105C84"/>
                <w:spacing w:val="-7"/>
                <w:sz w:val="18"/>
              </w:rPr>
              <w:t> </w:t>
            </w:r>
            <w:r>
              <w:rPr>
                <w:color w:val="105C84"/>
                <w:spacing w:val="-4"/>
                <w:sz w:val="18"/>
              </w:rPr>
              <w:t>WIC</w:t>
            </w:r>
            <w:r>
              <w:rPr>
                <w:color w:val="105C84"/>
                <w:spacing w:val="-7"/>
                <w:sz w:val="18"/>
              </w:rPr>
              <w:t> </w:t>
            </w:r>
            <w:r>
              <w:rPr>
                <w:color w:val="105C84"/>
                <w:spacing w:val="-4"/>
                <w:sz w:val="18"/>
              </w:rPr>
              <w:t>-4</w:t>
            </w:r>
            <w:r>
              <w:rPr>
                <w:color w:val="105C84"/>
                <w:spacing w:val="-7"/>
                <w:sz w:val="18"/>
              </w:rPr>
              <w:t> </w:t>
            </w:r>
            <w:r>
              <w:rPr>
                <w:color w:val="105C84"/>
                <w:spacing w:val="-4"/>
                <w:sz w:val="18"/>
              </w:rPr>
              <w:t>FTEs-screen</w:t>
            </w:r>
            <w:r>
              <w:rPr>
                <w:color w:val="105C84"/>
                <w:spacing w:val="-7"/>
                <w:sz w:val="18"/>
              </w:rPr>
              <w:t> </w:t>
            </w:r>
            <w:r>
              <w:rPr>
                <w:color w:val="105C84"/>
                <w:spacing w:val="-4"/>
                <w:sz w:val="18"/>
              </w:rPr>
              <w:t>and </w:t>
            </w:r>
            <w:r>
              <w:rPr>
                <w:color w:val="105C84"/>
                <w:sz w:val="18"/>
              </w:rPr>
              <w:t>refer clients</w:t>
            </w:r>
          </w:p>
          <w:p>
            <w:pPr>
              <w:pStyle w:val="TableParagraph"/>
              <w:spacing w:line="232" w:lineRule="auto" w:before="88"/>
              <w:ind w:left="89"/>
              <w:rPr>
                <w:sz w:val="18"/>
              </w:rPr>
            </w:pPr>
            <w:r>
              <w:rPr>
                <w:color w:val="105C84"/>
                <w:sz w:val="18"/>
              </w:rPr>
              <w:t>LCDOH</w:t>
            </w:r>
            <w:r>
              <w:rPr>
                <w:color w:val="105C84"/>
                <w:spacing w:val="-15"/>
                <w:sz w:val="18"/>
              </w:rPr>
              <w:t> </w:t>
            </w:r>
            <w:r>
              <w:rPr>
                <w:color w:val="105C84"/>
                <w:sz w:val="18"/>
              </w:rPr>
              <w:t>and</w:t>
            </w:r>
            <w:r>
              <w:rPr>
                <w:color w:val="105C84"/>
                <w:spacing w:val="-12"/>
                <w:sz w:val="18"/>
              </w:rPr>
              <w:t> </w:t>
            </w:r>
            <w:r>
              <w:rPr>
                <w:color w:val="105C84"/>
                <w:sz w:val="18"/>
              </w:rPr>
              <w:t>UR</w:t>
            </w:r>
            <w:r>
              <w:rPr>
                <w:color w:val="105C84"/>
                <w:spacing w:val="-13"/>
                <w:sz w:val="18"/>
              </w:rPr>
              <w:t> </w:t>
            </w:r>
            <w:r>
              <w:rPr>
                <w:color w:val="105C84"/>
                <w:sz w:val="18"/>
              </w:rPr>
              <w:t>Med</w:t>
            </w:r>
            <w:r>
              <w:rPr>
                <w:color w:val="105C84"/>
                <w:spacing w:val="-12"/>
                <w:sz w:val="18"/>
              </w:rPr>
              <w:t> </w:t>
            </w:r>
            <w:r>
              <w:rPr>
                <w:color w:val="105C84"/>
                <w:sz w:val="18"/>
              </w:rPr>
              <w:t>Noyes-coordinate and promote</w:t>
            </w:r>
          </w:p>
          <w:p>
            <w:pPr>
              <w:pStyle w:val="TableParagraph"/>
              <w:spacing w:before="84"/>
              <w:ind w:left="89"/>
              <w:rPr>
                <w:sz w:val="18"/>
              </w:rPr>
            </w:pPr>
            <w:r>
              <w:rPr>
                <w:color w:val="105C84"/>
                <w:spacing w:val="-2"/>
                <w:sz w:val="18"/>
              </w:rPr>
              <w:t>UR</w:t>
            </w:r>
            <w:r>
              <w:rPr>
                <w:color w:val="105C84"/>
                <w:spacing w:val="-8"/>
                <w:sz w:val="18"/>
              </w:rPr>
              <w:t> </w:t>
            </w:r>
            <w:r>
              <w:rPr>
                <w:color w:val="105C84"/>
                <w:spacing w:val="-2"/>
                <w:sz w:val="18"/>
              </w:rPr>
              <w:t>Med</w:t>
            </w:r>
            <w:r>
              <w:rPr>
                <w:color w:val="105C84"/>
                <w:spacing w:val="-7"/>
                <w:sz w:val="18"/>
              </w:rPr>
              <w:t> </w:t>
            </w:r>
            <w:r>
              <w:rPr>
                <w:color w:val="105C84"/>
                <w:spacing w:val="-2"/>
                <w:sz w:val="18"/>
              </w:rPr>
              <w:t>Noyes-.05</w:t>
            </w:r>
            <w:r>
              <w:rPr>
                <w:color w:val="105C84"/>
                <w:spacing w:val="-8"/>
                <w:sz w:val="18"/>
              </w:rPr>
              <w:t> </w:t>
            </w:r>
            <w:r>
              <w:rPr>
                <w:color w:val="105C84"/>
                <w:spacing w:val="-5"/>
                <w:sz w:val="18"/>
              </w:rPr>
              <w:t>FTE</w:t>
            </w:r>
          </w:p>
          <w:p>
            <w:pPr>
              <w:pStyle w:val="TableParagraph"/>
              <w:spacing w:line="232" w:lineRule="auto" w:before="88"/>
              <w:ind w:left="89"/>
              <w:rPr>
                <w:sz w:val="18"/>
              </w:rPr>
            </w:pPr>
            <w:r>
              <w:rPr>
                <w:color w:val="105C84"/>
                <w:sz w:val="18"/>
              </w:rPr>
              <w:t>Food Security Committee info sharing,</w:t>
            </w:r>
            <w:r>
              <w:rPr>
                <w:color w:val="105C84"/>
                <w:spacing w:val="-1"/>
                <w:sz w:val="18"/>
              </w:rPr>
              <w:t> </w:t>
            </w:r>
            <w:r>
              <w:rPr>
                <w:color w:val="105C84"/>
                <w:sz w:val="18"/>
              </w:rPr>
              <w:t>collaboration,</w:t>
            </w:r>
            <w:r>
              <w:rPr>
                <w:color w:val="105C84"/>
                <w:spacing w:val="-1"/>
                <w:sz w:val="18"/>
              </w:rPr>
              <w:t> </w:t>
            </w:r>
            <w:r>
              <w:rPr>
                <w:color w:val="105C84"/>
                <w:sz w:val="18"/>
              </w:rPr>
              <w:t>networking</w:t>
            </w:r>
          </w:p>
          <w:p>
            <w:pPr>
              <w:pStyle w:val="TableParagraph"/>
              <w:spacing w:line="336" w:lineRule="auto" w:before="83"/>
              <w:ind w:left="89" w:right="507"/>
              <w:rPr>
                <w:sz w:val="18"/>
              </w:rPr>
            </w:pPr>
            <w:r>
              <w:rPr>
                <w:color w:val="105C84"/>
                <w:sz w:val="18"/>
              </w:rPr>
              <w:t>Office for Aging- 12 hrs FLESNY conduct education</w:t>
            </w:r>
          </w:p>
          <w:p>
            <w:pPr>
              <w:pStyle w:val="TableParagraph"/>
              <w:spacing w:line="232" w:lineRule="auto" w:before="5"/>
              <w:ind w:left="89" w:right="325"/>
              <w:rPr>
                <w:sz w:val="18"/>
              </w:rPr>
            </w:pPr>
            <w:r>
              <w:rPr>
                <w:color w:val="105C84"/>
                <w:sz w:val="18"/>
              </w:rPr>
              <w:t>CCE-18 hrs. provide recipes/ information at Nutrition Sites and</w:t>
            </w:r>
            <w:r>
              <w:rPr>
                <w:color w:val="105C84"/>
                <w:spacing w:val="-7"/>
                <w:sz w:val="18"/>
              </w:rPr>
              <w:t> </w:t>
            </w:r>
            <w:r>
              <w:rPr>
                <w:color w:val="105C84"/>
                <w:sz w:val="18"/>
              </w:rPr>
              <w:t>Curbside,</w:t>
            </w:r>
            <w:r>
              <w:rPr>
                <w:color w:val="105C84"/>
                <w:spacing w:val="-7"/>
                <w:sz w:val="18"/>
              </w:rPr>
              <w:t> </w:t>
            </w:r>
            <w:r>
              <w:rPr>
                <w:color w:val="105C84"/>
                <w:sz w:val="18"/>
              </w:rPr>
              <w:t>provide</w:t>
            </w:r>
            <w:r>
              <w:rPr>
                <w:color w:val="105C84"/>
                <w:spacing w:val="-7"/>
                <w:sz w:val="18"/>
              </w:rPr>
              <w:t> </w:t>
            </w:r>
            <w:r>
              <w:rPr>
                <w:color w:val="105C84"/>
                <w:sz w:val="18"/>
              </w:rPr>
              <w:t>technical assistance, promote Farmers </w:t>
            </w:r>
            <w:r>
              <w:rPr>
                <w:color w:val="105C84"/>
                <w:spacing w:val="-2"/>
                <w:sz w:val="18"/>
              </w:rPr>
              <w:t>Markets</w:t>
            </w:r>
          </w:p>
          <w:p>
            <w:pPr>
              <w:pStyle w:val="TableParagraph"/>
              <w:spacing w:line="232" w:lineRule="auto" w:before="87"/>
              <w:ind w:left="89" w:right="144"/>
              <w:rPr>
                <w:sz w:val="18"/>
              </w:rPr>
            </w:pPr>
            <w:r>
              <w:rPr>
                <w:color w:val="105C84"/>
                <w:sz w:val="18"/>
              </w:rPr>
              <w:t>Foodlink provide Curbside Markets and develop </w:t>
            </w:r>
            <w:r>
              <w:rPr>
                <w:color w:val="105C84"/>
                <w:sz w:val="18"/>
              </w:rPr>
              <w:t>promotions/ Legal Assistance- pre screening potential SNAP participants, referrals to appropriate resources</w:t>
            </w:r>
          </w:p>
          <w:p>
            <w:pPr>
              <w:pStyle w:val="TableParagraph"/>
              <w:spacing w:line="232" w:lineRule="auto" w:before="86"/>
              <w:ind w:left="89"/>
              <w:rPr>
                <w:sz w:val="18"/>
              </w:rPr>
            </w:pPr>
            <w:r>
              <w:rPr>
                <w:color w:val="105C84"/>
                <w:sz w:val="18"/>
              </w:rPr>
              <w:t>Food Security Coalition to </w:t>
            </w:r>
            <w:r>
              <w:rPr>
                <w:color w:val="105C84"/>
                <w:sz w:val="18"/>
              </w:rPr>
              <w:t>develop </w:t>
            </w:r>
            <w:r>
              <w:rPr>
                <w:color w:val="105C84"/>
                <w:w w:val="105"/>
                <w:sz w:val="18"/>
              </w:rPr>
              <w:t>and distribute guide</w:t>
            </w:r>
          </w:p>
        </w:tc>
        <w:tc>
          <w:tcPr>
            <w:tcW w:w="2300" w:type="dxa"/>
          </w:tcPr>
          <w:p>
            <w:pPr>
              <w:pStyle w:val="TableParagraph"/>
              <w:spacing w:line="232" w:lineRule="auto" w:before="99"/>
              <w:ind w:left="88" w:right="170"/>
              <w:rPr>
                <w:sz w:val="18"/>
              </w:rPr>
            </w:pPr>
            <w:r>
              <w:rPr>
                <w:color w:val="105C84"/>
                <w:sz w:val="18"/>
              </w:rPr>
              <w:t>Increase by %5 number of</w:t>
            </w:r>
            <w:r>
              <w:rPr>
                <w:color w:val="105C84"/>
                <w:spacing w:val="-13"/>
                <w:sz w:val="18"/>
              </w:rPr>
              <w:t> </w:t>
            </w:r>
            <w:r>
              <w:rPr>
                <w:color w:val="105C84"/>
                <w:sz w:val="18"/>
              </w:rPr>
              <w:t>education</w:t>
            </w:r>
            <w:r>
              <w:rPr>
                <w:color w:val="105C84"/>
                <w:spacing w:val="-12"/>
                <w:sz w:val="18"/>
              </w:rPr>
              <w:t> </w:t>
            </w:r>
            <w:r>
              <w:rPr>
                <w:color w:val="105C84"/>
                <w:sz w:val="18"/>
              </w:rPr>
              <w:t>sessions</w:t>
            </w:r>
            <w:r>
              <w:rPr>
                <w:color w:val="105C84"/>
                <w:spacing w:val="-13"/>
                <w:sz w:val="18"/>
              </w:rPr>
              <w:t> </w:t>
            </w:r>
            <w:r>
              <w:rPr>
                <w:color w:val="105C84"/>
                <w:sz w:val="18"/>
              </w:rPr>
              <w:t>by year 3</w:t>
            </w:r>
          </w:p>
          <w:p>
            <w:pPr>
              <w:pStyle w:val="TableParagraph"/>
              <w:spacing w:line="232" w:lineRule="auto" w:before="88"/>
              <w:ind w:left="88"/>
              <w:rPr>
                <w:sz w:val="18"/>
              </w:rPr>
            </w:pPr>
            <w:r>
              <w:rPr>
                <w:color w:val="105C84"/>
                <w:sz w:val="18"/>
              </w:rPr>
              <w:t>Increase utilization re: Foodlink</w:t>
            </w:r>
            <w:r>
              <w:rPr>
                <w:color w:val="105C84"/>
                <w:spacing w:val="-13"/>
                <w:sz w:val="18"/>
              </w:rPr>
              <w:t> </w:t>
            </w:r>
            <w:r>
              <w:rPr>
                <w:color w:val="105C84"/>
                <w:sz w:val="18"/>
              </w:rPr>
              <w:t>by</w:t>
            </w:r>
            <w:r>
              <w:rPr>
                <w:color w:val="105C84"/>
                <w:spacing w:val="-12"/>
                <w:sz w:val="18"/>
              </w:rPr>
              <w:t> </w:t>
            </w:r>
            <w:r>
              <w:rPr>
                <w:color w:val="105C84"/>
                <w:sz w:val="18"/>
              </w:rPr>
              <w:t>3%</w:t>
            </w:r>
            <w:r>
              <w:rPr>
                <w:color w:val="105C84"/>
                <w:spacing w:val="-13"/>
                <w:sz w:val="18"/>
              </w:rPr>
              <w:t> </w:t>
            </w:r>
            <w:r>
              <w:rPr>
                <w:color w:val="105C84"/>
                <w:sz w:val="18"/>
              </w:rPr>
              <w:t>by</w:t>
            </w:r>
            <w:r>
              <w:rPr>
                <w:color w:val="105C84"/>
                <w:spacing w:val="-12"/>
                <w:sz w:val="18"/>
              </w:rPr>
              <w:t> </w:t>
            </w:r>
            <w:r>
              <w:rPr>
                <w:color w:val="105C84"/>
                <w:sz w:val="18"/>
              </w:rPr>
              <w:t>year</w:t>
            </w:r>
            <w:r>
              <w:rPr>
                <w:color w:val="105C84"/>
                <w:spacing w:val="-13"/>
                <w:sz w:val="18"/>
              </w:rPr>
              <w:t> </w:t>
            </w:r>
            <w:r>
              <w:rPr>
                <w:color w:val="105C84"/>
                <w:sz w:val="18"/>
              </w:rPr>
              <w:t>3</w:t>
            </w:r>
          </w:p>
          <w:p>
            <w:pPr>
              <w:pStyle w:val="TableParagraph"/>
              <w:spacing w:line="232" w:lineRule="auto" w:before="89"/>
              <w:ind w:left="88"/>
              <w:rPr>
                <w:sz w:val="18"/>
              </w:rPr>
            </w:pPr>
            <w:r>
              <w:rPr>
                <w:color w:val="105C84"/>
                <w:spacing w:val="-2"/>
                <w:w w:val="105"/>
                <w:sz w:val="18"/>
              </w:rPr>
              <w:t>Number</w:t>
            </w:r>
            <w:r>
              <w:rPr>
                <w:color w:val="105C84"/>
                <w:spacing w:val="-12"/>
                <w:w w:val="105"/>
                <w:sz w:val="18"/>
              </w:rPr>
              <w:t> </w:t>
            </w:r>
            <w:r>
              <w:rPr>
                <w:color w:val="105C84"/>
                <w:spacing w:val="-2"/>
                <w:w w:val="105"/>
                <w:sz w:val="18"/>
              </w:rPr>
              <w:t>of</w:t>
            </w:r>
            <w:r>
              <w:rPr>
                <w:color w:val="105C84"/>
                <w:spacing w:val="-11"/>
                <w:w w:val="105"/>
                <w:sz w:val="18"/>
              </w:rPr>
              <w:t> </w:t>
            </w:r>
            <w:r>
              <w:rPr>
                <w:color w:val="105C84"/>
                <w:spacing w:val="-2"/>
                <w:w w:val="105"/>
                <w:sz w:val="18"/>
              </w:rPr>
              <w:t>completed </w:t>
            </w:r>
            <w:r>
              <w:rPr>
                <w:color w:val="105C84"/>
                <w:w w:val="105"/>
                <w:sz w:val="18"/>
              </w:rPr>
              <w:t>guides</w:t>
            </w:r>
            <w:r>
              <w:rPr>
                <w:color w:val="105C84"/>
                <w:spacing w:val="-1"/>
                <w:w w:val="105"/>
                <w:sz w:val="18"/>
              </w:rPr>
              <w:t> </w:t>
            </w:r>
            <w:r>
              <w:rPr>
                <w:color w:val="105C84"/>
                <w:w w:val="105"/>
                <w:sz w:val="18"/>
              </w:rPr>
              <w:t>distributed</w:t>
            </w:r>
          </w:p>
        </w:tc>
      </w:tr>
      <w:tr>
        <w:trPr>
          <w:trHeight w:val="775" w:hRule="atLeast"/>
        </w:trPr>
        <w:tc>
          <w:tcPr>
            <w:tcW w:w="1008" w:type="dxa"/>
            <w:vMerge/>
            <w:tcBorders>
              <w:top w:val="nil"/>
            </w:tcBorders>
            <w:shd w:val="clear" w:color="auto" w:fill="E6E7E8"/>
          </w:tcPr>
          <w:p>
            <w:pPr>
              <w:rPr>
                <w:sz w:val="2"/>
                <w:szCs w:val="2"/>
              </w:rPr>
            </w:pPr>
          </w:p>
        </w:tc>
        <w:tc>
          <w:tcPr>
            <w:tcW w:w="1152" w:type="dxa"/>
            <w:vMerge w:val="restart"/>
          </w:tcPr>
          <w:p>
            <w:pPr>
              <w:pStyle w:val="TableParagraph"/>
              <w:spacing w:line="203" w:lineRule="exact" w:before="94"/>
              <w:ind w:left="89"/>
              <w:rPr>
                <w:sz w:val="18"/>
              </w:rPr>
            </w:pPr>
            <w:r>
              <w:rPr>
                <w:color w:val="105C84"/>
                <w:spacing w:val="-5"/>
                <w:sz w:val="18"/>
              </w:rPr>
              <w:t>Focus</w:t>
            </w:r>
            <w:r>
              <w:rPr>
                <w:color w:val="105C84"/>
                <w:spacing w:val="-4"/>
                <w:sz w:val="18"/>
              </w:rPr>
              <w:t> Area</w:t>
            </w:r>
          </w:p>
          <w:p>
            <w:pPr>
              <w:pStyle w:val="TableParagraph"/>
              <w:spacing w:line="232" w:lineRule="auto" w:before="2"/>
              <w:ind w:left="89" w:right="229"/>
              <w:rPr>
                <w:sz w:val="18"/>
              </w:rPr>
            </w:pPr>
            <w:r>
              <w:rPr>
                <w:color w:val="105C84"/>
                <w:spacing w:val="-6"/>
                <w:sz w:val="18"/>
              </w:rPr>
              <w:t>2.</w:t>
            </w:r>
            <w:r>
              <w:rPr>
                <w:color w:val="105C84"/>
                <w:spacing w:val="-7"/>
                <w:sz w:val="18"/>
              </w:rPr>
              <w:t> </w:t>
            </w:r>
            <w:r>
              <w:rPr>
                <w:color w:val="105C84"/>
                <w:spacing w:val="-6"/>
                <w:sz w:val="18"/>
              </w:rPr>
              <w:t>Physica</w:t>
            </w:r>
            <w:r>
              <w:rPr>
                <w:color w:val="105C84"/>
                <w:spacing w:val="-6"/>
                <w:sz w:val="18"/>
              </w:rPr>
              <w:t>l</w:t>
            </w:r>
            <w:r>
              <w:rPr>
                <w:color w:val="105C84"/>
                <w:spacing w:val="-6"/>
                <w:sz w:val="18"/>
              </w:rPr>
              <w:t> </w:t>
            </w:r>
            <w:r>
              <w:rPr>
                <w:color w:val="105C84"/>
                <w:spacing w:val="-2"/>
                <w:sz w:val="18"/>
              </w:rPr>
              <w:t>Activity</w:t>
            </w:r>
          </w:p>
        </w:tc>
        <w:tc>
          <w:tcPr>
            <w:tcW w:w="1426" w:type="dxa"/>
            <w:vMerge w:val="restart"/>
          </w:tcPr>
          <w:p>
            <w:pPr>
              <w:pStyle w:val="TableParagraph"/>
              <w:spacing w:line="232" w:lineRule="auto" w:before="99"/>
              <w:ind w:left="89"/>
              <w:rPr>
                <w:sz w:val="18"/>
              </w:rPr>
            </w:pPr>
            <w:r>
              <w:rPr>
                <w:color w:val="105C84"/>
                <w:spacing w:val="-2"/>
                <w:sz w:val="18"/>
              </w:rPr>
              <w:t>Reduce</w:t>
            </w:r>
            <w:r>
              <w:rPr>
                <w:color w:val="105C84"/>
                <w:spacing w:val="-11"/>
                <w:sz w:val="18"/>
              </w:rPr>
              <w:t> </w:t>
            </w:r>
            <w:r>
              <w:rPr>
                <w:color w:val="105C84"/>
                <w:spacing w:val="-2"/>
                <w:sz w:val="18"/>
              </w:rPr>
              <w:t>obesity </w:t>
            </w:r>
            <w:r>
              <w:rPr>
                <w:color w:val="105C84"/>
                <w:sz w:val="18"/>
              </w:rPr>
              <w:t>and the risk</w:t>
            </w:r>
          </w:p>
          <w:p>
            <w:pPr>
              <w:pStyle w:val="TableParagraph"/>
              <w:spacing w:line="232" w:lineRule="auto"/>
              <w:ind w:left="89"/>
              <w:rPr>
                <w:sz w:val="18"/>
              </w:rPr>
            </w:pPr>
            <w:r>
              <w:rPr>
                <w:color w:val="105C84"/>
                <w:sz w:val="18"/>
              </w:rPr>
              <w:t>of</w:t>
            </w:r>
            <w:r>
              <w:rPr>
                <w:color w:val="105C84"/>
                <w:spacing w:val="-13"/>
                <w:sz w:val="18"/>
              </w:rPr>
              <w:t> </w:t>
            </w:r>
            <w:r>
              <w:rPr>
                <w:color w:val="105C84"/>
                <w:sz w:val="18"/>
              </w:rPr>
              <w:t>chronic </w:t>
            </w:r>
            <w:r>
              <w:rPr>
                <w:color w:val="105C84"/>
                <w:spacing w:val="-2"/>
                <w:sz w:val="18"/>
              </w:rPr>
              <w:t>diseases</w:t>
            </w:r>
          </w:p>
        </w:tc>
        <w:tc>
          <w:tcPr>
            <w:tcW w:w="2592" w:type="dxa"/>
            <w:vMerge w:val="restart"/>
          </w:tcPr>
          <w:p>
            <w:pPr>
              <w:pStyle w:val="TableParagraph"/>
              <w:spacing w:line="232" w:lineRule="auto" w:before="99"/>
              <w:ind w:left="89" w:right="189"/>
              <w:rPr>
                <w:sz w:val="18"/>
              </w:rPr>
            </w:pPr>
            <w:r>
              <w:rPr>
                <w:color w:val="105C84"/>
                <w:sz w:val="18"/>
              </w:rPr>
              <w:t>1.2 By December 2021, decrease the percentage of children</w:t>
            </w:r>
            <w:r>
              <w:rPr>
                <w:color w:val="105C84"/>
                <w:spacing w:val="-6"/>
                <w:sz w:val="18"/>
              </w:rPr>
              <w:t> </w:t>
            </w:r>
            <w:r>
              <w:rPr>
                <w:color w:val="105C84"/>
                <w:sz w:val="18"/>
              </w:rPr>
              <w:t>with</w:t>
            </w:r>
            <w:r>
              <w:rPr>
                <w:color w:val="105C84"/>
                <w:spacing w:val="-6"/>
                <w:sz w:val="18"/>
              </w:rPr>
              <w:t> </w:t>
            </w:r>
            <w:r>
              <w:rPr>
                <w:color w:val="105C84"/>
                <w:sz w:val="18"/>
              </w:rPr>
              <w:t>obesity</w:t>
            </w:r>
            <w:r>
              <w:rPr>
                <w:color w:val="105C84"/>
                <w:spacing w:val="-6"/>
                <w:sz w:val="18"/>
              </w:rPr>
              <w:t> </w:t>
            </w:r>
            <w:r>
              <w:rPr>
                <w:color w:val="105C84"/>
                <w:sz w:val="18"/>
              </w:rPr>
              <w:t>(among Livingston County public school students) by 1%</w:t>
            </w:r>
          </w:p>
        </w:tc>
        <w:tc>
          <w:tcPr>
            <w:tcW w:w="1267" w:type="dxa"/>
            <w:vMerge w:val="restart"/>
          </w:tcPr>
          <w:p>
            <w:pPr>
              <w:pStyle w:val="TableParagraph"/>
              <w:spacing w:before="94"/>
              <w:ind w:left="89"/>
              <w:rPr>
                <w:sz w:val="18"/>
              </w:rPr>
            </w:pPr>
            <w:r>
              <w:rPr>
                <w:color w:val="105C84"/>
                <w:sz w:val="18"/>
              </w:rPr>
              <w:t>Low</w:t>
            </w:r>
            <w:r>
              <w:rPr>
                <w:color w:val="105C84"/>
                <w:spacing w:val="-11"/>
                <w:sz w:val="18"/>
              </w:rPr>
              <w:t> </w:t>
            </w:r>
            <w:r>
              <w:rPr>
                <w:color w:val="105C84"/>
                <w:spacing w:val="-5"/>
                <w:sz w:val="18"/>
              </w:rPr>
              <w:t>SES</w:t>
            </w:r>
          </w:p>
        </w:tc>
        <w:tc>
          <w:tcPr>
            <w:tcW w:w="3708" w:type="dxa"/>
            <w:vMerge w:val="restart"/>
            <w:tcBorders>
              <w:right w:val="nil"/>
            </w:tcBorders>
          </w:tcPr>
          <w:p>
            <w:pPr>
              <w:pStyle w:val="TableParagraph"/>
              <w:spacing w:line="232" w:lineRule="auto" w:before="99"/>
              <w:ind w:left="89" w:right="1113" w:firstLine="46"/>
              <w:rPr>
                <w:sz w:val="18"/>
              </w:rPr>
            </w:pPr>
            <w:r>
              <w:rPr>
                <w:color w:val="105C84"/>
                <w:sz w:val="18"/>
              </w:rPr>
              <w:t>2.2</w:t>
            </w:r>
            <w:r>
              <w:rPr>
                <w:color w:val="105C84"/>
                <w:spacing w:val="-2"/>
                <w:sz w:val="18"/>
              </w:rPr>
              <w:t> </w:t>
            </w:r>
            <w:r>
              <w:rPr>
                <w:color w:val="105C84"/>
                <w:sz w:val="18"/>
              </w:rPr>
              <w:t>Promote</w:t>
            </w:r>
            <w:r>
              <w:rPr>
                <w:color w:val="105C84"/>
                <w:spacing w:val="-2"/>
                <w:sz w:val="18"/>
              </w:rPr>
              <w:t> </w:t>
            </w:r>
            <w:r>
              <w:rPr>
                <w:color w:val="105C84"/>
                <w:sz w:val="18"/>
              </w:rPr>
              <w:t>school,</w:t>
            </w:r>
            <w:r>
              <w:rPr>
                <w:color w:val="105C84"/>
                <w:spacing w:val="-2"/>
                <w:sz w:val="18"/>
              </w:rPr>
              <w:t> </w:t>
            </w:r>
            <w:r>
              <w:rPr>
                <w:color w:val="105C84"/>
                <w:sz w:val="18"/>
              </w:rPr>
              <w:t>child</w:t>
            </w:r>
            <w:r>
              <w:rPr>
                <w:color w:val="105C84"/>
                <w:spacing w:val="-2"/>
                <w:sz w:val="18"/>
              </w:rPr>
              <w:t> </w:t>
            </w:r>
            <w:r>
              <w:rPr>
                <w:color w:val="105C84"/>
                <w:sz w:val="18"/>
              </w:rPr>
              <w:t>care and</w:t>
            </w:r>
            <w:r>
              <w:rPr>
                <w:color w:val="105C84"/>
                <w:spacing w:val="-11"/>
                <w:sz w:val="18"/>
              </w:rPr>
              <w:t> </w:t>
            </w:r>
            <w:r>
              <w:rPr>
                <w:color w:val="105C84"/>
                <w:sz w:val="18"/>
              </w:rPr>
              <w:t>worksite</w:t>
            </w:r>
            <w:r>
              <w:rPr>
                <w:color w:val="105C84"/>
                <w:spacing w:val="-11"/>
                <w:sz w:val="18"/>
              </w:rPr>
              <w:t> </w:t>
            </w:r>
            <w:r>
              <w:rPr>
                <w:color w:val="105C84"/>
                <w:sz w:val="18"/>
              </w:rPr>
              <w:t>environments</w:t>
            </w:r>
            <w:r>
              <w:rPr>
                <w:color w:val="105C84"/>
                <w:spacing w:val="-11"/>
                <w:sz w:val="18"/>
              </w:rPr>
              <w:t> </w:t>
            </w:r>
            <w:r>
              <w:rPr>
                <w:color w:val="105C84"/>
                <w:sz w:val="18"/>
              </w:rPr>
              <w:t>that</w:t>
            </w:r>
            <w:r>
              <w:rPr>
                <w:color w:val="105C84"/>
                <w:sz w:val="18"/>
              </w:rPr>
              <w:t> increase physical activity by implementing CATCH</w:t>
            </w:r>
          </w:p>
        </w:tc>
        <w:tc>
          <w:tcPr>
            <w:tcW w:w="4061" w:type="dxa"/>
            <w:tcBorders>
              <w:left w:val="nil"/>
            </w:tcBorders>
          </w:tcPr>
          <w:p>
            <w:pPr>
              <w:pStyle w:val="TableParagraph"/>
              <w:spacing w:line="232" w:lineRule="auto" w:before="99"/>
              <w:ind w:left="1084" w:right="102"/>
              <w:rPr>
                <w:sz w:val="18"/>
              </w:rPr>
            </w:pPr>
            <w:r>
              <w:rPr>
                <w:color w:val="105C84"/>
                <w:sz w:val="18"/>
              </w:rPr>
              <w:t>Increase the number of evidence </w:t>
            </w:r>
            <w:r>
              <w:rPr>
                <w:color w:val="105C84"/>
                <w:spacing w:val="-2"/>
                <w:sz w:val="18"/>
              </w:rPr>
              <w:t>based</w:t>
            </w:r>
            <w:r>
              <w:rPr>
                <w:color w:val="105C84"/>
                <w:spacing w:val="-11"/>
                <w:sz w:val="18"/>
              </w:rPr>
              <w:t> </w:t>
            </w:r>
            <w:r>
              <w:rPr>
                <w:color w:val="105C84"/>
                <w:spacing w:val="-2"/>
                <w:sz w:val="18"/>
              </w:rPr>
              <w:t>assessments</w:t>
            </w:r>
            <w:r>
              <w:rPr>
                <w:color w:val="105C84"/>
                <w:spacing w:val="-10"/>
                <w:sz w:val="18"/>
              </w:rPr>
              <w:t> </w:t>
            </w:r>
            <w:r>
              <w:rPr>
                <w:color w:val="105C84"/>
                <w:spacing w:val="-2"/>
                <w:sz w:val="18"/>
              </w:rPr>
              <w:t>(SHI)</w:t>
            </w:r>
            <w:r>
              <w:rPr>
                <w:color w:val="105C84"/>
                <w:spacing w:val="-11"/>
                <w:sz w:val="18"/>
              </w:rPr>
              <w:t> </w:t>
            </w:r>
            <w:r>
              <w:rPr>
                <w:color w:val="105C84"/>
                <w:spacing w:val="-2"/>
                <w:sz w:val="18"/>
              </w:rPr>
              <w:t>completed</w:t>
            </w:r>
          </w:p>
        </w:tc>
        <w:tc>
          <w:tcPr>
            <w:tcW w:w="1757" w:type="dxa"/>
          </w:tcPr>
          <w:p>
            <w:pPr>
              <w:pStyle w:val="TableParagraph"/>
              <w:spacing w:before="94"/>
              <w:ind w:left="89"/>
              <w:rPr>
                <w:sz w:val="18"/>
              </w:rPr>
            </w:pPr>
            <w:r>
              <w:rPr>
                <w:color w:val="105C84"/>
                <w:spacing w:val="-2"/>
                <w:sz w:val="18"/>
              </w:rPr>
              <w:t>LCDOH</w:t>
            </w:r>
          </w:p>
          <w:p>
            <w:pPr>
              <w:pStyle w:val="TableParagraph"/>
              <w:spacing w:before="83"/>
              <w:ind w:left="89"/>
              <w:rPr>
                <w:sz w:val="18"/>
              </w:rPr>
            </w:pPr>
            <w:r>
              <w:rPr>
                <w:color w:val="105C84"/>
                <w:spacing w:val="-2"/>
                <w:sz w:val="18"/>
              </w:rPr>
              <w:t>Schools</w:t>
            </w:r>
          </w:p>
        </w:tc>
        <w:tc>
          <w:tcPr>
            <w:tcW w:w="2967" w:type="dxa"/>
          </w:tcPr>
          <w:p>
            <w:pPr>
              <w:pStyle w:val="TableParagraph"/>
              <w:spacing w:line="232" w:lineRule="auto" w:before="99"/>
              <w:ind w:left="89" w:right="972"/>
              <w:rPr>
                <w:sz w:val="18"/>
              </w:rPr>
            </w:pPr>
            <w:r>
              <w:rPr>
                <w:color w:val="105C84"/>
                <w:sz w:val="18"/>
              </w:rPr>
              <w:t>LCDOH</w:t>
            </w:r>
            <w:r>
              <w:rPr>
                <w:color w:val="105C84"/>
                <w:spacing w:val="-4"/>
                <w:sz w:val="18"/>
              </w:rPr>
              <w:t> </w:t>
            </w:r>
            <w:r>
              <w:rPr>
                <w:color w:val="105C84"/>
                <w:sz w:val="18"/>
              </w:rPr>
              <w:t>assist</w:t>
            </w:r>
            <w:r>
              <w:rPr>
                <w:color w:val="105C84"/>
                <w:spacing w:val="-4"/>
                <w:sz w:val="18"/>
              </w:rPr>
              <w:t> </w:t>
            </w:r>
            <w:r>
              <w:rPr>
                <w:color w:val="105C84"/>
                <w:sz w:val="18"/>
              </w:rPr>
              <w:t>with</w:t>
            </w:r>
            <w:r>
              <w:rPr>
                <w:color w:val="105C84"/>
                <w:spacing w:val="-4"/>
                <w:sz w:val="18"/>
              </w:rPr>
              <w:t> </w:t>
            </w:r>
            <w:r>
              <w:rPr>
                <w:color w:val="105C84"/>
                <w:sz w:val="18"/>
              </w:rPr>
              <w:t>SHI School</w:t>
            </w:r>
            <w:r>
              <w:rPr>
                <w:color w:val="105C84"/>
                <w:spacing w:val="7"/>
                <w:sz w:val="18"/>
              </w:rPr>
              <w:t> </w:t>
            </w:r>
            <w:r>
              <w:rPr>
                <w:color w:val="105C84"/>
                <w:sz w:val="18"/>
              </w:rPr>
              <w:t>to</w:t>
            </w:r>
            <w:r>
              <w:rPr>
                <w:color w:val="105C84"/>
                <w:spacing w:val="8"/>
                <w:sz w:val="18"/>
              </w:rPr>
              <w:t> </w:t>
            </w:r>
            <w:r>
              <w:rPr>
                <w:color w:val="105C84"/>
                <w:sz w:val="18"/>
              </w:rPr>
              <w:t>complete</w:t>
            </w:r>
            <w:r>
              <w:rPr>
                <w:color w:val="105C84"/>
                <w:spacing w:val="7"/>
                <w:sz w:val="18"/>
              </w:rPr>
              <w:t> </w:t>
            </w:r>
            <w:r>
              <w:rPr>
                <w:color w:val="105C84"/>
                <w:spacing w:val="-9"/>
                <w:sz w:val="18"/>
              </w:rPr>
              <w:t>SHI</w:t>
            </w:r>
          </w:p>
        </w:tc>
        <w:tc>
          <w:tcPr>
            <w:tcW w:w="2300" w:type="dxa"/>
          </w:tcPr>
          <w:p>
            <w:pPr>
              <w:pStyle w:val="TableParagraph"/>
              <w:spacing w:line="232" w:lineRule="auto" w:before="99"/>
              <w:ind w:left="88" w:right="170"/>
              <w:rPr>
                <w:sz w:val="18"/>
              </w:rPr>
            </w:pPr>
            <w:r>
              <w:rPr>
                <w:color w:val="105C84"/>
                <w:sz w:val="18"/>
              </w:rPr>
              <w:t>A minimum of two </w:t>
            </w:r>
            <w:r>
              <w:rPr>
                <w:color w:val="105C84"/>
                <w:spacing w:val="-2"/>
                <w:sz w:val="18"/>
              </w:rPr>
              <w:t>assessments</w:t>
            </w:r>
            <w:r>
              <w:rPr>
                <w:color w:val="105C84"/>
                <w:spacing w:val="-11"/>
                <w:sz w:val="18"/>
              </w:rPr>
              <w:t> </w:t>
            </w:r>
            <w:r>
              <w:rPr>
                <w:color w:val="105C84"/>
                <w:spacing w:val="-2"/>
                <w:sz w:val="18"/>
              </w:rPr>
              <w:t>completed </w:t>
            </w:r>
            <w:r>
              <w:rPr>
                <w:color w:val="105C84"/>
                <w:sz w:val="18"/>
              </w:rPr>
              <w:t>by year 3</w:t>
            </w:r>
          </w:p>
        </w:tc>
      </w:tr>
      <w:tr>
        <w:trPr>
          <w:trHeight w:val="3040" w:hRule="atLeast"/>
        </w:trPr>
        <w:tc>
          <w:tcPr>
            <w:tcW w:w="1008" w:type="dxa"/>
            <w:vMerge/>
            <w:tcBorders>
              <w:top w:val="nil"/>
            </w:tcBorders>
            <w:shd w:val="clear" w:color="auto" w:fill="E6E7E8"/>
          </w:tcPr>
          <w:p>
            <w:pPr>
              <w:rPr>
                <w:sz w:val="2"/>
                <w:szCs w:val="2"/>
              </w:rPr>
            </w:pPr>
          </w:p>
        </w:tc>
        <w:tc>
          <w:tcPr>
            <w:tcW w:w="1152" w:type="dxa"/>
            <w:vMerge/>
            <w:tcBorders>
              <w:top w:val="nil"/>
            </w:tcBorders>
          </w:tcPr>
          <w:p>
            <w:pPr>
              <w:rPr>
                <w:sz w:val="2"/>
                <w:szCs w:val="2"/>
              </w:rPr>
            </w:pPr>
          </w:p>
        </w:tc>
        <w:tc>
          <w:tcPr>
            <w:tcW w:w="1426" w:type="dxa"/>
            <w:vMerge/>
            <w:tcBorders>
              <w:top w:val="nil"/>
            </w:tcBorders>
          </w:tcPr>
          <w:p>
            <w:pPr>
              <w:rPr>
                <w:sz w:val="2"/>
                <w:szCs w:val="2"/>
              </w:rPr>
            </w:pPr>
          </w:p>
        </w:tc>
        <w:tc>
          <w:tcPr>
            <w:tcW w:w="2592" w:type="dxa"/>
            <w:vMerge/>
            <w:tcBorders>
              <w:top w:val="nil"/>
            </w:tcBorders>
          </w:tcPr>
          <w:p>
            <w:pPr>
              <w:rPr>
                <w:sz w:val="2"/>
                <w:szCs w:val="2"/>
              </w:rPr>
            </w:pPr>
          </w:p>
        </w:tc>
        <w:tc>
          <w:tcPr>
            <w:tcW w:w="1267" w:type="dxa"/>
            <w:vMerge/>
            <w:tcBorders>
              <w:top w:val="nil"/>
            </w:tcBorders>
          </w:tcPr>
          <w:p>
            <w:pPr>
              <w:rPr>
                <w:sz w:val="2"/>
                <w:szCs w:val="2"/>
              </w:rPr>
            </w:pPr>
          </w:p>
        </w:tc>
        <w:tc>
          <w:tcPr>
            <w:tcW w:w="3708" w:type="dxa"/>
            <w:vMerge/>
            <w:tcBorders>
              <w:top w:val="nil"/>
              <w:right w:val="nil"/>
            </w:tcBorders>
          </w:tcPr>
          <w:p>
            <w:pPr>
              <w:rPr>
                <w:sz w:val="2"/>
                <w:szCs w:val="2"/>
              </w:rPr>
            </w:pPr>
          </w:p>
        </w:tc>
        <w:tc>
          <w:tcPr>
            <w:tcW w:w="4061" w:type="dxa"/>
            <w:tcBorders>
              <w:left w:val="nil"/>
            </w:tcBorders>
          </w:tcPr>
          <w:p>
            <w:pPr>
              <w:pStyle w:val="TableParagraph"/>
              <w:spacing w:line="232" w:lineRule="auto" w:before="99"/>
              <w:ind w:left="1084" w:right="79"/>
              <w:rPr>
                <w:sz w:val="18"/>
              </w:rPr>
            </w:pPr>
            <w:r>
              <w:rPr>
                <w:color w:val="105C84"/>
                <w:sz w:val="18"/>
              </w:rPr>
              <w:t>Increase</w:t>
            </w:r>
            <w:r>
              <w:rPr>
                <w:color w:val="105C84"/>
                <w:spacing w:val="-9"/>
                <w:sz w:val="18"/>
              </w:rPr>
              <w:t> </w:t>
            </w:r>
            <w:r>
              <w:rPr>
                <w:color w:val="105C84"/>
                <w:sz w:val="18"/>
              </w:rPr>
              <w:t>the</w:t>
            </w:r>
            <w:r>
              <w:rPr>
                <w:color w:val="105C84"/>
                <w:spacing w:val="-9"/>
                <w:sz w:val="18"/>
              </w:rPr>
              <w:t> </w:t>
            </w:r>
            <w:r>
              <w:rPr>
                <w:color w:val="105C84"/>
                <w:sz w:val="18"/>
              </w:rPr>
              <w:t>number</w:t>
            </w:r>
            <w:r>
              <w:rPr>
                <w:color w:val="105C84"/>
                <w:spacing w:val="-9"/>
                <w:sz w:val="18"/>
              </w:rPr>
              <w:t> </w:t>
            </w:r>
            <w:r>
              <w:rPr>
                <w:color w:val="105C84"/>
                <w:sz w:val="18"/>
              </w:rPr>
              <w:t>of</w:t>
            </w:r>
            <w:r>
              <w:rPr>
                <w:color w:val="105C84"/>
                <w:spacing w:val="-9"/>
                <w:sz w:val="18"/>
              </w:rPr>
              <w:t> </w:t>
            </w:r>
            <w:r>
              <w:rPr>
                <w:color w:val="105C84"/>
                <w:sz w:val="18"/>
              </w:rPr>
              <w:t>practices/ </w:t>
            </w:r>
            <w:r>
              <w:rPr>
                <w:color w:val="105C84"/>
                <w:w w:val="105"/>
                <w:sz w:val="18"/>
              </w:rPr>
              <w:t>policies</w:t>
            </w:r>
            <w:r>
              <w:rPr>
                <w:color w:val="105C84"/>
                <w:spacing w:val="-1"/>
                <w:w w:val="105"/>
                <w:sz w:val="18"/>
              </w:rPr>
              <w:t> </w:t>
            </w:r>
            <w:r>
              <w:rPr>
                <w:color w:val="105C84"/>
                <w:w w:val="105"/>
                <w:sz w:val="18"/>
              </w:rPr>
              <w:t>implemented</w:t>
            </w:r>
          </w:p>
          <w:p>
            <w:pPr>
              <w:pStyle w:val="TableParagraph"/>
              <w:spacing w:line="232" w:lineRule="auto" w:before="89"/>
              <w:ind w:left="1084" w:right="79"/>
              <w:rPr>
                <w:sz w:val="18"/>
              </w:rPr>
            </w:pPr>
            <w:r>
              <w:rPr>
                <w:color w:val="105C84"/>
                <w:sz w:val="18"/>
              </w:rPr>
              <w:t>Baseline: Obesity data Keshequa School</w:t>
            </w:r>
            <w:r>
              <w:rPr>
                <w:color w:val="105C84"/>
                <w:spacing w:val="-13"/>
                <w:sz w:val="18"/>
              </w:rPr>
              <w:t> </w:t>
            </w:r>
            <w:r>
              <w:rPr>
                <w:color w:val="105C84"/>
                <w:sz w:val="18"/>
              </w:rPr>
              <w:t>obesity</w:t>
            </w:r>
            <w:r>
              <w:rPr>
                <w:color w:val="105C84"/>
                <w:spacing w:val="-12"/>
                <w:sz w:val="18"/>
              </w:rPr>
              <w:t> </w:t>
            </w:r>
            <w:r>
              <w:rPr>
                <w:color w:val="105C84"/>
                <w:sz w:val="18"/>
              </w:rPr>
              <w:t>rate</w:t>
            </w:r>
            <w:r>
              <w:rPr>
                <w:color w:val="105C84"/>
                <w:spacing w:val="-13"/>
                <w:sz w:val="18"/>
              </w:rPr>
              <w:t> </w:t>
            </w:r>
            <w:r>
              <w:rPr>
                <w:color w:val="105C84"/>
                <w:sz w:val="18"/>
              </w:rPr>
              <w:t>13.9,</w:t>
            </w:r>
            <w:r>
              <w:rPr>
                <w:color w:val="105C84"/>
                <w:spacing w:val="-12"/>
                <w:sz w:val="18"/>
              </w:rPr>
              <w:t> </w:t>
            </w:r>
            <w:r>
              <w:rPr>
                <w:color w:val="105C84"/>
                <w:sz w:val="18"/>
              </w:rPr>
              <w:t>overweight and obese rate 42.3; Mt. Morris School obesity rate17.7, overweight and obese rate 34.9 per NYSDOH 2016-2018; (Baseline: Free and reduced lunch Dalton Sch - 52%, Mid/High Sch Nunda - 46% Primary Sch Mt Morris53%, Mid/High Sch</w:t>
            </w:r>
            <w:r>
              <w:rPr>
                <w:color w:val="105C84"/>
                <w:spacing w:val="80"/>
                <w:sz w:val="18"/>
              </w:rPr>
              <w:t> </w:t>
            </w:r>
            <w:r>
              <w:rPr>
                <w:color w:val="105C84"/>
                <w:spacing w:val="-2"/>
                <w:sz w:val="18"/>
              </w:rPr>
              <w:t>Mt</w:t>
            </w:r>
            <w:r>
              <w:rPr>
                <w:color w:val="105C84"/>
                <w:spacing w:val="-11"/>
                <w:sz w:val="18"/>
              </w:rPr>
              <w:t> </w:t>
            </w:r>
            <w:r>
              <w:rPr>
                <w:color w:val="105C84"/>
                <w:spacing w:val="-2"/>
                <w:sz w:val="18"/>
              </w:rPr>
              <w:t>Morris</w:t>
            </w:r>
            <w:r>
              <w:rPr>
                <w:color w:val="105C84"/>
                <w:spacing w:val="-10"/>
                <w:sz w:val="18"/>
              </w:rPr>
              <w:t> </w:t>
            </w:r>
            <w:r>
              <w:rPr>
                <w:color w:val="105C84"/>
                <w:spacing w:val="-2"/>
                <w:sz w:val="18"/>
              </w:rPr>
              <w:t>64%</w:t>
            </w:r>
            <w:r>
              <w:rPr>
                <w:color w:val="105C84"/>
                <w:spacing w:val="-11"/>
                <w:sz w:val="18"/>
              </w:rPr>
              <w:t> </w:t>
            </w:r>
            <w:r>
              <w:rPr>
                <w:color w:val="105C84"/>
                <w:spacing w:val="-2"/>
                <w:sz w:val="18"/>
              </w:rPr>
              <w:t>-2019)</w:t>
            </w:r>
            <w:r>
              <w:rPr>
                <w:color w:val="105C84"/>
                <w:spacing w:val="-10"/>
                <w:sz w:val="18"/>
              </w:rPr>
              <w:t> </w:t>
            </w:r>
            <w:r>
              <w:rPr>
                <w:color w:val="105C84"/>
                <w:spacing w:val="-2"/>
                <w:sz w:val="18"/>
              </w:rPr>
              <w:t>(Baseline:</w:t>
            </w:r>
            <w:r>
              <w:rPr>
                <w:color w:val="105C84"/>
                <w:spacing w:val="-11"/>
                <w:sz w:val="18"/>
              </w:rPr>
              <w:t> </w:t>
            </w:r>
            <w:r>
              <w:rPr>
                <w:color w:val="105C84"/>
                <w:spacing w:val="-2"/>
                <w:sz w:val="18"/>
              </w:rPr>
              <w:t>18.2 </w:t>
            </w:r>
            <w:r>
              <w:rPr>
                <w:color w:val="105C84"/>
                <w:sz w:val="18"/>
              </w:rPr>
              <w:t>percentage</w:t>
            </w:r>
            <w:r>
              <w:rPr>
                <w:color w:val="105C84"/>
                <w:spacing w:val="-6"/>
                <w:sz w:val="18"/>
              </w:rPr>
              <w:t> </w:t>
            </w:r>
            <w:r>
              <w:rPr>
                <w:color w:val="105C84"/>
                <w:sz w:val="18"/>
              </w:rPr>
              <w:t>of</w:t>
            </w:r>
            <w:r>
              <w:rPr>
                <w:color w:val="105C84"/>
                <w:spacing w:val="-6"/>
                <w:sz w:val="18"/>
              </w:rPr>
              <w:t> </w:t>
            </w:r>
            <w:r>
              <w:rPr>
                <w:color w:val="105C84"/>
                <w:sz w:val="18"/>
              </w:rPr>
              <w:t>obese</w:t>
            </w:r>
            <w:r>
              <w:rPr>
                <w:color w:val="105C84"/>
                <w:spacing w:val="-6"/>
                <w:sz w:val="18"/>
              </w:rPr>
              <w:t> </w:t>
            </w:r>
            <w:r>
              <w:rPr>
                <w:color w:val="105C84"/>
                <w:sz w:val="18"/>
              </w:rPr>
              <w:t>Liv</w:t>
            </w:r>
            <w:r>
              <w:rPr>
                <w:color w:val="105C84"/>
                <w:spacing w:val="-6"/>
                <w:sz w:val="18"/>
              </w:rPr>
              <w:t> </w:t>
            </w:r>
            <w:r>
              <w:rPr>
                <w:color w:val="105C84"/>
                <w:sz w:val="18"/>
              </w:rPr>
              <w:t>Co</w:t>
            </w:r>
            <w:r>
              <w:rPr>
                <w:color w:val="105C84"/>
                <w:spacing w:val="-6"/>
                <w:sz w:val="18"/>
              </w:rPr>
              <w:t> </w:t>
            </w:r>
            <w:r>
              <w:rPr>
                <w:color w:val="105C84"/>
                <w:sz w:val="18"/>
              </w:rPr>
              <w:t>children 2014-2016- NYSCHIRS)</w:t>
            </w:r>
          </w:p>
        </w:tc>
        <w:tc>
          <w:tcPr>
            <w:tcW w:w="1757" w:type="dxa"/>
          </w:tcPr>
          <w:p>
            <w:pPr>
              <w:pStyle w:val="TableParagraph"/>
              <w:spacing w:before="94"/>
              <w:ind w:left="89"/>
              <w:rPr>
                <w:sz w:val="18"/>
              </w:rPr>
            </w:pPr>
            <w:r>
              <w:rPr>
                <w:color w:val="105C84"/>
                <w:spacing w:val="-2"/>
                <w:sz w:val="18"/>
              </w:rPr>
              <w:t>LCDOH</w:t>
            </w:r>
          </w:p>
          <w:p>
            <w:pPr>
              <w:pStyle w:val="TableParagraph"/>
              <w:spacing w:line="336" w:lineRule="auto" w:before="83"/>
              <w:ind w:left="89" w:right="218"/>
              <w:rPr>
                <w:sz w:val="18"/>
              </w:rPr>
            </w:pPr>
            <w:r>
              <w:rPr>
                <w:color w:val="105C84"/>
                <w:spacing w:val="-2"/>
                <w:sz w:val="18"/>
              </w:rPr>
              <w:t>UR</w:t>
            </w:r>
            <w:r>
              <w:rPr>
                <w:color w:val="105C84"/>
                <w:spacing w:val="-13"/>
                <w:sz w:val="18"/>
              </w:rPr>
              <w:t> </w:t>
            </w:r>
            <w:r>
              <w:rPr>
                <w:color w:val="105C84"/>
                <w:spacing w:val="-2"/>
                <w:sz w:val="18"/>
              </w:rPr>
              <w:t>Med</w:t>
            </w:r>
            <w:r>
              <w:rPr>
                <w:color w:val="105C84"/>
                <w:spacing w:val="-10"/>
                <w:sz w:val="18"/>
              </w:rPr>
              <w:t> </w:t>
            </w:r>
            <w:r>
              <w:rPr>
                <w:color w:val="105C84"/>
                <w:spacing w:val="-2"/>
                <w:sz w:val="18"/>
              </w:rPr>
              <w:t>Noyes </w:t>
            </w:r>
            <w:r>
              <w:rPr>
                <w:color w:val="105C84"/>
                <w:spacing w:val="-4"/>
                <w:sz w:val="18"/>
              </w:rPr>
              <w:t>CCE</w:t>
            </w:r>
          </w:p>
          <w:p>
            <w:pPr>
              <w:pStyle w:val="TableParagraph"/>
              <w:ind w:left="89"/>
              <w:rPr>
                <w:sz w:val="18"/>
              </w:rPr>
            </w:pPr>
            <w:r>
              <w:rPr>
                <w:color w:val="105C84"/>
                <w:spacing w:val="-4"/>
                <w:sz w:val="18"/>
              </w:rPr>
              <w:t>GVHP</w:t>
            </w:r>
          </w:p>
          <w:p>
            <w:pPr>
              <w:pStyle w:val="TableParagraph"/>
              <w:spacing w:before="83"/>
              <w:ind w:left="89"/>
              <w:rPr>
                <w:sz w:val="18"/>
              </w:rPr>
            </w:pPr>
            <w:r>
              <w:rPr>
                <w:color w:val="105C84"/>
                <w:spacing w:val="-2"/>
                <w:sz w:val="18"/>
              </w:rPr>
              <w:t>Schools</w:t>
            </w:r>
          </w:p>
        </w:tc>
        <w:tc>
          <w:tcPr>
            <w:tcW w:w="2967" w:type="dxa"/>
          </w:tcPr>
          <w:p>
            <w:pPr>
              <w:pStyle w:val="TableParagraph"/>
              <w:spacing w:line="203" w:lineRule="exact" w:before="94"/>
              <w:ind w:left="89"/>
              <w:rPr>
                <w:sz w:val="18"/>
              </w:rPr>
            </w:pPr>
            <w:r>
              <w:rPr>
                <w:color w:val="105C84"/>
                <w:sz w:val="18"/>
              </w:rPr>
              <w:t>LCDOH,</w:t>
            </w:r>
            <w:r>
              <w:rPr>
                <w:color w:val="105C84"/>
                <w:spacing w:val="-12"/>
                <w:sz w:val="18"/>
              </w:rPr>
              <w:t> </w:t>
            </w:r>
            <w:r>
              <w:rPr>
                <w:color w:val="105C84"/>
                <w:sz w:val="18"/>
              </w:rPr>
              <w:t>UR</w:t>
            </w:r>
            <w:r>
              <w:rPr>
                <w:color w:val="105C84"/>
                <w:spacing w:val="-12"/>
                <w:sz w:val="18"/>
              </w:rPr>
              <w:t> </w:t>
            </w:r>
            <w:r>
              <w:rPr>
                <w:color w:val="105C84"/>
                <w:sz w:val="18"/>
              </w:rPr>
              <w:t>Med</w:t>
            </w:r>
            <w:r>
              <w:rPr>
                <w:color w:val="105C84"/>
                <w:spacing w:val="-12"/>
                <w:sz w:val="18"/>
              </w:rPr>
              <w:t> </w:t>
            </w:r>
            <w:r>
              <w:rPr>
                <w:color w:val="105C84"/>
                <w:sz w:val="18"/>
              </w:rPr>
              <w:t>Noyes,</w:t>
            </w:r>
            <w:r>
              <w:rPr>
                <w:color w:val="105C84"/>
                <w:spacing w:val="-12"/>
                <w:sz w:val="18"/>
              </w:rPr>
              <w:t> </w:t>
            </w:r>
            <w:r>
              <w:rPr>
                <w:color w:val="105C84"/>
                <w:spacing w:val="-4"/>
                <w:sz w:val="18"/>
              </w:rPr>
              <w:t>GVHP,</w:t>
            </w:r>
          </w:p>
          <w:p>
            <w:pPr>
              <w:pStyle w:val="TableParagraph"/>
              <w:spacing w:line="232" w:lineRule="auto" w:before="2"/>
              <w:ind w:left="89" w:right="325"/>
              <w:rPr>
                <w:sz w:val="18"/>
              </w:rPr>
            </w:pPr>
            <w:r>
              <w:rPr>
                <w:color w:val="105C84"/>
                <w:sz w:val="18"/>
              </w:rPr>
              <w:t>CCE</w:t>
            </w:r>
            <w:r>
              <w:rPr>
                <w:color w:val="105C84"/>
                <w:spacing w:val="-13"/>
                <w:sz w:val="18"/>
              </w:rPr>
              <w:t> </w:t>
            </w:r>
            <w:r>
              <w:rPr>
                <w:color w:val="105C84"/>
                <w:sz w:val="18"/>
              </w:rPr>
              <w:t>assist</w:t>
            </w:r>
            <w:r>
              <w:rPr>
                <w:color w:val="105C84"/>
                <w:spacing w:val="-12"/>
                <w:sz w:val="18"/>
              </w:rPr>
              <w:t> </w:t>
            </w:r>
            <w:r>
              <w:rPr>
                <w:color w:val="105C84"/>
                <w:sz w:val="18"/>
              </w:rPr>
              <w:t>with</w:t>
            </w:r>
            <w:r>
              <w:rPr>
                <w:color w:val="105C84"/>
                <w:spacing w:val="-13"/>
                <w:sz w:val="18"/>
              </w:rPr>
              <w:t> </w:t>
            </w:r>
            <w:r>
              <w:rPr>
                <w:color w:val="105C84"/>
                <w:sz w:val="18"/>
              </w:rPr>
              <w:t>implementation and evaluation</w:t>
            </w:r>
          </w:p>
          <w:p>
            <w:pPr>
              <w:pStyle w:val="TableParagraph"/>
              <w:spacing w:line="232" w:lineRule="auto" w:before="88"/>
              <w:ind w:left="89"/>
              <w:rPr>
                <w:sz w:val="18"/>
              </w:rPr>
            </w:pPr>
            <w:r>
              <w:rPr>
                <w:color w:val="105C84"/>
                <w:sz w:val="18"/>
              </w:rPr>
              <w:t>Schools</w:t>
            </w:r>
            <w:r>
              <w:rPr>
                <w:color w:val="105C84"/>
                <w:spacing w:val="-4"/>
                <w:sz w:val="18"/>
              </w:rPr>
              <w:t> </w:t>
            </w:r>
            <w:r>
              <w:rPr>
                <w:color w:val="105C84"/>
                <w:sz w:val="18"/>
              </w:rPr>
              <w:t>develop,</w:t>
            </w:r>
            <w:r>
              <w:rPr>
                <w:color w:val="105C84"/>
                <w:spacing w:val="-4"/>
                <w:sz w:val="18"/>
              </w:rPr>
              <w:t> </w:t>
            </w:r>
            <w:r>
              <w:rPr>
                <w:color w:val="105C84"/>
                <w:sz w:val="18"/>
              </w:rPr>
              <w:t>implement</w:t>
            </w:r>
            <w:r>
              <w:rPr>
                <w:color w:val="105C84"/>
                <w:spacing w:val="-4"/>
                <w:sz w:val="18"/>
              </w:rPr>
              <w:t> </w:t>
            </w:r>
            <w:r>
              <w:rPr>
                <w:color w:val="105C84"/>
                <w:sz w:val="18"/>
              </w:rPr>
              <w:t>and </w:t>
            </w:r>
            <w:r>
              <w:rPr>
                <w:color w:val="105C84"/>
                <w:spacing w:val="-2"/>
                <w:sz w:val="18"/>
              </w:rPr>
              <w:t>evaluate</w:t>
            </w:r>
          </w:p>
        </w:tc>
        <w:tc>
          <w:tcPr>
            <w:tcW w:w="2300" w:type="dxa"/>
          </w:tcPr>
          <w:p>
            <w:pPr>
              <w:pStyle w:val="TableParagraph"/>
              <w:spacing w:line="232" w:lineRule="auto" w:before="99"/>
              <w:ind w:left="88"/>
              <w:rPr>
                <w:sz w:val="18"/>
              </w:rPr>
            </w:pPr>
            <w:r>
              <w:rPr>
                <w:color w:val="105C84"/>
                <w:sz w:val="18"/>
              </w:rPr>
              <w:t>A minimum of two </w:t>
            </w:r>
            <w:r>
              <w:rPr>
                <w:color w:val="105C84"/>
                <w:spacing w:val="-2"/>
                <w:sz w:val="18"/>
              </w:rPr>
              <w:t>practices/policies </w:t>
            </w:r>
            <w:r>
              <w:rPr>
                <w:color w:val="105C84"/>
                <w:sz w:val="18"/>
              </w:rPr>
              <w:t>implemented</w:t>
            </w:r>
            <w:r>
              <w:rPr>
                <w:color w:val="105C84"/>
                <w:spacing w:val="-8"/>
                <w:sz w:val="18"/>
              </w:rPr>
              <w:t> </w:t>
            </w:r>
            <w:r>
              <w:rPr>
                <w:color w:val="105C84"/>
                <w:sz w:val="18"/>
              </w:rPr>
              <w:t>by</w:t>
            </w:r>
            <w:r>
              <w:rPr>
                <w:color w:val="105C84"/>
                <w:spacing w:val="-8"/>
                <w:sz w:val="18"/>
              </w:rPr>
              <w:t> </w:t>
            </w:r>
            <w:r>
              <w:rPr>
                <w:color w:val="105C84"/>
                <w:sz w:val="18"/>
              </w:rPr>
              <w:t>year</w:t>
            </w:r>
            <w:r>
              <w:rPr>
                <w:color w:val="105C84"/>
                <w:spacing w:val="-8"/>
                <w:sz w:val="18"/>
              </w:rPr>
              <w:t> </w:t>
            </w:r>
            <w:r>
              <w:rPr>
                <w:color w:val="105C84"/>
                <w:sz w:val="18"/>
              </w:rPr>
              <w:t>3</w:t>
            </w:r>
          </w:p>
        </w:tc>
      </w:tr>
      <w:tr>
        <w:trPr>
          <w:trHeight w:val="1040" w:hRule="atLeast"/>
        </w:trPr>
        <w:tc>
          <w:tcPr>
            <w:tcW w:w="1008" w:type="dxa"/>
            <w:vMerge/>
            <w:tcBorders>
              <w:top w:val="nil"/>
            </w:tcBorders>
            <w:shd w:val="clear" w:color="auto" w:fill="E6E7E8"/>
          </w:tcPr>
          <w:p>
            <w:pPr>
              <w:rPr>
                <w:sz w:val="2"/>
                <w:szCs w:val="2"/>
              </w:rPr>
            </w:pPr>
          </w:p>
        </w:tc>
        <w:tc>
          <w:tcPr>
            <w:tcW w:w="1152" w:type="dxa"/>
            <w:vMerge/>
            <w:tcBorders>
              <w:top w:val="nil"/>
            </w:tcBorders>
          </w:tcPr>
          <w:p>
            <w:pPr>
              <w:rPr>
                <w:sz w:val="2"/>
                <w:szCs w:val="2"/>
              </w:rPr>
            </w:pPr>
          </w:p>
        </w:tc>
        <w:tc>
          <w:tcPr>
            <w:tcW w:w="1426" w:type="dxa"/>
            <w:vMerge/>
            <w:tcBorders>
              <w:top w:val="nil"/>
            </w:tcBorders>
          </w:tcPr>
          <w:p>
            <w:pPr>
              <w:rPr>
                <w:sz w:val="2"/>
                <w:szCs w:val="2"/>
              </w:rPr>
            </w:pPr>
          </w:p>
        </w:tc>
        <w:tc>
          <w:tcPr>
            <w:tcW w:w="2592" w:type="dxa"/>
            <w:vMerge/>
            <w:tcBorders>
              <w:top w:val="nil"/>
            </w:tcBorders>
          </w:tcPr>
          <w:p>
            <w:pPr>
              <w:rPr>
                <w:sz w:val="2"/>
                <w:szCs w:val="2"/>
              </w:rPr>
            </w:pPr>
          </w:p>
        </w:tc>
        <w:tc>
          <w:tcPr>
            <w:tcW w:w="1267" w:type="dxa"/>
            <w:vMerge/>
            <w:tcBorders>
              <w:top w:val="nil"/>
            </w:tcBorders>
          </w:tcPr>
          <w:p>
            <w:pPr>
              <w:rPr>
                <w:sz w:val="2"/>
                <w:szCs w:val="2"/>
              </w:rPr>
            </w:pPr>
          </w:p>
        </w:tc>
        <w:tc>
          <w:tcPr>
            <w:tcW w:w="3708" w:type="dxa"/>
            <w:vMerge/>
            <w:tcBorders>
              <w:top w:val="nil"/>
              <w:right w:val="nil"/>
            </w:tcBorders>
          </w:tcPr>
          <w:p>
            <w:pPr>
              <w:rPr>
                <w:sz w:val="2"/>
                <w:szCs w:val="2"/>
              </w:rPr>
            </w:pPr>
          </w:p>
        </w:tc>
        <w:tc>
          <w:tcPr>
            <w:tcW w:w="4061" w:type="dxa"/>
            <w:tcBorders>
              <w:left w:val="nil"/>
            </w:tcBorders>
          </w:tcPr>
          <w:p>
            <w:pPr>
              <w:pStyle w:val="TableParagraph"/>
              <w:spacing w:line="232" w:lineRule="auto" w:before="99"/>
              <w:ind w:left="1084" w:right="397"/>
              <w:rPr>
                <w:sz w:val="18"/>
              </w:rPr>
            </w:pPr>
            <w:r>
              <w:rPr>
                <w:color w:val="105C84"/>
                <w:sz w:val="18"/>
              </w:rPr>
              <w:t>Increase number of schools </w:t>
            </w:r>
            <w:r>
              <w:rPr>
                <w:color w:val="105C84"/>
                <w:spacing w:val="-2"/>
                <w:sz w:val="18"/>
              </w:rPr>
              <w:t>implementing CATCH </w:t>
            </w:r>
            <w:r>
              <w:rPr>
                <w:color w:val="105C84"/>
                <w:spacing w:val="-2"/>
                <w:sz w:val="18"/>
              </w:rPr>
              <w:t>(Baseline: </w:t>
            </w:r>
            <w:r>
              <w:rPr>
                <w:color w:val="105C84"/>
                <w:sz w:val="18"/>
              </w:rPr>
              <w:t>0- 2018)</w:t>
            </w:r>
          </w:p>
        </w:tc>
        <w:tc>
          <w:tcPr>
            <w:tcW w:w="1757" w:type="dxa"/>
          </w:tcPr>
          <w:p>
            <w:pPr>
              <w:pStyle w:val="TableParagraph"/>
              <w:spacing w:before="94"/>
              <w:ind w:left="89"/>
              <w:rPr>
                <w:sz w:val="18"/>
              </w:rPr>
            </w:pPr>
            <w:r>
              <w:rPr>
                <w:color w:val="105C84"/>
                <w:spacing w:val="-2"/>
                <w:sz w:val="18"/>
              </w:rPr>
              <w:t>Schools</w:t>
            </w:r>
          </w:p>
          <w:p>
            <w:pPr>
              <w:pStyle w:val="TableParagraph"/>
              <w:spacing w:line="232" w:lineRule="auto" w:before="88"/>
              <w:ind w:left="89" w:right="426"/>
              <w:rPr>
                <w:sz w:val="18"/>
              </w:rPr>
            </w:pPr>
            <w:r>
              <w:rPr>
                <w:color w:val="105C84"/>
                <w:spacing w:val="-2"/>
                <w:sz w:val="18"/>
              </w:rPr>
              <w:t>Fingerlakes</w:t>
            </w:r>
            <w:r>
              <w:rPr>
                <w:color w:val="105C84"/>
                <w:spacing w:val="-11"/>
                <w:sz w:val="18"/>
              </w:rPr>
              <w:t> </w:t>
            </w:r>
            <w:r>
              <w:rPr>
                <w:color w:val="105C84"/>
                <w:spacing w:val="-2"/>
                <w:sz w:val="18"/>
              </w:rPr>
              <w:t>Eat </w:t>
            </w:r>
            <w:r>
              <w:rPr>
                <w:color w:val="105C84"/>
                <w:sz w:val="18"/>
              </w:rPr>
              <w:t>Smart NY</w:t>
            </w:r>
          </w:p>
        </w:tc>
        <w:tc>
          <w:tcPr>
            <w:tcW w:w="2967" w:type="dxa"/>
          </w:tcPr>
          <w:p>
            <w:pPr>
              <w:pStyle w:val="TableParagraph"/>
              <w:spacing w:line="232" w:lineRule="auto" w:before="99"/>
              <w:ind w:left="89"/>
              <w:rPr>
                <w:sz w:val="18"/>
              </w:rPr>
            </w:pPr>
            <w:r>
              <w:rPr>
                <w:color w:val="105C84"/>
                <w:sz w:val="18"/>
              </w:rPr>
              <w:t>School</w:t>
            </w:r>
            <w:r>
              <w:rPr>
                <w:color w:val="105C84"/>
                <w:spacing w:val="-2"/>
                <w:sz w:val="18"/>
              </w:rPr>
              <w:t> </w:t>
            </w:r>
            <w:r>
              <w:rPr>
                <w:color w:val="105C84"/>
                <w:sz w:val="18"/>
              </w:rPr>
              <w:t>staff</w:t>
            </w:r>
            <w:r>
              <w:rPr>
                <w:color w:val="105C84"/>
                <w:spacing w:val="-2"/>
                <w:sz w:val="18"/>
              </w:rPr>
              <w:t> </w:t>
            </w:r>
            <w:r>
              <w:rPr>
                <w:color w:val="105C84"/>
                <w:sz w:val="18"/>
              </w:rPr>
              <w:t>to</w:t>
            </w:r>
            <w:r>
              <w:rPr>
                <w:color w:val="105C84"/>
                <w:spacing w:val="-2"/>
                <w:sz w:val="18"/>
              </w:rPr>
              <w:t> </w:t>
            </w:r>
            <w:r>
              <w:rPr>
                <w:color w:val="105C84"/>
                <w:sz w:val="18"/>
              </w:rPr>
              <w:t>attend</w:t>
            </w:r>
            <w:r>
              <w:rPr>
                <w:color w:val="105C84"/>
                <w:spacing w:val="-2"/>
                <w:sz w:val="18"/>
              </w:rPr>
              <w:t> </w:t>
            </w:r>
            <w:r>
              <w:rPr>
                <w:color w:val="105C84"/>
                <w:sz w:val="18"/>
              </w:rPr>
              <w:t>training, </w:t>
            </w:r>
            <w:r>
              <w:rPr>
                <w:color w:val="105C84"/>
                <w:w w:val="105"/>
                <w:sz w:val="18"/>
              </w:rPr>
              <w:t>implement</w:t>
            </w:r>
            <w:r>
              <w:rPr>
                <w:color w:val="105C84"/>
                <w:spacing w:val="-1"/>
                <w:w w:val="105"/>
                <w:sz w:val="18"/>
              </w:rPr>
              <w:t> </w:t>
            </w:r>
            <w:r>
              <w:rPr>
                <w:color w:val="105C84"/>
                <w:w w:val="105"/>
                <w:sz w:val="18"/>
              </w:rPr>
              <w:t>CATCH</w:t>
            </w:r>
          </w:p>
          <w:p>
            <w:pPr>
              <w:pStyle w:val="TableParagraph"/>
              <w:spacing w:line="232" w:lineRule="auto" w:before="88"/>
              <w:ind w:left="89" w:right="51"/>
              <w:rPr>
                <w:sz w:val="18"/>
              </w:rPr>
            </w:pPr>
            <w:r>
              <w:rPr>
                <w:color w:val="105C84"/>
                <w:sz w:val="18"/>
              </w:rPr>
              <w:t>FLESNY</w:t>
            </w:r>
            <w:r>
              <w:rPr>
                <w:color w:val="105C84"/>
                <w:spacing w:val="-15"/>
                <w:sz w:val="18"/>
              </w:rPr>
              <w:t> </w:t>
            </w:r>
            <w:r>
              <w:rPr>
                <w:color w:val="105C84"/>
                <w:sz w:val="18"/>
              </w:rPr>
              <w:t>to</w:t>
            </w:r>
            <w:r>
              <w:rPr>
                <w:color w:val="105C84"/>
                <w:spacing w:val="-12"/>
                <w:sz w:val="18"/>
              </w:rPr>
              <w:t> </w:t>
            </w:r>
            <w:r>
              <w:rPr>
                <w:color w:val="105C84"/>
                <w:sz w:val="18"/>
              </w:rPr>
              <w:t>provide</w:t>
            </w:r>
            <w:r>
              <w:rPr>
                <w:color w:val="105C84"/>
                <w:spacing w:val="-13"/>
                <w:sz w:val="18"/>
              </w:rPr>
              <w:t> </w:t>
            </w:r>
            <w:r>
              <w:rPr>
                <w:color w:val="105C84"/>
                <w:sz w:val="18"/>
              </w:rPr>
              <w:t>training</w:t>
            </w:r>
            <w:r>
              <w:rPr>
                <w:color w:val="105C84"/>
                <w:spacing w:val="-12"/>
                <w:sz w:val="18"/>
              </w:rPr>
              <w:t> </w:t>
            </w:r>
            <w:r>
              <w:rPr>
                <w:color w:val="105C84"/>
                <w:sz w:val="18"/>
              </w:rPr>
              <w:t>and </w:t>
            </w:r>
            <w:r>
              <w:rPr>
                <w:color w:val="105C84"/>
                <w:w w:val="105"/>
                <w:sz w:val="18"/>
              </w:rPr>
              <w:t>tech</w:t>
            </w:r>
            <w:r>
              <w:rPr>
                <w:color w:val="105C84"/>
                <w:spacing w:val="-1"/>
                <w:w w:val="105"/>
                <w:sz w:val="18"/>
              </w:rPr>
              <w:t> </w:t>
            </w:r>
            <w:r>
              <w:rPr>
                <w:color w:val="105C84"/>
                <w:w w:val="105"/>
                <w:sz w:val="18"/>
              </w:rPr>
              <w:t>support</w:t>
            </w:r>
          </w:p>
        </w:tc>
        <w:tc>
          <w:tcPr>
            <w:tcW w:w="2300" w:type="dxa"/>
          </w:tcPr>
          <w:p>
            <w:pPr>
              <w:pStyle w:val="TableParagraph"/>
              <w:spacing w:line="232" w:lineRule="auto" w:before="99"/>
              <w:ind w:left="88"/>
              <w:rPr>
                <w:sz w:val="18"/>
              </w:rPr>
            </w:pPr>
            <w:r>
              <w:rPr>
                <w:color w:val="105C84"/>
                <w:sz w:val="18"/>
              </w:rPr>
              <w:t>A</w:t>
            </w:r>
            <w:r>
              <w:rPr>
                <w:color w:val="105C84"/>
                <w:spacing w:val="-5"/>
                <w:sz w:val="18"/>
              </w:rPr>
              <w:t> </w:t>
            </w:r>
            <w:r>
              <w:rPr>
                <w:color w:val="105C84"/>
                <w:sz w:val="18"/>
              </w:rPr>
              <w:t>minimum</w:t>
            </w:r>
            <w:r>
              <w:rPr>
                <w:color w:val="105C84"/>
                <w:spacing w:val="-5"/>
                <w:sz w:val="18"/>
              </w:rPr>
              <w:t> </w:t>
            </w:r>
            <w:r>
              <w:rPr>
                <w:color w:val="105C84"/>
                <w:sz w:val="18"/>
              </w:rPr>
              <w:t>of</w:t>
            </w:r>
            <w:r>
              <w:rPr>
                <w:color w:val="105C84"/>
                <w:spacing w:val="-5"/>
                <w:sz w:val="18"/>
              </w:rPr>
              <w:t> </w:t>
            </w:r>
            <w:r>
              <w:rPr>
                <w:color w:val="105C84"/>
                <w:sz w:val="18"/>
              </w:rPr>
              <w:t>two</w:t>
            </w:r>
            <w:r>
              <w:rPr>
                <w:color w:val="105C84"/>
                <w:spacing w:val="-5"/>
                <w:sz w:val="18"/>
              </w:rPr>
              <w:t> </w:t>
            </w:r>
            <w:r>
              <w:rPr>
                <w:color w:val="105C84"/>
                <w:sz w:val="18"/>
              </w:rPr>
              <w:t>schools implementing CATCH by year 3</w:t>
            </w:r>
          </w:p>
        </w:tc>
      </w:tr>
    </w:tbl>
    <w:p>
      <w:pPr>
        <w:pStyle w:val="BodyText"/>
        <w:rPr>
          <w:b/>
          <w:sz w:val="26"/>
        </w:rPr>
      </w:pPr>
    </w:p>
    <w:p>
      <w:pPr>
        <w:pStyle w:val="BodyText"/>
        <w:spacing w:before="141"/>
        <w:rPr>
          <w:b/>
          <w:sz w:val="26"/>
        </w:rPr>
      </w:pPr>
    </w:p>
    <w:p>
      <w:pPr>
        <w:tabs>
          <w:tab w:pos="23047" w:val="left" w:leader="none"/>
        </w:tabs>
        <w:spacing w:before="1"/>
        <w:ind w:left="0" w:right="0" w:firstLine="0"/>
        <w:jc w:val="left"/>
        <w:rPr>
          <w:b/>
          <w:sz w:val="26"/>
        </w:rPr>
      </w:pPr>
      <w:r>
        <w:rPr>
          <w:position w:val="-4"/>
        </w:rPr>
        <w:drawing>
          <wp:inline distT="0" distB="0" distL="0" distR="0">
            <wp:extent cx="568172" cy="184683"/>
            <wp:effectExtent l="0" t="0" r="0" b="0"/>
            <wp:docPr id="1767" name="Image 1767"/>
            <wp:cNvGraphicFramePr>
              <a:graphicFrameLocks/>
            </wp:cNvGraphicFramePr>
            <a:graphic>
              <a:graphicData uri="http://schemas.openxmlformats.org/drawingml/2006/picture">
                <pic:pic>
                  <pic:nvPicPr>
                    <pic:cNvPr id="1767" name="Image 1767"/>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13"/>
          <w:sz w:val="20"/>
        </w:rPr>
        <w:t> </w:t>
      </w:r>
      <w:r>
        <w:rPr>
          <w:b/>
          <w:color w:val="939598"/>
          <w:w w:val="105"/>
          <w:sz w:val="26"/>
        </w:rPr>
        <w:t>131</w:t>
      </w:r>
      <w:r>
        <w:rPr>
          <w:b/>
          <w:color w:val="939598"/>
          <w:sz w:val="26"/>
        </w:rPr>
        <w:tab/>
      </w:r>
      <w:r>
        <w:rPr>
          <w:b/>
          <w:color w:val="939598"/>
          <w:spacing w:val="-5"/>
          <w:w w:val="105"/>
          <w:sz w:val="26"/>
        </w:rPr>
        <w:t>132</w:t>
      </w:r>
    </w:p>
    <w:p>
      <w:pPr>
        <w:spacing w:after="0"/>
        <w:jc w:val="left"/>
        <w:rPr>
          <w:b/>
          <w:sz w:val="26"/>
        </w:rPr>
        <w:sectPr>
          <w:pgSz w:w="24480" w:h="15840" w:orient="landscape"/>
          <w:pgMar w:header="0" w:footer="0" w:top="860" w:bottom="0" w:left="0" w:right="720"/>
        </w:sectPr>
      </w:pPr>
    </w:p>
    <w:p>
      <w:pPr>
        <w:spacing w:before="607"/>
        <w:ind w:left="1089" w:right="0" w:firstLine="0"/>
        <w:jc w:val="left"/>
        <w:rPr>
          <w:sz w:val="54"/>
        </w:rPr>
      </w:pPr>
      <w:r>
        <w:rPr>
          <w:sz w:val="54"/>
        </w:rPr>
        <w:drawing>
          <wp:anchor distT="0" distB="0" distL="0" distR="0" allowOverlap="1" layoutInCell="1" locked="0" behindDoc="0" simplePos="0" relativeHeight="15930880">
            <wp:simplePos x="0" y="0"/>
            <wp:positionH relativeFrom="page">
              <wp:posOffset>14981556</wp:posOffset>
            </wp:positionH>
            <wp:positionV relativeFrom="page">
              <wp:posOffset>9668103</wp:posOffset>
            </wp:positionV>
            <wp:extent cx="563245" cy="184683"/>
            <wp:effectExtent l="0" t="0" r="0" b="0"/>
            <wp:wrapNone/>
            <wp:docPr id="1768" name="Image 1768"/>
            <wp:cNvGraphicFramePr>
              <a:graphicFrameLocks/>
            </wp:cNvGraphicFramePr>
            <a:graphic>
              <a:graphicData uri="http://schemas.openxmlformats.org/drawingml/2006/picture">
                <pic:pic>
                  <pic:nvPicPr>
                    <pic:cNvPr id="1768" name="Image 1768"/>
                    <pic:cNvPicPr/>
                  </pic:nvPicPr>
                  <pic:blipFill>
                    <a:blip r:embed="rId38" cstate="print"/>
                    <a:stretch>
                      <a:fillRect/>
                    </a:stretch>
                  </pic:blipFill>
                  <pic:spPr>
                    <a:xfrm>
                      <a:off x="0" y="0"/>
                      <a:ext cx="563245" cy="184683"/>
                    </a:xfrm>
                    <a:prstGeom prst="rect">
                      <a:avLst/>
                    </a:prstGeom>
                  </pic:spPr>
                </pic:pic>
              </a:graphicData>
            </a:graphic>
          </wp:anchor>
        </w:drawing>
      </w:r>
      <w:r>
        <w:rPr>
          <w:sz w:val="54"/>
        </w:rPr>
        <w:drawing>
          <wp:anchor distT="0" distB="0" distL="0" distR="0" allowOverlap="1" layoutInCell="1" locked="0" behindDoc="0" simplePos="0" relativeHeight="15931392">
            <wp:simplePos x="0" y="0"/>
            <wp:positionH relativeFrom="page">
              <wp:posOffset>14162106</wp:posOffset>
            </wp:positionH>
            <wp:positionV relativeFrom="paragraph">
              <wp:posOffset>321014</wp:posOffset>
            </wp:positionV>
            <wp:extent cx="696753" cy="690419"/>
            <wp:effectExtent l="0" t="0" r="0" b="0"/>
            <wp:wrapNone/>
            <wp:docPr id="1769" name="Image 1769"/>
            <wp:cNvGraphicFramePr>
              <a:graphicFrameLocks/>
            </wp:cNvGraphicFramePr>
            <a:graphic>
              <a:graphicData uri="http://schemas.openxmlformats.org/drawingml/2006/picture">
                <pic:pic>
                  <pic:nvPicPr>
                    <pic:cNvPr id="1769" name="Image 1769"/>
                    <pic:cNvPicPr/>
                  </pic:nvPicPr>
                  <pic:blipFill>
                    <a:blip r:embed="rId244" cstate="print"/>
                    <a:stretch>
                      <a:fillRect/>
                    </a:stretch>
                  </pic:blipFill>
                  <pic:spPr>
                    <a:xfrm>
                      <a:off x="0" y="0"/>
                      <a:ext cx="696753" cy="690419"/>
                    </a:xfrm>
                    <a:prstGeom prst="rect">
                      <a:avLst/>
                    </a:prstGeom>
                  </pic:spPr>
                </pic:pic>
              </a:graphicData>
            </a:graphic>
          </wp:anchor>
        </w:drawing>
      </w:r>
      <w:r>
        <w:rPr>
          <w:sz w:val="54"/>
        </w:rPr>
        <w:drawing>
          <wp:anchor distT="0" distB="0" distL="0" distR="0" allowOverlap="1" layoutInCell="1" locked="0" behindDoc="0" simplePos="0" relativeHeight="15931904">
            <wp:simplePos x="0" y="0"/>
            <wp:positionH relativeFrom="page">
              <wp:posOffset>12710185</wp:posOffset>
            </wp:positionH>
            <wp:positionV relativeFrom="paragraph">
              <wp:posOffset>365760</wp:posOffset>
            </wp:positionV>
            <wp:extent cx="1326527" cy="258263"/>
            <wp:effectExtent l="0" t="0" r="0" b="0"/>
            <wp:wrapNone/>
            <wp:docPr id="1770" name="Image 1770"/>
            <wp:cNvGraphicFramePr>
              <a:graphicFrameLocks/>
            </wp:cNvGraphicFramePr>
            <a:graphic>
              <a:graphicData uri="http://schemas.openxmlformats.org/drawingml/2006/picture">
                <pic:pic>
                  <pic:nvPicPr>
                    <pic:cNvPr id="1770" name="Image 1770"/>
                    <pic:cNvPicPr/>
                  </pic:nvPicPr>
                  <pic:blipFill>
                    <a:blip r:embed="rId245" cstate="print"/>
                    <a:stretch>
                      <a:fillRect/>
                    </a:stretch>
                  </pic:blipFill>
                  <pic:spPr>
                    <a:xfrm>
                      <a:off x="0" y="0"/>
                      <a:ext cx="1326527" cy="258263"/>
                    </a:xfrm>
                    <a:prstGeom prst="rect">
                      <a:avLst/>
                    </a:prstGeom>
                  </pic:spPr>
                </pic:pic>
              </a:graphicData>
            </a:graphic>
          </wp:anchor>
        </w:drawing>
      </w:r>
      <w:r>
        <w:rPr>
          <w:sz w:val="54"/>
        </w:rPr>
        <w:drawing>
          <wp:anchor distT="0" distB="0" distL="0" distR="0" allowOverlap="1" layoutInCell="1" locked="0" behindDoc="0" simplePos="0" relativeHeight="15932416">
            <wp:simplePos x="0" y="0"/>
            <wp:positionH relativeFrom="page">
              <wp:posOffset>11252403</wp:posOffset>
            </wp:positionH>
            <wp:positionV relativeFrom="paragraph">
              <wp:posOffset>311404</wp:posOffset>
            </wp:positionV>
            <wp:extent cx="1291335" cy="314959"/>
            <wp:effectExtent l="0" t="0" r="0" b="0"/>
            <wp:wrapNone/>
            <wp:docPr id="1771" name="Image 1771"/>
            <wp:cNvGraphicFramePr>
              <a:graphicFrameLocks/>
            </wp:cNvGraphicFramePr>
            <a:graphic>
              <a:graphicData uri="http://schemas.openxmlformats.org/drawingml/2006/picture">
                <pic:pic>
                  <pic:nvPicPr>
                    <pic:cNvPr id="1771" name="Image 1771"/>
                    <pic:cNvPicPr/>
                  </pic:nvPicPr>
                  <pic:blipFill>
                    <a:blip r:embed="rId246" cstate="print"/>
                    <a:stretch>
                      <a:fillRect/>
                    </a:stretch>
                  </pic:blipFill>
                  <pic:spPr>
                    <a:xfrm>
                      <a:off x="0" y="0"/>
                      <a:ext cx="1291335" cy="314959"/>
                    </a:xfrm>
                    <a:prstGeom prst="rect">
                      <a:avLst/>
                    </a:prstGeom>
                  </pic:spPr>
                </pic:pic>
              </a:graphicData>
            </a:graphic>
          </wp:anchor>
        </w:drawing>
      </w:r>
      <w:r>
        <w:rPr>
          <w:color w:val="636466"/>
          <w:sz w:val="54"/>
        </w:rPr>
        <w:t>Livingston</w:t>
      </w:r>
      <w:r>
        <w:rPr>
          <w:color w:val="636466"/>
          <w:spacing w:val="70"/>
          <w:sz w:val="54"/>
        </w:rPr>
        <w:t> </w:t>
      </w:r>
      <w:r>
        <w:rPr>
          <w:color w:val="636466"/>
          <w:sz w:val="54"/>
        </w:rPr>
        <w:t>County</w:t>
      </w:r>
      <w:r>
        <w:rPr>
          <w:color w:val="636466"/>
          <w:spacing w:val="71"/>
          <w:sz w:val="54"/>
        </w:rPr>
        <w:t> </w:t>
      </w:r>
      <w:r>
        <w:rPr>
          <w:color w:val="636466"/>
          <w:sz w:val="54"/>
        </w:rPr>
        <w:t>Appendix</w:t>
      </w:r>
      <w:r>
        <w:rPr>
          <w:color w:val="636466"/>
          <w:spacing w:val="71"/>
          <w:sz w:val="54"/>
        </w:rPr>
        <w:t> </w:t>
      </w:r>
      <w:r>
        <w:rPr>
          <w:color w:val="636466"/>
          <w:spacing w:val="-10"/>
          <w:sz w:val="54"/>
        </w:rPr>
        <w:t>B</w:t>
      </w:r>
    </w:p>
    <w:p>
      <w:pPr>
        <w:spacing w:before="235"/>
        <w:ind w:left="1089" w:right="0" w:firstLine="0"/>
        <w:jc w:val="left"/>
        <w:rPr>
          <w:b/>
          <w:sz w:val="32"/>
        </w:rPr>
      </w:pPr>
      <w:r>
        <w:rPr>
          <w:b/>
          <w:color w:val="82BF6A"/>
          <w:spacing w:val="-6"/>
          <w:sz w:val="32"/>
        </w:rPr>
        <w:t>PRIORITY:</w:t>
      </w:r>
      <w:r>
        <w:rPr>
          <w:b/>
          <w:color w:val="82BF6A"/>
          <w:spacing w:val="-13"/>
          <w:sz w:val="32"/>
        </w:rPr>
        <w:t> </w:t>
      </w:r>
      <w:r>
        <w:rPr>
          <w:b/>
          <w:color w:val="82BF6A"/>
          <w:spacing w:val="-6"/>
          <w:sz w:val="32"/>
        </w:rPr>
        <w:t>PREVENT</w:t>
      </w:r>
      <w:r>
        <w:rPr>
          <w:b/>
          <w:color w:val="82BF6A"/>
          <w:spacing w:val="-13"/>
          <w:sz w:val="32"/>
        </w:rPr>
        <w:t> </w:t>
      </w:r>
      <w:r>
        <w:rPr>
          <w:b/>
          <w:color w:val="82BF6A"/>
          <w:spacing w:val="-6"/>
          <w:sz w:val="32"/>
        </w:rPr>
        <w:t>CHRONIC</w:t>
      </w:r>
      <w:r>
        <w:rPr>
          <w:b/>
          <w:color w:val="82BF6A"/>
          <w:spacing w:val="-13"/>
          <w:sz w:val="32"/>
        </w:rPr>
        <w:t> </w:t>
      </w:r>
      <w:r>
        <w:rPr>
          <w:b/>
          <w:color w:val="82BF6A"/>
          <w:spacing w:val="-6"/>
          <w:sz w:val="32"/>
        </w:rPr>
        <w:t>DISEASES</w:t>
      </w:r>
    </w:p>
    <w:p>
      <w:pPr>
        <w:pStyle w:val="BodyText"/>
        <w:spacing w:before="8"/>
        <w:rPr>
          <w:b/>
          <w:sz w:val="16"/>
        </w:rPr>
      </w:pPr>
    </w:p>
    <w:tbl>
      <w:tblPr>
        <w:tblW w:w="0" w:type="auto"/>
        <w:jc w:val="left"/>
        <w:tblInd w:w="1099"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1008"/>
        <w:gridCol w:w="1152"/>
        <w:gridCol w:w="1267"/>
        <w:gridCol w:w="2304"/>
        <w:gridCol w:w="1253"/>
        <w:gridCol w:w="4162"/>
        <w:gridCol w:w="4068"/>
        <w:gridCol w:w="2318"/>
        <w:gridCol w:w="2966"/>
        <w:gridCol w:w="1730"/>
      </w:tblGrid>
      <w:tr>
        <w:trPr>
          <w:trHeight w:val="770" w:hRule="atLeast"/>
        </w:trPr>
        <w:tc>
          <w:tcPr>
            <w:tcW w:w="1008" w:type="dxa"/>
            <w:tcBorders>
              <w:right w:val="single" w:sz="4" w:space="0" w:color="FFFFFF"/>
            </w:tcBorders>
            <w:shd w:val="clear" w:color="auto" w:fill="A7A9AC"/>
          </w:tcPr>
          <w:p>
            <w:pPr>
              <w:pStyle w:val="TableParagraph"/>
              <w:spacing w:before="67"/>
              <w:rPr>
                <w:b/>
                <w:sz w:val="20"/>
              </w:rPr>
            </w:pPr>
          </w:p>
          <w:p>
            <w:pPr>
              <w:pStyle w:val="TableParagraph"/>
              <w:ind w:left="80"/>
              <w:rPr>
                <w:b/>
                <w:sz w:val="20"/>
              </w:rPr>
            </w:pPr>
            <w:r>
              <w:rPr>
                <w:b/>
                <w:color w:val="FFFFFF"/>
                <w:spacing w:val="-2"/>
                <w:sz w:val="20"/>
              </w:rPr>
              <w:t>Priority</w:t>
            </w:r>
          </w:p>
        </w:tc>
        <w:tc>
          <w:tcPr>
            <w:tcW w:w="1152" w:type="dxa"/>
            <w:tcBorders>
              <w:left w:val="single" w:sz="4" w:space="0" w:color="FFFFFF"/>
              <w:right w:val="single" w:sz="4" w:space="0" w:color="FFFFFF"/>
            </w:tcBorders>
            <w:shd w:val="clear" w:color="auto" w:fill="A7A9AC"/>
          </w:tcPr>
          <w:p>
            <w:pPr>
              <w:pStyle w:val="TableParagraph"/>
              <w:spacing w:line="230" w:lineRule="auto" w:before="195"/>
              <w:ind w:left="79" w:right="522"/>
              <w:rPr>
                <w:b/>
                <w:sz w:val="20"/>
              </w:rPr>
            </w:pPr>
            <w:r>
              <w:rPr>
                <w:b/>
                <w:color w:val="FFFFFF"/>
                <w:spacing w:val="-2"/>
                <w:w w:val="90"/>
                <w:sz w:val="20"/>
              </w:rPr>
              <w:t>Focus </w:t>
            </w:r>
            <w:r>
              <w:rPr>
                <w:b/>
                <w:color w:val="FFFFFF"/>
                <w:spacing w:val="-4"/>
                <w:sz w:val="20"/>
              </w:rPr>
              <w:t>Area</w:t>
            </w:r>
          </w:p>
        </w:tc>
        <w:tc>
          <w:tcPr>
            <w:tcW w:w="1267" w:type="dxa"/>
            <w:tcBorders>
              <w:left w:val="single" w:sz="4" w:space="0" w:color="FFFFFF"/>
              <w:right w:val="single" w:sz="4" w:space="0" w:color="FFFFFF"/>
            </w:tcBorders>
            <w:shd w:val="clear" w:color="auto" w:fill="A7A9AC"/>
          </w:tcPr>
          <w:p>
            <w:pPr>
              <w:pStyle w:val="TableParagraph"/>
              <w:spacing w:line="230" w:lineRule="auto" w:before="195"/>
              <w:ind w:left="79"/>
              <w:rPr>
                <w:b/>
                <w:sz w:val="20"/>
              </w:rPr>
            </w:pPr>
            <w:r>
              <w:rPr>
                <w:b/>
                <w:color w:val="FFFFFF"/>
                <w:spacing w:val="-8"/>
                <w:sz w:val="20"/>
              </w:rPr>
              <w:t>Goal</w:t>
            </w:r>
            <w:r>
              <w:rPr>
                <w:b/>
                <w:color w:val="FFFFFF"/>
                <w:spacing w:val="-6"/>
                <w:sz w:val="20"/>
              </w:rPr>
              <w:t> </w:t>
            </w:r>
            <w:r>
              <w:rPr>
                <w:b/>
                <w:color w:val="FFFFFF"/>
                <w:spacing w:val="-8"/>
                <w:sz w:val="20"/>
              </w:rPr>
              <w:t>Focus </w:t>
            </w:r>
            <w:r>
              <w:rPr>
                <w:b/>
                <w:color w:val="FFFFFF"/>
                <w:spacing w:val="-4"/>
                <w:sz w:val="20"/>
              </w:rPr>
              <w:t>Area</w:t>
            </w:r>
          </w:p>
        </w:tc>
        <w:tc>
          <w:tcPr>
            <w:tcW w:w="2304" w:type="dxa"/>
            <w:tcBorders>
              <w:left w:val="single" w:sz="4" w:space="0" w:color="FFFFFF"/>
              <w:right w:val="single" w:sz="4" w:space="0" w:color="FFFFFF"/>
            </w:tcBorders>
            <w:shd w:val="clear" w:color="auto" w:fill="A7A9AC"/>
          </w:tcPr>
          <w:p>
            <w:pPr>
              <w:pStyle w:val="TableParagraph"/>
              <w:spacing w:before="67"/>
              <w:rPr>
                <w:b/>
                <w:sz w:val="20"/>
              </w:rPr>
            </w:pPr>
          </w:p>
          <w:p>
            <w:pPr>
              <w:pStyle w:val="TableParagraph"/>
              <w:ind w:left="79"/>
              <w:rPr>
                <w:b/>
                <w:sz w:val="20"/>
              </w:rPr>
            </w:pPr>
            <w:r>
              <w:rPr>
                <w:b/>
                <w:color w:val="FFFFFF"/>
                <w:spacing w:val="-2"/>
                <w:sz w:val="20"/>
              </w:rPr>
              <w:t>Objectives</w:t>
            </w:r>
          </w:p>
        </w:tc>
        <w:tc>
          <w:tcPr>
            <w:tcW w:w="1253" w:type="dxa"/>
            <w:tcBorders>
              <w:left w:val="single" w:sz="4" w:space="0" w:color="FFFFFF"/>
              <w:right w:val="single" w:sz="4" w:space="0" w:color="FFFFFF"/>
            </w:tcBorders>
            <w:shd w:val="clear" w:color="auto" w:fill="A7A9AC"/>
          </w:tcPr>
          <w:p>
            <w:pPr>
              <w:pStyle w:val="TableParagraph"/>
              <w:spacing w:before="67"/>
              <w:rPr>
                <w:b/>
                <w:sz w:val="20"/>
              </w:rPr>
            </w:pPr>
          </w:p>
          <w:p>
            <w:pPr>
              <w:pStyle w:val="TableParagraph"/>
              <w:ind w:left="79"/>
              <w:rPr>
                <w:b/>
                <w:sz w:val="20"/>
              </w:rPr>
            </w:pPr>
            <w:r>
              <w:rPr>
                <w:b/>
                <w:color w:val="FFFFFF"/>
                <w:spacing w:val="-2"/>
                <w:sz w:val="20"/>
              </w:rPr>
              <w:t>Disparities</w:t>
            </w:r>
          </w:p>
        </w:tc>
        <w:tc>
          <w:tcPr>
            <w:tcW w:w="4162" w:type="dxa"/>
            <w:tcBorders>
              <w:left w:val="single" w:sz="4" w:space="0" w:color="FFFFFF"/>
              <w:right w:val="nil"/>
            </w:tcBorders>
            <w:shd w:val="clear" w:color="auto" w:fill="A7A9AC"/>
          </w:tcPr>
          <w:p>
            <w:pPr>
              <w:pStyle w:val="TableParagraph"/>
              <w:spacing w:before="67"/>
              <w:rPr>
                <w:b/>
                <w:sz w:val="20"/>
              </w:rPr>
            </w:pPr>
          </w:p>
          <w:p>
            <w:pPr>
              <w:pStyle w:val="TableParagraph"/>
              <w:ind w:left="79"/>
              <w:rPr>
                <w:b/>
                <w:sz w:val="20"/>
              </w:rPr>
            </w:pPr>
            <w:r>
              <w:rPr>
                <w:b/>
                <w:color w:val="FFFFFF"/>
                <w:spacing w:val="-2"/>
                <w:sz w:val="20"/>
              </w:rPr>
              <w:t>Interventions</w:t>
            </w:r>
          </w:p>
        </w:tc>
        <w:tc>
          <w:tcPr>
            <w:tcW w:w="4068" w:type="dxa"/>
            <w:tcBorders>
              <w:left w:val="nil"/>
              <w:right w:val="single" w:sz="4" w:space="0" w:color="FFFFFF"/>
            </w:tcBorders>
            <w:shd w:val="clear" w:color="auto" w:fill="A7A9AC"/>
          </w:tcPr>
          <w:p>
            <w:pPr>
              <w:pStyle w:val="TableParagraph"/>
              <w:spacing w:before="67"/>
              <w:rPr>
                <w:b/>
                <w:sz w:val="20"/>
              </w:rPr>
            </w:pPr>
          </w:p>
          <w:p>
            <w:pPr>
              <w:pStyle w:val="TableParagraph"/>
              <w:ind w:left="1181"/>
              <w:rPr>
                <w:b/>
                <w:sz w:val="20"/>
              </w:rPr>
            </w:pPr>
            <w:r>
              <w:rPr>
                <w:b/>
                <w:color w:val="FFFFFF"/>
                <w:sz w:val="20"/>
              </w:rPr>
              <w:t>Family</w:t>
            </w:r>
            <w:r>
              <w:rPr>
                <w:b/>
                <w:color w:val="FFFFFF"/>
                <w:spacing w:val="-12"/>
                <w:sz w:val="20"/>
              </w:rPr>
              <w:t> </w:t>
            </w:r>
            <w:r>
              <w:rPr>
                <w:b/>
                <w:color w:val="FFFFFF"/>
                <w:sz w:val="20"/>
              </w:rPr>
              <w:t>of</w:t>
            </w:r>
            <w:r>
              <w:rPr>
                <w:b/>
                <w:color w:val="FFFFFF"/>
                <w:spacing w:val="-12"/>
                <w:sz w:val="20"/>
              </w:rPr>
              <w:t> </w:t>
            </w:r>
            <w:r>
              <w:rPr>
                <w:b/>
                <w:color w:val="FFFFFF"/>
                <w:spacing w:val="-2"/>
                <w:sz w:val="20"/>
              </w:rPr>
              <w:t>Measures</w:t>
            </w:r>
          </w:p>
        </w:tc>
        <w:tc>
          <w:tcPr>
            <w:tcW w:w="2318" w:type="dxa"/>
            <w:tcBorders>
              <w:left w:val="single" w:sz="4" w:space="0" w:color="FFFFFF"/>
              <w:right w:val="single" w:sz="4" w:space="0" w:color="FFFFFF"/>
            </w:tcBorders>
            <w:shd w:val="clear" w:color="auto" w:fill="A7A9AC"/>
          </w:tcPr>
          <w:p>
            <w:pPr>
              <w:pStyle w:val="TableParagraph"/>
              <w:spacing w:line="230" w:lineRule="auto" w:before="195"/>
              <w:ind w:left="89" w:right="289"/>
              <w:rPr>
                <w:b/>
                <w:sz w:val="20"/>
              </w:rPr>
            </w:pPr>
            <w:r>
              <w:rPr>
                <w:b/>
                <w:color w:val="FFFFFF"/>
                <w:spacing w:val="-2"/>
                <w:sz w:val="20"/>
              </w:rPr>
              <w:t>Implementation Partner</w:t>
            </w:r>
          </w:p>
        </w:tc>
        <w:tc>
          <w:tcPr>
            <w:tcW w:w="2966" w:type="dxa"/>
            <w:tcBorders>
              <w:left w:val="single" w:sz="4" w:space="0" w:color="FFFFFF"/>
              <w:right w:val="single" w:sz="4" w:space="0" w:color="FFFFFF"/>
            </w:tcBorders>
            <w:shd w:val="clear" w:color="auto" w:fill="A7A9AC"/>
          </w:tcPr>
          <w:p>
            <w:pPr>
              <w:pStyle w:val="TableParagraph"/>
              <w:spacing w:before="67"/>
              <w:rPr>
                <w:b/>
                <w:sz w:val="20"/>
              </w:rPr>
            </w:pPr>
          </w:p>
          <w:p>
            <w:pPr>
              <w:pStyle w:val="TableParagraph"/>
              <w:ind w:left="79"/>
              <w:rPr>
                <w:b/>
                <w:sz w:val="20"/>
              </w:rPr>
            </w:pPr>
            <w:r>
              <w:rPr>
                <w:b/>
                <w:color w:val="FFFFFF"/>
                <w:spacing w:val="-4"/>
                <w:sz w:val="20"/>
              </w:rPr>
              <w:t>Partner</w:t>
            </w:r>
            <w:r>
              <w:rPr>
                <w:b/>
                <w:color w:val="FFFFFF"/>
                <w:spacing w:val="-2"/>
                <w:sz w:val="20"/>
              </w:rPr>
              <w:t> </w:t>
            </w:r>
            <w:r>
              <w:rPr>
                <w:b/>
                <w:color w:val="FFFFFF"/>
                <w:spacing w:val="-4"/>
                <w:sz w:val="20"/>
              </w:rPr>
              <w:t>Roles</w:t>
            </w:r>
            <w:r>
              <w:rPr>
                <w:b/>
                <w:color w:val="FFFFFF"/>
                <w:spacing w:val="-2"/>
                <w:sz w:val="20"/>
              </w:rPr>
              <w:t> </w:t>
            </w:r>
            <w:r>
              <w:rPr>
                <w:b/>
                <w:color w:val="FFFFFF"/>
                <w:spacing w:val="-4"/>
                <w:sz w:val="20"/>
              </w:rPr>
              <w:t>Resources</w:t>
            </w:r>
          </w:p>
        </w:tc>
        <w:tc>
          <w:tcPr>
            <w:tcW w:w="1730" w:type="dxa"/>
            <w:tcBorders>
              <w:left w:val="single" w:sz="4" w:space="0" w:color="FFFFFF"/>
              <w:right w:val="single" w:sz="4" w:space="0" w:color="FFFFFF"/>
            </w:tcBorders>
            <w:shd w:val="clear" w:color="auto" w:fill="A7A9AC"/>
          </w:tcPr>
          <w:p>
            <w:pPr>
              <w:pStyle w:val="TableParagraph"/>
              <w:spacing w:line="230" w:lineRule="auto" w:before="195"/>
              <w:ind w:left="80" w:right="93"/>
              <w:rPr>
                <w:b/>
                <w:sz w:val="20"/>
              </w:rPr>
            </w:pPr>
            <w:r>
              <w:rPr>
                <w:b/>
                <w:color w:val="FFFFFF"/>
                <w:spacing w:val="-4"/>
                <w:sz w:val="20"/>
              </w:rPr>
              <w:t>Projected</w:t>
            </w:r>
            <w:r>
              <w:rPr>
                <w:b/>
                <w:color w:val="FFFFFF"/>
                <w:spacing w:val="-10"/>
                <w:sz w:val="20"/>
              </w:rPr>
              <w:t> </w:t>
            </w:r>
            <w:r>
              <w:rPr>
                <w:b/>
                <w:color w:val="FFFFFF"/>
                <w:spacing w:val="-4"/>
                <w:sz w:val="20"/>
              </w:rPr>
              <w:t>Year </w:t>
            </w:r>
            <w:r>
              <w:rPr>
                <w:b/>
                <w:color w:val="FFFFFF"/>
                <w:sz w:val="20"/>
              </w:rPr>
              <w:t>1,2, and 3</w:t>
            </w:r>
          </w:p>
        </w:tc>
      </w:tr>
      <w:tr>
        <w:trPr>
          <w:trHeight w:val="1527" w:hRule="atLeast"/>
        </w:trPr>
        <w:tc>
          <w:tcPr>
            <w:tcW w:w="1008" w:type="dxa"/>
            <w:tcBorders>
              <w:bottom w:val="nil"/>
            </w:tcBorders>
            <w:shd w:val="clear" w:color="auto" w:fill="E6E7E8"/>
          </w:tcPr>
          <w:p>
            <w:pPr>
              <w:pStyle w:val="TableParagraph"/>
              <w:spacing w:line="232" w:lineRule="auto" w:before="101"/>
              <w:ind w:left="90" w:right="191"/>
              <w:jc w:val="both"/>
              <w:rPr>
                <w:sz w:val="18"/>
              </w:rPr>
            </w:pPr>
            <w:r>
              <w:rPr>
                <w:color w:val="105C84"/>
                <w:spacing w:val="-2"/>
                <w:sz w:val="18"/>
              </w:rPr>
              <w:t>Prevent Chronic </w:t>
            </w:r>
            <w:r>
              <w:rPr>
                <w:color w:val="105C84"/>
                <w:spacing w:val="-6"/>
                <w:sz w:val="18"/>
              </w:rPr>
              <w:t>Diseases</w:t>
            </w:r>
          </w:p>
        </w:tc>
        <w:tc>
          <w:tcPr>
            <w:tcW w:w="1152" w:type="dxa"/>
            <w:tcBorders>
              <w:bottom w:val="nil"/>
            </w:tcBorders>
          </w:tcPr>
          <w:p>
            <w:pPr>
              <w:pStyle w:val="TableParagraph"/>
              <w:spacing w:line="232" w:lineRule="auto" w:before="101"/>
              <w:ind w:left="89" w:right="157"/>
              <w:rPr>
                <w:sz w:val="18"/>
              </w:rPr>
            </w:pPr>
            <w:r>
              <w:rPr>
                <w:color w:val="105C84"/>
                <w:spacing w:val="-4"/>
                <w:sz w:val="18"/>
              </w:rPr>
              <w:t>Focus</w:t>
            </w:r>
            <w:r>
              <w:rPr>
                <w:color w:val="105C84"/>
                <w:spacing w:val="-9"/>
                <w:sz w:val="18"/>
              </w:rPr>
              <w:t> </w:t>
            </w:r>
            <w:r>
              <w:rPr>
                <w:color w:val="105C84"/>
                <w:spacing w:val="-4"/>
                <w:sz w:val="18"/>
              </w:rPr>
              <w:t>Area </w:t>
            </w:r>
            <w:r>
              <w:rPr>
                <w:color w:val="105C84"/>
                <w:sz w:val="18"/>
              </w:rPr>
              <w:t>2:</w:t>
            </w:r>
            <w:r>
              <w:rPr>
                <w:color w:val="105C84"/>
                <w:spacing w:val="-13"/>
                <w:sz w:val="18"/>
              </w:rPr>
              <w:t> </w:t>
            </w:r>
            <w:r>
              <w:rPr>
                <w:color w:val="105C84"/>
                <w:sz w:val="18"/>
              </w:rPr>
              <w:t>Physical </w:t>
            </w:r>
            <w:r>
              <w:rPr>
                <w:color w:val="105C84"/>
                <w:spacing w:val="-2"/>
                <w:sz w:val="18"/>
              </w:rPr>
              <w:t>Activity</w:t>
            </w:r>
          </w:p>
        </w:tc>
        <w:tc>
          <w:tcPr>
            <w:tcW w:w="1267" w:type="dxa"/>
            <w:tcBorders>
              <w:bottom w:val="nil"/>
            </w:tcBorders>
          </w:tcPr>
          <w:p>
            <w:pPr>
              <w:pStyle w:val="TableParagraph"/>
              <w:spacing w:line="232" w:lineRule="auto" w:before="101"/>
              <w:ind w:left="89" w:right="241"/>
              <w:rPr>
                <w:sz w:val="18"/>
              </w:rPr>
            </w:pPr>
            <w:r>
              <w:rPr>
                <w:color w:val="105C84"/>
                <w:spacing w:val="-2"/>
                <w:sz w:val="18"/>
              </w:rPr>
              <w:t>Reduce obesity</w:t>
            </w:r>
            <w:r>
              <w:rPr>
                <w:color w:val="105C84"/>
                <w:spacing w:val="80"/>
                <w:sz w:val="18"/>
              </w:rPr>
              <w:t> </w:t>
            </w:r>
            <w:r>
              <w:rPr>
                <w:color w:val="105C84"/>
                <w:sz w:val="18"/>
              </w:rPr>
              <w:t>and</w:t>
            </w:r>
            <w:r>
              <w:rPr>
                <w:color w:val="105C84"/>
                <w:spacing w:val="-15"/>
                <w:sz w:val="18"/>
              </w:rPr>
              <w:t> </w:t>
            </w:r>
            <w:r>
              <w:rPr>
                <w:color w:val="105C84"/>
                <w:sz w:val="18"/>
              </w:rPr>
              <w:t>the</w:t>
            </w:r>
            <w:r>
              <w:rPr>
                <w:color w:val="105C84"/>
                <w:spacing w:val="-12"/>
                <w:sz w:val="18"/>
              </w:rPr>
              <w:t> </w:t>
            </w:r>
            <w:r>
              <w:rPr>
                <w:color w:val="105C84"/>
                <w:sz w:val="18"/>
              </w:rPr>
              <w:t>risk of chronic </w:t>
            </w:r>
            <w:r>
              <w:rPr>
                <w:color w:val="105C84"/>
                <w:spacing w:val="-2"/>
                <w:sz w:val="18"/>
              </w:rPr>
              <w:t>diseases</w:t>
            </w:r>
          </w:p>
        </w:tc>
        <w:tc>
          <w:tcPr>
            <w:tcW w:w="2304" w:type="dxa"/>
            <w:tcBorders>
              <w:bottom w:val="nil"/>
            </w:tcBorders>
          </w:tcPr>
          <w:p>
            <w:pPr>
              <w:pStyle w:val="TableParagraph"/>
              <w:spacing w:line="232" w:lineRule="auto" w:before="101"/>
              <w:ind w:left="89" w:right="83"/>
              <w:rPr>
                <w:sz w:val="18"/>
              </w:rPr>
            </w:pPr>
            <w:r>
              <w:rPr>
                <w:color w:val="105C84"/>
                <w:sz w:val="18"/>
              </w:rPr>
              <w:t>1.2 By December 2021, decrease the percentage of children with obesity (among</w:t>
            </w:r>
            <w:r>
              <w:rPr>
                <w:color w:val="105C84"/>
                <w:spacing w:val="-15"/>
                <w:sz w:val="18"/>
              </w:rPr>
              <w:t> </w:t>
            </w:r>
            <w:r>
              <w:rPr>
                <w:color w:val="105C84"/>
                <w:sz w:val="18"/>
              </w:rPr>
              <w:t>Livingston</w:t>
            </w:r>
            <w:r>
              <w:rPr>
                <w:color w:val="105C84"/>
                <w:spacing w:val="-12"/>
                <w:sz w:val="18"/>
              </w:rPr>
              <w:t> </w:t>
            </w:r>
            <w:r>
              <w:rPr>
                <w:color w:val="105C84"/>
                <w:sz w:val="18"/>
              </w:rPr>
              <w:t>County</w:t>
            </w:r>
            <w:r>
              <w:rPr>
                <w:color w:val="105C84"/>
                <w:sz w:val="18"/>
              </w:rPr>
              <w:t> public school students)</w:t>
            </w:r>
          </w:p>
          <w:p>
            <w:pPr>
              <w:pStyle w:val="TableParagraph"/>
              <w:spacing w:line="198" w:lineRule="exact"/>
              <w:ind w:left="89"/>
              <w:rPr>
                <w:sz w:val="18"/>
              </w:rPr>
            </w:pPr>
            <w:r>
              <w:rPr>
                <w:color w:val="105C84"/>
                <w:sz w:val="18"/>
              </w:rPr>
              <w:t>by</w:t>
            </w:r>
            <w:r>
              <w:rPr>
                <w:color w:val="105C84"/>
                <w:spacing w:val="-3"/>
                <w:sz w:val="18"/>
              </w:rPr>
              <w:t> </w:t>
            </w:r>
            <w:r>
              <w:rPr>
                <w:color w:val="105C84"/>
                <w:spacing w:val="-5"/>
                <w:sz w:val="18"/>
              </w:rPr>
              <w:t>1%</w:t>
            </w:r>
          </w:p>
        </w:tc>
        <w:tc>
          <w:tcPr>
            <w:tcW w:w="1253" w:type="dxa"/>
            <w:tcBorders>
              <w:bottom w:val="nil"/>
            </w:tcBorders>
          </w:tcPr>
          <w:p>
            <w:pPr>
              <w:pStyle w:val="TableParagraph"/>
              <w:spacing w:before="96"/>
              <w:ind w:left="89"/>
              <w:rPr>
                <w:sz w:val="18"/>
              </w:rPr>
            </w:pPr>
            <w:r>
              <w:rPr>
                <w:color w:val="105C84"/>
                <w:sz w:val="18"/>
              </w:rPr>
              <w:t>Low</w:t>
            </w:r>
            <w:r>
              <w:rPr>
                <w:color w:val="105C84"/>
                <w:spacing w:val="-11"/>
                <w:sz w:val="18"/>
              </w:rPr>
              <w:t> </w:t>
            </w:r>
            <w:r>
              <w:rPr>
                <w:color w:val="105C84"/>
                <w:spacing w:val="-5"/>
                <w:sz w:val="18"/>
              </w:rPr>
              <w:t>SES</w:t>
            </w:r>
          </w:p>
        </w:tc>
        <w:tc>
          <w:tcPr>
            <w:tcW w:w="4162" w:type="dxa"/>
            <w:vMerge w:val="restart"/>
            <w:tcBorders>
              <w:right w:val="nil"/>
            </w:tcBorders>
          </w:tcPr>
          <w:p>
            <w:pPr>
              <w:pStyle w:val="TableParagraph"/>
              <w:spacing w:line="232" w:lineRule="auto" w:before="101"/>
              <w:ind w:left="89" w:right="1107"/>
              <w:rPr>
                <w:sz w:val="18"/>
              </w:rPr>
            </w:pPr>
            <w:r>
              <w:rPr>
                <w:color w:val="105C84"/>
                <w:sz w:val="18"/>
              </w:rPr>
              <w:t>2.2.3 Implement a combination of worksite-based physical activity policies, programs, or best practices through multi-component worksite physical activity and/or nutrition programs; environmental supports</w:t>
            </w:r>
            <w:r>
              <w:rPr>
                <w:color w:val="105C84"/>
                <w:spacing w:val="80"/>
                <w:sz w:val="18"/>
              </w:rPr>
              <w:t> </w:t>
            </w:r>
            <w:r>
              <w:rPr>
                <w:color w:val="105C84"/>
                <w:sz w:val="18"/>
              </w:rPr>
              <w:t>or prompts to encourage walking and/or</w:t>
            </w:r>
            <w:r>
              <w:rPr>
                <w:color w:val="105C84"/>
                <w:spacing w:val="-3"/>
                <w:sz w:val="18"/>
              </w:rPr>
              <w:t> </w:t>
            </w:r>
            <w:r>
              <w:rPr>
                <w:color w:val="105C84"/>
                <w:sz w:val="18"/>
              </w:rPr>
              <w:t>taking</w:t>
            </w:r>
            <w:r>
              <w:rPr>
                <w:color w:val="105C84"/>
                <w:spacing w:val="-3"/>
                <w:sz w:val="18"/>
              </w:rPr>
              <w:t> </w:t>
            </w:r>
            <w:r>
              <w:rPr>
                <w:color w:val="105C84"/>
                <w:sz w:val="18"/>
              </w:rPr>
              <w:t>the</w:t>
            </w:r>
            <w:r>
              <w:rPr>
                <w:color w:val="105C84"/>
                <w:spacing w:val="-3"/>
                <w:sz w:val="18"/>
              </w:rPr>
              <w:t> </w:t>
            </w:r>
            <w:r>
              <w:rPr>
                <w:color w:val="105C84"/>
                <w:sz w:val="18"/>
              </w:rPr>
              <w:t>stairs;</w:t>
            </w:r>
            <w:r>
              <w:rPr>
                <w:color w:val="105C84"/>
                <w:spacing w:val="-3"/>
                <w:sz w:val="18"/>
              </w:rPr>
              <w:t> </w:t>
            </w:r>
            <w:r>
              <w:rPr>
                <w:color w:val="105C84"/>
                <w:sz w:val="18"/>
              </w:rPr>
              <w:t>or</w:t>
            </w:r>
            <w:r>
              <w:rPr>
                <w:color w:val="105C84"/>
                <w:spacing w:val="-3"/>
                <w:sz w:val="18"/>
              </w:rPr>
              <w:t> </w:t>
            </w:r>
            <w:r>
              <w:rPr>
                <w:color w:val="105C84"/>
                <w:sz w:val="18"/>
              </w:rPr>
              <w:t>structured</w:t>
            </w:r>
            <w:r>
              <w:rPr>
                <w:color w:val="105C84"/>
                <w:sz w:val="18"/>
              </w:rPr>
              <w:t> walking-based</w:t>
            </w:r>
            <w:r>
              <w:rPr>
                <w:color w:val="105C84"/>
                <w:spacing w:val="-4"/>
                <w:sz w:val="18"/>
              </w:rPr>
              <w:t> </w:t>
            </w:r>
            <w:r>
              <w:rPr>
                <w:color w:val="105C84"/>
                <w:sz w:val="18"/>
              </w:rPr>
              <w:t>programs</w:t>
            </w:r>
            <w:r>
              <w:rPr>
                <w:color w:val="105C84"/>
                <w:spacing w:val="-4"/>
                <w:sz w:val="18"/>
              </w:rPr>
              <w:t> </w:t>
            </w:r>
            <w:r>
              <w:rPr>
                <w:color w:val="105C84"/>
                <w:sz w:val="18"/>
              </w:rPr>
              <w:t>focusing</w:t>
            </w:r>
            <w:r>
              <w:rPr>
                <w:color w:val="105C84"/>
                <w:spacing w:val="-4"/>
                <w:sz w:val="18"/>
              </w:rPr>
              <w:t> </w:t>
            </w:r>
            <w:r>
              <w:rPr>
                <w:color w:val="105C84"/>
                <w:sz w:val="18"/>
              </w:rPr>
              <w:t>on overall physical activity that include goal-setting, activity monitoring, social support, counseling, and health promotion and information </w:t>
            </w:r>
            <w:r>
              <w:rPr>
                <w:color w:val="105C84"/>
                <w:spacing w:val="-2"/>
                <w:sz w:val="18"/>
              </w:rPr>
              <w:t>messaging</w:t>
            </w:r>
          </w:p>
        </w:tc>
        <w:tc>
          <w:tcPr>
            <w:tcW w:w="4068" w:type="dxa"/>
            <w:vMerge w:val="restart"/>
            <w:tcBorders>
              <w:left w:val="nil"/>
            </w:tcBorders>
          </w:tcPr>
          <w:p>
            <w:pPr>
              <w:pStyle w:val="TableParagraph"/>
              <w:spacing w:line="232" w:lineRule="auto" w:before="101"/>
              <w:ind w:left="1091" w:right="87"/>
              <w:jc w:val="both"/>
              <w:rPr>
                <w:sz w:val="18"/>
              </w:rPr>
            </w:pPr>
            <w:r>
              <w:rPr>
                <w:color w:val="105C84"/>
                <w:spacing w:val="-2"/>
                <w:sz w:val="18"/>
              </w:rPr>
              <w:t>Increase</w:t>
            </w:r>
            <w:r>
              <w:rPr>
                <w:color w:val="105C84"/>
                <w:spacing w:val="-13"/>
                <w:sz w:val="18"/>
              </w:rPr>
              <w:t> </w:t>
            </w:r>
            <w:r>
              <w:rPr>
                <w:color w:val="105C84"/>
                <w:spacing w:val="-2"/>
                <w:sz w:val="18"/>
              </w:rPr>
              <w:t>the</w:t>
            </w:r>
            <w:r>
              <w:rPr>
                <w:color w:val="105C84"/>
                <w:spacing w:val="-10"/>
                <w:sz w:val="18"/>
              </w:rPr>
              <w:t> </w:t>
            </w:r>
            <w:r>
              <w:rPr>
                <w:color w:val="105C84"/>
                <w:spacing w:val="-2"/>
                <w:sz w:val="18"/>
              </w:rPr>
              <w:t>number</w:t>
            </w:r>
            <w:r>
              <w:rPr>
                <w:color w:val="105C84"/>
                <w:spacing w:val="-11"/>
                <w:sz w:val="18"/>
              </w:rPr>
              <w:t> </w:t>
            </w:r>
            <w:r>
              <w:rPr>
                <w:color w:val="105C84"/>
                <w:spacing w:val="-2"/>
                <w:sz w:val="18"/>
              </w:rPr>
              <w:t>of</w:t>
            </w:r>
            <w:r>
              <w:rPr>
                <w:color w:val="105C84"/>
                <w:spacing w:val="-10"/>
                <w:sz w:val="18"/>
              </w:rPr>
              <w:t> </w:t>
            </w:r>
            <w:r>
              <w:rPr>
                <w:color w:val="105C84"/>
                <w:spacing w:val="-2"/>
                <w:sz w:val="18"/>
              </w:rPr>
              <w:t>assessments </w:t>
            </w:r>
            <w:r>
              <w:rPr>
                <w:color w:val="105C84"/>
                <w:sz w:val="18"/>
              </w:rPr>
              <w:t>(from</w:t>
            </w:r>
            <w:r>
              <w:rPr>
                <w:color w:val="105C84"/>
                <w:spacing w:val="-13"/>
                <w:sz w:val="18"/>
              </w:rPr>
              <w:t> </w:t>
            </w:r>
            <w:r>
              <w:rPr>
                <w:color w:val="105C84"/>
                <w:sz w:val="18"/>
              </w:rPr>
              <w:t>NYSDOH</w:t>
            </w:r>
            <w:r>
              <w:rPr>
                <w:color w:val="105C84"/>
                <w:spacing w:val="-12"/>
                <w:sz w:val="18"/>
              </w:rPr>
              <w:t> </w:t>
            </w:r>
            <w:r>
              <w:rPr>
                <w:color w:val="105C84"/>
                <w:sz w:val="18"/>
              </w:rPr>
              <w:t>Prevention</w:t>
            </w:r>
            <w:r>
              <w:rPr>
                <w:color w:val="105C84"/>
                <w:spacing w:val="-13"/>
                <w:sz w:val="18"/>
              </w:rPr>
              <w:t> </w:t>
            </w:r>
            <w:r>
              <w:rPr>
                <w:color w:val="105C84"/>
                <w:sz w:val="18"/>
              </w:rPr>
              <w:t>Agenda) </w:t>
            </w:r>
            <w:r>
              <w:rPr>
                <w:color w:val="105C84"/>
                <w:spacing w:val="-2"/>
                <w:sz w:val="18"/>
              </w:rPr>
              <w:t>completed</w:t>
            </w:r>
          </w:p>
          <w:p>
            <w:pPr>
              <w:pStyle w:val="TableParagraph"/>
              <w:spacing w:line="232" w:lineRule="auto" w:before="87"/>
              <w:ind w:left="1091" w:right="84"/>
              <w:jc w:val="both"/>
              <w:rPr>
                <w:sz w:val="18"/>
              </w:rPr>
            </w:pPr>
            <w:r>
              <w:rPr>
                <w:color w:val="105C84"/>
                <w:sz w:val="18"/>
              </w:rPr>
              <w:t>Increase</w:t>
            </w:r>
            <w:r>
              <w:rPr>
                <w:color w:val="105C84"/>
                <w:spacing w:val="-9"/>
                <w:sz w:val="18"/>
              </w:rPr>
              <w:t> </w:t>
            </w:r>
            <w:r>
              <w:rPr>
                <w:color w:val="105C84"/>
                <w:sz w:val="18"/>
              </w:rPr>
              <w:t>number</w:t>
            </w:r>
            <w:r>
              <w:rPr>
                <w:color w:val="105C84"/>
                <w:spacing w:val="-9"/>
                <w:sz w:val="18"/>
              </w:rPr>
              <w:t> </w:t>
            </w:r>
            <w:r>
              <w:rPr>
                <w:color w:val="105C84"/>
                <w:sz w:val="18"/>
              </w:rPr>
              <w:t>of</w:t>
            </w:r>
            <w:r>
              <w:rPr>
                <w:color w:val="105C84"/>
                <w:spacing w:val="-9"/>
                <w:sz w:val="18"/>
              </w:rPr>
              <w:t> </w:t>
            </w:r>
            <w:r>
              <w:rPr>
                <w:color w:val="105C84"/>
                <w:sz w:val="18"/>
              </w:rPr>
              <w:t>practices</w:t>
            </w:r>
            <w:r>
              <w:rPr>
                <w:color w:val="105C84"/>
                <w:spacing w:val="-9"/>
                <w:sz w:val="18"/>
              </w:rPr>
              <w:t> </w:t>
            </w:r>
            <w:r>
              <w:rPr>
                <w:color w:val="105C84"/>
                <w:sz w:val="18"/>
              </w:rPr>
              <w:t>and/or </w:t>
            </w:r>
            <w:r>
              <w:rPr>
                <w:color w:val="105C84"/>
                <w:w w:val="105"/>
                <w:sz w:val="18"/>
              </w:rPr>
              <w:t>policies</w:t>
            </w:r>
            <w:r>
              <w:rPr>
                <w:color w:val="105C84"/>
                <w:spacing w:val="-1"/>
                <w:w w:val="105"/>
                <w:sz w:val="18"/>
              </w:rPr>
              <w:t> </w:t>
            </w:r>
            <w:r>
              <w:rPr>
                <w:color w:val="105C84"/>
                <w:w w:val="105"/>
                <w:sz w:val="18"/>
              </w:rPr>
              <w:t>implemented</w:t>
            </w:r>
          </w:p>
          <w:p>
            <w:pPr>
              <w:pStyle w:val="TableParagraph"/>
              <w:spacing w:line="232" w:lineRule="auto" w:before="89"/>
              <w:ind w:left="1091"/>
              <w:rPr>
                <w:sz w:val="18"/>
              </w:rPr>
            </w:pPr>
            <w:r>
              <w:rPr>
                <w:color w:val="105C84"/>
                <w:spacing w:val="-2"/>
                <w:sz w:val="18"/>
              </w:rPr>
              <w:t>(BASELINE:</w:t>
            </w:r>
            <w:r>
              <w:rPr>
                <w:color w:val="105C84"/>
                <w:spacing w:val="-7"/>
                <w:sz w:val="18"/>
              </w:rPr>
              <w:t> </w:t>
            </w:r>
            <w:r>
              <w:rPr>
                <w:color w:val="105C84"/>
                <w:spacing w:val="-2"/>
                <w:sz w:val="18"/>
              </w:rPr>
              <w:t>22</w:t>
            </w:r>
            <w:r>
              <w:rPr>
                <w:color w:val="105C84"/>
                <w:spacing w:val="-7"/>
                <w:sz w:val="18"/>
              </w:rPr>
              <w:t> </w:t>
            </w:r>
            <w:r>
              <w:rPr>
                <w:color w:val="105C84"/>
                <w:spacing w:val="-2"/>
                <w:sz w:val="18"/>
              </w:rPr>
              <w:t>Livingston</w:t>
            </w:r>
            <w:r>
              <w:rPr>
                <w:color w:val="105C84"/>
                <w:spacing w:val="-7"/>
                <w:sz w:val="18"/>
              </w:rPr>
              <w:t> </w:t>
            </w:r>
            <w:r>
              <w:rPr>
                <w:color w:val="105C84"/>
                <w:spacing w:val="-2"/>
                <w:sz w:val="18"/>
              </w:rPr>
              <w:t>County </w:t>
            </w:r>
            <w:r>
              <w:rPr>
                <w:color w:val="105C84"/>
                <w:sz w:val="18"/>
              </w:rPr>
              <w:t>Worksites have adopted and implemented</w:t>
            </w:r>
            <w:r>
              <w:rPr>
                <w:color w:val="105C84"/>
                <w:spacing w:val="-8"/>
                <w:sz w:val="18"/>
              </w:rPr>
              <w:t> </w:t>
            </w:r>
            <w:r>
              <w:rPr>
                <w:color w:val="105C84"/>
                <w:sz w:val="18"/>
              </w:rPr>
              <w:t>policies</w:t>
            </w:r>
            <w:r>
              <w:rPr>
                <w:color w:val="105C84"/>
                <w:spacing w:val="35"/>
                <w:sz w:val="18"/>
              </w:rPr>
              <w:t> </w:t>
            </w:r>
            <w:r>
              <w:rPr>
                <w:color w:val="105C84"/>
                <w:sz w:val="18"/>
              </w:rPr>
              <w:t>as</w:t>
            </w:r>
            <w:r>
              <w:rPr>
                <w:color w:val="105C84"/>
                <w:spacing w:val="-8"/>
                <w:sz w:val="18"/>
              </w:rPr>
              <w:t> </w:t>
            </w:r>
            <w:r>
              <w:rPr>
                <w:color w:val="105C84"/>
                <w:sz w:val="18"/>
              </w:rPr>
              <w:t>of</w:t>
            </w:r>
            <w:r>
              <w:rPr>
                <w:color w:val="105C84"/>
                <w:spacing w:val="-8"/>
                <w:sz w:val="18"/>
              </w:rPr>
              <w:t> </w:t>
            </w:r>
            <w:r>
              <w:rPr>
                <w:color w:val="105C84"/>
                <w:sz w:val="18"/>
              </w:rPr>
              <w:t>2018-</w:t>
            </w:r>
            <w:r>
              <w:rPr>
                <w:color w:val="105C84"/>
                <w:spacing w:val="-2"/>
                <w:sz w:val="18"/>
              </w:rPr>
              <w:t>LCDOH)</w:t>
            </w:r>
          </w:p>
          <w:p>
            <w:pPr>
              <w:pStyle w:val="TableParagraph"/>
              <w:spacing w:line="232" w:lineRule="auto" w:before="86"/>
              <w:ind w:left="1091" w:right="50"/>
              <w:rPr>
                <w:sz w:val="18"/>
              </w:rPr>
            </w:pPr>
            <w:r>
              <w:rPr>
                <w:color w:val="105C84"/>
                <w:sz w:val="18"/>
              </w:rPr>
              <w:t>(Baseline: 80.5 age-adjusted percentage of adults who participated</w:t>
            </w:r>
            <w:r>
              <w:rPr>
                <w:color w:val="105C84"/>
                <w:spacing w:val="-4"/>
                <w:sz w:val="18"/>
              </w:rPr>
              <w:t> </w:t>
            </w:r>
            <w:r>
              <w:rPr>
                <w:color w:val="105C84"/>
                <w:sz w:val="18"/>
              </w:rPr>
              <w:t>in</w:t>
            </w:r>
            <w:r>
              <w:rPr>
                <w:color w:val="105C84"/>
                <w:spacing w:val="-4"/>
                <w:sz w:val="18"/>
              </w:rPr>
              <w:t> </w:t>
            </w:r>
            <w:r>
              <w:rPr>
                <w:color w:val="105C84"/>
                <w:sz w:val="18"/>
              </w:rPr>
              <w:t>leisure</w:t>
            </w:r>
            <w:r>
              <w:rPr>
                <w:color w:val="105C84"/>
                <w:spacing w:val="-4"/>
                <w:sz w:val="18"/>
              </w:rPr>
              <w:t> </w:t>
            </w:r>
            <w:r>
              <w:rPr>
                <w:color w:val="105C84"/>
                <w:sz w:val="18"/>
              </w:rPr>
              <w:t>time</w:t>
            </w:r>
            <w:r>
              <w:rPr>
                <w:color w:val="105C84"/>
                <w:spacing w:val="-4"/>
                <w:sz w:val="18"/>
              </w:rPr>
              <w:t> </w:t>
            </w:r>
            <w:r>
              <w:rPr>
                <w:color w:val="105C84"/>
                <w:sz w:val="18"/>
              </w:rPr>
              <w:t>physical activity in the past 30 days- 2016, </w:t>
            </w:r>
            <w:r>
              <w:rPr>
                <w:color w:val="105C84"/>
                <w:spacing w:val="-2"/>
                <w:sz w:val="18"/>
              </w:rPr>
              <w:t>NYSCHIRS)</w:t>
            </w:r>
          </w:p>
        </w:tc>
        <w:tc>
          <w:tcPr>
            <w:tcW w:w="2318" w:type="dxa"/>
            <w:tcBorders>
              <w:bottom w:val="nil"/>
            </w:tcBorders>
          </w:tcPr>
          <w:p>
            <w:pPr>
              <w:pStyle w:val="TableParagraph"/>
              <w:spacing w:line="336" w:lineRule="auto" w:before="95"/>
              <w:ind w:left="89" w:right="956"/>
              <w:rPr>
                <w:sz w:val="18"/>
              </w:rPr>
            </w:pPr>
            <w:r>
              <w:rPr>
                <w:color w:val="105C84"/>
                <w:sz w:val="18"/>
              </w:rPr>
              <w:t>GVHP</w:t>
            </w:r>
            <w:r>
              <w:rPr>
                <w:color w:val="105C84"/>
                <w:spacing w:val="-13"/>
                <w:sz w:val="18"/>
              </w:rPr>
              <w:t> </w:t>
            </w:r>
            <w:r>
              <w:rPr>
                <w:color w:val="105C84"/>
                <w:sz w:val="18"/>
              </w:rPr>
              <w:t>/</w:t>
            </w:r>
            <w:r>
              <w:rPr>
                <w:color w:val="105C84"/>
                <w:spacing w:val="-12"/>
                <w:sz w:val="18"/>
              </w:rPr>
              <w:t> </w:t>
            </w:r>
            <w:r>
              <w:rPr>
                <w:color w:val="105C84"/>
                <w:sz w:val="18"/>
              </w:rPr>
              <w:t>Be</w:t>
            </w:r>
            <w:r>
              <w:rPr>
                <w:color w:val="105C84"/>
                <w:spacing w:val="-13"/>
                <w:sz w:val="18"/>
              </w:rPr>
              <w:t> </w:t>
            </w:r>
            <w:r>
              <w:rPr>
                <w:color w:val="105C84"/>
                <w:sz w:val="18"/>
              </w:rPr>
              <w:t>Well </w:t>
            </w:r>
            <w:r>
              <w:rPr>
                <w:color w:val="105C84"/>
                <w:spacing w:val="-4"/>
                <w:w w:val="105"/>
                <w:sz w:val="18"/>
              </w:rPr>
              <w:t>LCDOH</w:t>
            </w:r>
          </w:p>
          <w:p>
            <w:pPr>
              <w:pStyle w:val="TableParagraph"/>
              <w:spacing w:line="336" w:lineRule="auto" w:before="1"/>
              <w:ind w:left="89" w:right="289"/>
              <w:rPr>
                <w:sz w:val="18"/>
              </w:rPr>
            </w:pPr>
            <w:r>
              <w:rPr>
                <w:color w:val="105C84"/>
                <w:spacing w:val="-2"/>
                <w:sz w:val="18"/>
              </w:rPr>
              <w:t>UR</w:t>
            </w:r>
            <w:r>
              <w:rPr>
                <w:color w:val="105C84"/>
                <w:spacing w:val="-13"/>
                <w:sz w:val="18"/>
              </w:rPr>
              <w:t> </w:t>
            </w:r>
            <w:r>
              <w:rPr>
                <w:color w:val="105C84"/>
                <w:spacing w:val="-2"/>
                <w:sz w:val="18"/>
              </w:rPr>
              <w:t>Med</w:t>
            </w:r>
            <w:r>
              <w:rPr>
                <w:color w:val="105C84"/>
                <w:spacing w:val="-10"/>
                <w:sz w:val="18"/>
              </w:rPr>
              <w:t> </w:t>
            </w:r>
            <w:r>
              <w:rPr>
                <w:color w:val="105C84"/>
                <w:spacing w:val="-2"/>
                <w:sz w:val="18"/>
              </w:rPr>
              <w:t>Noyes Worksites</w:t>
            </w:r>
          </w:p>
        </w:tc>
        <w:tc>
          <w:tcPr>
            <w:tcW w:w="2966" w:type="dxa"/>
            <w:tcBorders>
              <w:bottom w:val="nil"/>
            </w:tcBorders>
          </w:tcPr>
          <w:p>
            <w:pPr>
              <w:pStyle w:val="TableParagraph"/>
              <w:spacing w:before="95"/>
              <w:ind w:left="89"/>
              <w:jc w:val="both"/>
              <w:rPr>
                <w:sz w:val="18"/>
              </w:rPr>
            </w:pPr>
            <w:r>
              <w:rPr>
                <w:color w:val="105C84"/>
                <w:spacing w:val="-7"/>
                <w:sz w:val="18"/>
              </w:rPr>
              <w:t>GVHP-</w:t>
            </w:r>
            <w:r>
              <w:rPr>
                <w:color w:val="105C84"/>
                <w:spacing w:val="-4"/>
                <w:sz w:val="18"/>
              </w:rPr>
              <w:t> </w:t>
            </w:r>
            <w:r>
              <w:rPr>
                <w:color w:val="105C84"/>
                <w:spacing w:val="-2"/>
                <w:sz w:val="18"/>
              </w:rPr>
              <w:t>$1,000</w:t>
            </w:r>
          </w:p>
          <w:p>
            <w:pPr>
              <w:pStyle w:val="TableParagraph"/>
              <w:spacing w:line="232" w:lineRule="auto" w:before="88"/>
              <w:ind w:left="89" w:right="86"/>
              <w:jc w:val="both"/>
              <w:rPr>
                <w:sz w:val="18"/>
              </w:rPr>
            </w:pPr>
            <w:r>
              <w:rPr>
                <w:color w:val="105C84"/>
                <w:sz w:val="18"/>
              </w:rPr>
              <w:t>GVHP/Be</w:t>
            </w:r>
            <w:r>
              <w:rPr>
                <w:color w:val="105C84"/>
                <w:spacing w:val="-6"/>
                <w:sz w:val="18"/>
              </w:rPr>
              <w:t> </w:t>
            </w:r>
            <w:r>
              <w:rPr>
                <w:color w:val="105C84"/>
                <w:sz w:val="18"/>
              </w:rPr>
              <w:t>Well</w:t>
            </w:r>
            <w:r>
              <w:rPr>
                <w:color w:val="105C84"/>
                <w:spacing w:val="-7"/>
                <w:sz w:val="18"/>
              </w:rPr>
              <w:t> </w:t>
            </w:r>
            <w:r>
              <w:rPr>
                <w:color w:val="105C84"/>
                <w:sz w:val="18"/>
              </w:rPr>
              <w:t>to</w:t>
            </w:r>
            <w:r>
              <w:rPr>
                <w:color w:val="105C84"/>
                <w:spacing w:val="-6"/>
                <w:sz w:val="18"/>
              </w:rPr>
              <w:t> </w:t>
            </w:r>
            <w:r>
              <w:rPr>
                <w:color w:val="105C84"/>
                <w:sz w:val="18"/>
              </w:rPr>
              <w:t>assist</w:t>
            </w:r>
            <w:r>
              <w:rPr>
                <w:color w:val="105C84"/>
                <w:spacing w:val="-7"/>
                <w:sz w:val="18"/>
              </w:rPr>
              <w:t> </w:t>
            </w:r>
            <w:r>
              <w:rPr>
                <w:color w:val="105C84"/>
                <w:sz w:val="18"/>
              </w:rPr>
              <w:t>with</w:t>
            </w:r>
            <w:r>
              <w:rPr>
                <w:color w:val="105C84"/>
                <w:spacing w:val="-6"/>
                <w:sz w:val="18"/>
              </w:rPr>
              <w:t> </w:t>
            </w:r>
            <w:r>
              <w:rPr>
                <w:color w:val="105C84"/>
                <w:sz w:val="18"/>
              </w:rPr>
              <w:t>policy development, implementation </w:t>
            </w:r>
            <w:r>
              <w:rPr>
                <w:color w:val="105C84"/>
                <w:sz w:val="18"/>
              </w:rPr>
              <w:t>and </w:t>
            </w:r>
            <w:r>
              <w:rPr>
                <w:color w:val="105C84"/>
                <w:spacing w:val="-2"/>
                <w:w w:val="105"/>
                <w:sz w:val="18"/>
              </w:rPr>
              <w:t>evaluation</w:t>
            </w:r>
          </w:p>
          <w:p>
            <w:pPr>
              <w:pStyle w:val="TableParagraph"/>
              <w:spacing w:line="232" w:lineRule="auto" w:before="88"/>
              <w:ind w:left="89" w:right="89"/>
              <w:jc w:val="both"/>
              <w:rPr>
                <w:sz w:val="18"/>
              </w:rPr>
            </w:pPr>
            <w:r>
              <w:rPr>
                <w:color w:val="105C84"/>
                <w:sz w:val="18"/>
              </w:rPr>
              <w:t>LCDOH</w:t>
            </w:r>
            <w:r>
              <w:rPr>
                <w:color w:val="105C84"/>
                <w:spacing w:val="-13"/>
                <w:sz w:val="18"/>
              </w:rPr>
              <w:t> </w:t>
            </w:r>
            <w:r>
              <w:rPr>
                <w:color w:val="105C84"/>
                <w:sz w:val="18"/>
              </w:rPr>
              <w:t>complete</w:t>
            </w:r>
            <w:r>
              <w:rPr>
                <w:color w:val="105C84"/>
                <w:spacing w:val="-12"/>
                <w:sz w:val="18"/>
              </w:rPr>
              <w:t> </w:t>
            </w:r>
            <w:r>
              <w:rPr>
                <w:color w:val="105C84"/>
                <w:sz w:val="18"/>
              </w:rPr>
              <w:t>assessment</w:t>
            </w:r>
            <w:r>
              <w:rPr>
                <w:color w:val="105C84"/>
                <w:spacing w:val="-13"/>
                <w:sz w:val="18"/>
              </w:rPr>
              <w:t> </w:t>
            </w:r>
            <w:r>
              <w:rPr>
                <w:color w:val="105C84"/>
                <w:sz w:val="18"/>
              </w:rPr>
              <w:t>with </w:t>
            </w:r>
            <w:r>
              <w:rPr>
                <w:color w:val="105C84"/>
                <w:spacing w:val="-2"/>
                <w:sz w:val="18"/>
              </w:rPr>
              <w:t>worksite</w:t>
            </w:r>
          </w:p>
        </w:tc>
        <w:tc>
          <w:tcPr>
            <w:tcW w:w="1730" w:type="dxa"/>
            <w:tcBorders>
              <w:bottom w:val="nil"/>
            </w:tcBorders>
          </w:tcPr>
          <w:p>
            <w:pPr>
              <w:pStyle w:val="TableParagraph"/>
              <w:spacing w:line="232" w:lineRule="auto" w:before="100"/>
              <w:ind w:left="90" w:right="93"/>
              <w:rPr>
                <w:sz w:val="18"/>
              </w:rPr>
            </w:pPr>
            <w:r>
              <w:rPr>
                <w:color w:val="105C84"/>
                <w:sz w:val="18"/>
              </w:rPr>
              <w:t>A</w:t>
            </w:r>
            <w:r>
              <w:rPr>
                <w:color w:val="105C84"/>
                <w:spacing w:val="-4"/>
                <w:sz w:val="18"/>
              </w:rPr>
              <w:t> </w:t>
            </w:r>
            <w:r>
              <w:rPr>
                <w:color w:val="105C84"/>
                <w:sz w:val="18"/>
              </w:rPr>
              <w:t>minimum</w:t>
            </w:r>
            <w:r>
              <w:rPr>
                <w:color w:val="105C84"/>
                <w:spacing w:val="-4"/>
                <w:sz w:val="18"/>
              </w:rPr>
              <w:t> </w:t>
            </w:r>
            <w:r>
              <w:rPr>
                <w:color w:val="105C84"/>
                <w:sz w:val="18"/>
              </w:rPr>
              <w:t>of</w:t>
            </w:r>
            <w:r>
              <w:rPr>
                <w:color w:val="105C84"/>
                <w:spacing w:val="-4"/>
                <w:sz w:val="18"/>
              </w:rPr>
              <w:t> </w:t>
            </w:r>
            <w:r>
              <w:rPr>
                <w:color w:val="105C84"/>
                <w:sz w:val="18"/>
              </w:rPr>
              <w:t>one worksite which adopts a policy</w:t>
            </w:r>
          </w:p>
          <w:p>
            <w:pPr>
              <w:pStyle w:val="TableParagraph"/>
              <w:spacing w:line="232" w:lineRule="auto"/>
              <w:ind w:left="90" w:right="284"/>
              <w:rPr>
                <w:sz w:val="18"/>
              </w:rPr>
            </w:pPr>
            <w:r>
              <w:rPr>
                <w:color w:val="105C84"/>
                <w:sz w:val="18"/>
              </w:rPr>
              <w:t>or implements a practice</w:t>
            </w:r>
            <w:r>
              <w:rPr>
                <w:color w:val="105C84"/>
                <w:spacing w:val="2"/>
                <w:sz w:val="18"/>
              </w:rPr>
              <w:t> </w:t>
            </w:r>
            <w:r>
              <w:rPr>
                <w:color w:val="105C84"/>
                <w:sz w:val="18"/>
              </w:rPr>
              <w:t>per</w:t>
            </w:r>
            <w:r>
              <w:rPr>
                <w:color w:val="105C84"/>
                <w:spacing w:val="3"/>
                <w:sz w:val="18"/>
              </w:rPr>
              <w:t> </w:t>
            </w:r>
            <w:r>
              <w:rPr>
                <w:color w:val="105C84"/>
                <w:spacing w:val="-5"/>
                <w:sz w:val="18"/>
              </w:rPr>
              <w:t>year</w:t>
            </w:r>
          </w:p>
        </w:tc>
      </w:tr>
      <w:tr>
        <w:trPr>
          <w:trHeight w:val="479" w:hRule="atLeast"/>
        </w:trPr>
        <w:tc>
          <w:tcPr>
            <w:tcW w:w="1008" w:type="dxa"/>
            <w:tcBorders>
              <w:top w:val="nil"/>
              <w:bottom w:val="nil"/>
            </w:tcBorders>
            <w:shd w:val="clear" w:color="auto" w:fill="E6E7E8"/>
          </w:tcPr>
          <w:p>
            <w:pPr>
              <w:pStyle w:val="TableParagraph"/>
              <w:rPr>
                <w:rFonts w:ascii="Times New Roman"/>
                <w:sz w:val="18"/>
              </w:rPr>
            </w:pPr>
          </w:p>
        </w:tc>
        <w:tc>
          <w:tcPr>
            <w:tcW w:w="1152" w:type="dxa"/>
            <w:tcBorders>
              <w:top w:val="nil"/>
              <w:bottom w:val="nil"/>
            </w:tcBorders>
          </w:tcPr>
          <w:p>
            <w:pPr>
              <w:pStyle w:val="TableParagraph"/>
              <w:rPr>
                <w:rFonts w:ascii="Times New Roman"/>
                <w:sz w:val="18"/>
              </w:rPr>
            </w:pPr>
          </w:p>
        </w:tc>
        <w:tc>
          <w:tcPr>
            <w:tcW w:w="1267" w:type="dxa"/>
            <w:tcBorders>
              <w:top w:val="nil"/>
              <w:bottom w:val="nil"/>
            </w:tcBorders>
          </w:tcPr>
          <w:p>
            <w:pPr>
              <w:pStyle w:val="TableParagraph"/>
              <w:rPr>
                <w:rFonts w:ascii="Times New Roman"/>
                <w:sz w:val="18"/>
              </w:rPr>
            </w:pPr>
          </w:p>
        </w:tc>
        <w:tc>
          <w:tcPr>
            <w:tcW w:w="2304" w:type="dxa"/>
            <w:tcBorders>
              <w:top w:val="nil"/>
              <w:bottom w:val="nil"/>
            </w:tcBorders>
          </w:tcPr>
          <w:p>
            <w:pPr>
              <w:pStyle w:val="TableParagraph"/>
              <w:rPr>
                <w:rFonts w:ascii="Times New Roman"/>
                <w:sz w:val="18"/>
              </w:rPr>
            </w:pPr>
          </w:p>
        </w:tc>
        <w:tc>
          <w:tcPr>
            <w:tcW w:w="1253" w:type="dxa"/>
            <w:tcBorders>
              <w:top w:val="nil"/>
              <w:bottom w:val="nil"/>
            </w:tcBorders>
          </w:tcPr>
          <w:p>
            <w:pPr>
              <w:pStyle w:val="TableParagraph"/>
              <w:rPr>
                <w:rFonts w:ascii="Times New Roman"/>
                <w:sz w:val="18"/>
              </w:rPr>
            </w:pPr>
          </w:p>
        </w:tc>
        <w:tc>
          <w:tcPr>
            <w:tcW w:w="4162" w:type="dxa"/>
            <w:vMerge/>
            <w:tcBorders>
              <w:top w:val="nil"/>
              <w:right w:val="nil"/>
            </w:tcBorders>
          </w:tcPr>
          <w:p>
            <w:pPr>
              <w:rPr>
                <w:sz w:val="2"/>
                <w:szCs w:val="2"/>
              </w:rPr>
            </w:pPr>
          </w:p>
        </w:tc>
        <w:tc>
          <w:tcPr>
            <w:tcW w:w="4068" w:type="dxa"/>
            <w:vMerge/>
            <w:tcBorders>
              <w:top w:val="nil"/>
              <w:left w:val="nil"/>
            </w:tcBorders>
          </w:tcPr>
          <w:p>
            <w:pPr>
              <w:rPr>
                <w:sz w:val="2"/>
                <w:szCs w:val="2"/>
              </w:rPr>
            </w:pPr>
          </w:p>
        </w:tc>
        <w:tc>
          <w:tcPr>
            <w:tcW w:w="2318" w:type="dxa"/>
            <w:tcBorders>
              <w:top w:val="nil"/>
              <w:bottom w:val="nil"/>
            </w:tcBorders>
          </w:tcPr>
          <w:p>
            <w:pPr>
              <w:pStyle w:val="TableParagraph"/>
              <w:rPr>
                <w:rFonts w:ascii="Times New Roman"/>
                <w:sz w:val="18"/>
              </w:rPr>
            </w:pPr>
          </w:p>
        </w:tc>
        <w:tc>
          <w:tcPr>
            <w:tcW w:w="2966" w:type="dxa"/>
            <w:tcBorders>
              <w:top w:val="nil"/>
              <w:bottom w:val="nil"/>
            </w:tcBorders>
          </w:tcPr>
          <w:p>
            <w:pPr>
              <w:pStyle w:val="TableParagraph"/>
              <w:spacing w:line="232" w:lineRule="auto" w:before="33"/>
              <w:ind w:left="89" w:right="45"/>
              <w:rPr>
                <w:sz w:val="18"/>
              </w:rPr>
            </w:pPr>
            <w:r>
              <w:rPr>
                <w:color w:val="105C84"/>
                <w:sz w:val="18"/>
              </w:rPr>
              <w:t>UR Med Noyes to provide education</w:t>
            </w:r>
            <w:r>
              <w:rPr>
                <w:color w:val="105C84"/>
                <w:spacing w:val="-9"/>
                <w:sz w:val="18"/>
              </w:rPr>
              <w:t> </w:t>
            </w:r>
            <w:r>
              <w:rPr>
                <w:color w:val="105C84"/>
                <w:sz w:val="18"/>
              </w:rPr>
              <w:t>at</w:t>
            </w:r>
            <w:r>
              <w:rPr>
                <w:color w:val="105C84"/>
                <w:spacing w:val="-9"/>
                <w:sz w:val="18"/>
              </w:rPr>
              <w:t> </w:t>
            </w:r>
            <w:r>
              <w:rPr>
                <w:color w:val="105C84"/>
                <w:sz w:val="18"/>
              </w:rPr>
              <w:t>worksites</w:t>
            </w:r>
            <w:r>
              <w:rPr>
                <w:color w:val="105C84"/>
                <w:spacing w:val="-9"/>
                <w:sz w:val="18"/>
              </w:rPr>
              <w:t> </w:t>
            </w:r>
            <w:r>
              <w:rPr>
                <w:color w:val="105C84"/>
                <w:sz w:val="18"/>
              </w:rPr>
              <w:t>per</w:t>
            </w:r>
            <w:r>
              <w:rPr>
                <w:color w:val="105C84"/>
                <w:spacing w:val="-9"/>
                <w:sz w:val="18"/>
              </w:rPr>
              <w:t> </w:t>
            </w:r>
            <w:r>
              <w:rPr>
                <w:color w:val="105C84"/>
                <w:sz w:val="18"/>
              </w:rPr>
              <w:t>needs</w:t>
            </w:r>
          </w:p>
        </w:tc>
        <w:tc>
          <w:tcPr>
            <w:tcW w:w="1730" w:type="dxa"/>
            <w:tcBorders>
              <w:top w:val="nil"/>
              <w:bottom w:val="nil"/>
            </w:tcBorders>
          </w:tcPr>
          <w:p>
            <w:pPr>
              <w:pStyle w:val="TableParagraph"/>
              <w:rPr>
                <w:rFonts w:ascii="Times New Roman"/>
                <w:sz w:val="18"/>
              </w:rPr>
            </w:pPr>
          </w:p>
        </w:tc>
      </w:tr>
      <w:tr>
        <w:trPr>
          <w:trHeight w:val="1192" w:hRule="atLeast"/>
        </w:trPr>
        <w:tc>
          <w:tcPr>
            <w:tcW w:w="1008" w:type="dxa"/>
            <w:tcBorders>
              <w:top w:val="nil"/>
              <w:bottom w:val="nil"/>
            </w:tcBorders>
            <w:shd w:val="clear" w:color="auto" w:fill="E6E7E8"/>
          </w:tcPr>
          <w:p>
            <w:pPr>
              <w:pStyle w:val="TableParagraph"/>
              <w:rPr>
                <w:rFonts w:ascii="Times New Roman"/>
                <w:sz w:val="18"/>
              </w:rPr>
            </w:pPr>
          </w:p>
        </w:tc>
        <w:tc>
          <w:tcPr>
            <w:tcW w:w="1152" w:type="dxa"/>
            <w:tcBorders>
              <w:top w:val="nil"/>
              <w:bottom w:val="nil"/>
            </w:tcBorders>
          </w:tcPr>
          <w:p>
            <w:pPr>
              <w:pStyle w:val="TableParagraph"/>
              <w:rPr>
                <w:rFonts w:ascii="Times New Roman"/>
                <w:sz w:val="18"/>
              </w:rPr>
            </w:pPr>
          </w:p>
        </w:tc>
        <w:tc>
          <w:tcPr>
            <w:tcW w:w="1267" w:type="dxa"/>
            <w:tcBorders>
              <w:top w:val="nil"/>
              <w:bottom w:val="nil"/>
            </w:tcBorders>
          </w:tcPr>
          <w:p>
            <w:pPr>
              <w:pStyle w:val="TableParagraph"/>
              <w:rPr>
                <w:rFonts w:ascii="Times New Roman"/>
                <w:sz w:val="18"/>
              </w:rPr>
            </w:pPr>
          </w:p>
        </w:tc>
        <w:tc>
          <w:tcPr>
            <w:tcW w:w="2304" w:type="dxa"/>
            <w:tcBorders>
              <w:top w:val="nil"/>
            </w:tcBorders>
          </w:tcPr>
          <w:p>
            <w:pPr>
              <w:pStyle w:val="TableParagraph"/>
              <w:rPr>
                <w:rFonts w:ascii="Times New Roman"/>
                <w:sz w:val="18"/>
              </w:rPr>
            </w:pPr>
          </w:p>
        </w:tc>
        <w:tc>
          <w:tcPr>
            <w:tcW w:w="1253" w:type="dxa"/>
            <w:tcBorders>
              <w:top w:val="nil"/>
            </w:tcBorders>
          </w:tcPr>
          <w:p>
            <w:pPr>
              <w:pStyle w:val="TableParagraph"/>
              <w:rPr>
                <w:rFonts w:ascii="Times New Roman"/>
                <w:sz w:val="18"/>
              </w:rPr>
            </w:pPr>
          </w:p>
        </w:tc>
        <w:tc>
          <w:tcPr>
            <w:tcW w:w="4162" w:type="dxa"/>
            <w:vMerge/>
            <w:tcBorders>
              <w:top w:val="nil"/>
              <w:right w:val="nil"/>
            </w:tcBorders>
          </w:tcPr>
          <w:p>
            <w:pPr>
              <w:rPr>
                <w:sz w:val="2"/>
                <w:szCs w:val="2"/>
              </w:rPr>
            </w:pPr>
          </w:p>
        </w:tc>
        <w:tc>
          <w:tcPr>
            <w:tcW w:w="4068" w:type="dxa"/>
            <w:vMerge/>
            <w:tcBorders>
              <w:top w:val="nil"/>
              <w:left w:val="nil"/>
            </w:tcBorders>
          </w:tcPr>
          <w:p>
            <w:pPr>
              <w:rPr>
                <w:sz w:val="2"/>
                <w:szCs w:val="2"/>
              </w:rPr>
            </w:pPr>
          </w:p>
        </w:tc>
        <w:tc>
          <w:tcPr>
            <w:tcW w:w="2318" w:type="dxa"/>
            <w:tcBorders>
              <w:top w:val="nil"/>
            </w:tcBorders>
          </w:tcPr>
          <w:p>
            <w:pPr>
              <w:pStyle w:val="TableParagraph"/>
              <w:rPr>
                <w:rFonts w:ascii="Times New Roman"/>
                <w:sz w:val="18"/>
              </w:rPr>
            </w:pPr>
          </w:p>
        </w:tc>
        <w:tc>
          <w:tcPr>
            <w:tcW w:w="2966" w:type="dxa"/>
            <w:tcBorders>
              <w:top w:val="nil"/>
            </w:tcBorders>
          </w:tcPr>
          <w:p>
            <w:pPr>
              <w:pStyle w:val="TableParagraph"/>
              <w:spacing w:line="232" w:lineRule="auto" w:before="33"/>
              <w:ind w:left="89"/>
              <w:rPr>
                <w:sz w:val="18"/>
              </w:rPr>
            </w:pPr>
            <w:r>
              <w:rPr>
                <w:color w:val="105C84"/>
                <w:sz w:val="18"/>
              </w:rPr>
              <w:t>Worksites complete assessment, implement policy/practice </w:t>
            </w:r>
            <w:r>
              <w:rPr>
                <w:color w:val="105C84"/>
                <w:sz w:val="18"/>
              </w:rPr>
              <w:t>change</w:t>
            </w:r>
          </w:p>
        </w:tc>
        <w:tc>
          <w:tcPr>
            <w:tcW w:w="1730" w:type="dxa"/>
            <w:tcBorders>
              <w:top w:val="nil"/>
            </w:tcBorders>
          </w:tcPr>
          <w:p>
            <w:pPr>
              <w:pStyle w:val="TableParagraph"/>
              <w:rPr>
                <w:rFonts w:ascii="Times New Roman"/>
                <w:sz w:val="18"/>
              </w:rPr>
            </w:pPr>
          </w:p>
        </w:tc>
      </w:tr>
      <w:tr>
        <w:trPr>
          <w:trHeight w:val="2130" w:hRule="atLeast"/>
        </w:trPr>
        <w:tc>
          <w:tcPr>
            <w:tcW w:w="1008" w:type="dxa"/>
            <w:vMerge w:val="restart"/>
            <w:tcBorders>
              <w:top w:val="nil"/>
              <w:bottom w:val="nil"/>
            </w:tcBorders>
            <w:shd w:val="clear" w:color="auto" w:fill="E6E7E8"/>
          </w:tcPr>
          <w:p>
            <w:pPr>
              <w:pStyle w:val="TableParagraph"/>
              <w:rPr>
                <w:rFonts w:ascii="Times New Roman"/>
                <w:sz w:val="18"/>
              </w:rPr>
            </w:pPr>
          </w:p>
        </w:tc>
        <w:tc>
          <w:tcPr>
            <w:tcW w:w="1152" w:type="dxa"/>
            <w:vMerge w:val="restart"/>
            <w:tcBorders>
              <w:top w:val="nil"/>
              <w:bottom w:val="nil"/>
            </w:tcBorders>
          </w:tcPr>
          <w:p>
            <w:pPr>
              <w:pStyle w:val="TableParagraph"/>
              <w:rPr>
                <w:rFonts w:ascii="Times New Roman"/>
                <w:sz w:val="18"/>
              </w:rPr>
            </w:pPr>
          </w:p>
        </w:tc>
        <w:tc>
          <w:tcPr>
            <w:tcW w:w="1267" w:type="dxa"/>
            <w:vMerge w:val="restart"/>
            <w:tcBorders>
              <w:top w:val="nil"/>
              <w:bottom w:val="nil"/>
            </w:tcBorders>
          </w:tcPr>
          <w:p>
            <w:pPr>
              <w:pStyle w:val="TableParagraph"/>
              <w:rPr>
                <w:rFonts w:ascii="Times New Roman"/>
                <w:sz w:val="18"/>
              </w:rPr>
            </w:pPr>
          </w:p>
        </w:tc>
        <w:tc>
          <w:tcPr>
            <w:tcW w:w="2304" w:type="dxa"/>
            <w:vMerge w:val="restart"/>
            <w:tcBorders>
              <w:bottom w:val="nil"/>
            </w:tcBorders>
          </w:tcPr>
          <w:p>
            <w:pPr>
              <w:pStyle w:val="TableParagraph"/>
              <w:spacing w:line="232" w:lineRule="auto" w:before="100"/>
              <w:ind w:left="89" w:right="85"/>
              <w:rPr>
                <w:sz w:val="18"/>
              </w:rPr>
            </w:pPr>
            <w:r>
              <w:rPr>
                <w:color w:val="105C84"/>
                <w:spacing w:val="-2"/>
                <w:sz w:val="18"/>
              </w:rPr>
              <w:t>1.7</w:t>
            </w:r>
            <w:r>
              <w:rPr>
                <w:color w:val="105C84"/>
                <w:spacing w:val="-13"/>
                <w:sz w:val="18"/>
              </w:rPr>
              <w:t> </w:t>
            </w:r>
            <w:r>
              <w:rPr>
                <w:color w:val="105C84"/>
                <w:spacing w:val="-2"/>
                <w:sz w:val="18"/>
              </w:rPr>
              <w:t>By</w:t>
            </w:r>
            <w:r>
              <w:rPr>
                <w:color w:val="105C84"/>
                <w:spacing w:val="-10"/>
                <w:sz w:val="18"/>
              </w:rPr>
              <w:t> </w:t>
            </w:r>
            <w:r>
              <w:rPr>
                <w:color w:val="105C84"/>
                <w:spacing w:val="-2"/>
                <w:sz w:val="18"/>
              </w:rPr>
              <w:t>December</w:t>
            </w:r>
            <w:r>
              <w:rPr>
                <w:color w:val="105C84"/>
                <w:spacing w:val="-11"/>
                <w:sz w:val="18"/>
              </w:rPr>
              <w:t> </w:t>
            </w:r>
            <w:r>
              <w:rPr>
                <w:color w:val="105C84"/>
                <w:spacing w:val="-2"/>
                <w:sz w:val="18"/>
              </w:rPr>
              <w:t>31,</w:t>
            </w:r>
            <w:r>
              <w:rPr>
                <w:color w:val="105C84"/>
                <w:spacing w:val="-10"/>
                <w:sz w:val="18"/>
              </w:rPr>
              <w:t> </w:t>
            </w:r>
            <w:r>
              <w:rPr>
                <w:color w:val="105C84"/>
                <w:spacing w:val="-2"/>
                <w:sz w:val="18"/>
              </w:rPr>
              <w:t>2021</w:t>
            </w:r>
            <w:r>
              <w:rPr>
                <w:color w:val="105C84"/>
                <w:spacing w:val="-2"/>
                <w:sz w:val="18"/>
              </w:rPr>
              <w:t>,</w:t>
            </w:r>
            <w:r>
              <w:rPr>
                <w:color w:val="105C84"/>
                <w:spacing w:val="-2"/>
                <w:sz w:val="18"/>
              </w:rPr>
              <w:t> </w:t>
            </w:r>
            <w:r>
              <w:rPr>
                <w:color w:val="105C84"/>
                <w:sz w:val="18"/>
              </w:rPr>
              <w:t>increase the percentage</w:t>
            </w:r>
            <w:r>
              <w:rPr>
                <w:color w:val="105C84"/>
                <w:spacing w:val="40"/>
                <w:sz w:val="18"/>
              </w:rPr>
              <w:t> </w:t>
            </w:r>
            <w:r>
              <w:rPr>
                <w:color w:val="105C84"/>
                <w:sz w:val="18"/>
              </w:rPr>
              <w:t>of adults ages 18 years and older who participate in leisure-time physical </w:t>
            </w:r>
            <w:r>
              <w:rPr>
                <w:color w:val="105C84"/>
                <w:spacing w:val="-2"/>
                <w:sz w:val="18"/>
              </w:rPr>
              <w:t>activity</w:t>
            </w:r>
          </w:p>
        </w:tc>
        <w:tc>
          <w:tcPr>
            <w:tcW w:w="1253" w:type="dxa"/>
            <w:vMerge w:val="restart"/>
          </w:tcPr>
          <w:p>
            <w:pPr>
              <w:pStyle w:val="TableParagraph"/>
              <w:rPr>
                <w:rFonts w:ascii="Times New Roman"/>
                <w:sz w:val="18"/>
              </w:rPr>
            </w:pPr>
          </w:p>
        </w:tc>
        <w:tc>
          <w:tcPr>
            <w:tcW w:w="4162" w:type="dxa"/>
            <w:vMerge w:val="restart"/>
            <w:tcBorders>
              <w:bottom w:val="nil"/>
              <w:right w:val="nil"/>
            </w:tcBorders>
          </w:tcPr>
          <w:p>
            <w:pPr>
              <w:pStyle w:val="TableParagraph"/>
              <w:spacing w:line="232" w:lineRule="auto" w:before="100"/>
              <w:ind w:left="89" w:right="1290"/>
              <w:rPr>
                <w:sz w:val="18"/>
              </w:rPr>
            </w:pPr>
            <w:r>
              <w:rPr>
                <w:color w:val="105C84"/>
                <w:sz w:val="18"/>
              </w:rPr>
              <w:t>2.1.1 - Implement a combination</w:t>
            </w:r>
            <w:r>
              <w:rPr>
                <w:color w:val="105C84"/>
                <w:spacing w:val="80"/>
                <w:sz w:val="18"/>
              </w:rPr>
              <w:t> </w:t>
            </w:r>
            <w:r>
              <w:rPr>
                <w:color w:val="105C84"/>
                <w:sz w:val="18"/>
              </w:rPr>
              <w:t>of one or more new or improved pedestrian, bicycle, or transit transportation</w:t>
            </w:r>
            <w:r>
              <w:rPr>
                <w:color w:val="105C84"/>
                <w:spacing w:val="-7"/>
                <w:sz w:val="18"/>
              </w:rPr>
              <w:t> </w:t>
            </w:r>
            <w:r>
              <w:rPr>
                <w:color w:val="105C84"/>
                <w:sz w:val="18"/>
              </w:rPr>
              <w:t>system</w:t>
            </w:r>
            <w:r>
              <w:rPr>
                <w:color w:val="105C84"/>
                <w:spacing w:val="-7"/>
                <w:sz w:val="18"/>
              </w:rPr>
              <w:t> </w:t>
            </w:r>
            <w:r>
              <w:rPr>
                <w:color w:val="105C84"/>
                <w:sz w:val="18"/>
              </w:rPr>
              <w:t>components</w:t>
            </w:r>
            <w:r>
              <w:rPr>
                <w:color w:val="105C84"/>
                <w:sz w:val="18"/>
              </w:rPr>
              <w:t> (i.e., activity-friendly routes), with new or improved land use or environmental</w:t>
            </w:r>
            <w:r>
              <w:rPr>
                <w:color w:val="105C84"/>
                <w:spacing w:val="-2"/>
                <w:sz w:val="18"/>
              </w:rPr>
              <w:t> </w:t>
            </w:r>
            <w:r>
              <w:rPr>
                <w:color w:val="105C84"/>
                <w:sz w:val="18"/>
              </w:rPr>
              <w:t>design</w:t>
            </w:r>
            <w:r>
              <w:rPr>
                <w:color w:val="105C84"/>
                <w:spacing w:val="-2"/>
                <w:sz w:val="18"/>
              </w:rPr>
              <w:t> </w:t>
            </w:r>
            <w:r>
              <w:rPr>
                <w:color w:val="105C84"/>
                <w:sz w:val="18"/>
              </w:rPr>
              <w:t>components</w:t>
            </w:r>
            <w:r>
              <w:rPr>
                <w:color w:val="105C84"/>
                <w:sz w:val="18"/>
              </w:rPr>
              <w:t> (i.e., connecting everyday</w:t>
            </w:r>
          </w:p>
          <w:p>
            <w:pPr>
              <w:pStyle w:val="TableParagraph"/>
              <w:spacing w:line="232" w:lineRule="auto"/>
              <w:ind w:left="89" w:right="1076"/>
              <w:rPr>
                <w:sz w:val="18"/>
              </w:rPr>
            </w:pPr>
            <w:r>
              <w:rPr>
                <w:color w:val="105C84"/>
                <w:sz w:val="18"/>
              </w:rPr>
              <w:t>destinations)</w:t>
            </w:r>
            <w:r>
              <w:rPr>
                <w:color w:val="105C84"/>
                <w:spacing w:val="-15"/>
                <w:sz w:val="18"/>
              </w:rPr>
              <w:t> </w:t>
            </w:r>
            <w:r>
              <w:rPr>
                <w:color w:val="105C84"/>
                <w:sz w:val="18"/>
              </w:rPr>
              <w:t>through</w:t>
            </w:r>
            <w:r>
              <w:rPr>
                <w:color w:val="105C84"/>
                <w:spacing w:val="-12"/>
                <w:sz w:val="18"/>
              </w:rPr>
              <w:t> </w:t>
            </w:r>
            <w:r>
              <w:rPr>
                <w:color w:val="105C84"/>
                <w:sz w:val="18"/>
              </w:rPr>
              <w:t>comprehensive master/transportation plans or Complete Streets resolutions, policies, or ordinances to connect sidewalks,</w:t>
            </w:r>
            <w:r>
              <w:rPr>
                <w:color w:val="105C84"/>
                <w:spacing w:val="-2"/>
                <w:sz w:val="18"/>
              </w:rPr>
              <w:t> </w:t>
            </w:r>
            <w:r>
              <w:rPr>
                <w:color w:val="105C84"/>
                <w:sz w:val="18"/>
              </w:rPr>
              <w:t>multi-use</w:t>
            </w:r>
            <w:r>
              <w:rPr>
                <w:color w:val="105C84"/>
                <w:spacing w:val="-2"/>
                <w:sz w:val="18"/>
              </w:rPr>
              <w:t> </w:t>
            </w:r>
            <w:r>
              <w:rPr>
                <w:color w:val="105C84"/>
                <w:sz w:val="18"/>
              </w:rPr>
              <w:t>paths</w:t>
            </w:r>
            <w:r>
              <w:rPr>
                <w:color w:val="105C84"/>
                <w:spacing w:val="-2"/>
                <w:sz w:val="18"/>
              </w:rPr>
              <w:t> </w:t>
            </w:r>
            <w:r>
              <w:rPr>
                <w:color w:val="105C84"/>
                <w:sz w:val="18"/>
              </w:rPr>
              <w:t>and</w:t>
            </w:r>
            <w:r>
              <w:rPr>
                <w:color w:val="105C84"/>
                <w:spacing w:val="-2"/>
                <w:sz w:val="18"/>
              </w:rPr>
              <w:t> </w:t>
            </w:r>
            <w:r>
              <w:rPr>
                <w:color w:val="105C84"/>
                <w:sz w:val="18"/>
              </w:rPr>
              <w:t>trails, bicycle</w:t>
            </w:r>
            <w:r>
              <w:rPr>
                <w:color w:val="105C84"/>
                <w:spacing w:val="-2"/>
                <w:sz w:val="18"/>
              </w:rPr>
              <w:t> </w:t>
            </w:r>
            <w:r>
              <w:rPr>
                <w:color w:val="105C84"/>
                <w:sz w:val="18"/>
              </w:rPr>
              <w:t>routes,</w:t>
            </w:r>
            <w:r>
              <w:rPr>
                <w:color w:val="105C84"/>
                <w:spacing w:val="-2"/>
                <w:sz w:val="18"/>
              </w:rPr>
              <w:t> </w:t>
            </w:r>
            <w:r>
              <w:rPr>
                <w:color w:val="105C84"/>
                <w:sz w:val="18"/>
              </w:rPr>
              <w:t>and</w:t>
            </w:r>
            <w:r>
              <w:rPr>
                <w:color w:val="105C84"/>
                <w:spacing w:val="-2"/>
                <w:sz w:val="18"/>
              </w:rPr>
              <w:t> </w:t>
            </w:r>
            <w:r>
              <w:rPr>
                <w:color w:val="105C84"/>
                <w:sz w:val="18"/>
              </w:rPr>
              <w:t>public</w:t>
            </w:r>
            <w:r>
              <w:rPr>
                <w:color w:val="105C84"/>
                <w:spacing w:val="-2"/>
                <w:sz w:val="18"/>
              </w:rPr>
              <w:t> </w:t>
            </w:r>
            <w:r>
              <w:rPr>
                <w:color w:val="105C84"/>
                <w:sz w:val="18"/>
              </w:rPr>
              <w:t>transit</w:t>
            </w:r>
            <w:r>
              <w:rPr>
                <w:color w:val="105C84"/>
                <w:spacing w:val="-2"/>
                <w:sz w:val="18"/>
              </w:rPr>
              <w:t> </w:t>
            </w:r>
            <w:r>
              <w:rPr>
                <w:color w:val="105C84"/>
                <w:sz w:val="18"/>
              </w:rPr>
              <w:t>with homes, early care and education sites, schools, worksites, parks, recreation facilities, and natural or green spaces</w:t>
            </w:r>
          </w:p>
        </w:tc>
        <w:tc>
          <w:tcPr>
            <w:tcW w:w="4068" w:type="dxa"/>
            <w:tcBorders>
              <w:left w:val="nil"/>
            </w:tcBorders>
          </w:tcPr>
          <w:p>
            <w:pPr>
              <w:pStyle w:val="TableParagraph"/>
              <w:spacing w:line="232" w:lineRule="auto" w:before="100"/>
              <w:ind w:left="1091" w:right="373"/>
              <w:rPr>
                <w:sz w:val="18"/>
              </w:rPr>
            </w:pPr>
            <w:r>
              <w:rPr>
                <w:color w:val="105C84"/>
                <w:sz w:val="18"/>
              </w:rPr>
              <w:t>Increase number of municipalities which adopt Complete</w:t>
            </w:r>
            <w:r>
              <w:rPr>
                <w:color w:val="105C84"/>
                <w:spacing w:val="-9"/>
                <w:sz w:val="18"/>
              </w:rPr>
              <w:t> </w:t>
            </w:r>
            <w:r>
              <w:rPr>
                <w:color w:val="105C84"/>
                <w:sz w:val="18"/>
              </w:rPr>
              <w:t>Streets</w:t>
            </w:r>
            <w:r>
              <w:rPr>
                <w:color w:val="105C84"/>
                <w:spacing w:val="-9"/>
                <w:sz w:val="18"/>
              </w:rPr>
              <w:t> </w:t>
            </w:r>
            <w:r>
              <w:rPr>
                <w:color w:val="105C84"/>
                <w:sz w:val="18"/>
              </w:rPr>
              <w:t>resolution (Baseline: 0-2018)</w:t>
            </w:r>
          </w:p>
          <w:p>
            <w:pPr>
              <w:pStyle w:val="TableParagraph"/>
              <w:spacing w:before="81"/>
              <w:ind w:left="1091"/>
              <w:rPr>
                <w:sz w:val="18"/>
              </w:rPr>
            </w:pPr>
            <w:r>
              <w:rPr>
                <w:color w:val="105C84"/>
                <w:spacing w:val="-2"/>
                <w:sz w:val="18"/>
              </w:rPr>
              <w:t>LC</w:t>
            </w:r>
            <w:r>
              <w:rPr>
                <w:color w:val="105C84"/>
                <w:spacing w:val="-8"/>
                <w:sz w:val="18"/>
              </w:rPr>
              <w:t> </w:t>
            </w:r>
            <w:r>
              <w:rPr>
                <w:color w:val="105C84"/>
                <w:spacing w:val="-2"/>
                <w:sz w:val="18"/>
              </w:rPr>
              <w:t>Planning</w:t>
            </w:r>
            <w:r>
              <w:rPr>
                <w:color w:val="105C84"/>
                <w:spacing w:val="-8"/>
                <w:sz w:val="18"/>
              </w:rPr>
              <w:t> </w:t>
            </w:r>
            <w:r>
              <w:rPr>
                <w:color w:val="105C84"/>
                <w:spacing w:val="-4"/>
                <w:sz w:val="18"/>
              </w:rPr>
              <w:t>Dept</w:t>
            </w:r>
          </w:p>
          <w:p>
            <w:pPr>
              <w:pStyle w:val="TableParagraph"/>
              <w:spacing w:line="232" w:lineRule="auto" w:before="88"/>
              <w:ind w:left="1091" w:right="151"/>
              <w:rPr>
                <w:sz w:val="18"/>
              </w:rPr>
            </w:pPr>
            <w:r>
              <w:rPr>
                <w:color w:val="105C84"/>
                <w:sz w:val="18"/>
              </w:rPr>
              <w:t>Baseline:</w:t>
            </w:r>
            <w:r>
              <w:rPr>
                <w:color w:val="105C84"/>
                <w:spacing w:val="-13"/>
                <w:sz w:val="18"/>
              </w:rPr>
              <w:t> </w:t>
            </w:r>
            <w:r>
              <w:rPr>
                <w:color w:val="105C84"/>
                <w:sz w:val="18"/>
              </w:rPr>
              <w:t>805</w:t>
            </w:r>
            <w:r>
              <w:rPr>
                <w:color w:val="105C84"/>
                <w:spacing w:val="-12"/>
                <w:sz w:val="18"/>
              </w:rPr>
              <w:t> </w:t>
            </w:r>
            <w:r>
              <w:rPr>
                <w:color w:val="105C84"/>
                <w:sz w:val="18"/>
              </w:rPr>
              <w:t>age-adjusted</w:t>
            </w:r>
            <w:r>
              <w:rPr>
                <w:color w:val="105C84"/>
                <w:spacing w:val="-13"/>
                <w:sz w:val="18"/>
              </w:rPr>
              <w:t> </w:t>
            </w:r>
            <w:r>
              <w:rPr>
                <w:color w:val="105C84"/>
                <w:sz w:val="18"/>
              </w:rPr>
              <w:t>percent of adults who participated in leisure-time</w:t>
            </w:r>
            <w:r>
              <w:rPr>
                <w:color w:val="105C84"/>
                <w:spacing w:val="-13"/>
                <w:sz w:val="18"/>
              </w:rPr>
              <w:t> </w:t>
            </w:r>
            <w:r>
              <w:rPr>
                <w:color w:val="105C84"/>
                <w:sz w:val="18"/>
              </w:rPr>
              <w:t>activity</w:t>
            </w:r>
            <w:r>
              <w:rPr>
                <w:color w:val="105C84"/>
                <w:spacing w:val="-12"/>
                <w:sz w:val="18"/>
              </w:rPr>
              <w:t> </w:t>
            </w:r>
            <w:r>
              <w:rPr>
                <w:color w:val="105C84"/>
                <w:sz w:val="18"/>
              </w:rPr>
              <w:t>in</w:t>
            </w:r>
            <w:r>
              <w:rPr>
                <w:color w:val="105C84"/>
                <w:spacing w:val="-13"/>
                <w:sz w:val="18"/>
              </w:rPr>
              <w:t> </w:t>
            </w:r>
            <w:r>
              <w:rPr>
                <w:color w:val="105C84"/>
                <w:sz w:val="18"/>
              </w:rPr>
              <w:t>past</w:t>
            </w:r>
            <w:r>
              <w:rPr>
                <w:color w:val="105C84"/>
                <w:spacing w:val="-12"/>
                <w:sz w:val="18"/>
              </w:rPr>
              <w:t> </w:t>
            </w:r>
            <w:r>
              <w:rPr>
                <w:color w:val="105C84"/>
                <w:sz w:val="18"/>
              </w:rPr>
              <w:t>30</w:t>
            </w:r>
            <w:r>
              <w:rPr>
                <w:color w:val="105C84"/>
                <w:spacing w:val="-13"/>
                <w:sz w:val="18"/>
              </w:rPr>
              <w:t> </w:t>
            </w:r>
            <w:r>
              <w:rPr>
                <w:color w:val="105C84"/>
                <w:sz w:val="18"/>
              </w:rPr>
              <w:t>days-2016, NYSCHIRS)</w:t>
            </w:r>
          </w:p>
        </w:tc>
        <w:tc>
          <w:tcPr>
            <w:tcW w:w="2318" w:type="dxa"/>
          </w:tcPr>
          <w:p>
            <w:pPr>
              <w:pStyle w:val="TableParagraph"/>
              <w:spacing w:line="336" w:lineRule="auto" w:before="94"/>
              <w:ind w:left="89" w:right="956"/>
              <w:rPr>
                <w:sz w:val="18"/>
              </w:rPr>
            </w:pPr>
            <w:r>
              <w:rPr>
                <w:color w:val="105C84"/>
                <w:spacing w:val="-2"/>
                <w:sz w:val="18"/>
              </w:rPr>
              <w:t>Municipalities </w:t>
            </w:r>
            <w:r>
              <w:rPr>
                <w:color w:val="105C84"/>
                <w:sz w:val="18"/>
              </w:rPr>
              <w:t>LC Planning </w:t>
            </w:r>
            <w:r>
              <w:rPr>
                <w:color w:val="105C84"/>
                <w:spacing w:val="-2"/>
                <w:sz w:val="18"/>
              </w:rPr>
              <w:t>NYSDOT</w:t>
            </w:r>
          </w:p>
        </w:tc>
        <w:tc>
          <w:tcPr>
            <w:tcW w:w="2966" w:type="dxa"/>
          </w:tcPr>
          <w:p>
            <w:pPr>
              <w:pStyle w:val="TableParagraph"/>
              <w:spacing w:line="232" w:lineRule="auto" w:before="99"/>
              <w:ind w:left="89"/>
              <w:rPr>
                <w:sz w:val="18"/>
              </w:rPr>
            </w:pPr>
            <w:r>
              <w:rPr>
                <w:color w:val="105C84"/>
                <w:w w:val="105"/>
                <w:sz w:val="18"/>
              </w:rPr>
              <w:t>Municipalities to work with </w:t>
            </w:r>
            <w:r>
              <w:rPr>
                <w:color w:val="105C84"/>
                <w:sz w:val="18"/>
              </w:rPr>
              <w:t>community partners to </w:t>
            </w:r>
            <w:r>
              <w:rPr>
                <w:color w:val="105C84"/>
                <w:sz w:val="18"/>
              </w:rPr>
              <w:t>adopt </w:t>
            </w:r>
            <w:r>
              <w:rPr>
                <w:color w:val="105C84"/>
                <w:w w:val="105"/>
                <w:sz w:val="18"/>
              </w:rPr>
              <w:t>Complete Street resolution</w:t>
            </w:r>
          </w:p>
          <w:p>
            <w:pPr>
              <w:pStyle w:val="TableParagraph"/>
              <w:spacing w:line="232" w:lineRule="auto" w:before="88"/>
              <w:ind w:left="89" w:right="45"/>
              <w:rPr>
                <w:sz w:val="18"/>
              </w:rPr>
            </w:pPr>
            <w:r>
              <w:rPr>
                <w:color w:val="105C84"/>
                <w:sz w:val="18"/>
              </w:rPr>
              <w:t>LC Planning work with municipalities and NYSDOT to assist</w:t>
            </w:r>
            <w:r>
              <w:rPr>
                <w:color w:val="105C84"/>
                <w:spacing w:val="-6"/>
                <w:sz w:val="18"/>
              </w:rPr>
              <w:t> </w:t>
            </w:r>
            <w:r>
              <w:rPr>
                <w:color w:val="105C84"/>
                <w:sz w:val="18"/>
              </w:rPr>
              <w:t>with</w:t>
            </w:r>
            <w:r>
              <w:rPr>
                <w:color w:val="105C84"/>
                <w:spacing w:val="-6"/>
                <w:sz w:val="18"/>
              </w:rPr>
              <w:t> </w:t>
            </w:r>
            <w:r>
              <w:rPr>
                <w:color w:val="105C84"/>
                <w:sz w:val="18"/>
              </w:rPr>
              <w:t>resolution</w:t>
            </w:r>
            <w:r>
              <w:rPr>
                <w:color w:val="105C84"/>
                <w:spacing w:val="-6"/>
                <w:sz w:val="18"/>
              </w:rPr>
              <w:t> </w:t>
            </w:r>
            <w:r>
              <w:rPr>
                <w:color w:val="105C84"/>
                <w:sz w:val="18"/>
              </w:rPr>
              <w:t>by</w:t>
            </w:r>
            <w:r>
              <w:rPr>
                <w:color w:val="105C84"/>
                <w:spacing w:val="-6"/>
                <w:sz w:val="18"/>
              </w:rPr>
              <w:t> </w:t>
            </w:r>
            <w:r>
              <w:rPr>
                <w:color w:val="105C84"/>
                <w:sz w:val="18"/>
              </w:rPr>
              <w:t>providing tech support</w:t>
            </w:r>
          </w:p>
        </w:tc>
        <w:tc>
          <w:tcPr>
            <w:tcW w:w="1730" w:type="dxa"/>
          </w:tcPr>
          <w:p>
            <w:pPr>
              <w:pStyle w:val="TableParagraph"/>
              <w:spacing w:line="232" w:lineRule="auto" w:before="99"/>
              <w:ind w:left="90" w:right="93"/>
              <w:rPr>
                <w:sz w:val="18"/>
              </w:rPr>
            </w:pPr>
            <w:r>
              <w:rPr>
                <w:color w:val="105C84"/>
                <w:sz w:val="18"/>
              </w:rPr>
              <w:t>One municipality</w:t>
            </w:r>
            <w:r>
              <w:rPr>
                <w:color w:val="105C84"/>
                <w:spacing w:val="80"/>
                <w:sz w:val="18"/>
              </w:rPr>
              <w:t> </w:t>
            </w:r>
            <w:r>
              <w:rPr>
                <w:color w:val="105C84"/>
                <w:sz w:val="18"/>
              </w:rPr>
              <w:t>to adopt </w:t>
            </w:r>
            <w:r>
              <w:rPr>
                <w:color w:val="105C84"/>
                <w:sz w:val="18"/>
              </w:rPr>
              <w:t>resolution by year 3</w:t>
            </w:r>
          </w:p>
        </w:tc>
      </w:tr>
      <w:tr>
        <w:trPr>
          <w:trHeight w:val="1040" w:hRule="atLeast"/>
        </w:trPr>
        <w:tc>
          <w:tcPr>
            <w:tcW w:w="1008" w:type="dxa"/>
            <w:vMerge/>
            <w:tcBorders>
              <w:top w:val="nil"/>
              <w:bottom w:val="nil"/>
            </w:tcBorders>
            <w:shd w:val="clear" w:color="auto" w:fill="E6E7E8"/>
          </w:tcPr>
          <w:p>
            <w:pPr>
              <w:rPr>
                <w:sz w:val="2"/>
                <w:szCs w:val="2"/>
              </w:rPr>
            </w:pPr>
          </w:p>
        </w:tc>
        <w:tc>
          <w:tcPr>
            <w:tcW w:w="1152" w:type="dxa"/>
            <w:vMerge/>
            <w:tcBorders>
              <w:top w:val="nil"/>
              <w:bottom w:val="nil"/>
            </w:tcBorders>
          </w:tcPr>
          <w:p>
            <w:pPr>
              <w:rPr>
                <w:sz w:val="2"/>
                <w:szCs w:val="2"/>
              </w:rPr>
            </w:pPr>
          </w:p>
        </w:tc>
        <w:tc>
          <w:tcPr>
            <w:tcW w:w="1267" w:type="dxa"/>
            <w:vMerge/>
            <w:tcBorders>
              <w:top w:val="nil"/>
              <w:bottom w:val="nil"/>
            </w:tcBorders>
          </w:tcPr>
          <w:p>
            <w:pPr>
              <w:rPr>
                <w:sz w:val="2"/>
                <w:szCs w:val="2"/>
              </w:rPr>
            </w:pPr>
          </w:p>
        </w:tc>
        <w:tc>
          <w:tcPr>
            <w:tcW w:w="2304" w:type="dxa"/>
            <w:vMerge/>
            <w:tcBorders>
              <w:top w:val="nil"/>
              <w:bottom w:val="nil"/>
            </w:tcBorders>
          </w:tcPr>
          <w:p>
            <w:pPr>
              <w:rPr>
                <w:sz w:val="2"/>
                <w:szCs w:val="2"/>
              </w:rPr>
            </w:pPr>
          </w:p>
        </w:tc>
        <w:tc>
          <w:tcPr>
            <w:tcW w:w="1253" w:type="dxa"/>
            <w:vMerge/>
            <w:tcBorders>
              <w:top w:val="nil"/>
            </w:tcBorders>
          </w:tcPr>
          <w:p>
            <w:pPr>
              <w:rPr>
                <w:sz w:val="2"/>
                <w:szCs w:val="2"/>
              </w:rPr>
            </w:pPr>
          </w:p>
        </w:tc>
        <w:tc>
          <w:tcPr>
            <w:tcW w:w="4162" w:type="dxa"/>
            <w:vMerge/>
            <w:tcBorders>
              <w:top w:val="nil"/>
              <w:bottom w:val="nil"/>
              <w:right w:val="nil"/>
            </w:tcBorders>
          </w:tcPr>
          <w:p>
            <w:pPr>
              <w:rPr>
                <w:sz w:val="2"/>
                <w:szCs w:val="2"/>
              </w:rPr>
            </w:pPr>
          </w:p>
        </w:tc>
        <w:tc>
          <w:tcPr>
            <w:tcW w:w="4068" w:type="dxa"/>
            <w:tcBorders>
              <w:left w:val="nil"/>
            </w:tcBorders>
          </w:tcPr>
          <w:p>
            <w:pPr>
              <w:pStyle w:val="TableParagraph"/>
              <w:spacing w:line="232" w:lineRule="auto" w:before="99"/>
              <w:ind w:left="1091"/>
              <w:rPr>
                <w:sz w:val="18"/>
              </w:rPr>
            </w:pPr>
            <w:r>
              <w:rPr>
                <w:color w:val="105C84"/>
                <w:sz w:val="18"/>
              </w:rPr>
              <w:t>Complete assessment re: transportation and/or </w:t>
            </w:r>
            <w:r>
              <w:rPr>
                <w:color w:val="105C84"/>
                <w:sz w:val="18"/>
              </w:rPr>
              <w:t>connectivity </w:t>
            </w:r>
            <w:r>
              <w:rPr>
                <w:color w:val="105C84"/>
                <w:spacing w:val="-2"/>
                <w:sz w:val="18"/>
              </w:rPr>
              <w:t>plans</w:t>
            </w:r>
          </w:p>
        </w:tc>
        <w:tc>
          <w:tcPr>
            <w:tcW w:w="2318" w:type="dxa"/>
          </w:tcPr>
          <w:p>
            <w:pPr>
              <w:pStyle w:val="TableParagraph"/>
              <w:spacing w:line="336" w:lineRule="auto" w:before="94"/>
              <w:ind w:left="89" w:right="956"/>
              <w:rPr>
                <w:sz w:val="18"/>
              </w:rPr>
            </w:pPr>
            <w:r>
              <w:rPr>
                <w:color w:val="105C84"/>
                <w:spacing w:val="-2"/>
                <w:sz w:val="18"/>
              </w:rPr>
              <w:t>Municipalities </w:t>
            </w:r>
            <w:r>
              <w:rPr>
                <w:color w:val="105C84"/>
                <w:sz w:val="18"/>
              </w:rPr>
              <w:t>LC Planning </w:t>
            </w:r>
            <w:r>
              <w:rPr>
                <w:color w:val="105C84"/>
                <w:spacing w:val="-2"/>
                <w:sz w:val="18"/>
              </w:rPr>
              <w:t>NYSDOT</w:t>
            </w:r>
          </w:p>
        </w:tc>
        <w:tc>
          <w:tcPr>
            <w:tcW w:w="2966" w:type="dxa"/>
          </w:tcPr>
          <w:p>
            <w:pPr>
              <w:pStyle w:val="TableParagraph"/>
              <w:spacing w:line="232" w:lineRule="auto" w:before="99"/>
              <w:ind w:left="89"/>
              <w:rPr>
                <w:sz w:val="18"/>
              </w:rPr>
            </w:pPr>
            <w:r>
              <w:rPr>
                <w:color w:val="105C84"/>
                <w:spacing w:val="-2"/>
                <w:w w:val="105"/>
                <w:sz w:val="18"/>
              </w:rPr>
              <w:t>Municipalities</w:t>
            </w:r>
            <w:r>
              <w:rPr>
                <w:color w:val="105C84"/>
                <w:spacing w:val="-12"/>
                <w:w w:val="105"/>
                <w:sz w:val="18"/>
              </w:rPr>
              <w:t> </w:t>
            </w:r>
            <w:r>
              <w:rPr>
                <w:color w:val="105C84"/>
                <w:spacing w:val="-2"/>
                <w:w w:val="105"/>
                <w:sz w:val="18"/>
              </w:rPr>
              <w:t>to</w:t>
            </w:r>
            <w:r>
              <w:rPr>
                <w:color w:val="105C84"/>
                <w:spacing w:val="-11"/>
                <w:w w:val="105"/>
                <w:sz w:val="18"/>
              </w:rPr>
              <w:t> </w:t>
            </w:r>
            <w:r>
              <w:rPr>
                <w:color w:val="105C84"/>
                <w:spacing w:val="-2"/>
                <w:w w:val="105"/>
                <w:sz w:val="18"/>
              </w:rPr>
              <w:t>complete assessment</w:t>
            </w:r>
          </w:p>
          <w:p>
            <w:pPr>
              <w:pStyle w:val="TableParagraph"/>
              <w:spacing w:line="232" w:lineRule="auto" w:before="89"/>
              <w:ind w:left="89"/>
              <w:rPr>
                <w:sz w:val="18"/>
              </w:rPr>
            </w:pPr>
            <w:r>
              <w:rPr>
                <w:color w:val="105C84"/>
                <w:sz w:val="18"/>
              </w:rPr>
              <w:t>Planning</w:t>
            </w:r>
            <w:r>
              <w:rPr>
                <w:color w:val="105C84"/>
                <w:spacing w:val="-10"/>
                <w:sz w:val="18"/>
              </w:rPr>
              <w:t> </w:t>
            </w:r>
            <w:r>
              <w:rPr>
                <w:color w:val="105C84"/>
                <w:sz w:val="18"/>
              </w:rPr>
              <w:t>and</w:t>
            </w:r>
            <w:r>
              <w:rPr>
                <w:color w:val="105C84"/>
                <w:spacing w:val="-10"/>
                <w:sz w:val="18"/>
              </w:rPr>
              <w:t> </w:t>
            </w:r>
            <w:r>
              <w:rPr>
                <w:color w:val="105C84"/>
                <w:sz w:val="18"/>
              </w:rPr>
              <w:t>NYSDOT</w:t>
            </w:r>
            <w:r>
              <w:rPr>
                <w:color w:val="105C84"/>
                <w:spacing w:val="-10"/>
                <w:sz w:val="18"/>
              </w:rPr>
              <w:t> </w:t>
            </w:r>
            <w:r>
              <w:rPr>
                <w:color w:val="105C84"/>
                <w:sz w:val="18"/>
              </w:rPr>
              <w:t>to</w:t>
            </w:r>
            <w:r>
              <w:rPr>
                <w:color w:val="105C84"/>
                <w:spacing w:val="-10"/>
                <w:sz w:val="18"/>
              </w:rPr>
              <w:t> </w:t>
            </w:r>
            <w:r>
              <w:rPr>
                <w:color w:val="105C84"/>
                <w:sz w:val="18"/>
              </w:rPr>
              <w:t>conduct and analyze assessment</w:t>
            </w:r>
          </w:p>
        </w:tc>
        <w:tc>
          <w:tcPr>
            <w:tcW w:w="1730" w:type="dxa"/>
          </w:tcPr>
          <w:p>
            <w:pPr>
              <w:pStyle w:val="TableParagraph"/>
              <w:spacing w:line="232" w:lineRule="auto" w:before="99"/>
              <w:ind w:left="90" w:right="360"/>
              <w:rPr>
                <w:sz w:val="18"/>
              </w:rPr>
            </w:pPr>
            <w:r>
              <w:rPr>
                <w:color w:val="105C84"/>
                <w:sz w:val="18"/>
              </w:rPr>
              <w:t>Minimum of</w:t>
            </w:r>
            <w:r>
              <w:rPr>
                <w:color w:val="105C84"/>
                <w:spacing w:val="80"/>
                <w:sz w:val="18"/>
              </w:rPr>
              <w:t> </w:t>
            </w:r>
            <w:r>
              <w:rPr>
                <w:color w:val="105C84"/>
                <w:spacing w:val="-4"/>
                <w:sz w:val="18"/>
              </w:rPr>
              <w:t>one</w:t>
            </w:r>
            <w:r>
              <w:rPr>
                <w:color w:val="105C84"/>
                <w:spacing w:val="-9"/>
                <w:sz w:val="18"/>
              </w:rPr>
              <w:t> </w:t>
            </w:r>
            <w:r>
              <w:rPr>
                <w:color w:val="105C84"/>
                <w:spacing w:val="-4"/>
                <w:sz w:val="18"/>
              </w:rPr>
              <w:t>assessment </w:t>
            </w:r>
            <w:r>
              <w:rPr>
                <w:color w:val="105C84"/>
                <w:sz w:val="18"/>
              </w:rPr>
              <w:t>completed per </w:t>
            </w:r>
            <w:r>
              <w:rPr>
                <w:color w:val="105C84"/>
                <w:spacing w:val="-4"/>
                <w:sz w:val="18"/>
              </w:rPr>
              <w:t>year</w:t>
            </w:r>
          </w:p>
        </w:tc>
      </w:tr>
      <w:tr>
        <w:trPr>
          <w:trHeight w:val="1350" w:hRule="atLeast"/>
        </w:trPr>
        <w:tc>
          <w:tcPr>
            <w:tcW w:w="1008" w:type="dxa"/>
            <w:vMerge/>
            <w:tcBorders>
              <w:top w:val="nil"/>
              <w:bottom w:val="nil"/>
            </w:tcBorders>
            <w:shd w:val="clear" w:color="auto" w:fill="E6E7E8"/>
          </w:tcPr>
          <w:p>
            <w:pPr>
              <w:rPr>
                <w:sz w:val="2"/>
                <w:szCs w:val="2"/>
              </w:rPr>
            </w:pPr>
          </w:p>
        </w:tc>
        <w:tc>
          <w:tcPr>
            <w:tcW w:w="1152" w:type="dxa"/>
            <w:vMerge/>
            <w:tcBorders>
              <w:top w:val="nil"/>
              <w:bottom w:val="nil"/>
            </w:tcBorders>
          </w:tcPr>
          <w:p>
            <w:pPr>
              <w:rPr>
                <w:sz w:val="2"/>
                <w:szCs w:val="2"/>
              </w:rPr>
            </w:pPr>
          </w:p>
        </w:tc>
        <w:tc>
          <w:tcPr>
            <w:tcW w:w="1267" w:type="dxa"/>
            <w:vMerge/>
            <w:tcBorders>
              <w:top w:val="nil"/>
              <w:bottom w:val="nil"/>
            </w:tcBorders>
          </w:tcPr>
          <w:p>
            <w:pPr>
              <w:rPr>
                <w:sz w:val="2"/>
                <w:szCs w:val="2"/>
              </w:rPr>
            </w:pPr>
          </w:p>
        </w:tc>
        <w:tc>
          <w:tcPr>
            <w:tcW w:w="2304" w:type="dxa"/>
            <w:vMerge/>
            <w:tcBorders>
              <w:top w:val="nil"/>
              <w:bottom w:val="nil"/>
            </w:tcBorders>
          </w:tcPr>
          <w:p>
            <w:pPr>
              <w:rPr>
                <w:sz w:val="2"/>
                <w:szCs w:val="2"/>
              </w:rPr>
            </w:pPr>
          </w:p>
        </w:tc>
        <w:tc>
          <w:tcPr>
            <w:tcW w:w="1253" w:type="dxa"/>
            <w:vMerge/>
            <w:tcBorders>
              <w:top w:val="nil"/>
            </w:tcBorders>
          </w:tcPr>
          <w:p>
            <w:pPr>
              <w:rPr>
                <w:sz w:val="2"/>
                <w:szCs w:val="2"/>
              </w:rPr>
            </w:pPr>
          </w:p>
        </w:tc>
        <w:tc>
          <w:tcPr>
            <w:tcW w:w="4162" w:type="dxa"/>
            <w:vMerge/>
            <w:tcBorders>
              <w:top w:val="nil"/>
              <w:bottom w:val="nil"/>
              <w:right w:val="nil"/>
            </w:tcBorders>
          </w:tcPr>
          <w:p>
            <w:pPr>
              <w:rPr>
                <w:sz w:val="2"/>
                <w:szCs w:val="2"/>
              </w:rPr>
            </w:pPr>
          </w:p>
        </w:tc>
        <w:tc>
          <w:tcPr>
            <w:tcW w:w="4068" w:type="dxa"/>
            <w:tcBorders>
              <w:left w:val="nil"/>
            </w:tcBorders>
          </w:tcPr>
          <w:p>
            <w:pPr>
              <w:pStyle w:val="TableParagraph"/>
              <w:spacing w:line="232" w:lineRule="auto" w:before="99"/>
              <w:ind w:left="1091" w:right="373"/>
              <w:rPr>
                <w:sz w:val="18"/>
              </w:rPr>
            </w:pPr>
            <w:r>
              <w:rPr>
                <w:color w:val="105C84"/>
                <w:sz w:val="18"/>
              </w:rPr>
              <w:t>Increase</w:t>
            </w:r>
            <w:r>
              <w:rPr>
                <w:color w:val="105C84"/>
                <w:spacing w:val="-7"/>
                <w:sz w:val="18"/>
              </w:rPr>
              <w:t> </w:t>
            </w:r>
            <w:r>
              <w:rPr>
                <w:color w:val="105C84"/>
                <w:sz w:val="18"/>
              </w:rPr>
              <w:t>utilization</w:t>
            </w:r>
            <w:r>
              <w:rPr>
                <w:color w:val="105C84"/>
                <w:spacing w:val="-7"/>
                <w:sz w:val="18"/>
              </w:rPr>
              <w:t> </w:t>
            </w:r>
            <w:r>
              <w:rPr>
                <w:color w:val="105C84"/>
                <w:sz w:val="18"/>
              </w:rPr>
              <w:t>of</w:t>
            </w:r>
            <w:r>
              <w:rPr>
                <w:color w:val="105C84"/>
                <w:spacing w:val="-7"/>
                <w:sz w:val="18"/>
              </w:rPr>
              <w:t> </w:t>
            </w:r>
            <w:r>
              <w:rPr>
                <w:i/>
                <w:color w:val="105C84"/>
                <w:sz w:val="18"/>
              </w:rPr>
              <w:t>Ride</w:t>
            </w:r>
            <w:r>
              <w:rPr>
                <w:i/>
                <w:color w:val="105C84"/>
                <w:sz w:val="18"/>
              </w:rPr>
              <w:t> LivINgston</w:t>
            </w:r>
            <w:r>
              <w:rPr>
                <w:i/>
                <w:color w:val="105C84"/>
                <w:spacing w:val="-4"/>
                <w:sz w:val="18"/>
              </w:rPr>
              <w:t> </w:t>
            </w:r>
            <w:r>
              <w:rPr>
                <w:color w:val="105C84"/>
                <w:spacing w:val="-2"/>
                <w:sz w:val="18"/>
              </w:rPr>
              <w:t>(transportation)</w:t>
            </w:r>
          </w:p>
          <w:p>
            <w:pPr>
              <w:pStyle w:val="TableParagraph"/>
              <w:spacing w:line="232" w:lineRule="auto" w:before="89"/>
              <w:ind w:left="1091" w:right="373"/>
              <w:rPr>
                <w:sz w:val="18"/>
              </w:rPr>
            </w:pPr>
            <w:r>
              <w:rPr>
                <w:color w:val="105C84"/>
                <w:spacing w:val="-4"/>
                <w:sz w:val="18"/>
              </w:rPr>
              <w:t>Baseline: 2,330 dashboard </w:t>
            </w:r>
            <w:r>
              <w:rPr>
                <w:color w:val="105C84"/>
                <w:spacing w:val="-4"/>
                <w:sz w:val="18"/>
              </w:rPr>
              <w:t>users, </w:t>
            </w:r>
            <w:r>
              <w:rPr>
                <w:color w:val="105C84"/>
                <w:sz w:val="18"/>
              </w:rPr>
              <w:t>1,767</w:t>
            </w:r>
            <w:r>
              <w:rPr>
                <w:color w:val="105C84"/>
                <w:spacing w:val="-5"/>
                <w:sz w:val="18"/>
              </w:rPr>
              <w:t> </w:t>
            </w:r>
            <w:r>
              <w:rPr>
                <w:color w:val="105C84"/>
                <w:sz w:val="18"/>
              </w:rPr>
              <w:t>planned</w:t>
            </w:r>
            <w:r>
              <w:rPr>
                <w:color w:val="105C84"/>
                <w:spacing w:val="-5"/>
                <w:sz w:val="18"/>
              </w:rPr>
              <w:t> </w:t>
            </w:r>
            <w:r>
              <w:rPr>
                <w:color w:val="105C84"/>
                <w:sz w:val="18"/>
              </w:rPr>
              <w:t>trips-LC</w:t>
            </w:r>
            <w:r>
              <w:rPr>
                <w:color w:val="105C84"/>
                <w:spacing w:val="-5"/>
                <w:sz w:val="18"/>
              </w:rPr>
              <w:t> </w:t>
            </w:r>
            <w:r>
              <w:rPr>
                <w:color w:val="105C84"/>
                <w:sz w:val="18"/>
              </w:rPr>
              <w:t>Planning </w:t>
            </w:r>
            <w:r>
              <w:rPr>
                <w:color w:val="105C84"/>
                <w:spacing w:val="-2"/>
                <w:sz w:val="18"/>
              </w:rPr>
              <w:t>2/1/2019-7/31/2019</w:t>
            </w:r>
          </w:p>
        </w:tc>
        <w:tc>
          <w:tcPr>
            <w:tcW w:w="2318" w:type="dxa"/>
          </w:tcPr>
          <w:p>
            <w:pPr>
              <w:pStyle w:val="TableParagraph"/>
              <w:spacing w:line="232" w:lineRule="auto" w:before="99"/>
              <w:ind w:left="89"/>
              <w:rPr>
                <w:sz w:val="18"/>
              </w:rPr>
            </w:pPr>
            <w:r>
              <w:rPr>
                <w:color w:val="105C84"/>
                <w:sz w:val="18"/>
              </w:rPr>
              <w:t>Transportation</w:t>
            </w:r>
            <w:r>
              <w:rPr>
                <w:color w:val="105C84"/>
                <w:spacing w:val="-13"/>
                <w:sz w:val="18"/>
              </w:rPr>
              <w:t> </w:t>
            </w:r>
            <w:r>
              <w:rPr>
                <w:color w:val="105C84"/>
                <w:sz w:val="18"/>
              </w:rPr>
              <w:t>Assistance Committee (LC Planning, LCDSS, OFA, Workforce </w:t>
            </w:r>
            <w:r>
              <w:rPr>
                <w:color w:val="105C84"/>
                <w:spacing w:val="-4"/>
                <w:sz w:val="18"/>
              </w:rPr>
              <w:t>Dev,</w:t>
            </w:r>
            <w:r>
              <w:rPr>
                <w:color w:val="105C84"/>
                <w:spacing w:val="-11"/>
                <w:sz w:val="18"/>
              </w:rPr>
              <w:t> </w:t>
            </w:r>
            <w:r>
              <w:rPr>
                <w:color w:val="105C84"/>
                <w:spacing w:val="-4"/>
                <w:sz w:val="18"/>
              </w:rPr>
              <w:t>ARC,</w:t>
            </w:r>
            <w:r>
              <w:rPr>
                <w:color w:val="105C84"/>
                <w:spacing w:val="-8"/>
                <w:sz w:val="18"/>
              </w:rPr>
              <w:t> </w:t>
            </w:r>
            <w:r>
              <w:rPr>
                <w:color w:val="105C84"/>
                <w:spacing w:val="-4"/>
                <w:sz w:val="18"/>
              </w:rPr>
              <w:t>UR</w:t>
            </w:r>
            <w:r>
              <w:rPr>
                <w:color w:val="105C84"/>
                <w:spacing w:val="-9"/>
                <w:sz w:val="18"/>
              </w:rPr>
              <w:t> </w:t>
            </w:r>
            <w:r>
              <w:rPr>
                <w:color w:val="105C84"/>
                <w:spacing w:val="-4"/>
                <w:sz w:val="18"/>
              </w:rPr>
              <w:t>Med</w:t>
            </w:r>
            <w:r>
              <w:rPr>
                <w:color w:val="105C84"/>
                <w:spacing w:val="-8"/>
                <w:sz w:val="18"/>
              </w:rPr>
              <w:t> </w:t>
            </w:r>
            <w:r>
              <w:rPr>
                <w:color w:val="105C84"/>
                <w:spacing w:val="-4"/>
                <w:sz w:val="18"/>
              </w:rPr>
              <w:t>Noyes, </w:t>
            </w:r>
            <w:r>
              <w:rPr>
                <w:color w:val="105C84"/>
                <w:sz w:val="18"/>
              </w:rPr>
              <w:t>Rochester Transportation </w:t>
            </w:r>
            <w:r>
              <w:rPr>
                <w:color w:val="105C84"/>
                <w:spacing w:val="-2"/>
                <w:sz w:val="18"/>
              </w:rPr>
              <w:t>Services)</w:t>
            </w:r>
          </w:p>
        </w:tc>
        <w:tc>
          <w:tcPr>
            <w:tcW w:w="2966" w:type="dxa"/>
          </w:tcPr>
          <w:p>
            <w:pPr>
              <w:pStyle w:val="TableParagraph"/>
              <w:spacing w:line="232" w:lineRule="auto" w:before="99"/>
              <w:ind w:left="89"/>
              <w:rPr>
                <w:sz w:val="18"/>
              </w:rPr>
            </w:pPr>
            <w:r>
              <w:rPr>
                <w:color w:val="105C84"/>
                <w:sz w:val="18"/>
              </w:rPr>
              <w:t>Transportation Assistance Committee</w:t>
            </w:r>
            <w:r>
              <w:rPr>
                <w:color w:val="105C84"/>
                <w:spacing w:val="-8"/>
                <w:sz w:val="18"/>
              </w:rPr>
              <w:t> </w:t>
            </w:r>
            <w:r>
              <w:rPr>
                <w:color w:val="105C84"/>
                <w:sz w:val="18"/>
              </w:rPr>
              <w:t>increase</w:t>
            </w:r>
            <w:r>
              <w:rPr>
                <w:color w:val="105C84"/>
                <w:spacing w:val="-8"/>
                <w:sz w:val="18"/>
              </w:rPr>
              <w:t> </w:t>
            </w:r>
            <w:r>
              <w:rPr>
                <w:color w:val="105C84"/>
                <w:sz w:val="18"/>
              </w:rPr>
              <w:t>use</w:t>
            </w:r>
            <w:r>
              <w:rPr>
                <w:color w:val="105C84"/>
                <w:spacing w:val="-8"/>
                <w:sz w:val="18"/>
              </w:rPr>
              <w:t> </w:t>
            </w:r>
            <w:r>
              <w:rPr>
                <w:color w:val="105C84"/>
                <w:sz w:val="18"/>
              </w:rPr>
              <w:t>through promotion and education, and assess</w:t>
            </w:r>
            <w:r>
              <w:rPr>
                <w:color w:val="105C84"/>
                <w:spacing w:val="-9"/>
                <w:sz w:val="18"/>
              </w:rPr>
              <w:t> </w:t>
            </w:r>
            <w:r>
              <w:rPr>
                <w:color w:val="105C84"/>
                <w:sz w:val="18"/>
              </w:rPr>
              <w:t>data</w:t>
            </w:r>
            <w:r>
              <w:rPr>
                <w:color w:val="105C84"/>
                <w:spacing w:val="-9"/>
                <w:sz w:val="18"/>
              </w:rPr>
              <w:t> </w:t>
            </w:r>
            <w:r>
              <w:rPr>
                <w:color w:val="105C84"/>
                <w:sz w:val="18"/>
              </w:rPr>
              <w:t>to</w:t>
            </w:r>
            <w:r>
              <w:rPr>
                <w:color w:val="105C84"/>
                <w:spacing w:val="-9"/>
                <w:sz w:val="18"/>
              </w:rPr>
              <w:t> </w:t>
            </w:r>
            <w:r>
              <w:rPr>
                <w:color w:val="105C84"/>
                <w:sz w:val="18"/>
              </w:rPr>
              <w:t>identify</w:t>
            </w:r>
            <w:r>
              <w:rPr>
                <w:color w:val="105C84"/>
                <w:spacing w:val="-9"/>
                <w:sz w:val="18"/>
              </w:rPr>
              <w:t> </w:t>
            </w:r>
            <w:r>
              <w:rPr>
                <w:color w:val="105C84"/>
                <w:sz w:val="18"/>
              </w:rPr>
              <w:t>high</w:t>
            </w:r>
            <w:r>
              <w:rPr>
                <w:color w:val="105C84"/>
                <w:spacing w:val="-9"/>
                <w:sz w:val="18"/>
              </w:rPr>
              <w:t> </w:t>
            </w:r>
            <w:r>
              <w:rPr>
                <w:color w:val="105C84"/>
                <w:sz w:val="18"/>
              </w:rPr>
              <w:t>need </w:t>
            </w:r>
            <w:r>
              <w:rPr>
                <w:color w:val="105C84"/>
                <w:spacing w:val="-2"/>
                <w:sz w:val="18"/>
              </w:rPr>
              <w:t>areas</w:t>
            </w:r>
          </w:p>
        </w:tc>
        <w:tc>
          <w:tcPr>
            <w:tcW w:w="1730" w:type="dxa"/>
          </w:tcPr>
          <w:p>
            <w:pPr>
              <w:pStyle w:val="TableParagraph"/>
              <w:spacing w:line="232" w:lineRule="auto" w:before="99"/>
              <w:ind w:left="90" w:right="150"/>
              <w:jc w:val="both"/>
              <w:rPr>
                <w:sz w:val="18"/>
              </w:rPr>
            </w:pPr>
            <w:r>
              <w:rPr>
                <w:color w:val="105C84"/>
                <w:spacing w:val="-2"/>
                <w:sz w:val="18"/>
              </w:rPr>
              <w:t>Increase</w:t>
            </w:r>
            <w:r>
              <w:rPr>
                <w:color w:val="105C84"/>
                <w:spacing w:val="-11"/>
                <w:sz w:val="18"/>
              </w:rPr>
              <w:t> </w:t>
            </w:r>
            <w:r>
              <w:rPr>
                <w:color w:val="105C84"/>
                <w:spacing w:val="-2"/>
                <w:sz w:val="18"/>
              </w:rPr>
              <w:t>utilization </w:t>
            </w:r>
            <w:r>
              <w:rPr>
                <w:color w:val="105C84"/>
                <w:sz w:val="18"/>
              </w:rPr>
              <w:t>of</w:t>
            </w:r>
            <w:r>
              <w:rPr>
                <w:color w:val="105C84"/>
                <w:spacing w:val="-15"/>
                <w:sz w:val="18"/>
              </w:rPr>
              <w:t> </w:t>
            </w:r>
            <w:r>
              <w:rPr>
                <w:color w:val="105C84"/>
                <w:sz w:val="18"/>
              </w:rPr>
              <w:t>Ride</w:t>
            </w:r>
            <w:r>
              <w:rPr>
                <w:color w:val="105C84"/>
                <w:spacing w:val="-12"/>
                <w:sz w:val="18"/>
              </w:rPr>
              <w:t> </w:t>
            </w:r>
            <w:r>
              <w:rPr>
                <w:color w:val="105C84"/>
                <w:sz w:val="18"/>
              </w:rPr>
              <w:t>LivINgston by 5% per year</w:t>
            </w:r>
          </w:p>
        </w:tc>
      </w:tr>
      <w:tr>
        <w:trPr>
          <w:trHeight w:val="2015" w:hRule="atLeast"/>
        </w:trPr>
        <w:tc>
          <w:tcPr>
            <w:tcW w:w="1008" w:type="dxa"/>
            <w:tcBorders>
              <w:top w:val="nil"/>
              <w:bottom w:val="nil"/>
            </w:tcBorders>
            <w:shd w:val="clear" w:color="auto" w:fill="E6E7E8"/>
          </w:tcPr>
          <w:p>
            <w:pPr>
              <w:pStyle w:val="TableParagraph"/>
              <w:rPr>
                <w:rFonts w:ascii="Times New Roman"/>
                <w:sz w:val="18"/>
              </w:rPr>
            </w:pPr>
          </w:p>
        </w:tc>
        <w:tc>
          <w:tcPr>
            <w:tcW w:w="1152" w:type="dxa"/>
            <w:tcBorders>
              <w:top w:val="nil"/>
              <w:bottom w:val="nil"/>
            </w:tcBorders>
          </w:tcPr>
          <w:p>
            <w:pPr>
              <w:pStyle w:val="TableParagraph"/>
              <w:rPr>
                <w:rFonts w:ascii="Times New Roman"/>
                <w:sz w:val="18"/>
              </w:rPr>
            </w:pPr>
          </w:p>
        </w:tc>
        <w:tc>
          <w:tcPr>
            <w:tcW w:w="1267" w:type="dxa"/>
            <w:tcBorders>
              <w:top w:val="nil"/>
              <w:bottom w:val="nil"/>
            </w:tcBorders>
          </w:tcPr>
          <w:p>
            <w:pPr>
              <w:pStyle w:val="TableParagraph"/>
              <w:rPr>
                <w:rFonts w:ascii="Times New Roman"/>
                <w:sz w:val="18"/>
              </w:rPr>
            </w:pPr>
          </w:p>
        </w:tc>
        <w:tc>
          <w:tcPr>
            <w:tcW w:w="2304" w:type="dxa"/>
            <w:tcBorders>
              <w:top w:val="nil"/>
              <w:bottom w:val="nil"/>
            </w:tcBorders>
          </w:tcPr>
          <w:p>
            <w:pPr>
              <w:pStyle w:val="TableParagraph"/>
              <w:rPr>
                <w:rFonts w:ascii="Times New Roman"/>
                <w:sz w:val="18"/>
              </w:rPr>
            </w:pPr>
          </w:p>
        </w:tc>
        <w:tc>
          <w:tcPr>
            <w:tcW w:w="1253" w:type="dxa"/>
            <w:vMerge/>
            <w:tcBorders>
              <w:top w:val="nil"/>
            </w:tcBorders>
          </w:tcPr>
          <w:p>
            <w:pPr>
              <w:rPr>
                <w:sz w:val="2"/>
                <w:szCs w:val="2"/>
              </w:rPr>
            </w:pPr>
          </w:p>
        </w:tc>
        <w:tc>
          <w:tcPr>
            <w:tcW w:w="4162" w:type="dxa"/>
            <w:tcBorders>
              <w:top w:val="nil"/>
              <w:bottom w:val="nil"/>
              <w:right w:val="nil"/>
            </w:tcBorders>
          </w:tcPr>
          <w:p>
            <w:pPr>
              <w:pStyle w:val="TableParagraph"/>
              <w:rPr>
                <w:rFonts w:ascii="Times New Roman"/>
                <w:sz w:val="18"/>
              </w:rPr>
            </w:pPr>
          </w:p>
        </w:tc>
        <w:tc>
          <w:tcPr>
            <w:tcW w:w="4068" w:type="dxa"/>
            <w:tcBorders>
              <w:left w:val="nil"/>
              <w:bottom w:val="nil"/>
            </w:tcBorders>
          </w:tcPr>
          <w:p>
            <w:pPr>
              <w:pStyle w:val="TableParagraph"/>
              <w:spacing w:line="232" w:lineRule="auto" w:before="99"/>
              <w:ind w:left="1091" w:right="151"/>
              <w:rPr>
                <w:sz w:val="18"/>
              </w:rPr>
            </w:pPr>
            <w:r>
              <w:rPr>
                <w:color w:val="105C84"/>
                <w:sz w:val="18"/>
              </w:rPr>
              <w:t>Increase number of ordinances/ environmental</w:t>
            </w:r>
            <w:r>
              <w:rPr>
                <w:color w:val="105C84"/>
                <w:spacing w:val="-3"/>
                <w:sz w:val="18"/>
              </w:rPr>
              <w:t> </w:t>
            </w:r>
            <w:r>
              <w:rPr>
                <w:color w:val="105C84"/>
                <w:sz w:val="18"/>
              </w:rPr>
              <w:t>changes</w:t>
            </w:r>
            <w:r>
              <w:rPr>
                <w:color w:val="105C84"/>
                <w:spacing w:val="-3"/>
                <w:sz w:val="18"/>
              </w:rPr>
              <w:t> </w:t>
            </w:r>
            <w:r>
              <w:rPr>
                <w:color w:val="105C84"/>
                <w:sz w:val="18"/>
              </w:rPr>
              <w:t>to</w:t>
            </w:r>
            <w:r>
              <w:rPr>
                <w:color w:val="105C84"/>
                <w:spacing w:val="-3"/>
                <w:sz w:val="18"/>
              </w:rPr>
              <w:t> </w:t>
            </w:r>
            <w:r>
              <w:rPr>
                <w:color w:val="105C84"/>
                <w:sz w:val="18"/>
              </w:rPr>
              <w:t>connect sidewalks, multi-use paths and trails, bicycle routes, and public transit with homes, early care and </w:t>
            </w:r>
            <w:r>
              <w:rPr>
                <w:color w:val="105C84"/>
                <w:spacing w:val="-2"/>
                <w:sz w:val="18"/>
              </w:rPr>
              <w:t>education</w:t>
            </w:r>
            <w:r>
              <w:rPr>
                <w:color w:val="105C84"/>
                <w:spacing w:val="-4"/>
                <w:sz w:val="18"/>
              </w:rPr>
              <w:t> </w:t>
            </w:r>
            <w:r>
              <w:rPr>
                <w:color w:val="105C84"/>
                <w:spacing w:val="-2"/>
                <w:sz w:val="18"/>
              </w:rPr>
              <w:t>sites,</w:t>
            </w:r>
            <w:r>
              <w:rPr>
                <w:color w:val="105C84"/>
                <w:spacing w:val="-4"/>
                <w:sz w:val="18"/>
              </w:rPr>
              <w:t> </w:t>
            </w:r>
            <w:r>
              <w:rPr>
                <w:color w:val="105C84"/>
                <w:spacing w:val="-2"/>
                <w:sz w:val="18"/>
              </w:rPr>
              <w:t>schools,</w:t>
            </w:r>
            <w:r>
              <w:rPr>
                <w:color w:val="105C84"/>
                <w:spacing w:val="-4"/>
                <w:sz w:val="18"/>
              </w:rPr>
              <w:t> </w:t>
            </w:r>
            <w:r>
              <w:rPr>
                <w:color w:val="105C84"/>
                <w:spacing w:val="-2"/>
                <w:sz w:val="18"/>
              </w:rPr>
              <w:t>worksites, </w:t>
            </w:r>
            <w:r>
              <w:rPr>
                <w:color w:val="105C84"/>
                <w:sz w:val="18"/>
              </w:rPr>
              <w:t>parks, recreation facilities, and natural or green spaces</w:t>
            </w:r>
          </w:p>
        </w:tc>
        <w:tc>
          <w:tcPr>
            <w:tcW w:w="2318" w:type="dxa"/>
            <w:tcBorders>
              <w:bottom w:val="nil"/>
            </w:tcBorders>
          </w:tcPr>
          <w:p>
            <w:pPr>
              <w:pStyle w:val="TableParagraph"/>
              <w:spacing w:before="94"/>
              <w:ind w:left="89"/>
              <w:rPr>
                <w:sz w:val="18"/>
              </w:rPr>
            </w:pPr>
            <w:r>
              <w:rPr>
                <w:color w:val="105C84"/>
                <w:spacing w:val="-2"/>
                <w:sz w:val="18"/>
              </w:rPr>
              <w:t>Municipalities</w:t>
            </w:r>
          </w:p>
          <w:p>
            <w:pPr>
              <w:pStyle w:val="TableParagraph"/>
              <w:spacing w:line="336" w:lineRule="auto" w:before="83"/>
              <w:ind w:left="89" w:right="113"/>
              <w:rPr>
                <w:sz w:val="18"/>
              </w:rPr>
            </w:pPr>
            <w:r>
              <w:rPr>
                <w:color w:val="105C84"/>
                <w:spacing w:val="-2"/>
                <w:sz w:val="18"/>
              </w:rPr>
              <w:t>Private</w:t>
            </w:r>
            <w:r>
              <w:rPr>
                <w:color w:val="105C84"/>
                <w:spacing w:val="-13"/>
                <w:sz w:val="18"/>
              </w:rPr>
              <w:t> </w:t>
            </w:r>
            <w:r>
              <w:rPr>
                <w:color w:val="105C84"/>
                <w:spacing w:val="-2"/>
                <w:sz w:val="18"/>
              </w:rPr>
              <w:t>Property</w:t>
            </w:r>
            <w:r>
              <w:rPr>
                <w:color w:val="105C84"/>
                <w:spacing w:val="-10"/>
                <w:sz w:val="18"/>
              </w:rPr>
              <w:t> </w:t>
            </w:r>
            <w:r>
              <w:rPr>
                <w:color w:val="105C84"/>
                <w:spacing w:val="-2"/>
                <w:sz w:val="18"/>
              </w:rPr>
              <w:t>Owners </w:t>
            </w:r>
            <w:r>
              <w:rPr>
                <w:color w:val="105C84"/>
                <w:sz w:val="18"/>
              </w:rPr>
              <w:t>LC Planning</w:t>
            </w:r>
          </w:p>
          <w:p>
            <w:pPr>
              <w:pStyle w:val="TableParagraph"/>
              <w:spacing w:line="336" w:lineRule="auto"/>
              <w:ind w:left="89" w:right="1452"/>
              <w:rPr>
                <w:sz w:val="18"/>
              </w:rPr>
            </w:pPr>
            <w:r>
              <w:rPr>
                <w:color w:val="105C84"/>
                <w:spacing w:val="-4"/>
                <w:sz w:val="18"/>
              </w:rPr>
              <w:t>NYSDOH </w:t>
            </w:r>
            <w:r>
              <w:rPr>
                <w:color w:val="105C84"/>
                <w:spacing w:val="-2"/>
                <w:sz w:val="18"/>
              </w:rPr>
              <w:t>NYSDEC</w:t>
            </w:r>
          </w:p>
          <w:p>
            <w:pPr>
              <w:pStyle w:val="TableParagraph"/>
              <w:ind w:left="89"/>
              <w:rPr>
                <w:sz w:val="18"/>
              </w:rPr>
            </w:pPr>
            <w:r>
              <w:rPr>
                <w:color w:val="105C84"/>
                <w:spacing w:val="-4"/>
                <w:sz w:val="18"/>
              </w:rPr>
              <w:t>GVHP/Be</w:t>
            </w:r>
            <w:r>
              <w:rPr>
                <w:color w:val="105C84"/>
                <w:sz w:val="18"/>
              </w:rPr>
              <w:t> </w:t>
            </w:r>
            <w:r>
              <w:rPr>
                <w:color w:val="105C84"/>
                <w:spacing w:val="-4"/>
                <w:sz w:val="18"/>
              </w:rPr>
              <w:t>Well</w:t>
            </w:r>
          </w:p>
        </w:tc>
        <w:tc>
          <w:tcPr>
            <w:tcW w:w="2966" w:type="dxa"/>
            <w:tcBorders>
              <w:bottom w:val="nil"/>
            </w:tcBorders>
          </w:tcPr>
          <w:p>
            <w:pPr>
              <w:pStyle w:val="TableParagraph"/>
              <w:spacing w:line="232" w:lineRule="auto" w:before="99"/>
              <w:ind w:left="89"/>
              <w:rPr>
                <w:sz w:val="18"/>
              </w:rPr>
            </w:pPr>
            <w:r>
              <w:rPr>
                <w:color w:val="105C84"/>
                <w:sz w:val="18"/>
              </w:rPr>
              <w:t>Municipalities</w:t>
            </w:r>
            <w:r>
              <w:rPr>
                <w:color w:val="105C84"/>
                <w:spacing w:val="-2"/>
                <w:sz w:val="18"/>
              </w:rPr>
              <w:t> </w:t>
            </w:r>
            <w:r>
              <w:rPr>
                <w:color w:val="105C84"/>
                <w:sz w:val="18"/>
              </w:rPr>
              <w:t>to</w:t>
            </w:r>
            <w:r>
              <w:rPr>
                <w:color w:val="105C84"/>
                <w:spacing w:val="-2"/>
                <w:sz w:val="18"/>
              </w:rPr>
              <w:t> </w:t>
            </w:r>
            <w:r>
              <w:rPr>
                <w:color w:val="105C84"/>
                <w:sz w:val="18"/>
              </w:rPr>
              <w:t>identify</w:t>
            </w:r>
            <w:r>
              <w:rPr>
                <w:color w:val="105C84"/>
                <w:spacing w:val="-2"/>
                <w:sz w:val="18"/>
              </w:rPr>
              <w:t> </w:t>
            </w:r>
            <w:r>
              <w:rPr>
                <w:color w:val="105C84"/>
                <w:sz w:val="18"/>
              </w:rPr>
              <w:t>areas</w:t>
            </w:r>
            <w:r>
              <w:rPr>
                <w:color w:val="105C84"/>
                <w:spacing w:val="-2"/>
                <w:sz w:val="18"/>
              </w:rPr>
              <w:t> </w:t>
            </w:r>
            <w:r>
              <w:rPr>
                <w:color w:val="105C84"/>
                <w:sz w:val="18"/>
              </w:rPr>
              <w:t>of </w:t>
            </w:r>
            <w:r>
              <w:rPr>
                <w:color w:val="105C84"/>
                <w:spacing w:val="-2"/>
                <w:sz w:val="18"/>
              </w:rPr>
              <w:t>enhancement</w:t>
            </w:r>
          </w:p>
          <w:p>
            <w:pPr>
              <w:pStyle w:val="TableParagraph"/>
              <w:spacing w:line="232" w:lineRule="auto" w:before="88"/>
              <w:ind w:left="89" w:right="619"/>
              <w:rPr>
                <w:sz w:val="18"/>
              </w:rPr>
            </w:pPr>
            <w:r>
              <w:rPr>
                <w:color w:val="105C84"/>
                <w:sz w:val="18"/>
              </w:rPr>
              <w:t>Private Property owners to </w:t>
            </w:r>
            <w:r>
              <w:rPr>
                <w:color w:val="105C84"/>
                <w:spacing w:val="-2"/>
                <w:sz w:val="18"/>
              </w:rPr>
              <w:t>collaborate</w:t>
            </w:r>
            <w:r>
              <w:rPr>
                <w:color w:val="105C84"/>
                <w:spacing w:val="-11"/>
                <w:sz w:val="18"/>
              </w:rPr>
              <w:t> </w:t>
            </w:r>
            <w:r>
              <w:rPr>
                <w:color w:val="105C84"/>
                <w:spacing w:val="-2"/>
                <w:sz w:val="18"/>
              </w:rPr>
              <w:t>re:</w:t>
            </w:r>
            <w:r>
              <w:rPr>
                <w:color w:val="105C84"/>
                <w:spacing w:val="-10"/>
                <w:sz w:val="18"/>
              </w:rPr>
              <w:t> </w:t>
            </w:r>
            <w:r>
              <w:rPr>
                <w:color w:val="105C84"/>
                <w:spacing w:val="-2"/>
                <w:sz w:val="18"/>
              </w:rPr>
              <w:t>access</w:t>
            </w:r>
            <w:r>
              <w:rPr>
                <w:color w:val="105C84"/>
                <w:spacing w:val="-11"/>
                <w:sz w:val="18"/>
              </w:rPr>
              <w:t> </w:t>
            </w:r>
            <w:r>
              <w:rPr>
                <w:color w:val="105C84"/>
                <w:spacing w:val="-2"/>
                <w:sz w:val="18"/>
              </w:rPr>
              <w:t>issues</w:t>
            </w:r>
          </w:p>
          <w:p>
            <w:pPr>
              <w:pStyle w:val="TableParagraph"/>
              <w:spacing w:line="232" w:lineRule="auto" w:before="88"/>
              <w:ind w:left="89" w:right="278"/>
              <w:rPr>
                <w:sz w:val="18"/>
              </w:rPr>
            </w:pPr>
            <w:r>
              <w:rPr>
                <w:color w:val="105C84"/>
                <w:sz w:val="18"/>
              </w:rPr>
              <w:t>NYSDOH,</w:t>
            </w:r>
            <w:r>
              <w:rPr>
                <w:color w:val="105C84"/>
                <w:spacing w:val="-15"/>
                <w:sz w:val="18"/>
              </w:rPr>
              <w:t> </w:t>
            </w:r>
            <w:r>
              <w:rPr>
                <w:color w:val="105C84"/>
                <w:sz w:val="18"/>
              </w:rPr>
              <w:t>NYSDEC</w:t>
            </w:r>
            <w:r>
              <w:rPr>
                <w:color w:val="105C84"/>
                <w:spacing w:val="-12"/>
                <w:sz w:val="18"/>
              </w:rPr>
              <w:t> </w:t>
            </w:r>
            <w:r>
              <w:rPr>
                <w:color w:val="105C84"/>
                <w:sz w:val="18"/>
              </w:rPr>
              <w:t>to</w:t>
            </w:r>
            <w:r>
              <w:rPr>
                <w:color w:val="105C84"/>
                <w:spacing w:val="-13"/>
                <w:sz w:val="18"/>
              </w:rPr>
              <w:t> </w:t>
            </w:r>
            <w:r>
              <w:rPr>
                <w:color w:val="105C84"/>
                <w:sz w:val="18"/>
              </w:rPr>
              <w:t>work</w:t>
            </w:r>
            <w:r>
              <w:rPr>
                <w:color w:val="105C84"/>
                <w:spacing w:val="-12"/>
                <w:sz w:val="18"/>
              </w:rPr>
              <w:t> </w:t>
            </w:r>
            <w:r>
              <w:rPr>
                <w:color w:val="105C84"/>
                <w:sz w:val="18"/>
              </w:rPr>
              <w:t>with </w:t>
            </w:r>
            <w:r>
              <w:rPr>
                <w:color w:val="105C84"/>
                <w:spacing w:val="-2"/>
                <w:sz w:val="18"/>
              </w:rPr>
              <w:t>municipalities</w:t>
            </w:r>
          </w:p>
          <w:p>
            <w:pPr>
              <w:pStyle w:val="TableParagraph"/>
              <w:spacing w:line="232" w:lineRule="auto" w:before="89"/>
              <w:ind w:left="89"/>
              <w:rPr>
                <w:sz w:val="18"/>
              </w:rPr>
            </w:pPr>
            <w:r>
              <w:rPr>
                <w:color w:val="105C84"/>
                <w:sz w:val="18"/>
              </w:rPr>
              <w:t>LC</w:t>
            </w:r>
            <w:r>
              <w:rPr>
                <w:color w:val="105C84"/>
                <w:spacing w:val="-11"/>
                <w:sz w:val="18"/>
              </w:rPr>
              <w:t> </w:t>
            </w:r>
            <w:r>
              <w:rPr>
                <w:color w:val="105C84"/>
                <w:sz w:val="18"/>
              </w:rPr>
              <w:t>Planning</w:t>
            </w:r>
            <w:r>
              <w:rPr>
                <w:color w:val="105C84"/>
                <w:spacing w:val="-11"/>
                <w:sz w:val="18"/>
              </w:rPr>
              <w:t> </w:t>
            </w:r>
            <w:r>
              <w:rPr>
                <w:color w:val="105C84"/>
                <w:sz w:val="18"/>
              </w:rPr>
              <w:t>to</w:t>
            </w:r>
            <w:r>
              <w:rPr>
                <w:color w:val="105C84"/>
                <w:spacing w:val="-11"/>
                <w:sz w:val="18"/>
              </w:rPr>
              <w:t> </w:t>
            </w:r>
            <w:r>
              <w:rPr>
                <w:color w:val="105C84"/>
                <w:sz w:val="18"/>
              </w:rPr>
              <w:t>assist</w:t>
            </w:r>
            <w:r>
              <w:rPr>
                <w:color w:val="105C84"/>
                <w:spacing w:val="-11"/>
                <w:sz w:val="18"/>
              </w:rPr>
              <w:t> </w:t>
            </w:r>
            <w:r>
              <w:rPr>
                <w:color w:val="105C84"/>
                <w:sz w:val="18"/>
              </w:rPr>
              <w:t>with</w:t>
            </w:r>
            <w:r>
              <w:rPr>
                <w:color w:val="105C84"/>
                <w:spacing w:val="-11"/>
                <w:sz w:val="18"/>
              </w:rPr>
              <w:t> </w:t>
            </w:r>
            <w:r>
              <w:rPr>
                <w:color w:val="105C84"/>
                <w:sz w:val="18"/>
              </w:rPr>
              <w:t>mapping and tech support</w:t>
            </w:r>
          </w:p>
        </w:tc>
        <w:tc>
          <w:tcPr>
            <w:tcW w:w="1730" w:type="dxa"/>
            <w:tcBorders>
              <w:bottom w:val="nil"/>
            </w:tcBorders>
          </w:tcPr>
          <w:p>
            <w:pPr>
              <w:pStyle w:val="TableParagraph"/>
              <w:spacing w:line="232" w:lineRule="auto" w:before="98"/>
              <w:ind w:left="90" w:right="267"/>
              <w:rPr>
                <w:sz w:val="18"/>
              </w:rPr>
            </w:pPr>
            <w:r>
              <w:rPr>
                <w:color w:val="105C84"/>
                <w:sz w:val="18"/>
              </w:rPr>
              <w:t>Minimum of one </w:t>
            </w:r>
            <w:r>
              <w:rPr>
                <w:color w:val="105C84"/>
                <w:spacing w:val="-2"/>
                <w:sz w:val="18"/>
              </w:rPr>
              <w:t>ordinance/env. </w:t>
            </w:r>
            <w:r>
              <w:rPr>
                <w:color w:val="105C84"/>
                <w:sz w:val="18"/>
              </w:rPr>
              <w:t>change</w:t>
            </w:r>
            <w:r>
              <w:rPr>
                <w:color w:val="105C84"/>
                <w:spacing w:val="-13"/>
                <w:sz w:val="18"/>
              </w:rPr>
              <w:t> </w:t>
            </w:r>
            <w:r>
              <w:rPr>
                <w:color w:val="105C84"/>
                <w:sz w:val="18"/>
              </w:rPr>
              <w:t>by</w:t>
            </w:r>
            <w:r>
              <w:rPr>
                <w:color w:val="105C84"/>
                <w:spacing w:val="-12"/>
                <w:sz w:val="18"/>
              </w:rPr>
              <w:t> </w:t>
            </w:r>
            <w:r>
              <w:rPr>
                <w:color w:val="105C84"/>
                <w:sz w:val="18"/>
              </w:rPr>
              <w:t>year</w:t>
            </w:r>
            <w:r>
              <w:rPr>
                <w:color w:val="105C84"/>
                <w:spacing w:val="-13"/>
                <w:sz w:val="18"/>
              </w:rPr>
              <w:t> </w:t>
            </w:r>
            <w:r>
              <w:rPr>
                <w:color w:val="105C84"/>
                <w:sz w:val="18"/>
              </w:rPr>
              <w:t>3</w:t>
            </w:r>
          </w:p>
        </w:tc>
      </w:tr>
      <w:tr>
        <w:trPr>
          <w:trHeight w:val="484" w:hRule="atLeast"/>
        </w:trPr>
        <w:tc>
          <w:tcPr>
            <w:tcW w:w="1008" w:type="dxa"/>
            <w:tcBorders>
              <w:top w:val="nil"/>
            </w:tcBorders>
            <w:shd w:val="clear" w:color="auto" w:fill="E6E7E8"/>
          </w:tcPr>
          <w:p>
            <w:pPr>
              <w:pStyle w:val="TableParagraph"/>
              <w:rPr>
                <w:rFonts w:ascii="Times New Roman"/>
                <w:sz w:val="18"/>
              </w:rPr>
            </w:pPr>
          </w:p>
        </w:tc>
        <w:tc>
          <w:tcPr>
            <w:tcW w:w="1152" w:type="dxa"/>
            <w:tcBorders>
              <w:top w:val="nil"/>
            </w:tcBorders>
          </w:tcPr>
          <w:p>
            <w:pPr>
              <w:pStyle w:val="TableParagraph"/>
              <w:rPr>
                <w:rFonts w:ascii="Times New Roman"/>
                <w:sz w:val="18"/>
              </w:rPr>
            </w:pPr>
          </w:p>
        </w:tc>
        <w:tc>
          <w:tcPr>
            <w:tcW w:w="1267" w:type="dxa"/>
            <w:tcBorders>
              <w:top w:val="nil"/>
            </w:tcBorders>
          </w:tcPr>
          <w:p>
            <w:pPr>
              <w:pStyle w:val="TableParagraph"/>
              <w:rPr>
                <w:rFonts w:ascii="Times New Roman"/>
                <w:sz w:val="18"/>
              </w:rPr>
            </w:pPr>
          </w:p>
        </w:tc>
        <w:tc>
          <w:tcPr>
            <w:tcW w:w="2304" w:type="dxa"/>
            <w:tcBorders>
              <w:top w:val="nil"/>
            </w:tcBorders>
          </w:tcPr>
          <w:p>
            <w:pPr>
              <w:pStyle w:val="TableParagraph"/>
              <w:rPr>
                <w:rFonts w:ascii="Times New Roman"/>
                <w:sz w:val="18"/>
              </w:rPr>
            </w:pPr>
          </w:p>
        </w:tc>
        <w:tc>
          <w:tcPr>
            <w:tcW w:w="1253" w:type="dxa"/>
            <w:vMerge/>
            <w:tcBorders>
              <w:top w:val="nil"/>
            </w:tcBorders>
          </w:tcPr>
          <w:p>
            <w:pPr>
              <w:rPr>
                <w:sz w:val="2"/>
                <w:szCs w:val="2"/>
              </w:rPr>
            </w:pPr>
          </w:p>
        </w:tc>
        <w:tc>
          <w:tcPr>
            <w:tcW w:w="4162" w:type="dxa"/>
            <w:tcBorders>
              <w:top w:val="nil"/>
              <w:right w:val="nil"/>
            </w:tcBorders>
          </w:tcPr>
          <w:p>
            <w:pPr>
              <w:pStyle w:val="TableParagraph"/>
              <w:rPr>
                <w:rFonts w:ascii="Times New Roman"/>
                <w:sz w:val="18"/>
              </w:rPr>
            </w:pPr>
          </w:p>
        </w:tc>
        <w:tc>
          <w:tcPr>
            <w:tcW w:w="4068" w:type="dxa"/>
            <w:tcBorders>
              <w:top w:val="nil"/>
              <w:left w:val="nil"/>
            </w:tcBorders>
          </w:tcPr>
          <w:p>
            <w:pPr>
              <w:pStyle w:val="TableParagraph"/>
              <w:rPr>
                <w:rFonts w:ascii="Times New Roman"/>
                <w:sz w:val="18"/>
              </w:rPr>
            </w:pPr>
          </w:p>
        </w:tc>
        <w:tc>
          <w:tcPr>
            <w:tcW w:w="2318" w:type="dxa"/>
            <w:tcBorders>
              <w:top w:val="nil"/>
            </w:tcBorders>
          </w:tcPr>
          <w:p>
            <w:pPr>
              <w:pStyle w:val="TableParagraph"/>
              <w:rPr>
                <w:rFonts w:ascii="Times New Roman"/>
                <w:sz w:val="18"/>
              </w:rPr>
            </w:pPr>
          </w:p>
        </w:tc>
        <w:tc>
          <w:tcPr>
            <w:tcW w:w="2966" w:type="dxa"/>
            <w:tcBorders>
              <w:top w:val="nil"/>
            </w:tcBorders>
          </w:tcPr>
          <w:p>
            <w:pPr>
              <w:pStyle w:val="TableParagraph"/>
              <w:spacing w:line="232" w:lineRule="auto" w:before="33"/>
              <w:ind w:left="89"/>
              <w:rPr>
                <w:sz w:val="18"/>
              </w:rPr>
            </w:pPr>
            <w:r>
              <w:rPr>
                <w:color w:val="105C84"/>
                <w:sz w:val="18"/>
              </w:rPr>
              <w:t>GVHP/Be</w:t>
            </w:r>
            <w:r>
              <w:rPr>
                <w:color w:val="105C84"/>
                <w:spacing w:val="-6"/>
                <w:sz w:val="18"/>
              </w:rPr>
              <w:t> </w:t>
            </w:r>
            <w:r>
              <w:rPr>
                <w:color w:val="105C84"/>
                <w:sz w:val="18"/>
              </w:rPr>
              <w:t>Well</w:t>
            </w:r>
            <w:r>
              <w:rPr>
                <w:color w:val="105C84"/>
                <w:spacing w:val="-6"/>
                <w:sz w:val="18"/>
              </w:rPr>
              <w:t> </w:t>
            </w:r>
            <w:r>
              <w:rPr>
                <w:color w:val="105C84"/>
                <w:sz w:val="18"/>
              </w:rPr>
              <w:t>to</w:t>
            </w:r>
            <w:r>
              <w:rPr>
                <w:color w:val="105C84"/>
                <w:spacing w:val="-6"/>
                <w:sz w:val="18"/>
              </w:rPr>
              <w:t> </w:t>
            </w:r>
            <w:r>
              <w:rPr>
                <w:color w:val="105C84"/>
                <w:sz w:val="18"/>
              </w:rPr>
              <w:t>coordinate</w:t>
            </w:r>
            <w:r>
              <w:rPr>
                <w:color w:val="105C84"/>
                <w:spacing w:val="-6"/>
                <w:sz w:val="18"/>
              </w:rPr>
              <w:t> </w:t>
            </w:r>
            <w:r>
              <w:rPr>
                <w:color w:val="105C84"/>
                <w:sz w:val="18"/>
              </w:rPr>
              <w:t>and </w:t>
            </w:r>
            <w:r>
              <w:rPr>
                <w:color w:val="105C84"/>
                <w:spacing w:val="-2"/>
                <w:w w:val="105"/>
                <w:sz w:val="18"/>
              </w:rPr>
              <w:t>promote</w:t>
            </w:r>
          </w:p>
        </w:tc>
        <w:tc>
          <w:tcPr>
            <w:tcW w:w="1730" w:type="dxa"/>
            <w:tcBorders>
              <w:top w:val="nil"/>
            </w:tcBorders>
          </w:tcPr>
          <w:p>
            <w:pPr>
              <w:pStyle w:val="TableParagraph"/>
              <w:rPr>
                <w:rFonts w:ascii="Times New Roman"/>
                <w:sz w:val="18"/>
              </w:rPr>
            </w:pPr>
          </w:p>
        </w:tc>
      </w:tr>
    </w:tbl>
    <w:p>
      <w:pPr>
        <w:pStyle w:val="BodyText"/>
        <w:rPr>
          <w:b/>
          <w:sz w:val="26"/>
        </w:rPr>
      </w:pPr>
    </w:p>
    <w:p>
      <w:pPr>
        <w:pStyle w:val="BodyText"/>
        <w:rPr>
          <w:b/>
          <w:sz w:val="26"/>
        </w:rPr>
      </w:pPr>
    </w:p>
    <w:p>
      <w:pPr>
        <w:pStyle w:val="BodyText"/>
        <w:rPr>
          <w:b/>
          <w:sz w:val="26"/>
        </w:rPr>
      </w:pPr>
    </w:p>
    <w:p>
      <w:pPr>
        <w:pStyle w:val="BodyText"/>
        <w:spacing w:before="52"/>
        <w:rPr>
          <w:b/>
          <w:sz w:val="26"/>
        </w:rPr>
      </w:pPr>
    </w:p>
    <w:p>
      <w:pPr>
        <w:tabs>
          <w:tab w:pos="23047" w:val="left" w:leader="none"/>
        </w:tabs>
        <w:spacing w:before="0"/>
        <w:ind w:left="0" w:right="0" w:firstLine="0"/>
        <w:jc w:val="left"/>
        <w:rPr>
          <w:b/>
          <w:sz w:val="26"/>
        </w:rPr>
      </w:pPr>
      <w:r>
        <w:rPr>
          <w:position w:val="-4"/>
        </w:rPr>
        <w:drawing>
          <wp:inline distT="0" distB="0" distL="0" distR="0">
            <wp:extent cx="568172" cy="184683"/>
            <wp:effectExtent l="0" t="0" r="0" b="0"/>
            <wp:docPr id="1772" name="Image 1772"/>
            <wp:cNvGraphicFramePr>
              <a:graphicFrameLocks/>
            </wp:cNvGraphicFramePr>
            <a:graphic>
              <a:graphicData uri="http://schemas.openxmlformats.org/drawingml/2006/picture">
                <pic:pic>
                  <pic:nvPicPr>
                    <pic:cNvPr id="1772" name="Image 1772"/>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13"/>
          <w:sz w:val="20"/>
        </w:rPr>
        <w:t> </w:t>
      </w:r>
      <w:r>
        <w:rPr>
          <w:b/>
          <w:color w:val="939598"/>
          <w:w w:val="105"/>
          <w:sz w:val="26"/>
        </w:rPr>
        <w:t>133</w:t>
      </w:r>
      <w:r>
        <w:rPr>
          <w:b/>
          <w:color w:val="939598"/>
          <w:sz w:val="26"/>
        </w:rPr>
        <w:tab/>
      </w:r>
      <w:r>
        <w:rPr>
          <w:b/>
          <w:color w:val="939598"/>
          <w:spacing w:val="-5"/>
          <w:w w:val="105"/>
          <w:sz w:val="26"/>
        </w:rPr>
        <w:t>134</w:t>
      </w:r>
    </w:p>
    <w:p>
      <w:pPr>
        <w:spacing w:after="0"/>
        <w:jc w:val="left"/>
        <w:rPr>
          <w:b/>
          <w:sz w:val="26"/>
        </w:rPr>
        <w:sectPr>
          <w:pgSz w:w="24480" w:h="15840" w:orient="landscape"/>
          <w:pgMar w:header="0" w:footer="0" w:top="860" w:bottom="0" w:left="0" w:right="720"/>
        </w:sectPr>
      </w:pPr>
    </w:p>
    <w:p>
      <w:pPr>
        <w:spacing w:before="607"/>
        <w:ind w:left="1089" w:right="0" w:firstLine="0"/>
        <w:jc w:val="left"/>
        <w:rPr>
          <w:sz w:val="54"/>
        </w:rPr>
      </w:pPr>
      <w:r>
        <w:rPr>
          <w:sz w:val="54"/>
        </w:rPr>
        <w:drawing>
          <wp:anchor distT="0" distB="0" distL="0" distR="0" allowOverlap="1" layoutInCell="1" locked="0" behindDoc="0" simplePos="0" relativeHeight="15932928">
            <wp:simplePos x="0" y="0"/>
            <wp:positionH relativeFrom="page">
              <wp:posOffset>14981556</wp:posOffset>
            </wp:positionH>
            <wp:positionV relativeFrom="page">
              <wp:posOffset>9668103</wp:posOffset>
            </wp:positionV>
            <wp:extent cx="563245" cy="184683"/>
            <wp:effectExtent l="0" t="0" r="0" b="0"/>
            <wp:wrapNone/>
            <wp:docPr id="1773" name="Image 1773"/>
            <wp:cNvGraphicFramePr>
              <a:graphicFrameLocks/>
            </wp:cNvGraphicFramePr>
            <a:graphic>
              <a:graphicData uri="http://schemas.openxmlformats.org/drawingml/2006/picture">
                <pic:pic>
                  <pic:nvPicPr>
                    <pic:cNvPr id="1773" name="Image 1773"/>
                    <pic:cNvPicPr/>
                  </pic:nvPicPr>
                  <pic:blipFill>
                    <a:blip r:embed="rId38" cstate="print"/>
                    <a:stretch>
                      <a:fillRect/>
                    </a:stretch>
                  </pic:blipFill>
                  <pic:spPr>
                    <a:xfrm>
                      <a:off x="0" y="0"/>
                      <a:ext cx="563245" cy="184683"/>
                    </a:xfrm>
                    <a:prstGeom prst="rect">
                      <a:avLst/>
                    </a:prstGeom>
                  </pic:spPr>
                </pic:pic>
              </a:graphicData>
            </a:graphic>
          </wp:anchor>
        </w:drawing>
      </w:r>
      <w:r>
        <w:rPr>
          <w:sz w:val="54"/>
        </w:rPr>
        <w:drawing>
          <wp:anchor distT="0" distB="0" distL="0" distR="0" allowOverlap="1" layoutInCell="1" locked="0" behindDoc="0" simplePos="0" relativeHeight="15933440">
            <wp:simplePos x="0" y="0"/>
            <wp:positionH relativeFrom="page">
              <wp:posOffset>14162106</wp:posOffset>
            </wp:positionH>
            <wp:positionV relativeFrom="paragraph">
              <wp:posOffset>321014</wp:posOffset>
            </wp:positionV>
            <wp:extent cx="696753" cy="690419"/>
            <wp:effectExtent l="0" t="0" r="0" b="0"/>
            <wp:wrapNone/>
            <wp:docPr id="1774" name="Image 1774"/>
            <wp:cNvGraphicFramePr>
              <a:graphicFrameLocks/>
            </wp:cNvGraphicFramePr>
            <a:graphic>
              <a:graphicData uri="http://schemas.openxmlformats.org/drawingml/2006/picture">
                <pic:pic>
                  <pic:nvPicPr>
                    <pic:cNvPr id="1774" name="Image 1774"/>
                    <pic:cNvPicPr/>
                  </pic:nvPicPr>
                  <pic:blipFill>
                    <a:blip r:embed="rId244" cstate="print"/>
                    <a:stretch>
                      <a:fillRect/>
                    </a:stretch>
                  </pic:blipFill>
                  <pic:spPr>
                    <a:xfrm>
                      <a:off x="0" y="0"/>
                      <a:ext cx="696753" cy="690419"/>
                    </a:xfrm>
                    <a:prstGeom prst="rect">
                      <a:avLst/>
                    </a:prstGeom>
                  </pic:spPr>
                </pic:pic>
              </a:graphicData>
            </a:graphic>
          </wp:anchor>
        </w:drawing>
      </w:r>
      <w:r>
        <w:rPr>
          <w:sz w:val="54"/>
        </w:rPr>
        <w:drawing>
          <wp:anchor distT="0" distB="0" distL="0" distR="0" allowOverlap="1" layoutInCell="1" locked="0" behindDoc="0" simplePos="0" relativeHeight="15933952">
            <wp:simplePos x="0" y="0"/>
            <wp:positionH relativeFrom="page">
              <wp:posOffset>12710185</wp:posOffset>
            </wp:positionH>
            <wp:positionV relativeFrom="paragraph">
              <wp:posOffset>365760</wp:posOffset>
            </wp:positionV>
            <wp:extent cx="1326527" cy="258263"/>
            <wp:effectExtent l="0" t="0" r="0" b="0"/>
            <wp:wrapNone/>
            <wp:docPr id="1775" name="Image 1775"/>
            <wp:cNvGraphicFramePr>
              <a:graphicFrameLocks/>
            </wp:cNvGraphicFramePr>
            <a:graphic>
              <a:graphicData uri="http://schemas.openxmlformats.org/drawingml/2006/picture">
                <pic:pic>
                  <pic:nvPicPr>
                    <pic:cNvPr id="1775" name="Image 1775"/>
                    <pic:cNvPicPr/>
                  </pic:nvPicPr>
                  <pic:blipFill>
                    <a:blip r:embed="rId245" cstate="print"/>
                    <a:stretch>
                      <a:fillRect/>
                    </a:stretch>
                  </pic:blipFill>
                  <pic:spPr>
                    <a:xfrm>
                      <a:off x="0" y="0"/>
                      <a:ext cx="1326527" cy="258263"/>
                    </a:xfrm>
                    <a:prstGeom prst="rect">
                      <a:avLst/>
                    </a:prstGeom>
                  </pic:spPr>
                </pic:pic>
              </a:graphicData>
            </a:graphic>
          </wp:anchor>
        </w:drawing>
      </w:r>
      <w:r>
        <w:rPr>
          <w:sz w:val="54"/>
        </w:rPr>
        <w:drawing>
          <wp:anchor distT="0" distB="0" distL="0" distR="0" allowOverlap="1" layoutInCell="1" locked="0" behindDoc="0" simplePos="0" relativeHeight="15934464">
            <wp:simplePos x="0" y="0"/>
            <wp:positionH relativeFrom="page">
              <wp:posOffset>11252403</wp:posOffset>
            </wp:positionH>
            <wp:positionV relativeFrom="paragraph">
              <wp:posOffset>311404</wp:posOffset>
            </wp:positionV>
            <wp:extent cx="1291335" cy="314959"/>
            <wp:effectExtent l="0" t="0" r="0" b="0"/>
            <wp:wrapNone/>
            <wp:docPr id="1776" name="Image 1776"/>
            <wp:cNvGraphicFramePr>
              <a:graphicFrameLocks/>
            </wp:cNvGraphicFramePr>
            <a:graphic>
              <a:graphicData uri="http://schemas.openxmlformats.org/drawingml/2006/picture">
                <pic:pic>
                  <pic:nvPicPr>
                    <pic:cNvPr id="1776" name="Image 1776"/>
                    <pic:cNvPicPr/>
                  </pic:nvPicPr>
                  <pic:blipFill>
                    <a:blip r:embed="rId246" cstate="print"/>
                    <a:stretch>
                      <a:fillRect/>
                    </a:stretch>
                  </pic:blipFill>
                  <pic:spPr>
                    <a:xfrm>
                      <a:off x="0" y="0"/>
                      <a:ext cx="1291335" cy="314959"/>
                    </a:xfrm>
                    <a:prstGeom prst="rect">
                      <a:avLst/>
                    </a:prstGeom>
                  </pic:spPr>
                </pic:pic>
              </a:graphicData>
            </a:graphic>
          </wp:anchor>
        </w:drawing>
      </w:r>
      <w:r>
        <w:rPr>
          <w:color w:val="636466"/>
          <w:sz w:val="54"/>
        </w:rPr>
        <w:t>Livingston</w:t>
      </w:r>
      <w:r>
        <w:rPr>
          <w:color w:val="636466"/>
          <w:spacing w:val="70"/>
          <w:sz w:val="54"/>
        </w:rPr>
        <w:t> </w:t>
      </w:r>
      <w:r>
        <w:rPr>
          <w:color w:val="636466"/>
          <w:sz w:val="54"/>
        </w:rPr>
        <w:t>County</w:t>
      </w:r>
      <w:r>
        <w:rPr>
          <w:color w:val="636466"/>
          <w:spacing w:val="71"/>
          <w:sz w:val="54"/>
        </w:rPr>
        <w:t> </w:t>
      </w:r>
      <w:r>
        <w:rPr>
          <w:color w:val="636466"/>
          <w:sz w:val="54"/>
        </w:rPr>
        <w:t>Appendix</w:t>
      </w:r>
      <w:r>
        <w:rPr>
          <w:color w:val="636466"/>
          <w:spacing w:val="71"/>
          <w:sz w:val="54"/>
        </w:rPr>
        <w:t> </w:t>
      </w:r>
      <w:r>
        <w:rPr>
          <w:color w:val="636466"/>
          <w:spacing w:val="-10"/>
          <w:sz w:val="54"/>
        </w:rPr>
        <w:t>B</w:t>
      </w:r>
    </w:p>
    <w:p>
      <w:pPr>
        <w:spacing w:before="235"/>
        <w:ind w:left="1089" w:right="0" w:firstLine="0"/>
        <w:jc w:val="left"/>
        <w:rPr>
          <w:b/>
          <w:sz w:val="32"/>
        </w:rPr>
      </w:pPr>
      <w:r>
        <w:rPr>
          <w:b/>
          <w:color w:val="82BF6A"/>
          <w:spacing w:val="-6"/>
          <w:sz w:val="32"/>
        </w:rPr>
        <w:t>PRIORITY:</w:t>
      </w:r>
      <w:r>
        <w:rPr>
          <w:b/>
          <w:color w:val="82BF6A"/>
          <w:spacing w:val="-13"/>
          <w:sz w:val="32"/>
        </w:rPr>
        <w:t> </w:t>
      </w:r>
      <w:r>
        <w:rPr>
          <w:b/>
          <w:color w:val="82BF6A"/>
          <w:spacing w:val="-6"/>
          <w:sz w:val="32"/>
        </w:rPr>
        <w:t>PREVENT</w:t>
      </w:r>
      <w:r>
        <w:rPr>
          <w:b/>
          <w:color w:val="82BF6A"/>
          <w:spacing w:val="-13"/>
          <w:sz w:val="32"/>
        </w:rPr>
        <w:t> </w:t>
      </w:r>
      <w:r>
        <w:rPr>
          <w:b/>
          <w:color w:val="82BF6A"/>
          <w:spacing w:val="-6"/>
          <w:sz w:val="32"/>
        </w:rPr>
        <w:t>CHRONIC</w:t>
      </w:r>
      <w:r>
        <w:rPr>
          <w:b/>
          <w:color w:val="82BF6A"/>
          <w:spacing w:val="-13"/>
          <w:sz w:val="32"/>
        </w:rPr>
        <w:t> </w:t>
      </w:r>
      <w:r>
        <w:rPr>
          <w:b/>
          <w:color w:val="82BF6A"/>
          <w:spacing w:val="-6"/>
          <w:sz w:val="32"/>
        </w:rPr>
        <w:t>DISEASES</w:t>
      </w:r>
    </w:p>
    <w:p>
      <w:pPr>
        <w:pStyle w:val="BodyText"/>
        <w:spacing w:before="8"/>
        <w:rPr>
          <w:b/>
          <w:sz w:val="16"/>
        </w:rPr>
      </w:pPr>
    </w:p>
    <w:tbl>
      <w:tblPr>
        <w:tblW w:w="0" w:type="auto"/>
        <w:jc w:val="left"/>
        <w:tblInd w:w="1099"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1008"/>
        <w:gridCol w:w="1318"/>
        <w:gridCol w:w="1620"/>
        <w:gridCol w:w="2304"/>
        <w:gridCol w:w="1253"/>
        <w:gridCol w:w="3490"/>
        <w:gridCol w:w="4878"/>
        <w:gridCol w:w="2319"/>
        <w:gridCol w:w="2305"/>
        <w:gridCol w:w="1825"/>
      </w:tblGrid>
      <w:tr>
        <w:trPr>
          <w:trHeight w:val="770" w:hRule="atLeast"/>
        </w:trPr>
        <w:tc>
          <w:tcPr>
            <w:tcW w:w="1008" w:type="dxa"/>
            <w:tcBorders>
              <w:right w:val="single" w:sz="4" w:space="0" w:color="FFFFFF"/>
            </w:tcBorders>
            <w:shd w:val="clear" w:color="auto" w:fill="A7A9AC"/>
          </w:tcPr>
          <w:p>
            <w:pPr>
              <w:pStyle w:val="TableParagraph"/>
              <w:spacing w:before="67"/>
              <w:rPr>
                <w:b/>
                <w:sz w:val="20"/>
              </w:rPr>
            </w:pPr>
          </w:p>
          <w:p>
            <w:pPr>
              <w:pStyle w:val="TableParagraph"/>
              <w:ind w:left="80"/>
              <w:rPr>
                <w:b/>
                <w:sz w:val="20"/>
              </w:rPr>
            </w:pPr>
            <w:r>
              <w:rPr>
                <w:b/>
                <w:color w:val="FFFFFF"/>
                <w:spacing w:val="-2"/>
                <w:sz w:val="20"/>
              </w:rPr>
              <w:t>Priority</w:t>
            </w:r>
          </w:p>
        </w:tc>
        <w:tc>
          <w:tcPr>
            <w:tcW w:w="1318" w:type="dxa"/>
            <w:tcBorders>
              <w:left w:val="single" w:sz="4" w:space="0" w:color="FFFFFF"/>
              <w:right w:val="single" w:sz="4" w:space="0" w:color="FFFFFF"/>
            </w:tcBorders>
            <w:shd w:val="clear" w:color="auto" w:fill="A7A9AC"/>
          </w:tcPr>
          <w:p>
            <w:pPr>
              <w:pStyle w:val="TableParagraph"/>
              <w:spacing w:before="67"/>
              <w:rPr>
                <w:b/>
                <w:sz w:val="20"/>
              </w:rPr>
            </w:pPr>
          </w:p>
          <w:p>
            <w:pPr>
              <w:pStyle w:val="TableParagraph"/>
              <w:ind w:left="79"/>
              <w:rPr>
                <w:b/>
                <w:sz w:val="20"/>
              </w:rPr>
            </w:pPr>
            <w:r>
              <w:rPr>
                <w:b/>
                <w:color w:val="FFFFFF"/>
                <w:w w:val="90"/>
                <w:sz w:val="20"/>
              </w:rPr>
              <w:t>Focus</w:t>
            </w:r>
            <w:r>
              <w:rPr>
                <w:b/>
                <w:color w:val="FFFFFF"/>
                <w:spacing w:val="8"/>
                <w:sz w:val="20"/>
              </w:rPr>
              <w:t> </w:t>
            </w:r>
            <w:r>
              <w:rPr>
                <w:b/>
                <w:color w:val="FFFFFF"/>
                <w:spacing w:val="-4"/>
                <w:sz w:val="20"/>
              </w:rPr>
              <w:t>Area</w:t>
            </w:r>
          </w:p>
        </w:tc>
        <w:tc>
          <w:tcPr>
            <w:tcW w:w="1620" w:type="dxa"/>
            <w:tcBorders>
              <w:left w:val="single" w:sz="4" w:space="0" w:color="FFFFFF"/>
              <w:right w:val="single" w:sz="4" w:space="0" w:color="FFFFFF"/>
            </w:tcBorders>
            <w:shd w:val="clear" w:color="auto" w:fill="A7A9AC"/>
          </w:tcPr>
          <w:p>
            <w:pPr>
              <w:pStyle w:val="TableParagraph"/>
              <w:spacing w:line="230" w:lineRule="auto" w:before="195"/>
              <w:ind w:left="79" w:right="121"/>
              <w:rPr>
                <w:b/>
                <w:sz w:val="20"/>
              </w:rPr>
            </w:pPr>
            <w:r>
              <w:rPr>
                <w:b/>
                <w:color w:val="FFFFFF"/>
                <w:spacing w:val="-8"/>
                <w:sz w:val="20"/>
              </w:rPr>
              <w:t>Goal</w:t>
            </w:r>
            <w:r>
              <w:rPr>
                <w:b/>
                <w:color w:val="FFFFFF"/>
                <w:spacing w:val="-6"/>
                <w:sz w:val="20"/>
              </w:rPr>
              <w:t> </w:t>
            </w:r>
            <w:r>
              <w:rPr>
                <w:b/>
                <w:color w:val="FFFFFF"/>
                <w:spacing w:val="-8"/>
                <w:sz w:val="20"/>
              </w:rPr>
              <w:t>Focus </w:t>
            </w:r>
            <w:r>
              <w:rPr>
                <w:b/>
                <w:color w:val="FFFFFF"/>
                <w:spacing w:val="-4"/>
                <w:sz w:val="20"/>
              </w:rPr>
              <w:t>Area</w:t>
            </w:r>
          </w:p>
        </w:tc>
        <w:tc>
          <w:tcPr>
            <w:tcW w:w="2304" w:type="dxa"/>
            <w:tcBorders>
              <w:left w:val="single" w:sz="4" w:space="0" w:color="FFFFFF"/>
              <w:right w:val="single" w:sz="4" w:space="0" w:color="FFFFFF"/>
            </w:tcBorders>
            <w:shd w:val="clear" w:color="auto" w:fill="A7A9AC"/>
          </w:tcPr>
          <w:p>
            <w:pPr>
              <w:pStyle w:val="TableParagraph"/>
              <w:spacing w:before="67"/>
              <w:rPr>
                <w:b/>
                <w:sz w:val="20"/>
              </w:rPr>
            </w:pPr>
          </w:p>
          <w:p>
            <w:pPr>
              <w:pStyle w:val="TableParagraph"/>
              <w:ind w:left="79"/>
              <w:rPr>
                <w:b/>
                <w:sz w:val="20"/>
              </w:rPr>
            </w:pPr>
            <w:r>
              <w:rPr>
                <w:b/>
                <w:color w:val="FFFFFF"/>
                <w:spacing w:val="-2"/>
                <w:sz w:val="20"/>
              </w:rPr>
              <w:t>Objectives</w:t>
            </w:r>
          </w:p>
        </w:tc>
        <w:tc>
          <w:tcPr>
            <w:tcW w:w="1253" w:type="dxa"/>
            <w:tcBorders>
              <w:left w:val="single" w:sz="4" w:space="0" w:color="FFFFFF"/>
              <w:right w:val="single" w:sz="4" w:space="0" w:color="FFFFFF"/>
            </w:tcBorders>
            <w:shd w:val="clear" w:color="auto" w:fill="A7A9AC"/>
          </w:tcPr>
          <w:p>
            <w:pPr>
              <w:pStyle w:val="TableParagraph"/>
              <w:spacing w:before="67"/>
              <w:rPr>
                <w:b/>
                <w:sz w:val="20"/>
              </w:rPr>
            </w:pPr>
          </w:p>
          <w:p>
            <w:pPr>
              <w:pStyle w:val="TableParagraph"/>
              <w:ind w:left="79"/>
              <w:rPr>
                <w:b/>
                <w:sz w:val="20"/>
              </w:rPr>
            </w:pPr>
            <w:r>
              <w:rPr>
                <w:b/>
                <w:color w:val="FFFFFF"/>
                <w:spacing w:val="-2"/>
                <w:sz w:val="20"/>
              </w:rPr>
              <w:t>Disparities</w:t>
            </w:r>
          </w:p>
        </w:tc>
        <w:tc>
          <w:tcPr>
            <w:tcW w:w="3490" w:type="dxa"/>
            <w:tcBorders>
              <w:left w:val="single" w:sz="4" w:space="0" w:color="FFFFFF"/>
              <w:right w:val="nil"/>
            </w:tcBorders>
            <w:shd w:val="clear" w:color="auto" w:fill="A7A9AC"/>
          </w:tcPr>
          <w:p>
            <w:pPr>
              <w:pStyle w:val="TableParagraph"/>
              <w:spacing w:before="67"/>
              <w:rPr>
                <w:b/>
                <w:sz w:val="20"/>
              </w:rPr>
            </w:pPr>
          </w:p>
          <w:p>
            <w:pPr>
              <w:pStyle w:val="TableParagraph"/>
              <w:ind w:left="79"/>
              <w:rPr>
                <w:b/>
                <w:sz w:val="20"/>
              </w:rPr>
            </w:pPr>
            <w:r>
              <w:rPr>
                <w:b/>
                <w:color w:val="FFFFFF"/>
                <w:spacing w:val="-2"/>
                <w:sz w:val="20"/>
              </w:rPr>
              <w:t>Interventions</w:t>
            </w:r>
          </w:p>
        </w:tc>
        <w:tc>
          <w:tcPr>
            <w:tcW w:w="4878" w:type="dxa"/>
            <w:tcBorders>
              <w:left w:val="nil"/>
              <w:right w:val="single" w:sz="4" w:space="0" w:color="FFFFFF"/>
            </w:tcBorders>
            <w:shd w:val="clear" w:color="auto" w:fill="A7A9AC"/>
          </w:tcPr>
          <w:p>
            <w:pPr>
              <w:pStyle w:val="TableParagraph"/>
              <w:spacing w:before="67"/>
              <w:rPr>
                <w:b/>
                <w:sz w:val="20"/>
              </w:rPr>
            </w:pPr>
          </w:p>
          <w:p>
            <w:pPr>
              <w:pStyle w:val="TableParagraph"/>
              <w:ind w:left="1334"/>
              <w:rPr>
                <w:b/>
                <w:sz w:val="20"/>
              </w:rPr>
            </w:pPr>
            <w:r>
              <w:rPr>
                <w:b/>
                <w:color w:val="FFFFFF"/>
                <w:sz w:val="20"/>
              </w:rPr>
              <w:t>Family</w:t>
            </w:r>
            <w:r>
              <w:rPr>
                <w:b/>
                <w:color w:val="FFFFFF"/>
                <w:spacing w:val="-12"/>
                <w:sz w:val="20"/>
              </w:rPr>
              <w:t> </w:t>
            </w:r>
            <w:r>
              <w:rPr>
                <w:b/>
                <w:color w:val="FFFFFF"/>
                <w:sz w:val="20"/>
              </w:rPr>
              <w:t>of</w:t>
            </w:r>
            <w:r>
              <w:rPr>
                <w:b/>
                <w:color w:val="FFFFFF"/>
                <w:spacing w:val="-12"/>
                <w:sz w:val="20"/>
              </w:rPr>
              <w:t> </w:t>
            </w:r>
            <w:r>
              <w:rPr>
                <w:b/>
                <w:color w:val="FFFFFF"/>
                <w:spacing w:val="-2"/>
                <w:sz w:val="20"/>
              </w:rPr>
              <w:t>Measures</w:t>
            </w:r>
          </w:p>
        </w:tc>
        <w:tc>
          <w:tcPr>
            <w:tcW w:w="2319" w:type="dxa"/>
            <w:tcBorders>
              <w:left w:val="single" w:sz="4" w:space="0" w:color="FFFFFF"/>
              <w:right w:val="single" w:sz="4" w:space="0" w:color="FFFFFF"/>
            </w:tcBorders>
            <w:shd w:val="clear" w:color="auto" w:fill="A7A9AC"/>
          </w:tcPr>
          <w:p>
            <w:pPr>
              <w:pStyle w:val="TableParagraph"/>
              <w:spacing w:line="230" w:lineRule="auto" w:before="195"/>
              <w:ind w:left="87" w:right="591"/>
              <w:rPr>
                <w:b/>
                <w:sz w:val="20"/>
              </w:rPr>
            </w:pPr>
            <w:r>
              <w:rPr>
                <w:b/>
                <w:color w:val="FFFFFF"/>
                <w:spacing w:val="-2"/>
                <w:sz w:val="20"/>
              </w:rPr>
              <w:t>Implementation Partner</w:t>
            </w:r>
          </w:p>
        </w:tc>
        <w:tc>
          <w:tcPr>
            <w:tcW w:w="2305" w:type="dxa"/>
            <w:tcBorders>
              <w:left w:val="single" w:sz="4" w:space="0" w:color="FFFFFF"/>
              <w:right w:val="single" w:sz="4" w:space="0" w:color="FFFFFF"/>
            </w:tcBorders>
            <w:shd w:val="clear" w:color="auto" w:fill="A7A9AC"/>
          </w:tcPr>
          <w:p>
            <w:pPr>
              <w:pStyle w:val="TableParagraph"/>
              <w:spacing w:line="230" w:lineRule="auto" w:before="195"/>
              <w:ind w:left="76" w:right="956"/>
              <w:rPr>
                <w:b/>
                <w:sz w:val="20"/>
              </w:rPr>
            </w:pPr>
            <w:r>
              <w:rPr>
                <w:b/>
                <w:color w:val="FFFFFF"/>
                <w:spacing w:val="-4"/>
                <w:sz w:val="20"/>
              </w:rPr>
              <w:t>Partner</w:t>
            </w:r>
            <w:r>
              <w:rPr>
                <w:b/>
                <w:color w:val="FFFFFF"/>
                <w:spacing w:val="-10"/>
                <w:sz w:val="20"/>
              </w:rPr>
              <w:t> </w:t>
            </w:r>
            <w:r>
              <w:rPr>
                <w:b/>
                <w:color w:val="FFFFFF"/>
                <w:spacing w:val="-4"/>
                <w:sz w:val="20"/>
              </w:rPr>
              <w:t>Roles </w:t>
            </w:r>
            <w:r>
              <w:rPr>
                <w:b/>
                <w:color w:val="FFFFFF"/>
                <w:spacing w:val="-2"/>
                <w:sz w:val="20"/>
              </w:rPr>
              <w:t>Resources</w:t>
            </w:r>
          </w:p>
        </w:tc>
        <w:tc>
          <w:tcPr>
            <w:tcW w:w="1825" w:type="dxa"/>
            <w:tcBorders>
              <w:left w:val="single" w:sz="4" w:space="0" w:color="FFFFFF"/>
              <w:right w:val="single" w:sz="4" w:space="0" w:color="FFFFFF"/>
            </w:tcBorders>
            <w:shd w:val="clear" w:color="auto" w:fill="A7A9AC"/>
          </w:tcPr>
          <w:p>
            <w:pPr>
              <w:pStyle w:val="TableParagraph"/>
              <w:spacing w:line="230" w:lineRule="auto" w:before="195"/>
              <w:ind w:left="75" w:right="139"/>
              <w:rPr>
                <w:b/>
                <w:sz w:val="20"/>
              </w:rPr>
            </w:pPr>
            <w:r>
              <w:rPr>
                <w:b/>
                <w:color w:val="FFFFFF"/>
                <w:spacing w:val="-4"/>
                <w:sz w:val="20"/>
              </w:rPr>
              <w:t>Projected</w:t>
            </w:r>
            <w:r>
              <w:rPr>
                <w:b/>
                <w:color w:val="FFFFFF"/>
                <w:spacing w:val="-10"/>
                <w:sz w:val="20"/>
              </w:rPr>
              <w:t> </w:t>
            </w:r>
            <w:r>
              <w:rPr>
                <w:b/>
                <w:color w:val="FFFFFF"/>
                <w:spacing w:val="-4"/>
                <w:sz w:val="20"/>
              </w:rPr>
              <w:t>Year </w:t>
            </w:r>
            <w:r>
              <w:rPr>
                <w:b/>
                <w:color w:val="FFFFFF"/>
                <w:sz w:val="20"/>
              </w:rPr>
              <w:t>1,2, and 3</w:t>
            </w:r>
          </w:p>
        </w:tc>
      </w:tr>
      <w:tr>
        <w:trPr>
          <w:trHeight w:val="2835" w:hRule="atLeast"/>
        </w:trPr>
        <w:tc>
          <w:tcPr>
            <w:tcW w:w="1008" w:type="dxa"/>
            <w:tcBorders>
              <w:bottom w:val="nil"/>
            </w:tcBorders>
            <w:shd w:val="clear" w:color="auto" w:fill="E6E7E8"/>
          </w:tcPr>
          <w:p>
            <w:pPr>
              <w:pStyle w:val="TableParagraph"/>
              <w:spacing w:line="232" w:lineRule="auto" w:before="101"/>
              <w:ind w:left="90" w:right="191"/>
              <w:jc w:val="both"/>
              <w:rPr>
                <w:sz w:val="18"/>
              </w:rPr>
            </w:pPr>
            <w:r>
              <w:rPr>
                <w:color w:val="105C84"/>
                <w:spacing w:val="-2"/>
                <w:sz w:val="18"/>
              </w:rPr>
              <w:t>Prevent Chronic </w:t>
            </w:r>
            <w:r>
              <w:rPr>
                <w:color w:val="105C84"/>
                <w:spacing w:val="-6"/>
                <w:sz w:val="18"/>
              </w:rPr>
              <w:t>Diseases</w:t>
            </w:r>
          </w:p>
        </w:tc>
        <w:tc>
          <w:tcPr>
            <w:tcW w:w="1318" w:type="dxa"/>
            <w:tcBorders>
              <w:bottom w:val="nil"/>
            </w:tcBorders>
          </w:tcPr>
          <w:p>
            <w:pPr>
              <w:pStyle w:val="TableParagraph"/>
              <w:spacing w:line="232" w:lineRule="auto" w:before="101"/>
              <w:ind w:left="89" w:right="148"/>
              <w:rPr>
                <w:sz w:val="18"/>
              </w:rPr>
            </w:pPr>
            <w:r>
              <w:rPr>
                <w:color w:val="105C84"/>
                <w:sz w:val="18"/>
              </w:rPr>
              <w:t>Focus Area</w:t>
            </w:r>
            <w:r>
              <w:rPr>
                <w:color w:val="105C84"/>
                <w:sz w:val="18"/>
              </w:rPr>
              <w:t> 4: Chronic </w:t>
            </w:r>
            <w:r>
              <w:rPr>
                <w:color w:val="105C84"/>
                <w:spacing w:val="-2"/>
                <w:sz w:val="18"/>
              </w:rPr>
              <w:t>Disease Preventive </w:t>
            </w:r>
            <w:r>
              <w:rPr>
                <w:color w:val="105C84"/>
                <w:sz w:val="18"/>
              </w:rPr>
              <w:t>Care and </w:t>
            </w:r>
            <w:r>
              <w:rPr>
                <w:color w:val="105C84"/>
                <w:spacing w:val="-2"/>
                <w:sz w:val="18"/>
              </w:rPr>
              <w:t>Management</w:t>
            </w:r>
          </w:p>
        </w:tc>
        <w:tc>
          <w:tcPr>
            <w:tcW w:w="1620" w:type="dxa"/>
            <w:tcBorders>
              <w:bottom w:val="nil"/>
            </w:tcBorders>
          </w:tcPr>
          <w:p>
            <w:pPr>
              <w:pStyle w:val="TableParagraph"/>
              <w:spacing w:line="232" w:lineRule="auto" w:before="101"/>
              <w:ind w:left="89" w:right="121"/>
              <w:rPr>
                <w:sz w:val="18"/>
              </w:rPr>
            </w:pPr>
            <w:r>
              <w:rPr>
                <w:color w:val="105C84"/>
                <w:sz w:val="18"/>
              </w:rPr>
              <w:t>4.4 In the </w:t>
            </w:r>
            <w:r>
              <w:rPr>
                <w:color w:val="105C84"/>
                <w:spacing w:val="-2"/>
                <w:sz w:val="18"/>
              </w:rPr>
              <w:t>community </w:t>
            </w:r>
            <w:r>
              <w:rPr>
                <w:color w:val="105C84"/>
                <w:sz w:val="18"/>
              </w:rPr>
              <w:t>setting, improve </w:t>
            </w:r>
            <w:r>
              <w:rPr>
                <w:color w:val="105C84"/>
                <w:spacing w:val="-2"/>
                <w:sz w:val="18"/>
              </w:rPr>
              <w:t>self-</w:t>
            </w:r>
            <w:r>
              <w:rPr>
                <w:color w:val="105C84"/>
                <w:spacing w:val="-2"/>
                <w:sz w:val="18"/>
              </w:rPr>
              <w:t>managemen</w:t>
            </w:r>
            <w:r>
              <w:rPr>
                <w:color w:val="105C84"/>
                <w:spacing w:val="-2"/>
                <w:sz w:val="18"/>
              </w:rPr>
              <w:t>t</w:t>
            </w:r>
            <w:r>
              <w:rPr>
                <w:color w:val="105C84"/>
                <w:spacing w:val="-2"/>
                <w:sz w:val="18"/>
              </w:rPr>
              <w:t> </w:t>
            </w:r>
            <w:r>
              <w:rPr>
                <w:color w:val="105C84"/>
                <w:sz w:val="18"/>
              </w:rPr>
              <w:t>skills for individuals with chronic diseases </w:t>
            </w:r>
            <w:r>
              <w:rPr>
                <w:color w:val="105C84"/>
                <w:spacing w:val="-2"/>
                <w:sz w:val="18"/>
              </w:rPr>
              <w:t>including</w:t>
            </w:r>
            <w:r>
              <w:rPr>
                <w:color w:val="105C84"/>
                <w:spacing w:val="80"/>
                <w:sz w:val="18"/>
              </w:rPr>
              <w:t> </w:t>
            </w:r>
            <w:r>
              <w:rPr>
                <w:color w:val="105C84"/>
                <w:sz w:val="18"/>
              </w:rPr>
              <w:t>asthma, arthritis, </w:t>
            </w:r>
            <w:r>
              <w:rPr>
                <w:color w:val="105C84"/>
                <w:spacing w:val="-2"/>
                <w:sz w:val="18"/>
              </w:rPr>
              <w:t>cardiovascular</w:t>
            </w:r>
          </w:p>
          <w:p>
            <w:pPr>
              <w:pStyle w:val="TableParagraph"/>
              <w:spacing w:line="232" w:lineRule="auto"/>
              <w:ind w:left="89" w:right="84"/>
              <w:rPr>
                <w:sz w:val="18"/>
              </w:rPr>
            </w:pPr>
            <w:r>
              <w:rPr>
                <w:color w:val="105C84"/>
                <w:spacing w:val="-2"/>
                <w:sz w:val="18"/>
              </w:rPr>
              <w:t>disease,</w:t>
            </w:r>
            <w:r>
              <w:rPr>
                <w:color w:val="105C84"/>
                <w:spacing w:val="-11"/>
                <w:sz w:val="18"/>
              </w:rPr>
              <w:t> </w:t>
            </w:r>
            <w:r>
              <w:rPr>
                <w:color w:val="105C84"/>
                <w:spacing w:val="-2"/>
                <w:sz w:val="18"/>
              </w:rPr>
              <w:t>diabetes, </w:t>
            </w:r>
            <w:r>
              <w:rPr>
                <w:color w:val="105C84"/>
                <w:sz w:val="18"/>
              </w:rPr>
              <w:t>pre-diabetes and </w:t>
            </w:r>
            <w:r>
              <w:rPr>
                <w:color w:val="105C84"/>
                <w:spacing w:val="-2"/>
                <w:sz w:val="18"/>
              </w:rPr>
              <w:t>obesity</w:t>
            </w:r>
          </w:p>
        </w:tc>
        <w:tc>
          <w:tcPr>
            <w:tcW w:w="2304" w:type="dxa"/>
            <w:tcBorders>
              <w:bottom w:val="nil"/>
            </w:tcBorders>
          </w:tcPr>
          <w:p>
            <w:pPr>
              <w:pStyle w:val="TableParagraph"/>
              <w:spacing w:line="203" w:lineRule="exact" w:before="96"/>
              <w:ind w:left="89"/>
              <w:rPr>
                <w:sz w:val="18"/>
              </w:rPr>
            </w:pPr>
            <w:r>
              <w:rPr>
                <w:color w:val="105C84"/>
                <w:spacing w:val="-6"/>
                <w:sz w:val="18"/>
              </w:rPr>
              <w:t>4.4.1</w:t>
            </w:r>
            <w:r>
              <w:rPr>
                <w:color w:val="105C84"/>
                <w:spacing w:val="-5"/>
                <w:sz w:val="18"/>
              </w:rPr>
              <w:t> </w:t>
            </w:r>
            <w:r>
              <w:rPr>
                <w:color w:val="105C84"/>
                <w:spacing w:val="-6"/>
                <w:sz w:val="18"/>
              </w:rPr>
              <w:t>By</w:t>
            </w:r>
            <w:r>
              <w:rPr>
                <w:color w:val="105C84"/>
                <w:spacing w:val="-4"/>
                <w:sz w:val="18"/>
              </w:rPr>
              <w:t> </w:t>
            </w:r>
            <w:r>
              <w:rPr>
                <w:color w:val="105C84"/>
                <w:spacing w:val="-6"/>
                <w:sz w:val="18"/>
              </w:rPr>
              <w:t>December</w:t>
            </w:r>
          </w:p>
          <w:p>
            <w:pPr>
              <w:pStyle w:val="TableParagraph"/>
              <w:spacing w:line="232" w:lineRule="auto" w:before="1"/>
              <w:ind w:left="89" w:right="265"/>
              <w:rPr>
                <w:sz w:val="18"/>
              </w:rPr>
            </w:pPr>
            <w:r>
              <w:rPr>
                <w:color w:val="105C84"/>
                <w:sz w:val="18"/>
              </w:rPr>
              <w:t>31, 2021,</w:t>
            </w:r>
            <w:r>
              <w:rPr>
                <w:color w:val="105C84"/>
                <w:spacing w:val="40"/>
                <w:sz w:val="18"/>
              </w:rPr>
              <w:t> </w:t>
            </w:r>
            <w:r>
              <w:rPr>
                <w:color w:val="105C84"/>
                <w:sz w:val="18"/>
              </w:rPr>
              <w:t>increase the percentage of adults with chronic conditions (arthritis, asthma, cardiovascular disease, diabetes,</w:t>
            </w:r>
            <w:r>
              <w:rPr>
                <w:color w:val="105C84"/>
                <w:spacing w:val="-15"/>
                <w:sz w:val="18"/>
              </w:rPr>
              <w:t> </w:t>
            </w:r>
            <w:r>
              <w:rPr>
                <w:color w:val="105C84"/>
                <w:sz w:val="18"/>
              </w:rPr>
              <w:t>chronic</w:t>
            </w:r>
            <w:r>
              <w:rPr>
                <w:color w:val="105C84"/>
                <w:spacing w:val="-12"/>
                <w:sz w:val="18"/>
              </w:rPr>
              <w:t> </w:t>
            </w:r>
            <w:r>
              <w:rPr>
                <w:color w:val="105C84"/>
                <w:sz w:val="18"/>
              </w:rPr>
              <w:t>kidney</w:t>
            </w:r>
          </w:p>
          <w:p>
            <w:pPr>
              <w:pStyle w:val="TableParagraph"/>
              <w:spacing w:line="232" w:lineRule="auto"/>
              <w:ind w:left="89"/>
              <w:rPr>
                <w:sz w:val="18"/>
              </w:rPr>
            </w:pPr>
            <w:r>
              <w:rPr>
                <w:color w:val="105C84"/>
                <w:spacing w:val="-2"/>
                <w:sz w:val="18"/>
              </w:rPr>
              <w:t>disease,</w:t>
            </w:r>
            <w:r>
              <w:rPr>
                <w:color w:val="105C84"/>
                <w:spacing w:val="-11"/>
                <w:sz w:val="18"/>
              </w:rPr>
              <w:t> </w:t>
            </w:r>
            <w:r>
              <w:rPr>
                <w:color w:val="105C84"/>
                <w:spacing w:val="-2"/>
                <w:sz w:val="18"/>
              </w:rPr>
              <w:t>cancer)</w:t>
            </w:r>
            <w:r>
              <w:rPr>
                <w:color w:val="105C84"/>
                <w:spacing w:val="-10"/>
                <w:sz w:val="18"/>
              </w:rPr>
              <w:t> </w:t>
            </w:r>
            <w:r>
              <w:rPr>
                <w:color w:val="105C84"/>
                <w:spacing w:val="-2"/>
                <w:sz w:val="18"/>
              </w:rPr>
              <w:t>who</w:t>
            </w:r>
            <w:r>
              <w:rPr>
                <w:color w:val="105C84"/>
                <w:spacing w:val="-11"/>
                <w:sz w:val="18"/>
              </w:rPr>
              <w:t> </w:t>
            </w:r>
            <w:r>
              <w:rPr>
                <w:color w:val="105C84"/>
                <w:spacing w:val="-2"/>
                <w:sz w:val="18"/>
              </w:rPr>
              <w:t>have </w:t>
            </w:r>
            <w:r>
              <w:rPr>
                <w:color w:val="105C84"/>
                <w:sz w:val="18"/>
              </w:rPr>
              <w:t>taken a course or class to learn</w:t>
            </w:r>
            <w:r>
              <w:rPr>
                <w:color w:val="105C84"/>
                <w:spacing w:val="-6"/>
                <w:sz w:val="18"/>
              </w:rPr>
              <w:t> </w:t>
            </w:r>
            <w:r>
              <w:rPr>
                <w:color w:val="105C84"/>
                <w:sz w:val="18"/>
              </w:rPr>
              <w:t>how</w:t>
            </w:r>
            <w:r>
              <w:rPr>
                <w:color w:val="105C84"/>
                <w:spacing w:val="-6"/>
                <w:sz w:val="18"/>
              </w:rPr>
              <w:t> </w:t>
            </w:r>
            <w:r>
              <w:rPr>
                <w:color w:val="105C84"/>
                <w:sz w:val="18"/>
              </w:rPr>
              <w:t>to</w:t>
            </w:r>
            <w:r>
              <w:rPr>
                <w:color w:val="105C84"/>
                <w:spacing w:val="-6"/>
                <w:sz w:val="18"/>
              </w:rPr>
              <w:t> </w:t>
            </w:r>
            <w:r>
              <w:rPr>
                <w:color w:val="105C84"/>
                <w:sz w:val="18"/>
              </w:rPr>
              <w:t>manage</w:t>
            </w:r>
            <w:r>
              <w:rPr>
                <w:color w:val="105C84"/>
                <w:spacing w:val="-6"/>
                <w:sz w:val="18"/>
              </w:rPr>
              <w:t> </w:t>
            </w:r>
            <w:r>
              <w:rPr>
                <w:color w:val="105C84"/>
                <w:sz w:val="18"/>
              </w:rPr>
              <w:t>their </w:t>
            </w:r>
            <w:r>
              <w:rPr>
                <w:color w:val="105C84"/>
                <w:spacing w:val="-2"/>
                <w:sz w:val="18"/>
              </w:rPr>
              <w:t>condition</w:t>
            </w:r>
          </w:p>
        </w:tc>
        <w:tc>
          <w:tcPr>
            <w:tcW w:w="1253" w:type="dxa"/>
            <w:vMerge w:val="restart"/>
          </w:tcPr>
          <w:p>
            <w:pPr>
              <w:pStyle w:val="TableParagraph"/>
              <w:rPr>
                <w:rFonts w:ascii="Times New Roman"/>
                <w:sz w:val="18"/>
              </w:rPr>
            </w:pPr>
          </w:p>
        </w:tc>
        <w:tc>
          <w:tcPr>
            <w:tcW w:w="3490" w:type="dxa"/>
            <w:vMerge w:val="restart"/>
            <w:tcBorders>
              <w:bottom w:val="nil"/>
              <w:right w:val="nil"/>
            </w:tcBorders>
          </w:tcPr>
          <w:p>
            <w:pPr>
              <w:pStyle w:val="TableParagraph"/>
              <w:spacing w:line="232" w:lineRule="auto" w:before="100"/>
              <w:ind w:left="89" w:right="1235"/>
              <w:rPr>
                <w:sz w:val="18"/>
              </w:rPr>
            </w:pPr>
            <w:r>
              <w:rPr>
                <w:color w:val="105C84"/>
                <w:sz w:val="18"/>
              </w:rPr>
              <w:t>4.4.2 - Expand access to evidenced-based self-management</w:t>
            </w:r>
            <w:r>
              <w:rPr>
                <w:color w:val="105C84"/>
                <w:spacing w:val="-1"/>
                <w:sz w:val="18"/>
              </w:rPr>
              <w:t> </w:t>
            </w:r>
            <w:r>
              <w:rPr>
                <w:color w:val="105C84"/>
                <w:sz w:val="18"/>
              </w:rPr>
              <w:t>interventions for individuals with chronic disease (arthritis, asthma, cardiovascular disease, diabetes,</w:t>
            </w:r>
            <w:r>
              <w:rPr>
                <w:color w:val="105C84"/>
                <w:spacing w:val="-1"/>
                <w:sz w:val="18"/>
              </w:rPr>
              <w:t> </w:t>
            </w:r>
            <w:r>
              <w:rPr>
                <w:color w:val="105C84"/>
                <w:sz w:val="18"/>
              </w:rPr>
              <w:t>prediabetes,</w:t>
            </w:r>
            <w:r>
              <w:rPr>
                <w:color w:val="105C84"/>
                <w:spacing w:val="-1"/>
                <w:sz w:val="18"/>
              </w:rPr>
              <w:t> </w:t>
            </w:r>
            <w:r>
              <w:rPr>
                <w:color w:val="105C84"/>
                <w:sz w:val="18"/>
              </w:rPr>
              <w:t>and </w:t>
            </w:r>
            <w:r>
              <w:rPr>
                <w:color w:val="105C84"/>
                <w:spacing w:val="-2"/>
                <w:sz w:val="18"/>
              </w:rPr>
              <w:t>obesity)</w:t>
            </w:r>
            <w:r>
              <w:rPr>
                <w:color w:val="105C84"/>
                <w:spacing w:val="-6"/>
                <w:sz w:val="18"/>
              </w:rPr>
              <w:t> </w:t>
            </w:r>
            <w:r>
              <w:rPr>
                <w:color w:val="105C84"/>
                <w:spacing w:val="-2"/>
                <w:sz w:val="18"/>
              </w:rPr>
              <w:t>whose</w:t>
            </w:r>
            <w:r>
              <w:rPr>
                <w:color w:val="105C84"/>
                <w:spacing w:val="-6"/>
                <w:sz w:val="18"/>
              </w:rPr>
              <w:t> </w:t>
            </w:r>
            <w:r>
              <w:rPr>
                <w:color w:val="105C84"/>
                <w:spacing w:val="-2"/>
                <w:sz w:val="18"/>
              </w:rPr>
              <w:t>condition(s</w:t>
            </w:r>
            <w:r>
              <w:rPr>
                <w:color w:val="105C84"/>
                <w:spacing w:val="-2"/>
                <w:sz w:val="18"/>
              </w:rPr>
              <w:t>)</w:t>
            </w:r>
            <w:r>
              <w:rPr>
                <w:color w:val="105C84"/>
                <w:spacing w:val="-2"/>
                <w:sz w:val="18"/>
              </w:rPr>
              <w:t> </w:t>
            </w:r>
            <w:r>
              <w:rPr>
                <w:color w:val="105C84"/>
                <w:sz w:val="18"/>
              </w:rPr>
              <w:t>is not well-controlled with guidelines-based medical management alone.</w:t>
            </w:r>
          </w:p>
        </w:tc>
        <w:tc>
          <w:tcPr>
            <w:tcW w:w="4878" w:type="dxa"/>
            <w:vMerge w:val="restart"/>
            <w:tcBorders>
              <w:left w:val="nil"/>
              <w:bottom w:val="nil"/>
            </w:tcBorders>
          </w:tcPr>
          <w:p>
            <w:pPr>
              <w:pStyle w:val="TableParagraph"/>
              <w:spacing w:line="232" w:lineRule="auto" w:before="100"/>
              <w:ind w:left="1244" w:right="115"/>
              <w:rPr>
                <w:sz w:val="18"/>
              </w:rPr>
            </w:pPr>
            <w:r>
              <w:rPr>
                <w:color w:val="105C84"/>
                <w:sz w:val="18"/>
              </w:rPr>
              <w:t>Number and type of evidence-based/ evidence informed programs and participants attending certified </w:t>
            </w:r>
            <w:r>
              <w:rPr>
                <w:color w:val="105C84"/>
                <w:sz w:val="18"/>
              </w:rPr>
              <w:t>programs offered</w:t>
            </w:r>
            <w:r>
              <w:rPr>
                <w:color w:val="105C84"/>
                <w:spacing w:val="-8"/>
                <w:sz w:val="18"/>
              </w:rPr>
              <w:t> </w:t>
            </w:r>
            <w:r>
              <w:rPr>
                <w:color w:val="105C84"/>
                <w:sz w:val="18"/>
              </w:rPr>
              <w:t>by</w:t>
            </w:r>
            <w:r>
              <w:rPr>
                <w:color w:val="105C84"/>
                <w:spacing w:val="-8"/>
                <w:sz w:val="18"/>
              </w:rPr>
              <w:t> </w:t>
            </w:r>
            <w:r>
              <w:rPr>
                <w:color w:val="105C84"/>
                <w:sz w:val="18"/>
              </w:rPr>
              <w:t>UR</w:t>
            </w:r>
            <w:r>
              <w:rPr>
                <w:color w:val="105C84"/>
                <w:spacing w:val="-8"/>
                <w:sz w:val="18"/>
              </w:rPr>
              <w:t> </w:t>
            </w:r>
            <w:r>
              <w:rPr>
                <w:color w:val="105C84"/>
                <w:sz w:val="18"/>
              </w:rPr>
              <w:t>Med</w:t>
            </w:r>
            <w:r>
              <w:rPr>
                <w:color w:val="105C84"/>
                <w:spacing w:val="-8"/>
                <w:sz w:val="18"/>
              </w:rPr>
              <w:t> </w:t>
            </w:r>
            <w:r>
              <w:rPr>
                <w:color w:val="105C84"/>
                <w:sz w:val="18"/>
              </w:rPr>
              <w:t>Noyes</w:t>
            </w:r>
            <w:r>
              <w:rPr>
                <w:color w:val="105C84"/>
                <w:spacing w:val="-8"/>
                <w:sz w:val="18"/>
              </w:rPr>
              <w:t> </w:t>
            </w:r>
            <w:r>
              <w:rPr>
                <w:color w:val="105C84"/>
                <w:sz w:val="18"/>
              </w:rPr>
              <w:t>Health,</w:t>
            </w:r>
            <w:r>
              <w:rPr>
                <w:color w:val="105C84"/>
                <w:spacing w:val="-8"/>
                <w:sz w:val="18"/>
              </w:rPr>
              <w:t> </w:t>
            </w:r>
            <w:r>
              <w:rPr>
                <w:color w:val="105C84"/>
                <w:sz w:val="18"/>
              </w:rPr>
              <w:t>URMC and Office for the Aging</w:t>
            </w:r>
          </w:p>
          <w:p>
            <w:pPr>
              <w:pStyle w:val="TableParagraph"/>
              <w:spacing w:line="232" w:lineRule="auto" w:before="86"/>
              <w:ind w:left="1244"/>
              <w:rPr>
                <w:sz w:val="18"/>
              </w:rPr>
            </w:pPr>
            <w:r>
              <w:rPr>
                <w:color w:val="105C84"/>
                <w:sz w:val="18"/>
              </w:rPr>
              <w:t>Increased</w:t>
            </w:r>
            <w:r>
              <w:rPr>
                <w:color w:val="105C84"/>
                <w:spacing w:val="-5"/>
                <w:sz w:val="18"/>
              </w:rPr>
              <w:t> </w:t>
            </w:r>
            <w:r>
              <w:rPr>
                <w:color w:val="105C84"/>
                <w:sz w:val="18"/>
              </w:rPr>
              <w:t>ability</w:t>
            </w:r>
            <w:r>
              <w:rPr>
                <w:color w:val="105C84"/>
                <w:spacing w:val="-5"/>
                <w:sz w:val="18"/>
              </w:rPr>
              <w:t> </w:t>
            </w:r>
            <w:r>
              <w:rPr>
                <w:color w:val="105C84"/>
                <w:sz w:val="18"/>
              </w:rPr>
              <w:t>of</w:t>
            </w:r>
            <w:r>
              <w:rPr>
                <w:color w:val="105C84"/>
                <w:spacing w:val="-5"/>
                <w:sz w:val="18"/>
              </w:rPr>
              <w:t> </w:t>
            </w:r>
            <w:r>
              <w:rPr>
                <w:color w:val="105C84"/>
                <w:sz w:val="18"/>
              </w:rPr>
              <w:t>participants</w:t>
            </w:r>
            <w:r>
              <w:rPr>
                <w:color w:val="105C84"/>
                <w:spacing w:val="-5"/>
                <w:sz w:val="18"/>
              </w:rPr>
              <w:t> </w:t>
            </w:r>
            <w:r>
              <w:rPr>
                <w:color w:val="105C84"/>
                <w:sz w:val="18"/>
              </w:rPr>
              <w:t>to</w:t>
            </w:r>
            <w:r>
              <w:rPr>
                <w:color w:val="105C84"/>
                <w:spacing w:val="-5"/>
                <w:sz w:val="18"/>
              </w:rPr>
              <w:t> </w:t>
            </w:r>
            <w:r>
              <w:rPr>
                <w:color w:val="105C84"/>
                <w:sz w:val="18"/>
              </w:rPr>
              <w:t>self-manage their health condition</w:t>
            </w:r>
          </w:p>
          <w:p>
            <w:pPr>
              <w:pStyle w:val="TableParagraph"/>
              <w:spacing w:line="203" w:lineRule="exact" w:before="84"/>
              <w:ind w:left="1244"/>
              <w:rPr>
                <w:sz w:val="18"/>
              </w:rPr>
            </w:pPr>
            <w:r>
              <w:rPr>
                <w:color w:val="105C84"/>
                <w:spacing w:val="-4"/>
                <w:sz w:val="18"/>
              </w:rPr>
              <w:t>(Baseline:</w:t>
            </w:r>
            <w:r>
              <w:rPr>
                <w:color w:val="105C84"/>
                <w:spacing w:val="-3"/>
                <w:sz w:val="18"/>
              </w:rPr>
              <w:t> </w:t>
            </w:r>
            <w:r>
              <w:rPr>
                <w:color w:val="105C84"/>
                <w:spacing w:val="-4"/>
                <w:sz w:val="18"/>
              </w:rPr>
              <w:t>Living</w:t>
            </w:r>
            <w:r>
              <w:rPr>
                <w:color w:val="105C84"/>
                <w:spacing w:val="-3"/>
                <w:sz w:val="18"/>
              </w:rPr>
              <w:t> </w:t>
            </w:r>
            <w:r>
              <w:rPr>
                <w:color w:val="105C84"/>
                <w:spacing w:val="-4"/>
                <w:sz w:val="18"/>
              </w:rPr>
              <w:t>Healthy</w:t>
            </w:r>
            <w:r>
              <w:rPr>
                <w:color w:val="105C84"/>
                <w:spacing w:val="-2"/>
                <w:sz w:val="18"/>
              </w:rPr>
              <w:t> </w:t>
            </w:r>
            <w:r>
              <w:rPr>
                <w:color w:val="105C84"/>
                <w:spacing w:val="-4"/>
                <w:sz w:val="18"/>
              </w:rPr>
              <w:t>2018:4</w:t>
            </w:r>
            <w:r>
              <w:rPr>
                <w:color w:val="105C84"/>
                <w:spacing w:val="-3"/>
                <w:sz w:val="18"/>
              </w:rPr>
              <w:t> </w:t>
            </w:r>
            <w:r>
              <w:rPr>
                <w:color w:val="105C84"/>
                <w:spacing w:val="-4"/>
                <w:sz w:val="18"/>
              </w:rPr>
              <w:t>classes:</w:t>
            </w:r>
            <w:r>
              <w:rPr>
                <w:color w:val="105C84"/>
                <w:spacing w:val="-2"/>
                <w:sz w:val="18"/>
              </w:rPr>
              <w:t> </w:t>
            </w:r>
            <w:r>
              <w:rPr>
                <w:color w:val="105C84"/>
                <w:spacing w:val="-10"/>
                <w:sz w:val="18"/>
              </w:rPr>
              <w:t>2</w:t>
            </w:r>
          </w:p>
          <w:p>
            <w:pPr>
              <w:pStyle w:val="TableParagraph"/>
              <w:spacing w:line="203" w:lineRule="exact"/>
              <w:ind w:left="1244"/>
              <w:rPr>
                <w:sz w:val="18"/>
              </w:rPr>
            </w:pPr>
            <w:r>
              <w:rPr>
                <w:color w:val="105C84"/>
                <w:spacing w:val="-10"/>
                <w:sz w:val="18"/>
              </w:rPr>
              <w:t>CDSMP,</w:t>
            </w:r>
            <w:r>
              <w:rPr>
                <w:color w:val="105C84"/>
                <w:sz w:val="18"/>
              </w:rPr>
              <w:t> </w:t>
            </w:r>
            <w:r>
              <w:rPr>
                <w:color w:val="105C84"/>
                <w:spacing w:val="-10"/>
                <w:sz w:val="18"/>
              </w:rPr>
              <w:t>1</w:t>
            </w:r>
            <w:r>
              <w:rPr>
                <w:color w:val="105C84"/>
                <w:sz w:val="18"/>
              </w:rPr>
              <w:t> </w:t>
            </w:r>
            <w:r>
              <w:rPr>
                <w:color w:val="105C84"/>
                <w:spacing w:val="-10"/>
                <w:sz w:val="18"/>
              </w:rPr>
              <w:t>CPSMP,</w:t>
            </w:r>
            <w:r>
              <w:rPr>
                <w:color w:val="105C84"/>
                <w:sz w:val="18"/>
              </w:rPr>
              <w:t> </w:t>
            </w:r>
            <w:r>
              <w:rPr>
                <w:color w:val="105C84"/>
                <w:spacing w:val="-10"/>
                <w:sz w:val="18"/>
              </w:rPr>
              <w:t>and</w:t>
            </w:r>
            <w:r>
              <w:rPr>
                <w:color w:val="105C84"/>
                <w:sz w:val="18"/>
              </w:rPr>
              <w:t> </w:t>
            </w:r>
            <w:r>
              <w:rPr>
                <w:color w:val="105C84"/>
                <w:spacing w:val="-10"/>
                <w:sz w:val="18"/>
              </w:rPr>
              <w:t>1</w:t>
            </w:r>
            <w:r>
              <w:rPr>
                <w:color w:val="105C84"/>
                <w:sz w:val="18"/>
              </w:rPr>
              <w:t> </w:t>
            </w:r>
            <w:r>
              <w:rPr>
                <w:color w:val="105C84"/>
                <w:spacing w:val="-10"/>
                <w:sz w:val="18"/>
              </w:rPr>
              <w:t>DSMP</w:t>
            </w:r>
          </w:p>
          <w:p>
            <w:pPr>
              <w:pStyle w:val="TableParagraph"/>
              <w:spacing w:line="232" w:lineRule="auto" w:before="88"/>
              <w:ind w:left="1244"/>
              <w:rPr>
                <w:sz w:val="18"/>
              </w:rPr>
            </w:pPr>
            <w:r>
              <w:rPr>
                <w:color w:val="105C84"/>
                <w:sz w:val="18"/>
              </w:rPr>
              <w:t>Total</w:t>
            </w:r>
            <w:r>
              <w:rPr>
                <w:color w:val="105C84"/>
                <w:spacing w:val="-8"/>
                <w:sz w:val="18"/>
              </w:rPr>
              <w:t> </w:t>
            </w:r>
            <w:r>
              <w:rPr>
                <w:color w:val="105C84"/>
                <w:sz w:val="18"/>
              </w:rPr>
              <w:t>of</w:t>
            </w:r>
            <w:r>
              <w:rPr>
                <w:color w:val="105C84"/>
                <w:spacing w:val="-8"/>
                <w:sz w:val="18"/>
              </w:rPr>
              <w:t> </w:t>
            </w:r>
            <w:r>
              <w:rPr>
                <w:color w:val="105C84"/>
                <w:sz w:val="18"/>
              </w:rPr>
              <w:t>41</w:t>
            </w:r>
            <w:r>
              <w:rPr>
                <w:color w:val="105C84"/>
                <w:spacing w:val="-8"/>
                <w:sz w:val="18"/>
              </w:rPr>
              <w:t> </w:t>
            </w:r>
            <w:r>
              <w:rPr>
                <w:color w:val="105C84"/>
                <w:sz w:val="18"/>
              </w:rPr>
              <w:t>participants</w:t>
            </w:r>
            <w:r>
              <w:rPr>
                <w:color w:val="105C84"/>
                <w:spacing w:val="-8"/>
                <w:sz w:val="18"/>
              </w:rPr>
              <w:t> </w:t>
            </w:r>
            <w:r>
              <w:rPr>
                <w:color w:val="105C84"/>
                <w:sz w:val="18"/>
              </w:rPr>
              <w:t>enrolled</w:t>
            </w:r>
            <w:r>
              <w:rPr>
                <w:color w:val="105C84"/>
                <w:spacing w:val="-8"/>
                <w:sz w:val="18"/>
              </w:rPr>
              <w:t> </w:t>
            </w:r>
            <w:r>
              <w:rPr>
                <w:color w:val="105C84"/>
                <w:sz w:val="18"/>
              </w:rPr>
              <w:t>and</w:t>
            </w:r>
            <w:r>
              <w:rPr>
                <w:color w:val="105C84"/>
                <w:spacing w:val="-8"/>
                <w:sz w:val="18"/>
              </w:rPr>
              <w:t> </w:t>
            </w:r>
            <w:r>
              <w:rPr>
                <w:color w:val="105C84"/>
                <w:sz w:val="18"/>
              </w:rPr>
              <w:t>32 completed (78%)-UR Med Noyes</w:t>
            </w:r>
          </w:p>
          <w:p>
            <w:pPr>
              <w:pStyle w:val="TableParagraph"/>
              <w:spacing w:line="232" w:lineRule="auto" w:before="88"/>
              <w:ind w:left="1244" w:right="115"/>
              <w:rPr>
                <w:sz w:val="18"/>
              </w:rPr>
            </w:pPr>
            <w:r>
              <w:rPr>
                <w:color w:val="105C84"/>
                <w:sz w:val="18"/>
              </w:rPr>
              <w:t>(Baseline: Diabetes Ed - 336 Individual Visits,</w:t>
            </w:r>
            <w:r>
              <w:rPr>
                <w:color w:val="105C84"/>
                <w:spacing w:val="-9"/>
                <w:sz w:val="18"/>
              </w:rPr>
              <w:t> </w:t>
            </w:r>
            <w:r>
              <w:rPr>
                <w:color w:val="105C84"/>
                <w:sz w:val="18"/>
              </w:rPr>
              <w:t>12</w:t>
            </w:r>
            <w:r>
              <w:rPr>
                <w:color w:val="105C84"/>
                <w:spacing w:val="-9"/>
                <w:sz w:val="18"/>
              </w:rPr>
              <w:t> </w:t>
            </w:r>
            <w:r>
              <w:rPr>
                <w:color w:val="105C84"/>
                <w:sz w:val="18"/>
              </w:rPr>
              <w:t>Insulin</w:t>
            </w:r>
            <w:r>
              <w:rPr>
                <w:color w:val="105C84"/>
                <w:spacing w:val="-9"/>
                <w:sz w:val="18"/>
              </w:rPr>
              <w:t> </w:t>
            </w:r>
            <w:r>
              <w:rPr>
                <w:color w:val="105C84"/>
                <w:sz w:val="18"/>
              </w:rPr>
              <w:t>Pump</w:t>
            </w:r>
            <w:r>
              <w:rPr>
                <w:color w:val="105C84"/>
                <w:spacing w:val="-9"/>
                <w:sz w:val="18"/>
              </w:rPr>
              <w:t> </w:t>
            </w:r>
            <w:r>
              <w:rPr>
                <w:color w:val="105C84"/>
                <w:sz w:val="18"/>
              </w:rPr>
              <w:t>Starts,</w:t>
            </w:r>
            <w:r>
              <w:rPr>
                <w:color w:val="105C84"/>
                <w:spacing w:val="-9"/>
                <w:sz w:val="18"/>
              </w:rPr>
              <w:t> </w:t>
            </w:r>
            <w:r>
              <w:rPr>
                <w:color w:val="105C84"/>
                <w:sz w:val="18"/>
              </w:rPr>
              <w:t>7</w:t>
            </w:r>
            <w:r>
              <w:rPr>
                <w:color w:val="105C84"/>
                <w:spacing w:val="-9"/>
                <w:sz w:val="18"/>
              </w:rPr>
              <w:t> </w:t>
            </w:r>
            <w:r>
              <w:rPr>
                <w:color w:val="105C84"/>
                <w:sz w:val="18"/>
              </w:rPr>
              <w:t>Continuous Glucose</w:t>
            </w:r>
            <w:r>
              <w:rPr>
                <w:color w:val="105C84"/>
                <w:spacing w:val="-8"/>
                <w:sz w:val="18"/>
              </w:rPr>
              <w:t> </w:t>
            </w:r>
            <w:r>
              <w:rPr>
                <w:color w:val="105C84"/>
                <w:sz w:val="18"/>
              </w:rPr>
              <w:t>Monitoring</w:t>
            </w:r>
            <w:r>
              <w:rPr>
                <w:color w:val="105C84"/>
                <w:spacing w:val="-8"/>
                <w:sz w:val="18"/>
              </w:rPr>
              <w:t> </w:t>
            </w:r>
            <w:r>
              <w:rPr>
                <w:color w:val="105C84"/>
                <w:sz w:val="18"/>
              </w:rPr>
              <w:t>Screening,</w:t>
            </w:r>
            <w:r>
              <w:rPr>
                <w:color w:val="105C84"/>
                <w:spacing w:val="-8"/>
                <w:sz w:val="18"/>
              </w:rPr>
              <w:t> </w:t>
            </w:r>
            <w:r>
              <w:rPr>
                <w:color w:val="105C84"/>
                <w:sz w:val="18"/>
              </w:rPr>
              <w:t>49%</w:t>
            </w:r>
            <w:r>
              <w:rPr>
                <w:color w:val="105C84"/>
                <w:spacing w:val="-8"/>
                <w:sz w:val="18"/>
              </w:rPr>
              <w:t> </w:t>
            </w:r>
            <w:r>
              <w:rPr>
                <w:color w:val="105C84"/>
                <w:sz w:val="18"/>
              </w:rPr>
              <w:t>Weight loss range was 2-70 lbs UR Med. UR Med Noyes Diabetes)</w:t>
            </w:r>
          </w:p>
        </w:tc>
        <w:tc>
          <w:tcPr>
            <w:tcW w:w="2319" w:type="dxa"/>
            <w:tcBorders>
              <w:bottom w:val="nil"/>
            </w:tcBorders>
          </w:tcPr>
          <w:p>
            <w:pPr>
              <w:pStyle w:val="TableParagraph"/>
              <w:spacing w:line="232" w:lineRule="auto" w:before="99"/>
              <w:ind w:left="87" w:right="591"/>
              <w:rPr>
                <w:sz w:val="18"/>
              </w:rPr>
            </w:pPr>
            <w:r>
              <w:rPr>
                <w:color w:val="105C84"/>
                <w:sz w:val="18"/>
              </w:rPr>
              <w:t>UR Med Noyes GVHP/Be Well Office for the </w:t>
            </w:r>
            <w:r>
              <w:rPr>
                <w:color w:val="105C84"/>
                <w:sz w:val="18"/>
              </w:rPr>
              <w:t>Aging</w:t>
            </w:r>
          </w:p>
        </w:tc>
        <w:tc>
          <w:tcPr>
            <w:tcW w:w="2305" w:type="dxa"/>
            <w:tcBorders>
              <w:bottom w:val="nil"/>
            </w:tcBorders>
          </w:tcPr>
          <w:p>
            <w:pPr>
              <w:pStyle w:val="TableParagraph"/>
              <w:spacing w:line="232" w:lineRule="auto" w:before="99"/>
              <w:ind w:left="86"/>
              <w:rPr>
                <w:sz w:val="18"/>
              </w:rPr>
            </w:pPr>
            <w:r>
              <w:rPr>
                <w:color w:val="105C84"/>
                <w:sz w:val="18"/>
              </w:rPr>
              <w:t>UR</w:t>
            </w:r>
            <w:r>
              <w:rPr>
                <w:color w:val="105C84"/>
                <w:spacing w:val="-9"/>
                <w:sz w:val="18"/>
              </w:rPr>
              <w:t> </w:t>
            </w:r>
            <w:r>
              <w:rPr>
                <w:color w:val="105C84"/>
                <w:sz w:val="18"/>
              </w:rPr>
              <w:t>Med</w:t>
            </w:r>
            <w:r>
              <w:rPr>
                <w:color w:val="105C84"/>
                <w:spacing w:val="-9"/>
                <w:sz w:val="18"/>
              </w:rPr>
              <w:t> </w:t>
            </w:r>
            <w:r>
              <w:rPr>
                <w:color w:val="105C84"/>
                <w:sz w:val="18"/>
              </w:rPr>
              <w:t>Noyes</w:t>
            </w:r>
            <w:r>
              <w:rPr>
                <w:color w:val="105C84"/>
                <w:spacing w:val="-9"/>
                <w:sz w:val="18"/>
              </w:rPr>
              <w:t> </w:t>
            </w:r>
            <w:r>
              <w:rPr>
                <w:color w:val="105C84"/>
                <w:sz w:val="18"/>
              </w:rPr>
              <w:t>to</w:t>
            </w:r>
            <w:r>
              <w:rPr>
                <w:color w:val="105C84"/>
                <w:spacing w:val="-9"/>
                <w:sz w:val="18"/>
              </w:rPr>
              <w:t> </w:t>
            </w:r>
            <w:r>
              <w:rPr>
                <w:color w:val="105C84"/>
                <w:sz w:val="18"/>
              </w:rPr>
              <w:t>offer </w:t>
            </w:r>
            <w:r>
              <w:rPr>
                <w:color w:val="105C84"/>
                <w:spacing w:val="-2"/>
                <w:sz w:val="18"/>
              </w:rPr>
              <w:t>classes</w:t>
            </w:r>
          </w:p>
          <w:p>
            <w:pPr>
              <w:pStyle w:val="TableParagraph"/>
              <w:spacing w:before="84"/>
              <w:ind w:left="86"/>
              <w:rPr>
                <w:sz w:val="18"/>
              </w:rPr>
            </w:pPr>
            <w:r>
              <w:rPr>
                <w:color w:val="105C84"/>
                <w:w w:val="90"/>
                <w:sz w:val="18"/>
              </w:rPr>
              <w:t>FTEs-</w:t>
            </w:r>
            <w:r>
              <w:rPr>
                <w:color w:val="105C84"/>
                <w:sz w:val="18"/>
              </w:rPr>
              <w:t> </w:t>
            </w:r>
            <w:r>
              <w:rPr>
                <w:color w:val="105C84"/>
                <w:spacing w:val="-5"/>
                <w:sz w:val="18"/>
              </w:rPr>
              <w:t>.5</w:t>
            </w:r>
          </w:p>
          <w:p>
            <w:pPr>
              <w:pStyle w:val="TableParagraph"/>
              <w:spacing w:line="232" w:lineRule="auto" w:before="88"/>
              <w:ind w:left="86"/>
              <w:rPr>
                <w:sz w:val="18"/>
              </w:rPr>
            </w:pPr>
            <w:r>
              <w:rPr>
                <w:color w:val="105C84"/>
                <w:spacing w:val="-2"/>
                <w:sz w:val="18"/>
              </w:rPr>
              <w:t>$3,500</w:t>
            </w:r>
            <w:r>
              <w:rPr>
                <w:color w:val="105C84"/>
                <w:spacing w:val="-10"/>
                <w:sz w:val="18"/>
              </w:rPr>
              <w:t> </w:t>
            </w:r>
            <w:r>
              <w:rPr>
                <w:color w:val="105C84"/>
                <w:spacing w:val="-2"/>
                <w:sz w:val="18"/>
              </w:rPr>
              <w:t>for</w:t>
            </w:r>
            <w:r>
              <w:rPr>
                <w:color w:val="105C84"/>
                <w:spacing w:val="-10"/>
                <w:sz w:val="18"/>
              </w:rPr>
              <w:t> </w:t>
            </w:r>
            <w:r>
              <w:rPr>
                <w:color w:val="105C84"/>
                <w:spacing w:val="-2"/>
                <w:sz w:val="18"/>
              </w:rPr>
              <w:t>Living</w:t>
            </w:r>
            <w:r>
              <w:rPr>
                <w:color w:val="105C84"/>
                <w:spacing w:val="-10"/>
                <w:sz w:val="18"/>
              </w:rPr>
              <w:t> </w:t>
            </w:r>
            <w:r>
              <w:rPr>
                <w:color w:val="105C84"/>
                <w:spacing w:val="-2"/>
                <w:sz w:val="18"/>
              </w:rPr>
              <w:t>Healthy classes</w:t>
            </w:r>
          </w:p>
          <w:p>
            <w:pPr>
              <w:pStyle w:val="TableParagraph"/>
              <w:spacing w:line="232" w:lineRule="auto" w:before="88"/>
              <w:ind w:left="86" w:right="67"/>
              <w:rPr>
                <w:sz w:val="18"/>
              </w:rPr>
            </w:pPr>
            <w:r>
              <w:rPr>
                <w:color w:val="105C84"/>
                <w:sz w:val="18"/>
              </w:rPr>
              <w:t>Be Well/GVHP to assist with community linkage and</w:t>
            </w:r>
            <w:r>
              <w:rPr>
                <w:color w:val="105C84"/>
                <w:spacing w:val="-13"/>
                <w:sz w:val="18"/>
              </w:rPr>
              <w:t> </w:t>
            </w:r>
            <w:r>
              <w:rPr>
                <w:color w:val="105C84"/>
                <w:sz w:val="18"/>
              </w:rPr>
              <w:t>promotion</w:t>
            </w:r>
            <w:r>
              <w:rPr>
                <w:color w:val="105C84"/>
                <w:spacing w:val="-12"/>
                <w:sz w:val="18"/>
              </w:rPr>
              <w:t> </w:t>
            </w:r>
            <w:r>
              <w:rPr>
                <w:color w:val="105C84"/>
                <w:sz w:val="18"/>
              </w:rPr>
              <w:t>of</w:t>
            </w:r>
            <w:r>
              <w:rPr>
                <w:color w:val="105C84"/>
                <w:spacing w:val="-13"/>
                <w:sz w:val="18"/>
              </w:rPr>
              <w:t> </w:t>
            </w:r>
            <w:r>
              <w:rPr>
                <w:color w:val="105C84"/>
                <w:sz w:val="18"/>
              </w:rPr>
              <w:t>classes</w:t>
            </w:r>
          </w:p>
          <w:p>
            <w:pPr>
              <w:pStyle w:val="TableParagraph"/>
              <w:spacing w:line="232" w:lineRule="auto" w:before="198"/>
              <w:ind w:left="86" w:right="250"/>
              <w:rPr>
                <w:sz w:val="18"/>
              </w:rPr>
            </w:pPr>
            <w:r>
              <w:rPr>
                <w:color w:val="105C84"/>
                <w:w w:val="105"/>
                <w:sz w:val="18"/>
              </w:rPr>
              <w:t>Office for the Aging </w:t>
            </w:r>
            <w:r>
              <w:rPr>
                <w:color w:val="105C84"/>
                <w:sz w:val="18"/>
              </w:rPr>
              <w:t>offer</w:t>
            </w:r>
            <w:r>
              <w:rPr>
                <w:color w:val="105C84"/>
                <w:spacing w:val="-3"/>
                <w:sz w:val="18"/>
              </w:rPr>
              <w:t> </w:t>
            </w:r>
            <w:r>
              <w:rPr>
                <w:color w:val="105C84"/>
                <w:sz w:val="18"/>
              </w:rPr>
              <w:t>evidence</w:t>
            </w:r>
            <w:r>
              <w:rPr>
                <w:color w:val="105C84"/>
                <w:spacing w:val="-3"/>
                <w:sz w:val="18"/>
              </w:rPr>
              <w:t> </w:t>
            </w:r>
            <w:r>
              <w:rPr>
                <w:color w:val="105C84"/>
                <w:sz w:val="18"/>
              </w:rPr>
              <w:t>informed</w:t>
            </w:r>
          </w:p>
          <w:p>
            <w:pPr>
              <w:pStyle w:val="TableParagraph"/>
              <w:spacing w:line="200" w:lineRule="exact"/>
              <w:ind w:left="86"/>
              <w:rPr>
                <w:sz w:val="18"/>
              </w:rPr>
            </w:pPr>
            <w:r>
              <w:rPr>
                <w:color w:val="105C84"/>
                <w:sz w:val="18"/>
              </w:rPr>
              <w:t>programs</w:t>
            </w:r>
            <w:r>
              <w:rPr>
                <w:color w:val="105C84"/>
                <w:spacing w:val="4"/>
                <w:sz w:val="18"/>
              </w:rPr>
              <w:t> </w:t>
            </w:r>
            <w:r>
              <w:rPr>
                <w:color w:val="105C84"/>
                <w:sz w:val="18"/>
              </w:rPr>
              <w:t>(Aging</w:t>
            </w:r>
            <w:r>
              <w:rPr>
                <w:color w:val="105C84"/>
                <w:spacing w:val="4"/>
                <w:sz w:val="18"/>
              </w:rPr>
              <w:t> </w:t>
            </w:r>
            <w:r>
              <w:rPr>
                <w:color w:val="105C84"/>
                <w:spacing w:val="-2"/>
                <w:sz w:val="18"/>
              </w:rPr>
              <w:t>Mastery)</w:t>
            </w:r>
          </w:p>
        </w:tc>
        <w:tc>
          <w:tcPr>
            <w:tcW w:w="1825" w:type="dxa"/>
            <w:tcBorders>
              <w:bottom w:val="nil"/>
            </w:tcBorders>
          </w:tcPr>
          <w:p>
            <w:pPr>
              <w:pStyle w:val="TableParagraph"/>
              <w:spacing w:line="232" w:lineRule="auto" w:before="99"/>
              <w:ind w:left="85" w:right="139"/>
              <w:rPr>
                <w:sz w:val="18"/>
              </w:rPr>
            </w:pPr>
            <w:r>
              <w:rPr>
                <w:color w:val="105C84"/>
                <w:w w:val="105"/>
                <w:sz w:val="18"/>
              </w:rPr>
              <w:t>Number</w:t>
            </w:r>
            <w:r>
              <w:rPr>
                <w:color w:val="105C84"/>
                <w:spacing w:val="-1"/>
                <w:w w:val="105"/>
                <w:sz w:val="18"/>
              </w:rPr>
              <w:t> </w:t>
            </w:r>
            <w:r>
              <w:rPr>
                <w:color w:val="105C84"/>
                <w:w w:val="105"/>
                <w:sz w:val="18"/>
              </w:rPr>
              <w:t>of </w:t>
            </w:r>
            <w:r>
              <w:rPr>
                <w:color w:val="105C84"/>
                <w:spacing w:val="-2"/>
                <w:sz w:val="18"/>
              </w:rPr>
              <w:t>participants </w:t>
            </w:r>
            <w:r>
              <w:rPr>
                <w:color w:val="105C84"/>
                <w:spacing w:val="-2"/>
                <w:w w:val="105"/>
                <w:sz w:val="18"/>
              </w:rPr>
              <w:t>completing</w:t>
            </w:r>
          </w:p>
          <w:p>
            <w:pPr>
              <w:pStyle w:val="TableParagraph"/>
              <w:spacing w:line="232" w:lineRule="auto" w:before="198"/>
              <w:ind w:left="85" w:right="119"/>
              <w:rPr>
                <w:sz w:val="18"/>
              </w:rPr>
            </w:pPr>
            <w:r>
              <w:rPr>
                <w:color w:val="105C84"/>
                <w:sz w:val="18"/>
              </w:rPr>
              <w:t>Minimum of 60%</w:t>
            </w:r>
            <w:r>
              <w:rPr>
                <w:color w:val="105C84"/>
                <w:spacing w:val="40"/>
                <w:sz w:val="18"/>
              </w:rPr>
              <w:t> </w:t>
            </w:r>
            <w:r>
              <w:rPr>
                <w:color w:val="105C84"/>
                <w:sz w:val="18"/>
              </w:rPr>
              <w:t>will</w:t>
            </w:r>
            <w:r>
              <w:rPr>
                <w:color w:val="105C84"/>
                <w:spacing w:val="-15"/>
                <w:sz w:val="18"/>
              </w:rPr>
              <w:t> </w:t>
            </w:r>
            <w:r>
              <w:rPr>
                <w:color w:val="105C84"/>
                <w:sz w:val="18"/>
              </w:rPr>
              <w:t>report</w:t>
            </w:r>
            <w:r>
              <w:rPr>
                <w:color w:val="105C84"/>
                <w:spacing w:val="-12"/>
                <w:sz w:val="18"/>
              </w:rPr>
              <w:t> </w:t>
            </w:r>
            <w:r>
              <w:rPr>
                <w:color w:val="105C84"/>
                <w:sz w:val="18"/>
              </w:rPr>
              <w:t>increased ability to self-manage</w:t>
            </w:r>
            <w:r>
              <w:rPr>
                <w:color w:val="105C84"/>
                <w:spacing w:val="-9"/>
                <w:sz w:val="18"/>
              </w:rPr>
              <w:t> </w:t>
            </w:r>
            <w:r>
              <w:rPr>
                <w:color w:val="105C84"/>
                <w:sz w:val="18"/>
              </w:rPr>
              <w:t>their</w:t>
            </w:r>
            <w:r>
              <w:rPr>
                <w:color w:val="105C84"/>
                <w:spacing w:val="-9"/>
                <w:sz w:val="18"/>
              </w:rPr>
              <w:t> </w:t>
            </w:r>
            <w:r>
              <w:rPr>
                <w:color w:val="105C84"/>
                <w:sz w:val="18"/>
              </w:rPr>
              <w:t>health condition/ year</w:t>
            </w:r>
          </w:p>
          <w:p>
            <w:pPr>
              <w:pStyle w:val="TableParagraph"/>
              <w:spacing w:line="232" w:lineRule="auto" w:before="86"/>
              <w:ind w:left="85" w:right="592"/>
              <w:rPr>
                <w:sz w:val="18"/>
              </w:rPr>
            </w:pPr>
            <w:r>
              <w:rPr>
                <w:color w:val="105C84"/>
                <w:sz w:val="18"/>
              </w:rPr>
              <w:t>Number of </w:t>
            </w:r>
            <w:r>
              <w:rPr>
                <w:color w:val="105C84"/>
                <w:spacing w:val="-2"/>
                <w:sz w:val="18"/>
              </w:rPr>
              <w:t>participants completing </w:t>
            </w:r>
            <w:r>
              <w:rPr>
                <w:color w:val="105C84"/>
                <w:sz w:val="18"/>
              </w:rPr>
              <w:t>Healthy</w:t>
            </w:r>
            <w:r>
              <w:rPr>
                <w:color w:val="105C84"/>
                <w:spacing w:val="-13"/>
                <w:sz w:val="18"/>
              </w:rPr>
              <w:t> </w:t>
            </w:r>
            <w:r>
              <w:rPr>
                <w:color w:val="105C84"/>
                <w:sz w:val="18"/>
              </w:rPr>
              <w:t>Living</w:t>
            </w:r>
          </w:p>
        </w:tc>
      </w:tr>
      <w:tr>
        <w:trPr>
          <w:trHeight w:val="870" w:hRule="atLeast"/>
        </w:trPr>
        <w:tc>
          <w:tcPr>
            <w:tcW w:w="1008" w:type="dxa"/>
            <w:tcBorders>
              <w:top w:val="nil"/>
              <w:bottom w:val="nil"/>
            </w:tcBorders>
            <w:shd w:val="clear" w:color="auto" w:fill="E6E7E8"/>
          </w:tcPr>
          <w:p>
            <w:pPr>
              <w:pStyle w:val="TableParagraph"/>
              <w:rPr>
                <w:rFonts w:ascii="Times New Roman"/>
                <w:sz w:val="18"/>
              </w:rPr>
            </w:pPr>
          </w:p>
        </w:tc>
        <w:tc>
          <w:tcPr>
            <w:tcW w:w="1318" w:type="dxa"/>
            <w:tcBorders>
              <w:top w:val="nil"/>
              <w:bottom w:val="nil"/>
            </w:tcBorders>
          </w:tcPr>
          <w:p>
            <w:pPr>
              <w:pStyle w:val="TableParagraph"/>
              <w:rPr>
                <w:rFonts w:ascii="Times New Roman"/>
                <w:sz w:val="18"/>
              </w:rPr>
            </w:pPr>
          </w:p>
        </w:tc>
        <w:tc>
          <w:tcPr>
            <w:tcW w:w="1620" w:type="dxa"/>
            <w:tcBorders>
              <w:top w:val="nil"/>
              <w:bottom w:val="nil"/>
            </w:tcBorders>
          </w:tcPr>
          <w:p>
            <w:pPr>
              <w:pStyle w:val="TableParagraph"/>
              <w:rPr>
                <w:rFonts w:ascii="Times New Roman"/>
                <w:sz w:val="18"/>
              </w:rPr>
            </w:pPr>
          </w:p>
        </w:tc>
        <w:tc>
          <w:tcPr>
            <w:tcW w:w="2304" w:type="dxa"/>
            <w:tcBorders>
              <w:top w:val="nil"/>
              <w:bottom w:val="nil"/>
            </w:tcBorders>
          </w:tcPr>
          <w:p>
            <w:pPr>
              <w:pStyle w:val="TableParagraph"/>
              <w:rPr>
                <w:rFonts w:ascii="Times New Roman"/>
                <w:sz w:val="18"/>
              </w:rPr>
            </w:pPr>
          </w:p>
        </w:tc>
        <w:tc>
          <w:tcPr>
            <w:tcW w:w="1253" w:type="dxa"/>
            <w:vMerge/>
            <w:tcBorders>
              <w:top w:val="nil"/>
            </w:tcBorders>
          </w:tcPr>
          <w:p>
            <w:pPr>
              <w:rPr>
                <w:sz w:val="2"/>
                <w:szCs w:val="2"/>
              </w:rPr>
            </w:pPr>
          </w:p>
        </w:tc>
        <w:tc>
          <w:tcPr>
            <w:tcW w:w="3490" w:type="dxa"/>
            <w:vMerge/>
            <w:tcBorders>
              <w:top w:val="nil"/>
              <w:bottom w:val="nil"/>
              <w:right w:val="nil"/>
            </w:tcBorders>
          </w:tcPr>
          <w:p>
            <w:pPr>
              <w:rPr>
                <w:sz w:val="2"/>
                <w:szCs w:val="2"/>
              </w:rPr>
            </w:pPr>
          </w:p>
        </w:tc>
        <w:tc>
          <w:tcPr>
            <w:tcW w:w="4878" w:type="dxa"/>
            <w:vMerge/>
            <w:tcBorders>
              <w:top w:val="nil"/>
              <w:left w:val="nil"/>
              <w:bottom w:val="nil"/>
            </w:tcBorders>
          </w:tcPr>
          <w:p>
            <w:pPr>
              <w:rPr>
                <w:sz w:val="2"/>
                <w:szCs w:val="2"/>
              </w:rPr>
            </w:pPr>
          </w:p>
        </w:tc>
        <w:tc>
          <w:tcPr>
            <w:tcW w:w="2319" w:type="dxa"/>
            <w:tcBorders>
              <w:top w:val="nil"/>
              <w:bottom w:val="nil"/>
            </w:tcBorders>
          </w:tcPr>
          <w:p>
            <w:pPr>
              <w:pStyle w:val="TableParagraph"/>
              <w:rPr>
                <w:rFonts w:ascii="Times New Roman"/>
                <w:sz w:val="18"/>
              </w:rPr>
            </w:pPr>
          </w:p>
        </w:tc>
        <w:tc>
          <w:tcPr>
            <w:tcW w:w="2305" w:type="dxa"/>
            <w:tcBorders>
              <w:top w:val="nil"/>
              <w:bottom w:val="nil"/>
            </w:tcBorders>
          </w:tcPr>
          <w:p>
            <w:pPr>
              <w:pStyle w:val="TableParagraph"/>
              <w:spacing w:before="118"/>
              <w:ind w:left="86"/>
              <w:rPr>
                <w:sz w:val="18"/>
              </w:rPr>
            </w:pPr>
            <w:r>
              <w:rPr>
                <w:color w:val="105C84"/>
                <w:spacing w:val="-2"/>
                <w:sz w:val="18"/>
              </w:rPr>
              <w:t>URMC</w:t>
            </w:r>
            <w:r>
              <w:rPr>
                <w:color w:val="105C84"/>
                <w:spacing w:val="-5"/>
                <w:sz w:val="18"/>
              </w:rPr>
              <w:t> </w:t>
            </w:r>
            <w:r>
              <w:rPr>
                <w:color w:val="105C84"/>
                <w:spacing w:val="-2"/>
                <w:sz w:val="18"/>
              </w:rPr>
              <w:t>offer</w:t>
            </w:r>
            <w:r>
              <w:rPr>
                <w:color w:val="105C84"/>
                <w:spacing w:val="-5"/>
                <w:sz w:val="18"/>
              </w:rPr>
              <w:t> </w:t>
            </w:r>
            <w:r>
              <w:rPr>
                <w:color w:val="105C84"/>
                <w:spacing w:val="-2"/>
                <w:sz w:val="18"/>
              </w:rPr>
              <w:t>classes</w:t>
            </w:r>
          </w:p>
          <w:p>
            <w:pPr>
              <w:pStyle w:val="TableParagraph"/>
              <w:spacing w:line="232" w:lineRule="auto" w:before="88"/>
              <w:ind w:left="86"/>
              <w:rPr>
                <w:sz w:val="18"/>
              </w:rPr>
            </w:pPr>
            <w:r>
              <w:rPr>
                <w:color w:val="105C84"/>
                <w:spacing w:val="-2"/>
                <w:sz w:val="18"/>
              </w:rPr>
              <w:t>$1,500</w:t>
            </w:r>
            <w:r>
              <w:rPr>
                <w:color w:val="105C84"/>
                <w:spacing w:val="-10"/>
                <w:sz w:val="18"/>
              </w:rPr>
              <w:t> </w:t>
            </w:r>
            <w:r>
              <w:rPr>
                <w:color w:val="105C84"/>
                <w:spacing w:val="-2"/>
                <w:sz w:val="18"/>
              </w:rPr>
              <w:t>for</w:t>
            </w:r>
            <w:r>
              <w:rPr>
                <w:color w:val="105C84"/>
                <w:spacing w:val="-10"/>
                <w:sz w:val="18"/>
              </w:rPr>
              <w:t> </w:t>
            </w:r>
            <w:r>
              <w:rPr>
                <w:color w:val="105C84"/>
                <w:spacing w:val="-2"/>
                <w:sz w:val="18"/>
              </w:rPr>
              <w:t>Healthy</w:t>
            </w:r>
            <w:r>
              <w:rPr>
                <w:color w:val="105C84"/>
                <w:spacing w:val="-10"/>
                <w:sz w:val="18"/>
              </w:rPr>
              <w:t> </w:t>
            </w:r>
            <w:r>
              <w:rPr>
                <w:color w:val="105C84"/>
                <w:spacing w:val="-2"/>
                <w:sz w:val="18"/>
              </w:rPr>
              <w:t>Living classes</w:t>
            </w:r>
          </w:p>
        </w:tc>
        <w:tc>
          <w:tcPr>
            <w:tcW w:w="1825" w:type="dxa"/>
            <w:tcBorders>
              <w:top w:val="nil"/>
              <w:bottom w:val="nil"/>
            </w:tcBorders>
          </w:tcPr>
          <w:p>
            <w:pPr>
              <w:pStyle w:val="TableParagraph"/>
              <w:spacing w:line="232" w:lineRule="auto" w:before="33"/>
              <w:ind w:left="85" w:right="139" w:firstLine="46"/>
              <w:rPr>
                <w:sz w:val="18"/>
              </w:rPr>
            </w:pPr>
            <w:r>
              <w:rPr>
                <w:color w:val="105C84"/>
                <w:sz w:val="18"/>
              </w:rPr>
              <w:t>Minimum</w:t>
            </w:r>
            <w:r>
              <w:rPr>
                <w:color w:val="105C84"/>
                <w:spacing w:val="-15"/>
                <w:sz w:val="18"/>
              </w:rPr>
              <w:t> </w:t>
            </w:r>
            <w:r>
              <w:rPr>
                <w:color w:val="105C84"/>
                <w:sz w:val="18"/>
              </w:rPr>
              <w:t>of</w:t>
            </w:r>
            <w:r>
              <w:rPr>
                <w:color w:val="105C84"/>
                <w:spacing w:val="-12"/>
                <w:sz w:val="18"/>
              </w:rPr>
              <w:t> </w:t>
            </w:r>
            <w:r>
              <w:rPr>
                <w:color w:val="105C84"/>
                <w:sz w:val="18"/>
              </w:rPr>
              <w:t>25% with increased physical activity </w:t>
            </w:r>
            <w:r>
              <w:rPr>
                <w:color w:val="105C84"/>
                <w:spacing w:val="-2"/>
                <w:sz w:val="18"/>
              </w:rPr>
              <w:t>level</w:t>
            </w:r>
          </w:p>
        </w:tc>
      </w:tr>
      <w:tr>
        <w:trPr>
          <w:trHeight w:val="880" w:hRule="atLeast"/>
        </w:trPr>
        <w:tc>
          <w:tcPr>
            <w:tcW w:w="1008" w:type="dxa"/>
            <w:vMerge w:val="restart"/>
            <w:tcBorders>
              <w:top w:val="nil"/>
            </w:tcBorders>
            <w:shd w:val="clear" w:color="auto" w:fill="E6E7E8"/>
          </w:tcPr>
          <w:p>
            <w:pPr>
              <w:pStyle w:val="TableParagraph"/>
              <w:rPr>
                <w:rFonts w:ascii="Times New Roman"/>
                <w:sz w:val="18"/>
              </w:rPr>
            </w:pPr>
          </w:p>
        </w:tc>
        <w:tc>
          <w:tcPr>
            <w:tcW w:w="1318" w:type="dxa"/>
            <w:vMerge w:val="restart"/>
            <w:tcBorders>
              <w:top w:val="nil"/>
            </w:tcBorders>
          </w:tcPr>
          <w:p>
            <w:pPr>
              <w:pStyle w:val="TableParagraph"/>
              <w:rPr>
                <w:rFonts w:ascii="Times New Roman"/>
                <w:sz w:val="18"/>
              </w:rPr>
            </w:pPr>
          </w:p>
        </w:tc>
        <w:tc>
          <w:tcPr>
            <w:tcW w:w="1620" w:type="dxa"/>
            <w:vMerge w:val="restart"/>
            <w:tcBorders>
              <w:top w:val="nil"/>
            </w:tcBorders>
          </w:tcPr>
          <w:p>
            <w:pPr>
              <w:pStyle w:val="TableParagraph"/>
              <w:rPr>
                <w:rFonts w:ascii="Times New Roman"/>
                <w:sz w:val="18"/>
              </w:rPr>
            </w:pPr>
          </w:p>
        </w:tc>
        <w:tc>
          <w:tcPr>
            <w:tcW w:w="2304" w:type="dxa"/>
            <w:vMerge w:val="restart"/>
            <w:tcBorders>
              <w:top w:val="nil"/>
            </w:tcBorders>
          </w:tcPr>
          <w:p>
            <w:pPr>
              <w:pStyle w:val="TableParagraph"/>
              <w:rPr>
                <w:rFonts w:ascii="Times New Roman"/>
                <w:sz w:val="18"/>
              </w:rPr>
            </w:pPr>
          </w:p>
        </w:tc>
        <w:tc>
          <w:tcPr>
            <w:tcW w:w="1253" w:type="dxa"/>
            <w:vMerge/>
            <w:tcBorders>
              <w:top w:val="nil"/>
            </w:tcBorders>
          </w:tcPr>
          <w:p>
            <w:pPr>
              <w:rPr>
                <w:sz w:val="2"/>
                <w:szCs w:val="2"/>
              </w:rPr>
            </w:pPr>
          </w:p>
        </w:tc>
        <w:tc>
          <w:tcPr>
            <w:tcW w:w="3490" w:type="dxa"/>
            <w:tcBorders>
              <w:top w:val="nil"/>
              <w:bottom w:val="nil"/>
              <w:right w:val="nil"/>
            </w:tcBorders>
          </w:tcPr>
          <w:p>
            <w:pPr>
              <w:pStyle w:val="TableParagraph"/>
              <w:rPr>
                <w:rFonts w:ascii="Times New Roman"/>
                <w:sz w:val="18"/>
              </w:rPr>
            </w:pPr>
          </w:p>
        </w:tc>
        <w:tc>
          <w:tcPr>
            <w:tcW w:w="4878" w:type="dxa"/>
            <w:tcBorders>
              <w:top w:val="nil"/>
              <w:left w:val="nil"/>
              <w:bottom w:val="nil"/>
            </w:tcBorders>
          </w:tcPr>
          <w:p>
            <w:pPr>
              <w:pStyle w:val="TableParagraph"/>
              <w:spacing w:line="232" w:lineRule="auto" w:before="30"/>
              <w:ind w:left="1244" w:right="115"/>
              <w:rPr>
                <w:sz w:val="18"/>
              </w:rPr>
            </w:pPr>
            <w:r>
              <w:rPr>
                <w:color w:val="105C84"/>
                <w:spacing w:val="-2"/>
                <w:sz w:val="18"/>
              </w:rPr>
              <w:t>(Baseline:</w:t>
            </w:r>
            <w:r>
              <w:rPr>
                <w:color w:val="105C84"/>
                <w:spacing w:val="-9"/>
                <w:sz w:val="18"/>
              </w:rPr>
              <w:t> </w:t>
            </w:r>
            <w:r>
              <w:rPr>
                <w:color w:val="105C84"/>
                <w:spacing w:val="-2"/>
                <w:sz w:val="18"/>
              </w:rPr>
              <w:t>Matter</w:t>
            </w:r>
            <w:r>
              <w:rPr>
                <w:color w:val="105C84"/>
                <w:spacing w:val="-9"/>
                <w:sz w:val="18"/>
              </w:rPr>
              <w:t> </w:t>
            </w:r>
            <w:r>
              <w:rPr>
                <w:color w:val="105C84"/>
                <w:spacing w:val="-2"/>
                <w:sz w:val="18"/>
              </w:rPr>
              <w:t>of</w:t>
            </w:r>
            <w:r>
              <w:rPr>
                <w:color w:val="105C84"/>
                <w:spacing w:val="-9"/>
                <w:sz w:val="18"/>
              </w:rPr>
              <w:t> </w:t>
            </w:r>
            <w:r>
              <w:rPr>
                <w:color w:val="105C84"/>
                <w:spacing w:val="-2"/>
                <w:sz w:val="18"/>
              </w:rPr>
              <w:t>Balance,</w:t>
            </w:r>
            <w:r>
              <w:rPr>
                <w:color w:val="105C84"/>
                <w:spacing w:val="-9"/>
                <w:sz w:val="18"/>
              </w:rPr>
              <w:t> </w:t>
            </w:r>
            <w:r>
              <w:rPr>
                <w:color w:val="105C84"/>
                <w:spacing w:val="-2"/>
                <w:sz w:val="18"/>
              </w:rPr>
              <w:t>5</w:t>
            </w:r>
            <w:r>
              <w:rPr>
                <w:color w:val="105C84"/>
                <w:spacing w:val="-9"/>
                <w:sz w:val="18"/>
              </w:rPr>
              <w:t> </w:t>
            </w:r>
            <w:r>
              <w:rPr>
                <w:color w:val="105C84"/>
                <w:spacing w:val="-2"/>
                <w:sz w:val="18"/>
              </w:rPr>
              <w:t>classes</w:t>
            </w:r>
            <w:r>
              <w:rPr>
                <w:color w:val="105C84"/>
                <w:spacing w:val="-9"/>
                <w:sz w:val="18"/>
              </w:rPr>
              <w:t> </w:t>
            </w:r>
            <w:r>
              <w:rPr>
                <w:color w:val="105C84"/>
                <w:spacing w:val="-2"/>
                <w:sz w:val="18"/>
              </w:rPr>
              <w:t>with </w:t>
            </w:r>
            <w:r>
              <w:rPr>
                <w:color w:val="105C84"/>
                <w:sz w:val="18"/>
              </w:rPr>
              <w:t>80 completers, Tai Chi 4 classes with 61 completers,</w:t>
            </w:r>
            <w:r>
              <w:rPr>
                <w:color w:val="105C84"/>
                <w:spacing w:val="-2"/>
                <w:sz w:val="18"/>
              </w:rPr>
              <w:t> </w:t>
            </w:r>
            <w:r>
              <w:rPr>
                <w:color w:val="105C84"/>
                <w:sz w:val="18"/>
              </w:rPr>
              <w:t>Aging</w:t>
            </w:r>
            <w:r>
              <w:rPr>
                <w:color w:val="105C84"/>
                <w:spacing w:val="-2"/>
                <w:sz w:val="18"/>
              </w:rPr>
              <w:t> </w:t>
            </w:r>
            <w:r>
              <w:rPr>
                <w:color w:val="105C84"/>
                <w:sz w:val="18"/>
              </w:rPr>
              <w:t>Mastery</w:t>
            </w:r>
            <w:r>
              <w:rPr>
                <w:color w:val="105C84"/>
                <w:spacing w:val="-2"/>
                <w:sz w:val="18"/>
              </w:rPr>
              <w:t> </w:t>
            </w:r>
            <w:r>
              <w:rPr>
                <w:color w:val="105C84"/>
                <w:sz w:val="18"/>
              </w:rPr>
              <w:t>1</w:t>
            </w:r>
            <w:r>
              <w:rPr>
                <w:color w:val="105C84"/>
                <w:spacing w:val="-2"/>
                <w:sz w:val="18"/>
              </w:rPr>
              <w:t> </w:t>
            </w:r>
            <w:r>
              <w:rPr>
                <w:color w:val="105C84"/>
                <w:sz w:val="18"/>
              </w:rPr>
              <w:t>class</w:t>
            </w:r>
            <w:r>
              <w:rPr>
                <w:color w:val="105C84"/>
                <w:spacing w:val="-2"/>
                <w:sz w:val="18"/>
              </w:rPr>
              <w:t> </w:t>
            </w:r>
            <w:r>
              <w:rPr>
                <w:color w:val="105C84"/>
                <w:sz w:val="18"/>
              </w:rPr>
              <w:t>with</w:t>
            </w:r>
            <w:r>
              <w:rPr>
                <w:color w:val="105C84"/>
                <w:spacing w:val="-2"/>
                <w:sz w:val="18"/>
              </w:rPr>
              <w:t> </w:t>
            </w:r>
            <w:r>
              <w:rPr>
                <w:color w:val="105C84"/>
                <w:sz w:val="18"/>
              </w:rPr>
              <w:t>15 </w:t>
            </w:r>
            <w:r>
              <w:rPr>
                <w:color w:val="105C84"/>
                <w:spacing w:val="-2"/>
                <w:sz w:val="18"/>
              </w:rPr>
              <w:t>completers</w:t>
            </w:r>
          </w:p>
        </w:tc>
        <w:tc>
          <w:tcPr>
            <w:tcW w:w="2319" w:type="dxa"/>
            <w:vMerge w:val="restart"/>
            <w:tcBorders>
              <w:top w:val="nil"/>
            </w:tcBorders>
          </w:tcPr>
          <w:p>
            <w:pPr>
              <w:pStyle w:val="TableParagraph"/>
              <w:rPr>
                <w:rFonts w:ascii="Times New Roman"/>
                <w:sz w:val="18"/>
              </w:rPr>
            </w:pPr>
          </w:p>
        </w:tc>
        <w:tc>
          <w:tcPr>
            <w:tcW w:w="2305" w:type="dxa"/>
            <w:tcBorders>
              <w:top w:val="nil"/>
              <w:bottom w:val="nil"/>
            </w:tcBorders>
          </w:tcPr>
          <w:p>
            <w:pPr>
              <w:pStyle w:val="TableParagraph"/>
              <w:spacing w:line="232" w:lineRule="auto" w:before="23"/>
              <w:ind w:left="86" w:right="67"/>
              <w:rPr>
                <w:sz w:val="18"/>
              </w:rPr>
            </w:pPr>
            <w:r>
              <w:rPr>
                <w:color w:val="105C84"/>
                <w:sz w:val="18"/>
              </w:rPr>
              <w:t>Be Well/GVHP to assist with community linkage and</w:t>
            </w:r>
            <w:r>
              <w:rPr>
                <w:color w:val="105C84"/>
                <w:spacing w:val="-13"/>
                <w:sz w:val="18"/>
              </w:rPr>
              <w:t> </w:t>
            </w:r>
            <w:r>
              <w:rPr>
                <w:color w:val="105C84"/>
                <w:sz w:val="18"/>
              </w:rPr>
              <w:t>promotion</w:t>
            </w:r>
            <w:r>
              <w:rPr>
                <w:color w:val="105C84"/>
                <w:spacing w:val="-12"/>
                <w:sz w:val="18"/>
              </w:rPr>
              <w:t> </w:t>
            </w:r>
            <w:r>
              <w:rPr>
                <w:color w:val="105C84"/>
                <w:sz w:val="18"/>
              </w:rPr>
              <w:t>of</w:t>
            </w:r>
            <w:r>
              <w:rPr>
                <w:color w:val="105C84"/>
                <w:spacing w:val="-13"/>
                <w:sz w:val="18"/>
              </w:rPr>
              <w:t> </w:t>
            </w:r>
            <w:r>
              <w:rPr>
                <w:color w:val="105C84"/>
                <w:sz w:val="18"/>
              </w:rPr>
              <w:t>classes</w:t>
            </w:r>
          </w:p>
        </w:tc>
        <w:tc>
          <w:tcPr>
            <w:tcW w:w="1825" w:type="dxa"/>
            <w:tcBorders>
              <w:top w:val="nil"/>
              <w:bottom w:val="nil"/>
            </w:tcBorders>
          </w:tcPr>
          <w:p>
            <w:pPr>
              <w:pStyle w:val="TableParagraph"/>
              <w:spacing w:line="232" w:lineRule="auto" w:before="43"/>
              <w:ind w:left="85" w:right="139"/>
              <w:rPr>
                <w:sz w:val="18"/>
              </w:rPr>
            </w:pPr>
            <w:r>
              <w:rPr>
                <w:color w:val="105C84"/>
                <w:sz w:val="18"/>
              </w:rPr>
              <w:t>Minimum of 25% with</w:t>
            </w:r>
            <w:r>
              <w:rPr>
                <w:color w:val="105C84"/>
                <w:spacing w:val="-15"/>
                <w:sz w:val="18"/>
              </w:rPr>
              <w:t> </w:t>
            </w:r>
            <w:r>
              <w:rPr>
                <w:color w:val="105C84"/>
                <w:sz w:val="18"/>
              </w:rPr>
              <w:t>increased</w:t>
            </w:r>
            <w:r>
              <w:rPr>
                <w:color w:val="105C84"/>
                <w:spacing w:val="-12"/>
                <w:sz w:val="18"/>
              </w:rPr>
              <w:t> </w:t>
            </w:r>
            <w:r>
              <w:rPr>
                <w:color w:val="105C84"/>
                <w:sz w:val="18"/>
              </w:rPr>
              <w:t>fruit and vegetable </w:t>
            </w:r>
            <w:r>
              <w:rPr>
                <w:color w:val="105C84"/>
                <w:spacing w:val="-2"/>
                <w:sz w:val="18"/>
              </w:rPr>
              <w:t>consumption</w:t>
            </w:r>
          </w:p>
        </w:tc>
      </w:tr>
      <w:tr>
        <w:trPr>
          <w:trHeight w:val="470" w:hRule="atLeast"/>
        </w:trPr>
        <w:tc>
          <w:tcPr>
            <w:tcW w:w="1008" w:type="dxa"/>
            <w:vMerge/>
            <w:tcBorders>
              <w:top w:val="nil"/>
            </w:tcBorders>
            <w:shd w:val="clear" w:color="auto" w:fill="E6E7E8"/>
          </w:tcPr>
          <w:p>
            <w:pPr>
              <w:rPr>
                <w:sz w:val="2"/>
                <w:szCs w:val="2"/>
              </w:rPr>
            </w:pPr>
          </w:p>
        </w:tc>
        <w:tc>
          <w:tcPr>
            <w:tcW w:w="1318" w:type="dxa"/>
            <w:vMerge/>
            <w:tcBorders>
              <w:top w:val="nil"/>
            </w:tcBorders>
          </w:tcPr>
          <w:p>
            <w:pPr>
              <w:rPr>
                <w:sz w:val="2"/>
                <w:szCs w:val="2"/>
              </w:rPr>
            </w:pPr>
          </w:p>
        </w:tc>
        <w:tc>
          <w:tcPr>
            <w:tcW w:w="1620" w:type="dxa"/>
            <w:vMerge/>
            <w:tcBorders>
              <w:top w:val="nil"/>
            </w:tcBorders>
          </w:tcPr>
          <w:p>
            <w:pPr>
              <w:rPr>
                <w:sz w:val="2"/>
                <w:szCs w:val="2"/>
              </w:rPr>
            </w:pPr>
          </w:p>
        </w:tc>
        <w:tc>
          <w:tcPr>
            <w:tcW w:w="2304" w:type="dxa"/>
            <w:vMerge/>
            <w:tcBorders>
              <w:top w:val="nil"/>
            </w:tcBorders>
          </w:tcPr>
          <w:p>
            <w:pPr>
              <w:rPr>
                <w:sz w:val="2"/>
                <w:szCs w:val="2"/>
              </w:rPr>
            </w:pPr>
          </w:p>
        </w:tc>
        <w:tc>
          <w:tcPr>
            <w:tcW w:w="1253" w:type="dxa"/>
            <w:vMerge/>
            <w:tcBorders>
              <w:top w:val="nil"/>
            </w:tcBorders>
          </w:tcPr>
          <w:p>
            <w:pPr>
              <w:rPr>
                <w:sz w:val="2"/>
                <w:szCs w:val="2"/>
              </w:rPr>
            </w:pPr>
          </w:p>
        </w:tc>
        <w:tc>
          <w:tcPr>
            <w:tcW w:w="3490" w:type="dxa"/>
            <w:tcBorders>
              <w:top w:val="nil"/>
              <w:bottom w:val="nil"/>
              <w:right w:val="nil"/>
            </w:tcBorders>
          </w:tcPr>
          <w:p>
            <w:pPr>
              <w:pStyle w:val="TableParagraph"/>
              <w:rPr>
                <w:rFonts w:ascii="Times New Roman"/>
                <w:sz w:val="18"/>
              </w:rPr>
            </w:pPr>
          </w:p>
        </w:tc>
        <w:tc>
          <w:tcPr>
            <w:tcW w:w="4878" w:type="dxa"/>
            <w:tcBorders>
              <w:top w:val="nil"/>
              <w:left w:val="nil"/>
              <w:bottom w:val="nil"/>
            </w:tcBorders>
          </w:tcPr>
          <w:p>
            <w:pPr>
              <w:pStyle w:val="TableParagraph"/>
              <w:spacing w:line="232" w:lineRule="auto" w:before="24"/>
              <w:ind w:left="1244"/>
              <w:rPr>
                <w:sz w:val="18"/>
              </w:rPr>
            </w:pPr>
            <w:r>
              <w:rPr>
                <w:color w:val="105C84"/>
                <w:sz w:val="18"/>
              </w:rPr>
              <w:t>Healthy</w:t>
            </w:r>
            <w:r>
              <w:rPr>
                <w:color w:val="105C84"/>
                <w:spacing w:val="-13"/>
                <w:sz w:val="18"/>
              </w:rPr>
              <w:t> </w:t>
            </w:r>
            <w:r>
              <w:rPr>
                <w:color w:val="105C84"/>
                <w:sz w:val="18"/>
              </w:rPr>
              <w:t>Living</w:t>
            </w:r>
            <w:r>
              <w:rPr>
                <w:color w:val="105C84"/>
                <w:spacing w:val="-12"/>
                <w:sz w:val="18"/>
              </w:rPr>
              <w:t> </w:t>
            </w:r>
            <w:r>
              <w:rPr>
                <w:color w:val="105C84"/>
                <w:sz w:val="18"/>
              </w:rPr>
              <w:t>Livingston-Increased</w:t>
            </w:r>
            <w:r>
              <w:rPr>
                <w:color w:val="105C84"/>
                <w:spacing w:val="9"/>
                <w:sz w:val="18"/>
              </w:rPr>
              <w:t> </w:t>
            </w:r>
            <w:r>
              <w:rPr>
                <w:color w:val="105C84"/>
                <w:sz w:val="18"/>
              </w:rPr>
              <w:t>physical activity level reported</w:t>
            </w:r>
          </w:p>
        </w:tc>
        <w:tc>
          <w:tcPr>
            <w:tcW w:w="2319" w:type="dxa"/>
            <w:vMerge/>
            <w:tcBorders>
              <w:top w:val="nil"/>
            </w:tcBorders>
          </w:tcPr>
          <w:p>
            <w:pPr>
              <w:rPr>
                <w:sz w:val="2"/>
                <w:szCs w:val="2"/>
              </w:rPr>
            </w:pPr>
          </w:p>
        </w:tc>
        <w:tc>
          <w:tcPr>
            <w:tcW w:w="2305" w:type="dxa"/>
            <w:tcBorders>
              <w:top w:val="nil"/>
              <w:bottom w:val="nil"/>
            </w:tcBorders>
          </w:tcPr>
          <w:p>
            <w:pPr>
              <w:pStyle w:val="TableParagraph"/>
              <w:rPr>
                <w:rFonts w:ascii="Times New Roman"/>
                <w:sz w:val="18"/>
              </w:rPr>
            </w:pPr>
          </w:p>
        </w:tc>
        <w:tc>
          <w:tcPr>
            <w:tcW w:w="1825" w:type="dxa"/>
            <w:tcBorders>
              <w:top w:val="nil"/>
              <w:bottom w:val="nil"/>
            </w:tcBorders>
          </w:tcPr>
          <w:p>
            <w:pPr>
              <w:pStyle w:val="TableParagraph"/>
              <w:rPr>
                <w:rFonts w:ascii="Times New Roman"/>
                <w:sz w:val="18"/>
              </w:rPr>
            </w:pPr>
          </w:p>
        </w:tc>
      </w:tr>
      <w:tr>
        <w:trPr>
          <w:trHeight w:val="479" w:hRule="atLeast"/>
        </w:trPr>
        <w:tc>
          <w:tcPr>
            <w:tcW w:w="1008" w:type="dxa"/>
            <w:vMerge/>
            <w:tcBorders>
              <w:top w:val="nil"/>
            </w:tcBorders>
            <w:shd w:val="clear" w:color="auto" w:fill="E6E7E8"/>
          </w:tcPr>
          <w:p>
            <w:pPr>
              <w:rPr>
                <w:sz w:val="2"/>
                <w:szCs w:val="2"/>
              </w:rPr>
            </w:pPr>
          </w:p>
        </w:tc>
        <w:tc>
          <w:tcPr>
            <w:tcW w:w="1318" w:type="dxa"/>
            <w:vMerge/>
            <w:tcBorders>
              <w:top w:val="nil"/>
            </w:tcBorders>
          </w:tcPr>
          <w:p>
            <w:pPr>
              <w:rPr>
                <w:sz w:val="2"/>
                <w:szCs w:val="2"/>
              </w:rPr>
            </w:pPr>
          </w:p>
        </w:tc>
        <w:tc>
          <w:tcPr>
            <w:tcW w:w="1620" w:type="dxa"/>
            <w:vMerge/>
            <w:tcBorders>
              <w:top w:val="nil"/>
            </w:tcBorders>
          </w:tcPr>
          <w:p>
            <w:pPr>
              <w:rPr>
                <w:sz w:val="2"/>
                <w:szCs w:val="2"/>
              </w:rPr>
            </w:pPr>
          </w:p>
        </w:tc>
        <w:tc>
          <w:tcPr>
            <w:tcW w:w="2304" w:type="dxa"/>
            <w:vMerge/>
            <w:tcBorders>
              <w:top w:val="nil"/>
            </w:tcBorders>
          </w:tcPr>
          <w:p>
            <w:pPr>
              <w:rPr>
                <w:sz w:val="2"/>
                <w:szCs w:val="2"/>
              </w:rPr>
            </w:pPr>
          </w:p>
        </w:tc>
        <w:tc>
          <w:tcPr>
            <w:tcW w:w="1253" w:type="dxa"/>
            <w:vMerge/>
            <w:tcBorders>
              <w:top w:val="nil"/>
            </w:tcBorders>
          </w:tcPr>
          <w:p>
            <w:pPr>
              <w:rPr>
                <w:sz w:val="2"/>
                <w:szCs w:val="2"/>
              </w:rPr>
            </w:pPr>
          </w:p>
        </w:tc>
        <w:tc>
          <w:tcPr>
            <w:tcW w:w="3490" w:type="dxa"/>
            <w:tcBorders>
              <w:top w:val="nil"/>
              <w:bottom w:val="nil"/>
              <w:right w:val="nil"/>
            </w:tcBorders>
          </w:tcPr>
          <w:p>
            <w:pPr>
              <w:pStyle w:val="TableParagraph"/>
              <w:rPr>
                <w:rFonts w:ascii="Times New Roman"/>
                <w:sz w:val="18"/>
              </w:rPr>
            </w:pPr>
          </w:p>
        </w:tc>
        <w:tc>
          <w:tcPr>
            <w:tcW w:w="4878" w:type="dxa"/>
            <w:tcBorders>
              <w:top w:val="nil"/>
              <w:left w:val="nil"/>
              <w:bottom w:val="nil"/>
            </w:tcBorders>
          </w:tcPr>
          <w:p>
            <w:pPr>
              <w:pStyle w:val="TableParagraph"/>
              <w:spacing w:line="232" w:lineRule="auto" w:before="33"/>
              <w:ind w:left="1244"/>
              <w:rPr>
                <w:sz w:val="18"/>
              </w:rPr>
            </w:pPr>
            <w:r>
              <w:rPr>
                <w:color w:val="105C84"/>
                <w:sz w:val="18"/>
              </w:rPr>
              <w:t>Increased</w:t>
            </w:r>
            <w:r>
              <w:rPr>
                <w:color w:val="105C84"/>
                <w:spacing w:val="-2"/>
                <w:sz w:val="18"/>
              </w:rPr>
              <w:t> </w:t>
            </w:r>
            <w:r>
              <w:rPr>
                <w:color w:val="105C84"/>
                <w:sz w:val="18"/>
              </w:rPr>
              <w:t>fruit</w:t>
            </w:r>
            <w:r>
              <w:rPr>
                <w:color w:val="105C84"/>
                <w:spacing w:val="-2"/>
                <w:sz w:val="18"/>
              </w:rPr>
              <w:t> </w:t>
            </w:r>
            <w:r>
              <w:rPr>
                <w:color w:val="105C84"/>
                <w:sz w:val="18"/>
              </w:rPr>
              <w:t>and</w:t>
            </w:r>
            <w:r>
              <w:rPr>
                <w:color w:val="105C84"/>
                <w:spacing w:val="-2"/>
                <w:sz w:val="18"/>
              </w:rPr>
              <w:t> </w:t>
            </w:r>
            <w:r>
              <w:rPr>
                <w:color w:val="105C84"/>
                <w:sz w:val="18"/>
              </w:rPr>
              <w:t>vegetable</w:t>
            </w:r>
            <w:r>
              <w:rPr>
                <w:color w:val="105C84"/>
                <w:spacing w:val="-2"/>
                <w:sz w:val="18"/>
              </w:rPr>
              <w:t> </w:t>
            </w:r>
            <w:r>
              <w:rPr>
                <w:color w:val="105C84"/>
                <w:sz w:val="18"/>
              </w:rPr>
              <w:t>consumption </w:t>
            </w:r>
            <w:r>
              <w:rPr>
                <w:color w:val="105C84"/>
                <w:spacing w:val="-2"/>
                <w:sz w:val="18"/>
              </w:rPr>
              <w:t>reported</w:t>
            </w:r>
          </w:p>
        </w:tc>
        <w:tc>
          <w:tcPr>
            <w:tcW w:w="2319" w:type="dxa"/>
            <w:vMerge/>
            <w:tcBorders>
              <w:top w:val="nil"/>
            </w:tcBorders>
          </w:tcPr>
          <w:p>
            <w:pPr>
              <w:rPr>
                <w:sz w:val="2"/>
                <w:szCs w:val="2"/>
              </w:rPr>
            </w:pPr>
          </w:p>
        </w:tc>
        <w:tc>
          <w:tcPr>
            <w:tcW w:w="2305" w:type="dxa"/>
            <w:tcBorders>
              <w:top w:val="nil"/>
              <w:bottom w:val="nil"/>
            </w:tcBorders>
          </w:tcPr>
          <w:p>
            <w:pPr>
              <w:pStyle w:val="TableParagraph"/>
              <w:rPr>
                <w:rFonts w:ascii="Times New Roman"/>
                <w:sz w:val="18"/>
              </w:rPr>
            </w:pPr>
          </w:p>
        </w:tc>
        <w:tc>
          <w:tcPr>
            <w:tcW w:w="1825" w:type="dxa"/>
            <w:tcBorders>
              <w:top w:val="nil"/>
              <w:bottom w:val="nil"/>
            </w:tcBorders>
          </w:tcPr>
          <w:p>
            <w:pPr>
              <w:pStyle w:val="TableParagraph"/>
              <w:rPr>
                <w:rFonts w:ascii="Times New Roman"/>
                <w:sz w:val="18"/>
              </w:rPr>
            </w:pPr>
          </w:p>
        </w:tc>
      </w:tr>
      <w:tr>
        <w:trPr>
          <w:trHeight w:val="1479" w:hRule="atLeast"/>
        </w:trPr>
        <w:tc>
          <w:tcPr>
            <w:tcW w:w="1008" w:type="dxa"/>
            <w:vMerge/>
            <w:tcBorders>
              <w:top w:val="nil"/>
            </w:tcBorders>
            <w:shd w:val="clear" w:color="auto" w:fill="E6E7E8"/>
          </w:tcPr>
          <w:p>
            <w:pPr>
              <w:rPr>
                <w:sz w:val="2"/>
                <w:szCs w:val="2"/>
              </w:rPr>
            </w:pPr>
          </w:p>
        </w:tc>
        <w:tc>
          <w:tcPr>
            <w:tcW w:w="1318" w:type="dxa"/>
            <w:vMerge/>
            <w:tcBorders>
              <w:top w:val="nil"/>
            </w:tcBorders>
          </w:tcPr>
          <w:p>
            <w:pPr>
              <w:rPr>
                <w:sz w:val="2"/>
                <w:szCs w:val="2"/>
              </w:rPr>
            </w:pPr>
          </w:p>
        </w:tc>
        <w:tc>
          <w:tcPr>
            <w:tcW w:w="1620" w:type="dxa"/>
            <w:vMerge/>
            <w:tcBorders>
              <w:top w:val="nil"/>
            </w:tcBorders>
          </w:tcPr>
          <w:p>
            <w:pPr>
              <w:rPr>
                <w:sz w:val="2"/>
                <w:szCs w:val="2"/>
              </w:rPr>
            </w:pPr>
          </w:p>
        </w:tc>
        <w:tc>
          <w:tcPr>
            <w:tcW w:w="2304" w:type="dxa"/>
            <w:vMerge/>
            <w:tcBorders>
              <w:top w:val="nil"/>
            </w:tcBorders>
          </w:tcPr>
          <w:p>
            <w:pPr>
              <w:rPr>
                <w:sz w:val="2"/>
                <w:szCs w:val="2"/>
              </w:rPr>
            </w:pPr>
          </w:p>
        </w:tc>
        <w:tc>
          <w:tcPr>
            <w:tcW w:w="1253" w:type="dxa"/>
            <w:vMerge/>
            <w:tcBorders>
              <w:top w:val="nil"/>
            </w:tcBorders>
          </w:tcPr>
          <w:p>
            <w:pPr>
              <w:rPr>
                <w:sz w:val="2"/>
                <w:szCs w:val="2"/>
              </w:rPr>
            </w:pPr>
          </w:p>
        </w:tc>
        <w:tc>
          <w:tcPr>
            <w:tcW w:w="3490" w:type="dxa"/>
            <w:tcBorders>
              <w:top w:val="nil"/>
              <w:bottom w:val="nil"/>
              <w:right w:val="nil"/>
            </w:tcBorders>
          </w:tcPr>
          <w:p>
            <w:pPr>
              <w:pStyle w:val="TableParagraph"/>
              <w:rPr>
                <w:rFonts w:ascii="Times New Roman"/>
                <w:sz w:val="18"/>
              </w:rPr>
            </w:pPr>
          </w:p>
        </w:tc>
        <w:tc>
          <w:tcPr>
            <w:tcW w:w="4878" w:type="dxa"/>
            <w:tcBorders>
              <w:top w:val="nil"/>
              <w:left w:val="nil"/>
              <w:bottom w:val="nil"/>
            </w:tcBorders>
          </w:tcPr>
          <w:p>
            <w:pPr>
              <w:pStyle w:val="TableParagraph"/>
              <w:spacing w:line="203" w:lineRule="exact" w:before="28"/>
              <w:ind w:left="1244"/>
              <w:rPr>
                <w:sz w:val="18"/>
              </w:rPr>
            </w:pPr>
            <w:r>
              <w:rPr>
                <w:color w:val="105C84"/>
                <w:spacing w:val="-2"/>
                <w:sz w:val="18"/>
              </w:rPr>
              <w:t>(Baseline:</w:t>
            </w:r>
            <w:r>
              <w:rPr>
                <w:color w:val="105C84"/>
                <w:spacing w:val="-6"/>
                <w:sz w:val="18"/>
              </w:rPr>
              <w:t> </w:t>
            </w:r>
            <w:r>
              <w:rPr>
                <w:color w:val="105C84"/>
                <w:spacing w:val="-2"/>
                <w:sz w:val="18"/>
              </w:rPr>
              <w:t>2018:</w:t>
            </w:r>
            <w:r>
              <w:rPr>
                <w:color w:val="105C84"/>
                <w:spacing w:val="-6"/>
                <w:sz w:val="18"/>
              </w:rPr>
              <w:t> </w:t>
            </w:r>
            <w:r>
              <w:rPr>
                <w:color w:val="105C84"/>
                <w:spacing w:val="-2"/>
                <w:sz w:val="18"/>
              </w:rPr>
              <w:t>Healthy</w:t>
            </w:r>
            <w:r>
              <w:rPr>
                <w:color w:val="105C84"/>
                <w:spacing w:val="-5"/>
                <w:sz w:val="18"/>
              </w:rPr>
              <w:t> </w:t>
            </w:r>
            <w:r>
              <w:rPr>
                <w:color w:val="105C84"/>
                <w:spacing w:val="-2"/>
                <w:sz w:val="18"/>
              </w:rPr>
              <w:t>Living</w:t>
            </w:r>
            <w:r>
              <w:rPr>
                <w:color w:val="105C84"/>
                <w:spacing w:val="-6"/>
                <w:sz w:val="18"/>
              </w:rPr>
              <w:t> </w:t>
            </w:r>
            <w:r>
              <w:rPr>
                <w:color w:val="105C84"/>
                <w:spacing w:val="-2"/>
                <w:sz w:val="18"/>
              </w:rPr>
              <w:t>Nunda,</w:t>
            </w:r>
            <w:r>
              <w:rPr>
                <w:color w:val="105C84"/>
                <w:spacing w:val="-5"/>
                <w:sz w:val="18"/>
              </w:rPr>
              <w:t> </w:t>
            </w:r>
            <w:r>
              <w:rPr>
                <w:color w:val="105C84"/>
                <w:spacing w:val="-10"/>
                <w:sz w:val="18"/>
              </w:rPr>
              <w:t>6</w:t>
            </w:r>
          </w:p>
          <w:p>
            <w:pPr>
              <w:pStyle w:val="TableParagraph"/>
              <w:spacing w:line="232" w:lineRule="auto" w:before="1"/>
              <w:ind w:left="1244" w:right="227"/>
              <w:rPr>
                <w:sz w:val="18"/>
              </w:rPr>
            </w:pPr>
            <w:r>
              <w:rPr>
                <w:color w:val="105C84"/>
                <w:sz w:val="18"/>
              </w:rPr>
              <w:t>completers 10 wks, 50% increased daily veg. consumption, 67% increased daily fruit consumption, 33% increased weekly medium</w:t>
            </w:r>
            <w:r>
              <w:rPr>
                <w:color w:val="105C84"/>
                <w:spacing w:val="-15"/>
                <w:sz w:val="18"/>
              </w:rPr>
              <w:t> </w:t>
            </w:r>
            <w:r>
              <w:rPr>
                <w:color w:val="105C84"/>
                <w:sz w:val="18"/>
              </w:rPr>
              <w:t>intensity</w:t>
            </w:r>
            <w:r>
              <w:rPr>
                <w:color w:val="105C84"/>
                <w:spacing w:val="-12"/>
                <w:sz w:val="18"/>
              </w:rPr>
              <w:t> </w:t>
            </w:r>
            <w:r>
              <w:rPr>
                <w:color w:val="105C84"/>
                <w:sz w:val="18"/>
              </w:rPr>
              <w:t>physical</w:t>
            </w:r>
            <w:r>
              <w:rPr>
                <w:color w:val="105C84"/>
                <w:spacing w:val="-13"/>
                <w:sz w:val="18"/>
              </w:rPr>
              <w:t> </w:t>
            </w:r>
            <w:r>
              <w:rPr>
                <w:color w:val="105C84"/>
                <w:sz w:val="18"/>
              </w:rPr>
              <w:t>activity</w:t>
            </w:r>
            <w:r>
              <w:rPr>
                <w:color w:val="105C84"/>
                <w:spacing w:val="-12"/>
                <w:sz w:val="18"/>
              </w:rPr>
              <w:t> </w:t>
            </w:r>
            <w:r>
              <w:rPr>
                <w:color w:val="105C84"/>
                <w:sz w:val="18"/>
              </w:rPr>
              <w:t>-</w:t>
            </w:r>
            <w:r>
              <w:rPr>
                <w:color w:val="105C84"/>
                <w:sz w:val="18"/>
              </w:rPr>
              <w:t>URMC, 33% increased weekly vigorous intensity physical activity)</w:t>
            </w:r>
          </w:p>
        </w:tc>
        <w:tc>
          <w:tcPr>
            <w:tcW w:w="2319" w:type="dxa"/>
            <w:vMerge/>
            <w:tcBorders>
              <w:top w:val="nil"/>
            </w:tcBorders>
          </w:tcPr>
          <w:p>
            <w:pPr>
              <w:rPr>
                <w:sz w:val="2"/>
                <w:szCs w:val="2"/>
              </w:rPr>
            </w:pPr>
          </w:p>
        </w:tc>
        <w:tc>
          <w:tcPr>
            <w:tcW w:w="2305" w:type="dxa"/>
            <w:tcBorders>
              <w:top w:val="nil"/>
              <w:bottom w:val="nil"/>
            </w:tcBorders>
          </w:tcPr>
          <w:p>
            <w:pPr>
              <w:pStyle w:val="TableParagraph"/>
              <w:rPr>
                <w:rFonts w:ascii="Times New Roman"/>
                <w:sz w:val="18"/>
              </w:rPr>
            </w:pPr>
          </w:p>
        </w:tc>
        <w:tc>
          <w:tcPr>
            <w:tcW w:w="1825" w:type="dxa"/>
            <w:tcBorders>
              <w:top w:val="nil"/>
              <w:bottom w:val="nil"/>
            </w:tcBorders>
          </w:tcPr>
          <w:p>
            <w:pPr>
              <w:pStyle w:val="TableParagraph"/>
              <w:rPr>
                <w:rFonts w:ascii="Times New Roman"/>
                <w:sz w:val="18"/>
              </w:rPr>
            </w:pPr>
          </w:p>
        </w:tc>
      </w:tr>
      <w:tr>
        <w:trPr>
          <w:trHeight w:val="883" w:hRule="atLeast"/>
        </w:trPr>
        <w:tc>
          <w:tcPr>
            <w:tcW w:w="1008" w:type="dxa"/>
            <w:vMerge/>
            <w:tcBorders>
              <w:top w:val="nil"/>
            </w:tcBorders>
            <w:shd w:val="clear" w:color="auto" w:fill="E6E7E8"/>
          </w:tcPr>
          <w:p>
            <w:pPr>
              <w:rPr>
                <w:sz w:val="2"/>
                <w:szCs w:val="2"/>
              </w:rPr>
            </w:pPr>
          </w:p>
        </w:tc>
        <w:tc>
          <w:tcPr>
            <w:tcW w:w="1318" w:type="dxa"/>
            <w:vMerge/>
            <w:tcBorders>
              <w:top w:val="nil"/>
            </w:tcBorders>
          </w:tcPr>
          <w:p>
            <w:pPr>
              <w:rPr>
                <w:sz w:val="2"/>
                <w:szCs w:val="2"/>
              </w:rPr>
            </w:pPr>
          </w:p>
        </w:tc>
        <w:tc>
          <w:tcPr>
            <w:tcW w:w="1620" w:type="dxa"/>
            <w:vMerge/>
            <w:tcBorders>
              <w:top w:val="nil"/>
            </w:tcBorders>
          </w:tcPr>
          <w:p>
            <w:pPr>
              <w:rPr>
                <w:sz w:val="2"/>
                <w:szCs w:val="2"/>
              </w:rPr>
            </w:pPr>
          </w:p>
        </w:tc>
        <w:tc>
          <w:tcPr>
            <w:tcW w:w="2304" w:type="dxa"/>
            <w:vMerge/>
            <w:tcBorders>
              <w:top w:val="nil"/>
            </w:tcBorders>
          </w:tcPr>
          <w:p>
            <w:pPr>
              <w:rPr>
                <w:sz w:val="2"/>
                <w:szCs w:val="2"/>
              </w:rPr>
            </w:pPr>
          </w:p>
        </w:tc>
        <w:tc>
          <w:tcPr>
            <w:tcW w:w="1253" w:type="dxa"/>
            <w:vMerge/>
            <w:tcBorders>
              <w:top w:val="nil"/>
            </w:tcBorders>
          </w:tcPr>
          <w:p>
            <w:pPr>
              <w:rPr>
                <w:sz w:val="2"/>
                <w:szCs w:val="2"/>
              </w:rPr>
            </w:pPr>
          </w:p>
        </w:tc>
        <w:tc>
          <w:tcPr>
            <w:tcW w:w="3490" w:type="dxa"/>
            <w:tcBorders>
              <w:top w:val="nil"/>
              <w:right w:val="nil"/>
            </w:tcBorders>
          </w:tcPr>
          <w:p>
            <w:pPr>
              <w:pStyle w:val="TableParagraph"/>
              <w:rPr>
                <w:rFonts w:ascii="Times New Roman"/>
                <w:sz w:val="18"/>
              </w:rPr>
            </w:pPr>
          </w:p>
        </w:tc>
        <w:tc>
          <w:tcPr>
            <w:tcW w:w="4878" w:type="dxa"/>
            <w:tcBorders>
              <w:top w:val="nil"/>
              <w:left w:val="nil"/>
            </w:tcBorders>
          </w:tcPr>
          <w:p>
            <w:pPr>
              <w:pStyle w:val="TableParagraph"/>
              <w:spacing w:line="232" w:lineRule="auto" w:before="33"/>
              <w:ind w:left="1244" w:right="87"/>
              <w:rPr>
                <w:sz w:val="18"/>
              </w:rPr>
            </w:pPr>
            <w:r>
              <w:rPr>
                <w:color w:val="105C84"/>
                <w:sz w:val="18"/>
              </w:rPr>
              <w:t>(Baseline: 7.7</w:t>
            </w:r>
            <w:r>
              <w:rPr>
                <w:color w:val="105C84"/>
                <w:spacing w:val="40"/>
                <w:sz w:val="18"/>
              </w:rPr>
              <w:t> </w:t>
            </w:r>
            <w:r>
              <w:rPr>
                <w:color w:val="105C84"/>
                <w:sz w:val="18"/>
              </w:rPr>
              <w:t>percentage of adults with chronic conditions who have taken</w:t>
            </w:r>
            <w:r>
              <w:rPr>
                <w:color w:val="105C84"/>
                <w:spacing w:val="40"/>
                <w:sz w:val="18"/>
              </w:rPr>
              <w:t> </w:t>
            </w:r>
            <w:r>
              <w:rPr>
                <w:color w:val="105C84"/>
                <w:sz w:val="18"/>
              </w:rPr>
              <w:t>course/ class</w:t>
            </w:r>
            <w:r>
              <w:rPr>
                <w:color w:val="105C84"/>
                <w:spacing w:val="-2"/>
                <w:sz w:val="18"/>
              </w:rPr>
              <w:t> </w:t>
            </w:r>
            <w:r>
              <w:rPr>
                <w:color w:val="105C84"/>
                <w:sz w:val="18"/>
              </w:rPr>
              <w:t>to</w:t>
            </w:r>
            <w:r>
              <w:rPr>
                <w:color w:val="105C84"/>
                <w:spacing w:val="-2"/>
                <w:sz w:val="18"/>
              </w:rPr>
              <w:t> </w:t>
            </w:r>
            <w:r>
              <w:rPr>
                <w:color w:val="105C84"/>
                <w:sz w:val="18"/>
              </w:rPr>
              <w:t>learn</w:t>
            </w:r>
            <w:r>
              <w:rPr>
                <w:color w:val="105C84"/>
                <w:spacing w:val="-2"/>
                <w:sz w:val="18"/>
              </w:rPr>
              <w:t> </w:t>
            </w:r>
            <w:r>
              <w:rPr>
                <w:color w:val="105C84"/>
                <w:sz w:val="18"/>
              </w:rPr>
              <w:t>how</w:t>
            </w:r>
            <w:r>
              <w:rPr>
                <w:color w:val="105C84"/>
                <w:spacing w:val="-2"/>
                <w:sz w:val="18"/>
              </w:rPr>
              <w:t> </w:t>
            </w:r>
            <w:r>
              <w:rPr>
                <w:color w:val="105C84"/>
                <w:sz w:val="18"/>
              </w:rPr>
              <w:t>to</w:t>
            </w:r>
            <w:r>
              <w:rPr>
                <w:color w:val="105C84"/>
                <w:spacing w:val="-2"/>
                <w:sz w:val="18"/>
              </w:rPr>
              <w:t> </w:t>
            </w:r>
            <w:r>
              <w:rPr>
                <w:color w:val="105C84"/>
                <w:sz w:val="18"/>
              </w:rPr>
              <w:t>manage</w:t>
            </w:r>
            <w:r>
              <w:rPr>
                <w:color w:val="105C84"/>
                <w:spacing w:val="-2"/>
                <w:sz w:val="18"/>
              </w:rPr>
              <w:t> </w:t>
            </w:r>
            <w:r>
              <w:rPr>
                <w:color w:val="105C84"/>
                <w:sz w:val="18"/>
              </w:rPr>
              <w:t>their</w:t>
            </w:r>
            <w:r>
              <w:rPr>
                <w:color w:val="105C84"/>
                <w:spacing w:val="-2"/>
                <w:sz w:val="18"/>
              </w:rPr>
              <w:t> </w:t>
            </w:r>
            <w:r>
              <w:rPr>
                <w:color w:val="105C84"/>
                <w:sz w:val="18"/>
              </w:rPr>
              <w:t>condition 2014-2014- eBRFSS)</w:t>
            </w:r>
          </w:p>
        </w:tc>
        <w:tc>
          <w:tcPr>
            <w:tcW w:w="2319" w:type="dxa"/>
            <w:vMerge/>
            <w:tcBorders>
              <w:top w:val="nil"/>
            </w:tcBorders>
          </w:tcPr>
          <w:p>
            <w:pPr>
              <w:rPr>
                <w:sz w:val="2"/>
                <w:szCs w:val="2"/>
              </w:rPr>
            </w:pPr>
          </w:p>
        </w:tc>
        <w:tc>
          <w:tcPr>
            <w:tcW w:w="2305" w:type="dxa"/>
            <w:tcBorders>
              <w:top w:val="nil"/>
            </w:tcBorders>
          </w:tcPr>
          <w:p>
            <w:pPr>
              <w:pStyle w:val="TableParagraph"/>
              <w:rPr>
                <w:rFonts w:ascii="Times New Roman"/>
                <w:sz w:val="18"/>
              </w:rPr>
            </w:pPr>
          </w:p>
        </w:tc>
        <w:tc>
          <w:tcPr>
            <w:tcW w:w="1825" w:type="dxa"/>
            <w:tcBorders>
              <w:top w:val="nil"/>
            </w:tcBorders>
          </w:tcPr>
          <w:p>
            <w:pPr>
              <w:pStyle w:val="TableParagraph"/>
              <w:rPr>
                <w:rFonts w:ascii="Times New Roman"/>
                <w:sz w:val="18"/>
              </w:rPr>
            </w:pPr>
          </w:p>
        </w:tc>
      </w:tr>
    </w:tbl>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290"/>
        <w:rPr>
          <w:b/>
          <w:sz w:val="26"/>
        </w:rPr>
      </w:pPr>
    </w:p>
    <w:p>
      <w:pPr>
        <w:tabs>
          <w:tab w:pos="23047" w:val="left" w:leader="none"/>
        </w:tabs>
        <w:spacing w:before="0"/>
        <w:ind w:left="0" w:right="0" w:firstLine="0"/>
        <w:jc w:val="left"/>
        <w:rPr>
          <w:b/>
          <w:sz w:val="26"/>
        </w:rPr>
      </w:pPr>
      <w:r>
        <w:rPr>
          <w:position w:val="-4"/>
        </w:rPr>
        <w:drawing>
          <wp:inline distT="0" distB="0" distL="0" distR="0">
            <wp:extent cx="568172" cy="184683"/>
            <wp:effectExtent l="0" t="0" r="0" b="0"/>
            <wp:docPr id="1777" name="Image 1777"/>
            <wp:cNvGraphicFramePr>
              <a:graphicFrameLocks/>
            </wp:cNvGraphicFramePr>
            <a:graphic>
              <a:graphicData uri="http://schemas.openxmlformats.org/drawingml/2006/picture">
                <pic:pic>
                  <pic:nvPicPr>
                    <pic:cNvPr id="1777" name="Image 1777"/>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13"/>
          <w:sz w:val="20"/>
        </w:rPr>
        <w:t> </w:t>
      </w:r>
      <w:r>
        <w:rPr>
          <w:b/>
          <w:color w:val="939598"/>
          <w:w w:val="105"/>
          <w:sz w:val="26"/>
        </w:rPr>
        <w:t>135</w:t>
      </w:r>
      <w:r>
        <w:rPr>
          <w:b/>
          <w:color w:val="939598"/>
          <w:sz w:val="26"/>
        </w:rPr>
        <w:tab/>
      </w:r>
      <w:r>
        <w:rPr>
          <w:b/>
          <w:color w:val="939598"/>
          <w:spacing w:val="-5"/>
          <w:w w:val="105"/>
          <w:sz w:val="26"/>
        </w:rPr>
        <w:t>136</w:t>
      </w:r>
    </w:p>
    <w:p>
      <w:pPr>
        <w:spacing w:after="0"/>
        <w:jc w:val="left"/>
        <w:rPr>
          <w:b/>
          <w:sz w:val="26"/>
        </w:rPr>
        <w:sectPr>
          <w:pgSz w:w="24480" w:h="15840" w:orient="landscape"/>
          <w:pgMar w:header="0" w:footer="0" w:top="860" w:bottom="0" w:left="0" w:right="720"/>
        </w:sectPr>
      </w:pPr>
    </w:p>
    <w:p>
      <w:pPr>
        <w:spacing w:before="607"/>
        <w:ind w:left="1089" w:right="0" w:firstLine="0"/>
        <w:jc w:val="left"/>
        <w:rPr>
          <w:sz w:val="54"/>
        </w:rPr>
      </w:pPr>
      <w:r>
        <w:rPr>
          <w:sz w:val="54"/>
        </w:rPr>
        <w:drawing>
          <wp:anchor distT="0" distB="0" distL="0" distR="0" allowOverlap="1" layoutInCell="1" locked="0" behindDoc="0" simplePos="0" relativeHeight="15934976">
            <wp:simplePos x="0" y="0"/>
            <wp:positionH relativeFrom="page">
              <wp:posOffset>14981556</wp:posOffset>
            </wp:positionH>
            <wp:positionV relativeFrom="page">
              <wp:posOffset>9668103</wp:posOffset>
            </wp:positionV>
            <wp:extent cx="563245" cy="184683"/>
            <wp:effectExtent l="0" t="0" r="0" b="0"/>
            <wp:wrapNone/>
            <wp:docPr id="1778" name="Image 1778"/>
            <wp:cNvGraphicFramePr>
              <a:graphicFrameLocks/>
            </wp:cNvGraphicFramePr>
            <a:graphic>
              <a:graphicData uri="http://schemas.openxmlformats.org/drawingml/2006/picture">
                <pic:pic>
                  <pic:nvPicPr>
                    <pic:cNvPr id="1778" name="Image 1778"/>
                    <pic:cNvPicPr/>
                  </pic:nvPicPr>
                  <pic:blipFill>
                    <a:blip r:embed="rId38" cstate="print"/>
                    <a:stretch>
                      <a:fillRect/>
                    </a:stretch>
                  </pic:blipFill>
                  <pic:spPr>
                    <a:xfrm>
                      <a:off x="0" y="0"/>
                      <a:ext cx="563245" cy="184683"/>
                    </a:xfrm>
                    <a:prstGeom prst="rect">
                      <a:avLst/>
                    </a:prstGeom>
                  </pic:spPr>
                </pic:pic>
              </a:graphicData>
            </a:graphic>
          </wp:anchor>
        </w:drawing>
      </w:r>
      <w:r>
        <w:rPr>
          <w:sz w:val="54"/>
        </w:rPr>
        <w:drawing>
          <wp:anchor distT="0" distB="0" distL="0" distR="0" allowOverlap="1" layoutInCell="1" locked="0" behindDoc="0" simplePos="0" relativeHeight="15935488">
            <wp:simplePos x="0" y="0"/>
            <wp:positionH relativeFrom="page">
              <wp:posOffset>14162106</wp:posOffset>
            </wp:positionH>
            <wp:positionV relativeFrom="paragraph">
              <wp:posOffset>321014</wp:posOffset>
            </wp:positionV>
            <wp:extent cx="696753" cy="690419"/>
            <wp:effectExtent l="0" t="0" r="0" b="0"/>
            <wp:wrapNone/>
            <wp:docPr id="1779" name="Image 1779"/>
            <wp:cNvGraphicFramePr>
              <a:graphicFrameLocks/>
            </wp:cNvGraphicFramePr>
            <a:graphic>
              <a:graphicData uri="http://schemas.openxmlformats.org/drawingml/2006/picture">
                <pic:pic>
                  <pic:nvPicPr>
                    <pic:cNvPr id="1779" name="Image 1779"/>
                    <pic:cNvPicPr/>
                  </pic:nvPicPr>
                  <pic:blipFill>
                    <a:blip r:embed="rId244" cstate="print"/>
                    <a:stretch>
                      <a:fillRect/>
                    </a:stretch>
                  </pic:blipFill>
                  <pic:spPr>
                    <a:xfrm>
                      <a:off x="0" y="0"/>
                      <a:ext cx="696753" cy="690419"/>
                    </a:xfrm>
                    <a:prstGeom prst="rect">
                      <a:avLst/>
                    </a:prstGeom>
                  </pic:spPr>
                </pic:pic>
              </a:graphicData>
            </a:graphic>
          </wp:anchor>
        </w:drawing>
      </w:r>
      <w:r>
        <w:rPr>
          <w:sz w:val="54"/>
        </w:rPr>
        <w:drawing>
          <wp:anchor distT="0" distB="0" distL="0" distR="0" allowOverlap="1" layoutInCell="1" locked="0" behindDoc="0" simplePos="0" relativeHeight="15936000">
            <wp:simplePos x="0" y="0"/>
            <wp:positionH relativeFrom="page">
              <wp:posOffset>12710185</wp:posOffset>
            </wp:positionH>
            <wp:positionV relativeFrom="paragraph">
              <wp:posOffset>365760</wp:posOffset>
            </wp:positionV>
            <wp:extent cx="1326527" cy="258263"/>
            <wp:effectExtent l="0" t="0" r="0" b="0"/>
            <wp:wrapNone/>
            <wp:docPr id="1780" name="Image 1780"/>
            <wp:cNvGraphicFramePr>
              <a:graphicFrameLocks/>
            </wp:cNvGraphicFramePr>
            <a:graphic>
              <a:graphicData uri="http://schemas.openxmlformats.org/drawingml/2006/picture">
                <pic:pic>
                  <pic:nvPicPr>
                    <pic:cNvPr id="1780" name="Image 1780"/>
                    <pic:cNvPicPr/>
                  </pic:nvPicPr>
                  <pic:blipFill>
                    <a:blip r:embed="rId245" cstate="print"/>
                    <a:stretch>
                      <a:fillRect/>
                    </a:stretch>
                  </pic:blipFill>
                  <pic:spPr>
                    <a:xfrm>
                      <a:off x="0" y="0"/>
                      <a:ext cx="1326527" cy="258263"/>
                    </a:xfrm>
                    <a:prstGeom prst="rect">
                      <a:avLst/>
                    </a:prstGeom>
                  </pic:spPr>
                </pic:pic>
              </a:graphicData>
            </a:graphic>
          </wp:anchor>
        </w:drawing>
      </w:r>
      <w:r>
        <w:rPr>
          <w:sz w:val="54"/>
        </w:rPr>
        <w:drawing>
          <wp:anchor distT="0" distB="0" distL="0" distR="0" allowOverlap="1" layoutInCell="1" locked="0" behindDoc="0" simplePos="0" relativeHeight="15936512">
            <wp:simplePos x="0" y="0"/>
            <wp:positionH relativeFrom="page">
              <wp:posOffset>11252403</wp:posOffset>
            </wp:positionH>
            <wp:positionV relativeFrom="paragraph">
              <wp:posOffset>311404</wp:posOffset>
            </wp:positionV>
            <wp:extent cx="1291335" cy="314959"/>
            <wp:effectExtent l="0" t="0" r="0" b="0"/>
            <wp:wrapNone/>
            <wp:docPr id="1781" name="Image 1781"/>
            <wp:cNvGraphicFramePr>
              <a:graphicFrameLocks/>
            </wp:cNvGraphicFramePr>
            <a:graphic>
              <a:graphicData uri="http://schemas.openxmlformats.org/drawingml/2006/picture">
                <pic:pic>
                  <pic:nvPicPr>
                    <pic:cNvPr id="1781" name="Image 1781"/>
                    <pic:cNvPicPr/>
                  </pic:nvPicPr>
                  <pic:blipFill>
                    <a:blip r:embed="rId246" cstate="print"/>
                    <a:stretch>
                      <a:fillRect/>
                    </a:stretch>
                  </pic:blipFill>
                  <pic:spPr>
                    <a:xfrm>
                      <a:off x="0" y="0"/>
                      <a:ext cx="1291335" cy="314959"/>
                    </a:xfrm>
                    <a:prstGeom prst="rect">
                      <a:avLst/>
                    </a:prstGeom>
                  </pic:spPr>
                </pic:pic>
              </a:graphicData>
            </a:graphic>
          </wp:anchor>
        </w:drawing>
      </w:r>
      <w:r>
        <w:rPr>
          <w:color w:val="636466"/>
          <w:sz w:val="54"/>
        </w:rPr>
        <w:t>Livingston</w:t>
      </w:r>
      <w:r>
        <w:rPr>
          <w:color w:val="636466"/>
          <w:spacing w:val="70"/>
          <w:sz w:val="54"/>
        </w:rPr>
        <w:t> </w:t>
      </w:r>
      <w:r>
        <w:rPr>
          <w:color w:val="636466"/>
          <w:sz w:val="54"/>
        </w:rPr>
        <w:t>County</w:t>
      </w:r>
      <w:r>
        <w:rPr>
          <w:color w:val="636466"/>
          <w:spacing w:val="71"/>
          <w:sz w:val="54"/>
        </w:rPr>
        <w:t> </w:t>
      </w:r>
      <w:r>
        <w:rPr>
          <w:color w:val="636466"/>
          <w:sz w:val="54"/>
        </w:rPr>
        <w:t>Appendix</w:t>
      </w:r>
      <w:r>
        <w:rPr>
          <w:color w:val="636466"/>
          <w:spacing w:val="71"/>
          <w:sz w:val="54"/>
        </w:rPr>
        <w:t> </w:t>
      </w:r>
      <w:r>
        <w:rPr>
          <w:color w:val="636466"/>
          <w:spacing w:val="-10"/>
          <w:sz w:val="54"/>
        </w:rPr>
        <w:t>B</w:t>
      </w:r>
    </w:p>
    <w:p>
      <w:pPr>
        <w:spacing w:line="247" w:lineRule="auto" w:before="235"/>
        <w:ind w:left="1089" w:right="15045" w:firstLine="0"/>
        <w:jc w:val="left"/>
        <w:rPr>
          <w:b/>
          <w:sz w:val="32"/>
        </w:rPr>
      </w:pPr>
      <w:r>
        <w:rPr>
          <w:b/>
          <w:color w:val="82BF6A"/>
          <w:spacing w:val="-4"/>
          <w:sz w:val="32"/>
        </w:rPr>
        <w:t>PRIORITY:</w:t>
      </w:r>
      <w:r>
        <w:rPr>
          <w:b/>
          <w:color w:val="82BF6A"/>
          <w:spacing w:val="-19"/>
          <w:sz w:val="32"/>
        </w:rPr>
        <w:t> </w:t>
      </w:r>
      <w:r>
        <w:rPr>
          <w:b/>
          <w:color w:val="82BF6A"/>
          <w:spacing w:val="-4"/>
          <w:sz w:val="32"/>
        </w:rPr>
        <w:t>PROMOTE</w:t>
      </w:r>
      <w:r>
        <w:rPr>
          <w:b/>
          <w:color w:val="82BF6A"/>
          <w:spacing w:val="-18"/>
          <w:sz w:val="32"/>
        </w:rPr>
        <w:t> </w:t>
      </w:r>
      <w:r>
        <w:rPr>
          <w:b/>
          <w:color w:val="82BF6A"/>
          <w:spacing w:val="-4"/>
          <w:sz w:val="32"/>
        </w:rPr>
        <w:t>WELL-BEING</w:t>
      </w:r>
      <w:r>
        <w:rPr>
          <w:b/>
          <w:color w:val="82BF6A"/>
          <w:spacing w:val="-18"/>
          <w:sz w:val="32"/>
        </w:rPr>
        <w:t> </w:t>
      </w:r>
      <w:r>
        <w:rPr>
          <w:b/>
          <w:color w:val="82BF6A"/>
          <w:spacing w:val="-4"/>
          <w:sz w:val="32"/>
        </w:rPr>
        <w:t>AND</w:t>
      </w:r>
      <w:r>
        <w:rPr>
          <w:b/>
          <w:color w:val="82BF6A"/>
          <w:spacing w:val="-18"/>
          <w:sz w:val="32"/>
        </w:rPr>
        <w:t> </w:t>
      </w:r>
      <w:r>
        <w:rPr>
          <w:b/>
          <w:color w:val="82BF6A"/>
          <w:spacing w:val="-4"/>
          <w:sz w:val="32"/>
        </w:rPr>
        <w:t>PREVENT </w:t>
      </w:r>
      <w:r>
        <w:rPr>
          <w:b/>
          <w:color w:val="82BF6A"/>
          <w:sz w:val="32"/>
        </w:rPr>
        <w:t>MENTAL</w:t>
      </w:r>
      <w:r>
        <w:rPr>
          <w:b/>
          <w:color w:val="82BF6A"/>
          <w:spacing w:val="-23"/>
          <w:sz w:val="32"/>
        </w:rPr>
        <w:t> </w:t>
      </w:r>
      <w:r>
        <w:rPr>
          <w:b/>
          <w:color w:val="82BF6A"/>
          <w:sz w:val="32"/>
        </w:rPr>
        <w:t>AND</w:t>
      </w:r>
      <w:r>
        <w:rPr>
          <w:b/>
          <w:color w:val="82BF6A"/>
          <w:spacing w:val="-22"/>
          <w:sz w:val="32"/>
        </w:rPr>
        <w:t> </w:t>
      </w:r>
      <w:r>
        <w:rPr>
          <w:b/>
          <w:color w:val="82BF6A"/>
          <w:sz w:val="32"/>
        </w:rPr>
        <w:t>SUBSTANCE</w:t>
      </w:r>
      <w:r>
        <w:rPr>
          <w:b/>
          <w:color w:val="82BF6A"/>
          <w:spacing w:val="-22"/>
          <w:sz w:val="32"/>
        </w:rPr>
        <w:t> </w:t>
      </w:r>
      <w:r>
        <w:rPr>
          <w:b/>
          <w:color w:val="82BF6A"/>
          <w:sz w:val="32"/>
        </w:rPr>
        <w:t>USE</w:t>
      </w:r>
      <w:r>
        <w:rPr>
          <w:b/>
          <w:color w:val="82BF6A"/>
          <w:spacing w:val="-22"/>
          <w:sz w:val="32"/>
        </w:rPr>
        <w:t> </w:t>
      </w:r>
      <w:r>
        <w:rPr>
          <w:b/>
          <w:color w:val="82BF6A"/>
          <w:sz w:val="32"/>
        </w:rPr>
        <w:t>DISORDERS</w:t>
      </w:r>
    </w:p>
    <w:p>
      <w:pPr>
        <w:pStyle w:val="BodyText"/>
        <w:spacing w:before="10"/>
        <w:rPr>
          <w:b/>
          <w:sz w:val="15"/>
        </w:rPr>
      </w:pPr>
    </w:p>
    <w:tbl>
      <w:tblPr>
        <w:tblW w:w="0" w:type="auto"/>
        <w:jc w:val="left"/>
        <w:tblInd w:w="1099"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1245"/>
        <w:gridCol w:w="1317"/>
        <w:gridCol w:w="1619"/>
        <w:gridCol w:w="1461"/>
        <w:gridCol w:w="1238"/>
        <w:gridCol w:w="7675"/>
        <w:gridCol w:w="1850"/>
        <w:gridCol w:w="2692"/>
        <w:gridCol w:w="3205"/>
      </w:tblGrid>
      <w:tr>
        <w:trPr>
          <w:trHeight w:val="770" w:hRule="atLeast"/>
        </w:trPr>
        <w:tc>
          <w:tcPr>
            <w:tcW w:w="1245" w:type="dxa"/>
            <w:tcBorders>
              <w:right w:val="single" w:sz="4" w:space="0" w:color="FFFFFF"/>
            </w:tcBorders>
            <w:shd w:val="clear" w:color="auto" w:fill="A7A9AC"/>
          </w:tcPr>
          <w:p>
            <w:pPr>
              <w:pStyle w:val="TableParagraph"/>
              <w:spacing w:before="67"/>
              <w:rPr>
                <w:b/>
                <w:sz w:val="20"/>
              </w:rPr>
            </w:pPr>
          </w:p>
          <w:p>
            <w:pPr>
              <w:pStyle w:val="TableParagraph"/>
              <w:ind w:left="80"/>
              <w:rPr>
                <w:b/>
                <w:sz w:val="20"/>
              </w:rPr>
            </w:pPr>
            <w:r>
              <w:rPr>
                <w:b/>
                <w:color w:val="FFFFFF"/>
                <w:spacing w:val="-2"/>
                <w:sz w:val="20"/>
              </w:rPr>
              <w:t>Priority</w:t>
            </w:r>
          </w:p>
        </w:tc>
        <w:tc>
          <w:tcPr>
            <w:tcW w:w="1317" w:type="dxa"/>
            <w:tcBorders>
              <w:left w:val="single" w:sz="4" w:space="0" w:color="FFFFFF"/>
              <w:right w:val="single" w:sz="4" w:space="0" w:color="FFFFFF"/>
            </w:tcBorders>
            <w:shd w:val="clear" w:color="auto" w:fill="A7A9AC"/>
          </w:tcPr>
          <w:p>
            <w:pPr>
              <w:pStyle w:val="TableParagraph"/>
              <w:spacing w:before="67"/>
              <w:rPr>
                <w:b/>
                <w:sz w:val="20"/>
              </w:rPr>
            </w:pPr>
          </w:p>
          <w:p>
            <w:pPr>
              <w:pStyle w:val="TableParagraph"/>
              <w:ind w:left="80"/>
              <w:rPr>
                <w:b/>
                <w:sz w:val="20"/>
              </w:rPr>
            </w:pPr>
            <w:r>
              <w:rPr>
                <w:b/>
                <w:color w:val="FFFFFF"/>
                <w:w w:val="90"/>
                <w:sz w:val="20"/>
              </w:rPr>
              <w:t>Focus</w:t>
            </w:r>
            <w:r>
              <w:rPr>
                <w:b/>
                <w:color w:val="FFFFFF"/>
                <w:spacing w:val="8"/>
                <w:sz w:val="20"/>
              </w:rPr>
              <w:t> </w:t>
            </w:r>
            <w:r>
              <w:rPr>
                <w:b/>
                <w:color w:val="FFFFFF"/>
                <w:spacing w:val="-4"/>
                <w:sz w:val="20"/>
              </w:rPr>
              <w:t>Area</w:t>
            </w:r>
          </w:p>
        </w:tc>
        <w:tc>
          <w:tcPr>
            <w:tcW w:w="1619" w:type="dxa"/>
            <w:tcBorders>
              <w:left w:val="single" w:sz="4" w:space="0" w:color="FFFFFF"/>
              <w:right w:val="single" w:sz="4" w:space="0" w:color="FFFFFF"/>
            </w:tcBorders>
            <w:shd w:val="clear" w:color="auto" w:fill="A7A9AC"/>
          </w:tcPr>
          <w:p>
            <w:pPr>
              <w:pStyle w:val="TableParagraph"/>
              <w:spacing w:line="230" w:lineRule="auto" w:before="195"/>
              <w:ind w:left="80" w:right="109"/>
              <w:rPr>
                <w:b/>
                <w:sz w:val="20"/>
              </w:rPr>
            </w:pPr>
            <w:r>
              <w:rPr>
                <w:b/>
                <w:color w:val="FFFFFF"/>
                <w:spacing w:val="-8"/>
                <w:sz w:val="20"/>
              </w:rPr>
              <w:t>Goal</w:t>
            </w:r>
            <w:r>
              <w:rPr>
                <w:b/>
                <w:color w:val="FFFFFF"/>
                <w:spacing w:val="-6"/>
                <w:sz w:val="20"/>
              </w:rPr>
              <w:t> </w:t>
            </w:r>
            <w:r>
              <w:rPr>
                <w:b/>
                <w:color w:val="FFFFFF"/>
                <w:spacing w:val="-8"/>
                <w:sz w:val="20"/>
              </w:rPr>
              <w:t>Focus </w:t>
            </w:r>
            <w:r>
              <w:rPr>
                <w:b/>
                <w:color w:val="FFFFFF"/>
                <w:spacing w:val="-4"/>
                <w:sz w:val="20"/>
              </w:rPr>
              <w:t>Area</w:t>
            </w:r>
          </w:p>
        </w:tc>
        <w:tc>
          <w:tcPr>
            <w:tcW w:w="1461" w:type="dxa"/>
            <w:tcBorders>
              <w:left w:val="single" w:sz="4" w:space="0" w:color="FFFFFF"/>
              <w:right w:val="single" w:sz="4" w:space="0" w:color="FFFFFF"/>
            </w:tcBorders>
            <w:shd w:val="clear" w:color="auto" w:fill="A7A9AC"/>
          </w:tcPr>
          <w:p>
            <w:pPr>
              <w:pStyle w:val="TableParagraph"/>
              <w:spacing w:before="67"/>
              <w:rPr>
                <w:b/>
                <w:sz w:val="20"/>
              </w:rPr>
            </w:pPr>
          </w:p>
          <w:p>
            <w:pPr>
              <w:pStyle w:val="TableParagraph"/>
              <w:ind w:left="81"/>
              <w:rPr>
                <w:b/>
                <w:sz w:val="20"/>
              </w:rPr>
            </w:pPr>
            <w:r>
              <w:rPr>
                <w:b/>
                <w:color w:val="FFFFFF"/>
                <w:spacing w:val="-2"/>
                <w:sz w:val="20"/>
              </w:rPr>
              <w:t>Objectives</w:t>
            </w:r>
          </w:p>
        </w:tc>
        <w:tc>
          <w:tcPr>
            <w:tcW w:w="1238" w:type="dxa"/>
            <w:tcBorders>
              <w:left w:val="single" w:sz="4" w:space="0" w:color="FFFFFF"/>
              <w:right w:val="single" w:sz="4" w:space="0" w:color="FFFFFF"/>
            </w:tcBorders>
            <w:shd w:val="clear" w:color="auto" w:fill="A7A9AC"/>
          </w:tcPr>
          <w:p>
            <w:pPr>
              <w:pStyle w:val="TableParagraph"/>
              <w:spacing w:before="67"/>
              <w:rPr>
                <w:b/>
                <w:sz w:val="20"/>
              </w:rPr>
            </w:pPr>
          </w:p>
          <w:p>
            <w:pPr>
              <w:pStyle w:val="TableParagraph"/>
              <w:ind w:left="82"/>
              <w:rPr>
                <w:b/>
                <w:sz w:val="20"/>
              </w:rPr>
            </w:pPr>
            <w:r>
              <w:rPr>
                <w:b/>
                <w:color w:val="FFFFFF"/>
                <w:spacing w:val="-2"/>
                <w:sz w:val="20"/>
              </w:rPr>
              <w:t>Disparities</w:t>
            </w:r>
          </w:p>
        </w:tc>
        <w:tc>
          <w:tcPr>
            <w:tcW w:w="7675" w:type="dxa"/>
            <w:tcBorders>
              <w:left w:val="single" w:sz="4" w:space="0" w:color="FFFFFF"/>
              <w:right w:val="single" w:sz="4" w:space="0" w:color="FFFFFF"/>
            </w:tcBorders>
            <w:shd w:val="clear" w:color="auto" w:fill="A7A9AC"/>
          </w:tcPr>
          <w:p>
            <w:pPr>
              <w:pStyle w:val="TableParagraph"/>
              <w:spacing w:before="67"/>
              <w:rPr>
                <w:b/>
                <w:sz w:val="20"/>
              </w:rPr>
            </w:pPr>
          </w:p>
          <w:p>
            <w:pPr>
              <w:pStyle w:val="TableParagraph"/>
              <w:tabs>
                <w:tab w:pos="5442" w:val="left" w:leader="none"/>
              </w:tabs>
              <w:ind w:left="82"/>
              <w:rPr>
                <w:b/>
                <w:sz w:val="20"/>
              </w:rPr>
            </w:pPr>
            <w:r>
              <w:rPr>
                <w:b/>
                <w:color w:val="FFFFFF"/>
                <w:spacing w:val="-2"/>
                <w:sz w:val="20"/>
              </w:rPr>
              <w:t>Interventions</w:t>
            </w:r>
            <w:r>
              <w:rPr>
                <w:b/>
                <w:color w:val="FFFFFF"/>
                <w:sz w:val="20"/>
              </w:rPr>
              <w:tab/>
              <w:t>Family</w:t>
            </w:r>
            <w:r>
              <w:rPr>
                <w:b/>
                <w:color w:val="FFFFFF"/>
                <w:spacing w:val="-12"/>
                <w:sz w:val="20"/>
              </w:rPr>
              <w:t> </w:t>
            </w:r>
            <w:r>
              <w:rPr>
                <w:b/>
                <w:color w:val="FFFFFF"/>
                <w:sz w:val="20"/>
              </w:rPr>
              <w:t>of</w:t>
            </w:r>
            <w:r>
              <w:rPr>
                <w:b/>
                <w:color w:val="FFFFFF"/>
                <w:spacing w:val="-12"/>
                <w:sz w:val="20"/>
              </w:rPr>
              <w:t> </w:t>
            </w:r>
            <w:r>
              <w:rPr>
                <w:b/>
                <w:color w:val="FFFFFF"/>
                <w:spacing w:val="-2"/>
                <w:sz w:val="20"/>
              </w:rPr>
              <w:t>Measures</w:t>
            </w:r>
          </w:p>
        </w:tc>
        <w:tc>
          <w:tcPr>
            <w:tcW w:w="1850" w:type="dxa"/>
            <w:tcBorders>
              <w:left w:val="single" w:sz="4" w:space="0" w:color="FFFFFF"/>
              <w:right w:val="single" w:sz="4" w:space="0" w:color="FFFFFF"/>
            </w:tcBorders>
            <w:shd w:val="clear" w:color="auto" w:fill="A7A9AC"/>
          </w:tcPr>
          <w:p>
            <w:pPr>
              <w:pStyle w:val="TableParagraph"/>
              <w:spacing w:line="230" w:lineRule="auto" w:before="195"/>
              <w:ind w:left="92" w:right="120"/>
              <w:rPr>
                <w:b/>
                <w:sz w:val="20"/>
              </w:rPr>
            </w:pPr>
            <w:r>
              <w:rPr>
                <w:b/>
                <w:color w:val="FFFFFF"/>
                <w:spacing w:val="-2"/>
                <w:sz w:val="20"/>
              </w:rPr>
              <w:t>Implementation Partner</w:t>
            </w:r>
          </w:p>
        </w:tc>
        <w:tc>
          <w:tcPr>
            <w:tcW w:w="2692" w:type="dxa"/>
            <w:tcBorders>
              <w:left w:val="single" w:sz="4" w:space="0" w:color="FFFFFF"/>
              <w:right w:val="single" w:sz="4" w:space="0" w:color="FFFFFF"/>
            </w:tcBorders>
            <w:shd w:val="clear" w:color="auto" w:fill="A7A9AC"/>
          </w:tcPr>
          <w:p>
            <w:pPr>
              <w:pStyle w:val="TableParagraph"/>
              <w:spacing w:before="67"/>
              <w:rPr>
                <w:b/>
                <w:sz w:val="20"/>
              </w:rPr>
            </w:pPr>
          </w:p>
          <w:p>
            <w:pPr>
              <w:pStyle w:val="TableParagraph"/>
              <w:ind w:left="83"/>
              <w:rPr>
                <w:b/>
                <w:sz w:val="20"/>
              </w:rPr>
            </w:pPr>
            <w:r>
              <w:rPr>
                <w:b/>
                <w:color w:val="FFFFFF"/>
                <w:spacing w:val="-4"/>
                <w:sz w:val="20"/>
              </w:rPr>
              <w:t>Partner</w:t>
            </w:r>
            <w:r>
              <w:rPr>
                <w:b/>
                <w:color w:val="FFFFFF"/>
                <w:spacing w:val="-2"/>
                <w:sz w:val="20"/>
              </w:rPr>
              <w:t> </w:t>
            </w:r>
            <w:r>
              <w:rPr>
                <w:b/>
                <w:color w:val="FFFFFF"/>
                <w:spacing w:val="-4"/>
                <w:sz w:val="20"/>
              </w:rPr>
              <w:t>Roles</w:t>
            </w:r>
            <w:r>
              <w:rPr>
                <w:b/>
                <w:color w:val="FFFFFF"/>
                <w:spacing w:val="-2"/>
                <w:sz w:val="20"/>
              </w:rPr>
              <w:t> </w:t>
            </w:r>
            <w:r>
              <w:rPr>
                <w:b/>
                <w:color w:val="FFFFFF"/>
                <w:spacing w:val="-4"/>
                <w:sz w:val="20"/>
              </w:rPr>
              <w:t>Resources</w:t>
            </w:r>
          </w:p>
        </w:tc>
        <w:tc>
          <w:tcPr>
            <w:tcW w:w="3205" w:type="dxa"/>
            <w:tcBorders>
              <w:left w:val="single" w:sz="4" w:space="0" w:color="FFFFFF"/>
              <w:right w:val="single" w:sz="4" w:space="0" w:color="FFFFFF"/>
            </w:tcBorders>
            <w:shd w:val="clear" w:color="auto" w:fill="A7A9AC"/>
          </w:tcPr>
          <w:p>
            <w:pPr>
              <w:pStyle w:val="TableParagraph"/>
              <w:spacing w:before="67"/>
              <w:rPr>
                <w:b/>
                <w:sz w:val="20"/>
              </w:rPr>
            </w:pPr>
          </w:p>
          <w:p>
            <w:pPr>
              <w:pStyle w:val="TableParagraph"/>
              <w:ind w:left="84"/>
              <w:rPr>
                <w:b/>
                <w:sz w:val="20"/>
              </w:rPr>
            </w:pPr>
            <w:r>
              <w:rPr>
                <w:b/>
                <w:color w:val="FFFFFF"/>
                <w:sz w:val="20"/>
              </w:rPr>
              <w:t>Projected</w:t>
            </w:r>
            <w:r>
              <w:rPr>
                <w:b/>
                <w:color w:val="FFFFFF"/>
                <w:spacing w:val="-7"/>
                <w:sz w:val="20"/>
              </w:rPr>
              <w:t> </w:t>
            </w:r>
            <w:r>
              <w:rPr>
                <w:b/>
                <w:color w:val="FFFFFF"/>
                <w:sz w:val="20"/>
              </w:rPr>
              <w:t>Year</w:t>
            </w:r>
            <w:r>
              <w:rPr>
                <w:b/>
                <w:color w:val="FFFFFF"/>
                <w:spacing w:val="-6"/>
                <w:sz w:val="20"/>
              </w:rPr>
              <w:t> </w:t>
            </w:r>
            <w:r>
              <w:rPr>
                <w:b/>
                <w:color w:val="FFFFFF"/>
                <w:sz w:val="20"/>
              </w:rPr>
              <w:t>1,2,</w:t>
            </w:r>
            <w:r>
              <w:rPr>
                <w:b/>
                <w:color w:val="FFFFFF"/>
                <w:spacing w:val="-6"/>
                <w:sz w:val="20"/>
              </w:rPr>
              <w:t> </w:t>
            </w:r>
            <w:r>
              <w:rPr>
                <w:b/>
                <w:color w:val="FFFFFF"/>
                <w:sz w:val="20"/>
              </w:rPr>
              <w:t>and</w:t>
            </w:r>
            <w:r>
              <w:rPr>
                <w:b/>
                <w:color w:val="FFFFFF"/>
                <w:spacing w:val="-7"/>
                <w:sz w:val="20"/>
              </w:rPr>
              <w:t> </w:t>
            </w:r>
            <w:r>
              <w:rPr>
                <w:b/>
                <w:color w:val="FFFFFF"/>
                <w:spacing w:val="-10"/>
                <w:sz w:val="20"/>
              </w:rPr>
              <w:t>3</w:t>
            </w:r>
          </w:p>
        </w:tc>
      </w:tr>
      <w:tr>
        <w:trPr>
          <w:trHeight w:val="4310" w:hRule="atLeast"/>
        </w:trPr>
        <w:tc>
          <w:tcPr>
            <w:tcW w:w="1245" w:type="dxa"/>
            <w:shd w:val="clear" w:color="auto" w:fill="E6E7E8"/>
          </w:tcPr>
          <w:p>
            <w:pPr>
              <w:pStyle w:val="TableParagraph"/>
              <w:spacing w:line="232" w:lineRule="auto" w:before="101"/>
              <w:ind w:left="90" w:right="152"/>
              <w:rPr>
                <w:sz w:val="18"/>
              </w:rPr>
            </w:pPr>
            <w:r>
              <w:rPr>
                <w:color w:val="105C84"/>
                <w:spacing w:val="-2"/>
                <w:sz w:val="18"/>
              </w:rPr>
              <w:t>Promote Well-Being </w:t>
            </w:r>
            <w:r>
              <w:rPr>
                <w:color w:val="105C84"/>
                <w:sz w:val="18"/>
              </w:rPr>
              <w:t>and</w:t>
            </w:r>
            <w:r>
              <w:rPr>
                <w:color w:val="105C84"/>
                <w:spacing w:val="-13"/>
                <w:sz w:val="18"/>
              </w:rPr>
              <w:t> </w:t>
            </w:r>
            <w:r>
              <w:rPr>
                <w:color w:val="105C84"/>
                <w:sz w:val="18"/>
              </w:rPr>
              <w:t>Prevent Mental and </w:t>
            </w:r>
            <w:r>
              <w:rPr>
                <w:color w:val="105C84"/>
                <w:spacing w:val="-2"/>
                <w:sz w:val="18"/>
              </w:rPr>
              <w:t>Substance </w:t>
            </w:r>
            <w:r>
              <w:rPr>
                <w:color w:val="105C84"/>
                <w:spacing w:val="-4"/>
                <w:sz w:val="18"/>
              </w:rPr>
              <w:t>Use </w:t>
            </w:r>
            <w:r>
              <w:rPr>
                <w:color w:val="105C84"/>
                <w:spacing w:val="-2"/>
                <w:sz w:val="18"/>
              </w:rPr>
              <w:t>Disorders</w:t>
            </w:r>
          </w:p>
        </w:tc>
        <w:tc>
          <w:tcPr>
            <w:tcW w:w="1317" w:type="dxa"/>
          </w:tcPr>
          <w:p>
            <w:pPr>
              <w:pStyle w:val="TableParagraph"/>
              <w:spacing w:line="232" w:lineRule="auto" w:before="101"/>
              <w:ind w:left="90" w:right="324"/>
              <w:jc w:val="both"/>
              <w:rPr>
                <w:sz w:val="18"/>
              </w:rPr>
            </w:pPr>
            <w:r>
              <w:rPr>
                <w:color w:val="105C84"/>
                <w:spacing w:val="-4"/>
                <w:sz w:val="18"/>
              </w:rPr>
              <w:t>Focus</w:t>
            </w:r>
            <w:r>
              <w:rPr>
                <w:color w:val="105C84"/>
                <w:spacing w:val="-9"/>
                <w:sz w:val="18"/>
              </w:rPr>
              <w:t> </w:t>
            </w:r>
            <w:r>
              <w:rPr>
                <w:color w:val="105C84"/>
                <w:spacing w:val="-4"/>
                <w:sz w:val="18"/>
              </w:rPr>
              <w:t>Area </w:t>
            </w:r>
            <w:r>
              <w:rPr>
                <w:color w:val="105C84"/>
                <w:sz w:val="18"/>
              </w:rPr>
              <w:t>1:</w:t>
            </w:r>
            <w:r>
              <w:rPr>
                <w:color w:val="105C84"/>
                <w:spacing w:val="-13"/>
                <w:sz w:val="18"/>
              </w:rPr>
              <w:t> </w:t>
            </w:r>
            <w:r>
              <w:rPr>
                <w:color w:val="105C84"/>
                <w:sz w:val="18"/>
              </w:rPr>
              <w:t>Promote </w:t>
            </w:r>
            <w:r>
              <w:rPr>
                <w:color w:val="105C84"/>
                <w:spacing w:val="-2"/>
                <w:sz w:val="18"/>
              </w:rPr>
              <w:t>Well-Being</w:t>
            </w:r>
          </w:p>
        </w:tc>
        <w:tc>
          <w:tcPr>
            <w:tcW w:w="1619" w:type="dxa"/>
          </w:tcPr>
          <w:p>
            <w:pPr>
              <w:pStyle w:val="TableParagraph"/>
              <w:spacing w:line="232" w:lineRule="auto" w:before="101"/>
              <w:ind w:left="90"/>
              <w:rPr>
                <w:sz w:val="18"/>
              </w:rPr>
            </w:pPr>
            <w:r>
              <w:rPr>
                <w:color w:val="105C84"/>
                <w:sz w:val="18"/>
              </w:rPr>
              <w:t>1.2 Facilitate </w:t>
            </w:r>
            <w:r>
              <w:rPr>
                <w:color w:val="105C84"/>
                <w:spacing w:val="-2"/>
                <w:sz w:val="18"/>
              </w:rPr>
              <w:t>supportive </w:t>
            </w:r>
            <w:r>
              <w:rPr>
                <w:color w:val="105C84"/>
                <w:sz w:val="18"/>
              </w:rPr>
              <w:t>environments</w:t>
            </w:r>
            <w:r>
              <w:rPr>
                <w:color w:val="105C84"/>
                <w:spacing w:val="-13"/>
                <w:sz w:val="18"/>
              </w:rPr>
              <w:t> </w:t>
            </w:r>
            <w:r>
              <w:rPr>
                <w:color w:val="105C84"/>
                <w:sz w:val="18"/>
              </w:rPr>
              <w:t>that</w:t>
            </w:r>
            <w:r>
              <w:rPr>
                <w:color w:val="105C84"/>
                <w:sz w:val="18"/>
              </w:rPr>
              <w:t> promote respect and dignity for people of all</w:t>
            </w:r>
          </w:p>
        </w:tc>
        <w:tc>
          <w:tcPr>
            <w:tcW w:w="1461" w:type="dxa"/>
          </w:tcPr>
          <w:p>
            <w:pPr>
              <w:pStyle w:val="TableParagraph"/>
              <w:spacing w:line="203" w:lineRule="exact" w:before="96"/>
              <w:ind w:left="91"/>
              <w:rPr>
                <w:sz w:val="18"/>
              </w:rPr>
            </w:pPr>
            <w:r>
              <w:rPr>
                <w:color w:val="105C84"/>
                <w:spacing w:val="-5"/>
                <w:sz w:val="18"/>
              </w:rPr>
              <w:t>1.2</w:t>
            </w:r>
            <w:r>
              <w:rPr>
                <w:color w:val="105C84"/>
                <w:spacing w:val="-7"/>
                <w:sz w:val="18"/>
              </w:rPr>
              <w:t> </w:t>
            </w:r>
            <w:r>
              <w:rPr>
                <w:color w:val="105C84"/>
                <w:spacing w:val="-5"/>
                <w:sz w:val="18"/>
              </w:rPr>
              <w:t>By</w:t>
            </w:r>
          </w:p>
          <w:p>
            <w:pPr>
              <w:pStyle w:val="TableParagraph"/>
              <w:spacing w:line="200" w:lineRule="exact"/>
              <w:ind w:left="91"/>
              <w:rPr>
                <w:sz w:val="18"/>
              </w:rPr>
            </w:pPr>
            <w:r>
              <w:rPr>
                <w:color w:val="105C84"/>
                <w:sz w:val="18"/>
              </w:rPr>
              <w:t>December</w:t>
            </w:r>
            <w:r>
              <w:rPr>
                <w:color w:val="105C84"/>
                <w:spacing w:val="4"/>
                <w:sz w:val="18"/>
              </w:rPr>
              <w:t> </w:t>
            </w:r>
            <w:r>
              <w:rPr>
                <w:color w:val="105C84"/>
                <w:spacing w:val="-5"/>
                <w:sz w:val="18"/>
              </w:rPr>
              <w:t>31,</w:t>
            </w:r>
          </w:p>
          <w:p>
            <w:pPr>
              <w:pStyle w:val="TableParagraph"/>
              <w:spacing w:line="232" w:lineRule="auto" w:before="1"/>
              <w:ind w:left="91"/>
              <w:rPr>
                <w:sz w:val="18"/>
              </w:rPr>
            </w:pPr>
            <w:r>
              <w:rPr>
                <w:color w:val="105C84"/>
                <w:spacing w:val="-6"/>
                <w:sz w:val="18"/>
              </w:rPr>
              <w:t>2021,</w:t>
            </w:r>
            <w:r>
              <w:rPr>
                <w:color w:val="105C84"/>
                <w:spacing w:val="-7"/>
                <w:sz w:val="18"/>
              </w:rPr>
              <w:t> </w:t>
            </w:r>
            <w:r>
              <w:rPr>
                <w:color w:val="105C84"/>
                <w:spacing w:val="-6"/>
                <w:sz w:val="18"/>
              </w:rPr>
              <w:t>increase </w:t>
            </w:r>
            <w:r>
              <w:rPr>
                <w:color w:val="105C84"/>
                <w:sz w:val="18"/>
              </w:rPr>
              <w:t>LC's Health Scores by</w:t>
            </w:r>
          </w:p>
          <w:p>
            <w:pPr>
              <w:pStyle w:val="TableParagraph"/>
              <w:spacing w:line="232" w:lineRule="auto"/>
              <w:ind w:left="91"/>
              <w:rPr>
                <w:sz w:val="18"/>
              </w:rPr>
            </w:pPr>
            <w:r>
              <w:rPr>
                <w:color w:val="105C84"/>
                <w:w w:val="105"/>
                <w:sz w:val="18"/>
              </w:rPr>
              <w:t>2% per the </w:t>
            </w:r>
            <w:r>
              <w:rPr>
                <w:color w:val="105C84"/>
                <w:spacing w:val="-2"/>
                <w:w w:val="105"/>
                <w:sz w:val="18"/>
              </w:rPr>
              <w:t>Opportunity Index</w:t>
            </w:r>
          </w:p>
        </w:tc>
        <w:tc>
          <w:tcPr>
            <w:tcW w:w="1238" w:type="dxa"/>
          </w:tcPr>
          <w:p>
            <w:pPr>
              <w:pStyle w:val="TableParagraph"/>
              <w:rPr>
                <w:rFonts w:ascii="Times New Roman"/>
                <w:sz w:val="18"/>
              </w:rPr>
            </w:pPr>
          </w:p>
        </w:tc>
        <w:tc>
          <w:tcPr>
            <w:tcW w:w="7675" w:type="dxa"/>
          </w:tcPr>
          <w:p>
            <w:pPr>
              <w:pStyle w:val="TableParagraph"/>
              <w:tabs>
                <w:tab w:pos="5352" w:val="left" w:leader="none"/>
              </w:tabs>
              <w:spacing w:line="203" w:lineRule="exact" w:before="95"/>
              <w:ind w:left="92"/>
              <w:rPr>
                <w:sz w:val="18"/>
              </w:rPr>
            </w:pPr>
            <w:r>
              <w:rPr>
                <w:color w:val="105C84"/>
                <w:sz w:val="18"/>
              </w:rPr>
              <w:t>1.2.2</w:t>
            </w:r>
            <w:r>
              <w:rPr>
                <w:color w:val="105C84"/>
                <w:spacing w:val="-7"/>
                <w:sz w:val="18"/>
              </w:rPr>
              <w:t> </w:t>
            </w:r>
            <w:r>
              <w:rPr>
                <w:color w:val="105C84"/>
                <w:sz w:val="18"/>
              </w:rPr>
              <w:t>Mental</w:t>
            </w:r>
            <w:r>
              <w:rPr>
                <w:color w:val="105C84"/>
                <w:spacing w:val="-6"/>
                <w:sz w:val="18"/>
              </w:rPr>
              <w:t> </w:t>
            </w:r>
            <w:r>
              <w:rPr>
                <w:color w:val="105C84"/>
                <w:sz w:val="18"/>
              </w:rPr>
              <w:t>Health</w:t>
            </w:r>
            <w:r>
              <w:rPr>
                <w:color w:val="105C84"/>
                <w:spacing w:val="-6"/>
                <w:sz w:val="18"/>
              </w:rPr>
              <w:t> </w:t>
            </w:r>
            <w:r>
              <w:rPr>
                <w:color w:val="105C84"/>
                <w:sz w:val="18"/>
              </w:rPr>
              <w:t>First</w:t>
            </w:r>
            <w:r>
              <w:rPr>
                <w:color w:val="105C84"/>
                <w:spacing w:val="-6"/>
                <w:sz w:val="18"/>
              </w:rPr>
              <w:t> </w:t>
            </w:r>
            <w:r>
              <w:rPr>
                <w:color w:val="105C84"/>
                <w:sz w:val="18"/>
              </w:rPr>
              <w:t>Aid</w:t>
            </w:r>
            <w:r>
              <w:rPr>
                <w:color w:val="105C84"/>
                <w:spacing w:val="-6"/>
                <w:sz w:val="18"/>
              </w:rPr>
              <w:t> </w:t>
            </w:r>
            <w:r>
              <w:rPr>
                <w:color w:val="105C84"/>
                <w:sz w:val="18"/>
              </w:rPr>
              <w:t>is</w:t>
            </w:r>
            <w:r>
              <w:rPr>
                <w:color w:val="105C84"/>
                <w:spacing w:val="-6"/>
                <w:sz w:val="18"/>
              </w:rPr>
              <w:t> </w:t>
            </w:r>
            <w:r>
              <w:rPr>
                <w:color w:val="105C84"/>
                <w:spacing w:val="-5"/>
                <w:sz w:val="18"/>
              </w:rPr>
              <w:t>an</w:t>
            </w:r>
            <w:r>
              <w:rPr>
                <w:color w:val="105C84"/>
                <w:sz w:val="18"/>
              </w:rPr>
              <w:tab/>
            </w:r>
            <w:r>
              <w:rPr>
                <w:color w:val="105C84"/>
                <w:spacing w:val="-2"/>
                <w:sz w:val="18"/>
              </w:rPr>
              <w:t>Increase</w:t>
            </w:r>
            <w:r>
              <w:rPr>
                <w:color w:val="105C84"/>
                <w:spacing w:val="-3"/>
                <w:sz w:val="18"/>
              </w:rPr>
              <w:t> </w:t>
            </w:r>
            <w:r>
              <w:rPr>
                <w:color w:val="105C84"/>
                <w:spacing w:val="-2"/>
                <w:sz w:val="18"/>
              </w:rPr>
              <w:t>number </w:t>
            </w:r>
            <w:r>
              <w:rPr>
                <w:color w:val="105C84"/>
                <w:spacing w:val="-5"/>
                <w:sz w:val="18"/>
              </w:rPr>
              <w:t>of</w:t>
            </w:r>
          </w:p>
          <w:p>
            <w:pPr>
              <w:pStyle w:val="TableParagraph"/>
              <w:tabs>
                <w:tab w:pos="5352" w:val="left" w:leader="none"/>
              </w:tabs>
              <w:spacing w:line="200" w:lineRule="exact"/>
              <w:ind w:left="92"/>
              <w:rPr>
                <w:sz w:val="18"/>
              </w:rPr>
            </w:pPr>
            <w:r>
              <w:rPr>
                <w:color w:val="105C84"/>
                <w:sz w:val="18"/>
              </w:rPr>
              <w:t>evidence- based</w:t>
            </w:r>
            <w:r>
              <w:rPr>
                <w:color w:val="105C84"/>
                <w:spacing w:val="1"/>
                <w:sz w:val="18"/>
              </w:rPr>
              <w:t> </w:t>
            </w:r>
            <w:r>
              <w:rPr>
                <w:color w:val="105C84"/>
                <w:sz w:val="18"/>
              </w:rPr>
              <w:t>public</w:t>
            </w:r>
            <w:r>
              <w:rPr>
                <w:color w:val="105C84"/>
                <w:spacing w:val="1"/>
                <w:sz w:val="18"/>
              </w:rPr>
              <w:t> </w:t>
            </w:r>
            <w:r>
              <w:rPr>
                <w:color w:val="105C84"/>
                <w:spacing w:val="-2"/>
                <w:sz w:val="18"/>
              </w:rPr>
              <w:t>education</w:t>
            </w:r>
            <w:r>
              <w:rPr>
                <w:color w:val="105C84"/>
                <w:sz w:val="18"/>
              </w:rPr>
              <w:tab/>
              <w:t>community</w:t>
            </w:r>
            <w:r>
              <w:rPr>
                <w:color w:val="105C84"/>
                <w:spacing w:val="-3"/>
                <w:sz w:val="18"/>
              </w:rPr>
              <w:t> </w:t>
            </w:r>
            <w:r>
              <w:rPr>
                <w:color w:val="105C84"/>
                <w:sz w:val="18"/>
              </w:rPr>
              <w:t>partners</w:t>
            </w:r>
            <w:r>
              <w:rPr>
                <w:color w:val="105C84"/>
                <w:spacing w:val="-3"/>
                <w:sz w:val="18"/>
              </w:rPr>
              <w:t> </w:t>
            </w:r>
            <w:r>
              <w:rPr>
                <w:color w:val="105C84"/>
                <w:spacing w:val="-2"/>
                <w:sz w:val="18"/>
              </w:rPr>
              <w:t>trained</w:t>
            </w:r>
          </w:p>
          <w:p>
            <w:pPr>
              <w:pStyle w:val="TableParagraph"/>
              <w:tabs>
                <w:tab w:pos="5352" w:val="left" w:leader="none"/>
              </w:tabs>
              <w:spacing w:line="200" w:lineRule="exact"/>
              <w:ind w:left="92"/>
              <w:rPr>
                <w:sz w:val="18"/>
              </w:rPr>
            </w:pPr>
            <w:r>
              <w:rPr>
                <w:color w:val="105C84"/>
                <w:sz w:val="18"/>
              </w:rPr>
              <w:t>program</w:t>
            </w:r>
            <w:r>
              <w:rPr>
                <w:color w:val="105C84"/>
                <w:spacing w:val="4"/>
                <w:sz w:val="18"/>
              </w:rPr>
              <w:t> </w:t>
            </w:r>
            <w:r>
              <w:rPr>
                <w:color w:val="105C84"/>
                <w:sz w:val="18"/>
              </w:rPr>
              <w:t>that</w:t>
            </w:r>
            <w:r>
              <w:rPr>
                <w:color w:val="105C84"/>
                <w:spacing w:val="5"/>
                <w:sz w:val="18"/>
              </w:rPr>
              <w:t> </w:t>
            </w:r>
            <w:r>
              <w:rPr>
                <w:color w:val="105C84"/>
                <w:sz w:val="18"/>
              </w:rPr>
              <w:t>teaches</w:t>
            </w:r>
            <w:r>
              <w:rPr>
                <w:color w:val="105C84"/>
                <w:spacing w:val="5"/>
                <w:sz w:val="18"/>
              </w:rPr>
              <w:t> </w:t>
            </w:r>
            <w:r>
              <w:rPr>
                <w:color w:val="105C84"/>
                <w:sz w:val="18"/>
              </w:rPr>
              <w:t>people</w:t>
            </w:r>
            <w:r>
              <w:rPr>
                <w:color w:val="105C84"/>
                <w:spacing w:val="5"/>
                <w:sz w:val="18"/>
              </w:rPr>
              <w:t> </w:t>
            </w:r>
            <w:r>
              <w:rPr>
                <w:color w:val="105C84"/>
                <w:spacing w:val="-5"/>
                <w:sz w:val="18"/>
              </w:rPr>
              <w:t>how</w:t>
            </w:r>
            <w:r>
              <w:rPr>
                <w:color w:val="105C84"/>
                <w:sz w:val="18"/>
              </w:rPr>
              <w:tab/>
              <w:t>in</w:t>
            </w:r>
            <w:r>
              <w:rPr>
                <w:color w:val="105C84"/>
                <w:spacing w:val="-1"/>
                <w:sz w:val="18"/>
              </w:rPr>
              <w:t> </w:t>
            </w:r>
            <w:r>
              <w:rPr>
                <w:color w:val="105C84"/>
                <w:sz w:val="18"/>
              </w:rPr>
              <w:t>Mental</w:t>
            </w:r>
            <w:r>
              <w:rPr>
                <w:color w:val="105C84"/>
                <w:spacing w:val="-1"/>
                <w:sz w:val="18"/>
              </w:rPr>
              <w:t> </w:t>
            </w:r>
            <w:r>
              <w:rPr>
                <w:color w:val="105C84"/>
                <w:sz w:val="18"/>
              </w:rPr>
              <w:t>Health</w:t>
            </w:r>
            <w:r>
              <w:rPr>
                <w:color w:val="105C84"/>
                <w:spacing w:val="-1"/>
                <w:sz w:val="18"/>
              </w:rPr>
              <w:t> </w:t>
            </w:r>
            <w:r>
              <w:rPr>
                <w:color w:val="105C84"/>
                <w:sz w:val="18"/>
              </w:rPr>
              <w:t>First </w:t>
            </w:r>
            <w:r>
              <w:rPr>
                <w:color w:val="105C84"/>
                <w:spacing w:val="-5"/>
                <w:sz w:val="18"/>
              </w:rPr>
              <w:t>Aid</w:t>
            </w:r>
          </w:p>
          <w:p>
            <w:pPr>
              <w:pStyle w:val="TableParagraph"/>
              <w:tabs>
                <w:tab w:pos="5352" w:val="left" w:leader="none"/>
              </w:tabs>
              <w:spacing w:line="148" w:lineRule="auto" w:before="27"/>
              <w:ind w:left="92"/>
              <w:rPr>
                <w:position w:val="-8"/>
                <w:sz w:val="18"/>
              </w:rPr>
            </w:pPr>
            <w:r>
              <w:rPr>
                <w:color w:val="105C84"/>
                <w:sz w:val="18"/>
              </w:rPr>
              <w:t>to</w:t>
            </w:r>
            <w:r>
              <w:rPr>
                <w:color w:val="105C84"/>
                <w:spacing w:val="4"/>
                <w:sz w:val="18"/>
              </w:rPr>
              <w:t> </w:t>
            </w:r>
            <w:r>
              <w:rPr>
                <w:color w:val="105C84"/>
                <w:sz w:val="18"/>
              </w:rPr>
              <w:t>respond</w:t>
            </w:r>
            <w:r>
              <w:rPr>
                <w:color w:val="105C84"/>
                <w:spacing w:val="5"/>
                <w:sz w:val="18"/>
              </w:rPr>
              <w:t> </w:t>
            </w:r>
            <w:r>
              <w:rPr>
                <w:color w:val="105C84"/>
                <w:sz w:val="18"/>
              </w:rPr>
              <w:t>to</w:t>
            </w:r>
            <w:r>
              <w:rPr>
                <w:color w:val="105C84"/>
                <w:spacing w:val="5"/>
                <w:sz w:val="18"/>
              </w:rPr>
              <w:t> </w:t>
            </w:r>
            <w:r>
              <w:rPr>
                <w:color w:val="105C84"/>
                <w:sz w:val="18"/>
              </w:rPr>
              <w:t>individuals</w:t>
            </w:r>
            <w:r>
              <w:rPr>
                <w:color w:val="105C84"/>
                <w:spacing w:val="5"/>
                <w:sz w:val="18"/>
              </w:rPr>
              <w:t> </w:t>
            </w:r>
            <w:r>
              <w:rPr>
                <w:color w:val="105C84"/>
                <w:sz w:val="18"/>
              </w:rPr>
              <w:t>who</w:t>
            </w:r>
            <w:r>
              <w:rPr>
                <w:color w:val="105C84"/>
                <w:spacing w:val="5"/>
                <w:sz w:val="18"/>
              </w:rPr>
              <w:t> </w:t>
            </w:r>
            <w:r>
              <w:rPr>
                <w:color w:val="105C84"/>
                <w:spacing w:val="-5"/>
                <w:sz w:val="18"/>
              </w:rPr>
              <w:t>are</w:t>
            </w:r>
            <w:r>
              <w:rPr>
                <w:color w:val="105C84"/>
                <w:sz w:val="18"/>
              </w:rPr>
              <w:tab/>
            </w:r>
            <w:r>
              <w:rPr>
                <w:color w:val="105C84"/>
                <w:spacing w:val="-2"/>
                <w:position w:val="-8"/>
                <w:sz w:val="18"/>
              </w:rPr>
              <w:t>Increase</w:t>
            </w:r>
            <w:r>
              <w:rPr>
                <w:color w:val="105C84"/>
                <w:spacing w:val="-3"/>
                <w:position w:val="-8"/>
                <w:sz w:val="18"/>
              </w:rPr>
              <w:t> </w:t>
            </w:r>
            <w:r>
              <w:rPr>
                <w:color w:val="105C84"/>
                <w:spacing w:val="-2"/>
                <w:position w:val="-8"/>
                <w:sz w:val="18"/>
              </w:rPr>
              <w:t>number </w:t>
            </w:r>
            <w:r>
              <w:rPr>
                <w:color w:val="105C84"/>
                <w:spacing w:val="-5"/>
                <w:position w:val="-8"/>
                <w:sz w:val="18"/>
              </w:rPr>
              <w:t>of</w:t>
            </w:r>
          </w:p>
          <w:p>
            <w:pPr>
              <w:pStyle w:val="TableParagraph"/>
              <w:tabs>
                <w:tab w:pos="5352" w:val="left" w:leader="none"/>
              </w:tabs>
              <w:spacing w:line="148" w:lineRule="auto"/>
              <w:ind w:left="92"/>
              <w:rPr>
                <w:position w:val="-8"/>
                <w:sz w:val="18"/>
              </w:rPr>
            </w:pPr>
            <w:r>
              <w:rPr>
                <w:color w:val="105C84"/>
                <w:sz w:val="18"/>
              </w:rPr>
              <w:t>experiencing</w:t>
            </w:r>
            <w:r>
              <w:rPr>
                <w:color w:val="105C84"/>
                <w:spacing w:val="2"/>
                <w:sz w:val="18"/>
              </w:rPr>
              <w:t> </w:t>
            </w:r>
            <w:r>
              <w:rPr>
                <w:color w:val="105C84"/>
                <w:sz w:val="18"/>
              </w:rPr>
              <w:t>one</w:t>
            </w:r>
            <w:r>
              <w:rPr>
                <w:color w:val="105C84"/>
                <w:spacing w:val="3"/>
                <w:sz w:val="18"/>
              </w:rPr>
              <w:t> </w:t>
            </w:r>
            <w:r>
              <w:rPr>
                <w:color w:val="105C84"/>
                <w:sz w:val="18"/>
              </w:rPr>
              <w:t>or</w:t>
            </w:r>
            <w:r>
              <w:rPr>
                <w:color w:val="105C84"/>
                <w:spacing w:val="3"/>
                <w:sz w:val="18"/>
              </w:rPr>
              <w:t> </w:t>
            </w:r>
            <w:r>
              <w:rPr>
                <w:color w:val="105C84"/>
                <w:sz w:val="18"/>
              </w:rPr>
              <w:t>more</w:t>
            </w:r>
            <w:r>
              <w:rPr>
                <w:color w:val="105C84"/>
                <w:spacing w:val="2"/>
                <w:sz w:val="18"/>
              </w:rPr>
              <w:t> </w:t>
            </w:r>
            <w:r>
              <w:rPr>
                <w:color w:val="105C84"/>
                <w:spacing w:val="-2"/>
                <w:sz w:val="18"/>
              </w:rPr>
              <w:t>acute</w:t>
            </w:r>
            <w:r>
              <w:rPr>
                <w:color w:val="105C84"/>
                <w:sz w:val="18"/>
              </w:rPr>
              <w:tab/>
            </w:r>
            <w:r>
              <w:rPr>
                <w:color w:val="105C84"/>
                <w:position w:val="-8"/>
                <w:sz w:val="18"/>
              </w:rPr>
              <w:t>community</w:t>
            </w:r>
            <w:r>
              <w:rPr>
                <w:color w:val="105C84"/>
                <w:spacing w:val="-3"/>
                <w:position w:val="-8"/>
                <w:sz w:val="18"/>
              </w:rPr>
              <w:t> </w:t>
            </w:r>
            <w:r>
              <w:rPr>
                <w:color w:val="105C84"/>
                <w:position w:val="-8"/>
                <w:sz w:val="18"/>
              </w:rPr>
              <w:t>partners</w:t>
            </w:r>
            <w:r>
              <w:rPr>
                <w:color w:val="105C84"/>
                <w:spacing w:val="-3"/>
                <w:position w:val="-8"/>
                <w:sz w:val="18"/>
              </w:rPr>
              <w:t> </w:t>
            </w:r>
            <w:r>
              <w:rPr>
                <w:color w:val="105C84"/>
                <w:spacing w:val="-2"/>
                <w:position w:val="-8"/>
                <w:sz w:val="18"/>
              </w:rPr>
              <w:t>trained</w:t>
            </w:r>
          </w:p>
          <w:p>
            <w:pPr>
              <w:pStyle w:val="TableParagraph"/>
              <w:tabs>
                <w:tab w:pos="5352" w:val="left" w:leader="none"/>
              </w:tabs>
              <w:spacing w:line="148" w:lineRule="auto"/>
              <w:ind w:left="92"/>
              <w:rPr>
                <w:position w:val="-8"/>
                <w:sz w:val="18"/>
              </w:rPr>
            </w:pPr>
            <w:r>
              <w:rPr>
                <w:color w:val="105C84"/>
                <w:spacing w:val="-2"/>
                <w:sz w:val="18"/>
              </w:rPr>
              <w:t>mental</w:t>
            </w:r>
            <w:r>
              <w:rPr>
                <w:color w:val="105C84"/>
                <w:spacing w:val="-9"/>
                <w:sz w:val="18"/>
              </w:rPr>
              <w:t> </w:t>
            </w:r>
            <w:r>
              <w:rPr>
                <w:color w:val="105C84"/>
                <w:spacing w:val="-2"/>
                <w:sz w:val="18"/>
              </w:rPr>
              <w:t>health</w:t>
            </w:r>
            <w:r>
              <w:rPr>
                <w:color w:val="105C84"/>
                <w:spacing w:val="-9"/>
                <w:sz w:val="18"/>
              </w:rPr>
              <w:t> </w:t>
            </w:r>
            <w:r>
              <w:rPr>
                <w:color w:val="105C84"/>
                <w:spacing w:val="-2"/>
                <w:sz w:val="18"/>
              </w:rPr>
              <w:t>crises</w:t>
            </w:r>
            <w:r>
              <w:rPr>
                <w:color w:val="105C84"/>
                <w:spacing w:val="-8"/>
                <w:sz w:val="18"/>
              </w:rPr>
              <w:t> </w:t>
            </w:r>
            <w:r>
              <w:rPr>
                <w:color w:val="105C84"/>
                <w:spacing w:val="-2"/>
                <w:sz w:val="18"/>
              </w:rPr>
              <w:t>(such</w:t>
            </w:r>
            <w:r>
              <w:rPr>
                <w:color w:val="105C84"/>
                <w:spacing w:val="-9"/>
                <w:sz w:val="18"/>
              </w:rPr>
              <w:t> </w:t>
            </w:r>
            <w:r>
              <w:rPr>
                <w:color w:val="105C84"/>
                <w:spacing w:val="-2"/>
                <w:sz w:val="18"/>
              </w:rPr>
              <w:t>as</w:t>
            </w:r>
            <w:r>
              <w:rPr>
                <w:color w:val="105C84"/>
                <w:spacing w:val="-8"/>
                <w:sz w:val="18"/>
              </w:rPr>
              <w:t> </w:t>
            </w:r>
            <w:r>
              <w:rPr>
                <w:color w:val="105C84"/>
                <w:spacing w:val="-2"/>
                <w:sz w:val="18"/>
              </w:rPr>
              <w:t>suicidal</w:t>
            </w:r>
            <w:r>
              <w:rPr>
                <w:color w:val="105C84"/>
                <w:sz w:val="18"/>
              </w:rPr>
              <w:tab/>
            </w:r>
            <w:r>
              <w:rPr>
                <w:color w:val="105C84"/>
                <w:position w:val="-8"/>
                <w:sz w:val="18"/>
              </w:rPr>
              <w:t>in</w:t>
            </w:r>
            <w:r>
              <w:rPr>
                <w:color w:val="105C84"/>
                <w:spacing w:val="-3"/>
                <w:position w:val="-8"/>
                <w:sz w:val="18"/>
              </w:rPr>
              <w:t> </w:t>
            </w:r>
            <w:r>
              <w:rPr>
                <w:color w:val="105C84"/>
                <w:position w:val="-8"/>
                <w:sz w:val="18"/>
              </w:rPr>
              <w:t>Youth</w:t>
            </w:r>
            <w:r>
              <w:rPr>
                <w:color w:val="105C84"/>
                <w:spacing w:val="-3"/>
                <w:position w:val="-8"/>
                <w:sz w:val="18"/>
              </w:rPr>
              <w:t> </w:t>
            </w:r>
            <w:r>
              <w:rPr>
                <w:color w:val="105C84"/>
                <w:position w:val="-8"/>
                <w:sz w:val="18"/>
              </w:rPr>
              <w:t>Mental</w:t>
            </w:r>
            <w:r>
              <w:rPr>
                <w:color w:val="105C84"/>
                <w:spacing w:val="-3"/>
                <w:position w:val="-8"/>
                <w:sz w:val="18"/>
              </w:rPr>
              <w:t> </w:t>
            </w:r>
            <w:r>
              <w:rPr>
                <w:color w:val="105C84"/>
                <w:position w:val="-8"/>
                <w:sz w:val="18"/>
              </w:rPr>
              <w:t>Health</w:t>
            </w:r>
            <w:r>
              <w:rPr>
                <w:color w:val="105C84"/>
                <w:spacing w:val="-3"/>
                <w:position w:val="-8"/>
                <w:sz w:val="18"/>
              </w:rPr>
              <w:t> </w:t>
            </w:r>
            <w:r>
              <w:rPr>
                <w:color w:val="105C84"/>
                <w:spacing w:val="-2"/>
                <w:position w:val="-8"/>
                <w:sz w:val="18"/>
              </w:rPr>
              <w:t>First</w:t>
            </w:r>
          </w:p>
          <w:p>
            <w:pPr>
              <w:pStyle w:val="TableParagraph"/>
              <w:tabs>
                <w:tab w:pos="5352" w:val="left" w:leader="none"/>
              </w:tabs>
              <w:spacing w:line="148" w:lineRule="auto"/>
              <w:ind w:left="92"/>
              <w:rPr>
                <w:position w:val="-8"/>
                <w:sz w:val="18"/>
              </w:rPr>
            </w:pPr>
            <w:r>
              <w:rPr>
                <w:color w:val="105C84"/>
                <w:sz w:val="18"/>
              </w:rPr>
              <w:t>thoughts</w:t>
            </w:r>
            <w:r>
              <w:rPr>
                <w:color w:val="105C84"/>
                <w:spacing w:val="-5"/>
                <w:sz w:val="18"/>
              </w:rPr>
              <w:t> </w:t>
            </w:r>
            <w:r>
              <w:rPr>
                <w:color w:val="105C84"/>
                <w:sz w:val="18"/>
              </w:rPr>
              <w:t>or</w:t>
            </w:r>
            <w:r>
              <w:rPr>
                <w:color w:val="105C84"/>
                <w:spacing w:val="-5"/>
                <w:sz w:val="18"/>
              </w:rPr>
              <w:t> </w:t>
            </w:r>
            <w:r>
              <w:rPr>
                <w:color w:val="105C84"/>
                <w:sz w:val="18"/>
              </w:rPr>
              <w:t>behavior,</w:t>
            </w:r>
            <w:r>
              <w:rPr>
                <w:color w:val="105C84"/>
                <w:spacing w:val="-5"/>
                <w:sz w:val="18"/>
              </w:rPr>
              <w:t> </w:t>
            </w:r>
            <w:r>
              <w:rPr>
                <w:color w:val="105C84"/>
                <w:sz w:val="18"/>
              </w:rPr>
              <w:t>an</w:t>
            </w:r>
            <w:r>
              <w:rPr>
                <w:color w:val="105C84"/>
                <w:spacing w:val="-5"/>
                <w:sz w:val="18"/>
              </w:rPr>
              <w:t> </w:t>
            </w:r>
            <w:r>
              <w:rPr>
                <w:color w:val="105C84"/>
                <w:sz w:val="18"/>
              </w:rPr>
              <w:t>acute</w:t>
            </w:r>
            <w:r>
              <w:rPr>
                <w:color w:val="105C84"/>
                <w:spacing w:val="-5"/>
                <w:sz w:val="18"/>
              </w:rPr>
              <w:t> </w:t>
            </w:r>
            <w:r>
              <w:rPr>
                <w:color w:val="105C84"/>
                <w:spacing w:val="-2"/>
                <w:sz w:val="18"/>
              </w:rPr>
              <w:t>stress</w:t>
            </w:r>
            <w:r>
              <w:rPr>
                <w:color w:val="105C84"/>
                <w:sz w:val="18"/>
              </w:rPr>
              <w:tab/>
            </w:r>
            <w:r>
              <w:rPr>
                <w:color w:val="105C84"/>
                <w:spacing w:val="-5"/>
                <w:position w:val="-8"/>
                <w:sz w:val="18"/>
              </w:rPr>
              <w:t>Aid</w:t>
            </w:r>
          </w:p>
          <w:p>
            <w:pPr>
              <w:pStyle w:val="TableParagraph"/>
              <w:spacing w:line="145" w:lineRule="exact"/>
              <w:ind w:left="92"/>
              <w:rPr>
                <w:sz w:val="18"/>
              </w:rPr>
            </w:pPr>
            <w:r>
              <w:rPr>
                <w:color w:val="105C84"/>
                <w:sz w:val="18"/>
              </w:rPr>
              <w:t>reaction,</w:t>
            </w:r>
            <w:r>
              <w:rPr>
                <w:color w:val="105C84"/>
                <w:spacing w:val="-8"/>
                <w:sz w:val="18"/>
              </w:rPr>
              <w:t> </w:t>
            </w:r>
            <w:r>
              <w:rPr>
                <w:color w:val="105C84"/>
                <w:sz w:val="18"/>
              </w:rPr>
              <w:t>panic</w:t>
            </w:r>
            <w:r>
              <w:rPr>
                <w:color w:val="105C84"/>
                <w:spacing w:val="-7"/>
                <w:sz w:val="18"/>
              </w:rPr>
              <w:t> </w:t>
            </w:r>
            <w:r>
              <w:rPr>
                <w:color w:val="105C84"/>
                <w:sz w:val="18"/>
              </w:rPr>
              <w:t>attacks</w:t>
            </w:r>
            <w:r>
              <w:rPr>
                <w:color w:val="105C84"/>
                <w:spacing w:val="-8"/>
                <w:sz w:val="18"/>
              </w:rPr>
              <w:t> </w:t>
            </w:r>
            <w:r>
              <w:rPr>
                <w:color w:val="105C84"/>
                <w:sz w:val="18"/>
              </w:rPr>
              <w:t>or</w:t>
            </w:r>
            <w:r>
              <w:rPr>
                <w:color w:val="105C84"/>
                <w:spacing w:val="-7"/>
                <w:sz w:val="18"/>
              </w:rPr>
              <w:t> </w:t>
            </w:r>
            <w:r>
              <w:rPr>
                <w:color w:val="105C84"/>
                <w:spacing w:val="-4"/>
                <w:sz w:val="18"/>
              </w:rPr>
              <w:t>acute</w:t>
            </w:r>
          </w:p>
          <w:p>
            <w:pPr>
              <w:pStyle w:val="TableParagraph"/>
              <w:tabs>
                <w:tab w:pos="5352" w:val="left" w:leader="none"/>
              </w:tabs>
              <w:spacing w:line="200" w:lineRule="exact"/>
              <w:ind w:left="92"/>
              <w:rPr>
                <w:position w:val="2"/>
                <w:sz w:val="18"/>
              </w:rPr>
            </w:pPr>
            <w:r>
              <w:rPr>
                <w:color w:val="105C84"/>
                <w:sz w:val="18"/>
              </w:rPr>
              <w:t>psychotic</w:t>
            </w:r>
            <w:r>
              <w:rPr>
                <w:color w:val="105C84"/>
                <w:spacing w:val="-5"/>
                <w:sz w:val="18"/>
              </w:rPr>
              <w:t> </w:t>
            </w:r>
            <w:r>
              <w:rPr>
                <w:color w:val="105C84"/>
                <w:sz w:val="18"/>
              </w:rPr>
              <w:t>behavior)</w:t>
            </w:r>
            <w:r>
              <w:rPr>
                <w:color w:val="105C84"/>
                <w:spacing w:val="-5"/>
                <w:sz w:val="18"/>
              </w:rPr>
              <w:t> </w:t>
            </w:r>
            <w:r>
              <w:rPr>
                <w:color w:val="105C84"/>
                <w:sz w:val="18"/>
              </w:rPr>
              <w:t>or</w:t>
            </w:r>
            <w:r>
              <w:rPr>
                <w:color w:val="105C84"/>
                <w:spacing w:val="-5"/>
                <w:sz w:val="18"/>
              </w:rPr>
              <w:t> </w:t>
            </w:r>
            <w:r>
              <w:rPr>
                <w:color w:val="105C84"/>
                <w:sz w:val="18"/>
              </w:rPr>
              <w:t>are</w:t>
            </w:r>
            <w:r>
              <w:rPr>
                <w:color w:val="105C84"/>
                <w:spacing w:val="-5"/>
                <w:sz w:val="18"/>
              </w:rPr>
              <w:t> </w:t>
            </w:r>
            <w:r>
              <w:rPr>
                <w:color w:val="105C84"/>
                <w:sz w:val="18"/>
              </w:rPr>
              <w:t>in</w:t>
            </w:r>
            <w:r>
              <w:rPr>
                <w:color w:val="105C84"/>
                <w:spacing w:val="-5"/>
                <w:sz w:val="18"/>
              </w:rPr>
              <w:t> </w:t>
            </w:r>
            <w:r>
              <w:rPr>
                <w:color w:val="105C84"/>
                <w:sz w:val="18"/>
              </w:rPr>
              <w:t>the</w:t>
            </w:r>
            <w:r>
              <w:rPr>
                <w:color w:val="105C84"/>
                <w:spacing w:val="-5"/>
                <w:sz w:val="18"/>
              </w:rPr>
              <w:t> </w:t>
            </w:r>
            <w:r>
              <w:rPr>
                <w:color w:val="105C84"/>
                <w:spacing w:val="-2"/>
                <w:sz w:val="18"/>
              </w:rPr>
              <w:t>early</w:t>
            </w:r>
            <w:r>
              <w:rPr>
                <w:color w:val="105C84"/>
                <w:sz w:val="18"/>
              </w:rPr>
              <w:tab/>
            </w:r>
            <w:r>
              <w:rPr>
                <w:color w:val="105C84"/>
                <w:position w:val="2"/>
                <w:sz w:val="18"/>
              </w:rPr>
              <w:t>School</w:t>
            </w:r>
            <w:r>
              <w:rPr>
                <w:color w:val="105C84"/>
                <w:spacing w:val="29"/>
                <w:position w:val="2"/>
                <w:sz w:val="18"/>
              </w:rPr>
              <w:t> </w:t>
            </w:r>
            <w:r>
              <w:rPr>
                <w:color w:val="105C84"/>
                <w:position w:val="2"/>
                <w:sz w:val="18"/>
              </w:rPr>
              <w:t>and</w:t>
            </w:r>
            <w:r>
              <w:rPr>
                <w:color w:val="105C84"/>
                <w:spacing w:val="-11"/>
                <w:position w:val="2"/>
                <w:sz w:val="18"/>
              </w:rPr>
              <w:t> </w:t>
            </w:r>
            <w:r>
              <w:rPr>
                <w:color w:val="105C84"/>
                <w:position w:val="2"/>
                <w:sz w:val="18"/>
              </w:rPr>
              <w:t>Youth</w:t>
            </w:r>
            <w:r>
              <w:rPr>
                <w:color w:val="105C84"/>
                <w:spacing w:val="-11"/>
                <w:position w:val="2"/>
                <w:sz w:val="18"/>
              </w:rPr>
              <w:t> </w:t>
            </w:r>
            <w:r>
              <w:rPr>
                <w:color w:val="105C84"/>
                <w:spacing w:val="-2"/>
                <w:position w:val="2"/>
                <w:sz w:val="18"/>
              </w:rPr>
              <w:t>Serving</w:t>
            </w:r>
          </w:p>
          <w:p>
            <w:pPr>
              <w:pStyle w:val="TableParagraph"/>
              <w:tabs>
                <w:tab w:pos="5352" w:val="left" w:leader="none"/>
              </w:tabs>
              <w:spacing w:line="200" w:lineRule="exact"/>
              <w:ind w:left="92"/>
              <w:rPr>
                <w:position w:val="2"/>
                <w:sz w:val="18"/>
              </w:rPr>
            </w:pPr>
            <w:r>
              <w:rPr>
                <w:color w:val="105C84"/>
                <w:sz w:val="18"/>
              </w:rPr>
              <w:t>stages</w:t>
            </w:r>
            <w:r>
              <w:rPr>
                <w:color w:val="105C84"/>
                <w:spacing w:val="-4"/>
                <w:sz w:val="18"/>
              </w:rPr>
              <w:t> </w:t>
            </w:r>
            <w:r>
              <w:rPr>
                <w:color w:val="105C84"/>
                <w:sz w:val="18"/>
              </w:rPr>
              <w:t>of</w:t>
            </w:r>
            <w:r>
              <w:rPr>
                <w:color w:val="105C84"/>
                <w:spacing w:val="-3"/>
                <w:sz w:val="18"/>
              </w:rPr>
              <w:t> </w:t>
            </w:r>
            <w:r>
              <w:rPr>
                <w:color w:val="105C84"/>
                <w:sz w:val="18"/>
              </w:rPr>
              <w:t>one</w:t>
            </w:r>
            <w:r>
              <w:rPr>
                <w:color w:val="105C84"/>
                <w:spacing w:val="-3"/>
                <w:sz w:val="18"/>
              </w:rPr>
              <w:t> </w:t>
            </w:r>
            <w:r>
              <w:rPr>
                <w:color w:val="105C84"/>
                <w:sz w:val="18"/>
              </w:rPr>
              <w:t>or</w:t>
            </w:r>
            <w:r>
              <w:rPr>
                <w:color w:val="105C84"/>
                <w:spacing w:val="-4"/>
                <w:sz w:val="18"/>
              </w:rPr>
              <w:t> </w:t>
            </w:r>
            <w:r>
              <w:rPr>
                <w:color w:val="105C84"/>
                <w:sz w:val="18"/>
              </w:rPr>
              <w:t>more</w:t>
            </w:r>
            <w:r>
              <w:rPr>
                <w:color w:val="105C84"/>
                <w:spacing w:val="-3"/>
                <w:sz w:val="18"/>
              </w:rPr>
              <w:t> </w:t>
            </w:r>
            <w:r>
              <w:rPr>
                <w:color w:val="105C84"/>
                <w:sz w:val="18"/>
              </w:rPr>
              <w:t>chronic</w:t>
            </w:r>
            <w:r>
              <w:rPr>
                <w:color w:val="105C84"/>
                <w:spacing w:val="-3"/>
                <w:sz w:val="18"/>
              </w:rPr>
              <w:t> </w:t>
            </w:r>
            <w:r>
              <w:rPr>
                <w:color w:val="105C84"/>
                <w:spacing w:val="-2"/>
                <w:sz w:val="18"/>
              </w:rPr>
              <w:t>mental</w:t>
            </w:r>
            <w:r>
              <w:rPr>
                <w:color w:val="105C84"/>
                <w:sz w:val="18"/>
              </w:rPr>
              <w:tab/>
            </w:r>
            <w:r>
              <w:rPr>
                <w:color w:val="105C84"/>
                <w:position w:val="2"/>
                <w:sz w:val="18"/>
              </w:rPr>
              <w:t>Organizations</w:t>
            </w:r>
            <w:r>
              <w:rPr>
                <w:color w:val="105C84"/>
                <w:spacing w:val="1"/>
                <w:position w:val="2"/>
                <w:sz w:val="18"/>
              </w:rPr>
              <w:t> </w:t>
            </w:r>
            <w:r>
              <w:rPr>
                <w:color w:val="105C84"/>
                <w:position w:val="2"/>
                <w:sz w:val="18"/>
              </w:rPr>
              <w:t>to</w:t>
            </w:r>
            <w:r>
              <w:rPr>
                <w:color w:val="105C84"/>
                <w:spacing w:val="1"/>
                <w:position w:val="2"/>
                <w:sz w:val="18"/>
              </w:rPr>
              <w:t> </w:t>
            </w:r>
            <w:r>
              <w:rPr>
                <w:color w:val="105C84"/>
                <w:spacing w:val="-2"/>
                <w:position w:val="2"/>
                <w:sz w:val="18"/>
              </w:rPr>
              <w:t>develop/</w:t>
            </w:r>
          </w:p>
          <w:p>
            <w:pPr>
              <w:pStyle w:val="TableParagraph"/>
              <w:tabs>
                <w:tab w:pos="5352" w:val="left" w:leader="none"/>
              </w:tabs>
              <w:spacing w:line="200" w:lineRule="exact"/>
              <w:ind w:left="92"/>
              <w:rPr>
                <w:position w:val="2"/>
                <w:sz w:val="18"/>
              </w:rPr>
            </w:pPr>
            <w:r>
              <w:rPr>
                <w:color w:val="105C84"/>
                <w:spacing w:val="-2"/>
                <w:sz w:val="18"/>
              </w:rPr>
              <w:t>health</w:t>
            </w:r>
            <w:r>
              <w:rPr>
                <w:color w:val="105C84"/>
                <w:spacing w:val="-4"/>
                <w:sz w:val="18"/>
              </w:rPr>
              <w:t> </w:t>
            </w:r>
            <w:r>
              <w:rPr>
                <w:color w:val="105C84"/>
                <w:spacing w:val="-2"/>
                <w:sz w:val="18"/>
              </w:rPr>
              <w:t>problems</w:t>
            </w:r>
            <w:r>
              <w:rPr>
                <w:color w:val="105C84"/>
                <w:spacing w:val="-3"/>
                <w:sz w:val="18"/>
              </w:rPr>
              <w:t> </w:t>
            </w:r>
            <w:r>
              <w:rPr>
                <w:color w:val="105C84"/>
                <w:spacing w:val="-2"/>
                <w:sz w:val="18"/>
              </w:rPr>
              <w:t>(such</w:t>
            </w:r>
            <w:r>
              <w:rPr>
                <w:color w:val="105C84"/>
                <w:spacing w:val="-3"/>
                <w:sz w:val="18"/>
              </w:rPr>
              <w:t> </w:t>
            </w:r>
            <w:r>
              <w:rPr>
                <w:color w:val="105C84"/>
                <w:spacing w:val="-2"/>
                <w:sz w:val="18"/>
              </w:rPr>
              <w:t>as</w:t>
            </w:r>
            <w:r>
              <w:rPr>
                <w:color w:val="105C84"/>
                <w:spacing w:val="-3"/>
                <w:sz w:val="18"/>
              </w:rPr>
              <w:t> </w:t>
            </w:r>
            <w:r>
              <w:rPr>
                <w:color w:val="105C84"/>
                <w:spacing w:val="-2"/>
                <w:sz w:val="18"/>
              </w:rPr>
              <w:t>depressive,</w:t>
            </w:r>
            <w:r>
              <w:rPr>
                <w:color w:val="105C84"/>
                <w:sz w:val="18"/>
              </w:rPr>
              <w:tab/>
            </w:r>
            <w:r>
              <w:rPr>
                <w:color w:val="105C84"/>
                <w:position w:val="2"/>
                <w:sz w:val="18"/>
              </w:rPr>
              <w:t>implement</w:t>
            </w:r>
            <w:r>
              <w:rPr>
                <w:color w:val="105C84"/>
                <w:spacing w:val="4"/>
                <w:position w:val="2"/>
                <w:sz w:val="18"/>
              </w:rPr>
              <w:t> </w:t>
            </w:r>
            <w:r>
              <w:rPr>
                <w:color w:val="105C84"/>
                <w:position w:val="2"/>
                <w:sz w:val="18"/>
              </w:rPr>
              <w:t>a</w:t>
            </w:r>
            <w:r>
              <w:rPr>
                <w:color w:val="105C84"/>
                <w:spacing w:val="5"/>
                <w:position w:val="2"/>
                <w:sz w:val="18"/>
              </w:rPr>
              <w:t> </w:t>
            </w:r>
            <w:r>
              <w:rPr>
                <w:color w:val="105C84"/>
                <w:spacing w:val="-2"/>
                <w:position w:val="2"/>
                <w:sz w:val="18"/>
              </w:rPr>
              <w:t>policy/practice</w:t>
            </w:r>
          </w:p>
          <w:p>
            <w:pPr>
              <w:pStyle w:val="TableParagraph"/>
              <w:tabs>
                <w:tab w:pos="5352" w:val="left" w:leader="none"/>
              </w:tabs>
              <w:spacing w:line="200" w:lineRule="exact"/>
              <w:ind w:left="92"/>
              <w:rPr>
                <w:position w:val="2"/>
                <w:sz w:val="18"/>
              </w:rPr>
            </w:pPr>
            <w:r>
              <w:rPr>
                <w:color w:val="105C84"/>
                <w:sz w:val="18"/>
              </w:rPr>
              <w:t>anxiety</w:t>
            </w:r>
            <w:r>
              <w:rPr>
                <w:color w:val="105C84"/>
                <w:spacing w:val="-7"/>
                <w:sz w:val="18"/>
              </w:rPr>
              <w:t> </w:t>
            </w:r>
            <w:r>
              <w:rPr>
                <w:color w:val="105C84"/>
                <w:sz w:val="18"/>
              </w:rPr>
              <w:t>or</w:t>
            </w:r>
            <w:r>
              <w:rPr>
                <w:color w:val="105C84"/>
                <w:spacing w:val="-6"/>
                <w:sz w:val="18"/>
              </w:rPr>
              <w:t> </w:t>
            </w:r>
            <w:r>
              <w:rPr>
                <w:color w:val="105C84"/>
                <w:sz w:val="18"/>
              </w:rPr>
              <w:t>psychotic</w:t>
            </w:r>
            <w:r>
              <w:rPr>
                <w:color w:val="105C84"/>
                <w:spacing w:val="-7"/>
                <w:sz w:val="18"/>
              </w:rPr>
              <w:t> </w:t>
            </w:r>
            <w:r>
              <w:rPr>
                <w:color w:val="105C84"/>
                <w:sz w:val="18"/>
              </w:rPr>
              <w:t>disorders,</w:t>
            </w:r>
            <w:r>
              <w:rPr>
                <w:color w:val="105C84"/>
                <w:spacing w:val="-6"/>
                <w:sz w:val="18"/>
              </w:rPr>
              <w:t> </w:t>
            </w:r>
            <w:r>
              <w:rPr>
                <w:color w:val="105C84"/>
                <w:spacing w:val="-2"/>
                <w:sz w:val="18"/>
              </w:rPr>
              <w:t>which</w:t>
            </w:r>
            <w:r>
              <w:rPr>
                <w:color w:val="105C84"/>
                <w:sz w:val="18"/>
              </w:rPr>
              <w:tab/>
            </w:r>
            <w:r>
              <w:rPr>
                <w:color w:val="105C84"/>
                <w:position w:val="2"/>
                <w:sz w:val="18"/>
              </w:rPr>
              <w:t>change</w:t>
            </w:r>
            <w:r>
              <w:rPr>
                <w:color w:val="105C84"/>
                <w:spacing w:val="-1"/>
                <w:position w:val="2"/>
                <w:sz w:val="18"/>
              </w:rPr>
              <w:t> </w:t>
            </w:r>
            <w:r>
              <w:rPr>
                <w:color w:val="105C84"/>
                <w:position w:val="2"/>
                <w:sz w:val="18"/>
              </w:rPr>
              <w:t>regarding </w:t>
            </w:r>
            <w:r>
              <w:rPr>
                <w:color w:val="105C84"/>
                <w:spacing w:val="-2"/>
                <w:position w:val="2"/>
                <w:sz w:val="18"/>
              </w:rPr>
              <w:t>Youth</w:t>
            </w:r>
          </w:p>
          <w:p>
            <w:pPr>
              <w:pStyle w:val="TableParagraph"/>
              <w:tabs>
                <w:tab w:pos="5352" w:val="left" w:leader="none"/>
              </w:tabs>
              <w:spacing w:line="213" w:lineRule="exact"/>
              <w:ind w:left="92"/>
              <w:rPr>
                <w:position w:val="2"/>
                <w:sz w:val="18"/>
              </w:rPr>
            </w:pPr>
            <w:r>
              <w:rPr>
                <w:color w:val="105C84"/>
                <w:sz w:val="18"/>
              </w:rPr>
              <w:t>may</w:t>
            </w:r>
            <w:r>
              <w:rPr>
                <w:color w:val="105C84"/>
                <w:spacing w:val="-12"/>
                <w:sz w:val="18"/>
              </w:rPr>
              <w:t> </w:t>
            </w:r>
            <w:r>
              <w:rPr>
                <w:color w:val="105C84"/>
                <w:sz w:val="18"/>
              </w:rPr>
              <w:t>occur</w:t>
            </w:r>
            <w:r>
              <w:rPr>
                <w:color w:val="105C84"/>
                <w:spacing w:val="-12"/>
                <w:sz w:val="18"/>
              </w:rPr>
              <w:t> </w:t>
            </w:r>
            <w:r>
              <w:rPr>
                <w:color w:val="105C84"/>
                <w:sz w:val="18"/>
              </w:rPr>
              <w:t>with</w:t>
            </w:r>
            <w:r>
              <w:rPr>
                <w:color w:val="105C84"/>
                <w:spacing w:val="-12"/>
                <w:sz w:val="18"/>
              </w:rPr>
              <w:t> </w:t>
            </w:r>
            <w:r>
              <w:rPr>
                <w:color w:val="105C84"/>
                <w:sz w:val="18"/>
              </w:rPr>
              <w:t>substance</w:t>
            </w:r>
            <w:r>
              <w:rPr>
                <w:color w:val="105C84"/>
                <w:spacing w:val="-12"/>
                <w:sz w:val="18"/>
              </w:rPr>
              <w:t> </w:t>
            </w:r>
            <w:r>
              <w:rPr>
                <w:color w:val="105C84"/>
                <w:spacing w:val="-2"/>
                <w:sz w:val="18"/>
              </w:rPr>
              <w:t>abuse)</w:t>
            </w:r>
            <w:r>
              <w:rPr>
                <w:color w:val="105C84"/>
                <w:sz w:val="18"/>
              </w:rPr>
              <w:tab/>
            </w:r>
            <w:r>
              <w:rPr>
                <w:color w:val="105C84"/>
                <w:position w:val="2"/>
                <w:sz w:val="18"/>
              </w:rPr>
              <w:t>Mental</w:t>
            </w:r>
            <w:r>
              <w:rPr>
                <w:color w:val="105C84"/>
                <w:spacing w:val="-1"/>
                <w:position w:val="2"/>
                <w:sz w:val="18"/>
              </w:rPr>
              <w:t> </w:t>
            </w:r>
            <w:r>
              <w:rPr>
                <w:color w:val="105C84"/>
                <w:position w:val="2"/>
                <w:sz w:val="18"/>
              </w:rPr>
              <w:t>Health First</w:t>
            </w:r>
            <w:r>
              <w:rPr>
                <w:color w:val="105C84"/>
                <w:spacing w:val="-1"/>
                <w:position w:val="2"/>
                <w:sz w:val="18"/>
              </w:rPr>
              <w:t> </w:t>
            </w:r>
            <w:r>
              <w:rPr>
                <w:color w:val="105C84"/>
                <w:spacing w:val="-5"/>
                <w:position w:val="2"/>
                <w:sz w:val="18"/>
              </w:rPr>
              <w:t>Aid</w:t>
            </w:r>
          </w:p>
          <w:p>
            <w:pPr>
              <w:pStyle w:val="TableParagraph"/>
              <w:spacing w:line="232" w:lineRule="auto" w:before="13"/>
              <w:ind w:left="5352" w:right="46"/>
              <w:rPr>
                <w:sz w:val="18"/>
              </w:rPr>
            </w:pPr>
            <w:r>
              <w:rPr>
                <w:color w:val="105C84"/>
                <w:w w:val="105"/>
                <w:sz w:val="18"/>
              </w:rPr>
              <w:t>Community</w:t>
            </w:r>
            <w:r>
              <w:rPr>
                <w:color w:val="105C84"/>
                <w:spacing w:val="-14"/>
                <w:w w:val="105"/>
                <w:sz w:val="18"/>
              </w:rPr>
              <w:t> </w:t>
            </w:r>
            <w:r>
              <w:rPr>
                <w:color w:val="105C84"/>
                <w:w w:val="105"/>
                <w:sz w:val="18"/>
              </w:rPr>
              <w:t>Partners</w:t>
            </w:r>
            <w:r>
              <w:rPr>
                <w:color w:val="105C84"/>
                <w:spacing w:val="8"/>
                <w:w w:val="105"/>
                <w:sz w:val="18"/>
              </w:rPr>
              <w:t> </w:t>
            </w:r>
            <w:r>
              <w:rPr>
                <w:color w:val="105C84"/>
                <w:w w:val="105"/>
                <w:sz w:val="18"/>
              </w:rPr>
              <w:t>to develop/implement</w:t>
            </w:r>
            <w:r>
              <w:rPr>
                <w:color w:val="105C84"/>
                <w:spacing w:val="-1"/>
                <w:w w:val="105"/>
                <w:sz w:val="18"/>
              </w:rPr>
              <w:t> </w:t>
            </w:r>
            <w:r>
              <w:rPr>
                <w:color w:val="105C84"/>
                <w:w w:val="105"/>
                <w:sz w:val="18"/>
              </w:rPr>
              <w:t>a policy/practice</w:t>
            </w:r>
            <w:r>
              <w:rPr>
                <w:color w:val="105C84"/>
                <w:spacing w:val="-1"/>
                <w:w w:val="105"/>
                <w:sz w:val="18"/>
              </w:rPr>
              <w:t> </w:t>
            </w:r>
            <w:r>
              <w:rPr>
                <w:color w:val="105C84"/>
                <w:w w:val="105"/>
                <w:sz w:val="18"/>
              </w:rPr>
              <w:t>change </w:t>
            </w:r>
            <w:r>
              <w:rPr>
                <w:color w:val="105C84"/>
                <w:sz w:val="18"/>
              </w:rPr>
              <w:t>regarding</w:t>
            </w:r>
            <w:r>
              <w:rPr>
                <w:color w:val="105C84"/>
                <w:spacing w:val="-1"/>
                <w:sz w:val="18"/>
              </w:rPr>
              <w:t> </w:t>
            </w:r>
            <w:r>
              <w:rPr>
                <w:color w:val="105C84"/>
                <w:sz w:val="18"/>
              </w:rPr>
              <w:t>Mental</w:t>
            </w:r>
            <w:r>
              <w:rPr>
                <w:color w:val="105C84"/>
                <w:spacing w:val="-1"/>
                <w:sz w:val="18"/>
              </w:rPr>
              <w:t> </w:t>
            </w:r>
            <w:r>
              <w:rPr>
                <w:color w:val="105C84"/>
                <w:sz w:val="18"/>
              </w:rPr>
              <w:t>Health </w:t>
            </w:r>
            <w:r>
              <w:rPr>
                <w:color w:val="105C84"/>
                <w:w w:val="105"/>
                <w:sz w:val="18"/>
              </w:rPr>
              <w:t>First</w:t>
            </w:r>
            <w:r>
              <w:rPr>
                <w:color w:val="105C84"/>
                <w:spacing w:val="-1"/>
                <w:w w:val="105"/>
                <w:sz w:val="18"/>
              </w:rPr>
              <w:t> </w:t>
            </w:r>
            <w:r>
              <w:rPr>
                <w:color w:val="105C84"/>
                <w:w w:val="105"/>
                <w:sz w:val="18"/>
              </w:rPr>
              <w:t>Aid</w:t>
            </w:r>
          </w:p>
          <w:p>
            <w:pPr>
              <w:pStyle w:val="TableParagraph"/>
              <w:spacing w:line="232" w:lineRule="auto" w:before="86"/>
              <w:ind w:left="5352" w:right="656"/>
              <w:rPr>
                <w:sz w:val="18"/>
              </w:rPr>
            </w:pPr>
            <w:r>
              <w:rPr>
                <w:color w:val="105C84"/>
                <w:spacing w:val="-4"/>
                <w:sz w:val="18"/>
              </w:rPr>
              <w:t>Baseline:</w:t>
            </w:r>
            <w:r>
              <w:rPr>
                <w:color w:val="105C84"/>
                <w:spacing w:val="10"/>
                <w:sz w:val="18"/>
              </w:rPr>
              <w:t> </w:t>
            </w:r>
            <w:r>
              <w:rPr>
                <w:color w:val="105C84"/>
                <w:spacing w:val="-4"/>
                <w:sz w:val="18"/>
              </w:rPr>
              <w:t>65.2</w:t>
            </w:r>
            <w:r>
              <w:rPr>
                <w:color w:val="105C84"/>
                <w:spacing w:val="-9"/>
                <w:sz w:val="18"/>
              </w:rPr>
              <w:t> </w:t>
            </w:r>
            <w:r>
              <w:rPr>
                <w:color w:val="105C84"/>
                <w:spacing w:val="-4"/>
                <w:sz w:val="18"/>
              </w:rPr>
              <w:t>(2018) </w:t>
            </w:r>
            <w:r>
              <w:rPr>
                <w:color w:val="105C84"/>
                <w:sz w:val="18"/>
              </w:rPr>
              <w:t>Opportunity Index</w:t>
            </w:r>
          </w:p>
        </w:tc>
        <w:tc>
          <w:tcPr>
            <w:tcW w:w="1850" w:type="dxa"/>
          </w:tcPr>
          <w:p>
            <w:pPr>
              <w:pStyle w:val="TableParagraph"/>
              <w:spacing w:line="336" w:lineRule="auto" w:before="95"/>
              <w:ind w:left="93" w:right="734"/>
              <w:rPr>
                <w:sz w:val="18"/>
              </w:rPr>
            </w:pPr>
            <w:r>
              <w:rPr>
                <w:color w:val="105C84"/>
                <w:spacing w:val="-4"/>
                <w:sz w:val="18"/>
              </w:rPr>
              <w:t>CASA-</w:t>
            </w:r>
            <w:r>
              <w:rPr>
                <w:color w:val="105C84"/>
                <w:spacing w:val="-4"/>
                <w:sz w:val="18"/>
              </w:rPr>
              <w:t>Trinity GVHP</w:t>
            </w:r>
          </w:p>
          <w:p>
            <w:pPr>
              <w:pStyle w:val="TableParagraph"/>
              <w:spacing w:line="232" w:lineRule="auto" w:before="5"/>
              <w:ind w:left="93" w:right="120"/>
              <w:rPr>
                <w:sz w:val="18"/>
              </w:rPr>
            </w:pPr>
            <w:r>
              <w:rPr>
                <w:color w:val="105C84"/>
                <w:sz w:val="18"/>
              </w:rPr>
              <w:t>CASA-Trinity, UR Med Noyes Mental Health</w:t>
            </w:r>
            <w:r>
              <w:rPr>
                <w:color w:val="105C84"/>
                <w:spacing w:val="-15"/>
                <w:sz w:val="18"/>
              </w:rPr>
              <w:t> </w:t>
            </w:r>
            <w:r>
              <w:rPr>
                <w:color w:val="105C84"/>
                <w:sz w:val="18"/>
              </w:rPr>
              <w:t>and</w:t>
            </w:r>
            <w:r>
              <w:rPr>
                <w:color w:val="105C84"/>
                <w:spacing w:val="-12"/>
                <w:sz w:val="18"/>
              </w:rPr>
              <w:t> </w:t>
            </w:r>
            <w:r>
              <w:rPr>
                <w:color w:val="105C84"/>
                <w:sz w:val="18"/>
              </w:rPr>
              <w:t>LCDOH-Mental Health</w:t>
            </w:r>
          </w:p>
          <w:p>
            <w:pPr>
              <w:pStyle w:val="TableParagraph"/>
              <w:spacing w:line="232" w:lineRule="auto" w:before="87"/>
              <w:ind w:left="93" w:right="631"/>
              <w:rPr>
                <w:sz w:val="18"/>
              </w:rPr>
            </w:pPr>
            <w:r>
              <w:rPr>
                <w:color w:val="105C84"/>
                <w:spacing w:val="-2"/>
                <w:sz w:val="18"/>
              </w:rPr>
              <w:t>Schools/ Youth</w:t>
            </w:r>
            <w:r>
              <w:rPr>
                <w:color w:val="105C84"/>
                <w:spacing w:val="-11"/>
                <w:sz w:val="18"/>
              </w:rPr>
              <w:t> </w:t>
            </w:r>
            <w:r>
              <w:rPr>
                <w:color w:val="105C84"/>
                <w:spacing w:val="-2"/>
                <w:sz w:val="18"/>
              </w:rPr>
              <w:t>Serving Organizations</w:t>
            </w:r>
          </w:p>
        </w:tc>
        <w:tc>
          <w:tcPr>
            <w:tcW w:w="2692" w:type="dxa"/>
          </w:tcPr>
          <w:p>
            <w:pPr>
              <w:pStyle w:val="TableParagraph"/>
              <w:spacing w:line="232" w:lineRule="auto" w:before="100"/>
              <w:ind w:left="93" w:right="298"/>
              <w:rPr>
                <w:sz w:val="18"/>
              </w:rPr>
            </w:pPr>
            <w:r>
              <w:rPr>
                <w:color w:val="105C84"/>
                <w:sz w:val="18"/>
              </w:rPr>
              <w:t>CASA-Trinity</w:t>
            </w:r>
            <w:r>
              <w:rPr>
                <w:color w:val="105C84"/>
                <w:spacing w:val="-13"/>
                <w:sz w:val="18"/>
              </w:rPr>
              <w:t> </w:t>
            </w:r>
            <w:r>
              <w:rPr>
                <w:color w:val="105C84"/>
                <w:sz w:val="18"/>
              </w:rPr>
              <w:t>to</w:t>
            </w:r>
            <w:r>
              <w:rPr>
                <w:color w:val="105C84"/>
                <w:spacing w:val="-12"/>
                <w:sz w:val="18"/>
              </w:rPr>
              <w:t> </w:t>
            </w:r>
            <w:r>
              <w:rPr>
                <w:color w:val="105C84"/>
                <w:sz w:val="18"/>
              </w:rPr>
              <w:t>offer</w:t>
            </w:r>
            <w:r>
              <w:rPr>
                <w:color w:val="105C84"/>
                <w:spacing w:val="-13"/>
                <w:sz w:val="18"/>
              </w:rPr>
              <w:t> </w:t>
            </w:r>
            <w:r>
              <w:rPr>
                <w:color w:val="105C84"/>
                <w:sz w:val="18"/>
              </w:rPr>
              <w:t>and conduct</w:t>
            </w:r>
            <w:r>
              <w:rPr>
                <w:color w:val="105C84"/>
                <w:spacing w:val="-3"/>
                <w:sz w:val="18"/>
              </w:rPr>
              <w:t> </w:t>
            </w:r>
            <w:r>
              <w:rPr>
                <w:color w:val="105C84"/>
                <w:sz w:val="18"/>
              </w:rPr>
              <w:t>Youth</w:t>
            </w:r>
            <w:r>
              <w:rPr>
                <w:color w:val="105C84"/>
                <w:spacing w:val="-3"/>
                <w:sz w:val="18"/>
              </w:rPr>
              <w:t> </w:t>
            </w:r>
            <w:r>
              <w:rPr>
                <w:color w:val="105C84"/>
                <w:sz w:val="18"/>
              </w:rPr>
              <w:t>and</w:t>
            </w:r>
            <w:r>
              <w:rPr>
                <w:color w:val="105C84"/>
                <w:spacing w:val="-3"/>
                <w:sz w:val="18"/>
              </w:rPr>
              <w:t> </w:t>
            </w:r>
            <w:r>
              <w:rPr>
                <w:color w:val="105C84"/>
                <w:sz w:val="18"/>
              </w:rPr>
              <w:t>Adult </w:t>
            </w:r>
            <w:r>
              <w:rPr>
                <w:color w:val="105C84"/>
                <w:w w:val="105"/>
                <w:sz w:val="18"/>
              </w:rPr>
              <w:t>Mental Health First Aid </w:t>
            </w:r>
            <w:r>
              <w:rPr>
                <w:color w:val="105C84"/>
                <w:spacing w:val="-2"/>
                <w:w w:val="105"/>
                <w:sz w:val="18"/>
              </w:rPr>
              <w:t>Training</w:t>
            </w:r>
          </w:p>
          <w:p>
            <w:pPr>
              <w:pStyle w:val="TableParagraph"/>
              <w:spacing w:line="232" w:lineRule="auto" w:before="86"/>
              <w:ind w:left="93"/>
              <w:rPr>
                <w:sz w:val="18"/>
              </w:rPr>
            </w:pPr>
            <w:r>
              <w:rPr>
                <w:color w:val="105C84"/>
                <w:sz w:val="18"/>
              </w:rPr>
              <w:t>GVHP</w:t>
            </w:r>
            <w:r>
              <w:rPr>
                <w:color w:val="105C84"/>
                <w:spacing w:val="-3"/>
                <w:sz w:val="18"/>
              </w:rPr>
              <w:t> </w:t>
            </w:r>
            <w:r>
              <w:rPr>
                <w:color w:val="105C84"/>
                <w:sz w:val="18"/>
              </w:rPr>
              <w:t>to</w:t>
            </w:r>
            <w:r>
              <w:rPr>
                <w:color w:val="105C84"/>
                <w:spacing w:val="40"/>
                <w:sz w:val="18"/>
              </w:rPr>
              <w:t> </w:t>
            </w:r>
            <w:r>
              <w:rPr>
                <w:color w:val="105C84"/>
                <w:sz w:val="18"/>
              </w:rPr>
              <w:t>promote</w:t>
            </w:r>
            <w:r>
              <w:rPr>
                <w:color w:val="105C84"/>
                <w:spacing w:val="-3"/>
                <w:sz w:val="18"/>
              </w:rPr>
              <w:t> </w:t>
            </w:r>
            <w:r>
              <w:rPr>
                <w:color w:val="105C84"/>
                <w:sz w:val="18"/>
              </w:rPr>
              <w:t>trainings</w:t>
            </w:r>
            <w:r>
              <w:rPr>
                <w:color w:val="105C84"/>
                <w:spacing w:val="-3"/>
                <w:sz w:val="18"/>
              </w:rPr>
              <w:t> </w:t>
            </w:r>
            <w:r>
              <w:rPr>
                <w:color w:val="105C84"/>
                <w:sz w:val="18"/>
              </w:rPr>
              <w:t>to community partners</w:t>
            </w:r>
          </w:p>
          <w:p>
            <w:pPr>
              <w:pStyle w:val="TableParagraph"/>
              <w:spacing w:line="232" w:lineRule="auto" w:before="89"/>
              <w:ind w:left="93" w:right="298"/>
              <w:rPr>
                <w:sz w:val="18"/>
              </w:rPr>
            </w:pPr>
            <w:r>
              <w:rPr>
                <w:color w:val="105C84"/>
                <w:spacing w:val="-4"/>
                <w:sz w:val="18"/>
              </w:rPr>
              <w:t>CASA-Trinity,</w:t>
            </w:r>
            <w:r>
              <w:rPr>
                <w:color w:val="105C84"/>
                <w:spacing w:val="-7"/>
                <w:sz w:val="18"/>
              </w:rPr>
              <w:t> </w:t>
            </w:r>
            <w:r>
              <w:rPr>
                <w:color w:val="105C84"/>
                <w:spacing w:val="-4"/>
                <w:sz w:val="18"/>
              </w:rPr>
              <w:t>UR</w:t>
            </w:r>
            <w:r>
              <w:rPr>
                <w:color w:val="105C84"/>
                <w:spacing w:val="-7"/>
                <w:sz w:val="18"/>
              </w:rPr>
              <w:t> </w:t>
            </w:r>
            <w:r>
              <w:rPr>
                <w:color w:val="105C84"/>
                <w:spacing w:val="-4"/>
                <w:sz w:val="18"/>
              </w:rPr>
              <w:t>Med</w:t>
            </w:r>
            <w:r>
              <w:rPr>
                <w:color w:val="105C84"/>
                <w:spacing w:val="-7"/>
                <w:sz w:val="18"/>
              </w:rPr>
              <w:t> </w:t>
            </w:r>
            <w:r>
              <w:rPr>
                <w:color w:val="105C84"/>
                <w:spacing w:val="-4"/>
                <w:sz w:val="18"/>
              </w:rPr>
              <w:t>Noyes </w:t>
            </w:r>
            <w:r>
              <w:rPr>
                <w:color w:val="105C84"/>
                <w:w w:val="105"/>
                <w:sz w:val="18"/>
              </w:rPr>
              <w:t>Mental</w:t>
            </w:r>
            <w:r>
              <w:rPr>
                <w:color w:val="105C84"/>
                <w:spacing w:val="-14"/>
                <w:w w:val="105"/>
                <w:sz w:val="18"/>
              </w:rPr>
              <w:t> </w:t>
            </w:r>
            <w:r>
              <w:rPr>
                <w:color w:val="105C84"/>
                <w:w w:val="105"/>
                <w:sz w:val="18"/>
              </w:rPr>
              <w:t>Health</w:t>
            </w:r>
            <w:r>
              <w:rPr>
                <w:color w:val="105C84"/>
                <w:spacing w:val="-13"/>
                <w:w w:val="105"/>
                <w:sz w:val="18"/>
              </w:rPr>
              <w:t> </w:t>
            </w:r>
            <w:r>
              <w:rPr>
                <w:color w:val="105C84"/>
                <w:w w:val="105"/>
                <w:sz w:val="18"/>
              </w:rPr>
              <w:t>and</w:t>
            </w:r>
            <w:r>
              <w:rPr>
                <w:color w:val="105C84"/>
                <w:spacing w:val="-13"/>
                <w:w w:val="105"/>
                <w:sz w:val="18"/>
              </w:rPr>
              <w:t> </w:t>
            </w:r>
            <w:r>
              <w:rPr>
                <w:color w:val="105C84"/>
                <w:w w:val="105"/>
                <w:sz w:val="18"/>
              </w:rPr>
              <w:t>LCDOH-Mental Health to assist community partners with policy development and </w:t>
            </w:r>
            <w:r>
              <w:rPr>
                <w:color w:val="105C84"/>
                <w:spacing w:val="-2"/>
                <w:w w:val="105"/>
                <w:sz w:val="18"/>
              </w:rPr>
              <w:t>implementation</w:t>
            </w:r>
          </w:p>
          <w:p>
            <w:pPr>
              <w:pStyle w:val="TableParagraph"/>
              <w:spacing w:line="232" w:lineRule="auto" w:before="85"/>
              <w:ind w:left="93" w:right="146"/>
              <w:rPr>
                <w:sz w:val="18"/>
              </w:rPr>
            </w:pPr>
            <w:r>
              <w:rPr>
                <w:color w:val="105C84"/>
                <w:sz w:val="18"/>
              </w:rPr>
              <w:t>Schools/ Youth Serving Organizations to work with CASA-Trinity,</w:t>
            </w:r>
            <w:r>
              <w:rPr>
                <w:color w:val="105C84"/>
                <w:spacing w:val="40"/>
                <w:sz w:val="18"/>
              </w:rPr>
              <w:t> </w:t>
            </w:r>
            <w:r>
              <w:rPr>
                <w:color w:val="105C84"/>
                <w:sz w:val="18"/>
              </w:rPr>
              <w:t>UR</w:t>
            </w:r>
            <w:r>
              <w:rPr>
                <w:color w:val="105C84"/>
                <w:spacing w:val="-3"/>
                <w:sz w:val="18"/>
              </w:rPr>
              <w:t> </w:t>
            </w:r>
            <w:r>
              <w:rPr>
                <w:color w:val="105C84"/>
                <w:sz w:val="18"/>
              </w:rPr>
              <w:t>Med</w:t>
            </w:r>
            <w:r>
              <w:rPr>
                <w:color w:val="105C84"/>
                <w:spacing w:val="-3"/>
                <w:sz w:val="18"/>
              </w:rPr>
              <w:t> </w:t>
            </w:r>
            <w:r>
              <w:rPr>
                <w:color w:val="105C84"/>
                <w:sz w:val="18"/>
              </w:rPr>
              <w:t>Noyes Mental Health and LCDOH-Mental</w:t>
            </w:r>
            <w:r>
              <w:rPr>
                <w:color w:val="105C84"/>
                <w:spacing w:val="32"/>
                <w:sz w:val="18"/>
              </w:rPr>
              <w:t> </w:t>
            </w:r>
            <w:r>
              <w:rPr>
                <w:color w:val="105C84"/>
                <w:sz w:val="18"/>
              </w:rPr>
              <w:t>Health</w:t>
            </w:r>
            <w:r>
              <w:rPr>
                <w:color w:val="105C84"/>
                <w:spacing w:val="80"/>
                <w:sz w:val="18"/>
              </w:rPr>
              <w:t> </w:t>
            </w:r>
            <w:r>
              <w:rPr>
                <w:color w:val="105C84"/>
                <w:sz w:val="18"/>
              </w:rPr>
              <w:t>to</w:t>
            </w:r>
            <w:r>
              <w:rPr>
                <w:color w:val="105C84"/>
                <w:spacing w:val="32"/>
                <w:sz w:val="18"/>
              </w:rPr>
              <w:t> </w:t>
            </w:r>
            <w:r>
              <w:rPr>
                <w:color w:val="105C84"/>
                <w:sz w:val="18"/>
              </w:rPr>
              <w:t>develop</w:t>
            </w:r>
            <w:r>
              <w:rPr>
                <w:color w:val="105C84"/>
                <w:sz w:val="18"/>
              </w:rPr>
              <w:t> and implement policy/practice </w:t>
            </w:r>
            <w:r>
              <w:rPr>
                <w:color w:val="105C84"/>
                <w:spacing w:val="-2"/>
                <w:sz w:val="18"/>
              </w:rPr>
              <w:t>change</w:t>
            </w:r>
          </w:p>
        </w:tc>
        <w:tc>
          <w:tcPr>
            <w:tcW w:w="3205" w:type="dxa"/>
          </w:tcPr>
          <w:p>
            <w:pPr>
              <w:pStyle w:val="TableParagraph"/>
              <w:spacing w:line="232" w:lineRule="auto" w:before="99"/>
              <w:ind w:left="94" w:right="97"/>
              <w:rPr>
                <w:sz w:val="18"/>
              </w:rPr>
            </w:pPr>
            <w:r>
              <w:rPr>
                <w:color w:val="105C84"/>
                <w:sz w:val="18"/>
              </w:rPr>
              <w:t>Conduct a total of 2 Mental </w:t>
            </w:r>
            <w:r>
              <w:rPr>
                <w:color w:val="105C84"/>
                <w:sz w:val="18"/>
              </w:rPr>
              <w:t>Health First Aid trainings per year</w:t>
            </w:r>
          </w:p>
          <w:p>
            <w:pPr>
              <w:pStyle w:val="TableParagraph"/>
              <w:spacing w:line="232" w:lineRule="auto" w:before="89"/>
              <w:ind w:left="94"/>
              <w:rPr>
                <w:sz w:val="18"/>
              </w:rPr>
            </w:pPr>
            <w:r>
              <w:rPr>
                <w:color w:val="105C84"/>
                <w:sz w:val="18"/>
              </w:rPr>
              <w:t>Conduct</w:t>
            </w:r>
            <w:r>
              <w:rPr>
                <w:color w:val="105C84"/>
                <w:spacing w:val="-3"/>
                <w:sz w:val="18"/>
              </w:rPr>
              <w:t> </w:t>
            </w:r>
            <w:r>
              <w:rPr>
                <w:color w:val="105C84"/>
                <w:sz w:val="18"/>
              </w:rPr>
              <w:t>a</w:t>
            </w:r>
            <w:r>
              <w:rPr>
                <w:color w:val="105C84"/>
                <w:spacing w:val="-3"/>
                <w:sz w:val="18"/>
              </w:rPr>
              <w:t> </w:t>
            </w:r>
            <w:r>
              <w:rPr>
                <w:color w:val="105C84"/>
                <w:sz w:val="18"/>
              </w:rPr>
              <w:t>total</w:t>
            </w:r>
            <w:r>
              <w:rPr>
                <w:color w:val="105C84"/>
                <w:spacing w:val="-3"/>
                <w:sz w:val="18"/>
              </w:rPr>
              <w:t> </w:t>
            </w:r>
            <w:r>
              <w:rPr>
                <w:color w:val="105C84"/>
                <w:sz w:val="18"/>
              </w:rPr>
              <w:t>of</w:t>
            </w:r>
            <w:r>
              <w:rPr>
                <w:color w:val="105C84"/>
                <w:spacing w:val="-3"/>
                <w:sz w:val="18"/>
              </w:rPr>
              <w:t> </w:t>
            </w:r>
            <w:r>
              <w:rPr>
                <w:color w:val="105C84"/>
                <w:sz w:val="18"/>
              </w:rPr>
              <w:t>2</w:t>
            </w:r>
            <w:r>
              <w:rPr>
                <w:color w:val="105C84"/>
                <w:spacing w:val="-3"/>
                <w:sz w:val="18"/>
              </w:rPr>
              <w:t> </w:t>
            </w:r>
            <w:r>
              <w:rPr>
                <w:color w:val="105C84"/>
                <w:sz w:val="18"/>
              </w:rPr>
              <w:t>Youth</w:t>
            </w:r>
            <w:r>
              <w:rPr>
                <w:color w:val="105C84"/>
                <w:spacing w:val="-3"/>
                <w:sz w:val="18"/>
              </w:rPr>
              <w:t> </w:t>
            </w:r>
            <w:r>
              <w:rPr>
                <w:color w:val="105C84"/>
                <w:sz w:val="18"/>
              </w:rPr>
              <w:t>Mental Health</w:t>
            </w:r>
            <w:r>
              <w:rPr>
                <w:color w:val="105C84"/>
                <w:spacing w:val="-1"/>
                <w:sz w:val="18"/>
              </w:rPr>
              <w:t> </w:t>
            </w:r>
            <w:r>
              <w:rPr>
                <w:color w:val="105C84"/>
                <w:sz w:val="18"/>
              </w:rPr>
              <w:t>First Aid</w:t>
            </w:r>
            <w:r>
              <w:rPr>
                <w:color w:val="105C84"/>
                <w:spacing w:val="-1"/>
                <w:sz w:val="18"/>
              </w:rPr>
              <w:t> </w:t>
            </w:r>
            <w:r>
              <w:rPr>
                <w:color w:val="105C84"/>
                <w:sz w:val="18"/>
              </w:rPr>
              <w:t>trainings per</w:t>
            </w:r>
            <w:r>
              <w:rPr>
                <w:color w:val="105C84"/>
                <w:spacing w:val="-1"/>
                <w:sz w:val="18"/>
              </w:rPr>
              <w:t> </w:t>
            </w:r>
            <w:r>
              <w:rPr>
                <w:color w:val="105C84"/>
                <w:spacing w:val="-4"/>
                <w:sz w:val="18"/>
              </w:rPr>
              <w:t>year</w:t>
            </w:r>
          </w:p>
          <w:p>
            <w:pPr>
              <w:pStyle w:val="TableParagraph"/>
              <w:spacing w:line="232" w:lineRule="auto" w:before="88"/>
              <w:ind w:left="94" w:right="97"/>
              <w:rPr>
                <w:sz w:val="18"/>
              </w:rPr>
            </w:pPr>
            <w:r>
              <w:rPr>
                <w:color w:val="105C84"/>
                <w:sz w:val="18"/>
              </w:rPr>
              <w:t>A minimum of 2 schools/Youth Serving organizations to develop/ implement</w:t>
            </w:r>
            <w:r>
              <w:rPr>
                <w:color w:val="105C84"/>
                <w:spacing w:val="-2"/>
                <w:sz w:val="18"/>
              </w:rPr>
              <w:t> </w:t>
            </w:r>
            <w:r>
              <w:rPr>
                <w:color w:val="105C84"/>
                <w:sz w:val="18"/>
              </w:rPr>
              <w:t>a</w:t>
            </w:r>
            <w:r>
              <w:rPr>
                <w:color w:val="105C84"/>
                <w:spacing w:val="-2"/>
                <w:sz w:val="18"/>
              </w:rPr>
              <w:t> </w:t>
            </w:r>
            <w:r>
              <w:rPr>
                <w:color w:val="105C84"/>
                <w:sz w:val="18"/>
              </w:rPr>
              <w:t>policy</w:t>
            </w:r>
            <w:r>
              <w:rPr>
                <w:color w:val="105C84"/>
                <w:spacing w:val="-2"/>
                <w:sz w:val="18"/>
              </w:rPr>
              <w:t> </w:t>
            </w:r>
            <w:r>
              <w:rPr>
                <w:color w:val="105C84"/>
                <w:sz w:val="18"/>
              </w:rPr>
              <w:t>regarding</w:t>
            </w:r>
            <w:r>
              <w:rPr>
                <w:color w:val="105C84"/>
                <w:spacing w:val="-2"/>
                <w:sz w:val="18"/>
              </w:rPr>
              <w:t> </w:t>
            </w:r>
            <w:r>
              <w:rPr>
                <w:color w:val="105C84"/>
                <w:sz w:val="18"/>
              </w:rPr>
              <w:t>Youth Mental Health First Aid</w:t>
            </w:r>
          </w:p>
          <w:p>
            <w:pPr>
              <w:pStyle w:val="TableParagraph"/>
              <w:spacing w:line="232" w:lineRule="auto" w:before="87"/>
              <w:ind w:left="94" w:right="97"/>
              <w:rPr>
                <w:sz w:val="18"/>
              </w:rPr>
            </w:pPr>
            <w:r>
              <w:rPr>
                <w:color w:val="105C84"/>
                <w:sz w:val="18"/>
              </w:rPr>
              <w:t>A</w:t>
            </w:r>
            <w:r>
              <w:rPr>
                <w:color w:val="105C84"/>
                <w:spacing w:val="-3"/>
                <w:sz w:val="18"/>
              </w:rPr>
              <w:t> </w:t>
            </w:r>
            <w:r>
              <w:rPr>
                <w:color w:val="105C84"/>
                <w:sz w:val="18"/>
              </w:rPr>
              <w:t>minimum</w:t>
            </w:r>
            <w:r>
              <w:rPr>
                <w:color w:val="105C84"/>
                <w:spacing w:val="-3"/>
                <w:sz w:val="18"/>
              </w:rPr>
              <w:t> </w:t>
            </w:r>
            <w:r>
              <w:rPr>
                <w:color w:val="105C84"/>
                <w:sz w:val="18"/>
              </w:rPr>
              <w:t>of</w:t>
            </w:r>
            <w:r>
              <w:rPr>
                <w:color w:val="105C84"/>
                <w:spacing w:val="-3"/>
                <w:sz w:val="18"/>
              </w:rPr>
              <w:t> </w:t>
            </w:r>
            <w:r>
              <w:rPr>
                <w:color w:val="105C84"/>
                <w:sz w:val="18"/>
              </w:rPr>
              <w:t>2</w:t>
            </w:r>
            <w:r>
              <w:rPr>
                <w:color w:val="105C84"/>
                <w:spacing w:val="-3"/>
                <w:sz w:val="18"/>
              </w:rPr>
              <w:t> </w:t>
            </w:r>
            <w:r>
              <w:rPr>
                <w:color w:val="105C84"/>
                <w:sz w:val="18"/>
              </w:rPr>
              <w:t>community</w:t>
            </w:r>
            <w:r>
              <w:rPr>
                <w:color w:val="105C84"/>
                <w:spacing w:val="-3"/>
                <w:sz w:val="18"/>
              </w:rPr>
              <w:t> </w:t>
            </w:r>
            <w:r>
              <w:rPr>
                <w:color w:val="105C84"/>
                <w:sz w:val="18"/>
              </w:rPr>
              <w:t>partners </w:t>
            </w:r>
            <w:r>
              <w:rPr>
                <w:color w:val="105C84"/>
                <w:w w:val="105"/>
                <w:sz w:val="18"/>
              </w:rPr>
              <w:t>to develop/implement a policy </w:t>
            </w:r>
            <w:r>
              <w:rPr>
                <w:color w:val="105C84"/>
                <w:sz w:val="18"/>
              </w:rPr>
              <w:t>regarding Youth Mental Health First </w:t>
            </w:r>
            <w:r>
              <w:rPr>
                <w:color w:val="105C84"/>
                <w:spacing w:val="-4"/>
                <w:w w:val="105"/>
                <w:sz w:val="18"/>
              </w:rPr>
              <w:t>Aid</w:t>
            </w:r>
          </w:p>
        </w:tc>
      </w:tr>
      <w:tr>
        <w:trPr>
          <w:trHeight w:val="5690" w:hRule="atLeast"/>
        </w:trPr>
        <w:tc>
          <w:tcPr>
            <w:tcW w:w="1245" w:type="dxa"/>
            <w:shd w:val="clear" w:color="auto" w:fill="E6E7E8"/>
          </w:tcPr>
          <w:p>
            <w:pPr>
              <w:pStyle w:val="TableParagraph"/>
              <w:spacing w:line="232" w:lineRule="auto" w:before="99"/>
              <w:ind w:left="90" w:right="152"/>
              <w:rPr>
                <w:sz w:val="18"/>
              </w:rPr>
            </w:pPr>
            <w:r>
              <w:rPr>
                <w:color w:val="105C84"/>
                <w:spacing w:val="-2"/>
                <w:sz w:val="18"/>
              </w:rPr>
              <w:t>Promote Well-Being </w:t>
            </w:r>
            <w:r>
              <w:rPr>
                <w:color w:val="105C84"/>
                <w:sz w:val="18"/>
              </w:rPr>
              <w:t>and</w:t>
            </w:r>
            <w:r>
              <w:rPr>
                <w:color w:val="105C84"/>
                <w:spacing w:val="-13"/>
                <w:sz w:val="18"/>
              </w:rPr>
              <w:t> </w:t>
            </w:r>
            <w:r>
              <w:rPr>
                <w:color w:val="105C84"/>
                <w:sz w:val="18"/>
              </w:rPr>
              <w:t>Prevent Mental and </w:t>
            </w:r>
            <w:r>
              <w:rPr>
                <w:color w:val="105C84"/>
                <w:spacing w:val="-2"/>
                <w:sz w:val="18"/>
              </w:rPr>
              <w:t>Substance </w:t>
            </w:r>
            <w:r>
              <w:rPr>
                <w:color w:val="105C84"/>
                <w:spacing w:val="-4"/>
                <w:sz w:val="18"/>
              </w:rPr>
              <w:t>Use </w:t>
            </w:r>
            <w:r>
              <w:rPr>
                <w:color w:val="105C84"/>
                <w:spacing w:val="-2"/>
                <w:sz w:val="18"/>
              </w:rPr>
              <w:t>Disorders</w:t>
            </w:r>
          </w:p>
        </w:tc>
        <w:tc>
          <w:tcPr>
            <w:tcW w:w="1317" w:type="dxa"/>
          </w:tcPr>
          <w:p>
            <w:pPr>
              <w:pStyle w:val="TableParagraph"/>
              <w:spacing w:line="232" w:lineRule="auto" w:before="99"/>
              <w:ind w:left="90" w:right="103"/>
              <w:rPr>
                <w:sz w:val="18"/>
              </w:rPr>
            </w:pPr>
            <w:r>
              <w:rPr>
                <w:color w:val="105C84"/>
                <w:sz w:val="18"/>
              </w:rPr>
              <w:t>Focus</w:t>
            </w:r>
            <w:r>
              <w:rPr>
                <w:color w:val="105C84"/>
                <w:spacing w:val="-15"/>
                <w:sz w:val="18"/>
              </w:rPr>
              <w:t> </w:t>
            </w:r>
            <w:r>
              <w:rPr>
                <w:color w:val="105C84"/>
                <w:sz w:val="18"/>
              </w:rPr>
              <w:t>Area</w:t>
            </w:r>
            <w:r>
              <w:rPr>
                <w:color w:val="105C84"/>
                <w:spacing w:val="-12"/>
                <w:sz w:val="18"/>
              </w:rPr>
              <w:t> </w:t>
            </w:r>
            <w:r>
              <w:rPr>
                <w:color w:val="105C84"/>
                <w:sz w:val="18"/>
              </w:rPr>
              <w:t>2: Mental and </w:t>
            </w:r>
            <w:r>
              <w:rPr>
                <w:color w:val="105C84"/>
                <w:spacing w:val="-2"/>
                <w:sz w:val="18"/>
              </w:rPr>
              <w:t>Substance </w:t>
            </w:r>
            <w:r>
              <w:rPr>
                <w:color w:val="105C84"/>
                <w:spacing w:val="-4"/>
                <w:sz w:val="18"/>
              </w:rPr>
              <w:t>Use</w:t>
            </w:r>
            <w:r>
              <w:rPr>
                <w:color w:val="105C84"/>
                <w:spacing w:val="-9"/>
                <w:sz w:val="18"/>
              </w:rPr>
              <w:t> </w:t>
            </w:r>
            <w:r>
              <w:rPr>
                <w:color w:val="105C84"/>
                <w:spacing w:val="-4"/>
                <w:sz w:val="18"/>
              </w:rPr>
              <w:t>Disorders </w:t>
            </w:r>
            <w:r>
              <w:rPr>
                <w:color w:val="105C84"/>
                <w:spacing w:val="-2"/>
                <w:sz w:val="18"/>
              </w:rPr>
              <w:t>Prevention</w:t>
            </w:r>
          </w:p>
        </w:tc>
        <w:tc>
          <w:tcPr>
            <w:tcW w:w="1619" w:type="dxa"/>
          </w:tcPr>
          <w:p>
            <w:pPr>
              <w:pStyle w:val="TableParagraph"/>
              <w:spacing w:line="232" w:lineRule="auto" w:before="99"/>
              <w:ind w:left="90"/>
              <w:rPr>
                <w:sz w:val="18"/>
              </w:rPr>
            </w:pPr>
            <w:r>
              <w:rPr>
                <w:color w:val="105C84"/>
                <w:spacing w:val="-2"/>
                <w:sz w:val="18"/>
              </w:rPr>
              <w:t>Prevent</w:t>
            </w:r>
            <w:r>
              <w:rPr>
                <w:color w:val="105C84"/>
                <w:spacing w:val="-11"/>
                <w:sz w:val="18"/>
              </w:rPr>
              <w:t> </w:t>
            </w:r>
            <w:r>
              <w:rPr>
                <w:color w:val="105C84"/>
                <w:spacing w:val="-2"/>
                <w:sz w:val="18"/>
              </w:rPr>
              <w:t>underage </w:t>
            </w:r>
            <w:r>
              <w:rPr>
                <w:color w:val="105C84"/>
                <w:sz w:val="18"/>
              </w:rPr>
              <w:t>drinking among youth and excessive</w:t>
            </w:r>
            <w:r>
              <w:rPr>
                <w:color w:val="105C84"/>
                <w:spacing w:val="-13"/>
                <w:sz w:val="18"/>
              </w:rPr>
              <w:t> </w:t>
            </w:r>
            <w:r>
              <w:rPr>
                <w:color w:val="105C84"/>
                <w:sz w:val="18"/>
              </w:rPr>
              <w:t>alcohol consumption by </w:t>
            </w:r>
            <w:r>
              <w:rPr>
                <w:color w:val="105C84"/>
                <w:spacing w:val="-2"/>
                <w:sz w:val="18"/>
              </w:rPr>
              <w:t>adults</w:t>
            </w:r>
          </w:p>
        </w:tc>
        <w:tc>
          <w:tcPr>
            <w:tcW w:w="1461" w:type="dxa"/>
          </w:tcPr>
          <w:p>
            <w:pPr>
              <w:pStyle w:val="TableParagraph"/>
              <w:numPr>
                <w:ilvl w:val="2"/>
                <w:numId w:val="43"/>
              </w:numPr>
              <w:tabs>
                <w:tab w:pos="511" w:val="left" w:leader="none"/>
              </w:tabs>
              <w:spacing w:line="203" w:lineRule="exact" w:before="94" w:after="0"/>
              <w:ind w:left="511" w:right="0" w:hanging="420"/>
              <w:jc w:val="left"/>
              <w:rPr>
                <w:sz w:val="18"/>
              </w:rPr>
            </w:pPr>
            <w:r>
              <w:rPr>
                <w:color w:val="105C84"/>
                <w:spacing w:val="-5"/>
                <w:sz w:val="18"/>
              </w:rPr>
              <w:t>By</w:t>
            </w:r>
          </w:p>
          <w:p>
            <w:pPr>
              <w:pStyle w:val="TableParagraph"/>
              <w:spacing w:line="232" w:lineRule="auto" w:before="1"/>
              <w:ind w:left="91" w:right="109"/>
              <w:rPr>
                <w:sz w:val="18"/>
              </w:rPr>
            </w:pPr>
            <w:r>
              <w:rPr>
                <w:color w:val="105C84"/>
                <w:spacing w:val="-2"/>
                <w:sz w:val="18"/>
              </w:rPr>
              <w:t>December </w:t>
            </w:r>
            <w:r>
              <w:rPr>
                <w:color w:val="105C84"/>
                <w:sz w:val="18"/>
              </w:rPr>
              <w:t>2021, reduce the percentage of youth in grades 9-12 reporting the use of alcohol on at least one day</w:t>
            </w:r>
            <w:r>
              <w:rPr>
                <w:color w:val="105C84"/>
                <w:spacing w:val="-10"/>
                <w:sz w:val="18"/>
              </w:rPr>
              <w:t> </w:t>
            </w:r>
            <w:r>
              <w:rPr>
                <w:color w:val="105C84"/>
                <w:sz w:val="18"/>
              </w:rPr>
              <w:t>for</w:t>
            </w:r>
            <w:r>
              <w:rPr>
                <w:color w:val="105C84"/>
                <w:spacing w:val="-10"/>
                <w:sz w:val="18"/>
              </w:rPr>
              <w:t> </w:t>
            </w:r>
            <w:r>
              <w:rPr>
                <w:color w:val="105C84"/>
                <w:sz w:val="18"/>
              </w:rPr>
              <w:t>the</w:t>
            </w:r>
            <w:r>
              <w:rPr>
                <w:color w:val="105C84"/>
                <w:spacing w:val="-10"/>
                <w:sz w:val="18"/>
              </w:rPr>
              <w:t> </w:t>
            </w:r>
            <w:r>
              <w:rPr>
                <w:color w:val="105C84"/>
                <w:sz w:val="18"/>
              </w:rPr>
              <w:t>past 30</w:t>
            </w:r>
            <w:r>
              <w:rPr>
                <w:color w:val="105C84"/>
                <w:spacing w:val="-11"/>
                <w:sz w:val="18"/>
              </w:rPr>
              <w:t> </w:t>
            </w:r>
            <w:r>
              <w:rPr>
                <w:color w:val="105C84"/>
                <w:sz w:val="18"/>
              </w:rPr>
              <w:t>days</w:t>
            </w:r>
            <w:r>
              <w:rPr>
                <w:color w:val="105C84"/>
                <w:spacing w:val="-11"/>
                <w:sz w:val="18"/>
              </w:rPr>
              <w:t> </w:t>
            </w:r>
            <w:r>
              <w:rPr>
                <w:color w:val="105C84"/>
                <w:sz w:val="18"/>
              </w:rPr>
              <w:t>to</w:t>
            </w:r>
            <w:r>
              <w:rPr>
                <w:color w:val="105C84"/>
                <w:spacing w:val="-11"/>
                <w:sz w:val="18"/>
              </w:rPr>
              <w:t> </w:t>
            </w:r>
            <w:r>
              <w:rPr>
                <w:color w:val="105C84"/>
                <w:sz w:val="18"/>
              </w:rPr>
              <w:t>14% or less</w:t>
            </w:r>
          </w:p>
        </w:tc>
        <w:tc>
          <w:tcPr>
            <w:tcW w:w="1238" w:type="dxa"/>
          </w:tcPr>
          <w:p>
            <w:pPr>
              <w:pStyle w:val="TableParagraph"/>
              <w:rPr>
                <w:rFonts w:ascii="Times New Roman"/>
                <w:sz w:val="18"/>
              </w:rPr>
            </w:pPr>
          </w:p>
        </w:tc>
        <w:tc>
          <w:tcPr>
            <w:tcW w:w="7675" w:type="dxa"/>
          </w:tcPr>
          <w:p>
            <w:pPr>
              <w:pStyle w:val="TableParagraph"/>
              <w:numPr>
                <w:ilvl w:val="2"/>
                <w:numId w:val="44"/>
              </w:numPr>
              <w:tabs>
                <w:tab w:pos="512" w:val="left" w:leader="none"/>
                <w:tab w:pos="5352" w:val="left" w:leader="none"/>
              </w:tabs>
              <w:spacing w:line="203" w:lineRule="exact" w:before="94" w:after="0"/>
              <w:ind w:left="512" w:right="0" w:hanging="420"/>
              <w:jc w:val="left"/>
              <w:rPr>
                <w:sz w:val="18"/>
              </w:rPr>
            </w:pPr>
            <w:r>
              <w:rPr>
                <w:color w:val="105C84"/>
                <w:sz w:val="18"/>
              </w:rPr>
              <w:t>Implement</w:t>
            </w:r>
            <w:r>
              <w:rPr>
                <w:color w:val="105C84"/>
                <w:spacing w:val="21"/>
                <w:sz w:val="18"/>
              </w:rPr>
              <w:t> </w:t>
            </w:r>
            <w:r>
              <w:rPr>
                <w:color w:val="105C84"/>
                <w:spacing w:val="-2"/>
                <w:sz w:val="18"/>
              </w:rPr>
              <w:t>environmental</w:t>
            </w:r>
            <w:r>
              <w:rPr>
                <w:color w:val="105C84"/>
                <w:sz w:val="18"/>
              </w:rPr>
              <w:tab/>
              <w:t>Number</w:t>
            </w:r>
            <w:r>
              <w:rPr>
                <w:color w:val="105C84"/>
                <w:spacing w:val="10"/>
                <w:sz w:val="18"/>
              </w:rPr>
              <w:t> </w:t>
            </w:r>
            <w:r>
              <w:rPr>
                <w:color w:val="105C84"/>
                <w:sz w:val="18"/>
              </w:rPr>
              <w:t>of</w:t>
            </w:r>
            <w:r>
              <w:rPr>
                <w:color w:val="105C84"/>
                <w:spacing w:val="10"/>
                <w:sz w:val="18"/>
              </w:rPr>
              <w:t> </w:t>
            </w:r>
            <w:r>
              <w:rPr>
                <w:color w:val="105C84"/>
                <w:spacing w:val="-2"/>
                <w:sz w:val="18"/>
              </w:rPr>
              <w:t>sessions</w:t>
            </w:r>
          </w:p>
          <w:p>
            <w:pPr>
              <w:pStyle w:val="TableParagraph"/>
              <w:tabs>
                <w:tab w:pos="5352" w:val="left" w:leader="none"/>
              </w:tabs>
              <w:spacing w:line="148" w:lineRule="auto" w:before="26"/>
              <w:ind w:left="92"/>
              <w:rPr>
                <w:position w:val="-8"/>
                <w:sz w:val="18"/>
              </w:rPr>
            </w:pPr>
            <w:r>
              <w:rPr>
                <w:color w:val="105C84"/>
                <w:sz w:val="18"/>
              </w:rPr>
              <w:t>approaches,</w:t>
            </w:r>
            <w:r>
              <w:rPr>
                <w:color w:val="105C84"/>
                <w:spacing w:val="-3"/>
                <w:sz w:val="18"/>
              </w:rPr>
              <w:t> </w:t>
            </w:r>
            <w:r>
              <w:rPr>
                <w:color w:val="105C84"/>
                <w:sz w:val="18"/>
              </w:rPr>
              <w:t>including</w:t>
            </w:r>
            <w:r>
              <w:rPr>
                <w:color w:val="105C84"/>
                <w:spacing w:val="-2"/>
                <w:sz w:val="18"/>
              </w:rPr>
              <w:t> reducing</w:t>
            </w:r>
            <w:r>
              <w:rPr>
                <w:color w:val="105C84"/>
                <w:sz w:val="18"/>
              </w:rPr>
              <w:tab/>
            </w:r>
            <w:r>
              <w:rPr>
                <w:color w:val="105C84"/>
                <w:position w:val="-8"/>
                <w:sz w:val="18"/>
              </w:rPr>
              <w:t>Number</w:t>
            </w:r>
            <w:r>
              <w:rPr>
                <w:color w:val="105C84"/>
                <w:spacing w:val="10"/>
                <w:position w:val="-8"/>
                <w:sz w:val="18"/>
              </w:rPr>
              <w:t> </w:t>
            </w:r>
            <w:r>
              <w:rPr>
                <w:color w:val="105C84"/>
                <w:position w:val="-8"/>
                <w:sz w:val="18"/>
              </w:rPr>
              <w:t>of</w:t>
            </w:r>
            <w:r>
              <w:rPr>
                <w:color w:val="105C84"/>
                <w:spacing w:val="10"/>
                <w:position w:val="-8"/>
                <w:sz w:val="18"/>
              </w:rPr>
              <w:t> </w:t>
            </w:r>
            <w:r>
              <w:rPr>
                <w:color w:val="105C84"/>
                <w:spacing w:val="-2"/>
                <w:position w:val="-8"/>
                <w:sz w:val="18"/>
              </w:rPr>
              <w:t>schools</w:t>
            </w:r>
          </w:p>
          <w:p>
            <w:pPr>
              <w:pStyle w:val="TableParagraph"/>
              <w:tabs>
                <w:tab w:pos="5352" w:val="left" w:leader="none"/>
              </w:tabs>
              <w:spacing w:line="148" w:lineRule="auto"/>
              <w:ind w:left="92"/>
              <w:rPr>
                <w:position w:val="-8"/>
                <w:sz w:val="18"/>
              </w:rPr>
            </w:pPr>
            <w:r>
              <w:rPr>
                <w:color w:val="105C84"/>
                <w:spacing w:val="-4"/>
                <w:sz w:val="18"/>
              </w:rPr>
              <w:t>alcohol</w:t>
            </w:r>
            <w:r>
              <w:rPr>
                <w:color w:val="105C84"/>
                <w:spacing w:val="2"/>
                <w:sz w:val="18"/>
              </w:rPr>
              <w:t> </w:t>
            </w:r>
            <w:r>
              <w:rPr>
                <w:color w:val="105C84"/>
                <w:spacing w:val="-4"/>
                <w:sz w:val="18"/>
              </w:rPr>
              <w:t>access,</w:t>
            </w:r>
            <w:r>
              <w:rPr>
                <w:color w:val="105C84"/>
                <w:spacing w:val="2"/>
                <w:sz w:val="18"/>
              </w:rPr>
              <w:t> </w:t>
            </w:r>
            <w:r>
              <w:rPr>
                <w:color w:val="105C84"/>
                <w:spacing w:val="-4"/>
                <w:sz w:val="18"/>
              </w:rPr>
              <w:t>implementing</w:t>
            </w:r>
            <w:r>
              <w:rPr>
                <w:color w:val="105C84"/>
                <w:sz w:val="18"/>
              </w:rPr>
              <w:tab/>
            </w:r>
            <w:r>
              <w:rPr>
                <w:color w:val="105C84"/>
                <w:spacing w:val="-2"/>
                <w:position w:val="-8"/>
                <w:sz w:val="18"/>
              </w:rPr>
              <w:t>participating</w:t>
            </w:r>
          </w:p>
          <w:p>
            <w:pPr>
              <w:pStyle w:val="TableParagraph"/>
              <w:spacing w:line="145" w:lineRule="exact"/>
              <w:ind w:left="92"/>
              <w:rPr>
                <w:sz w:val="18"/>
              </w:rPr>
            </w:pPr>
            <w:r>
              <w:rPr>
                <w:color w:val="105C84"/>
                <w:sz w:val="18"/>
              </w:rPr>
              <w:t>responsible</w:t>
            </w:r>
            <w:r>
              <w:rPr>
                <w:color w:val="105C84"/>
                <w:spacing w:val="-7"/>
                <w:sz w:val="18"/>
              </w:rPr>
              <w:t> </w:t>
            </w:r>
            <w:r>
              <w:rPr>
                <w:color w:val="105C84"/>
                <w:sz w:val="18"/>
              </w:rPr>
              <w:t>beverage</w:t>
            </w:r>
            <w:r>
              <w:rPr>
                <w:color w:val="105C84"/>
                <w:spacing w:val="-6"/>
                <w:sz w:val="18"/>
              </w:rPr>
              <w:t> </w:t>
            </w:r>
            <w:r>
              <w:rPr>
                <w:color w:val="105C84"/>
                <w:spacing w:val="-2"/>
                <w:sz w:val="18"/>
              </w:rPr>
              <w:t>services,</w:t>
            </w:r>
          </w:p>
          <w:p>
            <w:pPr>
              <w:pStyle w:val="TableParagraph"/>
              <w:tabs>
                <w:tab w:pos="5352" w:val="left" w:leader="none"/>
              </w:tabs>
              <w:spacing w:line="210" w:lineRule="exact"/>
              <w:ind w:left="92"/>
              <w:rPr>
                <w:position w:val="2"/>
                <w:sz w:val="18"/>
              </w:rPr>
            </w:pPr>
            <w:r>
              <w:rPr>
                <w:color w:val="105C84"/>
                <w:sz w:val="18"/>
              </w:rPr>
              <w:t>reducing</w:t>
            </w:r>
            <w:r>
              <w:rPr>
                <w:color w:val="105C84"/>
                <w:spacing w:val="2"/>
                <w:sz w:val="18"/>
              </w:rPr>
              <w:t> </w:t>
            </w:r>
            <w:r>
              <w:rPr>
                <w:color w:val="105C84"/>
                <w:sz w:val="18"/>
              </w:rPr>
              <w:t>risk</w:t>
            </w:r>
            <w:r>
              <w:rPr>
                <w:color w:val="105C84"/>
                <w:spacing w:val="2"/>
                <w:sz w:val="18"/>
              </w:rPr>
              <w:t> </w:t>
            </w:r>
            <w:r>
              <w:rPr>
                <w:color w:val="105C84"/>
                <w:sz w:val="18"/>
              </w:rPr>
              <w:t>of</w:t>
            </w:r>
            <w:r>
              <w:rPr>
                <w:color w:val="105C84"/>
                <w:spacing w:val="2"/>
                <w:sz w:val="18"/>
              </w:rPr>
              <w:t> </w:t>
            </w:r>
            <w:r>
              <w:rPr>
                <w:color w:val="105C84"/>
                <w:sz w:val="18"/>
              </w:rPr>
              <w:t>drinking</w:t>
            </w:r>
            <w:r>
              <w:rPr>
                <w:color w:val="105C84"/>
                <w:spacing w:val="3"/>
                <w:sz w:val="18"/>
              </w:rPr>
              <w:t> </w:t>
            </w:r>
            <w:r>
              <w:rPr>
                <w:color w:val="105C84"/>
                <w:sz w:val="18"/>
              </w:rPr>
              <w:t>and</w:t>
            </w:r>
            <w:r>
              <w:rPr>
                <w:color w:val="105C84"/>
                <w:spacing w:val="2"/>
                <w:sz w:val="18"/>
              </w:rPr>
              <w:t> </w:t>
            </w:r>
            <w:r>
              <w:rPr>
                <w:color w:val="105C84"/>
                <w:spacing w:val="-2"/>
                <w:sz w:val="18"/>
              </w:rPr>
              <w:t>driving,</w:t>
            </w:r>
            <w:r>
              <w:rPr>
                <w:color w:val="105C84"/>
                <w:sz w:val="18"/>
              </w:rPr>
              <w:tab/>
            </w:r>
            <w:r>
              <w:rPr>
                <w:color w:val="105C84"/>
                <w:position w:val="2"/>
                <w:sz w:val="18"/>
              </w:rPr>
              <w:t>Number</w:t>
            </w:r>
            <w:r>
              <w:rPr>
                <w:color w:val="105C84"/>
                <w:spacing w:val="10"/>
                <w:position w:val="2"/>
                <w:sz w:val="18"/>
              </w:rPr>
              <w:t> </w:t>
            </w:r>
            <w:r>
              <w:rPr>
                <w:color w:val="105C84"/>
                <w:position w:val="2"/>
                <w:sz w:val="18"/>
              </w:rPr>
              <w:t>of</w:t>
            </w:r>
            <w:r>
              <w:rPr>
                <w:color w:val="105C84"/>
                <w:spacing w:val="10"/>
                <w:position w:val="2"/>
                <w:sz w:val="18"/>
              </w:rPr>
              <w:t> </w:t>
            </w:r>
            <w:r>
              <w:rPr>
                <w:color w:val="105C84"/>
                <w:spacing w:val="-2"/>
                <w:position w:val="2"/>
                <w:sz w:val="18"/>
              </w:rPr>
              <w:t>Participants</w:t>
            </w:r>
          </w:p>
          <w:p>
            <w:pPr>
              <w:pStyle w:val="TableParagraph"/>
              <w:tabs>
                <w:tab w:pos="5352" w:val="left" w:leader="none"/>
              </w:tabs>
              <w:spacing w:line="232" w:lineRule="auto"/>
              <w:ind w:left="92"/>
              <w:rPr>
                <w:position w:val="-6"/>
                <w:sz w:val="18"/>
              </w:rPr>
            </w:pPr>
            <w:r>
              <w:rPr>
                <w:color w:val="105C84"/>
                <w:sz w:val="18"/>
              </w:rPr>
              <w:t>and</w:t>
            </w:r>
            <w:r>
              <w:rPr>
                <w:color w:val="105C84"/>
                <w:spacing w:val="1"/>
                <w:sz w:val="18"/>
              </w:rPr>
              <w:t> </w:t>
            </w:r>
            <w:r>
              <w:rPr>
                <w:color w:val="105C84"/>
                <w:sz w:val="18"/>
              </w:rPr>
              <w:t>underage</w:t>
            </w:r>
            <w:r>
              <w:rPr>
                <w:color w:val="105C84"/>
                <w:spacing w:val="1"/>
                <w:sz w:val="18"/>
              </w:rPr>
              <w:t> </w:t>
            </w:r>
            <w:r>
              <w:rPr>
                <w:color w:val="105C84"/>
                <w:sz w:val="18"/>
              </w:rPr>
              <w:t>alcohol</w:t>
            </w:r>
            <w:r>
              <w:rPr>
                <w:color w:val="105C84"/>
                <w:spacing w:val="2"/>
                <w:sz w:val="18"/>
              </w:rPr>
              <w:t> </w:t>
            </w:r>
            <w:r>
              <w:rPr>
                <w:color w:val="105C84"/>
                <w:spacing w:val="-2"/>
                <w:sz w:val="18"/>
              </w:rPr>
              <w:t>access</w:t>
            </w:r>
            <w:r>
              <w:rPr>
                <w:color w:val="105C84"/>
                <w:sz w:val="18"/>
              </w:rPr>
              <w:tab/>
            </w:r>
            <w:r>
              <w:rPr>
                <w:color w:val="105C84"/>
                <w:position w:val="-6"/>
                <w:sz w:val="18"/>
              </w:rPr>
              <w:t>Number</w:t>
            </w:r>
            <w:r>
              <w:rPr>
                <w:color w:val="105C84"/>
                <w:spacing w:val="10"/>
                <w:position w:val="-6"/>
                <w:sz w:val="18"/>
              </w:rPr>
              <w:t> </w:t>
            </w:r>
            <w:r>
              <w:rPr>
                <w:color w:val="105C84"/>
                <w:position w:val="-6"/>
                <w:sz w:val="18"/>
              </w:rPr>
              <w:t>of</w:t>
            </w:r>
            <w:r>
              <w:rPr>
                <w:color w:val="105C84"/>
                <w:spacing w:val="10"/>
                <w:position w:val="-6"/>
                <w:sz w:val="18"/>
              </w:rPr>
              <w:t> </w:t>
            </w:r>
            <w:r>
              <w:rPr>
                <w:color w:val="105C84"/>
                <w:spacing w:val="-2"/>
                <w:position w:val="-6"/>
                <w:sz w:val="18"/>
              </w:rPr>
              <w:t>policies</w:t>
            </w:r>
          </w:p>
          <w:p>
            <w:pPr>
              <w:pStyle w:val="TableParagraph"/>
              <w:numPr>
                <w:ilvl w:val="2"/>
                <w:numId w:val="44"/>
              </w:numPr>
              <w:tabs>
                <w:tab w:pos="512" w:val="left" w:leader="none"/>
                <w:tab w:pos="5352" w:val="left" w:leader="none"/>
              </w:tabs>
              <w:spacing w:line="153" w:lineRule="auto" w:before="31" w:after="0"/>
              <w:ind w:left="512" w:right="0" w:hanging="420"/>
              <w:jc w:val="left"/>
              <w:rPr>
                <w:position w:val="-6"/>
                <w:sz w:val="18"/>
              </w:rPr>
            </w:pPr>
            <w:r>
              <w:rPr>
                <w:color w:val="105C84"/>
                <w:sz w:val="18"/>
              </w:rPr>
              <w:t>Implement</w:t>
            </w:r>
            <w:r>
              <w:rPr>
                <w:color w:val="105C84"/>
                <w:spacing w:val="3"/>
                <w:sz w:val="18"/>
              </w:rPr>
              <w:t> </w:t>
            </w:r>
            <w:r>
              <w:rPr>
                <w:color w:val="105C84"/>
                <w:sz w:val="18"/>
              </w:rPr>
              <w:t>School</w:t>
            </w:r>
            <w:r>
              <w:rPr>
                <w:color w:val="105C84"/>
                <w:spacing w:val="3"/>
                <w:sz w:val="18"/>
              </w:rPr>
              <w:t> </w:t>
            </w:r>
            <w:r>
              <w:rPr>
                <w:color w:val="105C84"/>
                <w:spacing w:val="-2"/>
                <w:sz w:val="18"/>
              </w:rPr>
              <w:t>based</w:t>
            </w:r>
            <w:r>
              <w:rPr>
                <w:color w:val="105C84"/>
                <w:sz w:val="18"/>
              </w:rPr>
              <w:tab/>
            </w:r>
            <w:r>
              <w:rPr>
                <w:color w:val="105C84"/>
                <w:spacing w:val="-2"/>
                <w:position w:val="-6"/>
                <w:sz w:val="18"/>
              </w:rPr>
              <w:t>(Baseline:</w:t>
            </w:r>
            <w:r>
              <w:rPr>
                <w:color w:val="105C84"/>
                <w:spacing w:val="-8"/>
                <w:position w:val="-6"/>
                <w:sz w:val="18"/>
              </w:rPr>
              <w:t> </w:t>
            </w:r>
            <w:r>
              <w:rPr>
                <w:color w:val="105C84"/>
                <w:spacing w:val="-2"/>
                <w:position w:val="-6"/>
                <w:sz w:val="18"/>
              </w:rPr>
              <w:t>State</w:t>
            </w:r>
            <w:r>
              <w:rPr>
                <w:color w:val="105C84"/>
                <w:spacing w:val="-8"/>
                <w:position w:val="-6"/>
                <w:sz w:val="18"/>
              </w:rPr>
              <w:t> </w:t>
            </w:r>
            <w:r>
              <w:rPr>
                <w:color w:val="105C84"/>
                <w:spacing w:val="-2"/>
                <w:position w:val="-6"/>
                <w:sz w:val="18"/>
              </w:rPr>
              <w:t>data</w:t>
            </w:r>
            <w:r>
              <w:rPr>
                <w:color w:val="105C84"/>
                <w:spacing w:val="-7"/>
                <w:position w:val="-6"/>
                <w:sz w:val="18"/>
              </w:rPr>
              <w:t> </w:t>
            </w:r>
            <w:r>
              <w:rPr>
                <w:color w:val="105C84"/>
                <w:spacing w:val="-4"/>
                <w:position w:val="-6"/>
                <w:sz w:val="18"/>
              </w:rPr>
              <w:t>only</w:t>
            </w:r>
          </w:p>
          <w:p>
            <w:pPr>
              <w:pStyle w:val="TableParagraph"/>
              <w:tabs>
                <w:tab w:pos="5352" w:val="left" w:leader="none"/>
              </w:tabs>
              <w:spacing w:line="153" w:lineRule="auto"/>
              <w:ind w:left="92"/>
              <w:rPr>
                <w:position w:val="-6"/>
                <w:sz w:val="18"/>
              </w:rPr>
            </w:pPr>
            <w:r>
              <w:rPr>
                <w:color w:val="105C84"/>
                <w:sz w:val="18"/>
              </w:rPr>
              <w:t>prevention:</w:t>
            </w:r>
            <w:r>
              <w:rPr>
                <w:color w:val="105C84"/>
                <w:spacing w:val="7"/>
                <w:sz w:val="18"/>
              </w:rPr>
              <w:t> </w:t>
            </w:r>
            <w:r>
              <w:rPr>
                <w:color w:val="105C84"/>
                <w:spacing w:val="-2"/>
                <w:sz w:val="18"/>
              </w:rPr>
              <w:t>Implement/Expand</w:t>
            </w:r>
            <w:r>
              <w:rPr>
                <w:color w:val="105C84"/>
                <w:sz w:val="18"/>
              </w:rPr>
              <w:tab/>
            </w:r>
            <w:r>
              <w:rPr>
                <w:color w:val="105C84"/>
                <w:spacing w:val="-2"/>
                <w:position w:val="-6"/>
                <w:sz w:val="18"/>
              </w:rPr>
              <w:t>available</w:t>
            </w:r>
            <w:r>
              <w:rPr>
                <w:color w:val="105C84"/>
                <w:spacing w:val="-3"/>
                <w:position w:val="-6"/>
                <w:sz w:val="18"/>
              </w:rPr>
              <w:t> </w:t>
            </w:r>
            <w:r>
              <w:rPr>
                <w:color w:val="105C84"/>
                <w:spacing w:val="-2"/>
                <w:position w:val="-6"/>
                <w:sz w:val="18"/>
              </w:rPr>
              <w:t>for 9-12</w:t>
            </w:r>
            <w:r>
              <w:rPr>
                <w:color w:val="105C84"/>
                <w:spacing w:val="-3"/>
                <w:position w:val="-6"/>
                <w:sz w:val="18"/>
              </w:rPr>
              <w:t> </w:t>
            </w:r>
            <w:r>
              <w:rPr>
                <w:color w:val="105C84"/>
                <w:spacing w:val="-2"/>
                <w:position w:val="-6"/>
                <w:sz w:val="18"/>
              </w:rPr>
              <w:t>grade</w:t>
            </w:r>
          </w:p>
          <w:p>
            <w:pPr>
              <w:pStyle w:val="TableParagraph"/>
              <w:tabs>
                <w:tab w:pos="5352" w:val="left" w:leader="none"/>
              </w:tabs>
              <w:spacing w:line="184" w:lineRule="auto"/>
              <w:ind w:left="92"/>
              <w:rPr>
                <w:position w:val="-6"/>
                <w:sz w:val="18"/>
              </w:rPr>
            </w:pPr>
            <w:r>
              <w:rPr>
                <w:color w:val="105C84"/>
                <w:spacing w:val="-2"/>
                <w:sz w:val="18"/>
              </w:rPr>
              <w:t>School-Based</w:t>
            </w:r>
            <w:r>
              <w:rPr>
                <w:color w:val="105C84"/>
                <w:spacing w:val="-5"/>
                <w:sz w:val="18"/>
              </w:rPr>
              <w:t> </w:t>
            </w:r>
            <w:r>
              <w:rPr>
                <w:color w:val="105C84"/>
                <w:spacing w:val="-2"/>
                <w:sz w:val="18"/>
              </w:rPr>
              <w:t>Prevention</w:t>
            </w:r>
            <w:r>
              <w:rPr>
                <w:color w:val="105C84"/>
                <w:spacing w:val="-6"/>
                <w:sz w:val="18"/>
              </w:rPr>
              <w:t> </w:t>
            </w:r>
            <w:r>
              <w:rPr>
                <w:color w:val="105C84"/>
                <w:spacing w:val="-2"/>
                <w:sz w:val="18"/>
              </w:rPr>
              <w:t>Services.</w:t>
            </w:r>
            <w:r>
              <w:rPr>
                <w:color w:val="105C84"/>
                <w:sz w:val="18"/>
              </w:rPr>
              <w:tab/>
            </w:r>
            <w:r>
              <w:rPr>
                <w:color w:val="105C84"/>
                <w:spacing w:val="-2"/>
                <w:position w:val="-6"/>
                <w:sz w:val="18"/>
              </w:rPr>
              <w:t>27.1%,</w:t>
            </w:r>
            <w:r>
              <w:rPr>
                <w:color w:val="105C84"/>
                <w:spacing w:val="-8"/>
                <w:position w:val="-6"/>
                <w:sz w:val="18"/>
              </w:rPr>
              <w:t> </w:t>
            </w:r>
            <w:r>
              <w:rPr>
                <w:color w:val="105C84"/>
                <w:spacing w:val="-2"/>
                <w:position w:val="-6"/>
                <w:sz w:val="18"/>
              </w:rPr>
              <w:t>students</w:t>
            </w:r>
            <w:r>
              <w:rPr>
                <w:color w:val="105C84"/>
                <w:spacing w:val="-7"/>
                <w:position w:val="-6"/>
                <w:sz w:val="18"/>
              </w:rPr>
              <w:t> </w:t>
            </w:r>
            <w:r>
              <w:rPr>
                <w:color w:val="105C84"/>
                <w:spacing w:val="-2"/>
                <w:position w:val="-6"/>
                <w:sz w:val="18"/>
              </w:rPr>
              <w:t>in</w:t>
            </w:r>
            <w:r>
              <w:rPr>
                <w:color w:val="105C84"/>
                <w:spacing w:val="-8"/>
                <w:position w:val="-6"/>
                <w:sz w:val="18"/>
              </w:rPr>
              <w:t> </w:t>
            </w:r>
            <w:r>
              <w:rPr>
                <w:color w:val="105C84"/>
                <w:spacing w:val="-2"/>
                <w:position w:val="-6"/>
                <w:sz w:val="18"/>
              </w:rPr>
              <w:t>grades</w:t>
            </w:r>
          </w:p>
          <w:p>
            <w:pPr>
              <w:pStyle w:val="TableParagraph"/>
              <w:numPr>
                <w:ilvl w:val="2"/>
                <w:numId w:val="44"/>
              </w:numPr>
              <w:tabs>
                <w:tab w:pos="512" w:val="left" w:leader="none"/>
                <w:tab w:pos="5352" w:val="left" w:leader="none"/>
              </w:tabs>
              <w:spacing w:line="213" w:lineRule="exact" w:before="0" w:after="0"/>
              <w:ind w:left="512" w:right="0" w:hanging="420"/>
              <w:jc w:val="left"/>
              <w:rPr>
                <w:position w:val="2"/>
                <w:sz w:val="18"/>
              </w:rPr>
            </w:pPr>
            <w:r>
              <w:rPr>
                <w:color w:val="105C84"/>
                <w:sz w:val="18"/>
              </w:rPr>
              <w:t>Integrate</w:t>
            </w:r>
            <w:r>
              <w:rPr>
                <w:color w:val="105C84"/>
                <w:spacing w:val="22"/>
                <w:sz w:val="18"/>
              </w:rPr>
              <w:t> </w:t>
            </w:r>
            <w:r>
              <w:rPr>
                <w:color w:val="105C84"/>
                <w:sz w:val="18"/>
              </w:rPr>
              <w:t>trauma-</w:t>
            </w:r>
            <w:r>
              <w:rPr>
                <w:color w:val="105C84"/>
                <w:spacing w:val="-2"/>
                <w:sz w:val="18"/>
              </w:rPr>
              <w:t>informed</w:t>
            </w:r>
            <w:r>
              <w:rPr>
                <w:color w:val="105C84"/>
                <w:sz w:val="18"/>
              </w:rPr>
              <w:tab/>
            </w:r>
            <w:r>
              <w:rPr>
                <w:color w:val="105C84"/>
                <w:spacing w:val="-2"/>
                <w:position w:val="2"/>
                <w:sz w:val="18"/>
              </w:rPr>
              <w:t>8,10</w:t>
            </w:r>
            <w:r>
              <w:rPr>
                <w:color w:val="105C84"/>
                <w:spacing w:val="-9"/>
                <w:position w:val="2"/>
                <w:sz w:val="18"/>
              </w:rPr>
              <w:t> </w:t>
            </w:r>
            <w:r>
              <w:rPr>
                <w:color w:val="105C84"/>
                <w:spacing w:val="-2"/>
                <w:position w:val="2"/>
                <w:sz w:val="18"/>
              </w:rPr>
              <w:t>and</w:t>
            </w:r>
            <w:r>
              <w:rPr>
                <w:color w:val="105C84"/>
                <w:spacing w:val="-9"/>
                <w:position w:val="2"/>
                <w:sz w:val="18"/>
              </w:rPr>
              <w:t> </w:t>
            </w:r>
            <w:r>
              <w:rPr>
                <w:color w:val="105C84"/>
                <w:spacing w:val="-2"/>
                <w:position w:val="2"/>
                <w:sz w:val="18"/>
              </w:rPr>
              <w:t>12</w:t>
            </w:r>
            <w:r>
              <w:rPr>
                <w:color w:val="105C84"/>
                <w:spacing w:val="-8"/>
                <w:position w:val="2"/>
                <w:sz w:val="18"/>
              </w:rPr>
              <w:t> </w:t>
            </w:r>
            <w:r>
              <w:rPr>
                <w:color w:val="105C84"/>
                <w:spacing w:val="-2"/>
                <w:position w:val="2"/>
                <w:sz w:val="18"/>
              </w:rPr>
              <w:t>past</w:t>
            </w:r>
            <w:r>
              <w:rPr>
                <w:color w:val="105C84"/>
                <w:spacing w:val="-9"/>
                <w:position w:val="2"/>
                <w:sz w:val="18"/>
              </w:rPr>
              <w:t> </w:t>
            </w:r>
            <w:r>
              <w:rPr>
                <w:color w:val="105C84"/>
                <w:spacing w:val="-2"/>
                <w:position w:val="2"/>
                <w:sz w:val="18"/>
              </w:rPr>
              <w:t>30</w:t>
            </w:r>
            <w:r>
              <w:rPr>
                <w:color w:val="105C84"/>
                <w:spacing w:val="-8"/>
                <w:position w:val="2"/>
                <w:sz w:val="18"/>
              </w:rPr>
              <w:t> </w:t>
            </w:r>
            <w:r>
              <w:rPr>
                <w:color w:val="105C84"/>
                <w:spacing w:val="-5"/>
                <w:position w:val="2"/>
                <w:sz w:val="18"/>
              </w:rPr>
              <w:t>day</w:t>
            </w:r>
          </w:p>
          <w:p>
            <w:pPr>
              <w:pStyle w:val="TableParagraph"/>
              <w:tabs>
                <w:tab w:pos="5352" w:val="left" w:leader="none"/>
              </w:tabs>
              <w:spacing w:line="200" w:lineRule="exact"/>
              <w:ind w:left="92"/>
              <w:rPr>
                <w:position w:val="2"/>
                <w:sz w:val="18"/>
              </w:rPr>
            </w:pPr>
            <w:r>
              <w:rPr>
                <w:color w:val="105C84"/>
                <w:sz w:val="18"/>
              </w:rPr>
              <w:t>approaches</w:t>
            </w:r>
            <w:r>
              <w:rPr>
                <w:color w:val="105C84"/>
                <w:spacing w:val="3"/>
                <w:sz w:val="18"/>
              </w:rPr>
              <w:t> </w:t>
            </w:r>
            <w:r>
              <w:rPr>
                <w:color w:val="105C84"/>
                <w:sz w:val="18"/>
              </w:rPr>
              <w:t>into</w:t>
            </w:r>
            <w:r>
              <w:rPr>
                <w:color w:val="105C84"/>
                <w:spacing w:val="3"/>
                <w:sz w:val="18"/>
              </w:rPr>
              <w:t> </w:t>
            </w:r>
            <w:r>
              <w:rPr>
                <w:color w:val="105C84"/>
                <w:sz w:val="18"/>
              </w:rPr>
              <w:t>prevention</w:t>
            </w:r>
            <w:r>
              <w:rPr>
                <w:color w:val="105C84"/>
                <w:spacing w:val="4"/>
                <w:sz w:val="18"/>
              </w:rPr>
              <w:t> </w:t>
            </w:r>
            <w:r>
              <w:rPr>
                <w:color w:val="105C84"/>
                <w:spacing w:val="-2"/>
                <w:sz w:val="18"/>
              </w:rPr>
              <w:t>programs</w:t>
            </w:r>
            <w:r>
              <w:rPr>
                <w:color w:val="105C84"/>
                <w:sz w:val="18"/>
              </w:rPr>
              <w:tab/>
            </w:r>
            <w:r>
              <w:rPr>
                <w:color w:val="105C84"/>
                <w:position w:val="2"/>
                <w:sz w:val="18"/>
              </w:rPr>
              <w:t>use</w:t>
            </w:r>
            <w:r>
              <w:rPr>
                <w:color w:val="105C84"/>
                <w:spacing w:val="-13"/>
                <w:position w:val="2"/>
                <w:sz w:val="18"/>
              </w:rPr>
              <w:t> </w:t>
            </w:r>
            <w:r>
              <w:rPr>
                <w:color w:val="105C84"/>
                <w:position w:val="2"/>
                <w:sz w:val="18"/>
              </w:rPr>
              <w:t>of</w:t>
            </w:r>
            <w:r>
              <w:rPr>
                <w:color w:val="105C84"/>
                <w:spacing w:val="-12"/>
                <w:position w:val="2"/>
                <w:sz w:val="18"/>
              </w:rPr>
              <w:t> </w:t>
            </w:r>
            <w:r>
              <w:rPr>
                <w:color w:val="105C84"/>
                <w:position w:val="2"/>
                <w:sz w:val="18"/>
              </w:rPr>
              <w:t>alcohol</w:t>
            </w:r>
            <w:r>
              <w:rPr>
                <w:color w:val="105C84"/>
                <w:spacing w:val="-12"/>
                <w:position w:val="2"/>
                <w:sz w:val="18"/>
              </w:rPr>
              <w:t> </w:t>
            </w:r>
            <w:r>
              <w:rPr>
                <w:color w:val="105C84"/>
                <w:position w:val="2"/>
                <w:sz w:val="18"/>
              </w:rPr>
              <w:t>15%</w:t>
            </w:r>
            <w:r>
              <w:rPr>
                <w:color w:val="105C84"/>
                <w:spacing w:val="-12"/>
                <w:position w:val="2"/>
                <w:sz w:val="18"/>
              </w:rPr>
              <w:t> </w:t>
            </w:r>
            <w:r>
              <w:rPr>
                <w:color w:val="105C84"/>
                <w:position w:val="2"/>
                <w:sz w:val="18"/>
              </w:rPr>
              <w:t>-</w:t>
            </w:r>
            <w:r>
              <w:rPr>
                <w:color w:val="105C84"/>
                <w:spacing w:val="-2"/>
                <w:position w:val="2"/>
                <w:sz w:val="18"/>
              </w:rPr>
              <w:t>2018,</w:t>
            </w:r>
          </w:p>
          <w:p>
            <w:pPr>
              <w:pStyle w:val="TableParagraph"/>
              <w:tabs>
                <w:tab w:pos="5352" w:val="left" w:leader="none"/>
              </w:tabs>
              <w:spacing w:line="200" w:lineRule="exact"/>
              <w:ind w:left="92"/>
              <w:rPr>
                <w:position w:val="2"/>
                <w:sz w:val="18"/>
              </w:rPr>
            </w:pPr>
            <w:r>
              <w:rPr>
                <w:color w:val="105C84"/>
                <w:sz w:val="18"/>
              </w:rPr>
              <w:t>by</w:t>
            </w:r>
            <w:r>
              <w:rPr>
                <w:color w:val="105C84"/>
                <w:spacing w:val="6"/>
                <w:sz w:val="18"/>
              </w:rPr>
              <w:t> </w:t>
            </w:r>
            <w:r>
              <w:rPr>
                <w:color w:val="105C84"/>
                <w:sz w:val="18"/>
              </w:rPr>
              <w:t>training</w:t>
            </w:r>
            <w:r>
              <w:rPr>
                <w:color w:val="105C84"/>
                <w:spacing w:val="6"/>
                <w:sz w:val="18"/>
              </w:rPr>
              <w:t> </w:t>
            </w:r>
            <w:r>
              <w:rPr>
                <w:color w:val="105C84"/>
                <w:sz w:val="18"/>
              </w:rPr>
              <w:t>staff,</w:t>
            </w:r>
            <w:r>
              <w:rPr>
                <w:color w:val="105C84"/>
                <w:spacing w:val="7"/>
                <w:sz w:val="18"/>
              </w:rPr>
              <w:t> </w:t>
            </w:r>
            <w:r>
              <w:rPr>
                <w:color w:val="105C84"/>
                <w:sz w:val="18"/>
              </w:rPr>
              <w:t>developing</w:t>
            </w:r>
            <w:r>
              <w:rPr>
                <w:color w:val="105C84"/>
                <w:spacing w:val="6"/>
                <w:sz w:val="18"/>
              </w:rPr>
              <w:t> </w:t>
            </w:r>
            <w:r>
              <w:rPr>
                <w:color w:val="105C84"/>
                <w:spacing w:val="-2"/>
                <w:sz w:val="18"/>
              </w:rPr>
              <w:t>protocols</w:t>
            </w:r>
            <w:r>
              <w:rPr>
                <w:color w:val="105C84"/>
                <w:sz w:val="18"/>
              </w:rPr>
              <w:tab/>
            </w:r>
            <w:r>
              <w:rPr>
                <w:color w:val="105C84"/>
                <w:spacing w:val="-2"/>
                <w:position w:val="2"/>
                <w:sz w:val="18"/>
              </w:rPr>
              <w:t>HCTC</w:t>
            </w:r>
            <w:r>
              <w:rPr>
                <w:color w:val="105C84"/>
                <w:spacing w:val="-4"/>
                <w:position w:val="2"/>
                <w:sz w:val="18"/>
              </w:rPr>
              <w:t> </w:t>
            </w:r>
            <w:r>
              <w:rPr>
                <w:color w:val="105C84"/>
                <w:spacing w:val="-2"/>
                <w:position w:val="2"/>
                <w:sz w:val="18"/>
              </w:rPr>
              <w:t>Prevention</w:t>
            </w:r>
            <w:r>
              <w:rPr>
                <w:color w:val="105C84"/>
                <w:spacing w:val="-4"/>
                <w:position w:val="2"/>
                <w:sz w:val="18"/>
              </w:rPr>
              <w:t> </w:t>
            </w:r>
            <w:r>
              <w:rPr>
                <w:color w:val="105C84"/>
                <w:spacing w:val="-2"/>
                <w:position w:val="2"/>
                <w:sz w:val="18"/>
              </w:rPr>
              <w:t>Needs</w:t>
            </w:r>
          </w:p>
          <w:p>
            <w:pPr>
              <w:pStyle w:val="TableParagraph"/>
              <w:tabs>
                <w:tab w:pos="5352" w:val="left" w:leader="none"/>
              </w:tabs>
              <w:spacing w:line="200" w:lineRule="exact"/>
              <w:ind w:left="92"/>
              <w:rPr>
                <w:position w:val="2"/>
                <w:sz w:val="18"/>
              </w:rPr>
            </w:pPr>
            <w:r>
              <w:rPr>
                <w:color w:val="105C84"/>
                <w:spacing w:val="-4"/>
                <w:sz w:val="18"/>
              </w:rPr>
              <w:t>and</w:t>
            </w:r>
            <w:r>
              <w:rPr>
                <w:color w:val="105C84"/>
                <w:spacing w:val="-2"/>
                <w:sz w:val="18"/>
              </w:rPr>
              <w:t> </w:t>
            </w:r>
            <w:r>
              <w:rPr>
                <w:color w:val="105C84"/>
                <w:spacing w:val="-4"/>
                <w:sz w:val="18"/>
              </w:rPr>
              <w:t>cross-system</w:t>
            </w:r>
            <w:r>
              <w:rPr>
                <w:color w:val="105C84"/>
                <w:spacing w:val="1"/>
                <w:sz w:val="18"/>
              </w:rPr>
              <w:t> </w:t>
            </w:r>
            <w:r>
              <w:rPr>
                <w:color w:val="105C84"/>
                <w:spacing w:val="-4"/>
                <w:sz w:val="18"/>
              </w:rPr>
              <w:t>collaboration.</w:t>
            </w:r>
            <w:r>
              <w:rPr>
                <w:color w:val="105C84"/>
                <w:sz w:val="18"/>
              </w:rPr>
              <w:tab/>
            </w:r>
            <w:r>
              <w:rPr>
                <w:color w:val="105C84"/>
                <w:position w:val="2"/>
                <w:sz w:val="18"/>
              </w:rPr>
              <w:t>Assessment)</w:t>
            </w:r>
            <w:r>
              <w:rPr>
                <w:color w:val="105C84"/>
                <w:spacing w:val="21"/>
                <w:position w:val="2"/>
                <w:sz w:val="18"/>
              </w:rPr>
              <w:t> </w:t>
            </w:r>
            <w:r>
              <w:rPr>
                <w:color w:val="105C84"/>
                <w:position w:val="2"/>
                <w:sz w:val="18"/>
              </w:rPr>
              <w:t>Note:</w:t>
            </w:r>
            <w:r>
              <w:rPr>
                <w:color w:val="105C84"/>
                <w:spacing w:val="-13"/>
                <w:position w:val="2"/>
                <w:sz w:val="18"/>
              </w:rPr>
              <w:t> </w:t>
            </w:r>
            <w:r>
              <w:rPr>
                <w:color w:val="105C84"/>
                <w:spacing w:val="-4"/>
                <w:position w:val="2"/>
                <w:sz w:val="18"/>
              </w:rPr>
              <w:t>only</w:t>
            </w:r>
          </w:p>
          <w:p>
            <w:pPr>
              <w:pStyle w:val="TableParagraph"/>
              <w:numPr>
                <w:ilvl w:val="2"/>
                <w:numId w:val="45"/>
              </w:numPr>
              <w:tabs>
                <w:tab w:pos="512" w:val="left" w:leader="none"/>
                <w:tab w:pos="5352" w:val="left" w:leader="none"/>
              </w:tabs>
              <w:spacing w:line="245" w:lineRule="exact" w:before="0" w:after="0"/>
              <w:ind w:left="512" w:right="0" w:hanging="420"/>
              <w:jc w:val="left"/>
              <w:rPr>
                <w:position w:val="11"/>
                <w:sz w:val="18"/>
              </w:rPr>
            </w:pPr>
            <w:r>
              <w:rPr>
                <w:color w:val="105C84"/>
                <w:sz w:val="18"/>
              </w:rPr>
              <w:t>Implement</w:t>
            </w:r>
            <w:r>
              <w:rPr>
                <w:color w:val="105C84"/>
                <w:spacing w:val="-3"/>
                <w:sz w:val="18"/>
              </w:rPr>
              <w:t> </w:t>
            </w:r>
            <w:r>
              <w:rPr>
                <w:color w:val="105C84"/>
                <w:sz w:val="18"/>
              </w:rPr>
              <w:t>Screening,</w:t>
            </w:r>
            <w:r>
              <w:rPr>
                <w:color w:val="105C84"/>
                <w:spacing w:val="-3"/>
                <w:sz w:val="18"/>
              </w:rPr>
              <w:t> </w:t>
            </w:r>
            <w:r>
              <w:rPr>
                <w:color w:val="105C84"/>
                <w:spacing w:val="-2"/>
                <w:sz w:val="18"/>
              </w:rPr>
              <w:t>Brief</w:t>
            </w:r>
            <w:r>
              <w:rPr>
                <w:color w:val="105C84"/>
                <w:sz w:val="18"/>
              </w:rPr>
              <w:tab/>
            </w:r>
            <w:r>
              <w:rPr>
                <w:color w:val="105C84"/>
                <w:position w:val="11"/>
                <w:sz w:val="18"/>
              </w:rPr>
              <w:t>local</w:t>
            </w:r>
            <w:r>
              <w:rPr>
                <w:color w:val="105C84"/>
                <w:spacing w:val="-5"/>
                <w:position w:val="11"/>
                <w:sz w:val="18"/>
              </w:rPr>
              <w:t> </w:t>
            </w:r>
            <w:r>
              <w:rPr>
                <w:color w:val="105C84"/>
                <w:position w:val="11"/>
                <w:sz w:val="18"/>
              </w:rPr>
              <w:t>data</w:t>
            </w:r>
            <w:r>
              <w:rPr>
                <w:color w:val="105C84"/>
                <w:spacing w:val="-5"/>
                <w:position w:val="11"/>
                <w:sz w:val="18"/>
              </w:rPr>
              <w:t> </w:t>
            </w:r>
            <w:r>
              <w:rPr>
                <w:color w:val="105C84"/>
                <w:position w:val="11"/>
                <w:sz w:val="18"/>
              </w:rPr>
              <w:t>available</w:t>
            </w:r>
            <w:r>
              <w:rPr>
                <w:color w:val="105C84"/>
                <w:spacing w:val="-4"/>
                <w:position w:val="11"/>
                <w:sz w:val="18"/>
              </w:rPr>
              <w:t> </w:t>
            </w:r>
            <w:r>
              <w:rPr>
                <w:color w:val="105C84"/>
                <w:position w:val="11"/>
                <w:sz w:val="18"/>
              </w:rPr>
              <w:t>for</w:t>
            </w:r>
            <w:r>
              <w:rPr>
                <w:color w:val="105C84"/>
                <w:spacing w:val="-5"/>
                <w:position w:val="11"/>
                <w:sz w:val="18"/>
              </w:rPr>
              <w:t> </w:t>
            </w:r>
            <w:r>
              <w:rPr>
                <w:color w:val="105C84"/>
                <w:spacing w:val="-4"/>
                <w:position w:val="11"/>
                <w:sz w:val="18"/>
              </w:rPr>
              <w:t>this</w:t>
            </w:r>
          </w:p>
          <w:p>
            <w:pPr>
              <w:pStyle w:val="TableParagraph"/>
              <w:tabs>
                <w:tab w:pos="5352" w:val="left" w:leader="none"/>
              </w:tabs>
              <w:spacing w:line="255" w:lineRule="exact"/>
              <w:ind w:left="92"/>
              <w:rPr>
                <w:position w:val="11"/>
                <w:sz w:val="18"/>
              </w:rPr>
            </w:pPr>
            <w:r>
              <w:rPr>
                <w:color w:val="105C84"/>
                <w:sz w:val="18"/>
              </w:rPr>
              <w:t>Intervention,</w:t>
            </w:r>
            <w:r>
              <w:rPr>
                <w:color w:val="105C84"/>
                <w:spacing w:val="-3"/>
                <w:sz w:val="18"/>
              </w:rPr>
              <w:t> </w:t>
            </w:r>
            <w:r>
              <w:rPr>
                <w:color w:val="105C84"/>
                <w:sz w:val="18"/>
              </w:rPr>
              <w:t>and</w:t>
            </w:r>
            <w:r>
              <w:rPr>
                <w:color w:val="105C84"/>
                <w:spacing w:val="-2"/>
                <w:sz w:val="18"/>
              </w:rPr>
              <w:t> </w:t>
            </w:r>
            <w:r>
              <w:rPr>
                <w:color w:val="105C84"/>
                <w:sz w:val="18"/>
              </w:rPr>
              <w:t>Referral</w:t>
            </w:r>
            <w:r>
              <w:rPr>
                <w:color w:val="105C84"/>
                <w:spacing w:val="-2"/>
                <w:sz w:val="18"/>
              </w:rPr>
              <w:t> </w:t>
            </w:r>
            <w:r>
              <w:rPr>
                <w:color w:val="105C84"/>
                <w:sz w:val="18"/>
              </w:rPr>
              <w:t>to</w:t>
            </w:r>
            <w:r>
              <w:rPr>
                <w:color w:val="105C84"/>
                <w:spacing w:val="-3"/>
                <w:sz w:val="18"/>
              </w:rPr>
              <w:t> </w:t>
            </w:r>
            <w:r>
              <w:rPr>
                <w:color w:val="105C84"/>
                <w:spacing w:val="-2"/>
                <w:sz w:val="18"/>
              </w:rPr>
              <w:t>Treatment</w:t>
            </w:r>
            <w:r>
              <w:rPr>
                <w:color w:val="105C84"/>
                <w:sz w:val="18"/>
              </w:rPr>
              <w:tab/>
            </w:r>
            <w:r>
              <w:rPr>
                <w:color w:val="105C84"/>
                <w:spacing w:val="-2"/>
                <w:position w:val="11"/>
                <w:sz w:val="18"/>
              </w:rPr>
              <w:t>objective</w:t>
            </w:r>
          </w:p>
          <w:p>
            <w:pPr>
              <w:pStyle w:val="TableParagraph"/>
              <w:spacing w:line="203" w:lineRule="exact"/>
              <w:ind w:left="92"/>
              <w:rPr>
                <w:sz w:val="18"/>
              </w:rPr>
            </w:pPr>
            <w:r>
              <w:rPr>
                <w:color w:val="105C84"/>
                <w:spacing w:val="-2"/>
                <w:w w:val="95"/>
                <w:sz w:val="18"/>
              </w:rPr>
              <w:t>(SBIRT)</w:t>
            </w:r>
          </w:p>
          <w:p>
            <w:pPr>
              <w:pStyle w:val="TableParagraph"/>
              <w:numPr>
                <w:ilvl w:val="2"/>
                <w:numId w:val="45"/>
              </w:numPr>
              <w:tabs>
                <w:tab w:pos="512" w:val="left" w:leader="none"/>
              </w:tabs>
              <w:spacing w:line="232" w:lineRule="auto" w:before="88" w:after="0"/>
              <w:ind w:left="92" w:right="4508" w:firstLine="0"/>
              <w:jc w:val="left"/>
              <w:rPr>
                <w:sz w:val="18"/>
              </w:rPr>
            </w:pPr>
            <w:r>
              <w:rPr>
                <w:color w:val="105C84"/>
                <w:sz w:val="18"/>
              </w:rPr>
              <w:t>Integrate trauma-informed approaches and responses into prevention programs by training staff, developing protocols and engaging </w:t>
            </w:r>
            <w:r>
              <w:rPr>
                <w:color w:val="105C84"/>
                <w:sz w:val="18"/>
              </w:rPr>
              <w:t>in cross-system collaboration</w:t>
            </w:r>
          </w:p>
        </w:tc>
        <w:tc>
          <w:tcPr>
            <w:tcW w:w="1850" w:type="dxa"/>
          </w:tcPr>
          <w:p>
            <w:pPr>
              <w:pStyle w:val="TableParagraph"/>
              <w:spacing w:line="336" w:lineRule="auto" w:before="93"/>
              <w:ind w:left="93" w:right="631"/>
              <w:rPr>
                <w:sz w:val="18"/>
              </w:rPr>
            </w:pPr>
            <w:r>
              <w:rPr>
                <w:color w:val="105C84"/>
                <w:spacing w:val="-2"/>
                <w:sz w:val="18"/>
              </w:rPr>
              <w:t>CASA-Trinity Retail</w:t>
            </w:r>
            <w:r>
              <w:rPr>
                <w:color w:val="105C84"/>
                <w:spacing w:val="-6"/>
                <w:sz w:val="18"/>
              </w:rPr>
              <w:t> </w:t>
            </w:r>
            <w:r>
              <w:rPr>
                <w:color w:val="105C84"/>
                <w:spacing w:val="-2"/>
                <w:sz w:val="18"/>
              </w:rPr>
              <w:t>Stores</w:t>
            </w:r>
          </w:p>
          <w:p>
            <w:pPr>
              <w:pStyle w:val="TableParagraph"/>
              <w:spacing w:line="232" w:lineRule="auto" w:before="5"/>
              <w:ind w:left="93" w:right="120"/>
              <w:rPr>
                <w:sz w:val="18"/>
              </w:rPr>
            </w:pPr>
            <w:r>
              <w:rPr>
                <w:color w:val="105C84"/>
                <w:sz w:val="18"/>
              </w:rPr>
              <w:t>Livingston</w:t>
            </w:r>
            <w:r>
              <w:rPr>
                <w:color w:val="105C84"/>
                <w:spacing w:val="-13"/>
                <w:sz w:val="18"/>
              </w:rPr>
              <w:t> </w:t>
            </w:r>
            <w:r>
              <w:rPr>
                <w:color w:val="105C84"/>
                <w:sz w:val="18"/>
              </w:rPr>
              <w:t>County Sheriff’s Office</w:t>
            </w:r>
          </w:p>
          <w:p>
            <w:pPr>
              <w:pStyle w:val="TableParagraph"/>
              <w:spacing w:line="232" w:lineRule="auto" w:before="89"/>
              <w:ind w:left="93" w:right="120"/>
              <w:rPr>
                <w:sz w:val="18"/>
              </w:rPr>
            </w:pPr>
            <w:r>
              <w:rPr>
                <w:color w:val="105C84"/>
                <w:spacing w:val="-2"/>
                <w:sz w:val="18"/>
              </w:rPr>
              <w:t>Healthy </w:t>
            </w:r>
            <w:r>
              <w:rPr>
                <w:color w:val="105C84"/>
                <w:sz w:val="18"/>
              </w:rPr>
              <w:t>Communities</w:t>
            </w:r>
            <w:r>
              <w:rPr>
                <w:color w:val="105C84"/>
                <w:spacing w:val="-13"/>
                <w:sz w:val="18"/>
              </w:rPr>
              <w:t> </w:t>
            </w:r>
            <w:r>
              <w:rPr>
                <w:color w:val="105C84"/>
                <w:sz w:val="18"/>
              </w:rPr>
              <w:t>That Care Coalition</w:t>
            </w:r>
          </w:p>
          <w:p>
            <w:pPr>
              <w:pStyle w:val="TableParagraph"/>
              <w:spacing w:before="82"/>
              <w:ind w:left="93"/>
              <w:rPr>
                <w:sz w:val="18"/>
              </w:rPr>
            </w:pPr>
            <w:r>
              <w:rPr>
                <w:color w:val="105C84"/>
                <w:spacing w:val="-2"/>
                <w:sz w:val="18"/>
              </w:rPr>
              <w:t>Schools</w:t>
            </w:r>
          </w:p>
          <w:p>
            <w:pPr>
              <w:pStyle w:val="TableParagraph"/>
              <w:spacing w:before="83"/>
              <w:ind w:left="93"/>
              <w:rPr>
                <w:sz w:val="18"/>
              </w:rPr>
            </w:pPr>
            <w:r>
              <w:rPr>
                <w:color w:val="105C84"/>
                <w:w w:val="90"/>
                <w:sz w:val="18"/>
              </w:rPr>
              <w:t>SUNY</w:t>
            </w:r>
            <w:r>
              <w:rPr>
                <w:color w:val="105C84"/>
                <w:spacing w:val="11"/>
                <w:sz w:val="18"/>
              </w:rPr>
              <w:t> </w:t>
            </w:r>
            <w:r>
              <w:rPr>
                <w:color w:val="105C84"/>
                <w:spacing w:val="-2"/>
                <w:w w:val="95"/>
                <w:sz w:val="18"/>
              </w:rPr>
              <w:t>Geneseo</w:t>
            </w:r>
          </w:p>
          <w:p>
            <w:pPr>
              <w:pStyle w:val="TableParagraph"/>
              <w:spacing w:line="232" w:lineRule="auto" w:before="88"/>
              <w:ind w:left="93" w:right="291"/>
              <w:rPr>
                <w:sz w:val="18"/>
              </w:rPr>
            </w:pPr>
            <w:r>
              <w:rPr>
                <w:color w:val="105C84"/>
                <w:spacing w:val="-6"/>
                <w:sz w:val="18"/>
              </w:rPr>
              <w:t>GVHP/Trauma </w:t>
            </w:r>
            <w:r>
              <w:rPr>
                <w:color w:val="105C84"/>
                <w:spacing w:val="-2"/>
                <w:sz w:val="18"/>
              </w:rPr>
              <w:t>Informed Committee</w:t>
            </w:r>
          </w:p>
          <w:p>
            <w:pPr>
              <w:pStyle w:val="TableParagraph"/>
              <w:spacing w:line="232" w:lineRule="auto" w:before="88"/>
              <w:ind w:left="93" w:right="120"/>
              <w:rPr>
                <w:sz w:val="18"/>
              </w:rPr>
            </w:pPr>
            <w:r>
              <w:rPr>
                <w:color w:val="105C84"/>
                <w:spacing w:val="-2"/>
                <w:sz w:val="18"/>
              </w:rPr>
              <w:t>Schools/youth </w:t>
            </w:r>
            <w:r>
              <w:rPr>
                <w:color w:val="105C84"/>
                <w:sz w:val="18"/>
              </w:rPr>
              <w:t>serving orgs</w:t>
            </w:r>
          </w:p>
        </w:tc>
        <w:tc>
          <w:tcPr>
            <w:tcW w:w="2692" w:type="dxa"/>
          </w:tcPr>
          <w:p>
            <w:pPr>
              <w:pStyle w:val="TableParagraph"/>
              <w:spacing w:line="232" w:lineRule="auto" w:before="98"/>
              <w:ind w:left="93" w:right="146"/>
              <w:rPr>
                <w:sz w:val="18"/>
              </w:rPr>
            </w:pPr>
            <w:r>
              <w:rPr>
                <w:color w:val="105C84"/>
                <w:sz w:val="18"/>
              </w:rPr>
              <w:t>CASA-Trinity</w:t>
            </w:r>
            <w:r>
              <w:rPr>
                <w:color w:val="105C84"/>
                <w:spacing w:val="40"/>
                <w:sz w:val="18"/>
              </w:rPr>
              <w:t> </w:t>
            </w:r>
            <w:r>
              <w:rPr>
                <w:color w:val="105C84"/>
                <w:sz w:val="18"/>
              </w:rPr>
              <w:t>and Sheriff's Office to provide training </w:t>
            </w:r>
            <w:r>
              <w:rPr>
                <w:color w:val="105C84"/>
                <w:sz w:val="18"/>
              </w:rPr>
              <w:t>and retailer scans</w:t>
            </w:r>
          </w:p>
          <w:p>
            <w:pPr>
              <w:pStyle w:val="TableParagraph"/>
              <w:spacing w:line="232" w:lineRule="auto" w:before="87"/>
              <w:ind w:left="93" w:right="298"/>
              <w:rPr>
                <w:sz w:val="18"/>
              </w:rPr>
            </w:pPr>
            <w:r>
              <w:rPr>
                <w:color w:val="105C84"/>
                <w:spacing w:val="-2"/>
                <w:sz w:val="18"/>
              </w:rPr>
              <w:t>Retail</w:t>
            </w:r>
            <w:r>
              <w:rPr>
                <w:color w:val="105C84"/>
                <w:spacing w:val="-11"/>
                <w:sz w:val="18"/>
              </w:rPr>
              <w:t> </w:t>
            </w:r>
            <w:r>
              <w:rPr>
                <w:color w:val="105C84"/>
                <w:spacing w:val="-2"/>
                <w:sz w:val="18"/>
              </w:rPr>
              <w:t>Stores</w:t>
            </w:r>
            <w:r>
              <w:rPr>
                <w:color w:val="105C84"/>
                <w:spacing w:val="-10"/>
                <w:sz w:val="18"/>
              </w:rPr>
              <w:t> </w:t>
            </w:r>
            <w:r>
              <w:rPr>
                <w:color w:val="105C84"/>
                <w:spacing w:val="-2"/>
                <w:sz w:val="18"/>
              </w:rPr>
              <w:t>to</w:t>
            </w:r>
            <w:r>
              <w:rPr>
                <w:color w:val="105C84"/>
                <w:spacing w:val="-11"/>
                <w:sz w:val="18"/>
              </w:rPr>
              <w:t> </w:t>
            </w:r>
            <w:r>
              <w:rPr>
                <w:color w:val="105C84"/>
                <w:spacing w:val="-2"/>
                <w:sz w:val="18"/>
              </w:rPr>
              <w:t>have</w:t>
            </w:r>
            <w:r>
              <w:rPr>
                <w:color w:val="105C84"/>
                <w:spacing w:val="-10"/>
                <w:sz w:val="18"/>
              </w:rPr>
              <w:t> </w:t>
            </w:r>
            <w:r>
              <w:rPr>
                <w:color w:val="105C84"/>
                <w:spacing w:val="-2"/>
                <w:sz w:val="18"/>
              </w:rPr>
              <w:t>staff </w:t>
            </w:r>
            <w:r>
              <w:rPr>
                <w:color w:val="105C84"/>
                <w:sz w:val="18"/>
              </w:rPr>
              <w:t>attend training</w:t>
            </w:r>
          </w:p>
          <w:p>
            <w:pPr>
              <w:pStyle w:val="TableParagraph"/>
              <w:spacing w:line="232" w:lineRule="auto" w:before="89"/>
              <w:ind w:left="93" w:right="190"/>
              <w:rPr>
                <w:sz w:val="18"/>
              </w:rPr>
            </w:pPr>
            <w:r>
              <w:rPr>
                <w:color w:val="105C84"/>
                <w:sz w:val="18"/>
              </w:rPr>
              <w:t>HCTC</w:t>
            </w:r>
            <w:r>
              <w:rPr>
                <w:color w:val="105C84"/>
                <w:spacing w:val="-15"/>
                <w:sz w:val="18"/>
              </w:rPr>
              <w:t> </w:t>
            </w:r>
            <w:r>
              <w:rPr>
                <w:color w:val="105C84"/>
                <w:sz w:val="18"/>
              </w:rPr>
              <w:t>to</w:t>
            </w:r>
            <w:r>
              <w:rPr>
                <w:color w:val="105C84"/>
                <w:spacing w:val="-12"/>
                <w:sz w:val="18"/>
              </w:rPr>
              <w:t> </w:t>
            </w:r>
            <w:r>
              <w:rPr>
                <w:color w:val="105C84"/>
                <w:sz w:val="18"/>
              </w:rPr>
              <w:t>conduct</w:t>
            </w:r>
            <w:r>
              <w:rPr>
                <w:color w:val="105C84"/>
                <w:spacing w:val="-13"/>
                <w:sz w:val="18"/>
              </w:rPr>
              <w:t> </w:t>
            </w:r>
            <w:r>
              <w:rPr>
                <w:color w:val="105C84"/>
                <w:sz w:val="18"/>
              </w:rPr>
              <w:t>PNA</w:t>
            </w:r>
            <w:r>
              <w:rPr>
                <w:color w:val="105C84"/>
                <w:spacing w:val="-12"/>
                <w:sz w:val="18"/>
              </w:rPr>
              <w:t> </w:t>
            </w:r>
            <w:r>
              <w:rPr>
                <w:color w:val="105C84"/>
                <w:sz w:val="18"/>
              </w:rPr>
              <w:t>survey, work with youth/schools, coordinate</w:t>
            </w:r>
            <w:r>
              <w:rPr>
                <w:color w:val="105C84"/>
                <w:spacing w:val="40"/>
                <w:sz w:val="18"/>
              </w:rPr>
              <w:t> </w:t>
            </w:r>
            <w:r>
              <w:rPr>
                <w:color w:val="105C84"/>
                <w:sz w:val="18"/>
              </w:rPr>
              <w:t>evidence based school prevention strategies</w:t>
            </w:r>
          </w:p>
          <w:p>
            <w:pPr>
              <w:pStyle w:val="TableParagraph"/>
              <w:spacing w:line="232" w:lineRule="auto" w:before="87"/>
              <w:ind w:left="93"/>
              <w:rPr>
                <w:sz w:val="18"/>
              </w:rPr>
            </w:pPr>
            <w:r>
              <w:rPr>
                <w:color w:val="105C84"/>
                <w:spacing w:val="-2"/>
                <w:sz w:val="18"/>
              </w:rPr>
              <w:t>Schools</w:t>
            </w:r>
            <w:r>
              <w:rPr>
                <w:color w:val="105C84"/>
                <w:spacing w:val="-13"/>
                <w:sz w:val="18"/>
              </w:rPr>
              <w:t> </w:t>
            </w:r>
            <w:r>
              <w:rPr>
                <w:color w:val="105C84"/>
                <w:spacing w:val="-2"/>
                <w:sz w:val="18"/>
              </w:rPr>
              <w:t>work</w:t>
            </w:r>
            <w:r>
              <w:rPr>
                <w:color w:val="105C84"/>
                <w:spacing w:val="-10"/>
                <w:sz w:val="18"/>
              </w:rPr>
              <w:t> </w:t>
            </w:r>
            <w:r>
              <w:rPr>
                <w:color w:val="105C84"/>
                <w:spacing w:val="-2"/>
                <w:sz w:val="18"/>
              </w:rPr>
              <w:t>with</w:t>
            </w:r>
            <w:r>
              <w:rPr>
                <w:color w:val="105C84"/>
                <w:spacing w:val="-11"/>
                <w:sz w:val="18"/>
              </w:rPr>
              <w:t> </w:t>
            </w:r>
            <w:r>
              <w:rPr>
                <w:color w:val="105C84"/>
                <w:spacing w:val="-2"/>
                <w:sz w:val="18"/>
              </w:rPr>
              <w:t>HCTC</w:t>
            </w:r>
            <w:r>
              <w:rPr>
                <w:color w:val="105C84"/>
                <w:spacing w:val="-10"/>
                <w:sz w:val="18"/>
              </w:rPr>
              <w:t> </w:t>
            </w:r>
            <w:r>
              <w:rPr>
                <w:color w:val="105C84"/>
                <w:spacing w:val="-2"/>
                <w:sz w:val="18"/>
              </w:rPr>
              <w:t>assist </w:t>
            </w:r>
            <w:r>
              <w:rPr>
                <w:color w:val="105C84"/>
                <w:sz w:val="18"/>
              </w:rPr>
              <w:t>with PNA survey, implement evidence based school programming and policy</w:t>
            </w:r>
          </w:p>
          <w:p>
            <w:pPr>
              <w:pStyle w:val="TableParagraph"/>
              <w:spacing w:line="232" w:lineRule="auto" w:before="87"/>
              <w:ind w:left="93" w:right="86"/>
              <w:rPr>
                <w:sz w:val="18"/>
              </w:rPr>
            </w:pPr>
            <w:r>
              <w:rPr>
                <w:color w:val="105C84"/>
                <w:sz w:val="18"/>
              </w:rPr>
              <w:t>Implement</w:t>
            </w:r>
            <w:r>
              <w:rPr>
                <w:color w:val="105C84"/>
                <w:spacing w:val="-13"/>
                <w:sz w:val="18"/>
              </w:rPr>
              <w:t> </w:t>
            </w:r>
            <w:r>
              <w:rPr>
                <w:color w:val="105C84"/>
                <w:sz w:val="18"/>
              </w:rPr>
              <w:t>SBIRT</w:t>
            </w:r>
            <w:r>
              <w:rPr>
                <w:color w:val="105C84"/>
                <w:spacing w:val="-12"/>
                <w:sz w:val="18"/>
              </w:rPr>
              <w:t> </w:t>
            </w:r>
            <w:r>
              <w:rPr>
                <w:color w:val="105C84"/>
                <w:sz w:val="18"/>
              </w:rPr>
              <w:t>with</w:t>
            </w:r>
            <w:r>
              <w:rPr>
                <w:color w:val="105C84"/>
                <w:spacing w:val="-13"/>
                <w:sz w:val="18"/>
              </w:rPr>
              <w:t> </w:t>
            </w:r>
            <w:r>
              <w:rPr>
                <w:color w:val="105C84"/>
                <w:sz w:val="18"/>
              </w:rPr>
              <w:t>students SUNY Geneseo- implement </w:t>
            </w:r>
            <w:r>
              <w:rPr>
                <w:color w:val="105C84"/>
                <w:spacing w:val="-2"/>
                <w:sz w:val="18"/>
              </w:rPr>
              <w:t>SBIRT</w:t>
            </w:r>
          </w:p>
          <w:p>
            <w:pPr>
              <w:pStyle w:val="TableParagraph"/>
              <w:spacing w:line="232" w:lineRule="auto" w:before="87"/>
              <w:ind w:left="93" w:right="95"/>
              <w:rPr>
                <w:sz w:val="18"/>
              </w:rPr>
            </w:pPr>
            <w:r>
              <w:rPr>
                <w:color w:val="105C84"/>
                <w:sz w:val="18"/>
              </w:rPr>
              <w:t>GVHP/Trauma Informed Committee- Coordinate</w:t>
            </w:r>
            <w:r>
              <w:rPr>
                <w:color w:val="105C84"/>
                <w:spacing w:val="40"/>
                <w:sz w:val="18"/>
              </w:rPr>
              <w:t> </w:t>
            </w:r>
            <w:r>
              <w:rPr>
                <w:color w:val="105C84"/>
                <w:sz w:val="18"/>
              </w:rPr>
              <w:t>training and assist schools/ organizations</w:t>
            </w:r>
            <w:r>
              <w:rPr>
                <w:color w:val="105C84"/>
                <w:spacing w:val="-15"/>
                <w:sz w:val="18"/>
              </w:rPr>
              <w:t> </w:t>
            </w:r>
            <w:r>
              <w:rPr>
                <w:color w:val="105C84"/>
                <w:sz w:val="18"/>
              </w:rPr>
              <w:t>with</w:t>
            </w:r>
            <w:r>
              <w:rPr>
                <w:color w:val="105C84"/>
                <w:spacing w:val="-12"/>
                <w:sz w:val="18"/>
              </w:rPr>
              <w:t> </w:t>
            </w:r>
            <w:r>
              <w:rPr>
                <w:color w:val="105C84"/>
                <w:sz w:val="18"/>
              </w:rPr>
              <w:t>approaches/ </w:t>
            </w:r>
            <w:r>
              <w:rPr>
                <w:color w:val="105C84"/>
                <w:spacing w:val="-2"/>
                <w:sz w:val="18"/>
              </w:rPr>
              <w:t>policies</w:t>
            </w:r>
          </w:p>
          <w:p>
            <w:pPr>
              <w:pStyle w:val="TableParagraph"/>
              <w:spacing w:line="232" w:lineRule="auto" w:before="86"/>
              <w:ind w:left="93" w:right="298"/>
              <w:rPr>
                <w:sz w:val="18"/>
              </w:rPr>
            </w:pPr>
            <w:r>
              <w:rPr>
                <w:color w:val="105C84"/>
                <w:sz w:val="18"/>
              </w:rPr>
              <w:t>Schools/youth serving organizations staff trained and implement </w:t>
            </w:r>
            <w:r>
              <w:rPr>
                <w:color w:val="105C84"/>
                <w:sz w:val="18"/>
              </w:rPr>
              <w:t>approaches/ </w:t>
            </w:r>
            <w:r>
              <w:rPr>
                <w:color w:val="105C84"/>
                <w:spacing w:val="-2"/>
                <w:sz w:val="18"/>
              </w:rPr>
              <w:t>policies</w:t>
            </w:r>
          </w:p>
        </w:tc>
        <w:tc>
          <w:tcPr>
            <w:tcW w:w="3205" w:type="dxa"/>
          </w:tcPr>
          <w:p>
            <w:pPr>
              <w:pStyle w:val="TableParagraph"/>
              <w:spacing w:line="232" w:lineRule="auto" w:before="97"/>
              <w:ind w:left="94"/>
              <w:rPr>
                <w:sz w:val="18"/>
              </w:rPr>
            </w:pPr>
            <w:r>
              <w:rPr>
                <w:color w:val="105C84"/>
                <w:sz w:val="18"/>
              </w:rPr>
              <w:t>Implement</w:t>
            </w:r>
            <w:r>
              <w:rPr>
                <w:color w:val="105C84"/>
                <w:spacing w:val="-5"/>
                <w:sz w:val="18"/>
              </w:rPr>
              <w:t> </w:t>
            </w:r>
            <w:r>
              <w:rPr>
                <w:color w:val="105C84"/>
                <w:sz w:val="18"/>
              </w:rPr>
              <w:t>at</w:t>
            </w:r>
            <w:r>
              <w:rPr>
                <w:color w:val="105C84"/>
                <w:spacing w:val="-5"/>
                <w:sz w:val="18"/>
              </w:rPr>
              <w:t> </w:t>
            </w:r>
            <w:r>
              <w:rPr>
                <w:color w:val="105C84"/>
                <w:sz w:val="18"/>
              </w:rPr>
              <w:t>least</w:t>
            </w:r>
            <w:r>
              <w:rPr>
                <w:color w:val="105C84"/>
                <w:spacing w:val="-5"/>
                <w:sz w:val="18"/>
              </w:rPr>
              <w:t> </w:t>
            </w:r>
            <w:r>
              <w:rPr>
                <w:color w:val="105C84"/>
                <w:sz w:val="18"/>
              </w:rPr>
              <w:t>one</w:t>
            </w:r>
            <w:r>
              <w:rPr>
                <w:color w:val="105C84"/>
                <w:spacing w:val="-5"/>
                <w:sz w:val="18"/>
              </w:rPr>
              <w:t> </w:t>
            </w:r>
            <w:r>
              <w:rPr>
                <w:color w:val="105C84"/>
                <w:sz w:val="18"/>
              </w:rPr>
              <w:t>responsible server training per year</w:t>
            </w:r>
          </w:p>
          <w:p>
            <w:pPr>
              <w:pStyle w:val="TableParagraph"/>
              <w:spacing w:line="232" w:lineRule="auto" w:before="89"/>
              <w:ind w:left="94"/>
              <w:rPr>
                <w:sz w:val="18"/>
              </w:rPr>
            </w:pPr>
            <w:r>
              <w:rPr>
                <w:color w:val="105C84"/>
                <w:sz w:val="18"/>
              </w:rPr>
              <w:t>Implement retailer scans and compliance</w:t>
            </w:r>
            <w:r>
              <w:rPr>
                <w:color w:val="105C84"/>
                <w:spacing w:val="-9"/>
                <w:sz w:val="18"/>
              </w:rPr>
              <w:t> </w:t>
            </w:r>
            <w:r>
              <w:rPr>
                <w:color w:val="105C84"/>
                <w:sz w:val="18"/>
              </w:rPr>
              <w:t>checks</w:t>
            </w:r>
            <w:r>
              <w:rPr>
                <w:color w:val="105C84"/>
                <w:spacing w:val="-9"/>
                <w:sz w:val="18"/>
              </w:rPr>
              <w:t> </w:t>
            </w:r>
            <w:r>
              <w:rPr>
                <w:color w:val="105C84"/>
                <w:sz w:val="18"/>
              </w:rPr>
              <w:t>at</w:t>
            </w:r>
            <w:r>
              <w:rPr>
                <w:color w:val="105C84"/>
                <w:spacing w:val="-9"/>
                <w:sz w:val="18"/>
              </w:rPr>
              <w:t> </w:t>
            </w:r>
            <w:r>
              <w:rPr>
                <w:color w:val="105C84"/>
                <w:sz w:val="18"/>
              </w:rPr>
              <w:t>least</w:t>
            </w:r>
            <w:r>
              <w:rPr>
                <w:color w:val="105C84"/>
                <w:spacing w:val="-9"/>
                <w:sz w:val="18"/>
              </w:rPr>
              <w:t> </w:t>
            </w:r>
            <w:r>
              <w:rPr>
                <w:color w:val="105C84"/>
                <w:sz w:val="18"/>
              </w:rPr>
              <w:t>1</w:t>
            </w:r>
            <w:r>
              <w:rPr>
                <w:color w:val="105C84"/>
                <w:spacing w:val="-9"/>
                <w:sz w:val="18"/>
              </w:rPr>
              <w:t> </w:t>
            </w:r>
            <w:r>
              <w:rPr>
                <w:color w:val="105C84"/>
                <w:sz w:val="18"/>
              </w:rPr>
              <w:t>time</w:t>
            </w:r>
            <w:r>
              <w:rPr>
                <w:color w:val="105C84"/>
                <w:spacing w:val="-9"/>
                <w:sz w:val="18"/>
              </w:rPr>
              <w:t> </w:t>
            </w:r>
            <w:r>
              <w:rPr>
                <w:color w:val="105C84"/>
                <w:sz w:val="18"/>
              </w:rPr>
              <w:t>per </w:t>
            </w:r>
            <w:r>
              <w:rPr>
                <w:color w:val="105C84"/>
                <w:spacing w:val="-4"/>
                <w:sz w:val="18"/>
              </w:rPr>
              <w:t>year</w:t>
            </w:r>
          </w:p>
          <w:p>
            <w:pPr>
              <w:pStyle w:val="TableParagraph"/>
              <w:spacing w:line="232" w:lineRule="auto" w:before="87"/>
              <w:ind w:left="94"/>
              <w:rPr>
                <w:sz w:val="18"/>
              </w:rPr>
            </w:pPr>
            <w:r>
              <w:rPr>
                <w:color w:val="105C84"/>
                <w:sz w:val="18"/>
              </w:rPr>
              <w:t>At least 3 schools participating in evidence</w:t>
            </w:r>
            <w:r>
              <w:rPr>
                <w:color w:val="105C84"/>
                <w:spacing w:val="-9"/>
                <w:sz w:val="18"/>
              </w:rPr>
              <w:t> </w:t>
            </w:r>
            <w:r>
              <w:rPr>
                <w:color w:val="105C84"/>
                <w:sz w:val="18"/>
              </w:rPr>
              <w:t>based</w:t>
            </w:r>
            <w:r>
              <w:rPr>
                <w:color w:val="105C84"/>
                <w:spacing w:val="-9"/>
                <w:sz w:val="18"/>
              </w:rPr>
              <w:t> </w:t>
            </w:r>
            <w:r>
              <w:rPr>
                <w:color w:val="105C84"/>
                <w:sz w:val="18"/>
              </w:rPr>
              <w:t>school</w:t>
            </w:r>
            <w:r>
              <w:rPr>
                <w:color w:val="105C84"/>
                <w:spacing w:val="-9"/>
                <w:sz w:val="18"/>
              </w:rPr>
              <w:t> </w:t>
            </w:r>
            <w:r>
              <w:rPr>
                <w:color w:val="105C84"/>
                <w:sz w:val="18"/>
              </w:rPr>
              <w:t>prevention </w:t>
            </w:r>
            <w:r>
              <w:rPr>
                <w:color w:val="105C84"/>
                <w:spacing w:val="-2"/>
                <w:sz w:val="18"/>
              </w:rPr>
              <w:t>strategies</w:t>
            </w:r>
          </w:p>
          <w:p>
            <w:pPr>
              <w:pStyle w:val="TableParagraph"/>
              <w:spacing w:line="232" w:lineRule="auto" w:before="88"/>
              <w:ind w:left="94" w:right="471"/>
              <w:jc w:val="both"/>
              <w:rPr>
                <w:sz w:val="18"/>
              </w:rPr>
            </w:pPr>
            <w:r>
              <w:rPr>
                <w:color w:val="105C84"/>
                <w:sz w:val="18"/>
              </w:rPr>
              <w:t>At</w:t>
            </w:r>
            <w:r>
              <w:rPr>
                <w:color w:val="105C84"/>
                <w:spacing w:val="-13"/>
                <w:sz w:val="18"/>
              </w:rPr>
              <w:t> </w:t>
            </w:r>
            <w:r>
              <w:rPr>
                <w:color w:val="105C84"/>
                <w:sz w:val="18"/>
              </w:rPr>
              <w:t>least</w:t>
            </w:r>
            <w:r>
              <w:rPr>
                <w:color w:val="105C84"/>
                <w:spacing w:val="-12"/>
                <w:sz w:val="18"/>
              </w:rPr>
              <w:t> </w:t>
            </w:r>
            <w:r>
              <w:rPr>
                <w:color w:val="105C84"/>
                <w:sz w:val="18"/>
              </w:rPr>
              <w:t>80%</w:t>
            </w:r>
            <w:r>
              <w:rPr>
                <w:color w:val="105C84"/>
                <w:spacing w:val="-13"/>
                <w:sz w:val="18"/>
              </w:rPr>
              <w:t> </w:t>
            </w:r>
            <w:r>
              <w:rPr>
                <w:color w:val="105C84"/>
                <w:sz w:val="18"/>
              </w:rPr>
              <w:t>of</w:t>
            </w:r>
            <w:r>
              <w:rPr>
                <w:color w:val="105C84"/>
                <w:spacing w:val="-12"/>
                <w:sz w:val="18"/>
              </w:rPr>
              <w:t> </w:t>
            </w:r>
            <w:r>
              <w:rPr>
                <w:color w:val="105C84"/>
                <w:sz w:val="18"/>
              </w:rPr>
              <w:t>required</w:t>
            </w:r>
            <w:r>
              <w:rPr>
                <w:color w:val="105C84"/>
                <w:spacing w:val="-13"/>
                <w:sz w:val="18"/>
              </w:rPr>
              <w:t> </w:t>
            </w:r>
            <w:r>
              <w:rPr>
                <w:color w:val="105C84"/>
                <w:sz w:val="18"/>
              </w:rPr>
              <w:t>sessions being implemented for </w:t>
            </w:r>
            <w:r>
              <w:rPr>
                <w:color w:val="105C84"/>
                <w:sz w:val="18"/>
              </w:rPr>
              <w:t>Evidence </w:t>
            </w:r>
            <w:r>
              <w:rPr>
                <w:color w:val="105C84"/>
                <w:w w:val="105"/>
                <w:sz w:val="18"/>
              </w:rPr>
              <w:t>Based School programming</w:t>
            </w:r>
          </w:p>
          <w:p>
            <w:pPr>
              <w:pStyle w:val="TableParagraph"/>
              <w:spacing w:line="232" w:lineRule="auto" w:before="88"/>
              <w:ind w:left="94"/>
              <w:rPr>
                <w:sz w:val="18"/>
              </w:rPr>
            </w:pPr>
            <w:r>
              <w:rPr>
                <w:color w:val="105C84"/>
                <w:sz w:val="18"/>
              </w:rPr>
              <w:t>At least 700 youth participating in school</w:t>
            </w:r>
            <w:r>
              <w:rPr>
                <w:color w:val="105C84"/>
                <w:spacing w:val="-5"/>
                <w:sz w:val="18"/>
              </w:rPr>
              <w:t> </w:t>
            </w:r>
            <w:r>
              <w:rPr>
                <w:color w:val="105C84"/>
                <w:sz w:val="18"/>
              </w:rPr>
              <w:t>based</w:t>
            </w:r>
            <w:r>
              <w:rPr>
                <w:color w:val="105C84"/>
                <w:spacing w:val="-5"/>
                <w:sz w:val="18"/>
              </w:rPr>
              <w:t> </w:t>
            </w:r>
            <w:r>
              <w:rPr>
                <w:color w:val="105C84"/>
                <w:sz w:val="18"/>
              </w:rPr>
              <w:t>programming</w:t>
            </w:r>
            <w:r>
              <w:rPr>
                <w:color w:val="105C84"/>
                <w:spacing w:val="-5"/>
                <w:sz w:val="18"/>
              </w:rPr>
              <w:t> </w:t>
            </w:r>
            <w:r>
              <w:rPr>
                <w:color w:val="105C84"/>
                <w:sz w:val="18"/>
              </w:rPr>
              <w:t>per</w:t>
            </w:r>
            <w:r>
              <w:rPr>
                <w:color w:val="105C84"/>
                <w:spacing w:val="-5"/>
                <w:sz w:val="18"/>
              </w:rPr>
              <w:t> </w:t>
            </w:r>
            <w:r>
              <w:rPr>
                <w:color w:val="105C84"/>
                <w:sz w:val="18"/>
              </w:rPr>
              <w:t>year</w:t>
            </w:r>
          </w:p>
          <w:p>
            <w:pPr>
              <w:pStyle w:val="TableParagraph"/>
              <w:spacing w:line="232" w:lineRule="auto" w:before="88"/>
              <w:ind w:left="94"/>
              <w:rPr>
                <w:sz w:val="18"/>
              </w:rPr>
            </w:pPr>
            <w:r>
              <w:rPr>
                <w:color w:val="105C84"/>
                <w:sz w:val="18"/>
              </w:rPr>
              <w:t>At least 60 youth (ages 12-18) </w:t>
            </w:r>
            <w:r>
              <w:rPr>
                <w:color w:val="105C84"/>
                <w:spacing w:val="-2"/>
                <w:sz w:val="18"/>
              </w:rPr>
              <w:t>participating</w:t>
            </w:r>
            <w:r>
              <w:rPr>
                <w:color w:val="105C84"/>
                <w:spacing w:val="-8"/>
                <w:sz w:val="18"/>
              </w:rPr>
              <w:t> </w:t>
            </w:r>
            <w:r>
              <w:rPr>
                <w:color w:val="105C84"/>
                <w:spacing w:val="-2"/>
                <w:sz w:val="18"/>
              </w:rPr>
              <w:t>in</w:t>
            </w:r>
            <w:r>
              <w:rPr>
                <w:color w:val="105C84"/>
                <w:spacing w:val="-8"/>
                <w:sz w:val="18"/>
              </w:rPr>
              <w:t> </w:t>
            </w:r>
            <w:r>
              <w:rPr>
                <w:color w:val="105C84"/>
                <w:spacing w:val="-2"/>
                <w:sz w:val="18"/>
              </w:rPr>
              <w:t>SBIRT</w:t>
            </w:r>
            <w:r>
              <w:rPr>
                <w:color w:val="105C84"/>
                <w:spacing w:val="-8"/>
                <w:sz w:val="18"/>
              </w:rPr>
              <w:t> </w:t>
            </w:r>
            <w:r>
              <w:rPr>
                <w:color w:val="105C84"/>
                <w:spacing w:val="-2"/>
                <w:sz w:val="18"/>
              </w:rPr>
              <w:t>each</w:t>
            </w:r>
            <w:r>
              <w:rPr>
                <w:color w:val="105C84"/>
                <w:spacing w:val="-8"/>
                <w:sz w:val="18"/>
              </w:rPr>
              <w:t> </w:t>
            </w:r>
            <w:r>
              <w:rPr>
                <w:color w:val="105C84"/>
                <w:spacing w:val="-2"/>
                <w:sz w:val="18"/>
              </w:rPr>
              <w:t>year</w:t>
            </w:r>
          </w:p>
          <w:p>
            <w:pPr>
              <w:pStyle w:val="TableParagraph"/>
              <w:spacing w:line="232" w:lineRule="auto" w:before="88"/>
              <w:ind w:left="94" w:right="97"/>
              <w:rPr>
                <w:sz w:val="18"/>
              </w:rPr>
            </w:pPr>
            <w:r>
              <w:rPr>
                <w:color w:val="105C84"/>
                <w:sz w:val="18"/>
              </w:rPr>
              <w:t>At least 1,200 SUNY Geneseo students</w:t>
            </w:r>
            <w:r>
              <w:rPr>
                <w:color w:val="105C84"/>
                <w:spacing w:val="-15"/>
                <w:sz w:val="18"/>
              </w:rPr>
              <w:t> </w:t>
            </w:r>
            <w:r>
              <w:rPr>
                <w:color w:val="105C84"/>
                <w:sz w:val="18"/>
              </w:rPr>
              <w:t>participating</w:t>
            </w:r>
            <w:r>
              <w:rPr>
                <w:color w:val="105C84"/>
                <w:spacing w:val="-12"/>
                <w:sz w:val="18"/>
              </w:rPr>
              <w:t> </w:t>
            </w:r>
            <w:r>
              <w:rPr>
                <w:color w:val="105C84"/>
                <w:sz w:val="18"/>
              </w:rPr>
              <w:t>in</w:t>
            </w:r>
            <w:r>
              <w:rPr>
                <w:color w:val="105C84"/>
                <w:spacing w:val="-13"/>
                <w:sz w:val="18"/>
              </w:rPr>
              <w:t> </w:t>
            </w:r>
            <w:r>
              <w:rPr>
                <w:color w:val="105C84"/>
                <w:sz w:val="18"/>
              </w:rPr>
              <w:t>SBIRT</w:t>
            </w:r>
            <w:r>
              <w:rPr>
                <w:color w:val="105C84"/>
                <w:spacing w:val="-12"/>
                <w:sz w:val="18"/>
              </w:rPr>
              <w:t> </w:t>
            </w:r>
            <w:r>
              <w:rPr>
                <w:color w:val="105C84"/>
                <w:sz w:val="18"/>
              </w:rPr>
              <w:t>each </w:t>
            </w:r>
            <w:r>
              <w:rPr>
                <w:color w:val="105C84"/>
                <w:spacing w:val="-4"/>
                <w:sz w:val="18"/>
              </w:rPr>
              <w:t>year</w:t>
            </w:r>
          </w:p>
          <w:p>
            <w:pPr>
              <w:pStyle w:val="TableParagraph"/>
              <w:spacing w:line="232" w:lineRule="auto" w:before="88"/>
              <w:ind w:left="94"/>
              <w:rPr>
                <w:sz w:val="18"/>
              </w:rPr>
            </w:pPr>
            <w:r>
              <w:rPr>
                <w:color w:val="105C84"/>
                <w:sz w:val="18"/>
              </w:rPr>
              <w:t>At</w:t>
            </w:r>
            <w:r>
              <w:rPr>
                <w:color w:val="105C84"/>
                <w:spacing w:val="-8"/>
                <w:sz w:val="18"/>
              </w:rPr>
              <w:t> </w:t>
            </w:r>
            <w:r>
              <w:rPr>
                <w:color w:val="105C84"/>
                <w:sz w:val="18"/>
              </w:rPr>
              <w:t>least</w:t>
            </w:r>
            <w:r>
              <w:rPr>
                <w:color w:val="105C84"/>
                <w:spacing w:val="-8"/>
                <w:sz w:val="18"/>
              </w:rPr>
              <w:t> </w:t>
            </w:r>
            <w:r>
              <w:rPr>
                <w:color w:val="105C84"/>
                <w:sz w:val="18"/>
              </w:rPr>
              <w:t>6</w:t>
            </w:r>
            <w:r>
              <w:rPr>
                <w:color w:val="105C84"/>
                <w:spacing w:val="-8"/>
                <w:sz w:val="18"/>
              </w:rPr>
              <w:t> </w:t>
            </w:r>
            <w:r>
              <w:rPr>
                <w:color w:val="105C84"/>
                <w:sz w:val="18"/>
              </w:rPr>
              <w:t>new</w:t>
            </w:r>
            <w:r>
              <w:rPr>
                <w:color w:val="105C84"/>
                <w:spacing w:val="-8"/>
                <w:sz w:val="18"/>
              </w:rPr>
              <w:t> </w:t>
            </w:r>
            <w:r>
              <w:rPr>
                <w:color w:val="105C84"/>
                <w:sz w:val="18"/>
              </w:rPr>
              <w:t>staff</w:t>
            </w:r>
            <w:r>
              <w:rPr>
                <w:color w:val="105C84"/>
                <w:spacing w:val="-8"/>
                <w:sz w:val="18"/>
              </w:rPr>
              <w:t> </w:t>
            </w:r>
            <w:r>
              <w:rPr>
                <w:color w:val="105C84"/>
                <w:sz w:val="18"/>
              </w:rPr>
              <w:t>trained</w:t>
            </w:r>
            <w:r>
              <w:rPr>
                <w:color w:val="105C84"/>
                <w:spacing w:val="-8"/>
                <w:sz w:val="18"/>
              </w:rPr>
              <w:t> </w:t>
            </w:r>
            <w:r>
              <w:rPr>
                <w:color w:val="105C84"/>
                <w:sz w:val="18"/>
              </w:rPr>
              <w:t>in</w:t>
            </w:r>
            <w:r>
              <w:rPr>
                <w:color w:val="105C84"/>
                <w:spacing w:val="-8"/>
                <w:sz w:val="18"/>
              </w:rPr>
              <w:t> </w:t>
            </w:r>
            <w:r>
              <w:rPr>
                <w:color w:val="105C84"/>
                <w:sz w:val="18"/>
              </w:rPr>
              <w:t>TIC</w:t>
            </w:r>
            <w:r>
              <w:rPr>
                <w:color w:val="105C84"/>
                <w:spacing w:val="-8"/>
                <w:sz w:val="18"/>
              </w:rPr>
              <w:t> </w:t>
            </w:r>
            <w:r>
              <w:rPr>
                <w:color w:val="105C84"/>
                <w:sz w:val="18"/>
              </w:rPr>
              <w:t>by end of year 3</w:t>
            </w:r>
          </w:p>
          <w:p>
            <w:pPr>
              <w:pStyle w:val="TableParagraph"/>
              <w:spacing w:line="232" w:lineRule="auto" w:before="88"/>
              <w:ind w:left="94" w:right="97"/>
              <w:rPr>
                <w:sz w:val="18"/>
              </w:rPr>
            </w:pPr>
            <w:r>
              <w:rPr>
                <w:color w:val="105C84"/>
                <w:sz w:val="18"/>
              </w:rPr>
              <w:t>At</w:t>
            </w:r>
            <w:r>
              <w:rPr>
                <w:color w:val="105C84"/>
                <w:spacing w:val="-7"/>
                <w:sz w:val="18"/>
              </w:rPr>
              <w:t> </w:t>
            </w:r>
            <w:r>
              <w:rPr>
                <w:color w:val="105C84"/>
                <w:sz w:val="18"/>
              </w:rPr>
              <w:t>least</w:t>
            </w:r>
            <w:r>
              <w:rPr>
                <w:color w:val="105C84"/>
                <w:spacing w:val="-7"/>
                <w:sz w:val="18"/>
              </w:rPr>
              <w:t> </w:t>
            </w:r>
            <w:r>
              <w:rPr>
                <w:color w:val="105C84"/>
                <w:sz w:val="18"/>
              </w:rPr>
              <w:t>3</w:t>
            </w:r>
            <w:r>
              <w:rPr>
                <w:color w:val="105C84"/>
                <w:spacing w:val="-7"/>
                <w:sz w:val="18"/>
              </w:rPr>
              <w:t> </w:t>
            </w:r>
            <w:r>
              <w:rPr>
                <w:color w:val="105C84"/>
                <w:sz w:val="18"/>
              </w:rPr>
              <w:t>new</w:t>
            </w:r>
            <w:r>
              <w:rPr>
                <w:color w:val="105C84"/>
                <w:spacing w:val="-7"/>
                <w:sz w:val="18"/>
              </w:rPr>
              <w:t> </w:t>
            </w:r>
            <w:r>
              <w:rPr>
                <w:color w:val="105C84"/>
                <w:sz w:val="18"/>
              </w:rPr>
              <w:t>orgs/schools</w:t>
            </w:r>
            <w:r>
              <w:rPr>
                <w:color w:val="105C84"/>
                <w:spacing w:val="-7"/>
                <w:sz w:val="18"/>
              </w:rPr>
              <w:t> </w:t>
            </w:r>
            <w:r>
              <w:rPr>
                <w:color w:val="105C84"/>
                <w:sz w:val="18"/>
              </w:rPr>
              <w:t>engaged in</w:t>
            </w:r>
            <w:r>
              <w:rPr>
                <w:color w:val="105C84"/>
                <w:spacing w:val="-1"/>
                <w:sz w:val="18"/>
              </w:rPr>
              <w:t> </w:t>
            </w:r>
            <w:r>
              <w:rPr>
                <w:color w:val="105C84"/>
                <w:sz w:val="18"/>
              </w:rPr>
              <w:t>Trauma</w:t>
            </w:r>
            <w:r>
              <w:rPr>
                <w:color w:val="105C84"/>
                <w:spacing w:val="-1"/>
                <w:sz w:val="18"/>
              </w:rPr>
              <w:t> </w:t>
            </w:r>
            <w:r>
              <w:rPr>
                <w:color w:val="105C84"/>
                <w:sz w:val="18"/>
              </w:rPr>
              <w:t>Informed</w:t>
            </w:r>
            <w:r>
              <w:rPr>
                <w:color w:val="105C84"/>
                <w:spacing w:val="-1"/>
                <w:sz w:val="18"/>
              </w:rPr>
              <w:t> </w:t>
            </w:r>
            <w:r>
              <w:rPr>
                <w:color w:val="105C84"/>
                <w:sz w:val="18"/>
              </w:rPr>
              <w:t>approaches</w:t>
            </w:r>
            <w:r>
              <w:rPr>
                <w:color w:val="105C84"/>
                <w:spacing w:val="-1"/>
                <w:sz w:val="18"/>
              </w:rPr>
              <w:t> </w:t>
            </w:r>
            <w:r>
              <w:rPr>
                <w:color w:val="105C84"/>
                <w:sz w:val="18"/>
              </w:rPr>
              <w:t>and policies by Dec 2021</w:t>
            </w:r>
          </w:p>
        </w:tc>
      </w:tr>
    </w:tbl>
    <w:p>
      <w:pPr>
        <w:pStyle w:val="BodyText"/>
        <w:rPr>
          <w:b/>
          <w:sz w:val="26"/>
        </w:rPr>
      </w:pPr>
    </w:p>
    <w:p>
      <w:pPr>
        <w:pStyle w:val="BodyText"/>
        <w:rPr>
          <w:b/>
          <w:sz w:val="26"/>
        </w:rPr>
      </w:pPr>
    </w:p>
    <w:p>
      <w:pPr>
        <w:pStyle w:val="BodyText"/>
        <w:spacing w:before="248"/>
        <w:rPr>
          <w:b/>
          <w:sz w:val="26"/>
        </w:rPr>
      </w:pPr>
    </w:p>
    <w:p>
      <w:pPr>
        <w:tabs>
          <w:tab w:pos="23047" w:val="left" w:leader="none"/>
        </w:tabs>
        <w:spacing w:before="0"/>
        <w:ind w:left="0" w:right="0" w:firstLine="0"/>
        <w:jc w:val="left"/>
        <w:rPr>
          <w:b/>
          <w:sz w:val="26"/>
        </w:rPr>
      </w:pPr>
      <w:r>
        <w:rPr>
          <w:position w:val="-4"/>
        </w:rPr>
        <w:drawing>
          <wp:inline distT="0" distB="0" distL="0" distR="0">
            <wp:extent cx="568172" cy="184683"/>
            <wp:effectExtent l="0" t="0" r="0" b="0"/>
            <wp:docPr id="1782" name="Image 1782"/>
            <wp:cNvGraphicFramePr>
              <a:graphicFrameLocks/>
            </wp:cNvGraphicFramePr>
            <a:graphic>
              <a:graphicData uri="http://schemas.openxmlformats.org/drawingml/2006/picture">
                <pic:pic>
                  <pic:nvPicPr>
                    <pic:cNvPr id="1782" name="Image 1782"/>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13"/>
          <w:sz w:val="20"/>
        </w:rPr>
        <w:t> </w:t>
      </w:r>
      <w:r>
        <w:rPr>
          <w:b/>
          <w:color w:val="939598"/>
          <w:w w:val="105"/>
          <w:sz w:val="26"/>
        </w:rPr>
        <w:t>137</w:t>
      </w:r>
      <w:r>
        <w:rPr>
          <w:b/>
          <w:color w:val="939598"/>
          <w:sz w:val="26"/>
        </w:rPr>
        <w:tab/>
      </w:r>
      <w:r>
        <w:rPr>
          <w:b/>
          <w:color w:val="939598"/>
          <w:spacing w:val="-5"/>
          <w:w w:val="105"/>
          <w:sz w:val="26"/>
        </w:rPr>
        <w:t>138</w:t>
      </w:r>
    </w:p>
    <w:p>
      <w:pPr>
        <w:spacing w:after="0"/>
        <w:jc w:val="left"/>
        <w:rPr>
          <w:b/>
          <w:sz w:val="26"/>
        </w:rPr>
        <w:sectPr>
          <w:pgSz w:w="24480" w:h="15840" w:orient="landscape"/>
          <w:pgMar w:header="0" w:footer="0" w:top="860" w:bottom="0" w:left="0" w:right="720"/>
        </w:sectPr>
      </w:pPr>
    </w:p>
    <w:p>
      <w:pPr>
        <w:spacing w:before="607"/>
        <w:ind w:left="1089" w:right="0" w:firstLine="0"/>
        <w:jc w:val="left"/>
        <w:rPr>
          <w:sz w:val="54"/>
        </w:rPr>
      </w:pPr>
      <w:r>
        <w:rPr>
          <w:sz w:val="54"/>
        </w:rPr>
        <w:drawing>
          <wp:anchor distT="0" distB="0" distL="0" distR="0" allowOverlap="1" layoutInCell="1" locked="0" behindDoc="0" simplePos="0" relativeHeight="15937024">
            <wp:simplePos x="0" y="0"/>
            <wp:positionH relativeFrom="page">
              <wp:posOffset>14981556</wp:posOffset>
            </wp:positionH>
            <wp:positionV relativeFrom="page">
              <wp:posOffset>9668103</wp:posOffset>
            </wp:positionV>
            <wp:extent cx="563245" cy="184683"/>
            <wp:effectExtent l="0" t="0" r="0" b="0"/>
            <wp:wrapNone/>
            <wp:docPr id="1783" name="Image 1783"/>
            <wp:cNvGraphicFramePr>
              <a:graphicFrameLocks/>
            </wp:cNvGraphicFramePr>
            <a:graphic>
              <a:graphicData uri="http://schemas.openxmlformats.org/drawingml/2006/picture">
                <pic:pic>
                  <pic:nvPicPr>
                    <pic:cNvPr id="1783" name="Image 1783"/>
                    <pic:cNvPicPr/>
                  </pic:nvPicPr>
                  <pic:blipFill>
                    <a:blip r:embed="rId38" cstate="print"/>
                    <a:stretch>
                      <a:fillRect/>
                    </a:stretch>
                  </pic:blipFill>
                  <pic:spPr>
                    <a:xfrm>
                      <a:off x="0" y="0"/>
                      <a:ext cx="563245" cy="184683"/>
                    </a:xfrm>
                    <a:prstGeom prst="rect">
                      <a:avLst/>
                    </a:prstGeom>
                  </pic:spPr>
                </pic:pic>
              </a:graphicData>
            </a:graphic>
          </wp:anchor>
        </w:drawing>
      </w:r>
      <w:r>
        <w:rPr>
          <w:sz w:val="54"/>
        </w:rPr>
        <w:drawing>
          <wp:anchor distT="0" distB="0" distL="0" distR="0" allowOverlap="1" layoutInCell="1" locked="0" behindDoc="0" simplePos="0" relativeHeight="15937536">
            <wp:simplePos x="0" y="0"/>
            <wp:positionH relativeFrom="page">
              <wp:posOffset>14162106</wp:posOffset>
            </wp:positionH>
            <wp:positionV relativeFrom="paragraph">
              <wp:posOffset>321014</wp:posOffset>
            </wp:positionV>
            <wp:extent cx="696753" cy="690419"/>
            <wp:effectExtent l="0" t="0" r="0" b="0"/>
            <wp:wrapNone/>
            <wp:docPr id="1784" name="Image 1784"/>
            <wp:cNvGraphicFramePr>
              <a:graphicFrameLocks/>
            </wp:cNvGraphicFramePr>
            <a:graphic>
              <a:graphicData uri="http://schemas.openxmlformats.org/drawingml/2006/picture">
                <pic:pic>
                  <pic:nvPicPr>
                    <pic:cNvPr id="1784" name="Image 1784"/>
                    <pic:cNvPicPr/>
                  </pic:nvPicPr>
                  <pic:blipFill>
                    <a:blip r:embed="rId244" cstate="print"/>
                    <a:stretch>
                      <a:fillRect/>
                    </a:stretch>
                  </pic:blipFill>
                  <pic:spPr>
                    <a:xfrm>
                      <a:off x="0" y="0"/>
                      <a:ext cx="696753" cy="690419"/>
                    </a:xfrm>
                    <a:prstGeom prst="rect">
                      <a:avLst/>
                    </a:prstGeom>
                  </pic:spPr>
                </pic:pic>
              </a:graphicData>
            </a:graphic>
          </wp:anchor>
        </w:drawing>
      </w:r>
      <w:r>
        <w:rPr>
          <w:sz w:val="54"/>
        </w:rPr>
        <w:drawing>
          <wp:anchor distT="0" distB="0" distL="0" distR="0" allowOverlap="1" layoutInCell="1" locked="0" behindDoc="0" simplePos="0" relativeHeight="15938048">
            <wp:simplePos x="0" y="0"/>
            <wp:positionH relativeFrom="page">
              <wp:posOffset>12710185</wp:posOffset>
            </wp:positionH>
            <wp:positionV relativeFrom="paragraph">
              <wp:posOffset>365760</wp:posOffset>
            </wp:positionV>
            <wp:extent cx="1326527" cy="258263"/>
            <wp:effectExtent l="0" t="0" r="0" b="0"/>
            <wp:wrapNone/>
            <wp:docPr id="1785" name="Image 1785"/>
            <wp:cNvGraphicFramePr>
              <a:graphicFrameLocks/>
            </wp:cNvGraphicFramePr>
            <a:graphic>
              <a:graphicData uri="http://schemas.openxmlformats.org/drawingml/2006/picture">
                <pic:pic>
                  <pic:nvPicPr>
                    <pic:cNvPr id="1785" name="Image 1785"/>
                    <pic:cNvPicPr/>
                  </pic:nvPicPr>
                  <pic:blipFill>
                    <a:blip r:embed="rId245" cstate="print"/>
                    <a:stretch>
                      <a:fillRect/>
                    </a:stretch>
                  </pic:blipFill>
                  <pic:spPr>
                    <a:xfrm>
                      <a:off x="0" y="0"/>
                      <a:ext cx="1326527" cy="258263"/>
                    </a:xfrm>
                    <a:prstGeom prst="rect">
                      <a:avLst/>
                    </a:prstGeom>
                  </pic:spPr>
                </pic:pic>
              </a:graphicData>
            </a:graphic>
          </wp:anchor>
        </w:drawing>
      </w:r>
      <w:r>
        <w:rPr>
          <w:sz w:val="54"/>
        </w:rPr>
        <w:drawing>
          <wp:anchor distT="0" distB="0" distL="0" distR="0" allowOverlap="1" layoutInCell="1" locked="0" behindDoc="0" simplePos="0" relativeHeight="15938560">
            <wp:simplePos x="0" y="0"/>
            <wp:positionH relativeFrom="page">
              <wp:posOffset>11252403</wp:posOffset>
            </wp:positionH>
            <wp:positionV relativeFrom="paragraph">
              <wp:posOffset>311404</wp:posOffset>
            </wp:positionV>
            <wp:extent cx="1291335" cy="314959"/>
            <wp:effectExtent l="0" t="0" r="0" b="0"/>
            <wp:wrapNone/>
            <wp:docPr id="1786" name="Image 1786"/>
            <wp:cNvGraphicFramePr>
              <a:graphicFrameLocks/>
            </wp:cNvGraphicFramePr>
            <a:graphic>
              <a:graphicData uri="http://schemas.openxmlformats.org/drawingml/2006/picture">
                <pic:pic>
                  <pic:nvPicPr>
                    <pic:cNvPr id="1786" name="Image 1786"/>
                    <pic:cNvPicPr/>
                  </pic:nvPicPr>
                  <pic:blipFill>
                    <a:blip r:embed="rId246" cstate="print"/>
                    <a:stretch>
                      <a:fillRect/>
                    </a:stretch>
                  </pic:blipFill>
                  <pic:spPr>
                    <a:xfrm>
                      <a:off x="0" y="0"/>
                      <a:ext cx="1291335" cy="314959"/>
                    </a:xfrm>
                    <a:prstGeom prst="rect">
                      <a:avLst/>
                    </a:prstGeom>
                  </pic:spPr>
                </pic:pic>
              </a:graphicData>
            </a:graphic>
          </wp:anchor>
        </w:drawing>
      </w:r>
      <w:r>
        <w:rPr>
          <w:color w:val="636466"/>
          <w:sz w:val="54"/>
        </w:rPr>
        <w:t>Livingston</w:t>
      </w:r>
      <w:r>
        <w:rPr>
          <w:color w:val="636466"/>
          <w:spacing w:val="70"/>
          <w:sz w:val="54"/>
        </w:rPr>
        <w:t> </w:t>
      </w:r>
      <w:r>
        <w:rPr>
          <w:color w:val="636466"/>
          <w:sz w:val="54"/>
        </w:rPr>
        <w:t>County</w:t>
      </w:r>
      <w:r>
        <w:rPr>
          <w:color w:val="636466"/>
          <w:spacing w:val="71"/>
          <w:sz w:val="54"/>
        </w:rPr>
        <w:t> </w:t>
      </w:r>
      <w:r>
        <w:rPr>
          <w:color w:val="636466"/>
          <w:sz w:val="54"/>
        </w:rPr>
        <w:t>Appendix</w:t>
      </w:r>
      <w:r>
        <w:rPr>
          <w:color w:val="636466"/>
          <w:spacing w:val="71"/>
          <w:sz w:val="54"/>
        </w:rPr>
        <w:t> </w:t>
      </w:r>
      <w:r>
        <w:rPr>
          <w:color w:val="636466"/>
          <w:spacing w:val="-10"/>
          <w:sz w:val="54"/>
        </w:rPr>
        <w:t>B</w:t>
      </w:r>
    </w:p>
    <w:p>
      <w:pPr>
        <w:spacing w:line="247" w:lineRule="auto" w:before="235"/>
        <w:ind w:left="1089" w:right="15045" w:firstLine="0"/>
        <w:jc w:val="left"/>
        <w:rPr>
          <w:b/>
          <w:sz w:val="32"/>
        </w:rPr>
      </w:pPr>
      <w:r>
        <w:rPr>
          <w:b/>
          <w:color w:val="82BF6A"/>
          <w:spacing w:val="-4"/>
          <w:sz w:val="32"/>
        </w:rPr>
        <w:t>PRIORITY:</w:t>
      </w:r>
      <w:r>
        <w:rPr>
          <w:b/>
          <w:color w:val="82BF6A"/>
          <w:spacing w:val="-19"/>
          <w:sz w:val="32"/>
        </w:rPr>
        <w:t> </w:t>
      </w:r>
      <w:r>
        <w:rPr>
          <w:b/>
          <w:color w:val="82BF6A"/>
          <w:spacing w:val="-4"/>
          <w:sz w:val="32"/>
        </w:rPr>
        <w:t>PROMOTE</w:t>
      </w:r>
      <w:r>
        <w:rPr>
          <w:b/>
          <w:color w:val="82BF6A"/>
          <w:spacing w:val="-18"/>
          <w:sz w:val="32"/>
        </w:rPr>
        <w:t> </w:t>
      </w:r>
      <w:r>
        <w:rPr>
          <w:b/>
          <w:color w:val="82BF6A"/>
          <w:spacing w:val="-4"/>
          <w:sz w:val="32"/>
        </w:rPr>
        <w:t>WELL-BEING</w:t>
      </w:r>
      <w:r>
        <w:rPr>
          <w:b/>
          <w:color w:val="82BF6A"/>
          <w:spacing w:val="-18"/>
          <w:sz w:val="32"/>
        </w:rPr>
        <w:t> </w:t>
      </w:r>
      <w:r>
        <w:rPr>
          <w:b/>
          <w:color w:val="82BF6A"/>
          <w:spacing w:val="-4"/>
          <w:sz w:val="32"/>
        </w:rPr>
        <w:t>AND</w:t>
      </w:r>
      <w:r>
        <w:rPr>
          <w:b/>
          <w:color w:val="82BF6A"/>
          <w:spacing w:val="-18"/>
          <w:sz w:val="32"/>
        </w:rPr>
        <w:t> </w:t>
      </w:r>
      <w:r>
        <w:rPr>
          <w:b/>
          <w:color w:val="82BF6A"/>
          <w:spacing w:val="-4"/>
          <w:sz w:val="32"/>
        </w:rPr>
        <w:t>PREVENT </w:t>
      </w:r>
      <w:r>
        <w:rPr>
          <w:b/>
          <w:color w:val="82BF6A"/>
          <w:sz w:val="32"/>
        </w:rPr>
        <w:t>MENTAL</w:t>
      </w:r>
      <w:r>
        <w:rPr>
          <w:b/>
          <w:color w:val="82BF6A"/>
          <w:spacing w:val="-23"/>
          <w:sz w:val="32"/>
        </w:rPr>
        <w:t> </w:t>
      </w:r>
      <w:r>
        <w:rPr>
          <w:b/>
          <w:color w:val="82BF6A"/>
          <w:sz w:val="32"/>
        </w:rPr>
        <w:t>AND</w:t>
      </w:r>
      <w:r>
        <w:rPr>
          <w:b/>
          <w:color w:val="82BF6A"/>
          <w:spacing w:val="-22"/>
          <w:sz w:val="32"/>
        </w:rPr>
        <w:t> </w:t>
      </w:r>
      <w:r>
        <w:rPr>
          <w:b/>
          <w:color w:val="82BF6A"/>
          <w:sz w:val="32"/>
        </w:rPr>
        <w:t>SUBSTANCE</w:t>
      </w:r>
      <w:r>
        <w:rPr>
          <w:b/>
          <w:color w:val="82BF6A"/>
          <w:spacing w:val="-22"/>
          <w:sz w:val="32"/>
        </w:rPr>
        <w:t> </w:t>
      </w:r>
      <w:r>
        <w:rPr>
          <w:b/>
          <w:color w:val="82BF6A"/>
          <w:sz w:val="32"/>
        </w:rPr>
        <w:t>USE</w:t>
      </w:r>
      <w:r>
        <w:rPr>
          <w:b/>
          <w:color w:val="82BF6A"/>
          <w:spacing w:val="-22"/>
          <w:sz w:val="32"/>
        </w:rPr>
        <w:t> </w:t>
      </w:r>
      <w:r>
        <w:rPr>
          <w:b/>
          <w:color w:val="82BF6A"/>
          <w:sz w:val="32"/>
        </w:rPr>
        <w:t>DISORDERS</w:t>
      </w:r>
    </w:p>
    <w:p>
      <w:pPr>
        <w:pStyle w:val="BodyText"/>
        <w:spacing w:before="10"/>
        <w:rPr>
          <w:b/>
          <w:sz w:val="15"/>
        </w:rPr>
      </w:pPr>
    </w:p>
    <w:tbl>
      <w:tblPr>
        <w:tblW w:w="0" w:type="auto"/>
        <w:jc w:val="left"/>
        <w:tblInd w:w="1099"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1245"/>
        <w:gridCol w:w="1289"/>
        <w:gridCol w:w="1498"/>
        <w:gridCol w:w="2067"/>
        <w:gridCol w:w="1239"/>
        <w:gridCol w:w="3863"/>
        <w:gridCol w:w="3886"/>
        <w:gridCol w:w="1851"/>
        <w:gridCol w:w="2693"/>
        <w:gridCol w:w="2551"/>
      </w:tblGrid>
      <w:tr>
        <w:trPr>
          <w:trHeight w:val="770" w:hRule="atLeast"/>
        </w:trPr>
        <w:tc>
          <w:tcPr>
            <w:tcW w:w="1245" w:type="dxa"/>
            <w:tcBorders>
              <w:right w:val="single" w:sz="4" w:space="0" w:color="FFFFFF"/>
            </w:tcBorders>
            <w:shd w:val="clear" w:color="auto" w:fill="A7A9AC"/>
          </w:tcPr>
          <w:p>
            <w:pPr>
              <w:pStyle w:val="TableParagraph"/>
              <w:spacing w:before="67"/>
              <w:rPr>
                <w:b/>
                <w:sz w:val="20"/>
              </w:rPr>
            </w:pPr>
          </w:p>
          <w:p>
            <w:pPr>
              <w:pStyle w:val="TableParagraph"/>
              <w:ind w:left="80"/>
              <w:rPr>
                <w:b/>
                <w:sz w:val="20"/>
              </w:rPr>
            </w:pPr>
            <w:r>
              <w:rPr>
                <w:b/>
                <w:color w:val="FFFFFF"/>
                <w:spacing w:val="-2"/>
                <w:sz w:val="20"/>
              </w:rPr>
              <w:t>Priority</w:t>
            </w:r>
          </w:p>
        </w:tc>
        <w:tc>
          <w:tcPr>
            <w:tcW w:w="1289" w:type="dxa"/>
            <w:tcBorders>
              <w:left w:val="single" w:sz="4" w:space="0" w:color="FFFFFF"/>
              <w:right w:val="single" w:sz="4" w:space="0" w:color="FFFFFF"/>
            </w:tcBorders>
            <w:shd w:val="clear" w:color="auto" w:fill="A7A9AC"/>
          </w:tcPr>
          <w:p>
            <w:pPr>
              <w:pStyle w:val="TableParagraph"/>
              <w:spacing w:before="67"/>
              <w:rPr>
                <w:b/>
                <w:sz w:val="20"/>
              </w:rPr>
            </w:pPr>
          </w:p>
          <w:p>
            <w:pPr>
              <w:pStyle w:val="TableParagraph"/>
              <w:ind w:left="80"/>
              <w:rPr>
                <w:b/>
                <w:sz w:val="20"/>
              </w:rPr>
            </w:pPr>
            <w:r>
              <w:rPr>
                <w:b/>
                <w:color w:val="FFFFFF"/>
                <w:w w:val="90"/>
                <w:sz w:val="20"/>
              </w:rPr>
              <w:t>Focus</w:t>
            </w:r>
            <w:r>
              <w:rPr>
                <w:b/>
                <w:color w:val="FFFFFF"/>
                <w:spacing w:val="8"/>
                <w:sz w:val="20"/>
              </w:rPr>
              <w:t> </w:t>
            </w:r>
            <w:r>
              <w:rPr>
                <w:b/>
                <w:color w:val="FFFFFF"/>
                <w:spacing w:val="-4"/>
                <w:sz w:val="20"/>
              </w:rPr>
              <w:t>Area</w:t>
            </w:r>
          </w:p>
        </w:tc>
        <w:tc>
          <w:tcPr>
            <w:tcW w:w="1498" w:type="dxa"/>
            <w:tcBorders>
              <w:left w:val="single" w:sz="4" w:space="0" w:color="FFFFFF"/>
              <w:right w:val="single" w:sz="4" w:space="0" w:color="FFFFFF"/>
            </w:tcBorders>
            <w:shd w:val="clear" w:color="auto" w:fill="A7A9AC"/>
          </w:tcPr>
          <w:p>
            <w:pPr>
              <w:pStyle w:val="TableParagraph"/>
              <w:spacing w:line="230" w:lineRule="auto" w:before="195"/>
              <w:ind w:left="80"/>
              <w:rPr>
                <w:b/>
                <w:sz w:val="20"/>
              </w:rPr>
            </w:pPr>
            <w:r>
              <w:rPr>
                <w:b/>
                <w:color w:val="FFFFFF"/>
                <w:spacing w:val="-8"/>
                <w:sz w:val="20"/>
              </w:rPr>
              <w:t>Goal</w:t>
            </w:r>
            <w:r>
              <w:rPr>
                <w:b/>
                <w:color w:val="FFFFFF"/>
                <w:spacing w:val="-6"/>
                <w:sz w:val="20"/>
              </w:rPr>
              <w:t> </w:t>
            </w:r>
            <w:r>
              <w:rPr>
                <w:b/>
                <w:color w:val="FFFFFF"/>
                <w:spacing w:val="-8"/>
                <w:sz w:val="20"/>
              </w:rPr>
              <w:t>Focus </w:t>
            </w:r>
            <w:r>
              <w:rPr>
                <w:b/>
                <w:color w:val="FFFFFF"/>
                <w:spacing w:val="-4"/>
                <w:sz w:val="20"/>
              </w:rPr>
              <w:t>Area</w:t>
            </w:r>
          </w:p>
        </w:tc>
        <w:tc>
          <w:tcPr>
            <w:tcW w:w="2067" w:type="dxa"/>
            <w:tcBorders>
              <w:left w:val="single" w:sz="4" w:space="0" w:color="FFFFFF"/>
              <w:right w:val="single" w:sz="4" w:space="0" w:color="FFFFFF"/>
            </w:tcBorders>
            <w:shd w:val="clear" w:color="auto" w:fill="A7A9AC"/>
          </w:tcPr>
          <w:p>
            <w:pPr>
              <w:pStyle w:val="TableParagraph"/>
              <w:spacing w:before="67"/>
              <w:rPr>
                <w:b/>
                <w:sz w:val="20"/>
              </w:rPr>
            </w:pPr>
          </w:p>
          <w:p>
            <w:pPr>
              <w:pStyle w:val="TableParagraph"/>
              <w:ind w:left="79"/>
              <w:rPr>
                <w:b/>
                <w:sz w:val="20"/>
              </w:rPr>
            </w:pPr>
            <w:r>
              <w:rPr>
                <w:b/>
                <w:color w:val="FFFFFF"/>
                <w:spacing w:val="-2"/>
                <w:sz w:val="20"/>
              </w:rPr>
              <w:t>Objectives</w:t>
            </w:r>
          </w:p>
        </w:tc>
        <w:tc>
          <w:tcPr>
            <w:tcW w:w="1239" w:type="dxa"/>
            <w:tcBorders>
              <w:left w:val="single" w:sz="4" w:space="0" w:color="FFFFFF"/>
              <w:right w:val="single" w:sz="4" w:space="0" w:color="FFFFFF"/>
            </w:tcBorders>
            <w:shd w:val="clear" w:color="auto" w:fill="A7A9AC"/>
          </w:tcPr>
          <w:p>
            <w:pPr>
              <w:pStyle w:val="TableParagraph"/>
              <w:spacing w:before="67"/>
              <w:rPr>
                <w:b/>
                <w:sz w:val="20"/>
              </w:rPr>
            </w:pPr>
          </w:p>
          <w:p>
            <w:pPr>
              <w:pStyle w:val="TableParagraph"/>
              <w:ind w:left="79"/>
              <w:rPr>
                <w:b/>
                <w:sz w:val="20"/>
              </w:rPr>
            </w:pPr>
            <w:r>
              <w:rPr>
                <w:b/>
                <w:color w:val="FFFFFF"/>
                <w:spacing w:val="-2"/>
                <w:sz w:val="20"/>
              </w:rPr>
              <w:t>Disparities</w:t>
            </w:r>
          </w:p>
        </w:tc>
        <w:tc>
          <w:tcPr>
            <w:tcW w:w="3863" w:type="dxa"/>
            <w:tcBorders>
              <w:left w:val="single" w:sz="4" w:space="0" w:color="FFFFFF"/>
              <w:right w:val="nil"/>
            </w:tcBorders>
            <w:shd w:val="clear" w:color="auto" w:fill="A7A9AC"/>
          </w:tcPr>
          <w:p>
            <w:pPr>
              <w:pStyle w:val="TableParagraph"/>
              <w:spacing w:before="67"/>
              <w:rPr>
                <w:b/>
                <w:sz w:val="20"/>
              </w:rPr>
            </w:pPr>
          </w:p>
          <w:p>
            <w:pPr>
              <w:pStyle w:val="TableParagraph"/>
              <w:ind w:left="78"/>
              <w:rPr>
                <w:b/>
                <w:sz w:val="20"/>
              </w:rPr>
            </w:pPr>
            <w:r>
              <w:rPr>
                <w:b/>
                <w:color w:val="FFFFFF"/>
                <w:spacing w:val="-2"/>
                <w:sz w:val="20"/>
              </w:rPr>
              <w:t>Interventions</w:t>
            </w:r>
          </w:p>
        </w:tc>
        <w:tc>
          <w:tcPr>
            <w:tcW w:w="3886" w:type="dxa"/>
            <w:tcBorders>
              <w:left w:val="nil"/>
              <w:right w:val="single" w:sz="4" w:space="0" w:color="FFFFFF"/>
            </w:tcBorders>
            <w:shd w:val="clear" w:color="auto" w:fill="A7A9AC"/>
          </w:tcPr>
          <w:p>
            <w:pPr>
              <w:pStyle w:val="TableParagraph"/>
              <w:spacing w:before="67"/>
              <w:rPr>
                <w:b/>
                <w:sz w:val="20"/>
              </w:rPr>
            </w:pPr>
          </w:p>
          <w:p>
            <w:pPr>
              <w:pStyle w:val="TableParagraph"/>
              <w:ind w:left="1140"/>
              <w:rPr>
                <w:b/>
                <w:sz w:val="20"/>
              </w:rPr>
            </w:pPr>
            <w:r>
              <w:rPr>
                <w:b/>
                <w:color w:val="FFFFFF"/>
                <w:sz w:val="20"/>
              </w:rPr>
              <w:t>Family</w:t>
            </w:r>
            <w:r>
              <w:rPr>
                <w:b/>
                <w:color w:val="FFFFFF"/>
                <w:spacing w:val="-12"/>
                <w:sz w:val="20"/>
              </w:rPr>
              <w:t> </w:t>
            </w:r>
            <w:r>
              <w:rPr>
                <w:b/>
                <w:color w:val="FFFFFF"/>
                <w:sz w:val="20"/>
              </w:rPr>
              <w:t>of</w:t>
            </w:r>
            <w:r>
              <w:rPr>
                <w:b/>
                <w:color w:val="FFFFFF"/>
                <w:spacing w:val="-12"/>
                <w:sz w:val="20"/>
              </w:rPr>
              <w:t> </w:t>
            </w:r>
            <w:r>
              <w:rPr>
                <w:b/>
                <w:color w:val="FFFFFF"/>
                <w:spacing w:val="-2"/>
                <w:sz w:val="20"/>
              </w:rPr>
              <w:t>Measures</w:t>
            </w:r>
          </w:p>
        </w:tc>
        <w:tc>
          <w:tcPr>
            <w:tcW w:w="1851" w:type="dxa"/>
            <w:tcBorders>
              <w:left w:val="single" w:sz="4" w:space="0" w:color="FFFFFF"/>
              <w:right w:val="single" w:sz="4" w:space="0" w:color="FFFFFF"/>
            </w:tcBorders>
            <w:shd w:val="clear" w:color="auto" w:fill="A7A9AC"/>
          </w:tcPr>
          <w:p>
            <w:pPr>
              <w:pStyle w:val="TableParagraph"/>
              <w:spacing w:line="230" w:lineRule="auto" w:before="195"/>
              <w:ind w:left="86"/>
              <w:rPr>
                <w:b/>
                <w:sz w:val="20"/>
              </w:rPr>
            </w:pPr>
            <w:r>
              <w:rPr>
                <w:b/>
                <w:color w:val="FFFFFF"/>
                <w:spacing w:val="-2"/>
                <w:sz w:val="20"/>
              </w:rPr>
              <w:t>Implementation Partner</w:t>
            </w:r>
          </w:p>
        </w:tc>
        <w:tc>
          <w:tcPr>
            <w:tcW w:w="2693" w:type="dxa"/>
            <w:tcBorders>
              <w:left w:val="single" w:sz="4" w:space="0" w:color="FFFFFF"/>
              <w:right w:val="single" w:sz="4" w:space="0" w:color="FFFFFF"/>
            </w:tcBorders>
            <w:shd w:val="clear" w:color="auto" w:fill="A7A9AC"/>
          </w:tcPr>
          <w:p>
            <w:pPr>
              <w:pStyle w:val="TableParagraph"/>
              <w:spacing w:before="67"/>
              <w:rPr>
                <w:b/>
                <w:sz w:val="20"/>
              </w:rPr>
            </w:pPr>
          </w:p>
          <w:p>
            <w:pPr>
              <w:pStyle w:val="TableParagraph"/>
              <w:ind w:left="76"/>
              <w:rPr>
                <w:b/>
                <w:sz w:val="20"/>
              </w:rPr>
            </w:pPr>
            <w:r>
              <w:rPr>
                <w:b/>
                <w:color w:val="FFFFFF"/>
                <w:spacing w:val="-4"/>
                <w:sz w:val="20"/>
              </w:rPr>
              <w:t>Partner</w:t>
            </w:r>
            <w:r>
              <w:rPr>
                <w:b/>
                <w:color w:val="FFFFFF"/>
                <w:spacing w:val="-2"/>
                <w:sz w:val="20"/>
              </w:rPr>
              <w:t> </w:t>
            </w:r>
            <w:r>
              <w:rPr>
                <w:b/>
                <w:color w:val="FFFFFF"/>
                <w:spacing w:val="-4"/>
                <w:sz w:val="20"/>
              </w:rPr>
              <w:t>Roles</w:t>
            </w:r>
            <w:r>
              <w:rPr>
                <w:b/>
                <w:color w:val="FFFFFF"/>
                <w:spacing w:val="-2"/>
                <w:sz w:val="20"/>
              </w:rPr>
              <w:t> </w:t>
            </w:r>
            <w:r>
              <w:rPr>
                <w:b/>
                <w:color w:val="FFFFFF"/>
                <w:spacing w:val="-4"/>
                <w:sz w:val="20"/>
              </w:rPr>
              <w:t>Resources</w:t>
            </w:r>
          </w:p>
        </w:tc>
        <w:tc>
          <w:tcPr>
            <w:tcW w:w="2551" w:type="dxa"/>
            <w:tcBorders>
              <w:left w:val="single" w:sz="4" w:space="0" w:color="FFFFFF"/>
              <w:right w:val="single" w:sz="4" w:space="0" w:color="FFFFFF"/>
            </w:tcBorders>
            <w:shd w:val="clear" w:color="auto" w:fill="A7A9AC"/>
          </w:tcPr>
          <w:p>
            <w:pPr>
              <w:pStyle w:val="TableParagraph"/>
              <w:spacing w:before="67"/>
              <w:rPr>
                <w:b/>
                <w:sz w:val="20"/>
              </w:rPr>
            </w:pPr>
          </w:p>
          <w:p>
            <w:pPr>
              <w:pStyle w:val="TableParagraph"/>
              <w:ind w:left="75"/>
              <w:rPr>
                <w:b/>
                <w:sz w:val="20"/>
              </w:rPr>
            </w:pPr>
            <w:r>
              <w:rPr>
                <w:b/>
                <w:color w:val="FFFFFF"/>
                <w:sz w:val="20"/>
              </w:rPr>
              <w:t>Projected</w:t>
            </w:r>
            <w:r>
              <w:rPr>
                <w:b/>
                <w:color w:val="FFFFFF"/>
                <w:spacing w:val="-7"/>
                <w:sz w:val="20"/>
              </w:rPr>
              <w:t> </w:t>
            </w:r>
            <w:r>
              <w:rPr>
                <w:b/>
                <w:color w:val="FFFFFF"/>
                <w:sz w:val="20"/>
              </w:rPr>
              <w:t>Year</w:t>
            </w:r>
            <w:r>
              <w:rPr>
                <w:b/>
                <w:color w:val="FFFFFF"/>
                <w:spacing w:val="-6"/>
                <w:sz w:val="20"/>
              </w:rPr>
              <w:t> </w:t>
            </w:r>
            <w:r>
              <w:rPr>
                <w:b/>
                <w:color w:val="FFFFFF"/>
                <w:sz w:val="20"/>
              </w:rPr>
              <w:t>1,2,</w:t>
            </w:r>
            <w:r>
              <w:rPr>
                <w:b/>
                <w:color w:val="FFFFFF"/>
                <w:spacing w:val="-6"/>
                <w:sz w:val="20"/>
              </w:rPr>
              <w:t> </w:t>
            </w:r>
            <w:r>
              <w:rPr>
                <w:b/>
                <w:color w:val="FFFFFF"/>
                <w:sz w:val="20"/>
              </w:rPr>
              <w:t>and</w:t>
            </w:r>
            <w:r>
              <w:rPr>
                <w:b/>
                <w:color w:val="FFFFFF"/>
                <w:spacing w:val="-7"/>
                <w:sz w:val="20"/>
              </w:rPr>
              <w:t> </w:t>
            </w:r>
            <w:r>
              <w:rPr>
                <w:b/>
                <w:color w:val="FFFFFF"/>
                <w:spacing w:val="-10"/>
                <w:sz w:val="20"/>
              </w:rPr>
              <w:t>3</w:t>
            </w:r>
          </w:p>
        </w:tc>
      </w:tr>
      <w:tr>
        <w:trPr>
          <w:trHeight w:val="1750" w:hRule="atLeast"/>
        </w:trPr>
        <w:tc>
          <w:tcPr>
            <w:tcW w:w="1245" w:type="dxa"/>
            <w:vMerge w:val="restart"/>
            <w:shd w:val="clear" w:color="auto" w:fill="E6E7E8"/>
          </w:tcPr>
          <w:p>
            <w:pPr>
              <w:pStyle w:val="TableParagraph"/>
              <w:spacing w:line="232" w:lineRule="auto" w:before="101"/>
              <w:ind w:left="90" w:right="152"/>
              <w:rPr>
                <w:sz w:val="18"/>
              </w:rPr>
            </w:pPr>
            <w:r>
              <w:rPr>
                <w:color w:val="105C84"/>
                <w:spacing w:val="-2"/>
                <w:sz w:val="18"/>
              </w:rPr>
              <w:t>Promote Well-Being </w:t>
            </w:r>
            <w:r>
              <w:rPr>
                <w:color w:val="105C84"/>
                <w:sz w:val="18"/>
              </w:rPr>
              <w:t>and</w:t>
            </w:r>
            <w:r>
              <w:rPr>
                <w:color w:val="105C84"/>
                <w:spacing w:val="-13"/>
                <w:sz w:val="18"/>
              </w:rPr>
              <w:t> </w:t>
            </w:r>
            <w:r>
              <w:rPr>
                <w:color w:val="105C84"/>
                <w:sz w:val="18"/>
              </w:rPr>
              <w:t>Prevent Mental and </w:t>
            </w:r>
            <w:r>
              <w:rPr>
                <w:color w:val="105C84"/>
                <w:spacing w:val="-2"/>
                <w:sz w:val="18"/>
              </w:rPr>
              <w:t>Substance </w:t>
            </w:r>
            <w:r>
              <w:rPr>
                <w:color w:val="105C84"/>
                <w:spacing w:val="-4"/>
                <w:sz w:val="18"/>
              </w:rPr>
              <w:t>Use </w:t>
            </w:r>
            <w:r>
              <w:rPr>
                <w:color w:val="105C84"/>
                <w:spacing w:val="-2"/>
                <w:sz w:val="18"/>
              </w:rPr>
              <w:t>Disorders</w:t>
            </w:r>
          </w:p>
        </w:tc>
        <w:tc>
          <w:tcPr>
            <w:tcW w:w="1289" w:type="dxa"/>
            <w:vMerge w:val="restart"/>
          </w:tcPr>
          <w:p>
            <w:pPr>
              <w:pStyle w:val="TableParagraph"/>
              <w:spacing w:line="232" w:lineRule="auto" w:before="101"/>
              <w:ind w:left="90" w:right="75"/>
              <w:rPr>
                <w:sz w:val="18"/>
              </w:rPr>
            </w:pPr>
            <w:r>
              <w:rPr>
                <w:color w:val="105C84"/>
                <w:sz w:val="18"/>
              </w:rPr>
              <w:t>Focus</w:t>
            </w:r>
            <w:r>
              <w:rPr>
                <w:color w:val="105C84"/>
                <w:spacing w:val="-15"/>
                <w:sz w:val="18"/>
              </w:rPr>
              <w:t> </w:t>
            </w:r>
            <w:r>
              <w:rPr>
                <w:color w:val="105C84"/>
                <w:sz w:val="18"/>
              </w:rPr>
              <w:t>Area</w:t>
            </w:r>
            <w:r>
              <w:rPr>
                <w:color w:val="105C84"/>
                <w:spacing w:val="-12"/>
                <w:sz w:val="18"/>
              </w:rPr>
              <w:t> </w:t>
            </w:r>
            <w:r>
              <w:rPr>
                <w:color w:val="105C84"/>
                <w:sz w:val="18"/>
              </w:rPr>
              <w:t>2: Mental and </w:t>
            </w:r>
            <w:r>
              <w:rPr>
                <w:color w:val="105C84"/>
                <w:spacing w:val="-2"/>
                <w:sz w:val="18"/>
              </w:rPr>
              <w:t>Substance </w:t>
            </w:r>
            <w:r>
              <w:rPr>
                <w:color w:val="105C84"/>
                <w:spacing w:val="-4"/>
                <w:sz w:val="18"/>
              </w:rPr>
              <w:t>Use</w:t>
            </w:r>
            <w:r>
              <w:rPr>
                <w:color w:val="105C84"/>
                <w:spacing w:val="-9"/>
                <w:sz w:val="18"/>
              </w:rPr>
              <w:t> </w:t>
            </w:r>
            <w:r>
              <w:rPr>
                <w:color w:val="105C84"/>
                <w:spacing w:val="-4"/>
                <w:sz w:val="18"/>
              </w:rPr>
              <w:t>Disorders </w:t>
            </w:r>
            <w:r>
              <w:rPr>
                <w:color w:val="105C84"/>
                <w:spacing w:val="-2"/>
                <w:sz w:val="18"/>
              </w:rPr>
              <w:t>Prevention</w:t>
            </w:r>
          </w:p>
        </w:tc>
        <w:tc>
          <w:tcPr>
            <w:tcW w:w="1498" w:type="dxa"/>
            <w:vMerge w:val="restart"/>
          </w:tcPr>
          <w:p>
            <w:pPr>
              <w:pStyle w:val="TableParagraph"/>
              <w:spacing w:line="232" w:lineRule="auto" w:before="101"/>
              <w:ind w:left="90" w:right="118"/>
              <w:rPr>
                <w:sz w:val="18"/>
              </w:rPr>
            </w:pPr>
            <w:r>
              <w:rPr>
                <w:color w:val="105C84"/>
                <w:sz w:val="18"/>
              </w:rPr>
              <w:t>2.2 Prevent opioid and</w:t>
            </w:r>
            <w:r>
              <w:rPr>
                <w:color w:val="105C84"/>
                <w:spacing w:val="40"/>
                <w:sz w:val="18"/>
              </w:rPr>
              <w:t> </w:t>
            </w:r>
            <w:r>
              <w:rPr>
                <w:color w:val="105C84"/>
                <w:sz w:val="18"/>
              </w:rPr>
              <w:t>other</w:t>
            </w:r>
            <w:r>
              <w:rPr>
                <w:color w:val="105C84"/>
                <w:spacing w:val="-13"/>
                <w:sz w:val="18"/>
              </w:rPr>
              <w:t> </w:t>
            </w:r>
            <w:r>
              <w:rPr>
                <w:color w:val="105C84"/>
                <w:sz w:val="18"/>
              </w:rPr>
              <w:t>substance</w:t>
            </w:r>
            <w:r>
              <w:rPr>
                <w:color w:val="105C84"/>
                <w:sz w:val="18"/>
              </w:rPr>
              <w:t> misuse and </w:t>
            </w:r>
            <w:r>
              <w:rPr>
                <w:color w:val="105C84"/>
                <w:spacing w:val="-2"/>
                <w:sz w:val="18"/>
              </w:rPr>
              <w:t>deaths</w:t>
            </w:r>
          </w:p>
        </w:tc>
        <w:tc>
          <w:tcPr>
            <w:tcW w:w="2067" w:type="dxa"/>
            <w:vMerge w:val="restart"/>
          </w:tcPr>
          <w:p>
            <w:pPr>
              <w:pStyle w:val="TableParagraph"/>
              <w:spacing w:line="203" w:lineRule="exact" w:before="96"/>
              <w:ind w:left="89"/>
              <w:rPr>
                <w:sz w:val="18"/>
              </w:rPr>
            </w:pPr>
            <w:r>
              <w:rPr>
                <w:color w:val="105C84"/>
                <w:spacing w:val="-6"/>
                <w:sz w:val="18"/>
              </w:rPr>
              <w:t>2.2.1</w:t>
            </w:r>
            <w:r>
              <w:rPr>
                <w:color w:val="105C84"/>
                <w:spacing w:val="-5"/>
                <w:sz w:val="18"/>
              </w:rPr>
              <w:t> </w:t>
            </w:r>
            <w:r>
              <w:rPr>
                <w:color w:val="105C84"/>
                <w:spacing w:val="-6"/>
                <w:sz w:val="18"/>
              </w:rPr>
              <w:t>By</w:t>
            </w:r>
            <w:r>
              <w:rPr>
                <w:color w:val="105C84"/>
                <w:spacing w:val="-4"/>
                <w:sz w:val="18"/>
              </w:rPr>
              <w:t> </w:t>
            </w:r>
            <w:r>
              <w:rPr>
                <w:color w:val="105C84"/>
                <w:spacing w:val="-6"/>
                <w:sz w:val="18"/>
              </w:rPr>
              <w:t>December</w:t>
            </w:r>
          </w:p>
          <w:p>
            <w:pPr>
              <w:pStyle w:val="TableParagraph"/>
              <w:spacing w:line="232" w:lineRule="auto" w:before="1"/>
              <w:ind w:left="89" w:right="16"/>
              <w:rPr>
                <w:sz w:val="18"/>
              </w:rPr>
            </w:pPr>
            <w:r>
              <w:rPr>
                <w:color w:val="105C84"/>
                <w:sz w:val="18"/>
              </w:rPr>
              <w:t>2021, reduce the percentage of youth in grades 9-12 reporting the use of prescription drug</w:t>
            </w:r>
            <w:r>
              <w:rPr>
                <w:color w:val="105C84"/>
                <w:spacing w:val="-12"/>
                <w:sz w:val="18"/>
              </w:rPr>
              <w:t> </w:t>
            </w:r>
            <w:r>
              <w:rPr>
                <w:color w:val="105C84"/>
                <w:sz w:val="18"/>
              </w:rPr>
              <w:t>misuse</w:t>
            </w:r>
            <w:r>
              <w:rPr>
                <w:color w:val="105C84"/>
                <w:spacing w:val="-12"/>
                <w:sz w:val="18"/>
              </w:rPr>
              <w:t> </w:t>
            </w:r>
            <w:r>
              <w:rPr>
                <w:color w:val="105C84"/>
                <w:sz w:val="18"/>
              </w:rPr>
              <w:t>on</w:t>
            </w:r>
            <w:r>
              <w:rPr>
                <w:color w:val="105C84"/>
                <w:spacing w:val="-12"/>
                <w:sz w:val="18"/>
              </w:rPr>
              <w:t> </w:t>
            </w:r>
            <w:r>
              <w:rPr>
                <w:color w:val="105C84"/>
                <w:sz w:val="18"/>
              </w:rPr>
              <w:t>at</w:t>
            </w:r>
            <w:r>
              <w:rPr>
                <w:color w:val="105C84"/>
                <w:spacing w:val="-12"/>
                <w:sz w:val="18"/>
              </w:rPr>
              <w:t> </w:t>
            </w:r>
            <w:r>
              <w:rPr>
                <w:color w:val="105C84"/>
                <w:sz w:val="18"/>
              </w:rPr>
              <w:t>least one</w:t>
            </w:r>
            <w:r>
              <w:rPr>
                <w:color w:val="105C84"/>
                <w:spacing w:val="-6"/>
                <w:sz w:val="18"/>
              </w:rPr>
              <w:t> </w:t>
            </w:r>
            <w:r>
              <w:rPr>
                <w:color w:val="105C84"/>
                <w:sz w:val="18"/>
              </w:rPr>
              <w:t>day</w:t>
            </w:r>
            <w:r>
              <w:rPr>
                <w:color w:val="105C84"/>
                <w:spacing w:val="-6"/>
                <w:sz w:val="18"/>
              </w:rPr>
              <w:t> </w:t>
            </w:r>
            <w:r>
              <w:rPr>
                <w:color w:val="105C84"/>
                <w:sz w:val="18"/>
              </w:rPr>
              <w:t>for</w:t>
            </w:r>
            <w:r>
              <w:rPr>
                <w:color w:val="105C84"/>
                <w:spacing w:val="-6"/>
                <w:sz w:val="18"/>
              </w:rPr>
              <w:t> </w:t>
            </w:r>
            <w:r>
              <w:rPr>
                <w:color w:val="105C84"/>
                <w:sz w:val="18"/>
              </w:rPr>
              <w:t>the</w:t>
            </w:r>
            <w:r>
              <w:rPr>
                <w:color w:val="105C84"/>
                <w:spacing w:val="-6"/>
                <w:sz w:val="18"/>
              </w:rPr>
              <w:t> </w:t>
            </w:r>
            <w:r>
              <w:rPr>
                <w:color w:val="105C84"/>
                <w:sz w:val="18"/>
              </w:rPr>
              <w:t>past</w:t>
            </w:r>
            <w:r>
              <w:rPr>
                <w:color w:val="105C84"/>
                <w:spacing w:val="-6"/>
                <w:sz w:val="18"/>
              </w:rPr>
              <w:t> </w:t>
            </w:r>
            <w:r>
              <w:rPr>
                <w:color w:val="105C84"/>
                <w:sz w:val="18"/>
              </w:rPr>
              <w:t>30 days to 14% or less</w:t>
            </w:r>
          </w:p>
        </w:tc>
        <w:tc>
          <w:tcPr>
            <w:tcW w:w="1239" w:type="dxa"/>
            <w:vMerge w:val="restart"/>
          </w:tcPr>
          <w:p>
            <w:pPr>
              <w:pStyle w:val="TableParagraph"/>
              <w:rPr>
                <w:rFonts w:ascii="Times New Roman"/>
                <w:sz w:val="18"/>
              </w:rPr>
            </w:pPr>
          </w:p>
        </w:tc>
        <w:tc>
          <w:tcPr>
            <w:tcW w:w="3863" w:type="dxa"/>
            <w:tcBorders>
              <w:right w:val="nil"/>
            </w:tcBorders>
          </w:tcPr>
          <w:p>
            <w:pPr>
              <w:pStyle w:val="TableParagraph"/>
              <w:spacing w:line="232" w:lineRule="auto" w:before="101"/>
              <w:ind w:left="88" w:right="1058"/>
              <w:rPr>
                <w:sz w:val="18"/>
              </w:rPr>
            </w:pPr>
            <w:r>
              <w:rPr>
                <w:color w:val="105C84"/>
                <w:sz w:val="18"/>
              </w:rPr>
              <w:t>2.2.1 Increase availability of/access and linkages to medication-assisted treatment (MAT)</w:t>
            </w:r>
            <w:r>
              <w:rPr>
                <w:color w:val="105C84"/>
                <w:spacing w:val="-13"/>
                <w:sz w:val="18"/>
              </w:rPr>
              <w:t> </w:t>
            </w:r>
            <w:r>
              <w:rPr>
                <w:color w:val="105C84"/>
                <w:sz w:val="18"/>
              </w:rPr>
              <w:t>including</w:t>
            </w:r>
            <w:r>
              <w:rPr>
                <w:color w:val="105C84"/>
                <w:spacing w:val="-12"/>
                <w:sz w:val="18"/>
              </w:rPr>
              <w:t> </w:t>
            </w:r>
            <w:r>
              <w:rPr>
                <w:color w:val="105C84"/>
                <w:sz w:val="18"/>
              </w:rPr>
              <w:t>Buprenorphine</w:t>
            </w:r>
            <w:r>
              <w:rPr>
                <w:color w:val="105C84"/>
                <w:spacing w:val="-13"/>
                <w:sz w:val="18"/>
              </w:rPr>
              <w:t> </w:t>
            </w:r>
            <w:r>
              <w:rPr>
                <w:color w:val="105C84"/>
                <w:sz w:val="18"/>
              </w:rPr>
              <w:t>xs</w:t>
            </w:r>
          </w:p>
        </w:tc>
        <w:tc>
          <w:tcPr>
            <w:tcW w:w="3886" w:type="dxa"/>
            <w:tcBorders>
              <w:left w:val="nil"/>
            </w:tcBorders>
          </w:tcPr>
          <w:p>
            <w:pPr>
              <w:pStyle w:val="TableParagraph"/>
              <w:spacing w:line="232" w:lineRule="auto" w:before="101"/>
              <w:ind w:left="1050"/>
              <w:rPr>
                <w:sz w:val="18"/>
              </w:rPr>
            </w:pPr>
            <w:r>
              <w:rPr>
                <w:color w:val="105C84"/>
                <w:spacing w:val="-2"/>
                <w:w w:val="105"/>
                <w:sz w:val="18"/>
              </w:rPr>
              <w:t>Offer</w:t>
            </w:r>
            <w:r>
              <w:rPr>
                <w:color w:val="105C84"/>
                <w:spacing w:val="-10"/>
                <w:w w:val="105"/>
                <w:sz w:val="18"/>
              </w:rPr>
              <w:t> </w:t>
            </w:r>
            <w:r>
              <w:rPr>
                <w:color w:val="105C84"/>
                <w:spacing w:val="-2"/>
                <w:w w:val="105"/>
                <w:sz w:val="18"/>
              </w:rPr>
              <w:t>MAT</w:t>
            </w:r>
            <w:r>
              <w:rPr>
                <w:color w:val="105C84"/>
                <w:spacing w:val="-10"/>
                <w:w w:val="105"/>
                <w:sz w:val="18"/>
              </w:rPr>
              <w:t> </w:t>
            </w:r>
            <w:r>
              <w:rPr>
                <w:color w:val="105C84"/>
                <w:spacing w:val="-2"/>
                <w:w w:val="105"/>
                <w:sz w:val="18"/>
              </w:rPr>
              <w:t>training/certification</w:t>
            </w:r>
            <w:r>
              <w:rPr>
                <w:color w:val="105C84"/>
                <w:spacing w:val="-10"/>
                <w:w w:val="105"/>
                <w:sz w:val="18"/>
              </w:rPr>
              <w:t> </w:t>
            </w:r>
            <w:r>
              <w:rPr>
                <w:color w:val="105C84"/>
                <w:spacing w:val="-2"/>
                <w:w w:val="105"/>
                <w:sz w:val="18"/>
              </w:rPr>
              <w:t>to providers</w:t>
            </w:r>
          </w:p>
          <w:p>
            <w:pPr>
              <w:pStyle w:val="TableParagraph"/>
              <w:spacing w:line="232" w:lineRule="auto" w:before="88"/>
              <w:ind w:left="1050" w:right="141"/>
              <w:rPr>
                <w:sz w:val="18"/>
              </w:rPr>
            </w:pPr>
            <w:r>
              <w:rPr>
                <w:color w:val="105C84"/>
                <w:spacing w:val="-4"/>
                <w:sz w:val="18"/>
              </w:rPr>
              <w:t>(Baseline: 3 MAT prescribers-</w:t>
            </w:r>
            <w:r>
              <w:rPr>
                <w:color w:val="105C84"/>
                <w:spacing w:val="-4"/>
                <w:sz w:val="18"/>
              </w:rPr>
              <w:t>2019 </w:t>
            </w:r>
            <w:r>
              <w:rPr>
                <w:color w:val="105C84"/>
                <w:spacing w:val="-2"/>
                <w:sz w:val="18"/>
              </w:rPr>
              <w:t>Casa-Trinity)</w:t>
            </w:r>
          </w:p>
        </w:tc>
        <w:tc>
          <w:tcPr>
            <w:tcW w:w="1851" w:type="dxa"/>
          </w:tcPr>
          <w:p>
            <w:pPr>
              <w:pStyle w:val="TableParagraph"/>
              <w:spacing w:before="96"/>
              <w:ind w:left="86"/>
              <w:rPr>
                <w:sz w:val="18"/>
              </w:rPr>
            </w:pPr>
            <w:r>
              <w:rPr>
                <w:color w:val="105C84"/>
                <w:spacing w:val="-6"/>
                <w:sz w:val="18"/>
              </w:rPr>
              <w:t>CASA-</w:t>
            </w:r>
            <w:r>
              <w:rPr>
                <w:color w:val="105C84"/>
                <w:spacing w:val="-2"/>
                <w:sz w:val="18"/>
              </w:rPr>
              <w:t>Trinity</w:t>
            </w:r>
          </w:p>
        </w:tc>
        <w:tc>
          <w:tcPr>
            <w:tcW w:w="2693" w:type="dxa"/>
          </w:tcPr>
          <w:p>
            <w:pPr>
              <w:pStyle w:val="TableParagraph"/>
              <w:spacing w:line="232" w:lineRule="auto" w:before="101"/>
              <w:ind w:left="86" w:right="127"/>
              <w:rPr>
                <w:sz w:val="18"/>
              </w:rPr>
            </w:pPr>
            <w:r>
              <w:rPr>
                <w:color w:val="105C84"/>
                <w:spacing w:val="-2"/>
                <w:sz w:val="18"/>
              </w:rPr>
              <w:t>CASA-</w:t>
            </w:r>
            <w:r>
              <w:rPr>
                <w:color w:val="105C84"/>
                <w:spacing w:val="-10"/>
                <w:sz w:val="18"/>
              </w:rPr>
              <w:t> </w:t>
            </w:r>
            <w:r>
              <w:rPr>
                <w:color w:val="105C84"/>
                <w:spacing w:val="-2"/>
                <w:sz w:val="18"/>
              </w:rPr>
              <w:t>Trinity,</w:t>
            </w:r>
            <w:r>
              <w:rPr>
                <w:color w:val="105C84"/>
                <w:spacing w:val="-10"/>
                <w:sz w:val="18"/>
              </w:rPr>
              <w:t> </w:t>
            </w:r>
            <w:r>
              <w:rPr>
                <w:color w:val="105C84"/>
                <w:spacing w:val="-2"/>
                <w:sz w:val="18"/>
              </w:rPr>
              <w:t>Inc.</w:t>
            </w:r>
            <w:r>
              <w:rPr>
                <w:color w:val="105C84"/>
                <w:spacing w:val="-10"/>
                <w:sz w:val="18"/>
              </w:rPr>
              <w:t> </w:t>
            </w:r>
            <w:r>
              <w:rPr>
                <w:color w:val="105C84"/>
                <w:spacing w:val="-2"/>
                <w:sz w:val="18"/>
              </w:rPr>
              <w:t>Treatment </w:t>
            </w:r>
            <w:r>
              <w:rPr>
                <w:color w:val="105C84"/>
                <w:sz w:val="18"/>
              </w:rPr>
              <w:t>Medical</w:t>
            </w:r>
            <w:r>
              <w:rPr>
                <w:color w:val="105C84"/>
                <w:spacing w:val="-4"/>
                <w:sz w:val="18"/>
              </w:rPr>
              <w:t> </w:t>
            </w:r>
            <w:r>
              <w:rPr>
                <w:color w:val="105C84"/>
                <w:sz w:val="18"/>
              </w:rPr>
              <w:t>staff-</w:t>
            </w:r>
            <w:r>
              <w:rPr>
                <w:color w:val="105C84"/>
                <w:spacing w:val="-4"/>
                <w:sz w:val="18"/>
              </w:rPr>
              <w:t> </w:t>
            </w:r>
            <w:r>
              <w:rPr>
                <w:color w:val="105C84"/>
                <w:sz w:val="18"/>
              </w:rPr>
              <w:t>providing</w:t>
            </w:r>
            <w:r>
              <w:rPr>
                <w:color w:val="105C84"/>
                <w:spacing w:val="-4"/>
                <w:sz w:val="18"/>
              </w:rPr>
              <w:t> </w:t>
            </w:r>
            <w:r>
              <w:rPr>
                <w:color w:val="105C84"/>
                <w:sz w:val="18"/>
              </w:rPr>
              <w:t>MAT and Peer Support Services supporting recovery</w:t>
            </w:r>
          </w:p>
        </w:tc>
        <w:tc>
          <w:tcPr>
            <w:tcW w:w="2551" w:type="dxa"/>
          </w:tcPr>
          <w:p>
            <w:pPr>
              <w:pStyle w:val="TableParagraph"/>
              <w:spacing w:line="232" w:lineRule="auto" w:before="101"/>
              <w:ind w:left="85" w:right="437"/>
              <w:rPr>
                <w:sz w:val="18"/>
              </w:rPr>
            </w:pPr>
            <w:r>
              <w:rPr>
                <w:color w:val="105C84"/>
                <w:sz w:val="18"/>
              </w:rPr>
              <w:t>At</w:t>
            </w:r>
            <w:r>
              <w:rPr>
                <w:color w:val="105C84"/>
                <w:spacing w:val="-6"/>
                <w:sz w:val="18"/>
              </w:rPr>
              <w:t> </w:t>
            </w:r>
            <w:r>
              <w:rPr>
                <w:color w:val="105C84"/>
                <w:sz w:val="18"/>
              </w:rPr>
              <w:t>least</w:t>
            </w:r>
            <w:r>
              <w:rPr>
                <w:color w:val="105C84"/>
                <w:spacing w:val="-6"/>
                <w:sz w:val="18"/>
              </w:rPr>
              <w:t> </w:t>
            </w:r>
            <w:r>
              <w:rPr>
                <w:color w:val="105C84"/>
                <w:sz w:val="18"/>
              </w:rPr>
              <w:t>1</w:t>
            </w:r>
            <w:r>
              <w:rPr>
                <w:color w:val="105C84"/>
                <w:spacing w:val="-6"/>
                <w:sz w:val="18"/>
              </w:rPr>
              <w:t> </w:t>
            </w:r>
            <w:r>
              <w:rPr>
                <w:color w:val="105C84"/>
                <w:sz w:val="18"/>
              </w:rPr>
              <w:t>additional</w:t>
            </w:r>
            <w:r>
              <w:rPr>
                <w:color w:val="105C84"/>
                <w:spacing w:val="-6"/>
                <w:sz w:val="18"/>
              </w:rPr>
              <w:t> </w:t>
            </w:r>
            <w:r>
              <w:rPr>
                <w:color w:val="105C84"/>
                <w:sz w:val="18"/>
              </w:rPr>
              <w:t>MAT prescriber by year 3</w:t>
            </w:r>
          </w:p>
        </w:tc>
      </w:tr>
      <w:tr>
        <w:trPr>
          <w:trHeight w:val="1530" w:hRule="atLeast"/>
        </w:trPr>
        <w:tc>
          <w:tcPr>
            <w:tcW w:w="1245" w:type="dxa"/>
            <w:vMerge/>
            <w:tcBorders>
              <w:top w:val="nil"/>
            </w:tcBorders>
            <w:shd w:val="clear" w:color="auto" w:fill="E6E7E8"/>
          </w:tcPr>
          <w:p>
            <w:pPr>
              <w:rPr>
                <w:sz w:val="2"/>
                <w:szCs w:val="2"/>
              </w:rPr>
            </w:pPr>
          </w:p>
        </w:tc>
        <w:tc>
          <w:tcPr>
            <w:tcW w:w="1289" w:type="dxa"/>
            <w:vMerge/>
            <w:tcBorders>
              <w:top w:val="nil"/>
            </w:tcBorders>
          </w:tcPr>
          <w:p>
            <w:pPr>
              <w:rPr>
                <w:sz w:val="2"/>
                <w:szCs w:val="2"/>
              </w:rPr>
            </w:pPr>
          </w:p>
        </w:tc>
        <w:tc>
          <w:tcPr>
            <w:tcW w:w="1498" w:type="dxa"/>
            <w:vMerge/>
            <w:tcBorders>
              <w:top w:val="nil"/>
            </w:tcBorders>
          </w:tcPr>
          <w:p>
            <w:pPr>
              <w:rPr>
                <w:sz w:val="2"/>
                <w:szCs w:val="2"/>
              </w:rPr>
            </w:pPr>
          </w:p>
        </w:tc>
        <w:tc>
          <w:tcPr>
            <w:tcW w:w="2067" w:type="dxa"/>
            <w:vMerge/>
            <w:tcBorders>
              <w:top w:val="nil"/>
            </w:tcBorders>
          </w:tcPr>
          <w:p>
            <w:pPr>
              <w:rPr>
                <w:sz w:val="2"/>
                <w:szCs w:val="2"/>
              </w:rPr>
            </w:pPr>
          </w:p>
        </w:tc>
        <w:tc>
          <w:tcPr>
            <w:tcW w:w="1239" w:type="dxa"/>
            <w:vMerge/>
            <w:tcBorders>
              <w:top w:val="nil"/>
            </w:tcBorders>
          </w:tcPr>
          <w:p>
            <w:pPr>
              <w:rPr>
                <w:sz w:val="2"/>
                <w:szCs w:val="2"/>
              </w:rPr>
            </w:pPr>
          </w:p>
        </w:tc>
        <w:tc>
          <w:tcPr>
            <w:tcW w:w="3863" w:type="dxa"/>
            <w:tcBorders>
              <w:right w:val="nil"/>
            </w:tcBorders>
          </w:tcPr>
          <w:p>
            <w:pPr>
              <w:pStyle w:val="TableParagraph"/>
              <w:spacing w:line="232" w:lineRule="auto" w:before="101"/>
              <w:ind w:left="88" w:right="1072"/>
              <w:rPr>
                <w:sz w:val="18"/>
              </w:rPr>
            </w:pPr>
            <w:r>
              <w:rPr>
                <w:color w:val="105C84"/>
                <w:sz w:val="18"/>
              </w:rPr>
              <w:t>2.2.2</w:t>
            </w:r>
            <w:r>
              <w:rPr>
                <w:color w:val="105C84"/>
                <w:spacing w:val="-11"/>
                <w:sz w:val="18"/>
              </w:rPr>
              <w:t> </w:t>
            </w:r>
            <w:r>
              <w:rPr>
                <w:color w:val="105C84"/>
                <w:sz w:val="18"/>
              </w:rPr>
              <w:t>Increase</w:t>
            </w:r>
            <w:r>
              <w:rPr>
                <w:color w:val="105C84"/>
                <w:spacing w:val="-11"/>
                <w:sz w:val="18"/>
              </w:rPr>
              <w:t> </w:t>
            </w:r>
            <w:r>
              <w:rPr>
                <w:color w:val="105C84"/>
                <w:sz w:val="18"/>
              </w:rPr>
              <w:t>availability</w:t>
            </w:r>
            <w:r>
              <w:rPr>
                <w:color w:val="105C84"/>
                <w:spacing w:val="-11"/>
                <w:sz w:val="18"/>
              </w:rPr>
              <w:t> </w:t>
            </w:r>
            <w:r>
              <w:rPr>
                <w:color w:val="105C84"/>
                <w:sz w:val="18"/>
              </w:rPr>
              <w:t>of/ access</w:t>
            </w:r>
            <w:r>
              <w:rPr>
                <w:color w:val="105C84"/>
                <w:spacing w:val="-1"/>
                <w:sz w:val="18"/>
              </w:rPr>
              <w:t> </w:t>
            </w:r>
            <w:r>
              <w:rPr>
                <w:color w:val="105C84"/>
                <w:sz w:val="18"/>
              </w:rPr>
              <w:t>to</w:t>
            </w:r>
            <w:r>
              <w:rPr>
                <w:color w:val="105C84"/>
                <w:spacing w:val="-1"/>
                <w:sz w:val="18"/>
              </w:rPr>
              <w:t> </w:t>
            </w:r>
            <w:r>
              <w:rPr>
                <w:color w:val="105C84"/>
                <w:sz w:val="18"/>
              </w:rPr>
              <w:t>overdose</w:t>
            </w:r>
            <w:r>
              <w:rPr>
                <w:color w:val="105C84"/>
                <w:spacing w:val="-1"/>
                <w:sz w:val="18"/>
              </w:rPr>
              <w:t> </w:t>
            </w:r>
            <w:r>
              <w:rPr>
                <w:color w:val="105C84"/>
                <w:sz w:val="18"/>
              </w:rPr>
              <w:t>reversal (Naloxone) trainings to </w:t>
            </w:r>
            <w:r>
              <w:rPr>
                <w:color w:val="105C84"/>
                <w:spacing w:val="-2"/>
                <w:sz w:val="18"/>
              </w:rPr>
              <w:t>prescribers,</w:t>
            </w:r>
            <w:r>
              <w:rPr>
                <w:color w:val="105C84"/>
                <w:spacing w:val="-10"/>
                <w:sz w:val="18"/>
              </w:rPr>
              <w:t> </w:t>
            </w:r>
            <w:r>
              <w:rPr>
                <w:color w:val="105C84"/>
                <w:spacing w:val="-2"/>
                <w:sz w:val="18"/>
              </w:rPr>
              <w:t>pharmacists</w:t>
            </w:r>
            <w:r>
              <w:rPr>
                <w:color w:val="105C84"/>
                <w:spacing w:val="-10"/>
                <w:sz w:val="18"/>
              </w:rPr>
              <w:t> </w:t>
            </w:r>
            <w:r>
              <w:rPr>
                <w:color w:val="105C84"/>
                <w:spacing w:val="-2"/>
                <w:sz w:val="18"/>
              </w:rPr>
              <w:t>an</w:t>
            </w:r>
            <w:r>
              <w:rPr>
                <w:color w:val="105C84"/>
                <w:spacing w:val="-2"/>
                <w:sz w:val="18"/>
              </w:rPr>
              <w:t>d</w:t>
            </w:r>
            <w:r>
              <w:rPr>
                <w:color w:val="105C84"/>
                <w:spacing w:val="-2"/>
                <w:sz w:val="18"/>
              </w:rPr>
              <w:t> consumers</w:t>
            </w:r>
          </w:p>
        </w:tc>
        <w:tc>
          <w:tcPr>
            <w:tcW w:w="3886" w:type="dxa"/>
            <w:tcBorders>
              <w:left w:val="nil"/>
            </w:tcBorders>
          </w:tcPr>
          <w:p>
            <w:pPr>
              <w:pStyle w:val="TableParagraph"/>
              <w:spacing w:line="336" w:lineRule="auto" w:before="96"/>
              <w:ind w:left="1050" w:right="620"/>
              <w:rPr>
                <w:sz w:val="18"/>
              </w:rPr>
            </w:pPr>
            <w:r>
              <w:rPr>
                <w:color w:val="105C84"/>
                <w:sz w:val="18"/>
              </w:rPr>
              <w:t>Number of sessions Number of </w:t>
            </w:r>
            <w:r>
              <w:rPr>
                <w:color w:val="105C84"/>
                <w:sz w:val="18"/>
              </w:rPr>
              <w:t>participants</w:t>
            </w:r>
          </w:p>
        </w:tc>
        <w:tc>
          <w:tcPr>
            <w:tcW w:w="1851" w:type="dxa"/>
          </w:tcPr>
          <w:p>
            <w:pPr>
              <w:pStyle w:val="TableParagraph"/>
              <w:spacing w:line="336" w:lineRule="auto" w:before="96"/>
              <w:ind w:left="86" w:right="318"/>
              <w:rPr>
                <w:sz w:val="18"/>
              </w:rPr>
            </w:pPr>
            <w:r>
              <w:rPr>
                <w:color w:val="105C84"/>
                <w:spacing w:val="-4"/>
                <w:sz w:val="18"/>
              </w:rPr>
              <w:t>CASA-</w:t>
            </w:r>
            <w:r>
              <w:rPr>
                <w:color w:val="105C84"/>
                <w:spacing w:val="-4"/>
                <w:sz w:val="18"/>
              </w:rPr>
              <w:t>Trinity CBOs</w:t>
            </w:r>
          </w:p>
          <w:p>
            <w:pPr>
              <w:pStyle w:val="TableParagraph"/>
              <w:spacing w:line="232" w:lineRule="auto" w:before="5"/>
              <w:ind w:left="86" w:right="318"/>
              <w:rPr>
                <w:sz w:val="18"/>
              </w:rPr>
            </w:pPr>
            <w:r>
              <w:rPr>
                <w:color w:val="105C84"/>
                <w:spacing w:val="-2"/>
                <w:sz w:val="18"/>
              </w:rPr>
              <w:t>Community members</w:t>
            </w:r>
          </w:p>
        </w:tc>
        <w:tc>
          <w:tcPr>
            <w:tcW w:w="2693" w:type="dxa"/>
          </w:tcPr>
          <w:p>
            <w:pPr>
              <w:pStyle w:val="TableParagraph"/>
              <w:spacing w:line="232" w:lineRule="auto" w:before="101"/>
              <w:ind w:left="86"/>
              <w:rPr>
                <w:sz w:val="18"/>
              </w:rPr>
            </w:pPr>
            <w:r>
              <w:rPr>
                <w:color w:val="105C84"/>
                <w:sz w:val="18"/>
              </w:rPr>
              <w:t>CASA-</w:t>
            </w:r>
            <w:r>
              <w:rPr>
                <w:color w:val="105C84"/>
                <w:spacing w:val="-13"/>
                <w:sz w:val="18"/>
              </w:rPr>
              <w:t> </w:t>
            </w:r>
            <w:r>
              <w:rPr>
                <w:color w:val="105C84"/>
                <w:sz w:val="18"/>
              </w:rPr>
              <w:t>Trinity-</w:t>
            </w:r>
            <w:r>
              <w:rPr>
                <w:color w:val="105C84"/>
                <w:spacing w:val="-12"/>
                <w:sz w:val="18"/>
              </w:rPr>
              <w:t> </w:t>
            </w:r>
            <w:r>
              <w:rPr>
                <w:color w:val="105C84"/>
                <w:sz w:val="18"/>
              </w:rPr>
              <w:t>promote</w:t>
            </w:r>
            <w:r>
              <w:rPr>
                <w:color w:val="105C84"/>
                <w:spacing w:val="-13"/>
                <w:sz w:val="18"/>
              </w:rPr>
              <w:t> </w:t>
            </w:r>
            <w:r>
              <w:rPr>
                <w:color w:val="105C84"/>
                <w:sz w:val="18"/>
              </w:rPr>
              <w:t>and provide Narcan Training</w:t>
            </w:r>
          </w:p>
          <w:p>
            <w:pPr>
              <w:pStyle w:val="TableParagraph"/>
              <w:spacing w:line="232" w:lineRule="auto" w:before="88"/>
              <w:ind w:left="86"/>
              <w:rPr>
                <w:sz w:val="18"/>
              </w:rPr>
            </w:pPr>
            <w:r>
              <w:rPr>
                <w:color w:val="105C84"/>
                <w:sz w:val="18"/>
              </w:rPr>
              <w:t>CBOs</w:t>
            </w:r>
            <w:r>
              <w:rPr>
                <w:color w:val="105C84"/>
                <w:spacing w:val="-1"/>
                <w:sz w:val="18"/>
              </w:rPr>
              <w:t> </w:t>
            </w:r>
            <w:r>
              <w:rPr>
                <w:color w:val="105C84"/>
                <w:sz w:val="18"/>
              </w:rPr>
              <w:t>-promote</w:t>
            </w:r>
            <w:r>
              <w:rPr>
                <w:color w:val="105C84"/>
                <w:spacing w:val="-1"/>
                <w:sz w:val="18"/>
              </w:rPr>
              <w:t> </w:t>
            </w:r>
            <w:r>
              <w:rPr>
                <w:color w:val="105C84"/>
                <w:sz w:val="18"/>
              </w:rPr>
              <w:t>and</w:t>
            </w:r>
            <w:r>
              <w:rPr>
                <w:color w:val="105C84"/>
                <w:spacing w:val="-1"/>
                <w:sz w:val="18"/>
              </w:rPr>
              <w:t> </w:t>
            </w:r>
            <w:r>
              <w:rPr>
                <w:color w:val="105C84"/>
                <w:sz w:val="18"/>
              </w:rPr>
              <w:t>attend </w:t>
            </w:r>
            <w:r>
              <w:rPr>
                <w:color w:val="105C84"/>
                <w:spacing w:val="-2"/>
                <w:w w:val="105"/>
                <w:sz w:val="18"/>
              </w:rPr>
              <w:t>training</w:t>
            </w:r>
          </w:p>
          <w:p>
            <w:pPr>
              <w:pStyle w:val="TableParagraph"/>
              <w:spacing w:line="232" w:lineRule="auto" w:before="88"/>
              <w:ind w:left="86"/>
              <w:rPr>
                <w:sz w:val="18"/>
              </w:rPr>
            </w:pPr>
            <w:r>
              <w:rPr>
                <w:color w:val="105C84"/>
                <w:sz w:val="18"/>
              </w:rPr>
              <w:t>Community</w:t>
            </w:r>
            <w:r>
              <w:rPr>
                <w:color w:val="105C84"/>
                <w:spacing w:val="-1"/>
                <w:sz w:val="18"/>
              </w:rPr>
              <w:t> </w:t>
            </w:r>
            <w:r>
              <w:rPr>
                <w:color w:val="105C84"/>
                <w:sz w:val="18"/>
              </w:rPr>
              <w:t>members</w:t>
            </w:r>
            <w:r>
              <w:rPr>
                <w:color w:val="105C84"/>
                <w:spacing w:val="-1"/>
                <w:sz w:val="18"/>
              </w:rPr>
              <w:t> </w:t>
            </w:r>
            <w:r>
              <w:rPr>
                <w:color w:val="105C84"/>
                <w:sz w:val="18"/>
              </w:rPr>
              <w:t>attend </w:t>
            </w:r>
            <w:r>
              <w:rPr>
                <w:color w:val="105C84"/>
                <w:spacing w:val="-2"/>
                <w:sz w:val="18"/>
              </w:rPr>
              <w:t>training</w:t>
            </w:r>
          </w:p>
        </w:tc>
        <w:tc>
          <w:tcPr>
            <w:tcW w:w="2551" w:type="dxa"/>
          </w:tcPr>
          <w:p>
            <w:pPr>
              <w:pStyle w:val="TableParagraph"/>
              <w:spacing w:line="232" w:lineRule="auto" w:before="100"/>
              <w:ind w:left="85"/>
              <w:rPr>
                <w:sz w:val="18"/>
              </w:rPr>
            </w:pPr>
            <w:r>
              <w:rPr>
                <w:color w:val="105C84"/>
                <w:sz w:val="18"/>
              </w:rPr>
              <w:t>Conduct</w:t>
            </w:r>
            <w:r>
              <w:rPr>
                <w:color w:val="105C84"/>
                <w:spacing w:val="-15"/>
                <w:sz w:val="18"/>
              </w:rPr>
              <w:t> </w:t>
            </w:r>
            <w:r>
              <w:rPr>
                <w:color w:val="105C84"/>
                <w:sz w:val="18"/>
              </w:rPr>
              <w:t>at</w:t>
            </w:r>
            <w:r>
              <w:rPr>
                <w:color w:val="105C84"/>
                <w:spacing w:val="-12"/>
                <w:sz w:val="18"/>
              </w:rPr>
              <w:t> </w:t>
            </w:r>
            <w:r>
              <w:rPr>
                <w:color w:val="105C84"/>
                <w:sz w:val="18"/>
              </w:rPr>
              <w:t>least</w:t>
            </w:r>
            <w:r>
              <w:rPr>
                <w:color w:val="105C84"/>
                <w:spacing w:val="-13"/>
                <w:sz w:val="18"/>
              </w:rPr>
              <w:t> </w:t>
            </w:r>
            <w:r>
              <w:rPr>
                <w:color w:val="105C84"/>
                <w:sz w:val="18"/>
              </w:rPr>
              <w:t>10</w:t>
            </w:r>
            <w:r>
              <w:rPr>
                <w:color w:val="105C84"/>
                <w:spacing w:val="-12"/>
                <w:sz w:val="18"/>
              </w:rPr>
              <w:t> </w:t>
            </w:r>
            <w:r>
              <w:rPr>
                <w:color w:val="105C84"/>
                <w:sz w:val="18"/>
              </w:rPr>
              <w:t>Narcan trainings per year</w:t>
            </w:r>
          </w:p>
        </w:tc>
      </w:tr>
      <w:tr>
        <w:trPr>
          <w:trHeight w:val="2130" w:hRule="atLeast"/>
        </w:trPr>
        <w:tc>
          <w:tcPr>
            <w:tcW w:w="1245" w:type="dxa"/>
            <w:vMerge/>
            <w:tcBorders>
              <w:top w:val="nil"/>
            </w:tcBorders>
            <w:shd w:val="clear" w:color="auto" w:fill="E6E7E8"/>
          </w:tcPr>
          <w:p>
            <w:pPr>
              <w:rPr>
                <w:sz w:val="2"/>
                <w:szCs w:val="2"/>
              </w:rPr>
            </w:pPr>
          </w:p>
        </w:tc>
        <w:tc>
          <w:tcPr>
            <w:tcW w:w="1289" w:type="dxa"/>
            <w:vMerge/>
            <w:tcBorders>
              <w:top w:val="nil"/>
            </w:tcBorders>
          </w:tcPr>
          <w:p>
            <w:pPr>
              <w:rPr>
                <w:sz w:val="2"/>
                <w:szCs w:val="2"/>
              </w:rPr>
            </w:pPr>
          </w:p>
        </w:tc>
        <w:tc>
          <w:tcPr>
            <w:tcW w:w="1498" w:type="dxa"/>
            <w:vMerge/>
            <w:tcBorders>
              <w:top w:val="nil"/>
            </w:tcBorders>
          </w:tcPr>
          <w:p>
            <w:pPr>
              <w:rPr>
                <w:sz w:val="2"/>
                <w:szCs w:val="2"/>
              </w:rPr>
            </w:pPr>
          </w:p>
        </w:tc>
        <w:tc>
          <w:tcPr>
            <w:tcW w:w="2067" w:type="dxa"/>
            <w:vMerge/>
            <w:tcBorders>
              <w:top w:val="nil"/>
            </w:tcBorders>
          </w:tcPr>
          <w:p>
            <w:pPr>
              <w:rPr>
                <w:sz w:val="2"/>
                <w:szCs w:val="2"/>
              </w:rPr>
            </w:pPr>
          </w:p>
        </w:tc>
        <w:tc>
          <w:tcPr>
            <w:tcW w:w="1239" w:type="dxa"/>
            <w:vMerge/>
            <w:tcBorders>
              <w:top w:val="nil"/>
            </w:tcBorders>
          </w:tcPr>
          <w:p>
            <w:pPr>
              <w:rPr>
                <w:sz w:val="2"/>
                <w:szCs w:val="2"/>
              </w:rPr>
            </w:pPr>
          </w:p>
        </w:tc>
        <w:tc>
          <w:tcPr>
            <w:tcW w:w="3863" w:type="dxa"/>
            <w:tcBorders>
              <w:right w:val="nil"/>
            </w:tcBorders>
          </w:tcPr>
          <w:p>
            <w:pPr>
              <w:pStyle w:val="TableParagraph"/>
              <w:spacing w:line="232" w:lineRule="auto" w:before="100"/>
              <w:ind w:left="88" w:right="1072"/>
              <w:rPr>
                <w:sz w:val="18"/>
              </w:rPr>
            </w:pPr>
            <w:r>
              <w:rPr>
                <w:color w:val="105C84"/>
                <w:sz w:val="18"/>
              </w:rPr>
              <w:t>2.2.4 Build support systems to care</w:t>
            </w:r>
            <w:r>
              <w:rPr>
                <w:color w:val="105C84"/>
                <w:spacing w:val="-7"/>
                <w:sz w:val="18"/>
              </w:rPr>
              <w:t> </w:t>
            </w:r>
            <w:r>
              <w:rPr>
                <w:color w:val="105C84"/>
                <w:sz w:val="18"/>
              </w:rPr>
              <w:t>for</w:t>
            </w:r>
            <w:r>
              <w:rPr>
                <w:color w:val="105C84"/>
                <w:spacing w:val="-7"/>
                <w:sz w:val="18"/>
              </w:rPr>
              <w:t> </w:t>
            </w:r>
            <w:r>
              <w:rPr>
                <w:color w:val="105C84"/>
                <w:sz w:val="18"/>
              </w:rPr>
              <w:t>opioid</w:t>
            </w:r>
            <w:r>
              <w:rPr>
                <w:color w:val="105C84"/>
                <w:spacing w:val="-7"/>
                <w:sz w:val="18"/>
              </w:rPr>
              <w:t> </w:t>
            </w:r>
            <w:r>
              <w:rPr>
                <w:color w:val="105C84"/>
                <w:sz w:val="18"/>
              </w:rPr>
              <w:t>users</w:t>
            </w:r>
            <w:r>
              <w:rPr>
                <w:color w:val="105C84"/>
                <w:spacing w:val="-7"/>
                <w:sz w:val="18"/>
              </w:rPr>
              <w:t> </w:t>
            </w:r>
            <w:r>
              <w:rPr>
                <w:color w:val="105C84"/>
                <w:sz w:val="18"/>
              </w:rPr>
              <w:t>or</w:t>
            </w:r>
            <w:r>
              <w:rPr>
                <w:color w:val="105C84"/>
                <w:spacing w:val="-7"/>
                <w:sz w:val="18"/>
              </w:rPr>
              <w:t> </w:t>
            </w:r>
            <w:r>
              <w:rPr>
                <w:color w:val="105C84"/>
                <w:sz w:val="18"/>
              </w:rPr>
              <w:t>at</w:t>
            </w:r>
            <w:r>
              <w:rPr>
                <w:color w:val="105C84"/>
                <w:spacing w:val="-7"/>
                <w:sz w:val="18"/>
              </w:rPr>
              <w:t> </w:t>
            </w:r>
            <w:r>
              <w:rPr>
                <w:color w:val="105C84"/>
                <w:sz w:val="18"/>
              </w:rPr>
              <w:t>risk</w:t>
            </w:r>
            <w:r>
              <w:rPr>
                <w:color w:val="105C84"/>
                <w:spacing w:val="-7"/>
                <w:sz w:val="18"/>
              </w:rPr>
              <w:t> </w:t>
            </w:r>
            <w:r>
              <w:rPr>
                <w:color w:val="105C84"/>
                <w:sz w:val="18"/>
              </w:rPr>
              <w:t>of</w:t>
            </w:r>
            <w:r>
              <w:rPr>
                <w:color w:val="105C84"/>
                <w:sz w:val="18"/>
              </w:rPr>
              <w:t> an overdose</w:t>
            </w:r>
          </w:p>
        </w:tc>
        <w:tc>
          <w:tcPr>
            <w:tcW w:w="3886" w:type="dxa"/>
            <w:tcBorders>
              <w:left w:val="nil"/>
            </w:tcBorders>
          </w:tcPr>
          <w:p>
            <w:pPr>
              <w:pStyle w:val="TableParagraph"/>
              <w:spacing w:line="336" w:lineRule="auto" w:before="95"/>
              <w:ind w:left="1050" w:right="620"/>
              <w:rPr>
                <w:sz w:val="18"/>
              </w:rPr>
            </w:pPr>
            <w:r>
              <w:rPr>
                <w:color w:val="105C84"/>
                <w:sz w:val="18"/>
              </w:rPr>
              <w:t>Number of sessions Number</w:t>
            </w:r>
            <w:r>
              <w:rPr>
                <w:color w:val="105C84"/>
                <w:spacing w:val="-1"/>
                <w:sz w:val="18"/>
              </w:rPr>
              <w:t> </w:t>
            </w:r>
            <w:r>
              <w:rPr>
                <w:color w:val="105C84"/>
                <w:sz w:val="18"/>
              </w:rPr>
              <w:t>of</w:t>
            </w:r>
            <w:r>
              <w:rPr>
                <w:color w:val="105C84"/>
                <w:spacing w:val="-1"/>
                <w:sz w:val="18"/>
              </w:rPr>
              <w:t> </w:t>
            </w:r>
            <w:r>
              <w:rPr>
                <w:color w:val="105C84"/>
                <w:sz w:val="18"/>
              </w:rPr>
              <w:t>Peer</w:t>
            </w:r>
            <w:r>
              <w:rPr>
                <w:color w:val="105C84"/>
                <w:spacing w:val="-1"/>
                <w:sz w:val="18"/>
              </w:rPr>
              <w:t> </w:t>
            </w:r>
            <w:r>
              <w:rPr>
                <w:color w:val="105C84"/>
                <w:spacing w:val="-2"/>
                <w:sz w:val="18"/>
              </w:rPr>
              <w:t>Navigators</w:t>
            </w:r>
          </w:p>
          <w:p>
            <w:pPr>
              <w:pStyle w:val="TableParagraph"/>
              <w:spacing w:line="232" w:lineRule="auto" w:before="6"/>
              <w:ind w:left="1050"/>
              <w:rPr>
                <w:sz w:val="18"/>
              </w:rPr>
            </w:pPr>
            <w:r>
              <w:rPr>
                <w:color w:val="105C84"/>
                <w:spacing w:val="-2"/>
                <w:w w:val="105"/>
                <w:sz w:val="18"/>
              </w:rPr>
              <w:t>Number</w:t>
            </w:r>
            <w:r>
              <w:rPr>
                <w:color w:val="105C84"/>
                <w:spacing w:val="-12"/>
                <w:w w:val="105"/>
                <w:sz w:val="18"/>
              </w:rPr>
              <w:t> </w:t>
            </w:r>
            <w:r>
              <w:rPr>
                <w:color w:val="105C84"/>
                <w:spacing w:val="-2"/>
                <w:w w:val="105"/>
                <w:sz w:val="18"/>
              </w:rPr>
              <w:t>of</w:t>
            </w:r>
            <w:r>
              <w:rPr>
                <w:color w:val="105C84"/>
                <w:spacing w:val="-11"/>
                <w:w w:val="105"/>
                <w:sz w:val="18"/>
              </w:rPr>
              <w:t> </w:t>
            </w:r>
            <w:r>
              <w:rPr>
                <w:color w:val="105C84"/>
                <w:spacing w:val="-2"/>
                <w:w w:val="105"/>
                <w:sz w:val="18"/>
              </w:rPr>
              <w:t>clients</w:t>
            </w:r>
            <w:r>
              <w:rPr>
                <w:color w:val="105C84"/>
                <w:spacing w:val="-11"/>
                <w:w w:val="105"/>
                <w:sz w:val="18"/>
              </w:rPr>
              <w:t> </w:t>
            </w:r>
            <w:r>
              <w:rPr>
                <w:color w:val="105C84"/>
                <w:spacing w:val="-2"/>
                <w:w w:val="105"/>
                <w:sz w:val="18"/>
              </w:rPr>
              <w:t>in-</w:t>
            </w:r>
            <w:r>
              <w:rPr>
                <w:color w:val="105C84"/>
                <w:spacing w:val="-2"/>
                <w:w w:val="105"/>
                <w:sz w:val="18"/>
              </w:rPr>
              <w:t>patient treatment</w:t>
            </w:r>
          </w:p>
          <w:p>
            <w:pPr>
              <w:pStyle w:val="TableParagraph"/>
              <w:spacing w:line="232" w:lineRule="auto" w:before="88"/>
              <w:ind w:left="1050" w:right="141"/>
              <w:rPr>
                <w:sz w:val="18"/>
              </w:rPr>
            </w:pPr>
            <w:r>
              <w:rPr>
                <w:color w:val="105C84"/>
                <w:sz w:val="18"/>
              </w:rPr>
              <w:t>(Baseline:</w:t>
            </w:r>
            <w:r>
              <w:rPr>
                <w:color w:val="105C84"/>
                <w:spacing w:val="-9"/>
                <w:sz w:val="18"/>
              </w:rPr>
              <w:t> </w:t>
            </w:r>
            <w:r>
              <w:rPr>
                <w:color w:val="105C84"/>
                <w:sz w:val="18"/>
              </w:rPr>
              <w:t>3</w:t>
            </w:r>
            <w:r>
              <w:rPr>
                <w:color w:val="105C84"/>
                <w:spacing w:val="-9"/>
                <w:sz w:val="18"/>
              </w:rPr>
              <w:t> </w:t>
            </w:r>
            <w:r>
              <w:rPr>
                <w:color w:val="105C84"/>
                <w:sz w:val="18"/>
              </w:rPr>
              <w:t>Peer</w:t>
            </w:r>
            <w:r>
              <w:rPr>
                <w:color w:val="105C84"/>
                <w:spacing w:val="-9"/>
                <w:sz w:val="18"/>
              </w:rPr>
              <w:t> </w:t>
            </w:r>
            <w:r>
              <w:rPr>
                <w:color w:val="105C84"/>
                <w:sz w:val="18"/>
              </w:rPr>
              <w:t>Navigators-CASA</w:t>
            </w:r>
            <w:r>
              <w:rPr>
                <w:color w:val="105C84"/>
                <w:spacing w:val="-13"/>
                <w:sz w:val="18"/>
              </w:rPr>
              <w:t> </w:t>
            </w:r>
            <w:r>
              <w:rPr>
                <w:color w:val="105C84"/>
                <w:sz w:val="18"/>
              </w:rPr>
              <w:t>2019,</w:t>
            </w:r>
            <w:r>
              <w:rPr>
                <w:color w:val="105C84"/>
                <w:spacing w:val="10"/>
                <w:sz w:val="18"/>
              </w:rPr>
              <w:t> </w:t>
            </w:r>
            <w:r>
              <w:rPr>
                <w:color w:val="105C84"/>
                <w:sz w:val="18"/>
              </w:rPr>
              <w:t>clients</w:t>
            </w:r>
            <w:r>
              <w:rPr>
                <w:color w:val="105C84"/>
                <w:spacing w:val="-12"/>
                <w:sz w:val="18"/>
              </w:rPr>
              <w:t> </w:t>
            </w:r>
            <w:r>
              <w:rPr>
                <w:color w:val="105C84"/>
                <w:sz w:val="18"/>
              </w:rPr>
              <w:t>in-</w:t>
            </w:r>
            <w:r>
              <w:rPr>
                <w:color w:val="105C84"/>
                <w:sz w:val="18"/>
              </w:rPr>
              <w:t>patient baseline in 2019)</w:t>
            </w:r>
          </w:p>
        </w:tc>
        <w:tc>
          <w:tcPr>
            <w:tcW w:w="1851" w:type="dxa"/>
          </w:tcPr>
          <w:p>
            <w:pPr>
              <w:pStyle w:val="TableParagraph"/>
              <w:spacing w:line="336" w:lineRule="auto" w:before="95"/>
              <w:ind w:left="86" w:right="306"/>
              <w:rPr>
                <w:sz w:val="18"/>
              </w:rPr>
            </w:pPr>
            <w:r>
              <w:rPr>
                <w:color w:val="105C84"/>
                <w:spacing w:val="-2"/>
                <w:sz w:val="18"/>
              </w:rPr>
              <w:t>Opioid</w:t>
            </w:r>
            <w:r>
              <w:rPr>
                <w:color w:val="105C84"/>
                <w:spacing w:val="-13"/>
                <w:sz w:val="18"/>
              </w:rPr>
              <w:t> </w:t>
            </w:r>
            <w:r>
              <w:rPr>
                <w:color w:val="105C84"/>
                <w:spacing w:val="-2"/>
                <w:sz w:val="18"/>
              </w:rPr>
              <w:t>Task</w:t>
            </w:r>
            <w:r>
              <w:rPr>
                <w:color w:val="105C84"/>
                <w:spacing w:val="-10"/>
                <w:sz w:val="18"/>
              </w:rPr>
              <w:t> </w:t>
            </w:r>
            <w:r>
              <w:rPr>
                <w:color w:val="105C84"/>
                <w:spacing w:val="-2"/>
                <w:sz w:val="18"/>
              </w:rPr>
              <w:t>Force CASA-Trinity ROCovery</w:t>
            </w:r>
          </w:p>
        </w:tc>
        <w:tc>
          <w:tcPr>
            <w:tcW w:w="2693" w:type="dxa"/>
          </w:tcPr>
          <w:p>
            <w:pPr>
              <w:pStyle w:val="TableParagraph"/>
              <w:spacing w:line="232" w:lineRule="auto" w:before="100"/>
              <w:ind w:left="86"/>
              <w:rPr>
                <w:sz w:val="18"/>
              </w:rPr>
            </w:pPr>
            <w:r>
              <w:rPr>
                <w:color w:val="105C84"/>
                <w:sz w:val="18"/>
              </w:rPr>
              <w:t>Opioid Task Force -use track data</w:t>
            </w:r>
            <w:r>
              <w:rPr>
                <w:color w:val="105C84"/>
                <w:spacing w:val="-9"/>
                <w:sz w:val="18"/>
              </w:rPr>
              <w:t> </w:t>
            </w:r>
            <w:r>
              <w:rPr>
                <w:color w:val="105C84"/>
                <w:sz w:val="18"/>
              </w:rPr>
              <w:t>via</w:t>
            </w:r>
            <w:r>
              <w:rPr>
                <w:color w:val="105C84"/>
                <w:spacing w:val="-9"/>
                <w:sz w:val="18"/>
              </w:rPr>
              <w:t> </w:t>
            </w:r>
            <w:r>
              <w:rPr>
                <w:color w:val="105C84"/>
                <w:sz w:val="18"/>
              </w:rPr>
              <w:t>GIS,</w:t>
            </w:r>
            <w:r>
              <w:rPr>
                <w:color w:val="105C84"/>
                <w:spacing w:val="-9"/>
                <w:sz w:val="18"/>
              </w:rPr>
              <w:t> </w:t>
            </w:r>
            <w:r>
              <w:rPr>
                <w:color w:val="105C84"/>
                <w:sz w:val="18"/>
              </w:rPr>
              <w:t>implement</w:t>
            </w:r>
            <w:r>
              <w:rPr>
                <w:color w:val="105C84"/>
                <w:spacing w:val="-9"/>
                <w:sz w:val="18"/>
              </w:rPr>
              <w:t> </w:t>
            </w:r>
            <w:r>
              <w:rPr>
                <w:color w:val="105C84"/>
                <w:sz w:val="18"/>
              </w:rPr>
              <w:t>Drug Amnesty Program</w:t>
            </w:r>
          </w:p>
          <w:p>
            <w:pPr>
              <w:pStyle w:val="TableParagraph"/>
              <w:spacing w:line="232" w:lineRule="auto" w:before="88"/>
              <w:ind w:left="86" w:right="127"/>
              <w:rPr>
                <w:sz w:val="18"/>
              </w:rPr>
            </w:pPr>
            <w:r>
              <w:rPr>
                <w:color w:val="105C84"/>
                <w:sz w:val="18"/>
              </w:rPr>
              <w:t>CASA-Trinity</w:t>
            </w:r>
            <w:r>
              <w:rPr>
                <w:color w:val="105C84"/>
                <w:spacing w:val="-15"/>
                <w:sz w:val="18"/>
              </w:rPr>
              <w:t> </w:t>
            </w:r>
            <w:r>
              <w:rPr>
                <w:color w:val="105C84"/>
                <w:sz w:val="18"/>
              </w:rPr>
              <w:t>implement</w:t>
            </w:r>
            <w:r>
              <w:rPr>
                <w:color w:val="105C84"/>
                <w:spacing w:val="-12"/>
                <w:sz w:val="18"/>
              </w:rPr>
              <w:t> </w:t>
            </w:r>
            <w:r>
              <w:rPr>
                <w:color w:val="105C84"/>
                <w:sz w:val="18"/>
              </w:rPr>
              <w:t>and evaluate Peer Navigator </w:t>
            </w:r>
            <w:r>
              <w:rPr>
                <w:color w:val="105C84"/>
                <w:spacing w:val="-2"/>
                <w:sz w:val="18"/>
              </w:rPr>
              <w:t>Program</w:t>
            </w:r>
          </w:p>
          <w:p>
            <w:pPr>
              <w:pStyle w:val="TableParagraph"/>
              <w:spacing w:line="232" w:lineRule="auto" w:before="87"/>
              <w:ind w:left="86" w:right="127"/>
              <w:rPr>
                <w:sz w:val="18"/>
              </w:rPr>
            </w:pPr>
            <w:r>
              <w:rPr>
                <w:color w:val="105C84"/>
                <w:sz w:val="18"/>
              </w:rPr>
              <w:t>ROCovery- provide physical activity</w:t>
            </w:r>
            <w:r>
              <w:rPr>
                <w:color w:val="105C84"/>
                <w:spacing w:val="-4"/>
                <w:sz w:val="18"/>
              </w:rPr>
              <w:t> </w:t>
            </w:r>
            <w:r>
              <w:rPr>
                <w:color w:val="105C84"/>
                <w:sz w:val="18"/>
              </w:rPr>
              <w:t>programs</w:t>
            </w:r>
            <w:r>
              <w:rPr>
                <w:color w:val="105C84"/>
                <w:spacing w:val="-4"/>
                <w:sz w:val="18"/>
              </w:rPr>
              <w:t> </w:t>
            </w:r>
            <w:r>
              <w:rPr>
                <w:color w:val="105C84"/>
                <w:sz w:val="18"/>
              </w:rPr>
              <w:t>for</w:t>
            </w:r>
            <w:r>
              <w:rPr>
                <w:color w:val="105C84"/>
                <w:spacing w:val="-4"/>
                <w:sz w:val="18"/>
              </w:rPr>
              <w:t> </w:t>
            </w:r>
            <w:r>
              <w:rPr>
                <w:color w:val="105C84"/>
                <w:sz w:val="18"/>
              </w:rPr>
              <w:t>those</w:t>
            </w:r>
            <w:r>
              <w:rPr>
                <w:color w:val="105C84"/>
                <w:spacing w:val="-4"/>
                <w:sz w:val="18"/>
              </w:rPr>
              <w:t> </w:t>
            </w:r>
            <w:r>
              <w:rPr>
                <w:color w:val="105C84"/>
                <w:sz w:val="18"/>
              </w:rPr>
              <w:t>w/ 48 hrs of sobriety</w:t>
            </w:r>
          </w:p>
        </w:tc>
        <w:tc>
          <w:tcPr>
            <w:tcW w:w="2551" w:type="dxa"/>
          </w:tcPr>
          <w:p>
            <w:pPr>
              <w:pStyle w:val="TableParagraph"/>
              <w:spacing w:line="232" w:lineRule="auto" w:before="100"/>
              <w:ind w:left="85"/>
              <w:rPr>
                <w:sz w:val="18"/>
              </w:rPr>
            </w:pPr>
            <w:r>
              <w:rPr>
                <w:color w:val="105C84"/>
                <w:sz w:val="18"/>
              </w:rPr>
              <w:t>Increase number of Peer Navigators</w:t>
            </w:r>
            <w:r>
              <w:rPr>
                <w:color w:val="105C84"/>
                <w:spacing w:val="-13"/>
                <w:sz w:val="18"/>
              </w:rPr>
              <w:t> </w:t>
            </w:r>
            <w:r>
              <w:rPr>
                <w:color w:val="105C84"/>
                <w:sz w:val="18"/>
              </w:rPr>
              <w:t>by</w:t>
            </w:r>
            <w:r>
              <w:rPr>
                <w:color w:val="105C84"/>
                <w:spacing w:val="-12"/>
                <w:sz w:val="18"/>
              </w:rPr>
              <w:t> </w:t>
            </w:r>
            <w:r>
              <w:rPr>
                <w:color w:val="105C84"/>
                <w:sz w:val="18"/>
              </w:rPr>
              <w:t>5%</w:t>
            </w:r>
            <w:r>
              <w:rPr>
                <w:color w:val="105C84"/>
                <w:spacing w:val="-13"/>
                <w:sz w:val="18"/>
              </w:rPr>
              <w:t> </w:t>
            </w:r>
            <w:r>
              <w:rPr>
                <w:color w:val="105C84"/>
                <w:sz w:val="18"/>
              </w:rPr>
              <w:t>by</w:t>
            </w:r>
            <w:r>
              <w:rPr>
                <w:color w:val="105C84"/>
                <w:spacing w:val="-12"/>
                <w:sz w:val="18"/>
              </w:rPr>
              <w:t> </w:t>
            </w:r>
            <w:r>
              <w:rPr>
                <w:color w:val="105C84"/>
                <w:sz w:val="18"/>
              </w:rPr>
              <w:t>year</w:t>
            </w:r>
            <w:r>
              <w:rPr>
                <w:color w:val="105C84"/>
                <w:spacing w:val="-13"/>
                <w:sz w:val="18"/>
              </w:rPr>
              <w:t> </w:t>
            </w:r>
            <w:r>
              <w:rPr>
                <w:color w:val="105C84"/>
                <w:sz w:val="18"/>
              </w:rPr>
              <w:t>3</w:t>
            </w:r>
          </w:p>
        </w:tc>
      </w:tr>
      <w:tr>
        <w:trPr>
          <w:trHeight w:val="2020" w:hRule="atLeast"/>
        </w:trPr>
        <w:tc>
          <w:tcPr>
            <w:tcW w:w="1245" w:type="dxa"/>
            <w:vMerge/>
            <w:tcBorders>
              <w:top w:val="nil"/>
            </w:tcBorders>
            <w:shd w:val="clear" w:color="auto" w:fill="E6E7E8"/>
          </w:tcPr>
          <w:p>
            <w:pPr>
              <w:rPr>
                <w:sz w:val="2"/>
                <w:szCs w:val="2"/>
              </w:rPr>
            </w:pPr>
          </w:p>
        </w:tc>
        <w:tc>
          <w:tcPr>
            <w:tcW w:w="1289" w:type="dxa"/>
            <w:vMerge/>
            <w:tcBorders>
              <w:top w:val="nil"/>
            </w:tcBorders>
          </w:tcPr>
          <w:p>
            <w:pPr>
              <w:rPr>
                <w:sz w:val="2"/>
                <w:szCs w:val="2"/>
              </w:rPr>
            </w:pPr>
          </w:p>
        </w:tc>
        <w:tc>
          <w:tcPr>
            <w:tcW w:w="1498" w:type="dxa"/>
            <w:vMerge/>
            <w:tcBorders>
              <w:top w:val="nil"/>
            </w:tcBorders>
          </w:tcPr>
          <w:p>
            <w:pPr>
              <w:rPr>
                <w:sz w:val="2"/>
                <w:szCs w:val="2"/>
              </w:rPr>
            </w:pPr>
          </w:p>
        </w:tc>
        <w:tc>
          <w:tcPr>
            <w:tcW w:w="2067" w:type="dxa"/>
            <w:vMerge/>
            <w:tcBorders>
              <w:top w:val="nil"/>
            </w:tcBorders>
          </w:tcPr>
          <w:p>
            <w:pPr>
              <w:rPr>
                <w:sz w:val="2"/>
                <w:szCs w:val="2"/>
              </w:rPr>
            </w:pPr>
          </w:p>
        </w:tc>
        <w:tc>
          <w:tcPr>
            <w:tcW w:w="1239" w:type="dxa"/>
            <w:vMerge/>
            <w:tcBorders>
              <w:top w:val="nil"/>
            </w:tcBorders>
          </w:tcPr>
          <w:p>
            <w:pPr>
              <w:rPr>
                <w:sz w:val="2"/>
                <w:szCs w:val="2"/>
              </w:rPr>
            </w:pPr>
          </w:p>
        </w:tc>
        <w:tc>
          <w:tcPr>
            <w:tcW w:w="3863" w:type="dxa"/>
            <w:tcBorders>
              <w:right w:val="nil"/>
            </w:tcBorders>
          </w:tcPr>
          <w:p>
            <w:pPr>
              <w:pStyle w:val="TableParagraph"/>
              <w:spacing w:line="232" w:lineRule="auto" w:before="100"/>
              <w:ind w:left="88" w:right="1058"/>
              <w:rPr>
                <w:sz w:val="18"/>
              </w:rPr>
            </w:pPr>
            <w:r>
              <w:rPr>
                <w:color w:val="105C84"/>
                <w:sz w:val="18"/>
              </w:rPr>
              <w:t>2.2.6 Integrate trauma informed approaches in training staff and implementing program and </w:t>
            </w:r>
            <w:r>
              <w:rPr>
                <w:color w:val="105C84"/>
                <w:sz w:val="18"/>
              </w:rPr>
              <w:t>policy</w:t>
            </w:r>
          </w:p>
        </w:tc>
        <w:tc>
          <w:tcPr>
            <w:tcW w:w="3886" w:type="dxa"/>
            <w:tcBorders>
              <w:left w:val="nil"/>
            </w:tcBorders>
          </w:tcPr>
          <w:p>
            <w:pPr>
              <w:pStyle w:val="TableParagraph"/>
              <w:spacing w:line="336" w:lineRule="auto" w:before="95"/>
              <w:ind w:left="1050" w:right="637"/>
              <w:rPr>
                <w:sz w:val="18"/>
              </w:rPr>
            </w:pPr>
            <w:r>
              <w:rPr>
                <w:color w:val="105C84"/>
                <w:sz w:val="18"/>
              </w:rPr>
              <w:t>Number of trainings Number of schools</w:t>
            </w:r>
          </w:p>
          <w:p>
            <w:pPr>
              <w:pStyle w:val="TableParagraph"/>
              <w:spacing w:line="232" w:lineRule="auto" w:before="5"/>
              <w:ind w:left="1050"/>
              <w:rPr>
                <w:sz w:val="18"/>
              </w:rPr>
            </w:pPr>
            <w:r>
              <w:rPr>
                <w:color w:val="105C84"/>
                <w:spacing w:val="-2"/>
                <w:w w:val="105"/>
                <w:sz w:val="18"/>
              </w:rPr>
              <w:t>Number</w:t>
            </w:r>
            <w:r>
              <w:rPr>
                <w:color w:val="105C84"/>
                <w:spacing w:val="-10"/>
                <w:w w:val="105"/>
                <w:sz w:val="18"/>
              </w:rPr>
              <w:t> </w:t>
            </w:r>
            <w:r>
              <w:rPr>
                <w:color w:val="105C84"/>
                <w:spacing w:val="-2"/>
                <w:w w:val="105"/>
                <w:sz w:val="18"/>
              </w:rPr>
              <w:t>of</w:t>
            </w:r>
            <w:r>
              <w:rPr>
                <w:color w:val="105C84"/>
                <w:spacing w:val="-10"/>
                <w:w w:val="105"/>
                <w:sz w:val="18"/>
              </w:rPr>
              <w:t> </w:t>
            </w:r>
            <w:r>
              <w:rPr>
                <w:color w:val="105C84"/>
                <w:spacing w:val="-2"/>
                <w:w w:val="105"/>
                <w:sz w:val="18"/>
              </w:rPr>
              <w:t>policy</w:t>
            </w:r>
            <w:r>
              <w:rPr>
                <w:color w:val="105C84"/>
                <w:spacing w:val="-10"/>
                <w:w w:val="105"/>
                <w:sz w:val="18"/>
              </w:rPr>
              <w:t> </w:t>
            </w:r>
            <w:r>
              <w:rPr>
                <w:color w:val="105C84"/>
                <w:spacing w:val="-2"/>
                <w:w w:val="105"/>
                <w:sz w:val="18"/>
              </w:rPr>
              <w:t>/</w:t>
            </w:r>
            <w:r>
              <w:rPr>
                <w:color w:val="105C84"/>
                <w:spacing w:val="-10"/>
                <w:w w:val="105"/>
                <w:sz w:val="18"/>
              </w:rPr>
              <w:t> </w:t>
            </w:r>
            <w:r>
              <w:rPr>
                <w:color w:val="105C84"/>
                <w:spacing w:val="-2"/>
                <w:w w:val="105"/>
                <w:sz w:val="18"/>
              </w:rPr>
              <w:t>practice changes</w:t>
            </w:r>
          </w:p>
          <w:p>
            <w:pPr>
              <w:pStyle w:val="TableParagraph"/>
              <w:spacing w:line="232" w:lineRule="auto" w:before="89"/>
              <w:ind w:left="1050" w:right="111"/>
              <w:rPr>
                <w:sz w:val="18"/>
              </w:rPr>
            </w:pPr>
            <w:r>
              <w:rPr>
                <w:color w:val="105C84"/>
                <w:sz w:val="18"/>
              </w:rPr>
              <w:t>Baseline: 23.3Livingston County: Opioid overdoses and crude</w:t>
            </w:r>
            <w:r>
              <w:rPr>
                <w:color w:val="105C84"/>
                <w:spacing w:val="80"/>
                <w:sz w:val="18"/>
              </w:rPr>
              <w:t> </w:t>
            </w:r>
            <w:r>
              <w:rPr>
                <w:color w:val="105C84"/>
                <w:spacing w:val="-2"/>
                <w:sz w:val="18"/>
              </w:rPr>
              <w:t>rates</w:t>
            </w:r>
            <w:r>
              <w:rPr>
                <w:color w:val="105C84"/>
                <w:spacing w:val="-5"/>
                <w:sz w:val="18"/>
              </w:rPr>
              <w:t> </w:t>
            </w:r>
            <w:r>
              <w:rPr>
                <w:color w:val="105C84"/>
                <w:spacing w:val="-2"/>
                <w:sz w:val="18"/>
              </w:rPr>
              <w:t>per</w:t>
            </w:r>
            <w:r>
              <w:rPr>
                <w:color w:val="105C84"/>
                <w:spacing w:val="-5"/>
                <w:sz w:val="18"/>
              </w:rPr>
              <w:t> </w:t>
            </w:r>
            <w:r>
              <w:rPr>
                <w:color w:val="105C84"/>
                <w:spacing w:val="-2"/>
                <w:sz w:val="18"/>
              </w:rPr>
              <w:t>100,000</w:t>
            </w:r>
            <w:r>
              <w:rPr>
                <w:color w:val="105C84"/>
                <w:spacing w:val="-5"/>
                <w:sz w:val="18"/>
              </w:rPr>
              <w:t> </w:t>
            </w:r>
            <w:r>
              <w:rPr>
                <w:color w:val="105C84"/>
                <w:spacing w:val="-2"/>
                <w:sz w:val="18"/>
              </w:rPr>
              <w:t>population-2018 </w:t>
            </w:r>
            <w:r>
              <w:rPr>
                <w:color w:val="105C84"/>
                <w:sz w:val="18"/>
              </w:rPr>
              <w:t>NYSDOH</w:t>
            </w:r>
            <w:r>
              <w:rPr>
                <w:color w:val="105C84"/>
                <w:spacing w:val="7"/>
                <w:sz w:val="18"/>
              </w:rPr>
              <w:t> </w:t>
            </w:r>
            <w:r>
              <w:rPr>
                <w:color w:val="105C84"/>
                <w:sz w:val="18"/>
              </w:rPr>
              <w:t>quarterly</w:t>
            </w:r>
            <w:r>
              <w:rPr>
                <w:color w:val="105C84"/>
                <w:spacing w:val="7"/>
                <w:sz w:val="18"/>
              </w:rPr>
              <w:t> </w:t>
            </w:r>
            <w:r>
              <w:rPr>
                <w:color w:val="105C84"/>
                <w:sz w:val="18"/>
              </w:rPr>
              <w:t>Opioid</w:t>
            </w:r>
            <w:r>
              <w:rPr>
                <w:color w:val="105C84"/>
                <w:spacing w:val="7"/>
                <w:sz w:val="18"/>
              </w:rPr>
              <w:t> </w:t>
            </w:r>
            <w:r>
              <w:rPr>
                <w:color w:val="105C84"/>
                <w:spacing w:val="-2"/>
                <w:sz w:val="18"/>
              </w:rPr>
              <w:t>report)</w:t>
            </w:r>
          </w:p>
        </w:tc>
        <w:tc>
          <w:tcPr>
            <w:tcW w:w="1851" w:type="dxa"/>
          </w:tcPr>
          <w:p>
            <w:pPr>
              <w:pStyle w:val="TableParagraph"/>
              <w:spacing w:line="232" w:lineRule="auto" w:before="100"/>
              <w:ind w:left="86" w:right="318"/>
              <w:rPr>
                <w:sz w:val="18"/>
              </w:rPr>
            </w:pPr>
            <w:r>
              <w:rPr>
                <w:color w:val="105C84"/>
                <w:spacing w:val="-6"/>
                <w:sz w:val="18"/>
              </w:rPr>
              <w:t>GVHP/Trauma </w:t>
            </w:r>
            <w:r>
              <w:rPr>
                <w:color w:val="105C84"/>
                <w:spacing w:val="-2"/>
                <w:sz w:val="18"/>
              </w:rPr>
              <w:t>Informed Committee</w:t>
            </w:r>
          </w:p>
          <w:p>
            <w:pPr>
              <w:pStyle w:val="TableParagraph"/>
              <w:spacing w:before="82"/>
              <w:ind w:left="86"/>
              <w:rPr>
                <w:sz w:val="18"/>
              </w:rPr>
            </w:pPr>
            <w:r>
              <w:rPr>
                <w:color w:val="105C84"/>
                <w:spacing w:val="-2"/>
                <w:sz w:val="18"/>
              </w:rPr>
              <w:t>Schools</w:t>
            </w:r>
          </w:p>
        </w:tc>
        <w:tc>
          <w:tcPr>
            <w:tcW w:w="2693" w:type="dxa"/>
          </w:tcPr>
          <w:p>
            <w:pPr>
              <w:pStyle w:val="TableParagraph"/>
              <w:spacing w:line="232" w:lineRule="auto" w:before="100"/>
              <w:ind w:left="86" w:right="317"/>
              <w:rPr>
                <w:sz w:val="18"/>
              </w:rPr>
            </w:pPr>
            <w:r>
              <w:rPr>
                <w:color w:val="105C84"/>
                <w:sz w:val="18"/>
              </w:rPr>
              <w:t>GVHP/Trauma Informed Committee- provide </w:t>
            </w:r>
            <w:r>
              <w:rPr>
                <w:color w:val="105C84"/>
                <w:sz w:val="18"/>
              </w:rPr>
              <w:t>training and assist with program</w:t>
            </w:r>
          </w:p>
          <w:p>
            <w:pPr>
              <w:pStyle w:val="TableParagraph"/>
              <w:spacing w:line="196" w:lineRule="exact"/>
              <w:ind w:left="86"/>
              <w:rPr>
                <w:sz w:val="18"/>
              </w:rPr>
            </w:pPr>
            <w:r>
              <w:rPr>
                <w:color w:val="105C84"/>
                <w:sz w:val="18"/>
              </w:rPr>
              <w:t>and</w:t>
            </w:r>
            <w:r>
              <w:rPr>
                <w:color w:val="105C84"/>
                <w:spacing w:val="1"/>
                <w:sz w:val="18"/>
              </w:rPr>
              <w:t> </w:t>
            </w:r>
            <w:r>
              <w:rPr>
                <w:color w:val="105C84"/>
                <w:sz w:val="18"/>
              </w:rPr>
              <w:t>policy</w:t>
            </w:r>
            <w:r>
              <w:rPr>
                <w:color w:val="105C84"/>
                <w:spacing w:val="1"/>
                <w:sz w:val="18"/>
              </w:rPr>
              <w:t> </w:t>
            </w:r>
            <w:r>
              <w:rPr>
                <w:color w:val="105C84"/>
                <w:sz w:val="18"/>
              </w:rPr>
              <w:t>in</w:t>
            </w:r>
            <w:r>
              <w:rPr>
                <w:color w:val="105C84"/>
                <w:spacing w:val="2"/>
                <w:sz w:val="18"/>
              </w:rPr>
              <w:t> </w:t>
            </w:r>
            <w:r>
              <w:rPr>
                <w:color w:val="105C84"/>
                <w:spacing w:val="-2"/>
                <w:sz w:val="18"/>
              </w:rPr>
              <w:t>schools</w:t>
            </w:r>
          </w:p>
          <w:p>
            <w:pPr>
              <w:pStyle w:val="TableParagraph"/>
              <w:spacing w:line="232" w:lineRule="auto" w:before="1"/>
              <w:ind w:left="86" w:right="127"/>
              <w:rPr>
                <w:sz w:val="18"/>
              </w:rPr>
            </w:pPr>
            <w:r>
              <w:rPr>
                <w:color w:val="105C84"/>
                <w:sz w:val="18"/>
              </w:rPr>
              <w:t>Schools</w:t>
            </w:r>
            <w:r>
              <w:rPr>
                <w:color w:val="105C84"/>
                <w:spacing w:val="-9"/>
                <w:sz w:val="18"/>
              </w:rPr>
              <w:t> </w:t>
            </w:r>
            <w:r>
              <w:rPr>
                <w:color w:val="105C84"/>
                <w:sz w:val="18"/>
              </w:rPr>
              <w:t>-</w:t>
            </w:r>
            <w:r>
              <w:rPr>
                <w:color w:val="105C84"/>
                <w:spacing w:val="-9"/>
                <w:sz w:val="18"/>
              </w:rPr>
              <w:t> </w:t>
            </w:r>
            <w:r>
              <w:rPr>
                <w:color w:val="105C84"/>
                <w:sz w:val="18"/>
              </w:rPr>
              <w:t>staff</w:t>
            </w:r>
            <w:r>
              <w:rPr>
                <w:color w:val="105C84"/>
                <w:spacing w:val="-9"/>
                <w:sz w:val="18"/>
              </w:rPr>
              <w:t> </w:t>
            </w:r>
            <w:r>
              <w:rPr>
                <w:color w:val="105C84"/>
                <w:sz w:val="18"/>
              </w:rPr>
              <w:t>attend</w:t>
            </w:r>
            <w:r>
              <w:rPr>
                <w:color w:val="105C84"/>
                <w:spacing w:val="-9"/>
                <w:sz w:val="18"/>
              </w:rPr>
              <w:t> </w:t>
            </w:r>
            <w:r>
              <w:rPr>
                <w:color w:val="105C84"/>
                <w:sz w:val="18"/>
              </w:rPr>
              <w:t>training and implement approaches/ </w:t>
            </w:r>
            <w:r>
              <w:rPr>
                <w:color w:val="105C84"/>
                <w:spacing w:val="-2"/>
                <w:sz w:val="18"/>
              </w:rPr>
              <w:t>policies</w:t>
            </w:r>
          </w:p>
        </w:tc>
        <w:tc>
          <w:tcPr>
            <w:tcW w:w="2551" w:type="dxa"/>
          </w:tcPr>
          <w:p>
            <w:pPr>
              <w:pStyle w:val="TableParagraph"/>
              <w:spacing w:line="232" w:lineRule="auto" w:before="100"/>
              <w:ind w:left="85" w:right="25"/>
              <w:rPr>
                <w:sz w:val="18"/>
              </w:rPr>
            </w:pPr>
            <w:r>
              <w:rPr>
                <w:color w:val="105C84"/>
                <w:sz w:val="18"/>
              </w:rPr>
              <w:t>At least 2 new organizations implementing Trauma Informed policies and Approaches</w:t>
            </w:r>
            <w:r>
              <w:rPr>
                <w:color w:val="105C84"/>
                <w:spacing w:val="-10"/>
                <w:sz w:val="18"/>
              </w:rPr>
              <w:t> </w:t>
            </w:r>
            <w:r>
              <w:rPr>
                <w:color w:val="105C84"/>
                <w:sz w:val="18"/>
              </w:rPr>
              <w:t>by</w:t>
            </w:r>
            <w:r>
              <w:rPr>
                <w:color w:val="105C84"/>
                <w:spacing w:val="-10"/>
                <w:sz w:val="18"/>
              </w:rPr>
              <w:t> </w:t>
            </w:r>
            <w:r>
              <w:rPr>
                <w:color w:val="105C84"/>
                <w:sz w:val="18"/>
              </w:rPr>
              <w:t>end</w:t>
            </w:r>
            <w:r>
              <w:rPr>
                <w:color w:val="105C84"/>
                <w:spacing w:val="-10"/>
                <w:sz w:val="18"/>
              </w:rPr>
              <w:t> </w:t>
            </w:r>
            <w:r>
              <w:rPr>
                <w:color w:val="105C84"/>
                <w:sz w:val="18"/>
              </w:rPr>
              <w:t>of</w:t>
            </w:r>
            <w:r>
              <w:rPr>
                <w:color w:val="105C84"/>
                <w:spacing w:val="-10"/>
                <w:sz w:val="18"/>
              </w:rPr>
              <w:t> </w:t>
            </w:r>
            <w:r>
              <w:rPr>
                <w:color w:val="105C84"/>
                <w:sz w:val="18"/>
              </w:rPr>
              <w:t>year</w:t>
            </w:r>
            <w:r>
              <w:rPr>
                <w:color w:val="105C84"/>
                <w:spacing w:val="-10"/>
                <w:sz w:val="18"/>
              </w:rPr>
              <w:t> </w:t>
            </w:r>
            <w:r>
              <w:rPr>
                <w:color w:val="105C84"/>
                <w:sz w:val="18"/>
              </w:rPr>
              <w:t>3</w:t>
            </w:r>
          </w:p>
        </w:tc>
      </w:tr>
      <w:tr>
        <w:trPr>
          <w:trHeight w:val="3240" w:hRule="atLeast"/>
        </w:trPr>
        <w:tc>
          <w:tcPr>
            <w:tcW w:w="1245" w:type="dxa"/>
            <w:vMerge/>
            <w:tcBorders>
              <w:top w:val="nil"/>
            </w:tcBorders>
            <w:shd w:val="clear" w:color="auto" w:fill="E6E7E8"/>
          </w:tcPr>
          <w:p>
            <w:pPr>
              <w:rPr>
                <w:sz w:val="2"/>
                <w:szCs w:val="2"/>
              </w:rPr>
            </w:pPr>
          </w:p>
        </w:tc>
        <w:tc>
          <w:tcPr>
            <w:tcW w:w="1289" w:type="dxa"/>
            <w:vMerge/>
            <w:tcBorders>
              <w:top w:val="nil"/>
            </w:tcBorders>
          </w:tcPr>
          <w:p>
            <w:pPr>
              <w:rPr>
                <w:sz w:val="2"/>
                <w:szCs w:val="2"/>
              </w:rPr>
            </w:pPr>
          </w:p>
        </w:tc>
        <w:tc>
          <w:tcPr>
            <w:tcW w:w="1498" w:type="dxa"/>
          </w:tcPr>
          <w:p>
            <w:pPr>
              <w:pStyle w:val="TableParagraph"/>
              <w:spacing w:line="232" w:lineRule="auto" w:before="99"/>
              <w:ind w:left="90" w:right="156"/>
              <w:rPr>
                <w:sz w:val="18"/>
              </w:rPr>
            </w:pPr>
            <w:r>
              <w:rPr>
                <w:color w:val="105C84"/>
                <w:spacing w:val="-2"/>
                <w:sz w:val="18"/>
              </w:rPr>
              <w:t>2.3</w:t>
            </w:r>
            <w:r>
              <w:rPr>
                <w:color w:val="105C84"/>
                <w:spacing w:val="-13"/>
                <w:sz w:val="18"/>
              </w:rPr>
              <w:t> </w:t>
            </w:r>
            <w:r>
              <w:rPr>
                <w:color w:val="105C84"/>
                <w:spacing w:val="-2"/>
                <w:sz w:val="18"/>
              </w:rPr>
              <w:t>Prevent</w:t>
            </w:r>
            <w:r>
              <w:rPr>
                <w:color w:val="105C84"/>
                <w:spacing w:val="-10"/>
                <w:sz w:val="18"/>
              </w:rPr>
              <w:t> </w:t>
            </w:r>
            <w:r>
              <w:rPr>
                <w:color w:val="105C84"/>
                <w:spacing w:val="-2"/>
                <w:sz w:val="18"/>
              </w:rPr>
              <w:t>an</w:t>
            </w:r>
            <w:r>
              <w:rPr>
                <w:color w:val="105C84"/>
                <w:spacing w:val="-2"/>
                <w:sz w:val="18"/>
              </w:rPr>
              <w:t>d</w:t>
            </w:r>
            <w:r>
              <w:rPr>
                <w:color w:val="105C84"/>
                <w:spacing w:val="-2"/>
                <w:sz w:val="18"/>
              </w:rPr>
              <w:t> </w:t>
            </w:r>
            <w:r>
              <w:rPr>
                <w:color w:val="105C84"/>
                <w:sz w:val="18"/>
              </w:rPr>
              <w:t>Address</w:t>
            </w:r>
            <w:r>
              <w:rPr>
                <w:color w:val="105C84"/>
                <w:spacing w:val="-4"/>
                <w:sz w:val="18"/>
              </w:rPr>
              <w:t> </w:t>
            </w:r>
            <w:r>
              <w:rPr>
                <w:color w:val="105C84"/>
                <w:sz w:val="18"/>
              </w:rPr>
              <w:t>ACES</w:t>
            </w:r>
          </w:p>
        </w:tc>
        <w:tc>
          <w:tcPr>
            <w:tcW w:w="2067" w:type="dxa"/>
          </w:tcPr>
          <w:p>
            <w:pPr>
              <w:pStyle w:val="TableParagraph"/>
              <w:spacing w:line="203" w:lineRule="exact" w:before="94"/>
              <w:ind w:left="89"/>
              <w:rPr>
                <w:sz w:val="18"/>
              </w:rPr>
            </w:pPr>
            <w:r>
              <w:rPr>
                <w:color w:val="105C84"/>
                <w:spacing w:val="-6"/>
                <w:sz w:val="18"/>
              </w:rPr>
              <w:t>2.3.3</w:t>
            </w:r>
            <w:r>
              <w:rPr>
                <w:color w:val="105C84"/>
                <w:spacing w:val="-5"/>
                <w:sz w:val="18"/>
              </w:rPr>
              <w:t> </w:t>
            </w:r>
            <w:r>
              <w:rPr>
                <w:color w:val="105C84"/>
                <w:spacing w:val="-6"/>
                <w:sz w:val="18"/>
              </w:rPr>
              <w:t>By</w:t>
            </w:r>
            <w:r>
              <w:rPr>
                <w:color w:val="105C84"/>
                <w:spacing w:val="-4"/>
                <w:sz w:val="18"/>
              </w:rPr>
              <w:t> </w:t>
            </w:r>
            <w:r>
              <w:rPr>
                <w:color w:val="105C84"/>
                <w:spacing w:val="-6"/>
                <w:sz w:val="18"/>
              </w:rPr>
              <w:t>December</w:t>
            </w:r>
          </w:p>
          <w:p>
            <w:pPr>
              <w:pStyle w:val="TableParagraph"/>
              <w:spacing w:line="232" w:lineRule="auto" w:before="2"/>
              <w:ind w:left="89" w:right="136"/>
              <w:rPr>
                <w:sz w:val="18"/>
              </w:rPr>
            </w:pPr>
            <w:r>
              <w:rPr>
                <w:color w:val="105C84"/>
                <w:sz w:val="18"/>
              </w:rPr>
              <w:t>2021, increase communities</w:t>
            </w:r>
            <w:r>
              <w:rPr>
                <w:color w:val="105C84"/>
                <w:spacing w:val="-13"/>
                <w:sz w:val="18"/>
              </w:rPr>
              <w:t> </w:t>
            </w:r>
            <w:r>
              <w:rPr>
                <w:color w:val="105C84"/>
                <w:sz w:val="18"/>
              </w:rPr>
              <w:t>reached by opportunities to build resilience by at least 10%</w:t>
            </w:r>
          </w:p>
        </w:tc>
        <w:tc>
          <w:tcPr>
            <w:tcW w:w="1239" w:type="dxa"/>
            <w:vMerge/>
            <w:tcBorders>
              <w:top w:val="nil"/>
            </w:tcBorders>
          </w:tcPr>
          <w:p>
            <w:pPr>
              <w:rPr>
                <w:sz w:val="2"/>
                <w:szCs w:val="2"/>
              </w:rPr>
            </w:pPr>
          </w:p>
        </w:tc>
        <w:tc>
          <w:tcPr>
            <w:tcW w:w="3863" w:type="dxa"/>
            <w:tcBorders>
              <w:right w:val="nil"/>
            </w:tcBorders>
          </w:tcPr>
          <w:p>
            <w:pPr>
              <w:pStyle w:val="TableParagraph"/>
              <w:spacing w:line="232" w:lineRule="auto" w:before="99"/>
              <w:ind w:left="88" w:right="1072"/>
              <w:rPr>
                <w:sz w:val="18"/>
              </w:rPr>
            </w:pPr>
            <w:r>
              <w:rPr>
                <w:color w:val="105C84"/>
                <w:sz w:val="18"/>
              </w:rPr>
              <w:t>2.3.1 Integrate principles of trauma-informat approach in governance and leadership, policy, physical environment, engagement and involvement, cross sector collaboration, screening, assessment and treatment services, training and workforce</w:t>
            </w:r>
            <w:r>
              <w:rPr>
                <w:color w:val="105C84"/>
                <w:spacing w:val="-2"/>
                <w:sz w:val="18"/>
              </w:rPr>
              <w:t> </w:t>
            </w:r>
            <w:r>
              <w:rPr>
                <w:color w:val="105C84"/>
                <w:sz w:val="18"/>
              </w:rPr>
              <w:t>development,</w:t>
            </w:r>
            <w:r>
              <w:rPr>
                <w:color w:val="105C84"/>
                <w:spacing w:val="-2"/>
                <w:sz w:val="18"/>
              </w:rPr>
              <w:t> </w:t>
            </w:r>
            <w:r>
              <w:rPr>
                <w:color w:val="105C84"/>
                <w:sz w:val="18"/>
              </w:rPr>
              <w:t>progress monitoring</w:t>
            </w:r>
            <w:r>
              <w:rPr>
                <w:color w:val="105C84"/>
                <w:spacing w:val="-12"/>
                <w:sz w:val="18"/>
              </w:rPr>
              <w:t> </w:t>
            </w:r>
            <w:r>
              <w:rPr>
                <w:color w:val="105C84"/>
                <w:sz w:val="18"/>
              </w:rPr>
              <w:t>and</w:t>
            </w:r>
            <w:r>
              <w:rPr>
                <w:color w:val="105C84"/>
                <w:spacing w:val="-12"/>
                <w:sz w:val="18"/>
              </w:rPr>
              <w:t> </w:t>
            </w:r>
            <w:r>
              <w:rPr>
                <w:color w:val="105C84"/>
                <w:sz w:val="18"/>
              </w:rPr>
              <w:t>quality</w:t>
            </w:r>
            <w:r>
              <w:rPr>
                <w:color w:val="105C84"/>
                <w:spacing w:val="-12"/>
                <w:sz w:val="18"/>
              </w:rPr>
              <w:t> </w:t>
            </w:r>
            <w:r>
              <w:rPr>
                <w:color w:val="105C84"/>
                <w:sz w:val="18"/>
              </w:rPr>
              <w:t>assurance,</w:t>
            </w:r>
            <w:r>
              <w:rPr>
                <w:color w:val="105C84"/>
                <w:sz w:val="18"/>
              </w:rPr>
              <w:t> financing and evaluation</w:t>
            </w:r>
          </w:p>
          <w:p>
            <w:pPr>
              <w:pStyle w:val="TableParagraph"/>
              <w:spacing w:line="232" w:lineRule="auto" w:before="82"/>
              <w:ind w:left="88" w:right="1058"/>
              <w:rPr>
                <w:sz w:val="18"/>
              </w:rPr>
            </w:pPr>
            <w:r>
              <w:rPr>
                <w:color w:val="105C84"/>
                <w:sz w:val="18"/>
              </w:rPr>
              <w:t>2.3.3 Grow resilient communities through education, </w:t>
            </w:r>
            <w:r>
              <w:rPr>
                <w:color w:val="105C84"/>
                <w:sz w:val="18"/>
              </w:rPr>
              <w:t>engagement,</w:t>
            </w:r>
            <w:r>
              <w:rPr>
                <w:color w:val="105C84"/>
                <w:sz w:val="18"/>
              </w:rPr>
              <w:t> activation/mobilization and </w:t>
            </w:r>
            <w:r>
              <w:rPr>
                <w:color w:val="105C84"/>
                <w:spacing w:val="-2"/>
                <w:sz w:val="18"/>
              </w:rPr>
              <w:t>celebration</w:t>
            </w:r>
          </w:p>
        </w:tc>
        <w:tc>
          <w:tcPr>
            <w:tcW w:w="3886" w:type="dxa"/>
            <w:tcBorders>
              <w:left w:val="nil"/>
            </w:tcBorders>
          </w:tcPr>
          <w:p>
            <w:pPr>
              <w:pStyle w:val="TableParagraph"/>
              <w:spacing w:before="94"/>
              <w:ind w:left="1050"/>
              <w:rPr>
                <w:sz w:val="18"/>
              </w:rPr>
            </w:pPr>
            <w:r>
              <w:rPr>
                <w:color w:val="105C84"/>
                <w:sz w:val="18"/>
              </w:rPr>
              <w:t>Number</w:t>
            </w:r>
            <w:r>
              <w:rPr>
                <w:color w:val="105C84"/>
                <w:spacing w:val="10"/>
                <w:sz w:val="18"/>
              </w:rPr>
              <w:t> </w:t>
            </w:r>
            <w:r>
              <w:rPr>
                <w:color w:val="105C84"/>
                <w:sz w:val="18"/>
              </w:rPr>
              <w:t>of</w:t>
            </w:r>
            <w:r>
              <w:rPr>
                <w:color w:val="105C84"/>
                <w:spacing w:val="10"/>
                <w:sz w:val="18"/>
              </w:rPr>
              <w:t> </w:t>
            </w:r>
            <w:r>
              <w:rPr>
                <w:color w:val="105C84"/>
                <w:spacing w:val="-2"/>
                <w:sz w:val="18"/>
              </w:rPr>
              <w:t>sessions</w:t>
            </w:r>
          </w:p>
          <w:p>
            <w:pPr>
              <w:pStyle w:val="TableParagraph"/>
              <w:spacing w:line="336" w:lineRule="auto" w:before="83"/>
              <w:ind w:left="1050"/>
              <w:rPr>
                <w:sz w:val="18"/>
              </w:rPr>
            </w:pPr>
            <w:r>
              <w:rPr>
                <w:color w:val="105C84"/>
                <w:sz w:val="18"/>
              </w:rPr>
              <w:t>Number</w:t>
            </w:r>
            <w:r>
              <w:rPr>
                <w:color w:val="105C84"/>
                <w:spacing w:val="-6"/>
                <w:sz w:val="18"/>
              </w:rPr>
              <w:t> </w:t>
            </w:r>
            <w:r>
              <w:rPr>
                <w:color w:val="105C84"/>
                <w:sz w:val="18"/>
              </w:rPr>
              <w:t>of</w:t>
            </w:r>
            <w:r>
              <w:rPr>
                <w:color w:val="105C84"/>
                <w:spacing w:val="-6"/>
                <w:sz w:val="18"/>
              </w:rPr>
              <w:t> </w:t>
            </w:r>
            <w:r>
              <w:rPr>
                <w:color w:val="105C84"/>
                <w:sz w:val="18"/>
              </w:rPr>
              <w:t>Schools</w:t>
            </w:r>
            <w:r>
              <w:rPr>
                <w:color w:val="105C84"/>
                <w:spacing w:val="-6"/>
                <w:sz w:val="18"/>
              </w:rPr>
              <w:t> </w:t>
            </w:r>
            <w:r>
              <w:rPr>
                <w:color w:val="105C84"/>
                <w:sz w:val="18"/>
              </w:rPr>
              <w:t>Participating Number of Participants</w:t>
            </w:r>
          </w:p>
          <w:p>
            <w:pPr>
              <w:pStyle w:val="TableParagraph"/>
              <w:ind w:left="1050"/>
              <w:rPr>
                <w:sz w:val="18"/>
              </w:rPr>
            </w:pPr>
            <w:r>
              <w:rPr>
                <w:color w:val="105C84"/>
                <w:sz w:val="18"/>
              </w:rPr>
              <w:t>Amount</w:t>
            </w:r>
            <w:r>
              <w:rPr>
                <w:color w:val="105C84"/>
                <w:spacing w:val="2"/>
                <w:sz w:val="18"/>
              </w:rPr>
              <w:t> </w:t>
            </w:r>
            <w:r>
              <w:rPr>
                <w:color w:val="105C84"/>
                <w:sz w:val="18"/>
              </w:rPr>
              <w:t>of</w:t>
            </w:r>
            <w:r>
              <w:rPr>
                <w:color w:val="105C84"/>
                <w:spacing w:val="3"/>
                <w:sz w:val="18"/>
              </w:rPr>
              <w:t> </w:t>
            </w:r>
            <w:r>
              <w:rPr>
                <w:color w:val="105C84"/>
                <w:sz w:val="18"/>
              </w:rPr>
              <w:t>materials</w:t>
            </w:r>
            <w:r>
              <w:rPr>
                <w:color w:val="105C84"/>
                <w:spacing w:val="3"/>
                <w:sz w:val="18"/>
              </w:rPr>
              <w:t> </w:t>
            </w:r>
            <w:r>
              <w:rPr>
                <w:color w:val="105C84"/>
                <w:spacing w:val="-2"/>
                <w:sz w:val="18"/>
              </w:rPr>
              <w:t>distributed</w:t>
            </w:r>
          </w:p>
          <w:p>
            <w:pPr>
              <w:pStyle w:val="TableParagraph"/>
              <w:spacing w:line="232" w:lineRule="auto" w:before="88"/>
              <w:ind w:left="1050"/>
              <w:rPr>
                <w:sz w:val="18"/>
              </w:rPr>
            </w:pPr>
            <w:r>
              <w:rPr>
                <w:color w:val="105C84"/>
                <w:spacing w:val="-2"/>
                <w:sz w:val="18"/>
              </w:rPr>
              <w:t>Presentations</w:t>
            </w:r>
            <w:r>
              <w:rPr>
                <w:color w:val="105C84"/>
                <w:spacing w:val="-4"/>
                <w:sz w:val="18"/>
              </w:rPr>
              <w:t> </w:t>
            </w:r>
            <w:r>
              <w:rPr>
                <w:color w:val="105C84"/>
                <w:spacing w:val="-2"/>
                <w:sz w:val="18"/>
              </w:rPr>
              <w:t>and</w:t>
            </w:r>
            <w:r>
              <w:rPr>
                <w:color w:val="105C84"/>
                <w:spacing w:val="-4"/>
                <w:sz w:val="18"/>
              </w:rPr>
              <w:t> </w:t>
            </w:r>
            <w:r>
              <w:rPr>
                <w:color w:val="105C84"/>
                <w:spacing w:val="-2"/>
                <w:sz w:val="18"/>
              </w:rPr>
              <w:t>trainings conducted</w:t>
            </w:r>
          </w:p>
          <w:p>
            <w:pPr>
              <w:pStyle w:val="TableParagraph"/>
              <w:spacing w:before="84"/>
              <w:ind w:left="1050"/>
              <w:rPr>
                <w:sz w:val="18"/>
              </w:rPr>
            </w:pPr>
            <w:r>
              <w:rPr>
                <w:color w:val="105C84"/>
                <w:sz w:val="18"/>
              </w:rPr>
              <w:t>Number</w:t>
            </w:r>
            <w:r>
              <w:rPr>
                <w:color w:val="105C84"/>
                <w:spacing w:val="8"/>
                <w:sz w:val="18"/>
              </w:rPr>
              <w:t> </w:t>
            </w:r>
            <w:r>
              <w:rPr>
                <w:color w:val="105C84"/>
                <w:sz w:val="18"/>
              </w:rPr>
              <w:t>of</w:t>
            </w:r>
            <w:r>
              <w:rPr>
                <w:color w:val="105C84"/>
                <w:spacing w:val="9"/>
                <w:sz w:val="18"/>
              </w:rPr>
              <w:t> </w:t>
            </w:r>
            <w:r>
              <w:rPr>
                <w:color w:val="105C84"/>
                <w:sz w:val="18"/>
              </w:rPr>
              <w:t>policy</w:t>
            </w:r>
            <w:r>
              <w:rPr>
                <w:color w:val="105C84"/>
                <w:spacing w:val="9"/>
                <w:sz w:val="18"/>
              </w:rPr>
              <w:t> </w:t>
            </w:r>
            <w:r>
              <w:rPr>
                <w:color w:val="105C84"/>
                <w:spacing w:val="-2"/>
                <w:sz w:val="18"/>
              </w:rPr>
              <w:t>changes</w:t>
            </w:r>
          </w:p>
          <w:p>
            <w:pPr>
              <w:pStyle w:val="TableParagraph"/>
              <w:spacing w:line="232" w:lineRule="auto" w:before="88"/>
              <w:ind w:left="1050"/>
              <w:rPr>
                <w:sz w:val="18"/>
              </w:rPr>
            </w:pPr>
            <w:r>
              <w:rPr>
                <w:color w:val="105C84"/>
                <w:sz w:val="18"/>
              </w:rPr>
              <w:t>(Baseline: Administration in 4 schools</w:t>
            </w:r>
            <w:r>
              <w:rPr>
                <w:color w:val="105C84"/>
                <w:spacing w:val="-15"/>
                <w:sz w:val="18"/>
              </w:rPr>
              <w:t> </w:t>
            </w:r>
            <w:r>
              <w:rPr>
                <w:color w:val="105C84"/>
                <w:sz w:val="18"/>
              </w:rPr>
              <w:t>received</w:t>
            </w:r>
            <w:r>
              <w:rPr>
                <w:color w:val="105C84"/>
                <w:spacing w:val="-12"/>
                <w:sz w:val="18"/>
              </w:rPr>
              <w:t> </w:t>
            </w:r>
            <w:r>
              <w:rPr>
                <w:color w:val="105C84"/>
                <w:sz w:val="18"/>
              </w:rPr>
              <w:t>training</w:t>
            </w:r>
            <w:r>
              <w:rPr>
                <w:color w:val="105C84"/>
                <w:spacing w:val="-13"/>
                <w:sz w:val="18"/>
              </w:rPr>
              <w:t> </w:t>
            </w:r>
            <w:r>
              <w:rPr>
                <w:color w:val="105C84"/>
                <w:sz w:val="18"/>
              </w:rPr>
              <w:t>in</w:t>
            </w:r>
            <w:r>
              <w:rPr>
                <w:color w:val="105C84"/>
                <w:spacing w:val="-12"/>
                <w:sz w:val="18"/>
              </w:rPr>
              <w:t> </w:t>
            </w:r>
            <w:r>
              <w:rPr>
                <w:color w:val="105C84"/>
                <w:sz w:val="18"/>
              </w:rPr>
              <w:t>ACE's information (Avon, Keshequa, Dansville, Mt.Morris) – 2018 TIC/ </w:t>
            </w:r>
            <w:r>
              <w:rPr>
                <w:color w:val="105C84"/>
                <w:spacing w:val="-2"/>
                <w:sz w:val="18"/>
              </w:rPr>
              <w:t>GVHP)</w:t>
            </w:r>
          </w:p>
        </w:tc>
        <w:tc>
          <w:tcPr>
            <w:tcW w:w="1851" w:type="dxa"/>
          </w:tcPr>
          <w:p>
            <w:pPr>
              <w:pStyle w:val="TableParagraph"/>
              <w:spacing w:line="232" w:lineRule="auto" w:before="99"/>
              <w:ind w:left="86" w:right="318"/>
              <w:rPr>
                <w:sz w:val="18"/>
              </w:rPr>
            </w:pPr>
            <w:r>
              <w:rPr>
                <w:color w:val="105C84"/>
                <w:spacing w:val="-2"/>
                <w:sz w:val="18"/>
              </w:rPr>
              <w:t>GVHP/Trauma Informed Committee</w:t>
            </w:r>
            <w:r>
              <w:rPr>
                <w:color w:val="105C84"/>
                <w:spacing w:val="-11"/>
                <w:sz w:val="18"/>
              </w:rPr>
              <w:t> </w:t>
            </w:r>
            <w:r>
              <w:rPr>
                <w:color w:val="105C84"/>
                <w:spacing w:val="-2"/>
                <w:sz w:val="18"/>
              </w:rPr>
              <w:t>(TIC)</w:t>
            </w:r>
          </w:p>
          <w:p>
            <w:pPr>
              <w:pStyle w:val="TableParagraph"/>
              <w:spacing w:before="82"/>
              <w:ind w:left="86"/>
              <w:rPr>
                <w:sz w:val="18"/>
              </w:rPr>
            </w:pPr>
            <w:r>
              <w:rPr>
                <w:color w:val="105C84"/>
                <w:spacing w:val="-6"/>
                <w:sz w:val="18"/>
              </w:rPr>
              <w:t>CASA-</w:t>
            </w:r>
            <w:r>
              <w:rPr>
                <w:color w:val="105C84"/>
                <w:spacing w:val="-2"/>
                <w:sz w:val="18"/>
              </w:rPr>
              <w:t>Trinity</w:t>
            </w:r>
          </w:p>
          <w:p>
            <w:pPr>
              <w:pStyle w:val="TableParagraph"/>
              <w:spacing w:line="232" w:lineRule="auto" w:before="88"/>
              <w:ind w:left="86" w:right="325"/>
              <w:jc w:val="both"/>
              <w:rPr>
                <w:sz w:val="18"/>
              </w:rPr>
            </w:pPr>
            <w:r>
              <w:rPr>
                <w:color w:val="105C84"/>
                <w:sz w:val="18"/>
              </w:rPr>
              <w:t>Trauma Informed Care</w:t>
            </w:r>
            <w:r>
              <w:rPr>
                <w:color w:val="105C84"/>
                <w:spacing w:val="-11"/>
                <w:sz w:val="18"/>
              </w:rPr>
              <w:t> </w:t>
            </w:r>
            <w:r>
              <w:rPr>
                <w:color w:val="105C84"/>
                <w:sz w:val="18"/>
              </w:rPr>
              <w:t>Champions/ </w:t>
            </w:r>
            <w:r>
              <w:rPr>
                <w:color w:val="105C84"/>
                <w:spacing w:val="-2"/>
                <w:sz w:val="18"/>
              </w:rPr>
              <w:t>Agencies/Schools</w:t>
            </w:r>
          </w:p>
        </w:tc>
        <w:tc>
          <w:tcPr>
            <w:tcW w:w="2693" w:type="dxa"/>
          </w:tcPr>
          <w:p>
            <w:pPr>
              <w:pStyle w:val="TableParagraph"/>
              <w:spacing w:line="232" w:lineRule="auto" w:before="99"/>
              <w:ind w:left="86" w:right="204"/>
              <w:jc w:val="both"/>
              <w:rPr>
                <w:sz w:val="18"/>
              </w:rPr>
            </w:pPr>
            <w:r>
              <w:rPr>
                <w:color w:val="105C84"/>
                <w:sz w:val="18"/>
              </w:rPr>
              <w:t>GVHP/TIC</w:t>
            </w:r>
            <w:r>
              <w:rPr>
                <w:color w:val="105C84"/>
                <w:spacing w:val="-7"/>
                <w:sz w:val="18"/>
              </w:rPr>
              <w:t> </w:t>
            </w:r>
            <w:r>
              <w:rPr>
                <w:color w:val="105C84"/>
                <w:sz w:val="18"/>
              </w:rPr>
              <w:t>to</w:t>
            </w:r>
            <w:r>
              <w:rPr>
                <w:color w:val="105C84"/>
                <w:spacing w:val="-7"/>
                <w:sz w:val="18"/>
              </w:rPr>
              <w:t> </w:t>
            </w:r>
            <w:r>
              <w:rPr>
                <w:color w:val="105C84"/>
                <w:sz w:val="18"/>
              </w:rPr>
              <w:t>conduct</w:t>
            </w:r>
            <w:r>
              <w:rPr>
                <w:color w:val="105C84"/>
                <w:spacing w:val="-7"/>
                <w:sz w:val="18"/>
              </w:rPr>
              <w:t> </w:t>
            </w:r>
            <w:r>
              <w:rPr>
                <w:color w:val="105C84"/>
                <w:sz w:val="18"/>
              </w:rPr>
              <w:t>training and provide technical support </w:t>
            </w:r>
            <w:r>
              <w:rPr>
                <w:color w:val="105C84"/>
                <w:spacing w:val="-2"/>
                <w:sz w:val="18"/>
              </w:rPr>
              <w:t>agencies/schools</w:t>
            </w:r>
          </w:p>
          <w:p>
            <w:pPr>
              <w:pStyle w:val="TableParagraph"/>
              <w:spacing w:before="82"/>
              <w:ind w:left="86"/>
              <w:jc w:val="both"/>
              <w:rPr>
                <w:sz w:val="18"/>
              </w:rPr>
            </w:pPr>
            <w:r>
              <w:rPr>
                <w:color w:val="105C84"/>
                <w:spacing w:val="-7"/>
                <w:sz w:val="18"/>
              </w:rPr>
              <w:t>GVHP-</w:t>
            </w:r>
            <w:r>
              <w:rPr>
                <w:color w:val="105C84"/>
                <w:spacing w:val="-4"/>
                <w:sz w:val="18"/>
              </w:rPr>
              <w:t> </w:t>
            </w:r>
            <w:r>
              <w:rPr>
                <w:color w:val="105C84"/>
                <w:spacing w:val="-2"/>
                <w:sz w:val="18"/>
              </w:rPr>
              <w:t>$10,000</w:t>
            </w:r>
          </w:p>
          <w:p>
            <w:pPr>
              <w:pStyle w:val="TableParagraph"/>
              <w:spacing w:line="232" w:lineRule="auto" w:before="88"/>
              <w:ind w:left="86"/>
              <w:rPr>
                <w:sz w:val="18"/>
              </w:rPr>
            </w:pPr>
            <w:r>
              <w:rPr>
                <w:color w:val="105C84"/>
                <w:sz w:val="18"/>
              </w:rPr>
              <w:t>CASA-Trinity</w:t>
            </w:r>
            <w:r>
              <w:rPr>
                <w:color w:val="105C84"/>
                <w:spacing w:val="-13"/>
                <w:sz w:val="18"/>
              </w:rPr>
              <w:t> </w:t>
            </w:r>
            <w:r>
              <w:rPr>
                <w:color w:val="105C84"/>
                <w:sz w:val="18"/>
              </w:rPr>
              <w:t>to</w:t>
            </w:r>
            <w:r>
              <w:rPr>
                <w:color w:val="105C84"/>
                <w:spacing w:val="-12"/>
                <w:sz w:val="18"/>
              </w:rPr>
              <w:t> </w:t>
            </w:r>
            <w:r>
              <w:rPr>
                <w:color w:val="105C84"/>
                <w:sz w:val="18"/>
              </w:rPr>
              <w:t>coordinate</w:t>
            </w:r>
            <w:r>
              <w:rPr>
                <w:color w:val="105C84"/>
                <w:spacing w:val="-13"/>
                <w:sz w:val="18"/>
              </w:rPr>
              <w:t> </w:t>
            </w:r>
            <w:r>
              <w:rPr>
                <w:color w:val="105C84"/>
                <w:sz w:val="18"/>
              </w:rPr>
              <w:t>TIC </w:t>
            </w:r>
            <w:r>
              <w:rPr>
                <w:color w:val="105C84"/>
                <w:spacing w:val="-2"/>
                <w:sz w:val="18"/>
              </w:rPr>
              <w:t>workplan</w:t>
            </w:r>
          </w:p>
          <w:p>
            <w:pPr>
              <w:pStyle w:val="TableParagraph"/>
              <w:spacing w:line="232" w:lineRule="auto" w:before="89"/>
              <w:ind w:left="86" w:right="127"/>
              <w:rPr>
                <w:sz w:val="18"/>
              </w:rPr>
            </w:pPr>
            <w:r>
              <w:rPr>
                <w:color w:val="105C84"/>
                <w:sz w:val="18"/>
              </w:rPr>
              <w:t>Trauma Informed Care </w:t>
            </w:r>
            <w:r>
              <w:rPr>
                <w:color w:val="105C84"/>
                <w:spacing w:val="-2"/>
                <w:sz w:val="18"/>
              </w:rPr>
              <w:t>Champions/Agencies/Schools </w:t>
            </w:r>
            <w:r>
              <w:rPr>
                <w:color w:val="105C84"/>
                <w:sz w:val="18"/>
              </w:rPr>
              <w:t>to collaborate with TIC to integrate trauma informed approaches</w:t>
            </w:r>
            <w:r>
              <w:rPr>
                <w:color w:val="105C84"/>
                <w:spacing w:val="-11"/>
                <w:sz w:val="18"/>
              </w:rPr>
              <w:t> </w:t>
            </w:r>
            <w:r>
              <w:rPr>
                <w:color w:val="105C84"/>
                <w:sz w:val="18"/>
              </w:rPr>
              <w:t>via</w:t>
            </w:r>
            <w:r>
              <w:rPr>
                <w:color w:val="105C84"/>
                <w:spacing w:val="-11"/>
                <w:sz w:val="18"/>
              </w:rPr>
              <w:t> </w:t>
            </w:r>
            <w:r>
              <w:rPr>
                <w:color w:val="105C84"/>
                <w:sz w:val="18"/>
              </w:rPr>
              <w:t>practice/policy </w:t>
            </w:r>
            <w:r>
              <w:rPr>
                <w:color w:val="105C84"/>
                <w:spacing w:val="-2"/>
                <w:sz w:val="18"/>
              </w:rPr>
              <w:t>changes</w:t>
            </w:r>
          </w:p>
        </w:tc>
        <w:tc>
          <w:tcPr>
            <w:tcW w:w="2551" w:type="dxa"/>
          </w:tcPr>
          <w:p>
            <w:pPr>
              <w:pStyle w:val="TableParagraph"/>
              <w:spacing w:line="232" w:lineRule="auto" w:before="98"/>
              <w:ind w:left="85" w:right="213"/>
              <w:jc w:val="both"/>
              <w:rPr>
                <w:sz w:val="18"/>
              </w:rPr>
            </w:pPr>
            <w:r>
              <w:rPr>
                <w:color w:val="105C84"/>
                <w:sz w:val="18"/>
              </w:rPr>
              <w:t>A</w:t>
            </w:r>
            <w:r>
              <w:rPr>
                <w:color w:val="105C84"/>
                <w:spacing w:val="-10"/>
                <w:sz w:val="18"/>
              </w:rPr>
              <w:t> </w:t>
            </w:r>
            <w:r>
              <w:rPr>
                <w:color w:val="105C84"/>
                <w:sz w:val="18"/>
              </w:rPr>
              <w:t>minimum</w:t>
            </w:r>
            <w:r>
              <w:rPr>
                <w:color w:val="105C84"/>
                <w:spacing w:val="-10"/>
                <w:sz w:val="18"/>
              </w:rPr>
              <w:t> </w:t>
            </w:r>
            <w:r>
              <w:rPr>
                <w:color w:val="105C84"/>
                <w:sz w:val="18"/>
              </w:rPr>
              <w:t>of</w:t>
            </w:r>
            <w:r>
              <w:rPr>
                <w:color w:val="105C84"/>
                <w:spacing w:val="-10"/>
                <w:sz w:val="18"/>
              </w:rPr>
              <w:t> </w:t>
            </w:r>
            <w:r>
              <w:rPr>
                <w:color w:val="105C84"/>
                <w:sz w:val="18"/>
              </w:rPr>
              <w:t>10%</w:t>
            </w:r>
            <w:r>
              <w:rPr>
                <w:color w:val="105C84"/>
                <w:spacing w:val="-10"/>
                <w:sz w:val="18"/>
              </w:rPr>
              <w:t> </w:t>
            </w:r>
            <w:r>
              <w:rPr>
                <w:color w:val="105C84"/>
                <w:sz w:val="18"/>
              </w:rPr>
              <w:t>increase </w:t>
            </w:r>
            <w:r>
              <w:rPr>
                <w:color w:val="105C84"/>
                <w:w w:val="105"/>
                <w:sz w:val="18"/>
              </w:rPr>
              <w:t>in</w:t>
            </w:r>
            <w:r>
              <w:rPr>
                <w:color w:val="105C84"/>
                <w:spacing w:val="-14"/>
                <w:w w:val="105"/>
                <w:sz w:val="18"/>
              </w:rPr>
              <w:t> </w:t>
            </w:r>
            <w:r>
              <w:rPr>
                <w:color w:val="105C84"/>
                <w:w w:val="105"/>
                <w:sz w:val="18"/>
              </w:rPr>
              <w:t>the</w:t>
            </w:r>
            <w:r>
              <w:rPr>
                <w:color w:val="105C84"/>
                <w:spacing w:val="-13"/>
                <w:w w:val="105"/>
                <w:sz w:val="18"/>
              </w:rPr>
              <w:t> </w:t>
            </w:r>
            <w:r>
              <w:rPr>
                <w:color w:val="105C84"/>
                <w:w w:val="105"/>
                <w:sz w:val="18"/>
              </w:rPr>
              <w:t>opportunities</w:t>
            </w:r>
            <w:r>
              <w:rPr>
                <w:color w:val="105C84"/>
                <w:spacing w:val="-13"/>
                <w:w w:val="105"/>
                <w:sz w:val="18"/>
              </w:rPr>
              <w:t> </w:t>
            </w:r>
            <w:r>
              <w:rPr>
                <w:color w:val="105C84"/>
                <w:w w:val="105"/>
                <w:sz w:val="18"/>
              </w:rPr>
              <w:t>to</w:t>
            </w:r>
            <w:r>
              <w:rPr>
                <w:color w:val="105C84"/>
                <w:spacing w:val="-13"/>
                <w:w w:val="105"/>
                <w:sz w:val="18"/>
              </w:rPr>
              <w:t> </w:t>
            </w:r>
            <w:r>
              <w:rPr>
                <w:color w:val="105C84"/>
                <w:w w:val="105"/>
                <w:sz w:val="18"/>
              </w:rPr>
              <w:t>build resilience by year 3</w:t>
            </w:r>
          </w:p>
        </w:tc>
      </w:tr>
    </w:tbl>
    <w:p>
      <w:pPr>
        <w:pStyle w:val="BodyText"/>
        <w:spacing w:before="145"/>
        <w:rPr>
          <w:b/>
          <w:sz w:val="26"/>
        </w:rPr>
      </w:pPr>
    </w:p>
    <w:p>
      <w:pPr>
        <w:tabs>
          <w:tab w:pos="23047" w:val="left" w:leader="none"/>
        </w:tabs>
        <w:spacing w:before="1"/>
        <w:ind w:left="0" w:right="0" w:firstLine="0"/>
        <w:jc w:val="left"/>
        <w:rPr>
          <w:b/>
          <w:sz w:val="26"/>
        </w:rPr>
      </w:pPr>
      <w:r>
        <w:rPr>
          <w:position w:val="-4"/>
        </w:rPr>
        <w:drawing>
          <wp:inline distT="0" distB="0" distL="0" distR="0">
            <wp:extent cx="568172" cy="184683"/>
            <wp:effectExtent l="0" t="0" r="0" b="0"/>
            <wp:docPr id="1787" name="Image 1787"/>
            <wp:cNvGraphicFramePr>
              <a:graphicFrameLocks/>
            </wp:cNvGraphicFramePr>
            <a:graphic>
              <a:graphicData uri="http://schemas.openxmlformats.org/drawingml/2006/picture">
                <pic:pic>
                  <pic:nvPicPr>
                    <pic:cNvPr id="1787" name="Image 1787"/>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13"/>
          <w:sz w:val="20"/>
        </w:rPr>
        <w:t> </w:t>
      </w:r>
      <w:r>
        <w:rPr>
          <w:b/>
          <w:color w:val="939598"/>
          <w:w w:val="105"/>
          <w:sz w:val="26"/>
        </w:rPr>
        <w:t>139</w:t>
      </w:r>
      <w:r>
        <w:rPr>
          <w:b/>
          <w:color w:val="939598"/>
          <w:sz w:val="26"/>
        </w:rPr>
        <w:tab/>
      </w:r>
      <w:r>
        <w:rPr>
          <w:b/>
          <w:color w:val="939598"/>
          <w:spacing w:val="-5"/>
          <w:w w:val="105"/>
          <w:sz w:val="26"/>
        </w:rPr>
        <w:t>140</w:t>
      </w:r>
    </w:p>
    <w:p>
      <w:pPr>
        <w:spacing w:after="0"/>
        <w:jc w:val="left"/>
        <w:rPr>
          <w:b/>
          <w:sz w:val="26"/>
        </w:rPr>
        <w:sectPr>
          <w:pgSz w:w="24480" w:h="15840" w:orient="landscape"/>
          <w:pgMar w:header="0" w:footer="0" w:top="860" w:bottom="0" w:left="0" w:right="720"/>
        </w:sectPr>
      </w:pPr>
    </w:p>
    <w:p>
      <w:pPr>
        <w:spacing w:before="607"/>
        <w:ind w:left="1089" w:right="0" w:firstLine="0"/>
        <w:jc w:val="left"/>
        <w:rPr>
          <w:sz w:val="54"/>
        </w:rPr>
      </w:pPr>
      <w:r>
        <w:rPr>
          <w:sz w:val="54"/>
        </w:rPr>
        <w:drawing>
          <wp:anchor distT="0" distB="0" distL="0" distR="0" allowOverlap="1" layoutInCell="1" locked="0" behindDoc="0" simplePos="0" relativeHeight="15939072">
            <wp:simplePos x="0" y="0"/>
            <wp:positionH relativeFrom="page">
              <wp:posOffset>14981556</wp:posOffset>
            </wp:positionH>
            <wp:positionV relativeFrom="page">
              <wp:posOffset>9668103</wp:posOffset>
            </wp:positionV>
            <wp:extent cx="563245" cy="184683"/>
            <wp:effectExtent l="0" t="0" r="0" b="0"/>
            <wp:wrapNone/>
            <wp:docPr id="1788" name="Image 1788"/>
            <wp:cNvGraphicFramePr>
              <a:graphicFrameLocks/>
            </wp:cNvGraphicFramePr>
            <a:graphic>
              <a:graphicData uri="http://schemas.openxmlformats.org/drawingml/2006/picture">
                <pic:pic>
                  <pic:nvPicPr>
                    <pic:cNvPr id="1788" name="Image 1788"/>
                    <pic:cNvPicPr/>
                  </pic:nvPicPr>
                  <pic:blipFill>
                    <a:blip r:embed="rId38" cstate="print"/>
                    <a:stretch>
                      <a:fillRect/>
                    </a:stretch>
                  </pic:blipFill>
                  <pic:spPr>
                    <a:xfrm>
                      <a:off x="0" y="0"/>
                      <a:ext cx="563245" cy="184683"/>
                    </a:xfrm>
                    <a:prstGeom prst="rect">
                      <a:avLst/>
                    </a:prstGeom>
                  </pic:spPr>
                </pic:pic>
              </a:graphicData>
            </a:graphic>
          </wp:anchor>
        </w:drawing>
      </w:r>
      <w:r>
        <w:rPr>
          <w:sz w:val="54"/>
        </w:rPr>
        <w:drawing>
          <wp:anchor distT="0" distB="0" distL="0" distR="0" allowOverlap="1" layoutInCell="1" locked="0" behindDoc="0" simplePos="0" relativeHeight="15939584">
            <wp:simplePos x="0" y="0"/>
            <wp:positionH relativeFrom="page">
              <wp:posOffset>14162106</wp:posOffset>
            </wp:positionH>
            <wp:positionV relativeFrom="paragraph">
              <wp:posOffset>321014</wp:posOffset>
            </wp:positionV>
            <wp:extent cx="696753" cy="690419"/>
            <wp:effectExtent l="0" t="0" r="0" b="0"/>
            <wp:wrapNone/>
            <wp:docPr id="1789" name="Image 1789"/>
            <wp:cNvGraphicFramePr>
              <a:graphicFrameLocks/>
            </wp:cNvGraphicFramePr>
            <a:graphic>
              <a:graphicData uri="http://schemas.openxmlformats.org/drawingml/2006/picture">
                <pic:pic>
                  <pic:nvPicPr>
                    <pic:cNvPr id="1789" name="Image 1789"/>
                    <pic:cNvPicPr/>
                  </pic:nvPicPr>
                  <pic:blipFill>
                    <a:blip r:embed="rId244" cstate="print"/>
                    <a:stretch>
                      <a:fillRect/>
                    </a:stretch>
                  </pic:blipFill>
                  <pic:spPr>
                    <a:xfrm>
                      <a:off x="0" y="0"/>
                      <a:ext cx="696753" cy="690419"/>
                    </a:xfrm>
                    <a:prstGeom prst="rect">
                      <a:avLst/>
                    </a:prstGeom>
                  </pic:spPr>
                </pic:pic>
              </a:graphicData>
            </a:graphic>
          </wp:anchor>
        </w:drawing>
      </w:r>
      <w:r>
        <w:rPr>
          <w:sz w:val="54"/>
        </w:rPr>
        <w:drawing>
          <wp:anchor distT="0" distB="0" distL="0" distR="0" allowOverlap="1" layoutInCell="1" locked="0" behindDoc="0" simplePos="0" relativeHeight="15940096">
            <wp:simplePos x="0" y="0"/>
            <wp:positionH relativeFrom="page">
              <wp:posOffset>12710185</wp:posOffset>
            </wp:positionH>
            <wp:positionV relativeFrom="paragraph">
              <wp:posOffset>365760</wp:posOffset>
            </wp:positionV>
            <wp:extent cx="1326527" cy="258263"/>
            <wp:effectExtent l="0" t="0" r="0" b="0"/>
            <wp:wrapNone/>
            <wp:docPr id="1790" name="Image 1790"/>
            <wp:cNvGraphicFramePr>
              <a:graphicFrameLocks/>
            </wp:cNvGraphicFramePr>
            <a:graphic>
              <a:graphicData uri="http://schemas.openxmlformats.org/drawingml/2006/picture">
                <pic:pic>
                  <pic:nvPicPr>
                    <pic:cNvPr id="1790" name="Image 1790"/>
                    <pic:cNvPicPr/>
                  </pic:nvPicPr>
                  <pic:blipFill>
                    <a:blip r:embed="rId245" cstate="print"/>
                    <a:stretch>
                      <a:fillRect/>
                    </a:stretch>
                  </pic:blipFill>
                  <pic:spPr>
                    <a:xfrm>
                      <a:off x="0" y="0"/>
                      <a:ext cx="1326527" cy="258263"/>
                    </a:xfrm>
                    <a:prstGeom prst="rect">
                      <a:avLst/>
                    </a:prstGeom>
                  </pic:spPr>
                </pic:pic>
              </a:graphicData>
            </a:graphic>
          </wp:anchor>
        </w:drawing>
      </w:r>
      <w:r>
        <w:rPr>
          <w:sz w:val="54"/>
        </w:rPr>
        <w:drawing>
          <wp:anchor distT="0" distB="0" distL="0" distR="0" allowOverlap="1" layoutInCell="1" locked="0" behindDoc="0" simplePos="0" relativeHeight="15940608">
            <wp:simplePos x="0" y="0"/>
            <wp:positionH relativeFrom="page">
              <wp:posOffset>11252403</wp:posOffset>
            </wp:positionH>
            <wp:positionV relativeFrom="paragraph">
              <wp:posOffset>311404</wp:posOffset>
            </wp:positionV>
            <wp:extent cx="1291335" cy="314959"/>
            <wp:effectExtent l="0" t="0" r="0" b="0"/>
            <wp:wrapNone/>
            <wp:docPr id="1791" name="Image 1791"/>
            <wp:cNvGraphicFramePr>
              <a:graphicFrameLocks/>
            </wp:cNvGraphicFramePr>
            <a:graphic>
              <a:graphicData uri="http://schemas.openxmlformats.org/drawingml/2006/picture">
                <pic:pic>
                  <pic:nvPicPr>
                    <pic:cNvPr id="1791" name="Image 1791"/>
                    <pic:cNvPicPr/>
                  </pic:nvPicPr>
                  <pic:blipFill>
                    <a:blip r:embed="rId246" cstate="print"/>
                    <a:stretch>
                      <a:fillRect/>
                    </a:stretch>
                  </pic:blipFill>
                  <pic:spPr>
                    <a:xfrm>
                      <a:off x="0" y="0"/>
                      <a:ext cx="1291335" cy="314959"/>
                    </a:xfrm>
                    <a:prstGeom prst="rect">
                      <a:avLst/>
                    </a:prstGeom>
                  </pic:spPr>
                </pic:pic>
              </a:graphicData>
            </a:graphic>
          </wp:anchor>
        </w:drawing>
      </w:r>
      <w:r>
        <w:rPr>
          <w:color w:val="636466"/>
          <w:sz w:val="54"/>
        </w:rPr>
        <w:t>Livingston</w:t>
      </w:r>
      <w:r>
        <w:rPr>
          <w:color w:val="636466"/>
          <w:spacing w:val="70"/>
          <w:sz w:val="54"/>
        </w:rPr>
        <w:t> </w:t>
      </w:r>
      <w:r>
        <w:rPr>
          <w:color w:val="636466"/>
          <w:sz w:val="54"/>
        </w:rPr>
        <w:t>County</w:t>
      </w:r>
      <w:r>
        <w:rPr>
          <w:color w:val="636466"/>
          <w:spacing w:val="71"/>
          <w:sz w:val="54"/>
        </w:rPr>
        <w:t> </w:t>
      </w:r>
      <w:r>
        <w:rPr>
          <w:color w:val="636466"/>
          <w:sz w:val="54"/>
        </w:rPr>
        <w:t>Appendix</w:t>
      </w:r>
      <w:r>
        <w:rPr>
          <w:color w:val="636466"/>
          <w:spacing w:val="71"/>
          <w:sz w:val="54"/>
        </w:rPr>
        <w:t> </w:t>
      </w:r>
      <w:r>
        <w:rPr>
          <w:color w:val="636466"/>
          <w:spacing w:val="-10"/>
          <w:sz w:val="54"/>
        </w:rPr>
        <w:t>B</w:t>
      </w:r>
    </w:p>
    <w:p>
      <w:pPr>
        <w:spacing w:line="247" w:lineRule="auto" w:before="235"/>
        <w:ind w:left="1089" w:right="15045" w:firstLine="0"/>
        <w:jc w:val="left"/>
        <w:rPr>
          <w:b/>
          <w:sz w:val="32"/>
        </w:rPr>
      </w:pPr>
      <w:r>
        <w:rPr>
          <w:b/>
          <w:color w:val="82BF6A"/>
          <w:spacing w:val="-4"/>
          <w:sz w:val="32"/>
        </w:rPr>
        <w:t>PRIORITY:</w:t>
      </w:r>
      <w:r>
        <w:rPr>
          <w:b/>
          <w:color w:val="82BF6A"/>
          <w:spacing w:val="-19"/>
          <w:sz w:val="32"/>
        </w:rPr>
        <w:t> </w:t>
      </w:r>
      <w:r>
        <w:rPr>
          <w:b/>
          <w:color w:val="82BF6A"/>
          <w:spacing w:val="-4"/>
          <w:sz w:val="32"/>
        </w:rPr>
        <w:t>PROMOTE</w:t>
      </w:r>
      <w:r>
        <w:rPr>
          <w:b/>
          <w:color w:val="82BF6A"/>
          <w:spacing w:val="-18"/>
          <w:sz w:val="32"/>
        </w:rPr>
        <w:t> </w:t>
      </w:r>
      <w:r>
        <w:rPr>
          <w:b/>
          <w:color w:val="82BF6A"/>
          <w:spacing w:val="-4"/>
          <w:sz w:val="32"/>
        </w:rPr>
        <w:t>WELL-BEING</w:t>
      </w:r>
      <w:r>
        <w:rPr>
          <w:b/>
          <w:color w:val="82BF6A"/>
          <w:spacing w:val="-18"/>
          <w:sz w:val="32"/>
        </w:rPr>
        <w:t> </w:t>
      </w:r>
      <w:r>
        <w:rPr>
          <w:b/>
          <w:color w:val="82BF6A"/>
          <w:spacing w:val="-4"/>
          <w:sz w:val="32"/>
        </w:rPr>
        <w:t>AND</w:t>
      </w:r>
      <w:r>
        <w:rPr>
          <w:b/>
          <w:color w:val="82BF6A"/>
          <w:spacing w:val="-18"/>
          <w:sz w:val="32"/>
        </w:rPr>
        <w:t> </w:t>
      </w:r>
      <w:r>
        <w:rPr>
          <w:b/>
          <w:color w:val="82BF6A"/>
          <w:spacing w:val="-4"/>
          <w:sz w:val="32"/>
        </w:rPr>
        <w:t>PREVENT </w:t>
      </w:r>
      <w:r>
        <w:rPr>
          <w:b/>
          <w:color w:val="82BF6A"/>
          <w:sz w:val="32"/>
        </w:rPr>
        <w:t>MENTAL</w:t>
      </w:r>
      <w:r>
        <w:rPr>
          <w:b/>
          <w:color w:val="82BF6A"/>
          <w:spacing w:val="-23"/>
          <w:sz w:val="32"/>
        </w:rPr>
        <w:t> </w:t>
      </w:r>
      <w:r>
        <w:rPr>
          <w:b/>
          <w:color w:val="82BF6A"/>
          <w:sz w:val="32"/>
        </w:rPr>
        <w:t>AND</w:t>
      </w:r>
      <w:r>
        <w:rPr>
          <w:b/>
          <w:color w:val="82BF6A"/>
          <w:spacing w:val="-22"/>
          <w:sz w:val="32"/>
        </w:rPr>
        <w:t> </w:t>
      </w:r>
      <w:r>
        <w:rPr>
          <w:b/>
          <w:color w:val="82BF6A"/>
          <w:sz w:val="32"/>
        </w:rPr>
        <w:t>SUBSTANCE</w:t>
      </w:r>
      <w:r>
        <w:rPr>
          <w:b/>
          <w:color w:val="82BF6A"/>
          <w:spacing w:val="-22"/>
          <w:sz w:val="32"/>
        </w:rPr>
        <w:t> </w:t>
      </w:r>
      <w:r>
        <w:rPr>
          <w:b/>
          <w:color w:val="82BF6A"/>
          <w:sz w:val="32"/>
        </w:rPr>
        <w:t>USE</w:t>
      </w:r>
      <w:r>
        <w:rPr>
          <w:b/>
          <w:color w:val="82BF6A"/>
          <w:spacing w:val="-22"/>
          <w:sz w:val="32"/>
        </w:rPr>
        <w:t> </w:t>
      </w:r>
      <w:r>
        <w:rPr>
          <w:b/>
          <w:color w:val="82BF6A"/>
          <w:sz w:val="32"/>
        </w:rPr>
        <w:t>DISORDERS</w:t>
      </w:r>
    </w:p>
    <w:p>
      <w:pPr>
        <w:pStyle w:val="BodyText"/>
        <w:spacing w:before="10"/>
        <w:rPr>
          <w:b/>
          <w:sz w:val="15"/>
        </w:rPr>
      </w:pPr>
    </w:p>
    <w:tbl>
      <w:tblPr>
        <w:tblW w:w="0" w:type="auto"/>
        <w:jc w:val="left"/>
        <w:tblInd w:w="1099"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1353"/>
        <w:gridCol w:w="1289"/>
        <w:gridCol w:w="1563"/>
        <w:gridCol w:w="1873"/>
        <w:gridCol w:w="1290"/>
        <w:gridCol w:w="3823"/>
        <w:gridCol w:w="3892"/>
        <w:gridCol w:w="1853"/>
        <w:gridCol w:w="2695"/>
        <w:gridCol w:w="2632"/>
      </w:tblGrid>
      <w:tr>
        <w:trPr>
          <w:trHeight w:val="770" w:hRule="atLeast"/>
        </w:trPr>
        <w:tc>
          <w:tcPr>
            <w:tcW w:w="1353" w:type="dxa"/>
            <w:tcBorders>
              <w:right w:val="single" w:sz="4" w:space="0" w:color="FFFFFF"/>
            </w:tcBorders>
            <w:shd w:val="clear" w:color="auto" w:fill="A7A9AC"/>
          </w:tcPr>
          <w:p>
            <w:pPr>
              <w:pStyle w:val="TableParagraph"/>
              <w:spacing w:before="67"/>
              <w:rPr>
                <w:b/>
                <w:sz w:val="20"/>
              </w:rPr>
            </w:pPr>
          </w:p>
          <w:p>
            <w:pPr>
              <w:pStyle w:val="TableParagraph"/>
              <w:ind w:left="80"/>
              <w:rPr>
                <w:b/>
                <w:sz w:val="20"/>
              </w:rPr>
            </w:pPr>
            <w:r>
              <w:rPr>
                <w:b/>
                <w:color w:val="FFFFFF"/>
                <w:spacing w:val="-2"/>
                <w:sz w:val="20"/>
              </w:rPr>
              <w:t>Priority</w:t>
            </w:r>
          </w:p>
        </w:tc>
        <w:tc>
          <w:tcPr>
            <w:tcW w:w="1289" w:type="dxa"/>
            <w:tcBorders>
              <w:left w:val="single" w:sz="4" w:space="0" w:color="FFFFFF"/>
              <w:right w:val="single" w:sz="4" w:space="0" w:color="FFFFFF"/>
            </w:tcBorders>
            <w:shd w:val="clear" w:color="auto" w:fill="A7A9AC"/>
          </w:tcPr>
          <w:p>
            <w:pPr>
              <w:pStyle w:val="TableParagraph"/>
              <w:spacing w:before="67"/>
              <w:rPr>
                <w:b/>
                <w:sz w:val="20"/>
              </w:rPr>
            </w:pPr>
          </w:p>
          <w:p>
            <w:pPr>
              <w:pStyle w:val="TableParagraph"/>
              <w:ind w:left="80"/>
              <w:rPr>
                <w:b/>
                <w:sz w:val="20"/>
              </w:rPr>
            </w:pPr>
            <w:r>
              <w:rPr>
                <w:b/>
                <w:color w:val="FFFFFF"/>
                <w:w w:val="90"/>
                <w:sz w:val="20"/>
              </w:rPr>
              <w:t>Focus</w:t>
            </w:r>
            <w:r>
              <w:rPr>
                <w:b/>
                <w:color w:val="FFFFFF"/>
                <w:spacing w:val="8"/>
                <w:sz w:val="20"/>
              </w:rPr>
              <w:t> </w:t>
            </w:r>
            <w:r>
              <w:rPr>
                <w:b/>
                <w:color w:val="FFFFFF"/>
                <w:spacing w:val="-4"/>
                <w:sz w:val="20"/>
              </w:rPr>
              <w:t>Area</w:t>
            </w:r>
          </w:p>
        </w:tc>
        <w:tc>
          <w:tcPr>
            <w:tcW w:w="1563" w:type="dxa"/>
            <w:tcBorders>
              <w:left w:val="single" w:sz="4" w:space="0" w:color="FFFFFF"/>
              <w:right w:val="single" w:sz="4" w:space="0" w:color="FFFFFF"/>
            </w:tcBorders>
            <w:shd w:val="clear" w:color="auto" w:fill="A7A9AC"/>
          </w:tcPr>
          <w:p>
            <w:pPr>
              <w:pStyle w:val="TableParagraph"/>
              <w:spacing w:line="230" w:lineRule="auto" w:before="195"/>
              <w:ind w:left="79" w:right="74"/>
              <w:rPr>
                <w:b/>
                <w:sz w:val="20"/>
              </w:rPr>
            </w:pPr>
            <w:r>
              <w:rPr>
                <w:b/>
                <w:color w:val="FFFFFF"/>
                <w:spacing w:val="-8"/>
                <w:sz w:val="20"/>
              </w:rPr>
              <w:t>Goal</w:t>
            </w:r>
            <w:r>
              <w:rPr>
                <w:b/>
                <w:color w:val="FFFFFF"/>
                <w:spacing w:val="-6"/>
                <w:sz w:val="20"/>
              </w:rPr>
              <w:t> </w:t>
            </w:r>
            <w:r>
              <w:rPr>
                <w:b/>
                <w:color w:val="FFFFFF"/>
                <w:spacing w:val="-8"/>
                <w:sz w:val="20"/>
              </w:rPr>
              <w:t>Focus </w:t>
            </w:r>
            <w:r>
              <w:rPr>
                <w:b/>
                <w:color w:val="FFFFFF"/>
                <w:spacing w:val="-4"/>
                <w:sz w:val="20"/>
              </w:rPr>
              <w:t>Area</w:t>
            </w:r>
          </w:p>
        </w:tc>
        <w:tc>
          <w:tcPr>
            <w:tcW w:w="1873" w:type="dxa"/>
            <w:tcBorders>
              <w:left w:val="single" w:sz="4" w:space="0" w:color="FFFFFF"/>
              <w:right w:val="single" w:sz="4" w:space="0" w:color="FFFFFF"/>
            </w:tcBorders>
            <w:shd w:val="clear" w:color="auto" w:fill="A7A9AC"/>
          </w:tcPr>
          <w:p>
            <w:pPr>
              <w:pStyle w:val="TableParagraph"/>
              <w:spacing w:before="67"/>
              <w:rPr>
                <w:b/>
                <w:sz w:val="20"/>
              </w:rPr>
            </w:pPr>
          </w:p>
          <w:p>
            <w:pPr>
              <w:pStyle w:val="TableParagraph"/>
              <w:ind w:left="79"/>
              <w:rPr>
                <w:b/>
                <w:sz w:val="20"/>
              </w:rPr>
            </w:pPr>
            <w:r>
              <w:rPr>
                <w:b/>
                <w:color w:val="FFFFFF"/>
                <w:spacing w:val="-2"/>
                <w:sz w:val="20"/>
              </w:rPr>
              <w:t>Objectives</w:t>
            </w:r>
          </w:p>
        </w:tc>
        <w:tc>
          <w:tcPr>
            <w:tcW w:w="1290" w:type="dxa"/>
            <w:tcBorders>
              <w:left w:val="single" w:sz="4" w:space="0" w:color="FFFFFF"/>
              <w:right w:val="single" w:sz="4" w:space="0" w:color="FFFFFF"/>
            </w:tcBorders>
            <w:shd w:val="clear" w:color="auto" w:fill="A7A9AC"/>
          </w:tcPr>
          <w:p>
            <w:pPr>
              <w:pStyle w:val="TableParagraph"/>
              <w:spacing w:before="67"/>
              <w:rPr>
                <w:b/>
                <w:sz w:val="20"/>
              </w:rPr>
            </w:pPr>
          </w:p>
          <w:p>
            <w:pPr>
              <w:pStyle w:val="TableParagraph"/>
              <w:ind w:left="78"/>
              <w:rPr>
                <w:b/>
                <w:sz w:val="20"/>
              </w:rPr>
            </w:pPr>
            <w:r>
              <w:rPr>
                <w:b/>
                <w:color w:val="FFFFFF"/>
                <w:spacing w:val="-2"/>
                <w:sz w:val="20"/>
              </w:rPr>
              <w:t>Disparities</w:t>
            </w:r>
          </w:p>
        </w:tc>
        <w:tc>
          <w:tcPr>
            <w:tcW w:w="3823" w:type="dxa"/>
            <w:tcBorders>
              <w:left w:val="single" w:sz="4" w:space="0" w:color="FFFFFF"/>
              <w:right w:val="nil"/>
            </w:tcBorders>
            <w:shd w:val="clear" w:color="auto" w:fill="A7A9AC"/>
          </w:tcPr>
          <w:p>
            <w:pPr>
              <w:pStyle w:val="TableParagraph"/>
              <w:spacing w:before="67"/>
              <w:rPr>
                <w:b/>
                <w:sz w:val="20"/>
              </w:rPr>
            </w:pPr>
          </w:p>
          <w:p>
            <w:pPr>
              <w:pStyle w:val="TableParagraph"/>
              <w:ind w:left="77"/>
              <w:rPr>
                <w:b/>
                <w:sz w:val="20"/>
              </w:rPr>
            </w:pPr>
            <w:r>
              <w:rPr>
                <w:b/>
                <w:color w:val="FFFFFF"/>
                <w:spacing w:val="-2"/>
                <w:sz w:val="20"/>
              </w:rPr>
              <w:t>Interventions</w:t>
            </w:r>
          </w:p>
        </w:tc>
        <w:tc>
          <w:tcPr>
            <w:tcW w:w="3892" w:type="dxa"/>
            <w:tcBorders>
              <w:left w:val="nil"/>
              <w:right w:val="single" w:sz="4" w:space="0" w:color="FFFFFF"/>
            </w:tcBorders>
            <w:shd w:val="clear" w:color="auto" w:fill="A7A9AC"/>
          </w:tcPr>
          <w:p>
            <w:pPr>
              <w:pStyle w:val="TableParagraph"/>
              <w:spacing w:before="67"/>
              <w:rPr>
                <w:b/>
                <w:sz w:val="20"/>
              </w:rPr>
            </w:pPr>
          </w:p>
          <w:p>
            <w:pPr>
              <w:pStyle w:val="TableParagraph"/>
              <w:ind w:left="1143"/>
              <w:rPr>
                <w:b/>
                <w:sz w:val="20"/>
              </w:rPr>
            </w:pPr>
            <w:r>
              <w:rPr>
                <w:b/>
                <w:color w:val="FFFFFF"/>
                <w:sz w:val="20"/>
              </w:rPr>
              <w:t>Family</w:t>
            </w:r>
            <w:r>
              <w:rPr>
                <w:b/>
                <w:color w:val="FFFFFF"/>
                <w:spacing w:val="-12"/>
                <w:sz w:val="20"/>
              </w:rPr>
              <w:t> </w:t>
            </w:r>
            <w:r>
              <w:rPr>
                <w:b/>
                <w:color w:val="FFFFFF"/>
                <w:sz w:val="20"/>
              </w:rPr>
              <w:t>of</w:t>
            </w:r>
            <w:r>
              <w:rPr>
                <w:b/>
                <w:color w:val="FFFFFF"/>
                <w:spacing w:val="-12"/>
                <w:sz w:val="20"/>
              </w:rPr>
              <w:t> </w:t>
            </w:r>
            <w:r>
              <w:rPr>
                <w:b/>
                <w:color w:val="FFFFFF"/>
                <w:spacing w:val="-2"/>
                <w:sz w:val="20"/>
              </w:rPr>
              <w:t>Measures</w:t>
            </w:r>
          </w:p>
        </w:tc>
        <w:tc>
          <w:tcPr>
            <w:tcW w:w="1853" w:type="dxa"/>
            <w:tcBorders>
              <w:left w:val="single" w:sz="4" w:space="0" w:color="FFFFFF"/>
              <w:right w:val="single" w:sz="4" w:space="0" w:color="FFFFFF"/>
            </w:tcBorders>
            <w:shd w:val="clear" w:color="auto" w:fill="A7A9AC"/>
          </w:tcPr>
          <w:p>
            <w:pPr>
              <w:pStyle w:val="TableParagraph"/>
              <w:spacing w:line="230" w:lineRule="auto" w:before="195"/>
              <w:ind w:left="83" w:right="222"/>
              <w:rPr>
                <w:b/>
                <w:sz w:val="20"/>
              </w:rPr>
            </w:pPr>
            <w:r>
              <w:rPr>
                <w:b/>
                <w:color w:val="FFFFFF"/>
                <w:spacing w:val="-2"/>
                <w:sz w:val="20"/>
              </w:rPr>
              <w:t>Implementation Partner</w:t>
            </w:r>
          </w:p>
        </w:tc>
        <w:tc>
          <w:tcPr>
            <w:tcW w:w="2695" w:type="dxa"/>
            <w:tcBorders>
              <w:left w:val="single" w:sz="4" w:space="0" w:color="FFFFFF"/>
              <w:right w:val="single" w:sz="4" w:space="0" w:color="FFFFFF"/>
            </w:tcBorders>
            <w:shd w:val="clear" w:color="auto" w:fill="A7A9AC"/>
          </w:tcPr>
          <w:p>
            <w:pPr>
              <w:pStyle w:val="TableParagraph"/>
              <w:spacing w:before="67"/>
              <w:rPr>
                <w:b/>
                <w:sz w:val="20"/>
              </w:rPr>
            </w:pPr>
          </w:p>
          <w:p>
            <w:pPr>
              <w:pStyle w:val="TableParagraph"/>
              <w:ind w:left="70"/>
              <w:rPr>
                <w:b/>
                <w:sz w:val="20"/>
              </w:rPr>
            </w:pPr>
            <w:r>
              <w:rPr>
                <w:b/>
                <w:color w:val="FFFFFF"/>
                <w:spacing w:val="-4"/>
                <w:sz w:val="20"/>
              </w:rPr>
              <w:t>Partner</w:t>
            </w:r>
            <w:r>
              <w:rPr>
                <w:b/>
                <w:color w:val="FFFFFF"/>
                <w:spacing w:val="-2"/>
                <w:sz w:val="20"/>
              </w:rPr>
              <w:t> </w:t>
            </w:r>
            <w:r>
              <w:rPr>
                <w:b/>
                <w:color w:val="FFFFFF"/>
                <w:spacing w:val="-4"/>
                <w:sz w:val="20"/>
              </w:rPr>
              <w:t>Roles</w:t>
            </w:r>
            <w:r>
              <w:rPr>
                <w:b/>
                <w:color w:val="FFFFFF"/>
                <w:spacing w:val="-2"/>
                <w:sz w:val="20"/>
              </w:rPr>
              <w:t> </w:t>
            </w:r>
            <w:r>
              <w:rPr>
                <w:b/>
                <w:color w:val="FFFFFF"/>
                <w:spacing w:val="-4"/>
                <w:sz w:val="20"/>
              </w:rPr>
              <w:t>Resources</w:t>
            </w:r>
          </w:p>
        </w:tc>
        <w:tc>
          <w:tcPr>
            <w:tcW w:w="2632" w:type="dxa"/>
            <w:tcBorders>
              <w:left w:val="single" w:sz="4" w:space="0" w:color="FFFFFF"/>
              <w:right w:val="single" w:sz="4" w:space="0" w:color="FFFFFF"/>
            </w:tcBorders>
            <w:shd w:val="clear" w:color="auto" w:fill="A7A9AC"/>
          </w:tcPr>
          <w:p>
            <w:pPr>
              <w:pStyle w:val="TableParagraph"/>
              <w:spacing w:before="67"/>
              <w:rPr>
                <w:b/>
                <w:sz w:val="20"/>
              </w:rPr>
            </w:pPr>
          </w:p>
          <w:p>
            <w:pPr>
              <w:pStyle w:val="TableParagraph"/>
              <w:ind w:left="68"/>
              <w:rPr>
                <w:b/>
                <w:sz w:val="20"/>
              </w:rPr>
            </w:pPr>
            <w:r>
              <w:rPr>
                <w:b/>
                <w:color w:val="FFFFFF"/>
                <w:sz w:val="20"/>
              </w:rPr>
              <w:t>Projected</w:t>
            </w:r>
            <w:r>
              <w:rPr>
                <w:b/>
                <w:color w:val="FFFFFF"/>
                <w:spacing w:val="-7"/>
                <w:sz w:val="20"/>
              </w:rPr>
              <w:t> </w:t>
            </w:r>
            <w:r>
              <w:rPr>
                <w:b/>
                <w:color w:val="FFFFFF"/>
                <w:sz w:val="20"/>
              </w:rPr>
              <w:t>Year</w:t>
            </w:r>
            <w:r>
              <w:rPr>
                <w:b/>
                <w:color w:val="FFFFFF"/>
                <w:spacing w:val="-6"/>
                <w:sz w:val="20"/>
              </w:rPr>
              <w:t> </w:t>
            </w:r>
            <w:r>
              <w:rPr>
                <w:b/>
                <w:color w:val="FFFFFF"/>
                <w:sz w:val="20"/>
              </w:rPr>
              <w:t>1,2,</w:t>
            </w:r>
            <w:r>
              <w:rPr>
                <w:b/>
                <w:color w:val="FFFFFF"/>
                <w:spacing w:val="-6"/>
                <w:sz w:val="20"/>
              </w:rPr>
              <w:t> </w:t>
            </w:r>
            <w:r>
              <w:rPr>
                <w:b/>
                <w:color w:val="FFFFFF"/>
                <w:sz w:val="20"/>
              </w:rPr>
              <w:t>and</w:t>
            </w:r>
            <w:r>
              <w:rPr>
                <w:b/>
                <w:color w:val="FFFFFF"/>
                <w:spacing w:val="-7"/>
                <w:sz w:val="20"/>
              </w:rPr>
              <w:t> </w:t>
            </w:r>
            <w:r>
              <w:rPr>
                <w:b/>
                <w:color w:val="FFFFFF"/>
                <w:spacing w:val="-10"/>
                <w:sz w:val="20"/>
              </w:rPr>
              <w:t>3</w:t>
            </w:r>
          </w:p>
        </w:tc>
      </w:tr>
      <w:tr>
        <w:trPr>
          <w:trHeight w:val="2220" w:hRule="atLeast"/>
        </w:trPr>
        <w:tc>
          <w:tcPr>
            <w:tcW w:w="1353" w:type="dxa"/>
            <w:vMerge w:val="restart"/>
            <w:shd w:val="clear" w:color="auto" w:fill="E6E7E8"/>
          </w:tcPr>
          <w:p>
            <w:pPr>
              <w:pStyle w:val="TableParagraph"/>
              <w:spacing w:line="232" w:lineRule="auto" w:before="101"/>
              <w:ind w:left="90" w:right="260"/>
              <w:rPr>
                <w:sz w:val="18"/>
              </w:rPr>
            </w:pPr>
            <w:r>
              <w:rPr>
                <w:color w:val="105C84"/>
                <w:spacing w:val="-2"/>
                <w:sz w:val="18"/>
              </w:rPr>
              <w:t>Promote Well-Being </w:t>
            </w:r>
            <w:r>
              <w:rPr>
                <w:color w:val="105C84"/>
                <w:sz w:val="18"/>
              </w:rPr>
              <w:t>and</w:t>
            </w:r>
            <w:r>
              <w:rPr>
                <w:color w:val="105C84"/>
                <w:spacing w:val="-13"/>
                <w:sz w:val="18"/>
              </w:rPr>
              <w:t> </w:t>
            </w:r>
            <w:r>
              <w:rPr>
                <w:color w:val="105C84"/>
                <w:sz w:val="18"/>
              </w:rPr>
              <w:t>Prevent Mental and </w:t>
            </w:r>
            <w:r>
              <w:rPr>
                <w:color w:val="105C84"/>
                <w:spacing w:val="-2"/>
                <w:sz w:val="18"/>
              </w:rPr>
              <w:t>Substance</w:t>
            </w:r>
          </w:p>
          <w:p>
            <w:pPr>
              <w:pStyle w:val="TableParagraph"/>
              <w:spacing w:line="198" w:lineRule="exact"/>
              <w:ind w:left="90"/>
              <w:rPr>
                <w:sz w:val="18"/>
              </w:rPr>
            </w:pPr>
            <w:r>
              <w:rPr>
                <w:color w:val="105C84"/>
                <w:spacing w:val="-2"/>
                <w:sz w:val="18"/>
              </w:rPr>
              <w:t>Use</w:t>
            </w:r>
            <w:r>
              <w:rPr>
                <w:color w:val="105C84"/>
                <w:spacing w:val="-9"/>
                <w:sz w:val="18"/>
              </w:rPr>
              <w:t> </w:t>
            </w:r>
            <w:r>
              <w:rPr>
                <w:color w:val="105C84"/>
                <w:spacing w:val="-2"/>
                <w:sz w:val="18"/>
              </w:rPr>
              <w:t>Disorders</w:t>
            </w:r>
          </w:p>
        </w:tc>
        <w:tc>
          <w:tcPr>
            <w:tcW w:w="1289" w:type="dxa"/>
            <w:vMerge w:val="restart"/>
          </w:tcPr>
          <w:p>
            <w:pPr>
              <w:pStyle w:val="TableParagraph"/>
              <w:spacing w:line="232" w:lineRule="auto" w:before="101"/>
              <w:ind w:left="90" w:right="75"/>
              <w:rPr>
                <w:sz w:val="18"/>
              </w:rPr>
            </w:pPr>
            <w:r>
              <w:rPr>
                <w:color w:val="105C84"/>
                <w:sz w:val="18"/>
              </w:rPr>
              <w:t>Focus</w:t>
            </w:r>
            <w:r>
              <w:rPr>
                <w:color w:val="105C84"/>
                <w:spacing w:val="-15"/>
                <w:sz w:val="18"/>
              </w:rPr>
              <w:t> </w:t>
            </w:r>
            <w:r>
              <w:rPr>
                <w:color w:val="105C84"/>
                <w:sz w:val="18"/>
              </w:rPr>
              <w:t>Area</w:t>
            </w:r>
            <w:r>
              <w:rPr>
                <w:color w:val="105C84"/>
                <w:spacing w:val="-12"/>
                <w:sz w:val="18"/>
              </w:rPr>
              <w:t> </w:t>
            </w:r>
            <w:r>
              <w:rPr>
                <w:color w:val="105C84"/>
                <w:sz w:val="18"/>
              </w:rPr>
              <w:t>2: Mental and </w:t>
            </w:r>
            <w:r>
              <w:rPr>
                <w:color w:val="105C84"/>
                <w:spacing w:val="-2"/>
                <w:sz w:val="18"/>
              </w:rPr>
              <w:t>Substance </w:t>
            </w:r>
            <w:r>
              <w:rPr>
                <w:color w:val="105C84"/>
                <w:spacing w:val="-4"/>
                <w:sz w:val="18"/>
              </w:rPr>
              <w:t>Use</w:t>
            </w:r>
            <w:r>
              <w:rPr>
                <w:color w:val="105C84"/>
                <w:spacing w:val="-9"/>
                <w:sz w:val="18"/>
              </w:rPr>
              <w:t> </w:t>
            </w:r>
            <w:r>
              <w:rPr>
                <w:color w:val="105C84"/>
                <w:spacing w:val="-4"/>
                <w:sz w:val="18"/>
              </w:rPr>
              <w:t>Disorders </w:t>
            </w:r>
            <w:r>
              <w:rPr>
                <w:color w:val="105C84"/>
                <w:spacing w:val="-2"/>
                <w:sz w:val="18"/>
              </w:rPr>
              <w:t>Prevention</w:t>
            </w:r>
          </w:p>
        </w:tc>
        <w:tc>
          <w:tcPr>
            <w:tcW w:w="1563" w:type="dxa"/>
            <w:vMerge w:val="restart"/>
          </w:tcPr>
          <w:p>
            <w:pPr>
              <w:pStyle w:val="TableParagraph"/>
              <w:spacing w:line="232" w:lineRule="auto" w:before="101"/>
              <w:ind w:left="90" w:right="571"/>
              <w:rPr>
                <w:sz w:val="18"/>
              </w:rPr>
            </w:pPr>
            <w:r>
              <w:rPr>
                <w:color w:val="105C84"/>
                <w:spacing w:val="-4"/>
                <w:sz w:val="18"/>
              </w:rPr>
              <w:t>2.5</w:t>
            </w:r>
            <w:r>
              <w:rPr>
                <w:color w:val="105C84"/>
                <w:spacing w:val="-9"/>
                <w:sz w:val="18"/>
              </w:rPr>
              <w:t> </w:t>
            </w:r>
            <w:r>
              <w:rPr>
                <w:color w:val="105C84"/>
                <w:spacing w:val="-4"/>
                <w:sz w:val="18"/>
              </w:rPr>
              <w:t>Preven</w:t>
            </w:r>
            <w:r>
              <w:rPr>
                <w:color w:val="105C84"/>
                <w:spacing w:val="-4"/>
                <w:sz w:val="18"/>
              </w:rPr>
              <w:t>t</w:t>
            </w:r>
            <w:r>
              <w:rPr>
                <w:color w:val="105C84"/>
                <w:spacing w:val="-4"/>
                <w:sz w:val="18"/>
              </w:rPr>
              <w:t> </w:t>
            </w:r>
            <w:r>
              <w:rPr>
                <w:color w:val="105C84"/>
                <w:spacing w:val="-2"/>
                <w:sz w:val="18"/>
              </w:rPr>
              <w:t>suicides</w:t>
            </w:r>
          </w:p>
        </w:tc>
        <w:tc>
          <w:tcPr>
            <w:tcW w:w="1873" w:type="dxa"/>
            <w:vMerge w:val="restart"/>
          </w:tcPr>
          <w:p>
            <w:pPr>
              <w:pStyle w:val="TableParagraph"/>
              <w:spacing w:line="203" w:lineRule="exact" w:before="96"/>
              <w:ind w:left="89"/>
              <w:rPr>
                <w:sz w:val="18"/>
              </w:rPr>
            </w:pPr>
            <w:r>
              <w:rPr>
                <w:color w:val="105C84"/>
                <w:spacing w:val="-6"/>
                <w:sz w:val="18"/>
              </w:rPr>
              <w:t>2.5.2</w:t>
            </w:r>
            <w:r>
              <w:rPr>
                <w:color w:val="105C84"/>
                <w:spacing w:val="-5"/>
                <w:sz w:val="18"/>
              </w:rPr>
              <w:t> </w:t>
            </w:r>
            <w:r>
              <w:rPr>
                <w:color w:val="105C84"/>
                <w:spacing w:val="-6"/>
                <w:sz w:val="18"/>
              </w:rPr>
              <w:t>By</w:t>
            </w:r>
            <w:r>
              <w:rPr>
                <w:color w:val="105C84"/>
                <w:spacing w:val="-4"/>
                <w:sz w:val="18"/>
              </w:rPr>
              <w:t> </w:t>
            </w:r>
            <w:r>
              <w:rPr>
                <w:color w:val="105C84"/>
                <w:spacing w:val="-6"/>
                <w:sz w:val="18"/>
              </w:rPr>
              <w:t>December</w:t>
            </w:r>
          </w:p>
          <w:p>
            <w:pPr>
              <w:pStyle w:val="TableParagraph"/>
              <w:spacing w:line="232" w:lineRule="auto" w:before="1"/>
              <w:ind w:left="89" w:right="109"/>
              <w:rPr>
                <w:sz w:val="18"/>
              </w:rPr>
            </w:pPr>
            <w:r>
              <w:rPr>
                <w:color w:val="105C84"/>
                <w:sz w:val="18"/>
              </w:rPr>
              <w:t>2021, reduce the age-adjusted</w:t>
            </w:r>
            <w:r>
              <w:rPr>
                <w:color w:val="105C84"/>
                <w:spacing w:val="-13"/>
                <w:sz w:val="18"/>
              </w:rPr>
              <w:t> </w:t>
            </w:r>
            <w:r>
              <w:rPr>
                <w:color w:val="105C84"/>
                <w:sz w:val="18"/>
              </w:rPr>
              <w:t>suicide mortality rate by 1%</w:t>
            </w:r>
          </w:p>
          <w:p>
            <w:pPr>
              <w:pStyle w:val="TableParagraph"/>
              <w:spacing w:line="232" w:lineRule="auto"/>
              <w:ind w:left="89" w:right="53"/>
              <w:rPr>
                <w:sz w:val="18"/>
              </w:rPr>
            </w:pPr>
            <w:r>
              <w:rPr>
                <w:color w:val="105C84"/>
                <w:spacing w:val="-2"/>
                <w:sz w:val="18"/>
              </w:rPr>
              <w:t>and</w:t>
            </w:r>
            <w:r>
              <w:rPr>
                <w:color w:val="105C84"/>
                <w:spacing w:val="-13"/>
                <w:sz w:val="18"/>
              </w:rPr>
              <w:t> </w:t>
            </w:r>
            <w:r>
              <w:rPr>
                <w:color w:val="105C84"/>
                <w:spacing w:val="-2"/>
                <w:sz w:val="18"/>
              </w:rPr>
              <w:t>decrease</w:t>
            </w:r>
            <w:r>
              <w:rPr>
                <w:color w:val="105C84"/>
                <w:spacing w:val="-10"/>
                <w:sz w:val="18"/>
              </w:rPr>
              <w:t> </w:t>
            </w:r>
            <w:r>
              <w:rPr>
                <w:color w:val="105C84"/>
                <w:spacing w:val="-2"/>
                <w:sz w:val="18"/>
              </w:rPr>
              <w:t>suicide </w:t>
            </w:r>
            <w:r>
              <w:rPr>
                <w:color w:val="105C84"/>
                <w:sz w:val="18"/>
              </w:rPr>
              <w:t>rate to maximum of 10 per 100,000</w:t>
            </w:r>
          </w:p>
        </w:tc>
        <w:tc>
          <w:tcPr>
            <w:tcW w:w="1290" w:type="dxa"/>
            <w:vMerge w:val="restart"/>
          </w:tcPr>
          <w:p>
            <w:pPr>
              <w:pStyle w:val="TableParagraph"/>
              <w:rPr>
                <w:rFonts w:ascii="Times New Roman"/>
                <w:sz w:val="18"/>
              </w:rPr>
            </w:pPr>
          </w:p>
        </w:tc>
        <w:tc>
          <w:tcPr>
            <w:tcW w:w="3823" w:type="dxa"/>
            <w:tcBorders>
              <w:right w:val="nil"/>
            </w:tcBorders>
          </w:tcPr>
          <w:p>
            <w:pPr>
              <w:pStyle w:val="TableParagraph"/>
              <w:spacing w:line="232" w:lineRule="auto" w:before="101"/>
              <w:ind w:left="87" w:right="959"/>
              <w:rPr>
                <w:sz w:val="18"/>
              </w:rPr>
            </w:pPr>
            <w:r>
              <w:rPr>
                <w:color w:val="105C84"/>
                <w:sz w:val="18"/>
              </w:rPr>
              <w:t>2.5.1 Strengthen economic supports:</w:t>
            </w:r>
            <w:r>
              <w:rPr>
                <w:color w:val="105C84"/>
                <w:spacing w:val="-6"/>
                <w:sz w:val="18"/>
              </w:rPr>
              <w:t> </w:t>
            </w:r>
            <w:r>
              <w:rPr>
                <w:color w:val="105C84"/>
                <w:sz w:val="18"/>
              </w:rPr>
              <w:t>strengthen</w:t>
            </w:r>
            <w:r>
              <w:rPr>
                <w:color w:val="105C84"/>
                <w:spacing w:val="-6"/>
                <w:sz w:val="18"/>
              </w:rPr>
              <w:t> </w:t>
            </w:r>
            <w:r>
              <w:rPr>
                <w:color w:val="105C84"/>
                <w:sz w:val="18"/>
              </w:rPr>
              <w:t>household</w:t>
            </w:r>
            <w:r>
              <w:rPr>
                <w:color w:val="105C84"/>
                <w:sz w:val="18"/>
              </w:rPr>
              <w:t> financial security; policies that stabilize housing</w:t>
            </w:r>
          </w:p>
        </w:tc>
        <w:tc>
          <w:tcPr>
            <w:tcW w:w="3892" w:type="dxa"/>
            <w:tcBorders>
              <w:left w:val="nil"/>
            </w:tcBorders>
          </w:tcPr>
          <w:p>
            <w:pPr>
              <w:pStyle w:val="TableParagraph"/>
              <w:spacing w:line="232" w:lineRule="auto" w:before="101"/>
              <w:ind w:left="1053"/>
              <w:rPr>
                <w:sz w:val="18"/>
              </w:rPr>
            </w:pPr>
            <w:r>
              <w:rPr>
                <w:color w:val="105C84"/>
                <w:sz w:val="18"/>
              </w:rPr>
              <w:t>Increase</w:t>
            </w:r>
            <w:r>
              <w:rPr>
                <w:color w:val="105C84"/>
                <w:spacing w:val="-8"/>
                <w:sz w:val="18"/>
              </w:rPr>
              <w:t> </w:t>
            </w:r>
            <w:r>
              <w:rPr>
                <w:color w:val="105C84"/>
                <w:sz w:val="18"/>
              </w:rPr>
              <w:t>housing</w:t>
            </w:r>
            <w:r>
              <w:rPr>
                <w:color w:val="105C84"/>
                <w:spacing w:val="-8"/>
                <w:sz w:val="18"/>
              </w:rPr>
              <w:t> </w:t>
            </w:r>
            <w:r>
              <w:rPr>
                <w:color w:val="105C84"/>
                <w:sz w:val="18"/>
              </w:rPr>
              <w:t>options</w:t>
            </w:r>
            <w:r>
              <w:rPr>
                <w:color w:val="105C84"/>
                <w:spacing w:val="-8"/>
                <w:sz w:val="18"/>
              </w:rPr>
              <w:t> </w:t>
            </w:r>
            <w:r>
              <w:rPr>
                <w:color w:val="105C84"/>
                <w:sz w:val="18"/>
              </w:rPr>
              <w:t>for</w:t>
            </w:r>
            <w:r>
              <w:rPr>
                <w:color w:val="105C84"/>
                <w:spacing w:val="-8"/>
                <w:sz w:val="18"/>
              </w:rPr>
              <w:t> </w:t>
            </w:r>
            <w:r>
              <w:rPr>
                <w:color w:val="105C84"/>
                <w:sz w:val="18"/>
              </w:rPr>
              <w:t>the </w:t>
            </w:r>
            <w:r>
              <w:rPr>
                <w:color w:val="105C84"/>
                <w:w w:val="105"/>
                <w:sz w:val="18"/>
              </w:rPr>
              <w:t>target</w:t>
            </w:r>
            <w:r>
              <w:rPr>
                <w:color w:val="105C84"/>
                <w:spacing w:val="-1"/>
                <w:w w:val="105"/>
                <w:sz w:val="18"/>
              </w:rPr>
              <w:t> </w:t>
            </w:r>
            <w:r>
              <w:rPr>
                <w:color w:val="105C84"/>
                <w:w w:val="105"/>
                <w:sz w:val="18"/>
              </w:rPr>
              <w:t>population</w:t>
            </w:r>
          </w:p>
          <w:p>
            <w:pPr>
              <w:pStyle w:val="TableParagraph"/>
              <w:spacing w:line="232" w:lineRule="auto" w:before="88"/>
              <w:ind w:left="1053" w:right="489"/>
              <w:rPr>
                <w:sz w:val="18"/>
              </w:rPr>
            </w:pPr>
            <w:r>
              <w:rPr>
                <w:color w:val="105C84"/>
                <w:spacing w:val="-2"/>
                <w:sz w:val="18"/>
              </w:rPr>
              <w:t>(Baseline:</w:t>
            </w:r>
            <w:r>
              <w:rPr>
                <w:color w:val="105C84"/>
                <w:spacing w:val="-11"/>
                <w:sz w:val="18"/>
              </w:rPr>
              <w:t> </w:t>
            </w:r>
            <w:r>
              <w:rPr>
                <w:color w:val="105C84"/>
                <w:spacing w:val="-2"/>
                <w:sz w:val="18"/>
              </w:rPr>
              <w:t>2-</w:t>
            </w:r>
            <w:r>
              <w:rPr>
                <w:color w:val="105C84"/>
                <w:spacing w:val="-10"/>
                <w:sz w:val="18"/>
              </w:rPr>
              <w:t> </w:t>
            </w:r>
            <w:r>
              <w:rPr>
                <w:color w:val="105C84"/>
                <w:spacing w:val="-2"/>
                <w:sz w:val="18"/>
              </w:rPr>
              <w:t>Skybird</w:t>
            </w:r>
            <w:r>
              <w:rPr>
                <w:color w:val="105C84"/>
                <w:spacing w:val="-11"/>
                <w:sz w:val="18"/>
              </w:rPr>
              <w:t> </w:t>
            </w:r>
            <w:r>
              <w:rPr>
                <w:color w:val="105C84"/>
                <w:spacing w:val="-2"/>
                <w:sz w:val="18"/>
              </w:rPr>
              <w:t>Landing, </w:t>
            </w:r>
            <w:r>
              <w:rPr>
                <w:color w:val="105C84"/>
                <w:sz w:val="18"/>
              </w:rPr>
              <w:t>CASA-Trinity In Patient TX </w:t>
            </w:r>
            <w:r>
              <w:rPr>
                <w:color w:val="105C84"/>
                <w:spacing w:val="-2"/>
                <w:sz w:val="18"/>
              </w:rPr>
              <w:t>Facility-2019)</w:t>
            </w:r>
          </w:p>
        </w:tc>
        <w:tc>
          <w:tcPr>
            <w:tcW w:w="1853" w:type="dxa"/>
          </w:tcPr>
          <w:p>
            <w:pPr>
              <w:pStyle w:val="TableParagraph"/>
              <w:spacing w:line="232" w:lineRule="auto" w:before="101"/>
              <w:ind w:left="83" w:right="222"/>
              <w:rPr>
                <w:sz w:val="18"/>
              </w:rPr>
            </w:pPr>
            <w:r>
              <w:rPr>
                <w:color w:val="105C84"/>
                <w:spacing w:val="-2"/>
                <w:sz w:val="18"/>
              </w:rPr>
              <w:t>GVHP/Suicide </w:t>
            </w:r>
            <w:r>
              <w:rPr>
                <w:color w:val="105C84"/>
                <w:spacing w:val="-6"/>
                <w:sz w:val="18"/>
              </w:rPr>
              <w:t>Prevention</w:t>
            </w:r>
            <w:r>
              <w:rPr>
                <w:color w:val="105C84"/>
                <w:spacing w:val="-7"/>
                <w:sz w:val="18"/>
              </w:rPr>
              <w:t> </w:t>
            </w:r>
            <w:r>
              <w:rPr>
                <w:color w:val="105C84"/>
                <w:spacing w:val="-6"/>
                <w:sz w:val="18"/>
              </w:rPr>
              <w:t>Task </w:t>
            </w:r>
            <w:r>
              <w:rPr>
                <w:color w:val="105C84"/>
                <w:spacing w:val="-2"/>
                <w:sz w:val="18"/>
              </w:rPr>
              <w:t>Force</w:t>
            </w:r>
          </w:p>
          <w:p>
            <w:pPr>
              <w:pStyle w:val="TableParagraph"/>
              <w:spacing w:before="82"/>
              <w:ind w:left="83"/>
              <w:rPr>
                <w:sz w:val="18"/>
              </w:rPr>
            </w:pPr>
            <w:r>
              <w:rPr>
                <w:color w:val="105C84"/>
                <w:sz w:val="18"/>
              </w:rPr>
              <w:t>LCDOH-</w:t>
            </w:r>
            <w:r>
              <w:rPr>
                <w:color w:val="105C84"/>
                <w:spacing w:val="-4"/>
                <w:sz w:val="18"/>
              </w:rPr>
              <w:t> LCMH</w:t>
            </w:r>
          </w:p>
          <w:p>
            <w:pPr>
              <w:pStyle w:val="TableParagraph"/>
              <w:spacing w:before="83"/>
              <w:ind w:left="83"/>
              <w:rPr>
                <w:sz w:val="18"/>
              </w:rPr>
            </w:pPr>
            <w:r>
              <w:rPr>
                <w:color w:val="105C84"/>
                <w:sz w:val="18"/>
              </w:rPr>
              <w:t>UR</w:t>
            </w:r>
            <w:r>
              <w:rPr>
                <w:color w:val="105C84"/>
                <w:spacing w:val="-11"/>
                <w:sz w:val="18"/>
              </w:rPr>
              <w:t> </w:t>
            </w:r>
            <w:r>
              <w:rPr>
                <w:color w:val="105C84"/>
                <w:sz w:val="18"/>
              </w:rPr>
              <w:t>Med</w:t>
            </w:r>
            <w:r>
              <w:rPr>
                <w:color w:val="105C84"/>
                <w:spacing w:val="-10"/>
                <w:sz w:val="18"/>
              </w:rPr>
              <w:t> </w:t>
            </w:r>
            <w:r>
              <w:rPr>
                <w:color w:val="105C84"/>
                <w:sz w:val="18"/>
              </w:rPr>
              <w:t>Noyes</w:t>
            </w:r>
            <w:r>
              <w:rPr>
                <w:color w:val="105C84"/>
                <w:spacing w:val="-10"/>
                <w:sz w:val="18"/>
              </w:rPr>
              <w:t> </w:t>
            </w:r>
            <w:r>
              <w:rPr>
                <w:color w:val="105C84"/>
                <w:spacing w:val="-5"/>
                <w:sz w:val="18"/>
              </w:rPr>
              <w:t>MH</w:t>
            </w:r>
          </w:p>
          <w:p>
            <w:pPr>
              <w:pStyle w:val="TableParagraph"/>
              <w:spacing w:line="232" w:lineRule="auto" w:before="88"/>
              <w:ind w:left="83" w:right="222"/>
              <w:rPr>
                <w:sz w:val="18"/>
              </w:rPr>
            </w:pPr>
            <w:r>
              <w:rPr>
                <w:color w:val="105C84"/>
                <w:spacing w:val="-2"/>
                <w:sz w:val="18"/>
              </w:rPr>
              <w:t>CASA-Trinity </w:t>
            </w:r>
            <w:r>
              <w:rPr>
                <w:color w:val="105C84"/>
                <w:sz w:val="18"/>
              </w:rPr>
              <w:t>Housing and </w:t>
            </w:r>
            <w:r>
              <w:rPr>
                <w:color w:val="105C84"/>
                <w:spacing w:val="-6"/>
                <w:sz w:val="18"/>
              </w:rPr>
              <w:t>Homelessness</w:t>
            </w:r>
            <w:r>
              <w:rPr>
                <w:color w:val="105C84"/>
                <w:spacing w:val="-7"/>
                <w:sz w:val="18"/>
              </w:rPr>
              <w:t> </w:t>
            </w:r>
            <w:r>
              <w:rPr>
                <w:color w:val="105C84"/>
                <w:spacing w:val="-6"/>
                <w:sz w:val="18"/>
              </w:rPr>
              <w:t>Task </w:t>
            </w:r>
            <w:r>
              <w:rPr>
                <w:color w:val="105C84"/>
                <w:spacing w:val="-2"/>
                <w:sz w:val="18"/>
              </w:rPr>
              <w:t>Force</w:t>
            </w:r>
          </w:p>
        </w:tc>
        <w:tc>
          <w:tcPr>
            <w:tcW w:w="2695" w:type="dxa"/>
          </w:tcPr>
          <w:p>
            <w:pPr>
              <w:pStyle w:val="TableParagraph"/>
              <w:spacing w:line="203" w:lineRule="exact" w:before="95"/>
              <w:ind w:left="80"/>
              <w:rPr>
                <w:sz w:val="18"/>
              </w:rPr>
            </w:pPr>
            <w:r>
              <w:rPr>
                <w:color w:val="105C84"/>
                <w:spacing w:val="-7"/>
                <w:sz w:val="18"/>
              </w:rPr>
              <w:t>GVHP:</w:t>
            </w:r>
            <w:r>
              <w:rPr>
                <w:color w:val="105C84"/>
                <w:spacing w:val="-6"/>
                <w:sz w:val="18"/>
              </w:rPr>
              <w:t> </w:t>
            </w:r>
            <w:r>
              <w:rPr>
                <w:color w:val="105C84"/>
                <w:spacing w:val="-2"/>
                <w:sz w:val="18"/>
              </w:rPr>
              <w:t>$4,500</w:t>
            </w:r>
          </w:p>
          <w:p>
            <w:pPr>
              <w:pStyle w:val="TableParagraph"/>
              <w:spacing w:line="232" w:lineRule="auto" w:before="2"/>
              <w:ind w:left="80"/>
              <w:rPr>
                <w:sz w:val="18"/>
              </w:rPr>
            </w:pPr>
            <w:r>
              <w:rPr>
                <w:color w:val="105C84"/>
                <w:spacing w:val="-4"/>
                <w:sz w:val="18"/>
              </w:rPr>
              <w:t>GVHP/Suicide</w:t>
            </w:r>
            <w:r>
              <w:rPr>
                <w:color w:val="105C84"/>
                <w:spacing w:val="-9"/>
                <w:sz w:val="18"/>
              </w:rPr>
              <w:t> </w:t>
            </w:r>
            <w:r>
              <w:rPr>
                <w:color w:val="105C84"/>
                <w:spacing w:val="-4"/>
                <w:sz w:val="18"/>
              </w:rPr>
              <w:t>Prevention</w:t>
            </w:r>
            <w:r>
              <w:rPr>
                <w:color w:val="105C84"/>
                <w:spacing w:val="-8"/>
                <w:sz w:val="18"/>
              </w:rPr>
              <w:t> </w:t>
            </w:r>
            <w:r>
              <w:rPr>
                <w:color w:val="105C84"/>
                <w:spacing w:val="-4"/>
                <w:sz w:val="18"/>
              </w:rPr>
              <w:t>Task </w:t>
            </w:r>
            <w:r>
              <w:rPr>
                <w:color w:val="105C84"/>
                <w:spacing w:val="-2"/>
                <w:sz w:val="18"/>
              </w:rPr>
              <w:t>Force</w:t>
            </w:r>
          </w:p>
          <w:p>
            <w:pPr>
              <w:pStyle w:val="TableParagraph"/>
              <w:spacing w:before="83"/>
              <w:ind w:left="127"/>
              <w:rPr>
                <w:sz w:val="18"/>
              </w:rPr>
            </w:pPr>
            <w:r>
              <w:rPr>
                <w:color w:val="105C84"/>
                <w:sz w:val="18"/>
              </w:rPr>
              <w:t>LCDOH-</w:t>
            </w:r>
            <w:r>
              <w:rPr>
                <w:color w:val="105C84"/>
                <w:spacing w:val="-4"/>
                <w:sz w:val="18"/>
              </w:rPr>
              <w:t> LCMH</w:t>
            </w:r>
          </w:p>
          <w:p>
            <w:pPr>
              <w:pStyle w:val="TableParagraph"/>
              <w:spacing w:before="83"/>
              <w:ind w:left="80"/>
              <w:rPr>
                <w:sz w:val="18"/>
              </w:rPr>
            </w:pPr>
            <w:r>
              <w:rPr>
                <w:color w:val="105C84"/>
                <w:sz w:val="18"/>
              </w:rPr>
              <w:t>UR</w:t>
            </w:r>
            <w:r>
              <w:rPr>
                <w:color w:val="105C84"/>
                <w:spacing w:val="-11"/>
                <w:sz w:val="18"/>
              </w:rPr>
              <w:t> </w:t>
            </w:r>
            <w:r>
              <w:rPr>
                <w:color w:val="105C84"/>
                <w:sz w:val="18"/>
              </w:rPr>
              <w:t>Med</w:t>
            </w:r>
            <w:r>
              <w:rPr>
                <w:color w:val="105C84"/>
                <w:spacing w:val="-10"/>
                <w:sz w:val="18"/>
              </w:rPr>
              <w:t> </w:t>
            </w:r>
            <w:r>
              <w:rPr>
                <w:color w:val="105C84"/>
                <w:sz w:val="18"/>
              </w:rPr>
              <w:t>Noyes</w:t>
            </w:r>
            <w:r>
              <w:rPr>
                <w:color w:val="105C84"/>
                <w:spacing w:val="-10"/>
                <w:sz w:val="18"/>
              </w:rPr>
              <w:t> </w:t>
            </w:r>
            <w:r>
              <w:rPr>
                <w:color w:val="105C84"/>
                <w:spacing w:val="-5"/>
                <w:sz w:val="18"/>
              </w:rPr>
              <w:t>MH</w:t>
            </w:r>
          </w:p>
          <w:p>
            <w:pPr>
              <w:pStyle w:val="TableParagraph"/>
              <w:spacing w:line="232" w:lineRule="auto" w:before="88"/>
              <w:ind w:left="80" w:right="354"/>
              <w:rPr>
                <w:sz w:val="18"/>
              </w:rPr>
            </w:pPr>
            <w:r>
              <w:rPr>
                <w:color w:val="105C84"/>
                <w:sz w:val="18"/>
              </w:rPr>
              <w:t>CASA-Trinity</w:t>
            </w:r>
            <w:r>
              <w:rPr>
                <w:color w:val="105C84"/>
                <w:spacing w:val="-4"/>
                <w:sz w:val="18"/>
              </w:rPr>
              <w:t> </w:t>
            </w:r>
            <w:r>
              <w:rPr>
                <w:color w:val="105C84"/>
                <w:sz w:val="18"/>
              </w:rPr>
              <w:t>Housing</w:t>
            </w:r>
            <w:r>
              <w:rPr>
                <w:color w:val="105C84"/>
                <w:spacing w:val="-4"/>
                <w:sz w:val="18"/>
              </w:rPr>
              <w:t> </w:t>
            </w:r>
            <w:r>
              <w:rPr>
                <w:color w:val="105C84"/>
                <w:sz w:val="18"/>
              </w:rPr>
              <w:t>and </w:t>
            </w:r>
            <w:r>
              <w:rPr>
                <w:color w:val="105C84"/>
                <w:spacing w:val="-6"/>
                <w:sz w:val="18"/>
              </w:rPr>
              <w:t>Homelessness Task Force </w:t>
            </w:r>
            <w:r>
              <w:rPr>
                <w:color w:val="105C84"/>
                <w:spacing w:val="-6"/>
                <w:sz w:val="18"/>
              </w:rPr>
              <w:t>- </w:t>
            </w:r>
            <w:r>
              <w:rPr>
                <w:color w:val="105C84"/>
                <w:sz w:val="18"/>
              </w:rPr>
              <w:t>all above to collaborate to increase housing options</w:t>
            </w:r>
          </w:p>
        </w:tc>
        <w:tc>
          <w:tcPr>
            <w:tcW w:w="2632" w:type="dxa"/>
          </w:tcPr>
          <w:p>
            <w:pPr>
              <w:pStyle w:val="TableParagraph"/>
              <w:spacing w:line="232" w:lineRule="auto" w:before="100"/>
              <w:ind w:left="78"/>
              <w:rPr>
                <w:sz w:val="18"/>
              </w:rPr>
            </w:pPr>
            <w:r>
              <w:rPr>
                <w:color w:val="105C84"/>
                <w:sz w:val="18"/>
              </w:rPr>
              <w:t>A minimum of 1 </w:t>
            </w:r>
            <w:r>
              <w:rPr>
                <w:color w:val="105C84"/>
                <w:sz w:val="18"/>
              </w:rPr>
              <w:t>additional options by year 3</w:t>
            </w:r>
          </w:p>
        </w:tc>
      </w:tr>
      <w:tr>
        <w:trPr>
          <w:trHeight w:val="1577" w:hRule="atLeast"/>
        </w:trPr>
        <w:tc>
          <w:tcPr>
            <w:tcW w:w="1353" w:type="dxa"/>
            <w:vMerge/>
            <w:tcBorders>
              <w:top w:val="nil"/>
            </w:tcBorders>
            <w:shd w:val="clear" w:color="auto" w:fill="E6E7E8"/>
          </w:tcPr>
          <w:p>
            <w:pPr>
              <w:rPr>
                <w:sz w:val="2"/>
                <w:szCs w:val="2"/>
              </w:rPr>
            </w:pPr>
          </w:p>
        </w:tc>
        <w:tc>
          <w:tcPr>
            <w:tcW w:w="1289" w:type="dxa"/>
            <w:vMerge/>
            <w:tcBorders>
              <w:top w:val="nil"/>
            </w:tcBorders>
          </w:tcPr>
          <w:p>
            <w:pPr>
              <w:rPr>
                <w:sz w:val="2"/>
                <w:szCs w:val="2"/>
              </w:rPr>
            </w:pPr>
          </w:p>
        </w:tc>
        <w:tc>
          <w:tcPr>
            <w:tcW w:w="1563" w:type="dxa"/>
            <w:vMerge/>
            <w:tcBorders>
              <w:top w:val="nil"/>
            </w:tcBorders>
          </w:tcPr>
          <w:p>
            <w:pPr>
              <w:rPr>
                <w:sz w:val="2"/>
                <w:szCs w:val="2"/>
              </w:rPr>
            </w:pPr>
          </w:p>
        </w:tc>
        <w:tc>
          <w:tcPr>
            <w:tcW w:w="1873" w:type="dxa"/>
            <w:vMerge/>
            <w:tcBorders>
              <w:top w:val="nil"/>
            </w:tcBorders>
          </w:tcPr>
          <w:p>
            <w:pPr>
              <w:rPr>
                <w:sz w:val="2"/>
                <w:szCs w:val="2"/>
              </w:rPr>
            </w:pPr>
          </w:p>
        </w:tc>
        <w:tc>
          <w:tcPr>
            <w:tcW w:w="1290" w:type="dxa"/>
            <w:vMerge/>
            <w:tcBorders>
              <w:top w:val="nil"/>
            </w:tcBorders>
          </w:tcPr>
          <w:p>
            <w:pPr>
              <w:rPr>
                <w:sz w:val="2"/>
                <w:szCs w:val="2"/>
              </w:rPr>
            </w:pPr>
          </w:p>
        </w:tc>
        <w:tc>
          <w:tcPr>
            <w:tcW w:w="3823" w:type="dxa"/>
            <w:tcBorders>
              <w:right w:val="nil"/>
            </w:tcBorders>
          </w:tcPr>
          <w:p>
            <w:pPr>
              <w:pStyle w:val="TableParagraph"/>
              <w:spacing w:line="232" w:lineRule="auto" w:before="100"/>
              <w:ind w:left="87" w:right="1234"/>
              <w:rPr>
                <w:sz w:val="18"/>
              </w:rPr>
            </w:pPr>
            <w:r>
              <w:rPr>
                <w:color w:val="105C84"/>
                <w:sz w:val="18"/>
              </w:rPr>
              <w:t>2.5.2 Strengthen access and delivery of suicide care - Zero Suicide: Zero Suicide is a commitment to </w:t>
            </w:r>
            <w:r>
              <w:rPr>
                <w:color w:val="105C84"/>
                <w:sz w:val="18"/>
              </w:rPr>
              <w:t>comprehensive</w:t>
            </w:r>
            <w:r>
              <w:rPr>
                <w:color w:val="105C84"/>
                <w:sz w:val="18"/>
              </w:rPr>
              <w:t> suicide safer care in health &amp; </w:t>
            </w:r>
            <w:r>
              <w:rPr>
                <w:color w:val="105C84"/>
                <w:spacing w:val="-2"/>
                <w:sz w:val="18"/>
              </w:rPr>
              <w:t>behavioral</w:t>
            </w:r>
            <w:r>
              <w:rPr>
                <w:color w:val="105C84"/>
                <w:spacing w:val="-7"/>
                <w:sz w:val="18"/>
              </w:rPr>
              <w:t> </w:t>
            </w:r>
            <w:r>
              <w:rPr>
                <w:color w:val="105C84"/>
                <w:spacing w:val="-2"/>
                <w:sz w:val="18"/>
              </w:rPr>
              <w:t>health</w:t>
            </w:r>
            <w:r>
              <w:rPr>
                <w:color w:val="105C84"/>
                <w:spacing w:val="-7"/>
                <w:sz w:val="18"/>
              </w:rPr>
              <w:t> </w:t>
            </w:r>
            <w:r>
              <w:rPr>
                <w:color w:val="105C84"/>
                <w:spacing w:val="-2"/>
                <w:sz w:val="18"/>
              </w:rPr>
              <w:t>care</w:t>
            </w:r>
            <w:r>
              <w:rPr>
                <w:color w:val="105C84"/>
                <w:spacing w:val="-7"/>
                <w:sz w:val="18"/>
              </w:rPr>
              <w:t> </w:t>
            </w:r>
            <w:r>
              <w:rPr>
                <w:color w:val="105C84"/>
                <w:spacing w:val="-2"/>
                <w:sz w:val="18"/>
              </w:rPr>
              <w:t>systems.</w:t>
            </w:r>
          </w:p>
        </w:tc>
        <w:tc>
          <w:tcPr>
            <w:tcW w:w="3892" w:type="dxa"/>
            <w:tcBorders>
              <w:left w:val="nil"/>
            </w:tcBorders>
          </w:tcPr>
          <w:p>
            <w:pPr>
              <w:pStyle w:val="TableParagraph"/>
              <w:spacing w:line="336" w:lineRule="auto" w:before="95"/>
              <w:ind w:left="1053" w:right="623"/>
              <w:rPr>
                <w:sz w:val="18"/>
              </w:rPr>
            </w:pPr>
            <w:r>
              <w:rPr>
                <w:color w:val="105C84"/>
                <w:sz w:val="18"/>
              </w:rPr>
              <w:t>Number of sessions Number of </w:t>
            </w:r>
            <w:r>
              <w:rPr>
                <w:color w:val="105C84"/>
                <w:sz w:val="18"/>
              </w:rPr>
              <w:t>participants</w:t>
            </w:r>
          </w:p>
        </w:tc>
        <w:tc>
          <w:tcPr>
            <w:tcW w:w="1853" w:type="dxa"/>
          </w:tcPr>
          <w:p>
            <w:pPr>
              <w:pStyle w:val="TableParagraph"/>
              <w:spacing w:line="232" w:lineRule="auto" w:before="100"/>
              <w:ind w:left="83" w:right="549"/>
              <w:rPr>
                <w:sz w:val="18"/>
              </w:rPr>
            </w:pPr>
            <w:r>
              <w:rPr>
                <w:color w:val="105C84"/>
                <w:spacing w:val="-4"/>
                <w:sz w:val="18"/>
              </w:rPr>
              <w:t>GVHP/Suicide </w:t>
            </w:r>
            <w:r>
              <w:rPr>
                <w:color w:val="105C84"/>
                <w:spacing w:val="-2"/>
                <w:sz w:val="18"/>
              </w:rPr>
              <w:t>Prevention </w:t>
            </w:r>
            <w:r>
              <w:rPr>
                <w:color w:val="105C84"/>
                <w:sz w:val="18"/>
              </w:rPr>
              <w:t>Task Force</w:t>
            </w:r>
          </w:p>
        </w:tc>
        <w:tc>
          <w:tcPr>
            <w:tcW w:w="2695" w:type="dxa"/>
          </w:tcPr>
          <w:p>
            <w:pPr>
              <w:pStyle w:val="TableParagraph"/>
              <w:spacing w:line="232" w:lineRule="auto" w:before="100"/>
              <w:ind w:left="80"/>
              <w:rPr>
                <w:sz w:val="18"/>
              </w:rPr>
            </w:pPr>
            <w:r>
              <w:rPr>
                <w:color w:val="105C84"/>
                <w:sz w:val="18"/>
              </w:rPr>
              <w:t>Conduct</w:t>
            </w:r>
            <w:r>
              <w:rPr>
                <w:color w:val="105C84"/>
                <w:spacing w:val="-13"/>
                <w:sz w:val="18"/>
              </w:rPr>
              <w:t> </w:t>
            </w:r>
            <w:r>
              <w:rPr>
                <w:color w:val="105C84"/>
                <w:sz w:val="18"/>
              </w:rPr>
              <w:t>workshops/ </w:t>
            </w:r>
            <w:r>
              <w:rPr>
                <w:color w:val="105C84"/>
                <w:spacing w:val="-2"/>
                <w:sz w:val="18"/>
              </w:rPr>
              <w:t>presentations</w:t>
            </w:r>
          </w:p>
        </w:tc>
        <w:tc>
          <w:tcPr>
            <w:tcW w:w="2632" w:type="dxa"/>
          </w:tcPr>
          <w:p>
            <w:pPr>
              <w:pStyle w:val="TableParagraph"/>
              <w:spacing w:line="232" w:lineRule="auto" w:before="100"/>
              <w:ind w:left="78"/>
              <w:rPr>
                <w:sz w:val="18"/>
              </w:rPr>
            </w:pPr>
            <w:r>
              <w:rPr>
                <w:color w:val="105C84"/>
                <w:sz w:val="18"/>
              </w:rPr>
              <w:t>Minimum</w:t>
            </w:r>
            <w:r>
              <w:rPr>
                <w:color w:val="105C84"/>
                <w:spacing w:val="-3"/>
                <w:sz w:val="18"/>
              </w:rPr>
              <w:t> </w:t>
            </w:r>
            <w:r>
              <w:rPr>
                <w:color w:val="105C84"/>
                <w:sz w:val="18"/>
              </w:rPr>
              <w:t>of</w:t>
            </w:r>
            <w:r>
              <w:rPr>
                <w:color w:val="105C84"/>
                <w:spacing w:val="-3"/>
                <w:sz w:val="18"/>
              </w:rPr>
              <w:t> </w:t>
            </w:r>
            <w:r>
              <w:rPr>
                <w:color w:val="105C84"/>
                <w:sz w:val="18"/>
              </w:rPr>
              <w:t>10</w:t>
            </w:r>
            <w:r>
              <w:rPr>
                <w:color w:val="105C84"/>
                <w:spacing w:val="-3"/>
                <w:sz w:val="18"/>
              </w:rPr>
              <w:t> </w:t>
            </w:r>
            <w:r>
              <w:rPr>
                <w:color w:val="105C84"/>
                <w:sz w:val="18"/>
              </w:rPr>
              <w:t>participants</w:t>
            </w:r>
            <w:r>
              <w:rPr>
                <w:color w:val="105C84"/>
                <w:spacing w:val="-3"/>
                <w:sz w:val="18"/>
              </w:rPr>
              <w:t> </w:t>
            </w:r>
            <w:r>
              <w:rPr>
                <w:color w:val="105C84"/>
                <w:sz w:val="18"/>
              </w:rPr>
              <w:t>in </w:t>
            </w:r>
            <w:r>
              <w:rPr>
                <w:color w:val="105C84"/>
                <w:spacing w:val="-4"/>
                <w:sz w:val="18"/>
              </w:rPr>
              <w:t>CALM</w:t>
            </w:r>
          </w:p>
          <w:p>
            <w:pPr>
              <w:pStyle w:val="TableParagraph"/>
              <w:spacing w:line="232" w:lineRule="auto" w:before="88"/>
              <w:ind w:left="78"/>
              <w:rPr>
                <w:sz w:val="18"/>
              </w:rPr>
            </w:pPr>
            <w:r>
              <w:rPr>
                <w:color w:val="105C84"/>
                <w:spacing w:val="-2"/>
                <w:sz w:val="18"/>
              </w:rPr>
              <w:t>100%</w:t>
            </w:r>
            <w:r>
              <w:rPr>
                <w:color w:val="105C84"/>
                <w:spacing w:val="-13"/>
                <w:sz w:val="18"/>
              </w:rPr>
              <w:t> </w:t>
            </w:r>
            <w:r>
              <w:rPr>
                <w:color w:val="105C84"/>
                <w:spacing w:val="-2"/>
                <w:sz w:val="18"/>
              </w:rPr>
              <w:t>increase</w:t>
            </w:r>
            <w:r>
              <w:rPr>
                <w:color w:val="105C84"/>
                <w:spacing w:val="-10"/>
                <w:sz w:val="18"/>
              </w:rPr>
              <w:t> </w:t>
            </w:r>
            <w:r>
              <w:rPr>
                <w:color w:val="105C84"/>
                <w:spacing w:val="-2"/>
                <w:sz w:val="18"/>
              </w:rPr>
              <w:t>knowledge </w:t>
            </w:r>
            <w:r>
              <w:rPr>
                <w:color w:val="105C84"/>
                <w:sz w:val="18"/>
              </w:rPr>
              <w:t>among Talk Saves Lives </w:t>
            </w:r>
            <w:r>
              <w:rPr>
                <w:color w:val="105C84"/>
                <w:spacing w:val="-2"/>
                <w:sz w:val="18"/>
              </w:rPr>
              <w:t>completers</w:t>
            </w:r>
          </w:p>
        </w:tc>
      </w:tr>
      <w:tr>
        <w:trPr>
          <w:trHeight w:val="2611" w:hRule="atLeast"/>
        </w:trPr>
        <w:tc>
          <w:tcPr>
            <w:tcW w:w="1353" w:type="dxa"/>
            <w:vMerge/>
            <w:tcBorders>
              <w:top w:val="nil"/>
            </w:tcBorders>
            <w:shd w:val="clear" w:color="auto" w:fill="E6E7E8"/>
          </w:tcPr>
          <w:p>
            <w:pPr>
              <w:rPr>
                <w:sz w:val="2"/>
                <w:szCs w:val="2"/>
              </w:rPr>
            </w:pPr>
          </w:p>
        </w:tc>
        <w:tc>
          <w:tcPr>
            <w:tcW w:w="1289" w:type="dxa"/>
            <w:vMerge/>
            <w:tcBorders>
              <w:top w:val="nil"/>
            </w:tcBorders>
          </w:tcPr>
          <w:p>
            <w:pPr>
              <w:rPr>
                <w:sz w:val="2"/>
                <w:szCs w:val="2"/>
              </w:rPr>
            </w:pPr>
          </w:p>
        </w:tc>
        <w:tc>
          <w:tcPr>
            <w:tcW w:w="1563" w:type="dxa"/>
            <w:vMerge/>
            <w:tcBorders>
              <w:top w:val="nil"/>
            </w:tcBorders>
          </w:tcPr>
          <w:p>
            <w:pPr>
              <w:rPr>
                <w:sz w:val="2"/>
                <w:szCs w:val="2"/>
              </w:rPr>
            </w:pPr>
          </w:p>
        </w:tc>
        <w:tc>
          <w:tcPr>
            <w:tcW w:w="1873" w:type="dxa"/>
            <w:vMerge/>
            <w:tcBorders>
              <w:top w:val="nil"/>
            </w:tcBorders>
          </w:tcPr>
          <w:p>
            <w:pPr>
              <w:rPr>
                <w:sz w:val="2"/>
                <w:szCs w:val="2"/>
              </w:rPr>
            </w:pPr>
          </w:p>
        </w:tc>
        <w:tc>
          <w:tcPr>
            <w:tcW w:w="1290" w:type="dxa"/>
            <w:vMerge/>
            <w:tcBorders>
              <w:top w:val="nil"/>
            </w:tcBorders>
          </w:tcPr>
          <w:p>
            <w:pPr>
              <w:rPr>
                <w:sz w:val="2"/>
                <w:szCs w:val="2"/>
              </w:rPr>
            </w:pPr>
          </w:p>
        </w:tc>
        <w:tc>
          <w:tcPr>
            <w:tcW w:w="3823" w:type="dxa"/>
            <w:tcBorders>
              <w:right w:val="nil"/>
            </w:tcBorders>
          </w:tcPr>
          <w:p>
            <w:pPr>
              <w:pStyle w:val="TableParagraph"/>
              <w:spacing w:line="232" w:lineRule="auto" w:before="100"/>
              <w:ind w:left="87" w:right="959"/>
              <w:rPr>
                <w:sz w:val="18"/>
              </w:rPr>
            </w:pPr>
            <w:r>
              <w:rPr>
                <w:color w:val="105C84"/>
                <w:sz w:val="18"/>
              </w:rPr>
              <w:t>2.5.3 Create protective environments: Reduce access to lethal means among persons at risk of suicide; integrate trauma informed approaches, reduce excessive alcohol use to include education at voluntary firearms safety courses and implement media campaign using Means </w:t>
            </w:r>
            <w:r>
              <w:rPr>
                <w:color w:val="105C84"/>
                <w:spacing w:val="-2"/>
                <w:sz w:val="18"/>
              </w:rPr>
              <w:t>Matters</w:t>
            </w:r>
            <w:r>
              <w:rPr>
                <w:color w:val="105C84"/>
                <w:spacing w:val="-9"/>
                <w:sz w:val="18"/>
              </w:rPr>
              <w:t> </w:t>
            </w:r>
            <w:r>
              <w:rPr>
                <w:color w:val="105C84"/>
                <w:spacing w:val="-2"/>
                <w:sz w:val="18"/>
              </w:rPr>
              <w:t>(NYS</w:t>
            </w:r>
            <w:r>
              <w:rPr>
                <w:color w:val="105C84"/>
                <w:spacing w:val="-9"/>
                <w:sz w:val="18"/>
              </w:rPr>
              <w:t> </w:t>
            </w:r>
            <w:r>
              <w:rPr>
                <w:color w:val="105C84"/>
                <w:spacing w:val="-2"/>
                <w:sz w:val="18"/>
              </w:rPr>
              <w:t>Prevention</w:t>
            </w:r>
            <w:r>
              <w:rPr>
                <w:color w:val="105C84"/>
                <w:spacing w:val="-9"/>
                <w:sz w:val="18"/>
              </w:rPr>
              <w:t> </w:t>
            </w:r>
            <w:r>
              <w:rPr>
                <w:color w:val="105C84"/>
                <w:spacing w:val="-2"/>
                <w:sz w:val="18"/>
              </w:rPr>
              <w:t>Agenda</w:t>
            </w:r>
            <w:r>
              <w:rPr>
                <w:color w:val="105C84"/>
                <w:spacing w:val="-2"/>
                <w:sz w:val="18"/>
              </w:rPr>
              <w:t>)</w:t>
            </w:r>
            <w:r>
              <w:rPr>
                <w:color w:val="105C84"/>
                <w:spacing w:val="-2"/>
                <w:sz w:val="18"/>
              </w:rPr>
              <w:t> </w:t>
            </w:r>
            <w:r>
              <w:rPr>
                <w:color w:val="105C84"/>
                <w:sz w:val="18"/>
              </w:rPr>
              <w:t>resources</w:t>
            </w:r>
            <w:r>
              <w:rPr>
                <w:color w:val="105C84"/>
                <w:spacing w:val="-13"/>
                <w:sz w:val="18"/>
              </w:rPr>
              <w:t> </w:t>
            </w:r>
            <w:r>
              <w:rPr>
                <w:color w:val="105C84"/>
                <w:sz w:val="18"/>
              </w:rPr>
              <w:t>target</w:t>
            </w:r>
            <w:r>
              <w:rPr>
                <w:color w:val="105C84"/>
                <w:spacing w:val="-12"/>
                <w:sz w:val="18"/>
              </w:rPr>
              <w:t> </w:t>
            </w:r>
            <w:r>
              <w:rPr>
                <w:color w:val="105C84"/>
                <w:sz w:val="18"/>
              </w:rPr>
              <w:t>firearms</w:t>
            </w:r>
            <w:r>
              <w:rPr>
                <w:color w:val="105C84"/>
                <w:spacing w:val="-13"/>
                <w:sz w:val="18"/>
              </w:rPr>
              <w:t> </w:t>
            </w:r>
            <w:r>
              <w:rPr>
                <w:color w:val="105C84"/>
                <w:sz w:val="18"/>
              </w:rPr>
              <w:t>retailers and sportmen's clubs</w:t>
            </w:r>
          </w:p>
        </w:tc>
        <w:tc>
          <w:tcPr>
            <w:tcW w:w="3892" w:type="dxa"/>
            <w:tcBorders>
              <w:left w:val="nil"/>
            </w:tcBorders>
          </w:tcPr>
          <w:p>
            <w:pPr>
              <w:pStyle w:val="TableParagraph"/>
              <w:spacing w:line="336" w:lineRule="auto" w:before="95"/>
              <w:ind w:left="1053" w:right="623"/>
              <w:rPr>
                <w:sz w:val="18"/>
              </w:rPr>
            </w:pPr>
            <w:r>
              <w:rPr>
                <w:color w:val="105C84"/>
                <w:sz w:val="18"/>
              </w:rPr>
              <w:t>Number of sessions Number of </w:t>
            </w:r>
            <w:r>
              <w:rPr>
                <w:color w:val="105C84"/>
                <w:sz w:val="18"/>
              </w:rPr>
              <w:t>participants</w:t>
            </w:r>
          </w:p>
          <w:p>
            <w:pPr>
              <w:pStyle w:val="TableParagraph"/>
              <w:spacing w:line="336" w:lineRule="auto"/>
              <w:ind w:left="1053" w:right="440"/>
              <w:rPr>
                <w:sz w:val="18"/>
              </w:rPr>
            </w:pPr>
            <w:r>
              <w:rPr>
                <w:color w:val="105C84"/>
                <w:spacing w:val="-2"/>
                <w:sz w:val="18"/>
              </w:rPr>
              <w:t>(Baseline:</w:t>
            </w:r>
            <w:r>
              <w:rPr>
                <w:color w:val="105C84"/>
                <w:spacing w:val="-11"/>
                <w:sz w:val="18"/>
              </w:rPr>
              <w:t> </w:t>
            </w:r>
            <w:r>
              <w:rPr>
                <w:color w:val="105C84"/>
                <w:spacing w:val="-2"/>
                <w:sz w:val="18"/>
              </w:rPr>
              <w:t>established</w:t>
            </w:r>
            <w:r>
              <w:rPr>
                <w:color w:val="105C84"/>
                <w:spacing w:val="-10"/>
                <w:sz w:val="18"/>
              </w:rPr>
              <w:t> </w:t>
            </w:r>
            <w:r>
              <w:rPr>
                <w:color w:val="105C84"/>
                <w:spacing w:val="-2"/>
                <w:sz w:val="18"/>
              </w:rPr>
              <w:t>in</w:t>
            </w:r>
            <w:r>
              <w:rPr>
                <w:color w:val="105C84"/>
                <w:spacing w:val="-11"/>
                <w:sz w:val="18"/>
              </w:rPr>
              <w:t> </w:t>
            </w:r>
            <w:r>
              <w:rPr>
                <w:color w:val="105C84"/>
                <w:spacing w:val="-2"/>
                <w:sz w:val="18"/>
              </w:rPr>
              <w:t>2020) </w:t>
            </w:r>
            <w:r>
              <w:rPr>
                <w:color w:val="105C84"/>
                <w:sz w:val="18"/>
              </w:rPr>
              <w:t>Number of earned media Number of paid media</w:t>
            </w:r>
          </w:p>
          <w:p>
            <w:pPr>
              <w:pStyle w:val="TableParagraph"/>
              <w:spacing w:line="232" w:lineRule="auto" w:before="6"/>
              <w:ind w:left="1053" w:right="192"/>
              <w:rPr>
                <w:sz w:val="18"/>
              </w:rPr>
            </w:pPr>
            <w:r>
              <w:rPr>
                <w:color w:val="105C84"/>
                <w:spacing w:val="-4"/>
                <w:sz w:val="18"/>
              </w:rPr>
              <w:t>(Baseline:10 suicide deaths </w:t>
            </w:r>
            <w:r>
              <w:rPr>
                <w:color w:val="105C84"/>
                <w:spacing w:val="-4"/>
                <w:sz w:val="18"/>
              </w:rPr>
              <w:t>2018, </w:t>
            </w:r>
            <w:r>
              <w:rPr>
                <w:color w:val="105C84"/>
                <w:sz w:val="18"/>
              </w:rPr>
              <w:t>Liv Co Coroner’s report) Baseline: 10.3 age-adjusted suicide death rate per 100,000</w:t>
            </w:r>
          </w:p>
        </w:tc>
        <w:tc>
          <w:tcPr>
            <w:tcW w:w="1853" w:type="dxa"/>
          </w:tcPr>
          <w:p>
            <w:pPr>
              <w:pStyle w:val="TableParagraph"/>
              <w:spacing w:line="232" w:lineRule="auto" w:before="100"/>
              <w:ind w:left="83" w:right="222"/>
              <w:rPr>
                <w:sz w:val="18"/>
              </w:rPr>
            </w:pPr>
            <w:r>
              <w:rPr>
                <w:color w:val="105C84"/>
                <w:spacing w:val="-2"/>
                <w:sz w:val="18"/>
              </w:rPr>
              <w:t>GVHP/Suicide </w:t>
            </w:r>
            <w:r>
              <w:rPr>
                <w:color w:val="105C84"/>
                <w:spacing w:val="-6"/>
                <w:sz w:val="18"/>
              </w:rPr>
              <w:t>Prevention</w:t>
            </w:r>
            <w:r>
              <w:rPr>
                <w:color w:val="105C84"/>
                <w:spacing w:val="-7"/>
                <w:sz w:val="18"/>
              </w:rPr>
              <w:t> </w:t>
            </w:r>
            <w:r>
              <w:rPr>
                <w:color w:val="105C84"/>
                <w:spacing w:val="-6"/>
                <w:sz w:val="18"/>
              </w:rPr>
              <w:t>Task </w:t>
            </w:r>
            <w:r>
              <w:rPr>
                <w:color w:val="105C84"/>
                <w:spacing w:val="-2"/>
                <w:sz w:val="18"/>
              </w:rPr>
              <w:t>Force</w:t>
            </w:r>
          </w:p>
          <w:p>
            <w:pPr>
              <w:pStyle w:val="TableParagraph"/>
              <w:spacing w:before="82"/>
              <w:ind w:left="83"/>
              <w:rPr>
                <w:sz w:val="18"/>
              </w:rPr>
            </w:pPr>
            <w:r>
              <w:rPr>
                <w:color w:val="105C84"/>
                <w:spacing w:val="-4"/>
                <w:sz w:val="18"/>
              </w:rPr>
              <w:t>LC</w:t>
            </w:r>
            <w:r>
              <w:rPr>
                <w:color w:val="105C84"/>
                <w:spacing w:val="-9"/>
                <w:sz w:val="18"/>
              </w:rPr>
              <w:t> </w:t>
            </w:r>
            <w:r>
              <w:rPr>
                <w:color w:val="105C84"/>
                <w:spacing w:val="-4"/>
                <w:sz w:val="18"/>
              </w:rPr>
              <w:t>Sheriff’s</w:t>
            </w:r>
            <w:r>
              <w:rPr>
                <w:color w:val="105C84"/>
                <w:spacing w:val="-8"/>
                <w:sz w:val="18"/>
              </w:rPr>
              <w:t> </w:t>
            </w:r>
            <w:r>
              <w:rPr>
                <w:color w:val="105C84"/>
                <w:spacing w:val="-4"/>
                <w:sz w:val="18"/>
              </w:rPr>
              <w:t>Office</w:t>
            </w:r>
          </w:p>
        </w:tc>
        <w:tc>
          <w:tcPr>
            <w:tcW w:w="2695" w:type="dxa"/>
          </w:tcPr>
          <w:p>
            <w:pPr>
              <w:pStyle w:val="TableParagraph"/>
              <w:spacing w:line="232" w:lineRule="auto" w:before="100"/>
              <w:ind w:left="80"/>
              <w:rPr>
                <w:sz w:val="18"/>
              </w:rPr>
            </w:pPr>
            <w:r>
              <w:rPr>
                <w:color w:val="105C84"/>
                <w:sz w:val="18"/>
              </w:rPr>
              <w:t>Conduct training and </w:t>
            </w:r>
            <w:r>
              <w:rPr>
                <w:color w:val="105C84"/>
                <w:sz w:val="18"/>
              </w:rPr>
              <w:t>post training</w:t>
            </w:r>
            <w:r>
              <w:rPr>
                <w:color w:val="105C84"/>
                <w:spacing w:val="-7"/>
                <w:sz w:val="18"/>
              </w:rPr>
              <w:t> </w:t>
            </w:r>
            <w:r>
              <w:rPr>
                <w:color w:val="105C84"/>
                <w:sz w:val="18"/>
              </w:rPr>
              <w:t>survey</w:t>
            </w:r>
            <w:r>
              <w:rPr>
                <w:color w:val="105C84"/>
                <w:spacing w:val="-6"/>
                <w:sz w:val="18"/>
              </w:rPr>
              <w:t> </w:t>
            </w:r>
            <w:r>
              <w:rPr>
                <w:color w:val="105C84"/>
                <w:sz w:val="18"/>
              </w:rPr>
              <w:t>with</w:t>
            </w:r>
            <w:r>
              <w:rPr>
                <w:color w:val="105C84"/>
                <w:spacing w:val="-6"/>
                <w:sz w:val="18"/>
              </w:rPr>
              <w:t> </w:t>
            </w:r>
            <w:r>
              <w:rPr>
                <w:color w:val="105C84"/>
                <w:spacing w:val="-4"/>
                <w:sz w:val="18"/>
              </w:rPr>
              <w:t>LCSO</w:t>
            </w:r>
          </w:p>
          <w:p>
            <w:pPr>
              <w:pStyle w:val="TableParagraph"/>
              <w:spacing w:line="232" w:lineRule="auto" w:before="88"/>
              <w:ind w:left="80"/>
              <w:rPr>
                <w:sz w:val="18"/>
              </w:rPr>
            </w:pPr>
            <w:r>
              <w:rPr>
                <w:color w:val="105C84"/>
                <w:sz w:val="18"/>
              </w:rPr>
              <w:t>Assist</w:t>
            </w:r>
            <w:r>
              <w:rPr>
                <w:color w:val="105C84"/>
                <w:spacing w:val="-7"/>
                <w:sz w:val="18"/>
              </w:rPr>
              <w:t> </w:t>
            </w:r>
            <w:r>
              <w:rPr>
                <w:color w:val="105C84"/>
                <w:sz w:val="18"/>
              </w:rPr>
              <w:t>with</w:t>
            </w:r>
            <w:r>
              <w:rPr>
                <w:color w:val="105C84"/>
                <w:spacing w:val="-7"/>
                <w:sz w:val="18"/>
              </w:rPr>
              <w:t> </w:t>
            </w:r>
            <w:r>
              <w:rPr>
                <w:color w:val="105C84"/>
                <w:sz w:val="18"/>
              </w:rPr>
              <w:t>coordination</w:t>
            </w:r>
            <w:r>
              <w:rPr>
                <w:color w:val="105C84"/>
                <w:spacing w:val="-7"/>
                <w:sz w:val="18"/>
              </w:rPr>
              <w:t> </w:t>
            </w:r>
            <w:r>
              <w:rPr>
                <w:color w:val="105C84"/>
                <w:sz w:val="18"/>
              </w:rPr>
              <w:t>of</w:t>
            </w:r>
            <w:r>
              <w:rPr>
                <w:color w:val="105C84"/>
                <w:spacing w:val="-7"/>
                <w:sz w:val="18"/>
              </w:rPr>
              <w:t> </w:t>
            </w:r>
            <w:r>
              <w:rPr>
                <w:color w:val="105C84"/>
                <w:sz w:val="18"/>
              </w:rPr>
              <w:t>staff </w:t>
            </w:r>
            <w:r>
              <w:rPr>
                <w:color w:val="105C84"/>
                <w:spacing w:val="-2"/>
                <w:sz w:val="18"/>
              </w:rPr>
              <w:t>training</w:t>
            </w:r>
          </w:p>
          <w:p>
            <w:pPr>
              <w:pStyle w:val="TableParagraph"/>
              <w:spacing w:before="83"/>
              <w:ind w:left="80"/>
              <w:rPr>
                <w:sz w:val="18"/>
              </w:rPr>
            </w:pPr>
            <w:r>
              <w:rPr>
                <w:color w:val="105C84"/>
                <w:sz w:val="18"/>
              </w:rPr>
              <w:t>Implement</w:t>
            </w:r>
            <w:r>
              <w:rPr>
                <w:color w:val="105C84"/>
                <w:spacing w:val="11"/>
                <w:sz w:val="18"/>
              </w:rPr>
              <w:t> </w:t>
            </w:r>
            <w:r>
              <w:rPr>
                <w:color w:val="105C84"/>
                <w:sz w:val="18"/>
              </w:rPr>
              <w:t>media</w:t>
            </w:r>
            <w:r>
              <w:rPr>
                <w:color w:val="105C84"/>
                <w:spacing w:val="12"/>
                <w:sz w:val="18"/>
              </w:rPr>
              <w:t> </w:t>
            </w:r>
            <w:r>
              <w:rPr>
                <w:color w:val="105C84"/>
                <w:spacing w:val="-2"/>
                <w:sz w:val="18"/>
              </w:rPr>
              <w:t>campaign</w:t>
            </w:r>
          </w:p>
        </w:tc>
        <w:tc>
          <w:tcPr>
            <w:tcW w:w="2632" w:type="dxa"/>
          </w:tcPr>
          <w:p>
            <w:pPr>
              <w:pStyle w:val="TableParagraph"/>
              <w:spacing w:line="232" w:lineRule="auto" w:before="100"/>
              <w:ind w:left="78" w:right="212"/>
              <w:rPr>
                <w:sz w:val="18"/>
              </w:rPr>
            </w:pPr>
            <w:r>
              <w:rPr>
                <w:color w:val="105C84"/>
                <w:sz w:val="18"/>
              </w:rPr>
              <w:t>100% of participants to complete</w:t>
            </w:r>
            <w:r>
              <w:rPr>
                <w:color w:val="105C84"/>
                <w:spacing w:val="-13"/>
                <w:sz w:val="18"/>
              </w:rPr>
              <w:t> </w:t>
            </w:r>
            <w:r>
              <w:rPr>
                <w:color w:val="105C84"/>
                <w:sz w:val="18"/>
              </w:rPr>
              <w:t>survey</w:t>
            </w:r>
            <w:r>
              <w:rPr>
                <w:color w:val="105C84"/>
                <w:spacing w:val="-12"/>
                <w:sz w:val="18"/>
              </w:rPr>
              <w:t> </w:t>
            </w:r>
            <w:r>
              <w:rPr>
                <w:color w:val="105C84"/>
                <w:sz w:val="18"/>
              </w:rPr>
              <w:t>to</w:t>
            </w:r>
            <w:r>
              <w:rPr>
                <w:color w:val="105C84"/>
                <w:spacing w:val="-13"/>
                <w:sz w:val="18"/>
              </w:rPr>
              <w:t> </w:t>
            </w:r>
            <w:r>
              <w:rPr>
                <w:color w:val="105C84"/>
                <w:sz w:val="18"/>
              </w:rPr>
              <w:t>show increase in knowledge</w:t>
            </w:r>
          </w:p>
          <w:p>
            <w:pPr>
              <w:pStyle w:val="TableParagraph"/>
              <w:spacing w:line="232" w:lineRule="auto" w:before="87"/>
              <w:ind w:left="78" w:right="212"/>
              <w:rPr>
                <w:sz w:val="18"/>
              </w:rPr>
            </w:pPr>
            <w:r>
              <w:rPr>
                <w:color w:val="105C84"/>
                <w:sz w:val="18"/>
              </w:rPr>
              <w:t>Media campaign implemented and </w:t>
            </w:r>
            <w:r>
              <w:rPr>
                <w:color w:val="105C84"/>
                <w:sz w:val="18"/>
              </w:rPr>
              <w:t>evaluated annually</w:t>
            </w:r>
            <w:r>
              <w:rPr>
                <w:color w:val="105C84"/>
                <w:spacing w:val="-12"/>
                <w:sz w:val="18"/>
              </w:rPr>
              <w:t> </w:t>
            </w:r>
            <w:r>
              <w:rPr>
                <w:color w:val="105C84"/>
                <w:sz w:val="18"/>
              </w:rPr>
              <w:t>(number</w:t>
            </w:r>
            <w:r>
              <w:rPr>
                <w:color w:val="105C84"/>
                <w:spacing w:val="-12"/>
                <w:sz w:val="18"/>
              </w:rPr>
              <w:t> </w:t>
            </w:r>
            <w:r>
              <w:rPr>
                <w:color w:val="105C84"/>
                <w:sz w:val="18"/>
              </w:rPr>
              <w:t>of</w:t>
            </w:r>
            <w:r>
              <w:rPr>
                <w:color w:val="105C84"/>
                <w:spacing w:val="-12"/>
                <w:sz w:val="18"/>
              </w:rPr>
              <w:t> </w:t>
            </w:r>
            <w:r>
              <w:rPr>
                <w:color w:val="105C84"/>
                <w:sz w:val="18"/>
              </w:rPr>
              <w:t>website hits, impressions)</w:t>
            </w:r>
          </w:p>
        </w:tc>
      </w:tr>
    </w:tbl>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242"/>
        <w:rPr>
          <w:b/>
          <w:sz w:val="26"/>
        </w:rPr>
      </w:pPr>
    </w:p>
    <w:p>
      <w:pPr>
        <w:tabs>
          <w:tab w:pos="23047" w:val="left" w:leader="none"/>
        </w:tabs>
        <w:spacing w:before="0"/>
        <w:ind w:left="0" w:right="0" w:firstLine="0"/>
        <w:jc w:val="left"/>
        <w:rPr>
          <w:b/>
          <w:sz w:val="26"/>
        </w:rPr>
      </w:pPr>
      <w:r>
        <w:rPr>
          <w:position w:val="-4"/>
        </w:rPr>
        <w:drawing>
          <wp:inline distT="0" distB="0" distL="0" distR="0">
            <wp:extent cx="568172" cy="184683"/>
            <wp:effectExtent l="0" t="0" r="0" b="0"/>
            <wp:docPr id="1792" name="Image 1792"/>
            <wp:cNvGraphicFramePr>
              <a:graphicFrameLocks/>
            </wp:cNvGraphicFramePr>
            <a:graphic>
              <a:graphicData uri="http://schemas.openxmlformats.org/drawingml/2006/picture">
                <pic:pic>
                  <pic:nvPicPr>
                    <pic:cNvPr id="1792" name="Image 1792"/>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13"/>
          <w:sz w:val="20"/>
        </w:rPr>
        <w:t> </w:t>
      </w:r>
      <w:r>
        <w:rPr>
          <w:b/>
          <w:color w:val="939598"/>
          <w:w w:val="105"/>
          <w:sz w:val="26"/>
        </w:rPr>
        <w:t>141</w:t>
      </w:r>
      <w:r>
        <w:rPr>
          <w:b/>
          <w:color w:val="939598"/>
          <w:sz w:val="26"/>
        </w:rPr>
        <w:tab/>
      </w:r>
      <w:r>
        <w:rPr>
          <w:b/>
          <w:color w:val="939598"/>
          <w:spacing w:val="-5"/>
          <w:w w:val="105"/>
          <w:sz w:val="26"/>
        </w:rPr>
        <w:t>142</w:t>
      </w:r>
    </w:p>
    <w:p>
      <w:pPr>
        <w:spacing w:after="0"/>
        <w:jc w:val="left"/>
        <w:rPr>
          <w:b/>
          <w:sz w:val="26"/>
        </w:rPr>
        <w:sectPr>
          <w:pgSz w:w="24480" w:h="15840" w:orient="landscape"/>
          <w:pgMar w:header="0" w:footer="0" w:top="860" w:bottom="0" w:left="0" w:right="720"/>
        </w:sectPr>
      </w:pPr>
    </w:p>
    <w:p>
      <w:pPr>
        <w:pStyle w:val="Heading2"/>
      </w:pPr>
      <w:r>
        <w:rPr/>
        <w:drawing>
          <wp:anchor distT="0" distB="0" distL="0" distR="0" allowOverlap="1" layoutInCell="1" locked="0" behindDoc="0" simplePos="0" relativeHeight="15941120">
            <wp:simplePos x="0" y="0"/>
            <wp:positionH relativeFrom="page">
              <wp:posOffset>14981556</wp:posOffset>
            </wp:positionH>
            <wp:positionV relativeFrom="page">
              <wp:posOffset>9668103</wp:posOffset>
            </wp:positionV>
            <wp:extent cx="563245" cy="184683"/>
            <wp:effectExtent l="0" t="0" r="0" b="0"/>
            <wp:wrapNone/>
            <wp:docPr id="1798" name="Image 1798"/>
            <wp:cNvGraphicFramePr>
              <a:graphicFrameLocks/>
            </wp:cNvGraphicFramePr>
            <a:graphic>
              <a:graphicData uri="http://schemas.openxmlformats.org/drawingml/2006/picture">
                <pic:pic>
                  <pic:nvPicPr>
                    <pic:cNvPr id="1798" name="Image 1798"/>
                    <pic:cNvPicPr/>
                  </pic:nvPicPr>
                  <pic:blipFill>
                    <a:blip r:embed="rId38" cstate="print"/>
                    <a:stretch>
                      <a:fillRect/>
                    </a:stretch>
                  </pic:blipFill>
                  <pic:spPr>
                    <a:xfrm>
                      <a:off x="0" y="0"/>
                      <a:ext cx="563245" cy="184683"/>
                    </a:xfrm>
                    <a:prstGeom prst="rect">
                      <a:avLst/>
                    </a:prstGeom>
                  </pic:spPr>
                </pic:pic>
              </a:graphicData>
            </a:graphic>
          </wp:anchor>
        </w:drawing>
      </w:r>
      <w:r>
        <w:rPr/>
        <w:drawing>
          <wp:anchor distT="0" distB="0" distL="0" distR="0" allowOverlap="1" layoutInCell="1" locked="0" behindDoc="0" simplePos="0" relativeHeight="15941632">
            <wp:simplePos x="0" y="0"/>
            <wp:positionH relativeFrom="page">
              <wp:posOffset>14252733</wp:posOffset>
            </wp:positionH>
            <wp:positionV relativeFrom="paragraph">
              <wp:posOffset>358457</wp:posOffset>
            </wp:positionV>
            <wp:extent cx="588168" cy="615314"/>
            <wp:effectExtent l="0" t="0" r="0" b="0"/>
            <wp:wrapNone/>
            <wp:docPr id="1799" name="Image 1799"/>
            <wp:cNvGraphicFramePr>
              <a:graphicFrameLocks/>
            </wp:cNvGraphicFramePr>
            <a:graphic>
              <a:graphicData uri="http://schemas.openxmlformats.org/drawingml/2006/picture">
                <pic:pic>
                  <pic:nvPicPr>
                    <pic:cNvPr id="1799" name="Image 1799"/>
                    <pic:cNvPicPr/>
                  </pic:nvPicPr>
                  <pic:blipFill>
                    <a:blip r:embed="rId248" cstate="print"/>
                    <a:stretch>
                      <a:fillRect/>
                    </a:stretch>
                  </pic:blipFill>
                  <pic:spPr>
                    <a:xfrm>
                      <a:off x="0" y="0"/>
                      <a:ext cx="588168" cy="615314"/>
                    </a:xfrm>
                    <a:prstGeom prst="rect">
                      <a:avLst/>
                    </a:prstGeom>
                  </pic:spPr>
                </pic:pic>
              </a:graphicData>
            </a:graphic>
          </wp:anchor>
        </w:drawing>
      </w:r>
      <w:r>
        <w:rPr/>
        <w:drawing>
          <wp:anchor distT="0" distB="0" distL="0" distR="0" allowOverlap="1" layoutInCell="1" locked="0" behindDoc="0" simplePos="0" relativeHeight="15942144">
            <wp:simplePos x="0" y="0"/>
            <wp:positionH relativeFrom="page">
              <wp:posOffset>9637268</wp:posOffset>
            </wp:positionH>
            <wp:positionV relativeFrom="paragraph">
              <wp:posOffset>365759</wp:posOffset>
            </wp:positionV>
            <wp:extent cx="1013459" cy="346709"/>
            <wp:effectExtent l="0" t="0" r="0" b="0"/>
            <wp:wrapNone/>
            <wp:docPr id="1800" name="Image 1800"/>
            <wp:cNvGraphicFramePr>
              <a:graphicFrameLocks/>
            </wp:cNvGraphicFramePr>
            <a:graphic>
              <a:graphicData uri="http://schemas.openxmlformats.org/drawingml/2006/picture">
                <pic:pic>
                  <pic:nvPicPr>
                    <pic:cNvPr id="1800" name="Image 1800"/>
                    <pic:cNvPicPr/>
                  </pic:nvPicPr>
                  <pic:blipFill>
                    <a:blip r:embed="rId249" cstate="print"/>
                    <a:stretch>
                      <a:fillRect/>
                    </a:stretch>
                  </pic:blipFill>
                  <pic:spPr>
                    <a:xfrm>
                      <a:off x="0" y="0"/>
                      <a:ext cx="1013459" cy="346709"/>
                    </a:xfrm>
                    <a:prstGeom prst="rect">
                      <a:avLst/>
                    </a:prstGeom>
                  </pic:spPr>
                </pic:pic>
              </a:graphicData>
            </a:graphic>
          </wp:anchor>
        </w:drawing>
      </w:r>
      <w:r>
        <w:rPr/>
        <w:drawing>
          <wp:anchor distT="0" distB="0" distL="0" distR="0" allowOverlap="1" layoutInCell="1" locked="0" behindDoc="0" simplePos="0" relativeHeight="15942656">
            <wp:simplePos x="0" y="0"/>
            <wp:positionH relativeFrom="page">
              <wp:posOffset>8820404</wp:posOffset>
            </wp:positionH>
            <wp:positionV relativeFrom="paragraph">
              <wp:posOffset>303783</wp:posOffset>
            </wp:positionV>
            <wp:extent cx="680085" cy="626110"/>
            <wp:effectExtent l="0" t="0" r="0" b="0"/>
            <wp:wrapNone/>
            <wp:docPr id="1801" name="Image 1801"/>
            <wp:cNvGraphicFramePr>
              <a:graphicFrameLocks/>
            </wp:cNvGraphicFramePr>
            <a:graphic>
              <a:graphicData uri="http://schemas.openxmlformats.org/drawingml/2006/picture">
                <pic:pic>
                  <pic:nvPicPr>
                    <pic:cNvPr id="1801" name="Image 1801"/>
                    <pic:cNvPicPr/>
                  </pic:nvPicPr>
                  <pic:blipFill>
                    <a:blip r:embed="rId250" cstate="print"/>
                    <a:stretch>
                      <a:fillRect/>
                    </a:stretch>
                  </pic:blipFill>
                  <pic:spPr>
                    <a:xfrm>
                      <a:off x="0" y="0"/>
                      <a:ext cx="680085" cy="626110"/>
                    </a:xfrm>
                    <a:prstGeom prst="rect">
                      <a:avLst/>
                    </a:prstGeom>
                  </pic:spPr>
                </pic:pic>
              </a:graphicData>
            </a:graphic>
          </wp:anchor>
        </w:drawing>
      </w:r>
      <w:r>
        <w:rPr/>
        <w:drawing>
          <wp:anchor distT="0" distB="0" distL="0" distR="0" allowOverlap="1" layoutInCell="1" locked="0" behindDoc="0" simplePos="0" relativeHeight="15943168">
            <wp:simplePos x="0" y="0"/>
            <wp:positionH relativeFrom="page">
              <wp:posOffset>12660794</wp:posOffset>
            </wp:positionH>
            <wp:positionV relativeFrom="paragraph">
              <wp:posOffset>292608</wp:posOffset>
            </wp:positionV>
            <wp:extent cx="1542007" cy="459636"/>
            <wp:effectExtent l="0" t="0" r="0" b="0"/>
            <wp:wrapNone/>
            <wp:docPr id="1802" name="Image 1802"/>
            <wp:cNvGraphicFramePr>
              <a:graphicFrameLocks/>
            </wp:cNvGraphicFramePr>
            <a:graphic>
              <a:graphicData uri="http://schemas.openxmlformats.org/drawingml/2006/picture">
                <pic:pic>
                  <pic:nvPicPr>
                    <pic:cNvPr id="1802" name="Image 1802"/>
                    <pic:cNvPicPr/>
                  </pic:nvPicPr>
                  <pic:blipFill>
                    <a:blip r:embed="rId251" cstate="print"/>
                    <a:stretch>
                      <a:fillRect/>
                    </a:stretch>
                  </pic:blipFill>
                  <pic:spPr>
                    <a:xfrm>
                      <a:off x="0" y="0"/>
                      <a:ext cx="1542007" cy="459636"/>
                    </a:xfrm>
                    <a:prstGeom prst="rect">
                      <a:avLst/>
                    </a:prstGeom>
                  </pic:spPr>
                </pic:pic>
              </a:graphicData>
            </a:graphic>
          </wp:anchor>
        </w:drawing>
      </w:r>
      <w:r>
        <w:rPr/>
        <w:drawing>
          <wp:anchor distT="0" distB="0" distL="0" distR="0" allowOverlap="1" layoutInCell="1" locked="0" behindDoc="0" simplePos="0" relativeHeight="15943680">
            <wp:simplePos x="0" y="0"/>
            <wp:positionH relativeFrom="page">
              <wp:posOffset>10819383</wp:posOffset>
            </wp:positionH>
            <wp:positionV relativeFrom="paragraph">
              <wp:posOffset>365759</wp:posOffset>
            </wp:positionV>
            <wp:extent cx="1724393" cy="297788"/>
            <wp:effectExtent l="0" t="0" r="0" b="0"/>
            <wp:wrapNone/>
            <wp:docPr id="1803" name="Image 1803"/>
            <wp:cNvGraphicFramePr>
              <a:graphicFrameLocks/>
            </wp:cNvGraphicFramePr>
            <a:graphic>
              <a:graphicData uri="http://schemas.openxmlformats.org/drawingml/2006/picture">
                <pic:pic>
                  <pic:nvPicPr>
                    <pic:cNvPr id="1803" name="Image 1803"/>
                    <pic:cNvPicPr/>
                  </pic:nvPicPr>
                  <pic:blipFill>
                    <a:blip r:embed="rId252" cstate="print"/>
                    <a:stretch>
                      <a:fillRect/>
                    </a:stretch>
                  </pic:blipFill>
                  <pic:spPr>
                    <a:xfrm>
                      <a:off x="0" y="0"/>
                      <a:ext cx="1724393" cy="297788"/>
                    </a:xfrm>
                    <a:prstGeom prst="rect">
                      <a:avLst/>
                    </a:prstGeom>
                  </pic:spPr>
                </pic:pic>
              </a:graphicData>
            </a:graphic>
          </wp:anchor>
        </w:drawing>
      </w:r>
      <w:bookmarkStart w:name="_TOC_250005" w:id="14"/>
      <w:r>
        <w:rPr>
          <w:color w:val="636466"/>
          <w:w w:val="105"/>
        </w:rPr>
        <w:t>Ontario</w:t>
      </w:r>
      <w:r>
        <w:rPr>
          <w:color w:val="636466"/>
          <w:spacing w:val="-13"/>
          <w:w w:val="105"/>
        </w:rPr>
        <w:t> </w:t>
      </w:r>
      <w:r>
        <w:rPr>
          <w:color w:val="636466"/>
          <w:w w:val="105"/>
        </w:rPr>
        <w:t>County</w:t>
      </w:r>
      <w:r>
        <w:rPr>
          <w:color w:val="636466"/>
          <w:spacing w:val="-14"/>
          <w:w w:val="105"/>
        </w:rPr>
        <w:t> </w:t>
      </w:r>
      <w:r>
        <w:rPr>
          <w:color w:val="636466"/>
          <w:w w:val="105"/>
        </w:rPr>
        <w:t>Appendix</w:t>
      </w:r>
      <w:r>
        <w:rPr>
          <w:color w:val="636466"/>
          <w:spacing w:val="-13"/>
          <w:w w:val="105"/>
        </w:rPr>
        <w:t> </w:t>
      </w:r>
      <w:bookmarkEnd w:id="14"/>
      <w:r>
        <w:rPr>
          <w:color w:val="636466"/>
          <w:spacing w:val="-10"/>
          <w:w w:val="105"/>
        </w:rPr>
        <w:t>C</w:t>
      </w:r>
    </w:p>
    <w:p>
      <w:pPr>
        <w:spacing w:before="235"/>
        <w:ind w:left="1089" w:right="0" w:firstLine="0"/>
        <w:jc w:val="left"/>
        <w:rPr>
          <w:b/>
          <w:sz w:val="32"/>
        </w:rPr>
      </w:pPr>
      <w:r>
        <w:rPr>
          <w:b/>
          <w:color w:val="82BF6A"/>
          <w:spacing w:val="-6"/>
          <w:sz w:val="32"/>
        </w:rPr>
        <w:t>PRIORITY:</w:t>
      </w:r>
      <w:r>
        <w:rPr>
          <w:b/>
          <w:color w:val="82BF6A"/>
          <w:spacing w:val="-13"/>
          <w:sz w:val="32"/>
        </w:rPr>
        <w:t> </w:t>
      </w:r>
      <w:r>
        <w:rPr>
          <w:b/>
          <w:color w:val="82BF6A"/>
          <w:spacing w:val="-6"/>
          <w:sz w:val="32"/>
        </w:rPr>
        <w:t>PREVENT</w:t>
      </w:r>
      <w:r>
        <w:rPr>
          <w:b/>
          <w:color w:val="82BF6A"/>
          <w:spacing w:val="-13"/>
          <w:sz w:val="32"/>
        </w:rPr>
        <w:t> </w:t>
      </w:r>
      <w:r>
        <w:rPr>
          <w:b/>
          <w:color w:val="82BF6A"/>
          <w:spacing w:val="-6"/>
          <w:sz w:val="32"/>
        </w:rPr>
        <w:t>CHRONIC</w:t>
      </w:r>
      <w:r>
        <w:rPr>
          <w:b/>
          <w:color w:val="82BF6A"/>
          <w:spacing w:val="-13"/>
          <w:sz w:val="32"/>
        </w:rPr>
        <w:t> </w:t>
      </w:r>
      <w:r>
        <w:rPr>
          <w:b/>
          <w:color w:val="82BF6A"/>
          <w:spacing w:val="-6"/>
          <w:sz w:val="32"/>
        </w:rPr>
        <w:t>DISEASES</w:t>
      </w:r>
    </w:p>
    <w:p>
      <w:pPr>
        <w:pStyle w:val="BodyText"/>
        <w:spacing w:before="8"/>
        <w:rPr>
          <w:b/>
          <w:sz w:val="16"/>
        </w:rPr>
      </w:pPr>
    </w:p>
    <w:tbl>
      <w:tblPr>
        <w:tblW w:w="0" w:type="auto"/>
        <w:jc w:val="left"/>
        <w:tblInd w:w="1099"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1353"/>
        <w:gridCol w:w="1289"/>
        <w:gridCol w:w="1563"/>
        <w:gridCol w:w="2535"/>
        <w:gridCol w:w="1239"/>
        <w:gridCol w:w="3206"/>
        <w:gridCol w:w="3901"/>
        <w:gridCol w:w="1851"/>
        <w:gridCol w:w="2693"/>
        <w:gridCol w:w="2630"/>
      </w:tblGrid>
      <w:tr>
        <w:trPr>
          <w:trHeight w:val="780" w:hRule="exact"/>
        </w:trPr>
        <w:tc>
          <w:tcPr>
            <w:tcW w:w="1353" w:type="dxa"/>
            <w:tcBorders>
              <w:right w:val="single" w:sz="4" w:space="0" w:color="FFFFFF"/>
            </w:tcBorders>
            <w:shd w:val="clear" w:color="auto" w:fill="A7A9AC"/>
          </w:tcPr>
          <w:p>
            <w:pPr>
              <w:pStyle w:val="TableParagraph"/>
              <w:spacing w:before="67"/>
              <w:rPr>
                <w:b/>
                <w:sz w:val="20"/>
              </w:rPr>
            </w:pPr>
          </w:p>
          <w:p>
            <w:pPr>
              <w:pStyle w:val="TableParagraph"/>
              <w:ind w:left="75"/>
              <w:rPr>
                <w:b/>
                <w:sz w:val="20"/>
              </w:rPr>
            </w:pPr>
            <w:r>
              <w:rPr>
                <w:b/>
                <w:color w:val="FFFFFF"/>
                <w:spacing w:val="-2"/>
                <w:sz w:val="20"/>
              </w:rPr>
              <w:t>Priority</w:t>
            </w:r>
          </w:p>
        </w:tc>
        <w:tc>
          <w:tcPr>
            <w:tcW w:w="1289" w:type="dxa"/>
            <w:tcBorders>
              <w:left w:val="single" w:sz="4" w:space="0" w:color="FFFFFF"/>
              <w:right w:val="single" w:sz="4" w:space="0" w:color="FFFFFF"/>
            </w:tcBorders>
            <w:shd w:val="clear" w:color="auto" w:fill="A7A9AC"/>
          </w:tcPr>
          <w:p>
            <w:pPr>
              <w:pStyle w:val="TableParagraph"/>
              <w:spacing w:before="67"/>
              <w:rPr>
                <w:b/>
                <w:sz w:val="20"/>
              </w:rPr>
            </w:pPr>
          </w:p>
          <w:p>
            <w:pPr>
              <w:pStyle w:val="TableParagraph"/>
              <w:ind w:left="74"/>
              <w:rPr>
                <w:b/>
                <w:sz w:val="20"/>
              </w:rPr>
            </w:pPr>
            <w:r>
              <w:rPr>
                <w:b/>
                <w:color w:val="FFFFFF"/>
                <w:w w:val="90"/>
                <w:sz w:val="20"/>
              </w:rPr>
              <w:t>Focus</w:t>
            </w:r>
            <w:r>
              <w:rPr>
                <w:b/>
                <w:color w:val="FFFFFF"/>
                <w:spacing w:val="8"/>
                <w:sz w:val="20"/>
              </w:rPr>
              <w:t> </w:t>
            </w:r>
            <w:r>
              <w:rPr>
                <w:b/>
                <w:color w:val="FFFFFF"/>
                <w:spacing w:val="-4"/>
                <w:sz w:val="20"/>
              </w:rPr>
              <w:t>Area</w:t>
            </w:r>
          </w:p>
        </w:tc>
        <w:tc>
          <w:tcPr>
            <w:tcW w:w="1563" w:type="dxa"/>
            <w:tcBorders>
              <w:left w:val="single" w:sz="4" w:space="0" w:color="FFFFFF"/>
              <w:right w:val="single" w:sz="4" w:space="0" w:color="FFFFFF"/>
            </w:tcBorders>
            <w:shd w:val="clear" w:color="auto" w:fill="A7A9AC"/>
          </w:tcPr>
          <w:p>
            <w:pPr>
              <w:pStyle w:val="TableParagraph"/>
              <w:spacing w:line="230" w:lineRule="auto" w:before="195"/>
              <w:ind w:left="74" w:right="74"/>
              <w:rPr>
                <w:b/>
                <w:sz w:val="20"/>
              </w:rPr>
            </w:pPr>
            <w:r>
              <w:rPr>
                <w:b/>
                <w:color w:val="FFFFFF"/>
                <w:spacing w:val="-8"/>
                <w:sz w:val="20"/>
              </w:rPr>
              <w:t>Goal</w:t>
            </w:r>
            <w:r>
              <w:rPr>
                <w:b/>
                <w:color w:val="FFFFFF"/>
                <w:spacing w:val="-6"/>
                <w:sz w:val="20"/>
              </w:rPr>
              <w:t> </w:t>
            </w:r>
            <w:r>
              <w:rPr>
                <w:b/>
                <w:color w:val="FFFFFF"/>
                <w:spacing w:val="-8"/>
                <w:sz w:val="20"/>
              </w:rPr>
              <w:t>Focus </w:t>
            </w:r>
            <w:r>
              <w:rPr>
                <w:b/>
                <w:color w:val="FFFFFF"/>
                <w:spacing w:val="-4"/>
                <w:sz w:val="20"/>
              </w:rPr>
              <w:t>Area</w:t>
            </w:r>
          </w:p>
        </w:tc>
        <w:tc>
          <w:tcPr>
            <w:tcW w:w="2535" w:type="dxa"/>
            <w:tcBorders>
              <w:left w:val="single" w:sz="4" w:space="0" w:color="FFFFFF"/>
              <w:right w:val="single" w:sz="4" w:space="0" w:color="FFFFFF"/>
            </w:tcBorders>
            <w:shd w:val="clear" w:color="auto" w:fill="A7A9AC"/>
          </w:tcPr>
          <w:p>
            <w:pPr>
              <w:pStyle w:val="TableParagraph"/>
              <w:spacing w:before="67"/>
              <w:rPr>
                <w:b/>
                <w:sz w:val="20"/>
              </w:rPr>
            </w:pPr>
          </w:p>
          <w:p>
            <w:pPr>
              <w:pStyle w:val="TableParagraph"/>
              <w:ind w:left="74"/>
              <w:rPr>
                <w:b/>
                <w:sz w:val="20"/>
              </w:rPr>
            </w:pPr>
            <w:r>
              <w:rPr>
                <w:b/>
                <w:color w:val="FFFFFF"/>
                <w:spacing w:val="-2"/>
                <w:sz w:val="20"/>
              </w:rPr>
              <w:t>Objectives</w:t>
            </w:r>
          </w:p>
        </w:tc>
        <w:tc>
          <w:tcPr>
            <w:tcW w:w="1239" w:type="dxa"/>
            <w:tcBorders>
              <w:left w:val="single" w:sz="4" w:space="0" w:color="FFFFFF"/>
              <w:right w:val="single" w:sz="4" w:space="0" w:color="FFFFFF"/>
            </w:tcBorders>
            <w:shd w:val="clear" w:color="auto" w:fill="A7A9AC"/>
          </w:tcPr>
          <w:p>
            <w:pPr>
              <w:pStyle w:val="TableParagraph"/>
              <w:spacing w:before="67"/>
              <w:rPr>
                <w:b/>
                <w:sz w:val="20"/>
              </w:rPr>
            </w:pPr>
          </w:p>
          <w:p>
            <w:pPr>
              <w:pStyle w:val="TableParagraph"/>
              <w:ind w:left="74"/>
              <w:rPr>
                <w:b/>
                <w:sz w:val="20"/>
              </w:rPr>
            </w:pPr>
            <w:r>
              <w:rPr>
                <w:b/>
                <w:color w:val="FFFFFF"/>
                <w:spacing w:val="-2"/>
                <w:sz w:val="20"/>
              </w:rPr>
              <w:t>Disparities</w:t>
            </w:r>
          </w:p>
        </w:tc>
        <w:tc>
          <w:tcPr>
            <w:tcW w:w="3206" w:type="dxa"/>
            <w:tcBorders>
              <w:left w:val="single" w:sz="4" w:space="0" w:color="FFFFFF"/>
              <w:right w:val="nil"/>
            </w:tcBorders>
            <w:shd w:val="clear" w:color="auto" w:fill="A7A9AC"/>
          </w:tcPr>
          <w:p>
            <w:pPr>
              <w:pStyle w:val="TableParagraph"/>
              <w:spacing w:before="67"/>
              <w:rPr>
                <w:b/>
                <w:sz w:val="20"/>
              </w:rPr>
            </w:pPr>
          </w:p>
          <w:p>
            <w:pPr>
              <w:pStyle w:val="TableParagraph"/>
              <w:ind w:left="74"/>
              <w:rPr>
                <w:b/>
                <w:sz w:val="20"/>
              </w:rPr>
            </w:pPr>
            <w:r>
              <w:rPr>
                <w:b/>
                <w:color w:val="FFFFFF"/>
                <w:spacing w:val="-2"/>
                <w:sz w:val="20"/>
              </w:rPr>
              <w:t>Interventions</w:t>
            </w:r>
          </w:p>
        </w:tc>
        <w:tc>
          <w:tcPr>
            <w:tcW w:w="3901" w:type="dxa"/>
            <w:tcBorders>
              <w:left w:val="nil"/>
              <w:right w:val="single" w:sz="4" w:space="0" w:color="FFFFFF"/>
            </w:tcBorders>
            <w:shd w:val="clear" w:color="auto" w:fill="A7A9AC"/>
          </w:tcPr>
          <w:p>
            <w:pPr>
              <w:pStyle w:val="TableParagraph"/>
              <w:spacing w:before="67"/>
              <w:rPr>
                <w:b/>
                <w:sz w:val="20"/>
              </w:rPr>
            </w:pPr>
          </w:p>
          <w:p>
            <w:pPr>
              <w:pStyle w:val="TableParagraph"/>
              <w:ind w:left="1153"/>
              <w:rPr>
                <w:b/>
                <w:sz w:val="20"/>
              </w:rPr>
            </w:pPr>
            <w:r>
              <w:rPr>
                <w:b/>
                <w:color w:val="FFFFFF"/>
                <w:sz w:val="20"/>
              </w:rPr>
              <w:t>Family</w:t>
            </w:r>
            <w:r>
              <w:rPr>
                <w:b/>
                <w:color w:val="FFFFFF"/>
                <w:spacing w:val="-12"/>
                <w:sz w:val="20"/>
              </w:rPr>
              <w:t> </w:t>
            </w:r>
            <w:r>
              <w:rPr>
                <w:b/>
                <w:color w:val="FFFFFF"/>
                <w:sz w:val="20"/>
              </w:rPr>
              <w:t>of</w:t>
            </w:r>
            <w:r>
              <w:rPr>
                <w:b/>
                <w:color w:val="FFFFFF"/>
                <w:spacing w:val="-12"/>
                <w:sz w:val="20"/>
              </w:rPr>
              <w:t> </w:t>
            </w:r>
            <w:r>
              <w:rPr>
                <w:b/>
                <w:color w:val="FFFFFF"/>
                <w:spacing w:val="-2"/>
                <w:sz w:val="20"/>
              </w:rPr>
              <w:t>Measures</w:t>
            </w:r>
          </w:p>
        </w:tc>
        <w:tc>
          <w:tcPr>
            <w:tcW w:w="1851" w:type="dxa"/>
            <w:tcBorders>
              <w:left w:val="single" w:sz="4" w:space="0" w:color="FFFFFF"/>
              <w:right w:val="single" w:sz="4" w:space="0" w:color="FFFFFF"/>
            </w:tcBorders>
            <w:shd w:val="clear" w:color="auto" w:fill="A7A9AC"/>
          </w:tcPr>
          <w:p>
            <w:pPr>
              <w:pStyle w:val="TableParagraph"/>
              <w:spacing w:line="230" w:lineRule="auto" w:before="195"/>
              <w:ind w:left="84"/>
              <w:rPr>
                <w:b/>
                <w:sz w:val="20"/>
              </w:rPr>
            </w:pPr>
            <w:r>
              <w:rPr>
                <w:b/>
                <w:color w:val="FFFFFF"/>
                <w:spacing w:val="-2"/>
                <w:sz w:val="20"/>
              </w:rPr>
              <w:t>Implementation Partner</w:t>
            </w:r>
          </w:p>
        </w:tc>
        <w:tc>
          <w:tcPr>
            <w:tcW w:w="2693" w:type="dxa"/>
            <w:tcBorders>
              <w:left w:val="single" w:sz="4" w:space="0" w:color="FFFFFF"/>
              <w:right w:val="single" w:sz="4" w:space="0" w:color="FFFFFF"/>
            </w:tcBorders>
            <w:shd w:val="clear" w:color="auto" w:fill="A7A9AC"/>
          </w:tcPr>
          <w:p>
            <w:pPr>
              <w:pStyle w:val="TableParagraph"/>
              <w:spacing w:before="67"/>
              <w:rPr>
                <w:b/>
                <w:sz w:val="20"/>
              </w:rPr>
            </w:pPr>
          </w:p>
          <w:p>
            <w:pPr>
              <w:pStyle w:val="TableParagraph"/>
              <w:ind w:left="74"/>
              <w:rPr>
                <w:b/>
                <w:sz w:val="20"/>
              </w:rPr>
            </w:pPr>
            <w:r>
              <w:rPr>
                <w:b/>
                <w:color w:val="FFFFFF"/>
                <w:sz w:val="20"/>
              </w:rPr>
              <w:t>Partner</w:t>
            </w:r>
            <w:r>
              <w:rPr>
                <w:b/>
                <w:color w:val="FFFFFF"/>
                <w:spacing w:val="-13"/>
                <w:sz w:val="20"/>
              </w:rPr>
              <w:t> </w:t>
            </w:r>
            <w:r>
              <w:rPr>
                <w:b/>
                <w:color w:val="FFFFFF"/>
                <w:spacing w:val="-2"/>
                <w:sz w:val="20"/>
              </w:rPr>
              <w:t>Roles</w:t>
            </w:r>
          </w:p>
        </w:tc>
        <w:tc>
          <w:tcPr>
            <w:tcW w:w="2630" w:type="dxa"/>
            <w:tcBorders>
              <w:left w:val="single" w:sz="4" w:space="0" w:color="FFFFFF"/>
              <w:right w:val="single" w:sz="4" w:space="0" w:color="FFFFFF"/>
            </w:tcBorders>
            <w:shd w:val="clear" w:color="auto" w:fill="A7A9AC"/>
          </w:tcPr>
          <w:p>
            <w:pPr>
              <w:pStyle w:val="TableParagraph"/>
              <w:spacing w:before="67"/>
              <w:rPr>
                <w:b/>
                <w:sz w:val="20"/>
              </w:rPr>
            </w:pPr>
          </w:p>
          <w:p>
            <w:pPr>
              <w:pStyle w:val="TableParagraph"/>
              <w:ind w:left="74"/>
              <w:rPr>
                <w:b/>
                <w:sz w:val="20"/>
              </w:rPr>
            </w:pPr>
            <w:r>
              <w:rPr>
                <w:b/>
                <w:color w:val="FFFFFF"/>
                <w:sz w:val="20"/>
              </w:rPr>
              <w:t>Partner</w:t>
            </w:r>
            <w:r>
              <w:rPr>
                <w:b/>
                <w:color w:val="FFFFFF"/>
                <w:spacing w:val="-13"/>
                <w:sz w:val="20"/>
              </w:rPr>
              <w:t> </w:t>
            </w:r>
            <w:r>
              <w:rPr>
                <w:b/>
                <w:color w:val="FFFFFF"/>
                <w:spacing w:val="-2"/>
                <w:sz w:val="20"/>
              </w:rPr>
              <w:t>Resources</w:t>
            </w:r>
          </w:p>
        </w:tc>
      </w:tr>
      <w:tr>
        <w:trPr>
          <w:trHeight w:val="2320" w:hRule="exact"/>
        </w:trPr>
        <w:tc>
          <w:tcPr>
            <w:tcW w:w="1353" w:type="dxa"/>
            <w:vMerge w:val="restart"/>
            <w:tcBorders>
              <w:bottom w:val="nil"/>
            </w:tcBorders>
            <w:shd w:val="clear" w:color="auto" w:fill="E6E7E8"/>
          </w:tcPr>
          <w:p>
            <w:pPr>
              <w:pStyle w:val="TableParagraph"/>
              <w:spacing w:line="232" w:lineRule="auto" w:before="101"/>
              <w:ind w:left="85" w:right="541"/>
              <w:jc w:val="both"/>
              <w:rPr>
                <w:sz w:val="18"/>
              </w:rPr>
            </w:pPr>
            <w:r>
              <w:rPr>
                <w:color w:val="105C84"/>
                <w:spacing w:val="-2"/>
                <w:sz w:val="18"/>
              </w:rPr>
              <w:t>Prevent Chronic </w:t>
            </w:r>
            <w:r>
              <w:rPr>
                <w:color w:val="105C84"/>
                <w:spacing w:val="-6"/>
                <w:sz w:val="18"/>
              </w:rPr>
              <w:t>Diseases</w:t>
            </w:r>
          </w:p>
        </w:tc>
        <w:tc>
          <w:tcPr>
            <w:tcW w:w="1289" w:type="dxa"/>
            <w:vMerge w:val="restart"/>
            <w:tcBorders>
              <w:bottom w:val="nil"/>
            </w:tcBorders>
          </w:tcPr>
          <w:p>
            <w:pPr>
              <w:pStyle w:val="TableParagraph"/>
              <w:spacing w:line="232" w:lineRule="auto" w:before="101"/>
              <w:ind w:left="84" w:right="87"/>
              <w:rPr>
                <w:sz w:val="18"/>
              </w:rPr>
            </w:pPr>
            <w:r>
              <w:rPr>
                <w:color w:val="105C84"/>
                <w:sz w:val="18"/>
              </w:rPr>
              <w:t>Focus</w:t>
            </w:r>
            <w:r>
              <w:rPr>
                <w:color w:val="105C84"/>
                <w:spacing w:val="-15"/>
                <w:sz w:val="18"/>
              </w:rPr>
              <w:t> </w:t>
            </w:r>
            <w:r>
              <w:rPr>
                <w:color w:val="105C84"/>
                <w:sz w:val="18"/>
              </w:rPr>
              <w:t>Area</w:t>
            </w:r>
            <w:r>
              <w:rPr>
                <w:color w:val="105C84"/>
                <w:spacing w:val="-12"/>
                <w:sz w:val="18"/>
              </w:rPr>
              <w:t> </w:t>
            </w:r>
            <w:r>
              <w:rPr>
                <w:color w:val="105C84"/>
                <w:sz w:val="18"/>
              </w:rPr>
              <w:t>1: </w:t>
            </w:r>
            <w:r>
              <w:rPr>
                <w:color w:val="105C84"/>
                <w:spacing w:val="-2"/>
                <w:sz w:val="18"/>
              </w:rPr>
              <w:t>Healthy </w:t>
            </w:r>
            <w:r>
              <w:rPr>
                <w:color w:val="105C84"/>
                <w:sz w:val="18"/>
              </w:rPr>
              <w:t>Eating &amp;</w:t>
            </w:r>
            <w:r>
              <w:rPr>
                <w:color w:val="105C84"/>
                <w:spacing w:val="40"/>
                <w:sz w:val="18"/>
              </w:rPr>
              <w:t> </w:t>
            </w:r>
            <w:r>
              <w:rPr>
                <w:color w:val="105C84"/>
                <w:sz w:val="18"/>
              </w:rPr>
              <w:t>Food</w:t>
            </w:r>
            <w:r>
              <w:rPr>
                <w:color w:val="105C84"/>
                <w:spacing w:val="-13"/>
                <w:sz w:val="18"/>
              </w:rPr>
              <w:t> </w:t>
            </w:r>
            <w:r>
              <w:rPr>
                <w:color w:val="105C84"/>
                <w:sz w:val="18"/>
              </w:rPr>
              <w:t>Security</w:t>
            </w:r>
          </w:p>
        </w:tc>
        <w:tc>
          <w:tcPr>
            <w:tcW w:w="1563" w:type="dxa"/>
            <w:vMerge w:val="restart"/>
            <w:tcBorders>
              <w:bottom w:val="nil"/>
            </w:tcBorders>
          </w:tcPr>
          <w:p>
            <w:pPr>
              <w:pStyle w:val="TableParagraph"/>
              <w:spacing w:line="232" w:lineRule="auto" w:before="101"/>
              <w:ind w:left="84" w:right="74"/>
              <w:rPr>
                <w:sz w:val="18"/>
              </w:rPr>
            </w:pPr>
            <w:r>
              <w:rPr>
                <w:color w:val="105C84"/>
                <w:sz w:val="18"/>
              </w:rPr>
              <w:t>Goal 1.1: Increase</w:t>
            </w:r>
            <w:r>
              <w:rPr>
                <w:color w:val="105C84"/>
                <w:spacing w:val="-13"/>
                <w:sz w:val="18"/>
              </w:rPr>
              <w:t> </w:t>
            </w:r>
            <w:r>
              <w:rPr>
                <w:color w:val="105C84"/>
                <w:sz w:val="18"/>
              </w:rPr>
              <w:t>access to healthy and affordable</w:t>
            </w:r>
            <w:r>
              <w:rPr>
                <w:color w:val="105C84"/>
                <w:spacing w:val="-10"/>
                <w:sz w:val="18"/>
              </w:rPr>
              <w:t> </w:t>
            </w:r>
            <w:r>
              <w:rPr>
                <w:color w:val="105C84"/>
                <w:sz w:val="18"/>
              </w:rPr>
              <w:t>foods and beverages</w:t>
            </w:r>
          </w:p>
        </w:tc>
        <w:tc>
          <w:tcPr>
            <w:tcW w:w="2535" w:type="dxa"/>
            <w:vMerge w:val="restart"/>
          </w:tcPr>
          <w:p>
            <w:pPr>
              <w:pStyle w:val="TableParagraph"/>
              <w:spacing w:line="232" w:lineRule="auto" w:before="101"/>
              <w:ind w:left="84" w:right="137"/>
              <w:rPr>
                <w:sz w:val="18"/>
              </w:rPr>
            </w:pPr>
            <w:r>
              <w:rPr>
                <w:color w:val="105C84"/>
                <w:sz w:val="18"/>
              </w:rPr>
              <w:t>1.2</w:t>
            </w:r>
            <w:r>
              <w:rPr>
                <w:color w:val="105C84"/>
                <w:spacing w:val="-13"/>
                <w:sz w:val="18"/>
              </w:rPr>
              <w:t> </w:t>
            </w:r>
            <w:r>
              <w:rPr>
                <w:color w:val="105C84"/>
                <w:sz w:val="18"/>
              </w:rPr>
              <w:t>Decrease</w:t>
            </w:r>
            <w:r>
              <w:rPr>
                <w:color w:val="105C84"/>
                <w:spacing w:val="-12"/>
                <w:sz w:val="18"/>
              </w:rPr>
              <w:t> </w:t>
            </w:r>
            <w:r>
              <w:rPr>
                <w:color w:val="105C84"/>
                <w:sz w:val="18"/>
              </w:rPr>
              <w:t>the</w:t>
            </w:r>
            <w:r>
              <w:rPr>
                <w:color w:val="105C84"/>
                <w:spacing w:val="-13"/>
                <w:sz w:val="18"/>
              </w:rPr>
              <w:t> </w:t>
            </w:r>
            <w:r>
              <w:rPr>
                <w:color w:val="105C84"/>
                <w:sz w:val="18"/>
              </w:rPr>
              <w:t>percentage</w:t>
            </w:r>
            <w:r>
              <w:rPr>
                <w:color w:val="105C84"/>
                <w:sz w:val="18"/>
              </w:rPr>
              <w:t> of children with obesity (among public school students</w:t>
            </w:r>
            <w:r>
              <w:rPr>
                <w:color w:val="105C84"/>
                <w:spacing w:val="-5"/>
                <w:sz w:val="18"/>
              </w:rPr>
              <w:t> </w:t>
            </w:r>
            <w:r>
              <w:rPr>
                <w:color w:val="105C84"/>
                <w:sz w:val="18"/>
              </w:rPr>
              <w:t>in</w:t>
            </w:r>
            <w:r>
              <w:rPr>
                <w:color w:val="105C84"/>
                <w:spacing w:val="-5"/>
                <w:sz w:val="18"/>
              </w:rPr>
              <w:t> </w:t>
            </w:r>
            <w:r>
              <w:rPr>
                <w:color w:val="105C84"/>
                <w:sz w:val="18"/>
              </w:rPr>
              <w:t>NYS</w:t>
            </w:r>
            <w:r>
              <w:rPr>
                <w:color w:val="105C84"/>
                <w:spacing w:val="-5"/>
                <w:sz w:val="18"/>
              </w:rPr>
              <w:t> </w:t>
            </w:r>
            <w:r>
              <w:rPr>
                <w:color w:val="105C84"/>
                <w:sz w:val="18"/>
              </w:rPr>
              <w:t>exclusive</w:t>
            </w:r>
            <w:r>
              <w:rPr>
                <w:color w:val="105C84"/>
                <w:spacing w:val="-5"/>
                <w:sz w:val="18"/>
              </w:rPr>
              <w:t> </w:t>
            </w:r>
            <w:r>
              <w:rPr>
                <w:color w:val="105C84"/>
                <w:sz w:val="18"/>
              </w:rPr>
              <w:t>of </w:t>
            </w:r>
            <w:r>
              <w:rPr>
                <w:color w:val="105C84"/>
                <w:spacing w:val="-4"/>
                <w:sz w:val="18"/>
              </w:rPr>
              <w:t>NYC)</w:t>
            </w:r>
          </w:p>
          <w:p>
            <w:pPr>
              <w:pStyle w:val="TableParagraph"/>
              <w:spacing w:before="81"/>
              <w:ind w:left="84"/>
              <w:rPr>
                <w:sz w:val="18"/>
              </w:rPr>
            </w:pPr>
            <w:r>
              <w:rPr>
                <w:color w:val="105C84"/>
                <w:spacing w:val="-4"/>
                <w:sz w:val="18"/>
              </w:rPr>
              <w:t>Target:</w:t>
            </w:r>
            <w:r>
              <w:rPr>
                <w:color w:val="105C84"/>
                <w:spacing w:val="-1"/>
                <w:sz w:val="18"/>
              </w:rPr>
              <w:t> </w:t>
            </w:r>
            <w:r>
              <w:rPr>
                <w:color w:val="105C84"/>
                <w:spacing w:val="-2"/>
                <w:sz w:val="18"/>
              </w:rPr>
              <w:t>16.4%</w:t>
            </w:r>
          </w:p>
          <w:p>
            <w:pPr>
              <w:pStyle w:val="TableParagraph"/>
              <w:spacing w:line="336" w:lineRule="auto" w:before="83"/>
              <w:ind w:left="84" w:right="137"/>
              <w:rPr>
                <w:sz w:val="18"/>
              </w:rPr>
            </w:pPr>
            <w:r>
              <w:rPr>
                <w:color w:val="105C84"/>
                <w:spacing w:val="-6"/>
                <w:sz w:val="18"/>
              </w:rPr>
              <w:t>Baseline:</w:t>
            </w:r>
            <w:r>
              <w:rPr>
                <w:color w:val="105C84"/>
                <w:spacing w:val="-9"/>
                <w:sz w:val="18"/>
              </w:rPr>
              <w:t> </w:t>
            </w:r>
            <w:r>
              <w:rPr>
                <w:color w:val="105C84"/>
                <w:spacing w:val="-6"/>
                <w:sz w:val="18"/>
              </w:rPr>
              <w:t>17.3% (2014-</w:t>
            </w:r>
            <w:r>
              <w:rPr>
                <w:color w:val="105C84"/>
                <w:spacing w:val="-6"/>
                <w:sz w:val="18"/>
              </w:rPr>
              <w:t>16) </w:t>
            </w:r>
            <w:r>
              <w:rPr>
                <w:color w:val="105C84"/>
                <w:sz w:val="18"/>
              </w:rPr>
              <w:t>Data Source: SWSCR</w:t>
            </w:r>
          </w:p>
          <w:p>
            <w:pPr>
              <w:pStyle w:val="TableParagraph"/>
              <w:spacing w:line="232" w:lineRule="auto" w:before="5"/>
              <w:ind w:left="84" w:right="137"/>
              <w:rPr>
                <w:sz w:val="18"/>
              </w:rPr>
            </w:pPr>
            <w:r>
              <w:rPr>
                <w:color w:val="105C84"/>
                <w:spacing w:val="-2"/>
                <w:sz w:val="18"/>
              </w:rPr>
              <w:t>Data</w:t>
            </w:r>
            <w:r>
              <w:rPr>
                <w:color w:val="105C84"/>
                <w:spacing w:val="-10"/>
                <w:sz w:val="18"/>
              </w:rPr>
              <w:t> </w:t>
            </w:r>
            <w:r>
              <w:rPr>
                <w:color w:val="105C84"/>
                <w:spacing w:val="-2"/>
                <w:sz w:val="18"/>
              </w:rPr>
              <w:t>Level:</w:t>
            </w:r>
            <w:r>
              <w:rPr>
                <w:color w:val="105C84"/>
                <w:spacing w:val="-10"/>
                <w:sz w:val="18"/>
              </w:rPr>
              <w:t> </w:t>
            </w:r>
            <w:r>
              <w:rPr>
                <w:color w:val="105C84"/>
                <w:spacing w:val="-2"/>
                <w:sz w:val="18"/>
              </w:rPr>
              <w:t>State,</w:t>
            </w:r>
            <w:r>
              <w:rPr>
                <w:color w:val="105C84"/>
                <w:spacing w:val="-10"/>
                <w:sz w:val="18"/>
              </w:rPr>
              <w:t> </w:t>
            </w:r>
            <w:r>
              <w:rPr>
                <w:color w:val="105C84"/>
                <w:spacing w:val="-2"/>
                <w:sz w:val="18"/>
              </w:rPr>
              <w:t>school district</w:t>
            </w:r>
          </w:p>
        </w:tc>
        <w:tc>
          <w:tcPr>
            <w:tcW w:w="1239" w:type="dxa"/>
            <w:vMerge w:val="restart"/>
          </w:tcPr>
          <w:p>
            <w:pPr>
              <w:pStyle w:val="TableParagraph"/>
              <w:rPr>
                <w:rFonts w:ascii="Times New Roman"/>
                <w:sz w:val="18"/>
              </w:rPr>
            </w:pPr>
          </w:p>
        </w:tc>
        <w:tc>
          <w:tcPr>
            <w:tcW w:w="3206" w:type="dxa"/>
            <w:tcBorders>
              <w:right w:val="nil"/>
            </w:tcBorders>
          </w:tcPr>
          <w:p>
            <w:pPr>
              <w:pStyle w:val="TableParagraph"/>
              <w:spacing w:before="96"/>
              <w:ind w:left="84"/>
              <w:jc w:val="both"/>
              <w:rPr>
                <w:sz w:val="18"/>
              </w:rPr>
            </w:pPr>
            <w:r>
              <w:rPr>
                <w:color w:val="105C84"/>
                <w:sz w:val="18"/>
              </w:rPr>
              <w:t>Intervention</w:t>
            </w:r>
            <w:r>
              <w:rPr>
                <w:color w:val="105C84"/>
                <w:spacing w:val="12"/>
                <w:sz w:val="18"/>
              </w:rPr>
              <w:t> </w:t>
            </w:r>
            <w:r>
              <w:rPr>
                <w:color w:val="105C84"/>
                <w:spacing w:val="-2"/>
                <w:sz w:val="18"/>
              </w:rPr>
              <w:t>1.0.4</w:t>
            </w:r>
          </w:p>
          <w:p>
            <w:pPr>
              <w:pStyle w:val="TableParagraph"/>
              <w:spacing w:line="232" w:lineRule="auto" w:before="88"/>
              <w:ind w:left="84" w:right="1089"/>
              <w:jc w:val="both"/>
              <w:rPr>
                <w:sz w:val="18"/>
              </w:rPr>
            </w:pPr>
            <w:r>
              <w:rPr>
                <w:color w:val="105C84"/>
                <w:sz w:val="18"/>
              </w:rPr>
              <w:t>Multi-component school-based</w:t>
            </w:r>
            <w:r>
              <w:rPr>
                <w:color w:val="105C84"/>
                <w:spacing w:val="-7"/>
                <w:sz w:val="18"/>
              </w:rPr>
              <w:t> </w:t>
            </w:r>
            <w:r>
              <w:rPr>
                <w:color w:val="105C84"/>
                <w:sz w:val="18"/>
              </w:rPr>
              <w:t>obesity</w:t>
            </w:r>
            <w:r>
              <w:rPr>
                <w:color w:val="105C84"/>
                <w:spacing w:val="-7"/>
                <w:sz w:val="18"/>
              </w:rPr>
              <w:t> </w:t>
            </w:r>
            <w:r>
              <w:rPr>
                <w:color w:val="105C84"/>
                <w:sz w:val="18"/>
              </w:rPr>
              <w:t>prevention interventions, including:</w:t>
            </w:r>
          </w:p>
          <w:p>
            <w:pPr>
              <w:pStyle w:val="TableParagraph"/>
              <w:spacing w:line="232" w:lineRule="auto" w:before="87"/>
              <w:ind w:left="84" w:right="1116"/>
              <w:jc w:val="both"/>
              <w:rPr>
                <w:sz w:val="18"/>
              </w:rPr>
            </w:pPr>
            <w:r>
              <w:rPr>
                <w:color w:val="105C84"/>
                <w:sz w:val="18"/>
              </w:rPr>
              <w:t>-Providing</w:t>
            </w:r>
            <w:r>
              <w:rPr>
                <w:color w:val="105C84"/>
                <w:spacing w:val="-11"/>
                <w:sz w:val="18"/>
              </w:rPr>
              <w:t> </w:t>
            </w:r>
            <w:r>
              <w:rPr>
                <w:color w:val="105C84"/>
                <w:sz w:val="18"/>
              </w:rPr>
              <w:t>healthy</w:t>
            </w:r>
            <w:r>
              <w:rPr>
                <w:color w:val="105C84"/>
                <w:spacing w:val="-11"/>
                <w:sz w:val="18"/>
              </w:rPr>
              <w:t> </w:t>
            </w:r>
            <w:r>
              <w:rPr>
                <w:color w:val="105C84"/>
                <w:sz w:val="18"/>
              </w:rPr>
              <w:t>eating </w:t>
            </w:r>
            <w:r>
              <w:rPr>
                <w:color w:val="105C84"/>
                <w:w w:val="105"/>
                <w:sz w:val="18"/>
              </w:rPr>
              <w:t>learning</w:t>
            </w:r>
            <w:r>
              <w:rPr>
                <w:color w:val="105C84"/>
                <w:spacing w:val="-1"/>
                <w:w w:val="105"/>
                <w:sz w:val="18"/>
              </w:rPr>
              <w:t> </w:t>
            </w:r>
            <w:r>
              <w:rPr>
                <w:color w:val="105C84"/>
                <w:w w:val="105"/>
                <w:sz w:val="18"/>
              </w:rPr>
              <w:t>opportunities</w:t>
            </w:r>
          </w:p>
          <w:p>
            <w:pPr>
              <w:pStyle w:val="TableParagraph"/>
              <w:spacing w:line="232" w:lineRule="auto" w:before="89"/>
              <w:ind w:left="84" w:right="1190"/>
              <w:jc w:val="both"/>
              <w:rPr>
                <w:sz w:val="18"/>
              </w:rPr>
            </w:pPr>
            <w:r>
              <w:rPr>
                <w:color w:val="105C84"/>
                <w:sz w:val="18"/>
              </w:rPr>
              <w:t>-Participating</w:t>
            </w:r>
            <w:r>
              <w:rPr>
                <w:color w:val="105C84"/>
                <w:spacing w:val="-8"/>
                <w:sz w:val="18"/>
              </w:rPr>
              <w:t> </w:t>
            </w:r>
            <w:r>
              <w:rPr>
                <w:color w:val="105C84"/>
                <w:sz w:val="18"/>
              </w:rPr>
              <w:t>in</w:t>
            </w:r>
            <w:r>
              <w:rPr>
                <w:color w:val="105C84"/>
                <w:spacing w:val="-8"/>
                <w:sz w:val="18"/>
              </w:rPr>
              <w:t> </w:t>
            </w:r>
            <w:r>
              <w:rPr>
                <w:color w:val="105C84"/>
                <w:sz w:val="18"/>
              </w:rPr>
              <w:t>Farm</w:t>
            </w:r>
            <w:r>
              <w:rPr>
                <w:color w:val="105C84"/>
                <w:spacing w:val="-8"/>
                <w:sz w:val="18"/>
              </w:rPr>
              <w:t> </w:t>
            </w:r>
            <w:r>
              <w:rPr>
                <w:color w:val="105C84"/>
                <w:sz w:val="18"/>
              </w:rPr>
              <w:t>to School Programs</w:t>
            </w:r>
          </w:p>
        </w:tc>
        <w:tc>
          <w:tcPr>
            <w:tcW w:w="3901" w:type="dxa"/>
            <w:tcBorders>
              <w:left w:val="nil"/>
            </w:tcBorders>
          </w:tcPr>
          <w:p>
            <w:pPr>
              <w:pStyle w:val="TableParagraph"/>
              <w:numPr>
                <w:ilvl w:val="0"/>
                <w:numId w:val="46"/>
              </w:numPr>
              <w:tabs>
                <w:tab w:pos="1249" w:val="left" w:leader="none"/>
              </w:tabs>
              <w:spacing w:line="232" w:lineRule="auto" w:before="101" w:after="0"/>
              <w:ind w:left="1063" w:right="641" w:firstLine="0"/>
              <w:jc w:val="left"/>
              <w:rPr>
                <w:sz w:val="18"/>
              </w:rPr>
            </w:pPr>
            <w:r>
              <w:rPr>
                <w:color w:val="105C84"/>
                <w:sz w:val="18"/>
              </w:rPr>
              <w:t>#</w:t>
            </w:r>
            <w:r>
              <w:rPr>
                <w:color w:val="105C84"/>
                <w:spacing w:val="-9"/>
                <w:sz w:val="18"/>
              </w:rPr>
              <w:t> </w:t>
            </w:r>
            <w:r>
              <w:rPr>
                <w:color w:val="105C84"/>
                <w:sz w:val="18"/>
              </w:rPr>
              <w:t>Healthy</w:t>
            </w:r>
            <w:r>
              <w:rPr>
                <w:color w:val="105C84"/>
                <w:spacing w:val="-9"/>
                <w:sz w:val="18"/>
              </w:rPr>
              <w:t> </w:t>
            </w:r>
            <w:r>
              <w:rPr>
                <w:color w:val="105C84"/>
                <w:sz w:val="18"/>
              </w:rPr>
              <w:t>eating</w:t>
            </w:r>
            <w:r>
              <w:rPr>
                <w:color w:val="105C84"/>
                <w:spacing w:val="-9"/>
                <w:sz w:val="18"/>
              </w:rPr>
              <w:t> </w:t>
            </w:r>
            <w:r>
              <w:rPr>
                <w:color w:val="105C84"/>
                <w:sz w:val="18"/>
              </w:rPr>
              <w:t>learning sessions held in schools</w:t>
            </w:r>
          </w:p>
          <w:p>
            <w:pPr>
              <w:pStyle w:val="TableParagraph"/>
              <w:numPr>
                <w:ilvl w:val="0"/>
                <w:numId w:val="46"/>
              </w:numPr>
              <w:tabs>
                <w:tab w:pos="1249" w:val="left" w:leader="none"/>
              </w:tabs>
              <w:spacing w:line="232" w:lineRule="auto" w:before="88" w:after="0"/>
              <w:ind w:left="1063" w:right="296" w:firstLine="0"/>
              <w:jc w:val="left"/>
              <w:rPr>
                <w:sz w:val="18"/>
              </w:rPr>
            </w:pPr>
            <w:r>
              <w:rPr>
                <w:color w:val="105C84"/>
                <w:sz w:val="18"/>
              </w:rPr>
              <w:t># students reached with nutrition/exercise </w:t>
            </w:r>
            <w:r>
              <w:rPr>
                <w:color w:val="105C84"/>
                <w:sz w:val="18"/>
              </w:rPr>
              <w:t>programming</w:t>
            </w:r>
          </w:p>
          <w:p>
            <w:pPr>
              <w:pStyle w:val="TableParagraph"/>
              <w:numPr>
                <w:ilvl w:val="0"/>
                <w:numId w:val="46"/>
              </w:numPr>
              <w:tabs>
                <w:tab w:pos="1249" w:val="left" w:leader="none"/>
              </w:tabs>
              <w:spacing w:line="232" w:lineRule="auto" w:before="88" w:after="0"/>
              <w:ind w:left="1063" w:right="213" w:firstLine="0"/>
              <w:jc w:val="left"/>
              <w:rPr>
                <w:sz w:val="18"/>
              </w:rPr>
            </w:pPr>
            <w:r>
              <w:rPr>
                <w:color w:val="105C84"/>
                <w:sz w:val="18"/>
              </w:rPr>
              <w:t>#</w:t>
            </w:r>
            <w:r>
              <w:rPr>
                <w:color w:val="105C84"/>
                <w:spacing w:val="-8"/>
                <w:sz w:val="18"/>
              </w:rPr>
              <w:t> </w:t>
            </w:r>
            <w:r>
              <w:rPr>
                <w:color w:val="105C84"/>
                <w:sz w:val="18"/>
              </w:rPr>
              <w:t>schools</w:t>
            </w:r>
            <w:r>
              <w:rPr>
                <w:color w:val="105C84"/>
                <w:spacing w:val="-8"/>
                <w:sz w:val="18"/>
              </w:rPr>
              <w:t> </w:t>
            </w:r>
            <w:r>
              <w:rPr>
                <w:color w:val="105C84"/>
                <w:sz w:val="18"/>
              </w:rPr>
              <w:t>engaged</w:t>
            </w:r>
            <w:r>
              <w:rPr>
                <w:color w:val="105C84"/>
                <w:spacing w:val="-8"/>
                <w:sz w:val="18"/>
              </w:rPr>
              <w:t> </w:t>
            </w:r>
            <w:r>
              <w:rPr>
                <w:color w:val="105C84"/>
                <w:sz w:val="18"/>
              </w:rPr>
              <w:t>on</w:t>
            </w:r>
            <w:r>
              <w:rPr>
                <w:color w:val="105C84"/>
                <w:spacing w:val="-8"/>
                <w:sz w:val="18"/>
              </w:rPr>
              <w:t> </w:t>
            </w:r>
            <w:r>
              <w:rPr>
                <w:color w:val="105C84"/>
                <w:sz w:val="18"/>
              </w:rPr>
              <w:t>Farm</w:t>
            </w:r>
            <w:r>
              <w:rPr>
                <w:color w:val="105C84"/>
                <w:spacing w:val="-8"/>
                <w:sz w:val="18"/>
              </w:rPr>
              <w:t> </w:t>
            </w:r>
            <w:r>
              <w:rPr>
                <w:color w:val="105C84"/>
                <w:sz w:val="18"/>
              </w:rPr>
              <w:t>to </w:t>
            </w:r>
            <w:r>
              <w:rPr>
                <w:color w:val="105C84"/>
                <w:w w:val="105"/>
                <w:sz w:val="18"/>
              </w:rPr>
              <w:t>Table</w:t>
            </w:r>
            <w:r>
              <w:rPr>
                <w:color w:val="105C84"/>
                <w:spacing w:val="-1"/>
                <w:w w:val="105"/>
                <w:sz w:val="18"/>
              </w:rPr>
              <w:t> </w:t>
            </w:r>
            <w:r>
              <w:rPr>
                <w:color w:val="105C84"/>
                <w:w w:val="105"/>
                <w:sz w:val="18"/>
              </w:rPr>
              <w:t>Coalition</w:t>
            </w:r>
          </w:p>
          <w:p>
            <w:pPr>
              <w:pStyle w:val="TableParagraph"/>
              <w:numPr>
                <w:ilvl w:val="0"/>
                <w:numId w:val="46"/>
              </w:numPr>
              <w:tabs>
                <w:tab w:pos="1249" w:val="left" w:leader="none"/>
              </w:tabs>
              <w:spacing w:line="232" w:lineRule="auto" w:before="89" w:after="0"/>
              <w:ind w:left="1063" w:right="408" w:firstLine="0"/>
              <w:jc w:val="left"/>
              <w:rPr>
                <w:sz w:val="18"/>
              </w:rPr>
            </w:pPr>
            <w:r>
              <w:rPr>
                <w:color w:val="105C84"/>
                <w:sz w:val="18"/>
              </w:rPr>
              <w:t>%</w:t>
            </w:r>
            <w:r>
              <w:rPr>
                <w:color w:val="105C84"/>
                <w:spacing w:val="-6"/>
                <w:sz w:val="18"/>
              </w:rPr>
              <w:t> </w:t>
            </w:r>
            <w:r>
              <w:rPr>
                <w:color w:val="105C84"/>
                <w:sz w:val="18"/>
              </w:rPr>
              <w:t>eligible</w:t>
            </w:r>
            <w:r>
              <w:rPr>
                <w:color w:val="105C84"/>
                <w:spacing w:val="-6"/>
                <w:sz w:val="18"/>
              </w:rPr>
              <w:t> </w:t>
            </w:r>
            <w:r>
              <w:rPr>
                <w:color w:val="105C84"/>
                <w:sz w:val="18"/>
              </w:rPr>
              <w:t>schools</w:t>
            </w:r>
            <w:r>
              <w:rPr>
                <w:color w:val="105C84"/>
                <w:spacing w:val="-6"/>
                <w:sz w:val="18"/>
              </w:rPr>
              <w:t> </w:t>
            </w:r>
            <w:r>
              <w:rPr>
                <w:color w:val="105C84"/>
                <w:sz w:val="18"/>
              </w:rPr>
              <w:t>trained</w:t>
            </w:r>
            <w:r>
              <w:rPr>
                <w:color w:val="105C84"/>
                <w:spacing w:val="-6"/>
                <w:sz w:val="18"/>
              </w:rPr>
              <w:t> </w:t>
            </w:r>
            <w:r>
              <w:rPr>
                <w:color w:val="105C84"/>
                <w:sz w:val="18"/>
              </w:rPr>
              <w:t>in </w:t>
            </w:r>
            <w:r>
              <w:rPr>
                <w:color w:val="105C84"/>
                <w:spacing w:val="-4"/>
                <w:sz w:val="18"/>
              </w:rPr>
              <w:t>CATCH</w:t>
            </w:r>
          </w:p>
        </w:tc>
        <w:tc>
          <w:tcPr>
            <w:tcW w:w="1851" w:type="dxa"/>
            <w:vMerge w:val="restart"/>
            <w:tcBorders>
              <w:bottom w:val="nil"/>
            </w:tcBorders>
          </w:tcPr>
          <w:p>
            <w:pPr>
              <w:pStyle w:val="TableParagraph"/>
              <w:spacing w:line="232" w:lineRule="auto" w:before="100"/>
              <w:ind w:left="84" w:right="145"/>
              <w:rPr>
                <w:sz w:val="18"/>
              </w:rPr>
            </w:pPr>
            <w:r>
              <w:rPr>
                <w:color w:val="105C84"/>
                <w:spacing w:val="-4"/>
                <w:sz w:val="18"/>
              </w:rPr>
              <w:t>UR</w:t>
            </w:r>
            <w:r>
              <w:rPr>
                <w:color w:val="105C84"/>
                <w:spacing w:val="-9"/>
                <w:sz w:val="18"/>
              </w:rPr>
              <w:t> </w:t>
            </w:r>
            <w:r>
              <w:rPr>
                <w:color w:val="105C84"/>
                <w:spacing w:val="-4"/>
                <w:sz w:val="18"/>
              </w:rPr>
              <w:t>Thompson </w:t>
            </w:r>
            <w:r>
              <w:rPr>
                <w:color w:val="105C84"/>
                <w:sz w:val="18"/>
              </w:rPr>
              <w:t>Health </w:t>
            </w:r>
            <w:r>
              <w:rPr>
                <w:color w:val="105C84"/>
                <w:spacing w:val="-2"/>
                <w:w w:val="90"/>
                <w:sz w:val="18"/>
              </w:rPr>
              <w:t>(URTH)</w:t>
            </w:r>
          </w:p>
          <w:p>
            <w:pPr>
              <w:pStyle w:val="TableParagraph"/>
              <w:spacing w:line="232" w:lineRule="auto" w:before="89"/>
              <w:ind w:left="84" w:right="145"/>
              <w:rPr>
                <w:sz w:val="18"/>
              </w:rPr>
            </w:pPr>
            <w:r>
              <w:rPr>
                <w:color w:val="105C84"/>
                <w:sz w:val="18"/>
              </w:rPr>
              <w:t>Ontario</w:t>
            </w:r>
            <w:r>
              <w:rPr>
                <w:color w:val="105C84"/>
                <w:spacing w:val="-9"/>
                <w:sz w:val="18"/>
              </w:rPr>
              <w:t> </w:t>
            </w:r>
            <w:r>
              <w:rPr>
                <w:color w:val="105C84"/>
                <w:sz w:val="18"/>
              </w:rPr>
              <w:t>County Public Health </w:t>
            </w:r>
            <w:r>
              <w:rPr>
                <w:color w:val="105C84"/>
                <w:spacing w:val="-2"/>
                <w:sz w:val="18"/>
              </w:rPr>
              <w:t>(OCPH)</w:t>
            </w:r>
          </w:p>
          <w:p>
            <w:pPr>
              <w:pStyle w:val="TableParagraph"/>
              <w:spacing w:line="232" w:lineRule="auto" w:before="87"/>
              <w:ind w:left="84" w:right="439"/>
              <w:jc w:val="both"/>
              <w:rPr>
                <w:sz w:val="18"/>
              </w:rPr>
            </w:pPr>
            <w:r>
              <w:rPr>
                <w:color w:val="105C84"/>
                <w:spacing w:val="-4"/>
                <w:sz w:val="18"/>
              </w:rPr>
              <w:t>Finger</w:t>
            </w:r>
            <w:r>
              <w:rPr>
                <w:color w:val="105C84"/>
                <w:spacing w:val="-11"/>
                <w:sz w:val="18"/>
              </w:rPr>
              <w:t> </w:t>
            </w:r>
            <w:r>
              <w:rPr>
                <w:color w:val="105C84"/>
                <w:spacing w:val="-4"/>
                <w:sz w:val="18"/>
              </w:rPr>
              <w:t>Lakes</w:t>
            </w:r>
            <w:r>
              <w:rPr>
                <w:color w:val="105C84"/>
                <w:spacing w:val="-8"/>
                <w:sz w:val="18"/>
              </w:rPr>
              <w:t> </w:t>
            </w:r>
            <w:r>
              <w:rPr>
                <w:color w:val="105C84"/>
                <w:spacing w:val="-4"/>
                <w:sz w:val="18"/>
              </w:rPr>
              <w:t>Eat </w:t>
            </w:r>
            <w:r>
              <w:rPr>
                <w:color w:val="105C84"/>
                <w:sz w:val="18"/>
              </w:rPr>
              <w:t>Smart</w:t>
            </w:r>
            <w:r>
              <w:rPr>
                <w:color w:val="105C84"/>
                <w:spacing w:val="-15"/>
                <w:sz w:val="18"/>
              </w:rPr>
              <w:t> </w:t>
            </w:r>
            <w:r>
              <w:rPr>
                <w:color w:val="105C84"/>
                <w:sz w:val="18"/>
              </w:rPr>
              <w:t>New</w:t>
            </w:r>
            <w:r>
              <w:rPr>
                <w:color w:val="105C84"/>
                <w:spacing w:val="-12"/>
                <w:sz w:val="18"/>
              </w:rPr>
              <w:t> </w:t>
            </w:r>
            <w:r>
              <w:rPr>
                <w:color w:val="105C84"/>
                <w:sz w:val="18"/>
              </w:rPr>
              <w:t>York </w:t>
            </w:r>
            <w:r>
              <w:rPr>
                <w:color w:val="105C84"/>
                <w:spacing w:val="-2"/>
                <w:sz w:val="18"/>
              </w:rPr>
              <w:t>(FLESNY)</w:t>
            </w:r>
          </w:p>
          <w:p>
            <w:pPr>
              <w:pStyle w:val="TableParagraph"/>
              <w:spacing w:line="232" w:lineRule="auto" w:before="88"/>
              <w:ind w:left="84" w:right="145"/>
              <w:rPr>
                <w:sz w:val="18"/>
              </w:rPr>
            </w:pPr>
            <w:r>
              <w:rPr>
                <w:color w:val="105C84"/>
                <w:sz w:val="18"/>
              </w:rPr>
              <w:t>Regional</w:t>
            </w:r>
            <w:r>
              <w:rPr>
                <w:color w:val="105C84"/>
                <w:spacing w:val="-15"/>
                <w:sz w:val="18"/>
              </w:rPr>
              <w:t> </w:t>
            </w:r>
            <w:r>
              <w:rPr>
                <w:color w:val="105C84"/>
                <w:sz w:val="18"/>
              </w:rPr>
              <w:t>Farm</w:t>
            </w:r>
            <w:r>
              <w:rPr>
                <w:color w:val="105C84"/>
                <w:spacing w:val="-12"/>
                <w:sz w:val="18"/>
              </w:rPr>
              <w:t> </w:t>
            </w:r>
            <w:r>
              <w:rPr>
                <w:color w:val="105C84"/>
                <w:sz w:val="18"/>
              </w:rPr>
              <w:t>to Table Coalition</w:t>
            </w:r>
          </w:p>
          <w:p>
            <w:pPr>
              <w:pStyle w:val="TableParagraph"/>
              <w:spacing w:line="232" w:lineRule="auto" w:before="88"/>
              <w:ind w:left="84" w:right="145"/>
              <w:rPr>
                <w:sz w:val="18"/>
              </w:rPr>
            </w:pPr>
            <w:r>
              <w:rPr>
                <w:color w:val="105C84"/>
                <w:sz w:val="18"/>
              </w:rPr>
              <w:t>Finger Lakes Community</w:t>
            </w:r>
            <w:r>
              <w:rPr>
                <w:color w:val="105C84"/>
                <w:spacing w:val="-3"/>
                <w:sz w:val="18"/>
              </w:rPr>
              <w:t> </w:t>
            </w:r>
            <w:r>
              <w:rPr>
                <w:color w:val="105C84"/>
                <w:sz w:val="18"/>
              </w:rPr>
              <w:t>College </w:t>
            </w:r>
            <w:r>
              <w:rPr>
                <w:color w:val="105C84"/>
                <w:spacing w:val="-2"/>
                <w:sz w:val="18"/>
              </w:rPr>
              <w:t>(FLCC)</w:t>
            </w:r>
          </w:p>
          <w:p>
            <w:pPr>
              <w:pStyle w:val="TableParagraph"/>
              <w:spacing w:line="232" w:lineRule="auto" w:before="88"/>
              <w:ind w:left="84" w:right="483"/>
              <w:jc w:val="both"/>
              <w:rPr>
                <w:sz w:val="18"/>
              </w:rPr>
            </w:pPr>
            <w:r>
              <w:rPr>
                <w:color w:val="105C84"/>
                <w:spacing w:val="-4"/>
                <w:sz w:val="18"/>
              </w:rPr>
              <w:t>Regional</w:t>
            </w:r>
            <w:r>
              <w:rPr>
                <w:color w:val="105C84"/>
                <w:spacing w:val="-9"/>
                <w:sz w:val="18"/>
              </w:rPr>
              <w:t> </w:t>
            </w:r>
            <w:r>
              <w:rPr>
                <w:color w:val="105C84"/>
                <w:spacing w:val="-4"/>
                <w:sz w:val="18"/>
              </w:rPr>
              <w:t>Transit </w:t>
            </w:r>
            <w:r>
              <w:rPr>
                <w:color w:val="105C84"/>
                <w:sz w:val="18"/>
              </w:rPr>
              <w:t>System (RTS)</w:t>
            </w:r>
          </w:p>
        </w:tc>
        <w:tc>
          <w:tcPr>
            <w:tcW w:w="2693" w:type="dxa"/>
            <w:vMerge w:val="restart"/>
          </w:tcPr>
          <w:p>
            <w:pPr>
              <w:pStyle w:val="TableParagraph"/>
              <w:spacing w:line="232" w:lineRule="auto" w:before="100"/>
              <w:ind w:left="84" w:right="97"/>
              <w:rPr>
                <w:sz w:val="18"/>
              </w:rPr>
            </w:pPr>
            <w:r>
              <w:rPr>
                <w:color w:val="105C84"/>
                <w:sz w:val="18"/>
              </w:rPr>
              <w:t>URTH: Provide healthy eating learning opportunities in schools</w:t>
            </w:r>
            <w:r>
              <w:rPr>
                <w:color w:val="105C84"/>
                <w:spacing w:val="-15"/>
                <w:sz w:val="18"/>
              </w:rPr>
              <w:t> </w:t>
            </w:r>
            <w:r>
              <w:rPr>
                <w:color w:val="105C84"/>
                <w:sz w:val="18"/>
              </w:rPr>
              <w:t>and</w:t>
            </w:r>
            <w:r>
              <w:rPr>
                <w:color w:val="105C84"/>
                <w:spacing w:val="-12"/>
                <w:sz w:val="18"/>
              </w:rPr>
              <w:t> </w:t>
            </w:r>
            <w:r>
              <w:rPr>
                <w:color w:val="105C84"/>
                <w:sz w:val="18"/>
              </w:rPr>
              <w:t>daycares:</w:t>
            </w:r>
            <w:r>
              <w:rPr>
                <w:color w:val="105C84"/>
                <w:spacing w:val="-13"/>
                <w:sz w:val="18"/>
              </w:rPr>
              <w:t> </w:t>
            </w:r>
            <w:r>
              <w:rPr>
                <w:color w:val="105C84"/>
                <w:sz w:val="18"/>
              </w:rPr>
              <w:t>Get</w:t>
            </w:r>
            <w:r>
              <w:rPr>
                <w:color w:val="105C84"/>
                <w:spacing w:val="-12"/>
                <w:sz w:val="18"/>
              </w:rPr>
              <w:t> </w:t>
            </w:r>
            <w:r>
              <w:rPr>
                <w:color w:val="105C84"/>
                <w:sz w:val="18"/>
              </w:rPr>
              <w:t>Up! Fuel</w:t>
            </w:r>
            <w:r>
              <w:rPr>
                <w:color w:val="105C84"/>
                <w:spacing w:val="-13"/>
                <w:sz w:val="18"/>
              </w:rPr>
              <w:t> </w:t>
            </w:r>
            <w:r>
              <w:rPr>
                <w:color w:val="105C84"/>
                <w:sz w:val="18"/>
              </w:rPr>
              <w:t>Up!</w:t>
            </w:r>
            <w:r>
              <w:rPr>
                <w:color w:val="105C84"/>
                <w:spacing w:val="-12"/>
                <w:sz w:val="18"/>
              </w:rPr>
              <w:t> </w:t>
            </w:r>
            <w:r>
              <w:rPr>
                <w:color w:val="105C84"/>
                <w:sz w:val="18"/>
              </w:rPr>
              <w:t>(GUFU)</w:t>
            </w:r>
            <w:r>
              <w:rPr>
                <w:color w:val="105C84"/>
                <w:spacing w:val="-13"/>
                <w:sz w:val="18"/>
              </w:rPr>
              <w:t> </w:t>
            </w:r>
            <w:r>
              <w:rPr>
                <w:color w:val="105C84"/>
                <w:sz w:val="18"/>
              </w:rPr>
              <w:t>and</w:t>
            </w:r>
            <w:r>
              <w:rPr>
                <w:color w:val="105C84"/>
                <w:spacing w:val="-12"/>
                <w:sz w:val="18"/>
              </w:rPr>
              <w:t> </w:t>
            </w:r>
            <w:r>
              <w:rPr>
                <w:color w:val="105C84"/>
                <w:sz w:val="18"/>
              </w:rPr>
              <w:t>Eat</w:t>
            </w:r>
            <w:r>
              <w:rPr>
                <w:color w:val="105C84"/>
                <w:spacing w:val="-13"/>
                <w:sz w:val="18"/>
              </w:rPr>
              <w:t> </w:t>
            </w:r>
            <w:r>
              <w:rPr>
                <w:color w:val="105C84"/>
                <w:sz w:val="18"/>
              </w:rPr>
              <w:t>Your Colors (EYC)</w:t>
            </w:r>
          </w:p>
          <w:p>
            <w:pPr>
              <w:pStyle w:val="TableParagraph"/>
              <w:spacing w:line="232" w:lineRule="auto" w:before="86"/>
              <w:ind w:left="84" w:right="97"/>
              <w:rPr>
                <w:sz w:val="18"/>
              </w:rPr>
            </w:pPr>
            <w:r>
              <w:rPr>
                <w:color w:val="105C84"/>
                <w:sz w:val="18"/>
              </w:rPr>
              <w:t>OCPH:</w:t>
            </w:r>
            <w:r>
              <w:rPr>
                <w:color w:val="105C84"/>
                <w:spacing w:val="-13"/>
                <w:sz w:val="18"/>
              </w:rPr>
              <w:t> </w:t>
            </w:r>
            <w:r>
              <w:rPr>
                <w:color w:val="105C84"/>
                <w:sz w:val="18"/>
              </w:rPr>
              <w:t>Provide</w:t>
            </w:r>
            <w:r>
              <w:rPr>
                <w:color w:val="105C84"/>
                <w:spacing w:val="-12"/>
                <w:sz w:val="18"/>
              </w:rPr>
              <w:t> </w:t>
            </w:r>
            <w:r>
              <w:rPr>
                <w:color w:val="105C84"/>
                <w:sz w:val="18"/>
              </w:rPr>
              <w:t>healthy</w:t>
            </w:r>
            <w:r>
              <w:rPr>
                <w:color w:val="105C84"/>
                <w:spacing w:val="-13"/>
                <w:sz w:val="18"/>
              </w:rPr>
              <w:t> </w:t>
            </w:r>
            <w:r>
              <w:rPr>
                <w:color w:val="105C84"/>
                <w:sz w:val="18"/>
              </w:rPr>
              <w:t>eating learning opportunities in the community, including schools</w:t>
            </w:r>
          </w:p>
          <w:p>
            <w:pPr>
              <w:pStyle w:val="TableParagraph"/>
              <w:spacing w:line="232" w:lineRule="auto" w:before="88"/>
              <w:ind w:left="84" w:right="97"/>
              <w:rPr>
                <w:sz w:val="18"/>
              </w:rPr>
            </w:pPr>
            <w:r>
              <w:rPr>
                <w:color w:val="105C84"/>
                <w:sz w:val="18"/>
              </w:rPr>
              <w:t>Finger Lakes Eat Smart New </w:t>
            </w:r>
            <w:r>
              <w:rPr>
                <w:color w:val="105C84"/>
                <w:spacing w:val="-2"/>
                <w:sz w:val="18"/>
              </w:rPr>
              <w:t>York:</w:t>
            </w:r>
            <w:r>
              <w:rPr>
                <w:color w:val="105C84"/>
                <w:spacing w:val="-11"/>
                <w:sz w:val="18"/>
              </w:rPr>
              <w:t> </w:t>
            </w:r>
            <w:r>
              <w:rPr>
                <w:color w:val="105C84"/>
                <w:spacing w:val="-2"/>
                <w:sz w:val="18"/>
              </w:rPr>
              <w:t>1.</w:t>
            </w:r>
            <w:r>
              <w:rPr>
                <w:color w:val="105C84"/>
                <w:spacing w:val="-10"/>
                <w:sz w:val="18"/>
              </w:rPr>
              <w:t> </w:t>
            </w:r>
            <w:r>
              <w:rPr>
                <w:color w:val="105C84"/>
                <w:spacing w:val="-2"/>
                <w:sz w:val="18"/>
              </w:rPr>
              <w:t>Provide</w:t>
            </w:r>
            <w:r>
              <w:rPr>
                <w:color w:val="105C84"/>
                <w:spacing w:val="-11"/>
                <w:sz w:val="18"/>
              </w:rPr>
              <w:t> </w:t>
            </w:r>
            <w:r>
              <w:rPr>
                <w:color w:val="105C84"/>
                <w:spacing w:val="-2"/>
                <w:sz w:val="18"/>
              </w:rPr>
              <w:t>school-</w:t>
            </w:r>
            <w:r>
              <w:rPr>
                <w:color w:val="105C84"/>
                <w:spacing w:val="-2"/>
                <w:sz w:val="18"/>
              </w:rPr>
              <w:t>based </w:t>
            </w:r>
            <w:r>
              <w:rPr>
                <w:color w:val="105C84"/>
                <w:sz w:val="18"/>
              </w:rPr>
              <w:t>healthy eating learning </w:t>
            </w:r>
            <w:r>
              <w:rPr>
                <w:color w:val="105C84"/>
                <w:spacing w:val="-2"/>
                <w:sz w:val="18"/>
              </w:rPr>
              <w:t>opportunities</w:t>
            </w:r>
          </w:p>
          <w:p>
            <w:pPr>
              <w:pStyle w:val="TableParagraph"/>
              <w:spacing w:line="232" w:lineRule="auto" w:before="87"/>
              <w:ind w:left="84" w:right="97"/>
              <w:rPr>
                <w:sz w:val="18"/>
              </w:rPr>
            </w:pPr>
            <w:r>
              <w:rPr>
                <w:color w:val="105C84"/>
                <w:sz w:val="18"/>
              </w:rPr>
              <w:t>2.</w:t>
            </w:r>
            <w:r>
              <w:rPr>
                <w:color w:val="105C84"/>
                <w:spacing w:val="-15"/>
                <w:sz w:val="18"/>
              </w:rPr>
              <w:t> </w:t>
            </w:r>
            <w:r>
              <w:rPr>
                <w:color w:val="105C84"/>
                <w:sz w:val="18"/>
              </w:rPr>
              <w:t>Train</w:t>
            </w:r>
            <w:r>
              <w:rPr>
                <w:color w:val="105C84"/>
                <w:spacing w:val="-12"/>
                <w:sz w:val="18"/>
              </w:rPr>
              <w:t> </w:t>
            </w:r>
            <w:r>
              <w:rPr>
                <w:color w:val="105C84"/>
                <w:sz w:val="18"/>
              </w:rPr>
              <w:t>eligible</w:t>
            </w:r>
            <w:r>
              <w:rPr>
                <w:color w:val="105C84"/>
                <w:spacing w:val="-13"/>
                <w:sz w:val="18"/>
              </w:rPr>
              <w:t> </w:t>
            </w:r>
            <w:r>
              <w:rPr>
                <w:color w:val="105C84"/>
                <w:sz w:val="18"/>
              </w:rPr>
              <w:t>schools</w:t>
            </w:r>
            <w:r>
              <w:rPr>
                <w:color w:val="105C84"/>
                <w:spacing w:val="-12"/>
                <w:sz w:val="18"/>
              </w:rPr>
              <w:t> </w:t>
            </w:r>
            <w:r>
              <w:rPr>
                <w:color w:val="105C84"/>
                <w:sz w:val="18"/>
              </w:rPr>
              <w:t>in</w:t>
            </w:r>
            <w:r>
              <w:rPr>
                <w:color w:val="105C84"/>
                <w:sz w:val="18"/>
              </w:rPr>
              <w:t> </w:t>
            </w:r>
            <w:r>
              <w:rPr>
                <w:color w:val="105C84"/>
                <w:spacing w:val="-4"/>
                <w:sz w:val="18"/>
              </w:rPr>
              <w:t>CATCH</w:t>
            </w:r>
          </w:p>
          <w:p>
            <w:pPr>
              <w:pStyle w:val="TableParagraph"/>
              <w:spacing w:line="232" w:lineRule="auto" w:before="88"/>
              <w:ind w:left="84" w:right="273"/>
              <w:rPr>
                <w:sz w:val="18"/>
              </w:rPr>
            </w:pPr>
            <w:r>
              <w:rPr>
                <w:color w:val="105C84"/>
                <w:w w:val="105"/>
                <w:sz w:val="18"/>
              </w:rPr>
              <w:t>Regional Farm to Table Coalition: Engage schools</w:t>
            </w:r>
            <w:r>
              <w:rPr>
                <w:color w:val="105C84"/>
                <w:w w:val="105"/>
                <w:sz w:val="18"/>
              </w:rPr>
              <w:t> </w:t>
            </w:r>
            <w:r>
              <w:rPr>
                <w:color w:val="105C84"/>
                <w:sz w:val="18"/>
              </w:rPr>
              <w:t>re</w:t>
            </w:r>
            <w:r>
              <w:rPr>
                <w:color w:val="105C84"/>
                <w:spacing w:val="-4"/>
                <w:sz w:val="18"/>
              </w:rPr>
              <w:t> </w:t>
            </w:r>
            <w:r>
              <w:rPr>
                <w:color w:val="105C84"/>
                <w:sz w:val="18"/>
              </w:rPr>
              <w:t>utilization</w:t>
            </w:r>
            <w:r>
              <w:rPr>
                <w:color w:val="105C84"/>
                <w:spacing w:val="-4"/>
                <w:sz w:val="18"/>
              </w:rPr>
              <w:t> </w:t>
            </w:r>
            <w:r>
              <w:rPr>
                <w:color w:val="105C84"/>
                <w:sz w:val="18"/>
              </w:rPr>
              <w:t>of</w:t>
            </w:r>
            <w:r>
              <w:rPr>
                <w:color w:val="105C84"/>
                <w:spacing w:val="-4"/>
                <w:sz w:val="18"/>
              </w:rPr>
              <w:t> </w:t>
            </w:r>
            <w:r>
              <w:rPr>
                <w:color w:val="105C84"/>
                <w:sz w:val="18"/>
              </w:rPr>
              <w:t>locally</w:t>
            </w:r>
            <w:r>
              <w:rPr>
                <w:color w:val="105C84"/>
                <w:spacing w:val="-4"/>
                <w:sz w:val="18"/>
              </w:rPr>
              <w:t> </w:t>
            </w:r>
            <w:r>
              <w:rPr>
                <w:color w:val="105C84"/>
                <w:sz w:val="18"/>
              </w:rPr>
              <w:t>grown </w:t>
            </w:r>
            <w:r>
              <w:rPr>
                <w:color w:val="105C84"/>
                <w:spacing w:val="-2"/>
                <w:w w:val="105"/>
                <w:sz w:val="18"/>
              </w:rPr>
              <w:t>foods</w:t>
            </w:r>
          </w:p>
          <w:p>
            <w:pPr>
              <w:pStyle w:val="TableParagraph"/>
              <w:spacing w:line="203" w:lineRule="exact" w:before="82"/>
              <w:ind w:left="84"/>
              <w:rPr>
                <w:sz w:val="18"/>
              </w:rPr>
            </w:pPr>
            <w:r>
              <w:rPr>
                <w:color w:val="105C84"/>
                <w:spacing w:val="-2"/>
                <w:sz w:val="18"/>
              </w:rPr>
              <w:t>OCPH:</w:t>
            </w:r>
          </w:p>
          <w:p>
            <w:pPr>
              <w:pStyle w:val="TableParagraph"/>
              <w:numPr>
                <w:ilvl w:val="0"/>
                <w:numId w:val="47"/>
              </w:numPr>
              <w:tabs>
                <w:tab w:pos="270" w:val="left" w:leader="none"/>
              </w:tabs>
              <w:spacing w:line="232" w:lineRule="auto" w:before="1" w:after="0"/>
              <w:ind w:left="84" w:right="211" w:firstLine="0"/>
              <w:jc w:val="left"/>
              <w:rPr>
                <w:sz w:val="18"/>
              </w:rPr>
            </w:pPr>
            <w:r>
              <w:rPr>
                <w:color w:val="105C84"/>
                <w:sz w:val="18"/>
              </w:rPr>
              <w:t>Participate</w:t>
            </w:r>
            <w:r>
              <w:rPr>
                <w:color w:val="105C84"/>
                <w:spacing w:val="-13"/>
                <w:sz w:val="18"/>
              </w:rPr>
              <w:t> </w:t>
            </w:r>
            <w:r>
              <w:rPr>
                <w:color w:val="105C84"/>
                <w:sz w:val="18"/>
              </w:rPr>
              <w:t>in</w:t>
            </w:r>
            <w:r>
              <w:rPr>
                <w:color w:val="105C84"/>
                <w:spacing w:val="-12"/>
                <w:sz w:val="18"/>
              </w:rPr>
              <w:t> </w:t>
            </w:r>
            <w:r>
              <w:rPr>
                <w:color w:val="105C84"/>
                <w:sz w:val="18"/>
              </w:rPr>
              <w:t>regional</w:t>
            </w:r>
            <w:r>
              <w:rPr>
                <w:color w:val="105C84"/>
                <w:spacing w:val="-13"/>
                <w:sz w:val="18"/>
              </w:rPr>
              <w:t> </w:t>
            </w:r>
            <w:r>
              <w:rPr>
                <w:color w:val="105C84"/>
                <w:sz w:val="18"/>
              </w:rPr>
              <w:t>Farm to Table Coalition</w:t>
            </w:r>
          </w:p>
          <w:p>
            <w:pPr>
              <w:pStyle w:val="TableParagraph"/>
              <w:numPr>
                <w:ilvl w:val="0"/>
                <w:numId w:val="47"/>
              </w:numPr>
              <w:tabs>
                <w:tab w:pos="270" w:val="left" w:leader="none"/>
              </w:tabs>
              <w:spacing w:line="232" w:lineRule="auto" w:before="89" w:after="0"/>
              <w:ind w:left="84" w:right="347" w:firstLine="0"/>
              <w:jc w:val="left"/>
              <w:rPr>
                <w:sz w:val="18"/>
              </w:rPr>
            </w:pPr>
            <w:r>
              <w:rPr>
                <w:color w:val="105C84"/>
                <w:sz w:val="18"/>
              </w:rPr>
              <w:t>Participate</w:t>
            </w:r>
            <w:r>
              <w:rPr>
                <w:color w:val="105C84"/>
                <w:spacing w:val="-13"/>
                <w:sz w:val="18"/>
              </w:rPr>
              <w:t> </w:t>
            </w:r>
            <w:r>
              <w:rPr>
                <w:color w:val="105C84"/>
                <w:sz w:val="18"/>
              </w:rPr>
              <w:t>in</w:t>
            </w:r>
            <w:r>
              <w:rPr>
                <w:color w:val="105C84"/>
                <w:spacing w:val="-12"/>
                <w:sz w:val="18"/>
              </w:rPr>
              <w:t> </w:t>
            </w:r>
            <w:r>
              <w:rPr>
                <w:color w:val="105C84"/>
                <w:sz w:val="18"/>
              </w:rPr>
              <w:t>Food</w:t>
            </w:r>
            <w:r>
              <w:rPr>
                <w:color w:val="105C84"/>
                <w:spacing w:val="-13"/>
                <w:sz w:val="18"/>
              </w:rPr>
              <w:t> </w:t>
            </w:r>
            <w:r>
              <w:rPr>
                <w:color w:val="105C84"/>
                <w:sz w:val="18"/>
              </w:rPr>
              <w:t>Pantry </w:t>
            </w:r>
            <w:r>
              <w:rPr>
                <w:color w:val="105C84"/>
                <w:spacing w:val="-2"/>
                <w:sz w:val="18"/>
              </w:rPr>
              <w:t>Committee</w:t>
            </w:r>
          </w:p>
          <w:p>
            <w:pPr>
              <w:pStyle w:val="TableParagraph"/>
              <w:numPr>
                <w:ilvl w:val="0"/>
                <w:numId w:val="47"/>
              </w:numPr>
              <w:tabs>
                <w:tab w:pos="224" w:val="left" w:leader="none"/>
              </w:tabs>
              <w:spacing w:line="232" w:lineRule="auto" w:before="88" w:after="0"/>
              <w:ind w:left="84" w:right="340" w:firstLine="0"/>
              <w:jc w:val="left"/>
              <w:rPr>
                <w:sz w:val="18"/>
              </w:rPr>
            </w:pPr>
            <w:r>
              <w:rPr>
                <w:color w:val="105C84"/>
                <w:w w:val="105"/>
                <w:sz w:val="18"/>
              </w:rPr>
              <w:t>Provide</w:t>
            </w:r>
            <w:r>
              <w:rPr>
                <w:color w:val="105C84"/>
                <w:spacing w:val="-1"/>
                <w:w w:val="105"/>
                <w:sz w:val="18"/>
              </w:rPr>
              <w:t> </w:t>
            </w:r>
            <w:r>
              <w:rPr>
                <w:color w:val="105C84"/>
                <w:w w:val="105"/>
                <w:sz w:val="18"/>
              </w:rPr>
              <w:t>health/nutrition </w:t>
            </w:r>
            <w:r>
              <w:rPr>
                <w:color w:val="105C84"/>
                <w:sz w:val="18"/>
              </w:rPr>
              <w:t>education</w:t>
            </w:r>
            <w:r>
              <w:rPr>
                <w:color w:val="105C84"/>
                <w:spacing w:val="-1"/>
                <w:sz w:val="18"/>
              </w:rPr>
              <w:t> </w:t>
            </w:r>
            <w:r>
              <w:rPr>
                <w:color w:val="105C84"/>
                <w:sz w:val="18"/>
              </w:rPr>
              <w:t>at</w:t>
            </w:r>
            <w:r>
              <w:rPr>
                <w:color w:val="105C84"/>
                <w:spacing w:val="-1"/>
                <w:sz w:val="18"/>
              </w:rPr>
              <w:t> </w:t>
            </w:r>
            <w:r>
              <w:rPr>
                <w:color w:val="105C84"/>
                <w:sz w:val="18"/>
              </w:rPr>
              <w:t>2</w:t>
            </w:r>
            <w:r>
              <w:rPr>
                <w:color w:val="105C84"/>
                <w:spacing w:val="-1"/>
                <w:sz w:val="18"/>
              </w:rPr>
              <w:t> </w:t>
            </w:r>
            <w:r>
              <w:rPr>
                <w:color w:val="105C84"/>
                <w:sz w:val="18"/>
              </w:rPr>
              <w:t>food</w:t>
            </w:r>
            <w:r>
              <w:rPr>
                <w:color w:val="105C84"/>
                <w:spacing w:val="-1"/>
                <w:sz w:val="18"/>
              </w:rPr>
              <w:t> </w:t>
            </w:r>
            <w:r>
              <w:rPr>
                <w:color w:val="105C84"/>
                <w:sz w:val="18"/>
              </w:rPr>
              <w:t>pantries</w:t>
            </w:r>
          </w:p>
          <w:p>
            <w:pPr>
              <w:pStyle w:val="TableParagraph"/>
              <w:numPr>
                <w:ilvl w:val="0"/>
                <w:numId w:val="47"/>
              </w:numPr>
              <w:tabs>
                <w:tab w:pos="270" w:val="left" w:leader="none"/>
              </w:tabs>
              <w:spacing w:line="232" w:lineRule="auto" w:before="88" w:after="0"/>
              <w:ind w:left="84" w:right="340" w:firstLine="0"/>
              <w:jc w:val="left"/>
              <w:rPr>
                <w:sz w:val="18"/>
              </w:rPr>
            </w:pPr>
            <w:r>
              <w:rPr>
                <w:color w:val="105C84"/>
                <w:sz w:val="18"/>
              </w:rPr>
              <w:t>Provide Nourish Your Neighbor (NYN) materials</w:t>
            </w:r>
            <w:r>
              <w:rPr>
                <w:color w:val="105C84"/>
                <w:spacing w:val="40"/>
                <w:sz w:val="18"/>
              </w:rPr>
              <w:t> </w:t>
            </w:r>
            <w:r>
              <w:rPr>
                <w:color w:val="105C84"/>
                <w:sz w:val="18"/>
              </w:rPr>
              <w:t>to</w:t>
            </w:r>
            <w:r>
              <w:rPr>
                <w:color w:val="105C84"/>
                <w:spacing w:val="-6"/>
                <w:sz w:val="18"/>
              </w:rPr>
              <w:t> </w:t>
            </w:r>
            <w:r>
              <w:rPr>
                <w:color w:val="105C84"/>
                <w:sz w:val="18"/>
              </w:rPr>
              <w:t>food</w:t>
            </w:r>
            <w:r>
              <w:rPr>
                <w:color w:val="105C84"/>
                <w:spacing w:val="-6"/>
                <w:sz w:val="18"/>
              </w:rPr>
              <w:t> </w:t>
            </w:r>
            <w:r>
              <w:rPr>
                <w:color w:val="105C84"/>
                <w:sz w:val="18"/>
              </w:rPr>
              <w:t>pantries,</w:t>
            </w:r>
            <w:r>
              <w:rPr>
                <w:color w:val="105C84"/>
                <w:spacing w:val="-6"/>
                <w:sz w:val="18"/>
              </w:rPr>
              <w:t> </w:t>
            </w:r>
            <w:r>
              <w:rPr>
                <w:color w:val="105C84"/>
                <w:sz w:val="18"/>
              </w:rPr>
              <w:t>Scouts</w:t>
            </w:r>
            <w:r>
              <w:rPr>
                <w:color w:val="105C84"/>
                <w:spacing w:val="-6"/>
                <w:sz w:val="18"/>
              </w:rPr>
              <w:t> </w:t>
            </w:r>
            <w:r>
              <w:rPr>
                <w:color w:val="105C84"/>
                <w:sz w:val="18"/>
              </w:rPr>
              <w:t>and United Way</w:t>
            </w:r>
          </w:p>
          <w:p>
            <w:pPr>
              <w:pStyle w:val="TableParagraph"/>
              <w:spacing w:line="232" w:lineRule="auto" w:before="87"/>
              <w:ind w:left="84" w:right="236"/>
              <w:rPr>
                <w:sz w:val="18"/>
              </w:rPr>
            </w:pPr>
            <w:r>
              <w:rPr>
                <w:color w:val="105C84"/>
                <w:sz w:val="18"/>
              </w:rPr>
              <w:t>URTH:</w:t>
            </w:r>
            <w:r>
              <w:rPr>
                <w:color w:val="105C84"/>
                <w:spacing w:val="-13"/>
                <w:sz w:val="18"/>
              </w:rPr>
              <w:t> </w:t>
            </w:r>
            <w:r>
              <w:rPr>
                <w:color w:val="105C84"/>
                <w:sz w:val="18"/>
              </w:rPr>
              <w:t>Provide</w:t>
            </w:r>
            <w:r>
              <w:rPr>
                <w:color w:val="105C84"/>
                <w:spacing w:val="-12"/>
                <w:sz w:val="18"/>
              </w:rPr>
              <w:t> </w:t>
            </w:r>
            <w:r>
              <w:rPr>
                <w:color w:val="105C84"/>
                <w:sz w:val="18"/>
              </w:rPr>
              <w:t>on-site</w:t>
            </w:r>
            <w:r>
              <w:rPr>
                <w:color w:val="105C84"/>
                <w:spacing w:val="-13"/>
                <w:sz w:val="18"/>
              </w:rPr>
              <w:t> </w:t>
            </w:r>
            <w:r>
              <w:rPr>
                <w:color w:val="105C84"/>
                <w:sz w:val="18"/>
              </w:rPr>
              <w:t>mobile food pantries</w:t>
            </w:r>
          </w:p>
          <w:p>
            <w:pPr>
              <w:pStyle w:val="TableParagraph"/>
              <w:spacing w:line="203" w:lineRule="exact" w:before="84"/>
              <w:ind w:left="84"/>
              <w:rPr>
                <w:sz w:val="18"/>
              </w:rPr>
            </w:pPr>
            <w:r>
              <w:rPr>
                <w:color w:val="105C84"/>
                <w:spacing w:val="-2"/>
                <w:sz w:val="18"/>
              </w:rPr>
              <w:t>FLCC:</w:t>
            </w:r>
          </w:p>
          <w:p>
            <w:pPr>
              <w:pStyle w:val="TableParagraph"/>
              <w:numPr>
                <w:ilvl w:val="1"/>
                <w:numId w:val="47"/>
              </w:numPr>
              <w:tabs>
                <w:tab w:pos="270" w:val="left" w:leader="none"/>
              </w:tabs>
              <w:spacing w:line="232" w:lineRule="auto" w:before="1" w:after="0"/>
              <w:ind w:left="84" w:right="560" w:firstLine="0"/>
              <w:jc w:val="left"/>
              <w:rPr>
                <w:sz w:val="18"/>
              </w:rPr>
            </w:pPr>
            <w:r>
              <w:rPr>
                <w:color w:val="105C84"/>
                <w:sz w:val="18"/>
              </w:rPr>
              <w:t>Host healthy food </w:t>
            </w:r>
            <w:r>
              <w:rPr>
                <w:color w:val="105C84"/>
                <w:sz w:val="18"/>
              </w:rPr>
              <w:t>prep </w:t>
            </w:r>
            <w:r>
              <w:rPr>
                <w:color w:val="105C84"/>
                <w:spacing w:val="-2"/>
                <w:sz w:val="18"/>
              </w:rPr>
              <w:t>classes</w:t>
            </w:r>
          </w:p>
          <w:p>
            <w:pPr>
              <w:pStyle w:val="TableParagraph"/>
              <w:numPr>
                <w:ilvl w:val="1"/>
                <w:numId w:val="47"/>
              </w:numPr>
              <w:tabs>
                <w:tab w:pos="270" w:val="left" w:leader="none"/>
              </w:tabs>
              <w:spacing w:line="240" w:lineRule="auto" w:before="84" w:after="0"/>
              <w:ind w:left="270" w:right="0" w:hanging="186"/>
              <w:jc w:val="left"/>
              <w:rPr>
                <w:sz w:val="18"/>
              </w:rPr>
            </w:pPr>
            <w:r>
              <w:rPr>
                <w:color w:val="105C84"/>
                <w:sz w:val="18"/>
              </w:rPr>
              <w:t>Food</w:t>
            </w:r>
            <w:r>
              <w:rPr>
                <w:color w:val="105C84"/>
                <w:spacing w:val="-9"/>
                <w:sz w:val="18"/>
              </w:rPr>
              <w:t> </w:t>
            </w:r>
            <w:r>
              <w:rPr>
                <w:color w:val="105C84"/>
                <w:sz w:val="18"/>
              </w:rPr>
              <w:t>Pantry</w:t>
            </w:r>
            <w:r>
              <w:rPr>
                <w:color w:val="105C84"/>
                <w:spacing w:val="-8"/>
                <w:sz w:val="18"/>
              </w:rPr>
              <w:t> </w:t>
            </w:r>
            <w:r>
              <w:rPr>
                <w:color w:val="105C84"/>
                <w:spacing w:val="-2"/>
                <w:sz w:val="18"/>
              </w:rPr>
              <w:t>Committee</w:t>
            </w:r>
          </w:p>
          <w:p>
            <w:pPr>
              <w:pStyle w:val="TableParagraph"/>
              <w:numPr>
                <w:ilvl w:val="1"/>
                <w:numId w:val="47"/>
              </w:numPr>
              <w:tabs>
                <w:tab w:pos="270" w:val="left" w:leader="none"/>
              </w:tabs>
              <w:spacing w:line="232" w:lineRule="auto" w:before="88" w:after="0"/>
              <w:ind w:left="84" w:right="834" w:firstLine="0"/>
              <w:jc w:val="left"/>
              <w:rPr>
                <w:sz w:val="18"/>
              </w:rPr>
            </w:pPr>
            <w:r>
              <w:rPr>
                <w:color w:val="105C84"/>
                <w:spacing w:val="-2"/>
                <w:w w:val="105"/>
                <w:sz w:val="18"/>
              </w:rPr>
              <w:t>Utilize</w:t>
            </w:r>
            <w:r>
              <w:rPr>
                <w:color w:val="105C84"/>
                <w:spacing w:val="-12"/>
                <w:w w:val="105"/>
                <w:sz w:val="18"/>
              </w:rPr>
              <w:t> </w:t>
            </w:r>
            <w:r>
              <w:rPr>
                <w:color w:val="105C84"/>
                <w:spacing w:val="-2"/>
                <w:w w:val="105"/>
                <w:sz w:val="18"/>
              </w:rPr>
              <w:t>“food</w:t>
            </w:r>
            <w:r>
              <w:rPr>
                <w:color w:val="105C84"/>
                <w:spacing w:val="-11"/>
                <w:w w:val="105"/>
                <w:sz w:val="18"/>
              </w:rPr>
              <w:t> </w:t>
            </w:r>
            <w:r>
              <w:rPr>
                <w:color w:val="105C84"/>
                <w:spacing w:val="-2"/>
                <w:w w:val="105"/>
                <w:sz w:val="18"/>
              </w:rPr>
              <w:t>rescue opportunities”</w:t>
            </w:r>
          </w:p>
          <w:p>
            <w:pPr>
              <w:pStyle w:val="TableParagraph"/>
              <w:numPr>
                <w:ilvl w:val="1"/>
                <w:numId w:val="47"/>
              </w:numPr>
              <w:tabs>
                <w:tab w:pos="270" w:val="left" w:leader="none"/>
              </w:tabs>
              <w:spacing w:line="232" w:lineRule="auto" w:before="88" w:after="0"/>
              <w:ind w:left="84" w:right="504" w:firstLine="0"/>
              <w:jc w:val="left"/>
              <w:rPr>
                <w:sz w:val="18"/>
              </w:rPr>
            </w:pPr>
            <w:r>
              <w:rPr>
                <w:color w:val="105C84"/>
                <w:sz w:val="18"/>
              </w:rPr>
              <w:t>Campus</w:t>
            </w:r>
            <w:r>
              <w:rPr>
                <w:color w:val="105C84"/>
                <w:spacing w:val="-5"/>
                <w:sz w:val="18"/>
              </w:rPr>
              <w:t> </w:t>
            </w:r>
            <w:r>
              <w:rPr>
                <w:color w:val="105C84"/>
                <w:sz w:val="18"/>
              </w:rPr>
              <w:t>food</w:t>
            </w:r>
            <w:r>
              <w:rPr>
                <w:color w:val="105C84"/>
                <w:spacing w:val="-5"/>
                <w:sz w:val="18"/>
              </w:rPr>
              <w:t> </w:t>
            </w:r>
            <w:r>
              <w:rPr>
                <w:color w:val="105C84"/>
                <w:sz w:val="18"/>
              </w:rPr>
              <w:t>pantry</w:t>
            </w:r>
            <w:r>
              <w:rPr>
                <w:color w:val="105C84"/>
                <w:spacing w:val="-5"/>
                <w:sz w:val="18"/>
              </w:rPr>
              <w:t> </w:t>
            </w:r>
            <w:r>
              <w:rPr>
                <w:color w:val="105C84"/>
                <w:sz w:val="18"/>
              </w:rPr>
              <w:t>for </w:t>
            </w:r>
            <w:r>
              <w:rPr>
                <w:color w:val="105C84"/>
                <w:spacing w:val="-2"/>
                <w:sz w:val="18"/>
              </w:rPr>
              <w:t>students</w:t>
            </w:r>
          </w:p>
          <w:p>
            <w:pPr>
              <w:pStyle w:val="TableParagraph"/>
              <w:numPr>
                <w:ilvl w:val="1"/>
                <w:numId w:val="47"/>
              </w:numPr>
              <w:tabs>
                <w:tab w:pos="270" w:val="left" w:leader="none"/>
              </w:tabs>
              <w:spacing w:line="232" w:lineRule="auto" w:before="88" w:after="0"/>
              <w:ind w:left="84" w:right="254" w:firstLine="0"/>
              <w:jc w:val="left"/>
              <w:rPr>
                <w:sz w:val="18"/>
              </w:rPr>
            </w:pPr>
            <w:r>
              <w:rPr>
                <w:color w:val="105C84"/>
                <w:sz w:val="18"/>
              </w:rPr>
              <w:t>Consider</w:t>
            </w:r>
            <w:r>
              <w:rPr>
                <w:color w:val="105C84"/>
                <w:spacing w:val="-1"/>
                <w:sz w:val="18"/>
              </w:rPr>
              <w:t> </w:t>
            </w:r>
            <w:r>
              <w:rPr>
                <w:color w:val="105C84"/>
                <w:sz w:val="18"/>
              </w:rPr>
              <w:t>grants</w:t>
            </w:r>
            <w:r>
              <w:rPr>
                <w:color w:val="105C84"/>
                <w:spacing w:val="-1"/>
                <w:sz w:val="18"/>
              </w:rPr>
              <w:t> </w:t>
            </w:r>
            <w:r>
              <w:rPr>
                <w:color w:val="105C84"/>
                <w:sz w:val="18"/>
              </w:rPr>
              <w:t>to</w:t>
            </w:r>
            <w:r>
              <w:rPr>
                <w:color w:val="105C84"/>
                <w:spacing w:val="-1"/>
                <w:sz w:val="18"/>
              </w:rPr>
              <w:t> </w:t>
            </w:r>
            <w:r>
              <w:rPr>
                <w:color w:val="105C84"/>
                <w:sz w:val="18"/>
              </w:rPr>
              <w:t>support efforts in food insecurity among students</w:t>
            </w:r>
          </w:p>
          <w:p>
            <w:pPr>
              <w:pStyle w:val="TableParagraph"/>
              <w:numPr>
                <w:ilvl w:val="1"/>
                <w:numId w:val="47"/>
              </w:numPr>
              <w:tabs>
                <w:tab w:pos="270" w:val="left" w:leader="none"/>
              </w:tabs>
              <w:spacing w:line="232" w:lineRule="auto" w:before="88" w:after="0"/>
              <w:ind w:left="84" w:right="101" w:firstLine="0"/>
              <w:jc w:val="left"/>
              <w:rPr>
                <w:sz w:val="18"/>
              </w:rPr>
            </w:pPr>
            <w:r>
              <w:rPr>
                <w:color w:val="105C84"/>
                <w:sz w:val="18"/>
              </w:rPr>
              <w:t>Coordinate with Food</w:t>
            </w:r>
            <w:r>
              <w:rPr>
                <w:color w:val="105C84"/>
                <w:spacing w:val="40"/>
                <w:sz w:val="18"/>
              </w:rPr>
              <w:t> </w:t>
            </w:r>
            <w:r>
              <w:rPr>
                <w:color w:val="105C84"/>
                <w:sz w:val="18"/>
              </w:rPr>
              <w:t>Justice of Geneva, Inc. re: opportunities for fresh </w:t>
            </w:r>
            <w:r>
              <w:rPr>
                <w:color w:val="105C84"/>
                <w:sz w:val="18"/>
              </w:rPr>
              <w:t>produce</w:t>
            </w:r>
          </w:p>
        </w:tc>
        <w:tc>
          <w:tcPr>
            <w:tcW w:w="2630" w:type="dxa"/>
            <w:vMerge w:val="restart"/>
            <w:tcBorders>
              <w:bottom w:val="nil"/>
            </w:tcBorders>
          </w:tcPr>
          <w:p>
            <w:pPr>
              <w:pStyle w:val="TableParagraph"/>
              <w:spacing w:line="203" w:lineRule="exact" w:before="94"/>
              <w:ind w:left="84"/>
              <w:rPr>
                <w:sz w:val="18"/>
              </w:rPr>
            </w:pPr>
            <w:r>
              <w:rPr>
                <w:color w:val="105C84"/>
                <w:spacing w:val="-8"/>
                <w:sz w:val="18"/>
              </w:rPr>
              <w:t>URTH:</w:t>
            </w:r>
            <w:r>
              <w:rPr>
                <w:color w:val="105C84"/>
                <w:spacing w:val="-2"/>
                <w:sz w:val="18"/>
              </w:rPr>
              <w:t> </w:t>
            </w:r>
            <w:r>
              <w:rPr>
                <w:color w:val="105C84"/>
                <w:spacing w:val="-8"/>
                <w:sz w:val="18"/>
              </w:rPr>
              <w:t>GUFU</w:t>
            </w:r>
            <w:r>
              <w:rPr>
                <w:color w:val="105C84"/>
                <w:spacing w:val="-2"/>
                <w:sz w:val="18"/>
              </w:rPr>
              <w:t> </w:t>
            </w:r>
            <w:r>
              <w:rPr>
                <w:color w:val="105C84"/>
                <w:spacing w:val="-8"/>
                <w:sz w:val="18"/>
              </w:rPr>
              <w:t>$1,420/yr</w:t>
            </w:r>
          </w:p>
          <w:p>
            <w:pPr>
              <w:pStyle w:val="TableParagraph"/>
              <w:spacing w:line="203" w:lineRule="exact"/>
              <w:ind w:left="84"/>
              <w:rPr>
                <w:sz w:val="18"/>
              </w:rPr>
            </w:pPr>
            <w:r>
              <w:rPr>
                <w:color w:val="105C84"/>
                <w:w w:val="90"/>
                <w:sz w:val="18"/>
              </w:rPr>
              <w:t>EYC</w:t>
            </w:r>
            <w:r>
              <w:rPr>
                <w:color w:val="105C84"/>
                <w:spacing w:val="-4"/>
                <w:sz w:val="18"/>
              </w:rPr>
              <w:t> </w:t>
            </w:r>
            <w:r>
              <w:rPr>
                <w:color w:val="105C84"/>
                <w:spacing w:val="-2"/>
                <w:sz w:val="18"/>
              </w:rPr>
              <w:t>$,2300/yr</w:t>
            </w:r>
          </w:p>
          <w:p>
            <w:pPr>
              <w:pStyle w:val="TableParagraph"/>
              <w:spacing w:before="83"/>
              <w:ind w:left="84"/>
              <w:rPr>
                <w:sz w:val="18"/>
              </w:rPr>
            </w:pPr>
            <w:r>
              <w:rPr>
                <w:color w:val="105C84"/>
                <w:spacing w:val="-6"/>
                <w:sz w:val="18"/>
              </w:rPr>
              <w:t>OCPH:</w:t>
            </w:r>
            <w:r>
              <w:rPr>
                <w:color w:val="105C84"/>
                <w:spacing w:val="-1"/>
                <w:sz w:val="18"/>
              </w:rPr>
              <w:t> </w:t>
            </w:r>
            <w:r>
              <w:rPr>
                <w:color w:val="105C84"/>
                <w:spacing w:val="-6"/>
                <w:sz w:val="18"/>
              </w:rPr>
              <w:t>Staff</w:t>
            </w:r>
            <w:r>
              <w:rPr>
                <w:color w:val="105C84"/>
                <w:spacing w:val="-1"/>
                <w:sz w:val="18"/>
              </w:rPr>
              <w:t> </w:t>
            </w:r>
            <w:r>
              <w:rPr>
                <w:color w:val="105C84"/>
                <w:spacing w:val="-6"/>
                <w:sz w:val="18"/>
              </w:rPr>
              <w:t>0.25</w:t>
            </w:r>
            <w:r>
              <w:rPr>
                <w:color w:val="105C84"/>
                <w:spacing w:val="-1"/>
                <w:sz w:val="18"/>
              </w:rPr>
              <w:t> </w:t>
            </w:r>
            <w:r>
              <w:rPr>
                <w:color w:val="105C84"/>
                <w:spacing w:val="-6"/>
                <w:sz w:val="18"/>
              </w:rPr>
              <w:t>FTE</w:t>
            </w:r>
            <w:r>
              <w:rPr>
                <w:color w:val="105C84"/>
                <w:spacing w:val="-1"/>
                <w:sz w:val="18"/>
              </w:rPr>
              <w:t> </w:t>
            </w:r>
            <w:r>
              <w:rPr>
                <w:color w:val="105C84"/>
                <w:spacing w:val="-6"/>
                <w:sz w:val="18"/>
              </w:rPr>
              <w:t>$13,918</w:t>
            </w:r>
          </w:p>
          <w:p>
            <w:pPr>
              <w:pStyle w:val="TableParagraph"/>
              <w:spacing w:line="232" w:lineRule="auto" w:before="88"/>
              <w:ind w:left="84"/>
              <w:rPr>
                <w:sz w:val="18"/>
              </w:rPr>
            </w:pPr>
            <w:r>
              <w:rPr>
                <w:color w:val="105C84"/>
                <w:spacing w:val="-2"/>
                <w:sz w:val="18"/>
              </w:rPr>
              <w:t>Finger</w:t>
            </w:r>
            <w:r>
              <w:rPr>
                <w:color w:val="105C84"/>
                <w:spacing w:val="-13"/>
                <w:sz w:val="18"/>
              </w:rPr>
              <w:t> </w:t>
            </w:r>
            <w:r>
              <w:rPr>
                <w:color w:val="105C84"/>
                <w:spacing w:val="-2"/>
                <w:sz w:val="18"/>
              </w:rPr>
              <w:t>Lakes</w:t>
            </w:r>
            <w:r>
              <w:rPr>
                <w:color w:val="105C84"/>
                <w:spacing w:val="-10"/>
                <w:sz w:val="18"/>
              </w:rPr>
              <w:t> </w:t>
            </w:r>
            <w:r>
              <w:rPr>
                <w:color w:val="105C84"/>
                <w:spacing w:val="-2"/>
                <w:sz w:val="18"/>
              </w:rPr>
              <w:t>Eat</w:t>
            </w:r>
            <w:r>
              <w:rPr>
                <w:color w:val="105C84"/>
                <w:spacing w:val="-11"/>
                <w:sz w:val="18"/>
              </w:rPr>
              <w:t> </w:t>
            </w:r>
            <w:r>
              <w:rPr>
                <w:color w:val="105C84"/>
                <w:spacing w:val="-2"/>
                <w:sz w:val="18"/>
              </w:rPr>
              <w:t>Smart</w:t>
            </w:r>
            <w:r>
              <w:rPr>
                <w:color w:val="105C84"/>
                <w:spacing w:val="-10"/>
                <w:sz w:val="18"/>
              </w:rPr>
              <w:t> </w:t>
            </w:r>
            <w:r>
              <w:rPr>
                <w:color w:val="105C84"/>
                <w:spacing w:val="-2"/>
                <w:sz w:val="18"/>
              </w:rPr>
              <w:t>New </w:t>
            </w:r>
            <w:r>
              <w:rPr>
                <w:color w:val="105C84"/>
                <w:sz w:val="18"/>
              </w:rPr>
              <w:t>York: Total $12,232</w:t>
            </w:r>
          </w:p>
          <w:p>
            <w:pPr>
              <w:pStyle w:val="TableParagraph"/>
              <w:spacing w:line="197" w:lineRule="exact"/>
              <w:ind w:left="84"/>
              <w:rPr>
                <w:sz w:val="18"/>
              </w:rPr>
            </w:pPr>
            <w:r>
              <w:rPr>
                <w:color w:val="105C84"/>
                <w:spacing w:val="-4"/>
                <w:sz w:val="18"/>
              </w:rPr>
              <w:t>Time</w:t>
            </w:r>
            <w:r>
              <w:rPr>
                <w:color w:val="105C84"/>
                <w:spacing w:val="-6"/>
                <w:sz w:val="18"/>
              </w:rPr>
              <w:t> </w:t>
            </w:r>
            <w:r>
              <w:rPr>
                <w:color w:val="105C84"/>
                <w:spacing w:val="-4"/>
                <w:sz w:val="18"/>
              </w:rPr>
              <w:t>$11.232,</w:t>
            </w:r>
            <w:r>
              <w:rPr>
                <w:color w:val="105C84"/>
                <w:spacing w:val="-5"/>
                <w:sz w:val="18"/>
              </w:rPr>
              <w:t> </w:t>
            </w:r>
            <w:r>
              <w:rPr>
                <w:color w:val="105C84"/>
                <w:spacing w:val="-4"/>
                <w:sz w:val="18"/>
              </w:rPr>
              <w:t>0.3</w:t>
            </w:r>
            <w:r>
              <w:rPr>
                <w:color w:val="105C84"/>
                <w:spacing w:val="-6"/>
                <w:sz w:val="18"/>
              </w:rPr>
              <w:t> </w:t>
            </w:r>
            <w:r>
              <w:rPr>
                <w:color w:val="105C84"/>
                <w:spacing w:val="-5"/>
                <w:sz w:val="18"/>
              </w:rPr>
              <w:t>FTE</w:t>
            </w:r>
          </w:p>
          <w:p>
            <w:pPr>
              <w:pStyle w:val="TableParagraph"/>
              <w:spacing w:line="203" w:lineRule="exact"/>
              <w:ind w:left="84"/>
              <w:rPr>
                <w:sz w:val="18"/>
              </w:rPr>
            </w:pPr>
            <w:r>
              <w:rPr>
                <w:color w:val="105C84"/>
                <w:spacing w:val="-2"/>
                <w:sz w:val="18"/>
              </w:rPr>
              <w:t>Supplies</w:t>
            </w:r>
            <w:r>
              <w:rPr>
                <w:color w:val="105C84"/>
                <w:sz w:val="18"/>
              </w:rPr>
              <w:t> </w:t>
            </w:r>
            <w:r>
              <w:rPr>
                <w:color w:val="105C84"/>
                <w:spacing w:val="-2"/>
                <w:sz w:val="18"/>
              </w:rPr>
              <w:t>$1,000</w:t>
            </w:r>
          </w:p>
          <w:p>
            <w:pPr>
              <w:pStyle w:val="TableParagraph"/>
              <w:spacing w:line="203" w:lineRule="exact" w:before="83"/>
              <w:ind w:left="84"/>
              <w:rPr>
                <w:sz w:val="18"/>
              </w:rPr>
            </w:pPr>
            <w:r>
              <w:rPr>
                <w:color w:val="105C84"/>
                <w:spacing w:val="-2"/>
                <w:sz w:val="18"/>
              </w:rPr>
              <w:t>OCPH:</w:t>
            </w:r>
          </w:p>
          <w:p>
            <w:pPr>
              <w:pStyle w:val="TableParagraph"/>
              <w:spacing w:line="203" w:lineRule="exact"/>
              <w:ind w:left="84"/>
              <w:rPr>
                <w:sz w:val="18"/>
              </w:rPr>
            </w:pPr>
            <w:r>
              <w:rPr>
                <w:color w:val="105C84"/>
                <w:spacing w:val="-4"/>
                <w:sz w:val="18"/>
              </w:rPr>
              <w:t>Total:</w:t>
            </w:r>
            <w:r>
              <w:rPr>
                <w:color w:val="105C84"/>
                <w:spacing w:val="-1"/>
                <w:sz w:val="18"/>
              </w:rPr>
              <w:t> </w:t>
            </w:r>
            <w:r>
              <w:rPr>
                <w:color w:val="105C84"/>
                <w:spacing w:val="-2"/>
                <w:sz w:val="18"/>
              </w:rPr>
              <w:t>$8,360</w:t>
            </w:r>
          </w:p>
          <w:p>
            <w:pPr>
              <w:pStyle w:val="TableParagraph"/>
              <w:spacing w:before="83"/>
              <w:ind w:left="84"/>
              <w:rPr>
                <w:sz w:val="18"/>
              </w:rPr>
            </w:pPr>
            <w:r>
              <w:rPr>
                <w:color w:val="105C84"/>
                <w:sz w:val="18"/>
              </w:rPr>
              <w:t>Farm</w:t>
            </w:r>
            <w:r>
              <w:rPr>
                <w:color w:val="105C84"/>
                <w:spacing w:val="-13"/>
                <w:sz w:val="18"/>
              </w:rPr>
              <w:t> </w:t>
            </w:r>
            <w:r>
              <w:rPr>
                <w:color w:val="105C84"/>
                <w:sz w:val="18"/>
              </w:rPr>
              <w:t>to</w:t>
            </w:r>
            <w:r>
              <w:rPr>
                <w:color w:val="105C84"/>
                <w:spacing w:val="-12"/>
                <w:sz w:val="18"/>
              </w:rPr>
              <w:t> </w:t>
            </w:r>
            <w:r>
              <w:rPr>
                <w:color w:val="105C84"/>
                <w:sz w:val="18"/>
              </w:rPr>
              <w:t>Table</w:t>
            </w:r>
            <w:r>
              <w:rPr>
                <w:color w:val="105C84"/>
                <w:spacing w:val="-12"/>
                <w:sz w:val="18"/>
              </w:rPr>
              <w:t> </w:t>
            </w:r>
            <w:r>
              <w:rPr>
                <w:color w:val="105C84"/>
                <w:spacing w:val="-4"/>
                <w:sz w:val="18"/>
              </w:rPr>
              <w:t>$360</w:t>
            </w:r>
          </w:p>
          <w:p>
            <w:pPr>
              <w:pStyle w:val="TableParagraph"/>
              <w:spacing w:line="203" w:lineRule="exact" w:before="83"/>
              <w:ind w:left="84"/>
              <w:rPr>
                <w:sz w:val="18"/>
              </w:rPr>
            </w:pPr>
            <w:r>
              <w:rPr>
                <w:color w:val="105C84"/>
                <w:sz w:val="18"/>
              </w:rPr>
              <w:t>Food</w:t>
            </w:r>
            <w:r>
              <w:rPr>
                <w:color w:val="105C84"/>
                <w:spacing w:val="1"/>
                <w:sz w:val="18"/>
              </w:rPr>
              <w:t> </w:t>
            </w:r>
            <w:r>
              <w:rPr>
                <w:color w:val="105C84"/>
                <w:sz w:val="18"/>
              </w:rPr>
              <w:t>Pantry</w:t>
            </w:r>
            <w:r>
              <w:rPr>
                <w:color w:val="105C84"/>
                <w:spacing w:val="2"/>
                <w:sz w:val="18"/>
              </w:rPr>
              <w:t> </w:t>
            </w:r>
            <w:r>
              <w:rPr>
                <w:color w:val="105C84"/>
                <w:sz w:val="18"/>
              </w:rPr>
              <w:t>Committee</w:t>
            </w:r>
            <w:r>
              <w:rPr>
                <w:color w:val="105C84"/>
                <w:spacing w:val="2"/>
                <w:sz w:val="18"/>
              </w:rPr>
              <w:t> </w:t>
            </w:r>
            <w:r>
              <w:rPr>
                <w:color w:val="105C84"/>
                <w:sz w:val="18"/>
              </w:rPr>
              <w:t>&amp;</w:t>
            </w:r>
            <w:r>
              <w:rPr>
                <w:color w:val="105C84"/>
                <w:spacing w:val="2"/>
                <w:sz w:val="18"/>
              </w:rPr>
              <w:t> </w:t>
            </w:r>
            <w:r>
              <w:rPr>
                <w:color w:val="105C84"/>
                <w:spacing w:val="-5"/>
                <w:sz w:val="18"/>
              </w:rPr>
              <w:t>Ed</w:t>
            </w:r>
          </w:p>
          <w:p>
            <w:pPr>
              <w:pStyle w:val="TableParagraph"/>
              <w:spacing w:line="203" w:lineRule="exact"/>
              <w:ind w:left="84"/>
              <w:rPr>
                <w:sz w:val="18"/>
              </w:rPr>
            </w:pPr>
            <w:r>
              <w:rPr>
                <w:color w:val="105C84"/>
                <w:spacing w:val="-2"/>
                <w:sz w:val="18"/>
              </w:rPr>
              <w:t>$2000</w:t>
            </w:r>
          </w:p>
          <w:p>
            <w:pPr>
              <w:pStyle w:val="TableParagraph"/>
              <w:spacing w:line="290" w:lineRule="atLeast"/>
              <w:ind w:left="84"/>
              <w:rPr>
                <w:sz w:val="18"/>
              </w:rPr>
            </w:pPr>
            <w:r>
              <w:rPr>
                <w:color w:val="105C84"/>
                <w:sz w:val="18"/>
              </w:rPr>
              <w:t>NYN</w:t>
            </w:r>
            <w:r>
              <w:rPr>
                <w:color w:val="105C84"/>
                <w:spacing w:val="-13"/>
                <w:sz w:val="18"/>
              </w:rPr>
              <w:t> </w:t>
            </w:r>
            <w:r>
              <w:rPr>
                <w:color w:val="105C84"/>
                <w:sz w:val="18"/>
              </w:rPr>
              <w:t>time</w:t>
            </w:r>
            <w:r>
              <w:rPr>
                <w:color w:val="105C84"/>
                <w:spacing w:val="-12"/>
                <w:sz w:val="18"/>
              </w:rPr>
              <w:t> </w:t>
            </w:r>
            <w:r>
              <w:rPr>
                <w:color w:val="105C84"/>
                <w:sz w:val="18"/>
              </w:rPr>
              <w:t>&amp;</w:t>
            </w:r>
            <w:r>
              <w:rPr>
                <w:color w:val="105C84"/>
                <w:spacing w:val="10"/>
                <w:sz w:val="18"/>
              </w:rPr>
              <w:t> </w:t>
            </w:r>
            <w:r>
              <w:rPr>
                <w:color w:val="105C84"/>
                <w:sz w:val="18"/>
              </w:rPr>
              <w:t>materials-</w:t>
            </w:r>
            <w:r>
              <w:rPr>
                <w:color w:val="105C84"/>
                <w:sz w:val="18"/>
              </w:rPr>
              <w:t>$6,000 </w:t>
            </w:r>
            <w:r>
              <w:rPr>
                <w:color w:val="105C84"/>
                <w:spacing w:val="-2"/>
                <w:sz w:val="18"/>
              </w:rPr>
              <w:t>FLCC:</w:t>
            </w:r>
          </w:p>
          <w:p>
            <w:pPr>
              <w:pStyle w:val="TableParagraph"/>
              <w:spacing w:line="200" w:lineRule="exact"/>
              <w:ind w:left="84"/>
              <w:rPr>
                <w:sz w:val="18"/>
              </w:rPr>
            </w:pPr>
            <w:r>
              <w:rPr>
                <w:color w:val="105C84"/>
                <w:spacing w:val="-4"/>
                <w:sz w:val="18"/>
              </w:rPr>
              <w:t>Total:</w:t>
            </w:r>
            <w:r>
              <w:rPr>
                <w:color w:val="105C84"/>
                <w:spacing w:val="-7"/>
                <w:sz w:val="18"/>
              </w:rPr>
              <w:t> </w:t>
            </w:r>
            <w:r>
              <w:rPr>
                <w:color w:val="105C84"/>
                <w:spacing w:val="-4"/>
                <w:sz w:val="18"/>
              </w:rPr>
              <w:t>1.04</w:t>
            </w:r>
            <w:r>
              <w:rPr>
                <w:color w:val="105C84"/>
                <w:spacing w:val="-7"/>
                <w:sz w:val="18"/>
              </w:rPr>
              <w:t> </w:t>
            </w:r>
            <w:r>
              <w:rPr>
                <w:color w:val="105C84"/>
                <w:spacing w:val="-4"/>
                <w:sz w:val="18"/>
              </w:rPr>
              <w:t>FTE’s</w:t>
            </w:r>
          </w:p>
        </w:tc>
      </w:tr>
      <w:tr>
        <w:trPr>
          <w:trHeight w:val="200" w:hRule="exact"/>
        </w:trPr>
        <w:tc>
          <w:tcPr>
            <w:tcW w:w="1353" w:type="dxa"/>
            <w:vMerge/>
            <w:tcBorders>
              <w:top w:val="nil"/>
              <w:bottom w:val="nil"/>
            </w:tcBorders>
            <w:shd w:val="clear" w:color="auto" w:fill="E6E7E8"/>
          </w:tcPr>
          <w:p>
            <w:pPr>
              <w:rPr>
                <w:sz w:val="2"/>
                <w:szCs w:val="2"/>
              </w:rPr>
            </w:pPr>
          </w:p>
        </w:tc>
        <w:tc>
          <w:tcPr>
            <w:tcW w:w="1289" w:type="dxa"/>
            <w:vMerge/>
            <w:tcBorders>
              <w:top w:val="nil"/>
              <w:bottom w:val="nil"/>
            </w:tcBorders>
          </w:tcPr>
          <w:p>
            <w:pPr>
              <w:rPr>
                <w:sz w:val="2"/>
                <w:szCs w:val="2"/>
              </w:rPr>
            </w:pPr>
          </w:p>
        </w:tc>
        <w:tc>
          <w:tcPr>
            <w:tcW w:w="1563" w:type="dxa"/>
            <w:vMerge/>
            <w:tcBorders>
              <w:top w:val="nil"/>
              <w:bottom w:val="nil"/>
            </w:tcBorders>
          </w:tcPr>
          <w:p>
            <w:pPr>
              <w:rPr>
                <w:sz w:val="2"/>
                <w:szCs w:val="2"/>
              </w:rPr>
            </w:pPr>
          </w:p>
        </w:tc>
        <w:tc>
          <w:tcPr>
            <w:tcW w:w="2535" w:type="dxa"/>
            <w:vMerge/>
            <w:tcBorders>
              <w:top w:val="nil"/>
            </w:tcBorders>
          </w:tcPr>
          <w:p>
            <w:pPr>
              <w:rPr>
                <w:sz w:val="2"/>
                <w:szCs w:val="2"/>
              </w:rPr>
            </w:pPr>
          </w:p>
        </w:tc>
        <w:tc>
          <w:tcPr>
            <w:tcW w:w="1239" w:type="dxa"/>
            <w:vMerge/>
            <w:tcBorders>
              <w:top w:val="nil"/>
            </w:tcBorders>
          </w:tcPr>
          <w:p>
            <w:pPr>
              <w:rPr>
                <w:sz w:val="2"/>
                <w:szCs w:val="2"/>
              </w:rPr>
            </w:pPr>
          </w:p>
        </w:tc>
        <w:tc>
          <w:tcPr>
            <w:tcW w:w="3206" w:type="dxa"/>
            <w:vMerge w:val="restart"/>
            <w:tcBorders>
              <w:right w:val="nil"/>
            </w:tcBorders>
          </w:tcPr>
          <w:p>
            <w:pPr>
              <w:pStyle w:val="TableParagraph"/>
              <w:spacing w:line="232" w:lineRule="auto" w:before="99"/>
              <w:ind w:left="84" w:right="1015"/>
              <w:rPr>
                <w:sz w:val="18"/>
              </w:rPr>
            </w:pPr>
            <w:r>
              <w:rPr>
                <w:color w:val="105C84"/>
                <w:sz w:val="18"/>
              </w:rPr>
              <w:t>Ontario</w:t>
            </w:r>
            <w:r>
              <w:rPr>
                <w:color w:val="105C84"/>
                <w:spacing w:val="-12"/>
                <w:sz w:val="18"/>
              </w:rPr>
              <w:t> </w:t>
            </w:r>
            <w:r>
              <w:rPr>
                <w:color w:val="105C84"/>
                <w:sz w:val="18"/>
              </w:rPr>
              <w:t>County</w:t>
            </w:r>
            <w:r>
              <w:rPr>
                <w:color w:val="105C84"/>
                <w:spacing w:val="-12"/>
                <w:sz w:val="18"/>
              </w:rPr>
              <w:t> </w:t>
            </w:r>
            <w:r>
              <w:rPr>
                <w:color w:val="105C84"/>
                <w:sz w:val="18"/>
              </w:rPr>
              <w:t>Specific </w:t>
            </w:r>
            <w:r>
              <w:rPr>
                <w:color w:val="105C84"/>
                <w:spacing w:val="-2"/>
                <w:sz w:val="18"/>
              </w:rPr>
              <w:t>Intervention:</w:t>
            </w:r>
          </w:p>
          <w:p>
            <w:pPr>
              <w:pStyle w:val="TableParagraph"/>
              <w:spacing w:line="232" w:lineRule="auto" w:before="88"/>
              <w:ind w:left="84" w:right="1015"/>
              <w:rPr>
                <w:sz w:val="18"/>
              </w:rPr>
            </w:pPr>
            <w:r>
              <w:rPr>
                <w:color w:val="105C84"/>
                <w:sz w:val="18"/>
              </w:rPr>
              <w:t>Increase availability of fruits, vegetables and other</w:t>
            </w:r>
            <w:r>
              <w:rPr>
                <w:color w:val="105C84"/>
                <w:spacing w:val="-2"/>
                <w:sz w:val="18"/>
              </w:rPr>
              <w:t> </w:t>
            </w:r>
            <w:r>
              <w:rPr>
                <w:color w:val="105C84"/>
                <w:sz w:val="18"/>
              </w:rPr>
              <w:t>healthy</w:t>
            </w:r>
            <w:r>
              <w:rPr>
                <w:color w:val="105C84"/>
                <w:spacing w:val="-2"/>
                <w:sz w:val="18"/>
              </w:rPr>
              <w:t> </w:t>
            </w:r>
            <w:r>
              <w:rPr>
                <w:color w:val="105C84"/>
                <w:sz w:val="18"/>
              </w:rPr>
              <w:t>foods</w:t>
            </w:r>
            <w:r>
              <w:rPr>
                <w:color w:val="105C84"/>
                <w:spacing w:val="-2"/>
                <w:sz w:val="18"/>
              </w:rPr>
              <w:t> </w:t>
            </w:r>
            <w:r>
              <w:rPr>
                <w:color w:val="105C84"/>
                <w:sz w:val="18"/>
              </w:rPr>
              <w:t>in</w:t>
            </w:r>
            <w:r>
              <w:rPr>
                <w:color w:val="105C84"/>
                <w:spacing w:val="-2"/>
                <w:sz w:val="18"/>
              </w:rPr>
              <w:t> </w:t>
            </w:r>
            <w:r>
              <w:rPr>
                <w:color w:val="105C84"/>
                <w:sz w:val="18"/>
              </w:rPr>
              <w:t>the community and at food </w:t>
            </w:r>
            <w:r>
              <w:rPr>
                <w:color w:val="105C84"/>
                <w:spacing w:val="-2"/>
                <w:sz w:val="18"/>
              </w:rPr>
              <w:t>pantries</w:t>
            </w:r>
          </w:p>
        </w:tc>
        <w:tc>
          <w:tcPr>
            <w:tcW w:w="3901" w:type="dxa"/>
            <w:vMerge w:val="restart"/>
            <w:tcBorders>
              <w:left w:val="nil"/>
            </w:tcBorders>
          </w:tcPr>
          <w:p>
            <w:pPr>
              <w:pStyle w:val="TableParagraph"/>
              <w:numPr>
                <w:ilvl w:val="0"/>
                <w:numId w:val="48"/>
              </w:numPr>
              <w:tabs>
                <w:tab w:pos="1249" w:val="left" w:leader="none"/>
              </w:tabs>
              <w:spacing w:line="232" w:lineRule="auto" w:before="99" w:after="0"/>
              <w:ind w:left="1063" w:right="97" w:firstLine="0"/>
              <w:jc w:val="left"/>
              <w:rPr>
                <w:sz w:val="18"/>
              </w:rPr>
            </w:pPr>
            <w:r>
              <w:rPr>
                <w:color w:val="105C84"/>
                <w:sz w:val="18"/>
              </w:rPr>
              <w:t># food pantry patrons reached with</w:t>
            </w:r>
            <w:r>
              <w:rPr>
                <w:color w:val="105C84"/>
                <w:spacing w:val="-7"/>
                <w:sz w:val="18"/>
              </w:rPr>
              <w:t> </w:t>
            </w:r>
            <w:r>
              <w:rPr>
                <w:color w:val="105C84"/>
                <w:sz w:val="18"/>
              </w:rPr>
              <w:t>messages</w:t>
            </w:r>
            <w:r>
              <w:rPr>
                <w:color w:val="105C84"/>
                <w:spacing w:val="-7"/>
                <w:sz w:val="18"/>
              </w:rPr>
              <w:t> </w:t>
            </w:r>
            <w:r>
              <w:rPr>
                <w:color w:val="105C84"/>
                <w:sz w:val="18"/>
              </w:rPr>
              <w:t>about</w:t>
            </w:r>
            <w:r>
              <w:rPr>
                <w:color w:val="105C84"/>
                <w:spacing w:val="-7"/>
                <w:sz w:val="18"/>
              </w:rPr>
              <w:t> </w:t>
            </w:r>
            <w:r>
              <w:rPr>
                <w:color w:val="105C84"/>
                <w:sz w:val="18"/>
              </w:rPr>
              <w:t>healthy</w:t>
            </w:r>
            <w:r>
              <w:rPr>
                <w:color w:val="105C84"/>
                <w:spacing w:val="-7"/>
                <w:sz w:val="18"/>
              </w:rPr>
              <w:t> </w:t>
            </w:r>
            <w:r>
              <w:rPr>
                <w:color w:val="105C84"/>
                <w:sz w:val="18"/>
              </w:rPr>
              <w:t>food choices (2 sites)</w:t>
            </w:r>
          </w:p>
          <w:p>
            <w:pPr>
              <w:pStyle w:val="TableParagraph"/>
              <w:numPr>
                <w:ilvl w:val="0"/>
                <w:numId w:val="48"/>
              </w:numPr>
              <w:tabs>
                <w:tab w:pos="1249" w:val="left" w:leader="none"/>
              </w:tabs>
              <w:spacing w:line="232" w:lineRule="auto" w:before="87" w:after="0"/>
              <w:ind w:left="1063" w:right="184" w:firstLine="0"/>
              <w:jc w:val="left"/>
              <w:rPr>
                <w:sz w:val="18"/>
              </w:rPr>
            </w:pPr>
            <w:r>
              <w:rPr>
                <w:color w:val="105C84"/>
                <w:spacing w:val="-2"/>
                <w:w w:val="105"/>
                <w:sz w:val="18"/>
              </w:rPr>
              <w:t>#</w:t>
            </w:r>
            <w:r>
              <w:rPr>
                <w:color w:val="105C84"/>
                <w:spacing w:val="-11"/>
                <w:w w:val="105"/>
                <w:sz w:val="18"/>
              </w:rPr>
              <w:t> </w:t>
            </w:r>
            <w:r>
              <w:rPr>
                <w:color w:val="105C84"/>
                <w:spacing w:val="-2"/>
                <w:w w:val="105"/>
                <w:sz w:val="18"/>
              </w:rPr>
              <w:t>food</w:t>
            </w:r>
            <w:r>
              <w:rPr>
                <w:color w:val="105C84"/>
                <w:spacing w:val="-11"/>
                <w:w w:val="105"/>
                <w:sz w:val="18"/>
              </w:rPr>
              <w:t> </w:t>
            </w:r>
            <w:r>
              <w:rPr>
                <w:color w:val="105C84"/>
                <w:spacing w:val="-2"/>
                <w:w w:val="105"/>
                <w:sz w:val="18"/>
              </w:rPr>
              <w:t>pantries</w:t>
            </w:r>
            <w:r>
              <w:rPr>
                <w:color w:val="105C84"/>
                <w:spacing w:val="-11"/>
                <w:w w:val="105"/>
                <w:sz w:val="18"/>
              </w:rPr>
              <w:t> </w:t>
            </w:r>
            <w:r>
              <w:rPr>
                <w:color w:val="105C84"/>
                <w:spacing w:val="-2"/>
                <w:w w:val="105"/>
                <w:sz w:val="18"/>
              </w:rPr>
              <w:t>participating</w:t>
            </w:r>
            <w:r>
              <w:rPr>
                <w:color w:val="105C84"/>
                <w:spacing w:val="-11"/>
                <w:w w:val="105"/>
                <w:sz w:val="18"/>
              </w:rPr>
              <w:t> </w:t>
            </w:r>
            <w:r>
              <w:rPr>
                <w:color w:val="105C84"/>
                <w:spacing w:val="-2"/>
                <w:w w:val="105"/>
                <w:sz w:val="18"/>
              </w:rPr>
              <w:t>in </w:t>
            </w:r>
            <w:r>
              <w:rPr>
                <w:color w:val="105C84"/>
                <w:w w:val="105"/>
                <w:sz w:val="18"/>
              </w:rPr>
              <w:t>Nourish Your Neighbor</w:t>
            </w:r>
          </w:p>
          <w:p>
            <w:pPr>
              <w:pStyle w:val="TableParagraph"/>
              <w:numPr>
                <w:ilvl w:val="0"/>
                <w:numId w:val="48"/>
              </w:numPr>
              <w:tabs>
                <w:tab w:pos="1249" w:val="left" w:leader="none"/>
              </w:tabs>
              <w:spacing w:line="232" w:lineRule="auto" w:before="89" w:after="0"/>
              <w:ind w:left="1063" w:right="184" w:firstLine="0"/>
              <w:jc w:val="left"/>
              <w:rPr>
                <w:sz w:val="18"/>
              </w:rPr>
            </w:pPr>
            <w:r>
              <w:rPr>
                <w:color w:val="105C84"/>
                <w:sz w:val="18"/>
              </w:rPr>
              <w:t>#</w:t>
            </w:r>
            <w:r>
              <w:rPr>
                <w:color w:val="105C84"/>
                <w:spacing w:val="-8"/>
                <w:sz w:val="18"/>
              </w:rPr>
              <w:t> </w:t>
            </w:r>
            <w:r>
              <w:rPr>
                <w:color w:val="105C84"/>
                <w:sz w:val="18"/>
              </w:rPr>
              <w:t>pounds</w:t>
            </w:r>
            <w:r>
              <w:rPr>
                <w:color w:val="105C84"/>
                <w:spacing w:val="-8"/>
                <w:sz w:val="18"/>
              </w:rPr>
              <w:t> </w:t>
            </w:r>
            <w:r>
              <w:rPr>
                <w:color w:val="105C84"/>
                <w:sz w:val="18"/>
              </w:rPr>
              <w:t>fruits</w:t>
            </w:r>
            <w:r>
              <w:rPr>
                <w:color w:val="105C84"/>
                <w:spacing w:val="-8"/>
                <w:sz w:val="18"/>
              </w:rPr>
              <w:t> </w:t>
            </w:r>
            <w:r>
              <w:rPr>
                <w:color w:val="105C84"/>
                <w:sz w:val="18"/>
              </w:rPr>
              <w:t>and</w:t>
            </w:r>
            <w:r>
              <w:rPr>
                <w:color w:val="105C84"/>
                <w:spacing w:val="-8"/>
                <w:sz w:val="18"/>
              </w:rPr>
              <w:t> </w:t>
            </w:r>
            <w:r>
              <w:rPr>
                <w:color w:val="105C84"/>
                <w:sz w:val="18"/>
              </w:rPr>
              <w:t>vegetables gleaned and distributed</w:t>
            </w:r>
          </w:p>
          <w:p>
            <w:pPr>
              <w:pStyle w:val="TableParagraph"/>
              <w:numPr>
                <w:ilvl w:val="0"/>
                <w:numId w:val="48"/>
              </w:numPr>
              <w:tabs>
                <w:tab w:pos="1249" w:val="left" w:leader="none"/>
              </w:tabs>
              <w:spacing w:line="232" w:lineRule="auto" w:before="88" w:after="0"/>
              <w:ind w:left="1063" w:right="330" w:firstLine="0"/>
              <w:jc w:val="left"/>
              <w:rPr>
                <w:sz w:val="18"/>
              </w:rPr>
            </w:pPr>
            <w:r>
              <w:rPr>
                <w:color w:val="105C84"/>
                <w:sz w:val="18"/>
              </w:rPr>
              <w:t>#</w:t>
            </w:r>
            <w:r>
              <w:rPr>
                <w:color w:val="105C84"/>
                <w:spacing w:val="-13"/>
                <w:sz w:val="18"/>
              </w:rPr>
              <w:t> </w:t>
            </w:r>
            <w:r>
              <w:rPr>
                <w:color w:val="105C84"/>
                <w:sz w:val="18"/>
              </w:rPr>
              <w:t>served</w:t>
            </w:r>
            <w:r>
              <w:rPr>
                <w:color w:val="105C84"/>
                <w:spacing w:val="-12"/>
                <w:sz w:val="18"/>
              </w:rPr>
              <w:t> </w:t>
            </w:r>
            <w:r>
              <w:rPr>
                <w:color w:val="105C84"/>
                <w:sz w:val="18"/>
              </w:rPr>
              <w:t>by</w:t>
            </w:r>
            <w:r>
              <w:rPr>
                <w:color w:val="105C84"/>
                <w:spacing w:val="-13"/>
                <w:sz w:val="18"/>
              </w:rPr>
              <w:t> </w:t>
            </w:r>
            <w:r>
              <w:rPr>
                <w:color w:val="105C84"/>
                <w:sz w:val="18"/>
              </w:rPr>
              <w:t>RTS</w:t>
            </w:r>
            <w:r>
              <w:rPr>
                <w:color w:val="105C84"/>
                <w:spacing w:val="-12"/>
                <w:sz w:val="18"/>
              </w:rPr>
              <w:t> </w:t>
            </w:r>
            <w:r>
              <w:rPr>
                <w:color w:val="105C84"/>
                <w:sz w:val="18"/>
              </w:rPr>
              <w:t>food</w:t>
            </w:r>
            <w:r>
              <w:rPr>
                <w:color w:val="105C84"/>
                <w:spacing w:val="-13"/>
                <w:sz w:val="18"/>
              </w:rPr>
              <w:t> </w:t>
            </w:r>
            <w:r>
              <w:rPr>
                <w:color w:val="105C84"/>
                <w:sz w:val="18"/>
              </w:rPr>
              <w:t>pantry/ grocery store routes</w:t>
            </w:r>
          </w:p>
        </w:tc>
        <w:tc>
          <w:tcPr>
            <w:tcW w:w="1851" w:type="dxa"/>
            <w:vMerge/>
            <w:tcBorders>
              <w:top w:val="nil"/>
              <w:bottom w:val="nil"/>
            </w:tcBorders>
          </w:tcPr>
          <w:p>
            <w:pPr>
              <w:rPr>
                <w:sz w:val="2"/>
                <w:szCs w:val="2"/>
              </w:rPr>
            </w:pPr>
          </w:p>
        </w:tc>
        <w:tc>
          <w:tcPr>
            <w:tcW w:w="2693" w:type="dxa"/>
            <w:vMerge/>
            <w:tcBorders>
              <w:top w:val="nil"/>
            </w:tcBorders>
          </w:tcPr>
          <w:p>
            <w:pPr>
              <w:rPr>
                <w:sz w:val="2"/>
                <w:szCs w:val="2"/>
              </w:rPr>
            </w:pPr>
          </w:p>
        </w:tc>
        <w:tc>
          <w:tcPr>
            <w:tcW w:w="2630" w:type="dxa"/>
            <w:vMerge/>
            <w:tcBorders>
              <w:top w:val="nil"/>
              <w:bottom w:val="nil"/>
            </w:tcBorders>
          </w:tcPr>
          <w:p>
            <w:pPr>
              <w:rPr>
                <w:sz w:val="2"/>
                <w:szCs w:val="2"/>
              </w:rPr>
            </w:pPr>
          </w:p>
        </w:tc>
      </w:tr>
      <w:tr>
        <w:trPr>
          <w:trHeight w:val="1255" w:hRule="exact"/>
        </w:trPr>
        <w:tc>
          <w:tcPr>
            <w:tcW w:w="1353" w:type="dxa"/>
            <w:vMerge/>
            <w:tcBorders>
              <w:top w:val="nil"/>
              <w:bottom w:val="nil"/>
            </w:tcBorders>
            <w:shd w:val="clear" w:color="auto" w:fill="E6E7E8"/>
          </w:tcPr>
          <w:p>
            <w:pPr>
              <w:rPr>
                <w:sz w:val="2"/>
                <w:szCs w:val="2"/>
              </w:rPr>
            </w:pPr>
          </w:p>
        </w:tc>
        <w:tc>
          <w:tcPr>
            <w:tcW w:w="1289" w:type="dxa"/>
            <w:vMerge/>
            <w:tcBorders>
              <w:top w:val="nil"/>
              <w:bottom w:val="nil"/>
            </w:tcBorders>
          </w:tcPr>
          <w:p>
            <w:pPr>
              <w:rPr>
                <w:sz w:val="2"/>
                <w:szCs w:val="2"/>
              </w:rPr>
            </w:pPr>
          </w:p>
        </w:tc>
        <w:tc>
          <w:tcPr>
            <w:tcW w:w="1563" w:type="dxa"/>
            <w:vMerge/>
            <w:tcBorders>
              <w:top w:val="nil"/>
              <w:bottom w:val="nil"/>
            </w:tcBorders>
          </w:tcPr>
          <w:p>
            <w:pPr>
              <w:rPr>
                <w:sz w:val="2"/>
                <w:szCs w:val="2"/>
              </w:rPr>
            </w:pPr>
          </w:p>
        </w:tc>
        <w:tc>
          <w:tcPr>
            <w:tcW w:w="2535" w:type="dxa"/>
            <w:tcBorders>
              <w:bottom w:val="nil"/>
            </w:tcBorders>
          </w:tcPr>
          <w:p>
            <w:pPr>
              <w:pStyle w:val="TableParagraph"/>
              <w:spacing w:line="232" w:lineRule="auto" w:before="98"/>
              <w:ind w:left="84" w:right="88"/>
              <w:rPr>
                <w:sz w:val="18"/>
              </w:rPr>
            </w:pPr>
            <w:r>
              <w:rPr>
                <w:color w:val="105C84"/>
                <w:sz w:val="18"/>
              </w:rPr>
              <w:t>1.4</w:t>
            </w:r>
            <w:r>
              <w:rPr>
                <w:color w:val="105C84"/>
                <w:spacing w:val="-13"/>
                <w:sz w:val="18"/>
              </w:rPr>
              <w:t> </w:t>
            </w:r>
            <w:r>
              <w:rPr>
                <w:color w:val="105C84"/>
                <w:sz w:val="18"/>
              </w:rPr>
              <w:t>Decrease</w:t>
            </w:r>
            <w:r>
              <w:rPr>
                <w:color w:val="105C84"/>
                <w:spacing w:val="-12"/>
                <w:sz w:val="18"/>
              </w:rPr>
              <w:t> </w:t>
            </w:r>
            <w:r>
              <w:rPr>
                <w:color w:val="105C84"/>
                <w:sz w:val="18"/>
              </w:rPr>
              <w:t>the</w:t>
            </w:r>
            <w:r>
              <w:rPr>
                <w:color w:val="105C84"/>
                <w:spacing w:val="-13"/>
                <w:sz w:val="18"/>
              </w:rPr>
              <w:t> </w:t>
            </w:r>
            <w:r>
              <w:rPr>
                <w:color w:val="105C84"/>
                <w:sz w:val="18"/>
              </w:rPr>
              <w:t>percentage of adults ages 18 years and older</w:t>
            </w:r>
            <w:r>
              <w:rPr>
                <w:color w:val="105C84"/>
                <w:spacing w:val="-3"/>
                <w:sz w:val="18"/>
              </w:rPr>
              <w:t> </w:t>
            </w:r>
            <w:r>
              <w:rPr>
                <w:color w:val="105C84"/>
                <w:sz w:val="18"/>
              </w:rPr>
              <w:t>with</w:t>
            </w:r>
            <w:r>
              <w:rPr>
                <w:color w:val="105C84"/>
                <w:spacing w:val="-3"/>
                <w:sz w:val="18"/>
              </w:rPr>
              <w:t> </w:t>
            </w:r>
            <w:r>
              <w:rPr>
                <w:color w:val="105C84"/>
                <w:sz w:val="18"/>
              </w:rPr>
              <w:t>obesity</w:t>
            </w:r>
            <w:r>
              <w:rPr>
                <w:color w:val="105C84"/>
                <w:spacing w:val="-3"/>
                <w:sz w:val="18"/>
              </w:rPr>
              <w:t> </w:t>
            </w:r>
            <w:r>
              <w:rPr>
                <w:color w:val="105C84"/>
                <w:sz w:val="18"/>
              </w:rPr>
              <w:t>(among</w:t>
            </w:r>
            <w:r>
              <w:rPr>
                <w:color w:val="105C84"/>
                <w:spacing w:val="-3"/>
                <w:sz w:val="18"/>
              </w:rPr>
              <w:t> </w:t>
            </w:r>
            <w:r>
              <w:rPr>
                <w:color w:val="105C84"/>
                <w:sz w:val="18"/>
              </w:rPr>
              <w:t>al</w:t>
            </w:r>
            <w:r>
              <w:rPr>
                <w:color w:val="105C84"/>
                <w:sz w:val="18"/>
              </w:rPr>
              <w:t>l</w:t>
            </w:r>
            <w:r>
              <w:rPr>
                <w:color w:val="105C84"/>
                <w:sz w:val="18"/>
              </w:rPr>
              <w:t> </w:t>
            </w:r>
            <w:r>
              <w:rPr>
                <w:color w:val="105C84"/>
                <w:spacing w:val="-2"/>
                <w:sz w:val="18"/>
              </w:rPr>
              <w:t>adults)</w:t>
            </w:r>
          </w:p>
          <w:p>
            <w:pPr>
              <w:pStyle w:val="TableParagraph"/>
              <w:spacing w:before="82"/>
              <w:ind w:left="84"/>
              <w:rPr>
                <w:sz w:val="18"/>
              </w:rPr>
            </w:pPr>
            <w:r>
              <w:rPr>
                <w:color w:val="105C84"/>
                <w:spacing w:val="-4"/>
                <w:sz w:val="18"/>
              </w:rPr>
              <w:t>Target:</w:t>
            </w:r>
            <w:r>
              <w:rPr>
                <w:color w:val="105C84"/>
                <w:spacing w:val="-1"/>
                <w:sz w:val="18"/>
              </w:rPr>
              <w:t> </w:t>
            </w:r>
            <w:r>
              <w:rPr>
                <w:color w:val="105C84"/>
                <w:spacing w:val="-2"/>
                <w:sz w:val="18"/>
              </w:rPr>
              <w:t>24.2%</w:t>
            </w:r>
          </w:p>
        </w:tc>
        <w:tc>
          <w:tcPr>
            <w:tcW w:w="1239" w:type="dxa"/>
            <w:vMerge/>
            <w:tcBorders>
              <w:top w:val="nil"/>
            </w:tcBorders>
          </w:tcPr>
          <w:p>
            <w:pPr>
              <w:rPr>
                <w:sz w:val="2"/>
                <w:szCs w:val="2"/>
              </w:rPr>
            </w:pPr>
          </w:p>
        </w:tc>
        <w:tc>
          <w:tcPr>
            <w:tcW w:w="3206" w:type="dxa"/>
            <w:vMerge/>
            <w:tcBorders>
              <w:top w:val="nil"/>
              <w:right w:val="nil"/>
            </w:tcBorders>
          </w:tcPr>
          <w:p>
            <w:pPr>
              <w:rPr>
                <w:sz w:val="2"/>
                <w:szCs w:val="2"/>
              </w:rPr>
            </w:pPr>
          </w:p>
        </w:tc>
        <w:tc>
          <w:tcPr>
            <w:tcW w:w="3901" w:type="dxa"/>
            <w:vMerge/>
            <w:tcBorders>
              <w:top w:val="nil"/>
              <w:left w:val="nil"/>
            </w:tcBorders>
          </w:tcPr>
          <w:p>
            <w:pPr>
              <w:rPr>
                <w:sz w:val="2"/>
                <w:szCs w:val="2"/>
              </w:rPr>
            </w:pPr>
          </w:p>
        </w:tc>
        <w:tc>
          <w:tcPr>
            <w:tcW w:w="1851" w:type="dxa"/>
            <w:vMerge/>
            <w:tcBorders>
              <w:top w:val="nil"/>
              <w:bottom w:val="nil"/>
            </w:tcBorders>
          </w:tcPr>
          <w:p>
            <w:pPr>
              <w:rPr>
                <w:sz w:val="2"/>
                <w:szCs w:val="2"/>
              </w:rPr>
            </w:pPr>
          </w:p>
        </w:tc>
        <w:tc>
          <w:tcPr>
            <w:tcW w:w="2693" w:type="dxa"/>
            <w:vMerge/>
            <w:tcBorders>
              <w:top w:val="nil"/>
            </w:tcBorders>
          </w:tcPr>
          <w:p>
            <w:pPr>
              <w:rPr>
                <w:sz w:val="2"/>
                <w:szCs w:val="2"/>
              </w:rPr>
            </w:pPr>
          </w:p>
        </w:tc>
        <w:tc>
          <w:tcPr>
            <w:tcW w:w="2630" w:type="dxa"/>
            <w:vMerge/>
            <w:tcBorders>
              <w:top w:val="nil"/>
              <w:bottom w:val="nil"/>
            </w:tcBorders>
          </w:tcPr>
          <w:p>
            <w:pPr>
              <w:rPr>
                <w:sz w:val="2"/>
                <w:szCs w:val="2"/>
              </w:rPr>
            </w:pPr>
          </w:p>
        </w:tc>
      </w:tr>
      <w:tr>
        <w:trPr>
          <w:trHeight w:val="2349" w:hRule="exact"/>
        </w:trPr>
        <w:tc>
          <w:tcPr>
            <w:tcW w:w="1353" w:type="dxa"/>
            <w:tcBorders>
              <w:top w:val="nil"/>
              <w:bottom w:val="nil"/>
            </w:tcBorders>
            <w:shd w:val="clear" w:color="auto" w:fill="E6E7E8"/>
          </w:tcPr>
          <w:p>
            <w:pPr>
              <w:pStyle w:val="TableParagraph"/>
              <w:rPr>
                <w:rFonts w:ascii="Times New Roman"/>
                <w:sz w:val="18"/>
              </w:rPr>
            </w:pPr>
          </w:p>
        </w:tc>
        <w:tc>
          <w:tcPr>
            <w:tcW w:w="1289" w:type="dxa"/>
            <w:tcBorders>
              <w:top w:val="nil"/>
              <w:bottom w:val="nil"/>
            </w:tcBorders>
          </w:tcPr>
          <w:p>
            <w:pPr>
              <w:pStyle w:val="TableParagraph"/>
              <w:rPr>
                <w:rFonts w:ascii="Times New Roman"/>
                <w:sz w:val="18"/>
              </w:rPr>
            </w:pPr>
          </w:p>
        </w:tc>
        <w:tc>
          <w:tcPr>
            <w:tcW w:w="1563" w:type="dxa"/>
            <w:tcBorders>
              <w:top w:val="nil"/>
              <w:bottom w:val="nil"/>
            </w:tcBorders>
          </w:tcPr>
          <w:p>
            <w:pPr>
              <w:pStyle w:val="TableParagraph"/>
              <w:rPr>
                <w:rFonts w:ascii="Times New Roman"/>
                <w:sz w:val="18"/>
              </w:rPr>
            </w:pPr>
          </w:p>
        </w:tc>
        <w:tc>
          <w:tcPr>
            <w:tcW w:w="2535" w:type="dxa"/>
            <w:tcBorders>
              <w:top w:val="nil"/>
              <w:bottom w:val="nil"/>
            </w:tcBorders>
          </w:tcPr>
          <w:p>
            <w:pPr>
              <w:pStyle w:val="TableParagraph"/>
              <w:spacing w:line="203" w:lineRule="exact" w:before="23"/>
              <w:ind w:left="84"/>
              <w:rPr>
                <w:sz w:val="18"/>
              </w:rPr>
            </w:pPr>
            <w:r>
              <w:rPr>
                <w:color w:val="105C84"/>
                <w:spacing w:val="-6"/>
                <w:sz w:val="18"/>
              </w:rPr>
              <w:t>Baseline:</w:t>
            </w:r>
            <w:r>
              <w:rPr>
                <w:color w:val="105C84"/>
                <w:spacing w:val="2"/>
                <w:sz w:val="18"/>
              </w:rPr>
              <w:t> </w:t>
            </w:r>
            <w:r>
              <w:rPr>
                <w:color w:val="105C84"/>
                <w:spacing w:val="-6"/>
                <w:sz w:val="18"/>
              </w:rPr>
              <w:t>25.5%</w:t>
            </w:r>
            <w:r>
              <w:rPr>
                <w:color w:val="105C84"/>
                <w:spacing w:val="3"/>
                <w:sz w:val="18"/>
              </w:rPr>
              <w:t> </w:t>
            </w:r>
            <w:r>
              <w:rPr>
                <w:color w:val="105C84"/>
                <w:spacing w:val="-6"/>
                <w:sz w:val="18"/>
              </w:rPr>
              <w:t>(2016)</w:t>
            </w:r>
          </w:p>
          <w:p>
            <w:pPr>
              <w:pStyle w:val="TableParagraph"/>
              <w:spacing w:line="203" w:lineRule="exact"/>
              <w:ind w:left="84"/>
              <w:rPr>
                <w:sz w:val="18"/>
              </w:rPr>
            </w:pPr>
            <w:r>
              <w:rPr>
                <w:color w:val="105C84"/>
                <w:w w:val="90"/>
                <w:sz w:val="18"/>
              </w:rPr>
              <w:t>25.7%</w:t>
            </w:r>
            <w:r>
              <w:rPr>
                <w:color w:val="105C84"/>
                <w:spacing w:val="6"/>
                <w:sz w:val="18"/>
              </w:rPr>
              <w:t> </w:t>
            </w:r>
            <w:r>
              <w:rPr>
                <w:color w:val="105C84"/>
                <w:spacing w:val="-2"/>
                <w:sz w:val="18"/>
              </w:rPr>
              <w:t>(2017)</w:t>
            </w:r>
          </w:p>
          <w:p>
            <w:pPr>
              <w:pStyle w:val="TableParagraph"/>
              <w:spacing w:before="83"/>
              <w:ind w:left="84"/>
              <w:rPr>
                <w:sz w:val="18"/>
              </w:rPr>
            </w:pPr>
            <w:r>
              <w:rPr>
                <w:color w:val="105C84"/>
                <w:spacing w:val="-2"/>
                <w:sz w:val="18"/>
              </w:rPr>
              <w:t>Data</w:t>
            </w:r>
            <w:r>
              <w:rPr>
                <w:color w:val="105C84"/>
                <w:spacing w:val="-9"/>
                <w:sz w:val="18"/>
              </w:rPr>
              <w:t> </w:t>
            </w:r>
            <w:r>
              <w:rPr>
                <w:color w:val="105C84"/>
                <w:spacing w:val="-2"/>
                <w:sz w:val="18"/>
              </w:rPr>
              <w:t>Source:</w:t>
            </w:r>
            <w:r>
              <w:rPr>
                <w:color w:val="105C84"/>
                <w:spacing w:val="-8"/>
                <w:sz w:val="18"/>
              </w:rPr>
              <w:t> </w:t>
            </w:r>
            <w:r>
              <w:rPr>
                <w:color w:val="105C84"/>
                <w:spacing w:val="-2"/>
                <w:sz w:val="18"/>
              </w:rPr>
              <w:t>BRFSS</w:t>
            </w:r>
          </w:p>
          <w:p>
            <w:pPr>
              <w:pStyle w:val="TableParagraph"/>
              <w:spacing w:before="83"/>
              <w:ind w:left="84"/>
              <w:rPr>
                <w:sz w:val="18"/>
              </w:rPr>
            </w:pPr>
            <w:r>
              <w:rPr>
                <w:color w:val="105C84"/>
                <w:sz w:val="18"/>
              </w:rPr>
              <w:t>Data</w:t>
            </w:r>
            <w:r>
              <w:rPr>
                <w:color w:val="105C84"/>
                <w:spacing w:val="-12"/>
                <w:sz w:val="18"/>
              </w:rPr>
              <w:t> </w:t>
            </w:r>
            <w:r>
              <w:rPr>
                <w:color w:val="105C84"/>
                <w:sz w:val="18"/>
              </w:rPr>
              <w:t>Level:</w:t>
            </w:r>
            <w:r>
              <w:rPr>
                <w:color w:val="105C84"/>
                <w:spacing w:val="-11"/>
                <w:sz w:val="18"/>
              </w:rPr>
              <w:t> </w:t>
            </w:r>
            <w:r>
              <w:rPr>
                <w:color w:val="105C84"/>
                <w:sz w:val="18"/>
              </w:rPr>
              <w:t>State</w:t>
            </w:r>
            <w:r>
              <w:rPr>
                <w:color w:val="105C84"/>
                <w:spacing w:val="-11"/>
                <w:sz w:val="18"/>
              </w:rPr>
              <w:t> </w:t>
            </w:r>
            <w:r>
              <w:rPr>
                <w:color w:val="105C84"/>
                <w:sz w:val="18"/>
              </w:rPr>
              <w:t>and</w:t>
            </w:r>
            <w:r>
              <w:rPr>
                <w:color w:val="105C84"/>
                <w:spacing w:val="-11"/>
                <w:sz w:val="18"/>
              </w:rPr>
              <w:t> </w:t>
            </w:r>
            <w:r>
              <w:rPr>
                <w:color w:val="105C84"/>
                <w:spacing w:val="-2"/>
                <w:sz w:val="18"/>
              </w:rPr>
              <w:t>County</w:t>
            </w:r>
          </w:p>
          <w:p>
            <w:pPr>
              <w:pStyle w:val="TableParagraph"/>
              <w:spacing w:line="232" w:lineRule="auto" w:before="88"/>
              <w:ind w:left="84" w:right="137"/>
              <w:rPr>
                <w:sz w:val="18"/>
              </w:rPr>
            </w:pPr>
            <w:r>
              <w:rPr>
                <w:color w:val="105C84"/>
                <w:sz w:val="18"/>
              </w:rPr>
              <w:t>1.5</w:t>
            </w:r>
            <w:r>
              <w:rPr>
                <w:color w:val="105C84"/>
                <w:spacing w:val="-13"/>
                <w:sz w:val="18"/>
              </w:rPr>
              <w:t> </w:t>
            </w:r>
            <w:r>
              <w:rPr>
                <w:color w:val="105C84"/>
                <w:sz w:val="18"/>
              </w:rPr>
              <w:t>Decrease</w:t>
            </w:r>
            <w:r>
              <w:rPr>
                <w:color w:val="105C84"/>
                <w:spacing w:val="-12"/>
                <w:sz w:val="18"/>
              </w:rPr>
              <w:t> </w:t>
            </w:r>
            <w:r>
              <w:rPr>
                <w:color w:val="105C84"/>
                <w:sz w:val="18"/>
              </w:rPr>
              <w:t>the</w:t>
            </w:r>
            <w:r>
              <w:rPr>
                <w:color w:val="105C84"/>
                <w:spacing w:val="-13"/>
                <w:sz w:val="18"/>
              </w:rPr>
              <w:t> </w:t>
            </w:r>
            <w:r>
              <w:rPr>
                <w:color w:val="105C84"/>
                <w:sz w:val="18"/>
              </w:rPr>
              <w:t>percentage</w:t>
            </w:r>
            <w:r>
              <w:rPr>
                <w:color w:val="105C84"/>
                <w:sz w:val="18"/>
              </w:rPr>
              <w:t> of adults ages 18 years</w:t>
            </w:r>
          </w:p>
          <w:p>
            <w:pPr>
              <w:pStyle w:val="TableParagraph"/>
              <w:spacing w:line="232" w:lineRule="auto"/>
              <w:ind w:left="84" w:right="159"/>
              <w:rPr>
                <w:sz w:val="18"/>
              </w:rPr>
            </w:pPr>
            <w:r>
              <w:rPr>
                <w:color w:val="105C84"/>
                <w:sz w:val="18"/>
              </w:rPr>
              <w:t>and older with obesity (among adults with an annual</w:t>
            </w:r>
            <w:r>
              <w:rPr>
                <w:color w:val="105C84"/>
                <w:spacing w:val="-8"/>
                <w:sz w:val="18"/>
              </w:rPr>
              <w:t> </w:t>
            </w:r>
            <w:r>
              <w:rPr>
                <w:color w:val="105C84"/>
                <w:sz w:val="18"/>
              </w:rPr>
              <w:t>household</w:t>
            </w:r>
            <w:r>
              <w:rPr>
                <w:color w:val="105C84"/>
                <w:spacing w:val="-8"/>
                <w:sz w:val="18"/>
              </w:rPr>
              <w:t> </w:t>
            </w:r>
            <w:r>
              <w:rPr>
                <w:color w:val="105C84"/>
                <w:sz w:val="18"/>
              </w:rPr>
              <w:t>income</w:t>
            </w:r>
            <w:r>
              <w:rPr>
                <w:color w:val="105C84"/>
                <w:spacing w:val="-8"/>
                <w:sz w:val="18"/>
              </w:rPr>
              <w:t> </w:t>
            </w:r>
            <w:r>
              <w:rPr>
                <w:color w:val="105C84"/>
                <w:sz w:val="18"/>
              </w:rPr>
              <w:t>of</w:t>
            </w:r>
          </w:p>
          <w:p>
            <w:pPr>
              <w:pStyle w:val="TableParagraph"/>
              <w:spacing w:line="200" w:lineRule="exact"/>
              <w:ind w:left="84"/>
              <w:rPr>
                <w:sz w:val="18"/>
              </w:rPr>
            </w:pPr>
            <w:r>
              <w:rPr>
                <w:color w:val="105C84"/>
                <w:spacing w:val="-2"/>
                <w:sz w:val="18"/>
              </w:rPr>
              <w:t>&lt;$25,000)</w:t>
            </w:r>
          </w:p>
        </w:tc>
        <w:tc>
          <w:tcPr>
            <w:tcW w:w="1239" w:type="dxa"/>
            <w:vMerge/>
            <w:tcBorders>
              <w:top w:val="nil"/>
            </w:tcBorders>
          </w:tcPr>
          <w:p>
            <w:pPr>
              <w:rPr>
                <w:sz w:val="2"/>
                <w:szCs w:val="2"/>
              </w:rPr>
            </w:pPr>
          </w:p>
        </w:tc>
        <w:tc>
          <w:tcPr>
            <w:tcW w:w="3206" w:type="dxa"/>
            <w:vMerge/>
            <w:tcBorders>
              <w:top w:val="nil"/>
              <w:right w:val="nil"/>
            </w:tcBorders>
          </w:tcPr>
          <w:p>
            <w:pPr>
              <w:rPr>
                <w:sz w:val="2"/>
                <w:szCs w:val="2"/>
              </w:rPr>
            </w:pPr>
          </w:p>
        </w:tc>
        <w:tc>
          <w:tcPr>
            <w:tcW w:w="3901" w:type="dxa"/>
            <w:vMerge/>
            <w:tcBorders>
              <w:top w:val="nil"/>
              <w:left w:val="nil"/>
            </w:tcBorders>
          </w:tcPr>
          <w:p>
            <w:pPr>
              <w:rPr>
                <w:sz w:val="2"/>
                <w:szCs w:val="2"/>
              </w:rPr>
            </w:pPr>
          </w:p>
        </w:tc>
        <w:tc>
          <w:tcPr>
            <w:tcW w:w="1851" w:type="dxa"/>
            <w:tcBorders>
              <w:top w:val="nil"/>
              <w:bottom w:val="nil"/>
            </w:tcBorders>
          </w:tcPr>
          <w:p>
            <w:pPr>
              <w:pStyle w:val="TableParagraph"/>
              <w:rPr>
                <w:rFonts w:ascii="Times New Roman"/>
                <w:sz w:val="18"/>
              </w:rPr>
            </w:pPr>
          </w:p>
        </w:tc>
        <w:tc>
          <w:tcPr>
            <w:tcW w:w="2693" w:type="dxa"/>
            <w:vMerge/>
            <w:tcBorders>
              <w:top w:val="nil"/>
            </w:tcBorders>
          </w:tcPr>
          <w:p>
            <w:pPr>
              <w:rPr>
                <w:sz w:val="2"/>
                <w:szCs w:val="2"/>
              </w:rPr>
            </w:pPr>
          </w:p>
        </w:tc>
        <w:tc>
          <w:tcPr>
            <w:tcW w:w="2630" w:type="dxa"/>
            <w:tcBorders>
              <w:top w:val="nil"/>
              <w:bottom w:val="nil"/>
            </w:tcBorders>
          </w:tcPr>
          <w:p>
            <w:pPr>
              <w:pStyle w:val="TableParagraph"/>
              <w:spacing w:before="43"/>
              <w:ind w:left="84"/>
              <w:rPr>
                <w:sz w:val="18"/>
              </w:rPr>
            </w:pPr>
            <w:r>
              <w:rPr>
                <w:color w:val="105C84"/>
                <w:w w:val="90"/>
                <w:sz w:val="18"/>
              </w:rPr>
              <w:t>Classes</w:t>
            </w:r>
            <w:r>
              <w:rPr>
                <w:color w:val="105C84"/>
                <w:spacing w:val="8"/>
                <w:sz w:val="18"/>
              </w:rPr>
              <w:t> </w:t>
            </w:r>
            <w:r>
              <w:rPr>
                <w:color w:val="105C84"/>
                <w:spacing w:val="-4"/>
                <w:sz w:val="18"/>
              </w:rPr>
              <w:t>0.01</w:t>
            </w:r>
          </w:p>
          <w:p>
            <w:pPr>
              <w:pStyle w:val="TableParagraph"/>
              <w:spacing w:before="83"/>
              <w:ind w:left="84"/>
              <w:rPr>
                <w:sz w:val="18"/>
              </w:rPr>
            </w:pPr>
            <w:r>
              <w:rPr>
                <w:color w:val="105C84"/>
                <w:sz w:val="18"/>
              </w:rPr>
              <w:t>Committee</w:t>
            </w:r>
            <w:r>
              <w:rPr>
                <w:color w:val="105C84"/>
                <w:spacing w:val="22"/>
                <w:sz w:val="18"/>
              </w:rPr>
              <w:t> </w:t>
            </w:r>
            <w:r>
              <w:rPr>
                <w:color w:val="105C84"/>
                <w:spacing w:val="-4"/>
                <w:sz w:val="18"/>
              </w:rPr>
              <w:t>0.50</w:t>
            </w:r>
          </w:p>
          <w:p>
            <w:pPr>
              <w:pStyle w:val="TableParagraph"/>
              <w:spacing w:before="83"/>
              <w:ind w:left="84"/>
              <w:rPr>
                <w:sz w:val="18"/>
              </w:rPr>
            </w:pPr>
            <w:r>
              <w:rPr>
                <w:color w:val="105C84"/>
                <w:w w:val="105"/>
                <w:sz w:val="18"/>
              </w:rPr>
              <w:t>“food</w:t>
            </w:r>
            <w:r>
              <w:rPr>
                <w:color w:val="105C84"/>
                <w:spacing w:val="3"/>
                <w:w w:val="105"/>
                <w:sz w:val="18"/>
              </w:rPr>
              <w:t> </w:t>
            </w:r>
            <w:r>
              <w:rPr>
                <w:color w:val="105C84"/>
                <w:w w:val="105"/>
                <w:sz w:val="18"/>
              </w:rPr>
              <w:t>rescue”</w:t>
            </w:r>
            <w:r>
              <w:rPr>
                <w:color w:val="105C84"/>
                <w:spacing w:val="3"/>
                <w:w w:val="105"/>
                <w:sz w:val="18"/>
              </w:rPr>
              <w:t> </w:t>
            </w:r>
            <w:r>
              <w:rPr>
                <w:color w:val="105C84"/>
                <w:spacing w:val="-4"/>
                <w:w w:val="105"/>
                <w:sz w:val="18"/>
              </w:rPr>
              <w:t>0.01</w:t>
            </w:r>
          </w:p>
          <w:p>
            <w:pPr>
              <w:pStyle w:val="TableParagraph"/>
              <w:spacing w:before="83"/>
              <w:ind w:left="84"/>
              <w:rPr>
                <w:sz w:val="18"/>
              </w:rPr>
            </w:pPr>
            <w:r>
              <w:rPr>
                <w:color w:val="105C84"/>
                <w:sz w:val="18"/>
              </w:rPr>
              <w:t>Campus</w:t>
            </w:r>
            <w:r>
              <w:rPr>
                <w:color w:val="105C84"/>
                <w:spacing w:val="-9"/>
                <w:sz w:val="18"/>
              </w:rPr>
              <w:t> </w:t>
            </w:r>
            <w:r>
              <w:rPr>
                <w:color w:val="105C84"/>
                <w:sz w:val="18"/>
              </w:rPr>
              <w:t>pantry</w:t>
            </w:r>
            <w:r>
              <w:rPr>
                <w:color w:val="105C84"/>
                <w:spacing w:val="-8"/>
                <w:sz w:val="18"/>
              </w:rPr>
              <w:t> </w:t>
            </w:r>
            <w:r>
              <w:rPr>
                <w:color w:val="105C84"/>
                <w:spacing w:val="-4"/>
                <w:sz w:val="18"/>
              </w:rPr>
              <w:t>0.50</w:t>
            </w:r>
          </w:p>
          <w:p>
            <w:pPr>
              <w:pStyle w:val="TableParagraph"/>
              <w:spacing w:before="83"/>
              <w:ind w:left="84"/>
              <w:rPr>
                <w:sz w:val="18"/>
              </w:rPr>
            </w:pPr>
            <w:r>
              <w:rPr>
                <w:color w:val="105C84"/>
                <w:sz w:val="18"/>
              </w:rPr>
              <w:t>Consider</w:t>
            </w:r>
            <w:r>
              <w:rPr>
                <w:color w:val="105C84"/>
                <w:spacing w:val="-9"/>
                <w:sz w:val="18"/>
              </w:rPr>
              <w:t> </w:t>
            </w:r>
            <w:r>
              <w:rPr>
                <w:color w:val="105C84"/>
                <w:sz w:val="18"/>
              </w:rPr>
              <w:t>grants</w:t>
            </w:r>
            <w:r>
              <w:rPr>
                <w:color w:val="105C84"/>
                <w:spacing w:val="-6"/>
                <w:sz w:val="18"/>
              </w:rPr>
              <w:t> </w:t>
            </w:r>
            <w:r>
              <w:rPr>
                <w:color w:val="105C84"/>
                <w:spacing w:val="-4"/>
                <w:sz w:val="18"/>
              </w:rPr>
              <w:t>0.01</w:t>
            </w:r>
          </w:p>
          <w:p>
            <w:pPr>
              <w:pStyle w:val="TableParagraph"/>
              <w:spacing w:line="232" w:lineRule="auto" w:before="88"/>
              <w:ind w:left="84" w:right="93"/>
              <w:rPr>
                <w:sz w:val="18"/>
              </w:rPr>
            </w:pPr>
            <w:r>
              <w:rPr>
                <w:color w:val="105C84"/>
                <w:sz w:val="18"/>
              </w:rPr>
              <w:t>Coordinate</w:t>
            </w:r>
            <w:r>
              <w:rPr>
                <w:color w:val="105C84"/>
                <w:spacing w:val="-3"/>
                <w:sz w:val="18"/>
              </w:rPr>
              <w:t> </w:t>
            </w:r>
            <w:r>
              <w:rPr>
                <w:color w:val="105C84"/>
                <w:sz w:val="18"/>
              </w:rPr>
              <w:t>with</w:t>
            </w:r>
            <w:r>
              <w:rPr>
                <w:color w:val="105C84"/>
                <w:spacing w:val="-3"/>
                <w:sz w:val="18"/>
              </w:rPr>
              <w:t> </w:t>
            </w:r>
            <w:r>
              <w:rPr>
                <w:color w:val="105C84"/>
                <w:sz w:val="18"/>
              </w:rPr>
              <w:t>Food</w:t>
            </w:r>
            <w:r>
              <w:rPr>
                <w:color w:val="105C84"/>
                <w:spacing w:val="-3"/>
                <w:sz w:val="18"/>
              </w:rPr>
              <w:t> </w:t>
            </w:r>
            <w:r>
              <w:rPr>
                <w:color w:val="105C84"/>
                <w:sz w:val="18"/>
              </w:rPr>
              <w:t>Justice of Geneva 0.01</w:t>
            </w:r>
          </w:p>
        </w:tc>
      </w:tr>
      <w:tr>
        <w:trPr>
          <w:trHeight w:val="289" w:hRule="exact"/>
        </w:trPr>
        <w:tc>
          <w:tcPr>
            <w:tcW w:w="1353" w:type="dxa"/>
            <w:tcBorders>
              <w:top w:val="nil"/>
              <w:bottom w:val="nil"/>
            </w:tcBorders>
            <w:shd w:val="clear" w:color="auto" w:fill="E6E7E8"/>
          </w:tcPr>
          <w:p>
            <w:pPr>
              <w:pStyle w:val="TableParagraph"/>
              <w:rPr>
                <w:rFonts w:ascii="Times New Roman"/>
                <w:sz w:val="18"/>
              </w:rPr>
            </w:pPr>
          </w:p>
        </w:tc>
        <w:tc>
          <w:tcPr>
            <w:tcW w:w="1289" w:type="dxa"/>
            <w:tcBorders>
              <w:top w:val="nil"/>
              <w:bottom w:val="nil"/>
            </w:tcBorders>
          </w:tcPr>
          <w:p>
            <w:pPr>
              <w:pStyle w:val="TableParagraph"/>
              <w:rPr>
                <w:rFonts w:ascii="Times New Roman"/>
                <w:sz w:val="18"/>
              </w:rPr>
            </w:pPr>
          </w:p>
        </w:tc>
        <w:tc>
          <w:tcPr>
            <w:tcW w:w="1563" w:type="dxa"/>
            <w:tcBorders>
              <w:top w:val="nil"/>
              <w:bottom w:val="nil"/>
            </w:tcBorders>
          </w:tcPr>
          <w:p>
            <w:pPr>
              <w:pStyle w:val="TableParagraph"/>
              <w:rPr>
                <w:rFonts w:ascii="Times New Roman"/>
                <w:sz w:val="18"/>
              </w:rPr>
            </w:pPr>
          </w:p>
        </w:tc>
        <w:tc>
          <w:tcPr>
            <w:tcW w:w="2535" w:type="dxa"/>
            <w:tcBorders>
              <w:top w:val="nil"/>
              <w:bottom w:val="nil"/>
            </w:tcBorders>
          </w:tcPr>
          <w:p>
            <w:pPr>
              <w:pStyle w:val="TableParagraph"/>
              <w:spacing w:before="33"/>
              <w:ind w:left="84"/>
              <w:rPr>
                <w:sz w:val="18"/>
              </w:rPr>
            </w:pPr>
            <w:r>
              <w:rPr>
                <w:color w:val="105C84"/>
                <w:spacing w:val="-4"/>
                <w:sz w:val="18"/>
              </w:rPr>
              <w:t>Target:</w:t>
            </w:r>
            <w:r>
              <w:rPr>
                <w:color w:val="105C84"/>
                <w:spacing w:val="-1"/>
                <w:sz w:val="18"/>
              </w:rPr>
              <w:t> </w:t>
            </w:r>
            <w:r>
              <w:rPr>
                <w:color w:val="105C84"/>
                <w:spacing w:val="-2"/>
                <w:sz w:val="18"/>
              </w:rPr>
              <w:t>29.0%</w:t>
            </w:r>
          </w:p>
        </w:tc>
        <w:tc>
          <w:tcPr>
            <w:tcW w:w="1239" w:type="dxa"/>
            <w:vMerge/>
            <w:tcBorders>
              <w:top w:val="nil"/>
            </w:tcBorders>
          </w:tcPr>
          <w:p>
            <w:pPr>
              <w:rPr>
                <w:sz w:val="2"/>
                <w:szCs w:val="2"/>
              </w:rPr>
            </w:pPr>
          </w:p>
        </w:tc>
        <w:tc>
          <w:tcPr>
            <w:tcW w:w="3206" w:type="dxa"/>
            <w:vMerge/>
            <w:tcBorders>
              <w:top w:val="nil"/>
              <w:right w:val="nil"/>
            </w:tcBorders>
          </w:tcPr>
          <w:p>
            <w:pPr>
              <w:rPr>
                <w:sz w:val="2"/>
                <w:szCs w:val="2"/>
              </w:rPr>
            </w:pPr>
          </w:p>
        </w:tc>
        <w:tc>
          <w:tcPr>
            <w:tcW w:w="3901" w:type="dxa"/>
            <w:vMerge/>
            <w:tcBorders>
              <w:top w:val="nil"/>
              <w:left w:val="nil"/>
            </w:tcBorders>
          </w:tcPr>
          <w:p>
            <w:pPr>
              <w:rPr>
                <w:sz w:val="2"/>
                <w:szCs w:val="2"/>
              </w:rPr>
            </w:pPr>
          </w:p>
        </w:tc>
        <w:tc>
          <w:tcPr>
            <w:tcW w:w="1851" w:type="dxa"/>
            <w:tcBorders>
              <w:top w:val="nil"/>
              <w:bottom w:val="nil"/>
            </w:tcBorders>
          </w:tcPr>
          <w:p>
            <w:pPr>
              <w:pStyle w:val="TableParagraph"/>
              <w:rPr>
                <w:rFonts w:ascii="Times New Roman"/>
                <w:sz w:val="18"/>
              </w:rPr>
            </w:pPr>
          </w:p>
        </w:tc>
        <w:tc>
          <w:tcPr>
            <w:tcW w:w="2693" w:type="dxa"/>
            <w:vMerge/>
            <w:tcBorders>
              <w:top w:val="nil"/>
            </w:tcBorders>
          </w:tcPr>
          <w:p>
            <w:pPr>
              <w:rPr>
                <w:sz w:val="2"/>
                <w:szCs w:val="2"/>
              </w:rPr>
            </w:pPr>
          </w:p>
        </w:tc>
        <w:tc>
          <w:tcPr>
            <w:tcW w:w="2630" w:type="dxa"/>
            <w:tcBorders>
              <w:top w:val="nil"/>
              <w:bottom w:val="nil"/>
            </w:tcBorders>
          </w:tcPr>
          <w:p>
            <w:pPr>
              <w:pStyle w:val="TableParagraph"/>
              <w:rPr>
                <w:rFonts w:ascii="Times New Roman"/>
                <w:sz w:val="18"/>
              </w:rPr>
            </w:pPr>
          </w:p>
        </w:tc>
      </w:tr>
      <w:tr>
        <w:trPr>
          <w:trHeight w:val="489" w:hRule="exact"/>
        </w:trPr>
        <w:tc>
          <w:tcPr>
            <w:tcW w:w="1353" w:type="dxa"/>
            <w:tcBorders>
              <w:top w:val="nil"/>
              <w:bottom w:val="nil"/>
            </w:tcBorders>
            <w:shd w:val="clear" w:color="auto" w:fill="E6E7E8"/>
          </w:tcPr>
          <w:p>
            <w:pPr>
              <w:pStyle w:val="TableParagraph"/>
              <w:rPr>
                <w:rFonts w:ascii="Times New Roman"/>
                <w:sz w:val="18"/>
              </w:rPr>
            </w:pPr>
          </w:p>
        </w:tc>
        <w:tc>
          <w:tcPr>
            <w:tcW w:w="1289" w:type="dxa"/>
            <w:tcBorders>
              <w:top w:val="nil"/>
              <w:bottom w:val="nil"/>
            </w:tcBorders>
          </w:tcPr>
          <w:p>
            <w:pPr>
              <w:pStyle w:val="TableParagraph"/>
              <w:rPr>
                <w:rFonts w:ascii="Times New Roman"/>
                <w:sz w:val="18"/>
              </w:rPr>
            </w:pPr>
          </w:p>
        </w:tc>
        <w:tc>
          <w:tcPr>
            <w:tcW w:w="1563" w:type="dxa"/>
            <w:tcBorders>
              <w:top w:val="nil"/>
              <w:bottom w:val="nil"/>
            </w:tcBorders>
          </w:tcPr>
          <w:p>
            <w:pPr>
              <w:pStyle w:val="TableParagraph"/>
              <w:rPr>
                <w:rFonts w:ascii="Times New Roman"/>
                <w:sz w:val="18"/>
              </w:rPr>
            </w:pPr>
          </w:p>
        </w:tc>
        <w:tc>
          <w:tcPr>
            <w:tcW w:w="2535" w:type="dxa"/>
            <w:tcBorders>
              <w:top w:val="nil"/>
              <w:bottom w:val="nil"/>
            </w:tcBorders>
          </w:tcPr>
          <w:p>
            <w:pPr>
              <w:pStyle w:val="TableParagraph"/>
              <w:spacing w:line="203" w:lineRule="exact" w:before="33"/>
              <w:ind w:left="84"/>
              <w:rPr>
                <w:sz w:val="18"/>
              </w:rPr>
            </w:pPr>
            <w:r>
              <w:rPr>
                <w:color w:val="105C84"/>
                <w:spacing w:val="-6"/>
                <w:sz w:val="18"/>
              </w:rPr>
              <w:t>Baseline:</w:t>
            </w:r>
            <w:r>
              <w:rPr>
                <w:color w:val="105C84"/>
                <w:spacing w:val="2"/>
                <w:sz w:val="18"/>
              </w:rPr>
              <w:t> </w:t>
            </w:r>
            <w:r>
              <w:rPr>
                <w:color w:val="105C84"/>
                <w:spacing w:val="-6"/>
                <w:sz w:val="18"/>
              </w:rPr>
              <w:t>30.5%</w:t>
            </w:r>
            <w:r>
              <w:rPr>
                <w:color w:val="105C84"/>
                <w:spacing w:val="3"/>
                <w:sz w:val="18"/>
              </w:rPr>
              <w:t> </w:t>
            </w:r>
            <w:r>
              <w:rPr>
                <w:color w:val="105C84"/>
                <w:spacing w:val="-6"/>
                <w:sz w:val="18"/>
              </w:rPr>
              <w:t>(2016)</w:t>
            </w:r>
          </w:p>
          <w:p>
            <w:pPr>
              <w:pStyle w:val="TableParagraph"/>
              <w:spacing w:line="203" w:lineRule="exact"/>
              <w:ind w:left="84"/>
              <w:rPr>
                <w:sz w:val="18"/>
              </w:rPr>
            </w:pPr>
            <w:r>
              <w:rPr>
                <w:color w:val="105C84"/>
                <w:w w:val="90"/>
                <w:sz w:val="18"/>
              </w:rPr>
              <w:t>31%</w:t>
            </w:r>
            <w:r>
              <w:rPr>
                <w:color w:val="105C84"/>
                <w:spacing w:val="3"/>
                <w:sz w:val="18"/>
              </w:rPr>
              <w:t> </w:t>
            </w:r>
            <w:r>
              <w:rPr>
                <w:color w:val="105C84"/>
                <w:spacing w:val="-2"/>
                <w:sz w:val="18"/>
              </w:rPr>
              <w:t>(2017)</w:t>
            </w:r>
          </w:p>
        </w:tc>
        <w:tc>
          <w:tcPr>
            <w:tcW w:w="1239" w:type="dxa"/>
            <w:vMerge/>
            <w:tcBorders>
              <w:top w:val="nil"/>
            </w:tcBorders>
          </w:tcPr>
          <w:p>
            <w:pPr>
              <w:rPr>
                <w:sz w:val="2"/>
                <w:szCs w:val="2"/>
              </w:rPr>
            </w:pPr>
          </w:p>
        </w:tc>
        <w:tc>
          <w:tcPr>
            <w:tcW w:w="3206" w:type="dxa"/>
            <w:vMerge/>
            <w:tcBorders>
              <w:top w:val="nil"/>
              <w:right w:val="nil"/>
            </w:tcBorders>
          </w:tcPr>
          <w:p>
            <w:pPr>
              <w:rPr>
                <w:sz w:val="2"/>
                <w:szCs w:val="2"/>
              </w:rPr>
            </w:pPr>
          </w:p>
        </w:tc>
        <w:tc>
          <w:tcPr>
            <w:tcW w:w="3901" w:type="dxa"/>
            <w:vMerge/>
            <w:tcBorders>
              <w:top w:val="nil"/>
              <w:left w:val="nil"/>
            </w:tcBorders>
          </w:tcPr>
          <w:p>
            <w:pPr>
              <w:rPr>
                <w:sz w:val="2"/>
                <w:szCs w:val="2"/>
              </w:rPr>
            </w:pPr>
          </w:p>
        </w:tc>
        <w:tc>
          <w:tcPr>
            <w:tcW w:w="1851" w:type="dxa"/>
            <w:tcBorders>
              <w:top w:val="nil"/>
              <w:bottom w:val="nil"/>
            </w:tcBorders>
          </w:tcPr>
          <w:p>
            <w:pPr>
              <w:pStyle w:val="TableParagraph"/>
              <w:rPr>
                <w:rFonts w:ascii="Times New Roman"/>
                <w:sz w:val="18"/>
              </w:rPr>
            </w:pPr>
          </w:p>
        </w:tc>
        <w:tc>
          <w:tcPr>
            <w:tcW w:w="2693" w:type="dxa"/>
            <w:vMerge/>
            <w:tcBorders>
              <w:top w:val="nil"/>
            </w:tcBorders>
          </w:tcPr>
          <w:p>
            <w:pPr>
              <w:rPr>
                <w:sz w:val="2"/>
                <w:szCs w:val="2"/>
              </w:rPr>
            </w:pPr>
          </w:p>
        </w:tc>
        <w:tc>
          <w:tcPr>
            <w:tcW w:w="2630" w:type="dxa"/>
            <w:tcBorders>
              <w:top w:val="nil"/>
              <w:bottom w:val="nil"/>
            </w:tcBorders>
          </w:tcPr>
          <w:p>
            <w:pPr>
              <w:pStyle w:val="TableParagraph"/>
              <w:rPr>
                <w:rFonts w:ascii="Times New Roman"/>
                <w:sz w:val="18"/>
              </w:rPr>
            </w:pPr>
          </w:p>
        </w:tc>
      </w:tr>
      <w:tr>
        <w:trPr>
          <w:trHeight w:val="289" w:hRule="exact"/>
        </w:trPr>
        <w:tc>
          <w:tcPr>
            <w:tcW w:w="1353" w:type="dxa"/>
            <w:tcBorders>
              <w:top w:val="nil"/>
              <w:bottom w:val="nil"/>
            </w:tcBorders>
            <w:shd w:val="clear" w:color="auto" w:fill="E6E7E8"/>
          </w:tcPr>
          <w:p>
            <w:pPr>
              <w:pStyle w:val="TableParagraph"/>
              <w:rPr>
                <w:rFonts w:ascii="Times New Roman"/>
                <w:sz w:val="18"/>
              </w:rPr>
            </w:pPr>
          </w:p>
        </w:tc>
        <w:tc>
          <w:tcPr>
            <w:tcW w:w="1289" w:type="dxa"/>
            <w:tcBorders>
              <w:top w:val="nil"/>
              <w:bottom w:val="nil"/>
            </w:tcBorders>
          </w:tcPr>
          <w:p>
            <w:pPr>
              <w:pStyle w:val="TableParagraph"/>
              <w:rPr>
                <w:rFonts w:ascii="Times New Roman"/>
                <w:sz w:val="18"/>
              </w:rPr>
            </w:pPr>
          </w:p>
        </w:tc>
        <w:tc>
          <w:tcPr>
            <w:tcW w:w="1563" w:type="dxa"/>
            <w:tcBorders>
              <w:top w:val="nil"/>
              <w:bottom w:val="nil"/>
            </w:tcBorders>
          </w:tcPr>
          <w:p>
            <w:pPr>
              <w:pStyle w:val="TableParagraph"/>
              <w:rPr>
                <w:rFonts w:ascii="Times New Roman"/>
                <w:sz w:val="18"/>
              </w:rPr>
            </w:pPr>
          </w:p>
        </w:tc>
        <w:tc>
          <w:tcPr>
            <w:tcW w:w="2535" w:type="dxa"/>
            <w:tcBorders>
              <w:top w:val="nil"/>
              <w:bottom w:val="nil"/>
            </w:tcBorders>
          </w:tcPr>
          <w:p>
            <w:pPr>
              <w:pStyle w:val="TableParagraph"/>
              <w:spacing w:before="33"/>
              <w:ind w:left="84"/>
              <w:rPr>
                <w:sz w:val="18"/>
              </w:rPr>
            </w:pPr>
            <w:r>
              <w:rPr>
                <w:color w:val="105C84"/>
                <w:spacing w:val="-2"/>
                <w:sz w:val="18"/>
              </w:rPr>
              <w:t>Data</w:t>
            </w:r>
            <w:r>
              <w:rPr>
                <w:color w:val="105C84"/>
                <w:spacing w:val="-9"/>
                <w:sz w:val="18"/>
              </w:rPr>
              <w:t> </w:t>
            </w:r>
            <w:r>
              <w:rPr>
                <w:color w:val="105C84"/>
                <w:spacing w:val="-2"/>
                <w:sz w:val="18"/>
              </w:rPr>
              <w:t>Source:</w:t>
            </w:r>
            <w:r>
              <w:rPr>
                <w:color w:val="105C84"/>
                <w:spacing w:val="-8"/>
                <w:sz w:val="18"/>
              </w:rPr>
              <w:t> </w:t>
            </w:r>
            <w:r>
              <w:rPr>
                <w:color w:val="105C84"/>
                <w:spacing w:val="-2"/>
                <w:sz w:val="18"/>
              </w:rPr>
              <w:t>BRFSS</w:t>
            </w:r>
          </w:p>
        </w:tc>
        <w:tc>
          <w:tcPr>
            <w:tcW w:w="1239" w:type="dxa"/>
            <w:vMerge/>
            <w:tcBorders>
              <w:top w:val="nil"/>
            </w:tcBorders>
          </w:tcPr>
          <w:p>
            <w:pPr>
              <w:rPr>
                <w:sz w:val="2"/>
                <w:szCs w:val="2"/>
              </w:rPr>
            </w:pPr>
          </w:p>
        </w:tc>
        <w:tc>
          <w:tcPr>
            <w:tcW w:w="3206" w:type="dxa"/>
            <w:vMerge/>
            <w:tcBorders>
              <w:top w:val="nil"/>
              <w:right w:val="nil"/>
            </w:tcBorders>
          </w:tcPr>
          <w:p>
            <w:pPr>
              <w:rPr>
                <w:sz w:val="2"/>
                <w:szCs w:val="2"/>
              </w:rPr>
            </w:pPr>
          </w:p>
        </w:tc>
        <w:tc>
          <w:tcPr>
            <w:tcW w:w="3901" w:type="dxa"/>
            <w:vMerge/>
            <w:tcBorders>
              <w:top w:val="nil"/>
              <w:left w:val="nil"/>
            </w:tcBorders>
          </w:tcPr>
          <w:p>
            <w:pPr>
              <w:rPr>
                <w:sz w:val="2"/>
                <w:szCs w:val="2"/>
              </w:rPr>
            </w:pPr>
          </w:p>
        </w:tc>
        <w:tc>
          <w:tcPr>
            <w:tcW w:w="1851" w:type="dxa"/>
            <w:tcBorders>
              <w:top w:val="nil"/>
              <w:bottom w:val="nil"/>
            </w:tcBorders>
          </w:tcPr>
          <w:p>
            <w:pPr>
              <w:pStyle w:val="TableParagraph"/>
              <w:rPr>
                <w:rFonts w:ascii="Times New Roman"/>
                <w:sz w:val="18"/>
              </w:rPr>
            </w:pPr>
          </w:p>
        </w:tc>
        <w:tc>
          <w:tcPr>
            <w:tcW w:w="2693" w:type="dxa"/>
            <w:vMerge/>
            <w:tcBorders>
              <w:top w:val="nil"/>
            </w:tcBorders>
          </w:tcPr>
          <w:p>
            <w:pPr>
              <w:rPr>
                <w:sz w:val="2"/>
                <w:szCs w:val="2"/>
              </w:rPr>
            </w:pPr>
          </w:p>
        </w:tc>
        <w:tc>
          <w:tcPr>
            <w:tcW w:w="2630" w:type="dxa"/>
            <w:tcBorders>
              <w:top w:val="nil"/>
              <w:bottom w:val="nil"/>
            </w:tcBorders>
          </w:tcPr>
          <w:p>
            <w:pPr>
              <w:pStyle w:val="TableParagraph"/>
              <w:rPr>
                <w:rFonts w:ascii="Times New Roman"/>
                <w:sz w:val="18"/>
              </w:rPr>
            </w:pPr>
          </w:p>
        </w:tc>
      </w:tr>
      <w:tr>
        <w:trPr>
          <w:trHeight w:val="289" w:hRule="exact"/>
        </w:trPr>
        <w:tc>
          <w:tcPr>
            <w:tcW w:w="1353" w:type="dxa"/>
            <w:tcBorders>
              <w:top w:val="nil"/>
              <w:bottom w:val="nil"/>
            </w:tcBorders>
            <w:shd w:val="clear" w:color="auto" w:fill="E6E7E8"/>
          </w:tcPr>
          <w:p>
            <w:pPr>
              <w:pStyle w:val="TableParagraph"/>
              <w:rPr>
                <w:rFonts w:ascii="Times New Roman"/>
                <w:sz w:val="18"/>
              </w:rPr>
            </w:pPr>
          </w:p>
        </w:tc>
        <w:tc>
          <w:tcPr>
            <w:tcW w:w="1289" w:type="dxa"/>
            <w:tcBorders>
              <w:top w:val="nil"/>
              <w:bottom w:val="nil"/>
            </w:tcBorders>
          </w:tcPr>
          <w:p>
            <w:pPr>
              <w:pStyle w:val="TableParagraph"/>
              <w:rPr>
                <w:rFonts w:ascii="Times New Roman"/>
                <w:sz w:val="18"/>
              </w:rPr>
            </w:pPr>
          </w:p>
        </w:tc>
        <w:tc>
          <w:tcPr>
            <w:tcW w:w="1563" w:type="dxa"/>
            <w:tcBorders>
              <w:top w:val="nil"/>
              <w:bottom w:val="nil"/>
            </w:tcBorders>
          </w:tcPr>
          <w:p>
            <w:pPr>
              <w:pStyle w:val="TableParagraph"/>
              <w:rPr>
                <w:rFonts w:ascii="Times New Roman"/>
                <w:sz w:val="18"/>
              </w:rPr>
            </w:pPr>
          </w:p>
        </w:tc>
        <w:tc>
          <w:tcPr>
            <w:tcW w:w="2535" w:type="dxa"/>
            <w:tcBorders>
              <w:top w:val="nil"/>
              <w:bottom w:val="nil"/>
            </w:tcBorders>
          </w:tcPr>
          <w:p>
            <w:pPr>
              <w:pStyle w:val="TableParagraph"/>
              <w:spacing w:before="33"/>
              <w:ind w:left="84"/>
              <w:rPr>
                <w:sz w:val="18"/>
              </w:rPr>
            </w:pPr>
            <w:r>
              <w:rPr>
                <w:color w:val="105C84"/>
                <w:sz w:val="18"/>
              </w:rPr>
              <w:t>Data</w:t>
            </w:r>
            <w:r>
              <w:rPr>
                <w:color w:val="105C84"/>
                <w:spacing w:val="-12"/>
                <w:sz w:val="18"/>
              </w:rPr>
              <w:t> </w:t>
            </w:r>
            <w:r>
              <w:rPr>
                <w:color w:val="105C84"/>
                <w:sz w:val="18"/>
              </w:rPr>
              <w:t>Level:</w:t>
            </w:r>
            <w:r>
              <w:rPr>
                <w:color w:val="105C84"/>
                <w:spacing w:val="-11"/>
                <w:sz w:val="18"/>
              </w:rPr>
              <w:t> </w:t>
            </w:r>
            <w:r>
              <w:rPr>
                <w:color w:val="105C84"/>
                <w:sz w:val="18"/>
              </w:rPr>
              <w:t>State</w:t>
            </w:r>
            <w:r>
              <w:rPr>
                <w:color w:val="105C84"/>
                <w:spacing w:val="-11"/>
                <w:sz w:val="18"/>
              </w:rPr>
              <w:t> </w:t>
            </w:r>
            <w:r>
              <w:rPr>
                <w:color w:val="105C84"/>
                <w:sz w:val="18"/>
              </w:rPr>
              <w:t>and</w:t>
            </w:r>
            <w:r>
              <w:rPr>
                <w:color w:val="105C84"/>
                <w:spacing w:val="-11"/>
                <w:sz w:val="18"/>
              </w:rPr>
              <w:t> </w:t>
            </w:r>
            <w:r>
              <w:rPr>
                <w:color w:val="105C84"/>
                <w:spacing w:val="-2"/>
                <w:sz w:val="18"/>
              </w:rPr>
              <w:t>County</w:t>
            </w:r>
          </w:p>
        </w:tc>
        <w:tc>
          <w:tcPr>
            <w:tcW w:w="1239" w:type="dxa"/>
            <w:vMerge/>
            <w:tcBorders>
              <w:top w:val="nil"/>
            </w:tcBorders>
          </w:tcPr>
          <w:p>
            <w:pPr>
              <w:rPr>
                <w:sz w:val="2"/>
                <w:szCs w:val="2"/>
              </w:rPr>
            </w:pPr>
          </w:p>
        </w:tc>
        <w:tc>
          <w:tcPr>
            <w:tcW w:w="3206" w:type="dxa"/>
            <w:vMerge/>
            <w:tcBorders>
              <w:top w:val="nil"/>
              <w:right w:val="nil"/>
            </w:tcBorders>
          </w:tcPr>
          <w:p>
            <w:pPr>
              <w:rPr>
                <w:sz w:val="2"/>
                <w:szCs w:val="2"/>
              </w:rPr>
            </w:pPr>
          </w:p>
        </w:tc>
        <w:tc>
          <w:tcPr>
            <w:tcW w:w="3901" w:type="dxa"/>
            <w:vMerge/>
            <w:tcBorders>
              <w:top w:val="nil"/>
              <w:left w:val="nil"/>
            </w:tcBorders>
          </w:tcPr>
          <w:p>
            <w:pPr>
              <w:rPr>
                <w:sz w:val="2"/>
                <w:szCs w:val="2"/>
              </w:rPr>
            </w:pPr>
          </w:p>
        </w:tc>
        <w:tc>
          <w:tcPr>
            <w:tcW w:w="1851" w:type="dxa"/>
            <w:tcBorders>
              <w:top w:val="nil"/>
              <w:bottom w:val="nil"/>
            </w:tcBorders>
          </w:tcPr>
          <w:p>
            <w:pPr>
              <w:pStyle w:val="TableParagraph"/>
              <w:rPr>
                <w:rFonts w:ascii="Times New Roman"/>
                <w:sz w:val="18"/>
              </w:rPr>
            </w:pPr>
          </w:p>
        </w:tc>
        <w:tc>
          <w:tcPr>
            <w:tcW w:w="2693" w:type="dxa"/>
            <w:vMerge/>
            <w:tcBorders>
              <w:top w:val="nil"/>
            </w:tcBorders>
          </w:tcPr>
          <w:p>
            <w:pPr>
              <w:rPr>
                <w:sz w:val="2"/>
                <w:szCs w:val="2"/>
              </w:rPr>
            </w:pPr>
          </w:p>
        </w:tc>
        <w:tc>
          <w:tcPr>
            <w:tcW w:w="2630" w:type="dxa"/>
            <w:tcBorders>
              <w:top w:val="nil"/>
              <w:bottom w:val="nil"/>
            </w:tcBorders>
          </w:tcPr>
          <w:p>
            <w:pPr>
              <w:pStyle w:val="TableParagraph"/>
              <w:rPr>
                <w:rFonts w:ascii="Times New Roman"/>
                <w:sz w:val="18"/>
              </w:rPr>
            </w:pPr>
          </w:p>
        </w:tc>
      </w:tr>
      <w:tr>
        <w:trPr>
          <w:trHeight w:val="1089" w:hRule="exact"/>
        </w:trPr>
        <w:tc>
          <w:tcPr>
            <w:tcW w:w="1353" w:type="dxa"/>
            <w:tcBorders>
              <w:top w:val="nil"/>
              <w:bottom w:val="nil"/>
            </w:tcBorders>
            <w:shd w:val="clear" w:color="auto" w:fill="E6E7E8"/>
          </w:tcPr>
          <w:p>
            <w:pPr>
              <w:pStyle w:val="TableParagraph"/>
              <w:rPr>
                <w:rFonts w:ascii="Times New Roman"/>
                <w:sz w:val="18"/>
              </w:rPr>
            </w:pPr>
          </w:p>
        </w:tc>
        <w:tc>
          <w:tcPr>
            <w:tcW w:w="1289" w:type="dxa"/>
            <w:tcBorders>
              <w:top w:val="nil"/>
              <w:bottom w:val="nil"/>
            </w:tcBorders>
          </w:tcPr>
          <w:p>
            <w:pPr>
              <w:pStyle w:val="TableParagraph"/>
              <w:rPr>
                <w:rFonts w:ascii="Times New Roman"/>
                <w:sz w:val="18"/>
              </w:rPr>
            </w:pPr>
          </w:p>
        </w:tc>
        <w:tc>
          <w:tcPr>
            <w:tcW w:w="1563" w:type="dxa"/>
            <w:tcBorders>
              <w:top w:val="nil"/>
              <w:bottom w:val="nil"/>
            </w:tcBorders>
          </w:tcPr>
          <w:p>
            <w:pPr>
              <w:pStyle w:val="TableParagraph"/>
              <w:rPr>
                <w:rFonts w:ascii="Times New Roman"/>
                <w:sz w:val="18"/>
              </w:rPr>
            </w:pPr>
          </w:p>
        </w:tc>
        <w:tc>
          <w:tcPr>
            <w:tcW w:w="2535" w:type="dxa"/>
            <w:tcBorders>
              <w:top w:val="nil"/>
              <w:bottom w:val="nil"/>
            </w:tcBorders>
          </w:tcPr>
          <w:p>
            <w:pPr>
              <w:pStyle w:val="TableParagraph"/>
              <w:spacing w:line="232" w:lineRule="auto" w:before="38"/>
              <w:ind w:left="84" w:right="137"/>
              <w:rPr>
                <w:sz w:val="18"/>
              </w:rPr>
            </w:pPr>
            <w:r>
              <w:rPr>
                <w:color w:val="105C84"/>
                <w:sz w:val="18"/>
              </w:rPr>
              <w:t>1.9</w:t>
            </w:r>
            <w:r>
              <w:rPr>
                <w:color w:val="105C84"/>
                <w:spacing w:val="-13"/>
                <w:sz w:val="18"/>
              </w:rPr>
              <w:t> </w:t>
            </w:r>
            <w:r>
              <w:rPr>
                <w:color w:val="105C84"/>
                <w:sz w:val="18"/>
              </w:rPr>
              <w:t>Decrease</w:t>
            </w:r>
            <w:r>
              <w:rPr>
                <w:color w:val="105C84"/>
                <w:spacing w:val="-12"/>
                <w:sz w:val="18"/>
              </w:rPr>
              <w:t> </w:t>
            </w:r>
            <w:r>
              <w:rPr>
                <w:color w:val="105C84"/>
                <w:sz w:val="18"/>
              </w:rPr>
              <w:t>the</w:t>
            </w:r>
            <w:r>
              <w:rPr>
                <w:color w:val="105C84"/>
                <w:spacing w:val="-13"/>
                <w:sz w:val="18"/>
              </w:rPr>
              <w:t> </w:t>
            </w:r>
            <w:r>
              <w:rPr>
                <w:color w:val="105C84"/>
                <w:sz w:val="18"/>
              </w:rPr>
              <w:t>percentage</w:t>
            </w:r>
            <w:r>
              <w:rPr>
                <w:color w:val="105C84"/>
                <w:sz w:val="18"/>
              </w:rPr>
              <w:t> of adults who consume</w:t>
            </w:r>
          </w:p>
          <w:p>
            <w:pPr>
              <w:pStyle w:val="TableParagraph"/>
              <w:spacing w:line="232" w:lineRule="auto"/>
              <w:ind w:left="84"/>
              <w:rPr>
                <w:sz w:val="18"/>
              </w:rPr>
            </w:pPr>
            <w:r>
              <w:rPr>
                <w:color w:val="105C84"/>
                <w:sz w:val="18"/>
              </w:rPr>
              <w:t>less than one fruit and less than</w:t>
            </w:r>
            <w:r>
              <w:rPr>
                <w:color w:val="105C84"/>
                <w:spacing w:val="-4"/>
                <w:sz w:val="18"/>
              </w:rPr>
              <w:t> </w:t>
            </w:r>
            <w:r>
              <w:rPr>
                <w:color w:val="105C84"/>
                <w:sz w:val="18"/>
              </w:rPr>
              <w:t>one</w:t>
            </w:r>
            <w:r>
              <w:rPr>
                <w:color w:val="105C84"/>
                <w:spacing w:val="-4"/>
                <w:sz w:val="18"/>
              </w:rPr>
              <w:t> </w:t>
            </w:r>
            <w:r>
              <w:rPr>
                <w:color w:val="105C84"/>
                <w:sz w:val="18"/>
              </w:rPr>
              <w:t>vegetable</w:t>
            </w:r>
            <w:r>
              <w:rPr>
                <w:color w:val="105C84"/>
                <w:spacing w:val="-4"/>
                <w:sz w:val="18"/>
              </w:rPr>
              <w:t> </w:t>
            </w:r>
            <w:r>
              <w:rPr>
                <w:color w:val="105C84"/>
                <w:sz w:val="18"/>
              </w:rPr>
              <w:t>per</w:t>
            </w:r>
            <w:r>
              <w:rPr>
                <w:color w:val="105C84"/>
                <w:spacing w:val="-4"/>
                <w:sz w:val="18"/>
              </w:rPr>
              <w:t> </w:t>
            </w:r>
            <w:r>
              <w:rPr>
                <w:color w:val="105C84"/>
                <w:sz w:val="18"/>
              </w:rPr>
              <w:t>day (among all adults)</w:t>
            </w:r>
          </w:p>
        </w:tc>
        <w:tc>
          <w:tcPr>
            <w:tcW w:w="1239" w:type="dxa"/>
            <w:vMerge/>
            <w:tcBorders>
              <w:top w:val="nil"/>
            </w:tcBorders>
          </w:tcPr>
          <w:p>
            <w:pPr>
              <w:rPr>
                <w:sz w:val="2"/>
                <w:szCs w:val="2"/>
              </w:rPr>
            </w:pPr>
          </w:p>
        </w:tc>
        <w:tc>
          <w:tcPr>
            <w:tcW w:w="3206" w:type="dxa"/>
            <w:vMerge/>
            <w:tcBorders>
              <w:top w:val="nil"/>
              <w:right w:val="nil"/>
            </w:tcBorders>
          </w:tcPr>
          <w:p>
            <w:pPr>
              <w:rPr>
                <w:sz w:val="2"/>
                <w:szCs w:val="2"/>
              </w:rPr>
            </w:pPr>
          </w:p>
        </w:tc>
        <w:tc>
          <w:tcPr>
            <w:tcW w:w="3901" w:type="dxa"/>
            <w:vMerge/>
            <w:tcBorders>
              <w:top w:val="nil"/>
              <w:left w:val="nil"/>
            </w:tcBorders>
          </w:tcPr>
          <w:p>
            <w:pPr>
              <w:rPr>
                <w:sz w:val="2"/>
                <w:szCs w:val="2"/>
              </w:rPr>
            </w:pPr>
          </w:p>
        </w:tc>
        <w:tc>
          <w:tcPr>
            <w:tcW w:w="1851" w:type="dxa"/>
            <w:tcBorders>
              <w:top w:val="nil"/>
              <w:bottom w:val="nil"/>
            </w:tcBorders>
          </w:tcPr>
          <w:p>
            <w:pPr>
              <w:pStyle w:val="TableParagraph"/>
              <w:rPr>
                <w:rFonts w:ascii="Times New Roman"/>
                <w:sz w:val="18"/>
              </w:rPr>
            </w:pPr>
          </w:p>
        </w:tc>
        <w:tc>
          <w:tcPr>
            <w:tcW w:w="2693" w:type="dxa"/>
            <w:vMerge/>
            <w:tcBorders>
              <w:top w:val="nil"/>
            </w:tcBorders>
          </w:tcPr>
          <w:p>
            <w:pPr>
              <w:rPr>
                <w:sz w:val="2"/>
                <w:szCs w:val="2"/>
              </w:rPr>
            </w:pPr>
          </w:p>
        </w:tc>
        <w:tc>
          <w:tcPr>
            <w:tcW w:w="2630" w:type="dxa"/>
            <w:tcBorders>
              <w:top w:val="nil"/>
              <w:bottom w:val="nil"/>
            </w:tcBorders>
          </w:tcPr>
          <w:p>
            <w:pPr>
              <w:pStyle w:val="TableParagraph"/>
              <w:rPr>
                <w:rFonts w:ascii="Times New Roman"/>
                <w:sz w:val="18"/>
              </w:rPr>
            </w:pPr>
          </w:p>
        </w:tc>
      </w:tr>
      <w:tr>
        <w:trPr>
          <w:trHeight w:val="289" w:hRule="exact"/>
        </w:trPr>
        <w:tc>
          <w:tcPr>
            <w:tcW w:w="1353" w:type="dxa"/>
            <w:tcBorders>
              <w:top w:val="nil"/>
              <w:bottom w:val="nil"/>
            </w:tcBorders>
            <w:shd w:val="clear" w:color="auto" w:fill="E6E7E8"/>
          </w:tcPr>
          <w:p>
            <w:pPr>
              <w:pStyle w:val="TableParagraph"/>
              <w:rPr>
                <w:rFonts w:ascii="Times New Roman"/>
                <w:sz w:val="18"/>
              </w:rPr>
            </w:pPr>
          </w:p>
        </w:tc>
        <w:tc>
          <w:tcPr>
            <w:tcW w:w="1289" w:type="dxa"/>
            <w:tcBorders>
              <w:top w:val="nil"/>
              <w:bottom w:val="nil"/>
            </w:tcBorders>
          </w:tcPr>
          <w:p>
            <w:pPr>
              <w:pStyle w:val="TableParagraph"/>
              <w:rPr>
                <w:rFonts w:ascii="Times New Roman"/>
                <w:sz w:val="18"/>
              </w:rPr>
            </w:pPr>
          </w:p>
        </w:tc>
        <w:tc>
          <w:tcPr>
            <w:tcW w:w="1563" w:type="dxa"/>
            <w:tcBorders>
              <w:top w:val="nil"/>
              <w:bottom w:val="nil"/>
            </w:tcBorders>
          </w:tcPr>
          <w:p>
            <w:pPr>
              <w:pStyle w:val="TableParagraph"/>
              <w:rPr>
                <w:rFonts w:ascii="Times New Roman"/>
                <w:sz w:val="18"/>
              </w:rPr>
            </w:pPr>
          </w:p>
        </w:tc>
        <w:tc>
          <w:tcPr>
            <w:tcW w:w="2535" w:type="dxa"/>
            <w:tcBorders>
              <w:top w:val="nil"/>
              <w:bottom w:val="nil"/>
            </w:tcBorders>
          </w:tcPr>
          <w:p>
            <w:pPr>
              <w:pStyle w:val="TableParagraph"/>
              <w:spacing w:before="33"/>
              <w:ind w:left="84"/>
              <w:rPr>
                <w:sz w:val="18"/>
              </w:rPr>
            </w:pPr>
            <w:r>
              <w:rPr>
                <w:color w:val="105C84"/>
                <w:spacing w:val="-4"/>
                <w:sz w:val="18"/>
              </w:rPr>
              <w:t>Target:</w:t>
            </w:r>
            <w:r>
              <w:rPr>
                <w:color w:val="105C84"/>
                <w:spacing w:val="-1"/>
                <w:sz w:val="18"/>
              </w:rPr>
              <w:t> </w:t>
            </w:r>
            <w:r>
              <w:rPr>
                <w:color w:val="105C84"/>
                <w:spacing w:val="-2"/>
                <w:sz w:val="18"/>
              </w:rPr>
              <w:t>29.6%</w:t>
            </w:r>
          </w:p>
        </w:tc>
        <w:tc>
          <w:tcPr>
            <w:tcW w:w="1239" w:type="dxa"/>
            <w:vMerge/>
            <w:tcBorders>
              <w:top w:val="nil"/>
            </w:tcBorders>
          </w:tcPr>
          <w:p>
            <w:pPr>
              <w:rPr>
                <w:sz w:val="2"/>
                <w:szCs w:val="2"/>
              </w:rPr>
            </w:pPr>
          </w:p>
        </w:tc>
        <w:tc>
          <w:tcPr>
            <w:tcW w:w="3206" w:type="dxa"/>
            <w:vMerge/>
            <w:tcBorders>
              <w:top w:val="nil"/>
              <w:right w:val="nil"/>
            </w:tcBorders>
          </w:tcPr>
          <w:p>
            <w:pPr>
              <w:rPr>
                <w:sz w:val="2"/>
                <w:szCs w:val="2"/>
              </w:rPr>
            </w:pPr>
          </w:p>
        </w:tc>
        <w:tc>
          <w:tcPr>
            <w:tcW w:w="3901" w:type="dxa"/>
            <w:vMerge/>
            <w:tcBorders>
              <w:top w:val="nil"/>
              <w:left w:val="nil"/>
            </w:tcBorders>
          </w:tcPr>
          <w:p>
            <w:pPr>
              <w:rPr>
                <w:sz w:val="2"/>
                <w:szCs w:val="2"/>
              </w:rPr>
            </w:pPr>
          </w:p>
        </w:tc>
        <w:tc>
          <w:tcPr>
            <w:tcW w:w="1851" w:type="dxa"/>
            <w:tcBorders>
              <w:top w:val="nil"/>
              <w:bottom w:val="nil"/>
            </w:tcBorders>
          </w:tcPr>
          <w:p>
            <w:pPr>
              <w:pStyle w:val="TableParagraph"/>
              <w:rPr>
                <w:rFonts w:ascii="Times New Roman"/>
                <w:sz w:val="18"/>
              </w:rPr>
            </w:pPr>
          </w:p>
        </w:tc>
        <w:tc>
          <w:tcPr>
            <w:tcW w:w="2693" w:type="dxa"/>
            <w:vMerge/>
            <w:tcBorders>
              <w:top w:val="nil"/>
            </w:tcBorders>
          </w:tcPr>
          <w:p>
            <w:pPr>
              <w:rPr>
                <w:sz w:val="2"/>
                <w:szCs w:val="2"/>
              </w:rPr>
            </w:pPr>
          </w:p>
        </w:tc>
        <w:tc>
          <w:tcPr>
            <w:tcW w:w="2630" w:type="dxa"/>
            <w:tcBorders>
              <w:top w:val="nil"/>
              <w:bottom w:val="nil"/>
            </w:tcBorders>
          </w:tcPr>
          <w:p>
            <w:pPr>
              <w:pStyle w:val="TableParagraph"/>
              <w:rPr>
                <w:rFonts w:ascii="Times New Roman"/>
                <w:sz w:val="18"/>
              </w:rPr>
            </w:pPr>
          </w:p>
        </w:tc>
      </w:tr>
      <w:tr>
        <w:trPr>
          <w:trHeight w:val="289" w:hRule="exact"/>
        </w:trPr>
        <w:tc>
          <w:tcPr>
            <w:tcW w:w="1353" w:type="dxa"/>
            <w:tcBorders>
              <w:top w:val="nil"/>
              <w:bottom w:val="nil"/>
            </w:tcBorders>
            <w:shd w:val="clear" w:color="auto" w:fill="E6E7E8"/>
          </w:tcPr>
          <w:p>
            <w:pPr>
              <w:pStyle w:val="TableParagraph"/>
              <w:rPr>
                <w:rFonts w:ascii="Times New Roman"/>
                <w:sz w:val="18"/>
              </w:rPr>
            </w:pPr>
          </w:p>
        </w:tc>
        <w:tc>
          <w:tcPr>
            <w:tcW w:w="1289" w:type="dxa"/>
            <w:tcBorders>
              <w:top w:val="nil"/>
              <w:bottom w:val="nil"/>
            </w:tcBorders>
          </w:tcPr>
          <w:p>
            <w:pPr>
              <w:pStyle w:val="TableParagraph"/>
              <w:rPr>
                <w:rFonts w:ascii="Times New Roman"/>
                <w:sz w:val="18"/>
              </w:rPr>
            </w:pPr>
          </w:p>
        </w:tc>
        <w:tc>
          <w:tcPr>
            <w:tcW w:w="1563" w:type="dxa"/>
            <w:tcBorders>
              <w:top w:val="nil"/>
              <w:bottom w:val="nil"/>
            </w:tcBorders>
          </w:tcPr>
          <w:p>
            <w:pPr>
              <w:pStyle w:val="TableParagraph"/>
              <w:rPr>
                <w:rFonts w:ascii="Times New Roman"/>
                <w:sz w:val="18"/>
              </w:rPr>
            </w:pPr>
          </w:p>
        </w:tc>
        <w:tc>
          <w:tcPr>
            <w:tcW w:w="2535" w:type="dxa"/>
            <w:tcBorders>
              <w:top w:val="nil"/>
              <w:bottom w:val="nil"/>
            </w:tcBorders>
          </w:tcPr>
          <w:p>
            <w:pPr>
              <w:pStyle w:val="TableParagraph"/>
              <w:spacing w:before="33"/>
              <w:ind w:left="84"/>
              <w:rPr>
                <w:sz w:val="18"/>
              </w:rPr>
            </w:pPr>
            <w:r>
              <w:rPr>
                <w:color w:val="105C84"/>
                <w:spacing w:val="-6"/>
                <w:sz w:val="18"/>
              </w:rPr>
              <w:t>Baseline:</w:t>
            </w:r>
            <w:r>
              <w:rPr>
                <w:color w:val="105C84"/>
                <w:spacing w:val="2"/>
                <w:sz w:val="18"/>
              </w:rPr>
              <w:t> </w:t>
            </w:r>
            <w:r>
              <w:rPr>
                <w:color w:val="105C84"/>
                <w:spacing w:val="-6"/>
                <w:sz w:val="18"/>
              </w:rPr>
              <w:t>31.2%</w:t>
            </w:r>
            <w:r>
              <w:rPr>
                <w:color w:val="105C84"/>
                <w:spacing w:val="3"/>
                <w:sz w:val="18"/>
              </w:rPr>
              <w:t> </w:t>
            </w:r>
            <w:r>
              <w:rPr>
                <w:color w:val="105C84"/>
                <w:spacing w:val="-6"/>
                <w:sz w:val="18"/>
              </w:rPr>
              <w:t>(2016)</w:t>
            </w:r>
          </w:p>
        </w:tc>
        <w:tc>
          <w:tcPr>
            <w:tcW w:w="1239" w:type="dxa"/>
            <w:vMerge/>
            <w:tcBorders>
              <w:top w:val="nil"/>
            </w:tcBorders>
          </w:tcPr>
          <w:p>
            <w:pPr>
              <w:rPr>
                <w:sz w:val="2"/>
                <w:szCs w:val="2"/>
              </w:rPr>
            </w:pPr>
          </w:p>
        </w:tc>
        <w:tc>
          <w:tcPr>
            <w:tcW w:w="3206" w:type="dxa"/>
            <w:vMerge/>
            <w:tcBorders>
              <w:top w:val="nil"/>
              <w:right w:val="nil"/>
            </w:tcBorders>
          </w:tcPr>
          <w:p>
            <w:pPr>
              <w:rPr>
                <w:sz w:val="2"/>
                <w:szCs w:val="2"/>
              </w:rPr>
            </w:pPr>
          </w:p>
        </w:tc>
        <w:tc>
          <w:tcPr>
            <w:tcW w:w="3901" w:type="dxa"/>
            <w:vMerge/>
            <w:tcBorders>
              <w:top w:val="nil"/>
              <w:left w:val="nil"/>
            </w:tcBorders>
          </w:tcPr>
          <w:p>
            <w:pPr>
              <w:rPr>
                <w:sz w:val="2"/>
                <w:szCs w:val="2"/>
              </w:rPr>
            </w:pPr>
          </w:p>
        </w:tc>
        <w:tc>
          <w:tcPr>
            <w:tcW w:w="1851" w:type="dxa"/>
            <w:tcBorders>
              <w:top w:val="nil"/>
              <w:bottom w:val="nil"/>
            </w:tcBorders>
          </w:tcPr>
          <w:p>
            <w:pPr>
              <w:pStyle w:val="TableParagraph"/>
              <w:rPr>
                <w:rFonts w:ascii="Times New Roman"/>
                <w:sz w:val="18"/>
              </w:rPr>
            </w:pPr>
          </w:p>
        </w:tc>
        <w:tc>
          <w:tcPr>
            <w:tcW w:w="2693" w:type="dxa"/>
            <w:vMerge/>
            <w:tcBorders>
              <w:top w:val="nil"/>
            </w:tcBorders>
          </w:tcPr>
          <w:p>
            <w:pPr>
              <w:rPr>
                <w:sz w:val="2"/>
                <w:szCs w:val="2"/>
              </w:rPr>
            </w:pPr>
          </w:p>
        </w:tc>
        <w:tc>
          <w:tcPr>
            <w:tcW w:w="2630" w:type="dxa"/>
            <w:tcBorders>
              <w:top w:val="nil"/>
              <w:bottom w:val="nil"/>
            </w:tcBorders>
          </w:tcPr>
          <w:p>
            <w:pPr>
              <w:pStyle w:val="TableParagraph"/>
              <w:rPr>
                <w:rFonts w:ascii="Times New Roman"/>
                <w:sz w:val="18"/>
              </w:rPr>
            </w:pPr>
          </w:p>
        </w:tc>
      </w:tr>
      <w:tr>
        <w:trPr>
          <w:trHeight w:val="289" w:hRule="exact"/>
        </w:trPr>
        <w:tc>
          <w:tcPr>
            <w:tcW w:w="1353" w:type="dxa"/>
            <w:tcBorders>
              <w:top w:val="nil"/>
              <w:bottom w:val="nil"/>
            </w:tcBorders>
            <w:shd w:val="clear" w:color="auto" w:fill="E6E7E8"/>
          </w:tcPr>
          <w:p>
            <w:pPr>
              <w:pStyle w:val="TableParagraph"/>
              <w:rPr>
                <w:rFonts w:ascii="Times New Roman"/>
                <w:sz w:val="18"/>
              </w:rPr>
            </w:pPr>
          </w:p>
        </w:tc>
        <w:tc>
          <w:tcPr>
            <w:tcW w:w="1289" w:type="dxa"/>
            <w:tcBorders>
              <w:top w:val="nil"/>
              <w:bottom w:val="nil"/>
            </w:tcBorders>
          </w:tcPr>
          <w:p>
            <w:pPr>
              <w:pStyle w:val="TableParagraph"/>
              <w:rPr>
                <w:rFonts w:ascii="Times New Roman"/>
                <w:sz w:val="18"/>
              </w:rPr>
            </w:pPr>
          </w:p>
        </w:tc>
        <w:tc>
          <w:tcPr>
            <w:tcW w:w="1563" w:type="dxa"/>
            <w:tcBorders>
              <w:top w:val="nil"/>
              <w:bottom w:val="nil"/>
            </w:tcBorders>
          </w:tcPr>
          <w:p>
            <w:pPr>
              <w:pStyle w:val="TableParagraph"/>
              <w:rPr>
                <w:rFonts w:ascii="Times New Roman"/>
                <w:sz w:val="18"/>
              </w:rPr>
            </w:pPr>
          </w:p>
        </w:tc>
        <w:tc>
          <w:tcPr>
            <w:tcW w:w="2535" w:type="dxa"/>
            <w:tcBorders>
              <w:top w:val="nil"/>
              <w:bottom w:val="nil"/>
            </w:tcBorders>
          </w:tcPr>
          <w:p>
            <w:pPr>
              <w:pStyle w:val="TableParagraph"/>
              <w:spacing w:before="33"/>
              <w:ind w:left="84"/>
              <w:rPr>
                <w:sz w:val="18"/>
              </w:rPr>
            </w:pPr>
            <w:r>
              <w:rPr>
                <w:color w:val="105C84"/>
                <w:spacing w:val="-2"/>
                <w:sz w:val="18"/>
              </w:rPr>
              <w:t>Data</w:t>
            </w:r>
            <w:r>
              <w:rPr>
                <w:color w:val="105C84"/>
                <w:spacing w:val="-9"/>
                <w:sz w:val="18"/>
              </w:rPr>
              <w:t> </w:t>
            </w:r>
            <w:r>
              <w:rPr>
                <w:color w:val="105C84"/>
                <w:spacing w:val="-2"/>
                <w:sz w:val="18"/>
              </w:rPr>
              <w:t>Source:</w:t>
            </w:r>
            <w:r>
              <w:rPr>
                <w:color w:val="105C84"/>
                <w:spacing w:val="-8"/>
                <w:sz w:val="18"/>
              </w:rPr>
              <w:t> </w:t>
            </w:r>
            <w:r>
              <w:rPr>
                <w:color w:val="105C84"/>
                <w:spacing w:val="-2"/>
                <w:sz w:val="18"/>
              </w:rPr>
              <w:t>BRFSS</w:t>
            </w:r>
          </w:p>
        </w:tc>
        <w:tc>
          <w:tcPr>
            <w:tcW w:w="1239" w:type="dxa"/>
            <w:vMerge/>
            <w:tcBorders>
              <w:top w:val="nil"/>
            </w:tcBorders>
          </w:tcPr>
          <w:p>
            <w:pPr>
              <w:rPr>
                <w:sz w:val="2"/>
                <w:szCs w:val="2"/>
              </w:rPr>
            </w:pPr>
          </w:p>
        </w:tc>
        <w:tc>
          <w:tcPr>
            <w:tcW w:w="3206" w:type="dxa"/>
            <w:vMerge/>
            <w:tcBorders>
              <w:top w:val="nil"/>
              <w:right w:val="nil"/>
            </w:tcBorders>
          </w:tcPr>
          <w:p>
            <w:pPr>
              <w:rPr>
                <w:sz w:val="2"/>
                <w:szCs w:val="2"/>
              </w:rPr>
            </w:pPr>
          </w:p>
        </w:tc>
        <w:tc>
          <w:tcPr>
            <w:tcW w:w="3901" w:type="dxa"/>
            <w:vMerge/>
            <w:tcBorders>
              <w:top w:val="nil"/>
              <w:left w:val="nil"/>
            </w:tcBorders>
          </w:tcPr>
          <w:p>
            <w:pPr>
              <w:rPr>
                <w:sz w:val="2"/>
                <w:szCs w:val="2"/>
              </w:rPr>
            </w:pPr>
          </w:p>
        </w:tc>
        <w:tc>
          <w:tcPr>
            <w:tcW w:w="1851" w:type="dxa"/>
            <w:tcBorders>
              <w:top w:val="nil"/>
              <w:bottom w:val="nil"/>
            </w:tcBorders>
          </w:tcPr>
          <w:p>
            <w:pPr>
              <w:pStyle w:val="TableParagraph"/>
              <w:rPr>
                <w:rFonts w:ascii="Times New Roman"/>
                <w:sz w:val="18"/>
              </w:rPr>
            </w:pPr>
          </w:p>
        </w:tc>
        <w:tc>
          <w:tcPr>
            <w:tcW w:w="2693" w:type="dxa"/>
            <w:vMerge/>
            <w:tcBorders>
              <w:top w:val="nil"/>
            </w:tcBorders>
          </w:tcPr>
          <w:p>
            <w:pPr>
              <w:rPr>
                <w:sz w:val="2"/>
                <w:szCs w:val="2"/>
              </w:rPr>
            </w:pPr>
          </w:p>
        </w:tc>
        <w:tc>
          <w:tcPr>
            <w:tcW w:w="2630" w:type="dxa"/>
            <w:tcBorders>
              <w:top w:val="nil"/>
              <w:bottom w:val="nil"/>
            </w:tcBorders>
          </w:tcPr>
          <w:p>
            <w:pPr>
              <w:pStyle w:val="TableParagraph"/>
              <w:rPr>
                <w:rFonts w:ascii="Times New Roman"/>
                <w:sz w:val="18"/>
              </w:rPr>
            </w:pPr>
          </w:p>
        </w:tc>
      </w:tr>
      <w:tr>
        <w:trPr>
          <w:trHeight w:val="1355" w:hRule="exact"/>
        </w:trPr>
        <w:tc>
          <w:tcPr>
            <w:tcW w:w="1353" w:type="dxa"/>
            <w:tcBorders>
              <w:top w:val="nil"/>
            </w:tcBorders>
            <w:shd w:val="clear" w:color="auto" w:fill="E6E7E8"/>
          </w:tcPr>
          <w:p>
            <w:pPr>
              <w:pStyle w:val="TableParagraph"/>
              <w:rPr>
                <w:rFonts w:ascii="Times New Roman"/>
                <w:sz w:val="18"/>
              </w:rPr>
            </w:pPr>
          </w:p>
        </w:tc>
        <w:tc>
          <w:tcPr>
            <w:tcW w:w="1289" w:type="dxa"/>
            <w:tcBorders>
              <w:top w:val="nil"/>
            </w:tcBorders>
          </w:tcPr>
          <w:p>
            <w:pPr>
              <w:pStyle w:val="TableParagraph"/>
              <w:rPr>
                <w:rFonts w:ascii="Times New Roman"/>
                <w:sz w:val="18"/>
              </w:rPr>
            </w:pPr>
          </w:p>
        </w:tc>
        <w:tc>
          <w:tcPr>
            <w:tcW w:w="1563" w:type="dxa"/>
            <w:tcBorders>
              <w:top w:val="nil"/>
            </w:tcBorders>
          </w:tcPr>
          <w:p>
            <w:pPr>
              <w:pStyle w:val="TableParagraph"/>
              <w:rPr>
                <w:rFonts w:ascii="Times New Roman"/>
                <w:sz w:val="18"/>
              </w:rPr>
            </w:pPr>
          </w:p>
        </w:tc>
        <w:tc>
          <w:tcPr>
            <w:tcW w:w="2535" w:type="dxa"/>
            <w:tcBorders>
              <w:top w:val="nil"/>
            </w:tcBorders>
          </w:tcPr>
          <w:p>
            <w:pPr>
              <w:pStyle w:val="TableParagraph"/>
              <w:spacing w:before="33"/>
              <w:ind w:left="84"/>
              <w:rPr>
                <w:sz w:val="18"/>
              </w:rPr>
            </w:pPr>
            <w:r>
              <w:rPr>
                <w:color w:val="105C84"/>
                <w:sz w:val="18"/>
              </w:rPr>
              <w:t>Data</w:t>
            </w:r>
            <w:r>
              <w:rPr>
                <w:color w:val="105C84"/>
                <w:spacing w:val="-12"/>
                <w:sz w:val="18"/>
              </w:rPr>
              <w:t> </w:t>
            </w:r>
            <w:r>
              <w:rPr>
                <w:color w:val="105C84"/>
                <w:sz w:val="18"/>
              </w:rPr>
              <w:t>Level:</w:t>
            </w:r>
            <w:r>
              <w:rPr>
                <w:color w:val="105C84"/>
                <w:spacing w:val="-11"/>
                <w:sz w:val="18"/>
              </w:rPr>
              <w:t> </w:t>
            </w:r>
            <w:r>
              <w:rPr>
                <w:color w:val="105C84"/>
                <w:sz w:val="18"/>
              </w:rPr>
              <w:t>State</w:t>
            </w:r>
            <w:r>
              <w:rPr>
                <w:color w:val="105C84"/>
                <w:spacing w:val="-11"/>
                <w:sz w:val="18"/>
              </w:rPr>
              <w:t> </w:t>
            </w:r>
            <w:r>
              <w:rPr>
                <w:color w:val="105C84"/>
                <w:sz w:val="18"/>
              </w:rPr>
              <w:t>and</w:t>
            </w:r>
            <w:r>
              <w:rPr>
                <w:color w:val="105C84"/>
                <w:spacing w:val="-11"/>
                <w:sz w:val="18"/>
              </w:rPr>
              <w:t> </w:t>
            </w:r>
            <w:r>
              <w:rPr>
                <w:color w:val="105C84"/>
                <w:spacing w:val="-2"/>
                <w:sz w:val="18"/>
              </w:rPr>
              <w:t>County</w:t>
            </w:r>
          </w:p>
        </w:tc>
        <w:tc>
          <w:tcPr>
            <w:tcW w:w="1239" w:type="dxa"/>
            <w:vMerge/>
            <w:tcBorders>
              <w:top w:val="nil"/>
            </w:tcBorders>
          </w:tcPr>
          <w:p>
            <w:pPr>
              <w:rPr>
                <w:sz w:val="2"/>
                <w:szCs w:val="2"/>
              </w:rPr>
            </w:pPr>
          </w:p>
        </w:tc>
        <w:tc>
          <w:tcPr>
            <w:tcW w:w="3206" w:type="dxa"/>
            <w:vMerge/>
            <w:tcBorders>
              <w:top w:val="nil"/>
              <w:right w:val="nil"/>
            </w:tcBorders>
          </w:tcPr>
          <w:p>
            <w:pPr>
              <w:rPr>
                <w:sz w:val="2"/>
                <w:szCs w:val="2"/>
              </w:rPr>
            </w:pPr>
          </w:p>
        </w:tc>
        <w:tc>
          <w:tcPr>
            <w:tcW w:w="3901" w:type="dxa"/>
            <w:vMerge/>
            <w:tcBorders>
              <w:top w:val="nil"/>
              <w:left w:val="nil"/>
            </w:tcBorders>
          </w:tcPr>
          <w:p>
            <w:pPr>
              <w:rPr>
                <w:sz w:val="2"/>
                <w:szCs w:val="2"/>
              </w:rPr>
            </w:pPr>
          </w:p>
        </w:tc>
        <w:tc>
          <w:tcPr>
            <w:tcW w:w="1851" w:type="dxa"/>
            <w:tcBorders>
              <w:top w:val="nil"/>
            </w:tcBorders>
          </w:tcPr>
          <w:p>
            <w:pPr>
              <w:pStyle w:val="TableParagraph"/>
              <w:rPr>
                <w:rFonts w:ascii="Times New Roman"/>
                <w:sz w:val="18"/>
              </w:rPr>
            </w:pPr>
          </w:p>
        </w:tc>
        <w:tc>
          <w:tcPr>
            <w:tcW w:w="2693" w:type="dxa"/>
            <w:vMerge/>
            <w:tcBorders>
              <w:top w:val="nil"/>
            </w:tcBorders>
          </w:tcPr>
          <w:p>
            <w:pPr>
              <w:rPr>
                <w:sz w:val="2"/>
                <w:szCs w:val="2"/>
              </w:rPr>
            </w:pPr>
          </w:p>
        </w:tc>
        <w:tc>
          <w:tcPr>
            <w:tcW w:w="2630" w:type="dxa"/>
            <w:tcBorders>
              <w:top w:val="nil"/>
            </w:tcBorders>
          </w:tcPr>
          <w:p>
            <w:pPr>
              <w:pStyle w:val="TableParagraph"/>
              <w:rPr>
                <w:rFonts w:ascii="Times New Roman"/>
                <w:sz w:val="18"/>
              </w:rPr>
            </w:pPr>
          </w:p>
        </w:tc>
      </w:tr>
    </w:tbl>
    <w:p>
      <w:pPr>
        <w:pStyle w:val="BodyText"/>
        <w:rPr>
          <w:b/>
          <w:sz w:val="26"/>
        </w:rPr>
      </w:pPr>
    </w:p>
    <w:p>
      <w:pPr>
        <w:pStyle w:val="BodyText"/>
        <w:spacing w:before="155"/>
        <w:rPr>
          <w:b/>
          <w:sz w:val="26"/>
        </w:rPr>
      </w:pPr>
    </w:p>
    <w:p>
      <w:pPr>
        <w:tabs>
          <w:tab w:pos="23047" w:val="left" w:leader="none"/>
        </w:tabs>
        <w:spacing w:before="1"/>
        <w:ind w:left="0" w:right="0" w:firstLine="0"/>
        <w:jc w:val="left"/>
        <w:rPr>
          <w:b/>
          <w:sz w:val="26"/>
        </w:rPr>
      </w:pPr>
      <w:r>
        <w:rPr>
          <w:position w:val="-4"/>
        </w:rPr>
        <w:drawing>
          <wp:inline distT="0" distB="0" distL="0" distR="0">
            <wp:extent cx="568172" cy="184683"/>
            <wp:effectExtent l="0" t="0" r="0" b="0"/>
            <wp:docPr id="1804" name="Image 1804"/>
            <wp:cNvGraphicFramePr>
              <a:graphicFrameLocks/>
            </wp:cNvGraphicFramePr>
            <a:graphic>
              <a:graphicData uri="http://schemas.openxmlformats.org/drawingml/2006/picture">
                <pic:pic>
                  <pic:nvPicPr>
                    <pic:cNvPr id="1804" name="Image 1804"/>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13"/>
          <w:sz w:val="20"/>
        </w:rPr>
        <w:t> </w:t>
      </w:r>
      <w:r>
        <w:rPr>
          <w:b/>
          <w:color w:val="939598"/>
          <w:w w:val="105"/>
          <w:sz w:val="26"/>
        </w:rPr>
        <w:t>143</w:t>
      </w:r>
      <w:r>
        <w:rPr>
          <w:b/>
          <w:color w:val="939598"/>
          <w:sz w:val="26"/>
        </w:rPr>
        <w:tab/>
      </w:r>
      <w:r>
        <w:rPr>
          <w:b/>
          <w:color w:val="939598"/>
          <w:spacing w:val="-5"/>
          <w:w w:val="105"/>
          <w:sz w:val="26"/>
        </w:rPr>
        <w:t>144</w:t>
      </w:r>
    </w:p>
    <w:p>
      <w:pPr>
        <w:spacing w:after="0"/>
        <w:jc w:val="left"/>
        <w:rPr>
          <w:b/>
          <w:sz w:val="26"/>
        </w:rPr>
        <w:sectPr>
          <w:headerReference w:type="default" r:id="rId247"/>
          <w:pgSz w:w="24480" w:h="15840" w:orient="landscape"/>
          <w:pgMar w:header="0" w:footer="0" w:top="860" w:bottom="0" w:left="0" w:right="720"/>
        </w:sectPr>
      </w:pPr>
    </w:p>
    <w:p>
      <w:pPr>
        <w:spacing w:before="607"/>
        <w:ind w:left="1089" w:right="0" w:firstLine="0"/>
        <w:jc w:val="left"/>
        <w:rPr>
          <w:sz w:val="54"/>
        </w:rPr>
      </w:pPr>
      <w:r>
        <w:rPr>
          <w:sz w:val="54"/>
        </w:rPr>
        <w:drawing>
          <wp:anchor distT="0" distB="0" distL="0" distR="0" allowOverlap="1" layoutInCell="1" locked="0" behindDoc="0" simplePos="0" relativeHeight="15944192">
            <wp:simplePos x="0" y="0"/>
            <wp:positionH relativeFrom="page">
              <wp:posOffset>14981556</wp:posOffset>
            </wp:positionH>
            <wp:positionV relativeFrom="page">
              <wp:posOffset>9668103</wp:posOffset>
            </wp:positionV>
            <wp:extent cx="563245" cy="184683"/>
            <wp:effectExtent l="0" t="0" r="0" b="0"/>
            <wp:wrapNone/>
            <wp:docPr id="1805" name="Image 1805"/>
            <wp:cNvGraphicFramePr>
              <a:graphicFrameLocks/>
            </wp:cNvGraphicFramePr>
            <a:graphic>
              <a:graphicData uri="http://schemas.openxmlformats.org/drawingml/2006/picture">
                <pic:pic>
                  <pic:nvPicPr>
                    <pic:cNvPr id="1805" name="Image 1805"/>
                    <pic:cNvPicPr/>
                  </pic:nvPicPr>
                  <pic:blipFill>
                    <a:blip r:embed="rId38" cstate="print"/>
                    <a:stretch>
                      <a:fillRect/>
                    </a:stretch>
                  </pic:blipFill>
                  <pic:spPr>
                    <a:xfrm>
                      <a:off x="0" y="0"/>
                      <a:ext cx="563245" cy="184683"/>
                    </a:xfrm>
                    <a:prstGeom prst="rect">
                      <a:avLst/>
                    </a:prstGeom>
                  </pic:spPr>
                </pic:pic>
              </a:graphicData>
            </a:graphic>
          </wp:anchor>
        </w:drawing>
      </w:r>
      <w:r>
        <w:rPr>
          <w:sz w:val="54"/>
        </w:rPr>
        <w:drawing>
          <wp:anchor distT="0" distB="0" distL="0" distR="0" allowOverlap="1" layoutInCell="1" locked="0" behindDoc="0" simplePos="0" relativeHeight="15944704">
            <wp:simplePos x="0" y="0"/>
            <wp:positionH relativeFrom="page">
              <wp:posOffset>14252733</wp:posOffset>
            </wp:positionH>
            <wp:positionV relativeFrom="paragraph">
              <wp:posOffset>358457</wp:posOffset>
            </wp:positionV>
            <wp:extent cx="588168" cy="615314"/>
            <wp:effectExtent l="0" t="0" r="0" b="0"/>
            <wp:wrapNone/>
            <wp:docPr id="1806" name="Image 1806"/>
            <wp:cNvGraphicFramePr>
              <a:graphicFrameLocks/>
            </wp:cNvGraphicFramePr>
            <a:graphic>
              <a:graphicData uri="http://schemas.openxmlformats.org/drawingml/2006/picture">
                <pic:pic>
                  <pic:nvPicPr>
                    <pic:cNvPr id="1806" name="Image 1806"/>
                    <pic:cNvPicPr/>
                  </pic:nvPicPr>
                  <pic:blipFill>
                    <a:blip r:embed="rId248" cstate="print"/>
                    <a:stretch>
                      <a:fillRect/>
                    </a:stretch>
                  </pic:blipFill>
                  <pic:spPr>
                    <a:xfrm>
                      <a:off x="0" y="0"/>
                      <a:ext cx="588168" cy="615314"/>
                    </a:xfrm>
                    <a:prstGeom prst="rect">
                      <a:avLst/>
                    </a:prstGeom>
                  </pic:spPr>
                </pic:pic>
              </a:graphicData>
            </a:graphic>
          </wp:anchor>
        </w:drawing>
      </w:r>
      <w:r>
        <w:rPr>
          <w:sz w:val="54"/>
        </w:rPr>
        <w:drawing>
          <wp:anchor distT="0" distB="0" distL="0" distR="0" allowOverlap="1" layoutInCell="1" locked="0" behindDoc="0" simplePos="0" relativeHeight="15945216">
            <wp:simplePos x="0" y="0"/>
            <wp:positionH relativeFrom="page">
              <wp:posOffset>9637268</wp:posOffset>
            </wp:positionH>
            <wp:positionV relativeFrom="paragraph">
              <wp:posOffset>365759</wp:posOffset>
            </wp:positionV>
            <wp:extent cx="1013459" cy="346709"/>
            <wp:effectExtent l="0" t="0" r="0" b="0"/>
            <wp:wrapNone/>
            <wp:docPr id="1807" name="Image 1807"/>
            <wp:cNvGraphicFramePr>
              <a:graphicFrameLocks/>
            </wp:cNvGraphicFramePr>
            <a:graphic>
              <a:graphicData uri="http://schemas.openxmlformats.org/drawingml/2006/picture">
                <pic:pic>
                  <pic:nvPicPr>
                    <pic:cNvPr id="1807" name="Image 1807"/>
                    <pic:cNvPicPr/>
                  </pic:nvPicPr>
                  <pic:blipFill>
                    <a:blip r:embed="rId249" cstate="print"/>
                    <a:stretch>
                      <a:fillRect/>
                    </a:stretch>
                  </pic:blipFill>
                  <pic:spPr>
                    <a:xfrm>
                      <a:off x="0" y="0"/>
                      <a:ext cx="1013459" cy="346709"/>
                    </a:xfrm>
                    <a:prstGeom prst="rect">
                      <a:avLst/>
                    </a:prstGeom>
                  </pic:spPr>
                </pic:pic>
              </a:graphicData>
            </a:graphic>
          </wp:anchor>
        </w:drawing>
      </w:r>
      <w:r>
        <w:rPr>
          <w:sz w:val="54"/>
        </w:rPr>
        <w:drawing>
          <wp:anchor distT="0" distB="0" distL="0" distR="0" allowOverlap="1" layoutInCell="1" locked="0" behindDoc="0" simplePos="0" relativeHeight="15945728">
            <wp:simplePos x="0" y="0"/>
            <wp:positionH relativeFrom="page">
              <wp:posOffset>8820404</wp:posOffset>
            </wp:positionH>
            <wp:positionV relativeFrom="paragraph">
              <wp:posOffset>303783</wp:posOffset>
            </wp:positionV>
            <wp:extent cx="680085" cy="626110"/>
            <wp:effectExtent l="0" t="0" r="0" b="0"/>
            <wp:wrapNone/>
            <wp:docPr id="1808" name="Image 1808"/>
            <wp:cNvGraphicFramePr>
              <a:graphicFrameLocks/>
            </wp:cNvGraphicFramePr>
            <a:graphic>
              <a:graphicData uri="http://schemas.openxmlformats.org/drawingml/2006/picture">
                <pic:pic>
                  <pic:nvPicPr>
                    <pic:cNvPr id="1808" name="Image 1808"/>
                    <pic:cNvPicPr/>
                  </pic:nvPicPr>
                  <pic:blipFill>
                    <a:blip r:embed="rId250" cstate="print"/>
                    <a:stretch>
                      <a:fillRect/>
                    </a:stretch>
                  </pic:blipFill>
                  <pic:spPr>
                    <a:xfrm>
                      <a:off x="0" y="0"/>
                      <a:ext cx="680085" cy="626110"/>
                    </a:xfrm>
                    <a:prstGeom prst="rect">
                      <a:avLst/>
                    </a:prstGeom>
                  </pic:spPr>
                </pic:pic>
              </a:graphicData>
            </a:graphic>
          </wp:anchor>
        </w:drawing>
      </w:r>
      <w:r>
        <w:rPr>
          <w:sz w:val="54"/>
        </w:rPr>
        <w:drawing>
          <wp:anchor distT="0" distB="0" distL="0" distR="0" allowOverlap="1" layoutInCell="1" locked="0" behindDoc="0" simplePos="0" relativeHeight="15946240">
            <wp:simplePos x="0" y="0"/>
            <wp:positionH relativeFrom="page">
              <wp:posOffset>12660794</wp:posOffset>
            </wp:positionH>
            <wp:positionV relativeFrom="paragraph">
              <wp:posOffset>292608</wp:posOffset>
            </wp:positionV>
            <wp:extent cx="1542007" cy="459636"/>
            <wp:effectExtent l="0" t="0" r="0" b="0"/>
            <wp:wrapNone/>
            <wp:docPr id="1809" name="Image 1809"/>
            <wp:cNvGraphicFramePr>
              <a:graphicFrameLocks/>
            </wp:cNvGraphicFramePr>
            <a:graphic>
              <a:graphicData uri="http://schemas.openxmlformats.org/drawingml/2006/picture">
                <pic:pic>
                  <pic:nvPicPr>
                    <pic:cNvPr id="1809" name="Image 1809"/>
                    <pic:cNvPicPr/>
                  </pic:nvPicPr>
                  <pic:blipFill>
                    <a:blip r:embed="rId251" cstate="print"/>
                    <a:stretch>
                      <a:fillRect/>
                    </a:stretch>
                  </pic:blipFill>
                  <pic:spPr>
                    <a:xfrm>
                      <a:off x="0" y="0"/>
                      <a:ext cx="1542007" cy="459636"/>
                    </a:xfrm>
                    <a:prstGeom prst="rect">
                      <a:avLst/>
                    </a:prstGeom>
                  </pic:spPr>
                </pic:pic>
              </a:graphicData>
            </a:graphic>
          </wp:anchor>
        </w:drawing>
      </w:r>
      <w:r>
        <w:rPr>
          <w:sz w:val="54"/>
        </w:rPr>
        <w:drawing>
          <wp:anchor distT="0" distB="0" distL="0" distR="0" allowOverlap="1" layoutInCell="1" locked="0" behindDoc="0" simplePos="0" relativeHeight="15946752">
            <wp:simplePos x="0" y="0"/>
            <wp:positionH relativeFrom="page">
              <wp:posOffset>10819383</wp:posOffset>
            </wp:positionH>
            <wp:positionV relativeFrom="paragraph">
              <wp:posOffset>365759</wp:posOffset>
            </wp:positionV>
            <wp:extent cx="1724393" cy="297788"/>
            <wp:effectExtent l="0" t="0" r="0" b="0"/>
            <wp:wrapNone/>
            <wp:docPr id="1810" name="Image 1810"/>
            <wp:cNvGraphicFramePr>
              <a:graphicFrameLocks/>
            </wp:cNvGraphicFramePr>
            <a:graphic>
              <a:graphicData uri="http://schemas.openxmlformats.org/drawingml/2006/picture">
                <pic:pic>
                  <pic:nvPicPr>
                    <pic:cNvPr id="1810" name="Image 1810"/>
                    <pic:cNvPicPr/>
                  </pic:nvPicPr>
                  <pic:blipFill>
                    <a:blip r:embed="rId252" cstate="print"/>
                    <a:stretch>
                      <a:fillRect/>
                    </a:stretch>
                  </pic:blipFill>
                  <pic:spPr>
                    <a:xfrm>
                      <a:off x="0" y="0"/>
                      <a:ext cx="1724393" cy="297788"/>
                    </a:xfrm>
                    <a:prstGeom prst="rect">
                      <a:avLst/>
                    </a:prstGeom>
                  </pic:spPr>
                </pic:pic>
              </a:graphicData>
            </a:graphic>
          </wp:anchor>
        </w:drawing>
      </w:r>
      <w:r>
        <w:rPr>
          <w:color w:val="636466"/>
          <w:w w:val="105"/>
          <w:sz w:val="54"/>
        </w:rPr>
        <w:t>Ontario</w:t>
      </w:r>
      <w:r>
        <w:rPr>
          <w:color w:val="636466"/>
          <w:spacing w:val="-13"/>
          <w:w w:val="105"/>
          <w:sz w:val="54"/>
        </w:rPr>
        <w:t> </w:t>
      </w:r>
      <w:r>
        <w:rPr>
          <w:color w:val="636466"/>
          <w:w w:val="105"/>
          <w:sz w:val="54"/>
        </w:rPr>
        <w:t>County</w:t>
      </w:r>
      <w:r>
        <w:rPr>
          <w:color w:val="636466"/>
          <w:spacing w:val="-14"/>
          <w:w w:val="105"/>
          <w:sz w:val="54"/>
        </w:rPr>
        <w:t> </w:t>
      </w:r>
      <w:r>
        <w:rPr>
          <w:color w:val="636466"/>
          <w:w w:val="105"/>
          <w:sz w:val="54"/>
        </w:rPr>
        <w:t>Appendix</w:t>
      </w:r>
      <w:r>
        <w:rPr>
          <w:color w:val="636466"/>
          <w:spacing w:val="-13"/>
          <w:w w:val="105"/>
          <w:sz w:val="54"/>
        </w:rPr>
        <w:t> </w:t>
      </w:r>
      <w:r>
        <w:rPr>
          <w:color w:val="636466"/>
          <w:spacing w:val="-10"/>
          <w:w w:val="105"/>
          <w:sz w:val="54"/>
        </w:rPr>
        <w:t>C</w:t>
      </w:r>
    </w:p>
    <w:p>
      <w:pPr>
        <w:spacing w:before="235"/>
        <w:ind w:left="1089" w:right="0" w:firstLine="0"/>
        <w:jc w:val="left"/>
        <w:rPr>
          <w:b/>
          <w:sz w:val="32"/>
        </w:rPr>
      </w:pPr>
      <w:r>
        <w:rPr>
          <w:b/>
          <w:color w:val="82BF6A"/>
          <w:spacing w:val="-6"/>
          <w:sz w:val="32"/>
        </w:rPr>
        <w:t>PRIORITY:</w:t>
      </w:r>
      <w:r>
        <w:rPr>
          <w:b/>
          <w:color w:val="82BF6A"/>
          <w:spacing w:val="-13"/>
          <w:sz w:val="32"/>
        </w:rPr>
        <w:t> </w:t>
      </w:r>
      <w:r>
        <w:rPr>
          <w:b/>
          <w:color w:val="82BF6A"/>
          <w:spacing w:val="-6"/>
          <w:sz w:val="32"/>
        </w:rPr>
        <w:t>PREVENT</w:t>
      </w:r>
      <w:r>
        <w:rPr>
          <w:b/>
          <w:color w:val="82BF6A"/>
          <w:spacing w:val="-13"/>
          <w:sz w:val="32"/>
        </w:rPr>
        <w:t> </w:t>
      </w:r>
      <w:r>
        <w:rPr>
          <w:b/>
          <w:color w:val="82BF6A"/>
          <w:spacing w:val="-6"/>
          <w:sz w:val="32"/>
        </w:rPr>
        <w:t>CHRONIC</w:t>
      </w:r>
      <w:r>
        <w:rPr>
          <w:b/>
          <w:color w:val="82BF6A"/>
          <w:spacing w:val="-13"/>
          <w:sz w:val="32"/>
        </w:rPr>
        <w:t> </w:t>
      </w:r>
      <w:r>
        <w:rPr>
          <w:b/>
          <w:color w:val="82BF6A"/>
          <w:spacing w:val="-6"/>
          <w:sz w:val="32"/>
        </w:rPr>
        <w:t>DISEASES</w:t>
      </w:r>
    </w:p>
    <w:p>
      <w:pPr>
        <w:pStyle w:val="BodyText"/>
        <w:spacing w:before="8"/>
        <w:rPr>
          <w:b/>
          <w:sz w:val="16"/>
        </w:rPr>
      </w:pPr>
    </w:p>
    <w:tbl>
      <w:tblPr>
        <w:tblW w:w="0" w:type="auto"/>
        <w:jc w:val="left"/>
        <w:tblInd w:w="1099"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1353"/>
        <w:gridCol w:w="1289"/>
        <w:gridCol w:w="1563"/>
        <w:gridCol w:w="2535"/>
        <w:gridCol w:w="1268"/>
        <w:gridCol w:w="3189"/>
        <w:gridCol w:w="3884"/>
        <w:gridCol w:w="1852"/>
        <w:gridCol w:w="2694"/>
        <w:gridCol w:w="2631"/>
      </w:tblGrid>
      <w:tr>
        <w:trPr>
          <w:trHeight w:val="770" w:hRule="atLeast"/>
        </w:trPr>
        <w:tc>
          <w:tcPr>
            <w:tcW w:w="1353" w:type="dxa"/>
            <w:tcBorders>
              <w:right w:val="single" w:sz="4" w:space="0" w:color="FFFFFF"/>
            </w:tcBorders>
            <w:shd w:val="clear" w:color="auto" w:fill="A7A9AC"/>
          </w:tcPr>
          <w:p>
            <w:pPr>
              <w:pStyle w:val="TableParagraph"/>
              <w:spacing w:before="67"/>
              <w:rPr>
                <w:b/>
                <w:sz w:val="20"/>
              </w:rPr>
            </w:pPr>
          </w:p>
          <w:p>
            <w:pPr>
              <w:pStyle w:val="TableParagraph"/>
              <w:ind w:left="80"/>
              <w:rPr>
                <w:b/>
                <w:sz w:val="20"/>
              </w:rPr>
            </w:pPr>
            <w:r>
              <w:rPr>
                <w:b/>
                <w:color w:val="FFFFFF"/>
                <w:spacing w:val="-2"/>
                <w:sz w:val="20"/>
              </w:rPr>
              <w:t>Priority</w:t>
            </w:r>
          </w:p>
        </w:tc>
        <w:tc>
          <w:tcPr>
            <w:tcW w:w="1289" w:type="dxa"/>
            <w:tcBorders>
              <w:left w:val="single" w:sz="4" w:space="0" w:color="FFFFFF"/>
              <w:right w:val="single" w:sz="4" w:space="0" w:color="FFFFFF"/>
            </w:tcBorders>
            <w:shd w:val="clear" w:color="auto" w:fill="A7A9AC"/>
          </w:tcPr>
          <w:p>
            <w:pPr>
              <w:pStyle w:val="TableParagraph"/>
              <w:spacing w:before="67"/>
              <w:rPr>
                <w:b/>
                <w:sz w:val="20"/>
              </w:rPr>
            </w:pPr>
          </w:p>
          <w:p>
            <w:pPr>
              <w:pStyle w:val="TableParagraph"/>
              <w:ind w:left="80"/>
              <w:rPr>
                <w:b/>
                <w:sz w:val="20"/>
              </w:rPr>
            </w:pPr>
            <w:r>
              <w:rPr>
                <w:b/>
                <w:color w:val="FFFFFF"/>
                <w:w w:val="90"/>
                <w:sz w:val="20"/>
              </w:rPr>
              <w:t>Focus</w:t>
            </w:r>
            <w:r>
              <w:rPr>
                <w:b/>
                <w:color w:val="FFFFFF"/>
                <w:spacing w:val="8"/>
                <w:sz w:val="20"/>
              </w:rPr>
              <w:t> </w:t>
            </w:r>
            <w:r>
              <w:rPr>
                <w:b/>
                <w:color w:val="FFFFFF"/>
                <w:spacing w:val="-4"/>
                <w:sz w:val="20"/>
              </w:rPr>
              <w:t>Area</w:t>
            </w:r>
          </w:p>
        </w:tc>
        <w:tc>
          <w:tcPr>
            <w:tcW w:w="1563" w:type="dxa"/>
            <w:tcBorders>
              <w:left w:val="single" w:sz="4" w:space="0" w:color="FFFFFF"/>
              <w:right w:val="single" w:sz="4" w:space="0" w:color="FFFFFF"/>
            </w:tcBorders>
            <w:shd w:val="clear" w:color="auto" w:fill="A7A9AC"/>
          </w:tcPr>
          <w:p>
            <w:pPr>
              <w:pStyle w:val="TableParagraph"/>
              <w:spacing w:line="230" w:lineRule="auto" w:before="195"/>
              <w:ind w:left="79" w:right="74"/>
              <w:rPr>
                <w:b/>
                <w:sz w:val="20"/>
              </w:rPr>
            </w:pPr>
            <w:r>
              <w:rPr>
                <w:b/>
                <w:color w:val="FFFFFF"/>
                <w:spacing w:val="-8"/>
                <w:sz w:val="20"/>
              </w:rPr>
              <w:t>Goal</w:t>
            </w:r>
            <w:r>
              <w:rPr>
                <w:b/>
                <w:color w:val="FFFFFF"/>
                <w:spacing w:val="-6"/>
                <w:sz w:val="20"/>
              </w:rPr>
              <w:t> </w:t>
            </w:r>
            <w:r>
              <w:rPr>
                <w:b/>
                <w:color w:val="FFFFFF"/>
                <w:spacing w:val="-8"/>
                <w:sz w:val="20"/>
              </w:rPr>
              <w:t>Focus </w:t>
            </w:r>
            <w:r>
              <w:rPr>
                <w:b/>
                <w:color w:val="FFFFFF"/>
                <w:spacing w:val="-4"/>
                <w:sz w:val="20"/>
              </w:rPr>
              <w:t>Area</w:t>
            </w:r>
          </w:p>
        </w:tc>
        <w:tc>
          <w:tcPr>
            <w:tcW w:w="2535" w:type="dxa"/>
            <w:tcBorders>
              <w:left w:val="single" w:sz="4" w:space="0" w:color="FFFFFF"/>
              <w:right w:val="single" w:sz="4" w:space="0" w:color="FFFFFF"/>
            </w:tcBorders>
            <w:shd w:val="clear" w:color="auto" w:fill="A7A9AC"/>
          </w:tcPr>
          <w:p>
            <w:pPr>
              <w:pStyle w:val="TableParagraph"/>
              <w:spacing w:before="67"/>
              <w:rPr>
                <w:b/>
                <w:sz w:val="20"/>
              </w:rPr>
            </w:pPr>
          </w:p>
          <w:p>
            <w:pPr>
              <w:pStyle w:val="TableParagraph"/>
              <w:ind w:left="79"/>
              <w:rPr>
                <w:b/>
                <w:sz w:val="20"/>
              </w:rPr>
            </w:pPr>
            <w:r>
              <w:rPr>
                <w:b/>
                <w:color w:val="FFFFFF"/>
                <w:spacing w:val="-2"/>
                <w:sz w:val="20"/>
              </w:rPr>
              <w:t>Objectives</w:t>
            </w:r>
          </w:p>
        </w:tc>
        <w:tc>
          <w:tcPr>
            <w:tcW w:w="1268" w:type="dxa"/>
            <w:tcBorders>
              <w:left w:val="single" w:sz="4" w:space="0" w:color="FFFFFF"/>
              <w:right w:val="single" w:sz="4" w:space="0" w:color="FFFFFF"/>
            </w:tcBorders>
            <w:shd w:val="clear" w:color="auto" w:fill="A7A9AC"/>
          </w:tcPr>
          <w:p>
            <w:pPr>
              <w:pStyle w:val="TableParagraph"/>
              <w:spacing w:before="67"/>
              <w:rPr>
                <w:b/>
                <w:sz w:val="20"/>
              </w:rPr>
            </w:pPr>
          </w:p>
          <w:p>
            <w:pPr>
              <w:pStyle w:val="TableParagraph"/>
              <w:ind w:left="78"/>
              <w:rPr>
                <w:b/>
                <w:sz w:val="20"/>
              </w:rPr>
            </w:pPr>
            <w:r>
              <w:rPr>
                <w:b/>
                <w:color w:val="FFFFFF"/>
                <w:spacing w:val="-2"/>
                <w:sz w:val="20"/>
              </w:rPr>
              <w:t>Disparities</w:t>
            </w:r>
          </w:p>
        </w:tc>
        <w:tc>
          <w:tcPr>
            <w:tcW w:w="3189" w:type="dxa"/>
            <w:tcBorders>
              <w:left w:val="single" w:sz="4" w:space="0" w:color="FFFFFF"/>
              <w:right w:val="nil"/>
            </w:tcBorders>
            <w:shd w:val="clear" w:color="auto" w:fill="A7A9AC"/>
          </w:tcPr>
          <w:p>
            <w:pPr>
              <w:pStyle w:val="TableParagraph"/>
              <w:spacing w:before="67"/>
              <w:rPr>
                <w:b/>
                <w:sz w:val="20"/>
              </w:rPr>
            </w:pPr>
          </w:p>
          <w:p>
            <w:pPr>
              <w:pStyle w:val="TableParagraph"/>
              <w:ind w:left="77"/>
              <w:rPr>
                <w:b/>
                <w:sz w:val="20"/>
              </w:rPr>
            </w:pPr>
            <w:r>
              <w:rPr>
                <w:b/>
                <w:color w:val="FFFFFF"/>
                <w:spacing w:val="-2"/>
                <w:sz w:val="20"/>
              </w:rPr>
              <w:t>Interventions</w:t>
            </w:r>
          </w:p>
        </w:tc>
        <w:tc>
          <w:tcPr>
            <w:tcW w:w="3884" w:type="dxa"/>
            <w:tcBorders>
              <w:left w:val="nil"/>
              <w:right w:val="single" w:sz="4" w:space="0" w:color="FFFFFF"/>
            </w:tcBorders>
            <w:shd w:val="clear" w:color="auto" w:fill="A7A9AC"/>
          </w:tcPr>
          <w:p>
            <w:pPr>
              <w:pStyle w:val="TableParagraph"/>
              <w:spacing w:before="67"/>
              <w:rPr>
                <w:b/>
                <w:sz w:val="20"/>
              </w:rPr>
            </w:pPr>
          </w:p>
          <w:p>
            <w:pPr>
              <w:pStyle w:val="TableParagraph"/>
              <w:ind w:left="1137"/>
              <w:rPr>
                <w:b/>
                <w:sz w:val="20"/>
              </w:rPr>
            </w:pPr>
            <w:r>
              <w:rPr>
                <w:b/>
                <w:color w:val="FFFFFF"/>
                <w:sz w:val="20"/>
              </w:rPr>
              <w:t>Family</w:t>
            </w:r>
            <w:r>
              <w:rPr>
                <w:b/>
                <w:color w:val="FFFFFF"/>
                <w:spacing w:val="-12"/>
                <w:sz w:val="20"/>
              </w:rPr>
              <w:t> </w:t>
            </w:r>
            <w:r>
              <w:rPr>
                <w:b/>
                <w:color w:val="FFFFFF"/>
                <w:sz w:val="20"/>
              </w:rPr>
              <w:t>of</w:t>
            </w:r>
            <w:r>
              <w:rPr>
                <w:b/>
                <w:color w:val="FFFFFF"/>
                <w:spacing w:val="-12"/>
                <w:sz w:val="20"/>
              </w:rPr>
              <w:t> </w:t>
            </w:r>
            <w:r>
              <w:rPr>
                <w:b/>
                <w:color w:val="FFFFFF"/>
                <w:spacing w:val="-2"/>
                <w:sz w:val="20"/>
              </w:rPr>
              <w:t>Measures</w:t>
            </w:r>
          </w:p>
        </w:tc>
        <w:tc>
          <w:tcPr>
            <w:tcW w:w="1852" w:type="dxa"/>
            <w:tcBorders>
              <w:left w:val="single" w:sz="4" w:space="0" w:color="FFFFFF"/>
              <w:right w:val="single" w:sz="4" w:space="0" w:color="FFFFFF"/>
            </w:tcBorders>
            <w:shd w:val="clear" w:color="auto" w:fill="A7A9AC"/>
          </w:tcPr>
          <w:p>
            <w:pPr>
              <w:pStyle w:val="TableParagraph"/>
              <w:spacing w:line="230" w:lineRule="auto" w:before="195"/>
              <w:ind w:left="85"/>
              <w:rPr>
                <w:b/>
                <w:sz w:val="20"/>
              </w:rPr>
            </w:pPr>
            <w:r>
              <w:rPr>
                <w:b/>
                <w:color w:val="FFFFFF"/>
                <w:spacing w:val="-2"/>
                <w:sz w:val="20"/>
              </w:rPr>
              <w:t>Implementation Partner</w:t>
            </w:r>
          </w:p>
        </w:tc>
        <w:tc>
          <w:tcPr>
            <w:tcW w:w="2694" w:type="dxa"/>
            <w:tcBorders>
              <w:left w:val="single" w:sz="4" w:space="0" w:color="FFFFFF"/>
              <w:right w:val="single" w:sz="4" w:space="0" w:color="FFFFFF"/>
            </w:tcBorders>
            <w:shd w:val="clear" w:color="auto" w:fill="A7A9AC"/>
          </w:tcPr>
          <w:p>
            <w:pPr>
              <w:pStyle w:val="TableParagraph"/>
              <w:spacing w:before="67"/>
              <w:rPr>
                <w:b/>
                <w:sz w:val="20"/>
              </w:rPr>
            </w:pPr>
          </w:p>
          <w:p>
            <w:pPr>
              <w:pStyle w:val="TableParagraph"/>
              <w:ind w:left="73"/>
              <w:rPr>
                <w:b/>
                <w:sz w:val="20"/>
              </w:rPr>
            </w:pPr>
            <w:r>
              <w:rPr>
                <w:b/>
                <w:color w:val="FFFFFF"/>
                <w:sz w:val="20"/>
              </w:rPr>
              <w:t>Partner</w:t>
            </w:r>
            <w:r>
              <w:rPr>
                <w:b/>
                <w:color w:val="FFFFFF"/>
                <w:spacing w:val="-13"/>
                <w:sz w:val="20"/>
              </w:rPr>
              <w:t> </w:t>
            </w:r>
            <w:r>
              <w:rPr>
                <w:b/>
                <w:color w:val="FFFFFF"/>
                <w:spacing w:val="-2"/>
                <w:sz w:val="20"/>
              </w:rPr>
              <w:t>Roles</w:t>
            </w:r>
          </w:p>
        </w:tc>
        <w:tc>
          <w:tcPr>
            <w:tcW w:w="2631" w:type="dxa"/>
            <w:tcBorders>
              <w:left w:val="single" w:sz="4" w:space="0" w:color="FFFFFF"/>
              <w:right w:val="single" w:sz="4" w:space="0" w:color="FFFFFF"/>
            </w:tcBorders>
            <w:shd w:val="clear" w:color="auto" w:fill="A7A9AC"/>
          </w:tcPr>
          <w:p>
            <w:pPr>
              <w:pStyle w:val="TableParagraph"/>
              <w:spacing w:before="67"/>
              <w:rPr>
                <w:b/>
                <w:sz w:val="20"/>
              </w:rPr>
            </w:pPr>
          </w:p>
          <w:p>
            <w:pPr>
              <w:pStyle w:val="TableParagraph"/>
              <w:ind w:left="72"/>
              <w:rPr>
                <w:b/>
                <w:sz w:val="20"/>
              </w:rPr>
            </w:pPr>
            <w:r>
              <w:rPr>
                <w:b/>
                <w:color w:val="FFFFFF"/>
                <w:sz w:val="20"/>
              </w:rPr>
              <w:t>Partner</w:t>
            </w:r>
            <w:r>
              <w:rPr>
                <w:b/>
                <w:color w:val="FFFFFF"/>
                <w:spacing w:val="-13"/>
                <w:sz w:val="20"/>
              </w:rPr>
              <w:t> </w:t>
            </w:r>
            <w:r>
              <w:rPr>
                <w:b/>
                <w:color w:val="FFFFFF"/>
                <w:spacing w:val="-2"/>
                <w:sz w:val="20"/>
              </w:rPr>
              <w:t>Resources</w:t>
            </w:r>
          </w:p>
        </w:tc>
      </w:tr>
      <w:tr>
        <w:trPr>
          <w:trHeight w:val="2420" w:hRule="atLeast"/>
        </w:trPr>
        <w:tc>
          <w:tcPr>
            <w:tcW w:w="1353" w:type="dxa"/>
            <w:vMerge w:val="restart"/>
            <w:tcBorders>
              <w:bottom w:val="nil"/>
            </w:tcBorders>
            <w:shd w:val="clear" w:color="auto" w:fill="E6E7E8"/>
          </w:tcPr>
          <w:p>
            <w:pPr>
              <w:pStyle w:val="TableParagraph"/>
              <w:spacing w:line="232" w:lineRule="auto" w:before="101"/>
              <w:ind w:left="90" w:right="536"/>
              <w:jc w:val="both"/>
              <w:rPr>
                <w:sz w:val="18"/>
              </w:rPr>
            </w:pPr>
            <w:r>
              <w:rPr>
                <w:color w:val="105C84"/>
                <w:spacing w:val="-2"/>
                <w:sz w:val="18"/>
              </w:rPr>
              <w:t>Prevent Chronic </w:t>
            </w:r>
            <w:r>
              <w:rPr>
                <w:color w:val="105C84"/>
                <w:spacing w:val="-6"/>
                <w:sz w:val="18"/>
              </w:rPr>
              <w:t>Diseases</w:t>
            </w:r>
          </w:p>
        </w:tc>
        <w:tc>
          <w:tcPr>
            <w:tcW w:w="1289" w:type="dxa"/>
            <w:vMerge w:val="restart"/>
            <w:tcBorders>
              <w:bottom w:val="nil"/>
            </w:tcBorders>
          </w:tcPr>
          <w:p>
            <w:pPr>
              <w:pStyle w:val="TableParagraph"/>
              <w:spacing w:line="232" w:lineRule="auto" w:before="101"/>
              <w:ind w:left="90" w:right="82"/>
              <w:rPr>
                <w:sz w:val="18"/>
              </w:rPr>
            </w:pPr>
            <w:r>
              <w:rPr>
                <w:color w:val="105C84"/>
                <w:sz w:val="18"/>
              </w:rPr>
              <w:t>Focus</w:t>
            </w:r>
            <w:r>
              <w:rPr>
                <w:color w:val="105C84"/>
                <w:spacing w:val="-15"/>
                <w:sz w:val="18"/>
              </w:rPr>
              <w:t> </w:t>
            </w:r>
            <w:r>
              <w:rPr>
                <w:color w:val="105C84"/>
                <w:sz w:val="18"/>
              </w:rPr>
              <w:t>Area</w:t>
            </w:r>
            <w:r>
              <w:rPr>
                <w:color w:val="105C84"/>
                <w:spacing w:val="-12"/>
                <w:sz w:val="18"/>
              </w:rPr>
              <w:t> </w:t>
            </w:r>
            <w:r>
              <w:rPr>
                <w:color w:val="105C84"/>
                <w:sz w:val="18"/>
              </w:rPr>
              <w:t>1: </w:t>
            </w:r>
            <w:r>
              <w:rPr>
                <w:color w:val="105C84"/>
                <w:spacing w:val="-2"/>
                <w:sz w:val="18"/>
              </w:rPr>
              <w:t>Healthy </w:t>
            </w:r>
            <w:r>
              <w:rPr>
                <w:color w:val="105C84"/>
                <w:sz w:val="18"/>
              </w:rPr>
              <w:t>Eating &amp;</w:t>
            </w:r>
            <w:r>
              <w:rPr>
                <w:color w:val="105C84"/>
                <w:spacing w:val="40"/>
                <w:sz w:val="18"/>
              </w:rPr>
              <w:t> </w:t>
            </w:r>
            <w:r>
              <w:rPr>
                <w:color w:val="105C84"/>
                <w:spacing w:val="-2"/>
                <w:sz w:val="18"/>
              </w:rPr>
              <w:t>Food</w:t>
            </w:r>
            <w:r>
              <w:rPr>
                <w:color w:val="105C84"/>
                <w:spacing w:val="-11"/>
                <w:sz w:val="18"/>
              </w:rPr>
              <w:t> </w:t>
            </w:r>
            <w:r>
              <w:rPr>
                <w:color w:val="105C84"/>
                <w:spacing w:val="-2"/>
                <w:sz w:val="18"/>
              </w:rPr>
              <w:t>Security</w:t>
            </w:r>
          </w:p>
        </w:tc>
        <w:tc>
          <w:tcPr>
            <w:tcW w:w="1563" w:type="dxa"/>
            <w:vMerge w:val="restart"/>
            <w:tcBorders>
              <w:bottom w:val="nil"/>
            </w:tcBorders>
          </w:tcPr>
          <w:p>
            <w:pPr>
              <w:pStyle w:val="TableParagraph"/>
              <w:spacing w:line="232" w:lineRule="auto" w:before="101"/>
              <w:ind w:left="90" w:right="74"/>
              <w:rPr>
                <w:sz w:val="18"/>
              </w:rPr>
            </w:pPr>
            <w:r>
              <w:rPr>
                <w:color w:val="105C84"/>
                <w:sz w:val="18"/>
              </w:rPr>
              <w:t>Goal 1.1: Increase</w:t>
            </w:r>
            <w:r>
              <w:rPr>
                <w:color w:val="105C84"/>
                <w:spacing w:val="-13"/>
                <w:sz w:val="18"/>
              </w:rPr>
              <w:t> </w:t>
            </w:r>
            <w:r>
              <w:rPr>
                <w:color w:val="105C84"/>
                <w:sz w:val="18"/>
              </w:rPr>
              <w:t>access to healthy and affordable</w:t>
            </w:r>
            <w:r>
              <w:rPr>
                <w:color w:val="105C84"/>
                <w:spacing w:val="-12"/>
                <w:sz w:val="18"/>
              </w:rPr>
              <w:t> </w:t>
            </w:r>
            <w:r>
              <w:rPr>
                <w:color w:val="105C84"/>
                <w:sz w:val="18"/>
              </w:rPr>
              <w:t>foods and beverages</w:t>
            </w:r>
          </w:p>
        </w:tc>
        <w:tc>
          <w:tcPr>
            <w:tcW w:w="2535" w:type="dxa"/>
          </w:tcPr>
          <w:p>
            <w:pPr>
              <w:pStyle w:val="TableParagraph"/>
              <w:spacing w:line="232" w:lineRule="auto" w:before="101"/>
              <w:ind w:left="89" w:right="132"/>
              <w:rPr>
                <w:sz w:val="18"/>
              </w:rPr>
            </w:pPr>
            <w:r>
              <w:rPr>
                <w:color w:val="105C84"/>
                <w:sz w:val="18"/>
              </w:rPr>
              <w:t>1.2</w:t>
            </w:r>
            <w:r>
              <w:rPr>
                <w:color w:val="105C84"/>
                <w:spacing w:val="-13"/>
                <w:sz w:val="18"/>
              </w:rPr>
              <w:t> </w:t>
            </w:r>
            <w:r>
              <w:rPr>
                <w:color w:val="105C84"/>
                <w:sz w:val="18"/>
              </w:rPr>
              <w:t>Decrease</w:t>
            </w:r>
            <w:r>
              <w:rPr>
                <w:color w:val="105C84"/>
                <w:spacing w:val="-12"/>
                <w:sz w:val="18"/>
              </w:rPr>
              <w:t> </w:t>
            </w:r>
            <w:r>
              <w:rPr>
                <w:color w:val="105C84"/>
                <w:sz w:val="18"/>
              </w:rPr>
              <w:t>the</w:t>
            </w:r>
            <w:r>
              <w:rPr>
                <w:color w:val="105C84"/>
                <w:spacing w:val="-13"/>
                <w:sz w:val="18"/>
              </w:rPr>
              <w:t> </w:t>
            </w:r>
            <w:r>
              <w:rPr>
                <w:color w:val="105C84"/>
                <w:sz w:val="18"/>
              </w:rPr>
              <w:t>percentage</w:t>
            </w:r>
            <w:r>
              <w:rPr>
                <w:color w:val="105C84"/>
                <w:sz w:val="18"/>
              </w:rPr>
              <w:t> of children with obesity (among public school students</w:t>
            </w:r>
            <w:r>
              <w:rPr>
                <w:color w:val="105C84"/>
                <w:spacing w:val="-5"/>
                <w:sz w:val="18"/>
              </w:rPr>
              <w:t> </w:t>
            </w:r>
            <w:r>
              <w:rPr>
                <w:color w:val="105C84"/>
                <w:sz w:val="18"/>
              </w:rPr>
              <w:t>in</w:t>
            </w:r>
            <w:r>
              <w:rPr>
                <w:color w:val="105C84"/>
                <w:spacing w:val="-5"/>
                <w:sz w:val="18"/>
              </w:rPr>
              <w:t> </w:t>
            </w:r>
            <w:r>
              <w:rPr>
                <w:color w:val="105C84"/>
                <w:sz w:val="18"/>
              </w:rPr>
              <w:t>NYS</w:t>
            </w:r>
            <w:r>
              <w:rPr>
                <w:color w:val="105C84"/>
                <w:spacing w:val="-5"/>
                <w:sz w:val="18"/>
              </w:rPr>
              <w:t> </w:t>
            </w:r>
            <w:r>
              <w:rPr>
                <w:color w:val="105C84"/>
                <w:sz w:val="18"/>
              </w:rPr>
              <w:t>exclusive</w:t>
            </w:r>
            <w:r>
              <w:rPr>
                <w:color w:val="105C84"/>
                <w:spacing w:val="-5"/>
                <w:sz w:val="18"/>
              </w:rPr>
              <w:t> </w:t>
            </w:r>
            <w:r>
              <w:rPr>
                <w:color w:val="105C84"/>
                <w:sz w:val="18"/>
              </w:rPr>
              <w:t>of </w:t>
            </w:r>
            <w:r>
              <w:rPr>
                <w:color w:val="105C84"/>
                <w:spacing w:val="-4"/>
                <w:sz w:val="18"/>
              </w:rPr>
              <w:t>NYC)</w:t>
            </w:r>
          </w:p>
          <w:p>
            <w:pPr>
              <w:pStyle w:val="TableParagraph"/>
              <w:spacing w:line="203" w:lineRule="exact" w:before="81"/>
              <w:ind w:left="89"/>
              <w:rPr>
                <w:sz w:val="18"/>
              </w:rPr>
            </w:pPr>
            <w:r>
              <w:rPr>
                <w:color w:val="105C84"/>
                <w:spacing w:val="-4"/>
                <w:sz w:val="18"/>
              </w:rPr>
              <w:t>Target:</w:t>
            </w:r>
            <w:r>
              <w:rPr>
                <w:color w:val="105C84"/>
                <w:spacing w:val="-7"/>
                <w:sz w:val="18"/>
              </w:rPr>
              <w:t> </w:t>
            </w:r>
            <w:r>
              <w:rPr>
                <w:color w:val="105C84"/>
                <w:spacing w:val="-4"/>
                <w:sz w:val="18"/>
              </w:rPr>
              <w:t>16.4%</w:t>
            </w:r>
            <w:r>
              <w:rPr>
                <w:color w:val="105C84"/>
                <w:spacing w:val="37"/>
                <w:sz w:val="18"/>
              </w:rPr>
              <w:t> </w:t>
            </w:r>
            <w:r>
              <w:rPr>
                <w:color w:val="105C84"/>
                <w:spacing w:val="-4"/>
                <w:sz w:val="18"/>
              </w:rPr>
              <w:t>Baseline</w:t>
            </w:r>
            <w:r>
              <w:rPr>
                <w:color w:val="105C84"/>
                <w:spacing w:val="-7"/>
                <w:sz w:val="18"/>
              </w:rPr>
              <w:t> </w:t>
            </w:r>
            <w:r>
              <w:rPr>
                <w:color w:val="105C84"/>
                <w:spacing w:val="-4"/>
                <w:sz w:val="18"/>
              </w:rPr>
              <w:t>17.3%</w:t>
            </w:r>
          </w:p>
          <w:p>
            <w:pPr>
              <w:pStyle w:val="TableParagraph"/>
              <w:spacing w:line="203" w:lineRule="exact"/>
              <w:ind w:left="89"/>
              <w:rPr>
                <w:sz w:val="18"/>
              </w:rPr>
            </w:pPr>
            <w:r>
              <w:rPr>
                <w:color w:val="105C84"/>
                <w:w w:val="90"/>
                <w:sz w:val="18"/>
              </w:rPr>
              <w:t>(2014-</w:t>
            </w:r>
            <w:r>
              <w:rPr>
                <w:color w:val="105C84"/>
                <w:spacing w:val="-5"/>
                <w:sz w:val="18"/>
              </w:rPr>
              <w:t>16)</w:t>
            </w:r>
          </w:p>
          <w:p>
            <w:pPr>
              <w:pStyle w:val="TableParagraph"/>
              <w:spacing w:before="83"/>
              <w:ind w:left="89"/>
              <w:rPr>
                <w:sz w:val="18"/>
              </w:rPr>
            </w:pPr>
            <w:r>
              <w:rPr>
                <w:color w:val="105C84"/>
                <w:spacing w:val="-2"/>
                <w:sz w:val="18"/>
              </w:rPr>
              <w:t>Data</w:t>
            </w:r>
            <w:r>
              <w:rPr>
                <w:color w:val="105C84"/>
                <w:spacing w:val="-9"/>
                <w:sz w:val="18"/>
              </w:rPr>
              <w:t> </w:t>
            </w:r>
            <w:r>
              <w:rPr>
                <w:color w:val="105C84"/>
                <w:spacing w:val="-2"/>
                <w:sz w:val="18"/>
              </w:rPr>
              <w:t>Source:</w:t>
            </w:r>
            <w:r>
              <w:rPr>
                <w:color w:val="105C84"/>
                <w:spacing w:val="-8"/>
                <w:sz w:val="18"/>
              </w:rPr>
              <w:t> </w:t>
            </w:r>
            <w:r>
              <w:rPr>
                <w:color w:val="105C84"/>
                <w:spacing w:val="-2"/>
                <w:sz w:val="18"/>
              </w:rPr>
              <w:t>SWSCR</w:t>
            </w:r>
          </w:p>
          <w:p>
            <w:pPr>
              <w:pStyle w:val="TableParagraph"/>
              <w:spacing w:line="232" w:lineRule="auto" w:before="88"/>
              <w:ind w:left="89" w:right="88"/>
              <w:rPr>
                <w:sz w:val="18"/>
              </w:rPr>
            </w:pPr>
            <w:r>
              <w:rPr>
                <w:color w:val="105C84"/>
                <w:spacing w:val="-2"/>
                <w:sz w:val="18"/>
              </w:rPr>
              <w:t>Data</w:t>
            </w:r>
            <w:r>
              <w:rPr>
                <w:color w:val="105C84"/>
                <w:spacing w:val="-10"/>
                <w:sz w:val="18"/>
              </w:rPr>
              <w:t> </w:t>
            </w:r>
            <w:r>
              <w:rPr>
                <w:color w:val="105C84"/>
                <w:spacing w:val="-2"/>
                <w:sz w:val="18"/>
              </w:rPr>
              <w:t>Level:</w:t>
            </w:r>
            <w:r>
              <w:rPr>
                <w:color w:val="105C84"/>
                <w:spacing w:val="-10"/>
                <w:sz w:val="18"/>
              </w:rPr>
              <w:t> </w:t>
            </w:r>
            <w:r>
              <w:rPr>
                <w:color w:val="105C84"/>
                <w:spacing w:val="-2"/>
                <w:sz w:val="18"/>
              </w:rPr>
              <w:t>State,</w:t>
            </w:r>
            <w:r>
              <w:rPr>
                <w:color w:val="105C84"/>
                <w:spacing w:val="-10"/>
                <w:sz w:val="18"/>
              </w:rPr>
              <w:t> </w:t>
            </w:r>
            <w:r>
              <w:rPr>
                <w:color w:val="105C84"/>
                <w:spacing w:val="-2"/>
                <w:sz w:val="18"/>
              </w:rPr>
              <w:t>school district</w:t>
            </w:r>
          </w:p>
        </w:tc>
        <w:tc>
          <w:tcPr>
            <w:tcW w:w="1268" w:type="dxa"/>
            <w:vMerge w:val="restart"/>
          </w:tcPr>
          <w:p>
            <w:pPr>
              <w:pStyle w:val="TableParagraph"/>
              <w:rPr>
                <w:rFonts w:ascii="Times New Roman"/>
                <w:sz w:val="18"/>
              </w:rPr>
            </w:pPr>
          </w:p>
        </w:tc>
        <w:tc>
          <w:tcPr>
            <w:tcW w:w="3189" w:type="dxa"/>
            <w:tcBorders>
              <w:right w:val="nil"/>
            </w:tcBorders>
          </w:tcPr>
          <w:p>
            <w:pPr>
              <w:pStyle w:val="TableParagraph"/>
              <w:spacing w:before="96"/>
              <w:ind w:left="88"/>
              <w:jc w:val="both"/>
              <w:rPr>
                <w:sz w:val="18"/>
              </w:rPr>
            </w:pPr>
            <w:r>
              <w:rPr>
                <w:color w:val="105C84"/>
                <w:sz w:val="18"/>
              </w:rPr>
              <w:t>Intervention</w:t>
            </w:r>
            <w:r>
              <w:rPr>
                <w:color w:val="105C84"/>
                <w:spacing w:val="12"/>
                <w:sz w:val="18"/>
              </w:rPr>
              <w:t> </w:t>
            </w:r>
            <w:r>
              <w:rPr>
                <w:color w:val="105C84"/>
                <w:spacing w:val="-2"/>
                <w:sz w:val="18"/>
              </w:rPr>
              <w:t>1.0.4</w:t>
            </w:r>
          </w:p>
          <w:p>
            <w:pPr>
              <w:pStyle w:val="TableParagraph"/>
              <w:spacing w:line="232" w:lineRule="auto" w:before="88"/>
              <w:ind w:left="88" w:right="1069"/>
              <w:jc w:val="both"/>
              <w:rPr>
                <w:sz w:val="18"/>
              </w:rPr>
            </w:pPr>
            <w:r>
              <w:rPr>
                <w:color w:val="105C84"/>
                <w:sz w:val="18"/>
              </w:rPr>
              <w:t>Multi-component school-based</w:t>
            </w:r>
            <w:r>
              <w:rPr>
                <w:color w:val="105C84"/>
                <w:spacing w:val="-8"/>
                <w:sz w:val="18"/>
              </w:rPr>
              <w:t> </w:t>
            </w:r>
            <w:r>
              <w:rPr>
                <w:color w:val="105C84"/>
                <w:sz w:val="18"/>
              </w:rPr>
              <w:t>obesity</w:t>
            </w:r>
            <w:r>
              <w:rPr>
                <w:color w:val="105C84"/>
                <w:spacing w:val="-8"/>
                <w:sz w:val="18"/>
              </w:rPr>
              <w:t> </w:t>
            </w:r>
            <w:r>
              <w:rPr>
                <w:color w:val="105C84"/>
                <w:sz w:val="18"/>
              </w:rPr>
              <w:t>prevention interventions, including:</w:t>
            </w:r>
          </w:p>
          <w:p>
            <w:pPr>
              <w:pStyle w:val="TableParagraph"/>
              <w:spacing w:line="232" w:lineRule="auto" w:before="87"/>
              <w:ind w:left="88" w:right="1096"/>
              <w:jc w:val="both"/>
              <w:rPr>
                <w:sz w:val="18"/>
              </w:rPr>
            </w:pPr>
            <w:r>
              <w:rPr>
                <w:color w:val="105C84"/>
                <w:sz w:val="18"/>
              </w:rPr>
              <w:t>-Providing</w:t>
            </w:r>
            <w:r>
              <w:rPr>
                <w:color w:val="105C84"/>
                <w:spacing w:val="-11"/>
                <w:sz w:val="18"/>
              </w:rPr>
              <w:t> </w:t>
            </w:r>
            <w:r>
              <w:rPr>
                <w:color w:val="105C84"/>
                <w:sz w:val="18"/>
              </w:rPr>
              <w:t>healthy</w:t>
            </w:r>
            <w:r>
              <w:rPr>
                <w:color w:val="105C84"/>
                <w:spacing w:val="-11"/>
                <w:sz w:val="18"/>
              </w:rPr>
              <w:t> </w:t>
            </w:r>
            <w:r>
              <w:rPr>
                <w:color w:val="105C84"/>
                <w:sz w:val="18"/>
              </w:rPr>
              <w:t>eating </w:t>
            </w:r>
            <w:r>
              <w:rPr>
                <w:color w:val="105C84"/>
                <w:w w:val="105"/>
                <w:sz w:val="18"/>
              </w:rPr>
              <w:t>learning</w:t>
            </w:r>
            <w:r>
              <w:rPr>
                <w:color w:val="105C84"/>
                <w:spacing w:val="-1"/>
                <w:w w:val="105"/>
                <w:sz w:val="18"/>
              </w:rPr>
              <w:t> </w:t>
            </w:r>
            <w:r>
              <w:rPr>
                <w:color w:val="105C84"/>
                <w:w w:val="105"/>
                <w:sz w:val="18"/>
              </w:rPr>
              <w:t>opportunities</w:t>
            </w:r>
          </w:p>
          <w:p>
            <w:pPr>
              <w:pStyle w:val="TableParagraph"/>
              <w:spacing w:line="232" w:lineRule="auto" w:before="89"/>
              <w:ind w:left="88" w:right="1170"/>
              <w:jc w:val="both"/>
              <w:rPr>
                <w:sz w:val="18"/>
              </w:rPr>
            </w:pPr>
            <w:r>
              <w:rPr>
                <w:color w:val="105C84"/>
                <w:sz w:val="18"/>
              </w:rPr>
              <w:t>-Participating</w:t>
            </w:r>
            <w:r>
              <w:rPr>
                <w:color w:val="105C84"/>
                <w:spacing w:val="-9"/>
                <w:sz w:val="18"/>
              </w:rPr>
              <w:t> </w:t>
            </w:r>
            <w:r>
              <w:rPr>
                <w:color w:val="105C84"/>
                <w:sz w:val="18"/>
              </w:rPr>
              <w:t>in</w:t>
            </w:r>
            <w:r>
              <w:rPr>
                <w:color w:val="105C84"/>
                <w:spacing w:val="-9"/>
                <w:sz w:val="18"/>
              </w:rPr>
              <w:t> </w:t>
            </w:r>
            <w:r>
              <w:rPr>
                <w:color w:val="105C84"/>
                <w:sz w:val="18"/>
              </w:rPr>
              <w:t>Farm</w:t>
            </w:r>
            <w:r>
              <w:rPr>
                <w:color w:val="105C84"/>
                <w:spacing w:val="-9"/>
                <w:sz w:val="18"/>
              </w:rPr>
              <w:t> </w:t>
            </w:r>
            <w:r>
              <w:rPr>
                <w:color w:val="105C84"/>
                <w:sz w:val="18"/>
              </w:rPr>
              <w:t>to School Programs</w:t>
            </w:r>
          </w:p>
        </w:tc>
        <w:tc>
          <w:tcPr>
            <w:tcW w:w="3884" w:type="dxa"/>
            <w:tcBorders>
              <w:left w:val="nil"/>
            </w:tcBorders>
          </w:tcPr>
          <w:p>
            <w:pPr>
              <w:pStyle w:val="TableParagraph"/>
              <w:numPr>
                <w:ilvl w:val="0"/>
                <w:numId w:val="49"/>
              </w:numPr>
              <w:tabs>
                <w:tab w:pos="1233" w:val="left" w:leader="none"/>
              </w:tabs>
              <w:spacing w:line="232" w:lineRule="auto" w:before="101" w:after="0"/>
              <w:ind w:left="1047" w:right="640" w:firstLine="0"/>
              <w:jc w:val="left"/>
              <w:rPr>
                <w:sz w:val="18"/>
              </w:rPr>
            </w:pPr>
            <w:r>
              <w:rPr>
                <w:color w:val="105C84"/>
                <w:sz w:val="18"/>
              </w:rPr>
              <w:t>#</w:t>
            </w:r>
            <w:r>
              <w:rPr>
                <w:color w:val="105C84"/>
                <w:spacing w:val="-9"/>
                <w:sz w:val="18"/>
              </w:rPr>
              <w:t> </w:t>
            </w:r>
            <w:r>
              <w:rPr>
                <w:color w:val="105C84"/>
                <w:sz w:val="18"/>
              </w:rPr>
              <w:t>Healthy</w:t>
            </w:r>
            <w:r>
              <w:rPr>
                <w:color w:val="105C84"/>
                <w:spacing w:val="-9"/>
                <w:sz w:val="18"/>
              </w:rPr>
              <w:t> </w:t>
            </w:r>
            <w:r>
              <w:rPr>
                <w:color w:val="105C84"/>
                <w:sz w:val="18"/>
              </w:rPr>
              <w:t>eating</w:t>
            </w:r>
            <w:r>
              <w:rPr>
                <w:color w:val="105C84"/>
                <w:spacing w:val="-9"/>
                <w:sz w:val="18"/>
              </w:rPr>
              <w:t> </w:t>
            </w:r>
            <w:r>
              <w:rPr>
                <w:color w:val="105C84"/>
                <w:sz w:val="18"/>
              </w:rPr>
              <w:t>learning sessions held in schools</w:t>
            </w:r>
          </w:p>
          <w:p>
            <w:pPr>
              <w:pStyle w:val="TableParagraph"/>
              <w:numPr>
                <w:ilvl w:val="0"/>
                <w:numId w:val="49"/>
              </w:numPr>
              <w:tabs>
                <w:tab w:pos="1233" w:val="left" w:leader="none"/>
              </w:tabs>
              <w:spacing w:line="232" w:lineRule="auto" w:before="88" w:after="0"/>
              <w:ind w:left="1047" w:right="295" w:firstLine="0"/>
              <w:jc w:val="left"/>
              <w:rPr>
                <w:sz w:val="18"/>
              </w:rPr>
            </w:pPr>
            <w:r>
              <w:rPr>
                <w:color w:val="105C84"/>
                <w:sz w:val="18"/>
              </w:rPr>
              <w:t># students reached with nutrition/exercise </w:t>
            </w:r>
            <w:r>
              <w:rPr>
                <w:color w:val="105C84"/>
                <w:sz w:val="18"/>
              </w:rPr>
              <w:t>programming</w:t>
            </w:r>
          </w:p>
          <w:p>
            <w:pPr>
              <w:pStyle w:val="TableParagraph"/>
              <w:numPr>
                <w:ilvl w:val="0"/>
                <w:numId w:val="49"/>
              </w:numPr>
              <w:tabs>
                <w:tab w:pos="1233" w:val="left" w:leader="none"/>
              </w:tabs>
              <w:spacing w:line="232" w:lineRule="auto" w:before="88" w:after="0"/>
              <w:ind w:left="1047" w:right="213" w:firstLine="0"/>
              <w:jc w:val="left"/>
              <w:rPr>
                <w:sz w:val="18"/>
              </w:rPr>
            </w:pPr>
            <w:r>
              <w:rPr>
                <w:color w:val="105C84"/>
                <w:sz w:val="18"/>
              </w:rPr>
              <w:t>#</w:t>
            </w:r>
            <w:r>
              <w:rPr>
                <w:color w:val="105C84"/>
                <w:spacing w:val="-8"/>
                <w:sz w:val="18"/>
              </w:rPr>
              <w:t> </w:t>
            </w:r>
            <w:r>
              <w:rPr>
                <w:color w:val="105C84"/>
                <w:sz w:val="18"/>
              </w:rPr>
              <w:t>schools</w:t>
            </w:r>
            <w:r>
              <w:rPr>
                <w:color w:val="105C84"/>
                <w:spacing w:val="-8"/>
                <w:sz w:val="18"/>
              </w:rPr>
              <w:t> </w:t>
            </w:r>
            <w:r>
              <w:rPr>
                <w:color w:val="105C84"/>
                <w:sz w:val="18"/>
              </w:rPr>
              <w:t>engaged</w:t>
            </w:r>
            <w:r>
              <w:rPr>
                <w:color w:val="105C84"/>
                <w:spacing w:val="-8"/>
                <w:sz w:val="18"/>
              </w:rPr>
              <w:t> </w:t>
            </w:r>
            <w:r>
              <w:rPr>
                <w:color w:val="105C84"/>
                <w:sz w:val="18"/>
              </w:rPr>
              <w:t>on</w:t>
            </w:r>
            <w:r>
              <w:rPr>
                <w:color w:val="105C84"/>
                <w:spacing w:val="-8"/>
                <w:sz w:val="18"/>
              </w:rPr>
              <w:t> </w:t>
            </w:r>
            <w:r>
              <w:rPr>
                <w:color w:val="105C84"/>
                <w:sz w:val="18"/>
              </w:rPr>
              <w:t>Farm</w:t>
            </w:r>
            <w:r>
              <w:rPr>
                <w:color w:val="105C84"/>
                <w:spacing w:val="-8"/>
                <w:sz w:val="18"/>
              </w:rPr>
              <w:t> </w:t>
            </w:r>
            <w:r>
              <w:rPr>
                <w:color w:val="105C84"/>
                <w:sz w:val="18"/>
              </w:rPr>
              <w:t>to </w:t>
            </w:r>
            <w:r>
              <w:rPr>
                <w:color w:val="105C84"/>
                <w:w w:val="105"/>
                <w:sz w:val="18"/>
              </w:rPr>
              <w:t>Table</w:t>
            </w:r>
            <w:r>
              <w:rPr>
                <w:color w:val="105C84"/>
                <w:spacing w:val="-1"/>
                <w:w w:val="105"/>
                <w:sz w:val="18"/>
              </w:rPr>
              <w:t> </w:t>
            </w:r>
            <w:r>
              <w:rPr>
                <w:color w:val="105C84"/>
                <w:w w:val="105"/>
                <w:sz w:val="18"/>
              </w:rPr>
              <w:t>Coalition</w:t>
            </w:r>
          </w:p>
          <w:p>
            <w:pPr>
              <w:pStyle w:val="TableParagraph"/>
              <w:numPr>
                <w:ilvl w:val="0"/>
                <w:numId w:val="49"/>
              </w:numPr>
              <w:tabs>
                <w:tab w:pos="1233" w:val="left" w:leader="none"/>
              </w:tabs>
              <w:spacing w:line="232" w:lineRule="auto" w:before="89" w:after="0"/>
              <w:ind w:left="1047" w:right="408" w:firstLine="0"/>
              <w:jc w:val="left"/>
              <w:rPr>
                <w:sz w:val="18"/>
              </w:rPr>
            </w:pPr>
            <w:r>
              <w:rPr>
                <w:color w:val="105C84"/>
                <w:sz w:val="18"/>
              </w:rPr>
              <w:t>%</w:t>
            </w:r>
            <w:r>
              <w:rPr>
                <w:color w:val="105C84"/>
                <w:spacing w:val="-6"/>
                <w:sz w:val="18"/>
              </w:rPr>
              <w:t> </w:t>
            </w:r>
            <w:r>
              <w:rPr>
                <w:color w:val="105C84"/>
                <w:sz w:val="18"/>
              </w:rPr>
              <w:t>eligible</w:t>
            </w:r>
            <w:r>
              <w:rPr>
                <w:color w:val="105C84"/>
                <w:spacing w:val="-6"/>
                <w:sz w:val="18"/>
              </w:rPr>
              <w:t> </w:t>
            </w:r>
            <w:r>
              <w:rPr>
                <w:color w:val="105C84"/>
                <w:sz w:val="18"/>
              </w:rPr>
              <w:t>schools</w:t>
            </w:r>
            <w:r>
              <w:rPr>
                <w:color w:val="105C84"/>
                <w:spacing w:val="-6"/>
                <w:sz w:val="18"/>
              </w:rPr>
              <w:t> </w:t>
            </w:r>
            <w:r>
              <w:rPr>
                <w:color w:val="105C84"/>
                <w:sz w:val="18"/>
              </w:rPr>
              <w:t>trained</w:t>
            </w:r>
            <w:r>
              <w:rPr>
                <w:color w:val="105C84"/>
                <w:spacing w:val="-6"/>
                <w:sz w:val="18"/>
              </w:rPr>
              <w:t> </w:t>
            </w:r>
            <w:r>
              <w:rPr>
                <w:color w:val="105C84"/>
                <w:sz w:val="18"/>
              </w:rPr>
              <w:t>in </w:t>
            </w:r>
            <w:r>
              <w:rPr>
                <w:color w:val="105C84"/>
                <w:spacing w:val="-4"/>
                <w:sz w:val="18"/>
              </w:rPr>
              <w:t>CATCH</w:t>
            </w:r>
          </w:p>
        </w:tc>
        <w:tc>
          <w:tcPr>
            <w:tcW w:w="1852" w:type="dxa"/>
            <w:vMerge w:val="restart"/>
            <w:tcBorders>
              <w:bottom w:val="nil"/>
            </w:tcBorders>
          </w:tcPr>
          <w:p>
            <w:pPr>
              <w:pStyle w:val="TableParagraph"/>
              <w:spacing w:line="232" w:lineRule="auto" w:before="100"/>
              <w:ind w:left="85"/>
              <w:rPr>
                <w:sz w:val="18"/>
              </w:rPr>
            </w:pPr>
            <w:r>
              <w:rPr>
                <w:color w:val="105C84"/>
                <w:spacing w:val="-4"/>
                <w:sz w:val="18"/>
              </w:rPr>
              <w:t>Regional</w:t>
            </w:r>
            <w:r>
              <w:rPr>
                <w:color w:val="105C84"/>
                <w:spacing w:val="-9"/>
                <w:sz w:val="18"/>
              </w:rPr>
              <w:t> </w:t>
            </w:r>
            <w:r>
              <w:rPr>
                <w:color w:val="105C84"/>
                <w:spacing w:val="-4"/>
                <w:sz w:val="18"/>
              </w:rPr>
              <w:t>Transit </w:t>
            </w:r>
            <w:r>
              <w:rPr>
                <w:color w:val="105C84"/>
                <w:spacing w:val="-2"/>
                <w:sz w:val="18"/>
              </w:rPr>
              <w:t>System</w:t>
            </w:r>
          </w:p>
          <w:p>
            <w:pPr>
              <w:pStyle w:val="TableParagraph"/>
              <w:spacing w:line="336" w:lineRule="auto" w:before="84"/>
              <w:ind w:left="85" w:right="620"/>
              <w:rPr>
                <w:sz w:val="18"/>
              </w:rPr>
            </w:pPr>
            <w:r>
              <w:rPr>
                <w:color w:val="105C84"/>
                <w:spacing w:val="-2"/>
                <w:sz w:val="18"/>
              </w:rPr>
              <w:t>Churches Food</w:t>
            </w:r>
            <w:r>
              <w:rPr>
                <w:color w:val="105C84"/>
                <w:spacing w:val="-11"/>
                <w:sz w:val="18"/>
              </w:rPr>
              <w:t> </w:t>
            </w:r>
            <w:r>
              <w:rPr>
                <w:color w:val="105C84"/>
                <w:spacing w:val="-2"/>
                <w:sz w:val="18"/>
              </w:rPr>
              <w:t>Pantries</w:t>
            </w:r>
          </w:p>
          <w:p>
            <w:pPr>
              <w:pStyle w:val="TableParagraph"/>
              <w:spacing w:line="232" w:lineRule="auto" w:before="5"/>
              <w:ind w:left="85"/>
              <w:rPr>
                <w:sz w:val="18"/>
              </w:rPr>
            </w:pPr>
            <w:r>
              <w:rPr>
                <w:color w:val="105C84"/>
                <w:spacing w:val="-6"/>
                <w:sz w:val="18"/>
              </w:rPr>
              <w:t>S2AY</w:t>
            </w:r>
            <w:r>
              <w:rPr>
                <w:color w:val="105C84"/>
                <w:spacing w:val="-9"/>
                <w:sz w:val="18"/>
              </w:rPr>
              <w:t> </w:t>
            </w:r>
            <w:r>
              <w:rPr>
                <w:color w:val="105C84"/>
                <w:spacing w:val="-6"/>
                <w:sz w:val="18"/>
              </w:rPr>
              <w:t>Rural </w:t>
            </w:r>
            <w:r>
              <w:rPr>
                <w:color w:val="105C84"/>
                <w:spacing w:val="-6"/>
                <w:sz w:val="18"/>
              </w:rPr>
              <w:t>Health </w:t>
            </w:r>
            <w:r>
              <w:rPr>
                <w:color w:val="105C84"/>
                <w:spacing w:val="-2"/>
                <w:sz w:val="18"/>
              </w:rPr>
              <w:t>Network</w:t>
            </w:r>
          </w:p>
          <w:p>
            <w:pPr>
              <w:pStyle w:val="TableParagraph"/>
              <w:spacing w:line="232" w:lineRule="auto" w:before="89"/>
              <w:ind w:left="85"/>
              <w:rPr>
                <w:sz w:val="18"/>
              </w:rPr>
            </w:pPr>
            <w:r>
              <w:rPr>
                <w:color w:val="105C84"/>
                <w:sz w:val="18"/>
              </w:rPr>
              <w:t>Food</w:t>
            </w:r>
            <w:r>
              <w:rPr>
                <w:color w:val="105C84"/>
                <w:spacing w:val="-15"/>
                <w:sz w:val="18"/>
              </w:rPr>
              <w:t> </w:t>
            </w:r>
            <w:r>
              <w:rPr>
                <w:color w:val="105C84"/>
                <w:sz w:val="18"/>
              </w:rPr>
              <w:t>Justice</w:t>
            </w:r>
            <w:r>
              <w:rPr>
                <w:color w:val="105C84"/>
                <w:spacing w:val="-12"/>
                <w:sz w:val="18"/>
              </w:rPr>
              <w:t> </w:t>
            </w:r>
            <w:r>
              <w:rPr>
                <w:color w:val="105C84"/>
                <w:sz w:val="18"/>
              </w:rPr>
              <w:t>of Geneva, Inc.</w:t>
            </w:r>
          </w:p>
          <w:p>
            <w:pPr>
              <w:pStyle w:val="TableParagraph"/>
              <w:spacing w:before="83"/>
              <w:ind w:left="85"/>
              <w:rPr>
                <w:sz w:val="18"/>
              </w:rPr>
            </w:pPr>
            <w:r>
              <w:rPr>
                <w:color w:val="105C84"/>
                <w:spacing w:val="-2"/>
                <w:sz w:val="18"/>
              </w:rPr>
              <w:t>FLESNY</w:t>
            </w:r>
          </w:p>
        </w:tc>
        <w:tc>
          <w:tcPr>
            <w:tcW w:w="2694" w:type="dxa"/>
            <w:vMerge w:val="restart"/>
          </w:tcPr>
          <w:p>
            <w:pPr>
              <w:pStyle w:val="TableParagraph"/>
              <w:spacing w:line="232" w:lineRule="auto" w:before="100"/>
              <w:ind w:left="83" w:right="69"/>
              <w:rPr>
                <w:sz w:val="18"/>
              </w:rPr>
            </w:pPr>
            <w:r>
              <w:rPr>
                <w:color w:val="105C84"/>
                <w:sz w:val="18"/>
              </w:rPr>
              <w:t>Regional Transit System: Provide designated routes to food pantries &amp; grocery stores for those in food desserts or with</w:t>
            </w:r>
            <w:r>
              <w:rPr>
                <w:color w:val="105C84"/>
                <w:spacing w:val="-11"/>
                <w:sz w:val="18"/>
              </w:rPr>
              <w:t> </w:t>
            </w:r>
            <w:r>
              <w:rPr>
                <w:color w:val="105C84"/>
                <w:sz w:val="18"/>
              </w:rPr>
              <w:t>other</w:t>
            </w:r>
            <w:r>
              <w:rPr>
                <w:color w:val="105C84"/>
                <w:spacing w:val="-11"/>
                <w:sz w:val="18"/>
              </w:rPr>
              <w:t> </w:t>
            </w:r>
            <w:r>
              <w:rPr>
                <w:color w:val="105C84"/>
                <w:sz w:val="18"/>
              </w:rPr>
              <w:t>barriers</w:t>
            </w:r>
            <w:r>
              <w:rPr>
                <w:color w:val="105C84"/>
                <w:spacing w:val="-11"/>
                <w:sz w:val="18"/>
              </w:rPr>
              <w:t> </w:t>
            </w:r>
            <w:r>
              <w:rPr>
                <w:color w:val="105C84"/>
                <w:sz w:val="18"/>
              </w:rPr>
              <w:t>to</w:t>
            </w:r>
            <w:r>
              <w:rPr>
                <w:color w:val="105C84"/>
                <w:spacing w:val="-11"/>
                <w:sz w:val="18"/>
              </w:rPr>
              <w:t> </w:t>
            </w:r>
            <w:r>
              <w:rPr>
                <w:color w:val="105C84"/>
                <w:sz w:val="18"/>
              </w:rPr>
              <w:t>accessing healthy foods</w:t>
            </w:r>
          </w:p>
          <w:p>
            <w:pPr>
              <w:pStyle w:val="TableParagraph"/>
              <w:spacing w:before="80"/>
              <w:ind w:left="83"/>
              <w:rPr>
                <w:sz w:val="18"/>
              </w:rPr>
            </w:pPr>
            <w:r>
              <w:rPr>
                <w:color w:val="105C84"/>
                <w:sz w:val="18"/>
              </w:rPr>
              <w:t>Churches:</w:t>
            </w:r>
            <w:r>
              <w:rPr>
                <w:color w:val="105C84"/>
                <w:spacing w:val="-6"/>
                <w:sz w:val="18"/>
              </w:rPr>
              <w:t> </w:t>
            </w:r>
            <w:r>
              <w:rPr>
                <w:color w:val="105C84"/>
                <w:sz w:val="18"/>
              </w:rPr>
              <w:t>Host</w:t>
            </w:r>
            <w:r>
              <w:rPr>
                <w:color w:val="105C84"/>
                <w:spacing w:val="-6"/>
                <w:sz w:val="18"/>
              </w:rPr>
              <w:t> </w:t>
            </w:r>
            <w:r>
              <w:rPr>
                <w:color w:val="105C84"/>
                <w:sz w:val="18"/>
              </w:rPr>
              <w:t>food</w:t>
            </w:r>
            <w:r>
              <w:rPr>
                <w:color w:val="105C84"/>
                <w:spacing w:val="-5"/>
                <w:sz w:val="18"/>
              </w:rPr>
              <w:t> </w:t>
            </w:r>
            <w:r>
              <w:rPr>
                <w:color w:val="105C84"/>
                <w:spacing w:val="-2"/>
                <w:sz w:val="18"/>
              </w:rPr>
              <w:t>pantries</w:t>
            </w:r>
          </w:p>
          <w:p>
            <w:pPr>
              <w:pStyle w:val="TableParagraph"/>
              <w:spacing w:line="232" w:lineRule="auto" w:before="88"/>
              <w:ind w:left="83"/>
              <w:rPr>
                <w:sz w:val="18"/>
              </w:rPr>
            </w:pPr>
            <w:r>
              <w:rPr>
                <w:color w:val="105C84"/>
                <w:sz w:val="18"/>
              </w:rPr>
              <w:t>Food Pantries: Distribute gleaned foods to </w:t>
            </w:r>
            <w:r>
              <w:rPr>
                <w:color w:val="105C84"/>
                <w:sz w:val="18"/>
              </w:rPr>
              <w:t>congregants</w:t>
            </w:r>
          </w:p>
          <w:p>
            <w:pPr>
              <w:pStyle w:val="TableParagraph"/>
              <w:spacing w:line="232" w:lineRule="auto" w:before="89"/>
              <w:ind w:left="83"/>
              <w:rPr>
                <w:sz w:val="18"/>
              </w:rPr>
            </w:pPr>
            <w:r>
              <w:rPr>
                <w:color w:val="105C84"/>
                <w:sz w:val="18"/>
              </w:rPr>
              <w:t>Participate in educational programming, display NYN materials and </w:t>
            </w:r>
            <w:r>
              <w:rPr>
                <w:color w:val="105C84"/>
                <w:sz w:val="18"/>
              </w:rPr>
              <w:t>accept/distribute healthy foods provided</w:t>
            </w:r>
          </w:p>
          <w:p>
            <w:pPr>
              <w:pStyle w:val="TableParagraph"/>
              <w:spacing w:line="232" w:lineRule="auto" w:before="87"/>
              <w:ind w:left="83" w:right="388"/>
              <w:rPr>
                <w:sz w:val="18"/>
              </w:rPr>
            </w:pPr>
            <w:r>
              <w:rPr>
                <w:color w:val="105C84"/>
                <w:spacing w:val="-2"/>
                <w:sz w:val="18"/>
              </w:rPr>
              <w:t>S2AY</w:t>
            </w:r>
            <w:r>
              <w:rPr>
                <w:color w:val="105C84"/>
                <w:spacing w:val="-11"/>
                <w:sz w:val="18"/>
              </w:rPr>
              <w:t> </w:t>
            </w:r>
            <w:r>
              <w:rPr>
                <w:color w:val="105C84"/>
                <w:spacing w:val="-2"/>
                <w:sz w:val="18"/>
              </w:rPr>
              <w:t>Rural</w:t>
            </w:r>
            <w:r>
              <w:rPr>
                <w:color w:val="105C84"/>
                <w:spacing w:val="-10"/>
                <w:sz w:val="18"/>
              </w:rPr>
              <w:t> </w:t>
            </w:r>
            <w:r>
              <w:rPr>
                <w:color w:val="105C84"/>
                <w:spacing w:val="-2"/>
                <w:sz w:val="18"/>
              </w:rPr>
              <w:t>Health</w:t>
            </w:r>
            <w:r>
              <w:rPr>
                <w:color w:val="105C84"/>
                <w:spacing w:val="-11"/>
                <w:sz w:val="18"/>
              </w:rPr>
              <w:t> </w:t>
            </w:r>
            <w:r>
              <w:rPr>
                <w:color w:val="105C84"/>
                <w:spacing w:val="-2"/>
                <w:sz w:val="18"/>
              </w:rPr>
              <w:t>Network: </w:t>
            </w:r>
            <w:r>
              <w:rPr>
                <w:color w:val="105C84"/>
                <w:sz w:val="18"/>
              </w:rPr>
              <w:t>Seek out funding to:</w:t>
            </w:r>
          </w:p>
          <w:p>
            <w:pPr>
              <w:pStyle w:val="TableParagraph"/>
              <w:numPr>
                <w:ilvl w:val="0"/>
                <w:numId w:val="50"/>
              </w:numPr>
              <w:tabs>
                <w:tab w:pos="269" w:val="left" w:leader="none"/>
              </w:tabs>
              <w:spacing w:line="232" w:lineRule="auto" w:before="0" w:after="0"/>
              <w:ind w:left="83" w:right="240" w:firstLine="0"/>
              <w:jc w:val="left"/>
              <w:rPr>
                <w:sz w:val="18"/>
              </w:rPr>
            </w:pPr>
            <w:r>
              <w:rPr>
                <w:color w:val="105C84"/>
                <w:w w:val="105"/>
                <w:sz w:val="18"/>
              </w:rPr>
              <w:t>Support Farm to Table </w:t>
            </w:r>
            <w:r>
              <w:rPr>
                <w:color w:val="105C84"/>
                <w:sz w:val="18"/>
              </w:rPr>
              <w:t>Coalition, including work </w:t>
            </w:r>
            <w:r>
              <w:rPr>
                <w:color w:val="105C84"/>
                <w:sz w:val="18"/>
              </w:rPr>
              <w:t>with </w:t>
            </w:r>
            <w:r>
              <w:rPr>
                <w:color w:val="105C84"/>
                <w:spacing w:val="-2"/>
                <w:w w:val="105"/>
                <w:sz w:val="18"/>
              </w:rPr>
              <w:t>schools</w:t>
            </w:r>
          </w:p>
          <w:p>
            <w:pPr>
              <w:pStyle w:val="TableParagraph"/>
              <w:numPr>
                <w:ilvl w:val="0"/>
                <w:numId w:val="50"/>
              </w:numPr>
              <w:tabs>
                <w:tab w:pos="269" w:val="left" w:leader="none"/>
              </w:tabs>
              <w:spacing w:line="232" w:lineRule="auto" w:before="86" w:after="0"/>
              <w:ind w:left="83" w:right="733" w:firstLine="0"/>
              <w:jc w:val="left"/>
              <w:rPr>
                <w:sz w:val="18"/>
              </w:rPr>
            </w:pPr>
            <w:r>
              <w:rPr>
                <w:color w:val="105C84"/>
                <w:spacing w:val="-2"/>
                <w:sz w:val="18"/>
              </w:rPr>
              <w:t>Provide</w:t>
            </w:r>
            <w:r>
              <w:rPr>
                <w:color w:val="105C84"/>
                <w:spacing w:val="-13"/>
                <w:sz w:val="18"/>
              </w:rPr>
              <w:t> </w:t>
            </w:r>
            <w:r>
              <w:rPr>
                <w:color w:val="105C84"/>
                <w:spacing w:val="-2"/>
                <w:sz w:val="18"/>
              </w:rPr>
              <w:t>Nourish</w:t>
            </w:r>
            <w:r>
              <w:rPr>
                <w:color w:val="105C84"/>
                <w:spacing w:val="-10"/>
                <w:sz w:val="18"/>
              </w:rPr>
              <w:t> </w:t>
            </w:r>
            <w:r>
              <w:rPr>
                <w:color w:val="105C84"/>
                <w:spacing w:val="-2"/>
                <w:sz w:val="18"/>
              </w:rPr>
              <w:t>Your </w:t>
            </w:r>
            <w:r>
              <w:rPr>
                <w:color w:val="105C84"/>
                <w:sz w:val="18"/>
              </w:rPr>
              <w:t>Neighbor, regionally</w:t>
            </w:r>
          </w:p>
          <w:p>
            <w:pPr>
              <w:pStyle w:val="TableParagraph"/>
              <w:spacing w:line="232" w:lineRule="auto" w:before="88"/>
              <w:ind w:left="83" w:right="129"/>
              <w:rPr>
                <w:sz w:val="18"/>
              </w:rPr>
            </w:pPr>
            <w:r>
              <w:rPr>
                <w:color w:val="105C84"/>
                <w:sz w:val="18"/>
              </w:rPr>
              <w:t>Food</w:t>
            </w:r>
            <w:r>
              <w:rPr>
                <w:color w:val="105C84"/>
                <w:spacing w:val="-15"/>
                <w:sz w:val="18"/>
              </w:rPr>
              <w:t> </w:t>
            </w:r>
            <w:r>
              <w:rPr>
                <w:color w:val="105C84"/>
                <w:sz w:val="18"/>
              </w:rPr>
              <w:t>Justice</w:t>
            </w:r>
            <w:r>
              <w:rPr>
                <w:color w:val="105C84"/>
                <w:spacing w:val="-12"/>
                <w:sz w:val="18"/>
              </w:rPr>
              <w:t> </w:t>
            </w:r>
            <w:r>
              <w:rPr>
                <w:color w:val="105C84"/>
                <w:sz w:val="18"/>
              </w:rPr>
              <w:t>of</w:t>
            </w:r>
            <w:r>
              <w:rPr>
                <w:color w:val="105C84"/>
                <w:spacing w:val="-13"/>
                <w:sz w:val="18"/>
              </w:rPr>
              <w:t> </w:t>
            </w:r>
            <w:r>
              <w:rPr>
                <w:color w:val="105C84"/>
                <w:sz w:val="18"/>
              </w:rPr>
              <w:t>Geneva,</w:t>
            </w:r>
            <w:r>
              <w:rPr>
                <w:color w:val="105C84"/>
                <w:spacing w:val="-12"/>
                <w:sz w:val="18"/>
              </w:rPr>
              <w:t> </w:t>
            </w:r>
            <w:r>
              <w:rPr>
                <w:color w:val="105C84"/>
                <w:sz w:val="18"/>
              </w:rPr>
              <w:t>Inc: Glean fruits and vegetables and make available to food pantries, churches and low income neighborhoods</w:t>
            </w:r>
          </w:p>
          <w:p>
            <w:pPr>
              <w:pStyle w:val="TableParagraph"/>
              <w:spacing w:line="203" w:lineRule="exact" w:before="81"/>
              <w:ind w:left="83"/>
              <w:rPr>
                <w:sz w:val="18"/>
              </w:rPr>
            </w:pPr>
            <w:r>
              <w:rPr>
                <w:color w:val="105C84"/>
                <w:w w:val="90"/>
                <w:sz w:val="18"/>
              </w:rPr>
              <w:t>FLESNY</w:t>
            </w:r>
            <w:r>
              <w:rPr>
                <w:color w:val="105C84"/>
                <w:spacing w:val="3"/>
                <w:sz w:val="18"/>
              </w:rPr>
              <w:t> </w:t>
            </w:r>
            <w:r>
              <w:rPr>
                <w:color w:val="105C84"/>
                <w:spacing w:val="-10"/>
                <w:sz w:val="18"/>
              </w:rPr>
              <w:t>:</w:t>
            </w:r>
          </w:p>
          <w:p>
            <w:pPr>
              <w:pStyle w:val="TableParagraph"/>
              <w:numPr>
                <w:ilvl w:val="1"/>
                <w:numId w:val="50"/>
              </w:numPr>
              <w:tabs>
                <w:tab w:pos="269" w:val="left" w:leader="none"/>
              </w:tabs>
              <w:spacing w:line="232" w:lineRule="auto" w:before="2" w:after="0"/>
              <w:ind w:left="83" w:right="213" w:firstLine="0"/>
              <w:jc w:val="left"/>
              <w:rPr>
                <w:sz w:val="18"/>
              </w:rPr>
            </w:pPr>
            <w:r>
              <w:rPr>
                <w:color w:val="105C84"/>
                <w:sz w:val="18"/>
              </w:rPr>
              <w:t>Participate</w:t>
            </w:r>
            <w:r>
              <w:rPr>
                <w:color w:val="105C84"/>
                <w:spacing w:val="-13"/>
                <w:sz w:val="18"/>
              </w:rPr>
              <w:t> </w:t>
            </w:r>
            <w:r>
              <w:rPr>
                <w:color w:val="105C84"/>
                <w:sz w:val="18"/>
              </w:rPr>
              <w:t>in</w:t>
            </w:r>
            <w:r>
              <w:rPr>
                <w:color w:val="105C84"/>
                <w:spacing w:val="-12"/>
                <w:sz w:val="18"/>
              </w:rPr>
              <w:t> </w:t>
            </w:r>
            <w:r>
              <w:rPr>
                <w:color w:val="105C84"/>
                <w:sz w:val="18"/>
              </w:rPr>
              <w:t>regional</w:t>
            </w:r>
            <w:r>
              <w:rPr>
                <w:color w:val="105C84"/>
                <w:spacing w:val="-13"/>
                <w:sz w:val="18"/>
              </w:rPr>
              <w:t> </w:t>
            </w:r>
            <w:r>
              <w:rPr>
                <w:color w:val="105C84"/>
                <w:sz w:val="18"/>
              </w:rPr>
              <w:t>Farm </w:t>
            </w:r>
            <w:r>
              <w:rPr>
                <w:color w:val="105C84"/>
                <w:w w:val="105"/>
                <w:sz w:val="18"/>
              </w:rPr>
              <w:t>to Institution Coalition</w:t>
            </w:r>
          </w:p>
          <w:p>
            <w:pPr>
              <w:pStyle w:val="TableParagraph"/>
              <w:numPr>
                <w:ilvl w:val="1"/>
                <w:numId w:val="50"/>
              </w:numPr>
              <w:tabs>
                <w:tab w:pos="269" w:val="left" w:leader="none"/>
              </w:tabs>
              <w:spacing w:line="232" w:lineRule="auto" w:before="88" w:after="0"/>
              <w:ind w:left="83" w:right="537" w:firstLine="0"/>
              <w:jc w:val="left"/>
              <w:rPr>
                <w:sz w:val="18"/>
              </w:rPr>
            </w:pPr>
            <w:r>
              <w:rPr>
                <w:color w:val="105C84"/>
                <w:sz w:val="18"/>
              </w:rPr>
              <w:t>Provide community education and demos Participate</w:t>
            </w:r>
            <w:r>
              <w:rPr>
                <w:color w:val="105C84"/>
                <w:spacing w:val="-13"/>
                <w:sz w:val="18"/>
              </w:rPr>
              <w:t> </w:t>
            </w:r>
            <w:r>
              <w:rPr>
                <w:color w:val="105C84"/>
                <w:sz w:val="18"/>
              </w:rPr>
              <w:t>in</w:t>
            </w:r>
            <w:r>
              <w:rPr>
                <w:color w:val="105C84"/>
                <w:spacing w:val="-12"/>
                <w:sz w:val="18"/>
              </w:rPr>
              <w:t> </w:t>
            </w:r>
            <w:r>
              <w:rPr>
                <w:color w:val="105C84"/>
                <w:sz w:val="18"/>
              </w:rPr>
              <w:t>Food</w:t>
            </w:r>
            <w:r>
              <w:rPr>
                <w:color w:val="105C84"/>
                <w:spacing w:val="-13"/>
                <w:sz w:val="18"/>
              </w:rPr>
              <w:t> </w:t>
            </w:r>
            <w:r>
              <w:rPr>
                <w:color w:val="105C84"/>
                <w:sz w:val="18"/>
              </w:rPr>
              <w:t>Pantry </w:t>
            </w:r>
            <w:r>
              <w:rPr>
                <w:color w:val="105C84"/>
                <w:spacing w:val="-2"/>
                <w:sz w:val="18"/>
              </w:rPr>
              <w:t>Committee</w:t>
            </w:r>
          </w:p>
          <w:p>
            <w:pPr>
              <w:pStyle w:val="TableParagraph"/>
              <w:numPr>
                <w:ilvl w:val="1"/>
                <w:numId w:val="50"/>
              </w:numPr>
              <w:tabs>
                <w:tab w:pos="269" w:val="left" w:leader="none"/>
              </w:tabs>
              <w:spacing w:line="232" w:lineRule="auto" w:before="87" w:after="0"/>
              <w:ind w:left="83" w:right="143" w:firstLine="0"/>
              <w:jc w:val="left"/>
              <w:rPr>
                <w:sz w:val="18"/>
              </w:rPr>
            </w:pPr>
            <w:r>
              <w:rPr>
                <w:color w:val="105C84"/>
                <w:w w:val="105"/>
                <w:sz w:val="18"/>
              </w:rPr>
              <w:t>Provide</w:t>
            </w:r>
            <w:r>
              <w:rPr>
                <w:color w:val="105C84"/>
                <w:spacing w:val="-1"/>
                <w:w w:val="105"/>
                <w:sz w:val="18"/>
              </w:rPr>
              <w:t> </w:t>
            </w:r>
            <w:r>
              <w:rPr>
                <w:color w:val="105C84"/>
                <w:w w:val="105"/>
                <w:sz w:val="18"/>
              </w:rPr>
              <w:t>health/nutrition education and food demonstrations at food </w:t>
            </w:r>
            <w:r>
              <w:rPr>
                <w:color w:val="105C84"/>
                <w:sz w:val="18"/>
              </w:rPr>
              <w:t>pantries</w:t>
            </w:r>
            <w:r>
              <w:rPr>
                <w:color w:val="105C84"/>
                <w:spacing w:val="-9"/>
                <w:sz w:val="18"/>
              </w:rPr>
              <w:t> </w:t>
            </w:r>
            <w:r>
              <w:rPr>
                <w:color w:val="105C84"/>
                <w:sz w:val="18"/>
              </w:rPr>
              <w:t>and</w:t>
            </w:r>
            <w:r>
              <w:rPr>
                <w:color w:val="105C84"/>
                <w:spacing w:val="-9"/>
                <w:sz w:val="18"/>
              </w:rPr>
              <w:t> </w:t>
            </w:r>
            <w:r>
              <w:rPr>
                <w:color w:val="105C84"/>
                <w:sz w:val="18"/>
              </w:rPr>
              <w:t>in</w:t>
            </w:r>
            <w:r>
              <w:rPr>
                <w:color w:val="105C84"/>
                <w:spacing w:val="-9"/>
                <w:sz w:val="18"/>
              </w:rPr>
              <w:t> </w:t>
            </w:r>
            <w:r>
              <w:rPr>
                <w:color w:val="105C84"/>
                <w:sz w:val="18"/>
              </w:rPr>
              <w:t>the</w:t>
            </w:r>
            <w:r>
              <w:rPr>
                <w:color w:val="105C84"/>
                <w:spacing w:val="-9"/>
                <w:sz w:val="18"/>
              </w:rPr>
              <w:t> </w:t>
            </w:r>
            <w:r>
              <w:rPr>
                <w:color w:val="105C84"/>
                <w:sz w:val="18"/>
              </w:rPr>
              <w:t>community.</w:t>
            </w:r>
          </w:p>
          <w:p>
            <w:pPr>
              <w:pStyle w:val="TableParagraph"/>
              <w:numPr>
                <w:ilvl w:val="1"/>
                <w:numId w:val="50"/>
              </w:numPr>
              <w:tabs>
                <w:tab w:pos="269" w:val="left" w:leader="none"/>
              </w:tabs>
              <w:spacing w:line="232" w:lineRule="auto" w:before="87" w:after="0"/>
              <w:ind w:left="83" w:right="740" w:firstLine="0"/>
              <w:jc w:val="left"/>
              <w:rPr>
                <w:sz w:val="18"/>
              </w:rPr>
            </w:pPr>
            <w:r>
              <w:rPr>
                <w:color w:val="105C84"/>
                <w:sz w:val="18"/>
              </w:rPr>
              <w:t>Provide</w:t>
            </w:r>
            <w:r>
              <w:rPr>
                <w:color w:val="105C84"/>
                <w:spacing w:val="-13"/>
                <w:sz w:val="18"/>
              </w:rPr>
              <w:t> </w:t>
            </w:r>
            <w:r>
              <w:rPr>
                <w:color w:val="105C84"/>
                <w:sz w:val="18"/>
              </w:rPr>
              <w:t>the</w:t>
            </w:r>
            <w:r>
              <w:rPr>
                <w:color w:val="105C84"/>
                <w:spacing w:val="-12"/>
                <w:sz w:val="18"/>
              </w:rPr>
              <w:t> </w:t>
            </w:r>
            <w:r>
              <w:rPr>
                <w:color w:val="105C84"/>
                <w:sz w:val="18"/>
              </w:rPr>
              <w:t>Fruit</w:t>
            </w:r>
            <w:r>
              <w:rPr>
                <w:color w:val="105C84"/>
                <w:spacing w:val="-13"/>
                <w:sz w:val="18"/>
              </w:rPr>
              <w:t> </w:t>
            </w:r>
            <w:r>
              <w:rPr>
                <w:color w:val="105C84"/>
                <w:sz w:val="18"/>
              </w:rPr>
              <w:t>and Vegetable Rx program</w:t>
            </w:r>
          </w:p>
        </w:tc>
        <w:tc>
          <w:tcPr>
            <w:tcW w:w="2631" w:type="dxa"/>
            <w:vMerge w:val="restart"/>
            <w:tcBorders>
              <w:bottom w:val="nil"/>
            </w:tcBorders>
          </w:tcPr>
          <w:p>
            <w:pPr>
              <w:pStyle w:val="TableParagraph"/>
              <w:spacing w:line="203" w:lineRule="exact" w:before="94"/>
              <w:ind w:left="82"/>
              <w:rPr>
                <w:sz w:val="18"/>
              </w:rPr>
            </w:pPr>
            <w:r>
              <w:rPr>
                <w:color w:val="105C84"/>
                <w:spacing w:val="-2"/>
                <w:sz w:val="18"/>
              </w:rPr>
              <w:t>Regional</w:t>
            </w:r>
            <w:r>
              <w:rPr>
                <w:color w:val="105C84"/>
                <w:spacing w:val="-10"/>
                <w:sz w:val="18"/>
              </w:rPr>
              <w:t> </w:t>
            </w:r>
            <w:r>
              <w:rPr>
                <w:color w:val="105C84"/>
                <w:spacing w:val="-2"/>
                <w:sz w:val="18"/>
              </w:rPr>
              <w:t>Transit</w:t>
            </w:r>
            <w:r>
              <w:rPr>
                <w:color w:val="105C84"/>
                <w:spacing w:val="-9"/>
                <w:sz w:val="18"/>
              </w:rPr>
              <w:t> </w:t>
            </w:r>
            <w:r>
              <w:rPr>
                <w:color w:val="105C84"/>
                <w:spacing w:val="-2"/>
                <w:sz w:val="18"/>
              </w:rPr>
              <w:t>System:</w:t>
            </w:r>
          </w:p>
          <w:p>
            <w:pPr>
              <w:pStyle w:val="TableParagraph"/>
              <w:spacing w:line="203" w:lineRule="exact"/>
              <w:ind w:left="82"/>
              <w:rPr>
                <w:sz w:val="18"/>
              </w:rPr>
            </w:pPr>
            <w:r>
              <w:rPr>
                <w:color w:val="105C84"/>
                <w:w w:val="90"/>
                <w:sz w:val="18"/>
              </w:rPr>
              <w:t>$15,000-</w:t>
            </w:r>
            <w:r>
              <w:rPr>
                <w:color w:val="105C84"/>
                <w:spacing w:val="-2"/>
                <w:sz w:val="18"/>
              </w:rPr>
              <w:t>$20,000</w:t>
            </w:r>
          </w:p>
          <w:p>
            <w:pPr>
              <w:pStyle w:val="TableParagraph"/>
              <w:spacing w:line="203" w:lineRule="exact" w:before="83"/>
              <w:ind w:left="82"/>
              <w:rPr>
                <w:sz w:val="18"/>
              </w:rPr>
            </w:pPr>
            <w:r>
              <w:rPr>
                <w:color w:val="105C84"/>
                <w:spacing w:val="-6"/>
                <w:sz w:val="18"/>
              </w:rPr>
              <w:t>S2AY</w:t>
            </w:r>
            <w:r>
              <w:rPr>
                <w:color w:val="105C84"/>
                <w:spacing w:val="-1"/>
                <w:sz w:val="18"/>
              </w:rPr>
              <w:t> </w:t>
            </w:r>
            <w:r>
              <w:rPr>
                <w:color w:val="105C84"/>
                <w:spacing w:val="-6"/>
                <w:sz w:val="18"/>
              </w:rPr>
              <w:t>Rural</w:t>
            </w:r>
            <w:r>
              <w:rPr>
                <w:color w:val="105C84"/>
                <w:spacing w:val="-1"/>
                <w:sz w:val="18"/>
              </w:rPr>
              <w:t> </w:t>
            </w:r>
            <w:r>
              <w:rPr>
                <w:color w:val="105C84"/>
                <w:spacing w:val="-6"/>
                <w:sz w:val="18"/>
              </w:rPr>
              <w:t>Health</w:t>
            </w:r>
            <w:r>
              <w:rPr>
                <w:color w:val="105C84"/>
                <w:sz w:val="18"/>
              </w:rPr>
              <w:t> </w:t>
            </w:r>
            <w:r>
              <w:rPr>
                <w:color w:val="105C84"/>
                <w:spacing w:val="-6"/>
                <w:sz w:val="18"/>
              </w:rPr>
              <w:t>Network:</w:t>
            </w:r>
          </w:p>
          <w:p>
            <w:pPr>
              <w:pStyle w:val="TableParagraph"/>
              <w:numPr>
                <w:ilvl w:val="0"/>
                <w:numId w:val="51"/>
              </w:numPr>
              <w:tabs>
                <w:tab w:pos="268" w:val="left" w:leader="none"/>
              </w:tabs>
              <w:spacing w:line="200" w:lineRule="exact" w:before="0" w:after="0"/>
              <w:ind w:left="268" w:right="0" w:hanging="186"/>
              <w:jc w:val="left"/>
              <w:rPr>
                <w:sz w:val="18"/>
              </w:rPr>
            </w:pPr>
            <w:r>
              <w:rPr>
                <w:color w:val="105C84"/>
                <w:spacing w:val="-5"/>
                <w:sz w:val="18"/>
              </w:rPr>
              <w:t>0.1</w:t>
            </w:r>
            <w:r>
              <w:rPr>
                <w:color w:val="105C84"/>
                <w:spacing w:val="-7"/>
                <w:sz w:val="18"/>
              </w:rPr>
              <w:t> </w:t>
            </w:r>
            <w:r>
              <w:rPr>
                <w:color w:val="105C84"/>
                <w:spacing w:val="-5"/>
                <w:sz w:val="18"/>
              </w:rPr>
              <w:t>FTE</w:t>
            </w:r>
          </w:p>
          <w:p>
            <w:pPr>
              <w:pStyle w:val="TableParagraph"/>
              <w:numPr>
                <w:ilvl w:val="0"/>
                <w:numId w:val="51"/>
              </w:numPr>
              <w:tabs>
                <w:tab w:pos="268" w:val="left" w:leader="none"/>
              </w:tabs>
              <w:spacing w:line="203" w:lineRule="exact" w:before="0" w:after="0"/>
              <w:ind w:left="268" w:right="0" w:hanging="186"/>
              <w:jc w:val="left"/>
              <w:rPr>
                <w:sz w:val="18"/>
              </w:rPr>
            </w:pPr>
            <w:r>
              <w:rPr>
                <w:color w:val="105C84"/>
                <w:sz w:val="18"/>
              </w:rPr>
              <w:t>1</w:t>
            </w:r>
            <w:r>
              <w:rPr>
                <w:color w:val="105C84"/>
                <w:spacing w:val="-13"/>
                <w:sz w:val="18"/>
              </w:rPr>
              <w:t> </w:t>
            </w:r>
            <w:r>
              <w:rPr>
                <w:color w:val="105C84"/>
                <w:spacing w:val="-5"/>
                <w:sz w:val="18"/>
              </w:rPr>
              <w:t>FTE</w:t>
            </w:r>
          </w:p>
          <w:p>
            <w:pPr>
              <w:pStyle w:val="TableParagraph"/>
              <w:spacing w:line="232" w:lineRule="auto" w:before="88"/>
              <w:ind w:left="82"/>
              <w:rPr>
                <w:sz w:val="18"/>
              </w:rPr>
            </w:pPr>
            <w:r>
              <w:rPr>
                <w:color w:val="105C84"/>
                <w:sz w:val="18"/>
              </w:rPr>
              <w:t>Food</w:t>
            </w:r>
            <w:r>
              <w:rPr>
                <w:color w:val="105C84"/>
                <w:spacing w:val="-15"/>
                <w:sz w:val="18"/>
              </w:rPr>
              <w:t> </w:t>
            </w:r>
            <w:r>
              <w:rPr>
                <w:color w:val="105C84"/>
                <w:sz w:val="18"/>
              </w:rPr>
              <w:t>Justice</w:t>
            </w:r>
            <w:r>
              <w:rPr>
                <w:color w:val="105C84"/>
                <w:spacing w:val="-12"/>
                <w:sz w:val="18"/>
              </w:rPr>
              <w:t> </w:t>
            </w:r>
            <w:r>
              <w:rPr>
                <w:color w:val="105C84"/>
                <w:sz w:val="18"/>
              </w:rPr>
              <w:t>of</w:t>
            </w:r>
            <w:r>
              <w:rPr>
                <w:color w:val="105C84"/>
                <w:spacing w:val="-13"/>
                <w:sz w:val="18"/>
              </w:rPr>
              <w:t> </w:t>
            </w:r>
            <w:r>
              <w:rPr>
                <w:color w:val="105C84"/>
                <w:sz w:val="18"/>
              </w:rPr>
              <w:t>Geneva,</w:t>
            </w:r>
            <w:r>
              <w:rPr>
                <w:color w:val="105C84"/>
                <w:spacing w:val="-12"/>
                <w:sz w:val="18"/>
              </w:rPr>
              <w:t> </w:t>
            </w:r>
            <w:r>
              <w:rPr>
                <w:color w:val="105C84"/>
                <w:sz w:val="18"/>
              </w:rPr>
              <w:t>Inc.: Total: $83,350</w:t>
            </w:r>
          </w:p>
          <w:p>
            <w:pPr>
              <w:pStyle w:val="TableParagraph"/>
              <w:spacing w:before="84"/>
              <w:ind w:left="82"/>
              <w:rPr>
                <w:sz w:val="18"/>
              </w:rPr>
            </w:pPr>
            <w:r>
              <w:rPr>
                <w:color w:val="105C84"/>
                <w:spacing w:val="-4"/>
                <w:sz w:val="18"/>
              </w:rPr>
              <w:t>$5250</w:t>
            </w:r>
            <w:r>
              <w:rPr>
                <w:color w:val="105C84"/>
                <w:spacing w:val="-6"/>
                <w:sz w:val="18"/>
              </w:rPr>
              <w:t> </w:t>
            </w:r>
            <w:r>
              <w:rPr>
                <w:color w:val="105C84"/>
                <w:spacing w:val="-4"/>
                <w:sz w:val="18"/>
              </w:rPr>
              <w:t>Rent</w:t>
            </w:r>
            <w:r>
              <w:rPr>
                <w:color w:val="105C84"/>
                <w:spacing w:val="-5"/>
                <w:sz w:val="18"/>
              </w:rPr>
              <w:t> </w:t>
            </w:r>
            <w:r>
              <w:rPr>
                <w:color w:val="105C84"/>
                <w:spacing w:val="-4"/>
                <w:sz w:val="18"/>
              </w:rPr>
              <w:t>&amp;</w:t>
            </w:r>
            <w:r>
              <w:rPr>
                <w:color w:val="105C84"/>
                <w:spacing w:val="-6"/>
                <w:sz w:val="18"/>
              </w:rPr>
              <w:t> </w:t>
            </w:r>
            <w:r>
              <w:rPr>
                <w:color w:val="105C84"/>
                <w:spacing w:val="-4"/>
                <w:sz w:val="18"/>
              </w:rPr>
              <w:t>electric</w:t>
            </w:r>
          </w:p>
          <w:p>
            <w:pPr>
              <w:pStyle w:val="TableParagraph"/>
              <w:spacing w:before="83"/>
              <w:ind w:left="82"/>
              <w:rPr>
                <w:sz w:val="18"/>
              </w:rPr>
            </w:pPr>
            <w:r>
              <w:rPr>
                <w:color w:val="105C84"/>
                <w:spacing w:val="-2"/>
                <w:sz w:val="18"/>
              </w:rPr>
              <w:t>$3100</w:t>
            </w:r>
            <w:r>
              <w:rPr>
                <w:color w:val="105C84"/>
                <w:spacing w:val="17"/>
                <w:sz w:val="18"/>
              </w:rPr>
              <w:t> </w:t>
            </w:r>
            <w:r>
              <w:rPr>
                <w:color w:val="105C84"/>
                <w:spacing w:val="-2"/>
                <w:sz w:val="18"/>
              </w:rPr>
              <w:t>Insurance</w:t>
            </w:r>
          </w:p>
          <w:p>
            <w:pPr>
              <w:pStyle w:val="TableParagraph"/>
              <w:spacing w:before="83"/>
              <w:ind w:left="82"/>
              <w:rPr>
                <w:sz w:val="18"/>
              </w:rPr>
            </w:pPr>
            <w:r>
              <w:rPr>
                <w:color w:val="105C84"/>
                <w:spacing w:val="-8"/>
                <w:sz w:val="18"/>
              </w:rPr>
              <w:t>$12000</w:t>
            </w:r>
            <w:r>
              <w:rPr>
                <w:color w:val="105C84"/>
                <w:spacing w:val="-1"/>
                <w:sz w:val="18"/>
              </w:rPr>
              <w:t> </w:t>
            </w:r>
            <w:r>
              <w:rPr>
                <w:color w:val="105C84"/>
                <w:spacing w:val="-8"/>
                <w:sz w:val="18"/>
              </w:rPr>
              <w:t>Van</w:t>
            </w:r>
            <w:r>
              <w:rPr>
                <w:color w:val="105C84"/>
                <w:sz w:val="18"/>
              </w:rPr>
              <w:t> </w:t>
            </w:r>
            <w:r>
              <w:rPr>
                <w:color w:val="105C84"/>
                <w:spacing w:val="-8"/>
                <w:sz w:val="18"/>
              </w:rPr>
              <w:t>&amp;</w:t>
            </w:r>
            <w:r>
              <w:rPr>
                <w:color w:val="105C84"/>
                <w:sz w:val="18"/>
              </w:rPr>
              <w:t> </w:t>
            </w:r>
            <w:r>
              <w:rPr>
                <w:color w:val="105C84"/>
                <w:spacing w:val="-8"/>
                <w:sz w:val="18"/>
              </w:rPr>
              <w:t>gas</w:t>
            </w:r>
          </w:p>
          <w:p>
            <w:pPr>
              <w:pStyle w:val="TableParagraph"/>
              <w:spacing w:before="83"/>
              <w:ind w:left="82"/>
              <w:rPr>
                <w:sz w:val="18"/>
              </w:rPr>
            </w:pPr>
            <w:r>
              <w:rPr>
                <w:color w:val="105C84"/>
                <w:w w:val="90"/>
                <w:sz w:val="18"/>
              </w:rPr>
              <w:t>$1000</w:t>
            </w:r>
            <w:r>
              <w:rPr>
                <w:color w:val="105C84"/>
                <w:spacing w:val="11"/>
                <w:sz w:val="18"/>
              </w:rPr>
              <w:t> </w:t>
            </w:r>
            <w:r>
              <w:rPr>
                <w:color w:val="105C84"/>
                <w:spacing w:val="-2"/>
                <w:w w:val="95"/>
                <w:sz w:val="18"/>
              </w:rPr>
              <w:t>Supplies</w:t>
            </w:r>
          </w:p>
          <w:p>
            <w:pPr>
              <w:pStyle w:val="TableParagraph"/>
              <w:spacing w:before="83"/>
              <w:ind w:left="82"/>
              <w:rPr>
                <w:sz w:val="18"/>
              </w:rPr>
            </w:pPr>
            <w:r>
              <w:rPr>
                <w:color w:val="105C84"/>
                <w:w w:val="90"/>
                <w:sz w:val="18"/>
              </w:rPr>
              <w:t>$2000</w:t>
            </w:r>
            <w:r>
              <w:rPr>
                <w:color w:val="105C84"/>
                <w:spacing w:val="11"/>
                <w:sz w:val="18"/>
              </w:rPr>
              <w:t> </w:t>
            </w:r>
            <w:r>
              <w:rPr>
                <w:color w:val="105C84"/>
                <w:spacing w:val="-2"/>
                <w:w w:val="95"/>
                <w:sz w:val="18"/>
              </w:rPr>
              <w:t>Stipends</w:t>
            </w:r>
          </w:p>
          <w:p>
            <w:pPr>
              <w:pStyle w:val="TableParagraph"/>
              <w:spacing w:before="83"/>
              <w:ind w:left="82"/>
              <w:rPr>
                <w:sz w:val="18"/>
              </w:rPr>
            </w:pPr>
            <w:r>
              <w:rPr>
                <w:color w:val="105C84"/>
                <w:w w:val="90"/>
                <w:sz w:val="18"/>
              </w:rPr>
              <w:t>$60,000</w:t>
            </w:r>
            <w:r>
              <w:rPr>
                <w:color w:val="105C84"/>
                <w:spacing w:val="15"/>
                <w:sz w:val="18"/>
              </w:rPr>
              <w:t> </w:t>
            </w:r>
            <w:r>
              <w:rPr>
                <w:color w:val="105C84"/>
                <w:spacing w:val="-2"/>
                <w:sz w:val="18"/>
              </w:rPr>
              <w:t>Labor</w:t>
            </w:r>
          </w:p>
          <w:p>
            <w:pPr>
              <w:pStyle w:val="TableParagraph"/>
              <w:spacing w:before="83"/>
              <w:ind w:left="82"/>
              <w:rPr>
                <w:sz w:val="18"/>
              </w:rPr>
            </w:pPr>
            <w:r>
              <w:rPr>
                <w:color w:val="105C84"/>
                <w:spacing w:val="-4"/>
                <w:sz w:val="18"/>
              </w:rPr>
              <w:t>FLESNY:</w:t>
            </w:r>
            <w:r>
              <w:rPr>
                <w:color w:val="105C84"/>
                <w:spacing w:val="-3"/>
                <w:sz w:val="18"/>
              </w:rPr>
              <w:t> </w:t>
            </w:r>
            <w:r>
              <w:rPr>
                <w:color w:val="105C84"/>
                <w:spacing w:val="-4"/>
                <w:sz w:val="18"/>
              </w:rPr>
              <w:t>See</w:t>
            </w:r>
            <w:r>
              <w:rPr>
                <w:color w:val="105C84"/>
                <w:spacing w:val="-2"/>
                <w:sz w:val="18"/>
              </w:rPr>
              <w:t> </w:t>
            </w:r>
            <w:r>
              <w:rPr>
                <w:color w:val="105C84"/>
                <w:spacing w:val="-4"/>
                <w:sz w:val="18"/>
              </w:rPr>
              <w:t>intervention</w:t>
            </w:r>
            <w:r>
              <w:rPr>
                <w:color w:val="105C84"/>
                <w:spacing w:val="-2"/>
                <w:sz w:val="18"/>
              </w:rPr>
              <w:t> </w:t>
            </w:r>
            <w:r>
              <w:rPr>
                <w:color w:val="105C84"/>
                <w:spacing w:val="-4"/>
                <w:sz w:val="18"/>
              </w:rPr>
              <w:t>1.0.4</w:t>
            </w:r>
          </w:p>
        </w:tc>
      </w:tr>
      <w:tr>
        <w:trPr>
          <w:trHeight w:val="1726" w:hRule="atLeast"/>
        </w:trPr>
        <w:tc>
          <w:tcPr>
            <w:tcW w:w="1353" w:type="dxa"/>
            <w:vMerge/>
            <w:tcBorders>
              <w:top w:val="nil"/>
              <w:bottom w:val="nil"/>
            </w:tcBorders>
            <w:shd w:val="clear" w:color="auto" w:fill="E6E7E8"/>
          </w:tcPr>
          <w:p>
            <w:pPr>
              <w:rPr>
                <w:sz w:val="2"/>
                <w:szCs w:val="2"/>
              </w:rPr>
            </w:pPr>
          </w:p>
        </w:tc>
        <w:tc>
          <w:tcPr>
            <w:tcW w:w="1289" w:type="dxa"/>
            <w:vMerge/>
            <w:tcBorders>
              <w:top w:val="nil"/>
              <w:bottom w:val="nil"/>
            </w:tcBorders>
          </w:tcPr>
          <w:p>
            <w:pPr>
              <w:rPr>
                <w:sz w:val="2"/>
                <w:szCs w:val="2"/>
              </w:rPr>
            </w:pPr>
          </w:p>
        </w:tc>
        <w:tc>
          <w:tcPr>
            <w:tcW w:w="1563" w:type="dxa"/>
            <w:vMerge/>
            <w:tcBorders>
              <w:top w:val="nil"/>
              <w:bottom w:val="nil"/>
            </w:tcBorders>
          </w:tcPr>
          <w:p>
            <w:pPr>
              <w:rPr>
                <w:sz w:val="2"/>
                <w:szCs w:val="2"/>
              </w:rPr>
            </w:pPr>
          </w:p>
        </w:tc>
        <w:tc>
          <w:tcPr>
            <w:tcW w:w="2535" w:type="dxa"/>
            <w:tcBorders>
              <w:bottom w:val="nil"/>
            </w:tcBorders>
          </w:tcPr>
          <w:p>
            <w:pPr>
              <w:pStyle w:val="TableParagraph"/>
              <w:spacing w:line="232" w:lineRule="auto" w:before="99"/>
              <w:ind w:left="89" w:right="88"/>
              <w:rPr>
                <w:sz w:val="18"/>
              </w:rPr>
            </w:pPr>
            <w:r>
              <w:rPr>
                <w:color w:val="105C84"/>
                <w:sz w:val="18"/>
              </w:rPr>
              <w:t>1.4</w:t>
            </w:r>
            <w:r>
              <w:rPr>
                <w:color w:val="105C84"/>
                <w:spacing w:val="-13"/>
                <w:sz w:val="18"/>
              </w:rPr>
              <w:t> </w:t>
            </w:r>
            <w:r>
              <w:rPr>
                <w:color w:val="105C84"/>
                <w:sz w:val="18"/>
              </w:rPr>
              <w:t>Decrease</w:t>
            </w:r>
            <w:r>
              <w:rPr>
                <w:color w:val="105C84"/>
                <w:spacing w:val="-12"/>
                <w:sz w:val="18"/>
              </w:rPr>
              <w:t> </w:t>
            </w:r>
            <w:r>
              <w:rPr>
                <w:color w:val="105C84"/>
                <w:sz w:val="18"/>
              </w:rPr>
              <w:t>the</w:t>
            </w:r>
            <w:r>
              <w:rPr>
                <w:color w:val="105C84"/>
                <w:spacing w:val="-13"/>
                <w:sz w:val="18"/>
              </w:rPr>
              <w:t> </w:t>
            </w:r>
            <w:r>
              <w:rPr>
                <w:color w:val="105C84"/>
                <w:sz w:val="18"/>
              </w:rPr>
              <w:t>percentage of adults ages 18 years and older</w:t>
            </w:r>
            <w:r>
              <w:rPr>
                <w:color w:val="105C84"/>
                <w:spacing w:val="-3"/>
                <w:sz w:val="18"/>
              </w:rPr>
              <w:t> </w:t>
            </w:r>
            <w:r>
              <w:rPr>
                <w:color w:val="105C84"/>
                <w:sz w:val="18"/>
              </w:rPr>
              <w:t>with</w:t>
            </w:r>
            <w:r>
              <w:rPr>
                <w:color w:val="105C84"/>
                <w:spacing w:val="-3"/>
                <w:sz w:val="18"/>
              </w:rPr>
              <w:t> </w:t>
            </w:r>
            <w:r>
              <w:rPr>
                <w:color w:val="105C84"/>
                <w:sz w:val="18"/>
              </w:rPr>
              <w:t>obesity</w:t>
            </w:r>
            <w:r>
              <w:rPr>
                <w:color w:val="105C84"/>
                <w:spacing w:val="-3"/>
                <w:sz w:val="18"/>
              </w:rPr>
              <w:t> </w:t>
            </w:r>
            <w:r>
              <w:rPr>
                <w:color w:val="105C84"/>
                <w:sz w:val="18"/>
              </w:rPr>
              <w:t>(among</w:t>
            </w:r>
            <w:r>
              <w:rPr>
                <w:color w:val="105C84"/>
                <w:spacing w:val="-3"/>
                <w:sz w:val="18"/>
              </w:rPr>
              <w:t> </w:t>
            </w:r>
            <w:r>
              <w:rPr>
                <w:color w:val="105C84"/>
                <w:sz w:val="18"/>
              </w:rPr>
              <w:t>al</w:t>
            </w:r>
            <w:r>
              <w:rPr>
                <w:color w:val="105C84"/>
                <w:sz w:val="18"/>
              </w:rPr>
              <w:t>l</w:t>
            </w:r>
            <w:r>
              <w:rPr>
                <w:color w:val="105C84"/>
                <w:sz w:val="18"/>
              </w:rPr>
              <w:t> </w:t>
            </w:r>
            <w:r>
              <w:rPr>
                <w:color w:val="105C84"/>
                <w:spacing w:val="-2"/>
                <w:sz w:val="18"/>
              </w:rPr>
              <w:t>adults)</w:t>
            </w:r>
          </w:p>
          <w:p>
            <w:pPr>
              <w:pStyle w:val="TableParagraph"/>
              <w:spacing w:before="82"/>
              <w:ind w:left="89"/>
              <w:rPr>
                <w:sz w:val="18"/>
              </w:rPr>
            </w:pPr>
            <w:r>
              <w:rPr>
                <w:color w:val="105C84"/>
                <w:spacing w:val="-4"/>
                <w:sz w:val="18"/>
              </w:rPr>
              <w:t>Target:</w:t>
            </w:r>
            <w:r>
              <w:rPr>
                <w:color w:val="105C84"/>
                <w:spacing w:val="-1"/>
                <w:sz w:val="18"/>
              </w:rPr>
              <w:t> </w:t>
            </w:r>
            <w:r>
              <w:rPr>
                <w:color w:val="105C84"/>
                <w:spacing w:val="-2"/>
                <w:sz w:val="18"/>
              </w:rPr>
              <w:t>24.2%</w:t>
            </w:r>
          </w:p>
          <w:p>
            <w:pPr>
              <w:pStyle w:val="TableParagraph"/>
              <w:spacing w:line="203" w:lineRule="exact" w:before="83"/>
              <w:ind w:left="89"/>
              <w:rPr>
                <w:sz w:val="18"/>
              </w:rPr>
            </w:pPr>
            <w:r>
              <w:rPr>
                <w:color w:val="105C84"/>
                <w:w w:val="90"/>
                <w:sz w:val="18"/>
              </w:rPr>
              <w:t>Baseline:</w:t>
            </w:r>
            <w:r>
              <w:rPr>
                <w:color w:val="105C84"/>
                <w:spacing w:val="12"/>
                <w:sz w:val="18"/>
              </w:rPr>
              <w:t> </w:t>
            </w:r>
            <w:r>
              <w:rPr>
                <w:color w:val="105C84"/>
                <w:w w:val="90"/>
                <w:sz w:val="18"/>
              </w:rPr>
              <w:t>25.5%</w:t>
            </w:r>
            <w:r>
              <w:rPr>
                <w:color w:val="105C84"/>
                <w:spacing w:val="12"/>
                <w:sz w:val="18"/>
              </w:rPr>
              <w:t> </w:t>
            </w:r>
            <w:r>
              <w:rPr>
                <w:color w:val="105C84"/>
                <w:w w:val="90"/>
                <w:sz w:val="18"/>
              </w:rPr>
              <w:t>(2016)</w:t>
            </w:r>
            <w:r>
              <w:rPr>
                <w:color w:val="105C84"/>
                <w:spacing w:val="13"/>
                <w:sz w:val="18"/>
              </w:rPr>
              <w:t> </w:t>
            </w:r>
            <w:r>
              <w:rPr>
                <w:color w:val="105C84"/>
                <w:spacing w:val="-2"/>
                <w:w w:val="90"/>
                <w:sz w:val="18"/>
              </w:rPr>
              <w:t>25.7%</w:t>
            </w:r>
          </w:p>
          <w:p>
            <w:pPr>
              <w:pStyle w:val="TableParagraph"/>
              <w:spacing w:line="203" w:lineRule="exact"/>
              <w:ind w:left="89"/>
              <w:rPr>
                <w:sz w:val="18"/>
              </w:rPr>
            </w:pPr>
            <w:r>
              <w:rPr>
                <w:color w:val="105C84"/>
                <w:spacing w:val="-2"/>
                <w:sz w:val="18"/>
              </w:rPr>
              <w:t>(2017)</w:t>
            </w:r>
          </w:p>
        </w:tc>
        <w:tc>
          <w:tcPr>
            <w:tcW w:w="1268" w:type="dxa"/>
            <w:vMerge/>
            <w:tcBorders>
              <w:top w:val="nil"/>
            </w:tcBorders>
          </w:tcPr>
          <w:p>
            <w:pPr>
              <w:rPr>
                <w:sz w:val="2"/>
                <w:szCs w:val="2"/>
              </w:rPr>
            </w:pPr>
          </w:p>
        </w:tc>
        <w:tc>
          <w:tcPr>
            <w:tcW w:w="3189" w:type="dxa"/>
            <w:vMerge w:val="restart"/>
            <w:tcBorders>
              <w:right w:val="nil"/>
            </w:tcBorders>
          </w:tcPr>
          <w:p>
            <w:pPr>
              <w:pStyle w:val="TableParagraph"/>
              <w:spacing w:line="232" w:lineRule="auto" w:before="99"/>
              <w:ind w:left="88" w:right="994"/>
              <w:rPr>
                <w:sz w:val="18"/>
              </w:rPr>
            </w:pPr>
            <w:r>
              <w:rPr>
                <w:color w:val="105C84"/>
                <w:sz w:val="18"/>
              </w:rPr>
              <w:t>Ontario</w:t>
            </w:r>
            <w:r>
              <w:rPr>
                <w:color w:val="105C84"/>
                <w:spacing w:val="-13"/>
                <w:sz w:val="18"/>
              </w:rPr>
              <w:t> </w:t>
            </w:r>
            <w:r>
              <w:rPr>
                <w:color w:val="105C84"/>
                <w:sz w:val="18"/>
              </w:rPr>
              <w:t>County</w:t>
            </w:r>
            <w:r>
              <w:rPr>
                <w:color w:val="105C84"/>
                <w:spacing w:val="-12"/>
                <w:sz w:val="18"/>
              </w:rPr>
              <w:t> </w:t>
            </w:r>
            <w:r>
              <w:rPr>
                <w:color w:val="105C84"/>
                <w:sz w:val="18"/>
              </w:rPr>
              <w:t>Specific </w:t>
            </w:r>
            <w:r>
              <w:rPr>
                <w:color w:val="105C84"/>
                <w:spacing w:val="-2"/>
                <w:sz w:val="18"/>
              </w:rPr>
              <w:t>Intervention:</w:t>
            </w:r>
          </w:p>
          <w:p>
            <w:pPr>
              <w:pStyle w:val="TableParagraph"/>
              <w:spacing w:line="232" w:lineRule="auto" w:before="88"/>
              <w:ind w:left="88" w:right="994"/>
              <w:rPr>
                <w:sz w:val="18"/>
              </w:rPr>
            </w:pPr>
            <w:r>
              <w:rPr>
                <w:color w:val="105C84"/>
                <w:sz w:val="18"/>
              </w:rPr>
              <w:t>Increase availability of fruits, vegetables and other</w:t>
            </w:r>
            <w:r>
              <w:rPr>
                <w:color w:val="105C84"/>
                <w:spacing w:val="-2"/>
                <w:sz w:val="18"/>
              </w:rPr>
              <w:t> </w:t>
            </w:r>
            <w:r>
              <w:rPr>
                <w:color w:val="105C84"/>
                <w:sz w:val="18"/>
              </w:rPr>
              <w:t>healthy</w:t>
            </w:r>
            <w:r>
              <w:rPr>
                <w:color w:val="105C84"/>
                <w:spacing w:val="-2"/>
                <w:sz w:val="18"/>
              </w:rPr>
              <w:t> </w:t>
            </w:r>
            <w:r>
              <w:rPr>
                <w:color w:val="105C84"/>
                <w:sz w:val="18"/>
              </w:rPr>
              <w:t>foods</w:t>
            </w:r>
            <w:r>
              <w:rPr>
                <w:color w:val="105C84"/>
                <w:spacing w:val="-2"/>
                <w:sz w:val="18"/>
              </w:rPr>
              <w:t> </w:t>
            </w:r>
            <w:r>
              <w:rPr>
                <w:color w:val="105C84"/>
                <w:sz w:val="18"/>
              </w:rPr>
              <w:t>in</w:t>
            </w:r>
            <w:r>
              <w:rPr>
                <w:color w:val="105C84"/>
                <w:spacing w:val="-2"/>
                <w:sz w:val="18"/>
              </w:rPr>
              <w:t> </w:t>
            </w:r>
            <w:r>
              <w:rPr>
                <w:color w:val="105C84"/>
                <w:sz w:val="18"/>
              </w:rPr>
              <w:t>the community and at food </w:t>
            </w:r>
            <w:r>
              <w:rPr>
                <w:color w:val="105C84"/>
                <w:spacing w:val="-2"/>
                <w:sz w:val="18"/>
              </w:rPr>
              <w:t>pantries</w:t>
            </w:r>
          </w:p>
        </w:tc>
        <w:tc>
          <w:tcPr>
            <w:tcW w:w="3884" w:type="dxa"/>
            <w:vMerge w:val="restart"/>
            <w:tcBorders>
              <w:left w:val="nil"/>
            </w:tcBorders>
          </w:tcPr>
          <w:p>
            <w:pPr>
              <w:pStyle w:val="TableParagraph"/>
              <w:numPr>
                <w:ilvl w:val="0"/>
                <w:numId w:val="52"/>
              </w:numPr>
              <w:tabs>
                <w:tab w:pos="1233" w:val="left" w:leader="none"/>
              </w:tabs>
              <w:spacing w:line="232" w:lineRule="auto" w:before="99" w:after="0"/>
              <w:ind w:left="1047" w:right="97" w:firstLine="0"/>
              <w:jc w:val="left"/>
              <w:rPr>
                <w:sz w:val="18"/>
              </w:rPr>
            </w:pPr>
            <w:r>
              <w:rPr>
                <w:color w:val="105C84"/>
                <w:sz w:val="18"/>
              </w:rPr>
              <w:t># food pantry patrons reached with</w:t>
            </w:r>
            <w:r>
              <w:rPr>
                <w:color w:val="105C84"/>
                <w:spacing w:val="-7"/>
                <w:sz w:val="18"/>
              </w:rPr>
              <w:t> </w:t>
            </w:r>
            <w:r>
              <w:rPr>
                <w:color w:val="105C84"/>
                <w:sz w:val="18"/>
              </w:rPr>
              <w:t>messages</w:t>
            </w:r>
            <w:r>
              <w:rPr>
                <w:color w:val="105C84"/>
                <w:spacing w:val="-7"/>
                <w:sz w:val="18"/>
              </w:rPr>
              <w:t> </w:t>
            </w:r>
            <w:r>
              <w:rPr>
                <w:color w:val="105C84"/>
                <w:sz w:val="18"/>
              </w:rPr>
              <w:t>about</w:t>
            </w:r>
            <w:r>
              <w:rPr>
                <w:color w:val="105C84"/>
                <w:spacing w:val="-7"/>
                <w:sz w:val="18"/>
              </w:rPr>
              <w:t> </w:t>
            </w:r>
            <w:r>
              <w:rPr>
                <w:color w:val="105C84"/>
                <w:sz w:val="18"/>
              </w:rPr>
              <w:t>healthy</w:t>
            </w:r>
            <w:r>
              <w:rPr>
                <w:color w:val="105C84"/>
                <w:spacing w:val="-7"/>
                <w:sz w:val="18"/>
              </w:rPr>
              <w:t> </w:t>
            </w:r>
            <w:r>
              <w:rPr>
                <w:color w:val="105C84"/>
                <w:sz w:val="18"/>
              </w:rPr>
              <w:t>food choices (2 sites)</w:t>
            </w:r>
          </w:p>
          <w:p>
            <w:pPr>
              <w:pStyle w:val="TableParagraph"/>
              <w:numPr>
                <w:ilvl w:val="0"/>
                <w:numId w:val="52"/>
              </w:numPr>
              <w:tabs>
                <w:tab w:pos="1233" w:val="left" w:leader="none"/>
              </w:tabs>
              <w:spacing w:line="232" w:lineRule="auto" w:before="87" w:after="0"/>
              <w:ind w:left="1047" w:right="184" w:firstLine="0"/>
              <w:jc w:val="left"/>
              <w:rPr>
                <w:sz w:val="18"/>
              </w:rPr>
            </w:pPr>
            <w:r>
              <w:rPr>
                <w:color w:val="105C84"/>
                <w:spacing w:val="-2"/>
                <w:w w:val="105"/>
                <w:sz w:val="18"/>
              </w:rPr>
              <w:t>#</w:t>
            </w:r>
            <w:r>
              <w:rPr>
                <w:color w:val="105C84"/>
                <w:spacing w:val="-11"/>
                <w:w w:val="105"/>
                <w:sz w:val="18"/>
              </w:rPr>
              <w:t> </w:t>
            </w:r>
            <w:r>
              <w:rPr>
                <w:color w:val="105C84"/>
                <w:spacing w:val="-2"/>
                <w:w w:val="105"/>
                <w:sz w:val="18"/>
              </w:rPr>
              <w:t>food</w:t>
            </w:r>
            <w:r>
              <w:rPr>
                <w:color w:val="105C84"/>
                <w:spacing w:val="-11"/>
                <w:w w:val="105"/>
                <w:sz w:val="18"/>
              </w:rPr>
              <w:t> </w:t>
            </w:r>
            <w:r>
              <w:rPr>
                <w:color w:val="105C84"/>
                <w:spacing w:val="-2"/>
                <w:w w:val="105"/>
                <w:sz w:val="18"/>
              </w:rPr>
              <w:t>pantries</w:t>
            </w:r>
            <w:r>
              <w:rPr>
                <w:color w:val="105C84"/>
                <w:spacing w:val="-11"/>
                <w:w w:val="105"/>
                <w:sz w:val="18"/>
              </w:rPr>
              <w:t> </w:t>
            </w:r>
            <w:r>
              <w:rPr>
                <w:color w:val="105C84"/>
                <w:spacing w:val="-2"/>
                <w:w w:val="105"/>
                <w:sz w:val="18"/>
              </w:rPr>
              <w:t>participating</w:t>
            </w:r>
            <w:r>
              <w:rPr>
                <w:color w:val="105C84"/>
                <w:spacing w:val="-11"/>
                <w:w w:val="105"/>
                <w:sz w:val="18"/>
              </w:rPr>
              <w:t> </w:t>
            </w:r>
            <w:r>
              <w:rPr>
                <w:color w:val="105C84"/>
                <w:spacing w:val="-2"/>
                <w:w w:val="105"/>
                <w:sz w:val="18"/>
              </w:rPr>
              <w:t>in </w:t>
            </w:r>
            <w:r>
              <w:rPr>
                <w:color w:val="105C84"/>
                <w:w w:val="105"/>
                <w:sz w:val="18"/>
              </w:rPr>
              <w:t>Nourish Your Neighbor</w:t>
            </w:r>
          </w:p>
          <w:p>
            <w:pPr>
              <w:pStyle w:val="TableParagraph"/>
              <w:numPr>
                <w:ilvl w:val="0"/>
                <w:numId w:val="52"/>
              </w:numPr>
              <w:tabs>
                <w:tab w:pos="1233" w:val="left" w:leader="none"/>
              </w:tabs>
              <w:spacing w:line="232" w:lineRule="auto" w:before="89" w:after="0"/>
              <w:ind w:left="1047" w:right="184" w:firstLine="0"/>
              <w:jc w:val="left"/>
              <w:rPr>
                <w:sz w:val="18"/>
              </w:rPr>
            </w:pPr>
            <w:r>
              <w:rPr>
                <w:color w:val="105C84"/>
                <w:sz w:val="18"/>
              </w:rPr>
              <w:t>#</w:t>
            </w:r>
            <w:r>
              <w:rPr>
                <w:color w:val="105C84"/>
                <w:spacing w:val="-8"/>
                <w:sz w:val="18"/>
              </w:rPr>
              <w:t> </w:t>
            </w:r>
            <w:r>
              <w:rPr>
                <w:color w:val="105C84"/>
                <w:sz w:val="18"/>
              </w:rPr>
              <w:t>pounds</w:t>
            </w:r>
            <w:r>
              <w:rPr>
                <w:color w:val="105C84"/>
                <w:spacing w:val="-8"/>
                <w:sz w:val="18"/>
              </w:rPr>
              <w:t> </w:t>
            </w:r>
            <w:r>
              <w:rPr>
                <w:color w:val="105C84"/>
                <w:sz w:val="18"/>
              </w:rPr>
              <w:t>fruits</w:t>
            </w:r>
            <w:r>
              <w:rPr>
                <w:color w:val="105C84"/>
                <w:spacing w:val="-8"/>
                <w:sz w:val="18"/>
              </w:rPr>
              <w:t> </w:t>
            </w:r>
            <w:r>
              <w:rPr>
                <w:color w:val="105C84"/>
                <w:sz w:val="18"/>
              </w:rPr>
              <w:t>and</w:t>
            </w:r>
            <w:r>
              <w:rPr>
                <w:color w:val="105C84"/>
                <w:spacing w:val="-8"/>
                <w:sz w:val="18"/>
              </w:rPr>
              <w:t> </w:t>
            </w:r>
            <w:r>
              <w:rPr>
                <w:color w:val="105C84"/>
                <w:sz w:val="18"/>
              </w:rPr>
              <w:t>vegetables gleaned and distributed</w:t>
            </w:r>
          </w:p>
          <w:p>
            <w:pPr>
              <w:pStyle w:val="TableParagraph"/>
              <w:numPr>
                <w:ilvl w:val="0"/>
                <w:numId w:val="52"/>
              </w:numPr>
              <w:tabs>
                <w:tab w:pos="1233" w:val="left" w:leader="none"/>
              </w:tabs>
              <w:spacing w:line="232" w:lineRule="auto" w:before="88" w:after="0"/>
              <w:ind w:left="1047" w:right="329" w:firstLine="0"/>
              <w:jc w:val="left"/>
              <w:rPr>
                <w:sz w:val="18"/>
              </w:rPr>
            </w:pPr>
            <w:r>
              <w:rPr>
                <w:color w:val="105C84"/>
                <w:sz w:val="18"/>
              </w:rPr>
              <w:t>#</w:t>
            </w:r>
            <w:r>
              <w:rPr>
                <w:color w:val="105C84"/>
                <w:spacing w:val="-13"/>
                <w:sz w:val="18"/>
              </w:rPr>
              <w:t> </w:t>
            </w:r>
            <w:r>
              <w:rPr>
                <w:color w:val="105C84"/>
                <w:sz w:val="18"/>
              </w:rPr>
              <w:t>served</w:t>
            </w:r>
            <w:r>
              <w:rPr>
                <w:color w:val="105C84"/>
                <w:spacing w:val="-12"/>
                <w:sz w:val="18"/>
              </w:rPr>
              <w:t> </w:t>
            </w:r>
            <w:r>
              <w:rPr>
                <w:color w:val="105C84"/>
                <w:sz w:val="18"/>
              </w:rPr>
              <w:t>by</w:t>
            </w:r>
            <w:r>
              <w:rPr>
                <w:color w:val="105C84"/>
                <w:spacing w:val="-13"/>
                <w:sz w:val="18"/>
              </w:rPr>
              <w:t> </w:t>
            </w:r>
            <w:r>
              <w:rPr>
                <w:color w:val="105C84"/>
                <w:sz w:val="18"/>
              </w:rPr>
              <w:t>RTS</w:t>
            </w:r>
            <w:r>
              <w:rPr>
                <w:color w:val="105C84"/>
                <w:spacing w:val="-12"/>
                <w:sz w:val="18"/>
              </w:rPr>
              <w:t> </w:t>
            </w:r>
            <w:r>
              <w:rPr>
                <w:color w:val="105C84"/>
                <w:sz w:val="18"/>
              </w:rPr>
              <w:t>food</w:t>
            </w:r>
            <w:r>
              <w:rPr>
                <w:color w:val="105C84"/>
                <w:spacing w:val="-13"/>
                <w:sz w:val="18"/>
              </w:rPr>
              <w:t> </w:t>
            </w:r>
            <w:r>
              <w:rPr>
                <w:color w:val="105C84"/>
                <w:sz w:val="18"/>
              </w:rPr>
              <w:t>pantry/ grocery store routes</w:t>
            </w:r>
          </w:p>
        </w:tc>
        <w:tc>
          <w:tcPr>
            <w:tcW w:w="1852" w:type="dxa"/>
            <w:vMerge/>
            <w:tcBorders>
              <w:top w:val="nil"/>
              <w:bottom w:val="nil"/>
            </w:tcBorders>
          </w:tcPr>
          <w:p>
            <w:pPr>
              <w:rPr>
                <w:sz w:val="2"/>
                <w:szCs w:val="2"/>
              </w:rPr>
            </w:pPr>
          </w:p>
        </w:tc>
        <w:tc>
          <w:tcPr>
            <w:tcW w:w="2694" w:type="dxa"/>
            <w:vMerge/>
            <w:tcBorders>
              <w:top w:val="nil"/>
            </w:tcBorders>
          </w:tcPr>
          <w:p>
            <w:pPr>
              <w:rPr>
                <w:sz w:val="2"/>
                <w:szCs w:val="2"/>
              </w:rPr>
            </w:pPr>
          </w:p>
        </w:tc>
        <w:tc>
          <w:tcPr>
            <w:tcW w:w="2631" w:type="dxa"/>
            <w:vMerge/>
            <w:tcBorders>
              <w:top w:val="nil"/>
              <w:bottom w:val="nil"/>
            </w:tcBorders>
          </w:tcPr>
          <w:p>
            <w:pPr>
              <w:rPr>
                <w:sz w:val="2"/>
                <w:szCs w:val="2"/>
              </w:rPr>
            </w:pPr>
          </w:p>
        </w:tc>
      </w:tr>
      <w:tr>
        <w:trPr>
          <w:trHeight w:val="279" w:hRule="atLeast"/>
        </w:trPr>
        <w:tc>
          <w:tcPr>
            <w:tcW w:w="1353" w:type="dxa"/>
            <w:tcBorders>
              <w:top w:val="nil"/>
              <w:bottom w:val="nil"/>
            </w:tcBorders>
            <w:shd w:val="clear" w:color="auto" w:fill="E6E7E8"/>
          </w:tcPr>
          <w:p>
            <w:pPr>
              <w:pStyle w:val="TableParagraph"/>
              <w:rPr>
                <w:rFonts w:ascii="Times New Roman"/>
                <w:sz w:val="18"/>
              </w:rPr>
            </w:pPr>
          </w:p>
        </w:tc>
        <w:tc>
          <w:tcPr>
            <w:tcW w:w="1289" w:type="dxa"/>
            <w:tcBorders>
              <w:top w:val="nil"/>
              <w:bottom w:val="nil"/>
            </w:tcBorders>
          </w:tcPr>
          <w:p>
            <w:pPr>
              <w:pStyle w:val="TableParagraph"/>
              <w:rPr>
                <w:rFonts w:ascii="Times New Roman"/>
                <w:sz w:val="18"/>
              </w:rPr>
            </w:pPr>
          </w:p>
        </w:tc>
        <w:tc>
          <w:tcPr>
            <w:tcW w:w="1563" w:type="dxa"/>
            <w:tcBorders>
              <w:top w:val="nil"/>
              <w:bottom w:val="nil"/>
            </w:tcBorders>
          </w:tcPr>
          <w:p>
            <w:pPr>
              <w:pStyle w:val="TableParagraph"/>
              <w:rPr>
                <w:rFonts w:ascii="Times New Roman"/>
                <w:sz w:val="18"/>
              </w:rPr>
            </w:pPr>
          </w:p>
        </w:tc>
        <w:tc>
          <w:tcPr>
            <w:tcW w:w="2535" w:type="dxa"/>
            <w:tcBorders>
              <w:top w:val="nil"/>
              <w:bottom w:val="nil"/>
            </w:tcBorders>
          </w:tcPr>
          <w:p>
            <w:pPr>
              <w:pStyle w:val="TableParagraph"/>
              <w:spacing w:before="28"/>
              <w:ind w:left="89"/>
              <w:rPr>
                <w:sz w:val="18"/>
              </w:rPr>
            </w:pPr>
            <w:r>
              <w:rPr>
                <w:color w:val="105C84"/>
                <w:spacing w:val="-2"/>
                <w:sz w:val="18"/>
              </w:rPr>
              <w:t>Data</w:t>
            </w:r>
            <w:r>
              <w:rPr>
                <w:color w:val="105C84"/>
                <w:spacing w:val="-9"/>
                <w:sz w:val="18"/>
              </w:rPr>
              <w:t> </w:t>
            </w:r>
            <w:r>
              <w:rPr>
                <w:color w:val="105C84"/>
                <w:spacing w:val="-2"/>
                <w:sz w:val="18"/>
              </w:rPr>
              <w:t>Source:</w:t>
            </w:r>
            <w:r>
              <w:rPr>
                <w:color w:val="105C84"/>
                <w:spacing w:val="-8"/>
                <w:sz w:val="18"/>
              </w:rPr>
              <w:t> </w:t>
            </w:r>
            <w:r>
              <w:rPr>
                <w:color w:val="105C84"/>
                <w:spacing w:val="-2"/>
                <w:sz w:val="18"/>
              </w:rPr>
              <w:t>BRFSS</w:t>
            </w:r>
          </w:p>
        </w:tc>
        <w:tc>
          <w:tcPr>
            <w:tcW w:w="1268" w:type="dxa"/>
            <w:vMerge/>
            <w:tcBorders>
              <w:top w:val="nil"/>
            </w:tcBorders>
          </w:tcPr>
          <w:p>
            <w:pPr>
              <w:rPr>
                <w:sz w:val="2"/>
                <w:szCs w:val="2"/>
              </w:rPr>
            </w:pPr>
          </w:p>
        </w:tc>
        <w:tc>
          <w:tcPr>
            <w:tcW w:w="3189" w:type="dxa"/>
            <w:vMerge/>
            <w:tcBorders>
              <w:top w:val="nil"/>
              <w:right w:val="nil"/>
            </w:tcBorders>
          </w:tcPr>
          <w:p>
            <w:pPr>
              <w:rPr>
                <w:sz w:val="2"/>
                <w:szCs w:val="2"/>
              </w:rPr>
            </w:pPr>
          </w:p>
        </w:tc>
        <w:tc>
          <w:tcPr>
            <w:tcW w:w="3884" w:type="dxa"/>
            <w:vMerge/>
            <w:tcBorders>
              <w:top w:val="nil"/>
              <w:left w:val="nil"/>
            </w:tcBorders>
          </w:tcPr>
          <w:p>
            <w:pPr>
              <w:rPr>
                <w:sz w:val="2"/>
                <w:szCs w:val="2"/>
              </w:rPr>
            </w:pPr>
          </w:p>
        </w:tc>
        <w:tc>
          <w:tcPr>
            <w:tcW w:w="1852" w:type="dxa"/>
            <w:tcBorders>
              <w:top w:val="nil"/>
              <w:bottom w:val="nil"/>
            </w:tcBorders>
          </w:tcPr>
          <w:p>
            <w:pPr>
              <w:pStyle w:val="TableParagraph"/>
              <w:rPr>
                <w:rFonts w:ascii="Times New Roman"/>
                <w:sz w:val="18"/>
              </w:rPr>
            </w:pPr>
          </w:p>
        </w:tc>
        <w:tc>
          <w:tcPr>
            <w:tcW w:w="2694" w:type="dxa"/>
            <w:vMerge/>
            <w:tcBorders>
              <w:top w:val="nil"/>
            </w:tcBorders>
          </w:tcPr>
          <w:p>
            <w:pPr>
              <w:rPr>
                <w:sz w:val="2"/>
                <w:szCs w:val="2"/>
              </w:rPr>
            </w:pPr>
          </w:p>
        </w:tc>
        <w:tc>
          <w:tcPr>
            <w:tcW w:w="2631" w:type="dxa"/>
            <w:tcBorders>
              <w:top w:val="nil"/>
              <w:bottom w:val="nil"/>
            </w:tcBorders>
          </w:tcPr>
          <w:p>
            <w:pPr>
              <w:pStyle w:val="TableParagraph"/>
              <w:rPr>
                <w:rFonts w:ascii="Times New Roman"/>
                <w:sz w:val="18"/>
              </w:rPr>
            </w:pPr>
          </w:p>
        </w:tc>
      </w:tr>
      <w:tr>
        <w:trPr>
          <w:trHeight w:val="279" w:hRule="atLeast"/>
        </w:trPr>
        <w:tc>
          <w:tcPr>
            <w:tcW w:w="1353" w:type="dxa"/>
            <w:tcBorders>
              <w:top w:val="nil"/>
              <w:bottom w:val="nil"/>
            </w:tcBorders>
            <w:shd w:val="clear" w:color="auto" w:fill="E6E7E8"/>
          </w:tcPr>
          <w:p>
            <w:pPr>
              <w:pStyle w:val="TableParagraph"/>
              <w:rPr>
                <w:rFonts w:ascii="Times New Roman"/>
                <w:sz w:val="18"/>
              </w:rPr>
            </w:pPr>
          </w:p>
        </w:tc>
        <w:tc>
          <w:tcPr>
            <w:tcW w:w="1289" w:type="dxa"/>
            <w:tcBorders>
              <w:top w:val="nil"/>
              <w:bottom w:val="nil"/>
            </w:tcBorders>
          </w:tcPr>
          <w:p>
            <w:pPr>
              <w:pStyle w:val="TableParagraph"/>
              <w:rPr>
                <w:rFonts w:ascii="Times New Roman"/>
                <w:sz w:val="18"/>
              </w:rPr>
            </w:pPr>
          </w:p>
        </w:tc>
        <w:tc>
          <w:tcPr>
            <w:tcW w:w="1563" w:type="dxa"/>
            <w:tcBorders>
              <w:top w:val="nil"/>
              <w:bottom w:val="nil"/>
            </w:tcBorders>
          </w:tcPr>
          <w:p>
            <w:pPr>
              <w:pStyle w:val="TableParagraph"/>
              <w:rPr>
                <w:rFonts w:ascii="Times New Roman"/>
                <w:sz w:val="18"/>
              </w:rPr>
            </w:pPr>
          </w:p>
        </w:tc>
        <w:tc>
          <w:tcPr>
            <w:tcW w:w="2535" w:type="dxa"/>
            <w:tcBorders>
              <w:top w:val="nil"/>
              <w:bottom w:val="nil"/>
            </w:tcBorders>
          </w:tcPr>
          <w:p>
            <w:pPr>
              <w:pStyle w:val="TableParagraph"/>
              <w:spacing w:before="28"/>
              <w:ind w:left="89"/>
              <w:rPr>
                <w:sz w:val="18"/>
              </w:rPr>
            </w:pPr>
            <w:r>
              <w:rPr>
                <w:color w:val="105C84"/>
                <w:sz w:val="18"/>
              </w:rPr>
              <w:t>Data</w:t>
            </w:r>
            <w:r>
              <w:rPr>
                <w:color w:val="105C84"/>
                <w:spacing w:val="-12"/>
                <w:sz w:val="18"/>
              </w:rPr>
              <w:t> </w:t>
            </w:r>
            <w:r>
              <w:rPr>
                <w:color w:val="105C84"/>
                <w:sz w:val="18"/>
              </w:rPr>
              <w:t>Level:</w:t>
            </w:r>
            <w:r>
              <w:rPr>
                <w:color w:val="105C84"/>
                <w:spacing w:val="-11"/>
                <w:sz w:val="18"/>
              </w:rPr>
              <w:t> </w:t>
            </w:r>
            <w:r>
              <w:rPr>
                <w:color w:val="105C84"/>
                <w:sz w:val="18"/>
              </w:rPr>
              <w:t>State</w:t>
            </w:r>
            <w:r>
              <w:rPr>
                <w:color w:val="105C84"/>
                <w:spacing w:val="-11"/>
                <w:sz w:val="18"/>
              </w:rPr>
              <w:t> </w:t>
            </w:r>
            <w:r>
              <w:rPr>
                <w:color w:val="105C84"/>
                <w:sz w:val="18"/>
              </w:rPr>
              <w:t>and</w:t>
            </w:r>
            <w:r>
              <w:rPr>
                <w:color w:val="105C84"/>
                <w:spacing w:val="-11"/>
                <w:sz w:val="18"/>
              </w:rPr>
              <w:t> </w:t>
            </w:r>
            <w:r>
              <w:rPr>
                <w:color w:val="105C84"/>
                <w:spacing w:val="-2"/>
                <w:sz w:val="18"/>
              </w:rPr>
              <w:t>County</w:t>
            </w:r>
          </w:p>
        </w:tc>
        <w:tc>
          <w:tcPr>
            <w:tcW w:w="1268" w:type="dxa"/>
            <w:vMerge/>
            <w:tcBorders>
              <w:top w:val="nil"/>
            </w:tcBorders>
          </w:tcPr>
          <w:p>
            <w:pPr>
              <w:rPr>
                <w:sz w:val="2"/>
                <w:szCs w:val="2"/>
              </w:rPr>
            </w:pPr>
          </w:p>
        </w:tc>
        <w:tc>
          <w:tcPr>
            <w:tcW w:w="3189" w:type="dxa"/>
            <w:vMerge/>
            <w:tcBorders>
              <w:top w:val="nil"/>
              <w:right w:val="nil"/>
            </w:tcBorders>
          </w:tcPr>
          <w:p>
            <w:pPr>
              <w:rPr>
                <w:sz w:val="2"/>
                <w:szCs w:val="2"/>
              </w:rPr>
            </w:pPr>
          </w:p>
        </w:tc>
        <w:tc>
          <w:tcPr>
            <w:tcW w:w="3884" w:type="dxa"/>
            <w:vMerge/>
            <w:tcBorders>
              <w:top w:val="nil"/>
              <w:left w:val="nil"/>
            </w:tcBorders>
          </w:tcPr>
          <w:p>
            <w:pPr>
              <w:rPr>
                <w:sz w:val="2"/>
                <w:szCs w:val="2"/>
              </w:rPr>
            </w:pPr>
          </w:p>
        </w:tc>
        <w:tc>
          <w:tcPr>
            <w:tcW w:w="1852" w:type="dxa"/>
            <w:tcBorders>
              <w:top w:val="nil"/>
              <w:bottom w:val="nil"/>
            </w:tcBorders>
          </w:tcPr>
          <w:p>
            <w:pPr>
              <w:pStyle w:val="TableParagraph"/>
              <w:rPr>
                <w:rFonts w:ascii="Times New Roman"/>
                <w:sz w:val="18"/>
              </w:rPr>
            </w:pPr>
          </w:p>
        </w:tc>
        <w:tc>
          <w:tcPr>
            <w:tcW w:w="2694" w:type="dxa"/>
            <w:vMerge/>
            <w:tcBorders>
              <w:top w:val="nil"/>
            </w:tcBorders>
          </w:tcPr>
          <w:p>
            <w:pPr>
              <w:rPr>
                <w:sz w:val="2"/>
                <w:szCs w:val="2"/>
              </w:rPr>
            </w:pPr>
          </w:p>
        </w:tc>
        <w:tc>
          <w:tcPr>
            <w:tcW w:w="2631" w:type="dxa"/>
            <w:tcBorders>
              <w:top w:val="nil"/>
              <w:bottom w:val="nil"/>
            </w:tcBorders>
          </w:tcPr>
          <w:p>
            <w:pPr>
              <w:pStyle w:val="TableParagraph"/>
              <w:rPr>
                <w:rFonts w:ascii="Times New Roman"/>
                <w:sz w:val="18"/>
              </w:rPr>
            </w:pPr>
          </w:p>
        </w:tc>
      </w:tr>
      <w:tr>
        <w:trPr>
          <w:trHeight w:val="1279" w:hRule="atLeast"/>
        </w:trPr>
        <w:tc>
          <w:tcPr>
            <w:tcW w:w="1353" w:type="dxa"/>
            <w:tcBorders>
              <w:top w:val="nil"/>
              <w:bottom w:val="nil"/>
            </w:tcBorders>
            <w:shd w:val="clear" w:color="auto" w:fill="E6E7E8"/>
          </w:tcPr>
          <w:p>
            <w:pPr>
              <w:pStyle w:val="TableParagraph"/>
              <w:rPr>
                <w:rFonts w:ascii="Times New Roman"/>
                <w:sz w:val="18"/>
              </w:rPr>
            </w:pPr>
          </w:p>
        </w:tc>
        <w:tc>
          <w:tcPr>
            <w:tcW w:w="1289" w:type="dxa"/>
            <w:tcBorders>
              <w:top w:val="nil"/>
              <w:bottom w:val="nil"/>
            </w:tcBorders>
          </w:tcPr>
          <w:p>
            <w:pPr>
              <w:pStyle w:val="TableParagraph"/>
              <w:rPr>
                <w:rFonts w:ascii="Times New Roman"/>
                <w:sz w:val="18"/>
              </w:rPr>
            </w:pPr>
          </w:p>
        </w:tc>
        <w:tc>
          <w:tcPr>
            <w:tcW w:w="1563" w:type="dxa"/>
            <w:tcBorders>
              <w:top w:val="nil"/>
              <w:bottom w:val="nil"/>
            </w:tcBorders>
          </w:tcPr>
          <w:p>
            <w:pPr>
              <w:pStyle w:val="TableParagraph"/>
              <w:rPr>
                <w:rFonts w:ascii="Times New Roman"/>
                <w:sz w:val="18"/>
              </w:rPr>
            </w:pPr>
          </w:p>
        </w:tc>
        <w:tc>
          <w:tcPr>
            <w:tcW w:w="2535" w:type="dxa"/>
            <w:tcBorders>
              <w:top w:val="nil"/>
              <w:bottom w:val="nil"/>
            </w:tcBorders>
          </w:tcPr>
          <w:p>
            <w:pPr>
              <w:pStyle w:val="TableParagraph"/>
              <w:spacing w:line="232" w:lineRule="auto" w:before="33"/>
              <w:ind w:left="89" w:right="132"/>
              <w:rPr>
                <w:sz w:val="18"/>
              </w:rPr>
            </w:pPr>
            <w:r>
              <w:rPr>
                <w:color w:val="105C84"/>
                <w:sz w:val="18"/>
              </w:rPr>
              <w:t>1.5</w:t>
            </w:r>
            <w:r>
              <w:rPr>
                <w:color w:val="105C84"/>
                <w:spacing w:val="-13"/>
                <w:sz w:val="18"/>
              </w:rPr>
              <w:t> </w:t>
            </w:r>
            <w:r>
              <w:rPr>
                <w:color w:val="105C84"/>
                <w:sz w:val="18"/>
              </w:rPr>
              <w:t>Decrease</w:t>
            </w:r>
            <w:r>
              <w:rPr>
                <w:color w:val="105C84"/>
                <w:spacing w:val="-12"/>
                <w:sz w:val="18"/>
              </w:rPr>
              <w:t> </w:t>
            </w:r>
            <w:r>
              <w:rPr>
                <w:color w:val="105C84"/>
                <w:sz w:val="18"/>
              </w:rPr>
              <w:t>the</w:t>
            </w:r>
            <w:r>
              <w:rPr>
                <w:color w:val="105C84"/>
                <w:spacing w:val="-13"/>
                <w:sz w:val="18"/>
              </w:rPr>
              <w:t> </w:t>
            </w:r>
            <w:r>
              <w:rPr>
                <w:color w:val="105C84"/>
                <w:sz w:val="18"/>
              </w:rPr>
              <w:t>percentage</w:t>
            </w:r>
            <w:r>
              <w:rPr>
                <w:color w:val="105C84"/>
                <w:sz w:val="18"/>
              </w:rPr>
              <w:t> of adults ages 18 years</w:t>
            </w:r>
          </w:p>
          <w:p>
            <w:pPr>
              <w:pStyle w:val="TableParagraph"/>
              <w:spacing w:line="232" w:lineRule="auto"/>
              <w:ind w:left="89" w:right="159"/>
              <w:rPr>
                <w:sz w:val="18"/>
              </w:rPr>
            </w:pPr>
            <w:r>
              <w:rPr>
                <w:color w:val="105C84"/>
                <w:sz w:val="18"/>
              </w:rPr>
              <w:t>and older with obesity (among adults with an annual</w:t>
            </w:r>
            <w:r>
              <w:rPr>
                <w:color w:val="105C84"/>
                <w:spacing w:val="-8"/>
                <w:sz w:val="18"/>
              </w:rPr>
              <w:t> </w:t>
            </w:r>
            <w:r>
              <w:rPr>
                <w:color w:val="105C84"/>
                <w:sz w:val="18"/>
              </w:rPr>
              <w:t>household</w:t>
            </w:r>
            <w:r>
              <w:rPr>
                <w:color w:val="105C84"/>
                <w:spacing w:val="-8"/>
                <w:sz w:val="18"/>
              </w:rPr>
              <w:t> </w:t>
            </w:r>
            <w:r>
              <w:rPr>
                <w:color w:val="105C84"/>
                <w:sz w:val="18"/>
              </w:rPr>
              <w:t>income</w:t>
            </w:r>
            <w:r>
              <w:rPr>
                <w:color w:val="105C84"/>
                <w:spacing w:val="-8"/>
                <w:sz w:val="18"/>
              </w:rPr>
              <w:t> </w:t>
            </w:r>
            <w:r>
              <w:rPr>
                <w:color w:val="105C84"/>
                <w:sz w:val="18"/>
              </w:rPr>
              <w:t>of</w:t>
            </w:r>
          </w:p>
          <w:p>
            <w:pPr>
              <w:pStyle w:val="TableParagraph"/>
              <w:spacing w:line="200" w:lineRule="exact"/>
              <w:ind w:left="89"/>
              <w:rPr>
                <w:sz w:val="18"/>
              </w:rPr>
            </w:pPr>
            <w:r>
              <w:rPr>
                <w:color w:val="105C84"/>
                <w:spacing w:val="-2"/>
                <w:sz w:val="18"/>
              </w:rPr>
              <w:t>&lt;$25,000)</w:t>
            </w:r>
          </w:p>
        </w:tc>
        <w:tc>
          <w:tcPr>
            <w:tcW w:w="1268" w:type="dxa"/>
            <w:vMerge/>
            <w:tcBorders>
              <w:top w:val="nil"/>
            </w:tcBorders>
          </w:tcPr>
          <w:p>
            <w:pPr>
              <w:rPr>
                <w:sz w:val="2"/>
                <w:szCs w:val="2"/>
              </w:rPr>
            </w:pPr>
          </w:p>
        </w:tc>
        <w:tc>
          <w:tcPr>
            <w:tcW w:w="3189" w:type="dxa"/>
            <w:vMerge/>
            <w:tcBorders>
              <w:top w:val="nil"/>
              <w:right w:val="nil"/>
            </w:tcBorders>
          </w:tcPr>
          <w:p>
            <w:pPr>
              <w:rPr>
                <w:sz w:val="2"/>
                <w:szCs w:val="2"/>
              </w:rPr>
            </w:pPr>
          </w:p>
        </w:tc>
        <w:tc>
          <w:tcPr>
            <w:tcW w:w="3884" w:type="dxa"/>
            <w:vMerge/>
            <w:tcBorders>
              <w:top w:val="nil"/>
              <w:left w:val="nil"/>
            </w:tcBorders>
          </w:tcPr>
          <w:p>
            <w:pPr>
              <w:rPr>
                <w:sz w:val="2"/>
                <w:szCs w:val="2"/>
              </w:rPr>
            </w:pPr>
          </w:p>
        </w:tc>
        <w:tc>
          <w:tcPr>
            <w:tcW w:w="1852" w:type="dxa"/>
            <w:tcBorders>
              <w:top w:val="nil"/>
              <w:bottom w:val="nil"/>
            </w:tcBorders>
          </w:tcPr>
          <w:p>
            <w:pPr>
              <w:pStyle w:val="TableParagraph"/>
              <w:rPr>
                <w:rFonts w:ascii="Times New Roman"/>
                <w:sz w:val="18"/>
              </w:rPr>
            </w:pPr>
          </w:p>
        </w:tc>
        <w:tc>
          <w:tcPr>
            <w:tcW w:w="2694" w:type="dxa"/>
            <w:vMerge/>
            <w:tcBorders>
              <w:top w:val="nil"/>
            </w:tcBorders>
          </w:tcPr>
          <w:p>
            <w:pPr>
              <w:rPr>
                <w:sz w:val="2"/>
                <w:szCs w:val="2"/>
              </w:rPr>
            </w:pPr>
          </w:p>
        </w:tc>
        <w:tc>
          <w:tcPr>
            <w:tcW w:w="2631" w:type="dxa"/>
            <w:tcBorders>
              <w:top w:val="nil"/>
              <w:bottom w:val="nil"/>
            </w:tcBorders>
          </w:tcPr>
          <w:p>
            <w:pPr>
              <w:pStyle w:val="TableParagraph"/>
              <w:rPr>
                <w:rFonts w:ascii="Times New Roman"/>
                <w:sz w:val="18"/>
              </w:rPr>
            </w:pPr>
          </w:p>
        </w:tc>
      </w:tr>
      <w:tr>
        <w:trPr>
          <w:trHeight w:val="279" w:hRule="atLeast"/>
        </w:trPr>
        <w:tc>
          <w:tcPr>
            <w:tcW w:w="1353" w:type="dxa"/>
            <w:tcBorders>
              <w:top w:val="nil"/>
              <w:bottom w:val="nil"/>
            </w:tcBorders>
            <w:shd w:val="clear" w:color="auto" w:fill="E6E7E8"/>
          </w:tcPr>
          <w:p>
            <w:pPr>
              <w:pStyle w:val="TableParagraph"/>
              <w:rPr>
                <w:rFonts w:ascii="Times New Roman"/>
                <w:sz w:val="18"/>
              </w:rPr>
            </w:pPr>
          </w:p>
        </w:tc>
        <w:tc>
          <w:tcPr>
            <w:tcW w:w="1289" w:type="dxa"/>
            <w:tcBorders>
              <w:top w:val="nil"/>
              <w:bottom w:val="nil"/>
            </w:tcBorders>
          </w:tcPr>
          <w:p>
            <w:pPr>
              <w:pStyle w:val="TableParagraph"/>
              <w:rPr>
                <w:rFonts w:ascii="Times New Roman"/>
                <w:sz w:val="18"/>
              </w:rPr>
            </w:pPr>
          </w:p>
        </w:tc>
        <w:tc>
          <w:tcPr>
            <w:tcW w:w="1563" w:type="dxa"/>
            <w:tcBorders>
              <w:top w:val="nil"/>
              <w:bottom w:val="nil"/>
            </w:tcBorders>
          </w:tcPr>
          <w:p>
            <w:pPr>
              <w:pStyle w:val="TableParagraph"/>
              <w:rPr>
                <w:rFonts w:ascii="Times New Roman"/>
                <w:sz w:val="18"/>
              </w:rPr>
            </w:pPr>
          </w:p>
        </w:tc>
        <w:tc>
          <w:tcPr>
            <w:tcW w:w="2535" w:type="dxa"/>
            <w:tcBorders>
              <w:top w:val="nil"/>
              <w:bottom w:val="nil"/>
            </w:tcBorders>
          </w:tcPr>
          <w:p>
            <w:pPr>
              <w:pStyle w:val="TableParagraph"/>
              <w:spacing w:before="28"/>
              <w:ind w:left="89"/>
              <w:rPr>
                <w:sz w:val="18"/>
              </w:rPr>
            </w:pPr>
            <w:r>
              <w:rPr>
                <w:color w:val="105C84"/>
                <w:spacing w:val="-4"/>
                <w:sz w:val="18"/>
              </w:rPr>
              <w:t>Target:</w:t>
            </w:r>
            <w:r>
              <w:rPr>
                <w:color w:val="105C84"/>
                <w:spacing w:val="-1"/>
                <w:sz w:val="18"/>
              </w:rPr>
              <w:t> </w:t>
            </w:r>
            <w:r>
              <w:rPr>
                <w:color w:val="105C84"/>
                <w:spacing w:val="-2"/>
                <w:sz w:val="18"/>
              </w:rPr>
              <w:t>29.0%</w:t>
            </w:r>
          </w:p>
        </w:tc>
        <w:tc>
          <w:tcPr>
            <w:tcW w:w="1268" w:type="dxa"/>
            <w:vMerge/>
            <w:tcBorders>
              <w:top w:val="nil"/>
            </w:tcBorders>
          </w:tcPr>
          <w:p>
            <w:pPr>
              <w:rPr>
                <w:sz w:val="2"/>
                <w:szCs w:val="2"/>
              </w:rPr>
            </w:pPr>
          </w:p>
        </w:tc>
        <w:tc>
          <w:tcPr>
            <w:tcW w:w="3189" w:type="dxa"/>
            <w:vMerge/>
            <w:tcBorders>
              <w:top w:val="nil"/>
              <w:right w:val="nil"/>
            </w:tcBorders>
          </w:tcPr>
          <w:p>
            <w:pPr>
              <w:rPr>
                <w:sz w:val="2"/>
                <w:szCs w:val="2"/>
              </w:rPr>
            </w:pPr>
          </w:p>
        </w:tc>
        <w:tc>
          <w:tcPr>
            <w:tcW w:w="3884" w:type="dxa"/>
            <w:vMerge/>
            <w:tcBorders>
              <w:top w:val="nil"/>
              <w:left w:val="nil"/>
            </w:tcBorders>
          </w:tcPr>
          <w:p>
            <w:pPr>
              <w:rPr>
                <w:sz w:val="2"/>
                <w:szCs w:val="2"/>
              </w:rPr>
            </w:pPr>
          </w:p>
        </w:tc>
        <w:tc>
          <w:tcPr>
            <w:tcW w:w="1852" w:type="dxa"/>
            <w:tcBorders>
              <w:top w:val="nil"/>
              <w:bottom w:val="nil"/>
            </w:tcBorders>
          </w:tcPr>
          <w:p>
            <w:pPr>
              <w:pStyle w:val="TableParagraph"/>
              <w:rPr>
                <w:rFonts w:ascii="Times New Roman"/>
                <w:sz w:val="18"/>
              </w:rPr>
            </w:pPr>
          </w:p>
        </w:tc>
        <w:tc>
          <w:tcPr>
            <w:tcW w:w="2694" w:type="dxa"/>
            <w:vMerge/>
            <w:tcBorders>
              <w:top w:val="nil"/>
            </w:tcBorders>
          </w:tcPr>
          <w:p>
            <w:pPr>
              <w:rPr>
                <w:sz w:val="2"/>
                <w:szCs w:val="2"/>
              </w:rPr>
            </w:pPr>
          </w:p>
        </w:tc>
        <w:tc>
          <w:tcPr>
            <w:tcW w:w="2631" w:type="dxa"/>
            <w:tcBorders>
              <w:top w:val="nil"/>
              <w:bottom w:val="nil"/>
            </w:tcBorders>
          </w:tcPr>
          <w:p>
            <w:pPr>
              <w:pStyle w:val="TableParagraph"/>
              <w:rPr>
                <w:rFonts w:ascii="Times New Roman"/>
                <w:sz w:val="18"/>
              </w:rPr>
            </w:pPr>
          </w:p>
        </w:tc>
      </w:tr>
      <w:tr>
        <w:trPr>
          <w:trHeight w:val="479" w:hRule="atLeast"/>
        </w:trPr>
        <w:tc>
          <w:tcPr>
            <w:tcW w:w="1353" w:type="dxa"/>
            <w:tcBorders>
              <w:top w:val="nil"/>
              <w:bottom w:val="nil"/>
            </w:tcBorders>
            <w:shd w:val="clear" w:color="auto" w:fill="E6E7E8"/>
          </w:tcPr>
          <w:p>
            <w:pPr>
              <w:pStyle w:val="TableParagraph"/>
              <w:rPr>
                <w:rFonts w:ascii="Times New Roman"/>
                <w:sz w:val="18"/>
              </w:rPr>
            </w:pPr>
          </w:p>
        </w:tc>
        <w:tc>
          <w:tcPr>
            <w:tcW w:w="1289" w:type="dxa"/>
            <w:tcBorders>
              <w:top w:val="nil"/>
              <w:bottom w:val="nil"/>
            </w:tcBorders>
          </w:tcPr>
          <w:p>
            <w:pPr>
              <w:pStyle w:val="TableParagraph"/>
              <w:rPr>
                <w:rFonts w:ascii="Times New Roman"/>
                <w:sz w:val="18"/>
              </w:rPr>
            </w:pPr>
          </w:p>
        </w:tc>
        <w:tc>
          <w:tcPr>
            <w:tcW w:w="1563" w:type="dxa"/>
            <w:tcBorders>
              <w:top w:val="nil"/>
              <w:bottom w:val="nil"/>
            </w:tcBorders>
          </w:tcPr>
          <w:p>
            <w:pPr>
              <w:pStyle w:val="TableParagraph"/>
              <w:rPr>
                <w:rFonts w:ascii="Times New Roman"/>
                <w:sz w:val="18"/>
              </w:rPr>
            </w:pPr>
          </w:p>
        </w:tc>
        <w:tc>
          <w:tcPr>
            <w:tcW w:w="2535" w:type="dxa"/>
            <w:tcBorders>
              <w:top w:val="nil"/>
              <w:bottom w:val="nil"/>
            </w:tcBorders>
          </w:tcPr>
          <w:p>
            <w:pPr>
              <w:pStyle w:val="TableParagraph"/>
              <w:spacing w:line="203" w:lineRule="exact" w:before="28"/>
              <w:ind w:left="89"/>
              <w:rPr>
                <w:sz w:val="18"/>
              </w:rPr>
            </w:pPr>
            <w:r>
              <w:rPr>
                <w:color w:val="105C84"/>
                <w:w w:val="90"/>
                <w:sz w:val="18"/>
              </w:rPr>
              <w:t>Baseline:</w:t>
            </w:r>
            <w:r>
              <w:rPr>
                <w:color w:val="105C84"/>
                <w:spacing w:val="12"/>
                <w:sz w:val="18"/>
              </w:rPr>
              <w:t> </w:t>
            </w:r>
            <w:r>
              <w:rPr>
                <w:color w:val="105C84"/>
                <w:w w:val="90"/>
                <w:sz w:val="18"/>
              </w:rPr>
              <w:t>30.5%</w:t>
            </w:r>
            <w:r>
              <w:rPr>
                <w:color w:val="105C84"/>
                <w:spacing w:val="12"/>
                <w:sz w:val="18"/>
              </w:rPr>
              <w:t> </w:t>
            </w:r>
            <w:r>
              <w:rPr>
                <w:color w:val="105C84"/>
                <w:w w:val="90"/>
                <w:sz w:val="18"/>
              </w:rPr>
              <w:t>(2016)</w:t>
            </w:r>
            <w:r>
              <w:rPr>
                <w:color w:val="105C84"/>
                <w:spacing w:val="13"/>
                <w:sz w:val="18"/>
              </w:rPr>
              <w:t> </w:t>
            </w:r>
            <w:r>
              <w:rPr>
                <w:color w:val="105C84"/>
                <w:spacing w:val="-5"/>
                <w:w w:val="90"/>
                <w:sz w:val="18"/>
              </w:rPr>
              <w:t>31%</w:t>
            </w:r>
          </w:p>
          <w:p>
            <w:pPr>
              <w:pStyle w:val="TableParagraph"/>
              <w:spacing w:line="203" w:lineRule="exact"/>
              <w:ind w:left="89"/>
              <w:rPr>
                <w:sz w:val="18"/>
              </w:rPr>
            </w:pPr>
            <w:r>
              <w:rPr>
                <w:color w:val="105C84"/>
                <w:spacing w:val="-2"/>
                <w:sz w:val="18"/>
              </w:rPr>
              <w:t>(2017)</w:t>
            </w:r>
          </w:p>
        </w:tc>
        <w:tc>
          <w:tcPr>
            <w:tcW w:w="1268" w:type="dxa"/>
            <w:vMerge/>
            <w:tcBorders>
              <w:top w:val="nil"/>
            </w:tcBorders>
          </w:tcPr>
          <w:p>
            <w:pPr>
              <w:rPr>
                <w:sz w:val="2"/>
                <w:szCs w:val="2"/>
              </w:rPr>
            </w:pPr>
          </w:p>
        </w:tc>
        <w:tc>
          <w:tcPr>
            <w:tcW w:w="3189" w:type="dxa"/>
            <w:vMerge/>
            <w:tcBorders>
              <w:top w:val="nil"/>
              <w:right w:val="nil"/>
            </w:tcBorders>
          </w:tcPr>
          <w:p>
            <w:pPr>
              <w:rPr>
                <w:sz w:val="2"/>
                <w:szCs w:val="2"/>
              </w:rPr>
            </w:pPr>
          </w:p>
        </w:tc>
        <w:tc>
          <w:tcPr>
            <w:tcW w:w="3884" w:type="dxa"/>
            <w:vMerge/>
            <w:tcBorders>
              <w:top w:val="nil"/>
              <w:left w:val="nil"/>
            </w:tcBorders>
          </w:tcPr>
          <w:p>
            <w:pPr>
              <w:rPr>
                <w:sz w:val="2"/>
                <w:szCs w:val="2"/>
              </w:rPr>
            </w:pPr>
          </w:p>
        </w:tc>
        <w:tc>
          <w:tcPr>
            <w:tcW w:w="1852" w:type="dxa"/>
            <w:tcBorders>
              <w:top w:val="nil"/>
              <w:bottom w:val="nil"/>
            </w:tcBorders>
          </w:tcPr>
          <w:p>
            <w:pPr>
              <w:pStyle w:val="TableParagraph"/>
              <w:rPr>
                <w:rFonts w:ascii="Times New Roman"/>
                <w:sz w:val="18"/>
              </w:rPr>
            </w:pPr>
          </w:p>
        </w:tc>
        <w:tc>
          <w:tcPr>
            <w:tcW w:w="2694" w:type="dxa"/>
            <w:vMerge/>
            <w:tcBorders>
              <w:top w:val="nil"/>
            </w:tcBorders>
          </w:tcPr>
          <w:p>
            <w:pPr>
              <w:rPr>
                <w:sz w:val="2"/>
                <w:szCs w:val="2"/>
              </w:rPr>
            </w:pPr>
          </w:p>
        </w:tc>
        <w:tc>
          <w:tcPr>
            <w:tcW w:w="2631" w:type="dxa"/>
            <w:tcBorders>
              <w:top w:val="nil"/>
              <w:bottom w:val="nil"/>
            </w:tcBorders>
          </w:tcPr>
          <w:p>
            <w:pPr>
              <w:pStyle w:val="TableParagraph"/>
              <w:rPr>
                <w:rFonts w:ascii="Times New Roman"/>
                <w:sz w:val="18"/>
              </w:rPr>
            </w:pPr>
          </w:p>
        </w:tc>
      </w:tr>
      <w:tr>
        <w:trPr>
          <w:trHeight w:val="279" w:hRule="atLeast"/>
        </w:trPr>
        <w:tc>
          <w:tcPr>
            <w:tcW w:w="1353" w:type="dxa"/>
            <w:tcBorders>
              <w:top w:val="nil"/>
              <w:bottom w:val="nil"/>
            </w:tcBorders>
            <w:shd w:val="clear" w:color="auto" w:fill="E6E7E8"/>
          </w:tcPr>
          <w:p>
            <w:pPr>
              <w:pStyle w:val="TableParagraph"/>
              <w:rPr>
                <w:rFonts w:ascii="Times New Roman"/>
                <w:sz w:val="18"/>
              </w:rPr>
            </w:pPr>
          </w:p>
        </w:tc>
        <w:tc>
          <w:tcPr>
            <w:tcW w:w="1289" w:type="dxa"/>
            <w:tcBorders>
              <w:top w:val="nil"/>
              <w:bottom w:val="nil"/>
            </w:tcBorders>
          </w:tcPr>
          <w:p>
            <w:pPr>
              <w:pStyle w:val="TableParagraph"/>
              <w:rPr>
                <w:rFonts w:ascii="Times New Roman"/>
                <w:sz w:val="18"/>
              </w:rPr>
            </w:pPr>
          </w:p>
        </w:tc>
        <w:tc>
          <w:tcPr>
            <w:tcW w:w="1563" w:type="dxa"/>
            <w:tcBorders>
              <w:top w:val="nil"/>
              <w:bottom w:val="nil"/>
            </w:tcBorders>
          </w:tcPr>
          <w:p>
            <w:pPr>
              <w:pStyle w:val="TableParagraph"/>
              <w:rPr>
                <w:rFonts w:ascii="Times New Roman"/>
                <w:sz w:val="18"/>
              </w:rPr>
            </w:pPr>
          </w:p>
        </w:tc>
        <w:tc>
          <w:tcPr>
            <w:tcW w:w="2535" w:type="dxa"/>
            <w:tcBorders>
              <w:top w:val="nil"/>
              <w:bottom w:val="nil"/>
            </w:tcBorders>
          </w:tcPr>
          <w:p>
            <w:pPr>
              <w:pStyle w:val="TableParagraph"/>
              <w:spacing w:before="28"/>
              <w:ind w:left="89"/>
              <w:rPr>
                <w:sz w:val="18"/>
              </w:rPr>
            </w:pPr>
            <w:r>
              <w:rPr>
                <w:color w:val="105C84"/>
                <w:spacing w:val="-2"/>
                <w:sz w:val="18"/>
              </w:rPr>
              <w:t>Data</w:t>
            </w:r>
            <w:r>
              <w:rPr>
                <w:color w:val="105C84"/>
                <w:spacing w:val="-9"/>
                <w:sz w:val="18"/>
              </w:rPr>
              <w:t> </w:t>
            </w:r>
            <w:r>
              <w:rPr>
                <w:color w:val="105C84"/>
                <w:spacing w:val="-2"/>
                <w:sz w:val="18"/>
              </w:rPr>
              <w:t>Source:</w:t>
            </w:r>
            <w:r>
              <w:rPr>
                <w:color w:val="105C84"/>
                <w:spacing w:val="-8"/>
                <w:sz w:val="18"/>
              </w:rPr>
              <w:t> </w:t>
            </w:r>
            <w:r>
              <w:rPr>
                <w:color w:val="105C84"/>
                <w:spacing w:val="-2"/>
                <w:sz w:val="18"/>
              </w:rPr>
              <w:t>BRFSS</w:t>
            </w:r>
          </w:p>
        </w:tc>
        <w:tc>
          <w:tcPr>
            <w:tcW w:w="1268" w:type="dxa"/>
            <w:vMerge/>
            <w:tcBorders>
              <w:top w:val="nil"/>
            </w:tcBorders>
          </w:tcPr>
          <w:p>
            <w:pPr>
              <w:rPr>
                <w:sz w:val="2"/>
                <w:szCs w:val="2"/>
              </w:rPr>
            </w:pPr>
          </w:p>
        </w:tc>
        <w:tc>
          <w:tcPr>
            <w:tcW w:w="3189" w:type="dxa"/>
            <w:vMerge/>
            <w:tcBorders>
              <w:top w:val="nil"/>
              <w:right w:val="nil"/>
            </w:tcBorders>
          </w:tcPr>
          <w:p>
            <w:pPr>
              <w:rPr>
                <w:sz w:val="2"/>
                <w:szCs w:val="2"/>
              </w:rPr>
            </w:pPr>
          </w:p>
        </w:tc>
        <w:tc>
          <w:tcPr>
            <w:tcW w:w="3884" w:type="dxa"/>
            <w:vMerge/>
            <w:tcBorders>
              <w:top w:val="nil"/>
              <w:left w:val="nil"/>
            </w:tcBorders>
          </w:tcPr>
          <w:p>
            <w:pPr>
              <w:rPr>
                <w:sz w:val="2"/>
                <w:szCs w:val="2"/>
              </w:rPr>
            </w:pPr>
          </w:p>
        </w:tc>
        <w:tc>
          <w:tcPr>
            <w:tcW w:w="1852" w:type="dxa"/>
            <w:tcBorders>
              <w:top w:val="nil"/>
              <w:bottom w:val="nil"/>
            </w:tcBorders>
          </w:tcPr>
          <w:p>
            <w:pPr>
              <w:pStyle w:val="TableParagraph"/>
              <w:rPr>
                <w:rFonts w:ascii="Times New Roman"/>
                <w:sz w:val="18"/>
              </w:rPr>
            </w:pPr>
          </w:p>
        </w:tc>
        <w:tc>
          <w:tcPr>
            <w:tcW w:w="2694" w:type="dxa"/>
            <w:vMerge/>
            <w:tcBorders>
              <w:top w:val="nil"/>
            </w:tcBorders>
          </w:tcPr>
          <w:p>
            <w:pPr>
              <w:rPr>
                <w:sz w:val="2"/>
                <w:szCs w:val="2"/>
              </w:rPr>
            </w:pPr>
          </w:p>
        </w:tc>
        <w:tc>
          <w:tcPr>
            <w:tcW w:w="2631" w:type="dxa"/>
            <w:tcBorders>
              <w:top w:val="nil"/>
              <w:bottom w:val="nil"/>
            </w:tcBorders>
          </w:tcPr>
          <w:p>
            <w:pPr>
              <w:pStyle w:val="TableParagraph"/>
              <w:rPr>
                <w:rFonts w:ascii="Times New Roman"/>
                <w:sz w:val="18"/>
              </w:rPr>
            </w:pPr>
          </w:p>
        </w:tc>
      </w:tr>
      <w:tr>
        <w:trPr>
          <w:trHeight w:val="279" w:hRule="atLeast"/>
        </w:trPr>
        <w:tc>
          <w:tcPr>
            <w:tcW w:w="1353" w:type="dxa"/>
            <w:tcBorders>
              <w:top w:val="nil"/>
              <w:bottom w:val="nil"/>
            </w:tcBorders>
            <w:shd w:val="clear" w:color="auto" w:fill="E6E7E8"/>
          </w:tcPr>
          <w:p>
            <w:pPr>
              <w:pStyle w:val="TableParagraph"/>
              <w:rPr>
                <w:rFonts w:ascii="Times New Roman"/>
                <w:sz w:val="18"/>
              </w:rPr>
            </w:pPr>
          </w:p>
        </w:tc>
        <w:tc>
          <w:tcPr>
            <w:tcW w:w="1289" w:type="dxa"/>
            <w:tcBorders>
              <w:top w:val="nil"/>
              <w:bottom w:val="nil"/>
            </w:tcBorders>
          </w:tcPr>
          <w:p>
            <w:pPr>
              <w:pStyle w:val="TableParagraph"/>
              <w:rPr>
                <w:rFonts w:ascii="Times New Roman"/>
                <w:sz w:val="18"/>
              </w:rPr>
            </w:pPr>
          </w:p>
        </w:tc>
        <w:tc>
          <w:tcPr>
            <w:tcW w:w="1563" w:type="dxa"/>
            <w:tcBorders>
              <w:top w:val="nil"/>
              <w:bottom w:val="nil"/>
            </w:tcBorders>
          </w:tcPr>
          <w:p>
            <w:pPr>
              <w:pStyle w:val="TableParagraph"/>
              <w:rPr>
                <w:rFonts w:ascii="Times New Roman"/>
                <w:sz w:val="18"/>
              </w:rPr>
            </w:pPr>
          </w:p>
        </w:tc>
        <w:tc>
          <w:tcPr>
            <w:tcW w:w="2535" w:type="dxa"/>
            <w:tcBorders>
              <w:top w:val="nil"/>
              <w:bottom w:val="nil"/>
            </w:tcBorders>
          </w:tcPr>
          <w:p>
            <w:pPr>
              <w:pStyle w:val="TableParagraph"/>
              <w:spacing w:before="28"/>
              <w:ind w:left="89"/>
              <w:rPr>
                <w:sz w:val="18"/>
              </w:rPr>
            </w:pPr>
            <w:r>
              <w:rPr>
                <w:color w:val="105C84"/>
                <w:sz w:val="18"/>
              </w:rPr>
              <w:t>Data</w:t>
            </w:r>
            <w:r>
              <w:rPr>
                <w:color w:val="105C84"/>
                <w:spacing w:val="-12"/>
                <w:sz w:val="18"/>
              </w:rPr>
              <w:t> </w:t>
            </w:r>
            <w:r>
              <w:rPr>
                <w:color w:val="105C84"/>
                <w:sz w:val="18"/>
              </w:rPr>
              <w:t>Level:</w:t>
            </w:r>
            <w:r>
              <w:rPr>
                <w:color w:val="105C84"/>
                <w:spacing w:val="-11"/>
                <w:sz w:val="18"/>
              </w:rPr>
              <w:t> </w:t>
            </w:r>
            <w:r>
              <w:rPr>
                <w:color w:val="105C84"/>
                <w:sz w:val="18"/>
              </w:rPr>
              <w:t>State</w:t>
            </w:r>
            <w:r>
              <w:rPr>
                <w:color w:val="105C84"/>
                <w:spacing w:val="-11"/>
                <w:sz w:val="18"/>
              </w:rPr>
              <w:t> </w:t>
            </w:r>
            <w:r>
              <w:rPr>
                <w:color w:val="105C84"/>
                <w:sz w:val="18"/>
              </w:rPr>
              <w:t>and</w:t>
            </w:r>
            <w:r>
              <w:rPr>
                <w:color w:val="105C84"/>
                <w:spacing w:val="-11"/>
                <w:sz w:val="18"/>
              </w:rPr>
              <w:t> </w:t>
            </w:r>
            <w:r>
              <w:rPr>
                <w:color w:val="105C84"/>
                <w:spacing w:val="-2"/>
                <w:sz w:val="18"/>
              </w:rPr>
              <w:t>County</w:t>
            </w:r>
          </w:p>
        </w:tc>
        <w:tc>
          <w:tcPr>
            <w:tcW w:w="1268" w:type="dxa"/>
            <w:vMerge/>
            <w:tcBorders>
              <w:top w:val="nil"/>
            </w:tcBorders>
          </w:tcPr>
          <w:p>
            <w:pPr>
              <w:rPr>
                <w:sz w:val="2"/>
                <w:szCs w:val="2"/>
              </w:rPr>
            </w:pPr>
          </w:p>
        </w:tc>
        <w:tc>
          <w:tcPr>
            <w:tcW w:w="3189" w:type="dxa"/>
            <w:vMerge/>
            <w:tcBorders>
              <w:top w:val="nil"/>
              <w:right w:val="nil"/>
            </w:tcBorders>
          </w:tcPr>
          <w:p>
            <w:pPr>
              <w:rPr>
                <w:sz w:val="2"/>
                <w:szCs w:val="2"/>
              </w:rPr>
            </w:pPr>
          </w:p>
        </w:tc>
        <w:tc>
          <w:tcPr>
            <w:tcW w:w="3884" w:type="dxa"/>
            <w:vMerge/>
            <w:tcBorders>
              <w:top w:val="nil"/>
              <w:left w:val="nil"/>
            </w:tcBorders>
          </w:tcPr>
          <w:p>
            <w:pPr>
              <w:rPr>
                <w:sz w:val="2"/>
                <w:szCs w:val="2"/>
              </w:rPr>
            </w:pPr>
          </w:p>
        </w:tc>
        <w:tc>
          <w:tcPr>
            <w:tcW w:w="1852" w:type="dxa"/>
            <w:tcBorders>
              <w:top w:val="nil"/>
              <w:bottom w:val="nil"/>
            </w:tcBorders>
          </w:tcPr>
          <w:p>
            <w:pPr>
              <w:pStyle w:val="TableParagraph"/>
              <w:rPr>
                <w:rFonts w:ascii="Times New Roman"/>
                <w:sz w:val="18"/>
              </w:rPr>
            </w:pPr>
          </w:p>
        </w:tc>
        <w:tc>
          <w:tcPr>
            <w:tcW w:w="2694" w:type="dxa"/>
            <w:vMerge/>
            <w:tcBorders>
              <w:top w:val="nil"/>
            </w:tcBorders>
          </w:tcPr>
          <w:p>
            <w:pPr>
              <w:rPr>
                <w:sz w:val="2"/>
                <w:szCs w:val="2"/>
              </w:rPr>
            </w:pPr>
          </w:p>
        </w:tc>
        <w:tc>
          <w:tcPr>
            <w:tcW w:w="2631" w:type="dxa"/>
            <w:tcBorders>
              <w:top w:val="nil"/>
              <w:bottom w:val="nil"/>
            </w:tcBorders>
          </w:tcPr>
          <w:p>
            <w:pPr>
              <w:pStyle w:val="TableParagraph"/>
              <w:rPr>
                <w:rFonts w:ascii="Times New Roman"/>
                <w:sz w:val="18"/>
              </w:rPr>
            </w:pPr>
          </w:p>
        </w:tc>
      </w:tr>
      <w:tr>
        <w:trPr>
          <w:trHeight w:val="1079" w:hRule="atLeast"/>
        </w:trPr>
        <w:tc>
          <w:tcPr>
            <w:tcW w:w="1353" w:type="dxa"/>
            <w:tcBorders>
              <w:top w:val="nil"/>
              <w:bottom w:val="nil"/>
            </w:tcBorders>
            <w:shd w:val="clear" w:color="auto" w:fill="E6E7E8"/>
          </w:tcPr>
          <w:p>
            <w:pPr>
              <w:pStyle w:val="TableParagraph"/>
              <w:rPr>
                <w:rFonts w:ascii="Times New Roman"/>
                <w:sz w:val="18"/>
              </w:rPr>
            </w:pPr>
          </w:p>
        </w:tc>
        <w:tc>
          <w:tcPr>
            <w:tcW w:w="1289" w:type="dxa"/>
            <w:tcBorders>
              <w:top w:val="nil"/>
              <w:bottom w:val="nil"/>
            </w:tcBorders>
          </w:tcPr>
          <w:p>
            <w:pPr>
              <w:pStyle w:val="TableParagraph"/>
              <w:rPr>
                <w:rFonts w:ascii="Times New Roman"/>
                <w:sz w:val="18"/>
              </w:rPr>
            </w:pPr>
          </w:p>
        </w:tc>
        <w:tc>
          <w:tcPr>
            <w:tcW w:w="1563" w:type="dxa"/>
            <w:tcBorders>
              <w:top w:val="nil"/>
              <w:bottom w:val="nil"/>
            </w:tcBorders>
          </w:tcPr>
          <w:p>
            <w:pPr>
              <w:pStyle w:val="TableParagraph"/>
              <w:rPr>
                <w:rFonts w:ascii="Times New Roman"/>
                <w:sz w:val="18"/>
              </w:rPr>
            </w:pPr>
          </w:p>
        </w:tc>
        <w:tc>
          <w:tcPr>
            <w:tcW w:w="2535" w:type="dxa"/>
            <w:tcBorders>
              <w:top w:val="nil"/>
              <w:bottom w:val="nil"/>
            </w:tcBorders>
          </w:tcPr>
          <w:p>
            <w:pPr>
              <w:pStyle w:val="TableParagraph"/>
              <w:spacing w:line="232" w:lineRule="auto" w:before="33"/>
              <w:ind w:left="89" w:right="132"/>
              <w:rPr>
                <w:sz w:val="18"/>
              </w:rPr>
            </w:pPr>
            <w:r>
              <w:rPr>
                <w:color w:val="105C84"/>
                <w:sz w:val="18"/>
              </w:rPr>
              <w:t>1.9</w:t>
            </w:r>
            <w:r>
              <w:rPr>
                <w:color w:val="105C84"/>
                <w:spacing w:val="-13"/>
                <w:sz w:val="18"/>
              </w:rPr>
              <w:t> </w:t>
            </w:r>
            <w:r>
              <w:rPr>
                <w:color w:val="105C84"/>
                <w:sz w:val="18"/>
              </w:rPr>
              <w:t>Decrease</w:t>
            </w:r>
            <w:r>
              <w:rPr>
                <w:color w:val="105C84"/>
                <w:spacing w:val="-12"/>
                <w:sz w:val="18"/>
              </w:rPr>
              <w:t> </w:t>
            </w:r>
            <w:r>
              <w:rPr>
                <w:color w:val="105C84"/>
                <w:sz w:val="18"/>
              </w:rPr>
              <w:t>the</w:t>
            </w:r>
            <w:r>
              <w:rPr>
                <w:color w:val="105C84"/>
                <w:spacing w:val="-13"/>
                <w:sz w:val="18"/>
              </w:rPr>
              <w:t> </w:t>
            </w:r>
            <w:r>
              <w:rPr>
                <w:color w:val="105C84"/>
                <w:sz w:val="18"/>
              </w:rPr>
              <w:t>percentage</w:t>
            </w:r>
            <w:r>
              <w:rPr>
                <w:color w:val="105C84"/>
                <w:sz w:val="18"/>
              </w:rPr>
              <w:t> of adults who consume</w:t>
            </w:r>
          </w:p>
          <w:p>
            <w:pPr>
              <w:pStyle w:val="TableParagraph"/>
              <w:spacing w:line="232" w:lineRule="auto"/>
              <w:ind w:left="89"/>
              <w:rPr>
                <w:sz w:val="18"/>
              </w:rPr>
            </w:pPr>
            <w:r>
              <w:rPr>
                <w:color w:val="105C84"/>
                <w:sz w:val="18"/>
              </w:rPr>
              <w:t>less than one fruit and less than</w:t>
            </w:r>
            <w:r>
              <w:rPr>
                <w:color w:val="105C84"/>
                <w:spacing w:val="-4"/>
                <w:sz w:val="18"/>
              </w:rPr>
              <w:t> </w:t>
            </w:r>
            <w:r>
              <w:rPr>
                <w:color w:val="105C84"/>
                <w:sz w:val="18"/>
              </w:rPr>
              <w:t>one</w:t>
            </w:r>
            <w:r>
              <w:rPr>
                <w:color w:val="105C84"/>
                <w:spacing w:val="-4"/>
                <w:sz w:val="18"/>
              </w:rPr>
              <w:t> </w:t>
            </w:r>
            <w:r>
              <w:rPr>
                <w:color w:val="105C84"/>
                <w:sz w:val="18"/>
              </w:rPr>
              <w:t>vegetable</w:t>
            </w:r>
            <w:r>
              <w:rPr>
                <w:color w:val="105C84"/>
                <w:spacing w:val="-4"/>
                <w:sz w:val="18"/>
              </w:rPr>
              <w:t> </w:t>
            </w:r>
            <w:r>
              <w:rPr>
                <w:color w:val="105C84"/>
                <w:sz w:val="18"/>
              </w:rPr>
              <w:t>per</w:t>
            </w:r>
            <w:r>
              <w:rPr>
                <w:color w:val="105C84"/>
                <w:spacing w:val="-4"/>
                <w:sz w:val="18"/>
              </w:rPr>
              <w:t> </w:t>
            </w:r>
            <w:r>
              <w:rPr>
                <w:color w:val="105C84"/>
                <w:sz w:val="18"/>
              </w:rPr>
              <w:t>day (among all adults)</w:t>
            </w:r>
          </w:p>
        </w:tc>
        <w:tc>
          <w:tcPr>
            <w:tcW w:w="1268" w:type="dxa"/>
            <w:vMerge/>
            <w:tcBorders>
              <w:top w:val="nil"/>
            </w:tcBorders>
          </w:tcPr>
          <w:p>
            <w:pPr>
              <w:rPr>
                <w:sz w:val="2"/>
                <w:szCs w:val="2"/>
              </w:rPr>
            </w:pPr>
          </w:p>
        </w:tc>
        <w:tc>
          <w:tcPr>
            <w:tcW w:w="3189" w:type="dxa"/>
            <w:vMerge/>
            <w:tcBorders>
              <w:top w:val="nil"/>
              <w:right w:val="nil"/>
            </w:tcBorders>
          </w:tcPr>
          <w:p>
            <w:pPr>
              <w:rPr>
                <w:sz w:val="2"/>
                <w:szCs w:val="2"/>
              </w:rPr>
            </w:pPr>
          </w:p>
        </w:tc>
        <w:tc>
          <w:tcPr>
            <w:tcW w:w="3884" w:type="dxa"/>
            <w:vMerge/>
            <w:tcBorders>
              <w:top w:val="nil"/>
              <w:left w:val="nil"/>
            </w:tcBorders>
          </w:tcPr>
          <w:p>
            <w:pPr>
              <w:rPr>
                <w:sz w:val="2"/>
                <w:szCs w:val="2"/>
              </w:rPr>
            </w:pPr>
          </w:p>
        </w:tc>
        <w:tc>
          <w:tcPr>
            <w:tcW w:w="1852" w:type="dxa"/>
            <w:tcBorders>
              <w:top w:val="nil"/>
              <w:bottom w:val="nil"/>
            </w:tcBorders>
          </w:tcPr>
          <w:p>
            <w:pPr>
              <w:pStyle w:val="TableParagraph"/>
              <w:rPr>
                <w:rFonts w:ascii="Times New Roman"/>
                <w:sz w:val="18"/>
              </w:rPr>
            </w:pPr>
          </w:p>
        </w:tc>
        <w:tc>
          <w:tcPr>
            <w:tcW w:w="2694" w:type="dxa"/>
            <w:vMerge/>
            <w:tcBorders>
              <w:top w:val="nil"/>
            </w:tcBorders>
          </w:tcPr>
          <w:p>
            <w:pPr>
              <w:rPr>
                <w:sz w:val="2"/>
                <w:szCs w:val="2"/>
              </w:rPr>
            </w:pPr>
          </w:p>
        </w:tc>
        <w:tc>
          <w:tcPr>
            <w:tcW w:w="2631" w:type="dxa"/>
            <w:tcBorders>
              <w:top w:val="nil"/>
              <w:bottom w:val="nil"/>
            </w:tcBorders>
          </w:tcPr>
          <w:p>
            <w:pPr>
              <w:pStyle w:val="TableParagraph"/>
              <w:rPr>
                <w:rFonts w:ascii="Times New Roman"/>
                <w:sz w:val="18"/>
              </w:rPr>
            </w:pPr>
          </w:p>
        </w:tc>
      </w:tr>
      <w:tr>
        <w:trPr>
          <w:trHeight w:val="279" w:hRule="atLeast"/>
        </w:trPr>
        <w:tc>
          <w:tcPr>
            <w:tcW w:w="1353" w:type="dxa"/>
            <w:tcBorders>
              <w:top w:val="nil"/>
              <w:bottom w:val="nil"/>
            </w:tcBorders>
            <w:shd w:val="clear" w:color="auto" w:fill="E6E7E8"/>
          </w:tcPr>
          <w:p>
            <w:pPr>
              <w:pStyle w:val="TableParagraph"/>
              <w:rPr>
                <w:rFonts w:ascii="Times New Roman"/>
                <w:sz w:val="18"/>
              </w:rPr>
            </w:pPr>
          </w:p>
        </w:tc>
        <w:tc>
          <w:tcPr>
            <w:tcW w:w="1289" w:type="dxa"/>
            <w:tcBorders>
              <w:top w:val="nil"/>
              <w:bottom w:val="nil"/>
            </w:tcBorders>
          </w:tcPr>
          <w:p>
            <w:pPr>
              <w:pStyle w:val="TableParagraph"/>
              <w:rPr>
                <w:rFonts w:ascii="Times New Roman"/>
                <w:sz w:val="18"/>
              </w:rPr>
            </w:pPr>
          </w:p>
        </w:tc>
        <w:tc>
          <w:tcPr>
            <w:tcW w:w="1563" w:type="dxa"/>
            <w:tcBorders>
              <w:top w:val="nil"/>
              <w:bottom w:val="nil"/>
            </w:tcBorders>
          </w:tcPr>
          <w:p>
            <w:pPr>
              <w:pStyle w:val="TableParagraph"/>
              <w:rPr>
                <w:rFonts w:ascii="Times New Roman"/>
                <w:sz w:val="18"/>
              </w:rPr>
            </w:pPr>
          </w:p>
        </w:tc>
        <w:tc>
          <w:tcPr>
            <w:tcW w:w="2535" w:type="dxa"/>
            <w:tcBorders>
              <w:top w:val="nil"/>
              <w:bottom w:val="nil"/>
            </w:tcBorders>
          </w:tcPr>
          <w:p>
            <w:pPr>
              <w:pStyle w:val="TableParagraph"/>
              <w:spacing w:before="28"/>
              <w:ind w:left="89"/>
              <w:rPr>
                <w:sz w:val="18"/>
              </w:rPr>
            </w:pPr>
            <w:r>
              <w:rPr>
                <w:color w:val="105C84"/>
                <w:spacing w:val="-4"/>
                <w:sz w:val="18"/>
              </w:rPr>
              <w:t>Target:</w:t>
            </w:r>
            <w:r>
              <w:rPr>
                <w:color w:val="105C84"/>
                <w:spacing w:val="-1"/>
                <w:sz w:val="18"/>
              </w:rPr>
              <w:t> </w:t>
            </w:r>
            <w:r>
              <w:rPr>
                <w:color w:val="105C84"/>
                <w:spacing w:val="-2"/>
                <w:sz w:val="18"/>
              </w:rPr>
              <w:t>29.6%</w:t>
            </w:r>
          </w:p>
        </w:tc>
        <w:tc>
          <w:tcPr>
            <w:tcW w:w="1268" w:type="dxa"/>
            <w:vMerge/>
            <w:tcBorders>
              <w:top w:val="nil"/>
            </w:tcBorders>
          </w:tcPr>
          <w:p>
            <w:pPr>
              <w:rPr>
                <w:sz w:val="2"/>
                <w:szCs w:val="2"/>
              </w:rPr>
            </w:pPr>
          </w:p>
        </w:tc>
        <w:tc>
          <w:tcPr>
            <w:tcW w:w="3189" w:type="dxa"/>
            <w:vMerge/>
            <w:tcBorders>
              <w:top w:val="nil"/>
              <w:right w:val="nil"/>
            </w:tcBorders>
          </w:tcPr>
          <w:p>
            <w:pPr>
              <w:rPr>
                <w:sz w:val="2"/>
                <w:szCs w:val="2"/>
              </w:rPr>
            </w:pPr>
          </w:p>
        </w:tc>
        <w:tc>
          <w:tcPr>
            <w:tcW w:w="3884" w:type="dxa"/>
            <w:vMerge/>
            <w:tcBorders>
              <w:top w:val="nil"/>
              <w:left w:val="nil"/>
            </w:tcBorders>
          </w:tcPr>
          <w:p>
            <w:pPr>
              <w:rPr>
                <w:sz w:val="2"/>
                <w:szCs w:val="2"/>
              </w:rPr>
            </w:pPr>
          </w:p>
        </w:tc>
        <w:tc>
          <w:tcPr>
            <w:tcW w:w="1852" w:type="dxa"/>
            <w:tcBorders>
              <w:top w:val="nil"/>
              <w:bottom w:val="nil"/>
            </w:tcBorders>
          </w:tcPr>
          <w:p>
            <w:pPr>
              <w:pStyle w:val="TableParagraph"/>
              <w:rPr>
                <w:rFonts w:ascii="Times New Roman"/>
                <w:sz w:val="18"/>
              </w:rPr>
            </w:pPr>
          </w:p>
        </w:tc>
        <w:tc>
          <w:tcPr>
            <w:tcW w:w="2694" w:type="dxa"/>
            <w:vMerge/>
            <w:tcBorders>
              <w:top w:val="nil"/>
            </w:tcBorders>
          </w:tcPr>
          <w:p>
            <w:pPr>
              <w:rPr>
                <w:sz w:val="2"/>
                <w:szCs w:val="2"/>
              </w:rPr>
            </w:pPr>
          </w:p>
        </w:tc>
        <w:tc>
          <w:tcPr>
            <w:tcW w:w="2631" w:type="dxa"/>
            <w:tcBorders>
              <w:top w:val="nil"/>
              <w:bottom w:val="nil"/>
            </w:tcBorders>
          </w:tcPr>
          <w:p>
            <w:pPr>
              <w:pStyle w:val="TableParagraph"/>
              <w:rPr>
                <w:rFonts w:ascii="Times New Roman"/>
                <w:sz w:val="18"/>
              </w:rPr>
            </w:pPr>
          </w:p>
        </w:tc>
      </w:tr>
      <w:tr>
        <w:trPr>
          <w:trHeight w:val="279" w:hRule="atLeast"/>
        </w:trPr>
        <w:tc>
          <w:tcPr>
            <w:tcW w:w="1353" w:type="dxa"/>
            <w:tcBorders>
              <w:top w:val="nil"/>
              <w:bottom w:val="nil"/>
            </w:tcBorders>
            <w:shd w:val="clear" w:color="auto" w:fill="E6E7E8"/>
          </w:tcPr>
          <w:p>
            <w:pPr>
              <w:pStyle w:val="TableParagraph"/>
              <w:rPr>
                <w:rFonts w:ascii="Times New Roman"/>
                <w:sz w:val="18"/>
              </w:rPr>
            </w:pPr>
          </w:p>
        </w:tc>
        <w:tc>
          <w:tcPr>
            <w:tcW w:w="1289" w:type="dxa"/>
            <w:tcBorders>
              <w:top w:val="nil"/>
              <w:bottom w:val="nil"/>
            </w:tcBorders>
          </w:tcPr>
          <w:p>
            <w:pPr>
              <w:pStyle w:val="TableParagraph"/>
              <w:rPr>
                <w:rFonts w:ascii="Times New Roman"/>
                <w:sz w:val="18"/>
              </w:rPr>
            </w:pPr>
          </w:p>
        </w:tc>
        <w:tc>
          <w:tcPr>
            <w:tcW w:w="1563" w:type="dxa"/>
            <w:tcBorders>
              <w:top w:val="nil"/>
              <w:bottom w:val="nil"/>
            </w:tcBorders>
          </w:tcPr>
          <w:p>
            <w:pPr>
              <w:pStyle w:val="TableParagraph"/>
              <w:rPr>
                <w:rFonts w:ascii="Times New Roman"/>
                <w:sz w:val="18"/>
              </w:rPr>
            </w:pPr>
          </w:p>
        </w:tc>
        <w:tc>
          <w:tcPr>
            <w:tcW w:w="2535" w:type="dxa"/>
            <w:tcBorders>
              <w:top w:val="nil"/>
              <w:bottom w:val="nil"/>
            </w:tcBorders>
          </w:tcPr>
          <w:p>
            <w:pPr>
              <w:pStyle w:val="TableParagraph"/>
              <w:spacing w:before="28"/>
              <w:ind w:left="89"/>
              <w:rPr>
                <w:sz w:val="18"/>
              </w:rPr>
            </w:pPr>
            <w:r>
              <w:rPr>
                <w:color w:val="105C84"/>
                <w:spacing w:val="-6"/>
                <w:sz w:val="18"/>
              </w:rPr>
              <w:t>Baseline:</w:t>
            </w:r>
            <w:r>
              <w:rPr>
                <w:color w:val="105C84"/>
                <w:spacing w:val="2"/>
                <w:sz w:val="18"/>
              </w:rPr>
              <w:t> </w:t>
            </w:r>
            <w:r>
              <w:rPr>
                <w:color w:val="105C84"/>
                <w:spacing w:val="-6"/>
                <w:sz w:val="18"/>
              </w:rPr>
              <w:t>31.2%</w:t>
            </w:r>
            <w:r>
              <w:rPr>
                <w:color w:val="105C84"/>
                <w:spacing w:val="3"/>
                <w:sz w:val="18"/>
              </w:rPr>
              <w:t> </w:t>
            </w:r>
            <w:r>
              <w:rPr>
                <w:color w:val="105C84"/>
                <w:spacing w:val="-6"/>
                <w:sz w:val="18"/>
              </w:rPr>
              <w:t>(2016)</w:t>
            </w:r>
          </w:p>
        </w:tc>
        <w:tc>
          <w:tcPr>
            <w:tcW w:w="1268" w:type="dxa"/>
            <w:vMerge/>
            <w:tcBorders>
              <w:top w:val="nil"/>
            </w:tcBorders>
          </w:tcPr>
          <w:p>
            <w:pPr>
              <w:rPr>
                <w:sz w:val="2"/>
                <w:szCs w:val="2"/>
              </w:rPr>
            </w:pPr>
          </w:p>
        </w:tc>
        <w:tc>
          <w:tcPr>
            <w:tcW w:w="3189" w:type="dxa"/>
            <w:vMerge/>
            <w:tcBorders>
              <w:top w:val="nil"/>
              <w:right w:val="nil"/>
            </w:tcBorders>
          </w:tcPr>
          <w:p>
            <w:pPr>
              <w:rPr>
                <w:sz w:val="2"/>
                <w:szCs w:val="2"/>
              </w:rPr>
            </w:pPr>
          </w:p>
        </w:tc>
        <w:tc>
          <w:tcPr>
            <w:tcW w:w="3884" w:type="dxa"/>
            <w:vMerge/>
            <w:tcBorders>
              <w:top w:val="nil"/>
              <w:left w:val="nil"/>
            </w:tcBorders>
          </w:tcPr>
          <w:p>
            <w:pPr>
              <w:rPr>
                <w:sz w:val="2"/>
                <w:szCs w:val="2"/>
              </w:rPr>
            </w:pPr>
          </w:p>
        </w:tc>
        <w:tc>
          <w:tcPr>
            <w:tcW w:w="1852" w:type="dxa"/>
            <w:tcBorders>
              <w:top w:val="nil"/>
              <w:bottom w:val="nil"/>
            </w:tcBorders>
          </w:tcPr>
          <w:p>
            <w:pPr>
              <w:pStyle w:val="TableParagraph"/>
              <w:rPr>
                <w:rFonts w:ascii="Times New Roman"/>
                <w:sz w:val="18"/>
              </w:rPr>
            </w:pPr>
          </w:p>
        </w:tc>
        <w:tc>
          <w:tcPr>
            <w:tcW w:w="2694" w:type="dxa"/>
            <w:vMerge/>
            <w:tcBorders>
              <w:top w:val="nil"/>
            </w:tcBorders>
          </w:tcPr>
          <w:p>
            <w:pPr>
              <w:rPr>
                <w:sz w:val="2"/>
                <w:szCs w:val="2"/>
              </w:rPr>
            </w:pPr>
          </w:p>
        </w:tc>
        <w:tc>
          <w:tcPr>
            <w:tcW w:w="2631" w:type="dxa"/>
            <w:tcBorders>
              <w:top w:val="nil"/>
              <w:bottom w:val="nil"/>
            </w:tcBorders>
          </w:tcPr>
          <w:p>
            <w:pPr>
              <w:pStyle w:val="TableParagraph"/>
              <w:rPr>
                <w:rFonts w:ascii="Times New Roman"/>
                <w:sz w:val="18"/>
              </w:rPr>
            </w:pPr>
          </w:p>
        </w:tc>
      </w:tr>
      <w:tr>
        <w:trPr>
          <w:trHeight w:val="279" w:hRule="atLeast"/>
        </w:trPr>
        <w:tc>
          <w:tcPr>
            <w:tcW w:w="1353" w:type="dxa"/>
            <w:tcBorders>
              <w:top w:val="nil"/>
              <w:bottom w:val="nil"/>
            </w:tcBorders>
            <w:shd w:val="clear" w:color="auto" w:fill="E6E7E8"/>
          </w:tcPr>
          <w:p>
            <w:pPr>
              <w:pStyle w:val="TableParagraph"/>
              <w:rPr>
                <w:rFonts w:ascii="Times New Roman"/>
                <w:sz w:val="18"/>
              </w:rPr>
            </w:pPr>
          </w:p>
        </w:tc>
        <w:tc>
          <w:tcPr>
            <w:tcW w:w="1289" w:type="dxa"/>
            <w:tcBorders>
              <w:top w:val="nil"/>
              <w:bottom w:val="nil"/>
            </w:tcBorders>
          </w:tcPr>
          <w:p>
            <w:pPr>
              <w:pStyle w:val="TableParagraph"/>
              <w:rPr>
                <w:rFonts w:ascii="Times New Roman"/>
                <w:sz w:val="18"/>
              </w:rPr>
            </w:pPr>
          </w:p>
        </w:tc>
        <w:tc>
          <w:tcPr>
            <w:tcW w:w="1563" w:type="dxa"/>
            <w:tcBorders>
              <w:top w:val="nil"/>
              <w:bottom w:val="nil"/>
            </w:tcBorders>
          </w:tcPr>
          <w:p>
            <w:pPr>
              <w:pStyle w:val="TableParagraph"/>
              <w:rPr>
                <w:rFonts w:ascii="Times New Roman"/>
                <w:sz w:val="18"/>
              </w:rPr>
            </w:pPr>
          </w:p>
        </w:tc>
        <w:tc>
          <w:tcPr>
            <w:tcW w:w="2535" w:type="dxa"/>
            <w:tcBorders>
              <w:top w:val="nil"/>
              <w:bottom w:val="nil"/>
            </w:tcBorders>
          </w:tcPr>
          <w:p>
            <w:pPr>
              <w:pStyle w:val="TableParagraph"/>
              <w:spacing w:before="28"/>
              <w:ind w:left="89"/>
              <w:rPr>
                <w:sz w:val="18"/>
              </w:rPr>
            </w:pPr>
            <w:r>
              <w:rPr>
                <w:color w:val="105C84"/>
                <w:spacing w:val="-2"/>
                <w:sz w:val="18"/>
              </w:rPr>
              <w:t>Data</w:t>
            </w:r>
            <w:r>
              <w:rPr>
                <w:color w:val="105C84"/>
                <w:spacing w:val="-9"/>
                <w:sz w:val="18"/>
              </w:rPr>
              <w:t> </w:t>
            </w:r>
            <w:r>
              <w:rPr>
                <w:color w:val="105C84"/>
                <w:spacing w:val="-2"/>
                <w:sz w:val="18"/>
              </w:rPr>
              <w:t>Source:</w:t>
            </w:r>
            <w:r>
              <w:rPr>
                <w:color w:val="105C84"/>
                <w:spacing w:val="-8"/>
                <w:sz w:val="18"/>
              </w:rPr>
              <w:t> </w:t>
            </w:r>
            <w:r>
              <w:rPr>
                <w:color w:val="105C84"/>
                <w:spacing w:val="-2"/>
                <w:sz w:val="18"/>
              </w:rPr>
              <w:t>BRFSS</w:t>
            </w:r>
          </w:p>
        </w:tc>
        <w:tc>
          <w:tcPr>
            <w:tcW w:w="1268" w:type="dxa"/>
            <w:vMerge/>
            <w:tcBorders>
              <w:top w:val="nil"/>
            </w:tcBorders>
          </w:tcPr>
          <w:p>
            <w:pPr>
              <w:rPr>
                <w:sz w:val="2"/>
                <w:szCs w:val="2"/>
              </w:rPr>
            </w:pPr>
          </w:p>
        </w:tc>
        <w:tc>
          <w:tcPr>
            <w:tcW w:w="3189" w:type="dxa"/>
            <w:vMerge/>
            <w:tcBorders>
              <w:top w:val="nil"/>
              <w:right w:val="nil"/>
            </w:tcBorders>
          </w:tcPr>
          <w:p>
            <w:pPr>
              <w:rPr>
                <w:sz w:val="2"/>
                <w:szCs w:val="2"/>
              </w:rPr>
            </w:pPr>
          </w:p>
        </w:tc>
        <w:tc>
          <w:tcPr>
            <w:tcW w:w="3884" w:type="dxa"/>
            <w:vMerge/>
            <w:tcBorders>
              <w:top w:val="nil"/>
              <w:left w:val="nil"/>
            </w:tcBorders>
          </w:tcPr>
          <w:p>
            <w:pPr>
              <w:rPr>
                <w:sz w:val="2"/>
                <w:szCs w:val="2"/>
              </w:rPr>
            </w:pPr>
          </w:p>
        </w:tc>
        <w:tc>
          <w:tcPr>
            <w:tcW w:w="1852" w:type="dxa"/>
            <w:tcBorders>
              <w:top w:val="nil"/>
              <w:bottom w:val="nil"/>
            </w:tcBorders>
          </w:tcPr>
          <w:p>
            <w:pPr>
              <w:pStyle w:val="TableParagraph"/>
              <w:rPr>
                <w:rFonts w:ascii="Times New Roman"/>
                <w:sz w:val="18"/>
              </w:rPr>
            </w:pPr>
          </w:p>
        </w:tc>
        <w:tc>
          <w:tcPr>
            <w:tcW w:w="2694" w:type="dxa"/>
            <w:vMerge/>
            <w:tcBorders>
              <w:top w:val="nil"/>
            </w:tcBorders>
          </w:tcPr>
          <w:p>
            <w:pPr>
              <w:rPr>
                <w:sz w:val="2"/>
                <w:szCs w:val="2"/>
              </w:rPr>
            </w:pPr>
          </w:p>
        </w:tc>
        <w:tc>
          <w:tcPr>
            <w:tcW w:w="2631" w:type="dxa"/>
            <w:tcBorders>
              <w:top w:val="nil"/>
              <w:bottom w:val="nil"/>
            </w:tcBorders>
          </w:tcPr>
          <w:p>
            <w:pPr>
              <w:pStyle w:val="TableParagraph"/>
              <w:rPr>
                <w:rFonts w:ascii="Times New Roman"/>
                <w:sz w:val="18"/>
              </w:rPr>
            </w:pPr>
          </w:p>
        </w:tc>
      </w:tr>
      <w:tr>
        <w:trPr>
          <w:trHeight w:val="284" w:hRule="atLeast"/>
        </w:trPr>
        <w:tc>
          <w:tcPr>
            <w:tcW w:w="1353" w:type="dxa"/>
            <w:tcBorders>
              <w:top w:val="nil"/>
            </w:tcBorders>
            <w:shd w:val="clear" w:color="auto" w:fill="E6E7E8"/>
          </w:tcPr>
          <w:p>
            <w:pPr>
              <w:pStyle w:val="TableParagraph"/>
              <w:rPr>
                <w:rFonts w:ascii="Times New Roman"/>
                <w:sz w:val="18"/>
              </w:rPr>
            </w:pPr>
          </w:p>
        </w:tc>
        <w:tc>
          <w:tcPr>
            <w:tcW w:w="1289" w:type="dxa"/>
            <w:tcBorders>
              <w:top w:val="nil"/>
            </w:tcBorders>
          </w:tcPr>
          <w:p>
            <w:pPr>
              <w:pStyle w:val="TableParagraph"/>
              <w:rPr>
                <w:rFonts w:ascii="Times New Roman"/>
                <w:sz w:val="18"/>
              </w:rPr>
            </w:pPr>
          </w:p>
        </w:tc>
        <w:tc>
          <w:tcPr>
            <w:tcW w:w="1563" w:type="dxa"/>
            <w:tcBorders>
              <w:top w:val="nil"/>
            </w:tcBorders>
          </w:tcPr>
          <w:p>
            <w:pPr>
              <w:pStyle w:val="TableParagraph"/>
              <w:rPr>
                <w:rFonts w:ascii="Times New Roman"/>
                <w:sz w:val="18"/>
              </w:rPr>
            </w:pPr>
          </w:p>
        </w:tc>
        <w:tc>
          <w:tcPr>
            <w:tcW w:w="2535" w:type="dxa"/>
            <w:tcBorders>
              <w:top w:val="nil"/>
            </w:tcBorders>
          </w:tcPr>
          <w:p>
            <w:pPr>
              <w:pStyle w:val="TableParagraph"/>
              <w:spacing w:before="28"/>
              <w:ind w:left="89"/>
              <w:rPr>
                <w:sz w:val="18"/>
              </w:rPr>
            </w:pPr>
            <w:r>
              <w:rPr>
                <w:color w:val="105C84"/>
                <w:sz w:val="18"/>
              </w:rPr>
              <w:t>Data</w:t>
            </w:r>
            <w:r>
              <w:rPr>
                <w:color w:val="105C84"/>
                <w:spacing w:val="-12"/>
                <w:sz w:val="18"/>
              </w:rPr>
              <w:t> </w:t>
            </w:r>
            <w:r>
              <w:rPr>
                <w:color w:val="105C84"/>
                <w:sz w:val="18"/>
              </w:rPr>
              <w:t>Level:</w:t>
            </w:r>
            <w:r>
              <w:rPr>
                <w:color w:val="105C84"/>
                <w:spacing w:val="-11"/>
                <w:sz w:val="18"/>
              </w:rPr>
              <w:t> </w:t>
            </w:r>
            <w:r>
              <w:rPr>
                <w:color w:val="105C84"/>
                <w:sz w:val="18"/>
              </w:rPr>
              <w:t>State</w:t>
            </w:r>
            <w:r>
              <w:rPr>
                <w:color w:val="105C84"/>
                <w:spacing w:val="-11"/>
                <w:sz w:val="18"/>
              </w:rPr>
              <w:t> </w:t>
            </w:r>
            <w:r>
              <w:rPr>
                <w:color w:val="105C84"/>
                <w:sz w:val="18"/>
              </w:rPr>
              <w:t>and</w:t>
            </w:r>
            <w:r>
              <w:rPr>
                <w:color w:val="105C84"/>
                <w:spacing w:val="-11"/>
                <w:sz w:val="18"/>
              </w:rPr>
              <w:t> </w:t>
            </w:r>
            <w:r>
              <w:rPr>
                <w:color w:val="105C84"/>
                <w:spacing w:val="-2"/>
                <w:sz w:val="18"/>
              </w:rPr>
              <w:t>County</w:t>
            </w:r>
          </w:p>
        </w:tc>
        <w:tc>
          <w:tcPr>
            <w:tcW w:w="1268" w:type="dxa"/>
            <w:vMerge/>
            <w:tcBorders>
              <w:top w:val="nil"/>
            </w:tcBorders>
          </w:tcPr>
          <w:p>
            <w:pPr>
              <w:rPr>
                <w:sz w:val="2"/>
                <w:szCs w:val="2"/>
              </w:rPr>
            </w:pPr>
          </w:p>
        </w:tc>
        <w:tc>
          <w:tcPr>
            <w:tcW w:w="3189" w:type="dxa"/>
            <w:vMerge/>
            <w:tcBorders>
              <w:top w:val="nil"/>
              <w:right w:val="nil"/>
            </w:tcBorders>
          </w:tcPr>
          <w:p>
            <w:pPr>
              <w:rPr>
                <w:sz w:val="2"/>
                <w:szCs w:val="2"/>
              </w:rPr>
            </w:pPr>
          </w:p>
        </w:tc>
        <w:tc>
          <w:tcPr>
            <w:tcW w:w="3884" w:type="dxa"/>
            <w:vMerge/>
            <w:tcBorders>
              <w:top w:val="nil"/>
              <w:left w:val="nil"/>
            </w:tcBorders>
          </w:tcPr>
          <w:p>
            <w:pPr>
              <w:rPr>
                <w:sz w:val="2"/>
                <w:szCs w:val="2"/>
              </w:rPr>
            </w:pPr>
          </w:p>
        </w:tc>
        <w:tc>
          <w:tcPr>
            <w:tcW w:w="1852" w:type="dxa"/>
            <w:tcBorders>
              <w:top w:val="nil"/>
            </w:tcBorders>
          </w:tcPr>
          <w:p>
            <w:pPr>
              <w:pStyle w:val="TableParagraph"/>
              <w:rPr>
                <w:rFonts w:ascii="Times New Roman"/>
                <w:sz w:val="18"/>
              </w:rPr>
            </w:pPr>
          </w:p>
        </w:tc>
        <w:tc>
          <w:tcPr>
            <w:tcW w:w="2694" w:type="dxa"/>
            <w:vMerge/>
            <w:tcBorders>
              <w:top w:val="nil"/>
            </w:tcBorders>
          </w:tcPr>
          <w:p>
            <w:pPr>
              <w:rPr>
                <w:sz w:val="2"/>
                <w:szCs w:val="2"/>
              </w:rPr>
            </w:pPr>
          </w:p>
        </w:tc>
        <w:tc>
          <w:tcPr>
            <w:tcW w:w="2631" w:type="dxa"/>
            <w:tcBorders>
              <w:top w:val="nil"/>
            </w:tcBorders>
          </w:tcPr>
          <w:p>
            <w:pPr>
              <w:pStyle w:val="TableParagraph"/>
              <w:rPr>
                <w:rFonts w:ascii="Times New Roman"/>
                <w:sz w:val="18"/>
              </w:rPr>
            </w:pPr>
          </w:p>
        </w:tc>
      </w:tr>
    </w:tbl>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112"/>
        <w:rPr>
          <w:b/>
          <w:sz w:val="26"/>
        </w:rPr>
      </w:pPr>
    </w:p>
    <w:p>
      <w:pPr>
        <w:tabs>
          <w:tab w:pos="23047" w:val="left" w:leader="none"/>
        </w:tabs>
        <w:spacing w:before="0"/>
        <w:ind w:left="0" w:right="0" w:firstLine="0"/>
        <w:jc w:val="left"/>
        <w:rPr>
          <w:b/>
          <w:sz w:val="26"/>
        </w:rPr>
      </w:pPr>
      <w:r>
        <w:rPr>
          <w:position w:val="-4"/>
        </w:rPr>
        <w:drawing>
          <wp:inline distT="0" distB="0" distL="0" distR="0">
            <wp:extent cx="568172" cy="184683"/>
            <wp:effectExtent l="0" t="0" r="0" b="0"/>
            <wp:docPr id="1811" name="Image 1811"/>
            <wp:cNvGraphicFramePr>
              <a:graphicFrameLocks/>
            </wp:cNvGraphicFramePr>
            <a:graphic>
              <a:graphicData uri="http://schemas.openxmlformats.org/drawingml/2006/picture">
                <pic:pic>
                  <pic:nvPicPr>
                    <pic:cNvPr id="1811" name="Image 1811"/>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13"/>
          <w:sz w:val="20"/>
        </w:rPr>
        <w:t> </w:t>
      </w:r>
      <w:r>
        <w:rPr>
          <w:b/>
          <w:color w:val="939598"/>
          <w:w w:val="105"/>
          <w:sz w:val="26"/>
        </w:rPr>
        <w:t>145</w:t>
      </w:r>
      <w:r>
        <w:rPr>
          <w:b/>
          <w:color w:val="939598"/>
          <w:sz w:val="26"/>
        </w:rPr>
        <w:tab/>
      </w:r>
      <w:r>
        <w:rPr>
          <w:b/>
          <w:color w:val="939598"/>
          <w:spacing w:val="-5"/>
          <w:w w:val="105"/>
          <w:sz w:val="26"/>
        </w:rPr>
        <w:t>146</w:t>
      </w:r>
    </w:p>
    <w:p>
      <w:pPr>
        <w:spacing w:after="0"/>
        <w:jc w:val="left"/>
        <w:rPr>
          <w:b/>
          <w:sz w:val="26"/>
        </w:rPr>
        <w:sectPr>
          <w:pgSz w:w="24480" w:h="15840" w:orient="landscape"/>
          <w:pgMar w:header="0" w:footer="0" w:top="860" w:bottom="0" w:left="0" w:right="720"/>
        </w:sectPr>
      </w:pPr>
    </w:p>
    <w:p>
      <w:pPr>
        <w:spacing w:before="607"/>
        <w:ind w:left="1089" w:right="0" w:firstLine="0"/>
        <w:jc w:val="left"/>
        <w:rPr>
          <w:sz w:val="54"/>
        </w:rPr>
      </w:pPr>
      <w:r>
        <w:rPr>
          <w:sz w:val="54"/>
        </w:rPr>
        <w:drawing>
          <wp:anchor distT="0" distB="0" distL="0" distR="0" allowOverlap="1" layoutInCell="1" locked="0" behindDoc="0" simplePos="0" relativeHeight="15947264">
            <wp:simplePos x="0" y="0"/>
            <wp:positionH relativeFrom="page">
              <wp:posOffset>14981556</wp:posOffset>
            </wp:positionH>
            <wp:positionV relativeFrom="page">
              <wp:posOffset>9668103</wp:posOffset>
            </wp:positionV>
            <wp:extent cx="563245" cy="184683"/>
            <wp:effectExtent l="0" t="0" r="0" b="0"/>
            <wp:wrapNone/>
            <wp:docPr id="1812" name="Image 1812"/>
            <wp:cNvGraphicFramePr>
              <a:graphicFrameLocks/>
            </wp:cNvGraphicFramePr>
            <a:graphic>
              <a:graphicData uri="http://schemas.openxmlformats.org/drawingml/2006/picture">
                <pic:pic>
                  <pic:nvPicPr>
                    <pic:cNvPr id="1812" name="Image 1812"/>
                    <pic:cNvPicPr/>
                  </pic:nvPicPr>
                  <pic:blipFill>
                    <a:blip r:embed="rId38" cstate="print"/>
                    <a:stretch>
                      <a:fillRect/>
                    </a:stretch>
                  </pic:blipFill>
                  <pic:spPr>
                    <a:xfrm>
                      <a:off x="0" y="0"/>
                      <a:ext cx="563245" cy="184683"/>
                    </a:xfrm>
                    <a:prstGeom prst="rect">
                      <a:avLst/>
                    </a:prstGeom>
                  </pic:spPr>
                </pic:pic>
              </a:graphicData>
            </a:graphic>
          </wp:anchor>
        </w:drawing>
      </w:r>
      <w:r>
        <w:rPr>
          <w:sz w:val="54"/>
        </w:rPr>
        <w:drawing>
          <wp:anchor distT="0" distB="0" distL="0" distR="0" allowOverlap="1" layoutInCell="1" locked="0" behindDoc="0" simplePos="0" relativeHeight="15947776">
            <wp:simplePos x="0" y="0"/>
            <wp:positionH relativeFrom="page">
              <wp:posOffset>14252733</wp:posOffset>
            </wp:positionH>
            <wp:positionV relativeFrom="paragraph">
              <wp:posOffset>358457</wp:posOffset>
            </wp:positionV>
            <wp:extent cx="588168" cy="615314"/>
            <wp:effectExtent l="0" t="0" r="0" b="0"/>
            <wp:wrapNone/>
            <wp:docPr id="1813" name="Image 1813"/>
            <wp:cNvGraphicFramePr>
              <a:graphicFrameLocks/>
            </wp:cNvGraphicFramePr>
            <a:graphic>
              <a:graphicData uri="http://schemas.openxmlformats.org/drawingml/2006/picture">
                <pic:pic>
                  <pic:nvPicPr>
                    <pic:cNvPr id="1813" name="Image 1813"/>
                    <pic:cNvPicPr/>
                  </pic:nvPicPr>
                  <pic:blipFill>
                    <a:blip r:embed="rId248" cstate="print"/>
                    <a:stretch>
                      <a:fillRect/>
                    </a:stretch>
                  </pic:blipFill>
                  <pic:spPr>
                    <a:xfrm>
                      <a:off x="0" y="0"/>
                      <a:ext cx="588168" cy="615314"/>
                    </a:xfrm>
                    <a:prstGeom prst="rect">
                      <a:avLst/>
                    </a:prstGeom>
                  </pic:spPr>
                </pic:pic>
              </a:graphicData>
            </a:graphic>
          </wp:anchor>
        </w:drawing>
      </w:r>
      <w:r>
        <w:rPr>
          <w:sz w:val="54"/>
        </w:rPr>
        <w:drawing>
          <wp:anchor distT="0" distB="0" distL="0" distR="0" allowOverlap="1" layoutInCell="1" locked="0" behindDoc="0" simplePos="0" relativeHeight="15948288">
            <wp:simplePos x="0" y="0"/>
            <wp:positionH relativeFrom="page">
              <wp:posOffset>9637268</wp:posOffset>
            </wp:positionH>
            <wp:positionV relativeFrom="paragraph">
              <wp:posOffset>365759</wp:posOffset>
            </wp:positionV>
            <wp:extent cx="1013459" cy="346709"/>
            <wp:effectExtent l="0" t="0" r="0" b="0"/>
            <wp:wrapNone/>
            <wp:docPr id="1814" name="Image 1814"/>
            <wp:cNvGraphicFramePr>
              <a:graphicFrameLocks/>
            </wp:cNvGraphicFramePr>
            <a:graphic>
              <a:graphicData uri="http://schemas.openxmlformats.org/drawingml/2006/picture">
                <pic:pic>
                  <pic:nvPicPr>
                    <pic:cNvPr id="1814" name="Image 1814"/>
                    <pic:cNvPicPr/>
                  </pic:nvPicPr>
                  <pic:blipFill>
                    <a:blip r:embed="rId249" cstate="print"/>
                    <a:stretch>
                      <a:fillRect/>
                    </a:stretch>
                  </pic:blipFill>
                  <pic:spPr>
                    <a:xfrm>
                      <a:off x="0" y="0"/>
                      <a:ext cx="1013459" cy="346709"/>
                    </a:xfrm>
                    <a:prstGeom prst="rect">
                      <a:avLst/>
                    </a:prstGeom>
                  </pic:spPr>
                </pic:pic>
              </a:graphicData>
            </a:graphic>
          </wp:anchor>
        </w:drawing>
      </w:r>
      <w:r>
        <w:rPr>
          <w:sz w:val="54"/>
        </w:rPr>
        <w:drawing>
          <wp:anchor distT="0" distB="0" distL="0" distR="0" allowOverlap="1" layoutInCell="1" locked="0" behindDoc="0" simplePos="0" relativeHeight="15948800">
            <wp:simplePos x="0" y="0"/>
            <wp:positionH relativeFrom="page">
              <wp:posOffset>8820404</wp:posOffset>
            </wp:positionH>
            <wp:positionV relativeFrom="paragraph">
              <wp:posOffset>303783</wp:posOffset>
            </wp:positionV>
            <wp:extent cx="680085" cy="626110"/>
            <wp:effectExtent l="0" t="0" r="0" b="0"/>
            <wp:wrapNone/>
            <wp:docPr id="1815" name="Image 1815"/>
            <wp:cNvGraphicFramePr>
              <a:graphicFrameLocks/>
            </wp:cNvGraphicFramePr>
            <a:graphic>
              <a:graphicData uri="http://schemas.openxmlformats.org/drawingml/2006/picture">
                <pic:pic>
                  <pic:nvPicPr>
                    <pic:cNvPr id="1815" name="Image 1815"/>
                    <pic:cNvPicPr/>
                  </pic:nvPicPr>
                  <pic:blipFill>
                    <a:blip r:embed="rId250" cstate="print"/>
                    <a:stretch>
                      <a:fillRect/>
                    </a:stretch>
                  </pic:blipFill>
                  <pic:spPr>
                    <a:xfrm>
                      <a:off x="0" y="0"/>
                      <a:ext cx="680085" cy="626110"/>
                    </a:xfrm>
                    <a:prstGeom prst="rect">
                      <a:avLst/>
                    </a:prstGeom>
                  </pic:spPr>
                </pic:pic>
              </a:graphicData>
            </a:graphic>
          </wp:anchor>
        </w:drawing>
      </w:r>
      <w:r>
        <w:rPr>
          <w:sz w:val="54"/>
        </w:rPr>
        <w:drawing>
          <wp:anchor distT="0" distB="0" distL="0" distR="0" allowOverlap="1" layoutInCell="1" locked="0" behindDoc="0" simplePos="0" relativeHeight="15949312">
            <wp:simplePos x="0" y="0"/>
            <wp:positionH relativeFrom="page">
              <wp:posOffset>12660794</wp:posOffset>
            </wp:positionH>
            <wp:positionV relativeFrom="paragraph">
              <wp:posOffset>292608</wp:posOffset>
            </wp:positionV>
            <wp:extent cx="1542007" cy="459636"/>
            <wp:effectExtent l="0" t="0" r="0" b="0"/>
            <wp:wrapNone/>
            <wp:docPr id="1816" name="Image 1816"/>
            <wp:cNvGraphicFramePr>
              <a:graphicFrameLocks/>
            </wp:cNvGraphicFramePr>
            <a:graphic>
              <a:graphicData uri="http://schemas.openxmlformats.org/drawingml/2006/picture">
                <pic:pic>
                  <pic:nvPicPr>
                    <pic:cNvPr id="1816" name="Image 1816"/>
                    <pic:cNvPicPr/>
                  </pic:nvPicPr>
                  <pic:blipFill>
                    <a:blip r:embed="rId251" cstate="print"/>
                    <a:stretch>
                      <a:fillRect/>
                    </a:stretch>
                  </pic:blipFill>
                  <pic:spPr>
                    <a:xfrm>
                      <a:off x="0" y="0"/>
                      <a:ext cx="1542007" cy="459636"/>
                    </a:xfrm>
                    <a:prstGeom prst="rect">
                      <a:avLst/>
                    </a:prstGeom>
                  </pic:spPr>
                </pic:pic>
              </a:graphicData>
            </a:graphic>
          </wp:anchor>
        </w:drawing>
      </w:r>
      <w:r>
        <w:rPr>
          <w:sz w:val="54"/>
        </w:rPr>
        <w:drawing>
          <wp:anchor distT="0" distB="0" distL="0" distR="0" allowOverlap="1" layoutInCell="1" locked="0" behindDoc="0" simplePos="0" relativeHeight="15949824">
            <wp:simplePos x="0" y="0"/>
            <wp:positionH relativeFrom="page">
              <wp:posOffset>10819383</wp:posOffset>
            </wp:positionH>
            <wp:positionV relativeFrom="paragraph">
              <wp:posOffset>365759</wp:posOffset>
            </wp:positionV>
            <wp:extent cx="1724393" cy="297788"/>
            <wp:effectExtent l="0" t="0" r="0" b="0"/>
            <wp:wrapNone/>
            <wp:docPr id="1817" name="Image 1817"/>
            <wp:cNvGraphicFramePr>
              <a:graphicFrameLocks/>
            </wp:cNvGraphicFramePr>
            <a:graphic>
              <a:graphicData uri="http://schemas.openxmlformats.org/drawingml/2006/picture">
                <pic:pic>
                  <pic:nvPicPr>
                    <pic:cNvPr id="1817" name="Image 1817"/>
                    <pic:cNvPicPr/>
                  </pic:nvPicPr>
                  <pic:blipFill>
                    <a:blip r:embed="rId252" cstate="print"/>
                    <a:stretch>
                      <a:fillRect/>
                    </a:stretch>
                  </pic:blipFill>
                  <pic:spPr>
                    <a:xfrm>
                      <a:off x="0" y="0"/>
                      <a:ext cx="1724393" cy="297788"/>
                    </a:xfrm>
                    <a:prstGeom prst="rect">
                      <a:avLst/>
                    </a:prstGeom>
                  </pic:spPr>
                </pic:pic>
              </a:graphicData>
            </a:graphic>
          </wp:anchor>
        </w:drawing>
      </w:r>
      <w:r>
        <w:rPr>
          <w:color w:val="636466"/>
          <w:w w:val="105"/>
          <w:sz w:val="54"/>
        </w:rPr>
        <w:t>Ontario</w:t>
      </w:r>
      <w:r>
        <w:rPr>
          <w:color w:val="636466"/>
          <w:spacing w:val="-13"/>
          <w:w w:val="105"/>
          <w:sz w:val="54"/>
        </w:rPr>
        <w:t> </w:t>
      </w:r>
      <w:r>
        <w:rPr>
          <w:color w:val="636466"/>
          <w:w w:val="105"/>
          <w:sz w:val="54"/>
        </w:rPr>
        <w:t>County</w:t>
      </w:r>
      <w:r>
        <w:rPr>
          <w:color w:val="636466"/>
          <w:spacing w:val="-14"/>
          <w:w w:val="105"/>
          <w:sz w:val="54"/>
        </w:rPr>
        <w:t> </w:t>
      </w:r>
      <w:r>
        <w:rPr>
          <w:color w:val="636466"/>
          <w:w w:val="105"/>
          <w:sz w:val="54"/>
        </w:rPr>
        <w:t>Appendix</w:t>
      </w:r>
      <w:r>
        <w:rPr>
          <w:color w:val="636466"/>
          <w:spacing w:val="-13"/>
          <w:w w:val="105"/>
          <w:sz w:val="54"/>
        </w:rPr>
        <w:t> </w:t>
      </w:r>
      <w:r>
        <w:rPr>
          <w:color w:val="636466"/>
          <w:spacing w:val="-10"/>
          <w:w w:val="105"/>
          <w:sz w:val="54"/>
        </w:rPr>
        <w:t>C</w:t>
      </w:r>
    </w:p>
    <w:p>
      <w:pPr>
        <w:spacing w:before="235"/>
        <w:ind w:left="1089" w:right="0" w:firstLine="0"/>
        <w:jc w:val="left"/>
        <w:rPr>
          <w:b/>
          <w:sz w:val="32"/>
        </w:rPr>
      </w:pPr>
      <w:r>
        <w:rPr>
          <w:b/>
          <w:color w:val="82BF6A"/>
          <w:spacing w:val="-6"/>
          <w:sz w:val="32"/>
        </w:rPr>
        <w:t>PRIORITY:</w:t>
      </w:r>
      <w:r>
        <w:rPr>
          <w:b/>
          <w:color w:val="82BF6A"/>
          <w:spacing w:val="-13"/>
          <w:sz w:val="32"/>
        </w:rPr>
        <w:t> </w:t>
      </w:r>
      <w:r>
        <w:rPr>
          <w:b/>
          <w:color w:val="82BF6A"/>
          <w:spacing w:val="-6"/>
          <w:sz w:val="32"/>
        </w:rPr>
        <w:t>PREVENT</w:t>
      </w:r>
      <w:r>
        <w:rPr>
          <w:b/>
          <w:color w:val="82BF6A"/>
          <w:spacing w:val="-13"/>
          <w:sz w:val="32"/>
        </w:rPr>
        <w:t> </w:t>
      </w:r>
      <w:r>
        <w:rPr>
          <w:b/>
          <w:color w:val="82BF6A"/>
          <w:spacing w:val="-6"/>
          <w:sz w:val="32"/>
        </w:rPr>
        <w:t>CHRONIC</w:t>
      </w:r>
      <w:r>
        <w:rPr>
          <w:b/>
          <w:color w:val="82BF6A"/>
          <w:spacing w:val="-13"/>
          <w:sz w:val="32"/>
        </w:rPr>
        <w:t> </w:t>
      </w:r>
      <w:r>
        <w:rPr>
          <w:b/>
          <w:color w:val="82BF6A"/>
          <w:spacing w:val="-6"/>
          <w:sz w:val="32"/>
        </w:rPr>
        <w:t>DISEASES</w:t>
      </w:r>
    </w:p>
    <w:p>
      <w:pPr>
        <w:pStyle w:val="BodyText"/>
        <w:spacing w:before="8"/>
        <w:rPr>
          <w:b/>
          <w:sz w:val="16"/>
        </w:rPr>
      </w:pPr>
    </w:p>
    <w:tbl>
      <w:tblPr>
        <w:tblW w:w="0" w:type="auto"/>
        <w:jc w:val="left"/>
        <w:tblInd w:w="1099"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1353"/>
        <w:gridCol w:w="1289"/>
        <w:gridCol w:w="1275"/>
        <w:gridCol w:w="2881"/>
        <w:gridCol w:w="1383"/>
        <w:gridCol w:w="3020"/>
        <w:gridCol w:w="3886"/>
        <w:gridCol w:w="1851"/>
        <w:gridCol w:w="2693"/>
        <w:gridCol w:w="2630"/>
      </w:tblGrid>
      <w:tr>
        <w:trPr>
          <w:trHeight w:val="780" w:hRule="exact"/>
        </w:trPr>
        <w:tc>
          <w:tcPr>
            <w:tcW w:w="1353" w:type="dxa"/>
            <w:tcBorders>
              <w:right w:val="single" w:sz="4" w:space="0" w:color="FFFFFF"/>
            </w:tcBorders>
            <w:shd w:val="clear" w:color="auto" w:fill="A7A9AC"/>
          </w:tcPr>
          <w:p>
            <w:pPr>
              <w:pStyle w:val="TableParagraph"/>
              <w:spacing w:before="67"/>
              <w:rPr>
                <w:b/>
                <w:sz w:val="20"/>
              </w:rPr>
            </w:pPr>
          </w:p>
          <w:p>
            <w:pPr>
              <w:pStyle w:val="TableParagraph"/>
              <w:ind w:left="75"/>
              <w:rPr>
                <w:b/>
                <w:sz w:val="20"/>
              </w:rPr>
            </w:pPr>
            <w:r>
              <w:rPr>
                <w:b/>
                <w:color w:val="FFFFFF"/>
                <w:spacing w:val="-2"/>
                <w:sz w:val="20"/>
              </w:rPr>
              <w:t>Priority</w:t>
            </w:r>
          </w:p>
        </w:tc>
        <w:tc>
          <w:tcPr>
            <w:tcW w:w="1289" w:type="dxa"/>
            <w:tcBorders>
              <w:left w:val="single" w:sz="4" w:space="0" w:color="FFFFFF"/>
              <w:right w:val="single" w:sz="4" w:space="0" w:color="FFFFFF"/>
            </w:tcBorders>
            <w:shd w:val="clear" w:color="auto" w:fill="A7A9AC"/>
          </w:tcPr>
          <w:p>
            <w:pPr>
              <w:pStyle w:val="TableParagraph"/>
              <w:spacing w:before="67"/>
              <w:rPr>
                <w:b/>
                <w:sz w:val="20"/>
              </w:rPr>
            </w:pPr>
          </w:p>
          <w:p>
            <w:pPr>
              <w:pStyle w:val="TableParagraph"/>
              <w:ind w:left="74"/>
              <w:rPr>
                <w:b/>
                <w:sz w:val="20"/>
              </w:rPr>
            </w:pPr>
            <w:r>
              <w:rPr>
                <w:b/>
                <w:color w:val="FFFFFF"/>
                <w:w w:val="90"/>
                <w:sz w:val="20"/>
              </w:rPr>
              <w:t>Focus</w:t>
            </w:r>
            <w:r>
              <w:rPr>
                <w:b/>
                <w:color w:val="FFFFFF"/>
                <w:spacing w:val="8"/>
                <w:sz w:val="20"/>
              </w:rPr>
              <w:t> </w:t>
            </w:r>
            <w:r>
              <w:rPr>
                <w:b/>
                <w:color w:val="FFFFFF"/>
                <w:spacing w:val="-4"/>
                <w:sz w:val="20"/>
              </w:rPr>
              <w:t>Area</w:t>
            </w:r>
          </w:p>
        </w:tc>
        <w:tc>
          <w:tcPr>
            <w:tcW w:w="1275" w:type="dxa"/>
            <w:tcBorders>
              <w:left w:val="single" w:sz="4" w:space="0" w:color="FFFFFF"/>
              <w:right w:val="single" w:sz="4" w:space="0" w:color="FFFFFF"/>
            </w:tcBorders>
            <w:shd w:val="clear" w:color="auto" w:fill="A7A9AC"/>
          </w:tcPr>
          <w:p>
            <w:pPr>
              <w:pStyle w:val="TableParagraph"/>
              <w:spacing w:line="230" w:lineRule="auto" w:before="195"/>
              <w:ind w:left="74"/>
              <w:rPr>
                <w:b/>
                <w:sz w:val="20"/>
              </w:rPr>
            </w:pPr>
            <w:r>
              <w:rPr>
                <w:b/>
                <w:color w:val="FFFFFF"/>
                <w:spacing w:val="-8"/>
                <w:sz w:val="20"/>
              </w:rPr>
              <w:t>Goal</w:t>
            </w:r>
            <w:r>
              <w:rPr>
                <w:b/>
                <w:color w:val="FFFFFF"/>
                <w:spacing w:val="-6"/>
                <w:sz w:val="20"/>
              </w:rPr>
              <w:t> </w:t>
            </w:r>
            <w:r>
              <w:rPr>
                <w:b/>
                <w:color w:val="FFFFFF"/>
                <w:spacing w:val="-8"/>
                <w:sz w:val="20"/>
              </w:rPr>
              <w:t>Focus </w:t>
            </w:r>
            <w:r>
              <w:rPr>
                <w:b/>
                <w:color w:val="FFFFFF"/>
                <w:spacing w:val="-4"/>
                <w:sz w:val="20"/>
              </w:rPr>
              <w:t>Area</w:t>
            </w:r>
          </w:p>
        </w:tc>
        <w:tc>
          <w:tcPr>
            <w:tcW w:w="2881" w:type="dxa"/>
            <w:tcBorders>
              <w:left w:val="single" w:sz="4" w:space="0" w:color="FFFFFF"/>
              <w:right w:val="single" w:sz="4" w:space="0" w:color="FFFFFF"/>
            </w:tcBorders>
            <w:shd w:val="clear" w:color="auto" w:fill="A7A9AC"/>
          </w:tcPr>
          <w:p>
            <w:pPr>
              <w:pStyle w:val="TableParagraph"/>
              <w:spacing w:before="67"/>
              <w:rPr>
                <w:b/>
                <w:sz w:val="20"/>
              </w:rPr>
            </w:pPr>
          </w:p>
          <w:p>
            <w:pPr>
              <w:pStyle w:val="TableParagraph"/>
              <w:ind w:left="74"/>
              <w:rPr>
                <w:b/>
                <w:sz w:val="20"/>
              </w:rPr>
            </w:pPr>
            <w:r>
              <w:rPr>
                <w:b/>
                <w:color w:val="FFFFFF"/>
                <w:spacing w:val="-2"/>
                <w:sz w:val="20"/>
              </w:rPr>
              <w:t>Objectives</w:t>
            </w:r>
          </w:p>
        </w:tc>
        <w:tc>
          <w:tcPr>
            <w:tcW w:w="1383" w:type="dxa"/>
            <w:tcBorders>
              <w:left w:val="single" w:sz="4" w:space="0" w:color="FFFFFF"/>
              <w:right w:val="single" w:sz="4" w:space="0" w:color="FFFFFF"/>
            </w:tcBorders>
            <w:shd w:val="clear" w:color="auto" w:fill="A7A9AC"/>
          </w:tcPr>
          <w:p>
            <w:pPr>
              <w:pStyle w:val="TableParagraph"/>
              <w:spacing w:before="67"/>
              <w:rPr>
                <w:b/>
                <w:sz w:val="20"/>
              </w:rPr>
            </w:pPr>
          </w:p>
          <w:p>
            <w:pPr>
              <w:pStyle w:val="TableParagraph"/>
              <w:ind w:left="74"/>
              <w:rPr>
                <w:b/>
                <w:sz w:val="20"/>
              </w:rPr>
            </w:pPr>
            <w:r>
              <w:rPr>
                <w:b/>
                <w:color w:val="FFFFFF"/>
                <w:spacing w:val="-2"/>
                <w:sz w:val="20"/>
              </w:rPr>
              <w:t>Disparities</w:t>
            </w:r>
          </w:p>
        </w:tc>
        <w:tc>
          <w:tcPr>
            <w:tcW w:w="3020" w:type="dxa"/>
            <w:tcBorders>
              <w:left w:val="single" w:sz="4" w:space="0" w:color="FFFFFF"/>
              <w:right w:val="nil"/>
            </w:tcBorders>
            <w:shd w:val="clear" w:color="auto" w:fill="A7A9AC"/>
          </w:tcPr>
          <w:p>
            <w:pPr>
              <w:pStyle w:val="TableParagraph"/>
              <w:spacing w:before="67"/>
              <w:rPr>
                <w:b/>
                <w:sz w:val="20"/>
              </w:rPr>
            </w:pPr>
          </w:p>
          <w:p>
            <w:pPr>
              <w:pStyle w:val="TableParagraph"/>
              <w:ind w:left="74"/>
              <w:rPr>
                <w:b/>
                <w:sz w:val="20"/>
              </w:rPr>
            </w:pPr>
            <w:r>
              <w:rPr>
                <w:b/>
                <w:color w:val="FFFFFF"/>
                <w:spacing w:val="-2"/>
                <w:sz w:val="20"/>
              </w:rPr>
              <w:t>Interventions</w:t>
            </w:r>
          </w:p>
        </w:tc>
        <w:tc>
          <w:tcPr>
            <w:tcW w:w="3886" w:type="dxa"/>
            <w:tcBorders>
              <w:left w:val="nil"/>
              <w:right w:val="single" w:sz="4" w:space="0" w:color="FFFFFF"/>
            </w:tcBorders>
            <w:shd w:val="clear" w:color="auto" w:fill="A7A9AC"/>
          </w:tcPr>
          <w:p>
            <w:pPr>
              <w:pStyle w:val="TableParagraph"/>
              <w:spacing w:before="67"/>
              <w:rPr>
                <w:b/>
                <w:sz w:val="20"/>
              </w:rPr>
            </w:pPr>
          </w:p>
          <w:p>
            <w:pPr>
              <w:pStyle w:val="TableParagraph"/>
              <w:ind w:left="1138"/>
              <w:rPr>
                <w:b/>
                <w:sz w:val="20"/>
              </w:rPr>
            </w:pPr>
            <w:r>
              <w:rPr>
                <w:b/>
                <w:color w:val="FFFFFF"/>
                <w:sz w:val="20"/>
              </w:rPr>
              <w:t>Family</w:t>
            </w:r>
            <w:r>
              <w:rPr>
                <w:b/>
                <w:color w:val="FFFFFF"/>
                <w:spacing w:val="-12"/>
                <w:sz w:val="20"/>
              </w:rPr>
              <w:t> </w:t>
            </w:r>
            <w:r>
              <w:rPr>
                <w:b/>
                <w:color w:val="FFFFFF"/>
                <w:sz w:val="20"/>
              </w:rPr>
              <w:t>of</w:t>
            </w:r>
            <w:r>
              <w:rPr>
                <w:b/>
                <w:color w:val="FFFFFF"/>
                <w:spacing w:val="-12"/>
                <w:sz w:val="20"/>
              </w:rPr>
              <w:t> </w:t>
            </w:r>
            <w:r>
              <w:rPr>
                <w:b/>
                <w:color w:val="FFFFFF"/>
                <w:spacing w:val="-2"/>
                <w:sz w:val="20"/>
              </w:rPr>
              <w:t>Measures</w:t>
            </w:r>
          </w:p>
        </w:tc>
        <w:tc>
          <w:tcPr>
            <w:tcW w:w="1851" w:type="dxa"/>
            <w:tcBorders>
              <w:left w:val="single" w:sz="4" w:space="0" w:color="FFFFFF"/>
              <w:right w:val="single" w:sz="4" w:space="0" w:color="FFFFFF"/>
            </w:tcBorders>
            <w:shd w:val="clear" w:color="auto" w:fill="A7A9AC"/>
          </w:tcPr>
          <w:p>
            <w:pPr>
              <w:pStyle w:val="TableParagraph"/>
              <w:spacing w:line="230" w:lineRule="auto" w:before="195"/>
              <w:ind w:left="84"/>
              <w:rPr>
                <w:b/>
                <w:sz w:val="20"/>
              </w:rPr>
            </w:pPr>
            <w:r>
              <w:rPr>
                <w:b/>
                <w:color w:val="FFFFFF"/>
                <w:spacing w:val="-2"/>
                <w:sz w:val="20"/>
              </w:rPr>
              <w:t>Implementation Partner</w:t>
            </w:r>
          </w:p>
        </w:tc>
        <w:tc>
          <w:tcPr>
            <w:tcW w:w="2693" w:type="dxa"/>
            <w:tcBorders>
              <w:left w:val="single" w:sz="4" w:space="0" w:color="FFFFFF"/>
              <w:right w:val="single" w:sz="4" w:space="0" w:color="FFFFFF"/>
            </w:tcBorders>
            <w:shd w:val="clear" w:color="auto" w:fill="A7A9AC"/>
          </w:tcPr>
          <w:p>
            <w:pPr>
              <w:pStyle w:val="TableParagraph"/>
              <w:spacing w:before="67"/>
              <w:rPr>
                <w:b/>
                <w:sz w:val="20"/>
              </w:rPr>
            </w:pPr>
          </w:p>
          <w:p>
            <w:pPr>
              <w:pStyle w:val="TableParagraph"/>
              <w:ind w:left="74"/>
              <w:rPr>
                <w:b/>
                <w:sz w:val="20"/>
              </w:rPr>
            </w:pPr>
            <w:r>
              <w:rPr>
                <w:b/>
                <w:color w:val="FFFFFF"/>
                <w:sz w:val="20"/>
              </w:rPr>
              <w:t>Partner</w:t>
            </w:r>
            <w:r>
              <w:rPr>
                <w:b/>
                <w:color w:val="FFFFFF"/>
                <w:spacing w:val="-13"/>
                <w:sz w:val="20"/>
              </w:rPr>
              <w:t> </w:t>
            </w:r>
            <w:r>
              <w:rPr>
                <w:b/>
                <w:color w:val="FFFFFF"/>
                <w:spacing w:val="-2"/>
                <w:sz w:val="20"/>
              </w:rPr>
              <w:t>Roles</w:t>
            </w:r>
          </w:p>
        </w:tc>
        <w:tc>
          <w:tcPr>
            <w:tcW w:w="2630" w:type="dxa"/>
            <w:tcBorders>
              <w:left w:val="single" w:sz="4" w:space="0" w:color="FFFFFF"/>
              <w:right w:val="single" w:sz="4" w:space="0" w:color="FFFFFF"/>
            </w:tcBorders>
            <w:shd w:val="clear" w:color="auto" w:fill="A7A9AC"/>
          </w:tcPr>
          <w:p>
            <w:pPr>
              <w:pStyle w:val="TableParagraph"/>
              <w:spacing w:before="67"/>
              <w:rPr>
                <w:b/>
                <w:sz w:val="20"/>
              </w:rPr>
            </w:pPr>
          </w:p>
          <w:p>
            <w:pPr>
              <w:pStyle w:val="TableParagraph"/>
              <w:ind w:left="74"/>
              <w:rPr>
                <w:b/>
                <w:sz w:val="20"/>
              </w:rPr>
            </w:pPr>
            <w:r>
              <w:rPr>
                <w:b/>
                <w:color w:val="FFFFFF"/>
                <w:sz w:val="20"/>
              </w:rPr>
              <w:t>Partner</w:t>
            </w:r>
            <w:r>
              <w:rPr>
                <w:b/>
                <w:color w:val="FFFFFF"/>
                <w:spacing w:val="-13"/>
                <w:sz w:val="20"/>
              </w:rPr>
              <w:t> </w:t>
            </w:r>
            <w:r>
              <w:rPr>
                <w:b/>
                <w:color w:val="FFFFFF"/>
                <w:spacing w:val="-2"/>
                <w:sz w:val="20"/>
              </w:rPr>
              <w:t>Resources</w:t>
            </w:r>
          </w:p>
        </w:tc>
      </w:tr>
      <w:tr>
        <w:trPr>
          <w:trHeight w:val="2607" w:hRule="exact"/>
        </w:trPr>
        <w:tc>
          <w:tcPr>
            <w:tcW w:w="1353" w:type="dxa"/>
            <w:tcBorders>
              <w:bottom w:val="nil"/>
            </w:tcBorders>
            <w:shd w:val="clear" w:color="auto" w:fill="E6E7E8"/>
          </w:tcPr>
          <w:p>
            <w:pPr>
              <w:pStyle w:val="TableParagraph"/>
              <w:spacing w:line="232" w:lineRule="auto" w:before="101"/>
              <w:ind w:left="85" w:right="541"/>
              <w:jc w:val="both"/>
              <w:rPr>
                <w:sz w:val="18"/>
              </w:rPr>
            </w:pPr>
            <w:r>
              <w:rPr>
                <w:color w:val="105C84"/>
                <w:spacing w:val="-2"/>
                <w:sz w:val="18"/>
              </w:rPr>
              <w:t>Prevent Chronic </w:t>
            </w:r>
            <w:r>
              <w:rPr>
                <w:color w:val="105C84"/>
                <w:spacing w:val="-6"/>
                <w:sz w:val="18"/>
              </w:rPr>
              <w:t>Diseases</w:t>
            </w:r>
          </w:p>
        </w:tc>
        <w:tc>
          <w:tcPr>
            <w:tcW w:w="1289" w:type="dxa"/>
            <w:tcBorders>
              <w:bottom w:val="nil"/>
            </w:tcBorders>
          </w:tcPr>
          <w:p>
            <w:pPr>
              <w:pStyle w:val="TableParagraph"/>
              <w:spacing w:line="232" w:lineRule="auto" w:before="101"/>
              <w:ind w:left="84"/>
              <w:rPr>
                <w:sz w:val="18"/>
              </w:rPr>
            </w:pPr>
            <w:r>
              <w:rPr>
                <w:color w:val="105C84"/>
                <w:spacing w:val="-4"/>
                <w:sz w:val="18"/>
              </w:rPr>
              <w:t>Focus</w:t>
            </w:r>
            <w:r>
              <w:rPr>
                <w:color w:val="105C84"/>
                <w:spacing w:val="-11"/>
                <w:sz w:val="18"/>
              </w:rPr>
              <w:t> </w:t>
            </w:r>
            <w:r>
              <w:rPr>
                <w:color w:val="105C84"/>
                <w:spacing w:val="-4"/>
                <w:sz w:val="18"/>
              </w:rPr>
              <w:t>Area</w:t>
            </w:r>
            <w:r>
              <w:rPr>
                <w:color w:val="105C84"/>
                <w:spacing w:val="-8"/>
                <w:sz w:val="18"/>
              </w:rPr>
              <w:t> </w:t>
            </w:r>
            <w:r>
              <w:rPr>
                <w:color w:val="105C84"/>
                <w:spacing w:val="-4"/>
                <w:sz w:val="18"/>
              </w:rPr>
              <w:t>3: </w:t>
            </w:r>
            <w:r>
              <w:rPr>
                <w:color w:val="105C84"/>
                <w:spacing w:val="-2"/>
                <w:sz w:val="18"/>
              </w:rPr>
              <w:t>Tobacco Prevention</w:t>
            </w:r>
          </w:p>
        </w:tc>
        <w:tc>
          <w:tcPr>
            <w:tcW w:w="1275" w:type="dxa"/>
            <w:tcBorders>
              <w:bottom w:val="nil"/>
            </w:tcBorders>
          </w:tcPr>
          <w:p>
            <w:pPr>
              <w:pStyle w:val="TableParagraph"/>
              <w:spacing w:line="232" w:lineRule="auto" w:before="101"/>
              <w:ind w:left="84" w:right="197"/>
              <w:rPr>
                <w:sz w:val="18"/>
              </w:rPr>
            </w:pPr>
            <w:r>
              <w:rPr>
                <w:color w:val="105C84"/>
                <w:sz w:val="18"/>
              </w:rPr>
              <w:t>Goal 3.1: </w:t>
            </w:r>
            <w:r>
              <w:rPr>
                <w:color w:val="105C84"/>
                <w:spacing w:val="-2"/>
                <w:sz w:val="18"/>
              </w:rPr>
              <w:t>Prevent </w:t>
            </w:r>
            <w:r>
              <w:rPr>
                <w:color w:val="105C84"/>
                <w:sz w:val="18"/>
              </w:rPr>
              <w:t>initiation of tobacco</w:t>
            </w:r>
            <w:r>
              <w:rPr>
                <w:color w:val="105C84"/>
                <w:spacing w:val="14"/>
                <w:sz w:val="18"/>
              </w:rPr>
              <w:t> </w:t>
            </w:r>
            <w:r>
              <w:rPr>
                <w:color w:val="105C84"/>
                <w:spacing w:val="-7"/>
                <w:sz w:val="18"/>
              </w:rPr>
              <w:t>use</w:t>
            </w:r>
          </w:p>
        </w:tc>
        <w:tc>
          <w:tcPr>
            <w:tcW w:w="2881" w:type="dxa"/>
            <w:tcBorders>
              <w:bottom w:val="nil"/>
            </w:tcBorders>
          </w:tcPr>
          <w:p>
            <w:pPr>
              <w:pStyle w:val="TableParagraph"/>
              <w:spacing w:line="232" w:lineRule="auto" w:before="101"/>
              <w:ind w:left="84"/>
              <w:rPr>
                <w:sz w:val="18"/>
              </w:rPr>
            </w:pPr>
            <w:r>
              <w:rPr>
                <w:color w:val="105C84"/>
                <w:spacing w:val="-2"/>
                <w:sz w:val="18"/>
              </w:rPr>
              <w:t>3.1.1</w:t>
            </w:r>
            <w:r>
              <w:rPr>
                <w:color w:val="105C84"/>
                <w:spacing w:val="-8"/>
                <w:sz w:val="18"/>
              </w:rPr>
              <w:t> </w:t>
            </w:r>
            <w:r>
              <w:rPr>
                <w:color w:val="105C84"/>
                <w:spacing w:val="-2"/>
                <w:sz w:val="18"/>
              </w:rPr>
              <w:t>Decrease</w:t>
            </w:r>
            <w:r>
              <w:rPr>
                <w:color w:val="105C84"/>
                <w:spacing w:val="-8"/>
                <w:sz w:val="18"/>
              </w:rPr>
              <w:t> </w:t>
            </w:r>
            <w:r>
              <w:rPr>
                <w:color w:val="105C84"/>
                <w:spacing w:val="-2"/>
                <w:sz w:val="18"/>
              </w:rPr>
              <w:t>the</w:t>
            </w:r>
            <w:r>
              <w:rPr>
                <w:color w:val="105C84"/>
                <w:spacing w:val="-8"/>
                <w:sz w:val="18"/>
              </w:rPr>
              <w:t> </w:t>
            </w:r>
            <w:r>
              <w:rPr>
                <w:color w:val="105C84"/>
                <w:spacing w:val="-2"/>
                <w:sz w:val="18"/>
              </w:rPr>
              <w:t>prevalence</w:t>
            </w:r>
            <w:r>
              <w:rPr>
                <w:color w:val="105C84"/>
                <w:spacing w:val="-8"/>
                <w:sz w:val="18"/>
              </w:rPr>
              <w:t> </w:t>
            </w:r>
            <w:r>
              <w:rPr>
                <w:color w:val="105C84"/>
                <w:spacing w:val="-2"/>
                <w:sz w:val="18"/>
              </w:rPr>
              <w:t>o</w:t>
            </w:r>
            <w:r>
              <w:rPr>
                <w:color w:val="105C84"/>
                <w:spacing w:val="-2"/>
                <w:sz w:val="18"/>
              </w:rPr>
              <w:t>f</w:t>
            </w:r>
            <w:r>
              <w:rPr>
                <w:color w:val="105C84"/>
                <w:spacing w:val="-2"/>
                <w:sz w:val="18"/>
              </w:rPr>
              <w:t> </w:t>
            </w:r>
            <w:r>
              <w:rPr>
                <w:color w:val="105C84"/>
                <w:sz w:val="18"/>
              </w:rPr>
              <w:t>any tobacco use by high school </w:t>
            </w:r>
            <w:r>
              <w:rPr>
                <w:color w:val="105C84"/>
                <w:spacing w:val="-2"/>
                <w:sz w:val="18"/>
              </w:rPr>
              <w:t>students</w:t>
            </w:r>
          </w:p>
          <w:p>
            <w:pPr>
              <w:pStyle w:val="TableParagraph"/>
              <w:spacing w:before="82"/>
              <w:ind w:left="84"/>
              <w:jc w:val="both"/>
              <w:rPr>
                <w:sz w:val="18"/>
              </w:rPr>
            </w:pPr>
            <w:r>
              <w:rPr>
                <w:color w:val="105C84"/>
                <w:spacing w:val="-4"/>
                <w:sz w:val="18"/>
              </w:rPr>
              <w:t>Target:</w:t>
            </w:r>
            <w:r>
              <w:rPr>
                <w:color w:val="105C84"/>
                <w:spacing w:val="-1"/>
                <w:sz w:val="18"/>
              </w:rPr>
              <w:t> </w:t>
            </w:r>
            <w:r>
              <w:rPr>
                <w:color w:val="105C84"/>
                <w:spacing w:val="-2"/>
                <w:sz w:val="18"/>
              </w:rPr>
              <w:t>19.7%</w:t>
            </w:r>
          </w:p>
          <w:p>
            <w:pPr>
              <w:pStyle w:val="TableParagraph"/>
              <w:spacing w:line="336" w:lineRule="auto" w:before="83"/>
              <w:ind w:left="84" w:right="983"/>
              <w:jc w:val="both"/>
              <w:rPr>
                <w:sz w:val="18"/>
              </w:rPr>
            </w:pPr>
            <w:r>
              <w:rPr>
                <w:color w:val="105C84"/>
                <w:spacing w:val="-4"/>
                <w:sz w:val="18"/>
              </w:rPr>
              <w:t>Baseline:</w:t>
            </w:r>
            <w:r>
              <w:rPr>
                <w:color w:val="105C84"/>
                <w:spacing w:val="-11"/>
                <w:sz w:val="18"/>
              </w:rPr>
              <w:t> </w:t>
            </w:r>
            <w:r>
              <w:rPr>
                <w:color w:val="105C84"/>
                <w:spacing w:val="-4"/>
                <w:sz w:val="18"/>
              </w:rPr>
              <w:t>25.4%</w:t>
            </w:r>
            <w:r>
              <w:rPr>
                <w:color w:val="105C84"/>
                <w:spacing w:val="-8"/>
                <w:sz w:val="18"/>
              </w:rPr>
              <w:t> </w:t>
            </w:r>
            <w:r>
              <w:rPr>
                <w:color w:val="105C84"/>
                <w:spacing w:val="-4"/>
                <w:sz w:val="18"/>
              </w:rPr>
              <w:t>(2016) Data</w:t>
            </w:r>
            <w:r>
              <w:rPr>
                <w:color w:val="105C84"/>
                <w:spacing w:val="-9"/>
                <w:sz w:val="18"/>
              </w:rPr>
              <w:t> </w:t>
            </w:r>
            <w:r>
              <w:rPr>
                <w:color w:val="105C84"/>
                <w:spacing w:val="-4"/>
                <w:sz w:val="18"/>
              </w:rPr>
              <w:t>Source:</w:t>
            </w:r>
            <w:r>
              <w:rPr>
                <w:color w:val="105C84"/>
                <w:spacing w:val="-8"/>
                <w:sz w:val="18"/>
              </w:rPr>
              <w:t> </w:t>
            </w:r>
            <w:r>
              <w:rPr>
                <w:color w:val="105C84"/>
                <w:spacing w:val="-4"/>
                <w:sz w:val="18"/>
              </w:rPr>
              <w:t>NYS</w:t>
            </w:r>
            <w:r>
              <w:rPr>
                <w:color w:val="105C84"/>
                <w:spacing w:val="-9"/>
                <w:sz w:val="18"/>
              </w:rPr>
              <w:t> </w:t>
            </w:r>
            <w:r>
              <w:rPr>
                <w:color w:val="105C84"/>
                <w:spacing w:val="-4"/>
                <w:sz w:val="18"/>
              </w:rPr>
              <w:t>YTS </w:t>
            </w:r>
            <w:r>
              <w:rPr>
                <w:color w:val="105C84"/>
                <w:sz w:val="18"/>
              </w:rPr>
              <w:t>Data Level: State</w:t>
            </w:r>
          </w:p>
          <w:p>
            <w:pPr>
              <w:pStyle w:val="TableParagraph"/>
              <w:spacing w:line="232" w:lineRule="auto" w:before="6"/>
              <w:ind w:left="84" w:right="387"/>
              <w:jc w:val="both"/>
              <w:rPr>
                <w:sz w:val="18"/>
              </w:rPr>
            </w:pPr>
            <w:r>
              <w:rPr>
                <w:color w:val="105C84"/>
                <w:spacing w:val="-2"/>
                <w:sz w:val="18"/>
              </w:rPr>
              <w:t>3.1.3</w:t>
            </w:r>
            <w:r>
              <w:rPr>
                <w:color w:val="105C84"/>
                <w:spacing w:val="-11"/>
                <w:sz w:val="18"/>
              </w:rPr>
              <w:t> </w:t>
            </w:r>
            <w:r>
              <w:rPr>
                <w:color w:val="105C84"/>
                <w:spacing w:val="-2"/>
                <w:sz w:val="18"/>
              </w:rPr>
              <w:t>Decrease</w:t>
            </w:r>
            <w:r>
              <w:rPr>
                <w:color w:val="105C84"/>
                <w:spacing w:val="-10"/>
                <w:sz w:val="18"/>
              </w:rPr>
              <w:t> </w:t>
            </w:r>
            <w:r>
              <w:rPr>
                <w:color w:val="105C84"/>
                <w:spacing w:val="-2"/>
                <w:sz w:val="18"/>
              </w:rPr>
              <w:t>the</w:t>
            </w:r>
            <w:r>
              <w:rPr>
                <w:color w:val="105C84"/>
                <w:spacing w:val="-11"/>
                <w:sz w:val="18"/>
              </w:rPr>
              <w:t> </w:t>
            </w:r>
            <w:r>
              <w:rPr>
                <w:color w:val="105C84"/>
                <w:spacing w:val="-2"/>
                <w:sz w:val="18"/>
              </w:rPr>
              <w:t>prevalenc</w:t>
            </w:r>
            <w:r>
              <w:rPr>
                <w:color w:val="105C84"/>
                <w:spacing w:val="-2"/>
                <w:sz w:val="18"/>
              </w:rPr>
              <w:t>e</w:t>
            </w:r>
            <w:r>
              <w:rPr>
                <w:color w:val="105C84"/>
                <w:spacing w:val="-2"/>
                <w:sz w:val="18"/>
              </w:rPr>
              <w:t> </w:t>
            </w:r>
            <w:r>
              <w:rPr>
                <w:color w:val="105C84"/>
                <w:sz w:val="18"/>
              </w:rPr>
              <w:t>of vaping product use by high school students</w:t>
            </w:r>
          </w:p>
        </w:tc>
        <w:tc>
          <w:tcPr>
            <w:tcW w:w="1383" w:type="dxa"/>
            <w:vMerge w:val="restart"/>
          </w:tcPr>
          <w:p>
            <w:pPr>
              <w:pStyle w:val="TableParagraph"/>
              <w:rPr>
                <w:rFonts w:ascii="Times New Roman"/>
                <w:sz w:val="18"/>
              </w:rPr>
            </w:pPr>
          </w:p>
        </w:tc>
        <w:tc>
          <w:tcPr>
            <w:tcW w:w="3020" w:type="dxa"/>
            <w:vMerge w:val="restart"/>
            <w:tcBorders>
              <w:right w:val="nil"/>
            </w:tcBorders>
          </w:tcPr>
          <w:p>
            <w:pPr>
              <w:pStyle w:val="TableParagraph"/>
              <w:spacing w:line="232" w:lineRule="auto" w:before="100"/>
              <w:ind w:left="84" w:right="1083"/>
              <w:rPr>
                <w:sz w:val="18"/>
              </w:rPr>
            </w:pPr>
            <w:r>
              <w:rPr>
                <w:color w:val="105C84"/>
                <w:sz w:val="18"/>
              </w:rPr>
              <w:t>3.1.2 Use media and health</w:t>
            </w:r>
            <w:r>
              <w:rPr>
                <w:color w:val="105C84"/>
                <w:spacing w:val="-13"/>
                <w:sz w:val="18"/>
              </w:rPr>
              <w:t> </w:t>
            </w:r>
            <w:r>
              <w:rPr>
                <w:color w:val="105C84"/>
                <w:sz w:val="18"/>
              </w:rPr>
              <w:t>communications</w:t>
            </w:r>
            <w:r>
              <w:rPr>
                <w:color w:val="105C84"/>
                <w:sz w:val="18"/>
              </w:rPr>
              <w:t> to highlight the</w:t>
            </w:r>
            <w:r>
              <w:rPr>
                <w:color w:val="105C84"/>
                <w:spacing w:val="40"/>
                <w:sz w:val="18"/>
              </w:rPr>
              <w:t> </w:t>
            </w:r>
            <w:r>
              <w:rPr>
                <w:color w:val="105C84"/>
                <w:sz w:val="18"/>
              </w:rPr>
              <w:t>dangers of tobacco, promote effective tobacco control</w:t>
            </w:r>
            <w:r>
              <w:rPr>
                <w:color w:val="105C84"/>
                <w:spacing w:val="40"/>
                <w:sz w:val="18"/>
              </w:rPr>
              <w:t> </w:t>
            </w:r>
            <w:r>
              <w:rPr>
                <w:color w:val="105C84"/>
                <w:sz w:val="18"/>
              </w:rPr>
              <w:t>policies and reshape social norms</w:t>
            </w:r>
          </w:p>
        </w:tc>
        <w:tc>
          <w:tcPr>
            <w:tcW w:w="3886" w:type="dxa"/>
            <w:vMerge w:val="restart"/>
            <w:tcBorders>
              <w:left w:val="nil"/>
            </w:tcBorders>
          </w:tcPr>
          <w:p>
            <w:pPr>
              <w:pStyle w:val="TableParagraph"/>
              <w:numPr>
                <w:ilvl w:val="0"/>
                <w:numId w:val="53"/>
              </w:numPr>
              <w:tabs>
                <w:tab w:pos="1234" w:val="left" w:leader="none"/>
              </w:tabs>
              <w:spacing w:line="232" w:lineRule="auto" w:before="100" w:after="0"/>
              <w:ind w:left="1048" w:right="571" w:firstLine="0"/>
              <w:jc w:val="left"/>
              <w:rPr>
                <w:sz w:val="18"/>
              </w:rPr>
            </w:pPr>
            <w:r>
              <w:rPr>
                <w:color w:val="105C84"/>
                <w:spacing w:val="-2"/>
                <w:sz w:val="18"/>
              </w:rPr>
              <w:t>#</w:t>
            </w:r>
            <w:r>
              <w:rPr>
                <w:color w:val="105C84"/>
                <w:spacing w:val="-13"/>
                <w:sz w:val="18"/>
              </w:rPr>
              <w:t> </w:t>
            </w:r>
            <w:r>
              <w:rPr>
                <w:color w:val="105C84"/>
                <w:spacing w:val="-2"/>
                <w:sz w:val="18"/>
              </w:rPr>
              <w:t>Press</w:t>
            </w:r>
            <w:r>
              <w:rPr>
                <w:color w:val="105C84"/>
                <w:spacing w:val="-10"/>
                <w:sz w:val="18"/>
              </w:rPr>
              <w:t> </w:t>
            </w:r>
            <w:r>
              <w:rPr>
                <w:color w:val="105C84"/>
                <w:spacing w:val="-2"/>
                <w:sz w:val="18"/>
              </w:rPr>
              <w:t>releases</w:t>
            </w:r>
            <w:r>
              <w:rPr>
                <w:color w:val="105C84"/>
                <w:spacing w:val="-11"/>
                <w:sz w:val="18"/>
              </w:rPr>
              <w:t> </w:t>
            </w:r>
            <w:r>
              <w:rPr>
                <w:color w:val="105C84"/>
                <w:spacing w:val="-2"/>
                <w:sz w:val="18"/>
              </w:rPr>
              <w:t>related</w:t>
            </w:r>
            <w:r>
              <w:rPr>
                <w:color w:val="105C84"/>
                <w:spacing w:val="-10"/>
                <w:sz w:val="18"/>
              </w:rPr>
              <w:t> </w:t>
            </w:r>
            <w:r>
              <w:rPr>
                <w:color w:val="105C84"/>
                <w:spacing w:val="-2"/>
                <w:sz w:val="18"/>
              </w:rPr>
              <w:t>to </w:t>
            </w:r>
            <w:r>
              <w:rPr>
                <w:color w:val="105C84"/>
                <w:sz w:val="18"/>
              </w:rPr>
              <w:t>dangers of tobacco</w:t>
            </w:r>
          </w:p>
          <w:p>
            <w:pPr>
              <w:pStyle w:val="TableParagraph"/>
              <w:numPr>
                <w:ilvl w:val="0"/>
                <w:numId w:val="53"/>
              </w:numPr>
              <w:tabs>
                <w:tab w:pos="1234" w:val="left" w:leader="none"/>
              </w:tabs>
              <w:spacing w:line="240" w:lineRule="auto" w:before="84" w:after="0"/>
              <w:ind w:left="1234" w:right="0" w:hanging="186"/>
              <w:jc w:val="left"/>
              <w:rPr>
                <w:sz w:val="18"/>
              </w:rPr>
            </w:pPr>
            <w:r>
              <w:rPr>
                <w:color w:val="105C84"/>
                <w:spacing w:val="-6"/>
                <w:sz w:val="18"/>
              </w:rPr>
              <w:t>#</w:t>
            </w:r>
            <w:r>
              <w:rPr>
                <w:color w:val="105C84"/>
                <w:spacing w:val="-4"/>
                <w:sz w:val="18"/>
              </w:rPr>
              <w:t> </w:t>
            </w:r>
            <w:r>
              <w:rPr>
                <w:color w:val="105C84"/>
                <w:spacing w:val="-6"/>
                <w:sz w:val="18"/>
              </w:rPr>
              <w:t>PSA’s,</w:t>
            </w:r>
            <w:r>
              <w:rPr>
                <w:color w:val="105C84"/>
                <w:spacing w:val="-3"/>
                <w:sz w:val="18"/>
              </w:rPr>
              <w:t> </w:t>
            </w:r>
            <w:r>
              <w:rPr>
                <w:color w:val="105C84"/>
                <w:spacing w:val="-6"/>
                <w:sz w:val="18"/>
              </w:rPr>
              <w:t>interviews,</w:t>
            </w:r>
            <w:r>
              <w:rPr>
                <w:color w:val="105C84"/>
                <w:spacing w:val="-4"/>
                <w:sz w:val="18"/>
              </w:rPr>
              <w:t> </w:t>
            </w:r>
            <w:r>
              <w:rPr>
                <w:color w:val="105C84"/>
                <w:spacing w:val="-6"/>
                <w:sz w:val="18"/>
              </w:rPr>
              <w:t>LTE’s</w:t>
            </w:r>
          </w:p>
          <w:p>
            <w:pPr>
              <w:pStyle w:val="TableParagraph"/>
              <w:numPr>
                <w:ilvl w:val="0"/>
                <w:numId w:val="53"/>
              </w:numPr>
              <w:tabs>
                <w:tab w:pos="1234" w:val="left" w:leader="none"/>
              </w:tabs>
              <w:spacing w:line="232" w:lineRule="auto" w:before="88" w:after="0"/>
              <w:ind w:left="1048" w:right="728" w:firstLine="0"/>
              <w:jc w:val="left"/>
              <w:rPr>
                <w:sz w:val="18"/>
              </w:rPr>
            </w:pPr>
            <w:r>
              <w:rPr>
                <w:color w:val="105C84"/>
                <w:sz w:val="18"/>
              </w:rPr>
              <w:t>#</w:t>
            </w:r>
            <w:r>
              <w:rPr>
                <w:color w:val="105C84"/>
                <w:spacing w:val="-7"/>
                <w:sz w:val="18"/>
              </w:rPr>
              <w:t> </w:t>
            </w:r>
            <w:r>
              <w:rPr>
                <w:color w:val="105C84"/>
                <w:sz w:val="18"/>
              </w:rPr>
              <w:t>Community</w:t>
            </w:r>
            <w:r>
              <w:rPr>
                <w:color w:val="105C84"/>
                <w:spacing w:val="-7"/>
                <w:sz w:val="18"/>
              </w:rPr>
              <w:t> </w:t>
            </w:r>
            <w:r>
              <w:rPr>
                <w:color w:val="105C84"/>
                <w:sz w:val="18"/>
              </w:rPr>
              <w:t>education sessions on tobacco</w:t>
            </w:r>
          </w:p>
          <w:p>
            <w:pPr>
              <w:pStyle w:val="TableParagraph"/>
              <w:numPr>
                <w:ilvl w:val="0"/>
                <w:numId w:val="53"/>
              </w:numPr>
              <w:tabs>
                <w:tab w:pos="1234" w:val="left" w:leader="none"/>
              </w:tabs>
              <w:spacing w:line="232" w:lineRule="auto" w:before="88" w:after="0"/>
              <w:ind w:left="1048" w:right="515" w:firstLine="0"/>
              <w:jc w:val="left"/>
              <w:rPr>
                <w:sz w:val="18"/>
              </w:rPr>
            </w:pPr>
            <w:r>
              <w:rPr>
                <w:color w:val="105C84"/>
                <w:sz w:val="18"/>
              </w:rPr>
              <w:t># Schools whose students received</w:t>
            </w:r>
            <w:r>
              <w:rPr>
                <w:color w:val="105C84"/>
                <w:spacing w:val="-5"/>
                <w:sz w:val="18"/>
              </w:rPr>
              <w:t> </w:t>
            </w:r>
            <w:r>
              <w:rPr>
                <w:color w:val="105C84"/>
                <w:sz w:val="18"/>
              </w:rPr>
              <w:t>tobacco</w:t>
            </w:r>
            <w:r>
              <w:rPr>
                <w:color w:val="105C84"/>
                <w:spacing w:val="-5"/>
                <w:sz w:val="18"/>
              </w:rPr>
              <w:t> </w:t>
            </w:r>
            <w:r>
              <w:rPr>
                <w:color w:val="105C84"/>
                <w:sz w:val="18"/>
              </w:rPr>
              <w:t>and</w:t>
            </w:r>
            <w:r>
              <w:rPr>
                <w:color w:val="105C84"/>
                <w:spacing w:val="-5"/>
                <w:sz w:val="18"/>
              </w:rPr>
              <w:t> </w:t>
            </w:r>
            <w:r>
              <w:rPr>
                <w:color w:val="105C84"/>
                <w:sz w:val="18"/>
              </w:rPr>
              <w:t>vaping </w:t>
            </w:r>
            <w:r>
              <w:rPr>
                <w:color w:val="105C84"/>
                <w:spacing w:val="-2"/>
                <w:sz w:val="18"/>
              </w:rPr>
              <w:t>education</w:t>
            </w:r>
          </w:p>
        </w:tc>
        <w:tc>
          <w:tcPr>
            <w:tcW w:w="1851" w:type="dxa"/>
            <w:tcBorders>
              <w:bottom w:val="nil"/>
            </w:tcBorders>
          </w:tcPr>
          <w:p>
            <w:pPr>
              <w:pStyle w:val="TableParagraph"/>
              <w:spacing w:before="95"/>
              <w:ind w:left="84"/>
              <w:rPr>
                <w:sz w:val="18"/>
              </w:rPr>
            </w:pPr>
            <w:r>
              <w:rPr>
                <w:color w:val="105C84"/>
                <w:spacing w:val="-4"/>
                <w:sz w:val="18"/>
              </w:rPr>
              <w:t>Media</w:t>
            </w:r>
          </w:p>
          <w:p>
            <w:pPr>
              <w:pStyle w:val="TableParagraph"/>
              <w:spacing w:line="232" w:lineRule="auto" w:before="88"/>
              <w:ind w:left="84"/>
              <w:rPr>
                <w:sz w:val="18"/>
              </w:rPr>
            </w:pPr>
            <w:r>
              <w:rPr>
                <w:color w:val="105C84"/>
                <w:sz w:val="18"/>
              </w:rPr>
              <w:t>Public service </w:t>
            </w:r>
            <w:r>
              <w:rPr>
                <w:color w:val="105C84"/>
                <w:spacing w:val="-2"/>
                <w:sz w:val="18"/>
              </w:rPr>
              <w:t>announcements </w:t>
            </w:r>
            <w:r>
              <w:rPr>
                <w:color w:val="105C84"/>
                <w:sz w:val="18"/>
              </w:rPr>
              <w:t>(PSEs), interviews, Letters</w:t>
            </w:r>
            <w:r>
              <w:rPr>
                <w:color w:val="105C84"/>
                <w:spacing w:val="-3"/>
                <w:sz w:val="18"/>
              </w:rPr>
              <w:t> </w:t>
            </w:r>
            <w:r>
              <w:rPr>
                <w:color w:val="105C84"/>
                <w:sz w:val="18"/>
              </w:rPr>
              <w:t>to</w:t>
            </w:r>
            <w:r>
              <w:rPr>
                <w:color w:val="105C84"/>
                <w:spacing w:val="-3"/>
                <w:sz w:val="18"/>
              </w:rPr>
              <w:t> </w:t>
            </w:r>
            <w:r>
              <w:rPr>
                <w:color w:val="105C84"/>
                <w:sz w:val="18"/>
              </w:rPr>
              <w:t>the</w:t>
            </w:r>
            <w:r>
              <w:rPr>
                <w:color w:val="105C84"/>
                <w:spacing w:val="-3"/>
                <w:sz w:val="18"/>
              </w:rPr>
              <w:t> </w:t>
            </w:r>
            <w:r>
              <w:rPr>
                <w:color w:val="105C84"/>
                <w:sz w:val="18"/>
              </w:rPr>
              <w:t>Editor </w:t>
            </w:r>
            <w:r>
              <w:rPr>
                <w:color w:val="105C84"/>
                <w:spacing w:val="-2"/>
                <w:sz w:val="18"/>
              </w:rPr>
              <w:t>(LTEs)</w:t>
            </w:r>
          </w:p>
          <w:p>
            <w:pPr>
              <w:pStyle w:val="TableParagraph"/>
              <w:spacing w:before="81"/>
              <w:ind w:left="84"/>
              <w:rPr>
                <w:sz w:val="18"/>
              </w:rPr>
            </w:pPr>
            <w:r>
              <w:rPr>
                <w:color w:val="105C84"/>
                <w:spacing w:val="-2"/>
                <w:sz w:val="18"/>
              </w:rPr>
              <w:t>TACFL</w:t>
            </w:r>
          </w:p>
          <w:p>
            <w:pPr>
              <w:pStyle w:val="TableParagraph"/>
              <w:spacing w:line="336" w:lineRule="auto" w:before="83"/>
              <w:ind w:left="84"/>
              <w:rPr>
                <w:sz w:val="18"/>
              </w:rPr>
            </w:pPr>
            <w:r>
              <w:rPr>
                <w:color w:val="105C84"/>
                <w:sz w:val="18"/>
              </w:rPr>
              <w:t>OC</w:t>
            </w:r>
            <w:r>
              <w:rPr>
                <w:color w:val="105C84"/>
                <w:spacing w:val="-15"/>
                <w:sz w:val="18"/>
              </w:rPr>
              <w:t> </w:t>
            </w:r>
            <w:r>
              <w:rPr>
                <w:color w:val="105C84"/>
                <w:sz w:val="18"/>
              </w:rPr>
              <w:t>Public</w:t>
            </w:r>
            <w:r>
              <w:rPr>
                <w:color w:val="105C84"/>
                <w:spacing w:val="-12"/>
                <w:sz w:val="18"/>
              </w:rPr>
              <w:t> </w:t>
            </w:r>
            <w:r>
              <w:rPr>
                <w:color w:val="105C84"/>
                <w:sz w:val="18"/>
              </w:rPr>
              <w:t>Health </w:t>
            </w:r>
            <w:r>
              <w:rPr>
                <w:color w:val="105C84"/>
                <w:spacing w:val="-2"/>
                <w:sz w:val="18"/>
              </w:rPr>
              <w:t>Schools</w:t>
            </w:r>
          </w:p>
          <w:p>
            <w:pPr>
              <w:pStyle w:val="TableParagraph"/>
              <w:ind w:left="84"/>
              <w:rPr>
                <w:sz w:val="18"/>
              </w:rPr>
            </w:pPr>
            <w:r>
              <w:rPr>
                <w:color w:val="105C84"/>
                <w:spacing w:val="-2"/>
                <w:sz w:val="18"/>
              </w:rPr>
              <w:t>Local</w:t>
            </w:r>
            <w:r>
              <w:rPr>
                <w:color w:val="105C84"/>
                <w:spacing w:val="-7"/>
                <w:sz w:val="18"/>
              </w:rPr>
              <w:t> </w:t>
            </w:r>
            <w:r>
              <w:rPr>
                <w:color w:val="105C84"/>
                <w:spacing w:val="-2"/>
                <w:sz w:val="18"/>
              </w:rPr>
              <w:t>government</w:t>
            </w:r>
          </w:p>
        </w:tc>
        <w:tc>
          <w:tcPr>
            <w:tcW w:w="2693" w:type="dxa"/>
            <w:vMerge w:val="restart"/>
          </w:tcPr>
          <w:p>
            <w:pPr>
              <w:pStyle w:val="TableParagraph"/>
              <w:spacing w:line="232" w:lineRule="auto" w:before="100"/>
              <w:ind w:left="84" w:right="97"/>
              <w:rPr>
                <w:sz w:val="18"/>
              </w:rPr>
            </w:pPr>
            <w:r>
              <w:rPr>
                <w:color w:val="105C84"/>
                <w:sz w:val="18"/>
              </w:rPr>
              <w:t>Media:</w:t>
            </w:r>
            <w:r>
              <w:rPr>
                <w:color w:val="105C84"/>
                <w:spacing w:val="-13"/>
                <w:sz w:val="18"/>
              </w:rPr>
              <w:t> </w:t>
            </w:r>
            <w:r>
              <w:rPr>
                <w:color w:val="105C84"/>
                <w:sz w:val="18"/>
              </w:rPr>
              <w:t>Respond</w:t>
            </w:r>
            <w:r>
              <w:rPr>
                <w:color w:val="105C84"/>
                <w:spacing w:val="-12"/>
                <w:sz w:val="18"/>
              </w:rPr>
              <w:t> </w:t>
            </w:r>
            <w:r>
              <w:rPr>
                <w:color w:val="105C84"/>
                <w:sz w:val="18"/>
              </w:rPr>
              <w:t>to</w:t>
            </w:r>
            <w:r>
              <w:rPr>
                <w:color w:val="105C84"/>
                <w:spacing w:val="-13"/>
                <w:sz w:val="18"/>
              </w:rPr>
              <w:t> </w:t>
            </w:r>
            <w:r>
              <w:rPr>
                <w:color w:val="105C84"/>
                <w:sz w:val="18"/>
              </w:rPr>
              <w:t>PR’s</w:t>
            </w:r>
            <w:r>
              <w:rPr>
                <w:color w:val="105C84"/>
                <w:spacing w:val="-12"/>
                <w:sz w:val="18"/>
              </w:rPr>
              <w:t> </w:t>
            </w:r>
            <w:r>
              <w:rPr>
                <w:color w:val="105C84"/>
                <w:sz w:val="18"/>
              </w:rPr>
              <w:t>,</w:t>
            </w:r>
            <w:r>
              <w:rPr>
                <w:color w:val="105C84"/>
                <w:spacing w:val="-13"/>
                <w:sz w:val="18"/>
              </w:rPr>
              <w:t> </w:t>
            </w:r>
            <w:r>
              <w:rPr>
                <w:color w:val="105C84"/>
                <w:sz w:val="18"/>
              </w:rPr>
              <w:t>print LTE’s and guest essays, air </w:t>
            </w:r>
            <w:r>
              <w:rPr>
                <w:color w:val="105C84"/>
                <w:spacing w:val="-2"/>
                <w:sz w:val="18"/>
              </w:rPr>
              <w:t>PSA’s.</w:t>
            </w:r>
          </w:p>
          <w:p>
            <w:pPr>
              <w:pStyle w:val="TableParagraph"/>
              <w:spacing w:line="232" w:lineRule="auto" w:before="87"/>
              <w:ind w:left="84" w:right="107"/>
              <w:jc w:val="both"/>
              <w:rPr>
                <w:sz w:val="18"/>
              </w:rPr>
            </w:pPr>
            <w:r>
              <w:rPr>
                <w:color w:val="105C84"/>
                <w:spacing w:val="-4"/>
                <w:sz w:val="18"/>
              </w:rPr>
              <w:t>TACFL</w:t>
            </w:r>
            <w:r>
              <w:rPr>
                <w:color w:val="105C84"/>
                <w:spacing w:val="-5"/>
                <w:sz w:val="18"/>
              </w:rPr>
              <w:t> </w:t>
            </w:r>
            <w:r>
              <w:rPr>
                <w:color w:val="105C84"/>
                <w:spacing w:val="-4"/>
                <w:sz w:val="18"/>
              </w:rPr>
              <w:t>:</w:t>
            </w:r>
            <w:r>
              <w:rPr>
                <w:color w:val="105C84"/>
                <w:spacing w:val="-5"/>
                <w:sz w:val="18"/>
              </w:rPr>
              <w:t> </w:t>
            </w:r>
            <w:r>
              <w:rPr>
                <w:color w:val="105C84"/>
                <w:spacing w:val="-4"/>
                <w:sz w:val="18"/>
              </w:rPr>
              <w:t>Write</w:t>
            </w:r>
            <w:r>
              <w:rPr>
                <w:color w:val="105C84"/>
                <w:spacing w:val="-5"/>
                <w:sz w:val="18"/>
              </w:rPr>
              <w:t> </w:t>
            </w:r>
            <w:r>
              <w:rPr>
                <w:color w:val="105C84"/>
                <w:spacing w:val="-4"/>
                <w:sz w:val="18"/>
              </w:rPr>
              <w:t>LTE’s,</w:t>
            </w:r>
            <w:r>
              <w:rPr>
                <w:color w:val="105C84"/>
                <w:spacing w:val="-5"/>
                <w:sz w:val="18"/>
              </w:rPr>
              <w:t> </w:t>
            </w:r>
            <w:r>
              <w:rPr>
                <w:color w:val="105C84"/>
                <w:spacing w:val="-4"/>
                <w:sz w:val="18"/>
              </w:rPr>
              <w:t>participate </w:t>
            </w:r>
            <w:r>
              <w:rPr>
                <w:color w:val="105C84"/>
                <w:sz w:val="18"/>
              </w:rPr>
              <w:t>in</w:t>
            </w:r>
            <w:r>
              <w:rPr>
                <w:color w:val="105C84"/>
                <w:spacing w:val="-8"/>
                <w:sz w:val="18"/>
              </w:rPr>
              <w:t> </w:t>
            </w:r>
            <w:r>
              <w:rPr>
                <w:color w:val="105C84"/>
                <w:sz w:val="18"/>
              </w:rPr>
              <w:t>interviews,</w:t>
            </w:r>
            <w:r>
              <w:rPr>
                <w:color w:val="105C84"/>
                <w:spacing w:val="-8"/>
                <w:sz w:val="18"/>
              </w:rPr>
              <w:t> </w:t>
            </w:r>
            <w:r>
              <w:rPr>
                <w:color w:val="105C84"/>
                <w:sz w:val="18"/>
              </w:rPr>
              <w:t>use</w:t>
            </w:r>
            <w:r>
              <w:rPr>
                <w:color w:val="105C84"/>
                <w:spacing w:val="-8"/>
                <w:sz w:val="18"/>
              </w:rPr>
              <w:t> </w:t>
            </w:r>
            <w:r>
              <w:rPr>
                <w:color w:val="105C84"/>
                <w:sz w:val="18"/>
              </w:rPr>
              <w:t>social</w:t>
            </w:r>
            <w:r>
              <w:rPr>
                <w:color w:val="105C84"/>
                <w:spacing w:val="-8"/>
                <w:sz w:val="18"/>
              </w:rPr>
              <w:t> </w:t>
            </w:r>
            <w:r>
              <w:rPr>
                <w:color w:val="105C84"/>
                <w:sz w:val="18"/>
              </w:rPr>
              <w:t>media, work with youth and schools</w:t>
            </w:r>
          </w:p>
          <w:p>
            <w:pPr>
              <w:pStyle w:val="TableParagraph"/>
              <w:spacing w:line="232" w:lineRule="auto" w:before="88"/>
              <w:ind w:left="84" w:right="97"/>
              <w:rPr>
                <w:sz w:val="18"/>
              </w:rPr>
            </w:pPr>
            <w:r>
              <w:rPr>
                <w:color w:val="105C84"/>
                <w:sz w:val="18"/>
              </w:rPr>
              <w:t>OC Public Health : Develop unified messaging, educate community</w:t>
            </w:r>
            <w:r>
              <w:rPr>
                <w:color w:val="105C84"/>
                <w:spacing w:val="-13"/>
                <w:sz w:val="18"/>
              </w:rPr>
              <w:t> </w:t>
            </w:r>
            <w:r>
              <w:rPr>
                <w:color w:val="105C84"/>
                <w:sz w:val="18"/>
              </w:rPr>
              <w:t>members/schools use social media, write PR’s and PSA’s</w:t>
            </w:r>
          </w:p>
          <w:p>
            <w:pPr>
              <w:pStyle w:val="TableParagraph"/>
              <w:spacing w:line="232" w:lineRule="auto" w:before="86"/>
              <w:ind w:left="84" w:right="594"/>
              <w:jc w:val="both"/>
              <w:rPr>
                <w:sz w:val="18"/>
              </w:rPr>
            </w:pPr>
            <w:r>
              <w:rPr>
                <w:color w:val="105C84"/>
                <w:sz w:val="18"/>
              </w:rPr>
              <w:t>Schools</w:t>
            </w:r>
            <w:r>
              <w:rPr>
                <w:color w:val="105C84"/>
                <w:spacing w:val="-13"/>
                <w:sz w:val="18"/>
              </w:rPr>
              <w:t> </w:t>
            </w:r>
            <w:r>
              <w:rPr>
                <w:color w:val="105C84"/>
                <w:sz w:val="18"/>
              </w:rPr>
              <w:t>:</w:t>
            </w:r>
            <w:r>
              <w:rPr>
                <w:color w:val="105C84"/>
                <w:spacing w:val="-12"/>
                <w:sz w:val="18"/>
              </w:rPr>
              <w:t> </w:t>
            </w:r>
            <w:r>
              <w:rPr>
                <w:color w:val="105C84"/>
                <w:sz w:val="18"/>
              </w:rPr>
              <w:t>Provide</w:t>
            </w:r>
            <w:r>
              <w:rPr>
                <w:color w:val="105C84"/>
                <w:spacing w:val="-13"/>
                <w:sz w:val="18"/>
              </w:rPr>
              <w:t> </w:t>
            </w:r>
            <w:r>
              <w:rPr>
                <w:color w:val="105C84"/>
                <w:sz w:val="18"/>
              </w:rPr>
              <w:t>venues for</w:t>
            </w:r>
            <w:r>
              <w:rPr>
                <w:color w:val="105C84"/>
                <w:spacing w:val="-3"/>
                <w:sz w:val="18"/>
              </w:rPr>
              <w:t> </w:t>
            </w:r>
            <w:r>
              <w:rPr>
                <w:color w:val="105C84"/>
                <w:sz w:val="18"/>
              </w:rPr>
              <w:t>community</w:t>
            </w:r>
            <w:r>
              <w:rPr>
                <w:color w:val="105C84"/>
                <w:spacing w:val="-3"/>
                <w:sz w:val="18"/>
              </w:rPr>
              <w:t> </w:t>
            </w:r>
            <w:r>
              <w:rPr>
                <w:color w:val="105C84"/>
                <w:sz w:val="18"/>
              </w:rPr>
              <w:t>and</w:t>
            </w:r>
            <w:r>
              <w:rPr>
                <w:color w:val="105C84"/>
                <w:spacing w:val="-3"/>
                <w:sz w:val="18"/>
              </w:rPr>
              <w:t> </w:t>
            </w:r>
            <w:r>
              <w:rPr>
                <w:color w:val="105C84"/>
                <w:sz w:val="18"/>
              </w:rPr>
              <w:t>youth </w:t>
            </w:r>
            <w:r>
              <w:rPr>
                <w:color w:val="105C84"/>
                <w:spacing w:val="-2"/>
                <w:sz w:val="18"/>
              </w:rPr>
              <w:t>education</w:t>
            </w:r>
          </w:p>
          <w:p>
            <w:pPr>
              <w:pStyle w:val="TableParagraph"/>
              <w:spacing w:line="232" w:lineRule="auto" w:before="88"/>
              <w:ind w:left="84" w:right="273"/>
              <w:rPr>
                <w:sz w:val="18"/>
              </w:rPr>
            </w:pPr>
            <w:r>
              <w:rPr>
                <w:color w:val="105C84"/>
                <w:sz w:val="18"/>
              </w:rPr>
              <w:t>Local government: Adoption of local laws regulating the availability</w:t>
            </w:r>
            <w:r>
              <w:rPr>
                <w:color w:val="105C84"/>
                <w:spacing w:val="-7"/>
                <w:sz w:val="18"/>
              </w:rPr>
              <w:t> </w:t>
            </w:r>
            <w:r>
              <w:rPr>
                <w:color w:val="105C84"/>
                <w:sz w:val="18"/>
              </w:rPr>
              <w:t>of</w:t>
            </w:r>
            <w:r>
              <w:rPr>
                <w:color w:val="105C84"/>
                <w:spacing w:val="-7"/>
                <w:sz w:val="18"/>
              </w:rPr>
              <w:t> </w:t>
            </w:r>
            <w:r>
              <w:rPr>
                <w:color w:val="105C84"/>
                <w:sz w:val="18"/>
              </w:rPr>
              <w:t>flavored</w:t>
            </w:r>
            <w:r>
              <w:rPr>
                <w:color w:val="105C84"/>
                <w:spacing w:val="-7"/>
                <w:sz w:val="18"/>
              </w:rPr>
              <w:t> </w:t>
            </w:r>
            <w:r>
              <w:rPr>
                <w:color w:val="105C84"/>
                <w:sz w:val="18"/>
              </w:rPr>
              <w:t>vaping </w:t>
            </w:r>
            <w:r>
              <w:rPr>
                <w:color w:val="105C84"/>
                <w:spacing w:val="-2"/>
                <w:sz w:val="18"/>
              </w:rPr>
              <w:t>liquids</w:t>
            </w:r>
          </w:p>
          <w:p>
            <w:pPr>
              <w:pStyle w:val="TableParagraph"/>
              <w:spacing w:line="232" w:lineRule="auto" w:before="86"/>
              <w:ind w:left="84" w:right="97"/>
              <w:rPr>
                <w:sz w:val="18"/>
              </w:rPr>
            </w:pPr>
            <w:r>
              <w:rPr>
                <w:color w:val="105C84"/>
                <w:sz w:val="18"/>
              </w:rPr>
              <w:t>TACFL: Education of local government</w:t>
            </w:r>
            <w:r>
              <w:rPr>
                <w:color w:val="105C84"/>
                <w:spacing w:val="-4"/>
                <w:sz w:val="18"/>
              </w:rPr>
              <w:t> </w:t>
            </w:r>
            <w:r>
              <w:rPr>
                <w:color w:val="105C84"/>
                <w:sz w:val="18"/>
              </w:rPr>
              <w:t>officials</w:t>
            </w:r>
            <w:r>
              <w:rPr>
                <w:color w:val="105C84"/>
                <w:spacing w:val="-4"/>
                <w:sz w:val="18"/>
              </w:rPr>
              <w:t> </w:t>
            </w:r>
            <w:r>
              <w:rPr>
                <w:color w:val="105C84"/>
                <w:sz w:val="18"/>
              </w:rPr>
              <w:t>regarding vaping &amp; assistance with development of legislation</w:t>
            </w:r>
          </w:p>
          <w:p>
            <w:pPr>
              <w:pStyle w:val="TableParagraph"/>
              <w:spacing w:line="232" w:lineRule="auto" w:before="87"/>
              <w:ind w:left="84" w:right="167"/>
              <w:rPr>
                <w:sz w:val="18"/>
              </w:rPr>
            </w:pPr>
            <w:r>
              <w:rPr>
                <w:color w:val="105C84"/>
                <w:sz w:val="18"/>
              </w:rPr>
              <w:t>OC Public Health: Education of local government officials and</w:t>
            </w:r>
            <w:r>
              <w:rPr>
                <w:color w:val="105C84"/>
                <w:spacing w:val="-5"/>
                <w:sz w:val="18"/>
              </w:rPr>
              <w:t> </w:t>
            </w:r>
            <w:r>
              <w:rPr>
                <w:color w:val="105C84"/>
                <w:sz w:val="18"/>
              </w:rPr>
              <w:t>advocacy</w:t>
            </w:r>
            <w:r>
              <w:rPr>
                <w:color w:val="105C84"/>
                <w:spacing w:val="-5"/>
                <w:sz w:val="18"/>
              </w:rPr>
              <w:t> </w:t>
            </w:r>
            <w:r>
              <w:rPr>
                <w:color w:val="105C84"/>
                <w:sz w:val="18"/>
              </w:rPr>
              <w:t>for</w:t>
            </w:r>
            <w:r>
              <w:rPr>
                <w:color w:val="105C84"/>
                <w:spacing w:val="-5"/>
                <w:sz w:val="18"/>
              </w:rPr>
              <w:t> </w:t>
            </w:r>
            <w:r>
              <w:rPr>
                <w:color w:val="105C84"/>
                <w:sz w:val="18"/>
              </w:rPr>
              <w:t>regulation</w:t>
            </w:r>
            <w:r>
              <w:rPr>
                <w:color w:val="105C84"/>
                <w:spacing w:val="-5"/>
                <w:sz w:val="18"/>
              </w:rPr>
              <w:t> </w:t>
            </w:r>
            <w:r>
              <w:rPr>
                <w:color w:val="105C84"/>
                <w:sz w:val="18"/>
              </w:rPr>
              <w:t>of flavored vaping products</w:t>
            </w:r>
          </w:p>
        </w:tc>
        <w:tc>
          <w:tcPr>
            <w:tcW w:w="2630" w:type="dxa"/>
            <w:tcBorders>
              <w:bottom w:val="nil"/>
            </w:tcBorders>
          </w:tcPr>
          <w:p>
            <w:pPr>
              <w:pStyle w:val="TableParagraph"/>
              <w:spacing w:line="232" w:lineRule="auto" w:before="99"/>
              <w:ind w:left="84" w:right="93"/>
              <w:rPr>
                <w:sz w:val="18"/>
              </w:rPr>
            </w:pPr>
            <w:r>
              <w:rPr>
                <w:color w:val="105C84"/>
                <w:sz w:val="18"/>
              </w:rPr>
              <w:t>TACFL: 0.5 FTE’s for all interventions</w:t>
            </w:r>
            <w:r>
              <w:rPr>
                <w:color w:val="105C84"/>
                <w:spacing w:val="-1"/>
                <w:sz w:val="18"/>
              </w:rPr>
              <w:t> </w:t>
            </w:r>
            <w:r>
              <w:rPr>
                <w:color w:val="105C84"/>
                <w:sz w:val="18"/>
              </w:rPr>
              <w:t>related</w:t>
            </w:r>
            <w:r>
              <w:rPr>
                <w:color w:val="105C84"/>
                <w:spacing w:val="-1"/>
                <w:sz w:val="18"/>
              </w:rPr>
              <w:t> </w:t>
            </w:r>
            <w:r>
              <w:rPr>
                <w:color w:val="105C84"/>
                <w:sz w:val="18"/>
              </w:rPr>
              <w:t>to</w:t>
            </w:r>
            <w:r>
              <w:rPr>
                <w:color w:val="105C84"/>
                <w:spacing w:val="-1"/>
                <w:sz w:val="18"/>
              </w:rPr>
              <w:t> </w:t>
            </w:r>
            <w:r>
              <w:rPr>
                <w:color w:val="105C84"/>
                <w:sz w:val="18"/>
              </w:rPr>
              <w:t>Goal </w:t>
            </w:r>
            <w:r>
              <w:rPr>
                <w:color w:val="105C84"/>
                <w:spacing w:val="-4"/>
                <w:sz w:val="18"/>
              </w:rPr>
              <w:t>3.1.</w:t>
            </w:r>
          </w:p>
          <w:p>
            <w:pPr>
              <w:pStyle w:val="TableParagraph"/>
              <w:spacing w:line="336" w:lineRule="auto" w:before="83"/>
              <w:ind w:left="84"/>
              <w:rPr>
                <w:sz w:val="18"/>
              </w:rPr>
            </w:pPr>
            <w:r>
              <w:rPr>
                <w:color w:val="105C84"/>
                <w:sz w:val="18"/>
              </w:rPr>
              <w:t>OC Public Health: 0.10 FTE </w:t>
            </w:r>
            <w:r>
              <w:rPr>
                <w:color w:val="105C84"/>
                <w:spacing w:val="-4"/>
                <w:sz w:val="18"/>
              </w:rPr>
              <w:t>TACFL: See Intervention </w:t>
            </w:r>
            <w:r>
              <w:rPr>
                <w:color w:val="105C84"/>
                <w:spacing w:val="-4"/>
                <w:sz w:val="18"/>
              </w:rPr>
              <w:t>3.1.2</w:t>
            </w:r>
          </w:p>
        </w:tc>
      </w:tr>
      <w:tr>
        <w:trPr>
          <w:trHeight w:val="879" w:hRule="exact"/>
        </w:trPr>
        <w:tc>
          <w:tcPr>
            <w:tcW w:w="1353" w:type="dxa"/>
            <w:tcBorders>
              <w:top w:val="nil"/>
              <w:bottom w:val="nil"/>
            </w:tcBorders>
            <w:shd w:val="clear" w:color="auto" w:fill="E6E7E8"/>
          </w:tcPr>
          <w:p>
            <w:pPr>
              <w:pStyle w:val="TableParagraph"/>
              <w:rPr>
                <w:rFonts w:ascii="Times New Roman"/>
                <w:sz w:val="18"/>
              </w:rPr>
            </w:pPr>
          </w:p>
        </w:tc>
        <w:tc>
          <w:tcPr>
            <w:tcW w:w="1289" w:type="dxa"/>
            <w:tcBorders>
              <w:top w:val="nil"/>
              <w:bottom w:val="nil"/>
            </w:tcBorders>
          </w:tcPr>
          <w:p>
            <w:pPr>
              <w:pStyle w:val="TableParagraph"/>
              <w:rPr>
                <w:rFonts w:ascii="Times New Roman"/>
                <w:sz w:val="18"/>
              </w:rPr>
            </w:pPr>
          </w:p>
        </w:tc>
        <w:tc>
          <w:tcPr>
            <w:tcW w:w="1275" w:type="dxa"/>
            <w:tcBorders>
              <w:top w:val="nil"/>
              <w:bottom w:val="nil"/>
            </w:tcBorders>
          </w:tcPr>
          <w:p>
            <w:pPr>
              <w:pStyle w:val="TableParagraph"/>
              <w:rPr>
                <w:rFonts w:ascii="Times New Roman"/>
                <w:sz w:val="18"/>
              </w:rPr>
            </w:pPr>
          </w:p>
        </w:tc>
        <w:tc>
          <w:tcPr>
            <w:tcW w:w="2881" w:type="dxa"/>
            <w:tcBorders>
              <w:top w:val="nil"/>
              <w:bottom w:val="nil"/>
            </w:tcBorders>
          </w:tcPr>
          <w:p>
            <w:pPr>
              <w:pStyle w:val="TableParagraph"/>
              <w:spacing w:before="33"/>
              <w:ind w:left="84"/>
              <w:rPr>
                <w:sz w:val="18"/>
              </w:rPr>
            </w:pPr>
            <w:r>
              <w:rPr>
                <w:color w:val="105C84"/>
                <w:spacing w:val="-4"/>
                <w:sz w:val="18"/>
              </w:rPr>
              <w:t>Target:</w:t>
            </w:r>
            <w:r>
              <w:rPr>
                <w:color w:val="105C84"/>
                <w:spacing w:val="-1"/>
                <w:sz w:val="18"/>
              </w:rPr>
              <w:t> </w:t>
            </w:r>
            <w:r>
              <w:rPr>
                <w:color w:val="105C84"/>
                <w:spacing w:val="-2"/>
                <w:sz w:val="18"/>
              </w:rPr>
              <w:t>15.9%</w:t>
            </w:r>
          </w:p>
          <w:p>
            <w:pPr>
              <w:pStyle w:val="TableParagraph"/>
              <w:spacing w:line="290" w:lineRule="atLeast"/>
              <w:ind w:left="84" w:right="1010"/>
              <w:rPr>
                <w:sz w:val="18"/>
              </w:rPr>
            </w:pPr>
            <w:r>
              <w:rPr>
                <w:color w:val="105C84"/>
                <w:spacing w:val="-6"/>
                <w:sz w:val="18"/>
              </w:rPr>
              <w:t>Baseline:</w:t>
            </w:r>
            <w:r>
              <w:rPr>
                <w:color w:val="105C84"/>
                <w:spacing w:val="-9"/>
                <w:sz w:val="18"/>
              </w:rPr>
              <w:t> </w:t>
            </w:r>
            <w:r>
              <w:rPr>
                <w:color w:val="105C84"/>
                <w:spacing w:val="-6"/>
                <w:sz w:val="18"/>
              </w:rPr>
              <w:t>20.6% (2016) </w:t>
            </w:r>
            <w:r>
              <w:rPr>
                <w:color w:val="105C84"/>
                <w:spacing w:val="-4"/>
                <w:sz w:val="18"/>
              </w:rPr>
              <w:t>Data</w:t>
            </w:r>
            <w:r>
              <w:rPr>
                <w:color w:val="105C84"/>
                <w:spacing w:val="-6"/>
                <w:sz w:val="18"/>
              </w:rPr>
              <w:t> </w:t>
            </w:r>
            <w:r>
              <w:rPr>
                <w:color w:val="105C84"/>
                <w:spacing w:val="-4"/>
                <w:sz w:val="18"/>
              </w:rPr>
              <w:t>Source:</w:t>
            </w:r>
            <w:r>
              <w:rPr>
                <w:color w:val="105C84"/>
                <w:spacing w:val="-5"/>
                <w:sz w:val="18"/>
              </w:rPr>
              <w:t> </w:t>
            </w:r>
            <w:r>
              <w:rPr>
                <w:color w:val="105C84"/>
                <w:spacing w:val="-4"/>
                <w:sz w:val="18"/>
              </w:rPr>
              <w:t>NYS</w:t>
            </w:r>
            <w:r>
              <w:rPr>
                <w:color w:val="105C84"/>
                <w:spacing w:val="-5"/>
                <w:sz w:val="18"/>
              </w:rPr>
              <w:t> </w:t>
            </w:r>
            <w:r>
              <w:rPr>
                <w:color w:val="105C84"/>
                <w:spacing w:val="-14"/>
                <w:sz w:val="18"/>
              </w:rPr>
              <w:t>YTS</w:t>
            </w:r>
          </w:p>
        </w:tc>
        <w:tc>
          <w:tcPr>
            <w:tcW w:w="1383" w:type="dxa"/>
            <w:vMerge/>
            <w:tcBorders>
              <w:top w:val="nil"/>
            </w:tcBorders>
          </w:tcPr>
          <w:p>
            <w:pPr>
              <w:rPr>
                <w:sz w:val="2"/>
                <w:szCs w:val="2"/>
              </w:rPr>
            </w:pPr>
          </w:p>
        </w:tc>
        <w:tc>
          <w:tcPr>
            <w:tcW w:w="3020" w:type="dxa"/>
            <w:vMerge/>
            <w:tcBorders>
              <w:top w:val="nil"/>
              <w:right w:val="nil"/>
            </w:tcBorders>
          </w:tcPr>
          <w:p>
            <w:pPr>
              <w:rPr>
                <w:sz w:val="2"/>
                <w:szCs w:val="2"/>
              </w:rPr>
            </w:pPr>
          </w:p>
        </w:tc>
        <w:tc>
          <w:tcPr>
            <w:tcW w:w="3886" w:type="dxa"/>
            <w:vMerge/>
            <w:tcBorders>
              <w:top w:val="nil"/>
              <w:left w:val="nil"/>
            </w:tcBorders>
          </w:tcPr>
          <w:p>
            <w:pPr>
              <w:rPr>
                <w:sz w:val="2"/>
                <w:szCs w:val="2"/>
              </w:rPr>
            </w:pPr>
          </w:p>
        </w:tc>
        <w:tc>
          <w:tcPr>
            <w:tcW w:w="1851" w:type="dxa"/>
            <w:tcBorders>
              <w:top w:val="nil"/>
              <w:bottom w:val="nil"/>
            </w:tcBorders>
          </w:tcPr>
          <w:p>
            <w:pPr>
              <w:pStyle w:val="TableParagraph"/>
              <w:spacing w:line="232" w:lineRule="auto" w:before="38"/>
              <w:ind w:left="84" w:right="509"/>
              <w:rPr>
                <w:sz w:val="18"/>
              </w:rPr>
            </w:pPr>
            <w:r>
              <w:rPr>
                <w:color w:val="105C84"/>
                <w:sz w:val="18"/>
              </w:rPr>
              <w:t>Tobacco</w:t>
            </w:r>
            <w:r>
              <w:rPr>
                <w:color w:val="105C84"/>
                <w:spacing w:val="-13"/>
                <w:sz w:val="18"/>
              </w:rPr>
              <w:t> </w:t>
            </w:r>
            <w:r>
              <w:rPr>
                <w:color w:val="105C84"/>
                <w:sz w:val="18"/>
              </w:rPr>
              <w:t>Action Coalition of the Finger Lakes </w:t>
            </w:r>
            <w:r>
              <w:rPr>
                <w:color w:val="105C84"/>
                <w:spacing w:val="-2"/>
                <w:sz w:val="18"/>
              </w:rPr>
              <w:t>(TACFL)</w:t>
            </w:r>
          </w:p>
        </w:tc>
        <w:tc>
          <w:tcPr>
            <w:tcW w:w="2693" w:type="dxa"/>
            <w:vMerge/>
            <w:tcBorders>
              <w:top w:val="nil"/>
            </w:tcBorders>
          </w:tcPr>
          <w:p>
            <w:pPr>
              <w:rPr>
                <w:sz w:val="2"/>
                <w:szCs w:val="2"/>
              </w:rPr>
            </w:pPr>
          </w:p>
        </w:tc>
        <w:tc>
          <w:tcPr>
            <w:tcW w:w="2630" w:type="dxa"/>
            <w:tcBorders>
              <w:top w:val="nil"/>
              <w:bottom w:val="nil"/>
            </w:tcBorders>
          </w:tcPr>
          <w:p>
            <w:pPr>
              <w:pStyle w:val="TableParagraph"/>
              <w:rPr>
                <w:rFonts w:ascii="Times New Roman"/>
                <w:sz w:val="18"/>
              </w:rPr>
            </w:pPr>
          </w:p>
        </w:tc>
      </w:tr>
      <w:tr>
        <w:trPr>
          <w:trHeight w:val="289" w:hRule="exact"/>
        </w:trPr>
        <w:tc>
          <w:tcPr>
            <w:tcW w:w="1353" w:type="dxa"/>
            <w:tcBorders>
              <w:top w:val="nil"/>
              <w:bottom w:val="nil"/>
            </w:tcBorders>
            <w:shd w:val="clear" w:color="auto" w:fill="E6E7E8"/>
          </w:tcPr>
          <w:p>
            <w:pPr>
              <w:pStyle w:val="TableParagraph"/>
              <w:rPr>
                <w:rFonts w:ascii="Times New Roman"/>
                <w:sz w:val="18"/>
              </w:rPr>
            </w:pPr>
          </w:p>
        </w:tc>
        <w:tc>
          <w:tcPr>
            <w:tcW w:w="1289" w:type="dxa"/>
            <w:tcBorders>
              <w:top w:val="nil"/>
              <w:bottom w:val="nil"/>
            </w:tcBorders>
          </w:tcPr>
          <w:p>
            <w:pPr>
              <w:pStyle w:val="TableParagraph"/>
              <w:rPr>
                <w:rFonts w:ascii="Times New Roman"/>
                <w:sz w:val="18"/>
              </w:rPr>
            </w:pPr>
          </w:p>
        </w:tc>
        <w:tc>
          <w:tcPr>
            <w:tcW w:w="1275" w:type="dxa"/>
            <w:tcBorders>
              <w:top w:val="nil"/>
              <w:bottom w:val="nil"/>
            </w:tcBorders>
          </w:tcPr>
          <w:p>
            <w:pPr>
              <w:pStyle w:val="TableParagraph"/>
              <w:rPr>
                <w:rFonts w:ascii="Times New Roman"/>
                <w:sz w:val="18"/>
              </w:rPr>
            </w:pPr>
          </w:p>
        </w:tc>
        <w:tc>
          <w:tcPr>
            <w:tcW w:w="2881" w:type="dxa"/>
            <w:tcBorders>
              <w:top w:val="nil"/>
              <w:bottom w:val="nil"/>
            </w:tcBorders>
          </w:tcPr>
          <w:p>
            <w:pPr>
              <w:pStyle w:val="TableParagraph"/>
              <w:spacing w:before="23"/>
              <w:ind w:left="84"/>
              <w:rPr>
                <w:sz w:val="18"/>
              </w:rPr>
            </w:pPr>
            <w:r>
              <w:rPr>
                <w:color w:val="105C84"/>
                <w:spacing w:val="-2"/>
                <w:sz w:val="18"/>
              </w:rPr>
              <w:t>Data</w:t>
            </w:r>
            <w:r>
              <w:rPr>
                <w:color w:val="105C84"/>
                <w:spacing w:val="-6"/>
                <w:sz w:val="18"/>
              </w:rPr>
              <w:t> </w:t>
            </w:r>
            <w:r>
              <w:rPr>
                <w:color w:val="105C84"/>
                <w:spacing w:val="-2"/>
                <w:sz w:val="18"/>
              </w:rPr>
              <w:t>Level:</w:t>
            </w:r>
            <w:r>
              <w:rPr>
                <w:color w:val="105C84"/>
                <w:spacing w:val="-6"/>
                <w:sz w:val="18"/>
              </w:rPr>
              <w:t> </w:t>
            </w:r>
            <w:r>
              <w:rPr>
                <w:color w:val="105C84"/>
                <w:spacing w:val="-2"/>
                <w:sz w:val="18"/>
              </w:rPr>
              <w:t>State</w:t>
            </w:r>
          </w:p>
        </w:tc>
        <w:tc>
          <w:tcPr>
            <w:tcW w:w="1383" w:type="dxa"/>
            <w:vMerge/>
            <w:tcBorders>
              <w:top w:val="nil"/>
            </w:tcBorders>
          </w:tcPr>
          <w:p>
            <w:pPr>
              <w:rPr>
                <w:sz w:val="2"/>
                <w:szCs w:val="2"/>
              </w:rPr>
            </w:pPr>
          </w:p>
        </w:tc>
        <w:tc>
          <w:tcPr>
            <w:tcW w:w="3020" w:type="dxa"/>
            <w:vMerge/>
            <w:tcBorders>
              <w:top w:val="nil"/>
              <w:right w:val="nil"/>
            </w:tcBorders>
          </w:tcPr>
          <w:p>
            <w:pPr>
              <w:rPr>
                <w:sz w:val="2"/>
                <w:szCs w:val="2"/>
              </w:rPr>
            </w:pPr>
          </w:p>
        </w:tc>
        <w:tc>
          <w:tcPr>
            <w:tcW w:w="3886" w:type="dxa"/>
            <w:vMerge/>
            <w:tcBorders>
              <w:top w:val="nil"/>
              <w:left w:val="nil"/>
            </w:tcBorders>
          </w:tcPr>
          <w:p>
            <w:pPr>
              <w:rPr>
                <w:sz w:val="2"/>
                <w:szCs w:val="2"/>
              </w:rPr>
            </w:pPr>
          </w:p>
        </w:tc>
        <w:tc>
          <w:tcPr>
            <w:tcW w:w="1851" w:type="dxa"/>
            <w:tcBorders>
              <w:top w:val="nil"/>
              <w:bottom w:val="nil"/>
            </w:tcBorders>
          </w:tcPr>
          <w:p>
            <w:pPr>
              <w:pStyle w:val="TableParagraph"/>
              <w:spacing w:before="42"/>
              <w:ind w:left="84"/>
              <w:rPr>
                <w:sz w:val="18"/>
              </w:rPr>
            </w:pPr>
            <w:r>
              <w:rPr>
                <w:color w:val="105C84"/>
                <w:sz w:val="18"/>
              </w:rPr>
              <w:t>OC</w:t>
            </w:r>
            <w:r>
              <w:rPr>
                <w:color w:val="105C84"/>
                <w:spacing w:val="-6"/>
                <w:sz w:val="18"/>
              </w:rPr>
              <w:t> </w:t>
            </w:r>
            <w:r>
              <w:rPr>
                <w:color w:val="105C84"/>
                <w:sz w:val="18"/>
              </w:rPr>
              <w:t>Public</w:t>
            </w:r>
            <w:r>
              <w:rPr>
                <w:color w:val="105C84"/>
                <w:spacing w:val="-6"/>
                <w:sz w:val="18"/>
              </w:rPr>
              <w:t> </w:t>
            </w:r>
            <w:r>
              <w:rPr>
                <w:color w:val="105C84"/>
                <w:spacing w:val="-2"/>
                <w:sz w:val="18"/>
              </w:rPr>
              <w:t>Health</w:t>
            </w:r>
          </w:p>
        </w:tc>
        <w:tc>
          <w:tcPr>
            <w:tcW w:w="2693" w:type="dxa"/>
            <w:vMerge/>
            <w:tcBorders>
              <w:top w:val="nil"/>
            </w:tcBorders>
          </w:tcPr>
          <w:p>
            <w:pPr>
              <w:rPr>
                <w:sz w:val="2"/>
                <w:szCs w:val="2"/>
              </w:rPr>
            </w:pPr>
          </w:p>
        </w:tc>
        <w:tc>
          <w:tcPr>
            <w:tcW w:w="2630" w:type="dxa"/>
            <w:tcBorders>
              <w:top w:val="nil"/>
              <w:bottom w:val="nil"/>
            </w:tcBorders>
          </w:tcPr>
          <w:p>
            <w:pPr>
              <w:pStyle w:val="TableParagraph"/>
              <w:rPr>
                <w:rFonts w:ascii="Times New Roman"/>
                <w:sz w:val="18"/>
              </w:rPr>
            </w:pPr>
          </w:p>
        </w:tc>
      </w:tr>
      <w:tr>
        <w:trPr>
          <w:trHeight w:val="1680" w:hRule="exact"/>
        </w:trPr>
        <w:tc>
          <w:tcPr>
            <w:tcW w:w="1353" w:type="dxa"/>
            <w:tcBorders>
              <w:top w:val="nil"/>
              <w:bottom w:val="nil"/>
            </w:tcBorders>
            <w:shd w:val="clear" w:color="auto" w:fill="E6E7E8"/>
          </w:tcPr>
          <w:p>
            <w:pPr>
              <w:pStyle w:val="TableParagraph"/>
              <w:rPr>
                <w:rFonts w:ascii="Times New Roman"/>
                <w:sz w:val="18"/>
              </w:rPr>
            </w:pPr>
          </w:p>
        </w:tc>
        <w:tc>
          <w:tcPr>
            <w:tcW w:w="1289" w:type="dxa"/>
            <w:tcBorders>
              <w:top w:val="nil"/>
              <w:bottom w:val="nil"/>
            </w:tcBorders>
          </w:tcPr>
          <w:p>
            <w:pPr>
              <w:pStyle w:val="TableParagraph"/>
              <w:rPr>
                <w:rFonts w:ascii="Times New Roman"/>
                <w:sz w:val="18"/>
              </w:rPr>
            </w:pPr>
          </w:p>
        </w:tc>
        <w:tc>
          <w:tcPr>
            <w:tcW w:w="1275" w:type="dxa"/>
            <w:tcBorders>
              <w:top w:val="nil"/>
              <w:bottom w:val="nil"/>
            </w:tcBorders>
          </w:tcPr>
          <w:p>
            <w:pPr>
              <w:pStyle w:val="TableParagraph"/>
              <w:rPr>
                <w:rFonts w:ascii="Times New Roman"/>
                <w:sz w:val="18"/>
              </w:rPr>
            </w:pPr>
          </w:p>
        </w:tc>
        <w:tc>
          <w:tcPr>
            <w:tcW w:w="2881" w:type="dxa"/>
            <w:tcBorders>
              <w:top w:val="nil"/>
              <w:bottom w:val="nil"/>
            </w:tcBorders>
          </w:tcPr>
          <w:p>
            <w:pPr>
              <w:pStyle w:val="TableParagraph"/>
              <w:spacing w:line="232" w:lineRule="auto" w:before="28"/>
              <w:ind w:left="84" w:right="278"/>
              <w:rPr>
                <w:sz w:val="18"/>
              </w:rPr>
            </w:pPr>
            <w:r>
              <w:rPr>
                <w:color w:val="105C84"/>
                <w:sz w:val="18"/>
              </w:rPr>
              <w:t>3.1.6 Increase the number of municipalities that adopt retail environment policies, including those that restrict the density</w:t>
            </w:r>
            <w:r>
              <w:rPr>
                <w:color w:val="105C84"/>
                <w:spacing w:val="80"/>
                <w:sz w:val="18"/>
              </w:rPr>
              <w:t> </w:t>
            </w:r>
            <w:r>
              <w:rPr>
                <w:color w:val="105C84"/>
                <w:sz w:val="18"/>
              </w:rPr>
              <w:t>of tobacco retailers, keep the price of tobacco products </w:t>
            </w:r>
            <w:r>
              <w:rPr>
                <w:color w:val="105C84"/>
                <w:sz w:val="18"/>
              </w:rPr>
              <w:t>high,</w:t>
            </w:r>
          </w:p>
          <w:p>
            <w:pPr>
              <w:pStyle w:val="TableParagraph"/>
              <w:spacing w:line="232" w:lineRule="auto"/>
              <w:ind w:left="84"/>
              <w:rPr>
                <w:sz w:val="18"/>
              </w:rPr>
            </w:pPr>
            <w:r>
              <w:rPr>
                <w:color w:val="105C84"/>
                <w:sz w:val="18"/>
              </w:rPr>
              <w:t>and</w:t>
            </w:r>
            <w:r>
              <w:rPr>
                <w:color w:val="105C84"/>
                <w:spacing w:val="-1"/>
                <w:sz w:val="18"/>
              </w:rPr>
              <w:t> </w:t>
            </w:r>
            <w:r>
              <w:rPr>
                <w:color w:val="105C84"/>
                <w:sz w:val="18"/>
              </w:rPr>
              <w:t>prohibit</w:t>
            </w:r>
            <w:r>
              <w:rPr>
                <w:color w:val="105C84"/>
                <w:spacing w:val="-1"/>
                <w:sz w:val="18"/>
              </w:rPr>
              <w:t> </w:t>
            </w:r>
            <w:r>
              <w:rPr>
                <w:color w:val="105C84"/>
                <w:sz w:val="18"/>
              </w:rPr>
              <w:t>the</w:t>
            </w:r>
            <w:r>
              <w:rPr>
                <w:color w:val="105C84"/>
                <w:spacing w:val="-1"/>
                <w:sz w:val="18"/>
              </w:rPr>
              <w:t> </w:t>
            </w:r>
            <w:r>
              <w:rPr>
                <w:color w:val="105C84"/>
                <w:sz w:val="18"/>
              </w:rPr>
              <w:t>sale</w:t>
            </w:r>
            <w:r>
              <w:rPr>
                <w:color w:val="105C84"/>
                <w:spacing w:val="-1"/>
                <w:sz w:val="18"/>
              </w:rPr>
              <w:t> </w:t>
            </w:r>
            <w:r>
              <w:rPr>
                <w:color w:val="105C84"/>
                <w:sz w:val="18"/>
              </w:rPr>
              <w:t>of</w:t>
            </w:r>
            <w:r>
              <w:rPr>
                <w:color w:val="105C84"/>
                <w:spacing w:val="-1"/>
                <w:sz w:val="18"/>
              </w:rPr>
              <w:t> </w:t>
            </w:r>
            <w:r>
              <w:rPr>
                <w:color w:val="105C84"/>
                <w:sz w:val="18"/>
              </w:rPr>
              <w:t>flavored tobacco products</w:t>
            </w:r>
          </w:p>
        </w:tc>
        <w:tc>
          <w:tcPr>
            <w:tcW w:w="1383" w:type="dxa"/>
            <w:vMerge/>
            <w:tcBorders>
              <w:top w:val="nil"/>
            </w:tcBorders>
          </w:tcPr>
          <w:p>
            <w:pPr>
              <w:rPr>
                <w:sz w:val="2"/>
                <w:szCs w:val="2"/>
              </w:rPr>
            </w:pPr>
          </w:p>
        </w:tc>
        <w:tc>
          <w:tcPr>
            <w:tcW w:w="3020" w:type="dxa"/>
            <w:vMerge/>
            <w:tcBorders>
              <w:top w:val="nil"/>
              <w:right w:val="nil"/>
            </w:tcBorders>
          </w:tcPr>
          <w:p>
            <w:pPr>
              <w:rPr>
                <w:sz w:val="2"/>
                <w:szCs w:val="2"/>
              </w:rPr>
            </w:pPr>
          </w:p>
        </w:tc>
        <w:tc>
          <w:tcPr>
            <w:tcW w:w="3886" w:type="dxa"/>
            <w:vMerge/>
            <w:tcBorders>
              <w:top w:val="nil"/>
              <w:left w:val="nil"/>
            </w:tcBorders>
          </w:tcPr>
          <w:p>
            <w:pPr>
              <w:rPr>
                <w:sz w:val="2"/>
                <w:szCs w:val="2"/>
              </w:rPr>
            </w:pPr>
          </w:p>
        </w:tc>
        <w:tc>
          <w:tcPr>
            <w:tcW w:w="1851" w:type="dxa"/>
            <w:tcBorders>
              <w:top w:val="nil"/>
              <w:bottom w:val="nil"/>
            </w:tcBorders>
          </w:tcPr>
          <w:p>
            <w:pPr>
              <w:pStyle w:val="TableParagraph"/>
              <w:rPr>
                <w:rFonts w:ascii="Times New Roman"/>
                <w:sz w:val="18"/>
              </w:rPr>
            </w:pPr>
          </w:p>
        </w:tc>
        <w:tc>
          <w:tcPr>
            <w:tcW w:w="2693" w:type="dxa"/>
            <w:vMerge/>
            <w:tcBorders>
              <w:top w:val="nil"/>
            </w:tcBorders>
          </w:tcPr>
          <w:p>
            <w:pPr>
              <w:rPr>
                <w:sz w:val="2"/>
                <w:szCs w:val="2"/>
              </w:rPr>
            </w:pPr>
          </w:p>
        </w:tc>
        <w:tc>
          <w:tcPr>
            <w:tcW w:w="2630" w:type="dxa"/>
            <w:tcBorders>
              <w:top w:val="nil"/>
              <w:bottom w:val="nil"/>
            </w:tcBorders>
          </w:tcPr>
          <w:p>
            <w:pPr>
              <w:pStyle w:val="TableParagraph"/>
              <w:rPr>
                <w:rFonts w:ascii="Times New Roman"/>
                <w:sz w:val="18"/>
              </w:rPr>
            </w:pPr>
          </w:p>
        </w:tc>
      </w:tr>
      <w:tr>
        <w:trPr>
          <w:trHeight w:val="202" w:hRule="exact"/>
        </w:trPr>
        <w:tc>
          <w:tcPr>
            <w:tcW w:w="1353" w:type="dxa"/>
            <w:vMerge w:val="restart"/>
            <w:tcBorders>
              <w:top w:val="nil"/>
              <w:bottom w:val="nil"/>
            </w:tcBorders>
            <w:shd w:val="clear" w:color="auto" w:fill="E6E7E8"/>
          </w:tcPr>
          <w:p>
            <w:pPr>
              <w:pStyle w:val="TableParagraph"/>
              <w:rPr>
                <w:rFonts w:ascii="Times New Roman"/>
                <w:sz w:val="18"/>
              </w:rPr>
            </w:pPr>
          </w:p>
        </w:tc>
        <w:tc>
          <w:tcPr>
            <w:tcW w:w="1289" w:type="dxa"/>
            <w:vMerge w:val="restart"/>
            <w:tcBorders>
              <w:top w:val="nil"/>
              <w:bottom w:val="nil"/>
            </w:tcBorders>
          </w:tcPr>
          <w:p>
            <w:pPr>
              <w:pStyle w:val="TableParagraph"/>
              <w:rPr>
                <w:rFonts w:ascii="Times New Roman"/>
                <w:sz w:val="18"/>
              </w:rPr>
            </w:pPr>
          </w:p>
        </w:tc>
        <w:tc>
          <w:tcPr>
            <w:tcW w:w="1275" w:type="dxa"/>
            <w:vMerge w:val="restart"/>
            <w:tcBorders>
              <w:top w:val="nil"/>
              <w:bottom w:val="nil"/>
            </w:tcBorders>
          </w:tcPr>
          <w:p>
            <w:pPr>
              <w:pStyle w:val="TableParagraph"/>
              <w:rPr>
                <w:rFonts w:ascii="Times New Roman"/>
                <w:sz w:val="18"/>
              </w:rPr>
            </w:pPr>
          </w:p>
        </w:tc>
        <w:tc>
          <w:tcPr>
            <w:tcW w:w="2881" w:type="dxa"/>
            <w:vMerge w:val="restart"/>
            <w:tcBorders>
              <w:top w:val="nil"/>
              <w:bottom w:val="nil"/>
            </w:tcBorders>
          </w:tcPr>
          <w:p>
            <w:pPr>
              <w:pStyle w:val="TableParagraph"/>
              <w:spacing w:before="33"/>
              <w:ind w:left="84"/>
              <w:rPr>
                <w:sz w:val="18"/>
              </w:rPr>
            </w:pPr>
            <w:r>
              <w:rPr>
                <w:color w:val="105C84"/>
                <w:spacing w:val="-4"/>
                <w:sz w:val="18"/>
              </w:rPr>
              <w:t>Target:</w:t>
            </w:r>
            <w:r>
              <w:rPr>
                <w:color w:val="105C84"/>
                <w:spacing w:val="-1"/>
                <w:sz w:val="18"/>
              </w:rPr>
              <w:t> </w:t>
            </w:r>
            <w:r>
              <w:rPr>
                <w:color w:val="105C84"/>
                <w:spacing w:val="-5"/>
                <w:sz w:val="18"/>
              </w:rPr>
              <w:t>30</w:t>
            </w:r>
          </w:p>
        </w:tc>
        <w:tc>
          <w:tcPr>
            <w:tcW w:w="1383" w:type="dxa"/>
            <w:vMerge/>
            <w:tcBorders>
              <w:top w:val="nil"/>
            </w:tcBorders>
          </w:tcPr>
          <w:p>
            <w:pPr>
              <w:rPr>
                <w:sz w:val="2"/>
                <w:szCs w:val="2"/>
              </w:rPr>
            </w:pPr>
          </w:p>
        </w:tc>
        <w:tc>
          <w:tcPr>
            <w:tcW w:w="3020" w:type="dxa"/>
            <w:vMerge/>
            <w:tcBorders>
              <w:top w:val="nil"/>
              <w:right w:val="nil"/>
            </w:tcBorders>
          </w:tcPr>
          <w:p>
            <w:pPr>
              <w:rPr>
                <w:sz w:val="2"/>
                <w:szCs w:val="2"/>
              </w:rPr>
            </w:pPr>
          </w:p>
        </w:tc>
        <w:tc>
          <w:tcPr>
            <w:tcW w:w="3886" w:type="dxa"/>
            <w:vMerge/>
            <w:tcBorders>
              <w:top w:val="nil"/>
              <w:left w:val="nil"/>
            </w:tcBorders>
          </w:tcPr>
          <w:p>
            <w:pPr>
              <w:rPr>
                <w:sz w:val="2"/>
                <w:szCs w:val="2"/>
              </w:rPr>
            </w:pPr>
          </w:p>
        </w:tc>
        <w:tc>
          <w:tcPr>
            <w:tcW w:w="1851" w:type="dxa"/>
            <w:vMerge w:val="restart"/>
            <w:tcBorders>
              <w:top w:val="nil"/>
              <w:bottom w:val="nil"/>
            </w:tcBorders>
          </w:tcPr>
          <w:p>
            <w:pPr>
              <w:pStyle w:val="TableParagraph"/>
              <w:rPr>
                <w:rFonts w:ascii="Times New Roman"/>
                <w:sz w:val="18"/>
              </w:rPr>
            </w:pPr>
          </w:p>
        </w:tc>
        <w:tc>
          <w:tcPr>
            <w:tcW w:w="2693" w:type="dxa"/>
            <w:vMerge/>
            <w:tcBorders>
              <w:top w:val="nil"/>
            </w:tcBorders>
          </w:tcPr>
          <w:p>
            <w:pPr>
              <w:rPr>
                <w:sz w:val="2"/>
                <w:szCs w:val="2"/>
              </w:rPr>
            </w:pPr>
          </w:p>
        </w:tc>
        <w:tc>
          <w:tcPr>
            <w:tcW w:w="2630" w:type="dxa"/>
            <w:vMerge w:val="restart"/>
            <w:tcBorders>
              <w:top w:val="nil"/>
              <w:bottom w:val="nil"/>
            </w:tcBorders>
          </w:tcPr>
          <w:p>
            <w:pPr>
              <w:pStyle w:val="TableParagraph"/>
              <w:rPr>
                <w:rFonts w:ascii="Times New Roman"/>
                <w:sz w:val="18"/>
              </w:rPr>
            </w:pPr>
          </w:p>
        </w:tc>
      </w:tr>
      <w:tr>
        <w:trPr>
          <w:trHeight w:val="87" w:hRule="exact"/>
        </w:trPr>
        <w:tc>
          <w:tcPr>
            <w:tcW w:w="1353" w:type="dxa"/>
            <w:vMerge/>
            <w:tcBorders>
              <w:top w:val="nil"/>
              <w:bottom w:val="nil"/>
            </w:tcBorders>
            <w:shd w:val="clear" w:color="auto" w:fill="E6E7E8"/>
          </w:tcPr>
          <w:p>
            <w:pPr>
              <w:rPr>
                <w:sz w:val="2"/>
                <w:szCs w:val="2"/>
              </w:rPr>
            </w:pPr>
          </w:p>
        </w:tc>
        <w:tc>
          <w:tcPr>
            <w:tcW w:w="1289" w:type="dxa"/>
            <w:vMerge/>
            <w:tcBorders>
              <w:top w:val="nil"/>
              <w:bottom w:val="nil"/>
            </w:tcBorders>
          </w:tcPr>
          <w:p>
            <w:pPr>
              <w:rPr>
                <w:sz w:val="2"/>
                <w:szCs w:val="2"/>
              </w:rPr>
            </w:pPr>
          </w:p>
        </w:tc>
        <w:tc>
          <w:tcPr>
            <w:tcW w:w="1275" w:type="dxa"/>
            <w:vMerge/>
            <w:tcBorders>
              <w:top w:val="nil"/>
              <w:bottom w:val="nil"/>
            </w:tcBorders>
          </w:tcPr>
          <w:p>
            <w:pPr>
              <w:rPr>
                <w:sz w:val="2"/>
                <w:szCs w:val="2"/>
              </w:rPr>
            </w:pPr>
          </w:p>
        </w:tc>
        <w:tc>
          <w:tcPr>
            <w:tcW w:w="2881" w:type="dxa"/>
            <w:vMerge/>
            <w:tcBorders>
              <w:top w:val="nil"/>
              <w:bottom w:val="nil"/>
            </w:tcBorders>
          </w:tcPr>
          <w:p>
            <w:pPr>
              <w:rPr>
                <w:sz w:val="2"/>
                <w:szCs w:val="2"/>
              </w:rPr>
            </w:pPr>
          </w:p>
        </w:tc>
        <w:tc>
          <w:tcPr>
            <w:tcW w:w="1383" w:type="dxa"/>
            <w:vMerge/>
            <w:tcBorders>
              <w:top w:val="nil"/>
            </w:tcBorders>
          </w:tcPr>
          <w:p>
            <w:pPr>
              <w:rPr>
                <w:sz w:val="2"/>
                <w:szCs w:val="2"/>
              </w:rPr>
            </w:pPr>
          </w:p>
        </w:tc>
        <w:tc>
          <w:tcPr>
            <w:tcW w:w="3020" w:type="dxa"/>
            <w:vMerge w:val="restart"/>
            <w:tcBorders>
              <w:right w:val="nil"/>
            </w:tcBorders>
          </w:tcPr>
          <w:p>
            <w:pPr>
              <w:pStyle w:val="TableParagraph"/>
              <w:spacing w:line="232" w:lineRule="auto" w:before="99"/>
              <w:ind w:left="84" w:right="1480"/>
              <w:rPr>
                <w:sz w:val="18"/>
              </w:rPr>
            </w:pPr>
            <w:r>
              <w:rPr>
                <w:color w:val="105C84"/>
                <w:sz w:val="18"/>
              </w:rPr>
              <w:t>3.1.5 Decrease the</w:t>
            </w:r>
            <w:r>
              <w:rPr>
                <w:color w:val="105C84"/>
                <w:spacing w:val="-10"/>
                <w:sz w:val="18"/>
              </w:rPr>
              <w:t> </w:t>
            </w:r>
            <w:r>
              <w:rPr>
                <w:color w:val="105C84"/>
                <w:sz w:val="18"/>
              </w:rPr>
              <w:t>availability</w:t>
            </w:r>
            <w:r>
              <w:rPr>
                <w:color w:val="105C84"/>
                <w:spacing w:val="-10"/>
                <w:sz w:val="18"/>
              </w:rPr>
              <w:t> </w:t>
            </w:r>
            <w:r>
              <w:rPr>
                <w:color w:val="105C84"/>
                <w:sz w:val="18"/>
              </w:rPr>
              <w:t>of</w:t>
            </w:r>
            <w:r>
              <w:rPr>
                <w:color w:val="105C84"/>
                <w:sz w:val="18"/>
              </w:rPr>
              <w:t> flavored</w:t>
            </w:r>
            <w:r>
              <w:rPr>
                <w:color w:val="105C84"/>
                <w:spacing w:val="-5"/>
                <w:sz w:val="18"/>
              </w:rPr>
              <w:t> </w:t>
            </w:r>
            <w:r>
              <w:rPr>
                <w:color w:val="105C84"/>
                <w:spacing w:val="-2"/>
                <w:sz w:val="18"/>
              </w:rPr>
              <w:t>tobacco</w:t>
            </w:r>
          </w:p>
          <w:p>
            <w:pPr>
              <w:pStyle w:val="TableParagraph"/>
              <w:spacing w:line="232" w:lineRule="auto"/>
              <w:ind w:left="84" w:right="1269"/>
              <w:rPr>
                <w:sz w:val="18"/>
              </w:rPr>
            </w:pPr>
            <w:r>
              <w:rPr>
                <w:color w:val="105C84"/>
                <w:sz w:val="18"/>
              </w:rPr>
              <w:t>products including menthol</w:t>
            </w:r>
            <w:r>
              <w:rPr>
                <w:color w:val="105C84"/>
                <w:spacing w:val="-15"/>
                <w:sz w:val="18"/>
              </w:rPr>
              <w:t> </w:t>
            </w:r>
            <w:r>
              <w:rPr>
                <w:color w:val="105C84"/>
                <w:sz w:val="18"/>
              </w:rPr>
              <w:t>flavors</w:t>
            </w:r>
            <w:r>
              <w:rPr>
                <w:color w:val="105C84"/>
                <w:spacing w:val="-12"/>
                <w:sz w:val="18"/>
              </w:rPr>
              <w:t> </w:t>
            </w:r>
            <w:r>
              <w:rPr>
                <w:color w:val="105C84"/>
                <w:sz w:val="18"/>
              </w:rPr>
              <w:t>used in combustible and </w:t>
            </w:r>
            <w:r>
              <w:rPr>
                <w:color w:val="105C84"/>
                <w:spacing w:val="-2"/>
                <w:sz w:val="18"/>
              </w:rPr>
              <w:t>non-combustible </w:t>
            </w:r>
            <w:r>
              <w:rPr>
                <w:color w:val="105C84"/>
                <w:sz w:val="18"/>
              </w:rPr>
              <w:t>tobacco products and flavored liquids</w:t>
            </w:r>
          </w:p>
          <w:p>
            <w:pPr>
              <w:pStyle w:val="TableParagraph"/>
              <w:spacing w:line="232" w:lineRule="auto"/>
              <w:ind w:left="84" w:right="1049"/>
              <w:rPr>
                <w:sz w:val="18"/>
              </w:rPr>
            </w:pPr>
            <w:r>
              <w:rPr>
                <w:color w:val="105C84"/>
                <w:sz w:val="18"/>
              </w:rPr>
              <w:t>including menthol </w:t>
            </w:r>
            <w:r>
              <w:rPr>
                <w:color w:val="105C84"/>
                <w:sz w:val="18"/>
              </w:rPr>
              <w:t>used in electronic vapor </w:t>
            </w:r>
            <w:r>
              <w:rPr>
                <w:color w:val="105C84"/>
                <w:spacing w:val="-2"/>
                <w:sz w:val="18"/>
              </w:rPr>
              <w:t>products</w:t>
            </w:r>
          </w:p>
        </w:tc>
        <w:tc>
          <w:tcPr>
            <w:tcW w:w="3886" w:type="dxa"/>
            <w:vMerge w:val="restart"/>
            <w:tcBorders>
              <w:left w:val="nil"/>
            </w:tcBorders>
          </w:tcPr>
          <w:p>
            <w:pPr>
              <w:pStyle w:val="TableParagraph"/>
              <w:numPr>
                <w:ilvl w:val="0"/>
                <w:numId w:val="54"/>
              </w:numPr>
              <w:tabs>
                <w:tab w:pos="1234" w:val="left" w:leader="none"/>
              </w:tabs>
              <w:spacing w:line="232" w:lineRule="auto" w:before="99" w:after="0"/>
              <w:ind w:left="1048" w:right="94" w:firstLine="0"/>
              <w:jc w:val="left"/>
              <w:rPr>
                <w:sz w:val="18"/>
              </w:rPr>
            </w:pPr>
            <w:r>
              <w:rPr>
                <w:color w:val="105C84"/>
                <w:sz w:val="18"/>
              </w:rPr>
              <w:t># Local laws/policies passed related to tobacco retail environment, including sale of flavored</w:t>
            </w:r>
            <w:r>
              <w:rPr>
                <w:color w:val="105C84"/>
                <w:spacing w:val="-8"/>
                <w:sz w:val="18"/>
              </w:rPr>
              <w:t> </w:t>
            </w:r>
            <w:r>
              <w:rPr>
                <w:color w:val="105C84"/>
                <w:sz w:val="18"/>
              </w:rPr>
              <w:t>tobacco</w:t>
            </w:r>
            <w:r>
              <w:rPr>
                <w:color w:val="105C84"/>
                <w:spacing w:val="-8"/>
                <w:sz w:val="18"/>
              </w:rPr>
              <w:t> </w:t>
            </w:r>
            <w:r>
              <w:rPr>
                <w:color w:val="105C84"/>
                <w:sz w:val="18"/>
              </w:rPr>
              <w:t>products</w:t>
            </w:r>
            <w:r>
              <w:rPr>
                <w:color w:val="105C84"/>
                <w:spacing w:val="-8"/>
                <w:sz w:val="18"/>
              </w:rPr>
              <w:t> </w:t>
            </w:r>
            <w:r>
              <w:rPr>
                <w:color w:val="105C84"/>
                <w:sz w:val="18"/>
              </w:rPr>
              <w:t>(ENDS/ </w:t>
            </w:r>
            <w:r>
              <w:rPr>
                <w:color w:val="105C84"/>
                <w:spacing w:val="-2"/>
                <w:sz w:val="18"/>
              </w:rPr>
              <w:t>EDDs)</w:t>
            </w:r>
          </w:p>
          <w:p>
            <w:pPr>
              <w:pStyle w:val="TableParagraph"/>
              <w:numPr>
                <w:ilvl w:val="0"/>
                <w:numId w:val="54"/>
              </w:numPr>
              <w:tabs>
                <w:tab w:pos="1234" w:val="left" w:leader="none"/>
              </w:tabs>
              <w:spacing w:line="232" w:lineRule="auto" w:before="86" w:after="0"/>
              <w:ind w:left="1048" w:right="858" w:firstLine="0"/>
              <w:jc w:val="left"/>
              <w:rPr>
                <w:sz w:val="18"/>
              </w:rPr>
            </w:pPr>
            <w:r>
              <w:rPr>
                <w:color w:val="105C84"/>
                <w:sz w:val="18"/>
              </w:rPr>
              <w:t>#</w:t>
            </w:r>
            <w:r>
              <w:rPr>
                <w:color w:val="105C84"/>
                <w:spacing w:val="-15"/>
                <w:sz w:val="18"/>
              </w:rPr>
              <w:t> </w:t>
            </w:r>
            <w:r>
              <w:rPr>
                <w:color w:val="105C84"/>
                <w:sz w:val="18"/>
              </w:rPr>
              <w:t>Government</w:t>
            </w:r>
            <w:r>
              <w:rPr>
                <w:color w:val="105C84"/>
                <w:spacing w:val="-12"/>
                <w:sz w:val="18"/>
              </w:rPr>
              <w:t> </w:t>
            </w:r>
            <w:r>
              <w:rPr>
                <w:color w:val="105C84"/>
                <w:sz w:val="18"/>
              </w:rPr>
              <w:t>officials </w:t>
            </w:r>
            <w:r>
              <w:rPr>
                <w:color w:val="105C84"/>
                <w:spacing w:val="-2"/>
                <w:sz w:val="18"/>
              </w:rPr>
              <w:t>educated</w:t>
            </w:r>
          </w:p>
        </w:tc>
        <w:tc>
          <w:tcPr>
            <w:tcW w:w="1851" w:type="dxa"/>
            <w:vMerge/>
            <w:tcBorders>
              <w:top w:val="nil"/>
              <w:bottom w:val="nil"/>
            </w:tcBorders>
          </w:tcPr>
          <w:p>
            <w:pPr>
              <w:rPr>
                <w:sz w:val="2"/>
                <w:szCs w:val="2"/>
              </w:rPr>
            </w:pPr>
          </w:p>
        </w:tc>
        <w:tc>
          <w:tcPr>
            <w:tcW w:w="2693" w:type="dxa"/>
            <w:vMerge/>
            <w:tcBorders>
              <w:top w:val="nil"/>
            </w:tcBorders>
          </w:tcPr>
          <w:p>
            <w:pPr>
              <w:rPr>
                <w:sz w:val="2"/>
                <w:szCs w:val="2"/>
              </w:rPr>
            </w:pPr>
          </w:p>
        </w:tc>
        <w:tc>
          <w:tcPr>
            <w:tcW w:w="2630" w:type="dxa"/>
            <w:vMerge/>
            <w:tcBorders>
              <w:top w:val="nil"/>
              <w:bottom w:val="nil"/>
            </w:tcBorders>
          </w:tcPr>
          <w:p>
            <w:pPr>
              <w:rPr>
                <w:sz w:val="2"/>
                <w:szCs w:val="2"/>
              </w:rPr>
            </w:pPr>
          </w:p>
        </w:tc>
      </w:tr>
      <w:tr>
        <w:trPr>
          <w:trHeight w:val="289" w:hRule="exact"/>
        </w:trPr>
        <w:tc>
          <w:tcPr>
            <w:tcW w:w="1353" w:type="dxa"/>
            <w:tcBorders>
              <w:top w:val="nil"/>
              <w:bottom w:val="nil"/>
            </w:tcBorders>
            <w:shd w:val="clear" w:color="auto" w:fill="E6E7E8"/>
          </w:tcPr>
          <w:p>
            <w:pPr>
              <w:pStyle w:val="TableParagraph"/>
              <w:rPr>
                <w:rFonts w:ascii="Times New Roman"/>
                <w:sz w:val="18"/>
              </w:rPr>
            </w:pPr>
          </w:p>
        </w:tc>
        <w:tc>
          <w:tcPr>
            <w:tcW w:w="1289" w:type="dxa"/>
            <w:tcBorders>
              <w:top w:val="nil"/>
              <w:bottom w:val="nil"/>
            </w:tcBorders>
          </w:tcPr>
          <w:p>
            <w:pPr>
              <w:pStyle w:val="TableParagraph"/>
              <w:rPr>
                <w:rFonts w:ascii="Times New Roman"/>
                <w:sz w:val="18"/>
              </w:rPr>
            </w:pPr>
          </w:p>
        </w:tc>
        <w:tc>
          <w:tcPr>
            <w:tcW w:w="1275" w:type="dxa"/>
            <w:tcBorders>
              <w:top w:val="nil"/>
              <w:bottom w:val="nil"/>
            </w:tcBorders>
          </w:tcPr>
          <w:p>
            <w:pPr>
              <w:pStyle w:val="TableParagraph"/>
              <w:rPr>
                <w:rFonts w:ascii="Times New Roman"/>
                <w:sz w:val="18"/>
              </w:rPr>
            </w:pPr>
          </w:p>
        </w:tc>
        <w:tc>
          <w:tcPr>
            <w:tcW w:w="2881" w:type="dxa"/>
            <w:tcBorders>
              <w:top w:val="nil"/>
              <w:bottom w:val="nil"/>
            </w:tcBorders>
          </w:tcPr>
          <w:p>
            <w:pPr>
              <w:pStyle w:val="TableParagraph"/>
              <w:spacing w:before="33"/>
              <w:ind w:left="84"/>
              <w:rPr>
                <w:sz w:val="18"/>
              </w:rPr>
            </w:pPr>
            <w:r>
              <w:rPr>
                <w:color w:val="105C84"/>
                <w:spacing w:val="-5"/>
                <w:sz w:val="18"/>
              </w:rPr>
              <w:t>Baseline:15</w:t>
            </w:r>
            <w:r>
              <w:rPr>
                <w:color w:val="105C84"/>
                <w:spacing w:val="9"/>
                <w:sz w:val="18"/>
              </w:rPr>
              <w:t> </w:t>
            </w:r>
            <w:r>
              <w:rPr>
                <w:color w:val="105C84"/>
                <w:spacing w:val="-2"/>
                <w:sz w:val="18"/>
              </w:rPr>
              <w:t>(2018)</w:t>
            </w:r>
          </w:p>
        </w:tc>
        <w:tc>
          <w:tcPr>
            <w:tcW w:w="1383" w:type="dxa"/>
            <w:vMerge/>
            <w:tcBorders>
              <w:top w:val="nil"/>
            </w:tcBorders>
          </w:tcPr>
          <w:p>
            <w:pPr>
              <w:rPr>
                <w:sz w:val="2"/>
                <w:szCs w:val="2"/>
              </w:rPr>
            </w:pPr>
          </w:p>
        </w:tc>
        <w:tc>
          <w:tcPr>
            <w:tcW w:w="3020" w:type="dxa"/>
            <w:vMerge/>
            <w:tcBorders>
              <w:top w:val="nil"/>
              <w:right w:val="nil"/>
            </w:tcBorders>
          </w:tcPr>
          <w:p>
            <w:pPr>
              <w:rPr>
                <w:sz w:val="2"/>
                <w:szCs w:val="2"/>
              </w:rPr>
            </w:pPr>
          </w:p>
        </w:tc>
        <w:tc>
          <w:tcPr>
            <w:tcW w:w="3886" w:type="dxa"/>
            <w:vMerge/>
            <w:tcBorders>
              <w:top w:val="nil"/>
              <w:left w:val="nil"/>
            </w:tcBorders>
          </w:tcPr>
          <w:p>
            <w:pPr>
              <w:rPr>
                <w:sz w:val="2"/>
                <w:szCs w:val="2"/>
              </w:rPr>
            </w:pPr>
          </w:p>
        </w:tc>
        <w:tc>
          <w:tcPr>
            <w:tcW w:w="1851" w:type="dxa"/>
            <w:tcBorders>
              <w:top w:val="nil"/>
              <w:bottom w:val="nil"/>
            </w:tcBorders>
          </w:tcPr>
          <w:p>
            <w:pPr>
              <w:pStyle w:val="TableParagraph"/>
              <w:rPr>
                <w:rFonts w:ascii="Times New Roman"/>
                <w:sz w:val="18"/>
              </w:rPr>
            </w:pPr>
          </w:p>
        </w:tc>
        <w:tc>
          <w:tcPr>
            <w:tcW w:w="2693" w:type="dxa"/>
            <w:vMerge/>
            <w:tcBorders>
              <w:top w:val="nil"/>
            </w:tcBorders>
          </w:tcPr>
          <w:p>
            <w:pPr>
              <w:rPr>
                <w:sz w:val="2"/>
                <w:szCs w:val="2"/>
              </w:rPr>
            </w:pPr>
          </w:p>
        </w:tc>
        <w:tc>
          <w:tcPr>
            <w:tcW w:w="2630" w:type="dxa"/>
            <w:tcBorders>
              <w:top w:val="nil"/>
              <w:bottom w:val="nil"/>
            </w:tcBorders>
          </w:tcPr>
          <w:p>
            <w:pPr>
              <w:pStyle w:val="TableParagraph"/>
              <w:rPr>
                <w:rFonts w:ascii="Times New Roman"/>
                <w:sz w:val="18"/>
              </w:rPr>
            </w:pPr>
          </w:p>
        </w:tc>
      </w:tr>
      <w:tr>
        <w:trPr>
          <w:trHeight w:val="2182" w:hRule="exact"/>
        </w:trPr>
        <w:tc>
          <w:tcPr>
            <w:tcW w:w="1353" w:type="dxa"/>
            <w:tcBorders>
              <w:top w:val="nil"/>
              <w:bottom w:val="nil"/>
            </w:tcBorders>
            <w:shd w:val="clear" w:color="auto" w:fill="E6E7E8"/>
          </w:tcPr>
          <w:p>
            <w:pPr>
              <w:pStyle w:val="TableParagraph"/>
              <w:rPr>
                <w:rFonts w:ascii="Times New Roman"/>
                <w:sz w:val="18"/>
              </w:rPr>
            </w:pPr>
          </w:p>
        </w:tc>
        <w:tc>
          <w:tcPr>
            <w:tcW w:w="1289" w:type="dxa"/>
            <w:tcBorders>
              <w:top w:val="nil"/>
              <w:bottom w:val="nil"/>
            </w:tcBorders>
          </w:tcPr>
          <w:p>
            <w:pPr>
              <w:pStyle w:val="TableParagraph"/>
              <w:rPr>
                <w:rFonts w:ascii="Times New Roman"/>
                <w:sz w:val="18"/>
              </w:rPr>
            </w:pPr>
          </w:p>
        </w:tc>
        <w:tc>
          <w:tcPr>
            <w:tcW w:w="1275" w:type="dxa"/>
            <w:tcBorders>
              <w:top w:val="nil"/>
            </w:tcBorders>
          </w:tcPr>
          <w:p>
            <w:pPr>
              <w:pStyle w:val="TableParagraph"/>
              <w:rPr>
                <w:rFonts w:ascii="Times New Roman"/>
                <w:sz w:val="18"/>
              </w:rPr>
            </w:pPr>
          </w:p>
        </w:tc>
        <w:tc>
          <w:tcPr>
            <w:tcW w:w="2881" w:type="dxa"/>
            <w:tcBorders>
              <w:top w:val="nil"/>
            </w:tcBorders>
          </w:tcPr>
          <w:p>
            <w:pPr>
              <w:pStyle w:val="TableParagraph"/>
              <w:spacing w:line="232" w:lineRule="auto" w:before="38"/>
              <w:ind w:left="84" w:right="1041"/>
              <w:rPr>
                <w:sz w:val="18"/>
              </w:rPr>
            </w:pPr>
            <w:r>
              <w:rPr>
                <w:color w:val="105C84"/>
                <w:spacing w:val="-4"/>
                <w:sz w:val="18"/>
              </w:rPr>
              <w:t>Data</w:t>
            </w:r>
            <w:r>
              <w:rPr>
                <w:color w:val="105C84"/>
                <w:spacing w:val="-11"/>
                <w:sz w:val="18"/>
              </w:rPr>
              <w:t> </w:t>
            </w:r>
            <w:r>
              <w:rPr>
                <w:color w:val="105C84"/>
                <w:spacing w:val="-4"/>
                <w:sz w:val="18"/>
              </w:rPr>
              <w:t>Source:</w:t>
            </w:r>
            <w:r>
              <w:rPr>
                <w:color w:val="105C84"/>
                <w:spacing w:val="-8"/>
                <w:sz w:val="18"/>
              </w:rPr>
              <w:t> </w:t>
            </w:r>
            <w:r>
              <w:rPr>
                <w:color w:val="105C84"/>
                <w:spacing w:val="-4"/>
                <w:sz w:val="18"/>
              </w:rPr>
              <w:t>CAT </w:t>
            </w:r>
            <w:r>
              <w:rPr>
                <w:color w:val="105C84"/>
                <w:sz w:val="18"/>
              </w:rPr>
              <w:t>Data</w:t>
            </w:r>
            <w:r>
              <w:rPr>
                <w:color w:val="105C84"/>
                <w:spacing w:val="-3"/>
                <w:sz w:val="18"/>
              </w:rPr>
              <w:t> </w:t>
            </w:r>
            <w:r>
              <w:rPr>
                <w:color w:val="105C84"/>
                <w:sz w:val="18"/>
              </w:rPr>
              <w:t>Level:</w:t>
            </w:r>
            <w:r>
              <w:rPr>
                <w:color w:val="105C84"/>
                <w:spacing w:val="-3"/>
                <w:sz w:val="18"/>
              </w:rPr>
              <w:t> </w:t>
            </w:r>
            <w:r>
              <w:rPr>
                <w:color w:val="105C84"/>
                <w:sz w:val="18"/>
              </w:rPr>
              <w:t>State</w:t>
            </w:r>
          </w:p>
        </w:tc>
        <w:tc>
          <w:tcPr>
            <w:tcW w:w="1383" w:type="dxa"/>
            <w:vMerge/>
            <w:tcBorders>
              <w:top w:val="nil"/>
            </w:tcBorders>
          </w:tcPr>
          <w:p>
            <w:pPr>
              <w:rPr>
                <w:sz w:val="2"/>
                <w:szCs w:val="2"/>
              </w:rPr>
            </w:pPr>
          </w:p>
        </w:tc>
        <w:tc>
          <w:tcPr>
            <w:tcW w:w="3020" w:type="dxa"/>
            <w:vMerge/>
            <w:tcBorders>
              <w:top w:val="nil"/>
              <w:right w:val="nil"/>
            </w:tcBorders>
          </w:tcPr>
          <w:p>
            <w:pPr>
              <w:rPr>
                <w:sz w:val="2"/>
                <w:szCs w:val="2"/>
              </w:rPr>
            </w:pPr>
          </w:p>
        </w:tc>
        <w:tc>
          <w:tcPr>
            <w:tcW w:w="3886" w:type="dxa"/>
            <w:vMerge/>
            <w:tcBorders>
              <w:top w:val="nil"/>
              <w:left w:val="nil"/>
            </w:tcBorders>
          </w:tcPr>
          <w:p>
            <w:pPr>
              <w:rPr>
                <w:sz w:val="2"/>
                <w:szCs w:val="2"/>
              </w:rPr>
            </w:pPr>
          </w:p>
        </w:tc>
        <w:tc>
          <w:tcPr>
            <w:tcW w:w="1851" w:type="dxa"/>
            <w:tcBorders>
              <w:top w:val="nil"/>
            </w:tcBorders>
          </w:tcPr>
          <w:p>
            <w:pPr>
              <w:pStyle w:val="TableParagraph"/>
              <w:rPr>
                <w:rFonts w:ascii="Times New Roman"/>
                <w:sz w:val="18"/>
              </w:rPr>
            </w:pPr>
          </w:p>
        </w:tc>
        <w:tc>
          <w:tcPr>
            <w:tcW w:w="2693" w:type="dxa"/>
            <w:vMerge/>
            <w:tcBorders>
              <w:top w:val="nil"/>
            </w:tcBorders>
          </w:tcPr>
          <w:p>
            <w:pPr>
              <w:rPr>
                <w:sz w:val="2"/>
                <w:szCs w:val="2"/>
              </w:rPr>
            </w:pPr>
          </w:p>
        </w:tc>
        <w:tc>
          <w:tcPr>
            <w:tcW w:w="2630" w:type="dxa"/>
            <w:tcBorders>
              <w:top w:val="nil"/>
            </w:tcBorders>
          </w:tcPr>
          <w:p>
            <w:pPr>
              <w:pStyle w:val="TableParagraph"/>
              <w:rPr>
                <w:rFonts w:ascii="Times New Roman"/>
                <w:sz w:val="18"/>
              </w:rPr>
            </w:pPr>
          </w:p>
        </w:tc>
      </w:tr>
      <w:tr>
        <w:trPr>
          <w:trHeight w:val="955" w:hRule="exact"/>
        </w:trPr>
        <w:tc>
          <w:tcPr>
            <w:tcW w:w="1353" w:type="dxa"/>
            <w:tcBorders>
              <w:top w:val="nil"/>
              <w:bottom w:val="nil"/>
            </w:tcBorders>
            <w:shd w:val="clear" w:color="auto" w:fill="E6E7E8"/>
          </w:tcPr>
          <w:p>
            <w:pPr>
              <w:pStyle w:val="TableParagraph"/>
              <w:rPr>
                <w:rFonts w:ascii="Times New Roman"/>
                <w:sz w:val="18"/>
              </w:rPr>
            </w:pPr>
          </w:p>
        </w:tc>
        <w:tc>
          <w:tcPr>
            <w:tcW w:w="1289" w:type="dxa"/>
            <w:tcBorders>
              <w:top w:val="nil"/>
              <w:bottom w:val="nil"/>
            </w:tcBorders>
          </w:tcPr>
          <w:p>
            <w:pPr>
              <w:pStyle w:val="TableParagraph"/>
              <w:rPr>
                <w:rFonts w:ascii="Times New Roman"/>
                <w:sz w:val="18"/>
              </w:rPr>
            </w:pPr>
          </w:p>
        </w:tc>
        <w:tc>
          <w:tcPr>
            <w:tcW w:w="1275" w:type="dxa"/>
            <w:vMerge w:val="restart"/>
          </w:tcPr>
          <w:p>
            <w:pPr>
              <w:pStyle w:val="TableParagraph"/>
              <w:rPr>
                <w:rFonts w:ascii="Times New Roman"/>
                <w:sz w:val="18"/>
              </w:rPr>
            </w:pPr>
          </w:p>
        </w:tc>
        <w:tc>
          <w:tcPr>
            <w:tcW w:w="2881" w:type="dxa"/>
            <w:vMerge w:val="restart"/>
          </w:tcPr>
          <w:p>
            <w:pPr>
              <w:pStyle w:val="TableParagraph"/>
              <w:rPr>
                <w:rFonts w:ascii="Times New Roman"/>
                <w:sz w:val="18"/>
              </w:rPr>
            </w:pPr>
          </w:p>
        </w:tc>
        <w:tc>
          <w:tcPr>
            <w:tcW w:w="1383" w:type="dxa"/>
            <w:vMerge/>
            <w:tcBorders>
              <w:top w:val="nil"/>
            </w:tcBorders>
          </w:tcPr>
          <w:p>
            <w:pPr>
              <w:rPr>
                <w:sz w:val="2"/>
                <w:szCs w:val="2"/>
              </w:rPr>
            </w:pPr>
          </w:p>
        </w:tc>
        <w:tc>
          <w:tcPr>
            <w:tcW w:w="3020" w:type="dxa"/>
            <w:vMerge w:val="restart"/>
            <w:tcBorders>
              <w:right w:val="nil"/>
            </w:tcBorders>
          </w:tcPr>
          <w:p>
            <w:pPr>
              <w:pStyle w:val="TableParagraph"/>
              <w:spacing w:line="232" w:lineRule="auto" w:before="99"/>
              <w:ind w:left="84" w:right="1049"/>
              <w:rPr>
                <w:sz w:val="18"/>
              </w:rPr>
            </w:pPr>
            <w:r>
              <w:rPr>
                <w:color w:val="105C84"/>
                <w:sz w:val="18"/>
              </w:rPr>
              <w:t>3.1.3 Pursue policy action to reduce the impact of tobacco marketing in lower-income and racial/ ethnic minority </w:t>
            </w:r>
            <w:r>
              <w:rPr>
                <w:color w:val="105C84"/>
                <w:spacing w:val="-2"/>
                <w:sz w:val="18"/>
              </w:rPr>
              <w:t>communities, </w:t>
            </w:r>
            <w:r>
              <w:rPr>
                <w:color w:val="105C84"/>
                <w:sz w:val="18"/>
              </w:rPr>
              <w:t>disadvantaged</w:t>
            </w:r>
            <w:r>
              <w:rPr>
                <w:color w:val="105C84"/>
                <w:spacing w:val="-13"/>
                <w:sz w:val="18"/>
              </w:rPr>
              <w:t> </w:t>
            </w:r>
            <w:r>
              <w:rPr>
                <w:color w:val="105C84"/>
                <w:sz w:val="18"/>
              </w:rPr>
              <w:t>urban neighborhoods and rural areas</w:t>
            </w:r>
          </w:p>
        </w:tc>
        <w:tc>
          <w:tcPr>
            <w:tcW w:w="3886" w:type="dxa"/>
            <w:vMerge w:val="restart"/>
            <w:tcBorders>
              <w:left w:val="nil"/>
            </w:tcBorders>
          </w:tcPr>
          <w:p>
            <w:pPr>
              <w:pStyle w:val="TableParagraph"/>
              <w:numPr>
                <w:ilvl w:val="0"/>
                <w:numId w:val="55"/>
              </w:numPr>
              <w:tabs>
                <w:tab w:pos="1234" w:val="left" w:leader="none"/>
              </w:tabs>
              <w:spacing w:line="240" w:lineRule="auto" w:before="94" w:after="0"/>
              <w:ind w:left="1234" w:right="0" w:hanging="186"/>
              <w:jc w:val="left"/>
              <w:rPr>
                <w:sz w:val="18"/>
              </w:rPr>
            </w:pPr>
            <w:r>
              <w:rPr>
                <w:color w:val="105C84"/>
                <w:spacing w:val="-4"/>
                <w:sz w:val="18"/>
              </w:rPr>
              <w:t>#</w:t>
            </w:r>
            <w:r>
              <w:rPr>
                <w:color w:val="105C84"/>
                <w:spacing w:val="-5"/>
                <w:sz w:val="18"/>
              </w:rPr>
              <w:t> </w:t>
            </w:r>
            <w:r>
              <w:rPr>
                <w:color w:val="105C84"/>
                <w:spacing w:val="-4"/>
                <w:sz w:val="18"/>
              </w:rPr>
              <w:t>Local</w:t>
            </w:r>
            <w:r>
              <w:rPr>
                <w:color w:val="105C84"/>
                <w:spacing w:val="-5"/>
                <w:sz w:val="18"/>
              </w:rPr>
              <w:t> </w:t>
            </w:r>
            <w:r>
              <w:rPr>
                <w:color w:val="105C84"/>
                <w:spacing w:val="-4"/>
                <w:sz w:val="18"/>
              </w:rPr>
              <w:t>laws passed</w:t>
            </w:r>
          </w:p>
          <w:p>
            <w:pPr>
              <w:pStyle w:val="TableParagraph"/>
              <w:numPr>
                <w:ilvl w:val="0"/>
                <w:numId w:val="55"/>
              </w:numPr>
              <w:tabs>
                <w:tab w:pos="1234" w:val="left" w:leader="none"/>
              </w:tabs>
              <w:spacing w:line="232" w:lineRule="auto" w:before="88" w:after="0"/>
              <w:ind w:left="1048" w:right="858" w:firstLine="0"/>
              <w:jc w:val="left"/>
              <w:rPr>
                <w:sz w:val="18"/>
              </w:rPr>
            </w:pPr>
            <w:r>
              <w:rPr>
                <w:color w:val="105C84"/>
                <w:sz w:val="18"/>
              </w:rPr>
              <w:t>#</w:t>
            </w:r>
            <w:r>
              <w:rPr>
                <w:color w:val="105C84"/>
                <w:spacing w:val="-15"/>
                <w:sz w:val="18"/>
              </w:rPr>
              <w:t> </w:t>
            </w:r>
            <w:r>
              <w:rPr>
                <w:color w:val="105C84"/>
                <w:sz w:val="18"/>
              </w:rPr>
              <w:t>Government</w:t>
            </w:r>
            <w:r>
              <w:rPr>
                <w:color w:val="105C84"/>
                <w:spacing w:val="-12"/>
                <w:sz w:val="18"/>
              </w:rPr>
              <w:t> </w:t>
            </w:r>
            <w:r>
              <w:rPr>
                <w:color w:val="105C84"/>
                <w:sz w:val="18"/>
              </w:rPr>
              <w:t>officials </w:t>
            </w:r>
            <w:r>
              <w:rPr>
                <w:color w:val="105C84"/>
                <w:spacing w:val="-2"/>
                <w:sz w:val="18"/>
              </w:rPr>
              <w:t>educated</w:t>
            </w:r>
          </w:p>
        </w:tc>
        <w:tc>
          <w:tcPr>
            <w:tcW w:w="1851" w:type="dxa"/>
            <w:tcBorders>
              <w:bottom w:val="nil"/>
            </w:tcBorders>
          </w:tcPr>
          <w:p>
            <w:pPr>
              <w:pStyle w:val="TableParagraph"/>
              <w:spacing w:line="336" w:lineRule="auto" w:before="94"/>
              <w:ind w:left="84"/>
              <w:rPr>
                <w:sz w:val="18"/>
              </w:rPr>
            </w:pPr>
            <w:r>
              <w:rPr>
                <w:color w:val="105C84"/>
                <w:sz w:val="18"/>
              </w:rPr>
              <w:t>Local</w:t>
            </w:r>
            <w:r>
              <w:rPr>
                <w:color w:val="105C84"/>
                <w:spacing w:val="-13"/>
                <w:sz w:val="18"/>
              </w:rPr>
              <w:t> </w:t>
            </w:r>
            <w:r>
              <w:rPr>
                <w:color w:val="105C84"/>
                <w:sz w:val="18"/>
              </w:rPr>
              <w:t>government </w:t>
            </w:r>
            <w:r>
              <w:rPr>
                <w:color w:val="105C84"/>
                <w:spacing w:val="-2"/>
                <w:sz w:val="18"/>
              </w:rPr>
              <w:t>TACFL</w:t>
            </w:r>
          </w:p>
          <w:p>
            <w:pPr>
              <w:pStyle w:val="TableParagraph"/>
              <w:ind w:left="84"/>
              <w:rPr>
                <w:sz w:val="18"/>
              </w:rPr>
            </w:pPr>
            <w:r>
              <w:rPr>
                <w:color w:val="105C84"/>
                <w:sz w:val="18"/>
              </w:rPr>
              <w:t>OC</w:t>
            </w:r>
            <w:r>
              <w:rPr>
                <w:color w:val="105C84"/>
                <w:spacing w:val="-6"/>
                <w:sz w:val="18"/>
              </w:rPr>
              <w:t> </w:t>
            </w:r>
            <w:r>
              <w:rPr>
                <w:color w:val="105C84"/>
                <w:sz w:val="18"/>
              </w:rPr>
              <w:t>Public</w:t>
            </w:r>
            <w:r>
              <w:rPr>
                <w:color w:val="105C84"/>
                <w:spacing w:val="-6"/>
                <w:sz w:val="18"/>
              </w:rPr>
              <w:t> </w:t>
            </w:r>
            <w:r>
              <w:rPr>
                <w:color w:val="105C84"/>
                <w:spacing w:val="-2"/>
                <w:sz w:val="18"/>
              </w:rPr>
              <w:t>Health</w:t>
            </w:r>
          </w:p>
        </w:tc>
        <w:tc>
          <w:tcPr>
            <w:tcW w:w="2693" w:type="dxa"/>
            <w:tcBorders>
              <w:bottom w:val="nil"/>
            </w:tcBorders>
          </w:tcPr>
          <w:p>
            <w:pPr>
              <w:pStyle w:val="TableParagraph"/>
              <w:spacing w:line="232" w:lineRule="auto" w:before="99"/>
              <w:ind w:left="84" w:right="227"/>
              <w:rPr>
                <w:sz w:val="18"/>
              </w:rPr>
            </w:pPr>
            <w:r>
              <w:rPr>
                <w:color w:val="105C84"/>
                <w:sz w:val="18"/>
              </w:rPr>
              <w:t>Local government: Adoption of local laws regulating the availability</w:t>
            </w:r>
            <w:r>
              <w:rPr>
                <w:color w:val="105C84"/>
                <w:spacing w:val="-7"/>
                <w:sz w:val="18"/>
              </w:rPr>
              <w:t> </w:t>
            </w:r>
            <w:r>
              <w:rPr>
                <w:color w:val="105C84"/>
                <w:sz w:val="18"/>
              </w:rPr>
              <w:t>of</w:t>
            </w:r>
            <w:r>
              <w:rPr>
                <w:color w:val="105C84"/>
                <w:spacing w:val="-7"/>
                <w:sz w:val="18"/>
              </w:rPr>
              <w:t> </w:t>
            </w:r>
            <w:r>
              <w:rPr>
                <w:color w:val="105C84"/>
                <w:sz w:val="18"/>
              </w:rPr>
              <w:t>flavored</w:t>
            </w:r>
            <w:r>
              <w:rPr>
                <w:color w:val="105C84"/>
                <w:spacing w:val="-7"/>
                <w:sz w:val="18"/>
              </w:rPr>
              <w:t> </w:t>
            </w:r>
            <w:r>
              <w:rPr>
                <w:color w:val="105C84"/>
                <w:sz w:val="18"/>
              </w:rPr>
              <w:t>vaping </w:t>
            </w:r>
            <w:r>
              <w:rPr>
                <w:color w:val="105C84"/>
                <w:spacing w:val="-2"/>
                <w:sz w:val="18"/>
              </w:rPr>
              <w:t>liquids.</w:t>
            </w:r>
          </w:p>
        </w:tc>
        <w:tc>
          <w:tcPr>
            <w:tcW w:w="2630" w:type="dxa"/>
            <w:tcBorders>
              <w:bottom w:val="nil"/>
            </w:tcBorders>
          </w:tcPr>
          <w:p>
            <w:pPr>
              <w:pStyle w:val="TableParagraph"/>
              <w:spacing w:before="93"/>
              <w:ind w:left="84"/>
              <w:rPr>
                <w:sz w:val="18"/>
              </w:rPr>
            </w:pPr>
            <w:r>
              <w:rPr>
                <w:color w:val="105C84"/>
                <w:spacing w:val="-2"/>
                <w:sz w:val="18"/>
              </w:rPr>
              <w:t>TACFL:</w:t>
            </w:r>
            <w:r>
              <w:rPr>
                <w:color w:val="105C84"/>
                <w:spacing w:val="-10"/>
                <w:sz w:val="18"/>
              </w:rPr>
              <w:t> </w:t>
            </w:r>
            <w:r>
              <w:rPr>
                <w:color w:val="105C84"/>
                <w:spacing w:val="-2"/>
                <w:sz w:val="18"/>
              </w:rPr>
              <w:t>See</w:t>
            </w:r>
            <w:r>
              <w:rPr>
                <w:color w:val="105C84"/>
                <w:spacing w:val="-7"/>
                <w:sz w:val="18"/>
              </w:rPr>
              <w:t> </w:t>
            </w:r>
            <w:r>
              <w:rPr>
                <w:color w:val="105C84"/>
                <w:spacing w:val="-2"/>
                <w:sz w:val="18"/>
              </w:rPr>
              <w:t>Intervention</w:t>
            </w:r>
            <w:r>
              <w:rPr>
                <w:color w:val="105C84"/>
                <w:spacing w:val="-7"/>
                <w:sz w:val="18"/>
              </w:rPr>
              <w:t> </w:t>
            </w:r>
            <w:r>
              <w:rPr>
                <w:color w:val="105C84"/>
                <w:spacing w:val="-2"/>
                <w:sz w:val="18"/>
              </w:rPr>
              <w:t>3.1.2</w:t>
            </w:r>
          </w:p>
        </w:tc>
      </w:tr>
      <w:tr>
        <w:trPr>
          <w:trHeight w:val="689" w:hRule="exact"/>
        </w:trPr>
        <w:tc>
          <w:tcPr>
            <w:tcW w:w="1353" w:type="dxa"/>
            <w:tcBorders>
              <w:top w:val="nil"/>
              <w:bottom w:val="nil"/>
            </w:tcBorders>
            <w:shd w:val="clear" w:color="auto" w:fill="E6E7E8"/>
          </w:tcPr>
          <w:p>
            <w:pPr>
              <w:pStyle w:val="TableParagraph"/>
              <w:rPr>
                <w:rFonts w:ascii="Times New Roman"/>
                <w:sz w:val="18"/>
              </w:rPr>
            </w:pPr>
          </w:p>
        </w:tc>
        <w:tc>
          <w:tcPr>
            <w:tcW w:w="1289" w:type="dxa"/>
            <w:tcBorders>
              <w:top w:val="nil"/>
              <w:bottom w:val="nil"/>
            </w:tcBorders>
          </w:tcPr>
          <w:p>
            <w:pPr>
              <w:pStyle w:val="TableParagraph"/>
              <w:rPr>
                <w:rFonts w:ascii="Times New Roman"/>
                <w:sz w:val="18"/>
              </w:rPr>
            </w:pPr>
          </w:p>
        </w:tc>
        <w:tc>
          <w:tcPr>
            <w:tcW w:w="1275" w:type="dxa"/>
            <w:vMerge/>
            <w:tcBorders>
              <w:top w:val="nil"/>
            </w:tcBorders>
          </w:tcPr>
          <w:p>
            <w:pPr>
              <w:rPr>
                <w:sz w:val="2"/>
                <w:szCs w:val="2"/>
              </w:rPr>
            </w:pPr>
          </w:p>
        </w:tc>
        <w:tc>
          <w:tcPr>
            <w:tcW w:w="2881" w:type="dxa"/>
            <w:vMerge/>
            <w:tcBorders>
              <w:top w:val="nil"/>
            </w:tcBorders>
          </w:tcPr>
          <w:p>
            <w:pPr>
              <w:rPr>
                <w:sz w:val="2"/>
                <w:szCs w:val="2"/>
              </w:rPr>
            </w:pPr>
          </w:p>
        </w:tc>
        <w:tc>
          <w:tcPr>
            <w:tcW w:w="1383" w:type="dxa"/>
            <w:vMerge/>
            <w:tcBorders>
              <w:top w:val="nil"/>
            </w:tcBorders>
          </w:tcPr>
          <w:p>
            <w:pPr>
              <w:rPr>
                <w:sz w:val="2"/>
                <w:szCs w:val="2"/>
              </w:rPr>
            </w:pPr>
          </w:p>
        </w:tc>
        <w:tc>
          <w:tcPr>
            <w:tcW w:w="3020" w:type="dxa"/>
            <w:vMerge/>
            <w:tcBorders>
              <w:top w:val="nil"/>
              <w:right w:val="nil"/>
            </w:tcBorders>
          </w:tcPr>
          <w:p>
            <w:pPr>
              <w:rPr>
                <w:sz w:val="2"/>
                <w:szCs w:val="2"/>
              </w:rPr>
            </w:pPr>
          </w:p>
        </w:tc>
        <w:tc>
          <w:tcPr>
            <w:tcW w:w="3886" w:type="dxa"/>
            <w:vMerge/>
            <w:tcBorders>
              <w:top w:val="nil"/>
              <w:left w:val="nil"/>
            </w:tcBorders>
          </w:tcPr>
          <w:p>
            <w:pPr>
              <w:rPr>
                <w:sz w:val="2"/>
                <w:szCs w:val="2"/>
              </w:rPr>
            </w:pPr>
          </w:p>
        </w:tc>
        <w:tc>
          <w:tcPr>
            <w:tcW w:w="1851" w:type="dxa"/>
            <w:tcBorders>
              <w:top w:val="nil"/>
              <w:bottom w:val="nil"/>
            </w:tcBorders>
          </w:tcPr>
          <w:p>
            <w:pPr>
              <w:pStyle w:val="TableParagraph"/>
              <w:rPr>
                <w:rFonts w:ascii="Times New Roman"/>
                <w:sz w:val="18"/>
              </w:rPr>
            </w:pPr>
          </w:p>
        </w:tc>
        <w:tc>
          <w:tcPr>
            <w:tcW w:w="2693" w:type="dxa"/>
            <w:tcBorders>
              <w:top w:val="nil"/>
              <w:bottom w:val="nil"/>
            </w:tcBorders>
          </w:tcPr>
          <w:p>
            <w:pPr>
              <w:pStyle w:val="TableParagraph"/>
              <w:spacing w:line="232" w:lineRule="auto" w:before="38"/>
              <w:ind w:left="84" w:right="194"/>
              <w:rPr>
                <w:sz w:val="18"/>
              </w:rPr>
            </w:pPr>
            <w:r>
              <w:rPr>
                <w:color w:val="105C84"/>
                <w:sz w:val="18"/>
              </w:rPr>
              <w:t>TACFL: Education of local</w:t>
            </w:r>
            <w:r>
              <w:rPr>
                <w:color w:val="105C84"/>
                <w:spacing w:val="40"/>
                <w:sz w:val="18"/>
              </w:rPr>
              <w:t> </w:t>
            </w:r>
            <w:r>
              <w:rPr>
                <w:color w:val="105C84"/>
                <w:sz w:val="18"/>
              </w:rPr>
              <w:t>and</w:t>
            </w:r>
            <w:r>
              <w:rPr>
                <w:color w:val="105C84"/>
                <w:spacing w:val="-9"/>
                <w:sz w:val="18"/>
              </w:rPr>
              <w:t> </w:t>
            </w:r>
            <w:r>
              <w:rPr>
                <w:color w:val="105C84"/>
                <w:sz w:val="18"/>
              </w:rPr>
              <w:t>state</w:t>
            </w:r>
            <w:r>
              <w:rPr>
                <w:color w:val="105C84"/>
                <w:spacing w:val="-9"/>
                <w:sz w:val="18"/>
              </w:rPr>
              <w:t> </w:t>
            </w:r>
            <w:r>
              <w:rPr>
                <w:color w:val="105C84"/>
                <w:sz w:val="18"/>
              </w:rPr>
              <w:t>government</w:t>
            </w:r>
            <w:r>
              <w:rPr>
                <w:color w:val="105C84"/>
                <w:spacing w:val="-9"/>
                <w:sz w:val="18"/>
              </w:rPr>
              <w:t> </w:t>
            </w:r>
            <w:r>
              <w:rPr>
                <w:color w:val="105C84"/>
                <w:sz w:val="18"/>
              </w:rPr>
              <w:t>officials regarding</w:t>
            </w:r>
            <w:r>
              <w:rPr>
                <w:color w:val="105C84"/>
                <w:spacing w:val="11"/>
                <w:sz w:val="18"/>
              </w:rPr>
              <w:t> </w:t>
            </w:r>
            <w:r>
              <w:rPr>
                <w:color w:val="105C84"/>
                <w:sz w:val="18"/>
              </w:rPr>
              <w:t>tobacco</w:t>
            </w:r>
            <w:r>
              <w:rPr>
                <w:color w:val="105C84"/>
                <w:spacing w:val="12"/>
                <w:sz w:val="18"/>
              </w:rPr>
              <w:t> </w:t>
            </w:r>
            <w:r>
              <w:rPr>
                <w:color w:val="105C84"/>
                <w:spacing w:val="-2"/>
                <w:sz w:val="18"/>
              </w:rPr>
              <w:t>marketing.</w:t>
            </w:r>
          </w:p>
        </w:tc>
        <w:tc>
          <w:tcPr>
            <w:tcW w:w="2630" w:type="dxa"/>
            <w:tcBorders>
              <w:top w:val="nil"/>
              <w:bottom w:val="nil"/>
            </w:tcBorders>
          </w:tcPr>
          <w:p>
            <w:pPr>
              <w:pStyle w:val="TableParagraph"/>
              <w:rPr>
                <w:rFonts w:ascii="Times New Roman"/>
                <w:sz w:val="18"/>
              </w:rPr>
            </w:pPr>
          </w:p>
        </w:tc>
      </w:tr>
      <w:tr>
        <w:trPr>
          <w:trHeight w:val="894" w:hRule="exact"/>
        </w:trPr>
        <w:tc>
          <w:tcPr>
            <w:tcW w:w="1353" w:type="dxa"/>
            <w:tcBorders>
              <w:top w:val="nil"/>
            </w:tcBorders>
            <w:shd w:val="clear" w:color="auto" w:fill="E6E7E8"/>
          </w:tcPr>
          <w:p>
            <w:pPr>
              <w:pStyle w:val="TableParagraph"/>
              <w:rPr>
                <w:rFonts w:ascii="Times New Roman"/>
                <w:sz w:val="18"/>
              </w:rPr>
            </w:pPr>
          </w:p>
        </w:tc>
        <w:tc>
          <w:tcPr>
            <w:tcW w:w="1289" w:type="dxa"/>
            <w:tcBorders>
              <w:top w:val="nil"/>
            </w:tcBorders>
          </w:tcPr>
          <w:p>
            <w:pPr>
              <w:pStyle w:val="TableParagraph"/>
              <w:rPr>
                <w:rFonts w:ascii="Times New Roman"/>
                <w:sz w:val="18"/>
              </w:rPr>
            </w:pPr>
          </w:p>
        </w:tc>
        <w:tc>
          <w:tcPr>
            <w:tcW w:w="1275" w:type="dxa"/>
            <w:vMerge/>
            <w:tcBorders>
              <w:top w:val="nil"/>
            </w:tcBorders>
          </w:tcPr>
          <w:p>
            <w:pPr>
              <w:rPr>
                <w:sz w:val="2"/>
                <w:szCs w:val="2"/>
              </w:rPr>
            </w:pPr>
          </w:p>
        </w:tc>
        <w:tc>
          <w:tcPr>
            <w:tcW w:w="2881" w:type="dxa"/>
            <w:vMerge/>
            <w:tcBorders>
              <w:top w:val="nil"/>
            </w:tcBorders>
          </w:tcPr>
          <w:p>
            <w:pPr>
              <w:rPr>
                <w:sz w:val="2"/>
                <w:szCs w:val="2"/>
              </w:rPr>
            </w:pPr>
          </w:p>
        </w:tc>
        <w:tc>
          <w:tcPr>
            <w:tcW w:w="1383" w:type="dxa"/>
            <w:vMerge/>
            <w:tcBorders>
              <w:top w:val="nil"/>
            </w:tcBorders>
          </w:tcPr>
          <w:p>
            <w:pPr>
              <w:rPr>
                <w:sz w:val="2"/>
                <w:szCs w:val="2"/>
              </w:rPr>
            </w:pPr>
          </w:p>
        </w:tc>
        <w:tc>
          <w:tcPr>
            <w:tcW w:w="3020" w:type="dxa"/>
            <w:vMerge/>
            <w:tcBorders>
              <w:top w:val="nil"/>
              <w:right w:val="nil"/>
            </w:tcBorders>
          </w:tcPr>
          <w:p>
            <w:pPr>
              <w:rPr>
                <w:sz w:val="2"/>
                <w:szCs w:val="2"/>
              </w:rPr>
            </w:pPr>
          </w:p>
        </w:tc>
        <w:tc>
          <w:tcPr>
            <w:tcW w:w="3886" w:type="dxa"/>
            <w:vMerge/>
            <w:tcBorders>
              <w:top w:val="nil"/>
              <w:left w:val="nil"/>
            </w:tcBorders>
          </w:tcPr>
          <w:p>
            <w:pPr>
              <w:rPr>
                <w:sz w:val="2"/>
                <w:szCs w:val="2"/>
              </w:rPr>
            </w:pPr>
          </w:p>
        </w:tc>
        <w:tc>
          <w:tcPr>
            <w:tcW w:w="1851" w:type="dxa"/>
            <w:tcBorders>
              <w:top w:val="nil"/>
            </w:tcBorders>
          </w:tcPr>
          <w:p>
            <w:pPr>
              <w:pStyle w:val="TableParagraph"/>
              <w:rPr>
                <w:rFonts w:ascii="Times New Roman"/>
                <w:sz w:val="18"/>
              </w:rPr>
            </w:pPr>
          </w:p>
        </w:tc>
        <w:tc>
          <w:tcPr>
            <w:tcW w:w="2693" w:type="dxa"/>
            <w:tcBorders>
              <w:top w:val="nil"/>
            </w:tcBorders>
          </w:tcPr>
          <w:p>
            <w:pPr>
              <w:pStyle w:val="TableParagraph"/>
              <w:spacing w:line="232" w:lineRule="auto" w:before="38"/>
              <w:ind w:left="84" w:right="167"/>
              <w:rPr>
                <w:sz w:val="18"/>
              </w:rPr>
            </w:pPr>
            <w:r>
              <w:rPr>
                <w:color w:val="105C84"/>
                <w:sz w:val="18"/>
              </w:rPr>
              <w:t>OC Public Health: Education of local government officials and</w:t>
            </w:r>
            <w:r>
              <w:rPr>
                <w:color w:val="105C84"/>
                <w:spacing w:val="-5"/>
                <w:sz w:val="18"/>
              </w:rPr>
              <w:t> </w:t>
            </w:r>
            <w:r>
              <w:rPr>
                <w:color w:val="105C84"/>
                <w:sz w:val="18"/>
              </w:rPr>
              <w:t>advocacy</w:t>
            </w:r>
            <w:r>
              <w:rPr>
                <w:color w:val="105C84"/>
                <w:spacing w:val="-5"/>
                <w:sz w:val="18"/>
              </w:rPr>
              <w:t> </w:t>
            </w:r>
            <w:r>
              <w:rPr>
                <w:color w:val="105C84"/>
                <w:sz w:val="18"/>
              </w:rPr>
              <w:t>for</w:t>
            </w:r>
            <w:r>
              <w:rPr>
                <w:color w:val="105C84"/>
                <w:spacing w:val="-5"/>
                <w:sz w:val="18"/>
              </w:rPr>
              <w:t> </w:t>
            </w:r>
            <w:r>
              <w:rPr>
                <w:color w:val="105C84"/>
                <w:sz w:val="18"/>
              </w:rPr>
              <w:t>regulation</w:t>
            </w:r>
            <w:r>
              <w:rPr>
                <w:color w:val="105C84"/>
                <w:spacing w:val="-5"/>
                <w:sz w:val="18"/>
              </w:rPr>
              <w:t> </w:t>
            </w:r>
            <w:r>
              <w:rPr>
                <w:color w:val="105C84"/>
                <w:sz w:val="18"/>
              </w:rPr>
              <w:t>of tobacco marketing.</w:t>
            </w:r>
          </w:p>
        </w:tc>
        <w:tc>
          <w:tcPr>
            <w:tcW w:w="2630" w:type="dxa"/>
            <w:tcBorders>
              <w:top w:val="nil"/>
            </w:tcBorders>
          </w:tcPr>
          <w:p>
            <w:pPr>
              <w:pStyle w:val="TableParagraph"/>
              <w:rPr>
                <w:rFonts w:ascii="Times New Roman"/>
                <w:sz w:val="18"/>
              </w:rPr>
            </w:pPr>
          </w:p>
        </w:tc>
      </w:tr>
    </w:tbl>
    <w:p>
      <w:pPr>
        <w:pStyle w:val="BodyText"/>
        <w:rPr>
          <w:b/>
          <w:sz w:val="26"/>
        </w:rPr>
      </w:pPr>
    </w:p>
    <w:p>
      <w:pPr>
        <w:pStyle w:val="BodyText"/>
        <w:spacing w:before="193"/>
        <w:rPr>
          <w:b/>
          <w:sz w:val="26"/>
        </w:rPr>
      </w:pPr>
    </w:p>
    <w:p>
      <w:pPr>
        <w:tabs>
          <w:tab w:pos="23047" w:val="left" w:leader="none"/>
        </w:tabs>
        <w:spacing w:before="1"/>
        <w:ind w:left="0" w:right="0" w:firstLine="0"/>
        <w:jc w:val="left"/>
        <w:rPr>
          <w:b/>
          <w:sz w:val="26"/>
        </w:rPr>
      </w:pPr>
      <w:r>
        <w:rPr>
          <w:position w:val="-4"/>
        </w:rPr>
        <w:drawing>
          <wp:inline distT="0" distB="0" distL="0" distR="0">
            <wp:extent cx="568172" cy="184683"/>
            <wp:effectExtent l="0" t="0" r="0" b="0"/>
            <wp:docPr id="1818" name="Image 1818"/>
            <wp:cNvGraphicFramePr>
              <a:graphicFrameLocks/>
            </wp:cNvGraphicFramePr>
            <a:graphic>
              <a:graphicData uri="http://schemas.openxmlformats.org/drawingml/2006/picture">
                <pic:pic>
                  <pic:nvPicPr>
                    <pic:cNvPr id="1818" name="Image 1818"/>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13"/>
          <w:sz w:val="20"/>
        </w:rPr>
        <w:t> </w:t>
      </w:r>
      <w:r>
        <w:rPr>
          <w:b/>
          <w:color w:val="939598"/>
          <w:w w:val="105"/>
          <w:sz w:val="26"/>
        </w:rPr>
        <w:t>147</w:t>
      </w:r>
      <w:r>
        <w:rPr>
          <w:b/>
          <w:color w:val="939598"/>
          <w:sz w:val="26"/>
        </w:rPr>
        <w:tab/>
      </w:r>
      <w:r>
        <w:rPr>
          <w:b/>
          <w:color w:val="939598"/>
          <w:spacing w:val="-5"/>
          <w:w w:val="105"/>
          <w:sz w:val="26"/>
        </w:rPr>
        <w:t>148</w:t>
      </w:r>
    </w:p>
    <w:p>
      <w:pPr>
        <w:spacing w:after="0"/>
        <w:jc w:val="left"/>
        <w:rPr>
          <w:b/>
          <w:sz w:val="26"/>
        </w:rPr>
        <w:sectPr>
          <w:pgSz w:w="24480" w:h="15840" w:orient="landscape"/>
          <w:pgMar w:header="0" w:footer="0" w:top="860" w:bottom="0" w:left="0" w:right="720"/>
        </w:sectPr>
      </w:pPr>
    </w:p>
    <w:p>
      <w:pPr>
        <w:spacing w:before="607"/>
        <w:ind w:left="1089" w:right="0" w:firstLine="0"/>
        <w:jc w:val="left"/>
        <w:rPr>
          <w:sz w:val="54"/>
        </w:rPr>
      </w:pPr>
      <w:r>
        <w:rPr>
          <w:sz w:val="54"/>
        </w:rPr>
        <w:drawing>
          <wp:anchor distT="0" distB="0" distL="0" distR="0" allowOverlap="1" layoutInCell="1" locked="0" behindDoc="0" simplePos="0" relativeHeight="15950336">
            <wp:simplePos x="0" y="0"/>
            <wp:positionH relativeFrom="page">
              <wp:posOffset>14981556</wp:posOffset>
            </wp:positionH>
            <wp:positionV relativeFrom="page">
              <wp:posOffset>9668103</wp:posOffset>
            </wp:positionV>
            <wp:extent cx="563245" cy="184683"/>
            <wp:effectExtent l="0" t="0" r="0" b="0"/>
            <wp:wrapNone/>
            <wp:docPr id="1819" name="Image 1819"/>
            <wp:cNvGraphicFramePr>
              <a:graphicFrameLocks/>
            </wp:cNvGraphicFramePr>
            <a:graphic>
              <a:graphicData uri="http://schemas.openxmlformats.org/drawingml/2006/picture">
                <pic:pic>
                  <pic:nvPicPr>
                    <pic:cNvPr id="1819" name="Image 1819"/>
                    <pic:cNvPicPr/>
                  </pic:nvPicPr>
                  <pic:blipFill>
                    <a:blip r:embed="rId38" cstate="print"/>
                    <a:stretch>
                      <a:fillRect/>
                    </a:stretch>
                  </pic:blipFill>
                  <pic:spPr>
                    <a:xfrm>
                      <a:off x="0" y="0"/>
                      <a:ext cx="563245" cy="184683"/>
                    </a:xfrm>
                    <a:prstGeom prst="rect">
                      <a:avLst/>
                    </a:prstGeom>
                  </pic:spPr>
                </pic:pic>
              </a:graphicData>
            </a:graphic>
          </wp:anchor>
        </w:drawing>
      </w:r>
      <w:r>
        <w:rPr>
          <w:sz w:val="54"/>
        </w:rPr>
        <w:drawing>
          <wp:anchor distT="0" distB="0" distL="0" distR="0" allowOverlap="1" layoutInCell="1" locked="0" behindDoc="0" simplePos="0" relativeHeight="15950848">
            <wp:simplePos x="0" y="0"/>
            <wp:positionH relativeFrom="page">
              <wp:posOffset>14252733</wp:posOffset>
            </wp:positionH>
            <wp:positionV relativeFrom="paragraph">
              <wp:posOffset>358457</wp:posOffset>
            </wp:positionV>
            <wp:extent cx="588168" cy="615314"/>
            <wp:effectExtent l="0" t="0" r="0" b="0"/>
            <wp:wrapNone/>
            <wp:docPr id="1820" name="Image 1820"/>
            <wp:cNvGraphicFramePr>
              <a:graphicFrameLocks/>
            </wp:cNvGraphicFramePr>
            <a:graphic>
              <a:graphicData uri="http://schemas.openxmlformats.org/drawingml/2006/picture">
                <pic:pic>
                  <pic:nvPicPr>
                    <pic:cNvPr id="1820" name="Image 1820"/>
                    <pic:cNvPicPr/>
                  </pic:nvPicPr>
                  <pic:blipFill>
                    <a:blip r:embed="rId248" cstate="print"/>
                    <a:stretch>
                      <a:fillRect/>
                    </a:stretch>
                  </pic:blipFill>
                  <pic:spPr>
                    <a:xfrm>
                      <a:off x="0" y="0"/>
                      <a:ext cx="588168" cy="615314"/>
                    </a:xfrm>
                    <a:prstGeom prst="rect">
                      <a:avLst/>
                    </a:prstGeom>
                  </pic:spPr>
                </pic:pic>
              </a:graphicData>
            </a:graphic>
          </wp:anchor>
        </w:drawing>
      </w:r>
      <w:r>
        <w:rPr>
          <w:sz w:val="54"/>
        </w:rPr>
        <w:drawing>
          <wp:anchor distT="0" distB="0" distL="0" distR="0" allowOverlap="1" layoutInCell="1" locked="0" behindDoc="0" simplePos="0" relativeHeight="15951360">
            <wp:simplePos x="0" y="0"/>
            <wp:positionH relativeFrom="page">
              <wp:posOffset>9637268</wp:posOffset>
            </wp:positionH>
            <wp:positionV relativeFrom="paragraph">
              <wp:posOffset>365759</wp:posOffset>
            </wp:positionV>
            <wp:extent cx="1013459" cy="346709"/>
            <wp:effectExtent l="0" t="0" r="0" b="0"/>
            <wp:wrapNone/>
            <wp:docPr id="1821" name="Image 1821"/>
            <wp:cNvGraphicFramePr>
              <a:graphicFrameLocks/>
            </wp:cNvGraphicFramePr>
            <a:graphic>
              <a:graphicData uri="http://schemas.openxmlformats.org/drawingml/2006/picture">
                <pic:pic>
                  <pic:nvPicPr>
                    <pic:cNvPr id="1821" name="Image 1821"/>
                    <pic:cNvPicPr/>
                  </pic:nvPicPr>
                  <pic:blipFill>
                    <a:blip r:embed="rId249" cstate="print"/>
                    <a:stretch>
                      <a:fillRect/>
                    </a:stretch>
                  </pic:blipFill>
                  <pic:spPr>
                    <a:xfrm>
                      <a:off x="0" y="0"/>
                      <a:ext cx="1013459" cy="346709"/>
                    </a:xfrm>
                    <a:prstGeom prst="rect">
                      <a:avLst/>
                    </a:prstGeom>
                  </pic:spPr>
                </pic:pic>
              </a:graphicData>
            </a:graphic>
          </wp:anchor>
        </w:drawing>
      </w:r>
      <w:r>
        <w:rPr>
          <w:sz w:val="54"/>
        </w:rPr>
        <w:drawing>
          <wp:anchor distT="0" distB="0" distL="0" distR="0" allowOverlap="1" layoutInCell="1" locked="0" behindDoc="0" simplePos="0" relativeHeight="15951872">
            <wp:simplePos x="0" y="0"/>
            <wp:positionH relativeFrom="page">
              <wp:posOffset>8820404</wp:posOffset>
            </wp:positionH>
            <wp:positionV relativeFrom="paragraph">
              <wp:posOffset>303783</wp:posOffset>
            </wp:positionV>
            <wp:extent cx="680085" cy="626110"/>
            <wp:effectExtent l="0" t="0" r="0" b="0"/>
            <wp:wrapNone/>
            <wp:docPr id="1822" name="Image 1822"/>
            <wp:cNvGraphicFramePr>
              <a:graphicFrameLocks/>
            </wp:cNvGraphicFramePr>
            <a:graphic>
              <a:graphicData uri="http://schemas.openxmlformats.org/drawingml/2006/picture">
                <pic:pic>
                  <pic:nvPicPr>
                    <pic:cNvPr id="1822" name="Image 1822"/>
                    <pic:cNvPicPr/>
                  </pic:nvPicPr>
                  <pic:blipFill>
                    <a:blip r:embed="rId250" cstate="print"/>
                    <a:stretch>
                      <a:fillRect/>
                    </a:stretch>
                  </pic:blipFill>
                  <pic:spPr>
                    <a:xfrm>
                      <a:off x="0" y="0"/>
                      <a:ext cx="680085" cy="626110"/>
                    </a:xfrm>
                    <a:prstGeom prst="rect">
                      <a:avLst/>
                    </a:prstGeom>
                  </pic:spPr>
                </pic:pic>
              </a:graphicData>
            </a:graphic>
          </wp:anchor>
        </w:drawing>
      </w:r>
      <w:r>
        <w:rPr>
          <w:sz w:val="54"/>
        </w:rPr>
        <w:drawing>
          <wp:anchor distT="0" distB="0" distL="0" distR="0" allowOverlap="1" layoutInCell="1" locked="0" behindDoc="0" simplePos="0" relativeHeight="15952384">
            <wp:simplePos x="0" y="0"/>
            <wp:positionH relativeFrom="page">
              <wp:posOffset>12660794</wp:posOffset>
            </wp:positionH>
            <wp:positionV relativeFrom="paragraph">
              <wp:posOffset>292608</wp:posOffset>
            </wp:positionV>
            <wp:extent cx="1542007" cy="459636"/>
            <wp:effectExtent l="0" t="0" r="0" b="0"/>
            <wp:wrapNone/>
            <wp:docPr id="1823" name="Image 1823"/>
            <wp:cNvGraphicFramePr>
              <a:graphicFrameLocks/>
            </wp:cNvGraphicFramePr>
            <a:graphic>
              <a:graphicData uri="http://schemas.openxmlformats.org/drawingml/2006/picture">
                <pic:pic>
                  <pic:nvPicPr>
                    <pic:cNvPr id="1823" name="Image 1823"/>
                    <pic:cNvPicPr/>
                  </pic:nvPicPr>
                  <pic:blipFill>
                    <a:blip r:embed="rId251" cstate="print"/>
                    <a:stretch>
                      <a:fillRect/>
                    </a:stretch>
                  </pic:blipFill>
                  <pic:spPr>
                    <a:xfrm>
                      <a:off x="0" y="0"/>
                      <a:ext cx="1542007" cy="459636"/>
                    </a:xfrm>
                    <a:prstGeom prst="rect">
                      <a:avLst/>
                    </a:prstGeom>
                  </pic:spPr>
                </pic:pic>
              </a:graphicData>
            </a:graphic>
          </wp:anchor>
        </w:drawing>
      </w:r>
      <w:r>
        <w:rPr>
          <w:sz w:val="54"/>
        </w:rPr>
        <w:drawing>
          <wp:anchor distT="0" distB="0" distL="0" distR="0" allowOverlap="1" layoutInCell="1" locked="0" behindDoc="0" simplePos="0" relativeHeight="15952896">
            <wp:simplePos x="0" y="0"/>
            <wp:positionH relativeFrom="page">
              <wp:posOffset>10819383</wp:posOffset>
            </wp:positionH>
            <wp:positionV relativeFrom="paragraph">
              <wp:posOffset>365759</wp:posOffset>
            </wp:positionV>
            <wp:extent cx="1724393" cy="297788"/>
            <wp:effectExtent l="0" t="0" r="0" b="0"/>
            <wp:wrapNone/>
            <wp:docPr id="1824" name="Image 1824"/>
            <wp:cNvGraphicFramePr>
              <a:graphicFrameLocks/>
            </wp:cNvGraphicFramePr>
            <a:graphic>
              <a:graphicData uri="http://schemas.openxmlformats.org/drawingml/2006/picture">
                <pic:pic>
                  <pic:nvPicPr>
                    <pic:cNvPr id="1824" name="Image 1824"/>
                    <pic:cNvPicPr/>
                  </pic:nvPicPr>
                  <pic:blipFill>
                    <a:blip r:embed="rId252" cstate="print"/>
                    <a:stretch>
                      <a:fillRect/>
                    </a:stretch>
                  </pic:blipFill>
                  <pic:spPr>
                    <a:xfrm>
                      <a:off x="0" y="0"/>
                      <a:ext cx="1724393" cy="297788"/>
                    </a:xfrm>
                    <a:prstGeom prst="rect">
                      <a:avLst/>
                    </a:prstGeom>
                  </pic:spPr>
                </pic:pic>
              </a:graphicData>
            </a:graphic>
          </wp:anchor>
        </w:drawing>
      </w:r>
      <w:r>
        <w:rPr>
          <w:color w:val="636466"/>
          <w:w w:val="105"/>
          <w:sz w:val="54"/>
        </w:rPr>
        <w:t>Ontario</w:t>
      </w:r>
      <w:r>
        <w:rPr>
          <w:color w:val="636466"/>
          <w:spacing w:val="-13"/>
          <w:w w:val="105"/>
          <w:sz w:val="54"/>
        </w:rPr>
        <w:t> </w:t>
      </w:r>
      <w:r>
        <w:rPr>
          <w:color w:val="636466"/>
          <w:w w:val="105"/>
          <w:sz w:val="54"/>
        </w:rPr>
        <w:t>County</w:t>
      </w:r>
      <w:r>
        <w:rPr>
          <w:color w:val="636466"/>
          <w:spacing w:val="-14"/>
          <w:w w:val="105"/>
          <w:sz w:val="54"/>
        </w:rPr>
        <w:t> </w:t>
      </w:r>
      <w:r>
        <w:rPr>
          <w:color w:val="636466"/>
          <w:w w:val="105"/>
          <w:sz w:val="54"/>
        </w:rPr>
        <w:t>Appendix</w:t>
      </w:r>
      <w:r>
        <w:rPr>
          <w:color w:val="636466"/>
          <w:spacing w:val="-13"/>
          <w:w w:val="105"/>
          <w:sz w:val="54"/>
        </w:rPr>
        <w:t> </w:t>
      </w:r>
      <w:r>
        <w:rPr>
          <w:color w:val="636466"/>
          <w:spacing w:val="-10"/>
          <w:w w:val="105"/>
          <w:sz w:val="54"/>
        </w:rPr>
        <w:t>C</w:t>
      </w:r>
    </w:p>
    <w:p>
      <w:pPr>
        <w:spacing w:before="235"/>
        <w:ind w:left="1089" w:right="0" w:firstLine="0"/>
        <w:jc w:val="left"/>
        <w:rPr>
          <w:b/>
          <w:sz w:val="32"/>
        </w:rPr>
      </w:pPr>
      <w:r>
        <w:rPr>
          <w:b/>
          <w:color w:val="82BF6A"/>
          <w:spacing w:val="-6"/>
          <w:sz w:val="32"/>
        </w:rPr>
        <w:t>PRIORITY:</w:t>
      </w:r>
      <w:r>
        <w:rPr>
          <w:b/>
          <w:color w:val="82BF6A"/>
          <w:spacing w:val="-13"/>
          <w:sz w:val="32"/>
        </w:rPr>
        <w:t> </w:t>
      </w:r>
      <w:r>
        <w:rPr>
          <w:b/>
          <w:color w:val="82BF6A"/>
          <w:spacing w:val="-6"/>
          <w:sz w:val="32"/>
        </w:rPr>
        <w:t>PREVENT</w:t>
      </w:r>
      <w:r>
        <w:rPr>
          <w:b/>
          <w:color w:val="82BF6A"/>
          <w:spacing w:val="-13"/>
          <w:sz w:val="32"/>
        </w:rPr>
        <w:t> </w:t>
      </w:r>
      <w:r>
        <w:rPr>
          <w:b/>
          <w:color w:val="82BF6A"/>
          <w:spacing w:val="-6"/>
          <w:sz w:val="32"/>
        </w:rPr>
        <w:t>CHRONIC</w:t>
      </w:r>
      <w:r>
        <w:rPr>
          <w:b/>
          <w:color w:val="82BF6A"/>
          <w:spacing w:val="-13"/>
          <w:sz w:val="32"/>
        </w:rPr>
        <w:t> </w:t>
      </w:r>
      <w:r>
        <w:rPr>
          <w:b/>
          <w:color w:val="82BF6A"/>
          <w:spacing w:val="-6"/>
          <w:sz w:val="32"/>
        </w:rPr>
        <w:t>DISEASES</w:t>
      </w:r>
    </w:p>
    <w:p>
      <w:pPr>
        <w:pStyle w:val="BodyText"/>
        <w:spacing w:before="8"/>
        <w:rPr>
          <w:b/>
          <w:sz w:val="16"/>
        </w:rPr>
      </w:pPr>
    </w:p>
    <w:tbl>
      <w:tblPr>
        <w:tblW w:w="0" w:type="auto"/>
        <w:jc w:val="left"/>
        <w:tblInd w:w="1099"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1353"/>
        <w:gridCol w:w="1289"/>
        <w:gridCol w:w="1591"/>
        <w:gridCol w:w="2102"/>
        <w:gridCol w:w="1238"/>
        <w:gridCol w:w="3583"/>
        <w:gridCol w:w="4214"/>
        <w:gridCol w:w="1850"/>
        <w:gridCol w:w="2692"/>
        <w:gridCol w:w="2313"/>
      </w:tblGrid>
      <w:tr>
        <w:trPr>
          <w:trHeight w:val="770" w:hRule="atLeast"/>
        </w:trPr>
        <w:tc>
          <w:tcPr>
            <w:tcW w:w="1353" w:type="dxa"/>
            <w:tcBorders>
              <w:right w:val="single" w:sz="4" w:space="0" w:color="FFFFFF"/>
            </w:tcBorders>
            <w:shd w:val="clear" w:color="auto" w:fill="A7A9AC"/>
          </w:tcPr>
          <w:p>
            <w:pPr>
              <w:pStyle w:val="TableParagraph"/>
              <w:spacing w:before="67"/>
              <w:rPr>
                <w:b/>
                <w:sz w:val="20"/>
              </w:rPr>
            </w:pPr>
          </w:p>
          <w:p>
            <w:pPr>
              <w:pStyle w:val="TableParagraph"/>
              <w:ind w:left="80"/>
              <w:rPr>
                <w:b/>
                <w:sz w:val="20"/>
              </w:rPr>
            </w:pPr>
            <w:r>
              <w:rPr>
                <w:b/>
                <w:color w:val="FFFFFF"/>
                <w:spacing w:val="-2"/>
                <w:sz w:val="20"/>
              </w:rPr>
              <w:t>Priority</w:t>
            </w:r>
          </w:p>
        </w:tc>
        <w:tc>
          <w:tcPr>
            <w:tcW w:w="1289" w:type="dxa"/>
            <w:tcBorders>
              <w:left w:val="single" w:sz="4" w:space="0" w:color="FFFFFF"/>
              <w:right w:val="single" w:sz="4" w:space="0" w:color="FFFFFF"/>
            </w:tcBorders>
            <w:shd w:val="clear" w:color="auto" w:fill="A7A9AC"/>
          </w:tcPr>
          <w:p>
            <w:pPr>
              <w:pStyle w:val="TableParagraph"/>
              <w:spacing w:before="67"/>
              <w:rPr>
                <w:b/>
                <w:sz w:val="20"/>
              </w:rPr>
            </w:pPr>
          </w:p>
          <w:p>
            <w:pPr>
              <w:pStyle w:val="TableParagraph"/>
              <w:ind w:left="80"/>
              <w:rPr>
                <w:b/>
                <w:sz w:val="20"/>
              </w:rPr>
            </w:pPr>
            <w:r>
              <w:rPr>
                <w:b/>
                <w:color w:val="FFFFFF"/>
                <w:w w:val="90"/>
                <w:sz w:val="20"/>
              </w:rPr>
              <w:t>Focus</w:t>
            </w:r>
            <w:r>
              <w:rPr>
                <w:b/>
                <w:color w:val="FFFFFF"/>
                <w:spacing w:val="8"/>
                <w:sz w:val="20"/>
              </w:rPr>
              <w:t> </w:t>
            </w:r>
            <w:r>
              <w:rPr>
                <w:b/>
                <w:color w:val="FFFFFF"/>
                <w:spacing w:val="-4"/>
                <w:sz w:val="20"/>
              </w:rPr>
              <w:t>Area</w:t>
            </w:r>
          </w:p>
        </w:tc>
        <w:tc>
          <w:tcPr>
            <w:tcW w:w="1591" w:type="dxa"/>
            <w:tcBorders>
              <w:left w:val="single" w:sz="4" w:space="0" w:color="FFFFFF"/>
              <w:right w:val="single" w:sz="4" w:space="0" w:color="FFFFFF"/>
            </w:tcBorders>
            <w:shd w:val="clear" w:color="auto" w:fill="A7A9AC"/>
          </w:tcPr>
          <w:p>
            <w:pPr>
              <w:pStyle w:val="TableParagraph"/>
              <w:spacing w:line="230" w:lineRule="auto" w:before="195"/>
              <w:ind w:left="79" w:right="100"/>
              <w:rPr>
                <w:b/>
                <w:sz w:val="20"/>
              </w:rPr>
            </w:pPr>
            <w:r>
              <w:rPr>
                <w:b/>
                <w:color w:val="FFFFFF"/>
                <w:spacing w:val="-8"/>
                <w:sz w:val="20"/>
              </w:rPr>
              <w:t>Goal</w:t>
            </w:r>
            <w:r>
              <w:rPr>
                <w:b/>
                <w:color w:val="FFFFFF"/>
                <w:spacing w:val="-6"/>
                <w:sz w:val="20"/>
              </w:rPr>
              <w:t> </w:t>
            </w:r>
            <w:r>
              <w:rPr>
                <w:b/>
                <w:color w:val="FFFFFF"/>
                <w:spacing w:val="-8"/>
                <w:sz w:val="20"/>
              </w:rPr>
              <w:t>Focus </w:t>
            </w:r>
            <w:r>
              <w:rPr>
                <w:b/>
                <w:color w:val="FFFFFF"/>
                <w:spacing w:val="-4"/>
                <w:sz w:val="20"/>
              </w:rPr>
              <w:t>Area</w:t>
            </w:r>
          </w:p>
        </w:tc>
        <w:tc>
          <w:tcPr>
            <w:tcW w:w="2102" w:type="dxa"/>
            <w:tcBorders>
              <w:left w:val="single" w:sz="4" w:space="0" w:color="FFFFFF"/>
              <w:right w:val="single" w:sz="4" w:space="0" w:color="FFFFFF"/>
            </w:tcBorders>
            <w:shd w:val="clear" w:color="auto" w:fill="A7A9AC"/>
          </w:tcPr>
          <w:p>
            <w:pPr>
              <w:pStyle w:val="TableParagraph"/>
              <w:spacing w:before="67"/>
              <w:rPr>
                <w:b/>
                <w:sz w:val="20"/>
              </w:rPr>
            </w:pPr>
          </w:p>
          <w:p>
            <w:pPr>
              <w:pStyle w:val="TableParagraph"/>
              <w:ind w:left="80"/>
              <w:rPr>
                <w:b/>
                <w:sz w:val="20"/>
              </w:rPr>
            </w:pPr>
            <w:r>
              <w:rPr>
                <w:b/>
                <w:color w:val="FFFFFF"/>
                <w:spacing w:val="-2"/>
                <w:sz w:val="20"/>
              </w:rPr>
              <w:t>Objectives</w:t>
            </w:r>
          </w:p>
        </w:tc>
        <w:tc>
          <w:tcPr>
            <w:tcW w:w="1238" w:type="dxa"/>
            <w:tcBorders>
              <w:left w:val="single" w:sz="4" w:space="0" w:color="FFFFFF"/>
              <w:right w:val="single" w:sz="4" w:space="0" w:color="FFFFFF"/>
            </w:tcBorders>
            <w:shd w:val="clear" w:color="auto" w:fill="A7A9AC"/>
          </w:tcPr>
          <w:p>
            <w:pPr>
              <w:pStyle w:val="TableParagraph"/>
              <w:spacing w:before="67"/>
              <w:rPr>
                <w:b/>
                <w:sz w:val="20"/>
              </w:rPr>
            </w:pPr>
          </w:p>
          <w:p>
            <w:pPr>
              <w:pStyle w:val="TableParagraph"/>
              <w:ind w:left="80"/>
              <w:rPr>
                <w:b/>
                <w:sz w:val="20"/>
              </w:rPr>
            </w:pPr>
            <w:r>
              <w:rPr>
                <w:b/>
                <w:color w:val="FFFFFF"/>
                <w:spacing w:val="-2"/>
                <w:sz w:val="20"/>
              </w:rPr>
              <w:t>Disparities</w:t>
            </w:r>
          </w:p>
        </w:tc>
        <w:tc>
          <w:tcPr>
            <w:tcW w:w="3583" w:type="dxa"/>
            <w:tcBorders>
              <w:left w:val="single" w:sz="4" w:space="0" w:color="FFFFFF"/>
              <w:right w:val="nil"/>
            </w:tcBorders>
            <w:shd w:val="clear" w:color="auto" w:fill="A7A9AC"/>
          </w:tcPr>
          <w:p>
            <w:pPr>
              <w:pStyle w:val="TableParagraph"/>
              <w:spacing w:before="67"/>
              <w:rPr>
                <w:b/>
                <w:sz w:val="20"/>
              </w:rPr>
            </w:pPr>
          </w:p>
          <w:p>
            <w:pPr>
              <w:pStyle w:val="TableParagraph"/>
              <w:ind w:left="81"/>
              <w:rPr>
                <w:b/>
                <w:sz w:val="20"/>
              </w:rPr>
            </w:pPr>
            <w:r>
              <w:rPr>
                <w:b/>
                <w:color w:val="FFFFFF"/>
                <w:spacing w:val="-2"/>
                <w:sz w:val="20"/>
              </w:rPr>
              <w:t>Interventions</w:t>
            </w:r>
          </w:p>
        </w:tc>
        <w:tc>
          <w:tcPr>
            <w:tcW w:w="4214" w:type="dxa"/>
            <w:tcBorders>
              <w:left w:val="nil"/>
              <w:right w:val="single" w:sz="4" w:space="0" w:color="FFFFFF"/>
            </w:tcBorders>
            <w:shd w:val="clear" w:color="auto" w:fill="A7A9AC"/>
          </w:tcPr>
          <w:p>
            <w:pPr>
              <w:pStyle w:val="TableParagraph"/>
              <w:spacing w:before="67"/>
              <w:rPr>
                <w:b/>
                <w:sz w:val="20"/>
              </w:rPr>
            </w:pPr>
          </w:p>
          <w:p>
            <w:pPr>
              <w:pStyle w:val="TableParagraph"/>
              <w:ind w:left="1178"/>
              <w:rPr>
                <w:b/>
                <w:sz w:val="20"/>
              </w:rPr>
            </w:pPr>
            <w:r>
              <w:rPr>
                <w:b/>
                <w:color w:val="FFFFFF"/>
                <w:sz w:val="20"/>
              </w:rPr>
              <w:t>Family</w:t>
            </w:r>
            <w:r>
              <w:rPr>
                <w:b/>
                <w:color w:val="FFFFFF"/>
                <w:spacing w:val="-12"/>
                <w:sz w:val="20"/>
              </w:rPr>
              <w:t> </w:t>
            </w:r>
            <w:r>
              <w:rPr>
                <w:b/>
                <w:color w:val="FFFFFF"/>
                <w:sz w:val="20"/>
              </w:rPr>
              <w:t>of</w:t>
            </w:r>
            <w:r>
              <w:rPr>
                <w:b/>
                <w:color w:val="FFFFFF"/>
                <w:spacing w:val="-12"/>
                <w:sz w:val="20"/>
              </w:rPr>
              <w:t> </w:t>
            </w:r>
            <w:r>
              <w:rPr>
                <w:b/>
                <w:color w:val="FFFFFF"/>
                <w:spacing w:val="-2"/>
                <w:sz w:val="20"/>
              </w:rPr>
              <w:t>Measures</w:t>
            </w:r>
          </w:p>
        </w:tc>
        <w:tc>
          <w:tcPr>
            <w:tcW w:w="1850" w:type="dxa"/>
            <w:tcBorders>
              <w:left w:val="single" w:sz="4" w:space="0" w:color="FFFFFF"/>
              <w:right w:val="single" w:sz="4" w:space="0" w:color="FFFFFF"/>
            </w:tcBorders>
            <w:shd w:val="clear" w:color="auto" w:fill="A7A9AC"/>
          </w:tcPr>
          <w:p>
            <w:pPr>
              <w:pStyle w:val="TableParagraph"/>
              <w:spacing w:line="230" w:lineRule="auto" w:before="195"/>
              <w:ind w:left="91" w:right="120"/>
              <w:rPr>
                <w:b/>
                <w:sz w:val="20"/>
              </w:rPr>
            </w:pPr>
            <w:r>
              <w:rPr>
                <w:b/>
                <w:color w:val="FFFFFF"/>
                <w:spacing w:val="-2"/>
                <w:sz w:val="20"/>
              </w:rPr>
              <w:t>Implementation Partner</w:t>
            </w:r>
          </w:p>
        </w:tc>
        <w:tc>
          <w:tcPr>
            <w:tcW w:w="2692" w:type="dxa"/>
            <w:tcBorders>
              <w:left w:val="single" w:sz="4" w:space="0" w:color="FFFFFF"/>
              <w:right w:val="single" w:sz="4" w:space="0" w:color="FFFFFF"/>
            </w:tcBorders>
            <w:shd w:val="clear" w:color="auto" w:fill="A7A9AC"/>
          </w:tcPr>
          <w:p>
            <w:pPr>
              <w:pStyle w:val="TableParagraph"/>
              <w:spacing w:before="67"/>
              <w:rPr>
                <w:b/>
                <w:sz w:val="20"/>
              </w:rPr>
            </w:pPr>
          </w:p>
          <w:p>
            <w:pPr>
              <w:pStyle w:val="TableParagraph"/>
              <w:ind w:left="82"/>
              <w:rPr>
                <w:b/>
                <w:sz w:val="20"/>
              </w:rPr>
            </w:pPr>
            <w:r>
              <w:rPr>
                <w:b/>
                <w:color w:val="FFFFFF"/>
                <w:sz w:val="20"/>
              </w:rPr>
              <w:t>Partner</w:t>
            </w:r>
            <w:r>
              <w:rPr>
                <w:b/>
                <w:color w:val="FFFFFF"/>
                <w:spacing w:val="-13"/>
                <w:sz w:val="20"/>
              </w:rPr>
              <w:t> </w:t>
            </w:r>
            <w:r>
              <w:rPr>
                <w:b/>
                <w:color w:val="FFFFFF"/>
                <w:spacing w:val="-2"/>
                <w:sz w:val="20"/>
              </w:rPr>
              <w:t>Roles</w:t>
            </w:r>
          </w:p>
        </w:tc>
        <w:tc>
          <w:tcPr>
            <w:tcW w:w="2313" w:type="dxa"/>
            <w:tcBorders>
              <w:left w:val="single" w:sz="4" w:space="0" w:color="FFFFFF"/>
              <w:right w:val="single" w:sz="4" w:space="0" w:color="FFFFFF"/>
            </w:tcBorders>
            <w:shd w:val="clear" w:color="auto" w:fill="A7A9AC"/>
          </w:tcPr>
          <w:p>
            <w:pPr>
              <w:pStyle w:val="TableParagraph"/>
              <w:spacing w:before="67"/>
              <w:rPr>
                <w:b/>
                <w:sz w:val="20"/>
              </w:rPr>
            </w:pPr>
          </w:p>
          <w:p>
            <w:pPr>
              <w:pStyle w:val="TableParagraph"/>
              <w:ind w:left="82"/>
              <w:rPr>
                <w:b/>
                <w:sz w:val="20"/>
              </w:rPr>
            </w:pPr>
            <w:r>
              <w:rPr>
                <w:b/>
                <w:color w:val="FFFFFF"/>
                <w:sz w:val="20"/>
              </w:rPr>
              <w:t>Partner</w:t>
            </w:r>
            <w:r>
              <w:rPr>
                <w:b/>
                <w:color w:val="FFFFFF"/>
                <w:spacing w:val="-13"/>
                <w:sz w:val="20"/>
              </w:rPr>
              <w:t> </w:t>
            </w:r>
            <w:r>
              <w:rPr>
                <w:b/>
                <w:color w:val="FFFFFF"/>
                <w:spacing w:val="-2"/>
                <w:sz w:val="20"/>
              </w:rPr>
              <w:t>Resources</w:t>
            </w:r>
          </w:p>
        </w:tc>
      </w:tr>
      <w:tr>
        <w:trPr>
          <w:trHeight w:val="1727" w:hRule="atLeast"/>
        </w:trPr>
        <w:tc>
          <w:tcPr>
            <w:tcW w:w="1353" w:type="dxa"/>
            <w:tcBorders>
              <w:bottom w:val="nil"/>
            </w:tcBorders>
            <w:shd w:val="clear" w:color="auto" w:fill="E6E7E8"/>
          </w:tcPr>
          <w:p>
            <w:pPr>
              <w:pStyle w:val="TableParagraph"/>
              <w:spacing w:line="232" w:lineRule="auto" w:before="101"/>
              <w:ind w:left="90" w:right="536"/>
              <w:jc w:val="both"/>
              <w:rPr>
                <w:sz w:val="18"/>
              </w:rPr>
            </w:pPr>
            <w:r>
              <w:rPr>
                <w:color w:val="105C84"/>
                <w:spacing w:val="-2"/>
                <w:sz w:val="18"/>
              </w:rPr>
              <w:t>Prevent Chronic </w:t>
            </w:r>
            <w:r>
              <w:rPr>
                <w:color w:val="105C84"/>
                <w:spacing w:val="-6"/>
                <w:sz w:val="18"/>
              </w:rPr>
              <w:t>Diseases</w:t>
            </w:r>
          </w:p>
        </w:tc>
        <w:tc>
          <w:tcPr>
            <w:tcW w:w="1289" w:type="dxa"/>
            <w:tcBorders>
              <w:bottom w:val="nil"/>
            </w:tcBorders>
          </w:tcPr>
          <w:p>
            <w:pPr>
              <w:pStyle w:val="TableParagraph"/>
              <w:spacing w:line="232" w:lineRule="auto" w:before="101"/>
              <w:ind w:left="90"/>
              <w:rPr>
                <w:sz w:val="18"/>
              </w:rPr>
            </w:pPr>
            <w:r>
              <w:rPr>
                <w:color w:val="105C84"/>
                <w:spacing w:val="-4"/>
                <w:sz w:val="18"/>
              </w:rPr>
              <w:t>Focus</w:t>
            </w:r>
            <w:r>
              <w:rPr>
                <w:color w:val="105C84"/>
                <w:spacing w:val="-11"/>
                <w:sz w:val="18"/>
              </w:rPr>
              <w:t> </w:t>
            </w:r>
            <w:r>
              <w:rPr>
                <w:color w:val="105C84"/>
                <w:spacing w:val="-4"/>
                <w:sz w:val="18"/>
              </w:rPr>
              <w:t>Area</w:t>
            </w:r>
            <w:r>
              <w:rPr>
                <w:color w:val="105C84"/>
                <w:spacing w:val="-8"/>
                <w:sz w:val="18"/>
              </w:rPr>
              <w:t> </w:t>
            </w:r>
            <w:r>
              <w:rPr>
                <w:color w:val="105C84"/>
                <w:spacing w:val="-4"/>
                <w:sz w:val="18"/>
              </w:rPr>
              <w:t>3: </w:t>
            </w:r>
            <w:r>
              <w:rPr>
                <w:color w:val="105C84"/>
                <w:spacing w:val="-2"/>
                <w:sz w:val="18"/>
              </w:rPr>
              <w:t>Tobacco Prevention</w:t>
            </w:r>
          </w:p>
        </w:tc>
        <w:tc>
          <w:tcPr>
            <w:tcW w:w="1591" w:type="dxa"/>
            <w:tcBorders>
              <w:bottom w:val="nil"/>
            </w:tcBorders>
          </w:tcPr>
          <w:p>
            <w:pPr>
              <w:pStyle w:val="TableParagraph"/>
              <w:spacing w:line="232" w:lineRule="auto" w:before="101"/>
              <w:ind w:left="90" w:right="100"/>
              <w:rPr>
                <w:sz w:val="18"/>
              </w:rPr>
            </w:pPr>
            <w:r>
              <w:rPr>
                <w:color w:val="105C84"/>
                <w:sz w:val="18"/>
              </w:rPr>
              <w:t>Goal 3.2: Promote</w:t>
            </w:r>
            <w:r>
              <w:rPr>
                <w:color w:val="105C84"/>
                <w:spacing w:val="-13"/>
                <w:sz w:val="18"/>
              </w:rPr>
              <w:t> </w:t>
            </w:r>
            <w:r>
              <w:rPr>
                <w:color w:val="105C84"/>
                <w:sz w:val="18"/>
              </w:rPr>
              <w:t>tobacco use cessation </w:t>
            </w:r>
            <w:r>
              <w:rPr>
                <w:color w:val="105C84"/>
                <w:spacing w:val="-2"/>
                <w:sz w:val="18"/>
              </w:rPr>
              <w:t>(Adults)</w:t>
            </w:r>
          </w:p>
        </w:tc>
        <w:tc>
          <w:tcPr>
            <w:tcW w:w="2102" w:type="dxa"/>
            <w:tcBorders>
              <w:bottom w:val="nil"/>
            </w:tcBorders>
          </w:tcPr>
          <w:p>
            <w:pPr>
              <w:pStyle w:val="TableParagraph"/>
              <w:spacing w:line="232" w:lineRule="auto" w:before="101"/>
              <w:ind w:left="90"/>
              <w:rPr>
                <w:sz w:val="18"/>
              </w:rPr>
            </w:pPr>
            <w:r>
              <w:rPr>
                <w:color w:val="105C84"/>
                <w:sz w:val="18"/>
              </w:rPr>
              <w:t>3.2.1 Increase the percentage of smokers </w:t>
            </w:r>
            <w:r>
              <w:rPr>
                <w:color w:val="105C84"/>
                <w:spacing w:val="-2"/>
                <w:sz w:val="18"/>
              </w:rPr>
              <w:t>who</w:t>
            </w:r>
            <w:r>
              <w:rPr>
                <w:color w:val="105C84"/>
                <w:spacing w:val="-13"/>
                <w:sz w:val="18"/>
              </w:rPr>
              <w:t> </w:t>
            </w:r>
            <w:r>
              <w:rPr>
                <w:color w:val="105C84"/>
                <w:spacing w:val="-2"/>
                <w:sz w:val="18"/>
              </w:rPr>
              <w:t>received</w:t>
            </w:r>
            <w:r>
              <w:rPr>
                <w:color w:val="105C84"/>
                <w:spacing w:val="-10"/>
                <w:sz w:val="18"/>
              </w:rPr>
              <w:t> </w:t>
            </w:r>
            <w:r>
              <w:rPr>
                <w:color w:val="105C84"/>
                <w:spacing w:val="-2"/>
                <w:sz w:val="18"/>
              </w:rPr>
              <w:t>assistanc</w:t>
            </w:r>
            <w:r>
              <w:rPr>
                <w:color w:val="105C84"/>
                <w:spacing w:val="-2"/>
                <w:sz w:val="18"/>
              </w:rPr>
              <w:t>e</w:t>
            </w:r>
            <w:r>
              <w:rPr>
                <w:color w:val="105C84"/>
                <w:spacing w:val="-2"/>
                <w:sz w:val="18"/>
              </w:rPr>
              <w:t> </w:t>
            </w:r>
            <w:r>
              <w:rPr>
                <w:color w:val="105C84"/>
                <w:sz w:val="18"/>
              </w:rPr>
              <w:t>from their health</w:t>
            </w:r>
          </w:p>
          <w:p>
            <w:pPr>
              <w:pStyle w:val="TableParagraph"/>
              <w:spacing w:line="232" w:lineRule="auto"/>
              <w:ind w:left="90" w:right="139"/>
              <w:rPr>
                <w:sz w:val="18"/>
              </w:rPr>
            </w:pPr>
            <w:r>
              <w:rPr>
                <w:color w:val="105C84"/>
                <w:sz w:val="18"/>
              </w:rPr>
              <w:t>care provider to quit smoking</w:t>
            </w:r>
            <w:r>
              <w:rPr>
                <w:color w:val="105C84"/>
                <w:spacing w:val="-13"/>
                <w:sz w:val="18"/>
              </w:rPr>
              <w:t> </w:t>
            </w:r>
            <w:r>
              <w:rPr>
                <w:color w:val="105C84"/>
                <w:sz w:val="18"/>
              </w:rPr>
              <w:t>by</w:t>
            </w:r>
            <w:r>
              <w:rPr>
                <w:color w:val="105C84"/>
                <w:spacing w:val="-12"/>
                <w:sz w:val="18"/>
              </w:rPr>
              <w:t> </w:t>
            </w:r>
            <w:r>
              <w:rPr>
                <w:color w:val="105C84"/>
                <w:sz w:val="18"/>
              </w:rPr>
              <w:t>13.1%</w:t>
            </w:r>
            <w:r>
              <w:rPr>
                <w:color w:val="105C84"/>
                <w:spacing w:val="-13"/>
                <w:sz w:val="18"/>
              </w:rPr>
              <w:t> </w:t>
            </w:r>
            <w:r>
              <w:rPr>
                <w:color w:val="105C84"/>
                <w:sz w:val="18"/>
              </w:rPr>
              <w:t>from 53.1%</w:t>
            </w:r>
            <w:r>
              <w:rPr>
                <w:color w:val="105C84"/>
                <w:spacing w:val="-8"/>
                <w:sz w:val="18"/>
              </w:rPr>
              <w:t> </w:t>
            </w:r>
            <w:r>
              <w:rPr>
                <w:color w:val="105C84"/>
                <w:sz w:val="18"/>
              </w:rPr>
              <w:t>(2017)</w:t>
            </w:r>
            <w:r>
              <w:rPr>
                <w:color w:val="105C84"/>
                <w:spacing w:val="-8"/>
                <w:sz w:val="18"/>
              </w:rPr>
              <w:t> </w:t>
            </w:r>
            <w:r>
              <w:rPr>
                <w:color w:val="105C84"/>
                <w:sz w:val="18"/>
              </w:rPr>
              <w:t>to</w:t>
            </w:r>
            <w:r>
              <w:rPr>
                <w:color w:val="105C84"/>
                <w:spacing w:val="-8"/>
                <w:sz w:val="18"/>
              </w:rPr>
              <w:t> </w:t>
            </w:r>
            <w:r>
              <w:rPr>
                <w:color w:val="105C84"/>
                <w:sz w:val="18"/>
              </w:rPr>
              <w:t>60.1%</w:t>
            </w:r>
          </w:p>
        </w:tc>
        <w:tc>
          <w:tcPr>
            <w:tcW w:w="1238" w:type="dxa"/>
            <w:vMerge w:val="restart"/>
          </w:tcPr>
          <w:p>
            <w:pPr>
              <w:pStyle w:val="TableParagraph"/>
              <w:rPr>
                <w:rFonts w:ascii="Times New Roman"/>
                <w:sz w:val="18"/>
              </w:rPr>
            </w:pPr>
          </w:p>
        </w:tc>
        <w:tc>
          <w:tcPr>
            <w:tcW w:w="3583" w:type="dxa"/>
            <w:vMerge w:val="restart"/>
            <w:tcBorders>
              <w:right w:val="nil"/>
            </w:tcBorders>
          </w:tcPr>
          <w:p>
            <w:pPr>
              <w:pStyle w:val="TableParagraph"/>
              <w:spacing w:line="232" w:lineRule="auto" w:before="101"/>
              <w:ind w:left="91" w:right="1427"/>
              <w:rPr>
                <w:sz w:val="18"/>
              </w:rPr>
            </w:pPr>
            <w:r>
              <w:rPr>
                <w:color w:val="105C84"/>
                <w:sz w:val="18"/>
              </w:rPr>
              <w:t>3.2.2 Use health </w:t>
            </w:r>
            <w:r>
              <w:rPr>
                <w:color w:val="105C84"/>
                <w:spacing w:val="-2"/>
                <w:sz w:val="18"/>
              </w:rPr>
              <w:t>communications/media</w:t>
            </w:r>
            <w:r>
              <w:rPr>
                <w:color w:val="105C84"/>
                <w:spacing w:val="80"/>
                <w:w w:val="150"/>
                <w:sz w:val="18"/>
              </w:rPr>
              <w:t> </w:t>
            </w:r>
            <w:r>
              <w:rPr>
                <w:color w:val="105C84"/>
                <w:sz w:val="18"/>
              </w:rPr>
              <w:t>to promote the treatment of tobacco dependence by</w:t>
            </w:r>
            <w:r>
              <w:rPr>
                <w:color w:val="105C84"/>
                <w:spacing w:val="-7"/>
                <w:sz w:val="18"/>
              </w:rPr>
              <w:t> </w:t>
            </w:r>
            <w:r>
              <w:rPr>
                <w:color w:val="105C84"/>
                <w:sz w:val="18"/>
              </w:rPr>
              <w:t>targeting</w:t>
            </w:r>
            <w:r>
              <w:rPr>
                <w:color w:val="105C84"/>
                <w:spacing w:val="-8"/>
                <w:sz w:val="18"/>
              </w:rPr>
              <w:t> </w:t>
            </w:r>
            <w:r>
              <w:rPr>
                <w:color w:val="105C84"/>
                <w:sz w:val="18"/>
              </w:rPr>
              <w:t>smokers</w:t>
            </w:r>
            <w:r>
              <w:rPr>
                <w:color w:val="105C84"/>
                <w:spacing w:val="-7"/>
                <w:sz w:val="18"/>
              </w:rPr>
              <w:t> </w:t>
            </w:r>
            <w:r>
              <w:rPr>
                <w:color w:val="105C84"/>
                <w:sz w:val="18"/>
              </w:rPr>
              <w:t>wit</w:t>
            </w:r>
            <w:r>
              <w:rPr>
                <w:color w:val="105C84"/>
                <w:sz w:val="18"/>
              </w:rPr>
              <w:t>h</w:t>
            </w:r>
            <w:r>
              <w:rPr>
                <w:color w:val="105C84"/>
                <w:sz w:val="18"/>
              </w:rPr>
              <w:t> emotionally evocative</w:t>
            </w:r>
          </w:p>
          <w:p>
            <w:pPr>
              <w:pStyle w:val="TableParagraph"/>
              <w:spacing w:line="232" w:lineRule="auto"/>
              <w:ind w:left="91" w:right="1065"/>
              <w:rPr>
                <w:sz w:val="18"/>
              </w:rPr>
            </w:pPr>
            <w:r>
              <w:rPr>
                <w:color w:val="105C84"/>
                <w:sz w:val="18"/>
              </w:rPr>
              <w:t>&amp; graphic messages to encourage evidence-based quit attempts, to increase awareness of available cessation benefits &amp; to encourage health care provider involvement with additional</w:t>
            </w:r>
            <w:r>
              <w:rPr>
                <w:color w:val="105C84"/>
                <w:spacing w:val="-13"/>
                <w:sz w:val="18"/>
              </w:rPr>
              <w:t> </w:t>
            </w:r>
            <w:r>
              <w:rPr>
                <w:color w:val="105C84"/>
                <w:sz w:val="18"/>
              </w:rPr>
              <w:t>assistance</w:t>
            </w:r>
            <w:r>
              <w:rPr>
                <w:color w:val="105C84"/>
                <w:spacing w:val="-12"/>
                <w:sz w:val="18"/>
              </w:rPr>
              <w:t> </w:t>
            </w:r>
            <w:r>
              <w:rPr>
                <w:color w:val="105C84"/>
                <w:sz w:val="18"/>
              </w:rPr>
              <w:t>from</w:t>
            </w:r>
            <w:r>
              <w:rPr>
                <w:color w:val="105C84"/>
                <w:spacing w:val="-13"/>
                <w:sz w:val="18"/>
              </w:rPr>
              <w:t> </w:t>
            </w:r>
            <w:r>
              <w:rPr>
                <w:color w:val="105C84"/>
                <w:sz w:val="18"/>
              </w:rPr>
              <w:t>the NYS Quitline</w:t>
            </w:r>
          </w:p>
        </w:tc>
        <w:tc>
          <w:tcPr>
            <w:tcW w:w="4214" w:type="dxa"/>
            <w:vMerge w:val="restart"/>
            <w:tcBorders>
              <w:left w:val="nil"/>
            </w:tcBorders>
          </w:tcPr>
          <w:p>
            <w:pPr>
              <w:pStyle w:val="TableParagraph"/>
              <w:numPr>
                <w:ilvl w:val="0"/>
                <w:numId w:val="56"/>
              </w:numPr>
              <w:tabs>
                <w:tab w:pos="1274" w:val="left" w:leader="none"/>
              </w:tabs>
              <w:spacing w:line="232" w:lineRule="auto" w:before="100" w:after="0"/>
              <w:ind w:left="1088" w:right="316" w:firstLine="0"/>
              <w:jc w:val="left"/>
              <w:rPr>
                <w:sz w:val="18"/>
              </w:rPr>
            </w:pPr>
            <w:r>
              <w:rPr>
                <w:color w:val="105C84"/>
                <w:sz w:val="18"/>
              </w:rPr>
              <w:t># of times smokers are targeted with messages to encourage evidence-based quit attempts including seeking assistance from their healthcare providers and utilizing</w:t>
            </w:r>
            <w:r>
              <w:rPr>
                <w:color w:val="105C84"/>
                <w:spacing w:val="-5"/>
                <w:sz w:val="18"/>
              </w:rPr>
              <w:t> </w:t>
            </w:r>
            <w:r>
              <w:rPr>
                <w:color w:val="105C84"/>
                <w:sz w:val="18"/>
              </w:rPr>
              <w:t>the</w:t>
            </w:r>
            <w:r>
              <w:rPr>
                <w:color w:val="105C84"/>
                <w:spacing w:val="-5"/>
                <w:sz w:val="18"/>
              </w:rPr>
              <w:t> </w:t>
            </w:r>
            <w:r>
              <w:rPr>
                <w:color w:val="105C84"/>
                <w:sz w:val="18"/>
              </w:rPr>
              <w:t>NYS</w:t>
            </w:r>
            <w:r>
              <w:rPr>
                <w:color w:val="105C84"/>
                <w:spacing w:val="-5"/>
                <w:sz w:val="18"/>
              </w:rPr>
              <w:t> </w:t>
            </w:r>
            <w:r>
              <w:rPr>
                <w:color w:val="105C84"/>
                <w:sz w:val="18"/>
              </w:rPr>
              <w:t>Smokers’</w:t>
            </w:r>
            <w:r>
              <w:rPr>
                <w:color w:val="105C84"/>
                <w:spacing w:val="-5"/>
                <w:sz w:val="18"/>
              </w:rPr>
              <w:t> </w:t>
            </w:r>
            <w:r>
              <w:rPr>
                <w:color w:val="105C84"/>
                <w:sz w:val="18"/>
              </w:rPr>
              <w:t>Quitline (educational</w:t>
            </w:r>
            <w:r>
              <w:rPr>
                <w:color w:val="105C84"/>
                <w:spacing w:val="-13"/>
                <w:sz w:val="18"/>
              </w:rPr>
              <w:t> </w:t>
            </w:r>
            <w:r>
              <w:rPr>
                <w:color w:val="105C84"/>
                <w:sz w:val="18"/>
              </w:rPr>
              <w:t>events,</w:t>
            </w:r>
            <w:r>
              <w:rPr>
                <w:color w:val="105C84"/>
                <w:spacing w:val="-12"/>
                <w:sz w:val="18"/>
              </w:rPr>
              <w:t> </w:t>
            </w:r>
            <w:r>
              <w:rPr>
                <w:color w:val="105C84"/>
                <w:sz w:val="18"/>
              </w:rPr>
              <w:t>earned</w:t>
            </w:r>
            <w:r>
              <w:rPr>
                <w:color w:val="105C84"/>
                <w:spacing w:val="-13"/>
                <w:sz w:val="18"/>
              </w:rPr>
              <w:t> </w:t>
            </w:r>
            <w:r>
              <w:rPr>
                <w:color w:val="105C84"/>
                <w:sz w:val="18"/>
              </w:rPr>
              <w:t>media, LTE, etc.)</w:t>
            </w:r>
          </w:p>
          <w:p>
            <w:pPr>
              <w:pStyle w:val="TableParagraph"/>
              <w:numPr>
                <w:ilvl w:val="0"/>
                <w:numId w:val="56"/>
              </w:numPr>
              <w:tabs>
                <w:tab w:pos="1274" w:val="left" w:leader="none"/>
              </w:tabs>
              <w:spacing w:line="232" w:lineRule="auto" w:before="84" w:after="0"/>
              <w:ind w:left="1088" w:right="92" w:firstLine="0"/>
              <w:jc w:val="left"/>
              <w:rPr>
                <w:sz w:val="18"/>
              </w:rPr>
            </w:pPr>
            <w:r>
              <w:rPr>
                <w:color w:val="105C84"/>
                <w:sz w:val="18"/>
              </w:rPr>
              <w:t>Determine feasibility of referring/ partnering with U or R Quit Line via the</w:t>
            </w:r>
            <w:r>
              <w:rPr>
                <w:color w:val="105C84"/>
                <w:spacing w:val="-9"/>
                <w:sz w:val="18"/>
              </w:rPr>
              <w:t> </w:t>
            </w:r>
            <w:r>
              <w:rPr>
                <w:color w:val="105C84"/>
                <w:sz w:val="18"/>
              </w:rPr>
              <w:t>Ctr.</w:t>
            </w:r>
            <w:r>
              <w:rPr>
                <w:color w:val="105C84"/>
                <w:spacing w:val="-9"/>
                <w:sz w:val="18"/>
              </w:rPr>
              <w:t> </w:t>
            </w:r>
            <w:r>
              <w:rPr>
                <w:color w:val="105C84"/>
                <w:sz w:val="18"/>
              </w:rPr>
              <w:t>For</w:t>
            </w:r>
            <w:r>
              <w:rPr>
                <w:color w:val="105C84"/>
                <w:spacing w:val="-9"/>
                <w:sz w:val="18"/>
              </w:rPr>
              <w:t> </w:t>
            </w:r>
            <w:r>
              <w:rPr>
                <w:color w:val="105C84"/>
                <w:sz w:val="18"/>
              </w:rPr>
              <w:t>Com.</w:t>
            </w:r>
            <w:r>
              <w:rPr>
                <w:color w:val="105C84"/>
                <w:spacing w:val="-9"/>
                <w:sz w:val="18"/>
              </w:rPr>
              <w:t> </w:t>
            </w:r>
            <w:r>
              <w:rPr>
                <w:color w:val="105C84"/>
                <w:sz w:val="18"/>
              </w:rPr>
              <w:t>Health</w:t>
            </w:r>
            <w:r>
              <w:rPr>
                <w:color w:val="105C84"/>
                <w:spacing w:val="-9"/>
                <w:sz w:val="18"/>
              </w:rPr>
              <w:t> </w:t>
            </w:r>
            <w:r>
              <w:rPr>
                <w:color w:val="105C84"/>
                <w:sz w:val="18"/>
              </w:rPr>
              <w:t>&amp;</w:t>
            </w:r>
            <w:r>
              <w:rPr>
                <w:color w:val="105C84"/>
                <w:spacing w:val="-9"/>
                <w:sz w:val="18"/>
              </w:rPr>
              <w:t> </w:t>
            </w:r>
            <w:r>
              <w:rPr>
                <w:color w:val="105C84"/>
                <w:sz w:val="18"/>
              </w:rPr>
              <w:t>Prevention</w:t>
            </w:r>
          </w:p>
        </w:tc>
        <w:tc>
          <w:tcPr>
            <w:tcW w:w="1850" w:type="dxa"/>
            <w:tcBorders>
              <w:bottom w:val="nil"/>
            </w:tcBorders>
          </w:tcPr>
          <w:p>
            <w:pPr>
              <w:pStyle w:val="TableParagraph"/>
              <w:spacing w:before="95"/>
              <w:ind w:left="91"/>
              <w:rPr>
                <w:sz w:val="18"/>
              </w:rPr>
            </w:pPr>
            <w:r>
              <w:rPr>
                <w:color w:val="105C84"/>
                <w:spacing w:val="-2"/>
                <w:sz w:val="18"/>
              </w:rPr>
              <w:t>NYSDOH</w:t>
            </w:r>
          </w:p>
          <w:p>
            <w:pPr>
              <w:pStyle w:val="TableParagraph"/>
              <w:spacing w:line="336" w:lineRule="auto" w:before="83"/>
              <w:ind w:left="91" w:right="120"/>
              <w:rPr>
                <w:sz w:val="18"/>
              </w:rPr>
            </w:pPr>
            <w:r>
              <w:rPr>
                <w:color w:val="105C84"/>
                <w:sz w:val="18"/>
              </w:rPr>
              <w:t>OC</w:t>
            </w:r>
            <w:r>
              <w:rPr>
                <w:color w:val="105C84"/>
                <w:spacing w:val="-15"/>
                <w:sz w:val="18"/>
              </w:rPr>
              <w:t> </w:t>
            </w:r>
            <w:r>
              <w:rPr>
                <w:color w:val="105C84"/>
                <w:sz w:val="18"/>
              </w:rPr>
              <w:t>Public</w:t>
            </w:r>
            <w:r>
              <w:rPr>
                <w:color w:val="105C84"/>
                <w:spacing w:val="-12"/>
                <w:sz w:val="18"/>
              </w:rPr>
              <w:t> </w:t>
            </w:r>
            <w:r>
              <w:rPr>
                <w:color w:val="105C84"/>
                <w:sz w:val="18"/>
              </w:rPr>
              <w:t>Health </w:t>
            </w:r>
            <w:r>
              <w:rPr>
                <w:color w:val="105C84"/>
                <w:spacing w:val="-4"/>
                <w:sz w:val="18"/>
              </w:rPr>
              <w:t>Media</w:t>
            </w:r>
          </w:p>
          <w:p>
            <w:pPr>
              <w:pStyle w:val="TableParagraph"/>
              <w:spacing w:before="1"/>
              <w:ind w:left="91"/>
              <w:rPr>
                <w:sz w:val="18"/>
              </w:rPr>
            </w:pPr>
            <w:r>
              <w:rPr>
                <w:color w:val="105C84"/>
                <w:spacing w:val="-2"/>
                <w:sz w:val="18"/>
              </w:rPr>
              <w:t>TACFL</w:t>
            </w:r>
          </w:p>
        </w:tc>
        <w:tc>
          <w:tcPr>
            <w:tcW w:w="2692" w:type="dxa"/>
            <w:tcBorders>
              <w:bottom w:val="nil"/>
            </w:tcBorders>
          </w:tcPr>
          <w:p>
            <w:pPr>
              <w:pStyle w:val="TableParagraph"/>
              <w:spacing w:before="95"/>
              <w:ind w:left="92"/>
              <w:rPr>
                <w:sz w:val="18"/>
              </w:rPr>
            </w:pPr>
            <w:r>
              <w:rPr>
                <w:color w:val="105C84"/>
                <w:spacing w:val="-2"/>
                <w:sz w:val="18"/>
              </w:rPr>
              <w:t>NYSDOH:</w:t>
            </w:r>
            <w:r>
              <w:rPr>
                <w:color w:val="105C84"/>
                <w:spacing w:val="-6"/>
                <w:sz w:val="18"/>
              </w:rPr>
              <w:t> </w:t>
            </w:r>
            <w:r>
              <w:rPr>
                <w:color w:val="105C84"/>
                <w:spacing w:val="-2"/>
                <w:sz w:val="18"/>
              </w:rPr>
              <w:t>NYS</w:t>
            </w:r>
            <w:r>
              <w:rPr>
                <w:color w:val="105C84"/>
                <w:spacing w:val="-5"/>
                <w:sz w:val="18"/>
              </w:rPr>
              <w:t> </w:t>
            </w:r>
            <w:r>
              <w:rPr>
                <w:color w:val="105C84"/>
                <w:spacing w:val="-2"/>
                <w:sz w:val="18"/>
              </w:rPr>
              <w:t>Quit</w:t>
            </w:r>
            <w:r>
              <w:rPr>
                <w:color w:val="105C84"/>
                <w:spacing w:val="-5"/>
                <w:sz w:val="18"/>
              </w:rPr>
              <w:t> </w:t>
            </w:r>
            <w:r>
              <w:rPr>
                <w:color w:val="105C84"/>
                <w:spacing w:val="-4"/>
                <w:sz w:val="18"/>
              </w:rPr>
              <w:t>Line</w:t>
            </w:r>
          </w:p>
          <w:p>
            <w:pPr>
              <w:pStyle w:val="TableParagraph"/>
              <w:spacing w:line="232" w:lineRule="auto" w:before="88"/>
              <w:ind w:left="92" w:right="298"/>
              <w:rPr>
                <w:sz w:val="18"/>
              </w:rPr>
            </w:pPr>
            <w:r>
              <w:rPr>
                <w:color w:val="105C84"/>
                <w:sz w:val="18"/>
              </w:rPr>
              <w:t>OC</w:t>
            </w:r>
            <w:r>
              <w:rPr>
                <w:color w:val="105C84"/>
                <w:spacing w:val="-13"/>
                <w:sz w:val="18"/>
              </w:rPr>
              <w:t> </w:t>
            </w:r>
            <w:r>
              <w:rPr>
                <w:color w:val="105C84"/>
                <w:sz w:val="18"/>
              </w:rPr>
              <w:t>Public</w:t>
            </w:r>
            <w:r>
              <w:rPr>
                <w:color w:val="105C84"/>
                <w:spacing w:val="-12"/>
                <w:sz w:val="18"/>
              </w:rPr>
              <w:t> </w:t>
            </w:r>
            <w:r>
              <w:rPr>
                <w:color w:val="105C84"/>
                <w:sz w:val="18"/>
              </w:rPr>
              <w:t>Health:</w:t>
            </w:r>
            <w:r>
              <w:rPr>
                <w:color w:val="105C84"/>
                <w:spacing w:val="-13"/>
                <w:sz w:val="18"/>
              </w:rPr>
              <w:t> </w:t>
            </w:r>
            <w:r>
              <w:rPr>
                <w:color w:val="105C84"/>
                <w:sz w:val="18"/>
              </w:rPr>
              <w:t>Outreach, education, public health </w:t>
            </w:r>
            <w:r>
              <w:rPr>
                <w:color w:val="105C84"/>
                <w:spacing w:val="-2"/>
                <w:sz w:val="18"/>
              </w:rPr>
              <w:t>detailing</w:t>
            </w:r>
          </w:p>
          <w:p>
            <w:pPr>
              <w:pStyle w:val="TableParagraph"/>
              <w:spacing w:line="232" w:lineRule="auto" w:before="88"/>
              <w:ind w:left="92"/>
              <w:rPr>
                <w:sz w:val="18"/>
              </w:rPr>
            </w:pPr>
            <w:r>
              <w:rPr>
                <w:color w:val="105C84"/>
                <w:sz w:val="18"/>
              </w:rPr>
              <w:t>Media:</w:t>
            </w:r>
            <w:r>
              <w:rPr>
                <w:color w:val="105C84"/>
                <w:spacing w:val="-13"/>
                <w:sz w:val="18"/>
              </w:rPr>
              <w:t> </w:t>
            </w:r>
            <w:r>
              <w:rPr>
                <w:color w:val="105C84"/>
                <w:sz w:val="18"/>
              </w:rPr>
              <w:t>Respond</w:t>
            </w:r>
            <w:r>
              <w:rPr>
                <w:color w:val="105C84"/>
                <w:spacing w:val="-12"/>
                <w:sz w:val="18"/>
              </w:rPr>
              <w:t> </w:t>
            </w:r>
            <w:r>
              <w:rPr>
                <w:color w:val="105C84"/>
                <w:sz w:val="18"/>
              </w:rPr>
              <w:t>to</w:t>
            </w:r>
            <w:r>
              <w:rPr>
                <w:color w:val="105C84"/>
                <w:spacing w:val="-13"/>
                <w:sz w:val="18"/>
              </w:rPr>
              <w:t> </w:t>
            </w:r>
            <w:r>
              <w:rPr>
                <w:color w:val="105C84"/>
                <w:sz w:val="18"/>
              </w:rPr>
              <w:t>PR’s</w:t>
            </w:r>
            <w:r>
              <w:rPr>
                <w:color w:val="105C84"/>
                <w:spacing w:val="-12"/>
                <w:sz w:val="18"/>
              </w:rPr>
              <w:t> </w:t>
            </w:r>
            <w:r>
              <w:rPr>
                <w:color w:val="105C84"/>
                <w:sz w:val="18"/>
              </w:rPr>
              <w:t>,</w:t>
            </w:r>
            <w:r>
              <w:rPr>
                <w:color w:val="105C84"/>
                <w:spacing w:val="-13"/>
                <w:sz w:val="18"/>
              </w:rPr>
              <w:t> </w:t>
            </w:r>
            <w:r>
              <w:rPr>
                <w:color w:val="105C84"/>
                <w:sz w:val="18"/>
              </w:rPr>
              <w:t>print LTE’s and guest essays, air </w:t>
            </w:r>
            <w:r>
              <w:rPr>
                <w:color w:val="105C84"/>
                <w:spacing w:val="-2"/>
                <w:sz w:val="18"/>
              </w:rPr>
              <w:t>PSA’s.</w:t>
            </w:r>
          </w:p>
        </w:tc>
        <w:tc>
          <w:tcPr>
            <w:tcW w:w="2313" w:type="dxa"/>
            <w:tcBorders>
              <w:bottom w:val="nil"/>
            </w:tcBorders>
          </w:tcPr>
          <w:p>
            <w:pPr>
              <w:pStyle w:val="TableParagraph"/>
              <w:spacing w:before="95"/>
              <w:ind w:left="92"/>
              <w:rPr>
                <w:sz w:val="18"/>
              </w:rPr>
            </w:pPr>
            <w:r>
              <w:rPr>
                <w:color w:val="105C84"/>
                <w:spacing w:val="-4"/>
                <w:sz w:val="18"/>
              </w:rPr>
              <w:t>OCPH:</w:t>
            </w:r>
            <w:r>
              <w:rPr>
                <w:color w:val="105C84"/>
                <w:spacing w:val="-7"/>
                <w:sz w:val="18"/>
              </w:rPr>
              <w:t> </w:t>
            </w:r>
            <w:r>
              <w:rPr>
                <w:color w:val="105C84"/>
                <w:spacing w:val="-4"/>
                <w:sz w:val="18"/>
              </w:rPr>
              <w:t>0.05</w:t>
            </w:r>
            <w:r>
              <w:rPr>
                <w:color w:val="105C84"/>
                <w:spacing w:val="-7"/>
                <w:sz w:val="18"/>
              </w:rPr>
              <w:t> </w:t>
            </w:r>
            <w:r>
              <w:rPr>
                <w:color w:val="105C84"/>
                <w:spacing w:val="-5"/>
                <w:sz w:val="18"/>
              </w:rPr>
              <w:t>FTE</w:t>
            </w:r>
          </w:p>
          <w:p>
            <w:pPr>
              <w:pStyle w:val="TableParagraph"/>
              <w:spacing w:line="232" w:lineRule="auto" w:before="88"/>
              <w:ind w:left="92"/>
              <w:rPr>
                <w:sz w:val="18"/>
              </w:rPr>
            </w:pPr>
            <w:r>
              <w:rPr>
                <w:color w:val="105C84"/>
                <w:spacing w:val="-2"/>
                <w:sz w:val="18"/>
              </w:rPr>
              <w:t>TACFL:</w:t>
            </w:r>
            <w:r>
              <w:rPr>
                <w:color w:val="105C84"/>
                <w:spacing w:val="-13"/>
                <w:sz w:val="18"/>
              </w:rPr>
              <w:t> </w:t>
            </w:r>
            <w:r>
              <w:rPr>
                <w:color w:val="105C84"/>
                <w:spacing w:val="-2"/>
                <w:sz w:val="18"/>
              </w:rPr>
              <w:t>See</w:t>
            </w:r>
            <w:r>
              <w:rPr>
                <w:color w:val="105C84"/>
                <w:spacing w:val="-10"/>
                <w:sz w:val="18"/>
              </w:rPr>
              <w:t> </w:t>
            </w:r>
            <w:r>
              <w:rPr>
                <w:color w:val="105C84"/>
                <w:spacing w:val="-2"/>
                <w:sz w:val="18"/>
              </w:rPr>
              <w:t>Intervention 3.1.2</w:t>
            </w:r>
          </w:p>
        </w:tc>
      </w:tr>
      <w:tr>
        <w:trPr>
          <w:trHeight w:val="1412" w:hRule="atLeast"/>
        </w:trPr>
        <w:tc>
          <w:tcPr>
            <w:tcW w:w="1353" w:type="dxa"/>
            <w:tcBorders>
              <w:top w:val="nil"/>
              <w:bottom w:val="nil"/>
            </w:tcBorders>
            <w:shd w:val="clear" w:color="auto" w:fill="E6E7E8"/>
          </w:tcPr>
          <w:p>
            <w:pPr>
              <w:pStyle w:val="TableParagraph"/>
              <w:rPr>
                <w:rFonts w:ascii="Times New Roman"/>
                <w:sz w:val="18"/>
              </w:rPr>
            </w:pPr>
          </w:p>
        </w:tc>
        <w:tc>
          <w:tcPr>
            <w:tcW w:w="1289" w:type="dxa"/>
            <w:tcBorders>
              <w:top w:val="nil"/>
              <w:bottom w:val="nil"/>
            </w:tcBorders>
          </w:tcPr>
          <w:p>
            <w:pPr>
              <w:pStyle w:val="TableParagraph"/>
              <w:rPr>
                <w:rFonts w:ascii="Times New Roman"/>
                <w:sz w:val="18"/>
              </w:rPr>
            </w:pPr>
          </w:p>
        </w:tc>
        <w:tc>
          <w:tcPr>
            <w:tcW w:w="1591" w:type="dxa"/>
            <w:tcBorders>
              <w:top w:val="nil"/>
              <w:bottom w:val="nil"/>
            </w:tcBorders>
          </w:tcPr>
          <w:p>
            <w:pPr>
              <w:pStyle w:val="TableParagraph"/>
              <w:rPr>
                <w:rFonts w:ascii="Times New Roman"/>
                <w:sz w:val="18"/>
              </w:rPr>
            </w:pPr>
          </w:p>
        </w:tc>
        <w:tc>
          <w:tcPr>
            <w:tcW w:w="2102" w:type="dxa"/>
            <w:tcBorders>
              <w:top w:val="nil"/>
            </w:tcBorders>
          </w:tcPr>
          <w:p>
            <w:pPr>
              <w:pStyle w:val="TableParagraph"/>
              <w:rPr>
                <w:rFonts w:ascii="Times New Roman"/>
                <w:sz w:val="18"/>
              </w:rPr>
            </w:pPr>
          </w:p>
        </w:tc>
        <w:tc>
          <w:tcPr>
            <w:tcW w:w="1238" w:type="dxa"/>
            <w:vMerge/>
            <w:tcBorders>
              <w:top w:val="nil"/>
            </w:tcBorders>
          </w:tcPr>
          <w:p>
            <w:pPr>
              <w:rPr>
                <w:sz w:val="2"/>
                <w:szCs w:val="2"/>
              </w:rPr>
            </w:pPr>
          </w:p>
        </w:tc>
        <w:tc>
          <w:tcPr>
            <w:tcW w:w="3583" w:type="dxa"/>
            <w:vMerge/>
            <w:tcBorders>
              <w:top w:val="nil"/>
              <w:right w:val="nil"/>
            </w:tcBorders>
          </w:tcPr>
          <w:p>
            <w:pPr>
              <w:rPr>
                <w:sz w:val="2"/>
                <w:szCs w:val="2"/>
              </w:rPr>
            </w:pPr>
          </w:p>
        </w:tc>
        <w:tc>
          <w:tcPr>
            <w:tcW w:w="4214" w:type="dxa"/>
            <w:vMerge/>
            <w:tcBorders>
              <w:top w:val="nil"/>
              <w:left w:val="nil"/>
            </w:tcBorders>
          </w:tcPr>
          <w:p>
            <w:pPr>
              <w:rPr>
                <w:sz w:val="2"/>
                <w:szCs w:val="2"/>
              </w:rPr>
            </w:pPr>
          </w:p>
        </w:tc>
        <w:tc>
          <w:tcPr>
            <w:tcW w:w="1850" w:type="dxa"/>
            <w:tcBorders>
              <w:top w:val="nil"/>
            </w:tcBorders>
          </w:tcPr>
          <w:p>
            <w:pPr>
              <w:pStyle w:val="TableParagraph"/>
              <w:rPr>
                <w:rFonts w:ascii="Times New Roman"/>
                <w:sz w:val="18"/>
              </w:rPr>
            </w:pPr>
          </w:p>
        </w:tc>
        <w:tc>
          <w:tcPr>
            <w:tcW w:w="2692" w:type="dxa"/>
            <w:tcBorders>
              <w:top w:val="nil"/>
            </w:tcBorders>
          </w:tcPr>
          <w:p>
            <w:pPr>
              <w:pStyle w:val="TableParagraph"/>
              <w:spacing w:line="232" w:lineRule="auto" w:before="33"/>
              <w:ind w:left="92"/>
              <w:rPr>
                <w:sz w:val="18"/>
              </w:rPr>
            </w:pPr>
            <w:r>
              <w:rPr>
                <w:color w:val="105C84"/>
                <w:spacing w:val="-2"/>
                <w:sz w:val="18"/>
              </w:rPr>
              <w:t>TACFL:</w:t>
            </w:r>
            <w:r>
              <w:rPr>
                <w:color w:val="105C84"/>
                <w:spacing w:val="-9"/>
                <w:sz w:val="18"/>
              </w:rPr>
              <w:t> </w:t>
            </w:r>
            <w:r>
              <w:rPr>
                <w:color w:val="105C84"/>
                <w:spacing w:val="-2"/>
                <w:sz w:val="18"/>
              </w:rPr>
              <w:t>Outreach,</w:t>
            </w:r>
            <w:r>
              <w:rPr>
                <w:color w:val="105C84"/>
                <w:spacing w:val="-9"/>
                <w:sz w:val="18"/>
              </w:rPr>
              <w:t> </w:t>
            </w:r>
            <w:r>
              <w:rPr>
                <w:color w:val="105C84"/>
                <w:spacing w:val="-2"/>
                <w:sz w:val="18"/>
              </w:rPr>
              <w:t>education, </w:t>
            </w:r>
            <w:r>
              <w:rPr>
                <w:color w:val="105C84"/>
                <w:sz w:val="18"/>
              </w:rPr>
              <w:t>earned media</w:t>
            </w:r>
          </w:p>
        </w:tc>
        <w:tc>
          <w:tcPr>
            <w:tcW w:w="2313" w:type="dxa"/>
            <w:tcBorders>
              <w:top w:val="nil"/>
            </w:tcBorders>
          </w:tcPr>
          <w:p>
            <w:pPr>
              <w:pStyle w:val="TableParagraph"/>
              <w:rPr>
                <w:rFonts w:ascii="Times New Roman"/>
                <w:sz w:val="18"/>
              </w:rPr>
            </w:pPr>
          </w:p>
        </w:tc>
      </w:tr>
      <w:tr>
        <w:trPr>
          <w:trHeight w:val="1726" w:hRule="atLeast"/>
        </w:trPr>
        <w:tc>
          <w:tcPr>
            <w:tcW w:w="1353" w:type="dxa"/>
            <w:tcBorders>
              <w:top w:val="nil"/>
              <w:bottom w:val="nil"/>
            </w:tcBorders>
            <w:shd w:val="clear" w:color="auto" w:fill="E6E7E8"/>
          </w:tcPr>
          <w:p>
            <w:pPr>
              <w:pStyle w:val="TableParagraph"/>
              <w:rPr>
                <w:rFonts w:ascii="Times New Roman"/>
                <w:sz w:val="18"/>
              </w:rPr>
            </w:pPr>
          </w:p>
        </w:tc>
        <w:tc>
          <w:tcPr>
            <w:tcW w:w="1289" w:type="dxa"/>
            <w:tcBorders>
              <w:top w:val="nil"/>
              <w:bottom w:val="nil"/>
            </w:tcBorders>
          </w:tcPr>
          <w:p>
            <w:pPr>
              <w:pStyle w:val="TableParagraph"/>
              <w:rPr>
                <w:rFonts w:ascii="Times New Roman"/>
                <w:sz w:val="18"/>
              </w:rPr>
            </w:pPr>
          </w:p>
        </w:tc>
        <w:tc>
          <w:tcPr>
            <w:tcW w:w="1591" w:type="dxa"/>
            <w:tcBorders>
              <w:top w:val="nil"/>
              <w:bottom w:val="nil"/>
            </w:tcBorders>
          </w:tcPr>
          <w:p>
            <w:pPr>
              <w:pStyle w:val="TableParagraph"/>
              <w:rPr>
                <w:rFonts w:ascii="Times New Roman"/>
                <w:sz w:val="18"/>
              </w:rPr>
            </w:pPr>
          </w:p>
        </w:tc>
        <w:tc>
          <w:tcPr>
            <w:tcW w:w="2102" w:type="dxa"/>
            <w:tcBorders>
              <w:bottom w:val="nil"/>
            </w:tcBorders>
          </w:tcPr>
          <w:p>
            <w:pPr>
              <w:pStyle w:val="TableParagraph"/>
              <w:spacing w:line="232" w:lineRule="auto" w:before="100"/>
              <w:ind w:left="90"/>
              <w:rPr>
                <w:sz w:val="18"/>
              </w:rPr>
            </w:pPr>
            <w:r>
              <w:rPr>
                <w:color w:val="105C84"/>
                <w:sz w:val="18"/>
              </w:rPr>
              <w:t>3.2.2 Decrease the prevalence of cigarette smoking</w:t>
            </w:r>
            <w:r>
              <w:rPr>
                <w:color w:val="105C84"/>
                <w:spacing w:val="-13"/>
                <w:sz w:val="18"/>
              </w:rPr>
              <w:t> </w:t>
            </w:r>
            <w:r>
              <w:rPr>
                <w:color w:val="105C84"/>
                <w:sz w:val="18"/>
              </w:rPr>
              <w:t>by</w:t>
            </w:r>
            <w:r>
              <w:rPr>
                <w:color w:val="105C84"/>
                <w:spacing w:val="-12"/>
                <w:sz w:val="18"/>
              </w:rPr>
              <w:t> </w:t>
            </w:r>
            <w:r>
              <w:rPr>
                <w:color w:val="105C84"/>
                <w:sz w:val="18"/>
              </w:rPr>
              <w:t>adults</w:t>
            </w:r>
            <w:r>
              <w:rPr>
                <w:color w:val="105C84"/>
                <w:spacing w:val="-13"/>
                <w:sz w:val="18"/>
              </w:rPr>
              <w:t> </w:t>
            </w:r>
            <w:r>
              <w:rPr>
                <w:color w:val="105C84"/>
                <w:sz w:val="18"/>
              </w:rPr>
              <w:t>ages</w:t>
            </w:r>
            <w:r>
              <w:rPr>
                <w:color w:val="105C84"/>
                <w:sz w:val="18"/>
              </w:rPr>
              <w:t> 18 years and older (among all adults)</w:t>
            </w:r>
          </w:p>
          <w:p>
            <w:pPr>
              <w:pStyle w:val="TableParagraph"/>
              <w:spacing w:before="81"/>
              <w:ind w:left="90"/>
              <w:rPr>
                <w:sz w:val="18"/>
              </w:rPr>
            </w:pPr>
            <w:r>
              <w:rPr>
                <w:color w:val="105C84"/>
                <w:spacing w:val="-4"/>
                <w:sz w:val="18"/>
              </w:rPr>
              <w:t>Target:</w:t>
            </w:r>
            <w:r>
              <w:rPr>
                <w:color w:val="105C84"/>
                <w:spacing w:val="-1"/>
                <w:sz w:val="18"/>
              </w:rPr>
              <w:t> </w:t>
            </w:r>
            <w:r>
              <w:rPr>
                <w:color w:val="105C84"/>
                <w:spacing w:val="-2"/>
                <w:sz w:val="18"/>
              </w:rPr>
              <w:t>11.0%</w:t>
            </w:r>
          </w:p>
          <w:p>
            <w:pPr>
              <w:pStyle w:val="TableParagraph"/>
              <w:spacing w:before="83"/>
              <w:ind w:left="90"/>
              <w:rPr>
                <w:sz w:val="18"/>
              </w:rPr>
            </w:pPr>
            <w:r>
              <w:rPr>
                <w:color w:val="105C84"/>
                <w:spacing w:val="-6"/>
                <w:sz w:val="18"/>
              </w:rPr>
              <w:t>Baseline:</w:t>
            </w:r>
            <w:r>
              <w:rPr>
                <w:color w:val="105C84"/>
                <w:spacing w:val="2"/>
                <w:sz w:val="18"/>
              </w:rPr>
              <w:t> </w:t>
            </w:r>
            <w:r>
              <w:rPr>
                <w:color w:val="105C84"/>
                <w:spacing w:val="-6"/>
                <w:sz w:val="18"/>
              </w:rPr>
              <w:t>14.2%</w:t>
            </w:r>
            <w:r>
              <w:rPr>
                <w:color w:val="105C84"/>
                <w:spacing w:val="3"/>
                <w:sz w:val="18"/>
              </w:rPr>
              <w:t> </w:t>
            </w:r>
            <w:r>
              <w:rPr>
                <w:color w:val="105C84"/>
                <w:spacing w:val="-6"/>
                <w:sz w:val="18"/>
              </w:rPr>
              <w:t>(2016)</w:t>
            </w:r>
          </w:p>
        </w:tc>
        <w:tc>
          <w:tcPr>
            <w:tcW w:w="1238" w:type="dxa"/>
            <w:vMerge/>
            <w:tcBorders>
              <w:top w:val="nil"/>
            </w:tcBorders>
          </w:tcPr>
          <w:p>
            <w:pPr>
              <w:rPr>
                <w:sz w:val="2"/>
                <w:szCs w:val="2"/>
              </w:rPr>
            </w:pPr>
          </w:p>
        </w:tc>
        <w:tc>
          <w:tcPr>
            <w:tcW w:w="3583" w:type="dxa"/>
            <w:vMerge w:val="restart"/>
            <w:tcBorders>
              <w:right w:val="nil"/>
            </w:tcBorders>
          </w:tcPr>
          <w:p>
            <w:pPr>
              <w:pStyle w:val="TableParagraph"/>
              <w:spacing w:line="232" w:lineRule="auto" w:before="100"/>
              <w:ind w:left="91" w:right="1085"/>
              <w:rPr>
                <w:sz w:val="18"/>
              </w:rPr>
            </w:pPr>
            <w:r>
              <w:rPr>
                <w:color w:val="105C84"/>
                <w:sz w:val="18"/>
              </w:rPr>
              <w:t>3.2.3 Use health communications targeting health care providers to encourage their involvement</w:t>
            </w:r>
            <w:r>
              <w:rPr>
                <w:color w:val="105C84"/>
                <w:spacing w:val="40"/>
                <w:sz w:val="18"/>
              </w:rPr>
              <w:t> </w:t>
            </w:r>
            <w:r>
              <w:rPr>
                <w:color w:val="105C84"/>
                <w:sz w:val="18"/>
              </w:rPr>
              <w:t>in their patients’ quit </w:t>
            </w:r>
            <w:r>
              <w:rPr>
                <w:color w:val="105C84"/>
                <w:sz w:val="18"/>
              </w:rPr>
              <w:t>attempts</w:t>
            </w:r>
            <w:r>
              <w:rPr>
                <w:color w:val="105C84"/>
                <w:sz w:val="18"/>
              </w:rPr>
              <w:t> encouraging use of evidence-based quitting, increasing awareness of available cessation benefits (especially Medicaid), and removing barriers to treatment</w:t>
            </w:r>
          </w:p>
        </w:tc>
        <w:tc>
          <w:tcPr>
            <w:tcW w:w="4214" w:type="dxa"/>
            <w:vMerge w:val="restart"/>
            <w:tcBorders>
              <w:left w:val="nil"/>
            </w:tcBorders>
          </w:tcPr>
          <w:p>
            <w:pPr>
              <w:pStyle w:val="TableParagraph"/>
              <w:numPr>
                <w:ilvl w:val="0"/>
                <w:numId w:val="57"/>
              </w:numPr>
              <w:tabs>
                <w:tab w:pos="1274" w:val="left" w:leader="none"/>
              </w:tabs>
              <w:spacing w:line="232" w:lineRule="auto" w:before="100" w:after="0"/>
              <w:ind w:left="1088" w:right="296" w:firstLine="0"/>
              <w:jc w:val="both"/>
              <w:rPr>
                <w:sz w:val="18"/>
              </w:rPr>
            </w:pPr>
            <w:r>
              <w:rPr>
                <w:color w:val="105C84"/>
                <w:sz w:val="18"/>
              </w:rPr>
              <w:t>#</w:t>
            </w:r>
            <w:r>
              <w:rPr>
                <w:color w:val="105C84"/>
                <w:spacing w:val="-5"/>
                <w:sz w:val="18"/>
              </w:rPr>
              <w:t> </w:t>
            </w:r>
            <w:r>
              <w:rPr>
                <w:color w:val="105C84"/>
                <w:sz w:val="18"/>
              </w:rPr>
              <w:t>agencies</w:t>
            </w:r>
            <w:r>
              <w:rPr>
                <w:color w:val="105C84"/>
                <w:spacing w:val="-5"/>
                <w:sz w:val="18"/>
              </w:rPr>
              <w:t> </w:t>
            </w:r>
            <w:r>
              <w:rPr>
                <w:color w:val="105C84"/>
                <w:sz w:val="18"/>
              </w:rPr>
              <w:t>enlisted</w:t>
            </w:r>
            <w:r>
              <w:rPr>
                <w:color w:val="105C84"/>
                <w:spacing w:val="-5"/>
                <w:sz w:val="18"/>
              </w:rPr>
              <w:t> </w:t>
            </w:r>
            <w:r>
              <w:rPr>
                <w:color w:val="105C84"/>
                <w:sz w:val="18"/>
              </w:rPr>
              <w:t>to</w:t>
            </w:r>
            <w:r>
              <w:rPr>
                <w:color w:val="105C84"/>
                <w:spacing w:val="-5"/>
                <w:sz w:val="18"/>
              </w:rPr>
              <w:t> </w:t>
            </w:r>
            <w:r>
              <w:rPr>
                <w:color w:val="105C84"/>
                <w:sz w:val="18"/>
              </w:rPr>
              <w:t>assist</w:t>
            </w:r>
            <w:r>
              <w:rPr>
                <w:color w:val="105C84"/>
                <w:spacing w:val="-5"/>
                <w:sz w:val="18"/>
              </w:rPr>
              <w:t> </w:t>
            </w:r>
            <w:r>
              <w:rPr>
                <w:color w:val="105C84"/>
                <w:sz w:val="18"/>
              </w:rPr>
              <w:t>with outreach</w:t>
            </w:r>
            <w:r>
              <w:rPr>
                <w:color w:val="105C84"/>
                <w:spacing w:val="-2"/>
                <w:sz w:val="18"/>
              </w:rPr>
              <w:t> </w:t>
            </w:r>
            <w:r>
              <w:rPr>
                <w:color w:val="105C84"/>
                <w:sz w:val="18"/>
              </w:rPr>
              <w:t>to</w:t>
            </w:r>
            <w:r>
              <w:rPr>
                <w:color w:val="105C84"/>
                <w:spacing w:val="-2"/>
                <w:sz w:val="18"/>
              </w:rPr>
              <w:t> </w:t>
            </w:r>
            <w:r>
              <w:rPr>
                <w:color w:val="105C84"/>
                <w:sz w:val="18"/>
              </w:rPr>
              <w:t>the</w:t>
            </w:r>
            <w:r>
              <w:rPr>
                <w:color w:val="105C84"/>
                <w:spacing w:val="-2"/>
                <w:sz w:val="18"/>
              </w:rPr>
              <w:t> </w:t>
            </w:r>
            <w:r>
              <w:rPr>
                <w:color w:val="105C84"/>
                <w:sz w:val="18"/>
              </w:rPr>
              <w:t>healthcare</w:t>
            </w:r>
            <w:r>
              <w:rPr>
                <w:color w:val="105C84"/>
                <w:spacing w:val="-2"/>
                <w:sz w:val="18"/>
              </w:rPr>
              <w:t> </w:t>
            </w:r>
            <w:r>
              <w:rPr>
                <w:color w:val="105C84"/>
                <w:sz w:val="18"/>
              </w:rPr>
              <w:t>provider community</w:t>
            </w:r>
            <w:r>
              <w:rPr>
                <w:color w:val="105C84"/>
                <w:spacing w:val="-13"/>
                <w:sz w:val="18"/>
              </w:rPr>
              <w:t> </w:t>
            </w:r>
            <w:r>
              <w:rPr>
                <w:color w:val="105C84"/>
                <w:sz w:val="18"/>
              </w:rPr>
              <w:t>(CTFFL,</w:t>
            </w:r>
            <w:r>
              <w:rPr>
                <w:color w:val="105C84"/>
                <w:spacing w:val="-12"/>
                <w:sz w:val="18"/>
              </w:rPr>
              <w:t> </w:t>
            </w:r>
            <w:r>
              <w:rPr>
                <w:color w:val="105C84"/>
                <w:sz w:val="18"/>
              </w:rPr>
              <w:t>GRATCC,</w:t>
            </w:r>
            <w:r>
              <w:rPr>
                <w:color w:val="105C84"/>
                <w:spacing w:val="-13"/>
                <w:sz w:val="18"/>
              </w:rPr>
              <w:t> </w:t>
            </w:r>
            <w:r>
              <w:rPr>
                <w:color w:val="105C84"/>
                <w:sz w:val="18"/>
              </w:rPr>
              <w:t>etc.)</w:t>
            </w:r>
          </w:p>
          <w:p>
            <w:pPr>
              <w:pStyle w:val="TableParagraph"/>
              <w:numPr>
                <w:ilvl w:val="0"/>
                <w:numId w:val="57"/>
              </w:numPr>
              <w:tabs>
                <w:tab w:pos="1274" w:val="left" w:leader="none"/>
              </w:tabs>
              <w:spacing w:line="232" w:lineRule="auto" w:before="87" w:after="0"/>
              <w:ind w:left="1088" w:right="149" w:firstLine="0"/>
              <w:jc w:val="left"/>
              <w:rPr>
                <w:sz w:val="18"/>
              </w:rPr>
            </w:pPr>
            <w:r>
              <w:rPr>
                <w:color w:val="105C84"/>
                <w:sz w:val="18"/>
              </w:rPr>
              <w:t>#</w:t>
            </w:r>
            <w:r>
              <w:rPr>
                <w:color w:val="105C84"/>
                <w:spacing w:val="-12"/>
                <w:sz w:val="18"/>
              </w:rPr>
              <w:t> </w:t>
            </w:r>
            <w:r>
              <w:rPr>
                <w:color w:val="105C84"/>
                <w:sz w:val="18"/>
              </w:rPr>
              <w:t>healthcare</w:t>
            </w:r>
            <w:r>
              <w:rPr>
                <w:color w:val="105C84"/>
                <w:spacing w:val="-13"/>
                <w:sz w:val="18"/>
              </w:rPr>
              <w:t> </w:t>
            </w:r>
            <w:r>
              <w:rPr>
                <w:color w:val="105C84"/>
                <w:sz w:val="18"/>
              </w:rPr>
              <w:t>providers</w:t>
            </w:r>
            <w:r>
              <w:rPr>
                <w:color w:val="105C84"/>
                <w:spacing w:val="-12"/>
                <w:sz w:val="18"/>
              </w:rPr>
              <w:t> </w:t>
            </w:r>
            <w:r>
              <w:rPr>
                <w:color w:val="105C84"/>
                <w:sz w:val="18"/>
              </w:rPr>
              <w:t>approached regarding provision of evidence-based assistance, including NYS Smokers’ Quitline referrals</w:t>
            </w:r>
          </w:p>
        </w:tc>
        <w:tc>
          <w:tcPr>
            <w:tcW w:w="1850" w:type="dxa"/>
            <w:tcBorders>
              <w:bottom w:val="nil"/>
            </w:tcBorders>
          </w:tcPr>
          <w:p>
            <w:pPr>
              <w:pStyle w:val="TableParagraph"/>
              <w:spacing w:line="336" w:lineRule="auto" w:before="94"/>
              <w:ind w:left="91" w:right="1209"/>
              <w:rPr>
                <w:sz w:val="18"/>
              </w:rPr>
            </w:pPr>
            <w:r>
              <w:rPr>
                <w:color w:val="105C84"/>
                <w:spacing w:val="-4"/>
                <w:w w:val="90"/>
                <w:sz w:val="18"/>
              </w:rPr>
              <w:t>URTH </w:t>
            </w:r>
            <w:r>
              <w:rPr>
                <w:color w:val="105C84"/>
                <w:spacing w:val="-4"/>
                <w:sz w:val="18"/>
              </w:rPr>
              <w:t>FLH</w:t>
            </w:r>
          </w:p>
          <w:p>
            <w:pPr>
              <w:pStyle w:val="TableParagraph"/>
              <w:spacing w:line="232" w:lineRule="auto" w:before="206"/>
              <w:ind w:left="91" w:right="86"/>
              <w:rPr>
                <w:sz w:val="18"/>
              </w:rPr>
            </w:pPr>
            <w:r>
              <w:rPr>
                <w:color w:val="105C84"/>
                <w:sz w:val="18"/>
              </w:rPr>
              <w:t>Rochester Regional </w:t>
            </w:r>
            <w:r>
              <w:rPr>
                <w:color w:val="105C84"/>
                <w:spacing w:val="-2"/>
                <w:sz w:val="18"/>
              </w:rPr>
              <w:t>Health/Clifton </w:t>
            </w:r>
            <w:r>
              <w:rPr>
                <w:color w:val="105C84"/>
                <w:sz w:val="18"/>
              </w:rPr>
              <w:t>Springs</w:t>
            </w:r>
            <w:r>
              <w:rPr>
                <w:color w:val="105C84"/>
                <w:spacing w:val="-15"/>
                <w:sz w:val="18"/>
              </w:rPr>
              <w:t> </w:t>
            </w:r>
            <w:r>
              <w:rPr>
                <w:color w:val="105C84"/>
                <w:sz w:val="18"/>
              </w:rPr>
              <w:t>Hospital</w:t>
            </w:r>
            <w:r>
              <w:rPr>
                <w:color w:val="105C84"/>
                <w:spacing w:val="-12"/>
                <w:sz w:val="18"/>
              </w:rPr>
              <w:t> </w:t>
            </w:r>
            <w:r>
              <w:rPr>
                <w:color w:val="105C84"/>
                <w:sz w:val="18"/>
              </w:rPr>
              <w:t>and Clinic (RRH/CSHC)</w:t>
            </w:r>
          </w:p>
        </w:tc>
        <w:tc>
          <w:tcPr>
            <w:tcW w:w="2692" w:type="dxa"/>
            <w:vMerge w:val="restart"/>
          </w:tcPr>
          <w:p>
            <w:pPr>
              <w:pStyle w:val="TableParagraph"/>
              <w:spacing w:line="232" w:lineRule="auto" w:before="99"/>
              <w:ind w:left="92" w:right="86"/>
              <w:rPr>
                <w:sz w:val="18"/>
              </w:rPr>
            </w:pPr>
            <w:r>
              <w:rPr>
                <w:color w:val="105C84"/>
                <w:sz w:val="18"/>
              </w:rPr>
              <w:t>URTH: Encourage HCP involvement with quit </w:t>
            </w:r>
            <w:r>
              <w:rPr>
                <w:color w:val="105C84"/>
                <w:sz w:val="18"/>
              </w:rPr>
              <w:t>attempts at affiliated practices. Provide smoking cessation classes.</w:t>
            </w:r>
          </w:p>
          <w:p>
            <w:pPr>
              <w:pStyle w:val="TableParagraph"/>
              <w:spacing w:line="232" w:lineRule="auto" w:before="87"/>
              <w:ind w:left="92" w:right="86"/>
              <w:rPr>
                <w:sz w:val="18"/>
              </w:rPr>
            </w:pPr>
            <w:r>
              <w:rPr>
                <w:color w:val="105C84"/>
                <w:sz w:val="18"/>
              </w:rPr>
              <w:t>FLH: Encourage HCP involvement with quit </w:t>
            </w:r>
            <w:r>
              <w:rPr>
                <w:color w:val="105C84"/>
                <w:sz w:val="18"/>
              </w:rPr>
              <w:t>attempts at affiliated practices.</w:t>
            </w:r>
          </w:p>
          <w:p>
            <w:pPr>
              <w:pStyle w:val="TableParagraph"/>
              <w:spacing w:line="232" w:lineRule="auto" w:before="87"/>
              <w:ind w:left="92" w:right="86"/>
              <w:rPr>
                <w:sz w:val="18"/>
              </w:rPr>
            </w:pPr>
            <w:r>
              <w:rPr>
                <w:color w:val="105C84"/>
                <w:sz w:val="18"/>
              </w:rPr>
              <w:t>RRH/CSHC: Encourage HCP involvement with quit </w:t>
            </w:r>
            <w:r>
              <w:rPr>
                <w:color w:val="105C84"/>
                <w:sz w:val="18"/>
              </w:rPr>
              <w:t>attempts at affiliated practices</w:t>
            </w:r>
          </w:p>
          <w:p>
            <w:pPr>
              <w:pStyle w:val="TableParagraph"/>
              <w:spacing w:before="83"/>
              <w:ind w:left="92"/>
              <w:rPr>
                <w:sz w:val="18"/>
              </w:rPr>
            </w:pPr>
            <w:r>
              <w:rPr>
                <w:color w:val="105C84"/>
                <w:spacing w:val="-2"/>
                <w:sz w:val="18"/>
              </w:rPr>
              <w:t>NYSDOH:</w:t>
            </w:r>
            <w:r>
              <w:rPr>
                <w:color w:val="105C84"/>
                <w:spacing w:val="-6"/>
                <w:sz w:val="18"/>
              </w:rPr>
              <w:t> </w:t>
            </w:r>
            <w:r>
              <w:rPr>
                <w:color w:val="105C84"/>
                <w:spacing w:val="-2"/>
                <w:sz w:val="18"/>
              </w:rPr>
              <w:t>NYS</w:t>
            </w:r>
            <w:r>
              <w:rPr>
                <w:color w:val="105C84"/>
                <w:spacing w:val="-5"/>
                <w:sz w:val="18"/>
              </w:rPr>
              <w:t> </w:t>
            </w:r>
            <w:r>
              <w:rPr>
                <w:color w:val="105C84"/>
                <w:spacing w:val="-2"/>
                <w:sz w:val="18"/>
              </w:rPr>
              <w:t>Quit</w:t>
            </w:r>
            <w:r>
              <w:rPr>
                <w:color w:val="105C84"/>
                <w:spacing w:val="-5"/>
                <w:sz w:val="18"/>
              </w:rPr>
              <w:t> </w:t>
            </w:r>
            <w:r>
              <w:rPr>
                <w:color w:val="105C84"/>
                <w:spacing w:val="-4"/>
                <w:sz w:val="18"/>
              </w:rPr>
              <w:t>Line</w:t>
            </w:r>
          </w:p>
          <w:p>
            <w:pPr>
              <w:pStyle w:val="TableParagraph"/>
              <w:spacing w:line="232" w:lineRule="auto" w:before="88"/>
              <w:ind w:left="92"/>
              <w:rPr>
                <w:sz w:val="18"/>
              </w:rPr>
            </w:pPr>
            <w:r>
              <w:rPr>
                <w:color w:val="105C84"/>
                <w:spacing w:val="-4"/>
                <w:sz w:val="18"/>
              </w:rPr>
              <w:t>CTFFL*: Engage for </w:t>
            </w:r>
            <w:r>
              <w:rPr>
                <w:color w:val="105C84"/>
                <w:spacing w:val="-4"/>
                <w:sz w:val="18"/>
              </w:rPr>
              <w:t>assistance </w:t>
            </w:r>
            <w:r>
              <w:rPr>
                <w:color w:val="105C84"/>
                <w:sz w:val="18"/>
              </w:rPr>
              <w:t>with reaching the healthcare provider community</w:t>
            </w:r>
          </w:p>
          <w:p>
            <w:pPr>
              <w:pStyle w:val="TableParagraph"/>
              <w:spacing w:line="232" w:lineRule="auto" w:before="88"/>
              <w:ind w:left="92"/>
              <w:rPr>
                <w:sz w:val="18"/>
              </w:rPr>
            </w:pPr>
            <w:r>
              <w:rPr>
                <w:color w:val="105C84"/>
                <w:sz w:val="18"/>
              </w:rPr>
              <w:t>GRATCC**: Engage for assistance with reaching the healthcare</w:t>
            </w:r>
            <w:r>
              <w:rPr>
                <w:color w:val="105C84"/>
                <w:spacing w:val="-8"/>
                <w:sz w:val="18"/>
              </w:rPr>
              <w:t> </w:t>
            </w:r>
            <w:r>
              <w:rPr>
                <w:color w:val="105C84"/>
                <w:sz w:val="18"/>
              </w:rPr>
              <w:t>provider</w:t>
            </w:r>
            <w:r>
              <w:rPr>
                <w:color w:val="105C84"/>
                <w:spacing w:val="-8"/>
                <w:sz w:val="18"/>
              </w:rPr>
              <w:t> </w:t>
            </w:r>
            <w:r>
              <w:rPr>
                <w:color w:val="105C84"/>
                <w:sz w:val="18"/>
              </w:rPr>
              <w:t>community</w:t>
            </w:r>
          </w:p>
          <w:p>
            <w:pPr>
              <w:pStyle w:val="TableParagraph"/>
              <w:spacing w:line="232" w:lineRule="auto" w:before="87"/>
              <w:ind w:left="92" w:right="233"/>
              <w:jc w:val="both"/>
              <w:rPr>
                <w:sz w:val="18"/>
              </w:rPr>
            </w:pPr>
            <w:r>
              <w:rPr>
                <w:color w:val="105C84"/>
                <w:sz w:val="18"/>
              </w:rPr>
              <w:t>Healthcare</w:t>
            </w:r>
            <w:r>
              <w:rPr>
                <w:color w:val="105C84"/>
                <w:spacing w:val="-15"/>
                <w:sz w:val="18"/>
              </w:rPr>
              <w:t> </w:t>
            </w:r>
            <w:r>
              <w:rPr>
                <w:color w:val="105C84"/>
                <w:sz w:val="18"/>
              </w:rPr>
              <w:t>providers:</w:t>
            </w:r>
            <w:r>
              <w:rPr>
                <w:color w:val="105C84"/>
                <w:spacing w:val="-12"/>
                <w:sz w:val="18"/>
              </w:rPr>
              <w:t> </w:t>
            </w:r>
            <w:r>
              <w:rPr>
                <w:color w:val="105C84"/>
                <w:sz w:val="18"/>
              </w:rPr>
              <w:t>Provide evidence-based</w:t>
            </w:r>
            <w:r>
              <w:rPr>
                <w:color w:val="105C84"/>
                <w:spacing w:val="-15"/>
                <w:sz w:val="18"/>
              </w:rPr>
              <w:t> </w:t>
            </w:r>
            <w:r>
              <w:rPr>
                <w:color w:val="105C84"/>
                <w:sz w:val="18"/>
              </w:rPr>
              <w:t>assistance</w:t>
            </w:r>
            <w:r>
              <w:rPr>
                <w:color w:val="105C84"/>
                <w:spacing w:val="-12"/>
                <w:sz w:val="18"/>
              </w:rPr>
              <w:t> </w:t>
            </w:r>
            <w:r>
              <w:rPr>
                <w:color w:val="105C84"/>
                <w:sz w:val="18"/>
              </w:rPr>
              <w:t>to patients’ quit attempts</w:t>
            </w:r>
          </w:p>
        </w:tc>
        <w:tc>
          <w:tcPr>
            <w:tcW w:w="2313" w:type="dxa"/>
            <w:tcBorders>
              <w:bottom w:val="nil"/>
            </w:tcBorders>
          </w:tcPr>
          <w:p>
            <w:pPr>
              <w:pStyle w:val="TableParagraph"/>
              <w:spacing w:before="94"/>
              <w:ind w:left="92"/>
              <w:rPr>
                <w:sz w:val="18"/>
              </w:rPr>
            </w:pPr>
            <w:r>
              <w:rPr>
                <w:color w:val="105C84"/>
                <w:w w:val="90"/>
                <w:sz w:val="18"/>
              </w:rPr>
              <w:t>URTH:</w:t>
            </w:r>
            <w:r>
              <w:rPr>
                <w:color w:val="105C84"/>
                <w:spacing w:val="9"/>
                <w:sz w:val="18"/>
              </w:rPr>
              <w:t> </w:t>
            </w:r>
            <w:r>
              <w:rPr>
                <w:color w:val="105C84"/>
                <w:spacing w:val="-2"/>
                <w:w w:val="95"/>
                <w:sz w:val="18"/>
              </w:rPr>
              <w:t>$1,150</w:t>
            </w:r>
          </w:p>
        </w:tc>
      </w:tr>
      <w:tr>
        <w:trPr>
          <w:trHeight w:val="279" w:hRule="atLeast"/>
        </w:trPr>
        <w:tc>
          <w:tcPr>
            <w:tcW w:w="1353" w:type="dxa"/>
            <w:tcBorders>
              <w:top w:val="nil"/>
              <w:bottom w:val="nil"/>
            </w:tcBorders>
            <w:shd w:val="clear" w:color="auto" w:fill="E6E7E8"/>
          </w:tcPr>
          <w:p>
            <w:pPr>
              <w:pStyle w:val="TableParagraph"/>
              <w:rPr>
                <w:rFonts w:ascii="Times New Roman"/>
                <w:sz w:val="18"/>
              </w:rPr>
            </w:pPr>
          </w:p>
        </w:tc>
        <w:tc>
          <w:tcPr>
            <w:tcW w:w="1289" w:type="dxa"/>
            <w:tcBorders>
              <w:top w:val="nil"/>
              <w:bottom w:val="nil"/>
            </w:tcBorders>
          </w:tcPr>
          <w:p>
            <w:pPr>
              <w:pStyle w:val="TableParagraph"/>
              <w:rPr>
                <w:rFonts w:ascii="Times New Roman"/>
                <w:sz w:val="18"/>
              </w:rPr>
            </w:pPr>
          </w:p>
        </w:tc>
        <w:tc>
          <w:tcPr>
            <w:tcW w:w="1591" w:type="dxa"/>
            <w:tcBorders>
              <w:top w:val="nil"/>
              <w:bottom w:val="nil"/>
            </w:tcBorders>
          </w:tcPr>
          <w:p>
            <w:pPr>
              <w:pStyle w:val="TableParagraph"/>
              <w:rPr>
                <w:rFonts w:ascii="Times New Roman"/>
                <w:sz w:val="18"/>
              </w:rPr>
            </w:pPr>
          </w:p>
        </w:tc>
        <w:tc>
          <w:tcPr>
            <w:tcW w:w="2102" w:type="dxa"/>
            <w:tcBorders>
              <w:top w:val="nil"/>
              <w:bottom w:val="nil"/>
            </w:tcBorders>
          </w:tcPr>
          <w:p>
            <w:pPr>
              <w:pStyle w:val="TableParagraph"/>
              <w:spacing w:before="28"/>
              <w:ind w:left="90"/>
              <w:rPr>
                <w:sz w:val="18"/>
              </w:rPr>
            </w:pPr>
            <w:r>
              <w:rPr>
                <w:color w:val="105C84"/>
                <w:spacing w:val="-2"/>
                <w:sz w:val="18"/>
              </w:rPr>
              <w:t>Data</w:t>
            </w:r>
            <w:r>
              <w:rPr>
                <w:color w:val="105C84"/>
                <w:spacing w:val="-9"/>
                <w:sz w:val="18"/>
              </w:rPr>
              <w:t> </w:t>
            </w:r>
            <w:r>
              <w:rPr>
                <w:color w:val="105C84"/>
                <w:spacing w:val="-2"/>
                <w:sz w:val="18"/>
              </w:rPr>
              <w:t>Source:</w:t>
            </w:r>
            <w:r>
              <w:rPr>
                <w:color w:val="105C84"/>
                <w:spacing w:val="-8"/>
                <w:sz w:val="18"/>
              </w:rPr>
              <w:t> </w:t>
            </w:r>
            <w:r>
              <w:rPr>
                <w:color w:val="105C84"/>
                <w:spacing w:val="-2"/>
                <w:sz w:val="18"/>
              </w:rPr>
              <w:t>BRFSS</w:t>
            </w:r>
          </w:p>
        </w:tc>
        <w:tc>
          <w:tcPr>
            <w:tcW w:w="1238" w:type="dxa"/>
            <w:vMerge/>
            <w:tcBorders>
              <w:top w:val="nil"/>
            </w:tcBorders>
          </w:tcPr>
          <w:p>
            <w:pPr>
              <w:rPr>
                <w:sz w:val="2"/>
                <w:szCs w:val="2"/>
              </w:rPr>
            </w:pPr>
          </w:p>
        </w:tc>
        <w:tc>
          <w:tcPr>
            <w:tcW w:w="3583" w:type="dxa"/>
            <w:vMerge/>
            <w:tcBorders>
              <w:top w:val="nil"/>
              <w:right w:val="nil"/>
            </w:tcBorders>
          </w:tcPr>
          <w:p>
            <w:pPr>
              <w:rPr>
                <w:sz w:val="2"/>
                <w:szCs w:val="2"/>
              </w:rPr>
            </w:pPr>
          </w:p>
        </w:tc>
        <w:tc>
          <w:tcPr>
            <w:tcW w:w="4214" w:type="dxa"/>
            <w:vMerge/>
            <w:tcBorders>
              <w:top w:val="nil"/>
              <w:left w:val="nil"/>
            </w:tcBorders>
          </w:tcPr>
          <w:p>
            <w:pPr>
              <w:rPr>
                <w:sz w:val="2"/>
                <w:szCs w:val="2"/>
              </w:rPr>
            </w:pPr>
          </w:p>
        </w:tc>
        <w:tc>
          <w:tcPr>
            <w:tcW w:w="1850" w:type="dxa"/>
            <w:tcBorders>
              <w:top w:val="nil"/>
              <w:bottom w:val="nil"/>
            </w:tcBorders>
          </w:tcPr>
          <w:p>
            <w:pPr>
              <w:pStyle w:val="TableParagraph"/>
              <w:spacing w:before="28"/>
              <w:ind w:left="91"/>
              <w:rPr>
                <w:sz w:val="18"/>
              </w:rPr>
            </w:pPr>
            <w:r>
              <w:rPr>
                <w:color w:val="105C84"/>
                <w:spacing w:val="-2"/>
                <w:sz w:val="18"/>
              </w:rPr>
              <w:t>NYSDOH</w:t>
            </w:r>
          </w:p>
        </w:tc>
        <w:tc>
          <w:tcPr>
            <w:tcW w:w="2692" w:type="dxa"/>
            <w:vMerge/>
            <w:tcBorders>
              <w:top w:val="nil"/>
            </w:tcBorders>
          </w:tcPr>
          <w:p>
            <w:pPr>
              <w:rPr>
                <w:sz w:val="2"/>
                <w:szCs w:val="2"/>
              </w:rPr>
            </w:pPr>
          </w:p>
        </w:tc>
        <w:tc>
          <w:tcPr>
            <w:tcW w:w="2313" w:type="dxa"/>
            <w:tcBorders>
              <w:top w:val="nil"/>
              <w:bottom w:val="nil"/>
            </w:tcBorders>
          </w:tcPr>
          <w:p>
            <w:pPr>
              <w:pStyle w:val="TableParagraph"/>
              <w:rPr>
                <w:rFonts w:ascii="Times New Roman"/>
                <w:sz w:val="18"/>
              </w:rPr>
            </w:pPr>
          </w:p>
        </w:tc>
      </w:tr>
      <w:tr>
        <w:trPr>
          <w:trHeight w:val="679" w:hRule="atLeast"/>
        </w:trPr>
        <w:tc>
          <w:tcPr>
            <w:tcW w:w="1353" w:type="dxa"/>
            <w:tcBorders>
              <w:top w:val="nil"/>
              <w:bottom w:val="nil"/>
            </w:tcBorders>
            <w:shd w:val="clear" w:color="auto" w:fill="E6E7E8"/>
          </w:tcPr>
          <w:p>
            <w:pPr>
              <w:pStyle w:val="TableParagraph"/>
              <w:rPr>
                <w:rFonts w:ascii="Times New Roman"/>
                <w:sz w:val="18"/>
              </w:rPr>
            </w:pPr>
          </w:p>
        </w:tc>
        <w:tc>
          <w:tcPr>
            <w:tcW w:w="1289" w:type="dxa"/>
            <w:tcBorders>
              <w:top w:val="nil"/>
              <w:bottom w:val="nil"/>
            </w:tcBorders>
          </w:tcPr>
          <w:p>
            <w:pPr>
              <w:pStyle w:val="TableParagraph"/>
              <w:rPr>
                <w:rFonts w:ascii="Times New Roman"/>
                <w:sz w:val="18"/>
              </w:rPr>
            </w:pPr>
          </w:p>
        </w:tc>
        <w:tc>
          <w:tcPr>
            <w:tcW w:w="1591" w:type="dxa"/>
            <w:tcBorders>
              <w:top w:val="nil"/>
              <w:bottom w:val="nil"/>
            </w:tcBorders>
          </w:tcPr>
          <w:p>
            <w:pPr>
              <w:pStyle w:val="TableParagraph"/>
              <w:rPr>
                <w:rFonts w:ascii="Times New Roman"/>
                <w:sz w:val="18"/>
              </w:rPr>
            </w:pPr>
          </w:p>
        </w:tc>
        <w:tc>
          <w:tcPr>
            <w:tcW w:w="2102" w:type="dxa"/>
            <w:tcBorders>
              <w:top w:val="nil"/>
              <w:bottom w:val="nil"/>
            </w:tcBorders>
          </w:tcPr>
          <w:p>
            <w:pPr>
              <w:pStyle w:val="TableParagraph"/>
              <w:spacing w:line="232" w:lineRule="auto" w:before="33"/>
              <w:ind w:left="90"/>
              <w:rPr>
                <w:sz w:val="18"/>
              </w:rPr>
            </w:pPr>
            <w:r>
              <w:rPr>
                <w:color w:val="105C84"/>
                <w:sz w:val="18"/>
              </w:rPr>
              <w:t>Data</w:t>
            </w:r>
            <w:r>
              <w:rPr>
                <w:color w:val="105C84"/>
                <w:spacing w:val="-15"/>
                <w:sz w:val="18"/>
              </w:rPr>
              <w:t> </w:t>
            </w:r>
            <w:r>
              <w:rPr>
                <w:color w:val="105C84"/>
                <w:sz w:val="18"/>
              </w:rPr>
              <w:t>Level:</w:t>
            </w:r>
            <w:r>
              <w:rPr>
                <w:color w:val="105C84"/>
                <w:spacing w:val="-12"/>
                <w:sz w:val="18"/>
              </w:rPr>
              <w:t> </w:t>
            </w:r>
            <w:r>
              <w:rPr>
                <w:color w:val="105C84"/>
                <w:sz w:val="18"/>
              </w:rPr>
              <w:t>state</w:t>
            </w:r>
            <w:r>
              <w:rPr>
                <w:color w:val="105C84"/>
                <w:spacing w:val="-13"/>
                <w:sz w:val="18"/>
              </w:rPr>
              <w:t> </w:t>
            </w:r>
            <w:r>
              <w:rPr>
                <w:color w:val="105C84"/>
                <w:sz w:val="18"/>
              </w:rPr>
              <w:t>and</w:t>
            </w:r>
            <w:r>
              <w:rPr>
                <w:color w:val="105C84"/>
                <w:spacing w:val="-12"/>
                <w:sz w:val="18"/>
              </w:rPr>
              <w:t> </w:t>
            </w:r>
            <w:r>
              <w:rPr>
                <w:color w:val="105C84"/>
                <w:sz w:val="18"/>
              </w:rPr>
              <w:t>by county</w:t>
            </w:r>
            <w:r>
              <w:rPr>
                <w:color w:val="105C84"/>
                <w:spacing w:val="-4"/>
                <w:sz w:val="18"/>
              </w:rPr>
              <w:t> </w:t>
            </w:r>
            <w:r>
              <w:rPr>
                <w:color w:val="105C84"/>
                <w:sz w:val="18"/>
              </w:rPr>
              <w:t>when</w:t>
            </w:r>
            <w:r>
              <w:rPr>
                <w:color w:val="105C84"/>
                <w:spacing w:val="-3"/>
                <w:sz w:val="18"/>
              </w:rPr>
              <w:t> </w:t>
            </w:r>
            <w:r>
              <w:rPr>
                <w:color w:val="105C84"/>
                <w:spacing w:val="-2"/>
                <w:sz w:val="18"/>
              </w:rPr>
              <w:t>expanded</w:t>
            </w:r>
          </w:p>
        </w:tc>
        <w:tc>
          <w:tcPr>
            <w:tcW w:w="1238" w:type="dxa"/>
            <w:vMerge/>
            <w:tcBorders>
              <w:top w:val="nil"/>
            </w:tcBorders>
          </w:tcPr>
          <w:p>
            <w:pPr>
              <w:rPr>
                <w:sz w:val="2"/>
                <w:szCs w:val="2"/>
              </w:rPr>
            </w:pPr>
          </w:p>
        </w:tc>
        <w:tc>
          <w:tcPr>
            <w:tcW w:w="3583" w:type="dxa"/>
            <w:vMerge/>
            <w:tcBorders>
              <w:top w:val="nil"/>
              <w:right w:val="nil"/>
            </w:tcBorders>
          </w:tcPr>
          <w:p>
            <w:pPr>
              <w:rPr>
                <w:sz w:val="2"/>
                <w:szCs w:val="2"/>
              </w:rPr>
            </w:pPr>
          </w:p>
        </w:tc>
        <w:tc>
          <w:tcPr>
            <w:tcW w:w="4214" w:type="dxa"/>
            <w:vMerge/>
            <w:tcBorders>
              <w:top w:val="nil"/>
              <w:left w:val="nil"/>
            </w:tcBorders>
          </w:tcPr>
          <w:p>
            <w:pPr>
              <w:rPr>
                <w:sz w:val="2"/>
                <w:szCs w:val="2"/>
              </w:rPr>
            </w:pPr>
          </w:p>
        </w:tc>
        <w:tc>
          <w:tcPr>
            <w:tcW w:w="1850" w:type="dxa"/>
            <w:tcBorders>
              <w:top w:val="nil"/>
              <w:bottom w:val="nil"/>
            </w:tcBorders>
          </w:tcPr>
          <w:p>
            <w:pPr>
              <w:pStyle w:val="TableParagraph"/>
              <w:spacing w:line="232" w:lineRule="auto" w:before="33"/>
              <w:ind w:left="91"/>
              <w:rPr>
                <w:sz w:val="18"/>
              </w:rPr>
            </w:pPr>
            <w:r>
              <w:rPr>
                <w:color w:val="105C84"/>
                <w:sz w:val="18"/>
              </w:rPr>
              <w:t>Center</w:t>
            </w:r>
            <w:r>
              <w:rPr>
                <w:color w:val="105C84"/>
                <w:spacing w:val="-13"/>
                <w:sz w:val="18"/>
              </w:rPr>
              <w:t> </w:t>
            </w:r>
            <w:r>
              <w:rPr>
                <w:color w:val="105C84"/>
                <w:sz w:val="18"/>
              </w:rPr>
              <w:t>for</w:t>
            </w:r>
            <w:r>
              <w:rPr>
                <w:color w:val="105C84"/>
                <w:spacing w:val="-12"/>
                <w:sz w:val="18"/>
              </w:rPr>
              <w:t> </w:t>
            </w:r>
            <w:r>
              <w:rPr>
                <w:color w:val="105C84"/>
                <w:sz w:val="18"/>
              </w:rPr>
              <w:t>a</w:t>
            </w:r>
            <w:r>
              <w:rPr>
                <w:color w:val="105C84"/>
                <w:spacing w:val="-13"/>
                <w:sz w:val="18"/>
              </w:rPr>
              <w:t> </w:t>
            </w:r>
            <w:r>
              <w:rPr>
                <w:color w:val="105C84"/>
                <w:sz w:val="18"/>
              </w:rPr>
              <w:t>Tobacco Free Finger Lakes </w:t>
            </w:r>
            <w:r>
              <w:rPr>
                <w:color w:val="105C84"/>
                <w:spacing w:val="-2"/>
                <w:sz w:val="18"/>
              </w:rPr>
              <w:t>(CTFFL)*</w:t>
            </w:r>
          </w:p>
        </w:tc>
        <w:tc>
          <w:tcPr>
            <w:tcW w:w="2692" w:type="dxa"/>
            <w:vMerge/>
            <w:tcBorders>
              <w:top w:val="nil"/>
            </w:tcBorders>
          </w:tcPr>
          <w:p>
            <w:pPr>
              <w:rPr>
                <w:sz w:val="2"/>
                <w:szCs w:val="2"/>
              </w:rPr>
            </w:pPr>
          </w:p>
        </w:tc>
        <w:tc>
          <w:tcPr>
            <w:tcW w:w="2313" w:type="dxa"/>
            <w:tcBorders>
              <w:top w:val="nil"/>
              <w:bottom w:val="nil"/>
            </w:tcBorders>
          </w:tcPr>
          <w:p>
            <w:pPr>
              <w:pStyle w:val="TableParagraph"/>
              <w:rPr>
                <w:rFonts w:ascii="Times New Roman"/>
                <w:sz w:val="18"/>
              </w:rPr>
            </w:pPr>
          </w:p>
        </w:tc>
      </w:tr>
      <w:tr>
        <w:trPr>
          <w:trHeight w:val="879" w:hRule="atLeast"/>
        </w:trPr>
        <w:tc>
          <w:tcPr>
            <w:tcW w:w="1353" w:type="dxa"/>
            <w:tcBorders>
              <w:top w:val="nil"/>
              <w:bottom w:val="nil"/>
            </w:tcBorders>
            <w:shd w:val="clear" w:color="auto" w:fill="E6E7E8"/>
          </w:tcPr>
          <w:p>
            <w:pPr>
              <w:pStyle w:val="TableParagraph"/>
              <w:rPr>
                <w:rFonts w:ascii="Times New Roman"/>
                <w:sz w:val="18"/>
              </w:rPr>
            </w:pPr>
          </w:p>
        </w:tc>
        <w:tc>
          <w:tcPr>
            <w:tcW w:w="1289" w:type="dxa"/>
            <w:tcBorders>
              <w:top w:val="nil"/>
              <w:bottom w:val="nil"/>
            </w:tcBorders>
          </w:tcPr>
          <w:p>
            <w:pPr>
              <w:pStyle w:val="TableParagraph"/>
              <w:rPr>
                <w:rFonts w:ascii="Times New Roman"/>
                <w:sz w:val="18"/>
              </w:rPr>
            </w:pPr>
          </w:p>
        </w:tc>
        <w:tc>
          <w:tcPr>
            <w:tcW w:w="1591" w:type="dxa"/>
            <w:tcBorders>
              <w:top w:val="nil"/>
              <w:bottom w:val="nil"/>
            </w:tcBorders>
          </w:tcPr>
          <w:p>
            <w:pPr>
              <w:pStyle w:val="TableParagraph"/>
              <w:rPr>
                <w:rFonts w:ascii="Times New Roman"/>
                <w:sz w:val="18"/>
              </w:rPr>
            </w:pPr>
          </w:p>
        </w:tc>
        <w:tc>
          <w:tcPr>
            <w:tcW w:w="2102" w:type="dxa"/>
            <w:tcBorders>
              <w:top w:val="nil"/>
              <w:bottom w:val="nil"/>
            </w:tcBorders>
          </w:tcPr>
          <w:p>
            <w:pPr>
              <w:pStyle w:val="TableParagraph"/>
              <w:rPr>
                <w:rFonts w:ascii="Times New Roman"/>
                <w:sz w:val="18"/>
              </w:rPr>
            </w:pPr>
          </w:p>
        </w:tc>
        <w:tc>
          <w:tcPr>
            <w:tcW w:w="1238" w:type="dxa"/>
            <w:vMerge/>
            <w:tcBorders>
              <w:top w:val="nil"/>
            </w:tcBorders>
          </w:tcPr>
          <w:p>
            <w:pPr>
              <w:rPr>
                <w:sz w:val="2"/>
                <w:szCs w:val="2"/>
              </w:rPr>
            </w:pPr>
          </w:p>
        </w:tc>
        <w:tc>
          <w:tcPr>
            <w:tcW w:w="3583" w:type="dxa"/>
            <w:vMerge/>
            <w:tcBorders>
              <w:top w:val="nil"/>
              <w:right w:val="nil"/>
            </w:tcBorders>
          </w:tcPr>
          <w:p>
            <w:pPr>
              <w:rPr>
                <w:sz w:val="2"/>
                <w:szCs w:val="2"/>
              </w:rPr>
            </w:pPr>
          </w:p>
        </w:tc>
        <w:tc>
          <w:tcPr>
            <w:tcW w:w="4214" w:type="dxa"/>
            <w:vMerge/>
            <w:tcBorders>
              <w:top w:val="nil"/>
              <w:left w:val="nil"/>
            </w:tcBorders>
          </w:tcPr>
          <w:p>
            <w:pPr>
              <w:rPr>
                <w:sz w:val="2"/>
                <w:szCs w:val="2"/>
              </w:rPr>
            </w:pPr>
          </w:p>
        </w:tc>
        <w:tc>
          <w:tcPr>
            <w:tcW w:w="1850" w:type="dxa"/>
            <w:tcBorders>
              <w:top w:val="nil"/>
              <w:bottom w:val="nil"/>
            </w:tcBorders>
          </w:tcPr>
          <w:p>
            <w:pPr>
              <w:pStyle w:val="TableParagraph"/>
              <w:spacing w:line="232" w:lineRule="auto" w:before="33"/>
              <w:ind w:left="91" w:right="291"/>
              <w:rPr>
                <w:sz w:val="18"/>
              </w:rPr>
            </w:pPr>
            <w:r>
              <w:rPr>
                <w:color w:val="105C84"/>
                <w:spacing w:val="-2"/>
                <w:sz w:val="18"/>
              </w:rPr>
              <w:t>Greater</w:t>
            </w:r>
            <w:r>
              <w:rPr>
                <w:color w:val="105C84"/>
                <w:spacing w:val="-11"/>
                <w:sz w:val="18"/>
              </w:rPr>
              <w:t> </w:t>
            </w:r>
            <w:r>
              <w:rPr>
                <w:color w:val="105C84"/>
                <w:spacing w:val="-2"/>
                <w:sz w:val="18"/>
              </w:rPr>
              <w:t>Rochester </w:t>
            </w:r>
            <w:r>
              <w:rPr>
                <w:color w:val="105C84"/>
                <w:sz w:val="18"/>
              </w:rPr>
              <w:t>Area Tobacco Cessation Center </w:t>
            </w:r>
            <w:r>
              <w:rPr>
                <w:color w:val="105C84"/>
                <w:spacing w:val="-2"/>
                <w:sz w:val="18"/>
              </w:rPr>
              <w:t>(GRATCC)**</w:t>
            </w:r>
          </w:p>
        </w:tc>
        <w:tc>
          <w:tcPr>
            <w:tcW w:w="2692" w:type="dxa"/>
            <w:vMerge/>
            <w:tcBorders>
              <w:top w:val="nil"/>
            </w:tcBorders>
          </w:tcPr>
          <w:p>
            <w:pPr>
              <w:rPr>
                <w:sz w:val="2"/>
                <w:szCs w:val="2"/>
              </w:rPr>
            </w:pPr>
          </w:p>
        </w:tc>
        <w:tc>
          <w:tcPr>
            <w:tcW w:w="2313" w:type="dxa"/>
            <w:tcBorders>
              <w:top w:val="nil"/>
              <w:bottom w:val="nil"/>
            </w:tcBorders>
          </w:tcPr>
          <w:p>
            <w:pPr>
              <w:pStyle w:val="TableParagraph"/>
              <w:rPr>
                <w:rFonts w:ascii="Times New Roman"/>
                <w:sz w:val="18"/>
              </w:rPr>
            </w:pPr>
          </w:p>
        </w:tc>
      </w:tr>
      <w:tr>
        <w:trPr>
          <w:trHeight w:val="1373" w:hRule="atLeast"/>
        </w:trPr>
        <w:tc>
          <w:tcPr>
            <w:tcW w:w="1353" w:type="dxa"/>
            <w:tcBorders>
              <w:top w:val="nil"/>
            </w:tcBorders>
            <w:shd w:val="clear" w:color="auto" w:fill="E6E7E8"/>
          </w:tcPr>
          <w:p>
            <w:pPr>
              <w:pStyle w:val="TableParagraph"/>
              <w:rPr>
                <w:rFonts w:ascii="Times New Roman"/>
                <w:sz w:val="18"/>
              </w:rPr>
            </w:pPr>
          </w:p>
        </w:tc>
        <w:tc>
          <w:tcPr>
            <w:tcW w:w="1289" w:type="dxa"/>
            <w:tcBorders>
              <w:top w:val="nil"/>
            </w:tcBorders>
          </w:tcPr>
          <w:p>
            <w:pPr>
              <w:pStyle w:val="TableParagraph"/>
              <w:rPr>
                <w:rFonts w:ascii="Times New Roman"/>
                <w:sz w:val="18"/>
              </w:rPr>
            </w:pPr>
          </w:p>
        </w:tc>
        <w:tc>
          <w:tcPr>
            <w:tcW w:w="1591" w:type="dxa"/>
            <w:tcBorders>
              <w:top w:val="nil"/>
            </w:tcBorders>
          </w:tcPr>
          <w:p>
            <w:pPr>
              <w:pStyle w:val="TableParagraph"/>
              <w:rPr>
                <w:rFonts w:ascii="Times New Roman"/>
                <w:sz w:val="18"/>
              </w:rPr>
            </w:pPr>
          </w:p>
        </w:tc>
        <w:tc>
          <w:tcPr>
            <w:tcW w:w="2102" w:type="dxa"/>
            <w:tcBorders>
              <w:top w:val="nil"/>
            </w:tcBorders>
          </w:tcPr>
          <w:p>
            <w:pPr>
              <w:pStyle w:val="TableParagraph"/>
              <w:rPr>
                <w:rFonts w:ascii="Times New Roman"/>
                <w:sz w:val="18"/>
              </w:rPr>
            </w:pPr>
          </w:p>
        </w:tc>
        <w:tc>
          <w:tcPr>
            <w:tcW w:w="1238" w:type="dxa"/>
            <w:vMerge/>
            <w:tcBorders>
              <w:top w:val="nil"/>
            </w:tcBorders>
          </w:tcPr>
          <w:p>
            <w:pPr>
              <w:rPr>
                <w:sz w:val="2"/>
                <w:szCs w:val="2"/>
              </w:rPr>
            </w:pPr>
          </w:p>
        </w:tc>
        <w:tc>
          <w:tcPr>
            <w:tcW w:w="3583" w:type="dxa"/>
            <w:vMerge/>
            <w:tcBorders>
              <w:top w:val="nil"/>
              <w:right w:val="nil"/>
            </w:tcBorders>
          </w:tcPr>
          <w:p>
            <w:pPr>
              <w:rPr>
                <w:sz w:val="2"/>
                <w:szCs w:val="2"/>
              </w:rPr>
            </w:pPr>
          </w:p>
        </w:tc>
        <w:tc>
          <w:tcPr>
            <w:tcW w:w="4214" w:type="dxa"/>
            <w:vMerge/>
            <w:tcBorders>
              <w:top w:val="nil"/>
              <w:left w:val="nil"/>
            </w:tcBorders>
          </w:tcPr>
          <w:p>
            <w:pPr>
              <w:rPr>
                <w:sz w:val="2"/>
                <w:szCs w:val="2"/>
              </w:rPr>
            </w:pPr>
          </w:p>
        </w:tc>
        <w:tc>
          <w:tcPr>
            <w:tcW w:w="1850" w:type="dxa"/>
            <w:tcBorders>
              <w:top w:val="nil"/>
            </w:tcBorders>
          </w:tcPr>
          <w:p>
            <w:pPr>
              <w:pStyle w:val="TableParagraph"/>
              <w:spacing w:before="28"/>
              <w:ind w:left="91"/>
              <w:rPr>
                <w:sz w:val="18"/>
              </w:rPr>
            </w:pPr>
            <w:r>
              <w:rPr>
                <w:color w:val="105C84"/>
                <w:spacing w:val="-2"/>
                <w:sz w:val="18"/>
              </w:rPr>
              <w:t>Healthcare</w:t>
            </w:r>
            <w:r>
              <w:rPr>
                <w:color w:val="105C84"/>
                <w:spacing w:val="6"/>
                <w:sz w:val="18"/>
              </w:rPr>
              <w:t> </w:t>
            </w:r>
            <w:r>
              <w:rPr>
                <w:color w:val="105C84"/>
                <w:spacing w:val="-2"/>
                <w:sz w:val="18"/>
              </w:rPr>
              <w:t>providers</w:t>
            </w:r>
          </w:p>
        </w:tc>
        <w:tc>
          <w:tcPr>
            <w:tcW w:w="2692" w:type="dxa"/>
            <w:vMerge/>
            <w:tcBorders>
              <w:top w:val="nil"/>
            </w:tcBorders>
          </w:tcPr>
          <w:p>
            <w:pPr>
              <w:rPr>
                <w:sz w:val="2"/>
                <w:szCs w:val="2"/>
              </w:rPr>
            </w:pPr>
          </w:p>
        </w:tc>
        <w:tc>
          <w:tcPr>
            <w:tcW w:w="2313" w:type="dxa"/>
            <w:tcBorders>
              <w:top w:val="nil"/>
            </w:tcBorders>
          </w:tcPr>
          <w:p>
            <w:pPr>
              <w:pStyle w:val="TableParagraph"/>
              <w:rPr>
                <w:rFonts w:ascii="Times New Roman"/>
                <w:sz w:val="18"/>
              </w:rPr>
            </w:pPr>
          </w:p>
        </w:tc>
      </w:tr>
    </w:tbl>
    <w:p>
      <w:pPr>
        <w:spacing w:before="154"/>
        <w:ind w:left="1089" w:right="0" w:firstLine="0"/>
        <w:jc w:val="left"/>
        <w:rPr>
          <w:sz w:val="18"/>
        </w:rPr>
      </w:pPr>
      <w:r>
        <w:rPr>
          <w:color w:val="636466"/>
          <w:sz w:val="18"/>
        </w:rPr>
        <w:t>*Center</w:t>
      </w:r>
      <w:r>
        <w:rPr>
          <w:color w:val="636466"/>
          <w:spacing w:val="-14"/>
          <w:sz w:val="18"/>
        </w:rPr>
        <w:t> </w:t>
      </w:r>
      <w:r>
        <w:rPr>
          <w:color w:val="636466"/>
          <w:sz w:val="18"/>
        </w:rPr>
        <w:t>for</w:t>
      </w:r>
      <w:r>
        <w:rPr>
          <w:color w:val="636466"/>
          <w:spacing w:val="-12"/>
          <w:sz w:val="18"/>
        </w:rPr>
        <w:t> </w:t>
      </w:r>
      <w:r>
        <w:rPr>
          <w:color w:val="636466"/>
          <w:sz w:val="18"/>
        </w:rPr>
        <w:t>a</w:t>
      </w:r>
      <w:r>
        <w:rPr>
          <w:color w:val="636466"/>
          <w:spacing w:val="-12"/>
          <w:sz w:val="18"/>
        </w:rPr>
        <w:t> </w:t>
      </w:r>
      <w:r>
        <w:rPr>
          <w:color w:val="636466"/>
          <w:sz w:val="18"/>
        </w:rPr>
        <w:t>Tobacco-Free</w:t>
      </w:r>
      <w:r>
        <w:rPr>
          <w:color w:val="636466"/>
          <w:spacing w:val="-12"/>
          <w:sz w:val="18"/>
        </w:rPr>
        <w:t> </w:t>
      </w:r>
      <w:r>
        <w:rPr>
          <w:color w:val="636466"/>
          <w:sz w:val="18"/>
        </w:rPr>
        <w:t>Finger</w:t>
      </w:r>
      <w:r>
        <w:rPr>
          <w:color w:val="636466"/>
          <w:spacing w:val="-12"/>
          <w:sz w:val="18"/>
        </w:rPr>
        <w:t> </w:t>
      </w:r>
      <w:r>
        <w:rPr>
          <w:color w:val="636466"/>
          <w:sz w:val="18"/>
        </w:rPr>
        <w:t>**Greater</w:t>
      </w:r>
      <w:r>
        <w:rPr>
          <w:color w:val="636466"/>
          <w:spacing w:val="-12"/>
          <w:sz w:val="18"/>
        </w:rPr>
        <w:t> </w:t>
      </w:r>
      <w:r>
        <w:rPr>
          <w:color w:val="636466"/>
          <w:sz w:val="18"/>
        </w:rPr>
        <w:t>Rochester</w:t>
      </w:r>
      <w:r>
        <w:rPr>
          <w:color w:val="636466"/>
          <w:spacing w:val="-12"/>
          <w:sz w:val="18"/>
        </w:rPr>
        <w:t> </w:t>
      </w:r>
      <w:r>
        <w:rPr>
          <w:color w:val="636466"/>
          <w:sz w:val="18"/>
        </w:rPr>
        <w:t>Tobacco</w:t>
      </w:r>
      <w:r>
        <w:rPr>
          <w:color w:val="636466"/>
          <w:spacing w:val="-12"/>
          <w:sz w:val="18"/>
        </w:rPr>
        <w:t> </w:t>
      </w:r>
      <w:r>
        <w:rPr>
          <w:color w:val="636466"/>
          <w:sz w:val="18"/>
        </w:rPr>
        <w:t>Cessation</w:t>
      </w:r>
      <w:r>
        <w:rPr>
          <w:color w:val="636466"/>
          <w:spacing w:val="-12"/>
          <w:sz w:val="18"/>
        </w:rPr>
        <w:t> </w:t>
      </w:r>
      <w:r>
        <w:rPr>
          <w:color w:val="636466"/>
          <w:spacing w:val="-2"/>
          <w:sz w:val="18"/>
        </w:rPr>
        <w:t>Center</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49"/>
        <w:rPr>
          <w:sz w:val="26"/>
        </w:rPr>
      </w:pPr>
    </w:p>
    <w:p>
      <w:pPr>
        <w:tabs>
          <w:tab w:pos="23047" w:val="left" w:leader="none"/>
        </w:tabs>
        <w:spacing w:before="0"/>
        <w:ind w:left="0" w:right="0" w:firstLine="0"/>
        <w:jc w:val="left"/>
        <w:rPr>
          <w:b/>
          <w:sz w:val="26"/>
        </w:rPr>
      </w:pPr>
      <w:r>
        <w:rPr>
          <w:position w:val="-4"/>
        </w:rPr>
        <w:drawing>
          <wp:inline distT="0" distB="0" distL="0" distR="0">
            <wp:extent cx="568172" cy="184683"/>
            <wp:effectExtent l="0" t="0" r="0" b="0"/>
            <wp:docPr id="1825" name="Image 1825"/>
            <wp:cNvGraphicFramePr>
              <a:graphicFrameLocks/>
            </wp:cNvGraphicFramePr>
            <a:graphic>
              <a:graphicData uri="http://schemas.openxmlformats.org/drawingml/2006/picture">
                <pic:pic>
                  <pic:nvPicPr>
                    <pic:cNvPr id="1825" name="Image 1825"/>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13"/>
          <w:sz w:val="20"/>
        </w:rPr>
        <w:t> </w:t>
      </w:r>
      <w:r>
        <w:rPr>
          <w:b/>
          <w:color w:val="939598"/>
          <w:w w:val="105"/>
          <w:sz w:val="26"/>
        </w:rPr>
        <w:t>149</w:t>
      </w:r>
      <w:r>
        <w:rPr>
          <w:b/>
          <w:color w:val="939598"/>
          <w:sz w:val="26"/>
        </w:rPr>
        <w:tab/>
      </w:r>
      <w:r>
        <w:rPr>
          <w:b/>
          <w:color w:val="939598"/>
          <w:spacing w:val="-5"/>
          <w:w w:val="105"/>
          <w:sz w:val="26"/>
        </w:rPr>
        <w:t>150</w:t>
      </w:r>
    </w:p>
    <w:p>
      <w:pPr>
        <w:spacing w:after="0"/>
        <w:jc w:val="left"/>
        <w:rPr>
          <w:b/>
          <w:sz w:val="26"/>
        </w:rPr>
        <w:sectPr>
          <w:pgSz w:w="24480" w:h="15840" w:orient="landscape"/>
          <w:pgMar w:header="0" w:footer="0" w:top="860" w:bottom="0" w:left="0" w:right="720"/>
        </w:sectPr>
      </w:pPr>
    </w:p>
    <w:p>
      <w:pPr>
        <w:spacing w:before="607"/>
        <w:ind w:left="1089" w:right="0" w:firstLine="0"/>
        <w:jc w:val="left"/>
        <w:rPr>
          <w:sz w:val="54"/>
        </w:rPr>
      </w:pPr>
      <w:r>
        <w:rPr>
          <w:sz w:val="54"/>
        </w:rPr>
        <w:drawing>
          <wp:anchor distT="0" distB="0" distL="0" distR="0" allowOverlap="1" layoutInCell="1" locked="0" behindDoc="0" simplePos="0" relativeHeight="15953408">
            <wp:simplePos x="0" y="0"/>
            <wp:positionH relativeFrom="page">
              <wp:posOffset>14981556</wp:posOffset>
            </wp:positionH>
            <wp:positionV relativeFrom="page">
              <wp:posOffset>9668103</wp:posOffset>
            </wp:positionV>
            <wp:extent cx="563245" cy="184683"/>
            <wp:effectExtent l="0" t="0" r="0" b="0"/>
            <wp:wrapNone/>
            <wp:docPr id="1826" name="Image 1826"/>
            <wp:cNvGraphicFramePr>
              <a:graphicFrameLocks/>
            </wp:cNvGraphicFramePr>
            <a:graphic>
              <a:graphicData uri="http://schemas.openxmlformats.org/drawingml/2006/picture">
                <pic:pic>
                  <pic:nvPicPr>
                    <pic:cNvPr id="1826" name="Image 1826"/>
                    <pic:cNvPicPr/>
                  </pic:nvPicPr>
                  <pic:blipFill>
                    <a:blip r:embed="rId38" cstate="print"/>
                    <a:stretch>
                      <a:fillRect/>
                    </a:stretch>
                  </pic:blipFill>
                  <pic:spPr>
                    <a:xfrm>
                      <a:off x="0" y="0"/>
                      <a:ext cx="563245" cy="184683"/>
                    </a:xfrm>
                    <a:prstGeom prst="rect">
                      <a:avLst/>
                    </a:prstGeom>
                  </pic:spPr>
                </pic:pic>
              </a:graphicData>
            </a:graphic>
          </wp:anchor>
        </w:drawing>
      </w:r>
      <w:r>
        <w:rPr>
          <w:sz w:val="54"/>
        </w:rPr>
        <w:drawing>
          <wp:anchor distT="0" distB="0" distL="0" distR="0" allowOverlap="1" layoutInCell="1" locked="0" behindDoc="0" simplePos="0" relativeHeight="15953920">
            <wp:simplePos x="0" y="0"/>
            <wp:positionH relativeFrom="page">
              <wp:posOffset>14252733</wp:posOffset>
            </wp:positionH>
            <wp:positionV relativeFrom="paragraph">
              <wp:posOffset>358457</wp:posOffset>
            </wp:positionV>
            <wp:extent cx="588168" cy="615314"/>
            <wp:effectExtent l="0" t="0" r="0" b="0"/>
            <wp:wrapNone/>
            <wp:docPr id="1827" name="Image 1827"/>
            <wp:cNvGraphicFramePr>
              <a:graphicFrameLocks/>
            </wp:cNvGraphicFramePr>
            <a:graphic>
              <a:graphicData uri="http://schemas.openxmlformats.org/drawingml/2006/picture">
                <pic:pic>
                  <pic:nvPicPr>
                    <pic:cNvPr id="1827" name="Image 1827"/>
                    <pic:cNvPicPr/>
                  </pic:nvPicPr>
                  <pic:blipFill>
                    <a:blip r:embed="rId248" cstate="print"/>
                    <a:stretch>
                      <a:fillRect/>
                    </a:stretch>
                  </pic:blipFill>
                  <pic:spPr>
                    <a:xfrm>
                      <a:off x="0" y="0"/>
                      <a:ext cx="588168" cy="615314"/>
                    </a:xfrm>
                    <a:prstGeom prst="rect">
                      <a:avLst/>
                    </a:prstGeom>
                  </pic:spPr>
                </pic:pic>
              </a:graphicData>
            </a:graphic>
          </wp:anchor>
        </w:drawing>
      </w:r>
      <w:r>
        <w:rPr>
          <w:sz w:val="54"/>
        </w:rPr>
        <w:drawing>
          <wp:anchor distT="0" distB="0" distL="0" distR="0" allowOverlap="1" layoutInCell="1" locked="0" behindDoc="0" simplePos="0" relativeHeight="15954432">
            <wp:simplePos x="0" y="0"/>
            <wp:positionH relativeFrom="page">
              <wp:posOffset>9637268</wp:posOffset>
            </wp:positionH>
            <wp:positionV relativeFrom="paragraph">
              <wp:posOffset>365759</wp:posOffset>
            </wp:positionV>
            <wp:extent cx="1013459" cy="346709"/>
            <wp:effectExtent l="0" t="0" r="0" b="0"/>
            <wp:wrapNone/>
            <wp:docPr id="1828" name="Image 1828"/>
            <wp:cNvGraphicFramePr>
              <a:graphicFrameLocks/>
            </wp:cNvGraphicFramePr>
            <a:graphic>
              <a:graphicData uri="http://schemas.openxmlformats.org/drawingml/2006/picture">
                <pic:pic>
                  <pic:nvPicPr>
                    <pic:cNvPr id="1828" name="Image 1828"/>
                    <pic:cNvPicPr/>
                  </pic:nvPicPr>
                  <pic:blipFill>
                    <a:blip r:embed="rId249" cstate="print"/>
                    <a:stretch>
                      <a:fillRect/>
                    </a:stretch>
                  </pic:blipFill>
                  <pic:spPr>
                    <a:xfrm>
                      <a:off x="0" y="0"/>
                      <a:ext cx="1013459" cy="346709"/>
                    </a:xfrm>
                    <a:prstGeom prst="rect">
                      <a:avLst/>
                    </a:prstGeom>
                  </pic:spPr>
                </pic:pic>
              </a:graphicData>
            </a:graphic>
          </wp:anchor>
        </w:drawing>
      </w:r>
      <w:r>
        <w:rPr>
          <w:sz w:val="54"/>
        </w:rPr>
        <w:drawing>
          <wp:anchor distT="0" distB="0" distL="0" distR="0" allowOverlap="1" layoutInCell="1" locked="0" behindDoc="0" simplePos="0" relativeHeight="15954944">
            <wp:simplePos x="0" y="0"/>
            <wp:positionH relativeFrom="page">
              <wp:posOffset>8820404</wp:posOffset>
            </wp:positionH>
            <wp:positionV relativeFrom="paragraph">
              <wp:posOffset>303783</wp:posOffset>
            </wp:positionV>
            <wp:extent cx="680085" cy="626110"/>
            <wp:effectExtent l="0" t="0" r="0" b="0"/>
            <wp:wrapNone/>
            <wp:docPr id="1829" name="Image 1829"/>
            <wp:cNvGraphicFramePr>
              <a:graphicFrameLocks/>
            </wp:cNvGraphicFramePr>
            <a:graphic>
              <a:graphicData uri="http://schemas.openxmlformats.org/drawingml/2006/picture">
                <pic:pic>
                  <pic:nvPicPr>
                    <pic:cNvPr id="1829" name="Image 1829"/>
                    <pic:cNvPicPr/>
                  </pic:nvPicPr>
                  <pic:blipFill>
                    <a:blip r:embed="rId250" cstate="print"/>
                    <a:stretch>
                      <a:fillRect/>
                    </a:stretch>
                  </pic:blipFill>
                  <pic:spPr>
                    <a:xfrm>
                      <a:off x="0" y="0"/>
                      <a:ext cx="680085" cy="626110"/>
                    </a:xfrm>
                    <a:prstGeom prst="rect">
                      <a:avLst/>
                    </a:prstGeom>
                  </pic:spPr>
                </pic:pic>
              </a:graphicData>
            </a:graphic>
          </wp:anchor>
        </w:drawing>
      </w:r>
      <w:r>
        <w:rPr>
          <w:sz w:val="54"/>
        </w:rPr>
        <w:drawing>
          <wp:anchor distT="0" distB="0" distL="0" distR="0" allowOverlap="1" layoutInCell="1" locked="0" behindDoc="0" simplePos="0" relativeHeight="15955456">
            <wp:simplePos x="0" y="0"/>
            <wp:positionH relativeFrom="page">
              <wp:posOffset>12660794</wp:posOffset>
            </wp:positionH>
            <wp:positionV relativeFrom="paragraph">
              <wp:posOffset>292608</wp:posOffset>
            </wp:positionV>
            <wp:extent cx="1542007" cy="459636"/>
            <wp:effectExtent l="0" t="0" r="0" b="0"/>
            <wp:wrapNone/>
            <wp:docPr id="1830" name="Image 1830"/>
            <wp:cNvGraphicFramePr>
              <a:graphicFrameLocks/>
            </wp:cNvGraphicFramePr>
            <a:graphic>
              <a:graphicData uri="http://schemas.openxmlformats.org/drawingml/2006/picture">
                <pic:pic>
                  <pic:nvPicPr>
                    <pic:cNvPr id="1830" name="Image 1830"/>
                    <pic:cNvPicPr/>
                  </pic:nvPicPr>
                  <pic:blipFill>
                    <a:blip r:embed="rId251" cstate="print"/>
                    <a:stretch>
                      <a:fillRect/>
                    </a:stretch>
                  </pic:blipFill>
                  <pic:spPr>
                    <a:xfrm>
                      <a:off x="0" y="0"/>
                      <a:ext cx="1542007" cy="459636"/>
                    </a:xfrm>
                    <a:prstGeom prst="rect">
                      <a:avLst/>
                    </a:prstGeom>
                  </pic:spPr>
                </pic:pic>
              </a:graphicData>
            </a:graphic>
          </wp:anchor>
        </w:drawing>
      </w:r>
      <w:r>
        <w:rPr>
          <w:sz w:val="54"/>
        </w:rPr>
        <w:drawing>
          <wp:anchor distT="0" distB="0" distL="0" distR="0" allowOverlap="1" layoutInCell="1" locked="0" behindDoc="0" simplePos="0" relativeHeight="15955968">
            <wp:simplePos x="0" y="0"/>
            <wp:positionH relativeFrom="page">
              <wp:posOffset>10819383</wp:posOffset>
            </wp:positionH>
            <wp:positionV relativeFrom="paragraph">
              <wp:posOffset>365759</wp:posOffset>
            </wp:positionV>
            <wp:extent cx="1724393" cy="297788"/>
            <wp:effectExtent l="0" t="0" r="0" b="0"/>
            <wp:wrapNone/>
            <wp:docPr id="1831" name="Image 1831"/>
            <wp:cNvGraphicFramePr>
              <a:graphicFrameLocks/>
            </wp:cNvGraphicFramePr>
            <a:graphic>
              <a:graphicData uri="http://schemas.openxmlformats.org/drawingml/2006/picture">
                <pic:pic>
                  <pic:nvPicPr>
                    <pic:cNvPr id="1831" name="Image 1831"/>
                    <pic:cNvPicPr/>
                  </pic:nvPicPr>
                  <pic:blipFill>
                    <a:blip r:embed="rId252" cstate="print"/>
                    <a:stretch>
                      <a:fillRect/>
                    </a:stretch>
                  </pic:blipFill>
                  <pic:spPr>
                    <a:xfrm>
                      <a:off x="0" y="0"/>
                      <a:ext cx="1724393" cy="297788"/>
                    </a:xfrm>
                    <a:prstGeom prst="rect">
                      <a:avLst/>
                    </a:prstGeom>
                  </pic:spPr>
                </pic:pic>
              </a:graphicData>
            </a:graphic>
          </wp:anchor>
        </w:drawing>
      </w:r>
      <w:r>
        <w:rPr>
          <w:color w:val="636466"/>
          <w:w w:val="105"/>
          <w:sz w:val="54"/>
        </w:rPr>
        <w:t>Ontario</w:t>
      </w:r>
      <w:r>
        <w:rPr>
          <w:color w:val="636466"/>
          <w:spacing w:val="-13"/>
          <w:w w:val="105"/>
          <w:sz w:val="54"/>
        </w:rPr>
        <w:t> </w:t>
      </w:r>
      <w:r>
        <w:rPr>
          <w:color w:val="636466"/>
          <w:w w:val="105"/>
          <w:sz w:val="54"/>
        </w:rPr>
        <w:t>County</w:t>
      </w:r>
      <w:r>
        <w:rPr>
          <w:color w:val="636466"/>
          <w:spacing w:val="-14"/>
          <w:w w:val="105"/>
          <w:sz w:val="54"/>
        </w:rPr>
        <w:t> </w:t>
      </w:r>
      <w:r>
        <w:rPr>
          <w:color w:val="636466"/>
          <w:w w:val="105"/>
          <w:sz w:val="54"/>
        </w:rPr>
        <w:t>Appendix</w:t>
      </w:r>
      <w:r>
        <w:rPr>
          <w:color w:val="636466"/>
          <w:spacing w:val="-13"/>
          <w:w w:val="105"/>
          <w:sz w:val="54"/>
        </w:rPr>
        <w:t> </w:t>
      </w:r>
      <w:r>
        <w:rPr>
          <w:color w:val="636466"/>
          <w:spacing w:val="-10"/>
          <w:w w:val="105"/>
          <w:sz w:val="54"/>
        </w:rPr>
        <w:t>C</w:t>
      </w:r>
    </w:p>
    <w:p>
      <w:pPr>
        <w:spacing w:before="235"/>
        <w:ind w:left="1089" w:right="0" w:firstLine="0"/>
        <w:jc w:val="left"/>
        <w:rPr>
          <w:b/>
          <w:sz w:val="32"/>
        </w:rPr>
      </w:pPr>
      <w:r>
        <w:rPr>
          <w:b/>
          <w:color w:val="82BF6A"/>
          <w:spacing w:val="-6"/>
          <w:sz w:val="32"/>
        </w:rPr>
        <w:t>PRIORITY:</w:t>
      </w:r>
      <w:r>
        <w:rPr>
          <w:b/>
          <w:color w:val="82BF6A"/>
          <w:spacing w:val="-13"/>
          <w:sz w:val="32"/>
        </w:rPr>
        <w:t> </w:t>
      </w:r>
      <w:r>
        <w:rPr>
          <w:b/>
          <w:color w:val="82BF6A"/>
          <w:spacing w:val="-6"/>
          <w:sz w:val="32"/>
        </w:rPr>
        <w:t>PREVENT</w:t>
      </w:r>
      <w:r>
        <w:rPr>
          <w:b/>
          <w:color w:val="82BF6A"/>
          <w:spacing w:val="-13"/>
          <w:sz w:val="32"/>
        </w:rPr>
        <w:t> </w:t>
      </w:r>
      <w:r>
        <w:rPr>
          <w:b/>
          <w:color w:val="82BF6A"/>
          <w:spacing w:val="-6"/>
          <w:sz w:val="32"/>
        </w:rPr>
        <w:t>CHRONIC</w:t>
      </w:r>
      <w:r>
        <w:rPr>
          <w:b/>
          <w:color w:val="82BF6A"/>
          <w:spacing w:val="-13"/>
          <w:sz w:val="32"/>
        </w:rPr>
        <w:t> </w:t>
      </w:r>
      <w:r>
        <w:rPr>
          <w:b/>
          <w:color w:val="82BF6A"/>
          <w:spacing w:val="-6"/>
          <w:sz w:val="32"/>
        </w:rPr>
        <w:t>DISEASES</w:t>
      </w:r>
    </w:p>
    <w:p>
      <w:pPr>
        <w:pStyle w:val="BodyText"/>
        <w:spacing w:before="8"/>
        <w:rPr>
          <w:b/>
          <w:sz w:val="16"/>
        </w:rPr>
      </w:pPr>
    </w:p>
    <w:tbl>
      <w:tblPr>
        <w:tblW w:w="0" w:type="auto"/>
        <w:jc w:val="left"/>
        <w:tblInd w:w="1099"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1353"/>
        <w:gridCol w:w="1289"/>
        <w:gridCol w:w="1591"/>
        <w:gridCol w:w="2412"/>
        <w:gridCol w:w="1303"/>
        <w:gridCol w:w="3253"/>
        <w:gridCol w:w="3882"/>
        <w:gridCol w:w="1850"/>
        <w:gridCol w:w="2692"/>
        <w:gridCol w:w="2313"/>
      </w:tblGrid>
      <w:tr>
        <w:trPr>
          <w:trHeight w:val="770" w:hRule="atLeast"/>
        </w:trPr>
        <w:tc>
          <w:tcPr>
            <w:tcW w:w="1353" w:type="dxa"/>
            <w:tcBorders>
              <w:right w:val="single" w:sz="4" w:space="0" w:color="FFFFFF"/>
            </w:tcBorders>
            <w:shd w:val="clear" w:color="auto" w:fill="A7A9AC"/>
          </w:tcPr>
          <w:p>
            <w:pPr>
              <w:pStyle w:val="TableParagraph"/>
              <w:spacing w:before="67"/>
              <w:rPr>
                <w:b/>
                <w:sz w:val="20"/>
              </w:rPr>
            </w:pPr>
          </w:p>
          <w:p>
            <w:pPr>
              <w:pStyle w:val="TableParagraph"/>
              <w:ind w:left="80"/>
              <w:rPr>
                <w:b/>
                <w:sz w:val="20"/>
              </w:rPr>
            </w:pPr>
            <w:r>
              <w:rPr>
                <w:b/>
                <w:color w:val="FFFFFF"/>
                <w:spacing w:val="-2"/>
                <w:sz w:val="20"/>
              </w:rPr>
              <w:t>Priority</w:t>
            </w:r>
          </w:p>
        </w:tc>
        <w:tc>
          <w:tcPr>
            <w:tcW w:w="1289" w:type="dxa"/>
            <w:tcBorders>
              <w:left w:val="single" w:sz="4" w:space="0" w:color="FFFFFF"/>
              <w:right w:val="single" w:sz="4" w:space="0" w:color="FFFFFF"/>
            </w:tcBorders>
            <w:shd w:val="clear" w:color="auto" w:fill="A7A9AC"/>
          </w:tcPr>
          <w:p>
            <w:pPr>
              <w:pStyle w:val="TableParagraph"/>
              <w:spacing w:before="67"/>
              <w:rPr>
                <w:b/>
                <w:sz w:val="20"/>
              </w:rPr>
            </w:pPr>
          </w:p>
          <w:p>
            <w:pPr>
              <w:pStyle w:val="TableParagraph"/>
              <w:ind w:left="80"/>
              <w:rPr>
                <w:b/>
                <w:sz w:val="20"/>
              </w:rPr>
            </w:pPr>
            <w:r>
              <w:rPr>
                <w:b/>
                <w:color w:val="FFFFFF"/>
                <w:w w:val="90"/>
                <w:sz w:val="20"/>
              </w:rPr>
              <w:t>Focus</w:t>
            </w:r>
            <w:r>
              <w:rPr>
                <w:b/>
                <w:color w:val="FFFFFF"/>
                <w:spacing w:val="8"/>
                <w:sz w:val="20"/>
              </w:rPr>
              <w:t> </w:t>
            </w:r>
            <w:r>
              <w:rPr>
                <w:b/>
                <w:color w:val="FFFFFF"/>
                <w:spacing w:val="-4"/>
                <w:sz w:val="20"/>
              </w:rPr>
              <w:t>Area</w:t>
            </w:r>
          </w:p>
        </w:tc>
        <w:tc>
          <w:tcPr>
            <w:tcW w:w="1591" w:type="dxa"/>
            <w:tcBorders>
              <w:left w:val="single" w:sz="4" w:space="0" w:color="FFFFFF"/>
              <w:right w:val="single" w:sz="4" w:space="0" w:color="FFFFFF"/>
            </w:tcBorders>
            <w:shd w:val="clear" w:color="auto" w:fill="A7A9AC"/>
          </w:tcPr>
          <w:p>
            <w:pPr>
              <w:pStyle w:val="TableParagraph"/>
              <w:spacing w:line="230" w:lineRule="auto" w:before="195"/>
              <w:ind w:left="80" w:right="100"/>
              <w:rPr>
                <w:b/>
                <w:sz w:val="20"/>
              </w:rPr>
            </w:pPr>
            <w:r>
              <w:rPr>
                <w:b/>
                <w:color w:val="FFFFFF"/>
                <w:spacing w:val="-8"/>
                <w:sz w:val="20"/>
              </w:rPr>
              <w:t>Goal</w:t>
            </w:r>
            <w:r>
              <w:rPr>
                <w:b/>
                <w:color w:val="FFFFFF"/>
                <w:spacing w:val="-6"/>
                <w:sz w:val="20"/>
              </w:rPr>
              <w:t> </w:t>
            </w:r>
            <w:r>
              <w:rPr>
                <w:b/>
                <w:color w:val="FFFFFF"/>
                <w:spacing w:val="-8"/>
                <w:sz w:val="20"/>
              </w:rPr>
              <w:t>Focus </w:t>
            </w:r>
            <w:r>
              <w:rPr>
                <w:b/>
                <w:color w:val="FFFFFF"/>
                <w:spacing w:val="-4"/>
                <w:sz w:val="20"/>
              </w:rPr>
              <w:t>Area</w:t>
            </w:r>
          </w:p>
        </w:tc>
        <w:tc>
          <w:tcPr>
            <w:tcW w:w="2412" w:type="dxa"/>
            <w:tcBorders>
              <w:left w:val="single" w:sz="4" w:space="0" w:color="FFFFFF"/>
              <w:right w:val="single" w:sz="4" w:space="0" w:color="FFFFFF"/>
            </w:tcBorders>
            <w:shd w:val="clear" w:color="auto" w:fill="A7A9AC"/>
          </w:tcPr>
          <w:p>
            <w:pPr>
              <w:pStyle w:val="TableParagraph"/>
              <w:spacing w:before="67"/>
              <w:rPr>
                <w:b/>
                <w:sz w:val="20"/>
              </w:rPr>
            </w:pPr>
          </w:p>
          <w:p>
            <w:pPr>
              <w:pStyle w:val="TableParagraph"/>
              <w:ind w:left="80"/>
              <w:rPr>
                <w:b/>
                <w:sz w:val="20"/>
              </w:rPr>
            </w:pPr>
            <w:r>
              <w:rPr>
                <w:b/>
                <w:color w:val="FFFFFF"/>
                <w:spacing w:val="-2"/>
                <w:sz w:val="20"/>
              </w:rPr>
              <w:t>Objectives</w:t>
            </w:r>
          </w:p>
        </w:tc>
        <w:tc>
          <w:tcPr>
            <w:tcW w:w="1303" w:type="dxa"/>
            <w:tcBorders>
              <w:left w:val="single" w:sz="4" w:space="0" w:color="FFFFFF"/>
              <w:right w:val="single" w:sz="4" w:space="0" w:color="FFFFFF"/>
            </w:tcBorders>
            <w:shd w:val="clear" w:color="auto" w:fill="A7A9AC"/>
          </w:tcPr>
          <w:p>
            <w:pPr>
              <w:pStyle w:val="TableParagraph"/>
              <w:spacing w:before="67"/>
              <w:rPr>
                <w:b/>
                <w:sz w:val="20"/>
              </w:rPr>
            </w:pPr>
          </w:p>
          <w:p>
            <w:pPr>
              <w:pStyle w:val="TableParagraph"/>
              <w:ind w:left="80"/>
              <w:rPr>
                <w:b/>
                <w:sz w:val="20"/>
              </w:rPr>
            </w:pPr>
            <w:r>
              <w:rPr>
                <w:b/>
                <w:color w:val="FFFFFF"/>
                <w:spacing w:val="-2"/>
                <w:sz w:val="20"/>
              </w:rPr>
              <w:t>Disparities</w:t>
            </w:r>
          </w:p>
        </w:tc>
        <w:tc>
          <w:tcPr>
            <w:tcW w:w="3253" w:type="dxa"/>
            <w:tcBorders>
              <w:left w:val="single" w:sz="4" w:space="0" w:color="FFFFFF"/>
              <w:right w:val="nil"/>
            </w:tcBorders>
            <w:shd w:val="clear" w:color="auto" w:fill="A7A9AC"/>
          </w:tcPr>
          <w:p>
            <w:pPr>
              <w:pStyle w:val="TableParagraph"/>
              <w:spacing w:before="67"/>
              <w:rPr>
                <w:b/>
                <w:sz w:val="20"/>
              </w:rPr>
            </w:pPr>
          </w:p>
          <w:p>
            <w:pPr>
              <w:pStyle w:val="TableParagraph"/>
              <w:ind w:left="80"/>
              <w:rPr>
                <w:b/>
                <w:sz w:val="20"/>
              </w:rPr>
            </w:pPr>
            <w:r>
              <w:rPr>
                <w:b/>
                <w:color w:val="FFFFFF"/>
                <w:spacing w:val="-2"/>
                <w:sz w:val="20"/>
              </w:rPr>
              <w:t>Interventions</w:t>
            </w:r>
          </w:p>
        </w:tc>
        <w:tc>
          <w:tcPr>
            <w:tcW w:w="3882" w:type="dxa"/>
            <w:tcBorders>
              <w:left w:val="nil"/>
              <w:right w:val="single" w:sz="4" w:space="0" w:color="FFFFFF"/>
            </w:tcBorders>
            <w:shd w:val="clear" w:color="auto" w:fill="A7A9AC"/>
          </w:tcPr>
          <w:p>
            <w:pPr>
              <w:pStyle w:val="TableParagraph"/>
              <w:spacing w:before="67"/>
              <w:rPr>
                <w:b/>
                <w:sz w:val="20"/>
              </w:rPr>
            </w:pPr>
          </w:p>
          <w:p>
            <w:pPr>
              <w:pStyle w:val="TableParagraph"/>
              <w:ind w:left="1140"/>
              <w:rPr>
                <w:b/>
                <w:sz w:val="20"/>
              </w:rPr>
            </w:pPr>
            <w:r>
              <w:rPr>
                <w:b/>
                <w:color w:val="FFFFFF"/>
                <w:sz w:val="20"/>
              </w:rPr>
              <w:t>Family</w:t>
            </w:r>
            <w:r>
              <w:rPr>
                <w:b/>
                <w:color w:val="FFFFFF"/>
                <w:spacing w:val="-12"/>
                <w:sz w:val="20"/>
              </w:rPr>
              <w:t> </w:t>
            </w:r>
            <w:r>
              <w:rPr>
                <w:b/>
                <w:color w:val="FFFFFF"/>
                <w:sz w:val="20"/>
              </w:rPr>
              <w:t>of</w:t>
            </w:r>
            <w:r>
              <w:rPr>
                <w:b/>
                <w:color w:val="FFFFFF"/>
                <w:spacing w:val="-12"/>
                <w:sz w:val="20"/>
              </w:rPr>
              <w:t> </w:t>
            </w:r>
            <w:r>
              <w:rPr>
                <w:b/>
                <w:color w:val="FFFFFF"/>
                <w:spacing w:val="-2"/>
                <w:sz w:val="20"/>
              </w:rPr>
              <w:t>Measures</w:t>
            </w:r>
          </w:p>
        </w:tc>
        <w:tc>
          <w:tcPr>
            <w:tcW w:w="1850" w:type="dxa"/>
            <w:tcBorders>
              <w:left w:val="single" w:sz="4" w:space="0" w:color="FFFFFF"/>
              <w:right w:val="single" w:sz="4" w:space="0" w:color="FFFFFF"/>
            </w:tcBorders>
            <w:shd w:val="clear" w:color="auto" w:fill="A7A9AC"/>
          </w:tcPr>
          <w:p>
            <w:pPr>
              <w:pStyle w:val="TableParagraph"/>
              <w:spacing w:line="230" w:lineRule="auto" w:before="195"/>
              <w:ind w:left="90" w:right="120"/>
              <w:rPr>
                <w:b/>
                <w:sz w:val="20"/>
              </w:rPr>
            </w:pPr>
            <w:r>
              <w:rPr>
                <w:b/>
                <w:color w:val="FFFFFF"/>
                <w:spacing w:val="-2"/>
                <w:sz w:val="20"/>
              </w:rPr>
              <w:t>Implementation Partner</w:t>
            </w:r>
          </w:p>
        </w:tc>
        <w:tc>
          <w:tcPr>
            <w:tcW w:w="2692" w:type="dxa"/>
            <w:tcBorders>
              <w:left w:val="single" w:sz="4" w:space="0" w:color="FFFFFF"/>
              <w:right w:val="single" w:sz="4" w:space="0" w:color="FFFFFF"/>
            </w:tcBorders>
            <w:shd w:val="clear" w:color="auto" w:fill="A7A9AC"/>
          </w:tcPr>
          <w:p>
            <w:pPr>
              <w:pStyle w:val="TableParagraph"/>
              <w:spacing w:before="67"/>
              <w:rPr>
                <w:b/>
                <w:sz w:val="20"/>
              </w:rPr>
            </w:pPr>
          </w:p>
          <w:p>
            <w:pPr>
              <w:pStyle w:val="TableParagraph"/>
              <w:ind w:left="81"/>
              <w:rPr>
                <w:b/>
                <w:sz w:val="20"/>
              </w:rPr>
            </w:pPr>
            <w:r>
              <w:rPr>
                <w:b/>
                <w:color w:val="FFFFFF"/>
                <w:sz w:val="20"/>
              </w:rPr>
              <w:t>Partner</w:t>
            </w:r>
            <w:r>
              <w:rPr>
                <w:b/>
                <w:color w:val="FFFFFF"/>
                <w:spacing w:val="-13"/>
                <w:sz w:val="20"/>
              </w:rPr>
              <w:t> </w:t>
            </w:r>
            <w:r>
              <w:rPr>
                <w:b/>
                <w:color w:val="FFFFFF"/>
                <w:spacing w:val="-2"/>
                <w:sz w:val="20"/>
              </w:rPr>
              <w:t>Roles</w:t>
            </w:r>
          </w:p>
        </w:tc>
        <w:tc>
          <w:tcPr>
            <w:tcW w:w="2313" w:type="dxa"/>
            <w:tcBorders>
              <w:left w:val="single" w:sz="4" w:space="0" w:color="FFFFFF"/>
              <w:right w:val="single" w:sz="4" w:space="0" w:color="FFFFFF"/>
            </w:tcBorders>
            <w:shd w:val="clear" w:color="auto" w:fill="A7A9AC"/>
          </w:tcPr>
          <w:p>
            <w:pPr>
              <w:pStyle w:val="TableParagraph"/>
              <w:spacing w:before="67"/>
              <w:rPr>
                <w:b/>
                <w:sz w:val="20"/>
              </w:rPr>
            </w:pPr>
          </w:p>
          <w:p>
            <w:pPr>
              <w:pStyle w:val="TableParagraph"/>
              <w:ind w:left="81"/>
              <w:rPr>
                <w:b/>
                <w:sz w:val="20"/>
              </w:rPr>
            </w:pPr>
            <w:r>
              <w:rPr>
                <w:b/>
                <w:color w:val="FFFFFF"/>
                <w:sz w:val="20"/>
              </w:rPr>
              <w:t>Partner</w:t>
            </w:r>
            <w:r>
              <w:rPr>
                <w:b/>
                <w:color w:val="FFFFFF"/>
                <w:spacing w:val="-13"/>
                <w:sz w:val="20"/>
              </w:rPr>
              <w:t> </w:t>
            </w:r>
            <w:r>
              <w:rPr>
                <w:b/>
                <w:color w:val="FFFFFF"/>
                <w:spacing w:val="-2"/>
                <w:sz w:val="20"/>
              </w:rPr>
              <w:t>Resources</w:t>
            </w:r>
          </w:p>
        </w:tc>
      </w:tr>
      <w:tr>
        <w:trPr>
          <w:trHeight w:val="1927" w:hRule="atLeast"/>
        </w:trPr>
        <w:tc>
          <w:tcPr>
            <w:tcW w:w="1353" w:type="dxa"/>
            <w:tcBorders>
              <w:bottom w:val="nil"/>
            </w:tcBorders>
            <w:shd w:val="clear" w:color="auto" w:fill="E6E7E8"/>
          </w:tcPr>
          <w:p>
            <w:pPr>
              <w:pStyle w:val="TableParagraph"/>
              <w:spacing w:line="232" w:lineRule="auto" w:before="101"/>
              <w:ind w:left="90" w:right="536"/>
              <w:jc w:val="both"/>
              <w:rPr>
                <w:sz w:val="18"/>
              </w:rPr>
            </w:pPr>
            <w:r>
              <w:rPr>
                <w:color w:val="105C84"/>
                <w:spacing w:val="-2"/>
                <w:sz w:val="18"/>
              </w:rPr>
              <w:t>Prevent Chronic </w:t>
            </w:r>
            <w:r>
              <w:rPr>
                <w:color w:val="105C84"/>
                <w:spacing w:val="-6"/>
                <w:sz w:val="18"/>
              </w:rPr>
              <w:t>Diseases</w:t>
            </w:r>
          </w:p>
        </w:tc>
        <w:tc>
          <w:tcPr>
            <w:tcW w:w="1289" w:type="dxa"/>
            <w:tcBorders>
              <w:bottom w:val="nil"/>
            </w:tcBorders>
          </w:tcPr>
          <w:p>
            <w:pPr>
              <w:pStyle w:val="TableParagraph"/>
              <w:spacing w:line="232" w:lineRule="auto" w:before="101"/>
              <w:ind w:left="90"/>
              <w:rPr>
                <w:sz w:val="18"/>
              </w:rPr>
            </w:pPr>
            <w:r>
              <w:rPr>
                <w:color w:val="105C84"/>
                <w:spacing w:val="-4"/>
                <w:sz w:val="18"/>
              </w:rPr>
              <w:t>Focus</w:t>
            </w:r>
            <w:r>
              <w:rPr>
                <w:color w:val="105C84"/>
                <w:spacing w:val="-11"/>
                <w:sz w:val="18"/>
              </w:rPr>
              <w:t> </w:t>
            </w:r>
            <w:r>
              <w:rPr>
                <w:color w:val="105C84"/>
                <w:spacing w:val="-4"/>
                <w:sz w:val="18"/>
              </w:rPr>
              <w:t>Area</w:t>
            </w:r>
            <w:r>
              <w:rPr>
                <w:color w:val="105C84"/>
                <w:spacing w:val="-8"/>
                <w:sz w:val="18"/>
              </w:rPr>
              <w:t> </w:t>
            </w:r>
            <w:r>
              <w:rPr>
                <w:color w:val="105C84"/>
                <w:spacing w:val="-4"/>
                <w:sz w:val="18"/>
              </w:rPr>
              <w:t>3: </w:t>
            </w:r>
            <w:r>
              <w:rPr>
                <w:color w:val="105C84"/>
                <w:spacing w:val="-2"/>
                <w:sz w:val="18"/>
              </w:rPr>
              <w:t>Tobacco Prevention</w:t>
            </w:r>
          </w:p>
        </w:tc>
        <w:tc>
          <w:tcPr>
            <w:tcW w:w="1591" w:type="dxa"/>
            <w:tcBorders>
              <w:bottom w:val="nil"/>
            </w:tcBorders>
          </w:tcPr>
          <w:p>
            <w:pPr>
              <w:pStyle w:val="TableParagraph"/>
              <w:spacing w:line="232" w:lineRule="auto" w:before="101"/>
              <w:ind w:left="90" w:right="100"/>
              <w:rPr>
                <w:sz w:val="18"/>
              </w:rPr>
            </w:pPr>
            <w:r>
              <w:rPr>
                <w:color w:val="105C84"/>
                <w:sz w:val="18"/>
              </w:rPr>
              <w:t>Goal 3.3: </w:t>
            </w:r>
            <w:r>
              <w:rPr>
                <w:color w:val="105C84"/>
                <w:spacing w:val="-2"/>
                <w:sz w:val="18"/>
              </w:rPr>
              <w:t>Eliminate </w:t>
            </w:r>
            <w:r>
              <w:rPr>
                <w:color w:val="105C84"/>
                <w:sz w:val="18"/>
              </w:rPr>
              <w:t>exposure to </w:t>
            </w:r>
            <w:r>
              <w:rPr>
                <w:color w:val="105C84"/>
                <w:spacing w:val="-2"/>
                <w:sz w:val="18"/>
              </w:rPr>
              <w:t>secondhand </w:t>
            </w:r>
            <w:r>
              <w:rPr>
                <w:color w:val="105C84"/>
                <w:sz w:val="18"/>
              </w:rPr>
              <w:t>smoke (and vaping</w:t>
            </w:r>
            <w:r>
              <w:rPr>
                <w:color w:val="105C84"/>
                <w:spacing w:val="-13"/>
                <w:sz w:val="18"/>
              </w:rPr>
              <w:t> </w:t>
            </w:r>
            <w:r>
              <w:rPr>
                <w:color w:val="105C84"/>
                <w:sz w:val="18"/>
              </w:rPr>
              <w:t>products)</w:t>
            </w:r>
          </w:p>
        </w:tc>
        <w:tc>
          <w:tcPr>
            <w:tcW w:w="2412" w:type="dxa"/>
            <w:tcBorders>
              <w:bottom w:val="nil"/>
            </w:tcBorders>
          </w:tcPr>
          <w:p>
            <w:pPr>
              <w:pStyle w:val="TableParagraph"/>
              <w:spacing w:line="232" w:lineRule="auto" w:before="101"/>
              <w:ind w:left="90" w:right="92"/>
              <w:rPr>
                <w:sz w:val="18"/>
              </w:rPr>
            </w:pPr>
            <w:r>
              <w:rPr>
                <w:color w:val="105C84"/>
                <w:sz w:val="18"/>
              </w:rPr>
              <w:t>3.3.1 Decrease the percentage of adults (non-smokers)</w:t>
            </w:r>
            <w:r>
              <w:rPr>
                <w:color w:val="105C84"/>
                <w:spacing w:val="-8"/>
                <w:sz w:val="18"/>
              </w:rPr>
              <w:t> </w:t>
            </w:r>
            <w:r>
              <w:rPr>
                <w:color w:val="105C84"/>
                <w:sz w:val="18"/>
              </w:rPr>
              <w:t>living</w:t>
            </w:r>
            <w:r>
              <w:rPr>
                <w:color w:val="105C84"/>
                <w:spacing w:val="-8"/>
                <w:sz w:val="18"/>
              </w:rPr>
              <w:t> </w:t>
            </w:r>
            <w:r>
              <w:rPr>
                <w:color w:val="105C84"/>
                <w:sz w:val="18"/>
              </w:rPr>
              <w:t>in</w:t>
            </w:r>
            <w:r>
              <w:rPr>
                <w:color w:val="105C84"/>
                <w:spacing w:val="-8"/>
                <w:sz w:val="18"/>
              </w:rPr>
              <w:t> </w:t>
            </w:r>
            <w:r>
              <w:rPr>
                <w:color w:val="105C84"/>
                <w:sz w:val="18"/>
              </w:rPr>
              <w:t>multi-unit housing</w:t>
            </w:r>
            <w:r>
              <w:rPr>
                <w:color w:val="105C84"/>
                <w:spacing w:val="-12"/>
                <w:sz w:val="18"/>
              </w:rPr>
              <w:t> </w:t>
            </w:r>
            <w:r>
              <w:rPr>
                <w:color w:val="105C84"/>
                <w:sz w:val="18"/>
              </w:rPr>
              <w:t>who</w:t>
            </w:r>
            <w:r>
              <w:rPr>
                <w:color w:val="105C84"/>
                <w:spacing w:val="-12"/>
                <w:sz w:val="18"/>
              </w:rPr>
              <w:t> </w:t>
            </w:r>
            <w:r>
              <w:rPr>
                <w:color w:val="105C84"/>
                <w:sz w:val="18"/>
              </w:rPr>
              <w:t>were</w:t>
            </w:r>
            <w:r>
              <w:rPr>
                <w:color w:val="105C84"/>
                <w:spacing w:val="-12"/>
                <w:sz w:val="18"/>
              </w:rPr>
              <w:t> </w:t>
            </w:r>
            <w:r>
              <w:rPr>
                <w:color w:val="105C84"/>
                <w:sz w:val="18"/>
              </w:rPr>
              <w:t>exposed</w:t>
            </w:r>
            <w:r>
              <w:rPr>
                <w:color w:val="105C84"/>
                <w:sz w:val="18"/>
              </w:rPr>
              <w:t> to secondhand smoke in their homes</w:t>
            </w:r>
          </w:p>
          <w:p>
            <w:pPr>
              <w:pStyle w:val="TableParagraph"/>
              <w:spacing w:before="80"/>
              <w:ind w:left="90"/>
              <w:rPr>
                <w:sz w:val="18"/>
              </w:rPr>
            </w:pPr>
            <w:r>
              <w:rPr>
                <w:color w:val="105C84"/>
                <w:spacing w:val="-4"/>
                <w:sz w:val="18"/>
              </w:rPr>
              <w:t>Target:</w:t>
            </w:r>
            <w:r>
              <w:rPr>
                <w:color w:val="105C84"/>
                <w:spacing w:val="-1"/>
                <w:sz w:val="18"/>
              </w:rPr>
              <w:t> </w:t>
            </w:r>
            <w:r>
              <w:rPr>
                <w:color w:val="105C84"/>
                <w:spacing w:val="-2"/>
                <w:sz w:val="18"/>
              </w:rPr>
              <w:t>27.2%</w:t>
            </w:r>
          </w:p>
          <w:p>
            <w:pPr>
              <w:pStyle w:val="TableParagraph"/>
              <w:spacing w:before="83"/>
              <w:ind w:left="90"/>
              <w:rPr>
                <w:sz w:val="18"/>
              </w:rPr>
            </w:pPr>
            <w:r>
              <w:rPr>
                <w:color w:val="105C84"/>
                <w:spacing w:val="-4"/>
                <w:sz w:val="18"/>
              </w:rPr>
              <w:t>Baseline:</w:t>
            </w:r>
            <w:r>
              <w:rPr>
                <w:color w:val="105C84"/>
                <w:spacing w:val="-9"/>
                <w:sz w:val="18"/>
              </w:rPr>
              <w:t> </w:t>
            </w:r>
            <w:r>
              <w:rPr>
                <w:color w:val="105C84"/>
                <w:spacing w:val="-4"/>
                <w:sz w:val="18"/>
              </w:rPr>
              <w:t>35.2%</w:t>
            </w:r>
            <w:r>
              <w:rPr>
                <w:color w:val="105C84"/>
                <w:spacing w:val="33"/>
                <w:sz w:val="18"/>
              </w:rPr>
              <w:t> </w:t>
            </w:r>
            <w:r>
              <w:rPr>
                <w:color w:val="105C84"/>
                <w:spacing w:val="-4"/>
                <w:sz w:val="18"/>
              </w:rPr>
              <w:t>(2017)</w:t>
            </w:r>
          </w:p>
        </w:tc>
        <w:tc>
          <w:tcPr>
            <w:tcW w:w="1303" w:type="dxa"/>
            <w:vMerge w:val="restart"/>
          </w:tcPr>
          <w:p>
            <w:pPr>
              <w:pStyle w:val="TableParagraph"/>
              <w:rPr>
                <w:rFonts w:ascii="Times New Roman"/>
                <w:sz w:val="18"/>
              </w:rPr>
            </w:pPr>
          </w:p>
        </w:tc>
        <w:tc>
          <w:tcPr>
            <w:tcW w:w="3253" w:type="dxa"/>
            <w:vMerge w:val="restart"/>
            <w:tcBorders>
              <w:right w:val="nil"/>
            </w:tcBorders>
          </w:tcPr>
          <w:p>
            <w:pPr>
              <w:pStyle w:val="TableParagraph"/>
              <w:spacing w:line="232" w:lineRule="auto" w:before="100"/>
              <w:ind w:left="90" w:right="1156"/>
              <w:rPr>
                <w:sz w:val="18"/>
              </w:rPr>
            </w:pPr>
            <w:r>
              <w:rPr>
                <w:color w:val="105C84"/>
                <w:spacing w:val="-2"/>
                <w:sz w:val="18"/>
              </w:rPr>
              <w:t>3.3.1</w:t>
            </w:r>
            <w:r>
              <w:rPr>
                <w:color w:val="105C84"/>
                <w:spacing w:val="-13"/>
                <w:sz w:val="18"/>
              </w:rPr>
              <w:t> </w:t>
            </w:r>
            <w:r>
              <w:rPr>
                <w:color w:val="105C84"/>
                <w:spacing w:val="-2"/>
                <w:sz w:val="18"/>
              </w:rPr>
              <w:t>Promote</w:t>
            </w:r>
            <w:r>
              <w:rPr>
                <w:color w:val="105C84"/>
                <w:spacing w:val="-10"/>
                <w:sz w:val="18"/>
              </w:rPr>
              <w:t> </w:t>
            </w:r>
            <w:r>
              <w:rPr>
                <w:color w:val="105C84"/>
                <w:spacing w:val="-2"/>
                <w:sz w:val="18"/>
              </w:rPr>
              <w:t>smoke-</w:t>
            </w:r>
            <w:r>
              <w:rPr>
                <w:color w:val="105C84"/>
                <w:sz w:val="18"/>
              </w:rPr>
              <w:t>free and aerosol-free (from</w:t>
            </w:r>
            <w:r>
              <w:rPr>
                <w:color w:val="105C84"/>
                <w:spacing w:val="-15"/>
                <w:sz w:val="18"/>
              </w:rPr>
              <w:t> </w:t>
            </w:r>
            <w:r>
              <w:rPr>
                <w:color w:val="105C84"/>
                <w:sz w:val="18"/>
              </w:rPr>
              <w:t>electronic</w:t>
            </w:r>
            <w:r>
              <w:rPr>
                <w:color w:val="105C84"/>
                <w:spacing w:val="-12"/>
                <w:sz w:val="18"/>
              </w:rPr>
              <w:t> </w:t>
            </w:r>
            <w:r>
              <w:rPr>
                <w:color w:val="105C84"/>
                <w:sz w:val="18"/>
              </w:rPr>
              <w:t>vapor</w:t>
            </w:r>
          </w:p>
          <w:p>
            <w:pPr>
              <w:pStyle w:val="TableParagraph"/>
              <w:spacing w:line="232" w:lineRule="auto"/>
              <w:ind w:left="90" w:right="1026"/>
              <w:rPr>
                <w:sz w:val="18"/>
              </w:rPr>
            </w:pPr>
            <w:r>
              <w:rPr>
                <w:color w:val="105C84"/>
                <w:sz w:val="18"/>
              </w:rPr>
              <w:t>products)</w:t>
            </w:r>
            <w:r>
              <w:rPr>
                <w:color w:val="105C84"/>
                <w:spacing w:val="-4"/>
                <w:sz w:val="18"/>
              </w:rPr>
              <w:t> </w:t>
            </w:r>
            <w:r>
              <w:rPr>
                <w:color w:val="105C84"/>
                <w:sz w:val="18"/>
              </w:rPr>
              <w:t>policies</w:t>
            </w:r>
            <w:r>
              <w:rPr>
                <w:color w:val="105C84"/>
                <w:spacing w:val="-4"/>
                <w:sz w:val="18"/>
              </w:rPr>
              <w:t> </w:t>
            </w:r>
            <w:r>
              <w:rPr>
                <w:color w:val="105C84"/>
                <w:sz w:val="18"/>
              </w:rPr>
              <w:t>in</w:t>
            </w:r>
            <w:r>
              <w:rPr>
                <w:color w:val="105C84"/>
                <w:spacing w:val="-4"/>
                <w:sz w:val="18"/>
              </w:rPr>
              <w:t> </w:t>
            </w:r>
            <w:r>
              <w:rPr>
                <w:color w:val="105C84"/>
                <w:sz w:val="18"/>
              </w:rPr>
              <w:t>multi-unit housing, including apartment complexes, condominiums and co-ops, especially those that house low-SES residents</w:t>
            </w:r>
          </w:p>
        </w:tc>
        <w:tc>
          <w:tcPr>
            <w:tcW w:w="3882" w:type="dxa"/>
            <w:vMerge w:val="restart"/>
            <w:tcBorders>
              <w:left w:val="nil"/>
            </w:tcBorders>
          </w:tcPr>
          <w:p>
            <w:pPr>
              <w:pStyle w:val="TableParagraph"/>
              <w:numPr>
                <w:ilvl w:val="0"/>
                <w:numId w:val="58"/>
              </w:numPr>
              <w:tabs>
                <w:tab w:pos="1326" w:val="left" w:leader="none"/>
              </w:tabs>
              <w:spacing w:line="232" w:lineRule="auto" w:before="100" w:after="0"/>
              <w:ind w:left="1140" w:right="959" w:firstLine="0"/>
              <w:jc w:val="left"/>
              <w:rPr>
                <w:sz w:val="18"/>
              </w:rPr>
            </w:pPr>
            <w:r>
              <w:rPr>
                <w:color w:val="105C84"/>
                <w:sz w:val="18"/>
              </w:rPr>
              <w:t>#</w:t>
            </w:r>
            <w:r>
              <w:rPr>
                <w:color w:val="105C84"/>
                <w:spacing w:val="-5"/>
                <w:sz w:val="18"/>
              </w:rPr>
              <w:t> </w:t>
            </w:r>
            <w:r>
              <w:rPr>
                <w:color w:val="105C84"/>
                <w:sz w:val="18"/>
              </w:rPr>
              <w:t>multi-unit</w:t>
            </w:r>
            <w:r>
              <w:rPr>
                <w:color w:val="105C84"/>
                <w:spacing w:val="-5"/>
                <w:sz w:val="18"/>
              </w:rPr>
              <w:t> </w:t>
            </w:r>
            <w:r>
              <w:rPr>
                <w:color w:val="105C84"/>
                <w:sz w:val="18"/>
              </w:rPr>
              <w:t>housing complexes engaged</w:t>
            </w:r>
          </w:p>
          <w:p>
            <w:pPr>
              <w:pStyle w:val="TableParagraph"/>
              <w:numPr>
                <w:ilvl w:val="0"/>
                <w:numId w:val="58"/>
              </w:numPr>
              <w:tabs>
                <w:tab w:pos="1326" w:val="left" w:leader="none"/>
              </w:tabs>
              <w:spacing w:line="232" w:lineRule="auto" w:before="88" w:after="0"/>
              <w:ind w:left="1140" w:right="329" w:firstLine="0"/>
              <w:jc w:val="left"/>
              <w:rPr>
                <w:sz w:val="18"/>
              </w:rPr>
            </w:pPr>
            <w:r>
              <w:rPr>
                <w:color w:val="105C84"/>
                <w:sz w:val="18"/>
              </w:rPr>
              <w:t># multi-unit housing complexes to institute </w:t>
            </w:r>
            <w:r>
              <w:rPr>
                <w:color w:val="105C84"/>
                <w:sz w:val="18"/>
              </w:rPr>
              <w:t>smoke/ vape – free policies</w:t>
            </w:r>
          </w:p>
        </w:tc>
        <w:tc>
          <w:tcPr>
            <w:tcW w:w="1850" w:type="dxa"/>
            <w:tcBorders>
              <w:bottom w:val="nil"/>
            </w:tcBorders>
          </w:tcPr>
          <w:p>
            <w:pPr>
              <w:pStyle w:val="TableParagraph"/>
              <w:spacing w:line="336" w:lineRule="auto" w:before="95"/>
              <w:ind w:left="90" w:right="120"/>
              <w:rPr>
                <w:sz w:val="18"/>
              </w:rPr>
            </w:pPr>
            <w:r>
              <w:rPr>
                <w:color w:val="105C84"/>
                <w:spacing w:val="-2"/>
                <w:sz w:val="18"/>
              </w:rPr>
              <w:t>Housing</w:t>
            </w:r>
            <w:r>
              <w:rPr>
                <w:color w:val="105C84"/>
                <w:spacing w:val="-11"/>
                <w:sz w:val="18"/>
              </w:rPr>
              <w:t> </w:t>
            </w:r>
            <w:r>
              <w:rPr>
                <w:color w:val="105C84"/>
                <w:spacing w:val="-2"/>
                <w:sz w:val="18"/>
              </w:rPr>
              <w:t>agencies TACFL</w:t>
            </w:r>
          </w:p>
          <w:p>
            <w:pPr>
              <w:pStyle w:val="TableParagraph"/>
              <w:ind w:left="90"/>
              <w:rPr>
                <w:sz w:val="18"/>
              </w:rPr>
            </w:pPr>
            <w:r>
              <w:rPr>
                <w:color w:val="105C84"/>
                <w:spacing w:val="-4"/>
                <w:sz w:val="18"/>
              </w:rPr>
              <w:t>OCPH</w:t>
            </w:r>
          </w:p>
        </w:tc>
        <w:tc>
          <w:tcPr>
            <w:tcW w:w="2692" w:type="dxa"/>
            <w:tcBorders>
              <w:bottom w:val="nil"/>
            </w:tcBorders>
          </w:tcPr>
          <w:p>
            <w:pPr>
              <w:pStyle w:val="TableParagraph"/>
              <w:spacing w:line="232" w:lineRule="auto" w:before="100"/>
              <w:ind w:left="91" w:right="298"/>
              <w:rPr>
                <w:sz w:val="18"/>
              </w:rPr>
            </w:pPr>
            <w:r>
              <w:rPr>
                <w:color w:val="105C84"/>
                <w:sz w:val="18"/>
              </w:rPr>
              <w:t>Housing agencies: Development of </w:t>
            </w:r>
            <w:r>
              <w:rPr>
                <w:color w:val="105C84"/>
                <w:sz w:val="18"/>
              </w:rPr>
              <w:t>policies</w:t>
            </w:r>
          </w:p>
          <w:p>
            <w:pPr>
              <w:pStyle w:val="TableParagraph"/>
              <w:spacing w:line="232" w:lineRule="auto" w:before="88"/>
              <w:ind w:left="91"/>
              <w:rPr>
                <w:sz w:val="18"/>
              </w:rPr>
            </w:pPr>
            <w:r>
              <w:rPr>
                <w:color w:val="105C84"/>
                <w:spacing w:val="-2"/>
                <w:sz w:val="18"/>
              </w:rPr>
              <w:t>TACFL:</w:t>
            </w:r>
            <w:r>
              <w:rPr>
                <w:color w:val="105C84"/>
                <w:spacing w:val="-13"/>
                <w:sz w:val="18"/>
              </w:rPr>
              <w:t> </w:t>
            </w:r>
            <w:r>
              <w:rPr>
                <w:color w:val="105C84"/>
                <w:spacing w:val="-2"/>
                <w:sz w:val="18"/>
              </w:rPr>
              <w:t>Promotion</w:t>
            </w:r>
            <w:r>
              <w:rPr>
                <w:color w:val="105C84"/>
                <w:spacing w:val="-10"/>
                <w:sz w:val="18"/>
              </w:rPr>
              <w:t> </w:t>
            </w:r>
            <w:r>
              <w:rPr>
                <w:color w:val="105C84"/>
                <w:spacing w:val="-2"/>
                <w:sz w:val="18"/>
              </w:rPr>
              <w:t>and </w:t>
            </w:r>
            <w:r>
              <w:rPr>
                <w:color w:val="105C84"/>
                <w:sz w:val="18"/>
              </w:rPr>
              <w:t>assistance with policy </w:t>
            </w:r>
            <w:r>
              <w:rPr>
                <w:color w:val="105C84"/>
                <w:spacing w:val="-2"/>
                <w:sz w:val="18"/>
              </w:rPr>
              <w:t>development</w:t>
            </w:r>
          </w:p>
          <w:p>
            <w:pPr>
              <w:pStyle w:val="TableParagraph"/>
              <w:spacing w:line="232" w:lineRule="auto" w:before="88"/>
              <w:ind w:left="91" w:right="298"/>
              <w:rPr>
                <w:sz w:val="18"/>
              </w:rPr>
            </w:pPr>
            <w:r>
              <w:rPr>
                <w:color w:val="105C84"/>
                <w:sz w:val="18"/>
              </w:rPr>
              <w:t>OCPH:</w:t>
            </w:r>
            <w:r>
              <w:rPr>
                <w:color w:val="105C84"/>
                <w:spacing w:val="-15"/>
                <w:sz w:val="18"/>
              </w:rPr>
              <w:t> </w:t>
            </w:r>
            <w:r>
              <w:rPr>
                <w:color w:val="105C84"/>
                <w:sz w:val="18"/>
              </w:rPr>
              <w:t>Education</w:t>
            </w:r>
            <w:r>
              <w:rPr>
                <w:color w:val="105C84"/>
                <w:spacing w:val="-12"/>
                <w:sz w:val="18"/>
              </w:rPr>
              <w:t> </w:t>
            </w:r>
            <w:r>
              <w:rPr>
                <w:color w:val="105C84"/>
                <w:sz w:val="18"/>
              </w:rPr>
              <w:t>and cessation support</w:t>
            </w:r>
          </w:p>
        </w:tc>
        <w:tc>
          <w:tcPr>
            <w:tcW w:w="2313" w:type="dxa"/>
            <w:tcBorders>
              <w:bottom w:val="nil"/>
            </w:tcBorders>
          </w:tcPr>
          <w:p>
            <w:pPr>
              <w:pStyle w:val="TableParagraph"/>
              <w:spacing w:line="232" w:lineRule="auto" w:before="100"/>
              <w:ind w:left="91"/>
              <w:rPr>
                <w:sz w:val="18"/>
              </w:rPr>
            </w:pPr>
            <w:r>
              <w:rPr>
                <w:color w:val="105C84"/>
                <w:spacing w:val="-2"/>
                <w:sz w:val="18"/>
              </w:rPr>
              <w:t>TACFL:</w:t>
            </w:r>
            <w:r>
              <w:rPr>
                <w:color w:val="105C84"/>
                <w:spacing w:val="-13"/>
                <w:sz w:val="18"/>
              </w:rPr>
              <w:t> </w:t>
            </w:r>
            <w:r>
              <w:rPr>
                <w:color w:val="105C84"/>
                <w:spacing w:val="-2"/>
                <w:sz w:val="18"/>
              </w:rPr>
              <w:t>See</w:t>
            </w:r>
            <w:r>
              <w:rPr>
                <w:color w:val="105C84"/>
                <w:spacing w:val="-10"/>
                <w:sz w:val="18"/>
              </w:rPr>
              <w:t> </w:t>
            </w:r>
            <w:r>
              <w:rPr>
                <w:color w:val="105C84"/>
                <w:spacing w:val="-2"/>
                <w:sz w:val="18"/>
              </w:rPr>
              <w:t>Intervention 3.1.2</w:t>
            </w:r>
          </w:p>
          <w:p>
            <w:pPr>
              <w:pStyle w:val="TableParagraph"/>
              <w:spacing w:before="83"/>
              <w:ind w:left="91"/>
              <w:rPr>
                <w:sz w:val="18"/>
              </w:rPr>
            </w:pPr>
            <w:r>
              <w:rPr>
                <w:color w:val="105C84"/>
                <w:spacing w:val="-4"/>
                <w:sz w:val="18"/>
              </w:rPr>
              <w:t>OCPH:</w:t>
            </w:r>
            <w:r>
              <w:rPr>
                <w:color w:val="105C84"/>
                <w:spacing w:val="-6"/>
                <w:sz w:val="18"/>
              </w:rPr>
              <w:t> </w:t>
            </w:r>
            <w:r>
              <w:rPr>
                <w:color w:val="105C84"/>
                <w:spacing w:val="-4"/>
                <w:sz w:val="18"/>
              </w:rPr>
              <w:t>.05</w:t>
            </w:r>
            <w:r>
              <w:rPr>
                <w:color w:val="105C84"/>
                <w:spacing w:val="-5"/>
                <w:sz w:val="18"/>
              </w:rPr>
              <w:t> FTE</w:t>
            </w:r>
          </w:p>
        </w:tc>
      </w:tr>
      <w:tr>
        <w:trPr>
          <w:trHeight w:val="82" w:hRule="atLeast"/>
        </w:trPr>
        <w:tc>
          <w:tcPr>
            <w:tcW w:w="1353" w:type="dxa"/>
            <w:vMerge w:val="restart"/>
            <w:tcBorders>
              <w:top w:val="nil"/>
              <w:bottom w:val="nil"/>
            </w:tcBorders>
            <w:shd w:val="clear" w:color="auto" w:fill="E6E7E8"/>
          </w:tcPr>
          <w:p>
            <w:pPr>
              <w:pStyle w:val="TableParagraph"/>
              <w:rPr>
                <w:rFonts w:ascii="Times New Roman"/>
                <w:sz w:val="18"/>
              </w:rPr>
            </w:pPr>
          </w:p>
        </w:tc>
        <w:tc>
          <w:tcPr>
            <w:tcW w:w="1289" w:type="dxa"/>
            <w:vMerge w:val="restart"/>
            <w:tcBorders>
              <w:top w:val="nil"/>
              <w:bottom w:val="nil"/>
            </w:tcBorders>
          </w:tcPr>
          <w:p>
            <w:pPr>
              <w:pStyle w:val="TableParagraph"/>
              <w:rPr>
                <w:rFonts w:ascii="Times New Roman"/>
                <w:sz w:val="18"/>
              </w:rPr>
            </w:pPr>
          </w:p>
        </w:tc>
        <w:tc>
          <w:tcPr>
            <w:tcW w:w="1591" w:type="dxa"/>
            <w:vMerge w:val="restart"/>
            <w:tcBorders>
              <w:top w:val="nil"/>
              <w:bottom w:val="nil"/>
            </w:tcBorders>
          </w:tcPr>
          <w:p>
            <w:pPr>
              <w:pStyle w:val="TableParagraph"/>
              <w:rPr>
                <w:rFonts w:ascii="Times New Roman"/>
                <w:sz w:val="18"/>
              </w:rPr>
            </w:pPr>
          </w:p>
        </w:tc>
        <w:tc>
          <w:tcPr>
            <w:tcW w:w="2412" w:type="dxa"/>
            <w:vMerge w:val="restart"/>
            <w:tcBorders>
              <w:top w:val="nil"/>
              <w:bottom w:val="nil"/>
            </w:tcBorders>
          </w:tcPr>
          <w:p>
            <w:pPr>
              <w:pStyle w:val="TableParagraph"/>
              <w:spacing w:line="336" w:lineRule="auto" w:before="28"/>
              <w:ind w:left="90" w:right="203"/>
              <w:rPr>
                <w:sz w:val="18"/>
              </w:rPr>
            </w:pPr>
            <w:r>
              <w:rPr>
                <w:color w:val="105C84"/>
                <w:spacing w:val="-6"/>
                <w:sz w:val="18"/>
              </w:rPr>
              <w:t>Data</w:t>
            </w:r>
            <w:r>
              <w:rPr>
                <w:color w:val="105C84"/>
                <w:spacing w:val="-7"/>
                <w:sz w:val="18"/>
              </w:rPr>
              <w:t> </w:t>
            </w:r>
            <w:r>
              <w:rPr>
                <w:color w:val="105C84"/>
                <w:spacing w:val="-6"/>
                <w:sz w:val="18"/>
              </w:rPr>
              <w:t>Source: NYS</w:t>
            </w:r>
            <w:r>
              <w:rPr>
                <w:color w:val="105C84"/>
                <w:spacing w:val="-7"/>
                <w:sz w:val="18"/>
              </w:rPr>
              <w:t> </w:t>
            </w:r>
            <w:r>
              <w:rPr>
                <w:color w:val="105C84"/>
                <w:spacing w:val="-6"/>
                <w:sz w:val="18"/>
              </w:rPr>
              <w:t>ATS </w:t>
            </w:r>
            <w:r>
              <w:rPr>
                <w:color w:val="105C84"/>
                <w:sz w:val="18"/>
              </w:rPr>
              <w:t>Data Level: State</w:t>
            </w:r>
          </w:p>
          <w:p>
            <w:pPr>
              <w:pStyle w:val="TableParagraph"/>
              <w:spacing w:line="232" w:lineRule="auto" w:before="5"/>
              <w:ind w:left="90" w:right="110"/>
              <w:rPr>
                <w:sz w:val="18"/>
              </w:rPr>
            </w:pPr>
            <w:r>
              <w:rPr>
                <w:color w:val="105C84"/>
                <w:sz w:val="18"/>
              </w:rPr>
              <w:t>3.3.2 Decrease the percentage of youth</w:t>
            </w:r>
            <w:r>
              <w:rPr>
                <w:color w:val="105C84"/>
                <w:spacing w:val="40"/>
                <w:sz w:val="18"/>
              </w:rPr>
              <w:t> </w:t>
            </w:r>
            <w:r>
              <w:rPr>
                <w:color w:val="105C84"/>
                <w:sz w:val="18"/>
              </w:rPr>
              <w:t>(middle and high school students) who were in a room where someone was smoking</w:t>
            </w:r>
            <w:r>
              <w:rPr>
                <w:color w:val="105C84"/>
                <w:spacing w:val="-9"/>
                <w:sz w:val="18"/>
              </w:rPr>
              <w:t> </w:t>
            </w:r>
            <w:r>
              <w:rPr>
                <w:color w:val="105C84"/>
                <w:sz w:val="18"/>
              </w:rPr>
              <w:t>on</w:t>
            </w:r>
            <w:r>
              <w:rPr>
                <w:color w:val="105C84"/>
                <w:spacing w:val="-9"/>
                <w:sz w:val="18"/>
              </w:rPr>
              <w:t> </w:t>
            </w:r>
            <w:r>
              <w:rPr>
                <w:color w:val="105C84"/>
                <w:sz w:val="18"/>
              </w:rPr>
              <w:t>at</w:t>
            </w:r>
            <w:r>
              <w:rPr>
                <w:color w:val="105C84"/>
                <w:spacing w:val="-9"/>
                <w:sz w:val="18"/>
              </w:rPr>
              <w:t> </w:t>
            </w:r>
            <w:r>
              <w:rPr>
                <w:color w:val="105C84"/>
                <w:sz w:val="18"/>
              </w:rPr>
              <w:t>least</w:t>
            </w:r>
            <w:r>
              <w:rPr>
                <w:color w:val="105C84"/>
                <w:spacing w:val="-9"/>
                <w:sz w:val="18"/>
              </w:rPr>
              <w:t> </w:t>
            </w:r>
            <w:r>
              <w:rPr>
                <w:color w:val="105C84"/>
                <w:sz w:val="18"/>
              </w:rPr>
              <w:t>1</w:t>
            </w:r>
            <w:r>
              <w:rPr>
                <w:color w:val="105C84"/>
                <w:spacing w:val="-9"/>
                <w:sz w:val="18"/>
              </w:rPr>
              <w:t> </w:t>
            </w:r>
            <w:r>
              <w:rPr>
                <w:color w:val="105C84"/>
                <w:sz w:val="18"/>
              </w:rPr>
              <w:t>day</w:t>
            </w:r>
            <w:r>
              <w:rPr>
                <w:color w:val="105C84"/>
                <w:spacing w:val="-9"/>
                <w:sz w:val="18"/>
              </w:rPr>
              <w:t> </w:t>
            </w:r>
            <w:r>
              <w:rPr>
                <w:color w:val="105C84"/>
                <w:sz w:val="18"/>
              </w:rPr>
              <w:t>in</w:t>
            </w:r>
            <w:r>
              <w:rPr>
                <w:color w:val="105C84"/>
                <w:sz w:val="18"/>
              </w:rPr>
              <w:t> the past 7 days</w:t>
            </w:r>
          </w:p>
        </w:tc>
        <w:tc>
          <w:tcPr>
            <w:tcW w:w="1303" w:type="dxa"/>
            <w:vMerge/>
            <w:tcBorders>
              <w:top w:val="nil"/>
            </w:tcBorders>
          </w:tcPr>
          <w:p>
            <w:pPr>
              <w:rPr>
                <w:sz w:val="2"/>
                <w:szCs w:val="2"/>
              </w:rPr>
            </w:pPr>
          </w:p>
        </w:tc>
        <w:tc>
          <w:tcPr>
            <w:tcW w:w="3253" w:type="dxa"/>
            <w:vMerge/>
            <w:tcBorders>
              <w:top w:val="nil"/>
              <w:right w:val="nil"/>
            </w:tcBorders>
          </w:tcPr>
          <w:p>
            <w:pPr>
              <w:rPr>
                <w:sz w:val="2"/>
                <w:szCs w:val="2"/>
              </w:rPr>
            </w:pPr>
          </w:p>
        </w:tc>
        <w:tc>
          <w:tcPr>
            <w:tcW w:w="3882" w:type="dxa"/>
            <w:vMerge/>
            <w:tcBorders>
              <w:top w:val="nil"/>
              <w:left w:val="nil"/>
            </w:tcBorders>
          </w:tcPr>
          <w:p>
            <w:pPr>
              <w:rPr>
                <w:sz w:val="2"/>
                <w:szCs w:val="2"/>
              </w:rPr>
            </w:pPr>
          </w:p>
        </w:tc>
        <w:tc>
          <w:tcPr>
            <w:tcW w:w="1850" w:type="dxa"/>
            <w:tcBorders>
              <w:top w:val="nil"/>
            </w:tcBorders>
          </w:tcPr>
          <w:p>
            <w:pPr>
              <w:pStyle w:val="TableParagraph"/>
              <w:rPr>
                <w:rFonts w:ascii="Times New Roman"/>
                <w:sz w:val="2"/>
              </w:rPr>
            </w:pPr>
          </w:p>
        </w:tc>
        <w:tc>
          <w:tcPr>
            <w:tcW w:w="2692" w:type="dxa"/>
            <w:tcBorders>
              <w:top w:val="nil"/>
            </w:tcBorders>
          </w:tcPr>
          <w:p>
            <w:pPr>
              <w:pStyle w:val="TableParagraph"/>
              <w:rPr>
                <w:rFonts w:ascii="Times New Roman"/>
                <w:sz w:val="2"/>
              </w:rPr>
            </w:pPr>
          </w:p>
        </w:tc>
        <w:tc>
          <w:tcPr>
            <w:tcW w:w="2313" w:type="dxa"/>
            <w:tcBorders>
              <w:top w:val="nil"/>
            </w:tcBorders>
          </w:tcPr>
          <w:p>
            <w:pPr>
              <w:pStyle w:val="TableParagraph"/>
              <w:rPr>
                <w:rFonts w:ascii="Times New Roman"/>
                <w:sz w:val="2"/>
              </w:rPr>
            </w:pPr>
          </w:p>
        </w:tc>
      </w:tr>
      <w:tr>
        <w:trPr>
          <w:trHeight w:val="1967" w:hRule="atLeast"/>
        </w:trPr>
        <w:tc>
          <w:tcPr>
            <w:tcW w:w="1353" w:type="dxa"/>
            <w:vMerge/>
            <w:tcBorders>
              <w:top w:val="nil"/>
              <w:bottom w:val="nil"/>
            </w:tcBorders>
            <w:shd w:val="clear" w:color="auto" w:fill="E6E7E8"/>
          </w:tcPr>
          <w:p>
            <w:pPr>
              <w:rPr>
                <w:sz w:val="2"/>
                <w:szCs w:val="2"/>
              </w:rPr>
            </w:pPr>
          </w:p>
        </w:tc>
        <w:tc>
          <w:tcPr>
            <w:tcW w:w="1289" w:type="dxa"/>
            <w:vMerge/>
            <w:tcBorders>
              <w:top w:val="nil"/>
              <w:bottom w:val="nil"/>
            </w:tcBorders>
          </w:tcPr>
          <w:p>
            <w:pPr>
              <w:rPr>
                <w:sz w:val="2"/>
                <w:szCs w:val="2"/>
              </w:rPr>
            </w:pPr>
          </w:p>
        </w:tc>
        <w:tc>
          <w:tcPr>
            <w:tcW w:w="1591" w:type="dxa"/>
            <w:vMerge/>
            <w:tcBorders>
              <w:top w:val="nil"/>
              <w:bottom w:val="nil"/>
            </w:tcBorders>
          </w:tcPr>
          <w:p>
            <w:pPr>
              <w:rPr>
                <w:sz w:val="2"/>
                <w:szCs w:val="2"/>
              </w:rPr>
            </w:pPr>
          </w:p>
        </w:tc>
        <w:tc>
          <w:tcPr>
            <w:tcW w:w="2412" w:type="dxa"/>
            <w:vMerge/>
            <w:tcBorders>
              <w:top w:val="nil"/>
              <w:bottom w:val="nil"/>
            </w:tcBorders>
          </w:tcPr>
          <w:p>
            <w:pPr>
              <w:rPr>
                <w:sz w:val="2"/>
                <w:szCs w:val="2"/>
              </w:rPr>
            </w:pPr>
          </w:p>
        </w:tc>
        <w:tc>
          <w:tcPr>
            <w:tcW w:w="1303" w:type="dxa"/>
            <w:vMerge/>
            <w:tcBorders>
              <w:top w:val="nil"/>
            </w:tcBorders>
          </w:tcPr>
          <w:p>
            <w:pPr>
              <w:rPr>
                <w:sz w:val="2"/>
                <w:szCs w:val="2"/>
              </w:rPr>
            </w:pPr>
          </w:p>
        </w:tc>
        <w:tc>
          <w:tcPr>
            <w:tcW w:w="3253" w:type="dxa"/>
            <w:vMerge w:val="restart"/>
            <w:tcBorders>
              <w:right w:val="nil"/>
            </w:tcBorders>
          </w:tcPr>
          <w:p>
            <w:pPr>
              <w:pStyle w:val="TableParagraph"/>
              <w:spacing w:line="232" w:lineRule="auto" w:before="100"/>
              <w:ind w:left="90" w:right="1026"/>
              <w:rPr>
                <w:sz w:val="18"/>
              </w:rPr>
            </w:pPr>
            <w:r>
              <w:rPr>
                <w:color w:val="105C84"/>
                <w:spacing w:val="-2"/>
                <w:sz w:val="18"/>
              </w:rPr>
              <w:t>3.3.2</w:t>
            </w:r>
            <w:r>
              <w:rPr>
                <w:color w:val="105C84"/>
                <w:spacing w:val="-11"/>
                <w:sz w:val="18"/>
              </w:rPr>
              <w:t> </w:t>
            </w:r>
            <w:r>
              <w:rPr>
                <w:color w:val="105C84"/>
                <w:spacing w:val="-2"/>
                <w:sz w:val="18"/>
              </w:rPr>
              <w:t>Increase</w:t>
            </w:r>
            <w:r>
              <w:rPr>
                <w:color w:val="105C84"/>
                <w:spacing w:val="-10"/>
                <w:sz w:val="18"/>
              </w:rPr>
              <w:t> </w:t>
            </w:r>
            <w:r>
              <w:rPr>
                <w:color w:val="105C84"/>
                <w:spacing w:val="-2"/>
                <w:sz w:val="18"/>
              </w:rPr>
              <w:t>the</w:t>
            </w:r>
            <w:r>
              <w:rPr>
                <w:color w:val="105C84"/>
                <w:spacing w:val="-11"/>
                <w:sz w:val="18"/>
              </w:rPr>
              <w:t> </w:t>
            </w:r>
            <w:r>
              <w:rPr>
                <w:color w:val="105C84"/>
                <w:spacing w:val="-2"/>
                <w:sz w:val="18"/>
              </w:rPr>
              <w:t>numbe</w:t>
            </w:r>
            <w:r>
              <w:rPr>
                <w:color w:val="105C84"/>
                <w:spacing w:val="-2"/>
                <w:sz w:val="18"/>
              </w:rPr>
              <w:t>r</w:t>
            </w:r>
            <w:r>
              <w:rPr>
                <w:color w:val="105C84"/>
                <w:spacing w:val="-2"/>
                <w:sz w:val="18"/>
              </w:rPr>
              <w:t> </w:t>
            </w:r>
            <w:r>
              <w:rPr>
                <w:color w:val="105C84"/>
                <w:sz w:val="18"/>
              </w:rPr>
              <w:t>of smoke-free parks, beaches, playgrounds, college and other public </w:t>
            </w:r>
            <w:r>
              <w:rPr>
                <w:color w:val="105C84"/>
                <w:spacing w:val="-2"/>
                <w:sz w:val="18"/>
              </w:rPr>
              <w:t>spaces</w:t>
            </w:r>
          </w:p>
        </w:tc>
        <w:tc>
          <w:tcPr>
            <w:tcW w:w="3882" w:type="dxa"/>
            <w:vMerge w:val="restart"/>
            <w:tcBorders>
              <w:left w:val="nil"/>
            </w:tcBorders>
          </w:tcPr>
          <w:p>
            <w:pPr>
              <w:pStyle w:val="TableParagraph"/>
              <w:numPr>
                <w:ilvl w:val="0"/>
                <w:numId w:val="59"/>
              </w:numPr>
              <w:tabs>
                <w:tab w:pos="1326" w:val="left" w:leader="none"/>
              </w:tabs>
              <w:spacing w:line="240" w:lineRule="auto" w:before="95" w:after="0"/>
              <w:ind w:left="1326" w:right="0" w:hanging="186"/>
              <w:jc w:val="left"/>
              <w:rPr>
                <w:sz w:val="18"/>
              </w:rPr>
            </w:pPr>
            <w:r>
              <w:rPr>
                <w:color w:val="105C84"/>
                <w:sz w:val="18"/>
              </w:rPr>
              <w:t>#</w:t>
            </w:r>
            <w:r>
              <w:rPr>
                <w:color w:val="105C84"/>
                <w:spacing w:val="-4"/>
                <w:sz w:val="18"/>
              </w:rPr>
              <w:t> </w:t>
            </w:r>
            <w:r>
              <w:rPr>
                <w:color w:val="105C84"/>
                <w:sz w:val="18"/>
              </w:rPr>
              <w:t>municipalities</w:t>
            </w:r>
            <w:r>
              <w:rPr>
                <w:color w:val="105C84"/>
                <w:spacing w:val="-3"/>
                <w:sz w:val="18"/>
              </w:rPr>
              <w:t> </w:t>
            </w:r>
            <w:r>
              <w:rPr>
                <w:color w:val="105C84"/>
                <w:spacing w:val="-2"/>
                <w:sz w:val="18"/>
              </w:rPr>
              <w:t>engaged</w:t>
            </w:r>
          </w:p>
          <w:p>
            <w:pPr>
              <w:pStyle w:val="TableParagraph"/>
              <w:numPr>
                <w:ilvl w:val="0"/>
                <w:numId w:val="59"/>
              </w:numPr>
              <w:tabs>
                <w:tab w:pos="1326" w:val="left" w:leader="none"/>
              </w:tabs>
              <w:spacing w:line="232" w:lineRule="auto" w:before="88" w:after="0"/>
              <w:ind w:left="1140" w:right="419" w:firstLine="0"/>
              <w:jc w:val="left"/>
              <w:rPr>
                <w:sz w:val="18"/>
              </w:rPr>
            </w:pPr>
            <w:r>
              <w:rPr>
                <w:color w:val="105C84"/>
                <w:sz w:val="18"/>
              </w:rPr>
              <w:t>#</w:t>
            </w:r>
            <w:r>
              <w:rPr>
                <w:color w:val="105C84"/>
                <w:spacing w:val="-5"/>
                <w:sz w:val="18"/>
              </w:rPr>
              <w:t> </w:t>
            </w:r>
            <w:r>
              <w:rPr>
                <w:color w:val="105C84"/>
                <w:sz w:val="18"/>
              </w:rPr>
              <w:t>public</w:t>
            </w:r>
            <w:r>
              <w:rPr>
                <w:color w:val="105C84"/>
                <w:spacing w:val="-5"/>
                <w:sz w:val="18"/>
              </w:rPr>
              <w:t> </w:t>
            </w:r>
            <w:r>
              <w:rPr>
                <w:color w:val="105C84"/>
                <w:sz w:val="18"/>
              </w:rPr>
              <w:t>spaces</w:t>
            </w:r>
            <w:r>
              <w:rPr>
                <w:color w:val="105C84"/>
                <w:spacing w:val="-5"/>
                <w:sz w:val="18"/>
              </w:rPr>
              <w:t> </w:t>
            </w:r>
            <w:r>
              <w:rPr>
                <w:color w:val="105C84"/>
                <w:sz w:val="18"/>
              </w:rPr>
              <w:t>to</w:t>
            </w:r>
            <w:r>
              <w:rPr>
                <w:color w:val="105C84"/>
                <w:spacing w:val="-5"/>
                <w:sz w:val="18"/>
              </w:rPr>
              <w:t> </w:t>
            </w:r>
            <w:r>
              <w:rPr>
                <w:color w:val="105C84"/>
                <w:sz w:val="18"/>
              </w:rPr>
              <w:t>institute smoke/vape – free policies</w:t>
            </w:r>
          </w:p>
        </w:tc>
        <w:tc>
          <w:tcPr>
            <w:tcW w:w="1850" w:type="dxa"/>
            <w:tcBorders>
              <w:bottom w:val="nil"/>
            </w:tcBorders>
          </w:tcPr>
          <w:p>
            <w:pPr>
              <w:pStyle w:val="TableParagraph"/>
              <w:spacing w:line="336" w:lineRule="auto" w:before="95"/>
              <w:ind w:left="90" w:right="631"/>
              <w:rPr>
                <w:sz w:val="18"/>
              </w:rPr>
            </w:pPr>
            <w:r>
              <w:rPr>
                <w:color w:val="105C84"/>
                <w:spacing w:val="-2"/>
                <w:sz w:val="18"/>
              </w:rPr>
              <w:t>Municipalities Colleges TACFL</w:t>
            </w:r>
          </w:p>
        </w:tc>
        <w:tc>
          <w:tcPr>
            <w:tcW w:w="2692" w:type="dxa"/>
            <w:tcBorders>
              <w:bottom w:val="nil"/>
            </w:tcBorders>
          </w:tcPr>
          <w:p>
            <w:pPr>
              <w:pStyle w:val="TableParagraph"/>
              <w:spacing w:line="232" w:lineRule="auto" w:before="100"/>
              <w:ind w:left="91"/>
              <w:rPr>
                <w:sz w:val="18"/>
              </w:rPr>
            </w:pPr>
            <w:r>
              <w:rPr>
                <w:color w:val="105C84"/>
                <w:sz w:val="18"/>
              </w:rPr>
              <w:t>Municipalities: Development </w:t>
            </w:r>
            <w:r>
              <w:rPr>
                <w:color w:val="105C84"/>
                <w:sz w:val="18"/>
              </w:rPr>
              <w:t>of </w:t>
            </w:r>
            <w:r>
              <w:rPr>
                <w:color w:val="105C84"/>
                <w:spacing w:val="-2"/>
                <w:w w:val="105"/>
                <w:sz w:val="18"/>
              </w:rPr>
              <w:t>policies</w:t>
            </w:r>
          </w:p>
          <w:p>
            <w:pPr>
              <w:pStyle w:val="TableParagraph"/>
              <w:spacing w:line="232" w:lineRule="auto" w:before="88"/>
              <w:ind w:left="91"/>
              <w:rPr>
                <w:sz w:val="18"/>
              </w:rPr>
            </w:pPr>
            <w:r>
              <w:rPr>
                <w:color w:val="105C84"/>
                <w:sz w:val="18"/>
              </w:rPr>
              <w:t>Colleges:</w:t>
            </w:r>
            <w:r>
              <w:rPr>
                <w:color w:val="105C84"/>
                <w:spacing w:val="-1"/>
                <w:sz w:val="18"/>
              </w:rPr>
              <w:t> </w:t>
            </w:r>
            <w:r>
              <w:rPr>
                <w:color w:val="105C84"/>
                <w:sz w:val="18"/>
              </w:rPr>
              <w:t>Development</w:t>
            </w:r>
            <w:r>
              <w:rPr>
                <w:color w:val="105C84"/>
                <w:spacing w:val="-1"/>
                <w:sz w:val="18"/>
              </w:rPr>
              <w:t> </w:t>
            </w:r>
            <w:r>
              <w:rPr>
                <w:color w:val="105C84"/>
                <w:sz w:val="18"/>
              </w:rPr>
              <w:t>of </w:t>
            </w:r>
            <w:r>
              <w:rPr>
                <w:color w:val="105C84"/>
                <w:spacing w:val="-2"/>
                <w:sz w:val="18"/>
              </w:rPr>
              <w:t>policies</w:t>
            </w:r>
          </w:p>
          <w:p>
            <w:pPr>
              <w:pStyle w:val="TableParagraph"/>
              <w:spacing w:line="232" w:lineRule="auto" w:before="89"/>
              <w:ind w:left="91"/>
              <w:rPr>
                <w:sz w:val="18"/>
              </w:rPr>
            </w:pPr>
            <w:r>
              <w:rPr>
                <w:color w:val="105C84"/>
                <w:spacing w:val="-2"/>
                <w:sz w:val="18"/>
              </w:rPr>
              <w:t>TACFL:</w:t>
            </w:r>
            <w:r>
              <w:rPr>
                <w:color w:val="105C84"/>
                <w:spacing w:val="-13"/>
                <w:sz w:val="18"/>
              </w:rPr>
              <w:t> </w:t>
            </w:r>
            <w:r>
              <w:rPr>
                <w:color w:val="105C84"/>
                <w:spacing w:val="-2"/>
                <w:sz w:val="18"/>
              </w:rPr>
              <w:t>Promotion</w:t>
            </w:r>
            <w:r>
              <w:rPr>
                <w:color w:val="105C84"/>
                <w:spacing w:val="-10"/>
                <w:sz w:val="18"/>
              </w:rPr>
              <w:t> </w:t>
            </w:r>
            <w:r>
              <w:rPr>
                <w:color w:val="105C84"/>
                <w:spacing w:val="-2"/>
                <w:sz w:val="18"/>
              </w:rPr>
              <w:t>and </w:t>
            </w:r>
            <w:r>
              <w:rPr>
                <w:color w:val="105C84"/>
                <w:sz w:val="18"/>
              </w:rPr>
              <w:t>assistance with policy </w:t>
            </w:r>
            <w:r>
              <w:rPr>
                <w:color w:val="105C84"/>
                <w:spacing w:val="-2"/>
                <w:sz w:val="18"/>
              </w:rPr>
              <w:t>development</w:t>
            </w:r>
          </w:p>
        </w:tc>
        <w:tc>
          <w:tcPr>
            <w:tcW w:w="2313" w:type="dxa"/>
            <w:tcBorders>
              <w:bottom w:val="nil"/>
            </w:tcBorders>
          </w:tcPr>
          <w:p>
            <w:pPr>
              <w:pStyle w:val="TableParagraph"/>
              <w:spacing w:line="232" w:lineRule="auto" w:before="100"/>
              <w:ind w:left="91"/>
              <w:rPr>
                <w:sz w:val="18"/>
              </w:rPr>
            </w:pPr>
            <w:r>
              <w:rPr>
                <w:color w:val="105C84"/>
                <w:spacing w:val="-2"/>
                <w:sz w:val="18"/>
              </w:rPr>
              <w:t>TACFL:</w:t>
            </w:r>
            <w:r>
              <w:rPr>
                <w:color w:val="105C84"/>
                <w:spacing w:val="-13"/>
                <w:sz w:val="18"/>
              </w:rPr>
              <w:t> </w:t>
            </w:r>
            <w:r>
              <w:rPr>
                <w:color w:val="105C84"/>
                <w:spacing w:val="-2"/>
                <w:sz w:val="18"/>
              </w:rPr>
              <w:t>See</w:t>
            </w:r>
            <w:r>
              <w:rPr>
                <w:color w:val="105C84"/>
                <w:spacing w:val="-10"/>
                <w:sz w:val="18"/>
              </w:rPr>
              <w:t> </w:t>
            </w:r>
            <w:r>
              <w:rPr>
                <w:color w:val="105C84"/>
                <w:spacing w:val="-2"/>
                <w:sz w:val="18"/>
              </w:rPr>
              <w:t>Intervention 3.1.2</w:t>
            </w:r>
          </w:p>
        </w:tc>
      </w:tr>
      <w:tr>
        <w:trPr>
          <w:trHeight w:val="42" w:hRule="atLeast"/>
        </w:trPr>
        <w:tc>
          <w:tcPr>
            <w:tcW w:w="1353" w:type="dxa"/>
            <w:vMerge w:val="restart"/>
            <w:tcBorders>
              <w:top w:val="nil"/>
              <w:bottom w:val="nil"/>
            </w:tcBorders>
            <w:shd w:val="clear" w:color="auto" w:fill="E6E7E8"/>
          </w:tcPr>
          <w:p>
            <w:pPr>
              <w:pStyle w:val="TableParagraph"/>
              <w:rPr>
                <w:rFonts w:ascii="Times New Roman"/>
                <w:sz w:val="18"/>
              </w:rPr>
            </w:pPr>
          </w:p>
        </w:tc>
        <w:tc>
          <w:tcPr>
            <w:tcW w:w="1289" w:type="dxa"/>
            <w:vMerge w:val="restart"/>
            <w:tcBorders>
              <w:top w:val="nil"/>
              <w:bottom w:val="nil"/>
            </w:tcBorders>
          </w:tcPr>
          <w:p>
            <w:pPr>
              <w:pStyle w:val="TableParagraph"/>
              <w:rPr>
                <w:rFonts w:ascii="Times New Roman"/>
                <w:sz w:val="18"/>
              </w:rPr>
            </w:pPr>
          </w:p>
        </w:tc>
        <w:tc>
          <w:tcPr>
            <w:tcW w:w="1591" w:type="dxa"/>
            <w:vMerge w:val="restart"/>
            <w:tcBorders>
              <w:top w:val="nil"/>
              <w:bottom w:val="nil"/>
            </w:tcBorders>
          </w:tcPr>
          <w:p>
            <w:pPr>
              <w:pStyle w:val="TableParagraph"/>
              <w:rPr>
                <w:rFonts w:ascii="Times New Roman"/>
                <w:sz w:val="18"/>
              </w:rPr>
            </w:pPr>
          </w:p>
        </w:tc>
        <w:tc>
          <w:tcPr>
            <w:tcW w:w="2412" w:type="dxa"/>
            <w:vMerge w:val="restart"/>
            <w:tcBorders>
              <w:top w:val="nil"/>
              <w:bottom w:val="nil"/>
            </w:tcBorders>
          </w:tcPr>
          <w:p>
            <w:pPr>
              <w:pStyle w:val="TableParagraph"/>
              <w:spacing w:before="28"/>
              <w:ind w:left="90"/>
              <w:rPr>
                <w:sz w:val="18"/>
              </w:rPr>
            </w:pPr>
            <w:r>
              <w:rPr>
                <w:color w:val="105C84"/>
                <w:spacing w:val="-4"/>
                <w:sz w:val="18"/>
              </w:rPr>
              <w:t>Target:</w:t>
            </w:r>
            <w:r>
              <w:rPr>
                <w:color w:val="105C84"/>
                <w:spacing w:val="-1"/>
                <w:sz w:val="18"/>
              </w:rPr>
              <w:t> </w:t>
            </w:r>
            <w:r>
              <w:rPr>
                <w:color w:val="105C84"/>
                <w:spacing w:val="-2"/>
                <w:sz w:val="18"/>
              </w:rPr>
              <w:t>17.9%</w:t>
            </w:r>
          </w:p>
          <w:p>
            <w:pPr>
              <w:pStyle w:val="TableParagraph"/>
              <w:spacing w:before="83"/>
              <w:ind w:left="90"/>
              <w:rPr>
                <w:sz w:val="18"/>
              </w:rPr>
            </w:pPr>
            <w:r>
              <w:rPr>
                <w:color w:val="105C84"/>
                <w:spacing w:val="-4"/>
                <w:sz w:val="18"/>
              </w:rPr>
              <w:t>Baseline:</w:t>
            </w:r>
            <w:r>
              <w:rPr>
                <w:color w:val="105C84"/>
                <w:spacing w:val="-9"/>
                <w:sz w:val="18"/>
              </w:rPr>
              <w:t> </w:t>
            </w:r>
            <w:r>
              <w:rPr>
                <w:color w:val="105C84"/>
                <w:spacing w:val="-4"/>
                <w:sz w:val="18"/>
              </w:rPr>
              <w:t>23.1%</w:t>
            </w:r>
            <w:r>
              <w:rPr>
                <w:color w:val="105C84"/>
                <w:spacing w:val="33"/>
                <w:sz w:val="18"/>
              </w:rPr>
              <w:t> </w:t>
            </w:r>
            <w:r>
              <w:rPr>
                <w:color w:val="105C84"/>
                <w:spacing w:val="-4"/>
                <w:sz w:val="18"/>
              </w:rPr>
              <w:t>(2016)</w:t>
            </w:r>
          </w:p>
        </w:tc>
        <w:tc>
          <w:tcPr>
            <w:tcW w:w="1303" w:type="dxa"/>
            <w:vMerge/>
            <w:tcBorders>
              <w:top w:val="nil"/>
            </w:tcBorders>
          </w:tcPr>
          <w:p>
            <w:pPr>
              <w:rPr>
                <w:sz w:val="2"/>
                <w:szCs w:val="2"/>
              </w:rPr>
            </w:pPr>
          </w:p>
        </w:tc>
        <w:tc>
          <w:tcPr>
            <w:tcW w:w="3253" w:type="dxa"/>
            <w:vMerge/>
            <w:tcBorders>
              <w:top w:val="nil"/>
              <w:right w:val="nil"/>
            </w:tcBorders>
          </w:tcPr>
          <w:p>
            <w:pPr>
              <w:rPr>
                <w:sz w:val="2"/>
                <w:szCs w:val="2"/>
              </w:rPr>
            </w:pPr>
          </w:p>
        </w:tc>
        <w:tc>
          <w:tcPr>
            <w:tcW w:w="3882" w:type="dxa"/>
            <w:vMerge/>
            <w:tcBorders>
              <w:top w:val="nil"/>
              <w:left w:val="nil"/>
            </w:tcBorders>
          </w:tcPr>
          <w:p>
            <w:pPr>
              <w:rPr>
                <w:sz w:val="2"/>
                <w:szCs w:val="2"/>
              </w:rPr>
            </w:pPr>
          </w:p>
        </w:tc>
        <w:tc>
          <w:tcPr>
            <w:tcW w:w="1850" w:type="dxa"/>
            <w:tcBorders>
              <w:top w:val="nil"/>
            </w:tcBorders>
          </w:tcPr>
          <w:p>
            <w:pPr>
              <w:pStyle w:val="TableParagraph"/>
              <w:rPr>
                <w:rFonts w:ascii="Times New Roman"/>
                <w:sz w:val="2"/>
              </w:rPr>
            </w:pPr>
          </w:p>
        </w:tc>
        <w:tc>
          <w:tcPr>
            <w:tcW w:w="2692" w:type="dxa"/>
            <w:tcBorders>
              <w:top w:val="nil"/>
            </w:tcBorders>
          </w:tcPr>
          <w:p>
            <w:pPr>
              <w:pStyle w:val="TableParagraph"/>
              <w:rPr>
                <w:rFonts w:ascii="Times New Roman"/>
                <w:sz w:val="2"/>
              </w:rPr>
            </w:pPr>
          </w:p>
        </w:tc>
        <w:tc>
          <w:tcPr>
            <w:tcW w:w="2313" w:type="dxa"/>
            <w:tcBorders>
              <w:top w:val="nil"/>
            </w:tcBorders>
          </w:tcPr>
          <w:p>
            <w:pPr>
              <w:pStyle w:val="TableParagraph"/>
              <w:rPr>
                <w:rFonts w:ascii="Times New Roman"/>
                <w:sz w:val="2"/>
              </w:rPr>
            </w:pPr>
          </w:p>
        </w:tc>
      </w:tr>
      <w:tr>
        <w:trPr>
          <w:trHeight w:val="531" w:hRule="atLeast"/>
        </w:trPr>
        <w:tc>
          <w:tcPr>
            <w:tcW w:w="1353" w:type="dxa"/>
            <w:vMerge/>
            <w:tcBorders>
              <w:top w:val="nil"/>
              <w:bottom w:val="nil"/>
            </w:tcBorders>
            <w:shd w:val="clear" w:color="auto" w:fill="E6E7E8"/>
          </w:tcPr>
          <w:p>
            <w:pPr>
              <w:rPr>
                <w:sz w:val="2"/>
                <w:szCs w:val="2"/>
              </w:rPr>
            </w:pPr>
          </w:p>
        </w:tc>
        <w:tc>
          <w:tcPr>
            <w:tcW w:w="1289" w:type="dxa"/>
            <w:vMerge/>
            <w:tcBorders>
              <w:top w:val="nil"/>
              <w:bottom w:val="nil"/>
            </w:tcBorders>
          </w:tcPr>
          <w:p>
            <w:pPr>
              <w:rPr>
                <w:sz w:val="2"/>
                <w:szCs w:val="2"/>
              </w:rPr>
            </w:pPr>
          </w:p>
        </w:tc>
        <w:tc>
          <w:tcPr>
            <w:tcW w:w="1591" w:type="dxa"/>
            <w:vMerge/>
            <w:tcBorders>
              <w:top w:val="nil"/>
              <w:bottom w:val="nil"/>
            </w:tcBorders>
          </w:tcPr>
          <w:p>
            <w:pPr>
              <w:rPr>
                <w:sz w:val="2"/>
                <w:szCs w:val="2"/>
              </w:rPr>
            </w:pPr>
          </w:p>
        </w:tc>
        <w:tc>
          <w:tcPr>
            <w:tcW w:w="2412" w:type="dxa"/>
            <w:vMerge/>
            <w:tcBorders>
              <w:top w:val="nil"/>
              <w:bottom w:val="nil"/>
            </w:tcBorders>
          </w:tcPr>
          <w:p>
            <w:pPr>
              <w:rPr>
                <w:sz w:val="2"/>
                <w:szCs w:val="2"/>
              </w:rPr>
            </w:pPr>
          </w:p>
        </w:tc>
        <w:tc>
          <w:tcPr>
            <w:tcW w:w="1303" w:type="dxa"/>
            <w:vMerge/>
            <w:tcBorders>
              <w:top w:val="nil"/>
            </w:tcBorders>
          </w:tcPr>
          <w:p>
            <w:pPr>
              <w:rPr>
                <w:sz w:val="2"/>
                <w:szCs w:val="2"/>
              </w:rPr>
            </w:pPr>
          </w:p>
        </w:tc>
        <w:tc>
          <w:tcPr>
            <w:tcW w:w="3253" w:type="dxa"/>
            <w:vMerge w:val="restart"/>
            <w:tcBorders>
              <w:right w:val="nil"/>
            </w:tcBorders>
          </w:tcPr>
          <w:p>
            <w:pPr>
              <w:pStyle w:val="TableParagraph"/>
              <w:spacing w:line="232" w:lineRule="auto" w:before="100"/>
              <w:ind w:left="90" w:right="1186"/>
              <w:rPr>
                <w:sz w:val="18"/>
              </w:rPr>
            </w:pPr>
            <w:r>
              <w:rPr>
                <w:color w:val="105C84"/>
                <w:sz w:val="18"/>
              </w:rPr>
              <w:t>3.3.3 Educate organizational decision makers, conduct community education, and</w:t>
            </w:r>
            <w:r>
              <w:rPr>
                <w:color w:val="105C84"/>
                <w:spacing w:val="-10"/>
                <w:sz w:val="18"/>
              </w:rPr>
              <w:t> </w:t>
            </w:r>
            <w:r>
              <w:rPr>
                <w:color w:val="105C84"/>
                <w:sz w:val="18"/>
              </w:rPr>
              <w:t>use</w:t>
            </w:r>
            <w:r>
              <w:rPr>
                <w:color w:val="105C84"/>
                <w:spacing w:val="-10"/>
                <w:sz w:val="18"/>
              </w:rPr>
              <w:t> </w:t>
            </w:r>
            <w:r>
              <w:rPr>
                <w:color w:val="105C84"/>
                <w:sz w:val="18"/>
              </w:rPr>
              <w:t>paid</w:t>
            </w:r>
            <w:r>
              <w:rPr>
                <w:color w:val="105C84"/>
                <w:spacing w:val="-10"/>
                <w:sz w:val="18"/>
              </w:rPr>
              <w:t> </w:t>
            </w:r>
            <w:r>
              <w:rPr>
                <w:color w:val="105C84"/>
                <w:sz w:val="18"/>
              </w:rPr>
              <w:t>and</w:t>
            </w:r>
            <w:r>
              <w:rPr>
                <w:color w:val="105C84"/>
                <w:spacing w:val="-10"/>
                <w:sz w:val="18"/>
              </w:rPr>
              <w:t> </w:t>
            </w:r>
            <w:r>
              <w:rPr>
                <w:color w:val="105C84"/>
                <w:sz w:val="18"/>
              </w:rPr>
              <w:t>earned media to increase community knowledge</w:t>
            </w:r>
            <w:r>
              <w:rPr>
                <w:color w:val="105C84"/>
                <w:spacing w:val="80"/>
                <w:sz w:val="18"/>
              </w:rPr>
              <w:t> </w:t>
            </w:r>
            <w:r>
              <w:rPr>
                <w:color w:val="105C84"/>
                <w:sz w:val="18"/>
              </w:rPr>
              <w:t>of the dangers of secondhand smoke</w:t>
            </w:r>
          </w:p>
          <w:p>
            <w:pPr>
              <w:pStyle w:val="TableParagraph"/>
              <w:spacing w:line="232" w:lineRule="auto"/>
              <w:ind w:left="90" w:right="1043"/>
              <w:rPr>
                <w:sz w:val="18"/>
              </w:rPr>
            </w:pPr>
            <w:r>
              <w:rPr>
                <w:color w:val="105C84"/>
                <w:sz w:val="18"/>
              </w:rPr>
              <w:t>exposure</w:t>
            </w:r>
            <w:r>
              <w:rPr>
                <w:color w:val="105C84"/>
                <w:spacing w:val="-15"/>
                <w:sz w:val="18"/>
              </w:rPr>
              <w:t> </w:t>
            </w:r>
            <w:r>
              <w:rPr>
                <w:color w:val="105C84"/>
                <w:sz w:val="18"/>
              </w:rPr>
              <w:t>and</w:t>
            </w:r>
            <w:r>
              <w:rPr>
                <w:color w:val="105C84"/>
                <w:spacing w:val="-12"/>
                <w:sz w:val="18"/>
              </w:rPr>
              <w:t> </w:t>
            </w:r>
            <w:r>
              <w:rPr>
                <w:color w:val="105C84"/>
                <w:sz w:val="18"/>
              </w:rPr>
              <w:t>secondhand </w:t>
            </w:r>
            <w:r>
              <w:rPr>
                <w:color w:val="105C84"/>
                <w:spacing w:val="-2"/>
                <w:sz w:val="18"/>
              </w:rPr>
              <w:t>aerosol/emission</w:t>
            </w:r>
            <w:r>
              <w:rPr>
                <w:color w:val="105C84"/>
                <w:spacing w:val="80"/>
                <w:sz w:val="18"/>
              </w:rPr>
              <w:t> </w:t>
            </w:r>
            <w:r>
              <w:rPr>
                <w:color w:val="105C84"/>
                <w:sz w:val="18"/>
              </w:rPr>
              <w:t>exposure from electronic vapor products</w:t>
            </w:r>
          </w:p>
        </w:tc>
        <w:tc>
          <w:tcPr>
            <w:tcW w:w="3882" w:type="dxa"/>
            <w:vMerge w:val="restart"/>
            <w:tcBorders>
              <w:left w:val="nil"/>
            </w:tcBorders>
          </w:tcPr>
          <w:p>
            <w:pPr>
              <w:pStyle w:val="TableParagraph"/>
              <w:numPr>
                <w:ilvl w:val="0"/>
                <w:numId w:val="60"/>
              </w:numPr>
              <w:tabs>
                <w:tab w:pos="1236" w:val="left" w:leader="none"/>
              </w:tabs>
              <w:spacing w:line="240" w:lineRule="auto" w:before="94" w:after="0"/>
              <w:ind w:left="1236" w:right="0" w:hanging="186"/>
              <w:jc w:val="left"/>
              <w:rPr>
                <w:sz w:val="18"/>
              </w:rPr>
            </w:pPr>
            <w:r>
              <w:rPr>
                <w:color w:val="105C84"/>
                <w:spacing w:val="-2"/>
                <w:sz w:val="18"/>
              </w:rPr>
              <w:t>#</w:t>
            </w:r>
            <w:r>
              <w:rPr>
                <w:color w:val="105C84"/>
                <w:spacing w:val="-5"/>
                <w:sz w:val="18"/>
              </w:rPr>
              <w:t> </w:t>
            </w:r>
            <w:r>
              <w:rPr>
                <w:color w:val="105C84"/>
                <w:spacing w:val="-2"/>
                <w:sz w:val="18"/>
              </w:rPr>
              <w:t>decision-makers</w:t>
            </w:r>
            <w:r>
              <w:rPr>
                <w:color w:val="105C84"/>
                <w:spacing w:val="-5"/>
                <w:sz w:val="18"/>
              </w:rPr>
              <w:t> </w:t>
            </w:r>
            <w:r>
              <w:rPr>
                <w:color w:val="105C84"/>
                <w:spacing w:val="-2"/>
                <w:sz w:val="18"/>
              </w:rPr>
              <w:t>educated</w:t>
            </w:r>
          </w:p>
          <w:p>
            <w:pPr>
              <w:pStyle w:val="TableParagraph"/>
              <w:numPr>
                <w:ilvl w:val="0"/>
                <w:numId w:val="60"/>
              </w:numPr>
              <w:tabs>
                <w:tab w:pos="1236" w:val="left" w:leader="none"/>
              </w:tabs>
              <w:spacing w:line="232" w:lineRule="auto" w:before="88" w:after="0"/>
              <w:ind w:left="1050" w:right="123" w:firstLine="0"/>
              <w:jc w:val="left"/>
              <w:rPr>
                <w:sz w:val="18"/>
              </w:rPr>
            </w:pPr>
            <w:r>
              <w:rPr>
                <w:color w:val="105C84"/>
                <w:sz w:val="18"/>
              </w:rPr>
              <w:t># community educational events held that include </w:t>
            </w:r>
            <w:r>
              <w:rPr>
                <w:color w:val="105C84"/>
                <w:sz w:val="18"/>
              </w:rPr>
              <w:t>smoking/ vaping messaging</w:t>
            </w:r>
          </w:p>
          <w:p>
            <w:pPr>
              <w:pStyle w:val="TableParagraph"/>
              <w:numPr>
                <w:ilvl w:val="0"/>
                <w:numId w:val="60"/>
              </w:numPr>
              <w:tabs>
                <w:tab w:pos="1236" w:val="left" w:leader="none"/>
              </w:tabs>
              <w:spacing w:line="232" w:lineRule="auto" w:before="88" w:after="0"/>
              <w:ind w:left="1050" w:right="323" w:firstLine="0"/>
              <w:jc w:val="left"/>
              <w:rPr>
                <w:sz w:val="18"/>
              </w:rPr>
            </w:pPr>
            <w:r>
              <w:rPr>
                <w:color w:val="105C84"/>
                <w:sz w:val="18"/>
              </w:rPr>
              <w:t># paid and earned media provided that include </w:t>
            </w:r>
            <w:r>
              <w:rPr>
                <w:color w:val="105C84"/>
                <w:sz w:val="18"/>
              </w:rPr>
              <w:t>smoking/ vaping messaging</w:t>
            </w:r>
          </w:p>
        </w:tc>
        <w:tc>
          <w:tcPr>
            <w:tcW w:w="1850" w:type="dxa"/>
            <w:vMerge w:val="restart"/>
          </w:tcPr>
          <w:p>
            <w:pPr>
              <w:pStyle w:val="TableParagraph"/>
              <w:spacing w:line="336" w:lineRule="auto" w:before="94"/>
              <w:ind w:left="90" w:right="1209"/>
              <w:rPr>
                <w:sz w:val="18"/>
              </w:rPr>
            </w:pPr>
            <w:r>
              <w:rPr>
                <w:color w:val="105C84"/>
                <w:spacing w:val="-10"/>
                <w:sz w:val="18"/>
              </w:rPr>
              <w:t>TACFL</w:t>
            </w:r>
            <w:r>
              <w:rPr>
                <w:color w:val="105C84"/>
                <w:spacing w:val="-4"/>
                <w:sz w:val="18"/>
              </w:rPr>
              <w:t> OCPH</w:t>
            </w:r>
          </w:p>
          <w:p>
            <w:pPr>
              <w:pStyle w:val="TableParagraph"/>
              <w:spacing w:line="232" w:lineRule="auto" w:before="6"/>
              <w:ind w:left="90" w:right="39"/>
              <w:rPr>
                <w:sz w:val="18"/>
              </w:rPr>
            </w:pPr>
            <w:r>
              <w:rPr>
                <w:color w:val="105C84"/>
                <w:sz w:val="18"/>
              </w:rPr>
              <w:t>Ontario County Health</w:t>
            </w:r>
            <w:r>
              <w:rPr>
                <w:color w:val="105C84"/>
                <w:spacing w:val="-13"/>
                <w:sz w:val="18"/>
              </w:rPr>
              <w:t> </w:t>
            </w:r>
            <w:r>
              <w:rPr>
                <w:color w:val="105C84"/>
                <w:sz w:val="18"/>
              </w:rPr>
              <w:t>Collaborative (OCHC) Members</w:t>
            </w:r>
          </w:p>
          <w:p>
            <w:pPr>
              <w:pStyle w:val="TableParagraph"/>
              <w:spacing w:before="82"/>
              <w:ind w:left="90"/>
              <w:rPr>
                <w:sz w:val="18"/>
              </w:rPr>
            </w:pPr>
            <w:r>
              <w:rPr>
                <w:color w:val="105C84"/>
                <w:spacing w:val="-2"/>
                <w:sz w:val="18"/>
              </w:rPr>
              <w:t>Schools</w:t>
            </w:r>
          </w:p>
        </w:tc>
        <w:tc>
          <w:tcPr>
            <w:tcW w:w="2692" w:type="dxa"/>
            <w:vMerge w:val="restart"/>
          </w:tcPr>
          <w:p>
            <w:pPr>
              <w:pStyle w:val="TableParagraph"/>
              <w:spacing w:line="232" w:lineRule="auto" w:before="99"/>
              <w:ind w:left="91" w:right="227"/>
              <w:rPr>
                <w:sz w:val="18"/>
              </w:rPr>
            </w:pPr>
            <w:r>
              <w:rPr>
                <w:color w:val="105C84"/>
                <w:sz w:val="18"/>
              </w:rPr>
              <w:t>TACFL:</w:t>
            </w:r>
            <w:r>
              <w:rPr>
                <w:color w:val="105C84"/>
                <w:spacing w:val="-13"/>
                <w:sz w:val="18"/>
              </w:rPr>
              <w:t> </w:t>
            </w:r>
            <w:r>
              <w:rPr>
                <w:color w:val="105C84"/>
                <w:sz w:val="18"/>
              </w:rPr>
              <w:t>Education</w:t>
            </w:r>
            <w:r>
              <w:rPr>
                <w:color w:val="105C84"/>
                <w:spacing w:val="-12"/>
                <w:sz w:val="18"/>
              </w:rPr>
              <w:t> </w:t>
            </w:r>
            <w:r>
              <w:rPr>
                <w:color w:val="105C84"/>
                <w:sz w:val="18"/>
              </w:rPr>
              <w:t>of</w:t>
            </w:r>
            <w:r>
              <w:rPr>
                <w:color w:val="105C84"/>
                <w:spacing w:val="-13"/>
                <w:sz w:val="18"/>
              </w:rPr>
              <w:t> </w:t>
            </w:r>
            <w:r>
              <w:rPr>
                <w:color w:val="105C84"/>
                <w:sz w:val="18"/>
              </w:rPr>
              <w:t>decision </w:t>
            </w:r>
            <w:r>
              <w:rPr>
                <w:color w:val="105C84"/>
                <w:spacing w:val="-4"/>
                <w:sz w:val="18"/>
              </w:rPr>
              <w:t>makers,</w:t>
            </w:r>
            <w:r>
              <w:rPr>
                <w:color w:val="105C84"/>
                <w:spacing w:val="-9"/>
                <w:sz w:val="18"/>
              </w:rPr>
              <w:t> </w:t>
            </w:r>
            <w:r>
              <w:rPr>
                <w:color w:val="105C84"/>
                <w:spacing w:val="-4"/>
                <w:sz w:val="18"/>
              </w:rPr>
              <w:t>press</w:t>
            </w:r>
            <w:r>
              <w:rPr>
                <w:color w:val="105C84"/>
                <w:spacing w:val="-8"/>
                <w:sz w:val="18"/>
              </w:rPr>
              <w:t> </w:t>
            </w:r>
            <w:r>
              <w:rPr>
                <w:color w:val="105C84"/>
                <w:spacing w:val="-4"/>
                <w:sz w:val="18"/>
              </w:rPr>
              <w:t>releases,</w:t>
            </w:r>
            <w:r>
              <w:rPr>
                <w:color w:val="105C84"/>
                <w:spacing w:val="-9"/>
                <w:sz w:val="18"/>
              </w:rPr>
              <w:t> </w:t>
            </w:r>
            <w:r>
              <w:rPr>
                <w:color w:val="105C84"/>
                <w:spacing w:val="-4"/>
                <w:sz w:val="18"/>
              </w:rPr>
              <w:t>LTE’s, </w:t>
            </w:r>
            <w:r>
              <w:rPr>
                <w:color w:val="105C84"/>
                <w:sz w:val="18"/>
              </w:rPr>
              <w:t>social media, earned media, tabling</w:t>
            </w:r>
            <w:r>
              <w:rPr>
                <w:color w:val="105C84"/>
                <w:spacing w:val="-1"/>
                <w:sz w:val="18"/>
              </w:rPr>
              <w:t> </w:t>
            </w:r>
            <w:r>
              <w:rPr>
                <w:color w:val="105C84"/>
                <w:sz w:val="18"/>
              </w:rPr>
              <w:t>events,</w:t>
            </w:r>
            <w:r>
              <w:rPr>
                <w:color w:val="105C84"/>
                <w:spacing w:val="-1"/>
                <w:sz w:val="18"/>
              </w:rPr>
              <w:t> </w:t>
            </w:r>
            <w:r>
              <w:rPr>
                <w:color w:val="105C84"/>
                <w:sz w:val="18"/>
              </w:rPr>
              <w:t>school</w:t>
            </w:r>
            <w:r>
              <w:rPr>
                <w:color w:val="105C84"/>
                <w:spacing w:val="-1"/>
                <w:sz w:val="18"/>
              </w:rPr>
              <w:t> </w:t>
            </w:r>
            <w:r>
              <w:rPr>
                <w:color w:val="105C84"/>
                <w:spacing w:val="-2"/>
                <w:sz w:val="18"/>
              </w:rPr>
              <w:t>events</w:t>
            </w:r>
          </w:p>
          <w:p>
            <w:pPr>
              <w:pStyle w:val="TableParagraph"/>
              <w:spacing w:line="232" w:lineRule="auto" w:before="87"/>
              <w:ind w:left="91"/>
              <w:rPr>
                <w:sz w:val="18"/>
              </w:rPr>
            </w:pPr>
            <w:r>
              <w:rPr>
                <w:color w:val="105C84"/>
                <w:sz w:val="18"/>
              </w:rPr>
              <w:t>OCPH:</w:t>
            </w:r>
            <w:r>
              <w:rPr>
                <w:color w:val="105C84"/>
                <w:spacing w:val="-13"/>
                <w:sz w:val="18"/>
              </w:rPr>
              <w:t> </w:t>
            </w:r>
            <w:r>
              <w:rPr>
                <w:color w:val="105C84"/>
                <w:sz w:val="18"/>
              </w:rPr>
              <w:t>Education</w:t>
            </w:r>
            <w:r>
              <w:rPr>
                <w:color w:val="105C84"/>
                <w:spacing w:val="-12"/>
                <w:sz w:val="18"/>
              </w:rPr>
              <w:t> </w:t>
            </w:r>
            <w:r>
              <w:rPr>
                <w:color w:val="105C84"/>
                <w:sz w:val="18"/>
              </w:rPr>
              <w:t>of</w:t>
            </w:r>
            <w:r>
              <w:rPr>
                <w:color w:val="105C84"/>
                <w:spacing w:val="-13"/>
                <w:sz w:val="18"/>
              </w:rPr>
              <w:t> </w:t>
            </w:r>
            <w:r>
              <w:rPr>
                <w:color w:val="105C84"/>
                <w:sz w:val="18"/>
              </w:rPr>
              <w:t>decision </w:t>
            </w:r>
            <w:r>
              <w:rPr>
                <w:color w:val="105C84"/>
                <w:spacing w:val="-6"/>
                <w:sz w:val="18"/>
              </w:rPr>
              <w:t>makers, press releases, LTE’s, </w:t>
            </w:r>
            <w:r>
              <w:rPr>
                <w:color w:val="105C84"/>
                <w:sz w:val="18"/>
              </w:rPr>
              <w:t>social media, earned media, tabling</w:t>
            </w:r>
            <w:r>
              <w:rPr>
                <w:color w:val="105C84"/>
                <w:spacing w:val="-6"/>
                <w:sz w:val="18"/>
              </w:rPr>
              <w:t> </w:t>
            </w:r>
            <w:r>
              <w:rPr>
                <w:color w:val="105C84"/>
                <w:sz w:val="18"/>
              </w:rPr>
              <w:t>events,</w:t>
            </w:r>
            <w:r>
              <w:rPr>
                <w:color w:val="105C84"/>
                <w:spacing w:val="-6"/>
                <w:sz w:val="18"/>
              </w:rPr>
              <w:t> </w:t>
            </w:r>
            <w:r>
              <w:rPr>
                <w:color w:val="105C84"/>
                <w:sz w:val="18"/>
              </w:rPr>
              <w:t>school</w:t>
            </w:r>
            <w:r>
              <w:rPr>
                <w:color w:val="105C84"/>
                <w:spacing w:val="-6"/>
                <w:sz w:val="18"/>
              </w:rPr>
              <w:t> </w:t>
            </w:r>
            <w:r>
              <w:rPr>
                <w:color w:val="105C84"/>
                <w:sz w:val="18"/>
              </w:rPr>
              <w:t>events</w:t>
            </w:r>
          </w:p>
          <w:p>
            <w:pPr>
              <w:pStyle w:val="TableParagraph"/>
              <w:spacing w:line="232" w:lineRule="auto" w:before="87"/>
              <w:ind w:left="91"/>
              <w:rPr>
                <w:sz w:val="18"/>
              </w:rPr>
            </w:pPr>
            <w:r>
              <w:rPr>
                <w:color w:val="105C84"/>
                <w:sz w:val="18"/>
              </w:rPr>
              <w:t>OCHC Members: Press releases,</w:t>
            </w:r>
            <w:r>
              <w:rPr>
                <w:color w:val="105C84"/>
                <w:spacing w:val="-13"/>
                <w:sz w:val="18"/>
              </w:rPr>
              <w:t> </w:t>
            </w:r>
            <w:r>
              <w:rPr>
                <w:color w:val="105C84"/>
                <w:sz w:val="18"/>
              </w:rPr>
              <w:t>LTE’s,</w:t>
            </w:r>
            <w:r>
              <w:rPr>
                <w:color w:val="105C84"/>
                <w:spacing w:val="-12"/>
                <w:sz w:val="18"/>
              </w:rPr>
              <w:t> </w:t>
            </w:r>
            <w:r>
              <w:rPr>
                <w:color w:val="105C84"/>
                <w:sz w:val="18"/>
              </w:rPr>
              <w:t>social</w:t>
            </w:r>
            <w:r>
              <w:rPr>
                <w:color w:val="105C84"/>
                <w:spacing w:val="-13"/>
                <w:sz w:val="18"/>
              </w:rPr>
              <w:t> </w:t>
            </w:r>
            <w:r>
              <w:rPr>
                <w:color w:val="105C84"/>
                <w:sz w:val="18"/>
              </w:rPr>
              <w:t>media, earned</w:t>
            </w:r>
            <w:r>
              <w:rPr>
                <w:color w:val="105C84"/>
                <w:spacing w:val="-8"/>
                <w:sz w:val="18"/>
              </w:rPr>
              <w:t> </w:t>
            </w:r>
            <w:r>
              <w:rPr>
                <w:color w:val="105C84"/>
                <w:sz w:val="18"/>
              </w:rPr>
              <w:t>media,</w:t>
            </w:r>
            <w:r>
              <w:rPr>
                <w:color w:val="105C84"/>
                <w:spacing w:val="-8"/>
                <w:sz w:val="18"/>
              </w:rPr>
              <w:t> </w:t>
            </w:r>
            <w:r>
              <w:rPr>
                <w:color w:val="105C84"/>
                <w:sz w:val="18"/>
              </w:rPr>
              <w:t>tabling</w:t>
            </w:r>
            <w:r>
              <w:rPr>
                <w:color w:val="105C84"/>
                <w:spacing w:val="-8"/>
                <w:sz w:val="18"/>
              </w:rPr>
              <w:t> </w:t>
            </w:r>
            <w:r>
              <w:rPr>
                <w:color w:val="105C84"/>
                <w:sz w:val="18"/>
              </w:rPr>
              <w:t>events, school events</w:t>
            </w:r>
          </w:p>
          <w:p>
            <w:pPr>
              <w:pStyle w:val="TableParagraph"/>
              <w:spacing w:line="232" w:lineRule="auto" w:before="87"/>
              <w:ind w:left="91" w:right="298"/>
              <w:rPr>
                <w:sz w:val="18"/>
              </w:rPr>
            </w:pPr>
            <w:r>
              <w:rPr>
                <w:color w:val="105C84"/>
                <w:sz w:val="18"/>
              </w:rPr>
              <w:t>Schools:</w:t>
            </w:r>
            <w:r>
              <w:rPr>
                <w:color w:val="105C84"/>
                <w:spacing w:val="-13"/>
                <w:sz w:val="18"/>
              </w:rPr>
              <w:t> </w:t>
            </w:r>
            <w:r>
              <w:rPr>
                <w:color w:val="105C84"/>
                <w:sz w:val="18"/>
              </w:rPr>
              <w:t>Venues</w:t>
            </w:r>
            <w:r>
              <w:rPr>
                <w:color w:val="105C84"/>
                <w:spacing w:val="-12"/>
                <w:sz w:val="18"/>
              </w:rPr>
              <w:t> </w:t>
            </w:r>
            <w:r>
              <w:rPr>
                <w:color w:val="105C84"/>
                <w:sz w:val="18"/>
              </w:rPr>
              <w:t>to</w:t>
            </w:r>
            <w:r>
              <w:rPr>
                <w:color w:val="105C84"/>
                <w:spacing w:val="-13"/>
                <w:sz w:val="18"/>
              </w:rPr>
              <w:t> </w:t>
            </w:r>
            <w:r>
              <w:rPr>
                <w:color w:val="105C84"/>
                <w:sz w:val="18"/>
              </w:rPr>
              <w:t>reach children,</w:t>
            </w:r>
            <w:r>
              <w:rPr>
                <w:color w:val="105C84"/>
                <w:spacing w:val="-15"/>
                <w:sz w:val="18"/>
              </w:rPr>
              <w:t> </w:t>
            </w:r>
            <w:r>
              <w:rPr>
                <w:color w:val="105C84"/>
                <w:sz w:val="18"/>
              </w:rPr>
              <w:t>adolescents</w:t>
            </w:r>
            <w:r>
              <w:rPr>
                <w:color w:val="105C84"/>
                <w:spacing w:val="-12"/>
                <w:sz w:val="18"/>
              </w:rPr>
              <w:t> </w:t>
            </w:r>
            <w:r>
              <w:rPr>
                <w:color w:val="105C84"/>
                <w:sz w:val="18"/>
              </w:rPr>
              <w:t>and college students</w:t>
            </w:r>
          </w:p>
        </w:tc>
        <w:tc>
          <w:tcPr>
            <w:tcW w:w="2313" w:type="dxa"/>
            <w:tcBorders>
              <w:bottom w:val="nil"/>
            </w:tcBorders>
          </w:tcPr>
          <w:p>
            <w:pPr>
              <w:pStyle w:val="TableParagraph"/>
              <w:spacing w:line="232" w:lineRule="auto" w:before="99"/>
              <w:ind w:left="91"/>
              <w:rPr>
                <w:sz w:val="18"/>
              </w:rPr>
            </w:pPr>
            <w:r>
              <w:rPr>
                <w:color w:val="105C84"/>
                <w:spacing w:val="-2"/>
                <w:sz w:val="18"/>
              </w:rPr>
              <w:t>TACFL:</w:t>
            </w:r>
            <w:r>
              <w:rPr>
                <w:color w:val="105C84"/>
                <w:spacing w:val="-13"/>
                <w:sz w:val="18"/>
              </w:rPr>
              <w:t> </w:t>
            </w:r>
            <w:r>
              <w:rPr>
                <w:color w:val="105C84"/>
                <w:spacing w:val="-2"/>
                <w:sz w:val="18"/>
              </w:rPr>
              <w:t>See</w:t>
            </w:r>
            <w:r>
              <w:rPr>
                <w:color w:val="105C84"/>
                <w:spacing w:val="-10"/>
                <w:sz w:val="18"/>
              </w:rPr>
              <w:t> </w:t>
            </w:r>
            <w:r>
              <w:rPr>
                <w:color w:val="105C84"/>
                <w:spacing w:val="-2"/>
                <w:sz w:val="18"/>
              </w:rPr>
              <w:t>Intervention 3.1.2</w:t>
            </w:r>
          </w:p>
        </w:tc>
      </w:tr>
      <w:tr>
        <w:trPr>
          <w:trHeight w:val="279" w:hRule="atLeast"/>
        </w:trPr>
        <w:tc>
          <w:tcPr>
            <w:tcW w:w="1353" w:type="dxa"/>
            <w:tcBorders>
              <w:top w:val="nil"/>
              <w:bottom w:val="nil"/>
            </w:tcBorders>
            <w:shd w:val="clear" w:color="auto" w:fill="E6E7E8"/>
          </w:tcPr>
          <w:p>
            <w:pPr>
              <w:pStyle w:val="TableParagraph"/>
              <w:rPr>
                <w:rFonts w:ascii="Times New Roman"/>
                <w:sz w:val="18"/>
              </w:rPr>
            </w:pPr>
          </w:p>
        </w:tc>
        <w:tc>
          <w:tcPr>
            <w:tcW w:w="1289" w:type="dxa"/>
            <w:tcBorders>
              <w:top w:val="nil"/>
              <w:bottom w:val="nil"/>
            </w:tcBorders>
          </w:tcPr>
          <w:p>
            <w:pPr>
              <w:pStyle w:val="TableParagraph"/>
              <w:rPr>
                <w:rFonts w:ascii="Times New Roman"/>
                <w:sz w:val="18"/>
              </w:rPr>
            </w:pPr>
          </w:p>
        </w:tc>
        <w:tc>
          <w:tcPr>
            <w:tcW w:w="1591" w:type="dxa"/>
            <w:tcBorders>
              <w:top w:val="nil"/>
              <w:bottom w:val="nil"/>
            </w:tcBorders>
          </w:tcPr>
          <w:p>
            <w:pPr>
              <w:pStyle w:val="TableParagraph"/>
              <w:rPr>
                <w:rFonts w:ascii="Times New Roman"/>
                <w:sz w:val="18"/>
              </w:rPr>
            </w:pPr>
          </w:p>
        </w:tc>
        <w:tc>
          <w:tcPr>
            <w:tcW w:w="2412" w:type="dxa"/>
            <w:tcBorders>
              <w:top w:val="nil"/>
              <w:bottom w:val="nil"/>
            </w:tcBorders>
          </w:tcPr>
          <w:p>
            <w:pPr>
              <w:pStyle w:val="TableParagraph"/>
              <w:spacing w:before="14"/>
              <w:ind w:left="90"/>
              <w:rPr>
                <w:sz w:val="18"/>
              </w:rPr>
            </w:pPr>
            <w:r>
              <w:rPr>
                <w:color w:val="105C84"/>
                <w:spacing w:val="-4"/>
                <w:sz w:val="18"/>
              </w:rPr>
              <w:t>Data</w:t>
            </w:r>
            <w:r>
              <w:rPr>
                <w:color w:val="105C84"/>
                <w:spacing w:val="-6"/>
                <w:sz w:val="18"/>
              </w:rPr>
              <w:t> </w:t>
            </w:r>
            <w:r>
              <w:rPr>
                <w:color w:val="105C84"/>
                <w:spacing w:val="-4"/>
                <w:sz w:val="18"/>
              </w:rPr>
              <w:t>Source:</w:t>
            </w:r>
            <w:r>
              <w:rPr>
                <w:color w:val="105C84"/>
                <w:spacing w:val="-5"/>
                <w:sz w:val="18"/>
              </w:rPr>
              <w:t> </w:t>
            </w:r>
            <w:r>
              <w:rPr>
                <w:color w:val="105C84"/>
                <w:spacing w:val="-4"/>
                <w:sz w:val="18"/>
              </w:rPr>
              <w:t>NYS</w:t>
            </w:r>
            <w:r>
              <w:rPr>
                <w:color w:val="105C84"/>
                <w:spacing w:val="-5"/>
                <w:sz w:val="18"/>
              </w:rPr>
              <w:t> YTS</w:t>
            </w:r>
          </w:p>
        </w:tc>
        <w:tc>
          <w:tcPr>
            <w:tcW w:w="1303" w:type="dxa"/>
            <w:vMerge/>
            <w:tcBorders>
              <w:top w:val="nil"/>
            </w:tcBorders>
          </w:tcPr>
          <w:p>
            <w:pPr>
              <w:rPr>
                <w:sz w:val="2"/>
                <w:szCs w:val="2"/>
              </w:rPr>
            </w:pPr>
          </w:p>
        </w:tc>
        <w:tc>
          <w:tcPr>
            <w:tcW w:w="3253" w:type="dxa"/>
            <w:vMerge/>
            <w:tcBorders>
              <w:top w:val="nil"/>
              <w:right w:val="nil"/>
            </w:tcBorders>
          </w:tcPr>
          <w:p>
            <w:pPr>
              <w:rPr>
                <w:sz w:val="2"/>
                <w:szCs w:val="2"/>
              </w:rPr>
            </w:pPr>
          </w:p>
        </w:tc>
        <w:tc>
          <w:tcPr>
            <w:tcW w:w="3882" w:type="dxa"/>
            <w:vMerge/>
            <w:tcBorders>
              <w:top w:val="nil"/>
              <w:left w:val="nil"/>
            </w:tcBorders>
          </w:tcPr>
          <w:p>
            <w:pPr>
              <w:rPr>
                <w:sz w:val="2"/>
                <w:szCs w:val="2"/>
              </w:rPr>
            </w:pPr>
          </w:p>
        </w:tc>
        <w:tc>
          <w:tcPr>
            <w:tcW w:w="1850" w:type="dxa"/>
            <w:vMerge/>
            <w:tcBorders>
              <w:top w:val="nil"/>
            </w:tcBorders>
          </w:tcPr>
          <w:p>
            <w:pPr>
              <w:rPr>
                <w:sz w:val="2"/>
                <w:szCs w:val="2"/>
              </w:rPr>
            </w:pPr>
          </w:p>
        </w:tc>
        <w:tc>
          <w:tcPr>
            <w:tcW w:w="2692" w:type="dxa"/>
            <w:vMerge/>
            <w:tcBorders>
              <w:top w:val="nil"/>
            </w:tcBorders>
          </w:tcPr>
          <w:p>
            <w:pPr>
              <w:rPr>
                <w:sz w:val="2"/>
                <w:szCs w:val="2"/>
              </w:rPr>
            </w:pPr>
          </w:p>
        </w:tc>
        <w:tc>
          <w:tcPr>
            <w:tcW w:w="2313" w:type="dxa"/>
            <w:tcBorders>
              <w:top w:val="nil"/>
              <w:bottom w:val="nil"/>
            </w:tcBorders>
          </w:tcPr>
          <w:p>
            <w:pPr>
              <w:pStyle w:val="TableParagraph"/>
              <w:spacing w:before="42"/>
              <w:ind w:left="91"/>
              <w:rPr>
                <w:sz w:val="18"/>
              </w:rPr>
            </w:pPr>
            <w:r>
              <w:rPr>
                <w:color w:val="105C84"/>
                <w:spacing w:val="-4"/>
                <w:sz w:val="18"/>
              </w:rPr>
              <w:t>OCPH:</w:t>
            </w:r>
            <w:r>
              <w:rPr>
                <w:color w:val="105C84"/>
                <w:spacing w:val="-7"/>
                <w:sz w:val="18"/>
              </w:rPr>
              <w:t> </w:t>
            </w:r>
            <w:r>
              <w:rPr>
                <w:color w:val="105C84"/>
                <w:spacing w:val="-4"/>
                <w:sz w:val="18"/>
              </w:rPr>
              <w:t>0.05</w:t>
            </w:r>
            <w:r>
              <w:rPr>
                <w:color w:val="105C84"/>
                <w:spacing w:val="-7"/>
                <w:sz w:val="18"/>
              </w:rPr>
              <w:t> </w:t>
            </w:r>
            <w:r>
              <w:rPr>
                <w:color w:val="105C84"/>
                <w:spacing w:val="-5"/>
                <w:sz w:val="18"/>
              </w:rPr>
              <w:t>FTE</w:t>
            </w:r>
          </w:p>
        </w:tc>
      </w:tr>
      <w:tr>
        <w:trPr>
          <w:trHeight w:val="265" w:hRule="atLeast"/>
        </w:trPr>
        <w:tc>
          <w:tcPr>
            <w:tcW w:w="1353" w:type="dxa"/>
            <w:tcBorders>
              <w:top w:val="nil"/>
              <w:bottom w:val="nil"/>
            </w:tcBorders>
            <w:shd w:val="clear" w:color="auto" w:fill="E6E7E8"/>
          </w:tcPr>
          <w:p>
            <w:pPr>
              <w:pStyle w:val="TableParagraph"/>
              <w:rPr>
                <w:rFonts w:ascii="Times New Roman"/>
                <w:sz w:val="18"/>
              </w:rPr>
            </w:pPr>
          </w:p>
        </w:tc>
        <w:tc>
          <w:tcPr>
            <w:tcW w:w="1289" w:type="dxa"/>
            <w:tcBorders>
              <w:top w:val="nil"/>
              <w:bottom w:val="nil"/>
            </w:tcBorders>
          </w:tcPr>
          <w:p>
            <w:pPr>
              <w:pStyle w:val="TableParagraph"/>
              <w:rPr>
                <w:rFonts w:ascii="Times New Roman"/>
                <w:sz w:val="18"/>
              </w:rPr>
            </w:pPr>
          </w:p>
        </w:tc>
        <w:tc>
          <w:tcPr>
            <w:tcW w:w="1591" w:type="dxa"/>
            <w:tcBorders>
              <w:top w:val="nil"/>
              <w:bottom w:val="nil"/>
            </w:tcBorders>
          </w:tcPr>
          <w:p>
            <w:pPr>
              <w:pStyle w:val="TableParagraph"/>
              <w:rPr>
                <w:rFonts w:ascii="Times New Roman"/>
                <w:sz w:val="18"/>
              </w:rPr>
            </w:pPr>
          </w:p>
        </w:tc>
        <w:tc>
          <w:tcPr>
            <w:tcW w:w="2412" w:type="dxa"/>
            <w:tcBorders>
              <w:top w:val="nil"/>
              <w:bottom w:val="nil"/>
            </w:tcBorders>
          </w:tcPr>
          <w:p>
            <w:pPr>
              <w:pStyle w:val="TableParagraph"/>
              <w:spacing w:before="14"/>
              <w:ind w:left="90"/>
              <w:rPr>
                <w:sz w:val="18"/>
              </w:rPr>
            </w:pPr>
            <w:r>
              <w:rPr>
                <w:color w:val="105C84"/>
                <w:spacing w:val="-2"/>
                <w:sz w:val="18"/>
              </w:rPr>
              <w:t>Data</w:t>
            </w:r>
            <w:r>
              <w:rPr>
                <w:color w:val="105C84"/>
                <w:spacing w:val="-6"/>
                <w:sz w:val="18"/>
              </w:rPr>
              <w:t> </w:t>
            </w:r>
            <w:r>
              <w:rPr>
                <w:color w:val="105C84"/>
                <w:spacing w:val="-2"/>
                <w:sz w:val="18"/>
              </w:rPr>
              <w:t>Level:</w:t>
            </w:r>
            <w:r>
              <w:rPr>
                <w:color w:val="105C84"/>
                <w:spacing w:val="-6"/>
                <w:sz w:val="18"/>
              </w:rPr>
              <w:t> </w:t>
            </w:r>
            <w:r>
              <w:rPr>
                <w:color w:val="105C84"/>
                <w:spacing w:val="-2"/>
                <w:sz w:val="18"/>
              </w:rPr>
              <w:t>State</w:t>
            </w:r>
          </w:p>
        </w:tc>
        <w:tc>
          <w:tcPr>
            <w:tcW w:w="1303" w:type="dxa"/>
            <w:vMerge/>
            <w:tcBorders>
              <w:top w:val="nil"/>
            </w:tcBorders>
          </w:tcPr>
          <w:p>
            <w:pPr>
              <w:rPr>
                <w:sz w:val="2"/>
                <w:szCs w:val="2"/>
              </w:rPr>
            </w:pPr>
          </w:p>
        </w:tc>
        <w:tc>
          <w:tcPr>
            <w:tcW w:w="3253" w:type="dxa"/>
            <w:vMerge/>
            <w:tcBorders>
              <w:top w:val="nil"/>
              <w:right w:val="nil"/>
            </w:tcBorders>
          </w:tcPr>
          <w:p>
            <w:pPr>
              <w:rPr>
                <w:sz w:val="2"/>
                <w:szCs w:val="2"/>
              </w:rPr>
            </w:pPr>
          </w:p>
        </w:tc>
        <w:tc>
          <w:tcPr>
            <w:tcW w:w="3882" w:type="dxa"/>
            <w:vMerge/>
            <w:tcBorders>
              <w:top w:val="nil"/>
              <w:left w:val="nil"/>
            </w:tcBorders>
          </w:tcPr>
          <w:p>
            <w:pPr>
              <w:rPr>
                <w:sz w:val="2"/>
                <w:szCs w:val="2"/>
              </w:rPr>
            </w:pPr>
          </w:p>
        </w:tc>
        <w:tc>
          <w:tcPr>
            <w:tcW w:w="1850" w:type="dxa"/>
            <w:vMerge/>
            <w:tcBorders>
              <w:top w:val="nil"/>
            </w:tcBorders>
          </w:tcPr>
          <w:p>
            <w:pPr>
              <w:rPr>
                <w:sz w:val="2"/>
                <w:szCs w:val="2"/>
              </w:rPr>
            </w:pPr>
          </w:p>
        </w:tc>
        <w:tc>
          <w:tcPr>
            <w:tcW w:w="2692" w:type="dxa"/>
            <w:vMerge/>
            <w:tcBorders>
              <w:top w:val="nil"/>
            </w:tcBorders>
          </w:tcPr>
          <w:p>
            <w:pPr>
              <w:rPr>
                <w:sz w:val="2"/>
                <w:szCs w:val="2"/>
              </w:rPr>
            </w:pPr>
          </w:p>
        </w:tc>
        <w:tc>
          <w:tcPr>
            <w:tcW w:w="2313" w:type="dxa"/>
            <w:tcBorders>
              <w:top w:val="nil"/>
              <w:bottom w:val="nil"/>
            </w:tcBorders>
          </w:tcPr>
          <w:p>
            <w:pPr>
              <w:pStyle w:val="TableParagraph"/>
              <w:rPr>
                <w:rFonts w:ascii="Times New Roman"/>
                <w:sz w:val="18"/>
              </w:rPr>
            </w:pPr>
          </w:p>
        </w:tc>
      </w:tr>
      <w:tr>
        <w:trPr>
          <w:trHeight w:val="1479" w:hRule="atLeast"/>
        </w:trPr>
        <w:tc>
          <w:tcPr>
            <w:tcW w:w="1353" w:type="dxa"/>
            <w:tcBorders>
              <w:top w:val="nil"/>
              <w:bottom w:val="nil"/>
            </w:tcBorders>
            <w:shd w:val="clear" w:color="auto" w:fill="E6E7E8"/>
          </w:tcPr>
          <w:p>
            <w:pPr>
              <w:pStyle w:val="TableParagraph"/>
              <w:rPr>
                <w:rFonts w:ascii="Times New Roman"/>
                <w:sz w:val="18"/>
              </w:rPr>
            </w:pPr>
          </w:p>
        </w:tc>
        <w:tc>
          <w:tcPr>
            <w:tcW w:w="1289" w:type="dxa"/>
            <w:tcBorders>
              <w:top w:val="nil"/>
              <w:bottom w:val="nil"/>
            </w:tcBorders>
          </w:tcPr>
          <w:p>
            <w:pPr>
              <w:pStyle w:val="TableParagraph"/>
              <w:rPr>
                <w:rFonts w:ascii="Times New Roman"/>
                <w:sz w:val="18"/>
              </w:rPr>
            </w:pPr>
          </w:p>
        </w:tc>
        <w:tc>
          <w:tcPr>
            <w:tcW w:w="1591" w:type="dxa"/>
            <w:tcBorders>
              <w:top w:val="nil"/>
              <w:bottom w:val="nil"/>
            </w:tcBorders>
          </w:tcPr>
          <w:p>
            <w:pPr>
              <w:pStyle w:val="TableParagraph"/>
              <w:rPr>
                <w:rFonts w:ascii="Times New Roman"/>
                <w:sz w:val="18"/>
              </w:rPr>
            </w:pPr>
          </w:p>
        </w:tc>
        <w:tc>
          <w:tcPr>
            <w:tcW w:w="2412" w:type="dxa"/>
            <w:tcBorders>
              <w:top w:val="nil"/>
              <w:bottom w:val="nil"/>
            </w:tcBorders>
          </w:tcPr>
          <w:p>
            <w:pPr>
              <w:pStyle w:val="TableParagraph"/>
              <w:spacing w:line="232" w:lineRule="auto" w:before="33"/>
              <w:ind w:left="90" w:right="266"/>
              <w:rPr>
                <w:sz w:val="18"/>
              </w:rPr>
            </w:pPr>
            <w:r>
              <w:rPr>
                <w:color w:val="105C84"/>
                <w:spacing w:val="-2"/>
                <w:sz w:val="18"/>
              </w:rPr>
              <w:t>3.3.3</w:t>
            </w:r>
            <w:r>
              <w:rPr>
                <w:color w:val="105C84"/>
                <w:spacing w:val="-11"/>
                <w:sz w:val="18"/>
              </w:rPr>
              <w:t> </w:t>
            </w:r>
            <w:r>
              <w:rPr>
                <w:color w:val="105C84"/>
                <w:spacing w:val="-2"/>
                <w:sz w:val="18"/>
              </w:rPr>
              <w:t>Increase</w:t>
            </w:r>
            <w:r>
              <w:rPr>
                <w:color w:val="105C84"/>
                <w:spacing w:val="-10"/>
                <w:sz w:val="18"/>
              </w:rPr>
              <w:t> </w:t>
            </w:r>
            <w:r>
              <w:rPr>
                <w:color w:val="105C84"/>
                <w:spacing w:val="-2"/>
                <w:sz w:val="18"/>
              </w:rPr>
              <w:t>the</w:t>
            </w:r>
            <w:r>
              <w:rPr>
                <w:color w:val="105C84"/>
                <w:spacing w:val="-11"/>
                <w:sz w:val="18"/>
              </w:rPr>
              <w:t> </w:t>
            </w:r>
            <w:r>
              <w:rPr>
                <w:color w:val="105C84"/>
                <w:spacing w:val="-2"/>
                <w:sz w:val="18"/>
              </w:rPr>
              <w:t>numbe</w:t>
            </w:r>
            <w:r>
              <w:rPr>
                <w:color w:val="105C84"/>
                <w:spacing w:val="-2"/>
                <w:sz w:val="18"/>
              </w:rPr>
              <w:t>r</w:t>
            </w:r>
            <w:r>
              <w:rPr>
                <w:color w:val="105C84"/>
                <w:spacing w:val="-2"/>
                <w:sz w:val="18"/>
              </w:rPr>
              <w:t> </w:t>
            </w:r>
            <w:r>
              <w:rPr>
                <w:color w:val="105C84"/>
                <w:sz w:val="18"/>
              </w:rPr>
              <w:t>of multi-unit housing</w:t>
            </w:r>
            <w:r>
              <w:rPr>
                <w:color w:val="105C84"/>
                <w:spacing w:val="80"/>
                <w:sz w:val="18"/>
              </w:rPr>
              <w:t> </w:t>
            </w:r>
            <w:r>
              <w:rPr>
                <w:color w:val="105C84"/>
                <w:sz w:val="18"/>
              </w:rPr>
              <w:t>units (focus should be</w:t>
            </w:r>
          </w:p>
          <w:p>
            <w:pPr>
              <w:pStyle w:val="TableParagraph"/>
              <w:spacing w:line="232" w:lineRule="auto"/>
              <w:ind w:left="90" w:right="92"/>
              <w:rPr>
                <w:sz w:val="18"/>
              </w:rPr>
            </w:pPr>
            <w:r>
              <w:rPr>
                <w:color w:val="105C84"/>
                <w:sz w:val="18"/>
              </w:rPr>
              <w:t>on housing with higher number of units) that adopt a</w:t>
            </w:r>
            <w:r>
              <w:rPr>
                <w:color w:val="105C84"/>
                <w:spacing w:val="-15"/>
                <w:sz w:val="18"/>
              </w:rPr>
              <w:t> </w:t>
            </w:r>
            <w:r>
              <w:rPr>
                <w:color w:val="105C84"/>
                <w:sz w:val="18"/>
              </w:rPr>
              <w:t>smoke-free</w:t>
            </w:r>
            <w:r>
              <w:rPr>
                <w:color w:val="105C84"/>
                <w:spacing w:val="-12"/>
                <w:sz w:val="18"/>
              </w:rPr>
              <w:t> </w:t>
            </w:r>
            <w:r>
              <w:rPr>
                <w:color w:val="105C84"/>
                <w:sz w:val="18"/>
              </w:rPr>
              <w:t>policy</w:t>
            </w:r>
            <w:r>
              <w:rPr>
                <w:color w:val="105C84"/>
                <w:spacing w:val="-13"/>
                <w:sz w:val="18"/>
              </w:rPr>
              <w:t> </w:t>
            </w:r>
            <w:r>
              <w:rPr>
                <w:color w:val="105C84"/>
                <w:sz w:val="18"/>
              </w:rPr>
              <w:t>by</w:t>
            </w:r>
            <w:r>
              <w:rPr>
                <w:color w:val="105C84"/>
                <w:spacing w:val="-12"/>
                <w:sz w:val="18"/>
              </w:rPr>
              <w:t> </w:t>
            </w:r>
            <w:r>
              <w:rPr>
                <w:color w:val="105C84"/>
                <w:sz w:val="18"/>
              </w:rPr>
              <w:t>5000 units each year</w:t>
            </w:r>
          </w:p>
        </w:tc>
        <w:tc>
          <w:tcPr>
            <w:tcW w:w="1303" w:type="dxa"/>
            <w:vMerge/>
            <w:tcBorders>
              <w:top w:val="nil"/>
            </w:tcBorders>
          </w:tcPr>
          <w:p>
            <w:pPr>
              <w:rPr>
                <w:sz w:val="2"/>
                <w:szCs w:val="2"/>
              </w:rPr>
            </w:pPr>
          </w:p>
        </w:tc>
        <w:tc>
          <w:tcPr>
            <w:tcW w:w="3253" w:type="dxa"/>
            <w:vMerge/>
            <w:tcBorders>
              <w:top w:val="nil"/>
              <w:right w:val="nil"/>
            </w:tcBorders>
          </w:tcPr>
          <w:p>
            <w:pPr>
              <w:rPr>
                <w:sz w:val="2"/>
                <w:szCs w:val="2"/>
              </w:rPr>
            </w:pPr>
          </w:p>
        </w:tc>
        <w:tc>
          <w:tcPr>
            <w:tcW w:w="3882" w:type="dxa"/>
            <w:vMerge/>
            <w:tcBorders>
              <w:top w:val="nil"/>
              <w:left w:val="nil"/>
            </w:tcBorders>
          </w:tcPr>
          <w:p>
            <w:pPr>
              <w:rPr>
                <w:sz w:val="2"/>
                <w:szCs w:val="2"/>
              </w:rPr>
            </w:pPr>
          </w:p>
        </w:tc>
        <w:tc>
          <w:tcPr>
            <w:tcW w:w="1850" w:type="dxa"/>
            <w:vMerge/>
            <w:tcBorders>
              <w:top w:val="nil"/>
            </w:tcBorders>
          </w:tcPr>
          <w:p>
            <w:pPr>
              <w:rPr>
                <w:sz w:val="2"/>
                <w:szCs w:val="2"/>
              </w:rPr>
            </w:pPr>
          </w:p>
        </w:tc>
        <w:tc>
          <w:tcPr>
            <w:tcW w:w="2692" w:type="dxa"/>
            <w:vMerge/>
            <w:tcBorders>
              <w:top w:val="nil"/>
            </w:tcBorders>
          </w:tcPr>
          <w:p>
            <w:pPr>
              <w:rPr>
                <w:sz w:val="2"/>
                <w:szCs w:val="2"/>
              </w:rPr>
            </w:pPr>
          </w:p>
        </w:tc>
        <w:tc>
          <w:tcPr>
            <w:tcW w:w="2313" w:type="dxa"/>
            <w:tcBorders>
              <w:top w:val="nil"/>
              <w:bottom w:val="nil"/>
            </w:tcBorders>
          </w:tcPr>
          <w:p>
            <w:pPr>
              <w:pStyle w:val="TableParagraph"/>
              <w:rPr>
                <w:rFonts w:ascii="Times New Roman"/>
                <w:sz w:val="18"/>
              </w:rPr>
            </w:pPr>
          </w:p>
        </w:tc>
      </w:tr>
      <w:tr>
        <w:trPr>
          <w:trHeight w:val="279" w:hRule="atLeast"/>
        </w:trPr>
        <w:tc>
          <w:tcPr>
            <w:tcW w:w="1353" w:type="dxa"/>
            <w:tcBorders>
              <w:top w:val="nil"/>
              <w:bottom w:val="nil"/>
            </w:tcBorders>
            <w:shd w:val="clear" w:color="auto" w:fill="E6E7E8"/>
          </w:tcPr>
          <w:p>
            <w:pPr>
              <w:pStyle w:val="TableParagraph"/>
              <w:rPr>
                <w:rFonts w:ascii="Times New Roman"/>
                <w:sz w:val="18"/>
              </w:rPr>
            </w:pPr>
          </w:p>
        </w:tc>
        <w:tc>
          <w:tcPr>
            <w:tcW w:w="1289" w:type="dxa"/>
            <w:tcBorders>
              <w:top w:val="nil"/>
              <w:bottom w:val="nil"/>
            </w:tcBorders>
          </w:tcPr>
          <w:p>
            <w:pPr>
              <w:pStyle w:val="TableParagraph"/>
              <w:rPr>
                <w:rFonts w:ascii="Times New Roman"/>
                <w:sz w:val="18"/>
              </w:rPr>
            </w:pPr>
          </w:p>
        </w:tc>
        <w:tc>
          <w:tcPr>
            <w:tcW w:w="1591" w:type="dxa"/>
            <w:tcBorders>
              <w:top w:val="nil"/>
              <w:bottom w:val="nil"/>
            </w:tcBorders>
          </w:tcPr>
          <w:p>
            <w:pPr>
              <w:pStyle w:val="TableParagraph"/>
              <w:rPr>
                <w:rFonts w:ascii="Times New Roman"/>
                <w:sz w:val="18"/>
              </w:rPr>
            </w:pPr>
          </w:p>
        </w:tc>
        <w:tc>
          <w:tcPr>
            <w:tcW w:w="2412" w:type="dxa"/>
            <w:tcBorders>
              <w:top w:val="nil"/>
              <w:bottom w:val="nil"/>
            </w:tcBorders>
          </w:tcPr>
          <w:p>
            <w:pPr>
              <w:pStyle w:val="TableParagraph"/>
              <w:spacing w:before="28"/>
              <w:ind w:left="90"/>
              <w:rPr>
                <w:sz w:val="18"/>
              </w:rPr>
            </w:pPr>
            <w:r>
              <w:rPr>
                <w:color w:val="105C84"/>
                <w:spacing w:val="-4"/>
                <w:sz w:val="18"/>
              </w:rPr>
              <w:t>Target:</w:t>
            </w:r>
            <w:r>
              <w:rPr>
                <w:color w:val="105C84"/>
                <w:spacing w:val="-1"/>
                <w:sz w:val="18"/>
              </w:rPr>
              <w:t> </w:t>
            </w:r>
            <w:r>
              <w:rPr>
                <w:color w:val="105C84"/>
                <w:spacing w:val="-5"/>
                <w:sz w:val="18"/>
              </w:rPr>
              <w:t>TBD</w:t>
            </w:r>
          </w:p>
        </w:tc>
        <w:tc>
          <w:tcPr>
            <w:tcW w:w="1303" w:type="dxa"/>
            <w:vMerge/>
            <w:tcBorders>
              <w:top w:val="nil"/>
            </w:tcBorders>
          </w:tcPr>
          <w:p>
            <w:pPr>
              <w:rPr>
                <w:sz w:val="2"/>
                <w:szCs w:val="2"/>
              </w:rPr>
            </w:pPr>
          </w:p>
        </w:tc>
        <w:tc>
          <w:tcPr>
            <w:tcW w:w="3253" w:type="dxa"/>
            <w:vMerge/>
            <w:tcBorders>
              <w:top w:val="nil"/>
              <w:right w:val="nil"/>
            </w:tcBorders>
          </w:tcPr>
          <w:p>
            <w:pPr>
              <w:rPr>
                <w:sz w:val="2"/>
                <w:szCs w:val="2"/>
              </w:rPr>
            </w:pPr>
          </w:p>
        </w:tc>
        <w:tc>
          <w:tcPr>
            <w:tcW w:w="3882" w:type="dxa"/>
            <w:vMerge/>
            <w:tcBorders>
              <w:top w:val="nil"/>
              <w:left w:val="nil"/>
            </w:tcBorders>
          </w:tcPr>
          <w:p>
            <w:pPr>
              <w:rPr>
                <w:sz w:val="2"/>
                <w:szCs w:val="2"/>
              </w:rPr>
            </w:pPr>
          </w:p>
        </w:tc>
        <w:tc>
          <w:tcPr>
            <w:tcW w:w="1850" w:type="dxa"/>
            <w:vMerge/>
            <w:tcBorders>
              <w:top w:val="nil"/>
            </w:tcBorders>
          </w:tcPr>
          <w:p>
            <w:pPr>
              <w:rPr>
                <w:sz w:val="2"/>
                <w:szCs w:val="2"/>
              </w:rPr>
            </w:pPr>
          </w:p>
        </w:tc>
        <w:tc>
          <w:tcPr>
            <w:tcW w:w="2692" w:type="dxa"/>
            <w:vMerge/>
            <w:tcBorders>
              <w:top w:val="nil"/>
            </w:tcBorders>
          </w:tcPr>
          <w:p>
            <w:pPr>
              <w:rPr>
                <w:sz w:val="2"/>
                <w:szCs w:val="2"/>
              </w:rPr>
            </w:pPr>
          </w:p>
        </w:tc>
        <w:tc>
          <w:tcPr>
            <w:tcW w:w="2313" w:type="dxa"/>
            <w:tcBorders>
              <w:top w:val="nil"/>
              <w:bottom w:val="nil"/>
            </w:tcBorders>
          </w:tcPr>
          <w:p>
            <w:pPr>
              <w:pStyle w:val="TableParagraph"/>
              <w:rPr>
                <w:rFonts w:ascii="Times New Roman"/>
                <w:sz w:val="18"/>
              </w:rPr>
            </w:pPr>
          </w:p>
        </w:tc>
      </w:tr>
      <w:tr>
        <w:trPr>
          <w:trHeight w:val="279" w:hRule="atLeast"/>
        </w:trPr>
        <w:tc>
          <w:tcPr>
            <w:tcW w:w="1353" w:type="dxa"/>
            <w:tcBorders>
              <w:top w:val="nil"/>
              <w:bottom w:val="nil"/>
            </w:tcBorders>
            <w:shd w:val="clear" w:color="auto" w:fill="E6E7E8"/>
          </w:tcPr>
          <w:p>
            <w:pPr>
              <w:pStyle w:val="TableParagraph"/>
              <w:rPr>
                <w:rFonts w:ascii="Times New Roman"/>
                <w:sz w:val="18"/>
              </w:rPr>
            </w:pPr>
          </w:p>
        </w:tc>
        <w:tc>
          <w:tcPr>
            <w:tcW w:w="1289" w:type="dxa"/>
            <w:tcBorders>
              <w:top w:val="nil"/>
              <w:bottom w:val="nil"/>
            </w:tcBorders>
          </w:tcPr>
          <w:p>
            <w:pPr>
              <w:pStyle w:val="TableParagraph"/>
              <w:rPr>
                <w:rFonts w:ascii="Times New Roman"/>
                <w:sz w:val="18"/>
              </w:rPr>
            </w:pPr>
          </w:p>
        </w:tc>
        <w:tc>
          <w:tcPr>
            <w:tcW w:w="1591" w:type="dxa"/>
            <w:tcBorders>
              <w:top w:val="nil"/>
              <w:bottom w:val="nil"/>
            </w:tcBorders>
          </w:tcPr>
          <w:p>
            <w:pPr>
              <w:pStyle w:val="TableParagraph"/>
              <w:rPr>
                <w:rFonts w:ascii="Times New Roman"/>
                <w:sz w:val="18"/>
              </w:rPr>
            </w:pPr>
          </w:p>
        </w:tc>
        <w:tc>
          <w:tcPr>
            <w:tcW w:w="2412" w:type="dxa"/>
            <w:tcBorders>
              <w:top w:val="nil"/>
              <w:bottom w:val="nil"/>
            </w:tcBorders>
          </w:tcPr>
          <w:p>
            <w:pPr>
              <w:pStyle w:val="TableParagraph"/>
              <w:spacing w:before="28"/>
              <w:ind w:left="90"/>
              <w:rPr>
                <w:sz w:val="18"/>
              </w:rPr>
            </w:pPr>
            <w:r>
              <w:rPr>
                <w:color w:val="105C84"/>
                <w:spacing w:val="-4"/>
                <w:sz w:val="18"/>
              </w:rPr>
              <w:t>Baseline:</w:t>
            </w:r>
            <w:r>
              <w:rPr>
                <w:color w:val="105C84"/>
                <w:spacing w:val="2"/>
                <w:sz w:val="18"/>
              </w:rPr>
              <w:t> </w:t>
            </w:r>
            <w:r>
              <w:rPr>
                <w:color w:val="105C84"/>
                <w:spacing w:val="-5"/>
                <w:sz w:val="18"/>
              </w:rPr>
              <w:t>TBD</w:t>
            </w:r>
          </w:p>
        </w:tc>
        <w:tc>
          <w:tcPr>
            <w:tcW w:w="1303" w:type="dxa"/>
            <w:vMerge/>
            <w:tcBorders>
              <w:top w:val="nil"/>
            </w:tcBorders>
          </w:tcPr>
          <w:p>
            <w:pPr>
              <w:rPr>
                <w:sz w:val="2"/>
                <w:szCs w:val="2"/>
              </w:rPr>
            </w:pPr>
          </w:p>
        </w:tc>
        <w:tc>
          <w:tcPr>
            <w:tcW w:w="3253" w:type="dxa"/>
            <w:vMerge/>
            <w:tcBorders>
              <w:top w:val="nil"/>
              <w:right w:val="nil"/>
            </w:tcBorders>
          </w:tcPr>
          <w:p>
            <w:pPr>
              <w:rPr>
                <w:sz w:val="2"/>
                <w:szCs w:val="2"/>
              </w:rPr>
            </w:pPr>
          </w:p>
        </w:tc>
        <w:tc>
          <w:tcPr>
            <w:tcW w:w="3882" w:type="dxa"/>
            <w:vMerge/>
            <w:tcBorders>
              <w:top w:val="nil"/>
              <w:left w:val="nil"/>
            </w:tcBorders>
          </w:tcPr>
          <w:p>
            <w:pPr>
              <w:rPr>
                <w:sz w:val="2"/>
                <w:szCs w:val="2"/>
              </w:rPr>
            </w:pPr>
          </w:p>
        </w:tc>
        <w:tc>
          <w:tcPr>
            <w:tcW w:w="1850" w:type="dxa"/>
            <w:vMerge/>
            <w:tcBorders>
              <w:top w:val="nil"/>
            </w:tcBorders>
          </w:tcPr>
          <w:p>
            <w:pPr>
              <w:rPr>
                <w:sz w:val="2"/>
                <w:szCs w:val="2"/>
              </w:rPr>
            </w:pPr>
          </w:p>
        </w:tc>
        <w:tc>
          <w:tcPr>
            <w:tcW w:w="2692" w:type="dxa"/>
            <w:vMerge/>
            <w:tcBorders>
              <w:top w:val="nil"/>
            </w:tcBorders>
          </w:tcPr>
          <w:p>
            <w:pPr>
              <w:rPr>
                <w:sz w:val="2"/>
                <w:szCs w:val="2"/>
              </w:rPr>
            </w:pPr>
          </w:p>
        </w:tc>
        <w:tc>
          <w:tcPr>
            <w:tcW w:w="2313" w:type="dxa"/>
            <w:tcBorders>
              <w:top w:val="nil"/>
              <w:bottom w:val="nil"/>
            </w:tcBorders>
          </w:tcPr>
          <w:p>
            <w:pPr>
              <w:pStyle w:val="TableParagraph"/>
              <w:rPr>
                <w:rFonts w:ascii="Times New Roman"/>
                <w:sz w:val="18"/>
              </w:rPr>
            </w:pPr>
          </w:p>
        </w:tc>
      </w:tr>
      <w:tr>
        <w:trPr>
          <w:trHeight w:val="279" w:hRule="atLeast"/>
        </w:trPr>
        <w:tc>
          <w:tcPr>
            <w:tcW w:w="1353" w:type="dxa"/>
            <w:tcBorders>
              <w:top w:val="nil"/>
              <w:bottom w:val="nil"/>
            </w:tcBorders>
            <w:shd w:val="clear" w:color="auto" w:fill="E6E7E8"/>
          </w:tcPr>
          <w:p>
            <w:pPr>
              <w:pStyle w:val="TableParagraph"/>
              <w:rPr>
                <w:rFonts w:ascii="Times New Roman"/>
                <w:sz w:val="18"/>
              </w:rPr>
            </w:pPr>
          </w:p>
        </w:tc>
        <w:tc>
          <w:tcPr>
            <w:tcW w:w="1289" w:type="dxa"/>
            <w:tcBorders>
              <w:top w:val="nil"/>
              <w:bottom w:val="nil"/>
            </w:tcBorders>
          </w:tcPr>
          <w:p>
            <w:pPr>
              <w:pStyle w:val="TableParagraph"/>
              <w:rPr>
                <w:rFonts w:ascii="Times New Roman"/>
                <w:sz w:val="18"/>
              </w:rPr>
            </w:pPr>
          </w:p>
        </w:tc>
        <w:tc>
          <w:tcPr>
            <w:tcW w:w="1591" w:type="dxa"/>
            <w:tcBorders>
              <w:top w:val="nil"/>
              <w:bottom w:val="nil"/>
            </w:tcBorders>
          </w:tcPr>
          <w:p>
            <w:pPr>
              <w:pStyle w:val="TableParagraph"/>
              <w:rPr>
                <w:rFonts w:ascii="Times New Roman"/>
                <w:sz w:val="18"/>
              </w:rPr>
            </w:pPr>
          </w:p>
        </w:tc>
        <w:tc>
          <w:tcPr>
            <w:tcW w:w="2412" w:type="dxa"/>
            <w:tcBorders>
              <w:top w:val="nil"/>
              <w:bottom w:val="nil"/>
            </w:tcBorders>
          </w:tcPr>
          <w:p>
            <w:pPr>
              <w:pStyle w:val="TableParagraph"/>
              <w:spacing w:before="28"/>
              <w:ind w:left="90"/>
              <w:rPr>
                <w:sz w:val="18"/>
              </w:rPr>
            </w:pPr>
            <w:r>
              <w:rPr>
                <w:color w:val="105C84"/>
                <w:spacing w:val="-6"/>
                <w:sz w:val="18"/>
              </w:rPr>
              <w:t>Baseline:</w:t>
            </w:r>
            <w:r>
              <w:rPr>
                <w:color w:val="105C84"/>
                <w:spacing w:val="-1"/>
                <w:sz w:val="18"/>
              </w:rPr>
              <w:t> </w:t>
            </w:r>
            <w:r>
              <w:rPr>
                <w:color w:val="105C84"/>
                <w:spacing w:val="-6"/>
                <w:sz w:val="18"/>
              </w:rPr>
              <w:t>Year</w:t>
            </w:r>
            <w:r>
              <w:rPr>
                <w:color w:val="105C84"/>
                <w:spacing w:val="-1"/>
                <w:sz w:val="18"/>
              </w:rPr>
              <w:t> </w:t>
            </w:r>
            <w:r>
              <w:rPr>
                <w:color w:val="105C84"/>
                <w:spacing w:val="-6"/>
                <w:sz w:val="18"/>
              </w:rPr>
              <w:t>2018</w:t>
            </w:r>
          </w:p>
        </w:tc>
        <w:tc>
          <w:tcPr>
            <w:tcW w:w="1303" w:type="dxa"/>
            <w:vMerge/>
            <w:tcBorders>
              <w:top w:val="nil"/>
            </w:tcBorders>
          </w:tcPr>
          <w:p>
            <w:pPr>
              <w:rPr>
                <w:sz w:val="2"/>
                <w:szCs w:val="2"/>
              </w:rPr>
            </w:pPr>
          </w:p>
        </w:tc>
        <w:tc>
          <w:tcPr>
            <w:tcW w:w="3253" w:type="dxa"/>
            <w:vMerge/>
            <w:tcBorders>
              <w:top w:val="nil"/>
              <w:right w:val="nil"/>
            </w:tcBorders>
          </w:tcPr>
          <w:p>
            <w:pPr>
              <w:rPr>
                <w:sz w:val="2"/>
                <w:szCs w:val="2"/>
              </w:rPr>
            </w:pPr>
          </w:p>
        </w:tc>
        <w:tc>
          <w:tcPr>
            <w:tcW w:w="3882" w:type="dxa"/>
            <w:vMerge/>
            <w:tcBorders>
              <w:top w:val="nil"/>
              <w:left w:val="nil"/>
            </w:tcBorders>
          </w:tcPr>
          <w:p>
            <w:pPr>
              <w:rPr>
                <w:sz w:val="2"/>
                <w:szCs w:val="2"/>
              </w:rPr>
            </w:pPr>
          </w:p>
        </w:tc>
        <w:tc>
          <w:tcPr>
            <w:tcW w:w="1850" w:type="dxa"/>
            <w:vMerge/>
            <w:tcBorders>
              <w:top w:val="nil"/>
            </w:tcBorders>
          </w:tcPr>
          <w:p>
            <w:pPr>
              <w:rPr>
                <w:sz w:val="2"/>
                <w:szCs w:val="2"/>
              </w:rPr>
            </w:pPr>
          </w:p>
        </w:tc>
        <w:tc>
          <w:tcPr>
            <w:tcW w:w="2692" w:type="dxa"/>
            <w:vMerge/>
            <w:tcBorders>
              <w:top w:val="nil"/>
            </w:tcBorders>
          </w:tcPr>
          <w:p>
            <w:pPr>
              <w:rPr>
                <w:sz w:val="2"/>
                <w:szCs w:val="2"/>
              </w:rPr>
            </w:pPr>
          </w:p>
        </w:tc>
        <w:tc>
          <w:tcPr>
            <w:tcW w:w="2313" w:type="dxa"/>
            <w:tcBorders>
              <w:top w:val="nil"/>
              <w:bottom w:val="nil"/>
            </w:tcBorders>
          </w:tcPr>
          <w:p>
            <w:pPr>
              <w:pStyle w:val="TableParagraph"/>
              <w:rPr>
                <w:rFonts w:ascii="Times New Roman"/>
                <w:sz w:val="18"/>
              </w:rPr>
            </w:pPr>
          </w:p>
        </w:tc>
      </w:tr>
      <w:tr>
        <w:trPr>
          <w:trHeight w:val="279" w:hRule="atLeast"/>
        </w:trPr>
        <w:tc>
          <w:tcPr>
            <w:tcW w:w="1353" w:type="dxa"/>
            <w:tcBorders>
              <w:top w:val="nil"/>
              <w:bottom w:val="nil"/>
            </w:tcBorders>
            <w:shd w:val="clear" w:color="auto" w:fill="E6E7E8"/>
          </w:tcPr>
          <w:p>
            <w:pPr>
              <w:pStyle w:val="TableParagraph"/>
              <w:rPr>
                <w:rFonts w:ascii="Times New Roman"/>
                <w:sz w:val="18"/>
              </w:rPr>
            </w:pPr>
          </w:p>
        </w:tc>
        <w:tc>
          <w:tcPr>
            <w:tcW w:w="1289" w:type="dxa"/>
            <w:tcBorders>
              <w:top w:val="nil"/>
              <w:bottom w:val="nil"/>
            </w:tcBorders>
          </w:tcPr>
          <w:p>
            <w:pPr>
              <w:pStyle w:val="TableParagraph"/>
              <w:rPr>
                <w:rFonts w:ascii="Times New Roman"/>
                <w:sz w:val="18"/>
              </w:rPr>
            </w:pPr>
          </w:p>
        </w:tc>
        <w:tc>
          <w:tcPr>
            <w:tcW w:w="1591" w:type="dxa"/>
            <w:tcBorders>
              <w:top w:val="nil"/>
              <w:bottom w:val="nil"/>
            </w:tcBorders>
          </w:tcPr>
          <w:p>
            <w:pPr>
              <w:pStyle w:val="TableParagraph"/>
              <w:rPr>
                <w:rFonts w:ascii="Times New Roman"/>
                <w:sz w:val="18"/>
              </w:rPr>
            </w:pPr>
          </w:p>
        </w:tc>
        <w:tc>
          <w:tcPr>
            <w:tcW w:w="2412" w:type="dxa"/>
            <w:tcBorders>
              <w:top w:val="nil"/>
              <w:bottom w:val="nil"/>
            </w:tcBorders>
          </w:tcPr>
          <w:p>
            <w:pPr>
              <w:pStyle w:val="TableParagraph"/>
              <w:spacing w:before="28"/>
              <w:ind w:left="90"/>
              <w:rPr>
                <w:sz w:val="18"/>
              </w:rPr>
            </w:pPr>
            <w:r>
              <w:rPr>
                <w:color w:val="105C84"/>
                <w:spacing w:val="-2"/>
                <w:sz w:val="18"/>
              </w:rPr>
              <w:t>Data</w:t>
            </w:r>
            <w:r>
              <w:rPr>
                <w:color w:val="105C84"/>
                <w:spacing w:val="-9"/>
                <w:sz w:val="18"/>
              </w:rPr>
              <w:t> </w:t>
            </w:r>
            <w:r>
              <w:rPr>
                <w:color w:val="105C84"/>
                <w:spacing w:val="-2"/>
                <w:sz w:val="18"/>
              </w:rPr>
              <w:t>Source:</w:t>
            </w:r>
            <w:r>
              <w:rPr>
                <w:color w:val="105C84"/>
                <w:spacing w:val="-8"/>
                <w:sz w:val="18"/>
              </w:rPr>
              <w:t> </w:t>
            </w:r>
            <w:r>
              <w:rPr>
                <w:color w:val="105C84"/>
                <w:spacing w:val="-5"/>
                <w:sz w:val="18"/>
              </w:rPr>
              <w:t>CAT</w:t>
            </w:r>
          </w:p>
        </w:tc>
        <w:tc>
          <w:tcPr>
            <w:tcW w:w="1303" w:type="dxa"/>
            <w:vMerge/>
            <w:tcBorders>
              <w:top w:val="nil"/>
            </w:tcBorders>
          </w:tcPr>
          <w:p>
            <w:pPr>
              <w:rPr>
                <w:sz w:val="2"/>
                <w:szCs w:val="2"/>
              </w:rPr>
            </w:pPr>
          </w:p>
        </w:tc>
        <w:tc>
          <w:tcPr>
            <w:tcW w:w="3253" w:type="dxa"/>
            <w:vMerge/>
            <w:tcBorders>
              <w:top w:val="nil"/>
              <w:right w:val="nil"/>
            </w:tcBorders>
          </w:tcPr>
          <w:p>
            <w:pPr>
              <w:rPr>
                <w:sz w:val="2"/>
                <w:szCs w:val="2"/>
              </w:rPr>
            </w:pPr>
          </w:p>
        </w:tc>
        <w:tc>
          <w:tcPr>
            <w:tcW w:w="3882" w:type="dxa"/>
            <w:vMerge/>
            <w:tcBorders>
              <w:top w:val="nil"/>
              <w:left w:val="nil"/>
            </w:tcBorders>
          </w:tcPr>
          <w:p>
            <w:pPr>
              <w:rPr>
                <w:sz w:val="2"/>
                <w:szCs w:val="2"/>
              </w:rPr>
            </w:pPr>
          </w:p>
        </w:tc>
        <w:tc>
          <w:tcPr>
            <w:tcW w:w="1850" w:type="dxa"/>
            <w:vMerge/>
            <w:tcBorders>
              <w:top w:val="nil"/>
            </w:tcBorders>
          </w:tcPr>
          <w:p>
            <w:pPr>
              <w:rPr>
                <w:sz w:val="2"/>
                <w:szCs w:val="2"/>
              </w:rPr>
            </w:pPr>
          </w:p>
        </w:tc>
        <w:tc>
          <w:tcPr>
            <w:tcW w:w="2692" w:type="dxa"/>
            <w:vMerge/>
            <w:tcBorders>
              <w:top w:val="nil"/>
            </w:tcBorders>
          </w:tcPr>
          <w:p>
            <w:pPr>
              <w:rPr>
                <w:sz w:val="2"/>
                <w:szCs w:val="2"/>
              </w:rPr>
            </w:pPr>
          </w:p>
        </w:tc>
        <w:tc>
          <w:tcPr>
            <w:tcW w:w="2313" w:type="dxa"/>
            <w:tcBorders>
              <w:top w:val="nil"/>
              <w:bottom w:val="nil"/>
            </w:tcBorders>
          </w:tcPr>
          <w:p>
            <w:pPr>
              <w:pStyle w:val="TableParagraph"/>
              <w:rPr>
                <w:rFonts w:ascii="Times New Roman"/>
                <w:sz w:val="18"/>
              </w:rPr>
            </w:pPr>
          </w:p>
        </w:tc>
      </w:tr>
      <w:tr>
        <w:trPr>
          <w:trHeight w:val="479" w:hRule="atLeast"/>
        </w:trPr>
        <w:tc>
          <w:tcPr>
            <w:tcW w:w="1353" w:type="dxa"/>
            <w:tcBorders>
              <w:top w:val="nil"/>
              <w:bottom w:val="nil"/>
            </w:tcBorders>
            <w:shd w:val="clear" w:color="auto" w:fill="E6E7E8"/>
          </w:tcPr>
          <w:p>
            <w:pPr>
              <w:pStyle w:val="TableParagraph"/>
              <w:rPr>
                <w:rFonts w:ascii="Times New Roman"/>
                <w:sz w:val="18"/>
              </w:rPr>
            </w:pPr>
          </w:p>
        </w:tc>
        <w:tc>
          <w:tcPr>
            <w:tcW w:w="1289" w:type="dxa"/>
            <w:tcBorders>
              <w:top w:val="nil"/>
              <w:bottom w:val="nil"/>
            </w:tcBorders>
          </w:tcPr>
          <w:p>
            <w:pPr>
              <w:pStyle w:val="TableParagraph"/>
              <w:rPr>
                <w:rFonts w:ascii="Times New Roman"/>
                <w:sz w:val="18"/>
              </w:rPr>
            </w:pPr>
          </w:p>
        </w:tc>
        <w:tc>
          <w:tcPr>
            <w:tcW w:w="1591" w:type="dxa"/>
            <w:tcBorders>
              <w:top w:val="nil"/>
              <w:bottom w:val="nil"/>
            </w:tcBorders>
          </w:tcPr>
          <w:p>
            <w:pPr>
              <w:pStyle w:val="TableParagraph"/>
              <w:rPr>
                <w:rFonts w:ascii="Times New Roman"/>
                <w:sz w:val="18"/>
              </w:rPr>
            </w:pPr>
          </w:p>
        </w:tc>
        <w:tc>
          <w:tcPr>
            <w:tcW w:w="2412" w:type="dxa"/>
            <w:tcBorders>
              <w:top w:val="nil"/>
              <w:bottom w:val="nil"/>
            </w:tcBorders>
          </w:tcPr>
          <w:p>
            <w:pPr>
              <w:pStyle w:val="TableParagraph"/>
              <w:spacing w:line="232" w:lineRule="auto" w:before="33"/>
              <w:ind w:left="90"/>
              <w:rPr>
                <w:sz w:val="18"/>
              </w:rPr>
            </w:pPr>
            <w:r>
              <w:rPr>
                <w:color w:val="105C84"/>
                <w:spacing w:val="-2"/>
                <w:sz w:val="18"/>
              </w:rPr>
              <w:t>Data</w:t>
            </w:r>
            <w:r>
              <w:rPr>
                <w:color w:val="105C84"/>
                <w:spacing w:val="-13"/>
                <w:sz w:val="18"/>
              </w:rPr>
              <w:t> </w:t>
            </w:r>
            <w:r>
              <w:rPr>
                <w:color w:val="105C84"/>
                <w:spacing w:val="-2"/>
                <w:sz w:val="18"/>
              </w:rPr>
              <w:t>Level:</w:t>
            </w:r>
            <w:r>
              <w:rPr>
                <w:color w:val="105C84"/>
                <w:spacing w:val="-10"/>
                <w:sz w:val="18"/>
              </w:rPr>
              <w:t> </w:t>
            </w:r>
            <w:r>
              <w:rPr>
                <w:color w:val="105C84"/>
                <w:spacing w:val="-2"/>
                <w:sz w:val="18"/>
              </w:rPr>
              <w:t>State, municipality.</w:t>
            </w:r>
          </w:p>
        </w:tc>
        <w:tc>
          <w:tcPr>
            <w:tcW w:w="1303" w:type="dxa"/>
            <w:vMerge/>
            <w:tcBorders>
              <w:top w:val="nil"/>
            </w:tcBorders>
          </w:tcPr>
          <w:p>
            <w:pPr>
              <w:rPr>
                <w:sz w:val="2"/>
                <w:szCs w:val="2"/>
              </w:rPr>
            </w:pPr>
          </w:p>
        </w:tc>
        <w:tc>
          <w:tcPr>
            <w:tcW w:w="3253" w:type="dxa"/>
            <w:vMerge/>
            <w:tcBorders>
              <w:top w:val="nil"/>
              <w:right w:val="nil"/>
            </w:tcBorders>
          </w:tcPr>
          <w:p>
            <w:pPr>
              <w:rPr>
                <w:sz w:val="2"/>
                <w:szCs w:val="2"/>
              </w:rPr>
            </w:pPr>
          </w:p>
        </w:tc>
        <w:tc>
          <w:tcPr>
            <w:tcW w:w="3882" w:type="dxa"/>
            <w:vMerge/>
            <w:tcBorders>
              <w:top w:val="nil"/>
              <w:left w:val="nil"/>
            </w:tcBorders>
          </w:tcPr>
          <w:p>
            <w:pPr>
              <w:rPr>
                <w:sz w:val="2"/>
                <w:szCs w:val="2"/>
              </w:rPr>
            </w:pPr>
          </w:p>
        </w:tc>
        <w:tc>
          <w:tcPr>
            <w:tcW w:w="1850" w:type="dxa"/>
            <w:vMerge/>
            <w:tcBorders>
              <w:top w:val="nil"/>
            </w:tcBorders>
          </w:tcPr>
          <w:p>
            <w:pPr>
              <w:rPr>
                <w:sz w:val="2"/>
                <w:szCs w:val="2"/>
              </w:rPr>
            </w:pPr>
          </w:p>
        </w:tc>
        <w:tc>
          <w:tcPr>
            <w:tcW w:w="2692" w:type="dxa"/>
            <w:vMerge/>
            <w:tcBorders>
              <w:top w:val="nil"/>
            </w:tcBorders>
          </w:tcPr>
          <w:p>
            <w:pPr>
              <w:rPr>
                <w:sz w:val="2"/>
                <w:szCs w:val="2"/>
              </w:rPr>
            </w:pPr>
          </w:p>
        </w:tc>
        <w:tc>
          <w:tcPr>
            <w:tcW w:w="2313" w:type="dxa"/>
            <w:tcBorders>
              <w:top w:val="nil"/>
              <w:bottom w:val="nil"/>
            </w:tcBorders>
          </w:tcPr>
          <w:p>
            <w:pPr>
              <w:pStyle w:val="TableParagraph"/>
              <w:rPr>
                <w:rFonts w:ascii="Times New Roman"/>
                <w:sz w:val="18"/>
              </w:rPr>
            </w:pPr>
          </w:p>
        </w:tc>
      </w:tr>
      <w:tr>
        <w:trPr>
          <w:trHeight w:val="282" w:hRule="atLeast"/>
        </w:trPr>
        <w:tc>
          <w:tcPr>
            <w:tcW w:w="1353" w:type="dxa"/>
            <w:tcBorders>
              <w:top w:val="nil"/>
            </w:tcBorders>
            <w:shd w:val="clear" w:color="auto" w:fill="E6E7E8"/>
          </w:tcPr>
          <w:p>
            <w:pPr>
              <w:pStyle w:val="TableParagraph"/>
              <w:rPr>
                <w:rFonts w:ascii="Times New Roman"/>
                <w:sz w:val="18"/>
              </w:rPr>
            </w:pPr>
          </w:p>
        </w:tc>
        <w:tc>
          <w:tcPr>
            <w:tcW w:w="1289" w:type="dxa"/>
            <w:tcBorders>
              <w:top w:val="nil"/>
            </w:tcBorders>
          </w:tcPr>
          <w:p>
            <w:pPr>
              <w:pStyle w:val="TableParagraph"/>
              <w:rPr>
                <w:rFonts w:ascii="Times New Roman"/>
                <w:sz w:val="18"/>
              </w:rPr>
            </w:pPr>
          </w:p>
        </w:tc>
        <w:tc>
          <w:tcPr>
            <w:tcW w:w="1591" w:type="dxa"/>
            <w:tcBorders>
              <w:top w:val="nil"/>
            </w:tcBorders>
          </w:tcPr>
          <w:p>
            <w:pPr>
              <w:pStyle w:val="TableParagraph"/>
              <w:rPr>
                <w:rFonts w:ascii="Times New Roman"/>
                <w:sz w:val="18"/>
              </w:rPr>
            </w:pPr>
          </w:p>
        </w:tc>
        <w:tc>
          <w:tcPr>
            <w:tcW w:w="2412" w:type="dxa"/>
            <w:tcBorders>
              <w:top w:val="nil"/>
            </w:tcBorders>
          </w:tcPr>
          <w:p>
            <w:pPr>
              <w:pStyle w:val="TableParagraph"/>
              <w:spacing w:before="28"/>
              <w:ind w:left="90"/>
              <w:rPr>
                <w:sz w:val="18"/>
              </w:rPr>
            </w:pPr>
            <w:r>
              <w:rPr>
                <w:color w:val="105C84"/>
                <w:sz w:val="18"/>
              </w:rPr>
              <w:t>Ontario</w:t>
            </w:r>
            <w:r>
              <w:rPr>
                <w:color w:val="105C84"/>
                <w:spacing w:val="3"/>
                <w:sz w:val="18"/>
              </w:rPr>
              <w:t> </w:t>
            </w:r>
            <w:r>
              <w:rPr>
                <w:color w:val="105C84"/>
                <w:sz w:val="18"/>
              </w:rPr>
              <w:t>County</w:t>
            </w:r>
            <w:r>
              <w:rPr>
                <w:color w:val="105C84"/>
                <w:spacing w:val="4"/>
                <w:sz w:val="18"/>
              </w:rPr>
              <w:t> </w:t>
            </w:r>
            <w:r>
              <w:rPr>
                <w:color w:val="105C84"/>
                <w:sz w:val="18"/>
              </w:rPr>
              <w:t>Goal:</w:t>
            </w:r>
            <w:r>
              <w:rPr>
                <w:color w:val="105C84"/>
                <w:spacing w:val="4"/>
                <w:sz w:val="18"/>
              </w:rPr>
              <w:t> </w:t>
            </w:r>
            <w:r>
              <w:rPr>
                <w:color w:val="105C84"/>
                <w:spacing w:val="-5"/>
                <w:sz w:val="18"/>
              </w:rPr>
              <w:t>20</w:t>
            </w:r>
          </w:p>
        </w:tc>
        <w:tc>
          <w:tcPr>
            <w:tcW w:w="1303" w:type="dxa"/>
            <w:vMerge/>
            <w:tcBorders>
              <w:top w:val="nil"/>
            </w:tcBorders>
          </w:tcPr>
          <w:p>
            <w:pPr>
              <w:rPr>
                <w:sz w:val="2"/>
                <w:szCs w:val="2"/>
              </w:rPr>
            </w:pPr>
          </w:p>
        </w:tc>
        <w:tc>
          <w:tcPr>
            <w:tcW w:w="3253" w:type="dxa"/>
            <w:vMerge/>
            <w:tcBorders>
              <w:top w:val="nil"/>
              <w:right w:val="nil"/>
            </w:tcBorders>
          </w:tcPr>
          <w:p>
            <w:pPr>
              <w:rPr>
                <w:sz w:val="2"/>
                <w:szCs w:val="2"/>
              </w:rPr>
            </w:pPr>
          </w:p>
        </w:tc>
        <w:tc>
          <w:tcPr>
            <w:tcW w:w="3882" w:type="dxa"/>
            <w:vMerge/>
            <w:tcBorders>
              <w:top w:val="nil"/>
              <w:left w:val="nil"/>
            </w:tcBorders>
          </w:tcPr>
          <w:p>
            <w:pPr>
              <w:rPr>
                <w:sz w:val="2"/>
                <w:szCs w:val="2"/>
              </w:rPr>
            </w:pPr>
          </w:p>
        </w:tc>
        <w:tc>
          <w:tcPr>
            <w:tcW w:w="1850" w:type="dxa"/>
            <w:vMerge/>
            <w:tcBorders>
              <w:top w:val="nil"/>
            </w:tcBorders>
          </w:tcPr>
          <w:p>
            <w:pPr>
              <w:rPr>
                <w:sz w:val="2"/>
                <w:szCs w:val="2"/>
              </w:rPr>
            </w:pPr>
          </w:p>
        </w:tc>
        <w:tc>
          <w:tcPr>
            <w:tcW w:w="2692" w:type="dxa"/>
            <w:vMerge/>
            <w:tcBorders>
              <w:top w:val="nil"/>
            </w:tcBorders>
          </w:tcPr>
          <w:p>
            <w:pPr>
              <w:rPr>
                <w:sz w:val="2"/>
                <w:szCs w:val="2"/>
              </w:rPr>
            </w:pPr>
          </w:p>
        </w:tc>
        <w:tc>
          <w:tcPr>
            <w:tcW w:w="2313" w:type="dxa"/>
            <w:tcBorders>
              <w:top w:val="nil"/>
            </w:tcBorders>
          </w:tcPr>
          <w:p>
            <w:pPr>
              <w:pStyle w:val="TableParagraph"/>
              <w:rPr>
                <w:rFonts w:ascii="Times New Roman"/>
                <w:sz w:val="18"/>
              </w:rPr>
            </w:pPr>
          </w:p>
        </w:tc>
      </w:tr>
    </w:tbl>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265"/>
        <w:rPr>
          <w:b/>
          <w:sz w:val="26"/>
        </w:rPr>
      </w:pPr>
    </w:p>
    <w:p>
      <w:pPr>
        <w:tabs>
          <w:tab w:pos="23047" w:val="left" w:leader="none"/>
        </w:tabs>
        <w:spacing w:before="0"/>
        <w:ind w:left="0" w:right="0" w:firstLine="0"/>
        <w:jc w:val="left"/>
        <w:rPr>
          <w:b/>
          <w:sz w:val="26"/>
        </w:rPr>
      </w:pPr>
      <w:r>
        <w:rPr>
          <w:position w:val="-4"/>
        </w:rPr>
        <w:drawing>
          <wp:inline distT="0" distB="0" distL="0" distR="0">
            <wp:extent cx="568172" cy="184683"/>
            <wp:effectExtent l="0" t="0" r="0" b="0"/>
            <wp:docPr id="1832" name="Image 1832"/>
            <wp:cNvGraphicFramePr>
              <a:graphicFrameLocks/>
            </wp:cNvGraphicFramePr>
            <a:graphic>
              <a:graphicData uri="http://schemas.openxmlformats.org/drawingml/2006/picture">
                <pic:pic>
                  <pic:nvPicPr>
                    <pic:cNvPr id="1832" name="Image 1832"/>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13"/>
          <w:sz w:val="20"/>
        </w:rPr>
        <w:t> </w:t>
      </w:r>
      <w:r>
        <w:rPr>
          <w:b/>
          <w:color w:val="939598"/>
          <w:w w:val="105"/>
          <w:sz w:val="26"/>
        </w:rPr>
        <w:t>151</w:t>
      </w:r>
      <w:r>
        <w:rPr>
          <w:b/>
          <w:color w:val="939598"/>
          <w:sz w:val="26"/>
        </w:rPr>
        <w:tab/>
      </w:r>
      <w:r>
        <w:rPr>
          <w:b/>
          <w:color w:val="939598"/>
          <w:spacing w:val="-5"/>
          <w:w w:val="105"/>
          <w:sz w:val="26"/>
        </w:rPr>
        <w:t>152</w:t>
      </w:r>
    </w:p>
    <w:p>
      <w:pPr>
        <w:spacing w:after="0"/>
        <w:jc w:val="left"/>
        <w:rPr>
          <w:b/>
          <w:sz w:val="26"/>
        </w:rPr>
        <w:sectPr>
          <w:pgSz w:w="24480" w:h="15840" w:orient="landscape"/>
          <w:pgMar w:header="0" w:footer="0" w:top="860" w:bottom="0" w:left="0" w:right="720"/>
        </w:sectPr>
      </w:pPr>
    </w:p>
    <w:p>
      <w:pPr>
        <w:spacing w:before="607"/>
        <w:ind w:left="1089" w:right="0" w:firstLine="0"/>
        <w:jc w:val="left"/>
        <w:rPr>
          <w:sz w:val="54"/>
        </w:rPr>
      </w:pPr>
      <w:r>
        <w:rPr>
          <w:sz w:val="54"/>
        </w:rPr>
        <w:drawing>
          <wp:anchor distT="0" distB="0" distL="0" distR="0" allowOverlap="1" layoutInCell="1" locked="0" behindDoc="0" simplePos="0" relativeHeight="15956480">
            <wp:simplePos x="0" y="0"/>
            <wp:positionH relativeFrom="page">
              <wp:posOffset>14981556</wp:posOffset>
            </wp:positionH>
            <wp:positionV relativeFrom="page">
              <wp:posOffset>9668103</wp:posOffset>
            </wp:positionV>
            <wp:extent cx="563245" cy="184683"/>
            <wp:effectExtent l="0" t="0" r="0" b="0"/>
            <wp:wrapNone/>
            <wp:docPr id="1833" name="Image 1833"/>
            <wp:cNvGraphicFramePr>
              <a:graphicFrameLocks/>
            </wp:cNvGraphicFramePr>
            <a:graphic>
              <a:graphicData uri="http://schemas.openxmlformats.org/drawingml/2006/picture">
                <pic:pic>
                  <pic:nvPicPr>
                    <pic:cNvPr id="1833" name="Image 1833"/>
                    <pic:cNvPicPr/>
                  </pic:nvPicPr>
                  <pic:blipFill>
                    <a:blip r:embed="rId38" cstate="print"/>
                    <a:stretch>
                      <a:fillRect/>
                    </a:stretch>
                  </pic:blipFill>
                  <pic:spPr>
                    <a:xfrm>
                      <a:off x="0" y="0"/>
                      <a:ext cx="563245" cy="184683"/>
                    </a:xfrm>
                    <a:prstGeom prst="rect">
                      <a:avLst/>
                    </a:prstGeom>
                  </pic:spPr>
                </pic:pic>
              </a:graphicData>
            </a:graphic>
          </wp:anchor>
        </w:drawing>
      </w:r>
      <w:r>
        <w:rPr>
          <w:sz w:val="54"/>
        </w:rPr>
        <w:drawing>
          <wp:anchor distT="0" distB="0" distL="0" distR="0" allowOverlap="1" layoutInCell="1" locked="0" behindDoc="0" simplePos="0" relativeHeight="15956992">
            <wp:simplePos x="0" y="0"/>
            <wp:positionH relativeFrom="page">
              <wp:posOffset>14252733</wp:posOffset>
            </wp:positionH>
            <wp:positionV relativeFrom="paragraph">
              <wp:posOffset>358457</wp:posOffset>
            </wp:positionV>
            <wp:extent cx="588168" cy="615314"/>
            <wp:effectExtent l="0" t="0" r="0" b="0"/>
            <wp:wrapNone/>
            <wp:docPr id="1834" name="Image 1834"/>
            <wp:cNvGraphicFramePr>
              <a:graphicFrameLocks/>
            </wp:cNvGraphicFramePr>
            <a:graphic>
              <a:graphicData uri="http://schemas.openxmlformats.org/drawingml/2006/picture">
                <pic:pic>
                  <pic:nvPicPr>
                    <pic:cNvPr id="1834" name="Image 1834"/>
                    <pic:cNvPicPr/>
                  </pic:nvPicPr>
                  <pic:blipFill>
                    <a:blip r:embed="rId248" cstate="print"/>
                    <a:stretch>
                      <a:fillRect/>
                    </a:stretch>
                  </pic:blipFill>
                  <pic:spPr>
                    <a:xfrm>
                      <a:off x="0" y="0"/>
                      <a:ext cx="588168" cy="615314"/>
                    </a:xfrm>
                    <a:prstGeom prst="rect">
                      <a:avLst/>
                    </a:prstGeom>
                  </pic:spPr>
                </pic:pic>
              </a:graphicData>
            </a:graphic>
          </wp:anchor>
        </w:drawing>
      </w:r>
      <w:r>
        <w:rPr>
          <w:sz w:val="54"/>
        </w:rPr>
        <w:drawing>
          <wp:anchor distT="0" distB="0" distL="0" distR="0" allowOverlap="1" layoutInCell="1" locked="0" behindDoc="0" simplePos="0" relativeHeight="15957504">
            <wp:simplePos x="0" y="0"/>
            <wp:positionH relativeFrom="page">
              <wp:posOffset>9637268</wp:posOffset>
            </wp:positionH>
            <wp:positionV relativeFrom="paragraph">
              <wp:posOffset>365759</wp:posOffset>
            </wp:positionV>
            <wp:extent cx="1013459" cy="346709"/>
            <wp:effectExtent l="0" t="0" r="0" b="0"/>
            <wp:wrapNone/>
            <wp:docPr id="1835" name="Image 1835"/>
            <wp:cNvGraphicFramePr>
              <a:graphicFrameLocks/>
            </wp:cNvGraphicFramePr>
            <a:graphic>
              <a:graphicData uri="http://schemas.openxmlformats.org/drawingml/2006/picture">
                <pic:pic>
                  <pic:nvPicPr>
                    <pic:cNvPr id="1835" name="Image 1835"/>
                    <pic:cNvPicPr/>
                  </pic:nvPicPr>
                  <pic:blipFill>
                    <a:blip r:embed="rId249" cstate="print"/>
                    <a:stretch>
                      <a:fillRect/>
                    </a:stretch>
                  </pic:blipFill>
                  <pic:spPr>
                    <a:xfrm>
                      <a:off x="0" y="0"/>
                      <a:ext cx="1013459" cy="346709"/>
                    </a:xfrm>
                    <a:prstGeom prst="rect">
                      <a:avLst/>
                    </a:prstGeom>
                  </pic:spPr>
                </pic:pic>
              </a:graphicData>
            </a:graphic>
          </wp:anchor>
        </w:drawing>
      </w:r>
      <w:r>
        <w:rPr>
          <w:sz w:val="54"/>
        </w:rPr>
        <w:drawing>
          <wp:anchor distT="0" distB="0" distL="0" distR="0" allowOverlap="1" layoutInCell="1" locked="0" behindDoc="0" simplePos="0" relativeHeight="15958016">
            <wp:simplePos x="0" y="0"/>
            <wp:positionH relativeFrom="page">
              <wp:posOffset>8820404</wp:posOffset>
            </wp:positionH>
            <wp:positionV relativeFrom="paragraph">
              <wp:posOffset>303783</wp:posOffset>
            </wp:positionV>
            <wp:extent cx="680085" cy="626110"/>
            <wp:effectExtent l="0" t="0" r="0" b="0"/>
            <wp:wrapNone/>
            <wp:docPr id="1836" name="Image 1836"/>
            <wp:cNvGraphicFramePr>
              <a:graphicFrameLocks/>
            </wp:cNvGraphicFramePr>
            <a:graphic>
              <a:graphicData uri="http://schemas.openxmlformats.org/drawingml/2006/picture">
                <pic:pic>
                  <pic:nvPicPr>
                    <pic:cNvPr id="1836" name="Image 1836"/>
                    <pic:cNvPicPr/>
                  </pic:nvPicPr>
                  <pic:blipFill>
                    <a:blip r:embed="rId250" cstate="print"/>
                    <a:stretch>
                      <a:fillRect/>
                    </a:stretch>
                  </pic:blipFill>
                  <pic:spPr>
                    <a:xfrm>
                      <a:off x="0" y="0"/>
                      <a:ext cx="680085" cy="626110"/>
                    </a:xfrm>
                    <a:prstGeom prst="rect">
                      <a:avLst/>
                    </a:prstGeom>
                  </pic:spPr>
                </pic:pic>
              </a:graphicData>
            </a:graphic>
          </wp:anchor>
        </w:drawing>
      </w:r>
      <w:r>
        <w:rPr>
          <w:sz w:val="54"/>
        </w:rPr>
        <w:drawing>
          <wp:anchor distT="0" distB="0" distL="0" distR="0" allowOverlap="1" layoutInCell="1" locked="0" behindDoc="0" simplePos="0" relativeHeight="15958528">
            <wp:simplePos x="0" y="0"/>
            <wp:positionH relativeFrom="page">
              <wp:posOffset>12660794</wp:posOffset>
            </wp:positionH>
            <wp:positionV relativeFrom="paragraph">
              <wp:posOffset>292608</wp:posOffset>
            </wp:positionV>
            <wp:extent cx="1542007" cy="459636"/>
            <wp:effectExtent l="0" t="0" r="0" b="0"/>
            <wp:wrapNone/>
            <wp:docPr id="1837" name="Image 1837"/>
            <wp:cNvGraphicFramePr>
              <a:graphicFrameLocks/>
            </wp:cNvGraphicFramePr>
            <a:graphic>
              <a:graphicData uri="http://schemas.openxmlformats.org/drawingml/2006/picture">
                <pic:pic>
                  <pic:nvPicPr>
                    <pic:cNvPr id="1837" name="Image 1837"/>
                    <pic:cNvPicPr/>
                  </pic:nvPicPr>
                  <pic:blipFill>
                    <a:blip r:embed="rId251" cstate="print"/>
                    <a:stretch>
                      <a:fillRect/>
                    </a:stretch>
                  </pic:blipFill>
                  <pic:spPr>
                    <a:xfrm>
                      <a:off x="0" y="0"/>
                      <a:ext cx="1542007" cy="459636"/>
                    </a:xfrm>
                    <a:prstGeom prst="rect">
                      <a:avLst/>
                    </a:prstGeom>
                  </pic:spPr>
                </pic:pic>
              </a:graphicData>
            </a:graphic>
          </wp:anchor>
        </w:drawing>
      </w:r>
      <w:r>
        <w:rPr>
          <w:sz w:val="54"/>
        </w:rPr>
        <w:drawing>
          <wp:anchor distT="0" distB="0" distL="0" distR="0" allowOverlap="1" layoutInCell="1" locked="0" behindDoc="0" simplePos="0" relativeHeight="15959040">
            <wp:simplePos x="0" y="0"/>
            <wp:positionH relativeFrom="page">
              <wp:posOffset>10819383</wp:posOffset>
            </wp:positionH>
            <wp:positionV relativeFrom="paragraph">
              <wp:posOffset>365759</wp:posOffset>
            </wp:positionV>
            <wp:extent cx="1724393" cy="297788"/>
            <wp:effectExtent l="0" t="0" r="0" b="0"/>
            <wp:wrapNone/>
            <wp:docPr id="1838" name="Image 1838"/>
            <wp:cNvGraphicFramePr>
              <a:graphicFrameLocks/>
            </wp:cNvGraphicFramePr>
            <a:graphic>
              <a:graphicData uri="http://schemas.openxmlformats.org/drawingml/2006/picture">
                <pic:pic>
                  <pic:nvPicPr>
                    <pic:cNvPr id="1838" name="Image 1838"/>
                    <pic:cNvPicPr/>
                  </pic:nvPicPr>
                  <pic:blipFill>
                    <a:blip r:embed="rId252" cstate="print"/>
                    <a:stretch>
                      <a:fillRect/>
                    </a:stretch>
                  </pic:blipFill>
                  <pic:spPr>
                    <a:xfrm>
                      <a:off x="0" y="0"/>
                      <a:ext cx="1724393" cy="297788"/>
                    </a:xfrm>
                    <a:prstGeom prst="rect">
                      <a:avLst/>
                    </a:prstGeom>
                  </pic:spPr>
                </pic:pic>
              </a:graphicData>
            </a:graphic>
          </wp:anchor>
        </w:drawing>
      </w:r>
      <w:r>
        <w:rPr>
          <w:color w:val="636466"/>
          <w:w w:val="105"/>
          <w:sz w:val="54"/>
        </w:rPr>
        <w:t>Ontario</w:t>
      </w:r>
      <w:r>
        <w:rPr>
          <w:color w:val="636466"/>
          <w:spacing w:val="-13"/>
          <w:w w:val="105"/>
          <w:sz w:val="54"/>
        </w:rPr>
        <w:t> </w:t>
      </w:r>
      <w:r>
        <w:rPr>
          <w:color w:val="636466"/>
          <w:w w:val="105"/>
          <w:sz w:val="54"/>
        </w:rPr>
        <w:t>County</w:t>
      </w:r>
      <w:r>
        <w:rPr>
          <w:color w:val="636466"/>
          <w:spacing w:val="-14"/>
          <w:w w:val="105"/>
          <w:sz w:val="54"/>
        </w:rPr>
        <w:t> </w:t>
      </w:r>
      <w:r>
        <w:rPr>
          <w:color w:val="636466"/>
          <w:w w:val="105"/>
          <w:sz w:val="54"/>
        </w:rPr>
        <w:t>Appendix</w:t>
      </w:r>
      <w:r>
        <w:rPr>
          <w:color w:val="636466"/>
          <w:spacing w:val="-13"/>
          <w:w w:val="105"/>
          <w:sz w:val="54"/>
        </w:rPr>
        <w:t> </w:t>
      </w:r>
      <w:r>
        <w:rPr>
          <w:color w:val="636466"/>
          <w:spacing w:val="-10"/>
          <w:w w:val="105"/>
          <w:sz w:val="54"/>
        </w:rPr>
        <w:t>C</w:t>
      </w:r>
    </w:p>
    <w:p>
      <w:pPr>
        <w:spacing w:before="235"/>
        <w:ind w:left="1089" w:right="0" w:firstLine="0"/>
        <w:jc w:val="left"/>
        <w:rPr>
          <w:b/>
          <w:sz w:val="32"/>
        </w:rPr>
      </w:pPr>
      <w:r>
        <w:rPr>
          <w:b/>
          <w:color w:val="82BF6A"/>
          <w:spacing w:val="-6"/>
          <w:sz w:val="32"/>
        </w:rPr>
        <w:t>PRIORITY:</w:t>
      </w:r>
      <w:r>
        <w:rPr>
          <w:b/>
          <w:color w:val="82BF6A"/>
          <w:spacing w:val="-13"/>
          <w:sz w:val="32"/>
        </w:rPr>
        <w:t> </w:t>
      </w:r>
      <w:r>
        <w:rPr>
          <w:b/>
          <w:color w:val="82BF6A"/>
          <w:spacing w:val="-6"/>
          <w:sz w:val="32"/>
        </w:rPr>
        <w:t>PREVENT</w:t>
      </w:r>
      <w:r>
        <w:rPr>
          <w:b/>
          <w:color w:val="82BF6A"/>
          <w:spacing w:val="-13"/>
          <w:sz w:val="32"/>
        </w:rPr>
        <w:t> </w:t>
      </w:r>
      <w:r>
        <w:rPr>
          <w:b/>
          <w:color w:val="82BF6A"/>
          <w:spacing w:val="-6"/>
          <w:sz w:val="32"/>
        </w:rPr>
        <w:t>CHRONIC</w:t>
      </w:r>
      <w:r>
        <w:rPr>
          <w:b/>
          <w:color w:val="82BF6A"/>
          <w:spacing w:val="-13"/>
          <w:sz w:val="32"/>
        </w:rPr>
        <w:t> </w:t>
      </w:r>
      <w:r>
        <w:rPr>
          <w:b/>
          <w:color w:val="82BF6A"/>
          <w:spacing w:val="-6"/>
          <w:sz w:val="32"/>
        </w:rPr>
        <w:t>DISEASES</w:t>
      </w:r>
    </w:p>
    <w:p>
      <w:pPr>
        <w:pStyle w:val="BodyText"/>
        <w:spacing w:before="8"/>
        <w:rPr>
          <w:b/>
          <w:sz w:val="16"/>
        </w:rPr>
      </w:pPr>
    </w:p>
    <w:tbl>
      <w:tblPr>
        <w:tblW w:w="0" w:type="auto"/>
        <w:jc w:val="left"/>
        <w:tblInd w:w="1099"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1353"/>
        <w:gridCol w:w="1296"/>
        <w:gridCol w:w="1591"/>
        <w:gridCol w:w="2477"/>
        <w:gridCol w:w="1239"/>
        <w:gridCol w:w="3244"/>
        <w:gridCol w:w="2984"/>
        <w:gridCol w:w="1872"/>
        <w:gridCol w:w="4493"/>
        <w:gridCol w:w="1666"/>
      </w:tblGrid>
      <w:tr>
        <w:trPr>
          <w:trHeight w:val="770" w:hRule="atLeast"/>
        </w:trPr>
        <w:tc>
          <w:tcPr>
            <w:tcW w:w="1353" w:type="dxa"/>
            <w:tcBorders>
              <w:right w:val="single" w:sz="4" w:space="0" w:color="FFFFFF"/>
            </w:tcBorders>
            <w:shd w:val="clear" w:color="auto" w:fill="A7A9AC"/>
          </w:tcPr>
          <w:p>
            <w:pPr>
              <w:pStyle w:val="TableParagraph"/>
              <w:spacing w:before="67"/>
              <w:rPr>
                <w:b/>
                <w:sz w:val="20"/>
              </w:rPr>
            </w:pPr>
          </w:p>
          <w:p>
            <w:pPr>
              <w:pStyle w:val="TableParagraph"/>
              <w:ind w:left="79"/>
              <w:rPr>
                <w:b/>
                <w:sz w:val="20"/>
              </w:rPr>
            </w:pPr>
            <w:r>
              <w:rPr>
                <w:b/>
                <w:color w:val="FFFFFF"/>
                <w:spacing w:val="-2"/>
                <w:sz w:val="20"/>
              </w:rPr>
              <w:t>Priority</w:t>
            </w:r>
          </w:p>
        </w:tc>
        <w:tc>
          <w:tcPr>
            <w:tcW w:w="1296" w:type="dxa"/>
            <w:tcBorders>
              <w:left w:val="single" w:sz="4" w:space="0" w:color="FFFFFF"/>
              <w:right w:val="single" w:sz="4" w:space="0" w:color="FFFFFF"/>
            </w:tcBorders>
            <w:shd w:val="clear" w:color="auto" w:fill="A7A9AC"/>
          </w:tcPr>
          <w:p>
            <w:pPr>
              <w:pStyle w:val="TableParagraph"/>
              <w:spacing w:before="67"/>
              <w:rPr>
                <w:b/>
                <w:sz w:val="20"/>
              </w:rPr>
            </w:pPr>
          </w:p>
          <w:p>
            <w:pPr>
              <w:pStyle w:val="TableParagraph"/>
              <w:ind w:left="80"/>
              <w:rPr>
                <w:b/>
                <w:sz w:val="20"/>
              </w:rPr>
            </w:pPr>
            <w:r>
              <w:rPr>
                <w:b/>
                <w:color w:val="FFFFFF"/>
                <w:w w:val="90"/>
                <w:sz w:val="20"/>
              </w:rPr>
              <w:t>Focus</w:t>
            </w:r>
            <w:r>
              <w:rPr>
                <w:b/>
                <w:color w:val="FFFFFF"/>
                <w:spacing w:val="8"/>
                <w:sz w:val="20"/>
              </w:rPr>
              <w:t> </w:t>
            </w:r>
            <w:r>
              <w:rPr>
                <w:b/>
                <w:color w:val="FFFFFF"/>
                <w:spacing w:val="-4"/>
                <w:sz w:val="20"/>
              </w:rPr>
              <w:t>Area</w:t>
            </w:r>
          </w:p>
        </w:tc>
        <w:tc>
          <w:tcPr>
            <w:tcW w:w="1591" w:type="dxa"/>
            <w:tcBorders>
              <w:left w:val="single" w:sz="4" w:space="0" w:color="FFFFFF"/>
              <w:right w:val="single" w:sz="4" w:space="0" w:color="FFFFFF"/>
            </w:tcBorders>
            <w:shd w:val="clear" w:color="auto" w:fill="A7A9AC"/>
          </w:tcPr>
          <w:p>
            <w:pPr>
              <w:pStyle w:val="TableParagraph"/>
              <w:spacing w:line="230" w:lineRule="auto" w:before="195"/>
              <w:ind w:left="80" w:right="100"/>
              <w:rPr>
                <w:b/>
                <w:sz w:val="20"/>
              </w:rPr>
            </w:pPr>
            <w:r>
              <w:rPr>
                <w:b/>
                <w:color w:val="FFFFFF"/>
                <w:spacing w:val="-8"/>
                <w:sz w:val="20"/>
              </w:rPr>
              <w:t>Goal</w:t>
            </w:r>
            <w:r>
              <w:rPr>
                <w:b/>
                <w:color w:val="FFFFFF"/>
                <w:spacing w:val="-6"/>
                <w:sz w:val="20"/>
              </w:rPr>
              <w:t> </w:t>
            </w:r>
            <w:r>
              <w:rPr>
                <w:b/>
                <w:color w:val="FFFFFF"/>
                <w:spacing w:val="-8"/>
                <w:sz w:val="20"/>
              </w:rPr>
              <w:t>Focus </w:t>
            </w:r>
            <w:r>
              <w:rPr>
                <w:b/>
                <w:color w:val="FFFFFF"/>
                <w:spacing w:val="-4"/>
                <w:sz w:val="20"/>
              </w:rPr>
              <w:t>Area</w:t>
            </w:r>
          </w:p>
        </w:tc>
        <w:tc>
          <w:tcPr>
            <w:tcW w:w="2477" w:type="dxa"/>
            <w:tcBorders>
              <w:left w:val="single" w:sz="4" w:space="0" w:color="FFFFFF"/>
              <w:right w:val="single" w:sz="4" w:space="0" w:color="FFFFFF"/>
            </w:tcBorders>
            <w:shd w:val="clear" w:color="auto" w:fill="A7A9AC"/>
          </w:tcPr>
          <w:p>
            <w:pPr>
              <w:pStyle w:val="TableParagraph"/>
              <w:spacing w:before="67"/>
              <w:rPr>
                <w:b/>
                <w:sz w:val="20"/>
              </w:rPr>
            </w:pPr>
          </w:p>
          <w:p>
            <w:pPr>
              <w:pStyle w:val="TableParagraph"/>
              <w:ind w:left="80"/>
              <w:rPr>
                <w:b/>
                <w:sz w:val="20"/>
              </w:rPr>
            </w:pPr>
            <w:r>
              <w:rPr>
                <w:b/>
                <w:color w:val="FFFFFF"/>
                <w:spacing w:val="-2"/>
                <w:sz w:val="20"/>
              </w:rPr>
              <w:t>Objectives</w:t>
            </w:r>
          </w:p>
        </w:tc>
        <w:tc>
          <w:tcPr>
            <w:tcW w:w="1239" w:type="dxa"/>
            <w:tcBorders>
              <w:left w:val="single" w:sz="4" w:space="0" w:color="FFFFFF"/>
              <w:right w:val="single" w:sz="4" w:space="0" w:color="FFFFFF"/>
            </w:tcBorders>
            <w:shd w:val="clear" w:color="auto" w:fill="A7A9AC"/>
          </w:tcPr>
          <w:p>
            <w:pPr>
              <w:pStyle w:val="TableParagraph"/>
              <w:spacing w:before="67"/>
              <w:rPr>
                <w:b/>
                <w:sz w:val="20"/>
              </w:rPr>
            </w:pPr>
          </w:p>
          <w:p>
            <w:pPr>
              <w:pStyle w:val="TableParagraph"/>
              <w:ind w:left="80"/>
              <w:rPr>
                <w:b/>
                <w:sz w:val="20"/>
              </w:rPr>
            </w:pPr>
            <w:r>
              <w:rPr>
                <w:b/>
                <w:color w:val="FFFFFF"/>
                <w:spacing w:val="-2"/>
                <w:sz w:val="20"/>
              </w:rPr>
              <w:t>Disparities</w:t>
            </w:r>
          </w:p>
        </w:tc>
        <w:tc>
          <w:tcPr>
            <w:tcW w:w="3244" w:type="dxa"/>
            <w:tcBorders>
              <w:left w:val="single" w:sz="4" w:space="0" w:color="FFFFFF"/>
              <w:right w:val="nil"/>
            </w:tcBorders>
            <w:shd w:val="clear" w:color="auto" w:fill="A7A9AC"/>
          </w:tcPr>
          <w:p>
            <w:pPr>
              <w:pStyle w:val="TableParagraph"/>
              <w:spacing w:before="67"/>
              <w:rPr>
                <w:b/>
                <w:sz w:val="20"/>
              </w:rPr>
            </w:pPr>
          </w:p>
          <w:p>
            <w:pPr>
              <w:pStyle w:val="TableParagraph"/>
              <w:ind w:left="79"/>
              <w:rPr>
                <w:b/>
                <w:sz w:val="20"/>
              </w:rPr>
            </w:pPr>
            <w:r>
              <w:rPr>
                <w:b/>
                <w:color w:val="FFFFFF"/>
                <w:spacing w:val="-2"/>
                <w:sz w:val="20"/>
              </w:rPr>
              <w:t>Interventions</w:t>
            </w:r>
          </w:p>
        </w:tc>
        <w:tc>
          <w:tcPr>
            <w:tcW w:w="2984" w:type="dxa"/>
            <w:tcBorders>
              <w:left w:val="nil"/>
              <w:right w:val="single" w:sz="4" w:space="0" w:color="FFFFFF"/>
            </w:tcBorders>
            <w:shd w:val="clear" w:color="auto" w:fill="A7A9AC"/>
          </w:tcPr>
          <w:p>
            <w:pPr>
              <w:pStyle w:val="TableParagraph"/>
              <w:spacing w:before="67"/>
              <w:rPr>
                <w:b/>
                <w:sz w:val="20"/>
              </w:rPr>
            </w:pPr>
          </w:p>
          <w:p>
            <w:pPr>
              <w:pStyle w:val="TableParagraph"/>
              <w:ind w:left="1148"/>
              <w:rPr>
                <w:b/>
                <w:sz w:val="20"/>
              </w:rPr>
            </w:pPr>
            <w:r>
              <w:rPr>
                <w:b/>
                <w:color w:val="FFFFFF"/>
                <w:sz w:val="20"/>
              </w:rPr>
              <w:t>Family</w:t>
            </w:r>
            <w:r>
              <w:rPr>
                <w:b/>
                <w:color w:val="FFFFFF"/>
                <w:spacing w:val="-12"/>
                <w:sz w:val="20"/>
              </w:rPr>
              <w:t> </w:t>
            </w:r>
            <w:r>
              <w:rPr>
                <w:b/>
                <w:color w:val="FFFFFF"/>
                <w:sz w:val="20"/>
              </w:rPr>
              <w:t>of</w:t>
            </w:r>
            <w:r>
              <w:rPr>
                <w:b/>
                <w:color w:val="FFFFFF"/>
                <w:spacing w:val="-12"/>
                <w:sz w:val="20"/>
              </w:rPr>
              <w:t> </w:t>
            </w:r>
            <w:r>
              <w:rPr>
                <w:b/>
                <w:color w:val="FFFFFF"/>
                <w:spacing w:val="-2"/>
                <w:sz w:val="20"/>
              </w:rPr>
              <w:t>Measures</w:t>
            </w:r>
          </w:p>
        </w:tc>
        <w:tc>
          <w:tcPr>
            <w:tcW w:w="1872" w:type="dxa"/>
            <w:tcBorders>
              <w:left w:val="single" w:sz="4" w:space="0" w:color="FFFFFF"/>
              <w:right w:val="single" w:sz="4" w:space="0" w:color="FFFFFF"/>
            </w:tcBorders>
            <w:shd w:val="clear" w:color="auto" w:fill="A7A9AC"/>
          </w:tcPr>
          <w:p>
            <w:pPr>
              <w:pStyle w:val="TableParagraph"/>
              <w:spacing w:line="230" w:lineRule="auto" w:before="195"/>
              <w:ind w:left="89" w:right="140"/>
              <w:rPr>
                <w:b/>
                <w:sz w:val="20"/>
              </w:rPr>
            </w:pPr>
            <w:r>
              <w:rPr>
                <w:b/>
                <w:color w:val="FFFFFF"/>
                <w:spacing w:val="-2"/>
                <w:sz w:val="20"/>
              </w:rPr>
              <w:t>Implementation Partner</w:t>
            </w:r>
          </w:p>
        </w:tc>
        <w:tc>
          <w:tcPr>
            <w:tcW w:w="4493" w:type="dxa"/>
            <w:tcBorders>
              <w:left w:val="single" w:sz="4" w:space="0" w:color="FFFFFF"/>
              <w:right w:val="single" w:sz="4" w:space="0" w:color="FFFFFF"/>
            </w:tcBorders>
            <w:shd w:val="clear" w:color="auto" w:fill="A7A9AC"/>
          </w:tcPr>
          <w:p>
            <w:pPr>
              <w:pStyle w:val="TableParagraph"/>
              <w:spacing w:before="67"/>
              <w:rPr>
                <w:b/>
                <w:sz w:val="20"/>
              </w:rPr>
            </w:pPr>
          </w:p>
          <w:p>
            <w:pPr>
              <w:pStyle w:val="TableParagraph"/>
              <w:ind w:left="79"/>
              <w:rPr>
                <w:b/>
                <w:sz w:val="20"/>
              </w:rPr>
            </w:pPr>
            <w:r>
              <w:rPr>
                <w:b/>
                <w:color w:val="FFFFFF"/>
                <w:sz w:val="20"/>
              </w:rPr>
              <w:t>Partner</w:t>
            </w:r>
            <w:r>
              <w:rPr>
                <w:b/>
                <w:color w:val="FFFFFF"/>
                <w:spacing w:val="-13"/>
                <w:sz w:val="20"/>
              </w:rPr>
              <w:t> </w:t>
            </w:r>
            <w:r>
              <w:rPr>
                <w:b/>
                <w:color w:val="FFFFFF"/>
                <w:spacing w:val="-2"/>
                <w:sz w:val="20"/>
              </w:rPr>
              <w:t>Roles</w:t>
            </w:r>
          </w:p>
        </w:tc>
        <w:tc>
          <w:tcPr>
            <w:tcW w:w="1666" w:type="dxa"/>
            <w:tcBorders>
              <w:left w:val="single" w:sz="4" w:space="0" w:color="FFFFFF"/>
              <w:right w:val="single" w:sz="4" w:space="0" w:color="FFFFFF"/>
            </w:tcBorders>
            <w:shd w:val="clear" w:color="auto" w:fill="A7A9AC"/>
          </w:tcPr>
          <w:p>
            <w:pPr>
              <w:pStyle w:val="TableParagraph"/>
              <w:spacing w:line="230" w:lineRule="auto" w:before="195"/>
              <w:ind w:left="79" w:right="8"/>
              <w:rPr>
                <w:b/>
                <w:sz w:val="20"/>
              </w:rPr>
            </w:pPr>
            <w:r>
              <w:rPr>
                <w:b/>
                <w:color w:val="FFFFFF"/>
                <w:spacing w:val="-2"/>
                <w:sz w:val="20"/>
              </w:rPr>
              <w:t>Partner </w:t>
            </w:r>
            <w:r>
              <w:rPr>
                <w:b/>
                <w:color w:val="FFFFFF"/>
                <w:spacing w:val="-2"/>
                <w:w w:val="90"/>
                <w:sz w:val="20"/>
              </w:rPr>
              <w:t>Resources</w:t>
            </w:r>
          </w:p>
        </w:tc>
      </w:tr>
      <w:tr>
        <w:trPr>
          <w:trHeight w:val="2117" w:hRule="atLeast"/>
        </w:trPr>
        <w:tc>
          <w:tcPr>
            <w:tcW w:w="1353" w:type="dxa"/>
            <w:tcBorders>
              <w:bottom w:val="nil"/>
            </w:tcBorders>
            <w:shd w:val="clear" w:color="auto" w:fill="E6E7E8"/>
          </w:tcPr>
          <w:p>
            <w:pPr>
              <w:pStyle w:val="TableParagraph"/>
              <w:spacing w:line="232" w:lineRule="auto" w:before="101"/>
              <w:ind w:left="89" w:right="536"/>
              <w:jc w:val="both"/>
              <w:rPr>
                <w:sz w:val="18"/>
              </w:rPr>
            </w:pPr>
            <w:r>
              <w:rPr>
                <w:color w:val="105C84"/>
                <w:spacing w:val="-2"/>
                <w:sz w:val="18"/>
              </w:rPr>
              <w:t>Prevent Chronic </w:t>
            </w:r>
            <w:r>
              <w:rPr>
                <w:color w:val="105C84"/>
                <w:spacing w:val="-6"/>
                <w:sz w:val="18"/>
              </w:rPr>
              <w:t>Diseases</w:t>
            </w:r>
          </w:p>
        </w:tc>
        <w:tc>
          <w:tcPr>
            <w:tcW w:w="1296" w:type="dxa"/>
            <w:tcBorders>
              <w:bottom w:val="nil"/>
            </w:tcBorders>
          </w:tcPr>
          <w:p>
            <w:pPr>
              <w:pStyle w:val="TableParagraph"/>
              <w:spacing w:line="232" w:lineRule="auto" w:before="101"/>
              <w:ind w:left="90" w:right="125"/>
              <w:rPr>
                <w:sz w:val="18"/>
              </w:rPr>
            </w:pPr>
            <w:r>
              <w:rPr>
                <w:color w:val="105C84"/>
                <w:sz w:val="18"/>
              </w:rPr>
              <w:t>Focus Area</w:t>
            </w:r>
            <w:r>
              <w:rPr>
                <w:color w:val="105C84"/>
                <w:sz w:val="18"/>
              </w:rPr>
              <w:t> 4: Chronic </w:t>
            </w:r>
            <w:r>
              <w:rPr>
                <w:color w:val="105C84"/>
                <w:spacing w:val="-2"/>
                <w:sz w:val="18"/>
              </w:rPr>
              <w:t>Disease Preventive </w:t>
            </w:r>
            <w:r>
              <w:rPr>
                <w:color w:val="105C84"/>
                <w:sz w:val="18"/>
              </w:rPr>
              <w:t>Care &amp; </w:t>
            </w:r>
            <w:r>
              <w:rPr>
                <w:color w:val="105C84"/>
                <w:spacing w:val="-2"/>
                <w:sz w:val="18"/>
              </w:rPr>
              <w:t>Management</w:t>
            </w:r>
          </w:p>
        </w:tc>
        <w:tc>
          <w:tcPr>
            <w:tcW w:w="1591" w:type="dxa"/>
            <w:tcBorders>
              <w:bottom w:val="nil"/>
            </w:tcBorders>
          </w:tcPr>
          <w:p>
            <w:pPr>
              <w:pStyle w:val="TableParagraph"/>
              <w:spacing w:line="232" w:lineRule="auto" w:before="101"/>
              <w:ind w:left="90" w:right="138"/>
              <w:rPr>
                <w:sz w:val="18"/>
              </w:rPr>
            </w:pPr>
            <w:r>
              <w:rPr>
                <w:color w:val="105C84"/>
                <w:sz w:val="18"/>
              </w:rPr>
              <w:t>Goal 4.1: </w:t>
            </w:r>
            <w:r>
              <w:rPr>
                <w:color w:val="105C84"/>
                <w:spacing w:val="-4"/>
                <w:sz w:val="18"/>
              </w:rPr>
              <w:t>Increase</w:t>
            </w:r>
            <w:r>
              <w:rPr>
                <w:color w:val="105C84"/>
                <w:spacing w:val="-9"/>
                <w:sz w:val="18"/>
              </w:rPr>
              <w:t> </w:t>
            </w:r>
            <w:r>
              <w:rPr>
                <w:color w:val="105C84"/>
                <w:spacing w:val="-4"/>
                <w:sz w:val="18"/>
              </w:rPr>
              <w:t>cancer </w:t>
            </w:r>
            <w:r>
              <w:rPr>
                <w:color w:val="105C84"/>
                <w:spacing w:val="-2"/>
                <w:sz w:val="18"/>
              </w:rPr>
              <w:t>screening</w:t>
            </w:r>
            <w:r>
              <w:rPr>
                <w:color w:val="105C84"/>
                <w:spacing w:val="4"/>
                <w:sz w:val="18"/>
              </w:rPr>
              <w:t> </w:t>
            </w:r>
            <w:r>
              <w:rPr>
                <w:color w:val="105C84"/>
                <w:spacing w:val="-2"/>
                <w:sz w:val="18"/>
              </w:rPr>
              <w:t>rates</w:t>
            </w:r>
          </w:p>
        </w:tc>
        <w:tc>
          <w:tcPr>
            <w:tcW w:w="2477" w:type="dxa"/>
            <w:tcBorders>
              <w:bottom w:val="nil"/>
            </w:tcBorders>
          </w:tcPr>
          <w:p>
            <w:pPr>
              <w:pStyle w:val="TableParagraph"/>
              <w:spacing w:line="232" w:lineRule="auto" w:before="101"/>
              <w:ind w:left="90" w:right="336"/>
              <w:rPr>
                <w:sz w:val="18"/>
              </w:rPr>
            </w:pPr>
            <w:r>
              <w:rPr>
                <w:color w:val="105C84"/>
                <w:sz w:val="18"/>
              </w:rPr>
              <w:t>4.1.1 Increase the percentage of women with</w:t>
            </w:r>
            <w:r>
              <w:rPr>
                <w:color w:val="105C84"/>
                <w:spacing w:val="-13"/>
                <w:sz w:val="18"/>
              </w:rPr>
              <w:t> </w:t>
            </w:r>
            <w:r>
              <w:rPr>
                <w:color w:val="105C84"/>
                <w:sz w:val="18"/>
              </w:rPr>
              <w:t>an</w:t>
            </w:r>
            <w:r>
              <w:rPr>
                <w:color w:val="105C84"/>
                <w:spacing w:val="-12"/>
                <w:sz w:val="18"/>
              </w:rPr>
              <w:t> </w:t>
            </w:r>
            <w:r>
              <w:rPr>
                <w:color w:val="105C84"/>
                <w:sz w:val="18"/>
              </w:rPr>
              <w:t>annual</w:t>
            </w:r>
            <w:r>
              <w:rPr>
                <w:color w:val="105C84"/>
                <w:spacing w:val="-13"/>
                <w:sz w:val="18"/>
              </w:rPr>
              <w:t> </w:t>
            </w:r>
            <w:r>
              <w:rPr>
                <w:color w:val="105C84"/>
                <w:sz w:val="18"/>
              </w:rPr>
              <w:t>household</w:t>
            </w:r>
            <w:r>
              <w:rPr>
                <w:color w:val="105C84"/>
                <w:sz w:val="18"/>
              </w:rPr>
              <w:t> income</w:t>
            </w:r>
            <w:r>
              <w:rPr>
                <w:color w:val="105C84"/>
                <w:spacing w:val="-11"/>
                <w:sz w:val="18"/>
              </w:rPr>
              <w:t> </w:t>
            </w:r>
            <w:r>
              <w:rPr>
                <w:color w:val="105C84"/>
                <w:sz w:val="18"/>
              </w:rPr>
              <w:t>less</w:t>
            </w:r>
            <w:r>
              <w:rPr>
                <w:color w:val="105C84"/>
                <w:spacing w:val="-10"/>
                <w:sz w:val="18"/>
              </w:rPr>
              <w:t> </w:t>
            </w:r>
            <w:r>
              <w:rPr>
                <w:color w:val="105C84"/>
                <w:sz w:val="18"/>
              </w:rPr>
              <w:t>than</w:t>
            </w:r>
            <w:r>
              <w:rPr>
                <w:color w:val="105C84"/>
                <w:spacing w:val="-11"/>
                <w:sz w:val="18"/>
              </w:rPr>
              <w:t> </w:t>
            </w:r>
            <w:r>
              <w:rPr>
                <w:color w:val="105C84"/>
                <w:spacing w:val="-2"/>
                <w:sz w:val="18"/>
              </w:rPr>
              <w:t>$25,000</w:t>
            </w:r>
          </w:p>
          <w:p>
            <w:pPr>
              <w:pStyle w:val="TableParagraph"/>
              <w:spacing w:line="232" w:lineRule="auto"/>
              <w:ind w:left="90"/>
              <w:rPr>
                <w:sz w:val="18"/>
              </w:rPr>
            </w:pPr>
            <w:r>
              <w:rPr>
                <w:color w:val="105C84"/>
                <w:spacing w:val="-2"/>
                <w:sz w:val="18"/>
              </w:rPr>
              <w:t>who</w:t>
            </w:r>
            <w:r>
              <w:rPr>
                <w:color w:val="105C84"/>
                <w:spacing w:val="-9"/>
                <w:sz w:val="18"/>
              </w:rPr>
              <w:t> </w:t>
            </w:r>
            <w:r>
              <w:rPr>
                <w:color w:val="105C84"/>
                <w:spacing w:val="-2"/>
                <w:sz w:val="18"/>
              </w:rPr>
              <w:t>receive</w:t>
            </w:r>
            <w:r>
              <w:rPr>
                <w:color w:val="105C84"/>
                <w:spacing w:val="-9"/>
                <w:sz w:val="18"/>
              </w:rPr>
              <w:t> </w:t>
            </w:r>
            <w:r>
              <w:rPr>
                <w:color w:val="105C84"/>
                <w:spacing w:val="-2"/>
                <w:sz w:val="18"/>
              </w:rPr>
              <w:t>a</w:t>
            </w:r>
            <w:r>
              <w:rPr>
                <w:color w:val="105C84"/>
                <w:spacing w:val="-9"/>
                <w:sz w:val="18"/>
              </w:rPr>
              <w:t> </w:t>
            </w:r>
            <w:r>
              <w:rPr>
                <w:color w:val="105C84"/>
                <w:spacing w:val="-2"/>
                <w:sz w:val="18"/>
              </w:rPr>
              <w:t>breast</w:t>
            </w:r>
            <w:r>
              <w:rPr>
                <w:color w:val="105C84"/>
                <w:spacing w:val="-9"/>
                <w:sz w:val="18"/>
              </w:rPr>
              <w:t> </w:t>
            </w:r>
            <w:r>
              <w:rPr>
                <w:color w:val="105C84"/>
                <w:spacing w:val="-2"/>
                <w:sz w:val="18"/>
              </w:rPr>
              <w:t>cancer </w:t>
            </w:r>
            <w:r>
              <w:rPr>
                <w:color w:val="105C84"/>
                <w:sz w:val="18"/>
              </w:rPr>
              <w:t>screening based on most recent guidelines</w:t>
            </w:r>
          </w:p>
          <w:p>
            <w:pPr>
              <w:pStyle w:val="TableParagraph"/>
              <w:spacing w:before="79"/>
              <w:ind w:left="90"/>
              <w:rPr>
                <w:sz w:val="18"/>
              </w:rPr>
            </w:pPr>
            <w:r>
              <w:rPr>
                <w:color w:val="105C84"/>
                <w:spacing w:val="-4"/>
                <w:sz w:val="18"/>
              </w:rPr>
              <w:t>Target</w:t>
            </w:r>
            <w:r>
              <w:rPr>
                <w:color w:val="105C84"/>
                <w:spacing w:val="-3"/>
                <w:sz w:val="18"/>
              </w:rPr>
              <w:t> </w:t>
            </w:r>
            <w:r>
              <w:rPr>
                <w:color w:val="105C84"/>
                <w:spacing w:val="-2"/>
                <w:sz w:val="18"/>
              </w:rPr>
              <w:t>:79.7%</w:t>
            </w:r>
          </w:p>
          <w:p>
            <w:pPr>
              <w:pStyle w:val="TableParagraph"/>
              <w:spacing w:before="83"/>
              <w:ind w:left="90"/>
              <w:rPr>
                <w:sz w:val="18"/>
              </w:rPr>
            </w:pPr>
            <w:r>
              <w:rPr>
                <w:color w:val="105C84"/>
                <w:spacing w:val="-6"/>
                <w:sz w:val="18"/>
              </w:rPr>
              <w:t>Baseline:</w:t>
            </w:r>
            <w:r>
              <w:rPr>
                <w:color w:val="105C84"/>
                <w:spacing w:val="2"/>
                <w:sz w:val="18"/>
              </w:rPr>
              <w:t> </w:t>
            </w:r>
            <w:r>
              <w:rPr>
                <w:color w:val="105C84"/>
                <w:spacing w:val="-6"/>
                <w:sz w:val="18"/>
              </w:rPr>
              <w:t>75.9%</w:t>
            </w:r>
            <w:r>
              <w:rPr>
                <w:color w:val="105C84"/>
                <w:spacing w:val="3"/>
                <w:sz w:val="18"/>
              </w:rPr>
              <w:t> </w:t>
            </w:r>
            <w:r>
              <w:rPr>
                <w:color w:val="105C84"/>
                <w:spacing w:val="-6"/>
                <w:sz w:val="18"/>
              </w:rPr>
              <w:t>(2016)</w:t>
            </w:r>
          </w:p>
        </w:tc>
        <w:tc>
          <w:tcPr>
            <w:tcW w:w="1239" w:type="dxa"/>
            <w:vMerge w:val="restart"/>
          </w:tcPr>
          <w:p>
            <w:pPr>
              <w:pStyle w:val="TableParagraph"/>
              <w:rPr>
                <w:rFonts w:ascii="Times New Roman"/>
                <w:sz w:val="18"/>
              </w:rPr>
            </w:pPr>
          </w:p>
        </w:tc>
        <w:tc>
          <w:tcPr>
            <w:tcW w:w="3244" w:type="dxa"/>
            <w:tcBorders>
              <w:bottom w:val="nil"/>
              <w:right w:val="nil"/>
            </w:tcBorders>
          </w:tcPr>
          <w:p>
            <w:pPr>
              <w:pStyle w:val="TableParagraph"/>
              <w:spacing w:line="232" w:lineRule="auto" w:before="100"/>
              <w:ind w:left="89" w:right="998"/>
              <w:rPr>
                <w:sz w:val="18"/>
              </w:rPr>
            </w:pPr>
            <w:r>
              <w:rPr>
                <w:color w:val="105C84"/>
                <w:sz w:val="18"/>
              </w:rPr>
              <w:t>4.1.2</w:t>
            </w:r>
            <w:r>
              <w:rPr>
                <w:color w:val="105C84"/>
                <w:spacing w:val="-15"/>
                <w:sz w:val="18"/>
              </w:rPr>
              <w:t> </w:t>
            </w:r>
            <w:r>
              <w:rPr>
                <w:color w:val="105C84"/>
                <w:sz w:val="18"/>
              </w:rPr>
              <w:t>Conduct</w:t>
            </w:r>
            <w:r>
              <w:rPr>
                <w:color w:val="105C84"/>
                <w:spacing w:val="-12"/>
                <w:sz w:val="18"/>
              </w:rPr>
              <w:t> </w:t>
            </w:r>
            <w:r>
              <w:rPr>
                <w:color w:val="105C84"/>
                <w:sz w:val="18"/>
              </w:rPr>
              <w:t>one-on-</w:t>
            </w:r>
            <w:r>
              <w:rPr>
                <w:color w:val="105C84"/>
                <w:sz w:val="18"/>
              </w:rPr>
              <w:t>one</w:t>
            </w:r>
            <w:r>
              <w:rPr>
                <w:color w:val="105C84"/>
                <w:sz w:val="18"/>
              </w:rPr>
              <w:t> (by phone or in-person) and group education (presentation or other interactive session in a church, home, senior center or other setting)</w:t>
            </w:r>
          </w:p>
        </w:tc>
        <w:tc>
          <w:tcPr>
            <w:tcW w:w="2984" w:type="dxa"/>
            <w:tcBorders>
              <w:left w:val="nil"/>
              <w:bottom w:val="nil"/>
            </w:tcBorders>
          </w:tcPr>
          <w:p>
            <w:pPr>
              <w:pStyle w:val="TableParagraph"/>
              <w:spacing w:line="232" w:lineRule="auto" w:before="100"/>
              <w:ind w:left="1149"/>
              <w:rPr>
                <w:sz w:val="18"/>
              </w:rPr>
            </w:pPr>
            <w:r>
              <w:rPr>
                <w:color w:val="105C84"/>
                <w:sz w:val="18"/>
              </w:rPr>
              <w:t>1. # presentations/ sessions in which information</w:t>
            </w:r>
            <w:r>
              <w:rPr>
                <w:color w:val="105C84"/>
                <w:spacing w:val="-11"/>
                <w:sz w:val="18"/>
              </w:rPr>
              <w:t> </w:t>
            </w:r>
            <w:r>
              <w:rPr>
                <w:color w:val="105C84"/>
                <w:sz w:val="18"/>
              </w:rPr>
              <w:t>on</w:t>
            </w:r>
            <w:r>
              <w:rPr>
                <w:color w:val="105C84"/>
                <w:spacing w:val="-11"/>
                <w:sz w:val="18"/>
              </w:rPr>
              <w:t> </w:t>
            </w:r>
            <w:r>
              <w:rPr>
                <w:color w:val="105C84"/>
                <w:sz w:val="18"/>
              </w:rPr>
              <w:t>cancer</w:t>
            </w:r>
            <w:r>
              <w:rPr>
                <w:color w:val="105C84"/>
                <w:sz w:val="18"/>
              </w:rPr>
              <w:t> and</w:t>
            </w:r>
            <w:r>
              <w:rPr>
                <w:color w:val="105C84"/>
                <w:spacing w:val="-6"/>
                <w:sz w:val="18"/>
              </w:rPr>
              <w:t> </w:t>
            </w:r>
            <w:r>
              <w:rPr>
                <w:color w:val="105C84"/>
                <w:sz w:val="18"/>
              </w:rPr>
              <w:t>cancer</w:t>
            </w:r>
            <w:r>
              <w:rPr>
                <w:color w:val="105C84"/>
                <w:spacing w:val="-6"/>
                <w:sz w:val="18"/>
              </w:rPr>
              <w:t> </w:t>
            </w:r>
            <w:r>
              <w:rPr>
                <w:color w:val="105C84"/>
                <w:sz w:val="18"/>
              </w:rPr>
              <w:t>screening was provided to residents of Ontario </w:t>
            </w:r>
            <w:r>
              <w:rPr>
                <w:color w:val="105C84"/>
                <w:spacing w:val="-2"/>
                <w:sz w:val="18"/>
              </w:rPr>
              <w:t>County</w:t>
            </w:r>
          </w:p>
        </w:tc>
        <w:tc>
          <w:tcPr>
            <w:tcW w:w="1872" w:type="dxa"/>
            <w:tcBorders>
              <w:bottom w:val="nil"/>
            </w:tcBorders>
          </w:tcPr>
          <w:p>
            <w:pPr>
              <w:pStyle w:val="TableParagraph"/>
              <w:spacing w:line="232" w:lineRule="auto" w:before="100"/>
              <w:ind w:left="89" w:right="140"/>
              <w:rPr>
                <w:sz w:val="18"/>
              </w:rPr>
            </w:pPr>
            <w:r>
              <w:rPr>
                <w:color w:val="105C84"/>
                <w:sz w:val="18"/>
              </w:rPr>
              <w:t>Cancer Services Program of the </w:t>
            </w:r>
            <w:r>
              <w:rPr>
                <w:color w:val="105C84"/>
                <w:spacing w:val="-8"/>
                <w:sz w:val="18"/>
              </w:rPr>
              <w:t>Finger</w:t>
            </w:r>
            <w:r>
              <w:rPr>
                <w:color w:val="105C84"/>
                <w:spacing w:val="-7"/>
                <w:sz w:val="18"/>
              </w:rPr>
              <w:t> </w:t>
            </w:r>
            <w:r>
              <w:rPr>
                <w:color w:val="105C84"/>
                <w:spacing w:val="-8"/>
                <w:sz w:val="18"/>
              </w:rPr>
              <w:t>Lakes</w:t>
            </w:r>
            <w:r>
              <w:rPr>
                <w:color w:val="105C84"/>
                <w:spacing w:val="-4"/>
                <w:sz w:val="18"/>
              </w:rPr>
              <w:t> </w:t>
            </w:r>
            <w:r>
              <w:rPr>
                <w:color w:val="105C84"/>
                <w:spacing w:val="-8"/>
                <w:sz w:val="18"/>
              </w:rPr>
              <w:t>(CSP)</w:t>
            </w:r>
          </w:p>
          <w:p>
            <w:pPr>
              <w:pStyle w:val="TableParagraph"/>
              <w:spacing w:before="82"/>
              <w:ind w:left="89"/>
              <w:rPr>
                <w:sz w:val="18"/>
              </w:rPr>
            </w:pPr>
            <w:r>
              <w:rPr>
                <w:color w:val="105C84"/>
                <w:spacing w:val="-4"/>
                <w:sz w:val="18"/>
              </w:rPr>
              <w:t>OCPH</w:t>
            </w:r>
          </w:p>
          <w:p>
            <w:pPr>
              <w:pStyle w:val="TableParagraph"/>
              <w:spacing w:line="232" w:lineRule="auto" w:before="88"/>
              <w:ind w:left="89"/>
              <w:rPr>
                <w:sz w:val="18"/>
              </w:rPr>
            </w:pPr>
            <w:r>
              <w:rPr>
                <w:color w:val="105C84"/>
                <w:sz w:val="18"/>
              </w:rPr>
              <w:t>Hospitals</w:t>
            </w:r>
            <w:r>
              <w:rPr>
                <w:color w:val="105C84"/>
                <w:spacing w:val="-11"/>
                <w:sz w:val="18"/>
              </w:rPr>
              <w:t> </w:t>
            </w:r>
            <w:r>
              <w:rPr>
                <w:color w:val="105C84"/>
                <w:sz w:val="18"/>
              </w:rPr>
              <w:t>&amp;</w:t>
            </w:r>
            <w:r>
              <w:rPr>
                <w:color w:val="105C84"/>
                <w:spacing w:val="-11"/>
                <w:sz w:val="18"/>
              </w:rPr>
              <w:t> </w:t>
            </w:r>
            <w:r>
              <w:rPr>
                <w:color w:val="105C84"/>
                <w:sz w:val="18"/>
              </w:rPr>
              <w:t>affiliated </w:t>
            </w:r>
            <w:r>
              <w:rPr>
                <w:color w:val="105C84"/>
                <w:spacing w:val="-2"/>
                <w:sz w:val="18"/>
              </w:rPr>
              <w:t>practices</w:t>
            </w:r>
          </w:p>
          <w:p>
            <w:pPr>
              <w:pStyle w:val="TableParagraph"/>
              <w:spacing w:line="290" w:lineRule="atLeast" w:before="1"/>
              <w:ind w:left="89" w:right="140"/>
              <w:rPr>
                <w:sz w:val="18"/>
              </w:rPr>
            </w:pPr>
            <w:r>
              <w:rPr>
                <w:color w:val="105C84"/>
                <w:sz w:val="18"/>
              </w:rPr>
              <w:t>OC</w:t>
            </w:r>
            <w:r>
              <w:rPr>
                <w:color w:val="105C84"/>
                <w:spacing w:val="-4"/>
                <w:sz w:val="18"/>
              </w:rPr>
              <w:t> </w:t>
            </w:r>
            <w:r>
              <w:rPr>
                <w:color w:val="105C84"/>
                <w:sz w:val="18"/>
              </w:rPr>
              <w:t>Probation</w:t>
            </w:r>
            <w:r>
              <w:rPr>
                <w:color w:val="105C84"/>
                <w:spacing w:val="-4"/>
                <w:sz w:val="18"/>
              </w:rPr>
              <w:t> </w:t>
            </w:r>
            <w:r>
              <w:rPr>
                <w:color w:val="105C84"/>
                <w:sz w:val="18"/>
              </w:rPr>
              <w:t>Dept. OC Jail</w:t>
            </w:r>
          </w:p>
        </w:tc>
        <w:tc>
          <w:tcPr>
            <w:tcW w:w="4493" w:type="dxa"/>
            <w:tcBorders>
              <w:bottom w:val="nil"/>
            </w:tcBorders>
          </w:tcPr>
          <w:p>
            <w:pPr>
              <w:pStyle w:val="TableParagraph"/>
              <w:spacing w:line="232" w:lineRule="auto" w:before="99"/>
              <w:ind w:left="89" w:right="281"/>
              <w:rPr>
                <w:sz w:val="18"/>
              </w:rPr>
            </w:pPr>
            <w:r>
              <w:rPr>
                <w:color w:val="105C84"/>
                <w:sz w:val="18"/>
              </w:rPr>
              <w:t>CSP: Provide one-on-one &amp; community education re cancer/cancer screening &amp; services available, including assistance for those with high </w:t>
            </w:r>
            <w:r>
              <w:rPr>
                <w:color w:val="105C84"/>
                <w:sz w:val="18"/>
              </w:rPr>
              <w:t>deductible insurance plans.</w:t>
            </w:r>
          </w:p>
          <w:p>
            <w:pPr>
              <w:pStyle w:val="TableParagraph"/>
              <w:spacing w:line="232" w:lineRule="auto" w:before="87"/>
              <w:ind w:left="89"/>
              <w:rPr>
                <w:sz w:val="18"/>
              </w:rPr>
            </w:pPr>
            <w:r>
              <w:rPr>
                <w:color w:val="105C84"/>
                <w:sz w:val="18"/>
              </w:rPr>
              <w:t>OCPH:</w:t>
            </w:r>
            <w:r>
              <w:rPr>
                <w:color w:val="105C84"/>
                <w:spacing w:val="-8"/>
                <w:sz w:val="18"/>
              </w:rPr>
              <w:t> </w:t>
            </w:r>
            <w:r>
              <w:rPr>
                <w:color w:val="105C84"/>
                <w:sz w:val="18"/>
              </w:rPr>
              <w:t>Provide</w:t>
            </w:r>
            <w:r>
              <w:rPr>
                <w:color w:val="105C84"/>
                <w:spacing w:val="-8"/>
                <w:sz w:val="18"/>
              </w:rPr>
              <w:t> </w:t>
            </w:r>
            <w:r>
              <w:rPr>
                <w:color w:val="105C84"/>
                <w:sz w:val="18"/>
              </w:rPr>
              <w:t>community</w:t>
            </w:r>
            <w:r>
              <w:rPr>
                <w:color w:val="105C84"/>
                <w:spacing w:val="-8"/>
                <w:sz w:val="18"/>
              </w:rPr>
              <w:t> </w:t>
            </w:r>
            <w:r>
              <w:rPr>
                <w:color w:val="105C84"/>
                <w:sz w:val="18"/>
              </w:rPr>
              <w:t>education</w:t>
            </w:r>
            <w:r>
              <w:rPr>
                <w:color w:val="105C84"/>
                <w:spacing w:val="-8"/>
                <w:sz w:val="18"/>
              </w:rPr>
              <w:t> </w:t>
            </w:r>
            <w:r>
              <w:rPr>
                <w:color w:val="105C84"/>
                <w:sz w:val="18"/>
              </w:rPr>
              <w:t>on</w:t>
            </w:r>
            <w:r>
              <w:rPr>
                <w:color w:val="105C84"/>
                <w:spacing w:val="-8"/>
                <w:sz w:val="18"/>
              </w:rPr>
              <w:t> </w:t>
            </w:r>
            <w:r>
              <w:rPr>
                <w:color w:val="105C84"/>
                <w:sz w:val="18"/>
              </w:rPr>
              <w:t>cancer</w:t>
            </w:r>
            <w:r>
              <w:rPr>
                <w:color w:val="105C84"/>
                <w:spacing w:val="-8"/>
                <w:sz w:val="18"/>
              </w:rPr>
              <w:t> </w:t>
            </w:r>
            <w:r>
              <w:rPr>
                <w:color w:val="105C84"/>
                <w:sz w:val="18"/>
              </w:rPr>
              <w:t>and cancer screening. Refer residents to CSP.</w:t>
            </w:r>
          </w:p>
          <w:p>
            <w:pPr>
              <w:pStyle w:val="TableParagraph"/>
              <w:spacing w:line="232" w:lineRule="auto" w:before="89"/>
              <w:ind w:left="89"/>
              <w:rPr>
                <w:sz w:val="18"/>
              </w:rPr>
            </w:pPr>
            <w:r>
              <w:rPr>
                <w:color w:val="105C84"/>
                <w:sz w:val="18"/>
              </w:rPr>
              <w:t>Hospitals &amp; affiliated practices: Provide education to </w:t>
            </w:r>
            <w:r>
              <w:rPr>
                <w:color w:val="105C84"/>
                <w:spacing w:val="-2"/>
                <w:sz w:val="18"/>
              </w:rPr>
              <w:t>patients</w:t>
            </w:r>
            <w:r>
              <w:rPr>
                <w:color w:val="105C84"/>
                <w:spacing w:val="-4"/>
                <w:sz w:val="18"/>
              </w:rPr>
              <w:t> </w:t>
            </w:r>
            <w:r>
              <w:rPr>
                <w:color w:val="105C84"/>
                <w:spacing w:val="-2"/>
                <w:sz w:val="18"/>
              </w:rPr>
              <w:t>and</w:t>
            </w:r>
            <w:r>
              <w:rPr>
                <w:color w:val="105C84"/>
                <w:spacing w:val="-4"/>
                <w:sz w:val="18"/>
              </w:rPr>
              <w:t> </w:t>
            </w:r>
            <w:r>
              <w:rPr>
                <w:color w:val="105C84"/>
                <w:spacing w:val="-2"/>
                <w:sz w:val="18"/>
              </w:rPr>
              <w:t>families.</w:t>
            </w:r>
            <w:r>
              <w:rPr>
                <w:color w:val="105C84"/>
                <w:spacing w:val="-4"/>
                <w:sz w:val="18"/>
              </w:rPr>
              <w:t> </w:t>
            </w:r>
            <w:r>
              <w:rPr>
                <w:color w:val="105C84"/>
                <w:spacing w:val="-2"/>
                <w:sz w:val="18"/>
              </w:rPr>
              <w:t>Refer</w:t>
            </w:r>
            <w:r>
              <w:rPr>
                <w:color w:val="105C84"/>
                <w:spacing w:val="-4"/>
                <w:sz w:val="18"/>
              </w:rPr>
              <w:t> </w:t>
            </w:r>
            <w:r>
              <w:rPr>
                <w:color w:val="105C84"/>
                <w:spacing w:val="-2"/>
                <w:sz w:val="18"/>
              </w:rPr>
              <w:t>residents</w:t>
            </w:r>
            <w:r>
              <w:rPr>
                <w:color w:val="105C84"/>
                <w:spacing w:val="-4"/>
                <w:sz w:val="18"/>
              </w:rPr>
              <w:t> </w:t>
            </w:r>
            <w:r>
              <w:rPr>
                <w:color w:val="105C84"/>
                <w:spacing w:val="-2"/>
                <w:sz w:val="18"/>
              </w:rPr>
              <w:t>to</w:t>
            </w:r>
            <w:r>
              <w:rPr>
                <w:color w:val="105C84"/>
                <w:spacing w:val="-4"/>
                <w:sz w:val="18"/>
              </w:rPr>
              <w:t> </w:t>
            </w:r>
            <w:r>
              <w:rPr>
                <w:color w:val="105C84"/>
                <w:spacing w:val="-2"/>
                <w:sz w:val="18"/>
              </w:rPr>
              <w:t>CSP.</w:t>
            </w:r>
            <w:r>
              <w:rPr>
                <w:color w:val="105C84"/>
                <w:spacing w:val="-4"/>
                <w:sz w:val="18"/>
              </w:rPr>
              <w:t> </w:t>
            </w:r>
            <w:r>
              <w:rPr>
                <w:color w:val="105C84"/>
                <w:spacing w:val="-2"/>
                <w:sz w:val="18"/>
              </w:rPr>
              <w:t>Contract </w:t>
            </w:r>
            <w:r>
              <w:rPr>
                <w:color w:val="105C84"/>
                <w:sz w:val="18"/>
              </w:rPr>
              <w:t>with CSP.</w:t>
            </w:r>
          </w:p>
        </w:tc>
        <w:tc>
          <w:tcPr>
            <w:tcW w:w="1666" w:type="dxa"/>
            <w:tcBorders>
              <w:bottom w:val="nil"/>
            </w:tcBorders>
          </w:tcPr>
          <w:p>
            <w:pPr>
              <w:pStyle w:val="TableParagraph"/>
              <w:spacing w:before="94"/>
              <w:ind w:left="4"/>
              <w:rPr>
                <w:sz w:val="18"/>
              </w:rPr>
            </w:pPr>
            <w:r>
              <w:rPr>
                <w:color w:val="105C84"/>
                <w:w w:val="90"/>
                <w:sz w:val="18"/>
              </w:rPr>
              <w:t>CSP:</w:t>
            </w:r>
            <w:r>
              <w:rPr>
                <w:color w:val="105C84"/>
                <w:spacing w:val="-1"/>
                <w:sz w:val="18"/>
              </w:rPr>
              <w:t> </w:t>
            </w:r>
            <w:r>
              <w:rPr>
                <w:color w:val="105C84"/>
                <w:w w:val="90"/>
                <w:sz w:val="18"/>
              </w:rPr>
              <w:t>.125</w:t>
            </w:r>
            <w:r>
              <w:rPr>
                <w:color w:val="105C84"/>
                <w:spacing w:val="-1"/>
                <w:sz w:val="18"/>
              </w:rPr>
              <w:t> </w:t>
            </w:r>
            <w:r>
              <w:rPr>
                <w:color w:val="105C84"/>
                <w:spacing w:val="-5"/>
                <w:w w:val="90"/>
                <w:sz w:val="18"/>
              </w:rPr>
              <w:t>FTE</w:t>
            </w:r>
          </w:p>
          <w:p>
            <w:pPr>
              <w:pStyle w:val="TableParagraph"/>
              <w:spacing w:before="83"/>
              <w:ind w:left="4"/>
              <w:rPr>
                <w:sz w:val="18"/>
              </w:rPr>
            </w:pPr>
            <w:r>
              <w:rPr>
                <w:color w:val="105C84"/>
                <w:spacing w:val="-4"/>
                <w:sz w:val="18"/>
              </w:rPr>
              <w:t>OCPH:</w:t>
            </w:r>
            <w:r>
              <w:rPr>
                <w:color w:val="105C84"/>
                <w:spacing w:val="-6"/>
                <w:sz w:val="18"/>
              </w:rPr>
              <w:t> </w:t>
            </w:r>
            <w:r>
              <w:rPr>
                <w:color w:val="105C84"/>
                <w:spacing w:val="-4"/>
                <w:sz w:val="18"/>
              </w:rPr>
              <w:t>.10</w:t>
            </w:r>
            <w:r>
              <w:rPr>
                <w:color w:val="105C84"/>
                <w:spacing w:val="-5"/>
                <w:sz w:val="18"/>
              </w:rPr>
              <w:t> FTE</w:t>
            </w:r>
          </w:p>
        </w:tc>
      </w:tr>
      <w:tr>
        <w:trPr>
          <w:trHeight w:val="279" w:hRule="atLeast"/>
        </w:trPr>
        <w:tc>
          <w:tcPr>
            <w:tcW w:w="1353" w:type="dxa"/>
            <w:tcBorders>
              <w:top w:val="nil"/>
              <w:bottom w:val="nil"/>
            </w:tcBorders>
            <w:shd w:val="clear" w:color="auto" w:fill="E6E7E8"/>
          </w:tcPr>
          <w:p>
            <w:pPr>
              <w:pStyle w:val="TableParagraph"/>
              <w:rPr>
                <w:rFonts w:ascii="Times New Roman"/>
                <w:sz w:val="18"/>
              </w:rPr>
            </w:pPr>
          </w:p>
        </w:tc>
        <w:tc>
          <w:tcPr>
            <w:tcW w:w="1296" w:type="dxa"/>
            <w:tcBorders>
              <w:top w:val="nil"/>
              <w:bottom w:val="nil"/>
            </w:tcBorders>
          </w:tcPr>
          <w:p>
            <w:pPr>
              <w:pStyle w:val="TableParagraph"/>
              <w:rPr>
                <w:rFonts w:ascii="Times New Roman"/>
                <w:sz w:val="18"/>
              </w:rPr>
            </w:pPr>
          </w:p>
        </w:tc>
        <w:tc>
          <w:tcPr>
            <w:tcW w:w="1591" w:type="dxa"/>
            <w:tcBorders>
              <w:top w:val="nil"/>
              <w:bottom w:val="nil"/>
            </w:tcBorders>
          </w:tcPr>
          <w:p>
            <w:pPr>
              <w:pStyle w:val="TableParagraph"/>
              <w:rPr>
                <w:rFonts w:ascii="Times New Roman"/>
                <w:sz w:val="18"/>
              </w:rPr>
            </w:pPr>
          </w:p>
        </w:tc>
        <w:tc>
          <w:tcPr>
            <w:tcW w:w="2477" w:type="dxa"/>
            <w:tcBorders>
              <w:top w:val="nil"/>
              <w:bottom w:val="nil"/>
            </w:tcBorders>
          </w:tcPr>
          <w:p>
            <w:pPr>
              <w:pStyle w:val="TableParagraph"/>
              <w:spacing w:before="38"/>
              <w:ind w:left="90"/>
              <w:rPr>
                <w:sz w:val="18"/>
              </w:rPr>
            </w:pPr>
            <w:r>
              <w:rPr>
                <w:color w:val="105C84"/>
                <w:spacing w:val="-2"/>
                <w:sz w:val="18"/>
              </w:rPr>
              <w:t>Data</w:t>
            </w:r>
            <w:r>
              <w:rPr>
                <w:color w:val="105C84"/>
                <w:spacing w:val="-9"/>
                <w:sz w:val="18"/>
              </w:rPr>
              <w:t> </w:t>
            </w:r>
            <w:r>
              <w:rPr>
                <w:color w:val="105C84"/>
                <w:spacing w:val="-2"/>
                <w:sz w:val="18"/>
              </w:rPr>
              <w:t>Source:</w:t>
            </w:r>
            <w:r>
              <w:rPr>
                <w:color w:val="105C84"/>
                <w:spacing w:val="-8"/>
                <w:sz w:val="18"/>
              </w:rPr>
              <w:t> </w:t>
            </w:r>
            <w:r>
              <w:rPr>
                <w:color w:val="105C84"/>
                <w:spacing w:val="-2"/>
                <w:sz w:val="18"/>
              </w:rPr>
              <w:t>BRFSS</w:t>
            </w:r>
          </w:p>
        </w:tc>
        <w:tc>
          <w:tcPr>
            <w:tcW w:w="1239" w:type="dxa"/>
            <w:vMerge/>
            <w:tcBorders>
              <w:top w:val="nil"/>
            </w:tcBorders>
          </w:tcPr>
          <w:p>
            <w:pPr>
              <w:rPr>
                <w:sz w:val="2"/>
                <w:szCs w:val="2"/>
              </w:rPr>
            </w:pPr>
          </w:p>
        </w:tc>
        <w:tc>
          <w:tcPr>
            <w:tcW w:w="3244" w:type="dxa"/>
            <w:tcBorders>
              <w:top w:val="nil"/>
              <w:bottom w:val="nil"/>
              <w:right w:val="nil"/>
            </w:tcBorders>
          </w:tcPr>
          <w:p>
            <w:pPr>
              <w:pStyle w:val="TableParagraph"/>
              <w:rPr>
                <w:rFonts w:ascii="Times New Roman"/>
                <w:sz w:val="18"/>
              </w:rPr>
            </w:pPr>
          </w:p>
        </w:tc>
        <w:tc>
          <w:tcPr>
            <w:tcW w:w="2984" w:type="dxa"/>
            <w:tcBorders>
              <w:top w:val="nil"/>
              <w:left w:val="nil"/>
              <w:bottom w:val="nil"/>
            </w:tcBorders>
          </w:tcPr>
          <w:p>
            <w:pPr>
              <w:pStyle w:val="TableParagraph"/>
              <w:rPr>
                <w:rFonts w:ascii="Times New Roman"/>
                <w:sz w:val="18"/>
              </w:rPr>
            </w:pPr>
          </w:p>
        </w:tc>
        <w:tc>
          <w:tcPr>
            <w:tcW w:w="1872" w:type="dxa"/>
            <w:tcBorders>
              <w:top w:val="nil"/>
              <w:bottom w:val="nil"/>
            </w:tcBorders>
          </w:tcPr>
          <w:p>
            <w:pPr>
              <w:pStyle w:val="TableParagraph"/>
              <w:spacing w:before="17"/>
              <w:ind w:left="89"/>
              <w:rPr>
                <w:sz w:val="18"/>
              </w:rPr>
            </w:pPr>
            <w:r>
              <w:rPr>
                <w:color w:val="105C84"/>
                <w:spacing w:val="-2"/>
                <w:sz w:val="18"/>
              </w:rPr>
              <w:t>Churches</w:t>
            </w:r>
          </w:p>
        </w:tc>
        <w:tc>
          <w:tcPr>
            <w:tcW w:w="4493" w:type="dxa"/>
            <w:tcBorders>
              <w:top w:val="nil"/>
              <w:bottom w:val="nil"/>
            </w:tcBorders>
          </w:tcPr>
          <w:p>
            <w:pPr>
              <w:pStyle w:val="TableParagraph"/>
              <w:spacing w:before="37"/>
              <w:ind w:left="89"/>
              <w:rPr>
                <w:sz w:val="18"/>
              </w:rPr>
            </w:pPr>
            <w:r>
              <w:rPr>
                <w:color w:val="105C84"/>
                <w:sz w:val="18"/>
              </w:rPr>
              <w:t>OC</w:t>
            </w:r>
            <w:r>
              <w:rPr>
                <w:color w:val="105C84"/>
                <w:spacing w:val="-2"/>
                <w:sz w:val="18"/>
              </w:rPr>
              <w:t> </w:t>
            </w:r>
            <w:r>
              <w:rPr>
                <w:color w:val="105C84"/>
                <w:sz w:val="18"/>
              </w:rPr>
              <w:t>Probation</w:t>
            </w:r>
            <w:r>
              <w:rPr>
                <w:color w:val="105C84"/>
                <w:spacing w:val="-1"/>
                <w:sz w:val="18"/>
              </w:rPr>
              <w:t> </w:t>
            </w:r>
            <w:r>
              <w:rPr>
                <w:color w:val="105C84"/>
                <w:sz w:val="18"/>
              </w:rPr>
              <w:t>Dept:</w:t>
            </w:r>
            <w:r>
              <w:rPr>
                <w:color w:val="105C84"/>
                <w:spacing w:val="-1"/>
                <w:sz w:val="18"/>
              </w:rPr>
              <w:t> </w:t>
            </w:r>
            <w:r>
              <w:rPr>
                <w:color w:val="105C84"/>
                <w:sz w:val="18"/>
              </w:rPr>
              <w:t>Provide</w:t>
            </w:r>
            <w:r>
              <w:rPr>
                <w:color w:val="105C84"/>
                <w:spacing w:val="-1"/>
                <w:sz w:val="18"/>
              </w:rPr>
              <w:t> </w:t>
            </w:r>
            <w:r>
              <w:rPr>
                <w:color w:val="105C84"/>
                <w:sz w:val="18"/>
              </w:rPr>
              <w:t>venue</w:t>
            </w:r>
            <w:r>
              <w:rPr>
                <w:color w:val="105C84"/>
                <w:spacing w:val="-1"/>
                <w:sz w:val="18"/>
              </w:rPr>
              <w:t> </w:t>
            </w:r>
            <w:r>
              <w:rPr>
                <w:color w:val="105C84"/>
                <w:sz w:val="18"/>
              </w:rPr>
              <w:t>for</w:t>
            </w:r>
            <w:r>
              <w:rPr>
                <w:color w:val="105C84"/>
                <w:spacing w:val="-1"/>
                <w:sz w:val="18"/>
              </w:rPr>
              <w:t> </w:t>
            </w:r>
            <w:r>
              <w:rPr>
                <w:color w:val="105C84"/>
                <w:spacing w:val="-2"/>
                <w:sz w:val="18"/>
              </w:rPr>
              <w:t>education</w:t>
            </w:r>
          </w:p>
        </w:tc>
        <w:tc>
          <w:tcPr>
            <w:tcW w:w="1666" w:type="dxa"/>
            <w:tcBorders>
              <w:top w:val="nil"/>
              <w:bottom w:val="nil"/>
            </w:tcBorders>
          </w:tcPr>
          <w:p>
            <w:pPr>
              <w:pStyle w:val="TableParagraph"/>
              <w:rPr>
                <w:rFonts w:ascii="Times New Roman"/>
                <w:sz w:val="18"/>
              </w:rPr>
            </w:pPr>
          </w:p>
        </w:tc>
      </w:tr>
      <w:tr>
        <w:trPr>
          <w:trHeight w:val="489" w:hRule="atLeast"/>
        </w:trPr>
        <w:tc>
          <w:tcPr>
            <w:tcW w:w="1353" w:type="dxa"/>
            <w:tcBorders>
              <w:top w:val="nil"/>
              <w:bottom w:val="nil"/>
            </w:tcBorders>
            <w:shd w:val="clear" w:color="auto" w:fill="E6E7E8"/>
          </w:tcPr>
          <w:p>
            <w:pPr>
              <w:pStyle w:val="TableParagraph"/>
              <w:rPr>
                <w:rFonts w:ascii="Times New Roman"/>
                <w:sz w:val="18"/>
              </w:rPr>
            </w:pPr>
          </w:p>
        </w:tc>
        <w:tc>
          <w:tcPr>
            <w:tcW w:w="1296" w:type="dxa"/>
            <w:tcBorders>
              <w:top w:val="nil"/>
              <w:bottom w:val="nil"/>
            </w:tcBorders>
          </w:tcPr>
          <w:p>
            <w:pPr>
              <w:pStyle w:val="TableParagraph"/>
              <w:rPr>
                <w:rFonts w:ascii="Times New Roman"/>
                <w:sz w:val="18"/>
              </w:rPr>
            </w:pPr>
          </w:p>
        </w:tc>
        <w:tc>
          <w:tcPr>
            <w:tcW w:w="1591" w:type="dxa"/>
            <w:tcBorders>
              <w:top w:val="nil"/>
              <w:bottom w:val="nil"/>
            </w:tcBorders>
          </w:tcPr>
          <w:p>
            <w:pPr>
              <w:pStyle w:val="TableParagraph"/>
              <w:rPr>
                <w:rFonts w:ascii="Times New Roman"/>
                <w:sz w:val="18"/>
              </w:rPr>
            </w:pPr>
          </w:p>
        </w:tc>
        <w:tc>
          <w:tcPr>
            <w:tcW w:w="2477" w:type="dxa"/>
            <w:tcBorders>
              <w:top w:val="nil"/>
              <w:bottom w:val="nil"/>
            </w:tcBorders>
          </w:tcPr>
          <w:p>
            <w:pPr>
              <w:pStyle w:val="TableParagraph"/>
              <w:spacing w:line="232" w:lineRule="auto" w:before="44"/>
              <w:ind w:left="90" w:right="663"/>
              <w:rPr>
                <w:sz w:val="18"/>
              </w:rPr>
            </w:pPr>
            <w:r>
              <w:rPr>
                <w:color w:val="105C84"/>
                <w:sz w:val="18"/>
              </w:rPr>
              <w:t>Data</w:t>
            </w:r>
            <w:r>
              <w:rPr>
                <w:color w:val="105C84"/>
                <w:spacing w:val="-13"/>
                <w:sz w:val="18"/>
              </w:rPr>
              <w:t> </w:t>
            </w:r>
            <w:r>
              <w:rPr>
                <w:color w:val="105C84"/>
                <w:sz w:val="18"/>
              </w:rPr>
              <w:t>Level:</w:t>
            </w:r>
            <w:r>
              <w:rPr>
                <w:color w:val="105C84"/>
                <w:spacing w:val="-12"/>
                <w:sz w:val="18"/>
              </w:rPr>
              <w:t> </w:t>
            </w:r>
            <w:r>
              <w:rPr>
                <w:color w:val="105C84"/>
                <w:sz w:val="18"/>
              </w:rPr>
              <w:t>State</w:t>
            </w:r>
            <w:r>
              <w:rPr>
                <w:color w:val="105C84"/>
                <w:spacing w:val="-13"/>
                <w:sz w:val="18"/>
              </w:rPr>
              <w:t> </w:t>
            </w:r>
            <w:r>
              <w:rPr>
                <w:color w:val="105C84"/>
                <w:sz w:val="18"/>
              </w:rPr>
              <w:t>and </w:t>
            </w:r>
            <w:r>
              <w:rPr>
                <w:color w:val="105C84"/>
                <w:spacing w:val="-2"/>
                <w:sz w:val="18"/>
              </w:rPr>
              <w:t>County</w:t>
            </w:r>
          </w:p>
        </w:tc>
        <w:tc>
          <w:tcPr>
            <w:tcW w:w="1239" w:type="dxa"/>
            <w:vMerge/>
            <w:tcBorders>
              <w:top w:val="nil"/>
            </w:tcBorders>
          </w:tcPr>
          <w:p>
            <w:pPr>
              <w:rPr>
                <w:sz w:val="2"/>
                <w:szCs w:val="2"/>
              </w:rPr>
            </w:pPr>
          </w:p>
        </w:tc>
        <w:tc>
          <w:tcPr>
            <w:tcW w:w="3244" w:type="dxa"/>
            <w:tcBorders>
              <w:top w:val="nil"/>
              <w:bottom w:val="nil"/>
              <w:right w:val="nil"/>
            </w:tcBorders>
          </w:tcPr>
          <w:p>
            <w:pPr>
              <w:pStyle w:val="TableParagraph"/>
              <w:rPr>
                <w:rFonts w:ascii="Times New Roman"/>
                <w:sz w:val="18"/>
              </w:rPr>
            </w:pPr>
          </w:p>
        </w:tc>
        <w:tc>
          <w:tcPr>
            <w:tcW w:w="2984" w:type="dxa"/>
            <w:tcBorders>
              <w:top w:val="nil"/>
              <w:left w:val="nil"/>
              <w:bottom w:val="nil"/>
            </w:tcBorders>
          </w:tcPr>
          <w:p>
            <w:pPr>
              <w:pStyle w:val="TableParagraph"/>
              <w:rPr>
                <w:rFonts w:ascii="Times New Roman"/>
                <w:sz w:val="18"/>
              </w:rPr>
            </w:pPr>
          </w:p>
        </w:tc>
        <w:tc>
          <w:tcPr>
            <w:tcW w:w="1872" w:type="dxa"/>
            <w:tcBorders>
              <w:top w:val="nil"/>
              <w:bottom w:val="nil"/>
            </w:tcBorders>
          </w:tcPr>
          <w:p>
            <w:pPr>
              <w:pStyle w:val="TableParagraph"/>
              <w:spacing w:before="17"/>
              <w:ind w:left="89"/>
              <w:rPr>
                <w:sz w:val="18"/>
              </w:rPr>
            </w:pPr>
            <w:r>
              <w:rPr>
                <w:color w:val="105C84"/>
                <w:spacing w:val="-2"/>
                <w:sz w:val="18"/>
              </w:rPr>
              <w:t>Worksites</w:t>
            </w:r>
          </w:p>
        </w:tc>
        <w:tc>
          <w:tcPr>
            <w:tcW w:w="4493" w:type="dxa"/>
            <w:tcBorders>
              <w:top w:val="nil"/>
              <w:bottom w:val="nil"/>
            </w:tcBorders>
          </w:tcPr>
          <w:p>
            <w:pPr>
              <w:pStyle w:val="TableParagraph"/>
              <w:spacing w:line="232" w:lineRule="auto" w:before="42"/>
              <w:ind w:left="89" w:right="103"/>
              <w:rPr>
                <w:sz w:val="18"/>
              </w:rPr>
            </w:pPr>
            <w:r>
              <w:rPr>
                <w:color w:val="105C84"/>
                <w:sz w:val="18"/>
              </w:rPr>
              <w:t>OC</w:t>
            </w:r>
            <w:r>
              <w:rPr>
                <w:color w:val="105C84"/>
                <w:spacing w:val="-6"/>
                <w:sz w:val="18"/>
              </w:rPr>
              <w:t> </w:t>
            </w:r>
            <w:r>
              <w:rPr>
                <w:color w:val="105C84"/>
                <w:sz w:val="18"/>
              </w:rPr>
              <w:t>Jail:</w:t>
            </w:r>
            <w:r>
              <w:rPr>
                <w:color w:val="105C84"/>
                <w:spacing w:val="-6"/>
                <w:sz w:val="18"/>
              </w:rPr>
              <w:t> </w:t>
            </w:r>
            <w:r>
              <w:rPr>
                <w:color w:val="105C84"/>
                <w:sz w:val="18"/>
              </w:rPr>
              <w:t>Provide</w:t>
            </w:r>
            <w:r>
              <w:rPr>
                <w:color w:val="105C84"/>
                <w:spacing w:val="-6"/>
                <w:sz w:val="18"/>
              </w:rPr>
              <w:t> </w:t>
            </w:r>
            <w:r>
              <w:rPr>
                <w:color w:val="105C84"/>
                <w:sz w:val="18"/>
              </w:rPr>
              <w:t>venue</w:t>
            </w:r>
            <w:r>
              <w:rPr>
                <w:color w:val="105C84"/>
                <w:spacing w:val="-6"/>
                <w:sz w:val="18"/>
              </w:rPr>
              <w:t> </w:t>
            </w:r>
            <w:r>
              <w:rPr>
                <w:color w:val="105C84"/>
                <w:sz w:val="18"/>
              </w:rPr>
              <w:t>for</w:t>
            </w:r>
            <w:r>
              <w:rPr>
                <w:color w:val="105C84"/>
                <w:spacing w:val="-6"/>
                <w:sz w:val="18"/>
              </w:rPr>
              <w:t> </w:t>
            </w:r>
            <w:r>
              <w:rPr>
                <w:color w:val="105C84"/>
                <w:sz w:val="18"/>
              </w:rPr>
              <w:t>education.</w:t>
            </w:r>
            <w:r>
              <w:rPr>
                <w:color w:val="105C84"/>
                <w:spacing w:val="-6"/>
                <w:sz w:val="18"/>
              </w:rPr>
              <w:t> </w:t>
            </w:r>
            <w:r>
              <w:rPr>
                <w:color w:val="105C84"/>
                <w:sz w:val="18"/>
              </w:rPr>
              <w:t>Potentially</w:t>
            </w:r>
            <w:r>
              <w:rPr>
                <w:color w:val="105C84"/>
                <w:spacing w:val="-6"/>
                <w:sz w:val="18"/>
              </w:rPr>
              <w:t> </w:t>
            </w:r>
            <w:r>
              <w:rPr>
                <w:color w:val="105C84"/>
                <w:sz w:val="18"/>
              </w:rPr>
              <w:t>host a mobile mammography unit.</w:t>
            </w:r>
          </w:p>
        </w:tc>
        <w:tc>
          <w:tcPr>
            <w:tcW w:w="1666" w:type="dxa"/>
            <w:tcBorders>
              <w:top w:val="nil"/>
              <w:bottom w:val="nil"/>
            </w:tcBorders>
          </w:tcPr>
          <w:p>
            <w:pPr>
              <w:pStyle w:val="TableParagraph"/>
              <w:rPr>
                <w:rFonts w:ascii="Times New Roman"/>
                <w:sz w:val="18"/>
              </w:rPr>
            </w:pPr>
          </w:p>
        </w:tc>
      </w:tr>
      <w:tr>
        <w:trPr>
          <w:trHeight w:val="773" w:hRule="atLeast"/>
        </w:trPr>
        <w:tc>
          <w:tcPr>
            <w:tcW w:w="1353" w:type="dxa"/>
            <w:vMerge w:val="restart"/>
            <w:tcBorders>
              <w:top w:val="nil"/>
              <w:bottom w:val="nil"/>
            </w:tcBorders>
            <w:shd w:val="clear" w:color="auto" w:fill="E6E7E8"/>
          </w:tcPr>
          <w:p>
            <w:pPr>
              <w:pStyle w:val="TableParagraph"/>
              <w:rPr>
                <w:rFonts w:ascii="Times New Roman"/>
                <w:sz w:val="18"/>
              </w:rPr>
            </w:pPr>
          </w:p>
        </w:tc>
        <w:tc>
          <w:tcPr>
            <w:tcW w:w="1296" w:type="dxa"/>
            <w:vMerge w:val="restart"/>
            <w:tcBorders>
              <w:top w:val="nil"/>
              <w:bottom w:val="nil"/>
            </w:tcBorders>
          </w:tcPr>
          <w:p>
            <w:pPr>
              <w:pStyle w:val="TableParagraph"/>
              <w:rPr>
                <w:rFonts w:ascii="Times New Roman"/>
                <w:sz w:val="18"/>
              </w:rPr>
            </w:pPr>
          </w:p>
        </w:tc>
        <w:tc>
          <w:tcPr>
            <w:tcW w:w="1591" w:type="dxa"/>
            <w:vMerge w:val="restart"/>
            <w:tcBorders>
              <w:top w:val="nil"/>
              <w:bottom w:val="nil"/>
            </w:tcBorders>
          </w:tcPr>
          <w:p>
            <w:pPr>
              <w:pStyle w:val="TableParagraph"/>
              <w:rPr>
                <w:rFonts w:ascii="Times New Roman"/>
                <w:sz w:val="18"/>
              </w:rPr>
            </w:pPr>
          </w:p>
        </w:tc>
        <w:tc>
          <w:tcPr>
            <w:tcW w:w="2477" w:type="dxa"/>
            <w:vMerge w:val="restart"/>
            <w:tcBorders>
              <w:top w:val="nil"/>
              <w:bottom w:val="nil"/>
            </w:tcBorders>
          </w:tcPr>
          <w:p>
            <w:pPr>
              <w:pStyle w:val="TableParagraph"/>
              <w:spacing w:line="232" w:lineRule="auto" w:before="34"/>
              <w:ind w:left="90" w:right="93"/>
              <w:rPr>
                <w:sz w:val="18"/>
              </w:rPr>
            </w:pPr>
            <w:r>
              <w:rPr>
                <w:color w:val="105C84"/>
                <w:sz w:val="18"/>
              </w:rPr>
              <w:t>4.1.2 Increase the percentage of women with an</w:t>
            </w:r>
            <w:r>
              <w:rPr>
                <w:color w:val="105C84"/>
                <w:spacing w:val="-13"/>
                <w:sz w:val="18"/>
              </w:rPr>
              <w:t> </w:t>
            </w:r>
            <w:r>
              <w:rPr>
                <w:color w:val="105C84"/>
                <w:sz w:val="18"/>
              </w:rPr>
              <w:t>annual</w:t>
            </w:r>
            <w:r>
              <w:rPr>
                <w:color w:val="105C84"/>
                <w:spacing w:val="-12"/>
                <w:sz w:val="18"/>
              </w:rPr>
              <w:t> </w:t>
            </w:r>
            <w:r>
              <w:rPr>
                <w:color w:val="105C84"/>
                <w:sz w:val="18"/>
              </w:rPr>
              <w:t>household</w:t>
            </w:r>
            <w:r>
              <w:rPr>
                <w:color w:val="105C84"/>
                <w:spacing w:val="-13"/>
                <w:sz w:val="18"/>
              </w:rPr>
              <w:t> </w:t>
            </w:r>
            <w:r>
              <w:rPr>
                <w:color w:val="105C84"/>
                <w:sz w:val="18"/>
              </w:rPr>
              <w:t>income</w:t>
            </w:r>
            <w:r>
              <w:rPr>
                <w:color w:val="105C84"/>
                <w:sz w:val="18"/>
              </w:rPr>
              <w:t> less than $25,000 who receive a cervical cancer screening based on the</w:t>
            </w:r>
            <w:r>
              <w:rPr>
                <w:color w:val="105C84"/>
                <w:spacing w:val="40"/>
                <w:sz w:val="18"/>
              </w:rPr>
              <w:t> </w:t>
            </w:r>
            <w:r>
              <w:rPr>
                <w:color w:val="105C84"/>
                <w:sz w:val="18"/>
              </w:rPr>
              <w:t>most recent guidelines</w:t>
            </w:r>
          </w:p>
          <w:p>
            <w:pPr>
              <w:pStyle w:val="TableParagraph"/>
              <w:spacing w:before="79"/>
              <w:ind w:left="90"/>
              <w:rPr>
                <w:sz w:val="18"/>
              </w:rPr>
            </w:pPr>
            <w:r>
              <w:rPr>
                <w:color w:val="105C84"/>
                <w:spacing w:val="-4"/>
                <w:sz w:val="18"/>
              </w:rPr>
              <w:t>Target:</w:t>
            </w:r>
            <w:r>
              <w:rPr>
                <w:color w:val="105C84"/>
                <w:spacing w:val="-1"/>
                <w:sz w:val="18"/>
              </w:rPr>
              <w:t> </w:t>
            </w:r>
            <w:r>
              <w:rPr>
                <w:color w:val="105C84"/>
                <w:spacing w:val="-2"/>
                <w:sz w:val="18"/>
              </w:rPr>
              <w:t>80.0%</w:t>
            </w:r>
          </w:p>
          <w:p>
            <w:pPr>
              <w:pStyle w:val="TableParagraph"/>
              <w:spacing w:before="83"/>
              <w:ind w:left="90"/>
              <w:rPr>
                <w:sz w:val="18"/>
              </w:rPr>
            </w:pPr>
            <w:r>
              <w:rPr>
                <w:color w:val="105C84"/>
                <w:spacing w:val="-6"/>
                <w:sz w:val="18"/>
              </w:rPr>
              <w:t>Baseline:</w:t>
            </w:r>
            <w:r>
              <w:rPr>
                <w:color w:val="105C84"/>
                <w:spacing w:val="2"/>
                <w:sz w:val="18"/>
              </w:rPr>
              <w:t> </w:t>
            </w:r>
            <w:r>
              <w:rPr>
                <w:color w:val="105C84"/>
                <w:spacing w:val="-6"/>
                <w:sz w:val="18"/>
              </w:rPr>
              <w:t>76.1%</w:t>
            </w:r>
            <w:r>
              <w:rPr>
                <w:color w:val="105C84"/>
                <w:spacing w:val="3"/>
                <w:sz w:val="18"/>
              </w:rPr>
              <w:t> </w:t>
            </w:r>
            <w:r>
              <w:rPr>
                <w:color w:val="105C84"/>
                <w:spacing w:val="-6"/>
                <w:sz w:val="18"/>
              </w:rPr>
              <w:t>(2016)</w:t>
            </w:r>
          </w:p>
        </w:tc>
        <w:tc>
          <w:tcPr>
            <w:tcW w:w="1239" w:type="dxa"/>
            <w:vMerge/>
            <w:tcBorders>
              <w:top w:val="nil"/>
            </w:tcBorders>
          </w:tcPr>
          <w:p>
            <w:pPr>
              <w:rPr>
                <w:sz w:val="2"/>
                <w:szCs w:val="2"/>
              </w:rPr>
            </w:pPr>
          </w:p>
        </w:tc>
        <w:tc>
          <w:tcPr>
            <w:tcW w:w="3244" w:type="dxa"/>
            <w:tcBorders>
              <w:top w:val="nil"/>
              <w:right w:val="nil"/>
            </w:tcBorders>
          </w:tcPr>
          <w:p>
            <w:pPr>
              <w:pStyle w:val="TableParagraph"/>
              <w:rPr>
                <w:rFonts w:ascii="Times New Roman"/>
                <w:sz w:val="18"/>
              </w:rPr>
            </w:pPr>
          </w:p>
        </w:tc>
        <w:tc>
          <w:tcPr>
            <w:tcW w:w="2984" w:type="dxa"/>
            <w:tcBorders>
              <w:top w:val="nil"/>
              <w:left w:val="nil"/>
            </w:tcBorders>
          </w:tcPr>
          <w:p>
            <w:pPr>
              <w:pStyle w:val="TableParagraph"/>
              <w:rPr>
                <w:rFonts w:ascii="Times New Roman"/>
                <w:sz w:val="18"/>
              </w:rPr>
            </w:pPr>
          </w:p>
        </w:tc>
        <w:tc>
          <w:tcPr>
            <w:tcW w:w="1872" w:type="dxa"/>
            <w:tcBorders>
              <w:top w:val="nil"/>
            </w:tcBorders>
          </w:tcPr>
          <w:p>
            <w:pPr>
              <w:pStyle w:val="TableParagraph"/>
              <w:rPr>
                <w:rFonts w:ascii="Times New Roman"/>
                <w:sz w:val="18"/>
              </w:rPr>
            </w:pPr>
          </w:p>
        </w:tc>
        <w:tc>
          <w:tcPr>
            <w:tcW w:w="4493" w:type="dxa"/>
            <w:tcBorders>
              <w:top w:val="nil"/>
            </w:tcBorders>
          </w:tcPr>
          <w:p>
            <w:pPr>
              <w:pStyle w:val="TableParagraph"/>
              <w:spacing w:before="27"/>
              <w:ind w:left="89"/>
              <w:rPr>
                <w:sz w:val="18"/>
              </w:rPr>
            </w:pPr>
            <w:r>
              <w:rPr>
                <w:color w:val="105C84"/>
                <w:sz w:val="18"/>
              </w:rPr>
              <w:t>Churches:</w:t>
            </w:r>
            <w:r>
              <w:rPr>
                <w:color w:val="105C84"/>
                <w:spacing w:val="-11"/>
                <w:sz w:val="18"/>
              </w:rPr>
              <w:t> </w:t>
            </w:r>
            <w:r>
              <w:rPr>
                <w:color w:val="105C84"/>
                <w:sz w:val="18"/>
              </w:rPr>
              <w:t>Potential</w:t>
            </w:r>
            <w:r>
              <w:rPr>
                <w:color w:val="105C84"/>
                <w:spacing w:val="-10"/>
                <w:sz w:val="18"/>
              </w:rPr>
              <w:t> </w:t>
            </w:r>
            <w:r>
              <w:rPr>
                <w:color w:val="105C84"/>
                <w:sz w:val="18"/>
              </w:rPr>
              <w:t>venues</w:t>
            </w:r>
            <w:r>
              <w:rPr>
                <w:color w:val="105C84"/>
                <w:spacing w:val="-11"/>
                <w:sz w:val="18"/>
              </w:rPr>
              <w:t> </w:t>
            </w:r>
            <w:r>
              <w:rPr>
                <w:color w:val="105C84"/>
                <w:sz w:val="18"/>
              </w:rPr>
              <w:t>for</w:t>
            </w:r>
            <w:r>
              <w:rPr>
                <w:color w:val="105C84"/>
                <w:spacing w:val="-10"/>
                <w:sz w:val="18"/>
              </w:rPr>
              <w:t> </w:t>
            </w:r>
            <w:r>
              <w:rPr>
                <w:color w:val="105C84"/>
                <w:sz w:val="18"/>
              </w:rPr>
              <w:t>community</w:t>
            </w:r>
            <w:r>
              <w:rPr>
                <w:color w:val="105C84"/>
                <w:spacing w:val="-11"/>
                <w:sz w:val="18"/>
              </w:rPr>
              <w:t> </w:t>
            </w:r>
            <w:r>
              <w:rPr>
                <w:color w:val="105C84"/>
                <w:spacing w:val="-2"/>
                <w:sz w:val="18"/>
              </w:rPr>
              <w:t>education</w:t>
            </w:r>
          </w:p>
          <w:p>
            <w:pPr>
              <w:pStyle w:val="TableParagraph"/>
              <w:spacing w:line="232" w:lineRule="auto" w:before="88"/>
              <w:ind w:left="89" w:right="281"/>
              <w:rPr>
                <w:sz w:val="18"/>
              </w:rPr>
            </w:pPr>
            <w:r>
              <w:rPr>
                <w:color w:val="105C84"/>
                <w:sz w:val="18"/>
              </w:rPr>
              <w:t>Worksites:</w:t>
            </w:r>
            <w:r>
              <w:rPr>
                <w:color w:val="105C84"/>
                <w:spacing w:val="-11"/>
                <w:sz w:val="18"/>
              </w:rPr>
              <w:t> </w:t>
            </w:r>
            <w:r>
              <w:rPr>
                <w:color w:val="105C84"/>
                <w:sz w:val="18"/>
              </w:rPr>
              <w:t>Potential</w:t>
            </w:r>
            <w:r>
              <w:rPr>
                <w:color w:val="105C84"/>
                <w:spacing w:val="-11"/>
                <w:sz w:val="18"/>
              </w:rPr>
              <w:t> </w:t>
            </w:r>
            <w:r>
              <w:rPr>
                <w:color w:val="105C84"/>
                <w:sz w:val="18"/>
              </w:rPr>
              <w:t>venues</w:t>
            </w:r>
            <w:r>
              <w:rPr>
                <w:color w:val="105C84"/>
                <w:spacing w:val="-11"/>
                <w:sz w:val="18"/>
              </w:rPr>
              <w:t> </w:t>
            </w:r>
            <w:r>
              <w:rPr>
                <w:color w:val="105C84"/>
                <w:sz w:val="18"/>
              </w:rPr>
              <w:t>for</w:t>
            </w:r>
            <w:r>
              <w:rPr>
                <w:color w:val="105C84"/>
                <w:spacing w:val="-11"/>
                <w:sz w:val="18"/>
              </w:rPr>
              <w:t> </w:t>
            </w:r>
            <w:r>
              <w:rPr>
                <w:color w:val="105C84"/>
                <w:sz w:val="18"/>
              </w:rPr>
              <w:t>tabling</w:t>
            </w:r>
            <w:r>
              <w:rPr>
                <w:color w:val="105C84"/>
                <w:spacing w:val="-11"/>
                <w:sz w:val="18"/>
              </w:rPr>
              <w:t> </w:t>
            </w:r>
            <w:r>
              <w:rPr>
                <w:color w:val="105C84"/>
                <w:sz w:val="18"/>
              </w:rPr>
              <w:t>(work-sponsored health fairs)</w:t>
            </w:r>
          </w:p>
        </w:tc>
        <w:tc>
          <w:tcPr>
            <w:tcW w:w="1666" w:type="dxa"/>
            <w:tcBorders>
              <w:top w:val="nil"/>
            </w:tcBorders>
          </w:tcPr>
          <w:p>
            <w:pPr>
              <w:pStyle w:val="TableParagraph"/>
              <w:rPr>
                <w:rFonts w:ascii="Times New Roman"/>
                <w:sz w:val="18"/>
              </w:rPr>
            </w:pPr>
          </w:p>
        </w:tc>
      </w:tr>
      <w:tr>
        <w:trPr>
          <w:trHeight w:val="1277" w:hRule="atLeast"/>
        </w:trPr>
        <w:tc>
          <w:tcPr>
            <w:tcW w:w="1353" w:type="dxa"/>
            <w:vMerge/>
            <w:tcBorders>
              <w:top w:val="nil"/>
              <w:bottom w:val="nil"/>
            </w:tcBorders>
            <w:shd w:val="clear" w:color="auto" w:fill="E6E7E8"/>
          </w:tcPr>
          <w:p>
            <w:pPr>
              <w:rPr>
                <w:sz w:val="2"/>
                <w:szCs w:val="2"/>
              </w:rPr>
            </w:pPr>
          </w:p>
        </w:tc>
        <w:tc>
          <w:tcPr>
            <w:tcW w:w="1296" w:type="dxa"/>
            <w:vMerge/>
            <w:tcBorders>
              <w:top w:val="nil"/>
              <w:bottom w:val="nil"/>
            </w:tcBorders>
          </w:tcPr>
          <w:p>
            <w:pPr>
              <w:rPr>
                <w:sz w:val="2"/>
                <w:szCs w:val="2"/>
              </w:rPr>
            </w:pPr>
          </w:p>
        </w:tc>
        <w:tc>
          <w:tcPr>
            <w:tcW w:w="1591" w:type="dxa"/>
            <w:vMerge/>
            <w:tcBorders>
              <w:top w:val="nil"/>
              <w:bottom w:val="nil"/>
            </w:tcBorders>
          </w:tcPr>
          <w:p>
            <w:pPr>
              <w:rPr>
                <w:sz w:val="2"/>
                <w:szCs w:val="2"/>
              </w:rPr>
            </w:pPr>
          </w:p>
        </w:tc>
        <w:tc>
          <w:tcPr>
            <w:tcW w:w="2477" w:type="dxa"/>
            <w:vMerge/>
            <w:tcBorders>
              <w:top w:val="nil"/>
              <w:bottom w:val="nil"/>
            </w:tcBorders>
          </w:tcPr>
          <w:p>
            <w:pPr>
              <w:rPr>
                <w:sz w:val="2"/>
                <w:szCs w:val="2"/>
              </w:rPr>
            </w:pPr>
          </w:p>
        </w:tc>
        <w:tc>
          <w:tcPr>
            <w:tcW w:w="1239" w:type="dxa"/>
            <w:vMerge/>
            <w:tcBorders>
              <w:top w:val="nil"/>
            </w:tcBorders>
          </w:tcPr>
          <w:p>
            <w:pPr>
              <w:rPr>
                <w:sz w:val="2"/>
                <w:szCs w:val="2"/>
              </w:rPr>
            </w:pPr>
          </w:p>
        </w:tc>
        <w:tc>
          <w:tcPr>
            <w:tcW w:w="3244" w:type="dxa"/>
            <w:vMerge w:val="restart"/>
            <w:tcBorders>
              <w:right w:val="nil"/>
            </w:tcBorders>
          </w:tcPr>
          <w:p>
            <w:pPr>
              <w:pStyle w:val="TableParagraph"/>
              <w:spacing w:line="232" w:lineRule="auto" w:before="99"/>
              <w:ind w:left="89" w:right="1417"/>
              <w:rPr>
                <w:sz w:val="18"/>
              </w:rPr>
            </w:pPr>
            <w:r>
              <w:rPr>
                <w:color w:val="105C84"/>
                <w:spacing w:val="-2"/>
                <w:sz w:val="18"/>
              </w:rPr>
              <w:t>4.1.3</w:t>
            </w:r>
            <w:r>
              <w:rPr>
                <w:color w:val="105C84"/>
                <w:spacing w:val="-11"/>
                <w:sz w:val="18"/>
              </w:rPr>
              <w:t> </w:t>
            </w:r>
            <w:r>
              <w:rPr>
                <w:color w:val="105C84"/>
                <w:spacing w:val="-2"/>
                <w:sz w:val="18"/>
              </w:rPr>
              <w:t>Use</w:t>
            </w:r>
            <w:r>
              <w:rPr>
                <w:color w:val="105C84"/>
                <w:spacing w:val="-10"/>
                <w:sz w:val="18"/>
              </w:rPr>
              <w:t> </w:t>
            </w:r>
            <w:r>
              <w:rPr>
                <w:color w:val="105C84"/>
                <w:spacing w:val="-2"/>
                <w:sz w:val="18"/>
              </w:rPr>
              <w:t>small</w:t>
            </w:r>
            <w:r>
              <w:rPr>
                <w:color w:val="105C84"/>
                <w:spacing w:val="-11"/>
                <w:sz w:val="18"/>
              </w:rPr>
              <w:t> </w:t>
            </w:r>
            <w:r>
              <w:rPr>
                <w:color w:val="105C84"/>
                <w:spacing w:val="-2"/>
                <w:sz w:val="18"/>
              </w:rPr>
              <w:t>medi</w:t>
            </w:r>
            <w:r>
              <w:rPr>
                <w:color w:val="105C84"/>
                <w:spacing w:val="-2"/>
                <w:sz w:val="18"/>
              </w:rPr>
              <w:t>a</w:t>
            </w:r>
            <w:r>
              <w:rPr>
                <w:color w:val="105C84"/>
                <w:spacing w:val="-2"/>
                <w:sz w:val="18"/>
              </w:rPr>
              <w:t> </w:t>
            </w:r>
            <w:r>
              <w:rPr>
                <w:color w:val="105C84"/>
                <w:sz w:val="18"/>
              </w:rPr>
              <w:t>such as videos, printed materials (letters, brochures,</w:t>
            </w:r>
          </w:p>
          <w:p>
            <w:pPr>
              <w:pStyle w:val="TableParagraph"/>
              <w:spacing w:line="232" w:lineRule="auto"/>
              <w:ind w:left="89" w:right="998"/>
              <w:rPr>
                <w:sz w:val="18"/>
              </w:rPr>
            </w:pPr>
            <w:r>
              <w:rPr>
                <w:color w:val="105C84"/>
                <w:sz w:val="18"/>
              </w:rPr>
              <w:t>newsletters) and health communications to </w:t>
            </w:r>
            <w:r>
              <w:rPr>
                <w:color w:val="105C84"/>
                <w:sz w:val="18"/>
              </w:rPr>
              <w:t>build public awareness and </w:t>
            </w:r>
            <w:r>
              <w:rPr>
                <w:color w:val="105C84"/>
                <w:spacing w:val="-2"/>
                <w:sz w:val="18"/>
              </w:rPr>
              <w:t>demand.</w:t>
            </w:r>
          </w:p>
        </w:tc>
        <w:tc>
          <w:tcPr>
            <w:tcW w:w="2984" w:type="dxa"/>
            <w:vMerge w:val="restart"/>
            <w:tcBorders>
              <w:left w:val="nil"/>
            </w:tcBorders>
          </w:tcPr>
          <w:p>
            <w:pPr>
              <w:pStyle w:val="TableParagraph"/>
              <w:numPr>
                <w:ilvl w:val="0"/>
                <w:numId w:val="61"/>
              </w:numPr>
              <w:tabs>
                <w:tab w:pos="1335" w:val="left" w:leader="none"/>
              </w:tabs>
              <w:spacing w:line="232" w:lineRule="auto" w:before="99" w:after="0"/>
              <w:ind w:left="1149" w:right="130" w:firstLine="0"/>
              <w:jc w:val="left"/>
              <w:rPr>
                <w:sz w:val="18"/>
              </w:rPr>
            </w:pPr>
            <w:r>
              <w:rPr>
                <w:color w:val="105C84"/>
                <w:sz w:val="18"/>
              </w:rPr>
              <w:t># of locations at which</w:t>
            </w:r>
            <w:r>
              <w:rPr>
                <w:color w:val="105C84"/>
                <w:spacing w:val="-11"/>
                <w:sz w:val="18"/>
              </w:rPr>
              <w:t> </w:t>
            </w:r>
            <w:r>
              <w:rPr>
                <w:color w:val="105C84"/>
                <w:sz w:val="18"/>
              </w:rPr>
              <w:t>materials</w:t>
            </w:r>
            <w:r>
              <w:rPr>
                <w:color w:val="105C84"/>
                <w:spacing w:val="-11"/>
                <w:sz w:val="18"/>
              </w:rPr>
              <w:t> </w:t>
            </w:r>
            <w:r>
              <w:rPr>
                <w:color w:val="105C84"/>
                <w:sz w:val="18"/>
              </w:rPr>
              <w:t>were distributed re cancer and</w:t>
            </w:r>
            <w:r>
              <w:rPr>
                <w:color w:val="105C84"/>
                <w:spacing w:val="-11"/>
                <w:sz w:val="18"/>
              </w:rPr>
              <w:t> </w:t>
            </w:r>
            <w:r>
              <w:rPr>
                <w:color w:val="105C84"/>
                <w:sz w:val="18"/>
              </w:rPr>
              <w:t>cancer</w:t>
            </w:r>
            <w:r>
              <w:rPr>
                <w:color w:val="105C84"/>
                <w:spacing w:val="-11"/>
                <w:sz w:val="18"/>
              </w:rPr>
              <w:t> </w:t>
            </w:r>
            <w:r>
              <w:rPr>
                <w:color w:val="105C84"/>
                <w:spacing w:val="-2"/>
                <w:sz w:val="18"/>
              </w:rPr>
              <w:t>screening</w:t>
            </w:r>
          </w:p>
          <w:p>
            <w:pPr>
              <w:pStyle w:val="TableParagraph"/>
              <w:numPr>
                <w:ilvl w:val="0"/>
                <w:numId w:val="61"/>
              </w:numPr>
              <w:tabs>
                <w:tab w:pos="1335" w:val="left" w:leader="none"/>
              </w:tabs>
              <w:spacing w:line="232" w:lineRule="auto" w:before="87" w:after="0"/>
              <w:ind w:left="1149" w:right="106" w:firstLine="0"/>
              <w:jc w:val="left"/>
              <w:rPr>
                <w:sz w:val="18"/>
              </w:rPr>
            </w:pPr>
            <w:r>
              <w:rPr>
                <w:color w:val="105C84"/>
                <w:sz w:val="18"/>
              </w:rPr>
              <w:t># of unified messages</w:t>
            </w:r>
            <w:r>
              <w:rPr>
                <w:color w:val="105C84"/>
                <w:spacing w:val="-15"/>
                <w:sz w:val="18"/>
              </w:rPr>
              <w:t> </w:t>
            </w:r>
            <w:r>
              <w:rPr>
                <w:color w:val="105C84"/>
                <w:sz w:val="18"/>
              </w:rPr>
              <w:t>created</w:t>
            </w:r>
            <w:r>
              <w:rPr>
                <w:color w:val="105C84"/>
                <w:spacing w:val="-12"/>
                <w:sz w:val="18"/>
              </w:rPr>
              <w:t> </w:t>
            </w:r>
            <w:r>
              <w:rPr>
                <w:color w:val="105C84"/>
                <w:sz w:val="18"/>
              </w:rPr>
              <w:t>by OCHC</w:t>
            </w:r>
            <w:r>
              <w:rPr>
                <w:color w:val="105C84"/>
                <w:spacing w:val="-15"/>
                <w:sz w:val="18"/>
              </w:rPr>
              <w:t> </w:t>
            </w:r>
            <w:r>
              <w:rPr>
                <w:color w:val="105C84"/>
                <w:sz w:val="18"/>
              </w:rPr>
              <w:t>around</w:t>
            </w:r>
            <w:r>
              <w:rPr>
                <w:color w:val="105C84"/>
                <w:spacing w:val="-12"/>
                <w:sz w:val="18"/>
              </w:rPr>
              <w:t> </w:t>
            </w:r>
            <w:r>
              <w:rPr>
                <w:color w:val="105C84"/>
                <w:sz w:val="18"/>
              </w:rPr>
              <w:t>cancer and</w:t>
            </w:r>
            <w:r>
              <w:rPr>
                <w:color w:val="105C84"/>
                <w:spacing w:val="-15"/>
                <w:sz w:val="18"/>
              </w:rPr>
              <w:t> </w:t>
            </w:r>
            <w:r>
              <w:rPr>
                <w:color w:val="105C84"/>
                <w:sz w:val="18"/>
              </w:rPr>
              <w:t>cancer</w:t>
            </w:r>
            <w:r>
              <w:rPr>
                <w:color w:val="105C84"/>
                <w:spacing w:val="-12"/>
                <w:sz w:val="18"/>
              </w:rPr>
              <w:t> </w:t>
            </w:r>
            <w:r>
              <w:rPr>
                <w:color w:val="105C84"/>
                <w:sz w:val="18"/>
              </w:rPr>
              <w:t>screening</w:t>
            </w:r>
          </w:p>
        </w:tc>
        <w:tc>
          <w:tcPr>
            <w:tcW w:w="1872" w:type="dxa"/>
            <w:vMerge w:val="restart"/>
          </w:tcPr>
          <w:p>
            <w:pPr>
              <w:pStyle w:val="TableParagraph"/>
              <w:spacing w:before="94"/>
              <w:ind w:left="89"/>
              <w:rPr>
                <w:sz w:val="18"/>
              </w:rPr>
            </w:pPr>
            <w:r>
              <w:rPr>
                <w:color w:val="105C84"/>
                <w:sz w:val="18"/>
              </w:rPr>
              <w:t>CSP</w:t>
            </w:r>
            <w:r>
              <w:rPr>
                <w:color w:val="105C84"/>
                <w:spacing w:val="-13"/>
                <w:sz w:val="18"/>
              </w:rPr>
              <w:t> </w:t>
            </w:r>
            <w:r>
              <w:rPr>
                <w:color w:val="105C84"/>
                <w:sz w:val="18"/>
              </w:rPr>
              <w:t>of</w:t>
            </w:r>
            <w:r>
              <w:rPr>
                <w:color w:val="105C84"/>
                <w:spacing w:val="-12"/>
                <w:sz w:val="18"/>
              </w:rPr>
              <w:t> </w:t>
            </w:r>
            <w:r>
              <w:rPr>
                <w:color w:val="105C84"/>
                <w:sz w:val="18"/>
              </w:rPr>
              <w:t>the</w:t>
            </w:r>
            <w:r>
              <w:rPr>
                <w:color w:val="105C84"/>
                <w:spacing w:val="-12"/>
                <w:sz w:val="18"/>
              </w:rPr>
              <w:t> </w:t>
            </w:r>
            <w:r>
              <w:rPr>
                <w:color w:val="105C84"/>
                <w:spacing w:val="-5"/>
                <w:sz w:val="18"/>
              </w:rPr>
              <w:t>FL</w:t>
            </w:r>
          </w:p>
          <w:p>
            <w:pPr>
              <w:pStyle w:val="TableParagraph"/>
              <w:spacing w:line="232" w:lineRule="auto" w:before="88"/>
              <w:ind w:left="89" w:right="140"/>
              <w:rPr>
                <w:sz w:val="18"/>
              </w:rPr>
            </w:pPr>
            <w:r>
              <w:rPr>
                <w:color w:val="105C84"/>
                <w:spacing w:val="-4"/>
                <w:sz w:val="18"/>
              </w:rPr>
              <w:t>Regional</w:t>
            </w:r>
            <w:r>
              <w:rPr>
                <w:color w:val="105C84"/>
                <w:spacing w:val="-9"/>
                <w:sz w:val="18"/>
              </w:rPr>
              <w:t> </w:t>
            </w:r>
            <w:r>
              <w:rPr>
                <w:color w:val="105C84"/>
                <w:spacing w:val="-4"/>
                <w:sz w:val="18"/>
              </w:rPr>
              <w:t>Transit </w:t>
            </w:r>
            <w:r>
              <w:rPr>
                <w:color w:val="105C84"/>
                <w:sz w:val="18"/>
              </w:rPr>
              <w:t>System (RTS)</w:t>
            </w:r>
          </w:p>
          <w:p>
            <w:pPr>
              <w:pStyle w:val="TableParagraph"/>
              <w:spacing w:line="336" w:lineRule="auto" w:before="83"/>
              <w:ind w:left="89" w:right="140"/>
              <w:rPr>
                <w:sz w:val="18"/>
              </w:rPr>
            </w:pPr>
            <w:r>
              <w:rPr>
                <w:color w:val="105C84"/>
                <w:sz w:val="18"/>
              </w:rPr>
              <w:t>OC</w:t>
            </w:r>
            <w:r>
              <w:rPr>
                <w:color w:val="105C84"/>
                <w:spacing w:val="-15"/>
                <w:sz w:val="18"/>
              </w:rPr>
              <w:t> </w:t>
            </w:r>
            <w:r>
              <w:rPr>
                <w:color w:val="105C84"/>
                <w:sz w:val="18"/>
              </w:rPr>
              <w:t>Public</w:t>
            </w:r>
            <w:r>
              <w:rPr>
                <w:color w:val="105C84"/>
                <w:spacing w:val="-12"/>
                <w:sz w:val="18"/>
              </w:rPr>
              <w:t> </w:t>
            </w:r>
            <w:r>
              <w:rPr>
                <w:color w:val="105C84"/>
                <w:sz w:val="18"/>
              </w:rPr>
              <w:t>Health </w:t>
            </w:r>
            <w:r>
              <w:rPr>
                <w:color w:val="105C84"/>
                <w:spacing w:val="-4"/>
                <w:sz w:val="18"/>
              </w:rPr>
              <w:t>URTH</w:t>
            </w:r>
          </w:p>
          <w:p>
            <w:pPr>
              <w:pStyle w:val="TableParagraph"/>
              <w:ind w:left="89"/>
              <w:rPr>
                <w:sz w:val="18"/>
              </w:rPr>
            </w:pPr>
            <w:r>
              <w:rPr>
                <w:color w:val="105C84"/>
                <w:spacing w:val="-5"/>
                <w:sz w:val="18"/>
              </w:rPr>
              <w:t>FLH</w:t>
            </w:r>
          </w:p>
          <w:p>
            <w:pPr>
              <w:pStyle w:val="TableParagraph"/>
              <w:spacing w:before="83"/>
              <w:ind w:left="89"/>
              <w:rPr>
                <w:sz w:val="18"/>
              </w:rPr>
            </w:pPr>
            <w:r>
              <w:rPr>
                <w:color w:val="105C84"/>
                <w:w w:val="90"/>
                <w:sz w:val="18"/>
              </w:rPr>
              <w:t>RRH-</w:t>
            </w:r>
            <w:r>
              <w:rPr>
                <w:color w:val="105C84"/>
                <w:spacing w:val="-4"/>
                <w:sz w:val="18"/>
              </w:rPr>
              <w:t>CSHC</w:t>
            </w:r>
          </w:p>
          <w:p>
            <w:pPr>
              <w:pStyle w:val="TableParagraph"/>
              <w:spacing w:line="232" w:lineRule="auto" w:before="88"/>
              <w:ind w:left="89" w:right="140"/>
              <w:rPr>
                <w:sz w:val="18"/>
              </w:rPr>
            </w:pPr>
            <w:r>
              <w:rPr>
                <w:color w:val="105C84"/>
                <w:spacing w:val="-4"/>
                <w:sz w:val="18"/>
              </w:rPr>
              <w:t>Breast</w:t>
            </w:r>
            <w:r>
              <w:rPr>
                <w:color w:val="105C84"/>
                <w:spacing w:val="-9"/>
                <w:sz w:val="18"/>
              </w:rPr>
              <w:t> </w:t>
            </w:r>
            <w:r>
              <w:rPr>
                <w:color w:val="105C84"/>
                <w:spacing w:val="-4"/>
                <w:sz w:val="18"/>
              </w:rPr>
              <w:t>Cancer </w:t>
            </w:r>
            <w:r>
              <w:rPr>
                <w:color w:val="105C84"/>
                <w:spacing w:val="-2"/>
                <w:sz w:val="18"/>
              </w:rPr>
              <w:t>Coalition</w:t>
            </w:r>
          </w:p>
          <w:p>
            <w:pPr>
              <w:pStyle w:val="TableParagraph"/>
              <w:spacing w:line="232" w:lineRule="auto" w:before="89"/>
              <w:ind w:left="89" w:right="571"/>
              <w:rPr>
                <w:sz w:val="18"/>
              </w:rPr>
            </w:pPr>
            <w:r>
              <w:rPr>
                <w:color w:val="105C84"/>
                <w:spacing w:val="-2"/>
                <w:sz w:val="18"/>
              </w:rPr>
              <w:t>Health</w:t>
            </w:r>
            <w:r>
              <w:rPr>
                <w:color w:val="105C84"/>
                <w:spacing w:val="-11"/>
                <w:sz w:val="18"/>
              </w:rPr>
              <w:t> </w:t>
            </w:r>
            <w:r>
              <w:rPr>
                <w:color w:val="105C84"/>
                <w:spacing w:val="-2"/>
                <w:sz w:val="18"/>
              </w:rPr>
              <w:t>Insurers (Fidelis)</w:t>
            </w:r>
          </w:p>
        </w:tc>
        <w:tc>
          <w:tcPr>
            <w:tcW w:w="4493" w:type="dxa"/>
            <w:vMerge w:val="restart"/>
          </w:tcPr>
          <w:p>
            <w:pPr>
              <w:pStyle w:val="TableParagraph"/>
              <w:spacing w:line="232" w:lineRule="auto" w:before="98"/>
              <w:ind w:left="89" w:right="235"/>
              <w:rPr>
                <w:sz w:val="18"/>
              </w:rPr>
            </w:pPr>
            <w:r>
              <w:rPr>
                <w:color w:val="105C84"/>
                <w:sz w:val="18"/>
              </w:rPr>
              <w:t>CSP of the FL: Advertise in OC. Provide printed materials</w:t>
            </w:r>
            <w:r>
              <w:rPr>
                <w:color w:val="105C84"/>
                <w:spacing w:val="-8"/>
                <w:sz w:val="18"/>
              </w:rPr>
              <w:t> </w:t>
            </w:r>
            <w:r>
              <w:rPr>
                <w:color w:val="105C84"/>
                <w:sz w:val="18"/>
              </w:rPr>
              <w:t>to</w:t>
            </w:r>
            <w:r>
              <w:rPr>
                <w:color w:val="105C84"/>
                <w:spacing w:val="-8"/>
                <w:sz w:val="18"/>
              </w:rPr>
              <w:t> </w:t>
            </w:r>
            <w:r>
              <w:rPr>
                <w:color w:val="105C84"/>
                <w:sz w:val="18"/>
              </w:rPr>
              <w:t>OCHC</w:t>
            </w:r>
            <w:r>
              <w:rPr>
                <w:color w:val="105C84"/>
                <w:spacing w:val="-8"/>
                <w:sz w:val="18"/>
              </w:rPr>
              <w:t> </w:t>
            </w:r>
            <w:r>
              <w:rPr>
                <w:color w:val="105C84"/>
                <w:sz w:val="18"/>
              </w:rPr>
              <w:t>to</w:t>
            </w:r>
            <w:r>
              <w:rPr>
                <w:color w:val="105C84"/>
                <w:spacing w:val="-8"/>
                <w:sz w:val="18"/>
              </w:rPr>
              <w:t> </w:t>
            </w:r>
            <w:r>
              <w:rPr>
                <w:color w:val="105C84"/>
                <w:sz w:val="18"/>
              </w:rPr>
              <w:t>distribute</w:t>
            </w:r>
            <w:r>
              <w:rPr>
                <w:color w:val="105C84"/>
                <w:spacing w:val="-8"/>
                <w:sz w:val="18"/>
              </w:rPr>
              <w:t> </w:t>
            </w:r>
            <w:r>
              <w:rPr>
                <w:color w:val="105C84"/>
                <w:sz w:val="18"/>
              </w:rPr>
              <w:t>at</w:t>
            </w:r>
            <w:r>
              <w:rPr>
                <w:color w:val="105C84"/>
                <w:spacing w:val="-8"/>
                <w:sz w:val="18"/>
              </w:rPr>
              <w:t> </w:t>
            </w:r>
            <w:r>
              <w:rPr>
                <w:color w:val="105C84"/>
                <w:sz w:val="18"/>
              </w:rPr>
              <w:t>events</w:t>
            </w:r>
            <w:r>
              <w:rPr>
                <w:color w:val="105C84"/>
                <w:spacing w:val="-8"/>
                <w:sz w:val="18"/>
              </w:rPr>
              <w:t> </w:t>
            </w:r>
            <w:r>
              <w:rPr>
                <w:color w:val="105C84"/>
                <w:sz w:val="18"/>
              </w:rPr>
              <w:t>&amp;</w:t>
            </w:r>
            <w:r>
              <w:rPr>
                <w:color w:val="105C84"/>
                <w:spacing w:val="-8"/>
                <w:sz w:val="18"/>
              </w:rPr>
              <w:t> </w:t>
            </w:r>
            <w:r>
              <w:rPr>
                <w:color w:val="105C84"/>
                <w:sz w:val="18"/>
              </w:rPr>
              <w:t>via</w:t>
            </w:r>
            <w:r>
              <w:rPr>
                <w:color w:val="105C84"/>
                <w:spacing w:val="-8"/>
                <w:sz w:val="18"/>
              </w:rPr>
              <w:t> </w:t>
            </w:r>
            <w:r>
              <w:rPr>
                <w:color w:val="105C84"/>
                <w:sz w:val="18"/>
              </w:rPr>
              <w:t>RTS. Use</w:t>
            </w:r>
            <w:r>
              <w:rPr>
                <w:color w:val="105C84"/>
                <w:spacing w:val="-8"/>
                <w:sz w:val="18"/>
              </w:rPr>
              <w:t> </w:t>
            </w:r>
            <w:r>
              <w:rPr>
                <w:color w:val="105C84"/>
                <w:sz w:val="18"/>
              </w:rPr>
              <w:t>social</w:t>
            </w:r>
            <w:r>
              <w:rPr>
                <w:color w:val="105C84"/>
                <w:spacing w:val="-7"/>
                <w:sz w:val="18"/>
              </w:rPr>
              <w:t> </w:t>
            </w:r>
            <w:r>
              <w:rPr>
                <w:color w:val="105C84"/>
                <w:sz w:val="18"/>
              </w:rPr>
              <w:t>marketing</w:t>
            </w:r>
            <w:r>
              <w:rPr>
                <w:color w:val="105C84"/>
                <w:spacing w:val="-7"/>
                <w:sz w:val="18"/>
              </w:rPr>
              <w:t> </w:t>
            </w:r>
            <w:r>
              <w:rPr>
                <w:color w:val="105C84"/>
                <w:sz w:val="18"/>
              </w:rPr>
              <w:t>to</w:t>
            </w:r>
            <w:r>
              <w:rPr>
                <w:color w:val="105C84"/>
                <w:spacing w:val="-7"/>
                <w:sz w:val="18"/>
              </w:rPr>
              <w:t> </w:t>
            </w:r>
            <w:r>
              <w:rPr>
                <w:color w:val="105C84"/>
                <w:sz w:val="18"/>
              </w:rPr>
              <w:t>raise</w:t>
            </w:r>
            <w:r>
              <w:rPr>
                <w:color w:val="105C84"/>
                <w:spacing w:val="-7"/>
                <w:sz w:val="18"/>
              </w:rPr>
              <w:t> </w:t>
            </w:r>
            <w:r>
              <w:rPr>
                <w:color w:val="105C84"/>
                <w:sz w:val="18"/>
              </w:rPr>
              <w:t>community</w:t>
            </w:r>
            <w:r>
              <w:rPr>
                <w:color w:val="105C84"/>
                <w:spacing w:val="-7"/>
                <w:sz w:val="18"/>
              </w:rPr>
              <w:t> </w:t>
            </w:r>
            <w:r>
              <w:rPr>
                <w:color w:val="105C84"/>
                <w:spacing w:val="-2"/>
                <w:sz w:val="18"/>
              </w:rPr>
              <w:t>awareness.</w:t>
            </w:r>
          </w:p>
          <w:p>
            <w:pPr>
              <w:pStyle w:val="TableParagraph"/>
              <w:spacing w:before="83"/>
              <w:ind w:left="89"/>
              <w:rPr>
                <w:sz w:val="18"/>
              </w:rPr>
            </w:pPr>
            <w:r>
              <w:rPr>
                <w:color w:val="105C84"/>
                <w:sz w:val="18"/>
              </w:rPr>
              <w:t>RTS:</w:t>
            </w:r>
            <w:r>
              <w:rPr>
                <w:color w:val="105C84"/>
                <w:spacing w:val="-5"/>
                <w:sz w:val="18"/>
              </w:rPr>
              <w:t> </w:t>
            </w:r>
            <w:r>
              <w:rPr>
                <w:color w:val="105C84"/>
                <w:sz w:val="18"/>
              </w:rPr>
              <w:t>Distribute</w:t>
            </w:r>
            <w:r>
              <w:rPr>
                <w:color w:val="105C84"/>
                <w:spacing w:val="-5"/>
                <w:sz w:val="18"/>
              </w:rPr>
              <w:t> </w:t>
            </w:r>
            <w:r>
              <w:rPr>
                <w:color w:val="105C84"/>
                <w:sz w:val="18"/>
              </w:rPr>
              <w:t>printed</w:t>
            </w:r>
            <w:r>
              <w:rPr>
                <w:color w:val="105C84"/>
                <w:spacing w:val="-5"/>
                <w:sz w:val="18"/>
              </w:rPr>
              <w:t> </w:t>
            </w:r>
            <w:r>
              <w:rPr>
                <w:color w:val="105C84"/>
                <w:sz w:val="18"/>
              </w:rPr>
              <w:t>materials</w:t>
            </w:r>
            <w:r>
              <w:rPr>
                <w:color w:val="105C84"/>
                <w:spacing w:val="-5"/>
                <w:sz w:val="18"/>
              </w:rPr>
              <w:t> </w:t>
            </w:r>
            <w:r>
              <w:rPr>
                <w:color w:val="105C84"/>
                <w:sz w:val="18"/>
              </w:rPr>
              <w:t>on</w:t>
            </w:r>
            <w:r>
              <w:rPr>
                <w:color w:val="105C84"/>
                <w:spacing w:val="-5"/>
                <w:sz w:val="18"/>
              </w:rPr>
              <w:t> </w:t>
            </w:r>
            <w:r>
              <w:rPr>
                <w:color w:val="105C84"/>
                <w:spacing w:val="-2"/>
                <w:sz w:val="18"/>
              </w:rPr>
              <w:t>buses.</w:t>
            </w:r>
          </w:p>
          <w:p>
            <w:pPr>
              <w:pStyle w:val="TableParagraph"/>
              <w:spacing w:line="232" w:lineRule="auto" w:before="88"/>
              <w:ind w:left="89"/>
              <w:rPr>
                <w:sz w:val="18"/>
              </w:rPr>
            </w:pPr>
            <w:r>
              <w:rPr>
                <w:color w:val="105C84"/>
                <w:sz w:val="18"/>
              </w:rPr>
              <w:t>OC Public Health: Distribute CSP materials at community events &amp; via social media. Use social marketing</w:t>
            </w:r>
            <w:r>
              <w:rPr>
                <w:color w:val="105C84"/>
                <w:spacing w:val="-8"/>
                <w:sz w:val="18"/>
              </w:rPr>
              <w:t> </w:t>
            </w:r>
            <w:r>
              <w:rPr>
                <w:color w:val="105C84"/>
                <w:sz w:val="18"/>
              </w:rPr>
              <w:t>&amp;</w:t>
            </w:r>
            <w:r>
              <w:rPr>
                <w:color w:val="105C84"/>
                <w:spacing w:val="-8"/>
                <w:sz w:val="18"/>
              </w:rPr>
              <w:t> </w:t>
            </w:r>
            <w:r>
              <w:rPr>
                <w:color w:val="105C84"/>
                <w:sz w:val="18"/>
              </w:rPr>
              <w:t>community</w:t>
            </w:r>
            <w:r>
              <w:rPr>
                <w:color w:val="105C84"/>
                <w:spacing w:val="-8"/>
                <w:sz w:val="18"/>
              </w:rPr>
              <w:t> </w:t>
            </w:r>
            <w:r>
              <w:rPr>
                <w:color w:val="105C84"/>
                <w:sz w:val="18"/>
              </w:rPr>
              <w:t>education</w:t>
            </w:r>
            <w:r>
              <w:rPr>
                <w:color w:val="105C84"/>
                <w:spacing w:val="-8"/>
                <w:sz w:val="18"/>
              </w:rPr>
              <w:t> </w:t>
            </w:r>
            <w:r>
              <w:rPr>
                <w:color w:val="105C84"/>
                <w:sz w:val="18"/>
              </w:rPr>
              <w:t>to</w:t>
            </w:r>
            <w:r>
              <w:rPr>
                <w:color w:val="105C84"/>
                <w:spacing w:val="-8"/>
                <w:sz w:val="18"/>
              </w:rPr>
              <w:t> </w:t>
            </w:r>
            <w:r>
              <w:rPr>
                <w:color w:val="105C84"/>
                <w:sz w:val="18"/>
              </w:rPr>
              <w:t>raise</w:t>
            </w:r>
            <w:r>
              <w:rPr>
                <w:color w:val="105C84"/>
                <w:spacing w:val="-8"/>
                <w:sz w:val="18"/>
              </w:rPr>
              <w:t> </w:t>
            </w:r>
            <w:r>
              <w:rPr>
                <w:color w:val="105C84"/>
                <w:sz w:val="18"/>
              </w:rPr>
              <w:t>awareness.</w:t>
            </w:r>
          </w:p>
          <w:p>
            <w:pPr>
              <w:pStyle w:val="TableParagraph"/>
              <w:spacing w:line="232" w:lineRule="auto" w:before="88"/>
              <w:ind w:left="89"/>
              <w:rPr>
                <w:sz w:val="18"/>
              </w:rPr>
            </w:pPr>
            <w:r>
              <w:rPr>
                <w:color w:val="105C84"/>
                <w:sz w:val="18"/>
              </w:rPr>
              <w:t>URTH: Display CSP materials on site. Provide community</w:t>
            </w:r>
            <w:r>
              <w:rPr>
                <w:color w:val="105C84"/>
                <w:spacing w:val="-10"/>
                <w:sz w:val="18"/>
              </w:rPr>
              <w:t> </w:t>
            </w:r>
            <w:r>
              <w:rPr>
                <w:color w:val="105C84"/>
                <w:sz w:val="18"/>
              </w:rPr>
              <w:t>education</w:t>
            </w:r>
            <w:r>
              <w:rPr>
                <w:color w:val="105C84"/>
                <w:spacing w:val="-10"/>
                <w:sz w:val="18"/>
              </w:rPr>
              <w:t> </w:t>
            </w:r>
            <w:r>
              <w:rPr>
                <w:color w:val="105C84"/>
                <w:sz w:val="18"/>
              </w:rPr>
              <w:t>re</w:t>
            </w:r>
            <w:r>
              <w:rPr>
                <w:color w:val="105C84"/>
                <w:spacing w:val="-10"/>
                <w:sz w:val="18"/>
              </w:rPr>
              <w:t> </w:t>
            </w:r>
            <w:r>
              <w:rPr>
                <w:color w:val="105C84"/>
                <w:sz w:val="18"/>
              </w:rPr>
              <w:t>cancer</w:t>
            </w:r>
            <w:r>
              <w:rPr>
                <w:color w:val="105C84"/>
                <w:spacing w:val="-10"/>
                <w:sz w:val="18"/>
              </w:rPr>
              <w:t> </w:t>
            </w:r>
            <w:r>
              <w:rPr>
                <w:color w:val="105C84"/>
                <w:sz w:val="18"/>
              </w:rPr>
              <w:t>and</w:t>
            </w:r>
            <w:r>
              <w:rPr>
                <w:color w:val="105C84"/>
                <w:spacing w:val="-10"/>
                <w:sz w:val="18"/>
              </w:rPr>
              <w:t> </w:t>
            </w:r>
            <w:r>
              <w:rPr>
                <w:color w:val="105C84"/>
                <w:sz w:val="18"/>
              </w:rPr>
              <w:t>cancer</w:t>
            </w:r>
            <w:r>
              <w:rPr>
                <w:color w:val="105C84"/>
                <w:spacing w:val="-10"/>
                <w:sz w:val="18"/>
              </w:rPr>
              <w:t> </w:t>
            </w:r>
            <w:r>
              <w:rPr>
                <w:color w:val="105C84"/>
                <w:sz w:val="18"/>
              </w:rPr>
              <w:t>screening.</w:t>
            </w:r>
          </w:p>
          <w:p>
            <w:pPr>
              <w:pStyle w:val="TableParagraph"/>
              <w:spacing w:line="232" w:lineRule="auto" w:before="88"/>
              <w:ind w:left="89" w:right="22"/>
              <w:rPr>
                <w:sz w:val="18"/>
              </w:rPr>
            </w:pPr>
            <w:r>
              <w:rPr>
                <w:color w:val="105C84"/>
                <w:sz w:val="18"/>
              </w:rPr>
              <w:t>FLH: Display CSP materials on site. Provide community</w:t>
            </w:r>
            <w:r>
              <w:rPr>
                <w:color w:val="105C84"/>
                <w:spacing w:val="-10"/>
                <w:sz w:val="18"/>
              </w:rPr>
              <w:t> </w:t>
            </w:r>
            <w:r>
              <w:rPr>
                <w:color w:val="105C84"/>
                <w:sz w:val="18"/>
              </w:rPr>
              <w:t>education</w:t>
            </w:r>
            <w:r>
              <w:rPr>
                <w:color w:val="105C84"/>
                <w:spacing w:val="-10"/>
                <w:sz w:val="18"/>
              </w:rPr>
              <w:t> </w:t>
            </w:r>
            <w:r>
              <w:rPr>
                <w:color w:val="105C84"/>
                <w:sz w:val="18"/>
              </w:rPr>
              <w:t>re</w:t>
            </w:r>
            <w:r>
              <w:rPr>
                <w:color w:val="105C84"/>
                <w:spacing w:val="-10"/>
                <w:sz w:val="18"/>
              </w:rPr>
              <w:t> </w:t>
            </w:r>
            <w:r>
              <w:rPr>
                <w:color w:val="105C84"/>
                <w:sz w:val="18"/>
              </w:rPr>
              <w:t>cancer</w:t>
            </w:r>
            <w:r>
              <w:rPr>
                <w:color w:val="105C84"/>
                <w:spacing w:val="-10"/>
                <w:sz w:val="18"/>
              </w:rPr>
              <w:t> </w:t>
            </w:r>
            <w:r>
              <w:rPr>
                <w:color w:val="105C84"/>
                <w:sz w:val="18"/>
              </w:rPr>
              <w:t>and</w:t>
            </w:r>
            <w:r>
              <w:rPr>
                <w:color w:val="105C84"/>
                <w:spacing w:val="-10"/>
                <w:sz w:val="18"/>
              </w:rPr>
              <w:t> </w:t>
            </w:r>
            <w:r>
              <w:rPr>
                <w:color w:val="105C84"/>
                <w:sz w:val="18"/>
              </w:rPr>
              <w:t>cancer</w:t>
            </w:r>
            <w:r>
              <w:rPr>
                <w:color w:val="105C84"/>
                <w:spacing w:val="-10"/>
                <w:sz w:val="18"/>
              </w:rPr>
              <w:t> </w:t>
            </w:r>
            <w:r>
              <w:rPr>
                <w:color w:val="105C84"/>
                <w:sz w:val="18"/>
              </w:rPr>
              <w:t>screening.</w:t>
            </w:r>
          </w:p>
          <w:p>
            <w:pPr>
              <w:pStyle w:val="TableParagraph"/>
              <w:spacing w:line="232" w:lineRule="auto" w:before="89"/>
              <w:ind w:left="89"/>
              <w:rPr>
                <w:sz w:val="18"/>
              </w:rPr>
            </w:pPr>
            <w:r>
              <w:rPr>
                <w:color w:val="105C84"/>
                <w:sz w:val="18"/>
              </w:rPr>
              <w:t>RRH-CSHC: Display CSP materials on site. Provide community</w:t>
            </w:r>
            <w:r>
              <w:rPr>
                <w:color w:val="105C84"/>
                <w:spacing w:val="-10"/>
                <w:sz w:val="18"/>
              </w:rPr>
              <w:t> </w:t>
            </w:r>
            <w:r>
              <w:rPr>
                <w:color w:val="105C84"/>
                <w:sz w:val="18"/>
              </w:rPr>
              <w:t>education</w:t>
            </w:r>
            <w:r>
              <w:rPr>
                <w:color w:val="105C84"/>
                <w:spacing w:val="-10"/>
                <w:sz w:val="18"/>
              </w:rPr>
              <w:t> </w:t>
            </w:r>
            <w:r>
              <w:rPr>
                <w:color w:val="105C84"/>
                <w:sz w:val="18"/>
              </w:rPr>
              <w:t>re</w:t>
            </w:r>
            <w:r>
              <w:rPr>
                <w:color w:val="105C84"/>
                <w:spacing w:val="-10"/>
                <w:sz w:val="18"/>
              </w:rPr>
              <w:t> </w:t>
            </w:r>
            <w:r>
              <w:rPr>
                <w:color w:val="105C84"/>
                <w:sz w:val="18"/>
              </w:rPr>
              <w:t>cancer</w:t>
            </w:r>
            <w:r>
              <w:rPr>
                <w:color w:val="105C84"/>
                <w:spacing w:val="-10"/>
                <w:sz w:val="18"/>
              </w:rPr>
              <w:t> </w:t>
            </w:r>
            <w:r>
              <w:rPr>
                <w:color w:val="105C84"/>
                <w:sz w:val="18"/>
              </w:rPr>
              <w:t>and</w:t>
            </w:r>
            <w:r>
              <w:rPr>
                <w:color w:val="105C84"/>
                <w:spacing w:val="-10"/>
                <w:sz w:val="18"/>
              </w:rPr>
              <w:t> </w:t>
            </w:r>
            <w:r>
              <w:rPr>
                <w:color w:val="105C84"/>
                <w:sz w:val="18"/>
              </w:rPr>
              <w:t>cancer</w:t>
            </w:r>
            <w:r>
              <w:rPr>
                <w:color w:val="105C84"/>
                <w:spacing w:val="-10"/>
                <w:sz w:val="18"/>
              </w:rPr>
              <w:t> </w:t>
            </w:r>
            <w:r>
              <w:rPr>
                <w:color w:val="105C84"/>
                <w:sz w:val="18"/>
              </w:rPr>
              <w:t>screening.</w:t>
            </w:r>
          </w:p>
          <w:p>
            <w:pPr>
              <w:pStyle w:val="TableParagraph"/>
              <w:spacing w:line="232" w:lineRule="auto" w:before="88"/>
              <w:ind w:left="89"/>
              <w:rPr>
                <w:sz w:val="18"/>
              </w:rPr>
            </w:pPr>
            <w:r>
              <w:rPr>
                <w:color w:val="105C84"/>
                <w:sz w:val="18"/>
              </w:rPr>
              <w:t>Breast Cancer Coalition: Provide support, education and</w:t>
            </w:r>
            <w:r>
              <w:rPr>
                <w:color w:val="105C84"/>
                <w:spacing w:val="-3"/>
                <w:sz w:val="18"/>
              </w:rPr>
              <w:t> </w:t>
            </w:r>
            <w:r>
              <w:rPr>
                <w:color w:val="105C84"/>
                <w:sz w:val="18"/>
              </w:rPr>
              <w:t>advocacy</w:t>
            </w:r>
            <w:r>
              <w:rPr>
                <w:color w:val="105C84"/>
                <w:spacing w:val="-3"/>
                <w:sz w:val="18"/>
              </w:rPr>
              <w:t> </w:t>
            </w:r>
            <w:r>
              <w:rPr>
                <w:color w:val="105C84"/>
                <w:sz w:val="18"/>
              </w:rPr>
              <w:t>to</w:t>
            </w:r>
            <w:r>
              <w:rPr>
                <w:color w:val="105C84"/>
                <w:spacing w:val="-3"/>
                <w:sz w:val="18"/>
              </w:rPr>
              <w:t> </w:t>
            </w:r>
            <w:r>
              <w:rPr>
                <w:color w:val="105C84"/>
                <w:sz w:val="18"/>
              </w:rPr>
              <w:t>Ontario</w:t>
            </w:r>
            <w:r>
              <w:rPr>
                <w:color w:val="105C84"/>
                <w:spacing w:val="-3"/>
                <w:sz w:val="18"/>
              </w:rPr>
              <w:t> </w:t>
            </w:r>
            <w:r>
              <w:rPr>
                <w:color w:val="105C84"/>
                <w:sz w:val="18"/>
              </w:rPr>
              <w:t>County</w:t>
            </w:r>
            <w:r>
              <w:rPr>
                <w:color w:val="105C84"/>
                <w:spacing w:val="-3"/>
                <w:sz w:val="18"/>
              </w:rPr>
              <w:t> </w:t>
            </w:r>
            <w:r>
              <w:rPr>
                <w:color w:val="105C84"/>
                <w:sz w:val="18"/>
              </w:rPr>
              <w:t>residents</w:t>
            </w:r>
            <w:r>
              <w:rPr>
                <w:color w:val="105C84"/>
                <w:spacing w:val="-3"/>
                <w:sz w:val="18"/>
              </w:rPr>
              <w:t> </w:t>
            </w:r>
            <w:r>
              <w:rPr>
                <w:color w:val="105C84"/>
                <w:sz w:val="18"/>
              </w:rPr>
              <w:t>affected</w:t>
            </w:r>
            <w:r>
              <w:rPr>
                <w:color w:val="105C84"/>
                <w:spacing w:val="-3"/>
                <w:sz w:val="18"/>
              </w:rPr>
              <w:t> </w:t>
            </w:r>
            <w:r>
              <w:rPr>
                <w:color w:val="105C84"/>
                <w:sz w:val="18"/>
              </w:rPr>
              <w:t>by breast or gynecologic cancers.</w:t>
            </w:r>
          </w:p>
          <w:p>
            <w:pPr>
              <w:pStyle w:val="TableParagraph"/>
              <w:spacing w:line="232" w:lineRule="auto" w:before="88"/>
              <w:ind w:left="89" w:right="235"/>
              <w:rPr>
                <w:sz w:val="18"/>
              </w:rPr>
            </w:pPr>
            <w:r>
              <w:rPr>
                <w:color w:val="105C84"/>
                <w:sz w:val="18"/>
              </w:rPr>
              <w:t>Health</w:t>
            </w:r>
            <w:r>
              <w:rPr>
                <w:color w:val="105C84"/>
                <w:spacing w:val="-13"/>
                <w:sz w:val="18"/>
              </w:rPr>
              <w:t> </w:t>
            </w:r>
            <w:r>
              <w:rPr>
                <w:color w:val="105C84"/>
                <w:sz w:val="18"/>
              </w:rPr>
              <w:t>Insurers</w:t>
            </w:r>
            <w:r>
              <w:rPr>
                <w:color w:val="105C84"/>
                <w:spacing w:val="-12"/>
                <w:sz w:val="18"/>
              </w:rPr>
              <w:t> </w:t>
            </w:r>
            <w:r>
              <w:rPr>
                <w:color w:val="105C84"/>
                <w:sz w:val="18"/>
              </w:rPr>
              <w:t>(Fidelis):</w:t>
            </w:r>
            <w:r>
              <w:rPr>
                <w:color w:val="105C84"/>
                <w:spacing w:val="-13"/>
                <w:sz w:val="18"/>
              </w:rPr>
              <w:t> </w:t>
            </w:r>
            <w:r>
              <w:rPr>
                <w:color w:val="105C84"/>
                <w:sz w:val="18"/>
              </w:rPr>
              <w:t>Provide</w:t>
            </w:r>
            <w:r>
              <w:rPr>
                <w:color w:val="105C84"/>
                <w:spacing w:val="-12"/>
                <w:sz w:val="18"/>
              </w:rPr>
              <w:t> </w:t>
            </w:r>
            <w:r>
              <w:rPr>
                <w:color w:val="105C84"/>
                <w:sz w:val="18"/>
              </w:rPr>
              <w:t>cancer</w:t>
            </w:r>
            <w:r>
              <w:rPr>
                <w:color w:val="105C84"/>
                <w:spacing w:val="-13"/>
                <w:sz w:val="18"/>
              </w:rPr>
              <w:t> </w:t>
            </w:r>
            <w:r>
              <w:rPr>
                <w:color w:val="105C84"/>
                <w:sz w:val="18"/>
              </w:rPr>
              <w:t>and</w:t>
            </w:r>
            <w:r>
              <w:rPr>
                <w:color w:val="105C84"/>
                <w:spacing w:val="-13"/>
                <w:sz w:val="18"/>
              </w:rPr>
              <w:t> </w:t>
            </w:r>
            <w:r>
              <w:rPr>
                <w:color w:val="105C84"/>
                <w:sz w:val="18"/>
              </w:rPr>
              <w:t>cancer screening education and printed materials in </w:t>
            </w:r>
            <w:r>
              <w:rPr>
                <w:color w:val="105C84"/>
                <w:sz w:val="18"/>
              </w:rPr>
              <w:t>public </w:t>
            </w:r>
            <w:r>
              <w:rPr>
                <w:color w:val="105C84"/>
                <w:spacing w:val="-2"/>
                <w:sz w:val="18"/>
              </w:rPr>
              <w:t>venues.</w:t>
            </w:r>
          </w:p>
        </w:tc>
        <w:tc>
          <w:tcPr>
            <w:tcW w:w="1666" w:type="dxa"/>
            <w:tcBorders>
              <w:bottom w:val="nil"/>
            </w:tcBorders>
          </w:tcPr>
          <w:p>
            <w:pPr>
              <w:pStyle w:val="TableParagraph"/>
              <w:spacing w:line="203" w:lineRule="exact" w:before="93"/>
              <w:ind w:left="4"/>
              <w:rPr>
                <w:sz w:val="18"/>
              </w:rPr>
            </w:pPr>
            <w:r>
              <w:rPr>
                <w:color w:val="105C84"/>
                <w:sz w:val="18"/>
              </w:rPr>
              <w:t>CSP</w:t>
            </w:r>
            <w:r>
              <w:rPr>
                <w:color w:val="105C84"/>
                <w:spacing w:val="-13"/>
                <w:sz w:val="18"/>
              </w:rPr>
              <w:t> </w:t>
            </w:r>
            <w:r>
              <w:rPr>
                <w:color w:val="105C84"/>
                <w:sz w:val="18"/>
              </w:rPr>
              <w:t>of</w:t>
            </w:r>
            <w:r>
              <w:rPr>
                <w:color w:val="105C84"/>
                <w:spacing w:val="-12"/>
                <w:sz w:val="18"/>
              </w:rPr>
              <w:t> </w:t>
            </w:r>
            <w:r>
              <w:rPr>
                <w:color w:val="105C84"/>
                <w:sz w:val="18"/>
              </w:rPr>
              <w:t>the</w:t>
            </w:r>
            <w:r>
              <w:rPr>
                <w:color w:val="105C84"/>
                <w:spacing w:val="-12"/>
                <w:sz w:val="18"/>
              </w:rPr>
              <w:t> </w:t>
            </w:r>
            <w:r>
              <w:rPr>
                <w:color w:val="105C84"/>
                <w:spacing w:val="-5"/>
                <w:sz w:val="18"/>
              </w:rPr>
              <w:t>FL:</w:t>
            </w:r>
          </w:p>
          <w:p>
            <w:pPr>
              <w:pStyle w:val="TableParagraph"/>
              <w:spacing w:line="203" w:lineRule="exact"/>
              <w:ind w:left="4"/>
              <w:rPr>
                <w:sz w:val="18"/>
              </w:rPr>
            </w:pPr>
            <w:r>
              <w:rPr>
                <w:color w:val="105C84"/>
                <w:spacing w:val="-2"/>
                <w:sz w:val="18"/>
              </w:rPr>
              <w:t>$1,100.00</w:t>
            </w:r>
          </w:p>
          <w:p>
            <w:pPr>
              <w:pStyle w:val="TableParagraph"/>
              <w:spacing w:line="232" w:lineRule="auto" w:before="88"/>
              <w:ind w:left="4" w:right="173"/>
              <w:jc w:val="both"/>
              <w:rPr>
                <w:sz w:val="18"/>
              </w:rPr>
            </w:pPr>
            <w:r>
              <w:rPr>
                <w:color w:val="105C84"/>
                <w:sz w:val="18"/>
              </w:rPr>
              <w:t>OC Public Health: Staff time 1 hour/ month x 12 = </w:t>
            </w:r>
            <w:r>
              <w:rPr>
                <w:color w:val="105C84"/>
                <w:spacing w:val="-8"/>
                <w:sz w:val="18"/>
              </w:rPr>
              <w:t>$360</w:t>
            </w:r>
          </w:p>
        </w:tc>
      </w:tr>
      <w:tr>
        <w:trPr>
          <w:trHeight w:val="279" w:hRule="atLeast"/>
        </w:trPr>
        <w:tc>
          <w:tcPr>
            <w:tcW w:w="1353" w:type="dxa"/>
            <w:tcBorders>
              <w:top w:val="nil"/>
              <w:bottom w:val="nil"/>
            </w:tcBorders>
            <w:shd w:val="clear" w:color="auto" w:fill="E6E7E8"/>
          </w:tcPr>
          <w:p>
            <w:pPr>
              <w:pStyle w:val="TableParagraph"/>
              <w:rPr>
                <w:rFonts w:ascii="Times New Roman"/>
                <w:sz w:val="18"/>
              </w:rPr>
            </w:pPr>
          </w:p>
        </w:tc>
        <w:tc>
          <w:tcPr>
            <w:tcW w:w="1296" w:type="dxa"/>
            <w:tcBorders>
              <w:top w:val="nil"/>
              <w:bottom w:val="nil"/>
            </w:tcBorders>
          </w:tcPr>
          <w:p>
            <w:pPr>
              <w:pStyle w:val="TableParagraph"/>
              <w:rPr>
                <w:rFonts w:ascii="Times New Roman"/>
                <w:sz w:val="18"/>
              </w:rPr>
            </w:pPr>
          </w:p>
        </w:tc>
        <w:tc>
          <w:tcPr>
            <w:tcW w:w="1591" w:type="dxa"/>
            <w:tcBorders>
              <w:top w:val="nil"/>
              <w:bottom w:val="nil"/>
            </w:tcBorders>
          </w:tcPr>
          <w:p>
            <w:pPr>
              <w:pStyle w:val="TableParagraph"/>
              <w:rPr>
                <w:rFonts w:ascii="Times New Roman"/>
                <w:sz w:val="18"/>
              </w:rPr>
            </w:pPr>
          </w:p>
        </w:tc>
        <w:tc>
          <w:tcPr>
            <w:tcW w:w="2477" w:type="dxa"/>
            <w:tcBorders>
              <w:top w:val="nil"/>
              <w:bottom w:val="nil"/>
            </w:tcBorders>
          </w:tcPr>
          <w:p>
            <w:pPr>
              <w:pStyle w:val="TableParagraph"/>
              <w:spacing w:before="28"/>
              <w:ind w:left="90"/>
              <w:rPr>
                <w:sz w:val="18"/>
              </w:rPr>
            </w:pPr>
            <w:r>
              <w:rPr>
                <w:color w:val="105C84"/>
                <w:spacing w:val="-2"/>
                <w:sz w:val="18"/>
              </w:rPr>
              <w:t>Data</w:t>
            </w:r>
            <w:r>
              <w:rPr>
                <w:color w:val="105C84"/>
                <w:spacing w:val="-9"/>
                <w:sz w:val="18"/>
              </w:rPr>
              <w:t> </w:t>
            </w:r>
            <w:r>
              <w:rPr>
                <w:color w:val="105C84"/>
                <w:spacing w:val="-2"/>
                <w:sz w:val="18"/>
              </w:rPr>
              <w:t>Source:</w:t>
            </w:r>
            <w:r>
              <w:rPr>
                <w:color w:val="105C84"/>
                <w:spacing w:val="-8"/>
                <w:sz w:val="18"/>
              </w:rPr>
              <w:t> </w:t>
            </w:r>
            <w:r>
              <w:rPr>
                <w:color w:val="105C84"/>
                <w:spacing w:val="-2"/>
                <w:sz w:val="18"/>
              </w:rPr>
              <w:t>BRFSS</w:t>
            </w:r>
          </w:p>
        </w:tc>
        <w:tc>
          <w:tcPr>
            <w:tcW w:w="1239" w:type="dxa"/>
            <w:vMerge/>
            <w:tcBorders>
              <w:top w:val="nil"/>
            </w:tcBorders>
          </w:tcPr>
          <w:p>
            <w:pPr>
              <w:rPr>
                <w:sz w:val="2"/>
                <w:szCs w:val="2"/>
              </w:rPr>
            </w:pPr>
          </w:p>
        </w:tc>
        <w:tc>
          <w:tcPr>
            <w:tcW w:w="3244" w:type="dxa"/>
            <w:vMerge/>
            <w:tcBorders>
              <w:top w:val="nil"/>
              <w:right w:val="nil"/>
            </w:tcBorders>
          </w:tcPr>
          <w:p>
            <w:pPr>
              <w:rPr>
                <w:sz w:val="2"/>
                <w:szCs w:val="2"/>
              </w:rPr>
            </w:pPr>
          </w:p>
        </w:tc>
        <w:tc>
          <w:tcPr>
            <w:tcW w:w="2984" w:type="dxa"/>
            <w:vMerge/>
            <w:tcBorders>
              <w:top w:val="nil"/>
              <w:left w:val="nil"/>
            </w:tcBorders>
          </w:tcPr>
          <w:p>
            <w:pPr>
              <w:rPr>
                <w:sz w:val="2"/>
                <w:szCs w:val="2"/>
              </w:rPr>
            </w:pPr>
          </w:p>
        </w:tc>
        <w:tc>
          <w:tcPr>
            <w:tcW w:w="1872" w:type="dxa"/>
            <w:vMerge/>
            <w:tcBorders>
              <w:top w:val="nil"/>
            </w:tcBorders>
          </w:tcPr>
          <w:p>
            <w:pPr>
              <w:rPr>
                <w:sz w:val="2"/>
                <w:szCs w:val="2"/>
              </w:rPr>
            </w:pPr>
          </w:p>
        </w:tc>
        <w:tc>
          <w:tcPr>
            <w:tcW w:w="4493" w:type="dxa"/>
            <w:vMerge/>
            <w:tcBorders>
              <w:top w:val="nil"/>
            </w:tcBorders>
          </w:tcPr>
          <w:p>
            <w:pPr>
              <w:rPr>
                <w:sz w:val="2"/>
                <w:szCs w:val="2"/>
              </w:rPr>
            </w:pPr>
          </w:p>
        </w:tc>
        <w:tc>
          <w:tcPr>
            <w:tcW w:w="1666" w:type="dxa"/>
            <w:tcBorders>
              <w:top w:val="nil"/>
              <w:bottom w:val="nil"/>
            </w:tcBorders>
          </w:tcPr>
          <w:p>
            <w:pPr>
              <w:pStyle w:val="TableParagraph"/>
              <w:rPr>
                <w:rFonts w:ascii="Times New Roman"/>
                <w:sz w:val="18"/>
              </w:rPr>
            </w:pPr>
          </w:p>
        </w:tc>
      </w:tr>
      <w:tr>
        <w:trPr>
          <w:trHeight w:val="479" w:hRule="atLeast"/>
        </w:trPr>
        <w:tc>
          <w:tcPr>
            <w:tcW w:w="1353" w:type="dxa"/>
            <w:tcBorders>
              <w:top w:val="nil"/>
              <w:bottom w:val="nil"/>
            </w:tcBorders>
            <w:shd w:val="clear" w:color="auto" w:fill="E6E7E8"/>
          </w:tcPr>
          <w:p>
            <w:pPr>
              <w:pStyle w:val="TableParagraph"/>
              <w:rPr>
                <w:rFonts w:ascii="Times New Roman"/>
                <w:sz w:val="18"/>
              </w:rPr>
            </w:pPr>
          </w:p>
        </w:tc>
        <w:tc>
          <w:tcPr>
            <w:tcW w:w="1296" w:type="dxa"/>
            <w:tcBorders>
              <w:top w:val="nil"/>
              <w:bottom w:val="nil"/>
            </w:tcBorders>
          </w:tcPr>
          <w:p>
            <w:pPr>
              <w:pStyle w:val="TableParagraph"/>
              <w:rPr>
                <w:rFonts w:ascii="Times New Roman"/>
                <w:sz w:val="18"/>
              </w:rPr>
            </w:pPr>
          </w:p>
        </w:tc>
        <w:tc>
          <w:tcPr>
            <w:tcW w:w="1591" w:type="dxa"/>
            <w:tcBorders>
              <w:top w:val="nil"/>
              <w:bottom w:val="nil"/>
            </w:tcBorders>
          </w:tcPr>
          <w:p>
            <w:pPr>
              <w:pStyle w:val="TableParagraph"/>
              <w:rPr>
                <w:rFonts w:ascii="Times New Roman"/>
                <w:sz w:val="18"/>
              </w:rPr>
            </w:pPr>
          </w:p>
        </w:tc>
        <w:tc>
          <w:tcPr>
            <w:tcW w:w="2477" w:type="dxa"/>
            <w:tcBorders>
              <w:top w:val="nil"/>
              <w:bottom w:val="nil"/>
            </w:tcBorders>
          </w:tcPr>
          <w:p>
            <w:pPr>
              <w:pStyle w:val="TableParagraph"/>
              <w:spacing w:line="232" w:lineRule="auto" w:before="33"/>
              <w:ind w:left="90" w:right="663"/>
              <w:rPr>
                <w:sz w:val="18"/>
              </w:rPr>
            </w:pPr>
            <w:r>
              <w:rPr>
                <w:color w:val="105C84"/>
                <w:sz w:val="18"/>
              </w:rPr>
              <w:t>Data</w:t>
            </w:r>
            <w:r>
              <w:rPr>
                <w:color w:val="105C84"/>
                <w:spacing w:val="-13"/>
                <w:sz w:val="18"/>
              </w:rPr>
              <w:t> </w:t>
            </w:r>
            <w:r>
              <w:rPr>
                <w:color w:val="105C84"/>
                <w:sz w:val="18"/>
              </w:rPr>
              <w:t>Level:</w:t>
            </w:r>
            <w:r>
              <w:rPr>
                <w:color w:val="105C84"/>
                <w:spacing w:val="-12"/>
                <w:sz w:val="18"/>
              </w:rPr>
              <w:t> </w:t>
            </w:r>
            <w:r>
              <w:rPr>
                <w:color w:val="105C84"/>
                <w:sz w:val="18"/>
              </w:rPr>
              <w:t>State</w:t>
            </w:r>
            <w:r>
              <w:rPr>
                <w:color w:val="105C84"/>
                <w:spacing w:val="-13"/>
                <w:sz w:val="18"/>
              </w:rPr>
              <w:t> </w:t>
            </w:r>
            <w:r>
              <w:rPr>
                <w:color w:val="105C84"/>
                <w:sz w:val="18"/>
              </w:rPr>
              <w:t>and </w:t>
            </w:r>
            <w:r>
              <w:rPr>
                <w:color w:val="105C84"/>
                <w:spacing w:val="-2"/>
                <w:sz w:val="18"/>
              </w:rPr>
              <w:t>County</w:t>
            </w:r>
          </w:p>
        </w:tc>
        <w:tc>
          <w:tcPr>
            <w:tcW w:w="1239" w:type="dxa"/>
            <w:vMerge/>
            <w:tcBorders>
              <w:top w:val="nil"/>
            </w:tcBorders>
          </w:tcPr>
          <w:p>
            <w:pPr>
              <w:rPr>
                <w:sz w:val="2"/>
                <w:szCs w:val="2"/>
              </w:rPr>
            </w:pPr>
          </w:p>
        </w:tc>
        <w:tc>
          <w:tcPr>
            <w:tcW w:w="3244" w:type="dxa"/>
            <w:vMerge/>
            <w:tcBorders>
              <w:top w:val="nil"/>
              <w:right w:val="nil"/>
            </w:tcBorders>
          </w:tcPr>
          <w:p>
            <w:pPr>
              <w:rPr>
                <w:sz w:val="2"/>
                <w:szCs w:val="2"/>
              </w:rPr>
            </w:pPr>
          </w:p>
        </w:tc>
        <w:tc>
          <w:tcPr>
            <w:tcW w:w="2984" w:type="dxa"/>
            <w:vMerge/>
            <w:tcBorders>
              <w:top w:val="nil"/>
              <w:left w:val="nil"/>
            </w:tcBorders>
          </w:tcPr>
          <w:p>
            <w:pPr>
              <w:rPr>
                <w:sz w:val="2"/>
                <w:szCs w:val="2"/>
              </w:rPr>
            </w:pPr>
          </w:p>
        </w:tc>
        <w:tc>
          <w:tcPr>
            <w:tcW w:w="1872" w:type="dxa"/>
            <w:vMerge/>
            <w:tcBorders>
              <w:top w:val="nil"/>
            </w:tcBorders>
          </w:tcPr>
          <w:p>
            <w:pPr>
              <w:rPr>
                <w:sz w:val="2"/>
                <w:szCs w:val="2"/>
              </w:rPr>
            </w:pPr>
          </w:p>
        </w:tc>
        <w:tc>
          <w:tcPr>
            <w:tcW w:w="4493" w:type="dxa"/>
            <w:vMerge/>
            <w:tcBorders>
              <w:top w:val="nil"/>
            </w:tcBorders>
          </w:tcPr>
          <w:p>
            <w:pPr>
              <w:rPr>
                <w:sz w:val="2"/>
                <w:szCs w:val="2"/>
              </w:rPr>
            </w:pPr>
          </w:p>
        </w:tc>
        <w:tc>
          <w:tcPr>
            <w:tcW w:w="1666" w:type="dxa"/>
            <w:tcBorders>
              <w:top w:val="nil"/>
              <w:bottom w:val="nil"/>
            </w:tcBorders>
          </w:tcPr>
          <w:p>
            <w:pPr>
              <w:pStyle w:val="TableParagraph"/>
              <w:rPr>
                <w:rFonts w:ascii="Times New Roman"/>
                <w:sz w:val="18"/>
              </w:rPr>
            </w:pPr>
          </w:p>
        </w:tc>
      </w:tr>
      <w:tr>
        <w:trPr>
          <w:trHeight w:val="1679" w:hRule="atLeast"/>
        </w:trPr>
        <w:tc>
          <w:tcPr>
            <w:tcW w:w="1353" w:type="dxa"/>
            <w:tcBorders>
              <w:top w:val="nil"/>
              <w:bottom w:val="nil"/>
            </w:tcBorders>
            <w:shd w:val="clear" w:color="auto" w:fill="E6E7E8"/>
          </w:tcPr>
          <w:p>
            <w:pPr>
              <w:pStyle w:val="TableParagraph"/>
              <w:rPr>
                <w:rFonts w:ascii="Times New Roman"/>
                <w:sz w:val="18"/>
              </w:rPr>
            </w:pPr>
          </w:p>
        </w:tc>
        <w:tc>
          <w:tcPr>
            <w:tcW w:w="1296" w:type="dxa"/>
            <w:tcBorders>
              <w:top w:val="nil"/>
              <w:bottom w:val="nil"/>
            </w:tcBorders>
          </w:tcPr>
          <w:p>
            <w:pPr>
              <w:pStyle w:val="TableParagraph"/>
              <w:rPr>
                <w:rFonts w:ascii="Times New Roman"/>
                <w:sz w:val="18"/>
              </w:rPr>
            </w:pPr>
          </w:p>
        </w:tc>
        <w:tc>
          <w:tcPr>
            <w:tcW w:w="1591" w:type="dxa"/>
            <w:tcBorders>
              <w:top w:val="nil"/>
              <w:bottom w:val="nil"/>
            </w:tcBorders>
          </w:tcPr>
          <w:p>
            <w:pPr>
              <w:pStyle w:val="TableParagraph"/>
              <w:rPr>
                <w:rFonts w:ascii="Times New Roman"/>
                <w:sz w:val="18"/>
              </w:rPr>
            </w:pPr>
          </w:p>
        </w:tc>
        <w:tc>
          <w:tcPr>
            <w:tcW w:w="2477" w:type="dxa"/>
            <w:tcBorders>
              <w:top w:val="nil"/>
              <w:bottom w:val="nil"/>
            </w:tcBorders>
          </w:tcPr>
          <w:p>
            <w:pPr>
              <w:pStyle w:val="TableParagraph"/>
              <w:spacing w:line="232" w:lineRule="auto" w:before="33"/>
              <w:ind w:left="90" w:right="135"/>
              <w:rPr>
                <w:sz w:val="18"/>
              </w:rPr>
            </w:pPr>
            <w:r>
              <w:rPr>
                <w:color w:val="105C84"/>
                <w:sz w:val="18"/>
              </w:rPr>
              <w:t>4.1.4 Increase the percentage of adults who receive a colorectal cancer screening based on the most recent guidelines (adults with an annual household</w:t>
            </w:r>
            <w:r>
              <w:rPr>
                <w:color w:val="105C84"/>
                <w:spacing w:val="-13"/>
                <w:sz w:val="18"/>
              </w:rPr>
              <w:t> </w:t>
            </w:r>
            <w:r>
              <w:rPr>
                <w:color w:val="105C84"/>
                <w:sz w:val="18"/>
              </w:rPr>
              <w:t>income</w:t>
            </w:r>
            <w:r>
              <w:rPr>
                <w:color w:val="105C84"/>
                <w:spacing w:val="-12"/>
                <w:sz w:val="18"/>
              </w:rPr>
              <w:t> </w:t>
            </w:r>
            <w:r>
              <w:rPr>
                <w:color w:val="105C84"/>
                <w:sz w:val="18"/>
              </w:rPr>
              <w:t>less</w:t>
            </w:r>
            <w:r>
              <w:rPr>
                <w:color w:val="105C84"/>
                <w:spacing w:val="-13"/>
                <w:sz w:val="18"/>
              </w:rPr>
              <w:t> </w:t>
            </w:r>
            <w:r>
              <w:rPr>
                <w:color w:val="105C84"/>
                <w:sz w:val="18"/>
              </w:rPr>
              <w:t>than</w:t>
            </w:r>
          </w:p>
          <w:p>
            <w:pPr>
              <w:pStyle w:val="TableParagraph"/>
              <w:spacing w:line="196" w:lineRule="exact"/>
              <w:ind w:left="90"/>
              <w:rPr>
                <w:sz w:val="18"/>
              </w:rPr>
            </w:pPr>
            <w:r>
              <w:rPr>
                <w:color w:val="105C84"/>
                <w:spacing w:val="-2"/>
                <w:sz w:val="18"/>
              </w:rPr>
              <w:t>$25,000)</w:t>
            </w:r>
          </w:p>
        </w:tc>
        <w:tc>
          <w:tcPr>
            <w:tcW w:w="1239" w:type="dxa"/>
            <w:vMerge/>
            <w:tcBorders>
              <w:top w:val="nil"/>
            </w:tcBorders>
          </w:tcPr>
          <w:p>
            <w:pPr>
              <w:rPr>
                <w:sz w:val="2"/>
                <w:szCs w:val="2"/>
              </w:rPr>
            </w:pPr>
          </w:p>
        </w:tc>
        <w:tc>
          <w:tcPr>
            <w:tcW w:w="3244" w:type="dxa"/>
            <w:vMerge/>
            <w:tcBorders>
              <w:top w:val="nil"/>
              <w:right w:val="nil"/>
            </w:tcBorders>
          </w:tcPr>
          <w:p>
            <w:pPr>
              <w:rPr>
                <w:sz w:val="2"/>
                <w:szCs w:val="2"/>
              </w:rPr>
            </w:pPr>
          </w:p>
        </w:tc>
        <w:tc>
          <w:tcPr>
            <w:tcW w:w="2984" w:type="dxa"/>
            <w:vMerge/>
            <w:tcBorders>
              <w:top w:val="nil"/>
              <w:left w:val="nil"/>
            </w:tcBorders>
          </w:tcPr>
          <w:p>
            <w:pPr>
              <w:rPr>
                <w:sz w:val="2"/>
                <w:szCs w:val="2"/>
              </w:rPr>
            </w:pPr>
          </w:p>
        </w:tc>
        <w:tc>
          <w:tcPr>
            <w:tcW w:w="1872" w:type="dxa"/>
            <w:vMerge/>
            <w:tcBorders>
              <w:top w:val="nil"/>
            </w:tcBorders>
          </w:tcPr>
          <w:p>
            <w:pPr>
              <w:rPr>
                <w:sz w:val="2"/>
                <w:szCs w:val="2"/>
              </w:rPr>
            </w:pPr>
          </w:p>
        </w:tc>
        <w:tc>
          <w:tcPr>
            <w:tcW w:w="4493" w:type="dxa"/>
            <w:vMerge/>
            <w:tcBorders>
              <w:top w:val="nil"/>
            </w:tcBorders>
          </w:tcPr>
          <w:p>
            <w:pPr>
              <w:rPr>
                <w:sz w:val="2"/>
                <w:szCs w:val="2"/>
              </w:rPr>
            </w:pPr>
          </w:p>
        </w:tc>
        <w:tc>
          <w:tcPr>
            <w:tcW w:w="1666" w:type="dxa"/>
            <w:tcBorders>
              <w:top w:val="nil"/>
              <w:bottom w:val="nil"/>
            </w:tcBorders>
          </w:tcPr>
          <w:p>
            <w:pPr>
              <w:pStyle w:val="TableParagraph"/>
              <w:rPr>
                <w:rFonts w:ascii="Times New Roman"/>
                <w:sz w:val="18"/>
              </w:rPr>
            </w:pPr>
          </w:p>
        </w:tc>
      </w:tr>
      <w:tr>
        <w:trPr>
          <w:trHeight w:val="279" w:hRule="atLeast"/>
        </w:trPr>
        <w:tc>
          <w:tcPr>
            <w:tcW w:w="1353" w:type="dxa"/>
            <w:tcBorders>
              <w:top w:val="nil"/>
              <w:bottom w:val="nil"/>
            </w:tcBorders>
            <w:shd w:val="clear" w:color="auto" w:fill="E6E7E8"/>
          </w:tcPr>
          <w:p>
            <w:pPr>
              <w:pStyle w:val="TableParagraph"/>
              <w:rPr>
                <w:rFonts w:ascii="Times New Roman"/>
                <w:sz w:val="18"/>
              </w:rPr>
            </w:pPr>
          </w:p>
        </w:tc>
        <w:tc>
          <w:tcPr>
            <w:tcW w:w="1296" w:type="dxa"/>
            <w:tcBorders>
              <w:top w:val="nil"/>
              <w:bottom w:val="nil"/>
            </w:tcBorders>
          </w:tcPr>
          <w:p>
            <w:pPr>
              <w:pStyle w:val="TableParagraph"/>
              <w:rPr>
                <w:rFonts w:ascii="Times New Roman"/>
                <w:sz w:val="18"/>
              </w:rPr>
            </w:pPr>
          </w:p>
        </w:tc>
        <w:tc>
          <w:tcPr>
            <w:tcW w:w="1591" w:type="dxa"/>
            <w:tcBorders>
              <w:top w:val="nil"/>
              <w:bottom w:val="nil"/>
            </w:tcBorders>
          </w:tcPr>
          <w:p>
            <w:pPr>
              <w:pStyle w:val="TableParagraph"/>
              <w:rPr>
                <w:rFonts w:ascii="Times New Roman"/>
                <w:sz w:val="18"/>
              </w:rPr>
            </w:pPr>
          </w:p>
        </w:tc>
        <w:tc>
          <w:tcPr>
            <w:tcW w:w="2477" w:type="dxa"/>
            <w:tcBorders>
              <w:top w:val="nil"/>
              <w:bottom w:val="nil"/>
            </w:tcBorders>
          </w:tcPr>
          <w:p>
            <w:pPr>
              <w:pStyle w:val="TableParagraph"/>
              <w:spacing w:before="28"/>
              <w:ind w:left="90"/>
              <w:rPr>
                <w:sz w:val="18"/>
              </w:rPr>
            </w:pPr>
            <w:r>
              <w:rPr>
                <w:color w:val="105C84"/>
                <w:spacing w:val="-4"/>
                <w:sz w:val="18"/>
              </w:rPr>
              <w:t>Target:</w:t>
            </w:r>
            <w:r>
              <w:rPr>
                <w:color w:val="105C84"/>
                <w:spacing w:val="-1"/>
                <w:sz w:val="18"/>
              </w:rPr>
              <w:t> </w:t>
            </w:r>
            <w:r>
              <w:rPr>
                <w:color w:val="105C84"/>
                <w:spacing w:val="-2"/>
                <w:sz w:val="18"/>
              </w:rPr>
              <w:t>63.7%</w:t>
            </w:r>
          </w:p>
        </w:tc>
        <w:tc>
          <w:tcPr>
            <w:tcW w:w="1239" w:type="dxa"/>
            <w:vMerge/>
            <w:tcBorders>
              <w:top w:val="nil"/>
            </w:tcBorders>
          </w:tcPr>
          <w:p>
            <w:pPr>
              <w:rPr>
                <w:sz w:val="2"/>
                <w:szCs w:val="2"/>
              </w:rPr>
            </w:pPr>
          </w:p>
        </w:tc>
        <w:tc>
          <w:tcPr>
            <w:tcW w:w="3244" w:type="dxa"/>
            <w:vMerge/>
            <w:tcBorders>
              <w:top w:val="nil"/>
              <w:right w:val="nil"/>
            </w:tcBorders>
          </w:tcPr>
          <w:p>
            <w:pPr>
              <w:rPr>
                <w:sz w:val="2"/>
                <w:szCs w:val="2"/>
              </w:rPr>
            </w:pPr>
          </w:p>
        </w:tc>
        <w:tc>
          <w:tcPr>
            <w:tcW w:w="2984" w:type="dxa"/>
            <w:vMerge/>
            <w:tcBorders>
              <w:top w:val="nil"/>
              <w:left w:val="nil"/>
            </w:tcBorders>
          </w:tcPr>
          <w:p>
            <w:pPr>
              <w:rPr>
                <w:sz w:val="2"/>
                <w:szCs w:val="2"/>
              </w:rPr>
            </w:pPr>
          </w:p>
        </w:tc>
        <w:tc>
          <w:tcPr>
            <w:tcW w:w="1872" w:type="dxa"/>
            <w:vMerge/>
            <w:tcBorders>
              <w:top w:val="nil"/>
            </w:tcBorders>
          </w:tcPr>
          <w:p>
            <w:pPr>
              <w:rPr>
                <w:sz w:val="2"/>
                <w:szCs w:val="2"/>
              </w:rPr>
            </w:pPr>
          </w:p>
        </w:tc>
        <w:tc>
          <w:tcPr>
            <w:tcW w:w="4493" w:type="dxa"/>
            <w:vMerge/>
            <w:tcBorders>
              <w:top w:val="nil"/>
            </w:tcBorders>
          </w:tcPr>
          <w:p>
            <w:pPr>
              <w:rPr>
                <w:sz w:val="2"/>
                <w:szCs w:val="2"/>
              </w:rPr>
            </w:pPr>
          </w:p>
        </w:tc>
        <w:tc>
          <w:tcPr>
            <w:tcW w:w="1666" w:type="dxa"/>
            <w:tcBorders>
              <w:top w:val="nil"/>
              <w:bottom w:val="nil"/>
            </w:tcBorders>
          </w:tcPr>
          <w:p>
            <w:pPr>
              <w:pStyle w:val="TableParagraph"/>
              <w:rPr>
                <w:rFonts w:ascii="Times New Roman"/>
                <w:sz w:val="18"/>
              </w:rPr>
            </w:pPr>
          </w:p>
        </w:tc>
      </w:tr>
      <w:tr>
        <w:trPr>
          <w:trHeight w:val="279" w:hRule="atLeast"/>
        </w:trPr>
        <w:tc>
          <w:tcPr>
            <w:tcW w:w="1353" w:type="dxa"/>
            <w:tcBorders>
              <w:top w:val="nil"/>
              <w:bottom w:val="nil"/>
            </w:tcBorders>
            <w:shd w:val="clear" w:color="auto" w:fill="E6E7E8"/>
          </w:tcPr>
          <w:p>
            <w:pPr>
              <w:pStyle w:val="TableParagraph"/>
              <w:rPr>
                <w:rFonts w:ascii="Times New Roman"/>
                <w:sz w:val="18"/>
              </w:rPr>
            </w:pPr>
          </w:p>
        </w:tc>
        <w:tc>
          <w:tcPr>
            <w:tcW w:w="1296" w:type="dxa"/>
            <w:tcBorders>
              <w:top w:val="nil"/>
              <w:bottom w:val="nil"/>
            </w:tcBorders>
          </w:tcPr>
          <w:p>
            <w:pPr>
              <w:pStyle w:val="TableParagraph"/>
              <w:rPr>
                <w:rFonts w:ascii="Times New Roman"/>
                <w:sz w:val="18"/>
              </w:rPr>
            </w:pPr>
          </w:p>
        </w:tc>
        <w:tc>
          <w:tcPr>
            <w:tcW w:w="1591" w:type="dxa"/>
            <w:tcBorders>
              <w:top w:val="nil"/>
              <w:bottom w:val="nil"/>
            </w:tcBorders>
          </w:tcPr>
          <w:p>
            <w:pPr>
              <w:pStyle w:val="TableParagraph"/>
              <w:rPr>
                <w:rFonts w:ascii="Times New Roman"/>
                <w:sz w:val="18"/>
              </w:rPr>
            </w:pPr>
          </w:p>
        </w:tc>
        <w:tc>
          <w:tcPr>
            <w:tcW w:w="2477" w:type="dxa"/>
            <w:tcBorders>
              <w:top w:val="nil"/>
              <w:bottom w:val="nil"/>
            </w:tcBorders>
          </w:tcPr>
          <w:p>
            <w:pPr>
              <w:pStyle w:val="TableParagraph"/>
              <w:spacing w:before="28"/>
              <w:ind w:left="90"/>
              <w:rPr>
                <w:sz w:val="18"/>
              </w:rPr>
            </w:pPr>
            <w:r>
              <w:rPr>
                <w:color w:val="105C84"/>
                <w:spacing w:val="-6"/>
                <w:sz w:val="18"/>
              </w:rPr>
              <w:t>Baseline:</w:t>
            </w:r>
            <w:r>
              <w:rPr>
                <w:color w:val="105C84"/>
                <w:spacing w:val="2"/>
                <w:sz w:val="18"/>
              </w:rPr>
              <w:t> </w:t>
            </w:r>
            <w:r>
              <w:rPr>
                <w:color w:val="105C84"/>
                <w:spacing w:val="-6"/>
                <w:sz w:val="18"/>
              </w:rPr>
              <w:t>60.7%</w:t>
            </w:r>
            <w:r>
              <w:rPr>
                <w:color w:val="105C84"/>
                <w:spacing w:val="3"/>
                <w:sz w:val="18"/>
              </w:rPr>
              <w:t> </w:t>
            </w:r>
            <w:r>
              <w:rPr>
                <w:color w:val="105C84"/>
                <w:spacing w:val="-6"/>
                <w:sz w:val="18"/>
              </w:rPr>
              <w:t>(2016)</w:t>
            </w:r>
          </w:p>
        </w:tc>
        <w:tc>
          <w:tcPr>
            <w:tcW w:w="1239" w:type="dxa"/>
            <w:vMerge/>
            <w:tcBorders>
              <w:top w:val="nil"/>
            </w:tcBorders>
          </w:tcPr>
          <w:p>
            <w:pPr>
              <w:rPr>
                <w:sz w:val="2"/>
                <w:szCs w:val="2"/>
              </w:rPr>
            </w:pPr>
          </w:p>
        </w:tc>
        <w:tc>
          <w:tcPr>
            <w:tcW w:w="3244" w:type="dxa"/>
            <w:vMerge/>
            <w:tcBorders>
              <w:top w:val="nil"/>
              <w:right w:val="nil"/>
            </w:tcBorders>
          </w:tcPr>
          <w:p>
            <w:pPr>
              <w:rPr>
                <w:sz w:val="2"/>
                <w:szCs w:val="2"/>
              </w:rPr>
            </w:pPr>
          </w:p>
        </w:tc>
        <w:tc>
          <w:tcPr>
            <w:tcW w:w="2984" w:type="dxa"/>
            <w:vMerge/>
            <w:tcBorders>
              <w:top w:val="nil"/>
              <w:left w:val="nil"/>
            </w:tcBorders>
          </w:tcPr>
          <w:p>
            <w:pPr>
              <w:rPr>
                <w:sz w:val="2"/>
                <w:szCs w:val="2"/>
              </w:rPr>
            </w:pPr>
          </w:p>
        </w:tc>
        <w:tc>
          <w:tcPr>
            <w:tcW w:w="1872" w:type="dxa"/>
            <w:vMerge/>
            <w:tcBorders>
              <w:top w:val="nil"/>
            </w:tcBorders>
          </w:tcPr>
          <w:p>
            <w:pPr>
              <w:rPr>
                <w:sz w:val="2"/>
                <w:szCs w:val="2"/>
              </w:rPr>
            </w:pPr>
          </w:p>
        </w:tc>
        <w:tc>
          <w:tcPr>
            <w:tcW w:w="4493" w:type="dxa"/>
            <w:vMerge/>
            <w:tcBorders>
              <w:top w:val="nil"/>
            </w:tcBorders>
          </w:tcPr>
          <w:p>
            <w:pPr>
              <w:rPr>
                <w:sz w:val="2"/>
                <w:szCs w:val="2"/>
              </w:rPr>
            </w:pPr>
          </w:p>
        </w:tc>
        <w:tc>
          <w:tcPr>
            <w:tcW w:w="1666" w:type="dxa"/>
            <w:tcBorders>
              <w:top w:val="nil"/>
              <w:bottom w:val="nil"/>
            </w:tcBorders>
          </w:tcPr>
          <w:p>
            <w:pPr>
              <w:pStyle w:val="TableParagraph"/>
              <w:rPr>
                <w:rFonts w:ascii="Times New Roman"/>
                <w:sz w:val="18"/>
              </w:rPr>
            </w:pPr>
          </w:p>
        </w:tc>
      </w:tr>
      <w:tr>
        <w:trPr>
          <w:trHeight w:val="242" w:hRule="atLeast"/>
        </w:trPr>
        <w:tc>
          <w:tcPr>
            <w:tcW w:w="1353" w:type="dxa"/>
            <w:tcBorders>
              <w:top w:val="nil"/>
              <w:bottom w:val="nil"/>
            </w:tcBorders>
            <w:shd w:val="clear" w:color="auto" w:fill="E6E7E8"/>
          </w:tcPr>
          <w:p>
            <w:pPr>
              <w:pStyle w:val="TableParagraph"/>
              <w:rPr>
                <w:rFonts w:ascii="Times New Roman"/>
                <w:sz w:val="16"/>
              </w:rPr>
            </w:pPr>
          </w:p>
        </w:tc>
        <w:tc>
          <w:tcPr>
            <w:tcW w:w="1296" w:type="dxa"/>
            <w:tcBorders>
              <w:top w:val="nil"/>
              <w:bottom w:val="nil"/>
            </w:tcBorders>
          </w:tcPr>
          <w:p>
            <w:pPr>
              <w:pStyle w:val="TableParagraph"/>
              <w:rPr>
                <w:rFonts w:ascii="Times New Roman"/>
                <w:sz w:val="16"/>
              </w:rPr>
            </w:pPr>
          </w:p>
        </w:tc>
        <w:tc>
          <w:tcPr>
            <w:tcW w:w="1591" w:type="dxa"/>
            <w:tcBorders>
              <w:top w:val="nil"/>
              <w:bottom w:val="nil"/>
            </w:tcBorders>
          </w:tcPr>
          <w:p>
            <w:pPr>
              <w:pStyle w:val="TableParagraph"/>
              <w:rPr>
                <w:rFonts w:ascii="Times New Roman"/>
                <w:sz w:val="16"/>
              </w:rPr>
            </w:pPr>
          </w:p>
        </w:tc>
        <w:tc>
          <w:tcPr>
            <w:tcW w:w="2477" w:type="dxa"/>
            <w:vMerge w:val="restart"/>
            <w:tcBorders>
              <w:top w:val="nil"/>
              <w:bottom w:val="nil"/>
            </w:tcBorders>
          </w:tcPr>
          <w:p>
            <w:pPr>
              <w:pStyle w:val="TableParagraph"/>
              <w:spacing w:before="28"/>
              <w:ind w:left="90"/>
              <w:rPr>
                <w:sz w:val="18"/>
              </w:rPr>
            </w:pPr>
            <w:r>
              <w:rPr>
                <w:color w:val="105C84"/>
                <w:spacing w:val="-2"/>
                <w:sz w:val="18"/>
              </w:rPr>
              <w:t>Data</w:t>
            </w:r>
            <w:r>
              <w:rPr>
                <w:color w:val="105C84"/>
                <w:spacing w:val="-9"/>
                <w:sz w:val="18"/>
              </w:rPr>
              <w:t> </w:t>
            </w:r>
            <w:r>
              <w:rPr>
                <w:color w:val="105C84"/>
                <w:spacing w:val="-2"/>
                <w:sz w:val="18"/>
              </w:rPr>
              <w:t>Source:</w:t>
            </w:r>
            <w:r>
              <w:rPr>
                <w:color w:val="105C84"/>
                <w:spacing w:val="-8"/>
                <w:sz w:val="18"/>
              </w:rPr>
              <w:t> </w:t>
            </w:r>
            <w:r>
              <w:rPr>
                <w:color w:val="105C84"/>
                <w:spacing w:val="-2"/>
                <w:sz w:val="18"/>
              </w:rPr>
              <w:t>BRFSS</w:t>
            </w:r>
          </w:p>
        </w:tc>
        <w:tc>
          <w:tcPr>
            <w:tcW w:w="1239" w:type="dxa"/>
            <w:vMerge/>
            <w:tcBorders>
              <w:top w:val="nil"/>
            </w:tcBorders>
          </w:tcPr>
          <w:p>
            <w:pPr>
              <w:rPr>
                <w:sz w:val="2"/>
                <w:szCs w:val="2"/>
              </w:rPr>
            </w:pPr>
          </w:p>
        </w:tc>
        <w:tc>
          <w:tcPr>
            <w:tcW w:w="3244" w:type="dxa"/>
            <w:vMerge/>
            <w:tcBorders>
              <w:top w:val="nil"/>
              <w:right w:val="nil"/>
            </w:tcBorders>
          </w:tcPr>
          <w:p>
            <w:pPr>
              <w:rPr>
                <w:sz w:val="2"/>
                <w:szCs w:val="2"/>
              </w:rPr>
            </w:pPr>
          </w:p>
        </w:tc>
        <w:tc>
          <w:tcPr>
            <w:tcW w:w="2984" w:type="dxa"/>
            <w:vMerge/>
            <w:tcBorders>
              <w:top w:val="nil"/>
              <w:left w:val="nil"/>
            </w:tcBorders>
          </w:tcPr>
          <w:p>
            <w:pPr>
              <w:rPr>
                <w:sz w:val="2"/>
                <w:szCs w:val="2"/>
              </w:rPr>
            </w:pPr>
          </w:p>
        </w:tc>
        <w:tc>
          <w:tcPr>
            <w:tcW w:w="1872" w:type="dxa"/>
            <w:vMerge/>
            <w:tcBorders>
              <w:top w:val="nil"/>
            </w:tcBorders>
          </w:tcPr>
          <w:p>
            <w:pPr>
              <w:rPr>
                <w:sz w:val="2"/>
                <w:szCs w:val="2"/>
              </w:rPr>
            </w:pPr>
          </w:p>
        </w:tc>
        <w:tc>
          <w:tcPr>
            <w:tcW w:w="4493" w:type="dxa"/>
            <w:vMerge/>
            <w:tcBorders>
              <w:top w:val="nil"/>
            </w:tcBorders>
          </w:tcPr>
          <w:p>
            <w:pPr>
              <w:rPr>
                <w:sz w:val="2"/>
                <w:szCs w:val="2"/>
              </w:rPr>
            </w:pPr>
          </w:p>
        </w:tc>
        <w:tc>
          <w:tcPr>
            <w:tcW w:w="1666" w:type="dxa"/>
            <w:tcBorders>
              <w:top w:val="nil"/>
            </w:tcBorders>
          </w:tcPr>
          <w:p>
            <w:pPr>
              <w:pStyle w:val="TableParagraph"/>
              <w:rPr>
                <w:rFonts w:ascii="Times New Roman"/>
                <w:sz w:val="16"/>
              </w:rPr>
            </w:pPr>
          </w:p>
        </w:tc>
      </w:tr>
      <w:tr>
        <w:trPr>
          <w:trHeight w:val="27" w:hRule="atLeast"/>
        </w:trPr>
        <w:tc>
          <w:tcPr>
            <w:tcW w:w="1353" w:type="dxa"/>
            <w:vMerge w:val="restart"/>
            <w:tcBorders>
              <w:top w:val="nil"/>
              <w:bottom w:val="nil"/>
            </w:tcBorders>
            <w:shd w:val="clear" w:color="auto" w:fill="E6E7E8"/>
          </w:tcPr>
          <w:p>
            <w:pPr>
              <w:pStyle w:val="TableParagraph"/>
              <w:rPr>
                <w:rFonts w:ascii="Times New Roman"/>
                <w:sz w:val="18"/>
              </w:rPr>
            </w:pPr>
          </w:p>
        </w:tc>
        <w:tc>
          <w:tcPr>
            <w:tcW w:w="1296" w:type="dxa"/>
            <w:vMerge w:val="restart"/>
            <w:tcBorders>
              <w:top w:val="nil"/>
              <w:bottom w:val="nil"/>
            </w:tcBorders>
          </w:tcPr>
          <w:p>
            <w:pPr>
              <w:pStyle w:val="TableParagraph"/>
              <w:rPr>
                <w:rFonts w:ascii="Times New Roman"/>
                <w:sz w:val="18"/>
              </w:rPr>
            </w:pPr>
          </w:p>
        </w:tc>
        <w:tc>
          <w:tcPr>
            <w:tcW w:w="1591" w:type="dxa"/>
            <w:vMerge w:val="restart"/>
            <w:tcBorders>
              <w:top w:val="nil"/>
              <w:bottom w:val="nil"/>
            </w:tcBorders>
          </w:tcPr>
          <w:p>
            <w:pPr>
              <w:pStyle w:val="TableParagraph"/>
              <w:rPr>
                <w:rFonts w:ascii="Times New Roman"/>
                <w:sz w:val="18"/>
              </w:rPr>
            </w:pPr>
          </w:p>
        </w:tc>
        <w:tc>
          <w:tcPr>
            <w:tcW w:w="2477" w:type="dxa"/>
            <w:vMerge/>
            <w:tcBorders>
              <w:top w:val="nil"/>
              <w:bottom w:val="nil"/>
            </w:tcBorders>
          </w:tcPr>
          <w:p>
            <w:pPr>
              <w:rPr>
                <w:sz w:val="2"/>
                <w:szCs w:val="2"/>
              </w:rPr>
            </w:pPr>
          </w:p>
        </w:tc>
        <w:tc>
          <w:tcPr>
            <w:tcW w:w="1239" w:type="dxa"/>
            <w:vMerge/>
            <w:tcBorders>
              <w:top w:val="nil"/>
            </w:tcBorders>
          </w:tcPr>
          <w:p>
            <w:pPr>
              <w:rPr>
                <w:sz w:val="2"/>
                <w:szCs w:val="2"/>
              </w:rPr>
            </w:pPr>
          </w:p>
        </w:tc>
        <w:tc>
          <w:tcPr>
            <w:tcW w:w="3244" w:type="dxa"/>
            <w:vMerge w:val="restart"/>
            <w:tcBorders>
              <w:right w:val="nil"/>
            </w:tcBorders>
          </w:tcPr>
          <w:p>
            <w:pPr>
              <w:pStyle w:val="TableParagraph"/>
              <w:spacing w:line="232" w:lineRule="auto" w:before="98"/>
              <w:ind w:left="89" w:right="1236"/>
              <w:rPr>
                <w:sz w:val="18"/>
              </w:rPr>
            </w:pPr>
            <w:r>
              <w:rPr>
                <w:color w:val="105C84"/>
                <w:sz w:val="18"/>
              </w:rPr>
              <w:t>4.1.5</w:t>
            </w:r>
            <w:r>
              <w:rPr>
                <w:color w:val="105C84"/>
                <w:spacing w:val="-15"/>
                <w:sz w:val="18"/>
              </w:rPr>
              <w:t> </w:t>
            </w:r>
            <w:r>
              <w:rPr>
                <w:color w:val="105C84"/>
                <w:sz w:val="18"/>
              </w:rPr>
              <w:t>Remove</w:t>
            </w:r>
            <w:r>
              <w:rPr>
                <w:color w:val="105C84"/>
                <w:spacing w:val="-12"/>
                <w:sz w:val="18"/>
              </w:rPr>
              <w:t> </w:t>
            </w:r>
            <w:r>
              <w:rPr>
                <w:color w:val="105C84"/>
                <w:sz w:val="18"/>
              </w:rPr>
              <w:t>structural barriers to cancer screening such as providing flexible clinic hours, offering cancer screening in</w:t>
            </w:r>
            <w:r>
              <w:rPr>
                <w:color w:val="105C84"/>
                <w:spacing w:val="40"/>
                <w:sz w:val="18"/>
              </w:rPr>
              <w:t> </w:t>
            </w:r>
            <w:r>
              <w:rPr>
                <w:color w:val="105C84"/>
                <w:sz w:val="18"/>
              </w:rPr>
              <w:t>non-clinical settings (mobile mammography</w:t>
            </w:r>
            <w:r>
              <w:rPr>
                <w:color w:val="105C84"/>
                <w:spacing w:val="-15"/>
                <w:sz w:val="18"/>
              </w:rPr>
              <w:t> </w:t>
            </w:r>
            <w:r>
              <w:rPr>
                <w:color w:val="105C84"/>
                <w:sz w:val="18"/>
              </w:rPr>
              <w:t>vans,</w:t>
            </w:r>
            <w:r>
              <w:rPr>
                <w:color w:val="105C84"/>
                <w:spacing w:val="-12"/>
                <w:sz w:val="18"/>
              </w:rPr>
              <w:t> </w:t>
            </w:r>
            <w:r>
              <w:rPr>
                <w:color w:val="105C84"/>
                <w:sz w:val="18"/>
              </w:rPr>
              <w:t>flu</w:t>
            </w:r>
            <w:r>
              <w:rPr>
                <w:color w:val="105C84"/>
                <w:sz w:val="18"/>
              </w:rPr>
              <w:t> </w:t>
            </w:r>
            <w:r>
              <w:rPr>
                <w:color w:val="105C84"/>
                <w:spacing w:val="-2"/>
                <w:sz w:val="18"/>
              </w:rPr>
              <w:t>clinics)…..</w:t>
            </w:r>
          </w:p>
        </w:tc>
        <w:tc>
          <w:tcPr>
            <w:tcW w:w="2984" w:type="dxa"/>
            <w:vMerge w:val="restart"/>
            <w:tcBorders>
              <w:left w:val="nil"/>
            </w:tcBorders>
          </w:tcPr>
          <w:p>
            <w:pPr>
              <w:pStyle w:val="TableParagraph"/>
              <w:numPr>
                <w:ilvl w:val="0"/>
                <w:numId w:val="62"/>
              </w:numPr>
              <w:tabs>
                <w:tab w:pos="1245" w:val="left" w:leader="none"/>
              </w:tabs>
              <w:spacing w:line="232" w:lineRule="auto" w:before="98" w:after="0"/>
              <w:ind w:left="1059" w:right="83" w:firstLine="0"/>
              <w:jc w:val="left"/>
              <w:rPr>
                <w:sz w:val="18"/>
              </w:rPr>
            </w:pPr>
            <w:r>
              <w:rPr>
                <w:color w:val="105C84"/>
                <w:sz w:val="18"/>
              </w:rPr>
              <w:t># of facilities engaged re having Mobile </w:t>
            </w:r>
            <w:r>
              <w:rPr>
                <w:color w:val="105C84"/>
                <w:sz w:val="18"/>
              </w:rPr>
              <w:t>Mammography Unit on site</w:t>
            </w:r>
          </w:p>
          <w:p>
            <w:pPr>
              <w:pStyle w:val="TableParagraph"/>
              <w:numPr>
                <w:ilvl w:val="0"/>
                <w:numId w:val="62"/>
              </w:numPr>
              <w:tabs>
                <w:tab w:pos="1245" w:val="left" w:leader="none"/>
              </w:tabs>
              <w:spacing w:line="232" w:lineRule="auto" w:before="87" w:after="0"/>
              <w:ind w:left="1059" w:right="140" w:firstLine="0"/>
              <w:jc w:val="left"/>
              <w:rPr>
                <w:sz w:val="18"/>
              </w:rPr>
            </w:pPr>
            <w:r>
              <w:rPr>
                <w:color w:val="105C84"/>
                <w:sz w:val="18"/>
              </w:rPr>
              <w:t># of mammograms provided via mobile unit</w:t>
            </w:r>
            <w:r>
              <w:rPr>
                <w:color w:val="105C84"/>
                <w:spacing w:val="-1"/>
                <w:sz w:val="18"/>
              </w:rPr>
              <w:t> </w:t>
            </w:r>
            <w:r>
              <w:rPr>
                <w:color w:val="105C84"/>
                <w:sz w:val="18"/>
              </w:rPr>
              <w:t>in</w:t>
            </w:r>
            <w:r>
              <w:rPr>
                <w:color w:val="105C84"/>
                <w:spacing w:val="-1"/>
                <w:sz w:val="18"/>
              </w:rPr>
              <w:t> </w:t>
            </w:r>
            <w:r>
              <w:rPr>
                <w:color w:val="105C84"/>
                <w:sz w:val="18"/>
              </w:rPr>
              <w:t>Ontario</w:t>
            </w:r>
            <w:r>
              <w:rPr>
                <w:color w:val="105C84"/>
                <w:spacing w:val="-1"/>
                <w:sz w:val="18"/>
              </w:rPr>
              <w:t> </w:t>
            </w:r>
            <w:r>
              <w:rPr>
                <w:color w:val="105C84"/>
                <w:sz w:val="18"/>
              </w:rPr>
              <w:t>County</w:t>
            </w:r>
          </w:p>
        </w:tc>
        <w:tc>
          <w:tcPr>
            <w:tcW w:w="1872" w:type="dxa"/>
            <w:tcBorders>
              <w:bottom w:val="nil"/>
            </w:tcBorders>
          </w:tcPr>
          <w:p>
            <w:pPr>
              <w:pStyle w:val="TableParagraph"/>
              <w:rPr>
                <w:rFonts w:ascii="Times New Roman"/>
                <w:sz w:val="2"/>
              </w:rPr>
            </w:pPr>
          </w:p>
        </w:tc>
        <w:tc>
          <w:tcPr>
            <w:tcW w:w="4493" w:type="dxa"/>
            <w:tcBorders>
              <w:bottom w:val="nil"/>
            </w:tcBorders>
          </w:tcPr>
          <w:p>
            <w:pPr>
              <w:pStyle w:val="TableParagraph"/>
              <w:rPr>
                <w:rFonts w:ascii="Times New Roman"/>
                <w:sz w:val="2"/>
              </w:rPr>
            </w:pPr>
          </w:p>
        </w:tc>
        <w:tc>
          <w:tcPr>
            <w:tcW w:w="1666" w:type="dxa"/>
            <w:tcBorders>
              <w:bottom w:val="nil"/>
            </w:tcBorders>
          </w:tcPr>
          <w:p>
            <w:pPr>
              <w:pStyle w:val="TableParagraph"/>
              <w:rPr>
                <w:rFonts w:ascii="Times New Roman"/>
                <w:sz w:val="2"/>
              </w:rPr>
            </w:pPr>
          </w:p>
        </w:tc>
      </w:tr>
      <w:tr>
        <w:trPr>
          <w:trHeight w:val="1387" w:hRule="atLeast"/>
        </w:trPr>
        <w:tc>
          <w:tcPr>
            <w:tcW w:w="1353" w:type="dxa"/>
            <w:vMerge/>
            <w:tcBorders>
              <w:top w:val="nil"/>
              <w:bottom w:val="nil"/>
            </w:tcBorders>
            <w:shd w:val="clear" w:color="auto" w:fill="E6E7E8"/>
          </w:tcPr>
          <w:p>
            <w:pPr>
              <w:rPr>
                <w:sz w:val="2"/>
                <w:szCs w:val="2"/>
              </w:rPr>
            </w:pPr>
          </w:p>
        </w:tc>
        <w:tc>
          <w:tcPr>
            <w:tcW w:w="1296" w:type="dxa"/>
            <w:vMerge/>
            <w:tcBorders>
              <w:top w:val="nil"/>
              <w:bottom w:val="nil"/>
            </w:tcBorders>
          </w:tcPr>
          <w:p>
            <w:pPr>
              <w:rPr>
                <w:sz w:val="2"/>
                <w:szCs w:val="2"/>
              </w:rPr>
            </w:pPr>
          </w:p>
        </w:tc>
        <w:tc>
          <w:tcPr>
            <w:tcW w:w="1591" w:type="dxa"/>
            <w:vMerge/>
            <w:tcBorders>
              <w:top w:val="nil"/>
              <w:bottom w:val="nil"/>
            </w:tcBorders>
          </w:tcPr>
          <w:p>
            <w:pPr>
              <w:rPr>
                <w:sz w:val="2"/>
                <w:szCs w:val="2"/>
              </w:rPr>
            </w:pPr>
          </w:p>
        </w:tc>
        <w:tc>
          <w:tcPr>
            <w:tcW w:w="2477" w:type="dxa"/>
            <w:tcBorders>
              <w:top w:val="nil"/>
              <w:bottom w:val="nil"/>
            </w:tcBorders>
          </w:tcPr>
          <w:p>
            <w:pPr>
              <w:pStyle w:val="TableParagraph"/>
              <w:spacing w:line="232" w:lineRule="auto" w:before="33"/>
              <w:ind w:left="90" w:right="663"/>
              <w:rPr>
                <w:sz w:val="18"/>
              </w:rPr>
            </w:pPr>
            <w:r>
              <w:rPr>
                <w:color w:val="105C84"/>
                <w:sz w:val="18"/>
              </w:rPr>
              <w:t>Data</w:t>
            </w:r>
            <w:r>
              <w:rPr>
                <w:color w:val="105C84"/>
                <w:spacing w:val="-13"/>
                <w:sz w:val="18"/>
              </w:rPr>
              <w:t> </w:t>
            </w:r>
            <w:r>
              <w:rPr>
                <w:color w:val="105C84"/>
                <w:sz w:val="18"/>
              </w:rPr>
              <w:t>Level:</w:t>
            </w:r>
            <w:r>
              <w:rPr>
                <w:color w:val="105C84"/>
                <w:spacing w:val="-12"/>
                <w:sz w:val="18"/>
              </w:rPr>
              <w:t> </w:t>
            </w:r>
            <w:r>
              <w:rPr>
                <w:color w:val="105C84"/>
                <w:sz w:val="18"/>
              </w:rPr>
              <w:t>State</w:t>
            </w:r>
            <w:r>
              <w:rPr>
                <w:color w:val="105C84"/>
                <w:spacing w:val="-13"/>
                <w:sz w:val="18"/>
              </w:rPr>
              <w:t> </w:t>
            </w:r>
            <w:r>
              <w:rPr>
                <w:color w:val="105C84"/>
                <w:sz w:val="18"/>
              </w:rPr>
              <w:t>and </w:t>
            </w:r>
            <w:r>
              <w:rPr>
                <w:color w:val="105C84"/>
                <w:spacing w:val="-2"/>
                <w:sz w:val="18"/>
              </w:rPr>
              <w:t>County</w:t>
            </w:r>
          </w:p>
        </w:tc>
        <w:tc>
          <w:tcPr>
            <w:tcW w:w="1239" w:type="dxa"/>
            <w:vMerge/>
            <w:tcBorders>
              <w:top w:val="nil"/>
            </w:tcBorders>
          </w:tcPr>
          <w:p>
            <w:pPr>
              <w:rPr>
                <w:sz w:val="2"/>
                <w:szCs w:val="2"/>
              </w:rPr>
            </w:pPr>
          </w:p>
        </w:tc>
        <w:tc>
          <w:tcPr>
            <w:tcW w:w="3244" w:type="dxa"/>
            <w:vMerge/>
            <w:tcBorders>
              <w:top w:val="nil"/>
              <w:right w:val="nil"/>
            </w:tcBorders>
          </w:tcPr>
          <w:p>
            <w:pPr>
              <w:rPr>
                <w:sz w:val="2"/>
                <w:szCs w:val="2"/>
              </w:rPr>
            </w:pPr>
          </w:p>
        </w:tc>
        <w:tc>
          <w:tcPr>
            <w:tcW w:w="2984" w:type="dxa"/>
            <w:vMerge/>
            <w:tcBorders>
              <w:top w:val="nil"/>
              <w:left w:val="nil"/>
            </w:tcBorders>
          </w:tcPr>
          <w:p>
            <w:pPr>
              <w:rPr>
                <w:sz w:val="2"/>
                <w:szCs w:val="2"/>
              </w:rPr>
            </w:pPr>
          </w:p>
        </w:tc>
        <w:tc>
          <w:tcPr>
            <w:tcW w:w="1872" w:type="dxa"/>
            <w:tcBorders>
              <w:top w:val="nil"/>
              <w:bottom w:val="nil"/>
            </w:tcBorders>
          </w:tcPr>
          <w:p>
            <w:pPr>
              <w:pStyle w:val="TableParagraph"/>
              <w:spacing w:before="56"/>
              <w:ind w:left="89"/>
              <w:rPr>
                <w:sz w:val="18"/>
              </w:rPr>
            </w:pPr>
            <w:r>
              <w:rPr>
                <w:color w:val="105C84"/>
                <w:spacing w:val="-4"/>
                <w:sz w:val="18"/>
              </w:rPr>
              <w:t>OCPH</w:t>
            </w:r>
          </w:p>
          <w:p>
            <w:pPr>
              <w:pStyle w:val="TableParagraph"/>
              <w:spacing w:line="232" w:lineRule="auto" w:before="88"/>
              <w:ind w:left="89" w:right="217"/>
              <w:rPr>
                <w:sz w:val="18"/>
              </w:rPr>
            </w:pPr>
            <w:r>
              <w:rPr>
                <w:color w:val="105C84"/>
                <w:spacing w:val="-2"/>
                <w:sz w:val="18"/>
              </w:rPr>
              <w:t>Rochester</w:t>
            </w:r>
            <w:r>
              <w:rPr>
                <w:color w:val="105C84"/>
                <w:spacing w:val="-11"/>
                <w:sz w:val="18"/>
              </w:rPr>
              <w:t> </w:t>
            </w:r>
            <w:r>
              <w:rPr>
                <w:color w:val="105C84"/>
                <w:spacing w:val="-2"/>
                <w:sz w:val="18"/>
              </w:rPr>
              <w:t>Regional </w:t>
            </w:r>
            <w:r>
              <w:rPr>
                <w:color w:val="105C84"/>
                <w:sz w:val="18"/>
              </w:rPr>
              <w:t>Health (RRH)</w:t>
            </w:r>
          </w:p>
          <w:p>
            <w:pPr>
              <w:pStyle w:val="TableParagraph"/>
              <w:spacing w:before="83"/>
              <w:ind w:left="89"/>
              <w:rPr>
                <w:sz w:val="18"/>
              </w:rPr>
            </w:pPr>
            <w:r>
              <w:rPr>
                <w:color w:val="105C84"/>
                <w:spacing w:val="-2"/>
                <w:sz w:val="18"/>
              </w:rPr>
              <w:t>Employers</w:t>
            </w:r>
          </w:p>
          <w:p>
            <w:pPr>
              <w:pStyle w:val="TableParagraph"/>
              <w:spacing w:before="83"/>
              <w:ind w:left="89"/>
              <w:rPr>
                <w:sz w:val="18"/>
              </w:rPr>
            </w:pPr>
            <w:r>
              <w:rPr>
                <w:color w:val="105C84"/>
                <w:sz w:val="18"/>
              </w:rPr>
              <w:t>Ontario</w:t>
            </w:r>
            <w:r>
              <w:rPr>
                <w:color w:val="105C84"/>
                <w:spacing w:val="7"/>
                <w:sz w:val="18"/>
              </w:rPr>
              <w:t> </w:t>
            </w:r>
            <w:r>
              <w:rPr>
                <w:color w:val="105C84"/>
                <w:sz w:val="18"/>
              </w:rPr>
              <w:t>County</w:t>
            </w:r>
            <w:r>
              <w:rPr>
                <w:color w:val="105C84"/>
                <w:spacing w:val="8"/>
                <w:sz w:val="18"/>
              </w:rPr>
              <w:t> </w:t>
            </w:r>
            <w:r>
              <w:rPr>
                <w:color w:val="105C84"/>
                <w:spacing w:val="-4"/>
                <w:sz w:val="18"/>
              </w:rPr>
              <w:t>Jail</w:t>
            </w:r>
          </w:p>
        </w:tc>
        <w:tc>
          <w:tcPr>
            <w:tcW w:w="4493" w:type="dxa"/>
            <w:tcBorders>
              <w:top w:val="nil"/>
              <w:bottom w:val="nil"/>
            </w:tcBorders>
          </w:tcPr>
          <w:p>
            <w:pPr>
              <w:pStyle w:val="TableParagraph"/>
              <w:spacing w:line="232" w:lineRule="auto" w:before="61"/>
              <w:ind w:left="89"/>
              <w:rPr>
                <w:sz w:val="18"/>
              </w:rPr>
            </w:pPr>
            <w:r>
              <w:rPr>
                <w:color w:val="105C84"/>
                <w:sz w:val="18"/>
              </w:rPr>
              <w:t>OCPH: Investigate the feasibility and assess the interest of worksites and the County Jail</w:t>
            </w:r>
            <w:r>
              <w:rPr>
                <w:color w:val="105C84"/>
                <w:spacing w:val="40"/>
                <w:sz w:val="18"/>
              </w:rPr>
              <w:t> </w:t>
            </w:r>
            <w:r>
              <w:rPr>
                <w:color w:val="105C84"/>
                <w:sz w:val="18"/>
              </w:rPr>
              <w:t>in hosting Rochester</w:t>
            </w:r>
            <w:r>
              <w:rPr>
                <w:color w:val="105C84"/>
                <w:spacing w:val="-11"/>
                <w:sz w:val="18"/>
              </w:rPr>
              <w:t> </w:t>
            </w:r>
            <w:r>
              <w:rPr>
                <w:color w:val="105C84"/>
                <w:sz w:val="18"/>
              </w:rPr>
              <w:t>Regional</w:t>
            </w:r>
            <w:r>
              <w:rPr>
                <w:color w:val="105C84"/>
                <w:spacing w:val="-11"/>
                <w:sz w:val="18"/>
              </w:rPr>
              <w:t> </w:t>
            </w:r>
            <w:r>
              <w:rPr>
                <w:color w:val="105C84"/>
                <w:sz w:val="18"/>
              </w:rPr>
              <w:t>Health’s</w:t>
            </w:r>
            <w:r>
              <w:rPr>
                <w:color w:val="105C84"/>
                <w:spacing w:val="-11"/>
                <w:sz w:val="18"/>
              </w:rPr>
              <w:t> </w:t>
            </w:r>
            <w:r>
              <w:rPr>
                <w:color w:val="105C84"/>
                <w:sz w:val="18"/>
              </w:rPr>
              <w:t>Mobile</w:t>
            </w:r>
            <w:r>
              <w:rPr>
                <w:color w:val="105C84"/>
                <w:spacing w:val="-11"/>
                <w:sz w:val="18"/>
              </w:rPr>
              <w:t> </w:t>
            </w:r>
            <w:r>
              <w:rPr>
                <w:color w:val="105C84"/>
                <w:sz w:val="18"/>
              </w:rPr>
              <w:t>Mammography </w:t>
            </w:r>
            <w:r>
              <w:rPr>
                <w:color w:val="105C84"/>
                <w:spacing w:val="-2"/>
                <w:sz w:val="18"/>
              </w:rPr>
              <w:t>Unit.</w:t>
            </w:r>
          </w:p>
          <w:p>
            <w:pPr>
              <w:pStyle w:val="TableParagraph"/>
              <w:spacing w:line="232" w:lineRule="auto" w:before="86"/>
              <w:ind w:left="89" w:right="281"/>
              <w:rPr>
                <w:sz w:val="18"/>
              </w:rPr>
            </w:pPr>
            <w:r>
              <w:rPr>
                <w:color w:val="105C84"/>
                <w:sz w:val="18"/>
              </w:rPr>
              <w:t>RRH:</w:t>
            </w:r>
            <w:r>
              <w:rPr>
                <w:color w:val="105C84"/>
                <w:spacing w:val="-3"/>
                <w:sz w:val="18"/>
              </w:rPr>
              <w:t> </w:t>
            </w:r>
            <w:r>
              <w:rPr>
                <w:color w:val="105C84"/>
                <w:sz w:val="18"/>
              </w:rPr>
              <w:t>Provide</w:t>
            </w:r>
            <w:r>
              <w:rPr>
                <w:color w:val="105C84"/>
                <w:spacing w:val="-3"/>
                <w:sz w:val="18"/>
              </w:rPr>
              <w:t> </w:t>
            </w:r>
            <w:r>
              <w:rPr>
                <w:color w:val="105C84"/>
                <w:sz w:val="18"/>
              </w:rPr>
              <w:t>Mobile</w:t>
            </w:r>
            <w:r>
              <w:rPr>
                <w:color w:val="105C84"/>
                <w:spacing w:val="-3"/>
                <w:sz w:val="18"/>
              </w:rPr>
              <w:t> </w:t>
            </w:r>
            <w:r>
              <w:rPr>
                <w:color w:val="105C84"/>
                <w:sz w:val="18"/>
              </w:rPr>
              <w:t>Mammography</w:t>
            </w:r>
            <w:r>
              <w:rPr>
                <w:color w:val="105C84"/>
                <w:spacing w:val="-3"/>
                <w:sz w:val="18"/>
              </w:rPr>
              <w:t> </w:t>
            </w:r>
            <w:r>
              <w:rPr>
                <w:color w:val="105C84"/>
                <w:sz w:val="18"/>
              </w:rPr>
              <w:t>to</w:t>
            </w:r>
            <w:r>
              <w:rPr>
                <w:color w:val="105C84"/>
                <w:spacing w:val="-3"/>
                <w:sz w:val="18"/>
              </w:rPr>
              <w:t> </w:t>
            </w:r>
            <w:r>
              <w:rPr>
                <w:color w:val="105C84"/>
                <w:sz w:val="18"/>
              </w:rPr>
              <w:t>Ontario County residents.</w:t>
            </w:r>
          </w:p>
        </w:tc>
        <w:tc>
          <w:tcPr>
            <w:tcW w:w="1666" w:type="dxa"/>
            <w:tcBorders>
              <w:top w:val="nil"/>
              <w:bottom w:val="nil"/>
            </w:tcBorders>
          </w:tcPr>
          <w:p>
            <w:pPr>
              <w:pStyle w:val="TableParagraph"/>
              <w:spacing w:line="203" w:lineRule="exact" w:before="55"/>
              <w:ind w:left="89"/>
              <w:rPr>
                <w:sz w:val="18"/>
              </w:rPr>
            </w:pPr>
            <w:r>
              <w:rPr>
                <w:color w:val="105C84"/>
                <w:spacing w:val="-4"/>
                <w:sz w:val="18"/>
              </w:rPr>
              <w:t>OCPH:</w:t>
            </w:r>
            <w:r>
              <w:rPr>
                <w:color w:val="105C84"/>
                <w:spacing w:val="-2"/>
                <w:sz w:val="18"/>
              </w:rPr>
              <w:t> </w:t>
            </w:r>
            <w:r>
              <w:rPr>
                <w:color w:val="105C84"/>
                <w:spacing w:val="-4"/>
                <w:sz w:val="18"/>
              </w:rPr>
              <w:t>Staff</w:t>
            </w:r>
            <w:r>
              <w:rPr>
                <w:color w:val="105C84"/>
                <w:spacing w:val="-1"/>
                <w:sz w:val="18"/>
              </w:rPr>
              <w:t> </w:t>
            </w:r>
            <w:r>
              <w:rPr>
                <w:color w:val="105C84"/>
                <w:spacing w:val="-4"/>
                <w:sz w:val="18"/>
              </w:rPr>
              <w:t>time</w:t>
            </w:r>
          </w:p>
          <w:p>
            <w:pPr>
              <w:pStyle w:val="TableParagraph"/>
              <w:spacing w:line="203" w:lineRule="exact"/>
              <w:ind w:left="89"/>
              <w:rPr>
                <w:sz w:val="18"/>
              </w:rPr>
            </w:pPr>
            <w:r>
              <w:rPr>
                <w:color w:val="105C84"/>
                <w:spacing w:val="-4"/>
                <w:sz w:val="18"/>
              </w:rPr>
              <w:t>$500</w:t>
            </w:r>
          </w:p>
          <w:p>
            <w:pPr>
              <w:pStyle w:val="TableParagraph"/>
              <w:spacing w:line="203" w:lineRule="exact" w:before="83"/>
              <w:ind w:left="89"/>
              <w:rPr>
                <w:sz w:val="18"/>
              </w:rPr>
            </w:pPr>
            <w:r>
              <w:rPr>
                <w:color w:val="105C84"/>
                <w:w w:val="85"/>
                <w:sz w:val="18"/>
              </w:rPr>
              <w:t>RRH:</w:t>
            </w:r>
            <w:r>
              <w:rPr>
                <w:color w:val="105C84"/>
                <w:spacing w:val="9"/>
                <w:sz w:val="18"/>
              </w:rPr>
              <w:t> </w:t>
            </w:r>
            <w:r>
              <w:rPr>
                <w:color w:val="105C84"/>
                <w:spacing w:val="-5"/>
                <w:sz w:val="18"/>
              </w:rPr>
              <w:t>40</w:t>
            </w:r>
          </w:p>
          <w:p>
            <w:pPr>
              <w:pStyle w:val="TableParagraph"/>
              <w:spacing w:line="232" w:lineRule="auto" w:before="2"/>
              <w:ind w:left="89" w:right="8"/>
              <w:rPr>
                <w:sz w:val="18"/>
              </w:rPr>
            </w:pPr>
            <w:r>
              <w:rPr>
                <w:color w:val="105C84"/>
                <w:spacing w:val="-2"/>
                <w:sz w:val="18"/>
              </w:rPr>
              <w:t>hours(1wk)/ </w:t>
            </w:r>
            <w:r>
              <w:rPr>
                <w:color w:val="105C84"/>
                <w:spacing w:val="-6"/>
                <w:sz w:val="18"/>
              </w:rPr>
              <w:t>year=0.14</w:t>
            </w:r>
            <w:r>
              <w:rPr>
                <w:color w:val="105C84"/>
                <w:spacing w:val="-7"/>
                <w:sz w:val="18"/>
              </w:rPr>
              <w:t> </w:t>
            </w:r>
            <w:r>
              <w:rPr>
                <w:color w:val="105C84"/>
                <w:spacing w:val="-6"/>
                <w:sz w:val="18"/>
              </w:rPr>
              <w:t>FTE</w:t>
            </w:r>
          </w:p>
        </w:tc>
      </w:tr>
      <w:tr>
        <w:trPr>
          <w:trHeight w:val="489" w:hRule="atLeast"/>
        </w:trPr>
        <w:tc>
          <w:tcPr>
            <w:tcW w:w="1353" w:type="dxa"/>
            <w:tcBorders>
              <w:top w:val="nil"/>
              <w:bottom w:val="nil"/>
            </w:tcBorders>
            <w:shd w:val="clear" w:color="auto" w:fill="E6E7E8"/>
          </w:tcPr>
          <w:p>
            <w:pPr>
              <w:pStyle w:val="TableParagraph"/>
              <w:rPr>
                <w:rFonts w:ascii="Times New Roman"/>
                <w:sz w:val="18"/>
              </w:rPr>
            </w:pPr>
          </w:p>
        </w:tc>
        <w:tc>
          <w:tcPr>
            <w:tcW w:w="1296" w:type="dxa"/>
            <w:tcBorders>
              <w:top w:val="nil"/>
              <w:bottom w:val="nil"/>
            </w:tcBorders>
          </w:tcPr>
          <w:p>
            <w:pPr>
              <w:pStyle w:val="TableParagraph"/>
              <w:rPr>
                <w:rFonts w:ascii="Times New Roman"/>
                <w:sz w:val="18"/>
              </w:rPr>
            </w:pPr>
          </w:p>
        </w:tc>
        <w:tc>
          <w:tcPr>
            <w:tcW w:w="1591" w:type="dxa"/>
            <w:tcBorders>
              <w:top w:val="nil"/>
              <w:bottom w:val="nil"/>
            </w:tcBorders>
          </w:tcPr>
          <w:p>
            <w:pPr>
              <w:pStyle w:val="TableParagraph"/>
              <w:rPr>
                <w:rFonts w:ascii="Times New Roman"/>
                <w:sz w:val="18"/>
              </w:rPr>
            </w:pPr>
          </w:p>
        </w:tc>
        <w:tc>
          <w:tcPr>
            <w:tcW w:w="2477" w:type="dxa"/>
            <w:tcBorders>
              <w:top w:val="nil"/>
              <w:bottom w:val="nil"/>
            </w:tcBorders>
          </w:tcPr>
          <w:p>
            <w:pPr>
              <w:pStyle w:val="TableParagraph"/>
              <w:rPr>
                <w:rFonts w:ascii="Times New Roman"/>
                <w:sz w:val="18"/>
              </w:rPr>
            </w:pPr>
          </w:p>
        </w:tc>
        <w:tc>
          <w:tcPr>
            <w:tcW w:w="1239" w:type="dxa"/>
            <w:vMerge/>
            <w:tcBorders>
              <w:top w:val="nil"/>
            </w:tcBorders>
          </w:tcPr>
          <w:p>
            <w:pPr>
              <w:rPr>
                <w:sz w:val="2"/>
                <w:szCs w:val="2"/>
              </w:rPr>
            </w:pPr>
          </w:p>
        </w:tc>
        <w:tc>
          <w:tcPr>
            <w:tcW w:w="3244" w:type="dxa"/>
            <w:vMerge/>
            <w:tcBorders>
              <w:top w:val="nil"/>
              <w:right w:val="nil"/>
            </w:tcBorders>
          </w:tcPr>
          <w:p>
            <w:pPr>
              <w:rPr>
                <w:sz w:val="2"/>
                <w:szCs w:val="2"/>
              </w:rPr>
            </w:pPr>
          </w:p>
        </w:tc>
        <w:tc>
          <w:tcPr>
            <w:tcW w:w="2984" w:type="dxa"/>
            <w:vMerge/>
            <w:tcBorders>
              <w:top w:val="nil"/>
              <w:left w:val="nil"/>
            </w:tcBorders>
          </w:tcPr>
          <w:p>
            <w:pPr>
              <w:rPr>
                <w:sz w:val="2"/>
                <w:szCs w:val="2"/>
              </w:rPr>
            </w:pPr>
          </w:p>
        </w:tc>
        <w:tc>
          <w:tcPr>
            <w:tcW w:w="1872" w:type="dxa"/>
            <w:tcBorders>
              <w:top w:val="nil"/>
              <w:bottom w:val="nil"/>
            </w:tcBorders>
          </w:tcPr>
          <w:p>
            <w:pPr>
              <w:pStyle w:val="TableParagraph"/>
              <w:spacing w:before="18"/>
              <w:ind w:left="89"/>
              <w:rPr>
                <w:sz w:val="18"/>
              </w:rPr>
            </w:pPr>
            <w:r>
              <w:rPr>
                <w:color w:val="105C84"/>
                <w:sz w:val="18"/>
              </w:rPr>
              <w:t>CSP</w:t>
            </w:r>
            <w:r>
              <w:rPr>
                <w:color w:val="105C84"/>
                <w:spacing w:val="-13"/>
                <w:sz w:val="18"/>
              </w:rPr>
              <w:t> </w:t>
            </w:r>
            <w:r>
              <w:rPr>
                <w:color w:val="105C84"/>
                <w:sz w:val="18"/>
              </w:rPr>
              <w:t>of</w:t>
            </w:r>
            <w:r>
              <w:rPr>
                <w:color w:val="105C84"/>
                <w:spacing w:val="-12"/>
                <w:sz w:val="18"/>
              </w:rPr>
              <w:t> </w:t>
            </w:r>
            <w:r>
              <w:rPr>
                <w:color w:val="105C84"/>
                <w:sz w:val="18"/>
              </w:rPr>
              <w:t>the</w:t>
            </w:r>
            <w:r>
              <w:rPr>
                <w:color w:val="105C84"/>
                <w:spacing w:val="-12"/>
                <w:sz w:val="18"/>
              </w:rPr>
              <w:t> </w:t>
            </w:r>
            <w:r>
              <w:rPr>
                <w:color w:val="105C84"/>
                <w:spacing w:val="-5"/>
                <w:sz w:val="18"/>
              </w:rPr>
              <w:t>FL</w:t>
            </w:r>
          </w:p>
        </w:tc>
        <w:tc>
          <w:tcPr>
            <w:tcW w:w="4493" w:type="dxa"/>
            <w:tcBorders>
              <w:top w:val="nil"/>
              <w:bottom w:val="nil"/>
            </w:tcBorders>
          </w:tcPr>
          <w:p>
            <w:pPr>
              <w:pStyle w:val="TableParagraph"/>
              <w:spacing w:line="232" w:lineRule="auto" w:before="43"/>
              <w:ind w:left="89" w:right="266"/>
              <w:rPr>
                <w:sz w:val="18"/>
              </w:rPr>
            </w:pPr>
            <w:r>
              <w:rPr>
                <w:color w:val="105C84"/>
                <w:sz w:val="18"/>
              </w:rPr>
              <w:t>Employers:</w:t>
            </w:r>
            <w:r>
              <w:rPr>
                <w:color w:val="105C84"/>
                <w:spacing w:val="-13"/>
                <w:sz w:val="18"/>
              </w:rPr>
              <w:t> </w:t>
            </w:r>
            <w:r>
              <w:rPr>
                <w:color w:val="105C84"/>
                <w:sz w:val="18"/>
              </w:rPr>
              <w:t>Allow</w:t>
            </w:r>
            <w:r>
              <w:rPr>
                <w:color w:val="105C84"/>
                <w:spacing w:val="-12"/>
                <w:sz w:val="18"/>
              </w:rPr>
              <w:t> </w:t>
            </w:r>
            <w:r>
              <w:rPr>
                <w:color w:val="105C84"/>
                <w:sz w:val="18"/>
              </w:rPr>
              <w:t>RRH’s</w:t>
            </w:r>
            <w:r>
              <w:rPr>
                <w:color w:val="105C84"/>
                <w:spacing w:val="-13"/>
                <w:sz w:val="18"/>
              </w:rPr>
              <w:t> </w:t>
            </w:r>
            <w:r>
              <w:rPr>
                <w:color w:val="105C84"/>
                <w:sz w:val="18"/>
              </w:rPr>
              <w:t>Mobile</w:t>
            </w:r>
            <w:r>
              <w:rPr>
                <w:color w:val="105C84"/>
                <w:spacing w:val="-12"/>
                <w:sz w:val="18"/>
              </w:rPr>
              <w:t> </w:t>
            </w:r>
            <w:r>
              <w:rPr>
                <w:color w:val="105C84"/>
                <w:sz w:val="18"/>
              </w:rPr>
              <w:t>Mammography</w:t>
            </w:r>
            <w:r>
              <w:rPr>
                <w:color w:val="105C84"/>
                <w:spacing w:val="-13"/>
                <w:sz w:val="18"/>
              </w:rPr>
              <w:t> </w:t>
            </w:r>
            <w:r>
              <w:rPr>
                <w:color w:val="105C84"/>
                <w:sz w:val="18"/>
              </w:rPr>
              <w:t>Unit </w:t>
            </w:r>
            <w:r>
              <w:rPr>
                <w:color w:val="105C84"/>
                <w:spacing w:val="-2"/>
                <w:sz w:val="18"/>
              </w:rPr>
              <w:t>on-site</w:t>
            </w:r>
          </w:p>
        </w:tc>
        <w:tc>
          <w:tcPr>
            <w:tcW w:w="1666" w:type="dxa"/>
            <w:tcBorders>
              <w:top w:val="nil"/>
              <w:bottom w:val="nil"/>
            </w:tcBorders>
          </w:tcPr>
          <w:p>
            <w:pPr>
              <w:pStyle w:val="TableParagraph"/>
              <w:rPr>
                <w:rFonts w:ascii="Times New Roman"/>
                <w:sz w:val="18"/>
              </w:rPr>
            </w:pPr>
          </w:p>
        </w:tc>
      </w:tr>
      <w:tr>
        <w:trPr>
          <w:trHeight w:val="479" w:hRule="atLeast"/>
        </w:trPr>
        <w:tc>
          <w:tcPr>
            <w:tcW w:w="1353" w:type="dxa"/>
            <w:tcBorders>
              <w:top w:val="nil"/>
              <w:bottom w:val="nil"/>
            </w:tcBorders>
            <w:shd w:val="clear" w:color="auto" w:fill="E6E7E8"/>
          </w:tcPr>
          <w:p>
            <w:pPr>
              <w:pStyle w:val="TableParagraph"/>
              <w:rPr>
                <w:rFonts w:ascii="Times New Roman"/>
                <w:sz w:val="18"/>
              </w:rPr>
            </w:pPr>
          </w:p>
        </w:tc>
        <w:tc>
          <w:tcPr>
            <w:tcW w:w="1296" w:type="dxa"/>
            <w:tcBorders>
              <w:top w:val="nil"/>
              <w:bottom w:val="nil"/>
            </w:tcBorders>
          </w:tcPr>
          <w:p>
            <w:pPr>
              <w:pStyle w:val="TableParagraph"/>
              <w:rPr>
                <w:rFonts w:ascii="Times New Roman"/>
                <w:sz w:val="18"/>
              </w:rPr>
            </w:pPr>
          </w:p>
        </w:tc>
        <w:tc>
          <w:tcPr>
            <w:tcW w:w="1591" w:type="dxa"/>
            <w:tcBorders>
              <w:top w:val="nil"/>
              <w:bottom w:val="nil"/>
            </w:tcBorders>
          </w:tcPr>
          <w:p>
            <w:pPr>
              <w:pStyle w:val="TableParagraph"/>
              <w:rPr>
                <w:rFonts w:ascii="Times New Roman"/>
                <w:sz w:val="18"/>
              </w:rPr>
            </w:pPr>
          </w:p>
        </w:tc>
        <w:tc>
          <w:tcPr>
            <w:tcW w:w="2477" w:type="dxa"/>
            <w:tcBorders>
              <w:top w:val="nil"/>
              <w:bottom w:val="nil"/>
            </w:tcBorders>
          </w:tcPr>
          <w:p>
            <w:pPr>
              <w:pStyle w:val="TableParagraph"/>
              <w:rPr>
                <w:rFonts w:ascii="Times New Roman"/>
                <w:sz w:val="18"/>
              </w:rPr>
            </w:pPr>
          </w:p>
        </w:tc>
        <w:tc>
          <w:tcPr>
            <w:tcW w:w="1239" w:type="dxa"/>
            <w:vMerge/>
            <w:tcBorders>
              <w:top w:val="nil"/>
            </w:tcBorders>
          </w:tcPr>
          <w:p>
            <w:pPr>
              <w:rPr>
                <w:sz w:val="2"/>
                <w:szCs w:val="2"/>
              </w:rPr>
            </w:pPr>
          </w:p>
        </w:tc>
        <w:tc>
          <w:tcPr>
            <w:tcW w:w="3244" w:type="dxa"/>
            <w:vMerge/>
            <w:tcBorders>
              <w:top w:val="nil"/>
              <w:right w:val="nil"/>
            </w:tcBorders>
          </w:tcPr>
          <w:p>
            <w:pPr>
              <w:rPr>
                <w:sz w:val="2"/>
                <w:szCs w:val="2"/>
              </w:rPr>
            </w:pPr>
          </w:p>
        </w:tc>
        <w:tc>
          <w:tcPr>
            <w:tcW w:w="2984" w:type="dxa"/>
            <w:vMerge/>
            <w:tcBorders>
              <w:top w:val="nil"/>
              <w:left w:val="nil"/>
            </w:tcBorders>
          </w:tcPr>
          <w:p>
            <w:pPr>
              <w:rPr>
                <w:sz w:val="2"/>
                <w:szCs w:val="2"/>
              </w:rPr>
            </w:pPr>
          </w:p>
        </w:tc>
        <w:tc>
          <w:tcPr>
            <w:tcW w:w="1872" w:type="dxa"/>
            <w:tcBorders>
              <w:top w:val="nil"/>
              <w:bottom w:val="nil"/>
            </w:tcBorders>
          </w:tcPr>
          <w:p>
            <w:pPr>
              <w:pStyle w:val="TableParagraph"/>
              <w:rPr>
                <w:rFonts w:ascii="Times New Roman"/>
                <w:sz w:val="18"/>
              </w:rPr>
            </w:pPr>
          </w:p>
        </w:tc>
        <w:tc>
          <w:tcPr>
            <w:tcW w:w="4493" w:type="dxa"/>
            <w:tcBorders>
              <w:top w:val="nil"/>
              <w:bottom w:val="nil"/>
            </w:tcBorders>
          </w:tcPr>
          <w:p>
            <w:pPr>
              <w:pStyle w:val="TableParagraph"/>
              <w:spacing w:line="232" w:lineRule="auto" w:before="33"/>
              <w:ind w:left="89" w:right="235"/>
              <w:rPr>
                <w:sz w:val="18"/>
              </w:rPr>
            </w:pPr>
            <w:r>
              <w:rPr>
                <w:color w:val="105C84"/>
                <w:sz w:val="18"/>
              </w:rPr>
              <w:t>Ontario</w:t>
            </w:r>
            <w:r>
              <w:rPr>
                <w:color w:val="105C84"/>
                <w:spacing w:val="-12"/>
                <w:sz w:val="18"/>
              </w:rPr>
              <w:t> </w:t>
            </w:r>
            <w:r>
              <w:rPr>
                <w:color w:val="105C84"/>
                <w:sz w:val="18"/>
              </w:rPr>
              <w:t>County</w:t>
            </w:r>
            <w:r>
              <w:rPr>
                <w:color w:val="105C84"/>
                <w:spacing w:val="-12"/>
                <w:sz w:val="18"/>
              </w:rPr>
              <w:t> </w:t>
            </w:r>
            <w:r>
              <w:rPr>
                <w:color w:val="105C84"/>
                <w:sz w:val="18"/>
              </w:rPr>
              <w:t>Jail:</w:t>
            </w:r>
            <w:r>
              <w:rPr>
                <w:color w:val="105C84"/>
                <w:spacing w:val="-12"/>
                <w:sz w:val="18"/>
              </w:rPr>
              <w:t> </w:t>
            </w:r>
            <w:r>
              <w:rPr>
                <w:color w:val="105C84"/>
                <w:sz w:val="18"/>
              </w:rPr>
              <w:t>Allow</w:t>
            </w:r>
            <w:r>
              <w:rPr>
                <w:color w:val="105C84"/>
                <w:spacing w:val="-12"/>
                <w:sz w:val="18"/>
              </w:rPr>
              <w:t> </w:t>
            </w:r>
            <w:r>
              <w:rPr>
                <w:color w:val="105C84"/>
                <w:sz w:val="18"/>
              </w:rPr>
              <w:t>RRH’s</w:t>
            </w:r>
            <w:r>
              <w:rPr>
                <w:color w:val="105C84"/>
                <w:spacing w:val="-12"/>
                <w:sz w:val="18"/>
              </w:rPr>
              <w:t> </w:t>
            </w:r>
            <w:r>
              <w:rPr>
                <w:color w:val="105C84"/>
                <w:sz w:val="18"/>
              </w:rPr>
              <w:t>Mobile Mammography Unit on-site</w:t>
            </w:r>
          </w:p>
        </w:tc>
        <w:tc>
          <w:tcPr>
            <w:tcW w:w="1666" w:type="dxa"/>
            <w:tcBorders>
              <w:top w:val="nil"/>
              <w:bottom w:val="nil"/>
            </w:tcBorders>
          </w:tcPr>
          <w:p>
            <w:pPr>
              <w:pStyle w:val="TableParagraph"/>
              <w:rPr>
                <w:rFonts w:ascii="Times New Roman"/>
                <w:sz w:val="18"/>
              </w:rPr>
            </w:pPr>
          </w:p>
        </w:tc>
      </w:tr>
      <w:tr>
        <w:trPr>
          <w:trHeight w:val="485" w:hRule="atLeast"/>
        </w:trPr>
        <w:tc>
          <w:tcPr>
            <w:tcW w:w="1353" w:type="dxa"/>
            <w:tcBorders>
              <w:top w:val="nil"/>
            </w:tcBorders>
            <w:shd w:val="clear" w:color="auto" w:fill="E6E7E8"/>
          </w:tcPr>
          <w:p>
            <w:pPr>
              <w:pStyle w:val="TableParagraph"/>
              <w:rPr>
                <w:rFonts w:ascii="Times New Roman"/>
                <w:sz w:val="18"/>
              </w:rPr>
            </w:pPr>
          </w:p>
        </w:tc>
        <w:tc>
          <w:tcPr>
            <w:tcW w:w="1296" w:type="dxa"/>
            <w:tcBorders>
              <w:top w:val="nil"/>
            </w:tcBorders>
          </w:tcPr>
          <w:p>
            <w:pPr>
              <w:pStyle w:val="TableParagraph"/>
              <w:rPr>
                <w:rFonts w:ascii="Times New Roman"/>
                <w:sz w:val="18"/>
              </w:rPr>
            </w:pPr>
          </w:p>
        </w:tc>
        <w:tc>
          <w:tcPr>
            <w:tcW w:w="1591" w:type="dxa"/>
            <w:tcBorders>
              <w:top w:val="nil"/>
            </w:tcBorders>
          </w:tcPr>
          <w:p>
            <w:pPr>
              <w:pStyle w:val="TableParagraph"/>
              <w:rPr>
                <w:rFonts w:ascii="Times New Roman"/>
                <w:sz w:val="18"/>
              </w:rPr>
            </w:pPr>
          </w:p>
        </w:tc>
        <w:tc>
          <w:tcPr>
            <w:tcW w:w="2477" w:type="dxa"/>
            <w:tcBorders>
              <w:top w:val="nil"/>
            </w:tcBorders>
          </w:tcPr>
          <w:p>
            <w:pPr>
              <w:pStyle w:val="TableParagraph"/>
              <w:rPr>
                <w:rFonts w:ascii="Times New Roman"/>
                <w:sz w:val="18"/>
              </w:rPr>
            </w:pPr>
          </w:p>
        </w:tc>
        <w:tc>
          <w:tcPr>
            <w:tcW w:w="1239" w:type="dxa"/>
            <w:vMerge/>
            <w:tcBorders>
              <w:top w:val="nil"/>
            </w:tcBorders>
          </w:tcPr>
          <w:p>
            <w:pPr>
              <w:rPr>
                <w:sz w:val="2"/>
                <w:szCs w:val="2"/>
              </w:rPr>
            </w:pPr>
          </w:p>
        </w:tc>
        <w:tc>
          <w:tcPr>
            <w:tcW w:w="3244" w:type="dxa"/>
            <w:vMerge/>
            <w:tcBorders>
              <w:top w:val="nil"/>
              <w:right w:val="nil"/>
            </w:tcBorders>
          </w:tcPr>
          <w:p>
            <w:pPr>
              <w:rPr>
                <w:sz w:val="2"/>
                <w:szCs w:val="2"/>
              </w:rPr>
            </w:pPr>
          </w:p>
        </w:tc>
        <w:tc>
          <w:tcPr>
            <w:tcW w:w="2984" w:type="dxa"/>
            <w:vMerge/>
            <w:tcBorders>
              <w:top w:val="nil"/>
              <w:left w:val="nil"/>
            </w:tcBorders>
          </w:tcPr>
          <w:p>
            <w:pPr>
              <w:rPr>
                <w:sz w:val="2"/>
                <w:szCs w:val="2"/>
              </w:rPr>
            </w:pPr>
          </w:p>
        </w:tc>
        <w:tc>
          <w:tcPr>
            <w:tcW w:w="1872" w:type="dxa"/>
            <w:tcBorders>
              <w:top w:val="nil"/>
            </w:tcBorders>
          </w:tcPr>
          <w:p>
            <w:pPr>
              <w:pStyle w:val="TableParagraph"/>
              <w:rPr>
                <w:rFonts w:ascii="Times New Roman"/>
                <w:sz w:val="18"/>
              </w:rPr>
            </w:pPr>
          </w:p>
        </w:tc>
        <w:tc>
          <w:tcPr>
            <w:tcW w:w="4493" w:type="dxa"/>
            <w:tcBorders>
              <w:top w:val="nil"/>
            </w:tcBorders>
          </w:tcPr>
          <w:p>
            <w:pPr>
              <w:pStyle w:val="TableParagraph"/>
              <w:spacing w:line="232" w:lineRule="auto" w:before="33"/>
              <w:ind w:left="89"/>
              <w:rPr>
                <w:sz w:val="18"/>
              </w:rPr>
            </w:pPr>
            <w:r>
              <w:rPr>
                <w:color w:val="105C84"/>
                <w:sz w:val="18"/>
              </w:rPr>
              <w:t>CSP of the FL: Determine feasibility for CSP reimbursement for mobile mammography at </w:t>
            </w:r>
            <w:r>
              <w:rPr>
                <w:color w:val="105C84"/>
                <w:sz w:val="18"/>
              </w:rPr>
              <w:t>jail.</w:t>
            </w:r>
          </w:p>
        </w:tc>
        <w:tc>
          <w:tcPr>
            <w:tcW w:w="1666" w:type="dxa"/>
            <w:tcBorders>
              <w:top w:val="nil"/>
            </w:tcBorders>
          </w:tcPr>
          <w:p>
            <w:pPr>
              <w:pStyle w:val="TableParagraph"/>
              <w:rPr>
                <w:rFonts w:ascii="Times New Roman"/>
                <w:sz w:val="18"/>
              </w:rPr>
            </w:pPr>
          </w:p>
        </w:tc>
      </w:tr>
    </w:tbl>
    <w:p>
      <w:pPr>
        <w:pStyle w:val="BodyText"/>
        <w:spacing w:before="46"/>
        <w:rPr>
          <w:b/>
          <w:sz w:val="26"/>
        </w:rPr>
      </w:pPr>
    </w:p>
    <w:p>
      <w:pPr>
        <w:tabs>
          <w:tab w:pos="23047" w:val="left" w:leader="none"/>
        </w:tabs>
        <w:spacing w:before="1"/>
        <w:ind w:left="0" w:right="0" w:firstLine="0"/>
        <w:jc w:val="left"/>
        <w:rPr>
          <w:b/>
          <w:sz w:val="26"/>
        </w:rPr>
      </w:pPr>
      <w:r>
        <w:rPr>
          <w:position w:val="-4"/>
        </w:rPr>
        <w:drawing>
          <wp:inline distT="0" distB="0" distL="0" distR="0">
            <wp:extent cx="568172" cy="184683"/>
            <wp:effectExtent l="0" t="0" r="0" b="0"/>
            <wp:docPr id="1839" name="Image 1839"/>
            <wp:cNvGraphicFramePr>
              <a:graphicFrameLocks/>
            </wp:cNvGraphicFramePr>
            <a:graphic>
              <a:graphicData uri="http://schemas.openxmlformats.org/drawingml/2006/picture">
                <pic:pic>
                  <pic:nvPicPr>
                    <pic:cNvPr id="1839" name="Image 1839"/>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13"/>
          <w:sz w:val="20"/>
        </w:rPr>
        <w:t> </w:t>
      </w:r>
      <w:r>
        <w:rPr>
          <w:b/>
          <w:color w:val="939598"/>
          <w:w w:val="105"/>
          <w:sz w:val="26"/>
        </w:rPr>
        <w:t>153</w:t>
      </w:r>
      <w:r>
        <w:rPr>
          <w:b/>
          <w:color w:val="939598"/>
          <w:sz w:val="26"/>
        </w:rPr>
        <w:tab/>
      </w:r>
      <w:r>
        <w:rPr>
          <w:b/>
          <w:color w:val="939598"/>
          <w:spacing w:val="-5"/>
          <w:w w:val="105"/>
          <w:sz w:val="26"/>
        </w:rPr>
        <w:t>154</w:t>
      </w:r>
    </w:p>
    <w:p>
      <w:pPr>
        <w:spacing w:after="0"/>
        <w:jc w:val="left"/>
        <w:rPr>
          <w:b/>
          <w:sz w:val="26"/>
        </w:rPr>
        <w:sectPr>
          <w:pgSz w:w="24480" w:h="15840" w:orient="landscape"/>
          <w:pgMar w:header="0" w:footer="0" w:top="860" w:bottom="0" w:left="0" w:right="720"/>
        </w:sectPr>
      </w:pPr>
    </w:p>
    <w:p>
      <w:pPr>
        <w:spacing w:before="607"/>
        <w:ind w:left="1089" w:right="0" w:firstLine="0"/>
        <w:jc w:val="left"/>
        <w:rPr>
          <w:sz w:val="54"/>
        </w:rPr>
      </w:pPr>
      <w:r>
        <w:rPr>
          <w:sz w:val="54"/>
        </w:rPr>
        <w:drawing>
          <wp:anchor distT="0" distB="0" distL="0" distR="0" allowOverlap="1" layoutInCell="1" locked="0" behindDoc="0" simplePos="0" relativeHeight="15959552">
            <wp:simplePos x="0" y="0"/>
            <wp:positionH relativeFrom="page">
              <wp:posOffset>14981556</wp:posOffset>
            </wp:positionH>
            <wp:positionV relativeFrom="page">
              <wp:posOffset>9668103</wp:posOffset>
            </wp:positionV>
            <wp:extent cx="563245" cy="184683"/>
            <wp:effectExtent l="0" t="0" r="0" b="0"/>
            <wp:wrapNone/>
            <wp:docPr id="1840" name="Image 1840"/>
            <wp:cNvGraphicFramePr>
              <a:graphicFrameLocks/>
            </wp:cNvGraphicFramePr>
            <a:graphic>
              <a:graphicData uri="http://schemas.openxmlformats.org/drawingml/2006/picture">
                <pic:pic>
                  <pic:nvPicPr>
                    <pic:cNvPr id="1840" name="Image 1840"/>
                    <pic:cNvPicPr/>
                  </pic:nvPicPr>
                  <pic:blipFill>
                    <a:blip r:embed="rId38" cstate="print"/>
                    <a:stretch>
                      <a:fillRect/>
                    </a:stretch>
                  </pic:blipFill>
                  <pic:spPr>
                    <a:xfrm>
                      <a:off x="0" y="0"/>
                      <a:ext cx="563245" cy="184683"/>
                    </a:xfrm>
                    <a:prstGeom prst="rect">
                      <a:avLst/>
                    </a:prstGeom>
                  </pic:spPr>
                </pic:pic>
              </a:graphicData>
            </a:graphic>
          </wp:anchor>
        </w:drawing>
      </w:r>
      <w:r>
        <w:rPr>
          <w:sz w:val="54"/>
        </w:rPr>
        <w:drawing>
          <wp:anchor distT="0" distB="0" distL="0" distR="0" allowOverlap="1" layoutInCell="1" locked="0" behindDoc="0" simplePos="0" relativeHeight="15960064">
            <wp:simplePos x="0" y="0"/>
            <wp:positionH relativeFrom="page">
              <wp:posOffset>14252733</wp:posOffset>
            </wp:positionH>
            <wp:positionV relativeFrom="paragraph">
              <wp:posOffset>358457</wp:posOffset>
            </wp:positionV>
            <wp:extent cx="588168" cy="615314"/>
            <wp:effectExtent l="0" t="0" r="0" b="0"/>
            <wp:wrapNone/>
            <wp:docPr id="1841" name="Image 1841"/>
            <wp:cNvGraphicFramePr>
              <a:graphicFrameLocks/>
            </wp:cNvGraphicFramePr>
            <a:graphic>
              <a:graphicData uri="http://schemas.openxmlformats.org/drawingml/2006/picture">
                <pic:pic>
                  <pic:nvPicPr>
                    <pic:cNvPr id="1841" name="Image 1841"/>
                    <pic:cNvPicPr/>
                  </pic:nvPicPr>
                  <pic:blipFill>
                    <a:blip r:embed="rId248" cstate="print"/>
                    <a:stretch>
                      <a:fillRect/>
                    </a:stretch>
                  </pic:blipFill>
                  <pic:spPr>
                    <a:xfrm>
                      <a:off x="0" y="0"/>
                      <a:ext cx="588168" cy="615314"/>
                    </a:xfrm>
                    <a:prstGeom prst="rect">
                      <a:avLst/>
                    </a:prstGeom>
                  </pic:spPr>
                </pic:pic>
              </a:graphicData>
            </a:graphic>
          </wp:anchor>
        </w:drawing>
      </w:r>
      <w:r>
        <w:rPr>
          <w:sz w:val="54"/>
        </w:rPr>
        <w:drawing>
          <wp:anchor distT="0" distB="0" distL="0" distR="0" allowOverlap="1" layoutInCell="1" locked="0" behindDoc="0" simplePos="0" relativeHeight="15960576">
            <wp:simplePos x="0" y="0"/>
            <wp:positionH relativeFrom="page">
              <wp:posOffset>9637268</wp:posOffset>
            </wp:positionH>
            <wp:positionV relativeFrom="paragraph">
              <wp:posOffset>365759</wp:posOffset>
            </wp:positionV>
            <wp:extent cx="1013459" cy="346709"/>
            <wp:effectExtent l="0" t="0" r="0" b="0"/>
            <wp:wrapNone/>
            <wp:docPr id="1842" name="Image 1842"/>
            <wp:cNvGraphicFramePr>
              <a:graphicFrameLocks/>
            </wp:cNvGraphicFramePr>
            <a:graphic>
              <a:graphicData uri="http://schemas.openxmlformats.org/drawingml/2006/picture">
                <pic:pic>
                  <pic:nvPicPr>
                    <pic:cNvPr id="1842" name="Image 1842"/>
                    <pic:cNvPicPr/>
                  </pic:nvPicPr>
                  <pic:blipFill>
                    <a:blip r:embed="rId249" cstate="print"/>
                    <a:stretch>
                      <a:fillRect/>
                    </a:stretch>
                  </pic:blipFill>
                  <pic:spPr>
                    <a:xfrm>
                      <a:off x="0" y="0"/>
                      <a:ext cx="1013459" cy="346709"/>
                    </a:xfrm>
                    <a:prstGeom prst="rect">
                      <a:avLst/>
                    </a:prstGeom>
                  </pic:spPr>
                </pic:pic>
              </a:graphicData>
            </a:graphic>
          </wp:anchor>
        </w:drawing>
      </w:r>
      <w:r>
        <w:rPr>
          <w:sz w:val="54"/>
        </w:rPr>
        <w:drawing>
          <wp:anchor distT="0" distB="0" distL="0" distR="0" allowOverlap="1" layoutInCell="1" locked="0" behindDoc="0" simplePos="0" relativeHeight="15961088">
            <wp:simplePos x="0" y="0"/>
            <wp:positionH relativeFrom="page">
              <wp:posOffset>8820404</wp:posOffset>
            </wp:positionH>
            <wp:positionV relativeFrom="paragraph">
              <wp:posOffset>303783</wp:posOffset>
            </wp:positionV>
            <wp:extent cx="680085" cy="626110"/>
            <wp:effectExtent l="0" t="0" r="0" b="0"/>
            <wp:wrapNone/>
            <wp:docPr id="1843" name="Image 1843"/>
            <wp:cNvGraphicFramePr>
              <a:graphicFrameLocks/>
            </wp:cNvGraphicFramePr>
            <a:graphic>
              <a:graphicData uri="http://schemas.openxmlformats.org/drawingml/2006/picture">
                <pic:pic>
                  <pic:nvPicPr>
                    <pic:cNvPr id="1843" name="Image 1843"/>
                    <pic:cNvPicPr/>
                  </pic:nvPicPr>
                  <pic:blipFill>
                    <a:blip r:embed="rId250" cstate="print"/>
                    <a:stretch>
                      <a:fillRect/>
                    </a:stretch>
                  </pic:blipFill>
                  <pic:spPr>
                    <a:xfrm>
                      <a:off x="0" y="0"/>
                      <a:ext cx="680085" cy="626110"/>
                    </a:xfrm>
                    <a:prstGeom prst="rect">
                      <a:avLst/>
                    </a:prstGeom>
                  </pic:spPr>
                </pic:pic>
              </a:graphicData>
            </a:graphic>
          </wp:anchor>
        </w:drawing>
      </w:r>
      <w:r>
        <w:rPr>
          <w:sz w:val="54"/>
        </w:rPr>
        <w:drawing>
          <wp:anchor distT="0" distB="0" distL="0" distR="0" allowOverlap="1" layoutInCell="1" locked="0" behindDoc="0" simplePos="0" relativeHeight="15961600">
            <wp:simplePos x="0" y="0"/>
            <wp:positionH relativeFrom="page">
              <wp:posOffset>12660794</wp:posOffset>
            </wp:positionH>
            <wp:positionV relativeFrom="paragraph">
              <wp:posOffset>292608</wp:posOffset>
            </wp:positionV>
            <wp:extent cx="1542007" cy="459636"/>
            <wp:effectExtent l="0" t="0" r="0" b="0"/>
            <wp:wrapNone/>
            <wp:docPr id="1844" name="Image 1844"/>
            <wp:cNvGraphicFramePr>
              <a:graphicFrameLocks/>
            </wp:cNvGraphicFramePr>
            <a:graphic>
              <a:graphicData uri="http://schemas.openxmlformats.org/drawingml/2006/picture">
                <pic:pic>
                  <pic:nvPicPr>
                    <pic:cNvPr id="1844" name="Image 1844"/>
                    <pic:cNvPicPr/>
                  </pic:nvPicPr>
                  <pic:blipFill>
                    <a:blip r:embed="rId251" cstate="print"/>
                    <a:stretch>
                      <a:fillRect/>
                    </a:stretch>
                  </pic:blipFill>
                  <pic:spPr>
                    <a:xfrm>
                      <a:off x="0" y="0"/>
                      <a:ext cx="1542007" cy="459636"/>
                    </a:xfrm>
                    <a:prstGeom prst="rect">
                      <a:avLst/>
                    </a:prstGeom>
                  </pic:spPr>
                </pic:pic>
              </a:graphicData>
            </a:graphic>
          </wp:anchor>
        </w:drawing>
      </w:r>
      <w:r>
        <w:rPr>
          <w:sz w:val="54"/>
        </w:rPr>
        <w:drawing>
          <wp:anchor distT="0" distB="0" distL="0" distR="0" allowOverlap="1" layoutInCell="1" locked="0" behindDoc="0" simplePos="0" relativeHeight="15962112">
            <wp:simplePos x="0" y="0"/>
            <wp:positionH relativeFrom="page">
              <wp:posOffset>10819383</wp:posOffset>
            </wp:positionH>
            <wp:positionV relativeFrom="paragraph">
              <wp:posOffset>365759</wp:posOffset>
            </wp:positionV>
            <wp:extent cx="1724393" cy="297788"/>
            <wp:effectExtent l="0" t="0" r="0" b="0"/>
            <wp:wrapNone/>
            <wp:docPr id="1845" name="Image 1845"/>
            <wp:cNvGraphicFramePr>
              <a:graphicFrameLocks/>
            </wp:cNvGraphicFramePr>
            <a:graphic>
              <a:graphicData uri="http://schemas.openxmlformats.org/drawingml/2006/picture">
                <pic:pic>
                  <pic:nvPicPr>
                    <pic:cNvPr id="1845" name="Image 1845"/>
                    <pic:cNvPicPr/>
                  </pic:nvPicPr>
                  <pic:blipFill>
                    <a:blip r:embed="rId252" cstate="print"/>
                    <a:stretch>
                      <a:fillRect/>
                    </a:stretch>
                  </pic:blipFill>
                  <pic:spPr>
                    <a:xfrm>
                      <a:off x="0" y="0"/>
                      <a:ext cx="1724393" cy="297788"/>
                    </a:xfrm>
                    <a:prstGeom prst="rect">
                      <a:avLst/>
                    </a:prstGeom>
                  </pic:spPr>
                </pic:pic>
              </a:graphicData>
            </a:graphic>
          </wp:anchor>
        </w:drawing>
      </w:r>
      <w:r>
        <w:rPr>
          <w:color w:val="636466"/>
          <w:w w:val="105"/>
          <w:sz w:val="54"/>
        </w:rPr>
        <w:t>Ontario</w:t>
      </w:r>
      <w:r>
        <w:rPr>
          <w:color w:val="636466"/>
          <w:spacing w:val="-13"/>
          <w:w w:val="105"/>
          <w:sz w:val="54"/>
        </w:rPr>
        <w:t> </w:t>
      </w:r>
      <w:r>
        <w:rPr>
          <w:color w:val="636466"/>
          <w:w w:val="105"/>
          <w:sz w:val="54"/>
        </w:rPr>
        <w:t>County</w:t>
      </w:r>
      <w:r>
        <w:rPr>
          <w:color w:val="636466"/>
          <w:spacing w:val="-14"/>
          <w:w w:val="105"/>
          <w:sz w:val="54"/>
        </w:rPr>
        <w:t> </w:t>
      </w:r>
      <w:r>
        <w:rPr>
          <w:color w:val="636466"/>
          <w:w w:val="105"/>
          <w:sz w:val="54"/>
        </w:rPr>
        <w:t>Appendix</w:t>
      </w:r>
      <w:r>
        <w:rPr>
          <w:color w:val="636466"/>
          <w:spacing w:val="-13"/>
          <w:w w:val="105"/>
          <w:sz w:val="54"/>
        </w:rPr>
        <w:t> </w:t>
      </w:r>
      <w:r>
        <w:rPr>
          <w:color w:val="636466"/>
          <w:spacing w:val="-10"/>
          <w:w w:val="105"/>
          <w:sz w:val="54"/>
        </w:rPr>
        <w:t>C</w:t>
      </w:r>
    </w:p>
    <w:p>
      <w:pPr>
        <w:spacing w:before="235"/>
        <w:ind w:left="1089" w:right="0" w:firstLine="0"/>
        <w:jc w:val="left"/>
        <w:rPr>
          <w:b/>
          <w:sz w:val="32"/>
        </w:rPr>
      </w:pPr>
      <w:r>
        <w:rPr>
          <w:b/>
          <w:color w:val="82BF6A"/>
          <w:spacing w:val="-8"/>
          <w:sz w:val="32"/>
        </w:rPr>
        <w:t>PRIORITY:</w:t>
      </w:r>
      <w:r>
        <w:rPr>
          <w:b/>
          <w:color w:val="82BF6A"/>
          <w:spacing w:val="-9"/>
          <w:sz w:val="32"/>
        </w:rPr>
        <w:t> </w:t>
      </w:r>
      <w:r>
        <w:rPr>
          <w:b/>
          <w:color w:val="82BF6A"/>
          <w:spacing w:val="-8"/>
          <w:sz w:val="32"/>
        </w:rPr>
        <w:t>PREVENT CHRONIC DISEASES</w:t>
      </w:r>
    </w:p>
    <w:p>
      <w:pPr>
        <w:pStyle w:val="BodyText"/>
        <w:spacing w:before="9"/>
        <w:rPr>
          <w:b/>
          <w:sz w:val="17"/>
        </w:rPr>
      </w:pPr>
    </w:p>
    <w:tbl>
      <w:tblPr>
        <w:tblW w:w="0" w:type="auto"/>
        <w:jc w:val="left"/>
        <w:tblInd w:w="1099" w:type="dxa"/>
        <w:tblBorders>
          <w:top w:val="single" w:sz="6" w:space="0" w:color="BCBEC0"/>
          <w:left w:val="single" w:sz="6" w:space="0" w:color="BCBEC0"/>
          <w:bottom w:val="single" w:sz="6" w:space="0" w:color="BCBEC0"/>
          <w:right w:val="single" w:sz="6" w:space="0" w:color="BCBEC0"/>
          <w:insideH w:val="single" w:sz="6" w:space="0" w:color="BCBEC0"/>
          <w:insideV w:val="single" w:sz="6" w:space="0" w:color="BCBEC0"/>
        </w:tblBorders>
        <w:tblLayout w:type="fixed"/>
        <w:tblCellMar>
          <w:top w:w="0" w:type="dxa"/>
          <w:left w:w="0" w:type="dxa"/>
          <w:bottom w:w="0" w:type="dxa"/>
          <w:right w:w="0" w:type="dxa"/>
        </w:tblCellMar>
        <w:tblLook w:val="01E0"/>
      </w:tblPr>
      <w:tblGrid>
        <w:gridCol w:w="1353"/>
        <w:gridCol w:w="1289"/>
        <w:gridCol w:w="1591"/>
        <w:gridCol w:w="2822"/>
        <w:gridCol w:w="1267"/>
        <w:gridCol w:w="2875"/>
        <w:gridCol w:w="2971"/>
        <w:gridCol w:w="1872"/>
        <w:gridCol w:w="4090"/>
        <w:gridCol w:w="2098"/>
      </w:tblGrid>
      <w:tr>
        <w:trPr>
          <w:trHeight w:val="818" w:hRule="atLeast"/>
        </w:trPr>
        <w:tc>
          <w:tcPr>
            <w:tcW w:w="1353" w:type="dxa"/>
            <w:tcBorders>
              <w:left w:val="single" w:sz="4" w:space="0" w:color="BCBEC0"/>
              <w:right w:val="single" w:sz="4" w:space="0" w:color="FFFFFF"/>
            </w:tcBorders>
            <w:shd w:val="clear" w:color="auto" w:fill="A7A9AC"/>
          </w:tcPr>
          <w:p>
            <w:pPr>
              <w:pStyle w:val="TableParagraph"/>
              <w:spacing w:before="91"/>
              <w:rPr>
                <w:b/>
                <w:sz w:val="20"/>
              </w:rPr>
            </w:pPr>
          </w:p>
          <w:p>
            <w:pPr>
              <w:pStyle w:val="TableParagraph"/>
              <w:ind w:left="80"/>
              <w:rPr>
                <w:b/>
                <w:sz w:val="20"/>
              </w:rPr>
            </w:pPr>
            <w:r>
              <w:rPr>
                <w:b/>
                <w:color w:val="FFFFFF"/>
                <w:spacing w:val="-2"/>
                <w:sz w:val="20"/>
              </w:rPr>
              <w:t>Priority</w:t>
            </w:r>
          </w:p>
        </w:tc>
        <w:tc>
          <w:tcPr>
            <w:tcW w:w="1289" w:type="dxa"/>
            <w:tcBorders>
              <w:left w:val="single" w:sz="4" w:space="0" w:color="FFFFFF"/>
              <w:right w:val="single" w:sz="4" w:space="0" w:color="FFFFFF"/>
            </w:tcBorders>
            <w:shd w:val="clear" w:color="auto" w:fill="A7A9AC"/>
          </w:tcPr>
          <w:p>
            <w:pPr>
              <w:pStyle w:val="TableParagraph"/>
              <w:spacing w:before="91"/>
              <w:rPr>
                <w:b/>
                <w:sz w:val="20"/>
              </w:rPr>
            </w:pPr>
          </w:p>
          <w:p>
            <w:pPr>
              <w:pStyle w:val="TableParagraph"/>
              <w:ind w:left="80"/>
              <w:rPr>
                <w:b/>
                <w:sz w:val="20"/>
              </w:rPr>
            </w:pPr>
            <w:r>
              <w:rPr>
                <w:b/>
                <w:color w:val="FFFFFF"/>
                <w:w w:val="90"/>
                <w:sz w:val="20"/>
              </w:rPr>
              <w:t>Focus</w:t>
            </w:r>
            <w:r>
              <w:rPr>
                <w:b/>
                <w:color w:val="FFFFFF"/>
                <w:spacing w:val="8"/>
                <w:sz w:val="20"/>
              </w:rPr>
              <w:t> </w:t>
            </w:r>
            <w:r>
              <w:rPr>
                <w:b/>
                <w:color w:val="FFFFFF"/>
                <w:spacing w:val="-4"/>
                <w:sz w:val="20"/>
              </w:rPr>
              <w:t>Area</w:t>
            </w:r>
          </w:p>
        </w:tc>
        <w:tc>
          <w:tcPr>
            <w:tcW w:w="1591" w:type="dxa"/>
            <w:tcBorders>
              <w:left w:val="single" w:sz="4" w:space="0" w:color="FFFFFF"/>
              <w:right w:val="single" w:sz="4" w:space="0" w:color="FFFFFF"/>
            </w:tcBorders>
            <w:shd w:val="clear" w:color="auto" w:fill="A7A9AC"/>
          </w:tcPr>
          <w:p>
            <w:pPr>
              <w:pStyle w:val="TableParagraph"/>
              <w:spacing w:line="230" w:lineRule="auto" w:before="219"/>
              <w:ind w:left="80" w:right="100"/>
              <w:rPr>
                <w:b/>
                <w:sz w:val="20"/>
              </w:rPr>
            </w:pPr>
            <w:r>
              <w:rPr>
                <w:b/>
                <w:color w:val="FFFFFF"/>
                <w:spacing w:val="-8"/>
                <w:sz w:val="20"/>
              </w:rPr>
              <w:t>Goal</w:t>
            </w:r>
            <w:r>
              <w:rPr>
                <w:b/>
                <w:color w:val="FFFFFF"/>
                <w:spacing w:val="-6"/>
                <w:sz w:val="20"/>
              </w:rPr>
              <w:t> </w:t>
            </w:r>
            <w:r>
              <w:rPr>
                <w:b/>
                <w:color w:val="FFFFFF"/>
                <w:spacing w:val="-8"/>
                <w:sz w:val="20"/>
              </w:rPr>
              <w:t>Focus </w:t>
            </w:r>
            <w:r>
              <w:rPr>
                <w:b/>
                <w:color w:val="FFFFFF"/>
                <w:spacing w:val="-4"/>
                <w:sz w:val="20"/>
              </w:rPr>
              <w:t>Area</w:t>
            </w:r>
          </w:p>
        </w:tc>
        <w:tc>
          <w:tcPr>
            <w:tcW w:w="2822" w:type="dxa"/>
            <w:tcBorders>
              <w:left w:val="single" w:sz="4" w:space="0" w:color="FFFFFF"/>
              <w:right w:val="single" w:sz="4" w:space="0" w:color="FFFFFF"/>
            </w:tcBorders>
            <w:shd w:val="clear" w:color="auto" w:fill="A7A9AC"/>
          </w:tcPr>
          <w:p>
            <w:pPr>
              <w:pStyle w:val="TableParagraph"/>
              <w:spacing w:before="91"/>
              <w:rPr>
                <w:b/>
                <w:sz w:val="20"/>
              </w:rPr>
            </w:pPr>
          </w:p>
          <w:p>
            <w:pPr>
              <w:pStyle w:val="TableParagraph"/>
              <w:ind w:left="80"/>
              <w:rPr>
                <w:b/>
                <w:sz w:val="20"/>
              </w:rPr>
            </w:pPr>
            <w:r>
              <w:rPr>
                <w:b/>
                <w:color w:val="FFFFFF"/>
                <w:spacing w:val="-2"/>
                <w:sz w:val="20"/>
              </w:rPr>
              <w:t>Objectives</w:t>
            </w:r>
          </w:p>
        </w:tc>
        <w:tc>
          <w:tcPr>
            <w:tcW w:w="1267" w:type="dxa"/>
            <w:tcBorders>
              <w:left w:val="single" w:sz="4" w:space="0" w:color="FFFFFF"/>
              <w:right w:val="single" w:sz="4" w:space="0" w:color="FFFFFF"/>
            </w:tcBorders>
            <w:shd w:val="clear" w:color="auto" w:fill="A7A9AC"/>
          </w:tcPr>
          <w:p>
            <w:pPr>
              <w:pStyle w:val="TableParagraph"/>
              <w:spacing w:before="91"/>
              <w:rPr>
                <w:b/>
                <w:sz w:val="20"/>
              </w:rPr>
            </w:pPr>
          </w:p>
          <w:p>
            <w:pPr>
              <w:pStyle w:val="TableParagraph"/>
              <w:ind w:left="80"/>
              <w:rPr>
                <w:b/>
                <w:sz w:val="20"/>
              </w:rPr>
            </w:pPr>
            <w:r>
              <w:rPr>
                <w:b/>
                <w:color w:val="FFFFFF"/>
                <w:spacing w:val="-2"/>
                <w:sz w:val="20"/>
              </w:rPr>
              <w:t>Disparities</w:t>
            </w:r>
          </w:p>
        </w:tc>
        <w:tc>
          <w:tcPr>
            <w:tcW w:w="2875" w:type="dxa"/>
            <w:tcBorders>
              <w:left w:val="single" w:sz="4" w:space="0" w:color="FFFFFF"/>
              <w:right w:val="nil"/>
            </w:tcBorders>
            <w:shd w:val="clear" w:color="auto" w:fill="A7A9AC"/>
          </w:tcPr>
          <w:p>
            <w:pPr>
              <w:pStyle w:val="TableParagraph"/>
              <w:spacing w:before="91"/>
              <w:rPr>
                <w:b/>
                <w:sz w:val="20"/>
              </w:rPr>
            </w:pPr>
          </w:p>
          <w:p>
            <w:pPr>
              <w:pStyle w:val="TableParagraph"/>
              <w:ind w:left="80"/>
              <w:rPr>
                <w:b/>
                <w:sz w:val="20"/>
              </w:rPr>
            </w:pPr>
            <w:r>
              <w:rPr>
                <w:b/>
                <w:color w:val="FFFFFF"/>
                <w:spacing w:val="-2"/>
                <w:sz w:val="20"/>
              </w:rPr>
              <w:t>Interventions</w:t>
            </w:r>
          </w:p>
        </w:tc>
        <w:tc>
          <w:tcPr>
            <w:tcW w:w="2971" w:type="dxa"/>
            <w:tcBorders>
              <w:left w:val="nil"/>
              <w:right w:val="single" w:sz="4" w:space="0" w:color="FFFFFF"/>
            </w:tcBorders>
            <w:shd w:val="clear" w:color="auto" w:fill="A7A9AC"/>
          </w:tcPr>
          <w:p>
            <w:pPr>
              <w:pStyle w:val="TableParagraph"/>
              <w:spacing w:before="91"/>
              <w:rPr>
                <w:b/>
                <w:sz w:val="20"/>
              </w:rPr>
            </w:pPr>
          </w:p>
          <w:p>
            <w:pPr>
              <w:pStyle w:val="TableParagraph"/>
              <w:ind w:left="1137"/>
              <w:rPr>
                <w:b/>
                <w:sz w:val="20"/>
              </w:rPr>
            </w:pPr>
            <w:r>
              <w:rPr>
                <w:b/>
                <w:color w:val="FFFFFF"/>
                <w:sz w:val="20"/>
              </w:rPr>
              <w:t>Family</w:t>
            </w:r>
            <w:r>
              <w:rPr>
                <w:b/>
                <w:color w:val="FFFFFF"/>
                <w:spacing w:val="-12"/>
                <w:sz w:val="20"/>
              </w:rPr>
              <w:t> </w:t>
            </w:r>
            <w:r>
              <w:rPr>
                <w:b/>
                <w:color w:val="FFFFFF"/>
                <w:sz w:val="20"/>
              </w:rPr>
              <w:t>of</w:t>
            </w:r>
            <w:r>
              <w:rPr>
                <w:b/>
                <w:color w:val="FFFFFF"/>
                <w:spacing w:val="-12"/>
                <w:sz w:val="20"/>
              </w:rPr>
              <w:t> </w:t>
            </w:r>
            <w:r>
              <w:rPr>
                <w:b/>
                <w:color w:val="FFFFFF"/>
                <w:spacing w:val="-2"/>
                <w:sz w:val="20"/>
              </w:rPr>
              <w:t>Measures</w:t>
            </w:r>
          </w:p>
        </w:tc>
        <w:tc>
          <w:tcPr>
            <w:tcW w:w="1872" w:type="dxa"/>
            <w:tcBorders>
              <w:left w:val="single" w:sz="4" w:space="0" w:color="FFFFFF"/>
              <w:right w:val="single" w:sz="4" w:space="0" w:color="FFFFFF"/>
            </w:tcBorders>
            <w:shd w:val="clear" w:color="auto" w:fill="A7A9AC"/>
          </w:tcPr>
          <w:p>
            <w:pPr>
              <w:pStyle w:val="TableParagraph"/>
              <w:spacing w:line="230" w:lineRule="auto" w:before="219"/>
              <w:ind w:left="91" w:right="140"/>
              <w:rPr>
                <w:b/>
                <w:sz w:val="20"/>
              </w:rPr>
            </w:pPr>
            <w:r>
              <w:rPr>
                <w:b/>
                <w:color w:val="FFFFFF"/>
                <w:spacing w:val="-2"/>
                <w:sz w:val="20"/>
              </w:rPr>
              <w:t>Implementation Partner</w:t>
            </w:r>
          </w:p>
        </w:tc>
        <w:tc>
          <w:tcPr>
            <w:tcW w:w="4090" w:type="dxa"/>
            <w:tcBorders>
              <w:left w:val="single" w:sz="4" w:space="0" w:color="FFFFFF"/>
              <w:right w:val="single" w:sz="4" w:space="0" w:color="FFFFFF"/>
            </w:tcBorders>
            <w:shd w:val="clear" w:color="auto" w:fill="A7A9AC"/>
          </w:tcPr>
          <w:p>
            <w:pPr>
              <w:pStyle w:val="TableParagraph"/>
              <w:spacing w:before="91"/>
              <w:rPr>
                <w:b/>
                <w:sz w:val="20"/>
              </w:rPr>
            </w:pPr>
          </w:p>
          <w:p>
            <w:pPr>
              <w:pStyle w:val="TableParagraph"/>
              <w:ind w:left="81"/>
              <w:rPr>
                <w:b/>
                <w:sz w:val="20"/>
              </w:rPr>
            </w:pPr>
            <w:r>
              <w:rPr>
                <w:b/>
                <w:color w:val="FFFFFF"/>
                <w:sz w:val="20"/>
              </w:rPr>
              <w:t>Partner</w:t>
            </w:r>
            <w:r>
              <w:rPr>
                <w:b/>
                <w:color w:val="FFFFFF"/>
                <w:spacing w:val="-13"/>
                <w:sz w:val="20"/>
              </w:rPr>
              <w:t> </w:t>
            </w:r>
            <w:r>
              <w:rPr>
                <w:b/>
                <w:color w:val="FFFFFF"/>
                <w:spacing w:val="-2"/>
                <w:sz w:val="20"/>
              </w:rPr>
              <w:t>Roles</w:t>
            </w:r>
          </w:p>
        </w:tc>
        <w:tc>
          <w:tcPr>
            <w:tcW w:w="2098" w:type="dxa"/>
            <w:tcBorders>
              <w:left w:val="single" w:sz="4" w:space="0" w:color="FFFFFF"/>
              <w:right w:val="single" w:sz="4" w:space="0" w:color="FFFFFF"/>
            </w:tcBorders>
            <w:shd w:val="clear" w:color="auto" w:fill="A7A9AC"/>
          </w:tcPr>
          <w:p>
            <w:pPr>
              <w:pStyle w:val="TableParagraph"/>
              <w:spacing w:before="91"/>
              <w:rPr>
                <w:b/>
                <w:sz w:val="20"/>
              </w:rPr>
            </w:pPr>
          </w:p>
          <w:p>
            <w:pPr>
              <w:pStyle w:val="TableParagraph"/>
              <w:ind w:left="80"/>
              <w:rPr>
                <w:b/>
                <w:sz w:val="20"/>
              </w:rPr>
            </w:pPr>
            <w:r>
              <w:rPr>
                <w:b/>
                <w:color w:val="FFFFFF"/>
                <w:sz w:val="20"/>
              </w:rPr>
              <w:t>Partner</w:t>
            </w:r>
            <w:r>
              <w:rPr>
                <w:b/>
                <w:color w:val="FFFFFF"/>
                <w:spacing w:val="-13"/>
                <w:sz w:val="20"/>
              </w:rPr>
              <w:t> </w:t>
            </w:r>
            <w:r>
              <w:rPr>
                <w:b/>
                <w:color w:val="FFFFFF"/>
                <w:spacing w:val="-2"/>
                <w:sz w:val="20"/>
              </w:rPr>
              <w:t>Resources</w:t>
            </w:r>
          </w:p>
        </w:tc>
      </w:tr>
      <w:tr>
        <w:trPr>
          <w:trHeight w:val="2575" w:hRule="atLeast"/>
        </w:trPr>
        <w:tc>
          <w:tcPr>
            <w:tcW w:w="1353" w:type="dxa"/>
            <w:tcBorders>
              <w:left w:val="single" w:sz="4" w:space="0" w:color="BCBEC0"/>
              <w:bottom w:val="nil"/>
              <w:right w:val="single" w:sz="4" w:space="0" w:color="BCBEC0"/>
            </w:tcBorders>
            <w:shd w:val="clear" w:color="auto" w:fill="E6E7E8"/>
          </w:tcPr>
          <w:p>
            <w:pPr>
              <w:pStyle w:val="TableParagraph"/>
              <w:spacing w:line="232" w:lineRule="auto" w:before="112"/>
              <w:ind w:left="90" w:right="536"/>
              <w:jc w:val="both"/>
              <w:rPr>
                <w:sz w:val="18"/>
              </w:rPr>
            </w:pPr>
            <w:r>
              <w:rPr>
                <w:color w:val="105C84"/>
                <w:spacing w:val="-2"/>
                <w:sz w:val="18"/>
              </w:rPr>
              <w:t>Prevent Chronic </w:t>
            </w:r>
            <w:r>
              <w:rPr>
                <w:color w:val="105C84"/>
                <w:spacing w:val="-6"/>
                <w:sz w:val="18"/>
              </w:rPr>
              <w:t>Diseases</w:t>
            </w:r>
          </w:p>
        </w:tc>
        <w:tc>
          <w:tcPr>
            <w:tcW w:w="1289" w:type="dxa"/>
            <w:tcBorders>
              <w:left w:val="single" w:sz="4" w:space="0" w:color="BCBEC0"/>
              <w:bottom w:val="nil"/>
              <w:right w:val="single" w:sz="4" w:space="0" w:color="BCBEC0"/>
            </w:tcBorders>
          </w:tcPr>
          <w:p>
            <w:pPr>
              <w:pStyle w:val="TableParagraph"/>
              <w:spacing w:line="232" w:lineRule="auto" w:before="112"/>
              <w:ind w:left="90"/>
              <w:rPr>
                <w:sz w:val="18"/>
              </w:rPr>
            </w:pPr>
            <w:r>
              <w:rPr>
                <w:color w:val="105C84"/>
                <w:spacing w:val="-4"/>
                <w:sz w:val="18"/>
              </w:rPr>
              <w:t>Focus</w:t>
            </w:r>
            <w:r>
              <w:rPr>
                <w:color w:val="105C84"/>
                <w:spacing w:val="-11"/>
                <w:sz w:val="18"/>
              </w:rPr>
              <w:t> </w:t>
            </w:r>
            <w:r>
              <w:rPr>
                <w:color w:val="105C84"/>
                <w:spacing w:val="-4"/>
                <w:sz w:val="18"/>
              </w:rPr>
              <w:t>Area</w:t>
            </w:r>
            <w:r>
              <w:rPr>
                <w:color w:val="105C84"/>
                <w:spacing w:val="-8"/>
                <w:sz w:val="18"/>
              </w:rPr>
              <w:t> </w:t>
            </w:r>
            <w:r>
              <w:rPr>
                <w:color w:val="105C84"/>
                <w:spacing w:val="-4"/>
                <w:sz w:val="18"/>
              </w:rPr>
              <w:t>4: </w:t>
            </w:r>
            <w:r>
              <w:rPr>
                <w:color w:val="105C84"/>
                <w:spacing w:val="-2"/>
                <w:sz w:val="18"/>
              </w:rPr>
              <w:t>Chronic Disease Preventive </w:t>
            </w:r>
            <w:r>
              <w:rPr>
                <w:color w:val="105C84"/>
                <w:sz w:val="18"/>
              </w:rPr>
              <w:t>Care &amp; </w:t>
            </w:r>
            <w:r>
              <w:rPr>
                <w:color w:val="105C84"/>
                <w:spacing w:val="-2"/>
                <w:sz w:val="18"/>
              </w:rPr>
              <w:t>Management</w:t>
            </w:r>
          </w:p>
        </w:tc>
        <w:tc>
          <w:tcPr>
            <w:tcW w:w="1591" w:type="dxa"/>
            <w:tcBorders>
              <w:left w:val="single" w:sz="4" w:space="0" w:color="BCBEC0"/>
              <w:bottom w:val="nil"/>
              <w:right w:val="single" w:sz="4" w:space="0" w:color="BCBEC0"/>
            </w:tcBorders>
          </w:tcPr>
          <w:p>
            <w:pPr>
              <w:pStyle w:val="TableParagraph"/>
              <w:spacing w:line="232" w:lineRule="auto" w:before="112"/>
              <w:ind w:left="90" w:right="138"/>
              <w:rPr>
                <w:sz w:val="18"/>
              </w:rPr>
            </w:pPr>
            <w:r>
              <w:rPr>
                <w:color w:val="105C84"/>
                <w:sz w:val="18"/>
              </w:rPr>
              <w:t>Goal 4.3: </w:t>
            </w:r>
            <w:r>
              <w:rPr>
                <w:color w:val="105C84"/>
                <w:spacing w:val="-2"/>
                <w:sz w:val="18"/>
              </w:rPr>
              <w:t>Promote evidence-based </w:t>
            </w:r>
            <w:r>
              <w:rPr>
                <w:color w:val="105C84"/>
                <w:sz w:val="18"/>
              </w:rPr>
              <w:t>care to prevent</w:t>
            </w:r>
            <w:r>
              <w:rPr>
                <w:color w:val="105C84"/>
                <w:spacing w:val="40"/>
                <w:sz w:val="18"/>
              </w:rPr>
              <w:t> </w:t>
            </w:r>
            <w:r>
              <w:rPr>
                <w:color w:val="105C84"/>
                <w:sz w:val="18"/>
              </w:rPr>
              <w:t>&amp; manage </w:t>
            </w:r>
            <w:r>
              <w:rPr>
                <w:color w:val="105C84"/>
                <w:spacing w:val="-4"/>
                <w:sz w:val="18"/>
              </w:rPr>
              <w:t>chronic</w:t>
            </w:r>
            <w:r>
              <w:rPr>
                <w:color w:val="105C84"/>
                <w:spacing w:val="-9"/>
                <w:sz w:val="18"/>
              </w:rPr>
              <w:t> </w:t>
            </w:r>
            <w:r>
              <w:rPr>
                <w:color w:val="105C84"/>
                <w:spacing w:val="-4"/>
                <w:sz w:val="18"/>
              </w:rPr>
              <w:t>diseases: </w:t>
            </w:r>
            <w:r>
              <w:rPr>
                <w:color w:val="105C84"/>
                <w:sz w:val="18"/>
              </w:rPr>
              <w:t>asthma,</w:t>
            </w:r>
            <w:r>
              <w:rPr>
                <w:color w:val="105C84"/>
                <w:spacing w:val="-13"/>
                <w:sz w:val="18"/>
              </w:rPr>
              <w:t> </w:t>
            </w:r>
            <w:r>
              <w:rPr>
                <w:color w:val="105C84"/>
                <w:sz w:val="18"/>
              </w:rPr>
              <w:t>arthritis, </w:t>
            </w:r>
            <w:r>
              <w:rPr>
                <w:color w:val="105C84"/>
                <w:spacing w:val="-2"/>
                <w:sz w:val="18"/>
              </w:rPr>
              <w:t>cardiovascular</w:t>
            </w:r>
          </w:p>
          <w:p>
            <w:pPr>
              <w:pStyle w:val="TableParagraph"/>
              <w:spacing w:line="232" w:lineRule="auto"/>
              <w:ind w:left="90" w:right="100"/>
              <w:rPr>
                <w:sz w:val="18"/>
              </w:rPr>
            </w:pPr>
            <w:r>
              <w:rPr>
                <w:color w:val="105C84"/>
                <w:spacing w:val="-2"/>
                <w:sz w:val="18"/>
              </w:rPr>
              <w:t>disease,</w:t>
            </w:r>
            <w:r>
              <w:rPr>
                <w:color w:val="105C84"/>
                <w:spacing w:val="-11"/>
                <w:sz w:val="18"/>
              </w:rPr>
              <w:t> </w:t>
            </w:r>
            <w:r>
              <w:rPr>
                <w:color w:val="105C84"/>
                <w:spacing w:val="-2"/>
                <w:sz w:val="18"/>
              </w:rPr>
              <w:t>diabetes </w:t>
            </w:r>
            <w:r>
              <w:rPr>
                <w:color w:val="105C84"/>
                <w:sz w:val="18"/>
              </w:rPr>
              <w:t>&amp; prediabetes &amp; </w:t>
            </w:r>
            <w:r>
              <w:rPr>
                <w:color w:val="105C84"/>
                <w:spacing w:val="-2"/>
                <w:sz w:val="18"/>
              </w:rPr>
              <w:t>obesity</w:t>
            </w:r>
          </w:p>
        </w:tc>
        <w:tc>
          <w:tcPr>
            <w:tcW w:w="2822" w:type="dxa"/>
            <w:tcBorders>
              <w:left w:val="single" w:sz="4" w:space="0" w:color="BCBEC0"/>
              <w:bottom w:val="nil"/>
              <w:right w:val="single" w:sz="4" w:space="0" w:color="BCBEC0"/>
            </w:tcBorders>
          </w:tcPr>
          <w:p>
            <w:pPr>
              <w:pStyle w:val="TableParagraph"/>
              <w:spacing w:line="232" w:lineRule="auto" w:before="111"/>
              <w:ind w:left="90" w:right="175"/>
              <w:rPr>
                <w:sz w:val="18"/>
              </w:rPr>
            </w:pPr>
            <w:r>
              <w:rPr>
                <w:color w:val="105C84"/>
                <w:sz w:val="18"/>
              </w:rPr>
              <w:t>4.3.1 Decrease the percentage of adult members with </w:t>
            </w:r>
            <w:r>
              <w:rPr>
                <w:color w:val="105C84"/>
                <w:sz w:val="18"/>
              </w:rPr>
              <w:t>diabetes whose</w:t>
            </w:r>
            <w:r>
              <w:rPr>
                <w:color w:val="105C84"/>
                <w:spacing w:val="-7"/>
                <w:sz w:val="18"/>
              </w:rPr>
              <w:t> </w:t>
            </w:r>
            <w:r>
              <w:rPr>
                <w:color w:val="105C84"/>
                <w:sz w:val="18"/>
              </w:rPr>
              <w:t>most</w:t>
            </w:r>
            <w:r>
              <w:rPr>
                <w:color w:val="105C84"/>
                <w:spacing w:val="-7"/>
                <w:sz w:val="18"/>
              </w:rPr>
              <w:t> </w:t>
            </w:r>
            <w:r>
              <w:rPr>
                <w:color w:val="105C84"/>
                <w:sz w:val="18"/>
              </w:rPr>
              <w:t>recent</w:t>
            </w:r>
            <w:r>
              <w:rPr>
                <w:color w:val="105C84"/>
                <w:spacing w:val="-7"/>
                <w:sz w:val="18"/>
              </w:rPr>
              <w:t> </w:t>
            </w:r>
            <w:r>
              <w:rPr>
                <w:color w:val="105C84"/>
                <w:sz w:val="18"/>
              </w:rPr>
              <w:t>HbA1c</w:t>
            </w:r>
            <w:r>
              <w:rPr>
                <w:color w:val="105C84"/>
                <w:spacing w:val="-7"/>
                <w:sz w:val="18"/>
              </w:rPr>
              <w:t> </w:t>
            </w:r>
            <w:r>
              <w:rPr>
                <w:color w:val="105C84"/>
                <w:sz w:val="18"/>
              </w:rPr>
              <w:t>level indicated poor control (&gt;9%)</w:t>
            </w:r>
          </w:p>
          <w:p>
            <w:pPr>
              <w:pStyle w:val="TableParagraph"/>
              <w:spacing w:line="232" w:lineRule="auto" w:before="101"/>
              <w:ind w:left="90" w:right="249"/>
              <w:rPr>
                <w:sz w:val="18"/>
              </w:rPr>
            </w:pPr>
            <w:r>
              <w:rPr>
                <w:color w:val="105C84"/>
                <w:spacing w:val="-4"/>
                <w:sz w:val="18"/>
              </w:rPr>
              <w:t>Target:</w:t>
            </w:r>
            <w:r>
              <w:rPr>
                <w:color w:val="105C84"/>
                <w:spacing w:val="-9"/>
                <w:sz w:val="18"/>
              </w:rPr>
              <w:t> </w:t>
            </w:r>
            <w:r>
              <w:rPr>
                <w:color w:val="105C84"/>
                <w:spacing w:val="-4"/>
                <w:sz w:val="18"/>
              </w:rPr>
              <w:t>26.6%</w:t>
            </w:r>
            <w:r>
              <w:rPr>
                <w:color w:val="105C84"/>
                <w:spacing w:val="-8"/>
                <w:sz w:val="18"/>
              </w:rPr>
              <w:t> </w:t>
            </w:r>
            <w:r>
              <w:rPr>
                <w:color w:val="105C84"/>
                <w:spacing w:val="-4"/>
                <w:sz w:val="18"/>
              </w:rPr>
              <w:t>[HMO];</w:t>
            </w:r>
            <w:r>
              <w:rPr>
                <w:color w:val="105C84"/>
                <w:spacing w:val="-9"/>
                <w:sz w:val="18"/>
              </w:rPr>
              <w:t> </w:t>
            </w:r>
            <w:r>
              <w:rPr>
                <w:color w:val="105C84"/>
                <w:spacing w:val="-4"/>
                <w:sz w:val="18"/>
              </w:rPr>
              <w:t>31.4% </w:t>
            </w:r>
            <w:r>
              <w:rPr>
                <w:color w:val="105C84"/>
                <w:spacing w:val="-2"/>
                <w:sz w:val="18"/>
              </w:rPr>
              <w:t>[MMC]</w:t>
            </w:r>
          </w:p>
          <w:p>
            <w:pPr>
              <w:pStyle w:val="TableParagraph"/>
              <w:spacing w:line="203" w:lineRule="exact" w:before="96"/>
              <w:ind w:left="90"/>
              <w:rPr>
                <w:sz w:val="18"/>
              </w:rPr>
            </w:pPr>
            <w:r>
              <w:rPr>
                <w:color w:val="105C84"/>
                <w:spacing w:val="-2"/>
                <w:sz w:val="18"/>
              </w:rPr>
              <w:t>Baseline:</w:t>
            </w:r>
            <w:r>
              <w:rPr>
                <w:color w:val="105C84"/>
                <w:spacing w:val="-10"/>
                <w:sz w:val="18"/>
              </w:rPr>
              <w:t> </w:t>
            </w:r>
            <w:r>
              <w:rPr>
                <w:color w:val="105C84"/>
                <w:spacing w:val="-2"/>
                <w:sz w:val="18"/>
              </w:rPr>
              <w:t>28%</w:t>
            </w:r>
            <w:r>
              <w:rPr>
                <w:color w:val="105C84"/>
                <w:spacing w:val="-10"/>
                <w:sz w:val="18"/>
              </w:rPr>
              <w:t> </w:t>
            </w:r>
            <w:r>
              <w:rPr>
                <w:color w:val="105C84"/>
                <w:spacing w:val="-2"/>
                <w:sz w:val="18"/>
              </w:rPr>
              <w:t>[HMO];</w:t>
            </w:r>
            <w:r>
              <w:rPr>
                <w:color w:val="105C84"/>
                <w:spacing w:val="-10"/>
                <w:sz w:val="18"/>
              </w:rPr>
              <w:t> </w:t>
            </w:r>
            <w:r>
              <w:rPr>
                <w:color w:val="105C84"/>
                <w:spacing w:val="-5"/>
                <w:sz w:val="18"/>
              </w:rPr>
              <w:t>33%</w:t>
            </w:r>
          </w:p>
          <w:p>
            <w:pPr>
              <w:pStyle w:val="TableParagraph"/>
              <w:spacing w:line="203" w:lineRule="exact"/>
              <w:ind w:left="90"/>
              <w:rPr>
                <w:sz w:val="18"/>
              </w:rPr>
            </w:pPr>
            <w:r>
              <w:rPr>
                <w:color w:val="105C84"/>
                <w:sz w:val="18"/>
              </w:rPr>
              <w:t>[MMC]</w:t>
            </w:r>
            <w:r>
              <w:rPr>
                <w:color w:val="105C84"/>
                <w:spacing w:val="1"/>
                <w:sz w:val="18"/>
              </w:rPr>
              <w:t> </w:t>
            </w:r>
            <w:r>
              <w:rPr>
                <w:color w:val="105C84"/>
                <w:spacing w:val="-2"/>
                <w:sz w:val="18"/>
              </w:rPr>
              <w:t>(2016)</w:t>
            </w:r>
          </w:p>
          <w:p>
            <w:pPr>
              <w:pStyle w:val="TableParagraph"/>
              <w:spacing w:line="300" w:lineRule="atLeast" w:before="4"/>
              <w:ind w:left="90" w:right="1160"/>
              <w:rPr>
                <w:sz w:val="18"/>
              </w:rPr>
            </w:pPr>
            <w:r>
              <w:rPr>
                <w:color w:val="105C84"/>
                <w:spacing w:val="-4"/>
                <w:sz w:val="18"/>
              </w:rPr>
              <w:t>Data</w:t>
            </w:r>
            <w:r>
              <w:rPr>
                <w:color w:val="105C84"/>
                <w:spacing w:val="-11"/>
                <w:sz w:val="18"/>
              </w:rPr>
              <w:t> </w:t>
            </w:r>
            <w:r>
              <w:rPr>
                <w:color w:val="105C84"/>
                <w:spacing w:val="-4"/>
                <w:sz w:val="18"/>
              </w:rPr>
              <w:t>Source:</w:t>
            </w:r>
            <w:r>
              <w:rPr>
                <w:color w:val="105C84"/>
                <w:spacing w:val="-8"/>
                <w:sz w:val="18"/>
              </w:rPr>
              <w:t> </w:t>
            </w:r>
            <w:r>
              <w:rPr>
                <w:color w:val="105C84"/>
                <w:spacing w:val="-4"/>
                <w:sz w:val="18"/>
              </w:rPr>
              <w:t>QARR </w:t>
            </w:r>
            <w:r>
              <w:rPr>
                <w:color w:val="105C84"/>
                <w:sz w:val="18"/>
              </w:rPr>
              <w:t>Data Level: State</w:t>
            </w:r>
          </w:p>
        </w:tc>
        <w:tc>
          <w:tcPr>
            <w:tcW w:w="1267" w:type="dxa"/>
            <w:vMerge w:val="restart"/>
            <w:tcBorders>
              <w:left w:val="single" w:sz="4" w:space="0" w:color="BCBEC0"/>
              <w:right w:val="single" w:sz="4" w:space="0" w:color="BCBEC0"/>
            </w:tcBorders>
          </w:tcPr>
          <w:p>
            <w:pPr>
              <w:pStyle w:val="TableParagraph"/>
              <w:rPr>
                <w:rFonts w:ascii="Times New Roman"/>
                <w:sz w:val="18"/>
              </w:rPr>
            </w:pPr>
          </w:p>
        </w:tc>
        <w:tc>
          <w:tcPr>
            <w:tcW w:w="2875" w:type="dxa"/>
            <w:vMerge w:val="restart"/>
            <w:tcBorders>
              <w:left w:val="single" w:sz="4" w:space="0" w:color="BCBEC0"/>
              <w:right w:val="nil"/>
            </w:tcBorders>
          </w:tcPr>
          <w:p>
            <w:pPr>
              <w:pStyle w:val="TableParagraph"/>
              <w:spacing w:line="232" w:lineRule="auto" w:before="111"/>
              <w:ind w:left="90" w:right="1249"/>
              <w:rPr>
                <w:sz w:val="18"/>
              </w:rPr>
            </w:pPr>
            <w:r>
              <w:rPr>
                <w:color w:val="105C84"/>
                <w:sz w:val="18"/>
              </w:rPr>
              <w:t>4.3.4 Promote strategies that improve access and</w:t>
            </w:r>
            <w:r>
              <w:rPr>
                <w:color w:val="105C84"/>
                <w:spacing w:val="-15"/>
                <w:sz w:val="18"/>
              </w:rPr>
              <w:t> </w:t>
            </w:r>
            <w:r>
              <w:rPr>
                <w:color w:val="105C84"/>
                <w:sz w:val="18"/>
              </w:rPr>
              <w:t>adherence</w:t>
            </w:r>
            <w:r>
              <w:rPr>
                <w:color w:val="105C84"/>
                <w:spacing w:val="-12"/>
                <w:sz w:val="18"/>
              </w:rPr>
              <w:t> </w:t>
            </w:r>
            <w:r>
              <w:rPr>
                <w:color w:val="105C84"/>
                <w:sz w:val="18"/>
              </w:rPr>
              <w:t>to</w:t>
            </w:r>
            <w:r>
              <w:rPr>
                <w:color w:val="105C84"/>
                <w:sz w:val="18"/>
              </w:rPr>
              <w:t> medications and </w:t>
            </w:r>
            <w:r>
              <w:rPr>
                <w:color w:val="105C84"/>
                <w:spacing w:val="-2"/>
                <w:sz w:val="18"/>
              </w:rPr>
              <w:t>devices</w:t>
            </w:r>
          </w:p>
        </w:tc>
        <w:tc>
          <w:tcPr>
            <w:tcW w:w="2971" w:type="dxa"/>
            <w:vMerge w:val="restart"/>
            <w:tcBorders>
              <w:left w:val="nil"/>
              <w:right w:val="single" w:sz="4" w:space="0" w:color="BCBEC0"/>
            </w:tcBorders>
          </w:tcPr>
          <w:p>
            <w:pPr>
              <w:pStyle w:val="TableParagraph"/>
              <w:spacing w:line="232" w:lineRule="auto" w:before="111"/>
              <w:ind w:left="1167" w:right="292"/>
              <w:rPr>
                <w:sz w:val="18"/>
              </w:rPr>
            </w:pPr>
            <w:r>
              <w:rPr>
                <w:color w:val="105C84"/>
                <w:spacing w:val="-2"/>
                <w:sz w:val="18"/>
              </w:rPr>
              <w:t>#</w:t>
            </w:r>
            <w:r>
              <w:rPr>
                <w:color w:val="105C84"/>
                <w:spacing w:val="-11"/>
                <w:sz w:val="18"/>
              </w:rPr>
              <w:t> </w:t>
            </w:r>
            <w:r>
              <w:rPr>
                <w:color w:val="105C84"/>
                <w:spacing w:val="-2"/>
                <w:sz w:val="18"/>
              </w:rPr>
              <w:t>of</w:t>
            </w:r>
            <w:r>
              <w:rPr>
                <w:color w:val="105C84"/>
                <w:spacing w:val="-10"/>
                <w:sz w:val="18"/>
              </w:rPr>
              <w:t> </w:t>
            </w:r>
            <w:r>
              <w:rPr>
                <w:color w:val="105C84"/>
                <w:spacing w:val="-2"/>
                <w:sz w:val="18"/>
              </w:rPr>
              <w:t>health</w:t>
            </w:r>
            <w:r>
              <w:rPr>
                <w:color w:val="105C84"/>
                <w:spacing w:val="-11"/>
                <w:sz w:val="18"/>
              </w:rPr>
              <w:t> </w:t>
            </w:r>
            <w:r>
              <w:rPr>
                <w:color w:val="105C84"/>
                <w:spacing w:val="-2"/>
                <w:sz w:val="18"/>
              </w:rPr>
              <w:t>systems </w:t>
            </w:r>
            <w:r>
              <w:rPr>
                <w:color w:val="105C84"/>
                <w:sz w:val="18"/>
              </w:rPr>
              <w:t>that implement </w:t>
            </w:r>
            <w:r>
              <w:rPr>
                <w:color w:val="105C84"/>
                <w:spacing w:val="-2"/>
                <w:sz w:val="18"/>
              </w:rPr>
              <w:t>policies/practices</w:t>
            </w:r>
            <w:r>
              <w:rPr>
                <w:color w:val="105C84"/>
                <w:spacing w:val="40"/>
                <w:sz w:val="18"/>
              </w:rPr>
              <w:t> </w:t>
            </w:r>
            <w:r>
              <w:rPr>
                <w:color w:val="105C84"/>
                <w:sz w:val="18"/>
              </w:rPr>
              <w:t>to encourage</w:t>
            </w:r>
          </w:p>
          <w:p>
            <w:pPr>
              <w:pStyle w:val="TableParagraph"/>
              <w:spacing w:line="232" w:lineRule="auto"/>
              <w:ind w:left="1167"/>
              <w:rPr>
                <w:sz w:val="18"/>
              </w:rPr>
            </w:pPr>
            <w:r>
              <w:rPr>
                <w:color w:val="105C84"/>
                <w:spacing w:val="-2"/>
                <w:sz w:val="18"/>
              </w:rPr>
              <w:t>self-management </w:t>
            </w:r>
            <w:r>
              <w:rPr>
                <w:color w:val="105C84"/>
                <w:sz w:val="18"/>
              </w:rPr>
              <w:t>behaviors,</w:t>
            </w:r>
            <w:r>
              <w:rPr>
                <w:color w:val="105C84"/>
                <w:spacing w:val="-13"/>
                <w:sz w:val="18"/>
              </w:rPr>
              <w:t> </w:t>
            </w:r>
            <w:r>
              <w:rPr>
                <w:color w:val="105C84"/>
                <w:sz w:val="18"/>
              </w:rPr>
              <w:t>including adherence to </w:t>
            </w:r>
            <w:r>
              <w:rPr>
                <w:color w:val="105C84"/>
                <w:spacing w:val="-2"/>
                <w:sz w:val="18"/>
              </w:rPr>
              <w:t>medication</w:t>
            </w:r>
          </w:p>
        </w:tc>
        <w:tc>
          <w:tcPr>
            <w:tcW w:w="1872" w:type="dxa"/>
            <w:tcBorders>
              <w:left w:val="single" w:sz="4" w:space="0" w:color="BCBEC0"/>
              <w:bottom w:val="nil"/>
              <w:right w:val="single" w:sz="4" w:space="0" w:color="BCBEC0"/>
            </w:tcBorders>
          </w:tcPr>
          <w:p>
            <w:pPr>
              <w:pStyle w:val="TableParagraph"/>
              <w:spacing w:line="352" w:lineRule="auto" w:before="106"/>
              <w:ind w:left="91" w:right="1029"/>
              <w:rPr>
                <w:sz w:val="18"/>
              </w:rPr>
            </w:pPr>
            <w:r>
              <w:rPr>
                <w:color w:val="105C84"/>
                <w:spacing w:val="-4"/>
                <w:sz w:val="18"/>
              </w:rPr>
              <w:t>FLH </w:t>
            </w:r>
            <w:r>
              <w:rPr>
                <w:color w:val="105C84"/>
                <w:spacing w:val="-4"/>
                <w:w w:val="90"/>
                <w:sz w:val="18"/>
              </w:rPr>
              <w:t>URTH</w:t>
            </w:r>
          </w:p>
          <w:p>
            <w:pPr>
              <w:pStyle w:val="TableParagraph"/>
              <w:spacing w:line="205" w:lineRule="exact"/>
              <w:ind w:left="91"/>
              <w:rPr>
                <w:sz w:val="18"/>
              </w:rPr>
            </w:pPr>
            <w:r>
              <w:rPr>
                <w:color w:val="105C84"/>
                <w:spacing w:val="-2"/>
                <w:sz w:val="18"/>
              </w:rPr>
              <w:t>RRH/CSHC</w:t>
            </w:r>
          </w:p>
          <w:p>
            <w:pPr>
              <w:pStyle w:val="TableParagraph"/>
              <w:spacing w:before="96"/>
              <w:ind w:left="91"/>
              <w:rPr>
                <w:sz w:val="18"/>
              </w:rPr>
            </w:pPr>
            <w:r>
              <w:rPr>
                <w:color w:val="105C84"/>
                <w:sz w:val="18"/>
              </w:rPr>
              <w:t>Medical</w:t>
            </w:r>
            <w:r>
              <w:rPr>
                <w:color w:val="105C84"/>
                <w:spacing w:val="8"/>
                <w:sz w:val="18"/>
              </w:rPr>
              <w:t> </w:t>
            </w:r>
            <w:r>
              <w:rPr>
                <w:color w:val="105C84"/>
                <w:spacing w:val="-2"/>
                <w:sz w:val="18"/>
              </w:rPr>
              <w:t>Providers</w:t>
            </w:r>
          </w:p>
        </w:tc>
        <w:tc>
          <w:tcPr>
            <w:tcW w:w="4090" w:type="dxa"/>
            <w:tcBorders>
              <w:left w:val="single" w:sz="4" w:space="0" w:color="BCBEC0"/>
              <w:bottom w:val="nil"/>
              <w:right w:val="single" w:sz="4" w:space="0" w:color="BCBEC0"/>
            </w:tcBorders>
          </w:tcPr>
          <w:p>
            <w:pPr>
              <w:pStyle w:val="TableParagraph"/>
              <w:spacing w:line="203" w:lineRule="exact" w:before="106"/>
              <w:ind w:left="91"/>
              <w:rPr>
                <w:sz w:val="18"/>
              </w:rPr>
            </w:pPr>
            <w:r>
              <w:rPr>
                <w:color w:val="105C84"/>
                <w:spacing w:val="-4"/>
                <w:sz w:val="18"/>
              </w:rPr>
              <w:t>FLH:</w:t>
            </w:r>
            <w:r>
              <w:rPr>
                <w:color w:val="105C84"/>
                <w:spacing w:val="-1"/>
                <w:sz w:val="18"/>
              </w:rPr>
              <w:t> </w:t>
            </w:r>
            <w:r>
              <w:rPr>
                <w:color w:val="105C84"/>
                <w:spacing w:val="-4"/>
                <w:sz w:val="18"/>
              </w:rPr>
              <w:t>Cardiac</w:t>
            </w:r>
            <w:r>
              <w:rPr>
                <w:color w:val="105C84"/>
                <w:sz w:val="18"/>
              </w:rPr>
              <w:t> </w:t>
            </w:r>
            <w:r>
              <w:rPr>
                <w:color w:val="105C84"/>
                <w:spacing w:val="-4"/>
                <w:sz w:val="18"/>
              </w:rPr>
              <w:t>Re-</w:t>
            </w:r>
            <w:r>
              <w:rPr>
                <w:color w:val="105C84"/>
                <w:spacing w:val="-5"/>
                <w:sz w:val="18"/>
              </w:rPr>
              <w:t>Hab</w:t>
            </w:r>
          </w:p>
          <w:p>
            <w:pPr>
              <w:pStyle w:val="TableParagraph"/>
              <w:spacing w:line="203" w:lineRule="exact"/>
              <w:ind w:left="91"/>
              <w:rPr>
                <w:sz w:val="18"/>
              </w:rPr>
            </w:pPr>
            <w:r>
              <w:rPr>
                <w:color w:val="105C84"/>
                <w:sz w:val="18"/>
              </w:rPr>
              <w:t>Diabetes</w:t>
            </w:r>
            <w:r>
              <w:rPr>
                <w:color w:val="105C84"/>
                <w:spacing w:val="1"/>
                <w:sz w:val="18"/>
              </w:rPr>
              <w:t> </w:t>
            </w:r>
            <w:r>
              <w:rPr>
                <w:color w:val="105C84"/>
                <w:sz w:val="18"/>
              </w:rPr>
              <w:t>Management</w:t>
            </w:r>
            <w:r>
              <w:rPr>
                <w:color w:val="105C84"/>
                <w:spacing w:val="1"/>
                <w:sz w:val="18"/>
              </w:rPr>
              <w:t> </w:t>
            </w:r>
            <w:r>
              <w:rPr>
                <w:color w:val="105C84"/>
                <w:spacing w:val="-2"/>
                <w:sz w:val="18"/>
              </w:rPr>
              <w:t>Program</w:t>
            </w:r>
          </w:p>
          <w:p>
            <w:pPr>
              <w:pStyle w:val="TableParagraph"/>
              <w:spacing w:line="232" w:lineRule="auto" w:before="101"/>
              <w:ind w:left="91"/>
              <w:rPr>
                <w:sz w:val="18"/>
              </w:rPr>
            </w:pPr>
            <w:r>
              <w:rPr>
                <w:color w:val="105C84"/>
                <w:spacing w:val="-2"/>
                <w:sz w:val="18"/>
              </w:rPr>
              <w:t>URTH:</w:t>
            </w:r>
            <w:r>
              <w:rPr>
                <w:color w:val="105C84"/>
                <w:spacing w:val="-13"/>
                <w:sz w:val="18"/>
              </w:rPr>
              <w:t> </w:t>
            </w:r>
            <w:r>
              <w:rPr>
                <w:color w:val="105C84"/>
                <w:spacing w:val="-2"/>
                <w:sz w:val="18"/>
              </w:rPr>
              <w:t>Cardiac</w:t>
            </w:r>
            <w:r>
              <w:rPr>
                <w:color w:val="105C84"/>
                <w:spacing w:val="-10"/>
                <w:sz w:val="18"/>
              </w:rPr>
              <w:t> </w:t>
            </w:r>
            <w:r>
              <w:rPr>
                <w:color w:val="105C84"/>
                <w:spacing w:val="-2"/>
                <w:sz w:val="18"/>
              </w:rPr>
              <w:t>Re-Hab</w:t>
            </w:r>
            <w:r>
              <w:rPr>
                <w:color w:val="105C84"/>
                <w:spacing w:val="-11"/>
                <w:sz w:val="18"/>
              </w:rPr>
              <w:t> </w:t>
            </w:r>
            <w:r>
              <w:rPr>
                <w:color w:val="105C84"/>
                <w:spacing w:val="-2"/>
                <w:sz w:val="18"/>
              </w:rPr>
              <w:t>(Mended</w:t>
            </w:r>
            <w:r>
              <w:rPr>
                <w:color w:val="105C84"/>
                <w:spacing w:val="-10"/>
                <w:sz w:val="18"/>
              </w:rPr>
              <w:t> </w:t>
            </w:r>
            <w:r>
              <w:rPr>
                <w:color w:val="105C84"/>
                <w:spacing w:val="-2"/>
                <w:sz w:val="18"/>
              </w:rPr>
              <w:t>Hearts) </w:t>
            </w:r>
            <w:r>
              <w:rPr>
                <w:color w:val="105C84"/>
                <w:sz w:val="18"/>
              </w:rPr>
              <w:t>Community Diabetes Support Group</w:t>
            </w:r>
          </w:p>
          <w:p>
            <w:pPr>
              <w:pStyle w:val="TableParagraph"/>
              <w:spacing w:line="232" w:lineRule="auto" w:before="102"/>
              <w:ind w:left="91" w:right="397"/>
              <w:rPr>
                <w:sz w:val="18"/>
              </w:rPr>
            </w:pPr>
            <w:r>
              <w:rPr>
                <w:color w:val="105C84"/>
                <w:sz w:val="18"/>
              </w:rPr>
              <w:t>RRH/CSHC: Cardiac Re-Hab (5 days/week) Diabetes</w:t>
            </w:r>
            <w:r>
              <w:rPr>
                <w:color w:val="105C84"/>
                <w:spacing w:val="-6"/>
                <w:sz w:val="18"/>
              </w:rPr>
              <w:t> </w:t>
            </w:r>
            <w:r>
              <w:rPr>
                <w:color w:val="105C84"/>
                <w:sz w:val="18"/>
              </w:rPr>
              <w:t>Education</w:t>
            </w:r>
            <w:r>
              <w:rPr>
                <w:color w:val="105C84"/>
                <w:spacing w:val="-6"/>
                <w:sz w:val="18"/>
              </w:rPr>
              <w:t> </w:t>
            </w:r>
            <w:r>
              <w:rPr>
                <w:color w:val="105C84"/>
                <w:sz w:val="18"/>
              </w:rPr>
              <w:t>and</w:t>
            </w:r>
            <w:r>
              <w:rPr>
                <w:color w:val="105C84"/>
                <w:spacing w:val="-6"/>
                <w:sz w:val="18"/>
              </w:rPr>
              <w:t> </w:t>
            </w:r>
            <w:r>
              <w:rPr>
                <w:color w:val="105C84"/>
                <w:sz w:val="18"/>
              </w:rPr>
              <w:t>Management</w:t>
            </w:r>
            <w:r>
              <w:rPr>
                <w:color w:val="105C84"/>
                <w:spacing w:val="-6"/>
                <w:sz w:val="18"/>
              </w:rPr>
              <w:t> </w:t>
            </w:r>
            <w:r>
              <w:rPr>
                <w:color w:val="105C84"/>
                <w:sz w:val="18"/>
              </w:rPr>
              <w:t>(3day/ </w:t>
            </w:r>
            <w:r>
              <w:rPr>
                <w:color w:val="105C84"/>
                <w:spacing w:val="-2"/>
                <w:sz w:val="18"/>
              </w:rPr>
              <w:t>week)</w:t>
            </w:r>
          </w:p>
          <w:p>
            <w:pPr>
              <w:pStyle w:val="TableParagraph"/>
              <w:spacing w:line="232" w:lineRule="auto" w:before="101"/>
              <w:ind w:left="91"/>
              <w:rPr>
                <w:sz w:val="18"/>
              </w:rPr>
            </w:pPr>
            <w:r>
              <w:rPr>
                <w:color w:val="105C84"/>
                <w:sz w:val="18"/>
              </w:rPr>
              <w:t>Medical</w:t>
            </w:r>
            <w:r>
              <w:rPr>
                <w:color w:val="105C84"/>
                <w:spacing w:val="-7"/>
                <w:sz w:val="18"/>
              </w:rPr>
              <w:t> </w:t>
            </w:r>
            <w:r>
              <w:rPr>
                <w:color w:val="105C84"/>
                <w:sz w:val="18"/>
              </w:rPr>
              <w:t>Providers:</w:t>
            </w:r>
            <w:r>
              <w:rPr>
                <w:color w:val="105C84"/>
                <w:spacing w:val="-7"/>
                <w:sz w:val="18"/>
              </w:rPr>
              <w:t> </w:t>
            </w:r>
            <w:r>
              <w:rPr>
                <w:color w:val="105C84"/>
                <w:sz w:val="18"/>
              </w:rPr>
              <w:t>Refer</w:t>
            </w:r>
            <w:r>
              <w:rPr>
                <w:color w:val="105C84"/>
                <w:spacing w:val="-7"/>
                <w:sz w:val="18"/>
              </w:rPr>
              <w:t> </w:t>
            </w:r>
            <w:r>
              <w:rPr>
                <w:color w:val="105C84"/>
                <w:sz w:val="18"/>
              </w:rPr>
              <w:t>to</w:t>
            </w:r>
            <w:r>
              <w:rPr>
                <w:color w:val="105C84"/>
                <w:spacing w:val="-7"/>
                <w:sz w:val="18"/>
              </w:rPr>
              <w:t> </w:t>
            </w:r>
            <w:r>
              <w:rPr>
                <w:color w:val="105C84"/>
                <w:sz w:val="18"/>
              </w:rPr>
              <w:t>programs</w:t>
            </w:r>
            <w:r>
              <w:rPr>
                <w:color w:val="105C84"/>
                <w:spacing w:val="-7"/>
                <w:sz w:val="18"/>
              </w:rPr>
              <w:t> </w:t>
            </w:r>
            <w:r>
              <w:rPr>
                <w:color w:val="105C84"/>
                <w:sz w:val="18"/>
              </w:rPr>
              <w:t>offered</w:t>
            </w:r>
            <w:r>
              <w:rPr>
                <w:color w:val="105C84"/>
                <w:spacing w:val="-7"/>
                <w:sz w:val="18"/>
              </w:rPr>
              <w:t> </w:t>
            </w:r>
            <w:r>
              <w:rPr>
                <w:color w:val="105C84"/>
                <w:sz w:val="18"/>
              </w:rPr>
              <w:t>by local hospitals</w:t>
            </w:r>
          </w:p>
        </w:tc>
        <w:tc>
          <w:tcPr>
            <w:tcW w:w="2098" w:type="dxa"/>
            <w:tcBorders>
              <w:left w:val="single" w:sz="4" w:space="0" w:color="BCBEC0"/>
              <w:bottom w:val="nil"/>
              <w:right w:val="single" w:sz="4" w:space="0" w:color="BCBEC0"/>
            </w:tcBorders>
          </w:tcPr>
          <w:p>
            <w:pPr>
              <w:pStyle w:val="TableParagraph"/>
              <w:spacing w:before="105"/>
              <w:ind w:left="90"/>
              <w:rPr>
                <w:sz w:val="18"/>
              </w:rPr>
            </w:pPr>
            <w:r>
              <w:rPr>
                <w:color w:val="105C84"/>
                <w:spacing w:val="-5"/>
                <w:sz w:val="18"/>
              </w:rPr>
              <w:t>FLH:</w:t>
            </w:r>
            <w:r>
              <w:rPr>
                <w:color w:val="105C84"/>
                <w:spacing w:val="-8"/>
                <w:sz w:val="18"/>
              </w:rPr>
              <w:t> </w:t>
            </w:r>
            <w:r>
              <w:rPr>
                <w:color w:val="105C84"/>
                <w:spacing w:val="-5"/>
                <w:sz w:val="18"/>
              </w:rPr>
              <w:t>TBD</w:t>
            </w:r>
          </w:p>
          <w:p>
            <w:pPr>
              <w:pStyle w:val="TableParagraph"/>
              <w:spacing w:before="97"/>
              <w:ind w:left="90"/>
              <w:rPr>
                <w:sz w:val="18"/>
              </w:rPr>
            </w:pPr>
            <w:r>
              <w:rPr>
                <w:color w:val="105C84"/>
                <w:spacing w:val="-6"/>
                <w:sz w:val="18"/>
              </w:rPr>
              <w:t>URTH:</w:t>
            </w:r>
            <w:r>
              <w:rPr>
                <w:color w:val="105C84"/>
                <w:spacing w:val="-7"/>
                <w:sz w:val="18"/>
              </w:rPr>
              <w:t> </w:t>
            </w:r>
            <w:r>
              <w:rPr>
                <w:color w:val="105C84"/>
                <w:spacing w:val="-6"/>
                <w:sz w:val="18"/>
              </w:rPr>
              <w:t>In kind</w:t>
            </w:r>
          </w:p>
          <w:p>
            <w:pPr>
              <w:pStyle w:val="TableParagraph"/>
              <w:spacing w:line="232" w:lineRule="auto" w:before="101"/>
              <w:ind w:left="90" w:right="185"/>
              <w:rPr>
                <w:sz w:val="18"/>
              </w:rPr>
            </w:pPr>
            <w:r>
              <w:rPr>
                <w:color w:val="105C84"/>
                <w:spacing w:val="-4"/>
                <w:sz w:val="18"/>
              </w:rPr>
              <w:t>RRH/CSHC:</w:t>
            </w:r>
            <w:r>
              <w:rPr>
                <w:color w:val="105C84"/>
                <w:spacing w:val="-11"/>
                <w:sz w:val="18"/>
              </w:rPr>
              <w:t> </w:t>
            </w:r>
            <w:r>
              <w:rPr>
                <w:color w:val="105C84"/>
                <w:spacing w:val="-4"/>
                <w:sz w:val="18"/>
              </w:rPr>
              <w:t>Cardiac:</w:t>
            </w:r>
            <w:r>
              <w:rPr>
                <w:color w:val="105C84"/>
                <w:spacing w:val="-8"/>
                <w:sz w:val="18"/>
              </w:rPr>
              <w:t> </w:t>
            </w:r>
            <w:r>
              <w:rPr>
                <w:color w:val="105C84"/>
                <w:spacing w:val="-4"/>
                <w:sz w:val="18"/>
              </w:rPr>
              <w:t>1 FTE,</w:t>
            </w:r>
            <w:r>
              <w:rPr>
                <w:color w:val="105C84"/>
                <w:spacing w:val="-1"/>
                <w:sz w:val="18"/>
              </w:rPr>
              <w:t> </w:t>
            </w:r>
            <w:r>
              <w:rPr>
                <w:color w:val="105C84"/>
                <w:spacing w:val="-4"/>
                <w:sz w:val="18"/>
              </w:rPr>
              <w:t>Diabetes:</w:t>
            </w:r>
            <w:r>
              <w:rPr>
                <w:color w:val="105C84"/>
                <w:sz w:val="18"/>
              </w:rPr>
              <w:t> </w:t>
            </w:r>
            <w:r>
              <w:rPr>
                <w:color w:val="105C84"/>
                <w:spacing w:val="-4"/>
                <w:sz w:val="18"/>
              </w:rPr>
              <w:t>0.6</w:t>
            </w:r>
            <w:r>
              <w:rPr>
                <w:color w:val="105C84"/>
                <w:sz w:val="18"/>
              </w:rPr>
              <w:t> </w:t>
            </w:r>
            <w:r>
              <w:rPr>
                <w:color w:val="105C84"/>
                <w:spacing w:val="-11"/>
                <w:sz w:val="18"/>
              </w:rPr>
              <w:t>FTE</w:t>
            </w:r>
          </w:p>
        </w:tc>
      </w:tr>
      <w:tr>
        <w:trPr>
          <w:trHeight w:val="1088" w:hRule="atLeast"/>
        </w:trPr>
        <w:tc>
          <w:tcPr>
            <w:tcW w:w="1353" w:type="dxa"/>
            <w:tcBorders>
              <w:top w:val="nil"/>
              <w:left w:val="single" w:sz="4" w:space="0" w:color="BCBEC0"/>
              <w:bottom w:val="nil"/>
              <w:right w:val="single" w:sz="4" w:space="0" w:color="BCBEC0"/>
            </w:tcBorders>
            <w:shd w:val="clear" w:color="auto" w:fill="E6E7E8"/>
          </w:tcPr>
          <w:p>
            <w:pPr>
              <w:pStyle w:val="TableParagraph"/>
              <w:rPr>
                <w:rFonts w:ascii="Times New Roman"/>
                <w:sz w:val="18"/>
              </w:rPr>
            </w:pPr>
          </w:p>
        </w:tc>
        <w:tc>
          <w:tcPr>
            <w:tcW w:w="1289" w:type="dxa"/>
            <w:tcBorders>
              <w:top w:val="nil"/>
              <w:left w:val="single" w:sz="4" w:space="0" w:color="BCBEC0"/>
              <w:bottom w:val="nil"/>
              <w:right w:val="single" w:sz="4" w:space="0" w:color="BCBEC0"/>
            </w:tcBorders>
          </w:tcPr>
          <w:p>
            <w:pPr>
              <w:pStyle w:val="TableParagraph"/>
              <w:rPr>
                <w:rFonts w:ascii="Times New Roman"/>
                <w:sz w:val="18"/>
              </w:rPr>
            </w:pPr>
          </w:p>
        </w:tc>
        <w:tc>
          <w:tcPr>
            <w:tcW w:w="1591" w:type="dxa"/>
            <w:tcBorders>
              <w:top w:val="nil"/>
              <w:left w:val="single" w:sz="4" w:space="0" w:color="BCBEC0"/>
              <w:bottom w:val="nil"/>
              <w:right w:val="single" w:sz="4" w:space="0" w:color="BCBEC0"/>
            </w:tcBorders>
          </w:tcPr>
          <w:p>
            <w:pPr>
              <w:pStyle w:val="TableParagraph"/>
              <w:rPr>
                <w:rFonts w:ascii="Times New Roman"/>
                <w:sz w:val="18"/>
              </w:rPr>
            </w:pPr>
          </w:p>
        </w:tc>
        <w:tc>
          <w:tcPr>
            <w:tcW w:w="2822" w:type="dxa"/>
            <w:tcBorders>
              <w:top w:val="nil"/>
              <w:left w:val="single" w:sz="4" w:space="0" w:color="BCBEC0"/>
              <w:bottom w:val="nil"/>
              <w:right w:val="single" w:sz="4" w:space="0" w:color="BCBEC0"/>
            </w:tcBorders>
          </w:tcPr>
          <w:p>
            <w:pPr>
              <w:pStyle w:val="TableParagraph"/>
              <w:spacing w:line="232" w:lineRule="auto" w:before="37"/>
              <w:ind w:left="90" w:right="249"/>
              <w:rPr>
                <w:sz w:val="18"/>
              </w:rPr>
            </w:pPr>
            <w:r>
              <w:rPr>
                <w:color w:val="105C84"/>
                <w:spacing w:val="-2"/>
                <w:sz w:val="18"/>
              </w:rPr>
              <w:t>4.3.11</w:t>
            </w:r>
            <w:r>
              <w:rPr>
                <w:color w:val="105C84"/>
                <w:spacing w:val="-10"/>
                <w:sz w:val="18"/>
              </w:rPr>
              <w:t> </w:t>
            </w:r>
            <w:r>
              <w:rPr>
                <w:color w:val="105C84"/>
                <w:spacing w:val="-2"/>
                <w:sz w:val="18"/>
              </w:rPr>
              <w:t>Increase</w:t>
            </w:r>
            <w:r>
              <w:rPr>
                <w:color w:val="105C84"/>
                <w:spacing w:val="-10"/>
                <w:sz w:val="18"/>
              </w:rPr>
              <w:t> </w:t>
            </w:r>
            <w:r>
              <w:rPr>
                <w:color w:val="105C84"/>
                <w:spacing w:val="-2"/>
                <w:sz w:val="18"/>
              </w:rPr>
              <w:t>the</w:t>
            </w:r>
            <w:r>
              <w:rPr>
                <w:color w:val="105C84"/>
                <w:spacing w:val="-10"/>
                <w:sz w:val="18"/>
              </w:rPr>
              <w:t> </w:t>
            </w:r>
            <w:r>
              <w:rPr>
                <w:color w:val="105C84"/>
                <w:spacing w:val="-2"/>
                <w:sz w:val="18"/>
              </w:rPr>
              <w:t>percentag</w:t>
            </w:r>
            <w:r>
              <w:rPr>
                <w:color w:val="105C84"/>
                <w:spacing w:val="-2"/>
                <w:sz w:val="18"/>
              </w:rPr>
              <w:t>e</w:t>
            </w:r>
            <w:r>
              <w:rPr>
                <w:color w:val="105C84"/>
                <w:spacing w:val="-2"/>
                <w:sz w:val="18"/>
              </w:rPr>
              <w:t> </w:t>
            </w:r>
            <w:r>
              <w:rPr>
                <w:color w:val="105C84"/>
                <w:sz w:val="18"/>
              </w:rPr>
              <w:t>of adults with HTN who are currently taking medicine</w:t>
            </w:r>
          </w:p>
          <w:p>
            <w:pPr>
              <w:pStyle w:val="TableParagraph"/>
              <w:spacing w:line="232" w:lineRule="auto"/>
              <w:ind w:left="90" w:right="516"/>
              <w:rPr>
                <w:sz w:val="18"/>
              </w:rPr>
            </w:pPr>
            <w:r>
              <w:rPr>
                <w:color w:val="105C84"/>
                <w:w w:val="105"/>
                <w:sz w:val="18"/>
              </w:rPr>
              <w:t>to</w:t>
            </w:r>
            <w:r>
              <w:rPr>
                <w:color w:val="105C84"/>
                <w:spacing w:val="-14"/>
                <w:w w:val="105"/>
                <w:sz w:val="18"/>
              </w:rPr>
              <w:t> </w:t>
            </w:r>
            <w:r>
              <w:rPr>
                <w:color w:val="105C84"/>
                <w:w w:val="105"/>
                <w:sz w:val="18"/>
              </w:rPr>
              <w:t>manage</w:t>
            </w:r>
            <w:r>
              <w:rPr>
                <w:color w:val="105C84"/>
                <w:spacing w:val="-13"/>
                <w:w w:val="105"/>
                <w:sz w:val="18"/>
              </w:rPr>
              <w:t> </w:t>
            </w:r>
            <w:r>
              <w:rPr>
                <w:color w:val="105C84"/>
                <w:w w:val="105"/>
                <w:sz w:val="18"/>
              </w:rPr>
              <w:t>their</w:t>
            </w:r>
            <w:r>
              <w:rPr>
                <w:color w:val="105C84"/>
                <w:spacing w:val="-13"/>
                <w:w w:val="105"/>
                <w:sz w:val="18"/>
              </w:rPr>
              <w:t> </w:t>
            </w:r>
            <w:r>
              <w:rPr>
                <w:color w:val="105C84"/>
                <w:w w:val="105"/>
                <w:sz w:val="18"/>
              </w:rPr>
              <w:t>high</w:t>
            </w:r>
            <w:r>
              <w:rPr>
                <w:color w:val="105C84"/>
                <w:spacing w:val="-13"/>
                <w:w w:val="105"/>
                <w:sz w:val="18"/>
              </w:rPr>
              <w:t> </w:t>
            </w:r>
            <w:r>
              <w:rPr>
                <w:color w:val="105C84"/>
                <w:w w:val="105"/>
                <w:sz w:val="18"/>
              </w:rPr>
              <w:t>blood </w:t>
            </w:r>
            <w:r>
              <w:rPr>
                <w:color w:val="105C84"/>
                <w:spacing w:val="-2"/>
                <w:w w:val="105"/>
                <w:sz w:val="18"/>
              </w:rPr>
              <w:t>pressure</w:t>
            </w:r>
          </w:p>
        </w:tc>
        <w:tc>
          <w:tcPr>
            <w:tcW w:w="1267" w:type="dxa"/>
            <w:vMerge/>
            <w:tcBorders>
              <w:top w:val="nil"/>
              <w:left w:val="single" w:sz="4" w:space="0" w:color="BCBEC0"/>
              <w:right w:val="single" w:sz="4" w:space="0" w:color="BCBEC0"/>
            </w:tcBorders>
          </w:tcPr>
          <w:p>
            <w:pPr>
              <w:rPr>
                <w:sz w:val="2"/>
                <w:szCs w:val="2"/>
              </w:rPr>
            </w:pPr>
          </w:p>
        </w:tc>
        <w:tc>
          <w:tcPr>
            <w:tcW w:w="2875" w:type="dxa"/>
            <w:vMerge/>
            <w:tcBorders>
              <w:top w:val="nil"/>
              <w:left w:val="single" w:sz="4" w:space="0" w:color="BCBEC0"/>
              <w:right w:val="nil"/>
            </w:tcBorders>
          </w:tcPr>
          <w:p>
            <w:pPr>
              <w:rPr>
                <w:sz w:val="2"/>
                <w:szCs w:val="2"/>
              </w:rPr>
            </w:pPr>
          </w:p>
        </w:tc>
        <w:tc>
          <w:tcPr>
            <w:tcW w:w="2971" w:type="dxa"/>
            <w:vMerge/>
            <w:tcBorders>
              <w:top w:val="nil"/>
              <w:left w:val="nil"/>
              <w:right w:val="single" w:sz="4" w:space="0" w:color="BCBEC0"/>
            </w:tcBorders>
          </w:tcPr>
          <w:p>
            <w:pPr>
              <w:rPr>
                <w:sz w:val="2"/>
                <w:szCs w:val="2"/>
              </w:rPr>
            </w:pPr>
          </w:p>
        </w:tc>
        <w:tc>
          <w:tcPr>
            <w:tcW w:w="1872" w:type="dxa"/>
            <w:tcBorders>
              <w:top w:val="nil"/>
              <w:left w:val="single" w:sz="4" w:space="0" w:color="BCBEC0"/>
              <w:bottom w:val="nil"/>
              <w:right w:val="single" w:sz="4" w:space="0" w:color="BCBEC0"/>
            </w:tcBorders>
          </w:tcPr>
          <w:p>
            <w:pPr>
              <w:pStyle w:val="TableParagraph"/>
              <w:rPr>
                <w:rFonts w:ascii="Times New Roman"/>
                <w:sz w:val="18"/>
              </w:rPr>
            </w:pPr>
          </w:p>
        </w:tc>
        <w:tc>
          <w:tcPr>
            <w:tcW w:w="4090" w:type="dxa"/>
            <w:tcBorders>
              <w:top w:val="nil"/>
              <w:left w:val="single" w:sz="4" w:space="0" w:color="BCBEC0"/>
              <w:bottom w:val="nil"/>
              <w:right w:val="single" w:sz="4" w:space="0" w:color="BCBEC0"/>
            </w:tcBorders>
          </w:tcPr>
          <w:p>
            <w:pPr>
              <w:pStyle w:val="TableParagraph"/>
              <w:rPr>
                <w:rFonts w:ascii="Times New Roman"/>
                <w:sz w:val="18"/>
              </w:rPr>
            </w:pPr>
          </w:p>
        </w:tc>
        <w:tc>
          <w:tcPr>
            <w:tcW w:w="2098" w:type="dxa"/>
            <w:tcBorders>
              <w:top w:val="nil"/>
              <w:left w:val="single" w:sz="4" w:space="0" w:color="BCBEC0"/>
              <w:bottom w:val="nil"/>
              <w:right w:val="single" w:sz="4" w:space="0" w:color="BCBEC0"/>
            </w:tcBorders>
          </w:tcPr>
          <w:p>
            <w:pPr>
              <w:pStyle w:val="TableParagraph"/>
              <w:rPr>
                <w:rFonts w:ascii="Times New Roman"/>
                <w:sz w:val="18"/>
              </w:rPr>
            </w:pPr>
          </w:p>
        </w:tc>
      </w:tr>
      <w:tr>
        <w:trPr>
          <w:trHeight w:val="288" w:hRule="atLeast"/>
        </w:trPr>
        <w:tc>
          <w:tcPr>
            <w:tcW w:w="1353" w:type="dxa"/>
            <w:tcBorders>
              <w:top w:val="nil"/>
              <w:left w:val="single" w:sz="4" w:space="0" w:color="BCBEC0"/>
              <w:bottom w:val="nil"/>
              <w:right w:val="single" w:sz="4" w:space="0" w:color="BCBEC0"/>
            </w:tcBorders>
            <w:shd w:val="clear" w:color="auto" w:fill="E6E7E8"/>
          </w:tcPr>
          <w:p>
            <w:pPr>
              <w:pStyle w:val="TableParagraph"/>
              <w:rPr>
                <w:rFonts w:ascii="Times New Roman"/>
                <w:sz w:val="18"/>
              </w:rPr>
            </w:pPr>
          </w:p>
        </w:tc>
        <w:tc>
          <w:tcPr>
            <w:tcW w:w="1289" w:type="dxa"/>
            <w:tcBorders>
              <w:top w:val="nil"/>
              <w:left w:val="single" w:sz="4" w:space="0" w:color="BCBEC0"/>
              <w:bottom w:val="nil"/>
              <w:right w:val="single" w:sz="4" w:space="0" w:color="BCBEC0"/>
            </w:tcBorders>
          </w:tcPr>
          <w:p>
            <w:pPr>
              <w:pStyle w:val="TableParagraph"/>
              <w:rPr>
                <w:rFonts w:ascii="Times New Roman"/>
                <w:sz w:val="18"/>
              </w:rPr>
            </w:pPr>
          </w:p>
        </w:tc>
        <w:tc>
          <w:tcPr>
            <w:tcW w:w="1591" w:type="dxa"/>
            <w:tcBorders>
              <w:top w:val="nil"/>
              <w:left w:val="single" w:sz="4" w:space="0" w:color="BCBEC0"/>
              <w:bottom w:val="nil"/>
              <w:right w:val="single" w:sz="4" w:space="0" w:color="BCBEC0"/>
            </w:tcBorders>
          </w:tcPr>
          <w:p>
            <w:pPr>
              <w:pStyle w:val="TableParagraph"/>
              <w:rPr>
                <w:rFonts w:ascii="Times New Roman"/>
                <w:sz w:val="18"/>
              </w:rPr>
            </w:pPr>
          </w:p>
        </w:tc>
        <w:tc>
          <w:tcPr>
            <w:tcW w:w="2822" w:type="dxa"/>
            <w:tcBorders>
              <w:top w:val="nil"/>
              <w:left w:val="single" w:sz="4" w:space="0" w:color="BCBEC0"/>
              <w:bottom w:val="nil"/>
              <w:right w:val="single" w:sz="4" w:space="0" w:color="BCBEC0"/>
            </w:tcBorders>
          </w:tcPr>
          <w:p>
            <w:pPr>
              <w:pStyle w:val="TableParagraph"/>
              <w:spacing w:before="32"/>
              <w:ind w:left="90"/>
              <w:rPr>
                <w:sz w:val="18"/>
              </w:rPr>
            </w:pPr>
            <w:r>
              <w:rPr>
                <w:color w:val="105C84"/>
                <w:spacing w:val="-4"/>
                <w:sz w:val="18"/>
              </w:rPr>
              <w:t>Target:</w:t>
            </w:r>
            <w:r>
              <w:rPr>
                <w:color w:val="105C84"/>
                <w:spacing w:val="-1"/>
                <w:sz w:val="18"/>
              </w:rPr>
              <w:t> </w:t>
            </w:r>
            <w:r>
              <w:rPr>
                <w:color w:val="105C84"/>
                <w:spacing w:val="-2"/>
                <w:sz w:val="18"/>
              </w:rPr>
              <w:t>80.7%</w:t>
            </w:r>
          </w:p>
        </w:tc>
        <w:tc>
          <w:tcPr>
            <w:tcW w:w="1267" w:type="dxa"/>
            <w:vMerge/>
            <w:tcBorders>
              <w:top w:val="nil"/>
              <w:left w:val="single" w:sz="4" w:space="0" w:color="BCBEC0"/>
              <w:right w:val="single" w:sz="4" w:space="0" w:color="BCBEC0"/>
            </w:tcBorders>
          </w:tcPr>
          <w:p>
            <w:pPr>
              <w:rPr>
                <w:sz w:val="2"/>
                <w:szCs w:val="2"/>
              </w:rPr>
            </w:pPr>
          </w:p>
        </w:tc>
        <w:tc>
          <w:tcPr>
            <w:tcW w:w="2875" w:type="dxa"/>
            <w:vMerge/>
            <w:tcBorders>
              <w:top w:val="nil"/>
              <w:left w:val="single" w:sz="4" w:space="0" w:color="BCBEC0"/>
              <w:right w:val="nil"/>
            </w:tcBorders>
          </w:tcPr>
          <w:p>
            <w:pPr>
              <w:rPr>
                <w:sz w:val="2"/>
                <w:szCs w:val="2"/>
              </w:rPr>
            </w:pPr>
          </w:p>
        </w:tc>
        <w:tc>
          <w:tcPr>
            <w:tcW w:w="2971" w:type="dxa"/>
            <w:vMerge/>
            <w:tcBorders>
              <w:top w:val="nil"/>
              <w:left w:val="nil"/>
              <w:right w:val="single" w:sz="4" w:space="0" w:color="BCBEC0"/>
            </w:tcBorders>
          </w:tcPr>
          <w:p>
            <w:pPr>
              <w:rPr>
                <w:sz w:val="2"/>
                <w:szCs w:val="2"/>
              </w:rPr>
            </w:pPr>
          </w:p>
        </w:tc>
        <w:tc>
          <w:tcPr>
            <w:tcW w:w="1872" w:type="dxa"/>
            <w:tcBorders>
              <w:top w:val="nil"/>
              <w:left w:val="single" w:sz="4" w:space="0" w:color="BCBEC0"/>
              <w:bottom w:val="nil"/>
              <w:right w:val="single" w:sz="4" w:space="0" w:color="BCBEC0"/>
            </w:tcBorders>
          </w:tcPr>
          <w:p>
            <w:pPr>
              <w:pStyle w:val="TableParagraph"/>
              <w:rPr>
                <w:rFonts w:ascii="Times New Roman"/>
                <w:sz w:val="18"/>
              </w:rPr>
            </w:pPr>
          </w:p>
        </w:tc>
        <w:tc>
          <w:tcPr>
            <w:tcW w:w="4090" w:type="dxa"/>
            <w:tcBorders>
              <w:top w:val="nil"/>
              <w:left w:val="single" w:sz="4" w:space="0" w:color="BCBEC0"/>
              <w:bottom w:val="nil"/>
              <w:right w:val="single" w:sz="4" w:space="0" w:color="BCBEC0"/>
            </w:tcBorders>
          </w:tcPr>
          <w:p>
            <w:pPr>
              <w:pStyle w:val="TableParagraph"/>
              <w:rPr>
                <w:rFonts w:ascii="Times New Roman"/>
                <w:sz w:val="18"/>
              </w:rPr>
            </w:pPr>
          </w:p>
        </w:tc>
        <w:tc>
          <w:tcPr>
            <w:tcW w:w="2098" w:type="dxa"/>
            <w:tcBorders>
              <w:top w:val="nil"/>
              <w:left w:val="single" w:sz="4" w:space="0" w:color="BCBEC0"/>
              <w:bottom w:val="nil"/>
              <w:right w:val="single" w:sz="4" w:space="0" w:color="BCBEC0"/>
            </w:tcBorders>
          </w:tcPr>
          <w:p>
            <w:pPr>
              <w:pStyle w:val="TableParagraph"/>
              <w:rPr>
                <w:rFonts w:ascii="Times New Roman"/>
                <w:sz w:val="18"/>
              </w:rPr>
            </w:pPr>
          </w:p>
        </w:tc>
      </w:tr>
      <w:tr>
        <w:trPr>
          <w:trHeight w:val="288" w:hRule="atLeast"/>
        </w:trPr>
        <w:tc>
          <w:tcPr>
            <w:tcW w:w="1353" w:type="dxa"/>
            <w:tcBorders>
              <w:top w:val="nil"/>
              <w:left w:val="single" w:sz="4" w:space="0" w:color="BCBEC0"/>
              <w:bottom w:val="nil"/>
              <w:right w:val="single" w:sz="4" w:space="0" w:color="BCBEC0"/>
            </w:tcBorders>
            <w:shd w:val="clear" w:color="auto" w:fill="E6E7E8"/>
          </w:tcPr>
          <w:p>
            <w:pPr>
              <w:pStyle w:val="TableParagraph"/>
              <w:rPr>
                <w:rFonts w:ascii="Times New Roman"/>
                <w:sz w:val="18"/>
              </w:rPr>
            </w:pPr>
          </w:p>
        </w:tc>
        <w:tc>
          <w:tcPr>
            <w:tcW w:w="1289" w:type="dxa"/>
            <w:tcBorders>
              <w:top w:val="nil"/>
              <w:left w:val="single" w:sz="4" w:space="0" w:color="BCBEC0"/>
              <w:bottom w:val="nil"/>
              <w:right w:val="single" w:sz="4" w:space="0" w:color="BCBEC0"/>
            </w:tcBorders>
          </w:tcPr>
          <w:p>
            <w:pPr>
              <w:pStyle w:val="TableParagraph"/>
              <w:rPr>
                <w:rFonts w:ascii="Times New Roman"/>
                <w:sz w:val="18"/>
              </w:rPr>
            </w:pPr>
          </w:p>
        </w:tc>
        <w:tc>
          <w:tcPr>
            <w:tcW w:w="1591" w:type="dxa"/>
            <w:tcBorders>
              <w:top w:val="nil"/>
              <w:left w:val="single" w:sz="4" w:space="0" w:color="BCBEC0"/>
              <w:bottom w:val="nil"/>
              <w:right w:val="single" w:sz="4" w:space="0" w:color="BCBEC0"/>
            </w:tcBorders>
          </w:tcPr>
          <w:p>
            <w:pPr>
              <w:pStyle w:val="TableParagraph"/>
              <w:rPr>
                <w:rFonts w:ascii="Times New Roman"/>
                <w:sz w:val="18"/>
              </w:rPr>
            </w:pPr>
          </w:p>
        </w:tc>
        <w:tc>
          <w:tcPr>
            <w:tcW w:w="2822" w:type="dxa"/>
            <w:tcBorders>
              <w:top w:val="nil"/>
              <w:left w:val="single" w:sz="4" w:space="0" w:color="BCBEC0"/>
              <w:bottom w:val="nil"/>
              <w:right w:val="single" w:sz="4" w:space="0" w:color="BCBEC0"/>
            </w:tcBorders>
          </w:tcPr>
          <w:p>
            <w:pPr>
              <w:pStyle w:val="TableParagraph"/>
              <w:spacing w:before="32"/>
              <w:ind w:left="90"/>
              <w:rPr>
                <w:sz w:val="18"/>
              </w:rPr>
            </w:pPr>
            <w:r>
              <w:rPr>
                <w:color w:val="105C84"/>
                <w:spacing w:val="-6"/>
                <w:sz w:val="18"/>
              </w:rPr>
              <w:t>Baseline:</w:t>
            </w:r>
            <w:r>
              <w:rPr>
                <w:color w:val="105C84"/>
                <w:spacing w:val="2"/>
                <w:sz w:val="18"/>
              </w:rPr>
              <w:t> </w:t>
            </w:r>
            <w:r>
              <w:rPr>
                <w:color w:val="105C84"/>
                <w:spacing w:val="-6"/>
                <w:sz w:val="18"/>
              </w:rPr>
              <w:t>76.9%</w:t>
            </w:r>
            <w:r>
              <w:rPr>
                <w:color w:val="105C84"/>
                <w:spacing w:val="3"/>
                <w:sz w:val="18"/>
              </w:rPr>
              <w:t> </w:t>
            </w:r>
            <w:r>
              <w:rPr>
                <w:color w:val="105C84"/>
                <w:spacing w:val="-6"/>
                <w:sz w:val="18"/>
              </w:rPr>
              <w:t>(2016)</w:t>
            </w:r>
          </w:p>
        </w:tc>
        <w:tc>
          <w:tcPr>
            <w:tcW w:w="1267" w:type="dxa"/>
            <w:vMerge/>
            <w:tcBorders>
              <w:top w:val="nil"/>
              <w:left w:val="single" w:sz="4" w:space="0" w:color="BCBEC0"/>
              <w:right w:val="single" w:sz="4" w:space="0" w:color="BCBEC0"/>
            </w:tcBorders>
          </w:tcPr>
          <w:p>
            <w:pPr>
              <w:rPr>
                <w:sz w:val="2"/>
                <w:szCs w:val="2"/>
              </w:rPr>
            </w:pPr>
          </w:p>
        </w:tc>
        <w:tc>
          <w:tcPr>
            <w:tcW w:w="2875" w:type="dxa"/>
            <w:vMerge/>
            <w:tcBorders>
              <w:top w:val="nil"/>
              <w:left w:val="single" w:sz="4" w:space="0" w:color="BCBEC0"/>
              <w:right w:val="nil"/>
            </w:tcBorders>
          </w:tcPr>
          <w:p>
            <w:pPr>
              <w:rPr>
                <w:sz w:val="2"/>
                <w:szCs w:val="2"/>
              </w:rPr>
            </w:pPr>
          </w:p>
        </w:tc>
        <w:tc>
          <w:tcPr>
            <w:tcW w:w="2971" w:type="dxa"/>
            <w:vMerge/>
            <w:tcBorders>
              <w:top w:val="nil"/>
              <w:left w:val="nil"/>
              <w:right w:val="single" w:sz="4" w:space="0" w:color="BCBEC0"/>
            </w:tcBorders>
          </w:tcPr>
          <w:p>
            <w:pPr>
              <w:rPr>
                <w:sz w:val="2"/>
                <w:szCs w:val="2"/>
              </w:rPr>
            </w:pPr>
          </w:p>
        </w:tc>
        <w:tc>
          <w:tcPr>
            <w:tcW w:w="1872" w:type="dxa"/>
            <w:tcBorders>
              <w:top w:val="nil"/>
              <w:left w:val="single" w:sz="4" w:space="0" w:color="BCBEC0"/>
              <w:bottom w:val="nil"/>
              <w:right w:val="single" w:sz="4" w:space="0" w:color="BCBEC0"/>
            </w:tcBorders>
          </w:tcPr>
          <w:p>
            <w:pPr>
              <w:pStyle w:val="TableParagraph"/>
              <w:rPr>
                <w:rFonts w:ascii="Times New Roman"/>
                <w:sz w:val="18"/>
              </w:rPr>
            </w:pPr>
          </w:p>
        </w:tc>
        <w:tc>
          <w:tcPr>
            <w:tcW w:w="4090" w:type="dxa"/>
            <w:tcBorders>
              <w:top w:val="nil"/>
              <w:left w:val="single" w:sz="4" w:space="0" w:color="BCBEC0"/>
              <w:bottom w:val="nil"/>
              <w:right w:val="single" w:sz="4" w:space="0" w:color="BCBEC0"/>
            </w:tcBorders>
          </w:tcPr>
          <w:p>
            <w:pPr>
              <w:pStyle w:val="TableParagraph"/>
              <w:rPr>
                <w:rFonts w:ascii="Times New Roman"/>
                <w:sz w:val="18"/>
              </w:rPr>
            </w:pPr>
          </w:p>
        </w:tc>
        <w:tc>
          <w:tcPr>
            <w:tcW w:w="2098" w:type="dxa"/>
            <w:tcBorders>
              <w:top w:val="nil"/>
              <w:left w:val="single" w:sz="4" w:space="0" w:color="BCBEC0"/>
              <w:bottom w:val="nil"/>
              <w:right w:val="single" w:sz="4" w:space="0" w:color="BCBEC0"/>
            </w:tcBorders>
          </w:tcPr>
          <w:p>
            <w:pPr>
              <w:pStyle w:val="TableParagraph"/>
              <w:rPr>
                <w:rFonts w:ascii="Times New Roman"/>
                <w:sz w:val="18"/>
              </w:rPr>
            </w:pPr>
          </w:p>
        </w:tc>
      </w:tr>
      <w:tr>
        <w:trPr>
          <w:trHeight w:val="288" w:hRule="atLeast"/>
        </w:trPr>
        <w:tc>
          <w:tcPr>
            <w:tcW w:w="1353" w:type="dxa"/>
            <w:tcBorders>
              <w:top w:val="nil"/>
              <w:left w:val="single" w:sz="4" w:space="0" w:color="BCBEC0"/>
              <w:bottom w:val="nil"/>
              <w:right w:val="single" w:sz="4" w:space="0" w:color="BCBEC0"/>
            </w:tcBorders>
            <w:shd w:val="clear" w:color="auto" w:fill="E6E7E8"/>
          </w:tcPr>
          <w:p>
            <w:pPr>
              <w:pStyle w:val="TableParagraph"/>
              <w:rPr>
                <w:rFonts w:ascii="Times New Roman"/>
                <w:sz w:val="18"/>
              </w:rPr>
            </w:pPr>
          </w:p>
        </w:tc>
        <w:tc>
          <w:tcPr>
            <w:tcW w:w="1289" w:type="dxa"/>
            <w:tcBorders>
              <w:top w:val="nil"/>
              <w:left w:val="single" w:sz="4" w:space="0" w:color="BCBEC0"/>
              <w:bottom w:val="nil"/>
              <w:right w:val="single" w:sz="4" w:space="0" w:color="BCBEC0"/>
            </w:tcBorders>
          </w:tcPr>
          <w:p>
            <w:pPr>
              <w:pStyle w:val="TableParagraph"/>
              <w:rPr>
                <w:rFonts w:ascii="Times New Roman"/>
                <w:sz w:val="18"/>
              </w:rPr>
            </w:pPr>
          </w:p>
        </w:tc>
        <w:tc>
          <w:tcPr>
            <w:tcW w:w="1591" w:type="dxa"/>
            <w:tcBorders>
              <w:top w:val="nil"/>
              <w:left w:val="single" w:sz="4" w:space="0" w:color="BCBEC0"/>
              <w:bottom w:val="nil"/>
              <w:right w:val="single" w:sz="4" w:space="0" w:color="BCBEC0"/>
            </w:tcBorders>
          </w:tcPr>
          <w:p>
            <w:pPr>
              <w:pStyle w:val="TableParagraph"/>
              <w:rPr>
                <w:rFonts w:ascii="Times New Roman"/>
                <w:sz w:val="18"/>
              </w:rPr>
            </w:pPr>
          </w:p>
        </w:tc>
        <w:tc>
          <w:tcPr>
            <w:tcW w:w="2822" w:type="dxa"/>
            <w:tcBorders>
              <w:top w:val="nil"/>
              <w:left w:val="single" w:sz="4" w:space="0" w:color="BCBEC0"/>
              <w:bottom w:val="nil"/>
              <w:right w:val="single" w:sz="4" w:space="0" w:color="BCBEC0"/>
            </w:tcBorders>
          </w:tcPr>
          <w:p>
            <w:pPr>
              <w:pStyle w:val="TableParagraph"/>
              <w:spacing w:before="32"/>
              <w:ind w:left="90"/>
              <w:rPr>
                <w:sz w:val="18"/>
              </w:rPr>
            </w:pPr>
            <w:r>
              <w:rPr>
                <w:color w:val="105C84"/>
                <w:spacing w:val="-2"/>
                <w:sz w:val="18"/>
              </w:rPr>
              <w:t>Data</w:t>
            </w:r>
            <w:r>
              <w:rPr>
                <w:color w:val="105C84"/>
                <w:spacing w:val="-9"/>
                <w:sz w:val="18"/>
              </w:rPr>
              <w:t> </w:t>
            </w:r>
            <w:r>
              <w:rPr>
                <w:color w:val="105C84"/>
                <w:spacing w:val="-2"/>
                <w:sz w:val="18"/>
              </w:rPr>
              <w:t>Source:</w:t>
            </w:r>
            <w:r>
              <w:rPr>
                <w:color w:val="105C84"/>
                <w:spacing w:val="-8"/>
                <w:sz w:val="18"/>
              </w:rPr>
              <w:t> </w:t>
            </w:r>
            <w:r>
              <w:rPr>
                <w:color w:val="105C84"/>
                <w:spacing w:val="-2"/>
                <w:sz w:val="18"/>
              </w:rPr>
              <w:t>BRFSS</w:t>
            </w:r>
          </w:p>
        </w:tc>
        <w:tc>
          <w:tcPr>
            <w:tcW w:w="1267" w:type="dxa"/>
            <w:vMerge/>
            <w:tcBorders>
              <w:top w:val="nil"/>
              <w:left w:val="single" w:sz="4" w:space="0" w:color="BCBEC0"/>
              <w:right w:val="single" w:sz="4" w:space="0" w:color="BCBEC0"/>
            </w:tcBorders>
          </w:tcPr>
          <w:p>
            <w:pPr>
              <w:rPr>
                <w:sz w:val="2"/>
                <w:szCs w:val="2"/>
              </w:rPr>
            </w:pPr>
          </w:p>
        </w:tc>
        <w:tc>
          <w:tcPr>
            <w:tcW w:w="2875" w:type="dxa"/>
            <w:vMerge/>
            <w:tcBorders>
              <w:top w:val="nil"/>
              <w:left w:val="single" w:sz="4" w:space="0" w:color="BCBEC0"/>
              <w:right w:val="nil"/>
            </w:tcBorders>
          </w:tcPr>
          <w:p>
            <w:pPr>
              <w:rPr>
                <w:sz w:val="2"/>
                <w:szCs w:val="2"/>
              </w:rPr>
            </w:pPr>
          </w:p>
        </w:tc>
        <w:tc>
          <w:tcPr>
            <w:tcW w:w="2971" w:type="dxa"/>
            <w:vMerge/>
            <w:tcBorders>
              <w:top w:val="nil"/>
              <w:left w:val="nil"/>
              <w:right w:val="single" w:sz="4" w:space="0" w:color="BCBEC0"/>
            </w:tcBorders>
          </w:tcPr>
          <w:p>
            <w:pPr>
              <w:rPr>
                <w:sz w:val="2"/>
                <w:szCs w:val="2"/>
              </w:rPr>
            </w:pPr>
          </w:p>
        </w:tc>
        <w:tc>
          <w:tcPr>
            <w:tcW w:w="1872" w:type="dxa"/>
            <w:tcBorders>
              <w:top w:val="nil"/>
              <w:left w:val="single" w:sz="4" w:space="0" w:color="BCBEC0"/>
              <w:bottom w:val="nil"/>
              <w:right w:val="single" w:sz="4" w:space="0" w:color="BCBEC0"/>
            </w:tcBorders>
          </w:tcPr>
          <w:p>
            <w:pPr>
              <w:pStyle w:val="TableParagraph"/>
              <w:rPr>
                <w:rFonts w:ascii="Times New Roman"/>
                <w:sz w:val="18"/>
              </w:rPr>
            </w:pPr>
          </w:p>
        </w:tc>
        <w:tc>
          <w:tcPr>
            <w:tcW w:w="4090" w:type="dxa"/>
            <w:tcBorders>
              <w:top w:val="nil"/>
              <w:left w:val="single" w:sz="4" w:space="0" w:color="BCBEC0"/>
              <w:bottom w:val="nil"/>
              <w:right w:val="single" w:sz="4" w:space="0" w:color="BCBEC0"/>
            </w:tcBorders>
          </w:tcPr>
          <w:p>
            <w:pPr>
              <w:pStyle w:val="TableParagraph"/>
              <w:rPr>
                <w:rFonts w:ascii="Times New Roman"/>
                <w:sz w:val="18"/>
              </w:rPr>
            </w:pPr>
          </w:p>
        </w:tc>
        <w:tc>
          <w:tcPr>
            <w:tcW w:w="2098" w:type="dxa"/>
            <w:tcBorders>
              <w:top w:val="nil"/>
              <w:left w:val="single" w:sz="4" w:space="0" w:color="BCBEC0"/>
              <w:bottom w:val="nil"/>
              <w:right w:val="single" w:sz="4" w:space="0" w:color="BCBEC0"/>
            </w:tcBorders>
          </w:tcPr>
          <w:p>
            <w:pPr>
              <w:pStyle w:val="TableParagraph"/>
              <w:rPr>
                <w:rFonts w:ascii="Times New Roman"/>
                <w:sz w:val="18"/>
              </w:rPr>
            </w:pPr>
          </w:p>
        </w:tc>
      </w:tr>
      <w:tr>
        <w:trPr>
          <w:trHeight w:val="297" w:hRule="atLeast"/>
        </w:trPr>
        <w:tc>
          <w:tcPr>
            <w:tcW w:w="1353" w:type="dxa"/>
            <w:tcBorders>
              <w:top w:val="nil"/>
              <w:left w:val="single" w:sz="4" w:space="0" w:color="BCBEC0"/>
              <w:bottom w:val="nil"/>
              <w:right w:val="single" w:sz="4" w:space="0" w:color="BCBEC0"/>
            </w:tcBorders>
            <w:shd w:val="clear" w:color="auto" w:fill="E6E7E8"/>
          </w:tcPr>
          <w:p>
            <w:pPr>
              <w:pStyle w:val="TableParagraph"/>
              <w:rPr>
                <w:rFonts w:ascii="Times New Roman"/>
                <w:sz w:val="18"/>
              </w:rPr>
            </w:pPr>
          </w:p>
        </w:tc>
        <w:tc>
          <w:tcPr>
            <w:tcW w:w="1289" w:type="dxa"/>
            <w:tcBorders>
              <w:top w:val="nil"/>
              <w:left w:val="single" w:sz="4" w:space="0" w:color="BCBEC0"/>
              <w:bottom w:val="nil"/>
              <w:right w:val="single" w:sz="4" w:space="0" w:color="BCBEC0"/>
            </w:tcBorders>
          </w:tcPr>
          <w:p>
            <w:pPr>
              <w:pStyle w:val="TableParagraph"/>
              <w:rPr>
                <w:rFonts w:ascii="Times New Roman"/>
                <w:sz w:val="18"/>
              </w:rPr>
            </w:pPr>
          </w:p>
        </w:tc>
        <w:tc>
          <w:tcPr>
            <w:tcW w:w="1591" w:type="dxa"/>
            <w:tcBorders>
              <w:top w:val="nil"/>
              <w:left w:val="single" w:sz="4" w:space="0" w:color="BCBEC0"/>
              <w:bottom w:val="nil"/>
              <w:right w:val="single" w:sz="4" w:space="0" w:color="BCBEC0"/>
            </w:tcBorders>
          </w:tcPr>
          <w:p>
            <w:pPr>
              <w:pStyle w:val="TableParagraph"/>
              <w:rPr>
                <w:rFonts w:ascii="Times New Roman"/>
                <w:sz w:val="18"/>
              </w:rPr>
            </w:pPr>
          </w:p>
        </w:tc>
        <w:tc>
          <w:tcPr>
            <w:tcW w:w="2822" w:type="dxa"/>
            <w:tcBorders>
              <w:top w:val="nil"/>
              <w:left w:val="single" w:sz="4" w:space="0" w:color="BCBEC0"/>
              <w:right w:val="single" w:sz="4" w:space="0" w:color="BCBEC0"/>
            </w:tcBorders>
          </w:tcPr>
          <w:p>
            <w:pPr>
              <w:pStyle w:val="TableParagraph"/>
              <w:spacing w:before="32"/>
              <w:ind w:left="90"/>
              <w:rPr>
                <w:sz w:val="18"/>
              </w:rPr>
            </w:pPr>
            <w:r>
              <w:rPr>
                <w:color w:val="105C84"/>
                <w:sz w:val="18"/>
              </w:rPr>
              <w:t>Data</w:t>
            </w:r>
            <w:r>
              <w:rPr>
                <w:color w:val="105C84"/>
                <w:spacing w:val="-12"/>
                <w:sz w:val="18"/>
              </w:rPr>
              <w:t> </w:t>
            </w:r>
            <w:r>
              <w:rPr>
                <w:color w:val="105C84"/>
                <w:sz w:val="18"/>
              </w:rPr>
              <w:t>Level:</w:t>
            </w:r>
            <w:r>
              <w:rPr>
                <w:color w:val="105C84"/>
                <w:spacing w:val="-11"/>
                <w:sz w:val="18"/>
              </w:rPr>
              <w:t> </w:t>
            </w:r>
            <w:r>
              <w:rPr>
                <w:color w:val="105C84"/>
                <w:sz w:val="18"/>
              </w:rPr>
              <w:t>State</w:t>
            </w:r>
            <w:r>
              <w:rPr>
                <w:color w:val="105C84"/>
                <w:spacing w:val="-11"/>
                <w:sz w:val="18"/>
              </w:rPr>
              <w:t> </w:t>
            </w:r>
            <w:r>
              <w:rPr>
                <w:color w:val="105C84"/>
                <w:sz w:val="18"/>
              </w:rPr>
              <w:t>and</w:t>
            </w:r>
            <w:r>
              <w:rPr>
                <w:color w:val="105C84"/>
                <w:spacing w:val="-11"/>
                <w:sz w:val="18"/>
              </w:rPr>
              <w:t> </w:t>
            </w:r>
            <w:r>
              <w:rPr>
                <w:color w:val="105C84"/>
                <w:spacing w:val="-2"/>
                <w:sz w:val="18"/>
              </w:rPr>
              <w:t>County</w:t>
            </w:r>
          </w:p>
        </w:tc>
        <w:tc>
          <w:tcPr>
            <w:tcW w:w="1267" w:type="dxa"/>
            <w:vMerge/>
            <w:tcBorders>
              <w:top w:val="nil"/>
              <w:left w:val="single" w:sz="4" w:space="0" w:color="BCBEC0"/>
              <w:right w:val="single" w:sz="4" w:space="0" w:color="BCBEC0"/>
            </w:tcBorders>
          </w:tcPr>
          <w:p>
            <w:pPr>
              <w:rPr>
                <w:sz w:val="2"/>
                <w:szCs w:val="2"/>
              </w:rPr>
            </w:pPr>
          </w:p>
        </w:tc>
        <w:tc>
          <w:tcPr>
            <w:tcW w:w="2875" w:type="dxa"/>
            <w:vMerge/>
            <w:tcBorders>
              <w:top w:val="nil"/>
              <w:left w:val="single" w:sz="4" w:space="0" w:color="BCBEC0"/>
              <w:right w:val="nil"/>
            </w:tcBorders>
          </w:tcPr>
          <w:p>
            <w:pPr>
              <w:rPr>
                <w:sz w:val="2"/>
                <w:szCs w:val="2"/>
              </w:rPr>
            </w:pPr>
          </w:p>
        </w:tc>
        <w:tc>
          <w:tcPr>
            <w:tcW w:w="2971" w:type="dxa"/>
            <w:vMerge/>
            <w:tcBorders>
              <w:top w:val="nil"/>
              <w:left w:val="nil"/>
              <w:right w:val="single" w:sz="4" w:space="0" w:color="BCBEC0"/>
            </w:tcBorders>
          </w:tcPr>
          <w:p>
            <w:pPr>
              <w:rPr>
                <w:sz w:val="2"/>
                <w:szCs w:val="2"/>
              </w:rPr>
            </w:pPr>
          </w:p>
        </w:tc>
        <w:tc>
          <w:tcPr>
            <w:tcW w:w="1872" w:type="dxa"/>
            <w:tcBorders>
              <w:top w:val="nil"/>
              <w:left w:val="single" w:sz="4" w:space="0" w:color="BCBEC0"/>
              <w:right w:val="single" w:sz="4" w:space="0" w:color="BCBEC0"/>
            </w:tcBorders>
          </w:tcPr>
          <w:p>
            <w:pPr>
              <w:pStyle w:val="TableParagraph"/>
              <w:rPr>
                <w:rFonts w:ascii="Times New Roman"/>
                <w:sz w:val="18"/>
              </w:rPr>
            </w:pPr>
          </w:p>
        </w:tc>
        <w:tc>
          <w:tcPr>
            <w:tcW w:w="4090" w:type="dxa"/>
            <w:tcBorders>
              <w:top w:val="nil"/>
              <w:left w:val="single" w:sz="4" w:space="0" w:color="BCBEC0"/>
              <w:right w:val="single" w:sz="4" w:space="0" w:color="BCBEC0"/>
            </w:tcBorders>
          </w:tcPr>
          <w:p>
            <w:pPr>
              <w:pStyle w:val="TableParagraph"/>
              <w:rPr>
                <w:rFonts w:ascii="Times New Roman"/>
                <w:sz w:val="18"/>
              </w:rPr>
            </w:pPr>
          </w:p>
        </w:tc>
        <w:tc>
          <w:tcPr>
            <w:tcW w:w="2098" w:type="dxa"/>
            <w:tcBorders>
              <w:top w:val="nil"/>
              <w:left w:val="single" w:sz="4" w:space="0" w:color="BCBEC0"/>
              <w:right w:val="single" w:sz="4" w:space="0" w:color="BCBEC0"/>
            </w:tcBorders>
          </w:tcPr>
          <w:p>
            <w:pPr>
              <w:pStyle w:val="TableParagraph"/>
              <w:rPr>
                <w:rFonts w:ascii="Times New Roman"/>
                <w:sz w:val="18"/>
              </w:rPr>
            </w:pPr>
          </w:p>
        </w:tc>
      </w:tr>
      <w:tr>
        <w:trPr>
          <w:trHeight w:val="2271" w:hRule="atLeast"/>
        </w:trPr>
        <w:tc>
          <w:tcPr>
            <w:tcW w:w="1353" w:type="dxa"/>
            <w:tcBorders>
              <w:top w:val="nil"/>
              <w:left w:val="single" w:sz="4" w:space="0" w:color="BCBEC0"/>
              <w:bottom w:val="nil"/>
              <w:right w:val="single" w:sz="4" w:space="0" w:color="BCBEC0"/>
            </w:tcBorders>
            <w:shd w:val="clear" w:color="auto" w:fill="E6E7E8"/>
          </w:tcPr>
          <w:p>
            <w:pPr>
              <w:pStyle w:val="TableParagraph"/>
              <w:rPr>
                <w:rFonts w:ascii="Times New Roman"/>
                <w:sz w:val="18"/>
              </w:rPr>
            </w:pPr>
          </w:p>
        </w:tc>
        <w:tc>
          <w:tcPr>
            <w:tcW w:w="1289" w:type="dxa"/>
            <w:tcBorders>
              <w:top w:val="nil"/>
              <w:left w:val="single" w:sz="4" w:space="0" w:color="BCBEC0"/>
              <w:bottom w:val="nil"/>
              <w:right w:val="single" w:sz="4" w:space="0" w:color="BCBEC0"/>
            </w:tcBorders>
          </w:tcPr>
          <w:p>
            <w:pPr>
              <w:pStyle w:val="TableParagraph"/>
              <w:rPr>
                <w:rFonts w:ascii="Times New Roman"/>
                <w:sz w:val="18"/>
              </w:rPr>
            </w:pPr>
          </w:p>
        </w:tc>
        <w:tc>
          <w:tcPr>
            <w:tcW w:w="1591" w:type="dxa"/>
            <w:tcBorders>
              <w:top w:val="nil"/>
              <w:left w:val="single" w:sz="4" w:space="0" w:color="BCBEC0"/>
              <w:bottom w:val="nil"/>
              <w:right w:val="single" w:sz="4" w:space="0" w:color="BCBEC0"/>
            </w:tcBorders>
          </w:tcPr>
          <w:p>
            <w:pPr>
              <w:pStyle w:val="TableParagraph"/>
              <w:rPr>
                <w:rFonts w:ascii="Times New Roman"/>
                <w:sz w:val="18"/>
              </w:rPr>
            </w:pPr>
          </w:p>
        </w:tc>
        <w:tc>
          <w:tcPr>
            <w:tcW w:w="2822" w:type="dxa"/>
            <w:tcBorders>
              <w:left w:val="single" w:sz="4" w:space="0" w:color="BCBEC0"/>
              <w:bottom w:val="nil"/>
              <w:right w:val="single" w:sz="4" w:space="0" w:color="BCBEC0"/>
            </w:tcBorders>
          </w:tcPr>
          <w:p>
            <w:pPr>
              <w:pStyle w:val="TableParagraph"/>
              <w:spacing w:line="232" w:lineRule="auto" w:before="110"/>
              <w:ind w:left="90" w:right="175"/>
              <w:rPr>
                <w:sz w:val="18"/>
              </w:rPr>
            </w:pPr>
            <w:r>
              <w:rPr>
                <w:color w:val="105C84"/>
                <w:sz w:val="18"/>
              </w:rPr>
              <w:t>4.3.4 Increase % of adult who had</w:t>
            </w:r>
            <w:r>
              <w:rPr>
                <w:color w:val="105C84"/>
                <w:spacing w:val="-11"/>
                <w:sz w:val="18"/>
              </w:rPr>
              <w:t> </w:t>
            </w:r>
            <w:r>
              <w:rPr>
                <w:color w:val="105C84"/>
                <w:sz w:val="18"/>
              </w:rPr>
              <w:t>HTN</w:t>
            </w:r>
            <w:r>
              <w:rPr>
                <w:color w:val="105C84"/>
                <w:spacing w:val="-11"/>
                <w:sz w:val="18"/>
              </w:rPr>
              <w:t> </w:t>
            </w:r>
            <w:r>
              <w:rPr>
                <w:color w:val="105C84"/>
                <w:sz w:val="18"/>
              </w:rPr>
              <w:t>whose</w:t>
            </w:r>
            <w:r>
              <w:rPr>
                <w:color w:val="105C84"/>
                <w:spacing w:val="-11"/>
                <w:sz w:val="18"/>
              </w:rPr>
              <w:t> </w:t>
            </w:r>
            <w:r>
              <w:rPr>
                <w:color w:val="105C84"/>
                <w:sz w:val="18"/>
              </w:rPr>
              <w:t>blood</w:t>
            </w:r>
            <w:r>
              <w:rPr>
                <w:color w:val="105C84"/>
                <w:spacing w:val="-11"/>
                <w:sz w:val="18"/>
              </w:rPr>
              <w:t> </w:t>
            </w:r>
            <w:r>
              <w:rPr>
                <w:color w:val="105C84"/>
                <w:sz w:val="18"/>
              </w:rPr>
              <w:t>pressur</w:t>
            </w:r>
            <w:r>
              <w:rPr>
                <w:color w:val="105C84"/>
                <w:sz w:val="18"/>
              </w:rPr>
              <w:t>e</w:t>
            </w:r>
            <w:r>
              <w:rPr>
                <w:color w:val="105C84"/>
                <w:sz w:val="18"/>
              </w:rPr>
              <w:t> was adequately controlled during the measurement year</w:t>
            </w:r>
          </w:p>
          <w:p>
            <w:pPr>
              <w:pStyle w:val="TableParagraph"/>
              <w:spacing w:line="232" w:lineRule="auto" w:before="101"/>
              <w:ind w:left="90" w:right="249"/>
              <w:rPr>
                <w:sz w:val="18"/>
              </w:rPr>
            </w:pPr>
            <w:r>
              <w:rPr>
                <w:color w:val="105C84"/>
                <w:spacing w:val="-4"/>
                <w:sz w:val="18"/>
              </w:rPr>
              <w:t>Target:</w:t>
            </w:r>
            <w:r>
              <w:rPr>
                <w:color w:val="105C84"/>
                <w:spacing w:val="-9"/>
                <w:sz w:val="18"/>
              </w:rPr>
              <w:t> </w:t>
            </w:r>
            <w:r>
              <w:rPr>
                <w:color w:val="105C84"/>
                <w:spacing w:val="-4"/>
                <w:sz w:val="18"/>
              </w:rPr>
              <w:t>66.2%</w:t>
            </w:r>
            <w:r>
              <w:rPr>
                <w:color w:val="105C84"/>
                <w:spacing w:val="-8"/>
                <w:sz w:val="18"/>
              </w:rPr>
              <w:t> </w:t>
            </w:r>
            <w:r>
              <w:rPr>
                <w:color w:val="105C84"/>
                <w:spacing w:val="-4"/>
                <w:sz w:val="18"/>
              </w:rPr>
              <w:t>[HMO];</w:t>
            </w:r>
            <w:r>
              <w:rPr>
                <w:color w:val="105C84"/>
                <w:spacing w:val="-9"/>
                <w:sz w:val="18"/>
              </w:rPr>
              <w:t> </w:t>
            </w:r>
            <w:r>
              <w:rPr>
                <w:color w:val="105C84"/>
                <w:spacing w:val="-4"/>
                <w:sz w:val="18"/>
              </w:rPr>
              <w:t>65.1% </w:t>
            </w:r>
            <w:r>
              <w:rPr>
                <w:color w:val="105C84"/>
                <w:spacing w:val="-2"/>
                <w:sz w:val="18"/>
              </w:rPr>
              <w:t>[MMC]</w:t>
            </w:r>
          </w:p>
          <w:p>
            <w:pPr>
              <w:pStyle w:val="TableParagraph"/>
              <w:spacing w:line="203" w:lineRule="exact" w:before="96"/>
              <w:ind w:left="90"/>
              <w:rPr>
                <w:sz w:val="18"/>
              </w:rPr>
            </w:pPr>
            <w:r>
              <w:rPr>
                <w:color w:val="105C84"/>
                <w:spacing w:val="-2"/>
                <w:sz w:val="18"/>
              </w:rPr>
              <w:t>Baseline:</w:t>
            </w:r>
            <w:r>
              <w:rPr>
                <w:color w:val="105C84"/>
                <w:spacing w:val="-10"/>
                <w:sz w:val="18"/>
              </w:rPr>
              <w:t> </w:t>
            </w:r>
            <w:r>
              <w:rPr>
                <w:color w:val="105C84"/>
                <w:spacing w:val="-2"/>
                <w:sz w:val="18"/>
              </w:rPr>
              <w:t>63%</w:t>
            </w:r>
            <w:r>
              <w:rPr>
                <w:color w:val="105C84"/>
                <w:spacing w:val="-10"/>
                <w:sz w:val="18"/>
              </w:rPr>
              <w:t> </w:t>
            </w:r>
            <w:r>
              <w:rPr>
                <w:color w:val="105C84"/>
                <w:spacing w:val="-2"/>
                <w:sz w:val="18"/>
              </w:rPr>
              <w:t>[HMO];</w:t>
            </w:r>
            <w:r>
              <w:rPr>
                <w:color w:val="105C84"/>
                <w:spacing w:val="-10"/>
                <w:sz w:val="18"/>
              </w:rPr>
              <w:t> </w:t>
            </w:r>
            <w:r>
              <w:rPr>
                <w:color w:val="105C84"/>
                <w:spacing w:val="-5"/>
                <w:sz w:val="18"/>
              </w:rPr>
              <w:t>62%</w:t>
            </w:r>
          </w:p>
          <w:p>
            <w:pPr>
              <w:pStyle w:val="TableParagraph"/>
              <w:spacing w:line="203" w:lineRule="exact"/>
              <w:ind w:left="90"/>
              <w:rPr>
                <w:sz w:val="18"/>
              </w:rPr>
            </w:pPr>
            <w:r>
              <w:rPr>
                <w:color w:val="105C84"/>
                <w:sz w:val="18"/>
              </w:rPr>
              <w:t>[MMC]</w:t>
            </w:r>
            <w:r>
              <w:rPr>
                <w:color w:val="105C84"/>
                <w:spacing w:val="1"/>
                <w:sz w:val="18"/>
              </w:rPr>
              <w:t> </w:t>
            </w:r>
            <w:r>
              <w:rPr>
                <w:color w:val="105C84"/>
                <w:spacing w:val="-2"/>
                <w:sz w:val="18"/>
              </w:rPr>
              <w:t>(2016)</w:t>
            </w:r>
          </w:p>
          <w:p>
            <w:pPr>
              <w:pStyle w:val="TableParagraph"/>
              <w:spacing w:before="97"/>
              <w:ind w:left="90"/>
              <w:rPr>
                <w:sz w:val="18"/>
              </w:rPr>
            </w:pPr>
            <w:r>
              <w:rPr>
                <w:color w:val="105C84"/>
                <w:spacing w:val="-2"/>
                <w:sz w:val="18"/>
              </w:rPr>
              <w:t>Data</w:t>
            </w:r>
            <w:r>
              <w:rPr>
                <w:color w:val="105C84"/>
                <w:spacing w:val="-9"/>
                <w:sz w:val="18"/>
              </w:rPr>
              <w:t> </w:t>
            </w:r>
            <w:r>
              <w:rPr>
                <w:color w:val="105C84"/>
                <w:spacing w:val="-2"/>
                <w:sz w:val="18"/>
              </w:rPr>
              <w:t>Source:</w:t>
            </w:r>
            <w:r>
              <w:rPr>
                <w:color w:val="105C84"/>
                <w:spacing w:val="-8"/>
                <w:sz w:val="18"/>
              </w:rPr>
              <w:t> </w:t>
            </w:r>
            <w:r>
              <w:rPr>
                <w:color w:val="105C84"/>
                <w:spacing w:val="-4"/>
                <w:sz w:val="18"/>
              </w:rPr>
              <w:t>QARR</w:t>
            </w:r>
          </w:p>
        </w:tc>
        <w:tc>
          <w:tcPr>
            <w:tcW w:w="1267" w:type="dxa"/>
            <w:vMerge w:val="restart"/>
            <w:tcBorders>
              <w:left w:val="single" w:sz="4" w:space="0" w:color="BCBEC0"/>
              <w:right w:val="single" w:sz="4" w:space="0" w:color="BCBEC0"/>
            </w:tcBorders>
          </w:tcPr>
          <w:p>
            <w:pPr>
              <w:pStyle w:val="TableParagraph"/>
              <w:rPr>
                <w:rFonts w:ascii="Times New Roman"/>
                <w:sz w:val="18"/>
              </w:rPr>
            </w:pPr>
          </w:p>
        </w:tc>
        <w:tc>
          <w:tcPr>
            <w:tcW w:w="2875" w:type="dxa"/>
            <w:vMerge w:val="restart"/>
            <w:tcBorders>
              <w:left w:val="single" w:sz="4" w:space="0" w:color="BCBEC0"/>
              <w:right w:val="nil"/>
            </w:tcBorders>
          </w:tcPr>
          <w:p>
            <w:pPr>
              <w:pStyle w:val="TableParagraph"/>
              <w:spacing w:line="232" w:lineRule="auto" w:before="110"/>
              <w:ind w:left="90" w:right="1396"/>
              <w:rPr>
                <w:sz w:val="18"/>
              </w:rPr>
            </w:pPr>
            <w:r>
              <w:rPr>
                <w:color w:val="105C84"/>
                <w:sz w:val="18"/>
              </w:rPr>
              <w:t>4.3.3 Promote the</w:t>
            </w:r>
            <w:r>
              <w:rPr>
                <w:color w:val="105C84"/>
                <w:spacing w:val="-6"/>
                <w:sz w:val="18"/>
              </w:rPr>
              <w:t> </w:t>
            </w:r>
            <w:r>
              <w:rPr>
                <w:color w:val="105C84"/>
                <w:sz w:val="18"/>
              </w:rPr>
              <w:t>use</w:t>
            </w:r>
            <w:r>
              <w:rPr>
                <w:color w:val="105C84"/>
                <w:spacing w:val="-6"/>
                <w:sz w:val="18"/>
              </w:rPr>
              <w:t> </w:t>
            </w:r>
            <w:r>
              <w:rPr>
                <w:color w:val="105C84"/>
                <w:sz w:val="18"/>
              </w:rPr>
              <w:t>of</w:t>
            </w:r>
            <w:r>
              <w:rPr>
                <w:color w:val="105C84"/>
                <w:spacing w:val="-6"/>
                <w:sz w:val="18"/>
              </w:rPr>
              <w:t> </w:t>
            </w:r>
            <w:r>
              <w:rPr>
                <w:color w:val="105C84"/>
                <w:sz w:val="18"/>
              </w:rPr>
              <w:t>Health </w:t>
            </w:r>
            <w:r>
              <w:rPr>
                <w:color w:val="105C84"/>
                <w:spacing w:val="-2"/>
                <w:sz w:val="18"/>
              </w:rPr>
              <w:t>Information </w:t>
            </w:r>
            <w:r>
              <w:rPr>
                <w:color w:val="105C84"/>
                <w:sz w:val="18"/>
              </w:rPr>
              <w:t>Technology for: </w:t>
            </w:r>
            <w:r>
              <w:rPr>
                <w:color w:val="105C84"/>
                <w:spacing w:val="-2"/>
                <w:sz w:val="18"/>
              </w:rPr>
              <w:t>Measurement, Registry Development, </w:t>
            </w:r>
            <w:r>
              <w:rPr>
                <w:color w:val="105C84"/>
                <w:sz w:val="18"/>
              </w:rPr>
              <w:t>Patient</w:t>
            </w:r>
            <w:r>
              <w:rPr>
                <w:color w:val="105C84"/>
                <w:spacing w:val="-15"/>
                <w:sz w:val="18"/>
              </w:rPr>
              <w:t> </w:t>
            </w:r>
            <w:r>
              <w:rPr>
                <w:color w:val="105C84"/>
                <w:sz w:val="18"/>
              </w:rPr>
              <w:t>Alerts,</w:t>
            </w:r>
            <w:r>
              <w:rPr>
                <w:color w:val="105C84"/>
                <w:spacing w:val="-12"/>
                <w:sz w:val="18"/>
              </w:rPr>
              <w:t> </w:t>
            </w:r>
            <w:r>
              <w:rPr>
                <w:color w:val="105C84"/>
                <w:sz w:val="18"/>
              </w:rPr>
              <w:t>Bi-</w:t>
            </w:r>
          </w:p>
          <w:p>
            <w:pPr>
              <w:pStyle w:val="TableParagraph"/>
              <w:spacing w:line="232" w:lineRule="auto"/>
              <w:ind w:left="90" w:right="409"/>
              <w:rPr>
                <w:sz w:val="18"/>
              </w:rPr>
            </w:pPr>
            <w:r>
              <w:rPr>
                <w:color w:val="105C84"/>
                <w:spacing w:val="-2"/>
                <w:sz w:val="18"/>
              </w:rPr>
              <w:t>Directional</w:t>
            </w:r>
            <w:r>
              <w:rPr>
                <w:color w:val="105C84"/>
                <w:spacing w:val="-11"/>
                <w:sz w:val="18"/>
              </w:rPr>
              <w:t> </w:t>
            </w:r>
            <w:r>
              <w:rPr>
                <w:color w:val="105C84"/>
                <w:spacing w:val="-2"/>
                <w:sz w:val="18"/>
              </w:rPr>
              <w:t>Referrals, Reporting</w:t>
            </w:r>
          </w:p>
        </w:tc>
        <w:tc>
          <w:tcPr>
            <w:tcW w:w="2971" w:type="dxa"/>
            <w:vMerge w:val="restart"/>
            <w:tcBorders>
              <w:left w:val="nil"/>
              <w:right w:val="single" w:sz="4" w:space="0" w:color="BCBEC0"/>
            </w:tcBorders>
          </w:tcPr>
          <w:p>
            <w:pPr>
              <w:pStyle w:val="TableParagraph"/>
              <w:numPr>
                <w:ilvl w:val="0"/>
                <w:numId w:val="63"/>
              </w:numPr>
              <w:tabs>
                <w:tab w:pos="1353" w:val="left" w:leader="none"/>
              </w:tabs>
              <w:spacing w:line="232" w:lineRule="auto" w:before="110" w:after="0"/>
              <w:ind w:left="1167" w:right="635" w:firstLine="0"/>
              <w:jc w:val="left"/>
              <w:rPr>
                <w:sz w:val="18"/>
              </w:rPr>
            </w:pPr>
            <w:r>
              <w:rPr>
                <w:color w:val="105C84"/>
                <w:sz w:val="18"/>
              </w:rPr>
              <w:t>#</w:t>
            </w:r>
            <w:r>
              <w:rPr>
                <w:color w:val="105C84"/>
                <w:spacing w:val="-15"/>
                <w:sz w:val="18"/>
              </w:rPr>
              <w:t> </w:t>
            </w:r>
            <w:r>
              <w:rPr>
                <w:color w:val="105C84"/>
                <w:sz w:val="18"/>
              </w:rPr>
              <w:t>patients</w:t>
            </w:r>
            <w:r>
              <w:rPr>
                <w:color w:val="105C84"/>
                <w:spacing w:val="-12"/>
                <w:sz w:val="18"/>
              </w:rPr>
              <w:t> </w:t>
            </w:r>
            <w:r>
              <w:rPr>
                <w:color w:val="105C84"/>
                <w:sz w:val="18"/>
              </w:rPr>
              <w:t>in </w:t>
            </w:r>
            <w:r>
              <w:rPr>
                <w:color w:val="105C84"/>
                <w:spacing w:val="-2"/>
                <w:sz w:val="18"/>
              </w:rPr>
              <w:t>registry</w:t>
            </w:r>
          </w:p>
          <w:p>
            <w:pPr>
              <w:pStyle w:val="TableParagraph"/>
              <w:numPr>
                <w:ilvl w:val="0"/>
                <w:numId w:val="63"/>
              </w:numPr>
              <w:tabs>
                <w:tab w:pos="1353" w:val="left" w:leader="none"/>
              </w:tabs>
              <w:spacing w:line="232" w:lineRule="auto" w:before="102" w:after="0"/>
              <w:ind w:left="1167" w:right="131" w:firstLine="0"/>
              <w:jc w:val="left"/>
              <w:rPr>
                <w:sz w:val="18"/>
              </w:rPr>
            </w:pPr>
            <w:r>
              <w:rPr>
                <w:color w:val="105C84"/>
                <w:sz w:val="18"/>
              </w:rPr>
              <w:t>%</w:t>
            </w:r>
            <w:r>
              <w:rPr>
                <w:color w:val="105C84"/>
                <w:spacing w:val="-13"/>
                <w:sz w:val="18"/>
              </w:rPr>
              <w:t> </w:t>
            </w:r>
            <w:r>
              <w:rPr>
                <w:color w:val="105C84"/>
                <w:sz w:val="18"/>
              </w:rPr>
              <w:t>patients</w:t>
            </w:r>
            <w:r>
              <w:rPr>
                <w:color w:val="105C84"/>
                <w:spacing w:val="-12"/>
                <w:sz w:val="18"/>
              </w:rPr>
              <w:t> </w:t>
            </w:r>
            <w:r>
              <w:rPr>
                <w:color w:val="105C84"/>
                <w:sz w:val="18"/>
              </w:rPr>
              <w:t>with</w:t>
            </w:r>
            <w:r>
              <w:rPr>
                <w:color w:val="105C84"/>
                <w:spacing w:val="-13"/>
                <w:sz w:val="18"/>
              </w:rPr>
              <w:t> </w:t>
            </w:r>
            <w:r>
              <w:rPr>
                <w:color w:val="105C84"/>
                <w:sz w:val="18"/>
              </w:rPr>
              <w:t>BP under control</w:t>
            </w:r>
          </w:p>
        </w:tc>
        <w:tc>
          <w:tcPr>
            <w:tcW w:w="1872" w:type="dxa"/>
            <w:vMerge w:val="restart"/>
            <w:tcBorders>
              <w:left w:val="single" w:sz="4" w:space="0" w:color="BCBEC0"/>
              <w:right w:val="single" w:sz="4" w:space="0" w:color="BCBEC0"/>
            </w:tcBorders>
          </w:tcPr>
          <w:p>
            <w:pPr>
              <w:pStyle w:val="TableParagraph"/>
              <w:spacing w:line="232" w:lineRule="auto" w:before="110"/>
              <w:ind w:left="91" w:right="140"/>
              <w:rPr>
                <w:sz w:val="18"/>
              </w:rPr>
            </w:pPr>
            <w:r>
              <w:rPr>
                <w:color w:val="105C84"/>
                <w:sz w:val="18"/>
              </w:rPr>
              <w:t>Common</w:t>
            </w:r>
            <w:r>
              <w:rPr>
                <w:color w:val="105C84"/>
                <w:spacing w:val="-10"/>
                <w:sz w:val="18"/>
              </w:rPr>
              <w:t> </w:t>
            </w:r>
            <w:r>
              <w:rPr>
                <w:color w:val="105C84"/>
                <w:sz w:val="18"/>
              </w:rPr>
              <w:t>Ground Health (until </w:t>
            </w:r>
            <w:r>
              <w:rPr>
                <w:color w:val="105C84"/>
                <w:spacing w:val="-2"/>
                <w:sz w:val="18"/>
              </w:rPr>
              <w:t>12/31/19)</w:t>
            </w:r>
          </w:p>
          <w:p>
            <w:pPr>
              <w:pStyle w:val="TableParagraph"/>
              <w:spacing w:before="96"/>
              <w:ind w:left="91"/>
              <w:rPr>
                <w:sz w:val="18"/>
              </w:rPr>
            </w:pPr>
            <w:r>
              <w:rPr>
                <w:color w:val="105C84"/>
                <w:spacing w:val="-2"/>
                <w:sz w:val="18"/>
              </w:rPr>
              <w:t>RHIO</w:t>
            </w:r>
            <w:r>
              <w:rPr>
                <w:color w:val="105C84"/>
                <w:spacing w:val="-8"/>
                <w:sz w:val="18"/>
              </w:rPr>
              <w:t> </w:t>
            </w:r>
            <w:r>
              <w:rPr>
                <w:color w:val="105C84"/>
                <w:spacing w:val="-2"/>
                <w:sz w:val="18"/>
              </w:rPr>
              <w:t>(after</w:t>
            </w:r>
            <w:r>
              <w:rPr>
                <w:color w:val="105C84"/>
                <w:spacing w:val="-7"/>
                <w:sz w:val="18"/>
              </w:rPr>
              <w:t> </w:t>
            </w:r>
            <w:r>
              <w:rPr>
                <w:color w:val="105C84"/>
                <w:spacing w:val="-2"/>
                <w:sz w:val="18"/>
              </w:rPr>
              <w:t>1/1/20)</w:t>
            </w:r>
          </w:p>
          <w:p>
            <w:pPr>
              <w:pStyle w:val="TableParagraph"/>
              <w:spacing w:line="232" w:lineRule="auto" w:before="101"/>
              <w:ind w:left="91" w:right="140"/>
              <w:rPr>
                <w:sz w:val="18"/>
              </w:rPr>
            </w:pPr>
            <w:r>
              <w:rPr>
                <w:color w:val="105C84"/>
                <w:spacing w:val="-2"/>
                <w:sz w:val="18"/>
              </w:rPr>
              <w:t>URTH</w:t>
            </w:r>
            <w:r>
              <w:rPr>
                <w:color w:val="105C84"/>
                <w:spacing w:val="-13"/>
                <w:sz w:val="18"/>
              </w:rPr>
              <w:t> </w:t>
            </w:r>
            <w:r>
              <w:rPr>
                <w:color w:val="105C84"/>
                <w:spacing w:val="-2"/>
                <w:sz w:val="18"/>
              </w:rPr>
              <w:t>&amp;</w:t>
            </w:r>
            <w:r>
              <w:rPr>
                <w:color w:val="105C84"/>
                <w:spacing w:val="-10"/>
                <w:sz w:val="18"/>
              </w:rPr>
              <w:t> </w:t>
            </w:r>
            <w:r>
              <w:rPr>
                <w:color w:val="105C84"/>
                <w:spacing w:val="-2"/>
                <w:sz w:val="18"/>
              </w:rPr>
              <w:t>affiliated practices</w:t>
            </w:r>
          </w:p>
          <w:p>
            <w:pPr>
              <w:pStyle w:val="TableParagraph"/>
              <w:spacing w:line="232" w:lineRule="auto" w:before="102"/>
              <w:ind w:left="91" w:right="140"/>
              <w:rPr>
                <w:sz w:val="18"/>
              </w:rPr>
            </w:pPr>
            <w:r>
              <w:rPr>
                <w:color w:val="105C84"/>
                <w:sz w:val="18"/>
              </w:rPr>
              <w:t>FLH</w:t>
            </w:r>
            <w:r>
              <w:rPr>
                <w:color w:val="105C84"/>
                <w:spacing w:val="-15"/>
                <w:sz w:val="18"/>
              </w:rPr>
              <w:t> </w:t>
            </w:r>
            <w:r>
              <w:rPr>
                <w:color w:val="105C84"/>
                <w:sz w:val="18"/>
              </w:rPr>
              <w:t>&amp;</w:t>
            </w:r>
            <w:r>
              <w:rPr>
                <w:color w:val="105C84"/>
                <w:spacing w:val="-12"/>
                <w:sz w:val="18"/>
              </w:rPr>
              <w:t> </w:t>
            </w:r>
            <w:r>
              <w:rPr>
                <w:color w:val="105C84"/>
                <w:sz w:val="18"/>
              </w:rPr>
              <w:t>affiliated </w:t>
            </w:r>
            <w:r>
              <w:rPr>
                <w:color w:val="105C84"/>
                <w:spacing w:val="-2"/>
                <w:sz w:val="18"/>
              </w:rPr>
              <w:t>practices</w:t>
            </w:r>
          </w:p>
          <w:p>
            <w:pPr>
              <w:pStyle w:val="TableParagraph"/>
              <w:spacing w:line="203" w:lineRule="exact" w:before="97"/>
              <w:ind w:left="91"/>
              <w:rPr>
                <w:sz w:val="18"/>
              </w:rPr>
            </w:pPr>
            <w:r>
              <w:rPr>
                <w:color w:val="105C84"/>
                <w:w w:val="90"/>
                <w:sz w:val="18"/>
              </w:rPr>
              <w:t>RRH/CSHC</w:t>
            </w:r>
            <w:r>
              <w:rPr>
                <w:color w:val="105C84"/>
                <w:spacing w:val="34"/>
                <w:sz w:val="18"/>
              </w:rPr>
              <w:t> </w:t>
            </w:r>
            <w:r>
              <w:rPr>
                <w:color w:val="105C84"/>
                <w:spacing w:val="-10"/>
                <w:sz w:val="18"/>
              </w:rPr>
              <w:t>&amp;</w:t>
            </w:r>
          </w:p>
          <w:p>
            <w:pPr>
              <w:pStyle w:val="TableParagraph"/>
              <w:spacing w:line="352" w:lineRule="auto"/>
              <w:ind w:left="91" w:right="140"/>
              <w:rPr>
                <w:sz w:val="18"/>
              </w:rPr>
            </w:pPr>
            <w:r>
              <w:rPr>
                <w:color w:val="105C84"/>
                <w:sz w:val="18"/>
              </w:rPr>
              <w:t>affiliated</w:t>
            </w:r>
            <w:r>
              <w:rPr>
                <w:color w:val="105C84"/>
                <w:spacing w:val="-13"/>
                <w:sz w:val="18"/>
              </w:rPr>
              <w:t> </w:t>
            </w:r>
            <w:r>
              <w:rPr>
                <w:color w:val="105C84"/>
                <w:sz w:val="18"/>
              </w:rPr>
              <w:t>practices </w:t>
            </w:r>
            <w:r>
              <w:rPr>
                <w:color w:val="105C84"/>
                <w:spacing w:val="-4"/>
                <w:sz w:val="18"/>
              </w:rPr>
              <w:t>OCPH</w:t>
            </w:r>
          </w:p>
        </w:tc>
        <w:tc>
          <w:tcPr>
            <w:tcW w:w="4090" w:type="dxa"/>
            <w:tcBorders>
              <w:left w:val="single" w:sz="4" w:space="0" w:color="BCBEC0"/>
              <w:bottom w:val="nil"/>
              <w:right w:val="single" w:sz="4" w:space="0" w:color="BCBEC0"/>
            </w:tcBorders>
          </w:tcPr>
          <w:p>
            <w:pPr>
              <w:pStyle w:val="TableParagraph"/>
              <w:spacing w:line="232" w:lineRule="auto" w:before="110"/>
              <w:ind w:left="91" w:right="397"/>
              <w:rPr>
                <w:sz w:val="18"/>
              </w:rPr>
            </w:pPr>
            <w:r>
              <w:rPr>
                <w:color w:val="105C84"/>
                <w:sz w:val="18"/>
              </w:rPr>
              <w:t>Common</w:t>
            </w:r>
            <w:r>
              <w:rPr>
                <w:color w:val="105C84"/>
                <w:spacing w:val="-4"/>
                <w:sz w:val="18"/>
              </w:rPr>
              <w:t> </w:t>
            </w:r>
            <w:r>
              <w:rPr>
                <w:color w:val="105C84"/>
                <w:sz w:val="18"/>
              </w:rPr>
              <w:t>Ground</w:t>
            </w:r>
            <w:r>
              <w:rPr>
                <w:color w:val="105C84"/>
                <w:spacing w:val="-4"/>
                <w:sz w:val="18"/>
              </w:rPr>
              <w:t> </w:t>
            </w:r>
            <w:r>
              <w:rPr>
                <w:color w:val="105C84"/>
                <w:sz w:val="18"/>
              </w:rPr>
              <w:t>Health</w:t>
            </w:r>
            <w:r>
              <w:rPr>
                <w:color w:val="105C84"/>
                <w:spacing w:val="-4"/>
                <w:sz w:val="18"/>
              </w:rPr>
              <w:t> </w:t>
            </w:r>
            <w:r>
              <w:rPr>
                <w:color w:val="105C84"/>
                <w:sz w:val="18"/>
              </w:rPr>
              <w:t>&amp;</w:t>
            </w:r>
            <w:r>
              <w:rPr>
                <w:color w:val="105C84"/>
                <w:spacing w:val="-4"/>
                <w:sz w:val="18"/>
              </w:rPr>
              <w:t> </w:t>
            </w:r>
            <w:r>
              <w:rPr>
                <w:color w:val="105C84"/>
                <w:sz w:val="18"/>
              </w:rPr>
              <w:t>RHIO:</w:t>
            </w:r>
            <w:r>
              <w:rPr>
                <w:color w:val="105C84"/>
                <w:spacing w:val="-4"/>
                <w:sz w:val="18"/>
              </w:rPr>
              <w:t> </w:t>
            </w:r>
            <w:r>
              <w:rPr>
                <w:color w:val="105C84"/>
                <w:sz w:val="18"/>
              </w:rPr>
              <w:t>Maintain the Hypertension Registry &amp; report out to</w:t>
            </w:r>
          </w:p>
          <w:p>
            <w:pPr>
              <w:pStyle w:val="TableParagraph"/>
              <w:spacing w:line="232" w:lineRule="auto"/>
              <w:ind w:left="91"/>
              <w:rPr>
                <w:sz w:val="18"/>
              </w:rPr>
            </w:pPr>
            <w:r>
              <w:rPr>
                <w:color w:val="105C84"/>
                <w:sz w:val="18"/>
              </w:rPr>
              <w:t>partners&amp; participating healthcare providers </w:t>
            </w:r>
            <w:r>
              <w:rPr>
                <w:color w:val="105C84"/>
                <w:sz w:val="18"/>
              </w:rPr>
              <w:t>2x/ year. Provide education on best practices for monitoring and treatment of hypertension.</w:t>
            </w:r>
          </w:p>
          <w:p>
            <w:pPr>
              <w:pStyle w:val="TableParagraph"/>
              <w:spacing w:line="232" w:lineRule="auto" w:before="99"/>
              <w:ind w:left="91" w:right="397"/>
              <w:rPr>
                <w:sz w:val="18"/>
              </w:rPr>
            </w:pPr>
            <w:r>
              <w:rPr>
                <w:color w:val="105C84"/>
                <w:spacing w:val="-2"/>
                <w:sz w:val="18"/>
              </w:rPr>
              <w:t>URTH,</w:t>
            </w:r>
            <w:r>
              <w:rPr>
                <w:color w:val="105C84"/>
                <w:spacing w:val="-11"/>
                <w:sz w:val="18"/>
              </w:rPr>
              <w:t> </w:t>
            </w:r>
            <w:r>
              <w:rPr>
                <w:color w:val="105C84"/>
                <w:spacing w:val="-2"/>
                <w:sz w:val="18"/>
              </w:rPr>
              <w:t>FLH,</w:t>
            </w:r>
            <w:r>
              <w:rPr>
                <w:color w:val="105C84"/>
                <w:spacing w:val="-10"/>
                <w:sz w:val="18"/>
              </w:rPr>
              <w:t> </w:t>
            </w:r>
            <w:r>
              <w:rPr>
                <w:color w:val="105C84"/>
                <w:spacing w:val="-2"/>
                <w:sz w:val="18"/>
              </w:rPr>
              <w:t>RRH/CSHC</w:t>
            </w:r>
            <w:r>
              <w:rPr>
                <w:color w:val="105C84"/>
                <w:spacing w:val="-11"/>
                <w:sz w:val="18"/>
              </w:rPr>
              <w:t> </w:t>
            </w:r>
            <w:r>
              <w:rPr>
                <w:color w:val="105C84"/>
                <w:spacing w:val="-2"/>
                <w:sz w:val="18"/>
              </w:rPr>
              <w:t>&amp;</w:t>
            </w:r>
            <w:r>
              <w:rPr>
                <w:color w:val="105C84"/>
                <w:spacing w:val="-10"/>
                <w:sz w:val="18"/>
              </w:rPr>
              <w:t> </w:t>
            </w:r>
            <w:r>
              <w:rPr>
                <w:color w:val="105C84"/>
                <w:spacing w:val="-2"/>
                <w:sz w:val="18"/>
              </w:rPr>
              <w:t>affiliated</w:t>
            </w:r>
            <w:r>
              <w:rPr>
                <w:color w:val="105C84"/>
                <w:spacing w:val="-11"/>
                <w:sz w:val="18"/>
              </w:rPr>
              <w:t> </w:t>
            </w:r>
            <w:r>
              <w:rPr>
                <w:color w:val="105C84"/>
                <w:spacing w:val="-2"/>
                <w:sz w:val="18"/>
              </w:rPr>
              <w:t>practices: </w:t>
            </w:r>
            <w:r>
              <w:rPr>
                <w:color w:val="105C84"/>
                <w:sz w:val="18"/>
              </w:rPr>
              <w:t>Provide data to the Hypertension Registry.</w:t>
            </w:r>
          </w:p>
          <w:p>
            <w:pPr>
              <w:pStyle w:val="TableParagraph"/>
              <w:spacing w:line="232" w:lineRule="auto" w:before="102"/>
              <w:ind w:left="91"/>
              <w:rPr>
                <w:sz w:val="18"/>
              </w:rPr>
            </w:pPr>
            <w:r>
              <w:rPr>
                <w:color w:val="105C84"/>
                <w:sz w:val="18"/>
              </w:rPr>
              <w:t>OCPH:</w:t>
            </w:r>
            <w:r>
              <w:rPr>
                <w:color w:val="105C84"/>
                <w:spacing w:val="-7"/>
                <w:sz w:val="18"/>
              </w:rPr>
              <w:t> </w:t>
            </w:r>
            <w:r>
              <w:rPr>
                <w:color w:val="105C84"/>
                <w:sz w:val="18"/>
              </w:rPr>
              <w:t>Assist</w:t>
            </w:r>
            <w:r>
              <w:rPr>
                <w:color w:val="105C84"/>
                <w:spacing w:val="-7"/>
                <w:sz w:val="18"/>
              </w:rPr>
              <w:t> </w:t>
            </w:r>
            <w:r>
              <w:rPr>
                <w:color w:val="105C84"/>
                <w:sz w:val="18"/>
              </w:rPr>
              <w:t>&amp;</w:t>
            </w:r>
            <w:r>
              <w:rPr>
                <w:color w:val="105C84"/>
                <w:spacing w:val="-7"/>
                <w:sz w:val="18"/>
              </w:rPr>
              <w:t> </w:t>
            </w:r>
            <w:r>
              <w:rPr>
                <w:color w:val="105C84"/>
                <w:sz w:val="18"/>
              </w:rPr>
              <w:t>support</w:t>
            </w:r>
            <w:r>
              <w:rPr>
                <w:color w:val="105C84"/>
                <w:spacing w:val="-7"/>
                <w:sz w:val="18"/>
              </w:rPr>
              <w:t> </w:t>
            </w:r>
            <w:r>
              <w:rPr>
                <w:color w:val="105C84"/>
                <w:sz w:val="18"/>
              </w:rPr>
              <w:t>education</w:t>
            </w:r>
            <w:r>
              <w:rPr>
                <w:color w:val="105C84"/>
                <w:spacing w:val="-7"/>
                <w:sz w:val="18"/>
              </w:rPr>
              <w:t> </w:t>
            </w:r>
            <w:r>
              <w:rPr>
                <w:color w:val="105C84"/>
                <w:sz w:val="18"/>
              </w:rPr>
              <w:t>of</w:t>
            </w:r>
            <w:r>
              <w:rPr>
                <w:color w:val="105C84"/>
                <w:spacing w:val="-7"/>
                <w:sz w:val="18"/>
              </w:rPr>
              <w:t> </w:t>
            </w:r>
            <w:r>
              <w:rPr>
                <w:color w:val="105C84"/>
                <w:sz w:val="18"/>
              </w:rPr>
              <w:t>healthcare community re control rates.</w:t>
            </w:r>
          </w:p>
        </w:tc>
        <w:tc>
          <w:tcPr>
            <w:tcW w:w="2098" w:type="dxa"/>
            <w:tcBorders>
              <w:left w:val="single" w:sz="4" w:space="0" w:color="BCBEC0"/>
              <w:bottom w:val="nil"/>
              <w:right w:val="single" w:sz="4" w:space="0" w:color="BCBEC0"/>
            </w:tcBorders>
          </w:tcPr>
          <w:p>
            <w:pPr>
              <w:pStyle w:val="TableParagraph"/>
              <w:spacing w:line="232" w:lineRule="auto" w:before="110"/>
              <w:ind w:left="90" w:right="185"/>
              <w:rPr>
                <w:sz w:val="18"/>
              </w:rPr>
            </w:pPr>
            <w:r>
              <w:rPr>
                <w:color w:val="105C84"/>
                <w:sz w:val="18"/>
              </w:rPr>
              <w:t>Common Ground Health</w:t>
            </w:r>
            <w:r>
              <w:rPr>
                <w:color w:val="105C84"/>
                <w:spacing w:val="-13"/>
                <w:sz w:val="18"/>
              </w:rPr>
              <w:t> </w:t>
            </w:r>
            <w:r>
              <w:rPr>
                <w:color w:val="105C84"/>
                <w:sz w:val="18"/>
              </w:rPr>
              <w:t>&amp;</w:t>
            </w:r>
            <w:r>
              <w:rPr>
                <w:color w:val="105C84"/>
                <w:spacing w:val="-12"/>
                <w:sz w:val="18"/>
              </w:rPr>
              <w:t> </w:t>
            </w:r>
            <w:r>
              <w:rPr>
                <w:color w:val="105C84"/>
                <w:sz w:val="18"/>
              </w:rPr>
              <w:t>RHIO:</w:t>
            </w:r>
            <w:r>
              <w:rPr>
                <w:color w:val="105C84"/>
                <w:spacing w:val="-13"/>
                <w:sz w:val="18"/>
              </w:rPr>
              <w:t> </w:t>
            </w:r>
            <w:r>
              <w:rPr>
                <w:color w:val="105C84"/>
                <w:sz w:val="18"/>
              </w:rPr>
              <w:t>In</w:t>
            </w:r>
            <w:r>
              <w:rPr>
                <w:color w:val="105C84"/>
                <w:spacing w:val="-12"/>
                <w:sz w:val="18"/>
              </w:rPr>
              <w:t> </w:t>
            </w:r>
            <w:r>
              <w:rPr>
                <w:color w:val="105C84"/>
                <w:sz w:val="18"/>
              </w:rPr>
              <w:t>kind</w:t>
            </w:r>
          </w:p>
        </w:tc>
      </w:tr>
      <w:tr>
        <w:trPr>
          <w:trHeight w:val="488" w:hRule="atLeast"/>
        </w:trPr>
        <w:tc>
          <w:tcPr>
            <w:tcW w:w="1353" w:type="dxa"/>
            <w:tcBorders>
              <w:top w:val="nil"/>
              <w:left w:val="single" w:sz="4" w:space="0" w:color="BCBEC0"/>
              <w:bottom w:val="nil"/>
              <w:right w:val="single" w:sz="4" w:space="0" w:color="BCBEC0"/>
            </w:tcBorders>
            <w:shd w:val="clear" w:color="auto" w:fill="E6E7E8"/>
          </w:tcPr>
          <w:p>
            <w:pPr>
              <w:pStyle w:val="TableParagraph"/>
              <w:rPr>
                <w:rFonts w:ascii="Times New Roman"/>
                <w:sz w:val="18"/>
              </w:rPr>
            </w:pPr>
          </w:p>
        </w:tc>
        <w:tc>
          <w:tcPr>
            <w:tcW w:w="1289" w:type="dxa"/>
            <w:tcBorders>
              <w:top w:val="nil"/>
              <w:left w:val="single" w:sz="4" w:space="0" w:color="BCBEC0"/>
              <w:bottom w:val="nil"/>
              <w:right w:val="single" w:sz="4" w:space="0" w:color="BCBEC0"/>
            </w:tcBorders>
          </w:tcPr>
          <w:p>
            <w:pPr>
              <w:pStyle w:val="TableParagraph"/>
              <w:rPr>
                <w:rFonts w:ascii="Times New Roman"/>
                <w:sz w:val="18"/>
              </w:rPr>
            </w:pPr>
          </w:p>
        </w:tc>
        <w:tc>
          <w:tcPr>
            <w:tcW w:w="1591" w:type="dxa"/>
            <w:tcBorders>
              <w:top w:val="nil"/>
              <w:left w:val="single" w:sz="4" w:space="0" w:color="BCBEC0"/>
              <w:bottom w:val="nil"/>
              <w:right w:val="single" w:sz="4" w:space="0" w:color="BCBEC0"/>
            </w:tcBorders>
          </w:tcPr>
          <w:p>
            <w:pPr>
              <w:pStyle w:val="TableParagraph"/>
              <w:rPr>
                <w:rFonts w:ascii="Times New Roman"/>
                <w:sz w:val="18"/>
              </w:rPr>
            </w:pPr>
          </w:p>
        </w:tc>
        <w:tc>
          <w:tcPr>
            <w:tcW w:w="2822" w:type="dxa"/>
            <w:tcBorders>
              <w:top w:val="nil"/>
              <w:left w:val="single" w:sz="4" w:space="0" w:color="BCBEC0"/>
              <w:bottom w:val="nil"/>
              <w:right w:val="single" w:sz="4" w:space="0" w:color="BCBEC0"/>
            </w:tcBorders>
          </w:tcPr>
          <w:p>
            <w:pPr>
              <w:pStyle w:val="TableParagraph"/>
              <w:spacing w:line="232" w:lineRule="auto" w:before="37"/>
              <w:ind w:left="90" w:right="298"/>
              <w:rPr>
                <w:sz w:val="18"/>
              </w:rPr>
            </w:pPr>
            <w:r>
              <w:rPr>
                <w:color w:val="105C84"/>
                <w:sz w:val="18"/>
              </w:rPr>
              <w:t>Ontario</w:t>
            </w:r>
            <w:r>
              <w:rPr>
                <w:color w:val="105C84"/>
                <w:spacing w:val="-13"/>
                <w:sz w:val="18"/>
              </w:rPr>
              <w:t> </w:t>
            </w:r>
            <w:r>
              <w:rPr>
                <w:color w:val="105C84"/>
                <w:sz w:val="18"/>
              </w:rPr>
              <w:t>County</w:t>
            </w:r>
            <w:r>
              <w:rPr>
                <w:color w:val="105C84"/>
                <w:spacing w:val="-12"/>
                <w:sz w:val="18"/>
              </w:rPr>
              <w:t> </w:t>
            </w:r>
            <w:r>
              <w:rPr>
                <w:color w:val="105C84"/>
                <w:sz w:val="18"/>
              </w:rPr>
              <w:t>Specific,</w:t>
            </w:r>
            <w:r>
              <w:rPr>
                <w:color w:val="105C84"/>
                <w:spacing w:val="-13"/>
                <w:sz w:val="18"/>
              </w:rPr>
              <w:t> </w:t>
            </w:r>
            <w:r>
              <w:rPr>
                <w:color w:val="105C84"/>
                <w:sz w:val="18"/>
              </w:rPr>
              <w:t>2018: </w:t>
            </w:r>
            <w:r>
              <w:rPr>
                <w:color w:val="105C84"/>
                <w:spacing w:val="-4"/>
                <w:sz w:val="18"/>
              </w:rPr>
              <w:t>79%</w:t>
            </w:r>
          </w:p>
        </w:tc>
        <w:tc>
          <w:tcPr>
            <w:tcW w:w="1267" w:type="dxa"/>
            <w:vMerge/>
            <w:tcBorders>
              <w:top w:val="nil"/>
              <w:left w:val="single" w:sz="4" w:space="0" w:color="BCBEC0"/>
              <w:right w:val="single" w:sz="4" w:space="0" w:color="BCBEC0"/>
            </w:tcBorders>
          </w:tcPr>
          <w:p>
            <w:pPr>
              <w:rPr>
                <w:sz w:val="2"/>
                <w:szCs w:val="2"/>
              </w:rPr>
            </w:pPr>
          </w:p>
        </w:tc>
        <w:tc>
          <w:tcPr>
            <w:tcW w:w="2875" w:type="dxa"/>
            <w:vMerge/>
            <w:tcBorders>
              <w:top w:val="nil"/>
              <w:left w:val="single" w:sz="4" w:space="0" w:color="BCBEC0"/>
              <w:right w:val="nil"/>
            </w:tcBorders>
          </w:tcPr>
          <w:p>
            <w:pPr>
              <w:rPr>
                <w:sz w:val="2"/>
                <w:szCs w:val="2"/>
              </w:rPr>
            </w:pPr>
          </w:p>
        </w:tc>
        <w:tc>
          <w:tcPr>
            <w:tcW w:w="2971" w:type="dxa"/>
            <w:vMerge/>
            <w:tcBorders>
              <w:top w:val="nil"/>
              <w:left w:val="nil"/>
              <w:right w:val="single" w:sz="4" w:space="0" w:color="BCBEC0"/>
            </w:tcBorders>
          </w:tcPr>
          <w:p>
            <w:pPr>
              <w:rPr>
                <w:sz w:val="2"/>
                <w:szCs w:val="2"/>
              </w:rPr>
            </w:pPr>
          </w:p>
        </w:tc>
        <w:tc>
          <w:tcPr>
            <w:tcW w:w="1872" w:type="dxa"/>
            <w:vMerge/>
            <w:tcBorders>
              <w:top w:val="nil"/>
              <w:left w:val="single" w:sz="4" w:space="0" w:color="BCBEC0"/>
              <w:right w:val="single" w:sz="4" w:space="0" w:color="BCBEC0"/>
            </w:tcBorders>
          </w:tcPr>
          <w:p>
            <w:pPr>
              <w:rPr>
                <w:sz w:val="2"/>
                <w:szCs w:val="2"/>
              </w:rPr>
            </w:pPr>
          </w:p>
        </w:tc>
        <w:tc>
          <w:tcPr>
            <w:tcW w:w="4090" w:type="dxa"/>
            <w:tcBorders>
              <w:top w:val="nil"/>
              <w:left w:val="single" w:sz="4" w:space="0" w:color="BCBEC0"/>
              <w:bottom w:val="nil"/>
              <w:right w:val="single" w:sz="4" w:space="0" w:color="BCBEC0"/>
            </w:tcBorders>
          </w:tcPr>
          <w:p>
            <w:pPr>
              <w:pStyle w:val="TableParagraph"/>
              <w:rPr>
                <w:rFonts w:ascii="Times New Roman"/>
                <w:sz w:val="18"/>
              </w:rPr>
            </w:pPr>
          </w:p>
        </w:tc>
        <w:tc>
          <w:tcPr>
            <w:tcW w:w="2098" w:type="dxa"/>
            <w:tcBorders>
              <w:top w:val="nil"/>
              <w:left w:val="single" w:sz="4" w:space="0" w:color="BCBEC0"/>
              <w:bottom w:val="nil"/>
              <w:right w:val="single" w:sz="4" w:space="0" w:color="BCBEC0"/>
            </w:tcBorders>
          </w:tcPr>
          <w:p>
            <w:pPr>
              <w:pStyle w:val="TableParagraph"/>
              <w:rPr>
                <w:rFonts w:ascii="Times New Roman"/>
                <w:sz w:val="18"/>
              </w:rPr>
            </w:pPr>
          </w:p>
        </w:tc>
      </w:tr>
      <w:tr>
        <w:trPr>
          <w:trHeight w:val="601" w:hRule="atLeast"/>
        </w:trPr>
        <w:tc>
          <w:tcPr>
            <w:tcW w:w="1353" w:type="dxa"/>
            <w:tcBorders>
              <w:top w:val="nil"/>
              <w:left w:val="single" w:sz="4" w:space="0" w:color="BCBEC0"/>
              <w:right w:val="single" w:sz="4" w:space="0" w:color="BCBEC0"/>
            </w:tcBorders>
            <w:shd w:val="clear" w:color="auto" w:fill="E6E7E8"/>
          </w:tcPr>
          <w:p>
            <w:pPr>
              <w:pStyle w:val="TableParagraph"/>
              <w:rPr>
                <w:rFonts w:ascii="Times New Roman"/>
                <w:sz w:val="18"/>
              </w:rPr>
            </w:pPr>
          </w:p>
        </w:tc>
        <w:tc>
          <w:tcPr>
            <w:tcW w:w="1289" w:type="dxa"/>
            <w:tcBorders>
              <w:top w:val="nil"/>
              <w:left w:val="single" w:sz="4" w:space="0" w:color="BCBEC0"/>
              <w:right w:val="single" w:sz="4" w:space="0" w:color="BCBEC0"/>
            </w:tcBorders>
          </w:tcPr>
          <w:p>
            <w:pPr>
              <w:pStyle w:val="TableParagraph"/>
              <w:rPr>
                <w:rFonts w:ascii="Times New Roman"/>
                <w:sz w:val="18"/>
              </w:rPr>
            </w:pPr>
          </w:p>
        </w:tc>
        <w:tc>
          <w:tcPr>
            <w:tcW w:w="1591" w:type="dxa"/>
            <w:tcBorders>
              <w:top w:val="nil"/>
              <w:left w:val="single" w:sz="4" w:space="0" w:color="BCBEC0"/>
              <w:right w:val="single" w:sz="4" w:space="0" w:color="BCBEC0"/>
            </w:tcBorders>
          </w:tcPr>
          <w:p>
            <w:pPr>
              <w:pStyle w:val="TableParagraph"/>
              <w:rPr>
                <w:rFonts w:ascii="Times New Roman"/>
                <w:sz w:val="18"/>
              </w:rPr>
            </w:pPr>
          </w:p>
        </w:tc>
        <w:tc>
          <w:tcPr>
            <w:tcW w:w="2822" w:type="dxa"/>
            <w:tcBorders>
              <w:top w:val="nil"/>
              <w:left w:val="single" w:sz="4" w:space="0" w:color="BCBEC0"/>
              <w:right w:val="single" w:sz="4" w:space="0" w:color="BCBEC0"/>
            </w:tcBorders>
          </w:tcPr>
          <w:p>
            <w:pPr>
              <w:pStyle w:val="TableParagraph"/>
              <w:spacing w:before="32"/>
              <w:ind w:left="90"/>
              <w:rPr>
                <w:sz w:val="18"/>
              </w:rPr>
            </w:pPr>
            <w:r>
              <w:rPr>
                <w:color w:val="105C84"/>
                <w:sz w:val="18"/>
              </w:rPr>
              <w:t>Goal:</w:t>
            </w:r>
            <w:r>
              <w:rPr>
                <w:color w:val="105C84"/>
                <w:spacing w:val="-4"/>
                <w:sz w:val="18"/>
              </w:rPr>
              <w:t> </w:t>
            </w:r>
            <w:r>
              <w:rPr>
                <w:color w:val="105C84"/>
                <w:spacing w:val="-5"/>
                <w:sz w:val="18"/>
              </w:rPr>
              <w:t>85%</w:t>
            </w:r>
          </w:p>
        </w:tc>
        <w:tc>
          <w:tcPr>
            <w:tcW w:w="1267" w:type="dxa"/>
            <w:vMerge/>
            <w:tcBorders>
              <w:top w:val="nil"/>
              <w:left w:val="single" w:sz="4" w:space="0" w:color="BCBEC0"/>
              <w:right w:val="single" w:sz="4" w:space="0" w:color="BCBEC0"/>
            </w:tcBorders>
          </w:tcPr>
          <w:p>
            <w:pPr>
              <w:rPr>
                <w:sz w:val="2"/>
                <w:szCs w:val="2"/>
              </w:rPr>
            </w:pPr>
          </w:p>
        </w:tc>
        <w:tc>
          <w:tcPr>
            <w:tcW w:w="2875" w:type="dxa"/>
            <w:vMerge/>
            <w:tcBorders>
              <w:top w:val="nil"/>
              <w:left w:val="single" w:sz="4" w:space="0" w:color="BCBEC0"/>
              <w:right w:val="nil"/>
            </w:tcBorders>
          </w:tcPr>
          <w:p>
            <w:pPr>
              <w:rPr>
                <w:sz w:val="2"/>
                <w:szCs w:val="2"/>
              </w:rPr>
            </w:pPr>
          </w:p>
        </w:tc>
        <w:tc>
          <w:tcPr>
            <w:tcW w:w="2971" w:type="dxa"/>
            <w:vMerge/>
            <w:tcBorders>
              <w:top w:val="nil"/>
              <w:left w:val="nil"/>
              <w:right w:val="single" w:sz="4" w:space="0" w:color="BCBEC0"/>
            </w:tcBorders>
          </w:tcPr>
          <w:p>
            <w:pPr>
              <w:rPr>
                <w:sz w:val="2"/>
                <w:szCs w:val="2"/>
              </w:rPr>
            </w:pPr>
          </w:p>
        </w:tc>
        <w:tc>
          <w:tcPr>
            <w:tcW w:w="1872" w:type="dxa"/>
            <w:vMerge/>
            <w:tcBorders>
              <w:top w:val="nil"/>
              <w:left w:val="single" w:sz="4" w:space="0" w:color="BCBEC0"/>
              <w:right w:val="single" w:sz="4" w:space="0" w:color="BCBEC0"/>
            </w:tcBorders>
          </w:tcPr>
          <w:p>
            <w:pPr>
              <w:rPr>
                <w:sz w:val="2"/>
                <w:szCs w:val="2"/>
              </w:rPr>
            </w:pPr>
          </w:p>
        </w:tc>
        <w:tc>
          <w:tcPr>
            <w:tcW w:w="4090" w:type="dxa"/>
            <w:tcBorders>
              <w:top w:val="nil"/>
              <w:left w:val="single" w:sz="4" w:space="0" w:color="BCBEC0"/>
              <w:right w:val="single" w:sz="4" w:space="0" w:color="BCBEC0"/>
            </w:tcBorders>
          </w:tcPr>
          <w:p>
            <w:pPr>
              <w:pStyle w:val="TableParagraph"/>
              <w:rPr>
                <w:rFonts w:ascii="Times New Roman"/>
                <w:sz w:val="18"/>
              </w:rPr>
            </w:pPr>
          </w:p>
        </w:tc>
        <w:tc>
          <w:tcPr>
            <w:tcW w:w="2098" w:type="dxa"/>
            <w:tcBorders>
              <w:top w:val="nil"/>
              <w:left w:val="single" w:sz="4" w:space="0" w:color="BCBEC0"/>
              <w:right w:val="single" w:sz="4" w:space="0" w:color="BCBEC0"/>
            </w:tcBorders>
          </w:tcPr>
          <w:p>
            <w:pPr>
              <w:pStyle w:val="TableParagraph"/>
              <w:rPr>
                <w:rFonts w:ascii="Times New Roman"/>
                <w:sz w:val="18"/>
              </w:rPr>
            </w:pPr>
          </w:p>
        </w:tc>
      </w:tr>
    </w:tbl>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166"/>
        <w:rPr>
          <w:b/>
          <w:sz w:val="26"/>
        </w:rPr>
      </w:pPr>
    </w:p>
    <w:p>
      <w:pPr>
        <w:tabs>
          <w:tab w:pos="23047" w:val="left" w:leader="none"/>
        </w:tabs>
        <w:spacing w:before="0"/>
        <w:ind w:left="0" w:right="0" w:firstLine="0"/>
        <w:jc w:val="left"/>
        <w:rPr>
          <w:b/>
          <w:sz w:val="26"/>
        </w:rPr>
      </w:pPr>
      <w:r>
        <w:rPr>
          <w:position w:val="-4"/>
        </w:rPr>
        <w:drawing>
          <wp:inline distT="0" distB="0" distL="0" distR="0">
            <wp:extent cx="568172" cy="184683"/>
            <wp:effectExtent l="0" t="0" r="0" b="0"/>
            <wp:docPr id="1846" name="Image 1846"/>
            <wp:cNvGraphicFramePr>
              <a:graphicFrameLocks/>
            </wp:cNvGraphicFramePr>
            <a:graphic>
              <a:graphicData uri="http://schemas.openxmlformats.org/drawingml/2006/picture">
                <pic:pic>
                  <pic:nvPicPr>
                    <pic:cNvPr id="1846" name="Image 1846"/>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13"/>
          <w:sz w:val="20"/>
        </w:rPr>
        <w:t> </w:t>
      </w:r>
      <w:r>
        <w:rPr>
          <w:b/>
          <w:color w:val="939598"/>
          <w:w w:val="105"/>
          <w:sz w:val="26"/>
        </w:rPr>
        <w:t>155</w:t>
      </w:r>
      <w:r>
        <w:rPr>
          <w:b/>
          <w:color w:val="939598"/>
          <w:sz w:val="26"/>
        </w:rPr>
        <w:tab/>
      </w:r>
      <w:r>
        <w:rPr>
          <w:b/>
          <w:color w:val="939598"/>
          <w:spacing w:val="-5"/>
          <w:w w:val="105"/>
          <w:sz w:val="26"/>
        </w:rPr>
        <w:t>156</w:t>
      </w:r>
    </w:p>
    <w:p>
      <w:pPr>
        <w:spacing w:after="0"/>
        <w:jc w:val="left"/>
        <w:rPr>
          <w:b/>
          <w:sz w:val="26"/>
        </w:rPr>
        <w:sectPr>
          <w:pgSz w:w="24480" w:h="15840" w:orient="landscape"/>
          <w:pgMar w:header="0" w:footer="0" w:top="860" w:bottom="0" w:left="0" w:right="720"/>
        </w:sectPr>
      </w:pPr>
    </w:p>
    <w:p>
      <w:pPr>
        <w:spacing w:before="607"/>
        <w:ind w:left="1089" w:right="0" w:firstLine="0"/>
        <w:jc w:val="left"/>
        <w:rPr>
          <w:sz w:val="54"/>
        </w:rPr>
      </w:pPr>
      <w:r>
        <w:rPr>
          <w:sz w:val="54"/>
        </w:rPr>
        <w:drawing>
          <wp:anchor distT="0" distB="0" distL="0" distR="0" allowOverlap="1" layoutInCell="1" locked="0" behindDoc="0" simplePos="0" relativeHeight="15962624">
            <wp:simplePos x="0" y="0"/>
            <wp:positionH relativeFrom="page">
              <wp:posOffset>14981556</wp:posOffset>
            </wp:positionH>
            <wp:positionV relativeFrom="page">
              <wp:posOffset>9668103</wp:posOffset>
            </wp:positionV>
            <wp:extent cx="563245" cy="184683"/>
            <wp:effectExtent l="0" t="0" r="0" b="0"/>
            <wp:wrapNone/>
            <wp:docPr id="1847" name="Image 1847"/>
            <wp:cNvGraphicFramePr>
              <a:graphicFrameLocks/>
            </wp:cNvGraphicFramePr>
            <a:graphic>
              <a:graphicData uri="http://schemas.openxmlformats.org/drawingml/2006/picture">
                <pic:pic>
                  <pic:nvPicPr>
                    <pic:cNvPr id="1847" name="Image 1847"/>
                    <pic:cNvPicPr/>
                  </pic:nvPicPr>
                  <pic:blipFill>
                    <a:blip r:embed="rId38" cstate="print"/>
                    <a:stretch>
                      <a:fillRect/>
                    </a:stretch>
                  </pic:blipFill>
                  <pic:spPr>
                    <a:xfrm>
                      <a:off x="0" y="0"/>
                      <a:ext cx="563245" cy="184683"/>
                    </a:xfrm>
                    <a:prstGeom prst="rect">
                      <a:avLst/>
                    </a:prstGeom>
                  </pic:spPr>
                </pic:pic>
              </a:graphicData>
            </a:graphic>
          </wp:anchor>
        </w:drawing>
      </w:r>
      <w:r>
        <w:rPr>
          <w:sz w:val="54"/>
        </w:rPr>
        <w:drawing>
          <wp:anchor distT="0" distB="0" distL="0" distR="0" allowOverlap="1" layoutInCell="1" locked="0" behindDoc="0" simplePos="0" relativeHeight="15963136">
            <wp:simplePos x="0" y="0"/>
            <wp:positionH relativeFrom="page">
              <wp:posOffset>14252733</wp:posOffset>
            </wp:positionH>
            <wp:positionV relativeFrom="paragraph">
              <wp:posOffset>358457</wp:posOffset>
            </wp:positionV>
            <wp:extent cx="588168" cy="615314"/>
            <wp:effectExtent l="0" t="0" r="0" b="0"/>
            <wp:wrapNone/>
            <wp:docPr id="1848" name="Image 1848"/>
            <wp:cNvGraphicFramePr>
              <a:graphicFrameLocks/>
            </wp:cNvGraphicFramePr>
            <a:graphic>
              <a:graphicData uri="http://schemas.openxmlformats.org/drawingml/2006/picture">
                <pic:pic>
                  <pic:nvPicPr>
                    <pic:cNvPr id="1848" name="Image 1848"/>
                    <pic:cNvPicPr/>
                  </pic:nvPicPr>
                  <pic:blipFill>
                    <a:blip r:embed="rId248" cstate="print"/>
                    <a:stretch>
                      <a:fillRect/>
                    </a:stretch>
                  </pic:blipFill>
                  <pic:spPr>
                    <a:xfrm>
                      <a:off x="0" y="0"/>
                      <a:ext cx="588168" cy="615314"/>
                    </a:xfrm>
                    <a:prstGeom prst="rect">
                      <a:avLst/>
                    </a:prstGeom>
                  </pic:spPr>
                </pic:pic>
              </a:graphicData>
            </a:graphic>
          </wp:anchor>
        </w:drawing>
      </w:r>
      <w:r>
        <w:rPr>
          <w:sz w:val="54"/>
        </w:rPr>
        <w:drawing>
          <wp:anchor distT="0" distB="0" distL="0" distR="0" allowOverlap="1" layoutInCell="1" locked="0" behindDoc="0" simplePos="0" relativeHeight="15963648">
            <wp:simplePos x="0" y="0"/>
            <wp:positionH relativeFrom="page">
              <wp:posOffset>9637268</wp:posOffset>
            </wp:positionH>
            <wp:positionV relativeFrom="paragraph">
              <wp:posOffset>365759</wp:posOffset>
            </wp:positionV>
            <wp:extent cx="1013459" cy="346709"/>
            <wp:effectExtent l="0" t="0" r="0" b="0"/>
            <wp:wrapNone/>
            <wp:docPr id="1849" name="Image 1849"/>
            <wp:cNvGraphicFramePr>
              <a:graphicFrameLocks/>
            </wp:cNvGraphicFramePr>
            <a:graphic>
              <a:graphicData uri="http://schemas.openxmlformats.org/drawingml/2006/picture">
                <pic:pic>
                  <pic:nvPicPr>
                    <pic:cNvPr id="1849" name="Image 1849"/>
                    <pic:cNvPicPr/>
                  </pic:nvPicPr>
                  <pic:blipFill>
                    <a:blip r:embed="rId249" cstate="print"/>
                    <a:stretch>
                      <a:fillRect/>
                    </a:stretch>
                  </pic:blipFill>
                  <pic:spPr>
                    <a:xfrm>
                      <a:off x="0" y="0"/>
                      <a:ext cx="1013459" cy="346709"/>
                    </a:xfrm>
                    <a:prstGeom prst="rect">
                      <a:avLst/>
                    </a:prstGeom>
                  </pic:spPr>
                </pic:pic>
              </a:graphicData>
            </a:graphic>
          </wp:anchor>
        </w:drawing>
      </w:r>
      <w:r>
        <w:rPr>
          <w:sz w:val="54"/>
        </w:rPr>
        <w:drawing>
          <wp:anchor distT="0" distB="0" distL="0" distR="0" allowOverlap="1" layoutInCell="1" locked="0" behindDoc="0" simplePos="0" relativeHeight="15964160">
            <wp:simplePos x="0" y="0"/>
            <wp:positionH relativeFrom="page">
              <wp:posOffset>8820404</wp:posOffset>
            </wp:positionH>
            <wp:positionV relativeFrom="paragraph">
              <wp:posOffset>303783</wp:posOffset>
            </wp:positionV>
            <wp:extent cx="680085" cy="626110"/>
            <wp:effectExtent l="0" t="0" r="0" b="0"/>
            <wp:wrapNone/>
            <wp:docPr id="1850" name="Image 1850"/>
            <wp:cNvGraphicFramePr>
              <a:graphicFrameLocks/>
            </wp:cNvGraphicFramePr>
            <a:graphic>
              <a:graphicData uri="http://schemas.openxmlformats.org/drawingml/2006/picture">
                <pic:pic>
                  <pic:nvPicPr>
                    <pic:cNvPr id="1850" name="Image 1850"/>
                    <pic:cNvPicPr/>
                  </pic:nvPicPr>
                  <pic:blipFill>
                    <a:blip r:embed="rId250" cstate="print"/>
                    <a:stretch>
                      <a:fillRect/>
                    </a:stretch>
                  </pic:blipFill>
                  <pic:spPr>
                    <a:xfrm>
                      <a:off x="0" y="0"/>
                      <a:ext cx="680085" cy="626110"/>
                    </a:xfrm>
                    <a:prstGeom prst="rect">
                      <a:avLst/>
                    </a:prstGeom>
                  </pic:spPr>
                </pic:pic>
              </a:graphicData>
            </a:graphic>
          </wp:anchor>
        </w:drawing>
      </w:r>
      <w:r>
        <w:rPr>
          <w:sz w:val="54"/>
        </w:rPr>
        <w:drawing>
          <wp:anchor distT="0" distB="0" distL="0" distR="0" allowOverlap="1" layoutInCell="1" locked="0" behindDoc="0" simplePos="0" relativeHeight="15964672">
            <wp:simplePos x="0" y="0"/>
            <wp:positionH relativeFrom="page">
              <wp:posOffset>12660794</wp:posOffset>
            </wp:positionH>
            <wp:positionV relativeFrom="paragraph">
              <wp:posOffset>292608</wp:posOffset>
            </wp:positionV>
            <wp:extent cx="1542007" cy="459636"/>
            <wp:effectExtent l="0" t="0" r="0" b="0"/>
            <wp:wrapNone/>
            <wp:docPr id="1851" name="Image 1851"/>
            <wp:cNvGraphicFramePr>
              <a:graphicFrameLocks/>
            </wp:cNvGraphicFramePr>
            <a:graphic>
              <a:graphicData uri="http://schemas.openxmlformats.org/drawingml/2006/picture">
                <pic:pic>
                  <pic:nvPicPr>
                    <pic:cNvPr id="1851" name="Image 1851"/>
                    <pic:cNvPicPr/>
                  </pic:nvPicPr>
                  <pic:blipFill>
                    <a:blip r:embed="rId251" cstate="print"/>
                    <a:stretch>
                      <a:fillRect/>
                    </a:stretch>
                  </pic:blipFill>
                  <pic:spPr>
                    <a:xfrm>
                      <a:off x="0" y="0"/>
                      <a:ext cx="1542007" cy="459636"/>
                    </a:xfrm>
                    <a:prstGeom prst="rect">
                      <a:avLst/>
                    </a:prstGeom>
                  </pic:spPr>
                </pic:pic>
              </a:graphicData>
            </a:graphic>
          </wp:anchor>
        </w:drawing>
      </w:r>
      <w:r>
        <w:rPr>
          <w:sz w:val="54"/>
        </w:rPr>
        <w:drawing>
          <wp:anchor distT="0" distB="0" distL="0" distR="0" allowOverlap="1" layoutInCell="1" locked="0" behindDoc="0" simplePos="0" relativeHeight="15965184">
            <wp:simplePos x="0" y="0"/>
            <wp:positionH relativeFrom="page">
              <wp:posOffset>10819383</wp:posOffset>
            </wp:positionH>
            <wp:positionV relativeFrom="paragraph">
              <wp:posOffset>365759</wp:posOffset>
            </wp:positionV>
            <wp:extent cx="1724393" cy="297788"/>
            <wp:effectExtent l="0" t="0" r="0" b="0"/>
            <wp:wrapNone/>
            <wp:docPr id="1852" name="Image 1852"/>
            <wp:cNvGraphicFramePr>
              <a:graphicFrameLocks/>
            </wp:cNvGraphicFramePr>
            <a:graphic>
              <a:graphicData uri="http://schemas.openxmlformats.org/drawingml/2006/picture">
                <pic:pic>
                  <pic:nvPicPr>
                    <pic:cNvPr id="1852" name="Image 1852"/>
                    <pic:cNvPicPr/>
                  </pic:nvPicPr>
                  <pic:blipFill>
                    <a:blip r:embed="rId252" cstate="print"/>
                    <a:stretch>
                      <a:fillRect/>
                    </a:stretch>
                  </pic:blipFill>
                  <pic:spPr>
                    <a:xfrm>
                      <a:off x="0" y="0"/>
                      <a:ext cx="1724393" cy="297788"/>
                    </a:xfrm>
                    <a:prstGeom prst="rect">
                      <a:avLst/>
                    </a:prstGeom>
                  </pic:spPr>
                </pic:pic>
              </a:graphicData>
            </a:graphic>
          </wp:anchor>
        </w:drawing>
      </w:r>
      <w:r>
        <w:rPr>
          <w:color w:val="636466"/>
          <w:w w:val="105"/>
          <w:sz w:val="54"/>
        </w:rPr>
        <w:t>Ontario</w:t>
      </w:r>
      <w:r>
        <w:rPr>
          <w:color w:val="636466"/>
          <w:spacing w:val="-13"/>
          <w:w w:val="105"/>
          <w:sz w:val="54"/>
        </w:rPr>
        <w:t> </w:t>
      </w:r>
      <w:r>
        <w:rPr>
          <w:color w:val="636466"/>
          <w:w w:val="105"/>
          <w:sz w:val="54"/>
        </w:rPr>
        <w:t>County</w:t>
      </w:r>
      <w:r>
        <w:rPr>
          <w:color w:val="636466"/>
          <w:spacing w:val="-14"/>
          <w:w w:val="105"/>
          <w:sz w:val="54"/>
        </w:rPr>
        <w:t> </w:t>
      </w:r>
      <w:r>
        <w:rPr>
          <w:color w:val="636466"/>
          <w:w w:val="105"/>
          <w:sz w:val="54"/>
        </w:rPr>
        <w:t>Appendix</w:t>
      </w:r>
      <w:r>
        <w:rPr>
          <w:color w:val="636466"/>
          <w:spacing w:val="-13"/>
          <w:w w:val="105"/>
          <w:sz w:val="54"/>
        </w:rPr>
        <w:t> </w:t>
      </w:r>
      <w:r>
        <w:rPr>
          <w:color w:val="636466"/>
          <w:spacing w:val="-10"/>
          <w:w w:val="105"/>
          <w:sz w:val="54"/>
        </w:rPr>
        <w:t>C</w:t>
      </w:r>
    </w:p>
    <w:p>
      <w:pPr>
        <w:spacing w:before="235"/>
        <w:ind w:left="1089" w:right="0" w:firstLine="0"/>
        <w:jc w:val="left"/>
        <w:rPr>
          <w:b/>
          <w:sz w:val="32"/>
        </w:rPr>
      </w:pPr>
      <w:r>
        <w:rPr>
          <w:b/>
          <w:color w:val="82BF6A"/>
          <w:spacing w:val="-8"/>
          <w:sz w:val="32"/>
        </w:rPr>
        <w:t>PRIORITY:</w:t>
      </w:r>
      <w:r>
        <w:rPr>
          <w:b/>
          <w:color w:val="82BF6A"/>
          <w:spacing w:val="-9"/>
          <w:sz w:val="32"/>
        </w:rPr>
        <w:t> </w:t>
      </w:r>
      <w:r>
        <w:rPr>
          <w:b/>
          <w:color w:val="82BF6A"/>
          <w:spacing w:val="-8"/>
          <w:sz w:val="32"/>
        </w:rPr>
        <w:t>PREVENT CHRONIC DISEASES</w:t>
      </w:r>
    </w:p>
    <w:p>
      <w:pPr>
        <w:pStyle w:val="BodyText"/>
        <w:spacing w:before="9"/>
        <w:rPr>
          <w:b/>
          <w:sz w:val="17"/>
        </w:rPr>
      </w:pPr>
    </w:p>
    <w:tbl>
      <w:tblPr>
        <w:tblW w:w="0" w:type="auto"/>
        <w:jc w:val="left"/>
        <w:tblInd w:w="1099" w:type="dxa"/>
        <w:tblBorders>
          <w:top w:val="single" w:sz="6" w:space="0" w:color="BCBEC0"/>
          <w:left w:val="single" w:sz="6" w:space="0" w:color="BCBEC0"/>
          <w:bottom w:val="single" w:sz="6" w:space="0" w:color="BCBEC0"/>
          <w:right w:val="single" w:sz="6" w:space="0" w:color="BCBEC0"/>
          <w:insideH w:val="single" w:sz="6" w:space="0" w:color="BCBEC0"/>
          <w:insideV w:val="single" w:sz="6" w:space="0" w:color="BCBEC0"/>
        </w:tblBorders>
        <w:tblLayout w:type="fixed"/>
        <w:tblCellMar>
          <w:top w:w="0" w:type="dxa"/>
          <w:left w:w="0" w:type="dxa"/>
          <w:bottom w:w="0" w:type="dxa"/>
          <w:right w:w="0" w:type="dxa"/>
        </w:tblCellMar>
        <w:tblLook w:val="01E0"/>
      </w:tblPr>
      <w:tblGrid>
        <w:gridCol w:w="1353"/>
        <w:gridCol w:w="1289"/>
        <w:gridCol w:w="1591"/>
        <w:gridCol w:w="2822"/>
        <w:gridCol w:w="1267"/>
        <w:gridCol w:w="5846"/>
        <w:gridCol w:w="1872"/>
        <w:gridCol w:w="4090"/>
        <w:gridCol w:w="2098"/>
      </w:tblGrid>
      <w:tr>
        <w:trPr>
          <w:trHeight w:val="818" w:hRule="atLeast"/>
        </w:trPr>
        <w:tc>
          <w:tcPr>
            <w:tcW w:w="1353" w:type="dxa"/>
            <w:tcBorders>
              <w:left w:val="single" w:sz="4" w:space="0" w:color="BCBEC0"/>
              <w:right w:val="single" w:sz="4" w:space="0" w:color="FFFFFF"/>
            </w:tcBorders>
            <w:shd w:val="clear" w:color="auto" w:fill="A7A9AC"/>
          </w:tcPr>
          <w:p>
            <w:pPr>
              <w:pStyle w:val="TableParagraph"/>
              <w:spacing w:before="91"/>
              <w:rPr>
                <w:b/>
                <w:sz w:val="20"/>
              </w:rPr>
            </w:pPr>
          </w:p>
          <w:p>
            <w:pPr>
              <w:pStyle w:val="TableParagraph"/>
              <w:ind w:left="80"/>
              <w:rPr>
                <w:b/>
                <w:sz w:val="20"/>
              </w:rPr>
            </w:pPr>
            <w:r>
              <w:rPr>
                <w:b/>
                <w:color w:val="FFFFFF"/>
                <w:spacing w:val="-2"/>
                <w:sz w:val="20"/>
              </w:rPr>
              <w:t>Priority</w:t>
            </w:r>
          </w:p>
        </w:tc>
        <w:tc>
          <w:tcPr>
            <w:tcW w:w="1289" w:type="dxa"/>
            <w:tcBorders>
              <w:left w:val="single" w:sz="4" w:space="0" w:color="FFFFFF"/>
              <w:right w:val="single" w:sz="4" w:space="0" w:color="FFFFFF"/>
            </w:tcBorders>
            <w:shd w:val="clear" w:color="auto" w:fill="A7A9AC"/>
          </w:tcPr>
          <w:p>
            <w:pPr>
              <w:pStyle w:val="TableParagraph"/>
              <w:spacing w:before="91"/>
              <w:rPr>
                <w:b/>
                <w:sz w:val="20"/>
              </w:rPr>
            </w:pPr>
          </w:p>
          <w:p>
            <w:pPr>
              <w:pStyle w:val="TableParagraph"/>
              <w:ind w:left="80"/>
              <w:rPr>
                <w:b/>
                <w:sz w:val="20"/>
              </w:rPr>
            </w:pPr>
            <w:r>
              <w:rPr>
                <w:b/>
                <w:color w:val="FFFFFF"/>
                <w:w w:val="90"/>
                <w:sz w:val="20"/>
              </w:rPr>
              <w:t>Focus</w:t>
            </w:r>
            <w:r>
              <w:rPr>
                <w:b/>
                <w:color w:val="FFFFFF"/>
                <w:spacing w:val="8"/>
                <w:sz w:val="20"/>
              </w:rPr>
              <w:t> </w:t>
            </w:r>
            <w:r>
              <w:rPr>
                <w:b/>
                <w:color w:val="FFFFFF"/>
                <w:spacing w:val="-4"/>
                <w:sz w:val="20"/>
              </w:rPr>
              <w:t>Area</w:t>
            </w:r>
          </w:p>
        </w:tc>
        <w:tc>
          <w:tcPr>
            <w:tcW w:w="1591" w:type="dxa"/>
            <w:tcBorders>
              <w:left w:val="single" w:sz="4" w:space="0" w:color="FFFFFF"/>
              <w:right w:val="single" w:sz="4" w:space="0" w:color="FFFFFF"/>
            </w:tcBorders>
            <w:shd w:val="clear" w:color="auto" w:fill="A7A9AC"/>
          </w:tcPr>
          <w:p>
            <w:pPr>
              <w:pStyle w:val="TableParagraph"/>
              <w:spacing w:line="230" w:lineRule="auto" w:before="219"/>
              <w:ind w:left="80" w:right="100"/>
              <w:rPr>
                <w:b/>
                <w:sz w:val="20"/>
              </w:rPr>
            </w:pPr>
            <w:r>
              <w:rPr>
                <w:b/>
                <w:color w:val="FFFFFF"/>
                <w:spacing w:val="-8"/>
                <w:sz w:val="20"/>
              </w:rPr>
              <w:t>Goal</w:t>
            </w:r>
            <w:r>
              <w:rPr>
                <w:b/>
                <w:color w:val="FFFFFF"/>
                <w:spacing w:val="-6"/>
                <w:sz w:val="20"/>
              </w:rPr>
              <w:t> </w:t>
            </w:r>
            <w:r>
              <w:rPr>
                <w:b/>
                <w:color w:val="FFFFFF"/>
                <w:spacing w:val="-8"/>
                <w:sz w:val="20"/>
              </w:rPr>
              <w:t>Focus </w:t>
            </w:r>
            <w:r>
              <w:rPr>
                <w:b/>
                <w:color w:val="FFFFFF"/>
                <w:spacing w:val="-4"/>
                <w:sz w:val="20"/>
              </w:rPr>
              <w:t>Area</w:t>
            </w:r>
          </w:p>
        </w:tc>
        <w:tc>
          <w:tcPr>
            <w:tcW w:w="2822" w:type="dxa"/>
            <w:tcBorders>
              <w:left w:val="single" w:sz="4" w:space="0" w:color="FFFFFF"/>
              <w:right w:val="single" w:sz="4" w:space="0" w:color="FFFFFF"/>
            </w:tcBorders>
            <w:shd w:val="clear" w:color="auto" w:fill="A7A9AC"/>
          </w:tcPr>
          <w:p>
            <w:pPr>
              <w:pStyle w:val="TableParagraph"/>
              <w:spacing w:before="91"/>
              <w:rPr>
                <w:b/>
                <w:sz w:val="20"/>
              </w:rPr>
            </w:pPr>
          </w:p>
          <w:p>
            <w:pPr>
              <w:pStyle w:val="TableParagraph"/>
              <w:ind w:left="80"/>
              <w:rPr>
                <w:b/>
                <w:sz w:val="20"/>
              </w:rPr>
            </w:pPr>
            <w:r>
              <w:rPr>
                <w:b/>
                <w:color w:val="FFFFFF"/>
                <w:spacing w:val="-2"/>
                <w:sz w:val="20"/>
              </w:rPr>
              <w:t>Objectives</w:t>
            </w:r>
          </w:p>
        </w:tc>
        <w:tc>
          <w:tcPr>
            <w:tcW w:w="1267" w:type="dxa"/>
            <w:tcBorders>
              <w:left w:val="single" w:sz="4" w:space="0" w:color="FFFFFF"/>
              <w:right w:val="single" w:sz="4" w:space="0" w:color="FFFFFF"/>
            </w:tcBorders>
            <w:shd w:val="clear" w:color="auto" w:fill="A7A9AC"/>
          </w:tcPr>
          <w:p>
            <w:pPr>
              <w:pStyle w:val="TableParagraph"/>
              <w:spacing w:before="91"/>
              <w:rPr>
                <w:b/>
                <w:sz w:val="20"/>
              </w:rPr>
            </w:pPr>
          </w:p>
          <w:p>
            <w:pPr>
              <w:pStyle w:val="TableParagraph"/>
              <w:ind w:left="80"/>
              <w:rPr>
                <w:b/>
                <w:sz w:val="20"/>
              </w:rPr>
            </w:pPr>
            <w:r>
              <w:rPr>
                <w:b/>
                <w:color w:val="FFFFFF"/>
                <w:spacing w:val="-2"/>
                <w:sz w:val="20"/>
              </w:rPr>
              <w:t>Disparities</w:t>
            </w:r>
          </w:p>
        </w:tc>
        <w:tc>
          <w:tcPr>
            <w:tcW w:w="5846" w:type="dxa"/>
            <w:tcBorders>
              <w:left w:val="single" w:sz="4" w:space="0" w:color="FFFFFF"/>
              <w:right w:val="single" w:sz="4" w:space="0" w:color="FFFFFF"/>
            </w:tcBorders>
            <w:shd w:val="clear" w:color="auto" w:fill="A7A9AC"/>
          </w:tcPr>
          <w:p>
            <w:pPr>
              <w:pStyle w:val="TableParagraph"/>
              <w:spacing w:before="91"/>
              <w:rPr>
                <w:b/>
                <w:sz w:val="20"/>
              </w:rPr>
            </w:pPr>
          </w:p>
          <w:p>
            <w:pPr>
              <w:pStyle w:val="TableParagraph"/>
              <w:tabs>
                <w:tab w:pos="4007" w:val="left" w:leader="none"/>
              </w:tabs>
              <w:ind w:left="80"/>
              <w:rPr>
                <w:b/>
                <w:sz w:val="20"/>
              </w:rPr>
            </w:pPr>
            <w:r>
              <w:rPr>
                <w:b/>
                <w:color w:val="FFFFFF"/>
                <w:spacing w:val="-2"/>
                <w:sz w:val="20"/>
              </w:rPr>
              <w:t>Interventions</w:t>
            </w:r>
            <w:r>
              <w:rPr>
                <w:b/>
                <w:color w:val="FFFFFF"/>
                <w:sz w:val="20"/>
              </w:rPr>
              <w:tab/>
              <w:t>Family</w:t>
            </w:r>
            <w:r>
              <w:rPr>
                <w:b/>
                <w:color w:val="FFFFFF"/>
                <w:spacing w:val="-12"/>
                <w:sz w:val="20"/>
              </w:rPr>
              <w:t> </w:t>
            </w:r>
            <w:r>
              <w:rPr>
                <w:b/>
                <w:color w:val="FFFFFF"/>
                <w:sz w:val="20"/>
              </w:rPr>
              <w:t>of</w:t>
            </w:r>
            <w:r>
              <w:rPr>
                <w:b/>
                <w:color w:val="FFFFFF"/>
                <w:spacing w:val="-12"/>
                <w:sz w:val="20"/>
              </w:rPr>
              <w:t> </w:t>
            </w:r>
            <w:r>
              <w:rPr>
                <w:b/>
                <w:color w:val="FFFFFF"/>
                <w:spacing w:val="-2"/>
                <w:sz w:val="20"/>
              </w:rPr>
              <w:t>Measures</w:t>
            </w:r>
          </w:p>
        </w:tc>
        <w:tc>
          <w:tcPr>
            <w:tcW w:w="1872" w:type="dxa"/>
            <w:tcBorders>
              <w:left w:val="single" w:sz="4" w:space="0" w:color="FFFFFF"/>
              <w:right w:val="single" w:sz="4" w:space="0" w:color="FFFFFF"/>
            </w:tcBorders>
            <w:shd w:val="clear" w:color="auto" w:fill="A7A9AC"/>
          </w:tcPr>
          <w:p>
            <w:pPr>
              <w:pStyle w:val="TableParagraph"/>
              <w:spacing w:line="230" w:lineRule="auto" w:before="219"/>
              <w:ind w:left="91" w:right="140"/>
              <w:rPr>
                <w:b/>
                <w:sz w:val="20"/>
              </w:rPr>
            </w:pPr>
            <w:r>
              <w:rPr>
                <w:b/>
                <w:color w:val="FFFFFF"/>
                <w:spacing w:val="-2"/>
                <w:sz w:val="20"/>
              </w:rPr>
              <w:t>Implementation Partner</w:t>
            </w:r>
          </w:p>
        </w:tc>
        <w:tc>
          <w:tcPr>
            <w:tcW w:w="4090" w:type="dxa"/>
            <w:tcBorders>
              <w:left w:val="single" w:sz="4" w:space="0" w:color="FFFFFF"/>
              <w:right w:val="single" w:sz="4" w:space="0" w:color="FFFFFF"/>
            </w:tcBorders>
            <w:shd w:val="clear" w:color="auto" w:fill="A7A9AC"/>
          </w:tcPr>
          <w:p>
            <w:pPr>
              <w:pStyle w:val="TableParagraph"/>
              <w:spacing w:before="91"/>
              <w:rPr>
                <w:b/>
                <w:sz w:val="20"/>
              </w:rPr>
            </w:pPr>
          </w:p>
          <w:p>
            <w:pPr>
              <w:pStyle w:val="TableParagraph"/>
              <w:ind w:left="81"/>
              <w:rPr>
                <w:b/>
                <w:sz w:val="20"/>
              </w:rPr>
            </w:pPr>
            <w:r>
              <w:rPr>
                <w:b/>
                <w:color w:val="FFFFFF"/>
                <w:sz w:val="20"/>
              </w:rPr>
              <w:t>Partner</w:t>
            </w:r>
            <w:r>
              <w:rPr>
                <w:b/>
                <w:color w:val="FFFFFF"/>
                <w:spacing w:val="-13"/>
                <w:sz w:val="20"/>
              </w:rPr>
              <w:t> </w:t>
            </w:r>
            <w:r>
              <w:rPr>
                <w:b/>
                <w:color w:val="FFFFFF"/>
                <w:spacing w:val="-2"/>
                <w:sz w:val="20"/>
              </w:rPr>
              <w:t>Roles</w:t>
            </w:r>
          </w:p>
        </w:tc>
        <w:tc>
          <w:tcPr>
            <w:tcW w:w="2098" w:type="dxa"/>
            <w:tcBorders>
              <w:left w:val="single" w:sz="4" w:space="0" w:color="FFFFFF"/>
              <w:right w:val="single" w:sz="4" w:space="0" w:color="FFFFFF"/>
            </w:tcBorders>
            <w:shd w:val="clear" w:color="auto" w:fill="A7A9AC"/>
          </w:tcPr>
          <w:p>
            <w:pPr>
              <w:pStyle w:val="TableParagraph"/>
              <w:spacing w:before="91"/>
              <w:rPr>
                <w:b/>
                <w:sz w:val="20"/>
              </w:rPr>
            </w:pPr>
          </w:p>
          <w:p>
            <w:pPr>
              <w:pStyle w:val="TableParagraph"/>
              <w:ind w:left="80"/>
              <w:rPr>
                <w:b/>
                <w:sz w:val="20"/>
              </w:rPr>
            </w:pPr>
            <w:r>
              <w:rPr>
                <w:b/>
                <w:color w:val="FFFFFF"/>
                <w:sz w:val="20"/>
              </w:rPr>
              <w:t>Partner</w:t>
            </w:r>
            <w:r>
              <w:rPr>
                <w:b/>
                <w:color w:val="FFFFFF"/>
                <w:spacing w:val="-13"/>
                <w:sz w:val="20"/>
              </w:rPr>
              <w:t> </w:t>
            </w:r>
            <w:r>
              <w:rPr>
                <w:b/>
                <w:color w:val="FFFFFF"/>
                <w:spacing w:val="-2"/>
                <w:sz w:val="20"/>
              </w:rPr>
              <w:t>Resources</w:t>
            </w:r>
          </w:p>
        </w:tc>
      </w:tr>
      <w:tr>
        <w:trPr>
          <w:trHeight w:val="4791" w:hRule="atLeast"/>
        </w:trPr>
        <w:tc>
          <w:tcPr>
            <w:tcW w:w="1353" w:type="dxa"/>
            <w:tcBorders>
              <w:left w:val="single" w:sz="4" w:space="0" w:color="BCBEC0"/>
              <w:right w:val="single" w:sz="4" w:space="0" w:color="BCBEC0"/>
            </w:tcBorders>
            <w:shd w:val="clear" w:color="auto" w:fill="E6E7E8"/>
          </w:tcPr>
          <w:p>
            <w:pPr>
              <w:pStyle w:val="TableParagraph"/>
              <w:spacing w:line="232" w:lineRule="auto" w:before="112"/>
              <w:ind w:left="90" w:right="536"/>
              <w:jc w:val="both"/>
              <w:rPr>
                <w:sz w:val="18"/>
              </w:rPr>
            </w:pPr>
            <w:r>
              <w:rPr>
                <w:color w:val="105C84"/>
                <w:spacing w:val="-2"/>
                <w:sz w:val="18"/>
              </w:rPr>
              <w:t>Prevent Chronic </w:t>
            </w:r>
            <w:r>
              <w:rPr>
                <w:color w:val="105C84"/>
                <w:spacing w:val="-6"/>
                <w:sz w:val="18"/>
              </w:rPr>
              <w:t>Diseases</w:t>
            </w:r>
          </w:p>
        </w:tc>
        <w:tc>
          <w:tcPr>
            <w:tcW w:w="1289" w:type="dxa"/>
            <w:tcBorders>
              <w:left w:val="single" w:sz="4" w:space="0" w:color="BCBEC0"/>
              <w:right w:val="single" w:sz="4" w:space="0" w:color="BCBEC0"/>
            </w:tcBorders>
          </w:tcPr>
          <w:p>
            <w:pPr>
              <w:pStyle w:val="TableParagraph"/>
              <w:spacing w:line="232" w:lineRule="auto" w:before="112"/>
              <w:ind w:left="90"/>
              <w:rPr>
                <w:sz w:val="18"/>
              </w:rPr>
            </w:pPr>
            <w:r>
              <w:rPr>
                <w:color w:val="105C84"/>
                <w:spacing w:val="-4"/>
                <w:sz w:val="18"/>
              </w:rPr>
              <w:t>Focus</w:t>
            </w:r>
            <w:r>
              <w:rPr>
                <w:color w:val="105C84"/>
                <w:spacing w:val="-11"/>
                <w:sz w:val="18"/>
              </w:rPr>
              <w:t> </w:t>
            </w:r>
            <w:r>
              <w:rPr>
                <w:color w:val="105C84"/>
                <w:spacing w:val="-4"/>
                <w:sz w:val="18"/>
              </w:rPr>
              <w:t>Area</w:t>
            </w:r>
            <w:r>
              <w:rPr>
                <w:color w:val="105C84"/>
                <w:spacing w:val="-8"/>
                <w:sz w:val="18"/>
              </w:rPr>
              <w:t> </w:t>
            </w:r>
            <w:r>
              <w:rPr>
                <w:color w:val="105C84"/>
                <w:spacing w:val="-4"/>
                <w:sz w:val="18"/>
              </w:rPr>
              <w:t>4: </w:t>
            </w:r>
            <w:r>
              <w:rPr>
                <w:color w:val="105C84"/>
                <w:spacing w:val="-2"/>
                <w:sz w:val="18"/>
              </w:rPr>
              <w:t>Chronic Disease Preventive </w:t>
            </w:r>
            <w:r>
              <w:rPr>
                <w:color w:val="105C84"/>
                <w:sz w:val="18"/>
              </w:rPr>
              <w:t>Care &amp; </w:t>
            </w:r>
            <w:r>
              <w:rPr>
                <w:color w:val="105C84"/>
                <w:spacing w:val="-2"/>
                <w:sz w:val="18"/>
              </w:rPr>
              <w:t>Management</w:t>
            </w:r>
          </w:p>
        </w:tc>
        <w:tc>
          <w:tcPr>
            <w:tcW w:w="1591" w:type="dxa"/>
            <w:tcBorders>
              <w:left w:val="single" w:sz="4" w:space="0" w:color="BCBEC0"/>
              <w:right w:val="single" w:sz="4" w:space="0" w:color="BCBEC0"/>
            </w:tcBorders>
          </w:tcPr>
          <w:p>
            <w:pPr>
              <w:pStyle w:val="TableParagraph"/>
              <w:spacing w:line="232" w:lineRule="auto" w:before="112"/>
              <w:ind w:left="90" w:right="295"/>
              <w:rPr>
                <w:sz w:val="18"/>
              </w:rPr>
            </w:pPr>
            <w:r>
              <w:rPr>
                <w:color w:val="105C84"/>
                <w:sz w:val="18"/>
              </w:rPr>
              <w:t>Goal 4.4: In</w:t>
            </w:r>
            <w:r>
              <w:rPr>
                <w:color w:val="105C84"/>
                <w:spacing w:val="40"/>
                <w:sz w:val="18"/>
              </w:rPr>
              <w:t> </w:t>
            </w:r>
            <w:r>
              <w:rPr>
                <w:color w:val="105C84"/>
                <w:sz w:val="18"/>
              </w:rPr>
              <w:t>the</w:t>
            </w:r>
            <w:r>
              <w:rPr>
                <w:color w:val="105C84"/>
                <w:spacing w:val="-13"/>
                <w:sz w:val="18"/>
              </w:rPr>
              <w:t> </w:t>
            </w:r>
            <w:r>
              <w:rPr>
                <w:color w:val="105C84"/>
                <w:sz w:val="18"/>
              </w:rPr>
              <w:t>community</w:t>
            </w:r>
          </w:p>
          <w:p>
            <w:pPr>
              <w:pStyle w:val="TableParagraph"/>
              <w:spacing w:line="232" w:lineRule="auto"/>
              <w:ind w:left="90" w:right="78"/>
              <w:rPr>
                <w:sz w:val="18"/>
              </w:rPr>
            </w:pPr>
            <w:r>
              <w:rPr>
                <w:color w:val="105C84"/>
                <w:sz w:val="18"/>
              </w:rPr>
              <w:t>setting, improve </w:t>
            </w:r>
            <w:r>
              <w:rPr>
                <w:color w:val="105C84"/>
                <w:spacing w:val="-2"/>
                <w:sz w:val="18"/>
              </w:rPr>
              <w:t>self-management </w:t>
            </w:r>
            <w:r>
              <w:rPr>
                <w:color w:val="105C84"/>
                <w:sz w:val="18"/>
              </w:rPr>
              <w:t>skills for individuals with </w:t>
            </w:r>
            <w:r>
              <w:rPr>
                <w:color w:val="105C84"/>
                <w:spacing w:val="-2"/>
                <w:sz w:val="18"/>
              </w:rPr>
              <w:t>chronic</w:t>
            </w:r>
            <w:r>
              <w:rPr>
                <w:color w:val="105C84"/>
                <w:spacing w:val="-13"/>
                <w:sz w:val="18"/>
              </w:rPr>
              <w:t> </w:t>
            </w:r>
            <w:r>
              <w:rPr>
                <w:color w:val="105C84"/>
                <w:spacing w:val="-2"/>
                <w:sz w:val="18"/>
              </w:rPr>
              <w:t>diseases</w:t>
            </w:r>
            <w:r>
              <w:rPr>
                <w:color w:val="105C84"/>
                <w:spacing w:val="-10"/>
                <w:sz w:val="18"/>
              </w:rPr>
              <w:t> </w:t>
            </w:r>
            <w:r>
              <w:rPr>
                <w:color w:val="105C84"/>
                <w:spacing w:val="-2"/>
                <w:sz w:val="18"/>
              </w:rPr>
              <w:t>- </w:t>
            </w:r>
            <w:r>
              <w:rPr>
                <w:color w:val="105C84"/>
                <w:sz w:val="18"/>
              </w:rPr>
              <w:t>asthma, arthritis, </w:t>
            </w:r>
            <w:r>
              <w:rPr>
                <w:color w:val="105C84"/>
                <w:spacing w:val="-2"/>
                <w:sz w:val="18"/>
              </w:rPr>
              <w:t>cardiovascular </w:t>
            </w:r>
            <w:r>
              <w:rPr>
                <w:color w:val="105C84"/>
                <w:sz w:val="18"/>
              </w:rPr>
              <w:t>disease,</w:t>
            </w:r>
            <w:r>
              <w:rPr>
                <w:color w:val="105C84"/>
                <w:spacing w:val="-13"/>
                <w:sz w:val="18"/>
              </w:rPr>
              <w:t> </w:t>
            </w:r>
            <w:r>
              <w:rPr>
                <w:color w:val="105C84"/>
                <w:sz w:val="18"/>
              </w:rPr>
              <w:t>diabetes and prediabetes &amp; obesity</w:t>
            </w:r>
          </w:p>
        </w:tc>
        <w:tc>
          <w:tcPr>
            <w:tcW w:w="2822" w:type="dxa"/>
            <w:tcBorders>
              <w:left w:val="single" w:sz="4" w:space="0" w:color="BCBEC0"/>
              <w:right w:val="single" w:sz="4" w:space="0" w:color="BCBEC0"/>
            </w:tcBorders>
          </w:tcPr>
          <w:p>
            <w:pPr>
              <w:pStyle w:val="TableParagraph"/>
              <w:spacing w:line="232" w:lineRule="auto" w:before="111"/>
              <w:ind w:left="90"/>
              <w:rPr>
                <w:sz w:val="18"/>
              </w:rPr>
            </w:pPr>
            <w:r>
              <w:rPr>
                <w:color w:val="105C84"/>
                <w:sz w:val="18"/>
              </w:rPr>
              <w:t>4.4.1</w:t>
            </w:r>
            <w:r>
              <w:rPr>
                <w:color w:val="105C84"/>
                <w:spacing w:val="-6"/>
                <w:sz w:val="18"/>
              </w:rPr>
              <w:t> </w:t>
            </w:r>
            <w:r>
              <w:rPr>
                <w:color w:val="105C84"/>
                <w:sz w:val="18"/>
              </w:rPr>
              <w:t>Increase</w:t>
            </w:r>
            <w:r>
              <w:rPr>
                <w:color w:val="105C84"/>
                <w:spacing w:val="-6"/>
                <w:sz w:val="18"/>
              </w:rPr>
              <w:t> </w:t>
            </w:r>
            <w:r>
              <w:rPr>
                <w:color w:val="105C84"/>
                <w:sz w:val="18"/>
              </w:rPr>
              <w:t>the</w:t>
            </w:r>
            <w:r>
              <w:rPr>
                <w:color w:val="105C84"/>
                <w:spacing w:val="-6"/>
                <w:sz w:val="18"/>
              </w:rPr>
              <w:t> </w:t>
            </w:r>
            <w:r>
              <w:rPr>
                <w:color w:val="105C84"/>
                <w:sz w:val="18"/>
              </w:rPr>
              <w:t>percentage</w:t>
            </w:r>
            <w:r>
              <w:rPr>
                <w:color w:val="105C84"/>
                <w:spacing w:val="-6"/>
                <w:sz w:val="18"/>
              </w:rPr>
              <w:t> </w:t>
            </w:r>
            <w:r>
              <w:rPr>
                <w:color w:val="105C84"/>
                <w:sz w:val="18"/>
              </w:rPr>
              <w:t>of adults with chronic conditions </w:t>
            </w:r>
            <w:r>
              <w:rPr>
                <w:color w:val="105C84"/>
                <w:spacing w:val="-2"/>
                <w:sz w:val="18"/>
              </w:rPr>
              <w:t>(arthritis,</w:t>
            </w:r>
            <w:r>
              <w:rPr>
                <w:color w:val="105C84"/>
                <w:spacing w:val="-7"/>
                <w:sz w:val="18"/>
              </w:rPr>
              <w:t> </w:t>
            </w:r>
            <w:r>
              <w:rPr>
                <w:color w:val="105C84"/>
                <w:spacing w:val="-2"/>
                <w:sz w:val="18"/>
              </w:rPr>
              <w:t>asthma,</w:t>
            </w:r>
            <w:r>
              <w:rPr>
                <w:color w:val="105C84"/>
                <w:spacing w:val="-7"/>
                <w:sz w:val="18"/>
              </w:rPr>
              <w:t> </w:t>
            </w:r>
            <w:r>
              <w:rPr>
                <w:color w:val="105C84"/>
                <w:spacing w:val="-2"/>
                <w:sz w:val="18"/>
              </w:rPr>
              <w:t>CVD,</w:t>
            </w:r>
            <w:r>
              <w:rPr>
                <w:color w:val="105C84"/>
                <w:spacing w:val="-7"/>
                <w:sz w:val="18"/>
              </w:rPr>
              <w:t> </w:t>
            </w:r>
            <w:r>
              <w:rPr>
                <w:color w:val="105C84"/>
                <w:spacing w:val="-2"/>
                <w:sz w:val="18"/>
              </w:rPr>
              <w:t>diabetes</w:t>
            </w:r>
            <w:r>
              <w:rPr>
                <w:color w:val="105C84"/>
                <w:spacing w:val="-2"/>
                <w:sz w:val="18"/>
              </w:rPr>
              <w:t>,</w:t>
            </w:r>
            <w:r>
              <w:rPr>
                <w:color w:val="105C84"/>
                <w:spacing w:val="-2"/>
                <w:sz w:val="18"/>
              </w:rPr>
              <w:t> </w:t>
            </w:r>
            <w:r>
              <w:rPr>
                <w:color w:val="105C84"/>
                <w:sz w:val="18"/>
              </w:rPr>
              <w:t>CKD, cancer) who have taken a course or class to learn how to manage their condition.</w:t>
            </w:r>
          </w:p>
          <w:p>
            <w:pPr>
              <w:pStyle w:val="TableParagraph"/>
              <w:spacing w:before="94"/>
              <w:ind w:left="90"/>
              <w:rPr>
                <w:sz w:val="18"/>
              </w:rPr>
            </w:pPr>
            <w:r>
              <w:rPr>
                <w:color w:val="105C84"/>
                <w:spacing w:val="-4"/>
                <w:sz w:val="18"/>
              </w:rPr>
              <w:t>Target:</w:t>
            </w:r>
            <w:r>
              <w:rPr>
                <w:color w:val="105C84"/>
                <w:spacing w:val="-1"/>
                <w:sz w:val="18"/>
              </w:rPr>
              <w:t> </w:t>
            </w:r>
            <w:r>
              <w:rPr>
                <w:color w:val="105C84"/>
                <w:spacing w:val="-2"/>
                <w:sz w:val="18"/>
              </w:rPr>
              <w:t>10.60%</w:t>
            </w:r>
          </w:p>
          <w:p>
            <w:pPr>
              <w:pStyle w:val="TableParagraph"/>
              <w:spacing w:line="352" w:lineRule="auto" w:before="96"/>
              <w:ind w:left="90" w:right="965"/>
              <w:rPr>
                <w:sz w:val="18"/>
              </w:rPr>
            </w:pPr>
            <w:r>
              <w:rPr>
                <w:color w:val="105C84"/>
                <w:spacing w:val="-6"/>
                <w:sz w:val="18"/>
              </w:rPr>
              <w:t>Baseline:</w:t>
            </w:r>
            <w:r>
              <w:rPr>
                <w:color w:val="105C84"/>
                <w:spacing w:val="-9"/>
                <w:sz w:val="18"/>
              </w:rPr>
              <w:t> </w:t>
            </w:r>
            <w:r>
              <w:rPr>
                <w:color w:val="105C84"/>
                <w:spacing w:val="-6"/>
                <w:sz w:val="18"/>
              </w:rPr>
              <w:t>10.1% </w:t>
            </w:r>
            <w:r>
              <w:rPr>
                <w:color w:val="105C84"/>
                <w:spacing w:val="-6"/>
                <w:sz w:val="18"/>
              </w:rPr>
              <w:t>(2016) </w:t>
            </w:r>
            <w:r>
              <w:rPr>
                <w:color w:val="105C84"/>
                <w:sz w:val="18"/>
              </w:rPr>
              <w:t>Data Source: BRFSS</w:t>
            </w:r>
          </w:p>
          <w:p>
            <w:pPr>
              <w:pStyle w:val="TableParagraph"/>
              <w:spacing w:line="205" w:lineRule="exact"/>
              <w:ind w:left="90"/>
              <w:rPr>
                <w:sz w:val="18"/>
              </w:rPr>
            </w:pPr>
            <w:r>
              <w:rPr>
                <w:color w:val="105C84"/>
                <w:sz w:val="18"/>
              </w:rPr>
              <w:t>Data</w:t>
            </w:r>
            <w:r>
              <w:rPr>
                <w:color w:val="105C84"/>
                <w:spacing w:val="-12"/>
                <w:sz w:val="18"/>
              </w:rPr>
              <w:t> </w:t>
            </w:r>
            <w:r>
              <w:rPr>
                <w:color w:val="105C84"/>
                <w:sz w:val="18"/>
              </w:rPr>
              <w:t>Level:</w:t>
            </w:r>
            <w:r>
              <w:rPr>
                <w:color w:val="105C84"/>
                <w:spacing w:val="-11"/>
                <w:sz w:val="18"/>
              </w:rPr>
              <w:t> </w:t>
            </w:r>
            <w:r>
              <w:rPr>
                <w:color w:val="105C84"/>
                <w:sz w:val="18"/>
              </w:rPr>
              <w:t>State</w:t>
            </w:r>
            <w:r>
              <w:rPr>
                <w:color w:val="105C84"/>
                <w:spacing w:val="-11"/>
                <w:sz w:val="18"/>
              </w:rPr>
              <w:t> </w:t>
            </w:r>
            <w:r>
              <w:rPr>
                <w:color w:val="105C84"/>
                <w:sz w:val="18"/>
              </w:rPr>
              <w:t>and</w:t>
            </w:r>
            <w:r>
              <w:rPr>
                <w:color w:val="105C84"/>
                <w:spacing w:val="-11"/>
                <w:sz w:val="18"/>
              </w:rPr>
              <w:t> </w:t>
            </w:r>
            <w:r>
              <w:rPr>
                <w:color w:val="105C84"/>
                <w:spacing w:val="-2"/>
                <w:sz w:val="18"/>
              </w:rPr>
              <w:t>County</w:t>
            </w:r>
          </w:p>
        </w:tc>
        <w:tc>
          <w:tcPr>
            <w:tcW w:w="1267" w:type="dxa"/>
            <w:tcBorders>
              <w:left w:val="single" w:sz="4" w:space="0" w:color="BCBEC0"/>
              <w:right w:val="single" w:sz="4" w:space="0" w:color="BCBEC0"/>
            </w:tcBorders>
          </w:tcPr>
          <w:p>
            <w:pPr>
              <w:pStyle w:val="TableParagraph"/>
              <w:rPr>
                <w:rFonts w:ascii="Times New Roman"/>
                <w:sz w:val="18"/>
              </w:rPr>
            </w:pPr>
          </w:p>
        </w:tc>
        <w:tc>
          <w:tcPr>
            <w:tcW w:w="5846" w:type="dxa"/>
            <w:tcBorders>
              <w:left w:val="single" w:sz="4" w:space="0" w:color="BCBEC0"/>
              <w:right w:val="single" w:sz="4" w:space="0" w:color="BCBEC0"/>
            </w:tcBorders>
          </w:tcPr>
          <w:p>
            <w:pPr>
              <w:pStyle w:val="TableParagraph"/>
              <w:tabs>
                <w:tab w:pos="3917" w:val="left" w:leader="none"/>
              </w:tabs>
              <w:spacing w:line="203" w:lineRule="exact" w:before="106"/>
              <w:ind w:left="90"/>
              <w:rPr>
                <w:sz w:val="18"/>
              </w:rPr>
            </w:pPr>
            <w:r>
              <w:rPr>
                <w:color w:val="105C84"/>
                <w:spacing w:val="-2"/>
                <w:sz w:val="18"/>
              </w:rPr>
              <w:t>4.4.2</w:t>
            </w:r>
            <w:r>
              <w:rPr>
                <w:color w:val="105C84"/>
                <w:spacing w:val="-11"/>
                <w:sz w:val="18"/>
              </w:rPr>
              <w:t> </w:t>
            </w:r>
            <w:r>
              <w:rPr>
                <w:color w:val="105C84"/>
                <w:spacing w:val="-2"/>
                <w:sz w:val="18"/>
              </w:rPr>
              <w:t>Expand</w:t>
            </w:r>
            <w:r>
              <w:rPr>
                <w:color w:val="105C84"/>
                <w:spacing w:val="-10"/>
                <w:sz w:val="18"/>
              </w:rPr>
              <w:t> </w:t>
            </w:r>
            <w:r>
              <w:rPr>
                <w:color w:val="105C84"/>
                <w:spacing w:val="-2"/>
                <w:sz w:val="18"/>
              </w:rPr>
              <w:t>access</w:t>
            </w:r>
            <w:r>
              <w:rPr>
                <w:color w:val="105C84"/>
                <w:sz w:val="18"/>
              </w:rPr>
              <w:tab/>
              <w:t>#</w:t>
            </w:r>
            <w:r>
              <w:rPr>
                <w:color w:val="105C84"/>
                <w:spacing w:val="-2"/>
                <w:sz w:val="18"/>
              </w:rPr>
              <w:t> </w:t>
            </w:r>
            <w:r>
              <w:rPr>
                <w:color w:val="105C84"/>
                <w:sz w:val="18"/>
              </w:rPr>
              <w:t>and</w:t>
            </w:r>
            <w:r>
              <w:rPr>
                <w:color w:val="105C84"/>
                <w:spacing w:val="-2"/>
                <w:sz w:val="18"/>
              </w:rPr>
              <w:t> </w:t>
            </w:r>
            <w:r>
              <w:rPr>
                <w:color w:val="105C84"/>
                <w:sz w:val="18"/>
              </w:rPr>
              <w:t>type</w:t>
            </w:r>
            <w:r>
              <w:rPr>
                <w:color w:val="105C84"/>
                <w:spacing w:val="-2"/>
                <w:sz w:val="18"/>
              </w:rPr>
              <w:t> </w:t>
            </w:r>
            <w:r>
              <w:rPr>
                <w:color w:val="105C84"/>
                <w:spacing w:val="-5"/>
                <w:sz w:val="18"/>
              </w:rPr>
              <w:t>of</w:t>
            </w:r>
          </w:p>
          <w:p>
            <w:pPr>
              <w:pStyle w:val="TableParagraph"/>
              <w:tabs>
                <w:tab w:pos="3917" w:val="left" w:leader="none"/>
              </w:tabs>
              <w:spacing w:line="200" w:lineRule="exact"/>
              <w:ind w:left="90"/>
              <w:rPr>
                <w:sz w:val="18"/>
              </w:rPr>
            </w:pPr>
            <w:r>
              <w:rPr>
                <w:color w:val="105C84"/>
                <w:sz w:val="18"/>
              </w:rPr>
              <w:t>to</w:t>
            </w:r>
            <w:r>
              <w:rPr>
                <w:color w:val="105C84"/>
                <w:spacing w:val="12"/>
                <w:sz w:val="18"/>
              </w:rPr>
              <w:t> </w:t>
            </w:r>
            <w:r>
              <w:rPr>
                <w:color w:val="105C84"/>
                <w:sz w:val="18"/>
              </w:rPr>
              <w:t>evidence-</w:t>
            </w:r>
            <w:r>
              <w:rPr>
                <w:color w:val="105C84"/>
                <w:spacing w:val="-2"/>
                <w:sz w:val="18"/>
              </w:rPr>
              <w:t>based</w:t>
            </w:r>
            <w:r>
              <w:rPr>
                <w:color w:val="105C84"/>
                <w:sz w:val="18"/>
              </w:rPr>
              <w:tab/>
            </w:r>
            <w:r>
              <w:rPr>
                <w:color w:val="105C84"/>
                <w:spacing w:val="-4"/>
                <w:sz w:val="18"/>
              </w:rPr>
              <w:t>EBSMP</w:t>
            </w:r>
            <w:r>
              <w:rPr>
                <w:color w:val="105C84"/>
                <w:spacing w:val="-1"/>
                <w:sz w:val="18"/>
              </w:rPr>
              <w:t> </w:t>
            </w:r>
            <w:r>
              <w:rPr>
                <w:color w:val="105C84"/>
                <w:spacing w:val="-4"/>
                <w:sz w:val="18"/>
              </w:rPr>
              <w:t>programs</w:t>
            </w:r>
            <w:r>
              <w:rPr>
                <w:color w:val="105C84"/>
                <w:sz w:val="18"/>
              </w:rPr>
              <w:t> </w:t>
            </w:r>
            <w:r>
              <w:rPr>
                <w:color w:val="105C84"/>
                <w:spacing w:val="-5"/>
                <w:sz w:val="18"/>
              </w:rPr>
              <w:t>in</w:t>
            </w:r>
          </w:p>
          <w:p>
            <w:pPr>
              <w:pStyle w:val="TableParagraph"/>
              <w:tabs>
                <w:tab w:pos="3917" w:val="left" w:leader="none"/>
              </w:tabs>
              <w:spacing w:line="200" w:lineRule="exact"/>
              <w:ind w:left="90"/>
              <w:rPr>
                <w:sz w:val="18"/>
              </w:rPr>
            </w:pPr>
            <w:r>
              <w:rPr>
                <w:color w:val="105C84"/>
                <w:spacing w:val="-4"/>
                <w:sz w:val="18"/>
              </w:rPr>
              <w:t>self-</w:t>
            </w:r>
            <w:r>
              <w:rPr>
                <w:color w:val="105C84"/>
                <w:spacing w:val="-2"/>
                <w:sz w:val="18"/>
              </w:rPr>
              <w:t>management</w:t>
            </w:r>
            <w:r>
              <w:rPr>
                <w:color w:val="105C84"/>
                <w:sz w:val="18"/>
              </w:rPr>
              <w:tab/>
              <w:t>community</w:t>
            </w:r>
            <w:r>
              <w:rPr>
                <w:color w:val="105C84"/>
                <w:spacing w:val="4"/>
                <w:sz w:val="18"/>
              </w:rPr>
              <w:t> </w:t>
            </w:r>
            <w:r>
              <w:rPr>
                <w:color w:val="105C84"/>
                <w:spacing w:val="-2"/>
                <w:sz w:val="18"/>
              </w:rPr>
              <w:t>settings</w:t>
            </w:r>
          </w:p>
          <w:p>
            <w:pPr>
              <w:pStyle w:val="TableParagraph"/>
              <w:tabs>
                <w:tab w:pos="3917" w:val="left" w:leader="none"/>
              </w:tabs>
              <w:spacing w:line="146" w:lineRule="auto" w:before="23"/>
              <w:ind w:left="90"/>
              <w:rPr>
                <w:position w:val="-9"/>
                <w:sz w:val="18"/>
              </w:rPr>
            </w:pPr>
            <w:r>
              <w:rPr>
                <w:color w:val="105C84"/>
                <w:sz w:val="18"/>
              </w:rPr>
              <w:t>interventions</w:t>
            </w:r>
            <w:r>
              <w:rPr>
                <w:color w:val="105C84"/>
                <w:spacing w:val="3"/>
                <w:sz w:val="18"/>
              </w:rPr>
              <w:t> </w:t>
            </w:r>
            <w:r>
              <w:rPr>
                <w:color w:val="105C84"/>
                <w:spacing w:val="-5"/>
                <w:sz w:val="18"/>
              </w:rPr>
              <w:t>for</w:t>
            </w:r>
            <w:r>
              <w:rPr>
                <w:color w:val="105C84"/>
                <w:sz w:val="18"/>
              </w:rPr>
              <w:tab/>
            </w:r>
            <w:r>
              <w:rPr>
                <w:color w:val="105C84"/>
                <w:spacing w:val="-2"/>
                <w:position w:val="-9"/>
                <w:sz w:val="18"/>
              </w:rPr>
              <w:t>CDSMP</w:t>
            </w:r>
          </w:p>
          <w:p>
            <w:pPr>
              <w:pStyle w:val="TableParagraph"/>
              <w:spacing w:line="149" w:lineRule="exact"/>
              <w:ind w:left="90"/>
              <w:rPr>
                <w:sz w:val="18"/>
              </w:rPr>
            </w:pPr>
            <w:r>
              <w:rPr>
                <w:color w:val="105C84"/>
                <w:sz w:val="18"/>
              </w:rPr>
              <w:t>individuals</w:t>
            </w:r>
            <w:r>
              <w:rPr>
                <w:color w:val="105C84"/>
                <w:spacing w:val="-4"/>
                <w:sz w:val="18"/>
              </w:rPr>
              <w:t> with</w:t>
            </w:r>
          </w:p>
          <w:p>
            <w:pPr>
              <w:pStyle w:val="TableParagraph"/>
              <w:tabs>
                <w:tab w:pos="4037" w:val="left" w:leader="none"/>
              </w:tabs>
              <w:spacing w:line="203" w:lineRule="exact"/>
              <w:ind w:left="90"/>
              <w:rPr>
                <w:sz w:val="18"/>
              </w:rPr>
            </w:pPr>
            <w:r>
              <w:rPr>
                <w:color w:val="105C84"/>
                <w:position w:val="1"/>
                <w:sz w:val="18"/>
              </w:rPr>
              <w:t>chronic</w:t>
            </w:r>
            <w:r>
              <w:rPr>
                <w:color w:val="105C84"/>
                <w:spacing w:val="-10"/>
                <w:position w:val="1"/>
                <w:sz w:val="18"/>
              </w:rPr>
              <w:t> </w:t>
            </w:r>
            <w:r>
              <w:rPr>
                <w:color w:val="105C84"/>
                <w:spacing w:val="-2"/>
                <w:position w:val="1"/>
                <w:sz w:val="18"/>
              </w:rPr>
              <w:t>disease</w:t>
            </w:r>
            <w:r>
              <w:rPr>
                <w:color w:val="105C84"/>
                <w:position w:val="1"/>
                <w:sz w:val="18"/>
              </w:rPr>
              <w:tab/>
            </w:r>
            <w:r>
              <w:rPr>
                <w:color w:val="105C84"/>
                <w:sz w:val="18"/>
              </w:rPr>
              <w:t>-</w:t>
            </w:r>
            <w:r>
              <w:rPr>
                <w:color w:val="105C84"/>
                <w:spacing w:val="-5"/>
                <w:sz w:val="18"/>
              </w:rPr>
              <w:t> </w:t>
            </w:r>
            <w:r>
              <w:rPr>
                <w:color w:val="105C84"/>
                <w:sz w:val="18"/>
              </w:rPr>
              <w:t>#</w:t>
            </w:r>
            <w:r>
              <w:rPr>
                <w:color w:val="105C84"/>
                <w:spacing w:val="-4"/>
                <w:sz w:val="18"/>
              </w:rPr>
              <w:t> </w:t>
            </w:r>
            <w:r>
              <w:rPr>
                <w:color w:val="105C84"/>
                <w:sz w:val="18"/>
              </w:rPr>
              <w:t>groups</w:t>
            </w:r>
            <w:r>
              <w:rPr>
                <w:color w:val="105C84"/>
                <w:spacing w:val="-5"/>
                <w:sz w:val="18"/>
              </w:rPr>
              <w:t> </w:t>
            </w:r>
            <w:r>
              <w:rPr>
                <w:color w:val="105C84"/>
                <w:spacing w:val="-4"/>
                <w:sz w:val="18"/>
              </w:rPr>
              <w:t>held</w:t>
            </w:r>
          </w:p>
          <w:p>
            <w:pPr>
              <w:pStyle w:val="TableParagraph"/>
              <w:tabs>
                <w:tab w:pos="4037" w:val="left" w:leader="none"/>
              </w:tabs>
              <w:spacing w:line="202" w:lineRule="exact"/>
              <w:ind w:left="90"/>
              <w:rPr>
                <w:sz w:val="18"/>
              </w:rPr>
            </w:pPr>
            <w:r>
              <w:rPr>
                <w:color w:val="105C84"/>
                <w:position w:val="1"/>
                <w:sz w:val="18"/>
              </w:rPr>
              <w:t>whose</w:t>
            </w:r>
            <w:r>
              <w:rPr>
                <w:color w:val="105C84"/>
                <w:spacing w:val="7"/>
                <w:position w:val="1"/>
                <w:sz w:val="18"/>
              </w:rPr>
              <w:t> </w:t>
            </w:r>
            <w:r>
              <w:rPr>
                <w:color w:val="105C84"/>
                <w:position w:val="1"/>
                <w:sz w:val="18"/>
              </w:rPr>
              <w:t>condition</w:t>
            </w:r>
            <w:r>
              <w:rPr>
                <w:color w:val="105C84"/>
                <w:spacing w:val="8"/>
                <w:position w:val="1"/>
                <w:sz w:val="18"/>
              </w:rPr>
              <w:t> </w:t>
            </w:r>
            <w:r>
              <w:rPr>
                <w:color w:val="105C84"/>
                <w:spacing w:val="-5"/>
                <w:position w:val="1"/>
                <w:sz w:val="18"/>
              </w:rPr>
              <w:t>is</w:t>
            </w:r>
            <w:r>
              <w:rPr>
                <w:color w:val="105C84"/>
                <w:position w:val="1"/>
                <w:sz w:val="18"/>
              </w:rPr>
              <w:tab/>
            </w:r>
            <w:r>
              <w:rPr>
                <w:color w:val="105C84"/>
                <w:spacing w:val="-2"/>
                <w:sz w:val="18"/>
              </w:rPr>
              <w:t>(goal=6)</w:t>
            </w:r>
          </w:p>
          <w:p>
            <w:pPr>
              <w:pStyle w:val="TableParagraph"/>
              <w:tabs>
                <w:tab w:pos="4037" w:val="left" w:leader="none"/>
              </w:tabs>
              <w:spacing w:line="144" w:lineRule="auto" w:before="17"/>
              <w:ind w:left="90"/>
              <w:rPr>
                <w:position w:val="-10"/>
                <w:sz w:val="18"/>
              </w:rPr>
            </w:pPr>
            <w:r>
              <w:rPr>
                <w:color w:val="105C84"/>
                <w:sz w:val="18"/>
              </w:rPr>
              <w:t>not</w:t>
            </w:r>
            <w:r>
              <w:rPr>
                <w:color w:val="105C84"/>
                <w:spacing w:val="11"/>
                <w:sz w:val="18"/>
              </w:rPr>
              <w:t> </w:t>
            </w:r>
            <w:r>
              <w:rPr>
                <w:color w:val="105C84"/>
                <w:sz w:val="18"/>
              </w:rPr>
              <w:t>well-</w:t>
            </w:r>
            <w:r>
              <w:rPr>
                <w:color w:val="105C84"/>
                <w:spacing w:val="-2"/>
                <w:sz w:val="18"/>
              </w:rPr>
              <w:t>controlled</w:t>
            </w:r>
            <w:r>
              <w:rPr>
                <w:color w:val="105C84"/>
                <w:sz w:val="18"/>
              </w:rPr>
              <w:tab/>
            </w:r>
            <w:r>
              <w:rPr>
                <w:color w:val="105C84"/>
                <w:position w:val="-10"/>
                <w:sz w:val="18"/>
              </w:rPr>
              <w:t>-</w:t>
            </w:r>
            <w:r>
              <w:rPr>
                <w:color w:val="105C84"/>
                <w:spacing w:val="-10"/>
                <w:position w:val="-10"/>
                <w:sz w:val="18"/>
              </w:rPr>
              <w:t> </w:t>
            </w:r>
            <w:r>
              <w:rPr>
                <w:color w:val="105C84"/>
                <w:position w:val="-10"/>
                <w:sz w:val="18"/>
              </w:rPr>
              <w:t>#</w:t>
            </w:r>
            <w:r>
              <w:rPr>
                <w:color w:val="105C84"/>
                <w:spacing w:val="-7"/>
                <w:position w:val="-10"/>
                <w:sz w:val="18"/>
              </w:rPr>
              <w:t> </w:t>
            </w:r>
            <w:r>
              <w:rPr>
                <w:color w:val="105C84"/>
                <w:spacing w:val="-2"/>
                <w:position w:val="-10"/>
                <w:sz w:val="18"/>
              </w:rPr>
              <w:t>participants</w:t>
            </w:r>
          </w:p>
          <w:p>
            <w:pPr>
              <w:pStyle w:val="TableParagraph"/>
              <w:tabs>
                <w:tab w:pos="4037" w:val="left" w:leader="none"/>
              </w:tabs>
              <w:spacing w:line="144" w:lineRule="auto"/>
              <w:ind w:left="90"/>
              <w:rPr>
                <w:position w:val="-10"/>
                <w:sz w:val="18"/>
              </w:rPr>
            </w:pPr>
            <w:r>
              <w:rPr>
                <w:color w:val="105C84"/>
                <w:sz w:val="18"/>
              </w:rPr>
              <w:t>with</w:t>
            </w:r>
            <w:r>
              <w:rPr>
                <w:color w:val="105C84"/>
                <w:spacing w:val="3"/>
                <w:sz w:val="18"/>
              </w:rPr>
              <w:t> </w:t>
            </w:r>
            <w:r>
              <w:rPr>
                <w:color w:val="105C84"/>
                <w:spacing w:val="-2"/>
                <w:sz w:val="18"/>
              </w:rPr>
              <w:t>medical</w:t>
            </w:r>
            <w:r>
              <w:rPr>
                <w:color w:val="105C84"/>
                <w:sz w:val="18"/>
              </w:rPr>
              <w:tab/>
            </w:r>
            <w:r>
              <w:rPr>
                <w:color w:val="105C84"/>
                <w:spacing w:val="-2"/>
                <w:position w:val="-10"/>
                <w:sz w:val="18"/>
              </w:rPr>
              <w:t>(goal=60)</w:t>
            </w:r>
          </w:p>
          <w:p>
            <w:pPr>
              <w:pStyle w:val="TableParagraph"/>
              <w:spacing w:line="148" w:lineRule="exact"/>
              <w:ind w:left="90"/>
              <w:rPr>
                <w:sz w:val="18"/>
              </w:rPr>
            </w:pPr>
            <w:r>
              <w:rPr>
                <w:color w:val="105C84"/>
                <w:sz w:val="18"/>
              </w:rPr>
              <w:t>management</w:t>
            </w:r>
            <w:r>
              <w:rPr>
                <w:color w:val="105C84"/>
                <w:spacing w:val="6"/>
                <w:sz w:val="18"/>
              </w:rPr>
              <w:t> </w:t>
            </w:r>
            <w:r>
              <w:rPr>
                <w:color w:val="105C84"/>
                <w:spacing w:val="-4"/>
                <w:sz w:val="18"/>
              </w:rPr>
              <w:t>alone</w:t>
            </w:r>
          </w:p>
          <w:p>
            <w:pPr>
              <w:pStyle w:val="TableParagraph"/>
              <w:numPr>
                <w:ilvl w:val="0"/>
                <w:numId w:val="64"/>
              </w:numPr>
              <w:tabs>
                <w:tab w:pos="4142" w:val="left" w:leader="none"/>
              </w:tabs>
              <w:spacing w:line="232" w:lineRule="auto" w:before="0" w:after="0"/>
              <w:ind w:left="4037" w:right="145" w:firstLine="0"/>
              <w:jc w:val="left"/>
              <w:rPr>
                <w:sz w:val="18"/>
              </w:rPr>
            </w:pPr>
            <w:r>
              <w:rPr>
                <w:color w:val="105C84"/>
                <w:sz w:val="18"/>
              </w:rPr>
              <w:t>% participants completing </w:t>
            </w:r>
            <w:r>
              <w:rPr>
                <w:color w:val="105C84"/>
                <w:sz w:val="18"/>
              </w:rPr>
              <w:t>program (goal 60%)</w:t>
            </w:r>
          </w:p>
          <w:p>
            <w:pPr>
              <w:pStyle w:val="TableParagraph"/>
              <w:spacing w:line="232" w:lineRule="auto" w:before="76"/>
              <w:ind w:left="3917"/>
              <w:rPr>
                <w:sz w:val="18"/>
              </w:rPr>
            </w:pPr>
            <w:r>
              <w:rPr>
                <w:color w:val="105C84"/>
                <w:sz w:val="18"/>
              </w:rPr>
              <w:t>Matter</w:t>
            </w:r>
            <w:r>
              <w:rPr>
                <w:color w:val="105C84"/>
                <w:spacing w:val="-11"/>
                <w:sz w:val="18"/>
              </w:rPr>
              <w:t> </w:t>
            </w:r>
            <w:r>
              <w:rPr>
                <w:color w:val="105C84"/>
                <w:sz w:val="18"/>
              </w:rPr>
              <w:t>of</w:t>
            </w:r>
            <w:r>
              <w:rPr>
                <w:color w:val="105C84"/>
                <w:spacing w:val="-11"/>
                <w:sz w:val="18"/>
              </w:rPr>
              <w:t> </w:t>
            </w:r>
            <w:r>
              <w:rPr>
                <w:color w:val="105C84"/>
                <w:sz w:val="18"/>
              </w:rPr>
              <w:t>Balance</w:t>
            </w:r>
            <w:r>
              <w:rPr>
                <w:color w:val="105C84"/>
                <w:spacing w:val="-11"/>
                <w:sz w:val="18"/>
              </w:rPr>
              <w:t> </w:t>
            </w:r>
            <w:r>
              <w:rPr>
                <w:color w:val="105C84"/>
                <w:sz w:val="18"/>
              </w:rPr>
              <w:t>and Powerful Tools for </w:t>
            </w:r>
            <w:r>
              <w:rPr>
                <w:color w:val="105C84"/>
                <w:spacing w:val="-2"/>
                <w:sz w:val="18"/>
              </w:rPr>
              <w:t>Caregivers</w:t>
            </w:r>
          </w:p>
          <w:p>
            <w:pPr>
              <w:pStyle w:val="TableParagraph"/>
              <w:numPr>
                <w:ilvl w:val="0"/>
                <w:numId w:val="64"/>
              </w:numPr>
              <w:tabs>
                <w:tab w:pos="4142" w:val="left" w:leader="none"/>
              </w:tabs>
              <w:spacing w:line="240" w:lineRule="auto" w:before="95" w:after="0"/>
              <w:ind w:left="4142" w:right="0" w:hanging="105"/>
              <w:jc w:val="left"/>
              <w:rPr>
                <w:sz w:val="18"/>
              </w:rPr>
            </w:pPr>
            <w:r>
              <w:rPr>
                <w:color w:val="105C84"/>
                <w:sz w:val="18"/>
              </w:rPr>
              <w:t>#</w:t>
            </w:r>
            <w:r>
              <w:rPr>
                <w:color w:val="105C84"/>
                <w:spacing w:val="-5"/>
                <w:sz w:val="18"/>
              </w:rPr>
              <w:t> </w:t>
            </w:r>
            <w:r>
              <w:rPr>
                <w:color w:val="105C84"/>
                <w:sz w:val="18"/>
              </w:rPr>
              <w:t>groups</w:t>
            </w:r>
            <w:r>
              <w:rPr>
                <w:color w:val="105C84"/>
                <w:spacing w:val="-5"/>
                <w:sz w:val="18"/>
              </w:rPr>
              <w:t> </w:t>
            </w:r>
            <w:r>
              <w:rPr>
                <w:color w:val="105C84"/>
                <w:spacing w:val="-4"/>
                <w:sz w:val="18"/>
              </w:rPr>
              <w:t>held</w:t>
            </w:r>
          </w:p>
          <w:p>
            <w:pPr>
              <w:pStyle w:val="TableParagraph"/>
              <w:numPr>
                <w:ilvl w:val="0"/>
                <w:numId w:val="64"/>
              </w:numPr>
              <w:tabs>
                <w:tab w:pos="4142" w:val="left" w:leader="none"/>
              </w:tabs>
              <w:spacing w:line="240" w:lineRule="auto" w:before="97" w:after="0"/>
              <w:ind w:left="4142" w:right="0" w:hanging="105"/>
              <w:jc w:val="left"/>
              <w:rPr>
                <w:sz w:val="18"/>
              </w:rPr>
            </w:pPr>
            <w:r>
              <w:rPr>
                <w:color w:val="105C84"/>
                <w:sz w:val="18"/>
              </w:rPr>
              <w:t>#</w:t>
            </w:r>
            <w:r>
              <w:rPr>
                <w:color w:val="105C84"/>
                <w:spacing w:val="-13"/>
                <w:sz w:val="18"/>
              </w:rPr>
              <w:t> </w:t>
            </w:r>
            <w:r>
              <w:rPr>
                <w:color w:val="105C84"/>
                <w:spacing w:val="-2"/>
                <w:sz w:val="18"/>
              </w:rPr>
              <w:t>participants</w:t>
            </w:r>
          </w:p>
          <w:p>
            <w:pPr>
              <w:pStyle w:val="TableParagraph"/>
              <w:numPr>
                <w:ilvl w:val="0"/>
                <w:numId w:val="64"/>
              </w:numPr>
              <w:tabs>
                <w:tab w:pos="4142" w:val="left" w:leader="none"/>
              </w:tabs>
              <w:spacing w:line="232" w:lineRule="auto" w:before="101" w:after="0"/>
              <w:ind w:left="4037" w:right="145" w:firstLine="0"/>
              <w:jc w:val="left"/>
              <w:rPr>
                <w:sz w:val="18"/>
              </w:rPr>
            </w:pPr>
            <w:r>
              <w:rPr>
                <w:color w:val="105C84"/>
                <w:sz w:val="18"/>
              </w:rPr>
              <w:t>% participants completing </w:t>
            </w:r>
            <w:r>
              <w:rPr>
                <w:color w:val="105C84"/>
                <w:sz w:val="18"/>
              </w:rPr>
              <w:t>program</w:t>
            </w:r>
          </w:p>
        </w:tc>
        <w:tc>
          <w:tcPr>
            <w:tcW w:w="1872" w:type="dxa"/>
            <w:tcBorders>
              <w:left w:val="single" w:sz="4" w:space="0" w:color="BCBEC0"/>
              <w:right w:val="single" w:sz="4" w:space="0" w:color="BCBEC0"/>
            </w:tcBorders>
          </w:tcPr>
          <w:p>
            <w:pPr>
              <w:pStyle w:val="TableParagraph"/>
              <w:spacing w:before="106"/>
              <w:ind w:left="91"/>
              <w:rPr>
                <w:sz w:val="18"/>
              </w:rPr>
            </w:pPr>
            <w:r>
              <w:rPr>
                <w:color w:val="105C84"/>
                <w:spacing w:val="-4"/>
                <w:sz w:val="18"/>
              </w:rPr>
              <w:t>URTH</w:t>
            </w:r>
          </w:p>
          <w:p>
            <w:pPr>
              <w:pStyle w:val="TableParagraph"/>
              <w:spacing w:line="352" w:lineRule="auto" w:before="96"/>
              <w:ind w:left="91" w:right="571"/>
              <w:rPr>
                <w:sz w:val="18"/>
              </w:rPr>
            </w:pPr>
            <w:r>
              <w:rPr>
                <w:color w:val="105C84"/>
                <w:spacing w:val="-2"/>
                <w:w w:val="90"/>
                <w:sz w:val="18"/>
              </w:rPr>
              <w:t>RRH-</w:t>
            </w:r>
            <w:r>
              <w:rPr>
                <w:color w:val="105C84"/>
                <w:spacing w:val="-2"/>
                <w:w w:val="90"/>
                <w:sz w:val="18"/>
              </w:rPr>
              <w:t>CSHC </w:t>
            </w:r>
            <w:r>
              <w:rPr>
                <w:color w:val="105C84"/>
                <w:spacing w:val="-4"/>
                <w:sz w:val="18"/>
              </w:rPr>
              <w:t>OCPH</w:t>
            </w:r>
          </w:p>
          <w:p>
            <w:pPr>
              <w:pStyle w:val="TableParagraph"/>
              <w:spacing w:line="352" w:lineRule="auto"/>
              <w:ind w:left="91" w:right="433"/>
              <w:rPr>
                <w:sz w:val="18"/>
              </w:rPr>
            </w:pPr>
            <w:r>
              <w:rPr>
                <w:color w:val="105C84"/>
                <w:sz w:val="18"/>
              </w:rPr>
              <w:t>Community</w:t>
            </w:r>
            <w:r>
              <w:rPr>
                <w:color w:val="105C84"/>
                <w:spacing w:val="-13"/>
                <w:sz w:val="18"/>
              </w:rPr>
              <w:t> </w:t>
            </w:r>
            <w:r>
              <w:rPr>
                <w:color w:val="105C84"/>
                <w:sz w:val="18"/>
              </w:rPr>
              <w:t>sites </w:t>
            </w:r>
            <w:r>
              <w:rPr>
                <w:color w:val="105C84"/>
                <w:spacing w:val="-4"/>
                <w:sz w:val="18"/>
              </w:rPr>
              <w:t>OCHC</w:t>
            </w:r>
          </w:p>
          <w:p>
            <w:pPr>
              <w:pStyle w:val="TableParagraph"/>
              <w:spacing w:line="352" w:lineRule="auto"/>
              <w:ind w:left="91" w:right="140"/>
              <w:rPr>
                <w:sz w:val="18"/>
              </w:rPr>
            </w:pPr>
            <w:r>
              <w:rPr>
                <w:color w:val="105C84"/>
                <w:sz w:val="18"/>
              </w:rPr>
              <w:t>Medical Providers Office for the </w:t>
            </w:r>
            <w:r>
              <w:rPr>
                <w:color w:val="105C84"/>
                <w:sz w:val="18"/>
              </w:rPr>
              <w:t>Aging</w:t>
            </w:r>
          </w:p>
        </w:tc>
        <w:tc>
          <w:tcPr>
            <w:tcW w:w="4090" w:type="dxa"/>
            <w:tcBorders>
              <w:left w:val="single" w:sz="4" w:space="0" w:color="BCBEC0"/>
              <w:right w:val="single" w:sz="4" w:space="0" w:color="BCBEC0"/>
            </w:tcBorders>
          </w:tcPr>
          <w:p>
            <w:pPr>
              <w:pStyle w:val="TableParagraph"/>
              <w:spacing w:line="232" w:lineRule="auto" w:before="110"/>
              <w:ind w:left="91"/>
              <w:rPr>
                <w:sz w:val="18"/>
              </w:rPr>
            </w:pPr>
            <w:r>
              <w:rPr>
                <w:color w:val="105C84"/>
                <w:sz w:val="18"/>
              </w:rPr>
              <w:t>URTH:</w:t>
            </w:r>
            <w:r>
              <w:rPr>
                <w:color w:val="105C84"/>
                <w:spacing w:val="-13"/>
                <w:sz w:val="18"/>
              </w:rPr>
              <w:t> </w:t>
            </w:r>
            <w:r>
              <w:rPr>
                <w:color w:val="105C84"/>
                <w:sz w:val="18"/>
              </w:rPr>
              <w:t>Offer</w:t>
            </w:r>
            <w:r>
              <w:rPr>
                <w:color w:val="105C84"/>
                <w:spacing w:val="-12"/>
                <w:sz w:val="18"/>
              </w:rPr>
              <w:t> </w:t>
            </w:r>
            <w:r>
              <w:rPr>
                <w:color w:val="105C84"/>
                <w:sz w:val="18"/>
              </w:rPr>
              <w:t>CDSMP</w:t>
            </w:r>
            <w:r>
              <w:rPr>
                <w:color w:val="105C84"/>
                <w:spacing w:val="-13"/>
                <w:sz w:val="18"/>
              </w:rPr>
              <w:t> </w:t>
            </w:r>
            <w:r>
              <w:rPr>
                <w:color w:val="105C84"/>
                <w:sz w:val="18"/>
              </w:rPr>
              <w:t>in</w:t>
            </w:r>
            <w:r>
              <w:rPr>
                <w:color w:val="105C84"/>
                <w:spacing w:val="-12"/>
                <w:sz w:val="18"/>
              </w:rPr>
              <w:t> </w:t>
            </w:r>
            <w:r>
              <w:rPr>
                <w:color w:val="105C84"/>
                <w:sz w:val="18"/>
              </w:rPr>
              <w:t>community</w:t>
            </w:r>
            <w:r>
              <w:rPr>
                <w:color w:val="105C84"/>
                <w:spacing w:val="-13"/>
                <w:sz w:val="18"/>
              </w:rPr>
              <w:t> </w:t>
            </w:r>
            <w:r>
              <w:rPr>
                <w:color w:val="105C84"/>
                <w:sz w:val="18"/>
              </w:rPr>
              <w:t>settings</w:t>
            </w:r>
            <w:r>
              <w:rPr>
                <w:color w:val="105C84"/>
                <w:spacing w:val="-13"/>
                <w:sz w:val="18"/>
              </w:rPr>
              <w:t> </w:t>
            </w:r>
            <w:r>
              <w:rPr>
                <w:color w:val="105C84"/>
                <w:sz w:val="18"/>
              </w:rPr>
              <w:t>&amp; provide flyers for partner-sponsored EBI’s to </w:t>
            </w:r>
            <w:r>
              <w:rPr>
                <w:color w:val="105C84"/>
                <w:spacing w:val="-2"/>
                <w:sz w:val="18"/>
              </w:rPr>
              <w:t>clients</w:t>
            </w:r>
          </w:p>
          <w:p>
            <w:pPr>
              <w:pStyle w:val="TableParagraph"/>
              <w:spacing w:line="232" w:lineRule="auto" w:before="101"/>
              <w:ind w:left="91"/>
              <w:rPr>
                <w:sz w:val="18"/>
              </w:rPr>
            </w:pPr>
            <w:r>
              <w:rPr>
                <w:color w:val="105C84"/>
                <w:sz w:val="18"/>
              </w:rPr>
              <w:t>RRH-CSHC: Consider feasibility of offering CDSMP</w:t>
            </w:r>
            <w:r>
              <w:rPr>
                <w:color w:val="105C84"/>
                <w:spacing w:val="-4"/>
                <w:sz w:val="18"/>
              </w:rPr>
              <w:t> </w:t>
            </w:r>
            <w:r>
              <w:rPr>
                <w:color w:val="105C84"/>
                <w:sz w:val="18"/>
              </w:rPr>
              <w:t>in</w:t>
            </w:r>
            <w:r>
              <w:rPr>
                <w:color w:val="105C84"/>
                <w:spacing w:val="-4"/>
                <w:sz w:val="18"/>
              </w:rPr>
              <w:t> </w:t>
            </w:r>
            <w:r>
              <w:rPr>
                <w:color w:val="105C84"/>
                <w:sz w:val="18"/>
              </w:rPr>
              <w:t>Clifton</w:t>
            </w:r>
            <w:r>
              <w:rPr>
                <w:color w:val="105C84"/>
                <w:spacing w:val="-4"/>
                <w:sz w:val="18"/>
              </w:rPr>
              <w:t> </w:t>
            </w:r>
            <w:r>
              <w:rPr>
                <w:color w:val="105C84"/>
                <w:sz w:val="18"/>
              </w:rPr>
              <w:t>Springs</w:t>
            </w:r>
            <w:r>
              <w:rPr>
                <w:color w:val="105C84"/>
                <w:spacing w:val="-4"/>
                <w:sz w:val="18"/>
              </w:rPr>
              <w:t> </w:t>
            </w:r>
            <w:r>
              <w:rPr>
                <w:color w:val="105C84"/>
                <w:sz w:val="18"/>
              </w:rPr>
              <w:t>community</w:t>
            </w:r>
            <w:r>
              <w:rPr>
                <w:color w:val="105C84"/>
                <w:spacing w:val="-4"/>
                <w:sz w:val="18"/>
              </w:rPr>
              <w:t> </w:t>
            </w:r>
            <w:r>
              <w:rPr>
                <w:color w:val="105C84"/>
                <w:sz w:val="18"/>
              </w:rPr>
              <w:t>&amp;</w:t>
            </w:r>
            <w:r>
              <w:rPr>
                <w:color w:val="105C84"/>
                <w:spacing w:val="-4"/>
                <w:sz w:val="18"/>
              </w:rPr>
              <w:t> </w:t>
            </w:r>
            <w:r>
              <w:rPr>
                <w:color w:val="105C84"/>
                <w:sz w:val="18"/>
              </w:rPr>
              <w:t>provide flyers for partner-sponsored EBI’s to clients</w:t>
            </w:r>
          </w:p>
          <w:p>
            <w:pPr>
              <w:pStyle w:val="TableParagraph"/>
              <w:spacing w:line="232" w:lineRule="auto" w:before="101"/>
              <w:ind w:left="91"/>
              <w:rPr>
                <w:sz w:val="18"/>
              </w:rPr>
            </w:pPr>
            <w:r>
              <w:rPr>
                <w:color w:val="105C84"/>
                <w:spacing w:val="-2"/>
                <w:sz w:val="18"/>
              </w:rPr>
              <w:t>OCPH:</w:t>
            </w:r>
            <w:r>
              <w:rPr>
                <w:color w:val="105C84"/>
                <w:spacing w:val="-10"/>
                <w:sz w:val="18"/>
              </w:rPr>
              <w:t> </w:t>
            </w:r>
            <w:r>
              <w:rPr>
                <w:color w:val="105C84"/>
                <w:spacing w:val="-2"/>
                <w:sz w:val="18"/>
              </w:rPr>
              <w:t>Offer</w:t>
            </w:r>
            <w:r>
              <w:rPr>
                <w:color w:val="105C84"/>
                <w:spacing w:val="-10"/>
                <w:sz w:val="18"/>
              </w:rPr>
              <w:t> </w:t>
            </w:r>
            <w:r>
              <w:rPr>
                <w:color w:val="105C84"/>
                <w:spacing w:val="-2"/>
                <w:sz w:val="18"/>
              </w:rPr>
              <w:t>CDSMP</w:t>
            </w:r>
            <w:r>
              <w:rPr>
                <w:color w:val="105C84"/>
                <w:spacing w:val="-10"/>
                <w:sz w:val="18"/>
              </w:rPr>
              <w:t> </w:t>
            </w:r>
            <w:r>
              <w:rPr>
                <w:color w:val="105C84"/>
                <w:spacing w:val="-2"/>
                <w:sz w:val="18"/>
              </w:rPr>
              <w:t>at</w:t>
            </w:r>
            <w:r>
              <w:rPr>
                <w:color w:val="105C84"/>
                <w:spacing w:val="-10"/>
                <w:sz w:val="18"/>
              </w:rPr>
              <w:t> </w:t>
            </w:r>
            <w:r>
              <w:rPr>
                <w:color w:val="105C84"/>
                <w:spacing w:val="-2"/>
                <w:sz w:val="18"/>
              </w:rPr>
              <w:t>OC</w:t>
            </w:r>
            <w:r>
              <w:rPr>
                <w:color w:val="105C84"/>
                <w:spacing w:val="-10"/>
                <w:sz w:val="18"/>
              </w:rPr>
              <w:t> </w:t>
            </w:r>
            <w:r>
              <w:rPr>
                <w:color w:val="105C84"/>
                <w:spacing w:val="-2"/>
                <w:sz w:val="18"/>
              </w:rPr>
              <w:t>Jail</w:t>
            </w:r>
            <w:r>
              <w:rPr>
                <w:color w:val="105C84"/>
                <w:spacing w:val="-10"/>
                <w:sz w:val="18"/>
              </w:rPr>
              <w:t> </w:t>
            </w:r>
            <w:r>
              <w:rPr>
                <w:color w:val="105C84"/>
                <w:spacing w:val="-2"/>
                <w:sz w:val="18"/>
              </w:rPr>
              <w:t>and</w:t>
            </w:r>
            <w:r>
              <w:rPr>
                <w:color w:val="105C84"/>
                <w:spacing w:val="-10"/>
                <w:sz w:val="18"/>
              </w:rPr>
              <w:t> </w:t>
            </w:r>
            <w:r>
              <w:rPr>
                <w:color w:val="105C84"/>
                <w:spacing w:val="-2"/>
                <w:sz w:val="18"/>
              </w:rPr>
              <w:t>assist</w:t>
            </w:r>
            <w:r>
              <w:rPr>
                <w:color w:val="105C84"/>
                <w:spacing w:val="-10"/>
                <w:sz w:val="18"/>
              </w:rPr>
              <w:t> </w:t>
            </w:r>
            <w:r>
              <w:rPr>
                <w:color w:val="105C84"/>
                <w:spacing w:val="-2"/>
                <w:sz w:val="18"/>
              </w:rPr>
              <w:t>URTH, </w:t>
            </w:r>
            <w:r>
              <w:rPr>
                <w:color w:val="105C84"/>
                <w:sz w:val="18"/>
              </w:rPr>
              <w:t>as needed with staffing CDSMP groups, provide flyers for partner-sponsored EBI’s to clients</w:t>
            </w:r>
          </w:p>
          <w:p>
            <w:pPr>
              <w:pStyle w:val="TableParagraph"/>
              <w:spacing w:line="232" w:lineRule="auto" w:before="101"/>
              <w:ind w:left="91"/>
              <w:rPr>
                <w:sz w:val="18"/>
              </w:rPr>
            </w:pPr>
            <w:r>
              <w:rPr>
                <w:color w:val="105C84"/>
                <w:spacing w:val="-2"/>
                <w:sz w:val="18"/>
              </w:rPr>
              <w:t>Community</w:t>
            </w:r>
            <w:r>
              <w:rPr>
                <w:color w:val="105C84"/>
                <w:spacing w:val="-5"/>
                <w:sz w:val="18"/>
              </w:rPr>
              <w:t> </w:t>
            </w:r>
            <w:r>
              <w:rPr>
                <w:color w:val="105C84"/>
                <w:spacing w:val="-2"/>
                <w:sz w:val="18"/>
              </w:rPr>
              <w:t>sites:</w:t>
            </w:r>
            <w:r>
              <w:rPr>
                <w:color w:val="105C84"/>
                <w:spacing w:val="-5"/>
                <w:sz w:val="18"/>
              </w:rPr>
              <w:t> </w:t>
            </w:r>
            <w:r>
              <w:rPr>
                <w:color w:val="105C84"/>
                <w:spacing w:val="-2"/>
                <w:sz w:val="18"/>
              </w:rPr>
              <w:t>Provide</w:t>
            </w:r>
            <w:r>
              <w:rPr>
                <w:color w:val="105C84"/>
                <w:spacing w:val="-5"/>
                <w:sz w:val="18"/>
              </w:rPr>
              <w:t> </w:t>
            </w:r>
            <w:r>
              <w:rPr>
                <w:color w:val="105C84"/>
                <w:spacing w:val="-2"/>
                <w:sz w:val="18"/>
              </w:rPr>
              <w:t>venues</w:t>
            </w:r>
            <w:r>
              <w:rPr>
                <w:color w:val="105C84"/>
                <w:spacing w:val="-5"/>
                <w:sz w:val="18"/>
              </w:rPr>
              <w:t> </w:t>
            </w:r>
            <w:r>
              <w:rPr>
                <w:color w:val="105C84"/>
                <w:spacing w:val="-2"/>
                <w:sz w:val="18"/>
              </w:rPr>
              <w:t>for</w:t>
            </w:r>
            <w:r>
              <w:rPr>
                <w:color w:val="105C84"/>
                <w:spacing w:val="-5"/>
                <w:sz w:val="18"/>
              </w:rPr>
              <w:t> </w:t>
            </w:r>
            <w:r>
              <w:rPr>
                <w:color w:val="105C84"/>
                <w:spacing w:val="-2"/>
                <w:sz w:val="18"/>
              </w:rPr>
              <w:t>CDSMP courses</w:t>
            </w:r>
          </w:p>
          <w:p>
            <w:pPr>
              <w:pStyle w:val="TableParagraph"/>
              <w:spacing w:line="232" w:lineRule="auto" w:before="102"/>
              <w:ind w:left="91" w:right="227"/>
              <w:rPr>
                <w:sz w:val="18"/>
              </w:rPr>
            </w:pPr>
            <w:r>
              <w:rPr>
                <w:color w:val="105C84"/>
                <w:sz w:val="18"/>
              </w:rPr>
              <w:t>OCHC: Develop method to determine if CDSMP</w:t>
            </w:r>
            <w:r>
              <w:rPr>
                <w:color w:val="105C84"/>
                <w:spacing w:val="-10"/>
                <w:sz w:val="18"/>
              </w:rPr>
              <w:t> </w:t>
            </w:r>
            <w:r>
              <w:rPr>
                <w:color w:val="105C84"/>
                <w:sz w:val="18"/>
              </w:rPr>
              <w:t>participants</w:t>
            </w:r>
            <w:r>
              <w:rPr>
                <w:color w:val="105C84"/>
                <w:spacing w:val="-10"/>
                <w:sz w:val="18"/>
              </w:rPr>
              <w:t> </w:t>
            </w:r>
            <w:r>
              <w:rPr>
                <w:color w:val="105C84"/>
                <w:sz w:val="18"/>
              </w:rPr>
              <w:t>experience</w:t>
            </w:r>
            <w:r>
              <w:rPr>
                <w:color w:val="105C84"/>
                <w:spacing w:val="-10"/>
                <w:sz w:val="18"/>
              </w:rPr>
              <w:t> </w:t>
            </w:r>
            <w:r>
              <w:rPr>
                <w:color w:val="105C84"/>
                <w:sz w:val="18"/>
              </w:rPr>
              <w:t>ED</w:t>
            </w:r>
            <w:r>
              <w:rPr>
                <w:color w:val="105C84"/>
                <w:spacing w:val="-10"/>
                <w:sz w:val="18"/>
              </w:rPr>
              <w:t> </w:t>
            </w:r>
            <w:r>
              <w:rPr>
                <w:color w:val="105C84"/>
                <w:sz w:val="18"/>
              </w:rPr>
              <w:t>or</w:t>
            </w:r>
            <w:r>
              <w:rPr>
                <w:color w:val="105C84"/>
                <w:spacing w:val="-10"/>
                <w:sz w:val="18"/>
              </w:rPr>
              <w:t> </w:t>
            </w:r>
            <w:r>
              <w:rPr>
                <w:color w:val="105C84"/>
                <w:sz w:val="18"/>
              </w:rPr>
              <w:t>hospital admissions in the 6-12 period after completion of program.</w:t>
            </w:r>
          </w:p>
          <w:p>
            <w:pPr>
              <w:pStyle w:val="TableParagraph"/>
              <w:spacing w:line="232" w:lineRule="auto" w:before="100"/>
              <w:ind w:left="91" w:right="227"/>
              <w:rPr>
                <w:sz w:val="18"/>
              </w:rPr>
            </w:pPr>
            <w:r>
              <w:rPr>
                <w:color w:val="105C84"/>
                <w:sz w:val="18"/>
              </w:rPr>
              <w:t>Medical</w:t>
            </w:r>
            <w:r>
              <w:rPr>
                <w:color w:val="105C84"/>
                <w:spacing w:val="-13"/>
                <w:sz w:val="18"/>
              </w:rPr>
              <w:t> </w:t>
            </w:r>
            <w:r>
              <w:rPr>
                <w:color w:val="105C84"/>
                <w:sz w:val="18"/>
              </w:rPr>
              <w:t>Providers:</w:t>
            </w:r>
            <w:r>
              <w:rPr>
                <w:color w:val="105C84"/>
                <w:spacing w:val="-12"/>
                <w:sz w:val="18"/>
              </w:rPr>
              <w:t> </w:t>
            </w:r>
            <w:r>
              <w:rPr>
                <w:color w:val="105C84"/>
                <w:sz w:val="18"/>
              </w:rPr>
              <w:t>Refer</w:t>
            </w:r>
            <w:r>
              <w:rPr>
                <w:color w:val="105C84"/>
                <w:spacing w:val="-13"/>
                <w:sz w:val="18"/>
              </w:rPr>
              <w:t> </w:t>
            </w:r>
            <w:r>
              <w:rPr>
                <w:color w:val="105C84"/>
                <w:sz w:val="18"/>
              </w:rPr>
              <w:t>patients</w:t>
            </w:r>
            <w:r>
              <w:rPr>
                <w:color w:val="105C84"/>
                <w:spacing w:val="-12"/>
                <w:sz w:val="18"/>
              </w:rPr>
              <w:t> </w:t>
            </w:r>
            <w:r>
              <w:rPr>
                <w:color w:val="105C84"/>
                <w:sz w:val="18"/>
              </w:rPr>
              <w:t>to</w:t>
            </w:r>
            <w:r>
              <w:rPr>
                <w:color w:val="105C84"/>
                <w:spacing w:val="-13"/>
                <w:sz w:val="18"/>
              </w:rPr>
              <w:t> </w:t>
            </w:r>
            <w:r>
              <w:rPr>
                <w:color w:val="105C84"/>
                <w:sz w:val="18"/>
              </w:rPr>
              <w:t>CDSMP</w:t>
            </w:r>
            <w:r>
              <w:rPr>
                <w:color w:val="105C84"/>
                <w:spacing w:val="-13"/>
                <w:sz w:val="18"/>
              </w:rPr>
              <w:t> </w:t>
            </w:r>
            <w:r>
              <w:rPr>
                <w:color w:val="105C84"/>
                <w:sz w:val="18"/>
              </w:rPr>
              <w:t>in the community</w:t>
            </w:r>
          </w:p>
          <w:p>
            <w:pPr>
              <w:pStyle w:val="TableParagraph"/>
              <w:spacing w:line="232" w:lineRule="auto" w:before="102"/>
              <w:ind w:left="91" w:right="559"/>
              <w:rPr>
                <w:sz w:val="18"/>
              </w:rPr>
            </w:pPr>
            <w:r>
              <w:rPr>
                <w:color w:val="105C84"/>
                <w:sz w:val="18"/>
              </w:rPr>
              <w:t>Office for the Aging: Provide EBI’s: Matter of</w:t>
            </w:r>
            <w:r>
              <w:rPr>
                <w:color w:val="105C84"/>
                <w:spacing w:val="-12"/>
                <w:sz w:val="18"/>
              </w:rPr>
              <w:t> </w:t>
            </w:r>
            <w:r>
              <w:rPr>
                <w:color w:val="105C84"/>
                <w:sz w:val="18"/>
              </w:rPr>
              <w:t>Balance</w:t>
            </w:r>
            <w:r>
              <w:rPr>
                <w:color w:val="105C84"/>
                <w:spacing w:val="-10"/>
                <w:sz w:val="18"/>
              </w:rPr>
              <w:t> </w:t>
            </w:r>
            <w:r>
              <w:rPr>
                <w:color w:val="105C84"/>
                <w:sz w:val="18"/>
              </w:rPr>
              <w:t>&amp;</w:t>
            </w:r>
            <w:r>
              <w:rPr>
                <w:color w:val="105C84"/>
                <w:spacing w:val="-9"/>
                <w:sz w:val="18"/>
              </w:rPr>
              <w:t> </w:t>
            </w:r>
            <w:r>
              <w:rPr>
                <w:color w:val="105C84"/>
                <w:sz w:val="18"/>
              </w:rPr>
              <w:t>Powerful</w:t>
            </w:r>
            <w:r>
              <w:rPr>
                <w:color w:val="105C84"/>
                <w:spacing w:val="-10"/>
                <w:sz w:val="18"/>
              </w:rPr>
              <w:t> </w:t>
            </w:r>
            <w:r>
              <w:rPr>
                <w:color w:val="105C84"/>
                <w:sz w:val="18"/>
              </w:rPr>
              <w:t>Tools</w:t>
            </w:r>
            <w:r>
              <w:rPr>
                <w:color w:val="105C84"/>
                <w:spacing w:val="-10"/>
                <w:sz w:val="18"/>
              </w:rPr>
              <w:t> </w:t>
            </w:r>
            <w:r>
              <w:rPr>
                <w:color w:val="105C84"/>
                <w:sz w:val="18"/>
              </w:rPr>
              <w:t>for</w:t>
            </w:r>
            <w:r>
              <w:rPr>
                <w:color w:val="105C84"/>
                <w:spacing w:val="-9"/>
                <w:sz w:val="18"/>
              </w:rPr>
              <w:t> </w:t>
            </w:r>
            <w:r>
              <w:rPr>
                <w:color w:val="105C84"/>
                <w:spacing w:val="-2"/>
                <w:sz w:val="18"/>
              </w:rPr>
              <w:t>Caregivers,</w:t>
            </w:r>
          </w:p>
          <w:p>
            <w:pPr>
              <w:pStyle w:val="TableParagraph"/>
              <w:spacing w:line="200" w:lineRule="exact"/>
              <w:ind w:left="91"/>
              <w:rPr>
                <w:sz w:val="18"/>
              </w:rPr>
            </w:pPr>
            <w:r>
              <w:rPr>
                <w:color w:val="105C84"/>
                <w:sz w:val="18"/>
              </w:rPr>
              <w:t>distribute</w:t>
            </w:r>
            <w:r>
              <w:rPr>
                <w:color w:val="105C84"/>
                <w:spacing w:val="-10"/>
                <w:sz w:val="18"/>
              </w:rPr>
              <w:t> </w:t>
            </w:r>
            <w:r>
              <w:rPr>
                <w:color w:val="105C84"/>
                <w:sz w:val="18"/>
              </w:rPr>
              <w:t>CDSMP</w:t>
            </w:r>
            <w:r>
              <w:rPr>
                <w:color w:val="105C84"/>
                <w:spacing w:val="-9"/>
                <w:sz w:val="18"/>
              </w:rPr>
              <w:t> </w:t>
            </w:r>
            <w:r>
              <w:rPr>
                <w:color w:val="105C84"/>
                <w:sz w:val="18"/>
              </w:rPr>
              <w:t>flyers</w:t>
            </w:r>
            <w:r>
              <w:rPr>
                <w:color w:val="105C84"/>
                <w:spacing w:val="-9"/>
                <w:sz w:val="18"/>
              </w:rPr>
              <w:t> </w:t>
            </w:r>
            <w:r>
              <w:rPr>
                <w:color w:val="105C84"/>
                <w:sz w:val="18"/>
              </w:rPr>
              <w:t>at</w:t>
            </w:r>
            <w:r>
              <w:rPr>
                <w:color w:val="105C84"/>
                <w:spacing w:val="-10"/>
                <w:sz w:val="18"/>
              </w:rPr>
              <w:t> </w:t>
            </w:r>
            <w:r>
              <w:rPr>
                <w:color w:val="105C84"/>
                <w:sz w:val="18"/>
              </w:rPr>
              <w:t>OFA</w:t>
            </w:r>
            <w:r>
              <w:rPr>
                <w:color w:val="105C84"/>
                <w:spacing w:val="-9"/>
                <w:sz w:val="18"/>
              </w:rPr>
              <w:t> </w:t>
            </w:r>
            <w:r>
              <w:rPr>
                <w:color w:val="105C84"/>
                <w:spacing w:val="-2"/>
                <w:sz w:val="18"/>
              </w:rPr>
              <w:t>programming</w:t>
            </w:r>
          </w:p>
        </w:tc>
        <w:tc>
          <w:tcPr>
            <w:tcW w:w="2098" w:type="dxa"/>
            <w:tcBorders>
              <w:left w:val="single" w:sz="4" w:space="0" w:color="BCBEC0"/>
              <w:right w:val="single" w:sz="4" w:space="0" w:color="BCBEC0"/>
            </w:tcBorders>
          </w:tcPr>
          <w:p>
            <w:pPr>
              <w:pStyle w:val="TableParagraph"/>
              <w:spacing w:line="203" w:lineRule="exact" w:before="105"/>
              <w:ind w:left="90"/>
              <w:rPr>
                <w:sz w:val="18"/>
              </w:rPr>
            </w:pPr>
            <w:r>
              <w:rPr>
                <w:color w:val="105C84"/>
                <w:w w:val="90"/>
                <w:sz w:val="18"/>
              </w:rPr>
              <w:t>URTH:</w:t>
            </w:r>
            <w:r>
              <w:rPr>
                <w:color w:val="105C84"/>
                <w:spacing w:val="9"/>
                <w:sz w:val="18"/>
              </w:rPr>
              <w:t> </w:t>
            </w:r>
            <w:r>
              <w:rPr>
                <w:color w:val="105C84"/>
                <w:spacing w:val="-2"/>
                <w:sz w:val="18"/>
              </w:rPr>
              <w:t>$5156.40</w:t>
            </w:r>
          </w:p>
          <w:p>
            <w:pPr>
              <w:pStyle w:val="TableParagraph"/>
              <w:spacing w:line="200" w:lineRule="exact"/>
              <w:ind w:left="90"/>
              <w:rPr>
                <w:sz w:val="18"/>
              </w:rPr>
            </w:pPr>
            <w:r>
              <w:rPr>
                <w:color w:val="105C84"/>
                <w:w w:val="90"/>
                <w:sz w:val="18"/>
              </w:rPr>
              <w:t>(Salary</w:t>
            </w:r>
            <w:r>
              <w:rPr>
                <w:color w:val="105C84"/>
                <w:sz w:val="18"/>
              </w:rPr>
              <w:t> </w:t>
            </w:r>
            <w:r>
              <w:rPr>
                <w:color w:val="105C84"/>
                <w:w w:val="90"/>
                <w:sz w:val="18"/>
              </w:rPr>
              <w:t>5</w:t>
            </w:r>
            <w:r>
              <w:rPr>
                <w:color w:val="105C84"/>
                <w:sz w:val="18"/>
              </w:rPr>
              <w:t> </w:t>
            </w:r>
            <w:r>
              <w:rPr>
                <w:color w:val="105C84"/>
                <w:spacing w:val="-2"/>
                <w:w w:val="90"/>
                <w:sz w:val="18"/>
              </w:rPr>
              <w:t>programs</w:t>
            </w:r>
          </w:p>
          <w:p>
            <w:pPr>
              <w:pStyle w:val="TableParagraph"/>
              <w:spacing w:line="232" w:lineRule="auto" w:before="2"/>
              <w:ind w:left="90" w:right="300"/>
              <w:rPr>
                <w:sz w:val="18"/>
              </w:rPr>
            </w:pPr>
            <w:r>
              <w:rPr>
                <w:color w:val="105C84"/>
                <w:spacing w:val="-4"/>
                <w:sz w:val="18"/>
              </w:rPr>
              <w:t>$3600.00;</w:t>
            </w:r>
            <w:r>
              <w:rPr>
                <w:color w:val="105C84"/>
                <w:spacing w:val="-9"/>
                <w:sz w:val="18"/>
              </w:rPr>
              <w:t> </w:t>
            </w:r>
            <w:r>
              <w:rPr>
                <w:color w:val="105C84"/>
                <w:spacing w:val="-4"/>
                <w:sz w:val="18"/>
              </w:rPr>
              <w:t>50</w:t>
            </w:r>
            <w:r>
              <w:rPr>
                <w:color w:val="105C84"/>
                <w:spacing w:val="-8"/>
                <w:sz w:val="18"/>
              </w:rPr>
              <w:t> </w:t>
            </w:r>
            <w:r>
              <w:rPr>
                <w:color w:val="105C84"/>
                <w:spacing w:val="-4"/>
                <w:sz w:val="18"/>
              </w:rPr>
              <w:t>Books</w:t>
            </w:r>
            <w:r>
              <w:rPr>
                <w:color w:val="105C84"/>
                <w:spacing w:val="-9"/>
                <w:sz w:val="18"/>
              </w:rPr>
              <w:t> </w:t>
            </w:r>
            <w:r>
              <w:rPr>
                <w:color w:val="105C84"/>
                <w:spacing w:val="-4"/>
                <w:sz w:val="18"/>
              </w:rPr>
              <w:t>&amp; </w:t>
            </w:r>
            <w:r>
              <w:rPr>
                <w:color w:val="105C84"/>
                <w:sz w:val="18"/>
              </w:rPr>
              <w:t>CD’s</w:t>
            </w:r>
            <w:r>
              <w:rPr>
                <w:color w:val="105C84"/>
                <w:spacing w:val="40"/>
                <w:sz w:val="18"/>
              </w:rPr>
              <w:t> </w:t>
            </w:r>
            <w:r>
              <w:rPr>
                <w:color w:val="105C84"/>
                <w:sz w:val="18"/>
              </w:rPr>
              <w:t>$1278;</w:t>
            </w:r>
          </w:p>
          <w:p>
            <w:pPr>
              <w:pStyle w:val="TableParagraph"/>
              <w:spacing w:line="200" w:lineRule="exact"/>
              <w:ind w:left="90"/>
              <w:rPr>
                <w:sz w:val="18"/>
              </w:rPr>
            </w:pPr>
            <w:r>
              <w:rPr>
                <w:color w:val="105C84"/>
                <w:sz w:val="18"/>
              </w:rPr>
              <w:t>Mileage</w:t>
            </w:r>
            <w:r>
              <w:rPr>
                <w:color w:val="105C84"/>
                <w:spacing w:val="14"/>
                <w:sz w:val="18"/>
              </w:rPr>
              <w:t> </w:t>
            </w:r>
            <w:r>
              <w:rPr>
                <w:color w:val="105C84"/>
                <w:spacing w:val="-2"/>
                <w:sz w:val="18"/>
              </w:rPr>
              <w:t>$278.40)</w:t>
            </w:r>
          </w:p>
          <w:p>
            <w:pPr>
              <w:pStyle w:val="TableParagraph"/>
              <w:spacing w:line="203" w:lineRule="exact" w:before="96"/>
              <w:ind w:left="90"/>
              <w:rPr>
                <w:sz w:val="18"/>
              </w:rPr>
            </w:pPr>
            <w:r>
              <w:rPr>
                <w:color w:val="105C84"/>
                <w:w w:val="90"/>
                <w:sz w:val="18"/>
              </w:rPr>
              <w:t>RRH-CSHC:</w:t>
            </w:r>
            <w:r>
              <w:rPr>
                <w:color w:val="105C84"/>
                <w:spacing w:val="16"/>
                <w:sz w:val="18"/>
              </w:rPr>
              <w:t> </w:t>
            </w:r>
            <w:r>
              <w:rPr>
                <w:color w:val="105C84"/>
                <w:spacing w:val="-4"/>
                <w:w w:val="90"/>
                <w:sz w:val="18"/>
              </w:rPr>
              <w:t>CDSMP</w:t>
            </w:r>
          </w:p>
          <w:p>
            <w:pPr>
              <w:pStyle w:val="TableParagraph"/>
              <w:spacing w:line="232" w:lineRule="auto" w:before="2"/>
              <w:ind w:left="90" w:right="185"/>
              <w:rPr>
                <w:sz w:val="18"/>
              </w:rPr>
            </w:pPr>
            <w:r>
              <w:rPr>
                <w:color w:val="105C84"/>
                <w:w w:val="105"/>
                <w:sz w:val="18"/>
              </w:rPr>
              <w:t>delivery in planning </w:t>
            </w:r>
            <w:r>
              <w:rPr>
                <w:color w:val="105C84"/>
                <w:spacing w:val="-4"/>
                <w:sz w:val="18"/>
              </w:rPr>
              <w:t>process:</w:t>
            </w:r>
            <w:r>
              <w:rPr>
                <w:color w:val="105C84"/>
                <w:spacing w:val="-11"/>
                <w:sz w:val="18"/>
              </w:rPr>
              <w:t> </w:t>
            </w:r>
            <w:r>
              <w:rPr>
                <w:color w:val="105C84"/>
                <w:spacing w:val="-4"/>
                <w:sz w:val="18"/>
              </w:rPr>
              <w:t>Resources</w:t>
            </w:r>
            <w:r>
              <w:rPr>
                <w:color w:val="105C84"/>
                <w:spacing w:val="-8"/>
                <w:sz w:val="18"/>
              </w:rPr>
              <w:t> </w:t>
            </w:r>
            <w:r>
              <w:rPr>
                <w:color w:val="105C84"/>
                <w:spacing w:val="-4"/>
                <w:sz w:val="18"/>
              </w:rPr>
              <w:t>to </w:t>
            </w:r>
            <w:r>
              <w:rPr>
                <w:color w:val="105C84"/>
                <w:w w:val="105"/>
                <w:sz w:val="18"/>
              </w:rPr>
              <w:t>be</w:t>
            </w:r>
            <w:r>
              <w:rPr>
                <w:color w:val="105C84"/>
                <w:spacing w:val="-1"/>
                <w:w w:val="105"/>
                <w:sz w:val="18"/>
              </w:rPr>
              <w:t> </w:t>
            </w:r>
            <w:r>
              <w:rPr>
                <w:color w:val="105C84"/>
                <w:w w:val="105"/>
                <w:sz w:val="18"/>
              </w:rPr>
              <w:t>determined</w:t>
            </w:r>
          </w:p>
          <w:p>
            <w:pPr>
              <w:pStyle w:val="TableParagraph"/>
              <w:spacing w:line="232" w:lineRule="auto" w:before="100"/>
              <w:ind w:left="90"/>
              <w:rPr>
                <w:sz w:val="18"/>
              </w:rPr>
            </w:pPr>
            <w:r>
              <w:rPr>
                <w:color w:val="105C84"/>
                <w:sz w:val="18"/>
              </w:rPr>
              <w:t>OCPH:</w:t>
            </w:r>
            <w:r>
              <w:rPr>
                <w:color w:val="105C84"/>
                <w:spacing w:val="-13"/>
                <w:sz w:val="18"/>
              </w:rPr>
              <w:t> </w:t>
            </w:r>
            <w:r>
              <w:rPr>
                <w:color w:val="105C84"/>
                <w:sz w:val="18"/>
              </w:rPr>
              <w:t>Staff</w:t>
            </w:r>
            <w:r>
              <w:rPr>
                <w:color w:val="105C84"/>
                <w:spacing w:val="-12"/>
                <w:sz w:val="18"/>
              </w:rPr>
              <w:t> </w:t>
            </w:r>
            <w:r>
              <w:rPr>
                <w:color w:val="105C84"/>
                <w:sz w:val="18"/>
              </w:rPr>
              <w:t>time</w:t>
            </w:r>
            <w:r>
              <w:rPr>
                <w:color w:val="105C84"/>
                <w:spacing w:val="-13"/>
                <w:sz w:val="18"/>
              </w:rPr>
              <w:t> </w:t>
            </w:r>
            <w:r>
              <w:rPr>
                <w:color w:val="105C84"/>
                <w:sz w:val="18"/>
              </w:rPr>
              <w:t>x</w:t>
            </w:r>
            <w:r>
              <w:rPr>
                <w:color w:val="105C84"/>
                <w:spacing w:val="-12"/>
                <w:sz w:val="18"/>
              </w:rPr>
              <w:t> </w:t>
            </w:r>
            <w:r>
              <w:rPr>
                <w:color w:val="105C84"/>
                <w:sz w:val="18"/>
              </w:rPr>
              <w:t>2:</w:t>
            </w:r>
            <w:r>
              <w:rPr>
                <w:color w:val="105C84"/>
                <w:spacing w:val="-13"/>
                <w:sz w:val="18"/>
              </w:rPr>
              <w:t> </w:t>
            </w:r>
            <w:r>
              <w:rPr>
                <w:color w:val="105C84"/>
                <w:sz w:val="18"/>
              </w:rPr>
              <w:t>2 sessions/year $1,440</w:t>
            </w:r>
          </w:p>
          <w:p>
            <w:pPr>
              <w:pStyle w:val="TableParagraph"/>
              <w:spacing w:line="203" w:lineRule="exact" w:before="97"/>
              <w:ind w:left="90"/>
              <w:rPr>
                <w:sz w:val="18"/>
              </w:rPr>
            </w:pPr>
            <w:r>
              <w:rPr>
                <w:color w:val="105C84"/>
                <w:sz w:val="18"/>
              </w:rPr>
              <w:t>Office</w:t>
            </w:r>
            <w:r>
              <w:rPr>
                <w:color w:val="105C84"/>
                <w:spacing w:val="3"/>
                <w:sz w:val="18"/>
              </w:rPr>
              <w:t> </w:t>
            </w:r>
            <w:r>
              <w:rPr>
                <w:color w:val="105C84"/>
                <w:sz w:val="18"/>
              </w:rPr>
              <w:t>for</w:t>
            </w:r>
            <w:r>
              <w:rPr>
                <w:color w:val="105C84"/>
                <w:spacing w:val="3"/>
                <w:sz w:val="18"/>
              </w:rPr>
              <w:t> </w:t>
            </w:r>
            <w:r>
              <w:rPr>
                <w:color w:val="105C84"/>
                <w:sz w:val="18"/>
              </w:rPr>
              <w:t>the</w:t>
            </w:r>
            <w:r>
              <w:rPr>
                <w:color w:val="105C84"/>
                <w:spacing w:val="4"/>
                <w:sz w:val="18"/>
              </w:rPr>
              <w:t> </w:t>
            </w:r>
            <w:r>
              <w:rPr>
                <w:color w:val="105C84"/>
                <w:spacing w:val="-2"/>
                <w:sz w:val="18"/>
              </w:rPr>
              <w:t>Aging:</w:t>
            </w:r>
          </w:p>
          <w:p>
            <w:pPr>
              <w:pStyle w:val="TableParagraph"/>
              <w:spacing w:line="203" w:lineRule="exact"/>
              <w:ind w:left="90"/>
              <w:rPr>
                <w:sz w:val="18"/>
              </w:rPr>
            </w:pPr>
            <w:r>
              <w:rPr>
                <w:color w:val="105C84"/>
                <w:spacing w:val="-2"/>
                <w:sz w:val="18"/>
              </w:rPr>
              <w:t>$7,125</w:t>
            </w:r>
          </w:p>
        </w:tc>
      </w:tr>
    </w:tbl>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91"/>
        <w:rPr>
          <w:b/>
          <w:sz w:val="26"/>
        </w:rPr>
      </w:pPr>
    </w:p>
    <w:p>
      <w:pPr>
        <w:tabs>
          <w:tab w:pos="23047" w:val="left" w:leader="none"/>
        </w:tabs>
        <w:spacing w:before="0"/>
        <w:ind w:left="0" w:right="0" w:firstLine="0"/>
        <w:jc w:val="left"/>
        <w:rPr>
          <w:b/>
          <w:sz w:val="26"/>
        </w:rPr>
      </w:pPr>
      <w:r>
        <w:rPr>
          <w:position w:val="-4"/>
        </w:rPr>
        <w:drawing>
          <wp:inline distT="0" distB="0" distL="0" distR="0">
            <wp:extent cx="568172" cy="184683"/>
            <wp:effectExtent l="0" t="0" r="0" b="0"/>
            <wp:docPr id="1853" name="Image 1853"/>
            <wp:cNvGraphicFramePr>
              <a:graphicFrameLocks/>
            </wp:cNvGraphicFramePr>
            <a:graphic>
              <a:graphicData uri="http://schemas.openxmlformats.org/drawingml/2006/picture">
                <pic:pic>
                  <pic:nvPicPr>
                    <pic:cNvPr id="1853" name="Image 1853"/>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13"/>
          <w:sz w:val="20"/>
        </w:rPr>
        <w:t> </w:t>
      </w:r>
      <w:r>
        <w:rPr>
          <w:b/>
          <w:color w:val="939598"/>
          <w:w w:val="105"/>
          <w:sz w:val="26"/>
        </w:rPr>
        <w:t>157</w:t>
      </w:r>
      <w:r>
        <w:rPr>
          <w:b/>
          <w:color w:val="939598"/>
          <w:sz w:val="26"/>
        </w:rPr>
        <w:tab/>
      </w:r>
      <w:r>
        <w:rPr>
          <w:b/>
          <w:color w:val="939598"/>
          <w:spacing w:val="-5"/>
          <w:w w:val="105"/>
          <w:sz w:val="26"/>
        </w:rPr>
        <w:t>158</w:t>
      </w:r>
    </w:p>
    <w:p>
      <w:pPr>
        <w:spacing w:after="0"/>
        <w:jc w:val="left"/>
        <w:rPr>
          <w:b/>
          <w:sz w:val="26"/>
        </w:rPr>
        <w:sectPr>
          <w:pgSz w:w="24480" w:h="15840" w:orient="landscape"/>
          <w:pgMar w:header="0" w:footer="0" w:top="860" w:bottom="0" w:left="0" w:right="720"/>
        </w:sectPr>
      </w:pPr>
    </w:p>
    <w:p>
      <w:pPr>
        <w:spacing w:before="607"/>
        <w:ind w:left="1089" w:right="0" w:firstLine="0"/>
        <w:jc w:val="left"/>
        <w:rPr>
          <w:sz w:val="54"/>
        </w:rPr>
      </w:pPr>
      <w:r>
        <w:rPr>
          <w:sz w:val="54"/>
        </w:rPr>
        <w:drawing>
          <wp:anchor distT="0" distB="0" distL="0" distR="0" allowOverlap="1" layoutInCell="1" locked="0" behindDoc="0" simplePos="0" relativeHeight="15965696">
            <wp:simplePos x="0" y="0"/>
            <wp:positionH relativeFrom="page">
              <wp:posOffset>14981556</wp:posOffset>
            </wp:positionH>
            <wp:positionV relativeFrom="page">
              <wp:posOffset>9668103</wp:posOffset>
            </wp:positionV>
            <wp:extent cx="563245" cy="184683"/>
            <wp:effectExtent l="0" t="0" r="0" b="0"/>
            <wp:wrapNone/>
            <wp:docPr id="1854" name="Image 1854"/>
            <wp:cNvGraphicFramePr>
              <a:graphicFrameLocks/>
            </wp:cNvGraphicFramePr>
            <a:graphic>
              <a:graphicData uri="http://schemas.openxmlformats.org/drawingml/2006/picture">
                <pic:pic>
                  <pic:nvPicPr>
                    <pic:cNvPr id="1854" name="Image 1854"/>
                    <pic:cNvPicPr/>
                  </pic:nvPicPr>
                  <pic:blipFill>
                    <a:blip r:embed="rId38" cstate="print"/>
                    <a:stretch>
                      <a:fillRect/>
                    </a:stretch>
                  </pic:blipFill>
                  <pic:spPr>
                    <a:xfrm>
                      <a:off x="0" y="0"/>
                      <a:ext cx="563245" cy="184683"/>
                    </a:xfrm>
                    <a:prstGeom prst="rect">
                      <a:avLst/>
                    </a:prstGeom>
                  </pic:spPr>
                </pic:pic>
              </a:graphicData>
            </a:graphic>
          </wp:anchor>
        </w:drawing>
      </w:r>
      <w:r>
        <w:rPr>
          <w:sz w:val="54"/>
        </w:rPr>
        <w:drawing>
          <wp:anchor distT="0" distB="0" distL="0" distR="0" allowOverlap="1" layoutInCell="1" locked="0" behindDoc="0" simplePos="0" relativeHeight="15966208">
            <wp:simplePos x="0" y="0"/>
            <wp:positionH relativeFrom="page">
              <wp:posOffset>14252733</wp:posOffset>
            </wp:positionH>
            <wp:positionV relativeFrom="paragraph">
              <wp:posOffset>358457</wp:posOffset>
            </wp:positionV>
            <wp:extent cx="588168" cy="615314"/>
            <wp:effectExtent l="0" t="0" r="0" b="0"/>
            <wp:wrapNone/>
            <wp:docPr id="1855" name="Image 1855"/>
            <wp:cNvGraphicFramePr>
              <a:graphicFrameLocks/>
            </wp:cNvGraphicFramePr>
            <a:graphic>
              <a:graphicData uri="http://schemas.openxmlformats.org/drawingml/2006/picture">
                <pic:pic>
                  <pic:nvPicPr>
                    <pic:cNvPr id="1855" name="Image 1855"/>
                    <pic:cNvPicPr/>
                  </pic:nvPicPr>
                  <pic:blipFill>
                    <a:blip r:embed="rId248" cstate="print"/>
                    <a:stretch>
                      <a:fillRect/>
                    </a:stretch>
                  </pic:blipFill>
                  <pic:spPr>
                    <a:xfrm>
                      <a:off x="0" y="0"/>
                      <a:ext cx="588168" cy="615314"/>
                    </a:xfrm>
                    <a:prstGeom prst="rect">
                      <a:avLst/>
                    </a:prstGeom>
                  </pic:spPr>
                </pic:pic>
              </a:graphicData>
            </a:graphic>
          </wp:anchor>
        </w:drawing>
      </w:r>
      <w:r>
        <w:rPr>
          <w:sz w:val="54"/>
        </w:rPr>
        <w:drawing>
          <wp:anchor distT="0" distB="0" distL="0" distR="0" allowOverlap="1" layoutInCell="1" locked="0" behindDoc="0" simplePos="0" relativeHeight="15966720">
            <wp:simplePos x="0" y="0"/>
            <wp:positionH relativeFrom="page">
              <wp:posOffset>9637268</wp:posOffset>
            </wp:positionH>
            <wp:positionV relativeFrom="paragraph">
              <wp:posOffset>365759</wp:posOffset>
            </wp:positionV>
            <wp:extent cx="1013459" cy="346709"/>
            <wp:effectExtent l="0" t="0" r="0" b="0"/>
            <wp:wrapNone/>
            <wp:docPr id="1856" name="Image 1856"/>
            <wp:cNvGraphicFramePr>
              <a:graphicFrameLocks/>
            </wp:cNvGraphicFramePr>
            <a:graphic>
              <a:graphicData uri="http://schemas.openxmlformats.org/drawingml/2006/picture">
                <pic:pic>
                  <pic:nvPicPr>
                    <pic:cNvPr id="1856" name="Image 1856"/>
                    <pic:cNvPicPr/>
                  </pic:nvPicPr>
                  <pic:blipFill>
                    <a:blip r:embed="rId249" cstate="print"/>
                    <a:stretch>
                      <a:fillRect/>
                    </a:stretch>
                  </pic:blipFill>
                  <pic:spPr>
                    <a:xfrm>
                      <a:off x="0" y="0"/>
                      <a:ext cx="1013459" cy="346709"/>
                    </a:xfrm>
                    <a:prstGeom prst="rect">
                      <a:avLst/>
                    </a:prstGeom>
                  </pic:spPr>
                </pic:pic>
              </a:graphicData>
            </a:graphic>
          </wp:anchor>
        </w:drawing>
      </w:r>
      <w:r>
        <w:rPr>
          <w:sz w:val="54"/>
        </w:rPr>
        <w:drawing>
          <wp:anchor distT="0" distB="0" distL="0" distR="0" allowOverlap="1" layoutInCell="1" locked="0" behindDoc="0" simplePos="0" relativeHeight="15967232">
            <wp:simplePos x="0" y="0"/>
            <wp:positionH relativeFrom="page">
              <wp:posOffset>8820404</wp:posOffset>
            </wp:positionH>
            <wp:positionV relativeFrom="paragraph">
              <wp:posOffset>303783</wp:posOffset>
            </wp:positionV>
            <wp:extent cx="680085" cy="626110"/>
            <wp:effectExtent l="0" t="0" r="0" b="0"/>
            <wp:wrapNone/>
            <wp:docPr id="1857" name="Image 1857"/>
            <wp:cNvGraphicFramePr>
              <a:graphicFrameLocks/>
            </wp:cNvGraphicFramePr>
            <a:graphic>
              <a:graphicData uri="http://schemas.openxmlformats.org/drawingml/2006/picture">
                <pic:pic>
                  <pic:nvPicPr>
                    <pic:cNvPr id="1857" name="Image 1857"/>
                    <pic:cNvPicPr/>
                  </pic:nvPicPr>
                  <pic:blipFill>
                    <a:blip r:embed="rId250" cstate="print"/>
                    <a:stretch>
                      <a:fillRect/>
                    </a:stretch>
                  </pic:blipFill>
                  <pic:spPr>
                    <a:xfrm>
                      <a:off x="0" y="0"/>
                      <a:ext cx="680085" cy="626110"/>
                    </a:xfrm>
                    <a:prstGeom prst="rect">
                      <a:avLst/>
                    </a:prstGeom>
                  </pic:spPr>
                </pic:pic>
              </a:graphicData>
            </a:graphic>
          </wp:anchor>
        </w:drawing>
      </w:r>
      <w:r>
        <w:rPr>
          <w:sz w:val="54"/>
        </w:rPr>
        <w:drawing>
          <wp:anchor distT="0" distB="0" distL="0" distR="0" allowOverlap="1" layoutInCell="1" locked="0" behindDoc="0" simplePos="0" relativeHeight="15967744">
            <wp:simplePos x="0" y="0"/>
            <wp:positionH relativeFrom="page">
              <wp:posOffset>12660794</wp:posOffset>
            </wp:positionH>
            <wp:positionV relativeFrom="paragraph">
              <wp:posOffset>292608</wp:posOffset>
            </wp:positionV>
            <wp:extent cx="1542007" cy="459636"/>
            <wp:effectExtent l="0" t="0" r="0" b="0"/>
            <wp:wrapNone/>
            <wp:docPr id="1858" name="Image 1858"/>
            <wp:cNvGraphicFramePr>
              <a:graphicFrameLocks/>
            </wp:cNvGraphicFramePr>
            <a:graphic>
              <a:graphicData uri="http://schemas.openxmlformats.org/drawingml/2006/picture">
                <pic:pic>
                  <pic:nvPicPr>
                    <pic:cNvPr id="1858" name="Image 1858"/>
                    <pic:cNvPicPr/>
                  </pic:nvPicPr>
                  <pic:blipFill>
                    <a:blip r:embed="rId251" cstate="print"/>
                    <a:stretch>
                      <a:fillRect/>
                    </a:stretch>
                  </pic:blipFill>
                  <pic:spPr>
                    <a:xfrm>
                      <a:off x="0" y="0"/>
                      <a:ext cx="1542007" cy="459636"/>
                    </a:xfrm>
                    <a:prstGeom prst="rect">
                      <a:avLst/>
                    </a:prstGeom>
                  </pic:spPr>
                </pic:pic>
              </a:graphicData>
            </a:graphic>
          </wp:anchor>
        </w:drawing>
      </w:r>
      <w:r>
        <w:rPr>
          <w:sz w:val="54"/>
        </w:rPr>
        <w:drawing>
          <wp:anchor distT="0" distB="0" distL="0" distR="0" allowOverlap="1" layoutInCell="1" locked="0" behindDoc="0" simplePos="0" relativeHeight="15968256">
            <wp:simplePos x="0" y="0"/>
            <wp:positionH relativeFrom="page">
              <wp:posOffset>10819383</wp:posOffset>
            </wp:positionH>
            <wp:positionV relativeFrom="paragraph">
              <wp:posOffset>365759</wp:posOffset>
            </wp:positionV>
            <wp:extent cx="1724393" cy="297788"/>
            <wp:effectExtent l="0" t="0" r="0" b="0"/>
            <wp:wrapNone/>
            <wp:docPr id="1859" name="Image 1859"/>
            <wp:cNvGraphicFramePr>
              <a:graphicFrameLocks/>
            </wp:cNvGraphicFramePr>
            <a:graphic>
              <a:graphicData uri="http://schemas.openxmlformats.org/drawingml/2006/picture">
                <pic:pic>
                  <pic:nvPicPr>
                    <pic:cNvPr id="1859" name="Image 1859"/>
                    <pic:cNvPicPr/>
                  </pic:nvPicPr>
                  <pic:blipFill>
                    <a:blip r:embed="rId252" cstate="print"/>
                    <a:stretch>
                      <a:fillRect/>
                    </a:stretch>
                  </pic:blipFill>
                  <pic:spPr>
                    <a:xfrm>
                      <a:off x="0" y="0"/>
                      <a:ext cx="1724393" cy="297788"/>
                    </a:xfrm>
                    <a:prstGeom prst="rect">
                      <a:avLst/>
                    </a:prstGeom>
                  </pic:spPr>
                </pic:pic>
              </a:graphicData>
            </a:graphic>
          </wp:anchor>
        </w:drawing>
      </w:r>
      <w:r>
        <w:rPr>
          <w:color w:val="636466"/>
          <w:w w:val="105"/>
          <w:sz w:val="54"/>
        </w:rPr>
        <w:t>Ontario</w:t>
      </w:r>
      <w:r>
        <w:rPr>
          <w:color w:val="636466"/>
          <w:spacing w:val="-13"/>
          <w:w w:val="105"/>
          <w:sz w:val="54"/>
        </w:rPr>
        <w:t> </w:t>
      </w:r>
      <w:r>
        <w:rPr>
          <w:color w:val="636466"/>
          <w:w w:val="105"/>
          <w:sz w:val="54"/>
        </w:rPr>
        <w:t>County</w:t>
      </w:r>
      <w:r>
        <w:rPr>
          <w:color w:val="636466"/>
          <w:spacing w:val="-14"/>
          <w:w w:val="105"/>
          <w:sz w:val="54"/>
        </w:rPr>
        <w:t> </w:t>
      </w:r>
      <w:r>
        <w:rPr>
          <w:color w:val="636466"/>
          <w:w w:val="105"/>
          <w:sz w:val="54"/>
        </w:rPr>
        <w:t>Appendix</w:t>
      </w:r>
      <w:r>
        <w:rPr>
          <w:color w:val="636466"/>
          <w:spacing w:val="-13"/>
          <w:w w:val="105"/>
          <w:sz w:val="54"/>
        </w:rPr>
        <w:t> </w:t>
      </w:r>
      <w:r>
        <w:rPr>
          <w:color w:val="636466"/>
          <w:spacing w:val="-10"/>
          <w:w w:val="105"/>
          <w:sz w:val="54"/>
        </w:rPr>
        <w:t>C</w:t>
      </w:r>
    </w:p>
    <w:p>
      <w:pPr>
        <w:spacing w:line="247" w:lineRule="auto" w:before="235"/>
        <w:ind w:left="1089" w:right="12684" w:firstLine="0"/>
        <w:jc w:val="left"/>
        <w:rPr>
          <w:b/>
          <w:sz w:val="32"/>
        </w:rPr>
      </w:pPr>
      <w:r>
        <w:rPr>
          <w:b/>
          <w:color w:val="82BF6A"/>
          <w:spacing w:val="-6"/>
          <w:sz w:val="32"/>
        </w:rPr>
        <w:t>PRIORITY:</w:t>
      </w:r>
      <w:r>
        <w:rPr>
          <w:b/>
          <w:color w:val="82BF6A"/>
          <w:spacing w:val="-17"/>
          <w:sz w:val="32"/>
        </w:rPr>
        <w:t> </w:t>
      </w:r>
      <w:r>
        <w:rPr>
          <w:b/>
          <w:color w:val="82BF6A"/>
          <w:spacing w:val="-6"/>
          <w:sz w:val="32"/>
        </w:rPr>
        <w:t>PROMOTE</w:t>
      </w:r>
      <w:r>
        <w:rPr>
          <w:b/>
          <w:color w:val="82BF6A"/>
          <w:spacing w:val="-16"/>
          <w:sz w:val="32"/>
        </w:rPr>
        <w:t> </w:t>
      </w:r>
      <w:r>
        <w:rPr>
          <w:b/>
          <w:color w:val="82BF6A"/>
          <w:spacing w:val="-6"/>
          <w:sz w:val="32"/>
        </w:rPr>
        <w:t>WELL-BEING,</w:t>
      </w:r>
      <w:r>
        <w:rPr>
          <w:b/>
          <w:color w:val="82BF6A"/>
          <w:spacing w:val="-16"/>
          <w:sz w:val="32"/>
        </w:rPr>
        <w:t> </w:t>
      </w:r>
      <w:r>
        <w:rPr>
          <w:b/>
          <w:color w:val="82BF6A"/>
          <w:spacing w:val="-6"/>
          <w:sz w:val="32"/>
        </w:rPr>
        <w:t>PREVENT</w:t>
      </w:r>
      <w:r>
        <w:rPr>
          <w:b/>
          <w:color w:val="82BF6A"/>
          <w:spacing w:val="-16"/>
          <w:sz w:val="32"/>
        </w:rPr>
        <w:t> </w:t>
      </w:r>
      <w:r>
        <w:rPr>
          <w:b/>
          <w:color w:val="82BF6A"/>
          <w:spacing w:val="-6"/>
          <w:sz w:val="32"/>
        </w:rPr>
        <w:t>MENTAL</w:t>
      </w:r>
      <w:r>
        <w:rPr>
          <w:b/>
          <w:color w:val="82BF6A"/>
          <w:spacing w:val="-17"/>
          <w:sz w:val="32"/>
        </w:rPr>
        <w:t> </w:t>
      </w:r>
      <w:r>
        <w:rPr>
          <w:b/>
          <w:color w:val="82BF6A"/>
          <w:spacing w:val="-6"/>
          <w:sz w:val="32"/>
        </w:rPr>
        <w:t>&amp; </w:t>
      </w:r>
      <w:r>
        <w:rPr>
          <w:b/>
          <w:color w:val="82BF6A"/>
          <w:spacing w:val="-2"/>
          <w:sz w:val="32"/>
        </w:rPr>
        <w:t>SUBSTANCE</w:t>
      </w:r>
      <w:r>
        <w:rPr>
          <w:b/>
          <w:color w:val="82BF6A"/>
          <w:spacing w:val="-21"/>
          <w:sz w:val="32"/>
        </w:rPr>
        <w:t> </w:t>
      </w:r>
      <w:r>
        <w:rPr>
          <w:b/>
          <w:color w:val="82BF6A"/>
          <w:spacing w:val="-2"/>
          <w:sz w:val="32"/>
        </w:rPr>
        <w:t>USE</w:t>
      </w:r>
      <w:r>
        <w:rPr>
          <w:b/>
          <w:color w:val="82BF6A"/>
          <w:spacing w:val="-20"/>
          <w:sz w:val="32"/>
        </w:rPr>
        <w:t> </w:t>
      </w:r>
      <w:r>
        <w:rPr>
          <w:b/>
          <w:color w:val="82BF6A"/>
          <w:spacing w:val="-2"/>
          <w:sz w:val="32"/>
        </w:rPr>
        <w:t>DISORDERS</w:t>
      </w:r>
    </w:p>
    <w:p>
      <w:pPr>
        <w:pStyle w:val="BodyText"/>
        <w:spacing w:before="10"/>
        <w:rPr>
          <w:b/>
          <w:sz w:val="16"/>
        </w:rPr>
      </w:pPr>
    </w:p>
    <w:tbl>
      <w:tblPr>
        <w:tblW w:w="0" w:type="auto"/>
        <w:jc w:val="left"/>
        <w:tblInd w:w="1099" w:type="dxa"/>
        <w:tblBorders>
          <w:top w:val="single" w:sz="6" w:space="0" w:color="BCBEC0"/>
          <w:left w:val="single" w:sz="6" w:space="0" w:color="BCBEC0"/>
          <w:bottom w:val="single" w:sz="6" w:space="0" w:color="BCBEC0"/>
          <w:right w:val="single" w:sz="6" w:space="0" w:color="BCBEC0"/>
          <w:insideH w:val="single" w:sz="6" w:space="0" w:color="BCBEC0"/>
          <w:insideV w:val="single" w:sz="6" w:space="0" w:color="BCBEC0"/>
        </w:tblBorders>
        <w:tblLayout w:type="fixed"/>
        <w:tblCellMar>
          <w:top w:w="0" w:type="dxa"/>
          <w:left w:w="0" w:type="dxa"/>
          <w:bottom w:w="0" w:type="dxa"/>
          <w:right w:w="0" w:type="dxa"/>
        </w:tblCellMar>
        <w:tblLook w:val="01E0"/>
      </w:tblPr>
      <w:tblGrid>
        <w:gridCol w:w="1353"/>
        <w:gridCol w:w="1289"/>
        <w:gridCol w:w="1591"/>
        <w:gridCol w:w="2822"/>
        <w:gridCol w:w="1267"/>
        <w:gridCol w:w="2861"/>
        <w:gridCol w:w="3359"/>
        <w:gridCol w:w="2390"/>
        <w:gridCol w:w="3196"/>
        <w:gridCol w:w="2097"/>
      </w:tblGrid>
      <w:tr>
        <w:trPr>
          <w:trHeight w:val="833" w:hRule="exact"/>
        </w:trPr>
        <w:tc>
          <w:tcPr>
            <w:tcW w:w="1353" w:type="dxa"/>
            <w:tcBorders>
              <w:left w:val="single" w:sz="4" w:space="0" w:color="BCBEC0"/>
              <w:right w:val="single" w:sz="4" w:space="0" w:color="FFFFFF"/>
            </w:tcBorders>
            <w:shd w:val="clear" w:color="auto" w:fill="A7A9AC"/>
          </w:tcPr>
          <w:p>
            <w:pPr>
              <w:pStyle w:val="TableParagraph"/>
              <w:spacing w:before="91"/>
              <w:rPr>
                <w:b/>
                <w:sz w:val="20"/>
              </w:rPr>
            </w:pPr>
          </w:p>
          <w:p>
            <w:pPr>
              <w:pStyle w:val="TableParagraph"/>
              <w:ind w:left="75"/>
              <w:rPr>
                <w:b/>
                <w:sz w:val="20"/>
              </w:rPr>
            </w:pPr>
            <w:r>
              <w:rPr>
                <w:b/>
                <w:color w:val="FFFFFF"/>
                <w:spacing w:val="-2"/>
                <w:sz w:val="20"/>
              </w:rPr>
              <w:t>Priority</w:t>
            </w:r>
          </w:p>
        </w:tc>
        <w:tc>
          <w:tcPr>
            <w:tcW w:w="1289" w:type="dxa"/>
            <w:tcBorders>
              <w:left w:val="single" w:sz="4" w:space="0" w:color="FFFFFF"/>
              <w:right w:val="single" w:sz="4" w:space="0" w:color="FFFFFF"/>
            </w:tcBorders>
            <w:shd w:val="clear" w:color="auto" w:fill="A7A9AC"/>
          </w:tcPr>
          <w:p>
            <w:pPr>
              <w:pStyle w:val="TableParagraph"/>
              <w:spacing w:before="91"/>
              <w:rPr>
                <w:b/>
                <w:sz w:val="20"/>
              </w:rPr>
            </w:pPr>
          </w:p>
          <w:p>
            <w:pPr>
              <w:pStyle w:val="TableParagraph"/>
              <w:ind w:left="74"/>
              <w:rPr>
                <w:b/>
                <w:sz w:val="20"/>
              </w:rPr>
            </w:pPr>
            <w:r>
              <w:rPr>
                <w:b/>
                <w:color w:val="FFFFFF"/>
                <w:w w:val="90"/>
                <w:sz w:val="20"/>
              </w:rPr>
              <w:t>Focus</w:t>
            </w:r>
            <w:r>
              <w:rPr>
                <w:b/>
                <w:color w:val="FFFFFF"/>
                <w:spacing w:val="8"/>
                <w:sz w:val="20"/>
              </w:rPr>
              <w:t> </w:t>
            </w:r>
            <w:r>
              <w:rPr>
                <w:b/>
                <w:color w:val="FFFFFF"/>
                <w:spacing w:val="-4"/>
                <w:sz w:val="20"/>
              </w:rPr>
              <w:t>Area</w:t>
            </w:r>
          </w:p>
        </w:tc>
        <w:tc>
          <w:tcPr>
            <w:tcW w:w="1591" w:type="dxa"/>
            <w:tcBorders>
              <w:left w:val="single" w:sz="4" w:space="0" w:color="FFFFFF"/>
              <w:right w:val="single" w:sz="4" w:space="0" w:color="FFFFFF"/>
            </w:tcBorders>
            <w:shd w:val="clear" w:color="auto" w:fill="A7A9AC"/>
          </w:tcPr>
          <w:p>
            <w:pPr>
              <w:pStyle w:val="TableParagraph"/>
              <w:spacing w:line="230" w:lineRule="auto" w:before="219"/>
              <w:ind w:left="74" w:right="100"/>
              <w:rPr>
                <w:b/>
                <w:sz w:val="20"/>
              </w:rPr>
            </w:pPr>
            <w:r>
              <w:rPr>
                <w:b/>
                <w:color w:val="FFFFFF"/>
                <w:spacing w:val="-8"/>
                <w:sz w:val="20"/>
              </w:rPr>
              <w:t>Goal</w:t>
            </w:r>
            <w:r>
              <w:rPr>
                <w:b/>
                <w:color w:val="FFFFFF"/>
                <w:spacing w:val="-6"/>
                <w:sz w:val="20"/>
              </w:rPr>
              <w:t> </w:t>
            </w:r>
            <w:r>
              <w:rPr>
                <w:b/>
                <w:color w:val="FFFFFF"/>
                <w:spacing w:val="-8"/>
                <w:sz w:val="20"/>
              </w:rPr>
              <w:t>Focus </w:t>
            </w:r>
            <w:r>
              <w:rPr>
                <w:b/>
                <w:color w:val="FFFFFF"/>
                <w:spacing w:val="-4"/>
                <w:sz w:val="20"/>
              </w:rPr>
              <w:t>Area</w:t>
            </w:r>
          </w:p>
        </w:tc>
        <w:tc>
          <w:tcPr>
            <w:tcW w:w="2822" w:type="dxa"/>
            <w:tcBorders>
              <w:left w:val="single" w:sz="4" w:space="0" w:color="FFFFFF"/>
              <w:right w:val="single" w:sz="4" w:space="0" w:color="FFFFFF"/>
            </w:tcBorders>
            <w:shd w:val="clear" w:color="auto" w:fill="A7A9AC"/>
          </w:tcPr>
          <w:p>
            <w:pPr>
              <w:pStyle w:val="TableParagraph"/>
              <w:spacing w:before="91"/>
              <w:rPr>
                <w:b/>
                <w:sz w:val="20"/>
              </w:rPr>
            </w:pPr>
          </w:p>
          <w:p>
            <w:pPr>
              <w:pStyle w:val="TableParagraph"/>
              <w:ind w:left="74"/>
              <w:rPr>
                <w:b/>
                <w:sz w:val="20"/>
              </w:rPr>
            </w:pPr>
            <w:r>
              <w:rPr>
                <w:b/>
                <w:color w:val="FFFFFF"/>
                <w:spacing w:val="-2"/>
                <w:sz w:val="20"/>
              </w:rPr>
              <w:t>Objectives</w:t>
            </w:r>
          </w:p>
        </w:tc>
        <w:tc>
          <w:tcPr>
            <w:tcW w:w="1267" w:type="dxa"/>
            <w:tcBorders>
              <w:left w:val="single" w:sz="4" w:space="0" w:color="FFFFFF"/>
              <w:right w:val="single" w:sz="4" w:space="0" w:color="FFFFFF"/>
            </w:tcBorders>
            <w:shd w:val="clear" w:color="auto" w:fill="A7A9AC"/>
          </w:tcPr>
          <w:p>
            <w:pPr>
              <w:pStyle w:val="TableParagraph"/>
              <w:spacing w:before="91"/>
              <w:rPr>
                <w:b/>
                <w:sz w:val="20"/>
              </w:rPr>
            </w:pPr>
          </w:p>
          <w:p>
            <w:pPr>
              <w:pStyle w:val="TableParagraph"/>
              <w:ind w:left="74"/>
              <w:rPr>
                <w:b/>
                <w:sz w:val="20"/>
              </w:rPr>
            </w:pPr>
            <w:r>
              <w:rPr>
                <w:b/>
                <w:color w:val="FFFFFF"/>
                <w:spacing w:val="-2"/>
                <w:sz w:val="20"/>
              </w:rPr>
              <w:t>Disparities</w:t>
            </w:r>
          </w:p>
        </w:tc>
        <w:tc>
          <w:tcPr>
            <w:tcW w:w="2861" w:type="dxa"/>
            <w:tcBorders>
              <w:left w:val="single" w:sz="4" w:space="0" w:color="FFFFFF"/>
              <w:right w:val="nil"/>
            </w:tcBorders>
            <w:shd w:val="clear" w:color="auto" w:fill="A7A9AC"/>
          </w:tcPr>
          <w:p>
            <w:pPr>
              <w:pStyle w:val="TableParagraph"/>
              <w:spacing w:before="91"/>
              <w:rPr>
                <w:b/>
                <w:sz w:val="20"/>
              </w:rPr>
            </w:pPr>
          </w:p>
          <w:p>
            <w:pPr>
              <w:pStyle w:val="TableParagraph"/>
              <w:ind w:left="74"/>
              <w:rPr>
                <w:b/>
                <w:sz w:val="20"/>
              </w:rPr>
            </w:pPr>
            <w:r>
              <w:rPr>
                <w:b/>
                <w:color w:val="FFFFFF"/>
                <w:spacing w:val="-2"/>
                <w:sz w:val="20"/>
              </w:rPr>
              <w:t>Interventions</w:t>
            </w:r>
          </w:p>
        </w:tc>
        <w:tc>
          <w:tcPr>
            <w:tcW w:w="3359" w:type="dxa"/>
            <w:tcBorders>
              <w:left w:val="nil"/>
              <w:right w:val="single" w:sz="4" w:space="0" w:color="FFFFFF"/>
            </w:tcBorders>
            <w:shd w:val="clear" w:color="auto" w:fill="A7A9AC"/>
          </w:tcPr>
          <w:p>
            <w:pPr>
              <w:pStyle w:val="TableParagraph"/>
              <w:spacing w:before="91"/>
              <w:rPr>
                <w:b/>
                <w:sz w:val="20"/>
              </w:rPr>
            </w:pPr>
          </w:p>
          <w:p>
            <w:pPr>
              <w:pStyle w:val="TableParagraph"/>
              <w:ind w:left="1145"/>
              <w:rPr>
                <w:b/>
                <w:sz w:val="20"/>
              </w:rPr>
            </w:pPr>
            <w:r>
              <w:rPr>
                <w:b/>
                <w:color w:val="FFFFFF"/>
                <w:sz w:val="20"/>
              </w:rPr>
              <w:t>Family</w:t>
            </w:r>
            <w:r>
              <w:rPr>
                <w:b/>
                <w:color w:val="FFFFFF"/>
                <w:spacing w:val="-12"/>
                <w:sz w:val="20"/>
              </w:rPr>
              <w:t> </w:t>
            </w:r>
            <w:r>
              <w:rPr>
                <w:b/>
                <w:color w:val="FFFFFF"/>
                <w:sz w:val="20"/>
              </w:rPr>
              <w:t>of</w:t>
            </w:r>
            <w:r>
              <w:rPr>
                <w:b/>
                <w:color w:val="FFFFFF"/>
                <w:spacing w:val="-12"/>
                <w:sz w:val="20"/>
              </w:rPr>
              <w:t> </w:t>
            </w:r>
            <w:r>
              <w:rPr>
                <w:b/>
                <w:color w:val="FFFFFF"/>
                <w:spacing w:val="-2"/>
                <w:sz w:val="20"/>
              </w:rPr>
              <w:t>Measures</w:t>
            </w:r>
          </w:p>
        </w:tc>
        <w:tc>
          <w:tcPr>
            <w:tcW w:w="2390" w:type="dxa"/>
            <w:tcBorders>
              <w:left w:val="single" w:sz="4" w:space="0" w:color="FFFFFF"/>
              <w:right w:val="single" w:sz="4" w:space="0" w:color="FFFFFF"/>
            </w:tcBorders>
            <w:shd w:val="clear" w:color="auto" w:fill="A7A9AC"/>
          </w:tcPr>
          <w:p>
            <w:pPr>
              <w:pStyle w:val="TableParagraph"/>
              <w:spacing w:line="230" w:lineRule="auto" w:before="219"/>
              <w:ind w:left="84" w:right="385"/>
              <w:rPr>
                <w:b/>
                <w:sz w:val="20"/>
              </w:rPr>
            </w:pPr>
            <w:r>
              <w:rPr>
                <w:b/>
                <w:color w:val="FFFFFF"/>
                <w:spacing w:val="-2"/>
                <w:sz w:val="20"/>
              </w:rPr>
              <w:t>Implementation Partner</w:t>
            </w:r>
          </w:p>
        </w:tc>
        <w:tc>
          <w:tcPr>
            <w:tcW w:w="3196" w:type="dxa"/>
            <w:tcBorders>
              <w:left w:val="single" w:sz="4" w:space="0" w:color="FFFFFF"/>
              <w:right w:val="single" w:sz="4" w:space="0" w:color="FFFFFF"/>
            </w:tcBorders>
            <w:shd w:val="clear" w:color="auto" w:fill="A7A9AC"/>
          </w:tcPr>
          <w:p>
            <w:pPr>
              <w:pStyle w:val="TableParagraph"/>
              <w:spacing w:before="91"/>
              <w:rPr>
                <w:b/>
                <w:sz w:val="20"/>
              </w:rPr>
            </w:pPr>
          </w:p>
          <w:p>
            <w:pPr>
              <w:pStyle w:val="TableParagraph"/>
              <w:ind w:left="74"/>
              <w:rPr>
                <w:b/>
                <w:sz w:val="20"/>
              </w:rPr>
            </w:pPr>
            <w:r>
              <w:rPr>
                <w:b/>
                <w:color w:val="FFFFFF"/>
                <w:sz w:val="20"/>
              </w:rPr>
              <w:t>Partner</w:t>
            </w:r>
            <w:r>
              <w:rPr>
                <w:b/>
                <w:color w:val="FFFFFF"/>
                <w:spacing w:val="-13"/>
                <w:sz w:val="20"/>
              </w:rPr>
              <w:t> </w:t>
            </w:r>
            <w:r>
              <w:rPr>
                <w:b/>
                <w:color w:val="FFFFFF"/>
                <w:spacing w:val="-2"/>
                <w:sz w:val="20"/>
              </w:rPr>
              <w:t>Roles</w:t>
            </w:r>
          </w:p>
        </w:tc>
        <w:tc>
          <w:tcPr>
            <w:tcW w:w="2097" w:type="dxa"/>
            <w:tcBorders>
              <w:left w:val="single" w:sz="4" w:space="0" w:color="FFFFFF"/>
              <w:right w:val="single" w:sz="4" w:space="0" w:color="FFFFFF"/>
            </w:tcBorders>
            <w:shd w:val="clear" w:color="auto" w:fill="A7A9AC"/>
          </w:tcPr>
          <w:p>
            <w:pPr>
              <w:pStyle w:val="TableParagraph"/>
              <w:spacing w:before="91"/>
              <w:rPr>
                <w:b/>
                <w:sz w:val="20"/>
              </w:rPr>
            </w:pPr>
          </w:p>
          <w:p>
            <w:pPr>
              <w:pStyle w:val="TableParagraph"/>
              <w:ind w:left="74"/>
              <w:rPr>
                <w:b/>
                <w:sz w:val="20"/>
              </w:rPr>
            </w:pPr>
            <w:r>
              <w:rPr>
                <w:b/>
                <w:color w:val="FFFFFF"/>
                <w:sz w:val="20"/>
              </w:rPr>
              <w:t>Partner</w:t>
            </w:r>
            <w:r>
              <w:rPr>
                <w:b/>
                <w:color w:val="FFFFFF"/>
                <w:spacing w:val="-13"/>
                <w:sz w:val="20"/>
              </w:rPr>
              <w:t> </w:t>
            </w:r>
            <w:r>
              <w:rPr>
                <w:b/>
                <w:color w:val="FFFFFF"/>
                <w:spacing w:val="-2"/>
                <w:sz w:val="20"/>
              </w:rPr>
              <w:t>Resources</w:t>
            </w:r>
          </w:p>
        </w:tc>
      </w:tr>
      <w:tr>
        <w:trPr>
          <w:trHeight w:val="1489" w:hRule="exact"/>
        </w:trPr>
        <w:tc>
          <w:tcPr>
            <w:tcW w:w="1353" w:type="dxa"/>
            <w:vMerge w:val="restart"/>
            <w:tcBorders>
              <w:left w:val="single" w:sz="4" w:space="0" w:color="BCBEC0"/>
              <w:bottom w:val="nil"/>
              <w:right w:val="single" w:sz="4" w:space="0" w:color="BCBEC0"/>
            </w:tcBorders>
            <w:shd w:val="clear" w:color="auto" w:fill="E6E7E8"/>
          </w:tcPr>
          <w:p>
            <w:pPr>
              <w:pStyle w:val="TableParagraph"/>
              <w:spacing w:line="232" w:lineRule="auto" w:before="112"/>
              <w:ind w:left="85" w:right="308"/>
              <w:rPr>
                <w:sz w:val="18"/>
              </w:rPr>
            </w:pPr>
            <w:r>
              <w:rPr>
                <w:color w:val="105C84"/>
                <w:spacing w:val="-2"/>
                <w:sz w:val="18"/>
              </w:rPr>
              <w:t>Promote Well-Being, Prevent </w:t>
            </w:r>
            <w:r>
              <w:rPr>
                <w:color w:val="105C84"/>
                <w:sz w:val="18"/>
              </w:rPr>
              <w:t>Mental &amp; </w:t>
            </w:r>
            <w:r>
              <w:rPr>
                <w:color w:val="105C84"/>
                <w:spacing w:val="-2"/>
                <w:sz w:val="18"/>
              </w:rPr>
              <w:t>Substance</w:t>
            </w:r>
          </w:p>
          <w:p>
            <w:pPr>
              <w:pStyle w:val="TableParagraph"/>
              <w:spacing w:line="198" w:lineRule="exact"/>
              <w:ind w:left="85"/>
              <w:rPr>
                <w:sz w:val="18"/>
              </w:rPr>
            </w:pPr>
            <w:r>
              <w:rPr>
                <w:color w:val="105C84"/>
                <w:spacing w:val="-2"/>
                <w:sz w:val="18"/>
              </w:rPr>
              <w:t>Use</w:t>
            </w:r>
            <w:r>
              <w:rPr>
                <w:color w:val="105C84"/>
                <w:spacing w:val="-9"/>
                <w:sz w:val="18"/>
              </w:rPr>
              <w:t> </w:t>
            </w:r>
            <w:r>
              <w:rPr>
                <w:color w:val="105C84"/>
                <w:spacing w:val="-2"/>
                <w:sz w:val="18"/>
              </w:rPr>
              <w:t>Disorders</w:t>
            </w:r>
          </w:p>
        </w:tc>
        <w:tc>
          <w:tcPr>
            <w:tcW w:w="1289" w:type="dxa"/>
            <w:vMerge w:val="restart"/>
            <w:tcBorders>
              <w:left w:val="single" w:sz="4" w:space="0" w:color="BCBEC0"/>
              <w:bottom w:val="nil"/>
              <w:right w:val="single" w:sz="4" w:space="0" w:color="BCBEC0"/>
            </w:tcBorders>
          </w:tcPr>
          <w:p>
            <w:pPr>
              <w:pStyle w:val="TableParagraph"/>
              <w:spacing w:line="232" w:lineRule="auto" w:before="112"/>
              <w:ind w:left="84" w:right="114"/>
              <w:rPr>
                <w:sz w:val="18"/>
              </w:rPr>
            </w:pPr>
            <w:r>
              <w:rPr>
                <w:color w:val="105C84"/>
                <w:spacing w:val="-4"/>
                <w:sz w:val="18"/>
              </w:rPr>
              <w:t>Focus</w:t>
            </w:r>
            <w:r>
              <w:rPr>
                <w:color w:val="105C84"/>
                <w:spacing w:val="-11"/>
                <w:sz w:val="18"/>
              </w:rPr>
              <w:t> </w:t>
            </w:r>
            <w:r>
              <w:rPr>
                <w:color w:val="105C84"/>
                <w:spacing w:val="-4"/>
                <w:sz w:val="18"/>
              </w:rPr>
              <w:t>Area</w:t>
            </w:r>
            <w:r>
              <w:rPr>
                <w:color w:val="105C84"/>
                <w:spacing w:val="-8"/>
                <w:sz w:val="18"/>
              </w:rPr>
              <w:t> </w:t>
            </w:r>
            <w:r>
              <w:rPr>
                <w:color w:val="105C84"/>
                <w:spacing w:val="-4"/>
                <w:sz w:val="18"/>
              </w:rPr>
              <w:t>1: </w:t>
            </w:r>
            <w:r>
              <w:rPr>
                <w:color w:val="105C84"/>
                <w:spacing w:val="-2"/>
                <w:sz w:val="18"/>
              </w:rPr>
              <w:t>Promote</w:t>
            </w:r>
            <w:r>
              <w:rPr>
                <w:color w:val="105C84"/>
                <w:spacing w:val="40"/>
                <w:sz w:val="18"/>
              </w:rPr>
              <w:t> </w:t>
            </w:r>
            <w:r>
              <w:rPr>
                <w:color w:val="105C84"/>
                <w:spacing w:val="-2"/>
                <w:sz w:val="18"/>
              </w:rPr>
              <w:t>Well-Being</w:t>
            </w:r>
          </w:p>
        </w:tc>
        <w:tc>
          <w:tcPr>
            <w:tcW w:w="1591" w:type="dxa"/>
            <w:vMerge w:val="restart"/>
            <w:tcBorders>
              <w:left w:val="single" w:sz="4" w:space="0" w:color="BCBEC0"/>
              <w:bottom w:val="nil"/>
              <w:right w:val="single" w:sz="4" w:space="0" w:color="BCBEC0"/>
            </w:tcBorders>
          </w:tcPr>
          <w:p>
            <w:pPr>
              <w:pStyle w:val="TableParagraph"/>
              <w:spacing w:line="232" w:lineRule="auto" w:before="112"/>
              <w:ind w:left="84" w:right="198"/>
              <w:rPr>
                <w:sz w:val="18"/>
              </w:rPr>
            </w:pPr>
            <w:r>
              <w:rPr>
                <w:color w:val="105C84"/>
                <w:w w:val="105"/>
                <w:sz w:val="18"/>
              </w:rPr>
              <w:t>Goal</w:t>
            </w:r>
            <w:r>
              <w:rPr>
                <w:color w:val="105C84"/>
                <w:spacing w:val="-1"/>
                <w:w w:val="105"/>
                <w:sz w:val="18"/>
              </w:rPr>
              <w:t> </w:t>
            </w:r>
            <w:r>
              <w:rPr>
                <w:color w:val="105C84"/>
                <w:w w:val="105"/>
                <w:sz w:val="18"/>
              </w:rPr>
              <w:t>1.1: </w:t>
            </w:r>
            <w:r>
              <w:rPr>
                <w:color w:val="105C84"/>
                <w:spacing w:val="-2"/>
                <w:w w:val="105"/>
                <w:sz w:val="18"/>
              </w:rPr>
              <w:t>Strengthen </w:t>
            </w:r>
            <w:r>
              <w:rPr>
                <w:color w:val="105C84"/>
                <w:w w:val="105"/>
                <w:sz w:val="18"/>
              </w:rPr>
              <w:t>opportunities</w:t>
            </w:r>
            <w:r>
              <w:rPr>
                <w:color w:val="105C84"/>
                <w:spacing w:val="-14"/>
                <w:w w:val="105"/>
                <w:sz w:val="18"/>
              </w:rPr>
              <w:t> </w:t>
            </w:r>
            <w:r>
              <w:rPr>
                <w:color w:val="105C84"/>
                <w:w w:val="105"/>
                <w:sz w:val="18"/>
              </w:rPr>
              <w:t>to </w:t>
            </w:r>
            <w:r>
              <w:rPr>
                <w:color w:val="105C84"/>
                <w:spacing w:val="-2"/>
                <w:w w:val="105"/>
                <w:sz w:val="18"/>
              </w:rPr>
              <w:t>build</w:t>
            </w:r>
            <w:r>
              <w:rPr>
                <w:color w:val="105C84"/>
                <w:spacing w:val="-12"/>
                <w:w w:val="105"/>
                <w:sz w:val="18"/>
              </w:rPr>
              <w:t> </w:t>
            </w:r>
            <w:r>
              <w:rPr>
                <w:color w:val="105C84"/>
                <w:spacing w:val="-2"/>
                <w:w w:val="105"/>
                <w:sz w:val="18"/>
              </w:rPr>
              <w:t>well-being </w:t>
            </w:r>
            <w:r>
              <w:rPr>
                <w:color w:val="105C84"/>
                <w:w w:val="105"/>
                <w:sz w:val="18"/>
              </w:rPr>
              <w:t>and</w:t>
            </w:r>
            <w:r>
              <w:rPr>
                <w:color w:val="105C84"/>
                <w:spacing w:val="-1"/>
                <w:w w:val="105"/>
                <w:sz w:val="18"/>
              </w:rPr>
              <w:t> </w:t>
            </w:r>
            <w:r>
              <w:rPr>
                <w:color w:val="105C84"/>
                <w:w w:val="105"/>
                <w:sz w:val="18"/>
              </w:rPr>
              <w:t>resilience across</w:t>
            </w:r>
            <w:r>
              <w:rPr>
                <w:color w:val="105C84"/>
                <w:spacing w:val="-1"/>
                <w:w w:val="105"/>
                <w:sz w:val="18"/>
              </w:rPr>
              <w:t> </w:t>
            </w:r>
            <w:r>
              <w:rPr>
                <w:color w:val="105C84"/>
                <w:w w:val="105"/>
                <w:sz w:val="18"/>
              </w:rPr>
              <w:t>the </w:t>
            </w:r>
            <w:r>
              <w:rPr>
                <w:color w:val="105C84"/>
                <w:spacing w:val="-2"/>
                <w:w w:val="105"/>
                <w:sz w:val="18"/>
              </w:rPr>
              <w:t>lifespan</w:t>
            </w:r>
          </w:p>
        </w:tc>
        <w:tc>
          <w:tcPr>
            <w:tcW w:w="2822" w:type="dxa"/>
            <w:vMerge w:val="restart"/>
            <w:tcBorders>
              <w:left w:val="single" w:sz="4" w:space="0" w:color="BCBEC0"/>
              <w:bottom w:val="nil"/>
              <w:right w:val="single" w:sz="4" w:space="0" w:color="BCBEC0"/>
            </w:tcBorders>
          </w:tcPr>
          <w:p>
            <w:pPr>
              <w:pStyle w:val="TableParagraph"/>
              <w:spacing w:line="232" w:lineRule="auto" w:before="111"/>
              <w:ind w:left="84" w:right="218"/>
              <w:rPr>
                <w:sz w:val="18"/>
              </w:rPr>
            </w:pPr>
            <w:r>
              <w:rPr>
                <w:color w:val="105C84"/>
                <w:spacing w:val="-2"/>
                <w:sz w:val="18"/>
              </w:rPr>
              <w:t>1.1.1</w:t>
            </w:r>
            <w:r>
              <w:rPr>
                <w:color w:val="105C84"/>
                <w:spacing w:val="-13"/>
                <w:sz w:val="18"/>
              </w:rPr>
              <w:t> </w:t>
            </w:r>
            <w:r>
              <w:rPr>
                <w:color w:val="105C84"/>
                <w:spacing w:val="-2"/>
                <w:sz w:val="18"/>
              </w:rPr>
              <w:t>Increase</w:t>
            </w:r>
            <w:r>
              <w:rPr>
                <w:color w:val="105C84"/>
                <w:spacing w:val="-10"/>
                <w:sz w:val="18"/>
              </w:rPr>
              <w:t> </w:t>
            </w:r>
            <w:r>
              <w:rPr>
                <w:color w:val="105C84"/>
                <w:spacing w:val="-2"/>
                <w:sz w:val="18"/>
              </w:rPr>
              <w:t>New</w:t>
            </w:r>
            <w:r>
              <w:rPr>
                <w:color w:val="105C84"/>
                <w:spacing w:val="-11"/>
                <w:sz w:val="18"/>
              </w:rPr>
              <w:t> </w:t>
            </w:r>
            <w:r>
              <w:rPr>
                <w:color w:val="105C84"/>
                <w:spacing w:val="-2"/>
                <w:sz w:val="18"/>
              </w:rPr>
              <w:t>York</w:t>
            </w:r>
            <w:r>
              <w:rPr>
                <w:color w:val="105C84"/>
                <w:spacing w:val="-10"/>
                <w:sz w:val="18"/>
              </w:rPr>
              <w:t> </w:t>
            </w:r>
            <w:r>
              <w:rPr>
                <w:color w:val="105C84"/>
                <w:spacing w:val="-2"/>
                <w:sz w:val="18"/>
              </w:rPr>
              <w:t>State’s </w:t>
            </w:r>
            <w:r>
              <w:rPr>
                <w:color w:val="105C84"/>
                <w:sz w:val="18"/>
              </w:rPr>
              <w:t>Opportunity</w:t>
            </w:r>
            <w:r>
              <w:rPr>
                <w:color w:val="105C84"/>
                <w:spacing w:val="2"/>
                <w:sz w:val="18"/>
              </w:rPr>
              <w:t> </w:t>
            </w:r>
            <w:r>
              <w:rPr>
                <w:color w:val="105C84"/>
                <w:sz w:val="18"/>
              </w:rPr>
              <w:t>Index</w:t>
            </w:r>
            <w:r>
              <w:rPr>
                <w:color w:val="105C84"/>
                <w:spacing w:val="2"/>
                <w:sz w:val="18"/>
              </w:rPr>
              <w:t> </w:t>
            </w:r>
            <w:r>
              <w:rPr>
                <w:color w:val="105C84"/>
                <w:sz w:val="18"/>
              </w:rPr>
              <w:t>Score</w:t>
            </w:r>
            <w:r>
              <w:rPr>
                <w:color w:val="105C84"/>
                <w:spacing w:val="2"/>
                <w:sz w:val="18"/>
              </w:rPr>
              <w:t> </w:t>
            </w:r>
            <w:r>
              <w:rPr>
                <w:color w:val="105C84"/>
                <w:sz w:val="18"/>
              </w:rPr>
              <w:t>by</w:t>
            </w:r>
            <w:r>
              <w:rPr>
                <w:color w:val="105C84"/>
                <w:spacing w:val="2"/>
                <w:sz w:val="18"/>
              </w:rPr>
              <w:t> </w:t>
            </w:r>
            <w:r>
              <w:rPr>
                <w:color w:val="105C84"/>
                <w:spacing w:val="-5"/>
                <w:sz w:val="18"/>
              </w:rPr>
              <w:t>5</w:t>
            </w:r>
            <w:r>
              <w:rPr>
                <w:color w:val="105C84"/>
                <w:spacing w:val="-5"/>
                <w:sz w:val="18"/>
              </w:rPr>
              <w:t>%</w:t>
            </w:r>
          </w:p>
          <w:p>
            <w:pPr>
              <w:pStyle w:val="TableParagraph"/>
              <w:spacing w:line="203" w:lineRule="exact" w:before="97"/>
              <w:ind w:left="84"/>
              <w:rPr>
                <w:sz w:val="18"/>
              </w:rPr>
            </w:pPr>
            <w:r>
              <w:rPr>
                <w:color w:val="105C84"/>
                <w:spacing w:val="-2"/>
                <w:sz w:val="18"/>
              </w:rPr>
              <w:t>Target:</w:t>
            </w:r>
            <w:r>
              <w:rPr>
                <w:color w:val="105C84"/>
                <w:spacing w:val="-11"/>
                <w:sz w:val="18"/>
              </w:rPr>
              <w:t> </w:t>
            </w:r>
            <w:r>
              <w:rPr>
                <w:color w:val="105C84"/>
                <w:spacing w:val="-2"/>
                <w:sz w:val="18"/>
              </w:rPr>
              <w:t>59.2/100</w:t>
            </w:r>
            <w:r>
              <w:rPr>
                <w:color w:val="105C84"/>
                <w:spacing w:val="27"/>
                <w:sz w:val="18"/>
              </w:rPr>
              <w:t> </w:t>
            </w:r>
            <w:r>
              <w:rPr>
                <w:color w:val="105C84"/>
                <w:spacing w:val="-2"/>
                <w:sz w:val="18"/>
              </w:rPr>
              <w:t>Baseline</w:t>
            </w:r>
          </w:p>
          <w:p>
            <w:pPr>
              <w:pStyle w:val="TableParagraph"/>
              <w:spacing w:line="203" w:lineRule="exact"/>
              <w:ind w:left="84"/>
              <w:rPr>
                <w:sz w:val="18"/>
              </w:rPr>
            </w:pPr>
            <w:r>
              <w:rPr>
                <w:color w:val="105C84"/>
                <w:spacing w:val="-4"/>
                <w:sz w:val="18"/>
              </w:rPr>
              <w:t>56.4/100</w:t>
            </w:r>
            <w:r>
              <w:rPr>
                <w:color w:val="105C84"/>
                <w:spacing w:val="-1"/>
                <w:sz w:val="18"/>
              </w:rPr>
              <w:t> </w:t>
            </w:r>
            <w:r>
              <w:rPr>
                <w:color w:val="105C84"/>
                <w:spacing w:val="-2"/>
                <w:sz w:val="18"/>
              </w:rPr>
              <w:t>(2017)</w:t>
            </w:r>
          </w:p>
          <w:p>
            <w:pPr>
              <w:pStyle w:val="TableParagraph"/>
              <w:spacing w:line="232" w:lineRule="auto" w:before="101"/>
              <w:ind w:left="84" w:right="576"/>
              <w:rPr>
                <w:sz w:val="18"/>
              </w:rPr>
            </w:pPr>
            <w:r>
              <w:rPr>
                <w:color w:val="105C84"/>
                <w:spacing w:val="-2"/>
                <w:sz w:val="18"/>
              </w:rPr>
              <w:t>Data</w:t>
            </w:r>
            <w:r>
              <w:rPr>
                <w:color w:val="105C84"/>
                <w:spacing w:val="-11"/>
                <w:sz w:val="18"/>
              </w:rPr>
              <w:t> </w:t>
            </w:r>
            <w:r>
              <w:rPr>
                <w:color w:val="105C84"/>
                <w:spacing w:val="-2"/>
                <w:sz w:val="18"/>
              </w:rPr>
              <w:t>Source:</w:t>
            </w:r>
            <w:r>
              <w:rPr>
                <w:color w:val="105C84"/>
                <w:spacing w:val="-10"/>
                <w:sz w:val="18"/>
              </w:rPr>
              <w:t> </w:t>
            </w:r>
            <w:r>
              <w:rPr>
                <w:color w:val="105C84"/>
                <w:spacing w:val="-2"/>
                <w:sz w:val="18"/>
              </w:rPr>
              <w:t>Child</w:t>
            </w:r>
            <w:r>
              <w:rPr>
                <w:color w:val="105C84"/>
                <w:spacing w:val="-11"/>
                <w:sz w:val="18"/>
              </w:rPr>
              <w:t> </w:t>
            </w:r>
            <w:r>
              <w:rPr>
                <w:color w:val="105C84"/>
                <w:spacing w:val="-2"/>
                <w:sz w:val="18"/>
              </w:rPr>
              <w:t>Trends </w:t>
            </w:r>
            <w:r>
              <w:rPr>
                <w:color w:val="105C84"/>
                <w:w w:val="105"/>
                <w:sz w:val="18"/>
              </w:rPr>
              <w:t>&amp; Opportunity Nation,</w:t>
            </w:r>
          </w:p>
          <w:p>
            <w:pPr>
              <w:pStyle w:val="TableParagraph"/>
              <w:spacing w:line="232" w:lineRule="auto"/>
              <w:ind w:left="84" w:right="218"/>
              <w:rPr>
                <w:sz w:val="18"/>
              </w:rPr>
            </w:pPr>
            <w:r>
              <w:rPr>
                <w:color w:val="105C84"/>
                <w:sz w:val="18"/>
              </w:rPr>
              <w:t>Opportunity Index, </w:t>
            </w:r>
            <w:r>
              <w:rPr>
                <w:color w:val="105C84"/>
                <w:sz w:val="18"/>
              </w:rPr>
              <w:t>American Community Survey</w:t>
            </w:r>
          </w:p>
        </w:tc>
        <w:tc>
          <w:tcPr>
            <w:tcW w:w="1267" w:type="dxa"/>
            <w:vMerge w:val="restart"/>
            <w:tcBorders>
              <w:left w:val="single" w:sz="4" w:space="0" w:color="BCBEC0"/>
              <w:right w:val="single" w:sz="4" w:space="0" w:color="BCBEC0"/>
            </w:tcBorders>
          </w:tcPr>
          <w:p>
            <w:pPr>
              <w:pStyle w:val="TableParagraph"/>
              <w:rPr>
                <w:rFonts w:ascii="Times New Roman"/>
                <w:sz w:val="18"/>
              </w:rPr>
            </w:pPr>
          </w:p>
        </w:tc>
        <w:tc>
          <w:tcPr>
            <w:tcW w:w="2861" w:type="dxa"/>
            <w:vMerge w:val="restart"/>
            <w:tcBorders>
              <w:left w:val="single" w:sz="4" w:space="0" w:color="BCBEC0"/>
              <w:right w:val="nil"/>
            </w:tcBorders>
          </w:tcPr>
          <w:p>
            <w:pPr>
              <w:pStyle w:val="TableParagraph"/>
              <w:spacing w:line="232" w:lineRule="auto" w:before="111"/>
              <w:ind w:left="84" w:right="1184"/>
              <w:rPr>
                <w:sz w:val="18"/>
              </w:rPr>
            </w:pPr>
            <w:r>
              <w:rPr>
                <w:color w:val="105C84"/>
                <w:sz w:val="18"/>
              </w:rPr>
              <w:t>1.1.3 Create and sustain inclusive, healthy public spaces: Ensure space for physical activity, food access,</w:t>
            </w:r>
            <w:r>
              <w:rPr>
                <w:color w:val="105C84"/>
                <w:spacing w:val="-4"/>
                <w:sz w:val="18"/>
              </w:rPr>
              <w:t> </w:t>
            </w:r>
            <w:r>
              <w:rPr>
                <w:color w:val="105C84"/>
                <w:sz w:val="18"/>
              </w:rPr>
              <w:t>sleep;</w:t>
            </w:r>
            <w:r>
              <w:rPr>
                <w:color w:val="105C84"/>
                <w:spacing w:val="-4"/>
                <w:sz w:val="18"/>
              </w:rPr>
              <w:t> </w:t>
            </w:r>
            <w:r>
              <w:rPr>
                <w:color w:val="105C84"/>
                <w:sz w:val="18"/>
              </w:rPr>
              <w:t>civic and community </w:t>
            </w:r>
            <w:r>
              <w:rPr>
                <w:color w:val="105C84"/>
                <w:spacing w:val="-2"/>
                <w:sz w:val="18"/>
              </w:rPr>
              <w:t>engagement</w:t>
            </w:r>
            <w:r>
              <w:rPr>
                <w:color w:val="105C84"/>
                <w:spacing w:val="-11"/>
                <w:sz w:val="18"/>
              </w:rPr>
              <w:t> </w:t>
            </w:r>
            <w:r>
              <w:rPr>
                <w:color w:val="105C84"/>
                <w:spacing w:val="-2"/>
                <w:sz w:val="18"/>
              </w:rPr>
              <w:t>acros</w:t>
            </w:r>
            <w:r>
              <w:rPr>
                <w:color w:val="105C84"/>
                <w:spacing w:val="-2"/>
                <w:sz w:val="18"/>
              </w:rPr>
              <w:t>s</w:t>
            </w:r>
            <w:r>
              <w:rPr>
                <w:color w:val="105C84"/>
                <w:spacing w:val="-2"/>
                <w:sz w:val="18"/>
              </w:rPr>
              <w:t> </w:t>
            </w:r>
            <w:r>
              <w:rPr>
                <w:color w:val="105C84"/>
                <w:sz w:val="18"/>
              </w:rPr>
              <w:t>the lifespan</w:t>
            </w:r>
          </w:p>
          <w:p>
            <w:pPr>
              <w:pStyle w:val="TableParagraph"/>
              <w:spacing w:before="90"/>
              <w:ind w:left="84"/>
              <w:rPr>
                <w:sz w:val="18"/>
              </w:rPr>
            </w:pPr>
            <w:r>
              <w:rPr>
                <w:color w:val="105C84"/>
                <w:spacing w:val="-2"/>
                <w:sz w:val="18"/>
              </w:rPr>
              <w:t>Evidence</w:t>
            </w:r>
            <w:r>
              <w:rPr>
                <w:color w:val="105C84"/>
                <w:spacing w:val="-3"/>
                <w:sz w:val="18"/>
              </w:rPr>
              <w:t> </w:t>
            </w:r>
            <w:r>
              <w:rPr>
                <w:color w:val="105C84"/>
                <w:spacing w:val="-2"/>
                <w:sz w:val="18"/>
              </w:rPr>
              <w:t>base:</w:t>
            </w:r>
          </w:p>
          <w:p>
            <w:pPr>
              <w:pStyle w:val="TableParagraph"/>
              <w:spacing w:line="232" w:lineRule="auto" w:before="102"/>
              <w:ind w:left="84" w:right="1184"/>
              <w:rPr>
                <w:sz w:val="18"/>
              </w:rPr>
            </w:pPr>
            <w:r>
              <w:rPr>
                <w:color w:val="105C84"/>
                <w:sz w:val="18"/>
              </w:rPr>
              <w:t>Oxford Brookes University. William K and Green S. </w:t>
            </w:r>
            <w:r>
              <w:rPr>
                <w:color w:val="105C84"/>
                <w:spacing w:val="-2"/>
                <w:sz w:val="18"/>
              </w:rPr>
              <w:t>Literature</w:t>
            </w:r>
            <w:r>
              <w:rPr>
                <w:color w:val="105C84"/>
                <w:spacing w:val="-13"/>
                <w:sz w:val="18"/>
              </w:rPr>
              <w:t> </w:t>
            </w:r>
            <w:r>
              <w:rPr>
                <w:color w:val="105C84"/>
                <w:spacing w:val="-2"/>
                <w:sz w:val="18"/>
              </w:rPr>
              <w:t>Review</w:t>
            </w:r>
            <w:r>
              <w:rPr>
                <w:color w:val="105C84"/>
                <w:spacing w:val="-10"/>
                <w:sz w:val="18"/>
              </w:rPr>
              <w:t> </w:t>
            </w:r>
            <w:r>
              <w:rPr>
                <w:color w:val="105C84"/>
                <w:spacing w:val="-2"/>
                <w:sz w:val="18"/>
              </w:rPr>
              <w:t>of </w:t>
            </w:r>
            <w:r>
              <w:rPr>
                <w:color w:val="105C84"/>
                <w:sz w:val="18"/>
              </w:rPr>
              <w:t>Public Space and Local</w:t>
            </w:r>
            <w:r>
              <w:rPr>
                <w:color w:val="105C84"/>
                <w:spacing w:val="-13"/>
                <w:sz w:val="18"/>
              </w:rPr>
              <w:t> </w:t>
            </w:r>
            <w:r>
              <w:rPr>
                <w:color w:val="105C84"/>
                <w:sz w:val="18"/>
              </w:rPr>
              <w:t>Environments for the Cross-Cutting Review</w:t>
            </w:r>
          </w:p>
        </w:tc>
        <w:tc>
          <w:tcPr>
            <w:tcW w:w="3359" w:type="dxa"/>
            <w:vMerge w:val="restart"/>
            <w:tcBorders>
              <w:left w:val="nil"/>
              <w:right w:val="single" w:sz="4" w:space="0" w:color="BCBEC0"/>
            </w:tcBorders>
          </w:tcPr>
          <w:p>
            <w:pPr>
              <w:pStyle w:val="TableParagraph"/>
              <w:numPr>
                <w:ilvl w:val="0"/>
                <w:numId w:val="65"/>
              </w:numPr>
              <w:tabs>
                <w:tab w:pos="1361" w:val="left" w:leader="none"/>
              </w:tabs>
              <w:spacing w:line="232" w:lineRule="auto" w:before="111" w:after="0"/>
              <w:ind w:left="1175" w:right="143" w:firstLine="0"/>
              <w:jc w:val="left"/>
              <w:rPr>
                <w:sz w:val="18"/>
              </w:rPr>
            </w:pPr>
            <w:r>
              <w:rPr>
                <w:color w:val="105C84"/>
                <w:sz w:val="18"/>
              </w:rPr>
              <w:t># of community </w:t>
            </w:r>
            <w:r>
              <w:rPr>
                <w:color w:val="105C84"/>
                <w:spacing w:val="-2"/>
                <w:sz w:val="18"/>
              </w:rPr>
              <w:t>conversations addressing </w:t>
            </w:r>
            <w:r>
              <w:rPr>
                <w:color w:val="105C84"/>
                <w:sz w:val="18"/>
              </w:rPr>
              <w:t>building community-</w:t>
            </w:r>
            <w:r>
              <w:rPr>
                <w:color w:val="105C84"/>
                <w:sz w:val="18"/>
              </w:rPr>
              <w:t>wide well-being and resilience across the lifespan.</w:t>
            </w:r>
          </w:p>
          <w:p>
            <w:pPr>
              <w:pStyle w:val="TableParagraph"/>
              <w:numPr>
                <w:ilvl w:val="0"/>
                <w:numId w:val="65"/>
              </w:numPr>
              <w:tabs>
                <w:tab w:pos="1361" w:val="left" w:leader="none"/>
              </w:tabs>
              <w:spacing w:line="232" w:lineRule="auto" w:before="99" w:after="0"/>
              <w:ind w:left="1175" w:right="283" w:firstLine="0"/>
              <w:jc w:val="left"/>
              <w:rPr>
                <w:sz w:val="18"/>
              </w:rPr>
            </w:pPr>
            <w:r>
              <w:rPr>
                <w:color w:val="105C84"/>
                <w:sz w:val="18"/>
              </w:rPr>
              <w:t>Community partners enlisted,</w:t>
            </w:r>
            <w:r>
              <w:rPr>
                <w:color w:val="105C84"/>
                <w:spacing w:val="-8"/>
                <w:sz w:val="18"/>
              </w:rPr>
              <w:t> </w:t>
            </w:r>
            <w:r>
              <w:rPr>
                <w:color w:val="105C84"/>
                <w:sz w:val="18"/>
              </w:rPr>
              <w:t>including</w:t>
            </w:r>
            <w:r>
              <w:rPr>
                <w:color w:val="105C84"/>
                <w:spacing w:val="-8"/>
                <w:sz w:val="18"/>
              </w:rPr>
              <w:t> </w:t>
            </w:r>
            <w:r>
              <w:rPr>
                <w:color w:val="105C84"/>
                <w:sz w:val="18"/>
              </w:rPr>
              <w:t>roles (informative, advisory, transactional, decision-</w:t>
            </w:r>
            <w:r>
              <w:rPr>
                <w:color w:val="105C84"/>
                <w:spacing w:val="-2"/>
                <w:sz w:val="18"/>
              </w:rPr>
              <w:t>making).</w:t>
            </w:r>
          </w:p>
        </w:tc>
        <w:tc>
          <w:tcPr>
            <w:tcW w:w="2390" w:type="dxa"/>
            <w:tcBorders>
              <w:left w:val="single" w:sz="4" w:space="0" w:color="BCBEC0"/>
              <w:right w:val="single" w:sz="4" w:space="0" w:color="BCBEC0"/>
            </w:tcBorders>
          </w:tcPr>
          <w:p>
            <w:pPr>
              <w:pStyle w:val="TableParagraph"/>
              <w:spacing w:line="352" w:lineRule="auto" w:before="105"/>
              <w:ind w:left="84" w:right="1399"/>
              <w:rPr>
                <w:sz w:val="18"/>
              </w:rPr>
            </w:pPr>
            <w:r>
              <w:rPr>
                <w:color w:val="105C84"/>
                <w:spacing w:val="-4"/>
                <w:sz w:val="18"/>
              </w:rPr>
              <w:t>OCPH </w:t>
            </w:r>
            <w:r>
              <w:rPr>
                <w:color w:val="105C84"/>
                <w:spacing w:val="-12"/>
                <w:sz w:val="18"/>
              </w:rPr>
              <w:t>S2AY</w:t>
            </w:r>
            <w:r>
              <w:rPr>
                <w:color w:val="105C84"/>
                <w:spacing w:val="-4"/>
                <w:sz w:val="18"/>
              </w:rPr>
              <w:t> </w:t>
            </w:r>
            <w:r>
              <w:rPr>
                <w:color w:val="105C84"/>
                <w:spacing w:val="-12"/>
                <w:sz w:val="18"/>
              </w:rPr>
              <w:t>RHN</w:t>
            </w:r>
          </w:p>
        </w:tc>
        <w:tc>
          <w:tcPr>
            <w:tcW w:w="3196" w:type="dxa"/>
            <w:tcBorders>
              <w:left w:val="single" w:sz="4" w:space="0" w:color="BCBEC0"/>
              <w:right w:val="single" w:sz="4" w:space="0" w:color="BCBEC0"/>
            </w:tcBorders>
          </w:tcPr>
          <w:p>
            <w:pPr>
              <w:pStyle w:val="TableParagraph"/>
              <w:spacing w:line="232" w:lineRule="auto" w:before="110"/>
              <w:ind w:left="84" w:right="330"/>
              <w:rPr>
                <w:sz w:val="18"/>
              </w:rPr>
            </w:pPr>
            <w:r>
              <w:rPr>
                <w:color w:val="105C84"/>
                <w:sz w:val="18"/>
              </w:rPr>
              <w:t>OCPH: Begin community conversation about strengthening opportunities to build well-being </w:t>
            </w:r>
            <w:r>
              <w:rPr>
                <w:color w:val="105C84"/>
                <w:sz w:val="18"/>
              </w:rPr>
              <w:t>&amp; </w:t>
            </w:r>
            <w:r>
              <w:rPr>
                <w:color w:val="105C84"/>
                <w:spacing w:val="-2"/>
                <w:sz w:val="18"/>
              </w:rPr>
              <w:t>resilience.</w:t>
            </w:r>
          </w:p>
          <w:p>
            <w:pPr>
              <w:pStyle w:val="TableParagraph"/>
              <w:spacing w:line="232" w:lineRule="auto" w:before="101"/>
              <w:ind w:left="84"/>
              <w:rPr>
                <w:sz w:val="18"/>
              </w:rPr>
            </w:pPr>
            <w:r>
              <w:rPr>
                <w:color w:val="105C84"/>
                <w:sz w:val="18"/>
              </w:rPr>
              <w:t>S2AY</w:t>
            </w:r>
            <w:r>
              <w:rPr>
                <w:color w:val="105C84"/>
                <w:spacing w:val="-15"/>
                <w:sz w:val="18"/>
              </w:rPr>
              <w:t> </w:t>
            </w:r>
            <w:r>
              <w:rPr>
                <w:color w:val="105C84"/>
                <w:sz w:val="18"/>
              </w:rPr>
              <w:t>RHN:</w:t>
            </w:r>
            <w:r>
              <w:rPr>
                <w:color w:val="105C84"/>
                <w:spacing w:val="-12"/>
                <w:sz w:val="18"/>
              </w:rPr>
              <w:t> </w:t>
            </w:r>
            <w:r>
              <w:rPr>
                <w:color w:val="105C84"/>
                <w:sz w:val="18"/>
              </w:rPr>
              <w:t>Grant</w:t>
            </w:r>
            <w:r>
              <w:rPr>
                <w:color w:val="105C84"/>
                <w:spacing w:val="-13"/>
                <w:sz w:val="18"/>
              </w:rPr>
              <w:t> </w:t>
            </w:r>
            <w:r>
              <w:rPr>
                <w:color w:val="105C84"/>
                <w:sz w:val="18"/>
              </w:rPr>
              <w:t>opportunities</w:t>
            </w:r>
            <w:r>
              <w:rPr>
                <w:color w:val="105C84"/>
                <w:spacing w:val="-12"/>
                <w:sz w:val="18"/>
              </w:rPr>
              <w:t> </w:t>
            </w:r>
            <w:r>
              <w:rPr>
                <w:color w:val="105C84"/>
                <w:sz w:val="18"/>
              </w:rPr>
              <w:t>to </w:t>
            </w:r>
            <w:r>
              <w:rPr>
                <w:color w:val="105C84"/>
                <w:w w:val="105"/>
                <w:sz w:val="18"/>
              </w:rPr>
              <w:t>support community work</w:t>
            </w:r>
          </w:p>
        </w:tc>
        <w:tc>
          <w:tcPr>
            <w:tcW w:w="2097" w:type="dxa"/>
            <w:tcBorders>
              <w:left w:val="single" w:sz="4" w:space="0" w:color="BCBEC0"/>
              <w:right w:val="single" w:sz="4" w:space="0" w:color="BCBEC0"/>
            </w:tcBorders>
          </w:tcPr>
          <w:p>
            <w:pPr>
              <w:pStyle w:val="TableParagraph"/>
              <w:spacing w:line="352" w:lineRule="auto" w:before="105"/>
              <w:ind w:left="84" w:right="624"/>
              <w:rPr>
                <w:sz w:val="18"/>
              </w:rPr>
            </w:pPr>
            <w:r>
              <w:rPr>
                <w:color w:val="105C84"/>
                <w:sz w:val="18"/>
              </w:rPr>
              <w:t>OCPH: TBD </w:t>
            </w:r>
            <w:r>
              <w:rPr>
                <w:color w:val="105C84"/>
                <w:spacing w:val="-10"/>
                <w:sz w:val="18"/>
              </w:rPr>
              <w:t>S2AY</w:t>
            </w:r>
            <w:r>
              <w:rPr>
                <w:color w:val="105C84"/>
                <w:spacing w:val="-4"/>
                <w:sz w:val="18"/>
              </w:rPr>
              <w:t> </w:t>
            </w:r>
            <w:r>
              <w:rPr>
                <w:color w:val="105C84"/>
                <w:spacing w:val="-10"/>
                <w:sz w:val="18"/>
              </w:rPr>
              <w:t>RHN:</w:t>
            </w:r>
            <w:r>
              <w:rPr>
                <w:color w:val="105C84"/>
                <w:spacing w:val="-4"/>
                <w:sz w:val="18"/>
              </w:rPr>
              <w:t> </w:t>
            </w:r>
            <w:r>
              <w:rPr>
                <w:color w:val="105C84"/>
                <w:spacing w:val="-10"/>
                <w:sz w:val="18"/>
              </w:rPr>
              <w:t>1</w:t>
            </w:r>
            <w:r>
              <w:rPr>
                <w:color w:val="105C84"/>
                <w:spacing w:val="-4"/>
                <w:sz w:val="18"/>
              </w:rPr>
              <w:t> </w:t>
            </w:r>
            <w:r>
              <w:rPr>
                <w:color w:val="105C84"/>
                <w:spacing w:val="-10"/>
                <w:sz w:val="18"/>
              </w:rPr>
              <w:t>FTE</w:t>
            </w:r>
          </w:p>
        </w:tc>
      </w:tr>
      <w:tr>
        <w:trPr>
          <w:trHeight w:val="386" w:hRule="exact"/>
        </w:trPr>
        <w:tc>
          <w:tcPr>
            <w:tcW w:w="1353" w:type="dxa"/>
            <w:vMerge/>
            <w:tcBorders>
              <w:top w:val="nil"/>
              <w:left w:val="single" w:sz="4" w:space="0" w:color="BCBEC0"/>
              <w:bottom w:val="nil"/>
              <w:right w:val="single" w:sz="4" w:space="0" w:color="BCBEC0"/>
            </w:tcBorders>
            <w:shd w:val="clear" w:color="auto" w:fill="E6E7E8"/>
          </w:tcPr>
          <w:p>
            <w:pPr>
              <w:rPr>
                <w:sz w:val="2"/>
                <w:szCs w:val="2"/>
              </w:rPr>
            </w:pPr>
          </w:p>
        </w:tc>
        <w:tc>
          <w:tcPr>
            <w:tcW w:w="1289" w:type="dxa"/>
            <w:vMerge/>
            <w:tcBorders>
              <w:top w:val="nil"/>
              <w:left w:val="single" w:sz="4" w:space="0" w:color="BCBEC0"/>
              <w:bottom w:val="nil"/>
              <w:right w:val="single" w:sz="4" w:space="0" w:color="BCBEC0"/>
            </w:tcBorders>
          </w:tcPr>
          <w:p>
            <w:pPr>
              <w:rPr>
                <w:sz w:val="2"/>
                <w:szCs w:val="2"/>
              </w:rPr>
            </w:pPr>
          </w:p>
        </w:tc>
        <w:tc>
          <w:tcPr>
            <w:tcW w:w="1591" w:type="dxa"/>
            <w:vMerge/>
            <w:tcBorders>
              <w:top w:val="nil"/>
              <w:left w:val="single" w:sz="4" w:space="0" w:color="BCBEC0"/>
              <w:bottom w:val="nil"/>
              <w:right w:val="single" w:sz="4" w:space="0" w:color="BCBEC0"/>
            </w:tcBorders>
          </w:tcPr>
          <w:p>
            <w:pPr>
              <w:rPr>
                <w:sz w:val="2"/>
                <w:szCs w:val="2"/>
              </w:rPr>
            </w:pPr>
          </w:p>
        </w:tc>
        <w:tc>
          <w:tcPr>
            <w:tcW w:w="2822" w:type="dxa"/>
            <w:vMerge/>
            <w:tcBorders>
              <w:top w:val="nil"/>
              <w:left w:val="single" w:sz="4" w:space="0" w:color="BCBEC0"/>
              <w:bottom w:val="nil"/>
              <w:right w:val="single" w:sz="4" w:space="0" w:color="BCBEC0"/>
            </w:tcBorders>
          </w:tcPr>
          <w:p>
            <w:pPr>
              <w:rPr>
                <w:sz w:val="2"/>
                <w:szCs w:val="2"/>
              </w:rPr>
            </w:pPr>
          </w:p>
        </w:tc>
        <w:tc>
          <w:tcPr>
            <w:tcW w:w="1267" w:type="dxa"/>
            <w:vMerge/>
            <w:tcBorders>
              <w:top w:val="nil"/>
              <w:left w:val="single" w:sz="4" w:space="0" w:color="BCBEC0"/>
              <w:right w:val="single" w:sz="4" w:space="0" w:color="BCBEC0"/>
            </w:tcBorders>
          </w:tcPr>
          <w:p>
            <w:pPr>
              <w:rPr>
                <w:sz w:val="2"/>
                <w:szCs w:val="2"/>
              </w:rPr>
            </w:pPr>
          </w:p>
        </w:tc>
        <w:tc>
          <w:tcPr>
            <w:tcW w:w="2861" w:type="dxa"/>
            <w:vMerge/>
            <w:tcBorders>
              <w:top w:val="nil"/>
              <w:left w:val="single" w:sz="4" w:space="0" w:color="BCBEC0"/>
              <w:right w:val="nil"/>
            </w:tcBorders>
          </w:tcPr>
          <w:p>
            <w:pPr>
              <w:rPr>
                <w:sz w:val="2"/>
                <w:szCs w:val="2"/>
              </w:rPr>
            </w:pPr>
          </w:p>
        </w:tc>
        <w:tc>
          <w:tcPr>
            <w:tcW w:w="3359" w:type="dxa"/>
            <w:vMerge/>
            <w:tcBorders>
              <w:top w:val="nil"/>
              <w:left w:val="nil"/>
              <w:right w:val="single" w:sz="4" w:space="0" w:color="BCBEC0"/>
            </w:tcBorders>
          </w:tcPr>
          <w:p>
            <w:pPr>
              <w:rPr>
                <w:sz w:val="2"/>
                <w:szCs w:val="2"/>
              </w:rPr>
            </w:pPr>
          </w:p>
        </w:tc>
        <w:tc>
          <w:tcPr>
            <w:tcW w:w="7683" w:type="dxa"/>
            <w:gridSpan w:val="3"/>
            <w:tcBorders>
              <w:left w:val="single" w:sz="4" w:space="0" w:color="BCBEC0"/>
              <w:right w:val="single" w:sz="4" w:space="0" w:color="BCBEC0"/>
            </w:tcBorders>
          </w:tcPr>
          <w:p>
            <w:pPr>
              <w:pStyle w:val="TableParagraph"/>
              <w:spacing w:before="105"/>
              <w:jc w:val="center"/>
              <w:rPr>
                <w:sz w:val="18"/>
              </w:rPr>
            </w:pPr>
            <w:r>
              <w:rPr>
                <w:color w:val="105C84"/>
                <w:sz w:val="18"/>
              </w:rPr>
              <w:t>Community</w:t>
            </w:r>
            <w:r>
              <w:rPr>
                <w:color w:val="105C84"/>
                <w:spacing w:val="-5"/>
                <w:sz w:val="18"/>
              </w:rPr>
              <w:t> </w:t>
            </w:r>
            <w:r>
              <w:rPr>
                <w:color w:val="105C84"/>
                <w:sz w:val="18"/>
              </w:rPr>
              <w:t>Partners</w:t>
            </w:r>
            <w:r>
              <w:rPr>
                <w:color w:val="105C84"/>
                <w:spacing w:val="-5"/>
                <w:sz w:val="18"/>
              </w:rPr>
              <w:t> </w:t>
            </w:r>
            <w:r>
              <w:rPr>
                <w:color w:val="105C84"/>
                <w:sz w:val="18"/>
              </w:rPr>
              <w:t>to</w:t>
            </w:r>
            <w:r>
              <w:rPr>
                <w:color w:val="105C84"/>
                <w:spacing w:val="-4"/>
                <w:sz w:val="18"/>
              </w:rPr>
              <w:t> </w:t>
            </w:r>
            <w:r>
              <w:rPr>
                <w:color w:val="105C84"/>
                <w:spacing w:val="-2"/>
                <w:sz w:val="18"/>
              </w:rPr>
              <w:t>Consider</w:t>
            </w:r>
          </w:p>
        </w:tc>
      </w:tr>
      <w:tr>
        <w:trPr>
          <w:trHeight w:val="107" w:hRule="exact"/>
        </w:trPr>
        <w:tc>
          <w:tcPr>
            <w:tcW w:w="1353" w:type="dxa"/>
            <w:vMerge/>
            <w:tcBorders>
              <w:top w:val="nil"/>
              <w:left w:val="single" w:sz="4" w:space="0" w:color="BCBEC0"/>
              <w:bottom w:val="nil"/>
              <w:right w:val="single" w:sz="4" w:space="0" w:color="BCBEC0"/>
            </w:tcBorders>
            <w:shd w:val="clear" w:color="auto" w:fill="E6E7E8"/>
          </w:tcPr>
          <w:p>
            <w:pPr>
              <w:rPr>
                <w:sz w:val="2"/>
                <w:szCs w:val="2"/>
              </w:rPr>
            </w:pPr>
          </w:p>
        </w:tc>
        <w:tc>
          <w:tcPr>
            <w:tcW w:w="1289" w:type="dxa"/>
            <w:vMerge/>
            <w:tcBorders>
              <w:top w:val="nil"/>
              <w:left w:val="single" w:sz="4" w:space="0" w:color="BCBEC0"/>
              <w:bottom w:val="nil"/>
              <w:right w:val="single" w:sz="4" w:space="0" w:color="BCBEC0"/>
            </w:tcBorders>
          </w:tcPr>
          <w:p>
            <w:pPr>
              <w:rPr>
                <w:sz w:val="2"/>
                <w:szCs w:val="2"/>
              </w:rPr>
            </w:pPr>
          </w:p>
        </w:tc>
        <w:tc>
          <w:tcPr>
            <w:tcW w:w="1591" w:type="dxa"/>
            <w:vMerge/>
            <w:tcBorders>
              <w:top w:val="nil"/>
              <w:left w:val="single" w:sz="4" w:space="0" w:color="BCBEC0"/>
              <w:bottom w:val="nil"/>
              <w:right w:val="single" w:sz="4" w:space="0" w:color="BCBEC0"/>
            </w:tcBorders>
          </w:tcPr>
          <w:p>
            <w:pPr>
              <w:rPr>
                <w:sz w:val="2"/>
                <w:szCs w:val="2"/>
              </w:rPr>
            </w:pPr>
          </w:p>
        </w:tc>
        <w:tc>
          <w:tcPr>
            <w:tcW w:w="2822" w:type="dxa"/>
            <w:vMerge/>
            <w:tcBorders>
              <w:top w:val="nil"/>
              <w:left w:val="single" w:sz="4" w:space="0" w:color="BCBEC0"/>
              <w:bottom w:val="nil"/>
              <w:right w:val="single" w:sz="4" w:space="0" w:color="BCBEC0"/>
            </w:tcBorders>
          </w:tcPr>
          <w:p>
            <w:pPr>
              <w:rPr>
                <w:sz w:val="2"/>
                <w:szCs w:val="2"/>
              </w:rPr>
            </w:pPr>
          </w:p>
        </w:tc>
        <w:tc>
          <w:tcPr>
            <w:tcW w:w="1267" w:type="dxa"/>
            <w:vMerge/>
            <w:tcBorders>
              <w:top w:val="nil"/>
              <w:left w:val="single" w:sz="4" w:space="0" w:color="BCBEC0"/>
              <w:right w:val="single" w:sz="4" w:space="0" w:color="BCBEC0"/>
            </w:tcBorders>
          </w:tcPr>
          <w:p>
            <w:pPr>
              <w:rPr>
                <w:sz w:val="2"/>
                <w:szCs w:val="2"/>
              </w:rPr>
            </w:pPr>
          </w:p>
        </w:tc>
        <w:tc>
          <w:tcPr>
            <w:tcW w:w="2861" w:type="dxa"/>
            <w:vMerge/>
            <w:tcBorders>
              <w:top w:val="nil"/>
              <w:left w:val="single" w:sz="4" w:space="0" w:color="BCBEC0"/>
              <w:right w:val="nil"/>
            </w:tcBorders>
          </w:tcPr>
          <w:p>
            <w:pPr>
              <w:rPr>
                <w:sz w:val="2"/>
                <w:szCs w:val="2"/>
              </w:rPr>
            </w:pPr>
          </w:p>
        </w:tc>
        <w:tc>
          <w:tcPr>
            <w:tcW w:w="3359" w:type="dxa"/>
            <w:vMerge/>
            <w:tcBorders>
              <w:top w:val="nil"/>
              <w:left w:val="nil"/>
              <w:right w:val="single" w:sz="4" w:space="0" w:color="BCBEC0"/>
            </w:tcBorders>
          </w:tcPr>
          <w:p>
            <w:pPr>
              <w:rPr>
                <w:sz w:val="2"/>
                <w:szCs w:val="2"/>
              </w:rPr>
            </w:pPr>
          </w:p>
        </w:tc>
        <w:tc>
          <w:tcPr>
            <w:tcW w:w="2390" w:type="dxa"/>
            <w:vMerge w:val="restart"/>
            <w:tcBorders>
              <w:left w:val="single" w:sz="4" w:space="0" w:color="BCBEC0"/>
              <w:right w:val="single" w:sz="4" w:space="0" w:color="BCBEC0"/>
            </w:tcBorders>
          </w:tcPr>
          <w:p>
            <w:pPr>
              <w:pStyle w:val="TableParagraph"/>
              <w:spacing w:line="352" w:lineRule="auto" w:before="105"/>
              <w:ind w:left="84" w:right="1104"/>
              <w:rPr>
                <w:sz w:val="18"/>
              </w:rPr>
            </w:pPr>
            <w:r>
              <w:rPr>
                <w:color w:val="105C84"/>
                <w:spacing w:val="-2"/>
                <w:sz w:val="18"/>
              </w:rPr>
              <w:t>Schools Municipalities Legislators Churches </w:t>
            </w:r>
            <w:r>
              <w:rPr>
                <w:color w:val="105C84"/>
                <w:sz w:val="18"/>
              </w:rPr>
              <w:t>Mental</w:t>
            </w:r>
            <w:r>
              <w:rPr>
                <w:color w:val="105C84"/>
                <w:spacing w:val="-13"/>
                <w:sz w:val="18"/>
              </w:rPr>
              <w:t> </w:t>
            </w:r>
            <w:r>
              <w:rPr>
                <w:color w:val="105C84"/>
                <w:sz w:val="18"/>
              </w:rPr>
              <w:t>Health</w:t>
            </w:r>
          </w:p>
          <w:p>
            <w:pPr>
              <w:pStyle w:val="TableParagraph"/>
              <w:spacing w:line="352" w:lineRule="auto"/>
              <w:ind w:left="84" w:right="385"/>
              <w:rPr>
                <w:sz w:val="18"/>
              </w:rPr>
            </w:pPr>
            <w:r>
              <w:rPr>
                <w:color w:val="105C84"/>
                <w:spacing w:val="-2"/>
                <w:sz w:val="18"/>
              </w:rPr>
              <w:t>Service</w:t>
            </w:r>
            <w:r>
              <w:rPr>
                <w:color w:val="105C84"/>
                <w:spacing w:val="-11"/>
                <w:sz w:val="18"/>
              </w:rPr>
              <w:t> </w:t>
            </w:r>
            <w:r>
              <w:rPr>
                <w:color w:val="105C84"/>
                <w:spacing w:val="-2"/>
                <w:sz w:val="18"/>
              </w:rPr>
              <w:t>organizations YMCA’s,</w:t>
            </w:r>
          </w:p>
          <w:p>
            <w:pPr>
              <w:pStyle w:val="TableParagraph"/>
              <w:spacing w:line="352" w:lineRule="auto"/>
              <w:ind w:left="84" w:right="1104"/>
              <w:rPr>
                <w:sz w:val="18"/>
              </w:rPr>
            </w:pPr>
            <w:r>
              <w:rPr>
                <w:color w:val="105C84"/>
                <w:spacing w:val="-2"/>
                <w:sz w:val="18"/>
              </w:rPr>
              <w:t>Health</w:t>
            </w:r>
            <w:r>
              <w:rPr>
                <w:color w:val="105C84"/>
                <w:spacing w:val="-11"/>
                <w:sz w:val="18"/>
              </w:rPr>
              <w:t> </w:t>
            </w:r>
            <w:r>
              <w:rPr>
                <w:color w:val="105C84"/>
                <w:spacing w:val="-2"/>
                <w:sz w:val="18"/>
              </w:rPr>
              <w:t>insurers Employers</w:t>
            </w:r>
          </w:p>
          <w:p>
            <w:pPr>
              <w:pStyle w:val="TableParagraph"/>
              <w:spacing w:line="205" w:lineRule="exact"/>
              <w:ind w:left="84"/>
              <w:rPr>
                <w:sz w:val="18"/>
              </w:rPr>
            </w:pPr>
            <w:r>
              <w:rPr>
                <w:color w:val="105C84"/>
                <w:spacing w:val="-2"/>
                <w:sz w:val="18"/>
              </w:rPr>
              <w:t>Hospitals</w:t>
            </w:r>
          </w:p>
        </w:tc>
        <w:tc>
          <w:tcPr>
            <w:tcW w:w="3196" w:type="dxa"/>
            <w:vMerge w:val="restart"/>
            <w:tcBorders>
              <w:left w:val="single" w:sz="4" w:space="0" w:color="BCBEC0"/>
              <w:right w:val="single" w:sz="4" w:space="0" w:color="BCBEC0"/>
            </w:tcBorders>
          </w:tcPr>
          <w:p>
            <w:pPr>
              <w:pStyle w:val="TableParagraph"/>
              <w:spacing w:line="352" w:lineRule="auto" w:before="105"/>
              <w:ind w:left="84" w:right="1624"/>
              <w:rPr>
                <w:sz w:val="18"/>
              </w:rPr>
            </w:pPr>
            <w:r>
              <w:rPr>
                <w:color w:val="105C84"/>
                <w:sz w:val="18"/>
              </w:rPr>
              <w:t>Food</w:t>
            </w:r>
            <w:r>
              <w:rPr>
                <w:color w:val="105C84"/>
                <w:spacing w:val="-13"/>
                <w:sz w:val="18"/>
              </w:rPr>
              <w:t> </w:t>
            </w:r>
            <w:r>
              <w:rPr>
                <w:color w:val="105C84"/>
                <w:sz w:val="18"/>
              </w:rPr>
              <w:t>pantries Food Justice</w:t>
            </w:r>
          </w:p>
          <w:p>
            <w:pPr>
              <w:pStyle w:val="TableParagraph"/>
              <w:spacing w:line="352" w:lineRule="auto"/>
              <w:ind w:left="84" w:right="1071"/>
              <w:rPr>
                <w:sz w:val="18"/>
              </w:rPr>
            </w:pPr>
            <w:r>
              <w:rPr>
                <w:color w:val="105C84"/>
                <w:sz w:val="18"/>
              </w:rPr>
              <w:t>Department Soc Serv Ontario County Jail </w:t>
            </w:r>
            <w:r>
              <w:rPr>
                <w:color w:val="105C84"/>
                <w:spacing w:val="-4"/>
                <w:sz w:val="18"/>
              </w:rPr>
              <w:t>Regional</w:t>
            </w:r>
            <w:r>
              <w:rPr>
                <w:color w:val="105C84"/>
                <w:spacing w:val="-11"/>
                <w:sz w:val="18"/>
              </w:rPr>
              <w:t> </w:t>
            </w:r>
            <w:r>
              <w:rPr>
                <w:color w:val="105C84"/>
                <w:spacing w:val="-4"/>
                <w:sz w:val="18"/>
              </w:rPr>
              <w:t>Transit</w:t>
            </w:r>
            <w:r>
              <w:rPr>
                <w:color w:val="105C84"/>
                <w:spacing w:val="-8"/>
                <w:sz w:val="18"/>
              </w:rPr>
              <w:t> </w:t>
            </w:r>
            <w:r>
              <w:rPr>
                <w:color w:val="105C84"/>
                <w:spacing w:val="-4"/>
                <w:sz w:val="18"/>
              </w:rPr>
              <w:t>System </w:t>
            </w:r>
            <w:r>
              <w:rPr>
                <w:color w:val="105C84"/>
                <w:sz w:val="18"/>
              </w:rPr>
              <w:t>Office for the Aging </w:t>
            </w:r>
            <w:r>
              <w:rPr>
                <w:color w:val="105C84"/>
                <w:spacing w:val="-2"/>
                <w:sz w:val="18"/>
              </w:rPr>
              <w:t>CBO’s</w:t>
            </w:r>
          </w:p>
          <w:p>
            <w:pPr>
              <w:pStyle w:val="TableParagraph"/>
              <w:spacing w:line="202" w:lineRule="exact"/>
              <w:ind w:left="84"/>
              <w:rPr>
                <w:sz w:val="18"/>
              </w:rPr>
            </w:pPr>
            <w:r>
              <w:rPr>
                <w:color w:val="105C84"/>
                <w:sz w:val="18"/>
              </w:rPr>
              <w:t>NY</w:t>
            </w:r>
            <w:r>
              <w:rPr>
                <w:color w:val="105C84"/>
                <w:spacing w:val="-12"/>
                <w:sz w:val="18"/>
              </w:rPr>
              <w:t> </w:t>
            </w:r>
            <w:r>
              <w:rPr>
                <w:color w:val="105C84"/>
                <w:spacing w:val="-2"/>
                <w:sz w:val="18"/>
              </w:rPr>
              <w:t>Kitchen</w:t>
            </w:r>
          </w:p>
          <w:p>
            <w:pPr>
              <w:pStyle w:val="TableParagraph"/>
              <w:spacing w:line="300" w:lineRule="atLeast" w:before="1"/>
              <w:ind w:left="84" w:right="2171"/>
              <w:rPr>
                <w:sz w:val="18"/>
              </w:rPr>
            </w:pPr>
            <w:r>
              <w:rPr>
                <w:color w:val="105C84"/>
                <w:spacing w:val="-2"/>
                <w:sz w:val="18"/>
              </w:rPr>
              <w:t>Hospitals </w:t>
            </w:r>
            <w:r>
              <w:rPr>
                <w:color w:val="105C84"/>
                <w:spacing w:val="-6"/>
                <w:sz w:val="18"/>
              </w:rPr>
              <w:t>VA</w:t>
            </w:r>
          </w:p>
        </w:tc>
        <w:tc>
          <w:tcPr>
            <w:tcW w:w="2097" w:type="dxa"/>
            <w:vMerge w:val="restart"/>
            <w:tcBorders>
              <w:left w:val="single" w:sz="4" w:space="0" w:color="BCBEC0"/>
              <w:right w:val="single" w:sz="4" w:space="0" w:color="BCBEC0"/>
            </w:tcBorders>
          </w:tcPr>
          <w:p>
            <w:pPr>
              <w:pStyle w:val="TableParagraph"/>
              <w:spacing w:line="352" w:lineRule="auto" w:before="105"/>
              <w:ind w:left="84" w:right="981"/>
              <w:rPr>
                <w:sz w:val="18"/>
              </w:rPr>
            </w:pPr>
            <w:r>
              <w:rPr>
                <w:color w:val="105C84"/>
                <w:spacing w:val="-4"/>
                <w:sz w:val="18"/>
              </w:rPr>
              <w:t>Farm</w:t>
            </w:r>
            <w:r>
              <w:rPr>
                <w:color w:val="105C84"/>
                <w:spacing w:val="-9"/>
                <w:sz w:val="18"/>
              </w:rPr>
              <w:t> </w:t>
            </w:r>
            <w:r>
              <w:rPr>
                <w:color w:val="105C84"/>
                <w:spacing w:val="-4"/>
                <w:sz w:val="18"/>
              </w:rPr>
              <w:t>Bureau CCE</w:t>
            </w:r>
          </w:p>
          <w:p>
            <w:pPr>
              <w:pStyle w:val="TableParagraph"/>
              <w:spacing w:line="232" w:lineRule="auto" w:before="3"/>
              <w:ind w:left="84" w:right="58"/>
              <w:rPr>
                <w:sz w:val="18"/>
              </w:rPr>
            </w:pPr>
            <w:r>
              <w:rPr>
                <w:color w:val="105C84"/>
                <w:sz w:val="18"/>
              </w:rPr>
              <w:t>Ontario</w:t>
            </w:r>
            <w:r>
              <w:rPr>
                <w:color w:val="105C84"/>
                <w:spacing w:val="-10"/>
                <w:sz w:val="18"/>
              </w:rPr>
              <w:t> </w:t>
            </w:r>
            <w:r>
              <w:rPr>
                <w:color w:val="105C84"/>
                <w:sz w:val="18"/>
              </w:rPr>
              <w:t>County </w:t>
            </w:r>
            <w:r>
              <w:rPr>
                <w:color w:val="105C84"/>
                <w:spacing w:val="-2"/>
                <w:sz w:val="18"/>
              </w:rPr>
              <w:t>Pathways</w:t>
            </w:r>
          </w:p>
          <w:p>
            <w:pPr>
              <w:pStyle w:val="TableParagraph"/>
              <w:spacing w:before="97"/>
              <w:ind w:left="84"/>
              <w:rPr>
                <w:sz w:val="18"/>
              </w:rPr>
            </w:pPr>
            <w:r>
              <w:rPr>
                <w:color w:val="105C84"/>
                <w:spacing w:val="-2"/>
                <w:sz w:val="18"/>
              </w:rPr>
              <w:t>Wegmans</w:t>
            </w:r>
          </w:p>
          <w:p>
            <w:pPr>
              <w:pStyle w:val="TableParagraph"/>
              <w:spacing w:line="232" w:lineRule="auto" w:before="101"/>
              <w:ind w:left="84" w:right="58"/>
              <w:rPr>
                <w:sz w:val="18"/>
              </w:rPr>
            </w:pPr>
            <w:r>
              <w:rPr>
                <w:color w:val="105C84"/>
                <w:spacing w:val="-2"/>
                <w:sz w:val="18"/>
              </w:rPr>
              <w:t>OC</w:t>
            </w:r>
            <w:r>
              <w:rPr>
                <w:color w:val="105C84"/>
                <w:spacing w:val="-13"/>
                <w:sz w:val="18"/>
              </w:rPr>
              <w:t> </w:t>
            </w:r>
            <w:r>
              <w:rPr>
                <w:color w:val="105C84"/>
                <w:spacing w:val="-2"/>
                <w:sz w:val="18"/>
              </w:rPr>
              <w:t>Substance</w:t>
            </w:r>
            <w:r>
              <w:rPr>
                <w:color w:val="105C84"/>
                <w:spacing w:val="-10"/>
                <w:sz w:val="18"/>
              </w:rPr>
              <w:t> </w:t>
            </w:r>
            <w:r>
              <w:rPr>
                <w:color w:val="105C84"/>
                <w:spacing w:val="-2"/>
                <w:sz w:val="18"/>
              </w:rPr>
              <w:t>Abuse Coalition</w:t>
            </w:r>
          </w:p>
          <w:p>
            <w:pPr>
              <w:pStyle w:val="TableParagraph"/>
              <w:spacing w:before="97"/>
              <w:ind w:left="84"/>
              <w:rPr>
                <w:sz w:val="18"/>
              </w:rPr>
            </w:pPr>
            <w:r>
              <w:rPr>
                <w:color w:val="105C84"/>
                <w:sz w:val="18"/>
              </w:rPr>
              <w:t>OC</w:t>
            </w:r>
            <w:r>
              <w:rPr>
                <w:color w:val="105C84"/>
                <w:spacing w:val="1"/>
                <w:sz w:val="18"/>
              </w:rPr>
              <w:t> </w:t>
            </w:r>
            <w:r>
              <w:rPr>
                <w:color w:val="105C84"/>
                <w:spacing w:val="-2"/>
                <w:sz w:val="18"/>
              </w:rPr>
              <w:t>Planning</w:t>
            </w:r>
          </w:p>
          <w:p>
            <w:pPr>
              <w:pStyle w:val="TableParagraph"/>
              <w:spacing w:line="232" w:lineRule="auto" w:before="101"/>
              <w:ind w:left="84" w:right="58"/>
              <w:rPr>
                <w:sz w:val="18"/>
              </w:rPr>
            </w:pPr>
            <w:r>
              <w:rPr>
                <w:color w:val="105C84"/>
                <w:spacing w:val="-2"/>
                <w:sz w:val="18"/>
              </w:rPr>
              <w:t>Rochester</w:t>
            </w:r>
            <w:r>
              <w:rPr>
                <w:color w:val="105C84"/>
                <w:spacing w:val="-11"/>
                <w:sz w:val="18"/>
              </w:rPr>
              <w:t> </w:t>
            </w:r>
            <w:r>
              <w:rPr>
                <w:color w:val="105C84"/>
                <w:spacing w:val="-2"/>
                <w:sz w:val="18"/>
              </w:rPr>
              <w:t>Comm. Foundation</w:t>
            </w:r>
          </w:p>
        </w:tc>
      </w:tr>
      <w:tr>
        <w:trPr>
          <w:trHeight w:val="303" w:hRule="exact"/>
        </w:trPr>
        <w:tc>
          <w:tcPr>
            <w:tcW w:w="1353" w:type="dxa"/>
            <w:tcBorders>
              <w:top w:val="nil"/>
              <w:left w:val="single" w:sz="4" w:space="0" w:color="BCBEC0"/>
              <w:bottom w:val="nil"/>
              <w:right w:val="single" w:sz="4" w:space="0" w:color="BCBEC0"/>
            </w:tcBorders>
            <w:shd w:val="clear" w:color="auto" w:fill="E6E7E8"/>
          </w:tcPr>
          <w:p>
            <w:pPr>
              <w:pStyle w:val="TableParagraph"/>
              <w:rPr>
                <w:rFonts w:ascii="Times New Roman"/>
                <w:sz w:val="18"/>
              </w:rPr>
            </w:pPr>
          </w:p>
        </w:tc>
        <w:tc>
          <w:tcPr>
            <w:tcW w:w="1289" w:type="dxa"/>
            <w:tcBorders>
              <w:top w:val="nil"/>
              <w:left w:val="single" w:sz="4" w:space="0" w:color="BCBEC0"/>
              <w:bottom w:val="nil"/>
              <w:right w:val="single" w:sz="4" w:space="0" w:color="BCBEC0"/>
            </w:tcBorders>
          </w:tcPr>
          <w:p>
            <w:pPr>
              <w:pStyle w:val="TableParagraph"/>
              <w:rPr>
                <w:rFonts w:ascii="Times New Roman"/>
                <w:sz w:val="18"/>
              </w:rPr>
            </w:pPr>
          </w:p>
        </w:tc>
        <w:tc>
          <w:tcPr>
            <w:tcW w:w="1591" w:type="dxa"/>
            <w:tcBorders>
              <w:top w:val="nil"/>
              <w:left w:val="single" w:sz="4" w:space="0" w:color="BCBEC0"/>
              <w:bottom w:val="nil"/>
              <w:right w:val="single" w:sz="4" w:space="0" w:color="BCBEC0"/>
            </w:tcBorders>
          </w:tcPr>
          <w:p>
            <w:pPr>
              <w:pStyle w:val="TableParagraph"/>
              <w:rPr>
                <w:rFonts w:ascii="Times New Roman"/>
                <w:sz w:val="18"/>
              </w:rPr>
            </w:pPr>
          </w:p>
        </w:tc>
        <w:tc>
          <w:tcPr>
            <w:tcW w:w="2822" w:type="dxa"/>
            <w:tcBorders>
              <w:top w:val="nil"/>
              <w:left w:val="single" w:sz="4" w:space="0" w:color="BCBEC0"/>
              <w:bottom w:val="nil"/>
              <w:right w:val="single" w:sz="4" w:space="0" w:color="BCBEC0"/>
            </w:tcBorders>
          </w:tcPr>
          <w:p>
            <w:pPr>
              <w:pStyle w:val="TableParagraph"/>
              <w:spacing w:before="40"/>
              <w:ind w:left="84"/>
              <w:rPr>
                <w:sz w:val="18"/>
              </w:rPr>
            </w:pPr>
            <w:r>
              <w:rPr>
                <w:color w:val="105C84"/>
                <w:spacing w:val="-2"/>
                <w:sz w:val="18"/>
              </w:rPr>
              <w:t>Data</w:t>
            </w:r>
            <w:r>
              <w:rPr>
                <w:color w:val="105C84"/>
                <w:spacing w:val="-6"/>
                <w:sz w:val="18"/>
              </w:rPr>
              <w:t> </w:t>
            </w:r>
            <w:r>
              <w:rPr>
                <w:color w:val="105C84"/>
                <w:spacing w:val="-2"/>
                <w:sz w:val="18"/>
              </w:rPr>
              <w:t>Level:</w:t>
            </w:r>
            <w:r>
              <w:rPr>
                <w:color w:val="105C84"/>
                <w:spacing w:val="-6"/>
                <w:sz w:val="18"/>
              </w:rPr>
              <w:t> </w:t>
            </w:r>
            <w:r>
              <w:rPr>
                <w:color w:val="105C84"/>
                <w:spacing w:val="-2"/>
                <w:sz w:val="18"/>
              </w:rPr>
              <w:t>County</w:t>
            </w:r>
          </w:p>
        </w:tc>
        <w:tc>
          <w:tcPr>
            <w:tcW w:w="1267" w:type="dxa"/>
            <w:vMerge/>
            <w:tcBorders>
              <w:top w:val="nil"/>
              <w:left w:val="single" w:sz="4" w:space="0" w:color="BCBEC0"/>
              <w:right w:val="single" w:sz="4" w:space="0" w:color="BCBEC0"/>
            </w:tcBorders>
          </w:tcPr>
          <w:p>
            <w:pPr>
              <w:rPr>
                <w:sz w:val="2"/>
                <w:szCs w:val="2"/>
              </w:rPr>
            </w:pPr>
          </w:p>
        </w:tc>
        <w:tc>
          <w:tcPr>
            <w:tcW w:w="2861" w:type="dxa"/>
            <w:vMerge/>
            <w:tcBorders>
              <w:top w:val="nil"/>
              <w:left w:val="single" w:sz="4" w:space="0" w:color="BCBEC0"/>
              <w:right w:val="nil"/>
            </w:tcBorders>
          </w:tcPr>
          <w:p>
            <w:pPr>
              <w:rPr>
                <w:sz w:val="2"/>
                <w:szCs w:val="2"/>
              </w:rPr>
            </w:pPr>
          </w:p>
        </w:tc>
        <w:tc>
          <w:tcPr>
            <w:tcW w:w="3359" w:type="dxa"/>
            <w:vMerge/>
            <w:tcBorders>
              <w:top w:val="nil"/>
              <w:left w:val="nil"/>
              <w:right w:val="single" w:sz="4" w:space="0" w:color="BCBEC0"/>
            </w:tcBorders>
          </w:tcPr>
          <w:p>
            <w:pPr>
              <w:rPr>
                <w:sz w:val="2"/>
                <w:szCs w:val="2"/>
              </w:rPr>
            </w:pPr>
          </w:p>
        </w:tc>
        <w:tc>
          <w:tcPr>
            <w:tcW w:w="2390" w:type="dxa"/>
            <w:vMerge/>
            <w:tcBorders>
              <w:top w:val="nil"/>
              <w:left w:val="single" w:sz="4" w:space="0" w:color="BCBEC0"/>
              <w:right w:val="single" w:sz="4" w:space="0" w:color="BCBEC0"/>
            </w:tcBorders>
          </w:tcPr>
          <w:p>
            <w:pPr>
              <w:rPr>
                <w:sz w:val="2"/>
                <w:szCs w:val="2"/>
              </w:rPr>
            </w:pPr>
          </w:p>
        </w:tc>
        <w:tc>
          <w:tcPr>
            <w:tcW w:w="3196" w:type="dxa"/>
            <w:vMerge/>
            <w:tcBorders>
              <w:top w:val="nil"/>
              <w:left w:val="single" w:sz="4" w:space="0" w:color="BCBEC0"/>
              <w:right w:val="single" w:sz="4" w:space="0" w:color="BCBEC0"/>
            </w:tcBorders>
          </w:tcPr>
          <w:p>
            <w:pPr>
              <w:rPr>
                <w:sz w:val="2"/>
                <w:szCs w:val="2"/>
              </w:rPr>
            </w:pPr>
          </w:p>
        </w:tc>
        <w:tc>
          <w:tcPr>
            <w:tcW w:w="2097" w:type="dxa"/>
            <w:vMerge/>
            <w:tcBorders>
              <w:top w:val="nil"/>
              <w:left w:val="single" w:sz="4" w:space="0" w:color="BCBEC0"/>
              <w:right w:val="single" w:sz="4" w:space="0" w:color="BCBEC0"/>
            </w:tcBorders>
          </w:tcPr>
          <w:p>
            <w:pPr>
              <w:rPr>
                <w:sz w:val="2"/>
                <w:szCs w:val="2"/>
              </w:rPr>
            </w:pPr>
          </w:p>
        </w:tc>
      </w:tr>
      <w:tr>
        <w:trPr>
          <w:trHeight w:val="1103" w:hRule="exact"/>
        </w:trPr>
        <w:tc>
          <w:tcPr>
            <w:tcW w:w="1353" w:type="dxa"/>
            <w:tcBorders>
              <w:top w:val="nil"/>
              <w:left w:val="single" w:sz="4" w:space="0" w:color="BCBEC0"/>
              <w:bottom w:val="nil"/>
              <w:right w:val="single" w:sz="4" w:space="0" w:color="BCBEC0"/>
            </w:tcBorders>
            <w:shd w:val="clear" w:color="auto" w:fill="E6E7E8"/>
          </w:tcPr>
          <w:p>
            <w:pPr>
              <w:pStyle w:val="TableParagraph"/>
              <w:rPr>
                <w:rFonts w:ascii="Times New Roman"/>
                <w:sz w:val="18"/>
              </w:rPr>
            </w:pPr>
          </w:p>
        </w:tc>
        <w:tc>
          <w:tcPr>
            <w:tcW w:w="1289" w:type="dxa"/>
            <w:tcBorders>
              <w:top w:val="nil"/>
              <w:left w:val="single" w:sz="4" w:space="0" w:color="BCBEC0"/>
              <w:bottom w:val="nil"/>
              <w:right w:val="single" w:sz="4" w:space="0" w:color="BCBEC0"/>
            </w:tcBorders>
          </w:tcPr>
          <w:p>
            <w:pPr>
              <w:pStyle w:val="TableParagraph"/>
              <w:rPr>
                <w:rFonts w:ascii="Times New Roman"/>
                <w:sz w:val="18"/>
              </w:rPr>
            </w:pPr>
          </w:p>
        </w:tc>
        <w:tc>
          <w:tcPr>
            <w:tcW w:w="1591" w:type="dxa"/>
            <w:tcBorders>
              <w:top w:val="nil"/>
              <w:left w:val="single" w:sz="4" w:space="0" w:color="BCBEC0"/>
              <w:bottom w:val="nil"/>
              <w:right w:val="single" w:sz="4" w:space="0" w:color="BCBEC0"/>
            </w:tcBorders>
          </w:tcPr>
          <w:p>
            <w:pPr>
              <w:pStyle w:val="TableParagraph"/>
              <w:rPr>
                <w:rFonts w:ascii="Times New Roman"/>
                <w:sz w:val="18"/>
              </w:rPr>
            </w:pPr>
          </w:p>
        </w:tc>
        <w:tc>
          <w:tcPr>
            <w:tcW w:w="2822" w:type="dxa"/>
            <w:tcBorders>
              <w:top w:val="nil"/>
              <w:left w:val="single" w:sz="4" w:space="0" w:color="BCBEC0"/>
              <w:bottom w:val="nil"/>
              <w:right w:val="single" w:sz="4" w:space="0" w:color="BCBEC0"/>
            </w:tcBorders>
          </w:tcPr>
          <w:p>
            <w:pPr>
              <w:pStyle w:val="TableParagraph"/>
              <w:spacing w:line="232" w:lineRule="auto" w:before="45"/>
              <w:ind w:left="84" w:right="96"/>
              <w:rPr>
                <w:sz w:val="18"/>
              </w:rPr>
            </w:pPr>
            <w:r>
              <w:rPr>
                <w:color w:val="105C84"/>
                <w:sz w:val="18"/>
              </w:rPr>
              <w:t>1.1.2</w:t>
            </w:r>
            <w:r>
              <w:rPr>
                <w:color w:val="105C84"/>
                <w:spacing w:val="-15"/>
                <w:sz w:val="18"/>
              </w:rPr>
              <w:t> </w:t>
            </w:r>
            <w:r>
              <w:rPr>
                <w:color w:val="105C84"/>
                <w:sz w:val="18"/>
              </w:rPr>
              <w:t>Reduce</w:t>
            </w:r>
            <w:r>
              <w:rPr>
                <w:color w:val="105C84"/>
                <w:spacing w:val="-12"/>
                <w:sz w:val="18"/>
              </w:rPr>
              <w:t> </w:t>
            </w:r>
            <w:r>
              <w:rPr>
                <w:color w:val="105C84"/>
                <w:sz w:val="18"/>
              </w:rPr>
              <w:t>the</w:t>
            </w:r>
            <w:r>
              <w:rPr>
                <w:color w:val="105C84"/>
                <w:spacing w:val="-13"/>
                <w:sz w:val="18"/>
              </w:rPr>
              <w:t> </w:t>
            </w:r>
            <w:r>
              <w:rPr>
                <w:color w:val="105C84"/>
                <w:sz w:val="18"/>
              </w:rPr>
              <w:t>age-adjusted</w:t>
            </w:r>
            <w:r>
              <w:rPr>
                <w:color w:val="105C84"/>
                <w:spacing w:val="-12"/>
                <w:sz w:val="18"/>
              </w:rPr>
              <w:t> </w:t>
            </w:r>
            <w:r>
              <w:rPr>
                <w:color w:val="105C84"/>
                <w:sz w:val="18"/>
              </w:rPr>
              <w:t>%</w:t>
            </w:r>
            <w:r>
              <w:rPr>
                <w:color w:val="105C84"/>
                <w:sz w:val="18"/>
              </w:rPr>
              <w:t> of adult New Yorkers reporting 14 or more days with poor</w:t>
            </w:r>
            <w:r>
              <w:rPr>
                <w:color w:val="105C84"/>
                <w:spacing w:val="40"/>
                <w:sz w:val="18"/>
              </w:rPr>
              <w:t> </w:t>
            </w:r>
            <w:r>
              <w:rPr>
                <w:color w:val="105C84"/>
                <w:sz w:val="18"/>
              </w:rPr>
              <w:t>mental health in the last month by 10% to no more than 10.7%</w:t>
            </w:r>
          </w:p>
        </w:tc>
        <w:tc>
          <w:tcPr>
            <w:tcW w:w="1267" w:type="dxa"/>
            <w:vMerge/>
            <w:tcBorders>
              <w:top w:val="nil"/>
              <w:left w:val="single" w:sz="4" w:space="0" w:color="BCBEC0"/>
              <w:right w:val="single" w:sz="4" w:space="0" w:color="BCBEC0"/>
            </w:tcBorders>
          </w:tcPr>
          <w:p>
            <w:pPr>
              <w:rPr>
                <w:sz w:val="2"/>
                <w:szCs w:val="2"/>
              </w:rPr>
            </w:pPr>
          </w:p>
        </w:tc>
        <w:tc>
          <w:tcPr>
            <w:tcW w:w="2861" w:type="dxa"/>
            <w:vMerge/>
            <w:tcBorders>
              <w:top w:val="nil"/>
              <w:left w:val="single" w:sz="4" w:space="0" w:color="BCBEC0"/>
              <w:right w:val="nil"/>
            </w:tcBorders>
          </w:tcPr>
          <w:p>
            <w:pPr>
              <w:rPr>
                <w:sz w:val="2"/>
                <w:szCs w:val="2"/>
              </w:rPr>
            </w:pPr>
          </w:p>
        </w:tc>
        <w:tc>
          <w:tcPr>
            <w:tcW w:w="3359" w:type="dxa"/>
            <w:vMerge/>
            <w:tcBorders>
              <w:top w:val="nil"/>
              <w:left w:val="nil"/>
              <w:right w:val="single" w:sz="4" w:space="0" w:color="BCBEC0"/>
            </w:tcBorders>
          </w:tcPr>
          <w:p>
            <w:pPr>
              <w:rPr>
                <w:sz w:val="2"/>
                <w:szCs w:val="2"/>
              </w:rPr>
            </w:pPr>
          </w:p>
        </w:tc>
        <w:tc>
          <w:tcPr>
            <w:tcW w:w="2390" w:type="dxa"/>
            <w:vMerge/>
            <w:tcBorders>
              <w:top w:val="nil"/>
              <w:left w:val="single" w:sz="4" w:space="0" w:color="BCBEC0"/>
              <w:right w:val="single" w:sz="4" w:space="0" w:color="BCBEC0"/>
            </w:tcBorders>
          </w:tcPr>
          <w:p>
            <w:pPr>
              <w:rPr>
                <w:sz w:val="2"/>
                <w:szCs w:val="2"/>
              </w:rPr>
            </w:pPr>
          </w:p>
        </w:tc>
        <w:tc>
          <w:tcPr>
            <w:tcW w:w="3196" w:type="dxa"/>
            <w:vMerge/>
            <w:tcBorders>
              <w:top w:val="nil"/>
              <w:left w:val="single" w:sz="4" w:space="0" w:color="BCBEC0"/>
              <w:right w:val="single" w:sz="4" w:space="0" w:color="BCBEC0"/>
            </w:tcBorders>
          </w:tcPr>
          <w:p>
            <w:pPr>
              <w:rPr>
                <w:sz w:val="2"/>
                <w:szCs w:val="2"/>
              </w:rPr>
            </w:pPr>
          </w:p>
        </w:tc>
        <w:tc>
          <w:tcPr>
            <w:tcW w:w="2097" w:type="dxa"/>
            <w:vMerge/>
            <w:tcBorders>
              <w:top w:val="nil"/>
              <w:left w:val="single" w:sz="4" w:space="0" w:color="BCBEC0"/>
              <w:right w:val="single" w:sz="4" w:space="0" w:color="BCBEC0"/>
            </w:tcBorders>
          </w:tcPr>
          <w:p>
            <w:pPr>
              <w:rPr>
                <w:sz w:val="2"/>
                <w:szCs w:val="2"/>
              </w:rPr>
            </w:pPr>
          </w:p>
        </w:tc>
      </w:tr>
      <w:tr>
        <w:trPr>
          <w:trHeight w:val="303" w:hRule="exact"/>
        </w:trPr>
        <w:tc>
          <w:tcPr>
            <w:tcW w:w="1353" w:type="dxa"/>
            <w:tcBorders>
              <w:top w:val="nil"/>
              <w:left w:val="single" w:sz="4" w:space="0" w:color="BCBEC0"/>
              <w:bottom w:val="nil"/>
              <w:right w:val="single" w:sz="4" w:space="0" w:color="BCBEC0"/>
            </w:tcBorders>
            <w:shd w:val="clear" w:color="auto" w:fill="E6E7E8"/>
          </w:tcPr>
          <w:p>
            <w:pPr>
              <w:pStyle w:val="TableParagraph"/>
              <w:rPr>
                <w:rFonts w:ascii="Times New Roman"/>
                <w:sz w:val="18"/>
              </w:rPr>
            </w:pPr>
          </w:p>
        </w:tc>
        <w:tc>
          <w:tcPr>
            <w:tcW w:w="1289" w:type="dxa"/>
            <w:tcBorders>
              <w:top w:val="nil"/>
              <w:left w:val="single" w:sz="4" w:space="0" w:color="BCBEC0"/>
              <w:bottom w:val="nil"/>
              <w:right w:val="single" w:sz="4" w:space="0" w:color="BCBEC0"/>
            </w:tcBorders>
          </w:tcPr>
          <w:p>
            <w:pPr>
              <w:pStyle w:val="TableParagraph"/>
              <w:rPr>
                <w:rFonts w:ascii="Times New Roman"/>
                <w:sz w:val="18"/>
              </w:rPr>
            </w:pPr>
          </w:p>
        </w:tc>
        <w:tc>
          <w:tcPr>
            <w:tcW w:w="1591" w:type="dxa"/>
            <w:tcBorders>
              <w:top w:val="nil"/>
              <w:left w:val="single" w:sz="4" w:space="0" w:color="BCBEC0"/>
              <w:bottom w:val="nil"/>
              <w:right w:val="single" w:sz="4" w:space="0" w:color="BCBEC0"/>
            </w:tcBorders>
          </w:tcPr>
          <w:p>
            <w:pPr>
              <w:pStyle w:val="TableParagraph"/>
              <w:rPr>
                <w:rFonts w:ascii="Times New Roman"/>
                <w:sz w:val="18"/>
              </w:rPr>
            </w:pPr>
          </w:p>
        </w:tc>
        <w:tc>
          <w:tcPr>
            <w:tcW w:w="2822" w:type="dxa"/>
            <w:tcBorders>
              <w:top w:val="nil"/>
              <w:left w:val="single" w:sz="4" w:space="0" w:color="BCBEC0"/>
              <w:bottom w:val="nil"/>
              <w:right w:val="single" w:sz="4" w:space="0" w:color="BCBEC0"/>
            </w:tcBorders>
          </w:tcPr>
          <w:p>
            <w:pPr>
              <w:pStyle w:val="TableParagraph"/>
              <w:spacing w:before="40"/>
              <w:ind w:left="84"/>
              <w:rPr>
                <w:sz w:val="18"/>
              </w:rPr>
            </w:pPr>
            <w:r>
              <w:rPr>
                <w:color w:val="105C84"/>
                <w:spacing w:val="-4"/>
                <w:sz w:val="18"/>
              </w:rPr>
              <w:t>Baseline:</w:t>
            </w:r>
            <w:r>
              <w:rPr>
                <w:color w:val="105C84"/>
                <w:spacing w:val="2"/>
                <w:sz w:val="18"/>
              </w:rPr>
              <w:t> </w:t>
            </w:r>
            <w:r>
              <w:rPr>
                <w:color w:val="105C84"/>
                <w:spacing w:val="-4"/>
                <w:sz w:val="18"/>
              </w:rPr>
              <w:t>11.9%</w:t>
            </w:r>
          </w:p>
        </w:tc>
        <w:tc>
          <w:tcPr>
            <w:tcW w:w="1267" w:type="dxa"/>
            <w:vMerge/>
            <w:tcBorders>
              <w:top w:val="nil"/>
              <w:left w:val="single" w:sz="4" w:space="0" w:color="BCBEC0"/>
              <w:right w:val="single" w:sz="4" w:space="0" w:color="BCBEC0"/>
            </w:tcBorders>
          </w:tcPr>
          <w:p>
            <w:pPr>
              <w:rPr>
                <w:sz w:val="2"/>
                <w:szCs w:val="2"/>
              </w:rPr>
            </w:pPr>
          </w:p>
        </w:tc>
        <w:tc>
          <w:tcPr>
            <w:tcW w:w="2861" w:type="dxa"/>
            <w:vMerge/>
            <w:tcBorders>
              <w:top w:val="nil"/>
              <w:left w:val="single" w:sz="4" w:space="0" w:color="BCBEC0"/>
              <w:right w:val="nil"/>
            </w:tcBorders>
          </w:tcPr>
          <w:p>
            <w:pPr>
              <w:rPr>
                <w:sz w:val="2"/>
                <w:szCs w:val="2"/>
              </w:rPr>
            </w:pPr>
          </w:p>
        </w:tc>
        <w:tc>
          <w:tcPr>
            <w:tcW w:w="3359" w:type="dxa"/>
            <w:vMerge/>
            <w:tcBorders>
              <w:top w:val="nil"/>
              <w:left w:val="nil"/>
              <w:right w:val="single" w:sz="4" w:space="0" w:color="BCBEC0"/>
            </w:tcBorders>
          </w:tcPr>
          <w:p>
            <w:pPr>
              <w:rPr>
                <w:sz w:val="2"/>
                <w:szCs w:val="2"/>
              </w:rPr>
            </w:pPr>
          </w:p>
        </w:tc>
        <w:tc>
          <w:tcPr>
            <w:tcW w:w="2390" w:type="dxa"/>
            <w:vMerge/>
            <w:tcBorders>
              <w:top w:val="nil"/>
              <w:left w:val="single" w:sz="4" w:space="0" w:color="BCBEC0"/>
              <w:right w:val="single" w:sz="4" w:space="0" w:color="BCBEC0"/>
            </w:tcBorders>
          </w:tcPr>
          <w:p>
            <w:pPr>
              <w:rPr>
                <w:sz w:val="2"/>
                <w:szCs w:val="2"/>
              </w:rPr>
            </w:pPr>
          </w:p>
        </w:tc>
        <w:tc>
          <w:tcPr>
            <w:tcW w:w="3196" w:type="dxa"/>
            <w:vMerge/>
            <w:tcBorders>
              <w:top w:val="nil"/>
              <w:left w:val="single" w:sz="4" w:space="0" w:color="BCBEC0"/>
              <w:right w:val="single" w:sz="4" w:space="0" w:color="BCBEC0"/>
            </w:tcBorders>
          </w:tcPr>
          <w:p>
            <w:pPr>
              <w:rPr>
                <w:sz w:val="2"/>
                <w:szCs w:val="2"/>
              </w:rPr>
            </w:pPr>
          </w:p>
        </w:tc>
        <w:tc>
          <w:tcPr>
            <w:tcW w:w="2097" w:type="dxa"/>
            <w:vMerge/>
            <w:tcBorders>
              <w:top w:val="nil"/>
              <w:left w:val="single" w:sz="4" w:space="0" w:color="BCBEC0"/>
              <w:right w:val="single" w:sz="4" w:space="0" w:color="BCBEC0"/>
            </w:tcBorders>
          </w:tcPr>
          <w:p>
            <w:pPr>
              <w:rPr>
                <w:sz w:val="2"/>
                <w:szCs w:val="2"/>
              </w:rPr>
            </w:pPr>
          </w:p>
        </w:tc>
      </w:tr>
      <w:tr>
        <w:trPr>
          <w:trHeight w:val="303" w:hRule="exact"/>
        </w:trPr>
        <w:tc>
          <w:tcPr>
            <w:tcW w:w="1353" w:type="dxa"/>
            <w:tcBorders>
              <w:top w:val="nil"/>
              <w:left w:val="single" w:sz="4" w:space="0" w:color="BCBEC0"/>
              <w:bottom w:val="nil"/>
              <w:right w:val="single" w:sz="4" w:space="0" w:color="BCBEC0"/>
            </w:tcBorders>
            <w:shd w:val="clear" w:color="auto" w:fill="E6E7E8"/>
          </w:tcPr>
          <w:p>
            <w:pPr>
              <w:pStyle w:val="TableParagraph"/>
              <w:rPr>
                <w:rFonts w:ascii="Times New Roman"/>
                <w:sz w:val="18"/>
              </w:rPr>
            </w:pPr>
          </w:p>
        </w:tc>
        <w:tc>
          <w:tcPr>
            <w:tcW w:w="1289" w:type="dxa"/>
            <w:tcBorders>
              <w:top w:val="nil"/>
              <w:left w:val="single" w:sz="4" w:space="0" w:color="BCBEC0"/>
              <w:bottom w:val="nil"/>
              <w:right w:val="single" w:sz="4" w:space="0" w:color="BCBEC0"/>
            </w:tcBorders>
          </w:tcPr>
          <w:p>
            <w:pPr>
              <w:pStyle w:val="TableParagraph"/>
              <w:rPr>
                <w:rFonts w:ascii="Times New Roman"/>
                <w:sz w:val="18"/>
              </w:rPr>
            </w:pPr>
          </w:p>
        </w:tc>
        <w:tc>
          <w:tcPr>
            <w:tcW w:w="1591" w:type="dxa"/>
            <w:tcBorders>
              <w:top w:val="nil"/>
              <w:left w:val="single" w:sz="4" w:space="0" w:color="BCBEC0"/>
              <w:bottom w:val="nil"/>
              <w:right w:val="single" w:sz="4" w:space="0" w:color="BCBEC0"/>
            </w:tcBorders>
          </w:tcPr>
          <w:p>
            <w:pPr>
              <w:pStyle w:val="TableParagraph"/>
              <w:rPr>
                <w:rFonts w:ascii="Times New Roman"/>
                <w:sz w:val="18"/>
              </w:rPr>
            </w:pPr>
          </w:p>
        </w:tc>
        <w:tc>
          <w:tcPr>
            <w:tcW w:w="2822" w:type="dxa"/>
            <w:tcBorders>
              <w:top w:val="nil"/>
              <w:left w:val="single" w:sz="4" w:space="0" w:color="BCBEC0"/>
              <w:bottom w:val="nil"/>
              <w:right w:val="single" w:sz="4" w:space="0" w:color="BCBEC0"/>
            </w:tcBorders>
          </w:tcPr>
          <w:p>
            <w:pPr>
              <w:pStyle w:val="TableParagraph"/>
              <w:spacing w:before="40"/>
              <w:ind w:left="84"/>
              <w:rPr>
                <w:sz w:val="18"/>
              </w:rPr>
            </w:pPr>
            <w:r>
              <w:rPr>
                <w:color w:val="105C84"/>
                <w:spacing w:val="-4"/>
                <w:sz w:val="18"/>
              </w:rPr>
              <w:t>Target:</w:t>
            </w:r>
            <w:r>
              <w:rPr>
                <w:color w:val="105C84"/>
                <w:spacing w:val="-9"/>
                <w:sz w:val="18"/>
              </w:rPr>
              <w:t> </w:t>
            </w:r>
            <w:r>
              <w:rPr>
                <w:color w:val="105C84"/>
                <w:spacing w:val="-4"/>
                <w:sz w:val="18"/>
              </w:rPr>
              <w:t>10.7%</w:t>
            </w:r>
            <w:r>
              <w:rPr>
                <w:color w:val="105C84"/>
                <w:spacing w:val="30"/>
                <w:sz w:val="18"/>
              </w:rPr>
              <w:t> </w:t>
            </w:r>
            <w:r>
              <w:rPr>
                <w:color w:val="105C84"/>
                <w:spacing w:val="-4"/>
                <w:sz w:val="18"/>
              </w:rPr>
              <w:t>(2017)</w:t>
            </w:r>
          </w:p>
        </w:tc>
        <w:tc>
          <w:tcPr>
            <w:tcW w:w="1267" w:type="dxa"/>
            <w:vMerge/>
            <w:tcBorders>
              <w:top w:val="nil"/>
              <w:left w:val="single" w:sz="4" w:space="0" w:color="BCBEC0"/>
              <w:right w:val="single" w:sz="4" w:space="0" w:color="BCBEC0"/>
            </w:tcBorders>
          </w:tcPr>
          <w:p>
            <w:pPr>
              <w:rPr>
                <w:sz w:val="2"/>
                <w:szCs w:val="2"/>
              </w:rPr>
            </w:pPr>
          </w:p>
        </w:tc>
        <w:tc>
          <w:tcPr>
            <w:tcW w:w="2861" w:type="dxa"/>
            <w:vMerge/>
            <w:tcBorders>
              <w:top w:val="nil"/>
              <w:left w:val="single" w:sz="4" w:space="0" w:color="BCBEC0"/>
              <w:right w:val="nil"/>
            </w:tcBorders>
          </w:tcPr>
          <w:p>
            <w:pPr>
              <w:rPr>
                <w:sz w:val="2"/>
                <w:szCs w:val="2"/>
              </w:rPr>
            </w:pPr>
          </w:p>
        </w:tc>
        <w:tc>
          <w:tcPr>
            <w:tcW w:w="3359" w:type="dxa"/>
            <w:vMerge/>
            <w:tcBorders>
              <w:top w:val="nil"/>
              <w:left w:val="nil"/>
              <w:right w:val="single" w:sz="4" w:space="0" w:color="BCBEC0"/>
            </w:tcBorders>
          </w:tcPr>
          <w:p>
            <w:pPr>
              <w:rPr>
                <w:sz w:val="2"/>
                <w:szCs w:val="2"/>
              </w:rPr>
            </w:pPr>
          </w:p>
        </w:tc>
        <w:tc>
          <w:tcPr>
            <w:tcW w:w="2390" w:type="dxa"/>
            <w:vMerge/>
            <w:tcBorders>
              <w:top w:val="nil"/>
              <w:left w:val="single" w:sz="4" w:space="0" w:color="BCBEC0"/>
              <w:right w:val="single" w:sz="4" w:space="0" w:color="BCBEC0"/>
            </w:tcBorders>
          </w:tcPr>
          <w:p>
            <w:pPr>
              <w:rPr>
                <w:sz w:val="2"/>
                <w:szCs w:val="2"/>
              </w:rPr>
            </w:pPr>
          </w:p>
        </w:tc>
        <w:tc>
          <w:tcPr>
            <w:tcW w:w="3196" w:type="dxa"/>
            <w:vMerge/>
            <w:tcBorders>
              <w:top w:val="nil"/>
              <w:left w:val="single" w:sz="4" w:space="0" w:color="BCBEC0"/>
              <w:right w:val="single" w:sz="4" w:space="0" w:color="BCBEC0"/>
            </w:tcBorders>
          </w:tcPr>
          <w:p>
            <w:pPr>
              <w:rPr>
                <w:sz w:val="2"/>
                <w:szCs w:val="2"/>
              </w:rPr>
            </w:pPr>
          </w:p>
        </w:tc>
        <w:tc>
          <w:tcPr>
            <w:tcW w:w="2097" w:type="dxa"/>
            <w:vMerge/>
            <w:tcBorders>
              <w:top w:val="nil"/>
              <w:left w:val="single" w:sz="4" w:space="0" w:color="BCBEC0"/>
              <w:right w:val="single" w:sz="4" w:space="0" w:color="BCBEC0"/>
            </w:tcBorders>
          </w:tcPr>
          <w:p>
            <w:pPr>
              <w:rPr>
                <w:sz w:val="2"/>
                <w:szCs w:val="2"/>
              </w:rPr>
            </w:pPr>
          </w:p>
        </w:tc>
      </w:tr>
      <w:tr>
        <w:trPr>
          <w:trHeight w:val="303" w:hRule="exact"/>
        </w:trPr>
        <w:tc>
          <w:tcPr>
            <w:tcW w:w="1353" w:type="dxa"/>
            <w:tcBorders>
              <w:top w:val="nil"/>
              <w:left w:val="single" w:sz="4" w:space="0" w:color="BCBEC0"/>
              <w:bottom w:val="nil"/>
              <w:right w:val="single" w:sz="4" w:space="0" w:color="BCBEC0"/>
            </w:tcBorders>
            <w:shd w:val="clear" w:color="auto" w:fill="E6E7E8"/>
          </w:tcPr>
          <w:p>
            <w:pPr>
              <w:pStyle w:val="TableParagraph"/>
              <w:rPr>
                <w:rFonts w:ascii="Times New Roman"/>
                <w:sz w:val="18"/>
              </w:rPr>
            </w:pPr>
          </w:p>
        </w:tc>
        <w:tc>
          <w:tcPr>
            <w:tcW w:w="1289" w:type="dxa"/>
            <w:tcBorders>
              <w:top w:val="nil"/>
              <w:left w:val="single" w:sz="4" w:space="0" w:color="BCBEC0"/>
              <w:bottom w:val="nil"/>
              <w:right w:val="single" w:sz="4" w:space="0" w:color="BCBEC0"/>
            </w:tcBorders>
          </w:tcPr>
          <w:p>
            <w:pPr>
              <w:pStyle w:val="TableParagraph"/>
              <w:rPr>
                <w:rFonts w:ascii="Times New Roman"/>
                <w:sz w:val="18"/>
              </w:rPr>
            </w:pPr>
          </w:p>
        </w:tc>
        <w:tc>
          <w:tcPr>
            <w:tcW w:w="1591" w:type="dxa"/>
            <w:tcBorders>
              <w:top w:val="nil"/>
              <w:left w:val="single" w:sz="4" w:space="0" w:color="BCBEC0"/>
              <w:bottom w:val="nil"/>
              <w:right w:val="single" w:sz="4" w:space="0" w:color="BCBEC0"/>
            </w:tcBorders>
          </w:tcPr>
          <w:p>
            <w:pPr>
              <w:pStyle w:val="TableParagraph"/>
              <w:rPr>
                <w:rFonts w:ascii="Times New Roman"/>
                <w:sz w:val="18"/>
              </w:rPr>
            </w:pPr>
          </w:p>
        </w:tc>
        <w:tc>
          <w:tcPr>
            <w:tcW w:w="2822" w:type="dxa"/>
            <w:tcBorders>
              <w:top w:val="nil"/>
              <w:left w:val="single" w:sz="4" w:space="0" w:color="BCBEC0"/>
              <w:bottom w:val="nil"/>
              <w:right w:val="single" w:sz="4" w:space="0" w:color="BCBEC0"/>
            </w:tcBorders>
          </w:tcPr>
          <w:p>
            <w:pPr>
              <w:pStyle w:val="TableParagraph"/>
              <w:spacing w:before="40"/>
              <w:ind w:left="84"/>
              <w:rPr>
                <w:sz w:val="18"/>
              </w:rPr>
            </w:pPr>
            <w:r>
              <w:rPr>
                <w:color w:val="105C84"/>
                <w:spacing w:val="-2"/>
                <w:sz w:val="18"/>
              </w:rPr>
              <w:t>Data Source:</w:t>
            </w:r>
            <w:r>
              <w:rPr>
                <w:color w:val="105C84"/>
                <w:spacing w:val="-1"/>
                <w:sz w:val="18"/>
              </w:rPr>
              <w:t> </w:t>
            </w:r>
            <w:r>
              <w:rPr>
                <w:color w:val="105C84"/>
                <w:spacing w:val="-2"/>
                <w:sz w:val="18"/>
              </w:rPr>
              <w:t>Expanded BRFSS</w:t>
            </w:r>
          </w:p>
        </w:tc>
        <w:tc>
          <w:tcPr>
            <w:tcW w:w="1267" w:type="dxa"/>
            <w:vMerge/>
            <w:tcBorders>
              <w:top w:val="nil"/>
              <w:left w:val="single" w:sz="4" w:space="0" w:color="BCBEC0"/>
              <w:right w:val="single" w:sz="4" w:space="0" w:color="BCBEC0"/>
            </w:tcBorders>
          </w:tcPr>
          <w:p>
            <w:pPr>
              <w:rPr>
                <w:sz w:val="2"/>
                <w:szCs w:val="2"/>
              </w:rPr>
            </w:pPr>
          </w:p>
        </w:tc>
        <w:tc>
          <w:tcPr>
            <w:tcW w:w="2861" w:type="dxa"/>
            <w:vMerge/>
            <w:tcBorders>
              <w:top w:val="nil"/>
              <w:left w:val="single" w:sz="4" w:space="0" w:color="BCBEC0"/>
              <w:right w:val="nil"/>
            </w:tcBorders>
          </w:tcPr>
          <w:p>
            <w:pPr>
              <w:rPr>
                <w:sz w:val="2"/>
                <w:szCs w:val="2"/>
              </w:rPr>
            </w:pPr>
          </w:p>
        </w:tc>
        <w:tc>
          <w:tcPr>
            <w:tcW w:w="3359" w:type="dxa"/>
            <w:vMerge/>
            <w:tcBorders>
              <w:top w:val="nil"/>
              <w:left w:val="nil"/>
              <w:right w:val="single" w:sz="4" w:space="0" w:color="BCBEC0"/>
            </w:tcBorders>
          </w:tcPr>
          <w:p>
            <w:pPr>
              <w:rPr>
                <w:sz w:val="2"/>
                <w:szCs w:val="2"/>
              </w:rPr>
            </w:pPr>
          </w:p>
        </w:tc>
        <w:tc>
          <w:tcPr>
            <w:tcW w:w="2390" w:type="dxa"/>
            <w:vMerge/>
            <w:tcBorders>
              <w:top w:val="nil"/>
              <w:left w:val="single" w:sz="4" w:space="0" w:color="BCBEC0"/>
              <w:right w:val="single" w:sz="4" w:space="0" w:color="BCBEC0"/>
            </w:tcBorders>
          </w:tcPr>
          <w:p>
            <w:pPr>
              <w:rPr>
                <w:sz w:val="2"/>
                <w:szCs w:val="2"/>
              </w:rPr>
            </w:pPr>
          </w:p>
        </w:tc>
        <w:tc>
          <w:tcPr>
            <w:tcW w:w="3196" w:type="dxa"/>
            <w:vMerge/>
            <w:tcBorders>
              <w:top w:val="nil"/>
              <w:left w:val="single" w:sz="4" w:space="0" w:color="BCBEC0"/>
              <w:right w:val="single" w:sz="4" w:space="0" w:color="BCBEC0"/>
            </w:tcBorders>
          </w:tcPr>
          <w:p>
            <w:pPr>
              <w:rPr>
                <w:sz w:val="2"/>
                <w:szCs w:val="2"/>
              </w:rPr>
            </w:pPr>
          </w:p>
        </w:tc>
        <w:tc>
          <w:tcPr>
            <w:tcW w:w="2097" w:type="dxa"/>
            <w:vMerge/>
            <w:tcBorders>
              <w:top w:val="nil"/>
              <w:left w:val="single" w:sz="4" w:space="0" w:color="BCBEC0"/>
              <w:right w:val="single" w:sz="4" w:space="0" w:color="BCBEC0"/>
            </w:tcBorders>
          </w:tcPr>
          <w:p>
            <w:pPr>
              <w:rPr>
                <w:sz w:val="2"/>
                <w:szCs w:val="2"/>
              </w:rPr>
            </w:pPr>
          </w:p>
        </w:tc>
      </w:tr>
      <w:tr>
        <w:trPr>
          <w:trHeight w:val="692" w:hRule="exact"/>
        </w:trPr>
        <w:tc>
          <w:tcPr>
            <w:tcW w:w="1353" w:type="dxa"/>
            <w:tcBorders>
              <w:top w:val="nil"/>
              <w:left w:val="single" w:sz="4" w:space="0" w:color="BCBEC0"/>
              <w:bottom w:val="nil"/>
              <w:right w:val="single" w:sz="4" w:space="0" w:color="BCBEC0"/>
            </w:tcBorders>
            <w:shd w:val="clear" w:color="auto" w:fill="E6E7E8"/>
          </w:tcPr>
          <w:p>
            <w:pPr>
              <w:pStyle w:val="TableParagraph"/>
              <w:rPr>
                <w:rFonts w:ascii="Times New Roman"/>
                <w:sz w:val="18"/>
              </w:rPr>
            </w:pPr>
          </w:p>
        </w:tc>
        <w:tc>
          <w:tcPr>
            <w:tcW w:w="1289" w:type="dxa"/>
            <w:tcBorders>
              <w:top w:val="nil"/>
              <w:left w:val="single" w:sz="4" w:space="0" w:color="BCBEC0"/>
              <w:bottom w:val="nil"/>
              <w:right w:val="single" w:sz="4" w:space="0" w:color="BCBEC0"/>
            </w:tcBorders>
          </w:tcPr>
          <w:p>
            <w:pPr>
              <w:pStyle w:val="TableParagraph"/>
              <w:rPr>
                <w:rFonts w:ascii="Times New Roman"/>
                <w:sz w:val="18"/>
              </w:rPr>
            </w:pPr>
          </w:p>
        </w:tc>
        <w:tc>
          <w:tcPr>
            <w:tcW w:w="1591" w:type="dxa"/>
            <w:tcBorders>
              <w:top w:val="nil"/>
              <w:left w:val="single" w:sz="4" w:space="0" w:color="BCBEC0"/>
              <w:right w:val="single" w:sz="4" w:space="0" w:color="BCBEC0"/>
            </w:tcBorders>
          </w:tcPr>
          <w:p>
            <w:pPr>
              <w:pStyle w:val="TableParagraph"/>
              <w:rPr>
                <w:rFonts w:ascii="Times New Roman"/>
                <w:sz w:val="18"/>
              </w:rPr>
            </w:pPr>
          </w:p>
        </w:tc>
        <w:tc>
          <w:tcPr>
            <w:tcW w:w="2822" w:type="dxa"/>
            <w:tcBorders>
              <w:top w:val="nil"/>
              <w:left w:val="single" w:sz="4" w:space="0" w:color="BCBEC0"/>
              <w:right w:val="single" w:sz="4" w:space="0" w:color="BCBEC0"/>
            </w:tcBorders>
          </w:tcPr>
          <w:p>
            <w:pPr>
              <w:pStyle w:val="TableParagraph"/>
              <w:spacing w:before="40"/>
              <w:ind w:left="84"/>
              <w:rPr>
                <w:sz w:val="18"/>
              </w:rPr>
            </w:pPr>
            <w:r>
              <w:rPr>
                <w:color w:val="105C84"/>
                <w:spacing w:val="-2"/>
                <w:sz w:val="18"/>
              </w:rPr>
              <w:t>Data</w:t>
            </w:r>
            <w:r>
              <w:rPr>
                <w:color w:val="105C84"/>
                <w:spacing w:val="-6"/>
                <w:sz w:val="18"/>
              </w:rPr>
              <w:t> </w:t>
            </w:r>
            <w:r>
              <w:rPr>
                <w:color w:val="105C84"/>
                <w:spacing w:val="-2"/>
                <w:sz w:val="18"/>
              </w:rPr>
              <w:t>Level:</w:t>
            </w:r>
            <w:r>
              <w:rPr>
                <w:color w:val="105C84"/>
                <w:spacing w:val="-6"/>
                <w:sz w:val="18"/>
              </w:rPr>
              <w:t> </w:t>
            </w:r>
            <w:r>
              <w:rPr>
                <w:color w:val="105C84"/>
                <w:spacing w:val="-2"/>
                <w:sz w:val="18"/>
              </w:rPr>
              <w:t>County</w:t>
            </w:r>
          </w:p>
        </w:tc>
        <w:tc>
          <w:tcPr>
            <w:tcW w:w="1267" w:type="dxa"/>
            <w:vMerge/>
            <w:tcBorders>
              <w:top w:val="nil"/>
              <w:left w:val="single" w:sz="4" w:space="0" w:color="BCBEC0"/>
              <w:right w:val="single" w:sz="4" w:space="0" w:color="BCBEC0"/>
            </w:tcBorders>
          </w:tcPr>
          <w:p>
            <w:pPr>
              <w:rPr>
                <w:sz w:val="2"/>
                <w:szCs w:val="2"/>
              </w:rPr>
            </w:pPr>
          </w:p>
        </w:tc>
        <w:tc>
          <w:tcPr>
            <w:tcW w:w="2861" w:type="dxa"/>
            <w:vMerge/>
            <w:tcBorders>
              <w:top w:val="nil"/>
              <w:left w:val="single" w:sz="4" w:space="0" w:color="BCBEC0"/>
              <w:right w:val="nil"/>
            </w:tcBorders>
          </w:tcPr>
          <w:p>
            <w:pPr>
              <w:rPr>
                <w:sz w:val="2"/>
                <w:szCs w:val="2"/>
              </w:rPr>
            </w:pPr>
          </w:p>
        </w:tc>
        <w:tc>
          <w:tcPr>
            <w:tcW w:w="3359" w:type="dxa"/>
            <w:vMerge/>
            <w:tcBorders>
              <w:top w:val="nil"/>
              <w:left w:val="nil"/>
              <w:right w:val="single" w:sz="4" w:space="0" w:color="BCBEC0"/>
            </w:tcBorders>
          </w:tcPr>
          <w:p>
            <w:pPr>
              <w:rPr>
                <w:sz w:val="2"/>
                <w:szCs w:val="2"/>
              </w:rPr>
            </w:pPr>
          </w:p>
        </w:tc>
        <w:tc>
          <w:tcPr>
            <w:tcW w:w="2390" w:type="dxa"/>
            <w:vMerge/>
            <w:tcBorders>
              <w:top w:val="nil"/>
              <w:left w:val="single" w:sz="4" w:space="0" w:color="BCBEC0"/>
              <w:right w:val="single" w:sz="4" w:space="0" w:color="BCBEC0"/>
            </w:tcBorders>
          </w:tcPr>
          <w:p>
            <w:pPr>
              <w:rPr>
                <w:sz w:val="2"/>
                <w:szCs w:val="2"/>
              </w:rPr>
            </w:pPr>
          </w:p>
        </w:tc>
        <w:tc>
          <w:tcPr>
            <w:tcW w:w="3196" w:type="dxa"/>
            <w:vMerge/>
            <w:tcBorders>
              <w:top w:val="nil"/>
              <w:left w:val="single" w:sz="4" w:space="0" w:color="BCBEC0"/>
              <w:right w:val="single" w:sz="4" w:space="0" w:color="BCBEC0"/>
            </w:tcBorders>
          </w:tcPr>
          <w:p>
            <w:pPr>
              <w:rPr>
                <w:sz w:val="2"/>
                <w:szCs w:val="2"/>
              </w:rPr>
            </w:pPr>
          </w:p>
        </w:tc>
        <w:tc>
          <w:tcPr>
            <w:tcW w:w="2097" w:type="dxa"/>
            <w:vMerge/>
            <w:tcBorders>
              <w:top w:val="nil"/>
              <w:left w:val="single" w:sz="4" w:space="0" w:color="BCBEC0"/>
              <w:right w:val="single" w:sz="4" w:space="0" w:color="BCBEC0"/>
            </w:tcBorders>
          </w:tcPr>
          <w:p>
            <w:pPr>
              <w:rPr>
                <w:sz w:val="2"/>
                <w:szCs w:val="2"/>
              </w:rPr>
            </w:pPr>
          </w:p>
        </w:tc>
      </w:tr>
      <w:tr>
        <w:trPr>
          <w:trHeight w:val="975" w:hRule="exact"/>
        </w:trPr>
        <w:tc>
          <w:tcPr>
            <w:tcW w:w="1353" w:type="dxa"/>
            <w:tcBorders>
              <w:top w:val="nil"/>
              <w:left w:val="single" w:sz="4" w:space="0" w:color="BCBEC0"/>
              <w:bottom w:val="nil"/>
              <w:right w:val="single" w:sz="4" w:space="0" w:color="BCBEC0"/>
            </w:tcBorders>
            <w:shd w:val="clear" w:color="auto" w:fill="E6E7E8"/>
          </w:tcPr>
          <w:p>
            <w:pPr>
              <w:pStyle w:val="TableParagraph"/>
              <w:rPr>
                <w:rFonts w:ascii="Times New Roman"/>
                <w:sz w:val="18"/>
              </w:rPr>
            </w:pPr>
          </w:p>
        </w:tc>
        <w:tc>
          <w:tcPr>
            <w:tcW w:w="1289" w:type="dxa"/>
            <w:tcBorders>
              <w:top w:val="nil"/>
              <w:left w:val="single" w:sz="4" w:space="0" w:color="BCBEC0"/>
              <w:bottom w:val="nil"/>
              <w:right w:val="single" w:sz="4" w:space="0" w:color="BCBEC0"/>
            </w:tcBorders>
          </w:tcPr>
          <w:p>
            <w:pPr>
              <w:pStyle w:val="TableParagraph"/>
              <w:rPr>
                <w:rFonts w:ascii="Times New Roman"/>
                <w:sz w:val="18"/>
              </w:rPr>
            </w:pPr>
          </w:p>
        </w:tc>
        <w:tc>
          <w:tcPr>
            <w:tcW w:w="1591" w:type="dxa"/>
            <w:tcBorders>
              <w:left w:val="single" w:sz="4" w:space="0" w:color="BCBEC0"/>
              <w:bottom w:val="nil"/>
              <w:right w:val="single" w:sz="4" w:space="0" w:color="BCBEC0"/>
            </w:tcBorders>
          </w:tcPr>
          <w:p>
            <w:pPr>
              <w:pStyle w:val="TableParagraph"/>
              <w:spacing w:line="232" w:lineRule="auto" w:before="110"/>
              <w:ind w:left="84" w:right="93"/>
              <w:jc w:val="both"/>
              <w:rPr>
                <w:sz w:val="18"/>
              </w:rPr>
            </w:pPr>
            <w:r>
              <w:rPr>
                <w:color w:val="105C84"/>
                <w:sz w:val="18"/>
              </w:rPr>
              <w:t>Goal</w:t>
            </w:r>
            <w:r>
              <w:rPr>
                <w:color w:val="105C84"/>
                <w:spacing w:val="-15"/>
                <w:sz w:val="18"/>
              </w:rPr>
              <w:t> </w:t>
            </w:r>
            <w:r>
              <w:rPr>
                <w:color w:val="105C84"/>
                <w:sz w:val="18"/>
              </w:rPr>
              <w:t>2.2:</w:t>
            </w:r>
            <w:r>
              <w:rPr>
                <w:color w:val="105C84"/>
                <w:spacing w:val="-12"/>
                <w:sz w:val="18"/>
              </w:rPr>
              <w:t> </w:t>
            </w:r>
            <w:r>
              <w:rPr>
                <w:color w:val="105C84"/>
                <w:sz w:val="18"/>
              </w:rPr>
              <w:t>Prevent opioid and other </w:t>
            </w:r>
            <w:r>
              <w:rPr>
                <w:color w:val="105C84"/>
                <w:spacing w:val="-4"/>
                <w:sz w:val="18"/>
              </w:rPr>
              <w:t>substance</w:t>
            </w:r>
            <w:r>
              <w:rPr>
                <w:color w:val="105C84"/>
                <w:spacing w:val="-9"/>
                <w:sz w:val="18"/>
              </w:rPr>
              <w:t> </w:t>
            </w:r>
            <w:r>
              <w:rPr>
                <w:color w:val="105C84"/>
                <w:spacing w:val="-4"/>
                <w:sz w:val="18"/>
              </w:rPr>
              <w:t>misuse </w:t>
            </w:r>
            <w:r>
              <w:rPr>
                <w:color w:val="105C84"/>
                <w:sz w:val="18"/>
              </w:rPr>
              <w:t>and deaths</w:t>
            </w:r>
          </w:p>
        </w:tc>
        <w:tc>
          <w:tcPr>
            <w:tcW w:w="2822" w:type="dxa"/>
            <w:tcBorders>
              <w:left w:val="single" w:sz="4" w:space="0" w:color="BCBEC0"/>
              <w:bottom w:val="nil"/>
              <w:right w:val="single" w:sz="4" w:space="0" w:color="BCBEC0"/>
            </w:tcBorders>
          </w:tcPr>
          <w:p>
            <w:pPr>
              <w:pStyle w:val="TableParagraph"/>
              <w:spacing w:line="232" w:lineRule="auto" w:before="110"/>
              <w:ind w:left="84"/>
              <w:rPr>
                <w:sz w:val="18"/>
              </w:rPr>
            </w:pPr>
            <w:r>
              <w:rPr>
                <w:color w:val="105C84"/>
                <w:sz w:val="18"/>
              </w:rPr>
              <w:t>2.2.1 Reduce the age-adjusted overdose deaths involving any opioid</w:t>
            </w:r>
            <w:r>
              <w:rPr>
                <w:color w:val="105C84"/>
                <w:spacing w:val="-12"/>
                <w:sz w:val="18"/>
              </w:rPr>
              <w:t> </w:t>
            </w:r>
            <w:r>
              <w:rPr>
                <w:color w:val="105C84"/>
                <w:sz w:val="18"/>
              </w:rPr>
              <w:t>by</w:t>
            </w:r>
            <w:r>
              <w:rPr>
                <w:color w:val="105C84"/>
                <w:spacing w:val="-12"/>
                <w:sz w:val="18"/>
              </w:rPr>
              <w:t> </w:t>
            </w:r>
            <w:r>
              <w:rPr>
                <w:color w:val="105C84"/>
                <w:sz w:val="18"/>
              </w:rPr>
              <w:t>7%</w:t>
            </w:r>
            <w:r>
              <w:rPr>
                <w:color w:val="105C84"/>
                <w:spacing w:val="-12"/>
                <w:sz w:val="18"/>
              </w:rPr>
              <w:t> </w:t>
            </w:r>
            <w:r>
              <w:rPr>
                <w:color w:val="105C84"/>
                <w:sz w:val="18"/>
              </w:rPr>
              <w:t>to</w:t>
            </w:r>
            <w:r>
              <w:rPr>
                <w:color w:val="105C84"/>
                <w:spacing w:val="-12"/>
                <w:sz w:val="18"/>
              </w:rPr>
              <w:t> </w:t>
            </w:r>
            <w:r>
              <w:rPr>
                <w:color w:val="105C84"/>
                <w:sz w:val="18"/>
              </w:rPr>
              <w:t>14.0</w:t>
            </w:r>
            <w:r>
              <w:rPr>
                <w:color w:val="105C84"/>
                <w:spacing w:val="-12"/>
                <w:sz w:val="18"/>
              </w:rPr>
              <w:t> </w:t>
            </w:r>
            <w:r>
              <w:rPr>
                <w:color w:val="105C84"/>
                <w:sz w:val="18"/>
              </w:rPr>
              <w:t>per</w:t>
            </w:r>
            <w:r>
              <w:rPr>
                <w:color w:val="105C84"/>
                <w:spacing w:val="-12"/>
                <w:sz w:val="18"/>
              </w:rPr>
              <w:t> </w:t>
            </w:r>
            <w:r>
              <w:rPr>
                <w:color w:val="105C84"/>
                <w:sz w:val="18"/>
              </w:rPr>
              <w:t>100,000</w:t>
            </w:r>
            <w:r>
              <w:rPr>
                <w:color w:val="105C84"/>
                <w:sz w:val="18"/>
              </w:rPr>
              <w:t> </w:t>
            </w:r>
            <w:r>
              <w:rPr>
                <w:color w:val="105C84"/>
                <w:spacing w:val="-2"/>
                <w:sz w:val="18"/>
              </w:rPr>
              <w:t>population</w:t>
            </w:r>
          </w:p>
        </w:tc>
        <w:tc>
          <w:tcPr>
            <w:tcW w:w="1267" w:type="dxa"/>
            <w:vMerge/>
            <w:tcBorders>
              <w:top w:val="nil"/>
              <w:left w:val="single" w:sz="4" w:space="0" w:color="BCBEC0"/>
              <w:right w:val="single" w:sz="4" w:space="0" w:color="BCBEC0"/>
            </w:tcBorders>
          </w:tcPr>
          <w:p>
            <w:pPr>
              <w:rPr>
                <w:sz w:val="2"/>
                <w:szCs w:val="2"/>
              </w:rPr>
            </w:pPr>
          </w:p>
        </w:tc>
        <w:tc>
          <w:tcPr>
            <w:tcW w:w="2861" w:type="dxa"/>
            <w:vMerge w:val="restart"/>
            <w:tcBorders>
              <w:left w:val="single" w:sz="4" w:space="0" w:color="BCBEC0"/>
              <w:right w:val="nil"/>
            </w:tcBorders>
          </w:tcPr>
          <w:p>
            <w:pPr>
              <w:pStyle w:val="TableParagraph"/>
              <w:spacing w:line="232" w:lineRule="auto" w:before="109"/>
              <w:ind w:left="84" w:right="1053"/>
              <w:rPr>
                <w:sz w:val="18"/>
              </w:rPr>
            </w:pPr>
            <w:r>
              <w:rPr>
                <w:color w:val="105C84"/>
                <w:sz w:val="18"/>
              </w:rPr>
              <w:t>2.2.2 Increase </w:t>
            </w:r>
            <w:r>
              <w:rPr>
                <w:color w:val="105C84"/>
                <w:spacing w:val="-2"/>
                <w:sz w:val="18"/>
              </w:rPr>
              <w:t>availability</w:t>
            </w:r>
            <w:r>
              <w:rPr>
                <w:color w:val="105C84"/>
                <w:spacing w:val="-10"/>
                <w:sz w:val="18"/>
              </w:rPr>
              <w:t> </w:t>
            </w:r>
            <w:r>
              <w:rPr>
                <w:color w:val="105C84"/>
                <w:spacing w:val="-2"/>
                <w:sz w:val="18"/>
              </w:rPr>
              <w:t>of/acces</w:t>
            </w:r>
            <w:r>
              <w:rPr>
                <w:color w:val="105C84"/>
                <w:spacing w:val="-2"/>
                <w:sz w:val="18"/>
              </w:rPr>
              <w:t>s</w:t>
            </w:r>
            <w:r>
              <w:rPr>
                <w:color w:val="105C84"/>
                <w:spacing w:val="-2"/>
                <w:sz w:val="18"/>
              </w:rPr>
              <w:t> </w:t>
            </w:r>
            <w:r>
              <w:rPr>
                <w:color w:val="105C84"/>
                <w:sz w:val="18"/>
              </w:rPr>
              <w:t>to</w:t>
            </w:r>
            <w:r>
              <w:rPr>
                <w:color w:val="105C84"/>
                <w:spacing w:val="-15"/>
                <w:sz w:val="18"/>
              </w:rPr>
              <w:t> </w:t>
            </w:r>
            <w:r>
              <w:rPr>
                <w:color w:val="105C84"/>
                <w:sz w:val="18"/>
              </w:rPr>
              <w:t>overdose</w:t>
            </w:r>
            <w:r>
              <w:rPr>
                <w:color w:val="105C84"/>
                <w:spacing w:val="-12"/>
                <w:sz w:val="18"/>
              </w:rPr>
              <w:t> </w:t>
            </w:r>
            <w:r>
              <w:rPr>
                <w:color w:val="105C84"/>
                <w:sz w:val="18"/>
              </w:rPr>
              <w:t>reversal (Naloxone)</w:t>
            </w:r>
            <w:r>
              <w:rPr>
                <w:color w:val="105C84"/>
                <w:spacing w:val="-13"/>
                <w:sz w:val="18"/>
              </w:rPr>
              <w:t> </w:t>
            </w:r>
            <w:r>
              <w:rPr>
                <w:color w:val="105C84"/>
                <w:sz w:val="18"/>
              </w:rPr>
              <w:t>trainings to prescribers, pharmacists and </w:t>
            </w:r>
            <w:r>
              <w:rPr>
                <w:color w:val="105C84"/>
                <w:spacing w:val="-2"/>
                <w:sz w:val="18"/>
              </w:rPr>
              <w:t>consumers</w:t>
            </w:r>
          </w:p>
        </w:tc>
        <w:tc>
          <w:tcPr>
            <w:tcW w:w="3359" w:type="dxa"/>
            <w:vMerge w:val="restart"/>
            <w:tcBorders>
              <w:left w:val="nil"/>
              <w:right w:val="single" w:sz="4" w:space="0" w:color="BCBEC0"/>
            </w:tcBorders>
          </w:tcPr>
          <w:p>
            <w:pPr>
              <w:pStyle w:val="TableParagraph"/>
              <w:numPr>
                <w:ilvl w:val="0"/>
                <w:numId w:val="66"/>
              </w:numPr>
              <w:tabs>
                <w:tab w:pos="1361" w:val="left" w:leader="none"/>
              </w:tabs>
              <w:spacing w:line="240" w:lineRule="auto" w:before="104" w:after="0"/>
              <w:ind w:left="1361" w:right="0" w:hanging="186"/>
              <w:jc w:val="left"/>
              <w:rPr>
                <w:sz w:val="18"/>
              </w:rPr>
            </w:pPr>
            <w:r>
              <w:rPr>
                <w:color w:val="105C84"/>
                <w:sz w:val="18"/>
              </w:rPr>
              <w:t>#</w:t>
            </w:r>
            <w:r>
              <w:rPr>
                <w:color w:val="105C84"/>
                <w:spacing w:val="-11"/>
                <w:sz w:val="18"/>
              </w:rPr>
              <w:t> </w:t>
            </w:r>
            <w:r>
              <w:rPr>
                <w:color w:val="105C84"/>
                <w:sz w:val="18"/>
              </w:rPr>
              <w:t>Narcan</w:t>
            </w:r>
            <w:r>
              <w:rPr>
                <w:color w:val="105C84"/>
                <w:spacing w:val="-11"/>
                <w:sz w:val="18"/>
              </w:rPr>
              <w:t> </w:t>
            </w:r>
            <w:r>
              <w:rPr>
                <w:color w:val="105C84"/>
                <w:sz w:val="18"/>
              </w:rPr>
              <w:t>trainings</w:t>
            </w:r>
            <w:r>
              <w:rPr>
                <w:color w:val="105C84"/>
                <w:spacing w:val="-10"/>
                <w:sz w:val="18"/>
              </w:rPr>
              <w:t> </w:t>
            </w:r>
            <w:r>
              <w:rPr>
                <w:color w:val="105C84"/>
                <w:spacing w:val="-4"/>
                <w:sz w:val="18"/>
              </w:rPr>
              <w:t>held</w:t>
            </w:r>
          </w:p>
          <w:p>
            <w:pPr>
              <w:pStyle w:val="TableParagraph"/>
              <w:numPr>
                <w:ilvl w:val="0"/>
                <w:numId w:val="66"/>
              </w:numPr>
              <w:tabs>
                <w:tab w:pos="1361" w:val="left" w:leader="none"/>
              </w:tabs>
              <w:spacing w:line="232" w:lineRule="auto" w:before="102" w:after="0"/>
              <w:ind w:left="1175" w:right="162" w:firstLine="0"/>
              <w:jc w:val="left"/>
              <w:rPr>
                <w:sz w:val="18"/>
              </w:rPr>
            </w:pPr>
            <w:r>
              <w:rPr>
                <w:color w:val="105C84"/>
                <w:sz w:val="18"/>
              </w:rPr>
              <w:t># of community members trained in the administration</w:t>
            </w:r>
            <w:r>
              <w:rPr>
                <w:color w:val="105C84"/>
                <w:spacing w:val="-13"/>
                <w:sz w:val="18"/>
              </w:rPr>
              <w:t> </w:t>
            </w:r>
            <w:r>
              <w:rPr>
                <w:color w:val="105C84"/>
                <w:sz w:val="18"/>
              </w:rPr>
              <w:t>of</w:t>
            </w:r>
            <w:r>
              <w:rPr>
                <w:color w:val="105C84"/>
                <w:spacing w:val="-12"/>
                <w:sz w:val="18"/>
              </w:rPr>
              <w:t> </w:t>
            </w:r>
            <w:r>
              <w:rPr>
                <w:color w:val="105C84"/>
                <w:sz w:val="18"/>
              </w:rPr>
              <w:t>Narcan.</w:t>
            </w:r>
          </w:p>
        </w:tc>
        <w:tc>
          <w:tcPr>
            <w:tcW w:w="2390" w:type="dxa"/>
            <w:tcBorders>
              <w:left w:val="single" w:sz="4" w:space="0" w:color="BCBEC0"/>
              <w:bottom w:val="nil"/>
              <w:right w:val="single" w:sz="4" w:space="0" w:color="BCBEC0"/>
            </w:tcBorders>
          </w:tcPr>
          <w:p>
            <w:pPr>
              <w:pStyle w:val="TableParagraph"/>
              <w:spacing w:before="104"/>
              <w:ind w:left="84"/>
              <w:rPr>
                <w:sz w:val="18"/>
              </w:rPr>
            </w:pPr>
            <w:r>
              <w:rPr>
                <w:color w:val="105C84"/>
                <w:sz w:val="18"/>
              </w:rPr>
              <w:t>OC</w:t>
            </w:r>
            <w:r>
              <w:rPr>
                <w:color w:val="105C84"/>
                <w:spacing w:val="-6"/>
                <w:sz w:val="18"/>
              </w:rPr>
              <w:t> </w:t>
            </w:r>
            <w:r>
              <w:rPr>
                <w:color w:val="105C84"/>
                <w:sz w:val="18"/>
              </w:rPr>
              <w:t>Public</w:t>
            </w:r>
            <w:r>
              <w:rPr>
                <w:color w:val="105C84"/>
                <w:spacing w:val="-6"/>
                <w:sz w:val="18"/>
              </w:rPr>
              <w:t> </w:t>
            </w:r>
            <w:r>
              <w:rPr>
                <w:color w:val="105C84"/>
                <w:spacing w:val="-2"/>
                <w:sz w:val="18"/>
              </w:rPr>
              <w:t>Health</w:t>
            </w:r>
          </w:p>
          <w:p>
            <w:pPr>
              <w:pStyle w:val="TableParagraph"/>
              <w:spacing w:before="97"/>
              <w:ind w:left="84"/>
              <w:rPr>
                <w:sz w:val="18"/>
              </w:rPr>
            </w:pPr>
            <w:r>
              <w:rPr>
                <w:color w:val="105C84"/>
                <w:spacing w:val="-6"/>
                <w:sz w:val="18"/>
              </w:rPr>
              <w:t>S2AY</w:t>
            </w:r>
            <w:r>
              <w:rPr>
                <w:color w:val="105C84"/>
                <w:spacing w:val="-1"/>
                <w:sz w:val="18"/>
              </w:rPr>
              <w:t> </w:t>
            </w:r>
            <w:r>
              <w:rPr>
                <w:color w:val="105C84"/>
                <w:spacing w:val="-6"/>
                <w:sz w:val="18"/>
              </w:rPr>
              <w:t>Rural</w:t>
            </w:r>
            <w:r>
              <w:rPr>
                <w:color w:val="105C84"/>
                <w:spacing w:val="-1"/>
                <w:sz w:val="18"/>
              </w:rPr>
              <w:t> </w:t>
            </w:r>
            <w:r>
              <w:rPr>
                <w:color w:val="105C84"/>
                <w:spacing w:val="-6"/>
                <w:sz w:val="18"/>
              </w:rPr>
              <w:t>Health</w:t>
            </w:r>
            <w:r>
              <w:rPr>
                <w:color w:val="105C84"/>
                <w:sz w:val="18"/>
              </w:rPr>
              <w:t> </w:t>
            </w:r>
            <w:r>
              <w:rPr>
                <w:color w:val="105C84"/>
                <w:spacing w:val="-6"/>
                <w:sz w:val="18"/>
              </w:rPr>
              <w:t>Network</w:t>
            </w:r>
          </w:p>
        </w:tc>
        <w:tc>
          <w:tcPr>
            <w:tcW w:w="3196" w:type="dxa"/>
            <w:vMerge w:val="restart"/>
            <w:tcBorders>
              <w:left w:val="single" w:sz="4" w:space="0" w:color="BCBEC0"/>
              <w:right w:val="single" w:sz="4" w:space="0" w:color="BCBEC0"/>
            </w:tcBorders>
          </w:tcPr>
          <w:p>
            <w:pPr>
              <w:pStyle w:val="TableParagraph"/>
              <w:spacing w:line="232" w:lineRule="auto" w:before="109"/>
              <w:ind w:left="84" w:right="350"/>
              <w:rPr>
                <w:sz w:val="18"/>
              </w:rPr>
            </w:pPr>
            <w:r>
              <w:rPr>
                <w:color w:val="105C84"/>
                <w:sz w:val="18"/>
              </w:rPr>
              <w:t>OC Public Health: Participate in the</w:t>
            </w:r>
            <w:r>
              <w:rPr>
                <w:color w:val="105C84"/>
                <w:spacing w:val="-2"/>
                <w:sz w:val="18"/>
              </w:rPr>
              <w:t> </w:t>
            </w:r>
            <w:r>
              <w:rPr>
                <w:color w:val="105C84"/>
                <w:sz w:val="18"/>
              </w:rPr>
              <w:t>NYSDOH’s</w:t>
            </w:r>
            <w:r>
              <w:rPr>
                <w:color w:val="105C84"/>
                <w:spacing w:val="-1"/>
                <w:sz w:val="18"/>
              </w:rPr>
              <w:t> </w:t>
            </w:r>
            <w:r>
              <w:rPr>
                <w:color w:val="105C84"/>
                <w:sz w:val="18"/>
              </w:rPr>
              <w:t>Opioid</w:t>
            </w:r>
            <w:r>
              <w:rPr>
                <w:color w:val="105C84"/>
                <w:spacing w:val="-2"/>
                <w:sz w:val="18"/>
              </w:rPr>
              <w:t> </w:t>
            </w:r>
            <w:r>
              <w:rPr>
                <w:color w:val="105C84"/>
                <w:spacing w:val="-2"/>
                <w:sz w:val="18"/>
              </w:rPr>
              <w:t>Overdose</w:t>
            </w:r>
          </w:p>
          <w:p>
            <w:pPr>
              <w:pStyle w:val="TableParagraph"/>
              <w:spacing w:line="232" w:lineRule="auto"/>
              <w:ind w:left="84" w:right="90"/>
              <w:rPr>
                <w:sz w:val="18"/>
              </w:rPr>
            </w:pPr>
            <w:r>
              <w:rPr>
                <w:color w:val="105C84"/>
                <w:spacing w:val="-2"/>
                <w:sz w:val="18"/>
              </w:rPr>
              <w:t>Prevention</w:t>
            </w:r>
            <w:r>
              <w:rPr>
                <w:color w:val="105C84"/>
                <w:spacing w:val="-6"/>
                <w:sz w:val="18"/>
              </w:rPr>
              <w:t> </w:t>
            </w:r>
            <w:r>
              <w:rPr>
                <w:color w:val="105C84"/>
                <w:spacing w:val="-2"/>
                <w:sz w:val="18"/>
              </w:rPr>
              <w:t>Program.</w:t>
            </w:r>
            <w:r>
              <w:rPr>
                <w:color w:val="105C84"/>
                <w:spacing w:val="-6"/>
                <w:sz w:val="18"/>
              </w:rPr>
              <w:t> </w:t>
            </w:r>
            <w:r>
              <w:rPr>
                <w:color w:val="105C84"/>
                <w:spacing w:val="-2"/>
                <w:sz w:val="18"/>
              </w:rPr>
              <w:t>Provide</w:t>
            </w:r>
            <w:r>
              <w:rPr>
                <w:color w:val="105C84"/>
                <w:spacing w:val="-6"/>
                <w:sz w:val="18"/>
              </w:rPr>
              <w:t> </w:t>
            </w:r>
            <w:r>
              <w:rPr>
                <w:color w:val="105C84"/>
                <w:spacing w:val="-2"/>
                <w:sz w:val="18"/>
              </w:rPr>
              <w:t>and</w:t>
            </w:r>
            <w:r>
              <w:rPr>
                <w:color w:val="105C84"/>
                <w:spacing w:val="-6"/>
                <w:sz w:val="18"/>
              </w:rPr>
              <w:t> </w:t>
            </w:r>
            <w:r>
              <w:rPr>
                <w:color w:val="105C84"/>
                <w:spacing w:val="-2"/>
                <w:sz w:val="18"/>
              </w:rPr>
              <w:t>use </w:t>
            </w:r>
            <w:r>
              <w:rPr>
                <w:color w:val="105C84"/>
                <w:sz w:val="18"/>
              </w:rPr>
              <w:t>earned media to raise community awareness about availability of Narcan Trainings in the community. Participate on the Regional Opioid Task Force.</w:t>
            </w:r>
          </w:p>
          <w:p>
            <w:pPr>
              <w:pStyle w:val="TableParagraph"/>
              <w:spacing w:line="232" w:lineRule="auto" w:before="97"/>
              <w:ind w:left="84" w:right="212"/>
              <w:rPr>
                <w:sz w:val="18"/>
              </w:rPr>
            </w:pPr>
            <w:r>
              <w:rPr>
                <w:color w:val="105C84"/>
                <w:sz w:val="18"/>
              </w:rPr>
              <w:t>S2AY:</w:t>
            </w:r>
            <w:r>
              <w:rPr>
                <w:color w:val="105C84"/>
                <w:spacing w:val="-13"/>
                <w:sz w:val="18"/>
              </w:rPr>
              <w:t> </w:t>
            </w:r>
            <w:r>
              <w:rPr>
                <w:color w:val="105C84"/>
                <w:sz w:val="18"/>
              </w:rPr>
              <w:t>Continue</w:t>
            </w:r>
            <w:r>
              <w:rPr>
                <w:color w:val="105C84"/>
                <w:spacing w:val="-12"/>
                <w:sz w:val="18"/>
              </w:rPr>
              <w:t> </w:t>
            </w:r>
            <w:r>
              <w:rPr>
                <w:color w:val="105C84"/>
                <w:sz w:val="18"/>
              </w:rPr>
              <w:t>to</w:t>
            </w:r>
            <w:r>
              <w:rPr>
                <w:color w:val="105C84"/>
                <w:spacing w:val="-13"/>
                <w:sz w:val="18"/>
              </w:rPr>
              <w:t> </w:t>
            </w:r>
            <w:r>
              <w:rPr>
                <w:color w:val="105C84"/>
                <w:sz w:val="18"/>
              </w:rPr>
              <w:t>lead</w:t>
            </w:r>
            <w:r>
              <w:rPr>
                <w:color w:val="105C84"/>
                <w:spacing w:val="-12"/>
                <w:sz w:val="18"/>
              </w:rPr>
              <w:t> </w:t>
            </w:r>
            <w:r>
              <w:rPr>
                <w:color w:val="105C84"/>
                <w:sz w:val="18"/>
              </w:rPr>
              <w:t>the</w:t>
            </w:r>
            <w:r>
              <w:rPr>
                <w:color w:val="105C84"/>
                <w:spacing w:val="-13"/>
                <w:sz w:val="18"/>
              </w:rPr>
              <w:t> </w:t>
            </w:r>
            <w:r>
              <w:rPr>
                <w:color w:val="105C84"/>
                <w:sz w:val="18"/>
              </w:rPr>
              <w:t>Regional Opioid Task Force</w:t>
            </w:r>
          </w:p>
        </w:tc>
        <w:tc>
          <w:tcPr>
            <w:tcW w:w="2097" w:type="dxa"/>
            <w:tcBorders>
              <w:left w:val="single" w:sz="4" w:space="0" w:color="BCBEC0"/>
              <w:bottom w:val="nil"/>
              <w:right w:val="single" w:sz="4" w:space="0" w:color="BCBEC0"/>
            </w:tcBorders>
          </w:tcPr>
          <w:p>
            <w:pPr>
              <w:pStyle w:val="TableParagraph"/>
              <w:spacing w:line="203" w:lineRule="exact" w:before="104"/>
              <w:ind w:left="84"/>
              <w:rPr>
                <w:sz w:val="18"/>
              </w:rPr>
            </w:pPr>
            <w:r>
              <w:rPr>
                <w:color w:val="105C84"/>
                <w:sz w:val="18"/>
              </w:rPr>
              <w:t>OC</w:t>
            </w:r>
            <w:r>
              <w:rPr>
                <w:color w:val="105C84"/>
                <w:spacing w:val="-6"/>
                <w:sz w:val="18"/>
              </w:rPr>
              <w:t> </w:t>
            </w:r>
            <w:r>
              <w:rPr>
                <w:color w:val="105C84"/>
                <w:sz w:val="18"/>
              </w:rPr>
              <w:t>Public</w:t>
            </w:r>
            <w:r>
              <w:rPr>
                <w:color w:val="105C84"/>
                <w:spacing w:val="-6"/>
                <w:sz w:val="18"/>
              </w:rPr>
              <w:t> </w:t>
            </w:r>
            <w:r>
              <w:rPr>
                <w:color w:val="105C84"/>
                <w:spacing w:val="-2"/>
                <w:sz w:val="18"/>
              </w:rPr>
              <w:t>Health:</w:t>
            </w:r>
          </w:p>
          <w:p>
            <w:pPr>
              <w:pStyle w:val="TableParagraph"/>
              <w:spacing w:line="203" w:lineRule="exact"/>
              <w:ind w:left="84"/>
              <w:rPr>
                <w:sz w:val="18"/>
              </w:rPr>
            </w:pPr>
            <w:r>
              <w:rPr>
                <w:color w:val="105C84"/>
                <w:spacing w:val="-2"/>
                <w:sz w:val="18"/>
              </w:rPr>
              <w:t>$5,000</w:t>
            </w:r>
          </w:p>
          <w:p>
            <w:pPr>
              <w:pStyle w:val="TableParagraph"/>
              <w:spacing w:before="96"/>
              <w:ind w:left="84"/>
              <w:rPr>
                <w:sz w:val="18"/>
              </w:rPr>
            </w:pPr>
            <w:r>
              <w:rPr>
                <w:color w:val="105C84"/>
                <w:w w:val="90"/>
                <w:sz w:val="18"/>
              </w:rPr>
              <w:t>S2AY:</w:t>
            </w:r>
            <w:r>
              <w:rPr>
                <w:color w:val="105C84"/>
                <w:spacing w:val="-8"/>
                <w:w w:val="90"/>
                <w:sz w:val="18"/>
              </w:rPr>
              <w:t> </w:t>
            </w:r>
            <w:r>
              <w:rPr>
                <w:color w:val="105C84"/>
                <w:w w:val="90"/>
                <w:sz w:val="18"/>
              </w:rPr>
              <w:t>0.1</w:t>
            </w:r>
            <w:r>
              <w:rPr>
                <w:color w:val="105C84"/>
                <w:spacing w:val="-7"/>
                <w:w w:val="90"/>
                <w:sz w:val="18"/>
              </w:rPr>
              <w:t> </w:t>
            </w:r>
            <w:r>
              <w:rPr>
                <w:color w:val="105C84"/>
                <w:spacing w:val="-5"/>
                <w:w w:val="90"/>
                <w:sz w:val="18"/>
              </w:rPr>
              <w:t>FTE</w:t>
            </w:r>
          </w:p>
        </w:tc>
      </w:tr>
      <w:tr>
        <w:trPr>
          <w:trHeight w:val="303" w:hRule="exact"/>
        </w:trPr>
        <w:tc>
          <w:tcPr>
            <w:tcW w:w="1353" w:type="dxa"/>
            <w:tcBorders>
              <w:top w:val="nil"/>
              <w:left w:val="single" w:sz="4" w:space="0" w:color="BCBEC0"/>
              <w:bottom w:val="nil"/>
              <w:right w:val="single" w:sz="4" w:space="0" w:color="BCBEC0"/>
            </w:tcBorders>
            <w:shd w:val="clear" w:color="auto" w:fill="E6E7E8"/>
          </w:tcPr>
          <w:p>
            <w:pPr>
              <w:pStyle w:val="TableParagraph"/>
              <w:rPr>
                <w:rFonts w:ascii="Times New Roman"/>
                <w:sz w:val="18"/>
              </w:rPr>
            </w:pPr>
          </w:p>
        </w:tc>
        <w:tc>
          <w:tcPr>
            <w:tcW w:w="1289" w:type="dxa"/>
            <w:tcBorders>
              <w:top w:val="nil"/>
              <w:left w:val="single" w:sz="4" w:space="0" w:color="BCBEC0"/>
              <w:bottom w:val="nil"/>
              <w:right w:val="single" w:sz="4" w:space="0" w:color="BCBEC0"/>
            </w:tcBorders>
          </w:tcPr>
          <w:p>
            <w:pPr>
              <w:pStyle w:val="TableParagraph"/>
              <w:rPr>
                <w:rFonts w:ascii="Times New Roman"/>
                <w:sz w:val="18"/>
              </w:rPr>
            </w:pPr>
          </w:p>
        </w:tc>
        <w:tc>
          <w:tcPr>
            <w:tcW w:w="1591" w:type="dxa"/>
            <w:tcBorders>
              <w:top w:val="nil"/>
              <w:left w:val="single" w:sz="4" w:space="0" w:color="BCBEC0"/>
              <w:bottom w:val="nil"/>
              <w:right w:val="single" w:sz="4" w:space="0" w:color="BCBEC0"/>
            </w:tcBorders>
          </w:tcPr>
          <w:p>
            <w:pPr>
              <w:pStyle w:val="TableParagraph"/>
              <w:rPr>
                <w:rFonts w:ascii="Times New Roman"/>
                <w:sz w:val="18"/>
              </w:rPr>
            </w:pPr>
          </w:p>
        </w:tc>
        <w:tc>
          <w:tcPr>
            <w:tcW w:w="2822" w:type="dxa"/>
            <w:tcBorders>
              <w:top w:val="nil"/>
              <w:left w:val="single" w:sz="4" w:space="0" w:color="BCBEC0"/>
              <w:bottom w:val="nil"/>
              <w:right w:val="single" w:sz="4" w:space="0" w:color="BCBEC0"/>
            </w:tcBorders>
          </w:tcPr>
          <w:p>
            <w:pPr>
              <w:pStyle w:val="TableParagraph"/>
              <w:spacing w:before="40"/>
              <w:ind w:left="84"/>
              <w:rPr>
                <w:sz w:val="18"/>
              </w:rPr>
            </w:pPr>
            <w:r>
              <w:rPr>
                <w:color w:val="105C84"/>
                <w:spacing w:val="-2"/>
                <w:sz w:val="18"/>
              </w:rPr>
              <w:t>Target:</w:t>
            </w:r>
            <w:r>
              <w:rPr>
                <w:color w:val="105C84"/>
                <w:spacing w:val="-9"/>
                <w:sz w:val="18"/>
              </w:rPr>
              <w:t> </w:t>
            </w:r>
            <w:r>
              <w:rPr>
                <w:color w:val="105C84"/>
                <w:spacing w:val="-2"/>
                <w:sz w:val="18"/>
              </w:rPr>
              <w:t>14.0</w:t>
            </w:r>
            <w:r>
              <w:rPr>
                <w:color w:val="105C84"/>
                <w:spacing w:val="-8"/>
                <w:sz w:val="18"/>
              </w:rPr>
              <w:t> </w:t>
            </w:r>
            <w:r>
              <w:rPr>
                <w:color w:val="105C84"/>
                <w:spacing w:val="-2"/>
                <w:sz w:val="18"/>
              </w:rPr>
              <w:t>per</w:t>
            </w:r>
            <w:r>
              <w:rPr>
                <w:color w:val="105C84"/>
                <w:spacing w:val="-9"/>
                <w:sz w:val="18"/>
              </w:rPr>
              <w:t> </w:t>
            </w:r>
            <w:r>
              <w:rPr>
                <w:color w:val="105C84"/>
                <w:spacing w:val="-2"/>
                <w:sz w:val="18"/>
              </w:rPr>
              <w:t>100,000</w:t>
            </w:r>
          </w:p>
        </w:tc>
        <w:tc>
          <w:tcPr>
            <w:tcW w:w="1267" w:type="dxa"/>
            <w:vMerge/>
            <w:tcBorders>
              <w:top w:val="nil"/>
              <w:left w:val="single" w:sz="4" w:space="0" w:color="BCBEC0"/>
              <w:right w:val="single" w:sz="4" w:space="0" w:color="BCBEC0"/>
            </w:tcBorders>
          </w:tcPr>
          <w:p>
            <w:pPr>
              <w:rPr>
                <w:sz w:val="2"/>
                <w:szCs w:val="2"/>
              </w:rPr>
            </w:pPr>
          </w:p>
        </w:tc>
        <w:tc>
          <w:tcPr>
            <w:tcW w:w="2861" w:type="dxa"/>
            <w:vMerge/>
            <w:tcBorders>
              <w:top w:val="nil"/>
              <w:left w:val="single" w:sz="4" w:space="0" w:color="BCBEC0"/>
              <w:right w:val="nil"/>
            </w:tcBorders>
          </w:tcPr>
          <w:p>
            <w:pPr>
              <w:rPr>
                <w:sz w:val="2"/>
                <w:szCs w:val="2"/>
              </w:rPr>
            </w:pPr>
          </w:p>
        </w:tc>
        <w:tc>
          <w:tcPr>
            <w:tcW w:w="3359" w:type="dxa"/>
            <w:vMerge/>
            <w:tcBorders>
              <w:top w:val="nil"/>
              <w:left w:val="nil"/>
              <w:right w:val="single" w:sz="4" w:space="0" w:color="BCBEC0"/>
            </w:tcBorders>
          </w:tcPr>
          <w:p>
            <w:pPr>
              <w:rPr>
                <w:sz w:val="2"/>
                <w:szCs w:val="2"/>
              </w:rPr>
            </w:pPr>
          </w:p>
        </w:tc>
        <w:tc>
          <w:tcPr>
            <w:tcW w:w="2390" w:type="dxa"/>
            <w:tcBorders>
              <w:top w:val="nil"/>
              <w:left w:val="single" w:sz="4" w:space="0" w:color="BCBEC0"/>
              <w:bottom w:val="nil"/>
              <w:right w:val="single" w:sz="4" w:space="0" w:color="BCBEC0"/>
            </w:tcBorders>
          </w:tcPr>
          <w:p>
            <w:pPr>
              <w:pStyle w:val="TableParagraph"/>
              <w:rPr>
                <w:rFonts w:ascii="Times New Roman"/>
                <w:sz w:val="18"/>
              </w:rPr>
            </w:pPr>
          </w:p>
        </w:tc>
        <w:tc>
          <w:tcPr>
            <w:tcW w:w="3196" w:type="dxa"/>
            <w:vMerge/>
            <w:tcBorders>
              <w:top w:val="nil"/>
              <w:left w:val="single" w:sz="4" w:space="0" w:color="BCBEC0"/>
              <w:right w:val="single" w:sz="4" w:space="0" w:color="BCBEC0"/>
            </w:tcBorders>
          </w:tcPr>
          <w:p>
            <w:pPr>
              <w:rPr>
                <w:sz w:val="2"/>
                <w:szCs w:val="2"/>
              </w:rPr>
            </w:pPr>
          </w:p>
        </w:tc>
        <w:tc>
          <w:tcPr>
            <w:tcW w:w="2097" w:type="dxa"/>
            <w:tcBorders>
              <w:top w:val="nil"/>
              <w:left w:val="single" w:sz="4" w:space="0" w:color="BCBEC0"/>
              <w:bottom w:val="nil"/>
              <w:right w:val="single" w:sz="4" w:space="0" w:color="BCBEC0"/>
            </w:tcBorders>
          </w:tcPr>
          <w:p>
            <w:pPr>
              <w:pStyle w:val="TableParagraph"/>
              <w:rPr>
                <w:rFonts w:ascii="Times New Roman"/>
                <w:sz w:val="18"/>
              </w:rPr>
            </w:pPr>
          </w:p>
        </w:tc>
      </w:tr>
      <w:tr>
        <w:trPr>
          <w:trHeight w:val="303" w:hRule="exact"/>
        </w:trPr>
        <w:tc>
          <w:tcPr>
            <w:tcW w:w="1353" w:type="dxa"/>
            <w:tcBorders>
              <w:top w:val="nil"/>
              <w:left w:val="single" w:sz="4" w:space="0" w:color="BCBEC0"/>
              <w:bottom w:val="nil"/>
              <w:right w:val="single" w:sz="4" w:space="0" w:color="BCBEC0"/>
            </w:tcBorders>
            <w:shd w:val="clear" w:color="auto" w:fill="E6E7E8"/>
          </w:tcPr>
          <w:p>
            <w:pPr>
              <w:pStyle w:val="TableParagraph"/>
              <w:rPr>
                <w:rFonts w:ascii="Times New Roman"/>
                <w:sz w:val="18"/>
              </w:rPr>
            </w:pPr>
          </w:p>
        </w:tc>
        <w:tc>
          <w:tcPr>
            <w:tcW w:w="1289" w:type="dxa"/>
            <w:tcBorders>
              <w:top w:val="nil"/>
              <w:left w:val="single" w:sz="4" w:space="0" w:color="BCBEC0"/>
              <w:bottom w:val="nil"/>
              <w:right w:val="single" w:sz="4" w:space="0" w:color="BCBEC0"/>
            </w:tcBorders>
          </w:tcPr>
          <w:p>
            <w:pPr>
              <w:pStyle w:val="TableParagraph"/>
              <w:rPr>
                <w:rFonts w:ascii="Times New Roman"/>
                <w:sz w:val="18"/>
              </w:rPr>
            </w:pPr>
          </w:p>
        </w:tc>
        <w:tc>
          <w:tcPr>
            <w:tcW w:w="1591" w:type="dxa"/>
            <w:tcBorders>
              <w:top w:val="nil"/>
              <w:left w:val="single" w:sz="4" w:space="0" w:color="BCBEC0"/>
              <w:bottom w:val="nil"/>
              <w:right w:val="single" w:sz="4" w:space="0" w:color="BCBEC0"/>
            </w:tcBorders>
          </w:tcPr>
          <w:p>
            <w:pPr>
              <w:pStyle w:val="TableParagraph"/>
              <w:rPr>
                <w:rFonts w:ascii="Times New Roman"/>
                <w:sz w:val="18"/>
              </w:rPr>
            </w:pPr>
          </w:p>
        </w:tc>
        <w:tc>
          <w:tcPr>
            <w:tcW w:w="2822" w:type="dxa"/>
            <w:tcBorders>
              <w:top w:val="nil"/>
              <w:left w:val="single" w:sz="4" w:space="0" w:color="BCBEC0"/>
              <w:bottom w:val="nil"/>
              <w:right w:val="single" w:sz="4" w:space="0" w:color="BCBEC0"/>
            </w:tcBorders>
          </w:tcPr>
          <w:p>
            <w:pPr>
              <w:pStyle w:val="TableParagraph"/>
              <w:spacing w:before="40"/>
              <w:ind w:left="84"/>
              <w:rPr>
                <w:sz w:val="18"/>
              </w:rPr>
            </w:pPr>
            <w:r>
              <w:rPr>
                <w:color w:val="105C84"/>
                <w:spacing w:val="-2"/>
                <w:sz w:val="18"/>
              </w:rPr>
              <w:t>Baseline:</w:t>
            </w:r>
            <w:r>
              <w:rPr>
                <w:color w:val="105C84"/>
                <w:spacing w:val="-11"/>
                <w:sz w:val="18"/>
              </w:rPr>
              <w:t> </w:t>
            </w:r>
            <w:r>
              <w:rPr>
                <w:color w:val="105C84"/>
                <w:spacing w:val="-2"/>
                <w:sz w:val="18"/>
              </w:rPr>
              <w:t>15.1</w:t>
            </w:r>
            <w:r>
              <w:rPr>
                <w:color w:val="105C84"/>
                <w:spacing w:val="-10"/>
                <w:sz w:val="18"/>
              </w:rPr>
              <w:t> </w:t>
            </w:r>
            <w:r>
              <w:rPr>
                <w:color w:val="105C84"/>
                <w:spacing w:val="-2"/>
                <w:sz w:val="18"/>
              </w:rPr>
              <w:t>per</w:t>
            </w:r>
            <w:r>
              <w:rPr>
                <w:color w:val="105C84"/>
                <w:spacing w:val="-11"/>
                <w:sz w:val="18"/>
              </w:rPr>
              <w:t> </w:t>
            </w:r>
            <w:r>
              <w:rPr>
                <w:color w:val="105C84"/>
                <w:spacing w:val="-2"/>
                <w:sz w:val="18"/>
              </w:rPr>
              <w:t>100,000</w:t>
            </w:r>
            <w:r>
              <w:rPr>
                <w:color w:val="105C84"/>
                <w:spacing w:val="16"/>
                <w:sz w:val="18"/>
              </w:rPr>
              <w:t> </w:t>
            </w:r>
            <w:r>
              <w:rPr>
                <w:color w:val="105C84"/>
                <w:spacing w:val="-2"/>
                <w:sz w:val="18"/>
              </w:rPr>
              <w:t>(2016)</w:t>
            </w:r>
          </w:p>
        </w:tc>
        <w:tc>
          <w:tcPr>
            <w:tcW w:w="1267" w:type="dxa"/>
            <w:vMerge/>
            <w:tcBorders>
              <w:top w:val="nil"/>
              <w:left w:val="single" w:sz="4" w:space="0" w:color="BCBEC0"/>
              <w:right w:val="single" w:sz="4" w:space="0" w:color="BCBEC0"/>
            </w:tcBorders>
          </w:tcPr>
          <w:p>
            <w:pPr>
              <w:rPr>
                <w:sz w:val="2"/>
                <w:szCs w:val="2"/>
              </w:rPr>
            </w:pPr>
          </w:p>
        </w:tc>
        <w:tc>
          <w:tcPr>
            <w:tcW w:w="2861" w:type="dxa"/>
            <w:vMerge/>
            <w:tcBorders>
              <w:top w:val="nil"/>
              <w:left w:val="single" w:sz="4" w:space="0" w:color="BCBEC0"/>
              <w:right w:val="nil"/>
            </w:tcBorders>
          </w:tcPr>
          <w:p>
            <w:pPr>
              <w:rPr>
                <w:sz w:val="2"/>
                <w:szCs w:val="2"/>
              </w:rPr>
            </w:pPr>
          </w:p>
        </w:tc>
        <w:tc>
          <w:tcPr>
            <w:tcW w:w="3359" w:type="dxa"/>
            <w:vMerge/>
            <w:tcBorders>
              <w:top w:val="nil"/>
              <w:left w:val="nil"/>
              <w:right w:val="single" w:sz="4" w:space="0" w:color="BCBEC0"/>
            </w:tcBorders>
          </w:tcPr>
          <w:p>
            <w:pPr>
              <w:rPr>
                <w:sz w:val="2"/>
                <w:szCs w:val="2"/>
              </w:rPr>
            </w:pPr>
          </w:p>
        </w:tc>
        <w:tc>
          <w:tcPr>
            <w:tcW w:w="2390" w:type="dxa"/>
            <w:tcBorders>
              <w:top w:val="nil"/>
              <w:left w:val="single" w:sz="4" w:space="0" w:color="BCBEC0"/>
              <w:bottom w:val="nil"/>
              <w:right w:val="single" w:sz="4" w:space="0" w:color="BCBEC0"/>
            </w:tcBorders>
          </w:tcPr>
          <w:p>
            <w:pPr>
              <w:pStyle w:val="TableParagraph"/>
              <w:rPr>
                <w:rFonts w:ascii="Times New Roman"/>
                <w:sz w:val="18"/>
              </w:rPr>
            </w:pPr>
          </w:p>
        </w:tc>
        <w:tc>
          <w:tcPr>
            <w:tcW w:w="3196" w:type="dxa"/>
            <w:vMerge/>
            <w:tcBorders>
              <w:top w:val="nil"/>
              <w:left w:val="single" w:sz="4" w:space="0" w:color="BCBEC0"/>
              <w:right w:val="single" w:sz="4" w:space="0" w:color="BCBEC0"/>
            </w:tcBorders>
          </w:tcPr>
          <w:p>
            <w:pPr>
              <w:rPr>
                <w:sz w:val="2"/>
                <w:szCs w:val="2"/>
              </w:rPr>
            </w:pPr>
          </w:p>
        </w:tc>
        <w:tc>
          <w:tcPr>
            <w:tcW w:w="2097" w:type="dxa"/>
            <w:tcBorders>
              <w:top w:val="nil"/>
              <w:left w:val="single" w:sz="4" w:space="0" w:color="BCBEC0"/>
              <w:bottom w:val="nil"/>
              <w:right w:val="single" w:sz="4" w:space="0" w:color="BCBEC0"/>
            </w:tcBorders>
          </w:tcPr>
          <w:p>
            <w:pPr>
              <w:pStyle w:val="TableParagraph"/>
              <w:rPr>
                <w:rFonts w:ascii="Times New Roman"/>
                <w:sz w:val="18"/>
              </w:rPr>
            </w:pPr>
          </w:p>
        </w:tc>
      </w:tr>
      <w:tr>
        <w:trPr>
          <w:trHeight w:val="303" w:hRule="exact"/>
        </w:trPr>
        <w:tc>
          <w:tcPr>
            <w:tcW w:w="1353" w:type="dxa"/>
            <w:tcBorders>
              <w:top w:val="nil"/>
              <w:left w:val="single" w:sz="4" w:space="0" w:color="BCBEC0"/>
              <w:bottom w:val="nil"/>
              <w:right w:val="single" w:sz="4" w:space="0" w:color="BCBEC0"/>
            </w:tcBorders>
            <w:shd w:val="clear" w:color="auto" w:fill="E6E7E8"/>
          </w:tcPr>
          <w:p>
            <w:pPr>
              <w:pStyle w:val="TableParagraph"/>
              <w:rPr>
                <w:rFonts w:ascii="Times New Roman"/>
                <w:sz w:val="18"/>
              </w:rPr>
            </w:pPr>
          </w:p>
        </w:tc>
        <w:tc>
          <w:tcPr>
            <w:tcW w:w="1289" w:type="dxa"/>
            <w:tcBorders>
              <w:top w:val="nil"/>
              <w:left w:val="single" w:sz="4" w:space="0" w:color="BCBEC0"/>
              <w:bottom w:val="nil"/>
              <w:right w:val="single" w:sz="4" w:space="0" w:color="BCBEC0"/>
            </w:tcBorders>
          </w:tcPr>
          <w:p>
            <w:pPr>
              <w:pStyle w:val="TableParagraph"/>
              <w:rPr>
                <w:rFonts w:ascii="Times New Roman"/>
                <w:sz w:val="18"/>
              </w:rPr>
            </w:pPr>
          </w:p>
        </w:tc>
        <w:tc>
          <w:tcPr>
            <w:tcW w:w="1591" w:type="dxa"/>
            <w:tcBorders>
              <w:top w:val="nil"/>
              <w:left w:val="single" w:sz="4" w:space="0" w:color="BCBEC0"/>
              <w:bottom w:val="nil"/>
              <w:right w:val="single" w:sz="4" w:space="0" w:color="BCBEC0"/>
            </w:tcBorders>
          </w:tcPr>
          <w:p>
            <w:pPr>
              <w:pStyle w:val="TableParagraph"/>
              <w:rPr>
                <w:rFonts w:ascii="Times New Roman"/>
                <w:sz w:val="18"/>
              </w:rPr>
            </w:pPr>
          </w:p>
        </w:tc>
        <w:tc>
          <w:tcPr>
            <w:tcW w:w="2822" w:type="dxa"/>
            <w:tcBorders>
              <w:top w:val="nil"/>
              <w:left w:val="single" w:sz="4" w:space="0" w:color="BCBEC0"/>
              <w:bottom w:val="nil"/>
              <w:right w:val="single" w:sz="4" w:space="0" w:color="BCBEC0"/>
            </w:tcBorders>
          </w:tcPr>
          <w:p>
            <w:pPr>
              <w:pStyle w:val="TableParagraph"/>
              <w:spacing w:before="40"/>
              <w:ind w:left="84"/>
              <w:rPr>
                <w:sz w:val="18"/>
              </w:rPr>
            </w:pPr>
            <w:r>
              <w:rPr>
                <w:color w:val="105C84"/>
                <w:spacing w:val="-2"/>
                <w:sz w:val="18"/>
              </w:rPr>
              <w:t>Data</w:t>
            </w:r>
            <w:r>
              <w:rPr>
                <w:color w:val="105C84"/>
                <w:spacing w:val="-7"/>
                <w:sz w:val="18"/>
              </w:rPr>
              <w:t> </w:t>
            </w:r>
            <w:r>
              <w:rPr>
                <w:color w:val="105C84"/>
                <w:spacing w:val="-2"/>
                <w:sz w:val="18"/>
              </w:rPr>
              <w:t>Source:</w:t>
            </w:r>
            <w:r>
              <w:rPr>
                <w:color w:val="105C84"/>
                <w:spacing w:val="-6"/>
                <w:sz w:val="18"/>
              </w:rPr>
              <w:t> </w:t>
            </w:r>
            <w:r>
              <w:rPr>
                <w:color w:val="105C84"/>
                <w:spacing w:val="-2"/>
                <w:sz w:val="18"/>
              </w:rPr>
              <w:t>CDC</w:t>
            </w:r>
            <w:r>
              <w:rPr>
                <w:color w:val="105C84"/>
                <w:spacing w:val="-6"/>
                <w:sz w:val="18"/>
              </w:rPr>
              <w:t> </w:t>
            </w:r>
            <w:r>
              <w:rPr>
                <w:color w:val="105C84"/>
                <w:spacing w:val="-2"/>
                <w:sz w:val="18"/>
              </w:rPr>
              <w:t>WONDER</w:t>
            </w:r>
          </w:p>
        </w:tc>
        <w:tc>
          <w:tcPr>
            <w:tcW w:w="1267" w:type="dxa"/>
            <w:vMerge/>
            <w:tcBorders>
              <w:top w:val="nil"/>
              <w:left w:val="single" w:sz="4" w:space="0" w:color="BCBEC0"/>
              <w:right w:val="single" w:sz="4" w:space="0" w:color="BCBEC0"/>
            </w:tcBorders>
          </w:tcPr>
          <w:p>
            <w:pPr>
              <w:rPr>
                <w:sz w:val="2"/>
                <w:szCs w:val="2"/>
              </w:rPr>
            </w:pPr>
          </w:p>
        </w:tc>
        <w:tc>
          <w:tcPr>
            <w:tcW w:w="2861" w:type="dxa"/>
            <w:vMerge/>
            <w:tcBorders>
              <w:top w:val="nil"/>
              <w:left w:val="single" w:sz="4" w:space="0" w:color="BCBEC0"/>
              <w:right w:val="nil"/>
            </w:tcBorders>
          </w:tcPr>
          <w:p>
            <w:pPr>
              <w:rPr>
                <w:sz w:val="2"/>
                <w:szCs w:val="2"/>
              </w:rPr>
            </w:pPr>
          </w:p>
        </w:tc>
        <w:tc>
          <w:tcPr>
            <w:tcW w:w="3359" w:type="dxa"/>
            <w:vMerge/>
            <w:tcBorders>
              <w:top w:val="nil"/>
              <w:left w:val="nil"/>
              <w:right w:val="single" w:sz="4" w:space="0" w:color="BCBEC0"/>
            </w:tcBorders>
          </w:tcPr>
          <w:p>
            <w:pPr>
              <w:rPr>
                <w:sz w:val="2"/>
                <w:szCs w:val="2"/>
              </w:rPr>
            </w:pPr>
          </w:p>
        </w:tc>
        <w:tc>
          <w:tcPr>
            <w:tcW w:w="2390" w:type="dxa"/>
            <w:tcBorders>
              <w:top w:val="nil"/>
              <w:left w:val="single" w:sz="4" w:space="0" w:color="BCBEC0"/>
              <w:bottom w:val="nil"/>
              <w:right w:val="single" w:sz="4" w:space="0" w:color="BCBEC0"/>
            </w:tcBorders>
          </w:tcPr>
          <w:p>
            <w:pPr>
              <w:pStyle w:val="TableParagraph"/>
              <w:rPr>
                <w:rFonts w:ascii="Times New Roman"/>
                <w:sz w:val="18"/>
              </w:rPr>
            </w:pPr>
          </w:p>
        </w:tc>
        <w:tc>
          <w:tcPr>
            <w:tcW w:w="3196" w:type="dxa"/>
            <w:vMerge/>
            <w:tcBorders>
              <w:top w:val="nil"/>
              <w:left w:val="single" w:sz="4" w:space="0" w:color="BCBEC0"/>
              <w:right w:val="single" w:sz="4" w:space="0" w:color="BCBEC0"/>
            </w:tcBorders>
          </w:tcPr>
          <w:p>
            <w:pPr>
              <w:rPr>
                <w:sz w:val="2"/>
                <w:szCs w:val="2"/>
              </w:rPr>
            </w:pPr>
          </w:p>
        </w:tc>
        <w:tc>
          <w:tcPr>
            <w:tcW w:w="2097" w:type="dxa"/>
            <w:tcBorders>
              <w:top w:val="nil"/>
              <w:left w:val="single" w:sz="4" w:space="0" w:color="BCBEC0"/>
              <w:bottom w:val="nil"/>
              <w:right w:val="single" w:sz="4" w:space="0" w:color="BCBEC0"/>
            </w:tcBorders>
          </w:tcPr>
          <w:p>
            <w:pPr>
              <w:pStyle w:val="TableParagraph"/>
              <w:rPr>
                <w:rFonts w:ascii="Times New Roman"/>
                <w:sz w:val="18"/>
              </w:rPr>
            </w:pPr>
          </w:p>
        </w:tc>
      </w:tr>
      <w:tr>
        <w:trPr>
          <w:trHeight w:val="404" w:hRule="exact"/>
        </w:trPr>
        <w:tc>
          <w:tcPr>
            <w:tcW w:w="1353" w:type="dxa"/>
            <w:tcBorders>
              <w:top w:val="nil"/>
              <w:left w:val="single" w:sz="4" w:space="0" w:color="BCBEC0"/>
              <w:bottom w:val="nil"/>
              <w:right w:val="single" w:sz="4" w:space="0" w:color="BCBEC0"/>
            </w:tcBorders>
            <w:shd w:val="clear" w:color="auto" w:fill="E6E7E8"/>
          </w:tcPr>
          <w:p>
            <w:pPr>
              <w:pStyle w:val="TableParagraph"/>
              <w:rPr>
                <w:rFonts w:ascii="Times New Roman"/>
                <w:sz w:val="18"/>
              </w:rPr>
            </w:pPr>
          </w:p>
        </w:tc>
        <w:tc>
          <w:tcPr>
            <w:tcW w:w="1289" w:type="dxa"/>
            <w:tcBorders>
              <w:top w:val="nil"/>
              <w:left w:val="single" w:sz="4" w:space="0" w:color="BCBEC0"/>
              <w:bottom w:val="nil"/>
              <w:right w:val="single" w:sz="4" w:space="0" w:color="BCBEC0"/>
            </w:tcBorders>
          </w:tcPr>
          <w:p>
            <w:pPr>
              <w:pStyle w:val="TableParagraph"/>
              <w:rPr>
                <w:rFonts w:ascii="Times New Roman"/>
                <w:sz w:val="18"/>
              </w:rPr>
            </w:pPr>
          </w:p>
        </w:tc>
        <w:tc>
          <w:tcPr>
            <w:tcW w:w="1591" w:type="dxa"/>
            <w:tcBorders>
              <w:top w:val="nil"/>
              <w:left w:val="single" w:sz="4" w:space="0" w:color="BCBEC0"/>
              <w:bottom w:val="nil"/>
              <w:right w:val="single" w:sz="4" w:space="0" w:color="BCBEC0"/>
            </w:tcBorders>
          </w:tcPr>
          <w:p>
            <w:pPr>
              <w:pStyle w:val="TableParagraph"/>
              <w:rPr>
                <w:rFonts w:ascii="Times New Roman"/>
                <w:sz w:val="18"/>
              </w:rPr>
            </w:pPr>
          </w:p>
        </w:tc>
        <w:tc>
          <w:tcPr>
            <w:tcW w:w="2822" w:type="dxa"/>
            <w:tcBorders>
              <w:top w:val="nil"/>
              <w:left w:val="single" w:sz="4" w:space="0" w:color="BCBEC0"/>
              <w:bottom w:val="nil"/>
              <w:right w:val="single" w:sz="4" w:space="0" w:color="BCBEC0"/>
            </w:tcBorders>
          </w:tcPr>
          <w:p>
            <w:pPr>
              <w:pStyle w:val="TableParagraph"/>
              <w:spacing w:before="40"/>
              <w:ind w:left="84"/>
              <w:rPr>
                <w:sz w:val="18"/>
              </w:rPr>
            </w:pPr>
            <w:r>
              <w:rPr>
                <w:color w:val="105C84"/>
                <w:spacing w:val="-2"/>
                <w:sz w:val="18"/>
              </w:rPr>
              <w:t>Data</w:t>
            </w:r>
            <w:r>
              <w:rPr>
                <w:color w:val="105C84"/>
                <w:spacing w:val="-6"/>
                <w:sz w:val="18"/>
              </w:rPr>
              <w:t> </w:t>
            </w:r>
            <w:r>
              <w:rPr>
                <w:color w:val="105C84"/>
                <w:spacing w:val="-2"/>
                <w:sz w:val="18"/>
              </w:rPr>
              <w:t>Level:</w:t>
            </w:r>
            <w:r>
              <w:rPr>
                <w:color w:val="105C84"/>
                <w:spacing w:val="-6"/>
                <w:sz w:val="18"/>
              </w:rPr>
              <w:t> </w:t>
            </w:r>
            <w:r>
              <w:rPr>
                <w:color w:val="105C84"/>
                <w:spacing w:val="-2"/>
                <w:sz w:val="18"/>
              </w:rPr>
              <w:t>County</w:t>
            </w:r>
          </w:p>
        </w:tc>
        <w:tc>
          <w:tcPr>
            <w:tcW w:w="1267" w:type="dxa"/>
            <w:vMerge/>
            <w:tcBorders>
              <w:top w:val="nil"/>
              <w:left w:val="single" w:sz="4" w:space="0" w:color="BCBEC0"/>
              <w:right w:val="single" w:sz="4" w:space="0" w:color="BCBEC0"/>
            </w:tcBorders>
          </w:tcPr>
          <w:p>
            <w:pPr>
              <w:rPr>
                <w:sz w:val="2"/>
                <w:szCs w:val="2"/>
              </w:rPr>
            </w:pPr>
          </w:p>
        </w:tc>
        <w:tc>
          <w:tcPr>
            <w:tcW w:w="2861" w:type="dxa"/>
            <w:vMerge/>
            <w:tcBorders>
              <w:top w:val="nil"/>
              <w:left w:val="single" w:sz="4" w:space="0" w:color="BCBEC0"/>
              <w:right w:val="nil"/>
            </w:tcBorders>
          </w:tcPr>
          <w:p>
            <w:pPr>
              <w:rPr>
                <w:sz w:val="2"/>
                <w:szCs w:val="2"/>
              </w:rPr>
            </w:pPr>
          </w:p>
        </w:tc>
        <w:tc>
          <w:tcPr>
            <w:tcW w:w="3359" w:type="dxa"/>
            <w:vMerge/>
            <w:tcBorders>
              <w:top w:val="nil"/>
              <w:left w:val="nil"/>
              <w:right w:val="single" w:sz="4" w:space="0" w:color="BCBEC0"/>
            </w:tcBorders>
          </w:tcPr>
          <w:p>
            <w:pPr>
              <w:rPr>
                <w:sz w:val="2"/>
                <w:szCs w:val="2"/>
              </w:rPr>
            </w:pPr>
          </w:p>
        </w:tc>
        <w:tc>
          <w:tcPr>
            <w:tcW w:w="2390" w:type="dxa"/>
            <w:tcBorders>
              <w:top w:val="nil"/>
              <w:left w:val="single" w:sz="4" w:space="0" w:color="BCBEC0"/>
              <w:right w:val="single" w:sz="4" w:space="0" w:color="BCBEC0"/>
            </w:tcBorders>
          </w:tcPr>
          <w:p>
            <w:pPr>
              <w:pStyle w:val="TableParagraph"/>
              <w:rPr>
                <w:rFonts w:ascii="Times New Roman"/>
                <w:sz w:val="18"/>
              </w:rPr>
            </w:pPr>
          </w:p>
        </w:tc>
        <w:tc>
          <w:tcPr>
            <w:tcW w:w="3196" w:type="dxa"/>
            <w:vMerge/>
            <w:tcBorders>
              <w:top w:val="nil"/>
              <w:left w:val="single" w:sz="4" w:space="0" w:color="BCBEC0"/>
              <w:right w:val="single" w:sz="4" w:space="0" w:color="BCBEC0"/>
            </w:tcBorders>
          </w:tcPr>
          <w:p>
            <w:pPr>
              <w:rPr>
                <w:sz w:val="2"/>
                <w:szCs w:val="2"/>
              </w:rPr>
            </w:pPr>
          </w:p>
        </w:tc>
        <w:tc>
          <w:tcPr>
            <w:tcW w:w="2097" w:type="dxa"/>
            <w:tcBorders>
              <w:top w:val="nil"/>
              <w:left w:val="single" w:sz="4" w:space="0" w:color="BCBEC0"/>
              <w:right w:val="single" w:sz="4" w:space="0" w:color="BCBEC0"/>
            </w:tcBorders>
          </w:tcPr>
          <w:p>
            <w:pPr>
              <w:pStyle w:val="TableParagraph"/>
              <w:rPr>
                <w:rFonts w:ascii="Times New Roman"/>
                <w:sz w:val="18"/>
              </w:rPr>
            </w:pPr>
          </w:p>
        </w:tc>
      </w:tr>
      <w:tr>
        <w:trPr>
          <w:trHeight w:val="606" w:hRule="exact"/>
        </w:trPr>
        <w:tc>
          <w:tcPr>
            <w:tcW w:w="1353" w:type="dxa"/>
            <w:tcBorders>
              <w:top w:val="nil"/>
              <w:left w:val="single" w:sz="4" w:space="0" w:color="BCBEC0"/>
              <w:bottom w:val="nil"/>
              <w:right w:val="single" w:sz="4" w:space="0" w:color="BCBEC0"/>
            </w:tcBorders>
            <w:shd w:val="clear" w:color="auto" w:fill="E6E7E8"/>
          </w:tcPr>
          <w:p>
            <w:pPr>
              <w:pStyle w:val="TableParagraph"/>
              <w:rPr>
                <w:rFonts w:ascii="Times New Roman"/>
                <w:sz w:val="18"/>
              </w:rPr>
            </w:pPr>
          </w:p>
        </w:tc>
        <w:tc>
          <w:tcPr>
            <w:tcW w:w="1289" w:type="dxa"/>
            <w:tcBorders>
              <w:top w:val="nil"/>
              <w:left w:val="single" w:sz="4" w:space="0" w:color="BCBEC0"/>
              <w:bottom w:val="nil"/>
              <w:right w:val="single" w:sz="4" w:space="0" w:color="BCBEC0"/>
            </w:tcBorders>
          </w:tcPr>
          <w:p>
            <w:pPr>
              <w:pStyle w:val="TableParagraph"/>
              <w:rPr>
                <w:rFonts w:ascii="Times New Roman"/>
                <w:sz w:val="18"/>
              </w:rPr>
            </w:pPr>
          </w:p>
        </w:tc>
        <w:tc>
          <w:tcPr>
            <w:tcW w:w="1591" w:type="dxa"/>
            <w:tcBorders>
              <w:top w:val="nil"/>
              <w:left w:val="single" w:sz="4" w:space="0" w:color="BCBEC0"/>
              <w:bottom w:val="nil"/>
              <w:right w:val="single" w:sz="4" w:space="0" w:color="BCBEC0"/>
            </w:tcBorders>
          </w:tcPr>
          <w:p>
            <w:pPr>
              <w:pStyle w:val="TableParagraph"/>
              <w:rPr>
                <w:rFonts w:ascii="Times New Roman"/>
                <w:sz w:val="18"/>
              </w:rPr>
            </w:pPr>
          </w:p>
        </w:tc>
        <w:tc>
          <w:tcPr>
            <w:tcW w:w="2822" w:type="dxa"/>
            <w:tcBorders>
              <w:top w:val="nil"/>
              <w:left w:val="single" w:sz="4" w:space="0" w:color="BCBEC0"/>
              <w:bottom w:val="nil"/>
              <w:right w:val="single" w:sz="4" w:space="0" w:color="BCBEC0"/>
            </w:tcBorders>
          </w:tcPr>
          <w:p>
            <w:pPr>
              <w:pStyle w:val="TableParagraph"/>
              <w:rPr>
                <w:rFonts w:ascii="Times New Roman"/>
                <w:sz w:val="18"/>
              </w:rPr>
            </w:pPr>
          </w:p>
        </w:tc>
        <w:tc>
          <w:tcPr>
            <w:tcW w:w="1267" w:type="dxa"/>
            <w:vMerge/>
            <w:tcBorders>
              <w:top w:val="nil"/>
              <w:left w:val="single" w:sz="4" w:space="0" w:color="BCBEC0"/>
              <w:right w:val="single" w:sz="4" w:space="0" w:color="BCBEC0"/>
            </w:tcBorders>
          </w:tcPr>
          <w:p>
            <w:pPr>
              <w:rPr>
                <w:sz w:val="2"/>
                <w:szCs w:val="2"/>
              </w:rPr>
            </w:pPr>
          </w:p>
        </w:tc>
        <w:tc>
          <w:tcPr>
            <w:tcW w:w="2861" w:type="dxa"/>
            <w:vMerge/>
            <w:tcBorders>
              <w:top w:val="nil"/>
              <w:left w:val="single" w:sz="4" w:space="0" w:color="BCBEC0"/>
              <w:right w:val="nil"/>
            </w:tcBorders>
          </w:tcPr>
          <w:p>
            <w:pPr>
              <w:rPr>
                <w:sz w:val="2"/>
                <w:szCs w:val="2"/>
              </w:rPr>
            </w:pPr>
          </w:p>
        </w:tc>
        <w:tc>
          <w:tcPr>
            <w:tcW w:w="3359" w:type="dxa"/>
            <w:vMerge/>
            <w:tcBorders>
              <w:top w:val="nil"/>
              <w:left w:val="nil"/>
              <w:right w:val="single" w:sz="4" w:space="0" w:color="BCBEC0"/>
            </w:tcBorders>
          </w:tcPr>
          <w:p>
            <w:pPr>
              <w:rPr>
                <w:sz w:val="2"/>
                <w:szCs w:val="2"/>
              </w:rPr>
            </w:pPr>
          </w:p>
        </w:tc>
        <w:tc>
          <w:tcPr>
            <w:tcW w:w="2390" w:type="dxa"/>
            <w:tcBorders>
              <w:left w:val="single" w:sz="4" w:space="0" w:color="BCBEC0"/>
              <w:bottom w:val="nil"/>
              <w:right w:val="single" w:sz="4" w:space="0" w:color="BCBEC0"/>
            </w:tcBorders>
          </w:tcPr>
          <w:p>
            <w:pPr>
              <w:pStyle w:val="TableParagraph"/>
              <w:spacing w:before="104"/>
              <w:ind w:left="84"/>
              <w:rPr>
                <w:sz w:val="18"/>
              </w:rPr>
            </w:pPr>
            <w:r>
              <w:rPr>
                <w:color w:val="105C84"/>
                <w:sz w:val="18"/>
              </w:rPr>
              <w:t>Community</w:t>
            </w:r>
            <w:r>
              <w:rPr>
                <w:color w:val="105C84"/>
                <w:spacing w:val="5"/>
                <w:sz w:val="18"/>
              </w:rPr>
              <w:t> </w:t>
            </w:r>
            <w:r>
              <w:rPr>
                <w:color w:val="105C84"/>
                <w:spacing w:val="-2"/>
                <w:sz w:val="18"/>
              </w:rPr>
              <w:t>Partners:</w:t>
            </w:r>
          </w:p>
          <w:p>
            <w:pPr>
              <w:pStyle w:val="TableParagraph"/>
              <w:spacing w:before="56"/>
              <w:ind w:left="284"/>
              <w:rPr>
                <w:sz w:val="18"/>
              </w:rPr>
            </w:pPr>
            <w:r>
              <w:rPr>
                <w:color w:val="105C84"/>
                <w:sz w:val="18"/>
              </w:rPr>
              <w:t>-</w:t>
            </w:r>
            <w:r>
              <w:rPr>
                <w:color w:val="105C84"/>
                <w:spacing w:val="-6"/>
                <w:sz w:val="18"/>
              </w:rPr>
              <w:t> </w:t>
            </w:r>
            <w:r>
              <w:rPr>
                <w:color w:val="105C84"/>
                <w:spacing w:val="-2"/>
                <w:sz w:val="18"/>
              </w:rPr>
              <w:t>Employers</w:t>
            </w:r>
          </w:p>
        </w:tc>
        <w:tc>
          <w:tcPr>
            <w:tcW w:w="3196" w:type="dxa"/>
            <w:tcBorders>
              <w:left w:val="single" w:sz="4" w:space="0" w:color="BCBEC0"/>
              <w:bottom w:val="nil"/>
              <w:right w:val="single" w:sz="4" w:space="0" w:color="BCBEC0"/>
            </w:tcBorders>
          </w:tcPr>
          <w:p>
            <w:pPr>
              <w:pStyle w:val="TableParagraph"/>
              <w:spacing w:line="232" w:lineRule="auto" w:before="109"/>
              <w:ind w:left="84"/>
              <w:rPr>
                <w:sz w:val="18"/>
              </w:rPr>
            </w:pPr>
            <w:r>
              <w:rPr>
                <w:color w:val="105C84"/>
                <w:spacing w:val="-2"/>
                <w:sz w:val="18"/>
              </w:rPr>
              <w:t>Community</w:t>
            </w:r>
            <w:r>
              <w:rPr>
                <w:color w:val="105C84"/>
                <w:spacing w:val="-9"/>
                <w:sz w:val="18"/>
              </w:rPr>
              <w:t> </w:t>
            </w:r>
            <w:r>
              <w:rPr>
                <w:color w:val="105C84"/>
                <w:spacing w:val="-2"/>
                <w:sz w:val="18"/>
              </w:rPr>
              <w:t>Partners:</w:t>
            </w:r>
            <w:r>
              <w:rPr>
                <w:color w:val="105C84"/>
                <w:spacing w:val="-9"/>
                <w:sz w:val="18"/>
              </w:rPr>
              <w:t> </w:t>
            </w:r>
            <w:r>
              <w:rPr>
                <w:color w:val="105C84"/>
                <w:spacing w:val="-2"/>
                <w:sz w:val="18"/>
              </w:rPr>
              <w:t>Provide</w:t>
            </w:r>
            <w:r>
              <w:rPr>
                <w:color w:val="105C84"/>
                <w:spacing w:val="-9"/>
                <w:sz w:val="18"/>
              </w:rPr>
              <w:t> </w:t>
            </w:r>
            <w:r>
              <w:rPr>
                <w:color w:val="105C84"/>
                <w:spacing w:val="-2"/>
                <w:sz w:val="18"/>
              </w:rPr>
              <w:t>venues </w:t>
            </w:r>
            <w:r>
              <w:rPr>
                <w:color w:val="105C84"/>
                <w:sz w:val="18"/>
              </w:rPr>
              <w:t>and audiences for Narcan trainings</w:t>
            </w:r>
          </w:p>
        </w:tc>
        <w:tc>
          <w:tcPr>
            <w:tcW w:w="2097" w:type="dxa"/>
            <w:vMerge w:val="restart"/>
            <w:tcBorders>
              <w:left w:val="single" w:sz="4" w:space="0" w:color="BCBEC0"/>
              <w:right w:val="single" w:sz="4" w:space="0" w:color="BCBEC0"/>
            </w:tcBorders>
          </w:tcPr>
          <w:p>
            <w:pPr>
              <w:pStyle w:val="TableParagraph"/>
              <w:rPr>
                <w:rFonts w:ascii="Times New Roman"/>
                <w:sz w:val="18"/>
              </w:rPr>
            </w:pPr>
          </w:p>
        </w:tc>
      </w:tr>
      <w:tr>
        <w:trPr>
          <w:trHeight w:val="275" w:hRule="exact"/>
        </w:trPr>
        <w:tc>
          <w:tcPr>
            <w:tcW w:w="1353" w:type="dxa"/>
            <w:tcBorders>
              <w:top w:val="nil"/>
              <w:left w:val="single" w:sz="4" w:space="0" w:color="BCBEC0"/>
              <w:bottom w:val="nil"/>
              <w:right w:val="single" w:sz="4" w:space="0" w:color="BCBEC0"/>
            </w:tcBorders>
            <w:shd w:val="clear" w:color="auto" w:fill="E6E7E8"/>
          </w:tcPr>
          <w:p>
            <w:pPr>
              <w:pStyle w:val="TableParagraph"/>
              <w:rPr>
                <w:rFonts w:ascii="Times New Roman"/>
                <w:sz w:val="18"/>
              </w:rPr>
            </w:pPr>
          </w:p>
        </w:tc>
        <w:tc>
          <w:tcPr>
            <w:tcW w:w="1289" w:type="dxa"/>
            <w:tcBorders>
              <w:top w:val="nil"/>
              <w:left w:val="single" w:sz="4" w:space="0" w:color="BCBEC0"/>
              <w:bottom w:val="nil"/>
              <w:right w:val="single" w:sz="4" w:space="0" w:color="BCBEC0"/>
            </w:tcBorders>
          </w:tcPr>
          <w:p>
            <w:pPr>
              <w:pStyle w:val="TableParagraph"/>
              <w:rPr>
                <w:rFonts w:ascii="Times New Roman"/>
                <w:sz w:val="18"/>
              </w:rPr>
            </w:pPr>
          </w:p>
        </w:tc>
        <w:tc>
          <w:tcPr>
            <w:tcW w:w="1591" w:type="dxa"/>
            <w:tcBorders>
              <w:top w:val="nil"/>
              <w:left w:val="single" w:sz="4" w:space="0" w:color="BCBEC0"/>
              <w:bottom w:val="nil"/>
              <w:right w:val="single" w:sz="4" w:space="0" w:color="BCBEC0"/>
            </w:tcBorders>
          </w:tcPr>
          <w:p>
            <w:pPr>
              <w:pStyle w:val="TableParagraph"/>
              <w:rPr>
                <w:rFonts w:ascii="Times New Roman"/>
                <w:sz w:val="18"/>
              </w:rPr>
            </w:pPr>
          </w:p>
        </w:tc>
        <w:tc>
          <w:tcPr>
            <w:tcW w:w="2822" w:type="dxa"/>
            <w:tcBorders>
              <w:top w:val="nil"/>
              <w:left w:val="single" w:sz="4" w:space="0" w:color="BCBEC0"/>
              <w:bottom w:val="nil"/>
              <w:right w:val="single" w:sz="4" w:space="0" w:color="BCBEC0"/>
            </w:tcBorders>
          </w:tcPr>
          <w:p>
            <w:pPr>
              <w:pStyle w:val="TableParagraph"/>
              <w:rPr>
                <w:rFonts w:ascii="Times New Roman"/>
                <w:sz w:val="18"/>
              </w:rPr>
            </w:pPr>
          </w:p>
        </w:tc>
        <w:tc>
          <w:tcPr>
            <w:tcW w:w="1267" w:type="dxa"/>
            <w:vMerge/>
            <w:tcBorders>
              <w:top w:val="nil"/>
              <w:left w:val="single" w:sz="4" w:space="0" w:color="BCBEC0"/>
              <w:right w:val="single" w:sz="4" w:space="0" w:color="BCBEC0"/>
            </w:tcBorders>
          </w:tcPr>
          <w:p>
            <w:pPr>
              <w:rPr>
                <w:sz w:val="2"/>
                <w:szCs w:val="2"/>
              </w:rPr>
            </w:pPr>
          </w:p>
        </w:tc>
        <w:tc>
          <w:tcPr>
            <w:tcW w:w="2861" w:type="dxa"/>
            <w:vMerge/>
            <w:tcBorders>
              <w:top w:val="nil"/>
              <w:left w:val="single" w:sz="4" w:space="0" w:color="BCBEC0"/>
              <w:right w:val="nil"/>
            </w:tcBorders>
          </w:tcPr>
          <w:p>
            <w:pPr>
              <w:rPr>
                <w:sz w:val="2"/>
                <w:szCs w:val="2"/>
              </w:rPr>
            </w:pPr>
          </w:p>
        </w:tc>
        <w:tc>
          <w:tcPr>
            <w:tcW w:w="3359" w:type="dxa"/>
            <w:vMerge/>
            <w:tcBorders>
              <w:top w:val="nil"/>
              <w:left w:val="nil"/>
              <w:right w:val="single" w:sz="4" w:space="0" w:color="BCBEC0"/>
            </w:tcBorders>
          </w:tcPr>
          <w:p>
            <w:pPr>
              <w:rPr>
                <w:sz w:val="2"/>
                <w:szCs w:val="2"/>
              </w:rPr>
            </w:pPr>
          </w:p>
        </w:tc>
        <w:tc>
          <w:tcPr>
            <w:tcW w:w="2390" w:type="dxa"/>
            <w:tcBorders>
              <w:top w:val="nil"/>
              <w:left w:val="single" w:sz="4" w:space="0" w:color="BCBEC0"/>
              <w:bottom w:val="nil"/>
              <w:right w:val="single" w:sz="4" w:space="0" w:color="BCBEC0"/>
            </w:tcBorders>
          </w:tcPr>
          <w:p>
            <w:pPr>
              <w:pStyle w:val="TableParagraph"/>
              <w:spacing w:before="31"/>
              <w:ind w:left="284"/>
              <w:rPr>
                <w:sz w:val="18"/>
              </w:rPr>
            </w:pPr>
            <w:r>
              <w:rPr>
                <w:color w:val="105C84"/>
                <w:sz w:val="18"/>
              </w:rPr>
              <w:t>-</w:t>
            </w:r>
            <w:r>
              <w:rPr>
                <w:color w:val="105C84"/>
                <w:spacing w:val="-6"/>
                <w:sz w:val="18"/>
              </w:rPr>
              <w:t> </w:t>
            </w:r>
            <w:r>
              <w:rPr>
                <w:color w:val="105C84"/>
                <w:spacing w:val="-2"/>
                <w:sz w:val="18"/>
              </w:rPr>
              <w:t>Colleges</w:t>
            </w:r>
          </w:p>
        </w:tc>
        <w:tc>
          <w:tcPr>
            <w:tcW w:w="3196" w:type="dxa"/>
            <w:tcBorders>
              <w:top w:val="nil"/>
              <w:left w:val="single" w:sz="4" w:space="0" w:color="BCBEC0"/>
              <w:bottom w:val="nil"/>
              <w:right w:val="single" w:sz="4" w:space="0" w:color="BCBEC0"/>
            </w:tcBorders>
          </w:tcPr>
          <w:p>
            <w:pPr>
              <w:pStyle w:val="TableParagraph"/>
              <w:spacing w:before="8"/>
              <w:ind w:left="84"/>
              <w:rPr>
                <w:sz w:val="18"/>
              </w:rPr>
            </w:pPr>
            <w:r>
              <w:rPr>
                <w:color w:val="105C84"/>
                <w:spacing w:val="-2"/>
                <w:sz w:val="18"/>
              </w:rPr>
              <w:t>Sheriff’s:</w:t>
            </w:r>
            <w:r>
              <w:rPr>
                <w:color w:val="105C84"/>
                <w:spacing w:val="-5"/>
                <w:sz w:val="18"/>
              </w:rPr>
              <w:t> </w:t>
            </w:r>
            <w:r>
              <w:rPr>
                <w:color w:val="105C84"/>
                <w:spacing w:val="-2"/>
                <w:sz w:val="18"/>
              </w:rPr>
              <w:t>Create</w:t>
            </w:r>
            <w:r>
              <w:rPr>
                <w:color w:val="105C84"/>
                <w:spacing w:val="-4"/>
                <w:sz w:val="18"/>
              </w:rPr>
              <w:t> </w:t>
            </w:r>
            <w:r>
              <w:rPr>
                <w:color w:val="105C84"/>
                <w:spacing w:val="-2"/>
                <w:sz w:val="18"/>
              </w:rPr>
              <w:t>OD</w:t>
            </w:r>
            <w:r>
              <w:rPr>
                <w:color w:val="105C84"/>
                <w:spacing w:val="-4"/>
                <w:sz w:val="18"/>
              </w:rPr>
              <w:t> Maps</w:t>
            </w:r>
          </w:p>
        </w:tc>
        <w:tc>
          <w:tcPr>
            <w:tcW w:w="2097" w:type="dxa"/>
            <w:vMerge/>
            <w:tcBorders>
              <w:top w:val="nil"/>
              <w:left w:val="single" w:sz="4" w:space="0" w:color="BCBEC0"/>
              <w:right w:val="single" w:sz="4" w:space="0" w:color="BCBEC0"/>
            </w:tcBorders>
          </w:tcPr>
          <w:p>
            <w:pPr>
              <w:rPr>
                <w:sz w:val="2"/>
                <w:szCs w:val="2"/>
              </w:rPr>
            </w:pPr>
          </w:p>
        </w:tc>
      </w:tr>
      <w:tr>
        <w:trPr>
          <w:trHeight w:val="271" w:hRule="exact"/>
        </w:trPr>
        <w:tc>
          <w:tcPr>
            <w:tcW w:w="1353" w:type="dxa"/>
            <w:tcBorders>
              <w:top w:val="nil"/>
              <w:left w:val="single" w:sz="4" w:space="0" w:color="BCBEC0"/>
              <w:bottom w:val="nil"/>
              <w:right w:val="single" w:sz="4" w:space="0" w:color="BCBEC0"/>
            </w:tcBorders>
            <w:shd w:val="clear" w:color="auto" w:fill="E6E7E8"/>
          </w:tcPr>
          <w:p>
            <w:pPr>
              <w:pStyle w:val="TableParagraph"/>
              <w:rPr>
                <w:rFonts w:ascii="Times New Roman"/>
                <w:sz w:val="18"/>
              </w:rPr>
            </w:pPr>
          </w:p>
        </w:tc>
        <w:tc>
          <w:tcPr>
            <w:tcW w:w="1289" w:type="dxa"/>
            <w:tcBorders>
              <w:top w:val="nil"/>
              <w:left w:val="single" w:sz="4" w:space="0" w:color="BCBEC0"/>
              <w:bottom w:val="nil"/>
              <w:right w:val="single" w:sz="4" w:space="0" w:color="BCBEC0"/>
            </w:tcBorders>
          </w:tcPr>
          <w:p>
            <w:pPr>
              <w:pStyle w:val="TableParagraph"/>
              <w:rPr>
                <w:rFonts w:ascii="Times New Roman"/>
                <w:sz w:val="18"/>
              </w:rPr>
            </w:pPr>
          </w:p>
        </w:tc>
        <w:tc>
          <w:tcPr>
            <w:tcW w:w="1591" w:type="dxa"/>
            <w:tcBorders>
              <w:top w:val="nil"/>
              <w:left w:val="single" w:sz="4" w:space="0" w:color="BCBEC0"/>
              <w:bottom w:val="nil"/>
              <w:right w:val="single" w:sz="4" w:space="0" w:color="BCBEC0"/>
            </w:tcBorders>
          </w:tcPr>
          <w:p>
            <w:pPr>
              <w:pStyle w:val="TableParagraph"/>
              <w:rPr>
                <w:rFonts w:ascii="Times New Roman"/>
                <w:sz w:val="18"/>
              </w:rPr>
            </w:pPr>
          </w:p>
        </w:tc>
        <w:tc>
          <w:tcPr>
            <w:tcW w:w="2822" w:type="dxa"/>
            <w:tcBorders>
              <w:top w:val="nil"/>
              <w:left w:val="single" w:sz="4" w:space="0" w:color="BCBEC0"/>
              <w:bottom w:val="nil"/>
              <w:right w:val="single" w:sz="4" w:space="0" w:color="BCBEC0"/>
            </w:tcBorders>
          </w:tcPr>
          <w:p>
            <w:pPr>
              <w:pStyle w:val="TableParagraph"/>
              <w:rPr>
                <w:rFonts w:ascii="Times New Roman"/>
                <w:sz w:val="18"/>
              </w:rPr>
            </w:pPr>
          </w:p>
        </w:tc>
        <w:tc>
          <w:tcPr>
            <w:tcW w:w="1267" w:type="dxa"/>
            <w:vMerge/>
            <w:tcBorders>
              <w:top w:val="nil"/>
              <w:left w:val="single" w:sz="4" w:space="0" w:color="BCBEC0"/>
              <w:right w:val="single" w:sz="4" w:space="0" w:color="BCBEC0"/>
            </w:tcBorders>
          </w:tcPr>
          <w:p>
            <w:pPr>
              <w:rPr>
                <w:sz w:val="2"/>
                <w:szCs w:val="2"/>
              </w:rPr>
            </w:pPr>
          </w:p>
        </w:tc>
        <w:tc>
          <w:tcPr>
            <w:tcW w:w="2861" w:type="dxa"/>
            <w:vMerge/>
            <w:tcBorders>
              <w:top w:val="nil"/>
              <w:left w:val="single" w:sz="4" w:space="0" w:color="BCBEC0"/>
              <w:right w:val="nil"/>
            </w:tcBorders>
          </w:tcPr>
          <w:p>
            <w:pPr>
              <w:rPr>
                <w:sz w:val="2"/>
                <w:szCs w:val="2"/>
              </w:rPr>
            </w:pPr>
          </w:p>
        </w:tc>
        <w:tc>
          <w:tcPr>
            <w:tcW w:w="3359" w:type="dxa"/>
            <w:vMerge/>
            <w:tcBorders>
              <w:top w:val="nil"/>
              <w:left w:val="nil"/>
              <w:right w:val="single" w:sz="4" w:space="0" w:color="BCBEC0"/>
            </w:tcBorders>
          </w:tcPr>
          <w:p>
            <w:pPr>
              <w:rPr>
                <w:sz w:val="2"/>
                <w:szCs w:val="2"/>
              </w:rPr>
            </w:pPr>
          </w:p>
        </w:tc>
        <w:tc>
          <w:tcPr>
            <w:tcW w:w="2390" w:type="dxa"/>
            <w:tcBorders>
              <w:top w:val="nil"/>
              <w:left w:val="single" w:sz="4" w:space="0" w:color="BCBEC0"/>
              <w:bottom w:val="nil"/>
              <w:right w:val="single" w:sz="4" w:space="0" w:color="BCBEC0"/>
            </w:tcBorders>
          </w:tcPr>
          <w:p>
            <w:pPr>
              <w:pStyle w:val="TableParagraph"/>
              <w:spacing w:before="20"/>
              <w:ind w:left="284"/>
              <w:rPr>
                <w:sz w:val="18"/>
              </w:rPr>
            </w:pPr>
            <w:r>
              <w:rPr>
                <w:color w:val="105C84"/>
                <w:sz w:val="18"/>
              </w:rPr>
              <w:t>-</w:t>
            </w:r>
            <w:r>
              <w:rPr>
                <w:color w:val="105C84"/>
                <w:spacing w:val="-6"/>
                <w:sz w:val="18"/>
              </w:rPr>
              <w:t> </w:t>
            </w:r>
            <w:r>
              <w:rPr>
                <w:color w:val="105C84"/>
                <w:spacing w:val="-2"/>
                <w:sz w:val="18"/>
              </w:rPr>
              <w:t>Libraries</w:t>
            </w:r>
          </w:p>
        </w:tc>
        <w:tc>
          <w:tcPr>
            <w:tcW w:w="3196" w:type="dxa"/>
            <w:tcBorders>
              <w:top w:val="nil"/>
              <w:left w:val="single" w:sz="4" w:space="0" w:color="BCBEC0"/>
              <w:bottom w:val="nil"/>
              <w:right w:val="single" w:sz="4" w:space="0" w:color="BCBEC0"/>
            </w:tcBorders>
          </w:tcPr>
          <w:p>
            <w:pPr>
              <w:pStyle w:val="TableParagraph"/>
              <w:spacing w:before="36"/>
              <w:ind w:left="84"/>
              <w:rPr>
                <w:sz w:val="18"/>
              </w:rPr>
            </w:pPr>
            <w:r>
              <w:rPr>
                <w:color w:val="105C84"/>
                <w:spacing w:val="-2"/>
                <w:sz w:val="18"/>
              </w:rPr>
              <w:t>Media:</w:t>
            </w:r>
            <w:r>
              <w:rPr>
                <w:color w:val="105C84"/>
                <w:spacing w:val="-6"/>
                <w:sz w:val="18"/>
              </w:rPr>
              <w:t> </w:t>
            </w:r>
            <w:r>
              <w:rPr>
                <w:color w:val="105C84"/>
                <w:spacing w:val="-2"/>
                <w:sz w:val="18"/>
              </w:rPr>
              <w:t>Respond</w:t>
            </w:r>
            <w:r>
              <w:rPr>
                <w:color w:val="105C84"/>
                <w:spacing w:val="-6"/>
                <w:sz w:val="18"/>
              </w:rPr>
              <w:t> </w:t>
            </w:r>
            <w:r>
              <w:rPr>
                <w:color w:val="105C84"/>
                <w:spacing w:val="-2"/>
                <w:sz w:val="18"/>
              </w:rPr>
              <w:t>to</w:t>
            </w:r>
            <w:r>
              <w:rPr>
                <w:color w:val="105C84"/>
                <w:spacing w:val="-6"/>
                <w:sz w:val="18"/>
              </w:rPr>
              <w:t> </w:t>
            </w:r>
            <w:r>
              <w:rPr>
                <w:color w:val="105C84"/>
                <w:spacing w:val="-2"/>
                <w:sz w:val="18"/>
              </w:rPr>
              <w:t>PR’s</w:t>
            </w:r>
            <w:r>
              <w:rPr>
                <w:color w:val="105C84"/>
                <w:spacing w:val="-6"/>
                <w:sz w:val="18"/>
              </w:rPr>
              <w:t> </w:t>
            </w:r>
            <w:r>
              <w:rPr>
                <w:color w:val="105C84"/>
                <w:spacing w:val="-2"/>
                <w:sz w:val="18"/>
              </w:rPr>
              <w:t>and</w:t>
            </w:r>
            <w:r>
              <w:rPr>
                <w:color w:val="105C84"/>
                <w:spacing w:val="-6"/>
                <w:sz w:val="18"/>
              </w:rPr>
              <w:t> </w:t>
            </w:r>
            <w:r>
              <w:rPr>
                <w:color w:val="105C84"/>
                <w:spacing w:val="-2"/>
                <w:sz w:val="18"/>
              </w:rPr>
              <w:t>LTE’s</w:t>
            </w:r>
          </w:p>
        </w:tc>
        <w:tc>
          <w:tcPr>
            <w:tcW w:w="2097" w:type="dxa"/>
            <w:vMerge/>
            <w:tcBorders>
              <w:top w:val="nil"/>
              <w:left w:val="single" w:sz="4" w:space="0" w:color="BCBEC0"/>
              <w:right w:val="single" w:sz="4" w:space="0" w:color="BCBEC0"/>
            </w:tcBorders>
          </w:tcPr>
          <w:p>
            <w:pPr>
              <w:rPr>
                <w:sz w:val="2"/>
                <w:szCs w:val="2"/>
              </w:rPr>
            </w:pPr>
          </w:p>
        </w:tc>
      </w:tr>
      <w:tr>
        <w:trPr>
          <w:trHeight w:val="801" w:hRule="exact"/>
        </w:trPr>
        <w:tc>
          <w:tcPr>
            <w:tcW w:w="1353" w:type="dxa"/>
            <w:tcBorders>
              <w:top w:val="nil"/>
              <w:left w:val="single" w:sz="4" w:space="0" w:color="BCBEC0"/>
              <w:bottom w:val="nil"/>
              <w:right w:val="single" w:sz="4" w:space="0" w:color="BCBEC0"/>
            </w:tcBorders>
            <w:shd w:val="clear" w:color="auto" w:fill="E6E7E8"/>
          </w:tcPr>
          <w:p>
            <w:pPr>
              <w:pStyle w:val="TableParagraph"/>
              <w:rPr>
                <w:rFonts w:ascii="Times New Roman"/>
                <w:sz w:val="18"/>
              </w:rPr>
            </w:pPr>
          </w:p>
        </w:tc>
        <w:tc>
          <w:tcPr>
            <w:tcW w:w="1289" w:type="dxa"/>
            <w:tcBorders>
              <w:top w:val="nil"/>
              <w:left w:val="single" w:sz="4" w:space="0" w:color="BCBEC0"/>
              <w:bottom w:val="nil"/>
              <w:right w:val="single" w:sz="4" w:space="0" w:color="BCBEC0"/>
            </w:tcBorders>
          </w:tcPr>
          <w:p>
            <w:pPr>
              <w:pStyle w:val="TableParagraph"/>
              <w:rPr>
                <w:rFonts w:ascii="Times New Roman"/>
                <w:sz w:val="18"/>
              </w:rPr>
            </w:pPr>
          </w:p>
        </w:tc>
        <w:tc>
          <w:tcPr>
            <w:tcW w:w="1591" w:type="dxa"/>
            <w:tcBorders>
              <w:top w:val="nil"/>
              <w:left w:val="single" w:sz="4" w:space="0" w:color="BCBEC0"/>
              <w:bottom w:val="nil"/>
              <w:right w:val="single" w:sz="4" w:space="0" w:color="BCBEC0"/>
            </w:tcBorders>
          </w:tcPr>
          <w:p>
            <w:pPr>
              <w:pStyle w:val="TableParagraph"/>
              <w:rPr>
                <w:rFonts w:ascii="Times New Roman"/>
                <w:sz w:val="18"/>
              </w:rPr>
            </w:pPr>
          </w:p>
        </w:tc>
        <w:tc>
          <w:tcPr>
            <w:tcW w:w="2822" w:type="dxa"/>
            <w:tcBorders>
              <w:top w:val="nil"/>
              <w:left w:val="single" w:sz="4" w:space="0" w:color="BCBEC0"/>
              <w:bottom w:val="nil"/>
              <w:right w:val="single" w:sz="4" w:space="0" w:color="BCBEC0"/>
            </w:tcBorders>
          </w:tcPr>
          <w:p>
            <w:pPr>
              <w:pStyle w:val="TableParagraph"/>
              <w:rPr>
                <w:rFonts w:ascii="Times New Roman"/>
                <w:sz w:val="18"/>
              </w:rPr>
            </w:pPr>
          </w:p>
        </w:tc>
        <w:tc>
          <w:tcPr>
            <w:tcW w:w="1267" w:type="dxa"/>
            <w:vMerge/>
            <w:tcBorders>
              <w:top w:val="nil"/>
              <w:left w:val="single" w:sz="4" w:space="0" w:color="BCBEC0"/>
              <w:right w:val="single" w:sz="4" w:space="0" w:color="BCBEC0"/>
            </w:tcBorders>
          </w:tcPr>
          <w:p>
            <w:pPr>
              <w:rPr>
                <w:sz w:val="2"/>
                <w:szCs w:val="2"/>
              </w:rPr>
            </w:pPr>
          </w:p>
        </w:tc>
        <w:tc>
          <w:tcPr>
            <w:tcW w:w="2861" w:type="dxa"/>
            <w:vMerge/>
            <w:tcBorders>
              <w:top w:val="nil"/>
              <w:left w:val="single" w:sz="4" w:space="0" w:color="BCBEC0"/>
              <w:right w:val="nil"/>
            </w:tcBorders>
          </w:tcPr>
          <w:p>
            <w:pPr>
              <w:rPr>
                <w:sz w:val="2"/>
                <w:szCs w:val="2"/>
              </w:rPr>
            </w:pPr>
          </w:p>
        </w:tc>
        <w:tc>
          <w:tcPr>
            <w:tcW w:w="3359" w:type="dxa"/>
            <w:vMerge/>
            <w:tcBorders>
              <w:top w:val="nil"/>
              <w:left w:val="nil"/>
              <w:right w:val="single" w:sz="4" w:space="0" w:color="BCBEC0"/>
            </w:tcBorders>
          </w:tcPr>
          <w:p>
            <w:pPr>
              <w:rPr>
                <w:sz w:val="2"/>
                <w:szCs w:val="2"/>
              </w:rPr>
            </w:pPr>
          </w:p>
        </w:tc>
        <w:tc>
          <w:tcPr>
            <w:tcW w:w="2390" w:type="dxa"/>
            <w:tcBorders>
              <w:top w:val="nil"/>
              <w:left w:val="single" w:sz="4" w:space="0" w:color="BCBEC0"/>
              <w:bottom w:val="nil"/>
              <w:right w:val="single" w:sz="4" w:space="0" w:color="BCBEC0"/>
            </w:tcBorders>
          </w:tcPr>
          <w:p>
            <w:pPr>
              <w:pStyle w:val="TableParagraph"/>
              <w:numPr>
                <w:ilvl w:val="0"/>
                <w:numId w:val="67"/>
              </w:numPr>
              <w:tabs>
                <w:tab w:pos="389" w:val="left" w:leader="none"/>
              </w:tabs>
              <w:spacing w:line="240" w:lineRule="auto" w:before="11" w:after="0"/>
              <w:ind w:left="389" w:right="0" w:hanging="105"/>
              <w:jc w:val="left"/>
              <w:rPr>
                <w:sz w:val="18"/>
              </w:rPr>
            </w:pPr>
            <w:r>
              <w:rPr>
                <w:color w:val="105C84"/>
                <w:spacing w:val="-2"/>
                <w:sz w:val="18"/>
              </w:rPr>
              <w:t>Fire</w:t>
            </w:r>
            <w:r>
              <w:rPr>
                <w:color w:val="105C84"/>
                <w:spacing w:val="-10"/>
                <w:sz w:val="18"/>
              </w:rPr>
              <w:t> </w:t>
            </w:r>
            <w:r>
              <w:rPr>
                <w:color w:val="105C84"/>
                <w:spacing w:val="-2"/>
                <w:sz w:val="18"/>
              </w:rPr>
              <w:t>Dpts.</w:t>
            </w:r>
          </w:p>
          <w:p>
            <w:pPr>
              <w:pStyle w:val="TableParagraph"/>
              <w:numPr>
                <w:ilvl w:val="0"/>
                <w:numId w:val="67"/>
              </w:numPr>
              <w:tabs>
                <w:tab w:pos="389" w:val="left" w:leader="none"/>
              </w:tabs>
              <w:spacing w:line="240" w:lineRule="auto" w:before="57" w:after="0"/>
              <w:ind w:left="389" w:right="0" w:hanging="105"/>
              <w:jc w:val="left"/>
              <w:rPr>
                <w:sz w:val="18"/>
              </w:rPr>
            </w:pPr>
            <w:r>
              <w:rPr>
                <w:color w:val="105C84"/>
                <w:spacing w:val="-2"/>
                <w:sz w:val="18"/>
              </w:rPr>
              <w:t>Sheriffs</w:t>
            </w:r>
          </w:p>
          <w:p>
            <w:pPr>
              <w:pStyle w:val="TableParagraph"/>
              <w:numPr>
                <w:ilvl w:val="0"/>
                <w:numId w:val="67"/>
              </w:numPr>
              <w:tabs>
                <w:tab w:pos="389" w:val="left" w:leader="none"/>
              </w:tabs>
              <w:spacing w:line="240" w:lineRule="auto" w:before="56" w:after="0"/>
              <w:ind w:left="389" w:right="0" w:hanging="105"/>
              <w:jc w:val="left"/>
              <w:rPr>
                <w:sz w:val="18"/>
              </w:rPr>
            </w:pPr>
            <w:r>
              <w:rPr>
                <w:color w:val="105C84"/>
                <w:spacing w:val="-2"/>
                <w:sz w:val="18"/>
              </w:rPr>
              <w:t>Churches</w:t>
            </w:r>
          </w:p>
        </w:tc>
        <w:tc>
          <w:tcPr>
            <w:tcW w:w="3196" w:type="dxa"/>
            <w:tcBorders>
              <w:top w:val="nil"/>
              <w:left w:val="single" w:sz="4" w:space="0" w:color="BCBEC0"/>
              <w:bottom w:val="nil"/>
              <w:right w:val="single" w:sz="4" w:space="0" w:color="BCBEC0"/>
            </w:tcBorders>
          </w:tcPr>
          <w:p>
            <w:pPr>
              <w:pStyle w:val="TableParagraph"/>
              <w:spacing w:line="232" w:lineRule="auto" w:before="73"/>
              <w:ind w:left="84" w:right="330"/>
              <w:rPr>
                <w:sz w:val="18"/>
              </w:rPr>
            </w:pPr>
            <w:r>
              <w:rPr>
                <w:color w:val="105C84"/>
                <w:sz w:val="18"/>
              </w:rPr>
              <w:t>Trillium Health: Provide Narcan and</w:t>
            </w:r>
            <w:r>
              <w:rPr>
                <w:color w:val="105C84"/>
                <w:spacing w:val="-2"/>
                <w:sz w:val="18"/>
              </w:rPr>
              <w:t> </w:t>
            </w:r>
            <w:r>
              <w:rPr>
                <w:color w:val="105C84"/>
                <w:sz w:val="18"/>
              </w:rPr>
              <w:t>education</w:t>
            </w:r>
            <w:r>
              <w:rPr>
                <w:color w:val="105C84"/>
                <w:spacing w:val="-2"/>
                <w:sz w:val="18"/>
              </w:rPr>
              <w:t> </w:t>
            </w:r>
            <w:r>
              <w:rPr>
                <w:color w:val="105C84"/>
                <w:sz w:val="18"/>
              </w:rPr>
              <w:t>at</w:t>
            </w:r>
            <w:r>
              <w:rPr>
                <w:color w:val="105C84"/>
                <w:spacing w:val="-2"/>
                <w:sz w:val="18"/>
              </w:rPr>
              <w:t> </w:t>
            </w:r>
            <w:r>
              <w:rPr>
                <w:color w:val="105C84"/>
                <w:sz w:val="18"/>
              </w:rPr>
              <w:t>mobile</w:t>
            </w:r>
            <w:r>
              <w:rPr>
                <w:color w:val="105C84"/>
                <w:spacing w:val="-2"/>
                <w:sz w:val="18"/>
              </w:rPr>
              <w:t> </w:t>
            </w:r>
            <w:r>
              <w:rPr>
                <w:color w:val="105C84"/>
                <w:sz w:val="18"/>
              </w:rPr>
              <w:t>syringe exchange program</w:t>
            </w:r>
          </w:p>
        </w:tc>
        <w:tc>
          <w:tcPr>
            <w:tcW w:w="2097" w:type="dxa"/>
            <w:vMerge/>
            <w:tcBorders>
              <w:top w:val="nil"/>
              <w:left w:val="single" w:sz="4" w:space="0" w:color="BCBEC0"/>
              <w:right w:val="single" w:sz="4" w:space="0" w:color="BCBEC0"/>
            </w:tcBorders>
          </w:tcPr>
          <w:p>
            <w:pPr>
              <w:rPr>
                <w:sz w:val="2"/>
                <w:szCs w:val="2"/>
              </w:rPr>
            </w:pPr>
          </w:p>
        </w:tc>
      </w:tr>
      <w:tr>
        <w:trPr>
          <w:trHeight w:val="303" w:hRule="exact"/>
        </w:trPr>
        <w:tc>
          <w:tcPr>
            <w:tcW w:w="1353" w:type="dxa"/>
            <w:tcBorders>
              <w:top w:val="nil"/>
              <w:left w:val="single" w:sz="4" w:space="0" w:color="BCBEC0"/>
              <w:bottom w:val="nil"/>
              <w:right w:val="single" w:sz="4" w:space="0" w:color="BCBEC0"/>
            </w:tcBorders>
            <w:shd w:val="clear" w:color="auto" w:fill="E6E7E8"/>
          </w:tcPr>
          <w:p>
            <w:pPr>
              <w:pStyle w:val="TableParagraph"/>
              <w:rPr>
                <w:rFonts w:ascii="Times New Roman"/>
                <w:sz w:val="18"/>
              </w:rPr>
            </w:pPr>
          </w:p>
        </w:tc>
        <w:tc>
          <w:tcPr>
            <w:tcW w:w="1289" w:type="dxa"/>
            <w:tcBorders>
              <w:top w:val="nil"/>
              <w:left w:val="single" w:sz="4" w:space="0" w:color="BCBEC0"/>
              <w:bottom w:val="nil"/>
              <w:right w:val="single" w:sz="4" w:space="0" w:color="BCBEC0"/>
            </w:tcBorders>
          </w:tcPr>
          <w:p>
            <w:pPr>
              <w:pStyle w:val="TableParagraph"/>
              <w:rPr>
                <w:rFonts w:ascii="Times New Roman"/>
                <w:sz w:val="18"/>
              </w:rPr>
            </w:pPr>
          </w:p>
        </w:tc>
        <w:tc>
          <w:tcPr>
            <w:tcW w:w="1591" w:type="dxa"/>
            <w:tcBorders>
              <w:top w:val="nil"/>
              <w:left w:val="single" w:sz="4" w:space="0" w:color="BCBEC0"/>
              <w:bottom w:val="nil"/>
              <w:right w:val="single" w:sz="4" w:space="0" w:color="BCBEC0"/>
            </w:tcBorders>
          </w:tcPr>
          <w:p>
            <w:pPr>
              <w:pStyle w:val="TableParagraph"/>
              <w:rPr>
                <w:rFonts w:ascii="Times New Roman"/>
                <w:sz w:val="18"/>
              </w:rPr>
            </w:pPr>
          </w:p>
        </w:tc>
        <w:tc>
          <w:tcPr>
            <w:tcW w:w="2822" w:type="dxa"/>
            <w:tcBorders>
              <w:top w:val="nil"/>
              <w:left w:val="single" w:sz="4" w:space="0" w:color="BCBEC0"/>
              <w:bottom w:val="nil"/>
              <w:right w:val="single" w:sz="4" w:space="0" w:color="BCBEC0"/>
            </w:tcBorders>
          </w:tcPr>
          <w:p>
            <w:pPr>
              <w:pStyle w:val="TableParagraph"/>
              <w:rPr>
                <w:rFonts w:ascii="Times New Roman"/>
                <w:sz w:val="18"/>
              </w:rPr>
            </w:pPr>
          </w:p>
        </w:tc>
        <w:tc>
          <w:tcPr>
            <w:tcW w:w="1267" w:type="dxa"/>
            <w:vMerge/>
            <w:tcBorders>
              <w:top w:val="nil"/>
              <w:left w:val="single" w:sz="4" w:space="0" w:color="BCBEC0"/>
              <w:right w:val="single" w:sz="4" w:space="0" w:color="BCBEC0"/>
            </w:tcBorders>
          </w:tcPr>
          <w:p>
            <w:pPr>
              <w:rPr>
                <w:sz w:val="2"/>
                <w:szCs w:val="2"/>
              </w:rPr>
            </w:pPr>
          </w:p>
        </w:tc>
        <w:tc>
          <w:tcPr>
            <w:tcW w:w="2861" w:type="dxa"/>
            <w:vMerge/>
            <w:tcBorders>
              <w:top w:val="nil"/>
              <w:left w:val="single" w:sz="4" w:space="0" w:color="BCBEC0"/>
              <w:right w:val="nil"/>
            </w:tcBorders>
          </w:tcPr>
          <w:p>
            <w:pPr>
              <w:rPr>
                <w:sz w:val="2"/>
                <w:szCs w:val="2"/>
              </w:rPr>
            </w:pPr>
          </w:p>
        </w:tc>
        <w:tc>
          <w:tcPr>
            <w:tcW w:w="3359" w:type="dxa"/>
            <w:vMerge/>
            <w:tcBorders>
              <w:top w:val="nil"/>
              <w:left w:val="nil"/>
              <w:right w:val="single" w:sz="4" w:space="0" w:color="BCBEC0"/>
            </w:tcBorders>
          </w:tcPr>
          <w:p>
            <w:pPr>
              <w:rPr>
                <w:sz w:val="2"/>
                <w:szCs w:val="2"/>
              </w:rPr>
            </w:pPr>
          </w:p>
        </w:tc>
        <w:tc>
          <w:tcPr>
            <w:tcW w:w="2390" w:type="dxa"/>
            <w:tcBorders>
              <w:top w:val="nil"/>
              <w:left w:val="single" w:sz="4" w:space="0" w:color="BCBEC0"/>
              <w:bottom w:val="nil"/>
              <w:right w:val="single" w:sz="4" w:space="0" w:color="BCBEC0"/>
            </w:tcBorders>
          </w:tcPr>
          <w:p>
            <w:pPr>
              <w:pStyle w:val="TableParagraph"/>
              <w:spacing w:before="40"/>
              <w:ind w:left="84"/>
              <w:rPr>
                <w:sz w:val="18"/>
              </w:rPr>
            </w:pPr>
            <w:r>
              <w:rPr>
                <w:color w:val="105C84"/>
                <w:spacing w:val="-2"/>
                <w:sz w:val="18"/>
              </w:rPr>
              <w:t>Sheriff’s</w:t>
            </w:r>
          </w:p>
        </w:tc>
        <w:tc>
          <w:tcPr>
            <w:tcW w:w="3196" w:type="dxa"/>
            <w:tcBorders>
              <w:top w:val="nil"/>
              <w:left w:val="single" w:sz="4" w:space="0" w:color="BCBEC0"/>
              <w:bottom w:val="nil"/>
              <w:right w:val="single" w:sz="4" w:space="0" w:color="BCBEC0"/>
            </w:tcBorders>
          </w:tcPr>
          <w:p>
            <w:pPr>
              <w:pStyle w:val="TableParagraph"/>
              <w:rPr>
                <w:rFonts w:ascii="Times New Roman"/>
                <w:sz w:val="18"/>
              </w:rPr>
            </w:pPr>
          </w:p>
        </w:tc>
        <w:tc>
          <w:tcPr>
            <w:tcW w:w="2097" w:type="dxa"/>
            <w:vMerge/>
            <w:tcBorders>
              <w:top w:val="nil"/>
              <w:left w:val="single" w:sz="4" w:space="0" w:color="BCBEC0"/>
              <w:right w:val="single" w:sz="4" w:space="0" w:color="BCBEC0"/>
            </w:tcBorders>
          </w:tcPr>
          <w:p>
            <w:pPr>
              <w:rPr>
                <w:sz w:val="2"/>
                <w:szCs w:val="2"/>
              </w:rPr>
            </w:pPr>
          </w:p>
        </w:tc>
      </w:tr>
      <w:tr>
        <w:trPr>
          <w:trHeight w:val="303" w:hRule="exact"/>
        </w:trPr>
        <w:tc>
          <w:tcPr>
            <w:tcW w:w="1353" w:type="dxa"/>
            <w:tcBorders>
              <w:top w:val="nil"/>
              <w:left w:val="single" w:sz="4" w:space="0" w:color="BCBEC0"/>
              <w:bottom w:val="nil"/>
              <w:right w:val="single" w:sz="4" w:space="0" w:color="BCBEC0"/>
            </w:tcBorders>
            <w:shd w:val="clear" w:color="auto" w:fill="E6E7E8"/>
          </w:tcPr>
          <w:p>
            <w:pPr>
              <w:pStyle w:val="TableParagraph"/>
              <w:rPr>
                <w:rFonts w:ascii="Times New Roman"/>
                <w:sz w:val="18"/>
              </w:rPr>
            </w:pPr>
          </w:p>
        </w:tc>
        <w:tc>
          <w:tcPr>
            <w:tcW w:w="1289" w:type="dxa"/>
            <w:tcBorders>
              <w:top w:val="nil"/>
              <w:left w:val="single" w:sz="4" w:space="0" w:color="BCBEC0"/>
              <w:bottom w:val="nil"/>
              <w:right w:val="single" w:sz="4" w:space="0" w:color="BCBEC0"/>
            </w:tcBorders>
          </w:tcPr>
          <w:p>
            <w:pPr>
              <w:pStyle w:val="TableParagraph"/>
              <w:rPr>
                <w:rFonts w:ascii="Times New Roman"/>
                <w:sz w:val="18"/>
              </w:rPr>
            </w:pPr>
          </w:p>
        </w:tc>
        <w:tc>
          <w:tcPr>
            <w:tcW w:w="1591" w:type="dxa"/>
            <w:tcBorders>
              <w:top w:val="nil"/>
              <w:left w:val="single" w:sz="4" w:space="0" w:color="BCBEC0"/>
              <w:bottom w:val="nil"/>
              <w:right w:val="single" w:sz="4" w:space="0" w:color="BCBEC0"/>
            </w:tcBorders>
          </w:tcPr>
          <w:p>
            <w:pPr>
              <w:pStyle w:val="TableParagraph"/>
              <w:rPr>
                <w:rFonts w:ascii="Times New Roman"/>
                <w:sz w:val="18"/>
              </w:rPr>
            </w:pPr>
          </w:p>
        </w:tc>
        <w:tc>
          <w:tcPr>
            <w:tcW w:w="2822" w:type="dxa"/>
            <w:tcBorders>
              <w:top w:val="nil"/>
              <w:left w:val="single" w:sz="4" w:space="0" w:color="BCBEC0"/>
              <w:bottom w:val="nil"/>
              <w:right w:val="single" w:sz="4" w:space="0" w:color="BCBEC0"/>
            </w:tcBorders>
          </w:tcPr>
          <w:p>
            <w:pPr>
              <w:pStyle w:val="TableParagraph"/>
              <w:rPr>
                <w:rFonts w:ascii="Times New Roman"/>
                <w:sz w:val="18"/>
              </w:rPr>
            </w:pPr>
          </w:p>
        </w:tc>
        <w:tc>
          <w:tcPr>
            <w:tcW w:w="1267" w:type="dxa"/>
            <w:vMerge/>
            <w:tcBorders>
              <w:top w:val="nil"/>
              <w:left w:val="single" w:sz="4" w:space="0" w:color="BCBEC0"/>
              <w:right w:val="single" w:sz="4" w:space="0" w:color="BCBEC0"/>
            </w:tcBorders>
          </w:tcPr>
          <w:p>
            <w:pPr>
              <w:rPr>
                <w:sz w:val="2"/>
                <w:szCs w:val="2"/>
              </w:rPr>
            </w:pPr>
          </w:p>
        </w:tc>
        <w:tc>
          <w:tcPr>
            <w:tcW w:w="2861" w:type="dxa"/>
            <w:vMerge/>
            <w:tcBorders>
              <w:top w:val="nil"/>
              <w:left w:val="single" w:sz="4" w:space="0" w:color="BCBEC0"/>
              <w:right w:val="nil"/>
            </w:tcBorders>
          </w:tcPr>
          <w:p>
            <w:pPr>
              <w:rPr>
                <w:sz w:val="2"/>
                <w:szCs w:val="2"/>
              </w:rPr>
            </w:pPr>
          </w:p>
        </w:tc>
        <w:tc>
          <w:tcPr>
            <w:tcW w:w="3359" w:type="dxa"/>
            <w:vMerge/>
            <w:tcBorders>
              <w:top w:val="nil"/>
              <w:left w:val="nil"/>
              <w:right w:val="single" w:sz="4" w:space="0" w:color="BCBEC0"/>
            </w:tcBorders>
          </w:tcPr>
          <w:p>
            <w:pPr>
              <w:rPr>
                <w:sz w:val="2"/>
                <w:szCs w:val="2"/>
              </w:rPr>
            </w:pPr>
          </w:p>
        </w:tc>
        <w:tc>
          <w:tcPr>
            <w:tcW w:w="2390" w:type="dxa"/>
            <w:tcBorders>
              <w:top w:val="nil"/>
              <w:left w:val="single" w:sz="4" w:space="0" w:color="BCBEC0"/>
              <w:bottom w:val="nil"/>
              <w:right w:val="single" w:sz="4" w:space="0" w:color="BCBEC0"/>
            </w:tcBorders>
          </w:tcPr>
          <w:p>
            <w:pPr>
              <w:pStyle w:val="TableParagraph"/>
              <w:spacing w:before="40"/>
              <w:ind w:left="84"/>
              <w:rPr>
                <w:sz w:val="18"/>
              </w:rPr>
            </w:pPr>
            <w:r>
              <w:rPr>
                <w:color w:val="105C84"/>
                <w:spacing w:val="-4"/>
                <w:sz w:val="18"/>
              </w:rPr>
              <w:t>Media</w:t>
            </w:r>
          </w:p>
        </w:tc>
        <w:tc>
          <w:tcPr>
            <w:tcW w:w="3196" w:type="dxa"/>
            <w:tcBorders>
              <w:top w:val="nil"/>
              <w:left w:val="single" w:sz="4" w:space="0" w:color="BCBEC0"/>
              <w:bottom w:val="nil"/>
              <w:right w:val="single" w:sz="4" w:space="0" w:color="BCBEC0"/>
            </w:tcBorders>
          </w:tcPr>
          <w:p>
            <w:pPr>
              <w:pStyle w:val="TableParagraph"/>
              <w:rPr>
                <w:rFonts w:ascii="Times New Roman"/>
                <w:sz w:val="18"/>
              </w:rPr>
            </w:pPr>
          </w:p>
        </w:tc>
        <w:tc>
          <w:tcPr>
            <w:tcW w:w="2097" w:type="dxa"/>
            <w:vMerge/>
            <w:tcBorders>
              <w:top w:val="nil"/>
              <w:left w:val="single" w:sz="4" w:space="0" w:color="BCBEC0"/>
              <w:right w:val="single" w:sz="4" w:space="0" w:color="BCBEC0"/>
            </w:tcBorders>
          </w:tcPr>
          <w:p>
            <w:pPr>
              <w:rPr>
                <w:sz w:val="2"/>
                <w:szCs w:val="2"/>
              </w:rPr>
            </w:pPr>
          </w:p>
        </w:tc>
      </w:tr>
      <w:tr>
        <w:trPr>
          <w:trHeight w:val="554" w:hRule="exact"/>
        </w:trPr>
        <w:tc>
          <w:tcPr>
            <w:tcW w:w="1353" w:type="dxa"/>
            <w:tcBorders>
              <w:top w:val="nil"/>
              <w:left w:val="single" w:sz="4" w:space="0" w:color="BCBEC0"/>
              <w:right w:val="single" w:sz="4" w:space="0" w:color="BCBEC0"/>
            </w:tcBorders>
            <w:shd w:val="clear" w:color="auto" w:fill="E6E7E8"/>
          </w:tcPr>
          <w:p>
            <w:pPr>
              <w:pStyle w:val="TableParagraph"/>
              <w:rPr>
                <w:rFonts w:ascii="Times New Roman"/>
                <w:sz w:val="18"/>
              </w:rPr>
            </w:pPr>
          </w:p>
        </w:tc>
        <w:tc>
          <w:tcPr>
            <w:tcW w:w="1289" w:type="dxa"/>
            <w:tcBorders>
              <w:top w:val="nil"/>
              <w:left w:val="single" w:sz="4" w:space="0" w:color="BCBEC0"/>
              <w:right w:val="single" w:sz="4" w:space="0" w:color="BCBEC0"/>
            </w:tcBorders>
          </w:tcPr>
          <w:p>
            <w:pPr>
              <w:pStyle w:val="TableParagraph"/>
              <w:rPr>
                <w:rFonts w:ascii="Times New Roman"/>
                <w:sz w:val="18"/>
              </w:rPr>
            </w:pPr>
          </w:p>
        </w:tc>
        <w:tc>
          <w:tcPr>
            <w:tcW w:w="1591" w:type="dxa"/>
            <w:tcBorders>
              <w:top w:val="nil"/>
              <w:left w:val="single" w:sz="4" w:space="0" w:color="BCBEC0"/>
              <w:right w:val="single" w:sz="4" w:space="0" w:color="BCBEC0"/>
            </w:tcBorders>
          </w:tcPr>
          <w:p>
            <w:pPr>
              <w:pStyle w:val="TableParagraph"/>
              <w:rPr>
                <w:rFonts w:ascii="Times New Roman"/>
                <w:sz w:val="18"/>
              </w:rPr>
            </w:pPr>
          </w:p>
        </w:tc>
        <w:tc>
          <w:tcPr>
            <w:tcW w:w="2822" w:type="dxa"/>
            <w:tcBorders>
              <w:top w:val="nil"/>
              <w:left w:val="single" w:sz="4" w:space="0" w:color="BCBEC0"/>
              <w:right w:val="single" w:sz="4" w:space="0" w:color="BCBEC0"/>
            </w:tcBorders>
          </w:tcPr>
          <w:p>
            <w:pPr>
              <w:pStyle w:val="TableParagraph"/>
              <w:rPr>
                <w:rFonts w:ascii="Times New Roman"/>
                <w:sz w:val="18"/>
              </w:rPr>
            </w:pPr>
          </w:p>
        </w:tc>
        <w:tc>
          <w:tcPr>
            <w:tcW w:w="1267" w:type="dxa"/>
            <w:vMerge/>
            <w:tcBorders>
              <w:top w:val="nil"/>
              <w:left w:val="single" w:sz="4" w:space="0" w:color="BCBEC0"/>
              <w:right w:val="single" w:sz="4" w:space="0" w:color="BCBEC0"/>
            </w:tcBorders>
          </w:tcPr>
          <w:p>
            <w:pPr>
              <w:rPr>
                <w:sz w:val="2"/>
                <w:szCs w:val="2"/>
              </w:rPr>
            </w:pPr>
          </w:p>
        </w:tc>
        <w:tc>
          <w:tcPr>
            <w:tcW w:w="2861" w:type="dxa"/>
            <w:vMerge/>
            <w:tcBorders>
              <w:top w:val="nil"/>
              <w:left w:val="single" w:sz="4" w:space="0" w:color="BCBEC0"/>
              <w:right w:val="nil"/>
            </w:tcBorders>
          </w:tcPr>
          <w:p>
            <w:pPr>
              <w:rPr>
                <w:sz w:val="2"/>
                <w:szCs w:val="2"/>
              </w:rPr>
            </w:pPr>
          </w:p>
        </w:tc>
        <w:tc>
          <w:tcPr>
            <w:tcW w:w="3359" w:type="dxa"/>
            <w:vMerge/>
            <w:tcBorders>
              <w:top w:val="nil"/>
              <w:left w:val="nil"/>
              <w:right w:val="single" w:sz="4" w:space="0" w:color="BCBEC0"/>
            </w:tcBorders>
          </w:tcPr>
          <w:p>
            <w:pPr>
              <w:rPr>
                <w:sz w:val="2"/>
                <w:szCs w:val="2"/>
              </w:rPr>
            </w:pPr>
          </w:p>
        </w:tc>
        <w:tc>
          <w:tcPr>
            <w:tcW w:w="2390" w:type="dxa"/>
            <w:tcBorders>
              <w:top w:val="nil"/>
              <w:left w:val="single" w:sz="4" w:space="0" w:color="BCBEC0"/>
              <w:right w:val="single" w:sz="4" w:space="0" w:color="BCBEC0"/>
            </w:tcBorders>
          </w:tcPr>
          <w:p>
            <w:pPr>
              <w:pStyle w:val="TableParagraph"/>
              <w:spacing w:before="40"/>
              <w:ind w:left="84"/>
              <w:rPr>
                <w:sz w:val="18"/>
              </w:rPr>
            </w:pPr>
            <w:r>
              <w:rPr>
                <w:color w:val="105C84"/>
                <w:spacing w:val="-2"/>
                <w:sz w:val="18"/>
              </w:rPr>
              <w:t>Trillium</w:t>
            </w:r>
            <w:r>
              <w:rPr>
                <w:color w:val="105C84"/>
                <w:spacing w:val="1"/>
                <w:sz w:val="18"/>
              </w:rPr>
              <w:t> </w:t>
            </w:r>
            <w:r>
              <w:rPr>
                <w:color w:val="105C84"/>
                <w:spacing w:val="-2"/>
                <w:sz w:val="18"/>
              </w:rPr>
              <w:t>Health</w:t>
            </w:r>
          </w:p>
        </w:tc>
        <w:tc>
          <w:tcPr>
            <w:tcW w:w="3196" w:type="dxa"/>
            <w:tcBorders>
              <w:top w:val="nil"/>
              <w:left w:val="single" w:sz="4" w:space="0" w:color="BCBEC0"/>
              <w:right w:val="single" w:sz="4" w:space="0" w:color="BCBEC0"/>
            </w:tcBorders>
          </w:tcPr>
          <w:p>
            <w:pPr>
              <w:pStyle w:val="TableParagraph"/>
              <w:rPr>
                <w:rFonts w:ascii="Times New Roman"/>
                <w:sz w:val="18"/>
              </w:rPr>
            </w:pPr>
          </w:p>
        </w:tc>
        <w:tc>
          <w:tcPr>
            <w:tcW w:w="2097" w:type="dxa"/>
            <w:vMerge/>
            <w:tcBorders>
              <w:top w:val="nil"/>
              <w:left w:val="single" w:sz="4" w:space="0" w:color="BCBEC0"/>
              <w:right w:val="single" w:sz="4" w:space="0" w:color="BCBEC0"/>
            </w:tcBorders>
          </w:tcPr>
          <w:p>
            <w:pPr>
              <w:rPr>
                <w:sz w:val="2"/>
                <w:szCs w:val="2"/>
              </w:rPr>
            </w:pPr>
          </w:p>
        </w:tc>
      </w:tr>
    </w:tbl>
    <w:p>
      <w:pPr>
        <w:pStyle w:val="BodyText"/>
        <w:rPr>
          <w:b/>
          <w:sz w:val="26"/>
        </w:rPr>
      </w:pPr>
    </w:p>
    <w:p>
      <w:pPr>
        <w:pStyle w:val="BodyText"/>
        <w:spacing w:before="107"/>
        <w:rPr>
          <w:b/>
          <w:sz w:val="26"/>
        </w:rPr>
      </w:pPr>
    </w:p>
    <w:p>
      <w:pPr>
        <w:tabs>
          <w:tab w:pos="23047" w:val="left" w:leader="none"/>
        </w:tabs>
        <w:spacing w:before="0"/>
        <w:ind w:left="0" w:right="0" w:firstLine="0"/>
        <w:jc w:val="left"/>
        <w:rPr>
          <w:b/>
          <w:sz w:val="26"/>
        </w:rPr>
      </w:pPr>
      <w:r>
        <w:rPr>
          <w:position w:val="-4"/>
        </w:rPr>
        <w:drawing>
          <wp:inline distT="0" distB="0" distL="0" distR="0">
            <wp:extent cx="568172" cy="184683"/>
            <wp:effectExtent l="0" t="0" r="0" b="0"/>
            <wp:docPr id="1860" name="Image 1860"/>
            <wp:cNvGraphicFramePr>
              <a:graphicFrameLocks/>
            </wp:cNvGraphicFramePr>
            <a:graphic>
              <a:graphicData uri="http://schemas.openxmlformats.org/drawingml/2006/picture">
                <pic:pic>
                  <pic:nvPicPr>
                    <pic:cNvPr id="1860" name="Image 1860"/>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13"/>
          <w:sz w:val="20"/>
        </w:rPr>
        <w:t> </w:t>
      </w:r>
      <w:r>
        <w:rPr>
          <w:b/>
          <w:color w:val="939598"/>
          <w:w w:val="105"/>
          <w:sz w:val="26"/>
        </w:rPr>
        <w:t>159</w:t>
      </w:r>
      <w:r>
        <w:rPr>
          <w:b/>
          <w:color w:val="939598"/>
          <w:sz w:val="26"/>
        </w:rPr>
        <w:tab/>
      </w:r>
      <w:r>
        <w:rPr>
          <w:b/>
          <w:color w:val="939598"/>
          <w:spacing w:val="-5"/>
          <w:w w:val="105"/>
          <w:sz w:val="26"/>
        </w:rPr>
        <w:t>160</w:t>
      </w:r>
    </w:p>
    <w:p>
      <w:pPr>
        <w:spacing w:after="0"/>
        <w:jc w:val="left"/>
        <w:rPr>
          <w:b/>
          <w:sz w:val="26"/>
        </w:rPr>
        <w:sectPr>
          <w:pgSz w:w="24480" w:h="15840" w:orient="landscape"/>
          <w:pgMar w:header="0" w:footer="0" w:top="860" w:bottom="0" w:left="0" w:right="720"/>
        </w:sectPr>
      </w:pPr>
    </w:p>
    <w:p>
      <w:pPr>
        <w:spacing w:before="607"/>
        <w:ind w:left="1089" w:right="0" w:firstLine="0"/>
        <w:jc w:val="left"/>
        <w:rPr>
          <w:sz w:val="54"/>
        </w:rPr>
      </w:pPr>
      <w:r>
        <w:rPr>
          <w:sz w:val="54"/>
        </w:rPr>
        <w:drawing>
          <wp:anchor distT="0" distB="0" distL="0" distR="0" allowOverlap="1" layoutInCell="1" locked="0" behindDoc="0" simplePos="0" relativeHeight="15968768">
            <wp:simplePos x="0" y="0"/>
            <wp:positionH relativeFrom="page">
              <wp:posOffset>14981556</wp:posOffset>
            </wp:positionH>
            <wp:positionV relativeFrom="page">
              <wp:posOffset>9668103</wp:posOffset>
            </wp:positionV>
            <wp:extent cx="563245" cy="184683"/>
            <wp:effectExtent l="0" t="0" r="0" b="0"/>
            <wp:wrapNone/>
            <wp:docPr id="1861" name="Image 1861"/>
            <wp:cNvGraphicFramePr>
              <a:graphicFrameLocks/>
            </wp:cNvGraphicFramePr>
            <a:graphic>
              <a:graphicData uri="http://schemas.openxmlformats.org/drawingml/2006/picture">
                <pic:pic>
                  <pic:nvPicPr>
                    <pic:cNvPr id="1861" name="Image 1861"/>
                    <pic:cNvPicPr/>
                  </pic:nvPicPr>
                  <pic:blipFill>
                    <a:blip r:embed="rId38" cstate="print"/>
                    <a:stretch>
                      <a:fillRect/>
                    </a:stretch>
                  </pic:blipFill>
                  <pic:spPr>
                    <a:xfrm>
                      <a:off x="0" y="0"/>
                      <a:ext cx="563245" cy="184683"/>
                    </a:xfrm>
                    <a:prstGeom prst="rect">
                      <a:avLst/>
                    </a:prstGeom>
                  </pic:spPr>
                </pic:pic>
              </a:graphicData>
            </a:graphic>
          </wp:anchor>
        </w:drawing>
      </w:r>
      <w:r>
        <w:rPr>
          <w:sz w:val="54"/>
        </w:rPr>
        <w:drawing>
          <wp:anchor distT="0" distB="0" distL="0" distR="0" allowOverlap="1" layoutInCell="1" locked="0" behindDoc="0" simplePos="0" relativeHeight="15969280">
            <wp:simplePos x="0" y="0"/>
            <wp:positionH relativeFrom="page">
              <wp:posOffset>14252733</wp:posOffset>
            </wp:positionH>
            <wp:positionV relativeFrom="paragraph">
              <wp:posOffset>358457</wp:posOffset>
            </wp:positionV>
            <wp:extent cx="588168" cy="615314"/>
            <wp:effectExtent l="0" t="0" r="0" b="0"/>
            <wp:wrapNone/>
            <wp:docPr id="1862" name="Image 1862"/>
            <wp:cNvGraphicFramePr>
              <a:graphicFrameLocks/>
            </wp:cNvGraphicFramePr>
            <a:graphic>
              <a:graphicData uri="http://schemas.openxmlformats.org/drawingml/2006/picture">
                <pic:pic>
                  <pic:nvPicPr>
                    <pic:cNvPr id="1862" name="Image 1862"/>
                    <pic:cNvPicPr/>
                  </pic:nvPicPr>
                  <pic:blipFill>
                    <a:blip r:embed="rId248" cstate="print"/>
                    <a:stretch>
                      <a:fillRect/>
                    </a:stretch>
                  </pic:blipFill>
                  <pic:spPr>
                    <a:xfrm>
                      <a:off x="0" y="0"/>
                      <a:ext cx="588168" cy="615314"/>
                    </a:xfrm>
                    <a:prstGeom prst="rect">
                      <a:avLst/>
                    </a:prstGeom>
                  </pic:spPr>
                </pic:pic>
              </a:graphicData>
            </a:graphic>
          </wp:anchor>
        </w:drawing>
      </w:r>
      <w:r>
        <w:rPr>
          <w:sz w:val="54"/>
        </w:rPr>
        <w:drawing>
          <wp:anchor distT="0" distB="0" distL="0" distR="0" allowOverlap="1" layoutInCell="1" locked="0" behindDoc="0" simplePos="0" relativeHeight="15969792">
            <wp:simplePos x="0" y="0"/>
            <wp:positionH relativeFrom="page">
              <wp:posOffset>9637268</wp:posOffset>
            </wp:positionH>
            <wp:positionV relativeFrom="paragraph">
              <wp:posOffset>365759</wp:posOffset>
            </wp:positionV>
            <wp:extent cx="1013459" cy="346709"/>
            <wp:effectExtent l="0" t="0" r="0" b="0"/>
            <wp:wrapNone/>
            <wp:docPr id="1863" name="Image 1863"/>
            <wp:cNvGraphicFramePr>
              <a:graphicFrameLocks/>
            </wp:cNvGraphicFramePr>
            <a:graphic>
              <a:graphicData uri="http://schemas.openxmlformats.org/drawingml/2006/picture">
                <pic:pic>
                  <pic:nvPicPr>
                    <pic:cNvPr id="1863" name="Image 1863"/>
                    <pic:cNvPicPr/>
                  </pic:nvPicPr>
                  <pic:blipFill>
                    <a:blip r:embed="rId249" cstate="print"/>
                    <a:stretch>
                      <a:fillRect/>
                    </a:stretch>
                  </pic:blipFill>
                  <pic:spPr>
                    <a:xfrm>
                      <a:off x="0" y="0"/>
                      <a:ext cx="1013459" cy="346709"/>
                    </a:xfrm>
                    <a:prstGeom prst="rect">
                      <a:avLst/>
                    </a:prstGeom>
                  </pic:spPr>
                </pic:pic>
              </a:graphicData>
            </a:graphic>
          </wp:anchor>
        </w:drawing>
      </w:r>
      <w:r>
        <w:rPr>
          <w:sz w:val="54"/>
        </w:rPr>
        <w:drawing>
          <wp:anchor distT="0" distB="0" distL="0" distR="0" allowOverlap="1" layoutInCell="1" locked="0" behindDoc="0" simplePos="0" relativeHeight="15970304">
            <wp:simplePos x="0" y="0"/>
            <wp:positionH relativeFrom="page">
              <wp:posOffset>8820404</wp:posOffset>
            </wp:positionH>
            <wp:positionV relativeFrom="paragraph">
              <wp:posOffset>303783</wp:posOffset>
            </wp:positionV>
            <wp:extent cx="680085" cy="626110"/>
            <wp:effectExtent l="0" t="0" r="0" b="0"/>
            <wp:wrapNone/>
            <wp:docPr id="1864" name="Image 1864"/>
            <wp:cNvGraphicFramePr>
              <a:graphicFrameLocks/>
            </wp:cNvGraphicFramePr>
            <a:graphic>
              <a:graphicData uri="http://schemas.openxmlformats.org/drawingml/2006/picture">
                <pic:pic>
                  <pic:nvPicPr>
                    <pic:cNvPr id="1864" name="Image 1864"/>
                    <pic:cNvPicPr/>
                  </pic:nvPicPr>
                  <pic:blipFill>
                    <a:blip r:embed="rId250" cstate="print"/>
                    <a:stretch>
                      <a:fillRect/>
                    </a:stretch>
                  </pic:blipFill>
                  <pic:spPr>
                    <a:xfrm>
                      <a:off x="0" y="0"/>
                      <a:ext cx="680085" cy="626110"/>
                    </a:xfrm>
                    <a:prstGeom prst="rect">
                      <a:avLst/>
                    </a:prstGeom>
                  </pic:spPr>
                </pic:pic>
              </a:graphicData>
            </a:graphic>
          </wp:anchor>
        </w:drawing>
      </w:r>
      <w:r>
        <w:rPr>
          <w:sz w:val="54"/>
        </w:rPr>
        <w:drawing>
          <wp:anchor distT="0" distB="0" distL="0" distR="0" allowOverlap="1" layoutInCell="1" locked="0" behindDoc="0" simplePos="0" relativeHeight="15970816">
            <wp:simplePos x="0" y="0"/>
            <wp:positionH relativeFrom="page">
              <wp:posOffset>12660794</wp:posOffset>
            </wp:positionH>
            <wp:positionV relativeFrom="paragraph">
              <wp:posOffset>292608</wp:posOffset>
            </wp:positionV>
            <wp:extent cx="1542007" cy="459636"/>
            <wp:effectExtent l="0" t="0" r="0" b="0"/>
            <wp:wrapNone/>
            <wp:docPr id="1865" name="Image 1865"/>
            <wp:cNvGraphicFramePr>
              <a:graphicFrameLocks/>
            </wp:cNvGraphicFramePr>
            <a:graphic>
              <a:graphicData uri="http://schemas.openxmlformats.org/drawingml/2006/picture">
                <pic:pic>
                  <pic:nvPicPr>
                    <pic:cNvPr id="1865" name="Image 1865"/>
                    <pic:cNvPicPr/>
                  </pic:nvPicPr>
                  <pic:blipFill>
                    <a:blip r:embed="rId251" cstate="print"/>
                    <a:stretch>
                      <a:fillRect/>
                    </a:stretch>
                  </pic:blipFill>
                  <pic:spPr>
                    <a:xfrm>
                      <a:off x="0" y="0"/>
                      <a:ext cx="1542007" cy="459636"/>
                    </a:xfrm>
                    <a:prstGeom prst="rect">
                      <a:avLst/>
                    </a:prstGeom>
                  </pic:spPr>
                </pic:pic>
              </a:graphicData>
            </a:graphic>
          </wp:anchor>
        </w:drawing>
      </w:r>
      <w:r>
        <w:rPr>
          <w:sz w:val="54"/>
        </w:rPr>
        <w:drawing>
          <wp:anchor distT="0" distB="0" distL="0" distR="0" allowOverlap="1" layoutInCell="1" locked="0" behindDoc="0" simplePos="0" relativeHeight="15971328">
            <wp:simplePos x="0" y="0"/>
            <wp:positionH relativeFrom="page">
              <wp:posOffset>10819383</wp:posOffset>
            </wp:positionH>
            <wp:positionV relativeFrom="paragraph">
              <wp:posOffset>365759</wp:posOffset>
            </wp:positionV>
            <wp:extent cx="1724393" cy="297788"/>
            <wp:effectExtent l="0" t="0" r="0" b="0"/>
            <wp:wrapNone/>
            <wp:docPr id="1866" name="Image 1866"/>
            <wp:cNvGraphicFramePr>
              <a:graphicFrameLocks/>
            </wp:cNvGraphicFramePr>
            <a:graphic>
              <a:graphicData uri="http://schemas.openxmlformats.org/drawingml/2006/picture">
                <pic:pic>
                  <pic:nvPicPr>
                    <pic:cNvPr id="1866" name="Image 1866"/>
                    <pic:cNvPicPr/>
                  </pic:nvPicPr>
                  <pic:blipFill>
                    <a:blip r:embed="rId252" cstate="print"/>
                    <a:stretch>
                      <a:fillRect/>
                    </a:stretch>
                  </pic:blipFill>
                  <pic:spPr>
                    <a:xfrm>
                      <a:off x="0" y="0"/>
                      <a:ext cx="1724393" cy="297788"/>
                    </a:xfrm>
                    <a:prstGeom prst="rect">
                      <a:avLst/>
                    </a:prstGeom>
                  </pic:spPr>
                </pic:pic>
              </a:graphicData>
            </a:graphic>
          </wp:anchor>
        </w:drawing>
      </w:r>
      <w:r>
        <w:rPr>
          <w:color w:val="636466"/>
          <w:w w:val="105"/>
          <w:sz w:val="54"/>
        </w:rPr>
        <w:t>Ontario</w:t>
      </w:r>
      <w:r>
        <w:rPr>
          <w:color w:val="636466"/>
          <w:spacing w:val="-13"/>
          <w:w w:val="105"/>
          <w:sz w:val="54"/>
        </w:rPr>
        <w:t> </w:t>
      </w:r>
      <w:r>
        <w:rPr>
          <w:color w:val="636466"/>
          <w:w w:val="105"/>
          <w:sz w:val="54"/>
        </w:rPr>
        <w:t>County</w:t>
      </w:r>
      <w:r>
        <w:rPr>
          <w:color w:val="636466"/>
          <w:spacing w:val="-14"/>
          <w:w w:val="105"/>
          <w:sz w:val="54"/>
        </w:rPr>
        <w:t> </w:t>
      </w:r>
      <w:r>
        <w:rPr>
          <w:color w:val="636466"/>
          <w:w w:val="105"/>
          <w:sz w:val="54"/>
        </w:rPr>
        <w:t>Appendix</w:t>
      </w:r>
      <w:r>
        <w:rPr>
          <w:color w:val="636466"/>
          <w:spacing w:val="-13"/>
          <w:w w:val="105"/>
          <w:sz w:val="54"/>
        </w:rPr>
        <w:t> </w:t>
      </w:r>
      <w:r>
        <w:rPr>
          <w:color w:val="636466"/>
          <w:spacing w:val="-10"/>
          <w:w w:val="105"/>
          <w:sz w:val="54"/>
        </w:rPr>
        <w:t>C</w:t>
      </w:r>
    </w:p>
    <w:p>
      <w:pPr>
        <w:spacing w:line="247" w:lineRule="auto" w:before="235"/>
        <w:ind w:left="1089" w:right="12684" w:firstLine="0"/>
        <w:jc w:val="left"/>
        <w:rPr>
          <w:b/>
          <w:sz w:val="32"/>
        </w:rPr>
      </w:pPr>
      <w:r>
        <w:rPr>
          <w:b/>
          <w:color w:val="82BF6A"/>
          <w:spacing w:val="-6"/>
          <w:sz w:val="32"/>
        </w:rPr>
        <w:t>PRIORITY:</w:t>
      </w:r>
      <w:r>
        <w:rPr>
          <w:b/>
          <w:color w:val="82BF6A"/>
          <w:spacing w:val="-17"/>
          <w:sz w:val="32"/>
        </w:rPr>
        <w:t> </w:t>
      </w:r>
      <w:r>
        <w:rPr>
          <w:b/>
          <w:color w:val="82BF6A"/>
          <w:spacing w:val="-6"/>
          <w:sz w:val="32"/>
        </w:rPr>
        <w:t>PROMOTE</w:t>
      </w:r>
      <w:r>
        <w:rPr>
          <w:b/>
          <w:color w:val="82BF6A"/>
          <w:spacing w:val="-16"/>
          <w:sz w:val="32"/>
        </w:rPr>
        <w:t> </w:t>
      </w:r>
      <w:r>
        <w:rPr>
          <w:b/>
          <w:color w:val="82BF6A"/>
          <w:spacing w:val="-6"/>
          <w:sz w:val="32"/>
        </w:rPr>
        <w:t>WELL-BEING,</w:t>
      </w:r>
      <w:r>
        <w:rPr>
          <w:b/>
          <w:color w:val="82BF6A"/>
          <w:spacing w:val="-16"/>
          <w:sz w:val="32"/>
        </w:rPr>
        <w:t> </w:t>
      </w:r>
      <w:r>
        <w:rPr>
          <w:b/>
          <w:color w:val="82BF6A"/>
          <w:spacing w:val="-6"/>
          <w:sz w:val="32"/>
        </w:rPr>
        <w:t>PREVENT</w:t>
      </w:r>
      <w:r>
        <w:rPr>
          <w:b/>
          <w:color w:val="82BF6A"/>
          <w:spacing w:val="-16"/>
          <w:sz w:val="32"/>
        </w:rPr>
        <w:t> </w:t>
      </w:r>
      <w:r>
        <w:rPr>
          <w:b/>
          <w:color w:val="82BF6A"/>
          <w:spacing w:val="-6"/>
          <w:sz w:val="32"/>
        </w:rPr>
        <w:t>MENTAL</w:t>
      </w:r>
      <w:r>
        <w:rPr>
          <w:b/>
          <w:color w:val="82BF6A"/>
          <w:spacing w:val="-17"/>
          <w:sz w:val="32"/>
        </w:rPr>
        <w:t> </w:t>
      </w:r>
      <w:r>
        <w:rPr>
          <w:b/>
          <w:color w:val="82BF6A"/>
          <w:spacing w:val="-6"/>
          <w:sz w:val="32"/>
        </w:rPr>
        <w:t>&amp; </w:t>
      </w:r>
      <w:r>
        <w:rPr>
          <w:b/>
          <w:color w:val="82BF6A"/>
          <w:spacing w:val="-2"/>
          <w:sz w:val="32"/>
        </w:rPr>
        <w:t>SUBSTANCE</w:t>
      </w:r>
      <w:r>
        <w:rPr>
          <w:b/>
          <w:color w:val="82BF6A"/>
          <w:spacing w:val="-21"/>
          <w:sz w:val="32"/>
        </w:rPr>
        <w:t> </w:t>
      </w:r>
      <w:r>
        <w:rPr>
          <w:b/>
          <w:color w:val="82BF6A"/>
          <w:spacing w:val="-2"/>
          <w:sz w:val="32"/>
        </w:rPr>
        <w:t>USE</w:t>
      </w:r>
      <w:r>
        <w:rPr>
          <w:b/>
          <w:color w:val="82BF6A"/>
          <w:spacing w:val="-20"/>
          <w:sz w:val="32"/>
        </w:rPr>
        <w:t> </w:t>
      </w:r>
      <w:r>
        <w:rPr>
          <w:b/>
          <w:color w:val="82BF6A"/>
          <w:spacing w:val="-2"/>
          <w:sz w:val="32"/>
        </w:rPr>
        <w:t>DISORDERS</w:t>
      </w:r>
    </w:p>
    <w:p>
      <w:pPr>
        <w:pStyle w:val="BodyText"/>
        <w:spacing w:before="10"/>
        <w:rPr>
          <w:b/>
          <w:sz w:val="16"/>
        </w:rPr>
      </w:pPr>
    </w:p>
    <w:tbl>
      <w:tblPr>
        <w:tblW w:w="0" w:type="auto"/>
        <w:jc w:val="left"/>
        <w:tblInd w:w="1099" w:type="dxa"/>
        <w:tblBorders>
          <w:top w:val="single" w:sz="6" w:space="0" w:color="BCBEC0"/>
          <w:left w:val="single" w:sz="6" w:space="0" w:color="BCBEC0"/>
          <w:bottom w:val="single" w:sz="6" w:space="0" w:color="BCBEC0"/>
          <w:right w:val="single" w:sz="6" w:space="0" w:color="BCBEC0"/>
          <w:insideH w:val="single" w:sz="6" w:space="0" w:color="BCBEC0"/>
          <w:insideV w:val="single" w:sz="6" w:space="0" w:color="BCBEC0"/>
        </w:tblBorders>
        <w:tblLayout w:type="fixed"/>
        <w:tblCellMar>
          <w:top w:w="0" w:type="dxa"/>
          <w:left w:w="0" w:type="dxa"/>
          <w:bottom w:w="0" w:type="dxa"/>
          <w:right w:w="0" w:type="dxa"/>
        </w:tblCellMar>
        <w:tblLook w:val="01E0"/>
      </w:tblPr>
      <w:tblGrid>
        <w:gridCol w:w="1353"/>
        <w:gridCol w:w="1289"/>
        <w:gridCol w:w="1591"/>
        <w:gridCol w:w="2822"/>
        <w:gridCol w:w="1267"/>
        <w:gridCol w:w="2873"/>
        <w:gridCol w:w="3030"/>
        <w:gridCol w:w="2390"/>
        <w:gridCol w:w="3801"/>
        <w:gridCol w:w="1895"/>
      </w:tblGrid>
      <w:tr>
        <w:trPr>
          <w:trHeight w:val="818" w:hRule="atLeast"/>
        </w:trPr>
        <w:tc>
          <w:tcPr>
            <w:tcW w:w="1353" w:type="dxa"/>
            <w:tcBorders>
              <w:left w:val="single" w:sz="4" w:space="0" w:color="BCBEC0"/>
              <w:right w:val="single" w:sz="4" w:space="0" w:color="FFFFFF"/>
            </w:tcBorders>
            <w:shd w:val="clear" w:color="auto" w:fill="A7A9AC"/>
          </w:tcPr>
          <w:p>
            <w:pPr>
              <w:pStyle w:val="TableParagraph"/>
              <w:spacing w:before="91"/>
              <w:rPr>
                <w:b/>
                <w:sz w:val="20"/>
              </w:rPr>
            </w:pPr>
          </w:p>
          <w:p>
            <w:pPr>
              <w:pStyle w:val="TableParagraph"/>
              <w:ind w:left="79"/>
              <w:rPr>
                <w:b/>
                <w:sz w:val="20"/>
              </w:rPr>
            </w:pPr>
            <w:r>
              <w:rPr>
                <w:b/>
                <w:color w:val="FFFFFF"/>
                <w:spacing w:val="-2"/>
                <w:sz w:val="20"/>
              </w:rPr>
              <w:t>Priority</w:t>
            </w:r>
          </w:p>
        </w:tc>
        <w:tc>
          <w:tcPr>
            <w:tcW w:w="1289" w:type="dxa"/>
            <w:tcBorders>
              <w:left w:val="single" w:sz="4" w:space="0" w:color="FFFFFF"/>
              <w:right w:val="single" w:sz="4" w:space="0" w:color="FFFFFF"/>
            </w:tcBorders>
            <w:shd w:val="clear" w:color="auto" w:fill="A7A9AC"/>
          </w:tcPr>
          <w:p>
            <w:pPr>
              <w:pStyle w:val="TableParagraph"/>
              <w:spacing w:before="91"/>
              <w:rPr>
                <w:b/>
                <w:sz w:val="20"/>
              </w:rPr>
            </w:pPr>
          </w:p>
          <w:p>
            <w:pPr>
              <w:pStyle w:val="TableParagraph"/>
              <w:ind w:left="80"/>
              <w:rPr>
                <w:b/>
                <w:sz w:val="20"/>
              </w:rPr>
            </w:pPr>
            <w:r>
              <w:rPr>
                <w:b/>
                <w:color w:val="FFFFFF"/>
                <w:w w:val="90"/>
                <w:sz w:val="20"/>
              </w:rPr>
              <w:t>Focus</w:t>
            </w:r>
            <w:r>
              <w:rPr>
                <w:b/>
                <w:color w:val="FFFFFF"/>
                <w:spacing w:val="8"/>
                <w:sz w:val="20"/>
              </w:rPr>
              <w:t> </w:t>
            </w:r>
            <w:r>
              <w:rPr>
                <w:b/>
                <w:color w:val="FFFFFF"/>
                <w:spacing w:val="-4"/>
                <w:sz w:val="20"/>
              </w:rPr>
              <w:t>Area</w:t>
            </w:r>
          </w:p>
        </w:tc>
        <w:tc>
          <w:tcPr>
            <w:tcW w:w="1591" w:type="dxa"/>
            <w:tcBorders>
              <w:left w:val="single" w:sz="4" w:space="0" w:color="FFFFFF"/>
              <w:right w:val="single" w:sz="4" w:space="0" w:color="FFFFFF"/>
            </w:tcBorders>
            <w:shd w:val="clear" w:color="auto" w:fill="A7A9AC"/>
          </w:tcPr>
          <w:p>
            <w:pPr>
              <w:pStyle w:val="TableParagraph"/>
              <w:spacing w:line="230" w:lineRule="auto" w:before="219"/>
              <w:ind w:left="79" w:right="100"/>
              <w:rPr>
                <w:b/>
                <w:sz w:val="20"/>
              </w:rPr>
            </w:pPr>
            <w:r>
              <w:rPr>
                <w:b/>
                <w:color w:val="FFFFFF"/>
                <w:spacing w:val="-8"/>
                <w:sz w:val="20"/>
              </w:rPr>
              <w:t>Goal</w:t>
            </w:r>
            <w:r>
              <w:rPr>
                <w:b/>
                <w:color w:val="FFFFFF"/>
                <w:spacing w:val="-6"/>
                <w:sz w:val="20"/>
              </w:rPr>
              <w:t> </w:t>
            </w:r>
            <w:r>
              <w:rPr>
                <w:b/>
                <w:color w:val="FFFFFF"/>
                <w:spacing w:val="-8"/>
                <w:sz w:val="20"/>
              </w:rPr>
              <w:t>Focus </w:t>
            </w:r>
            <w:r>
              <w:rPr>
                <w:b/>
                <w:color w:val="FFFFFF"/>
                <w:spacing w:val="-4"/>
                <w:sz w:val="20"/>
              </w:rPr>
              <w:t>Area</w:t>
            </w:r>
          </w:p>
        </w:tc>
        <w:tc>
          <w:tcPr>
            <w:tcW w:w="2822" w:type="dxa"/>
            <w:tcBorders>
              <w:left w:val="single" w:sz="4" w:space="0" w:color="FFFFFF"/>
              <w:right w:val="single" w:sz="4" w:space="0" w:color="FFFFFF"/>
            </w:tcBorders>
            <w:shd w:val="clear" w:color="auto" w:fill="A7A9AC"/>
          </w:tcPr>
          <w:p>
            <w:pPr>
              <w:pStyle w:val="TableParagraph"/>
              <w:spacing w:before="91"/>
              <w:rPr>
                <w:b/>
                <w:sz w:val="20"/>
              </w:rPr>
            </w:pPr>
          </w:p>
          <w:p>
            <w:pPr>
              <w:pStyle w:val="TableParagraph"/>
              <w:ind w:left="80"/>
              <w:rPr>
                <w:b/>
                <w:sz w:val="20"/>
              </w:rPr>
            </w:pPr>
            <w:r>
              <w:rPr>
                <w:b/>
                <w:color w:val="FFFFFF"/>
                <w:spacing w:val="-2"/>
                <w:sz w:val="20"/>
              </w:rPr>
              <w:t>Objectives</w:t>
            </w:r>
          </w:p>
        </w:tc>
        <w:tc>
          <w:tcPr>
            <w:tcW w:w="1267" w:type="dxa"/>
            <w:tcBorders>
              <w:left w:val="single" w:sz="4" w:space="0" w:color="FFFFFF"/>
              <w:right w:val="single" w:sz="4" w:space="0" w:color="FFFFFF"/>
            </w:tcBorders>
            <w:shd w:val="clear" w:color="auto" w:fill="A7A9AC"/>
          </w:tcPr>
          <w:p>
            <w:pPr>
              <w:pStyle w:val="TableParagraph"/>
              <w:spacing w:before="91"/>
              <w:rPr>
                <w:b/>
                <w:sz w:val="20"/>
              </w:rPr>
            </w:pPr>
          </w:p>
          <w:p>
            <w:pPr>
              <w:pStyle w:val="TableParagraph"/>
              <w:ind w:left="80"/>
              <w:rPr>
                <w:b/>
                <w:sz w:val="20"/>
              </w:rPr>
            </w:pPr>
            <w:r>
              <w:rPr>
                <w:b/>
                <w:color w:val="FFFFFF"/>
                <w:spacing w:val="-2"/>
                <w:sz w:val="20"/>
              </w:rPr>
              <w:t>Disparities</w:t>
            </w:r>
          </w:p>
        </w:tc>
        <w:tc>
          <w:tcPr>
            <w:tcW w:w="2873" w:type="dxa"/>
            <w:tcBorders>
              <w:left w:val="single" w:sz="4" w:space="0" w:color="FFFFFF"/>
              <w:right w:val="nil"/>
            </w:tcBorders>
            <w:shd w:val="clear" w:color="auto" w:fill="A7A9AC"/>
          </w:tcPr>
          <w:p>
            <w:pPr>
              <w:pStyle w:val="TableParagraph"/>
              <w:spacing w:before="91"/>
              <w:rPr>
                <w:b/>
                <w:sz w:val="20"/>
              </w:rPr>
            </w:pPr>
          </w:p>
          <w:p>
            <w:pPr>
              <w:pStyle w:val="TableParagraph"/>
              <w:ind w:left="80"/>
              <w:rPr>
                <w:b/>
                <w:sz w:val="20"/>
              </w:rPr>
            </w:pPr>
            <w:r>
              <w:rPr>
                <w:b/>
                <w:color w:val="FFFFFF"/>
                <w:spacing w:val="-2"/>
                <w:sz w:val="20"/>
              </w:rPr>
              <w:t>Interventions</w:t>
            </w:r>
          </w:p>
        </w:tc>
        <w:tc>
          <w:tcPr>
            <w:tcW w:w="3030" w:type="dxa"/>
            <w:tcBorders>
              <w:left w:val="nil"/>
              <w:right w:val="single" w:sz="4" w:space="0" w:color="FFFFFF"/>
            </w:tcBorders>
            <w:shd w:val="clear" w:color="auto" w:fill="A7A9AC"/>
          </w:tcPr>
          <w:p>
            <w:pPr>
              <w:pStyle w:val="TableParagraph"/>
              <w:spacing w:before="91"/>
              <w:rPr>
                <w:b/>
                <w:sz w:val="20"/>
              </w:rPr>
            </w:pPr>
          </w:p>
          <w:p>
            <w:pPr>
              <w:pStyle w:val="TableParagraph"/>
              <w:ind w:left="1139"/>
              <w:rPr>
                <w:b/>
                <w:sz w:val="20"/>
              </w:rPr>
            </w:pPr>
            <w:r>
              <w:rPr>
                <w:b/>
                <w:color w:val="FFFFFF"/>
                <w:sz w:val="20"/>
              </w:rPr>
              <w:t>Family</w:t>
            </w:r>
            <w:r>
              <w:rPr>
                <w:b/>
                <w:color w:val="FFFFFF"/>
                <w:spacing w:val="-12"/>
                <w:sz w:val="20"/>
              </w:rPr>
              <w:t> </w:t>
            </w:r>
            <w:r>
              <w:rPr>
                <w:b/>
                <w:color w:val="FFFFFF"/>
                <w:sz w:val="20"/>
              </w:rPr>
              <w:t>of</w:t>
            </w:r>
            <w:r>
              <w:rPr>
                <w:b/>
                <w:color w:val="FFFFFF"/>
                <w:spacing w:val="-12"/>
                <w:sz w:val="20"/>
              </w:rPr>
              <w:t> </w:t>
            </w:r>
            <w:r>
              <w:rPr>
                <w:b/>
                <w:color w:val="FFFFFF"/>
                <w:spacing w:val="-2"/>
                <w:sz w:val="20"/>
              </w:rPr>
              <w:t>Measures</w:t>
            </w:r>
          </w:p>
        </w:tc>
        <w:tc>
          <w:tcPr>
            <w:tcW w:w="2390" w:type="dxa"/>
            <w:tcBorders>
              <w:left w:val="single" w:sz="4" w:space="0" w:color="FFFFFF"/>
              <w:right w:val="single" w:sz="4" w:space="0" w:color="FFFFFF"/>
            </w:tcBorders>
            <w:shd w:val="clear" w:color="auto" w:fill="A7A9AC"/>
          </w:tcPr>
          <w:p>
            <w:pPr>
              <w:pStyle w:val="TableParagraph"/>
              <w:spacing w:line="230" w:lineRule="auto" w:before="219"/>
              <w:ind w:left="91" w:right="385"/>
              <w:rPr>
                <w:b/>
                <w:sz w:val="20"/>
              </w:rPr>
            </w:pPr>
            <w:r>
              <w:rPr>
                <w:b/>
                <w:color w:val="FFFFFF"/>
                <w:spacing w:val="-2"/>
                <w:sz w:val="20"/>
              </w:rPr>
              <w:t>Implementation Partner</w:t>
            </w:r>
          </w:p>
        </w:tc>
        <w:tc>
          <w:tcPr>
            <w:tcW w:w="3801" w:type="dxa"/>
            <w:tcBorders>
              <w:left w:val="single" w:sz="4" w:space="0" w:color="FFFFFF"/>
              <w:right w:val="single" w:sz="4" w:space="0" w:color="FFFFFF"/>
            </w:tcBorders>
            <w:shd w:val="clear" w:color="auto" w:fill="A7A9AC"/>
          </w:tcPr>
          <w:p>
            <w:pPr>
              <w:pStyle w:val="TableParagraph"/>
              <w:spacing w:before="91"/>
              <w:rPr>
                <w:b/>
                <w:sz w:val="20"/>
              </w:rPr>
            </w:pPr>
          </w:p>
          <w:p>
            <w:pPr>
              <w:pStyle w:val="TableParagraph"/>
              <w:ind w:left="82"/>
              <w:rPr>
                <w:b/>
                <w:sz w:val="20"/>
              </w:rPr>
            </w:pPr>
            <w:r>
              <w:rPr>
                <w:b/>
                <w:color w:val="FFFFFF"/>
                <w:sz w:val="20"/>
              </w:rPr>
              <w:t>Partner</w:t>
            </w:r>
            <w:r>
              <w:rPr>
                <w:b/>
                <w:color w:val="FFFFFF"/>
                <w:spacing w:val="-13"/>
                <w:sz w:val="20"/>
              </w:rPr>
              <w:t> </w:t>
            </w:r>
            <w:r>
              <w:rPr>
                <w:b/>
                <w:color w:val="FFFFFF"/>
                <w:spacing w:val="-2"/>
                <w:sz w:val="20"/>
              </w:rPr>
              <w:t>Roles</w:t>
            </w:r>
          </w:p>
        </w:tc>
        <w:tc>
          <w:tcPr>
            <w:tcW w:w="1895" w:type="dxa"/>
            <w:tcBorders>
              <w:left w:val="single" w:sz="4" w:space="0" w:color="FFFFFF"/>
              <w:right w:val="single" w:sz="4" w:space="0" w:color="FFFFFF"/>
            </w:tcBorders>
            <w:shd w:val="clear" w:color="auto" w:fill="A7A9AC"/>
          </w:tcPr>
          <w:p>
            <w:pPr>
              <w:pStyle w:val="TableParagraph"/>
              <w:spacing w:before="91"/>
              <w:rPr>
                <w:b/>
                <w:sz w:val="20"/>
              </w:rPr>
            </w:pPr>
          </w:p>
          <w:p>
            <w:pPr>
              <w:pStyle w:val="TableParagraph"/>
              <w:ind w:left="82"/>
              <w:rPr>
                <w:b/>
                <w:sz w:val="20"/>
              </w:rPr>
            </w:pPr>
            <w:r>
              <w:rPr>
                <w:b/>
                <w:color w:val="FFFFFF"/>
                <w:sz w:val="20"/>
              </w:rPr>
              <w:t>Partner</w:t>
            </w:r>
            <w:r>
              <w:rPr>
                <w:b/>
                <w:color w:val="FFFFFF"/>
                <w:spacing w:val="-13"/>
                <w:sz w:val="20"/>
              </w:rPr>
              <w:t> </w:t>
            </w:r>
            <w:r>
              <w:rPr>
                <w:b/>
                <w:color w:val="FFFFFF"/>
                <w:spacing w:val="-2"/>
                <w:sz w:val="20"/>
              </w:rPr>
              <w:t>Resources</w:t>
            </w:r>
          </w:p>
        </w:tc>
      </w:tr>
      <w:tr>
        <w:trPr>
          <w:trHeight w:val="2368" w:hRule="atLeast"/>
        </w:trPr>
        <w:tc>
          <w:tcPr>
            <w:tcW w:w="1353" w:type="dxa"/>
            <w:tcBorders>
              <w:left w:val="single" w:sz="4" w:space="0" w:color="BCBEC0"/>
              <w:bottom w:val="nil"/>
              <w:right w:val="single" w:sz="4" w:space="0" w:color="BCBEC0"/>
            </w:tcBorders>
            <w:shd w:val="clear" w:color="auto" w:fill="E6E7E8"/>
          </w:tcPr>
          <w:p>
            <w:pPr>
              <w:pStyle w:val="TableParagraph"/>
              <w:spacing w:line="232" w:lineRule="auto" w:before="112"/>
              <w:ind w:left="89" w:right="302"/>
              <w:rPr>
                <w:sz w:val="18"/>
              </w:rPr>
            </w:pPr>
            <w:r>
              <w:rPr>
                <w:color w:val="105C84"/>
                <w:spacing w:val="-2"/>
                <w:sz w:val="18"/>
              </w:rPr>
              <w:t>Promote Well-Being, Prevent </w:t>
            </w:r>
            <w:r>
              <w:rPr>
                <w:color w:val="105C84"/>
                <w:sz w:val="18"/>
              </w:rPr>
              <w:t>Mental &amp; </w:t>
            </w:r>
            <w:r>
              <w:rPr>
                <w:color w:val="105C84"/>
                <w:spacing w:val="-2"/>
                <w:sz w:val="18"/>
              </w:rPr>
              <w:t>Substance</w:t>
            </w:r>
          </w:p>
          <w:p>
            <w:pPr>
              <w:pStyle w:val="TableParagraph"/>
              <w:spacing w:line="198" w:lineRule="exact"/>
              <w:ind w:left="89"/>
              <w:rPr>
                <w:sz w:val="18"/>
              </w:rPr>
            </w:pPr>
            <w:r>
              <w:rPr>
                <w:color w:val="105C84"/>
                <w:spacing w:val="-2"/>
                <w:sz w:val="18"/>
              </w:rPr>
              <w:t>Use</w:t>
            </w:r>
            <w:r>
              <w:rPr>
                <w:color w:val="105C84"/>
                <w:spacing w:val="-9"/>
                <w:sz w:val="18"/>
              </w:rPr>
              <w:t> </w:t>
            </w:r>
            <w:r>
              <w:rPr>
                <w:color w:val="105C84"/>
                <w:spacing w:val="-2"/>
                <w:sz w:val="18"/>
              </w:rPr>
              <w:t>Disorders</w:t>
            </w:r>
          </w:p>
        </w:tc>
        <w:tc>
          <w:tcPr>
            <w:tcW w:w="1289" w:type="dxa"/>
            <w:tcBorders>
              <w:left w:val="single" w:sz="4" w:space="0" w:color="BCBEC0"/>
              <w:bottom w:val="nil"/>
              <w:right w:val="single" w:sz="4" w:space="0" w:color="BCBEC0"/>
            </w:tcBorders>
          </w:tcPr>
          <w:p>
            <w:pPr>
              <w:pStyle w:val="TableParagraph"/>
              <w:spacing w:line="232" w:lineRule="auto" w:before="112"/>
              <w:ind w:left="90" w:right="108"/>
              <w:rPr>
                <w:sz w:val="18"/>
              </w:rPr>
            </w:pPr>
            <w:r>
              <w:rPr>
                <w:color w:val="105C84"/>
                <w:spacing w:val="-4"/>
                <w:sz w:val="18"/>
              </w:rPr>
              <w:t>Focus</w:t>
            </w:r>
            <w:r>
              <w:rPr>
                <w:color w:val="105C84"/>
                <w:spacing w:val="-11"/>
                <w:sz w:val="18"/>
              </w:rPr>
              <w:t> </w:t>
            </w:r>
            <w:r>
              <w:rPr>
                <w:color w:val="105C84"/>
                <w:spacing w:val="-4"/>
                <w:sz w:val="18"/>
              </w:rPr>
              <w:t>Area</w:t>
            </w:r>
            <w:r>
              <w:rPr>
                <w:color w:val="105C84"/>
                <w:spacing w:val="-8"/>
                <w:sz w:val="18"/>
              </w:rPr>
              <w:t> </w:t>
            </w:r>
            <w:r>
              <w:rPr>
                <w:color w:val="105C84"/>
                <w:spacing w:val="-4"/>
                <w:sz w:val="18"/>
              </w:rPr>
              <w:t>1: </w:t>
            </w:r>
            <w:r>
              <w:rPr>
                <w:color w:val="105C84"/>
                <w:spacing w:val="-2"/>
                <w:sz w:val="18"/>
              </w:rPr>
              <w:t>Promote</w:t>
            </w:r>
            <w:r>
              <w:rPr>
                <w:color w:val="105C84"/>
                <w:spacing w:val="40"/>
                <w:sz w:val="18"/>
              </w:rPr>
              <w:t> </w:t>
            </w:r>
            <w:r>
              <w:rPr>
                <w:color w:val="105C84"/>
                <w:spacing w:val="-2"/>
                <w:sz w:val="18"/>
              </w:rPr>
              <w:t>Well-Being</w:t>
            </w:r>
          </w:p>
        </w:tc>
        <w:tc>
          <w:tcPr>
            <w:tcW w:w="1591" w:type="dxa"/>
            <w:tcBorders>
              <w:left w:val="single" w:sz="4" w:space="0" w:color="BCBEC0"/>
              <w:bottom w:val="nil"/>
              <w:right w:val="single" w:sz="4" w:space="0" w:color="BCBEC0"/>
            </w:tcBorders>
          </w:tcPr>
          <w:p>
            <w:pPr>
              <w:pStyle w:val="TableParagraph"/>
              <w:spacing w:line="232" w:lineRule="auto" w:before="112"/>
              <w:ind w:left="90" w:right="88"/>
              <w:jc w:val="both"/>
              <w:rPr>
                <w:sz w:val="18"/>
              </w:rPr>
            </w:pPr>
            <w:r>
              <w:rPr>
                <w:color w:val="105C84"/>
                <w:sz w:val="18"/>
              </w:rPr>
              <w:t>Goal</w:t>
            </w:r>
            <w:r>
              <w:rPr>
                <w:color w:val="105C84"/>
                <w:spacing w:val="-15"/>
                <w:sz w:val="18"/>
              </w:rPr>
              <w:t> </w:t>
            </w:r>
            <w:r>
              <w:rPr>
                <w:color w:val="105C84"/>
                <w:sz w:val="18"/>
              </w:rPr>
              <w:t>2.2:</w:t>
            </w:r>
            <w:r>
              <w:rPr>
                <w:color w:val="105C84"/>
                <w:spacing w:val="-12"/>
                <w:sz w:val="18"/>
              </w:rPr>
              <w:t> </w:t>
            </w:r>
            <w:r>
              <w:rPr>
                <w:color w:val="105C84"/>
                <w:sz w:val="18"/>
              </w:rPr>
              <w:t>Prevent opioid and other </w:t>
            </w:r>
            <w:r>
              <w:rPr>
                <w:color w:val="105C84"/>
                <w:spacing w:val="-4"/>
                <w:sz w:val="18"/>
              </w:rPr>
              <w:t>substance</w:t>
            </w:r>
            <w:r>
              <w:rPr>
                <w:color w:val="105C84"/>
                <w:spacing w:val="-9"/>
                <w:sz w:val="18"/>
              </w:rPr>
              <w:t> </w:t>
            </w:r>
            <w:r>
              <w:rPr>
                <w:color w:val="105C84"/>
                <w:spacing w:val="-4"/>
                <w:sz w:val="18"/>
              </w:rPr>
              <w:t>misuse </w:t>
            </w:r>
            <w:r>
              <w:rPr>
                <w:color w:val="105C84"/>
                <w:sz w:val="18"/>
              </w:rPr>
              <w:t>and deaths</w:t>
            </w:r>
          </w:p>
        </w:tc>
        <w:tc>
          <w:tcPr>
            <w:tcW w:w="2822" w:type="dxa"/>
            <w:vMerge w:val="restart"/>
            <w:tcBorders>
              <w:left w:val="single" w:sz="4" w:space="0" w:color="BCBEC0"/>
              <w:right w:val="single" w:sz="4" w:space="0" w:color="BCBEC0"/>
            </w:tcBorders>
          </w:tcPr>
          <w:p>
            <w:pPr>
              <w:pStyle w:val="TableParagraph"/>
              <w:rPr>
                <w:rFonts w:ascii="Times New Roman"/>
                <w:sz w:val="18"/>
              </w:rPr>
            </w:pPr>
          </w:p>
        </w:tc>
        <w:tc>
          <w:tcPr>
            <w:tcW w:w="1267" w:type="dxa"/>
            <w:vMerge w:val="restart"/>
            <w:tcBorders>
              <w:left w:val="single" w:sz="4" w:space="0" w:color="BCBEC0"/>
              <w:right w:val="single" w:sz="4" w:space="0" w:color="BCBEC0"/>
            </w:tcBorders>
          </w:tcPr>
          <w:p>
            <w:pPr>
              <w:pStyle w:val="TableParagraph"/>
              <w:rPr>
                <w:rFonts w:ascii="Times New Roman"/>
                <w:sz w:val="18"/>
              </w:rPr>
            </w:pPr>
          </w:p>
        </w:tc>
        <w:tc>
          <w:tcPr>
            <w:tcW w:w="2873" w:type="dxa"/>
            <w:vMerge w:val="restart"/>
            <w:tcBorders>
              <w:left w:val="single" w:sz="4" w:space="0" w:color="BCBEC0"/>
              <w:right w:val="nil"/>
            </w:tcBorders>
          </w:tcPr>
          <w:p>
            <w:pPr>
              <w:pStyle w:val="TableParagraph"/>
              <w:spacing w:line="232" w:lineRule="auto" w:before="112"/>
              <w:ind w:left="90" w:right="1273"/>
              <w:jc w:val="both"/>
              <w:rPr>
                <w:sz w:val="18"/>
              </w:rPr>
            </w:pPr>
            <w:r>
              <w:rPr>
                <w:color w:val="105C84"/>
                <w:sz w:val="18"/>
              </w:rPr>
              <w:t>2.2.4</w:t>
            </w:r>
            <w:r>
              <w:rPr>
                <w:color w:val="105C84"/>
                <w:spacing w:val="-15"/>
                <w:sz w:val="18"/>
              </w:rPr>
              <w:t> </w:t>
            </w:r>
            <w:r>
              <w:rPr>
                <w:color w:val="105C84"/>
                <w:sz w:val="18"/>
              </w:rPr>
              <w:t>Build</w:t>
            </w:r>
            <w:r>
              <w:rPr>
                <w:color w:val="105C84"/>
                <w:spacing w:val="-12"/>
                <w:sz w:val="18"/>
              </w:rPr>
              <w:t> </w:t>
            </w:r>
            <w:r>
              <w:rPr>
                <w:color w:val="105C84"/>
                <w:sz w:val="18"/>
              </w:rPr>
              <w:t>support</w:t>
            </w:r>
            <w:r>
              <w:rPr>
                <w:color w:val="105C84"/>
                <w:sz w:val="18"/>
              </w:rPr>
              <w:t> systems</w:t>
            </w:r>
            <w:r>
              <w:rPr>
                <w:color w:val="105C84"/>
                <w:spacing w:val="-13"/>
                <w:sz w:val="18"/>
              </w:rPr>
              <w:t> </w:t>
            </w:r>
            <w:r>
              <w:rPr>
                <w:color w:val="105C84"/>
                <w:sz w:val="18"/>
              </w:rPr>
              <w:t>to</w:t>
            </w:r>
            <w:r>
              <w:rPr>
                <w:color w:val="105C84"/>
                <w:spacing w:val="-12"/>
                <w:sz w:val="18"/>
              </w:rPr>
              <w:t> </w:t>
            </w:r>
            <w:r>
              <w:rPr>
                <w:color w:val="105C84"/>
                <w:sz w:val="18"/>
              </w:rPr>
              <w:t>care</w:t>
            </w:r>
            <w:r>
              <w:rPr>
                <w:color w:val="105C84"/>
                <w:spacing w:val="-13"/>
                <w:sz w:val="18"/>
              </w:rPr>
              <w:t> </w:t>
            </w:r>
            <w:r>
              <w:rPr>
                <w:color w:val="105C84"/>
                <w:sz w:val="18"/>
              </w:rPr>
              <w:t>for opioid</w:t>
            </w:r>
            <w:r>
              <w:rPr>
                <w:color w:val="105C84"/>
                <w:spacing w:val="-12"/>
                <w:sz w:val="18"/>
              </w:rPr>
              <w:t> </w:t>
            </w:r>
            <w:r>
              <w:rPr>
                <w:color w:val="105C84"/>
                <w:sz w:val="18"/>
              </w:rPr>
              <w:t>users</w:t>
            </w:r>
            <w:r>
              <w:rPr>
                <w:color w:val="105C84"/>
                <w:spacing w:val="-12"/>
                <w:sz w:val="18"/>
              </w:rPr>
              <w:t> </w:t>
            </w:r>
            <w:r>
              <w:rPr>
                <w:color w:val="105C84"/>
                <w:sz w:val="18"/>
              </w:rPr>
              <w:t>at</w:t>
            </w:r>
            <w:r>
              <w:rPr>
                <w:color w:val="105C84"/>
                <w:spacing w:val="-12"/>
                <w:sz w:val="18"/>
              </w:rPr>
              <w:t> </w:t>
            </w:r>
            <w:r>
              <w:rPr>
                <w:color w:val="105C84"/>
                <w:sz w:val="18"/>
              </w:rPr>
              <w:t>risk of an overdose</w:t>
            </w:r>
          </w:p>
          <w:p>
            <w:pPr>
              <w:pStyle w:val="TableParagraph"/>
              <w:spacing w:before="95"/>
              <w:ind w:left="90"/>
              <w:jc w:val="both"/>
              <w:rPr>
                <w:sz w:val="18"/>
              </w:rPr>
            </w:pPr>
            <w:r>
              <w:rPr>
                <w:color w:val="105C84"/>
                <w:spacing w:val="-2"/>
                <w:sz w:val="18"/>
              </w:rPr>
              <w:t>Evidence</w:t>
            </w:r>
            <w:r>
              <w:rPr>
                <w:color w:val="105C84"/>
                <w:spacing w:val="-3"/>
                <w:sz w:val="18"/>
              </w:rPr>
              <w:t> </w:t>
            </w:r>
            <w:r>
              <w:rPr>
                <w:color w:val="105C84"/>
                <w:spacing w:val="-4"/>
                <w:sz w:val="18"/>
              </w:rPr>
              <w:t>Base</w:t>
            </w:r>
          </w:p>
          <w:p>
            <w:pPr>
              <w:pStyle w:val="TableParagraph"/>
              <w:spacing w:line="232" w:lineRule="auto" w:before="101"/>
              <w:ind w:left="90" w:right="1124"/>
              <w:rPr>
                <w:sz w:val="18"/>
              </w:rPr>
            </w:pPr>
            <w:r>
              <w:rPr>
                <w:color w:val="105C84"/>
                <w:spacing w:val="-6"/>
                <w:sz w:val="18"/>
              </w:rPr>
              <w:t>SAMHSA.</w:t>
            </w:r>
            <w:r>
              <w:rPr>
                <w:color w:val="105C84"/>
                <w:spacing w:val="-7"/>
                <w:sz w:val="18"/>
              </w:rPr>
              <w:t> </w:t>
            </w:r>
            <w:r>
              <w:rPr>
                <w:color w:val="105C84"/>
                <w:spacing w:val="-6"/>
                <w:sz w:val="18"/>
              </w:rPr>
              <w:t>Recovery </w:t>
            </w:r>
            <w:r>
              <w:rPr>
                <w:color w:val="105C84"/>
                <w:sz w:val="18"/>
              </w:rPr>
              <w:t>and Recovery </w:t>
            </w:r>
            <w:r>
              <w:rPr>
                <w:color w:val="105C84"/>
                <w:spacing w:val="-2"/>
                <w:sz w:val="18"/>
              </w:rPr>
              <w:t>Support</w:t>
            </w:r>
          </w:p>
        </w:tc>
        <w:tc>
          <w:tcPr>
            <w:tcW w:w="3030" w:type="dxa"/>
            <w:vMerge w:val="restart"/>
            <w:tcBorders>
              <w:left w:val="nil"/>
              <w:right w:val="single" w:sz="4" w:space="0" w:color="BCBEC0"/>
            </w:tcBorders>
          </w:tcPr>
          <w:p>
            <w:pPr>
              <w:pStyle w:val="TableParagraph"/>
              <w:numPr>
                <w:ilvl w:val="0"/>
                <w:numId w:val="68"/>
              </w:numPr>
              <w:tabs>
                <w:tab w:pos="1355" w:val="left" w:leader="none"/>
              </w:tabs>
              <w:spacing w:line="240" w:lineRule="auto" w:before="106" w:after="0"/>
              <w:ind w:left="1355" w:right="0" w:hanging="186"/>
              <w:jc w:val="left"/>
              <w:rPr>
                <w:sz w:val="18"/>
              </w:rPr>
            </w:pPr>
            <w:r>
              <w:rPr>
                <w:color w:val="105C84"/>
                <w:spacing w:val="-2"/>
                <w:sz w:val="18"/>
              </w:rPr>
              <w:t>#</w:t>
            </w:r>
            <w:r>
              <w:rPr>
                <w:color w:val="105C84"/>
                <w:spacing w:val="-6"/>
                <w:sz w:val="18"/>
              </w:rPr>
              <w:t> </w:t>
            </w:r>
            <w:r>
              <w:rPr>
                <w:color w:val="105C84"/>
                <w:spacing w:val="-2"/>
                <w:sz w:val="18"/>
              </w:rPr>
              <w:t>Mobile</w:t>
            </w:r>
            <w:r>
              <w:rPr>
                <w:color w:val="105C84"/>
                <w:spacing w:val="-6"/>
                <w:sz w:val="18"/>
              </w:rPr>
              <w:t> </w:t>
            </w:r>
            <w:r>
              <w:rPr>
                <w:color w:val="105C84"/>
                <w:spacing w:val="-2"/>
                <w:sz w:val="18"/>
              </w:rPr>
              <w:t>SEP</w:t>
            </w:r>
            <w:r>
              <w:rPr>
                <w:color w:val="105C84"/>
                <w:spacing w:val="-6"/>
                <w:sz w:val="18"/>
              </w:rPr>
              <w:t> </w:t>
            </w:r>
            <w:r>
              <w:rPr>
                <w:color w:val="105C84"/>
                <w:spacing w:val="-2"/>
                <w:sz w:val="18"/>
              </w:rPr>
              <w:t>sites</w:t>
            </w:r>
          </w:p>
          <w:p>
            <w:pPr>
              <w:pStyle w:val="TableParagraph"/>
              <w:numPr>
                <w:ilvl w:val="0"/>
                <w:numId w:val="68"/>
              </w:numPr>
              <w:tabs>
                <w:tab w:pos="1355" w:val="left" w:leader="none"/>
              </w:tabs>
              <w:spacing w:line="232" w:lineRule="auto" w:before="102" w:after="0"/>
              <w:ind w:left="1169" w:right="198" w:firstLine="0"/>
              <w:jc w:val="left"/>
              <w:rPr>
                <w:sz w:val="18"/>
              </w:rPr>
            </w:pPr>
            <w:r>
              <w:rPr>
                <w:color w:val="105C84"/>
                <w:sz w:val="18"/>
              </w:rPr>
              <w:t>#</w:t>
            </w:r>
            <w:r>
              <w:rPr>
                <w:color w:val="105C84"/>
                <w:spacing w:val="-13"/>
                <w:sz w:val="18"/>
              </w:rPr>
              <w:t> </w:t>
            </w:r>
            <w:r>
              <w:rPr>
                <w:color w:val="105C84"/>
                <w:sz w:val="18"/>
              </w:rPr>
              <w:t>Clients</w:t>
            </w:r>
            <w:r>
              <w:rPr>
                <w:color w:val="105C84"/>
                <w:spacing w:val="-12"/>
                <w:sz w:val="18"/>
              </w:rPr>
              <w:t> </w:t>
            </w:r>
            <w:r>
              <w:rPr>
                <w:color w:val="105C84"/>
                <w:sz w:val="18"/>
              </w:rPr>
              <w:t>served</w:t>
            </w:r>
            <w:r>
              <w:rPr>
                <w:color w:val="105C84"/>
                <w:spacing w:val="-13"/>
                <w:sz w:val="18"/>
              </w:rPr>
              <w:t> </w:t>
            </w:r>
            <w:r>
              <w:rPr>
                <w:color w:val="105C84"/>
                <w:sz w:val="18"/>
              </w:rPr>
              <w:t>at Mobile SEP sites</w:t>
            </w:r>
          </w:p>
        </w:tc>
        <w:tc>
          <w:tcPr>
            <w:tcW w:w="2390" w:type="dxa"/>
            <w:tcBorders>
              <w:left w:val="single" w:sz="4" w:space="0" w:color="BCBEC0"/>
              <w:bottom w:val="nil"/>
              <w:right w:val="single" w:sz="4" w:space="0" w:color="BCBEC0"/>
            </w:tcBorders>
          </w:tcPr>
          <w:p>
            <w:pPr>
              <w:pStyle w:val="TableParagraph"/>
              <w:spacing w:line="352" w:lineRule="auto" w:before="106"/>
              <w:ind w:left="91" w:right="888"/>
              <w:rPr>
                <w:sz w:val="18"/>
              </w:rPr>
            </w:pPr>
            <w:r>
              <w:rPr>
                <w:color w:val="105C84"/>
                <w:sz w:val="18"/>
              </w:rPr>
              <w:t>Trillium Health OC</w:t>
            </w:r>
            <w:r>
              <w:rPr>
                <w:color w:val="105C84"/>
                <w:spacing w:val="-15"/>
                <w:sz w:val="18"/>
              </w:rPr>
              <w:t> </w:t>
            </w:r>
            <w:r>
              <w:rPr>
                <w:color w:val="105C84"/>
                <w:sz w:val="18"/>
              </w:rPr>
              <w:t>Public</w:t>
            </w:r>
            <w:r>
              <w:rPr>
                <w:color w:val="105C84"/>
                <w:spacing w:val="-12"/>
                <w:sz w:val="18"/>
              </w:rPr>
              <w:t> </w:t>
            </w:r>
            <w:r>
              <w:rPr>
                <w:color w:val="105C84"/>
                <w:sz w:val="18"/>
              </w:rPr>
              <w:t>Health</w:t>
            </w:r>
          </w:p>
          <w:p>
            <w:pPr>
              <w:pStyle w:val="TableParagraph"/>
              <w:spacing w:line="232" w:lineRule="auto" w:before="3"/>
              <w:ind w:left="91"/>
              <w:rPr>
                <w:sz w:val="18"/>
              </w:rPr>
            </w:pPr>
            <w:r>
              <w:rPr>
                <w:color w:val="105C84"/>
                <w:sz w:val="18"/>
              </w:rPr>
              <w:t>FL Area Counseling &amp; </w:t>
            </w:r>
            <w:r>
              <w:rPr>
                <w:color w:val="105C84"/>
                <w:spacing w:val="-6"/>
                <w:sz w:val="18"/>
              </w:rPr>
              <w:t>Recovery Agency </w:t>
            </w:r>
            <w:r>
              <w:rPr>
                <w:color w:val="105C84"/>
                <w:spacing w:val="-6"/>
                <w:sz w:val="18"/>
              </w:rPr>
              <w:t>(FLACRA)</w:t>
            </w:r>
          </w:p>
          <w:p>
            <w:pPr>
              <w:pStyle w:val="TableParagraph"/>
              <w:spacing w:line="232" w:lineRule="auto" w:before="102"/>
              <w:ind w:left="91" w:right="385"/>
              <w:rPr>
                <w:sz w:val="18"/>
              </w:rPr>
            </w:pPr>
            <w:r>
              <w:rPr>
                <w:color w:val="105C84"/>
                <w:spacing w:val="-2"/>
                <w:sz w:val="18"/>
              </w:rPr>
              <w:t>Canandaigua</w:t>
            </w:r>
            <w:r>
              <w:rPr>
                <w:color w:val="105C84"/>
                <w:spacing w:val="-11"/>
                <w:sz w:val="18"/>
              </w:rPr>
              <w:t> </w:t>
            </w:r>
            <w:r>
              <w:rPr>
                <w:color w:val="105C84"/>
                <w:spacing w:val="-2"/>
                <w:sz w:val="18"/>
              </w:rPr>
              <w:t>Fire Department</w:t>
            </w:r>
          </w:p>
          <w:p>
            <w:pPr>
              <w:pStyle w:val="TableParagraph"/>
              <w:spacing w:line="232" w:lineRule="auto" w:before="102"/>
              <w:ind w:left="91" w:right="385"/>
              <w:rPr>
                <w:sz w:val="18"/>
              </w:rPr>
            </w:pPr>
            <w:r>
              <w:rPr>
                <w:color w:val="105C84"/>
                <w:spacing w:val="-2"/>
                <w:w w:val="105"/>
                <w:sz w:val="18"/>
              </w:rPr>
              <w:t>Ontario</w:t>
            </w:r>
            <w:r>
              <w:rPr>
                <w:color w:val="105C84"/>
                <w:spacing w:val="-11"/>
                <w:w w:val="105"/>
                <w:sz w:val="18"/>
              </w:rPr>
              <w:t> </w:t>
            </w:r>
            <w:r>
              <w:rPr>
                <w:color w:val="105C84"/>
                <w:spacing w:val="-2"/>
                <w:w w:val="105"/>
                <w:sz w:val="18"/>
              </w:rPr>
              <w:t>County</w:t>
            </w:r>
            <w:r>
              <w:rPr>
                <w:color w:val="105C84"/>
                <w:spacing w:val="-11"/>
                <w:w w:val="105"/>
                <w:sz w:val="18"/>
              </w:rPr>
              <w:t> </w:t>
            </w:r>
            <w:r>
              <w:rPr>
                <w:color w:val="105C84"/>
                <w:spacing w:val="-2"/>
                <w:w w:val="105"/>
                <w:sz w:val="18"/>
              </w:rPr>
              <w:t>Opioid Court</w:t>
            </w:r>
          </w:p>
        </w:tc>
        <w:tc>
          <w:tcPr>
            <w:tcW w:w="3801" w:type="dxa"/>
            <w:tcBorders>
              <w:left w:val="single" w:sz="4" w:space="0" w:color="BCBEC0"/>
              <w:bottom w:val="nil"/>
              <w:right w:val="single" w:sz="4" w:space="0" w:color="BCBEC0"/>
            </w:tcBorders>
          </w:tcPr>
          <w:p>
            <w:pPr>
              <w:pStyle w:val="TableParagraph"/>
              <w:spacing w:line="232" w:lineRule="auto" w:before="111"/>
              <w:ind w:left="92" w:right="242"/>
              <w:rPr>
                <w:sz w:val="18"/>
              </w:rPr>
            </w:pPr>
            <w:r>
              <w:rPr>
                <w:color w:val="105C84"/>
                <w:sz w:val="18"/>
              </w:rPr>
              <w:t>Trillium Health: Determine the feasibility of continuing</w:t>
            </w:r>
            <w:r>
              <w:rPr>
                <w:color w:val="105C84"/>
                <w:spacing w:val="-1"/>
                <w:sz w:val="18"/>
              </w:rPr>
              <w:t> </w:t>
            </w:r>
            <w:r>
              <w:rPr>
                <w:color w:val="105C84"/>
                <w:sz w:val="18"/>
              </w:rPr>
              <w:t>to</w:t>
            </w:r>
            <w:r>
              <w:rPr>
                <w:color w:val="105C84"/>
                <w:spacing w:val="-1"/>
                <w:sz w:val="18"/>
              </w:rPr>
              <w:t> </w:t>
            </w:r>
            <w:r>
              <w:rPr>
                <w:color w:val="105C84"/>
                <w:sz w:val="18"/>
              </w:rPr>
              <w:t>offer</w:t>
            </w:r>
            <w:r>
              <w:rPr>
                <w:color w:val="105C84"/>
                <w:spacing w:val="-1"/>
                <w:sz w:val="18"/>
              </w:rPr>
              <w:t> </w:t>
            </w:r>
            <w:r>
              <w:rPr>
                <w:color w:val="105C84"/>
                <w:sz w:val="18"/>
              </w:rPr>
              <w:t>needle</w:t>
            </w:r>
            <w:r>
              <w:rPr>
                <w:color w:val="105C84"/>
                <w:spacing w:val="-1"/>
                <w:sz w:val="18"/>
              </w:rPr>
              <w:t> </w:t>
            </w:r>
            <w:r>
              <w:rPr>
                <w:color w:val="105C84"/>
                <w:sz w:val="18"/>
              </w:rPr>
              <w:t>exchange,</w:t>
            </w:r>
            <w:r>
              <w:rPr>
                <w:color w:val="105C84"/>
                <w:spacing w:val="-1"/>
                <w:sz w:val="18"/>
              </w:rPr>
              <w:t> </w:t>
            </w:r>
            <w:r>
              <w:rPr>
                <w:color w:val="105C84"/>
                <w:sz w:val="18"/>
              </w:rPr>
              <w:t>HIV</w:t>
            </w:r>
            <w:r>
              <w:rPr>
                <w:color w:val="105C84"/>
                <w:spacing w:val="-1"/>
                <w:sz w:val="18"/>
              </w:rPr>
              <w:t> </w:t>
            </w:r>
            <w:r>
              <w:rPr>
                <w:color w:val="105C84"/>
                <w:sz w:val="18"/>
              </w:rPr>
              <w:t>&amp; Hep C testing and referral to treatment via a mobile syringe exchange unit in Ontario </w:t>
            </w:r>
            <w:r>
              <w:rPr>
                <w:color w:val="105C84"/>
                <w:spacing w:val="-2"/>
                <w:sz w:val="18"/>
              </w:rPr>
              <w:t>County.</w:t>
            </w:r>
          </w:p>
          <w:p>
            <w:pPr>
              <w:pStyle w:val="TableParagraph"/>
              <w:spacing w:line="232" w:lineRule="auto" w:before="100"/>
              <w:ind w:left="92" w:right="191"/>
              <w:jc w:val="both"/>
              <w:rPr>
                <w:sz w:val="18"/>
              </w:rPr>
            </w:pPr>
            <w:r>
              <w:rPr>
                <w:color w:val="105C84"/>
                <w:sz w:val="18"/>
              </w:rPr>
              <w:t>OC</w:t>
            </w:r>
            <w:r>
              <w:rPr>
                <w:color w:val="105C84"/>
                <w:spacing w:val="-11"/>
                <w:sz w:val="18"/>
              </w:rPr>
              <w:t> </w:t>
            </w:r>
            <w:r>
              <w:rPr>
                <w:color w:val="105C84"/>
                <w:sz w:val="18"/>
              </w:rPr>
              <w:t>Public</w:t>
            </w:r>
            <w:r>
              <w:rPr>
                <w:color w:val="105C84"/>
                <w:spacing w:val="-11"/>
                <w:sz w:val="18"/>
              </w:rPr>
              <w:t> </w:t>
            </w:r>
            <w:r>
              <w:rPr>
                <w:color w:val="105C84"/>
                <w:sz w:val="18"/>
              </w:rPr>
              <w:t>Health:</w:t>
            </w:r>
            <w:r>
              <w:rPr>
                <w:color w:val="105C84"/>
                <w:spacing w:val="-11"/>
                <w:sz w:val="18"/>
              </w:rPr>
              <w:t> </w:t>
            </w:r>
            <w:r>
              <w:rPr>
                <w:color w:val="105C84"/>
                <w:sz w:val="18"/>
              </w:rPr>
              <w:t>Assist</w:t>
            </w:r>
            <w:r>
              <w:rPr>
                <w:color w:val="105C84"/>
                <w:spacing w:val="-11"/>
                <w:sz w:val="18"/>
              </w:rPr>
              <w:t> </w:t>
            </w:r>
            <w:r>
              <w:rPr>
                <w:color w:val="105C84"/>
                <w:sz w:val="18"/>
              </w:rPr>
              <w:t>Trillium</w:t>
            </w:r>
            <w:r>
              <w:rPr>
                <w:color w:val="105C84"/>
                <w:spacing w:val="-11"/>
                <w:sz w:val="18"/>
              </w:rPr>
              <w:t> </w:t>
            </w:r>
            <w:r>
              <w:rPr>
                <w:color w:val="105C84"/>
                <w:sz w:val="18"/>
              </w:rPr>
              <w:t>Health</w:t>
            </w:r>
            <w:r>
              <w:rPr>
                <w:color w:val="105C84"/>
                <w:spacing w:val="-11"/>
                <w:sz w:val="18"/>
              </w:rPr>
              <w:t> </w:t>
            </w:r>
            <w:r>
              <w:rPr>
                <w:color w:val="105C84"/>
                <w:sz w:val="18"/>
              </w:rPr>
              <w:t>with outreach to elected officials and community leaders re needle exchange sites</w:t>
            </w:r>
          </w:p>
          <w:p>
            <w:pPr>
              <w:pStyle w:val="TableParagraph"/>
              <w:spacing w:line="232" w:lineRule="auto" w:before="101"/>
              <w:ind w:left="92" w:right="175"/>
              <w:jc w:val="both"/>
              <w:rPr>
                <w:sz w:val="18"/>
              </w:rPr>
            </w:pPr>
            <w:r>
              <w:rPr>
                <w:color w:val="105C84"/>
                <w:sz w:val="18"/>
              </w:rPr>
              <w:t>FLACRA: Host mobile SEP. Provide </w:t>
            </w:r>
            <w:r>
              <w:rPr>
                <w:color w:val="105C84"/>
                <w:spacing w:val="-2"/>
                <w:sz w:val="18"/>
              </w:rPr>
              <w:t>emergency</w:t>
            </w:r>
            <w:r>
              <w:rPr>
                <w:color w:val="105C84"/>
                <w:spacing w:val="-1"/>
                <w:sz w:val="18"/>
              </w:rPr>
              <w:t> </w:t>
            </w:r>
            <w:r>
              <w:rPr>
                <w:color w:val="105C84"/>
                <w:spacing w:val="-2"/>
                <w:sz w:val="18"/>
              </w:rPr>
              <w:t>Opioid</w:t>
            </w:r>
            <w:r>
              <w:rPr>
                <w:color w:val="105C84"/>
                <w:sz w:val="18"/>
              </w:rPr>
              <w:t> </w:t>
            </w:r>
            <w:r>
              <w:rPr>
                <w:color w:val="105C84"/>
                <w:spacing w:val="-2"/>
                <w:sz w:val="18"/>
              </w:rPr>
              <w:t>Response</w:t>
            </w:r>
            <w:r>
              <w:rPr>
                <w:color w:val="105C84"/>
                <w:sz w:val="18"/>
              </w:rPr>
              <w:t> </w:t>
            </w:r>
            <w:r>
              <w:rPr>
                <w:color w:val="105C84"/>
                <w:spacing w:val="-2"/>
                <w:sz w:val="18"/>
              </w:rPr>
              <w:t>Team</w:t>
            </w:r>
            <w:r>
              <w:rPr>
                <w:color w:val="105C84"/>
                <w:sz w:val="18"/>
              </w:rPr>
              <w:t> </w:t>
            </w:r>
            <w:r>
              <w:rPr>
                <w:color w:val="105C84"/>
                <w:spacing w:val="-4"/>
                <w:sz w:val="18"/>
              </w:rPr>
              <w:t>services.</w:t>
            </w:r>
          </w:p>
        </w:tc>
        <w:tc>
          <w:tcPr>
            <w:tcW w:w="1895" w:type="dxa"/>
            <w:vMerge w:val="restart"/>
            <w:tcBorders>
              <w:left w:val="single" w:sz="4" w:space="0" w:color="BCBEC0"/>
              <w:right w:val="single" w:sz="4" w:space="0" w:color="BCBEC0"/>
            </w:tcBorders>
          </w:tcPr>
          <w:p>
            <w:pPr>
              <w:pStyle w:val="TableParagraph"/>
              <w:rPr>
                <w:rFonts w:ascii="Times New Roman"/>
                <w:sz w:val="18"/>
              </w:rPr>
            </w:pPr>
          </w:p>
        </w:tc>
      </w:tr>
      <w:tr>
        <w:trPr>
          <w:trHeight w:val="488" w:hRule="atLeast"/>
        </w:trPr>
        <w:tc>
          <w:tcPr>
            <w:tcW w:w="1353" w:type="dxa"/>
            <w:tcBorders>
              <w:top w:val="nil"/>
              <w:left w:val="single" w:sz="4" w:space="0" w:color="BCBEC0"/>
              <w:bottom w:val="nil"/>
              <w:right w:val="single" w:sz="4" w:space="0" w:color="BCBEC0"/>
            </w:tcBorders>
            <w:shd w:val="clear" w:color="auto" w:fill="E6E7E8"/>
          </w:tcPr>
          <w:p>
            <w:pPr>
              <w:pStyle w:val="TableParagraph"/>
              <w:rPr>
                <w:rFonts w:ascii="Times New Roman"/>
                <w:sz w:val="18"/>
              </w:rPr>
            </w:pPr>
          </w:p>
        </w:tc>
        <w:tc>
          <w:tcPr>
            <w:tcW w:w="1289" w:type="dxa"/>
            <w:tcBorders>
              <w:top w:val="nil"/>
              <w:left w:val="single" w:sz="4" w:space="0" w:color="BCBEC0"/>
              <w:bottom w:val="nil"/>
              <w:right w:val="single" w:sz="4" w:space="0" w:color="BCBEC0"/>
            </w:tcBorders>
          </w:tcPr>
          <w:p>
            <w:pPr>
              <w:pStyle w:val="TableParagraph"/>
              <w:rPr>
                <w:rFonts w:ascii="Times New Roman"/>
                <w:sz w:val="18"/>
              </w:rPr>
            </w:pPr>
          </w:p>
        </w:tc>
        <w:tc>
          <w:tcPr>
            <w:tcW w:w="1591" w:type="dxa"/>
            <w:tcBorders>
              <w:top w:val="nil"/>
              <w:left w:val="single" w:sz="4" w:space="0" w:color="BCBEC0"/>
              <w:bottom w:val="nil"/>
              <w:right w:val="single" w:sz="4" w:space="0" w:color="BCBEC0"/>
            </w:tcBorders>
          </w:tcPr>
          <w:p>
            <w:pPr>
              <w:pStyle w:val="TableParagraph"/>
              <w:rPr>
                <w:rFonts w:ascii="Times New Roman"/>
                <w:sz w:val="18"/>
              </w:rPr>
            </w:pPr>
          </w:p>
        </w:tc>
        <w:tc>
          <w:tcPr>
            <w:tcW w:w="2822" w:type="dxa"/>
            <w:vMerge/>
            <w:tcBorders>
              <w:top w:val="nil"/>
              <w:left w:val="single" w:sz="4" w:space="0" w:color="BCBEC0"/>
              <w:right w:val="single" w:sz="4" w:space="0" w:color="BCBEC0"/>
            </w:tcBorders>
          </w:tcPr>
          <w:p>
            <w:pPr>
              <w:rPr>
                <w:sz w:val="2"/>
                <w:szCs w:val="2"/>
              </w:rPr>
            </w:pPr>
          </w:p>
        </w:tc>
        <w:tc>
          <w:tcPr>
            <w:tcW w:w="1267" w:type="dxa"/>
            <w:vMerge/>
            <w:tcBorders>
              <w:top w:val="nil"/>
              <w:left w:val="single" w:sz="4" w:space="0" w:color="BCBEC0"/>
              <w:right w:val="single" w:sz="4" w:space="0" w:color="BCBEC0"/>
            </w:tcBorders>
          </w:tcPr>
          <w:p>
            <w:pPr>
              <w:rPr>
                <w:sz w:val="2"/>
                <w:szCs w:val="2"/>
              </w:rPr>
            </w:pPr>
          </w:p>
        </w:tc>
        <w:tc>
          <w:tcPr>
            <w:tcW w:w="2873" w:type="dxa"/>
            <w:vMerge/>
            <w:tcBorders>
              <w:top w:val="nil"/>
              <w:left w:val="single" w:sz="4" w:space="0" w:color="BCBEC0"/>
              <w:right w:val="nil"/>
            </w:tcBorders>
          </w:tcPr>
          <w:p>
            <w:pPr>
              <w:rPr>
                <w:sz w:val="2"/>
                <w:szCs w:val="2"/>
              </w:rPr>
            </w:pPr>
          </w:p>
        </w:tc>
        <w:tc>
          <w:tcPr>
            <w:tcW w:w="3030" w:type="dxa"/>
            <w:vMerge/>
            <w:tcBorders>
              <w:top w:val="nil"/>
              <w:left w:val="nil"/>
              <w:right w:val="single" w:sz="4" w:space="0" w:color="BCBEC0"/>
            </w:tcBorders>
          </w:tcPr>
          <w:p>
            <w:pPr>
              <w:rPr>
                <w:sz w:val="2"/>
                <w:szCs w:val="2"/>
              </w:rPr>
            </w:pPr>
          </w:p>
        </w:tc>
        <w:tc>
          <w:tcPr>
            <w:tcW w:w="2390" w:type="dxa"/>
            <w:tcBorders>
              <w:top w:val="nil"/>
              <w:left w:val="single" w:sz="4" w:space="0" w:color="BCBEC0"/>
              <w:bottom w:val="nil"/>
              <w:right w:val="single" w:sz="4" w:space="0" w:color="BCBEC0"/>
            </w:tcBorders>
          </w:tcPr>
          <w:p>
            <w:pPr>
              <w:pStyle w:val="TableParagraph"/>
              <w:rPr>
                <w:rFonts w:ascii="Times New Roman"/>
                <w:sz w:val="18"/>
              </w:rPr>
            </w:pPr>
          </w:p>
        </w:tc>
        <w:tc>
          <w:tcPr>
            <w:tcW w:w="3801" w:type="dxa"/>
            <w:tcBorders>
              <w:top w:val="nil"/>
              <w:left w:val="single" w:sz="4" w:space="0" w:color="BCBEC0"/>
              <w:bottom w:val="nil"/>
              <w:right w:val="single" w:sz="4" w:space="0" w:color="BCBEC0"/>
            </w:tcBorders>
          </w:tcPr>
          <w:p>
            <w:pPr>
              <w:pStyle w:val="TableParagraph"/>
              <w:spacing w:line="232" w:lineRule="auto" w:before="37"/>
              <w:ind w:left="92"/>
              <w:rPr>
                <w:sz w:val="18"/>
              </w:rPr>
            </w:pPr>
            <w:r>
              <w:rPr>
                <w:color w:val="105C84"/>
                <w:sz w:val="18"/>
              </w:rPr>
              <w:t>Canandaigua</w:t>
            </w:r>
            <w:r>
              <w:rPr>
                <w:color w:val="105C84"/>
                <w:spacing w:val="-3"/>
                <w:sz w:val="18"/>
              </w:rPr>
              <w:t> </w:t>
            </w:r>
            <w:r>
              <w:rPr>
                <w:color w:val="105C84"/>
                <w:sz w:val="18"/>
              </w:rPr>
              <w:t>Fire</w:t>
            </w:r>
            <w:r>
              <w:rPr>
                <w:color w:val="105C84"/>
                <w:spacing w:val="-3"/>
                <w:sz w:val="18"/>
              </w:rPr>
              <w:t> </w:t>
            </w:r>
            <w:r>
              <w:rPr>
                <w:color w:val="105C84"/>
                <w:sz w:val="18"/>
              </w:rPr>
              <w:t>Department:</w:t>
            </w:r>
            <w:r>
              <w:rPr>
                <w:color w:val="105C84"/>
                <w:spacing w:val="-3"/>
                <w:sz w:val="18"/>
              </w:rPr>
              <w:t> </w:t>
            </w:r>
            <w:r>
              <w:rPr>
                <w:color w:val="105C84"/>
                <w:sz w:val="18"/>
              </w:rPr>
              <w:t>Host</w:t>
            </w:r>
            <w:r>
              <w:rPr>
                <w:color w:val="105C84"/>
                <w:spacing w:val="-3"/>
                <w:sz w:val="18"/>
              </w:rPr>
              <w:t> </w:t>
            </w:r>
            <w:r>
              <w:rPr>
                <w:color w:val="105C84"/>
                <w:sz w:val="18"/>
              </w:rPr>
              <w:t>mobile </w:t>
            </w:r>
            <w:r>
              <w:rPr>
                <w:color w:val="105C84"/>
                <w:spacing w:val="-4"/>
                <w:sz w:val="18"/>
              </w:rPr>
              <w:t>SEP</w:t>
            </w:r>
          </w:p>
        </w:tc>
        <w:tc>
          <w:tcPr>
            <w:tcW w:w="1895" w:type="dxa"/>
            <w:vMerge/>
            <w:tcBorders>
              <w:top w:val="nil"/>
              <w:left w:val="single" w:sz="4" w:space="0" w:color="BCBEC0"/>
              <w:right w:val="single" w:sz="4" w:space="0" w:color="BCBEC0"/>
            </w:tcBorders>
          </w:tcPr>
          <w:p>
            <w:pPr>
              <w:rPr>
                <w:sz w:val="2"/>
                <w:szCs w:val="2"/>
              </w:rPr>
            </w:pPr>
          </w:p>
        </w:tc>
      </w:tr>
      <w:tr>
        <w:trPr>
          <w:trHeight w:val="497" w:hRule="atLeast"/>
        </w:trPr>
        <w:tc>
          <w:tcPr>
            <w:tcW w:w="1353" w:type="dxa"/>
            <w:tcBorders>
              <w:top w:val="nil"/>
              <w:left w:val="single" w:sz="4" w:space="0" w:color="BCBEC0"/>
              <w:bottom w:val="nil"/>
              <w:right w:val="single" w:sz="4" w:space="0" w:color="BCBEC0"/>
            </w:tcBorders>
            <w:shd w:val="clear" w:color="auto" w:fill="E6E7E8"/>
          </w:tcPr>
          <w:p>
            <w:pPr>
              <w:pStyle w:val="TableParagraph"/>
              <w:rPr>
                <w:rFonts w:ascii="Times New Roman"/>
                <w:sz w:val="18"/>
              </w:rPr>
            </w:pPr>
          </w:p>
        </w:tc>
        <w:tc>
          <w:tcPr>
            <w:tcW w:w="1289" w:type="dxa"/>
            <w:tcBorders>
              <w:top w:val="nil"/>
              <w:left w:val="single" w:sz="4" w:space="0" w:color="BCBEC0"/>
              <w:bottom w:val="nil"/>
              <w:right w:val="single" w:sz="4" w:space="0" w:color="BCBEC0"/>
            </w:tcBorders>
          </w:tcPr>
          <w:p>
            <w:pPr>
              <w:pStyle w:val="TableParagraph"/>
              <w:rPr>
                <w:rFonts w:ascii="Times New Roman"/>
                <w:sz w:val="18"/>
              </w:rPr>
            </w:pPr>
          </w:p>
        </w:tc>
        <w:tc>
          <w:tcPr>
            <w:tcW w:w="1591" w:type="dxa"/>
            <w:tcBorders>
              <w:top w:val="nil"/>
              <w:left w:val="single" w:sz="4" w:space="0" w:color="BCBEC0"/>
              <w:right w:val="single" w:sz="4" w:space="0" w:color="BCBEC0"/>
            </w:tcBorders>
          </w:tcPr>
          <w:p>
            <w:pPr>
              <w:pStyle w:val="TableParagraph"/>
              <w:rPr>
                <w:rFonts w:ascii="Times New Roman"/>
                <w:sz w:val="18"/>
              </w:rPr>
            </w:pPr>
          </w:p>
        </w:tc>
        <w:tc>
          <w:tcPr>
            <w:tcW w:w="2822" w:type="dxa"/>
            <w:vMerge/>
            <w:tcBorders>
              <w:top w:val="nil"/>
              <w:left w:val="single" w:sz="4" w:space="0" w:color="BCBEC0"/>
              <w:right w:val="single" w:sz="4" w:space="0" w:color="BCBEC0"/>
            </w:tcBorders>
          </w:tcPr>
          <w:p>
            <w:pPr>
              <w:rPr>
                <w:sz w:val="2"/>
                <w:szCs w:val="2"/>
              </w:rPr>
            </w:pPr>
          </w:p>
        </w:tc>
        <w:tc>
          <w:tcPr>
            <w:tcW w:w="1267" w:type="dxa"/>
            <w:vMerge/>
            <w:tcBorders>
              <w:top w:val="nil"/>
              <w:left w:val="single" w:sz="4" w:space="0" w:color="BCBEC0"/>
              <w:right w:val="single" w:sz="4" w:space="0" w:color="BCBEC0"/>
            </w:tcBorders>
          </w:tcPr>
          <w:p>
            <w:pPr>
              <w:rPr>
                <w:sz w:val="2"/>
                <w:szCs w:val="2"/>
              </w:rPr>
            </w:pPr>
          </w:p>
        </w:tc>
        <w:tc>
          <w:tcPr>
            <w:tcW w:w="2873" w:type="dxa"/>
            <w:vMerge/>
            <w:tcBorders>
              <w:top w:val="nil"/>
              <w:left w:val="single" w:sz="4" w:space="0" w:color="BCBEC0"/>
              <w:right w:val="nil"/>
            </w:tcBorders>
          </w:tcPr>
          <w:p>
            <w:pPr>
              <w:rPr>
                <w:sz w:val="2"/>
                <w:szCs w:val="2"/>
              </w:rPr>
            </w:pPr>
          </w:p>
        </w:tc>
        <w:tc>
          <w:tcPr>
            <w:tcW w:w="3030" w:type="dxa"/>
            <w:vMerge/>
            <w:tcBorders>
              <w:top w:val="nil"/>
              <w:left w:val="nil"/>
              <w:right w:val="single" w:sz="4" w:space="0" w:color="BCBEC0"/>
            </w:tcBorders>
          </w:tcPr>
          <w:p>
            <w:pPr>
              <w:rPr>
                <w:sz w:val="2"/>
                <w:szCs w:val="2"/>
              </w:rPr>
            </w:pPr>
          </w:p>
        </w:tc>
        <w:tc>
          <w:tcPr>
            <w:tcW w:w="2390" w:type="dxa"/>
            <w:tcBorders>
              <w:top w:val="nil"/>
              <w:left w:val="single" w:sz="4" w:space="0" w:color="BCBEC0"/>
              <w:right w:val="single" w:sz="4" w:space="0" w:color="BCBEC0"/>
            </w:tcBorders>
          </w:tcPr>
          <w:p>
            <w:pPr>
              <w:pStyle w:val="TableParagraph"/>
              <w:rPr>
                <w:rFonts w:ascii="Times New Roman"/>
                <w:sz w:val="18"/>
              </w:rPr>
            </w:pPr>
          </w:p>
        </w:tc>
        <w:tc>
          <w:tcPr>
            <w:tcW w:w="3801" w:type="dxa"/>
            <w:tcBorders>
              <w:top w:val="nil"/>
              <w:left w:val="single" w:sz="4" w:space="0" w:color="BCBEC0"/>
              <w:right w:val="single" w:sz="4" w:space="0" w:color="BCBEC0"/>
            </w:tcBorders>
          </w:tcPr>
          <w:p>
            <w:pPr>
              <w:pStyle w:val="TableParagraph"/>
              <w:spacing w:line="232" w:lineRule="auto" w:before="37"/>
              <w:ind w:left="92"/>
              <w:rPr>
                <w:sz w:val="18"/>
              </w:rPr>
            </w:pPr>
            <w:r>
              <w:rPr>
                <w:color w:val="105C84"/>
                <w:sz w:val="18"/>
              </w:rPr>
              <w:t>Ontario County Opioid Court: Provide </w:t>
            </w:r>
            <w:r>
              <w:rPr>
                <w:color w:val="105C84"/>
                <w:sz w:val="18"/>
              </w:rPr>
              <w:t>option for treatment prior to arraignment</w:t>
            </w:r>
          </w:p>
        </w:tc>
        <w:tc>
          <w:tcPr>
            <w:tcW w:w="1895" w:type="dxa"/>
            <w:vMerge/>
            <w:tcBorders>
              <w:top w:val="nil"/>
              <w:left w:val="single" w:sz="4" w:space="0" w:color="BCBEC0"/>
              <w:right w:val="single" w:sz="4" w:space="0" w:color="BCBEC0"/>
            </w:tcBorders>
          </w:tcPr>
          <w:p>
            <w:pPr>
              <w:rPr>
                <w:sz w:val="2"/>
                <w:szCs w:val="2"/>
              </w:rPr>
            </w:pPr>
          </w:p>
        </w:tc>
      </w:tr>
      <w:tr>
        <w:trPr>
          <w:trHeight w:val="1361" w:hRule="atLeast"/>
        </w:trPr>
        <w:tc>
          <w:tcPr>
            <w:tcW w:w="1353" w:type="dxa"/>
            <w:tcBorders>
              <w:top w:val="nil"/>
              <w:left w:val="single" w:sz="4" w:space="0" w:color="BCBEC0"/>
              <w:bottom w:val="nil"/>
              <w:right w:val="single" w:sz="4" w:space="0" w:color="BCBEC0"/>
            </w:tcBorders>
            <w:shd w:val="clear" w:color="auto" w:fill="E6E7E8"/>
          </w:tcPr>
          <w:p>
            <w:pPr>
              <w:pStyle w:val="TableParagraph"/>
              <w:rPr>
                <w:rFonts w:ascii="Times New Roman"/>
                <w:sz w:val="18"/>
              </w:rPr>
            </w:pPr>
          </w:p>
        </w:tc>
        <w:tc>
          <w:tcPr>
            <w:tcW w:w="1289" w:type="dxa"/>
            <w:tcBorders>
              <w:top w:val="nil"/>
              <w:left w:val="single" w:sz="4" w:space="0" w:color="BCBEC0"/>
              <w:bottom w:val="nil"/>
              <w:right w:val="single" w:sz="4" w:space="0" w:color="BCBEC0"/>
            </w:tcBorders>
          </w:tcPr>
          <w:p>
            <w:pPr>
              <w:pStyle w:val="TableParagraph"/>
              <w:rPr>
                <w:rFonts w:ascii="Times New Roman"/>
                <w:sz w:val="18"/>
              </w:rPr>
            </w:pPr>
          </w:p>
        </w:tc>
        <w:tc>
          <w:tcPr>
            <w:tcW w:w="1591" w:type="dxa"/>
            <w:tcBorders>
              <w:left w:val="single" w:sz="4" w:space="0" w:color="BCBEC0"/>
              <w:bottom w:val="nil"/>
              <w:right w:val="single" w:sz="4" w:space="0" w:color="BCBEC0"/>
            </w:tcBorders>
          </w:tcPr>
          <w:p>
            <w:pPr>
              <w:pStyle w:val="TableParagraph"/>
              <w:spacing w:line="232" w:lineRule="auto" w:before="111"/>
              <w:ind w:left="90" w:right="123"/>
              <w:rPr>
                <w:sz w:val="18"/>
              </w:rPr>
            </w:pPr>
            <w:r>
              <w:rPr>
                <w:color w:val="105C84"/>
                <w:spacing w:val="-2"/>
                <w:sz w:val="18"/>
              </w:rPr>
              <w:t>Goal</w:t>
            </w:r>
            <w:r>
              <w:rPr>
                <w:color w:val="105C84"/>
                <w:spacing w:val="-13"/>
                <w:sz w:val="18"/>
              </w:rPr>
              <w:t> </w:t>
            </w:r>
            <w:r>
              <w:rPr>
                <w:color w:val="105C84"/>
                <w:spacing w:val="-2"/>
                <w:sz w:val="18"/>
              </w:rPr>
              <w:t>2.5:</w:t>
            </w:r>
            <w:r>
              <w:rPr>
                <w:color w:val="105C84"/>
                <w:spacing w:val="-10"/>
                <w:sz w:val="18"/>
              </w:rPr>
              <w:t> </w:t>
            </w:r>
            <w:r>
              <w:rPr>
                <w:color w:val="105C84"/>
                <w:spacing w:val="-2"/>
                <w:sz w:val="18"/>
              </w:rPr>
              <w:t>Prevent suicides</w:t>
            </w:r>
          </w:p>
        </w:tc>
        <w:tc>
          <w:tcPr>
            <w:tcW w:w="2822" w:type="dxa"/>
            <w:tcBorders>
              <w:left w:val="single" w:sz="4" w:space="0" w:color="BCBEC0"/>
              <w:bottom w:val="nil"/>
              <w:right w:val="single" w:sz="4" w:space="0" w:color="BCBEC0"/>
            </w:tcBorders>
          </w:tcPr>
          <w:p>
            <w:pPr>
              <w:pStyle w:val="TableParagraph"/>
              <w:spacing w:line="232" w:lineRule="auto" w:before="111"/>
              <w:ind w:left="90" w:right="130"/>
              <w:rPr>
                <w:sz w:val="18"/>
              </w:rPr>
            </w:pPr>
            <w:r>
              <w:rPr>
                <w:color w:val="105C84"/>
                <w:sz w:val="18"/>
              </w:rPr>
              <w:t>2.5.1 Reduce suicide attempts by</w:t>
            </w:r>
            <w:r>
              <w:rPr>
                <w:color w:val="105C84"/>
                <w:spacing w:val="-15"/>
                <w:sz w:val="18"/>
              </w:rPr>
              <w:t> </w:t>
            </w:r>
            <w:r>
              <w:rPr>
                <w:color w:val="105C84"/>
                <w:sz w:val="18"/>
              </w:rPr>
              <w:t>New</w:t>
            </w:r>
            <w:r>
              <w:rPr>
                <w:color w:val="105C84"/>
                <w:spacing w:val="-12"/>
                <w:sz w:val="18"/>
              </w:rPr>
              <w:t> </w:t>
            </w:r>
            <w:r>
              <w:rPr>
                <w:color w:val="105C84"/>
                <w:sz w:val="18"/>
              </w:rPr>
              <w:t>York</w:t>
            </w:r>
            <w:r>
              <w:rPr>
                <w:color w:val="105C84"/>
                <w:spacing w:val="-13"/>
                <w:sz w:val="18"/>
              </w:rPr>
              <w:t> </w:t>
            </w:r>
            <w:r>
              <w:rPr>
                <w:color w:val="105C84"/>
                <w:sz w:val="18"/>
              </w:rPr>
              <w:t>adolescents</w:t>
            </w:r>
            <w:r>
              <w:rPr>
                <w:color w:val="105C84"/>
                <w:spacing w:val="-12"/>
                <w:sz w:val="18"/>
              </w:rPr>
              <w:t> </w:t>
            </w:r>
            <w:r>
              <w:rPr>
                <w:color w:val="105C84"/>
                <w:sz w:val="18"/>
              </w:rPr>
              <w:t>(youth grades 9 to 12) who attempted suicide</w:t>
            </w:r>
            <w:r>
              <w:rPr>
                <w:color w:val="105C84"/>
                <w:spacing w:val="-4"/>
                <w:sz w:val="18"/>
              </w:rPr>
              <w:t> </w:t>
            </w:r>
            <w:r>
              <w:rPr>
                <w:color w:val="105C84"/>
                <w:sz w:val="18"/>
              </w:rPr>
              <w:t>one</w:t>
            </w:r>
            <w:r>
              <w:rPr>
                <w:color w:val="105C84"/>
                <w:spacing w:val="-4"/>
                <w:sz w:val="18"/>
              </w:rPr>
              <w:t> </w:t>
            </w:r>
            <w:r>
              <w:rPr>
                <w:color w:val="105C84"/>
                <w:sz w:val="18"/>
              </w:rPr>
              <w:t>or</w:t>
            </w:r>
            <w:r>
              <w:rPr>
                <w:color w:val="105C84"/>
                <w:spacing w:val="-4"/>
                <w:sz w:val="18"/>
              </w:rPr>
              <w:t> </w:t>
            </w:r>
            <w:r>
              <w:rPr>
                <w:color w:val="105C84"/>
                <w:sz w:val="18"/>
              </w:rPr>
              <w:t>more</w:t>
            </w:r>
            <w:r>
              <w:rPr>
                <w:color w:val="105C84"/>
                <w:spacing w:val="-4"/>
                <w:sz w:val="18"/>
              </w:rPr>
              <w:t> </w:t>
            </w:r>
            <w:r>
              <w:rPr>
                <w:color w:val="105C84"/>
                <w:sz w:val="18"/>
              </w:rPr>
              <w:t>times</w:t>
            </w:r>
            <w:r>
              <w:rPr>
                <w:color w:val="105C84"/>
                <w:spacing w:val="-4"/>
                <w:sz w:val="18"/>
              </w:rPr>
              <w:t> </w:t>
            </w:r>
            <w:r>
              <w:rPr>
                <w:color w:val="105C84"/>
                <w:sz w:val="18"/>
              </w:rPr>
              <w:t>in</w:t>
            </w:r>
            <w:r>
              <w:rPr>
                <w:color w:val="105C84"/>
                <w:spacing w:val="-4"/>
                <w:sz w:val="18"/>
              </w:rPr>
              <w:t> </w:t>
            </w:r>
            <w:r>
              <w:rPr>
                <w:color w:val="105C84"/>
                <w:sz w:val="18"/>
              </w:rPr>
              <w:t>the</w:t>
            </w:r>
            <w:r>
              <w:rPr>
                <w:color w:val="105C84"/>
                <w:sz w:val="18"/>
              </w:rPr>
              <w:t> past year by 10% to no more than 9.1%.</w:t>
            </w:r>
          </w:p>
        </w:tc>
        <w:tc>
          <w:tcPr>
            <w:tcW w:w="1267" w:type="dxa"/>
            <w:vMerge w:val="restart"/>
            <w:tcBorders>
              <w:left w:val="single" w:sz="4" w:space="0" w:color="BCBEC0"/>
              <w:right w:val="single" w:sz="4" w:space="0" w:color="BCBEC0"/>
            </w:tcBorders>
          </w:tcPr>
          <w:p>
            <w:pPr>
              <w:pStyle w:val="TableParagraph"/>
              <w:rPr>
                <w:rFonts w:ascii="Times New Roman"/>
                <w:sz w:val="18"/>
              </w:rPr>
            </w:pPr>
          </w:p>
        </w:tc>
        <w:tc>
          <w:tcPr>
            <w:tcW w:w="2873" w:type="dxa"/>
            <w:vMerge w:val="restart"/>
            <w:tcBorders>
              <w:left w:val="single" w:sz="4" w:space="0" w:color="BCBEC0"/>
              <w:right w:val="nil"/>
            </w:tcBorders>
          </w:tcPr>
          <w:p>
            <w:pPr>
              <w:pStyle w:val="TableParagraph"/>
              <w:spacing w:line="232" w:lineRule="auto" w:before="111"/>
              <w:ind w:left="90" w:right="1124"/>
              <w:rPr>
                <w:sz w:val="18"/>
              </w:rPr>
            </w:pPr>
            <w:r>
              <w:rPr>
                <w:color w:val="105C84"/>
                <w:sz w:val="18"/>
              </w:rPr>
              <w:t>2.5.4 Identify and support people at risk: Gatekeeper Training, crisis </w:t>
            </w:r>
            <w:r>
              <w:rPr>
                <w:color w:val="105C84"/>
                <w:spacing w:val="-2"/>
                <w:sz w:val="18"/>
              </w:rPr>
              <w:t>intervention, </w:t>
            </w:r>
            <w:r>
              <w:rPr>
                <w:color w:val="105C84"/>
                <w:sz w:val="18"/>
              </w:rPr>
              <w:t>treatment</w:t>
            </w:r>
            <w:r>
              <w:rPr>
                <w:color w:val="105C84"/>
                <w:spacing w:val="3"/>
                <w:sz w:val="18"/>
              </w:rPr>
              <w:t> </w:t>
            </w:r>
            <w:r>
              <w:rPr>
                <w:color w:val="105C84"/>
                <w:sz w:val="18"/>
              </w:rPr>
              <w:t>for</w:t>
            </w:r>
            <w:r>
              <w:rPr>
                <w:color w:val="105C84"/>
                <w:spacing w:val="80"/>
                <w:w w:val="150"/>
                <w:sz w:val="18"/>
              </w:rPr>
              <w:t> </w:t>
            </w:r>
            <w:r>
              <w:rPr>
                <w:color w:val="105C84"/>
                <w:sz w:val="18"/>
              </w:rPr>
              <w:t>people at risk of suicide,</w:t>
            </w:r>
            <w:r>
              <w:rPr>
                <w:color w:val="105C84"/>
                <w:spacing w:val="-4"/>
                <w:sz w:val="18"/>
              </w:rPr>
              <w:t> </w:t>
            </w:r>
            <w:r>
              <w:rPr>
                <w:color w:val="105C84"/>
                <w:sz w:val="18"/>
              </w:rPr>
              <w:t>treatment</w:t>
            </w:r>
            <w:r>
              <w:rPr>
                <w:color w:val="105C84"/>
                <w:spacing w:val="-4"/>
                <w:sz w:val="18"/>
              </w:rPr>
              <w:t> </w:t>
            </w:r>
            <w:r>
              <w:rPr>
                <w:color w:val="105C84"/>
                <w:sz w:val="18"/>
              </w:rPr>
              <w:t>to</w:t>
            </w:r>
            <w:r>
              <w:rPr>
                <w:color w:val="105C84"/>
                <w:sz w:val="18"/>
              </w:rPr>
              <w:t> prevent re-attempts, postvention, safe reporting and messaging about </w:t>
            </w:r>
            <w:r>
              <w:rPr>
                <w:color w:val="105C84"/>
                <w:spacing w:val="-2"/>
                <w:sz w:val="18"/>
              </w:rPr>
              <w:t>suicides</w:t>
            </w:r>
          </w:p>
        </w:tc>
        <w:tc>
          <w:tcPr>
            <w:tcW w:w="3030" w:type="dxa"/>
            <w:vMerge w:val="restart"/>
            <w:tcBorders>
              <w:left w:val="nil"/>
              <w:right w:val="single" w:sz="4" w:space="0" w:color="BCBEC0"/>
            </w:tcBorders>
          </w:tcPr>
          <w:p>
            <w:pPr>
              <w:pStyle w:val="TableParagraph"/>
              <w:numPr>
                <w:ilvl w:val="0"/>
                <w:numId w:val="69"/>
              </w:numPr>
              <w:tabs>
                <w:tab w:pos="1355" w:val="left" w:leader="none"/>
              </w:tabs>
              <w:spacing w:line="232" w:lineRule="auto" w:before="110" w:after="0"/>
              <w:ind w:left="1169" w:right="430" w:firstLine="0"/>
              <w:jc w:val="left"/>
              <w:rPr>
                <w:sz w:val="18"/>
              </w:rPr>
            </w:pPr>
            <w:r>
              <w:rPr>
                <w:color w:val="105C84"/>
                <w:sz w:val="18"/>
              </w:rPr>
              <w:t># individuals trained</w:t>
            </w:r>
            <w:r>
              <w:rPr>
                <w:color w:val="105C84"/>
                <w:spacing w:val="-13"/>
                <w:sz w:val="18"/>
              </w:rPr>
              <w:t> </w:t>
            </w:r>
            <w:r>
              <w:rPr>
                <w:color w:val="105C84"/>
                <w:sz w:val="18"/>
              </w:rPr>
              <w:t>in</w:t>
            </w:r>
            <w:r>
              <w:rPr>
                <w:color w:val="105C84"/>
                <w:spacing w:val="-12"/>
                <w:sz w:val="18"/>
              </w:rPr>
              <w:t> </w:t>
            </w:r>
            <w:r>
              <w:rPr>
                <w:color w:val="105C84"/>
                <w:sz w:val="18"/>
              </w:rPr>
              <w:t>suicide-prevention skills</w:t>
            </w:r>
          </w:p>
          <w:p>
            <w:pPr>
              <w:pStyle w:val="TableParagraph"/>
              <w:numPr>
                <w:ilvl w:val="0"/>
                <w:numId w:val="69"/>
              </w:numPr>
              <w:tabs>
                <w:tab w:pos="1355" w:val="left" w:leader="none"/>
              </w:tabs>
              <w:spacing w:line="232" w:lineRule="auto" w:before="101" w:after="0"/>
              <w:ind w:left="1169" w:right="374" w:firstLine="0"/>
              <w:jc w:val="left"/>
              <w:rPr>
                <w:sz w:val="18"/>
              </w:rPr>
            </w:pPr>
            <w:r>
              <w:rPr>
                <w:color w:val="105C84"/>
                <w:sz w:val="18"/>
              </w:rPr>
              <w:t># of individuals trained to deliver </w:t>
            </w:r>
            <w:r>
              <w:rPr>
                <w:color w:val="105C84"/>
                <w:spacing w:val="-2"/>
                <w:sz w:val="18"/>
              </w:rPr>
              <w:t>suicide-</w:t>
            </w:r>
            <w:r>
              <w:rPr>
                <w:color w:val="105C84"/>
                <w:spacing w:val="-2"/>
                <w:sz w:val="18"/>
              </w:rPr>
              <w:t>prevention </w:t>
            </w:r>
            <w:r>
              <w:rPr>
                <w:color w:val="105C84"/>
                <w:sz w:val="18"/>
              </w:rPr>
              <w:t>trainings in the </w:t>
            </w:r>
            <w:r>
              <w:rPr>
                <w:color w:val="105C84"/>
                <w:spacing w:val="-2"/>
                <w:sz w:val="18"/>
              </w:rPr>
              <w:t>community</w:t>
            </w:r>
          </w:p>
          <w:p>
            <w:pPr>
              <w:pStyle w:val="TableParagraph"/>
              <w:numPr>
                <w:ilvl w:val="0"/>
                <w:numId w:val="69"/>
              </w:numPr>
              <w:tabs>
                <w:tab w:pos="1355" w:val="left" w:leader="none"/>
              </w:tabs>
              <w:spacing w:line="232" w:lineRule="auto" w:before="100" w:after="0"/>
              <w:ind w:left="1169" w:right="109" w:firstLine="0"/>
              <w:jc w:val="left"/>
              <w:rPr>
                <w:sz w:val="18"/>
              </w:rPr>
            </w:pPr>
            <w:r>
              <w:rPr>
                <w:color w:val="105C84"/>
                <w:sz w:val="18"/>
              </w:rPr>
              <w:t># Comprehensive </w:t>
            </w:r>
            <w:r>
              <w:rPr>
                <w:color w:val="105C84"/>
                <w:spacing w:val="-2"/>
                <w:sz w:val="18"/>
              </w:rPr>
              <w:t>Psychiatric </w:t>
            </w:r>
            <w:r>
              <w:rPr>
                <w:color w:val="105C84"/>
                <w:sz w:val="18"/>
              </w:rPr>
              <w:t>Emergency Program (CPEP) responses (if determined to be feasible</w:t>
            </w:r>
            <w:r>
              <w:rPr>
                <w:color w:val="105C84"/>
                <w:spacing w:val="-2"/>
                <w:sz w:val="18"/>
              </w:rPr>
              <w:t> </w:t>
            </w:r>
            <w:r>
              <w:rPr>
                <w:color w:val="105C84"/>
                <w:sz w:val="18"/>
              </w:rPr>
              <w:t>to</w:t>
            </w:r>
            <w:r>
              <w:rPr>
                <w:color w:val="105C84"/>
                <w:spacing w:val="-2"/>
                <w:sz w:val="18"/>
              </w:rPr>
              <w:t> </w:t>
            </w:r>
            <w:r>
              <w:rPr>
                <w:color w:val="105C84"/>
                <w:sz w:val="18"/>
              </w:rPr>
              <w:t>obtain</w:t>
            </w:r>
            <w:r>
              <w:rPr>
                <w:color w:val="105C84"/>
                <w:spacing w:val="-2"/>
                <w:sz w:val="18"/>
              </w:rPr>
              <w:t> </w:t>
            </w:r>
            <w:r>
              <w:rPr>
                <w:color w:val="105C84"/>
                <w:sz w:val="18"/>
              </w:rPr>
              <w:t>and </w:t>
            </w:r>
            <w:r>
              <w:rPr>
                <w:color w:val="105C84"/>
                <w:spacing w:val="-2"/>
                <w:sz w:val="18"/>
              </w:rPr>
              <w:t>track)</w:t>
            </w:r>
          </w:p>
          <w:p>
            <w:pPr>
              <w:pStyle w:val="TableParagraph"/>
              <w:numPr>
                <w:ilvl w:val="0"/>
                <w:numId w:val="69"/>
              </w:numPr>
              <w:tabs>
                <w:tab w:pos="1355" w:val="left" w:leader="none"/>
              </w:tabs>
              <w:spacing w:line="232" w:lineRule="auto" w:before="97" w:after="0"/>
              <w:ind w:left="1169" w:right="556" w:firstLine="0"/>
              <w:jc w:val="left"/>
              <w:rPr>
                <w:sz w:val="18"/>
              </w:rPr>
            </w:pPr>
            <w:r>
              <w:rPr>
                <w:color w:val="105C84"/>
                <w:sz w:val="18"/>
              </w:rPr>
              <w:t># Lifeline </w:t>
            </w:r>
            <w:r>
              <w:rPr>
                <w:color w:val="105C84"/>
                <w:spacing w:val="-2"/>
                <w:sz w:val="18"/>
              </w:rPr>
              <w:t>Counseling</w:t>
            </w:r>
            <w:r>
              <w:rPr>
                <w:color w:val="105C84"/>
                <w:spacing w:val="-11"/>
                <w:sz w:val="18"/>
              </w:rPr>
              <w:t> </w:t>
            </w:r>
            <w:r>
              <w:rPr>
                <w:color w:val="105C84"/>
                <w:spacing w:val="-2"/>
                <w:sz w:val="18"/>
              </w:rPr>
              <w:t>calls</w:t>
            </w:r>
          </w:p>
        </w:tc>
        <w:tc>
          <w:tcPr>
            <w:tcW w:w="2390" w:type="dxa"/>
            <w:vMerge w:val="restart"/>
            <w:tcBorders>
              <w:left w:val="single" w:sz="4" w:space="0" w:color="BCBEC0"/>
              <w:right w:val="single" w:sz="4" w:space="0" w:color="BCBEC0"/>
            </w:tcBorders>
          </w:tcPr>
          <w:p>
            <w:pPr>
              <w:pStyle w:val="TableParagraph"/>
              <w:spacing w:line="232" w:lineRule="auto" w:before="110"/>
              <w:ind w:left="91" w:right="87"/>
              <w:rPr>
                <w:sz w:val="18"/>
              </w:rPr>
            </w:pPr>
            <w:r>
              <w:rPr>
                <w:color w:val="105C84"/>
                <w:sz w:val="18"/>
              </w:rPr>
              <w:t>Suicide Prevention</w:t>
            </w:r>
            <w:r>
              <w:rPr>
                <w:color w:val="105C84"/>
                <w:spacing w:val="40"/>
                <w:sz w:val="18"/>
              </w:rPr>
              <w:t> </w:t>
            </w:r>
            <w:r>
              <w:rPr>
                <w:color w:val="105C84"/>
                <w:sz w:val="18"/>
              </w:rPr>
              <w:t>Coalition of Ontario </w:t>
            </w:r>
            <w:r>
              <w:rPr>
                <w:color w:val="105C84"/>
                <w:sz w:val="18"/>
              </w:rPr>
              <w:t>County</w:t>
            </w:r>
          </w:p>
          <w:p>
            <w:pPr>
              <w:pStyle w:val="TableParagraph"/>
              <w:spacing w:line="232" w:lineRule="auto" w:before="102"/>
              <w:ind w:left="91" w:right="385"/>
              <w:rPr>
                <w:sz w:val="18"/>
              </w:rPr>
            </w:pPr>
            <w:r>
              <w:rPr>
                <w:color w:val="105C84"/>
                <w:sz w:val="18"/>
              </w:rPr>
              <w:t>Ontario</w:t>
            </w:r>
            <w:r>
              <w:rPr>
                <w:color w:val="105C84"/>
                <w:spacing w:val="-9"/>
                <w:sz w:val="18"/>
              </w:rPr>
              <w:t> </w:t>
            </w:r>
            <w:r>
              <w:rPr>
                <w:color w:val="105C84"/>
                <w:sz w:val="18"/>
              </w:rPr>
              <w:t>County</w:t>
            </w:r>
            <w:r>
              <w:rPr>
                <w:color w:val="105C84"/>
                <w:spacing w:val="-9"/>
                <w:sz w:val="18"/>
              </w:rPr>
              <w:t> </w:t>
            </w:r>
            <w:r>
              <w:rPr>
                <w:color w:val="105C84"/>
                <w:sz w:val="18"/>
              </w:rPr>
              <w:t>Public </w:t>
            </w:r>
            <w:r>
              <w:rPr>
                <w:color w:val="105C84"/>
                <w:spacing w:val="-2"/>
                <w:sz w:val="18"/>
              </w:rPr>
              <w:t>Health</w:t>
            </w:r>
          </w:p>
          <w:p>
            <w:pPr>
              <w:pStyle w:val="TableParagraph"/>
              <w:spacing w:before="96"/>
              <w:ind w:left="91"/>
              <w:rPr>
                <w:sz w:val="18"/>
              </w:rPr>
            </w:pPr>
            <w:r>
              <w:rPr>
                <w:color w:val="105C84"/>
                <w:sz w:val="18"/>
              </w:rPr>
              <w:t>OC</w:t>
            </w:r>
            <w:r>
              <w:rPr>
                <w:color w:val="105C84"/>
                <w:spacing w:val="6"/>
                <w:sz w:val="18"/>
              </w:rPr>
              <w:t> </w:t>
            </w:r>
            <w:r>
              <w:rPr>
                <w:color w:val="105C84"/>
                <w:sz w:val="18"/>
              </w:rPr>
              <w:t>Mental</w:t>
            </w:r>
            <w:r>
              <w:rPr>
                <w:color w:val="105C84"/>
                <w:spacing w:val="7"/>
                <w:sz w:val="18"/>
              </w:rPr>
              <w:t> </w:t>
            </w:r>
            <w:r>
              <w:rPr>
                <w:color w:val="105C84"/>
                <w:spacing w:val="-2"/>
                <w:sz w:val="18"/>
              </w:rPr>
              <w:t>Health</w:t>
            </w:r>
          </w:p>
          <w:p>
            <w:pPr>
              <w:pStyle w:val="TableParagraph"/>
              <w:spacing w:line="232" w:lineRule="auto" w:before="102"/>
              <w:ind w:left="91" w:right="385"/>
              <w:rPr>
                <w:sz w:val="18"/>
              </w:rPr>
            </w:pPr>
            <w:r>
              <w:rPr>
                <w:color w:val="105C84"/>
                <w:spacing w:val="-4"/>
                <w:sz w:val="18"/>
              </w:rPr>
              <w:t>CBOs,</w:t>
            </w:r>
            <w:r>
              <w:rPr>
                <w:color w:val="105C84"/>
                <w:spacing w:val="-11"/>
                <w:sz w:val="18"/>
              </w:rPr>
              <w:t> </w:t>
            </w:r>
            <w:r>
              <w:rPr>
                <w:color w:val="105C84"/>
                <w:spacing w:val="-4"/>
                <w:sz w:val="18"/>
              </w:rPr>
              <w:t>human</w:t>
            </w:r>
            <w:r>
              <w:rPr>
                <w:color w:val="105C84"/>
                <w:spacing w:val="-8"/>
                <w:sz w:val="18"/>
              </w:rPr>
              <w:t> </w:t>
            </w:r>
            <w:r>
              <w:rPr>
                <w:color w:val="105C84"/>
                <w:spacing w:val="-4"/>
                <w:sz w:val="18"/>
              </w:rPr>
              <w:t>services, </w:t>
            </w:r>
            <w:r>
              <w:rPr>
                <w:color w:val="105C84"/>
                <w:sz w:val="18"/>
              </w:rPr>
              <w:t>residents, businesses, schools, colleges</w:t>
            </w:r>
          </w:p>
          <w:p>
            <w:pPr>
              <w:pStyle w:val="TableParagraph"/>
              <w:spacing w:line="352" w:lineRule="auto" w:before="96"/>
              <w:ind w:left="91" w:right="385"/>
              <w:rPr>
                <w:sz w:val="18"/>
              </w:rPr>
            </w:pPr>
            <w:r>
              <w:rPr>
                <w:color w:val="105C84"/>
                <w:spacing w:val="-4"/>
                <w:sz w:val="18"/>
              </w:rPr>
              <w:t>Healthcare</w:t>
            </w:r>
            <w:r>
              <w:rPr>
                <w:color w:val="105C84"/>
                <w:spacing w:val="-9"/>
                <w:sz w:val="18"/>
              </w:rPr>
              <w:t> </w:t>
            </w:r>
            <w:r>
              <w:rPr>
                <w:color w:val="105C84"/>
                <w:spacing w:val="-4"/>
                <w:sz w:val="18"/>
              </w:rPr>
              <w:t>systems </w:t>
            </w:r>
            <w:r>
              <w:rPr>
                <w:color w:val="105C84"/>
                <w:spacing w:val="-2"/>
                <w:sz w:val="18"/>
              </w:rPr>
              <w:t>RRH/CSHC</w:t>
            </w:r>
          </w:p>
          <w:p>
            <w:pPr>
              <w:pStyle w:val="TableParagraph"/>
              <w:spacing w:line="232" w:lineRule="auto" w:before="3"/>
              <w:ind w:left="91" w:right="385"/>
              <w:rPr>
                <w:sz w:val="18"/>
              </w:rPr>
            </w:pPr>
            <w:r>
              <w:rPr>
                <w:color w:val="105C84"/>
                <w:sz w:val="18"/>
              </w:rPr>
              <w:t>Ontario</w:t>
            </w:r>
            <w:r>
              <w:rPr>
                <w:color w:val="105C84"/>
                <w:spacing w:val="-15"/>
                <w:sz w:val="18"/>
              </w:rPr>
              <w:t> </w:t>
            </w:r>
            <w:r>
              <w:rPr>
                <w:color w:val="105C84"/>
                <w:sz w:val="18"/>
              </w:rPr>
              <w:t>County</w:t>
            </w:r>
            <w:r>
              <w:rPr>
                <w:color w:val="105C84"/>
                <w:spacing w:val="-12"/>
                <w:sz w:val="18"/>
              </w:rPr>
              <w:t> </w:t>
            </w:r>
            <w:r>
              <w:rPr>
                <w:color w:val="105C84"/>
                <w:sz w:val="18"/>
              </w:rPr>
              <w:t>Sheriff’s 911 center</w:t>
            </w:r>
          </w:p>
          <w:p>
            <w:pPr>
              <w:pStyle w:val="TableParagraph"/>
              <w:spacing w:line="352" w:lineRule="auto" w:before="97"/>
              <w:ind w:left="91" w:right="170"/>
              <w:rPr>
                <w:sz w:val="18"/>
              </w:rPr>
            </w:pPr>
            <w:r>
              <w:rPr>
                <w:color w:val="105C84"/>
                <w:sz w:val="18"/>
              </w:rPr>
              <w:t>YANA</w:t>
            </w:r>
            <w:r>
              <w:rPr>
                <w:color w:val="105C84"/>
                <w:spacing w:val="-15"/>
                <w:sz w:val="18"/>
              </w:rPr>
              <w:t> </w:t>
            </w:r>
            <w:r>
              <w:rPr>
                <w:color w:val="105C84"/>
                <w:sz w:val="18"/>
              </w:rPr>
              <w:t>(You</w:t>
            </w:r>
            <w:r>
              <w:rPr>
                <w:color w:val="105C84"/>
                <w:spacing w:val="-12"/>
                <w:sz w:val="18"/>
              </w:rPr>
              <w:t> </w:t>
            </w:r>
            <w:r>
              <w:rPr>
                <w:color w:val="105C84"/>
                <w:sz w:val="18"/>
              </w:rPr>
              <w:t>Are</w:t>
            </w:r>
            <w:r>
              <w:rPr>
                <w:color w:val="105C84"/>
                <w:spacing w:val="-13"/>
                <w:sz w:val="18"/>
              </w:rPr>
              <w:t> </w:t>
            </w:r>
            <w:r>
              <w:rPr>
                <w:color w:val="105C84"/>
                <w:sz w:val="18"/>
              </w:rPr>
              <w:t>Not</w:t>
            </w:r>
            <w:r>
              <w:rPr>
                <w:color w:val="105C84"/>
                <w:spacing w:val="-12"/>
                <w:sz w:val="18"/>
              </w:rPr>
              <w:t> </w:t>
            </w:r>
            <w:r>
              <w:rPr>
                <w:color w:val="105C84"/>
                <w:sz w:val="18"/>
              </w:rPr>
              <w:t>Alone) VA Lifeline</w:t>
            </w:r>
          </w:p>
          <w:p>
            <w:pPr>
              <w:pStyle w:val="TableParagraph"/>
              <w:spacing w:line="205" w:lineRule="exact"/>
              <w:ind w:left="91"/>
              <w:rPr>
                <w:sz w:val="18"/>
              </w:rPr>
            </w:pPr>
            <w:r>
              <w:rPr>
                <w:color w:val="105C84"/>
                <w:spacing w:val="-2"/>
                <w:sz w:val="18"/>
              </w:rPr>
              <w:t>211/Lifeline</w:t>
            </w:r>
          </w:p>
          <w:p>
            <w:pPr>
              <w:pStyle w:val="TableParagraph"/>
              <w:spacing w:before="96"/>
              <w:ind w:left="91"/>
              <w:rPr>
                <w:sz w:val="18"/>
              </w:rPr>
            </w:pPr>
            <w:r>
              <w:rPr>
                <w:color w:val="105C84"/>
                <w:sz w:val="18"/>
              </w:rPr>
              <w:t>National</w:t>
            </w:r>
            <w:r>
              <w:rPr>
                <w:color w:val="105C84"/>
                <w:spacing w:val="1"/>
                <w:sz w:val="18"/>
              </w:rPr>
              <w:t> </w:t>
            </w:r>
            <w:r>
              <w:rPr>
                <w:color w:val="105C84"/>
                <w:sz w:val="18"/>
              </w:rPr>
              <w:t>Suicide</w:t>
            </w:r>
            <w:r>
              <w:rPr>
                <w:color w:val="105C84"/>
                <w:spacing w:val="2"/>
                <w:sz w:val="18"/>
              </w:rPr>
              <w:t> </w:t>
            </w:r>
            <w:r>
              <w:rPr>
                <w:color w:val="105C84"/>
                <w:sz w:val="18"/>
              </w:rPr>
              <w:t>Hot</w:t>
            </w:r>
            <w:r>
              <w:rPr>
                <w:color w:val="105C84"/>
                <w:spacing w:val="2"/>
                <w:sz w:val="18"/>
              </w:rPr>
              <w:t> </w:t>
            </w:r>
            <w:r>
              <w:rPr>
                <w:color w:val="105C84"/>
                <w:spacing w:val="-4"/>
                <w:sz w:val="18"/>
              </w:rPr>
              <w:t>Line</w:t>
            </w:r>
          </w:p>
        </w:tc>
        <w:tc>
          <w:tcPr>
            <w:tcW w:w="3801" w:type="dxa"/>
            <w:tcBorders>
              <w:left w:val="single" w:sz="4" w:space="0" w:color="BCBEC0"/>
              <w:bottom w:val="nil"/>
              <w:right w:val="single" w:sz="4" w:space="0" w:color="BCBEC0"/>
            </w:tcBorders>
          </w:tcPr>
          <w:p>
            <w:pPr>
              <w:pStyle w:val="TableParagraph"/>
              <w:spacing w:line="232" w:lineRule="auto" w:before="110"/>
              <w:ind w:left="92" w:right="179"/>
              <w:rPr>
                <w:sz w:val="18"/>
              </w:rPr>
            </w:pPr>
            <w:r>
              <w:rPr>
                <w:color w:val="105C84"/>
                <w:sz w:val="18"/>
              </w:rPr>
              <w:t>Suicide Prevention Coalition of Ontario County: Facilitate provision of suicide prevention trainings for members &amp; the community</w:t>
            </w:r>
            <w:r>
              <w:rPr>
                <w:color w:val="105C84"/>
                <w:spacing w:val="-13"/>
                <w:sz w:val="18"/>
              </w:rPr>
              <w:t> </w:t>
            </w:r>
            <w:r>
              <w:rPr>
                <w:color w:val="105C84"/>
                <w:sz w:val="18"/>
              </w:rPr>
              <w:t>(ASSIST,</w:t>
            </w:r>
            <w:r>
              <w:rPr>
                <w:color w:val="105C84"/>
                <w:spacing w:val="-12"/>
                <w:sz w:val="18"/>
              </w:rPr>
              <w:t> </w:t>
            </w:r>
            <w:r>
              <w:rPr>
                <w:color w:val="105C84"/>
                <w:sz w:val="18"/>
              </w:rPr>
              <w:t>Safe</w:t>
            </w:r>
            <w:r>
              <w:rPr>
                <w:color w:val="105C84"/>
                <w:spacing w:val="-13"/>
                <w:sz w:val="18"/>
              </w:rPr>
              <w:t> </w:t>
            </w:r>
            <w:r>
              <w:rPr>
                <w:color w:val="105C84"/>
                <w:sz w:val="18"/>
              </w:rPr>
              <w:t>Talk,</w:t>
            </w:r>
            <w:r>
              <w:rPr>
                <w:color w:val="105C84"/>
                <w:spacing w:val="-12"/>
                <w:sz w:val="18"/>
              </w:rPr>
              <w:t> </w:t>
            </w:r>
            <w:r>
              <w:rPr>
                <w:color w:val="105C84"/>
                <w:sz w:val="18"/>
              </w:rPr>
              <w:t>Talk</w:t>
            </w:r>
            <w:r>
              <w:rPr>
                <w:color w:val="105C84"/>
                <w:spacing w:val="-13"/>
                <w:sz w:val="18"/>
              </w:rPr>
              <w:t> </w:t>
            </w:r>
            <w:r>
              <w:rPr>
                <w:color w:val="105C84"/>
                <w:sz w:val="18"/>
              </w:rPr>
              <w:t>Saves Lives).</w:t>
            </w:r>
            <w:r>
              <w:rPr>
                <w:color w:val="105C84"/>
                <w:spacing w:val="-15"/>
                <w:sz w:val="18"/>
              </w:rPr>
              <w:t> </w:t>
            </w:r>
            <w:r>
              <w:rPr>
                <w:color w:val="105C84"/>
                <w:sz w:val="18"/>
              </w:rPr>
              <w:t>Provide</w:t>
            </w:r>
            <w:r>
              <w:rPr>
                <w:color w:val="105C84"/>
                <w:spacing w:val="-12"/>
                <w:sz w:val="18"/>
              </w:rPr>
              <w:t> </w:t>
            </w:r>
            <w:r>
              <w:rPr>
                <w:color w:val="105C84"/>
                <w:sz w:val="18"/>
              </w:rPr>
              <w:t>post-vention</w:t>
            </w:r>
            <w:r>
              <w:rPr>
                <w:color w:val="105C84"/>
                <w:spacing w:val="-13"/>
                <w:sz w:val="18"/>
              </w:rPr>
              <w:t> </w:t>
            </w:r>
            <w:r>
              <w:rPr>
                <w:color w:val="105C84"/>
                <w:sz w:val="18"/>
              </w:rPr>
              <w:t>services/tools</w:t>
            </w:r>
            <w:r>
              <w:rPr>
                <w:color w:val="105C84"/>
                <w:spacing w:val="-12"/>
                <w:sz w:val="18"/>
              </w:rPr>
              <w:t> </w:t>
            </w:r>
            <w:r>
              <w:rPr>
                <w:color w:val="105C84"/>
                <w:sz w:val="18"/>
              </w:rPr>
              <w:t>in the community.</w:t>
            </w:r>
          </w:p>
        </w:tc>
        <w:tc>
          <w:tcPr>
            <w:tcW w:w="1895" w:type="dxa"/>
            <w:tcBorders>
              <w:left w:val="single" w:sz="4" w:space="0" w:color="BCBEC0"/>
              <w:bottom w:val="nil"/>
              <w:right w:val="single" w:sz="4" w:space="0" w:color="BCBEC0"/>
            </w:tcBorders>
          </w:tcPr>
          <w:p>
            <w:pPr>
              <w:pStyle w:val="TableParagraph"/>
              <w:spacing w:line="232" w:lineRule="auto" w:before="109"/>
              <w:ind w:left="92"/>
              <w:rPr>
                <w:sz w:val="18"/>
              </w:rPr>
            </w:pPr>
            <w:r>
              <w:rPr>
                <w:color w:val="105C84"/>
                <w:sz w:val="18"/>
              </w:rPr>
              <w:t>Suicide Prevention Coalition of </w:t>
            </w:r>
            <w:r>
              <w:rPr>
                <w:color w:val="105C84"/>
                <w:sz w:val="18"/>
              </w:rPr>
              <w:t>Ontario County: $25,000</w:t>
            </w:r>
          </w:p>
        </w:tc>
      </w:tr>
      <w:tr>
        <w:trPr>
          <w:trHeight w:val="1898" w:hRule="atLeast"/>
        </w:trPr>
        <w:tc>
          <w:tcPr>
            <w:tcW w:w="1353" w:type="dxa"/>
            <w:tcBorders>
              <w:top w:val="nil"/>
              <w:left w:val="single" w:sz="4" w:space="0" w:color="BCBEC0"/>
              <w:bottom w:val="nil"/>
              <w:right w:val="single" w:sz="4" w:space="0" w:color="BCBEC0"/>
            </w:tcBorders>
            <w:shd w:val="clear" w:color="auto" w:fill="E6E7E8"/>
          </w:tcPr>
          <w:p>
            <w:pPr>
              <w:pStyle w:val="TableParagraph"/>
              <w:rPr>
                <w:rFonts w:ascii="Times New Roman"/>
                <w:sz w:val="18"/>
              </w:rPr>
            </w:pPr>
          </w:p>
        </w:tc>
        <w:tc>
          <w:tcPr>
            <w:tcW w:w="1289" w:type="dxa"/>
            <w:tcBorders>
              <w:top w:val="nil"/>
              <w:left w:val="single" w:sz="4" w:space="0" w:color="BCBEC0"/>
              <w:bottom w:val="nil"/>
              <w:right w:val="single" w:sz="4" w:space="0" w:color="BCBEC0"/>
            </w:tcBorders>
          </w:tcPr>
          <w:p>
            <w:pPr>
              <w:pStyle w:val="TableParagraph"/>
              <w:rPr>
                <w:rFonts w:ascii="Times New Roman"/>
                <w:sz w:val="18"/>
              </w:rPr>
            </w:pPr>
          </w:p>
        </w:tc>
        <w:tc>
          <w:tcPr>
            <w:tcW w:w="1591" w:type="dxa"/>
            <w:tcBorders>
              <w:top w:val="nil"/>
              <w:left w:val="single" w:sz="4" w:space="0" w:color="BCBEC0"/>
              <w:bottom w:val="nil"/>
              <w:right w:val="single" w:sz="4" w:space="0" w:color="BCBEC0"/>
            </w:tcBorders>
          </w:tcPr>
          <w:p>
            <w:pPr>
              <w:pStyle w:val="TableParagraph"/>
              <w:rPr>
                <w:rFonts w:ascii="Times New Roman"/>
                <w:sz w:val="18"/>
              </w:rPr>
            </w:pPr>
          </w:p>
        </w:tc>
        <w:tc>
          <w:tcPr>
            <w:tcW w:w="2822" w:type="dxa"/>
            <w:tcBorders>
              <w:top w:val="nil"/>
              <w:left w:val="single" w:sz="4" w:space="0" w:color="BCBEC0"/>
              <w:bottom w:val="nil"/>
              <w:right w:val="single" w:sz="4" w:space="0" w:color="BCBEC0"/>
            </w:tcBorders>
          </w:tcPr>
          <w:p>
            <w:pPr>
              <w:pStyle w:val="TableParagraph"/>
              <w:spacing w:before="33"/>
              <w:ind w:left="90"/>
              <w:rPr>
                <w:sz w:val="18"/>
              </w:rPr>
            </w:pPr>
            <w:r>
              <w:rPr>
                <w:color w:val="105C84"/>
                <w:spacing w:val="-4"/>
                <w:sz w:val="18"/>
              </w:rPr>
              <w:t>Target:</w:t>
            </w:r>
            <w:r>
              <w:rPr>
                <w:color w:val="105C84"/>
                <w:spacing w:val="-1"/>
                <w:sz w:val="18"/>
              </w:rPr>
              <w:t> </w:t>
            </w:r>
            <w:r>
              <w:rPr>
                <w:color w:val="105C84"/>
                <w:spacing w:val="-4"/>
                <w:sz w:val="18"/>
              </w:rPr>
              <w:t>9.1%</w:t>
            </w:r>
          </w:p>
          <w:p>
            <w:pPr>
              <w:pStyle w:val="TableParagraph"/>
              <w:spacing w:line="352" w:lineRule="auto" w:before="96"/>
              <w:ind w:left="90" w:right="771"/>
              <w:rPr>
                <w:sz w:val="18"/>
              </w:rPr>
            </w:pPr>
            <w:r>
              <w:rPr>
                <w:color w:val="105C84"/>
                <w:spacing w:val="-6"/>
                <w:sz w:val="18"/>
              </w:rPr>
              <w:t>Baseline:</w:t>
            </w:r>
            <w:r>
              <w:rPr>
                <w:color w:val="105C84"/>
                <w:spacing w:val="-7"/>
                <w:sz w:val="18"/>
              </w:rPr>
              <w:t> </w:t>
            </w:r>
            <w:r>
              <w:rPr>
                <w:color w:val="105C84"/>
                <w:spacing w:val="-6"/>
                <w:sz w:val="18"/>
              </w:rPr>
              <w:t>10.1%</w:t>
            </w:r>
            <w:r>
              <w:rPr>
                <w:color w:val="105C84"/>
                <w:spacing w:val="18"/>
                <w:sz w:val="18"/>
              </w:rPr>
              <w:t> </w:t>
            </w:r>
            <w:r>
              <w:rPr>
                <w:color w:val="105C84"/>
                <w:spacing w:val="-6"/>
                <w:sz w:val="18"/>
              </w:rPr>
              <w:t>(2017) </w:t>
            </w:r>
            <w:r>
              <w:rPr>
                <w:color w:val="105C84"/>
                <w:sz w:val="18"/>
              </w:rPr>
              <w:t>Data Source: YRBS Data Level: State</w:t>
            </w:r>
          </w:p>
          <w:p>
            <w:pPr>
              <w:pStyle w:val="TableParagraph"/>
              <w:spacing w:line="232" w:lineRule="auto" w:before="2"/>
              <w:ind w:left="90" w:right="175"/>
              <w:rPr>
                <w:sz w:val="18"/>
              </w:rPr>
            </w:pPr>
            <w:r>
              <w:rPr>
                <w:color w:val="105C84"/>
                <w:sz w:val="18"/>
              </w:rPr>
              <w:t>2.5.2 Reduce the age-adjusted suicide</w:t>
            </w:r>
            <w:r>
              <w:rPr>
                <w:color w:val="105C84"/>
                <w:spacing w:val="-7"/>
                <w:sz w:val="18"/>
              </w:rPr>
              <w:t> </w:t>
            </w:r>
            <w:r>
              <w:rPr>
                <w:color w:val="105C84"/>
                <w:sz w:val="18"/>
              </w:rPr>
              <w:t>mortality</w:t>
            </w:r>
            <w:r>
              <w:rPr>
                <w:color w:val="105C84"/>
                <w:spacing w:val="-7"/>
                <w:sz w:val="18"/>
              </w:rPr>
              <w:t> </w:t>
            </w:r>
            <w:r>
              <w:rPr>
                <w:color w:val="105C84"/>
                <w:sz w:val="18"/>
              </w:rPr>
              <w:t>rate</w:t>
            </w:r>
            <w:r>
              <w:rPr>
                <w:color w:val="105C84"/>
                <w:spacing w:val="-7"/>
                <w:sz w:val="18"/>
              </w:rPr>
              <w:t> </w:t>
            </w:r>
            <w:r>
              <w:rPr>
                <w:color w:val="105C84"/>
                <w:sz w:val="18"/>
              </w:rPr>
              <w:t>by</w:t>
            </w:r>
            <w:r>
              <w:rPr>
                <w:color w:val="105C84"/>
                <w:spacing w:val="-7"/>
                <w:sz w:val="18"/>
              </w:rPr>
              <w:t> </w:t>
            </w:r>
            <w:r>
              <w:rPr>
                <w:color w:val="105C84"/>
                <w:sz w:val="18"/>
              </w:rPr>
              <w:t>10%</w:t>
            </w:r>
            <w:r>
              <w:rPr>
                <w:color w:val="105C84"/>
                <w:spacing w:val="-7"/>
                <w:sz w:val="18"/>
              </w:rPr>
              <w:t> </w:t>
            </w:r>
            <w:r>
              <w:rPr>
                <w:color w:val="105C84"/>
                <w:sz w:val="18"/>
              </w:rPr>
              <w:t>to</w:t>
            </w:r>
            <w:r>
              <w:rPr>
                <w:color w:val="105C84"/>
                <w:sz w:val="18"/>
              </w:rPr>
              <w:t> 7 per 100,000.</w:t>
            </w:r>
          </w:p>
        </w:tc>
        <w:tc>
          <w:tcPr>
            <w:tcW w:w="1267" w:type="dxa"/>
            <w:vMerge/>
            <w:tcBorders>
              <w:top w:val="nil"/>
              <w:left w:val="single" w:sz="4" w:space="0" w:color="BCBEC0"/>
              <w:right w:val="single" w:sz="4" w:space="0" w:color="BCBEC0"/>
            </w:tcBorders>
          </w:tcPr>
          <w:p>
            <w:pPr>
              <w:rPr>
                <w:sz w:val="2"/>
                <w:szCs w:val="2"/>
              </w:rPr>
            </w:pPr>
          </w:p>
        </w:tc>
        <w:tc>
          <w:tcPr>
            <w:tcW w:w="2873" w:type="dxa"/>
            <w:vMerge/>
            <w:tcBorders>
              <w:top w:val="nil"/>
              <w:left w:val="single" w:sz="4" w:space="0" w:color="BCBEC0"/>
              <w:right w:val="nil"/>
            </w:tcBorders>
          </w:tcPr>
          <w:p>
            <w:pPr>
              <w:rPr>
                <w:sz w:val="2"/>
                <w:szCs w:val="2"/>
              </w:rPr>
            </w:pPr>
          </w:p>
        </w:tc>
        <w:tc>
          <w:tcPr>
            <w:tcW w:w="3030" w:type="dxa"/>
            <w:vMerge/>
            <w:tcBorders>
              <w:top w:val="nil"/>
              <w:left w:val="nil"/>
              <w:right w:val="single" w:sz="4" w:space="0" w:color="BCBEC0"/>
            </w:tcBorders>
          </w:tcPr>
          <w:p>
            <w:pPr>
              <w:rPr>
                <w:sz w:val="2"/>
                <w:szCs w:val="2"/>
              </w:rPr>
            </w:pPr>
          </w:p>
        </w:tc>
        <w:tc>
          <w:tcPr>
            <w:tcW w:w="2390" w:type="dxa"/>
            <w:vMerge/>
            <w:tcBorders>
              <w:top w:val="nil"/>
              <w:left w:val="single" w:sz="4" w:space="0" w:color="BCBEC0"/>
              <w:right w:val="single" w:sz="4" w:space="0" w:color="BCBEC0"/>
            </w:tcBorders>
          </w:tcPr>
          <w:p>
            <w:pPr>
              <w:rPr>
                <w:sz w:val="2"/>
                <w:szCs w:val="2"/>
              </w:rPr>
            </w:pPr>
          </w:p>
        </w:tc>
        <w:tc>
          <w:tcPr>
            <w:tcW w:w="3801" w:type="dxa"/>
            <w:tcBorders>
              <w:top w:val="nil"/>
              <w:left w:val="single" w:sz="4" w:space="0" w:color="BCBEC0"/>
              <w:bottom w:val="nil"/>
              <w:right w:val="single" w:sz="4" w:space="0" w:color="BCBEC0"/>
            </w:tcBorders>
          </w:tcPr>
          <w:p>
            <w:pPr>
              <w:pStyle w:val="TableParagraph"/>
              <w:spacing w:line="232" w:lineRule="auto" w:before="37"/>
              <w:ind w:left="92"/>
              <w:rPr>
                <w:sz w:val="18"/>
              </w:rPr>
            </w:pPr>
            <w:r>
              <w:rPr>
                <w:color w:val="105C84"/>
                <w:sz w:val="18"/>
              </w:rPr>
              <w:t>Ontario County Public Health: Provide expertise</w:t>
            </w:r>
            <w:r>
              <w:rPr>
                <w:color w:val="105C84"/>
                <w:spacing w:val="-5"/>
                <w:sz w:val="18"/>
              </w:rPr>
              <w:t> </w:t>
            </w:r>
            <w:r>
              <w:rPr>
                <w:color w:val="105C84"/>
                <w:sz w:val="18"/>
              </w:rPr>
              <w:t>to</w:t>
            </w:r>
            <w:r>
              <w:rPr>
                <w:color w:val="105C84"/>
                <w:spacing w:val="-5"/>
                <w:sz w:val="18"/>
              </w:rPr>
              <w:t> </w:t>
            </w:r>
            <w:r>
              <w:rPr>
                <w:color w:val="105C84"/>
                <w:sz w:val="18"/>
              </w:rPr>
              <w:t>Suicide</w:t>
            </w:r>
            <w:r>
              <w:rPr>
                <w:color w:val="105C84"/>
                <w:spacing w:val="-5"/>
                <w:sz w:val="18"/>
              </w:rPr>
              <w:t> </w:t>
            </w:r>
            <w:r>
              <w:rPr>
                <w:color w:val="105C84"/>
                <w:sz w:val="18"/>
              </w:rPr>
              <w:t>Prevention</w:t>
            </w:r>
            <w:r>
              <w:rPr>
                <w:color w:val="105C84"/>
                <w:spacing w:val="-5"/>
                <w:sz w:val="18"/>
              </w:rPr>
              <w:t> </w:t>
            </w:r>
            <w:r>
              <w:rPr>
                <w:color w:val="105C84"/>
                <w:sz w:val="18"/>
              </w:rPr>
              <w:t>Coalition</w:t>
            </w:r>
          </w:p>
          <w:p>
            <w:pPr>
              <w:pStyle w:val="TableParagraph"/>
              <w:spacing w:line="232" w:lineRule="auto" w:before="101"/>
              <w:ind w:left="92" w:right="179"/>
              <w:rPr>
                <w:sz w:val="18"/>
              </w:rPr>
            </w:pPr>
            <w:r>
              <w:rPr>
                <w:color w:val="105C84"/>
                <w:sz w:val="18"/>
              </w:rPr>
              <w:t>OC</w:t>
            </w:r>
            <w:r>
              <w:rPr>
                <w:color w:val="105C84"/>
                <w:spacing w:val="-3"/>
                <w:sz w:val="18"/>
              </w:rPr>
              <w:t> </w:t>
            </w:r>
            <w:r>
              <w:rPr>
                <w:color w:val="105C84"/>
                <w:sz w:val="18"/>
              </w:rPr>
              <w:t>Mental</w:t>
            </w:r>
            <w:r>
              <w:rPr>
                <w:color w:val="105C84"/>
                <w:spacing w:val="-3"/>
                <w:sz w:val="18"/>
              </w:rPr>
              <w:t> </w:t>
            </w:r>
            <w:r>
              <w:rPr>
                <w:color w:val="105C84"/>
                <w:sz w:val="18"/>
              </w:rPr>
              <w:t>Health:</w:t>
            </w:r>
            <w:r>
              <w:rPr>
                <w:color w:val="105C84"/>
                <w:spacing w:val="-3"/>
                <w:sz w:val="18"/>
              </w:rPr>
              <w:t> </w:t>
            </w:r>
            <w:r>
              <w:rPr>
                <w:color w:val="105C84"/>
                <w:sz w:val="18"/>
              </w:rPr>
              <w:t>Provide</w:t>
            </w:r>
            <w:r>
              <w:rPr>
                <w:color w:val="105C84"/>
                <w:spacing w:val="-3"/>
                <w:sz w:val="18"/>
              </w:rPr>
              <w:t> </w:t>
            </w:r>
            <w:r>
              <w:rPr>
                <w:color w:val="105C84"/>
                <w:sz w:val="18"/>
              </w:rPr>
              <w:t>expertise</w:t>
            </w:r>
            <w:r>
              <w:rPr>
                <w:color w:val="105C84"/>
                <w:spacing w:val="-3"/>
                <w:sz w:val="18"/>
              </w:rPr>
              <w:t> </w:t>
            </w:r>
            <w:r>
              <w:rPr>
                <w:color w:val="105C84"/>
                <w:sz w:val="18"/>
              </w:rPr>
              <w:t>to Suicide Prevention Coalition</w:t>
            </w:r>
          </w:p>
          <w:p>
            <w:pPr>
              <w:pStyle w:val="TableParagraph"/>
              <w:spacing w:line="232" w:lineRule="auto" w:before="102"/>
              <w:ind w:left="92"/>
              <w:rPr>
                <w:sz w:val="18"/>
              </w:rPr>
            </w:pPr>
            <w:r>
              <w:rPr>
                <w:color w:val="105C84"/>
                <w:sz w:val="18"/>
              </w:rPr>
              <w:t>Participate</w:t>
            </w:r>
            <w:r>
              <w:rPr>
                <w:color w:val="105C84"/>
                <w:spacing w:val="-10"/>
                <w:sz w:val="18"/>
              </w:rPr>
              <w:t> </w:t>
            </w:r>
            <w:r>
              <w:rPr>
                <w:color w:val="105C84"/>
                <w:sz w:val="18"/>
              </w:rPr>
              <w:t>in</w:t>
            </w:r>
            <w:r>
              <w:rPr>
                <w:color w:val="105C84"/>
                <w:spacing w:val="-10"/>
                <w:sz w:val="18"/>
              </w:rPr>
              <w:t> </w:t>
            </w:r>
            <w:r>
              <w:rPr>
                <w:color w:val="105C84"/>
                <w:sz w:val="18"/>
              </w:rPr>
              <w:t>Suicide</w:t>
            </w:r>
            <w:r>
              <w:rPr>
                <w:color w:val="105C84"/>
                <w:spacing w:val="-10"/>
                <w:sz w:val="18"/>
              </w:rPr>
              <w:t> </w:t>
            </w:r>
            <w:r>
              <w:rPr>
                <w:color w:val="105C84"/>
                <w:sz w:val="18"/>
              </w:rPr>
              <w:t>Prevention</w:t>
            </w:r>
            <w:r>
              <w:rPr>
                <w:color w:val="105C84"/>
                <w:spacing w:val="-10"/>
                <w:sz w:val="18"/>
              </w:rPr>
              <w:t> </w:t>
            </w:r>
            <w:r>
              <w:rPr>
                <w:color w:val="105C84"/>
                <w:sz w:val="18"/>
              </w:rPr>
              <w:t>Coalition; become trained in suicide prevention strategies; provide venues for suicide prevention trainings</w:t>
            </w:r>
          </w:p>
        </w:tc>
        <w:tc>
          <w:tcPr>
            <w:tcW w:w="1895" w:type="dxa"/>
            <w:tcBorders>
              <w:top w:val="nil"/>
              <w:left w:val="single" w:sz="4" w:space="0" w:color="BCBEC0"/>
              <w:bottom w:val="nil"/>
              <w:right w:val="single" w:sz="4" w:space="0" w:color="BCBEC0"/>
            </w:tcBorders>
          </w:tcPr>
          <w:p>
            <w:pPr>
              <w:pStyle w:val="TableParagraph"/>
              <w:rPr>
                <w:rFonts w:ascii="Times New Roman"/>
                <w:sz w:val="18"/>
              </w:rPr>
            </w:pPr>
          </w:p>
        </w:tc>
      </w:tr>
      <w:tr>
        <w:trPr>
          <w:trHeight w:val="1587" w:hRule="atLeast"/>
        </w:trPr>
        <w:tc>
          <w:tcPr>
            <w:tcW w:w="1353" w:type="dxa"/>
            <w:tcBorders>
              <w:top w:val="nil"/>
              <w:left w:val="single" w:sz="4" w:space="0" w:color="BCBEC0"/>
              <w:bottom w:val="nil"/>
              <w:right w:val="single" w:sz="4" w:space="0" w:color="BCBEC0"/>
            </w:tcBorders>
            <w:shd w:val="clear" w:color="auto" w:fill="E6E7E8"/>
          </w:tcPr>
          <w:p>
            <w:pPr>
              <w:pStyle w:val="TableParagraph"/>
              <w:rPr>
                <w:rFonts w:ascii="Times New Roman"/>
                <w:sz w:val="18"/>
              </w:rPr>
            </w:pPr>
          </w:p>
        </w:tc>
        <w:tc>
          <w:tcPr>
            <w:tcW w:w="1289" w:type="dxa"/>
            <w:tcBorders>
              <w:top w:val="nil"/>
              <w:left w:val="single" w:sz="4" w:space="0" w:color="BCBEC0"/>
              <w:bottom w:val="nil"/>
              <w:right w:val="single" w:sz="4" w:space="0" w:color="BCBEC0"/>
            </w:tcBorders>
          </w:tcPr>
          <w:p>
            <w:pPr>
              <w:pStyle w:val="TableParagraph"/>
              <w:rPr>
                <w:rFonts w:ascii="Times New Roman"/>
                <w:sz w:val="18"/>
              </w:rPr>
            </w:pPr>
          </w:p>
        </w:tc>
        <w:tc>
          <w:tcPr>
            <w:tcW w:w="1591" w:type="dxa"/>
            <w:tcBorders>
              <w:top w:val="nil"/>
              <w:left w:val="single" w:sz="4" w:space="0" w:color="BCBEC0"/>
              <w:bottom w:val="nil"/>
              <w:right w:val="single" w:sz="4" w:space="0" w:color="BCBEC0"/>
            </w:tcBorders>
          </w:tcPr>
          <w:p>
            <w:pPr>
              <w:pStyle w:val="TableParagraph"/>
              <w:rPr>
                <w:rFonts w:ascii="Times New Roman"/>
                <w:sz w:val="18"/>
              </w:rPr>
            </w:pPr>
          </w:p>
        </w:tc>
        <w:tc>
          <w:tcPr>
            <w:tcW w:w="2822" w:type="dxa"/>
            <w:tcBorders>
              <w:top w:val="nil"/>
              <w:left w:val="single" w:sz="4" w:space="0" w:color="BCBEC0"/>
              <w:bottom w:val="nil"/>
              <w:right w:val="single" w:sz="4" w:space="0" w:color="BCBEC0"/>
            </w:tcBorders>
          </w:tcPr>
          <w:p>
            <w:pPr>
              <w:pStyle w:val="TableParagraph"/>
              <w:spacing w:before="36"/>
              <w:ind w:left="90"/>
              <w:rPr>
                <w:sz w:val="18"/>
              </w:rPr>
            </w:pPr>
            <w:r>
              <w:rPr>
                <w:color w:val="105C84"/>
                <w:sz w:val="18"/>
              </w:rPr>
              <w:t>Target:</w:t>
            </w:r>
            <w:r>
              <w:rPr>
                <w:color w:val="105C84"/>
                <w:spacing w:val="-12"/>
                <w:sz w:val="18"/>
              </w:rPr>
              <w:t> </w:t>
            </w:r>
            <w:r>
              <w:rPr>
                <w:color w:val="105C84"/>
                <w:sz w:val="18"/>
              </w:rPr>
              <w:t>7</w:t>
            </w:r>
            <w:r>
              <w:rPr>
                <w:color w:val="105C84"/>
                <w:spacing w:val="-12"/>
                <w:sz w:val="18"/>
              </w:rPr>
              <w:t> </w:t>
            </w:r>
            <w:r>
              <w:rPr>
                <w:color w:val="105C84"/>
                <w:sz w:val="18"/>
              </w:rPr>
              <w:t>per</w:t>
            </w:r>
            <w:r>
              <w:rPr>
                <w:color w:val="105C84"/>
                <w:spacing w:val="-12"/>
                <w:sz w:val="18"/>
              </w:rPr>
              <w:t> </w:t>
            </w:r>
            <w:r>
              <w:rPr>
                <w:color w:val="105C84"/>
                <w:spacing w:val="-2"/>
                <w:sz w:val="18"/>
              </w:rPr>
              <w:t>100,000</w:t>
            </w:r>
          </w:p>
          <w:p>
            <w:pPr>
              <w:pStyle w:val="TableParagraph"/>
              <w:spacing w:line="352" w:lineRule="auto" w:before="96"/>
              <w:ind w:left="90" w:right="228"/>
              <w:rPr>
                <w:sz w:val="18"/>
              </w:rPr>
            </w:pPr>
            <w:r>
              <w:rPr>
                <w:color w:val="105C84"/>
                <w:spacing w:val="-4"/>
                <w:sz w:val="18"/>
              </w:rPr>
              <w:t>Baseline:</w:t>
            </w:r>
            <w:r>
              <w:rPr>
                <w:color w:val="105C84"/>
                <w:spacing w:val="-11"/>
                <w:sz w:val="18"/>
              </w:rPr>
              <w:t> </w:t>
            </w:r>
            <w:r>
              <w:rPr>
                <w:color w:val="105C84"/>
                <w:spacing w:val="-4"/>
                <w:sz w:val="18"/>
              </w:rPr>
              <w:t>7.8</w:t>
            </w:r>
            <w:r>
              <w:rPr>
                <w:color w:val="105C84"/>
                <w:spacing w:val="-8"/>
                <w:sz w:val="18"/>
              </w:rPr>
              <w:t> </w:t>
            </w:r>
            <w:r>
              <w:rPr>
                <w:color w:val="105C84"/>
                <w:spacing w:val="-4"/>
                <w:sz w:val="18"/>
              </w:rPr>
              <w:t>per</w:t>
            </w:r>
            <w:r>
              <w:rPr>
                <w:color w:val="105C84"/>
                <w:spacing w:val="-9"/>
                <w:sz w:val="18"/>
              </w:rPr>
              <w:t> </w:t>
            </w:r>
            <w:r>
              <w:rPr>
                <w:color w:val="105C84"/>
                <w:spacing w:val="-4"/>
                <w:sz w:val="18"/>
              </w:rPr>
              <w:t>100,000</w:t>
            </w:r>
            <w:r>
              <w:rPr>
                <w:color w:val="105C84"/>
                <w:spacing w:val="-8"/>
                <w:sz w:val="18"/>
              </w:rPr>
              <w:t> </w:t>
            </w:r>
            <w:r>
              <w:rPr>
                <w:color w:val="105C84"/>
                <w:spacing w:val="-4"/>
                <w:sz w:val="18"/>
              </w:rPr>
              <w:t>(2015) </w:t>
            </w:r>
            <w:r>
              <w:rPr>
                <w:color w:val="105C84"/>
                <w:sz w:val="18"/>
              </w:rPr>
              <w:t>Data Source: Vital Statistics Data Level: County</w:t>
            </w:r>
          </w:p>
        </w:tc>
        <w:tc>
          <w:tcPr>
            <w:tcW w:w="1267" w:type="dxa"/>
            <w:vMerge/>
            <w:tcBorders>
              <w:top w:val="nil"/>
              <w:left w:val="single" w:sz="4" w:space="0" w:color="BCBEC0"/>
              <w:right w:val="single" w:sz="4" w:space="0" w:color="BCBEC0"/>
            </w:tcBorders>
          </w:tcPr>
          <w:p>
            <w:pPr>
              <w:rPr>
                <w:sz w:val="2"/>
                <w:szCs w:val="2"/>
              </w:rPr>
            </w:pPr>
          </w:p>
        </w:tc>
        <w:tc>
          <w:tcPr>
            <w:tcW w:w="2873" w:type="dxa"/>
            <w:vMerge/>
            <w:tcBorders>
              <w:top w:val="nil"/>
              <w:left w:val="single" w:sz="4" w:space="0" w:color="BCBEC0"/>
              <w:right w:val="nil"/>
            </w:tcBorders>
          </w:tcPr>
          <w:p>
            <w:pPr>
              <w:rPr>
                <w:sz w:val="2"/>
                <w:szCs w:val="2"/>
              </w:rPr>
            </w:pPr>
          </w:p>
        </w:tc>
        <w:tc>
          <w:tcPr>
            <w:tcW w:w="3030" w:type="dxa"/>
            <w:vMerge/>
            <w:tcBorders>
              <w:top w:val="nil"/>
              <w:left w:val="nil"/>
              <w:right w:val="single" w:sz="4" w:space="0" w:color="BCBEC0"/>
            </w:tcBorders>
          </w:tcPr>
          <w:p>
            <w:pPr>
              <w:rPr>
                <w:sz w:val="2"/>
                <w:szCs w:val="2"/>
              </w:rPr>
            </w:pPr>
          </w:p>
        </w:tc>
        <w:tc>
          <w:tcPr>
            <w:tcW w:w="2390" w:type="dxa"/>
            <w:vMerge/>
            <w:tcBorders>
              <w:top w:val="nil"/>
              <w:left w:val="single" w:sz="4" w:space="0" w:color="BCBEC0"/>
              <w:right w:val="single" w:sz="4" w:space="0" w:color="BCBEC0"/>
            </w:tcBorders>
          </w:tcPr>
          <w:p>
            <w:pPr>
              <w:rPr>
                <w:sz w:val="2"/>
                <w:szCs w:val="2"/>
              </w:rPr>
            </w:pPr>
          </w:p>
        </w:tc>
        <w:tc>
          <w:tcPr>
            <w:tcW w:w="3801" w:type="dxa"/>
            <w:tcBorders>
              <w:top w:val="nil"/>
              <w:left w:val="single" w:sz="4" w:space="0" w:color="BCBEC0"/>
              <w:bottom w:val="nil"/>
              <w:right w:val="single" w:sz="4" w:space="0" w:color="BCBEC0"/>
            </w:tcBorders>
          </w:tcPr>
          <w:p>
            <w:pPr>
              <w:pStyle w:val="TableParagraph"/>
              <w:spacing w:line="232" w:lineRule="auto" w:before="33"/>
              <w:ind w:left="92" w:right="179"/>
              <w:rPr>
                <w:sz w:val="18"/>
              </w:rPr>
            </w:pPr>
            <w:r>
              <w:rPr>
                <w:color w:val="105C84"/>
                <w:sz w:val="18"/>
              </w:rPr>
              <w:t>Healthcare</w:t>
            </w:r>
            <w:r>
              <w:rPr>
                <w:color w:val="105C84"/>
                <w:spacing w:val="-6"/>
                <w:sz w:val="18"/>
              </w:rPr>
              <w:t> </w:t>
            </w:r>
            <w:r>
              <w:rPr>
                <w:color w:val="105C84"/>
                <w:sz w:val="18"/>
              </w:rPr>
              <w:t>systems:</w:t>
            </w:r>
            <w:r>
              <w:rPr>
                <w:color w:val="105C84"/>
                <w:spacing w:val="-6"/>
                <w:sz w:val="18"/>
              </w:rPr>
              <w:t> </w:t>
            </w:r>
            <w:r>
              <w:rPr>
                <w:color w:val="105C84"/>
                <w:sz w:val="18"/>
              </w:rPr>
              <w:t>Screen</w:t>
            </w:r>
            <w:r>
              <w:rPr>
                <w:color w:val="105C84"/>
                <w:spacing w:val="-6"/>
                <w:sz w:val="18"/>
              </w:rPr>
              <w:t> </w:t>
            </w:r>
            <w:r>
              <w:rPr>
                <w:color w:val="105C84"/>
                <w:sz w:val="18"/>
              </w:rPr>
              <w:t>patients</w:t>
            </w:r>
            <w:r>
              <w:rPr>
                <w:color w:val="105C84"/>
                <w:spacing w:val="-6"/>
                <w:sz w:val="18"/>
              </w:rPr>
              <w:t> </w:t>
            </w:r>
            <w:r>
              <w:rPr>
                <w:color w:val="105C84"/>
                <w:sz w:val="18"/>
              </w:rPr>
              <w:t>for suicidal ideation and provide or refer </w:t>
            </w:r>
            <w:r>
              <w:rPr>
                <w:color w:val="105C84"/>
                <w:sz w:val="18"/>
              </w:rPr>
              <w:t>for mental health care</w:t>
            </w:r>
          </w:p>
          <w:p>
            <w:pPr>
              <w:pStyle w:val="TableParagraph"/>
              <w:spacing w:line="203" w:lineRule="exact" w:before="96"/>
              <w:ind w:left="92"/>
              <w:rPr>
                <w:sz w:val="18"/>
              </w:rPr>
            </w:pPr>
            <w:r>
              <w:rPr>
                <w:color w:val="105C84"/>
                <w:spacing w:val="-2"/>
                <w:sz w:val="18"/>
              </w:rPr>
              <w:t>RRH/CSHC:</w:t>
            </w:r>
          </w:p>
          <w:p>
            <w:pPr>
              <w:pStyle w:val="TableParagraph"/>
              <w:spacing w:line="232" w:lineRule="auto" w:before="2"/>
              <w:ind w:left="92" w:right="417"/>
              <w:rPr>
                <w:sz w:val="18"/>
              </w:rPr>
            </w:pPr>
            <w:r>
              <w:rPr>
                <w:color w:val="105C84"/>
                <w:sz w:val="18"/>
              </w:rPr>
              <w:t>1. Provide CPEP teams to respond to emergency</w:t>
            </w:r>
            <w:r>
              <w:rPr>
                <w:color w:val="105C84"/>
                <w:spacing w:val="-11"/>
                <w:sz w:val="18"/>
              </w:rPr>
              <w:t> </w:t>
            </w:r>
            <w:r>
              <w:rPr>
                <w:color w:val="105C84"/>
                <w:sz w:val="18"/>
              </w:rPr>
              <w:t>mental</w:t>
            </w:r>
            <w:r>
              <w:rPr>
                <w:color w:val="105C84"/>
                <w:spacing w:val="-11"/>
                <w:sz w:val="18"/>
              </w:rPr>
              <w:t> </w:t>
            </w:r>
            <w:r>
              <w:rPr>
                <w:color w:val="105C84"/>
                <w:sz w:val="18"/>
              </w:rPr>
              <w:t>health</w:t>
            </w:r>
            <w:r>
              <w:rPr>
                <w:color w:val="105C84"/>
                <w:spacing w:val="-11"/>
                <w:sz w:val="18"/>
              </w:rPr>
              <w:t> </w:t>
            </w:r>
            <w:r>
              <w:rPr>
                <w:color w:val="105C84"/>
                <w:sz w:val="18"/>
              </w:rPr>
              <w:t>situations</w:t>
            </w:r>
            <w:r>
              <w:rPr>
                <w:color w:val="105C84"/>
                <w:spacing w:val="-11"/>
                <w:sz w:val="18"/>
              </w:rPr>
              <w:t> </w:t>
            </w:r>
            <w:r>
              <w:rPr>
                <w:color w:val="105C84"/>
                <w:sz w:val="18"/>
              </w:rPr>
              <w:t>24/7.</w:t>
            </w:r>
            <w:r>
              <w:rPr>
                <w:color w:val="105C84"/>
                <w:sz w:val="18"/>
              </w:rPr>
              <w:t> </w:t>
            </w:r>
            <w:r>
              <w:rPr>
                <w:color w:val="105C84"/>
                <w:spacing w:val="-2"/>
                <w:sz w:val="18"/>
              </w:rPr>
              <w:t>Estimate-150/month.</w:t>
            </w:r>
          </w:p>
        </w:tc>
        <w:tc>
          <w:tcPr>
            <w:tcW w:w="1895" w:type="dxa"/>
            <w:tcBorders>
              <w:top w:val="nil"/>
              <w:left w:val="single" w:sz="4" w:space="0" w:color="BCBEC0"/>
              <w:bottom w:val="nil"/>
              <w:right w:val="single" w:sz="4" w:space="0" w:color="BCBEC0"/>
            </w:tcBorders>
          </w:tcPr>
          <w:p>
            <w:pPr>
              <w:pStyle w:val="TableParagraph"/>
              <w:rPr>
                <w:rFonts w:ascii="Times New Roman"/>
                <w:sz w:val="18"/>
              </w:rPr>
            </w:pPr>
          </w:p>
        </w:tc>
      </w:tr>
      <w:tr>
        <w:trPr>
          <w:trHeight w:val="488" w:hRule="atLeast"/>
        </w:trPr>
        <w:tc>
          <w:tcPr>
            <w:tcW w:w="1353" w:type="dxa"/>
            <w:tcBorders>
              <w:top w:val="nil"/>
              <w:left w:val="single" w:sz="4" w:space="0" w:color="BCBEC0"/>
              <w:bottom w:val="nil"/>
              <w:right w:val="single" w:sz="4" w:space="0" w:color="BCBEC0"/>
            </w:tcBorders>
            <w:shd w:val="clear" w:color="auto" w:fill="E6E7E8"/>
          </w:tcPr>
          <w:p>
            <w:pPr>
              <w:pStyle w:val="TableParagraph"/>
              <w:rPr>
                <w:rFonts w:ascii="Times New Roman"/>
                <w:sz w:val="18"/>
              </w:rPr>
            </w:pPr>
          </w:p>
        </w:tc>
        <w:tc>
          <w:tcPr>
            <w:tcW w:w="1289" w:type="dxa"/>
            <w:tcBorders>
              <w:top w:val="nil"/>
              <w:left w:val="single" w:sz="4" w:space="0" w:color="BCBEC0"/>
              <w:bottom w:val="nil"/>
              <w:right w:val="single" w:sz="4" w:space="0" w:color="BCBEC0"/>
            </w:tcBorders>
          </w:tcPr>
          <w:p>
            <w:pPr>
              <w:pStyle w:val="TableParagraph"/>
              <w:rPr>
                <w:rFonts w:ascii="Times New Roman"/>
                <w:sz w:val="18"/>
              </w:rPr>
            </w:pPr>
          </w:p>
        </w:tc>
        <w:tc>
          <w:tcPr>
            <w:tcW w:w="1591" w:type="dxa"/>
            <w:tcBorders>
              <w:top w:val="nil"/>
              <w:left w:val="single" w:sz="4" w:space="0" w:color="BCBEC0"/>
              <w:bottom w:val="nil"/>
              <w:right w:val="single" w:sz="4" w:space="0" w:color="BCBEC0"/>
            </w:tcBorders>
          </w:tcPr>
          <w:p>
            <w:pPr>
              <w:pStyle w:val="TableParagraph"/>
              <w:rPr>
                <w:rFonts w:ascii="Times New Roman"/>
                <w:sz w:val="18"/>
              </w:rPr>
            </w:pPr>
          </w:p>
        </w:tc>
        <w:tc>
          <w:tcPr>
            <w:tcW w:w="2822" w:type="dxa"/>
            <w:tcBorders>
              <w:top w:val="nil"/>
              <w:left w:val="single" w:sz="4" w:space="0" w:color="BCBEC0"/>
              <w:bottom w:val="nil"/>
              <w:right w:val="single" w:sz="4" w:space="0" w:color="BCBEC0"/>
            </w:tcBorders>
          </w:tcPr>
          <w:p>
            <w:pPr>
              <w:pStyle w:val="TableParagraph"/>
              <w:rPr>
                <w:rFonts w:ascii="Times New Roman"/>
                <w:sz w:val="18"/>
              </w:rPr>
            </w:pPr>
          </w:p>
        </w:tc>
        <w:tc>
          <w:tcPr>
            <w:tcW w:w="1267" w:type="dxa"/>
            <w:vMerge/>
            <w:tcBorders>
              <w:top w:val="nil"/>
              <w:left w:val="single" w:sz="4" w:space="0" w:color="BCBEC0"/>
              <w:right w:val="single" w:sz="4" w:space="0" w:color="BCBEC0"/>
            </w:tcBorders>
          </w:tcPr>
          <w:p>
            <w:pPr>
              <w:rPr>
                <w:sz w:val="2"/>
                <w:szCs w:val="2"/>
              </w:rPr>
            </w:pPr>
          </w:p>
        </w:tc>
        <w:tc>
          <w:tcPr>
            <w:tcW w:w="2873" w:type="dxa"/>
            <w:vMerge/>
            <w:tcBorders>
              <w:top w:val="nil"/>
              <w:left w:val="single" w:sz="4" w:space="0" w:color="BCBEC0"/>
              <w:right w:val="nil"/>
            </w:tcBorders>
          </w:tcPr>
          <w:p>
            <w:pPr>
              <w:rPr>
                <w:sz w:val="2"/>
                <w:szCs w:val="2"/>
              </w:rPr>
            </w:pPr>
          </w:p>
        </w:tc>
        <w:tc>
          <w:tcPr>
            <w:tcW w:w="3030" w:type="dxa"/>
            <w:vMerge/>
            <w:tcBorders>
              <w:top w:val="nil"/>
              <w:left w:val="nil"/>
              <w:right w:val="single" w:sz="4" w:space="0" w:color="BCBEC0"/>
            </w:tcBorders>
          </w:tcPr>
          <w:p>
            <w:pPr>
              <w:rPr>
                <w:sz w:val="2"/>
                <w:szCs w:val="2"/>
              </w:rPr>
            </w:pPr>
          </w:p>
        </w:tc>
        <w:tc>
          <w:tcPr>
            <w:tcW w:w="2390" w:type="dxa"/>
            <w:vMerge/>
            <w:tcBorders>
              <w:top w:val="nil"/>
              <w:left w:val="single" w:sz="4" w:space="0" w:color="BCBEC0"/>
              <w:right w:val="single" w:sz="4" w:space="0" w:color="BCBEC0"/>
            </w:tcBorders>
          </w:tcPr>
          <w:p>
            <w:pPr>
              <w:rPr>
                <w:sz w:val="2"/>
                <w:szCs w:val="2"/>
              </w:rPr>
            </w:pPr>
          </w:p>
        </w:tc>
        <w:tc>
          <w:tcPr>
            <w:tcW w:w="3801" w:type="dxa"/>
            <w:tcBorders>
              <w:top w:val="nil"/>
              <w:left w:val="single" w:sz="4" w:space="0" w:color="BCBEC0"/>
              <w:bottom w:val="nil"/>
              <w:right w:val="single" w:sz="4" w:space="0" w:color="BCBEC0"/>
            </w:tcBorders>
          </w:tcPr>
          <w:p>
            <w:pPr>
              <w:pStyle w:val="TableParagraph"/>
              <w:spacing w:line="232" w:lineRule="auto" w:before="37"/>
              <w:ind w:left="92"/>
              <w:rPr>
                <w:sz w:val="18"/>
              </w:rPr>
            </w:pPr>
            <w:r>
              <w:rPr>
                <w:color w:val="105C84"/>
                <w:sz w:val="18"/>
              </w:rPr>
              <w:t>2. Determine feasibility of providing data </w:t>
            </w:r>
            <w:r>
              <w:rPr>
                <w:color w:val="105C84"/>
                <w:sz w:val="18"/>
              </w:rPr>
              <w:t>to</w:t>
            </w:r>
            <w:r>
              <w:rPr>
                <w:color w:val="105C84"/>
                <w:sz w:val="18"/>
              </w:rPr>
              <w:t> </w:t>
            </w:r>
            <w:r>
              <w:rPr>
                <w:color w:val="105C84"/>
                <w:spacing w:val="-2"/>
                <w:sz w:val="18"/>
              </w:rPr>
              <w:t>OCHC.</w:t>
            </w:r>
          </w:p>
        </w:tc>
        <w:tc>
          <w:tcPr>
            <w:tcW w:w="1895" w:type="dxa"/>
            <w:tcBorders>
              <w:top w:val="nil"/>
              <w:left w:val="single" w:sz="4" w:space="0" w:color="BCBEC0"/>
              <w:bottom w:val="nil"/>
              <w:right w:val="single" w:sz="4" w:space="0" w:color="BCBEC0"/>
            </w:tcBorders>
          </w:tcPr>
          <w:p>
            <w:pPr>
              <w:pStyle w:val="TableParagraph"/>
              <w:rPr>
                <w:rFonts w:ascii="Times New Roman"/>
                <w:sz w:val="18"/>
              </w:rPr>
            </w:pPr>
          </w:p>
        </w:tc>
      </w:tr>
      <w:tr>
        <w:trPr>
          <w:trHeight w:val="488" w:hRule="atLeast"/>
        </w:trPr>
        <w:tc>
          <w:tcPr>
            <w:tcW w:w="1353" w:type="dxa"/>
            <w:tcBorders>
              <w:top w:val="nil"/>
              <w:left w:val="single" w:sz="4" w:space="0" w:color="BCBEC0"/>
              <w:bottom w:val="nil"/>
              <w:right w:val="single" w:sz="4" w:space="0" w:color="BCBEC0"/>
            </w:tcBorders>
            <w:shd w:val="clear" w:color="auto" w:fill="E6E7E8"/>
          </w:tcPr>
          <w:p>
            <w:pPr>
              <w:pStyle w:val="TableParagraph"/>
              <w:rPr>
                <w:rFonts w:ascii="Times New Roman"/>
                <w:sz w:val="18"/>
              </w:rPr>
            </w:pPr>
          </w:p>
        </w:tc>
        <w:tc>
          <w:tcPr>
            <w:tcW w:w="1289" w:type="dxa"/>
            <w:tcBorders>
              <w:top w:val="nil"/>
              <w:left w:val="single" w:sz="4" w:space="0" w:color="BCBEC0"/>
              <w:bottom w:val="nil"/>
              <w:right w:val="single" w:sz="4" w:space="0" w:color="BCBEC0"/>
            </w:tcBorders>
          </w:tcPr>
          <w:p>
            <w:pPr>
              <w:pStyle w:val="TableParagraph"/>
              <w:rPr>
                <w:rFonts w:ascii="Times New Roman"/>
                <w:sz w:val="18"/>
              </w:rPr>
            </w:pPr>
          </w:p>
        </w:tc>
        <w:tc>
          <w:tcPr>
            <w:tcW w:w="1591" w:type="dxa"/>
            <w:tcBorders>
              <w:top w:val="nil"/>
              <w:left w:val="single" w:sz="4" w:space="0" w:color="BCBEC0"/>
              <w:bottom w:val="nil"/>
              <w:right w:val="single" w:sz="4" w:space="0" w:color="BCBEC0"/>
            </w:tcBorders>
          </w:tcPr>
          <w:p>
            <w:pPr>
              <w:pStyle w:val="TableParagraph"/>
              <w:rPr>
                <w:rFonts w:ascii="Times New Roman"/>
                <w:sz w:val="18"/>
              </w:rPr>
            </w:pPr>
          </w:p>
        </w:tc>
        <w:tc>
          <w:tcPr>
            <w:tcW w:w="2822" w:type="dxa"/>
            <w:tcBorders>
              <w:top w:val="nil"/>
              <w:left w:val="single" w:sz="4" w:space="0" w:color="BCBEC0"/>
              <w:bottom w:val="nil"/>
              <w:right w:val="single" w:sz="4" w:space="0" w:color="BCBEC0"/>
            </w:tcBorders>
          </w:tcPr>
          <w:p>
            <w:pPr>
              <w:pStyle w:val="TableParagraph"/>
              <w:rPr>
                <w:rFonts w:ascii="Times New Roman"/>
                <w:sz w:val="18"/>
              </w:rPr>
            </w:pPr>
          </w:p>
        </w:tc>
        <w:tc>
          <w:tcPr>
            <w:tcW w:w="1267" w:type="dxa"/>
            <w:vMerge/>
            <w:tcBorders>
              <w:top w:val="nil"/>
              <w:left w:val="single" w:sz="4" w:space="0" w:color="BCBEC0"/>
              <w:right w:val="single" w:sz="4" w:space="0" w:color="BCBEC0"/>
            </w:tcBorders>
          </w:tcPr>
          <w:p>
            <w:pPr>
              <w:rPr>
                <w:sz w:val="2"/>
                <w:szCs w:val="2"/>
              </w:rPr>
            </w:pPr>
          </w:p>
        </w:tc>
        <w:tc>
          <w:tcPr>
            <w:tcW w:w="2873" w:type="dxa"/>
            <w:vMerge/>
            <w:tcBorders>
              <w:top w:val="nil"/>
              <w:left w:val="single" w:sz="4" w:space="0" w:color="BCBEC0"/>
              <w:right w:val="nil"/>
            </w:tcBorders>
          </w:tcPr>
          <w:p>
            <w:pPr>
              <w:rPr>
                <w:sz w:val="2"/>
                <w:szCs w:val="2"/>
              </w:rPr>
            </w:pPr>
          </w:p>
        </w:tc>
        <w:tc>
          <w:tcPr>
            <w:tcW w:w="3030" w:type="dxa"/>
            <w:vMerge/>
            <w:tcBorders>
              <w:top w:val="nil"/>
              <w:left w:val="nil"/>
              <w:right w:val="single" w:sz="4" w:space="0" w:color="BCBEC0"/>
            </w:tcBorders>
          </w:tcPr>
          <w:p>
            <w:pPr>
              <w:rPr>
                <w:sz w:val="2"/>
                <w:szCs w:val="2"/>
              </w:rPr>
            </w:pPr>
          </w:p>
        </w:tc>
        <w:tc>
          <w:tcPr>
            <w:tcW w:w="2390" w:type="dxa"/>
            <w:vMerge/>
            <w:tcBorders>
              <w:top w:val="nil"/>
              <w:left w:val="single" w:sz="4" w:space="0" w:color="BCBEC0"/>
              <w:right w:val="single" w:sz="4" w:space="0" w:color="BCBEC0"/>
            </w:tcBorders>
          </w:tcPr>
          <w:p>
            <w:pPr>
              <w:rPr>
                <w:sz w:val="2"/>
                <w:szCs w:val="2"/>
              </w:rPr>
            </w:pPr>
          </w:p>
        </w:tc>
        <w:tc>
          <w:tcPr>
            <w:tcW w:w="3801" w:type="dxa"/>
            <w:tcBorders>
              <w:top w:val="nil"/>
              <w:left w:val="single" w:sz="4" w:space="0" w:color="BCBEC0"/>
              <w:bottom w:val="nil"/>
              <w:right w:val="single" w:sz="4" w:space="0" w:color="BCBEC0"/>
            </w:tcBorders>
          </w:tcPr>
          <w:p>
            <w:pPr>
              <w:pStyle w:val="TableParagraph"/>
              <w:spacing w:line="232" w:lineRule="auto" w:before="37"/>
              <w:ind w:left="92" w:right="173"/>
              <w:rPr>
                <w:sz w:val="18"/>
              </w:rPr>
            </w:pPr>
            <w:r>
              <w:rPr>
                <w:color w:val="105C84"/>
                <w:sz w:val="18"/>
              </w:rPr>
              <w:t>911</w:t>
            </w:r>
            <w:r>
              <w:rPr>
                <w:color w:val="105C84"/>
                <w:spacing w:val="-13"/>
                <w:sz w:val="18"/>
              </w:rPr>
              <w:t> </w:t>
            </w:r>
            <w:r>
              <w:rPr>
                <w:color w:val="105C84"/>
                <w:sz w:val="18"/>
              </w:rPr>
              <w:t>center:</w:t>
            </w:r>
            <w:r>
              <w:rPr>
                <w:color w:val="105C84"/>
                <w:spacing w:val="-12"/>
                <w:sz w:val="18"/>
              </w:rPr>
              <w:t> </w:t>
            </w:r>
            <w:r>
              <w:rPr>
                <w:color w:val="105C84"/>
                <w:sz w:val="18"/>
              </w:rPr>
              <w:t>Partner</w:t>
            </w:r>
            <w:r>
              <w:rPr>
                <w:color w:val="105C84"/>
                <w:spacing w:val="-13"/>
                <w:sz w:val="18"/>
              </w:rPr>
              <w:t> </w:t>
            </w:r>
            <w:r>
              <w:rPr>
                <w:color w:val="105C84"/>
                <w:sz w:val="18"/>
              </w:rPr>
              <w:t>with</w:t>
            </w:r>
            <w:r>
              <w:rPr>
                <w:color w:val="105C84"/>
                <w:spacing w:val="-12"/>
                <w:sz w:val="18"/>
              </w:rPr>
              <w:t> </w:t>
            </w:r>
            <w:r>
              <w:rPr>
                <w:color w:val="105C84"/>
                <w:sz w:val="18"/>
              </w:rPr>
              <w:t>CPEP</w:t>
            </w:r>
            <w:r>
              <w:rPr>
                <w:color w:val="105C84"/>
                <w:spacing w:val="-13"/>
                <w:sz w:val="18"/>
              </w:rPr>
              <w:t> </w:t>
            </w:r>
            <w:r>
              <w:rPr>
                <w:color w:val="105C84"/>
                <w:sz w:val="18"/>
              </w:rPr>
              <w:t>in</w:t>
            </w:r>
            <w:r>
              <w:rPr>
                <w:color w:val="105C84"/>
                <w:spacing w:val="-13"/>
                <w:sz w:val="18"/>
              </w:rPr>
              <w:t> </w:t>
            </w:r>
            <w:r>
              <w:rPr>
                <w:color w:val="105C84"/>
                <w:sz w:val="18"/>
              </w:rPr>
              <w:t>responding</w:t>
            </w:r>
            <w:r>
              <w:rPr>
                <w:color w:val="105C84"/>
                <w:sz w:val="18"/>
              </w:rPr>
              <w:t> to calls for mental health emergencies</w:t>
            </w:r>
          </w:p>
        </w:tc>
        <w:tc>
          <w:tcPr>
            <w:tcW w:w="1895" w:type="dxa"/>
            <w:tcBorders>
              <w:top w:val="nil"/>
              <w:left w:val="single" w:sz="4" w:space="0" w:color="BCBEC0"/>
              <w:bottom w:val="nil"/>
              <w:right w:val="single" w:sz="4" w:space="0" w:color="BCBEC0"/>
            </w:tcBorders>
          </w:tcPr>
          <w:p>
            <w:pPr>
              <w:pStyle w:val="TableParagraph"/>
              <w:rPr>
                <w:rFonts w:ascii="Times New Roman"/>
                <w:sz w:val="18"/>
              </w:rPr>
            </w:pPr>
          </w:p>
        </w:tc>
      </w:tr>
      <w:tr>
        <w:trPr>
          <w:trHeight w:val="288" w:hRule="atLeast"/>
        </w:trPr>
        <w:tc>
          <w:tcPr>
            <w:tcW w:w="1353" w:type="dxa"/>
            <w:tcBorders>
              <w:top w:val="nil"/>
              <w:left w:val="single" w:sz="4" w:space="0" w:color="BCBEC0"/>
              <w:bottom w:val="nil"/>
              <w:right w:val="single" w:sz="4" w:space="0" w:color="BCBEC0"/>
            </w:tcBorders>
            <w:shd w:val="clear" w:color="auto" w:fill="E6E7E8"/>
          </w:tcPr>
          <w:p>
            <w:pPr>
              <w:pStyle w:val="TableParagraph"/>
              <w:rPr>
                <w:rFonts w:ascii="Times New Roman"/>
                <w:sz w:val="18"/>
              </w:rPr>
            </w:pPr>
          </w:p>
        </w:tc>
        <w:tc>
          <w:tcPr>
            <w:tcW w:w="1289" w:type="dxa"/>
            <w:tcBorders>
              <w:top w:val="nil"/>
              <w:left w:val="single" w:sz="4" w:space="0" w:color="BCBEC0"/>
              <w:bottom w:val="nil"/>
              <w:right w:val="single" w:sz="4" w:space="0" w:color="BCBEC0"/>
            </w:tcBorders>
          </w:tcPr>
          <w:p>
            <w:pPr>
              <w:pStyle w:val="TableParagraph"/>
              <w:rPr>
                <w:rFonts w:ascii="Times New Roman"/>
                <w:sz w:val="18"/>
              </w:rPr>
            </w:pPr>
          </w:p>
        </w:tc>
        <w:tc>
          <w:tcPr>
            <w:tcW w:w="1591" w:type="dxa"/>
            <w:tcBorders>
              <w:top w:val="nil"/>
              <w:left w:val="single" w:sz="4" w:space="0" w:color="BCBEC0"/>
              <w:bottom w:val="nil"/>
              <w:right w:val="single" w:sz="4" w:space="0" w:color="BCBEC0"/>
            </w:tcBorders>
          </w:tcPr>
          <w:p>
            <w:pPr>
              <w:pStyle w:val="TableParagraph"/>
              <w:rPr>
                <w:rFonts w:ascii="Times New Roman"/>
                <w:sz w:val="18"/>
              </w:rPr>
            </w:pPr>
          </w:p>
        </w:tc>
        <w:tc>
          <w:tcPr>
            <w:tcW w:w="2822" w:type="dxa"/>
            <w:tcBorders>
              <w:top w:val="nil"/>
              <w:left w:val="single" w:sz="4" w:space="0" w:color="BCBEC0"/>
              <w:bottom w:val="nil"/>
              <w:right w:val="single" w:sz="4" w:space="0" w:color="BCBEC0"/>
            </w:tcBorders>
          </w:tcPr>
          <w:p>
            <w:pPr>
              <w:pStyle w:val="TableParagraph"/>
              <w:rPr>
                <w:rFonts w:ascii="Times New Roman"/>
                <w:sz w:val="18"/>
              </w:rPr>
            </w:pPr>
          </w:p>
        </w:tc>
        <w:tc>
          <w:tcPr>
            <w:tcW w:w="1267" w:type="dxa"/>
            <w:vMerge/>
            <w:tcBorders>
              <w:top w:val="nil"/>
              <w:left w:val="single" w:sz="4" w:space="0" w:color="BCBEC0"/>
              <w:right w:val="single" w:sz="4" w:space="0" w:color="BCBEC0"/>
            </w:tcBorders>
          </w:tcPr>
          <w:p>
            <w:pPr>
              <w:rPr>
                <w:sz w:val="2"/>
                <w:szCs w:val="2"/>
              </w:rPr>
            </w:pPr>
          </w:p>
        </w:tc>
        <w:tc>
          <w:tcPr>
            <w:tcW w:w="2873" w:type="dxa"/>
            <w:vMerge/>
            <w:tcBorders>
              <w:top w:val="nil"/>
              <w:left w:val="single" w:sz="4" w:space="0" w:color="BCBEC0"/>
              <w:right w:val="nil"/>
            </w:tcBorders>
          </w:tcPr>
          <w:p>
            <w:pPr>
              <w:rPr>
                <w:sz w:val="2"/>
                <w:szCs w:val="2"/>
              </w:rPr>
            </w:pPr>
          </w:p>
        </w:tc>
        <w:tc>
          <w:tcPr>
            <w:tcW w:w="3030" w:type="dxa"/>
            <w:vMerge/>
            <w:tcBorders>
              <w:top w:val="nil"/>
              <w:left w:val="nil"/>
              <w:right w:val="single" w:sz="4" w:space="0" w:color="BCBEC0"/>
            </w:tcBorders>
          </w:tcPr>
          <w:p>
            <w:pPr>
              <w:rPr>
                <w:sz w:val="2"/>
                <w:szCs w:val="2"/>
              </w:rPr>
            </w:pPr>
          </w:p>
        </w:tc>
        <w:tc>
          <w:tcPr>
            <w:tcW w:w="2390" w:type="dxa"/>
            <w:vMerge/>
            <w:tcBorders>
              <w:top w:val="nil"/>
              <w:left w:val="single" w:sz="4" w:space="0" w:color="BCBEC0"/>
              <w:right w:val="single" w:sz="4" w:space="0" w:color="BCBEC0"/>
            </w:tcBorders>
          </w:tcPr>
          <w:p>
            <w:pPr>
              <w:rPr>
                <w:sz w:val="2"/>
                <w:szCs w:val="2"/>
              </w:rPr>
            </w:pPr>
          </w:p>
        </w:tc>
        <w:tc>
          <w:tcPr>
            <w:tcW w:w="3801" w:type="dxa"/>
            <w:tcBorders>
              <w:top w:val="nil"/>
              <w:left w:val="single" w:sz="4" w:space="0" w:color="BCBEC0"/>
              <w:bottom w:val="nil"/>
              <w:right w:val="single" w:sz="4" w:space="0" w:color="BCBEC0"/>
            </w:tcBorders>
          </w:tcPr>
          <w:p>
            <w:pPr>
              <w:pStyle w:val="TableParagraph"/>
              <w:spacing w:before="32"/>
              <w:ind w:left="92"/>
              <w:rPr>
                <w:sz w:val="18"/>
              </w:rPr>
            </w:pPr>
            <w:r>
              <w:rPr>
                <w:color w:val="105C84"/>
                <w:sz w:val="18"/>
              </w:rPr>
              <w:t>YANA:</w:t>
            </w:r>
            <w:r>
              <w:rPr>
                <w:color w:val="105C84"/>
                <w:spacing w:val="-7"/>
                <w:sz w:val="18"/>
              </w:rPr>
              <w:t> </w:t>
            </w:r>
            <w:r>
              <w:rPr>
                <w:color w:val="105C84"/>
                <w:sz w:val="18"/>
              </w:rPr>
              <w:t>Provide</w:t>
            </w:r>
            <w:r>
              <w:rPr>
                <w:color w:val="105C84"/>
                <w:spacing w:val="-6"/>
                <w:sz w:val="18"/>
              </w:rPr>
              <w:t> </w:t>
            </w:r>
            <w:r>
              <w:rPr>
                <w:color w:val="105C84"/>
                <w:sz w:val="18"/>
              </w:rPr>
              <w:t>support</w:t>
            </w:r>
            <w:r>
              <w:rPr>
                <w:color w:val="105C84"/>
                <w:spacing w:val="-6"/>
                <w:sz w:val="18"/>
              </w:rPr>
              <w:t> </w:t>
            </w:r>
            <w:r>
              <w:rPr>
                <w:color w:val="105C84"/>
                <w:sz w:val="18"/>
              </w:rPr>
              <w:t>to</w:t>
            </w:r>
            <w:r>
              <w:rPr>
                <w:color w:val="105C84"/>
                <w:spacing w:val="-6"/>
                <w:sz w:val="18"/>
              </w:rPr>
              <w:t> </w:t>
            </w:r>
            <w:r>
              <w:rPr>
                <w:color w:val="105C84"/>
                <w:sz w:val="18"/>
              </w:rPr>
              <w:t>LGBTQ</w:t>
            </w:r>
            <w:r>
              <w:rPr>
                <w:color w:val="105C84"/>
                <w:spacing w:val="-7"/>
                <w:sz w:val="18"/>
              </w:rPr>
              <w:t> </w:t>
            </w:r>
            <w:r>
              <w:rPr>
                <w:color w:val="105C84"/>
                <w:spacing w:val="-2"/>
                <w:sz w:val="18"/>
              </w:rPr>
              <w:t>youth</w:t>
            </w:r>
          </w:p>
        </w:tc>
        <w:tc>
          <w:tcPr>
            <w:tcW w:w="1895" w:type="dxa"/>
            <w:tcBorders>
              <w:top w:val="nil"/>
              <w:left w:val="single" w:sz="4" w:space="0" w:color="BCBEC0"/>
              <w:bottom w:val="nil"/>
              <w:right w:val="single" w:sz="4" w:space="0" w:color="BCBEC0"/>
            </w:tcBorders>
          </w:tcPr>
          <w:p>
            <w:pPr>
              <w:pStyle w:val="TableParagraph"/>
              <w:rPr>
                <w:rFonts w:ascii="Times New Roman"/>
                <w:sz w:val="18"/>
              </w:rPr>
            </w:pPr>
          </w:p>
        </w:tc>
      </w:tr>
      <w:tr>
        <w:trPr>
          <w:trHeight w:val="288" w:hRule="atLeast"/>
        </w:trPr>
        <w:tc>
          <w:tcPr>
            <w:tcW w:w="1353" w:type="dxa"/>
            <w:tcBorders>
              <w:top w:val="nil"/>
              <w:left w:val="single" w:sz="4" w:space="0" w:color="BCBEC0"/>
              <w:bottom w:val="nil"/>
              <w:right w:val="single" w:sz="4" w:space="0" w:color="BCBEC0"/>
            </w:tcBorders>
            <w:shd w:val="clear" w:color="auto" w:fill="E6E7E8"/>
          </w:tcPr>
          <w:p>
            <w:pPr>
              <w:pStyle w:val="TableParagraph"/>
              <w:rPr>
                <w:rFonts w:ascii="Times New Roman"/>
                <w:sz w:val="18"/>
              </w:rPr>
            </w:pPr>
          </w:p>
        </w:tc>
        <w:tc>
          <w:tcPr>
            <w:tcW w:w="1289" w:type="dxa"/>
            <w:tcBorders>
              <w:top w:val="nil"/>
              <w:left w:val="single" w:sz="4" w:space="0" w:color="BCBEC0"/>
              <w:bottom w:val="nil"/>
              <w:right w:val="single" w:sz="4" w:space="0" w:color="BCBEC0"/>
            </w:tcBorders>
          </w:tcPr>
          <w:p>
            <w:pPr>
              <w:pStyle w:val="TableParagraph"/>
              <w:rPr>
                <w:rFonts w:ascii="Times New Roman"/>
                <w:sz w:val="18"/>
              </w:rPr>
            </w:pPr>
          </w:p>
        </w:tc>
        <w:tc>
          <w:tcPr>
            <w:tcW w:w="1591" w:type="dxa"/>
            <w:tcBorders>
              <w:top w:val="nil"/>
              <w:left w:val="single" w:sz="4" w:space="0" w:color="BCBEC0"/>
              <w:bottom w:val="nil"/>
              <w:right w:val="single" w:sz="4" w:space="0" w:color="BCBEC0"/>
            </w:tcBorders>
          </w:tcPr>
          <w:p>
            <w:pPr>
              <w:pStyle w:val="TableParagraph"/>
              <w:rPr>
                <w:rFonts w:ascii="Times New Roman"/>
                <w:sz w:val="18"/>
              </w:rPr>
            </w:pPr>
          </w:p>
        </w:tc>
        <w:tc>
          <w:tcPr>
            <w:tcW w:w="2822" w:type="dxa"/>
            <w:tcBorders>
              <w:top w:val="nil"/>
              <w:left w:val="single" w:sz="4" w:space="0" w:color="BCBEC0"/>
              <w:bottom w:val="nil"/>
              <w:right w:val="single" w:sz="4" w:space="0" w:color="BCBEC0"/>
            </w:tcBorders>
          </w:tcPr>
          <w:p>
            <w:pPr>
              <w:pStyle w:val="TableParagraph"/>
              <w:rPr>
                <w:rFonts w:ascii="Times New Roman"/>
                <w:sz w:val="18"/>
              </w:rPr>
            </w:pPr>
          </w:p>
        </w:tc>
        <w:tc>
          <w:tcPr>
            <w:tcW w:w="1267" w:type="dxa"/>
            <w:vMerge/>
            <w:tcBorders>
              <w:top w:val="nil"/>
              <w:left w:val="single" w:sz="4" w:space="0" w:color="BCBEC0"/>
              <w:right w:val="single" w:sz="4" w:space="0" w:color="BCBEC0"/>
            </w:tcBorders>
          </w:tcPr>
          <w:p>
            <w:pPr>
              <w:rPr>
                <w:sz w:val="2"/>
                <w:szCs w:val="2"/>
              </w:rPr>
            </w:pPr>
          </w:p>
        </w:tc>
        <w:tc>
          <w:tcPr>
            <w:tcW w:w="2873" w:type="dxa"/>
            <w:vMerge/>
            <w:tcBorders>
              <w:top w:val="nil"/>
              <w:left w:val="single" w:sz="4" w:space="0" w:color="BCBEC0"/>
              <w:right w:val="nil"/>
            </w:tcBorders>
          </w:tcPr>
          <w:p>
            <w:pPr>
              <w:rPr>
                <w:sz w:val="2"/>
                <w:szCs w:val="2"/>
              </w:rPr>
            </w:pPr>
          </w:p>
        </w:tc>
        <w:tc>
          <w:tcPr>
            <w:tcW w:w="3030" w:type="dxa"/>
            <w:vMerge/>
            <w:tcBorders>
              <w:top w:val="nil"/>
              <w:left w:val="nil"/>
              <w:right w:val="single" w:sz="4" w:space="0" w:color="BCBEC0"/>
            </w:tcBorders>
          </w:tcPr>
          <w:p>
            <w:pPr>
              <w:rPr>
                <w:sz w:val="2"/>
                <w:szCs w:val="2"/>
              </w:rPr>
            </w:pPr>
          </w:p>
        </w:tc>
        <w:tc>
          <w:tcPr>
            <w:tcW w:w="2390" w:type="dxa"/>
            <w:vMerge/>
            <w:tcBorders>
              <w:top w:val="nil"/>
              <w:left w:val="single" w:sz="4" w:space="0" w:color="BCBEC0"/>
              <w:right w:val="single" w:sz="4" w:space="0" w:color="BCBEC0"/>
            </w:tcBorders>
          </w:tcPr>
          <w:p>
            <w:pPr>
              <w:rPr>
                <w:sz w:val="2"/>
                <w:szCs w:val="2"/>
              </w:rPr>
            </w:pPr>
          </w:p>
        </w:tc>
        <w:tc>
          <w:tcPr>
            <w:tcW w:w="3801" w:type="dxa"/>
            <w:tcBorders>
              <w:top w:val="nil"/>
              <w:left w:val="single" w:sz="4" w:space="0" w:color="BCBEC0"/>
              <w:bottom w:val="nil"/>
              <w:right w:val="single" w:sz="4" w:space="0" w:color="BCBEC0"/>
            </w:tcBorders>
          </w:tcPr>
          <w:p>
            <w:pPr>
              <w:pStyle w:val="TableParagraph"/>
              <w:spacing w:before="32"/>
              <w:ind w:left="92"/>
              <w:rPr>
                <w:sz w:val="18"/>
              </w:rPr>
            </w:pPr>
            <w:r>
              <w:rPr>
                <w:color w:val="105C84"/>
                <w:spacing w:val="-9"/>
                <w:sz w:val="18"/>
              </w:rPr>
              <w:t>VA,</w:t>
            </w:r>
            <w:r>
              <w:rPr>
                <w:color w:val="105C84"/>
                <w:spacing w:val="-2"/>
                <w:sz w:val="18"/>
              </w:rPr>
              <w:t> 2/Lifeline</w:t>
            </w:r>
          </w:p>
        </w:tc>
        <w:tc>
          <w:tcPr>
            <w:tcW w:w="1895" w:type="dxa"/>
            <w:tcBorders>
              <w:top w:val="nil"/>
              <w:left w:val="single" w:sz="4" w:space="0" w:color="BCBEC0"/>
              <w:bottom w:val="nil"/>
              <w:right w:val="single" w:sz="4" w:space="0" w:color="BCBEC0"/>
            </w:tcBorders>
          </w:tcPr>
          <w:p>
            <w:pPr>
              <w:pStyle w:val="TableParagraph"/>
              <w:rPr>
                <w:rFonts w:ascii="Times New Roman"/>
                <w:sz w:val="18"/>
              </w:rPr>
            </w:pPr>
          </w:p>
        </w:tc>
      </w:tr>
      <w:tr>
        <w:trPr>
          <w:trHeight w:val="699" w:hRule="atLeast"/>
        </w:trPr>
        <w:tc>
          <w:tcPr>
            <w:tcW w:w="1353" w:type="dxa"/>
            <w:tcBorders>
              <w:top w:val="nil"/>
              <w:left w:val="single" w:sz="4" w:space="0" w:color="BCBEC0"/>
              <w:right w:val="single" w:sz="4" w:space="0" w:color="BCBEC0"/>
            </w:tcBorders>
            <w:shd w:val="clear" w:color="auto" w:fill="E6E7E8"/>
          </w:tcPr>
          <w:p>
            <w:pPr>
              <w:pStyle w:val="TableParagraph"/>
              <w:rPr>
                <w:rFonts w:ascii="Times New Roman"/>
                <w:sz w:val="18"/>
              </w:rPr>
            </w:pPr>
          </w:p>
        </w:tc>
        <w:tc>
          <w:tcPr>
            <w:tcW w:w="1289" w:type="dxa"/>
            <w:tcBorders>
              <w:top w:val="nil"/>
              <w:left w:val="single" w:sz="4" w:space="0" w:color="BCBEC0"/>
              <w:right w:val="single" w:sz="4" w:space="0" w:color="BCBEC0"/>
            </w:tcBorders>
          </w:tcPr>
          <w:p>
            <w:pPr>
              <w:pStyle w:val="TableParagraph"/>
              <w:rPr>
                <w:rFonts w:ascii="Times New Roman"/>
                <w:sz w:val="18"/>
              </w:rPr>
            </w:pPr>
          </w:p>
        </w:tc>
        <w:tc>
          <w:tcPr>
            <w:tcW w:w="1591" w:type="dxa"/>
            <w:tcBorders>
              <w:top w:val="nil"/>
              <w:left w:val="single" w:sz="4" w:space="0" w:color="BCBEC0"/>
              <w:right w:val="single" w:sz="4" w:space="0" w:color="BCBEC0"/>
            </w:tcBorders>
          </w:tcPr>
          <w:p>
            <w:pPr>
              <w:pStyle w:val="TableParagraph"/>
              <w:rPr>
                <w:rFonts w:ascii="Times New Roman"/>
                <w:sz w:val="18"/>
              </w:rPr>
            </w:pPr>
          </w:p>
        </w:tc>
        <w:tc>
          <w:tcPr>
            <w:tcW w:w="2822" w:type="dxa"/>
            <w:tcBorders>
              <w:top w:val="nil"/>
              <w:left w:val="single" w:sz="4" w:space="0" w:color="BCBEC0"/>
              <w:right w:val="single" w:sz="4" w:space="0" w:color="BCBEC0"/>
            </w:tcBorders>
          </w:tcPr>
          <w:p>
            <w:pPr>
              <w:pStyle w:val="TableParagraph"/>
              <w:rPr>
                <w:rFonts w:ascii="Times New Roman"/>
                <w:sz w:val="18"/>
              </w:rPr>
            </w:pPr>
          </w:p>
        </w:tc>
        <w:tc>
          <w:tcPr>
            <w:tcW w:w="1267" w:type="dxa"/>
            <w:vMerge/>
            <w:tcBorders>
              <w:top w:val="nil"/>
              <w:left w:val="single" w:sz="4" w:space="0" w:color="BCBEC0"/>
              <w:right w:val="single" w:sz="4" w:space="0" w:color="BCBEC0"/>
            </w:tcBorders>
          </w:tcPr>
          <w:p>
            <w:pPr>
              <w:rPr>
                <w:sz w:val="2"/>
                <w:szCs w:val="2"/>
              </w:rPr>
            </w:pPr>
          </w:p>
        </w:tc>
        <w:tc>
          <w:tcPr>
            <w:tcW w:w="2873" w:type="dxa"/>
            <w:vMerge/>
            <w:tcBorders>
              <w:top w:val="nil"/>
              <w:left w:val="single" w:sz="4" w:space="0" w:color="BCBEC0"/>
              <w:right w:val="nil"/>
            </w:tcBorders>
          </w:tcPr>
          <w:p>
            <w:pPr>
              <w:rPr>
                <w:sz w:val="2"/>
                <w:szCs w:val="2"/>
              </w:rPr>
            </w:pPr>
          </w:p>
        </w:tc>
        <w:tc>
          <w:tcPr>
            <w:tcW w:w="3030" w:type="dxa"/>
            <w:vMerge/>
            <w:tcBorders>
              <w:top w:val="nil"/>
              <w:left w:val="nil"/>
              <w:right w:val="single" w:sz="4" w:space="0" w:color="BCBEC0"/>
            </w:tcBorders>
          </w:tcPr>
          <w:p>
            <w:pPr>
              <w:rPr>
                <w:sz w:val="2"/>
                <w:szCs w:val="2"/>
              </w:rPr>
            </w:pPr>
          </w:p>
        </w:tc>
        <w:tc>
          <w:tcPr>
            <w:tcW w:w="2390" w:type="dxa"/>
            <w:vMerge/>
            <w:tcBorders>
              <w:top w:val="nil"/>
              <w:left w:val="single" w:sz="4" w:space="0" w:color="BCBEC0"/>
              <w:right w:val="single" w:sz="4" w:space="0" w:color="BCBEC0"/>
            </w:tcBorders>
          </w:tcPr>
          <w:p>
            <w:pPr>
              <w:rPr>
                <w:sz w:val="2"/>
                <w:szCs w:val="2"/>
              </w:rPr>
            </w:pPr>
          </w:p>
        </w:tc>
        <w:tc>
          <w:tcPr>
            <w:tcW w:w="3801" w:type="dxa"/>
            <w:tcBorders>
              <w:top w:val="nil"/>
              <w:left w:val="single" w:sz="4" w:space="0" w:color="BCBEC0"/>
              <w:right w:val="single" w:sz="4" w:space="0" w:color="BCBEC0"/>
            </w:tcBorders>
          </w:tcPr>
          <w:p>
            <w:pPr>
              <w:pStyle w:val="TableParagraph"/>
              <w:spacing w:line="232" w:lineRule="auto" w:before="37"/>
              <w:ind w:left="92" w:right="298"/>
              <w:rPr>
                <w:sz w:val="18"/>
              </w:rPr>
            </w:pPr>
            <w:r>
              <w:rPr>
                <w:color w:val="105C84"/>
                <w:sz w:val="18"/>
              </w:rPr>
              <w:t>Lifeline,</w:t>
            </w:r>
            <w:r>
              <w:rPr>
                <w:color w:val="105C84"/>
                <w:spacing w:val="-9"/>
                <w:sz w:val="18"/>
              </w:rPr>
              <w:t> </w:t>
            </w:r>
            <w:r>
              <w:rPr>
                <w:color w:val="105C84"/>
                <w:sz w:val="18"/>
              </w:rPr>
              <w:t>National</w:t>
            </w:r>
            <w:r>
              <w:rPr>
                <w:color w:val="105C84"/>
                <w:spacing w:val="-9"/>
                <w:sz w:val="18"/>
              </w:rPr>
              <w:t> </w:t>
            </w:r>
            <w:r>
              <w:rPr>
                <w:color w:val="105C84"/>
                <w:sz w:val="18"/>
              </w:rPr>
              <w:t>Suicide</w:t>
            </w:r>
            <w:r>
              <w:rPr>
                <w:color w:val="105C84"/>
                <w:spacing w:val="-9"/>
                <w:sz w:val="18"/>
              </w:rPr>
              <w:t> </w:t>
            </w:r>
            <w:r>
              <w:rPr>
                <w:color w:val="105C84"/>
                <w:sz w:val="18"/>
              </w:rPr>
              <w:t>Hot</w:t>
            </w:r>
            <w:r>
              <w:rPr>
                <w:color w:val="105C84"/>
                <w:spacing w:val="-9"/>
                <w:sz w:val="18"/>
              </w:rPr>
              <w:t> </w:t>
            </w:r>
            <w:r>
              <w:rPr>
                <w:color w:val="105C84"/>
                <w:sz w:val="18"/>
              </w:rPr>
              <w:t>Line:</w:t>
            </w:r>
            <w:r>
              <w:rPr>
                <w:color w:val="105C84"/>
                <w:spacing w:val="-9"/>
                <w:sz w:val="18"/>
              </w:rPr>
              <w:t> </w:t>
            </w:r>
            <w:r>
              <w:rPr>
                <w:color w:val="105C84"/>
                <w:sz w:val="18"/>
              </w:rPr>
              <w:t>Provide suicide-prevention hotline counseling</w:t>
            </w:r>
          </w:p>
        </w:tc>
        <w:tc>
          <w:tcPr>
            <w:tcW w:w="1895" w:type="dxa"/>
            <w:tcBorders>
              <w:top w:val="nil"/>
              <w:left w:val="single" w:sz="4" w:space="0" w:color="BCBEC0"/>
              <w:right w:val="single" w:sz="4" w:space="0" w:color="BCBEC0"/>
            </w:tcBorders>
          </w:tcPr>
          <w:p>
            <w:pPr>
              <w:pStyle w:val="TableParagraph"/>
              <w:rPr>
                <w:rFonts w:ascii="Times New Roman"/>
                <w:sz w:val="18"/>
              </w:rPr>
            </w:pPr>
          </w:p>
        </w:tc>
      </w:tr>
    </w:tbl>
    <w:p>
      <w:pPr>
        <w:pStyle w:val="BodyText"/>
        <w:spacing w:before="181"/>
        <w:rPr>
          <w:b/>
          <w:sz w:val="26"/>
        </w:rPr>
      </w:pPr>
    </w:p>
    <w:p>
      <w:pPr>
        <w:tabs>
          <w:tab w:pos="23047" w:val="left" w:leader="none"/>
        </w:tabs>
        <w:spacing w:before="0"/>
        <w:ind w:left="0" w:right="0" w:firstLine="0"/>
        <w:jc w:val="left"/>
        <w:rPr>
          <w:b/>
          <w:sz w:val="26"/>
        </w:rPr>
      </w:pPr>
      <w:r>
        <w:rPr>
          <w:position w:val="-4"/>
        </w:rPr>
        <w:drawing>
          <wp:inline distT="0" distB="0" distL="0" distR="0">
            <wp:extent cx="568172" cy="184683"/>
            <wp:effectExtent l="0" t="0" r="0" b="0"/>
            <wp:docPr id="1867" name="Image 1867"/>
            <wp:cNvGraphicFramePr>
              <a:graphicFrameLocks/>
            </wp:cNvGraphicFramePr>
            <a:graphic>
              <a:graphicData uri="http://schemas.openxmlformats.org/drawingml/2006/picture">
                <pic:pic>
                  <pic:nvPicPr>
                    <pic:cNvPr id="1867" name="Image 1867"/>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13"/>
          <w:sz w:val="20"/>
        </w:rPr>
        <w:t> </w:t>
      </w:r>
      <w:r>
        <w:rPr>
          <w:b/>
          <w:color w:val="939598"/>
          <w:w w:val="105"/>
          <w:sz w:val="26"/>
        </w:rPr>
        <w:t>161</w:t>
      </w:r>
      <w:r>
        <w:rPr>
          <w:b/>
          <w:color w:val="939598"/>
          <w:sz w:val="26"/>
        </w:rPr>
        <w:tab/>
      </w:r>
      <w:r>
        <w:rPr>
          <w:b/>
          <w:color w:val="939598"/>
          <w:spacing w:val="-5"/>
          <w:w w:val="105"/>
          <w:sz w:val="26"/>
        </w:rPr>
        <w:t>162</w:t>
      </w:r>
    </w:p>
    <w:p>
      <w:pPr>
        <w:spacing w:after="0"/>
        <w:jc w:val="left"/>
        <w:rPr>
          <w:b/>
          <w:sz w:val="26"/>
        </w:rPr>
        <w:sectPr>
          <w:pgSz w:w="24480" w:h="15840" w:orient="landscape"/>
          <w:pgMar w:header="0" w:footer="0" w:top="860" w:bottom="0" w:left="0" w:right="720"/>
        </w:sectPr>
      </w:pPr>
    </w:p>
    <w:p>
      <w:pPr>
        <w:pStyle w:val="Heading2"/>
      </w:pPr>
      <w:r>
        <w:rPr/>
        <w:drawing>
          <wp:anchor distT="0" distB="0" distL="0" distR="0" allowOverlap="1" layoutInCell="1" locked="0" behindDoc="0" simplePos="0" relativeHeight="15971840">
            <wp:simplePos x="0" y="0"/>
            <wp:positionH relativeFrom="page">
              <wp:posOffset>14981556</wp:posOffset>
            </wp:positionH>
            <wp:positionV relativeFrom="page">
              <wp:posOffset>9668103</wp:posOffset>
            </wp:positionV>
            <wp:extent cx="563245" cy="184683"/>
            <wp:effectExtent l="0" t="0" r="0" b="0"/>
            <wp:wrapNone/>
            <wp:docPr id="1873" name="Image 1873"/>
            <wp:cNvGraphicFramePr>
              <a:graphicFrameLocks/>
            </wp:cNvGraphicFramePr>
            <a:graphic>
              <a:graphicData uri="http://schemas.openxmlformats.org/drawingml/2006/picture">
                <pic:pic>
                  <pic:nvPicPr>
                    <pic:cNvPr id="1873" name="Image 1873"/>
                    <pic:cNvPicPr/>
                  </pic:nvPicPr>
                  <pic:blipFill>
                    <a:blip r:embed="rId38" cstate="print"/>
                    <a:stretch>
                      <a:fillRect/>
                    </a:stretch>
                  </pic:blipFill>
                  <pic:spPr>
                    <a:xfrm>
                      <a:off x="0" y="0"/>
                      <a:ext cx="563245" cy="184683"/>
                    </a:xfrm>
                    <a:prstGeom prst="rect">
                      <a:avLst/>
                    </a:prstGeom>
                  </pic:spPr>
                </pic:pic>
              </a:graphicData>
            </a:graphic>
          </wp:anchor>
        </w:drawing>
      </w:r>
      <w:r>
        <w:rPr/>
        <w:drawing>
          <wp:anchor distT="0" distB="0" distL="0" distR="0" allowOverlap="1" layoutInCell="1" locked="0" behindDoc="0" simplePos="0" relativeHeight="15972352">
            <wp:simplePos x="0" y="0"/>
            <wp:positionH relativeFrom="page">
              <wp:posOffset>13626703</wp:posOffset>
            </wp:positionH>
            <wp:positionV relativeFrom="paragraph">
              <wp:posOffset>365201</wp:posOffset>
            </wp:positionV>
            <wp:extent cx="1234098" cy="628989"/>
            <wp:effectExtent l="0" t="0" r="0" b="0"/>
            <wp:wrapNone/>
            <wp:docPr id="1874" name="Image 1874"/>
            <wp:cNvGraphicFramePr>
              <a:graphicFrameLocks/>
            </wp:cNvGraphicFramePr>
            <a:graphic>
              <a:graphicData uri="http://schemas.openxmlformats.org/drawingml/2006/picture">
                <pic:pic>
                  <pic:nvPicPr>
                    <pic:cNvPr id="1874" name="Image 1874"/>
                    <pic:cNvPicPr/>
                  </pic:nvPicPr>
                  <pic:blipFill>
                    <a:blip r:embed="rId254" cstate="print"/>
                    <a:stretch>
                      <a:fillRect/>
                    </a:stretch>
                  </pic:blipFill>
                  <pic:spPr>
                    <a:xfrm>
                      <a:off x="0" y="0"/>
                      <a:ext cx="1234098" cy="628989"/>
                    </a:xfrm>
                    <a:prstGeom prst="rect">
                      <a:avLst/>
                    </a:prstGeom>
                  </pic:spPr>
                </pic:pic>
              </a:graphicData>
            </a:graphic>
          </wp:anchor>
        </w:drawing>
      </w:r>
      <w:bookmarkStart w:name="_TOC_250004" w:id="15"/>
      <w:r>
        <w:rPr>
          <w:color w:val="636466"/>
        </w:rPr>
        <w:t>Schuyler</w:t>
      </w:r>
      <w:r>
        <w:rPr>
          <w:color w:val="636466"/>
          <w:spacing w:val="40"/>
        </w:rPr>
        <w:t> </w:t>
      </w:r>
      <w:r>
        <w:rPr>
          <w:color w:val="636466"/>
        </w:rPr>
        <w:t>County</w:t>
      </w:r>
      <w:r>
        <w:rPr>
          <w:color w:val="636466"/>
          <w:spacing w:val="41"/>
        </w:rPr>
        <w:t> </w:t>
      </w:r>
      <w:r>
        <w:rPr>
          <w:color w:val="636466"/>
        </w:rPr>
        <w:t>Appendix</w:t>
      </w:r>
      <w:r>
        <w:rPr>
          <w:color w:val="636466"/>
          <w:spacing w:val="40"/>
        </w:rPr>
        <w:t> </w:t>
      </w:r>
      <w:bookmarkEnd w:id="15"/>
      <w:r>
        <w:rPr>
          <w:color w:val="636466"/>
          <w:spacing w:val="-10"/>
        </w:rPr>
        <w:t>D</w:t>
      </w:r>
    </w:p>
    <w:p>
      <w:pPr>
        <w:spacing w:line="247" w:lineRule="auto" w:before="235"/>
        <w:ind w:left="1089" w:right="16120" w:firstLine="0"/>
        <w:jc w:val="left"/>
        <w:rPr>
          <w:b/>
          <w:sz w:val="32"/>
        </w:rPr>
      </w:pPr>
      <w:r>
        <w:rPr>
          <w:b/>
          <w:color w:val="82BF6A"/>
          <w:spacing w:val="-2"/>
          <w:sz w:val="32"/>
        </w:rPr>
        <w:t>PRIORITY:</w:t>
      </w:r>
      <w:r>
        <w:rPr>
          <w:b/>
          <w:color w:val="82BF6A"/>
          <w:spacing w:val="-13"/>
          <w:sz w:val="32"/>
        </w:rPr>
        <w:t> </w:t>
      </w:r>
      <w:r>
        <w:rPr>
          <w:b/>
          <w:color w:val="82BF6A"/>
          <w:spacing w:val="-2"/>
          <w:sz w:val="32"/>
        </w:rPr>
        <w:t>PREVENT</w:t>
      </w:r>
      <w:r>
        <w:rPr>
          <w:b/>
          <w:color w:val="82BF6A"/>
          <w:spacing w:val="-13"/>
          <w:sz w:val="32"/>
        </w:rPr>
        <w:t> </w:t>
      </w:r>
      <w:r>
        <w:rPr>
          <w:b/>
          <w:color w:val="82BF6A"/>
          <w:spacing w:val="-2"/>
          <w:sz w:val="32"/>
        </w:rPr>
        <w:t>CHRONIC</w:t>
      </w:r>
      <w:r>
        <w:rPr>
          <w:b/>
          <w:color w:val="82BF6A"/>
          <w:spacing w:val="-13"/>
          <w:sz w:val="32"/>
        </w:rPr>
        <w:t> </w:t>
      </w:r>
      <w:r>
        <w:rPr>
          <w:b/>
          <w:color w:val="82BF6A"/>
          <w:spacing w:val="-2"/>
          <w:sz w:val="32"/>
        </w:rPr>
        <w:t>DISEASES, PREVENTATIVE</w:t>
      </w:r>
      <w:r>
        <w:rPr>
          <w:b/>
          <w:color w:val="82BF6A"/>
          <w:spacing w:val="-21"/>
          <w:sz w:val="32"/>
        </w:rPr>
        <w:t> </w:t>
      </w:r>
      <w:r>
        <w:rPr>
          <w:b/>
          <w:color w:val="82BF6A"/>
          <w:spacing w:val="-2"/>
          <w:sz w:val="32"/>
        </w:rPr>
        <w:t>CARE</w:t>
      </w:r>
      <w:r>
        <w:rPr>
          <w:b/>
          <w:color w:val="82BF6A"/>
          <w:spacing w:val="-20"/>
          <w:sz w:val="32"/>
        </w:rPr>
        <w:t> </w:t>
      </w:r>
      <w:r>
        <w:rPr>
          <w:b/>
          <w:color w:val="82BF6A"/>
          <w:spacing w:val="-2"/>
          <w:sz w:val="32"/>
        </w:rPr>
        <w:t>AND</w:t>
      </w:r>
      <w:r>
        <w:rPr>
          <w:b/>
          <w:color w:val="82BF6A"/>
          <w:spacing w:val="-20"/>
          <w:sz w:val="32"/>
        </w:rPr>
        <w:t> </w:t>
      </w:r>
      <w:r>
        <w:rPr>
          <w:b/>
          <w:color w:val="82BF6A"/>
          <w:spacing w:val="-2"/>
          <w:sz w:val="32"/>
        </w:rPr>
        <w:t>MANAGEMENT</w:t>
      </w:r>
    </w:p>
    <w:p>
      <w:pPr>
        <w:pStyle w:val="BodyText"/>
        <w:rPr>
          <w:b/>
          <w:sz w:val="20"/>
        </w:rPr>
      </w:pPr>
    </w:p>
    <w:p>
      <w:pPr>
        <w:pStyle w:val="BodyText"/>
        <w:spacing w:before="102"/>
        <w:rPr>
          <w:b/>
          <w:sz w:val="20"/>
        </w:rPr>
      </w:pPr>
    </w:p>
    <w:tbl>
      <w:tblPr>
        <w:tblW w:w="0" w:type="auto"/>
        <w:jc w:val="left"/>
        <w:tblInd w:w="1099"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1324"/>
        <w:gridCol w:w="1814"/>
        <w:gridCol w:w="1706"/>
        <w:gridCol w:w="1814"/>
        <w:gridCol w:w="1641"/>
        <w:gridCol w:w="5464"/>
        <w:gridCol w:w="1923"/>
        <w:gridCol w:w="1877"/>
        <w:gridCol w:w="1878"/>
        <w:gridCol w:w="1665"/>
        <w:gridCol w:w="1229"/>
      </w:tblGrid>
      <w:tr>
        <w:trPr>
          <w:trHeight w:val="990" w:hRule="atLeast"/>
        </w:trPr>
        <w:tc>
          <w:tcPr>
            <w:tcW w:w="1324" w:type="dxa"/>
            <w:tcBorders>
              <w:right w:val="single" w:sz="4" w:space="0" w:color="FFFFFF"/>
            </w:tcBorders>
            <w:shd w:val="clear" w:color="auto" w:fill="A7A9AC"/>
          </w:tcPr>
          <w:p>
            <w:pPr>
              <w:pStyle w:val="TableParagraph"/>
              <w:spacing w:before="177"/>
              <w:rPr>
                <w:b/>
                <w:sz w:val="20"/>
              </w:rPr>
            </w:pPr>
          </w:p>
          <w:p>
            <w:pPr>
              <w:pStyle w:val="TableParagraph"/>
              <w:ind w:left="80"/>
              <w:rPr>
                <w:b/>
                <w:sz w:val="20"/>
              </w:rPr>
            </w:pPr>
            <w:r>
              <w:rPr>
                <w:b/>
                <w:color w:val="FFFFFF"/>
                <w:spacing w:val="-2"/>
                <w:sz w:val="20"/>
              </w:rPr>
              <w:t>Priority</w:t>
            </w:r>
          </w:p>
        </w:tc>
        <w:tc>
          <w:tcPr>
            <w:tcW w:w="1814" w:type="dxa"/>
            <w:tcBorders>
              <w:left w:val="single" w:sz="4" w:space="0" w:color="FFFFFF"/>
              <w:right w:val="single" w:sz="4" w:space="0" w:color="FFFFFF"/>
            </w:tcBorders>
            <w:shd w:val="clear" w:color="auto" w:fill="A7A9AC"/>
          </w:tcPr>
          <w:p>
            <w:pPr>
              <w:pStyle w:val="TableParagraph"/>
              <w:spacing w:before="177"/>
              <w:rPr>
                <w:b/>
                <w:sz w:val="20"/>
              </w:rPr>
            </w:pPr>
          </w:p>
          <w:p>
            <w:pPr>
              <w:pStyle w:val="TableParagraph"/>
              <w:ind w:left="80"/>
              <w:rPr>
                <w:b/>
                <w:sz w:val="20"/>
              </w:rPr>
            </w:pPr>
            <w:r>
              <w:rPr>
                <w:b/>
                <w:color w:val="FFFFFF"/>
                <w:w w:val="90"/>
                <w:sz w:val="20"/>
              </w:rPr>
              <w:t>Focus</w:t>
            </w:r>
            <w:r>
              <w:rPr>
                <w:b/>
                <w:color w:val="FFFFFF"/>
                <w:spacing w:val="8"/>
                <w:sz w:val="20"/>
              </w:rPr>
              <w:t> </w:t>
            </w:r>
            <w:r>
              <w:rPr>
                <w:b/>
                <w:color w:val="FFFFFF"/>
                <w:spacing w:val="-4"/>
                <w:sz w:val="20"/>
              </w:rPr>
              <w:t>Area</w:t>
            </w:r>
          </w:p>
        </w:tc>
        <w:tc>
          <w:tcPr>
            <w:tcW w:w="1706" w:type="dxa"/>
            <w:tcBorders>
              <w:left w:val="single" w:sz="4" w:space="0" w:color="FFFFFF"/>
              <w:right w:val="single" w:sz="4" w:space="0" w:color="FFFFFF"/>
            </w:tcBorders>
            <w:shd w:val="clear" w:color="auto" w:fill="A7A9AC"/>
          </w:tcPr>
          <w:p>
            <w:pPr>
              <w:pStyle w:val="TableParagraph"/>
              <w:spacing w:before="177"/>
              <w:rPr>
                <w:b/>
                <w:sz w:val="20"/>
              </w:rPr>
            </w:pPr>
          </w:p>
          <w:p>
            <w:pPr>
              <w:pStyle w:val="TableParagraph"/>
              <w:ind w:left="80"/>
              <w:rPr>
                <w:b/>
                <w:sz w:val="20"/>
              </w:rPr>
            </w:pPr>
            <w:r>
              <w:rPr>
                <w:b/>
                <w:color w:val="FFFFFF"/>
                <w:spacing w:val="-6"/>
                <w:sz w:val="20"/>
              </w:rPr>
              <w:t>Goal</w:t>
            </w:r>
            <w:r>
              <w:rPr>
                <w:b/>
                <w:color w:val="FFFFFF"/>
                <w:spacing w:val="-1"/>
                <w:sz w:val="20"/>
              </w:rPr>
              <w:t> </w:t>
            </w:r>
            <w:r>
              <w:rPr>
                <w:b/>
                <w:color w:val="FFFFFF"/>
                <w:spacing w:val="-6"/>
                <w:sz w:val="20"/>
              </w:rPr>
              <w:t>Focus</w:t>
            </w:r>
            <w:r>
              <w:rPr>
                <w:b/>
                <w:color w:val="FFFFFF"/>
                <w:spacing w:val="-1"/>
                <w:sz w:val="20"/>
              </w:rPr>
              <w:t> </w:t>
            </w:r>
            <w:r>
              <w:rPr>
                <w:b/>
                <w:color w:val="FFFFFF"/>
                <w:spacing w:val="-6"/>
                <w:sz w:val="20"/>
              </w:rPr>
              <w:t>Area</w:t>
            </w:r>
          </w:p>
        </w:tc>
        <w:tc>
          <w:tcPr>
            <w:tcW w:w="1814" w:type="dxa"/>
            <w:tcBorders>
              <w:left w:val="single" w:sz="4" w:space="0" w:color="FFFFFF"/>
              <w:right w:val="single" w:sz="4" w:space="0" w:color="FFFFFF"/>
            </w:tcBorders>
            <w:shd w:val="clear" w:color="auto" w:fill="A7A9AC"/>
          </w:tcPr>
          <w:p>
            <w:pPr>
              <w:pStyle w:val="TableParagraph"/>
              <w:spacing w:before="177"/>
              <w:rPr>
                <w:b/>
                <w:sz w:val="20"/>
              </w:rPr>
            </w:pPr>
          </w:p>
          <w:p>
            <w:pPr>
              <w:pStyle w:val="TableParagraph"/>
              <w:ind w:left="81"/>
              <w:rPr>
                <w:b/>
                <w:sz w:val="20"/>
              </w:rPr>
            </w:pPr>
            <w:r>
              <w:rPr>
                <w:b/>
                <w:color w:val="FFFFFF"/>
                <w:spacing w:val="-2"/>
                <w:sz w:val="20"/>
              </w:rPr>
              <w:t>Objectives</w:t>
            </w:r>
          </w:p>
        </w:tc>
        <w:tc>
          <w:tcPr>
            <w:tcW w:w="1641" w:type="dxa"/>
            <w:tcBorders>
              <w:left w:val="single" w:sz="4" w:space="0" w:color="FFFFFF"/>
              <w:right w:val="single" w:sz="4" w:space="0" w:color="FFFFFF"/>
            </w:tcBorders>
            <w:shd w:val="clear" w:color="auto" w:fill="A7A9AC"/>
          </w:tcPr>
          <w:p>
            <w:pPr>
              <w:pStyle w:val="TableParagraph"/>
              <w:spacing w:before="177"/>
              <w:rPr>
                <w:b/>
                <w:sz w:val="20"/>
              </w:rPr>
            </w:pPr>
          </w:p>
          <w:p>
            <w:pPr>
              <w:pStyle w:val="TableParagraph"/>
              <w:ind w:left="81"/>
              <w:rPr>
                <w:b/>
                <w:sz w:val="20"/>
              </w:rPr>
            </w:pPr>
            <w:r>
              <w:rPr>
                <w:b/>
                <w:color w:val="FFFFFF"/>
                <w:spacing w:val="-2"/>
                <w:sz w:val="20"/>
              </w:rPr>
              <w:t>Disparities</w:t>
            </w:r>
          </w:p>
        </w:tc>
        <w:tc>
          <w:tcPr>
            <w:tcW w:w="5464" w:type="dxa"/>
            <w:tcBorders>
              <w:left w:val="single" w:sz="4" w:space="0" w:color="FFFFFF"/>
              <w:right w:val="single" w:sz="4" w:space="0" w:color="FFFFFF"/>
            </w:tcBorders>
            <w:shd w:val="clear" w:color="auto" w:fill="A7A9AC"/>
          </w:tcPr>
          <w:p>
            <w:pPr>
              <w:pStyle w:val="TableParagraph"/>
              <w:spacing w:before="67"/>
              <w:rPr>
                <w:b/>
                <w:sz w:val="20"/>
              </w:rPr>
            </w:pPr>
          </w:p>
          <w:p>
            <w:pPr>
              <w:pStyle w:val="TableParagraph"/>
              <w:tabs>
                <w:tab w:pos="3926" w:val="left" w:leader="none"/>
              </w:tabs>
              <w:spacing w:line="280" w:lineRule="exact"/>
              <w:ind w:left="82"/>
              <w:rPr>
                <w:b/>
                <w:position w:val="11"/>
                <w:sz w:val="20"/>
              </w:rPr>
            </w:pPr>
            <w:r>
              <w:rPr>
                <w:b/>
                <w:color w:val="FFFFFF"/>
                <w:spacing w:val="-2"/>
                <w:sz w:val="20"/>
              </w:rPr>
              <w:t>Interventions</w:t>
            </w:r>
            <w:r>
              <w:rPr>
                <w:b/>
                <w:color w:val="FFFFFF"/>
                <w:sz w:val="20"/>
              </w:rPr>
              <w:tab/>
            </w:r>
            <w:r>
              <w:rPr>
                <w:b/>
                <w:color w:val="FFFFFF"/>
                <w:spacing w:val="-4"/>
                <w:position w:val="11"/>
                <w:sz w:val="20"/>
              </w:rPr>
              <w:t>Family</w:t>
            </w:r>
            <w:r>
              <w:rPr>
                <w:b/>
                <w:color w:val="FFFFFF"/>
                <w:spacing w:val="-5"/>
                <w:position w:val="11"/>
                <w:sz w:val="20"/>
              </w:rPr>
              <w:t> of</w:t>
            </w:r>
          </w:p>
          <w:p>
            <w:pPr>
              <w:pStyle w:val="TableParagraph"/>
              <w:spacing w:line="170" w:lineRule="exact"/>
              <w:ind w:right="637"/>
              <w:jc w:val="right"/>
              <w:rPr>
                <w:b/>
                <w:sz w:val="20"/>
              </w:rPr>
            </w:pPr>
            <w:r>
              <w:rPr>
                <w:b/>
                <w:color w:val="FFFFFF"/>
                <w:spacing w:val="-2"/>
                <w:sz w:val="20"/>
              </w:rPr>
              <w:t>Measures</w:t>
            </w:r>
          </w:p>
        </w:tc>
        <w:tc>
          <w:tcPr>
            <w:tcW w:w="1923" w:type="dxa"/>
            <w:tcBorders>
              <w:left w:val="single" w:sz="4" w:space="0" w:color="FFFFFF"/>
              <w:right w:val="single" w:sz="4" w:space="0" w:color="FFFFFF"/>
            </w:tcBorders>
            <w:shd w:val="clear" w:color="auto" w:fill="A7A9AC"/>
          </w:tcPr>
          <w:p>
            <w:pPr>
              <w:pStyle w:val="TableParagraph"/>
              <w:spacing w:line="230" w:lineRule="auto" w:before="195"/>
              <w:ind w:left="83" w:right="115"/>
              <w:rPr>
                <w:b/>
                <w:sz w:val="20"/>
              </w:rPr>
            </w:pPr>
            <w:r>
              <w:rPr>
                <w:b/>
                <w:color w:val="FFFFFF"/>
                <w:sz w:val="20"/>
              </w:rPr>
              <w:t>Projected (or completed)</w:t>
            </w:r>
            <w:r>
              <w:rPr>
                <w:b/>
                <w:color w:val="FFFFFF"/>
                <w:spacing w:val="-14"/>
                <w:sz w:val="20"/>
              </w:rPr>
              <w:t> </w:t>
            </w:r>
            <w:r>
              <w:rPr>
                <w:b/>
                <w:color w:val="FFFFFF"/>
                <w:sz w:val="20"/>
              </w:rPr>
              <w:t>Year</w:t>
            </w:r>
            <w:r>
              <w:rPr>
                <w:b/>
                <w:color w:val="FFFFFF"/>
                <w:spacing w:val="-14"/>
                <w:sz w:val="20"/>
              </w:rPr>
              <w:t> </w:t>
            </w:r>
            <w:r>
              <w:rPr>
                <w:b/>
                <w:color w:val="FFFFFF"/>
                <w:sz w:val="20"/>
              </w:rPr>
              <w:t>1 </w:t>
            </w:r>
            <w:r>
              <w:rPr>
                <w:b/>
                <w:color w:val="FFFFFF"/>
                <w:spacing w:val="-2"/>
                <w:sz w:val="20"/>
              </w:rPr>
              <w:t>Intervention</w:t>
            </w:r>
          </w:p>
        </w:tc>
        <w:tc>
          <w:tcPr>
            <w:tcW w:w="1877" w:type="dxa"/>
            <w:tcBorders>
              <w:left w:val="single" w:sz="4" w:space="0" w:color="FFFFFF"/>
              <w:right w:val="single" w:sz="4" w:space="0" w:color="FFFFFF"/>
            </w:tcBorders>
            <w:shd w:val="clear" w:color="auto" w:fill="A7A9AC"/>
          </w:tcPr>
          <w:p>
            <w:pPr>
              <w:pStyle w:val="TableParagraph"/>
              <w:spacing w:before="177"/>
              <w:rPr>
                <w:b/>
                <w:sz w:val="20"/>
              </w:rPr>
            </w:pPr>
          </w:p>
          <w:p>
            <w:pPr>
              <w:pStyle w:val="TableParagraph"/>
              <w:ind w:left="83"/>
              <w:rPr>
                <w:b/>
                <w:sz w:val="20"/>
              </w:rPr>
            </w:pPr>
            <w:r>
              <w:rPr>
                <w:b/>
                <w:color w:val="FFFFFF"/>
                <w:spacing w:val="-2"/>
                <w:sz w:val="20"/>
              </w:rPr>
              <w:t>Projected</w:t>
            </w:r>
            <w:r>
              <w:rPr>
                <w:b/>
                <w:color w:val="FFFFFF"/>
                <w:spacing w:val="-8"/>
                <w:sz w:val="20"/>
              </w:rPr>
              <w:t> </w:t>
            </w:r>
            <w:r>
              <w:rPr>
                <w:b/>
                <w:color w:val="FFFFFF"/>
                <w:spacing w:val="-2"/>
                <w:sz w:val="20"/>
              </w:rPr>
              <w:t>Year</w:t>
            </w:r>
            <w:r>
              <w:rPr>
                <w:b/>
                <w:color w:val="FFFFFF"/>
                <w:spacing w:val="-7"/>
                <w:sz w:val="20"/>
              </w:rPr>
              <w:t> </w:t>
            </w:r>
            <w:r>
              <w:rPr>
                <w:b/>
                <w:color w:val="FFFFFF"/>
                <w:spacing w:val="-10"/>
                <w:sz w:val="20"/>
              </w:rPr>
              <w:t>2</w:t>
            </w:r>
          </w:p>
        </w:tc>
        <w:tc>
          <w:tcPr>
            <w:tcW w:w="1878" w:type="dxa"/>
            <w:tcBorders>
              <w:left w:val="single" w:sz="4" w:space="0" w:color="FFFFFF"/>
              <w:right w:val="single" w:sz="4" w:space="0" w:color="FFFFFF"/>
            </w:tcBorders>
            <w:shd w:val="clear" w:color="auto" w:fill="A7A9AC"/>
          </w:tcPr>
          <w:p>
            <w:pPr>
              <w:pStyle w:val="TableParagraph"/>
              <w:spacing w:before="74"/>
              <w:rPr>
                <w:b/>
                <w:sz w:val="20"/>
              </w:rPr>
            </w:pPr>
          </w:p>
          <w:p>
            <w:pPr>
              <w:pStyle w:val="TableParagraph"/>
              <w:spacing w:line="230" w:lineRule="auto" w:before="1"/>
              <w:ind w:left="84" w:right="180"/>
              <w:rPr>
                <w:b/>
                <w:sz w:val="20"/>
              </w:rPr>
            </w:pPr>
            <w:r>
              <w:rPr>
                <w:b/>
                <w:color w:val="FFFFFF"/>
                <w:spacing w:val="-2"/>
                <w:sz w:val="20"/>
              </w:rPr>
              <w:t>Projected</w:t>
            </w:r>
            <w:r>
              <w:rPr>
                <w:b/>
                <w:color w:val="FFFFFF"/>
                <w:spacing w:val="-12"/>
                <w:sz w:val="20"/>
              </w:rPr>
              <w:t> </w:t>
            </w:r>
            <w:r>
              <w:rPr>
                <w:b/>
                <w:color w:val="FFFFFF"/>
                <w:spacing w:val="-2"/>
                <w:sz w:val="20"/>
              </w:rPr>
              <w:t>Year</w:t>
            </w:r>
            <w:r>
              <w:rPr>
                <w:b/>
                <w:color w:val="FFFFFF"/>
                <w:spacing w:val="-12"/>
                <w:sz w:val="20"/>
              </w:rPr>
              <w:t> </w:t>
            </w:r>
            <w:r>
              <w:rPr>
                <w:b/>
                <w:color w:val="FFFFFF"/>
                <w:spacing w:val="-2"/>
                <w:sz w:val="20"/>
              </w:rPr>
              <w:t>3 Interventions</w:t>
            </w:r>
          </w:p>
        </w:tc>
        <w:tc>
          <w:tcPr>
            <w:tcW w:w="1665" w:type="dxa"/>
            <w:tcBorders>
              <w:left w:val="single" w:sz="4" w:space="0" w:color="FFFFFF"/>
            </w:tcBorders>
            <w:shd w:val="clear" w:color="auto" w:fill="A7A9AC"/>
          </w:tcPr>
          <w:p>
            <w:pPr>
              <w:pStyle w:val="TableParagraph"/>
              <w:spacing w:before="74"/>
              <w:rPr>
                <w:b/>
                <w:sz w:val="20"/>
              </w:rPr>
            </w:pPr>
          </w:p>
          <w:p>
            <w:pPr>
              <w:pStyle w:val="TableParagraph"/>
              <w:spacing w:line="230" w:lineRule="auto" w:before="1"/>
              <w:ind w:left="85"/>
              <w:rPr>
                <w:b/>
                <w:sz w:val="20"/>
              </w:rPr>
            </w:pPr>
            <w:r>
              <w:rPr>
                <w:b/>
                <w:color w:val="FFFFFF"/>
                <w:spacing w:val="-2"/>
                <w:sz w:val="20"/>
              </w:rPr>
              <w:t>Implementation Partner</w:t>
            </w:r>
          </w:p>
        </w:tc>
        <w:tc>
          <w:tcPr>
            <w:tcW w:w="1229" w:type="dxa"/>
            <w:shd w:val="clear" w:color="auto" w:fill="A7A9AC"/>
          </w:tcPr>
          <w:p>
            <w:pPr>
              <w:pStyle w:val="TableParagraph"/>
              <w:spacing w:line="230" w:lineRule="auto" w:before="195"/>
              <w:ind w:left="87" w:right="91"/>
              <w:rPr>
                <w:b/>
                <w:sz w:val="20"/>
              </w:rPr>
            </w:pPr>
            <w:r>
              <w:rPr>
                <w:b/>
                <w:color w:val="FFFFFF"/>
                <w:spacing w:val="-2"/>
                <w:sz w:val="20"/>
              </w:rPr>
              <w:t>Partner </w:t>
            </w:r>
            <w:r>
              <w:rPr>
                <w:b/>
                <w:color w:val="FFFFFF"/>
                <w:spacing w:val="-6"/>
                <w:sz w:val="20"/>
              </w:rPr>
              <w:t>Role(s)</w:t>
            </w:r>
            <w:r>
              <w:rPr>
                <w:b/>
                <w:color w:val="FFFFFF"/>
                <w:spacing w:val="-8"/>
                <w:sz w:val="20"/>
              </w:rPr>
              <w:t> </w:t>
            </w:r>
            <w:r>
              <w:rPr>
                <w:b/>
                <w:color w:val="FFFFFF"/>
                <w:spacing w:val="-6"/>
                <w:sz w:val="20"/>
              </w:rPr>
              <w:t>and </w:t>
            </w:r>
            <w:r>
              <w:rPr>
                <w:b/>
                <w:color w:val="FFFFFF"/>
                <w:spacing w:val="-2"/>
                <w:sz w:val="20"/>
              </w:rPr>
              <w:t>Resources</w:t>
            </w:r>
          </w:p>
        </w:tc>
      </w:tr>
      <w:tr>
        <w:trPr>
          <w:trHeight w:val="1950" w:hRule="atLeast"/>
        </w:trPr>
        <w:tc>
          <w:tcPr>
            <w:tcW w:w="1324" w:type="dxa"/>
            <w:vMerge w:val="restart"/>
            <w:shd w:val="clear" w:color="auto" w:fill="E6E7E8"/>
          </w:tcPr>
          <w:p>
            <w:pPr>
              <w:pStyle w:val="TableParagraph"/>
              <w:spacing w:line="232" w:lineRule="auto" w:before="101"/>
              <w:ind w:left="90" w:right="507"/>
              <w:jc w:val="both"/>
              <w:rPr>
                <w:sz w:val="18"/>
              </w:rPr>
            </w:pPr>
            <w:r>
              <w:rPr>
                <w:color w:val="105C84"/>
                <w:spacing w:val="-2"/>
                <w:sz w:val="18"/>
              </w:rPr>
              <w:t>Prevent Chronic </w:t>
            </w:r>
            <w:r>
              <w:rPr>
                <w:color w:val="105C84"/>
                <w:spacing w:val="-6"/>
                <w:sz w:val="18"/>
              </w:rPr>
              <w:t>Diseases</w:t>
            </w:r>
          </w:p>
        </w:tc>
        <w:tc>
          <w:tcPr>
            <w:tcW w:w="1814" w:type="dxa"/>
            <w:vMerge w:val="restart"/>
          </w:tcPr>
          <w:p>
            <w:pPr>
              <w:pStyle w:val="TableParagraph"/>
              <w:spacing w:line="232" w:lineRule="auto" w:before="101"/>
              <w:ind w:left="90" w:right="283"/>
              <w:rPr>
                <w:sz w:val="18"/>
              </w:rPr>
            </w:pPr>
            <w:r>
              <w:rPr>
                <w:color w:val="105C84"/>
                <w:sz w:val="18"/>
              </w:rPr>
              <w:t>Focus Area 4: Preventive care and</w:t>
            </w:r>
            <w:r>
              <w:rPr>
                <w:color w:val="105C84"/>
                <w:spacing w:val="-13"/>
                <w:sz w:val="18"/>
              </w:rPr>
              <w:t> </w:t>
            </w:r>
            <w:r>
              <w:rPr>
                <w:color w:val="105C84"/>
                <w:sz w:val="18"/>
              </w:rPr>
              <w:t>management</w:t>
            </w:r>
          </w:p>
        </w:tc>
        <w:tc>
          <w:tcPr>
            <w:tcW w:w="1706" w:type="dxa"/>
            <w:vMerge w:val="restart"/>
          </w:tcPr>
          <w:p>
            <w:pPr>
              <w:pStyle w:val="TableParagraph"/>
              <w:spacing w:line="232" w:lineRule="auto" w:before="101"/>
              <w:ind w:left="90" w:right="184"/>
              <w:rPr>
                <w:sz w:val="18"/>
              </w:rPr>
            </w:pPr>
            <w:r>
              <w:rPr>
                <w:color w:val="105C84"/>
                <w:spacing w:val="-4"/>
                <w:sz w:val="18"/>
              </w:rPr>
              <w:t>Goal</w:t>
            </w:r>
            <w:r>
              <w:rPr>
                <w:color w:val="105C84"/>
                <w:spacing w:val="-11"/>
                <w:sz w:val="18"/>
              </w:rPr>
              <w:t> </w:t>
            </w:r>
            <w:r>
              <w:rPr>
                <w:color w:val="105C84"/>
                <w:spacing w:val="-4"/>
                <w:sz w:val="18"/>
              </w:rPr>
              <w:t>4.1:</w:t>
            </w:r>
            <w:r>
              <w:rPr>
                <w:color w:val="105C84"/>
                <w:spacing w:val="-8"/>
                <w:sz w:val="18"/>
              </w:rPr>
              <w:t> </w:t>
            </w:r>
            <w:r>
              <w:rPr>
                <w:color w:val="105C84"/>
                <w:spacing w:val="-4"/>
                <w:sz w:val="18"/>
              </w:rPr>
              <w:t>Increase </w:t>
            </w:r>
            <w:r>
              <w:rPr>
                <w:color w:val="105C84"/>
                <w:sz w:val="18"/>
              </w:rPr>
              <w:t>cancer screening </w:t>
            </w:r>
            <w:r>
              <w:rPr>
                <w:color w:val="105C84"/>
                <w:spacing w:val="-2"/>
                <w:sz w:val="18"/>
              </w:rPr>
              <w:t>rates</w:t>
            </w:r>
          </w:p>
        </w:tc>
        <w:tc>
          <w:tcPr>
            <w:tcW w:w="1814" w:type="dxa"/>
            <w:vMerge w:val="restart"/>
          </w:tcPr>
          <w:p>
            <w:pPr>
              <w:pStyle w:val="TableParagraph"/>
              <w:spacing w:line="232" w:lineRule="auto" w:before="101"/>
              <w:ind w:left="91" w:right="191"/>
              <w:rPr>
                <w:sz w:val="18"/>
              </w:rPr>
            </w:pPr>
            <w:r>
              <w:rPr>
                <w:color w:val="105C84"/>
                <w:sz w:val="18"/>
              </w:rPr>
              <w:t>4.1.3 Increase the percentage of adults</w:t>
            </w:r>
            <w:r>
              <w:rPr>
                <w:color w:val="105C84"/>
                <w:spacing w:val="-8"/>
                <w:sz w:val="18"/>
              </w:rPr>
              <w:t> </w:t>
            </w:r>
            <w:r>
              <w:rPr>
                <w:color w:val="105C84"/>
                <w:sz w:val="18"/>
              </w:rPr>
              <w:t>who</w:t>
            </w:r>
            <w:r>
              <w:rPr>
                <w:color w:val="105C84"/>
                <w:spacing w:val="-6"/>
                <w:sz w:val="18"/>
              </w:rPr>
              <w:t> </w:t>
            </w:r>
            <w:r>
              <w:rPr>
                <w:color w:val="105C84"/>
                <w:sz w:val="18"/>
              </w:rPr>
              <w:t>receive a</w:t>
            </w:r>
            <w:r>
              <w:rPr>
                <w:color w:val="105C84"/>
                <w:spacing w:val="-15"/>
                <w:sz w:val="18"/>
              </w:rPr>
              <w:t> </w:t>
            </w:r>
            <w:r>
              <w:rPr>
                <w:color w:val="105C84"/>
                <w:sz w:val="18"/>
              </w:rPr>
              <w:t>colorectal</w:t>
            </w:r>
            <w:r>
              <w:rPr>
                <w:color w:val="105C84"/>
                <w:spacing w:val="-12"/>
                <w:sz w:val="18"/>
              </w:rPr>
              <w:t> </w:t>
            </w:r>
            <w:r>
              <w:rPr>
                <w:color w:val="105C84"/>
                <w:sz w:val="18"/>
              </w:rPr>
              <w:t>cancer screening based on</w:t>
            </w:r>
            <w:r>
              <w:rPr>
                <w:color w:val="105C84"/>
                <w:spacing w:val="-6"/>
                <w:sz w:val="18"/>
              </w:rPr>
              <w:t> </w:t>
            </w:r>
            <w:r>
              <w:rPr>
                <w:color w:val="105C84"/>
                <w:sz w:val="18"/>
              </w:rPr>
              <w:t>the</w:t>
            </w:r>
            <w:r>
              <w:rPr>
                <w:color w:val="105C84"/>
                <w:spacing w:val="-4"/>
                <w:sz w:val="18"/>
              </w:rPr>
              <w:t> </w:t>
            </w:r>
            <w:r>
              <w:rPr>
                <w:color w:val="105C84"/>
                <w:sz w:val="18"/>
              </w:rPr>
              <w:t>most</w:t>
            </w:r>
            <w:r>
              <w:rPr>
                <w:color w:val="105C84"/>
                <w:spacing w:val="-4"/>
                <w:sz w:val="18"/>
              </w:rPr>
              <w:t> </w:t>
            </w:r>
            <w:r>
              <w:rPr>
                <w:color w:val="105C84"/>
                <w:sz w:val="18"/>
              </w:rPr>
              <w:t>recent guidelines</w:t>
            </w:r>
            <w:r>
              <w:rPr>
                <w:color w:val="105C84"/>
                <w:spacing w:val="-4"/>
                <w:sz w:val="18"/>
              </w:rPr>
              <w:t> </w:t>
            </w:r>
            <w:r>
              <w:rPr>
                <w:color w:val="105C84"/>
                <w:sz w:val="18"/>
              </w:rPr>
              <w:t>(age</w:t>
            </w:r>
            <w:r>
              <w:rPr>
                <w:color w:val="105C84"/>
                <w:spacing w:val="-4"/>
                <w:sz w:val="18"/>
              </w:rPr>
              <w:t> </w:t>
            </w:r>
            <w:r>
              <w:rPr>
                <w:color w:val="105C84"/>
                <w:spacing w:val="-6"/>
                <w:sz w:val="18"/>
              </w:rPr>
              <w:t>50</w:t>
            </w:r>
            <w:r>
              <w:rPr>
                <w:color w:val="105C84"/>
                <w:spacing w:val="-6"/>
                <w:sz w:val="18"/>
              </w:rPr>
              <w:t>-</w:t>
            </w:r>
          </w:p>
          <w:p>
            <w:pPr>
              <w:pStyle w:val="TableParagraph"/>
              <w:spacing w:line="196" w:lineRule="exact"/>
              <w:ind w:left="91"/>
              <w:rPr>
                <w:sz w:val="18"/>
              </w:rPr>
            </w:pPr>
            <w:r>
              <w:rPr>
                <w:color w:val="105C84"/>
                <w:spacing w:val="-6"/>
                <w:sz w:val="18"/>
              </w:rPr>
              <w:t>75</w:t>
            </w:r>
            <w:r>
              <w:rPr>
                <w:color w:val="105C84"/>
                <w:spacing w:val="-7"/>
                <w:sz w:val="18"/>
              </w:rPr>
              <w:t> </w:t>
            </w:r>
            <w:r>
              <w:rPr>
                <w:color w:val="105C84"/>
                <w:spacing w:val="-2"/>
                <w:sz w:val="18"/>
              </w:rPr>
              <w:t>years)</w:t>
            </w:r>
          </w:p>
        </w:tc>
        <w:tc>
          <w:tcPr>
            <w:tcW w:w="1641" w:type="dxa"/>
            <w:vMerge w:val="restart"/>
          </w:tcPr>
          <w:p>
            <w:pPr>
              <w:pStyle w:val="TableParagraph"/>
              <w:spacing w:line="232" w:lineRule="auto" w:before="101"/>
              <w:ind w:left="91" w:right="111"/>
              <w:rPr>
                <w:sz w:val="18"/>
              </w:rPr>
            </w:pPr>
            <w:r>
              <w:rPr>
                <w:color w:val="105C84"/>
                <w:sz w:val="18"/>
              </w:rPr>
              <w:t>Adults with an annual</w:t>
            </w:r>
            <w:r>
              <w:rPr>
                <w:color w:val="105C84"/>
                <w:spacing w:val="-13"/>
                <w:sz w:val="18"/>
              </w:rPr>
              <w:t> </w:t>
            </w:r>
            <w:r>
              <w:rPr>
                <w:color w:val="105C84"/>
                <w:sz w:val="18"/>
              </w:rPr>
              <w:t>household income less than</w:t>
            </w:r>
          </w:p>
          <w:p>
            <w:pPr>
              <w:pStyle w:val="TableParagraph"/>
              <w:spacing w:line="200" w:lineRule="exact"/>
              <w:ind w:left="91"/>
              <w:rPr>
                <w:sz w:val="18"/>
              </w:rPr>
            </w:pPr>
            <w:r>
              <w:rPr>
                <w:color w:val="105C84"/>
                <w:spacing w:val="-2"/>
                <w:sz w:val="18"/>
              </w:rPr>
              <w:t>$25,000</w:t>
            </w:r>
          </w:p>
        </w:tc>
        <w:tc>
          <w:tcPr>
            <w:tcW w:w="5464" w:type="dxa"/>
            <w:vMerge w:val="restart"/>
          </w:tcPr>
          <w:p>
            <w:pPr>
              <w:pStyle w:val="TableParagraph"/>
              <w:tabs>
                <w:tab w:pos="3926" w:val="left" w:leader="none"/>
              </w:tabs>
              <w:spacing w:line="203" w:lineRule="exact" w:before="96"/>
              <w:ind w:left="92"/>
              <w:rPr>
                <w:sz w:val="18"/>
              </w:rPr>
            </w:pPr>
            <w:r>
              <w:rPr>
                <w:color w:val="105C84"/>
                <w:spacing w:val="-6"/>
                <w:sz w:val="18"/>
              </w:rPr>
              <w:t>4.1.3 Use</w:t>
            </w:r>
            <w:r>
              <w:rPr>
                <w:color w:val="105C84"/>
                <w:spacing w:val="-5"/>
                <w:sz w:val="18"/>
              </w:rPr>
              <w:t> </w:t>
            </w:r>
            <w:r>
              <w:rPr>
                <w:color w:val="105C84"/>
                <w:spacing w:val="-6"/>
                <w:sz w:val="18"/>
              </w:rPr>
              <w:t>small</w:t>
            </w:r>
            <w:r>
              <w:rPr>
                <w:color w:val="105C84"/>
                <w:sz w:val="18"/>
              </w:rPr>
              <w:tab/>
              <w:t>Number</w:t>
            </w:r>
            <w:r>
              <w:rPr>
                <w:color w:val="105C84"/>
                <w:spacing w:val="15"/>
                <w:sz w:val="18"/>
              </w:rPr>
              <w:t> </w:t>
            </w:r>
            <w:r>
              <w:rPr>
                <w:color w:val="105C84"/>
                <w:spacing w:val="-5"/>
                <w:sz w:val="18"/>
              </w:rPr>
              <w:t>of</w:t>
            </w:r>
          </w:p>
          <w:p>
            <w:pPr>
              <w:pStyle w:val="TableParagraph"/>
              <w:tabs>
                <w:tab w:pos="3926" w:val="left" w:leader="none"/>
              </w:tabs>
              <w:spacing w:line="200" w:lineRule="exact"/>
              <w:ind w:left="92"/>
              <w:rPr>
                <w:sz w:val="18"/>
              </w:rPr>
            </w:pPr>
            <w:r>
              <w:rPr>
                <w:color w:val="105C84"/>
                <w:spacing w:val="-2"/>
                <w:sz w:val="18"/>
              </w:rPr>
              <w:t>media</w:t>
            </w:r>
            <w:r>
              <w:rPr>
                <w:color w:val="105C84"/>
                <w:spacing w:val="-8"/>
                <w:sz w:val="18"/>
              </w:rPr>
              <w:t> </w:t>
            </w:r>
            <w:r>
              <w:rPr>
                <w:color w:val="105C84"/>
                <w:spacing w:val="-2"/>
                <w:sz w:val="18"/>
              </w:rPr>
              <w:t>such</w:t>
            </w:r>
            <w:r>
              <w:rPr>
                <w:color w:val="105C84"/>
                <w:spacing w:val="-8"/>
                <w:sz w:val="18"/>
              </w:rPr>
              <w:t> </w:t>
            </w:r>
            <w:r>
              <w:rPr>
                <w:color w:val="105C84"/>
                <w:spacing w:val="-2"/>
                <w:sz w:val="18"/>
              </w:rPr>
              <w:t>as</w:t>
            </w:r>
            <w:r>
              <w:rPr>
                <w:color w:val="105C84"/>
                <w:spacing w:val="-8"/>
                <w:sz w:val="18"/>
              </w:rPr>
              <w:t> </w:t>
            </w:r>
            <w:r>
              <w:rPr>
                <w:color w:val="105C84"/>
                <w:spacing w:val="-2"/>
                <w:sz w:val="18"/>
              </w:rPr>
              <w:t>videos,</w:t>
            </w:r>
            <w:r>
              <w:rPr>
                <w:color w:val="105C84"/>
                <w:sz w:val="18"/>
              </w:rPr>
              <w:tab/>
            </w:r>
            <w:r>
              <w:rPr>
                <w:color w:val="105C84"/>
                <w:spacing w:val="-2"/>
                <w:sz w:val="18"/>
              </w:rPr>
              <w:t>advertisements</w:t>
            </w:r>
          </w:p>
          <w:p>
            <w:pPr>
              <w:pStyle w:val="TableParagraph"/>
              <w:tabs>
                <w:tab w:pos="3926" w:val="left" w:leader="none"/>
              </w:tabs>
              <w:spacing w:line="200" w:lineRule="exact"/>
              <w:ind w:left="92"/>
              <w:rPr>
                <w:sz w:val="18"/>
              </w:rPr>
            </w:pPr>
            <w:r>
              <w:rPr>
                <w:color w:val="105C84"/>
                <w:sz w:val="18"/>
              </w:rPr>
              <w:t>printed</w:t>
            </w:r>
            <w:r>
              <w:rPr>
                <w:color w:val="105C84"/>
                <w:spacing w:val="23"/>
                <w:sz w:val="18"/>
              </w:rPr>
              <w:t> </w:t>
            </w:r>
            <w:r>
              <w:rPr>
                <w:color w:val="105C84"/>
                <w:spacing w:val="-2"/>
                <w:sz w:val="18"/>
              </w:rPr>
              <w:t>materials</w:t>
            </w:r>
            <w:r>
              <w:rPr>
                <w:color w:val="105C84"/>
                <w:sz w:val="18"/>
              </w:rPr>
              <w:tab/>
              <w:t>promote</w:t>
            </w:r>
            <w:r>
              <w:rPr>
                <w:color w:val="105C84"/>
                <w:spacing w:val="26"/>
                <w:sz w:val="18"/>
              </w:rPr>
              <w:t> </w:t>
            </w:r>
            <w:r>
              <w:rPr>
                <w:color w:val="105C84"/>
                <w:spacing w:val="-2"/>
                <w:sz w:val="18"/>
              </w:rPr>
              <w:t>cancer</w:t>
            </w:r>
          </w:p>
          <w:p>
            <w:pPr>
              <w:pStyle w:val="TableParagraph"/>
              <w:tabs>
                <w:tab w:pos="3926" w:val="left" w:leader="none"/>
              </w:tabs>
              <w:spacing w:line="200" w:lineRule="exact"/>
              <w:ind w:left="92"/>
              <w:rPr>
                <w:sz w:val="18"/>
              </w:rPr>
            </w:pPr>
            <w:r>
              <w:rPr>
                <w:color w:val="105C84"/>
                <w:spacing w:val="-2"/>
                <w:sz w:val="18"/>
              </w:rPr>
              <w:t>(letters,</w:t>
            </w:r>
            <w:r>
              <w:rPr>
                <w:color w:val="105C84"/>
                <w:spacing w:val="4"/>
                <w:sz w:val="18"/>
              </w:rPr>
              <w:t> </w:t>
            </w:r>
            <w:r>
              <w:rPr>
                <w:color w:val="105C84"/>
                <w:spacing w:val="-2"/>
                <w:sz w:val="18"/>
              </w:rPr>
              <w:t>brochures,</w:t>
            </w:r>
            <w:r>
              <w:rPr>
                <w:color w:val="105C84"/>
                <w:sz w:val="18"/>
              </w:rPr>
              <w:tab/>
            </w:r>
            <w:r>
              <w:rPr>
                <w:color w:val="105C84"/>
                <w:spacing w:val="-2"/>
                <w:sz w:val="18"/>
              </w:rPr>
              <w:t>screenings</w:t>
            </w:r>
          </w:p>
          <w:p>
            <w:pPr>
              <w:pStyle w:val="TableParagraph"/>
              <w:tabs>
                <w:tab w:pos="3926" w:val="left" w:leader="none"/>
              </w:tabs>
              <w:spacing w:line="148" w:lineRule="auto" w:before="26"/>
              <w:ind w:left="92"/>
              <w:rPr>
                <w:position w:val="-8"/>
                <w:sz w:val="18"/>
              </w:rPr>
            </w:pPr>
            <w:r>
              <w:rPr>
                <w:color w:val="105C84"/>
                <w:spacing w:val="-2"/>
                <w:sz w:val="18"/>
              </w:rPr>
              <w:t>newsletters)</w:t>
            </w:r>
            <w:r>
              <w:rPr>
                <w:color w:val="105C84"/>
                <w:sz w:val="18"/>
              </w:rPr>
              <w:t> </w:t>
            </w:r>
            <w:r>
              <w:rPr>
                <w:color w:val="105C84"/>
                <w:spacing w:val="-2"/>
                <w:sz w:val="18"/>
              </w:rPr>
              <w:t>and</w:t>
            </w:r>
            <w:r>
              <w:rPr>
                <w:color w:val="105C84"/>
                <w:sz w:val="18"/>
              </w:rPr>
              <w:t> </w:t>
            </w:r>
            <w:r>
              <w:rPr>
                <w:color w:val="105C84"/>
                <w:spacing w:val="-2"/>
                <w:sz w:val="18"/>
              </w:rPr>
              <w:t>health</w:t>
            </w:r>
            <w:r>
              <w:rPr>
                <w:color w:val="105C84"/>
                <w:sz w:val="18"/>
              </w:rPr>
              <w:tab/>
            </w:r>
            <w:r>
              <w:rPr>
                <w:color w:val="105C84"/>
                <w:position w:val="-8"/>
                <w:sz w:val="18"/>
              </w:rPr>
              <w:t>Percent</w:t>
            </w:r>
            <w:r>
              <w:rPr>
                <w:color w:val="105C84"/>
                <w:spacing w:val="-9"/>
                <w:position w:val="-8"/>
                <w:sz w:val="18"/>
              </w:rPr>
              <w:t> </w:t>
            </w:r>
            <w:r>
              <w:rPr>
                <w:color w:val="105C84"/>
                <w:position w:val="-8"/>
                <w:sz w:val="18"/>
              </w:rPr>
              <w:t>of</w:t>
            </w:r>
            <w:r>
              <w:rPr>
                <w:color w:val="105C84"/>
                <w:spacing w:val="-8"/>
                <w:position w:val="-8"/>
                <w:sz w:val="18"/>
              </w:rPr>
              <w:t> </w:t>
            </w:r>
            <w:r>
              <w:rPr>
                <w:color w:val="105C84"/>
                <w:spacing w:val="-2"/>
                <w:position w:val="-8"/>
                <w:sz w:val="18"/>
              </w:rPr>
              <w:t>Cancer</w:t>
            </w:r>
          </w:p>
          <w:p>
            <w:pPr>
              <w:pStyle w:val="TableParagraph"/>
              <w:tabs>
                <w:tab w:pos="3926" w:val="left" w:leader="none"/>
              </w:tabs>
              <w:spacing w:line="148" w:lineRule="auto"/>
              <w:ind w:left="92"/>
              <w:rPr>
                <w:position w:val="-8"/>
                <w:sz w:val="18"/>
              </w:rPr>
            </w:pPr>
            <w:r>
              <w:rPr>
                <w:color w:val="105C84"/>
                <w:sz w:val="18"/>
              </w:rPr>
              <w:t>communication</w:t>
            </w:r>
            <w:r>
              <w:rPr>
                <w:color w:val="105C84"/>
                <w:spacing w:val="15"/>
                <w:sz w:val="18"/>
              </w:rPr>
              <w:t> </w:t>
            </w:r>
            <w:r>
              <w:rPr>
                <w:color w:val="105C84"/>
                <w:spacing w:val="-5"/>
                <w:sz w:val="18"/>
              </w:rPr>
              <w:t>to</w:t>
            </w:r>
            <w:r>
              <w:rPr>
                <w:color w:val="105C84"/>
                <w:sz w:val="18"/>
              </w:rPr>
              <w:tab/>
            </w:r>
            <w:r>
              <w:rPr>
                <w:color w:val="105C84"/>
                <w:spacing w:val="-6"/>
                <w:position w:val="-8"/>
                <w:sz w:val="18"/>
              </w:rPr>
              <w:t>Resource</w:t>
            </w:r>
            <w:r>
              <w:rPr>
                <w:color w:val="105C84"/>
                <w:spacing w:val="1"/>
                <w:position w:val="-8"/>
                <w:sz w:val="18"/>
              </w:rPr>
              <w:t> </w:t>
            </w:r>
            <w:r>
              <w:rPr>
                <w:color w:val="105C84"/>
                <w:spacing w:val="-2"/>
                <w:position w:val="-8"/>
                <w:sz w:val="18"/>
              </w:rPr>
              <w:t>Center</w:t>
            </w:r>
          </w:p>
          <w:p>
            <w:pPr>
              <w:pStyle w:val="TableParagraph"/>
              <w:tabs>
                <w:tab w:pos="3926" w:val="left" w:leader="none"/>
              </w:tabs>
              <w:spacing w:line="148" w:lineRule="auto"/>
              <w:ind w:left="92"/>
              <w:rPr>
                <w:position w:val="-8"/>
                <w:sz w:val="18"/>
              </w:rPr>
            </w:pPr>
            <w:r>
              <w:rPr>
                <w:color w:val="105C84"/>
                <w:sz w:val="18"/>
              </w:rPr>
              <w:t>build</w:t>
            </w:r>
            <w:r>
              <w:rPr>
                <w:color w:val="105C84"/>
                <w:spacing w:val="16"/>
                <w:sz w:val="18"/>
              </w:rPr>
              <w:t> </w:t>
            </w:r>
            <w:r>
              <w:rPr>
                <w:color w:val="105C84"/>
                <w:sz w:val="18"/>
              </w:rPr>
              <w:t>public</w:t>
            </w:r>
            <w:r>
              <w:rPr>
                <w:color w:val="105C84"/>
                <w:spacing w:val="17"/>
                <w:sz w:val="18"/>
              </w:rPr>
              <w:t> </w:t>
            </w:r>
            <w:r>
              <w:rPr>
                <w:color w:val="105C84"/>
                <w:spacing w:val="-2"/>
                <w:sz w:val="18"/>
              </w:rPr>
              <w:t>awareness</w:t>
            </w:r>
            <w:r>
              <w:rPr>
                <w:color w:val="105C84"/>
                <w:sz w:val="18"/>
              </w:rPr>
              <w:tab/>
            </w:r>
            <w:r>
              <w:rPr>
                <w:color w:val="105C84"/>
                <w:w w:val="90"/>
                <w:position w:val="-8"/>
                <w:sz w:val="18"/>
              </w:rPr>
              <w:t>(CRC)</w:t>
            </w:r>
            <w:r>
              <w:rPr>
                <w:color w:val="105C84"/>
                <w:spacing w:val="-5"/>
                <w:w w:val="90"/>
                <w:position w:val="-8"/>
                <w:sz w:val="18"/>
              </w:rPr>
              <w:t> </w:t>
            </w:r>
            <w:r>
              <w:rPr>
                <w:color w:val="105C84"/>
                <w:spacing w:val="-2"/>
                <w:position w:val="-8"/>
                <w:sz w:val="18"/>
              </w:rPr>
              <w:t>promotions</w:t>
            </w:r>
          </w:p>
          <w:p>
            <w:pPr>
              <w:pStyle w:val="TableParagraph"/>
              <w:tabs>
                <w:tab w:pos="3926" w:val="left" w:leader="none"/>
              </w:tabs>
              <w:spacing w:line="245" w:lineRule="exact"/>
              <w:ind w:left="92"/>
              <w:rPr>
                <w:sz w:val="18"/>
              </w:rPr>
            </w:pPr>
            <w:r>
              <w:rPr>
                <w:color w:val="105C84"/>
                <w:position w:val="9"/>
                <w:sz w:val="18"/>
              </w:rPr>
              <w:t>and</w:t>
            </w:r>
            <w:r>
              <w:rPr>
                <w:color w:val="105C84"/>
                <w:spacing w:val="-1"/>
                <w:position w:val="9"/>
                <w:sz w:val="18"/>
              </w:rPr>
              <w:t> </w:t>
            </w:r>
            <w:r>
              <w:rPr>
                <w:color w:val="105C84"/>
                <w:spacing w:val="-2"/>
                <w:position w:val="9"/>
                <w:sz w:val="18"/>
              </w:rPr>
              <w:t>demand</w:t>
            </w:r>
            <w:r>
              <w:rPr>
                <w:color w:val="105C84"/>
                <w:position w:val="9"/>
                <w:sz w:val="18"/>
              </w:rPr>
              <w:tab/>
            </w:r>
            <w:r>
              <w:rPr>
                <w:color w:val="105C84"/>
                <w:sz w:val="18"/>
              </w:rPr>
              <w:t>that</w:t>
            </w:r>
            <w:r>
              <w:rPr>
                <w:color w:val="105C84"/>
                <w:spacing w:val="9"/>
                <w:sz w:val="18"/>
              </w:rPr>
              <w:t> </w:t>
            </w:r>
            <w:r>
              <w:rPr>
                <w:color w:val="105C84"/>
                <w:sz w:val="18"/>
              </w:rPr>
              <w:t>target</w:t>
            </w:r>
            <w:r>
              <w:rPr>
                <w:color w:val="105C84"/>
                <w:spacing w:val="10"/>
                <w:sz w:val="18"/>
              </w:rPr>
              <w:t> </w:t>
            </w:r>
            <w:r>
              <w:rPr>
                <w:color w:val="105C84"/>
                <w:spacing w:val="-5"/>
                <w:sz w:val="18"/>
              </w:rPr>
              <w:t>low</w:t>
            </w:r>
          </w:p>
          <w:p>
            <w:pPr>
              <w:pStyle w:val="TableParagraph"/>
              <w:spacing w:line="203" w:lineRule="exact"/>
              <w:ind w:right="935"/>
              <w:jc w:val="right"/>
              <w:rPr>
                <w:sz w:val="18"/>
              </w:rPr>
            </w:pPr>
            <w:r>
              <w:rPr>
                <w:color w:val="105C84"/>
                <w:spacing w:val="-2"/>
                <w:sz w:val="18"/>
              </w:rPr>
              <w:t>income</w:t>
            </w:r>
          </w:p>
        </w:tc>
        <w:tc>
          <w:tcPr>
            <w:tcW w:w="1923" w:type="dxa"/>
          </w:tcPr>
          <w:p>
            <w:pPr>
              <w:pStyle w:val="TableParagraph"/>
              <w:spacing w:line="232" w:lineRule="auto" w:before="100"/>
              <w:ind w:left="93" w:right="115"/>
              <w:rPr>
                <w:sz w:val="18"/>
              </w:rPr>
            </w:pPr>
            <w:r>
              <w:rPr>
                <w:color w:val="105C84"/>
                <w:spacing w:val="-2"/>
                <w:sz w:val="18"/>
              </w:rPr>
              <w:t>Receive</w:t>
            </w:r>
            <w:r>
              <w:rPr>
                <w:color w:val="105C84"/>
                <w:spacing w:val="-13"/>
                <w:sz w:val="18"/>
              </w:rPr>
              <w:t> </w:t>
            </w:r>
            <w:r>
              <w:rPr>
                <w:color w:val="105C84"/>
                <w:spacing w:val="-2"/>
                <w:sz w:val="18"/>
              </w:rPr>
              <w:t>social</w:t>
            </w:r>
            <w:r>
              <w:rPr>
                <w:color w:val="105C84"/>
                <w:spacing w:val="-10"/>
                <w:sz w:val="18"/>
              </w:rPr>
              <w:t> </w:t>
            </w:r>
            <w:r>
              <w:rPr>
                <w:color w:val="105C84"/>
                <w:spacing w:val="-2"/>
                <w:sz w:val="18"/>
              </w:rPr>
              <w:t>media </w:t>
            </w:r>
            <w:r>
              <w:rPr>
                <w:color w:val="105C84"/>
                <w:sz w:val="18"/>
              </w:rPr>
              <w:t>toolkit from NY CSP</w:t>
            </w:r>
          </w:p>
        </w:tc>
        <w:tc>
          <w:tcPr>
            <w:tcW w:w="1877" w:type="dxa"/>
          </w:tcPr>
          <w:p>
            <w:pPr>
              <w:pStyle w:val="TableParagraph"/>
              <w:spacing w:line="232" w:lineRule="auto" w:before="100"/>
              <w:ind w:left="93" w:right="73"/>
              <w:rPr>
                <w:sz w:val="18"/>
              </w:rPr>
            </w:pPr>
            <w:r>
              <w:rPr>
                <w:color w:val="105C84"/>
                <w:sz w:val="18"/>
              </w:rPr>
              <w:t>Run ad in primary care center, lobbies of hospital (ER and main hospital), </w:t>
            </w:r>
            <w:r>
              <w:rPr>
                <w:color w:val="105C84"/>
                <w:spacing w:val="-2"/>
                <w:sz w:val="18"/>
              </w:rPr>
              <w:t>Facebook,</w:t>
            </w:r>
            <w:r>
              <w:rPr>
                <w:color w:val="105C84"/>
                <w:spacing w:val="-11"/>
                <w:sz w:val="18"/>
              </w:rPr>
              <w:t> </w:t>
            </w:r>
            <w:r>
              <w:rPr>
                <w:color w:val="105C84"/>
                <w:spacing w:val="-2"/>
                <w:sz w:val="18"/>
              </w:rPr>
              <w:t>brochures</w:t>
            </w:r>
          </w:p>
        </w:tc>
        <w:tc>
          <w:tcPr>
            <w:tcW w:w="1878" w:type="dxa"/>
          </w:tcPr>
          <w:p>
            <w:pPr>
              <w:pStyle w:val="TableParagraph"/>
              <w:spacing w:line="232" w:lineRule="auto" w:before="100"/>
              <w:ind w:left="94" w:right="180"/>
              <w:rPr>
                <w:sz w:val="18"/>
              </w:rPr>
            </w:pPr>
            <w:r>
              <w:rPr>
                <w:color w:val="105C84"/>
                <w:sz w:val="18"/>
              </w:rPr>
              <w:t>Schuyler Hospital does interviews</w:t>
            </w:r>
            <w:r>
              <w:rPr>
                <w:color w:val="105C84"/>
                <w:spacing w:val="40"/>
                <w:sz w:val="18"/>
              </w:rPr>
              <w:t> </w:t>
            </w:r>
            <w:r>
              <w:rPr>
                <w:color w:val="105C84"/>
                <w:sz w:val="18"/>
              </w:rPr>
              <w:t>with</w:t>
            </w:r>
            <w:r>
              <w:rPr>
                <w:color w:val="105C84"/>
                <w:spacing w:val="3"/>
                <w:sz w:val="18"/>
              </w:rPr>
              <w:t> </w:t>
            </w:r>
            <w:r>
              <w:rPr>
                <w:color w:val="105C84"/>
                <w:sz w:val="18"/>
              </w:rPr>
              <w:t>Doctors</w:t>
            </w:r>
            <w:r>
              <w:rPr>
                <w:color w:val="105C84"/>
                <w:spacing w:val="3"/>
                <w:sz w:val="18"/>
              </w:rPr>
              <w:t> </w:t>
            </w:r>
            <w:r>
              <w:rPr>
                <w:color w:val="105C84"/>
                <w:sz w:val="18"/>
              </w:rPr>
              <w:t>for</w:t>
            </w:r>
            <w:r>
              <w:rPr>
                <w:color w:val="105C84"/>
                <w:spacing w:val="4"/>
                <w:sz w:val="18"/>
              </w:rPr>
              <w:t> </w:t>
            </w:r>
            <w:r>
              <w:rPr>
                <w:color w:val="105C84"/>
                <w:spacing w:val="-4"/>
                <w:sz w:val="18"/>
              </w:rPr>
              <w:t>live</w:t>
            </w:r>
          </w:p>
          <w:p>
            <w:pPr>
              <w:pStyle w:val="TableParagraph"/>
              <w:spacing w:line="232" w:lineRule="auto"/>
              <w:ind w:left="94" w:right="73"/>
              <w:rPr>
                <w:sz w:val="18"/>
              </w:rPr>
            </w:pPr>
            <w:r>
              <w:rPr>
                <w:color w:val="105C84"/>
                <w:sz w:val="18"/>
              </w:rPr>
              <w:t>videos</w:t>
            </w:r>
            <w:r>
              <w:rPr>
                <w:color w:val="105C84"/>
                <w:spacing w:val="-11"/>
                <w:sz w:val="18"/>
              </w:rPr>
              <w:t> </w:t>
            </w:r>
            <w:r>
              <w:rPr>
                <w:color w:val="105C84"/>
                <w:sz w:val="18"/>
              </w:rPr>
              <w:t>on</w:t>
            </w:r>
            <w:r>
              <w:rPr>
                <w:color w:val="105C84"/>
                <w:spacing w:val="-11"/>
                <w:sz w:val="18"/>
              </w:rPr>
              <w:t> </w:t>
            </w:r>
            <w:r>
              <w:rPr>
                <w:color w:val="105C84"/>
                <w:sz w:val="18"/>
              </w:rPr>
              <w:t>Facebook. Run ad in primary care center, lobbies of hospital (ER and main hospital), </w:t>
            </w:r>
            <w:r>
              <w:rPr>
                <w:color w:val="105C84"/>
                <w:spacing w:val="-2"/>
                <w:sz w:val="18"/>
              </w:rPr>
              <w:t>Facebook,</w:t>
            </w:r>
            <w:r>
              <w:rPr>
                <w:color w:val="105C84"/>
                <w:spacing w:val="-11"/>
                <w:sz w:val="18"/>
              </w:rPr>
              <w:t> </w:t>
            </w:r>
            <w:r>
              <w:rPr>
                <w:color w:val="105C84"/>
                <w:spacing w:val="-2"/>
                <w:sz w:val="18"/>
              </w:rPr>
              <w:t>brochures</w:t>
            </w:r>
          </w:p>
        </w:tc>
        <w:tc>
          <w:tcPr>
            <w:tcW w:w="1665" w:type="dxa"/>
          </w:tcPr>
          <w:p>
            <w:pPr>
              <w:pStyle w:val="TableParagraph"/>
              <w:spacing w:before="95"/>
              <w:ind w:left="95"/>
              <w:rPr>
                <w:sz w:val="18"/>
              </w:rPr>
            </w:pPr>
            <w:r>
              <w:rPr>
                <w:color w:val="105C84"/>
                <w:spacing w:val="-2"/>
                <w:sz w:val="18"/>
              </w:rPr>
              <w:t>Hospital</w:t>
            </w:r>
          </w:p>
        </w:tc>
        <w:tc>
          <w:tcPr>
            <w:tcW w:w="1229" w:type="dxa"/>
          </w:tcPr>
          <w:p>
            <w:pPr>
              <w:pStyle w:val="TableParagraph"/>
              <w:spacing w:line="232" w:lineRule="auto" w:before="100"/>
              <w:ind w:left="96" w:right="91"/>
              <w:rPr>
                <w:sz w:val="18"/>
              </w:rPr>
            </w:pPr>
            <w:r>
              <w:rPr>
                <w:color w:val="105C84"/>
                <w:spacing w:val="-2"/>
                <w:sz w:val="18"/>
              </w:rPr>
              <w:t>Schuyler Hospital</w:t>
            </w:r>
            <w:r>
              <w:rPr>
                <w:color w:val="105C84"/>
                <w:spacing w:val="-11"/>
                <w:sz w:val="18"/>
              </w:rPr>
              <w:t> </w:t>
            </w:r>
            <w:r>
              <w:rPr>
                <w:color w:val="105C84"/>
                <w:spacing w:val="-2"/>
                <w:sz w:val="18"/>
              </w:rPr>
              <w:t>2% </w:t>
            </w:r>
            <w:r>
              <w:rPr>
                <w:color w:val="105C84"/>
                <w:spacing w:val="-4"/>
                <w:sz w:val="18"/>
              </w:rPr>
              <w:t>FTE</w:t>
            </w:r>
          </w:p>
        </w:tc>
      </w:tr>
      <w:tr>
        <w:trPr>
          <w:trHeight w:val="2730" w:hRule="atLeast"/>
        </w:trPr>
        <w:tc>
          <w:tcPr>
            <w:tcW w:w="1324" w:type="dxa"/>
            <w:vMerge/>
            <w:tcBorders>
              <w:top w:val="nil"/>
            </w:tcBorders>
            <w:shd w:val="clear" w:color="auto" w:fill="E6E7E8"/>
          </w:tcPr>
          <w:p>
            <w:pPr>
              <w:rPr>
                <w:sz w:val="2"/>
                <w:szCs w:val="2"/>
              </w:rPr>
            </w:pPr>
          </w:p>
        </w:tc>
        <w:tc>
          <w:tcPr>
            <w:tcW w:w="1814" w:type="dxa"/>
            <w:vMerge/>
            <w:tcBorders>
              <w:top w:val="nil"/>
            </w:tcBorders>
          </w:tcPr>
          <w:p>
            <w:pPr>
              <w:rPr>
                <w:sz w:val="2"/>
                <w:szCs w:val="2"/>
              </w:rPr>
            </w:pPr>
          </w:p>
        </w:tc>
        <w:tc>
          <w:tcPr>
            <w:tcW w:w="1706" w:type="dxa"/>
            <w:vMerge/>
            <w:tcBorders>
              <w:top w:val="nil"/>
            </w:tcBorders>
          </w:tcPr>
          <w:p>
            <w:pPr>
              <w:rPr>
                <w:sz w:val="2"/>
                <w:szCs w:val="2"/>
              </w:rPr>
            </w:pPr>
          </w:p>
        </w:tc>
        <w:tc>
          <w:tcPr>
            <w:tcW w:w="1814" w:type="dxa"/>
            <w:vMerge/>
            <w:tcBorders>
              <w:top w:val="nil"/>
            </w:tcBorders>
          </w:tcPr>
          <w:p>
            <w:pPr>
              <w:rPr>
                <w:sz w:val="2"/>
                <w:szCs w:val="2"/>
              </w:rPr>
            </w:pPr>
          </w:p>
        </w:tc>
        <w:tc>
          <w:tcPr>
            <w:tcW w:w="1641" w:type="dxa"/>
            <w:vMerge/>
            <w:tcBorders>
              <w:top w:val="nil"/>
            </w:tcBorders>
          </w:tcPr>
          <w:p>
            <w:pPr>
              <w:rPr>
                <w:sz w:val="2"/>
                <w:szCs w:val="2"/>
              </w:rPr>
            </w:pPr>
          </w:p>
        </w:tc>
        <w:tc>
          <w:tcPr>
            <w:tcW w:w="5464" w:type="dxa"/>
            <w:vMerge/>
            <w:tcBorders>
              <w:top w:val="nil"/>
            </w:tcBorders>
          </w:tcPr>
          <w:p>
            <w:pPr>
              <w:rPr>
                <w:sz w:val="2"/>
                <w:szCs w:val="2"/>
              </w:rPr>
            </w:pPr>
          </w:p>
        </w:tc>
        <w:tc>
          <w:tcPr>
            <w:tcW w:w="1923" w:type="dxa"/>
          </w:tcPr>
          <w:p>
            <w:pPr>
              <w:pStyle w:val="TableParagraph"/>
              <w:spacing w:line="232" w:lineRule="auto" w:before="100"/>
              <w:ind w:left="93" w:right="139"/>
              <w:rPr>
                <w:sz w:val="18"/>
              </w:rPr>
            </w:pPr>
            <w:r>
              <w:rPr>
                <w:color w:val="105C84"/>
                <w:spacing w:val="-2"/>
                <w:sz w:val="18"/>
              </w:rPr>
              <w:t>NY</w:t>
            </w:r>
            <w:r>
              <w:rPr>
                <w:color w:val="105C84"/>
                <w:spacing w:val="-11"/>
                <w:sz w:val="18"/>
              </w:rPr>
              <w:t> </w:t>
            </w:r>
            <w:r>
              <w:rPr>
                <w:color w:val="105C84"/>
                <w:spacing w:val="-2"/>
                <w:sz w:val="18"/>
              </w:rPr>
              <w:t>CSP</w:t>
            </w:r>
            <w:r>
              <w:rPr>
                <w:color w:val="105C84"/>
                <w:spacing w:val="-10"/>
                <w:sz w:val="18"/>
              </w:rPr>
              <w:t> </w:t>
            </w:r>
            <w:r>
              <w:rPr>
                <w:color w:val="105C84"/>
                <w:spacing w:val="-2"/>
                <w:sz w:val="18"/>
              </w:rPr>
              <w:t>will</w:t>
            </w:r>
            <w:r>
              <w:rPr>
                <w:color w:val="105C84"/>
                <w:spacing w:val="-11"/>
                <w:sz w:val="18"/>
              </w:rPr>
              <w:t> </w:t>
            </w:r>
            <w:r>
              <w:rPr>
                <w:color w:val="105C84"/>
                <w:spacing w:val="-2"/>
                <w:sz w:val="18"/>
              </w:rPr>
              <w:t>continue </w:t>
            </w:r>
            <w:r>
              <w:rPr>
                <w:color w:val="105C84"/>
                <w:sz w:val="18"/>
              </w:rPr>
              <w:t>to provide social media toolkit, that can be shared to Facebook for daily and weekly post, Press releases, </w:t>
            </w:r>
            <w:r>
              <w:rPr>
                <w:color w:val="105C84"/>
                <w:spacing w:val="-2"/>
                <w:sz w:val="18"/>
              </w:rPr>
              <w:t>Commercials</w:t>
            </w:r>
          </w:p>
          <w:p>
            <w:pPr>
              <w:pStyle w:val="TableParagraph"/>
              <w:spacing w:line="232" w:lineRule="auto" w:before="84"/>
              <w:ind w:left="93" w:right="252"/>
              <w:rPr>
                <w:sz w:val="18"/>
              </w:rPr>
            </w:pPr>
            <w:r>
              <w:rPr>
                <w:color w:val="105C84"/>
                <w:sz w:val="18"/>
              </w:rPr>
              <w:t>Investigate if they </w:t>
            </w:r>
            <w:r>
              <w:rPr>
                <w:color w:val="105C84"/>
                <w:spacing w:val="-2"/>
                <w:sz w:val="18"/>
              </w:rPr>
              <w:t>NYCSP</w:t>
            </w:r>
            <w:r>
              <w:rPr>
                <w:color w:val="105C84"/>
                <w:spacing w:val="-13"/>
                <w:sz w:val="18"/>
              </w:rPr>
              <w:t> </w:t>
            </w:r>
            <w:r>
              <w:rPr>
                <w:color w:val="105C84"/>
                <w:spacing w:val="-2"/>
                <w:sz w:val="18"/>
              </w:rPr>
              <w:t>can</w:t>
            </w:r>
            <w:r>
              <w:rPr>
                <w:color w:val="105C84"/>
                <w:spacing w:val="-10"/>
                <w:sz w:val="18"/>
              </w:rPr>
              <w:t> </w:t>
            </w:r>
            <w:r>
              <w:rPr>
                <w:color w:val="105C84"/>
                <w:spacing w:val="-2"/>
                <w:sz w:val="18"/>
              </w:rPr>
              <w:t>provide billboard</w:t>
            </w:r>
          </w:p>
          <w:p>
            <w:pPr>
              <w:pStyle w:val="TableParagraph"/>
              <w:spacing w:before="82"/>
              <w:ind w:left="93"/>
              <w:rPr>
                <w:sz w:val="18"/>
              </w:rPr>
            </w:pPr>
            <w:r>
              <w:rPr>
                <w:color w:val="105C84"/>
                <w:spacing w:val="-2"/>
                <w:sz w:val="18"/>
              </w:rPr>
              <w:t>Post</w:t>
            </w:r>
            <w:r>
              <w:rPr>
                <w:color w:val="105C84"/>
                <w:spacing w:val="-11"/>
                <w:sz w:val="18"/>
              </w:rPr>
              <w:t> </w:t>
            </w:r>
            <w:r>
              <w:rPr>
                <w:color w:val="105C84"/>
                <w:spacing w:val="-2"/>
                <w:sz w:val="18"/>
              </w:rPr>
              <w:t>billboard</w:t>
            </w:r>
          </w:p>
        </w:tc>
        <w:tc>
          <w:tcPr>
            <w:tcW w:w="1877" w:type="dxa"/>
          </w:tcPr>
          <w:p>
            <w:pPr>
              <w:pStyle w:val="TableParagraph"/>
              <w:spacing w:line="232" w:lineRule="auto" w:before="100"/>
              <w:ind w:left="93" w:right="102"/>
              <w:rPr>
                <w:sz w:val="18"/>
              </w:rPr>
            </w:pPr>
            <w:r>
              <w:rPr>
                <w:color w:val="105C84"/>
                <w:spacing w:val="-2"/>
                <w:sz w:val="18"/>
              </w:rPr>
              <w:t>NY</w:t>
            </w:r>
            <w:r>
              <w:rPr>
                <w:color w:val="105C84"/>
                <w:spacing w:val="-11"/>
                <w:sz w:val="18"/>
              </w:rPr>
              <w:t> </w:t>
            </w:r>
            <w:r>
              <w:rPr>
                <w:color w:val="105C84"/>
                <w:spacing w:val="-2"/>
                <w:sz w:val="18"/>
              </w:rPr>
              <w:t>CSP</w:t>
            </w:r>
            <w:r>
              <w:rPr>
                <w:color w:val="105C84"/>
                <w:spacing w:val="-10"/>
                <w:sz w:val="18"/>
              </w:rPr>
              <w:t> </w:t>
            </w:r>
            <w:r>
              <w:rPr>
                <w:color w:val="105C84"/>
                <w:spacing w:val="-2"/>
                <w:sz w:val="18"/>
              </w:rPr>
              <w:t>will</w:t>
            </w:r>
            <w:r>
              <w:rPr>
                <w:color w:val="105C84"/>
                <w:spacing w:val="-11"/>
                <w:sz w:val="18"/>
              </w:rPr>
              <w:t> </w:t>
            </w:r>
            <w:r>
              <w:rPr>
                <w:color w:val="105C84"/>
                <w:spacing w:val="-2"/>
                <w:sz w:val="18"/>
              </w:rPr>
              <w:t>continue </w:t>
            </w:r>
            <w:r>
              <w:rPr>
                <w:color w:val="105C84"/>
                <w:sz w:val="18"/>
              </w:rPr>
              <w:t>to provide social media toolkit, that can be shared to Facebook for daily and weekly post, Press releases, </w:t>
            </w:r>
            <w:r>
              <w:rPr>
                <w:color w:val="105C84"/>
                <w:spacing w:val="-2"/>
                <w:sz w:val="18"/>
              </w:rPr>
              <w:t>Commercials</w:t>
            </w:r>
          </w:p>
          <w:p>
            <w:pPr>
              <w:pStyle w:val="TableParagraph"/>
              <w:spacing w:line="232" w:lineRule="auto" w:before="84"/>
              <w:ind w:left="93" w:right="343"/>
              <w:rPr>
                <w:sz w:val="18"/>
              </w:rPr>
            </w:pPr>
            <w:r>
              <w:rPr>
                <w:color w:val="105C84"/>
                <w:sz w:val="18"/>
              </w:rPr>
              <w:t>Billboard</w:t>
            </w:r>
            <w:r>
              <w:rPr>
                <w:color w:val="105C84"/>
                <w:spacing w:val="-10"/>
                <w:sz w:val="18"/>
              </w:rPr>
              <w:t> </w:t>
            </w:r>
            <w:r>
              <w:rPr>
                <w:color w:val="105C84"/>
                <w:sz w:val="18"/>
              </w:rPr>
              <w:t>for March 2020</w:t>
            </w:r>
          </w:p>
        </w:tc>
        <w:tc>
          <w:tcPr>
            <w:tcW w:w="1878" w:type="dxa"/>
          </w:tcPr>
          <w:p>
            <w:pPr>
              <w:pStyle w:val="TableParagraph"/>
              <w:spacing w:line="232" w:lineRule="auto" w:before="100"/>
              <w:ind w:left="94" w:right="102"/>
              <w:rPr>
                <w:sz w:val="18"/>
              </w:rPr>
            </w:pPr>
            <w:r>
              <w:rPr>
                <w:color w:val="105C84"/>
                <w:spacing w:val="-2"/>
                <w:sz w:val="18"/>
              </w:rPr>
              <w:t>NY</w:t>
            </w:r>
            <w:r>
              <w:rPr>
                <w:color w:val="105C84"/>
                <w:spacing w:val="-11"/>
                <w:sz w:val="18"/>
              </w:rPr>
              <w:t> </w:t>
            </w:r>
            <w:r>
              <w:rPr>
                <w:color w:val="105C84"/>
                <w:spacing w:val="-2"/>
                <w:sz w:val="18"/>
              </w:rPr>
              <w:t>CSP</w:t>
            </w:r>
            <w:r>
              <w:rPr>
                <w:color w:val="105C84"/>
                <w:spacing w:val="-10"/>
                <w:sz w:val="18"/>
              </w:rPr>
              <w:t> </w:t>
            </w:r>
            <w:r>
              <w:rPr>
                <w:color w:val="105C84"/>
                <w:spacing w:val="-2"/>
                <w:sz w:val="18"/>
              </w:rPr>
              <w:t>will</w:t>
            </w:r>
            <w:r>
              <w:rPr>
                <w:color w:val="105C84"/>
                <w:spacing w:val="-11"/>
                <w:sz w:val="18"/>
              </w:rPr>
              <w:t> </w:t>
            </w:r>
            <w:r>
              <w:rPr>
                <w:color w:val="105C84"/>
                <w:spacing w:val="-2"/>
                <w:sz w:val="18"/>
              </w:rPr>
              <w:t>continue </w:t>
            </w:r>
            <w:r>
              <w:rPr>
                <w:color w:val="105C84"/>
                <w:sz w:val="18"/>
              </w:rPr>
              <w:t>to provide social media toolkit, that can be shared to Facebook for daily and</w:t>
            </w:r>
            <w:r>
              <w:rPr>
                <w:color w:val="105C84"/>
                <w:spacing w:val="40"/>
                <w:sz w:val="18"/>
              </w:rPr>
              <w:t> </w:t>
            </w:r>
            <w:r>
              <w:rPr>
                <w:color w:val="105C84"/>
                <w:sz w:val="18"/>
              </w:rPr>
              <w:t>weekly post, Press releases, </w:t>
            </w:r>
            <w:r>
              <w:rPr>
                <w:color w:val="105C84"/>
                <w:spacing w:val="-2"/>
                <w:sz w:val="18"/>
              </w:rPr>
              <w:t>Commercials</w:t>
            </w:r>
          </w:p>
        </w:tc>
        <w:tc>
          <w:tcPr>
            <w:tcW w:w="1665" w:type="dxa"/>
          </w:tcPr>
          <w:p>
            <w:pPr>
              <w:pStyle w:val="TableParagraph"/>
              <w:spacing w:line="232" w:lineRule="auto" w:before="100"/>
              <w:ind w:left="95"/>
              <w:rPr>
                <w:sz w:val="18"/>
              </w:rPr>
            </w:pPr>
            <w:r>
              <w:rPr>
                <w:color w:val="105C84"/>
                <w:sz w:val="18"/>
              </w:rPr>
              <w:t>Other (please describe</w:t>
            </w:r>
            <w:r>
              <w:rPr>
                <w:color w:val="105C84"/>
                <w:spacing w:val="-13"/>
                <w:sz w:val="18"/>
              </w:rPr>
              <w:t> </w:t>
            </w:r>
            <w:r>
              <w:rPr>
                <w:color w:val="105C84"/>
                <w:sz w:val="18"/>
              </w:rPr>
              <w:t>partner and role(s) in column D)</w:t>
            </w:r>
          </w:p>
        </w:tc>
        <w:tc>
          <w:tcPr>
            <w:tcW w:w="1229" w:type="dxa"/>
          </w:tcPr>
          <w:p>
            <w:pPr>
              <w:pStyle w:val="TableParagraph"/>
              <w:spacing w:line="232" w:lineRule="auto" w:before="100"/>
              <w:ind w:left="96" w:right="193"/>
              <w:rPr>
                <w:sz w:val="18"/>
              </w:rPr>
            </w:pPr>
            <w:r>
              <w:rPr>
                <w:color w:val="105C84"/>
                <w:spacing w:val="-2"/>
                <w:sz w:val="18"/>
              </w:rPr>
              <w:t>Southern Tier</w:t>
            </w:r>
            <w:r>
              <w:rPr>
                <w:color w:val="105C84"/>
                <w:spacing w:val="-11"/>
                <w:sz w:val="18"/>
              </w:rPr>
              <w:t> </w:t>
            </w:r>
            <w:r>
              <w:rPr>
                <w:color w:val="105C84"/>
                <w:spacing w:val="-2"/>
                <w:sz w:val="18"/>
              </w:rPr>
              <w:t>Cancer Services Program</w:t>
            </w:r>
          </w:p>
          <w:p>
            <w:pPr>
              <w:pStyle w:val="TableParagraph"/>
              <w:spacing w:line="232" w:lineRule="auto"/>
              <w:ind w:left="96" w:right="91"/>
              <w:rPr>
                <w:sz w:val="18"/>
              </w:rPr>
            </w:pPr>
            <w:r>
              <w:rPr>
                <w:color w:val="105C84"/>
                <w:w w:val="105"/>
                <w:sz w:val="18"/>
              </w:rPr>
              <w:t>- cost of </w:t>
            </w:r>
            <w:r>
              <w:rPr>
                <w:color w:val="105C84"/>
                <w:spacing w:val="-2"/>
                <w:w w:val="105"/>
                <w:sz w:val="18"/>
              </w:rPr>
              <w:t>billboard</w:t>
            </w:r>
            <w:r>
              <w:rPr>
                <w:color w:val="105C84"/>
                <w:spacing w:val="40"/>
                <w:w w:val="105"/>
                <w:sz w:val="18"/>
              </w:rPr>
              <w:t> </w:t>
            </w:r>
            <w:r>
              <w:rPr>
                <w:color w:val="105C84"/>
                <w:w w:val="105"/>
                <w:sz w:val="18"/>
              </w:rPr>
              <w:t>and time of </w:t>
            </w:r>
            <w:r>
              <w:rPr>
                <w:color w:val="105C84"/>
                <w:spacing w:val="-2"/>
                <w:w w:val="105"/>
                <w:sz w:val="18"/>
              </w:rPr>
              <w:t>employee </w:t>
            </w:r>
            <w:r>
              <w:rPr>
                <w:color w:val="105C84"/>
                <w:w w:val="105"/>
                <w:sz w:val="18"/>
              </w:rPr>
              <w:t>spent</w:t>
            </w:r>
            <w:r>
              <w:rPr>
                <w:color w:val="105C84"/>
                <w:spacing w:val="-1"/>
                <w:w w:val="105"/>
                <w:sz w:val="18"/>
              </w:rPr>
              <w:t> </w:t>
            </w:r>
            <w:r>
              <w:rPr>
                <w:color w:val="105C84"/>
                <w:w w:val="105"/>
                <w:sz w:val="18"/>
              </w:rPr>
              <w:t>on </w:t>
            </w:r>
            <w:r>
              <w:rPr>
                <w:color w:val="105C84"/>
                <w:spacing w:val="-2"/>
                <w:sz w:val="18"/>
              </w:rPr>
              <w:t>campaigning</w:t>
            </w:r>
          </w:p>
        </w:tc>
      </w:tr>
      <w:tr>
        <w:trPr>
          <w:trHeight w:val="1761" w:hRule="atLeast"/>
        </w:trPr>
        <w:tc>
          <w:tcPr>
            <w:tcW w:w="1324" w:type="dxa"/>
            <w:vMerge/>
            <w:tcBorders>
              <w:top w:val="nil"/>
            </w:tcBorders>
            <w:shd w:val="clear" w:color="auto" w:fill="E6E7E8"/>
          </w:tcPr>
          <w:p>
            <w:pPr>
              <w:rPr>
                <w:sz w:val="2"/>
                <w:szCs w:val="2"/>
              </w:rPr>
            </w:pPr>
          </w:p>
        </w:tc>
        <w:tc>
          <w:tcPr>
            <w:tcW w:w="1814" w:type="dxa"/>
            <w:vMerge/>
            <w:tcBorders>
              <w:top w:val="nil"/>
            </w:tcBorders>
          </w:tcPr>
          <w:p>
            <w:pPr>
              <w:rPr>
                <w:sz w:val="2"/>
                <w:szCs w:val="2"/>
              </w:rPr>
            </w:pPr>
          </w:p>
        </w:tc>
        <w:tc>
          <w:tcPr>
            <w:tcW w:w="1706" w:type="dxa"/>
            <w:vMerge/>
            <w:tcBorders>
              <w:top w:val="nil"/>
            </w:tcBorders>
          </w:tcPr>
          <w:p>
            <w:pPr>
              <w:rPr>
                <w:sz w:val="2"/>
                <w:szCs w:val="2"/>
              </w:rPr>
            </w:pPr>
          </w:p>
        </w:tc>
        <w:tc>
          <w:tcPr>
            <w:tcW w:w="1814" w:type="dxa"/>
            <w:vMerge/>
            <w:tcBorders>
              <w:top w:val="nil"/>
            </w:tcBorders>
          </w:tcPr>
          <w:p>
            <w:pPr>
              <w:rPr>
                <w:sz w:val="2"/>
                <w:szCs w:val="2"/>
              </w:rPr>
            </w:pPr>
          </w:p>
        </w:tc>
        <w:tc>
          <w:tcPr>
            <w:tcW w:w="1641" w:type="dxa"/>
            <w:vMerge/>
            <w:tcBorders>
              <w:top w:val="nil"/>
            </w:tcBorders>
          </w:tcPr>
          <w:p>
            <w:pPr>
              <w:rPr>
                <w:sz w:val="2"/>
                <w:szCs w:val="2"/>
              </w:rPr>
            </w:pPr>
          </w:p>
        </w:tc>
        <w:tc>
          <w:tcPr>
            <w:tcW w:w="5464" w:type="dxa"/>
            <w:vMerge/>
            <w:tcBorders>
              <w:top w:val="nil"/>
            </w:tcBorders>
          </w:tcPr>
          <w:p>
            <w:pPr>
              <w:rPr>
                <w:sz w:val="2"/>
                <w:szCs w:val="2"/>
              </w:rPr>
            </w:pPr>
          </w:p>
        </w:tc>
        <w:tc>
          <w:tcPr>
            <w:tcW w:w="1923" w:type="dxa"/>
          </w:tcPr>
          <w:p>
            <w:pPr>
              <w:pStyle w:val="TableParagraph"/>
              <w:spacing w:line="232" w:lineRule="auto" w:before="99"/>
              <w:ind w:left="93" w:right="116"/>
              <w:rPr>
                <w:sz w:val="18"/>
              </w:rPr>
            </w:pPr>
            <w:r>
              <w:rPr>
                <w:color w:val="105C84"/>
                <w:sz w:val="18"/>
              </w:rPr>
              <w:t>Promotion</w:t>
            </w:r>
            <w:r>
              <w:rPr>
                <w:color w:val="105C84"/>
                <w:spacing w:val="-9"/>
                <w:sz w:val="18"/>
              </w:rPr>
              <w:t> </w:t>
            </w:r>
            <w:r>
              <w:rPr>
                <w:color w:val="105C84"/>
                <w:sz w:val="18"/>
              </w:rPr>
              <w:t>of</w:t>
            </w:r>
            <w:r>
              <w:rPr>
                <w:color w:val="105C84"/>
                <w:spacing w:val="-9"/>
                <w:sz w:val="18"/>
              </w:rPr>
              <w:t> </w:t>
            </w:r>
            <w:r>
              <w:rPr>
                <w:color w:val="105C84"/>
                <w:sz w:val="18"/>
              </w:rPr>
              <w:t>Healthy Living Classes in local media and</w:t>
            </w:r>
          </w:p>
          <w:p>
            <w:pPr>
              <w:pStyle w:val="TableParagraph"/>
              <w:spacing w:line="232" w:lineRule="auto"/>
              <w:ind w:left="93" w:right="115"/>
              <w:rPr>
                <w:sz w:val="18"/>
              </w:rPr>
            </w:pPr>
            <w:r>
              <w:rPr>
                <w:color w:val="105C84"/>
                <w:sz w:val="18"/>
              </w:rPr>
              <w:t>hold</w:t>
            </w:r>
            <w:r>
              <w:rPr>
                <w:color w:val="105C84"/>
                <w:spacing w:val="-15"/>
                <w:sz w:val="18"/>
              </w:rPr>
              <w:t> </w:t>
            </w:r>
            <w:r>
              <w:rPr>
                <w:color w:val="105C84"/>
                <w:sz w:val="18"/>
              </w:rPr>
              <w:t>Healthy</w:t>
            </w:r>
            <w:r>
              <w:rPr>
                <w:color w:val="105C84"/>
                <w:spacing w:val="-12"/>
                <w:sz w:val="18"/>
              </w:rPr>
              <w:t> </w:t>
            </w:r>
            <w:r>
              <w:rPr>
                <w:color w:val="105C84"/>
                <w:sz w:val="18"/>
              </w:rPr>
              <w:t>Living </w:t>
            </w:r>
            <w:r>
              <w:rPr>
                <w:color w:val="105C84"/>
                <w:spacing w:val="-2"/>
                <w:sz w:val="18"/>
              </w:rPr>
              <w:t>Classes</w:t>
            </w:r>
          </w:p>
        </w:tc>
        <w:tc>
          <w:tcPr>
            <w:tcW w:w="1877" w:type="dxa"/>
          </w:tcPr>
          <w:p>
            <w:pPr>
              <w:pStyle w:val="TableParagraph"/>
              <w:spacing w:line="232" w:lineRule="auto" w:before="99"/>
              <w:ind w:left="93" w:right="73"/>
              <w:rPr>
                <w:sz w:val="18"/>
              </w:rPr>
            </w:pPr>
            <w:r>
              <w:rPr>
                <w:color w:val="105C84"/>
                <w:sz w:val="18"/>
              </w:rPr>
              <w:t>Promotion</w:t>
            </w:r>
            <w:r>
              <w:rPr>
                <w:color w:val="105C84"/>
                <w:spacing w:val="-11"/>
                <w:sz w:val="18"/>
              </w:rPr>
              <w:t> </w:t>
            </w:r>
            <w:r>
              <w:rPr>
                <w:color w:val="105C84"/>
                <w:sz w:val="18"/>
              </w:rPr>
              <w:t>of</w:t>
            </w:r>
            <w:r>
              <w:rPr>
                <w:color w:val="105C84"/>
                <w:spacing w:val="-11"/>
                <w:sz w:val="18"/>
              </w:rPr>
              <w:t> </w:t>
            </w:r>
            <w:r>
              <w:rPr>
                <w:color w:val="105C84"/>
                <w:sz w:val="18"/>
              </w:rPr>
              <w:t>Healthy Living Classes in local media</w:t>
            </w:r>
          </w:p>
          <w:p>
            <w:pPr>
              <w:pStyle w:val="TableParagraph"/>
              <w:spacing w:line="232" w:lineRule="auto" w:before="88"/>
              <w:ind w:left="93" w:right="128"/>
              <w:rPr>
                <w:sz w:val="18"/>
              </w:rPr>
            </w:pPr>
            <w:r>
              <w:rPr>
                <w:color w:val="105C84"/>
                <w:sz w:val="18"/>
              </w:rPr>
              <w:t>Facebook live events with doctors to promote cancer </w:t>
            </w:r>
            <w:r>
              <w:rPr>
                <w:color w:val="105C84"/>
                <w:spacing w:val="-4"/>
                <w:sz w:val="18"/>
              </w:rPr>
              <w:t>screening</w:t>
            </w:r>
            <w:r>
              <w:rPr>
                <w:color w:val="105C84"/>
                <w:spacing w:val="-9"/>
                <w:sz w:val="18"/>
              </w:rPr>
              <w:t> </w:t>
            </w:r>
            <w:r>
              <w:rPr>
                <w:color w:val="105C84"/>
                <w:spacing w:val="-4"/>
                <w:sz w:val="18"/>
              </w:rPr>
              <w:t>awareness</w:t>
            </w:r>
          </w:p>
        </w:tc>
        <w:tc>
          <w:tcPr>
            <w:tcW w:w="1878" w:type="dxa"/>
          </w:tcPr>
          <w:p>
            <w:pPr>
              <w:pStyle w:val="TableParagraph"/>
              <w:spacing w:line="232" w:lineRule="auto" w:before="99"/>
              <w:ind w:left="94" w:right="73"/>
              <w:rPr>
                <w:sz w:val="18"/>
              </w:rPr>
            </w:pPr>
            <w:r>
              <w:rPr>
                <w:color w:val="105C84"/>
                <w:sz w:val="18"/>
              </w:rPr>
              <w:t>Promotion</w:t>
            </w:r>
            <w:r>
              <w:rPr>
                <w:color w:val="105C84"/>
                <w:spacing w:val="-10"/>
                <w:sz w:val="18"/>
              </w:rPr>
              <w:t> </w:t>
            </w:r>
            <w:r>
              <w:rPr>
                <w:color w:val="105C84"/>
                <w:sz w:val="18"/>
              </w:rPr>
              <w:t>of</w:t>
            </w:r>
            <w:r>
              <w:rPr>
                <w:color w:val="105C84"/>
                <w:spacing w:val="-10"/>
                <w:sz w:val="18"/>
              </w:rPr>
              <w:t> </w:t>
            </w:r>
            <w:r>
              <w:rPr>
                <w:color w:val="105C84"/>
                <w:sz w:val="18"/>
              </w:rPr>
              <w:t>Healthy Living Classes in local media</w:t>
            </w:r>
          </w:p>
        </w:tc>
        <w:tc>
          <w:tcPr>
            <w:tcW w:w="1665" w:type="dxa"/>
          </w:tcPr>
          <w:p>
            <w:pPr>
              <w:pStyle w:val="TableParagraph"/>
              <w:spacing w:line="232" w:lineRule="auto" w:before="99"/>
              <w:ind w:left="95"/>
              <w:rPr>
                <w:sz w:val="18"/>
              </w:rPr>
            </w:pPr>
            <w:r>
              <w:rPr>
                <w:color w:val="105C84"/>
                <w:spacing w:val="-2"/>
                <w:sz w:val="18"/>
              </w:rPr>
              <w:t>Community-</w:t>
            </w:r>
            <w:r>
              <w:rPr>
                <w:color w:val="105C84"/>
                <w:spacing w:val="-2"/>
                <w:sz w:val="18"/>
              </w:rPr>
              <w:t>based organizations</w:t>
            </w:r>
          </w:p>
        </w:tc>
        <w:tc>
          <w:tcPr>
            <w:tcW w:w="1229" w:type="dxa"/>
          </w:tcPr>
          <w:p>
            <w:pPr>
              <w:pStyle w:val="TableParagraph"/>
              <w:spacing w:line="232" w:lineRule="auto" w:before="99"/>
              <w:ind w:left="96" w:right="172"/>
              <w:rPr>
                <w:sz w:val="18"/>
              </w:rPr>
            </w:pPr>
            <w:r>
              <w:rPr>
                <w:color w:val="105C84"/>
                <w:sz w:val="18"/>
              </w:rPr>
              <w:t>U of R-Center for </w:t>
            </w:r>
            <w:r>
              <w:rPr>
                <w:color w:val="105C84"/>
                <w:spacing w:val="-2"/>
                <w:sz w:val="18"/>
              </w:rPr>
              <w:t>Community </w:t>
            </w:r>
            <w:r>
              <w:rPr>
                <w:color w:val="105C84"/>
                <w:sz w:val="18"/>
              </w:rPr>
              <w:t>Health &amp; </w:t>
            </w:r>
            <w:r>
              <w:rPr>
                <w:color w:val="105C84"/>
                <w:spacing w:val="-2"/>
                <w:sz w:val="18"/>
              </w:rPr>
              <w:t>Prevention-</w:t>
            </w:r>
            <w:r>
              <w:rPr>
                <w:color w:val="105C84"/>
                <w:w w:val="90"/>
                <w:sz w:val="18"/>
              </w:rPr>
              <w:t>2%</w:t>
            </w:r>
            <w:r>
              <w:rPr>
                <w:color w:val="105C84"/>
                <w:sz w:val="18"/>
              </w:rPr>
              <w:t> </w:t>
            </w:r>
            <w:r>
              <w:rPr>
                <w:color w:val="105C84"/>
                <w:w w:val="90"/>
                <w:sz w:val="18"/>
              </w:rPr>
              <w:t>FTE</w:t>
            </w:r>
            <w:r>
              <w:rPr>
                <w:color w:val="105C84"/>
                <w:sz w:val="18"/>
              </w:rPr>
              <w:t> </w:t>
            </w:r>
            <w:r>
              <w:rPr>
                <w:color w:val="105C84"/>
                <w:spacing w:val="-5"/>
                <w:w w:val="90"/>
                <w:sz w:val="18"/>
              </w:rPr>
              <w:t>and</w:t>
            </w:r>
          </w:p>
          <w:p>
            <w:pPr>
              <w:pStyle w:val="TableParagraph"/>
              <w:spacing w:line="197" w:lineRule="exact"/>
              <w:ind w:left="96"/>
              <w:rPr>
                <w:sz w:val="18"/>
              </w:rPr>
            </w:pPr>
            <w:r>
              <w:rPr>
                <w:color w:val="105C84"/>
                <w:spacing w:val="-2"/>
                <w:sz w:val="18"/>
              </w:rPr>
              <w:t>$330/year</w:t>
            </w:r>
          </w:p>
        </w:tc>
      </w:tr>
      <w:tr>
        <w:trPr>
          <w:trHeight w:val="3330" w:hRule="atLeast"/>
        </w:trPr>
        <w:tc>
          <w:tcPr>
            <w:tcW w:w="1324" w:type="dxa"/>
            <w:vMerge/>
            <w:tcBorders>
              <w:top w:val="nil"/>
            </w:tcBorders>
            <w:shd w:val="clear" w:color="auto" w:fill="E6E7E8"/>
          </w:tcPr>
          <w:p>
            <w:pPr>
              <w:rPr>
                <w:sz w:val="2"/>
                <w:szCs w:val="2"/>
              </w:rPr>
            </w:pPr>
          </w:p>
        </w:tc>
        <w:tc>
          <w:tcPr>
            <w:tcW w:w="1814" w:type="dxa"/>
            <w:vMerge/>
            <w:tcBorders>
              <w:top w:val="nil"/>
            </w:tcBorders>
          </w:tcPr>
          <w:p>
            <w:pPr>
              <w:rPr>
                <w:sz w:val="2"/>
                <w:szCs w:val="2"/>
              </w:rPr>
            </w:pPr>
          </w:p>
        </w:tc>
        <w:tc>
          <w:tcPr>
            <w:tcW w:w="1706" w:type="dxa"/>
            <w:vMerge/>
            <w:tcBorders>
              <w:top w:val="nil"/>
            </w:tcBorders>
          </w:tcPr>
          <w:p>
            <w:pPr>
              <w:rPr>
                <w:sz w:val="2"/>
                <w:szCs w:val="2"/>
              </w:rPr>
            </w:pPr>
          </w:p>
        </w:tc>
        <w:tc>
          <w:tcPr>
            <w:tcW w:w="1814" w:type="dxa"/>
            <w:vMerge/>
            <w:tcBorders>
              <w:top w:val="nil"/>
            </w:tcBorders>
          </w:tcPr>
          <w:p>
            <w:pPr>
              <w:rPr>
                <w:sz w:val="2"/>
                <w:szCs w:val="2"/>
              </w:rPr>
            </w:pPr>
          </w:p>
        </w:tc>
        <w:tc>
          <w:tcPr>
            <w:tcW w:w="1641" w:type="dxa"/>
            <w:vMerge/>
            <w:tcBorders>
              <w:top w:val="nil"/>
            </w:tcBorders>
          </w:tcPr>
          <w:p>
            <w:pPr>
              <w:rPr>
                <w:sz w:val="2"/>
                <w:szCs w:val="2"/>
              </w:rPr>
            </w:pPr>
          </w:p>
        </w:tc>
        <w:tc>
          <w:tcPr>
            <w:tcW w:w="5464" w:type="dxa"/>
            <w:vMerge/>
            <w:tcBorders>
              <w:top w:val="nil"/>
            </w:tcBorders>
          </w:tcPr>
          <w:p>
            <w:pPr>
              <w:rPr>
                <w:sz w:val="2"/>
                <w:szCs w:val="2"/>
              </w:rPr>
            </w:pPr>
          </w:p>
        </w:tc>
        <w:tc>
          <w:tcPr>
            <w:tcW w:w="1923" w:type="dxa"/>
          </w:tcPr>
          <w:p>
            <w:pPr>
              <w:pStyle w:val="TableParagraph"/>
              <w:spacing w:line="232" w:lineRule="auto" w:before="99"/>
              <w:ind w:left="93" w:right="115"/>
              <w:rPr>
                <w:sz w:val="18"/>
              </w:rPr>
            </w:pPr>
            <w:r>
              <w:rPr>
                <w:color w:val="105C84"/>
                <w:spacing w:val="-2"/>
                <w:sz w:val="18"/>
              </w:rPr>
              <w:t>Receive</w:t>
            </w:r>
            <w:r>
              <w:rPr>
                <w:color w:val="105C84"/>
                <w:spacing w:val="-13"/>
                <w:sz w:val="18"/>
              </w:rPr>
              <w:t> </w:t>
            </w:r>
            <w:r>
              <w:rPr>
                <w:color w:val="105C84"/>
                <w:spacing w:val="-2"/>
                <w:sz w:val="18"/>
              </w:rPr>
              <w:t>social</w:t>
            </w:r>
            <w:r>
              <w:rPr>
                <w:color w:val="105C84"/>
                <w:spacing w:val="-10"/>
                <w:sz w:val="18"/>
              </w:rPr>
              <w:t> </w:t>
            </w:r>
            <w:r>
              <w:rPr>
                <w:color w:val="105C84"/>
                <w:spacing w:val="-2"/>
                <w:sz w:val="18"/>
              </w:rPr>
              <w:t>media </w:t>
            </w:r>
            <w:r>
              <w:rPr>
                <w:color w:val="105C84"/>
                <w:sz w:val="18"/>
              </w:rPr>
              <w:t>tool kit from NYCSP to be used in the </w:t>
            </w:r>
            <w:r>
              <w:rPr>
                <w:color w:val="105C84"/>
                <w:spacing w:val="-2"/>
                <w:sz w:val="18"/>
              </w:rPr>
              <w:t>region</w:t>
            </w:r>
          </w:p>
          <w:p>
            <w:pPr>
              <w:pStyle w:val="TableParagraph"/>
              <w:spacing w:line="232" w:lineRule="auto" w:before="87"/>
              <w:ind w:left="93" w:right="139"/>
              <w:rPr>
                <w:sz w:val="18"/>
              </w:rPr>
            </w:pPr>
            <w:r>
              <w:rPr>
                <w:color w:val="105C84"/>
                <w:sz w:val="18"/>
              </w:rPr>
              <w:t>Use</w:t>
            </w:r>
            <w:r>
              <w:rPr>
                <w:color w:val="105C84"/>
                <w:spacing w:val="-4"/>
                <w:sz w:val="18"/>
              </w:rPr>
              <w:t> </w:t>
            </w:r>
            <w:r>
              <w:rPr>
                <w:color w:val="105C84"/>
                <w:sz w:val="18"/>
              </w:rPr>
              <w:t>Inflatable</w:t>
            </w:r>
            <w:r>
              <w:rPr>
                <w:color w:val="105C84"/>
                <w:spacing w:val="-4"/>
                <w:sz w:val="18"/>
              </w:rPr>
              <w:t> </w:t>
            </w:r>
            <w:r>
              <w:rPr>
                <w:color w:val="105C84"/>
                <w:sz w:val="18"/>
              </w:rPr>
              <w:t>colon at local event to promote colorectal cancer screenings and</w:t>
            </w:r>
            <w:r>
              <w:rPr>
                <w:color w:val="105C84"/>
                <w:spacing w:val="-10"/>
                <w:sz w:val="18"/>
              </w:rPr>
              <w:t> </w:t>
            </w:r>
            <w:r>
              <w:rPr>
                <w:color w:val="105C84"/>
                <w:sz w:val="18"/>
              </w:rPr>
              <w:t>do</w:t>
            </w:r>
            <w:r>
              <w:rPr>
                <w:color w:val="105C84"/>
                <w:spacing w:val="-10"/>
                <w:sz w:val="18"/>
              </w:rPr>
              <w:t> </w:t>
            </w:r>
            <w:r>
              <w:rPr>
                <w:color w:val="105C84"/>
                <w:sz w:val="18"/>
              </w:rPr>
              <w:t>social</w:t>
            </w:r>
            <w:r>
              <w:rPr>
                <w:color w:val="105C84"/>
                <w:spacing w:val="-10"/>
                <w:sz w:val="18"/>
              </w:rPr>
              <w:t> </w:t>
            </w:r>
            <w:r>
              <w:rPr>
                <w:color w:val="105C84"/>
                <w:sz w:val="18"/>
              </w:rPr>
              <w:t>media post to increase awareness for </w:t>
            </w:r>
            <w:r>
              <w:rPr>
                <w:color w:val="105C84"/>
                <w:spacing w:val="-2"/>
                <w:sz w:val="18"/>
              </w:rPr>
              <w:t>screenings</w:t>
            </w:r>
          </w:p>
          <w:p>
            <w:pPr>
              <w:pStyle w:val="TableParagraph"/>
              <w:spacing w:line="232" w:lineRule="auto" w:before="84"/>
              <w:ind w:left="93" w:right="139"/>
              <w:rPr>
                <w:sz w:val="18"/>
              </w:rPr>
            </w:pPr>
            <w:r>
              <w:rPr>
                <w:color w:val="105C84"/>
                <w:sz w:val="18"/>
              </w:rPr>
              <w:t>Promote</w:t>
            </w:r>
            <w:r>
              <w:rPr>
                <w:color w:val="105C84"/>
                <w:spacing w:val="-13"/>
                <w:sz w:val="18"/>
              </w:rPr>
              <w:t> </w:t>
            </w:r>
            <w:r>
              <w:rPr>
                <w:color w:val="105C84"/>
                <w:sz w:val="18"/>
              </w:rPr>
              <w:t>Health Living Class in Watkins Glen</w:t>
            </w:r>
          </w:p>
        </w:tc>
        <w:tc>
          <w:tcPr>
            <w:tcW w:w="1877" w:type="dxa"/>
          </w:tcPr>
          <w:p>
            <w:pPr>
              <w:pStyle w:val="TableParagraph"/>
              <w:spacing w:line="232" w:lineRule="auto" w:before="99"/>
              <w:ind w:left="93" w:right="102"/>
              <w:rPr>
                <w:sz w:val="18"/>
              </w:rPr>
            </w:pPr>
            <w:r>
              <w:rPr>
                <w:color w:val="105C84"/>
                <w:sz w:val="18"/>
              </w:rPr>
              <w:t>Public</w:t>
            </w:r>
            <w:r>
              <w:rPr>
                <w:color w:val="105C84"/>
                <w:spacing w:val="-7"/>
                <w:sz w:val="18"/>
              </w:rPr>
              <w:t> </w:t>
            </w:r>
            <w:r>
              <w:rPr>
                <w:color w:val="105C84"/>
                <w:sz w:val="18"/>
              </w:rPr>
              <w:t>Health</w:t>
            </w:r>
            <w:r>
              <w:rPr>
                <w:color w:val="105C84"/>
                <w:spacing w:val="-7"/>
                <w:sz w:val="18"/>
              </w:rPr>
              <w:t> </w:t>
            </w:r>
            <w:r>
              <w:rPr>
                <w:color w:val="105C84"/>
                <w:sz w:val="18"/>
              </w:rPr>
              <w:t>will</w:t>
            </w:r>
            <w:r>
              <w:rPr>
                <w:color w:val="105C84"/>
                <w:spacing w:val="-7"/>
                <w:sz w:val="18"/>
              </w:rPr>
              <w:t> </w:t>
            </w:r>
            <w:r>
              <w:rPr>
                <w:color w:val="105C84"/>
                <w:sz w:val="18"/>
              </w:rPr>
              <w:t>do paid media along with social media path, use inflatable colon at events</w:t>
            </w:r>
          </w:p>
          <w:p>
            <w:pPr>
              <w:pStyle w:val="TableParagraph"/>
              <w:spacing w:line="232" w:lineRule="auto" w:before="86"/>
              <w:ind w:left="93" w:right="153"/>
              <w:rPr>
                <w:sz w:val="18"/>
              </w:rPr>
            </w:pPr>
            <w:r>
              <w:rPr>
                <w:color w:val="105C84"/>
                <w:sz w:val="18"/>
              </w:rPr>
              <w:t>Investigate</w:t>
            </w:r>
            <w:r>
              <w:rPr>
                <w:color w:val="105C84"/>
                <w:spacing w:val="-1"/>
                <w:sz w:val="18"/>
              </w:rPr>
              <w:t> </w:t>
            </w:r>
            <w:r>
              <w:rPr>
                <w:color w:val="105C84"/>
                <w:sz w:val="18"/>
              </w:rPr>
              <w:t>billboard for Public Health to run Ad. Promotion</w:t>
            </w:r>
            <w:r>
              <w:rPr>
                <w:color w:val="105C84"/>
                <w:spacing w:val="40"/>
                <w:sz w:val="18"/>
              </w:rPr>
              <w:t> </w:t>
            </w:r>
            <w:r>
              <w:rPr>
                <w:color w:val="105C84"/>
                <w:sz w:val="18"/>
              </w:rPr>
              <w:t>of materials on colorectal cancer screening with Montour Festival, Food pantries, OFA Meal Sites</w:t>
            </w:r>
          </w:p>
        </w:tc>
        <w:tc>
          <w:tcPr>
            <w:tcW w:w="1878" w:type="dxa"/>
          </w:tcPr>
          <w:p>
            <w:pPr>
              <w:pStyle w:val="TableParagraph"/>
              <w:spacing w:line="232" w:lineRule="auto" w:before="99"/>
              <w:ind w:left="94" w:right="102"/>
              <w:rPr>
                <w:sz w:val="18"/>
              </w:rPr>
            </w:pPr>
            <w:r>
              <w:rPr>
                <w:color w:val="105C84"/>
                <w:sz w:val="18"/>
              </w:rPr>
              <w:t>Public</w:t>
            </w:r>
            <w:r>
              <w:rPr>
                <w:color w:val="105C84"/>
                <w:spacing w:val="-7"/>
                <w:sz w:val="18"/>
              </w:rPr>
              <w:t> </w:t>
            </w:r>
            <w:r>
              <w:rPr>
                <w:color w:val="105C84"/>
                <w:sz w:val="18"/>
              </w:rPr>
              <w:t>Health</w:t>
            </w:r>
            <w:r>
              <w:rPr>
                <w:color w:val="105C84"/>
                <w:spacing w:val="-7"/>
                <w:sz w:val="18"/>
              </w:rPr>
              <w:t> </w:t>
            </w:r>
            <w:r>
              <w:rPr>
                <w:color w:val="105C84"/>
                <w:sz w:val="18"/>
              </w:rPr>
              <w:t>will</w:t>
            </w:r>
            <w:r>
              <w:rPr>
                <w:color w:val="105C84"/>
                <w:spacing w:val="-7"/>
                <w:sz w:val="18"/>
              </w:rPr>
              <w:t> </w:t>
            </w:r>
            <w:r>
              <w:rPr>
                <w:color w:val="105C84"/>
                <w:sz w:val="18"/>
              </w:rPr>
              <w:t>do paid media along with social media path, use inflatable colon at events</w:t>
            </w:r>
          </w:p>
          <w:p>
            <w:pPr>
              <w:pStyle w:val="TableParagraph"/>
              <w:spacing w:line="232" w:lineRule="auto" w:before="86"/>
              <w:ind w:left="94" w:right="180"/>
              <w:rPr>
                <w:sz w:val="18"/>
              </w:rPr>
            </w:pPr>
            <w:r>
              <w:rPr>
                <w:color w:val="105C84"/>
                <w:sz w:val="18"/>
              </w:rPr>
              <w:t>Run</w:t>
            </w:r>
            <w:r>
              <w:rPr>
                <w:color w:val="105C84"/>
                <w:spacing w:val="-12"/>
                <w:sz w:val="18"/>
              </w:rPr>
              <w:t> </w:t>
            </w:r>
            <w:r>
              <w:rPr>
                <w:color w:val="105C84"/>
                <w:sz w:val="18"/>
              </w:rPr>
              <w:t>the</w:t>
            </w:r>
            <w:r>
              <w:rPr>
                <w:color w:val="105C84"/>
                <w:spacing w:val="-12"/>
                <w:sz w:val="18"/>
              </w:rPr>
              <w:t> </w:t>
            </w:r>
            <w:r>
              <w:rPr>
                <w:color w:val="105C84"/>
                <w:sz w:val="18"/>
              </w:rPr>
              <w:t>Ad</w:t>
            </w:r>
            <w:r>
              <w:rPr>
                <w:color w:val="105C84"/>
                <w:spacing w:val="-12"/>
                <w:sz w:val="18"/>
              </w:rPr>
              <w:t> </w:t>
            </w:r>
            <w:r>
              <w:rPr>
                <w:color w:val="105C84"/>
                <w:sz w:val="18"/>
              </w:rPr>
              <w:t>for</w:t>
            </w:r>
            <w:r>
              <w:rPr>
                <w:color w:val="105C84"/>
                <w:spacing w:val="-12"/>
                <w:sz w:val="18"/>
              </w:rPr>
              <w:t> </w:t>
            </w:r>
            <w:r>
              <w:rPr>
                <w:color w:val="105C84"/>
                <w:sz w:val="18"/>
              </w:rPr>
              <w:t>a </w:t>
            </w:r>
            <w:r>
              <w:rPr>
                <w:color w:val="105C84"/>
                <w:spacing w:val="-2"/>
                <w:w w:val="105"/>
                <w:sz w:val="18"/>
              </w:rPr>
              <w:t>billboard</w:t>
            </w:r>
          </w:p>
          <w:p>
            <w:pPr>
              <w:pStyle w:val="TableParagraph"/>
              <w:spacing w:line="232" w:lineRule="auto" w:before="88"/>
              <w:ind w:left="94" w:right="180"/>
              <w:rPr>
                <w:sz w:val="18"/>
              </w:rPr>
            </w:pPr>
            <w:r>
              <w:rPr>
                <w:color w:val="105C84"/>
                <w:sz w:val="18"/>
              </w:rPr>
              <w:t>Promotion of materials on colorectal cancer screening with Montour Festival, Food</w:t>
            </w:r>
            <w:r>
              <w:rPr>
                <w:color w:val="105C84"/>
                <w:spacing w:val="-15"/>
                <w:sz w:val="18"/>
              </w:rPr>
              <w:t> </w:t>
            </w:r>
            <w:r>
              <w:rPr>
                <w:color w:val="105C84"/>
                <w:sz w:val="18"/>
              </w:rPr>
              <w:t>pantries,</w:t>
            </w:r>
            <w:r>
              <w:rPr>
                <w:color w:val="105C84"/>
                <w:spacing w:val="-12"/>
                <w:sz w:val="18"/>
              </w:rPr>
              <w:t> </w:t>
            </w:r>
            <w:r>
              <w:rPr>
                <w:color w:val="105C84"/>
                <w:sz w:val="18"/>
              </w:rPr>
              <w:t>OFA Meal Sites</w:t>
            </w:r>
          </w:p>
        </w:tc>
        <w:tc>
          <w:tcPr>
            <w:tcW w:w="1665" w:type="dxa"/>
          </w:tcPr>
          <w:p>
            <w:pPr>
              <w:pStyle w:val="TableParagraph"/>
              <w:spacing w:line="232" w:lineRule="auto" w:before="98"/>
              <w:ind w:left="95"/>
              <w:rPr>
                <w:sz w:val="18"/>
              </w:rPr>
            </w:pPr>
            <w:r>
              <w:rPr>
                <w:color w:val="105C84"/>
                <w:spacing w:val="-2"/>
                <w:sz w:val="18"/>
              </w:rPr>
              <w:t>Local</w:t>
            </w:r>
            <w:r>
              <w:rPr>
                <w:color w:val="105C84"/>
                <w:spacing w:val="-11"/>
                <w:sz w:val="18"/>
              </w:rPr>
              <w:t> </w:t>
            </w:r>
            <w:r>
              <w:rPr>
                <w:color w:val="105C84"/>
                <w:spacing w:val="-2"/>
                <w:sz w:val="18"/>
              </w:rPr>
              <w:t>health department</w:t>
            </w:r>
          </w:p>
        </w:tc>
        <w:tc>
          <w:tcPr>
            <w:tcW w:w="1229" w:type="dxa"/>
          </w:tcPr>
          <w:p>
            <w:pPr>
              <w:pStyle w:val="TableParagraph"/>
              <w:spacing w:line="232" w:lineRule="auto" w:before="98"/>
              <w:ind w:left="96" w:right="82"/>
              <w:rPr>
                <w:sz w:val="18"/>
              </w:rPr>
            </w:pPr>
            <w:r>
              <w:rPr>
                <w:color w:val="105C84"/>
                <w:spacing w:val="-2"/>
                <w:sz w:val="18"/>
              </w:rPr>
              <w:t>Schuyler Public</w:t>
            </w:r>
            <w:r>
              <w:rPr>
                <w:color w:val="105C84"/>
                <w:spacing w:val="40"/>
                <w:sz w:val="18"/>
              </w:rPr>
              <w:t> </w:t>
            </w:r>
            <w:r>
              <w:rPr>
                <w:color w:val="105C84"/>
                <w:sz w:val="18"/>
              </w:rPr>
              <w:t>Health 2-4% of Full time public</w:t>
            </w:r>
            <w:r>
              <w:rPr>
                <w:color w:val="105C84"/>
                <w:spacing w:val="-10"/>
                <w:sz w:val="18"/>
              </w:rPr>
              <w:t> </w:t>
            </w:r>
            <w:r>
              <w:rPr>
                <w:color w:val="105C84"/>
                <w:sz w:val="18"/>
              </w:rPr>
              <w:t>health </w:t>
            </w:r>
            <w:r>
              <w:rPr>
                <w:color w:val="105C84"/>
                <w:spacing w:val="-2"/>
                <w:sz w:val="18"/>
              </w:rPr>
              <w:t>employee</w:t>
            </w:r>
          </w:p>
        </w:tc>
      </w:tr>
    </w:tbl>
    <w:p>
      <w:pPr>
        <w:pStyle w:val="BodyText"/>
        <w:rPr>
          <w:b/>
          <w:sz w:val="26"/>
        </w:rPr>
      </w:pPr>
    </w:p>
    <w:p>
      <w:pPr>
        <w:pStyle w:val="BodyText"/>
        <w:spacing w:before="155"/>
        <w:rPr>
          <w:b/>
          <w:sz w:val="26"/>
        </w:rPr>
      </w:pPr>
    </w:p>
    <w:p>
      <w:pPr>
        <w:tabs>
          <w:tab w:pos="23047" w:val="left" w:leader="none"/>
        </w:tabs>
        <w:spacing w:before="1"/>
        <w:ind w:left="0" w:right="0" w:firstLine="0"/>
        <w:jc w:val="left"/>
        <w:rPr>
          <w:b/>
          <w:sz w:val="26"/>
        </w:rPr>
      </w:pPr>
      <w:r>
        <w:rPr>
          <w:position w:val="-4"/>
        </w:rPr>
        <w:drawing>
          <wp:inline distT="0" distB="0" distL="0" distR="0">
            <wp:extent cx="568172" cy="184683"/>
            <wp:effectExtent l="0" t="0" r="0" b="0"/>
            <wp:docPr id="1875" name="Image 1875"/>
            <wp:cNvGraphicFramePr>
              <a:graphicFrameLocks/>
            </wp:cNvGraphicFramePr>
            <a:graphic>
              <a:graphicData uri="http://schemas.openxmlformats.org/drawingml/2006/picture">
                <pic:pic>
                  <pic:nvPicPr>
                    <pic:cNvPr id="1875" name="Image 1875"/>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13"/>
          <w:sz w:val="20"/>
        </w:rPr>
        <w:t> </w:t>
      </w:r>
      <w:r>
        <w:rPr>
          <w:b/>
          <w:color w:val="939598"/>
          <w:w w:val="105"/>
          <w:sz w:val="26"/>
        </w:rPr>
        <w:t>163</w:t>
      </w:r>
      <w:r>
        <w:rPr>
          <w:b/>
          <w:color w:val="939598"/>
          <w:sz w:val="26"/>
        </w:rPr>
        <w:tab/>
      </w:r>
      <w:r>
        <w:rPr>
          <w:b/>
          <w:color w:val="939598"/>
          <w:spacing w:val="-5"/>
          <w:w w:val="105"/>
          <w:sz w:val="26"/>
        </w:rPr>
        <w:t>164</w:t>
      </w:r>
    </w:p>
    <w:p>
      <w:pPr>
        <w:spacing w:after="0"/>
        <w:jc w:val="left"/>
        <w:rPr>
          <w:b/>
          <w:sz w:val="26"/>
        </w:rPr>
        <w:sectPr>
          <w:headerReference w:type="default" r:id="rId253"/>
          <w:pgSz w:w="24480" w:h="15840" w:orient="landscape"/>
          <w:pgMar w:header="0" w:footer="0" w:top="860" w:bottom="0" w:left="0" w:right="720"/>
        </w:sectPr>
      </w:pPr>
    </w:p>
    <w:p>
      <w:pPr>
        <w:spacing w:before="607"/>
        <w:ind w:left="1089" w:right="0" w:firstLine="0"/>
        <w:jc w:val="left"/>
        <w:rPr>
          <w:sz w:val="54"/>
        </w:rPr>
      </w:pPr>
      <w:r>
        <w:rPr>
          <w:sz w:val="54"/>
        </w:rPr>
        <w:drawing>
          <wp:anchor distT="0" distB="0" distL="0" distR="0" allowOverlap="1" layoutInCell="1" locked="0" behindDoc="0" simplePos="0" relativeHeight="15972864">
            <wp:simplePos x="0" y="0"/>
            <wp:positionH relativeFrom="page">
              <wp:posOffset>14981556</wp:posOffset>
            </wp:positionH>
            <wp:positionV relativeFrom="page">
              <wp:posOffset>9668103</wp:posOffset>
            </wp:positionV>
            <wp:extent cx="563245" cy="184683"/>
            <wp:effectExtent l="0" t="0" r="0" b="0"/>
            <wp:wrapNone/>
            <wp:docPr id="1876" name="Image 1876"/>
            <wp:cNvGraphicFramePr>
              <a:graphicFrameLocks/>
            </wp:cNvGraphicFramePr>
            <a:graphic>
              <a:graphicData uri="http://schemas.openxmlformats.org/drawingml/2006/picture">
                <pic:pic>
                  <pic:nvPicPr>
                    <pic:cNvPr id="1876" name="Image 1876"/>
                    <pic:cNvPicPr/>
                  </pic:nvPicPr>
                  <pic:blipFill>
                    <a:blip r:embed="rId38" cstate="print"/>
                    <a:stretch>
                      <a:fillRect/>
                    </a:stretch>
                  </pic:blipFill>
                  <pic:spPr>
                    <a:xfrm>
                      <a:off x="0" y="0"/>
                      <a:ext cx="563245" cy="184683"/>
                    </a:xfrm>
                    <a:prstGeom prst="rect">
                      <a:avLst/>
                    </a:prstGeom>
                  </pic:spPr>
                </pic:pic>
              </a:graphicData>
            </a:graphic>
          </wp:anchor>
        </w:drawing>
      </w:r>
      <w:r>
        <w:rPr>
          <w:sz w:val="54"/>
        </w:rPr>
        <w:drawing>
          <wp:anchor distT="0" distB="0" distL="0" distR="0" allowOverlap="1" layoutInCell="1" locked="0" behindDoc="0" simplePos="0" relativeHeight="15973376">
            <wp:simplePos x="0" y="0"/>
            <wp:positionH relativeFrom="page">
              <wp:posOffset>13626703</wp:posOffset>
            </wp:positionH>
            <wp:positionV relativeFrom="paragraph">
              <wp:posOffset>365201</wp:posOffset>
            </wp:positionV>
            <wp:extent cx="1234098" cy="628989"/>
            <wp:effectExtent l="0" t="0" r="0" b="0"/>
            <wp:wrapNone/>
            <wp:docPr id="1877" name="Image 1877"/>
            <wp:cNvGraphicFramePr>
              <a:graphicFrameLocks/>
            </wp:cNvGraphicFramePr>
            <a:graphic>
              <a:graphicData uri="http://schemas.openxmlformats.org/drawingml/2006/picture">
                <pic:pic>
                  <pic:nvPicPr>
                    <pic:cNvPr id="1877" name="Image 1877"/>
                    <pic:cNvPicPr/>
                  </pic:nvPicPr>
                  <pic:blipFill>
                    <a:blip r:embed="rId254" cstate="print"/>
                    <a:stretch>
                      <a:fillRect/>
                    </a:stretch>
                  </pic:blipFill>
                  <pic:spPr>
                    <a:xfrm>
                      <a:off x="0" y="0"/>
                      <a:ext cx="1234098" cy="628989"/>
                    </a:xfrm>
                    <a:prstGeom prst="rect">
                      <a:avLst/>
                    </a:prstGeom>
                  </pic:spPr>
                </pic:pic>
              </a:graphicData>
            </a:graphic>
          </wp:anchor>
        </w:drawing>
      </w:r>
      <w:r>
        <w:rPr>
          <w:color w:val="636466"/>
          <w:sz w:val="54"/>
        </w:rPr>
        <w:t>Schuyler</w:t>
      </w:r>
      <w:r>
        <w:rPr>
          <w:color w:val="636466"/>
          <w:spacing w:val="40"/>
          <w:sz w:val="54"/>
        </w:rPr>
        <w:t> </w:t>
      </w:r>
      <w:r>
        <w:rPr>
          <w:color w:val="636466"/>
          <w:sz w:val="54"/>
        </w:rPr>
        <w:t>County</w:t>
      </w:r>
      <w:r>
        <w:rPr>
          <w:color w:val="636466"/>
          <w:spacing w:val="41"/>
          <w:sz w:val="54"/>
        </w:rPr>
        <w:t> </w:t>
      </w:r>
      <w:r>
        <w:rPr>
          <w:color w:val="636466"/>
          <w:sz w:val="54"/>
        </w:rPr>
        <w:t>Appendix</w:t>
      </w:r>
      <w:r>
        <w:rPr>
          <w:color w:val="636466"/>
          <w:spacing w:val="40"/>
          <w:sz w:val="54"/>
        </w:rPr>
        <w:t> </w:t>
      </w:r>
      <w:r>
        <w:rPr>
          <w:color w:val="636466"/>
          <w:spacing w:val="-10"/>
          <w:sz w:val="54"/>
        </w:rPr>
        <w:t>D</w:t>
      </w:r>
    </w:p>
    <w:p>
      <w:pPr>
        <w:spacing w:line="247" w:lineRule="auto" w:before="235"/>
        <w:ind w:left="1089" w:right="16120" w:firstLine="0"/>
        <w:jc w:val="left"/>
        <w:rPr>
          <w:b/>
          <w:sz w:val="32"/>
        </w:rPr>
      </w:pPr>
      <w:r>
        <w:rPr>
          <w:b/>
          <w:color w:val="82BF6A"/>
          <w:spacing w:val="-2"/>
          <w:sz w:val="32"/>
        </w:rPr>
        <w:t>PRIORITY:</w:t>
      </w:r>
      <w:r>
        <w:rPr>
          <w:b/>
          <w:color w:val="82BF6A"/>
          <w:spacing w:val="-13"/>
          <w:sz w:val="32"/>
        </w:rPr>
        <w:t> </w:t>
      </w:r>
      <w:r>
        <w:rPr>
          <w:b/>
          <w:color w:val="82BF6A"/>
          <w:spacing w:val="-2"/>
          <w:sz w:val="32"/>
        </w:rPr>
        <w:t>PREVENT</w:t>
      </w:r>
      <w:r>
        <w:rPr>
          <w:b/>
          <w:color w:val="82BF6A"/>
          <w:spacing w:val="-13"/>
          <w:sz w:val="32"/>
        </w:rPr>
        <w:t> </w:t>
      </w:r>
      <w:r>
        <w:rPr>
          <w:b/>
          <w:color w:val="82BF6A"/>
          <w:spacing w:val="-2"/>
          <w:sz w:val="32"/>
        </w:rPr>
        <w:t>CHRONIC</w:t>
      </w:r>
      <w:r>
        <w:rPr>
          <w:b/>
          <w:color w:val="82BF6A"/>
          <w:spacing w:val="-13"/>
          <w:sz w:val="32"/>
        </w:rPr>
        <w:t> </w:t>
      </w:r>
      <w:r>
        <w:rPr>
          <w:b/>
          <w:color w:val="82BF6A"/>
          <w:spacing w:val="-2"/>
          <w:sz w:val="32"/>
        </w:rPr>
        <w:t>DISEASES, PREVENTATIVE</w:t>
      </w:r>
      <w:r>
        <w:rPr>
          <w:b/>
          <w:color w:val="82BF6A"/>
          <w:spacing w:val="-21"/>
          <w:sz w:val="32"/>
        </w:rPr>
        <w:t> </w:t>
      </w:r>
      <w:r>
        <w:rPr>
          <w:b/>
          <w:color w:val="82BF6A"/>
          <w:spacing w:val="-2"/>
          <w:sz w:val="32"/>
        </w:rPr>
        <w:t>CARE</w:t>
      </w:r>
      <w:r>
        <w:rPr>
          <w:b/>
          <w:color w:val="82BF6A"/>
          <w:spacing w:val="-20"/>
          <w:sz w:val="32"/>
        </w:rPr>
        <w:t> </w:t>
      </w:r>
      <w:r>
        <w:rPr>
          <w:b/>
          <w:color w:val="82BF6A"/>
          <w:spacing w:val="-2"/>
          <w:sz w:val="32"/>
        </w:rPr>
        <w:t>AND</w:t>
      </w:r>
      <w:r>
        <w:rPr>
          <w:b/>
          <w:color w:val="82BF6A"/>
          <w:spacing w:val="-20"/>
          <w:sz w:val="32"/>
        </w:rPr>
        <w:t> </w:t>
      </w:r>
      <w:r>
        <w:rPr>
          <w:b/>
          <w:color w:val="82BF6A"/>
          <w:spacing w:val="-2"/>
          <w:sz w:val="32"/>
        </w:rPr>
        <w:t>MANAGEMENT</w:t>
      </w:r>
    </w:p>
    <w:p>
      <w:pPr>
        <w:pStyle w:val="BodyText"/>
        <w:rPr>
          <w:b/>
          <w:sz w:val="20"/>
        </w:rPr>
      </w:pPr>
    </w:p>
    <w:p>
      <w:pPr>
        <w:pStyle w:val="BodyText"/>
        <w:spacing w:before="102"/>
        <w:rPr>
          <w:b/>
          <w:sz w:val="20"/>
        </w:rPr>
      </w:pPr>
    </w:p>
    <w:tbl>
      <w:tblPr>
        <w:tblW w:w="0" w:type="auto"/>
        <w:jc w:val="left"/>
        <w:tblInd w:w="1099"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1209"/>
        <w:gridCol w:w="1843"/>
        <w:gridCol w:w="1843"/>
        <w:gridCol w:w="1843"/>
        <w:gridCol w:w="1728"/>
        <w:gridCol w:w="2689"/>
        <w:gridCol w:w="2581"/>
        <w:gridCol w:w="1742"/>
        <w:gridCol w:w="1743"/>
        <w:gridCol w:w="1671"/>
        <w:gridCol w:w="1642"/>
        <w:gridCol w:w="1742"/>
      </w:tblGrid>
      <w:tr>
        <w:trPr>
          <w:trHeight w:val="990" w:hRule="atLeast"/>
        </w:trPr>
        <w:tc>
          <w:tcPr>
            <w:tcW w:w="1209" w:type="dxa"/>
            <w:tcBorders>
              <w:right w:val="single" w:sz="4" w:space="0" w:color="FFFFFF"/>
            </w:tcBorders>
            <w:shd w:val="clear" w:color="auto" w:fill="939598"/>
          </w:tcPr>
          <w:p>
            <w:pPr>
              <w:pStyle w:val="TableParagraph"/>
              <w:spacing w:before="177"/>
              <w:rPr>
                <w:b/>
                <w:sz w:val="20"/>
              </w:rPr>
            </w:pPr>
          </w:p>
          <w:p>
            <w:pPr>
              <w:pStyle w:val="TableParagraph"/>
              <w:ind w:left="79"/>
              <w:rPr>
                <w:b/>
                <w:sz w:val="20"/>
              </w:rPr>
            </w:pPr>
            <w:r>
              <w:rPr>
                <w:b/>
                <w:color w:val="FFFFFF"/>
                <w:spacing w:val="-2"/>
                <w:sz w:val="20"/>
              </w:rPr>
              <w:t>Priority</w:t>
            </w:r>
          </w:p>
        </w:tc>
        <w:tc>
          <w:tcPr>
            <w:tcW w:w="1843" w:type="dxa"/>
            <w:tcBorders>
              <w:left w:val="single" w:sz="4" w:space="0" w:color="FFFFFF"/>
              <w:right w:val="single" w:sz="4" w:space="0" w:color="FFFFFF"/>
            </w:tcBorders>
            <w:shd w:val="clear" w:color="auto" w:fill="939598"/>
          </w:tcPr>
          <w:p>
            <w:pPr>
              <w:pStyle w:val="TableParagraph"/>
              <w:spacing w:before="177"/>
              <w:rPr>
                <w:b/>
                <w:sz w:val="20"/>
              </w:rPr>
            </w:pPr>
          </w:p>
          <w:p>
            <w:pPr>
              <w:pStyle w:val="TableParagraph"/>
              <w:ind w:left="80"/>
              <w:rPr>
                <w:b/>
                <w:sz w:val="20"/>
              </w:rPr>
            </w:pPr>
            <w:r>
              <w:rPr>
                <w:b/>
                <w:color w:val="FFFFFF"/>
                <w:w w:val="90"/>
                <w:sz w:val="20"/>
              </w:rPr>
              <w:t>Focus</w:t>
            </w:r>
            <w:r>
              <w:rPr>
                <w:b/>
                <w:color w:val="FFFFFF"/>
                <w:spacing w:val="8"/>
                <w:sz w:val="20"/>
              </w:rPr>
              <w:t> </w:t>
            </w:r>
            <w:r>
              <w:rPr>
                <w:b/>
                <w:color w:val="FFFFFF"/>
                <w:spacing w:val="-4"/>
                <w:sz w:val="20"/>
              </w:rPr>
              <w:t>Area</w:t>
            </w:r>
          </w:p>
        </w:tc>
        <w:tc>
          <w:tcPr>
            <w:tcW w:w="1843" w:type="dxa"/>
            <w:tcBorders>
              <w:left w:val="single" w:sz="4" w:space="0" w:color="FFFFFF"/>
              <w:right w:val="single" w:sz="4" w:space="0" w:color="FFFFFF"/>
            </w:tcBorders>
            <w:shd w:val="clear" w:color="auto" w:fill="939598"/>
          </w:tcPr>
          <w:p>
            <w:pPr>
              <w:pStyle w:val="TableParagraph"/>
              <w:spacing w:before="177"/>
              <w:rPr>
                <w:b/>
                <w:sz w:val="20"/>
              </w:rPr>
            </w:pPr>
          </w:p>
          <w:p>
            <w:pPr>
              <w:pStyle w:val="TableParagraph"/>
              <w:ind w:left="80"/>
              <w:rPr>
                <w:b/>
                <w:sz w:val="20"/>
              </w:rPr>
            </w:pPr>
            <w:r>
              <w:rPr>
                <w:b/>
                <w:color w:val="FFFFFF"/>
                <w:spacing w:val="-6"/>
                <w:sz w:val="20"/>
              </w:rPr>
              <w:t>Goal</w:t>
            </w:r>
            <w:r>
              <w:rPr>
                <w:b/>
                <w:color w:val="FFFFFF"/>
                <w:spacing w:val="-1"/>
                <w:sz w:val="20"/>
              </w:rPr>
              <w:t> </w:t>
            </w:r>
            <w:r>
              <w:rPr>
                <w:b/>
                <w:color w:val="FFFFFF"/>
                <w:spacing w:val="-6"/>
                <w:sz w:val="20"/>
              </w:rPr>
              <w:t>Focus</w:t>
            </w:r>
            <w:r>
              <w:rPr>
                <w:b/>
                <w:color w:val="FFFFFF"/>
                <w:spacing w:val="-1"/>
                <w:sz w:val="20"/>
              </w:rPr>
              <w:t> </w:t>
            </w:r>
            <w:r>
              <w:rPr>
                <w:b/>
                <w:color w:val="FFFFFF"/>
                <w:spacing w:val="-6"/>
                <w:sz w:val="20"/>
              </w:rPr>
              <w:t>Area</w:t>
            </w:r>
          </w:p>
        </w:tc>
        <w:tc>
          <w:tcPr>
            <w:tcW w:w="1843" w:type="dxa"/>
            <w:tcBorders>
              <w:left w:val="single" w:sz="4" w:space="0" w:color="FFFFFF"/>
              <w:right w:val="single" w:sz="4" w:space="0" w:color="FFFFFF"/>
            </w:tcBorders>
            <w:shd w:val="clear" w:color="auto" w:fill="939598"/>
          </w:tcPr>
          <w:p>
            <w:pPr>
              <w:pStyle w:val="TableParagraph"/>
              <w:spacing w:before="177"/>
              <w:rPr>
                <w:b/>
                <w:sz w:val="20"/>
              </w:rPr>
            </w:pPr>
          </w:p>
          <w:p>
            <w:pPr>
              <w:pStyle w:val="TableParagraph"/>
              <w:ind w:left="80"/>
              <w:rPr>
                <w:b/>
                <w:sz w:val="20"/>
              </w:rPr>
            </w:pPr>
            <w:r>
              <w:rPr>
                <w:b/>
                <w:color w:val="FFFFFF"/>
                <w:spacing w:val="-2"/>
                <w:sz w:val="20"/>
              </w:rPr>
              <w:t>Objectives</w:t>
            </w:r>
          </w:p>
        </w:tc>
        <w:tc>
          <w:tcPr>
            <w:tcW w:w="1728" w:type="dxa"/>
            <w:tcBorders>
              <w:left w:val="single" w:sz="4" w:space="0" w:color="FFFFFF"/>
              <w:right w:val="single" w:sz="4" w:space="0" w:color="FFFFFF"/>
            </w:tcBorders>
            <w:shd w:val="clear" w:color="auto" w:fill="939598"/>
          </w:tcPr>
          <w:p>
            <w:pPr>
              <w:pStyle w:val="TableParagraph"/>
              <w:spacing w:before="177"/>
              <w:rPr>
                <w:b/>
                <w:sz w:val="20"/>
              </w:rPr>
            </w:pPr>
          </w:p>
          <w:p>
            <w:pPr>
              <w:pStyle w:val="TableParagraph"/>
              <w:ind w:left="80"/>
              <w:rPr>
                <w:b/>
                <w:sz w:val="20"/>
              </w:rPr>
            </w:pPr>
            <w:r>
              <w:rPr>
                <w:b/>
                <w:color w:val="FFFFFF"/>
                <w:spacing w:val="-2"/>
                <w:sz w:val="20"/>
              </w:rPr>
              <w:t>Disparities</w:t>
            </w:r>
          </w:p>
        </w:tc>
        <w:tc>
          <w:tcPr>
            <w:tcW w:w="5270" w:type="dxa"/>
            <w:gridSpan w:val="2"/>
            <w:tcBorders>
              <w:left w:val="single" w:sz="4" w:space="0" w:color="FFFFFF"/>
              <w:right w:val="single" w:sz="4" w:space="0" w:color="FFFFFF"/>
            </w:tcBorders>
            <w:shd w:val="clear" w:color="auto" w:fill="939598"/>
          </w:tcPr>
          <w:p>
            <w:pPr>
              <w:pStyle w:val="TableParagraph"/>
              <w:spacing w:before="67"/>
              <w:rPr>
                <w:b/>
                <w:sz w:val="20"/>
              </w:rPr>
            </w:pPr>
          </w:p>
          <w:p>
            <w:pPr>
              <w:pStyle w:val="TableParagraph"/>
              <w:tabs>
                <w:tab w:pos="3769" w:val="left" w:leader="none"/>
              </w:tabs>
              <w:spacing w:line="280" w:lineRule="exact"/>
              <w:ind w:left="80"/>
              <w:rPr>
                <w:b/>
                <w:position w:val="11"/>
                <w:sz w:val="20"/>
              </w:rPr>
            </w:pPr>
            <w:r>
              <w:rPr>
                <w:b/>
                <w:color w:val="FFFFFF"/>
                <w:spacing w:val="-2"/>
                <w:sz w:val="20"/>
              </w:rPr>
              <w:t>Interventions</w:t>
            </w:r>
            <w:r>
              <w:rPr>
                <w:b/>
                <w:color w:val="FFFFFF"/>
                <w:sz w:val="20"/>
              </w:rPr>
              <w:tab/>
            </w:r>
            <w:r>
              <w:rPr>
                <w:b/>
                <w:color w:val="FFFFFF"/>
                <w:spacing w:val="-4"/>
                <w:position w:val="11"/>
                <w:sz w:val="20"/>
              </w:rPr>
              <w:t>Family</w:t>
            </w:r>
            <w:r>
              <w:rPr>
                <w:b/>
                <w:color w:val="FFFFFF"/>
                <w:spacing w:val="-5"/>
                <w:position w:val="11"/>
                <w:sz w:val="20"/>
              </w:rPr>
              <w:t> of</w:t>
            </w:r>
          </w:p>
          <w:p>
            <w:pPr>
              <w:pStyle w:val="TableParagraph"/>
              <w:spacing w:line="170" w:lineRule="exact"/>
              <w:ind w:right="599"/>
              <w:jc w:val="right"/>
              <w:rPr>
                <w:b/>
                <w:sz w:val="20"/>
              </w:rPr>
            </w:pPr>
            <w:r>
              <w:rPr>
                <w:b/>
                <w:color w:val="FFFFFF"/>
                <w:spacing w:val="-2"/>
                <w:sz w:val="20"/>
              </w:rPr>
              <w:t>Measures</w:t>
            </w:r>
          </w:p>
        </w:tc>
        <w:tc>
          <w:tcPr>
            <w:tcW w:w="1742" w:type="dxa"/>
            <w:tcBorders>
              <w:left w:val="single" w:sz="4" w:space="0" w:color="FFFFFF"/>
              <w:right w:val="single" w:sz="4" w:space="0" w:color="FFFFFF"/>
            </w:tcBorders>
            <w:shd w:val="clear" w:color="auto" w:fill="939598"/>
          </w:tcPr>
          <w:p>
            <w:pPr>
              <w:pStyle w:val="TableParagraph"/>
              <w:spacing w:line="230" w:lineRule="auto" w:before="195"/>
              <w:ind w:left="81" w:right="114"/>
              <w:rPr>
                <w:b/>
                <w:sz w:val="20"/>
              </w:rPr>
            </w:pPr>
            <w:r>
              <w:rPr>
                <w:b/>
                <w:color w:val="FFFFFF"/>
                <w:sz w:val="20"/>
              </w:rPr>
              <w:t>Projected (or </w:t>
            </w:r>
            <w:r>
              <w:rPr>
                <w:b/>
                <w:color w:val="FFFFFF"/>
                <w:spacing w:val="-2"/>
                <w:sz w:val="20"/>
              </w:rPr>
              <w:t>completed)</w:t>
            </w:r>
            <w:r>
              <w:rPr>
                <w:b/>
                <w:color w:val="FFFFFF"/>
                <w:spacing w:val="-12"/>
                <w:sz w:val="20"/>
              </w:rPr>
              <w:t> </w:t>
            </w:r>
            <w:r>
              <w:rPr>
                <w:b/>
                <w:color w:val="FFFFFF"/>
                <w:spacing w:val="-2"/>
                <w:sz w:val="20"/>
              </w:rPr>
              <w:t>Year </w:t>
            </w:r>
            <w:r>
              <w:rPr>
                <w:b/>
                <w:color w:val="FFFFFF"/>
                <w:sz w:val="20"/>
              </w:rPr>
              <w:t>1 Intervention</w:t>
            </w:r>
          </w:p>
        </w:tc>
        <w:tc>
          <w:tcPr>
            <w:tcW w:w="1743" w:type="dxa"/>
            <w:tcBorders>
              <w:left w:val="single" w:sz="4" w:space="0" w:color="FFFFFF"/>
              <w:right w:val="single" w:sz="4" w:space="0" w:color="FFFFFF"/>
            </w:tcBorders>
            <w:shd w:val="clear" w:color="auto" w:fill="939598"/>
          </w:tcPr>
          <w:p>
            <w:pPr>
              <w:pStyle w:val="TableParagraph"/>
              <w:spacing w:before="177"/>
              <w:rPr>
                <w:b/>
                <w:sz w:val="20"/>
              </w:rPr>
            </w:pPr>
          </w:p>
          <w:p>
            <w:pPr>
              <w:pStyle w:val="TableParagraph"/>
              <w:ind w:left="81"/>
              <w:rPr>
                <w:b/>
                <w:sz w:val="20"/>
              </w:rPr>
            </w:pPr>
            <w:r>
              <w:rPr>
                <w:b/>
                <w:color w:val="FFFFFF"/>
                <w:spacing w:val="-2"/>
                <w:sz w:val="20"/>
              </w:rPr>
              <w:t>Projected</w:t>
            </w:r>
            <w:r>
              <w:rPr>
                <w:b/>
                <w:color w:val="FFFFFF"/>
                <w:spacing w:val="-8"/>
                <w:sz w:val="20"/>
              </w:rPr>
              <w:t> </w:t>
            </w:r>
            <w:r>
              <w:rPr>
                <w:b/>
                <w:color w:val="FFFFFF"/>
                <w:spacing w:val="-2"/>
                <w:sz w:val="20"/>
              </w:rPr>
              <w:t>Year</w:t>
            </w:r>
            <w:r>
              <w:rPr>
                <w:b/>
                <w:color w:val="FFFFFF"/>
                <w:spacing w:val="-7"/>
                <w:sz w:val="20"/>
              </w:rPr>
              <w:t> </w:t>
            </w:r>
            <w:r>
              <w:rPr>
                <w:b/>
                <w:color w:val="FFFFFF"/>
                <w:spacing w:val="-10"/>
                <w:sz w:val="20"/>
              </w:rPr>
              <w:t>2</w:t>
            </w:r>
          </w:p>
        </w:tc>
        <w:tc>
          <w:tcPr>
            <w:tcW w:w="1671" w:type="dxa"/>
            <w:tcBorders>
              <w:left w:val="single" w:sz="4" w:space="0" w:color="FFFFFF"/>
              <w:right w:val="single" w:sz="4" w:space="0" w:color="FFFFFF"/>
            </w:tcBorders>
            <w:shd w:val="clear" w:color="auto" w:fill="939598"/>
          </w:tcPr>
          <w:p>
            <w:pPr>
              <w:pStyle w:val="TableParagraph"/>
              <w:spacing w:before="74"/>
              <w:rPr>
                <w:b/>
                <w:sz w:val="20"/>
              </w:rPr>
            </w:pPr>
          </w:p>
          <w:p>
            <w:pPr>
              <w:pStyle w:val="TableParagraph"/>
              <w:spacing w:line="230" w:lineRule="auto" w:before="1"/>
              <w:ind w:left="80" w:right="103"/>
              <w:rPr>
                <w:b/>
                <w:sz w:val="20"/>
              </w:rPr>
            </w:pPr>
            <w:r>
              <w:rPr>
                <w:b/>
                <w:color w:val="FFFFFF"/>
                <w:sz w:val="20"/>
              </w:rPr>
              <w:t>Projected</w:t>
            </w:r>
            <w:r>
              <w:rPr>
                <w:b/>
                <w:color w:val="FFFFFF"/>
                <w:spacing w:val="-14"/>
                <w:sz w:val="20"/>
              </w:rPr>
              <w:t> </w:t>
            </w:r>
            <w:r>
              <w:rPr>
                <w:b/>
                <w:color w:val="FFFFFF"/>
                <w:sz w:val="20"/>
              </w:rPr>
              <w:t>Year 3</w:t>
            </w:r>
            <w:r>
              <w:rPr>
                <w:b/>
                <w:color w:val="FFFFFF"/>
                <w:spacing w:val="9"/>
                <w:sz w:val="20"/>
              </w:rPr>
              <w:t> </w:t>
            </w:r>
            <w:r>
              <w:rPr>
                <w:b/>
                <w:color w:val="FFFFFF"/>
                <w:spacing w:val="-4"/>
                <w:sz w:val="20"/>
              </w:rPr>
              <w:t>Interventions</w:t>
            </w:r>
          </w:p>
        </w:tc>
        <w:tc>
          <w:tcPr>
            <w:tcW w:w="1642" w:type="dxa"/>
            <w:tcBorders>
              <w:left w:val="single" w:sz="4" w:space="0" w:color="FFFFFF"/>
              <w:right w:val="single" w:sz="4" w:space="0" w:color="FFFFFF"/>
            </w:tcBorders>
            <w:shd w:val="clear" w:color="auto" w:fill="939598"/>
          </w:tcPr>
          <w:p>
            <w:pPr>
              <w:pStyle w:val="TableParagraph"/>
              <w:spacing w:before="74"/>
              <w:rPr>
                <w:b/>
                <w:sz w:val="20"/>
              </w:rPr>
            </w:pPr>
          </w:p>
          <w:p>
            <w:pPr>
              <w:pStyle w:val="TableParagraph"/>
              <w:spacing w:line="230" w:lineRule="auto" w:before="1"/>
              <w:ind w:left="80"/>
              <w:rPr>
                <w:b/>
                <w:sz w:val="20"/>
              </w:rPr>
            </w:pPr>
            <w:r>
              <w:rPr>
                <w:b/>
                <w:color w:val="FFFFFF"/>
                <w:spacing w:val="-2"/>
                <w:sz w:val="20"/>
              </w:rPr>
              <w:t>Implementation Partner</w:t>
            </w:r>
          </w:p>
        </w:tc>
        <w:tc>
          <w:tcPr>
            <w:tcW w:w="1742" w:type="dxa"/>
            <w:tcBorders>
              <w:left w:val="single" w:sz="4" w:space="0" w:color="FFFFFF"/>
            </w:tcBorders>
            <w:shd w:val="clear" w:color="auto" w:fill="939598"/>
          </w:tcPr>
          <w:p>
            <w:pPr>
              <w:pStyle w:val="TableParagraph"/>
              <w:spacing w:before="74"/>
              <w:rPr>
                <w:b/>
                <w:sz w:val="20"/>
              </w:rPr>
            </w:pPr>
          </w:p>
          <w:p>
            <w:pPr>
              <w:pStyle w:val="TableParagraph"/>
              <w:spacing w:line="230" w:lineRule="auto" w:before="1"/>
              <w:ind w:left="79"/>
              <w:rPr>
                <w:b/>
                <w:sz w:val="20"/>
              </w:rPr>
            </w:pPr>
            <w:r>
              <w:rPr>
                <w:b/>
                <w:color w:val="FFFFFF"/>
                <w:spacing w:val="-6"/>
                <w:sz w:val="20"/>
              </w:rPr>
              <w:t>Partner</w:t>
            </w:r>
            <w:r>
              <w:rPr>
                <w:b/>
                <w:color w:val="FFFFFF"/>
                <w:spacing w:val="-8"/>
                <w:sz w:val="20"/>
              </w:rPr>
              <w:t> </w:t>
            </w:r>
            <w:r>
              <w:rPr>
                <w:b/>
                <w:color w:val="FFFFFF"/>
                <w:spacing w:val="-6"/>
                <w:sz w:val="20"/>
              </w:rPr>
              <w:t>Role(s) </w:t>
            </w:r>
            <w:r>
              <w:rPr>
                <w:b/>
                <w:color w:val="FFFFFF"/>
                <w:sz w:val="20"/>
              </w:rPr>
              <w:t>and</w:t>
            </w:r>
            <w:r>
              <w:rPr>
                <w:b/>
                <w:color w:val="FFFFFF"/>
                <w:spacing w:val="-8"/>
                <w:sz w:val="20"/>
              </w:rPr>
              <w:t> Resources</w:t>
            </w:r>
          </w:p>
        </w:tc>
      </w:tr>
      <w:tr>
        <w:trPr>
          <w:trHeight w:val="2440" w:hRule="atLeast"/>
        </w:trPr>
        <w:tc>
          <w:tcPr>
            <w:tcW w:w="1209" w:type="dxa"/>
            <w:vMerge w:val="restart"/>
            <w:shd w:val="clear" w:color="auto" w:fill="E6E7E8"/>
          </w:tcPr>
          <w:p>
            <w:pPr>
              <w:pStyle w:val="TableParagraph"/>
              <w:spacing w:line="232" w:lineRule="auto" w:before="101"/>
              <w:ind w:left="89" w:right="392"/>
              <w:jc w:val="both"/>
              <w:rPr>
                <w:sz w:val="18"/>
              </w:rPr>
            </w:pPr>
            <w:r>
              <w:rPr>
                <w:color w:val="105C84"/>
                <w:spacing w:val="-2"/>
                <w:sz w:val="18"/>
              </w:rPr>
              <w:t>Prevent Chronic </w:t>
            </w:r>
            <w:r>
              <w:rPr>
                <w:color w:val="105C84"/>
                <w:spacing w:val="-6"/>
                <w:sz w:val="18"/>
              </w:rPr>
              <w:t>Diseases</w:t>
            </w:r>
          </w:p>
        </w:tc>
        <w:tc>
          <w:tcPr>
            <w:tcW w:w="1843" w:type="dxa"/>
            <w:vMerge w:val="restart"/>
          </w:tcPr>
          <w:p>
            <w:pPr>
              <w:pStyle w:val="TableParagraph"/>
              <w:spacing w:line="232" w:lineRule="auto" w:before="101"/>
              <w:ind w:left="90" w:right="221"/>
              <w:rPr>
                <w:sz w:val="18"/>
              </w:rPr>
            </w:pPr>
            <w:r>
              <w:rPr>
                <w:color w:val="105C84"/>
                <w:sz w:val="18"/>
              </w:rPr>
              <w:t>Focus Area 4: Preventive care and</w:t>
            </w:r>
            <w:r>
              <w:rPr>
                <w:color w:val="105C84"/>
                <w:spacing w:val="-13"/>
                <w:sz w:val="18"/>
              </w:rPr>
              <w:t> </w:t>
            </w:r>
            <w:r>
              <w:rPr>
                <w:color w:val="105C84"/>
                <w:sz w:val="18"/>
              </w:rPr>
              <w:t>management</w:t>
            </w:r>
          </w:p>
        </w:tc>
        <w:tc>
          <w:tcPr>
            <w:tcW w:w="1843" w:type="dxa"/>
            <w:vMerge w:val="restart"/>
          </w:tcPr>
          <w:p>
            <w:pPr>
              <w:pStyle w:val="TableParagraph"/>
              <w:spacing w:line="232" w:lineRule="auto" w:before="101"/>
              <w:ind w:left="90" w:right="197"/>
              <w:rPr>
                <w:sz w:val="18"/>
              </w:rPr>
            </w:pPr>
            <w:r>
              <w:rPr>
                <w:color w:val="105C84"/>
                <w:spacing w:val="-4"/>
                <w:sz w:val="18"/>
              </w:rPr>
              <w:t>Goal</w:t>
            </w:r>
            <w:r>
              <w:rPr>
                <w:color w:val="105C84"/>
                <w:spacing w:val="-11"/>
                <w:sz w:val="18"/>
              </w:rPr>
              <w:t> </w:t>
            </w:r>
            <w:r>
              <w:rPr>
                <w:color w:val="105C84"/>
                <w:spacing w:val="-4"/>
                <w:sz w:val="18"/>
              </w:rPr>
              <w:t>4.1:</w:t>
            </w:r>
            <w:r>
              <w:rPr>
                <w:color w:val="105C84"/>
                <w:spacing w:val="-8"/>
                <w:sz w:val="18"/>
              </w:rPr>
              <w:t> </w:t>
            </w:r>
            <w:r>
              <w:rPr>
                <w:color w:val="105C84"/>
                <w:spacing w:val="-4"/>
                <w:sz w:val="18"/>
              </w:rPr>
              <w:t>Increase </w:t>
            </w:r>
            <w:r>
              <w:rPr>
                <w:color w:val="105C84"/>
                <w:sz w:val="18"/>
              </w:rPr>
              <w:t>cancer screening </w:t>
            </w:r>
            <w:r>
              <w:rPr>
                <w:color w:val="105C84"/>
                <w:spacing w:val="-2"/>
                <w:sz w:val="18"/>
              </w:rPr>
              <w:t>rates</w:t>
            </w:r>
          </w:p>
        </w:tc>
        <w:tc>
          <w:tcPr>
            <w:tcW w:w="1843" w:type="dxa"/>
          </w:tcPr>
          <w:p>
            <w:pPr>
              <w:pStyle w:val="TableParagraph"/>
              <w:spacing w:line="232" w:lineRule="auto" w:before="101"/>
              <w:ind w:left="90" w:right="221"/>
              <w:rPr>
                <w:sz w:val="18"/>
              </w:rPr>
            </w:pPr>
            <w:r>
              <w:rPr>
                <w:color w:val="105C84"/>
                <w:sz w:val="18"/>
              </w:rPr>
              <w:t>4.1.3 Increase the percentage of adults</w:t>
            </w:r>
            <w:r>
              <w:rPr>
                <w:color w:val="105C84"/>
                <w:spacing w:val="-7"/>
                <w:sz w:val="18"/>
              </w:rPr>
              <w:t> </w:t>
            </w:r>
            <w:r>
              <w:rPr>
                <w:color w:val="105C84"/>
                <w:sz w:val="18"/>
              </w:rPr>
              <w:t>who</w:t>
            </w:r>
            <w:r>
              <w:rPr>
                <w:color w:val="105C84"/>
                <w:spacing w:val="-5"/>
                <w:sz w:val="18"/>
              </w:rPr>
              <w:t> </w:t>
            </w:r>
            <w:r>
              <w:rPr>
                <w:color w:val="105C84"/>
                <w:sz w:val="18"/>
              </w:rPr>
              <w:t>receive a</w:t>
            </w:r>
            <w:r>
              <w:rPr>
                <w:color w:val="105C84"/>
                <w:spacing w:val="-15"/>
                <w:sz w:val="18"/>
              </w:rPr>
              <w:t> </w:t>
            </w:r>
            <w:r>
              <w:rPr>
                <w:color w:val="105C84"/>
                <w:sz w:val="18"/>
              </w:rPr>
              <w:t>colorectal</w:t>
            </w:r>
            <w:r>
              <w:rPr>
                <w:color w:val="105C84"/>
                <w:spacing w:val="-12"/>
                <w:sz w:val="18"/>
              </w:rPr>
              <w:t> </w:t>
            </w:r>
            <w:r>
              <w:rPr>
                <w:color w:val="105C84"/>
                <w:sz w:val="18"/>
              </w:rPr>
              <w:t>cancer screening based on</w:t>
            </w:r>
            <w:r>
              <w:rPr>
                <w:color w:val="105C84"/>
                <w:spacing w:val="-4"/>
                <w:sz w:val="18"/>
              </w:rPr>
              <w:t> </w:t>
            </w:r>
            <w:r>
              <w:rPr>
                <w:color w:val="105C84"/>
                <w:sz w:val="18"/>
              </w:rPr>
              <w:t>the</w:t>
            </w:r>
            <w:r>
              <w:rPr>
                <w:color w:val="105C84"/>
                <w:spacing w:val="-4"/>
                <w:sz w:val="18"/>
              </w:rPr>
              <w:t> </w:t>
            </w:r>
            <w:r>
              <w:rPr>
                <w:color w:val="105C84"/>
                <w:sz w:val="18"/>
              </w:rPr>
              <w:t>most</w:t>
            </w:r>
            <w:r>
              <w:rPr>
                <w:color w:val="105C84"/>
                <w:spacing w:val="-4"/>
                <w:sz w:val="18"/>
              </w:rPr>
              <w:t> </w:t>
            </w:r>
            <w:r>
              <w:rPr>
                <w:color w:val="105C84"/>
                <w:sz w:val="18"/>
              </w:rPr>
              <w:t>recent guidelines</w:t>
            </w:r>
            <w:r>
              <w:rPr>
                <w:color w:val="105C84"/>
                <w:spacing w:val="-4"/>
                <w:sz w:val="18"/>
              </w:rPr>
              <w:t> </w:t>
            </w:r>
            <w:r>
              <w:rPr>
                <w:color w:val="105C84"/>
                <w:sz w:val="18"/>
              </w:rPr>
              <w:t>(age</w:t>
            </w:r>
            <w:r>
              <w:rPr>
                <w:color w:val="105C84"/>
                <w:spacing w:val="-4"/>
                <w:sz w:val="18"/>
              </w:rPr>
              <w:t> </w:t>
            </w:r>
            <w:r>
              <w:rPr>
                <w:color w:val="105C84"/>
                <w:spacing w:val="-6"/>
                <w:sz w:val="18"/>
              </w:rPr>
              <w:t>50</w:t>
            </w:r>
            <w:r>
              <w:rPr>
                <w:color w:val="105C84"/>
                <w:spacing w:val="-6"/>
                <w:sz w:val="18"/>
              </w:rPr>
              <w:t>-</w:t>
            </w:r>
          </w:p>
          <w:p>
            <w:pPr>
              <w:pStyle w:val="TableParagraph"/>
              <w:spacing w:line="196" w:lineRule="exact"/>
              <w:ind w:left="90"/>
              <w:rPr>
                <w:sz w:val="18"/>
              </w:rPr>
            </w:pPr>
            <w:r>
              <w:rPr>
                <w:color w:val="105C84"/>
                <w:spacing w:val="-6"/>
                <w:sz w:val="18"/>
              </w:rPr>
              <w:t>75</w:t>
            </w:r>
            <w:r>
              <w:rPr>
                <w:color w:val="105C84"/>
                <w:spacing w:val="-7"/>
                <w:sz w:val="18"/>
              </w:rPr>
              <w:t> </w:t>
            </w:r>
            <w:r>
              <w:rPr>
                <w:color w:val="105C84"/>
                <w:spacing w:val="-2"/>
                <w:sz w:val="18"/>
              </w:rPr>
              <w:t>years)</w:t>
            </w:r>
          </w:p>
        </w:tc>
        <w:tc>
          <w:tcPr>
            <w:tcW w:w="1728" w:type="dxa"/>
            <w:vMerge w:val="restart"/>
          </w:tcPr>
          <w:p>
            <w:pPr>
              <w:pStyle w:val="TableParagraph"/>
              <w:spacing w:line="232" w:lineRule="auto" w:before="101"/>
              <w:ind w:left="90" w:right="199"/>
              <w:rPr>
                <w:sz w:val="18"/>
              </w:rPr>
            </w:pPr>
            <w:r>
              <w:rPr>
                <w:color w:val="105C84"/>
                <w:sz w:val="18"/>
              </w:rPr>
              <w:t>Adults with an annual</w:t>
            </w:r>
            <w:r>
              <w:rPr>
                <w:color w:val="105C84"/>
                <w:spacing w:val="-13"/>
                <w:sz w:val="18"/>
              </w:rPr>
              <w:t> </w:t>
            </w:r>
            <w:r>
              <w:rPr>
                <w:color w:val="105C84"/>
                <w:sz w:val="18"/>
              </w:rPr>
              <w:t>household income less than</w:t>
            </w:r>
          </w:p>
          <w:p>
            <w:pPr>
              <w:pStyle w:val="TableParagraph"/>
              <w:spacing w:line="200" w:lineRule="exact"/>
              <w:ind w:left="90"/>
              <w:rPr>
                <w:sz w:val="18"/>
              </w:rPr>
            </w:pPr>
            <w:r>
              <w:rPr>
                <w:color w:val="105C84"/>
                <w:spacing w:val="-2"/>
                <w:sz w:val="18"/>
              </w:rPr>
              <w:t>$25,000</w:t>
            </w:r>
          </w:p>
        </w:tc>
        <w:tc>
          <w:tcPr>
            <w:tcW w:w="2689" w:type="dxa"/>
            <w:tcBorders>
              <w:right w:val="nil"/>
            </w:tcBorders>
          </w:tcPr>
          <w:p>
            <w:pPr>
              <w:pStyle w:val="TableParagraph"/>
              <w:spacing w:line="232" w:lineRule="auto" w:before="101"/>
              <w:ind w:left="90" w:right="996"/>
              <w:rPr>
                <w:sz w:val="18"/>
              </w:rPr>
            </w:pPr>
            <w:r>
              <w:rPr>
                <w:color w:val="105C84"/>
                <w:sz w:val="18"/>
              </w:rPr>
              <w:t>4.1.3 Use small media such as videos, printed </w:t>
            </w:r>
            <w:r>
              <w:rPr>
                <w:color w:val="105C84"/>
                <w:spacing w:val="-2"/>
                <w:sz w:val="18"/>
              </w:rPr>
              <w:t>materials</w:t>
            </w:r>
            <w:r>
              <w:rPr>
                <w:color w:val="105C84"/>
                <w:spacing w:val="-11"/>
                <w:sz w:val="18"/>
              </w:rPr>
              <w:t> </w:t>
            </w:r>
            <w:r>
              <w:rPr>
                <w:color w:val="105C84"/>
                <w:spacing w:val="-2"/>
                <w:sz w:val="18"/>
              </w:rPr>
              <w:t>(letters</w:t>
            </w:r>
            <w:r>
              <w:rPr>
                <w:color w:val="105C84"/>
                <w:spacing w:val="-2"/>
                <w:sz w:val="18"/>
              </w:rPr>
              <w:t>,</w:t>
            </w:r>
            <w:r>
              <w:rPr>
                <w:color w:val="105C84"/>
                <w:spacing w:val="-2"/>
                <w:sz w:val="18"/>
              </w:rPr>
              <w:t> brochures, newsletters)</w:t>
            </w:r>
          </w:p>
          <w:p>
            <w:pPr>
              <w:pStyle w:val="TableParagraph"/>
              <w:spacing w:line="232" w:lineRule="auto"/>
              <w:ind w:left="90" w:right="1279"/>
              <w:rPr>
                <w:sz w:val="18"/>
              </w:rPr>
            </w:pPr>
            <w:r>
              <w:rPr>
                <w:color w:val="105C84"/>
                <w:sz w:val="18"/>
              </w:rPr>
              <w:t>and health </w:t>
            </w:r>
            <w:r>
              <w:rPr>
                <w:color w:val="105C84"/>
                <w:spacing w:val="-2"/>
                <w:sz w:val="18"/>
              </w:rPr>
              <w:t>communication </w:t>
            </w:r>
            <w:r>
              <w:rPr>
                <w:color w:val="105C84"/>
                <w:sz w:val="18"/>
              </w:rPr>
              <w:t>to build public awareness</w:t>
            </w:r>
            <w:r>
              <w:rPr>
                <w:color w:val="105C84"/>
                <w:spacing w:val="-13"/>
                <w:sz w:val="18"/>
              </w:rPr>
              <w:t> </w:t>
            </w:r>
            <w:r>
              <w:rPr>
                <w:color w:val="105C84"/>
                <w:sz w:val="18"/>
              </w:rPr>
              <w:t>and </w:t>
            </w:r>
            <w:r>
              <w:rPr>
                <w:color w:val="105C84"/>
                <w:spacing w:val="-2"/>
                <w:sz w:val="18"/>
              </w:rPr>
              <w:t>demand</w:t>
            </w:r>
          </w:p>
        </w:tc>
        <w:tc>
          <w:tcPr>
            <w:tcW w:w="2581" w:type="dxa"/>
            <w:vMerge w:val="restart"/>
            <w:tcBorders>
              <w:left w:val="nil"/>
            </w:tcBorders>
          </w:tcPr>
          <w:p>
            <w:pPr>
              <w:pStyle w:val="TableParagraph"/>
              <w:spacing w:line="232" w:lineRule="auto" w:before="101"/>
              <w:ind w:left="1086"/>
              <w:rPr>
                <w:sz w:val="18"/>
              </w:rPr>
            </w:pPr>
            <w:r>
              <w:rPr>
                <w:color w:val="105C84"/>
                <w:sz w:val="18"/>
              </w:rPr>
              <w:t>Number of </w:t>
            </w:r>
            <w:r>
              <w:rPr>
                <w:color w:val="105C84"/>
                <w:spacing w:val="-2"/>
                <w:sz w:val="18"/>
              </w:rPr>
              <w:t>advertisements </w:t>
            </w:r>
            <w:r>
              <w:rPr>
                <w:color w:val="105C84"/>
                <w:sz w:val="18"/>
              </w:rPr>
              <w:t>promote</w:t>
            </w:r>
            <w:r>
              <w:rPr>
                <w:color w:val="105C84"/>
                <w:spacing w:val="-13"/>
                <w:sz w:val="18"/>
              </w:rPr>
              <w:t> </w:t>
            </w:r>
            <w:r>
              <w:rPr>
                <w:color w:val="105C84"/>
                <w:sz w:val="18"/>
              </w:rPr>
              <w:t>cancer </w:t>
            </w:r>
            <w:r>
              <w:rPr>
                <w:color w:val="105C84"/>
                <w:spacing w:val="-2"/>
                <w:sz w:val="18"/>
              </w:rPr>
              <w:t>screenings</w:t>
            </w:r>
          </w:p>
          <w:p>
            <w:pPr>
              <w:pStyle w:val="TableParagraph"/>
              <w:spacing w:line="232" w:lineRule="auto" w:before="86"/>
              <w:ind w:left="1086"/>
              <w:rPr>
                <w:sz w:val="18"/>
              </w:rPr>
            </w:pPr>
            <w:r>
              <w:rPr>
                <w:color w:val="105C84"/>
                <w:spacing w:val="-4"/>
                <w:sz w:val="18"/>
              </w:rPr>
              <w:t>Percent</w:t>
            </w:r>
            <w:r>
              <w:rPr>
                <w:color w:val="105C84"/>
                <w:spacing w:val="-11"/>
                <w:sz w:val="18"/>
              </w:rPr>
              <w:t> </w:t>
            </w:r>
            <w:r>
              <w:rPr>
                <w:color w:val="105C84"/>
                <w:spacing w:val="-4"/>
                <w:sz w:val="18"/>
              </w:rPr>
              <w:t>of</w:t>
            </w:r>
            <w:r>
              <w:rPr>
                <w:color w:val="105C84"/>
                <w:spacing w:val="-8"/>
                <w:sz w:val="18"/>
              </w:rPr>
              <w:t> </w:t>
            </w:r>
            <w:r>
              <w:rPr>
                <w:color w:val="105C84"/>
                <w:spacing w:val="-4"/>
                <w:sz w:val="18"/>
              </w:rPr>
              <w:t>CRC </w:t>
            </w:r>
            <w:r>
              <w:rPr>
                <w:color w:val="105C84"/>
                <w:spacing w:val="-2"/>
                <w:w w:val="105"/>
                <w:sz w:val="18"/>
              </w:rPr>
              <w:t>promotion</w:t>
            </w:r>
          </w:p>
          <w:p>
            <w:pPr>
              <w:pStyle w:val="TableParagraph"/>
              <w:spacing w:line="232" w:lineRule="auto"/>
              <w:ind w:left="1086"/>
              <w:rPr>
                <w:sz w:val="18"/>
              </w:rPr>
            </w:pPr>
            <w:r>
              <w:rPr>
                <w:color w:val="105C84"/>
                <w:spacing w:val="-2"/>
                <w:w w:val="105"/>
                <w:sz w:val="18"/>
              </w:rPr>
              <w:t>that</w:t>
            </w:r>
            <w:r>
              <w:rPr>
                <w:color w:val="105C84"/>
                <w:spacing w:val="-12"/>
                <w:w w:val="105"/>
                <w:sz w:val="18"/>
              </w:rPr>
              <w:t> </w:t>
            </w:r>
            <w:r>
              <w:rPr>
                <w:color w:val="105C84"/>
                <w:spacing w:val="-2"/>
                <w:w w:val="105"/>
                <w:sz w:val="18"/>
              </w:rPr>
              <w:t>target</w:t>
            </w:r>
            <w:r>
              <w:rPr>
                <w:color w:val="105C84"/>
                <w:spacing w:val="-11"/>
                <w:w w:val="105"/>
                <w:sz w:val="18"/>
              </w:rPr>
              <w:t> </w:t>
            </w:r>
            <w:r>
              <w:rPr>
                <w:color w:val="105C84"/>
                <w:spacing w:val="-2"/>
                <w:w w:val="105"/>
                <w:sz w:val="18"/>
              </w:rPr>
              <w:t>low income</w:t>
            </w:r>
          </w:p>
        </w:tc>
        <w:tc>
          <w:tcPr>
            <w:tcW w:w="1742" w:type="dxa"/>
          </w:tcPr>
          <w:p>
            <w:pPr>
              <w:pStyle w:val="TableParagraph"/>
              <w:spacing w:line="232" w:lineRule="auto" w:before="100"/>
              <w:ind w:left="91" w:right="150"/>
              <w:rPr>
                <w:sz w:val="18"/>
              </w:rPr>
            </w:pPr>
            <w:r>
              <w:rPr>
                <w:color w:val="105C84"/>
                <w:spacing w:val="-2"/>
                <w:sz w:val="18"/>
              </w:rPr>
              <w:t>S2AY</w:t>
            </w:r>
            <w:r>
              <w:rPr>
                <w:color w:val="105C84"/>
                <w:spacing w:val="-13"/>
                <w:sz w:val="18"/>
              </w:rPr>
              <w:t> </w:t>
            </w:r>
            <w:r>
              <w:rPr>
                <w:color w:val="105C84"/>
                <w:spacing w:val="-2"/>
                <w:sz w:val="18"/>
              </w:rPr>
              <w:t>will</w:t>
            </w:r>
            <w:r>
              <w:rPr>
                <w:color w:val="105C84"/>
                <w:spacing w:val="-10"/>
                <w:sz w:val="18"/>
              </w:rPr>
              <w:t> </w:t>
            </w:r>
            <w:r>
              <w:rPr>
                <w:color w:val="105C84"/>
                <w:spacing w:val="-2"/>
                <w:sz w:val="18"/>
              </w:rPr>
              <w:t>promote </w:t>
            </w:r>
            <w:r>
              <w:rPr>
                <w:color w:val="105C84"/>
                <w:sz w:val="18"/>
              </w:rPr>
              <w:t>Living Healthy Classes in Schuyler County</w:t>
            </w:r>
          </w:p>
        </w:tc>
        <w:tc>
          <w:tcPr>
            <w:tcW w:w="1743" w:type="dxa"/>
          </w:tcPr>
          <w:p>
            <w:pPr>
              <w:pStyle w:val="TableParagraph"/>
              <w:spacing w:line="232" w:lineRule="auto" w:before="100"/>
              <w:ind w:left="91" w:right="151"/>
              <w:rPr>
                <w:sz w:val="18"/>
              </w:rPr>
            </w:pPr>
            <w:r>
              <w:rPr>
                <w:color w:val="105C84"/>
                <w:spacing w:val="-2"/>
                <w:sz w:val="18"/>
              </w:rPr>
              <w:t>S2AY</w:t>
            </w:r>
            <w:r>
              <w:rPr>
                <w:color w:val="105C84"/>
                <w:spacing w:val="-13"/>
                <w:sz w:val="18"/>
              </w:rPr>
              <w:t> </w:t>
            </w:r>
            <w:r>
              <w:rPr>
                <w:color w:val="105C84"/>
                <w:spacing w:val="-2"/>
                <w:sz w:val="18"/>
              </w:rPr>
              <w:t>will</w:t>
            </w:r>
            <w:r>
              <w:rPr>
                <w:color w:val="105C84"/>
                <w:spacing w:val="-10"/>
                <w:sz w:val="18"/>
              </w:rPr>
              <w:t> </w:t>
            </w:r>
            <w:r>
              <w:rPr>
                <w:color w:val="105C84"/>
                <w:spacing w:val="-2"/>
                <w:sz w:val="18"/>
              </w:rPr>
              <w:t>promote </w:t>
            </w:r>
            <w:r>
              <w:rPr>
                <w:color w:val="105C84"/>
                <w:sz w:val="18"/>
              </w:rPr>
              <w:t>Living Healthy Classes in Schuyler County</w:t>
            </w:r>
          </w:p>
        </w:tc>
        <w:tc>
          <w:tcPr>
            <w:tcW w:w="1671" w:type="dxa"/>
          </w:tcPr>
          <w:p>
            <w:pPr>
              <w:pStyle w:val="TableParagraph"/>
              <w:spacing w:line="232" w:lineRule="auto" w:before="100"/>
              <w:ind w:left="91" w:right="103"/>
              <w:rPr>
                <w:sz w:val="18"/>
              </w:rPr>
            </w:pPr>
            <w:r>
              <w:rPr>
                <w:color w:val="105C84"/>
                <w:spacing w:val="-2"/>
                <w:sz w:val="18"/>
              </w:rPr>
              <w:t>S2AY</w:t>
            </w:r>
            <w:r>
              <w:rPr>
                <w:color w:val="105C84"/>
                <w:spacing w:val="-13"/>
                <w:sz w:val="18"/>
              </w:rPr>
              <w:t> </w:t>
            </w:r>
            <w:r>
              <w:rPr>
                <w:color w:val="105C84"/>
                <w:spacing w:val="-2"/>
                <w:sz w:val="18"/>
              </w:rPr>
              <w:t>will</w:t>
            </w:r>
            <w:r>
              <w:rPr>
                <w:color w:val="105C84"/>
                <w:spacing w:val="-10"/>
                <w:sz w:val="18"/>
              </w:rPr>
              <w:t> </w:t>
            </w:r>
            <w:r>
              <w:rPr>
                <w:color w:val="105C84"/>
                <w:spacing w:val="-2"/>
                <w:sz w:val="18"/>
              </w:rPr>
              <w:t>promote </w:t>
            </w:r>
            <w:r>
              <w:rPr>
                <w:color w:val="105C84"/>
                <w:sz w:val="18"/>
              </w:rPr>
              <w:t>Living Healthy Classes in Schuyler County</w:t>
            </w:r>
          </w:p>
        </w:tc>
        <w:tc>
          <w:tcPr>
            <w:tcW w:w="1642" w:type="dxa"/>
          </w:tcPr>
          <w:p>
            <w:pPr>
              <w:pStyle w:val="TableParagraph"/>
              <w:spacing w:line="232" w:lineRule="auto" w:before="100"/>
              <w:ind w:left="90" w:right="131"/>
              <w:rPr>
                <w:sz w:val="18"/>
              </w:rPr>
            </w:pPr>
            <w:r>
              <w:rPr>
                <w:color w:val="105C84"/>
                <w:spacing w:val="-2"/>
                <w:sz w:val="18"/>
              </w:rPr>
              <w:t>Community-based organizations</w:t>
            </w:r>
          </w:p>
        </w:tc>
        <w:tc>
          <w:tcPr>
            <w:tcW w:w="1742" w:type="dxa"/>
          </w:tcPr>
          <w:p>
            <w:pPr>
              <w:pStyle w:val="TableParagraph"/>
              <w:spacing w:line="232" w:lineRule="auto" w:before="100"/>
              <w:ind w:left="90" w:right="85"/>
              <w:rPr>
                <w:sz w:val="18"/>
              </w:rPr>
            </w:pPr>
            <w:r>
              <w:rPr>
                <w:color w:val="105C84"/>
                <w:sz w:val="18"/>
              </w:rPr>
              <w:t>S2AY Rural Health Network 5% of Full time staff towards social media promotion, </w:t>
            </w:r>
            <w:r>
              <w:rPr>
                <w:color w:val="105C84"/>
                <w:sz w:val="18"/>
              </w:rPr>
              <w:t>website maintenance and email distribution for promotion</w:t>
            </w:r>
          </w:p>
        </w:tc>
      </w:tr>
      <w:tr>
        <w:trPr>
          <w:trHeight w:val="2730" w:hRule="atLeast"/>
        </w:trPr>
        <w:tc>
          <w:tcPr>
            <w:tcW w:w="1209" w:type="dxa"/>
            <w:vMerge/>
            <w:tcBorders>
              <w:top w:val="nil"/>
            </w:tcBorders>
            <w:shd w:val="clear" w:color="auto" w:fill="E6E7E8"/>
          </w:tcPr>
          <w:p>
            <w:pPr>
              <w:rPr>
                <w:sz w:val="2"/>
                <w:szCs w:val="2"/>
              </w:rPr>
            </w:pPr>
          </w:p>
        </w:tc>
        <w:tc>
          <w:tcPr>
            <w:tcW w:w="1843" w:type="dxa"/>
            <w:vMerge/>
            <w:tcBorders>
              <w:top w:val="nil"/>
            </w:tcBorders>
          </w:tcPr>
          <w:p>
            <w:pPr>
              <w:rPr>
                <w:sz w:val="2"/>
                <w:szCs w:val="2"/>
              </w:rPr>
            </w:pPr>
          </w:p>
        </w:tc>
        <w:tc>
          <w:tcPr>
            <w:tcW w:w="1843" w:type="dxa"/>
            <w:vMerge/>
            <w:tcBorders>
              <w:top w:val="nil"/>
            </w:tcBorders>
          </w:tcPr>
          <w:p>
            <w:pPr>
              <w:rPr>
                <w:sz w:val="2"/>
                <w:szCs w:val="2"/>
              </w:rPr>
            </w:pPr>
          </w:p>
        </w:tc>
        <w:tc>
          <w:tcPr>
            <w:tcW w:w="1843" w:type="dxa"/>
            <w:vMerge w:val="restart"/>
          </w:tcPr>
          <w:p>
            <w:pPr>
              <w:pStyle w:val="TableParagraph"/>
              <w:spacing w:line="232" w:lineRule="auto" w:before="100"/>
              <w:ind w:left="90" w:right="232"/>
              <w:rPr>
                <w:sz w:val="18"/>
              </w:rPr>
            </w:pPr>
            <w:r>
              <w:rPr>
                <w:color w:val="105C84"/>
                <w:sz w:val="18"/>
              </w:rPr>
              <w:t>4.1.4 Increase the percentage of adults</w:t>
            </w:r>
            <w:r>
              <w:rPr>
                <w:color w:val="105C84"/>
                <w:spacing w:val="-12"/>
                <w:sz w:val="18"/>
              </w:rPr>
              <w:t> </w:t>
            </w:r>
            <w:r>
              <w:rPr>
                <w:color w:val="105C84"/>
                <w:sz w:val="18"/>
              </w:rPr>
              <w:t>who</w:t>
            </w:r>
            <w:r>
              <w:rPr>
                <w:color w:val="105C84"/>
                <w:spacing w:val="-10"/>
                <w:sz w:val="18"/>
              </w:rPr>
              <w:t> </w:t>
            </w:r>
            <w:r>
              <w:rPr>
                <w:color w:val="105C84"/>
                <w:sz w:val="18"/>
              </w:rPr>
              <w:t>receive a</w:t>
            </w:r>
            <w:r>
              <w:rPr>
                <w:color w:val="105C84"/>
                <w:spacing w:val="-15"/>
                <w:sz w:val="18"/>
              </w:rPr>
              <w:t> </w:t>
            </w:r>
            <w:r>
              <w:rPr>
                <w:color w:val="105C84"/>
                <w:sz w:val="18"/>
              </w:rPr>
              <w:t>colorectal</w:t>
            </w:r>
            <w:r>
              <w:rPr>
                <w:color w:val="105C84"/>
                <w:spacing w:val="-12"/>
                <w:sz w:val="18"/>
              </w:rPr>
              <w:t> </w:t>
            </w:r>
            <w:r>
              <w:rPr>
                <w:color w:val="105C84"/>
                <w:sz w:val="18"/>
              </w:rPr>
              <w:t>cancer screening based on</w:t>
            </w:r>
            <w:r>
              <w:rPr>
                <w:color w:val="105C84"/>
                <w:spacing w:val="-7"/>
                <w:sz w:val="18"/>
              </w:rPr>
              <w:t> </w:t>
            </w:r>
            <w:r>
              <w:rPr>
                <w:color w:val="105C84"/>
                <w:sz w:val="18"/>
              </w:rPr>
              <w:t>the</w:t>
            </w:r>
            <w:r>
              <w:rPr>
                <w:color w:val="105C84"/>
                <w:spacing w:val="-7"/>
                <w:sz w:val="18"/>
              </w:rPr>
              <w:t> </w:t>
            </w:r>
            <w:r>
              <w:rPr>
                <w:color w:val="105C84"/>
                <w:sz w:val="18"/>
              </w:rPr>
              <w:t>most</w:t>
            </w:r>
            <w:r>
              <w:rPr>
                <w:color w:val="105C84"/>
                <w:spacing w:val="-7"/>
                <w:sz w:val="18"/>
              </w:rPr>
              <w:t> </w:t>
            </w:r>
            <w:r>
              <w:rPr>
                <w:color w:val="105C84"/>
                <w:sz w:val="18"/>
              </w:rPr>
              <w:t>recent</w:t>
            </w:r>
            <w:r>
              <w:rPr>
                <w:color w:val="105C84"/>
                <w:sz w:val="18"/>
              </w:rPr>
              <w:t> </w:t>
            </w:r>
            <w:r>
              <w:rPr>
                <w:color w:val="105C84"/>
                <w:spacing w:val="-2"/>
                <w:sz w:val="18"/>
              </w:rPr>
              <w:t>guidelines(adults </w:t>
            </w:r>
            <w:r>
              <w:rPr>
                <w:color w:val="105C84"/>
                <w:sz w:val="18"/>
              </w:rPr>
              <w:t>with an annual household income less</w:t>
            </w:r>
            <w:r>
              <w:rPr>
                <w:color w:val="105C84"/>
                <w:spacing w:val="-6"/>
                <w:sz w:val="18"/>
              </w:rPr>
              <w:t> </w:t>
            </w:r>
            <w:r>
              <w:rPr>
                <w:color w:val="105C84"/>
                <w:sz w:val="18"/>
              </w:rPr>
              <w:t>than</w:t>
            </w:r>
            <w:r>
              <w:rPr>
                <w:color w:val="105C84"/>
                <w:spacing w:val="-6"/>
                <w:sz w:val="18"/>
              </w:rPr>
              <w:t> </w:t>
            </w:r>
            <w:r>
              <w:rPr>
                <w:color w:val="105C84"/>
                <w:sz w:val="18"/>
              </w:rPr>
              <w:t>$25,000)</w:t>
            </w:r>
          </w:p>
        </w:tc>
        <w:tc>
          <w:tcPr>
            <w:tcW w:w="1728" w:type="dxa"/>
            <w:vMerge/>
            <w:tcBorders>
              <w:top w:val="nil"/>
            </w:tcBorders>
          </w:tcPr>
          <w:p>
            <w:pPr>
              <w:rPr>
                <w:sz w:val="2"/>
                <w:szCs w:val="2"/>
              </w:rPr>
            </w:pPr>
          </w:p>
        </w:tc>
        <w:tc>
          <w:tcPr>
            <w:tcW w:w="2689" w:type="dxa"/>
            <w:vMerge w:val="restart"/>
            <w:tcBorders>
              <w:right w:val="nil"/>
            </w:tcBorders>
          </w:tcPr>
          <w:p>
            <w:pPr>
              <w:pStyle w:val="TableParagraph"/>
              <w:spacing w:line="232" w:lineRule="auto" w:before="100"/>
              <w:ind w:left="90" w:right="996"/>
              <w:rPr>
                <w:sz w:val="18"/>
              </w:rPr>
            </w:pPr>
            <w:r>
              <w:rPr>
                <w:color w:val="105C84"/>
                <w:sz w:val="18"/>
              </w:rPr>
              <w:t>4.1.2 Conduct one-on-one (by phone</w:t>
            </w:r>
            <w:r>
              <w:rPr>
                <w:color w:val="105C84"/>
                <w:spacing w:val="40"/>
                <w:sz w:val="18"/>
              </w:rPr>
              <w:t> </w:t>
            </w:r>
            <w:r>
              <w:rPr>
                <w:color w:val="105C84"/>
                <w:sz w:val="18"/>
              </w:rPr>
              <w:t>or in-person) and group education (presentation or other interactive session</w:t>
            </w:r>
            <w:r>
              <w:rPr>
                <w:color w:val="105C84"/>
                <w:spacing w:val="-11"/>
                <w:sz w:val="18"/>
              </w:rPr>
              <w:t> </w:t>
            </w:r>
            <w:r>
              <w:rPr>
                <w:color w:val="105C84"/>
                <w:sz w:val="18"/>
              </w:rPr>
              <w:t>in</w:t>
            </w:r>
            <w:r>
              <w:rPr>
                <w:color w:val="105C84"/>
                <w:spacing w:val="-12"/>
                <w:sz w:val="18"/>
              </w:rPr>
              <w:t> </w:t>
            </w:r>
            <w:r>
              <w:rPr>
                <w:color w:val="105C84"/>
                <w:sz w:val="18"/>
              </w:rPr>
              <w:t>a</w:t>
            </w:r>
            <w:r>
              <w:rPr>
                <w:color w:val="105C84"/>
                <w:spacing w:val="-11"/>
                <w:sz w:val="18"/>
              </w:rPr>
              <w:t> </w:t>
            </w:r>
            <w:r>
              <w:rPr>
                <w:color w:val="105C84"/>
                <w:sz w:val="18"/>
              </w:rPr>
              <w:t>church, home,</w:t>
            </w:r>
            <w:r>
              <w:rPr>
                <w:color w:val="105C84"/>
                <w:spacing w:val="-15"/>
                <w:sz w:val="18"/>
              </w:rPr>
              <w:t> </w:t>
            </w:r>
            <w:r>
              <w:rPr>
                <w:color w:val="105C84"/>
                <w:sz w:val="18"/>
              </w:rPr>
              <w:t>senior</w:t>
            </w:r>
            <w:r>
              <w:rPr>
                <w:color w:val="105C84"/>
                <w:spacing w:val="-12"/>
                <w:sz w:val="18"/>
              </w:rPr>
              <w:t> </w:t>
            </w:r>
            <w:r>
              <w:rPr>
                <w:color w:val="105C84"/>
                <w:sz w:val="18"/>
              </w:rPr>
              <w:t>center</w:t>
            </w:r>
            <w:r>
              <w:rPr>
                <w:color w:val="105C84"/>
                <w:sz w:val="18"/>
              </w:rPr>
              <w:t> or other setting</w:t>
            </w:r>
          </w:p>
        </w:tc>
        <w:tc>
          <w:tcPr>
            <w:tcW w:w="2581" w:type="dxa"/>
            <w:vMerge/>
            <w:tcBorders>
              <w:top w:val="nil"/>
              <w:left w:val="nil"/>
            </w:tcBorders>
          </w:tcPr>
          <w:p>
            <w:pPr>
              <w:rPr>
                <w:sz w:val="2"/>
                <w:szCs w:val="2"/>
              </w:rPr>
            </w:pPr>
          </w:p>
        </w:tc>
        <w:tc>
          <w:tcPr>
            <w:tcW w:w="1742" w:type="dxa"/>
          </w:tcPr>
          <w:p>
            <w:pPr>
              <w:pStyle w:val="TableParagraph"/>
              <w:spacing w:line="232" w:lineRule="auto" w:before="100"/>
              <w:ind w:left="91" w:right="150"/>
              <w:rPr>
                <w:sz w:val="18"/>
              </w:rPr>
            </w:pPr>
            <w:r>
              <w:rPr>
                <w:color w:val="105C84"/>
                <w:sz w:val="18"/>
              </w:rPr>
              <w:t>Use inflatable colon to </w:t>
            </w:r>
            <w:r>
              <w:rPr>
                <w:color w:val="105C84"/>
                <w:sz w:val="18"/>
              </w:rPr>
              <w:t>promote awareness</w:t>
            </w:r>
            <w:r>
              <w:rPr>
                <w:color w:val="105C84"/>
                <w:spacing w:val="-11"/>
                <w:sz w:val="18"/>
              </w:rPr>
              <w:t> </w:t>
            </w:r>
            <w:r>
              <w:rPr>
                <w:color w:val="105C84"/>
                <w:sz w:val="18"/>
              </w:rPr>
              <w:t>about colorectal cancer at festival</w:t>
            </w:r>
          </w:p>
        </w:tc>
        <w:tc>
          <w:tcPr>
            <w:tcW w:w="1743" w:type="dxa"/>
          </w:tcPr>
          <w:p>
            <w:pPr>
              <w:pStyle w:val="TableParagraph"/>
              <w:spacing w:line="232" w:lineRule="auto" w:before="100"/>
              <w:ind w:left="91" w:right="151"/>
              <w:rPr>
                <w:sz w:val="18"/>
              </w:rPr>
            </w:pPr>
            <w:r>
              <w:rPr>
                <w:color w:val="105C84"/>
                <w:sz w:val="18"/>
              </w:rPr>
              <w:t>Use inflatable colon to promote awareness about colorectal cancer at</w:t>
            </w:r>
            <w:r>
              <w:rPr>
                <w:color w:val="105C84"/>
                <w:spacing w:val="-15"/>
                <w:sz w:val="18"/>
              </w:rPr>
              <w:t> </w:t>
            </w:r>
            <w:r>
              <w:rPr>
                <w:color w:val="105C84"/>
                <w:sz w:val="18"/>
              </w:rPr>
              <w:t>festivals.</w:t>
            </w:r>
            <w:r>
              <w:rPr>
                <w:color w:val="105C84"/>
                <w:spacing w:val="-12"/>
                <w:sz w:val="18"/>
              </w:rPr>
              <w:t> </w:t>
            </w:r>
            <w:r>
              <w:rPr>
                <w:color w:val="105C84"/>
                <w:sz w:val="18"/>
              </w:rPr>
              <w:t>Attend</w:t>
            </w:r>
          </w:p>
          <w:p>
            <w:pPr>
              <w:pStyle w:val="TableParagraph"/>
              <w:spacing w:line="232" w:lineRule="auto"/>
              <w:ind w:left="91" w:right="128"/>
              <w:rPr>
                <w:sz w:val="18"/>
              </w:rPr>
            </w:pPr>
            <w:r>
              <w:rPr>
                <w:color w:val="105C84"/>
                <w:sz w:val="18"/>
              </w:rPr>
              <w:t>3</w:t>
            </w:r>
            <w:r>
              <w:rPr>
                <w:color w:val="105C84"/>
                <w:spacing w:val="40"/>
                <w:sz w:val="18"/>
              </w:rPr>
              <w:t> </w:t>
            </w:r>
            <w:r>
              <w:rPr>
                <w:color w:val="105C84"/>
                <w:sz w:val="18"/>
              </w:rPr>
              <w:t>service clubs, churches</w:t>
            </w:r>
            <w:r>
              <w:rPr>
                <w:color w:val="105C84"/>
                <w:spacing w:val="-15"/>
                <w:sz w:val="18"/>
              </w:rPr>
              <w:t> </w:t>
            </w:r>
            <w:r>
              <w:rPr>
                <w:color w:val="105C84"/>
                <w:sz w:val="18"/>
              </w:rPr>
              <w:t>and</w:t>
            </w:r>
            <w:r>
              <w:rPr>
                <w:color w:val="105C84"/>
                <w:spacing w:val="-12"/>
                <w:sz w:val="18"/>
              </w:rPr>
              <w:t> </w:t>
            </w:r>
            <w:r>
              <w:rPr>
                <w:color w:val="105C84"/>
                <w:sz w:val="18"/>
              </w:rPr>
              <w:t>OFA meal sites. Attend local</w:t>
            </w:r>
            <w:r>
              <w:rPr>
                <w:color w:val="105C84"/>
                <w:spacing w:val="-15"/>
                <w:sz w:val="18"/>
              </w:rPr>
              <w:t> </w:t>
            </w:r>
            <w:r>
              <w:rPr>
                <w:color w:val="105C84"/>
                <w:sz w:val="18"/>
              </w:rPr>
              <w:t>school</w:t>
            </w:r>
            <w:r>
              <w:rPr>
                <w:color w:val="105C84"/>
                <w:spacing w:val="-12"/>
                <w:sz w:val="18"/>
              </w:rPr>
              <w:t> </w:t>
            </w:r>
            <w:r>
              <w:rPr>
                <w:color w:val="105C84"/>
                <w:sz w:val="18"/>
              </w:rPr>
              <w:t>events</w:t>
            </w:r>
          </w:p>
        </w:tc>
        <w:tc>
          <w:tcPr>
            <w:tcW w:w="1671" w:type="dxa"/>
          </w:tcPr>
          <w:p>
            <w:pPr>
              <w:pStyle w:val="TableParagraph"/>
              <w:spacing w:line="232" w:lineRule="auto" w:before="100"/>
              <w:ind w:left="91" w:right="476"/>
              <w:rPr>
                <w:sz w:val="18"/>
              </w:rPr>
            </w:pPr>
            <w:r>
              <w:rPr>
                <w:color w:val="105C84"/>
                <w:sz w:val="18"/>
              </w:rPr>
              <w:t>Attend food pantries and mobile food pantries to </w:t>
            </w:r>
            <w:r>
              <w:rPr>
                <w:color w:val="105C84"/>
                <w:spacing w:val="-2"/>
                <w:sz w:val="18"/>
              </w:rPr>
              <w:t>increase </w:t>
            </w:r>
            <w:r>
              <w:rPr>
                <w:color w:val="105C84"/>
                <w:spacing w:val="-4"/>
                <w:sz w:val="18"/>
              </w:rPr>
              <w:t>awareness</w:t>
            </w:r>
            <w:r>
              <w:rPr>
                <w:color w:val="105C84"/>
                <w:spacing w:val="-9"/>
                <w:sz w:val="18"/>
              </w:rPr>
              <w:t> </w:t>
            </w:r>
            <w:r>
              <w:rPr>
                <w:color w:val="105C84"/>
                <w:spacing w:val="-4"/>
                <w:sz w:val="18"/>
              </w:rPr>
              <w:t>for </w:t>
            </w:r>
            <w:r>
              <w:rPr>
                <w:color w:val="105C84"/>
                <w:spacing w:val="-2"/>
                <w:sz w:val="18"/>
              </w:rPr>
              <w:t>screenings</w:t>
            </w:r>
          </w:p>
          <w:p>
            <w:pPr>
              <w:pStyle w:val="TableParagraph"/>
              <w:spacing w:line="232" w:lineRule="auto" w:before="84"/>
              <w:ind w:left="91" w:right="103"/>
              <w:rPr>
                <w:sz w:val="18"/>
              </w:rPr>
            </w:pPr>
            <w:r>
              <w:rPr>
                <w:color w:val="105C84"/>
                <w:sz w:val="18"/>
              </w:rPr>
              <w:t>Use inflatable colon to </w:t>
            </w:r>
            <w:r>
              <w:rPr>
                <w:color w:val="105C84"/>
                <w:sz w:val="18"/>
              </w:rPr>
              <w:t>promote awareness</w:t>
            </w:r>
            <w:r>
              <w:rPr>
                <w:color w:val="105C84"/>
                <w:spacing w:val="-11"/>
                <w:sz w:val="18"/>
              </w:rPr>
              <w:t> </w:t>
            </w:r>
            <w:r>
              <w:rPr>
                <w:color w:val="105C84"/>
                <w:sz w:val="18"/>
              </w:rPr>
              <w:t>about colorectal cancer at festivals</w:t>
            </w:r>
          </w:p>
        </w:tc>
        <w:tc>
          <w:tcPr>
            <w:tcW w:w="1642" w:type="dxa"/>
          </w:tcPr>
          <w:p>
            <w:pPr>
              <w:pStyle w:val="TableParagraph"/>
              <w:spacing w:line="232" w:lineRule="auto" w:before="99"/>
              <w:ind w:left="90"/>
              <w:rPr>
                <w:sz w:val="18"/>
              </w:rPr>
            </w:pPr>
            <w:r>
              <w:rPr>
                <w:color w:val="105C84"/>
                <w:spacing w:val="-2"/>
                <w:sz w:val="18"/>
              </w:rPr>
              <w:t>Local</w:t>
            </w:r>
            <w:r>
              <w:rPr>
                <w:color w:val="105C84"/>
                <w:spacing w:val="-11"/>
                <w:sz w:val="18"/>
              </w:rPr>
              <w:t> </w:t>
            </w:r>
            <w:r>
              <w:rPr>
                <w:color w:val="105C84"/>
                <w:spacing w:val="-2"/>
                <w:sz w:val="18"/>
              </w:rPr>
              <w:t>health department</w:t>
            </w:r>
          </w:p>
        </w:tc>
        <w:tc>
          <w:tcPr>
            <w:tcW w:w="1742" w:type="dxa"/>
          </w:tcPr>
          <w:p>
            <w:pPr>
              <w:pStyle w:val="TableParagraph"/>
              <w:spacing w:line="232" w:lineRule="auto" w:before="99"/>
              <w:ind w:left="90" w:right="129"/>
              <w:rPr>
                <w:sz w:val="18"/>
              </w:rPr>
            </w:pPr>
            <w:r>
              <w:rPr>
                <w:color w:val="105C84"/>
                <w:sz w:val="18"/>
              </w:rPr>
              <w:t>Schuyler Public Health</w:t>
            </w:r>
            <w:r>
              <w:rPr>
                <w:color w:val="105C84"/>
                <w:spacing w:val="-13"/>
                <w:sz w:val="18"/>
              </w:rPr>
              <w:t> </w:t>
            </w:r>
            <w:r>
              <w:rPr>
                <w:color w:val="105C84"/>
                <w:sz w:val="18"/>
              </w:rPr>
              <w:t>2-4%</w:t>
            </w:r>
            <w:r>
              <w:rPr>
                <w:color w:val="105C84"/>
                <w:spacing w:val="-12"/>
                <w:sz w:val="18"/>
              </w:rPr>
              <w:t> </w:t>
            </w:r>
            <w:r>
              <w:rPr>
                <w:color w:val="105C84"/>
                <w:sz w:val="18"/>
              </w:rPr>
              <w:t>of</w:t>
            </w:r>
            <w:r>
              <w:rPr>
                <w:color w:val="105C84"/>
                <w:spacing w:val="-13"/>
                <w:sz w:val="18"/>
              </w:rPr>
              <w:t> </w:t>
            </w:r>
            <w:r>
              <w:rPr>
                <w:color w:val="105C84"/>
                <w:sz w:val="18"/>
              </w:rPr>
              <w:t>Full time public health </w:t>
            </w:r>
            <w:r>
              <w:rPr>
                <w:color w:val="105C84"/>
                <w:spacing w:val="-2"/>
                <w:sz w:val="18"/>
              </w:rPr>
              <w:t>employee</w:t>
            </w:r>
          </w:p>
        </w:tc>
      </w:tr>
      <w:tr>
        <w:trPr>
          <w:trHeight w:val="2240" w:hRule="atLeast"/>
        </w:trPr>
        <w:tc>
          <w:tcPr>
            <w:tcW w:w="1209" w:type="dxa"/>
            <w:vMerge/>
            <w:tcBorders>
              <w:top w:val="nil"/>
            </w:tcBorders>
            <w:shd w:val="clear" w:color="auto" w:fill="E6E7E8"/>
          </w:tcPr>
          <w:p>
            <w:pPr>
              <w:rPr>
                <w:sz w:val="2"/>
                <w:szCs w:val="2"/>
              </w:rPr>
            </w:pPr>
          </w:p>
        </w:tc>
        <w:tc>
          <w:tcPr>
            <w:tcW w:w="1843" w:type="dxa"/>
            <w:vMerge/>
            <w:tcBorders>
              <w:top w:val="nil"/>
            </w:tcBorders>
          </w:tcPr>
          <w:p>
            <w:pPr>
              <w:rPr>
                <w:sz w:val="2"/>
                <w:szCs w:val="2"/>
              </w:rPr>
            </w:pPr>
          </w:p>
        </w:tc>
        <w:tc>
          <w:tcPr>
            <w:tcW w:w="1843" w:type="dxa"/>
            <w:vMerge/>
            <w:tcBorders>
              <w:top w:val="nil"/>
            </w:tcBorders>
          </w:tcPr>
          <w:p>
            <w:pPr>
              <w:rPr>
                <w:sz w:val="2"/>
                <w:szCs w:val="2"/>
              </w:rPr>
            </w:pPr>
          </w:p>
        </w:tc>
        <w:tc>
          <w:tcPr>
            <w:tcW w:w="1843" w:type="dxa"/>
            <w:vMerge/>
            <w:tcBorders>
              <w:top w:val="nil"/>
            </w:tcBorders>
          </w:tcPr>
          <w:p>
            <w:pPr>
              <w:rPr>
                <w:sz w:val="2"/>
                <w:szCs w:val="2"/>
              </w:rPr>
            </w:pPr>
          </w:p>
        </w:tc>
        <w:tc>
          <w:tcPr>
            <w:tcW w:w="1728" w:type="dxa"/>
            <w:vMerge/>
            <w:tcBorders>
              <w:top w:val="nil"/>
            </w:tcBorders>
          </w:tcPr>
          <w:p>
            <w:pPr>
              <w:rPr>
                <w:sz w:val="2"/>
                <w:szCs w:val="2"/>
              </w:rPr>
            </w:pPr>
          </w:p>
        </w:tc>
        <w:tc>
          <w:tcPr>
            <w:tcW w:w="2689" w:type="dxa"/>
            <w:vMerge/>
            <w:tcBorders>
              <w:top w:val="nil"/>
              <w:right w:val="nil"/>
            </w:tcBorders>
          </w:tcPr>
          <w:p>
            <w:pPr>
              <w:rPr>
                <w:sz w:val="2"/>
                <w:szCs w:val="2"/>
              </w:rPr>
            </w:pPr>
          </w:p>
        </w:tc>
        <w:tc>
          <w:tcPr>
            <w:tcW w:w="2581" w:type="dxa"/>
            <w:vMerge/>
            <w:tcBorders>
              <w:top w:val="nil"/>
              <w:left w:val="nil"/>
            </w:tcBorders>
          </w:tcPr>
          <w:p>
            <w:pPr>
              <w:rPr>
                <w:sz w:val="2"/>
                <w:szCs w:val="2"/>
              </w:rPr>
            </w:pPr>
          </w:p>
        </w:tc>
        <w:tc>
          <w:tcPr>
            <w:tcW w:w="1742" w:type="dxa"/>
          </w:tcPr>
          <w:p>
            <w:pPr>
              <w:pStyle w:val="TableParagraph"/>
              <w:spacing w:line="232" w:lineRule="auto" w:before="99"/>
              <w:ind w:left="91" w:right="114"/>
              <w:rPr>
                <w:sz w:val="18"/>
              </w:rPr>
            </w:pPr>
            <w:r>
              <w:rPr>
                <w:color w:val="105C84"/>
                <w:sz w:val="18"/>
              </w:rPr>
              <w:t>Conduct</w:t>
            </w:r>
            <w:r>
              <w:rPr>
                <w:color w:val="105C84"/>
                <w:spacing w:val="-13"/>
                <w:sz w:val="18"/>
              </w:rPr>
              <w:t> </w:t>
            </w:r>
            <w:r>
              <w:rPr>
                <w:color w:val="105C84"/>
                <w:sz w:val="18"/>
              </w:rPr>
              <w:t>Health Living Class through U of R</w:t>
            </w:r>
          </w:p>
        </w:tc>
        <w:tc>
          <w:tcPr>
            <w:tcW w:w="1743" w:type="dxa"/>
          </w:tcPr>
          <w:p>
            <w:pPr>
              <w:pStyle w:val="TableParagraph"/>
              <w:spacing w:line="232" w:lineRule="auto" w:before="99"/>
              <w:ind w:left="91" w:right="151"/>
              <w:rPr>
                <w:sz w:val="18"/>
              </w:rPr>
            </w:pPr>
            <w:r>
              <w:rPr>
                <w:color w:val="105C84"/>
                <w:sz w:val="18"/>
              </w:rPr>
              <w:t>Conduct Health Living Class through U of R. </w:t>
            </w:r>
            <w:r>
              <w:rPr>
                <w:color w:val="105C84"/>
                <w:spacing w:val="-2"/>
                <w:sz w:val="18"/>
              </w:rPr>
              <w:t>Provider</w:t>
            </w:r>
            <w:r>
              <w:rPr>
                <w:color w:val="105C84"/>
                <w:spacing w:val="-11"/>
                <w:sz w:val="18"/>
              </w:rPr>
              <w:t> </w:t>
            </w:r>
            <w:r>
              <w:rPr>
                <w:color w:val="105C84"/>
                <w:spacing w:val="-2"/>
                <w:sz w:val="18"/>
              </w:rPr>
              <w:t>webinar </w:t>
            </w:r>
            <w:r>
              <w:rPr>
                <w:color w:val="105C84"/>
                <w:sz w:val="18"/>
              </w:rPr>
              <w:t>about colorectal cancer</w:t>
            </w:r>
            <w:r>
              <w:rPr>
                <w:color w:val="105C84"/>
                <w:spacing w:val="-8"/>
                <w:sz w:val="18"/>
              </w:rPr>
              <w:t> </w:t>
            </w:r>
            <w:r>
              <w:rPr>
                <w:color w:val="105C84"/>
                <w:sz w:val="18"/>
              </w:rPr>
              <w:t>by</w:t>
            </w:r>
            <w:r>
              <w:rPr>
                <w:color w:val="105C84"/>
                <w:spacing w:val="-7"/>
                <w:sz w:val="18"/>
              </w:rPr>
              <w:t> </w:t>
            </w:r>
            <w:r>
              <w:rPr>
                <w:color w:val="105C84"/>
                <w:sz w:val="18"/>
              </w:rPr>
              <w:t>U</w:t>
            </w:r>
            <w:r>
              <w:rPr>
                <w:color w:val="105C84"/>
                <w:spacing w:val="-7"/>
                <w:sz w:val="18"/>
              </w:rPr>
              <w:t> </w:t>
            </w:r>
            <w:r>
              <w:rPr>
                <w:color w:val="105C84"/>
                <w:sz w:val="18"/>
              </w:rPr>
              <w:t>of</w:t>
            </w:r>
            <w:r>
              <w:rPr>
                <w:color w:val="105C84"/>
                <w:spacing w:val="-8"/>
                <w:sz w:val="18"/>
              </w:rPr>
              <w:t> </w:t>
            </w:r>
            <w:r>
              <w:rPr>
                <w:color w:val="105C84"/>
                <w:spacing w:val="-10"/>
                <w:sz w:val="18"/>
              </w:rPr>
              <w:t>R</w:t>
            </w:r>
          </w:p>
        </w:tc>
        <w:tc>
          <w:tcPr>
            <w:tcW w:w="1671" w:type="dxa"/>
          </w:tcPr>
          <w:p>
            <w:pPr>
              <w:pStyle w:val="TableParagraph"/>
              <w:spacing w:line="232" w:lineRule="auto" w:before="99"/>
              <w:ind w:left="91" w:right="103"/>
              <w:rPr>
                <w:sz w:val="18"/>
              </w:rPr>
            </w:pPr>
            <w:r>
              <w:rPr>
                <w:color w:val="105C84"/>
                <w:sz w:val="18"/>
              </w:rPr>
              <w:t>Conduct</w:t>
            </w:r>
            <w:r>
              <w:rPr>
                <w:color w:val="105C84"/>
                <w:spacing w:val="-13"/>
                <w:sz w:val="18"/>
              </w:rPr>
              <w:t> </w:t>
            </w:r>
            <w:r>
              <w:rPr>
                <w:color w:val="105C84"/>
                <w:sz w:val="18"/>
              </w:rPr>
              <w:t>Health Living Class through U of R</w:t>
            </w:r>
          </w:p>
        </w:tc>
        <w:tc>
          <w:tcPr>
            <w:tcW w:w="1642" w:type="dxa"/>
          </w:tcPr>
          <w:p>
            <w:pPr>
              <w:pStyle w:val="TableParagraph"/>
              <w:spacing w:line="232" w:lineRule="auto" w:before="99"/>
              <w:ind w:left="90" w:right="131"/>
              <w:rPr>
                <w:sz w:val="18"/>
              </w:rPr>
            </w:pPr>
            <w:r>
              <w:rPr>
                <w:color w:val="105C84"/>
                <w:spacing w:val="-2"/>
                <w:sz w:val="18"/>
              </w:rPr>
              <w:t>Community-based organizations</w:t>
            </w:r>
          </w:p>
        </w:tc>
        <w:tc>
          <w:tcPr>
            <w:tcW w:w="1742" w:type="dxa"/>
          </w:tcPr>
          <w:p>
            <w:pPr>
              <w:pStyle w:val="TableParagraph"/>
              <w:spacing w:line="232" w:lineRule="auto" w:before="99"/>
              <w:ind w:left="90" w:right="114"/>
              <w:rPr>
                <w:sz w:val="18"/>
              </w:rPr>
            </w:pPr>
            <w:r>
              <w:rPr>
                <w:color w:val="105C84"/>
                <w:sz w:val="18"/>
              </w:rPr>
              <w:t>U of R- Center for Community</w:t>
            </w:r>
            <w:r>
              <w:rPr>
                <w:color w:val="105C84"/>
                <w:spacing w:val="-13"/>
                <w:sz w:val="18"/>
              </w:rPr>
              <w:t> </w:t>
            </w:r>
            <w:r>
              <w:rPr>
                <w:color w:val="105C84"/>
                <w:sz w:val="18"/>
              </w:rPr>
              <w:t>Health &amp; Prevention- 5% FTE</w:t>
            </w:r>
            <w:r>
              <w:rPr>
                <w:color w:val="105C84"/>
                <w:spacing w:val="-10"/>
                <w:sz w:val="18"/>
              </w:rPr>
              <w:t> </w:t>
            </w:r>
            <w:r>
              <w:rPr>
                <w:color w:val="105C84"/>
                <w:sz w:val="18"/>
              </w:rPr>
              <w:t>and</w:t>
            </w:r>
            <w:r>
              <w:rPr>
                <w:color w:val="105C84"/>
                <w:spacing w:val="-10"/>
                <w:sz w:val="18"/>
              </w:rPr>
              <w:t> </w:t>
            </w:r>
            <w:r>
              <w:rPr>
                <w:color w:val="105C84"/>
                <w:sz w:val="18"/>
              </w:rPr>
              <w:t>$1010/ye</w:t>
            </w:r>
          </w:p>
        </w:tc>
      </w:tr>
      <w:tr>
        <w:trPr>
          <w:trHeight w:val="2240" w:hRule="atLeast"/>
        </w:trPr>
        <w:tc>
          <w:tcPr>
            <w:tcW w:w="1209" w:type="dxa"/>
            <w:vMerge/>
            <w:tcBorders>
              <w:top w:val="nil"/>
            </w:tcBorders>
            <w:shd w:val="clear" w:color="auto" w:fill="E6E7E8"/>
          </w:tcPr>
          <w:p>
            <w:pPr>
              <w:rPr>
                <w:sz w:val="2"/>
                <w:szCs w:val="2"/>
              </w:rPr>
            </w:pPr>
          </w:p>
        </w:tc>
        <w:tc>
          <w:tcPr>
            <w:tcW w:w="1843" w:type="dxa"/>
            <w:vMerge/>
            <w:tcBorders>
              <w:top w:val="nil"/>
            </w:tcBorders>
          </w:tcPr>
          <w:p>
            <w:pPr>
              <w:rPr>
                <w:sz w:val="2"/>
                <w:szCs w:val="2"/>
              </w:rPr>
            </w:pPr>
          </w:p>
        </w:tc>
        <w:tc>
          <w:tcPr>
            <w:tcW w:w="1843" w:type="dxa"/>
            <w:vMerge/>
            <w:tcBorders>
              <w:top w:val="nil"/>
            </w:tcBorders>
          </w:tcPr>
          <w:p>
            <w:pPr>
              <w:rPr>
                <w:sz w:val="2"/>
                <w:szCs w:val="2"/>
              </w:rPr>
            </w:pPr>
          </w:p>
        </w:tc>
        <w:tc>
          <w:tcPr>
            <w:tcW w:w="1843" w:type="dxa"/>
            <w:vMerge/>
            <w:tcBorders>
              <w:top w:val="nil"/>
            </w:tcBorders>
          </w:tcPr>
          <w:p>
            <w:pPr>
              <w:rPr>
                <w:sz w:val="2"/>
                <w:szCs w:val="2"/>
              </w:rPr>
            </w:pPr>
          </w:p>
        </w:tc>
        <w:tc>
          <w:tcPr>
            <w:tcW w:w="1728" w:type="dxa"/>
            <w:vMerge/>
            <w:tcBorders>
              <w:top w:val="nil"/>
            </w:tcBorders>
          </w:tcPr>
          <w:p>
            <w:pPr>
              <w:rPr>
                <w:sz w:val="2"/>
                <w:szCs w:val="2"/>
              </w:rPr>
            </w:pPr>
          </w:p>
        </w:tc>
        <w:tc>
          <w:tcPr>
            <w:tcW w:w="2689" w:type="dxa"/>
            <w:vMerge/>
            <w:tcBorders>
              <w:top w:val="nil"/>
              <w:right w:val="nil"/>
            </w:tcBorders>
          </w:tcPr>
          <w:p>
            <w:pPr>
              <w:rPr>
                <w:sz w:val="2"/>
                <w:szCs w:val="2"/>
              </w:rPr>
            </w:pPr>
          </w:p>
        </w:tc>
        <w:tc>
          <w:tcPr>
            <w:tcW w:w="2581" w:type="dxa"/>
            <w:vMerge/>
            <w:tcBorders>
              <w:top w:val="nil"/>
              <w:left w:val="nil"/>
            </w:tcBorders>
          </w:tcPr>
          <w:p>
            <w:pPr>
              <w:rPr>
                <w:sz w:val="2"/>
                <w:szCs w:val="2"/>
              </w:rPr>
            </w:pPr>
          </w:p>
        </w:tc>
        <w:tc>
          <w:tcPr>
            <w:tcW w:w="1742" w:type="dxa"/>
          </w:tcPr>
          <w:p>
            <w:pPr>
              <w:pStyle w:val="TableParagraph"/>
              <w:spacing w:line="232" w:lineRule="auto" w:before="99"/>
              <w:ind w:left="91"/>
              <w:rPr>
                <w:sz w:val="18"/>
              </w:rPr>
            </w:pPr>
            <w:r>
              <w:rPr>
                <w:color w:val="105C84"/>
                <w:sz w:val="18"/>
              </w:rPr>
              <w:t>Attend Harvest Festival</w:t>
            </w:r>
            <w:r>
              <w:rPr>
                <w:color w:val="105C84"/>
                <w:spacing w:val="-7"/>
                <w:sz w:val="18"/>
              </w:rPr>
              <w:t> </w:t>
            </w:r>
            <w:r>
              <w:rPr>
                <w:color w:val="105C84"/>
                <w:sz w:val="18"/>
              </w:rPr>
              <w:t>to</w:t>
            </w:r>
            <w:r>
              <w:rPr>
                <w:color w:val="105C84"/>
                <w:spacing w:val="-7"/>
                <w:sz w:val="18"/>
              </w:rPr>
              <w:t> </w:t>
            </w:r>
            <w:r>
              <w:rPr>
                <w:color w:val="105C84"/>
                <w:sz w:val="18"/>
              </w:rPr>
              <w:t>promote NYCSP program</w:t>
            </w:r>
          </w:p>
        </w:tc>
        <w:tc>
          <w:tcPr>
            <w:tcW w:w="1743" w:type="dxa"/>
          </w:tcPr>
          <w:p>
            <w:pPr>
              <w:pStyle w:val="TableParagraph"/>
              <w:spacing w:line="232" w:lineRule="auto" w:before="99"/>
              <w:ind w:left="91" w:right="200"/>
              <w:rPr>
                <w:sz w:val="18"/>
              </w:rPr>
            </w:pPr>
            <w:r>
              <w:rPr>
                <w:color w:val="105C84"/>
                <w:sz w:val="18"/>
              </w:rPr>
              <w:t>Provide referral </w:t>
            </w:r>
            <w:r>
              <w:rPr>
                <w:color w:val="105C84"/>
                <w:spacing w:val="-4"/>
                <w:sz w:val="18"/>
              </w:rPr>
              <w:t>service</w:t>
            </w:r>
            <w:r>
              <w:rPr>
                <w:color w:val="105C84"/>
                <w:spacing w:val="-11"/>
                <w:sz w:val="18"/>
              </w:rPr>
              <w:t> </w:t>
            </w:r>
            <w:r>
              <w:rPr>
                <w:color w:val="105C84"/>
                <w:spacing w:val="-4"/>
                <w:sz w:val="18"/>
              </w:rPr>
              <w:t>for</w:t>
            </w:r>
            <w:r>
              <w:rPr>
                <w:color w:val="105C84"/>
                <w:spacing w:val="-8"/>
                <w:sz w:val="18"/>
              </w:rPr>
              <w:t> </w:t>
            </w:r>
            <w:r>
              <w:rPr>
                <w:color w:val="105C84"/>
                <w:spacing w:val="-4"/>
                <w:sz w:val="18"/>
              </w:rPr>
              <w:t>NYCSP </w:t>
            </w:r>
            <w:r>
              <w:rPr>
                <w:color w:val="105C84"/>
                <w:sz w:val="18"/>
              </w:rPr>
              <w:t>to local providers and local referral </w:t>
            </w:r>
            <w:r>
              <w:rPr>
                <w:color w:val="105C84"/>
                <w:spacing w:val="-2"/>
                <w:sz w:val="18"/>
              </w:rPr>
              <w:t>agencies</w:t>
            </w:r>
          </w:p>
        </w:tc>
        <w:tc>
          <w:tcPr>
            <w:tcW w:w="1671" w:type="dxa"/>
          </w:tcPr>
          <w:p>
            <w:pPr>
              <w:pStyle w:val="TableParagraph"/>
              <w:spacing w:line="232" w:lineRule="auto" w:before="99"/>
              <w:ind w:left="91" w:right="128"/>
              <w:rPr>
                <w:sz w:val="18"/>
              </w:rPr>
            </w:pPr>
            <w:r>
              <w:rPr>
                <w:color w:val="105C84"/>
                <w:sz w:val="18"/>
              </w:rPr>
              <w:t>Provide referral </w:t>
            </w:r>
            <w:r>
              <w:rPr>
                <w:color w:val="105C84"/>
                <w:spacing w:val="-4"/>
                <w:sz w:val="18"/>
              </w:rPr>
              <w:t>service</w:t>
            </w:r>
            <w:r>
              <w:rPr>
                <w:color w:val="105C84"/>
                <w:spacing w:val="-11"/>
                <w:sz w:val="18"/>
              </w:rPr>
              <w:t> </w:t>
            </w:r>
            <w:r>
              <w:rPr>
                <w:color w:val="105C84"/>
                <w:spacing w:val="-4"/>
                <w:sz w:val="18"/>
              </w:rPr>
              <w:t>for</w:t>
            </w:r>
            <w:r>
              <w:rPr>
                <w:color w:val="105C84"/>
                <w:spacing w:val="-8"/>
                <w:sz w:val="18"/>
              </w:rPr>
              <w:t> </w:t>
            </w:r>
            <w:r>
              <w:rPr>
                <w:color w:val="105C84"/>
                <w:spacing w:val="-4"/>
                <w:sz w:val="18"/>
              </w:rPr>
              <w:t>NYCSP </w:t>
            </w:r>
            <w:r>
              <w:rPr>
                <w:color w:val="105C84"/>
                <w:sz w:val="18"/>
              </w:rPr>
              <w:t>to local providers and local referral </w:t>
            </w:r>
            <w:r>
              <w:rPr>
                <w:color w:val="105C84"/>
                <w:spacing w:val="-2"/>
                <w:sz w:val="18"/>
              </w:rPr>
              <w:t>agencies</w:t>
            </w:r>
          </w:p>
        </w:tc>
        <w:tc>
          <w:tcPr>
            <w:tcW w:w="1642" w:type="dxa"/>
          </w:tcPr>
          <w:p>
            <w:pPr>
              <w:pStyle w:val="TableParagraph"/>
              <w:spacing w:line="232" w:lineRule="auto" w:before="99"/>
              <w:ind w:left="90" w:right="131"/>
              <w:rPr>
                <w:sz w:val="18"/>
              </w:rPr>
            </w:pPr>
            <w:r>
              <w:rPr>
                <w:color w:val="105C84"/>
                <w:spacing w:val="-2"/>
                <w:sz w:val="18"/>
              </w:rPr>
              <w:t>Community-based organizations</w:t>
            </w:r>
          </w:p>
        </w:tc>
        <w:tc>
          <w:tcPr>
            <w:tcW w:w="1742" w:type="dxa"/>
          </w:tcPr>
          <w:p>
            <w:pPr>
              <w:pStyle w:val="TableParagraph"/>
              <w:spacing w:line="232" w:lineRule="auto" w:before="99"/>
              <w:ind w:left="90"/>
              <w:rPr>
                <w:sz w:val="18"/>
              </w:rPr>
            </w:pPr>
            <w:r>
              <w:rPr>
                <w:color w:val="105C84"/>
                <w:sz w:val="18"/>
              </w:rPr>
              <w:t>Southern Tier Cancer Services Program - time spend</w:t>
            </w:r>
            <w:r>
              <w:rPr>
                <w:color w:val="105C84"/>
                <w:spacing w:val="-15"/>
                <w:sz w:val="18"/>
              </w:rPr>
              <w:t> </w:t>
            </w:r>
            <w:r>
              <w:rPr>
                <w:color w:val="105C84"/>
                <w:sz w:val="18"/>
              </w:rPr>
              <w:t>on</w:t>
            </w:r>
            <w:r>
              <w:rPr>
                <w:color w:val="105C84"/>
                <w:spacing w:val="-12"/>
                <w:sz w:val="18"/>
              </w:rPr>
              <w:t> </w:t>
            </w:r>
            <w:r>
              <w:rPr>
                <w:color w:val="105C84"/>
                <w:sz w:val="18"/>
              </w:rPr>
              <w:t>outreach and requirement</w:t>
            </w:r>
          </w:p>
        </w:tc>
      </w:tr>
    </w:tbl>
    <w:p>
      <w:pPr>
        <w:pStyle w:val="BodyText"/>
        <w:rPr>
          <w:b/>
          <w:sz w:val="26"/>
        </w:rPr>
      </w:pPr>
    </w:p>
    <w:p>
      <w:pPr>
        <w:pStyle w:val="BodyText"/>
        <w:spacing w:before="276"/>
        <w:rPr>
          <w:b/>
          <w:sz w:val="26"/>
        </w:rPr>
      </w:pPr>
    </w:p>
    <w:p>
      <w:pPr>
        <w:tabs>
          <w:tab w:pos="23047" w:val="left" w:leader="none"/>
        </w:tabs>
        <w:spacing w:before="1"/>
        <w:ind w:left="0" w:right="0" w:firstLine="0"/>
        <w:jc w:val="left"/>
        <w:rPr>
          <w:b/>
          <w:sz w:val="26"/>
        </w:rPr>
      </w:pPr>
      <w:r>
        <w:rPr>
          <w:position w:val="-4"/>
        </w:rPr>
        <w:drawing>
          <wp:inline distT="0" distB="0" distL="0" distR="0">
            <wp:extent cx="568172" cy="184683"/>
            <wp:effectExtent l="0" t="0" r="0" b="0"/>
            <wp:docPr id="1878" name="Image 1878"/>
            <wp:cNvGraphicFramePr>
              <a:graphicFrameLocks/>
            </wp:cNvGraphicFramePr>
            <a:graphic>
              <a:graphicData uri="http://schemas.openxmlformats.org/drawingml/2006/picture">
                <pic:pic>
                  <pic:nvPicPr>
                    <pic:cNvPr id="1878" name="Image 1878"/>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13"/>
          <w:sz w:val="20"/>
        </w:rPr>
        <w:t> </w:t>
      </w:r>
      <w:r>
        <w:rPr>
          <w:b/>
          <w:color w:val="939598"/>
          <w:w w:val="105"/>
          <w:sz w:val="26"/>
        </w:rPr>
        <w:t>165</w:t>
      </w:r>
      <w:r>
        <w:rPr>
          <w:b/>
          <w:color w:val="939598"/>
          <w:sz w:val="26"/>
        </w:rPr>
        <w:tab/>
      </w:r>
      <w:r>
        <w:rPr>
          <w:b/>
          <w:color w:val="939598"/>
          <w:spacing w:val="-5"/>
          <w:w w:val="105"/>
          <w:sz w:val="26"/>
        </w:rPr>
        <w:t>166</w:t>
      </w:r>
    </w:p>
    <w:p>
      <w:pPr>
        <w:spacing w:after="0"/>
        <w:jc w:val="left"/>
        <w:rPr>
          <w:b/>
          <w:sz w:val="26"/>
        </w:rPr>
        <w:sectPr>
          <w:pgSz w:w="24480" w:h="15840" w:orient="landscape"/>
          <w:pgMar w:header="0" w:footer="0" w:top="860" w:bottom="0" w:left="0" w:right="720"/>
        </w:sectPr>
      </w:pPr>
    </w:p>
    <w:p>
      <w:pPr>
        <w:spacing w:before="607"/>
        <w:ind w:left="1089" w:right="0" w:firstLine="0"/>
        <w:jc w:val="left"/>
        <w:rPr>
          <w:sz w:val="54"/>
        </w:rPr>
      </w:pPr>
      <w:r>
        <w:rPr>
          <w:sz w:val="54"/>
        </w:rPr>
        <w:drawing>
          <wp:anchor distT="0" distB="0" distL="0" distR="0" allowOverlap="1" layoutInCell="1" locked="0" behindDoc="0" simplePos="0" relativeHeight="15973888">
            <wp:simplePos x="0" y="0"/>
            <wp:positionH relativeFrom="page">
              <wp:posOffset>14981556</wp:posOffset>
            </wp:positionH>
            <wp:positionV relativeFrom="page">
              <wp:posOffset>9668103</wp:posOffset>
            </wp:positionV>
            <wp:extent cx="563245" cy="184683"/>
            <wp:effectExtent l="0" t="0" r="0" b="0"/>
            <wp:wrapNone/>
            <wp:docPr id="1879" name="Image 1879"/>
            <wp:cNvGraphicFramePr>
              <a:graphicFrameLocks/>
            </wp:cNvGraphicFramePr>
            <a:graphic>
              <a:graphicData uri="http://schemas.openxmlformats.org/drawingml/2006/picture">
                <pic:pic>
                  <pic:nvPicPr>
                    <pic:cNvPr id="1879" name="Image 1879"/>
                    <pic:cNvPicPr/>
                  </pic:nvPicPr>
                  <pic:blipFill>
                    <a:blip r:embed="rId38" cstate="print"/>
                    <a:stretch>
                      <a:fillRect/>
                    </a:stretch>
                  </pic:blipFill>
                  <pic:spPr>
                    <a:xfrm>
                      <a:off x="0" y="0"/>
                      <a:ext cx="563245" cy="184683"/>
                    </a:xfrm>
                    <a:prstGeom prst="rect">
                      <a:avLst/>
                    </a:prstGeom>
                  </pic:spPr>
                </pic:pic>
              </a:graphicData>
            </a:graphic>
          </wp:anchor>
        </w:drawing>
      </w:r>
      <w:r>
        <w:rPr>
          <w:sz w:val="54"/>
        </w:rPr>
        <w:drawing>
          <wp:anchor distT="0" distB="0" distL="0" distR="0" allowOverlap="1" layoutInCell="1" locked="0" behindDoc="0" simplePos="0" relativeHeight="15974400">
            <wp:simplePos x="0" y="0"/>
            <wp:positionH relativeFrom="page">
              <wp:posOffset>13626703</wp:posOffset>
            </wp:positionH>
            <wp:positionV relativeFrom="paragraph">
              <wp:posOffset>365201</wp:posOffset>
            </wp:positionV>
            <wp:extent cx="1234098" cy="628989"/>
            <wp:effectExtent l="0" t="0" r="0" b="0"/>
            <wp:wrapNone/>
            <wp:docPr id="1880" name="Image 1880"/>
            <wp:cNvGraphicFramePr>
              <a:graphicFrameLocks/>
            </wp:cNvGraphicFramePr>
            <a:graphic>
              <a:graphicData uri="http://schemas.openxmlformats.org/drawingml/2006/picture">
                <pic:pic>
                  <pic:nvPicPr>
                    <pic:cNvPr id="1880" name="Image 1880"/>
                    <pic:cNvPicPr/>
                  </pic:nvPicPr>
                  <pic:blipFill>
                    <a:blip r:embed="rId254" cstate="print"/>
                    <a:stretch>
                      <a:fillRect/>
                    </a:stretch>
                  </pic:blipFill>
                  <pic:spPr>
                    <a:xfrm>
                      <a:off x="0" y="0"/>
                      <a:ext cx="1234098" cy="628989"/>
                    </a:xfrm>
                    <a:prstGeom prst="rect">
                      <a:avLst/>
                    </a:prstGeom>
                  </pic:spPr>
                </pic:pic>
              </a:graphicData>
            </a:graphic>
          </wp:anchor>
        </w:drawing>
      </w:r>
      <w:r>
        <w:rPr>
          <w:color w:val="636466"/>
          <w:sz w:val="54"/>
        </w:rPr>
        <w:t>Schuyler</w:t>
      </w:r>
      <w:r>
        <w:rPr>
          <w:color w:val="636466"/>
          <w:spacing w:val="40"/>
          <w:sz w:val="54"/>
        </w:rPr>
        <w:t> </w:t>
      </w:r>
      <w:r>
        <w:rPr>
          <w:color w:val="636466"/>
          <w:sz w:val="54"/>
        </w:rPr>
        <w:t>County</w:t>
      </w:r>
      <w:r>
        <w:rPr>
          <w:color w:val="636466"/>
          <w:spacing w:val="41"/>
          <w:sz w:val="54"/>
        </w:rPr>
        <w:t> </w:t>
      </w:r>
      <w:r>
        <w:rPr>
          <w:color w:val="636466"/>
          <w:sz w:val="54"/>
        </w:rPr>
        <w:t>Appendix</w:t>
      </w:r>
      <w:r>
        <w:rPr>
          <w:color w:val="636466"/>
          <w:spacing w:val="40"/>
          <w:sz w:val="54"/>
        </w:rPr>
        <w:t> </w:t>
      </w:r>
      <w:r>
        <w:rPr>
          <w:color w:val="636466"/>
          <w:spacing w:val="-10"/>
          <w:sz w:val="54"/>
        </w:rPr>
        <w:t>D</w:t>
      </w:r>
    </w:p>
    <w:p>
      <w:pPr>
        <w:spacing w:line="247" w:lineRule="auto" w:before="235"/>
        <w:ind w:left="1089" w:right="15045" w:firstLine="0"/>
        <w:jc w:val="left"/>
        <w:rPr>
          <w:b/>
          <w:sz w:val="32"/>
        </w:rPr>
      </w:pPr>
      <w:r>
        <w:rPr>
          <w:b/>
          <w:color w:val="82BF6A"/>
          <w:spacing w:val="-4"/>
          <w:sz w:val="32"/>
        </w:rPr>
        <w:t>PRIORITY:</w:t>
      </w:r>
      <w:r>
        <w:rPr>
          <w:b/>
          <w:color w:val="82BF6A"/>
          <w:spacing w:val="-19"/>
          <w:sz w:val="32"/>
        </w:rPr>
        <w:t> </w:t>
      </w:r>
      <w:r>
        <w:rPr>
          <w:b/>
          <w:color w:val="82BF6A"/>
          <w:spacing w:val="-4"/>
          <w:sz w:val="32"/>
        </w:rPr>
        <w:t>PROMOTE</w:t>
      </w:r>
      <w:r>
        <w:rPr>
          <w:b/>
          <w:color w:val="82BF6A"/>
          <w:spacing w:val="-18"/>
          <w:sz w:val="32"/>
        </w:rPr>
        <w:t> </w:t>
      </w:r>
      <w:r>
        <w:rPr>
          <w:b/>
          <w:color w:val="82BF6A"/>
          <w:spacing w:val="-4"/>
          <w:sz w:val="32"/>
        </w:rPr>
        <w:t>WELL-BEING</w:t>
      </w:r>
      <w:r>
        <w:rPr>
          <w:b/>
          <w:color w:val="82BF6A"/>
          <w:spacing w:val="-18"/>
          <w:sz w:val="32"/>
        </w:rPr>
        <w:t> </w:t>
      </w:r>
      <w:r>
        <w:rPr>
          <w:b/>
          <w:color w:val="82BF6A"/>
          <w:spacing w:val="-4"/>
          <w:sz w:val="32"/>
        </w:rPr>
        <w:t>AND</w:t>
      </w:r>
      <w:r>
        <w:rPr>
          <w:b/>
          <w:color w:val="82BF6A"/>
          <w:spacing w:val="-18"/>
          <w:sz w:val="32"/>
        </w:rPr>
        <w:t> </w:t>
      </w:r>
      <w:r>
        <w:rPr>
          <w:b/>
          <w:color w:val="82BF6A"/>
          <w:spacing w:val="-4"/>
          <w:sz w:val="32"/>
        </w:rPr>
        <w:t>PREVENT </w:t>
      </w:r>
      <w:r>
        <w:rPr>
          <w:b/>
          <w:color w:val="82BF6A"/>
          <w:sz w:val="32"/>
        </w:rPr>
        <w:t>MENTAL</w:t>
      </w:r>
      <w:r>
        <w:rPr>
          <w:b/>
          <w:color w:val="82BF6A"/>
          <w:spacing w:val="-23"/>
          <w:sz w:val="32"/>
        </w:rPr>
        <w:t> </w:t>
      </w:r>
      <w:r>
        <w:rPr>
          <w:b/>
          <w:color w:val="82BF6A"/>
          <w:sz w:val="32"/>
        </w:rPr>
        <w:t>AND</w:t>
      </w:r>
      <w:r>
        <w:rPr>
          <w:b/>
          <w:color w:val="82BF6A"/>
          <w:spacing w:val="-22"/>
          <w:sz w:val="32"/>
        </w:rPr>
        <w:t> </w:t>
      </w:r>
      <w:r>
        <w:rPr>
          <w:b/>
          <w:color w:val="82BF6A"/>
          <w:sz w:val="32"/>
        </w:rPr>
        <w:t>SUBSTANCE</w:t>
      </w:r>
      <w:r>
        <w:rPr>
          <w:b/>
          <w:color w:val="82BF6A"/>
          <w:spacing w:val="-22"/>
          <w:sz w:val="32"/>
        </w:rPr>
        <w:t> </w:t>
      </w:r>
      <w:r>
        <w:rPr>
          <w:b/>
          <w:color w:val="82BF6A"/>
          <w:sz w:val="32"/>
        </w:rPr>
        <w:t>USE</w:t>
      </w:r>
      <w:r>
        <w:rPr>
          <w:b/>
          <w:color w:val="82BF6A"/>
          <w:spacing w:val="-22"/>
          <w:sz w:val="32"/>
        </w:rPr>
        <w:t> </w:t>
      </w:r>
      <w:r>
        <w:rPr>
          <w:b/>
          <w:color w:val="82BF6A"/>
          <w:sz w:val="32"/>
        </w:rPr>
        <w:t>DISORDERS</w:t>
      </w:r>
    </w:p>
    <w:p>
      <w:pPr>
        <w:pStyle w:val="BodyText"/>
        <w:rPr>
          <w:b/>
          <w:sz w:val="20"/>
        </w:rPr>
      </w:pPr>
    </w:p>
    <w:p>
      <w:pPr>
        <w:pStyle w:val="BodyText"/>
        <w:spacing w:before="102"/>
        <w:rPr>
          <w:b/>
          <w:sz w:val="20"/>
        </w:rPr>
      </w:pPr>
    </w:p>
    <w:tbl>
      <w:tblPr>
        <w:tblW w:w="0" w:type="auto"/>
        <w:jc w:val="left"/>
        <w:tblInd w:w="1099"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1526"/>
        <w:gridCol w:w="1469"/>
        <w:gridCol w:w="1246"/>
        <w:gridCol w:w="2096"/>
        <w:gridCol w:w="2341"/>
        <w:gridCol w:w="2481"/>
        <w:gridCol w:w="3014"/>
        <w:gridCol w:w="2391"/>
        <w:gridCol w:w="2535"/>
        <w:gridCol w:w="1642"/>
        <w:gridCol w:w="1551"/>
      </w:tblGrid>
      <w:tr>
        <w:trPr>
          <w:trHeight w:val="990" w:hRule="atLeast"/>
        </w:trPr>
        <w:tc>
          <w:tcPr>
            <w:tcW w:w="1526" w:type="dxa"/>
            <w:tcBorders>
              <w:right w:val="single" w:sz="4" w:space="0" w:color="FFFFFF"/>
            </w:tcBorders>
            <w:shd w:val="clear" w:color="auto" w:fill="939598"/>
          </w:tcPr>
          <w:p>
            <w:pPr>
              <w:pStyle w:val="TableParagraph"/>
              <w:spacing w:before="177"/>
              <w:rPr>
                <w:b/>
                <w:sz w:val="20"/>
              </w:rPr>
            </w:pPr>
          </w:p>
          <w:p>
            <w:pPr>
              <w:pStyle w:val="TableParagraph"/>
              <w:ind w:left="80"/>
              <w:rPr>
                <w:b/>
                <w:sz w:val="20"/>
              </w:rPr>
            </w:pPr>
            <w:r>
              <w:rPr>
                <w:b/>
                <w:color w:val="FFFFFF"/>
                <w:spacing w:val="-2"/>
                <w:sz w:val="20"/>
              </w:rPr>
              <w:t>Priority</w:t>
            </w:r>
          </w:p>
        </w:tc>
        <w:tc>
          <w:tcPr>
            <w:tcW w:w="1469" w:type="dxa"/>
            <w:tcBorders>
              <w:left w:val="single" w:sz="4" w:space="0" w:color="FFFFFF"/>
              <w:right w:val="single" w:sz="4" w:space="0" w:color="FFFFFF"/>
            </w:tcBorders>
            <w:shd w:val="clear" w:color="auto" w:fill="939598"/>
          </w:tcPr>
          <w:p>
            <w:pPr>
              <w:pStyle w:val="TableParagraph"/>
              <w:spacing w:before="177"/>
              <w:rPr>
                <w:b/>
                <w:sz w:val="20"/>
              </w:rPr>
            </w:pPr>
          </w:p>
          <w:p>
            <w:pPr>
              <w:pStyle w:val="TableParagraph"/>
              <w:ind w:left="80"/>
              <w:rPr>
                <w:b/>
                <w:sz w:val="20"/>
              </w:rPr>
            </w:pPr>
            <w:r>
              <w:rPr>
                <w:b/>
                <w:color w:val="FFFFFF"/>
                <w:w w:val="90"/>
                <w:sz w:val="20"/>
              </w:rPr>
              <w:t>Focus</w:t>
            </w:r>
            <w:r>
              <w:rPr>
                <w:b/>
                <w:color w:val="FFFFFF"/>
                <w:spacing w:val="8"/>
                <w:sz w:val="20"/>
              </w:rPr>
              <w:t> </w:t>
            </w:r>
            <w:r>
              <w:rPr>
                <w:b/>
                <w:color w:val="FFFFFF"/>
                <w:spacing w:val="-4"/>
                <w:sz w:val="20"/>
              </w:rPr>
              <w:t>Area</w:t>
            </w:r>
          </w:p>
        </w:tc>
        <w:tc>
          <w:tcPr>
            <w:tcW w:w="1246" w:type="dxa"/>
            <w:tcBorders>
              <w:left w:val="single" w:sz="4" w:space="0" w:color="FFFFFF"/>
              <w:right w:val="single" w:sz="4" w:space="0" w:color="FFFFFF"/>
            </w:tcBorders>
            <w:shd w:val="clear" w:color="auto" w:fill="939598"/>
          </w:tcPr>
          <w:p>
            <w:pPr>
              <w:pStyle w:val="TableParagraph"/>
              <w:spacing w:before="177"/>
              <w:rPr>
                <w:b/>
                <w:sz w:val="20"/>
              </w:rPr>
            </w:pPr>
          </w:p>
          <w:p>
            <w:pPr>
              <w:pStyle w:val="TableParagraph"/>
              <w:ind w:left="79"/>
              <w:rPr>
                <w:b/>
                <w:sz w:val="20"/>
              </w:rPr>
            </w:pPr>
            <w:r>
              <w:rPr>
                <w:b/>
                <w:color w:val="FFFFFF"/>
                <w:spacing w:val="-4"/>
                <w:sz w:val="20"/>
              </w:rPr>
              <w:t>Goal</w:t>
            </w:r>
          </w:p>
        </w:tc>
        <w:tc>
          <w:tcPr>
            <w:tcW w:w="2096" w:type="dxa"/>
            <w:tcBorders>
              <w:left w:val="single" w:sz="4" w:space="0" w:color="FFFFFF"/>
              <w:right w:val="single" w:sz="4" w:space="0" w:color="FFFFFF"/>
            </w:tcBorders>
            <w:shd w:val="clear" w:color="auto" w:fill="939598"/>
          </w:tcPr>
          <w:p>
            <w:pPr>
              <w:pStyle w:val="TableParagraph"/>
              <w:spacing w:before="177"/>
              <w:rPr>
                <w:b/>
                <w:sz w:val="20"/>
              </w:rPr>
            </w:pPr>
          </w:p>
          <w:p>
            <w:pPr>
              <w:pStyle w:val="TableParagraph"/>
              <w:ind w:left="79"/>
              <w:rPr>
                <w:b/>
                <w:sz w:val="20"/>
              </w:rPr>
            </w:pPr>
            <w:r>
              <w:rPr>
                <w:b/>
                <w:color w:val="FFFFFF"/>
                <w:spacing w:val="-2"/>
                <w:sz w:val="20"/>
              </w:rPr>
              <w:t>Objectives</w:t>
            </w:r>
          </w:p>
        </w:tc>
        <w:tc>
          <w:tcPr>
            <w:tcW w:w="2341" w:type="dxa"/>
            <w:tcBorders>
              <w:left w:val="single" w:sz="4" w:space="0" w:color="FFFFFF"/>
              <w:right w:val="single" w:sz="4" w:space="0" w:color="FFFFFF"/>
            </w:tcBorders>
            <w:shd w:val="clear" w:color="auto" w:fill="939598"/>
          </w:tcPr>
          <w:p>
            <w:pPr>
              <w:pStyle w:val="TableParagraph"/>
              <w:spacing w:before="177"/>
              <w:rPr>
                <w:b/>
                <w:sz w:val="20"/>
              </w:rPr>
            </w:pPr>
          </w:p>
          <w:p>
            <w:pPr>
              <w:pStyle w:val="TableParagraph"/>
              <w:ind w:left="78"/>
              <w:rPr>
                <w:b/>
                <w:sz w:val="20"/>
              </w:rPr>
            </w:pPr>
            <w:r>
              <w:rPr>
                <w:b/>
                <w:color w:val="FFFFFF"/>
                <w:spacing w:val="-2"/>
                <w:sz w:val="20"/>
              </w:rPr>
              <w:t>Interventions</w:t>
            </w:r>
          </w:p>
        </w:tc>
        <w:tc>
          <w:tcPr>
            <w:tcW w:w="5495" w:type="dxa"/>
            <w:gridSpan w:val="2"/>
            <w:tcBorders>
              <w:left w:val="single" w:sz="4" w:space="0" w:color="FFFFFF"/>
              <w:right w:val="single" w:sz="4" w:space="0" w:color="FFFFFF"/>
            </w:tcBorders>
            <w:shd w:val="clear" w:color="auto" w:fill="939598"/>
          </w:tcPr>
          <w:p>
            <w:pPr>
              <w:pStyle w:val="TableParagraph"/>
              <w:tabs>
                <w:tab w:pos="3557" w:val="left" w:leader="none"/>
              </w:tabs>
              <w:spacing w:line="144" w:lineRule="auto" w:before="217"/>
              <w:ind w:left="87"/>
              <w:rPr>
                <w:b/>
                <w:sz w:val="20"/>
              </w:rPr>
            </w:pPr>
            <w:r>
              <w:rPr>
                <w:b/>
                <w:color w:val="FFFFFF"/>
                <w:spacing w:val="-4"/>
                <w:position w:val="-10"/>
                <w:sz w:val="20"/>
              </w:rPr>
              <w:t>Family</w:t>
            </w:r>
            <w:r>
              <w:rPr>
                <w:b/>
                <w:color w:val="FFFFFF"/>
                <w:spacing w:val="-5"/>
                <w:position w:val="-10"/>
                <w:sz w:val="20"/>
              </w:rPr>
              <w:t> of</w:t>
            </w:r>
            <w:r>
              <w:rPr>
                <w:b/>
                <w:color w:val="FFFFFF"/>
                <w:position w:val="-10"/>
                <w:sz w:val="20"/>
              </w:rPr>
              <w:tab/>
            </w:r>
            <w:r>
              <w:rPr>
                <w:b/>
                <w:color w:val="FFFFFF"/>
                <w:sz w:val="20"/>
              </w:rPr>
              <w:t>Projected</w:t>
            </w:r>
            <w:r>
              <w:rPr>
                <w:b/>
                <w:color w:val="FFFFFF"/>
                <w:spacing w:val="-14"/>
                <w:sz w:val="20"/>
              </w:rPr>
              <w:t> </w:t>
            </w:r>
            <w:r>
              <w:rPr>
                <w:b/>
                <w:color w:val="FFFFFF"/>
                <w:spacing w:val="-5"/>
                <w:sz w:val="20"/>
              </w:rPr>
              <w:t>(or</w:t>
            </w:r>
          </w:p>
          <w:p>
            <w:pPr>
              <w:pStyle w:val="TableParagraph"/>
              <w:tabs>
                <w:tab w:pos="3557" w:val="left" w:leader="none"/>
              </w:tabs>
              <w:spacing w:line="144" w:lineRule="auto"/>
              <w:ind w:left="87"/>
              <w:rPr>
                <w:b/>
                <w:sz w:val="20"/>
              </w:rPr>
            </w:pPr>
            <w:r>
              <w:rPr>
                <w:b/>
                <w:color w:val="FFFFFF"/>
                <w:spacing w:val="-2"/>
                <w:position w:val="-10"/>
                <w:sz w:val="20"/>
              </w:rPr>
              <w:t>Measures</w:t>
            </w:r>
            <w:r>
              <w:rPr>
                <w:b/>
                <w:color w:val="FFFFFF"/>
                <w:position w:val="-10"/>
                <w:sz w:val="20"/>
              </w:rPr>
              <w:tab/>
            </w:r>
            <w:r>
              <w:rPr>
                <w:b/>
                <w:color w:val="FFFFFF"/>
                <w:spacing w:val="-2"/>
                <w:sz w:val="20"/>
              </w:rPr>
              <w:t>completed)</w:t>
            </w:r>
            <w:r>
              <w:rPr>
                <w:b/>
                <w:color w:val="FFFFFF"/>
                <w:spacing w:val="-4"/>
                <w:sz w:val="20"/>
              </w:rPr>
              <w:t> </w:t>
            </w:r>
            <w:r>
              <w:rPr>
                <w:b/>
                <w:color w:val="FFFFFF"/>
                <w:spacing w:val="-2"/>
                <w:sz w:val="20"/>
              </w:rPr>
              <w:t>Year</w:t>
            </w:r>
            <w:r>
              <w:rPr>
                <w:b/>
                <w:color w:val="FFFFFF"/>
                <w:spacing w:val="-3"/>
                <w:sz w:val="20"/>
              </w:rPr>
              <w:t> </w:t>
            </w:r>
            <w:r>
              <w:rPr>
                <w:b/>
                <w:color w:val="FFFFFF"/>
                <w:spacing w:val="-10"/>
                <w:sz w:val="20"/>
              </w:rPr>
              <w:t>1</w:t>
            </w:r>
          </w:p>
          <w:p>
            <w:pPr>
              <w:pStyle w:val="TableParagraph"/>
              <w:spacing w:line="169" w:lineRule="exact"/>
              <w:ind w:left="3558"/>
              <w:rPr>
                <w:b/>
                <w:sz w:val="20"/>
              </w:rPr>
            </w:pPr>
            <w:r>
              <w:rPr>
                <w:b/>
                <w:color w:val="FFFFFF"/>
                <w:sz w:val="20"/>
              </w:rPr>
              <w:t>Intervention</w:t>
            </w:r>
            <w:r>
              <w:rPr>
                <w:b/>
                <w:color w:val="FFFFFF"/>
                <w:spacing w:val="-5"/>
                <w:sz w:val="20"/>
              </w:rPr>
              <w:t> </w:t>
            </w:r>
            <w:r>
              <w:rPr>
                <w:b/>
                <w:color w:val="FFFFFF"/>
                <w:sz w:val="20"/>
              </w:rPr>
              <w:t>-</w:t>
            </w:r>
            <w:r>
              <w:rPr>
                <w:b/>
                <w:color w:val="FFFFFF"/>
                <w:spacing w:val="-5"/>
                <w:sz w:val="20"/>
              </w:rPr>
              <w:t> </w:t>
            </w:r>
            <w:r>
              <w:rPr>
                <w:b/>
                <w:color w:val="FFFFFF"/>
                <w:spacing w:val="-4"/>
                <w:sz w:val="20"/>
              </w:rPr>
              <w:t>2019</w:t>
            </w:r>
          </w:p>
        </w:tc>
        <w:tc>
          <w:tcPr>
            <w:tcW w:w="2391" w:type="dxa"/>
            <w:tcBorders>
              <w:left w:val="single" w:sz="4" w:space="0" w:color="FFFFFF"/>
              <w:right w:val="single" w:sz="4" w:space="0" w:color="FFFFFF"/>
            </w:tcBorders>
            <w:shd w:val="clear" w:color="auto" w:fill="939598"/>
          </w:tcPr>
          <w:p>
            <w:pPr>
              <w:pStyle w:val="TableParagraph"/>
              <w:spacing w:before="74"/>
              <w:rPr>
                <w:b/>
                <w:sz w:val="20"/>
              </w:rPr>
            </w:pPr>
          </w:p>
          <w:p>
            <w:pPr>
              <w:pStyle w:val="TableParagraph"/>
              <w:spacing w:line="230" w:lineRule="auto" w:before="1"/>
              <w:ind w:left="76" w:right="1062"/>
              <w:rPr>
                <w:b/>
                <w:sz w:val="20"/>
              </w:rPr>
            </w:pPr>
            <w:r>
              <w:rPr>
                <w:b/>
                <w:color w:val="FFFFFF"/>
                <w:spacing w:val="-2"/>
                <w:sz w:val="20"/>
              </w:rPr>
              <w:t>Projected </w:t>
            </w:r>
            <w:r>
              <w:rPr>
                <w:b/>
                <w:color w:val="FFFFFF"/>
                <w:sz w:val="20"/>
              </w:rPr>
              <w:t>Year</w:t>
            </w:r>
            <w:r>
              <w:rPr>
                <w:b/>
                <w:color w:val="FFFFFF"/>
                <w:spacing w:val="-7"/>
                <w:sz w:val="20"/>
              </w:rPr>
              <w:t> </w:t>
            </w:r>
            <w:r>
              <w:rPr>
                <w:b/>
                <w:color w:val="FFFFFF"/>
                <w:sz w:val="20"/>
              </w:rPr>
              <w:t>2</w:t>
            </w:r>
            <w:r>
              <w:rPr>
                <w:b/>
                <w:color w:val="FFFFFF"/>
                <w:spacing w:val="-7"/>
                <w:sz w:val="20"/>
              </w:rPr>
              <w:t> </w:t>
            </w:r>
            <w:r>
              <w:rPr>
                <w:b/>
                <w:color w:val="FFFFFF"/>
                <w:sz w:val="20"/>
              </w:rPr>
              <w:t>-</w:t>
            </w:r>
            <w:r>
              <w:rPr>
                <w:b/>
                <w:color w:val="FFFFFF"/>
                <w:spacing w:val="-7"/>
                <w:sz w:val="20"/>
              </w:rPr>
              <w:t> </w:t>
            </w:r>
            <w:r>
              <w:rPr>
                <w:b/>
                <w:color w:val="FFFFFF"/>
                <w:sz w:val="20"/>
              </w:rPr>
              <w:t>2020</w:t>
            </w:r>
          </w:p>
        </w:tc>
        <w:tc>
          <w:tcPr>
            <w:tcW w:w="2535" w:type="dxa"/>
            <w:tcBorders>
              <w:left w:val="single" w:sz="4" w:space="0" w:color="FFFFFF"/>
              <w:right w:val="single" w:sz="4" w:space="0" w:color="FFFFFF"/>
            </w:tcBorders>
            <w:shd w:val="clear" w:color="auto" w:fill="939598"/>
          </w:tcPr>
          <w:p>
            <w:pPr>
              <w:pStyle w:val="TableParagraph"/>
              <w:spacing w:before="67"/>
              <w:rPr>
                <w:b/>
                <w:sz w:val="20"/>
              </w:rPr>
            </w:pPr>
          </w:p>
          <w:p>
            <w:pPr>
              <w:pStyle w:val="TableParagraph"/>
              <w:spacing w:line="225" w:lineRule="exact"/>
              <w:ind w:left="75"/>
              <w:rPr>
                <w:b/>
                <w:sz w:val="20"/>
              </w:rPr>
            </w:pPr>
            <w:r>
              <w:rPr>
                <w:b/>
                <w:color w:val="FFFFFF"/>
                <w:spacing w:val="-2"/>
                <w:sz w:val="20"/>
              </w:rPr>
              <w:t>Projected</w:t>
            </w:r>
            <w:r>
              <w:rPr>
                <w:b/>
                <w:color w:val="FFFFFF"/>
                <w:spacing w:val="-8"/>
                <w:sz w:val="20"/>
              </w:rPr>
              <w:t> </w:t>
            </w:r>
            <w:r>
              <w:rPr>
                <w:b/>
                <w:color w:val="FFFFFF"/>
                <w:spacing w:val="-2"/>
                <w:sz w:val="20"/>
              </w:rPr>
              <w:t>Year</w:t>
            </w:r>
            <w:r>
              <w:rPr>
                <w:b/>
                <w:color w:val="FFFFFF"/>
                <w:spacing w:val="-7"/>
                <w:sz w:val="20"/>
              </w:rPr>
              <w:t> </w:t>
            </w:r>
            <w:r>
              <w:rPr>
                <w:b/>
                <w:color w:val="FFFFFF"/>
                <w:spacing w:val="-10"/>
                <w:sz w:val="20"/>
              </w:rPr>
              <w:t>3</w:t>
            </w:r>
          </w:p>
          <w:p>
            <w:pPr>
              <w:pStyle w:val="TableParagraph"/>
              <w:spacing w:line="225" w:lineRule="exact"/>
              <w:ind w:left="75"/>
              <w:rPr>
                <w:b/>
                <w:sz w:val="20"/>
              </w:rPr>
            </w:pPr>
            <w:r>
              <w:rPr>
                <w:b/>
                <w:color w:val="FFFFFF"/>
                <w:spacing w:val="-2"/>
                <w:sz w:val="20"/>
              </w:rPr>
              <w:t>Interventions</w:t>
            </w:r>
            <w:r>
              <w:rPr>
                <w:b/>
                <w:color w:val="FFFFFF"/>
                <w:spacing w:val="-4"/>
                <w:sz w:val="20"/>
              </w:rPr>
              <w:t> </w:t>
            </w:r>
            <w:r>
              <w:rPr>
                <w:b/>
                <w:color w:val="FFFFFF"/>
                <w:spacing w:val="-2"/>
                <w:sz w:val="20"/>
              </w:rPr>
              <w:t>-</w:t>
            </w:r>
            <w:r>
              <w:rPr>
                <w:b/>
                <w:color w:val="FFFFFF"/>
                <w:spacing w:val="-3"/>
                <w:sz w:val="20"/>
              </w:rPr>
              <w:t> </w:t>
            </w:r>
            <w:r>
              <w:rPr>
                <w:b/>
                <w:color w:val="FFFFFF"/>
                <w:spacing w:val="-4"/>
                <w:sz w:val="20"/>
              </w:rPr>
              <w:t>2021</w:t>
            </w:r>
          </w:p>
        </w:tc>
        <w:tc>
          <w:tcPr>
            <w:tcW w:w="1642" w:type="dxa"/>
            <w:tcBorders>
              <w:left w:val="single" w:sz="4" w:space="0" w:color="FFFFFF"/>
              <w:right w:val="single" w:sz="4" w:space="0" w:color="FFFFFF"/>
            </w:tcBorders>
            <w:shd w:val="clear" w:color="auto" w:fill="939598"/>
          </w:tcPr>
          <w:p>
            <w:pPr>
              <w:pStyle w:val="TableParagraph"/>
              <w:spacing w:before="74"/>
              <w:rPr>
                <w:b/>
                <w:sz w:val="20"/>
              </w:rPr>
            </w:pPr>
          </w:p>
          <w:p>
            <w:pPr>
              <w:pStyle w:val="TableParagraph"/>
              <w:spacing w:line="230" w:lineRule="auto" w:before="1"/>
              <w:ind w:left="75"/>
              <w:rPr>
                <w:b/>
                <w:sz w:val="20"/>
              </w:rPr>
            </w:pPr>
            <w:r>
              <w:rPr>
                <w:b/>
                <w:color w:val="FFFFFF"/>
                <w:spacing w:val="-2"/>
                <w:sz w:val="20"/>
              </w:rPr>
              <w:t>Implementation Partner</w:t>
            </w:r>
          </w:p>
        </w:tc>
        <w:tc>
          <w:tcPr>
            <w:tcW w:w="1551" w:type="dxa"/>
            <w:tcBorders>
              <w:left w:val="single" w:sz="4" w:space="0" w:color="FFFFFF"/>
              <w:right w:val="single" w:sz="4" w:space="0" w:color="FFFFFF"/>
            </w:tcBorders>
            <w:shd w:val="clear" w:color="auto" w:fill="939598"/>
          </w:tcPr>
          <w:p>
            <w:pPr>
              <w:pStyle w:val="TableParagraph"/>
              <w:spacing w:before="74"/>
              <w:rPr>
                <w:b/>
                <w:sz w:val="20"/>
              </w:rPr>
            </w:pPr>
          </w:p>
          <w:p>
            <w:pPr>
              <w:pStyle w:val="TableParagraph"/>
              <w:spacing w:line="230" w:lineRule="auto" w:before="1"/>
              <w:ind w:left="74" w:right="79"/>
              <w:rPr>
                <w:b/>
                <w:sz w:val="20"/>
              </w:rPr>
            </w:pPr>
            <w:r>
              <w:rPr>
                <w:b/>
                <w:color w:val="FFFFFF"/>
                <w:spacing w:val="-6"/>
                <w:sz w:val="20"/>
              </w:rPr>
              <w:t>Partner</w:t>
            </w:r>
            <w:r>
              <w:rPr>
                <w:b/>
                <w:color w:val="FFFFFF"/>
                <w:spacing w:val="-8"/>
                <w:sz w:val="20"/>
              </w:rPr>
              <w:t> </w:t>
            </w:r>
            <w:r>
              <w:rPr>
                <w:b/>
                <w:color w:val="FFFFFF"/>
                <w:spacing w:val="-6"/>
                <w:sz w:val="20"/>
              </w:rPr>
              <w:t>Role(s) </w:t>
            </w:r>
            <w:r>
              <w:rPr>
                <w:b/>
                <w:color w:val="FFFFFF"/>
                <w:sz w:val="20"/>
              </w:rPr>
              <w:t>and</w:t>
            </w:r>
            <w:r>
              <w:rPr>
                <w:b/>
                <w:color w:val="FFFFFF"/>
                <w:spacing w:val="-8"/>
                <w:sz w:val="20"/>
              </w:rPr>
              <w:t> Resources</w:t>
            </w:r>
          </w:p>
        </w:tc>
      </w:tr>
      <w:tr>
        <w:trPr>
          <w:trHeight w:val="4690" w:hRule="atLeast"/>
        </w:trPr>
        <w:tc>
          <w:tcPr>
            <w:tcW w:w="1526" w:type="dxa"/>
            <w:vMerge w:val="restart"/>
            <w:shd w:val="clear" w:color="auto" w:fill="E6E7E8"/>
          </w:tcPr>
          <w:p>
            <w:pPr>
              <w:pStyle w:val="TableParagraph"/>
              <w:spacing w:line="203" w:lineRule="exact" w:before="96"/>
              <w:ind w:left="90"/>
              <w:rPr>
                <w:sz w:val="18"/>
              </w:rPr>
            </w:pPr>
            <w:r>
              <w:rPr>
                <w:color w:val="105C84"/>
                <w:spacing w:val="-2"/>
                <w:w w:val="105"/>
                <w:sz w:val="18"/>
              </w:rPr>
              <w:t>Promote</w:t>
            </w:r>
          </w:p>
          <w:p>
            <w:pPr>
              <w:pStyle w:val="TableParagraph"/>
              <w:spacing w:line="232" w:lineRule="auto" w:before="1"/>
              <w:ind w:left="90" w:right="167"/>
              <w:jc w:val="both"/>
              <w:rPr>
                <w:sz w:val="18"/>
              </w:rPr>
            </w:pPr>
            <w:r>
              <w:rPr>
                <w:color w:val="105C84"/>
                <w:sz w:val="18"/>
              </w:rPr>
              <w:t>Well-Being</w:t>
            </w:r>
            <w:r>
              <w:rPr>
                <w:color w:val="105C84"/>
                <w:spacing w:val="-2"/>
                <w:sz w:val="18"/>
              </w:rPr>
              <w:t> </w:t>
            </w:r>
            <w:r>
              <w:rPr>
                <w:color w:val="105C84"/>
                <w:sz w:val="18"/>
              </w:rPr>
              <w:t>and Prevent Mental and Substance Use Disorders</w:t>
            </w:r>
          </w:p>
        </w:tc>
        <w:tc>
          <w:tcPr>
            <w:tcW w:w="1469" w:type="dxa"/>
            <w:vMerge w:val="restart"/>
          </w:tcPr>
          <w:p>
            <w:pPr>
              <w:pStyle w:val="TableParagraph"/>
              <w:spacing w:line="232" w:lineRule="auto" w:before="101"/>
              <w:ind w:left="90" w:right="151"/>
              <w:rPr>
                <w:sz w:val="18"/>
              </w:rPr>
            </w:pPr>
            <w:r>
              <w:rPr>
                <w:color w:val="105C84"/>
                <w:sz w:val="18"/>
              </w:rPr>
              <w:t>Focus Area 2: Prevent</w:t>
            </w:r>
            <w:r>
              <w:rPr>
                <w:color w:val="105C84"/>
                <w:spacing w:val="-13"/>
                <w:sz w:val="18"/>
              </w:rPr>
              <w:t> </w:t>
            </w:r>
            <w:r>
              <w:rPr>
                <w:color w:val="105C84"/>
                <w:sz w:val="18"/>
              </w:rPr>
              <w:t>Mental and</w:t>
            </w:r>
            <w:r>
              <w:rPr>
                <w:color w:val="105C84"/>
                <w:spacing w:val="-13"/>
                <w:sz w:val="18"/>
              </w:rPr>
              <w:t> </w:t>
            </w:r>
            <w:r>
              <w:rPr>
                <w:color w:val="105C84"/>
                <w:sz w:val="18"/>
              </w:rPr>
              <w:t>Substance </w:t>
            </w:r>
            <w:r>
              <w:rPr>
                <w:color w:val="105C84"/>
                <w:spacing w:val="-5"/>
                <w:sz w:val="18"/>
              </w:rPr>
              <w:t>User</w:t>
            </w:r>
            <w:r>
              <w:rPr>
                <w:color w:val="105C84"/>
                <w:spacing w:val="-7"/>
                <w:sz w:val="18"/>
              </w:rPr>
              <w:t> </w:t>
            </w:r>
            <w:r>
              <w:rPr>
                <w:color w:val="105C84"/>
                <w:spacing w:val="-2"/>
                <w:sz w:val="18"/>
              </w:rPr>
              <w:t>Disorders</w:t>
            </w:r>
          </w:p>
        </w:tc>
        <w:tc>
          <w:tcPr>
            <w:tcW w:w="1246" w:type="dxa"/>
            <w:vMerge w:val="restart"/>
          </w:tcPr>
          <w:p>
            <w:pPr>
              <w:pStyle w:val="TableParagraph"/>
              <w:spacing w:line="232" w:lineRule="auto" w:before="101"/>
              <w:ind w:left="89" w:right="178"/>
              <w:rPr>
                <w:sz w:val="18"/>
              </w:rPr>
            </w:pPr>
            <w:r>
              <w:rPr>
                <w:color w:val="105C84"/>
                <w:sz w:val="18"/>
              </w:rPr>
              <w:t>Goal 2.3: </w:t>
            </w:r>
            <w:r>
              <w:rPr>
                <w:color w:val="105C84"/>
                <w:spacing w:val="-2"/>
                <w:sz w:val="18"/>
              </w:rPr>
              <w:t>Prevent</w:t>
            </w:r>
            <w:r>
              <w:rPr>
                <w:color w:val="105C84"/>
                <w:spacing w:val="-11"/>
                <w:sz w:val="18"/>
              </w:rPr>
              <w:t> </w:t>
            </w:r>
            <w:r>
              <w:rPr>
                <w:color w:val="105C84"/>
                <w:spacing w:val="-2"/>
                <w:sz w:val="18"/>
              </w:rPr>
              <w:t>and address adverse childhood experiences</w:t>
            </w:r>
          </w:p>
        </w:tc>
        <w:tc>
          <w:tcPr>
            <w:tcW w:w="2096" w:type="dxa"/>
            <w:vMerge w:val="restart"/>
          </w:tcPr>
          <w:p>
            <w:pPr>
              <w:pStyle w:val="TableParagraph"/>
              <w:spacing w:line="232" w:lineRule="auto" w:before="101"/>
              <w:ind w:left="89" w:right="80"/>
              <w:rPr>
                <w:sz w:val="18"/>
              </w:rPr>
            </w:pPr>
            <w:r>
              <w:rPr>
                <w:color w:val="105C84"/>
                <w:sz w:val="18"/>
              </w:rPr>
              <w:t>2.3.2 Reduce indicated reports of abuse/ maltreatment rate per 1,000 children and youth ages 0-17 years by</w:t>
            </w:r>
            <w:r>
              <w:rPr>
                <w:color w:val="105C84"/>
                <w:spacing w:val="-7"/>
                <w:sz w:val="18"/>
              </w:rPr>
              <w:t> </w:t>
            </w:r>
            <w:r>
              <w:rPr>
                <w:color w:val="105C84"/>
                <w:sz w:val="18"/>
              </w:rPr>
              <w:t>9%</w:t>
            </w:r>
            <w:r>
              <w:rPr>
                <w:color w:val="105C84"/>
                <w:spacing w:val="-7"/>
                <w:sz w:val="18"/>
              </w:rPr>
              <w:t> </w:t>
            </w:r>
            <w:r>
              <w:rPr>
                <w:color w:val="105C84"/>
                <w:sz w:val="18"/>
              </w:rPr>
              <w:t>to</w:t>
            </w:r>
            <w:r>
              <w:rPr>
                <w:color w:val="105C84"/>
                <w:spacing w:val="-7"/>
                <w:sz w:val="18"/>
              </w:rPr>
              <w:t> </w:t>
            </w:r>
            <w:r>
              <w:rPr>
                <w:color w:val="105C84"/>
                <w:sz w:val="18"/>
              </w:rPr>
              <w:t>15.6</w:t>
            </w:r>
            <w:r>
              <w:rPr>
                <w:color w:val="105C84"/>
                <w:spacing w:val="-7"/>
                <w:sz w:val="18"/>
              </w:rPr>
              <w:t> </w:t>
            </w:r>
            <w:r>
              <w:rPr>
                <w:color w:val="105C84"/>
                <w:sz w:val="18"/>
              </w:rPr>
              <w:t>per</w:t>
            </w:r>
            <w:r>
              <w:rPr>
                <w:color w:val="105C84"/>
                <w:spacing w:val="-7"/>
                <w:sz w:val="18"/>
              </w:rPr>
              <w:t> </w:t>
            </w:r>
            <w:r>
              <w:rPr>
                <w:color w:val="105C84"/>
                <w:sz w:val="18"/>
              </w:rPr>
              <w:t>1,000 children</w:t>
            </w:r>
            <w:r>
              <w:rPr>
                <w:color w:val="105C84"/>
                <w:spacing w:val="-12"/>
                <w:sz w:val="18"/>
              </w:rPr>
              <w:t> </w:t>
            </w:r>
            <w:r>
              <w:rPr>
                <w:color w:val="105C84"/>
                <w:sz w:val="18"/>
              </w:rPr>
              <w:t>and</w:t>
            </w:r>
            <w:r>
              <w:rPr>
                <w:color w:val="105C84"/>
                <w:spacing w:val="-12"/>
                <w:sz w:val="18"/>
              </w:rPr>
              <w:t> </w:t>
            </w:r>
            <w:r>
              <w:rPr>
                <w:color w:val="105C84"/>
                <w:sz w:val="18"/>
              </w:rPr>
              <w:t>youth</w:t>
            </w:r>
            <w:r>
              <w:rPr>
                <w:color w:val="105C84"/>
                <w:spacing w:val="-12"/>
                <w:sz w:val="18"/>
              </w:rPr>
              <w:t> </w:t>
            </w:r>
            <w:r>
              <w:rPr>
                <w:color w:val="105C84"/>
                <w:sz w:val="18"/>
              </w:rPr>
              <w:t>ages</w:t>
            </w:r>
            <w:r>
              <w:rPr>
                <w:color w:val="105C84"/>
                <w:sz w:val="18"/>
              </w:rPr>
              <w:t> </w:t>
            </w:r>
            <w:r>
              <w:rPr>
                <w:color w:val="105C84"/>
                <w:spacing w:val="-2"/>
                <w:sz w:val="18"/>
              </w:rPr>
              <w:t>0-17</w:t>
            </w:r>
            <w:r>
              <w:rPr>
                <w:color w:val="105C84"/>
                <w:spacing w:val="-11"/>
                <w:sz w:val="18"/>
              </w:rPr>
              <w:t> </w:t>
            </w:r>
            <w:r>
              <w:rPr>
                <w:color w:val="105C84"/>
                <w:spacing w:val="-2"/>
                <w:sz w:val="18"/>
              </w:rPr>
              <w:t>years</w:t>
            </w:r>
            <w:r>
              <w:rPr>
                <w:color w:val="105C84"/>
                <w:spacing w:val="-10"/>
                <w:sz w:val="18"/>
              </w:rPr>
              <w:t> </w:t>
            </w:r>
            <w:r>
              <w:rPr>
                <w:color w:val="105C84"/>
                <w:spacing w:val="-2"/>
                <w:sz w:val="18"/>
              </w:rPr>
              <w:t>(Current</w:t>
            </w:r>
            <w:r>
              <w:rPr>
                <w:color w:val="105C84"/>
                <w:spacing w:val="-11"/>
                <w:sz w:val="18"/>
              </w:rPr>
              <w:t> </w:t>
            </w:r>
            <w:r>
              <w:rPr>
                <w:color w:val="105C84"/>
                <w:spacing w:val="-2"/>
                <w:sz w:val="18"/>
              </w:rPr>
              <w:t>rate: </w:t>
            </w:r>
            <w:r>
              <w:rPr>
                <w:color w:val="105C84"/>
                <w:sz w:val="18"/>
              </w:rPr>
              <w:t>45.2 per 1,000 - 2017)</w:t>
            </w:r>
          </w:p>
        </w:tc>
        <w:tc>
          <w:tcPr>
            <w:tcW w:w="2341" w:type="dxa"/>
            <w:vMerge w:val="restart"/>
          </w:tcPr>
          <w:p>
            <w:pPr>
              <w:pStyle w:val="TableParagraph"/>
              <w:spacing w:line="232" w:lineRule="auto" w:before="101"/>
              <w:ind w:left="88" w:right="141"/>
              <w:rPr>
                <w:sz w:val="18"/>
              </w:rPr>
            </w:pPr>
            <w:r>
              <w:rPr>
                <w:color w:val="105C84"/>
                <w:sz w:val="18"/>
              </w:rPr>
              <w:t>2.3.1 Integrate principles of trauma-informat approach in governance and leadership, policy, physical environment, engagement and involvement, cross sector collaboration, screening, </w:t>
            </w:r>
            <w:r>
              <w:rPr>
                <w:color w:val="105C84"/>
                <w:spacing w:val="-2"/>
                <w:sz w:val="18"/>
              </w:rPr>
              <w:t>assessment</w:t>
            </w:r>
            <w:r>
              <w:rPr>
                <w:color w:val="105C84"/>
                <w:spacing w:val="-11"/>
                <w:sz w:val="18"/>
              </w:rPr>
              <w:t> </w:t>
            </w:r>
            <w:r>
              <w:rPr>
                <w:color w:val="105C84"/>
                <w:spacing w:val="-2"/>
                <w:sz w:val="18"/>
              </w:rPr>
              <w:t>and</w:t>
            </w:r>
            <w:r>
              <w:rPr>
                <w:color w:val="105C84"/>
                <w:spacing w:val="-10"/>
                <w:sz w:val="18"/>
              </w:rPr>
              <w:t> </w:t>
            </w:r>
            <w:r>
              <w:rPr>
                <w:color w:val="105C84"/>
                <w:spacing w:val="-2"/>
                <w:sz w:val="18"/>
              </w:rPr>
              <w:t>treatmen</w:t>
            </w:r>
            <w:r>
              <w:rPr>
                <w:color w:val="105C84"/>
                <w:spacing w:val="-2"/>
                <w:sz w:val="18"/>
              </w:rPr>
              <w:t>t</w:t>
            </w:r>
            <w:r>
              <w:rPr>
                <w:color w:val="105C84"/>
                <w:spacing w:val="-2"/>
                <w:sz w:val="18"/>
              </w:rPr>
              <w:t> </w:t>
            </w:r>
            <w:r>
              <w:rPr>
                <w:color w:val="105C84"/>
                <w:sz w:val="18"/>
              </w:rPr>
              <w:t>services, training and workforce development, progress monitoring</w:t>
            </w:r>
          </w:p>
          <w:p>
            <w:pPr>
              <w:pStyle w:val="TableParagraph"/>
              <w:spacing w:line="232" w:lineRule="auto"/>
              <w:ind w:left="88"/>
              <w:rPr>
                <w:sz w:val="18"/>
              </w:rPr>
            </w:pPr>
            <w:r>
              <w:rPr>
                <w:color w:val="105C84"/>
                <w:sz w:val="18"/>
              </w:rPr>
              <w:t>and quality assurance, financing</w:t>
            </w:r>
            <w:r>
              <w:rPr>
                <w:color w:val="105C84"/>
                <w:spacing w:val="-15"/>
                <w:sz w:val="18"/>
              </w:rPr>
              <w:t> </w:t>
            </w:r>
            <w:r>
              <w:rPr>
                <w:color w:val="105C84"/>
                <w:sz w:val="18"/>
              </w:rPr>
              <w:t>and</w:t>
            </w:r>
            <w:r>
              <w:rPr>
                <w:color w:val="105C84"/>
                <w:spacing w:val="-12"/>
                <w:sz w:val="18"/>
              </w:rPr>
              <w:t> </w:t>
            </w:r>
            <w:r>
              <w:rPr>
                <w:color w:val="105C84"/>
                <w:sz w:val="18"/>
              </w:rPr>
              <w:t>evaluation</w:t>
            </w:r>
          </w:p>
        </w:tc>
        <w:tc>
          <w:tcPr>
            <w:tcW w:w="2481" w:type="dxa"/>
            <w:vMerge w:val="restart"/>
            <w:tcBorders>
              <w:right w:val="nil"/>
            </w:tcBorders>
          </w:tcPr>
          <w:p>
            <w:pPr>
              <w:pStyle w:val="TableParagraph"/>
              <w:spacing w:line="232" w:lineRule="auto" w:before="100"/>
              <w:ind w:left="87" w:right="1092"/>
              <w:rPr>
                <w:sz w:val="18"/>
              </w:rPr>
            </w:pPr>
            <w:r>
              <w:rPr>
                <w:color w:val="105C84"/>
                <w:w w:val="105"/>
                <w:sz w:val="18"/>
              </w:rPr>
              <w:t>Completion</w:t>
            </w:r>
            <w:r>
              <w:rPr>
                <w:color w:val="105C84"/>
                <w:spacing w:val="-1"/>
                <w:w w:val="105"/>
                <w:sz w:val="18"/>
              </w:rPr>
              <w:t> </w:t>
            </w:r>
            <w:r>
              <w:rPr>
                <w:color w:val="105C84"/>
                <w:w w:val="105"/>
                <w:sz w:val="18"/>
              </w:rPr>
              <w:t>of </w:t>
            </w:r>
            <w:r>
              <w:rPr>
                <w:color w:val="105C84"/>
                <w:sz w:val="18"/>
              </w:rPr>
              <w:t>training;</w:t>
            </w:r>
            <w:r>
              <w:rPr>
                <w:color w:val="105C84"/>
                <w:spacing w:val="-13"/>
                <w:sz w:val="18"/>
              </w:rPr>
              <w:t> </w:t>
            </w:r>
            <w:r>
              <w:rPr>
                <w:color w:val="105C84"/>
                <w:sz w:val="18"/>
              </w:rPr>
              <w:t>change </w:t>
            </w:r>
            <w:r>
              <w:rPr>
                <w:color w:val="105C84"/>
                <w:w w:val="105"/>
                <w:sz w:val="18"/>
              </w:rPr>
              <w:t>in policies or </w:t>
            </w:r>
            <w:r>
              <w:rPr>
                <w:color w:val="105C84"/>
                <w:spacing w:val="-2"/>
                <w:w w:val="105"/>
                <w:sz w:val="18"/>
              </w:rPr>
              <w:t>implementation </w:t>
            </w:r>
            <w:r>
              <w:rPr>
                <w:color w:val="105C84"/>
                <w:w w:val="105"/>
                <w:sz w:val="18"/>
              </w:rPr>
              <w:t>of</w:t>
            </w:r>
            <w:r>
              <w:rPr>
                <w:color w:val="105C84"/>
                <w:spacing w:val="-1"/>
                <w:w w:val="105"/>
                <w:sz w:val="18"/>
              </w:rPr>
              <w:t> </w:t>
            </w:r>
            <w:r>
              <w:rPr>
                <w:color w:val="105C84"/>
                <w:w w:val="105"/>
                <w:sz w:val="18"/>
              </w:rPr>
              <w:t>policies</w:t>
            </w:r>
          </w:p>
        </w:tc>
        <w:tc>
          <w:tcPr>
            <w:tcW w:w="3014" w:type="dxa"/>
            <w:tcBorders>
              <w:left w:val="nil"/>
            </w:tcBorders>
          </w:tcPr>
          <w:p>
            <w:pPr>
              <w:pStyle w:val="TableParagraph"/>
              <w:spacing w:line="232" w:lineRule="auto" w:before="100"/>
              <w:ind w:left="1082" w:right="55"/>
              <w:rPr>
                <w:sz w:val="18"/>
              </w:rPr>
            </w:pPr>
            <w:r>
              <w:rPr>
                <w:color w:val="105C84"/>
                <w:sz w:val="18"/>
              </w:rPr>
              <w:t>Evaluate grant opportunities for Adverse Childhood </w:t>
            </w:r>
            <w:r>
              <w:rPr>
                <w:color w:val="105C84"/>
                <w:spacing w:val="-6"/>
                <w:sz w:val="18"/>
              </w:rPr>
              <w:t>Experiences</w:t>
            </w:r>
            <w:r>
              <w:rPr>
                <w:color w:val="105C84"/>
                <w:spacing w:val="-7"/>
                <w:sz w:val="18"/>
              </w:rPr>
              <w:t> </w:t>
            </w:r>
            <w:r>
              <w:rPr>
                <w:color w:val="105C84"/>
                <w:spacing w:val="-6"/>
                <w:sz w:val="18"/>
              </w:rPr>
              <w:t>(ACES) </w:t>
            </w:r>
            <w:r>
              <w:rPr>
                <w:color w:val="105C84"/>
                <w:sz w:val="18"/>
              </w:rPr>
              <w:t>community</w:t>
            </w:r>
            <w:r>
              <w:rPr>
                <w:color w:val="105C84"/>
                <w:spacing w:val="4"/>
                <w:sz w:val="18"/>
              </w:rPr>
              <w:t> </w:t>
            </w:r>
            <w:r>
              <w:rPr>
                <w:color w:val="105C84"/>
                <w:spacing w:val="-2"/>
                <w:sz w:val="18"/>
              </w:rPr>
              <w:t>support</w:t>
            </w:r>
          </w:p>
          <w:p>
            <w:pPr>
              <w:pStyle w:val="TableParagraph"/>
              <w:spacing w:line="232" w:lineRule="auto" w:before="86"/>
              <w:ind w:left="1082" w:right="55"/>
              <w:rPr>
                <w:sz w:val="18"/>
              </w:rPr>
            </w:pPr>
            <w:r>
              <w:rPr>
                <w:color w:val="105C84"/>
                <w:spacing w:val="-2"/>
                <w:sz w:val="18"/>
              </w:rPr>
              <w:t>Evaluate</w:t>
            </w:r>
            <w:r>
              <w:rPr>
                <w:color w:val="105C84"/>
                <w:spacing w:val="-11"/>
                <w:sz w:val="18"/>
              </w:rPr>
              <w:t> </w:t>
            </w:r>
            <w:r>
              <w:rPr>
                <w:color w:val="105C84"/>
                <w:spacing w:val="-2"/>
                <w:sz w:val="18"/>
              </w:rPr>
              <w:t>community </w:t>
            </w:r>
            <w:r>
              <w:rPr>
                <w:color w:val="105C84"/>
                <w:sz w:val="18"/>
              </w:rPr>
              <w:t>readiness from government and leaders in the </w:t>
            </w:r>
            <w:r>
              <w:rPr>
                <w:color w:val="105C84"/>
                <w:spacing w:val="-2"/>
                <w:sz w:val="18"/>
              </w:rPr>
              <w:t>community</w:t>
            </w:r>
          </w:p>
        </w:tc>
        <w:tc>
          <w:tcPr>
            <w:tcW w:w="2391" w:type="dxa"/>
          </w:tcPr>
          <w:p>
            <w:pPr>
              <w:pStyle w:val="TableParagraph"/>
              <w:spacing w:line="232" w:lineRule="auto" w:before="100"/>
              <w:ind w:left="86" w:right="104"/>
              <w:rPr>
                <w:sz w:val="18"/>
              </w:rPr>
            </w:pPr>
            <w:r>
              <w:rPr>
                <w:color w:val="105C84"/>
                <w:w w:val="105"/>
                <w:sz w:val="18"/>
              </w:rPr>
              <w:t>Evaluate</w:t>
            </w:r>
            <w:r>
              <w:rPr>
                <w:color w:val="105C84"/>
                <w:spacing w:val="-1"/>
                <w:w w:val="105"/>
                <w:sz w:val="18"/>
              </w:rPr>
              <w:t> </w:t>
            </w:r>
            <w:r>
              <w:rPr>
                <w:color w:val="105C84"/>
                <w:w w:val="105"/>
                <w:sz w:val="18"/>
              </w:rPr>
              <w:t>grant </w:t>
            </w:r>
            <w:r>
              <w:rPr>
                <w:color w:val="105C84"/>
                <w:sz w:val="18"/>
              </w:rPr>
              <w:t>opportunities</w:t>
            </w:r>
            <w:r>
              <w:rPr>
                <w:color w:val="105C84"/>
                <w:spacing w:val="-11"/>
                <w:sz w:val="18"/>
              </w:rPr>
              <w:t> </w:t>
            </w:r>
            <w:r>
              <w:rPr>
                <w:color w:val="105C84"/>
                <w:sz w:val="18"/>
              </w:rPr>
              <w:t>for</w:t>
            </w:r>
            <w:r>
              <w:rPr>
                <w:color w:val="105C84"/>
                <w:spacing w:val="-11"/>
                <w:sz w:val="18"/>
              </w:rPr>
              <w:t> </w:t>
            </w:r>
            <w:r>
              <w:rPr>
                <w:color w:val="105C84"/>
                <w:sz w:val="18"/>
              </w:rPr>
              <w:t>ACES </w:t>
            </w:r>
            <w:r>
              <w:rPr>
                <w:color w:val="105C84"/>
                <w:w w:val="105"/>
                <w:sz w:val="18"/>
              </w:rPr>
              <w:t>community</w:t>
            </w:r>
            <w:r>
              <w:rPr>
                <w:color w:val="105C84"/>
                <w:spacing w:val="-1"/>
                <w:w w:val="105"/>
                <w:sz w:val="18"/>
              </w:rPr>
              <w:t> </w:t>
            </w:r>
            <w:r>
              <w:rPr>
                <w:color w:val="105C84"/>
                <w:w w:val="105"/>
                <w:sz w:val="18"/>
              </w:rPr>
              <w:t>support</w:t>
            </w:r>
          </w:p>
          <w:p>
            <w:pPr>
              <w:pStyle w:val="TableParagraph"/>
              <w:spacing w:line="232" w:lineRule="auto" w:before="88"/>
              <w:ind w:left="86" w:right="104"/>
              <w:rPr>
                <w:sz w:val="18"/>
              </w:rPr>
            </w:pPr>
            <w:r>
              <w:rPr>
                <w:color w:val="105C84"/>
                <w:sz w:val="18"/>
              </w:rPr>
              <w:t>Training on ACEs for mental</w:t>
            </w:r>
            <w:r>
              <w:rPr>
                <w:color w:val="105C84"/>
                <w:spacing w:val="-15"/>
                <w:sz w:val="18"/>
              </w:rPr>
              <w:t> </w:t>
            </w:r>
            <w:r>
              <w:rPr>
                <w:color w:val="105C84"/>
                <w:sz w:val="18"/>
              </w:rPr>
              <w:t>health</w:t>
            </w:r>
            <w:r>
              <w:rPr>
                <w:color w:val="105C84"/>
                <w:spacing w:val="-12"/>
                <w:sz w:val="18"/>
              </w:rPr>
              <w:t> </w:t>
            </w:r>
            <w:r>
              <w:rPr>
                <w:color w:val="105C84"/>
                <w:sz w:val="18"/>
              </w:rPr>
              <w:t>professional</w:t>
            </w:r>
          </w:p>
          <w:p>
            <w:pPr>
              <w:pStyle w:val="TableParagraph"/>
              <w:spacing w:line="232" w:lineRule="auto" w:before="88"/>
              <w:ind w:left="86" w:right="29"/>
              <w:rPr>
                <w:sz w:val="18"/>
              </w:rPr>
            </w:pPr>
            <w:r>
              <w:rPr>
                <w:color w:val="105C84"/>
                <w:sz w:val="18"/>
              </w:rPr>
              <w:t>Bring ACES to Schuyler County government and leaders</w:t>
            </w:r>
            <w:r>
              <w:rPr>
                <w:color w:val="105C84"/>
                <w:spacing w:val="-6"/>
                <w:sz w:val="18"/>
              </w:rPr>
              <w:t> </w:t>
            </w:r>
            <w:r>
              <w:rPr>
                <w:color w:val="105C84"/>
                <w:sz w:val="18"/>
              </w:rPr>
              <w:t>with</w:t>
            </w:r>
            <w:r>
              <w:rPr>
                <w:color w:val="105C84"/>
                <w:spacing w:val="-6"/>
                <w:sz w:val="18"/>
              </w:rPr>
              <w:t> </w:t>
            </w:r>
            <w:r>
              <w:rPr>
                <w:color w:val="105C84"/>
                <w:sz w:val="18"/>
              </w:rPr>
              <w:t>the</w:t>
            </w:r>
            <w:r>
              <w:rPr>
                <w:color w:val="105C84"/>
                <w:spacing w:val="-6"/>
                <w:sz w:val="18"/>
              </w:rPr>
              <w:t> </w:t>
            </w:r>
            <w:r>
              <w:rPr>
                <w:color w:val="105C84"/>
                <w:sz w:val="18"/>
              </w:rPr>
              <w:t>community and evaluate readiness for integration into protocols, </w:t>
            </w:r>
            <w:r>
              <w:rPr>
                <w:color w:val="105C84"/>
                <w:spacing w:val="-4"/>
                <w:sz w:val="18"/>
              </w:rPr>
              <w:t>etc.</w:t>
            </w:r>
          </w:p>
          <w:p>
            <w:pPr>
              <w:pStyle w:val="TableParagraph"/>
              <w:spacing w:line="232" w:lineRule="auto" w:before="85"/>
              <w:ind w:left="86" w:right="104"/>
              <w:rPr>
                <w:sz w:val="18"/>
              </w:rPr>
            </w:pPr>
            <w:r>
              <w:rPr>
                <w:color w:val="105C84"/>
                <w:sz w:val="18"/>
              </w:rPr>
              <w:t>Set</w:t>
            </w:r>
            <w:r>
              <w:rPr>
                <w:color w:val="105C84"/>
                <w:spacing w:val="-15"/>
                <w:sz w:val="18"/>
              </w:rPr>
              <w:t> </w:t>
            </w:r>
            <w:r>
              <w:rPr>
                <w:color w:val="105C84"/>
                <w:sz w:val="18"/>
              </w:rPr>
              <w:t>up</w:t>
            </w:r>
            <w:r>
              <w:rPr>
                <w:color w:val="105C84"/>
                <w:spacing w:val="-12"/>
                <w:sz w:val="18"/>
              </w:rPr>
              <w:t> </w:t>
            </w:r>
            <w:r>
              <w:rPr>
                <w:color w:val="105C84"/>
                <w:sz w:val="18"/>
              </w:rPr>
              <w:t>referral</w:t>
            </w:r>
            <w:r>
              <w:rPr>
                <w:color w:val="105C84"/>
                <w:spacing w:val="-13"/>
                <w:sz w:val="18"/>
              </w:rPr>
              <w:t> </w:t>
            </w:r>
            <w:r>
              <w:rPr>
                <w:color w:val="105C84"/>
                <w:sz w:val="18"/>
              </w:rPr>
              <w:t>system</w:t>
            </w:r>
            <w:r>
              <w:rPr>
                <w:color w:val="105C84"/>
                <w:spacing w:val="-12"/>
                <w:sz w:val="18"/>
              </w:rPr>
              <w:t> </w:t>
            </w:r>
            <w:r>
              <w:rPr>
                <w:color w:val="105C84"/>
                <w:sz w:val="18"/>
              </w:rPr>
              <w:t>for Mental Health Clinic</w:t>
            </w:r>
          </w:p>
          <w:p>
            <w:pPr>
              <w:pStyle w:val="TableParagraph"/>
              <w:spacing w:line="232" w:lineRule="auto" w:before="89"/>
              <w:ind w:left="86" w:right="161"/>
              <w:rPr>
                <w:sz w:val="18"/>
              </w:rPr>
            </w:pPr>
            <w:r>
              <w:rPr>
                <w:color w:val="105C84"/>
                <w:sz w:val="18"/>
              </w:rPr>
              <w:t>Add ACES category to monthly</w:t>
            </w:r>
            <w:r>
              <w:rPr>
                <w:color w:val="105C84"/>
                <w:spacing w:val="-15"/>
                <w:sz w:val="18"/>
              </w:rPr>
              <w:t> </w:t>
            </w:r>
            <w:r>
              <w:rPr>
                <w:color w:val="105C84"/>
                <w:sz w:val="18"/>
              </w:rPr>
              <w:t>Quality</w:t>
            </w:r>
            <w:r>
              <w:rPr>
                <w:color w:val="105C84"/>
                <w:spacing w:val="-12"/>
                <w:sz w:val="18"/>
              </w:rPr>
              <w:t> </w:t>
            </w:r>
            <w:r>
              <w:rPr>
                <w:color w:val="105C84"/>
                <w:sz w:val="18"/>
              </w:rPr>
              <w:t>Assurance meeting with Mental</w:t>
            </w:r>
            <w:r>
              <w:rPr>
                <w:color w:val="105C84"/>
                <w:spacing w:val="40"/>
                <w:sz w:val="18"/>
              </w:rPr>
              <w:t> </w:t>
            </w:r>
            <w:r>
              <w:rPr>
                <w:color w:val="105C84"/>
                <w:spacing w:val="-2"/>
                <w:sz w:val="18"/>
              </w:rPr>
              <w:t>Health</w:t>
            </w:r>
          </w:p>
        </w:tc>
        <w:tc>
          <w:tcPr>
            <w:tcW w:w="2535" w:type="dxa"/>
          </w:tcPr>
          <w:p>
            <w:pPr>
              <w:pStyle w:val="TableParagraph"/>
              <w:spacing w:line="232" w:lineRule="auto" w:before="100"/>
              <w:ind w:left="85"/>
              <w:rPr>
                <w:sz w:val="18"/>
              </w:rPr>
            </w:pPr>
            <w:r>
              <w:rPr>
                <w:color w:val="105C84"/>
                <w:sz w:val="18"/>
              </w:rPr>
              <w:t>Implement screening tool </w:t>
            </w:r>
            <w:r>
              <w:rPr>
                <w:color w:val="105C84"/>
                <w:sz w:val="18"/>
              </w:rPr>
              <w:t>for </w:t>
            </w:r>
            <w:r>
              <w:rPr>
                <w:color w:val="105C84"/>
                <w:w w:val="105"/>
                <w:sz w:val="18"/>
              </w:rPr>
              <w:t>ACES at the Mental Health </w:t>
            </w:r>
            <w:r>
              <w:rPr>
                <w:color w:val="105C84"/>
                <w:spacing w:val="-2"/>
                <w:w w:val="105"/>
                <w:sz w:val="18"/>
              </w:rPr>
              <w:t>Clinic</w:t>
            </w:r>
          </w:p>
          <w:p>
            <w:pPr>
              <w:pStyle w:val="TableParagraph"/>
              <w:spacing w:line="232" w:lineRule="auto" w:before="87"/>
              <w:ind w:left="85" w:right="88"/>
              <w:rPr>
                <w:sz w:val="18"/>
              </w:rPr>
            </w:pPr>
            <w:r>
              <w:rPr>
                <w:color w:val="105C84"/>
                <w:sz w:val="18"/>
              </w:rPr>
              <w:t>Review</w:t>
            </w:r>
            <w:r>
              <w:rPr>
                <w:color w:val="105C84"/>
                <w:spacing w:val="-9"/>
                <w:sz w:val="18"/>
              </w:rPr>
              <w:t> </w:t>
            </w:r>
            <w:r>
              <w:rPr>
                <w:color w:val="105C84"/>
                <w:sz w:val="18"/>
              </w:rPr>
              <w:t>and</w:t>
            </w:r>
            <w:r>
              <w:rPr>
                <w:color w:val="105C84"/>
                <w:spacing w:val="-9"/>
                <w:sz w:val="18"/>
              </w:rPr>
              <w:t> </w:t>
            </w:r>
            <w:r>
              <w:rPr>
                <w:color w:val="105C84"/>
                <w:sz w:val="18"/>
              </w:rPr>
              <w:t>update</w:t>
            </w:r>
            <w:r>
              <w:rPr>
                <w:color w:val="105C84"/>
                <w:spacing w:val="-9"/>
                <w:sz w:val="18"/>
              </w:rPr>
              <w:t> </w:t>
            </w:r>
            <w:r>
              <w:rPr>
                <w:color w:val="105C84"/>
                <w:sz w:val="18"/>
              </w:rPr>
              <w:t>policies/ protocol as it pertains to </w:t>
            </w:r>
            <w:r>
              <w:rPr>
                <w:color w:val="105C84"/>
                <w:spacing w:val="-4"/>
                <w:sz w:val="18"/>
              </w:rPr>
              <w:t>ACES</w:t>
            </w:r>
          </w:p>
          <w:p>
            <w:pPr>
              <w:pStyle w:val="TableParagraph"/>
              <w:spacing w:line="232" w:lineRule="auto" w:before="88"/>
              <w:ind w:left="85" w:right="351"/>
              <w:rPr>
                <w:sz w:val="18"/>
              </w:rPr>
            </w:pPr>
            <w:r>
              <w:rPr>
                <w:color w:val="105C84"/>
                <w:sz w:val="18"/>
              </w:rPr>
              <w:t>Set</w:t>
            </w:r>
            <w:r>
              <w:rPr>
                <w:color w:val="105C84"/>
                <w:spacing w:val="-13"/>
                <w:sz w:val="18"/>
              </w:rPr>
              <w:t> </w:t>
            </w:r>
            <w:r>
              <w:rPr>
                <w:color w:val="105C84"/>
                <w:sz w:val="18"/>
              </w:rPr>
              <w:t>up</w:t>
            </w:r>
            <w:r>
              <w:rPr>
                <w:color w:val="105C84"/>
                <w:spacing w:val="-12"/>
                <w:sz w:val="18"/>
              </w:rPr>
              <w:t> </w:t>
            </w:r>
            <w:r>
              <w:rPr>
                <w:color w:val="105C84"/>
                <w:sz w:val="18"/>
              </w:rPr>
              <w:t>a</w:t>
            </w:r>
            <w:r>
              <w:rPr>
                <w:color w:val="105C84"/>
                <w:spacing w:val="-13"/>
                <w:sz w:val="18"/>
              </w:rPr>
              <w:t> </w:t>
            </w:r>
            <w:r>
              <w:rPr>
                <w:color w:val="105C84"/>
                <w:sz w:val="18"/>
              </w:rPr>
              <w:t>baseline</w:t>
            </w:r>
            <w:r>
              <w:rPr>
                <w:color w:val="105C84"/>
                <w:spacing w:val="-12"/>
                <w:sz w:val="18"/>
              </w:rPr>
              <w:t> </w:t>
            </w:r>
            <w:r>
              <w:rPr>
                <w:color w:val="105C84"/>
                <w:sz w:val="18"/>
              </w:rPr>
              <w:t>of</w:t>
            </w:r>
            <w:r>
              <w:rPr>
                <w:color w:val="105C84"/>
                <w:spacing w:val="-13"/>
                <w:sz w:val="18"/>
              </w:rPr>
              <w:t> </w:t>
            </w:r>
            <w:r>
              <w:rPr>
                <w:color w:val="105C84"/>
                <w:sz w:val="18"/>
              </w:rPr>
              <w:t>ACES scores and determine an evaluation process for </w:t>
            </w:r>
            <w:r>
              <w:rPr>
                <w:color w:val="105C84"/>
                <w:spacing w:val="-2"/>
                <w:sz w:val="18"/>
              </w:rPr>
              <w:t>effectiveness</w:t>
            </w:r>
            <w:r>
              <w:rPr>
                <w:color w:val="105C84"/>
                <w:spacing w:val="-13"/>
                <w:sz w:val="18"/>
              </w:rPr>
              <w:t> </w:t>
            </w:r>
            <w:r>
              <w:rPr>
                <w:color w:val="105C84"/>
                <w:spacing w:val="-2"/>
                <w:sz w:val="18"/>
              </w:rPr>
              <w:t>of</w:t>
            </w:r>
            <w:r>
              <w:rPr>
                <w:color w:val="105C84"/>
                <w:spacing w:val="-10"/>
                <w:sz w:val="18"/>
              </w:rPr>
              <w:t> </w:t>
            </w:r>
            <w:r>
              <w:rPr>
                <w:color w:val="105C84"/>
                <w:spacing w:val="-2"/>
                <w:sz w:val="18"/>
              </w:rPr>
              <w:t>processes </w:t>
            </w:r>
            <w:r>
              <w:rPr>
                <w:color w:val="105C84"/>
                <w:sz w:val="18"/>
              </w:rPr>
              <w:t>addressing ACES</w:t>
            </w:r>
          </w:p>
          <w:p>
            <w:pPr>
              <w:pStyle w:val="TableParagraph"/>
              <w:spacing w:line="232" w:lineRule="auto" w:before="86"/>
              <w:ind w:left="85"/>
              <w:rPr>
                <w:sz w:val="18"/>
              </w:rPr>
            </w:pPr>
            <w:r>
              <w:rPr>
                <w:color w:val="105C84"/>
                <w:sz w:val="18"/>
              </w:rPr>
              <w:t>Full</w:t>
            </w:r>
            <w:r>
              <w:rPr>
                <w:color w:val="105C84"/>
                <w:spacing w:val="-10"/>
                <w:sz w:val="18"/>
              </w:rPr>
              <w:t> </w:t>
            </w:r>
            <w:r>
              <w:rPr>
                <w:color w:val="105C84"/>
                <w:sz w:val="18"/>
              </w:rPr>
              <w:t>implementation</w:t>
            </w:r>
            <w:r>
              <w:rPr>
                <w:color w:val="105C84"/>
                <w:spacing w:val="-10"/>
                <w:sz w:val="18"/>
              </w:rPr>
              <w:t> </w:t>
            </w:r>
            <w:r>
              <w:rPr>
                <w:color w:val="105C84"/>
                <w:sz w:val="18"/>
              </w:rPr>
              <w:t>of</w:t>
            </w:r>
            <w:r>
              <w:rPr>
                <w:color w:val="105C84"/>
                <w:spacing w:val="-10"/>
                <w:sz w:val="18"/>
              </w:rPr>
              <w:t> </w:t>
            </w:r>
            <w:r>
              <w:rPr>
                <w:color w:val="105C84"/>
                <w:sz w:val="18"/>
              </w:rPr>
              <w:t>ACES </w:t>
            </w:r>
            <w:r>
              <w:rPr>
                <w:color w:val="105C84"/>
                <w:w w:val="105"/>
                <w:sz w:val="18"/>
              </w:rPr>
              <w:t>intervention</w:t>
            </w:r>
            <w:r>
              <w:rPr>
                <w:color w:val="105C84"/>
                <w:spacing w:val="-1"/>
                <w:w w:val="105"/>
                <w:sz w:val="18"/>
              </w:rPr>
              <w:t> </w:t>
            </w:r>
            <w:r>
              <w:rPr>
                <w:color w:val="105C84"/>
                <w:w w:val="105"/>
                <w:sz w:val="18"/>
              </w:rPr>
              <w:t>together</w:t>
            </w:r>
          </w:p>
          <w:p>
            <w:pPr>
              <w:pStyle w:val="TableParagraph"/>
              <w:spacing w:line="232" w:lineRule="auto" w:before="89"/>
              <w:ind w:left="85"/>
              <w:rPr>
                <w:sz w:val="18"/>
              </w:rPr>
            </w:pPr>
            <w:r>
              <w:rPr>
                <w:color w:val="105C84"/>
                <w:sz w:val="18"/>
              </w:rPr>
              <w:t>Collect data on ACES to review</w:t>
            </w:r>
            <w:r>
              <w:rPr>
                <w:color w:val="105C84"/>
                <w:spacing w:val="-6"/>
                <w:sz w:val="18"/>
              </w:rPr>
              <w:t> </w:t>
            </w:r>
            <w:r>
              <w:rPr>
                <w:color w:val="105C84"/>
                <w:sz w:val="18"/>
              </w:rPr>
              <w:t>impact</w:t>
            </w:r>
            <w:r>
              <w:rPr>
                <w:color w:val="105C84"/>
                <w:spacing w:val="-6"/>
                <w:sz w:val="18"/>
              </w:rPr>
              <w:t> </w:t>
            </w:r>
            <w:r>
              <w:rPr>
                <w:color w:val="105C84"/>
                <w:sz w:val="18"/>
              </w:rPr>
              <w:t>on</w:t>
            </w:r>
            <w:r>
              <w:rPr>
                <w:color w:val="105C84"/>
                <w:spacing w:val="-6"/>
                <w:sz w:val="18"/>
              </w:rPr>
              <w:t> </w:t>
            </w:r>
            <w:r>
              <w:rPr>
                <w:color w:val="105C84"/>
                <w:sz w:val="18"/>
              </w:rPr>
              <w:t>community</w:t>
            </w:r>
          </w:p>
          <w:p>
            <w:pPr>
              <w:pStyle w:val="TableParagraph"/>
              <w:spacing w:line="232" w:lineRule="auto" w:before="88"/>
              <w:ind w:left="85" w:right="159"/>
              <w:rPr>
                <w:sz w:val="18"/>
              </w:rPr>
            </w:pPr>
            <w:r>
              <w:rPr>
                <w:color w:val="105C84"/>
                <w:sz w:val="18"/>
              </w:rPr>
              <w:t>Discuss with community partners</w:t>
            </w:r>
            <w:r>
              <w:rPr>
                <w:color w:val="105C84"/>
                <w:spacing w:val="-15"/>
                <w:sz w:val="18"/>
              </w:rPr>
              <w:t> </w:t>
            </w:r>
            <w:r>
              <w:rPr>
                <w:color w:val="105C84"/>
                <w:sz w:val="18"/>
              </w:rPr>
              <w:t>about</w:t>
            </w:r>
            <w:r>
              <w:rPr>
                <w:color w:val="105C84"/>
                <w:spacing w:val="-12"/>
                <w:sz w:val="18"/>
              </w:rPr>
              <w:t> </w:t>
            </w:r>
            <w:r>
              <w:rPr>
                <w:color w:val="105C84"/>
                <w:sz w:val="18"/>
              </w:rPr>
              <w:t>sustaining efforts with ACES </w:t>
            </w:r>
            <w:r>
              <w:rPr>
                <w:color w:val="105C84"/>
                <w:spacing w:val="-2"/>
                <w:sz w:val="18"/>
              </w:rPr>
              <w:t>intervention</w:t>
            </w:r>
          </w:p>
        </w:tc>
        <w:tc>
          <w:tcPr>
            <w:tcW w:w="1642" w:type="dxa"/>
          </w:tcPr>
          <w:p>
            <w:pPr>
              <w:pStyle w:val="TableParagraph"/>
              <w:spacing w:line="232" w:lineRule="auto" w:before="99"/>
              <w:ind w:left="85" w:right="56"/>
              <w:rPr>
                <w:sz w:val="18"/>
              </w:rPr>
            </w:pPr>
            <w:r>
              <w:rPr>
                <w:color w:val="105C84"/>
                <w:spacing w:val="-2"/>
                <w:sz w:val="18"/>
              </w:rPr>
              <w:t>Local </w:t>
            </w:r>
            <w:r>
              <w:rPr>
                <w:color w:val="105C84"/>
                <w:sz w:val="18"/>
              </w:rPr>
              <w:t>governmental</w:t>
            </w:r>
            <w:r>
              <w:rPr>
                <w:color w:val="105C84"/>
                <w:spacing w:val="-9"/>
                <w:sz w:val="18"/>
              </w:rPr>
              <w:t> </w:t>
            </w:r>
            <w:r>
              <w:rPr>
                <w:color w:val="105C84"/>
                <w:sz w:val="18"/>
              </w:rPr>
              <w:t>unit</w:t>
            </w:r>
          </w:p>
        </w:tc>
        <w:tc>
          <w:tcPr>
            <w:tcW w:w="1551" w:type="dxa"/>
          </w:tcPr>
          <w:p>
            <w:pPr>
              <w:pStyle w:val="TableParagraph"/>
              <w:spacing w:line="232" w:lineRule="auto" w:before="99"/>
              <w:ind w:left="84" w:right="79"/>
              <w:rPr>
                <w:sz w:val="18"/>
              </w:rPr>
            </w:pPr>
            <w:r>
              <w:rPr>
                <w:color w:val="105C84"/>
                <w:sz w:val="18"/>
              </w:rPr>
              <w:t>Mental Health Clinic</w:t>
            </w:r>
            <w:r>
              <w:rPr>
                <w:color w:val="105C84"/>
                <w:spacing w:val="-13"/>
                <w:sz w:val="18"/>
              </w:rPr>
              <w:t> </w:t>
            </w:r>
            <w:r>
              <w:rPr>
                <w:color w:val="105C84"/>
                <w:sz w:val="18"/>
              </w:rPr>
              <w:t>2%</w:t>
            </w:r>
            <w:r>
              <w:rPr>
                <w:color w:val="105C84"/>
                <w:spacing w:val="-12"/>
                <w:sz w:val="18"/>
              </w:rPr>
              <w:t> </w:t>
            </w:r>
            <w:r>
              <w:rPr>
                <w:color w:val="105C84"/>
                <w:sz w:val="18"/>
              </w:rPr>
              <w:t>of</w:t>
            </w:r>
            <w:r>
              <w:rPr>
                <w:color w:val="105C84"/>
                <w:spacing w:val="-13"/>
                <w:sz w:val="18"/>
              </w:rPr>
              <w:t> </w:t>
            </w:r>
            <w:r>
              <w:rPr>
                <w:color w:val="105C84"/>
                <w:sz w:val="18"/>
              </w:rPr>
              <w:t>FTE of</w:t>
            </w:r>
            <w:r>
              <w:rPr>
                <w:color w:val="105C84"/>
                <w:spacing w:val="-5"/>
                <w:sz w:val="18"/>
              </w:rPr>
              <w:t> </w:t>
            </w:r>
            <w:r>
              <w:rPr>
                <w:color w:val="105C84"/>
                <w:sz w:val="18"/>
              </w:rPr>
              <w:t>Mental</w:t>
            </w:r>
            <w:r>
              <w:rPr>
                <w:color w:val="105C84"/>
                <w:spacing w:val="-5"/>
                <w:sz w:val="18"/>
              </w:rPr>
              <w:t> </w:t>
            </w:r>
            <w:r>
              <w:rPr>
                <w:color w:val="105C84"/>
                <w:sz w:val="18"/>
              </w:rPr>
              <w:t>Health </w:t>
            </w:r>
            <w:r>
              <w:rPr>
                <w:color w:val="105C84"/>
                <w:spacing w:val="-2"/>
                <w:sz w:val="18"/>
              </w:rPr>
              <w:t>Clinic.</w:t>
            </w:r>
          </w:p>
        </w:tc>
      </w:tr>
      <w:tr>
        <w:trPr>
          <w:trHeight w:val="3020" w:hRule="atLeast"/>
        </w:trPr>
        <w:tc>
          <w:tcPr>
            <w:tcW w:w="1526" w:type="dxa"/>
            <w:vMerge/>
            <w:tcBorders>
              <w:top w:val="nil"/>
            </w:tcBorders>
            <w:shd w:val="clear" w:color="auto" w:fill="E6E7E8"/>
          </w:tcPr>
          <w:p>
            <w:pPr>
              <w:rPr>
                <w:sz w:val="2"/>
                <w:szCs w:val="2"/>
              </w:rPr>
            </w:pPr>
          </w:p>
        </w:tc>
        <w:tc>
          <w:tcPr>
            <w:tcW w:w="1469" w:type="dxa"/>
            <w:vMerge/>
            <w:tcBorders>
              <w:top w:val="nil"/>
            </w:tcBorders>
          </w:tcPr>
          <w:p>
            <w:pPr>
              <w:rPr>
                <w:sz w:val="2"/>
                <w:szCs w:val="2"/>
              </w:rPr>
            </w:pPr>
          </w:p>
        </w:tc>
        <w:tc>
          <w:tcPr>
            <w:tcW w:w="1246" w:type="dxa"/>
            <w:vMerge/>
            <w:tcBorders>
              <w:top w:val="nil"/>
            </w:tcBorders>
          </w:tcPr>
          <w:p>
            <w:pPr>
              <w:rPr>
                <w:sz w:val="2"/>
                <w:szCs w:val="2"/>
              </w:rPr>
            </w:pPr>
          </w:p>
        </w:tc>
        <w:tc>
          <w:tcPr>
            <w:tcW w:w="2096" w:type="dxa"/>
            <w:vMerge/>
            <w:tcBorders>
              <w:top w:val="nil"/>
            </w:tcBorders>
          </w:tcPr>
          <w:p>
            <w:pPr>
              <w:rPr>
                <w:sz w:val="2"/>
                <w:szCs w:val="2"/>
              </w:rPr>
            </w:pPr>
          </w:p>
        </w:tc>
        <w:tc>
          <w:tcPr>
            <w:tcW w:w="2341" w:type="dxa"/>
            <w:vMerge/>
            <w:tcBorders>
              <w:top w:val="nil"/>
            </w:tcBorders>
          </w:tcPr>
          <w:p>
            <w:pPr>
              <w:rPr>
                <w:sz w:val="2"/>
                <w:szCs w:val="2"/>
              </w:rPr>
            </w:pPr>
          </w:p>
        </w:tc>
        <w:tc>
          <w:tcPr>
            <w:tcW w:w="2481" w:type="dxa"/>
            <w:vMerge/>
            <w:tcBorders>
              <w:top w:val="nil"/>
              <w:right w:val="nil"/>
            </w:tcBorders>
          </w:tcPr>
          <w:p>
            <w:pPr>
              <w:rPr>
                <w:sz w:val="2"/>
                <w:szCs w:val="2"/>
              </w:rPr>
            </w:pPr>
          </w:p>
        </w:tc>
        <w:tc>
          <w:tcPr>
            <w:tcW w:w="3014" w:type="dxa"/>
            <w:tcBorders>
              <w:left w:val="nil"/>
            </w:tcBorders>
          </w:tcPr>
          <w:p>
            <w:pPr>
              <w:pStyle w:val="TableParagraph"/>
              <w:spacing w:line="232" w:lineRule="auto" w:before="99"/>
              <w:ind w:left="1082" w:right="55"/>
              <w:rPr>
                <w:sz w:val="18"/>
              </w:rPr>
            </w:pPr>
            <w:r>
              <w:rPr>
                <w:color w:val="105C84"/>
                <w:sz w:val="18"/>
              </w:rPr>
              <w:t>Use existing protocols to maintain patient </w:t>
            </w:r>
            <w:r>
              <w:rPr>
                <w:color w:val="105C84"/>
                <w:spacing w:val="-2"/>
                <w:sz w:val="18"/>
              </w:rPr>
              <w:t>privacy</w:t>
            </w:r>
            <w:r>
              <w:rPr>
                <w:color w:val="105C84"/>
                <w:spacing w:val="-9"/>
                <w:sz w:val="18"/>
              </w:rPr>
              <w:t> </w:t>
            </w:r>
            <w:r>
              <w:rPr>
                <w:color w:val="105C84"/>
                <w:spacing w:val="-2"/>
                <w:sz w:val="18"/>
              </w:rPr>
              <w:t>in</w:t>
            </w:r>
            <w:r>
              <w:rPr>
                <w:color w:val="105C84"/>
                <w:spacing w:val="-9"/>
                <w:sz w:val="18"/>
              </w:rPr>
              <w:t> </w:t>
            </w:r>
            <w:r>
              <w:rPr>
                <w:color w:val="105C84"/>
                <w:spacing w:val="-2"/>
                <w:sz w:val="18"/>
              </w:rPr>
              <w:t>waiting</w:t>
            </w:r>
            <w:r>
              <w:rPr>
                <w:color w:val="105C84"/>
                <w:spacing w:val="-9"/>
                <w:sz w:val="18"/>
              </w:rPr>
              <w:t> </w:t>
            </w:r>
            <w:r>
              <w:rPr>
                <w:color w:val="105C84"/>
                <w:spacing w:val="-2"/>
                <w:sz w:val="18"/>
              </w:rPr>
              <w:t>areas </w:t>
            </w:r>
            <w:r>
              <w:rPr>
                <w:color w:val="105C84"/>
                <w:sz w:val="18"/>
              </w:rPr>
              <w:t>and check-in</w:t>
            </w:r>
          </w:p>
        </w:tc>
        <w:tc>
          <w:tcPr>
            <w:tcW w:w="2391" w:type="dxa"/>
          </w:tcPr>
          <w:p>
            <w:pPr>
              <w:pStyle w:val="TableParagraph"/>
              <w:spacing w:line="232" w:lineRule="auto" w:before="99"/>
              <w:ind w:left="86" w:right="104"/>
              <w:rPr>
                <w:sz w:val="18"/>
              </w:rPr>
            </w:pPr>
            <w:r>
              <w:rPr>
                <w:color w:val="105C84"/>
                <w:sz w:val="18"/>
              </w:rPr>
              <w:t>Start</w:t>
            </w:r>
            <w:r>
              <w:rPr>
                <w:color w:val="105C84"/>
                <w:spacing w:val="-15"/>
                <w:sz w:val="18"/>
              </w:rPr>
              <w:t> </w:t>
            </w:r>
            <w:r>
              <w:rPr>
                <w:color w:val="105C84"/>
                <w:sz w:val="18"/>
              </w:rPr>
              <w:t>training</w:t>
            </w:r>
            <w:r>
              <w:rPr>
                <w:color w:val="105C84"/>
                <w:spacing w:val="-12"/>
                <w:sz w:val="18"/>
              </w:rPr>
              <w:t> </w:t>
            </w:r>
            <w:r>
              <w:rPr>
                <w:color w:val="105C84"/>
                <w:sz w:val="18"/>
              </w:rPr>
              <w:t>on</w:t>
            </w:r>
            <w:r>
              <w:rPr>
                <w:color w:val="105C84"/>
                <w:spacing w:val="-13"/>
                <w:sz w:val="18"/>
              </w:rPr>
              <w:t> </w:t>
            </w:r>
            <w:r>
              <w:rPr>
                <w:color w:val="105C84"/>
                <w:sz w:val="18"/>
              </w:rPr>
              <w:t>ACES</w:t>
            </w:r>
            <w:r>
              <w:rPr>
                <w:color w:val="105C84"/>
                <w:spacing w:val="-12"/>
                <w:sz w:val="18"/>
              </w:rPr>
              <w:t> </w:t>
            </w:r>
            <w:r>
              <w:rPr>
                <w:color w:val="105C84"/>
                <w:sz w:val="18"/>
              </w:rPr>
              <w:t>with primary care providers, hospital social work providers and emergency room providers</w:t>
            </w:r>
          </w:p>
          <w:p>
            <w:pPr>
              <w:pStyle w:val="TableParagraph"/>
              <w:spacing w:line="232" w:lineRule="auto" w:before="87"/>
              <w:ind w:left="86" w:right="371"/>
              <w:rPr>
                <w:sz w:val="18"/>
              </w:rPr>
            </w:pPr>
            <w:r>
              <w:rPr>
                <w:color w:val="105C84"/>
                <w:spacing w:val="-2"/>
                <w:sz w:val="18"/>
              </w:rPr>
              <w:t>Strengthen</w:t>
            </w:r>
            <w:r>
              <w:rPr>
                <w:color w:val="105C84"/>
                <w:spacing w:val="-8"/>
                <w:sz w:val="18"/>
              </w:rPr>
              <w:t> </w:t>
            </w:r>
            <w:r>
              <w:rPr>
                <w:color w:val="105C84"/>
                <w:spacing w:val="-2"/>
                <w:sz w:val="18"/>
              </w:rPr>
              <w:t>and</w:t>
            </w:r>
            <w:r>
              <w:rPr>
                <w:color w:val="105C84"/>
                <w:spacing w:val="-8"/>
                <w:sz w:val="18"/>
              </w:rPr>
              <w:t> </w:t>
            </w:r>
            <w:r>
              <w:rPr>
                <w:color w:val="105C84"/>
                <w:spacing w:val="-2"/>
                <w:sz w:val="18"/>
              </w:rPr>
              <w:t>increase </w:t>
            </w:r>
            <w:r>
              <w:rPr>
                <w:color w:val="105C84"/>
                <w:sz w:val="18"/>
              </w:rPr>
              <w:t>coordination of care</w:t>
            </w:r>
            <w:r>
              <w:rPr>
                <w:color w:val="105C84"/>
                <w:spacing w:val="40"/>
                <w:sz w:val="18"/>
              </w:rPr>
              <w:t> </w:t>
            </w:r>
            <w:r>
              <w:rPr>
                <w:color w:val="105C84"/>
                <w:sz w:val="18"/>
              </w:rPr>
              <w:t>with</w:t>
            </w:r>
            <w:r>
              <w:rPr>
                <w:color w:val="105C84"/>
                <w:spacing w:val="-3"/>
                <w:sz w:val="18"/>
              </w:rPr>
              <w:t> </w:t>
            </w:r>
            <w:r>
              <w:rPr>
                <w:color w:val="105C84"/>
                <w:sz w:val="18"/>
              </w:rPr>
              <w:t>referral</w:t>
            </w:r>
            <w:r>
              <w:rPr>
                <w:color w:val="105C84"/>
                <w:spacing w:val="-3"/>
                <w:sz w:val="18"/>
              </w:rPr>
              <w:t> </w:t>
            </w:r>
            <w:r>
              <w:rPr>
                <w:color w:val="105C84"/>
                <w:sz w:val="18"/>
              </w:rPr>
              <w:t>services</w:t>
            </w:r>
            <w:r>
              <w:rPr>
                <w:color w:val="105C84"/>
                <w:spacing w:val="-3"/>
                <w:sz w:val="18"/>
              </w:rPr>
              <w:t> </w:t>
            </w:r>
            <w:r>
              <w:rPr>
                <w:color w:val="105C84"/>
                <w:sz w:val="18"/>
              </w:rPr>
              <w:t>for behavioral health</w:t>
            </w:r>
          </w:p>
          <w:p>
            <w:pPr>
              <w:pStyle w:val="TableParagraph"/>
              <w:spacing w:line="232" w:lineRule="auto" w:before="86"/>
              <w:ind w:left="86" w:right="104" w:firstLine="46"/>
              <w:rPr>
                <w:sz w:val="18"/>
              </w:rPr>
            </w:pPr>
            <w:r>
              <w:rPr>
                <w:color w:val="105C84"/>
                <w:sz w:val="18"/>
              </w:rPr>
              <w:t>Develop policies and procedures for </w:t>
            </w:r>
            <w:r>
              <w:rPr>
                <w:color w:val="105C84"/>
                <w:sz w:val="18"/>
              </w:rPr>
              <w:t>integrating trauma informed approaches</w:t>
            </w:r>
            <w:r>
              <w:rPr>
                <w:color w:val="105C84"/>
                <w:spacing w:val="-1"/>
                <w:sz w:val="18"/>
              </w:rPr>
              <w:t> </w:t>
            </w:r>
            <w:r>
              <w:rPr>
                <w:color w:val="105C84"/>
                <w:sz w:val="18"/>
              </w:rPr>
              <w:t>and</w:t>
            </w:r>
            <w:r>
              <w:rPr>
                <w:color w:val="105C84"/>
                <w:spacing w:val="-1"/>
                <w:sz w:val="18"/>
              </w:rPr>
              <w:t> </w:t>
            </w:r>
            <w:r>
              <w:rPr>
                <w:color w:val="105C84"/>
                <w:sz w:val="18"/>
              </w:rPr>
              <w:t>follow-up</w:t>
            </w:r>
          </w:p>
        </w:tc>
        <w:tc>
          <w:tcPr>
            <w:tcW w:w="2535" w:type="dxa"/>
          </w:tcPr>
          <w:p>
            <w:pPr>
              <w:pStyle w:val="TableParagraph"/>
              <w:spacing w:line="232" w:lineRule="auto" w:before="99"/>
              <w:ind w:left="85" w:right="88"/>
              <w:rPr>
                <w:sz w:val="18"/>
              </w:rPr>
            </w:pPr>
            <w:r>
              <w:rPr>
                <w:color w:val="105C84"/>
                <w:sz w:val="18"/>
              </w:rPr>
              <w:t>Integrate behavioral telehealth</w:t>
            </w:r>
            <w:r>
              <w:rPr>
                <w:color w:val="105C84"/>
                <w:spacing w:val="-15"/>
                <w:sz w:val="18"/>
              </w:rPr>
              <w:t> </w:t>
            </w:r>
            <w:r>
              <w:rPr>
                <w:color w:val="105C84"/>
                <w:sz w:val="18"/>
              </w:rPr>
              <w:t>services</w:t>
            </w:r>
            <w:r>
              <w:rPr>
                <w:color w:val="105C84"/>
                <w:spacing w:val="-12"/>
                <w:sz w:val="18"/>
              </w:rPr>
              <w:t> </w:t>
            </w:r>
            <w:r>
              <w:rPr>
                <w:color w:val="105C84"/>
                <w:sz w:val="18"/>
              </w:rPr>
              <w:t>with primary care</w:t>
            </w:r>
          </w:p>
          <w:p>
            <w:pPr>
              <w:pStyle w:val="TableParagraph"/>
              <w:spacing w:line="232" w:lineRule="auto" w:before="88"/>
              <w:ind w:left="85" w:right="278"/>
              <w:rPr>
                <w:sz w:val="18"/>
              </w:rPr>
            </w:pPr>
            <w:r>
              <w:rPr>
                <w:color w:val="105C84"/>
                <w:sz w:val="18"/>
              </w:rPr>
              <w:t>Implement updated</w:t>
            </w:r>
            <w:r>
              <w:rPr>
                <w:color w:val="105C84"/>
                <w:spacing w:val="40"/>
                <w:sz w:val="18"/>
              </w:rPr>
              <w:t> </w:t>
            </w:r>
            <w:r>
              <w:rPr>
                <w:color w:val="105C84"/>
                <w:sz w:val="18"/>
              </w:rPr>
              <w:t>policies</w:t>
            </w:r>
            <w:r>
              <w:rPr>
                <w:color w:val="105C84"/>
                <w:spacing w:val="-7"/>
                <w:sz w:val="18"/>
              </w:rPr>
              <w:t> </w:t>
            </w:r>
            <w:r>
              <w:rPr>
                <w:color w:val="105C84"/>
                <w:sz w:val="18"/>
              </w:rPr>
              <w:t>and</w:t>
            </w:r>
            <w:r>
              <w:rPr>
                <w:color w:val="105C84"/>
                <w:spacing w:val="-7"/>
                <w:sz w:val="18"/>
              </w:rPr>
              <w:t> </w:t>
            </w:r>
            <w:r>
              <w:rPr>
                <w:color w:val="105C84"/>
                <w:sz w:val="18"/>
              </w:rPr>
              <w:t>procedures</w:t>
            </w:r>
            <w:r>
              <w:rPr>
                <w:color w:val="105C84"/>
                <w:spacing w:val="-7"/>
                <w:sz w:val="18"/>
              </w:rPr>
              <w:t> </w:t>
            </w:r>
            <w:r>
              <w:rPr>
                <w:color w:val="105C84"/>
                <w:sz w:val="18"/>
              </w:rPr>
              <w:t>for</w:t>
            </w:r>
          </w:p>
          <w:p>
            <w:pPr>
              <w:pStyle w:val="TableParagraph"/>
              <w:spacing w:line="232" w:lineRule="auto"/>
              <w:ind w:left="85"/>
              <w:rPr>
                <w:sz w:val="18"/>
              </w:rPr>
            </w:pPr>
            <w:r>
              <w:rPr>
                <w:color w:val="105C84"/>
                <w:sz w:val="18"/>
              </w:rPr>
              <w:t>integrating trauma-</w:t>
            </w:r>
            <w:r>
              <w:rPr>
                <w:color w:val="105C84"/>
                <w:sz w:val="18"/>
              </w:rPr>
              <w:t>informed approaches and follow-up</w:t>
            </w:r>
          </w:p>
          <w:p>
            <w:pPr>
              <w:pStyle w:val="TableParagraph"/>
              <w:spacing w:line="232" w:lineRule="auto" w:before="87"/>
              <w:ind w:left="85" w:right="83"/>
              <w:rPr>
                <w:sz w:val="18"/>
              </w:rPr>
            </w:pPr>
            <w:r>
              <w:rPr>
                <w:color w:val="105C84"/>
                <w:sz w:val="18"/>
              </w:rPr>
              <w:t>Look at integrating</w:t>
            </w:r>
            <w:r>
              <w:rPr>
                <w:color w:val="105C84"/>
                <w:spacing w:val="40"/>
                <w:sz w:val="18"/>
              </w:rPr>
              <w:t> </w:t>
            </w:r>
            <w:r>
              <w:rPr>
                <w:color w:val="105C84"/>
                <w:sz w:val="18"/>
              </w:rPr>
              <w:t>behavioral</w:t>
            </w:r>
            <w:r>
              <w:rPr>
                <w:color w:val="105C84"/>
                <w:spacing w:val="-15"/>
                <w:sz w:val="18"/>
              </w:rPr>
              <w:t> </w:t>
            </w:r>
            <w:r>
              <w:rPr>
                <w:color w:val="105C84"/>
                <w:sz w:val="18"/>
              </w:rPr>
              <w:t>telehealth</w:t>
            </w:r>
            <w:r>
              <w:rPr>
                <w:color w:val="105C84"/>
                <w:spacing w:val="-12"/>
                <w:sz w:val="18"/>
              </w:rPr>
              <w:t> </w:t>
            </w:r>
            <w:r>
              <w:rPr>
                <w:color w:val="105C84"/>
                <w:sz w:val="18"/>
              </w:rPr>
              <w:t>services with Emergency Department</w:t>
            </w:r>
          </w:p>
        </w:tc>
        <w:tc>
          <w:tcPr>
            <w:tcW w:w="1642" w:type="dxa"/>
          </w:tcPr>
          <w:p>
            <w:pPr>
              <w:pStyle w:val="TableParagraph"/>
              <w:spacing w:before="94"/>
              <w:ind w:left="85"/>
              <w:rPr>
                <w:sz w:val="18"/>
              </w:rPr>
            </w:pPr>
            <w:r>
              <w:rPr>
                <w:color w:val="105C84"/>
                <w:spacing w:val="-2"/>
                <w:sz w:val="18"/>
              </w:rPr>
              <w:t>Hospital</w:t>
            </w:r>
          </w:p>
        </w:tc>
        <w:tc>
          <w:tcPr>
            <w:tcW w:w="1551" w:type="dxa"/>
          </w:tcPr>
          <w:p>
            <w:pPr>
              <w:pStyle w:val="TableParagraph"/>
              <w:spacing w:line="203" w:lineRule="exact" w:before="94"/>
              <w:ind w:left="84"/>
              <w:rPr>
                <w:sz w:val="18"/>
              </w:rPr>
            </w:pPr>
            <w:r>
              <w:rPr>
                <w:color w:val="105C84"/>
                <w:sz w:val="18"/>
              </w:rPr>
              <w:t>2%</w:t>
            </w:r>
            <w:r>
              <w:rPr>
                <w:color w:val="105C84"/>
                <w:spacing w:val="-10"/>
                <w:sz w:val="18"/>
              </w:rPr>
              <w:t> </w:t>
            </w:r>
            <w:r>
              <w:rPr>
                <w:color w:val="105C84"/>
                <w:sz w:val="18"/>
              </w:rPr>
              <w:t>of</w:t>
            </w:r>
            <w:r>
              <w:rPr>
                <w:color w:val="105C84"/>
                <w:spacing w:val="-10"/>
                <w:sz w:val="18"/>
              </w:rPr>
              <w:t> </w:t>
            </w:r>
            <w:r>
              <w:rPr>
                <w:color w:val="105C84"/>
                <w:spacing w:val="-5"/>
                <w:sz w:val="18"/>
              </w:rPr>
              <w:t>FTE</w:t>
            </w:r>
          </w:p>
          <w:p>
            <w:pPr>
              <w:pStyle w:val="TableParagraph"/>
              <w:spacing w:line="232" w:lineRule="auto" w:before="2"/>
              <w:ind w:left="84" w:right="135"/>
              <w:rPr>
                <w:sz w:val="18"/>
              </w:rPr>
            </w:pPr>
            <w:r>
              <w:rPr>
                <w:color w:val="105C84"/>
                <w:spacing w:val="-4"/>
                <w:sz w:val="18"/>
              </w:rPr>
              <w:t>Schuyler</w:t>
            </w:r>
            <w:r>
              <w:rPr>
                <w:color w:val="105C84"/>
                <w:spacing w:val="-9"/>
                <w:sz w:val="18"/>
              </w:rPr>
              <w:t> </w:t>
            </w:r>
            <w:r>
              <w:rPr>
                <w:color w:val="105C84"/>
                <w:spacing w:val="-4"/>
                <w:sz w:val="18"/>
              </w:rPr>
              <w:t>Primary </w:t>
            </w:r>
            <w:r>
              <w:rPr>
                <w:color w:val="105C84"/>
                <w:sz w:val="18"/>
              </w:rPr>
              <w:t>Care Center,</w:t>
            </w:r>
          </w:p>
          <w:p>
            <w:pPr>
              <w:pStyle w:val="TableParagraph"/>
              <w:spacing w:line="197" w:lineRule="exact"/>
              <w:ind w:left="84"/>
              <w:rPr>
                <w:sz w:val="18"/>
              </w:rPr>
            </w:pPr>
            <w:r>
              <w:rPr>
                <w:color w:val="105C84"/>
                <w:sz w:val="18"/>
              </w:rPr>
              <w:t>2%</w:t>
            </w:r>
            <w:r>
              <w:rPr>
                <w:color w:val="105C84"/>
                <w:spacing w:val="-10"/>
                <w:sz w:val="18"/>
              </w:rPr>
              <w:t> </w:t>
            </w:r>
            <w:r>
              <w:rPr>
                <w:color w:val="105C84"/>
                <w:sz w:val="18"/>
              </w:rPr>
              <w:t>of</w:t>
            </w:r>
            <w:r>
              <w:rPr>
                <w:color w:val="105C84"/>
                <w:spacing w:val="-10"/>
                <w:sz w:val="18"/>
              </w:rPr>
              <w:t> </w:t>
            </w:r>
            <w:r>
              <w:rPr>
                <w:color w:val="105C84"/>
                <w:spacing w:val="-5"/>
                <w:sz w:val="18"/>
              </w:rPr>
              <w:t>FTE</w:t>
            </w:r>
          </w:p>
          <w:p>
            <w:pPr>
              <w:pStyle w:val="TableParagraph"/>
              <w:spacing w:line="232" w:lineRule="auto" w:before="1"/>
              <w:ind w:left="84" w:right="506"/>
              <w:rPr>
                <w:sz w:val="18"/>
              </w:rPr>
            </w:pPr>
            <w:r>
              <w:rPr>
                <w:color w:val="105C84"/>
                <w:spacing w:val="-2"/>
                <w:sz w:val="18"/>
              </w:rPr>
              <w:t>for</w:t>
            </w:r>
            <w:r>
              <w:rPr>
                <w:color w:val="105C84"/>
                <w:spacing w:val="-11"/>
                <w:sz w:val="18"/>
              </w:rPr>
              <w:t> </w:t>
            </w:r>
            <w:r>
              <w:rPr>
                <w:color w:val="105C84"/>
                <w:spacing w:val="-2"/>
                <w:sz w:val="18"/>
              </w:rPr>
              <w:t>Schuyler </w:t>
            </w:r>
            <w:r>
              <w:rPr>
                <w:color w:val="105C84"/>
                <w:sz w:val="18"/>
              </w:rPr>
              <w:t>Hospital</w:t>
            </w:r>
            <w:r>
              <w:rPr>
                <w:color w:val="105C84"/>
                <w:spacing w:val="2"/>
                <w:sz w:val="18"/>
              </w:rPr>
              <w:t> </w:t>
            </w:r>
            <w:r>
              <w:rPr>
                <w:color w:val="105C84"/>
                <w:spacing w:val="-11"/>
                <w:sz w:val="18"/>
              </w:rPr>
              <w:t>ER</w:t>
            </w:r>
          </w:p>
        </w:tc>
      </w:tr>
      <w:tr>
        <w:trPr>
          <w:trHeight w:val="2240" w:hRule="atLeast"/>
        </w:trPr>
        <w:tc>
          <w:tcPr>
            <w:tcW w:w="1526" w:type="dxa"/>
            <w:vMerge/>
            <w:tcBorders>
              <w:top w:val="nil"/>
            </w:tcBorders>
            <w:shd w:val="clear" w:color="auto" w:fill="E6E7E8"/>
          </w:tcPr>
          <w:p>
            <w:pPr>
              <w:rPr>
                <w:sz w:val="2"/>
                <w:szCs w:val="2"/>
              </w:rPr>
            </w:pPr>
          </w:p>
        </w:tc>
        <w:tc>
          <w:tcPr>
            <w:tcW w:w="1469" w:type="dxa"/>
            <w:vMerge/>
            <w:tcBorders>
              <w:top w:val="nil"/>
            </w:tcBorders>
          </w:tcPr>
          <w:p>
            <w:pPr>
              <w:rPr>
                <w:sz w:val="2"/>
                <w:szCs w:val="2"/>
              </w:rPr>
            </w:pPr>
          </w:p>
        </w:tc>
        <w:tc>
          <w:tcPr>
            <w:tcW w:w="1246" w:type="dxa"/>
            <w:vMerge/>
            <w:tcBorders>
              <w:top w:val="nil"/>
            </w:tcBorders>
          </w:tcPr>
          <w:p>
            <w:pPr>
              <w:rPr>
                <w:sz w:val="2"/>
                <w:szCs w:val="2"/>
              </w:rPr>
            </w:pPr>
          </w:p>
        </w:tc>
        <w:tc>
          <w:tcPr>
            <w:tcW w:w="2096" w:type="dxa"/>
            <w:vMerge/>
            <w:tcBorders>
              <w:top w:val="nil"/>
            </w:tcBorders>
          </w:tcPr>
          <w:p>
            <w:pPr>
              <w:rPr>
                <w:sz w:val="2"/>
                <w:szCs w:val="2"/>
              </w:rPr>
            </w:pPr>
          </w:p>
        </w:tc>
        <w:tc>
          <w:tcPr>
            <w:tcW w:w="2341" w:type="dxa"/>
            <w:vMerge/>
            <w:tcBorders>
              <w:top w:val="nil"/>
            </w:tcBorders>
          </w:tcPr>
          <w:p>
            <w:pPr>
              <w:rPr>
                <w:sz w:val="2"/>
                <w:szCs w:val="2"/>
              </w:rPr>
            </w:pPr>
          </w:p>
        </w:tc>
        <w:tc>
          <w:tcPr>
            <w:tcW w:w="2481" w:type="dxa"/>
            <w:vMerge/>
            <w:tcBorders>
              <w:top w:val="nil"/>
              <w:right w:val="nil"/>
            </w:tcBorders>
          </w:tcPr>
          <w:p>
            <w:pPr>
              <w:rPr>
                <w:sz w:val="2"/>
                <w:szCs w:val="2"/>
              </w:rPr>
            </w:pPr>
          </w:p>
        </w:tc>
        <w:tc>
          <w:tcPr>
            <w:tcW w:w="3014" w:type="dxa"/>
            <w:tcBorders>
              <w:left w:val="nil"/>
            </w:tcBorders>
          </w:tcPr>
          <w:p>
            <w:pPr>
              <w:pStyle w:val="TableParagraph"/>
              <w:spacing w:line="232" w:lineRule="auto" w:before="99"/>
              <w:ind w:left="1082" w:right="55"/>
              <w:rPr>
                <w:sz w:val="18"/>
              </w:rPr>
            </w:pPr>
            <w:r>
              <w:rPr>
                <w:color w:val="105C84"/>
                <w:sz w:val="18"/>
              </w:rPr>
              <w:t>Identify</w:t>
            </w:r>
            <w:r>
              <w:rPr>
                <w:color w:val="105C84"/>
                <w:spacing w:val="-6"/>
                <w:sz w:val="18"/>
              </w:rPr>
              <w:t> </w:t>
            </w:r>
            <w:r>
              <w:rPr>
                <w:color w:val="105C84"/>
                <w:sz w:val="18"/>
              </w:rPr>
              <w:t>training</w:t>
            </w:r>
            <w:r>
              <w:rPr>
                <w:color w:val="105C84"/>
                <w:spacing w:val="-6"/>
                <w:sz w:val="18"/>
              </w:rPr>
              <w:t> </w:t>
            </w:r>
            <w:r>
              <w:rPr>
                <w:color w:val="105C84"/>
                <w:sz w:val="18"/>
              </w:rPr>
              <w:t>needs for Public Health staff on trauma informed care and ACES</w:t>
            </w:r>
          </w:p>
        </w:tc>
        <w:tc>
          <w:tcPr>
            <w:tcW w:w="2391" w:type="dxa"/>
          </w:tcPr>
          <w:p>
            <w:pPr>
              <w:pStyle w:val="TableParagraph"/>
              <w:spacing w:line="232" w:lineRule="auto" w:before="99"/>
              <w:ind w:left="86" w:right="104"/>
              <w:rPr>
                <w:sz w:val="18"/>
              </w:rPr>
            </w:pPr>
            <w:r>
              <w:rPr>
                <w:color w:val="105C84"/>
                <w:sz w:val="18"/>
              </w:rPr>
              <w:t>Start</w:t>
            </w:r>
            <w:r>
              <w:rPr>
                <w:color w:val="105C84"/>
                <w:spacing w:val="-15"/>
                <w:sz w:val="18"/>
              </w:rPr>
              <w:t> </w:t>
            </w:r>
            <w:r>
              <w:rPr>
                <w:color w:val="105C84"/>
                <w:sz w:val="18"/>
              </w:rPr>
              <w:t>training</w:t>
            </w:r>
            <w:r>
              <w:rPr>
                <w:color w:val="105C84"/>
                <w:spacing w:val="-12"/>
                <w:sz w:val="18"/>
              </w:rPr>
              <w:t> </w:t>
            </w:r>
            <w:r>
              <w:rPr>
                <w:color w:val="105C84"/>
                <w:sz w:val="18"/>
              </w:rPr>
              <w:t>for</w:t>
            </w:r>
            <w:r>
              <w:rPr>
                <w:color w:val="105C84"/>
                <w:spacing w:val="-13"/>
                <w:sz w:val="18"/>
              </w:rPr>
              <w:t> </w:t>
            </w:r>
            <w:r>
              <w:rPr>
                <w:color w:val="105C84"/>
                <w:sz w:val="18"/>
              </w:rPr>
              <w:t>ACES</w:t>
            </w:r>
            <w:r>
              <w:rPr>
                <w:color w:val="105C84"/>
                <w:spacing w:val="-12"/>
                <w:sz w:val="18"/>
              </w:rPr>
              <w:t> </w:t>
            </w:r>
            <w:r>
              <w:rPr>
                <w:color w:val="105C84"/>
                <w:sz w:val="18"/>
              </w:rPr>
              <w:t>and trauma informed care</w:t>
            </w:r>
          </w:p>
          <w:p>
            <w:pPr>
              <w:pStyle w:val="TableParagraph"/>
              <w:spacing w:line="232" w:lineRule="auto" w:before="88"/>
              <w:ind w:left="86" w:right="29"/>
              <w:rPr>
                <w:sz w:val="18"/>
              </w:rPr>
            </w:pPr>
            <w:r>
              <w:rPr>
                <w:color w:val="105C84"/>
                <w:sz w:val="18"/>
              </w:rPr>
              <w:t>Partner with and support Mental Health Clinic in discussion</w:t>
            </w:r>
            <w:r>
              <w:rPr>
                <w:color w:val="105C84"/>
                <w:spacing w:val="-15"/>
                <w:sz w:val="18"/>
              </w:rPr>
              <w:t> </w:t>
            </w:r>
            <w:r>
              <w:rPr>
                <w:color w:val="105C84"/>
                <w:sz w:val="18"/>
              </w:rPr>
              <w:t>with</w:t>
            </w:r>
            <w:r>
              <w:rPr>
                <w:color w:val="105C84"/>
                <w:spacing w:val="-12"/>
                <w:sz w:val="18"/>
              </w:rPr>
              <w:t> </w:t>
            </w:r>
            <w:r>
              <w:rPr>
                <w:color w:val="105C84"/>
                <w:sz w:val="18"/>
              </w:rPr>
              <w:t>government leaders and community on determining community readiness for ACES and trauma informed care</w:t>
            </w:r>
          </w:p>
        </w:tc>
        <w:tc>
          <w:tcPr>
            <w:tcW w:w="2535" w:type="dxa"/>
          </w:tcPr>
          <w:p>
            <w:pPr>
              <w:pStyle w:val="TableParagraph"/>
              <w:spacing w:line="232" w:lineRule="auto" w:before="99"/>
              <w:ind w:left="85"/>
              <w:rPr>
                <w:sz w:val="18"/>
              </w:rPr>
            </w:pPr>
            <w:r>
              <w:rPr>
                <w:color w:val="105C84"/>
                <w:sz w:val="18"/>
              </w:rPr>
              <w:t>Evaluate internal practices to determine whether they are aligned with trauma </w:t>
            </w:r>
            <w:r>
              <w:rPr>
                <w:color w:val="105C84"/>
                <w:sz w:val="18"/>
              </w:rPr>
              <w:t>informed approaches and ACES</w:t>
            </w:r>
          </w:p>
          <w:p>
            <w:pPr>
              <w:pStyle w:val="TableParagraph"/>
              <w:spacing w:line="232" w:lineRule="auto" w:before="87"/>
              <w:ind w:left="85"/>
              <w:rPr>
                <w:sz w:val="18"/>
              </w:rPr>
            </w:pPr>
            <w:r>
              <w:rPr>
                <w:color w:val="105C84"/>
                <w:sz w:val="18"/>
              </w:rPr>
              <w:t>Update</w:t>
            </w:r>
            <w:r>
              <w:rPr>
                <w:color w:val="105C84"/>
                <w:spacing w:val="-13"/>
                <w:sz w:val="18"/>
              </w:rPr>
              <w:t> </w:t>
            </w:r>
            <w:r>
              <w:rPr>
                <w:color w:val="105C84"/>
                <w:sz w:val="18"/>
              </w:rPr>
              <w:t>internal</w:t>
            </w:r>
            <w:r>
              <w:rPr>
                <w:color w:val="105C84"/>
                <w:spacing w:val="-12"/>
                <w:sz w:val="18"/>
              </w:rPr>
              <w:t> </w:t>
            </w:r>
            <w:r>
              <w:rPr>
                <w:color w:val="105C84"/>
                <w:sz w:val="18"/>
              </w:rPr>
              <w:t>practices</w:t>
            </w:r>
            <w:r>
              <w:rPr>
                <w:color w:val="105C84"/>
                <w:spacing w:val="-13"/>
                <w:sz w:val="18"/>
              </w:rPr>
              <w:t> </w:t>
            </w:r>
            <w:r>
              <w:rPr>
                <w:color w:val="105C84"/>
                <w:sz w:val="18"/>
              </w:rPr>
              <w:t>as </w:t>
            </w:r>
            <w:r>
              <w:rPr>
                <w:color w:val="105C84"/>
                <w:spacing w:val="-2"/>
                <w:sz w:val="18"/>
              </w:rPr>
              <w:t>necessary</w:t>
            </w:r>
          </w:p>
        </w:tc>
        <w:tc>
          <w:tcPr>
            <w:tcW w:w="1642" w:type="dxa"/>
          </w:tcPr>
          <w:p>
            <w:pPr>
              <w:pStyle w:val="TableParagraph"/>
              <w:spacing w:line="232" w:lineRule="auto" w:before="99"/>
              <w:ind w:left="85"/>
              <w:rPr>
                <w:sz w:val="18"/>
              </w:rPr>
            </w:pPr>
            <w:r>
              <w:rPr>
                <w:color w:val="105C84"/>
                <w:spacing w:val="-2"/>
                <w:sz w:val="18"/>
              </w:rPr>
              <w:t>Local</w:t>
            </w:r>
            <w:r>
              <w:rPr>
                <w:color w:val="105C84"/>
                <w:spacing w:val="-11"/>
                <w:sz w:val="18"/>
              </w:rPr>
              <w:t> </w:t>
            </w:r>
            <w:r>
              <w:rPr>
                <w:color w:val="105C84"/>
                <w:spacing w:val="-2"/>
                <w:sz w:val="18"/>
              </w:rPr>
              <w:t>Health Department</w:t>
            </w:r>
          </w:p>
        </w:tc>
        <w:tc>
          <w:tcPr>
            <w:tcW w:w="1551" w:type="dxa"/>
          </w:tcPr>
          <w:p>
            <w:pPr>
              <w:pStyle w:val="TableParagraph"/>
              <w:spacing w:line="232" w:lineRule="auto" w:before="99"/>
              <w:ind w:left="84" w:right="79"/>
              <w:rPr>
                <w:sz w:val="18"/>
              </w:rPr>
            </w:pPr>
            <w:r>
              <w:rPr>
                <w:color w:val="105C84"/>
                <w:sz w:val="18"/>
              </w:rPr>
              <w:t>2% FTE Public Health</w:t>
            </w:r>
            <w:r>
              <w:rPr>
                <w:color w:val="105C84"/>
                <w:spacing w:val="-13"/>
                <w:sz w:val="18"/>
              </w:rPr>
              <w:t> </w:t>
            </w:r>
            <w:r>
              <w:rPr>
                <w:color w:val="105C84"/>
                <w:sz w:val="18"/>
              </w:rPr>
              <w:t>Employee</w:t>
            </w:r>
          </w:p>
        </w:tc>
      </w:tr>
    </w:tbl>
    <w:p>
      <w:pPr>
        <w:pStyle w:val="BodyText"/>
        <w:spacing w:before="285"/>
        <w:rPr>
          <w:b/>
          <w:sz w:val="26"/>
        </w:rPr>
      </w:pPr>
    </w:p>
    <w:p>
      <w:pPr>
        <w:tabs>
          <w:tab w:pos="23047" w:val="left" w:leader="none"/>
        </w:tabs>
        <w:spacing w:before="1"/>
        <w:ind w:left="0" w:right="0" w:firstLine="0"/>
        <w:jc w:val="left"/>
        <w:rPr>
          <w:b/>
          <w:sz w:val="26"/>
        </w:rPr>
      </w:pPr>
      <w:r>
        <w:rPr>
          <w:position w:val="-4"/>
        </w:rPr>
        <w:drawing>
          <wp:inline distT="0" distB="0" distL="0" distR="0">
            <wp:extent cx="568172" cy="184683"/>
            <wp:effectExtent l="0" t="0" r="0" b="0"/>
            <wp:docPr id="1881" name="Image 1881"/>
            <wp:cNvGraphicFramePr>
              <a:graphicFrameLocks/>
            </wp:cNvGraphicFramePr>
            <a:graphic>
              <a:graphicData uri="http://schemas.openxmlformats.org/drawingml/2006/picture">
                <pic:pic>
                  <pic:nvPicPr>
                    <pic:cNvPr id="1881" name="Image 1881"/>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13"/>
          <w:sz w:val="20"/>
        </w:rPr>
        <w:t> </w:t>
      </w:r>
      <w:r>
        <w:rPr>
          <w:b/>
          <w:color w:val="939598"/>
          <w:w w:val="105"/>
          <w:sz w:val="26"/>
        </w:rPr>
        <w:t>167</w:t>
      </w:r>
      <w:r>
        <w:rPr>
          <w:b/>
          <w:color w:val="939598"/>
          <w:sz w:val="26"/>
        </w:rPr>
        <w:tab/>
      </w:r>
      <w:r>
        <w:rPr>
          <w:b/>
          <w:color w:val="939598"/>
          <w:spacing w:val="-5"/>
          <w:w w:val="105"/>
          <w:sz w:val="26"/>
        </w:rPr>
        <w:t>168</w:t>
      </w:r>
    </w:p>
    <w:p>
      <w:pPr>
        <w:spacing w:after="0"/>
        <w:jc w:val="left"/>
        <w:rPr>
          <w:b/>
          <w:sz w:val="26"/>
        </w:rPr>
        <w:sectPr>
          <w:pgSz w:w="24480" w:h="15840" w:orient="landscape"/>
          <w:pgMar w:header="0" w:footer="0" w:top="860" w:bottom="0" w:left="0" w:right="720"/>
        </w:sectPr>
      </w:pPr>
    </w:p>
    <w:p>
      <w:pPr>
        <w:spacing w:before="607"/>
        <w:ind w:left="1089" w:right="0" w:firstLine="0"/>
        <w:jc w:val="left"/>
        <w:rPr>
          <w:sz w:val="54"/>
        </w:rPr>
      </w:pPr>
      <w:r>
        <w:rPr>
          <w:sz w:val="54"/>
        </w:rPr>
        <w:drawing>
          <wp:anchor distT="0" distB="0" distL="0" distR="0" allowOverlap="1" layoutInCell="1" locked="0" behindDoc="0" simplePos="0" relativeHeight="15974912">
            <wp:simplePos x="0" y="0"/>
            <wp:positionH relativeFrom="page">
              <wp:posOffset>14981556</wp:posOffset>
            </wp:positionH>
            <wp:positionV relativeFrom="page">
              <wp:posOffset>9668103</wp:posOffset>
            </wp:positionV>
            <wp:extent cx="563245" cy="184683"/>
            <wp:effectExtent l="0" t="0" r="0" b="0"/>
            <wp:wrapNone/>
            <wp:docPr id="1882" name="Image 1882"/>
            <wp:cNvGraphicFramePr>
              <a:graphicFrameLocks/>
            </wp:cNvGraphicFramePr>
            <a:graphic>
              <a:graphicData uri="http://schemas.openxmlformats.org/drawingml/2006/picture">
                <pic:pic>
                  <pic:nvPicPr>
                    <pic:cNvPr id="1882" name="Image 1882"/>
                    <pic:cNvPicPr/>
                  </pic:nvPicPr>
                  <pic:blipFill>
                    <a:blip r:embed="rId38" cstate="print"/>
                    <a:stretch>
                      <a:fillRect/>
                    </a:stretch>
                  </pic:blipFill>
                  <pic:spPr>
                    <a:xfrm>
                      <a:off x="0" y="0"/>
                      <a:ext cx="563245" cy="184683"/>
                    </a:xfrm>
                    <a:prstGeom prst="rect">
                      <a:avLst/>
                    </a:prstGeom>
                  </pic:spPr>
                </pic:pic>
              </a:graphicData>
            </a:graphic>
          </wp:anchor>
        </w:drawing>
      </w:r>
      <w:r>
        <w:rPr>
          <w:sz w:val="54"/>
        </w:rPr>
        <w:drawing>
          <wp:anchor distT="0" distB="0" distL="0" distR="0" allowOverlap="1" layoutInCell="1" locked="0" behindDoc="0" simplePos="0" relativeHeight="15975424">
            <wp:simplePos x="0" y="0"/>
            <wp:positionH relativeFrom="page">
              <wp:posOffset>13626703</wp:posOffset>
            </wp:positionH>
            <wp:positionV relativeFrom="paragraph">
              <wp:posOffset>365201</wp:posOffset>
            </wp:positionV>
            <wp:extent cx="1234098" cy="628989"/>
            <wp:effectExtent l="0" t="0" r="0" b="0"/>
            <wp:wrapNone/>
            <wp:docPr id="1883" name="Image 1883"/>
            <wp:cNvGraphicFramePr>
              <a:graphicFrameLocks/>
            </wp:cNvGraphicFramePr>
            <a:graphic>
              <a:graphicData uri="http://schemas.openxmlformats.org/drawingml/2006/picture">
                <pic:pic>
                  <pic:nvPicPr>
                    <pic:cNvPr id="1883" name="Image 1883"/>
                    <pic:cNvPicPr/>
                  </pic:nvPicPr>
                  <pic:blipFill>
                    <a:blip r:embed="rId254" cstate="print"/>
                    <a:stretch>
                      <a:fillRect/>
                    </a:stretch>
                  </pic:blipFill>
                  <pic:spPr>
                    <a:xfrm>
                      <a:off x="0" y="0"/>
                      <a:ext cx="1234098" cy="628989"/>
                    </a:xfrm>
                    <a:prstGeom prst="rect">
                      <a:avLst/>
                    </a:prstGeom>
                  </pic:spPr>
                </pic:pic>
              </a:graphicData>
            </a:graphic>
          </wp:anchor>
        </w:drawing>
      </w:r>
      <w:r>
        <w:rPr>
          <w:color w:val="636466"/>
          <w:sz w:val="54"/>
        </w:rPr>
        <w:t>Schuyler</w:t>
      </w:r>
      <w:r>
        <w:rPr>
          <w:color w:val="636466"/>
          <w:spacing w:val="40"/>
          <w:sz w:val="54"/>
        </w:rPr>
        <w:t> </w:t>
      </w:r>
      <w:r>
        <w:rPr>
          <w:color w:val="636466"/>
          <w:sz w:val="54"/>
        </w:rPr>
        <w:t>County</w:t>
      </w:r>
      <w:r>
        <w:rPr>
          <w:color w:val="636466"/>
          <w:spacing w:val="41"/>
          <w:sz w:val="54"/>
        </w:rPr>
        <w:t> </w:t>
      </w:r>
      <w:r>
        <w:rPr>
          <w:color w:val="636466"/>
          <w:sz w:val="54"/>
        </w:rPr>
        <w:t>Appendix</w:t>
      </w:r>
      <w:r>
        <w:rPr>
          <w:color w:val="636466"/>
          <w:spacing w:val="40"/>
          <w:sz w:val="54"/>
        </w:rPr>
        <w:t> </w:t>
      </w:r>
      <w:r>
        <w:rPr>
          <w:color w:val="636466"/>
          <w:spacing w:val="-10"/>
          <w:sz w:val="54"/>
        </w:rPr>
        <w:t>D</w:t>
      </w:r>
    </w:p>
    <w:p>
      <w:pPr>
        <w:spacing w:line="247" w:lineRule="auto" w:before="235"/>
        <w:ind w:left="1089" w:right="15045" w:firstLine="0"/>
        <w:jc w:val="left"/>
        <w:rPr>
          <w:b/>
          <w:sz w:val="32"/>
        </w:rPr>
      </w:pPr>
      <w:r>
        <w:rPr>
          <w:b/>
          <w:color w:val="82BF6A"/>
          <w:spacing w:val="-4"/>
          <w:sz w:val="32"/>
        </w:rPr>
        <w:t>PRIORITY:</w:t>
      </w:r>
      <w:r>
        <w:rPr>
          <w:b/>
          <w:color w:val="82BF6A"/>
          <w:spacing w:val="-19"/>
          <w:sz w:val="32"/>
        </w:rPr>
        <w:t> </w:t>
      </w:r>
      <w:r>
        <w:rPr>
          <w:b/>
          <w:color w:val="82BF6A"/>
          <w:spacing w:val="-4"/>
          <w:sz w:val="32"/>
        </w:rPr>
        <w:t>PROMOTE</w:t>
      </w:r>
      <w:r>
        <w:rPr>
          <w:b/>
          <w:color w:val="82BF6A"/>
          <w:spacing w:val="-18"/>
          <w:sz w:val="32"/>
        </w:rPr>
        <w:t> </w:t>
      </w:r>
      <w:r>
        <w:rPr>
          <w:b/>
          <w:color w:val="82BF6A"/>
          <w:spacing w:val="-4"/>
          <w:sz w:val="32"/>
        </w:rPr>
        <w:t>WELL-BEING</w:t>
      </w:r>
      <w:r>
        <w:rPr>
          <w:b/>
          <w:color w:val="82BF6A"/>
          <w:spacing w:val="-18"/>
          <w:sz w:val="32"/>
        </w:rPr>
        <w:t> </w:t>
      </w:r>
      <w:r>
        <w:rPr>
          <w:b/>
          <w:color w:val="82BF6A"/>
          <w:spacing w:val="-4"/>
          <w:sz w:val="32"/>
        </w:rPr>
        <w:t>AND</w:t>
      </w:r>
      <w:r>
        <w:rPr>
          <w:b/>
          <w:color w:val="82BF6A"/>
          <w:spacing w:val="-18"/>
          <w:sz w:val="32"/>
        </w:rPr>
        <w:t> </w:t>
      </w:r>
      <w:r>
        <w:rPr>
          <w:b/>
          <w:color w:val="82BF6A"/>
          <w:spacing w:val="-4"/>
          <w:sz w:val="32"/>
        </w:rPr>
        <w:t>PREVENT </w:t>
      </w:r>
      <w:r>
        <w:rPr>
          <w:b/>
          <w:color w:val="82BF6A"/>
          <w:sz w:val="32"/>
        </w:rPr>
        <w:t>MENTAL</w:t>
      </w:r>
      <w:r>
        <w:rPr>
          <w:b/>
          <w:color w:val="82BF6A"/>
          <w:spacing w:val="-23"/>
          <w:sz w:val="32"/>
        </w:rPr>
        <w:t> </w:t>
      </w:r>
      <w:r>
        <w:rPr>
          <w:b/>
          <w:color w:val="82BF6A"/>
          <w:sz w:val="32"/>
        </w:rPr>
        <w:t>AND</w:t>
      </w:r>
      <w:r>
        <w:rPr>
          <w:b/>
          <w:color w:val="82BF6A"/>
          <w:spacing w:val="-22"/>
          <w:sz w:val="32"/>
        </w:rPr>
        <w:t> </w:t>
      </w:r>
      <w:r>
        <w:rPr>
          <w:b/>
          <w:color w:val="82BF6A"/>
          <w:sz w:val="32"/>
        </w:rPr>
        <w:t>SUBSTANCE</w:t>
      </w:r>
      <w:r>
        <w:rPr>
          <w:b/>
          <w:color w:val="82BF6A"/>
          <w:spacing w:val="-22"/>
          <w:sz w:val="32"/>
        </w:rPr>
        <w:t> </w:t>
      </w:r>
      <w:r>
        <w:rPr>
          <w:b/>
          <w:color w:val="82BF6A"/>
          <w:sz w:val="32"/>
        </w:rPr>
        <w:t>USE</w:t>
      </w:r>
      <w:r>
        <w:rPr>
          <w:b/>
          <w:color w:val="82BF6A"/>
          <w:spacing w:val="-22"/>
          <w:sz w:val="32"/>
        </w:rPr>
        <w:t> </w:t>
      </w:r>
      <w:r>
        <w:rPr>
          <w:b/>
          <w:color w:val="82BF6A"/>
          <w:sz w:val="32"/>
        </w:rPr>
        <w:t>DISORDERS</w:t>
      </w:r>
    </w:p>
    <w:p>
      <w:pPr>
        <w:pStyle w:val="BodyText"/>
        <w:rPr>
          <w:b/>
          <w:sz w:val="20"/>
        </w:rPr>
      </w:pPr>
    </w:p>
    <w:p>
      <w:pPr>
        <w:pStyle w:val="BodyText"/>
        <w:spacing w:before="102"/>
        <w:rPr>
          <w:b/>
          <w:sz w:val="20"/>
        </w:rPr>
      </w:pPr>
    </w:p>
    <w:tbl>
      <w:tblPr>
        <w:tblW w:w="0" w:type="auto"/>
        <w:jc w:val="left"/>
        <w:tblInd w:w="1099"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1526"/>
        <w:gridCol w:w="1469"/>
        <w:gridCol w:w="1246"/>
        <w:gridCol w:w="2225"/>
        <w:gridCol w:w="2261"/>
        <w:gridCol w:w="2437"/>
        <w:gridCol w:w="2984"/>
        <w:gridCol w:w="2404"/>
        <w:gridCol w:w="2404"/>
        <w:gridCol w:w="1814"/>
        <w:gridCol w:w="1550"/>
      </w:tblGrid>
      <w:tr>
        <w:trPr>
          <w:trHeight w:val="990" w:hRule="atLeast"/>
        </w:trPr>
        <w:tc>
          <w:tcPr>
            <w:tcW w:w="1526" w:type="dxa"/>
            <w:tcBorders>
              <w:right w:val="single" w:sz="4" w:space="0" w:color="FFFFFF"/>
            </w:tcBorders>
            <w:shd w:val="clear" w:color="auto" w:fill="939598"/>
          </w:tcPr>
          <w:p>
            <w:pPr>
              <w:pStyle w:val="TableParagraph"/>
              <w:spacing w:before="177"/>
              <w:rPr>
                <w:b/>
                <w:sz w:val="20"/>
              </w:rPr>
            </w:pPr>
          </w:p>
          <w:p>
            <w:pPr>
              <w:pStyle w:val="TableParagraph"/>
              <w:ind w:left="80"/>
              <w:rPr>
                <w:b/>
                <w:sz w:val="20"/>
              </w:rPr>
            </w:pPr>
            <w:r>
              <w:rPr>
                <w:b/>
                <w:color w:val="FFFFFF"/>
                <w:spacing w:val="-2"/>
                <w:sz w:val="20"/>
              </w:rPr>
              <w:t>Priority</w:t>
            </w:r>
          </w:p>
        </w:tc>
        <w:tc>
          <w:tcPr>
            <w:tcW w:w="1469" w:type="dxa"/>
            <w:tcBorders>
              <w:left w:val="single" w:sz="4" w:space="0" w:color="FFFFFF"/>
              <w:right w:val="single" w:sz="4" w:space="0" w:color="FFFFFF"/>
            </w:tcBorders>
            <w:shd w:val="clear" w:color="auto" w:fill="939598"/>
          </w:tcPr>
          <w:p>
            <w:pPr>
              <w:pStyle w:val="TableParagraph"/>
              <w:spacing w:before="177"/>
              <w:rPr>
                <w:b/>
                <w:sz w:val="20"/>
              </w:rPr>
            </w:pPr>
          </w:p>
          <w:p>
            <w:pPr>
              <w:pStyle w:val="TableParagraph"/>
              <w:ind w:left="80"/>
              <w:rPr>
                <w:b/>
                <w:sz w:val="20"/>
              </w:rPr>
            </w:pPr>
            <w:r>
              <w:rPr>
                <w:b/>
                <w:color w:val="FFFFFF"/>
                <w:w w:val="90"/>
                <w:sz w:val="20"/>
              </w:rPr>
              <w:t>Focus</w:t>
            </w:r>
            <w:r>
              <w:rPr>
                <w:b/>
                <w:color w:val="FFFFFF"/>
                <w:spacing w:val="8"/>
                <w:sz w:val="20"/>
              </w:rPr>
              <w:t> </w:t>
            </w:r>
            <w:r>
              <w:rPr>
                <w:b/>
                <w:color w:val="FFFFFF"/>
                <w:spacing w:val="-4"/>
                <w:sz w:val="20"/>
              </w:rPr>
              <w:t>Area</w:t>
            </w:r>
          </w:p>
        </w:tc>
        <w:tc>
          <w:tcPr>
            <w:tcW w:w="1246" w:type="dxa"/>
            <w:tcBorders>
              <w:left w:val="single" w:sz="4" w:space="0" w:color="FFFFFF"/>
              <w:right w:val="single" w:sz="4" w:space="0" w:color="FFFFFF"/>
            </w:tcBorders>
            <w:shd w:val="clear" w:color="auto" w:fill="939598"/>
          </w:tcPr>
          <w:p>
            <w:pPr>
              <w:pStyle w:val="TableParagraph"/>
              <w:spacing w:before="177"/>
              <w:rPr>
                <w:b/>
                <w:sz w:val="20"/>
              </w:rPr>
            </w:pPr>
          </w:p>
          <w:p>
            <w:pPr>
              <w:pStyle w:val="TableParagraph"/>
              <w:ind w:left="79"/>
              <w:rPr>
                <w:b/>
                <w:sz w:val="20"/>
              </w:rPr>
            </w:pPr>
            <w:r>
              <w:rPr>
                <w:b/>
                <w:color w:val="FFFFFF"/>
                <w:spacing w:val="-4"/>
                <w:sz w:val="20"/>
              </w:rPr>
              <w:t>Goal</w:t>
            </w:r>
          </w:p>
        </w:tc>
        <w:tc>
          <w:tcPr>
            <w:tcW w:w="2225" w:type="dxa"/>
            <w:tcBorders>
              <w:left w:val="single" w:sz="4" w:space="0" w:color="FFFFFF"/>
              <w:right w:val="single" w:sz="4" w:space="0" w:color="FFFFFF"/>
            </w:tcBorders>
            <w:shd w:val="clear" w:color="auto" w:fill="939598"/>
          </w:tcPr>
          <w:p>
            <w:pPr>
              <w:pStyle w:val="TableParagraph"/>
              <w:spacing w:before="177"/>
              <w:rPr>
                <w:b/>
                <w:sz w:val="20"/>
              </w:rPr>
            </w:pPr>
          </w:p>
          <w:p>
            <w:pPr>
              <w:pStyle w:val="TableParagraph"/>
              <w:ind w:left="79"/>
              <w:rPr>
                <w:b/>
                <w:sz w:val="20"/>
              </w:rPr>
            </w:pPr>
            <w:r>
              <w:rPr>
                <w:b/>
                <w:color w:val="FFFFFF"/>
                <w:spacing w:val="-2"/>
                <w:sz w:val="20"/>
              </w:rPr>
              <w:t>Objectives</w:t>
            </w:r>
          </w:p>
        </w:tc>
        <w:tc>
          <w:tcPr>
            <w:tcW w:w="2261" w:type="dxa"/>
            <w:tcBorders>
              <w:left w:val="single" w:sz="4" w:space="0" w:color="FFFFFF"/>
              <w:right w:val="single" w:sz="4" w:space="0" w:color="FFFFFF"/>
            </w:tcBorders>
            <w:shd w:val="clear" w:color="auto" w:fill="939598"/>
          </w:tcPr>
          <w:p>
            <w:pPr>
              <w:pStyle w:val="TableParagraph"/>
              <w:spacing w:before="177"/>
              <w:rPr>
                <w:b/>
                <w:sz w:val="20"/>
              </w:rPr>
            </w:pPr>
          </w:p>
          <w:p>
            <w:pPr>
              <w:pStyle w:val="TableParagraph"/>
              <w:ind w:left="79"/>
              <w:rPr>
                <w:b/>
                <w:sz w:val="20"/>
              </w:rPr>
            </w:pPr>
            <w:r>
              <w:rPr>
                <w:b/>
                <w:color w:val="FFFFFF"/>
                <w:spacing w:val="-2"/>
                <w:sz w:val="20"/>
              </w:rPr>
              <w:t>Interventions</w:t>
            </w:r>
          </w:p>
        </w:tc>
        <w:tc>
          <w:tcPr>
            <w:tcW w:w="2437" w:type="dxa"/>
            <w:tcBorders>
              <w:left w:val="single" w:sz="4" w:space="0" w:color="FFFFFF"/>
              <w:right w:val="nil"/>
            </w:tcBorders>
            <w:shd w:val="clear" w:color="auto" w:fill="939598"/>
          </w:tcPr>
          <w:p>
            <w:pPr>
              <w:pStyle w:val="TableParagraph"/>
              <w:spacing w:before="74"/>
              <w:rPr>
                <w:b/>
                <w:sz w:val="20"/>
              </w:rPr>
            </w:pPr>
          </w:p>
          <w:p>
            <w:pPr>
              <w:pStyle w:val="TableParagraph"/>
              <w:spacing w:line="230" w:lineRule="auto" w:before="1"/>
              <w:ind w:left="89" w:right="1314"/>
              <w:rPr>
                <w:b/>
                <w:sz w:val="20"/>
              </w:rPr>
            </w:pPr>
            <w:r>
              <w:rPr>
                <w:b/>
                <w:color w:val="FFFFFF"/>
                <w:sz w:val="20"/>
              </w:rPr>
              <w:t>Family</w:t>
            </w:r>
            <w:r>
              <w:rPr>
                <w:b/>
                <w:color w:val="FFFFFF"/>
                <w:spacing w:val="-14"/>
                <w:sz w:val="20"/>
              </w:rPr>
              <w:t> </w:t>
            </w:r>
            <w:r>
              <w:rPr>
                <w:b/>
                <w:color w:val="FFFFFF"/>
                <w:sz w:val="20"/>
              </w:rPr>
              <w:t>of </w:t>
            </w:r>
            <w:r>
              <w:rPr>
                <w:b/>
                <w:color w:val="FFFFFF"/>
                <w:spacing w:val="-7"/>
                <w:sz w:val="20"/>
              </w:rPr>
              <w:t>Measures</w:t>
            </w:r>
          </w:p>
        </w:tc>
        <w:tc>
          <w:tcPr>
            <w:tcW w:w="2984" w:type="dxa"/>
            <w:tcBorders>
              <w:left w:val="nil"/>
              <w:right w:val="single" w:sz="4" w:space="0" w:color="FFFFFF"/>
            </w:tcBorders>
            <w:shd w:val="clear" w:color="auto" w:fill="939598"/>
          </w:tcPr>
          <w:p>
            <w:pPr>
              <w:pStyle w:val="TableParagraph"/>
              <w:spacing w:line="230" w:lineRule="auto" w:before="195"/>
              <w:ind w:left="1084" w:right="180"/>
              <w:rPr>
                <w:b/>
                <w:sz w:val="20"/>
              </w:rPr>
            </w:pPr>
            <w:r>
              <w:rPr>
                <w:b/>
                <w:color w:val="FFFFFF"/>
                <w:sz w:val="20"/>
              </w:rPr>
              <w:t>Projected (or completed)</w:t>
            </w:r>
            <w:r>
              <w:rPr>
                <w:b/>
                <w:color w:val="FFFFFF"/>
                <w:spacing w:val="-14"/>
                <w:sz w:val="20"/>
              </w:rPr>
              <w:t> </w:t>
            </w:r>
            <w:r>
              <w:rPr>
                <w:b/>
                <w:color w:val="FFFFFF"/>
                <w:sz w:val="20"/>
              </w:rPr>
              <w:t>Year</w:t>
            </w:r>
            <w:r>
              <w:rPr>
                <w:b/>
                <w:color w:val="FFFFFF"/>
                <w:spacing w:val="-14"/>
                <w:sz w:val="20"/>
              </w:rPr>
              <w:t> </w:t>
            </w:r>
            <w:r>
              <w:rPr>
                <w:b/>
                <w:color w:val="FFFFFF"/>
                <w:sz w:val="20"/>
              </w:rPr>
              <w:t>1</w:t>
            </w:r>
          </w:p>
          <w:p>
            <w:pPr>
              <w:pStyle w:val="TableParagraph"/>
              <w:spacing w:line="221" w:lineRule="exact"/>
              <w:ind w:left="1084"/>
              <w:rPr>
                <w:b/>
                <w:sz w:val="20"/>
              </w:rPr>
            </w:pPr>
            <w:r>
              <w:rPr>
                <w:b/>
                <w:color w:val="FFFFFF"/>
                <w:sz w:val="20"/>
              </w:rPr>
              <w:t>Intervention</w:t>
            </w:r>
            <w:r>
              <w:rPr>
                <w:b/>
                <w:color w:val="FFFFFF"/>
                <w:spacing w:val="-5"/>
                <w:sz w:val="20"/>
              </w:rPr>
              <w:t> </w:t>
            </w:r>
            <w:r>
              <w:rPr>
                <w:b/>
                <w:color w:val="FFFFFF"/>
                <w:sz w:val="20"/>
              </w:rPr>
              <w:t>-</w:t>
            </w:r>
            <w:r>
              <w:rPr>
                <w:b/>
                <w:color w:val="FFFFFF"/>
                <w:spacing w:val="-5"/>
                <w:sz w:val="20"/>
              </w:rPr>
              <w:t> </w:t>
            </w:r>
            <w:r>
              <w:rPr>
                <w:b/>
                <w:color w:val="FFFFFF"/>
                <w:spacing w:val="-4"/>
                <w:sz w:val="20"/>
              </w:rPr>
              <w:t>2019</w:t>
            </w:r>
          </w:p>
        </w:tc>
        <w:tc>
          <w:tcPr>
            <w:tcW w:w="2404" w:type="dxa"/>
            <w:tcBorders>
              <w:left w:val="single" w:sz="4" w:space="0" w:color="FFFFFF"/>
              <w:right w:val="single" w:sz="4" w:space="0" w:color="FFFFFF"/>
            </w:tcBorders>
            <w:shd w:val="clear" w:color="auto" w:fill="939598"/>
          </w:tcPr>
          <w:p>
            <w:pPr>
              <w:pStyle w:val="TableParagraph"/>
              <w:spacing w:before="74"/>
              <w:rPr>
                <w:b/>
                <w:sz w:val="20"/>
              </w:rPr>
            </w:pPr>
          </w:p>
          <w:p>
            <w:pPr>
              <w:pStyle w:val="TableParagraph"/>
              <w:spacing w:line="230" w:lineRule="auto" w:before="1"/>
              <w:ind w:left="79" w:right="1007"/>
              <w:rPr>
                <w:b/>
                <w:sz w:val="20"/>
              </w:rPr>
            </w:pPr>
            <w:r>
              <w:rPr>
                <w:b/>
                <w:color w:val="FFFFFF"/>
                <w:spacing w:val="-2"/>
                <w:sz w:val="20"/>
              </w:rPr>
              <w:t>Projected </w:t>
            </w:r>
            <w:r>
              <w:rPr>
                <w:b/>
                <w:color w:val="FFFFFF"/>
                <w:sz w:val="20"/>
              </w:rPr>
              <w:t>Year</w:t>
            </w:r>
            <w:r>
              <w:rPr>
                <w:b/>
                <w:color w:val="FFFFFF"/>
                <w:spacing w:val="-7"/>
                <w:sz w:val="20"/>
              </w:rPr>
              <w:t> </w:t>
            </w:r>
            <w:r>
              <w:rPr>
                <w:b/>
                <w:color w:val="FFFFFF"/>
                <w:sz w:val="20"/>
              </w:rPr>
              <w:t>2</w:t>
            </w:r>
            <w:r>
              <w:rPr>
                <w:b/>
                <w:color w:val="FFFFFF"/>
                <w:spacing w:val="-7"/>
                <w:sz w:val="20"/>
              </w:rPr>
              <w:t> </w:t>
            </w:r>
            <w:r>
              <w:rPr>
                <w:b/>
                <w:color w:val="FFFFFF"/>
                <w:sz w:val="20"/>
              </w:rPr>
              <w:t>-</w:t>
            </w:r>
            <w:r>
              <w:rPr>
                <w:b/>
                <w:color w:val="FFFFFF"/>
                <w:spacing w:val="-7"/>
                <w:sz w:val="20"/>
              </w:rPr>
              <w:t> </w:t>
            </w:r>
            <w:r>
              <w:rPr>
                <w:b/>
                <w:color w:val="FFFFFF"/>
                <w:sz w:val="20"/>
              </w:rPr>
              <w:t>2020</w:t>
            </w:r>
          </w:p>
        </w:tc>
        <w:tc>
          <w:tcPr>
            <w:tcW w:w="2404" w:type="dxa"/>
            <w:tcBorders>
              <w:left w:val="single" w:sz="4" w:space="0" w:color="FFFFFF"/>
              <w:right w:val="single" w:sz="4" w:space="0" w:color="FFFFFF"/>
            </w:tcBorders>
            <w:shd w:val="clear" w:color="auto" w:fill="939598"/>
          </w:tcPr>
          <w:p>
            <w:pPr>
              <w:pStyle w:val="TableParagraph"/>
              <w:spacing w:before="67"/>
              <w:rPr>
                <w:b/>
                <w:sz w:val="20"/>
              </w:rPr>
            </w:pPr>
          </w:p>
          <w:p>
            <w:pPr>
              <w:pStyle w:val="TableParagraph"/>
              <w:spacing w:line="225" w:lineRule="exact"/>
              <w:ind w:left="80"/>
              <w:rPr>
                <w:b/>
                <w:sz w:val="20"/>
              </w:rPr>
            </w:pPr>
            <w:r>
              <w:rPr>
                <w:b/>
                <w:color w:val="FFFFFF"/>
                <w:spacing w:val="-2"/>
                <w:sz w:val="20"/>
              </w:rPr>
              <w:t>Projected</w:t>
            </w:r>
            <w:r>
              <w:rPr>
                <w:b/>
                <w:color w:val="FFFFFF"/>
                <w:spacing w:val="-8"/>
                <w:sz w:val="20"/>
              </w:rPr>
              <w:t> </w:t>
            </w:r>
            <w:r>
              <w:rPr>
                <w:b/>
                <w:color w:val="FFFFFF"/>
                <w:spacing w:val="-2"/>
                <w:sz w:val="20"/>
              </w:rPr>
              <w:t>Year</w:t>
            </w:r>
            <w:r>
              <w:rPr>
                <w:b/>
                <w:color w:val="FFFFFF"/>
                <w:spacing w:val="-7"/>
                <w:sz w:val="20"/>
              </w:rPr>
              <w:t> </w:t>
            </w:r>
            <w:r>
              <w:rPr>
                <w:b/>
                <w:color w:val="FFFFFF"/>
                <w:spacing w:val="-10"/>
                <w:sz w:val="20"/>
              </w:rPr>
              <w:t>3</w:t>
            </w:r>
          </w:p>
          <w:p>
            <w:pPr>
              <w:pStyle w:val="TableParagraph"/>
              <w:spacing w:line="225" w:lineRule="exact"/>
              <w:ind w:left="80"/>
              <w:rPr>
                <w:b/>
                <w:sz w:val="20"/>
              </w:rPr>
            </w:pPr>
            <w:r>
              <w:rPr>
                <w:b/>
                <w:color w:val="FFFFFF"/>
                <w:spacing w:val="-2"/>
                <w:sz w:val="20"/>
              </w:rPr>
              <w:t>Interventions</w:t>
            </w:r>
            <w:r>
              <w:rPr>
                <w:b/>
                <w:color w:val="FFFFFF"/>
                <w:spacing w:val="-4"/>
                <w:sz w:val="20"/>
              </w:rPr>
              <w:t> </w:t>
            </w:r>
            <w:r>
              <w:rPr>
                <w:b/>
                <w:color w:val="FFFFFF"/>
                <w:spacing w:val="-2"/>
                <w:sz w:val="20"/>
              </w:rPr>
              <w:t>-</w:t>
            </w:r>
            <w:r>
              <w:rPr>
                <w:b/>
                <w:color w:val="FFFFFF"/>
                <w:spacing w:val="-3"/>
                <w:sz w:val="20"/>
              </w:rPr>
              <w:t> </w:t>
            </w:r>
            <w:r>
              <w:rPr>
                <w:b/>
                <w:color w:val="FFFFFF"/>
                <w:spacing w:val="-4"/>
                <w:sz w:val="20"/>
              </w:rPr>
              <w:t>2021</w:t>
            </w:r>
          </w:p>
        </w:tc>
        <w:tc>
          <w:tcPr>
            <w:tcW w:w="1814" w:type="dxa"/>
            <w:tcBorders>
              <w:left w:val="single" w:sz="4" w:space="0" w:color="FFFFFF"/>
              <w:right w:val="single" w:sz="4" w:space="0" w:color="FFFFFF"/>
            </w:tcBorders>
            <w:shd w:val="clear" w:color="auto" w:fill="939598"/>
          </w:tcPr>
          <w:p>
            <w:pPr>
              <w:pStyle w:val="TableParagraph"/>
              <w:spacing w:before="74"/>
              <w:rPr>
                <w:b/>
                <w:sz w:val="20"/>
              </w:rPr>
            </w:pPr>
          </w:p>
          <w:p>
            <w:pPr>
              <w:pStyle w:val="TableParagraph"/>
              <w:spacing w:line="230" w:lineRule="auto" w:before="1"/>
              <w:ind w:left="81"/>
              <w:rPr>
                <w:b/>
                <w:sz w:val="20"/>
              </w:rPr>
            </w:pPr>
            <w:r>
              <w:rPr>
                <w:b/>
                <w:color w:val="FFFFFF"/>
                <w:spacing w:val="-2"/>
                <w:sz w:val="20"/>
              </w:rPr>
              <w:t>Implementation Partner</w:t>
            </w:r>
          </w:p>
        </w:tc>
        <w:tc>
          <w:tcPr>
            <w:tcW w:w="1550" w:type="dxa"/>
            <w:tcBorders>
              <w:left w:val="single" w:sz="4" w:space="0" w:color="FFFFFF"/>
              <w:right w:val="single" w:sz="4" w:space="0" w:color="FFFFFF"/>
            </w:tcBorders>
            <w:shd w:val="clear" w:color="auto" w:fill="939598"/>
          </w:tcPr>
          <w:p>
            <w:pPr>
              <w:pStyle w:val="TableParagraph"/>
              <w:spacing w:before="74"/>
              <w:rPr>
                <w:b/>
                <w:sz w:val="20"/>
              </w:rPr>
            </w:pPr>
          </w:p>
          <w:p>
            <w:pPr>
              <w:pStyle w:val="TableParagraph"/>
              <w:spacing w:line="230" w:lineRule="auto" w:before="1"/>
              <w:ind w:left="81"/>
              <w:rPr>
                <w:b/>
                <w:sz w:val="20"/>
              </w:rPr>
            </w:pPr>
            <w:r>
              <w:rPr>
                <w:b/>
                <w:color w:val="FFFFFF"/>
                <w:spacing w:val="-6"/>
                <w:sz w:val="20"/>
              </w:rPr>
              <w:t>Partner</w:t>
            </w:r>
            <w:r>
              <w:rPr>
                <w:b/>
                <w:color w:val="FFFFFF"/>
                <w:spacing w:val="-8"/>
                <w:sz w:val="20"/>
              </w:rPr>
              <w:t> </w:t>
            </w:r>
            <w:r>
              <w:rPr>
                <w:b/>
                <w:color w:val="FFFFFF"/>
                <w:spacing w:val="-6"/>
                <w:sz w:val="20"/>
              </w:rPr>
              <w:t>Role(s) </w:t>
            </w:r>
            <w:r>
              <w:rPr>
                <w:b/>
                <w:color w:val="FFFFFF"/>
                <w:sz w:val="20"/>
              </w:rPr>
              <w:t>and</w:t>
            </w:r>
            <w:r>
              <w:rPr>
                <w:b/>
                <w:color w:val="FFFFFF"/>
                <w:spacing w:val="-8"/>
                <w:sz w:val="20"/>
              </w:rPr>
              <w:t> Resources</w:t>
            </w:r>
          </w:p>
        </w:tc>
      </w:tr>
      <w:tr>
        <w:trPr>
          <w:trHeight w:val="3240" w:hRule="atLeast"/>
        </w:trPr>
        <w:tc>
          <w:tcPr>
            <w:tcW w:w="1526" w:type="dxa"/>
            <w:tcBorders>
              <w:bottom w:val="nil"/>
            </w:tcBorders>
            <w:shd w:val="clear" w:color="auto" w:fill="E6E7E8"/>
          </w:tcPr>
          <w:p>
            <w:pPr>
              <w:pStyle w:val="TableParagraph"/>
              <w:spacing w:line="203" w:lineRule="exact" w:before="96"/>
              <w:ind w:left="90"/>
              <w:rPr>
                <w:sz w:val="18"/>
              </w:rPr>
            </w:pPr>
            <w:r>
              <w:rPr>
                <w:color w:val="105C84"/>
                <w:spacing w:val="-2"/>
                <w:w w:val="105"/>
                <w:sz w:val="18"/>
              </w:rPr>
              <w:t>Promote</w:t>
            </w:r>
          </w:p>
          <w:p>
            <w:pPr>
              <w:pStyle w:val="TableParagraph"/>
              <w:spacing w:line="232" w:lineRule="auto" w:before="1"/>
              <w:ind w:left="90" w:right="167"/>
              <w:jc w:val="both"/>
              <w:rPr>
                <w:sz w:val="18"/>
              </w:rPr>
            </w:pPr>
            <w:r>
              <w:rPr>
                <w:color w:val="105C84"/>
                <w:sz w:val="18"/>
              </w:rPr>
              <w:t>Well-Being</w:t>
            </w:r>
            <w:r>
              <w:rPr>
                <w:color w:val="105C84"/>
                <w:spacing w:val="-2"/>
                <w:sz w:val="18"/>
              </w:rPr>
              <w:t> </w:t>
            </w:r>
            <w:r>
              <w:rPr>
                <w:color w:val="105C84"/>
                <w:sz w:val="18"/>
              </w:rPr>
              <w:t>and Prevent Mental and Substance Use Disorders</w:t>
            </w:r>
          </w:p>
        </w:tc>
        <w:tc>
          <w:tcPr>
            <w:tcW w:w="1469" w:type="dxa"/>
            <w:tcBorders>
              <w:bottom w:val="nil"/>
            </w:tcBorders>
          </w:tcPr>
          <w:p>
            <w:pPr>
              <w:pStyle w:val="TableParagraph"/>
              <w:spacing w:line="232" w:lineRule="auto" w:before="101"/>
              <w:ind w:left="90" w:right="151"/>
              <w:rPr>
                <w:sz w:val="18"/>
              </w:rPr>
            </w:pPr>
            <w:r>
              <w:rPr>
                <w:color w:val="105C84"/>
                <w:sz w:val="18"/>
              </w:rPr>
              <w:t>Focus Area 2: Prevent</w:t>
            </w:r>
            <w:r>
              <w:rPr>
                <w:color w:val="105C84"/>
                <w:spacing w:val="-13"/>
                <w:sz w:val="18"/>
              </w:rPr>
              <w:t> </w:t>
            </w:r>
            <w:r>
              <w:rPr>
                <w:color w:val="105C84"/>
                <w:sz w:val="18"/>
              </w:rPr>
              <w:t>Mental and</w:t>
            </w:r>
            <w:r>
              <w:rPr>
                <w:color w:val="105C84"/>
                <w:spacing w:val="-13"/>
                <w:sz w:val="18"/>
              </w:rPr>
              <w:t> </w:t>
            </w:r>
            <w:r>
              <w:rPr>
                <w:color w:val="105C84"/>
                <w:sz w:val="18"/>
              </w:rPr>
              <w:t>Substance </w:t>
            </w:r>
            <w:r>
              <w:rPr>
                <w:color w:val="105C84"/>
                <w:spacing w:val="-5"/>
                <w:sz w:val="18"/>
              </w:rPr>
              <w:t>User</w:t>
            </w:r>
            <w:r>
              <w:rPr>
                <w:color w:val="105C84"/>
                <w:spacing w:val="-7"/>
                <w:sz w:val="18"/>
              </w:rPr>
              <w:t> </w:t>
            </w:r>
            <w:r>
              <w:rPr>
                <w:color w:val="105C84"/>
                <w:spacing w:val="-2"/>
                <w:sz w:val="18"/>
              </w:rPr>
              <w:t>Disorders</w:t>
            </w:r>
          </w:p>
        </w:tc>
        <w:tc>
          <w:tcPr>
            <w:tcW w:w="1246" w:type="dxa"/>
            <w:tcBorders>
              <w:bottom w:val="nil"/>
            </w:tcBorders>
          </w:tcPr>
          <w:p>
            <w:pPr>
              <w:pStyle w:val="TableParagraph"/>
              <w:spacing w:line="232" w:lineRule="auto" w:before="101"/>
              <w:ind w:left="89" w:right="178"/>
              <w:rPr>
                <w:sz w:val="18"/>
              </w:rPr>
            </w:pPr>
            <w:r>
              <w:rPr>
                <w:color w:val="105C84"/>
                <w:sz w:val="18"/>
              </w:rPr>
              <w:t>Goal 2.3: </w:t>
            </w:r>
            <w:r>
              <w:rPr>
                <w:color w:val="105C84"/>
                <w:spacing w:val="-2"/>
                <w:sz w:val="18"/>
              </w:rPr>
              <w:t>Prevent</w:t>
            </w:r>
            <w:r>
              <w:rPr>
                <w:color w:val="105C84"/>
                <w:spacing w:val="-11"/>
                <w:sz w:val="18"/>
              </w:rPr>
              <w:t> </w:t>
            </w:r>
            <w:r>
              <w:rPr>
                <w:color w:val="105C84"/>
                <w:spacing w:val="-2"/>
                <w:sz w:val="18"/>
              </w:rPr>
              <w:t>and address adverse childhood experiences</w:t>
            </w:r>
          </w:p>
        </w:tc>
        <w:tc>
          <w:tcPr>
            <w:tcW w:w="2225" w:type="dxa"/>
            <w:tcBorders>
              <w:bottom w:val="nil"/>
            </w:tcBorders>
          </w:tcPr>
          <w:p>
            <w:pPr>
              <w:pStyle w:val="TableParagraph"/>
              <w:spacing w:line="232" w:lineRule="auto" w:before="101"/>
              <w:ind w:left="89"/>
              <w:rPr>
                <w:sz w:val="18"/>
              </w:rPr>
            </w:pPr>
            <w:r>
              <w:rPr>
                <w:color w:val="105C84"/>
                <w:sz w:val="18"/>
              </w:rPr>
              <w:t>2.3.2 Reduce indicated reports of abuse/ maltreatment rate per 1,000</w:t>
            </w:r>
            <w:r>
              <w:rPr>
                <w:color w:val="105C84"/>
                <w:spacing w:val="-13"/>
                <w:sz w:val="18"/>
              </w:rPr>
              <w:t> </w:t>
            </w:r>
            <w:r>
              <w:rPr>
                <w:color w:val="105C84"/>
                <w:sz w:val="18"/>
              </w:rPr>
              <w:t>children</w:t>
            </w:r>
            <w:r>
              <w:rPr>
                <w:color w:val="105C84"/>
                <w:spacing w:val="-12"/>
                <w:sz w:val="18"/>
              </w:rPr>
              <w:t> </w:t>
            </w:r>
            <w:r>
              <w:rPr>
                <w:color w:val="105C84"/>
                <w:sz w:val="18"/>
              </w:rPr>
              <w:t>and</w:t>
            </w:r>
            <w:r>
              <w:rPr>
                <w:color w:val="105C84"/>
                <w:spacing w:val="-13"/>
                <w:sz w:val="18"/>
              </w:rPr>
              <w:t> </w:t>
            </w:r>
            <w:r>
              <w:rPr>
                <w:color w:val="105C84"/>
                <w:sz w:val="18"/>
              </w:rPr>
              <w:t>youth </w:t>
            </w:r>
            <w:r>
              <w:rPr>
                <w:color w:val="105C84"/>
                <w:spacing w:val="-4"/>
                <w:sz w:val="18"/>
              </w:rPr>
              <w:t>ages</w:t>
            </w:r>
            <w:r>
              <w:rPr>
                <w:color w:val="105C84"/>
                <w:spacing w:val="-7"/>
                <w:sz w:val="18"/>
              </w:rPr>
              <w:t> </w:t>
            </w:r>
            <w:r>
              <w:rPr>
                <w:color w:val="105C84"/>
                <w:spacing w:val="-4"/>
                <w:sz w:val="18"/>
              </w:rPr>
              <w:t>0-17</w:t>
            </w:r>
            <w:r>
              <w:rPr>
                <w:color w:val="105C84"/>
                <w:spacing w:val="-8"/>
                <w:sz w:val="18"/>
              </w:rPr>
              <w:t> </w:t>
            </w:r>
            <w:r>
              <w:rPr>
                <w:color w:val="105C84"/>
                <w:spacing w:val="-4"/>
                <w:sz w:val="18"/>
              </w:rPr>
              <w:t>years</w:t>
            </w:r>
            <w:r>
              <w:rPr>
                <w:color w:val="105C84"/>
                <w:spacing w:val="-7"/>
                <w:sz w:val="18"/>
              </w:rPr>
              <w:t> </w:t>
            </w:r>
            <w:r>
              <w:rPr>
                <w:color w:val="105C84"/>
                <w:spacing w:val="-4"/>
                <w:sz w:val="18"/>
              </w:rPr>
              <w:t>by</w:t>
            </w:r>
            <w:r>
              <w:rPr>
                <w:color w:val="105C84"/>
                <w:spacing w:val="-7"/>
                <w:sz w:val="18"/>
              </w:rPr>
              <w:t> </w:t>
            </w:r>
            <w:r>
              <w:rPr>
                <w:color w:val="105C84"/>
                <w:spacing w:val="-4"/>
                <w:sz w:val="18"/>
              </w:rPr>
              <w:t>9%</w:t>
            </w:r>
            <w:r>
              <w:rPr>
                <w:color w:val="105C84"/>
                <w:spacing w:val="-7"/>
                <w:sz w:val="18"/>
              </w:rPr>
              <w:t> </w:t>
            </w:r>
            <w:r>
              <w:rPr>
                <w:color w:val="105C84"/>
                <w:spacing w:val="-5"/>
                <w:sz w:val="18"/>
              </w:rPr>
              <w:t>t</w:t>
            </w:r>
            <w:r>
              <w:rPr>
                <w:color w:val="105C84"/>
                <w:spacing w:val="-5"/>
                <w:sz w:val="18"/>
              </w:rPr>
              <w:t>o</w:t>
            </w:r>
          </w:p>
          <w:p>
            <w:pPr>
              <w:pStyle w:val="TableParagraph"/>
              <w:spacing w:line="232" w:lineRule="auto"/>
              <w:ind w:left="89" w:right="142"/>
              <w:rPr>
                <w:sz w:val="18"/>
              </w:rPr>
            </w:pPr>
            <w:r>
              <w:rPr>
                <w:color w:val="105C84"/>
                <w:sz w:val="18"/>
              </w:rPr>
              <w:t>15.6 per 1,000 children and youth ages 0-17 </w:t>
            </w:r>
            <w:r>
              <w:rPr>
                <w:color w:val="105C84"/>
                <w:spacing w:val="-4"/>
                <w:sz w:val="18"/>
              </w:rPr>
              <w:t>years</w:t>
            </w:r>
            <w:r>
              <w:rPr>
                <w:color w:val="105C84"/>
                <w:spacing w:val="-7"/>
                <w:sz w:val="18"/>
              </w:rPr>
              <w:t> </w:t>
            </w:r>
            <w:r>
              <w:rPr>
                <w:color w:val="105C84"/>
                <w:spacing w:val="-4"/>
                <w:sz w:val="18"/>
              </w:rPr>
              <w:t>(Current</w:t>
            </w:r>
            <w:r>
              <w:rPr>
                <w:color w:val="105C84"/>
                <w:spacing w:val="-7"/>
                <w:sz w:val="18"/>
              </w:rPr>
              <w:t> </w:t>
            </w:r>
            <w:r>
              <w:rPr>
                <w:color w:val="105C84"/>
                <w:spacing w:val="-4"/>
                <w:sz w:val="18"/>
              </w:rPr>
              <w:t>rate:</w:t>
            </w:r>
            <w:r>
              <w:rPr>
                <w:color w:val="105C84"/>
                <w:spacing w:val="-7"/>
                <w:sz w:val="18"/>
              </w:rPr>
              <w:t> </w:t>
            </w:r>
            <w:r>
              <w:rPr>
                <w:color w:val="105C84"/>
                <w:spacing w:val="-4"/>
                <w:sz w:val="18"/>
              </w:rPr>
              <w:t>45.</w:t>
            </w:r>
            <w:r>
              <w:rPr>
                <w:color w:val="105C84"/>
                <w:spacing w:val="-4"/>
                <w:sz w:val="18"/>
              </w:rPr>
              <w:t>2</w:t>
            </w:r>
            <w:r>
              <w:rPr>
                <w:color w:val="105C84"/>
                <w:spacing w:val="-4"/>
                <w:sz w:val="18"/>
              </w:rPr>
              <w:t> </w:t>
            </w:r>
            <w:r>
              <w:rPr>
                <w:color w:val="105C84"/>
                <w:sz w:val="18"/>
              </w:rPr>
              <w:t>per 1,000 - 2017)</w:t>
            </w:r>
          </w:p>
        </w:tc>
        <w:tc>
          <w:tcPr>
            <w:tcW w:w="2261" w:type="dxa"/>
          </w:tcPr>
          <w:p>
            <w:pPr>
              <w:pStyle w:val="TableParagraph"/>
              <w:spacing w:line="232" w:lineRule="auto" w:before="101"/>
              <w:ind w:left="89" w:right="188"/>
              <w:rPr>
                <w:sz w:val="18"/>
              </w:rPr>
            </w:pPr>
            <w:r>
              <w:rPr>
                <w:color w:val="105C84"/>
                <w:sz w:val="18"/>
              </w:rPr>
              <w:t>2.3.1</w:t>
            </w:r>
            <w:r>
              <w:rPr>
                <w:color w:val="105C84"/>
                <w:spacing w:val="-15"/>
                <w:sz w:val="18"/>
              </w:rPr>
              <w:t> </w:t>
            </w:r>
            <w:r>
              <w:rPr>
                <w:color w:val="105C84"/>
                <w:sz w:val="18"/>
              </w:rPr>
              <w:t>Integrate</w:t>
            </w:r>
            <w:r>
              <w:rPr>
                <w:color w:val="105C84"/>
                <w:spacing w:val="-12"/>
                <w:sz w:val="18"/>
              </w:rPr>
              <w:t> </w:t>
            </w:r>
            <w:r>
              <w:rPr>
                <w:color w:val="105C84"/>
                <w:sz w:val="18"/>
              </w:rPr>
              <w:t>principles</w:t>
            </w:r>
            <w:r>
              <w:rPr>
                <w:color w:val="105C84"/>
                <w:sz w:val="18"/>
              </w:rPr>
              <w:t> of trauma-informat approach in governance and leadership, policy, physical environment, engagement and involvement, cross sector collaboration, screening, assessment and treatment services, training and workforce development, progress monitoring and quality </w:t>
            </w:r>
            <w:r>
              <w:rPr>
                <w:color w:val="105C84"/>
                <w:spacing w:val="-2"/>
                <w:sz w:val="18"/>
              </w:rPr>
              <w:t>assurance,</w:t>
            </w:r>
            <w:r>
              <w:rPr>
                <w:color w:val="105C84"/>
                <w:spacing w:val="-13"/>
                <w:sz w:val="18"/>
              </w:rPr>
              <w:t> </w:t>
            </w:r>
            <w:r>
              <w:rPr>
                <w:color w:val="105C84"/>
                <w:spacing w:val="-2"/>
                <w:sz w:val="18"/>
              </w:rPr>
              <w:t>financing</w:t>
            </w:r>
            <w:r>
              <w:rPr>
                <w:color w:val="105C84"/>
                <w:spacing w:val="-10"/>
                <w:sz w:val="18"/>
              </w:rPr>
              <w:t> </w:t>
            </w:r>
            <w:r>
              <w:rPr>
                <w:color w:val="105C84"/>
                <w:spacing w:val="-2"/>
                <w:sz w:val="18"/>
              </w:rPr>
              <w:t>and evaluation</w:t>
            </w:r>
          </w:p>
        </w:tc>
        <w:tc>
          <w:tcPr>
            <w:tcW w:w="2437" w:type="dxa"/>
            <w:tcBorders>
              <w:right w:val="nil"/>
            </w:tcBorders>
          </w:tcPr>
          <w:p>
            <w:pPr>
              <w:pStyle w:val="TableParagraph"/>
              <w:spacing w:line="232" w:lineRule="auto" w:before="100"/>
              <w:ind w:left="89" w:right="1314"/>
              <w:rPr>
                <w:sz w:val="18"/>
              </w:rPr>
            </w:pPr>
            <w:r>
              <w:rPr>
                <w:color w:val="105C84"/>
                <w:spacing w:val="-2"/>
                <w:sz w:val="18"/>
              </w:rPr>
              <w:t>Completion </w:t>
            </w:r>
            <w:r>
              <w:rPr>
                <w:color w:val="105C84"/>
                <w:w w:val="105"/>
                <w:sz w:val="18"/>
              </w:rPr>
              <w:t>of</w:t>
            </w:r>
            <w:r>
              <w:rPr>
                <w:color w:val="105C84"/>
                <w:spacing w:val="-1"/>
                <w:w w:val="105"/>
                <w:sz w:val="18"/>
              </w:rPr>
              <w:t> </w:t>
            </w:r>
            <w:r>
              <w:rPr>
                <w:color w:val="105C84"/>
                <w:w w:val="105"/>
                <w:sz w:val="18"/>
              </w:rPr>
              <w:t>training; change</w:t>
            </w:r>
            <w:r>
              <w:rPr>
                <w:color w:val="105C84"/>
                <w:spacing w:val="-1"/>
                <w:w w:val="105"/>
                <w:sz w:val="18"/>
              </w:rPr>
              <w:t> </w:t>
            </w:r>
            <w:r>
              <w:rPr>
                <w:color w:val="105C84"/>
                <w:w w:val="105"/>
                <w:sz w:val="18"/>
              </w:rPr>
              <w:t>in policies</w:t>
            </w:r>
            <w:r>
              <w:rPr>
                <w:color w:val="105C84"/>
                <w:spacing w:val="-1"/>
                <w:w w:val="105"/>
                <w:sz w:val="18"/>
              </w:rPr>
              <w:t> </w:t>
            </w:r>
            <w:r>
              <w:rPr>
                <w:color w:val="105C84"/>
                <w:w w:val="105"/>
                <w:sz w:val="18"/>
              </w:rPr>
              <w:t>or</w:t>
            </w:r>
          </w:p>
          <w:p>
            <w:pPr>
              <w:pStyle w:val="TableParagraph"/>
              <w:spacing w:line="232" w:lineRule="auto"/>
              <w:ind w:left="89" w:right="1012"/>
              <w:rPr>
                <w:sz w:val="18"/>
              </w:rPr>
            </w:pPr>
            <w:r>
              <w:rPr>
                <w:color w:val="105C84"/>
                <w:spacing w:val="-2"/>
                <w:sz w:val="18"/>
              </w:rPr>
              <w:t>implementation </w:t>
            </w:r>
            <w:r>
              <w:rPr>
                <w:color w:val="105C84"/>
                <w:w w:val="105"/>
                <w:sz w:val="18"/>
              </w:rPr>
              <w:t>of</w:t>
            </w:r>
            <w:r>
              <w:rPr>
                <w:color w:val="105C84"/>
                <w:spacing w:val="-1"/>
                <w:w w:val="105"/>
                <w:sz w:val="18"/>
              </w:rPr>
              <w:t> </w:t>
            </w:r>
            <w:r>
              <w:rPr>
                <w:color w:val="105C84"/>
                <w:w w:val="105"/>
                <w:sz w:val="18"/>
              </w:rPr>
              <w:t>policies</w:t>
            </w:r>
          </w:p>
        </w:tc>
        <w:tc>
          <w:tcPr>
            <w:tcW w:w="2984" w:type="dxa"/>
            <w:tcBorders>
              <w:left w:val="nil"/>
            </w:tcBorders>
          </w:tcPr>
          <w:p>
            <w:pPr>
              <w:pStyle w:val="TableParagraph"/>
              <w:spacing w:line="232" w:lineRule="auto" w:before="100"/>
              <w:ind w:left="1084" w:right="501"/>
              <w:rPr>
                <w:sz w:val="18"/>
              </w:rPr>
            </w:pPr>
            <w:r>
              <w:rPr>
                <w:color w:val="105C84"/>
                <w:sz w:val="18"/>
              </w:rPr>
              <w:t>Conduct</w:t>
            </w:r>
            <w:r>
              <w:rPr>
                <w:color w:val="105C84"/>
                <w:spacing w:val="-9"/>
                <w:sz w:val="18"/>
              </w:rPr>
              <w:t> </w:t>
            </w:r>
            <w:r>
              <w:rPr>
                <w:color w:val="105C84"/>
                <w:sz w:val="18"/>
              </w:rPr>
              <w:t>regional </w:t>
            </w:r>
            <w:r>
              <w:rPr>
                <w:color w:val="105C84"/>
                <w:spacing w:val="-2"/>
                <w:sz w:val="18"/>
              </w:rPr>
              <w:t>ACES</w:t>
            </w:r>
            <w:r>
              <w:rPr>
                <w:color w:val="105C84"/>
                <w:spacing w:val="-11"/>
                <w:sz w:val="18"/>
              </w:rPr>
              <w:t> </w:t>
            </w:r>
            <w:r>
              <w:rPr>
                <w:color w:val="105C84"/>
                <w:spacing w:val="-2"/>
                <w:sz w:val="18"/>
              </w:rPr>
              <w:t>community </w:t>
            </w:r>
            <w:r>
              <w:rPr>
                <w:color w:val="105C84"/>
                <w:sz w:val="18"/>
              </w:rPr>
              <w:t>presentations for awareness and </w:t>
            </w:r>
            <w:r>
              <w:rPr>
                <w:color w:val="105C84"/>
                <w:spacing w:val="-2"/>
                <w:sz w:val="18"/>
              </w:rPr>
              <w:t>education</w:t>
            </w:r>
          </w:p>
        </w:tc>
        <w:tc>
          <w:tcPr>
            <w:tcW w:w="2404" w:type="dxa"/>
          </w:tcPr>
          <w:p>
            <w:pPr>
              <w:pStyle w:val="TableParagraph"/>
              <w:spacing w:line="232" w:lineRule="auto" w:before="100"/>
              <w:ind w:left="89" w:right="92"/>
              <w:rPr>
                <w:sz w:val="18"/>
              </w:rPr>
            </w:pPr>
            <w:r>
              <w:rPr>
                <w:color w:val="105C84"/>
                <w:sz w:val="18"/>
              </w:rPr>
              <w:t>Continue to promote informational</w:t>
            </w:r>
            <w:r>
              <w:rPr>
                <w:color w:val="105C84"/>
                <w:spacing w:val="-11"/>
                <w:sz w:val="18"/>
              </w:rPr>
              <w:t> </w:t>
            </w:r>
            <w:r>
              <w:rPr>
                <w:color w:val="105C84"/>
                <w:sz w:val="18"/>
              </w:rPr>
              <w:t>events</w:t>
            </w:r>
            <w:r>
              <w:rPr>
                <w:color w:val="105C84"/>
                <w:spacing w:val="-11"/>
                <w:sz w:val="18"/>
              </w:rPr>
              <w:t> </w:t>
            </w:r>
            <w:r>
              <w:rPr>
                <w:color w:val="105C84"/>
                <w:sz w:val="18"/>
              </w:rPr>
              <w:t>on </w:t>
            </w:r>
            <w:r>
              <w:rPr>
                <w:color w:val="105C84"/>
                <w:spacing w:val="-2"/>
                <w:sz w:val="18"/>
              </w:rPr>
              <w:t>ACES</w:t>
            </w:r>
            <w:r>
              <w:rPr>
                <w:color w:val="105C84"/>
                <w:spacing w:val="-11"/>
                <w:sz w:val="18"/>
              </w:rPr>
              <w:t> </w:t>
            </w:r>
            <w:r>
              <w:rPr>
                <w:color w:val="105C84"/>
                <w:spacing w:val="-2"/>
                <w:sz w:val="18"/>
              </w:rPr>
              <w:t>and</w:t>
            </w:r>
            <w:r>
              <w:rPr>
                <w:color w:val="105C84"/>
                <w:spacing w:val="-10"/>
                <w:sz w:val="18"/>
              </w:rPr>
              <w:t> </w:t>
            </w:r>
            <w:r>
              <w:rPr>
                <w:color w:val="105C84"/>
                <w:spacing w:val="-2"/>
                <w:sz w:val="18"/>
              </w:rPr>
              <w:t>Resilience</w:t>
            </w:r>
            <w:r>
              <w:rPr>
                <w:color w:val="105C84"/>
                <w:spacing w:val="-11"/>
                <w:sz w:val="18"/>
              </w:rPr>
              <w:t> </w:t>
            </w:r>
            <w:r>
              <w:rPr>
                <w:color w:val="105C84"/>
                <w:spacing w:val="-2"/>
                <w:sz w:val="18"/>
              </w:rPr>
              <w:t>in communities</w:t>
            </w:r>
          </w:p>
        </w:tc>
        <w:tc>
          <w:tcPr>
            <w:tcW w:w="2404" w:type="dxa"/>
          </w:tcPr>
          <w:p>
            <w:pPr>
              <w:pStyle w:val="TableParagraph"/>
              <w:spacing w:line="232" w:lineRule="auto" w:before="100"/>
              <w:ind w:left="90" w:right="92"/>
              <w:rPr>
                <w:sz w:val="18"/>
              </w:rPr>
            </w:pPr>
            <w:r>
              <w:rPr>
                <w:color w:val="105C84"/>
                <w:sz w:val="18"/>
              </w:rPr>
              <w:t>Continue to promote informational</w:t>
            </w:r>
            <w:r>
              <w:rPr>
                <w:color w:val="105C84"/>
                <w:spacing w:val="-11"/>
                <w:sz w:val="18"/>
              </w:rPr>
              <w:t> </w:t>
            </w:r>
            <w:r>
              <w:rPr>
                <w:color w:val="105C84"/>
                <w:sz w:val="18"/>
              </w:rPr>
              <w:t>events</w:t>
            </w:r>
            <w:r>
              <w:rPr>
                <w:color w:val="105C84"/>
                <w:spacing w:val="-11"/>
                <w:sz w:val="18"/>
              </w:rPr>
              <w:t> </w:t>
            </w:r>
            <w:r>
              <w:rPr>
                <w:color w:val="105C84"/>
                <w:sz w:val="18"/>
              </w:rPr>
              <w:t>on </w:t>
            </w:r>
            <w:r>
              <w:rPr>
                <w:color w:val="105C84"/>
                <w:spacing w:val="-2"/>
                <w:sz w:val="18"/>
              </w:rPr>
              <w:t>ACES</w:t>
            </w:r>
            <w:r>
              <w:rPr>
                <w:color w:val="105C84"/>
                <w:spacing w:val="-11"/>
                <w:sz w:val="18"/>
              </w:rPr>
              <w:t> </w:t>
            </w:r>
            <w:r>
              <w:rPr>
                <w:color w:val="105C84"/>
                <w:spacing w:val="-2"/>
                <w:sz w:val="18"/>
              </w:rPr>
              <w:t>and</w:t>
            </w:r>
            <w:r>
              <w:rPr>
                <w:color w:val="105C84"/>
                <w:spacing w:val="-10"/>
                <w:sz w:val="18"/>
              </w:rPr>
              <w:t> </w:t>
            </w:r>
            <w:r>
              <w:rPr>
                <w:color w:val="105C84"/>
                <w:spacing w:val="-2"/>
                <w:sz w:val="18"/>
              </w:rPr>
              <w:t>Resilience</w:t>
            </w:r>
            <w:r>
              <w:rPr>
                <w:color w:val="105C84"/>
                <w:spacing w:val="-11"/>
                <w:sz w:val="18"/>
              </w:rPr>
              <w:t> </w:t>
            </w:r>
            <w:r>
              <w:rPr>
                <w:color w:val="105C84"/>
                <w:spacing w:val="-2"/>
                <w:sz w:val="18"/>
              </w:rPr>
              <w:t>in communities</w:t>
            </w:r>
          </w:p>
        </w:tc>
        <w:tc>
          <w:tcPr>
            <w:tcW w:w="1814" w:type="dxa"/>
          </w:tcPr>
          <w:p>
            <w:pPr>
              <w:pStyle w:val="TableParagraph"/>
              <w:spacing w:line="232" w:lineRule="auto" w:before="100"/>
              <w:ind w:left="91"/>
              <w:rPr>
                <w:sz w:val="18"/>
              </w:rPr>
            </w:pPr>
            <w:r>
              <w:rPr>
                <w:color w:val="105C84"/>
                <w:spacing w:val="-2"/>
                <w:sz w:val="18"/>
              </w:rPr>
              <w:t>Community-</w:t>
            </w:r>
            <w:r>
              <w:rPr>
                <w:color w:val="105C84"/>
                <w:spacing w:val="-2"/>
                <w:sz w:val="18"/>
              </w:rPr>
              <w:t>based organizations</w:t>
            </w:r>
          </w:p>
        </w:tc>
        <w:tc>
          <w:tcPr>
            <w:tcW w:w="1550" w:type="dxa"/>
          </w:tcPr>
          <w:p>
            <w:pPr>
              <w:pStyle w:val="TableParagraph"/>
              <w:spacing w:before="95"/>
              <w:ind w:left="91"/>
              <w:rPr>
                <w:sz w:val="18"/>
              </w:rPr>
            </w:pPr>
            <w:r>
              <w:rPr>
                <w:color w:val="105C84"/>
                <w:spacing w:val="-11"/>
                <w:sz w:val="18"/>
              </w:rPr>
              <w:t>5%</w:t>
            </w:r>
            <w:r>
              <w:rPr>
                <w:color w:val="105C84"/>
                <w:spacing w:val="-3"/>
                <w:sz w:val="18"/>
              </w:rPr>
              <w:t> </w:t>
            </w:r>
            <w:r>
              <w:rPr>
                <w:color w:val="105C84"/>
                <w:spacing w:val="-5"/>
                <w:sz w:val="18"/>
              </w:rPr>
              <w:t>FTE</w:t>
            </w:r>
          </w:p>
        </w:tc>
      </w:tr>
      <w:tr>
        <w:trPr>
          <w:trHeight w:val="1442" w:hRule="atLeast"/>
        </w:trPr>
        <w:tc>
          <w:tcPr>
            <w:tcW w:w="1526" w:type="dxa"/>
            <w:tcBorders>
              <w:top w:val="nil"/>
              <w:bottom w:val="nil"/>
            </w:tcBorders>
            <w:shd w:val="clear" w:color="auto" w:fill="E6E7E8"/>
          </w:tcPr>
          <w:p>
            <w:pPr>
              <w:pStyle w:val="TableParagraph"/>
              <w:rPr>
                <w:rFonts w:ascii="Times New Roman"/>
                <w:sz w:val="18"/>
              </w:rPr>
            </w:pPr>
          </w:p>
        </w:tc>
        <w:tc>
          <w:tcPr>
            <w:tcW w:w="1469" w:type="dxa"/>
            <w:tcBorders>
              <w:top w:val="nil"/>
              <w:bottom w:val="nil"/>
            </w:tcBorders>
          </w:tcPr>
          <w:p>
            <w:pPr>
              <w:pStyle w:val="TableParagraph"/>
              <w:rPr>
                <w:rFonts w:ascii="Times New Roman"/>
                <w:sz w:val="18"/>
              </w:rPr>
            </w:pPr>
          </w:p>
        </w:tc>
        <w:tc>
          <w:tcPr>
            <w:tcW w:w="1246" w:type="dxa"/>
            <w:tcBorders>
              <w:top w:val="nil"/>
              <w:bottom w:val="nil"/>
            </w:tcBorders>
          </w:tcPr>
          <w:p>
            <w:pPr>
              <w:pStyle w:val="TableParagraph"/>
              <w:rPr>
                <w:rFonts w:ascii="Times New Roman"/>
                <w:sz w:val="18"/>
              </w:rPr>
            </w:pPr>
          </w:p>
        </w:tc>
        <w:tc>
          <w:tcPr>
            <w:tcW w:w="2225" w:type="dxa"/>
            <w:tcBorders>
              <w:top w:val="nil"/>
              <w:bottom w:val="nil"/>
            </w:tcBorders>
          </w:tcPr>
          <w:p>
            <w:pPr>
              <w:pStyle w:val="TableParagraph"/>
              <w:rPr>
                <w:rFonts w:ascii="Times New Roman"/>
                <w:sz w:val="18"/>
              </w:rPr>
            </w:pPr>
          </w:p>
        </w:tc>
        <w:tc>
          <w:tcPr>
            <w:tcW w:w="2261" w:type="dxa"/>
            <w:tcBorders>
              <w:bottom w:val="nil"/>
            </w:tcBorders>
          </w:tcPr>
          <w:p>
            <w:pPr>
              <w:pStyle w:val="TableParagraph"/>
              <w:spacing w:line="232" w:lineRule="auto" w:before="100"/>
              <w:ind w:left="89" w:right="188"/>
              <w:rPr>
                <w:sz w:val="18"/>
              </w:rPr>
            </w:pPr>
            <w:r>
              <w:rPr>
                <w:color w:val="105C84"/>
                <w:sz w:val="18"/>
              </w:rPr>
              <w:t>2.3.2 Address Adverse Childhood</w:t>
            </w:r>
            <w:r>
              <w:rPr>
                <w:color w:val="105C84"/>
                <w:spacing w:val="-13"/>
                <w:sz w:val="18"/>
              </w:rPr>
              <w:t> </w:t>
            </w:r>
            <w:r>
              <w:rPr>
                <w:color w:val="105C84"/>
                <w:sz w:val="18"/>
              </w:rPr>
              <w:t>Experiences</w:t>
            </w:r>
            <w:r>
              <w:rPr>
                <w:color w:val="105C84"/>
                <w:sz w:val="18"/>
              </w:rPr>
              <w:t> and other types of trauma in the primary care setting</w:t>
            </w:r>
          </w:p>
        </w:tc>
        <w:tc>
          <w:tcPr>
            <w:tcW w:w="2437" w:type="dxa"/>
            <w:tcBorders>
              <w:bottom w:val="nil"/>
              <w:right w:val="nil"/>
            </w:tcBorders>
          </w:tcPr>
          <w:p>
            <w:pPr>
              <w:pStyle w:val="TableParagraph"/>
              <w:spacing w:line="232" w:lineRule="auto" w:before="100"/>
              <w:ind w:left="89" w:right="1314"/>
              <w:rPr>
                <w:sz w:val="18"/>
              </w:rPr>
            </w:pPr>
            <w:r>
              <w:rPr>
                <w:color w:val="105C84"/>
                <w:sz w:val="18"/>
              </w:rPr>
              <w:t>Percent of </w:t>
            </w:r>
            <w:r>
              <w:rPr>
                <w:color w:val="105C84"/>
                <w:spacing w:val="-2"/>
                <w:sz w:val="18"/>
              </w:rPr>
              <w:t>primary</w:t>
            </w:r>
            <w:r>
              <w:rPr>
                <w:color w:val="105C84"/>
                <w:spacing w:val="-11"/>
                <w:sz w:val="18"/>
              </w:rPr>
              <w:t> </w:t>
            </w:r>
            <w:r>
              <w:rPr>
                <w:color w:val="105C84"/>
                <w:spacing w:val="-2"/>
                <w:sz w:val="18"/>
              </w:rPr>
              <w:t>care </w:t>
            </w:r>
            <w:r>
              <w:rPr>
                <w:color w:val="105C84"/>
                <w:sz w:val="18"/>
              </w:rPr>
              <w:t>settings</w:t>
            </w:r>
            <w:r>
              <w:rPr>
                <w:color w:val="105C84"/>
                <w:spacing w:val="-13"/>
                <w:sz w:val="18"/>
              </w:rPr>
              <w:t> </w:t>
            </w:r>
            <w:r>
              <w:rPr>
                <w:color w:val="105C84"/>
                <w:sz w:val="18"/>
              </w:rPr>
              <w:t>that screen for </w:t>
            </w:r>
            <w:r>
              <w:rPr>
                <w:color w:val="105C84"/>
                <w:spacing w:val="-4"/>
                <w:sz w:val="18"/>
              </w:rPr>
              <w:t>ACES</w:t>
            </w:r>
          </w:p>
        </w:tc>
        <w:tc>
          <w:tcPr>
            <w:tcW w:w="2984" w:type="dxa"/>
            <w:tcBorders>
              <w:left w:val="nil"/>
              <w:bottom w:val="nil"/>
            </w:tcBorders>
          </w:tcPr>
          <w:p>
            <w:pPr>
              <w:pStyle w:val="TableParagraph"/>
              <w:spacing w:line="232" w:lineRule="auto" w:before="100"/>
              <w:ind w:left="1084" w:right="197"/>
              <w:rPr>
                <w:sz w:val="18"/>
              </w:rPr>
            </w:pPr>
            <w:r>
              <w:rPr>
                <w:color w:val="105C84"/>
                <w:sz w:val="18"/>
              </w:rPr>
              <w:t>Coordinate with community</w:t>
            </w:r>
            <w:r>
              <w:rPr>
                <w:color w:val="105C84"/>
                <w:spacing w:val="-13"/>
                <w:sz w:val="18"/>
              </w:rPr>
              <w:t> </w:t>
            </w:r>
            <w:r>
              <w:rPr>
                <w:color w:val="105C84"/>
                <w:sz w:val="18"/>
              </w:rPr>
              <w:t>partners to</w:t>
            </w:r>
            <w:r>
              <w:rPr>
                <w:color w:val="105C84"/>
                <w:spacing w:val="-5"/>
                <w:sz w:val="18"/>
              </w:rPr>
              <w:t> </w:t>
            </w:r>
            <w:r>
              <w:rPr>
                <w:color w:val="105C84"/>
                <w:sz w:val="18"/>
              </w:rPr>
              <w:t>address</w:t>
            </w:r>
            <w:r>
              <w:rPr>
                <w:color w:val="105C84"/>
                <w:spacing w:val="-5"/>
                <w:sz w:val="18"/>
              </w:rPr>
              <w:t> </w:t>
            </w:r>
            <w:r>
              <w:rPr>
                <w:color w:val="105C84"/>
                <w:sz w:val="18"/>
              </w:rPr>
              <w:t>ACES</w:t>
            </w:r>
            <w:r>
              <w:rPr>
                <w:color w:val="105C84"/>
                <w:spacing w:val="-5"/>
                <w:sz w:val="18"/>
              </w:rPr>
              <w:t> </w:t>
            </w:r>
            <w:r>
              <w:rPr>
                <w:color w:val="105C84"/>
                <w:sz w:val="18"/>
              </w:rPr>
              <w:t>in primary</w:t>
            </w:r>
            <w:r>
              <w:rPr>
                <w:color w:val="105C84"/>
                <w:spacing w:val="-13"/>
                <w:sz w:val="18"/>
              </w:rPr>
              <w:t> </w:t>
            </w:r>
            <w:r>
              <w:rPr>
                <w:color w:val="105C84"/>
                <w:sz w:val="18"/>
              </w:rPr>
              <w:t>care</w:t>
            </w:r>
            <w:r>
              <w:rPr>
                <w:color w:val="105C84"/>
                <w:spacing w:val="-12"/>
                <w:sz w:val="18"/>
              </w:rPr>
              <w:t> </w:t>
            </w:r>
            <w:r>
              <w:rPr>
                <w:color w:val="105C84"/>
                <w:sz w:val="18"/>
              </w:rPr>
              <w:t>setting</w:t>
            </w:r>
          </w:p>
        </w:tc>
        <w:tc>
          <w:tcPr>
            <w:tcW w:w="2404" w:type="dxa"/>
            <w:tcBorders>
              <w:bottom w:val="nil"/>
            </w:tcBorders>
          </w:tcPr>
          <w:p>
            <w:pPr>
              <w:pStyle w:val="TableParagraph"/>
              <w:spacing w:line="232" w:lineRule="auto" w:before="100"/>
              <w:ind w:left="89" w:right="131"/>
              <w:rPr>
                <w:sz w:val="18"/>
              </w:rPr>
            </w:pPr>
            <w:r>
              <w:rPr>
                <w:color w:val="105C84"/>
                <w:sz w:val="18"/>
              </w:rPr>
              <w:t>Offer and provide education</w:t>
            </w:r>
            <w:r>
              <w:rPr>
                <w:color w:val="105C84"/>
                <w:spacing w:val="-13"/>
                <w:sz w:val="18"/>
              </w:rPr>
              <w:t> </w:t>
            </w:r>
            <w:r>
              <w:rPr>
                <w:color w:val="105C84"/>
                <w:sz w:val="18"/>
              </w:rPr>
              <w:t>about</w:t>
            </w:r>
            <w:r>
              <w:rPr>
                <w:color w:val="105C84"/>
                <w:spacing w:val="-12"/>
                <w:sz w:val="18"/>
              </w:rPr>
              <w:t> </w:t>
            </w:r>
            <w:r>
              <w:rPr>
                <w:color w:val="105C84"/>
                <w:sz w:val="18"/>
              </w:rPr>
              <w:t>ACES</w:t>
            </w:r>
            <w:r>
              <w:rPr>
                <w:color w:val="105C84"/>
                <w:spacing w:val="-13"/>
                <w:sz w:val="18"/>
              </w:rPr>
              <w:t> </w:t>
            </w:r>
            <w:r>
              <w:rPr>
                <w:color w:val="105C84"/>
                <w:sz w:val="18"/>
              </w:rPr>
              <w:t>and referral system</w:t>
            </w:r>
          </w:p>
        </w:tc>
        <w:tc>
          <w:tcPr>
            <w:tcW w:w="2404" w:type="dxa"/>
            <w:tcBorders>
              <w:bottom w:val="nil"/>
            </w:tcBorders>
          </w:tcPr>
          <w:p>
            <w:pPr>
              <w:pStyle w:val="TableParagraph"/>
              <w:spacing w:line="232" w:lineRule="auto" w:before="100"/>
              <w:ind w:left="90" w:right="92"/>
              <w:rPr>
                <w:sz w:val="18"/>
              </w:rPr>
            </w:pPr>
            <w:r>
              <w:rPr>
                <w:color w:val="105C84"/>
                <w:sz w:val="18"/>
              </w:rPr>
              <w:t>Implement screening </w:t>
            </w:r>
            <w:r>
              <w:rPr>
                <w:color w:val="105C84"/>
                <w:sz w:val="18"/>
              </w:rPr>
              <w:t>tool </w:t>
            </w:r>
            <w:r>
              <w:rPr>
                <w:color w:val="105C84"/>
                <w:w w:val="105"/>
                <w:sz w:val="18"/>
              </w:rPr>
              <w:t>for ACES at the mental health</w:t>
            </w:r>
            <w:r>
              <w:rPr>
                <w:color w:val="105C84"/>
                <w:spacing w:val="-1"/>
                <w:w w:val="105"/>
                <w:sz w:val="18"/>
              </w:rPr>
              <w:t> </w:t>
            </w:r>
            <w:r>
              <w:rPr>
                <w:color w:val="105C84"/>
                <w:w w:val="105"/>
                <w:sz w:val="18"/>
              </w:rPr>
              <w:t>clinic</w:t>
            </w:r>
          </w:p>
          <w:p>
            <w:pPr>
              <w:pStyle w:val="TableParagraph"/>
              <w:spacing w:line="232" w:lineRule="auto" w:before="88"/>
              <w:ind w:left="90" w:right="92"/>
              <w:rPr>
                <w:sz w:val="18"/>
              </w:rPr>
            </w:pPr>
            <w:r>
              <w:rPr>
                <w:color w:val="105C84"/>
                <w:sz w:val="18"/>
              </w:rPr>
              <w:t>Coordinate with </w:t>
            </w:r>
            <w:r>
              <w:rPr>
                <w:color w:val="105C84"/>
                <w:sz w:val="18"/>
              </w:rPr>
              <w:t>community partners to address ACES in primary care setting</w:t>
            </w:r>
          </w:p>
        </w:tc>
        <w:tc>
          <w:tcPr>
            <w:tcW w:w="1814" w:type="dxa"/>
            <w:tcBorders>
              <w:bottom w:val="nil"/>
            </w:tcBorders>
          </w:tcPr>
          <w:p>
            <w:pPr>
              <w:pStyle w:val="TableParagraph"/>
              <w:spacing w:line="232" w:lineRule="auto" w:before="100"/>
              <w:ind w:left="91" w:right="392"/>
              <w:rPr>
                <w:sz w:val="18"/>
              </w:rPr>
            </w:pPr>
            <w:r>
              <w:rPr>
                <w:color w:val="105C84"/>
                <w:spacing w:val="-2"/>
                <w:sz w:val="18"/>
              </w:rPr>
              <w:t>Local governmental </w:t>
            </w:r>
            <w:r>
              <w:rPr>
                <w:color w:val="105C84"/>
                <w:spacing w:val="-4"/>
                <w:sz w:val="18"/>
              </w:rPr>
              <w:t>unit</w:t>
            </w:r>
          </w:p>
        </w:tc>
        <w:tc>
          <w:tcPr>
            <w:tcW w:w="1550" w:type="dxa"/>
            <w:tcBorders>
              <w:bottom w:val="nil"/>
            </w:tcBorders>
          </w:tcPr>
          <w:p>
            <w:pPr>
              <w:pStyle w:val="TableParagraph"/>
              <w:spacing w:line="232" w:lineRule="auto" w:before="100"/>
              <w:ind w:left="91" w:right="146"/>
              <w:rPr>
                <w:sz w:val="18"/>
              </w:rPr>
            </w:pPr>
            <w:r>
              <w:rPr>
                <w:color w:val="105C84"/>
                <w:sz w:val="18"/>
              </w:rPr>
              <w:t>Mental Health </w:t>
            </w:r>
            <w:r>
              <w:rPr>
                <w:color w:val="105C84"/>
                <w:spacing w:val="-2"/>
                <w:sz w:val="18"/>
              </w:rPr>
              <w:t>Clinic</w:t>
            </w:r>
            <w:r>
              <w:rPr>
                <w:color w:val="105C84"/>
                <w:spacing w:val="-11"/>
                <w:sz w:val="18"/>
              </w:rPr>
              <w:t> </w:t>
            </w:r>
            <w:r>
              <w:rPr>
                <w:color w:val="105C84"/>
                <w:spacing w:val="-2"/>
                <w:sz w:val="18"/>
              </w:rPr>
              <w:t>2%</w:t>
            </w:r>
            <w:r>
              <w:rPr>
                <w:color w:val="105C84"/>
                <w:spacing w:val="-10"/>
                <w:sz w:val="18"/>
              </w:rPr>
              <w:t> </w:t>
            </w:r>
            <w:r>
              <w:rPr>
                <w:color w:val="105C84"/>
                <w:spacing w:val="-2"/>
                <w:sz w:val="18"/>
              </w:rPr>
              <w:t>of</w:t>
            </w:r>
            <w:r>
              <w:rPr>
                <w:color w:val="105C84"/>
                <w:spacing w:val="-11"/>
                <w:sz w:val="18"/>
              </w:rPr>
              <w:t> </w:t>
            </w:r>
            <w:r>
              <w:rPr>
                <w:color w:val="105C84"/>
                <w:spacing w:val="-2"/>
                <w:sz w:val="18"/>
              </w:rPr>
              <w:t>FTE</w:t>
            </w:r>
          </w:p>
        </w:tc>
      </w:tr>
      <w:tr>
        <w:trPr>
          <w:trHeight w:val="777" w:hRule="atLeast"/>
        </w:trPr>
        <w:tc>
          <w:tcPr>
            <w:tcW w:w="1526" w:type="dxa"/>
            <w:tcBorders>
              <w:top w:val="nil"/>
              <w:bottom w:val="nil"/>
            </w:tcBorders>
            <w:shd w:val="clear" w:color="auto" w:fill="E6E7E8"/>
          </w:tcPr>
          <w:p>
            <w:pPr>
              <w:pStyle w:val="TableParagraph"/>
              <w:rPr>
                <w:rFonts w:ascii="Times New Roman"/>
                <w:sz w:val="18"/>
              </w:rPr>
            </w:pPr>
          </w:p>
        </w:tc>
        <w:tc>
          <w:tcPr>
            <w:tcW w:w="1469" w:type="dxa"/>
            <w:tcBorders>
              <w:top w:val="nil"/>
              <w:bottom w:val="nil"/>
            </w:tcBorders>
          </w:tcPr>
          <w:p>
            <w:pPr>
              <w:pStyle w:val="TableParagraph"/>
              <w:rPr>
                <w:rFonts w:ascii="Times New Roman"/>
                <w:sz w:val="18"/>
              </w:rPr>
            </w:pPr>
          </w:p>
        </w:tc>
        <w:tc>
          <w:tcPr>
            <w:tcW w:w="1246" w:type="dxa"/>
            <w:tcBorders>
              <w:top w:val="nil"/>
              <w:bottom w:val="nil"/>
            </w:tcBorders>
          </w:tcPr>
          <w:p>
            <w:pPr>
              <w:pStyle w:val="TableParagraph"/>
              <w:rPr>
                <w:rFonts w:ascii="Times New Roman"/>
                <w:sz w:val="18"/>
              </w:rPr>
            </w:pPr>
          </w:p>
        </w:tc>
        <w:tc>
          <w:tcPr>
            <w:tcW w:w="2225" w:type="dxa"/>
            <w:tcBorders>
              <w:top w:val="nil"/>
              <w:bottom w:val="nil"/>
            </w:tcBorders>
          </w:tcPr>
          <w:p>
            <w:pPr>
              <w:pStyle w:val="TableParagraph"/>
              <w:rPr>
                <w:rFonts w:ascii="Times New Roman"/>
                <w:sz w:val="18"/>
              </w:rPr>
            </w:pPr>
          </w:p>
        </w:tc>
        <w:tc>
          <w:tcPr>
            <w:tcW w:w="2261" w:type="dxa"/>
            <w:tcBorders>
              <w:top w:val="nil"/>
              <w:bottom w:val="nil"/>
            </w:tcBorders>
          </w:tcPr>
          <w:p>
            <w:pPr>
              <w:pStyle w:val="TableParagraph"/>
              <w:rPr>
                <w:rFonts w:ascii="Times New Roman"/>
                <w:sz w:val="18"/>
              </w:rPr>
            </w:pPr>
          </w:p>
        </w:tc>
        <w:tc>
          <w:tcPr>
            <w:tcW w:w="2437" w:type="dxa"/>
            <w:tcBorders>
              <w:top w:val="nil"/>
              <w:bottom w:val="nil"/>
              <w:right w:val="nil"/>
            </w:tcBorders>
          </w:tcPr>
          <w:p>
            <w:pPr>
              <w:pStyle w:val="TableParagraph"/>
              <w:rPr>
                <w:rFonts w:ascii="Times New Roman"/>
                <w:sz w:val="18"/>
              </w:rPr>
            </w:pPr>
          </w:p>
        </w:tc>
        <w:tc>
          <w:tcPr>
            <w:tcW w:w="2984" w:type="dxa"/>
            <w:tcBorders>
              <w:top w:val="nil"/>
              <w:left w:val="nil"/>
            </w:tcBorders>
          </w:tcPr>
          <w:p>
            <w:pPr>
              <w:pStyle w:val="TableParagraph"/>
              <w:rPr>
                <w:rFonts w:ascii="Times New Roman"/>
                <w:sz w:val="18"/>
              </w:rPr>
            </w:pPr>
          </w:p>
        </w:tc>
        <w:tc>
          <w:tcPr>
            <w:tcW w:w="2404" w:type="dxa"/>
            <w:tcBorders>
              <w:top w:val="nil"/>
            </w:tcBorders>
          </w:tcPr>
          <w:p>
            <w:pPr>
              <w:pStyle w:val="TableParagraph"/>
              <w:rPr>
                <w:rFonts w:ascii="Times New Roman"/>
                <w:sz w:val="18"/>
              </w:rPr>
            </w:pPr>
          </w:p>
        </w:tc>
        <w:tc>
          <w:tcPr>
            <w:tcW w:w="2404" w:type="dxa"/>
            <w:tcBorders>
              <w:top w:val="nil"/>
            </w:tcBorders>
          </w:tcPr>
          <w:p>
            <w:pPr>
              <w:pStyle w:val="TableParagraph"/>
              <w:spacing w:line="232" w:lineRule="auto" w:before="38"/>
              <w:ind w:left="90" w:right="470"/>
              <w:jc w:val="both"/>
              <w:rPr>
                <w:sz w:val="18"/>
              </w:rPr>
            </w:pPr>
            <w:r>
              <w:rPr>
                <w:color w:val="105C84"/>
                <w:sz w:val="18"/>
              </w:rPr>
              <w:t>Work</w:t>
            </w:r>
            <w:r>
              <w:rPr>
                <w:color w:val="105C84"/>
                <w:spacing w:val="-13"/>
                <w:sz w:val="18"/>
              </w:rPr>
              <w:t> </w:t>
            </w:r>
            <w:r>
              <w:rPr>
                <w:color w:val="105C84"/>
                <w:sz w:val="18"/>
              </w:rPr>
              <w:t>with</w:t>
            </w:r>
            <w:r>
              <w:rPr>
                <w:color w:val="105C84"/>
                <w:spacing w:val="-12"/>
                <w:sz w:val="18"/>
              </w:rPr>
              <w:t> </w:t>
            </w:r>
            <w:r>
              <w:rPr>
                <w:color w:val="105C84"/>
                <w:sz w:val="18"/>
              </w:rPr>
              <w:t>primary</w:t>
            </w:r>
            <w:r>
              <w:rPr>
                <w:color w:val="105C84"/>
                <w:spacing w:val="-13"/>
                <w:sz w:val="18"/>
              </w:rPr>
              <w:t> </w:t>
            </w:r>
            <w:r>
              <w:rPr>
                <w:color w:val="105C84"/>
                <w:sz w:val="18"/>
              </w:rPr>
              <w:t>care on</w:t>
            </w:r>
            <w:r>
              <w:rPr>
                <w:color w:val="105C84"/>
                <w:spacing w:val="-6"/>
                <w:sz w:val="18"/>
              </w:rPr>
              <w:t> </w:t>
            </w:r>
            <w:r>
              <w:rPr>
                <w:color w:val="105C84"/>
                <w:sz w:val="18"/>
              </w:rPr>
              <w:t>evaluation</w:t>
            </w:r>
            <w:r>
              <w:rPr>
                <w:color w:val="105C84"/>
                <w:spacing w:val="-6"/>
                <w:sz w:val="18"/>
              </w:rPr>
              <w:t> </w:t>
            </w:r>
            <w:r>
              <w:rPr>
                <w:color w:val="105C84"/>
                <w:sz w:val="18"/>
              </w:rPr>
              <w:t>of</w:t>
            </w:r>
            <w:r>
              <w:rPr>
                <w:color w:val="105C84"/>
                <w:spacing w:val="-6"/>
                <w:sz w:val="18"/>
              </w:rPr>
              <w:t> </w:t>
            </w:r>
            <w:r>
              <w:rPr>
                <w:color w:val="105C84"/>
                <w:sz w:val="18"/>
              </w:rPr>
              <w:t>ACES </w:t>
            </w:r>
            <w:r>
              <w:rPr>
                <w:color w:val="105C84"/>
                <w:spacing w:val="-2"/>
                <w:sz w:val="18"/>
              </w:rPr>
              <w:t>intervention</w:t>
            </w:r>
          </w:p>
        </w:tc>
        <w:tc>
          <w:tcPr>
            <w:tcW w:w="1814" w:type="dxa"/>
            <w:tcBorders>
              <w:top w:val="nil"/>
            </w:tcBorders>
          </w:tcPr>
          <w:p>
            <w:pPr>
              <w:pStyle w:val="TableParagraph"/>
              <w:rPr>
                <w:rFonts w:ascii="Times New Roman"/>
                <w:sz w:val="18"/>
              </w:rPr>
            </w:pPr>
          </w:p>
        </w:tc>
        <w:tc>
          <w:tcPr>
            <w:tcW w:w="1550" w:type="dxa"/>
            <w:tcBorders>
              <w:top w:val="nil"/>
            </w:tcBorders>
          </w:tcPr>
          <w:p>
            <w:pPr>
              <w:pStyle w:val="TableParagraph"/>
              <w:rPr>
                <w:rFonts w:ascii="Times New Roman"/>
                <w:sz w:val="18"/>
              </w:rPr>
            </w:pPr>
          </w:p>
        </w:tc>
      </w:tr>
      <w:tr>
        <w:trPr>
          <w:trHeight w:val="1641" w:hRule="atLeast"/>
        </w:trPr>
        <w:tc>
          <w:tcPr>
            <w:tcW w:w="1526" w:type="dxa"/>
            <w:tcBorders>
              <w:top w:val="nil"/>
              <w:bottom w:val="nil"/>
            </w:tcBorders>
            <w:shd w:val="clear" w:color="auto" w:fill="E6E7E8"/>
          </w:tcPr>
          <w:p>
            <w:pPr>
              <w:pStyle w:val="TableParagraph"/>
              <w:rPr>
                <w:rFonts w:ascii="Times New Roman"/>
                <w:sz w:val="18"/>
              </w:rPr>
            </w:pPr>
          </w:p>
        </w:tc>
        <w:tc>
          <w:tcPr>
            <w:tcW w:w="1469" w:type="dxa"/>
            <w:tcBorders>
              <w:top w:val="nil"/>
              <w:bottom w:val="nil"/>
            </w:tcBorders>
          </w:tcPr>
          <w:p>
            <w:pPr>
              <w:pStyle w:val="TableParagraph"/>
              <w:rPr>
                <w:rFonts w:ascii="Times New Roman"/>
                <w:sz w:val="18"/>
              </w:rPr>
            </w:pPr>
          </w:p>
        </w:tc>
        <w:tc>
          <w:tcPr>
            <w:tcW w:w="1246" w:type="dxa"/>
            <w:tcBorders>
              <w:top w:val="nil"/>
              <w:bottom w:val="nil"/>
            </w:tcBorders>
          </w:tcPr>
          <w:p>
            <w:pPr>
              <w:pStyle w:val="TableParagraph"/>
              <w:rPr>
                <w:rFonts w:ascii="Times New Roman"/>
                <w:sz w:val="18"/>
              </w:rPr>
            </w:pPr>
          </w:p>
        </w:tc>
        <w:tc>
          <w:tcPr>
            <w:tcW w:w="2225" w:type="dxa"/>
            <w:tcBorders>
              <w:top w:val="nil"/>
              <w:bottom w:val="nil"/>
            </w:tcBorders>
          </w:tcPr>
          <w:p>
            <w:pPr>
              <w:pStyle w:val="TableParagraph"/>
              <w:rPr>
                <w:rFonts w:ascii="Times New Roman"/>
                <w:sz w:val="18"/>
              </w:rPr>
            </w:pPr>
          </w:p>
        </w:tc>
        <w:tc>
          <w:tcPr>
            <w:tcW w:w="2261" w:type="dxa"/>
            <w:tcBorders>
              <w:top w:val="nil"/>
              <w:bottom w:val="nil"/>
            </w:tcBorders>
          </w:tcPr>
          <w:p>
            <w:pPr>
              <w:pStyle w:val="TableParagraph"/>
              <w:rPr>
                <w:rFonts w:ascii="Times New Roman"/>
                <w:sz w:val="18"/>
              </w:rPr>
            </w:pPr>
          </w:p>
        </w:tc>
        <w:tc>
          <w:tcPr>
            <w:tcW w:w="2437" w:type="dxa"/>
            <w:tcBorders>
              <w:top w:val="nil"/>
              <w:bottom w:val="nil"/>
              <w:right w:val="nil"/>
            </w:tcBorders>
          </w:tcPr>
          <w:p>
            <w:pPr>
              <w:pStyle w:val="TableParagraph"/>
              <w:rPr>
                <w:rFonts w:ascii="Times New Roman"/>
                <w:sz w:val="18"/>
              </w:rPr>
            </w:pPr>
          </w:p>
        </w:tc>
        <w:tc>
          <w:tcPr>
            <w:tcW w:w="2984" w:type="dxa"/>
            <w:tcBorders>
              <w:left w:val="nil"/>
              <w:bottom w:val="nil"/>
            </w:tcBorders>
          </w:tcPr>
          <w:p>
            <w:pPr>
              <w:pStyle w:val="TableParagraph"/>
              <w:spacing w:line="232" w:lineRule="auto" w:before="100"/>
              <w:ind w:left="1084"/>
              <w:rPr>
                <w:sz w:val="18"/>
              </w:rPr>
            </w:pPr>
            <w:r>
              <w:rPr>
                <w:color w:val="105C84"/>
                <w:sz w:val="18"/>
              </w:rPr>
              <w:t>Start</w:t>
            </w:r>
            <w:r>
              <w:rPr>
                <w:color w:val="105C84"/>
                <w:spacing w:val="-15"/>
                <w:sz w:val="18"/>
              </w:rPr>
              <w:t> </w:t>
            </w:r>
            <w:r>
              <w:rPr>
                <w:color w:val="105C84"/>
                <w:sz w:val="18"/>
              </w:rPr>
              <w:t>conversation</w:t>
            </w:r>
            <w:r>
              <w:rPr>
                <w:color w:val="105C84"/>
                <w:spacing w:val="-12"/>
                <w:sz w:val="18"/>
              </w:rPr>
              <w:t> </w:t>
            </w:r>
            <w:r>
              <w:rPr>
                <w:color w:val="105C84"/>
                <w:sz w:val="18"/>
              </w:rPr>
              <w:t>with EMR</w:t>
            </w:r>
            <w:r>
              <w:rPr>
                <w:color w:val="105C84"/>
                <w:spacing w:val="-2"/>
                <w:sz w:val="18"/>
              </w:rPr>
              <w:t> </w:t>
            </w:r>
            <w:r>
              <w:rPr>
                <w:color w:val="105C84"/>
                <w:sz w:val="18"/>
              </w:rPr>
              <w:t>on</w:t>
            </w:r>
            <w:r>
              <w:rPr>
                <w:color w:val="105C84"/>
                <w:spacing w:val="-2"/>
                <w:sz w:val="18"/>
              </w:rPr>
              <w:t> </w:t>
            </w:r>
            <w:r>
              <w:rPr>
                <w:color w:val="105C84"/>
                <w:sz w:val="18"/>
              </w:rPr>
              <w:t>getting</w:t>
            </w:r>
            <w:r>
              <w:rPr>
                <w:color w:val="105C84"/>
                <w:spacing w:val="-2"/>
                <w:sz w:val="18"/>
              </w:rPr>
              <w:t> </w:t>
            </w:r>
            <w:r>
              <w:rPr>
                <w:color w:val="105C84"/>
                <w:sz w:val="18"/>
              </w:rPr>
              <w:t>ACES screening questions entered into ECW</w:t>
            </w:r>
          </w:p>
        </w:tc>
        <w:tc>
          <w:tcPr>
            <w:tcW w:w="2404" w:type="dxa"/>
            <w:tcBorders>
              <w:bottom w:val="nil"/>
            </w:tcBorders>
          </w:tcPr>
          <w:p>
            <w:pPr>
              <w:pStyle w:val="TableParagraph"/>
              <w:spacing w:line="232" w:lineRule="auto" w:before="100"/>
              <w:ind w:left="89" w:right="328"/>
              <w:rPr>
                <w:sz w:val="18"/>
              </w:rPr>
            </w:pPr>
            <w:r>
              <w:rPr>
                <w:color w:val="105C84"/>
                <w:sz w:val="18"/>
              </w:rPr>
              <w:t>Training for ACES, end </w:t>
            </w:r>
            <w:r>
              <w:rPr>
                <w:color w:val="105C84"/>
                <w:spacing w:val="-2"/>
                <w:sz w:val="18"/>
              </w:rPr>
              <w:t>of</w:t>
            </w:r>
            <w:r>
              <w:rPr>
                <w:color w:val="105C84"/>
                <w:spacing w:val="-13"/>
                <w:sz w:val="18"/>
              </w:rPr>
              <w:t> </w:t>
            </w:r>
            <w:r>
              <w:rPr>
                <w:color w:val="105C84"/>
                <w:spacing w:val="-2"/>
                <w:sz w:val="18"/>
              </w:rPr>
              <w:t>year</w:t>
            </w:r>
            <w:r>
              <w:rPr>
                <w:color w:val="105C84"/>
                <w:spacing w:val="-10"/>
                <w:sz w:val="18"/>
              </w:rPr>
              <w:t> </w:t>
            </w:r>
            <w:r>
              <w:rPr>
                <w:color w:val="105C84"/>
                <w:spacing w:val="-2"/>
                <w:sz w:val="18"/>
              </w:rPr>
              <w:t>start</w:t>
            </w:r>
            <w:r>
              <w:rPr>
                <w:color w:val="105C84"/>
                <w:spacing w:val="-11"/>
                <w:sz w:val="18"/>
              </w:rPr>
              <w:t> </w:t>
            </w:r>
            <w:r>
              <w:rPr>
                <w:color w:val="105C84"/>
                <w:spacing w:val="-2"/>
                <w:sz w:val="18"/>
              </w:rPr>
              <w:t>using</w:t>
            </w:r>
            <w:r>
              <w:rPr>
                <w:color w:val="105C84"/>
                <w:spacing w:val="-10"/>
                <w:sz w:val="18"/>
              </w:rPr>
              <w:t> </w:t>
            </w:r>
            <w:r>
              <w:rPr>
                <w:color w:val="105C84"/>
                <w:spacing w:val="-2"/>
                <w:sz w:val="18"/>
              </w:rPr>
              <w:t>ACES </w:t>
            </w:r>
            <w:r>
              <w:rPr>
                <w:color w:val="105C84"/>
                <w:sz w:val="18"/>
              </w:rPr>
              <w:t>screening tool</w:t>
            </w:r>
          </w:p>
          <w:p>
            <w:pPr>
              <w:pStyle w:val="TableParagraph"/>
              <w:spacing w:line="232" w:lineRule="auto" w:before="88"/>
              <w:ind w:left="89"/>
              <w:rPr>
                <w:sz w:val="18"/>
              </w:rPr>
            </w:pPr>
            <w:r>
              <w:rPr>
                <w:color w:val="105C84"/>
                <w:sz w:val="18"/>
              </w:rPr>
              <w:t>Work with Mental Health Clinic</w:t>
            </w:r>
            <w:r>
              <w:rPr>
                <w:color w:val="105C84"/>
                <w:spacing w:val="-1"/>
                <w:sz w:val="18"/>
              </w:rPr>
              <w:t> </w:t>
            </w:r>
            <w:r>
              <w:rPr>
                <w:color w:val="105C84"/>
                <w:sz w:val="18"/>
              </w:rPr>
              <w:t>on</w:t>
            </w:r>
            <w:r>
              <w:rPr>
                <w:color w:val="105C84"/>
                <w:spacing w:val="-1"/>
                <w:sz w:val="18"/>
              </w:rPr>
              <w:t> </w:t>
            </w:r>
            <w:r>
              <w:rPr>
                <w:color w:val="105C84"/>
                <w:sz w:val="18"/>
              </w:rPr>
              <w:t>strengthening</w:t>
            </w:r>
            <w:r>
              <w:rPr>
                <w:color w:val="105C84"/>
                <w:spacing w:val="-1"/>
                <w:sz w:val="18"/>
              </w:rPr>
              <w:t> </w:t>
            </w:r>
            <w:r>
              <w:rPr>
                <w:color w:val="105C84"/>
                <w:sz w:val="18"/>
              </w:rPr>
              <w:t>the referral process and follow </w:t>
            </w:r>
            <w:r>
              <w:rPr>
                <w:color w:val="105C84"/>
                <w:spacing w:val="-2"/>
                <w:sz w:val="18"/>
              </w:rPr>
              <w:t>through</w:t>
            </w:r>
          </w:p>
        </w:tc>
        <w:tc>
          <w:tcPr>
            <w:tcW w:w="2404" w:type="dxa"/>
            <w:tcBorders>
              <w:bottom w:val="nil"/>
            </w:tcBorders>
          </w:tcPr>
          <w:p>
            <w:pPr>
              <w:pStyle w:val="TableParagraph"/>
              <w:spacing w:line="232" w:lineRule="auto" w:before="100"/>
              <w:ind w:left="90" w:right="92"/>
              <w:rPr>
                <w:sz w:val="18"/>
              </w:rPr>
            </w:pPr>
            <w:r>
              <w:rPr>
                <w:color w:val="105C84"/>
                <w:spacing w:val="-4"/>
                <w:sz w:val="18"/>
              </w:rPr>
              <w:t>Evaluate</w:t>
            </w:r>
            <w:r>
              <w:rPr>
                <w:color w:val="105C84"/>
                <w:spacing w:val="-11"/>
                <w:sz w:val="18"/>
              </w:rPr>
              <w:t> </w:t>
            </w:r>
            <w:r>
              <w:rPr>
                <w:color w:val="105C84"/>
                <w:spacing w:val="-4"/>
                <w:sz w:val="18"/>
              </w:rPr>
              <w:t>ACES</w:t>
            </w:r>
            <w:r>
              <w:rPr>
                <w:color w:val="105C84"/>
                <w:spacing w:val="-8"/>
                <w:sz w:val="18"/>
              </w:rPr>
              <w:t> </w:t>
            </w:r>
            <w:r>
              <w:rPr>
                <w:color w:val="105C84"/>
                <w:spacing w:val="-4"/>
                <w:sz w:val="18"/>
              </w:rPr>
              <w:t>Screening </w:t>
            </w:r>
            <w:r>
              <w:rPr>
                <w:color w:val="105C84"/>
                <w:sz w:val="18"/>
              </w:rPr>
              <w:t>process and update protocols as needed</w:t>
            </w:r>
          </w:p>
        </w:tc>
        <w:tc>
          <w:tcPr>
            <w:tcW w:w="1814" w:type="dxa"/>
            <w:tcBorders>
              <w:bottom w:val="nil"/>
            </w:tcBorders>
          </w:tcPr>
          <w:p>
            <w:pPr>
              <w:pStyle w:val="TableParagraph"/>
              <w:spacing w:before="95"/>
              <w:ind w:left="91"/>
              <w:rPr>
                <w:sz w:val="18"/>
              </w:rPr>
            </w:pPr>
            <w:r>
              <w:rPr>
                <w:color w:val="105C84"/>
                <w:spacing w:val="-2"/>
                <w:sz w:val="18"/>
              </w:rPr>
              <w:t>Hospital</w:t>
            </w:r>
          </w:p>
        </w:tc>
        <w:tc>
          <w:tcPr>
            <w:tcW w:w="1550" w:type="dxa"/>
            <w:tcBorders>
              <w:bottom w:val="nil"/>
            </w:tcBorders>
          </w:tcPr>
          <w:p>
            <w:pPr>
              <w:pStyle w:val="TableParagraph"/>
              <w:spacing w:line="203" w:lineRule="exact" w:before="95"/>
              <w:ind w:left="91"/>
              <w:rPr>
                <w:sz w:val="18"/>
              </w:rPr>
            </w:pPr>
            <w:r>
              <w:rPr>
                <w:color w:val="105C84"/>
                <w:sz w:val="18"/>
              </w:rPr>
              <w:t>2%</w:t>
            </w:r>
            <w:r>
              <w:rPr>
                <w:color w:val="105C84"/>
                <w:spacing w:val="-10"/>
                <w:sz w:val="18"/>
              </w:rPr>
              <w:t> </w:t>
            </w:r>
            <w:r>
              <w:rPr>
                <w:color w:val="105C84"/>
                <w:sz w:val="18"/>
              </w:rPr>
              <w:t>of</w:t>
            </w:r>
            <w:r>
              <w:rPr>
                <w:color w:val="105C84"/>
                <w:spacing w:val="-10"/>
                <w:sz w:val="18"/>
              </w:rPr>
              <w:t> </w:t>
            </w:r>
            <w:r>
              <w:rPr>
                <w:color w:val="105C84"/>
                <w:spacing w:val="-5"/>
                <w:sz w:val="18"/>
              </w:rPr>
              <w:t>FTE</w:t>
            </w:r>
          </w:p>
          <w:p>
            <w:pPr>
              <w:pStyle w:val="TableParagraph"/>
              <w:spacing w:line="232" w:lineRule="auto" w:before="1"/>
              <w:ind w:left="91" w:right="127"/>
              <w:rPr>
                <w:sz w:val="18"/>
              </w:rPr>
            </w:pPr>
            <w:r>
              <w:rPr>
                <w:color w:val="105C84"/>
                <w:spacing w:val="-4"/>
                <w:sz w:val="18"/>
              </w:rPr>
              <w:t>Schuyler</w:t>
            </w:r>
            <w:r>
              <w:rPr>
                <w:color w:val="105C84"/>
                <w:spacing w:val="-9"/>
                <w:sz w:val="18"/>
              </w:rPr>
              <w:t> </w:t>
            </w:r>
            <w:r>
              <w:rPr>
                <w:color w:val="105C84"/>
                <w:spacing w:val="-4"/>
                <w:sz w:val="18"/>
              </w:rPr>
              <w:t>Primary </w:t>
            </w:r>
            <w:r>
              <w:rPr>
                <w:color w:val="105C84"/>
                <w:sz w:val="18"/>
              </w:rPr>
              <w:t>Care Center</w:t>
            </w:r>
          </w:p>
        </w:tc>
      </w:tr>
      <w:tr>
        <w:trPr>
          <w:trHeight w:val="778" w:hRule="atLeast"/>
        </w:trPr>
        <w:tc>
          <w:tcPr>
            <w:tcW w:w="1526" w:type="dxa"/>
            <w:tcBorders>
              <w:top w:val="nil"/>
              <w:bottom w:val="nil"/>
            </w:tcBorders>
            <w:shd w:val="clear" w:color="auto" w:fill="E6E7E8"/>
          </w:tcPr>
          <w:p>
            <w:pPr>
              <w:pStyle w:val="TableParagraph"/>
              <w:rPr>
                <w:rFonts w:ascii="Times New Roman"/>
                <w:sz w:val="18"/>
              </w:rPr>
            </w:pPr>
          </w:p>
        </w:tc>
        <w:tc>
          <w:tcPr>
            <w:tcW w:w="1469" w:type="dxa"/>
            <w:tcBorders>
              <w:top w:val="nil"/>
              <w:bottom w:val="nil"/>
            </w:tcBorders>
          </w:tcPr>
          <w:p>
            <w:pPr>
              <w:pStyle w:val="TableParagraph"/>
              <w:rPr>
                <w:rFonts w:ascii="Times New Roman"/>
                <w:sz w:val="18"/>
              </w:rPr>
            </w:pPr>
          </w:p>
        </w:tc>
        <w:tc>
          <w:tcPr>
            <w:tcW w:w="1246" w:type="dxa"/>
            <w:tcBorders>
              <w:top w:val="nil"/>
              <w:bottom w:val="nil"/>
            </w:tcBorders>
          </w:tcPr>
          <w:p>
            <w:pPr>
              <w:pStyle w:val="TableParagraph"/>
              <w:rPr>
                <w:rFonts w:ascii="Times New Roman"/>
                <w:sz w:val="18"/>
              </w:rPr>
            </w:pPr>
          </w:p>
        </w:tc>
        <w:tc>
          <w:tcPr>
            <w:tcW w:w="2225" w:type="dxa"/>
            <w:tcBorders>
              <w:top w:val="nil"/>
              <w:bottom w:val="nil"/>
            </w:tcBorders>
          </w:tcPr>
          <w:p>
            <w:pPr>
              <w:pStyle w:val="TableParagraph"/>
              <w:rPr>
                <w:rFonts w:ascii="Times New Roman"/>
                <w:sz w:val="18"/>
              </w:rPr>
            </w:pPr>
          </w:p>
        </w:tc>
        <w:tc>
          <w:tcPr>
            <w:tcW w:w="2261" w:type="dxa"/>
            <w:tcBorders>
              <w:top w:val="nil"/>
              <w:bottom w:val="nil"/>
            </w:tcBorders>
          </w:tcPr>
          <w:p>
            <w:pPr>
              <w:pStyle w:val="TableParagraph"/>
              <w:rPr>
                <w:rFonts w:ascii="Times New Roman"/>
                <w:sz w:val="18"/>
              </w:rPr>
            </w:pPr>
          </w:p>
        </w:tc>
        <w:tc>
          <w:tcPr>
            <w:tcW w:w="2437" w:type="dxa"/>
            <w:tcBorders>
              <w:top w:val="nil"/>
              <w:bottom w:val="nil"/>
              <w:right w:val="nil"/>
            </w:tcBorders>
          </w:tcPr>
          <w:p>
            <w:pPr>
              <w:pStyle w:val="TableParagraph"/>
              <w:rPr>
                <w:rFonts w:ascii="Times New Roman"/>
                <w:sz w:val="18"/>
              </w:rPr>
            </w:pPr>
          </w:p>
        </w:tc>
        <w:tc>
          <w:tcPr>
            <w:tcW w:w="2984" w:type="dxa"/>
            <w:tcBorders>
              <w:top w:val="nil"/>
              <w:left w:val="nil"/>
            </w:tcBorders>
          </w:tcPr>
          <w:p>
            <w:pPr>
              <w:pStyle w:val="TableParagraph"/>
              <w:rPr>
                <w:rFonts w:ascii="Times New Roman"/>
                <w:sz w:val="18"/>
              </w:rPr>
            </w:pPr>
          </w:p>
        </w:tc>
        <w:tc>
          <w:tcPr>
            <w:tcW w:w="2404" w:type="dxa"/>
            <w:tcBorders>
              <w:top w:val="nil"/>
            </w:tcBorders>
          </w:tcPr>
          <w:p>
            <w:pPr>
              <w:pStyle w:val="TableParagraph"/>
              <w:spacing w:line="232" w:lineRule="auto" w:before="38"/>
              <w:ind w:left="89" w:right="152"/>
              <w:rPr>
                <w:sz w:val="18"/>
              </w:rPr>
            </w:pPr>
            <w:r>
              <w:rPr>
                <w:color w:val="105C84"/>
                <w:sz w:val="18"/>
              </w:rPr>
              <w:t>Start</w:t>
            </w:r>
            <w:r>
              <w:rPr>
                <w:color w:val="105C84"/>
                <w:spacing w:val="-13"/>
                <w:sz w:val="18"/>
              </w:rPr>
              <w:t> </w:t>
            </w:r>
            <w:r>
              <w:rPr>
                <w:color w:val="105C84"/>
                <w:sz w:val="18"/>
              </w:rPr>
              <w:t>working</w:t>
            </w:r>
            <w:r>
              <w:rPr>
                <w:color w:val="105C84"/>
                <w:spacing w:val="-12"/>
                <w:sz w:val="18"/>
              </w:rPr>
              <w:t> </w:t>
            </w:r>
            <w:r>
              <w:rPr>
                <w:color w:val="105C84"/>
                <w:sz w:val="18"/>
              </w:rPr>
              <w:t>on</w:t>
            </w:r>
            <w:r>
              <w:rPr>
                <w:color w:val="105C84"/>
                <w:spacing w:val="-13"/>
                <w:sz w:val="18"/>
              </w:rPr>
              <w:t> </w:t>
            </w:r>
            <w:r>
              <w:rPr>
                <w:color w:val="105C84"/>
                <w:sz w:val="18"/>
              </w:rPr>
              <w:t>processes and protocols for ACES </w:t>
            </w:r>
            <w:r>
              <w:rPr>
                <w:color w:val="105C84"/>
                <w:spacing w:val="-2"/>
                <w:sz w:val="18"/>
              </w:rPr>
              <w:t>screening</w:t>
            </w:r>
          </w:p>
        </w:tc>
        <w:tc>
          <w:tcPr>
            <w:tcW w:w="2404" w:type="dxa"/>
            <w:tcBorders>
              <w:top w:val="nil"/>
            </w:tcBorders>
          </w:tcPr>
          <w:p>
            <w:pPr>
              <w:pStyle w:val="TableParagraph"/>
              <w:rPr>
                <w:rFonts w:ascii="Times New Roman"/>
                <w:sz w:val="18"/>
              </w:rPr>
            </w:pPr>
          </w:p>
        </w:tc>
        <w:tc>
          <w:tcPr>
            <w:tcW w:w="1814" w:type="dxa"/>
            <w:tcBorders>
              <w:top w:val="nil"/>
            </w:tcBorders>
          </w:tcPr>
          <w:p>
            <w:pPr>
              <w:pStyle w:val="TableParagraph"/>
              <w:rPr>
                <w:rFonts w:ascii="Times New Roman"/>
                <w:sz w:val="18"/>
              </w:rPr>
            </w:pPr>
          </w:p>
        </w:tc>
        <w:tc>
          <w:tcPr>
            <w:tcW w:w="1550" w:type="dxa"/>
            <w:tcBorders>
              <w:top w:val="nil"/>
            </w:tcBorders>
          </w:tcPr>
          <w:p>
            <w:pPr>
              <w:pStyle w:val="TableParagraph"/>
              <w:rPr>
                <w:rFonts w:ascii="Times New Roman"/>
                <w:sz w:val="18"/>
              </w:rPr>
            </w:pPr>
          </w:p>
        </w:tc>
      </w:tr>
      <w:tr>
        <w:trPr>
          <w:trHeight w:val="1840" w:hRule="atLeast"/>
        </w:trPr>
        <w:tc>
          <w:tcPr>
            <w:tcW w:w="1526" w:type="dxa"/>
            <w:tcBorders>
              <w:top w:val="nil"/>
            </w:tcBorders>
            <w:shd w:val="clear" w:color="auto" w:fill="E6E7E8"/>
          </w:tcPr>
          <w:p>
            <w:pPr>
              <w:pStyle w:val="TableParagraph"/>
              <w:rPr>
                <w:rFonts w:ascii="Times New Roman"/>
                <w:sz w:val="18"/>
              </w:rPr>
            </w:pPr>
          </w:p>
        </w:tc>
        <w:tc>
          <w:tcPr>
            <w:tcW w:w="1469" w:type="dxa"/>
            <w:tcBorders>
              <w:top w:val="nil"/>
            </w:tcBorders>
          </w:tcPr>
          <w:p>
            <w:pPr>
              <w:pStyle w:val="TableParagraph"/>
              <w:rPr>
                <w:rFonts w:ascii="Times New Roman"/>
                <w:sz w:val="18"/>
              </w:rPr>
            </w:pPr>
          </w:p>
        </w:tc>
        <w:tc>
          <w:tcPr>
            <w:tcW w:w="1246" w:type="dxa"/>
            <w:tcBorders>
              <w:top w:val="nil"/>
            </w:tcBorders>
          </w:tcPr>
          <w:p>
            <w:pPr>
              <w:pStyle w:val="TableParagraph"/>
              <w:rPr>
                <w:rFonts w:ascii="Times New Roman"/>
                <w:sz w:val="18"/>
              </w:rPr>
            </w:pPr>
          </w:p>
        </w:tc>
        <w:tc>
          <w:tcPr>
            <w:tcW w:w="2225" w:type="dxa"/>
            <w:tcBorders>
              <w:top w:val="nil"/>
            </w:tcBorders>
          </w:tcPr>
          <w:p>
            <w:pPr>
              <w:pStyle w:val="TableParagraph"/>
              <w:rPr>
                <w:rFonts w:ascii="Times New Roman"/>
                <w:sz w:val="18"/>
              </w:rPr>
            </w:pPr>
          </w:p>
        </w:tc>
        <w:tc>
          <w:tcPr>
            <w:tcW w:w="2261" w:type="dxa"/>
            <w:tcBorders>
              <w:top w:val="nil"/>
            </w:tcBorders>
          </w:tcPr>
          <w:p>
            <w:pPr>
              <w:pStyle w:val="TableParagraph"/>
              <w:rPr>
                <w:rFonts w:ascii="Times New Roman"/>
                <w:sz w:val="18"/>
              </w:rPr>
            </w:pPr>
          </w:p>
        </w:tc>
        <w:tc>
          <w:tcPr>
            <w:tcW w:w="2437" w:type="dxa"/>
            <w:tcBorders>
              <w:top w:val="nil"/>
              <w:right w:val="nil"/>
            </w:tcBorders>
          </w:tcPr>
          <w:p>
            <w:pPr>
              <w:pStyle w:val="TableParagraph"/>
              <w:rPr>
                <w:rFonts w:ascii="Times New Roman"/>
                <w:sz w:val="18"/>
              </w:rPr>
            </w:pPr>
          </w:p>
        </w:tc>
        <w:tc>
          <w:tcPr>
            <w:tcW w:w="2984" w:type="dxa"/>
            <w:tcBorders>
              <w:left w:val="nil"/>
            </w:tcBorders>
          </w:tcPr>
          <w:p>
            <w:pPr>
              <w:pStyle w:val="TableParagraph"/>
              <w:spacing w:line="232" w:lineRule="auto" w:before="100"/>
              <w:ind w:left="1084" w:right="373"/>
              <w:rPr>
                <w:sz w:val="18"/>
              </w:rPr>
            </w:pPr>
            <w:r>
              <w:rPr>
                <w:color w:val="105C84"/>
                <w:sz w:val="18"/>
              </w:rPr>
              <w:t>Identify and share </w:t>
            </w:r>
            <w:r>
              <w:rPr>
                <w:color w:val="105C84"/>
                <w:spacing w:val="-4"/>
                <w:sz w:val="18"/>
              </w:rPr>
              <w:t>resources</w:t>
            </w:r>
            <w:r>
              <w:rPr>
                <w:color w:val="105C84"/>
                <w:spacing w:val="-11"/>
                <w:sz w:val="18"/>
              </w:rPr>
              <w:t> </w:t>
            </w:r>
            <w:r>
              <w:rPr>
                <w:color w:val="105C84"/>
                <w:spacing w:val="-4"/>
                <w:sz w:val="18"/>
              </w:rPr>
              <w:t>on</w:t>
            </w:r>
            <w:r>
              <w:rPr>
                <w:color w:val="105C84"/>
                <w:spacing w:val="-8"/>
                <w:sz w:val="18"/>
              </w:rPr>
              <w:t> </w:t>
            </w:r>
            <w:r>
              <w:rPr>
                <w:color w:val="105C84"/>
                <w:spacing w:val="-4"/>
                <w:sz w:val="18"/>
              </w:rPr>
              <w:t>ACES </w:t>
            </w:r>
            <w:r>
              <w:rPr>
                <w:color w:val="105C84"/>
                <w:sz w:val="18"/>
              </w:rPr>
              <w:t>screening with Schuyler Primary Care and other </w:t>
            </w:r>
            <w:r>
              <w:rPr>
                <w:color w:val="105C84"/>
                <w:spacing w:val="-2"/>
                <w:sz w:val="18"/>
              </w:rPr>
              <w:t>organizations </w:t>
            </w:r>
            <w:r>
              <w:rPr>
                <w:color w:val="105C84"/>
                <w:sz w:val="18"/>
              </w:rPr>
              <w:t>participating in</w:t>
            </w:r>
          </w:p>
          <w:p>
            <w:pPr>
              <w:pStyle w:val="TableParagraph"/>
              <w:spacing w:line="196" w:lineRule="exact"/>
              <w:ind w:left="1084"/>
              <w:rPr>
                <w:sz w:val="18"/>
              </w:rPr>
            </w:pPr>
            <w:r>
              <w:rPr>
                <w:color w:val="105C84"/>
                <w:sz w:val="18"/>
              </w:rPr>
              <w:t>the</w:t>
            </w:r>
            <w:r>
              <w:rPr>
                <w:color w:val="105C84"/>
                <w:spacing w:val="3"/>
                <w:sz w:val="18"/>
              </w:rPr>
              <w:t> </w:t>
            </w:r>
            <w:r>
              <w:rPr>
                <w:color w:val="105C84"/>
                <w:spacing w:val="-4"/>
                <w:sz w:val="18"/>
              </w:rPr>
              <w:t>CHIP</w:t>
            </w:r>
          </w:p>
        </w:tc>
        <w:tc>
          <w:tcPr>
            <w:tcW w:w="2404" w:type="dxa"/>
          </w:tcPr>
          <w:p>
            <w:pPr>
              <w:pStyle w:val="TableParagraph"/>
              <w:spacing w:line="232" w:lineRule="auto" w:before="100"/>
              <w:ind w:left="89"/>
              <w:rPr>
                <w:sz w:val="18"/>
              </w:rPr>
            </w:pPr>
            <w:r>
              <w:rPr>
                <w:color w:val="105C84"/>
                <w:spacing w:val="-2"/>
                <w:sz w:val="18"/>
              </w:rPr>
              <w:t>Identify</w:t>
            </w:r>
            <w:r>
              <w:rPr>
                <w:color w:val="105C84"/>
                <w:spacing w:val="-11"/>
                <w:sz w:val="18"/>
              </w:rPr>
              <w:t> </w:t>
            </w:r>
            <w:r>
              <w:rPr>
                <w:color w:val="105C84"/>
                <w:spacing w:val="-2"/>
                <w:sz w:val="18"/>
              </w:rPr>
              <w:t>and</w:t>
            </w:r>
            <w:r>
              <w:rPr>
                <w:color w:val="105C84"/>
                <w:spacing w:val="-10"/>
                <w:sz w:val="18"/>
              </w:rPr>
              <w:t> </w:t>
            </w:r>
            <w:r>
              <w:rPr>
                <w:color w:val="105C84"/>
                <w:spacing w:val="-2"/>
                <w:sz w:val="18"/>
              </w:rPr>
              <w:t>share</w:t>
            </w:r>
            <w:r>
              <w:rPr>
                <w:color w:val="105C84"/>
                <w:spacing w:val="-11"/>
                <w:sz w:val="18"/>
              </w:rPr>
              <w:t> </w:t>
            </w:r>
            <w:r>
              <w:rPr>
                <w:color w:val="105C84"/>
                <w:spacing w:val="-2"/>
                <w:sz w:val="18"/>
              </w:rPr>
              <w:t>resources </w:t>
            </w:r>
            <w:r>
              <w:rPr>
                <w:color w:val="105C84"/>
                <w:sz w:val="18"/>
              </w:rPr>
              <w:t>on ACES screening with Schuyler Primary Care</w:t>
            </w:r>
          </w:p>
          <w:p>
            <w:pPr>
              <w:pStyle w:val="TableParagraph"/>
              <w:spacing w:line="232" w:lineRule="auto"/>
              <w:ind w:left="89"/>
              <w:rPr>
                <w:sz w:val="18"/>
              </w:rPr>
            </w:pPr>
            <w:r>
              <w:rPr>
                <w:color w:val="105C84"/>
                <w:sz w:val="18"/>
              </w:rPr>
              <w:t>and</w:t>
            </w:r>
            <w:r>
              <w:rPr>
                <w:color w:val="105C84"/>
                <w:spacing w:val="-15"/>
                <w:sz w:val="18"/>
              </w:rPr>
              <w:t> </w:t>
            </w:r>
            <w:r>
              <w:rPr>
                <w:color w:val="105C84"/>
                <w:sz w:val="18"/>
              </w:rPr>
              <w:t>other</w:t>
            </w:r>
            <w:r>
              <w:rPr>
                <w:color w:val="105C84"/>
                <w:spacing w:val="-12"/>
                <w:sz w:val="18"/>
              </w:rPr>
              <w:t> </w:t>
            </w:r>
            <w:r>
              <w:rPr>
                <w:color w:val="105C84"/>
                <w:sz w:val="18"/>
              </w:rPr>
              <w:t>organizations participating in</w:t>
            </w:r>
          </w:p>
          <w:p>
            <w:pPr>
              <w:pStyle w:val="TableParagraph"/>
              <w:spacing w:line="200" w:lineRule="exact"/>
              <w:ind w:left="89"/>
              <w:rPr>
                <w:sz w:val="18"/>
              </w:rPr>
            </w:pPr>
            <w:r>
              <w:rPr>
                <w:color w:val="105C84"/>
                <w:sz w:val="18"/>
              </w:rPr>
              <w:t>the</w:t>
            </w:r>
            <w:r>
              <w:rPr>
                <w:color w:val="105C84"/>
                <w:spacing w:val="3"/>
                <w:sz w:val="18"/>
              </w:rPr>
              <w:t> </w:t>
            </w:r>
            <w:r>
              <w:rPr>
                <w:color w:val="105C84"/>
                <w:spacing w:val="-4"/>
                <w:sz w:val="18"/>
              </w:rPr>
              <w:t>CHIP</w:t>
            </w:r>
          </w:p>
        </w:tc>
        <w:tc>
          <w:tcPr>
            <w:tcW w:w="2404" w:type="dxa"/>
          </w:tcPr>
          <w:p>
            <w:pPr>
              <w:pStyle w:val="TableParagraph"/>
              <w:spacing w:line="232" w:lineRule="auto" w:before="99"/>
              <w:ind w:left="90"/>
              <w:rPr>
                <w:sz w:val="18"/>
              </w:rPr>
            </w:pPr>
            <w:r>
              <w:rPr>
                <w:color w:val="105C84"/>
                <w:spacing w:val="-2"/>
                <w:sz w:val="18"/>
              </w:rPr>
              <w:t>Identify</w:t>
            </w:r>
            <w:r>
              <w:rPr>
                <w:color w:val="105C84"/>
                <w:spacing w:val="-11"/>
                <w:sz w:val="18"/>
              </w:rPr>
              <w:t> </w:t>
            </w:r>
            <w:r>
              <w:rPr>
                <w:color w:val="105C84"/>
                <w:spacing w:val="-2"/>
                <w:sz w:val="18"/>
              </w:rPr>
              <w:t>and</w:t>
            </w:r>
            <w:r>
              <w:rPr>
                <w:color w:val="105C84"/>
                <w:spacing w:val="-10"/>
                <w:sz w:val="18"/>
              </w:rPr>
              <w:t> </w:t>
            </w:r>
            <w:r>
              <w:rPr>
                <w:color w:val="105C84"/>
                <w:spacing w:val="-2"/>
                <w:sz w:val="18"/>
              </w:rPr>
              <w:t>share</w:t>
            </w:r>
            <w:r>
              <w:rPr>
                <w:color w:val="105C84"/>
                <w:spacing w:val="-11"/>
                <w:sz w:val="18"/>
              </w:rPr>
              <w:t> </w:t>
            </w:r>
            <w:r>
              <w:rPr>
                <w:color w:val="105C84"/>
                <w:spacing w:val="-2"/>
                <w:sz w:val="18"/>
              </w:rPr>
              <w:t>resources </w:t>
            </w:r>
            <w:r>
              <w:rPr>
                <w:color w:val="105C84"/>
                <w:sz w:val="18"/>
              </w:rPr>
              <w:t>on ACES screening with Schuyler Primary Care</w:t>
            </w:r>
          </w:p>
          <w:p>
            <w:pPr>
              <w:pStyle w:val="TableParagraph"/>
              <w:spacing w:line="232" w:lineRule="auto"/>
              <w:ind w:left="90" w:right="332"/>
              <w:rPr>
                <w:sz w:val="18"/>
              </w:rPr>
            </w:pPr>
            <w:r>
              <w:rPr>
                <w:color w:val="105C84"/>
                <w:sz w:val="18"/>
              </w:rPr>
              <w:t>and other organizations participating</w:t>
            </w:r>
            <w:r>
              <w:rPr>
                <w:color w:val="105C84"/>
                <w:spacing w:val="11"/>
                <w:sz w:val="18"/>
              </w:rPr>
              <w:t> </w:t>
            </w:r>
            <w:r>
              <w:rPr>
                <w:color w:val="105C84"/>
                <w:sz w:val="18"/>
              </w:rPr>
              <w:t>in</w:t>
            </w:r>
            <w:r>
              <w:rPr>
                <w:color w:val="105C84"/>
                <w:spacing w:val="12"/>
                <w:sz w:val="18"/>
              </w:rPr>
              <w:t> </w:t>
            </w:r>
            <w:r>
              <w:rPr>
                <w:color w:val="105C84"/>
                <w:sz w:val="18"/>
              </w:rPr>
              <w:t>the</w:t>
            </w:r>
            <w:r>
              <w:rPr>
                <w:color w:val="105C84"/>
                <w:spacing w:val="12"/>
                <w:sz w:val="18"/>
              </w:rPr>
              <w:t> </w:t>
            </w:r>
            <w:r>
              <w:rPr>
                <w:color w:val="105C84"/>
                <w:spacing w:val="-6"/>
                <w:sz w:val="18"/>
              </w:rPr>
              <w:t>CHIP</w:t>
            </w:r>
          </w:p>
        </w:tc>
        <w:tc>
          <w:tcPr>
            <w:tcW w:w="1814" w:type="dxa"/>
          </w:tcPr>
          <w:p>
            <w:pPr>
              <w:pStyle w:val="TableParagraph"/>
              <w:spacing w:line="232" w:lineRule="auto" w:before="99"/>
              <w:ind w:left="91"/>
              <w:rPr>
                <w:sz w:val="18"/>
              </w:rPr>
            </w:pPr>
            <w:r>
              <w:rPr>
                <w:color w:val="105C84"/>
                <w:spacing w:val="-2"/>
                <w:sz w:val="18"/>
              </w:rPr>
              <w:t>Local</w:t>
            </w:r>
            <w:r>
              <w:rPr>
                <w:color w:val="105C84"/>
                <w:spacing w:val="-11"/>
                <w:sz w:val="18"/>
              </w:rPr>
              <w:t> </w:t>
            </w:r>
            <w:r>
              <w:rPr>
                <w:color w:val="105C84"/>
                <w:spacing w:val="-2"/>
                <w:sz w:val="18"/>
              </w:rPr>
              <w:t>health department</w:t>
            </w:r>
          </w:p>
        </w:tc>
        <w:tc>
          <w:tcPr>
            <w:tcW w:w="1550" w:type="dxa"/>
          </w:tcPr>
          <w:p>
            <w:pPr>
              <w:pStyle w:val="TableParagraph"/>
              <w:spacing w:line="232" w:lineRule="auto" w:before="99"/>
              <w:ind w:left="91" w:right="71"/>
              <w:rPr>
                <w:sz w:val="18"/>
              </w:rPr>
            </w:pPr>
            <w:r>
              <w:rPr>
                <w:color w:val="105C84"/>
                <w:sz w:val="18"/>
              </w:rPr>
              <w:t>2% FTE Public Health</w:t>
            </w:r>
            <w:r>
              <w:rPr>
                <w:color w:val="105C84"/>
                <w:spacing w:val="-13"/>
                <w:sz w:val="18"/>
              </w:rPr>
              <w:t> </w:t>
            </w:r>
            <w:r>
              <w:rPr>
                <w:color w:val="105C84"/>
                <w:sz w:val="18"/>
              </w:rPr>
              <w:t>Employee</w:t>
            </w:r>
          </w:p>
        </w:tc>
      </w:tr>
    </w:tbl>
    <w:p>
      <w:pPr>
        <w:pStyle w:val="BodyText"/>
        <w:rPr>
          <w:b/>
          <w:sz w:val="26"/>
        </w:rPr>
      </w:pPr>
    </w:p>
    <w:p>
      <w:pPr>
        <w:pStyle w:val="BodyText"/>
        <w:spacing w:before="208"/>
        <w:rPr>
          <w:b/>
          <w:sz w:val="26"/>
        </w:rPr>
      </w:pPr>
    </w:p>
    <w:p>
      <w:pPr>
        <w:tabs>
          <w:tab w:pos="23047" w:val="left" w:leader="none"/>
        </w:tabs>
        <w:spacing w:before="1"/>
        <w:ind w:left="0" w:right="0" w:firstLine="0"/>
        <w:jc w:val="left"/>
        <w:rPr>
          <w:b/>
          <w:sz w:val="26"/>
        </w:rPr>
      </w:pPr>
      <w:r>
        <w:rPr>
          <w:position w:val="-4"/>
        </w:rPr>
        <w:drawing>
          <wp:inline distT="0" distB="0" distL="0" distR="0">
            <wp:extent cx="568172" cy="184683"/>
            <wp:effectExtent l="0" t="0" r="0" b="0"/>
            <wp:docPr id="1884" name="Image 1884"/>
            <wp:cNvGraphicFramePr>
              <a:graphicFrameLocks/>
            </wp:cNvGraphicFramePr>
            <a:graphic>
              <a:graphicData uri="http://schemas.openxmlformats.org/drawingml/2006/picture">
                <pic:pic>
                  <pic:nvPicPr>
                    <pic:cNvPr id="1884" name="Image 1884"/>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13"/>
          <w:sz w:val="20"/>
        </w:rPr>
        <w:t> </w:t>
      </w:r>
      <w:r>
        <w:rPr>
          <w:b/>
          <w:color w:val="939598"/>
          <w:w w:val="105"/>
          <w:sz w:val="26"/>
        </w:rPr>
        <w:t>169</w:t>
      </w:r>
      <w:r>
        <w:rPr>
          <w:b/>
          <w:color w:val="939598"/>
          <w:sz w:val="26"/>
        </w:rPr>
        <w:tab/>
      </w:r>
      <w:r>
        <w:rPr>
          <w:b/>
          <w:color w:val="939598"/>
          <w:spacing w:val="-5"/>
          <w:w w:val="105"/>
          <w:sz w:val="26"/>
        </w:rPr>
        <w:t>170</w:t>
      </w:r>
    </w:p>
    <w:p>
      <w:pPr>
        <w:spacing w:after="0"/>
        <w:jc w:val="left"/>
        <w:rPr>
          <w:b/>
          <w:sz w:val="26"/>
        </w:rPr>
        <w:sectPr>
          <w:pgSz w:w="24480" w:h="15840" w:orient="landscape"/>
          <w:pgMar w:header="0" w:footer="0" w:top="860" w:bottom="0" w:left="0" w:right="720"/>
        </w:sectPr>
      </w:pPr>
    </w:p>
    <w:p>
      <w:pPr>
        <w:spacing w:before="607"/>
        <w:ind w:left="1089" w:right="0" w:firstLine="0"/>
        <w:jc w:val="left"/>
        <w:rPr>
          <w:sz w:val="54"/>
        </w:rPr>
      </w:pPr>
      <w:r>
        <w:rPr>
          <w:sz w:val="54"/>
        </w:rPr>
        <w:drawing>
          <wp:anchor distT="0" distB="0" distL="0" distR="0" allowOverlap="1" layoutInCell="1" locked="0" behindDoc="0" simplePos="0" relativeHeight="15975936">
            <wp:simplePos x="0" y="0"/>
            <wp:positionH relativeFrom="page">
              <wp:posOffset>14981556</wp:posOffset>
            </wp:positionH>
            <wp:positionV relativeFrom="page">
              <wp:posOffset>9668103</wp:posOffset>
            </wp:positionV>
            <wp:extent cx="563245" cy="184683"/>
            <wp:effectExtent l="0" t="0" r="0" b="0"/>
            <wp:wrapNone/>
            <wp:docPr id="1885" name="Image 1885"/>
            <wp:cNvGraphicFramePr>
              <a:graphicFrameLocks/>
            </wp:cNvGraphicFramePr>
            <a:graphic>
              <a:graphicData uri="http://schemas.openxmlformats.org/drawingml/2006/picture">
                <pic:pic>
                  <pic:nvPicPr>
                    <pic:cNvPr id="1885" name="Image 1885"/>
                    <pic:cNvPicPr/>
                  </pic:nvPicPr>
                  <pic:blipFill>
                    <a:blip r:embed="rId38" cstate="print"/>
                    <a:stretch>
                      <a:fillRect/>
                    </a:stretch>
                  </pic:blipFill>
                  <pic:spPr>
                    <a:xfrm>
                      <a:off x="0" y="0"/>
                      <a:ext cx="563245" cy="184683"/>
                    </a:xfrm>
                    <a:prstGeom prst="rect">
                      <a:avLst/>
                    </a:prstGeom>
                  </pic:spPr>
                </pic:pic>
              </a:graphicData>
            </a:graphic>
          </wp:anchor>
        </w:drawing>
      </w:r>
      <w:r>
        <w:rPr>
          <w:sz w:val="54"/>
        </w:rPr>
        <w:drawing>
          <wp:anchor distT="0" distB="0" distL="0" distR="0" allowOverlap="1" layoutInCell="1" locked="0" behindDoc="0" simplePos="0" relativeHeight="15976448">
            <wp:simplePos x="0" y="0"/>
            <wp:positionH relativeFrom="page">
              <wp:posOffset>13626703</wp:posOffset>
            </wp:positionH>
            <wp:positionV relativeFrom="paragraph">
              <wp:posOffset>365201</wp:posOffset>
            </wp:positionV>
            <wp:extent cx="1234098" cy="628989"/>
            <wp:effectExtent l="0" t="0" r="0" b="0"/>
            <wp:wrapNone/>
            <wp:docPr id="1886" name="Image 1886"/>
            <wp:cNvGraphicFramePr>
              <a:graphicFrameLocks/>
            </wp:cNvGraphicFramePr>
            <a:graphic>
              <a:graphicData uri="http://schemas.openxmlformats.org/drawingml/2006/picture">
                <pic:pic>
                  <pic:nvPicPr>
                    <pic:cNvPr id="1886" name="Image 1886"/>
                    <pic:cNvPicPr/>
                  </pic:nvPicPr>
                  <pic:blipFill>
                    <a:blip r:embed="rId254" cstate="print"/>
                    <a:stretch>
                      <a:fillRect/>
                    </a:stretch>
                  </pic:blipFill>
                  <pic:spPr>
                    <a:xfrm>
                      <a:off x="0" y="0"/>
                      <a:ext cx="1234098" cy="628989"/>
                    </a:xfrm>
                    <a:prstGeom prst="rect">
                      <a:avLst/>
                    </a:prstGeom>
                  </pic:spPr>
                </pic:pic>
              </a:graphicData>
            </a:graphic>
          </wp:anchor>
        </w:drawing>
      </w:r>
      <w:r>
        <w:rPr>
          <w:color w:val="636466"/>
          <w:sz w:val="54"/>
        </w:rPr>
        <w:t>Schuyler</w:t>
      </w:r>
      <w:r>
        <w:rPr>
          <w:color w:val="636466"/>
          <w:spacing w:val="40"/>
          <w:sz w:val="54"/>
        </w:rPr>
        <w:t> </w:t>
      </w:r>
      <w:r>
        <w:rPr>
          <w:color w:val="636466"/>
          <w:sz w:val="54"/>
        </w:rPr>
        <w:t>County</w:t>
      </w:r>
      <w:r>
        <w:rPr>
          <w:color w:val="636466"/>
          <w:spacing w:val="41"/>
          <w:sz w:val="54"/>
        </w:rPr>
        <w:t> </w:t>
      </w:r>
      <w:r>
        <w:rPr>
          <w:color w:val="636466"/>
          <w:sz w:val="54"/>
        </w:rPr>
        <w:t>Appendix</w:t>
      </w:r>
      <w:r>
        <w:rPr>
          <w:color w:val="636466"/>
          <w:spacing w:val="40"/>
          <w:sz w:val="54"/>
        </w:rPr>
        <w:t> </w:t>
      </w:r>
      <w:r>
        <w:rPr>
          <w:color w:val="636466"/>
          <w:spacing w:val="-10"/>
          <w:sz w:val="54"/>
        </w:rPr>
        <w:t>D</w:t>
      </w:r>
    </w:p>
    <w:p>
      <w:pPr>
        <w:spacing w:line="247" w:lineRule="auto" w:before="235"/>
        <w:ind w:left="1089" w:right="15045" w:firstLine="0"/>
        <w:jc w:val="left"/>
        <w:rPr>
          <w:b/>
          <w:sz w:val="32"/>
        </w:rPr>
      </w:pPr>
      <w:r>
        <w:rPr>
          <w:b/>
          <w:color w:val="82BF6A"/>
          <w:spacing w:val="-4"/>
          <w:sz w:val="32"/>
        </w:rPr>
        <w:t>PRIORITY:</w:t>
      </w:r>
      <w:r>
        <w:rPr>
          <w:b/>
          <w:color w:val="82BF6A"/>
          <w:spacing w:val="-19"/>
          <w:sz w:val="32"/>
        </w:rPr>
        <w:t> </w:t>
      </w:r>
      <w:r>
        <w:rPr>
          <w:b/>
          <w:color w:val="82BF6A"/>
          <w:spacing w:val="-4"/>
          <w:sz w:val="32"/>
        </w:rPr>
        <w:t>PROMOTE</w:t>
      </w:r>
      <w:r>
        <w:rPr>
          <w:b/>
          <w:color w:val="82BF6A"/>
          <w:spacing w:val="-18"/>
          <w:sz w:val="32"/>
        </w:rPr>
        <w:t> </w:t>
      </w:r>
      <w:r>
        <w:rPr>
          <w:b/>
          <w:color w:val="82BF6A"/>
          <w:spacing w:val="-4"/>
          <w:sz w:val="32"/>
        </w:rPr>
        <w:t>WELL-BEING</w:t>
      </w:r>
      <w:r>
        <w:rPr>
          <w:b/>
          <w:color w:val="82BF6A"/>
          <w:spacing w:val="-18"/>
          <w:sz w:val="32"/>
        </w:rPr>
        <w:t> </w:t>
      </w:r>
      <w:r>
        <w:rPr>
          <w:b/>
          <w:color w:val="82BF6A"/>
          <w:spacing w:val="-4"/>
          <w:sz w:val="32"/>
        </w:rPr>
        <w:t>AND</w:t>
      </w:r>
      <w:r>
        <w:rPr>
          <w:b/>
          <w:color w:val="82BF6A"/>
          <w:spacing w:val="-18"/>
          <w:sz w:val="32"/>
        </w:rPr>
        <w:t> </w:t>
      </w:r>
      <w:r>
        <w:rPr>
          <w:b/>
          <w:color w:val="82BF6A"/>
          <w:spacing w:val="-4"/>
          <w:sz w:val="32"/>
        </w:rPr>
        <w:t>PREVENT </w:t>
      </w:r>
      <w:r>
        <w:rPr>
          <w:b/>
          <w:color w:val="82BF6A"/>
          <w:sz w:val="32"/>
        </w:rPr>
        <w:t>MENTAL</w:t>
      </w:r>
      <w:r>
        <w:rPr>
          <w:b/>
          <w:color w:val="82BF6A"/>
          <w:spacing w:val="-23"/>
          <w:sz w:val="32"/>
        </w:rPr>
        <w:t> </w:t>
      </w:r>
      <w:r>
        <w:rPr>
          <w:b/>
          <w:color w:val="82BF6A"/>
          <w:sz w:val="32"/>
        </w:rPr>
        <w:t>AND</w:t>
      </w:r>
      <w:r>
        <w:rPr>
          <w:b/>
          <w:color w:val="82BF6A"/>
          <w:spacing w:val="-22"/>
          <w:sz w:val="32"/>
        </w:rPr>
        <w:t> </w:t>
      </w:r>
      <w:r>
        <w:rPr>
          <w:b/>
          <w:color w:val="82BF6A"/>
          <w:sz w:val="32"/>
        </w:rPr>
        <w:t>SUBSTANCE</w:t>
      </w:r>
      <w:r>
        <w:rPr>
          <w:b/>
          <w:color w:val="82BF6A"/>
          <w:spacing w:val="-22"/>
          <w:sz w:val="32"/>
        </w:rPr>
        <w:t> </w:t>
      </w:r>
      <w:r>
        <w:rPr>
          <w:b/>
          <w:color w:val="82BF6A"/>
          <w:sz w:val="32"/>
        </w:rPr>
        <w:t>USE</w:t>
      </w:r>
      <w:r>
        <w:rPr>
          <w:b/>
          <w:color w:val="82BF6A"/>
          <w:spacing w:val="-22"/>
          <w:sz w:val="32"/>
        </w:rPr>
        <w:t> </w:t>
      </w:r>
      <w:r>
        <w:rPr>
          <w:b/>
          <w:color w:val="82BF6A"/>
          <w:sz w:val="32"/>
        </w:rPr>
        <w:t>DISORDERS</w:t>
      </w:r>
    </w:p>
    <w:p>
      <w:pPr>
        <w:pStyle w:val="BodyText"/>
        <w:rPr>
          <w:b/>
          <w:sz w:val="20"/>
        </w:rPr>
      </w:pPr>
    </w:p>
    <w:p>
      <w:pPr>
        <w:pStyle w:val="BodyText"/>
        <w:spacing w:before="102"/>
        <w:rPr>
          <w:b/>
          <w:sz w:val="20"/>
        </w:rPr>
      </w:pPr>
    </w:p>
    <w:tbl>
      <w:tblPr>
        <w:tblW w:w="0" w:type="auto"/>
        <w:jc w:val="left"/>
        <w:tblInd w:w="1099"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1526"/>
        <w:gridCol w:w="1469"/>
        <w:gridCol w:w="1246"/>
        <w:gridCol w:w="2225"/>
        <w:gridCol w:w="1656"/>
        <w:gridCol w:w="3035"/>
        <w:gridCol w:w="2985"/>
        <w:gridCol w:w="2218"/>
        <w:gridCol w:w="2765"/>
        <w:gridCol w:w="1642"/>
        <w:gridCol w:w="1608"/>
      </w:tblGrid>
      <w:tr>
        <w:trPr>
          <w:trHeight w:val="990" w:hRule="atLeast"/>
        </w:trPr>
        <w:tc>
          <w:tcPr>
            <w:tcW w:w="1526" w:type="dxa"/>
            <w:tcBorders>
              <w:right w:val="single" w:sz="4" w:space="0" w:color="FFFFFF"/>
            </w:tcBorders>
            <w:shd w:val="clear" w:color="auto" w:fill="939598"/>
          </w:tcPr>
          <w:p>
            <w:pPr>
              <w:pStyle w:val="TableParagraph"/>
              <w:spacing w:before="177"/>
              <w:rPr>
                <w:b/>
                <w:sz w:val="20"/>
              </w:rPr>
            </w:pPr>
          </w:p>
          <w:p>
            <w:pPr>
              <w:pStyle w:val="TableParagraph"/>
              <w:ind w:left="79"/>
              <w:rPr>
                <w:b/>
                <w:sz w:val="20"/>
              </w:rPr>
            </w:pPr>
            <w:r>
              <w:rPr>
                <w:b/>
                <w:color w:val="FFFFFF"/>
                <w:spacing w:val="-2"/>
                <w:sz w:val="20"/>
              </w:rPr>
              <w:t>Priority</w:t>
            </w:r>
          </w:p>
        </w:tc>
        <w:tc>
          <w:tcPr>
            <w:tcW w:w="1469" w:type="dxa"/>
            <w:tcBorders>
              <w:left w:val="single" w:sz="4" w:space="0" w:color="FFFFFF"/>
              <w:right w:val="single" w:sz="4" w:space="0" w:color="FFFFFF"/>
            </w:tcBorders>
            <w:shd w:val="clear" w:color="auto" w:fill="939598"/>
          </w:tcPr>
          <w:p>
            <w:pPr>
              <w:pStyle w:val="TableParagraph"/>
              <w:spacing w:before="177"/>
              <w:rPr>
                <w:b/>
                <w:sz w:val="20"/>
              </w:rPr>
            </w:pPr>
          </w:p>
          <w:p>
            <w:pPr>
              <w:pStyle w:val="TableParagraph"/>
              <w:ind w:left="79"/>
              <w:rPr>
                <w:b/>
                <w:sz w:val="20"/>
              </w:rPr>
            </w:pPr>
            <w:r>
              <w:rPr>
                <w:b/>
                <w:color w:val="FFFFFF"/>
                <w:w w:val="90"/>
                <w:sz w:val="20"/>
              </w:rPr>
              <w:t>Focus</w:t>
            </w:r>
            <w:r>
              <w:rPr>
                <w:b/>
                <w:color w:val="FFFFFF"/>
                <w:spacing w:val="8"/>
                <w:sz w:val="20"/>
              </w:rPr>
              <w:t> </w:t>
            </w:r>
            <w:r>
              <w:rPr>
                <w:b/>
                <w:color w:val="FFFFFF"/>
                <w:spacing w:val="-4"/>
                <w:sz w:val="20"/>
              </w:rPr>
              <w:t>Area</w:t>
            </w:r>
          </w:p>
        </w:tc>
        <w:tc>
          <w:tcPr>
            <w:tcW w:w="1246" w:type="dxa"/>
            <w:tcBorders>
              <w:left w:val="single" w:sz="4" w:space="0" w:color="FFFFFF"/>
              <w:right w:val="single" w:sz="4" w:space="0" w:color="FFFFFF"/>
            </w:tcBorders>
            <w:shd w:val="clear" w:color="auto" w:fill="939598"/>
          </w:tcPr>
          <w:p>
            <w:pPr>
              <w:pStyle w:val="TableParagraph"/>
              <w:spacing w:before="177"/>
              <w:rPr>
                <w:b/>
                <w:sz w:val="20"/>
              </w:rPr>
            </w:pPr>
          </w:p>
          <w:p>
            <w:pPr>
              <w:pStyle w:val="TableParagraph"/>
              <w:ind w:left="79"/>
              <w:rPr>
                <w:b/>
                <w:sz w:val="20"/>
              </w:rPr>
            </w:pPr>
            <w:r>
              <w:rPr>
                <w:b/>
                <w:color w:val="FFFFFF"/>
                <w:spacing w:val="-4"/>
                <w:sz w:val="20"/>
              </w:rPr>
              <w:t>Goal</w:t>
            </w:r>
          </w:p>
        </w:tc>
        <w:tc>
          <w:tcPr>
            <w:tcW w:w="2225" w:type="dxa"/>
            <w:tcBorders>
              <w:left w:val="single" w:sz="4" w:space="0" w:color="FFFFFF"/>
              <w:right w:val="single" w:sz="4" w:space="0" w:color="FFFFFF"/>
            </w:tcBorders>
            <w:shd w:val="clear" w:color="auto" w:fill="939598"/>
          </w:tcPr>
          <w:p>
            <w:pPr>
              <w:pStyle w:val="TableParagraph"/>
              <w:spacing w:before="177"/>
              <w:rPr>
                <w:b/>
                <w:sz w:val="20"/>
              </w:rPr>
            </w:pPr>
          </w:p>
          <w:p>
            <w:pPr>
              <w:pStyle w:val="TableParagraph"/>
              <w:ind w:left="79"/>
              <w:rPr>
                <w:b/>
                <w:sz w:val="20"/>
              </w:rPr>
            </w:pPr>
            <w:r>
              <w:rPr>
                <w:b/>
                <w:color w:val="FFFFFF"/>
                <w:spacing w:val="-2"/>
                <w:sz w:val="20"/>
              </w:rPr>
              <w:t>Objectives</w:t>
            </w:r>
          </w:p>
        </w:tc>
        <w:tc>
          <w:tcPr>
            <w:tcW w:w="1656" w:type="dxa"/>
            <w:tcBorders>
              <w:left w:val="single" w:sz="4" w:space="0" w:color="FFFFFF"/>
              <w:right w:val="single" w:sz="4" w:space="0" w:color="FFFFFF"/>
            </w:tcBorders>
            <w:shd w:val="clear" w:color="auto" w:fill="939598"/>
          </w:tcPr>
          <w:p>
            <w:pPr>
              <w:pStyle w:val="TableParagraph"/>
              <w:spacing w:before="177"/>
              <w:rPr>
                <w:b/>
                <w:sz w:val="20"/>
              </w:rPr>
            </w:pPr>
          </w:p>
          <w:p>
            <w:pPr>
              <w:pStyle w:val="TableParagraph"/>
              <w:ind w:left="79"/>
              <w:rPr>
                <w:b/>
                <w:sz w:val="20"/>
              </w:rPr>
            </w:pPr>
            <w:r>
              <w:rPr>
                <w:b/>
                <w:color w:val="FFFFFF"/>
                <w:spacing w:val="-2"/>
                <w:sz w:val="20"/>
              </w:rPr>
              <w:t>Interventions</w:t>
            </w:r>
          </w:p>
        </w:tc>
        <w:tc>
          <w:tcPr>
            <w:tcW w:w="6020" w:type="dxa"/>
            <w:gridSpan w:val="2"/>
            <w:tcBorders>
              <w:left w:val="single" w:sz="4" w:space="0" w:color="FFFFFF"/>
              <w:right w:val="single" w:sz="4" w:space="0" w:color="FFFFFF"/>
            </w:tcBorders>
            <w:shd w:val="clear" w:color="auto" w:fill="939598"/>
          </w:tcPr>
          <w:p>
            <w:pPr>
              <w:pStyle w:val="TableParagraph"/>
              <w:spacing w:line="225" w:lineRule="exact" w:before="187"/>
              <w:ind w:left="4113"/>
              <w:rPr>
                <w:b/>
                <w:sz w:val="20"/>
              </w:rPr>
            </w:pPr>
            <w:r>
              <w:rPr>
                <w:b/>
                <w:color w:val="FFFFFF"/>
                <w:sz w:val="20"/>
              </w:rPr>
              <w:t>Projected</w:t>
            </w:r>
            <w:r>
              <w:rPr>
                <w:b/>
                <w:color w:val="FFFFFF"/>
                <w:spacing w:val="-14"/>
                <w:sz w:val="20"/>
              </w:rPr>
              <w:t> </w:t>
            </w:r>
            <w:r>
              <w:rPr>
                <w:b/>
                <w:color w:val="FFFFFF"/>
                <w:spacing w:val="-5"/>
                <w:sz w:val="20"/>
              </w:rPr>
              <w:t>(or</w:t>
            </w:r>
          </w:p>
          <w:p>
            <w:pPr>
              <w:pStyle w:val="TableParagraph"/>
              <w:tabs>
                <w:tab w:pos="4113" w:val="left" w:leader="none"/>
              </w:tabs>
              <w:spacing w:line="230" w:lineRule="auto" w:before="3"/>
              <w:ind w:left="4113" w:right="109" w:hanging="4025"/>
              <w:rPr>
                <w:b/>
                <w:sz w:val="20"/>
              </w:rPr>
            </w:pPr>
            <w:r>
              <w:rPr>
                <w:b/>
                <w:color w:val="FFFFFF"/>
                <w:sz w:val="20"/>
              </w:rPr>
              <w:t>Family of Measures</w:t>
              <w:tab/>
              <w:t>completed) Year 1 Intervention</w:t>
            </w:r>
            <w:r>
              <w:rPr>
                <w:b/>
                <w:color w:val="FFFFFF"/>
                <w:spacing w:val="-5"/>
                <w:sz w:val="20"/>
              </w:rPr>
              <w:t> </w:t>
            </w:r>
            <w:r>
              <w:rPr>
                <w:b/>
                <w:color w:val="FFFFFF"/>
                <w:sz w:val="20"/>
              </w:rPr>
              <w:t>-</w:t>
            </w:r>
            <w:r>
              <w:rPr>
                <w:b/>
                <w:color w:val="FFFFFF"/>
                <w:spacing w:val="-5"/>
                <w:sz w:val="20"/>
              </w:rPr>
              <w:t> </w:t>
            </w:r>
            <w:r>
              <w:rPr>
                <w:b/>
                <w:color w:val="FFFFFF"/>
                <w:spacing w:val="-4"/>
                <w:sz w:val="20"/>
              </w:rPr>
              <w:t>2019</w:t>
            </w:r>
          </w:p>
        </w:tc>
        <w:tc>
          <w:tcPr>
            <w:tcW w:w="2218" w:type="dxa"/>
            <w:tcBorders>
              <w:left w:val="single" w:sz="4" w:space="0" w:color="FFFFFF"/>
              <w:right w:val="single" w:sz="4" w:space="0" w:color="FFFFFF"/>
            </w:tcBorders>
            <w:shd w:val="clear" w:color="auto" w:fill="939598"/>
          </w:tcPr>
          <w:p>
            <w:pPr>
              <w:pStyle w:val="TableParagraph"/>
              <w:spacing w:before="74"/>
              <w:rPr>
                <w:b/>
                <w:sz w:val="20"/>
              </w:rPr>
            </w:pPr>
          </w:p>
          <w:p>
            <w:pPr>
              <w:pStyle w:val="TableParagraph"/>
              <w:spacing w:line="230" w:lineRule="auto" w:before="1"/>
              <w:ind w:left="78" w:right="822"/>
              <w:rPr>
                <w:b/>
                <w:sz w:val="20"/>
              </w:rPr>
            </w:pPr>
            <w:r>
              <w:rPr>
                <w:b/>
                <w:color w:val="FFFFFF"/>
                <w:spacing w:val="-2"/>
                <w:sz w:val="20"/>
              </w:rPr>
              <w:t>Projected </w:t>
            </w:r>
            <w:r>
              <w:rPr>
                <w:b/>
                <w:color w:val="FFFFFF"/>
                <w:sz w:val="20"/>
              </w:rPr>
              <w:t>Year</w:t>
            </w:r>
            <w:r>
              <w:rPr>
                <w:b/>
                <w:color w:val="FFFFFF"/>
                <w:spacing w:val="-7"/>
                <w:sz w:val="20"/>
              </w:rPr>
              <w:t> </w:t>
            </w:r>
            <w:r>
              <w:rPr>
                <w:b/>
                <w:color w:val="FFFFFF"/>
                <w:sz w:val="20"/>
              </w:rPr>
              <w:t>2</w:t>
            </w:r>
            <w:r>
              <w:rPr>
                <w:b/>
                <w:color w:val="FFFFFF"/>
                <w:spacing w:val="-7"/>
                <w:sz w:val="20"/>
              </w:rPr>
              <w:t> </w:t>
            </w:r>
            <w:r>
              <w:rPr>
                <w:b/>
                <w:color w:val="FFFFFF"/>
                <w:sz w:val="20"/>
              </w:rPr>
              <w:t>-</w:t>
            </w:r>
            <w:r>
              <w:rPr>
                <w:b/>
                <w:color w:val="FFFFFF"/>
                <w:spacing w:val="-7"/>
                <w:sz w:val="20"/>
              </w:rPr>
              <w:t> </w:t>
            </w:r>
            <w:r>
              <w:rPr>
                <w:b/>
                <w:color w:val="FFFFFF"/>
                <w:sz w:val="20"/>
              </w:rPr>
              <w:t>2020</w:t>
            </w:r>
          </w:p>
        </w:tc>
        <w:tc>
          <w:tcPr>
            <w:tcW w:w="2765" w:type="dxa"/>
            <w:tcBorders>
              <w:left w:val="single" w:sz="4" w:space="0" w:color="FFFFFF"/>
              <w:right w:val="single" w:sz="4" w:space="0" w:color="FFFFFF"/>
            </w:tcBorders>
            <w:shd w:val="clear" w:color="auto" w:fill="939598"/>
          </w:tcPr>
          <w:p>
            <w:pPr>
              <w:pStyle w:val="TableParagraph"/>
              <w:spacing w:before="67"/>
              <w:rPr>
                <w:b/>
                <w:sz w:val="20"/>
              </w:rPr>
            </w:pPr>
          </w:p>
          <w:p>
            <w:pPr>
              <w:pStyle w:val="TableParagraph"/>
              <w:spacing w:line="225" w:lineRule="exact"/>
              <w:ind w:left="77"/>
              <w:rPr>
                <w:b/>
                <w:sz w:val="20"/>
              </w:rPr>
            </w:pPr>
            <w:r>
              <w:rPr>
                <w:b/>
                <w:color w:val="FFFFFF"/>
                <w:spacing w:val="-2"/>
                <w:sz w:val="20"/>
              </w:rPr>
              <w:t>Projected</w:t>
            </w:r>
            <w:r>
              <w:rPr>
                <w:b/>
                <w:color w:val="FFFFFF"/>
                <w:spacing w:val="-8"/>
                <w:sz w:val="20"/>
              </w:rPr>
              <w:t> </w:t>
            </w:r>
            <w:r>
              <w:rPr>
                <w:b/>
                <w:color w:val="FFFFFF"/>
                <w:spacing w:val="-2"/>
                <w:sz w:val="20"/>
              </w:rPr>
              <w:t>Year</w:t>
            </w:r>
            <w:r>
              <w:rPr>
                <w:b/>
                <w:color w:val="FFFFFF"/>
                <w:spacing w:val="-7"/>
                <w:sz w:val="20"/>
              </w:rPr>
              <w:t> </w:t>
            </w:r>
            <w:r>
              <w:rPr>
                <w:b/>
                <w:color w:val="FFFFFF"/>
                <w:spacing w:val="-10"/>
                <w:sz w:val="20"/>
              </w:rPr>
              <w:t>3</w:t>
            </w:r>
          </w:p>
          <w:p>
            <w:pPr>
              <w:pStyle w:val="TableParagraph"/>
              <w:spacing w:line="225" w:lineRule="exact"/>
              <w:ind w:left="77"/>
              <w:rPr>
                <w:b/>
                <w:sz w:val="20"/>
              </w:rPr>
            </w:pPr>
            <w:r>
              <w:rPr>
                <w:b/>
                <w:color w:val="FFFFFF"/>
                <w:spacing w:val="-2"/>
                <w:sz w:val="20"/>
              </w:rPr>
              <w:t>Interventions</w:t>
            </w:r>
            <w:r>
              <w:rPr>
                <w:b/>
                <w:color w:val="FFFFFF"/>
                <w:spacing w:val="-4"/>
                <w:sz w:val="20"/>
              </w:rPr>
              <w:t> </w:t>
            </w:r>
            <w:r>
              <w:rPr>
                <w:b/>
                <w:color w:val="FFFFFF"/>
                <w:spacing w:val="-2"/>
                <w:sz w:val="20"/>
              </w:rPr>
              <w:t>-</w:t>
            </w:r>
            <w:r>
              <w:rPr>
                <w:b/>
                <w:color w:val="FFFFFF"/>
                <w:spacing w:val="-3"/>
                <w:sz w:val="20"/>
              </w:rPr>
              <w:t> </w:t>
            </w:r>
            <w:r>
              <w:rPr>
                <w:b/>
                <w:color w:val="FFFFFF"/>
                <w:spacing w:val="-4"/>
                <w:sz w:val="20"/>
              </w:rPr>
              <w:t>2021</w:t>
            </w:r>
          </w:p>
        </w:tc>
        <w:tc>
          <w:tcPr>
            <w:tcW w:w="1642" w:type="dxa"/>
            <w:tcBorders>
              <w:left w:val="single" w:sz="4" w:space="0" w:color="FFFFFF"/>
              <w:right w:val="single" w:sz="4" w:space="0" w:color="FFFFFF"/>
            </w:tcBorders>
            <w:shd w:val="clear" w:color="auto" w:fill="939598"/>
          </w:tcPr>
          <w:p>
            <w:pPr>
              <w:pStyle w:val="TableParagraph"/>
              <w:spacing w:before="74"/>
              <w:rPr>
                <w:b/>
                <w:sz w:val="20"/>
              </w:rPr>
            </w:pPr>
          </w:p>
          <w:p>
            <w:pPr>
              <w:pStyle w:val="TableParagraph"/>
              <w:spacing w:line="230" w:lineRule="auto" w:before="1"/>
              <w:ind w:left="77"/>
              <w:rPr>
                <w:b/>
                <w:sz w:val="20"/>
              </w:rPr>
            </w:pPr>
            <w:r>
              <w:rPr>
                <w:b/>
                <w:color w:val="FFFFFF"/>
                <w:spacing w:val="-2"/>
                <w:sz w:val="20"/>
              </w:rPr>
              <w:t>Implementation Partner</w:t>
            </w:r>
          </w:p>
        </w:tc>
        <w:tc>
          <w:tcPr>
            <w:tcW w:w="1608" w:type="dxa"/>
            <w:tcBorders>
              <w:left w:val="single" w:sz="4" w:space="0" w:color="FFFFFF"/>
              <w:right w:val="single" w:sz="4" w:space="0" w:color="FFFFFF"/>
            </w:tcBorders>
            <w:shd w:val="clear" w:color="auto" w:fill="939598"/>
          </w:tcPr>
          <w:p>
            <w:pPr>
              <w:pStyle w:val="TableParagraph"/>
              <w:spacing w:before="74"/>
              <w:rPr>
                <w:b/>
                <w:sz w:val="20"/>
              </w:rPr>
            </w:pPr>
          </w:p>
          <w:p>
            <w:pPr>
              <w:pStyle w:val="TableParagraph"/>
              <w:spacing w:line="230" w:lineRule="auto" w:before="1"/>
              <w:ind w:left="77" w:right="98"/>
              <w:rPr>
                <w:b/>
                <w:sz w:val="20"/>
              </w:rPr>
            </w:pPr>
            <w:r>
              <w:rPr>
                <w:b/>
                <w:color w:val="FFFFFF"/>
                <w:spacing w:val="-6"/>
                <w:sz w:val="20"/>
              </w:rPr>
              <w:t>Partner</w:t>
            </w:r>
            <w:r>
              <w:rPr>
                <w:b/>
                <w:color w:val="FFFFFF"/>
                <w:spacing w:val="-8"/>
                <w:sz w:val="20"/>
              </w:rPr>
              <w:t> </w:t>
            </w:r>
            <w:r>
              <w:rPr>
                <w:b/>
                <w:color w:val="FFFFFF"/>
                <w:spacing w:val="-6"/>
                <w:sz w:val="20"/>
              </w:rPr>
              <w:t>Role(s) </w:t>
            </w:r>
            <w:r>
              <w:rPr>
                <w:b/>
                <w:color w:val="FFFFFF"/>
                <w:sz w:val="20"/>
              </w:rPr>
              <w:t>and</w:t>
            </w:r>
            <w:r>
              <w:rPr>
                <w:b/>
                <w:color w:val="FFFFFF"/>
                <w:spacing w:val="-8"/>
                <w:sz w:val="20"/>
              </w:rPr>
              <w:t> Resources</w:t>
            </w:r>
          </w:p>
        </w:tc>
      </w:tr>
      <w:tr>
        <w:trPr>
          <w:trHeight w:val="1930" w:hRule="atLeast"/>
        </w:trPr>
        <w:tc>
          <w:tcPr>
            <w:tcW w:w="1526" w:type="dxa"/>
            <w:vMerge w:val="restart"/>
            <w:shd w:val="clear" w:color="auto" w:fill="E6E7E8"/>
          </w:tcPr>
          <w:p>
            <w:pPr>
              <w:pStyle w:val="TableParagraph"/>
              <w:spacing w:line="203" w:lineRule="exact" w:before="96"/>
              <w:ind w:left="89"/>
              <w:rPr>
                <w:sz w:val="18"/>
              </w:rPr>
            </w:pPr>
            <w:r>
              <w:rPr>
                <w:color w:val="105C84"/>
                <w:spacing w:val="-2"/>
                <w:w w:val="105"/>
                <w:sz w:val="18"/>
              </w:rPr>
              <w:t>Promote</w:t>
            </w:r>
          </w:p>
          <w:p>
            <w:pPr>
              <w:pStyle w:val="TableParagraph"/>
              <w:spacing w:line="232" w:lineRule="auto" w:before="1"/>
              <w:ind w:left="89" w:right="167"/>
              <w:jc w:val="both"/>
              <w:rPr>
                <w:sz w:val="18"/>
              </w:rPr>
            </w:pPr>
            <w:r>
              <w:rPr>
                <w:color w:val="105C84"/>
                <w:sz w:val="18"/>
              </w:rPr>
              <w:t>Well-Being</w:t>
            </w:r>
            <w:r>
              <w:rPr>
                <w:color w:val="105C84"/>
                <w:spacing w:val="-1"/>
                <w:sz w:val="18"/>
              </w:rPr>
              <w:t> </w:t>
            </w:r>
            <w:r>
              <w:rPr>
                <w:color w:val="105C84"/>
                <w:sz w:val="18"/>
              </w:rPr>
              <w:t>and Prevent Mental and Substance Use Disorders</w:t>
            </w:r>
          </w:p>
        </w:tc>
        <w:tc>
          <w:tcPr>
            <w:tcW w:w="1469" w:type="dxa"/>
            <w:vMerge w:val="restart"/>
          </w:tcPr>
          <w:p>
            <w:pPr>
              <w:pStyle w:val="TableParagraph"/>
              <w:spacing w:line="232" w:lineRule="auto" w:before="101"/>
              <w:ind w:left="90" w:right="151"/>
              <w:rPr>
                <w:sz w:val="18"/>
              </w:rPr>
            </w:pPr>
            <w:r>
              <w:rPr>
                <w:color w:val="105C84"/>
                <w:sz w:val="18"/>
              </w:rPr>
              <w:t>Focus Area 2: Prevent</w:t>
            </w:r>
            <w:r>
              <w:rPr>
                <w:color w:val="105C84"/>
                <w:spacing w:val="-13"/>
                <w:sz w:val="18"/>
              </w:rPr>
              <w:t> </w:t>
            </w:r>
            <w:r>
              <w:rPr>
                <w:color w:val="105C84"/>
                <w:sz w:val="18"/>
              </w:rPr>
              <w:t>Mental and</w:t>
            </w:r>
            <w:r>
              <w:rPr>
                <w:color w:val="105C84"/>
                <w:spacing w:val="-13"/>
                <w:sz w:val="18"/>
              </w:rPr>
              <w:t> </w:t>
            </w:r>
            <w:r>
              <w:rPr>
                <w:color w:val="105C84"/>
                <w:sz w:val="18"/>
              </w:rPr>
              <w:t>Substance </w:t>
            </w:r>
            <w:r>
              <w:rPr>
                <w:color w:val="105C84"/>
                <w:spacing w:val="-5"/>
                <w:sz w:val="18"/>
              </w:rPr>
              <w:t>User</w:t>
            </w:r>
            <w:r>
              <w:rPr>
                <w:color w:val="105C84"/>
                <w:spacing w:val="-7"/>
                <w:sz w:val="18"/>
              </w:rPr>
              <w:t> </w:t>
            </w:r>
            <w:r>
              <w:rPr>
                <w:color w:val="105C84"/>
                <w:spacing w:val="-2"/>
                <w:sz w:val="18"/>
              </w:rPr>
              <w:t>Disorders</w:t>
            </w:r>
          </w:p>
        </w:tc>
        <w:tc>
          <w:tcPr>
            <w:tcW w:w="1246" w:type="dxa"/>
            <w:vMerge w:val="restart"/>
          </w:tcPr>
          <w:p>
            <w:pPr>
              <w:pStyle w:val="TableParagraph"/>
              <w:spacing w:line="232" w:lineRule="auto" w:before="101"/>
              <w:ind w:left="89" w:right="178"/>
              <w:rPr>
                <w:sz w:val="18"/>
              </w:rPr>
            </w:pPr>
            <w:r>
              <w:rPr>
                <w:color w:val="105C84"/>
                <w:sz w:val="18"/>
              </w:rPr>
              <w:t>Goal 2.3: </w:t>
            </w:r>
            <w:r>
              <w:rPr>
                <w:color w:val="105C84"/>
                <w:spacing w:val="-2"/>
                <w:sz w:val="18"/>
              </w:rPr>
              <w:t>Prevent</w:t>
            </w:r>
            <w:r>
              <w:rPr>
                <w:color w:val="105C84"/>
                <w:spacing w:val="-11"/>
                <w:sz w:val="18"/>
              </w:rPr>
              <w:t> </w:t>
            </w:r>
            <w:r>
              <w:rPr>
                <w:color w:val="105C84"/>
                <w:spacing w:val="-2"/>
                <w:sz w:val="18"/>
              </w:rPr>
              <w:t>and address adverse childhood experiences</w:t>
            </w:r>
          </w:p>
        </w:tc>
        <w:tc>
          <w:tcPr>
            <w:tcW w:w="2225" w:type="dxa"/>
            <w:vMerge w:val="restart"/>
          </w:tcPr>
          <w:p>
            <w:pPr>
              <w:pStyle w:val="TableParagraph"/>
              <w:spacing w:line="232" w:lineRule="auto" w:before="101"/>
              <w:ind w:left="89"/>
              <w:rPr>
                <w:sz w:val="18"/>
              </w:rPr>
            </w:pPr>
            <w:r>
              <w:rPr>
                <w:color w:val="105C84"/>
                <w:sz w:val="18"/>
              </w:rPr>
              <w:t>2.3.2 Reduce indicated reports of abuse/ maltreatment rate per 1,000</w:t>
            </w:r>
            <w:r>
              <w:rPr>
                <w:color w:val="105C84"/>
                <w:spacing w:val="-13"/>
                <w:sz w:val="18"/>
              </w:rPr>
              <w:t> </w:t>
            </w:r>
            <w:r>
              <w:rPr>
                <w:color w:val="105C84"/>
                <w:sz w:val="18"/>
              </w:rPr>
              <w:t>children</w:t>
            </w:r>
            <w:r>
              <w:rPr>
                <w:color w:val="105C84"/>
                <w:spacing w:val="-12"/>
                <w:sz w:val="18"/>
              </w:rPr>
              <w:t> </w:t>
            </w:r>
            <w:r>
              <w:rPr>
                <w:color w:val="105C84"/>
                <w:sz w:val="18"/>
              </w:rPr>
              <w:t>and</w:t>
            </w:r>
            <w:r>
              <w:rPr>
                <w:color w:val="105C84"/>
                <w:spacing w:val="-13"/>
                <w:sz w:val="18"/>
              </w:rPr>
              <w:t> </w:t>
            </w:r>
            <w:r>
              <w:rPr>
                <w:color w:val="105C84"/>
                <w:sz w:val="18"/>
              </w:rPr>
              <w:t>youth </w:t>
            </w:r>
            <w:r>
              <w:rPr>
                <w:color w:val="105C84"/>
                <w:spacing w:val="-4"/>
                <w:sz w:val="18"/>
              </w:rPr>
              <w:t>ages</w:t>
            </w:r>
            <w:r>
              <w:rPr>
                <w:color w:val="105C84"/>
                <w:spacing w:val="-7"/>
                <w:sz w:val="18"/>
              </w:rPr>
              <w:t> </w:t>
            </w:r>
            <w:r>
              <w:rPr>
                <w:color w:val="105C84"/>
                <w:spacing w:val="-4"/>
                <w:sz w:val="18"/>
              </w:rPr>
              <w:t>0-17</w:t>
            </w:r>
            <w:r>
              <w:rPr>
                <w:color w:val="105C84"/>
                <w:spacing w:val="-8"/>
                <w:sz w:val="18"/>
              </w:rPr>
              <w:t> </w:t>
            </w:r>
            <w:r>
              <w:rPr>
                <w:color w:val="105C84"/>
                <w:spacing w:val="-4"/>
                <w:sz w:val="18"/>
              </w:rPr>
              <w:t>years</w:t>
            </w:r>
            <w:r>
              <w:rPr>
                <w:color w:val="105C84"/>
                <w:spacing w:val="-7"/>
                <w:sz w:val="18"/>
              </w:rPr>
              <w:t> </w:t>
            </w:r>
            <w:r>
              <w:rPr>
                <w:color w:val="105C84"/>
                <w:spacing w:val="-4"/>
                <w:sz w:val="18"/>
              </w:rPr>
              <w:t>by</w:t>
            </w:r>
            <w:r>
              <w:rPr>
                <w:color w:val="105C84"/>
                <w:spacing w:val="-7"/>
                <w:sz w:val="18"/>
              </w:rPr>
              <w:t> </w:t>
            </w:r>
            <w:r>
              <w:rPr>
                <w:color w:val="105C84"/>
                <w:spacing w:val="-4"/>
                <w:sz w:val="18"/>
              </w:rPr>
              <w:t>9%</w:t>
            </w:r>
            <w:r>
              <w:rPr>
                <w:color w:val="105C84"/>
                <w:spacing w:val="-7"/>
                <w:sz w:val="18"/>
              </w:rPr>
              <w:t> </w:t>
            </w:r>
            <w:r>
              <w:rPr>
                <w:color w:val="105C84"/>
                <w:spacing w:val="-5"/>
                <w:sz w:val="18"/>
              </w:rPr>
              <w:t>t</w:t>
            </w:r>
            <w:r>
              <w:rPr>
                <w:color w:val="105C84"/>
                <w:spacing w:val="-5"/>
                <w:sz w:val="18"/>
              </w:rPr>
              <w:t>o</w:t>
            </w:r>
          </w:p>
          <w:p>
            <w:pPr>
              <w:pStyle w:val="TableParagraph"/>
              <w:spacing w:line="232" w:lineRule="auto"/>
              <w:ind w:left="89" w:right="142"/>
              <w:rPr>
                <w:sz w:val="18"/>
              </w:rPr>
            </w:pPr>
            <w:r>
              <w:rPr>
                <w:color w:val="105C84"/>
                <w:sz w:val="18"/>
              </w:rPr>
              <w:t>15.6 per 1,000 children and youth ages 0-17 </w:t>
            </w:r>
            <w:r>
              <w:rPr>
                <w:color w:val="105C84"/>
                <w:spacing w:val="-4"/>
                <w:sz w:val="18"/>
              </w:rPr>
              <w:t>years</w:t>
            </w:r>
            <w:r>
              <w:rPr>
                <w:color w:val="105C84"/>
                <w:spacing w:val="-7"/>
                <w:sz w:val="18"/>
              </w:rPr>
              <w:t> </w:t>
            </w:r>
            <w:r>
              <w:rPr>
                <w:color w:val="105C84"/>
                <w:spacing w:val="-4"/>
                <w:sz w:val="18"/>
              </w:rPr>
              <w:t>(Current</w:t>
            </w:r>
            <w:r>
              <w:rPr>
                <w:color w:val="105C84"/>
                <w:spacing w:val="-7"/>
                <w:sz w:val="18"/>
              </w:rPr>
              <w:t> </w:t>
            </w:r>
            <w:r>
              <w:rPr>
                <w:color w:val="105C84"/>
                <w:spacing w:val="-4"/>
                <w:sz w:val="18"/>
              </w:rPr>
              <w:t>rate:</w:t>
            </w:r>
            <w:r>
              <w:rPr>
                <w:color w:val="105C84"/>
                <w:spacing w:val="-7"/>
                <w:sz w:val="18"/>
              </w:rPr>
              <w:t> </w:t>
            </w:r>
            <w:r>
              <w:rPr>
                <w:color w:val="105C84"/>
                <w:spacing w:val="-4"/>
                <w:sz w:val="18"/>
              </w:rPr>
              <w:t>45.</w:t>
            </w:r>
            <w:r>
              <w:rPr>
                <w:color w:val="105C84"/>
                <w:spacing w:val="-4"/>
                <w:sz w:val="18"/>
              </w:rPr>
              <w:t>2</w:t>
            </w:r>
            <w:r>
              <w:rPr>
                <w:color w:val="105C84"/>
                <w:spacing w:val="-4"/>
                <w:sz w:val="18"/>
              </w:rPr>
              <w:t> </w:t>
            </w:r>
            <w:r>
              <w:rPr>
                <w:color w:val="105C84"/>
                <w:sz w:val="18"/>
              </w:rPr>
              <w:t>per 1,000 - 2017)</w:t>
            </w:r>
          </w:p>
        </w:tc>
        <w:tc>
          <w:tcPr>
            <w:tcW w:w="1656" w:type="dxa"/>
            <w:vMerge w:val="restart"/>
          </w:tcPr>
          <w:p>
            <w:pPr>
              <w:pStyle w:val="TableParagraph"/>
              <w:spacing w:line="232" w:lineRule="auto" w:before="101"/>
              <w:ind w:left="89" w:right="209"/>
              <w:rPr>
                <w:sz w:val="18"/>
              </w:rPr>
            </w:pPr>
            <w:r>
              <w:rPr>
                <w:color w:val="105C84"/>
                <w:sz w:val="18"/>
              </w:rPr>
              <w:t>2.3.2 Address </w:t>
            </w:r>
            <w:r>
              <w:rPr>
                <w:color w:val="105C84"/>
                <w:spacing w:val="-2"/>
                <w:sz w:val="18"/>
              </w:rPr>
              <w:t>Adverse Childhood Experiences</w:t>
            </w:r>
            <w:r>
              <w:rPr>
                <w:color w:val="105C84"/>
                <w:spacing w:val="-11"/>
                <w:sz w:val="18"/>
              </w:rPr>
              <w:t> </w:t>
            </w:r>
            <w:r>
              <w:rPr>
                <w:color w:val="105C84"/>
                <w:spacing w:val="-2"/>
                <w:sz w:val="18"/>
              </w:rPr>
              <w:t>an</w:t>
            </w:r>
            <w:r>
              <w:rPr>
                <w:color w:val="105C84"/>
                <w:spacing w:val="-2"/>
                <w:sz w:val="18"/>
              </w:rPr>
              <w:t>d</w:t>
            </w:r>
            <w:r>
              <w:rPr>
                <w:color w:val="105C84"/>
                <w:spacing w:val="-2"/>
                <w:sz w:val="18"/>
              </w:rPr>
              <w:t> </w:t>
            </w:r>
            <w:r>
              <w:rPr>
                <w:color w:val="105C84"/>
                <w:sz w:val="18"/>
              </w:rPr>
              <w:t>other types of trauma in the primary care </w:t>
            </w:r>
            <w:r>
              <w:rPr>
                <w:color w:val="105C84"/>
                <w:spacing w:val="-2"/>
                <w:sz w:val="18"/>
              </w:rPr>
              <w:t>setting</w:t>
            </w:r>
          </w:p>
        </w:tc>
        <w:tc>
          <w:tcPr>
            <w:tcW w:w="3035" w:type="dxa"/>
            <w:vMerge w:val="restart"/>
            <w:tcBorders>
              <w:right w:val="nil"/>
            </w:tcBorders>
          </w:tcPr>
          <w:p>
            <w:pPr>
              <w:pStyle w:val="TableParagraph"/>
              <w:spacing w:line="232" w:lineRule="auto" w:before="100"/>
              <w:ind w:left="89" w:right="1447"/>
              <w:rPr>
                <w:sz w:val="18"/>
              </w:rPr>
            </w:pPr>
            <w:r>
              <w:rPr>
                <w:color w:val="105C84"/>
                <w:sz w:val="18"/>
              </w:rPr>
              <w:t>Percent</w:t>
            </w:r>
            <w:r>
              <w:rPr>
                <w:color w:val="105C84"/>
                <w:spacing w:val="-9"/>
                <w:sz w:val="18"/>
              </w:rPr>
              <w:t> </w:t>
            </w:r>
            <w:r>
              <w:rPr>
                <w:color w:val="105C84"/>
                <w:sz w:val="18"/>
              </w:rPr>
              <w:t>of</w:t>
            </w:r>
            <w:r>
              <w:rPr>
                <w:color w:val="105C84"/>
                <w:spacing w:val="-9"/>
                <w:sz w:val="18"/>
              </w:rPr>
              <w:t> </w:t>
            </w:r>
            <w:r>
              <w:rPr>
                <w:color w:val="105C84"/>
                <w:sz w:val="18"/>
              </w:rPr>
              <w:t>support </w:t>
            </w:r>
            <w:r>
              <w:rPr>
                <w:color w:val="105C84"/>
                <w:w w:val="105"/>
                <w:sz w:val="18"/>
              </w:rPr>
              <w:t>referrals</w:t>
            </w:r>
            <w:r>
              <w:rPr>
                <w:color w:val="105C84"/>
                <w:spacing w:val="-1"/>
                <w:w w:val="105"/>
                <w:sz w:val="18"/>
              </w:rPr>
              <w:t> </w:t>
            </w:r>
            <w:r>
              <w:rPr>
                <w:color w:val="105C84"/>
                <w:w w:val="105"/>
                <w:sz w:val="18"/>
              </w:rPr>
              <w:t>followed through on within </w:t>
            </w:r>
            <w:r>
              <w:rPr>
                <w:color w:val="105C84"/>
                <w:spacing w:val="-2"/>
                <w:w w:val="105"/>
                <w:sz w:val="18"/>
              </w:rPr>
              <w:t>six</w:t>
            </w:r>
            <w:r>
              <w:rPr>
                <w:color w:val="105C84"/>
                <w:spacing w:val="-12"/>
                <w:w w:val="105"/>
                <w:sz w:val="18"/>
              </w:rPr>
              <w:t> </w:t>
            </w:r>
            <w:r>
              <w:rPr>
                <w:color w:val="105C84"/>
                <w:spacing w:val="-2"/>
                <w:w w:val="105"/>
                <w:sz w:val="18"/>
              </w:rPr>
              <w:t>month</w:t>
            </w:r>
            <w:r>
              <w:rPr>
                <w:color w:val="105C84"/>
                <w:spacing w:val="-11"/>
                <w:w w:val="105"/>
                <w:sz w:val="18"/>
              </w:rPr>
              <w:t> </w:t>
            </w:r>
            <w:r>
              <w:rPr>
                <w:color w:val="105C84"/>
                <w:spacing w:val="-2"/>
                <w:w w:val="105"/>
                <w:sz w:val="18"/>
              </w:rPr>
              <w:t>of</w:t>
            </w:r>
            <w:r>
              <w:rPr>
                <w:color w:val="105C84"/>
                <w:spacing w:val="-11"/>
                <w:w w:val="105"/>
                <w:sz w:val="18"/>
              </w:rPr>
              <w:t> </w:t>
            </w:r>
            <w:r>
              <w:rPr>
                <w:color w:val="105C84"/>
                <w:spacing w:val="-2"/>
                <w:w w:val="105"/>
                <w:sz w:val="18"/>
              </w:rPr>
              <w:t>being </w:t>
            </w:r>
            <w:r>
              <w:rPr>
                <w:color w:val="105C84"/>
                <w:sz w:val="18"/>
              </w:rPr>
              <w:t>screened</w:t>
            </w:r>
            <w:r>
              <w:rPr>
                <w:color w:val="105C84"/>
                <w:spacing w:val="-8"/>
                <w:sz w:val="18"/>
              </w:rPr>
              <w:t> </w:t>
            </w:r>
            <w:r>
              <w:rPr>
                <w:color w:val="105C84"/>
                <w:sz w:val="18"/>
              </w:rPr>
              <w:t>for</w:t>
            </w:r>
            <w:r>
              <w:rPr>
                <w:color w:val="105C84"/>
                <w:spacing w:val="-8"/>
                <w:sz w:val="18"/>
              </w:rPr>
              <w:t> </w:t>
            </w:r>
            <w:r>
              <w:rPr>
                <w:color w:val="105C84"/>
                <w:spacing w:val="-4"/>
                <w:sz w:val="18"/>
              </w:rPr>
              <w:t>ACEs</w:t>
            </w:r>
          </w:p>
        </w:tc>
        <w:tc>
          <w:tcPr>
            <w:tcW w:w="2985" w:type="dxa"/>
            <w:tcBorders>
              <w:left w:val="nil"/>
            </w:tcBorders>
          </w:tcPr>
          <w:p>
            <w:pPr>
              <w:pStyle w:val="TableParagraph"/>
              <w:spacing w:line="232" w:lineRule="auto" w:before="100"/>
              <w:ind w:left="1084"/>
              <w:rPr>
                <w:sz w:val="18"/>
              </w:rPr>
            </w:pPr>
            <w:r>
              <w:rPr>
                <w:color w:val="105C84"/>
                <w:sz w:val="18"/>
              </w:rPr>
              <w:t>Assemble</w:t>
            </w:r>
            <w:r>
              <w:rPr>
                <w:color w:val="105C84"/>
                <w:spacing w:val="-13"/>
                <w:sz w:val="18"/>
              </w:rPr>
              <w:t> </w:t>
            </w:r>
            <w:r>
              <w:rPr>
                <w:color w:val="105C84"/>
                <w:sz w:val="18"/>
              </w:rPr>
              <w:t>community partners to address ACES</w:t>
            </w:r>
            <w:r>
              <w:rPr>
                <w:color w:val="105C84"/>
                <w:spacing w:val="-13"/>
                <w:sz w:val="18"/>
              </w:rPr>
              <w:t> </w:t>
            </w:r>
            <w:r>
              <w:rPr>
                <w:color w:val="105C84"/>
                <w:sz w:val="18"/>
              </w:rPr>
              <w:t>in</w:t>
            </w:r>
            <w:r>
              <w:rPr>
                <w:color w:val="105C84"/>
                <w:spacing w:val="-12"/>
                <w:sz w:val="18"/>
              </w:rPr>
              <w:t> </w:t>
            </w:r>
            <w:r>
              <w:rPr>
                <w:color w:val="105C84"/>
                <w:sz w:val="18"/>
              </w:rPr>
              <w:t>primary</w:t>
            </w:r>
            <w:r>
              <w:rPr>
                <w:color w:val="105C84"/>
                <w:spacing w:val="-13"/>
                <w:sz w:val="18"/>
              </w:rPr>
              <w:t> </w:t>
            </w:r>
            <w:r>
              <w:rPr>
                <w:color w:val="105C84"/>
                <w:sz w:val="18"/>
              </w:rPr>
              <w:t>care </w:t>
            </w:r>
            <w:r>
              <w:rPr>
                <w:color w:val="105C84"/>
                <w:spacing w:val="-2"/>
                <w:sz w:val="18"/>
              </w:rPr>
              <w:t>setting</w:t>
            </w:r>
          </w:p>
        </w:tc>
        <w:tc>
          <w:tcPr>
            <w:tcW w:w="2218" w:type="dxa"/>
          </w:tcPr>
          <w:p>
            <w:pPr>
              <w:pStyle w:val="TableParagraph"/>
              <w:spacing w:line="232" w:lineRule="auto" w:before="100"/>
              <w:ind w:left="88" w:right="117"/>
              <w:rPr>
                <w:sz w:val="18"/>
              </w:rPr>
            </w:pPr>
            <w:r>
              <w:rPr>
                <w:color w:val="105C84"/>
                <w:sz w:val="18"/>
              </w:rPr>
              <w:t>Offer and complete education</w:t>
            </w:r>
            <w:r>
              <w:rPr>
                <w:color w:val="105C84"/>
                <w:spacing w:val="-15"/>
                <w:sz w:val="18"/>
              </w:rPr>
              <w:t> </w:t>
            </w:r>
            <w:r>
              <w:rPr>
                <w:color w:val="105C84"/>
                <w:sz w:val="18"/>
              </w:rPr>
              <w:t>about</w:t>
            </w:r>
            <w:r>
              <w:rPr>
                <w:color w:val="105C84"/>
                <w:spacing w:val="-12"/>
                <w:sz w:val="18"/>
              </w:rPr>
              <w:t> </w:t>
            </w:r>
            <w:r>
              <w:rPr>
                <w:color w:val="105C84"/>
                <w:sz w:val="18"/>
              </w:rPr>
              <w:t>ACES and referral system</w:t>
            </w:r>
          </w:p>
        </w:tc>
        <w:tc>
          <w:tcPr>
            <w:tcW w:w="2765" w:type="dxa"/>
          </w:tcPr>
          <w:p>
            <w:pPr>
              <w:pStyle w:val="TableParagraph"/>
              <w:spacing w:line="232" w:lineRule="auto" w:before="100"/>
              <w:ind w:left="88" w:right="94"/>
              <w:rPr>
                <w:sz w:val="18"/>
              </w:rPr>
            </w:pPr>
            <w:r>
              <w:rPr>
                <w:color w:val="105C84"/>
                <w:sz w:val="18"/>
              </w:rPr>
              <w:t>Implement screening tool for ACES</w:t>
            </w:r>
            <w:r>
              <w:rPr>
                <w:color w:val="105C84"/>
                <w:spacing w:val="-4"/>
                <w:sz w:val="18"/>
              </w:rPr>
              <w:t> </w:t>
            </w:r>
            <w:r>
              <w:rPr>
                <w:color w:val="105C84"/>
                <w:sz w:val="18"/>
              </w:rPr>
              <w:t>in</w:t>
            </w:r>
            <w:r>
              <w:rPr>
                <w:color w:val="105C84"/>
                <w:spacing w:val="-4"/>
                <w:sz w:val="18"/>
              </w:rPr>
              <w:t> </w:t>
            </w:r>
            <w:r>
              <w:rPr>
                <w:color w:val="105C84"/>
                <w:sz w:val="18"/>
              </w:rPr>
              <w:t>the</w:t>
            </w:r>
            <w:r>
              <w:rPr>
                <w:color w:val="105C84"/>
                <w:spacing w:val="-4"/>
                <w:sz w:val="18"/>
              </w:rPr>
              <w:t> </w:t>
            </w:r>
            <w:r>
              <w:rPr>
                <w:color w:val="105C84"/>
                <w:sz w:val="18"/>
              </w:rPr>
              <w:t>mental</w:t>
            </w:r>
            <w:r>
              <w:rPr>
                <w:color w:val="105C84"/>
                <w:spacing w:val="-4"/>
                <w:sz w:val="18"/>
              </w:rPr>
              <w:t> </w:t>
            </w:r>
            <w:r>
              <w:rPr>
                <w:color w:val="105C84"/>
                <w:sz w:val="18"/>
              </w:rPr>
              <w:t>health</w:t>
            </w:r>
            <w:r>
              <w:rPr>
                <w:color w:val="105C84"/>
                <w:spacing w:val="-4"/>
                <w:sz w:val="18"/>
              </w:rPr>
              <w:t> </w:t>
            </w:r>
            <w:r>
              <w:rPr>
                <w:color w:val="105C84"/>
                <w:sz w:val="18"/>
              </w:rPr>
              <w:t>clinic Conduct ongoing outreach</w:t>
            </w:r>
            <w:r>
              <w:rPr>
                <w:color w:val="105C84"/>
                <w:spacing w:val="40"/>
                <w:sz w:val="18"/>
              </w:rPr>
              <w:t> </w:t>
            </w:r>
            <w:r>
              <w:rPr>
                <w:color w:val="105C84"/>
                <w:spacing w:val="-2"/>
                <w:sz w:val="18"/>
              </w:rPr>
              <w:t>about</w:t>
            </w:r>
            <w:r>
              <w:rPr>
                <w:color w:val="105C84"/>
                <w:spacing w:val="-9"/>
                <w:sz w:val="18"/>
              </w:rPr>
              <w:t> </w:t>
            </w:r>
            <w:r>
              <w:rPr>
                <w:color w:val="105C84"/>
                <w:spacing w:val="-2"/>
                <w:sz w:val="18"/>
              </w:rPr>
              <w:t>ACES</w:t>
            </w:r>
            <w:r>
              <w:rPr>
                <w:color w:val="105C84"/>
                <w:spacing w:val="-9"/>
                <w:sz w:val="18"/>
              </w:rPr>
              <w:t> </w:t>
            </w:r>
            <w:r>
              <w:rPr>
                <w:color w:val="105C84"/>
                <w:spacing w:val="-2"/>
                <w:sz w:val="18"/>
              </w:rPr>
              <w:t>and</w:t>
            </w:r>
            <w:r>
              <w:rPr>
                <w:color w:val="105C84"/>
                <w:spacing w:val="-9"/>
                <w:sz w:val="18"/>
              </w:rPr>
              <w:t> </w:t>
            </w:r>
            <w:r>
              <w:rPr>
                <w:color w:val="105C84"/>
                <w:spacing w:val="-2"/>
                <w:sz w:val="18"/>
              </w:rPr>
              <w:t>referral</w:t>
            </w:r>
            <w:r>
              <w:rPr>
                <w:color w:val="105C84"/>
                <w:spacing w:val="-9"/>
                <w:sz w:val="18"/>
              </w:rPr>
              <w:t> </w:t>
            </w:r>
            <w:r>
              <w:rPr>
                <w:color w:val="105C84"/>
                <w:spacing w:val="-2"/>
                <w:sz w:val="18"/>
              </w:rPr>
              <w:t>system.</w:t>
            </w:r>
          </w:p>
          <w:p>
            <w:pPr>
              <w:pStyle w:val="TableParagraph"/>
              <w:spacing w:line="232" w:lineRule="auto" w:before="87"/>
              <w:ind w:left="88" w:right="103"/>
              <w:rPr>
                <w:sz w:val="18"/>
              </w:rPr>
            </w:pPr>
            <w:r>
              <w:rPr>
                <w:color w:val="105C84"/>
                <w:sz w:val="18"/>
              </w:rPr>
              <w:t>Work with Schuyler Primary Care on evaluation of ACES intervention,</w:t>
            </w:r>
            <w:r>
              <w:rPr>
                <w:color w:val="105C84"/>
                <w:spacing w:val="-4"/>
                <w:sz w:val="18"/>
              </w:rPr>
              <w:t> </w:t>
            </w:r>
            <w:r>
              <w:rPr>
                <w:color w:val="105C84"/>
                <w:sz w:val="18"/>
              </w:rPr>
              <w:t>looking</w:t>
            </w:r>
            <w:r>
              <w:rPr>
                <w:color w:val="105C84"/>
                <w:spacing w:val="-4"/>
                <w:sz w:val="18"/>
              </w:rPr>
              <w:t> </w:t>
            </w:r>
            <w:r>
              <w:rPr>
                <w:color w:val="105C84"/>
                <w:sz w:val="18"/>
              </w:rPr>
              <w:t>at</w:t>
            </w:r>
            <w:r>
              <w:rPr>
                <w:color w:val="105C84"/>
                <w:spacing w:val="-4"/>
                <w:sz w:val="18"/>
              </w:rPr>
              <w:t> </w:t>
            </w:r>
            <w:r>
              <w:rPr>
                <w:color w:val="105C84"/>
                <w:sz w:val="18"/>
              </w:rPr>
              <w:t>referrals and ACES scores</w:t>
            </w:r>
          </w:p>
        </w:tc>
        <w:tc>
          <w:tcPr>
            <w:tcW w:w="1642" w:type="dxa"/>
          </w:tcPr>
          <w:p>
            <w:pPr>
              <w:pStyle w:val="TableParagraph"/>
              <w:spacing w:line="232" w:lineRule="auto" w:before="100"/>
              <w:ind w:left="87" w:right="56"/>
              <w:rPr>
                <w:sz w:val="18"/>
              </w:rPr>
            </w:pPr>
            <w:r>
              <w:rPr>
                <w:color w:val="105C84"/>
                <w:spacing w:val="-2"/>
                <w:sz w:val="18"/>
              </w:rPr>
              <w:t>Local </w:t>
            </w:r>
            <w:r>
              <w:rPr>
                <w:color w:val="105C84"/>
                <w:sz w:val="18"/>
              </w:rPr>
              <w:t>governmental</w:t>
            </w:r>
            <w:r>
              <w:rPr>
                <w:color w:val="105C84"/>
                <w:spacing w:val="-8"/>
                <w:sz w:val="18"/>
              </w:rPr>
              <w:t> </w:t>
            </w:r>
            <w:r>
              <w:rPr>
                <w:color w:val="105C84"/>
                <w:sz w:val="18"/>
              </w:rPr>
              <w:t>unit</w:t>
            </w:r>
          </w:p>
        </w:tc>
        <w:tc>
          <w:tcPr>
            <w:tcW w:w="1608" w:type="dxa"/>
          </w:tcPr>
          <w:p>
            <w:pPr>
              <w:pStyle w:val="TableParagraph"/>
              <w:spacing w:line="232" w:lineRule="auto" w:before="100"/>
              <w:ind w:left="87" w:right="98"/>
              <w:rPr>
                <w:sz w:val="18"/>
              </w:rPr>
            </w:pPr>
            <w:r>
              <w:rPr>
                <w:color w:val="105C84"/>
                <w:sz w:val="18"/>
              </w:rPr>
              <w:t>Mental</w:t>
            </w:r>
            <w:r>
              <w:rPr>
                <w:color w:val="105C84"/>
                <w:spacing w:val="-13"/>
                <w:sz w:val="18"/>
              </w:rPr>
              <w:t> </w:t>
            </w:r>
            <w:r>
              <w:rPr>
                <w:color w:val="105C84"/>
                <w:sz w:val="18"/>
              </w:rPr>
              <w:t>Health </w:t>
            </w:r>
            <w:r>
              <w:rPr>
                <w:color w:val="105C84"/>
                <w:spacing w:val="-2"/>
                <w:sz w:val="18"/>
              </w:rPr>
              <w:t>Clinic</w:t>
            </w:r>
          </w:p>
        </w:tc>
      </w:tr>
      <w:tr>
        <w:trPr>
          <w:trHeight w:val="2130" w:hRule="atLeast"/>
        </w:trPr>
        <w:tc>
          <w:tcPr>
            <w:tcW w:w="1526" w:type="dxa"/>
            <w:vMerge/>
            <w:tcBorders>
              <w:top w:val="nil"/>
            </w:tcBorders>
            <w:shd w:val="clear" w:color="auto" w:fill="E6E7E8"/>
          </w:tcPr>
          <w:p>
            <w:pPr>
              <w:rPr>
                <w:sz w:val="2"/>
                <w:szCs w:val="2"/>
              </w:rPr>
            </w:pPr>
          </w:p>
        </w:tc>
        <w:tc>
          <w:tcPr>
            <w:tcW w:w="1469" w:type="dxa"/>
            <w:vMerge/>
            <w:tcBorders>
              <w:top w:val="nil"/>
            </w:tcBorders>
          </w:tcPr>
          <w:p>
            <w:pPr>
              <w:rPr>
                <w:sz w:val="2"/>
                <w:szCs w:val="2"/>
              </w:rPr>
            </w:pPr>
          </w:p>
        </w:tc>
        <w:tc>
          <w:tcPr>
            <w:tcW w:w="1246" w:type="dxa"/>
            <w:vMerge/>
            <w:tcBorders>
              <w:top w:val="nil"/>
            </w:tcBorders>
          </w:tcPr>
          <w:p>
            <w:pPr>
              <w:rPr>
                <w:sz w:val="2"/>
                <w:szCs w:val="2"/>
              </w:rPr>
            </w:pPr>
          </w:p>
        </w:tc>
        <w:tc>
          <w:tcPr>
            <w:tcW w:w="2225" w:type="dxa"/>
            <w:vMerge/>
            <w:tcBorders>
              <w:top w:val="nil"/>
            </w:tcBorders>
          </w:tcPr>
          <w:p>
            <w:pPr>
              <w:rPr>
                <w:sz w:val="2"/>
                <w:szCs w:val="2"/>
              </w:rPr>
            </w:pPr>
          </w:p>
        </w:tc>
        <w:tc>
          <w:tcPr>
            <w:tcW w:w="1656" w:type="dxa"/>
            <w:vMerge/>
            <w:tcBorders>
              <w:top w:val="nil"/>
            </w:tcBorders>
          </w:tcPr>
          <w:p>
            <w:pPr>
              <w:rPr>
                <w:sz w:val="2"/>
                <w:szCs w:val="2"/>
              </w:rPr>
            </w:pPr>
          </w:p>
        </w:tc>
        <w:tc>
          <w:tcPr>
            <w:tcW w:w="3035" w:type="dxa"/>
            <w:vMerge/>
            <w:tcBorders>
              <w:top w:val="nil"/>
              <w:right w:val="nil"/>
            </w:tcBorders>
          </w:tcPr>
          <w:p>
            <w:pPr>
              <w:rPr>
                <w:sz w:val="2"/>
                <w:szCs w:val="2"/>
              </w:rPr>
            </w:pPr>
          </w:p>
        </w:tc>
        <w:tc>
          <w:tcPr>
            <w:tcW w:w="2985" w:type="dxa"/>
            <w:tcBorders>
              <w:left w:val="nil"/>
            </w:tcBorders>
          </w:tcPr>
          <w:p>
            <w:pPr>
              <w:pStyle w:val="TableParagraph"/>
              <w:spacing w:line="232" w:lineRule="auto" w:before="100"/>
              <w:ind w:left="1084"/>
              <w:rPr>
                <w:sz w:val="18"/>
              </w:rPr>
            </w:pPr>
            <w:r>
              <w:rPr>
                <w:color w:val="105C84"/>
                <w:spacing w:val="-2"/>
                <w:sz w:val="18"/>
              </w:rPr>
              <w:t>Use</w:t>
            </w:r>
            <w:r>
              <w:rPr>
                <w:color w:val="105C84"/>
                <w:spacing w:val="-10"/>
                <w:sz w:val="18"/>
              </w:rPr>
              <w:t> </w:t>
            </w:r>
            <w:r>
              <w:rPr>
                <w:color w:val="105C84"/>
                <w:spacing w:val="-2"/>
                <w:sz w:val="18"/>
              </w:rPr>
              <w:t>existing</w:t>
            </w:r>
            <w:r>
              <w:rPr>
                <w:color w:val="105C84"/>
                <w:spacing w:val="-10"/>
                <w:sz w:val="18"/>
              </w:rPr>
              <w:t> </w:t>
            </w:r>
            <w:r>
              <w:rPr>
                <w:color w:val="105C84"/>
                <w:spacing w:val="-2"/>
                <w:sz w:val="18"/>
              </w:rPr>
              <w:t>referral </w:t>
            </w:r>
            <w:r>
              <w:rPr>
                <w:color w:val="105C84"/>
                <w:sz w:val="18"/>
              </w:rPr>
              <w:t>process for mental health services</w:t>
            </w:r>
          </w:p>
        </w:tc>
        <w:tc>
          <w:tcPr>
            <w:tcW w:w="2218" w:type="dxa"/>
          </w:tcPr>
          <w:p>
            <w:pPr>
              <w:pStyle w:val="TableParagraph"/>
              <w:spacing w:line="232" w:lineRule="auto" w:before="100"/>
              <w:ind w:left="88" w:right="117"/>
              <w:rPr>
                <w:sz w:val="18"/>
              </w:rPr>
            </w:pPr>
            <w:r>
              <w:rPr>
                <w:color w:val="105C84"/>
                <w:sz w:val="18"/>
              </w:rPr>
              <w:t>Work</w:t>
            </w:r>
            <w:r>
              <w:rPr>
                <w:color w:val="105C84"/>
                <w:spacing w:val="-5"/>
                <w:sz w:val="18"/>
              </w:rPr>
              <w:t> </w:t>
            </w:r>
            <w:r>
              <w:rPr>
                <w:color w:val="105C84"/>
                <w:sz w:val="18"/>
              </w:rPr>
              <w:t>with</w:t>
            </w:r>
            <w:r>
              <w:rPr>
                <w:color w:val="105C84"/>
                <w:spacing w:val="-5"/>
                <w:sz w:val="18"/>
              </w:rPr>
              <w:t> </w:t>
            </w:r>
            <w:r>
              <w:rPr>
                <w:color w:val="105C84"/>
                <w:sz w:val="18"/>
              </w:rPr>
              <w:t>Mental</w:t>
            </w:r>
            <w:r>
              <w:rPr>
                <w:color w:val="105C84"/>
                <w:spacing w:val="-5"/>
                <w:sz w:val="18"/>
              </w:rPr>
              <w:t> </w:t>
            </w:r>
            <w:r>
              <w:rPr>
                <w:color w:val="105C84"/>
                <w:sz w:val="18"/>
              </w:rPr>
              <w:t>Health Clinic on strengthening the referral process and follow through</w:t>
            </w:r>
          </w:p>
          <w:p>
            <w:pPr>
              <w:pStyle w:val="TableParagraph"/>
              <w:spacing w:line="232" w:lineRule="auto" w:before="87"/>
              <w:ind w:left="88" w:right="528"/>
              <w:rPr>
                <w:sz w:val="18"/>
              </w:rPr>
            </w:pPr>
            <w:r>
              <w:rPr>
                <w:color w:val="105C84"/>
                <w:sz w:val="18"/>
              </w:rPr>
              <w:t>Develop policies and</w:t>
            </w:r>
            <w:r>
              <w:rPr>
                <w:color w:val="105C84"/>
                <w:spacing w:val="-15"/>
                <w:sz w:val="18"/>
              </w:rPr>
              <w:t> </w:t>
            </w:r>
            <w:r>
              <w:rPr>
                <w:color w:val="105C84"/>
                <w:sz w:val="18"/>
              </w:rPr>
              <w:t>procedures</w:t>
            </w:r>
            <w:r>
              <w:rPr>
                <w:color w:val="105C84"/>
                <w:spacing w:val="-12"/>
                <w:sz w:val="18"/>
              </w:rPr>
              <w:t> </w:t>
            </w:r>
            <w:r>
              <w:rPr>
                <w:color w:val="105C84"/>
                <w:sz w:val="18"/>
              </w:rPr>
              <w:t>for integrating</w:t>
            </w:r>
            <w:r>
              <w:rPr>
                <w:color w:val="105C84"/>
                <w:spacing w:val="32"/>
                <w:sz w:val="18"/>
              </w:rPr>
              <w:t> </w:t>
            </w:r>
            <w:r>
              <w:rPr>
                <w:color w:val="105C84"/>
                <w:spacing w:val="-2"/>
                <w:sz w:val="18"/>
              </w:rPr>
              <w:t>trauma</w:t>
            </w:r>
          </w:p>
          <w:p>
            <w:pPr>
              <w:pStyle w:val="TableParagraph"/>
              <w:spacing w:line="232" w:lineRule="auto"/>
              <w:ind w:left="88" w:right="305"/>
              <w:rPr>
                <w:sz w:val="18"/>
              </w:rPr>
            </w:pPr>
            <w:r>
              <w:rPr>
                <w:color w:val="105C84"/>
                <w:sz w:val="18"/>
              </w:rPr>
              <w:t>informed</w:t>
            </w:r>
            <w:r>
              <w:rPr>
                <w:color w:val="105C84"/>
                <w:spacing w:val="-13"/>
                <w:sz w:val="18"/>
              </w:rPr>
              <w:t> </w:t>
            </w:r>
            <w:r>
              <w:rPr>
                <w:color w:val="105C84"/>
                <w:sz w:val="18"/>
              </w:rPr>
              <w:t>approaches and follow-up</w:t>
            </w:r>
          </w:p>
        </w:tc>
        <w:tc>
          <w:tcPr>
            <w:tcW w:w="2765" w:type="dxa"/>
          </w:tcPr>
          <w:p>
            <w:pPr>
              <w:pStyle w:val="TableParagraph"/>
              <w:spacing w:line="232" w:lineRule="auto" w:before="100"/>
              <w:ind w:left="88" w:right="177"/>
              <w:rPr>
                <w:sz w:val="18"/>
              </w:rPr>
            </w:pPr>
            <w:r>
              <w:rPr>
                <w:color w:val="105C84"/>
                <w:sz w:val="18"/>
              </w:rPr>
              <w:t>Evaluate ACES follow up process</w:t>
            </w:r>
            <w:r>
              <w:rPr>
                <w:color w:val="105C84"/>
                <w:spacing w:val="-5"/>
                <w:sz w:val="18"/>
              </w:rPr>
              <w:t> </w:t>
            </w:r>
            <w:r>
              <w:rPr>
                <w:color w:val="105C84"/>
                <w:sz w:val="18"/>
              </w:rPr>
              <w:t>and</w:t>
            </w:r>
            <w:r>
              <w:rPr>
                <w:color w:val="105C84"/>
                <w:spacing w:val="-5"/>
                <w:sz w:val="18"/>
              </w:rPr>
              <w:t> </w:t>
            </w:r>
            <w:r>
              <w:rPr>
                <w:color w:val="105C84"/>
                <w:sz w:val="18"/>
              </w:rPr>
              <w:t>update</w:t>
            </w:r>
            <w:r>
              <w:rPr>
                <w:color w:val="105C84"/>
                <w:spacing w:val="-5"/>
                <w:sz w:val="18"/>
              </w:rPr>
              <w:t> </w:t>
            </w:r>
            <w:r>
              <w:rPr>
                <w:color w:val="105C84"/>
                <w:sz w:val="18"/>
              </w:rPr>
              <w:t>protocols as needed</w:t>
            </w:r>
          </w:p>
        </w:tc>
        <w:tc>
          <w:tcPr>
            <w:tcW w:w="1642" w:type="dxa"/>
          </w:tcPr>
          <w:p>
            <w:pPr>
              <w:pStyle w:val="TableParagraph"/>
              <w:spacing w:before="95"/>
              <w:ind w:left="87"/>
              <w:rPr>
                <w:sz w:val="18"/>
              </w:rPr>
            </w:pPr>
            <w:r>
              <w:rPr>
                <w:color w:val="105C84"/>
                <w:spacing w:val="-2"/>
                <w:sz w:val="18"/>
              </w:rPr>
              <w:t>Hospital</w:t>
            </w:r>
          </w:p>
        </w:tc>
        <w:tc>
          <w:tcPr>
            <w:tcW w:w="1608" w:type="dxa"/>
          </w:tcPr>
          <w:p>
            <w:pPr>
              <w:pStyle w:val="TableParagraph"/>
              <w:spacing w:line="232" w:lineRule="auto" w:before="100"/>
              <w:ind w:left="87" w:right="98"/>
              <w:rPr>
                <w:sz w:val="18"/>
              </w:rPr>
            </w:pPr>
            <w:r>
              <w:rPr>
                <w:color w:val="105C84"/>
                <w:sz w:val="18"/>
              </w:rPr>
              <w:t>Funds for changes</w:t>
            </w:r>
            <w:r>
              <w:rPr>
                <w:color w:val="105C84"/>
                <w:spacing w:val="-15"/>
                <w:sz w:val="18"/>
              </w:rPr>
              <w:t> </w:t>
            </w:r>
            <w:r>
              <w:rPr>
                <w:color w:val="105C84"/>
                <w:sz w:val="18"/>
              </w:rPr>
              <w:t>in</w:t>
            </w:r>
            <w:r>
              <w:rPr>
                <w:color w:val="105C84"/>
                <w:spacing w:val="-12"/>
                <w:sz w:val="18"/>
              </w:rPr>
              <w:t> </w:t>
            </w:r>
            <w:r>
              <w:rPr>
                <w:color w:val="105C84"/>
                <w:sz w:val="18"/>
              </w:rPr>
              <w:t>E.H.R </w:t>
            </w:r>
            <w:r>
              <w:rPr>
                <w:color w:val="105C84"/>
                <w:spacing w:val="-4"/>
                <w:sz w:val="18"/>
              </w:rPr>
              <w:t>system</w:t>
            </w:r>
            <w:r>
              <w:rPr>
                <w:color w:val="105C84"/>
                <w:spacing w:val="-9"/>
                <w:sz w:val="18"/>
              </w:rPr>
              <w:t> </w:t>
            </w:r>
            <w:r>
              <w:rPr>
                <w:color w:val="105C84"/>
                <w:spacing w:val="-4"/>
                <w:sz w:val="18"/>
              </w:rPr>
              <w:t>2%</w:t>
            </w:r>
            <w:r>
              <w:rPr>
                <w:color w:val="105C84"/>
                <w:spacing w:val="-8"/>
                <w:sz w:val="18"/>
              </w:rPr>
              <w:t> </w:t>
            </w:r>
            <w:r>
              <w:rPr>
                <w:color w:val="105C84"/>
                <w:spacing w:val="-4"/>
                <w:sz w:val="18"/>
              </w:rPr>
              <w:t>of</w:t>
            </w:r>
            <w:r>
              <w:rPr>
                <w:color w:val="105C84"/>
                <w:spacing w:val="-9"/>
                <w:sz w:val="18"/>
              </w:rPr>
              <w:t> </w:t>
            </w:r>
            <w:r>
              <w:rPr>
                <w:color w:val="105C84"/>
                <w:spacing w:val="-4"/>
                <w:sz w:val="18"/>
              </w:rPr>
              <w:t>FTE </w:t>
            </w:r>
            <w:r>
              <w:rPr>
                <w:color w:val="105C84"/>
                <w:sz w:val="18"/>
              </w:rPr>
              <w:t>Schuyler</w:t>
            </w:r>
            <w:r>
              <w:rPr>
                <w:color w:val="105C84"/>
                <w:spacing w:val="-7"/>
                <w:sz w:val="18"/>
              </w:rPr>
              <w:t> </w:t>
            </w:r>
            <w:r>
              <w:rPr>
                <w:color w:val="105C84"/>
                <w:sz w:val="18"/>
              </w:rPr>
              <w:t>Primary Care Center</w:t>
            </w:r>
          </w:p>
        </w:tc>
      </w:tr>
      <w:tr>
        <w:trPr>
          <w:trHeight w:val="5200" w:hRule="atLeast"/>
        </w:trPr>
        <w:tc>
          <w:tcPr>
            <w:tcW w:w="1526" w:type="dxa"/>
            <w:vMerge/>
            <w:tcBorders>
              <w:top w:val="nil"/>
            </w:tcBorders>
            <w:shd w:val="clear" w:color="auto" w:fill="E6E7E8"/>
          </w:tcPr>
          <w:p>
            <w:pPr>
              <w:rPr>
                <w:sz w:val="2"/>
                <w:szCs w:val="2"/>
              </w:rPr>
            </w:pPr>
          </w:p>
        </w:tc>
        <w:tc>
          <w:tcPr>
            <w:tcW w:w="1469" w:type="dxa"/>
            <w:vMerge/>
            <w:tcBorders>
              <w:top w:val="nil"/>
            </w:tcBorders>
          </w:tcPr>
          <w:p>
            <w:pPr>
              <w:rPr>
                <w:sz w:val="2"/>
                <w:szCs w:val="2"/>
              </w:rPr>
            </w:pPr>
          </w:p>
        </w:tc>
        <w:tc>
          <w:tcPr>
            <w:tcW w:w="1246" w:type="dxa"/>
          </w:tcPr>
          <w:p>
            <w:pPr>
              <w:pStyle w:val="TableParagraph"/>
              <w:spacing w:line="232" w:lineRule="auto" w:before="100"/>
              <w:ind w:left="89" w:right="423"/>
              <w:rPr>
                <w:sz w:val="18"/>
              </w:rPr>
            </w:pPr>
            <w:r>
              <w:rPr>
                <w:color w:val="105C84"/>
                <w:spacing w:val="-2"/>
                <w:sz w:val="18"/>
              </w:rPr>
              <w:t>Goal</w:t>
            </w:r>
            <w:r>
              <w:rPr>
                <w:color w:val="105C84"/>
                <w:spacing w:val="-11"/>
                <w:sz w:val="18"/>
              </w:rPr>
              <w:t> </w:t>
            </w:r>
            <w:r>
              <w:rPr>
                <w:color w:val="105C84"/>
                <w:spacing w:val="-2"/>
                <w:sz w:val="18"/>
              </w:rPr>
              <w:t>2.5: Prevent suicides</w:t>
            </w:r>
          </w:p>
        </w:tc>
        <w:tc>
          <w:tcPr>
            <w:tcW w:w="2225" w:type="dxa"/>
          </w:tcPr>
          <w:p>
            <w:pPr>
              <w:pStyle w:val="TableParagraph"/>
              <w:spacing w:line="232" w:lineRule="auto" w:before="100"/>
              <w:ind w:left="89"/>
              <w:rPr>
                <w:sz w:val="18"/>
              </w:rPr>
            </w:pPr>
            <w:r>
              <w:rPr>
                <w:color w:val="105C84"/>
                <w:w w:val="105"/>
                <w:sz w:val="18"/>
              </w:rPr>
              <w:t>2.5.2 Reduce the age-</w:t>
            </w:r>
            <w:r>
              <w:rPr>
                <w:color w:val="105C84"/>
                <w:sz w:val="18"/>
              </w:rPr>
              <w:t>adjusted</w:t>
            </w:r>
            <w:r>
              <w:rPr>
                <w:color w:val="105C84"/>
                <w:spacing w:val="-7"/>
                <w:sz w:val="18"/>
              </w:rPr>
              <w:t> </w:t>
            </w:r>
            <w:r>
              <w:rPr>
                <w:color w:val="105C84"/>
                <w:sz w:val="18"/>
              </w:rPr>
              <w:t>suicide</w:t>
            </w:r>
            <w:r>
              <w:rPr>
                <w:color w:val="105C84"/>
                <w:spacing w:val="-7"/>
                <w:sz w:val="18"/>
              </w:rPr>
              <w:t> </w:t>
            </w:r>
            <w:r>
              <w:rPr>
                <w:color w:val="105C84"/>
                <w:sz w:val="18"/>
              </w:rPr>
              <w:t>mortality</w:t>
            </w:r>
            <w:r>
              <w:rPr>
                <w:color w:val="105C84"/>
                <w:sz w:val="18"/>
              </w:rPr>
              <w:t> </w:t>
            </w:r>
            <w:r>
              <w:rPr>
                <w:color w:val="105C84"/>
                <w:w w:val="105"/>
                <w:sz w:val="18"/>
              </w:rPr>
              <w:t>rate by 10% to</w:t>
            </w:r>
          </w:p>
          <w:p>
            <w:pPr>
              <w:pStyle w:val="TableParagraph"/>
              <w:spacing w:line="200" w:lineRule="exact"/>
              <w:ind w:left="89"/>
              <w:rPr>
                <w:sz w:val="18"/>
              </w:rPr>
            </w:pPr>
            <w:r>
              <w:rPr>
                <w:color w:val="105C84"/>
                <w:sz w:val="18"/>
              </w:rPr>
              <w:t>7</w:t>
            </w:r>
            <w:r>
              <w:rPr>
                <w:color w:val="105C84"/>
                <w:spacing w:val="-4"/>
                <w:sz w:val="18"/>
              </w:rPr>
              <w:t> </w:t>
            </w:r>
            <w:r>
              <w:rPr>
                <w:color w:val="105C84"/>
                <w:sz w:val="18"/>
              </w:rPr>
              <w:t>per</w:t>
            </w:r>
            <w:r>
              <w:rPr>
                <w:color w:val="105C84"/>
                <w:spacing w:val="-4"/>
                <w:sz w:val="18"/>
              </w:rPr>
              <w:t> </w:t>
            </w:r>
            <w:r>
              <w:rPr>
                <w:color w:val="105C84"/>
                <w:spacing w:val="-2"/>
                <w:sz w:val="18"/>
              </w:rPr>
              <w:t>100,000</w:t>
            </w:r>
          </w:p>
        </w:tc>
        <w:tc>
          <w:tcPr>
            <w:tcW w:w="1656" w:type="dxa"/>
          </w:tcPr>
          <w:p>
            <w:pPr>
              <w:pStyle w:val="TableParagraph"/>
              <w:spacing w:line="232" w:lineRule="auto" w:before="100"/>
              <w:ind w:left="89" w:right="95"/>
              <w:rPr>
                <w:sz w:val="18"/>
              </w:rPr>
            </w:pPr>
            <w:r>
              <w:rPr>
                <w:color w:val="105C84"/>
                <w:sz w:val="18"/>
              </w:rPr>
              <w:t>2.5.4 Identify and support people </w:t>
            </w:r>
            <w:r>
              <w:rPr>
                <w:color w:val="105C84"/>
                <w:sz w:val="18"/>
              </w:rPr>
              <w:t>at</w:t>
            </w:r>
            <w:r>
              <w:rPr>
                <w:color w:val="105C84"/>
                <w:sz w:val="18"/>
              </w:rPr>
              <w:t> risk: Gatekeeper training, crisis </w:t>
            </w:r>
            <w:r>
              <w:rPr>
                <w:color w:val="105C84"/>
                <w:spacing w:val="-2"/>
                <w:sz w:val="18"/>
              </w:rPr>
              <w:t>intervention, </w:t>
            </w:r>
            <w:r>
              <w:rPr>
                <w:color w:val="105C84"/>
                <w:sz w:val="18"/>
              </w:rPr>
              <w:t>treatment for people at risk of suicide,</w:t>
            </w:r>
            <w:r>
              <w:rPr>
                <w:color w:val="105C84"/>
                <w:spacing w:val="-13"/>
                <w:sz w:val="18"/>
              </w:rPr>
              <w:t> </w:t>
            </w:r>
            <w:r>
              <w:rPr>
                <w:color w:val="105C84"/>
                <w:sz w:val="18"/>
              </w:rPr>
              <w:t>treatment</w:t>
            </w:r>
            <w:r>
              <w:rPr>
                <w:color w:val="105C84"/>
                <w:sz w:val="18"/>
              </w:rPr>
              <w:t> to prevent</w:t>
            </w:r>
          </w:p>
          <w:p>
            <w:pPr>
              <w:pStyle w:val="TableParagraph"/>
              <w:spacing w:line="232" w:lineRule="auto"/>
              <w:ind w:left="89"/>
              <w:rPr>
                <w:sz w:val="18"/>
              </w:rPr>
            </w:pPr>
            <w:r>
              <w:rPr>
                <w:color w:val="105C84"/>
                <w:spacing w:val="-2"/>
                <w:sz w:val="18"/>
              </w:rPr>
              <w:t>re-attempts, </w:t>
            </w:r>
            <w:r>
              <w:rPr>
                <w:color w:val="105C84"/>
                <w:sz w:val="18"/>
              </w:rPr>
              <w:t>postvention,</w:t>
            </w:r>
            <w:r>
              <w:rPr>
                <w:color w:val="105C84"/>
                <w:spacing w:val="-13"/>
                <w:sz w:val="18"/>
              </w:rPr>
              <w:t> </w:t>
            </w:r>
            <w:r>
              <w:rPr>
                <w:color w:val="105C84"/>
                <w:sz w:val="18"/>
              </w:rPr>
              <w:t>safe reporting and messaging</w:t>
            </w:r>
            <w:r>
              <w:rPr>
                <w:color w:val="105C84"/>
                <w:spacing w:val="-13"/>
                <w:sz w:val="18"/>
              </w:rPr>
              <w:t> </w:t>
            </w:r>
            <w:r>
              <w:rPr>
                <w:color w:val="105C84"/>
                <w:sz w:val="18"/>
              </w:rPr>
              <w:t>about </w:t>
            </w:r>
            <w:r>
              <w:rPr>
                <w:color w:val="105C84"/>
                <w:spacing w:val="-2"/>
                <w:sz w:val="18"/>
              </w:rPr>
              <w:t>suicides</w:t>
            </w:r>
          </w:p>
        </w:tc>
        <w:tc>
          <w:tcPr>
            <w:tcW w:w="6020" w:type="dxa"/>
            <w:gridSpan w:val="2"/>
          </w:tcPr>
          <w:p>
            <w:pPr>
              <w:pStyle w:val="TableParagraph"/>
              <w:tabs>
                <w:tab w:pos="4113" w:val="left" w:leader="none"/>
              </w:tabs>
              <w:spacing w:line="203" w:lineRule="exact" w:before="95"/>
              <w:ind w:left="89"/>
              <w:rPr>
                <w:sz w:val="18"/>
              </w:rPr>
            </w:pPr>
            <w:r>
              <w:rPr>
                <w:color w:val="105C84"/>
                <w:sz w:val="18"/>
              </w:rPr>
              <w:t>Proportion</w:t>
            </w:r>
            <w:r>
              <w:rPr>
                <w:color w:val="105C84"/>
                <w:spacing w:val="7"/>
                <w:sz w:val="18"/>
              </w:rPr>
              <w:t> </w:t>
            </w:r>
            <w:r>
              <w:rPr>
                <w:color w:val="105C84"/>
                <w:sz w:val="18"/>
              </w:rPr>
              <w:t>who</w:t>
            </w:r>
            <w:r>
              <w:rPr>
                <w:color w:val="105C84"/>
                <w:spacing w:val="8"/>
                <w:sz w:val="18"/>
              </w:rPr>
              <w:t> </w:t>
            </w:r>
            <w:r>
              <w:rPr>
                <w:color w:val="105C84"/>
                <w:spacing w:val="-4"/>
                <w:sz w:val="18"/>
              </w:rPr>
              <w:t>felt</w:t>
            </w:r>
            <w:r>
              <w:rPr>
                <w:color w:val="105C84"/>
                <w:sz w:val="18"/>
              </w:rPr>
              <w:tab/>
              <w:t>Continue</w:t>
            </w:r>
            <w:r>
              <w:rPr>
                <w:color w:val="105C84"/>
                <w:spacing w:val="7"/>
                <w:sz w:val="18"/>
              </w:rPr>
              <w:t> </w:t>
            </w:r>
            <w:r>
              <w:rPr>
                <w:color w:val="105C84"/>
                <w:spacing w:val="-2"/>
                <w:sz w:val="18"/>
              </w:rPr>
              <w:t>following</w:t>
            </w:r>
          </w:p>
          <w:p>
            <w:pPr>
              <w:pStyle w:val="TableParagraph"/>
              <w:tabs>
                <w:tab w:pos="4113" w:val="left" w:leader="none"/>
              </w:tabs>
              <w:spacing w:line="200" w:lineRule="exact"/>
              <w:ind w:left="89"/>
              <w:rPr>
                <w:sz w:val="18"/>
              </w:rPr>
            </w:pPr>
            <w:r>
              <w:rPr>
                <w:color w:val="105C84"/>
                <w:sz w:val="18"/>
              </w:rPr>
              <w:t>comfortable</w:t>
            </w:r>
            <w:r>
              <w:rPr>
                <w:color w:val="105C84"/>
                <w:spacing w:val="24"/>
                <w:sz w:val="18"/>
              </w:rPr>
              <w:t> </w:t>
            </w:r>
            <w:r>
              <w:rPr>
                <w:color w:val="105C84"/>
                <w:spacing w:val="-2"/>
                <w:sz w:val="18"/>
              </w:rPr>
              <w:t>applying</w:t>
            </w:r>
            <w:r>
              <w:rPr>
                <w:color w:val="105C84"/>
                <w:sz w:val="18"/>
              </w:rPr>
              <w:tab/>
              <w:t>policy</w:t>
            </w:r>
            <w:r>
              <w:rPr>
                <w:color w:val="105C84"/>
                <w:spacing w:val="-1"/>
                <w:sz w:val="18"/>
              </w:rPr>
              <w:t> </w:t>
            </w:r>
            <w:r>
              <w:rPr>
                <w:color w:val="105C84"/>
                <w:sz w:val="18"/>
              </w:rPr>
              <w:t>on clients </w:t>
            </w:r>
            <w:r>
              <w:rPr>
                <w:color w:val="105C84"/>
                <w:spacing w:val="-5"/>
                <w:sz w:val="18"/>
              </w:rPr>
              <w:t>who</w:t>
            </w:r>
          </w:p>
          <w:p>
            <w:pPr>
              <w:pStyle w:val="TableParagraph"/>
              <w:tabs>
                <w:tab w:pos="4113" w:val="left" w:leader="none"/>
              </w:tabs>
              <w:spacing w:line="200" w:lineRule="exact"/>
              <w:ind w:left="89"/>
              <w:rPr>
                <w:sz w:val="18"/>
              </w:rPr>
            </w:pPr>
            <w:r>
              <w:rPr>
                <w:color w:val="105C84"/>
                <w:sz w:val="18"/>
              </w:rPr>
              <w:t>suicide</w:t>
            </w:r>
            <w:r>
              <w:rPr>
                <w:color w:val="105C84"/>
                <w:spacing w:val="-10"/>
                <w:sz w:val="18"/>
              </w:rPr>
              <w:t> </w:t>
            </w:r>
            <w:r>
              <w:rPr>
                <w:color w:val="105C84"/>
                <w:spacing w:val="-2"/>
                <w:sz w:val="18"/>
              </w:rPr>
              <w:t>prevention</w:t>
            </w:r>
            <w:r>
              <w:rPr>
                <w:color w:val="105C84"/>
                <w:sz w:val="18"/>
              </w:rPr>
              <w:tab/>
              <w:t>may</w:t>
            </w:r>
            <w:r>
              <w:rPr>
                <w:color w:val="105C84"/>
                <w:spacing w:val="-4"/>
                <w:sz w:val="18"/>
              </w:rPr>
              <w:t> </w:t>
            </w:r>
            <w:r>
              <w:rPr>
                <w:color w:val="105C84"/>
                <w:sz w:val="18"/>
              </w:rPr>
              <w:t>be</w:t>
            </w:r>
            <w:r>
              <w:rPr>
                <w:color w:val="105C84"/>
                <w:spacing w:val="-4"/>
                <w:sz w:val="18"/>
              </w:rPr>
              <w:t> </w:t>
            </w:r>
            <w:r>
              <w:rPr>
                <w:color w:val="105C84"/>
                <w:sz w:val="18"/>
              </w:rPr>
              <w:t>at</w:t>
            </w:r>
            <w:r>
              <w:rPr>
                <w:color w:val="105C84"/>
                <w:spacing w:val="-4"/>
                <w:sz w:val="18"/>
              </w:rPr>
              <w:t> risk</w:t>
            </w:r>
          </w:p>
          <w:p>
            <w:pPr>
              <w:pStyle w:val="TableParagraph"/>
              <w:tabs>
                <w:tab w:pos="4113" w:val="left" w:leader="none"/>
              </w:tabs>
              <w:spacing w:line="148" w:lineRule="auto" w:before="26"/>
              <w:ind w:left="89"/>
              <w:rPr>
                <w:position w:val="-8"/>
                <w:sz w:val="18"/>
              </w:rPr>
            </w:pPr>
            <w:r>
              <w:rPr>
                <w:color w:val="105C84"/>
                <w:spacing w:val="-2"/>
                <w:sz w:val="18"/>
              </w:rPr>
              <w:t>skills,</w:t>
            </w:r>
            <w:r>
              <w:rPr>
                <w:color w:val="105C84"/>
                <w:spacing w:val="-7"/>
                <w:sz w:val="18"/>
              </w:rPr>
              <w:t> </w:t>
            </w:r>
            <w:r>
              <w:rPr>
                <w:color w:val="105C84"/>
                <w:spacing w:val="-2"/>
                <w:sz w:val="18"/>
              </w:rPr>
              <w:t>active</w:t>
            </w:r>
            <w:r>
              <w:rPr>
                <w:color w:val="105C84"/>
                <w:spacing w:val="-7"/>
                <w:sz w:val="18"/>
              </w:rPr>
              <w:t> </w:t>
            </w:r>
            <w:r>
              <w:rPr>
                <w:color w:val="105C84"/>
                <w:spacing w:val="-2"/>
                <w:sz w:val="18"/>
              </w:rPr>
              <w:t>listening,</w:t>
            </w:r>
            <w:r>
              <w:rPr>
                <w:color w:val="105C84"/>
                <w:sz w:val="18"/>
              </w:rPr>
              <w:tab/>
            </w:r>
            <w:r>
              <w:rPr>
                <w:color w:val="105C84"/>
                <w:position w:val="-8"/>
                <w:sz w:val="18"/>
              </w:rPr>
              <w:t>Continue</w:t>
            </w:r>
            <w:r>
              <w:rPr>
                <w:color w:val="105C84"/>
                <w:spacing w:val="10"/>
                <w:position w:val="-8"/>
                <w:sz w:val="18"/>
              </w:rPr>
              <w:t> </w:t>
            </w:r>
            <w:r>
              <w:rPr>
                <w:color w:val="105C84"/>
                <w:position w:val="-8"/>
                <w:sz w:val="18"/>
              </w:rPr>
              <w:t>training</w:t>
            </w:r>
            <w:r>
              <w:rPr>
                <w:color w:val="105C84"/>
                <w:spacing w:val="11"/>
                <w:position w:val="-8"/>
                <w:sz w:val="18"/>
              </w:rPr>
              <w:t> </w:t>
            </w:r>
            <w:r>
              <w:rPr>
                <w:color w:val="105C84"/>
                <w:spacing w:val="-4"/>
                <w:position w:val="-8"/>
                <w:sz w:val="18"/>
              </w:rPr>
              <w:t>with</w:t>
            </w:r>
          </w:p>
          <w:p>
            <w:pPr>
              <w:pStyle w:val="TableParagraph"/>
              <w:tabs>
                <w:tab w:pos="4113" w:val="left" w:leader="none"/>
              </w:tabs>
              <w:spacing w:line="148" w:lineRule="auto"/>
              <w:ind w:left="89"/>
              <w:rPr>
                <w:position w:val="-8"/>
                <w:sz w:val="18"/>
              </w:rPr>
            </w:pPr>
            <w:r>
              <w:rPr>
                <w:color w:val="105C84"/>
                <w:sz w:val="18"/>
              </w:rPr>
              <w:t>problem-solving,</w:t>
            </w:r>
            <w:r>
              <w:rPr>
                <w:color w:val="105C84"/>
                <w:spacing w:val="13"/>
                <w:sz w:val="18"/>
              </w:rPr>
              <w:t> </w:t>
            </w:r>
            <w:r>
              <w:rPr>
                <w:color w:val="105C84"/>
                <w:spacing w:val="-2"/>
                <w:sz w:val="18"/>
              </w:rPr>
              <w:t>anger</w:t>
            </w:r>
            <w:r>
              <w:rPr>
                <w:color w:val="105C84"/>
                <w:sz w:val="18"/>
              </w:rPr>
              <w:tab/>
            </w:r>
            <w:r>
              <w:rPr>
                <w:color w:val="105C84"/>
                <w:position w:val="-8"/>
                <w:sz w:val="18"/>
              </w:rPr>
              <w:t>Youth</w:t>
            </w:r>
            <w:r>
              <w:rPr>
                <w:color w:val="105C84"/>
                <w:spacing w:val="-6"/>
                <w:position w:val="-8"/>
                <w:sz w:val="18"/>
              </w:rPr>
              <w:t> </w:t>
            </w:r>
            <w:r>
              <w:rPr>
                <w:color w:val="105C84"/>
                <w:position w:val="-8"/>
                <w:sz w:val="18"/>
              </w:rPr>
              <w:t>Mental</w:t>
            </w:r>
            <w:r>
              <w:rPr>
                <w:color w:val="105C84"/>
                <w:spacing w:val="-6"/>
                <w:position w:val="-8"/>
                <w:sz w:val="18"/>
              </w:rPr>
              <w:t> </w:t>
            </w:r>
            <w:r>
              <w:rPr>
                <w:color w:val="105C84"/>
                <w:spacing w:val="-2"/>
                <w:position w:val="-8"/>
                <w:sz w:val="18"/>
              </w:rPr>
              <w:t>Health</w:t>
            </w:r>
          </w:p>
          <w:p>
            <w:pPr>
              <w:pStyle w:val="TableParagraph"/>
              <w:tabs>
                <w:tab w:pos="4113" w:val="left" w:leader="none"/>
              </w:tabs>
              <w:spacing w:line="148" w:lineRule="auto"/>
              <w:ind w:left="89"/>
              <w:rPr>
                <w:position w:val="-8"/>
                <w:sz w:val="18"/>
              </w:rPr>
            </w:pPr>
            <w:r>
              <w:rPr>
                <w:color w:val="105C84"/>
                <w:sz w:val="18"/>
              </w:rPr>
              <w:t>management,</w:t>
            </w:r>
            <w:r>
              <w:rPr>
                <w:color w:val="105C84"/>
                <w:spacing w:val="-3"/>
                <w:sz w:val="18"/>
              </w:rPr>
              <w:t> </w:t>
            </w:r>
            <w:r>
              <w:rPr>
                <w:color w:val="105C84"/>
                <w:sz w:val="18"/>
              </w:rPr>
              <w:t>and</w:t>
            </w:r>
            <w:r>
              <w:rPr>
                <w:color w:val="105C84"/>
                <w:spacing w:val="-2"/>
                <w:sz w:val="18"/>
              </w:rPr>
              <w:t> stress</w:t>
            </w:r>
            <w:r>
              <w:rPr>
                <w:color w:val="105C84"/>
                <w:sz w:val="18"/>
              </w:rPr>
              <w:tab/>
            </w:r>
            <w:r>
              <w:rPr>
                <w:color w:val="105C84"/>
                <w:position w:val="-8"/>
                <w:sz w:val="18"/>
              </w:rPr>
              <w:t>First</w:t>
            </w:r>
            <w:r>
              <w:rPr>
                <w:color w:val="105C84"/>
                <w:spacing w:val="-4"/>
                <w:position w:val="-8"/>
                <w:sz w:val="18"/>
              </w:rPr>
              <w:t> </w:t>
            </w:r>
            <w:r>
              <w:rPr>
                <w:color w:val="105C84"/>
                <w:position w:val="-8"/>
                <w:sz w:val="18"/>
              </w:rPr>
              <w:t>Aid</w:t>
            </w:r>
            <w:r>
              <w:rPr>
                <w:color w:val="105C84"/>
                <w:spacing w:val="-3"/>
                <w:position w:val="-8"/>
                <w:sz w:val="18"/>
              </w:rPr>
              <w:t> </w:t>
            </w:r>
            <w:r>
              <w:rPr>
                <w:color w:val="105C84"/>
                <w:position w:val="-8"/>
                <w:sz w:val="18"/>
              </w:rPr>
              <w:t>and</w:t>
            </w:r>
            <w:r>
              <w:rPr>
                <w:color w:val="105C84"/>
                <w:spacing w:val="-3"/>
                <w:position w:val="-8"/>
                <w:sz w:val="18"/>
              </w:rPr>
              <w:t> </w:t>
            </w:r>
            <w:r>
              <w:rPr>
                <w:color w:val="105C84"/>
                <w:spacing w:val="-2"/>
                <w:position w:val="-8"/>
                <w:sz w:val="18"/>
              </w:rPr>
              <w:t>exploring</w:t>
            </w:r>
          </w:p>
          <w:p>
            <w:pPr>
              <w:pStyle w:val="TableParagraph"/>
              <w:tabs>
                <w:tab w:pos="4113" w:val="left" w:leader="none"/>
              </w:tabs>
              <w:spacing w:line="148" w:lineRule="auto"/>
              <w:ind w:left="89"/>
              <w:rPr>
                <w:position w:val="-8"/>
                <w:sz w:val="18"/>
              </w:rPr>
            </w:pPr>
            <w:r>
              <w:rPr>
                <w:color w:val="105C84"/>
                <w:sz w:val="18"/>
              </w:rPr>
              <w:t>management</w:t>
            </w:r>
            <w:r>
              <w:rPr>
                <w:color w:val="105C84"/>
                <w:spacing w:val="6"/>
                <w:sz w:val="18"/>
              </w:rPr>
              <w:t> </w:t>
            </w:r>
            <w:r>
              <w:rPr>
                <w:color w:val="105C84"/>
                <w:spacing w:val="-2"/>
                <w:sz w:val="18"/>
              </w:rPr>
              <w:t>skills</w:t>
            </w:r>
            <w:r>
              <w:rPr>
                <w:color w:val="105C84"/>
                <w:sz w:val="18"/>
              </w:rPr>
              <w:tab/>
            </w:r>
            <w:r>
              <w:rPr>
                <w:color w:val="105C84"/>
                <w:position w:val="-8"/>
                <w:sz w:val="18"/>
              </w:rPr>
              <w:t>other</w:t>
            </w:r>
            <w:r>
              <w:rPr>
                <w:color w:val="105C84"/>
                <w:spacing w:val="-1"/>
                <w:position w:val="-8"/>
                <w:sz w:val="18"/>
              </w:rPr>
              <w:t> </w:t>
            </w:r>
            <w:r>
              <w:rPr>
                <w:color w:val="105C84"/>
                <w:position w:val="-8"/>
                <w:sz w:val="18"/>
              </w:rPr>
              <w:t>partners </w:t>
            </w:r>
            <w:r>
              <w:rPr>
                <w:color w:val="105C84"/>
                <w:spacing w:val="-5"/>
                <w:position w:val="-8"/>
                <w:sz w:val="18"/>
              </w:rPr>
              <w:t>who</w:t>
            </w:r>
          </w:p>
          <w:p>
            <w:pPr>
              <w:pStyle w:val="TableParagraph"/>
              <w:tabs>
                <w:tab w:pos="4113" w:val="left" w:leader="none"/>
              </w:tabs>
              <w:spacing w:line="148" w:lineRule="auto"/>
              <w:ind w:left="89"/>
              <w:rPr>
                <w:position w:val="-8"/>
                <w:sz w:val="18"/>
              </w:rPr>
            </w:pPr>
            <w:r>
              <w:rPr>
                <w:color w:val="105C84"/>
                <w:w w:val="105"/>
                <w:sz w:val="18"/>
              </w:rPr>
              <w:t>to</w:t>
            </w:r>
            <w:r>
              <w:rPr>
                <w:color w:val="105C84"/>
                <w:spacing w:val="-12"/>
                <w:w w:val="105"/>
                <w:sz w:val="18"/>
              </w:rPr>
              <w:t> </w:t>
            </w:r>
            <w:r>
              <w:rPr>
                <w:color w:val="105C84"/>
                <w:w w:val="105"/>
                <w:sz w:val="18"/>
              </w:rPr>
              <w:t>identify</w:t>
            </w:r>
            <w:r>
              <w:rPr>
                <w:color w:val="105C84"/>
                <w:spacing w:val="-11"/>
                <w:w w:val="105"/>
                <w:sz w:val="18"/>
              </w:rPr>
              <w:t> </w:t>
            </w:r>
            <w:r>
              <w:rPr>
                <w:color w:val="105C84"/>
                <w:w w:val="105"/>
                <w:sz w:val="18"/>
              </w:rPr>
              <w:t>and</w:t>
            </w:r>
            <w:r>
              <w:rPr>
                <w:color w:val="105C84"/>
                <w:spacing w:val="-11"/>
                <w:w w:val="105"/>
                <w:sz w:val="18"/>
              </w:rPr>
              <w:t> </w:t>
            </w:r>
            <w:r>
              <w:rPr>
                <w:color w:val="105C84"/>
                <w:spacing w:val="-2"/>
                <w:w w:val="105"/>
                <w:sz w:val="18"/>
              </w:rPr>
              <w:t>refer</w:t>
            </w:r>
            <w:r>
              <w:rPr>
                <w:color w:val="105C84"/>
                <w:sz w:val="18"/>
              </w:rPr>
              <w:tab/>
            </w:r>
            <w:r>
              <w:rPr>
                <w:color w:val="105C84"/>
                <w:w w:val="105"/>
                <w:position w:val="-8"/>
                <w:sz w:val="18"/>
              </w:rPr>
              <w:t>would</w:t>
            </w:r>
            <w:r>
              <w:rPr>
                <w:color w:val="105C84"/>
                <w:spacing w:val="-11"/>
                <w:w w:val="105"/>
                <w:position w:val="-8"/>
                <w:sz w:val="18"/>
              </w:rPr>
              <w:t> </w:t>
            </w:r>
            <w:r>
              <w:rPr>
                <w:color w:val="105C84"/>
                <w:w w:val="105"/>
                <w:position w:val="-8"/>
                <w:sz w:val="18"/>
              </w:rPr>
              <w:t>like</w:t>
            </w:r>
            <w:r>
              <w:rPr>
                <w:color w:val="105C84"/>
                <w:spacing w:val="-11"/>
                <w:w w:val="105"/>
                <w:position w:val="-8"/>
                <w:sz w:val="18"/>
              </w:rPr>
              <w:t> </w:t>
            </w:r>
            <w:r>
              <w:rPr>
                <w:color w:val="105C84"/>
                <w:w w:val="105"/>
                <w:position w:val="-8"/>
                <w:sz w:val="18"/>
              </w:rPr>
              <w:t>to</w:t>
            </w:r>
            <w:r>
              <w:rPr>
                <w:color w:val="105C84"/>
                <w:spacing w:val="-11"/>
                <w:w w:val="105"/>
                <w:position w:val="-8"/>
                <w:sz w:val="18"/>
              </w:rPr>
              <w:t> </w:t>
            </w:r>
            <w:r>
              <w:rPr>
                <w:color w:val="105C84"/>
                <w:spacing w:val="-5"/>
                <w:w w:val="105"/>
                <w:position w:val="-8"/>
                <w:sz w:val="18"/>
              </w:rPr>
              <w:t>be</w:t>
            </w:r>
          </w:p>
          <w:p>
            <w:pPr>
              <w:pStyle w:val="TableParagraph"/>
              <w:tabs>
                <w:tab w:pos="4113" w:val="left" w:leader="none"/>
              </w:tabs>
              <w:spacing w:line="148" w:lineRule="auto"/>
              <w:ind w:left="89"/>
              <w:rPr>
                <w:position w:val="-8"/>
                <w:sz w:val="18"/>
              </w:rPr>
            </w:pPr>
            <w:r>
              <w:rPr>
                <w:color w:val="105C84"/>
                <w:sz w:val="18"/>
              </w:rPr>
              <w:t>individuals</w:t>
            </w:r>
            <w:r>
              <w:rPr>
                <w:color w:val="105C84"/>
                <w:spacing w:val="-8"/>
                <w:sz w:val="18"/>
              </w:rPr>
              <w:t> </w:t>
            </w:r>
            <w:r>
              <w:rPr>
                <w:color w:val="105C84"/>
                <w:sz w:val="18"/>
              </w:rPr>
              <w:t>at</w:t>
            </w:r>
            <w:r>
              <w:rPr>
                <w:color w:val="105C84"/>
                <w:spacing w:val="-8"/>
                <w:sz w:val="18"/>
              </w:rPr>
              <w:t> </w:t>
            </w:r>
            <w:r>
              <w:rPr>
                <w:color w:val="105C84"/>
                <w:sz w:val="18"/>
              </w:rPr>
              <w:t>risk</w:t>
            </w:r>
            <w:r>
              <w:rPr>
                <w:color w:val="105C84"/>
                <w:spacing w:val="-7"/>
                <w:sz w:val="18"/>
              </w:rPr>
              <w:t> </w:t>
            </w:r>
            <w:r>
              <w:rPr>
                <w:color w:val="105C84"/>
                <w:spacing w:val="-5"/>
                <w:sz w:val="18"/>
              </w:rPr>
              <w:t>for</w:t>
            </w:r>
            <w:r>
              <w:rPr>
                <w:color w:val="105C84"/>
                <w:sz w:val="18"/>
              </w:rPr>
              <w:tab/>
            </w:r>
            <w:r>
              <w:rPr>
                <w:color w:val="105C84"/>
                <w:position w:val="-8"/>
                <w:sz w:val="18"/>
              </w:rPr>
              <w:t>trained</w:t>
            </w:r>
            <w:r>
              <w:rPr>
                <w:color w:val="105C84"/>
                <w:spacing w:val="4"/>
                <w:position w:val="-8"/>
                <w:sz w:val="18"/>
              </w:rPr>
              <w:t> </w:t>
            </w:r>
            <w:r>
              <w:rPr>
                <w:color w:val="105C84"/>
                <w:position w:val="-8"/>
                <w:sz w:val="18"/>
              </w:rPr>
              <w:t>or</w:t>
            </w:r>
            <w:r>
              <w:rPr>
                <w:color w:val="105C84"/>
                <w:spacing w:val="4"/>
                <w:position w:val="-8"/>
                <w:sz w:val="18"/>
              </w:rPr>
              <w:t> </w:t>
            </w:r>
            <w:r>
              <w:rPr>
                <w:color w:val="105C84"/>
                <w:position w:val="-8"/>
                <w:sz w:val="18"/>
              </w:rPr>
              <w:t>be</w:t>
            </w:r>
            <w:r>
              <w:rPr>
                <w:color w:val="105C84"/>
                <w:spacing w:val="5"/>
                <w:position w:val="-8"/>
                <w:sz w:val="18"/>
              </w:rPr>
              <w:t> </w:t>
            </w:r>
            <w:r>
              <w:rPr>
                <w:color w:val="105C84"/>
                <w:spacing w:val="-2"/>
                <w:position w:val="-8"/>
                <w:sz w:val="18"/>
              </w:rPr>
              <w:t>trained</w:t>
            </w:r>
          </w:p>
          <w:p>
            <w:pPr>
              <w:pStyle w:val="TableParagraph"/>
              <w:tabs>
                <w:tab w:pos="4113" w:val="left" w:leader="none"/>
              </w:tabs>
              <w:spacing w:line="148" w:lineRule="auto"/>
              <w:ind w:left="89"/>
              <w:rPr>
                <w:position w:val="-8"/>
                <w:sz w:val="18"/>
              </w:rPr>
            </w:pPr>
            <w:r>
              <w:rPr>
                <w:color w:val="105C84"/>
                <w:sz w:val="18"/>
              </w:rPr>
              <w:t>suicide</w:t>
            </w:r>
            <w:r>
              <w:rPr>
                <w:color w:val="105C84"/>
                <w:spacing w:val="1"/>
                <w:sz w:val="18"/>
              </w:rPr>
              <w:t> </w:t>
            </w:r>
            <w:r>
              <w:rPr>
                <w:color w:val="105C84"/>
                <w:sz w:val="18"/>
              </w:rPr>
              <w:t>to</w:t>
            </w:r>
            <w:r>
              <w:rPr>
                <w:color w:val="105C84"/>
                <w:spacing w:val="1"/>
                <w:sz w:val="18"/>
              </w:rPr>
              <w:t> </w:t>
            </w:r>
            <w:r>
              <w:rPr>
                <w:color w:val="105C84"/>
                <w:spacing w:val="-2"/>
                <w:sz w:val="18"/>
              </w:rPr>
              <w:t>appropriate</w:t>
            </w:r>
            <w:r>
              <w:rPr>
                <w:color w:val="105C84"/>
                <w:sz w:val="18"/>
              </w:rPr>
              <w:tab/>
            </w:r>
            <w:r>
              <w:rPr>
                <w:color w:val="105C84"/>
                <w:w w:val="90"/>
                <w:position w:val="-8"/>
                <w:sz w:val="18"/>
              </w:rPr>
              <w:t>as</w:t>
            </w:r>
            <w:r>
              <w:rPr>
                <w:color w:val="105C84"/>
                <w:spacing w:val="-1"/>
                <w:w w:val="90"/>
                <w:position w:val="-8"/>
                <w:sz w:val="18"/>
              </w:rPr>
              <w:t> </w:t>
            </w:r>
            <w:r>
              <w:rPr>
                <w:color w:val="105C84"/>
                <w:spacing w:val="-2"/>
                <w:position w:val="-8"/>
                <w:sz w:val="18"/>
              </w:rPr>
              <w:t>trainers</w:t>
            </w:r>
          </w:p>
          <w:p>
            <w:pPr>
              <w:pStyle w:val="TableParagraph"/>
              <w:spacing w:line="145" w:lineRule="exact"/>
              <w:ind w:left="89"/>
              <w:rPr>
                <w:sz w:val="18"/>
              </w:rPr>
            </w:pPr>
            <w:r>
              <w:rPr>
                <w:color w:val="105C84"/>
                <w:sz w:val="18"/>
              </w:rPr>
              <w:t>care;</w:t>
            </w:r>
            <w:r>
              <w:rPr>
                <w:color w:val="105C84"/>
                <w:spacing w:val="-5"/>
                <w:sz w:val="18"/>
              </w:rPr>
              <w:t> </w:t>
            </w:r>
            <w:r>
              <w:rPr>
                <w:color w:val="105C84"/>
                <w:sz w:val="18"/>
              </w:rPr>
              <w:t>Proportion</w:t>
            </w:r>
            <w:r>
              <w:rPr>
                <w:color w:val="105C84"/>
                <w:spacing w:val="-4"/>
                <w:sz w:val="18"/>
              </w:rPr>
              <w:t> </w:t>
            </w:r>
            <w:r>
              <w:rPr>
                <w:color w:val="105C84"/>
                <w:spacing w:val="-5"/>
                <w:sz w:val="18"/>
              </w:rPr>
              <w:t>who</w:t>
            </w:r>
          </w:p>
          <w:p>
            <w:pPr>
              <w:pStyle w:val="TableParagraph"/>
              <w:tabs>
                <w:tab w:pos="4113" w:val="left" w:leader="none"/>
              </w:tabs>
              <w:spacing w:line="200" w:lineRule="exact"/>
              <w:ind w:left="89"/>
              <w:rPr>
                <w:position w:val="2"/>
                <w:sz w:val="18"/>
              </w:rPr>
            </w:pPr>
            <w:r>
              <w:rPr>
                <w:color w:val="105C84"/>
                <w:spacing w:val="-2"/>
                <w:sz w:val="18"/>
              </w:rPr>
              <w:t>were</w:t>
            </w:r>
            <w:r>
              <w:rPr>
                <w:color w:val="105C84"/>
                <w:spacing w:val="-7"/>
                <w:sz w:val="18"/>
              </w:rPr>
              <w:t> </w:t>
            </w:r>
            <w:r>
              <w:rPr>
                <w:color w:val="105C84"/>
                <w:spacing w:val="-2"/>
                <w:sz w:val="18"/>
              </w:rPr>
              <w:t>knowledgeable</w:t>
            </w:r>
            <w:r>
              <w:rPr>
                <w:color w:val="105C84"/>
                <w:sz w:val="18"/>
              </w:rPr>
              <w:tab/>
            </w:r>
            <w:r>
              <w:rPr>
                <w:color w:val="105C84"/>
                <w:position w:val="2"/>
                <w:sz w:val="18"/>
              </w:rPr>
              <w:t>Continue</w:t>
            </w:r>
            <w:r>
              <w:rPr>
                <w:color w:val="105C84"/>
                <w:spacing w:val="7"/>
                <w:position w:val="2"/>
                <w:sz w:val="18"/>
              </w:rPr>
              <w:t> </w:t>
            </w:r>
            <w:r>
              <w:rPr>
                <w:color w:val="105C84"/>
                <w:spacing w:val="-2"/>
                <w:position w:val="2"/>
                <w:sz w:val="18"/>
              </w:rPr>
              <w:t>support</w:t>
            </w:r>
          </w:p>
          <w:p>
            <w:pPr>
              <w:pStyle w:val="TableParagraph"/>
              <w:tabs>
                <w:tab w:pos="4113" w:val="left" w:leader="none"/>
              </w:tabs>
              <w:spacing w:line="200" w:lineRule="exact"/>
              <w:ind w:left="89"/>
              <w:rPr>
                <w:sz w:val="18"/>
              </w:rPr>
            </w:pPr>
            <w:r>
              <w:rPr>
                <w:color w:val="105C84"/>
                <w:position w:val="-1"/>
                <w:sz w:val="18"/>
              </w:rPr>
              <w:t>about</w:t>
            </w:r>
            <w:r>
              <w:rPr>
                <w:color w:val="105C84"/>
                <w:spacing w:val="-2"/>
                <w:position w:val="-1"/>
                <w:sz w:val="18"/>
              </w:rPr>
              <w:t> </w:t>
            </w:r>
            <w:r>
              <w:rPr>
                <w:color w:val="105C84"/>
                <w:position w:val="-1"/>
                <w:sz w:val="18"/>
              </w:rPr>
              <w:t>the</w:t>
            </w:r>
            <w:r>
              <w:rPr>
                <w:color w:val="105C84"/>
                <w:spacing w:val="-1"/>
                <w:position w:val="-1"/>
                <w:sz w:val="18"/>
              </w:rPr>
              <w:t> </w:t>
            </w:r>
            <w:r>
              <w:rPr>
                <w:color w:val="105C84"/>
                <w:position w:val="-1"/>
                <w:sz w:val="18"/>
              </w:rPr>
              <w:t>signs</w:t>
            </w:r>
            <w:r>
              <w:rPr>
                <w:color w:val="105C84"/>
                <w:spacing w:val="-1"/>
                <w:position w:val="-1"/>
                <w:sz w:val="18"/>
              </w:rPr>
              <w:t> </w:t>
            </w:r>
            <w:r>
              <w:rPr>
                <w:color w:val="105C84"/>
                <w:spacing w:val="-5"/>
                <w:position w:val="-1"/>
                <w:sz w:val="18"/>
              </w:rPr>
              <w:t>and</w:t>
            </w:r>
            <w:r>
              <w:rPr>
                <w:color w:val="105C84"/>
                <w:position w:val="-1"/>
                <w:sz w:val="18"/>
              </w:rPr>
              <w:tab/>
            </w:r>
            <w:r>
              <w:rPr>
                <w:color w:val="105C84"/>
                <w:sz w:val="18"/>
              </w:rPr>
              <w:t>and</w:t>
            </w:r>
            <w:r>
              <w:rPr>
                <w:color w:val="105C84"/>
                <w:spacing w:val="14"/>
                <w:sz w:val="18"/>
              </w:rPr>
              <w:t> </w:t>
            </w:r>
            <w:r>
              <w:rPr>
                <w:color w:val="105C84"/>
                <w:sz w:val="18"/>
              </w:rPr>
              <w:t>participation</w:t>
            </w:r>
            <w:r>
              <w:rPr>
                <w:color w:val="105C84"/>
                <w:spacing w:val="15"/>
                <w:sz w:val="18"/>
              </w:rPr>
              <w:t> </w:t>
            </w:r>
            <w:r>
              <w:rPr>
                <w:color w:val="105C84"/>
                <w:spacing w:val="-4"/>
                <w:sz w:val="18"/>
              </w:rPr>
              <w:t>with</w:t>
            </w:r>
          </w:p>
          <w:p>
            <w:pPr>
              <w:pStyle w:val="TableParagraph"/>
              <w:tabs>
                <w:tab w:pos="4113" w:val="left" w:leader="none"/>
              </w:tabs>
              <w:spacing w:line="210" w:lineRule="exact"/>
              <w:ind w:left="89"/>
              <w:rPr>
                <w:position w:val="2"/>
                <w:sz w:val="18"/>
              </w:rPr>
            </w:pPr>
            <w:r>
              <w:rPr>
                <w:color w:val="105C84"/>
                <w:sz w:val="18"/>
              </w:rPr>
              <w:t>symptoms of</w:t>
            </w:r>
            <w:r>
              <w:rPr>
                <w:color w:val="105C84"/>
                <w:spacing w:val="1"/>
                <w:sz w:val="18"/>
              </w:rPr>
              <w:t> </w:t>
            </w:r>
            <w:r>
              <w:rPr>
                <w:color w:val="105C84"/>
                <w:spacing w:val="-2"/>
                <w:sz w:val="18"/>
              </w:rPr>
              <w:t>suicide</w:t>
            </w:r>
            <w:r>
              <w:rPr>
                <w:color w:val="105C84"/>
                <w:sz w:val="18"/>
              </w:rPr>
              <w:tab/>
            </w:r>
            <w:r>
              <w:rPr>
                <w:color w:val="105C84"/>
                <w:w w:val="90"/>
                <w:position w:val="2"/>
                <w:sz w:val="18"/>
              </w:rPr>
              <w:t>SAFE</w:t>
            </w:r>
            <w:r>
              <w:rPr>
                <w:color w:val="105C84"/>
                <w:position w:val="2"/>
                <w:sz w:val="18"/>
              </w:rPr>
              <w:t> </w:t>
            </w:r>
            <w:r>
              <w:rPr>
                <w:color w:val="105C84"/>
                <w:spacing w:val="-2"/>
                <w:position w:val="2"/>
                <w:sz w:val="18"/>
              </w:rPr>
              <w:t>coalition</w:t>
            </w:r>
          </w:p>
          <w:p>
            <w:pPr>
              <w:pStyle w:val="TableParagraph"/>
              <w:tabs>
                <w:tab w:pos="4113" w:val="left" w:leader="none"/>
              </w:tabs>
              <w:spacing w:line="235" w:lineRule="exact"/>
              <w:ind w:left="89"/>
              <w:rPr>
                <w:sz w:val="18"/>
              </w:rPr>
            </w:pPr>
            <w:r>
              <w:rPr>
                <w:color w:val="105C84"/>
                <w:position w:val="7"/>
                <w:sz w:val="18"/>
              </w:rPr>
              <w:t>as</w:t>
            </w:r>
            <w:r>
              <w:rPr>
                <w:color w:val="105C84"/>
                <w:spacing w:val="-13"/>
                <w:position w:val="7"/>
                <w:sz w:val="18"/>
              </w:rPr>
              <w:t> </w:t>
            </w:r>
            <w:r>
              <w:rPr>
                <w:color w:val="105C84"/>
                <w:position w:val="7"/>
                <w:sz w:val="18"/>
              </w:rPr>
              <w:t>well</w:t>
            </w:r>
            <w:r>
              <w:rPr>
                <w:color w:val="105C84"/>
                <w:spacing w:val="-12"/>
                <w:position w:val="7"/>
                <w:sz w:val="18"/>
              </w:rPr>
              <w:t> </w:t>
            </w:r>
            <w:r>
              <w:rPr>
                <w:color w:val="105C84"/>
                <w:position w:val="7"/>
                <w:sz w:val="18"/>
              </w:rPr>
              <w:t>as</w:t>
            </w:r>
            <w:r>
              <w:rPr>
                <w:color w:val="105C84"/>
                <w:spacing w:val="-13"/>
                <w:position w:val="7"/>
                <w:sz w:val="18"/>
              </w:rPr>
              <w:t> </w:t>
            </w:r>
            <w:r>
              <w:rPr>
                <w:color w:val="105C84"/>
                <w:position w:val="7"/>
                <w:sz w:val="18"/>
              </w:rPr>
              <w:t>the</w:t>
            </w:r>
            <w:r>
              <w:rPr>
                <w:color w:val="105C84"/>
                <w:spacing w:val="-12"/>
                <w:position w:val="7"/>
                <w:sz w:val="18"/>
              </w:rPr>
              <w:t> </w:t>
            </w:r>
            <w:r>
              <w:rPr>
                <w:color w:val="105C84"/>
                <w:spacing w:val="-2"/>
                <w:position w:val="7"/>
                <w:sz w:val="18"/>
              </w:rPr>
              <w:t>mental</w:t>
            </w:r>
            <w:r>
              <w:rPr>
                <w:color w:val="105C84"/>
                <w:position w:val="7"/>
                <w:sz w:val="18"/>
              </w:rPr>
              <w:tab/>
            </w:r>
            <w:r>
              <w:rPr>
                <w:color w:val="105C84"/>
                <w:sz w:val="18"/>
              </w:rPr>
              <w:t>Evaluate</w:t>
            </w:r>
            <w:r>
              <w:rPr>
                <w:color w:val="105C84"/>
                <w:spacing w:val="-11"/>
                <w:sz w:val="18"/>
              </w:rPr>
              <w:t> </w:t>
            </w:r>
            <w:r>
              <w:rPr>
                <w:color w:val="105C84"/>
                <w:sz w:val="18"/>
              </w:rPr>
              <w:t>with</w:t>
            </w:r>
            <w:r>
              <w:rPr>
                <w:color w:val="105C84"/>
                <w:spacing w:val="-11"/>
                <w:sz w:val="18"/>
              </w:rPr>
              <w:t> </w:t>
            </w:r>
            <w:r>
              <w:rPr>
                <w:color w:val="105C84"/>
                <w:spacing w:val="-2"/>
                <w:sz w:val="18"/>
              </w:rPr>
              <w:t>internal</w:t>
            </w:r>
          </w:p>
          <w:p>
            <w:pPr>
              <w:pStyle w:val="TableParagraph"/>
              <w:tabs>
                <w:tab w:pos="4113" w:val="left" w:leader="none"/>
              </w:tabs>
              <w:spacing w:line="200" w:lineRule="exact"/>
              <w:ind w:left="89"/>
              <w:rPr>
                <w:sz w:val="18"/>
              </w:rPr>
            </w:pPr>
            <w:r>
              <w:rPr>
                <w:color w:val="105C84"/>
                <w:position w:val="7"/>
                <w:sz w:val="18"/>
              </w:rPr>
              <w:t>health</w:t>
            </w:r>
            <w:r>
              <w:rPr>
                <w:color w:val="105C84"/>
                <w:spacing w:val="-3"/>
                <w:position w:val="7"/>
                <w:sz w:val="18"/>
              </w:rPr>
              <w:t> </w:t>
            </w:r>
            <w:r>
              <w:rPr>
                <w:color w:val="105C84"/>
                <w:spacing w:val="-2"/>
                <w:position w:val="7"/>
                <w:sz w:val="18"/>
              </w:rPr>
              <w:t>problems</w:t>
            </w:r>
            <w:r>
              <w:rPr>
                <w:color w:val="105C84"/>
                <w:position w:val="7"/>
                <w:sz w:val="18"/>
              </w:rPr>
              <w:tab/>
            </w:r>
            <w:r>
              <w:rPr>
                <w:color w:val="105C84"/>
                <w:sz w:val="18"/>
              </w:rPr>
              <w:t>mental</w:t>
            </w:r>
            <w:r>
              <w:rPr>
                <w:color w:val="105C84"/>
                <w:spacing w:val="-1"/>
                <w:sz w:val="18"/>
              </w:rPr>
              <w:t> </w:t>
            </w:r>
            <w:r>
              <w:rPr>
                <w:color w:val="105C84"/>
                <w:sz w:val="18"/>
              </w:rPr>
              <w:t>health </w:t>
            </w:r>
            <w:r>
              <w:rPr>
                <w:color w:val="105C84"/>
                <w:spacing w:val="-2"/>
                <w:sz w:val="18"/>
              </w:rPr>
              <w:t>clinic</w:t>
            </w:r>
          </w:p>
          <w:p>
            <w:pPr>
              <w:pStyle w:val="TableParagraph"/>
              <w:tabs>
                <w:tab w:pos="4113" w:val="left" w:leader="none"/>
              </w:tabs>
              <w:spacing w:line="153" w:lineRule="auto"/>
              <w:ind w:left="89"/>
              <w:rPr>
                <w:position w:val="-6"/>
                <w:sz w:val="18"/>
              </w:rPr>
            </w:pPr>
            <w:r>
              <w:rPr>
                <w:color w:val="105C84"/>
                <w:sz w:val="18"/>
              </w:rPr>
              <w:t>associated</w:t>
            </w:r>
            <w:r>
              <w:rPr>
                <w:color w:val="105C84"/>
                <w:spacing w:val="-9"/>
                <w:sz w:val="18"/>
              </w:rPr>
              <w:t> </w:t>
            </w:r>
            <w:r>
              <w:rPr>
                <w:color w:val="105C84"/>
                <w:sz w:val="18"/>
              </w:rPr>
              <w:t>with</w:t>
            </w:r>
            <w:r>
              <w:rPr>
                <w:color w:val="105C84"/>
                <w:spacing w:val="-9"/>
                <w:sz w:val="18"/>
              </w:rPr>
              <w:t> </w:t>
            </w:r>
            <w:r>
              <w:rPr>
                <w:color w:val="105C84"/>
                <w:spacing w:val="-2"/>
                <w:sz w:val="18"/>
              </w:rPr>
              <w:t>suicide,</w:t>
            </w:r>
            <w:r>
              <w:rPr>
                <w:color w:val="105C84"/>
                <w:sz w:val="18"/>
              </w:rPr>
              <w:tab/>
            </w:r>
            <w:r>
              <w:rPr>
                <w:color w:val="105C84"/>
                <w:position w:val="-6"/>
                <w:sz w:val="18"/>
              </w:rPr>
              <w:t>staff</w:t>
            </w:r>
            <w:r>
              <w:rPr>
                <w:color w:val="105C84"/>
                <w:spacing w:val="-8"/>
                <w:position w:val="-6"/>
                <w:sz w:val="18"/>
              </w:rPr>
              <w:t> </w:t>
            </w:r>
            <w:r>
              <w:rPr>
                <w:color w:val="105C84"/>
                <w:position w:val="-6"/>
                <w:sz w:val="18"/>
              </w:rPr>
              <w:t>and</w:t>
            </w:r>
            <w:r>
              <w:rPr>
                <w:color w:val="105C84"/>
                <w:spacing w:val="-7"/>
                <w:position w:val="-6"/>
                <w:sz w:val="18"/>
              </w:rPr>
              <w:t> </w:t>
            </w:r>
            <w:r>
              <w:rPr>
                <w:color w:val="105C84"/>
                <w:spacing w:val="-2"/>
                <w:position w:val="-6"/>
                <w:sz w:val="18"/>
              </w:rPr>
              <w:t>community</w:t>
            </w:r>
          </w:p>
          <w:p>
            <w:pPr>
              <w:pStyle w:val="TableParagraph"/>
              <w:tabs>
                <w:tab w:pos="4113" w:val="left" w:leader="none"/>
              </w:tabs>
              <w:spacing w:line="200" w:lineRule="exact"/>
              <w:ind w:left="89"/>
              <w:rPr>
                <w:sz w:val="18"/>
              </w:rPr>
            </w:pPr>
            <w:r>
              <w:rPr>
                <w:color w:val="105C84"/>
                <w:spacing w:val="-2"/>
                <w:position w:val="7"/>
                <w:sz w:val="18"/>
              </w:rPr>
              <w:t>such</w:t>
            </w:r>
            <w:r>
              <w:rPr>
                <w:color w:val="105C84"/>
                <w:spacing w:val="-9"/>
                <w:position w:val="7"/>
                <w:sz w:val="18"/>
              </w:rPr>
              <w:t> </w:t>
            </w:r>
            <w:r>
              <w:rPr>
                <w:color w:val="105C84"/>
                <w:spacing w:val="-2"/>
                <w:position w:val="7"/>
                <w:sz w:val="18"/>
              </w:rPr>
              <w:t>as</w:t>
            </w:r>
            <w:r>
              <w:rPr>
                <w:color w:val="105C84"/>
                <w:spacing w:val="-9"/>
                <w:position w:val="7"/>
                <w:sz w:val="18"/>
              </w:rPr>
              <w:t> </w:t>
            </w:r>
            <w:r>
              <w:rPr>
                <w:color w:val="105C84"/>
                <w:spacing w:val="-2"/>
                <w:position w:val="7"/>
                <w:sz w:val="18"/>
              </w:rPr>
              <w:t>depression</w:t>
            </w:r>
            <w:r>
              <w:rPr>
                <w:color w:val="105C84"/>
                <w:spacing w:val="-9"/>
                <w:position w:val="7"/>
                <w:sz w:val="18"/>
              </w:rPr>
              <w:t> </w:t>
            </w:r>
            <w:r>
              <w:rPr>
                <w:color w:val="105C84"/>
                <w:spacing w:val="-5"/>
                <w:position w:val="7"/>
                <w:sz w:val="18"/>
              </w:rPr>
              <w:t>and</w:t>
            </w:r>
            <w:r>
              <w:rPr>
                <w:color w:val="105C84"/>
                <w:position w:val="7"/>
                <w:sz w:val="18"/>
              </w:rPr>
              <w:tab/>
            </w:r>
            <w:r>
              <w:rPr>
                <w:color w:val="105C84"/>
                <w:sz w:val="18"/>
              </w:rPr>
              <w:t>partners</w:t>
            </w:r>
            <w:r>
              <w:rPr>
                <w:color w:val="105C84"/>
                <w:spacing w:val="-11"/>
                <w:sz w:val="18"/>
              </w:rPr>
              <w:t> </w:t>
            </w:r>
            <w:r>
              <w:rPr>
                <w:color w:val="105C84"/>
                <w:spacing w:val="-2"/>
                <w:sz w:val="18"/>
              </w:rPr>
              <w:t>effectiveness</w:t>
            </w:r>
          </w:p>
          <w:p>
            <w:pPr>
              <w:pStyle w:val="TableParagraph"/>
              <w:tabs>
                <w:tab w:pos="4113" w:val="left" w:leader="none"/>
              </w:tabs>
              <w:spacing w:line="235" w:lineRule="exact"/>
              <w:ind w:left="89"/>
              <w:rPr>
                <w:sz w:val="18"/>
              </w:rPr>
            </w:pPr>
            <w:r>
              <w:rPr>
                <w:color w:val="105C84"/>
                <w:spacing w:val="-4"/>
                <w:position w:val="7"/>
                <w:sz w:val="18"/>
              </w:rPr>
              <w:t>substance</w:t>
            </w:r>
            <w:r>
              <w:rPr>
                <w:color w:val="105C84"/>
                <w:spacing w:val="7"/>
                <w:position w:val="7"/>
                <w:sz w:val="18"/>
              </w:rPr>
              <w:t> </w:t>
            </w:r>
            <w:r>
              <w:rPr>
                <w:color w:val="105C84"/>
                <w:spacing w:val="-5"/>
                <w:position w:val="7"/>
                <w:sz w:val="18"/>
              </w:rPr>
              <w:t>use</w:t>
            </w:r>
            <w:r>
              <w:rPr>
                <w:color w:val="105C84"/>
                <w:position w:val="7"/>
                <w:sz w:val="18"/>
              </w:rPr>
              <w:tab/>
            </w:r>
            <w:r>
              <w:rPr>
                <w:color w:val="105C84"/>
                <w:sz w:val="18"/>
              </w:rPr>
              <w:t>of</w:t>
            </w:r>
            <w:r>
              <w:rPr>
                <w:color w:val="105C84"/>
                <w:spacing w:val="12"/>
                <w:sz w:val="18"/>
              </w:rPr>
              <w:t> </w:t>
            </w:r>
            <w:r>
              <w:rPr>
                <w:color w:val="105C84"/>
                <w:sz w:val="18"/>
              </w:rPr>
              <w:t>intervention</w:t>
            </w:r>
            <w:r>
              <w:rPr>
                <w:color w:val="105C84"/>
                <w:spacing w:val="12"/>
                <w:sz w:val="18"/>
              </w:rPr>
              <w:t> </w:t>
            </w:r>
            <w:r>
              <w:rPr>
                <w:color w:val="105C84"/>
                <w:spacing w:val="-5"/>
                <w:sz w:val="18"/>
              </w:rPr>
              <w:t>on</w:t>
            </w:r>
          </w:p>
          <w:p>
            <w:pPr>
              <w:pStyle w:val="TableParagraph"/>
              <w:spacing w:line="232" w:lineRule="auto"/>
              <w:ind w:left="4114"/>
              <w:rPr>
                <w:sz w:val="18"/>
              </w:rPr>
            </w:pPr>
            <w:r>
              <w:rPr>
                <w:color w:val="105C84"/>
                <w:sz w:val="18"/>
              </w:rPr>
              <w:t>suicide</w:t>
            </w:r>
            <w:r>
              <w:rPr>
                <w:color w:val="105C84"/>
                <w:spacing w:val="-13"/>
                <w:sz w:val="18"/>
              </w:rPr>
              <w:t> </w:t>
            </w:r>
            <w:r>
              <w:rPr>
                <w:color w:val="105C84"/>
                <w:sz w:val="18"/>
              </w:rPr>
              <w:t>prevention </w:t>
            </w:r>
            <w:r>
              <w:rPr>
                <w:color w:val="105C84"/>
                <w:spacing w:val="-2"/>
                <w:sz w:val="18"/>
              </w:rPr>
              <w:t>activities</w:t>
            </w:r>
          </w:p>
          <w:p>
            <w:pPr>
              <w:pStyle w:val="TableParagraph"/>
              <w:spacing w:line="232" w:lineRule="auto"/>
              <w:ind w:left="4114" w:right="109"/>
              <w:rPr>
                <w:sz w:val="18"/>
              </w:rPr>
            </w:pPr>
            <w:r>
              <w:rPr>
                <w:color w:val="105C84"/>
                <w:sz w:val="18"/>
              </w:rPr>
              <w:t>Adapt interventions</w:t>
            </w:r>
            <w:r>
              <w:rPr>
                <w:color w:val="105C84"/>
                <w:spacing w:val="80"/>
                <w:sz w:val="18"/>
              </w:rPr>
              <w:t> </w:t>
            </w:r>
            <w:r>
              <w:rPr>
                <w:color w:val="105C84"/>
                <w:spacing w:val="-4"/>
                <w:sz w:val="18"/>
              </w:rPr>
              <w:t>as</w:t>
            </w:r>
            <w:r>
              <w:rPr>
                <w:color w:val="105C84"/>
                <w:spacing w:val="-9"/>
                <w:sz w:val="18"/>
              </w:rPr>
              <w:t> </w:t>
            </w:r>
            <w:r>
              <w:rPr>
                <w:color w:val="105C84"/>
                <w:spacing w:val="-4"/>
                <w:sz w:val="18"/>
              </w:rPr>
              <w:t>necessary</w:t>
            </w:r>
            <w:r>
              <w:rPr>
                <w:color w:val="105C84"/>
                <w:spacing w:val="-8"/>
                <w:sz w:val="18"/>
              </w:rPr>
              <w:t> </w:t>
            </w:r>
            <w:r>
              <w:rPr>
                <w:color w:val="105C84"/>
                <w:spacing w:val="-4"/>
                <w:sz w:val="18"/>
              </w:rPr>
              <w:t>based</w:t>
            </w:r>
            <w:r>
              <w:rPr>
                <w:color w:val="105C84"/>
                <w:spacing w:val="-9"/>
                <w:sz w:val="18"/>
              </w:rPr>
              <w:t> </w:t>
            </w:r>
            <w:r>
              <w:rPr>
                <w:color w:val="105C84"/>
                <w:spacing w:val="-4"/>
                <w:sz w:val="18"/>
              </w:rPr>
              <w:t>on </w:t>
            </w:r>
            <w:r>
              <w:rPr>
                <w:color w:val="105C84"/>
                <w:sz w:val="18"/>
              </w:rPr>
              <w:t>evaluation findings</w:t>
            </w:r>
          </w:p>
        </w:tc>
        <w:tc>
          <w:tcPr>
            <w:tcW w:w="2218" w:type="dxa"/>
          </w:tcPr>
          <w:p>
            <w:pPr>
              <w:pStyle w:val="TableParagraph"/>
              <w:spacing w:line="232" w:lineRule="auto" w:before="99"/>
              <w:ind w:left="88"/>
              <w:rPr>
                <w:sz w:val="18"/>
              </w:rPr>
            </w:pPr>
            <w:r>
              <w:rPr>
                <w:color w:val="105C84"/>
                <w:sz w:val="18"/>
              </w:rPr>
              <w:t>Continue following </w:t>
            </w:r>
            <w:r>
              <w:rPr>
                <w:color w:val="105C84"/>
                <w:sz w:val="18"/>
              </w:rPr>
              <w:t>policy on clients who may be</w:t>
            </w:r>
          </w:p>
          <w:p>
            <w:pPr>
              <w:pStyle w:val="TableParagraph"/>
              <w:spacing w:line="200" w:lineRule="exact"/>
              <w:ind w:left="88"/>
              <w:rPr>
                <w:sz w:val="18"/>
              </w:rPr>
            </w:pPr>
            <w:r>
              <w:rPr>
                <w:color w:val="105C84"/>
                <w:sz w:val="18"/>
              </w:rPr>
              <w:t>at</w:t>
            </w:r>
            <w:r>
              <w:rPr>
                <w:color w:val="105C84"/>
                <w:spacing w:val="-1"/>
                <w:sz w:val="18"/>
              </w:rPr>
              <w:t> </w:t>
            </w:r>
            <w:r>
              <w:rPr>
                <w:color w:val="105C84"/>
                <w:spacing w:val="-4"/>
                <w:sz w:val="18"/>
              </w:rPr>
              <w:t>risk</w:t>
            </w:r>
          </w:p>
          <w:p>
            <w:pPr>
              <w:pStyle w:val="TableParagraph"/>
              <w:spacing w:line="232" w:lineRule="auto" w:before="88"/>
              <w:ind w:left="88"/>
              <w:rPr>
                <w:sz w:val="18"/>
              </w:rPr>
            </w:pPr>
            <w:r>
              <w:rPr>
                <w:color w:val="105C84"/>
                <w:sz w:val="18"/>
              </w:rPr>
              <w:t>Continue training with Youth</w:t>
            </w:r>
            <w:r>
              <w:rPr>
                <w:color w:val="105C84"/>
                <w:spacing w:val="-13"/>
                <w:sz w:val="18"/>
              </w:rPr>
              <w:t> </w:t>
            </w:r>
            <w:r>
              <w:rPr>
                <w:color w:val="105C84"/>
                <w:sz w:val="18"/>
              </w:rPr>
              <w:t>Mental</w:t>
            </w:r>
            <w:r>
              <w:rPr>
                <w:color w:val="105C84"/>
                <w:spacing w:val="-12"/>
                <w:sz w:val="18"/>
              </w:rPr>
              <w:t> </w:t>
            </w:r>
            <w:r>
              <w:rPr>
                <w:color w:val="105C84"/>
                <w:sz w:val="18"/>
              </w:rPr>
              <w:t>Health</w:t>
            </w:r>
            <w:r>
              <w:rPr>
                <w:color w:val="105C84"/>
                <w:spacing w:val="-13"/>
                <w:sz w:val="18"/>
              </w:rPr>
              <w:t> </w:t>
            </w:r>
            <w:r>
              <w:rPr>
                <w:color w:val="105C84"/>
                <w:sz w:val="18"/>
              </w:rPr>
              <w:t>First Aid and exploring other partners who would</w:t>
            </w:r>
          </w:p>
          <w:p>
            <w:pPr>
              <w:pStyle w:val="TableParagraph"/>
              <w:spacing w:line="232" w:lineRule="auto"/>
              <w:ind w:left="88"/>
              <w:rPr>
                <w:sz w:val="18"/>
              </w:rPr>
            </w:pPr>
            <w:r>
              <w:rPr>
                <w:color w:val="105C84"/>
                <w:sz w:val="18"/>
              </w:rPr>
              <w:t>like to be trained or </w:t>
            </w:r>
            <w:r>
              <w:rPr>
                <w:color w:val="105C84"/>
                <w:sz w:val="18"/>
              </w:rPr>
              <w:t>be trained as trainers</w:t>
            </w:r>
          </w:p>
          <w:p>
            <w:pPr>
              <w:pStyle w:val="TableParagraph"/>
              <w:spacing w:line="232" w:lineRule="auto" w:before="85"/>
              <w:ind w:left="88"/>
              <w:rPr>
                <w:sz w:val="18"/>
              </w:rPr>
            </w:pPr>
            <w:r>
              <w:rPr>
                <w:color w:val="105C84"/>
                <w:w w:val="105"/>
                <w:sz w:val="18"/>
              </w:rPr>
              <w:t>Continue support and </w:t>
            </w:r>
            <w:r>
              <w:rPr>
                <w:color w:val="105C84"/>
                <w:sz w:val="18"/>
              </w:rPr>
              <w:t>participation</w:t>
            </w:r>
            <w:r>
              <w:rPr>
                <w:color w:val="105C84"/>
                <w:spacing w:val="-15"/>
                <w:sz w:val="18"/>
              </w:rPr>
              <w:t> </w:t>
            </w:r>
            <w:r>
              <w:rPr>
                <w:color w:val="105C84"/>
                <w:sz w:val="18"/>
              </w:rPr>
              <w:t>with</w:t>
            </w:r>
            <w:r>
              <w:rPr>
                <w:color w:val="105C84"/>
                <w:spacing w:val="-12"/>
                <w:sz w:val="18"/>
              </w:rPr>
              <w:t> </w:t>
            </w:r>
            <w:r>
              <w:rPr>
                <w:color w:val="105C84"/>
                <w:sz w:val="18"/>
              </w:rPr>
              <w:t>SAFE </w:t>
            </w:r>
            <w:r>
              <w:rPr>
                <w:color w:val="105C84"/>
                <w:spacing w:val="-2"/>
                <w:w w:val="105"/>
                <w:sz w:val="18"/>
              </w:rPr>
              <w:t>coalition</w:t>
            </w:r>
          </w:p>
          <w:p>
            <w:pPr>
              <w:pStyle w:val="TableParagraph"/>
              <w:spacing w:line="232" w:lineRule="auto" w:before="88"/>
              <w:ind w:left="88" w:right="305"/>
              <w:rPr>
                <w:sz w:val="18"/>
              </w:rPr>
            </w:pPr>
            <w:r>
              <w:rPr>
                <w:color w:val="105C84"/>
                <w:sz w:val="18"/>
              </w:rPr>
              <w:t>Evaluate</w:t>
            </w:r>
            <w:r>
              <w:rPr>
                <w:color w:val="105C84"/>
                <w:spacing w:val="-15"/>
                <w:sz w:val="18"/>
              </w:rPr>
              <w:t> </w:t>
            </w:r>
            <w:r>
              <w:rPr>
                <w:color w:val="105C84"/>
                <w:sz w:val="18"/>
              </w:rPr>
              <w:t>with</w:t>
            </w:r>
            <w:r>
              <w:rPr>
                <w:color w:val="105C84"/>
                <w:spacing w:val="-12"/>
                <w:sz w:val="18"/>
              </w:rPr>
              <w:t> </w:t>
            </w:r>
            <w:r>
              <w:rPr>
                <w:color w:val="105C84"/>
                <w:sz w:val="18"/>
              </w:rPr>
              <w:t>internal mental health clinic staff and community</w:t>
            </w:r>
          </w:p>
          <w:p>
            <w:pPr>
              <w:pStyle w:val="TableParagraph"/>
              <w:spacing w:line="232" w:lineRule="auto"/>
              <w:ind w:left="88" w:right="165"/>
              <w:rPr>
                <w:sz w:val="18"/>
              </w:rPr>
            </w:pPr>
            <w:r>
              <w:rPr>
                <w:color w:val="105C84"/>
                <w:sz w:val="18"/>
              </w:rPr>
              <w:t>partners</w:t>
            </w:r>
            <w:r>
              <w:rPr>
                <w:color w:val="105C84"/>
                <w:spacing w:val="-15"/>
                <w:sz w:val="18"/>
              </w:rPr>
              <w:t> </w:t>
            </w:r>
            <w:r>
              <w:rPr>
                <w:color w:val="105C84"/>
                <w:sz w:val="18"/>
              </w:rPr>
              <w:t>effectiveness</w:t>
            </w:r>
            <w:r>
              <w:rPr>
                <w:color w:val="105C84"/>
                <w:spacing w:val="-12"/>
                <w:sz w:val="18"/>
              </w:rPr>
              <w:t> </w:t>
            </w:r>
            <w:r>
              <w:rPr>
                <w:color w:val="105C84"/>
                <w:sz w:val="18"/>
              </w:rPr>
              <w:t>of intervention on suicide prevention activities</w:t>
            </w:r>
          </w:p>
          <w:p>
            <w:pPr>
              <w:pStyle w:val="TableParagraph"/>
              <w:spacing w:line="232" w:lineRule="auto" w:before="85"/>
              <w:ind w:left="88" w:right="333"/>
              <w:rPr>
                <w:sz w:val="18"/>
              </w:rPr>
            </w:pPr>
            <w:r>
              <w:rPr>
                <w:color w:val="105C84"/>
                <w:sz w:val="18"/>
              </w:rPr>
              <w:t>Adapt interventions</w:t>
            </w:r>
            <w:r>
              <w:rPr>
                <w:color w:val="105C84"/>
                <w:spacing w:val="80"/>
                <w:sz w:val="18"/>
              </w:rPr>
              <w:t> </w:t>
            </w:r>
            <w:r>
              <w:rPr>
                <w:color w:val="105C84"/>
                <w:spacing w:val="-4"/>
                <w:sz w:val="18"/>
              </w:rPr>
              <w:t>as</w:t>
            </w:r>
            <w:r>
              <w:rPr>
                <w:color w:val="105C84"/>
                <w:spacing w:val="-9"/>
                <w:sz w:val="18"/>
              </w:rPr>
              <w:t> </w:t>
            </w:r>
            <w:r>
              <w:rPr>
                <w:color w:val="105C84"/>
                <w:spacing w:val="-4"/>
                <w:sz w:val="18"/>
              </w:rPr>
              <w:t>necessary</w:t>
            </w:r>
            <w:r>
              <w:rPr>
                <w:color w:val="105C84"/>
                <w:spacing w:val="-8"/>
                <w:sz w:val="18"/>
              </w:rPr>
              <w:t> </w:t>
            </w:r>
            <w:r>
              <w:rPr>
                <w:color w:val="105C84"/>
                <w:spacing w:val="-4"/>
                <w:sz w:val="18"/>
              </w:rPr>
              <w:t>based</w:t>
            </w:r>
            <w:r>
              <w:rPr>
                <w:color w:val="105C84"/>
                <w:spacing w:val="-9"/>
                <w:sz w:val="18"/>
              </w:rPr>
              <w:t> </w:t>
            </w:r>
            <w:r>
              <w:rPr>
                <w:color w:val="105C84"/>
                <w:spacing w:val="-4"/>
                <w:sz w:val="18"/>
              </w:rPr>
              <w:t>on </w:t>
            </w:r>
            <w:r>
              <w:rPr>
                <w:color w:val="105C84"/>
                <w:sz w:val="18"/>
              </w:rPr>
              <w:t>evaluation findings.</w:t>
            </w:r>
          </w:p>
        </w:tc>
        <w:tc>
          <w:tcPr>
            <w:tcW w:w="2765" w:type="dxa"/>
          </w:tcPr>
          <w:p>
            <w:pPr>
              <w:pStyle w:val="TableParagraph"/>
              <w:spacing w:line="232" w:lineRule="auto" w:before="99"/>
              <w:ind w:left="88"/>
              <w:rPr>
                <w:sz w:val="18"/>
              </w:rPr>
            </w:pPr>
            <w:r>
              <w:rPr>
                <w:color w:val="105C84"/>
                <w:sz w:val="18"/>
              </w:rPr>
              <w:t>Continue following policy </w:t>
            </w:r>
            <w:r>
              <w:rPr>
                <w:color w:val="105C84"/>
                <w:sz w:val="18"/>
              </w:rPr>
              <w:t>on clients who may be at risk</w:t>
            </w:r>
          </w:p>
          <w:p>
            <w:pPr>
              <w:pStyle w:val="TableParagraph"/>
              <w:spacing w:line="232" w:lineRule="auto" w:before="88"/>
              <w:ind w:left="88"/>
              <w:rPr>
                <w:sz w:val="18"/>
              </w:rPr>
            </w:pPr>
            <w:r>
              <w:rPr>
                <w:color w:val="105C84"/>
                <w:w w:val="105"/>
                <w:sz w:val="18"/>
              </w:rPr>
              <w:t>Continue</w:t>
            </w:r>
            <w:r>
              <w:rPr>
                <w:color w:val="105C84"/>
                <w:spacing w:val="-14"/>
                <w:w w:val="105"/>
                <w:sz w:val="18"/>
              </w:rPr>
              <w:t> </w:t>
            </w:r>
            <w:r>
              <w:rPr>
                <w:color w:val="105C84"/>
                <w:w w:val="105"/>
                <w:sz w:val="18"/>
              </w:rPr>
              <w:t>training</w:t>
            </w:r>
            <w:r>
              <w:rPr>
                <w:color w:val="105C84"/>
                <w:spacing w:val="-13"/>
                <w:w w:val="105"/>
                <w:sz w:val="18"/>
              </w:rPr>
              <w:t> </w:t>
            </w:r>
            <w:r>
              <w:rPr>
                <w:color w:val="105C84"/>
                <w:w w:val="105"/>
                <w:sz w:val="18"/>
              </w:rPr>
              <w:t>with</w:t>
            </w:r>
            <w:r>
              <w:rPr>
                <w:color w:val="105C84"/>
                <w:spacing w:val="-13"/>
                <w:w w:val="105"/>
                <w:sz w:val="18"/>
              </w:rPr>
              <w:t> </w:t>
            </w:r>
            <w:r>
              <w:rPr>
                <w:color w:val="105C84"/>
                <w:w w:val="105"/>
                <w:sz w:val="18"/>
              </w:rPr>
              <w:t>Youth Mental Health First Aid and </w:t>
            </w:r>
            <w:r>
              <w:rPr>
                <w:color w:val="105C84"/>
                <w:spacing w:val="-2"/>
                <w:w w:val="105"/>
                <w:sz w:val="18"/>
              </w:rPr>
              <w:t>exploring</w:t>
            </w:r>
            <w:r>
              <w:rPr>
                <w:color w:val="105C84"/>
                <w:spacing w:val="-8"/>
                <w:w w:val="105"/>
                <w:sz w:val="18"/>
              </w:rPr>
              <w:t> </w:t>
            </w:r>
            <w:r>
              <w:rPr>
                <w:color w:val="105C84"/>
                <w:spacing w:val="-2"/>
                <w:w w:val="105"/>
                <w:sz w:val="18"/>
              </w:rPr>
              <w:t>other</w:t>
            </w:r>
            <w:r>
              <w:rPr>
                <w:color w:val="105C84"/>
                <w:spacing w:val="-8"/>
                <w:w w:val="105"/>
                <w:sz w:val="18"/>
              </w:rPr>
              <w:t> </w:t>
            </w:r>
            <w:r>
              <w:rPr>
                <w:color w:val="105C84"/>
                <w:spacing w:val="-2"/>
                <w:w w:val="105"/>
                <w:sz w:val="18"/>
              </w:rPr>
              <w:t>partners</w:t>
            </w:r>
            <w:r>
              <w:rPr>
                <w:color w:val="105C84"/>
                <w:spacing w:val="-8"/>
                <w:w w:val="105"/>
                <w:sz w:val="18"/>
              </w:rPr>
              <w:t> </w:t>
            </w:r>
            <w:r>
              <w:rPr>
                <w:color w:val="105C84"/>
                <w:spacing w:val="-2"/>
                <w:w w:val="105"/>
                <w:sz w:val="18"/>
              </w:rPr>
              <w:t>who </w:t>
            </w:r>
            <w:r>
              <w:rPr>
                <w:color w:val="105C84"/>
                <w:w w:val="105"/>
                <w:sz w:val="18"/>
              </w:rPr>
              <w:t>would</w:t>
            </w:r>
            <w:r>
              <w:rPr>
                <w:color w:val="105C84"/>
                <w:spacing w:val="-14"/>
                <w:w w:val="105"/>
                <w:sz w:val="18"/>
              </w:rPr>
              <w:t> </w:t>
            </w:r>
            <w:r>
              <w:rPr>
                <w:color w:val="105C84"/>
                <w:w w:val="105"/>
                <w:sz w:val="18"/>
              </w:rPr>
              <w:t>like</w:t>
            </w:r>
            <w:r>
              <w:rPr>
                <w:color w:val="105C84"/>
                <w:spacing w:val="-13"/>
                <w:w w:val="105"/>
                <w:sz w:val="18"/>
              </w:rPr>
              <w:t> </w:t>
            </w:r>
            <w:r>
              <w:rPr>
                <w:color w:val="105C84"/>
                <w:w w:val="105"/>
                <w:sz w:val="18"/>
              </w:rPr>
              <w:t>to</w:t>
            </w:r>
            <w:r>
              <w:rPr>
                <w:color w:val="105C84"/>
                <w:spacing w:val="-13"/>
                <w:w w:val="105"/>
                <w:sz w:val="18"/>
              </w:rPr>
              <w:t> </w:t>
            </w:r>
            <w:r>
              <w:rPr>
                <w:color w:val="105C84"/>
                <w:w w:val="105"/>
                <w:sz w:val="18"/>
              </w:rPr>
              <w:t>be</w:t>
            </w:r>
            <w:r>
              <w:rPr>
                <w:color w:val="105C84"/>
                <w:spacing w:val="-13"/>
                <w:w w:val="105"/>
                <w:sz w:val="18"/>
              </w:rPr>
              <w:t> </w:t>
            </w:r>
            <w:r>
              <w:rPr>
                <w:color w:val="105C84"/>
                <w:w w:val="105"/>
                <w:sz w:val="18"/>
              </w:rPr>
              <w:t>trained</w:t>
            </w:r>
            <w:r>
              <w:rPr>
                <w:color w:val="105C84"/>
                <w:spacing w:val="-13"/>
                <w:w w:val="105"/>
                <w:sz w:val="18"/>
              </w:rPr>
              <w:t> </w:t>
            </w:r>
            <w:r>
              <w:rPr>
                <w:color w:val="105C84"/>
                <w:w w:val="105"/>
                <w:sz w:val="18"/>
              </w:rPr>
              <w:t>or</w:t>
            </w:r>
            <w:r>
              <w:rPr>
                <w:color w:val="105C84"/>
                <w:spacing w:val="-13"/>
                <w:w w:val="105"/>
                <w:sz w:val="18"/>
              </w:rPr>
              <w:t> </w:t>
            </w:r>
            <w:r>
              <w:rPr>
                <w:color w:val="105C84"/>
                <w:w w:val="105"/>
                <w:sz w:val="18"/>
              </w:rPr>
              <w:t>be trained as trainers</w:t>
            </w:r>
          </w:p>
          <w:p>
            <w:pPr>
              <w:pStyle w:val="TableParagraph"/>
              <w:spacing w:line="232" w:lineRule="auto" w:before="86"/>
              <w:ind w:left="88" w:right="177"/>
              <w:rPr>
                <w:sz w:val="18"/>
              </w:rPr>
            </w:pPr>
            <w:r>
              <w:rPr>
                <w:color w:val="105C84"/>
                <w:w w:val="105"/>
                <w:sz w:val="18"/>
              </w:rPr>
              <w:t>Continue support and </w:t>
            </w:r>
            <w:r>
              <w:rPr>
                <w:color w:val="105C84"/>
                <w:sz w:val="18"/>
              </w:rPr>
              <w:t>participation</w:t>
            </w:r>
            <w:r>
              <w:rPr>
                <w:color w:val="105C84"/>
                <w:spacing w:val="-15"/>
                <w:sz w:val="18"/>
              </w:rPr>
              <w:t> </w:t>
            </w:r>
            <w:r>
              <w:rPr>
                <w:color w:val="105C84"/>
                <w:sz w:val="18"/>
              </w:rPr>
              <w:t>with</w:t>
            </w:r>
            <w:r>
              <w:rPr>
                <w:color w:val="105C84"/>
                <w:spacing w:val="-12"/>
                <w:sz w:val="18"/>
              </w:rPr>
              <w:t> </w:t>
            </w:r>
            <w:r>
              <w:rPr>
                <w:color w:val="105C84"/>
                <w:sz w:val="18"/>
              </w:rPr>
              <w:t>SAFE </w:t>
            </w:r>
            <w:r>
              <w:rPr>
                <w:color w:val="105C84"/>
                <w:spacing w:val="-2"/>
                <w:w w:val="105"/>
                <w:sz w:val="18"/>
              </w:rPr>
              <w:t>coalition</w:t>
            </w:r>
          </w:p>
          <w:p>
            <w:pPr>
              <w:pStyle w:val="TableParagraph"/>
              <w:spacing w:line="232" w:lineRule="auto" w:before="88"/>
              <w:ind w:left="88" w:right="425"/>
              <w:rPr>
                <w:sz w:val="18"/>
              </w:rPr>
            </w:pPr>
            <w:r>
              <w:rPr>
                <w:color w:val="105C84"/>
                <w:sz w:val="18"/>
              </w:rPr>
              <w:t>Evaluate with internal mental health clinic staff</w:t>
            </w:r>
            <w:r>
              <w:rPr>
                <w:color w:val="105C84"/>
                <w:spacing w:val="40"/>
                <w:sz w:val="18"/>
              </w:rPr>
              <w:t> </w:t>
            </w:r>
            <w:r>
              <w:rPr>
                <w:color w:val="105C84"/>
                <w:sz w:val="18"/>
              </w:rPr>
              <w:t>and community partners effectiveness</w:t>
            </w:r>
            <w:r>
              <w:rPr>
                <w:color w:val="105C84"/>
                <w:spacing w:val="-15"/>
                <w:sz w:val="18"/>
              </w:rPr>
              <w:t> </w:t>
            </w:r>
            <w:r>
              <w:rPr>
                <w:color w:val="105C84"/>
                <w:sz w:val="18"/>
              </w:rPr>
              <w:t>of</w:t>
            </w:r>
            <w:r>
              <w:rPr>
                <w:color w:val="105C84"/>
                <w:spacing w:val="-12"/>
                <w:sz w:val="18"/>
              </w:rPr>
              <w:t> </w:t>
            </w:r>
            <w:r>
              <w:rPr>
                <w:color w:val="105C84"/>
                <w:sz w:val="18"/>
              </w:rPr>
              <w:t>intervention</w:t>
            </w:r>
          </w:p>
          <w:p>
            <w:pPr>
              <w:pStyle w:val="TableParagraph"/>
              <w:spacing w:line="199" w:lineRule="exact"/>
              <w:ind w:left="88"/>
              <w:rPr>
                <w:sz w:val="18"/>
              </w:rPr>
            </w:pPr>
            <w:r>
              <w:rPr>
                <w:color w:val="105C84"/>
                <w:sz w:val="18"/>
              </w:rPr>
              <w:t>on</w:t>
            </w:r>
            <w:r>
              <w:rPr>
                <w:color w:val="105C84"/>
                <w:spacing w:val="1"/>
                <w:sz w:val="18"/>
              </w:rPr>
              <w:t> </w:t>
            </w:r>
            <w:r>
              <w:rPr>
                <w:color w:val="105C84"/>
                <w:sz w:val="18"/>
              </w:rPr>
              <w:t>suicide</w:t>
            </w:r>
            <w:r>
              <w:rPr>
                <w:color w:val="105C84"/>
                <w:spacing w:val="1"/>
                <w:sz w:val="18"/>
              </w:rPr>
              <w:t> </w:t>
            </w:r>
            <w:r>
              <w:rPr>
                <w:color w:val="105C84"/>
                <w:sz w:val="18"/>
              </w:rPr>
              <w:t>prevention</w:t>
            </w:r>
            <w:r>
              <w:rPr>
                <w:color w:val="105C84"/>
                <w:spacing w:val="1"/>
                <w:sz w:val="18"/>
              </w:rPr>
              <w:t> </w:t>
            </w:r>
            <w:r>
              <w:rPr>
                <w:color w:val="105C84"/>
                <w:spacing w:val="-2"/>
                <w:sz w:val="18"/>
              </w:rPr>
              <w:t>activities</w:t>
            </w:r>
          </w:p>
          <w:p>
            <w:pPr>
              <w:pStyle w:val="TableParagraph"/>
              <w:spacing w:line="232" w:lineRule="auto" w:before="88"/>
              <w:ind w:left="88" w:right="103"/>
              <w:rPr>
                <w:sz w:val="18"/>
              </w:rPr>
            </w:pPr>
            <w:r>
              <w:rPr>
                <w:color w:val="105C84"/>
                <w:sz w:val="18"/>
              </w:rPr>
              <w:t>Adapt interventions as </w:t>
            </w:r>
            <w:r>
              <w:rPr>
                <w:color w:val="105C84"/>
                <w:spacing w:val="-2"/>
                <w:sz w:val="18"/>
              </w:rPr>
              <w:t>necessary</w:t>
            </w:r>
            <w:r>
              <w:rPr>
                <w:color w:val="105C84"/>
                <w:spacing w:val="-10"/>
                <w:sz w:val="18"/>
              </w:rPr>
              <w:t> </w:t>
            </w:r>
            <w:r>
              <w:rPr>
                <w:color w:val="105C84"/>
                <w:spacing w:val="-2"/>
                <w:sz w:val="18"/>
              </w:rPr>
              <w:t>based</w:t>
            </w:r>
            <w:r>
              <w:rPr>
                <w:color w:val="105C84"/>
                <w:spacing w:val="-10"/>
                <w:sz w:val="18"/>
              </w:rPr>
              <w:t> </w:t>
            </w:r>
            <w:r>
              <w:rPr>
                <w:color w:val="105C84"/>
                <w:spacing w:val="-2"/>
                <w:sz w:val="18"/>
              </w:rPr>
              <w:t>on</w:t>
            </w:r>
            <w:r>
              <w:rPr>
                <w:color w:val="105C84"/>
                <w:spacing w:val="-10"/>
                <w:sz w:val="18"/>
              </w:rPr>
              <w:t> </w:t>
            </w:r>
            <w:r>
              <w:rPr>
                <w:color w:val="105C84"/>
                <w:spacing w:val="-2"/>
                <w:sz w:val="18"/>
              </w:rPr>
              <w:t>evaluation findings</w:t>
            </w:r>
          </w:p>
        </w:tc>
        <w:tc>
          <w:tcPr>
            <w:tcW w:w="1642" w:type="dxa"/>
          </w:tcPr>
          <w:p>
            <w:pPr>
              <w:pStyle w:val="TableParagraph"/>
              <w:spacing w:line="232" w:lineRule="auto" w:before="98"/>
              <w:ind w:left="87" w:right="56"/>
              <w:rPr>
                <w:sz w:val="18"/>
              </w:rPr>
            </w:pPr>
            <w:r>
              <w:rPr>
                <w:color w:val="105C84"/>
                <w:spacing w:val="-2"/>
                <w:sz w:val="18"/>
              </w:rPr>
              <w:t>Local </w:t>
            </w:r>
            <w:r>
              <w:rPr>
                <w:color w:val="105C84"/>
                <w:sz w:val="18"/>
              </w:rPr>
              <w:t>governmental</w:t>
            </w:r>
            <w:r>
              <w:rPr>
                <w:color w:val="105C84"/>
                <w:spacing w:val="-8"/>
                <w:sz w:val="18"/>
              </w:rPr>
              <w:t> </w:t>
            </w:r>
            <w:r>
              <w:rPr>
                <w:color w:val="105C84"/>
                <w:sz w:val="18"/>
              </w:rPr>
              <w:t>unit</w:t>
            </w:r>
          </w:p>
        </w:tc>
        <w:tc>
          <w:tcPr>
            <w:tcW w:w="1608" w:type="dxa"/>
          </w:tcPr>
          <w:p>
            <w:pPr>
              <w:pStyle w:val="TableParagraph"/>
              <w:spacing w:line="232" w:lineRule="auto" w:before="98"/>
              <w:ind w:left="87" w:right="224"/>
              <w:rPr>
                <w:sz w:val="18"/>
              </w:rPr>
            </w:pPr>
            <w:r>
              <w:rPr>
                <w:color w:val="105C84"/>
                <w:sz w:val="18"/>
              </w:rPr>
              <w:t>Mental Health Clinic- Meeting space</w:t>
            </w:r>
            <w:r>
              <w:rPr>
                <w:color w:val="105C84"/>
                <w:spacing w:val="-7"/>
                <w:sz w:val="18"/>
              </w:rPr>
              <w:t> </w:t>
            </w:r>
            <w:r>
              <w:rPr>
                <w:color w:val="105C84"/>
                <w:sz w:val="18"/>
              </w:rPr>
              <w:t>for</w:t>
            </w:r>
            <w:r>
              <w:rPr>
                <w:color w:val="105C84"/>
                <w:spacing w:val="-7"/>
                <w:sz w:val="18"/>
              </w:rPr>
              <w:t> </w:t>
            </w:r>
            <w:r>
              <w:rPr>
                <w:color w:val="105C84"/>
                <w:sz w:val="18"/>
              </w:rPr>
              <w:t>SAFE meetings,</w:t>
            </w:r>
            <w:r>
              <w:rPr>
                <w:color w:val="105C84"/>
                <w:spacing w:val="-15"/>
                <w:sz w:val="18"/>
              </w:rPr>
              <w:t> </w:t>
            </w:r>
            <w:r>
              <w:rPr>
                <w:color w:val="105C84"/>
                <w:sz w:val="18"/>
              </w:rPr>
              <w:t>5%</w:t>
            </w:r>
            <w:r>
              <w:rPr>
                <w:color w:val="105C84"/>
                <w:spacing w:val="-12"/>
                <w:sz w:val="18"/>
              </w:rPr>
              <w:t> </w:t>
            </w:r>
            <w:r>
              <w:rPr>
                <w:color w:val="105C84"/>
                <w:sz w:val="18"/>
              </w:rPr>
              <w:t>of FTE for Mental Health Clinic</w:t>
            </w:r>
          </w:p>
        </w:tc>
      </w:tr>
    </w:tbl>
    <w:p>
      <w:pPr>
        <w:pStyle w:val="BodyText"/>
        <w:rPr>
          <w:b/>
          <w:sz w:val="26"/>
        </w:rPr>
      </w:pPr>
    </w:p>
    <w:p>
      <w:pPr>
        <w:pStyle w:val="BodyText"/>
        <w:rPr>
          <w:b/>
          <w:sz w:val="26"/>
        </w:rPr>
      </w:pPr>
    </w:p>
    <w:p>
      <w:pPr>
        <w:pStyle w:val="BodyText"/>
        <w:rPr>
          <w:b/>
          <w:sz w:val="26"/>
        </w:rPr>
      </w:pPr>
    </w:p>
    <w:p>
      <w:pPr>
        <w:pStyle w:val="BodyText"/>
        <w:spacing w:before="79"/>
        <w:rPr>
          <w:b/>
          <w:sz w:val="26"/>
        </w:rPr>
      </w:pPr>
    </w:p>
    <w:p>
      <w:pPr>
        <w:tabs>
          <w:tab w:pos="23047" w:val="left" w:leader="none"/>
        </w:tabs>
        <w:spacing w:before="0"/>
        <w:ind w:left="0" w:right="0" w:firstLine="0"/>
        <w:jc w:val="left"/>
        <w:rPr>
          <w:b/>
          <w:sz w:val="26"/>
        </w:rPr>
      </w:pPr>
      <w:r>
        <w:rPr>
          <w:position w:val="-4"/>
        </w:rPr>
        <w:drawing>
          <wp:inline distT="0" distB="0" distL="0" distR="0">
            <wp:extent cx="568172" cy="184683"/>
            <wp:effectExtent l="0" t="0" r="0" b="0"/>
            <wp:docPr id="1887" name="Image 1887"/>
            <wp:cNvGraphicFramePr>
              <a:graphicFrameLocks/>
            </wp:cNvGraphicFramePr>
            <a:graphic>
              <a:graphicData uri="http://schemas.openxmlformats.org/drawingml/2006/picture">
                <pic:pic>
                  <pic:nvPicPr>
                    <pic:cNvPr id="1887" name="Image 1887"/>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13"/>
          <w:sz w:val="20"/>
        </w:rPr>
        <w:t> </w:t>
      </w:r>
      <w:r>
        <w:rPr>
          <w:b/>
          <w:color w:val="939598"/>
          <w:w w:val="105"/>
          <w:sz w:val="26"/>
        </w:rPr>
        <w:t>171</w:t>
      </w:r>
      <w:r>
        <w:rPr>
          <w:b/>
          <w:color w:val="939598"/>
          <w:sz w:val="26"/>
        </w:rPr>
        <w:tab/>
      </w:r>
      <w:r>
        <w:rPr>
          <w:b/>
          <w:color w:val="939598"/>
          <w:spacing w:val="-5"/>
          <w:w w:val="105"/>
          <w:sz w:val="26"/>
        </w:rPr>
        <w:t>172</w:t>
      </w:r>
    </w:p>
    <w:p>
      <w:pPr>
        <w:spacing w:after="0"/>
        <w:jc w:val="left"/>
        <w:rPr>
          <w:b/>
          <w:sz w:val="26"/>
        </w:rPr>
        <w:sectPr>
          <w:pgSz w:w="24480" w:h="15840" w:orient="landscape"/>
          <w:pgMar w:header="0" w:footer="0" w:top="860" w:bottom="0" w:left="0" w:right="720"/>
        </w:sectPr>
      </w:pPr>
    </w:p>
    <w:p>
      <w:pPr>
        <w:spacing w:before="607"/>
        <w:ind w:left="1089" w:right="0" w:firstLine="0"/>
        <w:jc w:val="left"/>
        <w:rPr>
          <w:sz w:val="54"/>
        </w:rPr>
      </w:pPr>
      <w:r>
        <w:rPr>
          <w:sz w:val="54"/>
        </w:rPr>
        <w:drawing>
          <wp:anchor distT="0" distB="0" distL="0" distR="0" allowOverlap="1" layoutInCell="1" locked="0" behindDoc="0" simplePos="0" relativeHeight="15976960">
            <wp:simplePos x="0" y="0"/>
            <wp:positionH relativeFrom="page">
              <wp:posOffset>14981556</wp:posOffset>
            </wp:positionH>
            <wp:positionV relativeFrom="page">
              <wp:posOffset>9668103</wp:posOffset>
            </wp:positionV>
            <wp:extent cx="563245" cy="184683"/>
            <wp:effectExtent l="0" t="0" r="0" b="0"/>
            <wp:wrapNone/>
            <wp:docPr id="1888" name="Image 1888"/>
            <wp:cNvGraphicFramePr>
              <a:graphicFrameLocks/>
            </wp:cNvGraphicFramePr>
            <a:graphic>
              <a:graphicData uri="http://schemas.openxmlformats.org/drawingml/2006/picture">
                <pic:pic>
                  <pic:nvPicPr>
                    <pic:cNvPr id="1888" name="Image 1888"/>
                    <pic:cNvPicPr/>
                  </pic:nvPicPr>
                  <pic:blipFill>
                    <a:blip r:embed="rId38" cstate="print"/>
                    <a:stretch>
                      <a:fillRect/>
                    </a:stretch>
                  </pic:blipFill>
                  <pic:spPr>
                    <a:xfrm>
                      <a:off x="0" y="0"/>
                      <a:ext cx="563245" cy="184683"/>
                    </a:xfrm>
                    <a:prstGeom prst="rect">
                      <a:avLst/>
                    </a:prstGeom>
                  </pic:spPr>
                </pic:pic>
              </a:graphicData>
            </a:graphic>
          </wp:anchor>
        </w:drawing>
      </w:r>
      <w:r>
        <w:rPr>
          <w:sz w:val="54"/>
        </w:rPr>
        <w:drawing>
          <wp:anchor distT="0" distB="0" distL="0" distR="0" allowOverlap="1" layoutInCell="1" locked="0" behindDoc="0" simplePos="0" relativeHeight="15977472">
            <wp:simplePos x="0" y="0"/>
            <wp:positionH relativeFrom="page">
              <wp:posOffset>13626703</wp:posOffset>
            </wp:positionH>
            <wp:positionV relativeFrom="paragraph">
              <wp:posOffset>365201</wp:posOffset>
            </wp:positionV>
            <wp:extent cx="1234098" cy="628989"/>
            <wp:effectExtent l="0" t="0" r="0" b="0"/>
            <wp:wrapNone/>
            <wp:docPr id="1889" name="Image 1889"/>
            <wp:cNvGraphicFramePr>
              <a:graphicFrameLocks/>
            </wp:cNvGraphicFramePr>
            <a:graphic>
              <a:graphicData uri="http://schemas.openxmlformats.org/drawingml/2006/picture">
                <pic:pic>
                  <pic:nvPicPr>
                    <pic:cNvPr id="1889" name="Image 1889"/>
                    <pic:cNvPicPr/>
                  </pic:nvPicPr>
                  <pic:blipFill>
                    <a:blip r:embed="rId254" cstate="print"/>
                    <a:stretch>
                      <a:fillRect/>
                    </a:stretch>
                  </pic:blipFill>
                  <pic:spPr>
                    <a:xfrm>
                      <a:off x="0" y="0"/>
                      <a:ext cx="1234098" cy="628989"/>
                    </a:xfrm>
                    <a:prstGeom prst="rect">
                      <a:avLst/>
                    </a:prstGeom>
                  </pic:spPr>
                </pic:pic>
              </a:graphicData>
            </a:graphic>
          </wp:anchor>
        </w:drawing>
      </w:r>
      <w:r>
        <w:rPr>
          <w:color w:val="636466"/>
          <w:sz w:val="54"/>
        </w:rPr>
        <w:t>Schuyler</w:t>
      </w:r>
      <w:r>
        <w:rPr>
          <w:color w:val="636466"/>
          <w:spacing w:val="40"/>
          <w:sz w:val="54"/>
        </w:rPr>
        <w:t> </w:t>
      </w:r>
      <w:r>
        <w:rPr>
          <w:color w:val="636466"/>
          <w:sz w:val="54"/>
        </w:rPr>
        <w:t>County</w:t>
      </w:r>
      <w:r>
        <w:rPr>
          <w:color w:val="636466"/>
          <w:spacing w:val="41"/>
          <w:sz w:val="54"/>
        </w:rPr>
        <w:t> </w:t>
      </w:r>
      <w:r>
        <w:rPr>
          <w:color w:val="636466"/>
          <w:sz w:val="54"/>
        </w:rPr>
        <w:t>Appendix</w:t>
      </w:r>
      <w:r>
        <w:rPr>
          <w:color w:val="636466"/>
          <w:spacing w:val="40"/>
          <w:sz w:val="54"/>
        </w:rPr>
        <w:t> </w:t>
      </w:r>
      <w:r>
        <w:rPr>
          <w:color w:val="636466"/>
          <w:spacing w:val="-10"/>
          <w:sz w:val="54"/>
        </w:rPr>
        <w:t>D</w:t>
      </w:r>
    </w:p>
    <w:p>
      <w:pPr>
        <w:spacing w:line="247" w:lineRule="auto" w:before="235"/>
        <w:ind w:left="1089" w:right="15045" w:firstLine="0"/>
        <w:jc w:val="left"/>
        <w:rPr>
          <w:b/>
          <w:sz w:val="32"/>
        </w:rPr>
      </w:pPr>
      <w:r>
        <w:rPr>
          <w:b/>
          <w:color w:val="82BF6A"/>
          <w:spacing w:val="-4"/>
          <w:sz w:val="32"/>
        </w:rPr>
        <w:t>PRIORITY:</w:t>
      </w:r>
      <w:r>
        <w:rPr>
          <w:b/>
          <w:color w:val="82BF6A"/>
          <w:spacing w:val="-19"/>
          <w:sz w:val="32"/>
        </w:rPr>
        <w:t> </w:t>
      </w:r>
      <w:r>
        <w:rPr>
          <w:b/>
          <w:color w:val="82BF6A"/>
          <w:spacing w:val="-4"/>
          <w:sz w:val="32"/>
        </w:rPr>
        <w:t>PROMOTE</w:t>
      </w:r>
      <w:r>
        <w:rPr>
          <w:b/>
          <w:color w:val="82BF6A"/>
          <w:spacing w:val="-18"/>
          <w:sz w:val="32"/>
        </w:rPr>
        <w:t> </w:t>
      </w:r>
      <w:r>
        <w:rPr>
          <w:b/>
          <w:color w:val="82BF6A"/>
          <w:spacing w:val="-4"/>
          <w:sz w:val="32"/>
        </w:rPr>
        <w:t>WELL-BEING</w:t>
      </w:r>
      <w:r>
        <w:rPr>
          <w:b/>
          <w:color w:val="82BF6A"/>
          <w:spacing w:val="-18"/>
          <w:sz w:val="32"/>
        </w:rPr>
        <w:t> </w:t>
      </w:r>
      <w:r>
        <w:rPr>
          <w:b/>
          <w:color w:val="82BF6A"/>
          <w:spacing w:val="-4"/>
          <w:sz w:val="32"/>
        </w:rPr>
        <w:t>AND</w:t>
      </w:r>
      <w:r>
        <w:rPr>
          <w:b/>
          <w:color w:val="82BF6A"/>
          <w:spacing w:val="-18"/>
          <w:sz w:val="32"/>
        </w:rPr>
        <w:t> </w:t>
      </w:r>
      <w:r>
        <w:rPr>
          <w:b/>
          <w:color w:val="82BF6A"/>
          <w:spacing w:val="-4"/>
          <w:sz w:val="32"/>
        </w:rPr>
        <w:t>PREVENT </w:t>
      </w:r>
      <w:r>
        <w:rPr>
          <w:b/>
          <w:color w:val="82BF6A"/>
          <w:sz w:val="32"/>
        </w:rPr>
        <w:t>MENTAL</w:t>
      </w:r>
      <w:r>
        <w:rPr>
          <w:b/>
          <w:color w:val="82BF6A"/>
          <w:spacing w:val="-23"/>
          <w:sz w:val="32"/>
        </w:rPr>
        <w:t> </w:t>
      </w:r>
      <w:r>
        <w:rPr>
          <w:b/>
          <w:color w:val="82BF6A"/>
          <w:sz w:val="32"/>
        </w:rPr>
        <w:t>AND</w:t>
      </w:r>
      <w:r>
        <w:rPr>
          <w:b/>
          <w:color w:val="82BF6A"/>
          <w:spacing w:val="-22"/>
          <w:sz w:val="32"/>
        </w:rPr>
        <w:t> </w:t>
      </w:r>
      <w:r>
        <w:rPr>
          <w:b/>
          <w:color w:val="82BF6A"/>
          <w:sz w:val="32"/>
        </w:rPr>
        <w:t>SUBSTANCE</w:t>
      </w:r>
      <w:r>
        <w:rPr>
          <w:b/>
          <w:color w:val="82BF6A"/>
          <w:spacing w:val="-22"/>
          <w:sz w:val="32"/>
        </w:rPr>
        <w:t> </w:t>
      </w:r>
      <w:r>
        <w:rPr>
          <w:b/>
          <w:color w:val="82BF6A"/>
          <w:sz w:val="32"/>
        </w:rPr>
        <w:t>USE</w:t>
      </w:r>
      <w:r>
        <w:rPr>
          <w:b/>
          <w:color w:val="82BF6A"/>
          <w:spacing w:val="-22"/>
          <w:sz w:val="32"/>
        </w:rPr>
        <w:t> </w:t>
      </w:r>
      <w:r>
        <w:rPr>
          <w:b/>
          <w:color w:val="82BF6A"/>
          <w:sz w:val="32"/>
        </w:rPr>
        <w:t>DISORDERS</w:t>
      </w:r>
    </w:p>
    <w:p>
      <w:pPr>
        <w:pStyle w:val="BodyText"/>
        <w:rPr>
          <w:b/>
          <w:sz w:val="20"/>
        </w:rPr>
      </w:pPr>
    </w:p>
    <w:p>
      <w:pPr>
        <w:pStyle w:val="BodyText"/>
        <w:spacing w:before="102"/>
        <w:rPr>
          <w:b/>
          <w:sz w:val="20"/>
        </w:rPr>
      </w:pPr>
    </w:p>
    <w:tbl>
      <w:tblPr>
        <w:tblW w:w="0" w:type="auto"/>
        <w:jc w:val="left"/>
        <w:tblInd w:w="1099"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1526"/>
        <w:gridCol w:w="1469"/>
        <w:gridCol w:w="951"/>
        <w:gridCol w:w="1354"/>
        <w:gridCol w:w="2016"/>
        <w:gridCol w:w="3841"/>
        <w:gridCol w:w="3229"/>
        <w:gridCol w:w="2365"/>
        <w:gridCol w:w="2372"/>
        <w:gridCol w:w="1638"/>
        <w:gridCol w:w="1550"/>
      </w:tblGrid>
      <w:tr>
        <w:trPr>
          <w:trHeight w:val="990" w:hRule="atLeast"/>
        </w:trPr>
        <w:tc>
          <w:tcPr>
            <w:tcW w:w="1526" w:type="dxa"/>
            <w:tcBorders>
              <w:right w:val="single" w:sz="4" w:space="0" w:color="FFFFFF"/>
            </w:tcBorders>
            <w:shd w:val="clear" w:color="auto" w:fill="939598"/>
          </w:tcPr>
          <w:p>
            <w:pPr>
              <w:pStyle w:val="TableParagraph"/>
              <w:spacing w:before="177"/>
              <w:rPr>
                <w:b/>
                <w:sz w:val="20"/>
              </w:rPr>
            </w:pPr>
          </w:p>
          <w:p>
            <w:pPr>
              <w:pStyle w:val="TableParagraph"/>
              <w:ind w:left="80"/>
              <w:rPr>
                <w:b/>
                <w:sz w:val="20"/>
              </w:rPr>
            </w:pPr>
            <w:r>
              <w:rPr>
                <w:b/>
                <w:color w:val="FFFFFF"/>
                <w:spacing w:val="-2"/>
                <w:sz w:val="20"/>
              </w:rPr>
              <w:t>Priority</w:t>
            </w:r>
          </w:p>
        </w:tc>
        <w:tc>
          <w:tcPr>
            <w:tcW w:w="1469" w:type="dxa"/>
            <w:tcBorders>
              <w:left w:val="single" w:sz="4" w:space="0" w:color="FFFFFF"/>
              <w:right w:val="single" w:sz="4" w:space="0" w:color="FFFFFF"/>
            </w:tcBorders>
            <w:shd w:val="clear" w:color="auto" w:fill="939598"/>
          </w:tcPr>
          <w:p>
            <w:pPr>
              <w:pStyle w:val="TableParagraph"/>
              <w:spacing w:before="177"/>
              <w:rPr>
                <w:b/>
                <w:sz w:val="20"/>
              </w:rPr>
            </w:pPr>
          </w:p>
          <w:p>
            <w:pPr>
              <w:pStyle w:val="TableParagraph"/>
              <w:ind w:left="80"/>
              <w:rPr>
                <w:b/>
                <w:sz w:val="20"/>
              </w:rPr>
            </w:pPr>
            <w:r>
              <w:rPr>
                <w:b/>
                <w:color w:val="FFFFFF"/>
                <w:w w:val="90"/>
                <w:sz w:val="20"/>
              </w:rPr>
              <w:t>Focus</w:t>
            </w:r>
            <w:r>
              <w:rPr>
                <w:b/>
                <w:color w:val="FFFFFF"/>
                <w:spacing w:val="8"/>
                <w:sz w:val="20"/>
              </w:rPr>
              <w:t> </w:t>
            </w:r>
            <w:r>
              <w:rPr>
                <w:b/>
                <w:color w:val="FFFFFF"/>
                <w:spacing w:val="-4"/>
                <w:sz w:val="20"/>
              </w:rPr>
              <w:t>Area</w:t>
            </w:r>
          </w:p>
        </w:tc>
        <w:tc>
          <w:tcPr>
            <w:tcW w:w="951" w:type="dxa"/>
            <w:tcBorders>
              <w:left w:val="single" w:sz="4" w:space="0" w:color="FFFFFF"/>
              <w:right w:val="single" w:sz="4" w:space="0" w:color="FFFFFF"/>
            </w:tcBorders>
            <w:shd w:val="clear" w:color="auto" w:fill="939598"/>
          </w:tcPr>
          <w:p>
            <w:pPr>
              <w:pStyle w:val="TableParagraph"/>
              <w:spacing w:before="177"/>
              <w:rPr>
                <w:b/>
                <w:sz w:val="20"/>
              </w:rPr>
            </w:pPr>
          </w:p>
          <w:p>
            <w:pPr>
              <w:pStyle w:val="TableParagraph"/>
              <w:ind w:left="79"/>
              <w:rPr>
                <w:b/>
                <w:sz w:val="20"/>
              </w:rPr>
            </w:pPr>
            <w:r>
              <w:rPr>
                <w:b/>
                <w:color w:val="FFFFFF"/>
                <w:spacing w:val="-4"/>
                <w:sz w:val="20"/>
              </w:rPr>
              <w:t>Goal</w:t>
            </w:r>
          </w:p>
        </w:tc>
        <w:tc>
          <w:tcPr>
            <w:tcW w:w="1354" w:type="dxa"/>
            <w:tcBorders>
              <w:left w:val="single" w:sz="4" w:space="0" w:color="FFFFFF"/>
              <w:right w:val="single" w:sz="4" w:space="0" w:color="FFFFFF"/>
            </w:tcBorders>
            <w:shd w:val="clear" w:color="auto" w:fill="939598"/>
          </w:tcPr>
          <w:p>
            <w:pPr>
              <w:pStyle w:val="TableParagraph"/>
              <w:spacing w:before="177"/>
              <w:rPr>
                <w:b/>
                <w:sz w:val="20"/>
              </w:rPr>
            </w:pPr>
          </w:p>
          <w:p>
            <w:pPr>
              <w:pStyle w:val="TableParagraph"/>
              <w:ind w:left="79"/>
              <w:rPr>
                <w:b/>
                <w:sz w:val="20"/>
              </w:rPr>
            </w:pPr>
            <w:r>
              <w:rPr>
                <w:b/>
                <w:color w:val="FFFFFF"/>
                <w:spacing w:val="-2"/>
                <w:sz w:val="20"/>
              </w:rPr>
              <w:t>Objectives</w:t>
            </w:r>
          </w:p>
        </w:tc>
        <w:tc>
          <w:tcPr>
            <w:tcW w:w="2016" w:type="dxa"/>
            <w:tcBorders>
              <w:left w:val="single" w:sz="4" w:space="0" w:color="FFFFFF"/>
              <w:right w:val="single" w:sz="4" w:space="0" w:color="FFFFFF"/>
            </w:tcBorders>
            <w:shd w:val="clear" w:color="auto" w:fill="939598"/>
          </w:tcPr>
          <w:p>
            <w:pPr>
              <w:pStyle w:val="TableParagraph"/>
              <w:spacing w:before="177"/>
              <w:rPr>
                <w:b/>
                <w:sz w:val="20"/>
              </w:rPr>
            </w:pPr>
          </w:p>
          <w:p>
            <w:pPr>
              <w:pStyle w:val="TableParagraph"/>
              <w:ind w:left="78"/>
              <w:rPr>
                <w:b/>
                <w:sz w:val="20"/>
              </w:rPr>
            </w:pPr>
            <w:r>
              <w:rPr>
                <w:b/>
                <w:color w:val="FFFFFF"/>
                <w:spacing w:val="-2"/>
                <w:sz w:val="20"/>
              </w:rPr>
              <w:t>Interventions</w:t>
            </w:r>
          </w:p>
        </w:tc>
        <w:tc>
          <w:tcPr>
            <w:tcW w:w="3841" w:type="dxa"/>
            <w:tcBorders>
              <w:left w:val="single" w:sz="4" w:space="0" w:color="FFFFFF"/>
              <w:right w:val="nil"/>
            </w:tcBorders>
            <w:shd w:val="clear" w:color="auto" w:fill="939598"/>
          </w:tcPr>
          <w:p>
            <w:pPr>
              <w:pStyle w:val="TableParagraph"/>
              <w:spacing w:before="177"/>
              <w:rPr>
                <w:b/>
                <w:sz w:val="20"/>
              </w:rPr>
            </w:pPr>
          </w:p>
          <w:p>
            <w:pPr>
              <w:pStyle w:val="TableParagraph"/>
              <w:ind w:left="88"/>
              <w:rPr>
                <w:b/>
                <w:sz w:val="20"/>
              </w:rPr>
            </w:pPr>
            <w:r>
              <w:rPr>
                <w:b/>
                <w:color w:val="FFFFFF"/>
                <w:sz w:val="20"/>
              </w:rPr>
              <w:t>Family</w:t>
            </w:r>
            <w:r>
              <w:rPr>
                <w:b/>
                <w:color w:val="FFFFFF"/>
                <w:spacing w:val="-12"/>
                <w:sz w:val="20"/>
              </w:rPr>
              <w:t> </w:t>
            </w:r>
            <w:r>
              <w:rPr>
                <w:b/>
                <w:color w:val="FFFFFF"/>
                <w:sz w:val="20"/>
              </w:rPr>
              <w:t>of</w:t>
            </w:r>
            <w:r>
              <w:rPr>
                <w:b/>
                <w:color w:val="FFFFFF"/>
                <w:spacing w:val="-12"/>
                <w:sz w:val="20"/>
              </w:rPr>
              <w:t> </w:t>
            </w:r>
            <w:r>
              <w:rPr>
                <w:b/>
                <w:color w:val="FFFFFF"/>
                <w:spacing w:val="-2"/>
                <w:sz w:val="20"/>
              </w:rPr>
              <w:t>Measures</w:t>
            </w:r>
          </w:p>
        </w:tc>
        <w:tc>
          <w:tcPr>
            <w:tcW w:w="3229" w:type="dxa"/>
            <w:tcBorders>
              <w:left w:val="nil"/>
              <w:right w:val="single" w:sz="4" w:space="0" w:color="FFFFFF"/>
            </w:tcBorders>
            <w:shd w:val="clear" w:color="auto" w:fill="939598"/>
          </w:tcPr>
          <w:p>
            <w:pPr>
              <w:pStyle w:val="TableParagraph"/>
              <w:spacing w:line="230" w:lineRule="auto" w:before="195"/>
              <w:ind w:left="1084" w:right="425"/>
              <w:rPr>
                <w:b/>
                <w:sz w:val="20"/>
              </w:rPr>
            </w:pPr>
            <w:r>
              <w:rPr>
                <w:b/>
                <w:color w:val="FFFFFF"/>
                <w:sz w:val="20"/>
              </w:rPr>
              <w:t>Projected (or completed)</w:t>
            </w:r>
            <w:r>
              <w:rPr>
                <w:b/>
                <w:color w:val="FFFFFF"/>
                <w:spacing w:val="-14"/>
                <w:sz w:val="20"/>
              </w:rPr>
              <w:t> </w:t>
            </w:r>
            <w:r>
              <w:rPr>
                <w:b/>
                <w:color w:val="FFFFFF"/>
                <w:sz w:val="20"/>
              </w:rPr>
              <w:t>Year</w:t>
            </w:r>
            <w:r>
              <w:rPr>
                <w:b/>
                <w:color w:val="FFFFFF"/>
                <w:spacing w:val="-14"/>
                <w:sz w:val="20"/>
              </w:rPr>
              <w:t> </w:t>
            </w:r>
            <w:r>
              <w:rPr>
                <w:b/>
                <w:color w:val="FFFFFF"/>
                <w:sz w:val="20"/>
              </w:rPr>
              <w:t>1</w:t>
            </w:r>
          </w:p>
          <w:p>
            <w:pPr>
              <w:pStyle w:val="TableParagraph"/>
              <w:spacing w:line="221" w:lineRule="exact"/>
              <w:ind w:left="1084"/>
              <w:rPr>
                <w:b/>
                <w:sz w:val="20"/>
              </w:rPr>
            </w:pPr>
            <w:r>
              <w:rPr>
                <w:b/>
                <w:color w:val="FFFFFF"/>
                <w:sz w:val="20"/>
              </w:rPr>
              <w:t>Intervention</w:t>
            </w:r>
            <w:r>
              <w:rPr>
                <w:b/>
                <w:color w:val="FFFFFF"/>
                <w:spacing w:val="-5"/>
                <w:sz w:val="20"/>
              </w:rPr>
              <w:t> </w:t>
            </w:r>
            <w:r>
              <w:rPr>
                <w:b/>
                <w:color w:val="FFFFFF"/>
                <w:sz w:val="20"/>
              </w:rPr>
              <w:t>-</w:t>
            </w:r>
            <w:r>
              <w:rPr>
                <w:b/>
                <w:color w:val="FFFFFF"/>
                <w:spacing w:val="-5"/>
                <w:sz w:val="20"/>
              </w:rPr>
              <w:t> </w:t>
            </w:r>
            <w:r>
              <w:rPr>
                <w:b/>
                <w:color w:val="FFFFFF"/>
                <w:spacing w:val="-4"/>
                <w:sz w:val="20"/>
              </w:rPr>
              <w:t>2019</w:t>
            </w:r>
          </w:p>
        </w:tc>
        <w:tc>
          <w:tcPr>
            <w:tcW w:w="2365" w:type="dxa"/>
            <w:tcBorders>
              <w:left w:val="single" w:sz="4" w:space="0" w:color="FFFFFF"/>
              <w:right w:val="single" w:sz="4" w:space="0" w:color="FFFFFF"/>
            </w:tcBorders>
            <w:shd w:val="clear" w:color="auto" w:fill="939598"/>
          </w:tcPr>
          <w:p>
            <w:pPr>
              <w:pStyle w:val="TableParagraph"/>
              <w:spacing w:before="74"/>
              <w:rPr>
                <w:b/>
                <w:sz w:val="20"/>
              </w:rPr>
            </w:pPr>
          </w:p>
          <w:p>
            <w:pPr>
              <w:pStyle w:val="TableParagraph"/>
              <w:spacing w:line="230" w:lineRule="auto" w:before="1"/>
              <w:ind w:left="79" w:right="968"/>
              <w:rPr>
                <w:b/>
                <w:sz w:val="20"/>
              </w:rPr>
            </w:pPr>
            <w:r>
              <w:rPr>
                <w:b/>
                <w:color w:val="FFFFFF"/>
                <w:spacing w:val="-2"/>
                <w:sz w:val="20"/>
              </w:rPr>
              <w:t>Projected </w:t>
            </w:r>
            <w:r>
              <w:rPr>
                <w:b/>
                <w:color w:val="FFFFFF"/>
                <w:sz w:val="20"/>
              </w:rPr>
              <w:t>Year</w:t>
            </w:r>
            <w:r>
              <w:rPr>
                <w:b/>
                <w:color w:val="FFFFFF"/>
                <w:spacing w:val="-7"/>
                <w:sz w:val="20"/>
              </w:rPr>
              <w:t> </w:t>
            </w:r>
            <w:r>
              <w:rPr>
                <w:b/>
                <w:color w:val="FFFFFF"/>
                <w:sz w:val="20"/>
              </w:rPr>
              <w:t>2</w:t>
            </w:r>
            <w:r>
              <w:rPr>
                <w:b/>
                <w:color w:val="FFFFFF"/>
                <w:spacing w:val="-7"/>
                <w:sz w:val="20"/>
              </w:rPr>
              <w:t> </w:t>
            </w:r>
            <w:r>
              <w:rPr>
                <w:b/>
                <w:color w:val="FFFFFF"/>
                <w:sz w:val="20"/>
              </w:rPr>
              <w:t>-</w:t>
            </w:r>
            <w:r>
              <w:rPr>
                <w:b/>
                <w:color w:val="FFFFFF"/>
                <w:spacing w:val="-7"/>
                <w:sz w:val="20"/>
              </w:rPr>
              <w:t> </w:t>
            </w:r>
            <w:r>
              <w:rPr>
                <w:b/>
                <w:color w:val="FFFFFF"/>
                <w:sz w:val="20"/>
              </w:rPr>
              <w:t>2020</w:t>
            </w:r>
          </w:p>
        </w:tc>
        <w:tc>
          <w:tcPr>
            <w:tcW w:w="2372" w:type="dxa"/>
            <w:tcBorders>
              <w:left w:val="single" w:sz="4" w:space="0" w:color="FFFFFF"/>
              <w:right w:val="single" w:sz="4" w:space="0" w:color="FFFFFF"/>
            </w:tcBorders>
            <w:shd w:val="clear" w:color="auto" w:fill="939598"/>
          </w:tcPr>
          <w:p>
            <w:pPr>
              <w:pStyle w:val="TableParagraph"/>
              <w:spacing w:line="225" w:lineRule="exact" w:before="187"/>
              <w:ind w:left="79"/>
              <w:rPr>
                <w:b/>
                <w:sz w:val="20"/>
              </w:rPr>
            </w:pPr>
            <w:r>
              <w:rPr>
                <w:b/>
                <w:color w:val="FFFFFF"/>
                <w:spacing w:val="-2"/>
                <w:sz w:val="20"/>
              </w:rPr>
              <w:t>Projected</w:t>
            </w:r>
          </w:p>
          <w:p>
            <w:pPr>
              <w:pStyle w:val="TableParagraph"/>
              <w:spacing w:line="230" w:lineRule="auto" w:before="3"/>
              <w:ind w:left="79"/>
              <w:rPr>
                <w:b/>
                <w:sz w:val="20"/>
              </w:rPr>
            </w:pPr>
            <w:r>
              <w:rPr>
                <w:b/>
                <w:color w:val="FFFFFF"/>
                <w:spacing w:val="-2"/>
                <w:sz w:val="20"/>
              </w:rPr>
              <w:t>Year</w:t>
            </w:r>
            <w:r>
              <w:rPr>
                <w:b/>
                <w:color w:val="FFFFFF"/>
                <w:spacing w:val="-12"/>
                <w:sz w:val="20"/>
              </w:rPr>
              <w:t> </w:t>
            </w:r>
            <w:r>
              <w:rPr>
                <w:b/>
                <w:color w:val="FFFFFF"/>
                <w:spacing w:val="-2"/>
                <w:sz w:val="20"/>
              </w:rPr>
              <w:t>3</w:t>
            </w:r>
            <w:r>
              <w:rPr>
                <w:b/>
                <w:color w:val="FFFFFF"/>
                <w:spacing w:val="-12"/>
                <w:sz w:val="20"/>
              </w:rPr>
              <w:t> </w:t>
            </w:r>
            <w:r>
              <w:rPr>
                <w:b/>
                <w:color w:val="FFFFFF"/>
                <w:spacing w:val="-2"/>
                <w:sz w:val="20"/>
              </w:rPr>
              <w:t>Interventions</w:t>
            </w:r>
            <w:r>
              <w:rPr>
                <w:b/>
                <w:color w:val="FFFFFF"/>
                <w:spacing w:val="-12"/>
                <w:sz w:val="20"/>
              </w:rPr>
              <w:t> </w:t>
            </w:r>
            <w:r>
              <w:rPr>
                <w:b/>
                <w:color w:val="FFFFFF"/>
                <w:spacing w:val="-2"/>
                <w:sz w:val="20"/>
              </w:rPr>
              <w:t>- </w:t>
            </w:r>
            <w:r>
              <w:rPr>
                <w:b/>
                <w:color w:val="FFFFFF"/>
                <w:spacing w:val="-4"/>
                <w:sz w:val="20"/>
              </w:rPr>
              <w:t>2021</w:t>
            </w:r>
          </w:p>
        </w:tc>
        <w:tc>
          <w:tcPr>
            <w:tcW w:w="1638" w:type="dxa"/>
            <w:tcBorders>
              <w:left w:val="single" w:sz="4" w:space="0" w:color="FFFFFF"/>
              <w:right w:val="single" w:sz="4" w:space="0" w:color="FFFFFF"/>
            </w:tcBorders>
            <w:shd w:val="clear" w:color="auto" w:fill="939598"/>
          </w:tcPr>
          <w:p>
            <w:pPr>
              <w:pStyle w:val="TableParagraph"/>
              <w:spacing w:before="74"/>
              <w:rPr>
                <w:b/>
                <w:sz w:val="20"/>
              </w:rPr>
            </w:pPr>
          </w:p>
          <w:p>
            <w:pPr>
              <w:pStyle w:val="TableParagraph"/>
              <w:spacing w:line="230" w:lineRule="auto" w:before="1"/>
              <w:ind w:left="79"/>
              <w:rPr>
                <w:b/>
                <w:sz w:val="20"/>
              </w:rPr>
            </w:pPr>
            <w:r>
              <w:rPr>
                <w:b/>
                <w:color w:val="FFFFFF"/>
                <w:spacing w:val="-2"/>
                <w:sz w:val="20"/>
              </w:rPr>
              <w:t>Implementation Partner</w:t>
            </w:r>
          </w:p>
        </w:tc>
        <w:tc>
          <w:tcPr>
            <w:tcW w:w="1550" w:type="dxa"/>
            <w:tcBorders>
              <w:left w:val="single" w:sz="4" w:space="0" w:color="FFFFFF"/>
              <w:right w:val="single" w:sz="4" w:space="0" w:color="FFFFFF"/>
            </w:tcBorders>
            <w:shd w:val="clear" w:color="auto" w:fill="939598"/>
          </w:tcPr>
          <w:p>
            <w:pPr>
              <w:pStyle w:val="TableParagraph"/>
              <w:spacing w:before="74"/>
              <w:rPr>
                <w:b/>
                <w:sz w:val="20"/>
              </w:rPr>
            </w:pPr>
          </w:p>
          <w:p>
            <w:pPr>
              <w:pStyle w:val="TableParagraph"/>
              <w:spacing w:line="230" w:lineRule="auto" w:before="1"/>
              <w:ind w:left="79"/>
              <w:rPr>
                <w:b/>
                <w:sz w:val="20"/>
              </w:rPr>
            </w:pPr>
            <w:r>
              <w:rPr>
                <w:b/>
                <w:color w:val="FFFFFF"/>
                <w:spacing w:val="-6"/>
                <w:sz w:val="20"/>
              </w:rPr>
              <w:t>Partner</w:t>
            </w:r>
            <w:r>
              <w:rPr>
                <w:b/>
                <w:color w:val="FFFFFF"/>
                <w:spacing w:val="-8"/>
                <w:sz w:val="20"/>
              </w:rPr>
              <w:t> </w:t>
            </w:r>
            <w:r>
              <w:rPr>
                <w:b/>
                <w:color w:val="FFFFFF"/>
                <w:spacing w:val="-6"/>
                <w:sz w:val="20"/>
              </w:rPr>
              <w:t>Role(s) </w:t>
            </w:r>
            <w:r>
              <w:rPr>
                <w:b/>
                <w:color w:val="FFFFFF"/>
                <w:sz w:val="20"/>
              </w:rPr>
              <w:t>and</w:t>
            </w:r>
            <w:r>
              <w:rPr>
                <w:b/>
                <w:color w:val="FFFFFF"/>
                <w:spacing w:val="-8"/>
                <w:sz w:val="20"/>
              </w:rPr>
              <w:t> Resources</w:t>
            </w:r>
          </w:p>
        </w:tc>
      </w:tr>
      <w:tr>
        <w:trPr>
          <w:trHeight w:val="2640" w:hRule="atLeast"/>
        </w:trPr>
        <w:tc>
          <w:tcPr>
            <w:tcW w:w="1526" w:type="dxa"/>
            <w:vMerge w:val="restart"/>
            <w:tcBorders>
              <w:bottom w:val="nil"/>
            </w:tcBorders>
            <w:shd w:val="clear" w:color="auto" w:fill="E6E7E8"/>
          </w:tcPr>
          <w:p>
            <w:pPr>
              <w:pStyle w:val="TableParagraph"/>
              <w:spacing w:line="203" w:lineRule="exact" w:before="96"/>
              <w:ind w:left="90"/>
              <w:rPr>
                <w:sz w:val="18"/>
              </w:rPr>
            </w:pPr>
            <w:r>
              <w:rPr>
                <w:color w:val="105C84"/>
                <w:spacing w:val="-2"/>
                <w:w w:val="105"/>
                <w:sz w:val="18"/>
              </w:rPr>
              <w:t>Promote</w:t>
            </w:r>
          </w:p>
          <w:p>
            <w:pPr>
              <w:pStyle w:val="TableParagraph"/>
              <w:spacing w:line="232" w:lineRule="auto" w:before="1"/>
              <w:ind w:left="90" w:right="167"/>
              <w:jc w:val="both"/>
              <w:rPr>
                <w:sz w:val="18"/>
              </w:rPr>
            </w:pPr>
            <w:r>
              <w:rPr>
                <w:color w:val="105C84"/>
                <w:sz w:val="18"/>
              </w:rPr>
              <w:t>Well-Being</w:t>
            </w:r>
            <w:r>
              <w:rPr>
                <w:color w:val="105C84"/>
                <w:spacing w:val="-2"/>
                <w:sz w:val="18"/>
              </w:rPr>
              <w:t> </w:t>
            </w:r>
            <w:r>
              <w:rPr>
                <w:color w:val="105C84"/>
                <w:sz w:val="18"/>
              </w:rPr>
              <w:t>and Prevent Mental and Substance Use Disorders</w:t>
            </w:r>
          </w:p>
        </w:tc>
        <w:tc>
          <w:tcPr>
            <w:tcW w:w="1469" w:type="dxa"/>
            <w:vMerge w:val="restart"/>
            <w:tcBorders>
              <w:bottom w:val="nil"/>
            </w:tcBorders>
          </w:tcPr>
          <w:p>
            <w:pPr>
              <w:pStyle w:val="TableParagraph"/>
              <w:spacing w:line="232" w:lineRule="auto" w:before="101"/>
              <w:ind w:left="90" w:right="151"/>
              <w:rPr>
                <w:sz w:val="18"/>
              </w:rPr>
            </w:pPr>
            <w:r>
              <w:rPr>
                <w:color w:val="105C84"/>
                <w:sz w:val="18"/>
              </w:rPr>
              <w:t>Focus Area 2: Prevent</w:t>
            </w:r>
            <w:r>
              <w:rPr>
                <w:color w:val="105C84"/>
                <w:spacing w:val="-13"/>
                <w:sz w:val="18"/>
              </w:rPr>
              <w:t> </w:t>
            </w:r>
            <w:r>
              <w:rPr>
                <w:color w:val="105C84"/>
                <w:sz w:val="18"/>
              </w:rPr>
              <w:t>Mental and</w:t>
            </w:r>
            <w:r>
              <w:rPr>
                <w:color w:val="105C84"/>
                <w:spacing w:val="-13"/>
                <w:sz w:val="18"/>
              </w:rPr>
              <w:t> </w:t>
            </w:r>
            <w:r>
              <w:rPr>
                <w:color w:val="105C84"/>
                <w:sz w:val="18"/>
              </w:rPr>
              <w:t>Substance </w:t>
            </w:r>
            <w:r>
              <w:rPr>
                <w:color w:val="105C84"/>
                <w:spacing w:val="-5"/>
                <w:sz w:val="18"/>
              </w:rPr>
              <w:t>User</w:t>
            </w:r>
            <w:r>
              <w:rPr>
                <w:color w:val="105C84"/>
                <w:spacing w:val="-7"/>
                <w:sz w:val="18"/>
              </w:rPr>
              <w:t> </w:t>
            </w:r>
            <w:r>
              <w:rPr>
                <w:color w:val="105C84"/>
                <w:spacing w:val="-2"/>
                <w:sz w:val="18"/>
              </w:rPr>
              <w:t>Disorders</w:t>
            </w:r>
          </w:p>
        </w:tc>
        <w:tc>
          <w:tcPr>
            <w:tcW w:w="951" w:type="dxa"/>
            <w:vMerge w:val="restart"/>
            <w:tcBorders>
              <w:bottom w:val="nil"/>
            </w:tcBorders>
          </w:tcPr>
          <w:p>
            <w:pPr>
              <w:pStyle w:val="TableParagraph"/>
              <w:spacing w:line="232" w:lineRule="auto" w:before="101"/>
              <w:ind w:left="89" w:right="128"/>
              <w:rPr>
                <w:sz w:val="18"/>
              </w:rPr>
            </w:pPr>
            <w:r>
              <w:rPr>
                <w:color w:val="105C84"/>
                <w:spacing w:val="-2"/>
                <w:sz w:val="18"/>
              </w:rPr>
              <w:t>Goal</w:t>
            </w:r>
            <w:r>
              <w:rPr>
                <w:color w:val="105C84"/>
                <w:spacing w:val="-11"/>
                <w:sz w:val="18"/>
              </w:rPr>
              <w:t> </w:t>
            </w:r>
            <w:r>
              <w:rPr>
                <w:color w:val="105C84"/>
                <w:spacing w:val="-2"/>
                <w:sz w:val="18"/>
              </w:rPr>
              <w:t>2.5: Prevent suicides</w:t>
            </w:r>
          </w:p>
        </w:tc>
        <w:tc>
          <w:tcPr>
            <w:tcW w:w="1354" w:type="dxa"/>
            <w:vMerge w:val="restart"/>
            <w:tcBorders>
              <w:bottom w:val="nil"/>
            </w:tcBorders>
          </w:tcPr>
          <w:p>
            <w:pPr>
              <w:pStyle w:val="TableParagraph"/>
              <w:spacing w:line="232" w:lineRule="auto" w:before="101"/>
              <w:ind w:left="89" w:right="180"/>
              <w:rPr>
                <w:sz w:val="18"/>
              </w:rPr>
            </w:pPr>
            <w:r>
              <w:rPr>
                <w:color w:val="105C84"/>
                <w:spacing w:val="-2"/>
                <w:sz w:val="18"/>
              </w:rPr>
              <w:t>2.5.2</w:t>
            </w:r>
            <w:r>
              <w:rPr>
                <w:color w:val="105C84"/>
                <w:spacing w:val="-11"/>
                <w:sz w:val="18"/>
              </w:rPr>
              <w:t> </w:t>
            </w:r>
            <w:r>
              <w:rPr>
                <w:color w:val="105C84"/>
                <w:spacing w:val="-2"/>
                <w:sz w:val="18"/>
              </w:rPr>
              <w:t>Reduce </w:t>
            </w:r>
            <w:r>
              <w:rPr>
                <w:color w:val="105C84"/>
                <w:w w:val="105"/>
                <w:sz w:val="18"/>
              </w:rPr>
              <w:t>the</w:t>
            </w:r>
            <w:r>
              <w:rPr>
                <w:color w:val="105C84"/>
                <w:spacing w:val="-1"/>
                <w:w w:val="105"/>
                <w:sz w:val="18"/>
              </w:rPr>
              <w:t> </w:t>
            </w:r>
            <w:r>
              <w:rPr>
                <w:color w:val="105C84"/>
                <w:w w:val="105"/>
                <w:sz w:val="18"/>
              </w:rPr>
              <w:t>age-</w:t>
            </w:r>
            <w:r>
              <w:rPr>
                <w:color w:val="105C84"/>
                <w:spacing w:val="-2"/>
                <w:w w:val="105"/>
                <w:sz w:val="18"/>
              </w:rPr>
              <w:t>adjusted suicide mortality</w:t>
            </w:r>
            <w:r>
              <w:rPr>
                <w:color w:val="105C84"/>
                <w:spacing w:val="-12"/>
                <w:w w:val="105"/>
                <w:sz w:val="18"/>
              </w:rPr>
              <w:t> </w:t>
            </w:r>
            <w:r>
              <w:rPr>
                <w:color w:val="105C84"/>
                <w:spacing w:val="-2"/>
                <w:w w:val="105"/>
                <w:sz w:val="18"/>
              </w:rPr>
              <w:t>rat</w:t>
            </w:r>
            <w:r>
              <w:rPr>
                <w:color w:val="105C84"/>
                <w:spacing w:val="-2"/>
                <w:w w:val="105"/>
                <w:sz w:val="18"/>
              </w:rPr>
              <w:t>e</w:t>
            </w:r>
            <w:r>
              <w:rPr>
                <w:color w:val="105C84"/>
                <w:spacing w:val="-2"/>
                <w:w w:val="105"/>
                <w:sz w:val="18"/>
              </w:rPr>
              <w:t> </w:t>
            </w:r>
            <w:r>
              <w:rPr>
                <w:color w:val="105C84"/>
                <w:w w:val="105"/>
                <w:sz w:val="18"/>
              </w:rPr>
              <w:t>by 10% to 7</w:t>
            </w:r>
          </w:p>
          <w:p>
            <w:pPr>
              <w:pStyle w:val="TableParagraph"/>
              <w:spacing w:line="197" w:lineRule="exact"/>
              <w:ind w:left="89"/>
              <w:rPr>
                <w:sz w:val="18"/>
              </w:rPr>
            </w:pPr>
            <w:r>
              <w:rPr>
                <w:color w:val="105C84"/>
                <w:sz w:val="18"/>
              </w:rPr>
              <w:t>per</w:t>
            </w:r>
            <w:r>
              <w:rPr>
                <w:color w:val="105C84"/>
                <w:spacing w:val="3"/>
                <w:sz w:val="18"/>
              </w:rPr>
              <w:t> </w:t>
            </w:r>
            <w:r>
              <w:rPr>
                <w:color w:val="105C84"/>
                <w:spacing w:val="-2"/>
                <w:sz w:val="18"/>
              </w:rPr>
              <w:t>100,000</w:t>
            </w:r>
          </w:p>
        </w:tc>
        <w:tc>
          <w:tcPr>
            <w:tcW w:w="2016" w:type="dxa"/>
            <w:vMerge w:val="restart"/>
            <w:tcBorders>
              <w:bottom w:val="nil"/>
            </w:tcBorders>
          </w:tcPr>
          <w:p>
            <w:pPr>
              <w:pStyle w:val="TableParagraph"/>
              <w:spacing w:line="232" w:lineRule="auto" w:before="101"/>
              <w:ind w:left="88" w:right="217"/>
              <w:rPr>
                <w:sz w:val="18"/>
              </w:rPr>
            </w:pPr>
            <w:r>
              <w:rPr>
                <w:color w:val="105C84"/>
                <w:sz w:val="18"/>
              </w:rPr>
              <w:t>2.5.4 Identify and support people </w:t>
            </w:r>
            <w:r>
              <w:rPr>
                <w:color w:val="105C84"/>
                <w:sz w:val="18"/>
              </w:rPr>
              <w:t>at</w:t>
            </w:r>
            <w:r>
              <w:rPr>
                <w:color w:val="105C84"/>
                <w:sz w:val="18"/>
              </w:rPr>
              <w:t> risk: Gatekeeper training, crisis</w:t>
            </w:r>
          </w:p>
          <w:p>
            <w:pPr>
              <w:pStyle w:val="TableParagraph"/>
              <w:spacing w:line="232" w:lineRule="auto"/>
              <w:ind w:left="88" w:right="6"/>
              <w:rPr>
                <w:sz w:val="18"/>
              </w:rPr>
            </w:pPr>
            <w:r>
              <w:rPr>
                <w:color w:val="105C84"/>
                <w:sz w:val="18"/>
              </w:rPr>
              <w:t>intervention, </w:t>
            </w:r>
            <w:r>
              <w:rPr>
                <w:color w:val="105C84"/>
                <w:sz w:val="18"/>
              </w:rPr>
              <w:t>treatment for people at risk of suicide, treatment to prevent re-attempts, postvention, safe reporting and messaging about </w:t>
            </w:r>
            <w:r>
              <w:rPr>
                <w:color w:val="105C84"/>
                <w:spacing w:val="-2"/>
                <w:sz w:val="18"/>
              </w:rPr>
              <w:t>suicides</w:t>
            </w:r>
          </w:p>
        </w:tc>
        <w:tc>
          <w:tcPr>
            <w:tcW w:w="3841" w:type="dxa"/>
            <w:vMerge w:val="restart"/>
            <w:tcBorders>
              <w:bottom w:val="nil"/>
              <w:right w:val="nil"/>
            </w:tcBorders>
          </w:tcPr>
          <w:p>
            <w:pPr>
              <w:pStyle w:val="TableParagraph"/>
              <w:spacing w:line="232" w:lineRule="auto" w:before="101"/>
              <w:ind w:left="88" w:right="996"/>
              <w:rPr>
                <w:sz w:val="18"/>
              </w:rPr>
            </w:pPr>
            <w:r>
              <w:rPr>
                <w:color w:val="105C84"/>
                <w:sz w:val="18"/>
              </w:rPr>
              <w:t>Proportion who felt comfortable applying suicide prevention skills, active listening, problem-solving, anger management, and stress management skills to identify and refer individuals at risk for suicide to appropriate care; Proportion who were knowledgeable about the</w:t>
            </w:r>
            <w:r>
              <w:rPr>
                <w:color w:val="105C84"/>
                <w:spacing w:val="-9"/>
                <w:sz w:val="18"/>
              </w:rPr>
              <w:t> </w:t>
            </w:r>
            <w:r>
              <w:rPr>
                <w:color w:val="105C84"/>
                <w:sz w:val="18"/>
              </w:rPr>
              <w:t>signs</w:t>
            </w:r>
            <w:r>
              <w:rPr>
                <w:color w:val="105C84"/>
                <w:spacing w:val="-9"/>
                <w:sz w:val="18"/>
              </w:rPr>
              <w:t> </w:t>
            </w:r>
            <w:r>
              <w:rPr>
                <w:color w:val="105C84"/>
                <w:sz w:val="18"/>
              </w:rPr>
              <w:t>and</w:t>
            </w:r>
            <w:r>
              <w:rPr>
                <w:color w:val="105C84"/>
                <w:spacing w:val="-9"/>
                <w:sz w:val="18"/>
              </w:rPr>
              <w:t> </w:t>
            </w:r>
            <w:r>
              <w:rPr>
                <w:color w:val="105C84"/>
                <w:sz w:val="18"/>
              </w:rPr>
              <w:t>symptoms</w:t>
            </w:r>
            <w:r>
              <w:rPr>
                <w:color w:val="105C84"/>
                <w:spacing w:val="-9"/>
                <w:sz w:val="18"/>
              </w:rPr>
              <w:t> </w:t>
            </w:r>
            <w:r>
              <w:rPr>
                <w:color w:val="105C84"/>
                <w:sz w:val="18"/>
              </w:rPr>
              <w:t>of</w:t>
            </w:r>
            <w:r>
              <w:rPr>
                <w:color w:val="105C84"/>
                <w:spacing w:val="-9"/>
                <w:sz w:val="18"/>
              </w:rPr>
              <w:t> </w:t>
            </w:r>
            <w:r>
              <w:rPr>
                <w:color w:val="105C84"/>
                <w:sz w:val="18"/>
              </w:rPr>
              <w:t>suicide as well as the mental health problems associated with</w:t>
            </w:r>
          </w:p>
          <w:p>
            <w:pPr>
              <w:pStyle w:val="TableParagraph"/>
              <w:spacing w:line="232" w:lineRule="auto"/>
              <w:ind w:left="88" w:right="1336"/>
              <w:rPr>
                <w:sz w:val="18"/>
              </w:rPr>
            </w:pPr>
            <w:r>
              <w:rPr>
                <w:color w:val="105C84"/>
                <w:spacing w:val="-2"/>
                <w:sz w:val="18"/>
              </w:rPr>
              <w:t>suicide,</w:t>
            </w:r>
            <w:r>
              <w:rPr>
                <w:color w:val="105C84"/>
                <w:spacing w:val="-11"/>
                <w:sz w:val="18"/>
              </w:rPr>
              <w:t> </w:t>
            </w:r>
            <w:r>
              <w:rPr>
                <w:color w:val="105C84"/>
                <w:spacing w:val="-2"/>
                <w:sz w:val="18"/>
              </w:rPr>
              <w:t>such</w:t>
            </w:r>
            <w:r>
              <w:rPr>
                <w:color w:val="105C84"/>
                <w:spacing w:val="-10"/>
                <w:sz w:val="18"/>
              </w:rPr>
              <w:t> </w:t>
            </w:r>
            <w:r>
              <w:rPr>
                <w:color w:val="105C84"/>
                <w:spacing w:val="-2"/>
                <w:sz w:val="18"/>
              </w:rPr>
              <w:t>as</w:t>
            </w:r>
            <w:r>
              <w:rPr>
                <w:color w:val="105C84"/>
                <w:spacing w:val="-11"/>
                <w:sz w:val="18"/>
              </w:rPr>
              <w:t> </w:t>
            </w:r>
            <w:r>
              <w:rPr>
                <w:color w:val="105C84"/>
                <w:spacing w:val="-2"/>
                <w:sz w:val="18"/>
              </w:rPr>
              <w:t>depression </w:t>
            </w:r>
            <w:r>
              <w:rPr>
                <w:color w:val="105C84"/>
                <w:sz w:val="18"/>
              </w:rPr>
              <w:t>and substance use</w:t>
            </w:r>
          </w:p>
        </w:tc>
        <w:tc>
          <w:tcPr>
            <w:tcW w:w="3229" w:type="dxa"/>
            <w:tcBorders>
              <w:left w:val="nil"/>
            </w:tcBorders>
          </w:tcPr>
          <w:p>
            <w:pPr>
              <w:pStyle w:val="TableParagraph"/>
              <w:spacing w:line="232" w:lineRule="auto" w:before="100"/>
              <w:ind w:left="1084" w:right="184"/>
              <w:rPr>
                <w:sz w:val="18"/>
              </w:rPr>
            </w:pPr>
            <w:r>
              <w:rPr>
                <w:color w:val="105C84"/>
                <w:sz w:val="18"/>
              </w:rPr>
              <w:t>Identifying need for mental health crisis training for staff at Schuyler</w:t>
            </w:r>
            <w:r>
              <w:rPr>
                <w:color w:val="105C84"/>
                <w:spacing w:val="-9"/>
                <w:sz w:val="18"/>
              </w:rPr>
              <w:t> </w:t>
            </w:r>
            <w:r>
              <w:rPr>
                <w:color w:val="105C84"/>
                <w:sz w:val="18"/>
              </w:rPr>
              <w:t>Primary</w:t>
            </w:r>
            <w:r>
              <w:rPr>
                <w:color w:val="105C84"/>
                <w:spacing w:val="-9"/>
                <w:sz w:val="18"/>
              </w:rPr>
              <w:t> </w:t>
            </w:r>
            <w:r>
              <w:rPr>
                <w:color w:val="105C84"/>
                <w:sz w:val="18"/>
              </w:rPr>
              <w:t>Care, </w:t>
            </w:r>
            <w:r>
              <w:rPr>
                <w:color w:val="105C84"/>
                <w:spacing w:val="-2"/>
                <w:sz w:val="18"/>
              </w:rPr>
              <w:t>Schuyler</w:t>
            </w:r>
            <w:r>
              <w:rPr>
                <w:color w:val="105C84"/>
                <w:spacing w:val="-13"/>
                <w:sz w:val="18"/>
              </w:rPr>
              <w:t> </w:t>
            </w:r>
            <w:r>
              <w:rPr>
                <w:color w:val="105C84"/>
                <w:spacing w:val="-2"/>
                <w:sz w:val="18"/>
              </w:rPr>
              <w:t>Hospital</w:t>
            </w:r>
            <w:r>
              <w:rPr>
                <w:color w:val="105C84"/>
                <w:spacing w:val="-10"/>
                <w:sz w:val="18"/>
              </w:rPr>
              <w:t> </w:t>
            </w:r>
            <w:r>
              <w:rPr>
                <w:color w:val="105C84"/>
                <w:spacing w:val="-2"/>
                <w:sz w:val="18"/>
              </w:rPr>
              <w:t>social </w:t>
            </w:r>
            <w:r>
              <w:rPr>
                <w:color w:val="105C84"/>
                <w:sz w:val="18"/>
              </w:rPr>
              <w:t>workers and Schuyler Emergency Providers</w:t>
            </w:r>
          </w:p>
        </w:tc>
        <w:tc>
          <w:tcPr>
            <w:tcW w:w="2365" w:type="dxa"/>
          </w:tcPr>
          <w:p>
            <w:pPr>
              <w:pStyle w:val="TableParagraph"/>
              <w:spacing w:line="232" w:lineRule="auto" w:before="100"/>
              <w:ind w:left="89" w:right="174"/>
              <w:rPr>
                <w:sz w:val="18"/>
              </w:rPr>
            </w:pPr>
            <w:r>
              <w:rPr>
                <w:color w:val="105C84"/>
                <w:sz w:val="18"/>
              </w:rPr>
              <w:t>Identify specific trainings to</w:t>
            </w:r>
            <w:r>
              <w:rPr>
                <w:color w:val="105C84"/>
                <w:spacing w:val="-1"/>
                <w:sz w:val="18"/>
              </w:rPr>
              <w:t> </w:t>
            </w:r>
            <w:r>
              <w:rPr>
                <w:color w:val="105C84"/>
                <w:sz w:val="18"/>
              </w:rPr>
              <w:t>complete</w:t>
            </w:r>
            <w:r>
              <w:rPr>
                <w:color w:val="105C84"/>
                <w:spacing w:val="-1"/>
                <w:sz w:val="18"/>
              </w:rPr>
              <w:t> </w:t>
            </w:r>
            <w:r>
              <w:rPr>
                <w:color w:val="105C84"/>
                <w:sz w:val="18"/>
              </w:rPr>
              <w:t>(for</w:t>
            </w:r>
            <w:r>
              <w:rPr>
                <w:color w:val="105C84"/>
                <w:spacing w:val="-1"/>
                <w:sz w:val="18"/>
              </w:rPr>
              <w:t> </w:t>
            </w:r>
            <w:r>
              <w:rPr>
                <w:color w:val="105C84"/>
                <w:sz w:val="18"/>
              </w:rPr>
              <w:t>example, Mental Health First Aid or </w:t>
            </w:r>
            <w:r>
              <w:rPr>
                <w:color w:val="105C84"/>
                <w:spacing w:val="-4"/>
                <w:sz w:val="18"/>
              </w:rPr>
              <w:t>QPR)</w:t>
            </w:r>
          </w:p>
          <w:p>
            <w:pPr>
              <w:pStyle w:val="TableParagraph"/>
              <w:spacing w:line="232" w:lineRule="auto" w:before="87"/>
              <w:ind w:left="89" w:right="78"/>
              <w:rPr>
                <w:sz w:val="18"/>
              </w:rPr>
            </w:pPr>
            <w:r>
              <w:rPr>
                <w:color w:val="105C84"/>
                <w:sz w:val="18"/>
              </w:rPr>
              <w:t>Identify additional resources</w:t>
            </w:r>
            <w:r>
              <w:rPr>
                <w:color w:val="105C84"/>
                <w:spacing w:val="-13"/>
                <w:sz w:val="18"/>
              </w:rPr>
              <w:t> </w:t>
            </w:r>
            <w:r>
              <w:rPr>
                <w:color w:val="105C84"/>
                <w:sz w:val="18"/>
              </w:rPr>
              <w:t>in</w:t>
            </w:r>
            <w:r>
              <w:rPr>
                <w:color w:val="105C84"/>
                <w:spacing w:val="-12"/>
                <w:sz w:val="18"/>
              </w:rPr>
              <w:t> </w:t>
            </w:r>
            <w:r>
              <w:rPr>
                <w:color w:val="105C84"/>
                <w:sz w:val="18"/>
              </w:rPr>
              <w:t>the</w:t>
            </w:r>
            <w:r>
              <w:rPr>
                <w:color w:val="105C84"/>
                <w:spacing w:val="-13"/>
                <w:sz w:val="18"/>
              </w:rPr>
              <w:t> </w:t>
            </w:r>
            <w:r>
              <w:rPr>
                <w:color w:val="105C84"/>
                <w:sz w:val="18"/>
              </w:rPr>
              <w:t>community that can be used during crisis interventions</w:t>
            </w:r>
          </w:p>
        </w:tc>
        <w:tc>
          <w:tcPr>
            <w:tcW w:w="2372" w:type="dxa"/>
          </w:tcPr>
          <w:p>
            <w:pPr>
              <w:pStyle w:val="TableParagraph"/>
              <w:spacing w:line="232" w:lineRule="auto" w:before="100"/>
              <w:ind w:left="89"/>
              <w:rPr>
                <w:sz w:val="18"/>
              </w:rPr>
            </w:pPr>
            <w:r>
              <w:rPr>
                <w:color w:val="105C84"/>
                <w:sz w:val="18"/>
              </w:rPr>
              <w:t>Finalize and implement written protocol for </w:t>
            </w:r>
            <w:r>
              <w:rPr>
                <w:color w:val="105C84"/>
                <w:sz w:val="18"/>
              </w:rPr>
              <w:t>mental health first aid in Schuyler Primary Care Center</w:t>
            </w:r>
          </w:p>
          <w:p>
            <w:pPr>
              <w:pStyle w:val="TableParagraph"/>
              <w:spacing w:line="232" w:lineRule="auto" w:before="87"/>
              <w:ind w:left="89" w:right="73"/>
              <w:rPr>
                <w:sz w:val="18"/>
              </w:rPr>
            </w:pPr>
            <w:r>
              <w:rPr>
                <w:color w:val="105C84"/>
                <w:sz w:val="18"/>
              </w:rPr>
              <w:t>Review and revise written protocols</w:t>
            </w:r>
            <w:r>
              <w:rPr>
                <w:color w:val="105C84"/>
                <w:spacing w:val="-10"/>
                <w:sz w:val="18"/>
              </w:rPr>
              <w:t> </w:t>
            </w:r>
            <w:r>
              <w:rPr>
                <w:color w:val="105C84"/>
                <w:sz w:val="18"/>
              </w:rPr>
              <w:t>in</w:t>
            </w:r>
            <w:r>
              <w:rPr>
                <w:color w:val="105C84"/>
                <w:spacing w:val="-10"/>
                <w:sz w:val="18"/>
              </w:rPr>
              <w:t> </w:t>
            </w:r>
            <w:r>
              <w:rPr>
                <w:color w:val="105C84"/>
                <w:sz w:val="18"/>
              </w:rPr>
              <w:t>the</w:t>
            </w:r>
            <w:r>
              <w:rPr>
                <w:color w:val="105C84"/>
                <w:spacing w:val="-10"/>
                <w:sz w:val="18"/>
              </w:rPr>
              <w:t> </w:t>
            </w:r>
            <w:r>
              <w:rPr>
                <w:color w:val="105C84"/>
                <w:sz w:val="18"/>
              </w:rPr>
              <w:t>Emergency Department regarding mental health first aid</w:t>
            </w:r>
          </w:p>
        </w:tc>
        <w:tc>
          <w:tcPr>
            <w:tcW w:w="1638" w:type="dxa"/>
          </w:tcPr>
          <w:p>
            <w:pPr>
              <w:pStyle w:val="TableParagraph"/>
              <w:spacing w:before="95"/>
              <w:ind w:left="89"/>
              <w:rPr>
                <w:sz w:val="18"/>
              </w:rPr>
            </w:pPr>
            <w:r>
              <w:rPr>
                <w:color w:val="105C84"/>
                <w:spacing w:val="-2"/>
                <w:sz w:val="18"/>
              </w:rPr>
              <w:t>Hospital</w:t>
            </w:r>
          </w:p>
        </w:tc>
        <w:tc>
          <w:tcPr>
            <w:tcW w:w="1550" w:type="dxa"/>
          </w:tcPr>
          <w:p>
            <w:pPr>
              <w:pStyle w:val="TableParagraph"/>
              <w:spacing w:line="203" w:lineRule="exact" w:before="95"/>
              <w:ind w:left="89"/>
              <w:rPr>
                <w:sz w:val="18"/>
              </w:rPr>
            </w:pPr>
            <w:r>
              <w:rPr>
                <w:color w:val="105C84"/>
                <w:sz w:val="18"/>
              </w:rPr>
              <w:t>2%</w:t>
            </w:r>
            <w:r>
              <w:rPr>
                <w:color w:val="105C84"/>
                <w:spacing w:val="-10"/>
                <w:sz w:val="18"/>
              </w:rPr>
              <w:t> </w:t>
            </w:r>
            <w:r>
              <w:rPr>
                <w:color w:val="105C84"/>
                <w:sz w:val="18"/>
              </w:rPr>
              <w:t>of</w:t>
            </w:r>
            <w:r>
              <w:rPr>
                <w:color w:val="105C84"/>
                <w:spacing w:val="-10"/>
                <w:sz w:val="18"/>
              </w:rPr>
              <w:t> </w:t>
            </w:r>
            <w:r>
              <w:rPr>
                <w:color w:val="105C84"/>
                <w:spacing w:val="-5"/>
                <w:sz w:val="18"/>
              </w:rPr>
              <w:t>FTE</w:t>
            </w:r>
          </w:p>
          <w:p>
            <w:pPr>
              <w:pStyle w:val="TableParagraph"/>
              <w:spacing w:line="232" w:lineRule="auto" w:before="1"/>
              <w:ind w:left="89" w:right="129"/>
              <w:rPr>
                <w:sz w:val="18"/>
              </w:rPr>
            </w:pPr>
            <w:r>
              <w:rPr>
                <w:color w:val="105C84"/>
                <w:spacing w:val="-4"/>
                <w:sz w:val="18"/>
              </w:rPr>
              <w:t>Schuyler</w:t>
            </w:r>
            <w:r>
              <w:rPr>
                <w:color w:val="105C84"/>
                <w:spacing w:val="-9"/>
                <w:sz w:val="18"/>
              </w:rPr>
              <w:t> </w:t>
            </w:r>
            <w:r>
              <w:rPr>
                <w:color w:val="105C84"/>
                <w:spacing w:val="-4"/>
                <w:sz w:val="18"/>
              </w:rPr>
              <w:t>Primary </w:t>
            </w:r>
            <w:r>
              <w:rPr>
                <w:color w:val="105C84"/>
                <w:sz w:val="18"/>
              </w:rPr>
              <w:t>Care Center,</w:t>
            </w:r>
          </w:p>
          <w:p>
            <w:pPr>
              <w:pStyle w:val="TableParagraph"/>
              <w:spacing w:line="197" w:lineRule="exact"/>
              <w:ind w:left="89"/>
              <w:rPr>
                <w:sz w:val="18"/>
              </w:rPr>
            </w:pPr>
            <w:r>
              <w:rPr>
                <w:color w:val="105C84"/>
                <w:sz w:val="18"/>
              </w:rPr>
              <w:t>2%</w:t>
            </w:r>
            <w:r>
              <w:rPr>
                <w:color w:val="105C84"/>
                <w:spacing w:val="-10"/>
                <w:sz w:val="18"/>
              </w:rPr>
              <w:t> </w:t>
            </w:r>
            <w:r>
              <w:rPr>
                <w:color w:val="105C84"/>
                <w:sz w:val="18"/>
              </w:rPr>
              <w:t>of</w:t>
            </w:r>
            <w:r>
              <w:rPr>
                <w:color w:val="105C84"/>
                <w:spacing w:val="-10"/>
                <w:sz w:val="18"/>
              </w:rPr>
              <w:t> </w:t>
            </w:r>
            <w:r>
              <w:rPr>
                <w:color w:val="105C84"/>
                <w:spacing w:val="-5"/>
                <w:sz w:val="18"/>
              </w:rPr>
              <w:t>FTE</w:t>
            </w:r>
          </w:p>
          <w:p>
            <w:pPr>
              <w:pStyle w:val="TableParagraph"/>
              <w:spacing w:line="232" w:lineRule="auto" w:before="2"/>
              <w:ind w:left="89" w:right="503"/>
              <w:rPr>
                <w:sz w:val="18"/>
              </w:rPr>
            </w:pPr>
            <w:r>
              <w:rPr>
                <w:color w:val="105C84"/>
                <w:spacing w:val="-2"/>
                <w:sz w:val="18"/>
              </w:rPr>
              <w:t>for</w:t>
            </w:r>
            <w:r>
              <w:rPr>
                <w:color w:val="105C84"/>
                <w:spacing w:val="-11"/>
                <w:sz w:val="18"/>
              </w:rPr>
              <w:t> </w:t>
            </w:r>
            <w:r>
              <w:rPr>
                <w:color w:val="105C84"/>
                <w:spacing w:val="-2"/>
                <w:sz w:val="18"/>
              </w:rPr>
              <w:t>Schuyler Hospital</w:t>
            </w:r>
          </w:p>
        </w:tc>
      </w:tr>
      <w:tr>
        <w:trPr>
          <w:trHeight w:val="81" w:hRule="atLeast"/>
        </w:trPr>
        <w:tc>
          <w:tcPr>
            <w:tcW w:w="1526" w:type="dxa"/>
            <w:vMerge/>
            <w:tcBorders>
              <w:top w:val="nil"/>
              <w:bottom w:val="nil"/>
            </w:tcBorders>
            <w:shd w:val="clear" w:color="auto" w:fill="E6E7E8"/>
          </w:tcPr>
          <w:p>
            <w:pPr>
              <w:rPr>
                <w:sz w:val="2"/>
                <w:szCs w:val="2"/>
              </w:rPr>
            </w:pPr>
          </w:p>
        </w:tc>
        <w:tc>
          <w:tcPr>
            <w:tcW w:w="1469" w:type="dxa"/>
            <w:vMerge/>
            <w:tcBorders>
              <w:top w:val="nil"/>
              <w:bottom w:val="nil"/>
            </w:tcBorders>
          </w:tcPr>
          <w:p>
            <w:pPr>
              <w:rPr>
                <w:sz w:val="2"/>
                <w:szCs w:val="2"/>
              </w:rPr>
            </w:pPr>
          </w:p>
        </w:tc>
        <w:tc>
          <w:tcPr>
            <w:tcW w:w="951" w:type="dxa"/>
            <w:vMerge/>
            <w:tcBorders>
              <w:top w:val="nil"/>
              <w:bottom w:val="nil"/>
            </w:tcBorders>
          </w:tcPr>
          <w:p>
            <w:pPr>
              <w:rPr>
                <w:sz w:val="2"/>
                <w:szCs w:val="2"/>
              </w:rPr>
            </w:pPr>
          </w:p>
        </w:tc>
        <w:tc>
          <w:tcPr>
            <w:tcW w:w="1354" w:type="dxa"/>
            <w:vMerge/>
            <w:tcBorders>
              <w:top w:val="nil"/>
              <w:bottom w:val="nil"/>
            </w:tcBorders>
          </w:tcPr>
          <w:p>
            <w:pPr>
              <w:rPr>
                <w:sz w:val="2"/>
                <w:szCs w:val="2"/>
              </w:rPr>
            </w:pPr>
          </w:p>
        </w:tc>
        <w:tc>
          <w:tcPr>
            <w:tcW w:w="2016" w:type="dxa"/>
            <w:vMerge/>
            <w:tcBorders>
              <w:top w:val="nil"/>
              <w:bottom w:val="nil"/>
            </w:tcBorders>
          </w:tcPr>
          <w:p>
            <w:pPr>
              <w:rPr>
                <w:sz w:val="2"/>
                <w:szCs w:val="2"/>
              </w:rPr>
            </w:pPr>
          </w:p>
        </w:tc>
        <w:tc>
          <w:tcPr>
            <w:tcW w:w="3841" w:type="dxa"/>
            <w:vMerge/>
            <w:tcBorders>
              <w:top w:val="nil"/>
              <w:bottom w:val="nil"/>
              <w:right w:val="nil"/>
            </w:tcBorders>
          </w:tcPr>
          <w:p>
            <w:pPr>
              <w:rPr>
                <w:sz w:val="2"/>
                <w:szCs w:val="2"/>
              </w:rPr>
            </w:pPr>
          </w:p>
        </w:tc>
        <w:tc>
          <w:tcPr>
            <w:tcW w:w="3229" w:type="dxa"/>
            <w:tcBorders>
              <w:left w:val="nil"/>
              <w:bottom w:val="nil"/>
            </w:tcBorders>
          </w:tcPr>
          <w:p>
            <w:pPr>
              <w:pStyle w:val="TableParagraph"/>
              <w:rPr>
                <w:rFonts w:ascii="Times New Roman"/>
                <w:sz w:val="2"/>
              </w:rPr>
            </w:pPr>
          </w:p>
        </w:tc>
        <w:tc>
          <w:tcPr>
            <w:tcW w:w="2365" w:type="dxa"/>
            <w:tcBorders>
              <w:bottom w:val="nil"/>
            </w:tcBorders>
          </w:tcPr>
          <w:p>
            <w:pPr>
              <w:pStyle w:val="TableParagraph"/>
              <w:rPr>
                <w:rFonts w:ascii="Times New Roman"/>
                <w:sz w:val="2"/>
              </w:rPr>
            </w:pPr>
          </w:p>
        </w:tc>
        <w:tc>
          <w:tcPr>
            <w:tcW w:w="2372" w:type="dxa"/>
            <w:tcBorders>
              <w:bottom w:val="nil"/>
            </w:tcBorders>
          </w:tcPr>
          <w:p>
            <w:pPr>
              <w:pStyle w:val="TableParagraph"/>
              <w:rPr>
                <w:rFonts w:ascii="Times New Roman"/>
                <w:sz w:val="2"/>
              </w:rPr>
            </w:pPr>
          </w:p>
        </w:tc>
        <w:tc>
          <w:tcPr>
            <w:tcW w:w="1638" w:type="dxa"/>
            <w:tcBorders>
              <w:bottom w:val="nil"/>
            </w:tcBorders>
          </w:tcPr>
          <w:p>
            <w:pPr>
              <w:pStyle w:val="TableParagraph"/>
              <w:rPr>
                <w:rFonts w:ascii="Times New Roman"/>
                <w:sz w:val="2"/>
              </w:rPr>
            </w:pPr>
          </w:p>
        </w:tc>
        <w:tc>
          <w:tcPr>
            <w:tcW w:w="1550" w:type="dxa"/>
            <w:tcBorders>
              <w:bottom w:val="nil"/>
            </w:tcBorders>
          </w:tcPr>
          <w:p>
            <w:pPr>
              <w:pStyle w:val="TableParagraph"/>
              <w:rPr>
                <w:rFonts w:ascii="Times New Roman"/>
                <w:sz w:val="2"/>
              </w:rPr>
            </w:pPr>
          </w:p>
        </w:tc>
      </w:tr>
      <w:tr>
        <w:trPr>
          <w:trHeight w:val="3939" w:hRule="atLeast"/>
        </w:trPr>
        <w:tc>
          <w:tcPr>
            <w:tcW w:w="1526" w:type="dxa"/>
            <w:tcBorders>
              <w:top w:val="nil"/>
              <w:bottom w:val="nil"/>
            </w:tcBorders>
            <w:shd w:val="clear" w:color="auto" w:fill="E6E7E8"/>
          </w:tcPr>
          <w:p>
            <w:pPr>
              <w:pStyle w:val="TableParagraph"/>
              <w:rPr>
                <w:rFonts w:ascii="Times New Roman"/>
                <w:sz w:val="18"/>
              </w:rPr>
            </w:pPr>
          </w:p>
        </w:tc>
        <w:tc>
          <w:tcPr>
            <w:tcW w:w="1469" w:type="dxa"/>
            <w:tcBorders>
              <w:top w:val="nil"/>
              <w:bottom w:val="nil"/>
            </w:tcBorders>
          </w:tcPr>
          <w:p>
            <w:pPr>
              <w:pStyle w:val="TableParagraph"/>
              <w:rPr>
                <w:rFonts w:ascii="Times New Roman"/>
                <w:sz w:val="18"/>
              </w:rPr>
            </w:pPr>
          </w:p>
        </w:tc>
        <w:tc>
          <w:tcPr>
            <w:tcW w:w="951" w:type="dxa"/>
            <w:tcBorders>
              <w:top w:val="nil"/>
              <w:bottom w:val="nil"/>
            </w:tcBorders>
          </w:tcPr>
          <w:p>
            <w:pPr>
              <w:pStyle w:val="TableParagraph"/>
              <w:rPr>
                <w:rFonts w:ascii="Times New Roman"/>
                <w:sz w:val="18"/>
              </w:rPr>
            </w:pPr>
          </w:p>
        </w:tc>
        <w:tc>
          <w:tcPr>
            <w:tcW w:w="1354" w:type="dxa"/>
            <w:tcBorders>
              <w:top w:val="nil"/>
              <w:bottom w:val="nil"/>
            </w:tcBorders>
          </w:tcPr>
          <w:p>
            <w:pPr>
              <w:pStyle w:val="TableParagraph"/>
              <w:rPr>
                <w:rFonts w:ascii="Times New Roman"/>
                <w:sz w:val="18"/>
              </w:rPr>
            </w:pPr>
          </w:p>
        </w:tc>
        <w:tc>
          <w:tcPr>
            <w:tcW w:w="2016" w:type="dxa"/>
            <w:tcBorders>
              <w:top w:val="nil"/>
              <w:bottom w:val="nil"/>
            </w:tcBorders>
          </w:tcPr>
          <w:p>
            <w:pPr>
              <w:pStyle w:val="TableParagraph"/>
              <w:rPr>
                <w:rFonts w:ascii="Times New Roman"/>
                <w:sz w:val="18"/>
              </w:rPr>
            </w:pPr>
          </w:p>
        </w:tc>
        <w:tc>
          <w:tcPr>
            <w:tcW w:w="3841" w:type="dxa"/>
            <w:tcBorders>
              <w:top w:val="nil"/>
              <w:bottom w:val="nil"/>
              <w:right w:val="nil"/>
            </w:tcBorders>
          </w:tcPr>
          <w:p>
            <w:pPr>
              <w:pStyle w:val="TableParagraph"/>
              <w:rPr>
                <w:rFonts w:ascii="Times New Roman"/>
                <w:sz w:val="18"/>
              </w:rPr>
            </w:pPr>
          </w:p>
        </w:tc>
        <w:tc>
          <w:tcPr>
            <w:tcW w:w="3229" w:type="dxa"/>
            <w:tcBorders>
              <w:top w:val="nil"/>
              <w:left w:val="nil"/>
              <w:bottom w:val="nil"/>
            </w:tcBorders>
          </w:tcPr>
          <w:p>
            <w:pPr>
              <w:pStyle w:val="TableParagraph"/>
              <w:spacing w:line="232" w:lineRule="auto" w:before="18"/>
              <w:ind w:left="1084" w:right="90"/>
              <w:rPr>
                <w:sz w:val="18"/>
              </w:rPr>
            </w:pPr>
            <w:r>
              <w:rPr>
                <w:color w:val="105C84"/>
                <w:w w:val="105"/>
                <w:sz w:val="18"/>
              </w:rPr>
              <w:t>Continue to invest time in participating in local, regional and state wide </w:t>
            </w:r>
            <w:r>
              <w:rPr>
                <w:color w:val="105C84"/>
                <w:sz w:val="18"/>
              </w:rPr>
              <w:t>suicide</w:t>
            </w:r>
            <w:r>
              <w:rPr>
                <w:color w:val="105C84"/>
                <w:spacing w:val="-10"/>
                <w:sz w:val="18"/>
              </w:rPr>
              <w:t> </w:t>
            </w:r>
            <w:r>
              <w:rPr>
                <w:color w:val="105C84"/>
                <w:sz w:val="18"/>
              </w:rPr>
              <w:t>prevention</w:t>
            </w:r>
            <w:r>
              <w:rPr>
                <w:color w:val="105C84"/>
                <w:spacing w:val="-10"/>
                <w:sz w:val="18"/>
              </w:rPr>
              <w:t> </w:t>
            </w:r>
            <w:r>
              <w:rPr>
                <w:color w:val="105C84"/>
                <w:sz w:val="18"/>
              </w:rPr>
              <w:t>efforts </w:t>
            </w:r>
            <w:r>
              <w:rPr>
                <w:color w:val="105C84"/>
                <w:w w:val="105"/>
                <w:sz w:val="18"/>
              </w:rPr>
              <w:t>(e.g., SAFE, annual regional and statewide </w:t>
            </w:r>
            <w:r>
              <w:rPr>
                <w:color w:val="105C84"/>
                <w:spacing w:val="-2"/>
                <w:w w:val="105"/>
                <w:sz w:val="18"/>
              </w:rPr>
              <w:t>meetings)</w:t>
            </w:r>
          </w:p>
          <w:p>
            <w:pPr>
              <w:pStyle w:val="TableParagraph"/>
              <w:spacing w:line="232" w:lineRule="auto" w:before="85"/>
              <w:ind w:left="1084" w:right="463"/>
              <w:rPr>
                <w:sz w:val="18"/>
              </w:rPr>
            </w:pPr>
            <w:r>
              <w:rPr>
                <w:color w:val="105C84"/>
                <w:sz w:val="18"/>
              </w:rPr>
              <w:t>Identify and share resources and best practices</w:t>
            </w:r>
            <w:r>
              <w:rPr>
                <w:color w:val="105C84"/>
                <w:spacing w:val="-15"/>
                <w:sz w:val="18"/>
              </w:rPr>
              <w:t> </w:t>
            </w:r>
            <w:r>
              <w:rPr>
                <w:color w:val="105C84"/>
                <w:sz w:val="18"/>
              </w:rPr>
              <w:t>for</w:t>
            </w:r>
            <w:r>
              <w:rPr>
                <w:color w:val="105C84"/>
                <w:spacing w:val="-12"/>
                <w:sz w:val="18"/>
              </w:rPr>
              <w:t> </w:t>
            </w:r>
            <w:r>
              <w:rPr>
                <w:color w:val="105C84"/>
                <w:sz w:val="18"/>
              </w:rPr>
              <w:t>suicide </w:t>
            </w:r>
            <w:r>
              <w:rPr>
                <w:color w:val="105C84"/>
                <w:spacing w:val="-2"/>
                <w:sz w:val="18"/>
              </w:rPr>
              <w:t>prevention</w:t>
            </w:r>
          </w:p>
          <w:p>
            <w:pPr>
              <w:pStyle w:val="TableParagraph"/>
              <w:spacing w:line="232" w:lineRule="auto" w:before="87"/>
              <w:ind w:left="1084" w:right="86"/>
              <w:rPr>
                <w:sz w:val="18"/>
              </w:rPr>
            </w:pPr>
            <w:r>
              <w:rPr>
                <w:color w:val="105C84"/>
                <w:sz w:val="18"/>
              </w:rPr>
              <w:t>Collaborate with community</w:t>
            </w:r>
            <w:r>
              <w:rPr>
                <w:color w:val="105C84"/>
                <w:spacing w:val="-13"/>
                <w:sz w:val="18"/>
              </w:rPr>
              <w:t> </w:t>
            </w:r>
            <w:r>
              <w:rPr>
                <w:color w:val="105C84"/>
                <w:sz w:val="18"/>
              </w:rPr>
              <w:t>organizations to promote trainings</w:t>
            </w:r>
          </w:p>
          <w:p>
            <w:pPr>
              <w:pStyle w:val="TableParagraph"/>
              <w:spacing w:line="232" w:lineRule="auto" w:before="87"/>
              <w:ind w:left="1084" w:right="128"/>
              <w:rPr>
                <w:sz w:val="18"/>
              </w:rPr>
            </w:pPr>
            <w:r>
              <w:rPr>
                <w:color w:val="105C84"/>
                <w:sz w:val="18"/>
              </w:rPr>
              <w:t>Sharing information about resources in the community</w:t>
            </w:r>
            <w:r>
              <w:rPr>
                <w:color w:val="105C84"/>
                <w:spacing w:val="-5"/>
                <w:sz w:val="18"/>
              </w:rPr>
              <w:t> </w:t>
            </w:r>
            <w:r>
              <w:rPr>
                <w:color w:val="105C84"/>
                <w:sz w:val="18"/>
              </w:rPr>
              <w:t>about</w:t>
            </w:r>
            <w:r>
              <w:rPr>
                <w:color w:val="105C84"/>
                <w:spacing w:val="-5"/>
                <w:sz w:val="18"/>
              </w:rPr>
              <w:t> </w:t>
            </w:r>
            <w:r>
              <w:rPr>
                <w:color w:val="105C84"/>
                <w:sz w:val="18"/>
              </w:rPr>
              <w:t>suicide prevention resources</w:t>
            </w:r>
          </w:p>
        </w:tc>
        <w:tc>
          <w:tcPr>
            <w:tcW w:w="2365" w:type="dxa"/>
            <w:tcBorders>
              <w:top w:val="nil"/>
              <w:bottom w:val="nil"/>
            </w:tcBorders>
          </w:tcPr>
          <w:p>
            <w:pPr>
              <w:pStyle w:val="TableParagraph"/>
              <w:spacing w:line="232" w:lineRule="auto" w:before="18"/>
              <w:ind w:left="89" w:right="216"/>
              <w:rPr>
                <w:sz w:val="18"/>
              </w:rPr>
            </w:pPr>
            <w:r>
              <w:rPr>
                <w:color w:val="105C84"/>
                <w:w w:val="105"/>
                <w:sz w:val="18"/>
              </w:rPr>
              <w:t>Continue to invest time in participating in local, regional and state wide </w:t>
            </w:r>
            <w:r>
              <w:rPr>
                <w:color w:val="105C84"/>
                <w:sz w:val="18"/>
              </w:rPr>
              <w:t>suicide</w:t>
            </w:r>
            <w:r>
              <w:rPr>
                <w:color w:val="105C84"/>
                <w:spacing w:val="-9"/>
                <w:sz w:val="18"/>
              </w:rPr>
              <w:t> </w:t>
            </w:r>
            <w:r>
              <w:rPr>
                <w:color w:val="105C84"/>
                <w:sz w:val="18"/>
              </w:rPr>
              <w:t>prevention</w:t>
            </w:r>
            <w:r>
              <w:rPr>
                <w:color w:val="105C84"/>
                <w:spacing w:val="-9"/>
                <w:sz w:val="18"/>
              </w:rPr>
              <w:t> </w:t>
            </w:r>
            <w:r>
              <w:rPr>
                <w:color w:val="105C84"/>
                <w:sz w:val="18"/>
              </w:rPr>
              <w:t>efforts </w:t>
            </w:r>
            <w:r>
              <w:rPr>
                <w:color w:val="105C84"/>
                <w:w w:val="105"/>
                <w:sz w:val="18"/>
              </w:rPr>
              <w:t>(e.g., SAFE, annual regional and statewide </w:t>
            </w:r>
            <w:r>
              <w:rPr>
                <w:color w:val="105C84"/>
                <w:spacing w:val="-2"/>
                <w:w w:val="105"/>
                <w:sz w:val="18"/>
              </w:rPr>
              <w:t>meetings)</w:t>
            </w:r>
          </w:p>
          <w:p>
            <w:pPr>
              <w:pStyle w:val="TableParagraph"/>
              <w:spacing w:line="232" w:lineRule="auto" w:before="84"/>
              <w:ind w:left="89" w:right="174"/>
              <w:rPr>
                <w:sz w:val="18"/>
              </w:rPr>
            </w:pPr>
            <w:r>
              <w:rPr>
                <w:color w:val="105C84"/>
                <w:sz w:val="18"/>
              </w:rPr>
              <w:t>Identify and share resources and best practices</w:t>
            </w:r>
            <w:r>
              <w:rPr>
                <w:color w:val="105C84"/>
                <w:spacing w:val="-15"/>
                <w:sz w:val="18"/>
              </w:rPr>
              <w:t> </w:t>
            </w:r>
            <w:r>
              <w:rPr>
                <w:color w:val="105C84"/>
                <w:sz w:val="18"/>
              </w:rPr>
              <w:t>for</w:t>
            </w:r>
            <w:r>
              <w:rPr>
                <w:color w:val="105C84"/>
                <w:spacing w:val="-12"/>
                <w:sz w:val="18"/>
              </w:rPr>
              <w:t> </w:t>
            </w:r>
            <w:r>
              <w:rPr>
                <w:color w:val="105C84"/>
                <w:sz w:val="18"/>
              </w:rPr>
              <w:t>suicide </w:t>
            </w:r>
            <w:r>
              <w:rPr>
                <w:color w:val="105C84"/>
                <w:spacing w:val="-2"/>
                <w:sz w:val="18"/>
              </w:rPr>
              <w:t>prevention</w:t>
            </w:r>
          </w:p>
          <w:p>
            <w:pPr>
              <w:pStyle w:val="TableParagraph"/>
              <w:spacing w:line="232" w:lineRule="auto" w:before="87"/>
              <w:ind w:left="89" w:right="174"/>
              <w:rPr>
                <w:sz w:val="18"/>
              </w:rPr>
            </w:pPr>
            <w:r>
              <w:rPr>
                <w:color w:val="105C84"/>
                <w:w w:val="105"/>
                <w:sz w:val="18"/>
              </w:rPr>
              <w:t>Collaborate</w:t>
            </w:r>
            <w:r>
              <w:rPr>
                <w:color w:val="105C84"/>
                <w:spacing w:val="-1"/>
                <w:w w:val="105"/>
                <w:sz w:val="18"/>
              </w:rPr>
              <w:t> </w:t>
            </w:r>
            <w:r>
              <w:rPr>
                <w:color w:val="105C84"/>
                <w:w w:val="105"/>
                <w:sz w:val="18"/>
              </w:rPr>
              <w:t>with </w:t>
            </w:r>
            <w:r>
              <w:rPr>
                <w:color w:val="105C84"/>
                <w:sz w:val="18"/>
              </w:rPr>
              <w:t>community</w:t>
            </w:r>
            <w:r>
              <w:rPr>
                <w:color w:val="105C84"/>
                <w:spacing w:val="-13"/>
                <w:sz w:val="18"/>
              </w:rPr>
              <w:t> </w:t>
            </w:r>
            <w:r>
              <w:rPr>
                <w:color w:val="105C84"/>
                <w:sz w:val="18"/>
              </w:rPr>
              <w:t>organizations </w:t>
            </w:r>
            <w:r>
              <w:rPr>
                <w:color w:val="105C84"/>
                <w:w w:val="105"/>
                <w:sz w:val="18"/>
              </w:rPr>
              <w:t>to offer and promote </w:t>
            </w:r>
            <w:r>
              <w:rPr>
                <w:color w:val="105C84"/>
                <w:spacing w:val="-2"/>
                <w:w w:val="105"/>
                <w:sz w:val="18"/>
              </w:rPr>
              <w:t>trainings</w:t>
            </w:r>
          </w:p>
          <w:p>
            <w:pPr>
              <w:pStyle w:val="TableParagraph"/>
              <w:spacing w:line="232" w:lineRule="auto" w:before="87"/>
              <w:ind w:left="89" w:right="174"/>
              <w:rPr>
                <w:sz w:val="18"/>
              </w:rPr>
            </w:pPr>
            <w:r>
              <w:rPr>
                <w:color w:val="105C84"/>
                <w:sz w:val="18"/>
              </w:rPr>
              <w:t>Explore</w:t>
            </w:r>
            <w:r>
              <w:rPr>
                <w:color w:val="105C84"/>
                <w:spacing w:val="-15"/>
                <w:sz w:val="18"/>
              </w:rPr>
              <w:t> </w:t>
            </w:r>
            <w:r>
              <w:rPr>
                <w:color w:val="105C84"/>
                <w:sz w:val="18"/>
              </w:rPr>
              <w:t>means</w:t>
            </w:r>
            <w:r>
              <w:rPr>
                <w:color w:val="105C84"/>
                <w:spacing w:val="-12"/>
                <w:sz w:val="18"/>
              </w:rPr>
              <w:t> </w:t>
            </w:r>
            <w:r>
              <w:rPr>
                <w:color w:val="105C84"/>
                <w:sz w:val="18"/>
              </w:rPr>
              <w:t>reduction intervention for possible implementation in 2021</w:t>
            </w:r>
          </w:p>
        </w:tc>
        <w:tc>
          <w:tcPr>
            <w:tcW w:w="2372" w:type="dxa"/>
            <w:tcBorders>
              <w:top w:val="nil"/>
              <w:bottom w:val="nil"/>
            </w:tcBorders>
          </w:tcPr>
          <w:p>
            <w:pPr>
              <w:pStyle w:val="TableParagraph"/>
              <w:spacing w:line="232" w:lineRule="auto" w:before="18"/>
              <w:ind w:left="89" w:right="223"/>
              <w:rPr>
                <w:sz w:val="18"/>
              </w:rPr>
            </w:pPr>
            <w:r>
              <w:rPr>
                <w:color w:val="105C84"/>
                <w:w w:val="105"/>
                <w:sz w:val="18"/>
              </w:rPr>
              <w:t>Continue to invest time in participating in local, regional and state wide </w:t>
            </w:r>
            <w:r>
              <w:rPr>
                <w:color w:val="105C84"/>
                <w:sz w:val="18"/>
              </w:rPr>
              <w:t>suicide</w:t>
            </w:r>
            <w:r>
              <w:rPr>
                <w:color w:val="105C84"/>
                <w:spacing w:val="-9"/>
                <w:sz w:val="18"/>
              </w:rPr>
              <w:t> </w:t>
            </w:r>
            <w:r>
              <w:rPr>
                <w:color w:val="105C84"/>
                <w:sz w:val="18"/>
              </w:rPr>
              <w:t>prevention</w:t>
            </w:r>
            <w:r>
              <w:rPr>
                <w:color w:val="105C84"/>
                <w:spacing w:val="-9"/>
                <w:sz w:val="18"/>
              </w:rPr>
              <w:t> </w:t>
            </w:r>
            <w:r>
              <w:rPr>
                <w:color w:val="105C84"/>
                <w:sz w:val="18"/>
              </w:rPr>
              <w:t>efforts</w:t>
            </w:r>
          </w:p>
          <w:p>
            <w:pPr>
              <w:pStyle w:val="TableParagraph"/>
              <w:spacing w:line="232" w:lineRule="auto"/>
              <w:ind w:left="89" w:right="73"/>
              <w:rPr>
                <w:sz w:val="18"/>
              </w:rPr>
            </w:pPr>
            <w:r>
              <w:rPr>
                <w:color w:val="105C84"/>
                <w:spacing w:val="-2"/>
                <w:sz w:val="18"/>
              </w:rPr>
              <w:t>(e.g.,</w:t>
            </w:r>
            <w:r>
              <w:rPr>
                <w:color w:val="105C84"/>
                <w:spacing w:val="-11"/>
                <w:sz w:val="18"/>
              </w:rPr>
              <w:t> </w:t>
            </w:r>
            <w:r>
              <w:rPr>
                <w:color w:val="105C84"/>
                <w:spacing w:val="-2"/>
                <w:sz w:val="18"/>
              </w:rPr>
              <w:t>SAFE,</w:t>
            </w:r>
            <w:r>
              <w:rPr>
                <w:color w:val="105C84"/>
                <w:spacing w:val="-10"/>
                <w:sz w:val="18"/>
              </w:rPr>
              <w:t> </w:t>
            </w:r>
            <w:r>
              <w:rPr>
                <w:color w:val="105C84"/>
                <w:spacing w:val="-2"/>
                <w:sz w:val="18"/>
              </w:rPr>
              <w:t>annual</w:t>
            </w:r>
            <w:r>
              <w:rPr>
                <w:color w:val="105C84"/>
                <w:spacing w:val="-11"/>
                <w:sz w:val="18"/>
              </w:rPr>
              <w:t> </w:t>
            </w:r>
            <w:r>
              <w:rPr>
                <w:color w:val="105C84"/>
                <w:spacing w:val="-2"/>
                <w:sz w:val="18"/>
              </w:rPr>
              <w:t>regional </w:t>
            </w:r>
            <w:r>
              <w:rPr>
                <w:color w:val="105C84"/>
                <w:sz w:val="18"/>
              </w:rPr>
              <w:t>and statewide meetings)</w:t>
            </w:r>
          </w:p>
          <w:p>
            <w:pPr>
              <w:pStyle w:val="TableParagraph"/>
              <w:spacing w:line="232" w:lineRule="auto" w:before="85"/>
              <w:ind w:left="89" w:right="73"/>
              <w:rPr>
                <w:sz w:val="18"/>
              </w:rPr>
            </w:pPr>
            <w:r>
              <w:rPr>
                <w:color w:val="105C84"/>
                <w:sz w:val="18"/>
              </w:rPr>
              <w:t>Identify and share resources and best practices</w:t>
            </w:r>
            <w:r>
              <w:rPr>
                <w:color w:val="105C84"/>
                <w:spacing w:val="-15"/>
                <w:sz w:val="18"/>
              </w:rPr>
              <w:t> </w:t>
            </w:r>
            <w:r>
              <w:rPr>
                <w:color w:val="105C84"/>
                <w:sz w:val="18"/>
              </w:rPr>
              <w:t>for</w:t>
            </w:r>
            <w:r>
              <w:rPr>
                <w:color w:val="105C84"/>
                <w:spacing w:val="-12"/>
                <w:sz w:val="18"/>
              </w:rPr>
              <w:t> </w:t>
            </w:r>
            <w:r>
              <w:rPr>
                <w:color w:val="105C84"/>
                <w:sz w:val="18"/>
              </w:rPr>
              <w:t>suicide </w:t>
            </w:r>
            <w:r>
              <w:rPr>
                <w:color w:val="105C84"/>
                <w:spacing w:val="-2"/>
                <w:sz w:val="18"/>
              </w:rPr>
              <w:t>prevention</w:t>
            </w:r>
          </w:p>
          <w:p>
            <w:pPr>
              <w:pStyle w:val="TableParagraph"/>
              <w:spacing w:line="232" w:lineRule="auto" w:before="87"/>
              <w:ind w:left="89" w:right="223"/>
              <w:rPr>
                <w:sz w:val="18"/>
              </w:rPr>
            </w:pPr>
            <w:r>
              <w:rPr>
                <w:color w:val="105C84"/>
                <w:w w:val="105"/>
                <w:sz w:val="18"/>
              </w:rPr>
              <w:t>Collaborate</w:t>
            </w:r>
            <w:r>
              <w:rPr>
                <w:color w:val="105C84"/>
                <w:spacing w:val="-1"/>
                <w:w w:val="105"/>
                <w:sz w:val="18"/>
              </w:rPr>
              <w:t> </w:t>
            </w:r>
            <w:r>
              <w:rPr>
                <w:color w:val="105C84"/>
                <w:w w:val="105"/>
                <w:sz w:val="18"/>
              </w:rPr>
              <w:t>with </w:t>
            </w:r>
            <w:r>
              <w:rPr>
                <w:color w:val="105C84"/>
                <w:sz w:val="18"/>
              </w:rPr>
              <w:t>community</w:t>
            </w:r>
            <w:r>
              <w:rPr>
                <w:color w:val="105C84"/>
                <w:spacing w:val="-13"/>
                <w:sz w:val="18"/>
              </w:rPr>
              <w:t> </w:t>
            </w:r>
            <w:r>
              <w:rPr>
                <w:color w:val="105C84"/>
                <w:sz w:val="18"/>
              </w:rPr>
              <w:t>organizations </w:t>
            </w:r>
            <w:r>
              <w:rPr>
                <w:color w:val="105C84"/>
                <w:w w:val="105"/>
                <w:sz w:val="18"/>
              </w:rPr>
              <w:t>to offer and promote </w:t>
            </w:r>
            <w:r>
              <w:rPr>
                <w:color w:val="105C84"/>
                <w:spacing w:val="-2"/>
                <w:w w:val="105"/>
                <w:sz w:val="18"/>
              </w:rPr>
              <w:t>trainings</w:t>
            </w:r>
          </w:p>
          <w:p>
            <w:pPr>
              <w:pStyle w:val="TableParagraph"/>
              <w:spacing w:line="232" w:lineRule="auto" w:before="86"/>
              <w:ind w:left="89" w:right="73"/>
              <w:rPr>
                <w:sz w:val="18"/>
              </w:rPr>
            </w:pPr>
            <w:r>
              <w:rPr>
                <w:color w:val="105C84"/>
                <w:sz w:val="18"/>
              </w:rPr>
              <w:t>Potentially implement means reduction intervention depending </w:t>
            </w:r>
            <w:r>
              <w:rPr>
                <w:color w:val="105C84"/>
                <w:sz w:val="18"/>
              </w:rPr>
              <w:t>on 2020 findings</w:t>
            </w:r>
          </w:p>
        </w:tc>
        <w:tc>
          <w:tcPr>
            <w:tcW w:w="1638" w:type="dxa"/>
            <w:tcBorders>
              <w:top w:val="nil"/>
              <w:bottom w:val="nil"/>
            </w:tcBorders>
          </w:tcPr>
          <w:p>
            <w:pPr>
              <w:pStyle w:val="TableParagraph"/>
              <w:spacing w:line="232" w:lineRule="auto" w:before="17"/>
              <w:ind w:left="89"/>
              <w:rPr>
                <w:sz w:val="18"/>
              </w:rPr>
            </w:pPr>
            <w:r>
              <w:rPr>
                <w:color w:val="105C84"/>
                <w:spacing w:val="-2"/>
                <w:sz w:val="18"/>
              </w:rPr>
              <w:t>Local</w:t>
            </w:r>
            <w:r>
              <w:rPr>
                <w:color w:val="105C84"/>
                <w:spacing w:val="-11"/>
                <w:sz w:val="18"/>
              </w:rPr>
              <w:t> </w:t>
            </w:r>
            <w:r>
              <w:rPr>
                <w:color w:val="105C84"/>
                <w:spacing w:val="-2"/>
                <w:sz w:val="18"/>
              </w:rPr>
              <w:t>Health Department</w:t>
            </w:r>
          </w:p>
        </w:tc>
        <w:tc>
          <w:tcPr>
            <w:tcW w:w="1550" w:type="dxa"/>
            <w:tcBorders>
              <w:top w:val="nil"/>
              <w:bottom w:val="nil"/>
            </w:tcBorders>
          </w:tcPr>
          <w:p>
            <w:pPr>
              <w:pStyle w:val="TableParagraph"/>
              <w:spacing w:line="203" w:lineRule="exact" w:before="12"/>
              <w:ind w:left="89"/>
              <w:rPr>
                <w:sz w:val="18"/>
              </w:rPr>
            </w:pPr>
            <w:r>
              <w:rPr>
                <w:color w:val="105C84"/>
                <w:w w:val="90"/>
                <w:sz w:val="18"/>
              </w:rPr>
              <w:t>2%-4%</w:t>
            </w:r>
            <w:r>
              <w:rPr>
                <w:color w:val="105C84"/>
                <w:spacing w:val="13"/>
                <w:sz w:val="18"/>
              </w:rPr>
              <w:t> </w:t>
            </w:r>
            <w:r>
              <w:rPr>
                <w:color w:val="105C84"/>
                <w:spacing w:val="-5"/>
                <w:w w:val="90"/>
                <w:sz w:val="18"/>
              </w:rPr>
              <w:t>FTE</w:t>
            </w:r>
          </w:p>
          <w:p>
            <w:pPr>
              <w:pStyle w:val="TableParagraph"/>
              <w:spacing w:line="232" w:lineRule="auto" w:before="2"/>
              <w:ind w:left="89" w:right="383"/>
              <w:rPr>
                <w:sz w:val="18"/>
              </w:rPr>
            </w:pPr>
            <w:r>
              <w:rPr>
                <w:color w:val="105C84"/>
                <w:sz w:val="18"/>
              </w:rPr>
              <w:t>Public</w:t>
            </w:r>
            <w:r>
              <w:rPr>
                <w:color w:val="105C84"/>
                <w:spacing w:val="-13"/>
                <w:sz w:val="18"/>
              </w:rPr>
              <w:t> </w:t>
            </w:r>
            <w:r>
              <w:rPr>
                <w:color w:val="105C84"/>
                <w:sz w:val="18"/>
              </w:rPr>
              <w:t>Health </w:t>
            </w:r>
            <w:r>
              <w:rPr>
                <w:color w:val="105C84"/>
                <w:spacing w:val="-2"/>
                <w:sz w:val="18"/>
              </w:rPr>
              <w:t>Employee</w:t>
            </w:r>
          </w:p>
        </w:tc>
      </w:tr>
      <w:tr>
        <w:trPr>
          <w:trHeight w:val="978" w:hRule="atLeast"/>
        </w:trPr>
        <w:tc>
          <w:tcPr>
            <w:tcW w:w="1526" w:type="dxa"/>
            <w:tcBorders>
              <w:top w:val="nil"/>
            </w:tcBorders>
            <w:shd w:val="clear" w:color="auto" w:fill="E6E7E8"/>
          </w:tcPr>
          <w:p>
            <w:pPr>
              <w:pStyle w:val="TableParagraph"/>
              <w:rPr>
                <w:rFonts w:ascii="Times New Roman"/>
                <w:sz w:val="18"/>
              </w:rPr>
            </w:pPr>
          </w:p>
        </w:tc>
        <w:tc>
          <w:tcPr>
            <w:tcW w:w="1469" w:type="dxa"/>
            <w:tcBorders>
              <w:top w:val="nil"/>
            </w:tcBorders>
          </w:tcPr>
          <w:p>
            <w:pPr>
              <w:pStyle w:val="TableParagraph"/>
              <w:rPr>
                <w:rFonts w:ascii="Times New Roman"/>
                <w:sz w:val="18"/>
              </w:rPr>
            </w:pPr>
          </w:p>
        </w:tc>
        <w:tc>
          <w:tcPr>
            <w:tcW w:w="951" w:type="dxa"/>
            <w:tcBorders>
              <w:top w:val="nil"/>
            </w:tcBorders>
          </w:tcPr>
          <w:p>
            <w:pPr>
              <w:pStyle w:val="TableParagraph"/>
              <w:rPr>
                <w:rFonts w:ascii="Times New Roman"/>
                <w:sz w:val="18"/>
              </w:rPr>
            </w:pPr>
          </w:p>
        </w:tc>
        <w:tc>
          <w:tcPr>
            <w:tcW w:w="1354" w:type="dxa"/>
            <w:tcBorders>
              <w:top w:val="nil"/>
            </w:tcBorders>
          </w:tcPr>
          <w:p>
            <w:pPr>
              <w:pStyle w:val="TableParagraph"/>
              <w:rPr>
                <w:rFonts w:ascii="Times New Roman"/>
                <w:sz w:val="18"/>
              </w:rPr>
            </w:pPr>
          </w:p>
        </w:tc>
        <w:tc>
          <w:tcPr>
            <w:tcW w:w="2016" w:type="dxa"/>
            <w:tcBorders>
              <w:top w:val="nil"/>
            </w:tcBorders>
          </w:tcPr>
          <w:p>
            <w:pPr>
              <w:pStyle w:val="TableParagraph"/>
              <w:rPr>
                <w:rFonts w:ascii="Times New Roman"/>
                <w:sz w:val="18"/>
              </w:rPr>
            </w:pPr>
          </w:p>
        </w:tc>
        <w:tc>
          <w:tcPr>
            <w:tcW w:w="3841" w:type="dxa"/>
            <w:tcBorders>
              <w:top w:val="nil"/>
              <w:right w:val="nil"/>
            </w:tcBorders>
          </w:tcPr>
          <w:p>
            <w:pPr>
              <w:pStyle w:val="TableParagraph"/>
              <w:rPr>
                <w:rFonts w:ascii="Times New Roman"/>
                <w:sz w:val="18"/>
              </w:rPr>
            </w:pPr>
          </w:p>
        </w:tc>
        <w:tc>
          <w:tcPr>
            <w:tcW w:w="3229" w:type="dxa"/>
            <w:tcBorders>
              <w:top w:val="nil"/>
              <w:left w:val="nil"/>
            </w:tcBorders>
          </w:tcPr>
          <w:p>
            <w:pPr>
              <w:pStyle w:val="TableParagraph"/>
              <w:rPr>
                <w:rFonts w:ascii="Times New Roman"/>
                <w:sz w:val="18"/>
              </w:rPr>
            </w:pPr>
          </w:p>
        </w:tc>
        <w:tc>
          <w:tcPr>
            <w:tcW w:w="2365" w:type="dxa"/>
            <w:tcBorders>
              <w:top w:val="nil"/>
            </w:tcBorders>
          </w:tcPr>
          <w:p>
            <w:pPr>
              <w:pStyle w:val="TableParagraph"/>
              <w:spacing w:line="232" w:lineRule="auto" w:before="38"/>
              <w:ind w:left="89" w:right="78"/>
              <w:rPr>
                <w:sz w:val="18"/>
              </w:rPr>
            </w:pPr>
            <w:r>
              <w:rPr>
                <w:color w:val="105C84"/>
                <w:sz w:val="18"/>
              </w:rPr>
              <w:t>Sharing information about resources</w:t>
            </w:r>
            <w:r>
              <w:rPr>
                <w:color w:val="105C84"/>
                <w:spacing w:val="-13"/>
                <w:sz w:val="18"/>
              </w:rPr>
              <w:t> </w:t>
            </w:r>
            <w:r>
              <w:rPr>
                <w:color w:val="105C84"/>
                <w:sz w:val="18"/>
              </w:rPr>
              <w:t>in</w:t>
            </w:r>
            <w:r>
              <w:rPr>
                <w:color w:val="105C84"/>
                <w:spacing w:val="-12"/>
                <w:sz w:val="18"/>
              </w:rPr>
              <w:t> </w:t>
            </w:r>
            <w:r>
              <w:rPr>
                <w:color w:val="105C84"/>
                <w:sz w:val="18"/>
              </w:rPr>
              <w:t>the</w:t>
            </w:r>
            <w:r>
              <w:rPr>
                <w:color w:val="105C84"/>
                <w:spacing w:val="-13"/>
                <w:sz w:val="18"/>
              </w:rPr>
              <w:t> </w:t>
            </w:r>
            <w:r>
              <w:rPr>
                <w:color w:val="105C84"/>
                <w:sz w:val="18"/>
              </w:rPr>
              <w:t>community about suicide prevention </w:t>
            </w:r>
            <w:r>
              <w:rPr>
                <w:color w:val="105C84"/>
                <w:spacing w:val="-2"/>
                <w:sz w:val="18"/>
              </w:rPr>
              <w:t>resources</w:t>
            </w:r>
          </w:p>
        </w:tc>
        <w:tc>
          <w:tcPr>
            <w:tcW w:w="2372" w:type="dxa"/>
            <w:tcBorders>
              <w:top w:val="nil"/>
            </w:tcBorders>
          </w:tcPr>
          <w:p>
            <w:pPr>
              <w:pStyle w:val="TableParagraph"/>
              <w:spacing w:line="232" w:lineRule="auto" w:before="38"/>
              <w:ind w:left="89"/>
              <w:rPr>
                <w:sz w:val="18"/>
              </w:rPr>
            </w:pPr>
            <w:r>
              <w:rPr>
                <w:color w:val="105C84"/>
                <w:sz w:val="18"/>
              </w:rPr>
              <w:t>Sharing information about resources</w:t>
            </w:r>
            <w:r>
              <w:rPr>
                <w:color w:val="105C84"/>
                <w:spacing w:val="-13"/>
                <w:sz w:val="18"/>
              </w:rPr>
              <w:t> </w:t>
            </w:r>
            <w:r>
              <w:rPr>
                <w:color w:val="105C84"/>
                <w:sz w:val="18"/>
              </w:rPr>
              <w:t>in</w:t>
            </w:r>
            <w:r>
              <w:rPr>
                <w:color w:val="105C84"/>
                <w:spacing w:val="-12"/>
                <w:sz w:val="18"/>
              </w:rPr>
              <w:t> </w:t>
            </w:r>
            <w:r>
              <w:rPr>
                <w:color w:val="105C84"/>
                <w:sz w:val="18"/>
              </w:rPr>
              <w:t>the</w:t>
            </w:r>
            <w:r>
              <w:rPr>
                <w:color w:val="105C84"/>
                <w:spacing w:val="-13"/>
                <w:sz w:val="18"/>
              </w:rPr>
              <w:t> </w:t>
            </w:r>
            <w:r>
              <w:rPr>
                <w:color w:val="105C84"/>
                <w:sz w:val="18"/>
              </w:rPr>
              <w:t>community about suicide prevention </w:t>
            </w:r>
            <w:r>
              <w:rPr>
                <w:color w:val="105C84"/>
                <w:spacing w:val="-2"/>
                <w:sz w:val="18"/>
              </w:rPr>
              <w:t>resources</w:t>
            </w:r>
          </w:p>
        </w:tc>
        <w:tc>
          <w:tcPr>
            <w:tcW w:w="1638" w:type="dxa"/>
            <w:tcBorders>
              <w:top w:val="nil"/>
            </w:tcBorders>
          </w:tcPr>
          <w:p>
            <w:pPr>
              <w:pStyle w:val="TableParagraph"/>
              <w:rPr>
                <w:rFonts w:ascii="Times New Roman"/>
                <w:sz w:val="18"/>
              </w:rPr>
            </w:pPr>
          </w:p>
        </w:tc>
        <w:tc>
          <w:tcPr>
            <w:tcW w:w="1550" w:type="dxa"/>
            <w:tcBorders>
              <w:top w:val="nil"/>
            </w:tcBorders>
          </w:tcPr>
          <w:p>
            <w:pPr>
              <w:pStyle w:val="TableParagraph"/>
              <w:rPr>
                <w:rFonts w:ascii="Times New Roman"/>
                <w:sz w:val="18"/>
              </w:rPr>
            </w:pPr>
          </w:p>
        </w:tc>
      </w:tr>
    </w:tbl>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216"/>
        <w:rPr>
          <w:b/>
          <w:sz w:val="26"/>
        </w:rPr>
      </w:pPr>
    </w:p>
    <w:p>
      <w:pPr>
        <w:tabs>
          <w:tab w:pos="23047" w:val="left" w:leader="none"/>
        </w:tabs>
        <w:spacing w:before="0"/>
        <w:ind w:left="0" w:right="0" w:firstLine="0"/>
        <w:jc w:val="left"/>
        <w:rPr>
          <w:b/>
          <w:sz w:val="26"/>
        </w:rPr>
      </w:pPr>
      <w:r>
        <w:rPr>
          <w:position w:val="-4"/>
        </w:rPr>
        <w:drawing>
          <wp:inline distT="0" distB="0" distL="0" distR="0">
            <wp:extent cx="568172" cy="184683"/>
            <wp:effectExtent l="0" t="0" r="0" b="0"/>
            <wp:docPr id="1890" name="Image 1890"/>
            <wp:cNvGraphicFramePr>
              <a:graphicFrameLocks/>
            </wp:cNvGraphicFramePr>
            <a:graphic>
              <a:graphicData uri="http://schemas.openxmlformats.org/drawingml/2006/picture">
                <pic:pic>
                  <pic:nvPicPr>
                    <pic:cNvPr id="1890" name="Image 1890"/>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13"/>
          <w:sz w:val="20"/>
        </w:rPr>
        <w:t> </w:t>
      </w:r>
      <w:r>
        <w:rPr>
          <w:b/>
          <w:color w:val="939598"/>
          <w:w w:val="105"/>
          <w:sz w:val="26"/>
        </w:rPr>
        <w:t>173</w:t>
      </w:r>
      <w:r>
        <w:rPr>
          <w:b/>
          <w:color w:val="939598"/>
          <w:sz w:val="26"/>
        </w:rPr>
        <w:tab/>
      </w:r>
      <w:r>
        <w:rPr>
          <w:b/>
          <w:color w:val="939598"/>
          <w:spacing w:val="-5"/>
          <w:w w:val="105"/>
          <w:sz w:val="26"/>
        </w:rPr>
        <w:t>174</w:t>
      </w:r>
    </w:p>
    <w:p>
      <w:pPr>
        <w:spacing w:after="0"/>
        <w:jc w:val="left"/>
        <w:rPr>
          <w:b/>
          <w:sz w:val="26"/>
        </w:rPr>
        <w:sectPr>
          <w:pgSz w:w="24480" w:h="15840" w:orient="landscape"/>
          <w:pgMar w:header="0" w:footer="0" w:top="860" w:bottom="0" w:left="0" w:right="720"/>
        </w:sectPr>
      </w:pPr>
    </w:p>
    <w:p>
      <w:pPr>
        <w:spacing w:before="607"/>
        <w:ind w:left="1089" w:right="0" w:firstLine="0"/>
        <w:jc w:val="left"/>
        <w:rPr>
          <w:sz w:val="54"/>
        </w:rPr>
      </w:pPr>
      <w:r>
        <w:rPr>
          <w:sz w:val="54"/>
        </w:rPr>
        <w:drawing>
          <wp:anchor distT="0" distB="0" distL="0" distR="0" allowOverlap="1" layoutInCell="1" locked="0" behindDoc="0" simplePos="0" relativeHeight="15977984">
            <wp:simplePos x="0" y="0"/>
            <wp:positionH relativeFrom="page">
              <wp:posOffset>14981556</wp:posOffset>
            </wp:positionH>
            <wp:positionV relativeFrom="page">
              <wp:posOffset>9668103</wp:posOffset>
            </wp:positionV>
            <wp:extent cx="563245" cy="184683"/>
            <wp:effectExtent l="0" t="0" r="0" b="0"/>
            <wp:wrapNone/>
            <wp:docPr id="1891" name="Image 1891"/>
            <wp:cNvGraphicFramePr>
              <a:graphicFrameLocks/>
            </wp:cNvGraphicFramePr>
            <a:graphic>
              <a:graphicData uri="http://schemas.openxmlformats.org/drawingml/2006/picture">
                <pic:pic>
                  <pic:nvPicPr>
                    <pic:cNvPr id="1891" name="Image 1891"/>
                    <pic:cNvPicPr/>
                  </pic:nvPicPr>
                  <pic:blipFill>
                    <a:blip r:embed="rId38" cstate="print"/>
                    <a:stretch>
                      <a:fillRect/>
                    </a:stretch>
                  </pic:blipFill>
                  <pic:spPr>
                    <a:xfrm>
                      <a:off x="0" y="0"/>
                      <a:ext cx="563245" cy="184683"/>
                    </a:xfrm>
                    <a:prstGeom prst="rect">
                      <a:avLst/>
                    </a:prstGeom>
                  </pic:spPr>
                </pic:pic>
              </a:graphicData>
            </a:graphic>
          </wp:anchor>
        </w:drawing>
      </w:r>
      <w:r>
        <w:rPr>
          <w:sz w:val="54"/>
        </w:rPr>
        <w:drawing>
          <wp:anchor distT="0" distB="0" distL="0" distR="0" allowOverlap="1" layoutInCell="1" locked="0" behindDoc="0" simplePos="0" relativeHeight="15978496">
            <wp:simplePos x="0" y="0"/>
            <wp:positionH relativeFrom="page">
              <wp:posOffset>13626703</wp:posOffset>
            </wp:positionH>
            <wp:positionV relativeFrom="paragraph">
              <wp:posOffset>365201</wp:posOffset>
            </wp:positionV>
            <wp:extent cx="1234098" cy="628989"/>
            <wp:effectExtent l="0" t="0" r="0" b="0"/>
            <wp:wrapNone/>
            <wp:docPr id="1892" name="Image 1892"/>
            <wp:cNvGraphicFramePr>
              <a:graphicFrameLocks/>
            </wp:cNvGraphicFramePr>
            <a:graphic>
              <a:graphicData uri="http://schemas.openxmlformats.org/drawingml/2006/picture">
                <pic:pic>
                  <pic:nvPicPr>
                    <pic:cNvPr id="1892" name="Image 1892"/>
                    <pic:cNvPicPr/>
                  </pic:nvPicPr>
                  <pic:blipFill>
                    <a:blip r:embed="rId254" cstate="print"/>
                    <a:stretch>
                      <a:fillRect/>
                    </a:stretch>
                  </pic:blipFill>
                  <pic:spPr>
                    <a:xfrm>
                      <a:off x="0" y="0"/>
                      <a:ext cx="1234098" cy="628989"/>
                    </a:xfrm>
                    <a:prstGeom prst="rect">
                      <a:avLst/>
                    </a:prstGeom>
                  </pic:spPr>
                </pic:pic>
              </a:graphicData>
            </a:graphic>
          </wp:anchor>
        </w:drawing>
      </w:r>
      <w:r>
        <w:rPr>
          <w:color w:val="636466"/>
          <w:sz w:val="54"/>
        </w:rPr>
        <w:t>Schuyler</w:t>
      </w:r>
      <w:r>
        <w:rPr>
          <w:color w:val="636466"/>
          <w:spacing w:val="40"/>
          <w:sz w:val="54"/>
        </w:rPr>
        <w:t> </w:t>
      </w:r>
      <w:r>
        <w:rPr>
          <w:color w:val="636466"/>
          <w:sz w:val="54"/>
        </w:rPr>
        <w:t>County</w:t>
      </w:r>
      <w:r>
        <w:rPr>
          <w:color w:val="636466"/>
          <w:spacing w:val="41"/>
          <w:sz w:val="54"/>
        </w:rPr>
        <w:t> </w:t>
      </w:r>
      <w:r>
        <w:rPr>
          <w:color w:val="636466"/>
          <w:sz w:val="54"/>
        </w:rPr>
        <w:t>Appendix</w:t>
      </w:r>
      <w:r>
        <w:rPr>
          <w:color w:val="636466"/>
          <w:spacing w:val="40"/>
          <w:sz w:val="54"/>
        </w:rPr>
        <w:t> </w:t>
      </w:r>
      <w:r>
        <w:rPr>
          <w:color w:val="636466"/>
          <w:spacing w:val="-10"/>
          <w:sz w:val="54"/>
        </w:rPr>
        <w:t>D</w:t>
      </w:r>
    </w:p>
    <w:p>
      <w:pPr>
        <w:spacing w:line="247" w:lineRule="auto" w:before="235"/>
        <w:ind w:left="1089" w:right="15045" w:firstLine="0"/>
        <w:jc w:val="left"/>
        <w:rPr>
          <w:b/>
          <w:sz w:val="32"/>
        </w:rPr>
      </w:pPr>
      <w:r>
        <w:rPr>
          <w:b/>
          <w:color w:val="82BF6A"/>
          <w:spacing w:val="-4"/>
          <w:sz w:val="32"/>
        </w:rPr>
        <w:t>PRIORITY:</w:t>
      </w:r>
      <w:r>
        <w:rPr>
          <w:b/>
          <w:color w:val="82BF6A"/>
          <w:spacing w:val="-19"/>
          <w:sz w:val="32"/>
        </w:rPr>
        <w:t> </w:t>
      </w:r>
      <w:r>
        <w:rPr>
          <w:b/>
          <w:color w:val="82BF6A"/>
          <w:spacing w:val="-4"/>
          <w:sz w:val="32"/>
        </w:rPr>
        <w:t>PROMOTE</w:t>
      </w:r>
      <w:r>
        <w:rPr>
          <w:b/>
          <w:color w:val="82BF6A"/>
          <w:spacing w:val="-18"/>
          <w:sz w:val="32"/>
        </w:rPr>
        <w:t> </w:t>
      </w:r>
      <w:r>
        <w:rPr>
          <w:b/>
          <w:color w:val="82BF6A"/>
          <w:spacing w:val="-4"/>
          <w:sz w:val="32"/>
        </w:rPr>
        <w:t>WELL-BEING</w:t>
      </w:r>
      <w:r>
        <w:rPr>
          <w:b/>
          <w:color w:val="82BF6A"/>
          <w:spacing w:val="-18"/>
          <w:sz w:val="32"/>
        </w:rPr>
        <w:t> </w:t>
      </w:r>
      <w:r>
        <w:rPr>
          <w:b/>
          <w:color w:val="82BF6A"/>
          <w:spacing w:val="-4"/>
          <w:sz w:val="32"/>
        </w:rPr>
        <w:t>AND</w:t>
      </w:r>
      <w:r>
        <w:rPr>
          <w:b/>
          <w:color w:val="82BF6A"/>
          <w:spacing w:val="-18"/>
          <w:sz w:val="32"/>
        </w:rPr>
        <w:t> </w:t>
      </w:r>
      <w:r>
        <w:rPr>
          <w:b/>
          <w:color w:val="82BF6A"/>
          <w:spacing w:val="-4"/>
          <w:sz w:val="32"/>
        </w:rPr>
        <w:t>PREVENT </w:t>
      </w:r>
      <w:r>
        <w:rPr>
          <w:b/>
          <w:color w:val="82BF6A"/>
          <w:sz w:val="32"/>
        </w:rPr>
        <w:t>MENTAL</w:t>
      </w:r>
      <w:r>
        <w:rPr>
          <w:b/>
          <w:color w:val="82BF6A"/>
          <w:spacing w:val="-23"/>
          <w:sz w:val="32"/>
        </w:rPr>
        <w:t> </w:t>
      </w:r>
      <w:r>
        <w:rPr>
          <w:b/>
          <w:color w:val="82BF6A"/>
          <w:sz w:val="32"/>
        </w:rPr>
        <w:t>AND</w:t>
      </w:r>
      <w:r>
        <w:rPr>
          <w:b/>
          <w:color w:val="82BF6A"/>
          <w:spacing w:val="-22"/>
          <w:sz w:val="32"/>
        </w:rPr>
        <w:t> </w:t>
      </w:r>
      <w:r>
        <w:rPr>
          <w:b/>
          <w:color w:val="82BF6A"/>
          <w:sz w:val="32"/>
        </w:rPr>
        <w:t>SUBSTANCE</w:t>
      </w:r>
      <w:r>
        <w:rPr>
          <w:b/>
          <w:color w:val="82BF6A"/>
          <w:spacing w:val="-22"/>
          <w:sz w:val="32"/>
        </w:rPr>
        <w:t> </w:t>
      </w:r>
      <w:r>
        <w:rPr>
          <w:b/>
          <w:color w:val="82BF6A"/>
          <w:sz w:val="32"/>
        </w:rPr>
        <w:t>USE</w:t>
      </w:r>
      <w:r>
        <w:rPr>
          <w:b/>
          <w:color w:val="82BF6A"/>
          <w:spacing w:val="-22"/>
          <w:sz w:val="32"/>
        </w:rPr>
        <w:t> </w:t>
      </w:r>
      <w:r>
        <w:rPr>
          <w:b/>
          <w:color w:val="82BF6A"/>
          <w:sz w:val="32"/>
        </w:rPr>
        <w:t>DISORDERS</w:t>
      </w:r>
    </w:p>
    <w:p>
      <w:pPr>
        <w:pStyle w:val="BodyText"/>
        <w:rPr>
          <w:b/>
          <w:sz w:val="20"/>
        </w:rPr>
      </w:pPr>
    </w:p>
    <w:p>
      <w:pPr>
        <w:pStyle w:val="BodyText"/>
        <w:spacing w:before="102"/>
        <w:rPr>
          <w:b/>
          <w:sz w:val="20"/>
        </w:rPr>
      </w:pPr>
    </w:p>
    <w:tbl>
      <w:tblPr>
        <w:tblW w:w="0" w:type="auto"/>
        <w:jc w:val="left"/>
        <w:tblInd w:w="1099"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1526"/>
        <w:gridCol w:w="1123"/>
        <w:gridCol w:w="864"/>
        <w:gridCol w:w="1210"/>
        <w:gridCol w:w="1440"/>
        <w:gridCol w:w="1786"/>
        <w:gridCol w:w="3280"/>
        <w:gridCol w:w="4238"/>
        <w:gridCol w:w="3575"/>
        <w:gridCol w:w="1753"/>
        <w:gridCol w:w="1546"/>
      </w:tblGrid>
      <w:tr>
        <w:trPr>
          <w:trHeight w:val="990" w:hRule="atLeast"/>
        </w:trPr>
        <w:tc>
          <w:tcPr>
            <w:tcW w:w="1526" w:type="dxa"/>
            <w:tcBorders>
              <w:right w:val="single" w:sz="4" w:space="0" w:color="FFFFFF"/>
            </w:tcBorders>
            <w:shd w:val="clear" w:color="auto" w:fill="939598"/>
          </w:tcPr>
          <w:p>
            <w:pPr>
              <w:pStyle w:val="TableParagraph"/>
              <w:spacing w:before="177"/>
              <w:rPr>
                <w:b/>
                <w:sz w:val="20"/>
              </w:rPr>
            </w:pPr>
          </w:p>
          <w:p>
            <w:pPr>
              <w:pStyle w:val="TableParagraph"/>
              <w:ind w:left="79"/>
              <w:rPr>
                <w:b/>
                <w:sz w:val="20"/>
              </w:rPr>
            </w:pPr>
            <w:r>
              <w:rPr>
                <w:b/>
                <w:color w:val="FFFFFF"/>
                <w:spacing w:val="-2"/>
                <w:sz w:val="20"/>
              </w:rPr>
              <w:t>Priority</w:t>
            </w:r>
          </w:p>
        </w:tc>
        <w:tc>
          <w:tcPr>
            <w:tcW w:w="1123" w:type="dxa"/>
            <w:tcBorders>
              <w:left w:val="single" w:sz="4" w:space="0" w:color="FFFFFF"/>
              <w:right w:val="single" w:sz="4" w:space="0" w:color="FFFFFF"/>
            </w:tcBorders>
            <w:shd w:val="clear" w:color="auto" w:fill="939598"/>
          </w:tcPr>
          <w:p>
            <w:pPr>
              <w:pStyle w:val="TableParagraph"/>
              <w:spacing w:before="74"/>
              <w:rPr>
                <w:b/>
                <w:sz w:val="20"/>
              </w:rPr>
            </w:pPr>
          </w:p>
          <w:p>
            <w:pPr>
              <w:pStyle w:val="TableParagraph"/>
              <w:spacing w:line="230" w:lineRule="auto" w:before="1"/>
              <w:ind w:left="79" w:right="493"/>
              <w:rPr>
                <w:b/>
                <w:sz w:val="20"/>
              </w:rPr>
            </w:pPr>
            <w:r>
              <w:rPr>
                <w:b/>
                <w:color w:val="FFFFFF"/>
                <w:spacing w:val="-2"/>
                <w:w w:val="90"/>
                <w:sz w:val="20"/>
              </w:rPr>
              <w:t>Focus </w:t>
            </w:r>
            <w:r>
              <w:rPr>
                <w:b/>
                <w:color w:val="FFFFFF"/>
                <w:spacing w:val="-4"/>
                <w:sz w:val="20"/>
              </w:rPr>
              <w:t>Area</w:t>
            </w:r>
          </w:p>
        </w:tc>
        <w:tc>
          <w:tcPr>
            <w:tcW w:w="864" w:type="dxa"/>
            <w:tcBorders>
              <w:left w:val="single" w:sz="4" w:space="0" w:color="FFFFFF"/>
              <w:right w:val="single" w:sz="4" w:space="0" w:color="FFFFFF"/>
            </w:tcBorders>
            <w:shd w:val="clear" w:color="auto" w:fill="939598"/>
          </w:tcPr>
          <w:p>
            <w:pPr>
              <w:pStyle w:val="TableParagraph"/>
              <w:spacing w:before="177"/>
              <w:rPr>
                <w:b/>
                <w:sz w:val="20"/>
              </w:rPr>
            </w:pPr>
          </w:p>
          <w:p>
            <w:pPr>
              <w:pStyle w:val="TableParagraph"/>
              <w:ind w:left="80"/>
              <w:rPr>
                <w:b/>
                <w:sz w:val="20"/>
              </w:rPr>
            </w:pPr>
            <w:r>
              <w:rPr>
                <w:b/>
                <w:color w:val="FFFFFF"/>
                <w:spacing w:val="-4"/>
                <w:sz w:val="20"/>
              </w:rPr>
              <w:t>Goal</w:t>
            </w:r>
          </w:p>
        </w:tc>
        <w:tc>
          <w:tcPr>
            <w:tcW w:w="1210" w:type="dxa"/>
            <w:tcBorders>
              <w:left w:val="single" w:sz="4" w:space="0" w:color="FFFFFF"/>
              <w:right w:val="single" w:sz="4" w:space="0" w:color="FFFFFF"/>
            </w:tcBorders>
            <w:shd w:val="clear" w:color="auto" w:fill="939598"/>
          </w:tcPr>
          <w:p>
            <w:pPr>
              <w:pStyle w:val="TableParagraph"/>
              <w:spacing w:before="177"/>
              <w:rPr>
                <w:b/>
                <w:sz w:val="20"/>
              </w:rPr>
            </w:pPr>
          </w:p>
          <w:p>
            <w:pPr>
              <w:pStyle w:val="TableParagraph"/>
              <w:ind w:left="80"/>
              <w:rPr>
                <w:b/>
                <w:sz w:val="20"/>
              </w:rPr>
            </w:pPr>
            <w:r>
              <w:rPr>
                <w:b/>
                <w:color w:val="FFFFFF"/>
                <w:spacing w:val="-2"/>
                <w:sz w:val="20"/>
              </w:rPr>
              <w:t>Objectives</w:t>
            </w:r>
          </w:p>
        </w:tc>
        <w:tc>
          <w:tcPr>
            <w:tcW w:w="1440" w:type="dxa"/>
            <w:tcBorders>
              <w:left w:val="single" w:sz="4" w:space="0" w:color="FFFFFF"/>
              <w:right w:val="single" w:sz="4" w:space="0" w:color="FFFFFF"/>
            </w:tcBorders>
            <w:shd w:val="clear" w:color="auto" w:fill="939598"/>
          </w:tcPr>
          <w:p>
            <w:pPr>
              <w:pStyle w:val="TableParagraph"/>
              <w:spacing w:before="177"/>
              <w:rPr>
                <w:b/>
                <w:sz w:val="20"/>
              </w:rPr>
            </w:pPr>
          </w:p>
          <w:p>
            <w:pPr>
              <w:pStyle w:val="TableParagraph"/>
              <w:ind w:left="79"/>
              <w:rPr>
                <w:b/>
                <w:sz w:val="20"/>
              </w:rPr>
            </w:pPr>
            <w:r>
              <w:rPr>
                <w:b/>
                <w:color w:val="FFFFFF"/>
                <w:spacing w:val="-2"/>
                <w:sz w:val="20"/>
              </w:rPr>
              <w:t>Interventions</w:t>
            </w:r>
          </w:p>
        </w:tc>
        <w:tc>
          <w:tcPr>
            <w:tcW w:w="1786" w:type="dxa"/>
            <w:tcBorders>
              <w:left w:val="single" w:sz="4" w:space="0" w:color="FFFFFF"/>
              <w:right w:val="single" w:sz="4" w:space="0" w:color="FFFFFF"/>
            </w:tcBorders>
            <w:shd w:val="clear" w:color="auto" w:fill="939598"/>
          </w:tcPr>
          <w:p>
            <w:pPr>
              <w:pStyle w:val="TableParagraph"/>
              <w:spacing w:before="74"/>
              <w:rPr>
                <w:b/>
                <w:sz w:val="20"/>
              </w:rPr>
            </w:pPr>
          </w:p>
          <w:p>
            <w:pPr>
              <w:pStyle w:val="TableParagraph"/>
              <w:spacing w:line="230" w:lineRule="auto" w:before="1"/>
              <w:ind w:left="89" w:right="360"/>
              <w:rPr>
                <w:b/>
                <w:sz w:val="20"/>
              </w:rPr>
            </w:pPr>
            <w:r>
              <w:rPr>
                <w:b/>
                <w:color w:val="FFFFFF"/>
                <w:sz w:val="20"/>
              </w:rPr>
              <w:t>Family</w:t>
            </w:r>
            <w:r>
              <w:rPr>
                <w:b/>
                <w:color w:val="FFFFFF"/>
                <w:spacing w:val="-14"/>
                <w:sz w:val="20"/>
              </w:rPr>
              <w:t> </w:t>
            </w:r>
            <w:r>
              <w:rPr>
                <w:b/>
                <w:color w:val="FFFFFF"/>
                <w:sz w:val="20"/>
              </w:rPr>
              <w:t>of </w:t>
            </w:r>
            <w:r>
              <w:rPr>
                <w:b/>
                <w:color w:val="FFFFFF"/>
                <w:spacing w:val="-7"/>
                <w:sz w:val="20"/>
              </w:rPr>
              <w:t>Measures</w:t>
            </w:r>
          </w:p>
        </w:tc>
        <w:tc>
          <w:tcPr>
            <w:tcW w:w="3280" w:type="dxa"/>
            <w:tcBorders>
              <w:left w:val="single" w:sz="4" w:space="0" w:color="FFFFFF"/>
              <w:right w:val="nil"/>
            </w:tcBorders>
            <w:shd w:val="clear" w:color="auto" w:fill="939598"/>
          </w:tcPr>
          <w:p>
            <w:pPr>
              <w:pStyle w:val="TableParagraph"/>
              <w:spacing w:line="230" w:lineRule="auto" w:before="195"/>
              <w:ind w:left="89" w:right="1471"/>
              <w:rPr>
                <w:b/>
                <w:sz w:val="20"/>
              </w:rPr>
            </w:pPr>
            <w:r>
              <w:rPr>
                <w:b/>
                <w:color w:val="FFFFFF"/>
                <w:sz w:val="20"/>
              </w:rPr>
              <w:t>Projected (or completed)</w:t>
            </w:r>
            <w:r>
              <w:rPr>
                <w:b/>
                <w:color w:val="FFFFFF"/>
                <w:spacing w:val="-14"/>
                <w:sz w:val="20"/>
              </w:rPr>
              <w:t> </w:t>
            </w:r>
            <w:r>
              <w:rPr>
                <w:b/>
                <w:color w:val="FFFFFF"/>
                <w:sz w:val="20"/>
              </w:rPr>
              <w:t>Year</w:t>
            </w:r>
            <w:r>
              <w:rPr>
                <w:b/>
                <w:color w:val="FFFFFF"/>
                <w:spacing w:val="-14"/>
                <w:sz w:val="20"/>
              </w:rPr>
              <w:t> </w:t>
            </w:r>
            <w:r>
              <w:rPr>
                <w:b/>
                <w:color w:val="FFFFFF"/>
                <w:sz w:val="20"/>
              </w:rPr>
              <w:t>1</w:t>
            </w:r>
          </w:p>
          <w:p>
            <w:pPr>
              <w:pStyle w:val="TableParagraph"/>
              <w:spacing w:line="221" w:lineRule="exact"/>
              <w:ind w:left="89"/>
              <w:rPr>
                <w:b/>
                <w:sz w:val="20"/>
              </w:rPr>
            </w:pPr>
            <w:r>
              <w:rPr>
                <w:b/>
                <w:color w:val="FFFFFF"/>
                <w:sz w:val="20"/>
              </w:rPr>
              <w:t>Intervention</w:t>
            </w:r>
            <w:r>
              <w:rPr>
                <w:b/>
                <w:color w:val="FFFFFF"/>
                <w:spacing w:val="-5"/>
                <w:sz w:val="20"/>
              </w:rPr>
              <w:t> </w:t>
            </w:r>
            <w:r>
              <w:rPr>
                <w:b/>
                <w:color w:val="FFFFFF"/>
                <w:sz w:val="20"/>
              </w:rPr>
              <w:t>-</w:t>
            </w:r>
            <w:r>
              <w:rPr>
                <w:b/>
                <w:color w:val="FFFFFF"/>
                <w:spacing w:val="-5"/>
                <w:sz w:val="20"/>
              </w:rPr>
              <w:t> </w:t>
            </w:r>
            <w:r>
              <w:rPr>
                <w:b/>
                <w:color w:val="FFFFFF"/>
                <w:spacing w:val="-4"/>
                <w:sz w:val="20"/>
              </w:rPr>
              <w:t>2019</w:t>
            </w:r>
          </w:p>
        </w:tc>
        <w:tc>
          <w:tcPr>
            <w:tcW w:w="4238" w:type="dxa"/>
            <w:tcBorders>
              <w:left w:val="nil"/>
              <w:right w:val="single" w:sz="4" w:space="0" w:color="FFFFFF"/>
            </w:tcBorders>
            <w:shd w:val="clear" w:color="auto" w:fill="939598"/>
          </w:tcPr>
          <w:p>
            <w:pPr>
              <w:pStyle w:val="TableParagraph"/>
              <w:spacing w:before="74"/>
              <w:rPr>
                <w:b/>
                <w:sz w:val="20"/>
              </w:rPr>
            </w:pPr>
          </w:p>
          <w:p>
            <w:pPr>
              <w:pStyle w:val="TableParagraph"/>
              <w:spacing w:line="230" w:lineRule="auto" w:before="1"/>
              <w:ind w:left="1091" w:right="1834"/>
              <w:rPr>
                <w:b/>
                <w:sz w:val="20"/>
              </w:rPr>
            </w:pPr>
            <w:r>
              <w:rPr>
                <w:b/>
                <w:color w:val="FFFFFF"/>
                <w:spacing w:val="-2"/>
                <w:sz w:val="20"/>
              </w:rPr>
              <w:t>Projected </w:t>
            </w:r>
            <w:r>
              <w:rPr>
                <w:b/>
                <w:color w:val="FFFFFF"/>
                <w:sz w:val="20"/>
              </w:rPr>
              <w:t>Year</w:t>
            </w:r>
            <w:r>
              <w:rPr>
                <w:b/>
                <w:color w:val="FFFFFF"/>
                <w:spacing w:val="-7"/>
                <w:sz w:val="20"/>
              </w:rPr>
              <w:t> </w:t>
            </w:r>
            <w:r>
              <w:rPr>
                <w:b/>
                <w:color w:val="FFFFFF"/>
                <w:sz w:val="20"/>
              </w:rPr>
              <w:t>2</w:t>
            </w:r>
            <w:r>
              <w:rPr>
                <w:b/>
                <w:color w:val="FFFFFF"/>
                <w:spacing w:val="-7"/>
                <w:sz w:val="20"/>
              </w:rPr>
              <w:t> </w:t>
            </w:r>
            <w:r>
              <w:rPr>
                <w:b/>
                <w:color w:val="FFFFFF"/>
                <w:sz w:val="20"/>
              </w:rPr>
              <w:t>-</w:t>
            </w:r>
            <w:r>
              <w:rPr>
                <w:b/>
                <w:color w:val="FFFFFF"/>
                <w:spacing w:val="-7"/>
                <w:sz w:val="20"/>
              </w:rPr>
              <w:t> </w:t>
            </w:r>
            <w:r>
              <w:rPr>
                <w:b/>
                <w:color w:val="FFFFFF"/>
                <w:sz w:val="20"/>
              </w:rPr>
              <w:t>2020</w:t>
            </w:r>
          </w:p>
        </w:tc>
        <w:tc>
          <w:tcPr>
            <w:tcW w:w="3575" w:type="dxa"/>
            <w:tcBorders>
              <w:left w:val="single" w:sz="4" w:space="0" w:color="FFFFFF"/>
              <w:right w:val="single" w:sz="4" w:space="0" w:color="FFFFFF"/>
            </w:tcBorders>
            <w:shd w:val="clear" w:color="auto" w:fill="939598"/>
          </w:tcPr>
          <w:p>
            <w:pPr>
              <w:pStyle w:val="TableParagraph"/>
              <w:spacing w:before="67"/>
              <w:rPr>
                <w:b/>
                <w:sz w:val="20"/>
              </w:rPr>
            </w:pPr>
          </w:p>
          <w:p>
            <w:pPr>
              <w:pStyle w:val="TableParagraph"/>
              <w:spacing w:line="225" w:lineRule="exact"/>
              <w:ind w:left="78"/>
              <w:rPr>
                <w:b/>
                <w:sz w:val="20"/>
              </w:rPr>
            </w:pPr>
            <w:r>
              <w:rPr>
                <w:b/>
                <w:color w:val="FFFFFF"/>
                <w:spacing w:val="-2"/>
                <w:sz w:val="20"/>
              </w:rPr>
              <w:t>Projected</w:t>
            </w:r>
          </w:p>
          <w:p>
            <w:pPr>
              <w:pStyle w:val="TableParagraph"/>
              <w:spacing w:line="225" w:lineRule="exact"/>
              <w:ind w:left="78"/>
              <w:rPr>
                <w:b/>
                <w:sz w:val="20"/>
              </w:rPr>
            </w:pPr>
            <w:r>
              <w:rPr>
                <w:b/>
                <w:color w:val="FFFFFF"/>
                <w:sz w:val="20"/>
              </w:rPr>
              <w:t>Year</w:t>
            </w:r>
            <w:r>
              <w:rPr>
                <w:b/>
                <w:color w:val="FFFFFF"/>
                <w:spacing w:val="-14"/>
                <w:sz w:val="20"/>
              </w:rPr>
              <w:t> </w:t>
            </w:r>
            <w:r>
              <w:rPr>
                <w:b/>
                <w:color w:val="FFFFFF"/>
                <w:sz w:val="20"/>
              </w:rPr>
              <w:t>3</w:t>
            </w:r>
            <w:r>
              <w:rPr>
                <w:b/>
                <w:color w:val="FFFFFF"/>
                <w:spacing w:val="-13"/>
                <w:sz w:val="20"/>
              </w:rPr>
              <w:t> </w:t>
            </w:r>
            <w:r>
              <w:rPr>
                <w:b/>
                <w:color w:val="FFFFFF"/>
                <w:sz w:val="20"/>
              </w:rPr>
              <w:t>Interventions</w:t>
            </w:r>
            <w:r>
              <w:rPr>
                <w:b/>
                <w:color w:val="FFFFFF"/>
                <w:spacing w:val="-13"/>
                <w:sz w:val="20"/>
              </w:rPr>
              <w:t> </w:t>
            </w:r>
            <w:r>
              <w:rPr>
                <w:b/>
                <w:color w:val="FFFFFF"/>
                <w:sz w:val="20"/>
              </w:rPr>
              <w:t>-</w:t>
            </w:r>
            <w:r>
              <w:rPr>
                <w:b/>
                <w:color w:val="FFFFFF"/>
                <w:spacing w:val="-13"/>
                <w:sz w:val="20"/>
              </w:rPr>
              <w:t> </w:t>
            </w:r>
            <w:r>
              <w:rPr>
                <w:b/>
                <w:color w:val="FFFFFF"/>
                <w:spacing w:val="-4"/>
                <w:sz w:val="20"/>
              </w:rPr>
              <w:t>2021</w:t>
            </w:r>
          </w:p>
        </w:tc>
        <w:tc>
          <w:tcPr>
            <w:tcW w:w="1753" w:type="dxa"/>
            <w:tcBorders>
              <w:left w:val="single" w:sz="4" w:space="0" w:color="FFFFFF"/>
              <w:right w:val="single" w:sz="4" w:space="0" w:color="FFFFFF"/>
            </w:tcBorders>
            <w:shd w:val="clear" w:color="auto" w:fill="939598"/>
          </w:tcPr>
          <w:p>
            <w:pPr>
              <w:pStyle w:val="TableParagraph"/>
              <w:spacing w:before="74"/>
              <w:rPr>
                <w:b/>
                <w:sz w:val="20"/>
              </w:rPr>
            </w:pPr>
          </w:p>
          <w:p>
            <w:pPr>
              <w:pStyle w:val="TableParagraph"/>
              <w:spacing w:line="230" w:lineRule="auto" w:before="1"/>
              <w:ind w:left="77"/>
              <w:rPr>
                <w:b/>
                <w:sz w:val="20"/>
              </w:rPr>
            </w:pPr>
            <w:r>
              <w:rPr>
                <w:b/>
                <w:color w:val="FFFFFF"/>
                <w:spacing w:val="-2"/>
                <w:sz w:val="20"/>
              </w:rPr>
              <w:t>Implementation Partner</w:t>
            </w:r>
          </w:p>
        </w:tc>
        <w:tc>
          <w:tcPr>
            <w:tcW w:w="1546" w:type="dxa"/>
            <w:tcBorders>
              <w:left w:val="single" w:sz="4" w:space="0" w:color="FFFFFF"/>
              <w:right w:val="single" w:sz="4" w:space="0" w:color="FFFFFF"/>
            </w:tcBorders>
            <w:shd w:val="clear" w:color="auto" w:fill="939598"/>
          </w:tcPr>
          <w:p>
            <w:pPr>
              <w:pStyle w:val="TableParagraph"/>
              <w:spacing w:before="74"/>
              <w:rPr>
                <w:b/>
                <w:sz w:val="20"/>
              </w:rPr>
            </w:pPr>
          </w:p>
          <w:p>
            <w:pPr>
              <w:pStyle w:val="TableParagraph"/>
              <w:spacing w:line="230" w:lineRule="auto" w:before="1"/>
              <w:ind w:left="78"/>
              <w:rPr>
                <w:b/>
                <w:sz w:val="20"/>
              </w:rPr>
            </w:pPr>
            <w:r>
              <w:rPr>
                <w:b/>
                <w:color w:val="FFFFFF"/>
                <w:spacing w:val="-6"/>
                <w:sz w:val="20"/>
              </w:rPr>
              <w:t>Partner</w:t>
            </w:r>
            <w:r>
              <w:rPr>
                <w:b/>
                <w:color w:val="FFFFFF"/>
                <w:spacing w:val="-8"/>
                <w:sz w:val="20"/>
              </w:rPr>
              <w:t> </w:t>
            </w:r>
            <w:r>
              <w:rPr>
                <w:b/>
                <w:color w:val="FFFFFF"/>
                <w:spacing w:val="-6"/>
                <w:sz w:val="20"/>
              </w:rPr>
              <w:t>Role(s) </w:t>
            </w:r>
            <w:r>
              <w:rPr>
                <w:b/>
                <w:color w:val="FFFFFF"/>
                <w:sz w:val="20"/>
              </w:rPr>
              <w:t>and</w:t>
            </w:r>
            <w:r>
              <w:rPr>
                <w:b/>
                <w:color w:val="FFFFFF"/>
                <w:spacing w:val="-8"/>
                <w:sz w:val="20"/>
              </w:rPr>
              <w:t> Resources</w:t>
            </w:r>
          </w:p>
        </w:tc>
      </w:tr>
      <w:tr>
        <w:trPr>
          <w:trHeight w:val="4710" w:hRule="atLeast"/>
        </w:trPr>
        <w:tc>
          <w:tcPr>
            <w:tcW w:w="1526" w:type="dxa"/>
            <w:vMerge w:val="restart"/>
            <w:tcBorders>
              <w:bottom w:val="nil"/>
            </w:tcBorders>
            <w:shd w:val="clear" w:color="auto" w:fill="E6E7E8"/>
          </w:tcPr>
          <w:p>
            <w:pPr>
              <w:pStyle w:val="TableParagraph"/>
              <w:spacing w:line="203" w:lineRule="exact" w:before="96"/>
              <w:ind w:left="89"/>
              <w:rPr>
                <w:sz w:val="18"/>
              </w:rPr>
            </w:pPr>
            <w:r>
              <w:rPr>
                <w:color w:val="105C84"/>
                <w:spacing w:val="-2"/>
                <w:w w:val="105"/>
                <w:sz w:val="18"/>
              </w:rPr>
              <w:t>Promote</w:t>
            </w:r>
          </w:p>
          <w:p>
            <w:pPr>
              <w:pStyle w:val="TableParagraph"/>
              <w:spacing w:line="232" w:lineRule="auto" w:before="1"/>
              <w:ind w:left="89" w:right="167"/>
              <w:jc w:val="both"/>
              <w:rPr>
                <w:sz w:val="18"/>
              </w:rPr>
            </w:pPr>
            <w:r>
              <w:rPr>
                <w:color w:val="105C84"/>
                <w:sz w:val="18"/>
              </w:rPr>
              <w:t>Well-Being</w:t>
            </w:r>
            <w:r>
              <w:rPr>
                <w:color w:val="105C84"/>
                <w:spacing w:val="-1"/>
                <w:sz w:val="18"/>
              </w:rPr>
              <w:t> </w:t>
            </w:r>
            <w:r>
              <w:rPr>
                <w:color w:val="105C84"/>
                <w:sz w:val="18"/>
              </w:rPr>
              <w:t>and Prevent Mental and Substance Use Disorders</w:t>
            </w:r>
          </w:p>
        </w:tc>
        <w:tc>
          <w:tcPr>
            <w:tcW w:w="1123" w:type="dxa"/>
            <w:vMerge w:val="restart"/>
            <w:tcBorders>
              <w:bottom w:val="nil"/>
            </w:tcBorders>
          </w:tcPr>
          <w:p>
            <w:pPr>
              <w:pStyle w:val="TableParagraph"/>
              <w:spacing w:line="232" w:lineRule="auto" w:before="101"/>
              <w:ind w:left="90" w:right="113"/>
              <w:rPr>
                <w:sz w:val="18"/>
              </w:rPr>
            </w:pPr>
            <w:r>
              <w:rPr>
                <w:color w:val="105C84"/>
                <w:spacing w:val="-2"/>
                <w:sz w:val="18"/>
              </w:rPr>
              <w:t>Focus</w:t>
            </w:r>
            <w:r>
              <w:rPr>
                <w:color w:val="105C84"/>
                <w:spacing w:val="-11"/>
                <w:sz w:val="18"/>
              </w:rPr>
              <w:t> </w:t>
            </w:r>
            <w:r>
              <w:rPr>
                <w:color w:val="105C84"/>
                <w:spacing w:val="-2"/>
                <w:sz w:val="18"/>
              </w:rPr>
              <w:t>Area </w:t>
            </w:r>
            <w:r>
              <w:rPr>
                <w:color w:val="105C84"/>
                <w:sz w:val="18"/>
              </w:rPr>
              <w:t>2: Prevent Mental</w:t>
            </w:r>
            <w:r>
              <w:rPr>
                <w:color w:val="105C84"/>
                <w:spacing w:val="-13"/>
                <w:sz w:val="18"/>
              </w:rPr>
              <w:t> </w:t>
            </w:r>
            <w:r>
              <w:rPr>
                <w:color w:val="105C84"/>
                <w:sz w:val="18"/>
              </w:rPr>
              <w:t>and </w:t>
            </w:r>
            <w:r>
              <w:rPr>
                <w:color w:val="105C84"/>
                <w:spacing w:val="-2"/>
                <w:sz w:val="18"/>
              </w:rPr>
              <w:t>Substance </w:t>
            </w:r>
            <w:r>
              <w:rPr>
                <w:color w:val="105C84"/>
                <w:spacing w:val="-4"/>
                <w:sz w:val="18"/>
              </w:rPr>
              <w:t>User </w:t>
            </w:r>
            <w:r>
              <w:rPr>
                <w:color w:val="105C84"/>
                <w:spacing w:val="-2"/>
                <w:sz w:val="18"/>
              </w:rPr>
              <w:t>Disorders</w:t>
            </w:r>
          </w:p>
        </w:tc>
        <w:tc>
          <w:tcPr>
            <w:tcW w:w="864" w:type="dxa"/>
            <w:vMerge w:val="restart"/>
            <w:tcBorders>
              <w:bottom w:val="nil"/>
            </w:tcBorders>
          </w:tcPr>
          <w:p>
            <w:pPr>
              <w:pStyle w:val="TableParagraph"/>
              <w:spacing w:line="232" w:lineRule="auto" w:before="101"/>
              <w:ind w:left="90" w:right="135"/>
              <w:rPr>
                <w:sz w:val="18"/>
              </w:rPr>
            </w:pPr>
            <w:r>
              <w:rPr>
                <w:color w:val="105C84"/>
                <w:spacing w:val="-4"/>
                <w:sz w:val="18"/>
              </w:rPr>
              <w:t>Goal 2.5:</w:t>
            </w:r>
          </w:p>
          <w:p>
            <w:pPr>
              <w:pStyle w:val="TableParagraph"/>
              <w:spacing w:line="232" w:lineRule="auto"/>
              <w:ind w:left="90"/>
              <w:rPr>
                <w:sz w:val="18"/>
              </w:rPr>
            </w:pPr>
            <w:r>
              <w:rPr>
                <w:color w:val="105C84"/>
                <w:spacing w:val="-2"/>
                <w:sz w:val="18"/>
              </w:rPr>
              <w:t>Prevent </w:t>
            </w:r>
            <w:r>
              <w:rPr>
                <w:color w:val="105C84"/>
                <w:spacing w:val="-4"/>
                <w:sz w:val="18"/>
              </w:rPr>
              <w:t>suicides</w:t>
            </w:r>
          </w:p>
        </w:tc>
        <w:tc>
          <w:tcPr>
            <w:tcW w:w="1210" w:type="dxa"/>
            <w:vMerge w:val="restart"/>
            <w:tcBorders>
              <w:bottom w:val="nil"/>
            </w:tcBorders>
          </w:tcPr>
          <w:p>
            <w:pPr>
              <w:pStyle w:val="TableParagraph"/>
              <w:spacing w:line="232" w:lineRule="auto" w:before="101"/>
              <w:ind w:left="90" w:right="92"/>
              <w:rPr>
                <w:sz w:val="18"/>
              </w:rPr>
            </w:pPr>
            <w:r>
              <w:rPr>
                <w:color w:val="105C84"/>
                <w:spacing w:val="-6"/>
                <w:sz w:val="18"/>
              </w:rPr>
              <w:t>2.5.2</w:t>
            </w:r>
            <w:r>
              <w:rPr>
                <w:color w:val="105C84"/>
                <w:spacing w:val="-7"/>
                <w:sz w:val="18"/>
              </w:rPr>
              <w:t> </w:t>
            </w:r>
            <w:r>
              <w:rPr>
                <w:color w:val="105C84"/>
                <w:spacing w:val="-6"/>
                <w:sz w:val="18"/>
              </w:rPr>
              <w:t>Reduc</w:t>
            </w:r>
            <w:r>
              <w:rPr>
                <w:color w:val="105C84"/>
                <w:spacing w:val="-6"/>
                <w:sz w:val="18"/>
              </w:rPr>
              <w:t>e</w:t>
            </w:r>
            <w:r>
              <w:rPr>
                <w:color w:val="105C84"/>
                <w:spacing w:val="-6"/>
                <w:sz w:val="18"/>
              </w:rPr>
              <w:t> </w:t>
            </w:r>
            <w:r>
              <w:rPr>
                <w:color w:val="105C84"/>
                <w:sz w:val="18"/>
              </w:rPr>
              <w:t>the age-</w:t>
            </w:r>
            <w:r>
              <w:rPr>
                <w:color w:val="105C84"/>
                <w:spacing w:val="-2"/>
                <w:sz w:val="18"/>
              </w:rPr>
              <w:t>adjusted suicide mortality</w:t>
            </w:r>
            <w:r>
              <w:rPr>
                <w:color w:val="105C84"/>
                <w:spacing w:val="80"/>
                <w:sz w:val="18"/>
              </w:rPr>
              <w:t> </w:t>
            </w:r>
            <w:r>
              <w:rPr>
                <w:color w:val="105C84"/>
                <w:sz w:val="18"/>
              </w:rPr>
              <w:t>rate by 10%</w:t>
            </w:r>
          </w:p>
          <w:p>
            <w:pPr>
              <w:pStyle w:val="TableParagraph"/>
              <w:spacing w:line="194" w:lineRule="exact"/>
              <w:ind w:left="90"/>
              <w:rPr>
                <w:sz w:val="18"/>
              </w:rPr>
            </w:pPr>
            <w:r>
              <w:rPr>
                <w:color w:val="105C84"/>
                <w:w w:val="105"/>
                <w:sz w:val="18"/>
              </w:rPr>
              <w:t>to</w:t>
            </w:r>
            <w:r>
              <w:rPr>
                <w:color w:val="105C84"/>
                <w:spacing w:val="-10"/>
                <w:w w:val="105"/>
                <w:sz w:val="18"/>
              </w:rPr>
              <w:t> </w:t>
            </w:r>
            <w:r>
              <w:rPr>
                <w:color w:val="105C84"/>
                <w:w w:val="105"/>
                <w:sz w:val="18"/>
              </w:rPr>
              <w:t>7</w:t>
            </w:r>
            <w:r>
              <w:rPr>
                <w:color w:val="105C84"/>
                <w:spacing w:val="-8"/>
                <w:w w:val="105"/>
                <w:sz w:val="18"/>
              </w:rPr>
              <w:t> </w:t>
            </w:r>
            <w:r>
              <w:rPr>
                <w:color w:val="105C84"/>
                <w:spacing w:val="-5"/>
                <w:w w:val="105"/>
                <w:sz w:val="18"/>
              </w:rPr>
              <w:t>per</w:t>
            </w:r>
          </w:p>
          <w:p>
            <w:pPr>
              <w:pStyle w:val="TableParagraph"/>
              <w:spacing w:line="203" w:lineRule="exact"/>
              <w:ind w:left="90"/>
              <w:rPr>
                <w:sz w:val="18"/>
              </w:rPr>
            </w:pPr>
            <w:r>
              <w:rPr>
                <w:color w:val="105C84"/>
                <w:spacing w:val="-2"/>
                <w:sz w:val="18"/>
              </w:rPr>
              <w:t>100,000</w:t>
            </w:r>
          </w:p>
        </w:tc>
        <w:tc>
          <w:tcPr>
            <w:tcW w:w="1440" w:type="dxa"/>
            <w:vMerge w:val="restart"/>
            <w:tcBorders>
              <w:bottom w:val="nil"/>
            </w:tcBorders>
          </w:tcPr>
          <w:p>
            <w:pPr>
              <w:pStyle w:val="TableParagraph"/>
              <w:spacing w:line="232" w:lineRule="auto" w:before="101"/>
              <w:ind w:left="89" w:right="140"/>
              <w:rPr>
                <w:sz w:val="18"/>
              </w:rPr>
            </w:pPr>
            <w:r>
              <w:rPr>
                <w:color w:val="105C84"/>
                <w:sz w:val="18"/>
              </w:rPr>
              <w:t>2.5.4 Identify and support people</w:t>
            </w:r>
            <w:r>
              <w:rPr>
                <w:color w:val="105C84"/>
                <w:spacing w:val="-15"/>
                <w:sz w:val="18"/>
              </w:rPr>
              <w:t> </w:t>
            </w:r>
            <w:r>
              <w:rPr>
                <w:color w:val="105C84"/>
                <w:sz w:val="18"/>
              </w:rPr>
              <w:t>at</w:t>
            </w:r>
            <w:r>
              <w:rPr>
                <w:color w:val="105C84"/>
                <w:spacing w:val="-12"/>
                <w:sz w:val="18"/>
              </w:rPr>
              <w:t> </w:t>
            </w:r>
            <w:r>
              <w:rPr>
                <w:color w:val="105C84"/>
                <w:sz w:val="18"/>
              </w:rPr>
              <w:t>risk:</w:t>
            </w:r>
            <w:r>
              <w:rPr>
                <w:color w:val="105C84"/>
                <w:sz w:val="18"/>
              </w:rPr>
              <w:t> </w:t>
            </w:r>
            <w:r>
              <w:rPr>
                <w:color w:val="105C84"/>
                <w:spacing w:val="-2"/>
                <w:sz w:val="18"/>
              </w:rPr>
              <w:t>Gatekeeper </w:t>
            </w:r>
            <w:r>
              <w:rPr>
                <w:color w:val="105C84"/>
                <w:sz w:val="18"/>
              </w:rPr>
              <w:t>training,</w:t>
            </w:r>
            <w:r>
              <w:rPr>
                <w:color w:val="105C84"/>
                <w:spacing w:val="-7"/>
                <w:sz w:val="18"/>
              </w:rPr>
              <w:t> </w:t>
            </w:r>
            <w:r>
              <w:rPr>
                <w:color w:val="105C84"/>
                <w:sz w:val="18"/>
              </w:rPr>
              <w:t>crisis </w:t>
            </w:r>
            <w:r>
              <w:rPr>
                <w:color w:val="105C84"/>
                <w:spacing w:val="-2"/>
                <w:sz w:val="18"/>
              </w:rPr>
              <w:t>intervention, </w:t>
            </w:r>
            <w:r>
              <w:rPr>
                <w:color w:val="105C84"/>
                <w:sz w:val="18"/>
              </w:rPr>
              <w:t>treatment for people at risk of suicide, </w:t>
            </w:r>
            <w:r>
              <w:rPr>
                <w:color w:val="105C84"/>
                <w:spacing w:val="-2"/>
                <w:sz w:val="18"/>
              </w:rPr>
              <w:t>treatment</w:t>
            </w:r>
          </w:p>
          <w:p>
            <w:pPr>
              <w:pStyle w:val="TableParagraph"/>
              <w:spacing w:line="232" w:lineRule="auto"/>
              <w:ind w:left="89" w:right="344"/>
              <w:rPr>
                <w:sz w:val="18"/>
              </w:rPr>
            </w:pPr>
            <w:r>
              <w:rPr>
                <w:color w:val="105C84"/>
                <w:w w:val="105"/>
                <w:sz w:val="18"/>
              </w:rPr>
              <w:t>to</w:t>
            </w:r>
            <w:r>
              <w:rPr>
                <w:color w:val="105C84"/>
                <w:spacing w:val="-1"/>
                <w:w w:val="105"/>
                <w:sz w:val="18"/>
              </w:rPr>
              <w:t> </w:t>
            </w:r>
            <w:r>
              <w:rPr>
                <w:color w:val="105C84"/>
                <w:w w:val="105"/>
                <w:sz w:val="18"/>
              </w:rPr>
              <w:t>prevent </w:t>
            </w:r>
            <w:r>
              <w:rPr>
                <w:color w:val="105C84"/>
                <w:spacing w:val="-2"/>
                <w:sz w:val="18"/>
              </w:rPr>
              <w:t>re-attempts, postvention,</w:t>
            </w:r>
          </w:p>
          <w:p>
            <w:pPr>
              <w:pStyle w:val="TableParagraph"/>
              <w:spacing w:line="232" w:lineRule="auto"/>
              <w:ind w:left="89"/>
              <w:rPr>
                <w:sz w:val="18"/>
              </w:rPr>
            </w:pPr>
            <w:r>
              <w:rPr>
                <w:color w:val="105C84"/>
                <w:sz w:val="18"/>
              </w:rPr>
              <w:t>safe reporting </w:t>
            </w:r>
            <w:r>
              <w:rPr>
                <w:color w:val="105C84"/>
                <w:spacing w:val="-2"/>
                <w:sz w:val="18"/>
              </w:rPr>
              <w:t>and</w:t>
            </w:r>
            <w:r>
              <w:rPr>
                <w:color w:val="105C84"/>
                <w:spacing w:val="-11"/>
                <w:sz w:val="18"/>
              </w:rPr>
              <w:t> </w:t>
            </w:r>
            <w:r>
              <w:rPr>
                <w:color w:val="105C84"/>
                <w:spacing w:val="-2"/>
                <w:sz w:val="18"/>
              </w:rPr>
              <w:t>messaging </w:t>
            </w:r>
            <w:r>
              <w:rPr>
                <w:color w:val="105C84"/>
                <w:sz w:val="18"/>
              </w:rPr>
              <w:t>about suicides</w:t>
            </w:r>
          </w:p>
        </w:tc>
        <w:tc>
          <w:tcPr>
            <w:tcW w:w="1786" w:type="dxa"/>
            <w:vMerge w:val="restart"/>
            <w:tcBorders>
              <w:bottom w:val="nil"/>
            </w:tcBorders>
          </w:tcPr>
          <w:p>
            <w:pPr>
              <w:pStyle w:val="TableParagraph"/>
              <w:spacing w:line="232" w:lineRule="auto" w:before="100"/>
              <w:ind w:left="89" w:right="360"/>
              <w:rPr>
                <w:sz w:val="18"/>
              </w:rPr>
            </w:pPr>
            <w:r>
              <w:rPr>
                <w:color w:val="105C84"/>
                <w:w w:val="90"/>
                <w:sz w:val="18"/>
              </w:rPr>
              <w:t>P</w:t>
            </w:r>
            <w:r>
              <w:rPr>
                <w:color w:val="105C84"/>
                <w:spacing w:val="-4"/>
                <w:w w:val="90"/>
                <w:sz w:val="18"/>
              </w:rPr>
              <w:t>r</w:t>
            </w:r>
            <w:r>
              <w:rPr>
                <w:color w:val="105C84"/>
                <w:w w:val="108"/>
                <w:sz w:val="18"/>
              </w:rPr>
              <w:t>oport</w:t>
            </w:r>
            <w:r>
              <w:rPr>
                <w:color w:val="105C84"/>
                <w:w w:val="104"/>
                <w:sz w:val="18"/>
              </w:rPr>
              <w:t>ion</w:t>
            </w:r>
            <w:r>
              <w:rPr>
                <w:color w:val="105C84"/>
                <w:spacing w:val="-4"/>
                <w:sz w:val="18"/>
              </w:rPr>
              <w:t> </w:t>
            </w:r>
            <w:r>
              <w:rPr>
                <w:color w:val="105C84"/>
                <w:w w:val="101"/>
                <w:sz w:val="18"/>
              </w:rPr>
              <w:t>who </w:t>
            </w:r>
            <w:r>
              <w:rPr>
                <w:color w:val="105C84"/>
                <w:w w:val="103"/>
                <w:sz w:val="18"/>
              </w:rPr>
              <w:t>fel</w:t>
            </w:r>
            <w:r>
              <w:rPr>
                <w:color w:val="105C84"/>
                <w:w w:val="119"/>
                <w:sz w:val="18"/>
              </w:rPr>
              <w:t>t</w:t>
            </w:r>
            <w:r>
              <w:rPr>
                <w:color w:val="105C84"/>
                <w:spacing w:val="-4"/>
                <w:sz w:val="18"/>
              </w:rPr>
              <w:t> </w:t>
            </w:r>
            <w:r>
              <w:rPr>
                <w:color w:val="105C84"/>
                <w:w w:val="103"/>
                <w:sz w:val="18"/>
              </w:rPr>
              <w:t>comfortable </w:t>
            </w:r>
            <w:r>
              <w:rPr>
                <w:color w:val="105C84"/>
                <w:w w:val="103"/>
                <w:sz w:val="18"/>
              </w:rPr>
              <w:t>applying</w:t>
            </w:r>
            <w:r>
              <w:rPr>
                <w:color w:val="105C84"/>
                <w:spacing w:val="-4"/>
                <w:sz w:val="18"/>
              </w:rPr>
              <w:t> </w:t>
            </w:r>
            <w:r>
              <w:rPr>
                <w:color w:val="105C84"/>
                <w:w w:val="99"/>
                <w:sz w:val="18"/>
              </w:rPr>
              <w:t>suicide </w:t>
            </w:r>
            <w:r>
              <w:rPr>
                <w:color w:val="105C84"/>
                <w:w w:val="106"/>
                <w:sz w:val="18"/>
              </w:rPr>
              <w:t>p</w:t>
            </w:r>
            <w:r>
              <w:rPr>
                <w:color w:val="105C84"/>
                <w:spacing w:val="-4"/>
                <w:w w:val="106"/>
                <w:sz w:val="18"/>
              </w:rPr>
              <w:t>r</w:t>
            </w:r>
            <w:r>
              <w:rPr>
                <w:color w:val="105C84"/>
                <w:w w:val="100"/>
                <w:sz w:val="18"/>
              </w:rPr>
              <w:t>event</w:t>
            </w:r>
            <w:r>
              <w:rPr>
                <w:color w:val="105C84"/>
                <w:w w:val="104"/>
                <w:sz w:val="18"/>
              </w:rPr>
              <w:t>ion</w:t>
            </w:r>
            <w:r>
              <w:rPr>
                <w:color w:val="105C84"/>
                <w:spacing w:val="-4"/>
                <w:sz w:val="18"/>
              </w:rPr>
              <w:t> </w:t>
            </w:r>
            <w:r>
              <w:rPr>
                <w:color w:val="105C84"/>
                <w:spacing w:val="-3"/>
                <w:w w:val="96"/>
                <w:sz w:val="18"/>
              </w:rPr>
              <w:t>skil</w:t>
            </w:r>
            <w:r>
              <w:rPr>
                <w:color w:val="105C84"/>
                <w:spacing w:val="-3"/>
                <w:w w:val="92"/>
                <w:sz w:val="18"/>
              </w:rPr>
              <w:t>ls,</w:t>
            </w:r>
            <w:r>
              <w:rPr>
                <w:color w:val="105C84"/>
                <w:w w:val="92"/>
                <w:sz w:val="18"/>
              </w:rPr>
              <w:t> </w:t>
            </w:r>
            <w:r>
              <w:rPr>
                <w:color w:val="105C84"/>
                <w:w w:val="99"/>
                <w:sz w:val="18"/>
              </w:rPr>
              <w:t>act</w:t>
            </w:r>
            <w:r>
              <w:rPr>
                <w:color w:val="105C84"/>
                <w:w w:val="98"/>
                <w:sz w:val="18"/>
              </w:rPr>
              <w:t>ive</w:t>
            </w:r>
            <w:r>
              <w:rPr>
                <w:color w:val="105C84"/>
                <w:spacing w:val="-4"/>
                <w:sz w:val="18"/>
              </w:rPr>
              <w:t> </w:t>
            </w:r>
            <w:r>
              <w:rPr>
                <w:color w:val="105C84"/>
                <w:w w:val="108"/>
                <w:sz w:val="18"/>
              </w:rPr>
              <w:t>l</w:t>
            </w:r>
            <w:r>
              <w:rPr>
                <w:color w:val="105C84"/>
                <w:w w:val="101"/>
                <w:sz w:val="18"/>
              </w:rPr>
              <w:t>istening, </w:t>
            </w:r>
            <w:r>
              <w:rPr>
                <w:color w:val="105C84"/>
                <w:w w:val="106"/>
                <w:sz w:val="18"/>
              </w:rPr>
              <w:t>p</w:t>
            </w:r>
            <w:r>
              <w:rPr>
                <w:color w:val="105C84"/>
                <w:spacing w:val="-4"/>
                <w:w w:val="106"/>
                <w:sz w:val="18"/>
              </w:rPr>
              <w:t>r</w:t>
            </w:r>
            <w:r>
              <w:rPr>
                <w:color w:val="105C84"/>
                <w:w w:val="104"/>
                <w:sz w:val="18"/>
              </w:rPr>
              <w:t>oblem-</w:t>
            </w:r>
            <w:r>
              <w:rPr>
                <w:color w:val="105C84"/>
                <w:w w:val="99"/>
                <w:sz w:val="18"/>
              </w:rPr>
              <w:t>solving,</w:t>
            </w:r>
            <w:r>
              <w:rPr>
                <w:color w:val="105C84"/>
                <w:spacing w:val="-4"/>
                <w:sz w:val="18"/>
              </w:rPr>
              <w:t> </w:t>
            </w:r>
            <w:r>
              <w:rPr>
                <w:color w:val="105C84"/>
                <w:w w:val="100"/>
                <w:sz w:val="18"/>
              </w:rPr>
              <w:t>anger</w:t>
            </w:r>
          </w:p>
          <w:p>
            <w:pPr>
              <w:pStyle w:val="TableParagraph"/>
              <w:spacing w:line="232" w:lineRule="auto"/>
              <w:ind w:left="89"/>
              <w:rPr>
                <w:sz w:val="18"/>
              </w:rPr>
            </w:pPr>
            <w:r>
              <w:rPr>
                <w:color w:val="105C84"/>
                <w:sz w:val="18"/>
              </w:rPr>
              <w:t>management, and </w:t>
            </w:r>
            <w:r>
              <w:rPr>
                <w:color w:val="105C84"/>
                <w:spacing w:val="-2"/>
                <w:sz w:val="18"/>
              </w:rPr>
              <w:t>stress</w:t>
            </w:r>
            <w:r>
              <w:rPr>
                <w:color w:val="105C84"/>
                <w:spacing w:val="-11"/>
                <w:sz w:val="18"/>
              </w:rPr>
              <w:t> </w:t>
            </w:r>
            <w:r>
              <w:rPr>
                <w:color w:val="105C84"/>
                <w:spacing w:val="-2"/>
                <w:sz w:val="18"/>
              </w:rPr>
              <w:t>management </w:t>
            </w:r>
            <w:r>
              <w:rPr>
                <w:color w:val="105C84"/>
                <w:sz w:val="18"/>
              </w:rPr>
              <w:t>skills</w:t>
            </w:r>
            <w:r>
              <w:rPr>
                <w:color w:val="105C84"/>
                <w:spacing w:val="-8"/>
                <w:sz w:val="18"/>
              </w:rPr>
              <w:t> </w:t>
            </w:r>
            <w:r>
              <w:rPr>
                <w:color w:val="105C84"/>
                <w:sz w:val="18"/>
              </w:rPr>
              <w:t>to</w:t>
            </w:r>
            <w:r>
              <w:rPr>
                <w:color w:val="105C84"/>
                <w:spacing w:val="-8"/>
                <w:sz w:val="18"/>
              </w:rPr>
              <w:t> </w:t>
            </w:r>
            <w:r>
              <w:rPr>
                <w:color w:val="105C84"/>
                <w:sz w:val="18"/>
              </w:rPr>
              <w:t>identify</w:t>
            </w:r>
            <w:r>
              <w:rPr>
                <w:color w:val="105C84"/>
                <w:spacing w:val="-8"/>
                <w:sz w:val="18"/>
              </w:rPr>
              <w:t> </w:t>
            </w:r>
            <w:r>
              <w:rPr>
                <w:color w:val="105C84"/>
                <w:sz w:val="18"/>
              </w:rPr>
              <w:t>and refer individuals</w:t>
            </w:r>
          </w:p>
          <w:p>
            <w:pPr>
              <w:pStyle w:val="TableParagraph"/>
              <w:spacing w:line="232" w:lineRule="auto"/>
              <w:ind w:left="89" w:right="340"/>
              <w:rPr>
                <w:sz w:val="18"/>
              </w:rPr>
            </w:pPr>
            <w:r>
              <w:rPr>
                <w:color w:val="105C84"/>
                <w:sz w:val="18"/>
              </w:rPr>
              <w:t>at</w:t>
            </w:r>
            <w:r>
              <w:rPr>
                <w:color w:val="105C84"/>
                <w:spacing w:val="-13"/>
                <w:sz w:val="18"/>
              </w:rPr>
              <w:t> </w:t>
            </w:r>
            <w:r>
              <w:rPr>
                <w:color w:val="105C84"/>
                <w:sz w:val="18"/>
              </w:rPr>
              <w:t>risk</w:t>
            </w:r>
            <w:r>
              <w:rPr>
                <w:color w:val="105C84"/>
                <w:spacing w:val="-12"/>
                <w:sz w:val="18"/>
              </w:rPr>
              <w:t> </w:t>
            </w:r>
            <w:r>
              <w:rPr>
                <w:color w:val="105C84"/>
                <w:sz w:val="18"/>
              </w:rPr>
              <w:t>for</w:t>
            </w:r>
            <w:r>
              <w:rPr>
                <w:color w:val="105C84"/>
                <w:spacing w:val="-13"/>
                <w:sz w:val="18"/>
              </w:rPr>
              <w:t> </w:t>
            </w:r>
            <w:r>
              <w:rPr>
                <w:color w:val="105C84"/>
                <w:sz w:val="18"/>
              </w:rPr>
              <w:t>suicide to appropriate care; Proportion who were </w:t>
            </w:r>
            <w:r>
              <w:rPr>
                <w:color w:val="105C84"/>
                <w:spacing w:val="-2"/>
                <w:sz w:val="18"/>
              </w:rPr>
              <w:t>knowledgeable </w:t>
            </w:r>
            <w:r>
              <w:rPr>
                <w:color w:val="105C84"/>
                <w:sz w:val="18"/>
              </w:rPr>
              <w:t>about the signs and symptoms</w:t>
            </w:r>
            <w:r>
              <w:rPr>
                <w:color w:val="105C84"/>
                <w:spacing w:val="40"/>
                <w:sz w:val="18"/>
              </w:rPr>
              <w:t> </w:t>
            </w:r>
            <w:r>
              <w:rPr>
                <w:color w:val="105C84"/>
                <w:sz w:val="18"/>
              </w:rPr>
              <w:t>of</w:t>
            </w:r>
            <w:r>
              <w:rPr>
                <w:color w:val="105C84"/>
                <w:spacing w:val="-13"/>
                <w:sz w:val="18"/>
              </w:rPr>
              <w:t> </w:t>
            </w:r>
            <w:r>
              <w:rPr>
                <w:color w:val="105C84"/>
                <w:sz w:val="18"/>
              </w:rPr>
              <w:t>suicide</w:t>
            </w:r>
            <w:r>
              <w:rPr>
                <w:color w:val="105C84"/>
                <w:spacing w:val="-12"/>
                <w:sz w:val="18"/>
              </w:rPr>
              <w:t> </w:t>
            </w:r>
            <w:r>
              <w:rPr>
                <w:color w:val="105C84"/>
                <w:sz w:val="18"/>
              </w:rPr>
              <w:t>as</w:t>
            </w:r>
            <w:r>
              <w:rPr>
                <w:color w:val="105C84"/>
                <w:spacing w:val="-13"/>
                <w:sz w:val="18"/>
              </w:rPr>
              <w:t> </w:t>
            </w:r>
            <w:r>
              <w:rPr>
                <w:color w:val="105C84"/>
                <w:sz w:val="18"/>
              </w:rPr>
              <w:t>well as the mental health problems associated with suicide, such as depression and substance use</w:t>
            </w:r>
          </w:p>
        </w:tc>
        <w:tc>
          <w:tcPr>
            <w:tcW w:w="3280" w:type="dxa"/>
            <w:tcBorders>
              <w:right w:val="nil"/>
            </w:tcBorders>
          </w:tcPr>
          <w:p>
            <w:pPr>
              <w:pStyle w:val="TableParagraph"/>
              <w:spacing w:line="232" w:lineRule="auto" w:before="100"/>
              <w:ind w:left="89" w:right="1471"/>
              <w:rPr>
                <w:sz w:val="18"/>
              </w:rPr>
            </w:pPr>
            <w:r>
              <w:rPr>
                <w:color w:val="105C84"/>
                <w:sz w:val="18"/>
              </w:rPr>
              <w:t>Attend four to five </w:t>
            </w:r>
            <w:r>
              <w:rPr>
                <w:color w:val="105C84"/>
                <w:spacing w:val="-2"/>
                <w:sz w:val="18"/>
              </w:rPr>
              <w:t>local</w:t>
            </w:r>
            <w:r>
              <w:rPr>
                <w:color w:val="105C84"/>
                <w:spacing w:val="-9"/>
                <w:sz w:val="18"/>
              </w:rPr>
              <w:t> </w:t>
            </w:r>
            <w:r>
              <w:rPr>
                <w:color w:val="105C84"/>
                <w:spacing w:val="-2"/>
                <w:sz w:val="18"/>
              </w:rPr>
              <w:t>festivals/events </w:t>
            </w:r>
            <w:r>
              <w:rPr>
                <w:color w:val="105C84"/>
                <w:sz w:val="18"/>
              </w:rPr>
              <w:t>to promote suicide </w:t>
            </w:r>
            <w:r>
              <w:rPr>
                <w:color w:val="105C84"/>
                <w:spacing w:val="-2"/>
                <w:sz w:val="18"/>
              </w:rPr>
              <w:t>awareness</w:t>
            </w:r>
          </w:p>
          <w:p>
            <w:pPr>
              <w:pStyle w:val="TableParagraph"/>
              <w:spacing w:line="232" w:lineRule="auto" w:before="86"/>
              <w:ind w:left="89" w:right="1155"/>
              <w:rPr>
                <w:sz w:val="18"/>
              </w:rPr>
            </w:pPr>
            <w:r>
              <w:rPr>
                <w:color w:val="105C84"/>
                <w:spacing w:val="-2"/>
                <w:sz w:val="18"/>
              </w:rPr>
              <w:t>SAFE</w:t>
            </w:r>
            <w:r>
              <w:rPr>
                <w:color w:val="105C84"/>
                <w:spacing w:val="-11"/>
                <w:sz w:val="18"/>
              </w:rPr>
              <w:t> </w:t>
            </w:r>
            <w:r>
              <w:rPr>
                <w:color w:val="105C84"/>
                <w:spacing w:val="-2"/>
                <w:sz w:val="18"/>
              </w:rPr>
              <w:t>member</w:t>
            </w:r>
            <w:r>
              <w:rPr>
                <w:color w:val="105C84"/>
                <w:spacing w:val="-10"/>
                <w:sz w:val="18"/>
              </w:rPr>
              <w:t> </w:t>
            </w:r>
            <w:r>
              <w:rPr>
                <w:color w:val="105C84"/>
                <w:spacing w:val="-2"/>
                <w:sz w:val="18"/>
              </w:rPr>
              <w:t>trained</w:t>
            </w:r>
            <w:r>
              <w:rPr>
                <w:color w:val="105C84"/>
                <w:spacing w:val="-11"/>
                <w:sz w:val="18"/>
              </w:rPr>
              <w:t> </w:t>
            </w:r>
            <w:r>
              <w:rPr>
                <w:color w:val="105C84"/>
                <w:spacing w:val="-2"/>
                <w:sz w:val="18"/>
              </w:rPr>
              <w:t>as </w:t>
            </w:r>
            <w:r>
              <w:rPr>
                <w:color w:val="105C84"/>
                <w:sz w:val="18"/>
              </w:rPr>
              <w:t>a Youth Mental Health First Aid trainer</w:t>
            </w:r>
          </w:p>
          <w:p>
            <w:pPr>
              <w:pStyle w:val="TableParagraph"/>
              <w:spacing w:line="232" w:lineRule="auto" w:before="88"/>
              <w:ind w:left="89" w:right="1155"/>
              <w:rPr>
                <w:sz w:val="18"/>
              </w:rPr>
            </w:pPr>
            <w:r>
              <w:rPr>
                <w:color w:val="105C84"/>
                <w:sz w:val="18"/>
              </w:rPr>
              <w:t>Youth</w:t>
            </w:r>
            <w:r>
              <w:rPr>
                <w:color w:val="105C84"/>
                <w:spacing w:val="-13"/>
                <w:sz w:val="18"/>
              </w:rPr>
              <w:t> </w:t>
            </w:r>
            <w:r>
              <w:rPr>
                <w:color w:val="105C84"/>
                <w:sz w:val="18"/>
              </w:rPr>
              <w:t>Mental</w:t>
            </w:r>
            <w:r>
              <w:rPr>
                <w:color w:val="105C84"/>
                <w:spacing w:val="-12"/>
                <w:sz w:val="18"/>
              </w:rPr>
              <w:t> </w:t>
            </w:r>
            <w:r>
              <w:rPr>
                <w:color w:val="105C84"/>
                <w:sz w:val="18"/>
              </w:rPr>
              <w:t>Health</w:t>
            </w:r>
            <w:r>
              <w:rPr>
                <w:color w:val="105C84"/>
                <w:spacing w:val="-13"/>
                <w:sz w:val="18"/>
              </w:rPr>
              <w:t> </w:t>
            </w:r>
            <w:r>
              <w:rPr>
                <w:color w:val="105C84"/>
                <w:sz w:val="18"/>
              </w:rPr>
              <w:t>First Aid training provided in Dundee School District. Attend annual regional suicide prevention </w:t>
            </w:r>
            <w:r>
              <w:rPr>
                <w:color w:val="105C84"/>
                <w:spacing w:val="-2"/>
                <w:sz w:val="18"/>
              </w:rPr>
              <w:t>meeting</w:t>
            </w:r>
          </w:p>
          <w:p>
            <w:pPr>
              <w:pStyle w:val="TableParagraph"/>
              <w:spacing w:line="232" w:lineRule="auto" w:before="85"/>
              <w:ind w:left="89" w:right="1274"/>
              <w:rPr>
                <w:sz w:val="18"/>
              </w:rPr>
            </w:pPr>
            <w:r>
              <w:rPr>
                <w:color w:val="105C84"/>
                <w:sz w:val="18"/>
              </w:rPr>
              <w:t>Fundraise for Suicide Prevention awareness at Waterfront Festival. Advocating</w:t>
            </w:r>
            <w:r>
              <w:rPr>
                <w:color w:val="105C84"/>
                <w:spacing w:val="-15"/>
                <w:sz w:val="18"/>
              </w:rPr>
              <w:t> </w:t>
            </w:r>
            <w:r>
              <w:rPr>
                <w:color w:val="105C84"/>
                <w:sz w:val="18"/>
              </w:rPr>
              <w:t>for</w:t>
            </w:r>
            <w:r>
              <w:rPr>
                <w:color w:val="105C84"/>
                <w:spacing w:val="-12"/>
                <w:sz w:val="18"/>
              </w:rPr>
              <w:t> </w:t>
            </w:r>
            <w:r>
              <w:rPr>
                <w:color w:val="105C84"/>
                <w:sz w:val="18"/>
              </w:rPr>
              <w:t>Schuyler County to partner with</w:t>
            </w:r>
          </w:p>
          <w:p>
            <w:pPr>
              <w:pStyle w:val="TableParagraph"/>
              <w:spacing w:line="232" w:lineRule="auto"/>
              <w:ind w:left="89" w:right="991"/>
              <w:rPr>
                <w:sz w:val="18"/>
              </w:rPr>
            </w:pPr>
            <w:r>
              <w:rPr>
                <w:color w:val="105C84"/>
                <w:sz w:val="18"/>
              </w:rPr>
              <w:t>another</w:t>
            </w:r>
            <w:r>
              <w:rPr>
                <w:color w:val="105C84"/>
                <w:spacing w:val="-10"/>
                <w:sz w:val="18"/>
              </w:rPr>
              <w:t> </w:t>
            </w:r>
            <w:r>
              <w:rPr>
                <w:color w:val="105C84"/>
                <w:sz w:val="18"/>
              </w:rPr>
              <w:t>county</w:t>
            </w:r>
            <w:r>
              <w:rPr>
                <w:color w:val="105C84"/>
                <w:spacing w:val="-10"/>
                <w:sz w:val="18"/>
              </w:rPr>
              <w:t> </w:t>
            </w:r>
            <w:r>
              <w:rPr>
                <w:color w:val="105C84"/>
                <w:sz w:val="18"/>
              </w:rPr>
              <w:t>for</w:t>
            </w:r>
            <w:r>
              <w:rPr>
                <w:color w:val="105C84"/>
                <w:spacing w:val="-10"/>
                <w:sz w:val="18"/>
              </w:rPr>
              <w:t> </w:t>
            </w:r>
            <w:r>
              <w:rPr>
                <w:color w:val="105C84"/>
                <w:sz w:val="18"/>
              </w:rPr>
              <w:t>Suicide Prevention Coordinator</w:t>
            </w:r>
          </w:p>
        </w:tc>
        <w:tc>
          <w:tcPr>
            <w:tcW w:w="4238" w:type="dxa"/>
            <w:tcBorders>
              <w:left w:val="nil"/>
            </w:tcBorders>
          </w:tcPr>
          <w:p>
            <w:pPr>
              <w:pStyle w:val="TableParagraph"/>
              <w:spacing w:line="232" w:lineRule="auto" w:before="99"/>
              <w:ind w:left="1102" w:right="39"/>
              <w:rPr>
                <w:sz w:val="18"/>
              </w:rPr>
            </w:pPr>
            <w:r>
              <w:rPr>
                <w:color w:val="105C84"/>
                <w:sz w:val="18"/>
              </w:rPr>
              <w:t>Attend four to five local festivals/ events</w:t>
            </w:r>
            <w:r>
              <w:rPr>
                <w:color w:val="105C84"/>
                <w:spacing w:val="3"/>
                <w:sz w:val="18"/>
              </w:rPr>
              <w:t> </w:t>
            </w:r>
            <w:r>
              <w:rPr>
                <w:color w:val="105C84"/>
                <w:sz w:val="18"/>
              </w:rPr>
              <w:t>to</w:t>
            </w:r>
            <w:r>
              <w:rPr>
                <w:color w:val="105C84"/>
                <w:spacing w:val="4"/>
                <w:sz w:val="18"/>
              </w:rPr>
              <w:t> </w:t>
            </w:r>
            <w:r>
              <w:rPr>
                <w:color w:val="105C84"/>
                <w:sz w:val="18"/>
              </w:rPr>
              <w:t>promote</w:t>
            </w:r>
            <w:r>
              <w:rPr>
                <w:color w:val="105C84"/>
                <w:spacing w:val="4"/>
                <w:sz w:val="18"/>
              </w:rPr>
              <w:t> </w:t>
            </w:r>
            <w:r>
              <w:rPr>
                <w:color w:val="105C84"/>
                <w:sz w:val="18"/>
              </w:rPr>
              <w:t>suicide</w:t>
            </w:r>
            <w:r>
              <w:rPr>
                <w:color w:val="105C84"/>
                <w:spacing w:val="3"/>
                <w:sz w:val="18"/>
              </w:rPr>
              <w:t> </w:t>
            </w:r>
            <w:r>
              <w:rPr>
                <w:color w:val="105C84"/>
                <w:spacing w:val="-6"/>
                <w:sz w:val="18"/>
              </w:rPr>
              <w:t>awareness</w:t>
            </w:r>
          </w:p>
          <w:p>
            <w:pPr>
              <w:pStyle w:val="TableParagraph"/>
              <w:spacing w:line="232" w:lineRule="auto" w:before="89"/>
              <w:ind w:left="1102" w:right="39"/>
              <w:rPr>
                <w:sz w:val="18"/>
              </w:rPr>
            </w:pPr>
            <w:r>
              <w:rPr>
                <w:color w:val="105C84"/>
                <w:sz w:val="18"/>
              </w:rPr>
              <w:t>Attend</w:t>
            </w:r>
            <w:r>
              <w:rPr>
                <w:color w:val="105C84"/>
                <w:spacing w:val="-1"/>
                <w:sz w:val="18"/>
              </w:rPr>
              <w:t> </w:t>
            </w:r>
            <w:r>
              <w:rPr>
                <w:color w:val="105C84"/>
                <w:sz w:val="18"/>
              </w:rPr>
              <w:t>annual</w:t>
            </w:r>
            <w:r>
              <w:rPr>
                <w:color w:val="105C84"/>
                <w:spacing w:val="-1"/>
                <w:sz w:val="18"/>
              </w:rPr>
              <w:t> </w:t>
            </w:r>
            <w:r>
              <w:rPr>
                <w:color w:val="105C84"/>
                <w:sz w:val="18"/>
              </w:rPr>
              <w:t>regional</w:t>
            </w:r>
            <w:r>
              <w:rPr>
                <w:color w:val="105C84"/>
                <w:spacing w:val="-1"/>
                <w:sz w:val="18"/>
              </w:rPr>
              <w:t> </w:t>
            </w:r>
            <w:r>
              <w:rPr>
                <w:color w:val="105C84"/>
                <w:sz w:val="18"/>
              </w:rPr>
              <w:t>and</w:t>
            </w:r>
            <w:r>
              <w:rPr>
                <w:color w:val="105C84"/>
                <w:spacing w:val="-1"/>
                <w:sz w:val="18"/>
              </w:rPr>
              <w:t> </w:t>
            </w:r>
            <w:r>
              <w:rPr>
                <w:color w:val="105C84"/>
                <w:sz w:val="18"/>
              </w:rPr>
              <w:t>statewide suicide prevention meetings</w:t>
            </w:r>
          </w:p>
          <w:p>
            <w:pPr>
              <w:pStyle w:val="TableParagraph"/>
              <w:spacing w:line="232" w:lineRule="auto" w:before="88"/>
              <w:ind w:left="1102" w:right="537"/>
              <w:rPr>
                <w:sz w:val="18"/>
              </w:rPr>
            </w:pPr>
            <w:r>
              <w:rPr>
                <w:color w:val="105C84"/>
                <w:sz w:val="18"/>
              </w:rPr>
              <w:t>Fundraise</w:t>
            </w:r>
            <w:r>
              <w:rPr>
                <w:color w:val="105C84"/>
                <w:spacing w:val="-13"/>
                <w:sz w:val="18"/>
              </w:rPr>
              <w:t> </w:t>
            </w:r>
            <w:r>
              <w:rPr>
                <w:color w:val="105C84"/>
                <w:sz w:val="18"/>
              </w:rPr>
              <w:t>for</w:t>
            </w:r>
            <w:r>
              <w:rPr>
                <w:color w:val="105C84"/>
                <w:spacing w:val="-12"/>
                <w:sz w:val="18"/>
              </w:rPr>
              <w:t> </w:t>
            </w:r>
            <w:r>
              <w:rPr>
                <w:color w:val="105C84"/>
                <w:sz w:val="18"/>
              </w:rPr>
              <w:t>Suicide</w:t>
            </w:r>
            <w:r>
              <w:rPr>
                <w:color w:val="105C84"/>
                <w:spacing w:val="-13"/>
                <w:sz w:val="18"/>
              </w:rPr>
              <w:t> </w:t>
            </w:r>
            <w:r>
              <w:rPr>
                <w:color w:val="105C84"/>
                <w:sz w:val="18"/>
              </w:rPr>
              <w:t>Prevention </w:t>
            </w:r>
            <w:r>
              <w:rPr>
                <w:color w:val="105C84"/>
                <w:spacing w:val="-2"/>
                <w:sz w:val="18"/>
              </w:rPr>
              <w:t>awareness</w:t>
            </w:r>
            <w:r>
              <w:rPr>
                <w:color w:val="105C84"/>
                <w:spacing w:val="-4"/>
                <w:sz w:val="18"/>
              </w:rPr>
              <w:t> </w:t>
            </w:r>
            <w:r>
              <w:rPr>
                <w:color w:val="105C84"/>
                <w:spacing w:val="-2"/>
                <w:sz w:val="18"/>
              </w:rPr>
              <w:t>at</w:t>
            </w:r>
            <w:r>
              <w:rPr>
                <w:color w:val="105C84"/>
                <w:spacing w:val="-4"/>
                <w:sz w:val="18"/>
              </w:rPr>
              <w:t> </w:t>
            </w:r>
            <w:r>
              <w:rPr>
                <w:color w:val="105C84"/>
                <w:spacing w:val="-2"/>
                <w:sz w:val="18"/>
              </w:rPr>
              <w:t>Waterfront</w:t>
            </w:r>
            <w:r>
              <w:rPr>
                <w:color w:val="105C84"/>
                <w:spacing w:val="-4"/>
                <w:sz w:val="18"/>
              </w:rPr>
              <w:t> </w:t>
            </w:r>
            <w:r>
              <w:rPr>
                <w:color w:val="105C84"/>
                <w:spacing w:val="-2"/>
                <w:sz w:val="18"/>
              </w:rPr>
              <w:t>Festival</w:t>
            </w:r>
          </w:p>
          <w:p>
            <w:pPr>
              <w:pStyle w:val="TableParagraph"/>
              <w:spacing w:line="232" w:lineRule="auto" w:before="89"/>
              <w:ind w:left="1102" w:right="254"/>
              <w:jc w:val="both"/>
              <w:rPr>
                <w:sz w:val="18"/>
              </w:rPr>
            </w:pPr>
            <w:r>
              <w:rPr>
                <w:color w:val="105C84"/>
                <w:sz w:val="18"/>
              </w:rPr>
              <w:t>Offer Youth Mental Health First Aid training for staff at one school each year. Work with County Coroner on accurate</w:t>
            </w:r>
            <w:r>
              <w:rPr>
                <w:color w:val="105C84"/>
                <w:spacing w:val="1"/>
                <w:sz w:val="18"/>
              </w:rPr>
              <w:t> </w:t>
            </w:r>
            <w:r>
              <w:rPr>
                <w:color w:val="105C84"/>
                <w:sz w:val="18"/>
              </w:rPr>
              <w:t>reporting</w:t>
            </w:r>
            <w:r>
              <w:rPr>
                <w:color w:val="105C84"/>
                <w:spacing w:val="2"/>
                <w:sz w:val="18"/>
              </w:rPr>
              <w:t> </w:t>
            </w:r>
            <w:r>
              <w:rPr>
                <w:color w:val="105C84"/>
                <w:sz w:val="18"/>
              </w:rPr>
              <w:t>of</w:t>
            </w:r>
            <w:r>
              <w:rPr>
                <w:color w:val="105C84"/>
                <w:spacing w:val="1"/>
                <w:sz w:val="18"/>
              </w:rPr>
              <w:t> </w:t>
            </w:r>
            <w:r>
              <w:rPr>
                <w:color w:val="105C84"/>
                <w:sz w:val="18"/>
              </w:rPr>
              <w:t>suicide</w:t>
            </w:r>
            <w:r>
              <w:rPr>
                <w:color w:val="105C84"/>
                <w:spacing w:val="2"/>
                <w:sz w:val="18"/>
              </w:rPr>
              <w:t> </w:t>
            </w:r>
            <w:r>
              <w:rPr>
                <w:color w:val="105C84"/>
                <w:spacing w:val="-2"/>
                <w:sz w:val="18"/>
              </w:rPr>
              <w:t>deaths</w:t>
            </w:r>
          </w:p>
        </w:tc>
        <w:tc>
          <w:tcPr>
            <w:tcW w:w="3575" w:type="dxa"/>
          </w:tcPr>
          <w:p>
            <w:pPr>
              <w:pStyle w:val="TableParagraph"/>
              <w:spacing w:line="232" w:lineRule="auto" w:before="99"/>
              <w:ind w:left="88"/>
              <w:rPr>
                <w:sz w:val="18"/>
              </w:rPr>
            </w:pPr>
            <w:r>
              <w:rPr>
                <w:color w:val="105C84"/>
                <w:sz w:val="18"/>
              </w:rPr>
              <w:t>Attend four to five local festivals/events </w:t>
            </w:r>
            <w:r>
              <w:rPr>
                <w:color w:val="105C84"/>
                <w:sz w:val="18"/>
              </w:rPr>
              <w:t>to promote suicide awareness</w:t>
            </w:r>
          </w:p>
          <w:p>
            <w:pPr>
              <w:pStyle w:val="TableParagraph"/>
              <w:spacing w:line="232" w:lineRule="auto" w:before="89"/>
              <w:ind w:left="88"/>
              <w:rPr>
                <w:sz w:val="18"/>
              </w:rPr>
            </w:pPr>
            <w:r>
              <w:rPr>
                <w:color w:val="105C84"/>
                <w:sz w:val="18"/>
              </w:rPr>
              <w:t>Attend</w:t>
            </w:r>
            <w:r>
              <w:rPr>
                <w:color w:val="105C84"/>
                <w:spacing w:val="-1"/>
                <w:sz w:val="18"/>
              </w:rPr>
              <w:t> </w:t>
            </w:r>
            <w:r>
              <w:rPr>
                <w:color w:val="105C84"/>
                <w:sz w:val="18"/>
              </w:rPr>
              <w:t>annual</w:t>
            </w:r>
            <w:r>
              <w:rPr>
                <w:color w:val="105C84"/>
                <w:spacing w:val="-1"/>
                <w:sz w:val="18"/>
              </w:rPr>
              <w:t> </w:t>
            </w:r>
            <w:r>
              <w:rPr>
                <w:color w:val="105C84"/>
                <w:sz w:val="18"/>
              </w:rPr>
              <w:t>regional</w:t>
            </w:r>
            <w:r>
              <w:rPr>
                <w:color w:val="105C84"/>
                <w:spacing w:val="-1"/>
                <w:sz w:val="18"/>
              </w:rPr>
              <w:t> </w:t>
            </w:r>
            <w:r>
              <w:rPr>
                <w:color w:val="105C84"/>
                <w:sz w:val="18"/>
              </w:rPr>
              <w:t>and</w:t>
            </w:r>
            <w:r>
              <w:rPr>
                <w:color w:val="105C84"/>
                <w:spacing w:val="-1"/>
                <w:sz w:val="18"/>
              </w:rPr>
              <w:t> </w:t>
            </w:r>
            <w:r>
              <w:rPr>
                <w:color w:val="105C84"/>
                <w:sz w:val="18"/>
              </w:rPr>
              <w:t>statewide suicide prevention meetings</w:t>
            </w:r>
          </w:p>
          <w:p>
            <w:pPr>
              <w:pStyle w:val="TableParagraph"/>
              <w:spacing w:line="232" w:lineRule="auto" w:before="88"/>
              <w:ind w:left="88" w:right="883"/>
              <w:rPr>
                <w:sz w:val="18"/>
              </w:rPr>
            </w:pPr>
            <w:r>
              <w:rPr>
                <w:color w:val="105C84"/>
                <w:sz w:val="18"/>
              </w:rPr>
              <w:t>Fundraise</w:t>
            </w:r>
            <w:r>
              <w:rPr>
                <w:color w:val="105C84"/>
                <w:spacing w:val="-13"/>
                <w:sz w:val="18"/>
              </w:rPr>
              <w:t> </w:t>
            </w:r>
            <w:r>
              <w:rPr>
                <w:color w:val="105C84"/>
                <w:sz w:val="18"/>
              </w:rPr>
              <w:t>for</w:t>
            </w:r>
            <w:r>
              <w:rPr>
                <w:color w:val="105C84"/>
                <w:spacing w:val="-12"/>
                <w:sz w:val="18"/>
              </w:rPr>
              <w:t> </w:t>
            </w:r>
            <w:r>
              <w:rPr>
                <w:color w:val="105C84"/>
                <w:sz w:val="18"/>
              </w:rPr>
              <w:t>Suicide</w:t>
            </w:r>
            <w:r>
              <w:rPr>
                <w:color w:val="105C84"/>
                <w:spacing w:val="-13"/>
                <w:sz w:val="18"/>
              </w:rPr>
              <w:t> </w:t>
            </w:r>
            <w:r>
              <w:rPr>
                <w:color w:val="105C84"/>
                <w:sz w:val="18"/>
              </w:rPr>
              <w:t>Prevention </w:t>
            </w:r>
            <w:r>
              <w:rPr>
                <w:color w:val="105C84"/>
                <w:spacing w:val="-2"/>
                <w:sz w:val="18"/>
              </w:rPr>
              <w:t>awareness</w:t>
            </w:r>
            <w:r>
              <w:rPr>
                <w:color w:val="105C84"/>
                <w:spacing w:val="-4"/>
                <w:sz w:val="18"/>
              </w:rPr>
              <w:t> </w:t>
            </w:r>
            <w:r>
              <w:rPr>
                <w:color w:val="105C84"/>
                <w:spacing w:val="-2"/>
                <w:sz w:val="18"/>
              </w:rPr>
              <w:t>at</w:t>
            </w:r>
            <w:r>
              <w:rPr>
                <w:color w:val="105C84"/>
                <w:spacing w:val="-4"/>
                <w:sz w:val="18"/>
              </w:rPr>
              <w:t> </w:t>
            </w:r>
            <w:r>
              <w:rPr>
                <w:color w:val="105C84"/>
                <w:spacing w:val="-2"/>
                <w:sz w:val="18"/>
              </w:rPr>
              <w:t>Waterfront</w:t>
            </w:r>
            <w:r>
              <w:rPr>
                <w:color w:val="105C84"/>
                <w:spacing w:val="-4"/>
                <w:sz w:val="18"/>
              </w:rPr>
              <w:t> </w:t>
            </w:r>
            <w:r>
              <w:rPr>
                <w:color w:val="105C84"/>
                <w:spacing w:val="-2"/>
                <w:sz w:val="18"/>
              </w:rPr>
              <w:t>Festival</w:t>
            </w:r>
          </w:p>
          <w:p>
            <w:pPr>
              <w:pStyle w:val="TableParagraph"/>
              <w:spacing w:line="232" w:lineRule="auto" w:before="88"/>
              <w:ind w:left="88" w:right="115"/>
              <w:rPr>
                <w:sz w:val="18"/>
              </w:rPr>
            </w:pPr>
            <w:r>
              <w:rPr>
                <w:color w:val="105C84"/>
                <w:sz w:val="18"/>
              </w:rPr>
              <w:t>Offer Youth Mental Health First Aid training</w:t>
            </w:r>
            <w:r>
              <w:rPr>
                <w:color w:val="105C84"/>
                <w:spacing w:val="-3"/>
                <w:sz w:val="18"/>
              </w:rPr>
              <w:t> </w:t>
            </w:r>
            <w:r>
              <w:rPr>
                <w:color w:val="105C84"/>
                <w:sz w:val="18"/>
              </w:rPr>
              <w:t>for</w:t>
            </w:r>
            <w:r>
              <w:rPr>
                <w:color w:val="105C84"/>
                <w:spacing w:val="-2"/>
                <w:sz w:val="18"/>
              </w:rPr>
              <w:t> </w:t>
            </w:r>
            <w:r>
              <w:rPr>
                <w:color w:val="105C84"/>
                <w:sz w:val="18"/>
              </w:rPr>
              <w:t>staff</w:t>
            </w:r>
            <w:r>
              <w:rPr>
                <w:color w:val="105C84"/>
                <w:spacing w:val="-2"/>
                <w:sz w:val="18"/>
              </w:rPr>
              <w:t> </w:t>
            </w:r>
            <w:r>
              <w:rPr>
                <w:color w:val="105C84"/>
                <w:sz w:val="18"/>
              </w:rPr>
              <w:t>at</w:t>
            </w:r>
            <w:r>
              <w:rPr>
                <w:color w:val="105C84"/>
                <w:spacing w:val="-2"/>
                <w:sz w:val="18"/>
              </w:rPr>
              <w:t> </w:t>
            </w:r>
            <w:r>
              <w:rPr>
                <w:color w:val="105C84"/>
                <w:sz w:val="18"/>
              </w:rPr>
              <w:t>one</w:t>
            </w:r>
            <w:r>
              <w:rPr>
                <w:color w:val="105C84"/>
                <w:spacing w:val="-2"/>
                <w:sz w:val="18"/>
              </w:rPr>
              <w:t> </w:t>
            </w:r>
            <w:r>
              <w:rPr>
                <w:color w:val="105C84"/>
                <w:sz w:val="18"/>
              </w:rPr>
              <w:t>school</w:t>
            </w:r>
            <w:r>
              <w:rPr>
                <w:color w:val="105C84"/>
                <w:spacing w:val="-2"/>
                <w:sz w:val="18"/>
              </w:rPr>
              <w:t> </w:t>
            </w:r>
            <w:r>
              <w:rPr>
                <w:color w:val="105C84"/>
                <w:sz w:val="18"/>
              </w:rPr>
              <w:t>each</w:t>
            </w:r>
            <w:r>
              <w:rPr>
                <w:color w:val="105C84"/>
                <w:spacing w:val="-2"/>
                <w:sz w:val="18"/>
              </w:rPr>
              <w:t> </w:t>
            </w:r>
            <w:r>
              <w:rPr>
                <w:color w:val="105C84"/>
                <w:spacing w:val="-4"/>
                <w:sz w:val="18"/>
              </w:rPr>
              <w:t>year</w:t>
            </w:r>
          </w:p>
          <w:p>
            <w:pPr>
              <w:pStyle w:val="TableParagraph"/>
              <w:spacing w:line="232" w:lineRule="auto" w:before="89"/>
              <w:ind w:left="88"/>
              <w:rPr>
                <w:sz w:val="18"/>
              </w:rPr>
            </w:pPr>
            <w:r>
              <w:rPr>
                <w:color w:val="105C84"/>
                <w:sz w:val="18"/>
              </w:rPr>
              <w:t>Work</w:t>
            </w:r>
            <w:r>
              <w:rPr>
                <w:color w:val="105C84"/>
                <w:spacing w:val="-7"/>
                <w:sz w:val="18"/>
              </w:rPr>
              <w:t> </w:t>
            </w:r>
            <w:r>
              <w:rPr>
                <w:color w:val="105C84"/>
                <w:sz w:val="18"/>
              </w:rPr>
              <w:t>with</w:t>
            </w:r>
            <w:r>
              <w:rPr>
                <w:color w:val="105C84"/>
                <w:spacing w:val="-7"/>
                <w:sz w:val="18"/>
              </w:rPr>
              <w:t> </w:t>
            </w:r>
            <w:r>
              <w:rPr>
                <w:color w:val="105C84"/>
                <w:sz w:val="18"/>
              </w:rPr>
              <w:t>County</w:t>
            </w:r>
            <w:r>
              <w:rPr>
                <w:color w:val="105C84"/>
                <w:spacing w:val="-7"/>
                <w:sz w:val="18"/>
              </w:rPr>
              <w:t> </w:t>
            </w:r>
            <w:r>
              <w:rPr>
                <w:color w:val="105C84"/>
                <w:sz w:val="18"/>
              </w:rPr>
              <w:t>Coroner</w:t>
            </w:r>
            <w:r>
              <w:rPr>
                <w:color w:val="105C84"/>
                <w:spacing w:val="-7"/>
                <w:sz w:val="18"/>
              </w:rPr>
              <w:t> </w:t>
            </w:r>
            <w:r>
              <w:rPr>
                <w:color w:val="105C84"/>
                <w:sz w:val="18"/>
              </w:rPr>
              <w:t>on</w:t>
            </w:r>
            <w:r>
              <w:rPr>
                <w:color w:val="105C84"/>
                <w:spacing w:val="-7"/>
                <w:sz w:val="18"/>
              </w:rPr>
              <w:t> </w:t>
            </w:r>
            <w:r>
              <w:rPr>
                <w:color w:val="105C84"/>
                <w:sz w:val="18"/>
              </w:rPr>
              <w:t>accurate reporting of suicide deaths.</w:t>
            </w:r>
          </w:p>
        </w:tc>
        <w:tc>
          <w:tcPr>
            <w:tcW w:w="1753" w:type="dxa"/>
          </w:tcPr>
          <w:p>
            <w:pPr>
              <w:pStyle w:val="TableParagraph"/>
              <w:spacing w:line="232" w:lineRule="auto" w:before="99"/>
              <w:ind w:left="88"/>
              <w:rPr>
                <w:sz w:val="18"/>
              </w:rPr>
            </w:pPr>
            <w:r>
              <w:rPr>
                <w:color w:val="105C84"/>
                <w:spacing w:val="-2"/>
                <w:sz w:val="18"/>
              </w:rPr>
              <w:t>Community-</w:t>
            </w:r>
            <w:r>
              <w:rPr>
                <w:color w:val="105C84"/>
                <w:spacing w:val="-2"/>
                <w:sz w:val="18"/>
              </w:rPr>
              <w:t>based organizations</w:t>
            </w:r>
          </w:p>
        </w:tc>
        <w:tc>
          <w:tcPr>
            <w:tcW w:w="1546" w:type="dxa"/>
          </w:tcPr>
          <w:p>
            <w:pPr>
              <w:pStyle w:val="TableParagraph"/>
              <w:spacing w:line="232" w:lineRule="auto" w:before="99"/>
              <w:ind w:left="88" w:right="91"/>
              <w:rPr>
                <w:sz w:val="18"/>
              </w:rPr>
            </w:pPr>
            <w:r>
              <w:rPr>
                <w:color w:val="105C84"/>
                <w:sz w:val="18"/>
              </w:rPr>
              <w:t>SAFE- time spent</w:t>
            </w:r>
            <w:r>
              <w:rPr>
                <w:color w:val="105C84"/>
                <w:spacing w:val="-3"/>
                <w:sz w:val="18"/>
              </w:rPr>
              <w:t> </w:t>
            </w:r>
            <w:r>
              <w:rPr>
                <w:color w:val="105C84"/>
                <w:sz w:val="18"/>
              </w:rPr>
              <w:t>on</w:t>
            </w:r>
            <w:r>
              <w:rPr>
                <w:color w:val="105C84"/>
                <w:spacing w:val="-3"/>
                <w:sz w:val="18"/>
              </w:rPr>
              <w:t> </w:t>
            </w:r>
            <w:r>
              <w:rPr>
                <w:color w:val="105C84"/>
                <w:sz w:val="18"/>
              </w:rPr>
              <w:t>tabling, </w:t>
            </w:r>
            <w:r>
              <w:rPr>
                <w:color w:val="105C84"/>
                <w:spacing w:val="-2"/>
                <w:sz w:val="18"/>
              </w:rPr>
              <w:t>trainings, advocating.</w:t>
            </w:r>
          </w:p>
        </w:tc>
      </w:tr>
      <w:tr>
        <w:trPr>
          <w:trHeight w:val="544" w:hRule="atLeast"/>
        </w:trPr>
        <w:tc>
          <w:tcPr>
            <w:tcW w:w="1526" w:type="dxa"/>
            <w:vMerge/>
            <w:tcBorders>
              <w:top w:val="nil"/>
              <w:bottom w:val="nil"/>
            </w:tcBorders>
            <w:shd w:val="clear" w:color="auto" w:fill="E6E7E8"/>
          </w:tcPr>
          <w:p>
            <w:pPr>
              <w:rPr>
                <w:sz w:val="2"/>
                <w:szCs w:val="2"/>
              </w:rPr>
            </w:pPr>
          </w:p>
        </w:tc>
        <w:tc>
          <w:tcPr>
            <w:tcW w:w="1123" w:type="dxa"/>
            <w:vMerge/>
            <w:tcBorders>
              <w:top w:val="nil"/>
              <w:bottom w:val="nil"/>
            </w:tcBorders>
          </w:tcPr>
          <w:p>
            <w:pPr>
              <w:rPr>
                <w:sz w:val="2"/>
                <w:szCs w:val="2"/>
              </w:rPr>
            </w:pPr>
          </w:p>
        </w:tc>
        <w:tc>
          <w:tcPr>
            <w:tcW w:w="864" w:type="dxa"/>
            <w:vMerge/>
            <w:tcBorders>
              <w:top w:val="nil"/>
              <w:bottom w:val="nil"/>
            </w:tcBorders>
          </w:tcPr>
          <w:p>
            <w:pPr>
              <w:rPr>
                <w:sz w:val="2"/>
                <w:szCs w:val="2"/>
              </w:rPr>
            </w:pPr>
          </w:p>
        </w:tc>
        <w:tc>
          <w:tcPr>
            <w:tcW w:w="1210" w:type="dxa"/>
            <w:vMerge/>
            <w:tcBorders>
              <w:top w:val="nil"/>
              <w:bottom w:val="nil"/>
            </w:tcBorders>
          </w:tcPr>
          <w:p>
            <w:pPr>
              <w:rPr>
                <w:sz w:val="2"/>
                <w:szCs w:val="2"/>
              </w:rPr>
            </w:pPr>
          </w:p>
        </w:tc>
        <w:tc>
          <w:tcPr>
            <w:tcW w:w="1440" w:type="dxa"/>
            <w:vMerge/>
            <w:tcBorders>
              <w:top w:val="nil"/>
              <w:bottom w:val="nil"/>
            </w:tcBorders>
          </w:tcPr>
          <w:p>
            <w:pPr>
              <w:rPr>
                <w:sz w:val="2"/>
                <w:szCs w:val="2"/>
              </w:rPr>
            </w:pPr>
          </w:p>
        </w:tc>
        <w:tc>
          <w:tcPr>
            <w:tcW w:w="1786" w:type="dxa"/>
            <w:vMerge/>
            <w:tcBorders>
              <w:top w:val="nil"/>
              <w:bottom w:val="nil"/>
            </w:tcBorders>
          </w:tcPr>
          <w:p>
            <w:pPr>
              <w:rPr>
                <w:sz w:val="2"/>
                <w:szCs w:val="2"/>
              </w:rPr>
            </w:pPr>
          </w:p>
        </w:tc>
        <w:tc>
          <w:tcPr>
            <w:tcW w:w="3280" w:type="dxa"/>
            <w:vMerge w:val="restart"/>
            <w:tcBorders>
              <w:right w:val="nil"/>
            </w:tcBorders>
          </w:tcPr>
          <w:p>
            <w:pPr>
              <w:pStyle w:val="TableParagraph"/>
              <w:spacing w:line="232" w:lineRule="auto" w:before="99"/>
              <w:ind w:left="89" w:right="1471"/>
              <w:rPr>
                <w:sz w:val="18"/>
              </w:rPr>
            </w:pPr>
            <w:r>
              <w:rPr>
                <w:color w:val="105C84"/>
                <w:sz w:val="18"/>
              </w:rPr>
              <w:t>Attend three to four </w:t>
            </w:r>
            <w:r>
              <w:rPr>
                <w:color w:val="105C84"/>
                <w:spacing w:val="-2"/>
                <w:sz w:val="18"/>
              </w:rPr>
              <w:t>local</w:t>
            </w:r>
            <w:r>
              <w:rPr>
                <w:color w:val="105C84"/>
                <w:spacing w:val="-9"/>
                <w:sz w:val="18"/>
              </w:rPr>
              <w:t> </w:t>
            </w:r>
            <w:r>
              <w:rPr>
                <w:color w:val="105C84"/>
                <w:spacing w:val="-2"/>
                <w:sz w:val="18"/>
              </w:rPr>
              <w:t>festivals/events </w:t>
            </w:r>
            <w:r>
              <w:rPr>
                <w:color w:val="105C84"/>
                <w:sz w:val="18"/>
              </w:rPr>
              <w:t>to promote suicide </w:t>
            </w:r>
            <w:r>
              <w:rPr>
                <w:color w:val="105C84"/>
                <w:spacing w:val="-2"/>
                <w:sz w:val="18"/>
              </w:rPr>
              <w:t>awareness</w:t>
            </w:r>
          </w:p>
          <w:p>
            <w:pPr>
              <w:pStyle w:val="TableParagraph"/>
              <w:spacing w:line="232" w:lineRule="auto" w:before="87"/>
              <w:ind w:left="89" w:right="1155"/>
              <w:rPr>
                <w:sz w:val="18"/>
              </w:rPr>
            </w:pPr>
            <w:r>
              <w:rPr>
                <w:color w:val="105C84"/>
                <w:sz w:val="18"/>
              </w:rPr>
              <w:t>Individual received training to be a QPR trainer.</w:t>
            </w:r>
            <w:r>
              <w:rPr>
                <w:color w:val="105C84"/>
                <w:spacing w:val="-12"/>
                <w:sz w:val="18"/>
              </w:rPr>
              <w:t> </w:t>
            </w:r>
            <w:r>
              <w:rPr>
                <w:color w:val="105C84"/>
                <w:sz w:val="18"/>
              </w:rPr>
              <w:t>Offer</w:t>
            </w:r>
            <w:r>
              <w:rPr>
                <w:color w:val="105C84"/>
                <w:spacing w:val="-12"/>
                <w:sz w:val="18"/>
              </w:rPr>
              <w:t> </w:t>
            </w:r>
            <w:r>
              <w:rPr>
                <w:color w:val="105C84"/>
                <w:sz w:val="18"/>
              </w:rPr>
              <w:t>youth</w:t>
            </w:r>
            <w:r>
              <w:rPr>
                <w:color w:val="105C84"/>
                <w:spacing w:val="-12"/>
                <w:sz w:val="18"/>
              </w:rPr>
              <w:t> </w:t>
            </w:r>
            <w:r>
              <w:rPr>
                <w:color w:val="105C84"/>
                <w:sz w:val="18"/>
              </w:rPr>
              <w:t>and adult QPR trainings</w:t>
            </w:r>
          </w:p>
          <w:p>
            <w:pPr>
              <w:pStyle w:val="TableParagraph"/>
              <w:spacing w:line="232" w:lineRule="auto" w:before="87"/>
              <w:ind w:left="89" w:right="991"/>
              <w:rPr>
                <w:sz w:val="18"/>
              </w:rPr>
            </w:pPr>
            <w:r>
              <w:rPr>
                <w:color w:val="105C84"/>
                <w:sz w:val="18"/>
              </w:rPr>
              <w:t>Organize</w:t>
            </w:r>
            <w:r>
              <w:rPr>
                <w:color w:val="105C84"/>
                <w:spacing w:val="-7"/>
                <w:sz w:val="18"/>
              </w:rPr>
              <w:t> </w:t>
            </w:r>
            <w:r>
              <w:rPr>
                <w:color w:val="105C84"/>
                <w:sz w:val="18"/>
              </w:rPr>
              <w:t>"Saving</w:t>
            </w:r>
            <w:r>
              <w:rPr>
                <w:color w:val="105C84"/>
                <w:spacing w:val="-7"/>
                <w:sz w:val="18"/>
              </w:rPr>
              <w:t> </w:t>
            </w:r>
            <w:r>
              <w:rPr>
                <w:color w:val="105C84"/>
                <w:sz w:val="18"/>
              </w:rPr>
              <w:t>Space": </w:t>
            </w:r>
            <w:r>
              <w:rPr>
                <w:color w:val="105C84"/>
                <w:w w:val="105"/>
                <w:sz w:val="18"/>
              </w:rPr>
              <w:t>informal</w:t>
            </w:r>
            <w:r>
              <w:rPr>
                <w:color w:val="105C84"/>
                <w:spacing w:val="-14"/>
                <w:w w:val="105"/>
                <w:sz w:val="18"/>
              </w:rPr>
              <w:t> </w:t>
            </w:r>
            <w:r>
              <w:rPr>
                <w:color w:val="105C84"/>
                <w:w w:val="105"/>
                <w:sz w:val="18"/>
              </w:rPr>
              <w:t>support</w:t>
            </w:r>
            <w:r>
              <w:rPr>
                <w:color w:val="105C84"/>
                <w:spacing w:val="-13"/>
                <w:w w:val="105"/>
                <w:sz w:val="18"/>
              </w:rPr>
              <w:t> </w:t>
            </w:r>
            <w:r>
              <w:rPr>
                <w:color w:val="105C84"/>
                <w:w w:val="105"/>
                <w:sz w:val="18"/>
              </w:rPr>
              <w:t>group</w:t>
            </w:r>
            <w:r>
              <w:rPr>
                <w:color w:val="105C84"/>
                <w:spacing w:val="-13"/>
                <w:w w:val="105"/>
                <w:sz w:val="18"/>
              </w:rPr>
              <w:t> </w:t>
            </w:r>
            <w:r>
              <w:rPr>
                <w:color w:val="105C84"/>
                <w:w w:val="105"/>
                <w:sz w:val="18"/>
              </w:rPr>
              <w:t>to support people dealing with</w:t>
            </w:r>
            <w:r>
              <w:rPr>
                <w:color w:val="105C84"/>
                <w:spacing w:val="-14"/>
                <w:w w:val="105"/>
                <w:sz w:val="18"/>
              </w:rPr>
              <w:t> </w:t>
            </w:r>
            <w:r>
              <w:rPr>
                <w:color w:val="105C84"/>
                <w:w w:val="105"/>
                <w:sz w:val="18"/>
              </w:rPr>
              <w:t>mental</w:t>
            </w:r>
            <w:r>
              <w:rPr>
                <w:color w:val="105C84"/>
                <w:spacing w:val="-13"/>
                <w:w w:val="105"/>
                <w:sz w:val="18"/>
              </w:rPr>
              <w:t> </w:t>
            </w:r>
            <w:r>
              <w:rPr>
                <w:color w:val="105C84"/>
                <w:w w:val="105"/>
                <w:sz w:val="18"/>
              </w:rPr>
              <w:t>health</w:t>
            </w:r>
            <w:r>
              <w:rPr>
                <w:color w:val="105C84"/>
                <w:spacing w:val="-13"/>
                <w:w w:val="105"/>
                <w:sz w:val="18"/>
              </w:rPr>
              <w:t> </w:t>
            </w:r>
            <w:r>
              <w:rPr>
                <w:color w:val="105C84"/>
                <w:w w:val="105"/>
                <w:sz w:val="18"/>
              </w:rPr>
              <w:t>issues </w:t>
            </w:r>
            <w:r>
              <w:rPr>
                <w:color w:val="105C84"/>
                <w:spacing w:val="-2"/>
                <w:w w:val="105"/>
                <w:sz w:val="18"/>
              </w:rPr>
              <w:t>in</w:t>
            </w:r>
            <w:r>
              <w:rPr>
                <w:color w:val="105C84"/>
                <w:spacing w:val="-12"/>
                <w:w w:val="105"/>
                <w:sz w:val="18"/>
              </w:rPr>
              <w:t> </w:t>
            </w:r>
            <w:r>
              <w:rPr>
                <w:color w:val="105C84"/>
                <w:spacing w:val="-2"/>
                <w:w w:val="105"/>
                <w:sz w:val="18"/>
              </w:rPr>
              <w:t>their</w:t>
            </w:r>
            <w:r>
              <w:rPr>
                <w:color w:val="105C84"/>
                <w:spacing w:val="-11"/>
                <w:w w:val="105"/>
                <w:sz w:val="18"/>
              </w:rPr>
              <w:t> </w:t>
            </w:r>
            <w:r>
              <w:rPr>
                <w:color w:val="105C84"/>
                <w:spacing w:val="-2"/>
                <w:w w:val="105"/>
                <w:sz w:val="18"/>
              </w:rPr>
              <w:t>lives,</w:t>
            </w:r>
            <w:r>
              <w:rPr>
                <w:color w:val="105C84"/>
                <w:spacing w:val="-11"/>
                <w:w w:val="105"/>
                <w:sz w:val="18"/>
              </w:rPr>
              <w:t> </w:t>
            </w:r>
            <w:r>
              <w:rPr>
                <w:color w:val="105C84"/>
                <w:spacing w:val="-2"/>
                <w:w w:val="105"/>
                <w:sz w:val="18"/>
              </w:rPr>
              <w:t>including</w:t>
            </w:r>
            <w:r>
              <w:rPr>
                <w:color w:val="105C84"/>
                <w:spacing w:val="-11"/>
                <w:w w:val="105"/>
                <w:sz w:val="18"/>
              </w:rPr>
              <w:t> </w:t>
            </w:r>
            <w:r>
              <w:rPr>
                <w:color w:val="105C84"/>
                <w:spacing w:val="-2"/>
                <w:w w:val="105"/>
                <w:sz w:val="18"/>
              </w:rPr>
              <w:t>but </w:t>
            </w:r>
            <w:r>
              <w:rPr>
                <w:color w:val="105C84"/>
                <w:w w:val="105"/>
                <w:sz w:val="18"/>
              </w:rPr>
              <w:t>not limited to suicide</w:t>
            </w:r>
          </w:p>
          <w:p>
            <w:pPr>
              <w:pStyle w:val="TableParagraph"/>
              <w:spacing w:line="232" w:lineRule="auto" w:before="85"/>
              <w:ind w:left="89" w:right="1274"/>
              <w:rPr>
                <w:sz w:val="18"/>
              </w:rPr>
            </w:pPr>
            <w:r>
              <w:rPr>
                <w:color w:val="105C84"/>
                <w:sz w:val="18"/>
              </w:rPr>
              <w:t>Organize</w:t>
            </w:r>
            <w:r>
              <w:rPr>
                <w:color w:val="105C84"/>
                <w:spacing w:val="-13"/>
                <w:sz w:val="18"/>
              </w:rPr>
              <w:t> </w:t>
            </w:r>
            <w:r>
              <w:rPr>
                <w:color w:val="105C84"/>
                <w:sz w:val="18"/>
              </w:rPr>
              <w:t>six</w:t>
            </w:r>
            <w:r>
              <w:rPr>
                <w:color w:val="105C84"/>
                <w:spacing w:val="-12"/>
                <w:sz w:val="18"/>
              </w:rPr>
              <w:t> </w:t>
            </w:r>
            <w:r>
              <w:rPr>
                <w:color w:val="105C84"/>
                <w:sz w:val="18"/>
              </w:rPr>
              <w:t>"Too</w:t>
            </w:r>
            <w:r>
              <w:rPr>
                <w:color w:val="105C84"/>
                <w:spacing w:val="-13"/>
                <w:sz w:val="18"/>
              </w:rPr>
              <w:t> </w:t>
            </w:r>
            <w:r>
              <w:rPr>
                <w:color w:val="105C84"/>
                <w:sz w:val="18"/>
              </w:rPr>
              <w:t>Late for</w:t>
            </w:r>
            <w:r>
              <w:rPr>
                <w:color w:val="105C84"/>
                <w:spacing w:val="-15"/>
                <w:sz w:val="18"/>
              </w:rPr>
              <w:t> </w:t>
            </w:r>
            <w:r>
              <w:rPr>
                <w:color w:val="105C84"/>
                <w:sz w:val="18"/>
              </w:rPr>
              <w:t>Taboo"</w:t>
            </w:r>
            <w:r>
              <w:rPr>
                <w:color w:val="105C84"/>
                <w:spacing w:val="-12"/>
                <w:sz w:val="18"/>
              </w:rPr>
              <w:t> </w:t>
            </w:r>
            <w:r>
              <w:rPr>
                <w:color w:val="105C84"/>
                <w:sz w:val="18"/>
              </w:rPr>
              <w:t>discussions focused on suicide </w:t>
            </w:r>
            <w:r>
              <w:rPr>
                <w:color w:val="105C84"/>
                <w:spacing w:val="-2"/>
                <w:sz w:val="18"/>
              </w:rPr>
              <w:t>prevention</w:t>
            </w:r>
          </w:p>
          <w:p>
            <w:pPr>
              <w:pStyle w:val="TableParagraph"/>
              <w:spacing w:line="232" w:lineRule="auto" w:before="87"/>
              <w:ind w:left="89" w:right="1155"/>
              <w:rPr>
                <w:sz w:val="18"/>
              </w:rPr>
            </w:pPr>
            <w:r>
              <w:rPr>
                <w:color w:val="105C84"/>
                <w:sz w:val="18"/>
              </w:rPr>
              <w:t>Individual is Peer Specialist</w:t>
            </w:r>
            <w:r>
              <w:rPr>
                <w:color w:val="105C84"/>
                <w:spacing w:val="-15"/>
                <w:sz w:val="18"/>
              </w:rPr>
              <w:t> </w:t>
            </w:r>
            <w:r>
              <w:rPr>
                <w:color w:val="105C84"/>
                <w:sz w:val="18"/>
              </w:rPr>
              <w:t>certified</w:t>
            </w:r>
            <w:r>
              <w:rPr>
                <w:color w:val="105C84"/>
                <w:spacing w:val="-12"/>
                <w:sz w:val="18"/>
              </w:rPr>
              <w:t> </w:t>
            </w:r>
            <w:r>
              <w:rPr>
                <w:color w:val="105C84"/>
                <w:sz w:val="18"/>
              </w:rPr>
              <w:t>and offering individual and group peer support </w:t>
            </w:r>
            <w:r>
              <w:rPr>
                <w:color w:val="105C84"/>
                <w:spacing w:val="-2"/>
                <w:sz w:val="18"/>
              </w:rPr>
              <w:t>services</w:t>
            </w:r>
          </w:p>
        </w:tc>
        <w:tc>
          <w:tcPr>
            <w:tcW w:w="4238" w:type="dxa"/>
            <w:vMerge w:val="restart"/>
            <w:tcBorders>
              <w:left w:val="nil"/>
            </w:tcBorders>
          </w:tcPr>
          <w:p>
            <w:pPr>
              <w:pStyle w:val="TableParagraph"/>
              <w:spacing w:line="232" w:lineRule="auto" w:before="99"/>
              <w:ind w:left="1102" w:right="34"/>
              <w:rPr>
                <w:sz w:val="18"/>
              </w:rPr>
            </w:pPr>
            <w:r>
              <w:rPr>
                <w:color w:val="105C84"/>
                <w:sz w:val="18"/>
              </w:rPr>
              <w:t>Attend three to four local festivals/ events</w:t>
            </w:r>
            <w:r>
              <w:rPr>
                <w:color w:val="105C84"/>
                <w:spacing w:val="-15"/>
                <w:sz w:val="18"/>
              </w:rPr>
              <w:t> </w:t>
            </w:r>
            <w:r>
              <w:rPr>
                <w:color w:val="105C84"/>
                <w:sz w:val="18"/>
              </w:rPr>
              <w:t>to</w:t>
            </w:r>
            <w:r>
              <w:rPr>
                <w:color w:val="105C84"/>
                <w:spacing w:val="-12"/>
                <w:sz w:val="18"/>
              </w:rPr>
              <w:t> </w:t>
            </w:r>
            <w:r>
              <w:rPr>
                <w:color w:val="105C84"/>
                <w:sz w:val="18"/>
              </w:rPr>
              <w:t>promote</w:t>
            </w:r>
            <w:r>
              <w:rPr>
                <w:color w:val="105C84"/>
                <w:spacing w:val="-13"/>
                <w:sz w:val="18"/>
              </w:rPr>
              <w:t> </w:t>
            </w:r>
            <w:r>
              <w:rPr>
                <w:color w:val="105C84"/>
                <w:sz w:val="18"/>
              </w:rPr>
              <w:t>suicide</w:t>
            </w:r>
            <w:r>
              <w:rPr>
                <w:color w:val="105C84"/>
                <w:spacing w:val="-12"/>
                <w:sz w:val="18"/>
              </w:rPr>
              <w:t> </w:t>
            </w:r>
            <w:r>
              <w:rPr>
                <w:color w:val="105C84"/>
                <w:sz w:val="18"/>
              </w:rPr>
              <w:t>awareness</w:t>
            </w:r>
          </w:p>
          <w:p>
            <w:pPr>
              <w:pStyle w:val="TableParagraph"/>
              <w:spacing w:line="232" w:lineRule="auto" w:before="88"/>
              <w:ind w:left="1102" w:right="34"/>
              <w:rPr>
                <w:sz w:val="18"/>
              </w:rPr>
            </w:pPr>
            <w:r>
              <w:rPr>
                <w:color w:val="105C84"/>
                <w:sz w:val="18"/>
              </w:rPr>
              <w:t>Individual</w:t>
            </w:r>
            <w:r>
              <w:rPr>
                <w:color w:val="105C84"/>
                <w:spacing w:val="-1"/>
                <w:sz w:val="18"/>
              </w:rPr>
              <w:t> </w:t>
            </w:r>
            <w:r>
              <w:rPr>
                <w:color w:val="105C84"/>
                <w:sz w:val="18"/>
              </w:rPr>
              <w:t>received</w:t>
            </w:r>
            <w:r>
              <w:rPr>
                <w:color w:val="105C84"/>
                <w:spacing w:val="-1"/>
                <w:sz w:val="18"/>
              </w:rPr>
              <w:t> </w:t>
            </w:r>
            <w:r>
              <w:rPr>
                <w:color w:val="105C84"/>
                <w:sz w:val="18"/>
              </w:rPr>
              <w:t>training</w:t>
            </w:r>
            <w:r>
              <w:rPr>
                <w:color w:val="105C84"/>
                <w:spacing w:val="-1"/>
                <w:sz w:val="18"/>
              </w:rPr>
              <w:t> </w:t>
            </w:r>
            <w:r>
              <w:rPr>
                <w:color w:val="105C84"/>
                <w:sz w:val="18"/>
              </w:rPr>
              <w:t>to</w:t>
            </w:r>
            <w:r>
              <w:rPr>
                <w:color w:val="105C84"/>
                <w:spacing w:val="-1"/>
                <w:sz w:val="18"/>
              </w:rPr>
              <w:t> </w:t>
            </w:r>
            <w:r>
              <w:rPr>
                <w:color w:val="105C84"/>
                <w:sz w:val="18"/>
              </w:rPr>
              <w:t>be</w:t>
            </w:r>
            <w:r>
              <w:rPr>
                <w:color w:val="105C84"/>
                <w:spacing w:val="-1"/>
                <w:sz w:val="18"/>
              </w:rPr>
              <w:t> </w:t>
            </w:r>
            <w:r>
              <w:rPr>
                <w:color w:val="105C84"/>
                <w:sz w:val="18"/>
              </w:rPr>
              <w:t>a QPR</w:t>
            </w:r>
            <w:r>
              <w:rPr>
                <w:color w:val="105C84"/>
                <w:spacing w:val="-1"/>
                <w:sz w:val="18"/>
              </w:rPr>
              <w:t> </w:t>
            </w:r>
            <w:r>
              <w:rPr>
                <w:color w:val="105C84"/>
                <w:sz w:val="18"/>
              </w:rPr>
              <w:t>trainer,</w:t>
            </w:r>
            <w:r>
              <w:rPr>
                <w:color w:val="105C84"/>
                <w:spacing w:val="-1"/>
                <w:sz w:val="18"/>
              </w:rPr>
              <w:t> </w:t>
            </w:r>
            <w:r>
              <w:rPr>
                <w:color w:val="105C84"/>
                <w:sz w:val="18"/>
              </w:rPr>
              <w:t>Offer</w:t>
            </w:r>
            <w:r>
              <w:rPr>
                <w:color w:val="105C84"/>
                <w:spacing w:val="-1"/>
                <w:sz w:val="18"/>
              </w:rPr>
              <w:t> </w:t>
            </w:r>
            <w:r>
              <w:rPr>
                <w:color w:val="105C84"/>
                <w:sz w:val="18"/>
              </w:rPr>
              <w:t>youth</w:t>
            </w:r>
            <w:r>
              <w:rPr>
                <w:color w:val="105C84"/>
                <w:spacing w:val="-1"/>
                <w:sz w:val="18"/>
              </w:rPr>
              <w:t> </w:t>
            </w:r>
            <w:r>
              <w:rPr>
                <w:color w:val="105C84"/>
                <w:sz w:val="18"/>
              </w:rPr>
              <w:t>and</w:t>
            </w:r>
            <w:r>
              <w:rPr>
                <w:color w:val="105C84"/>
                <w:spacing w:val="-1"/>
                <w:sz w:val="18"/>
              </w:rPr>
              <w:t> </w:t>
            </w:r>
            <w:r>
              <w:rPr>
                <w:color w:val="105C84"/>
                <w:sz w:val="18"/>
              </w:rPr>
              <w:t>adult QPR trainings</w:t>
            </w:r>
          </w:p>
          <w:p>
            <w:pPr>
              <w:pStyle w:val="TableParagraph"/>
              <w:spacing w:line="232" w:lineRule="auto" w:before="88"/>
              <w:ind w:left="1102" w:right="34"/>
              <w:rPr>
                <w:sz w:val="18"/>
              </w:rPr>
            </w:pPr>
            <w:r>
              <w:rPr>
                <w:color w:val="105C84"/>
                <w:w w:val="105"/>
                <w:sz w:val="18"/>
              </w:rPr>
              <w:t>Organize "Saving Space": informal support group to support people dealing with mental health issues in their</w:t>
            </w:r>
            <w:r>
              <w:rPr>
                <w:color w:val="105C84"/>
                <w:spacing w:val="-14"/>
                <w:w w:val="105"/>
                <w:sz w:val="18"/>
              </w:rPr>
              <w:t> </w:t>
            </w:r>
            <w:r>
              <w:rPr>
                <w:color w:val="105C84"/>
                <w:w w:val="105"/>
                <w:sz w:val="18"/>
              </w:rPr>
              <w:t>lives,</w:t>
            </w:r>
            <w:r>
              <w:rPr>
                <w:color w:val="105C84"/>
                <w:spacing w:val="-13"/>
                <w:w w:val="105"/>
                <w:sz w:val="18"/>
              </w:rPr>
              <w:t> </w:t>
            </w:r>
            <w:r>
              <w:rPr>
                <w:color w:val="105C84"/>
                <w:w w:val="105"/>
                <w:sz w:val="18"/>
              </w:rPr>
              <w:t>including</w:t>
            </w:r>
            <w:r>
              <w:rPr>
                <w:color w:val="105C84"/>
                <w:spacing w:val="-13"/>
                <w:w w:val="105"/>
                <w:sz w:val="18"/>
              </w:rPr>
              <w:t> </w:t>
            </w:r>
            <w:r>
              <w:rPr>
                <w:color w:val="105C84"/>
                <w:w w:val="105"/>
                <w:sz w:val="18"/>
              </w:rPr>
              <w:t>but</w:t>
            </w:r>
            <w:r>
              <w:rPr>
                <w:color w:val="105C84"/>
                <w:spacing w:val="-13"/>
                <w:w w:val="105"/>
                <w:sz w:val="18"/>
              </w:rPr>
              <w:t> </w:t>
            </w:r>
            <w:r>
              <w:rPr>
                <w:color w:val="105C84"/>
                <w:w w:val="105"/>
                <w:sz w:val="18"/>
              </w:rPr>
              <w:t>not</w:t>
            </w:r>
            <w:r>
              <w:rPr>
                <w:color w:val="105C84"/>
                <w:spacing w:val="-13"/>
                <w:w w:val="105"/>
                <w:sz w:val="18"/>
              </w:rPr>
              <w:t> </w:t>
            </w:r>
            <w:r>
              <w:rPr>
                <w:color w:val="105C84"/>
                <w:w w:val="105"/>
                <w:sz w:val="18"/>
              </w:rPr>
              <w:t>limited</w:t>
            </w:r>
            <w:r>
              <w:rPr>
                <w:color w:val="105C84"/>
                <w:spacing w:val="-13"/>
                <w:w w:val="105"/>
                <w:sz w:val="18"/>
              </w:rPr>
              <w:t> </w:t>
            </w:r>
            <w:r>
              <w:rPr>
                <w:color w:val="105C84"/>
                <w:w w:val="105"/>
                <w:sz w:val="18"/>
              </w:rPr>
              <w:t>to </w:t>
            </w:r>
            <w:r>
              <w:rPr>
                <w:color w:val="105C84"/>
                <w:spacing w:val="-2"/>
                <w:w w:val="105"/>
                <w:sz w:val="18"/>
              </w:rPr>
              <w:t>suicide</w:t>
            </w:r>
          </w:p>
          <w:p>
            <w:pPr>
              <w:pStyle w:val="TableParagraph"/>
              <w:spacing w:line="232" w:lineRule="auto" w:before="86"/>
              <w:ind w:left="1102" w:right="34"/>
              <w:rPr>
                <w:sz w:val="18"/>
              </w:rPr>
            </w:pPr>
            <w:r>
              <w:rPr>
                <w:color w:val="105C84"/>
                <w:sz w:val="18"/>
              </w:rPr>
              <w:t>Organize</w:t>
            </w:r>
            <w:r>
              <w:rPr>
                <w:color w:val="105C84"/>
                <w:spacing w:val="-6"/>
                <w:sz w:val="18"/>
              </w:rPr>
              <w:t> </w:t>
            </w:r>
            <w:r>
              <w:rPr>
                <w:color w:val="105C84"/>
                <w:sz w:val="18"/>
              </w:rPr>
              <w:t>six</w:t>
            </w:r>
            <w:r>
              <w:rPr>
                <w:color w:val="105C84"/>
                <w:spacing w:val="-6"/>
                <w:sz w:val="18"/>
              </w:rPr>
              <w:t> </w:t>
            </w:r>
            <w:r>
              <w:rPr>
                <w:color w:val="105C84"/>
                <w:sz w:val="18"/>
              </w:rPr>
              <w:t>"Too</w:t>
            </w:r>
            <w:r>
              <w:rPr>
                <w:color w:val="105C84"/>
                <w:spacing w:val="-6"/>
                <w:sz w:val="18"/>
              </w:rPr>
              <w:t> </w:t>
            </w:r>
            <w:r>
              <w:rPr>
                <w:color w:val="105C84"/>
                <w:sz w:val="18"/>
              </w:rPr>
              <w:t>Late</w:t>
            </w:r>
            <w:r>
              <w:rPr>
                <w:color w:val="105C84"/>
                <w:spacing w:val="-6"/>
                <w:sz w:val="18"/>
              </w:rPr>
              <w:t> </w:t>
            </w:r>
            <w:r>
              <w:rPr>
                <w:color w:val="105C84"/>
                <w:sz w:val="18"/>
              </w:rPr>
              <w:t>for</w:t>
            </w:r>
            <w:r>
              <w:rPr>
                <w:color w:val="105C84"/>
                <w:spacing w:val="-6"/>
                <w:sz w:val="18"/>
              </w:rPr>
              <w:t> </w:t>
            </w:r>
            <w:r>
              <w:rPr>
                <w:color w:val="105C84"/>
                <w:sz w:val="18"/>
              </w:rPr>
              <w:t>Taboo" discussions focused on suicide </w:t>
            </w:r>
            <w:r>
              <w:rPr>
                <w:color w:val="105C84"/>
                <w:spacing w:val="-2"/>
                <w:sz w:val="18"/>
              </w:rPr>
              <w:t>prevention</w:t>
            </w:r>
          </w:p>
          <w:p>
            <w:pPr>
              <w:pStyle w:val="TableParagraph"/>
              <w:spacing w:line="232" w:lineRule="auto" w:before="87"/>
              <w:ind w:left="1102" w:right="178"/>
              <w:rPr>
                <w:sz w:val="18"/>
              </w:rPr>
            </w:pPr>
            <w:r>
              <w:rPr>
                <w:color w:val="105C84"/>
                <w:sz w:val="18"/>
              </w:rPr>
              <w:t>Individual</w:t>
            </w:r>
            <w:r>
              <w:rPr>
                <w:color w:val="105C84"/>
                <w:spacing w:val="-15"/>
                <w:sz w:val="18"/>
              </w:rPr>
              <w:t> </w:t>
            </w:r>
            <w:r>
              <w:rPr>
                <w:color w:val="105C84"/>
                <w:sz w:val="18"/>
              </w:rPr>
              <w:t>is</w:t>
            </w:r>
            <w:r>
              <w:rPr>
                <w:color w:val="105C84"/>
                <w:spacing w:val="-12"/>
                <w:sz w:val="18"/>
              </w:rPr>
              <w:t> </w:t>
            </w:r>
            <w:r>
              <w:rPr>
                <w:color w:val="105C84"/>
                <w:sz w:val="18"/>
              </w:rPr>
              <w:t>Peer</w:t>
            </w:r>
            <w:r>
              <w:rPr>
                <w:color w:val="105C84"/>
                <w:spacing w:val="-13"/>
                <w:sz w:val="18"/>
              </w:rPr>
              <w:t> </w:t>
            </w:r>
            <w:r>
              <w:rPr>
                <w:color w:val="105C84"/>
                <w:sz w:val="18"/>
              </w:rPr>
              <w:t>Specialist</w:t>
            </w:r>
            <w:r>
              <w:rPr>
                <w:color w:val="105C84"/>
                <w:spacing w:val="-12"/>
                <w:sz w:val="18"/>
              </w:rPr>
              <w:t> </w:t>
            </w:r>
            <w:r>
              <w:rPr>
                <w:color w:val="105C84"/>
                <w:sz w:val="18"/>
              </w:rPr>
              <w:t>certified and offering individual and group peer support services</w:t>
            </w:r>
          </w:p>
          <w:p>
            <w:pPr>
              <w:pStyle w:val="TableParagraph"/>
              <w:spacing w:line="232" w:lineRule="auto" w:before="88"/>
              <w:ind w:left="1102" w:right="34"/>
              <w:rPr>
                <w:sz w:val="18"/>
              </w:rPr>
            </w:pPr>
            <w:r>
              <w:rPr>
                <w:color w:val="105C84"/>
                <w:sz w:val="18"/>
              </w:rPr>
              <w:t>Offer</w:t>
            </w:r>
            <w:r>
              <w:rPr>
                <w:color w:val="105C84"/>
                <w:spacing w:val="-7"/>
                <w:sz w:val="18"/>
              </w:rPr>
              <w:t> </w:t>
            </w:r>
            <w:r>
              <w:rPr>
                <w:color w:val="105C84"/>
                <w:sz w:val="18"/>
              </w:rPr>
              <w:t>youth</w:t>
            </w:r>
            <w:r>
              <w:rPr>
                <w:color w:val="105C84"/>
                <w:spacing w:val="-7"/>
                <w:sz w:val="18"/>
              </w:rPr>
              <w:t> </w:t>
            </w:r>
            <w:r>
              <w:rPr>
                <w:color w:val="105C84"/>
                <w:sz w:val="18"/>
              </w:rPr>
              <w:t>QPR</w:t>
            </w:r>
            <w:r>
              <w:rPr>
                <w:color w:val="105C84"/>
                <w:spacing w:val="-7"/>
                <w:sz w:val="18"/>
              </w:rPr>
              <w:t> </w:t>
            </w:r>
            <w:r>
              <w:rPr>
                <w:color w:val="105C84"/>
                <w:sz w:val="18"/>
              </w:rPr>
              <w:t>training</w:t>
            </w:r>
            <w:r>
              <w:rPr>
                <w:color w:val="105C84"/>
                <w:spacing w:val="-7"/>
                <w:sz w:val="18"/>
              </w:rPr>
              <w:t> </w:t>
            </w:r>
            <w:r>
              <w:rPr>
                <w:color w:val="105C84"/>
                <w:sz w:val="18"/>
              </w:rPr>
              <w:t>for</w:t>
            </w:r>
            <w:r>
              <w:rPr>
                <w:color w:val="105C84"/>
                <w:spacing w:val="-7"/>
                <w:sz w:val="18"/>
              </w:rPr>
              <w:t> </w:t>
            </w:r>
            <w:r>
              <w:rPr>
                <w:color w:val="105C84"/>
                <w:sz w:val="18"/>
              </w:rPr>
              <w:t>school-aged youth</w:t>
            </w:r>
          </w:p>
          <w:p>
            <w:pPr>
              <w:pStyle w:val="TableParagraph"/>
              <w:spacing w:line="232" w:lineRule="auto" w:before="88"/>
              <w:ind w:left="1102" w:right="34"/>
              <w:rPr>
                <w:sz w:val="18"/>
              </w:rPr>
            </w:pPr>
            <w:r>
              <w:rPr>
                <w:color w:val="105C84"/>
                <w:spacing w:val="-2"/>
                <w:sz w:val="18"/>
              </w:rPr>
              <w:t>Organize</w:t>
            </w:r>
            <w:r>
              <w:rPr>
                <w:color w:val="105C84"/>
                <w:spacing w:val="-3"/>
                <w:sz w:val="18"/>
              </w:rPr>
              <w:t> </w:t>
            </w:r>
            <w:r>
              <w:rPr>
                <w:color w:val="105C84"/>
                <w:spacing w:val="-2"/>
                <w:sz w:val="18"/>
              </w:rPr>
              <w:t>youth</w:t>
            </w:r>
            <w:r>
              <w:rPr>
                <w:color w:val="105C84"/>
                <w:spacing w:val="-3"/>
                <w:sz w:val="18"/>
              </w:rPr>
              <w:t> </w:t>
            </w:r>
            <w:r>
              <w:rPr>
                <w:color w:val="105C84"/>
                <w:spacing w:val="-2"/>
                <w:sz w:val="18"/>
              </w:rPr>
              <w:t>suicide</w:t>
            </w:r>
            <w:r>
              <w:rPr>
                <w:color w:val="105C84"/>
                <w:spacing w:val="-3"/>
                <w:sz w:val="18"/>
              </w:rPr>
              <w:t> </w:t>
            </w:r>
            <w:r>
              <w:rPr>
                <w:color w:val="105C84"/>
                <w:spacing w:val="-2"/>
                <w:sz w:val="18"/>
              </w:rPr>
              <w:t>awareness/ </w:t>
            </w:r>
            <w:r>
              <w:rPr>
                <w:color w:val="105C84"/>
                <w:sz w:val="18"/>
              </w:rPr>
              <w:t>suicide prevention dance</w:t>
            </w:r>
          </w:p>
          <w:p>
            <w:pPr>
              <w:pStyle w:val="TableParagraph"/>
              <w:spacing w:before="84"/>
              <w:ind w:left="1102"/>
              <w:rPr>
                <w:sz w:val="18"/>
              </w:rPr>
            </w:pPr>
            <w:r>
              <w:rPr>
                <w:color w:val="105C84"/>
                <w:spacing w:val="-2"/>
                <w:sz w:val="18"/>
              </w:rPr>
              <w:t>Organize</w:t>
            </w:r>
            <w:r>
              <w:rPr>
                <w:color w:val="105C84"/>
                <w:spacing w:val="-5"/>
                <w:sz w:val="18"/>
              </w:rPr>
              <w:t> </w:t>
            </w:r>
            <w:r>
              <w:rPr>
                <w:color w:val="105C84"/>
                <w:spacing w:val="-2"/>
                <w:sz w:val="18"/>
              </w:rPr>
              <w:t>Push</w:t>
            </w:r>
            <w:r>
              <w:rPr>
                <w:color w:val="105C84"/>
                <w:spacing w:val="-5"/>
                <w:sz w:val="18"/>
              </w:rPr>
              <w:t> </w:t>
            </w:r>
            <w:r>
              <w:rPr>
                <w:color w:val="105C84"/>
                <w:spacing w:val="-2"/>
                <w:sz w:val="18"/>
              </w:rPr>
              <w:t>Through</w:t>
            </w:r>
            <w:r>
              <w:rPr>
                <w:color w:val="105C84"/>
                <w:spacing w:val="-5"/>
                <w:sz w:val="18"/>
              </w:rPr>
              <w:t> </w:t>
            </w:r>
            <w:r>
              <w:rPr>
                <w:color w:val="105C84"/>
                <w:spacing w:val="-2"/>
                <w:sz w:val="18"/>
              </w:rPr>
              <w:t>5k</w:t>
            </w:r>
            <w:r>
              <w:rPr>
                <w:color w:val="105C84"/>
                <w:spacing w:val="-4"/>
                <w:sz w:val="18"/>
              </w:rPr>
              <w:t> race</w:t>
            </w:r>
          </w:p>
        </w:tc>
        <w:tc>
          <w:tcPr>
            <w:tcW w:w="3575" w:type="dxa"/>
            <w:tcBorders>
              <w:bottom w:val="nil"/>
            </w:tcBorders>
          </w:tcPr>
          <w:p>
            <w:pPr>
              <w:pStyle w:val="TableParagraph"/>
              <w:spacing w:line="232" w:lineRule="auto" w:before="98"/>
              <w:ind w:left="88" w:right="115"/>
              <w:rPr>
                <w:sz w:val="18"/>
              </w:rPr>
            </w:pPr>
            <w:r>
              <w:rPr>
                <w:color w:val="105C84"/>
                <w:sz w:val="18"/>
              </w:rPr>
              <w:t>Attend three to four local </w:t>
            </w:r>
            <w:r>
              <w:rPr>
                <w:color w:val="105C84"/>
                <w:sz w:val="18"/>
              </w:rPr>
              <w:t>festivals/events to promote suicide awareness</w:t>
            </w:r>
          </w:p>
        </w:tc>
        <w:tc>
          <w:tcPr>
            <w:tcW w:w="1753" w:type="dxa"/>
            <w:tcBorders>
              <w:bottom w:val="nil"/>
            </w:tcBorders>
          </w:tcPr>
          <w:p>
            <w:pPr>
              <w:pStyle w:val="TableParagraph"/>
              <w:spacing w:line="232" w:lineRule="auto" w:before="98"/>
              <w:ind w:left="88"/>
              <w:rPr>
                <w:sz w:val="18"/>
              </w:rPr>
            </w:pPr>
            <w:r>
              <w:rPr>
                <w:color w:val="105C84"/>
                <w:spacing w:val="-2"/>
                <w:sz w:val="18"/>
              </w:rPr>
              <w:t>Community-</w:t>
            </w:r>
            <w:r>
              <w:rPr>
                <w:color w:val="105C84"/>
                <w:spacing w:val="-2"/>
                <w:sz w:val="18"/>
              </w:rPr>
              <w:t>based organizations</w:t>
            </w:r>
          </w:p>
        </w:tc>
        <w:tc>
          <w:tcPr>
            <w:tcW w:w="1546" w:type="dxa"/>
            <w:tcBorders>
              <w:bottom w:val="nil"/>
            </w:tcBorders>
          </w:tcPr>
          <w:p>
            <w:pPr>
              <w:pStyle w:val="TableParagraph"/>
              <w:spacing w:line="232" w:lineRule="auto" w:before="98"/>
              <w:ind w:left="88" w:right="377"/>
              <w:rPr>
                <w:sz w:val="18"/>
              </w:rPr>
            </w:pPr>
            <w:r>
              <w:rPr>
                <w:color w:val="105C84"/>
                <w:sz w:val="18"/>
              </w:rPr>
              <w:t>M. R. Hess </w:t>
            </w:r>
            <w:r>
              <w:rPr>
                <w:color w:val="105C84"/>
                <w:spacing w:val="-2"/>
                <w:sz w:val="18"/>
              </w:rPr>
              <w:t>Home</w:t>
            </w:r>
            <w:r>
              <w:rPr>
                <w:color w:val="105C84"/>
                <w:spacing w:val="-11"/>
                <w:sz w:val="18"/>
              </w:rPr>
              <w:t> </w:t>
            </w:r>
            <w:r>
              <w:rPr>
                <w:color w:val="105C84"/>
                <w:spacing w:val="-2"/>
                <w:sz w:val="18"/>
              </w:rPr>
              <w:t>Work</w:t>
            </w:r>
            <w:r>
              <w:rPr>
                <w:color w:val="105C84"/>
                <w:spacing w:val="-2"/>
                <w:sz w:val="18"/>
              </w:rPr>
              <w:t>s</w:t>
            </w:r>
          </w:p>
        </w:tc>
      </w:tr>
      <w:tr>
        <w:trPr>
          <w:trHeight w:val="1570" w:hRule="atLeast"/>
        </w:trPr>
        <w:tc>
          <w:tcPr>
            <w:tcW w:w="1526" w:type="dxa"/>
            <w:tcBorders>
              <w:top w:val="nil"/>
              <w:bottom w:val="nil"/>
            </w:tcBorders>
            <w:shd w:val="clear" w:color="auto" w:fill="E6E7E8"/>
          </w:tcPr>
          <w:p>
            <w:pPr>
              <w:pStyle w:val="TableParagraph"/>
              <w:rPr>
                <w:rFonts w:ascii="Times New Roman"/>
                <w:sz w:val="18"/>
              </w:rPr>
            </w:pPr>
          </w:p>
        </w:tc>
        <w:tc>
          <w:tcPr>
            <w:tcW w:w="1123" w:type="dxa"/>
            <w:tcBorders>
              <w:top w:val="nil"/>
              <w:bottom w:val="nil"/>
            </w:tcBorders>
          </w:tcPr>
          <w:p>
            <w:pPr>
              <w:pStyle w:val="TableParagraph"/>
              <w:rPr>
                <w:rFonts w:ascii="Times New Roman"/>
                <w:sz w:val="18"/>
              </w:rPr>
            </w:pPr>
          </w:p>
        </w:tc>
        <w:tc>
          <w:tcPr>
            <w:tcW w:w="864" w:type="dxa"/>
            <w:tcBorders>
              <w:top w:val="nil"/>
              <w:bottom w:val="nil"/>
            </w:tcBorders>
          </w:tcPr>
          <w:p>
            <w:pPr>
              <w:pStyle w:val="TableParagraph"/>
              <w:rPr>
                <w:rFonts w:ascii="Times New Roman"/>
                <w:sz w:val="18"/>
              </w:rPr>
            </w:pPr>
          </w:p>
        </w:tc>
        <w:tc>
          <w:tcPr>
            <w:tcW w:w="1210" w:type="dxa"/>
            <w:tcBorders>
              <w:top w:val="nil"/>
              <w:bottom w:val="nil"/>
            </w:tcBorders>
          </w:tcPr>
          <w:p>
            <w:pPr>
              <w:pStyle w:val="TableParagraph"/>
              <w:rPr>
                <w:rFonts w:ascii="Times New Roman"/>
                <w:sz w:val="18"/>
              </w:rPr>
            </w:pPr>
          </w:p>
        </w:tc>
        <w:tc>
          <w:tcPr>
            <w:tcW w:w="1440" w:type="dxa"/>
            <w:tcBorders>
              <w:top w:val="nil"/>
              <w:bottom w:val="nil"/>
            </w:tcBorders>
          </w:tcPr>
          <w:p>
            <w:pPr>
              <w:pStyle w:val="TableParagraph"/>
              <w:rPr>
                <w:rFonts w:ascii="Times New Roman"/>
                <w:sz w:val="18"/>
              </w:rPr>
            </w:pPr>
          </w:p>
        </w:tc>
        <w:tc>
          <w:tcPr>
            <w:tcW w:w="1786" w:type="dxa"/>
            <w:tcBorders>
              <w:top w:val="nil"/>
              <w:bottom w:val="nil"/>
            </w:tcBorders>
          </w:tcPr>
          <w:p>
            <w:pPr>
              <w:pStyle w:val="TableParagraph"/>
              <w:rPr>
                <w:rFonts w:ascii="Times New Roman"/>
                <w:sz w:val="18"/>
              </w:rPr>
            </w:pPr>
          </w:p>
        </w:tc>
        <w:tc>
          <w:tcPr>
            <w:tcW w:w="3280" w:type="dxa"/>
            <w:vMerge/>
            <w:tcBorders>
              <w:top w:val="nil"/>
              <w:right w:val="nil"/>
            </w:tcBorders>
          </w:tcPr>
          <w:p>
            <w:pPr>
              <w:rPr>
                <w:sz w:val="2"/>
                <w:szCs w:val="2"/>
              </w:rPr>
            </w:pPr>
          </w:p>
        </w:tc>
        <w:tc>
          <w:tcPr>
            <w:tcW w:w="4238" w:type="dxa"/>
            <w:vMerge/>
            <w:tcBorders>
              <w:top w:val="nil"/>
              <w:left w:val="nil"/>
            </w:tcBorders>
          </w:tcPr>
          <w:p>
            <w:pPr>
              <w:rPr>
                <w:sz w:val="2"/>
                <w:szCs w:val="2"/>
              </w:rPr>
            </w:pPr>
          </w:p>
        </w:tc>
        <w:tc>
          <w:tcPr>
            <w:tcW w:w="3575" w:type="dxa"/>
            <w:tcBorders>
              <w:top w:val="nil"/>
              <w:bottom w:val="nil"/>
            </w:tcBorders>
          </w:tcPr>
          <w:p>
            <w:pPr>
              <w:pStyle w:val="TableParagraph"/>
              <w:spacing w:line="232" w:lineRule="auto" w:before="33"/>
              <w:ind w:left="88" w:right="352"/>
              <w:rPr>
                <w:sz w:val="18"/>
              </w:rPr>
            </w:pPr>
            <w:r>
              <w:rPr>
                <w:color w:val="105C84"/>
                <w:sz w:val="18"/>
              </w:rPr>
              <w:t>Individual received training to be a QPR</w:t>
            </w:r>
            <w:r>
              <w:rPr>
                <w:color w:val="105C84"/>
                <w:spacing w:val="-13"/>
                <w:sz w:val="18"/>
              </w:rPr>
              <w:t> </w:t>
            </w:r>
            <w:r>
              <w:rPr>
                <w:color w:val="105C84"/>
                <w:sz w:val="18"/>
              </w:rPr>
              <w:t>trainer,</w:t>
            </w:r>
            <w:r>
              <w:rPr>
                <w:color w:val="105C84"/>
                <w:spacing w:val="-12"/>
                <w:sz w:val="18"/>
              </w:rPr>
              <w:t> </w:t>
            </w:r>
            <w:r>
              <w:rPr>
                <w:color w:val="105C84"/>
                <w:sz w:val="18"/>
              </w:rPr>
              <w:t>Offer</w:t>
            </w:r>
            <w:r>
              <w:rPr>
                <w:color w:val="105C84"/>
                <w:spacing w:val="-13"/>
                <w:sz w:val="18"/>
              </w:rPr>
              <w:t> </w:t>
            </w:r>
            <w:r>
              <w:rPr>
                <w:color w:val="105C84"/>
                <w:sz w:val="18"/>
              </w:rPr>
              <w:t>youth</w:t>
            </w:r>
            <w:r>
              <w:rPr>
                <w:color w:val="105C84"/>
                <w:spacing w:val="-12"/>
                <w:sz w:val="18"/>
              </w:rPr>
              <w:t> </w:t>
            </w:r>
            <w:r>
              <w:rPr>
                <w:color w:val="105C84"/>
                <w:sz w:val="18"/>
              </w:rPr>
              <w:t>and</w:t>
            </w:r>
            <w:r>
              <w:rPr>
                <w:color w:val="105C84"/>
                <w:spacing w:val="-13"/>
                <w:sz w:val="18"/>
              </w:rPr>
              <w:t> </w:t>
            </w:r>
            <w:r>
              <w:rPr>
                <w:color w:val="105C84"/>
                <w:sz w:val="18"/>
              </w:rPr>
              <w:t>adult</w:t>
            </w:r>
            <w:r>
              <w:rPr>
                <w:color w:val="105C84"/>
                <w:spacing w:val="-13"/>
                <w:sz w:val="18"/>
              </w:rPr>
              <w:t> </w:t>
            </w:r>
            <w:r>
              <w:rPr>
                <w:color w:val="105C84"/>
                <w:sz w:val="18"/>
              </w:rPr>
              <w:t>QPR </w:t>
            </w:r>
            <w:r>
              <w:rPr>
                <w:color w:val="105C84"/>
                <w:spacing w:val="-2"/>
                <w:sz w:val="18"/>
              </w:rPr>
              <w:t>trainings</w:t>
            </w:r>
          </w:p>
          <w:p>
            <w:pPr>
              <w:pStyle w:val="TableParagraph"/>
              <w:spacing w:line="232" w:lineRule="auto" w:before="88"/>
              <w:ind w:left="88"/>
              <w:rPr>
                <w:sz w:val="18"/>
              </w:rPr>
            </w:pPr>
            <w:r>
              <w:rPr>
                <w:color w:val="105C84"/>
                <w:w w:val="105"/>
                <w:sz w:val="18"/>
              </w:rPr>
              <w:t>Organize "Saving Space": informal support</w:t>
            </w:r>
            <w:r>
              <w:rPr>
                <w:color w:val="105C84"/>
                <w:spacing w:val="-14"/>
                <w:w w:val="105"/>
                <w:sz w:val="18"/>
              </w:rPr>
              <w:t> </w:t>
            </w:r>
            <w:r>
              <w:rPr>
                <w:color w:val="105C84"/>
                <w:w w:val="105"/>
                <w:sz w:val="18"/>
              </w:rPr>
              <w:t>group</w:t>
            </w:r>
            <w:r>
              <w:rPr>
                <w:color w:val="105C84"/>
                <w:spacing w:val="-13"/>
                <w:w w:val="105"/>
                <w:sz w:val="18"/>
              </w:rPr>
              <w:t> </w:t>
            </w:r>
            <w:r>
              <w:rPr>
                <w:color w:val="105C84"/>
                <w:w w:val="105"/>
                <w:sz w:val="18"/>
              </w:rPr>
              <w:t>to</w:t>
            </w:r>
            <w:r>
              <w:rPr>
                <w:color w:val="105C84"/>
                <w:spacing w:val="-13"/>
                <w:w w:val="105"/>
                <w:sz w:val="18"/>
              </w:rPr>
              <w:t> </w:t>
            </w:r>
            <w:r>
              <w:rPr>
                <w:color w:val="105C84"/>
                <w:w w:val="105"/>
                <w:sz w:val="18"/>
              </w:rPr>
              <w:t>support</w:t>
            </w:r>
            <w:r>
              <w:rPr>
                <w:color w:val="105C84"/>
                <w:spacing w:val="-13"/>
                <w:w w:val="105"/>
                <w:sz w:val="18"/>
              </w:rPr>
              <w:t> </w:t>
            </w:r>
            <w:r>
              <w:rPr>
                <w:color w:val="105C84"/>
                <w:w w:val="105"/>
                <w:sz w:val="18"/>
              </w:rPr>
              <w:t>people</w:t>
            </w:r>
            <w:r>
              <w:rPr>
                <w:color w:val="105C84"/>
                <w:spacing w:val="-13"/>
                <w:w w:val="105"/>
                <w:sz w:val="18"/>
              </w:rPr>
              <w:t> </w:t>
            </w:r>
            <w:r>
              <w:rPr>
                <w:color w:val="105C84"/>
                <w:w w:val="105"/>
                <w:sz w:val="18"/>
              </w:rPr>
              <w:t>dealing with</w:t>
            </w:r>
            <w:r>
              <w:rPr>
                <w:color w:val="105C84"/>
                <w:spacing w:val="-5"/>
                <w:w w:val="105"/>
                <w:sz w:val="18"/>
              </w:rPr>
              <w:t> </w:t>
            </w:r>
            <w:r>
              <w:rPr>
                <w:color w:val="105C84"/>
                <w:w w:val="105"/>
                <w:sz w:val="18"/>
              </w:rPr>
              <w:t>mental</w:t>
            </w:r>
            <w:r>
              <w:rPr>
                <w:color w:val="105C84"/>
                <w:spacing w:val="-5"/>
                <w:w w:val="105"/>
                <w:sz w:val="18"/>
              </w:rPr>
              <w:t> </w:t>
            </w:r>
            <w:r>
              <w:rPr>
                <w:color w:val="105C84"/>
                <w:w w:val="105"/>
                <w:sz w:val="18"/>
              </w:rPr>
              <w:t>health</w:t>
            </w:r>
            <w:r>
              <w:rPr>
                <w:color w:val="105C84"/>
                <w:spacing w:val="-5"/>
                <w:w w:val="105"/>
                <w:sz w:val="18"/>
              </w:rPr>
              <w:t> </w:t>
            </w:r>
            <w:r>
              <w:rPr>
                <w:color w:val="105C84"/>
                <w:w w:val="105"/>
                <w:sz w:val="18"/>
              </w:rPr>
              <w:t>issues</w:t>
            </w:r>
            <w:r>
              <w:rPr>
                <w:color w:val="105C84"/>
                <w:spacing w:val="-5"/>
                <w:w w:val="105"/>
                <w:sz w:val="18"/>
              </w:rPr>
              <w:t> </w:t>
            </w:r>
            <w:r>
              <w:rPr>
                <w:color w:val="105C84"/>
                <w:w w:val="105"/>
                <w:sz w:val="18"/>
              </w:rPr>
              <w:t>in</w:t>
            </w:r>
            <w:r>
              <w:rPr>
                <w:color w:val="105C84"/>
                <w:spacing w:val="-5"/>
                <w:w w:val="105"/>
                <w:sz w:val="18"/>
              </w:rPr>
              <w:t> </w:t>
            </w:r>
            <w:r>
              <w:rPr>
                <w:color w:val="105C84"/>
                <w:w w:val="105"/>
                <w:sz w:val="18"/>
              </w:rPr>
              <w:t>their</w:t>
            </w:r>
            <w:r>
              <w:rPr>
                <w:color w:val="105C84"/>
                <w:spacing w:val="-5"/>
                <w:w w:val="105"/>
                <w:sz w:val="18"/>
              </w:rPr>
              <w:t> </w:t>
            </w:r>
            <w:r>
              <w:rPr>
                <w:color w:val="105C84"/>
                <w:w w:val="105"/>
                <w:sz w:val="18"/>
              </w:rPr>
              <w:t>lives, including but not limited to suicide</w:t>
            </w:r>
          </w:p>
        </w:tc>
        <w:tc>
          <w:tcPr>
            <w:tcW w:w="1753" w:type="dxa"/>
            <w:tcBorders>
              <w:top w:val="nil"/>
              <w:bottom w:val="nil"/>
            </w:tcBorders>
          </w:tcPr>
          <w:p>
            <w:pPr>
              <w:pStyle w:val="TableParagraph"/>
              <w:rPr>
                <w:rFonts w:ascii="Times New Roman"/>
                <w:sz w:val="18"/>
              </w:rPr>
            </w:pPr>
          </w:p>
        </w:tc>
        <w:tc>
          <w:tcPr>
            <w:tcW w:w="1546" w:type="dxa"/>
            <w:tcBorders>
              <w:top w:val="nil"/>
              <w:bottom w:val="nil"/>
            </w:tcBorders>
          </w:tcPr>
          <w:p>
            <w:pPr>
              <w:pStyle w:val="TableParagraph"/>
              <w:spacing w:line="232" w:lineRule="auto" w:before="33"/>
              <w:ind w:left="88" w:right="377"/>
              <w:rPr>
                <w:sz w:val="18"/>
              </w:rPr>
            </w:pPr>
            <w:r>
              <w:rPr>
                <w:color w:val="105C84"/>
                <w:sz w:val="18"/>
              </w:rPr>
              <w:t>Time spent on</w:t>
            </w:r>
            <w:r>
              <w:rPr>
                <w:color w:val="105C84"/>
                <w:spacing w:val="2"/>
                <w:sz w:val="18"/>
              </w:rPr>
              <w:t> </w:t>
            </w:r>
            <w:r>
              <w:rPr>
                <w:color w:val="105C84"/>
                <w:spacing w:val="-2"/>
                <w:sz w:val="18"/>
              </w:rPr>
              <w:t>trainings,</w:t>
            </w:r>
          </w:p>
          <w:p>
            <w:pPr>
              <w:pStyle w:val="TableParagraph"/>
              <w:spacing w:line="232" w:lineRule="auto"/>
              <w:ind w:left="88"/>
              <w:rPr>
                <w:sz w:val="18"/>
              </w:rPr>
            </w:pPr>
            <w:r>
              <w:rPr>
                <w:color w:val="105C84"/>
                <w:sz w:val="18"/>
              </w:rPr>
              <w:t>running</w:t>
            </w:r>
            <w:r>
              <w:rPr>
                <w:color w:val="105C84"/>
                <w:spacing w:val="-13"/>
                <w:sz w:val="18"/>
              </w:rPr>
              <w:t> </w:t>
            </w:r>
            <w:r>
              <w:rPr>
                <w:color w:val="105C84"/>
                <w:sz w:val="18"/>
              </w:rPr>
              <w:t>groups, </w:t>
            </w:r>
            <w:r>
              <w:rPr>
                <w:color w:val="105C84"/>
                <w:spacing w:val="-2"/>
                <w:sz w:val="18"/>
              </w:rPr>
              <w:t>fundraising</w:t>
            </w:r>
          </w:p>
        </w:tc>
      </w:tr>
      <w:tr>
        <w:trPr>
          <w:trHeight w:val="479" w:hRule="atLeast"/>
        </w:trPr>
        <w:tc>
          <w:tcPr>
            <w:tcW w:w="1526" w:type="dxa"/>
            <w:tcBorders>
              <w:top w:val="nil"/>
              <w:bottom w:val="nil"/>
            </w:tcBorders>
            <w:shd w:val="clear" w:color="auto" w:fill="E6E7E8"/>
          </w:tcPr>
          <w:p>
            <w:pPr>
              <w:pStyle w:val="TableParagraph"/>
              <w:rPr>
                <w:rFonts w:ascii="Times New Roman"/>
                <w:sz w:val="18"/>
              </w:rPr>
            </w:pPr>
          </w:p>
        </w:tc>
        <w:tc>
          <w:tcPr>
            <w:tcW w:w="1123" w:type="dxa"/>
            <w:tcBorders>
              <w:top w:val="nil"/>
              <w:bottom w:val="nil"/>
            </w:tcBorders>
          </w:tcPr>
          <w:p>
            <w:pPr>
              <w:pStyle w:val="TableParagraph"/>
              <w:rPr>
                <w:rFonts w:ascii="Times New Roman"/>
                <w:sz w:val="18"/>
              </w:rPr>
            </w:pPr>
          </w:p>
        </w:tc>
        <w:tc>
          <w:tcPr>
            <w:tcW w:w="864" w:type="dxa"/>
            <w:tcBorders>
              <w:top w:val="nil"/>
              <w:bottom w:val="nil"/>
            </w:tcBorders>
          </w:tcPr>
          <w:p>
            <w:pPr>
              <w:pStyle w:val="TableParagraph"/>
              <w:rPr>
                <w:rFonts w:ascii="Times New Roman"/>
                <w:sz w:val="18"/>
              </w:rPr>
            </w:pPr>
          </w:p>
        </w:tc>
        <w:tc>
          <w:tcPr>
            <w:tcW w:w="1210" w:type="dxa"/>
            <w:tcBorders>
              <w:top w:val="nil"/>
              <w:bottom w:val="nil"/>
            </w:tcBorders>
          </w:tcPr>
          <w:p>
            <w:pPr>
              <w:pStyle w:val="TableParagraph"/>
              <w:rPr>
                <w:rFonts w:ascii="Times New Roman"/>
                <w:sz w:val="18"/>
              </w:rPr>
            </w:pPr>
          </w:p>
        </w:tc>
        <w:tc>
          <w:tcPr>
            <w:tcW w:w="1440" w:type="dxa"/>
            <w:tcBorders>
              <w:top w:val="nil"/>
              <w:bottom w:val="nil"/>
            </w:tcBorders>
          </w:tcPr>
          <w:p>
            <w:pPr>
              <w:pStyle w:val="TableParagraph"/>
              <w:rPr>
                <w:rFonts w:ascii="Times New Roman"/>
                <w:sz w:val="18"/>
              </w:rPr>
            </w:pPr>
          </w:p>
        </w:tc>
        <w:tc>
          <w:tcPr>
            <w:tcW w:w="1786" w:type="dxa"/>
            <w:tcBorders>
              <w:top w:val="nil"/>
              <w:bottom w:val="nil"/>
            </w:tcBorders>
          </w:tcPr>
          <w:p>
            <w:pPr>
              <w:pStyle w:val="TableParagraph"/>
              <w:rPr>
                <w:rFonts w:ascii="Times New Roman"/>
                <w:sz w:val="18"/>
              </w:rPr>
            </w:pPr>
          </w:p>
        </w:tc>
        <w:tc>
          <w:tcPr>
            <w:tcW w:w="3280" w:type="dxa"/>
            <w:vMerge/>
            <w:tcBorders>
              <w:top w:val="nil"/>
              <w:right w:val="nil"/>
            </w:tcBorders>
          </w:tcPr>
          <w:p>
            <w:pPr>
              <w:rPr>
                <w:sz w:val="2"/>
                <w:szCs w:val="2"/>
              </w:rPr>
            </w:pPr>
          </w:p>
        </w:tc>
        <w:tc>
          <w:tcPr>
            <w:tcW w:w="4238" w:type="dxa"/>
            <w:vMerge/>
            <w:tcBorders>
              <w:top w:val="nil"/>
              <w:left w:val="nil"/>
            </w:tcBorders>
          </w:tcPr>
          <w:p>
            <w:pPr>
              <w:rPr>
                <w:sz w:val="2"/>
                <w:szCs w:val="2"/>
              </w:rPr>
            </w:pPr>
          </w:p>
        </w:tc>
        <w:tc>
          <w:tcPr>
            <w:tcW w:w="3575" w:type="dxa"/>
            <w:tcBorders>
              <w:top w:val="nil"/>
              <w:bottom w:val="nil"/>
            </w:tcBorders>
          </w:tcPr>
          <w:p>
            <w:pPr>
              <w:pStyle w:val="TableParagraph"/>
              <w:spacing w:line="232" w:lineRule="auto" w:before="33"/>
              <w:ind w:left="88"/>
              <w:rPr>
                <w:sz w:val="18"/>
              </w:rPr>
            </w:pPr>
            <w:r>
              <w:rPr>
                <w:color w:val="105C84"/>
                <w:sz w:val="18"/>
              </w:rPr>
              <w:t>Organize six "Too Late for Taboo" discussions</w:t>
            </w:r>
            <w:r>
              <w:rPr>
                <w:color w:val="105C84"/>
                <w:spacing w:val="-15"/>
                <w:sz w:val="18"/>
              </w:rPr>
              <w:t> </w:t>
            </w:r>
            <w:r>
              <w:rPr>
                <w:color w:val="105C84"/>
                <w:sz w:val="18"/>
              </w:rPr>
              <w:t>focused</w:t>
            </w:r>
            <w:r>
              <w:rPr>
                <w:color w:val="105C84"/>
                <w:spacing w:val="-12"/>
                <w:sz w:val="18"/>
              </w:rPr>
              <w:t> </w:t>
            </w:r>
            <w:r>
              <w:rPr>
                <w:color w:val="105C84"/>
                <w:sz w:val="18"/>
              </w:rPr>
              <w:t>on</w:t>
            </w:r>
            <w:r>
              <w:rPr>
                <w:color w:val="105C84"/>
                <w:spacing w:val="-13"/>
                <w:sz w:val="18"/>
              </w:rPr>
              <w:t> </w:t>
            </w:r>
            <w:r>
              <w:rPr>
                <w:color w:val="105C84"/>
                <w:sz w:val="18"/>
              </w:rPr>
              <w:t>suicide</w:t>
            </w:r>
            <w:r>
              <w:rPr>
                <w:color w:val="105C84"/>
                <w:spacing w:val="-12"/>
                <w:sz w:val="18"/>
              </w:rPr>
              <w:t> </w:t>
            </w:r>
            <w:r>
              <w:rPr>
                <w:color w:val="105C84"/>
                <w:sz w:val="18"/>
              </w:rPr>
              <w:t>prevention</w:t>
            </w:r>
          </w:p>
        </w:tc>
        <w:tc>
          <w:tcPr>
            <w:tcW w:w="1753" w:type="dxa"/>
            <w:tcBorders>
              <w:top w:val="nil"/>
              <w:bottom w:val="nil"/>
            </w:tcBorders>
          </w:tcPr>
          <w:p>
            <w:pPr>
              <w:pStyle w:val="TableParagraph"/>
              <w:rPr>
                <w:rFonts w:ascii="Times New Roman"/>
                <w:sz w:val="18"/>
              </w:rPr>
            </w:pPr>
          </w:p>
        </w:tc>
        <w:tc>
          <w:tcPr>
            <w:tcW w:w="1546" w:type="dxa"/>
            <w:tcBorders>
              <w:top w:val="nil"/>
              <w:bottom w:val="nil"/>
            </w:tcBorders>
          </w:tcPr>
          <w:p>
            <w:pPr>
              <w:pStyle w:val="TableParagraph"/>
              <w:rPr>
                <w:rFonts w:ascii="Times New Roman"/>
                <w:sz w:val="18"/>
              </w:rPr>
            </w:pPr>
          </w:p>
        </w:tc>
      </w:tr>
      <w:tr>
        <w:trPr>
          <w:trHeight w:val="679" w:hRule="atLeast"/>
        </w:trPr>
        <w:tc>
          <w:tcPr>
            <w:tcW w:w="1526" w:type="dxa"/>
            <w:tcBorders>
              <w:top w:val="nil"/>
              <w:bottom w:val="nil"/>
            </w:tcBorders>
            <w:shd w:val="clear" w:color="auto" w:fill="E6E7E8"/>
          </w:tcPr>
          <w:p>
            <w:pPr>
              <w:pStyle w:val="TableParagraph"/>
              <w:rPr>
                <w:rFonts w:ascii="Times New Roman"/>
                <w:sz w:val="18"/>
              </w:rPr>
            </w:pPr>
          </w:p>
        </w:tc>
        <w:tc>
          <w:tcPr>
            <w:tcW w:w="1123" w:type="dxa"/>
            <w:tcBorders>
              <w:top w:val="nil"/>
              <w:bottom w:val="nil"/>
            </w:tcBorders>
          </w:tcPr>
          <w:p>
            <w:pPr>
              <w:pStyle w:val="TableParagraph"/>
              <w:rPr>
                <w:rFonts w:ascii="Times New Roman"/>
                <w:sz w:val="18"/>
              </w:rPr>
            </w:pPr>
          </w:p>
        </w:tc>
        <w:tc>
          <w:tcPr>
            <w:tcW w:w="864" w:type="dxa"/>
            <w:tcBorders>
              <w:top w:val="nil"/>
              <w:bottom w:val="nil"/>
            </w:tcBorders>
          </w:tcPr>
          <w:p>
            <w:pPr>
              <w:pStyle w:val="TableParagraph"/>
              <w:rPr>
                <w:rFonts w:ascii="Times New Roman"/>
                <w:sz w:val="18"/>
              </w:rPr>
            </w:pPr>
          </w:p>
        </w:tc>
        <w:tc>
          <w:tcPr>
            <w:tcW w:w="1210" w:type="dxa"/>
            <w:tcBorders>
              <w:top w:val="nil"/>
              <w:bottom w:val="nil"/>
            </w:tcBorders>
          </w:tcPr>
          <w:p>
            <w:pPr>
              <w:pStyle w:val="TableParagraph"/>
              <w:rPr>
                <w:rFonts w:ascii="Times New Roman"/>
                <w:sz w:val="18"/>
              </w:rPr>
            </w:pPr>
          </w:p>
        </w:tc>
        <w:tc>
          <w:tcPr>
            <w:tcW w:w="1440" w:type="dxa"/>
            <w:tcBorders>
              <w:top w:val="nil"/>
              <w:bottom w:val="nil"/>
            </w:tcBorders>
          </w:tcPr>
          <w:p>
            <w:pPr>
              <w:pStyle w:val="TableParagraph"/>
              <w:rPr>
                <w:rFonts w:ascii="Times New Roman"/>
                <w:sz w:val="18"/>
              </w:rPr>
            </w:pPr>
          </w:p>
        </w:tc>
        <w:tc>
          <w:tcPr>
            <w:tcW w:w="1786" w:type="dxa"/>
            <w:tcBorders>
              <w:top w:val="nil"/>
              <w:bottom w:val="nil"/>
            </w:tcBorders>
          </w:tcPr>
          <w:p>
            <w:pPr>
              <w:pStyle w:val="TableParagraph"/>
              <w:rPr>
                <w:rFonts w:ascii="Times New Roman"/>
                <w:sz w:val="18"/>
              </w:rPr>
            </w:pPr>
          </w:p>
        </w:tc>
        <w:tc>
          <w:tcPr>
            <w:tcW w:w="3280" w:type="dxa"/>
            <w:vMerge/>
            <w:tcBorders>
              <w:top w:val="nil"/>
              <w:right w:val="nil"/>
            </w:tcBorders>
          </w:tcPr>
          <w:p>
            <w:pPr>
              <w:rPr>
                <w:sz w:val="2"/>
                <w:szCs w:val="2"/>
              </w:rPr>
            </w:pPr>
          </w:p>
        </w:tc>
        <w:tc>
          <w:tcPr>
            <w:tcW w:w="4238" w:type="dxa"/>
            <w:vMerge/>
            <w:tcBorders>
              <w:top w:val="nil"/>
              <w:left w:val="nil"/>
            </w:tcBorders>
          </w:tcPr>
          <w:p>
            <w:pPr>
              <w:rPr>
                <w:sz w:val="2"/>
                <w:szCs w:val="2"/>
              </w:rPr>
            </w:pPr>
          </w:p>
        </w:tc>
        <w:tc>
          <w:tcPr>
            <w:tcW w:w="3575" w:type="dxa"/>
            <w:tcBorders>
              <w:top w:val="nil"/>
              <w:bottom w:val="nil"/>
            </w:tcBorders>
          </w:tcPr>
          <w:p>
            <w:pPr>
              <w:pStyle w:val="TableParagraph"/>
              <w:spacing w:line="232" w:lineRule="auto" w:before="33"/>
              <w:ind w:left="88" w:right="325"/>
              <w:rPr>
                <w:sz w:val="18"/>
              </w:rPr>
            </w:pPr>
            <w:r>
              <w:rPr>
                <w:color w:val="105C84"/>
                <w:sz w:val="18"/>
              </w:rPr>
              <w:t>Individual is Peer Specialist certified and offering individual and group </w:t>
            </w:r>
            <w:r>
              <w:rPr>
                <w:color w:val="105C84"/>
                <w:sz w:val="18"/>
              </w:rPr>
              <w:t>peer support services</w:t>
            </w:r>
          </w:p>
        </w:tc>
        <w:tc>
          <w:tcPr>
            <w:tcW w:w="1753" w:type="dxa"/>
            <w:tcBorders>
              <w:top w:val="nil"/>
              <w:bottom w:val="nil"/>
            </w:tcBorders>
          </w:tcPr>
          <w:p>
            <w:pPr>
              <w:pStyle w:val="TableParagraph"/>
              <w:rPr>
                <w:rFonts w:ascii="Times New Roman"/>
                <w:sz w:val="18"/>
              </w:rPr>
            </w:pPr>
          </w:p>
        </w:tc>
        <w:tc>
          <w:tcPr>
            <w:tcW w:w="1546" w:type="dxa"/>
            <w:tcBorders>
              <w:top w:val="nil"/>
              <w:bottom w:val="nil"/>
            </w:tcBorders>
          </w:tcPr>
          <w:p>
            <w:pPr>
              <w:pStyle w:val="TableParagraph"/>
              <w:rPr>
                <w:rFonts w:ascii="Times New Roman"/>
                <w:sz w:val="18"/>
              </w:rPr>
            </w:pPr>
          </w:p>
        </w:tc>
      </w:tr>
      <w:tr>
        <w:trPr>
          <w:trHeight w:val="479" w:hRule="atLeast"/>
        </w:trPr>
        <w:tc>
          <w:tcPr>
            <w:tcW w:w="1526" w:type="dxa"/>
            <w:tcBorders>
              <w:top w:val="nil"/>
              <w:bottom w:val="nil"/>
            </w:tcBorders>
            <w:shd w:val="clear" w:color="auto" w:fill="E6E7E8"/>
          </w:tcPr>
          <w:p>
            <w:pPr>
              <w:pStyle w:val="TableParagraph"/>
              <w:rPr>
                <w:rFonts w:ascii="Times New Roman"/>
                <w:sz w:val="18"/>
              </w:rPr>
            </w:pPr>
          </w:p>
        </w:tc>
        <w:tc>
          <w:tcPr>
            <w:tcW w:w="1123" w:type="dxa"/>
            <w:tcBorders>
              <w:top w:val="nil"/>
              <w:bottom w:val="nil"/>
            </w:tcBorders>
          </w:tcPr>
          <w:p>
            <w:pPr>
              <w:pStyle w:val="TableParagraph"/>
              <w:rPr>
                <w:rFonts w:ascii="Times New Roman"/>
                <w:sz w:val="18"/>
              </w:rPr>
            </w:pPr>
          </w:p>
        </w:tc>
        <w:tc>
          <w:tcPr>
            <w:tcW w:w="864" w:type="dxa"/>
            <w:tcBorders>
              <w:top w:val="nil"/>
              <w:bottom w:val="nil"/>
            </w:tcBorders>
          </w:tcPr>
          <w:p>
            <w:pPr>
              <w:pStyle w:val="TableParagraph"/>
              <w:rPr>
                <w:rFonts w:ascii="Times New Roman"/>
                <w:sz w:val="18"/>
              </w:rPr>
            </w:pPr>
          </w:p>
        </w:tc>
        <w:tc>
          <w:tcPr>
            <w:tcW w:w="1210" w:type="dxa"/>
            <w:tcBorders>
              <w:top w:val="nil"/>
              <w:bottom w:val="nil"/>
            </w:tcBorders>
          </w:tcPr>
          <w:p>
            <w:pPr>
              <w:pStyle w:val="TableParagraph"/>
              <w:rPr>
                <w:rFonts w:ascii="Times New Roman"/>
                <w:sz w:val="18"/>
              </w:rPr>
            </w:pPr>
          </w:p>
        </w:tc>
        <w:tc>
          <w:tcPr>
            <w:tcW w:w="1440" w:type="dxa"/>
            <w:tcBorders>
              <w:top w:val="nil"/>
              <w:bottom w:val="nil"/>
            </w:tcBorders>
          </w:tcPr>
          <w:p>
            <w:pPr>
              <w:pStyle w:val="TableParagraph"/>
              <w:rPr>
                <w:rFonts w:ascii="Times New Roman"/>
                <w:sz w:val="18"/>
              </w:rPr>
            </w:pPr>
          </w:p>
        </w:tc>
        <w:tc>
          <w:tcPr>
            <w:tcW w:w="1786" w:type="dxa"/>
            <w:tcBorders>
              <w:top w:val="nil"/>
              <w:bottom w:val="nil"/>
            </w:tcBorders>
          </w:tcPr>
          <w:p>
            <w:pPr>
              <w:pStyle w:val="TableParagraph"/>
              <w:rPr>
                <w:rFonts w:ascii="Times New Roman"/>
                <w:sz w:val="18"/>
              </w:rPr>
            </w:pPr>
          </w:p>
        </w:tc>
        <w:tc>
          <w:tcPr>
            <w:tcW w:w="3280" w:type="dxa"/>
            <w:vMerge/>
            <w:tcBorders>
              <w:top w:val="nil"/>
              <w:right w:val="nil"/>
            </w:tcBorders>
          </w:tcPr>
          <w:p>
            <w:pPr>
              <w:rPr>
                <w:sz w:val="2"/>
                <w:szCs w:val="2"/>
              </w:rPr>
            </w:pPr>
          </w:p>
        </w:tc>
        <w:tc>
          <w:tcPr>
            <w:tcW w:w="4238" w:type="dxa"/>
            <w:vMerge/>
            <w:tcBorders>
              <w:top w:val="nil"/>
              <w:left w:val="nil"/>
            </w:tcBorders>
          </w:tcPr>
          <w:p>
            <w:pPr>
              <w:rPr>
                <w:sz w:val="2"/>
                <w:szCs w:val="2"/>
              </w:rPr>
            </w:pPr>
          </w:p>
        </w:tc>
        <w:tc>
          <w:tcPr>
            <w:tcW w:w="3575" w:type="dxa"/>
            <w:tcBorders>
              <w:top w:val="nil"/>
              <w:bottom w:val="nil"/>
            </w:tcBorders>
          </w:tcPr>
          <w:p>
            <w:pPr>
              <w:pStyle w:val="TableParagraph"/>
              <w:spacing w:line="232" w:lineRule="auto" w:before="33"/>
              <w:ind w:left="88"/>
              <w:rPr>
                <w:sz w:val="18"/>
              </w:rPr>
            </w:pPr>
            <w:r>
              <w:rPr>
                <w:color w:val="105C84"/>
                <w:sz w:val="18"/>
              </w:rPr>
              <w:t>Offer</w:t>
            </w:r>
            <w:r>
              <w:rPr>
                <w:color w:val="105C84"/>
                <w:spacing w:val="-4"/>
                <w:sz w:val="18"/>
              </w:rPr>
              <w:t> </w:t>
            </w:r>
            <w:r>
              <w:rPr>
                <w:color w:val="105C84"/>
                <w:sz w:val="18"/>
              </w:rPr>
              <w:t>youth</w:t>
            </w:r>
            <w:r>
              <w:rPr>
                <w:color w:val="105C84"/>
                <w:spacing w:val="-4"/>
                <w:sz w:val="18"/>
              </w:rPr>
              <w:t> </w:t>
            </w:r>
            <w:r>
              <w:rPr>
                <w:color w:val="105C84"/>
                <w:sz w:val="18"/>
              </w:rPr>
              <w:t>QPR</w:t>
            </w:r>
            <w:r>
              <w:rPr>
                <w:color w:val="105C84"/>
                <w:spacing w:val="-4"/>
                <w:sz w:val="18"/>
              </w:rPr>
              <w:t> </w:t>
            </w:r>
            <w:r>
              <w:rPr>
                <w:color w:val="105C84"/>
                <w:sz w:val="18"/>
              </w:rPr>
              <w:t>training</w:t>
            </w:r>
            <w:r>
              <w:rPr>
                <w:color w:val="105C84"/>
                <w:spacing w:val="-4"/>
                <w:sz w:val="18"/>
              </w:rPr>
              <w:t> </w:t>
            </w:r>
            <w:r>
              <w:rPr>
                <w:color w:val="105C84"/>
                <w:sz w:val="18"/>
              </w:rPr>
              <w:t>for</w:t>
            </w:r>
            <w:r>
              <w:rPr>
                <w:color w:val="105C84"/>
                <w:spacing w:val="-4"/>
                <w:sz w:val="18"/>
              </w:rPr>
              <w:t> </w:t>
            </w:r>
            <w:r>
              <w:rPr>
                <w:color w:val="105C84"/>
                <w:sz w:val="18"/>
              </w:rPr>
              <w:t>school-</w:t>
            </w:r>
            <w:r>
              <w:rPr>
                <w:color w:val="105C84"/>
                <w:sz w:val="18"/>
              </w:rPr>
              <w:t>aged </w:t>
            </w:r>
            <w:r>
              <w:rPr>
                <w:color w:val="105C84"/>
                <w:spacing w:val="-2"/>
                <w:sz w:val="18"/>
              </w:rPr>
              <w:t>youth</w:t>
            </w:r>
          </w:p>
        </w:tc>
        <w:tc>
          <w:tcPr>
            <w:tcW w:w="1753" w:type="dxa"/>
            <w:tcBorders>
              <w:top w:val="nil"/>
              <w:bottom w:val="nil"/>
            </w:tcBorders>
          </w:tcPr>
          <w:p>
            <w:pPr>
              <w:pStyle w:val="TableParagraph"/>
              <w:rPr>
                <w:rFonts w:ascii="Times New Roman"/>
                <w:sz w:val="18"/>
              </w:rPr>
            </w:pPr>
          </w:p>
        </w:tc>
        <w:tc>
          <w:tcPr>
            <w:tcW w:w="1546" w:type="dxa"/>
            <w:tcBorders>
              <w:top w:val="nil"/>
              <w:bottom w:val="nil"/>
            </w:tcBorders>
          </w:tcPr>
          <w:p>
            <w:pPr>
              <w:pStyle w:val="TableParagraph"/>
              <w:rPr>
                <w:rFonts w:ascii="Times New Roman"/>
                <w:sz w:val="18"/>
              </w:rPr>
            </w:pPr>
          </w:p>
        </w:tc>
      </w:tr>
      <w:tr>
        <w:trPr>
          <w:trHeight w:val="479" w:hRule="atLeast"/>
        </w:trPr>
        <w:tc>
          <w:tcPr>
            <w:tcW w:w="1526" w:type="dxa"/>
            <w:tcBorders>
              <w:top w:val="nil"/>
              <w:bottom w:val="nil"/>
            </w:tcBorders>
            <w:shd w:val="clear" w:color="auto" w:fill="E6E7E8"/>
          </w:tcPr>
          <w:p>
            <w:pPr>
              <w:pStyle w:val="TableParagraph"/>
              <w:rPr>
                <w:rFonts w:ascii="Times New Roman"/>
                <w:sz w:val="18"/>
              </w:rPr>
            </w:pPr>
          </w:p>
        </w:tc>
        <w:tc>
          <w:tcPr>
            <w:tcW w:w="1123" w:type="dxa"/>
            <w:tcBorders>
              <w:top w:val="nil"/>
              <w:bottom w:val="nil"/>
            </w:tcBorders>
          </w:tcPr>
          <w:p>
            <w:pPr>
              <w:pStyle w:val="TableParagraph"/>
              <w:rPr>
                <w:rFonts w:ascii="Times New Roman"/>
                <w:sz w:val="18"/>
              </w:rPr>
            </w:pPr>
          </w:p>
        </w:tc>
        <w:tc>
          <w:tcPr>
            <w:tcW w:w="864" w:type="dxa"/>
            <w:tcBorders>
              <w:top w:val="nil"/>
              <w:bottom w:val="nil"/>
            </w:tcBorders>
          </w:tcPr>
          <w:p>
            <w:pPr>
              <w:pStyle w:val="TableParagraph"/>
              <w:rPr>
                <w:rFonts w:ascii="Times New Roman"/>
                <w:sz w:val="18"/>
              </w:rPr>
            </w:pPr>
          </w:p>
        </w:tc>
        <w:tc>
          <w:tcPr>
            <w:tcW w:w="1210" w:type="dxa"/>
            <w:tcBorders>
              <w:top w:val="nil"/>
              <w:bottom w:val="nil"/>
            </w:tcBorders>
          </w:tcPr>
          <w:p>
            <w:pPr>
              <w:pStyle w:val="TableParagraph"/>
              <w:rPr>
                <w:rFonts w:ascii="Times New Roman"/>
                <w:sz w:val="18"/>
              </w:rPr>
            </w:pPr>
          </w:p>
        </w:tc>
        <w:tc>
          <w:tcPr>
            <w:tcW w:w="1440" w:type="dxa"/>
            <w:tcBorders>
              <w:top w:val="nil"/>
              <w:bottom w:val="nil"/>
            </w:tcBorders>
          </w:tcPr>
          <w:p>
            <w:pPr>
              <w:pStyle w:val="TableParagraph"/>
              <w:rPr>
                <w:rFonts w:ascii="Times New Roman"/>
                <w:sz w:val="18"/>
              </w:rPr>
            </w:pPr>
          </w:p>
        </w:tc>
        <w:tc>
          <w:tcPr>
            <w:tcW w:w="1786" w:type="dxa"/>
            <w:tcBorders>
              <w:top w:val="nil"/>
              <w:bottom w:val="nil"/>
            </w:tcBorders>
          </w:tcPr>
          <w:p>
            <w:pPr>
              <w:pStyle w:val="TableParagraph"/>
              <w:rPr>
                <w:rFonts w:ascii="Times New Roman"/>
                <w:sz w:val="18"/>
              </w:rPr>
            </w:pPr>
          </w:p>
        </w:tc>
        <w:tc>
          <w:tcPr>
            <w:tcW w:w="3280" w:type="dxa"/>
            <w:vMerge/>
            <w:tcBorders>
              <w:top w:val="nil"/>
              <w:right w:val="nil"/>
            </w:tcBorders>
          </w:tcPr>
          <w:p>
            <w:pPr>
              <w:rPr>
                <w:sz w:val="2"/>
                <w:szCs w:val="2"/>
              </w:rPr>
            </w:pPr>
          </w:p>
        </w:tc>
        <w:tc>
          <w:tcPr>
            <w:tcW w:w="4238" w:type="dxa"/>
            <w:vMerge/>
            <w:tcBorders>
              <w:top w:val="nil"/>
              <w:left w:val="nil"/>
            </w:tcBorders>
          </w:tcPr>
          <w:p>
            <w:pPr>
              <w:rPr>
                <w:sz w:val="2"/>
                <w:szCs w:val="2"/>
              </w:rPr>
            </w:pPr>
          </w:p>
        </w:tc>
        <w:tc>
          <w:tcPr>
            <w:tcW w:w="3575" w:type="dxa"/>
            <w:tcBorders>
              <w:top w:val="nil"/>
              <w:bottom w:val="nil"/>
            </w:tcBorders>
          </w:tcPr>
          <w:p>
            <w:pPr>
              <w:pStyle w:val="TableParagraph"/>
              <w:spacing w:line="232" w:lineRule="auto" w:before="33"/>
              <w:ind w:left="88"/>
              <w:rPr>
                <w:sz w:val="18"/>
              </w:rPr>
            </w:pPr>
            <w:r>
              <w:rPr>
                <w:color w:val="105C84"/>
                <w:spacing w:val="-2"/>
                <w:sz w:val="18"/>
              </w:rPr>
              <w:t>Organize youth suicide </w:t>
            </w:r>
            <w:r>
              <w:rPr>
                <w:color w:val="105C84"/>
                <w:spacing w:val="-2"/>
                <w:sz w:val="18"/>
              </w:rPr>
              <w:t>awareness/suicide </w:t>
            </w:r>
            <w:r>
              <w:rPr>
                <w:color w:val="105C84"/>
                <w:sz w:val="18"/>
              </w:rPr>
              <w:t>prevention dance</w:t>
            </w:r>
          </w:p>
        </w:tc>
        <w:tc>
          <w:tcPr>
            <w:tcW w:w="1753" w:type="dxa"/>
            <w:tcBorders>
              <w:top w:val="nil"/>
              <w:bottom w:val="nil"/>
            </w:tcBorders>
          </w:tcPr>
          <w:p>
            <w:pPr>
              <w:pStyle w:val="TableParagraph"/>
              <w:rPr>
                <w:rFonts w:ascii="Times New Roman"/>
                <w:sz w:val="18"/>
              </w:rPr>
            </w:pPr>
          </w:p>
        </w:tc>
        <w:tc>
          <w:tcPr>
            <w:tcW w:w="1546" w:type="dxa"/>
            <w:tcBorders>
              <w:top w:val="nil"/>
              <w:bottom w:val="nil"/>
            </w:tcBorders>
          </w:tcPr>
          <w:p>
            <w:pPr>
              <w:pStyle w:val="TableParagraph"/>
              <w:rPr>
                <w:rFonts w:ascii="Times New Roman"/>
                <w:sz w:val="18"/>
              </w:rPr>
            </w:pPr>
          </w:p>
        </w:tc>
      </w:tr>
      <w:tr>
        <w:trPr>
          <w:trHeight w:val="945" w:hRule="atLeast"/>
        </w:trPr>
        <w:tc>
          <w:tcPr>
            <w:tcW w:w="1526" w:type="dxa"/>
            <w:tcBorders>
              <w:top w:val="nil"/>
            </w:tcBorders>
            <w:shd w:val="clear" w:color="auto" w:fill="E6E7E8"/>
          </w:tcPr>
          <w:p>
            <w:pPr>
              <w:pStyle w:val="TableParagraph"/>
              <w:rPr>
                <w:rFonts w:ascii="Times New Roman"/>
                <w:sz w:val="18"/>
              </w:rPr>
            </w:pPr>
          </w:p>
        </w:tc>
        <w:tc>
          <w:tcPr>
            <w:tcW w:w="1123" w:type="dxa"/>
            <w:tcBorders>
              <w:top w:val="nil"/>
            </w:tcBorders>
          </w:tcPr>
          <w:p>
            <w:pPr>
              <w:pStyle w:val="TableParagraph"/>
              <w:rPr>
                <w:rFonts w:ascii="Times New Roman"/>
                <w:sz w:val="18"/>
              </w:rPr>
            </w:pPr>
          </w:p>
        </w:tc>
        <w:tc>
          <w:tcPr>
            <w:tcW w:w="864" w:type="dxa"/>
            <w:tcBorders>
              <w:top w:val="nil"/>
            </w:tcBorders>
          </w:tcPr>
          <w:p>
            <w:pPr>
              <w:pStyle w:val="TableParagraph"/>
              <w:rPr>
                <w:rFonts w:ascii="Times New Roman"/>
                <w:sz w:val="18"/>
              </w:rPr>
            </w:pPr>
          </w:p>
        </w:tc>
        <w:tc>
          <w:tcPr>
            <w:tcW w:w="1210" w:type="dxa"/>
            <w:tcBorders>
              <w:top w:val="nil"/>
            </w:tcBorders>
          </w:tcPr>
          <w:p>
            <w:pPr>
              <w:pStyle w:val="TableParagraph"/>
              <w:rPr>
                <w:rFonts w:ascii="Times New Roman"/>
                <w:sz w:val="18"/>
              </w:rPr>
            </w:pPr>
          </w:p>
        </w:tc>
        <w:tc>
          <w:tcPr>
            <w:tcW w:w="1440" w:type="dxa"/>
            <w:tcBorders>
              <w:top w:val="nil"/>
            </w:tcBorders>
          </w:tcPr>
          <w:p>
            <w:pPr>
              <w:pStyle w:val="TableParagraph"/>
              <w:rPr>
                <w:rFonts w:ascii="Times New Roman"/>
                <w:sz w:val="18"/>
              </w:rPr>
            </w:pPr>
          </w:p>
        </w:tc>
        <w:tc>
          <w:tcPr>
            <w:tcW w:w="1786" w:type="dxa"/>
            <w:tcBorders>
              <w:top w:val="nil"/>
            </w:tcBorders>
          </w:tcPr>
          <w:p>
            <w:pPr>
              <w:pStyle w:val="TableParagraph"/>
              <w:rPr>
                <w:rFonts w:ascii="Times New Roman"/>
                <w:sz w:val="18"/>
              </w:rPr>
            </w:pPr>
          </w:p>
        </w:tc>
        <w:tc>
          <w:tcPr>
            <w:tcW w:w="3280" w:type="dxa"/>
            <w:vMerge/>
            <w:tcBorders>
              <w:top w:val="nil"/>
              <w:right w:val="nil"/>
            </w:tcBorders>
          </w:tcPr>
          <w:p>
            <w:pPr>
              <w:rPr>
                <w:sz w:val="2"/>
                <w:szCs w:val="2"/>
              </w:rPr>
            </w:pPr>
          </w:p>
        </w:tc>
        <w:tc>
          <w:tcPr>
            <w:tcW w:w="4238" w:type="dxa"/>
            <w:vMerge/>
            <w:tcBorders>
              <w:top w:val="nil"/>
              <w:left w:val="nil"/>
            </w:tcBorders>
          </w:tcPr>
          <w:p>
            <w:pPr>
              <w:rPr>
                <w:sz w:val="2"/>
                <w:szCs w:val="2"/>
              </w:rPr>
            </w:pPr>
          </w:p>
        </w:tc>
        <w:tc>
          <w:tcPr>
            <w:tcW w:w="3575" w:type="dxa"/>
            <w:tcBorders>
              <w:top w:val="nil"/>
            </w:tcBorders>
          </w:tcPr>
          <w:p>
            <w:pPr>
              <w:pStyle w:val="TableParagraph"/>
              <w:spacing w:before="28"/>
              <w:ind w:left="88"/>
              <w:rPr>
                <w:sz w:val="18"/>
              </w:rPr>
            </w:pPr>
            <w:r>
              <w:rPr>
                <w:color w:val="105C84"/>
                <w:spacing w:val="-2"/>
                <w:sz w:val="18"/>
              </w:rPr>
              <w:t>Organize</w:t>
            </w:r>
            <w:r>
              <w:rPr>
                <w:color w:val="105C84"/>
                <w:spacing w:val="-5"/>
                <w:sz w:val="18"/>
              </w:rPr>
              <w:t> </w:t>
            </w:r>
            <w:r>
              <w:rPr>
                <w:color w:val="105C84"/>
                <w:spacing w:val="-2"/>
                <w:sz w:val="18"/>
              </w:rPr>
              <w:t>Push</w:t>
            </w:r>
            <w:r>
              <w:rPr>
                <w:color w:val="105C84"/>
                <w:spacing w:val="-5"/>
                <w:sz w:val="18"/>
              </w:rPr>
              <w:t> </w:t>
            </w:r>
            <w:r>
              <w:rPr>
                <w:color w:val="105C84"/>
                <w:spacing w:val="-2"/>
                <w:sz w:val="18"/>
              </w:rPr>
              <w:t>Through</w:t>
            </w:r>
            <w:r>
              <w:rPr>
                <w:color w:val="105C84"/>
                <w:spacing w:val="-5"/>
                <w:sz w:val="18"/>
              </w:rPr>
              <w:t> </w:t>
            </w:r>
            <w:r>
              <w:rPr>
                <w:color w:val="105C84"/>
                <w:spacing w:val="-2"/>
                <w:sz w:val="18"/>
              </w:rPr>
              <w:t>5k</w:t>
            </w:r>
            <w:r>
              <w:rPr>
                <w:color w:val="105C84"/>
                <w:spacing w:val="-4"/>
                <w:sz w:val="18"/>
              </w:rPr>
              <w:t> race</w:t>
            </w:r>
          </w:p>
        </w:tc>
        <w:tc>
          <w:tcPr>
            <w:tcW w:w="1753" w:type="dxa"/>
            <w:tcBorders>
              <w:top w:val="nil"/>
            </w:tcBorders>
          </w:tcPr>
          <w:p>
            <w:pPr>
              <w:pStyle w:val="TableParagraph"/>
              <w:rPr>
                <w:rFonts w:ascii="Times New Roman"/>
                <w:sz w:val="18"/>
              </w:rPr>
            </w:pPr>
          </w:p>
        </w:tc>
        <w:tc>
          <w:tcPr>
            <w:tcW w:w="1546" w:type="dxa"/>
            <w:tcBorders>
              <w:top w:val="nil"/>
            </w:tcBorders>
          </w:tcPr>
          <w:p>
            <w:pPr>
              <w:pStyle w:val="TableParagraph"/>
              <w:rPr>
                <w:rFonts w:ascii="Times New Roman"/>
                <w:sz w:val="18"/>
              </w:rPr>
            </w:pPr>
          </w:p>
        </w:tc>
      </w:tr>
    </w:tbl>
    <w:p>
      <w:pPr>
        <w:pStyle w:val="BodyText"/>
        <w:rPr>
          <w:b/>
          <w:sz w:val="26"/>
        </w:rPr>
      </w:pPr>
    </w:p>
    <w:p>
      <w:pPr>
        <w:pStyle w:val="BodyText"/>
        <w:spacing w:before="1"/>
        <w:rPr>
          <w:b/>
          <w:sz w:val="26"/>
        </w:rPr>
      </w:pPr>
    </w:p>
    <w:p>
      <w:pPr>
        <w:tabs>
          <w:tab w:pos="23047" w:val="left" w:leader="none"/>
        </w:tabs>
        <w:spacing w:before="1"/>
        <w:ind w:left="0" w:right="0" w:firstLine="0"/>
        <w:jc w:val="left"/>
        <w:rPr>
          <w:b/>
          <w:sz w:val="26"/>
        </w:rPr>
      </w:pPr>
      <w:r>
        <w:rPr>
          <w:position w:val="-4"/>
        </w:rPr>
        <w:drawing>
          <wp:inline distT="0" distB="0" distL="0" distR="0">
            <wp:extent cx="568172" cy="184683"/>
            <wp:effectExtent l="0" t="0" r="0" b="0"/>
            <wp:docPr id="1893" name="Image 1893"/>
            <wp:cNvGraphicFramePr>
              <a:graphicFrameLocks/>
            </wp:cNvGraphicFramePr>
            <a:graphic>
              <a:graphicData uri="http://schemas.openxmlformats.org/drawingml/2006/picture">
                <pic:pic>
                  <pic:nvPicPr>
                    <pic:cNvPr id="1893" name="Image 1893"/>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13"/>
          <w:sz w:val="20"/>
        </w:rPr>
        <w:t> </w:t>
      </w:r>
      <w:r>
        <w:rPr>
          <w:b/>
          <w:color w:val="939598"/>
          <w:w w:val="105"/>
          <w:sz w:val="26"/>
        </w:rPr>
        <w:t>175</w:t>
      </w:r>
      <w:r>
        <w:rPr>
          <w:b/>
          <w:color w:val="939598"/>
          <w:sz w:val="26"/>
        </w:rPr>
        <w:tab/>
      </w:r>
      <w:r>
        <w:rPr>
          <w:b/>
          <w:color w:val="939598"/>
          <w:spacing w:val="-5"/>
          <w:w w:val="105"/>
          <w:sz w:val="26"/>
        </w:rPr>
        <w:t>176</w:t>
      </w:r>
    </w:p>
    <w:p>
      <w:pPr>
        <w:spacing w:after="0"/>
        <w:jc w:val="left"/>
        <w:rPr>
          <w:b/>
          <w:sz w:val="26"/>
        </w:rPr>
        <w:sectPr>
          <w:pgSz w:w="24480" w:h="15840" w:orient="landscape"/>
          <w:pgMar w:header="0" w:footer="0" w:top="860" w:bottom="0" w:left="0" w:right="720"/>
        </w:sectPr>
      </w:pPr>
    </w:p>
    <w:p>
      <w:pPr>
        <w:spacing w:before="607"/>
        <w:ind w:left="1089" w:right="0" w:firstLine="0"/>
        <w:jc w:val="left"/>
        <w:rPr>
          <w:sz w:val="54"/>
        </w:rPr>
      </w:pPr>
      <w:r>
        <w:rPr>
          <w:sz w:val="54"/>
        </w:rPr>
        <w:drawing>
          <wp:anchor distT="0" distB="0" distL="0" distR="0" allowOverlap="1" layoutInCell="1" locked="0" behindDoc="0" simplePos="0" relativeHeight="15979008">
            <wp:simplePos x="0" y="0"/>
            <wp:positionH relativeFrom="page">
              <wp:posOffset>14981556</wp:posOffset>
            </wp:positionH>
            <wp:positionV relativeFrom="page">
              <wp:posOffset>9668103</wp:posOffset>
            </wp:positionV>
            <wp:extent cx="563245" cy="184683"/>
            <wp:effectExtent l="0" t="0" r="0" b="0"/>
            <wp:wrapNone/>
            <wp:docPr id="1894" name="Image 1894"/>
            <wp:cNvGraphicFramePr>
              <a:graphicFrameLocks/>
            </wp:cNvGraphicFramePr>
            <a:graphic>
              <a:graphicData uri="http://schemas.openxmlformats.org/drawingml/2006/picture">
                <pic:pic>
                  <pic:nvPicPr>
                    <pic:cNvPr id="1894" name="Image 1894"/>
                    <pic:cNvPicPr/>
                  </pic:nvPicPr>
                  <pic:blipFill>
                    <a:blip r:embed="rId38" cstate="print"/>
                    <a:stretch>
                      <a:fillRect/>
                    </a:stretch>
                  </pic:blipFill>
                  <pic:spPr>
                    <a:xfrm>
                      <a:off x="0" y="0"/>
                      <a:ext cx="563245" cy="184683"/>
                    </a:xfrm>
                    <a:prstGeom prst="rect">
                      <a:avLst/>
                    </a:prstGeom>
                  </pic:spPr>
                </pic:pic>
              </a:graphicData>
            </a:graphic>
          </wp:anchor>
        </w:drawing>
      </w:r>
      <w:r>
        <w:rPr>
          <w:sz w:val="54"/>
        </w:rPr>
        <w:drawing>
          <wp:anchor distT="0" distB="0" distL="0" distR="0" allowOverlap="1" layoutInCell="1" locked="0" behindDoc="0" simplePos="0" relativeHeight="15979520">
            <wp:simplePos x="0" y="0"/>
            <wp:positionH relativeFrom="page">
              <wp:posOffset>13626703</wp:posOffset>
            </wp:positionH>
            <wp:positionV relativeFrom="paragraph">
              <wp:posOffset>365201</wp:posOffset>
            </wp:positionV>
            <wp:extent cx="1234098" cy="628989"/>
            <wp:effectExtent l="0" t="0" r="0" b="0"/>
            <wp:wrapNone/>
            <wp:docPr id="1895" name="Image 1895"/>
            <wp:cNvGraphicFramePr>
              <a:graphicFrameLocks/>
            </wp:cNvGraphicFramePr>
            <a:graphic>
              <a:graphicData uri="http://schemas.openxmlformats.org/drawingml/2006/picture">
                <pic:pic>
                  <pic:nvPicPr>
                    <pic:cNvPr id="1895" name="Image 1895"/>
                    <pic:cNvPicPr/>
                  </pic:nvPicPr>
                  <pic:blipFill>
                    <a:blip r:embed="rId254" cstate="print"/>
                    <a:stretch>
                      <a:fillRect/>
                    </a:stretch>
                  </pic:blipFill>
                  <pic:spPr>
                    <a:xfrm>
                      <a:off x="0" y="0"/>
                      <a:ext cx="1234098" cy="628989"/>
                    </a:xfrm>
                    <a:prstGeom prst="rect">
                      <a:avLst/>
                    </a:prstGeom>
                  </pic:spPr>
                </pic:pic>
              </a:graphicData>
            </a:graphic>
          </wp:anchor>
        </w:drawing>
      </w:r>
      <w:r>
        <w:rPr>
          <w:color w:val="636466"/>
          <w:sz w:val="54"/>
        </w:rPr>
        <w:t>Schuyler</w:t>
      </w:r>
      <w:r>
        <w:rPr>
          <w:color w:val="636466"/>
          <w:spacing w:val="40"/>
          <w:sz w:val="54"/>
        </w:rPr>
        <w:t> </w:t>
      </w:r>
      <w:r>
        <w:rPr>
          <w:color w:val="636466"/>
          <w:sz w:val="54"/>
        </w:rPr>
        <w:t>County</w:t>
      </w:r>
      <w:r>
        <w:rPr>
          <w:color w:val="636466"/>
          <w:spacing w:val="41"/>
          <w:sz w:val="54"/>
        </w:rPr>
        <w:t> </w:t>
      </w:r>
      <w:r>
        <w:rPr>
          <w:color w:val="636466"/>
          <w:sz w:val="54"/>
        </w:rPr>
        <w:t>Appendix</w:t>
      </w:r>
      <w:r>
        <w:rPr>
          <w:color w:val="636466"/>
          <w:spacing w:val="40"/>
          <w:sz w:val="54"/>
        </w:rPr>
        <w:t> </w:t>
      </w:r>
      <w:r>
        <w:rPr>
          <w:color w:val="636466"/>
          <w:spacing w:val="-10"/>
          <w:sz w:val="54"/>
        </w:rPr>
        <w:t>D</w:t>
      </w:r>
    </w:p>
    <w:p>
      <w:pPr>
        <w:spacing w:line="247" w:lineRule="auto" w:before="235"/>
        <w:ind w:left="1089" w:right="15045" w:firstLine="0"/>
        <w:jc w:val="left"/>
        <w:rPr>
          <w:b/>
          <w:sz w:val="32"/>
        </w:rPr>
      </w:pPr>
      <w:r>
        <w:rPr>
          <w:b/>
          <w:color w:val="82BF6A"/>
          <w:spacing w:val="-4"/>
          <w:sz w:val="32"/>
        </w:rPr>
        <w:t>PRIORITY:</w:t>
      </w:r>
      <w:r>
        <w:rPr>
          <w:b/>
          <w:color w:val="82BF6A"/>
          <w:spacing w:val="-19"/>
          <w:sz w:val="32"/>
        </w:rPr>
        <w:t> </w:t>
      </w:r>
      <w:r>
        <w:rPr>
          <w:b/>
          <w:color w:val="82BF6A"/>
          <w:spacing w:val="-4"/>
          <w:sz w:val="32"/>
        </w:rPr>
        <w:t>PROMOTE</w:t>
      </w:r>
      <w:r>
        <w:rPr>
          <w:b/>
          <w:color w:val="82BF6A"/>
          <w:spacing w:val="-18"/>
          <w:sz w:val="32"/>
        </w:rPr>
        <w:t> </w:t>
      </w:r>
      <w:r>
        <w:rPr>
          <w:b/>
          <w:color w:val="82BF6A"/>
          <w:spacing w:val="-4"/>
          <w:sz w:val="32"/>
        </w:rPr>
        <w:t>WELL-BEING</w:t>
      </w:r>
      <w:r>
        <w:rPr>
          <w:b/>
          <w:color w:val="82BF6A"/>
          <w:spacing w:val="-18"/>
          <w:sz w:val="32"/>
        </w:rPr>
        <w:t> </w:t>
      </w:r>
      <w:r>
        <w:rPr>
          <w:b/>
          <w:color w:val="82BF6A"/>
          <w:spacing w:val="-4"/>
          <w:sz w:val="32"/>
        </w:rPr>
        <w:t>AND</w:t>
      </w:r>
      <w:r>
        <w:rPr>
          <w:b/>
          <w:color w:val="82BF6A"/>
          <w:spacing w:val="-18"/>
          <w:sz w:val="32"/>
        </w:rPr>
        <w:t> </w:t>
      </w:r>
      <w:r>
        <w:rPr>
          <w:b/>
          <w:color w:val="82BF6A"/>
          <w:spacing w:val="-4"/>
          <w:sz w:val="32"/>
        </w:rPr>
        <w:t>PREVENT </w:t>
      </w:r>
      <w:r>
        <w:rPr>
          <w:b/>
          <w:color w:val="82BF6A"/>
          <w:sz w:val="32"/>
        </w:rPr>
        <w:t>MENTAL</w:t>
      </w:r>
      <w:r>
        <w:rPr>
          <w:b/>
          <w:color w:val="82BF6A"/>
          <w:spacing w:val="-23"/>
          <w:sz w:val="32"/>
        </w:rPr>
        <w:t> </w:t>
      </w:r>
      <w:r>
        <w:rPr>
          <w:b/>
          <w:color w:val="82BF6A"/>
          <w:sz w:val="32"/>
        </w:rPr>
        <w:t>AND</w:t>
      </w:r>
      <w:r>
        <w:rPr>
          <w:b/>
          <w:color w:val="82BF6A"/>
          <w:spacing w:val="-22"/>
          <w:sz w:val="32"/>
        </w:rPr>
        <w:t> </w:t>
      </w:r>
      <w:r>
        <w:rPr>
          <w:b/>
          <w:color w:val="82BF6A"/>
          <w:sz w:val="32"/>
        </w:rPr>
        <w:t>SUBSTANCE</w:t>
      </w:r>
      <w:r>
        <w:rPr>
          <w:b/>
          <w:color w:val="82BF6A"/>
          <w:spacing w:val="-22"/>
          <w:sz w:val="32"/>
        </w:rPr>
        <w:t> </w:t>
      </w:r>
      <w:r>
        <w:rPr>
          <w:b/>
          <w:color w:val="82BF6A"/>
          <w:sz w:val="32"/>
        </w:rPr>
        <w:t>USE</w:t>
      </w:r>
      <w:r>
        <w:rPr>
          <w:b/>
          <w:color w:val="82BF6A"/>
          <w:spacing w:val="-22"/>
          <w:sz w:val="32"/>
        </w:rPr>
        <w:t> </w:t>
      </w:r>
      <w:r>
        <w:rPr>
          <w:b/>
          <w:color w:val="82BF6A"/>
          <w:sz w:val="32"/>
        </w:rPr>
        <w:t>DISORDERS</w:t>
      </w:r>
    </w:p>
    <w:p>
      <w:pPr>
        <w:pStyle w:val="BodyText"/>
        <w:rPr>
          <w:b/>
          <w:sz w:val="20"/>
        </w:rPr>
      </w:pPr>
    </w:p>
    <w:p>
      <w:pPr>
        <w:pStyle w:val="BodyText"/>
        <w:spacing w:before="102"/>
        <w:rPr>
          <w:b/>
          <w:sz w:val="20"/>
        </w:rPr>
      </w:pPr>
    </w:p>
    <w:tbl>
      <w:tblPr>
        <w:tblW w:w="0" w:type="auto"/>
        <w:jc w:val="left"/>
        <w:tblInd w:w="1099"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1526"/>
        <w:gridCol w:w="1469"/>
        <w:gridCol w:w="951"/>
        <w:gridCol w:w="1354"/>
        <w:gridCol w:w="2016"/>
        <w:gridCol w:w="7085"/>
        <w:gridCol w:w="2326"/>
        <w:gridCol w:w="2315"/>
        <w:gridCol w:w="1721"/>
        <w:gridCol w:w="1550"/>
      </w:tblGrid>
      <w:tr>
        <w:trPr>
          <w:trHeight w:val="990" w:hRule="atLeast"/>
        </w:trPr>
        <w:tc>
          <w:tcPr>
            <w:tcW w:w="1526" w:type="dxa"/>
            <w:tcBorders>
              <w:right w:val="single" w:sz="4" w:space="0" w:color="FFFFFF"/>
            </w:tcBorders>
            <w:shd w:val="clear" w:color="auto" w:fill="939598"/>
          </w:tcPr>
          <w:p>
            <w:pPr>
              <w:pStyle w:val="TableParagraph"/>
              <w:spacing w:before="177"/>
              <w:rPr>
                <w:b/>
                <w:sz w:val="20"/>
              </w:rPr>
            </w:pPr>
          </w:p>
          <w:p>
            <w:pPr>
              <w:pStyle w:val="TableParagraph"/>
              <w:ind w:left="80"/>
              <w:rPr>
                <w:b/>
                <w:sz w:val="20"/>
              </w:rPr>
            </w:pPr>
            <w:r>
              <w:rPr>
                <w:b/>
                <w:color w:val="FFFFFF"/>
                <w:spacing w:val="-2"/>
                <w:sz w:val="20"/>
              </w:rPr>
              <w:t>Priority</w:t>
            </w:r>
          </w:p>
        </w:tc>
        <w:tc>
          <w:tcPr>
            <w:tcW w:w="1469" w:type="dxa"/>
            <w:tcBorders>
              <w:left w:val="single" w:sz="4" w:space="0" w:color="FFFFFF"/>
              <w:right w:val="single" w:sz="4" w:space="0" w:color="FFFFFF"/>
            </w:tcBorders>
            <w:shd w:val="clear" w:color="auto" w:fill="939598"/>
          </w:tcPr>
          <w:p>
            <w:pPr>
              <w:pStyle w:val="TableParagraph"/>
              <w:spacing w:before="177"/>
              <w:rPr>
                <w:b/>
                <w:sz w:val="20"/>
              </w:rPr>
            </w:pPr>
          </w:p>
          <w:p>
            <w:pPr>
              <w:pStyle w:val="TableParagraph"/>
              <w:ind w:left="80"/>
              <w:rPr>
                <w:b/>
                <w:sz w:val="20"/>
              </w:rPr>
            </w:pPr>
            <w:r>
              <w:rPr>
                <w:b/>
                <w:color w:val="FFFFFF"/>
                <w:w w:val="90"/>
                <w:sz w:val="20"/>
              </w:rPr>
              <w:t>Focus</w:t>
            </w:r>
            <w:r>
              <w:rPr>
                <w:b/>
                <w:color w:val="FFFFFF"/>
                <w:spacing w:val="8"/>
                <w:sz w:val="20"/>
              </w:rPr>
              <w:t> </w:t>
            </w:r>
            <w:r>
              <w:rPr>
                <w:b/>
                <w:color w:val="FFFFFF"/>
                <w:spacing w:val="-4"/>
                <w:sz w:val="20"/>
              </w:rPr>
              <w:t>Area</w:t>
            </w:r>
          </w:p>
        </w:tc>
        <w:tc>
          <w:tcPr>
            <w:tcW w:w="951" w:type="dxa"/>
            <w:tcBorders>
              <w:left w:val="single" w:sz="4" w:space="0" w:color="FFFFFF"/>
              <w:right w:val="single" w:sz="4" w:space="0" w:color="FFFFFF"/>
            </w:tcBorders>
            <w:shd w:val="clear" w:color="auto" w:fill="939598"/>
          </w:tcPr>
          <w:p>
            <w:pPr>
              <w:pStyle w:val="TableParagraph"/>
              <w:spacing w:before="177"/>
              <w:rPr>
                <w:b/>
                <w:sz w:val="20"/>
              </w:rPr>
            </w:pPr>
          </w:p>
          <w:p>
            <w:pPr>
              <w:pStyle w:val="TableParagraph"/>
              <w:ind w:left="79"/>
              <w:rPr>
                <w:b/>
                <w:sz w:val="20"/>
              </w:rPr>
            </w:pPr>
            <w:r>
              <w:rPr>
                <w:b/>
                <w:color w:val="FFFFFF"/>
                <w:spacing w:val="-4"/>
                <w:sz w:val="20"/>
              </w:rPr>
              <w:t>Goal</w:t>
            </w:r>
          </w:p>
        </w:tc>
        <w:tc>
          <w:tcPr>
            <w:tcW w:w="1354" w:type="dxa"/>
            <w:tcBorders>
              <w:left w:val="single" w:sz="4" w:space="0" w:color="FFFFFF"/>
              <w:right w:val="single" w:sz="4" w:space="0" w:color="FFFFFF"/>
            </w:tcBorders>
            <w:shd w:val="clear" w:color="auto" w:fill="939598"/>
          </w:tcPr>
          <w:p>
            <w:pPr>
              <w:pStyle w:val="TableParagraph"/>
              <w:spacing w:before="177"/>
              <w:rPr>
                <w:b/>
                <w:sz w:val="20"/>
              </w:rPr>
            </w:pPr>
          </w:p>
          <w:p>
            <w:pPr>
              <w:pStyle w:val="TableParagraph"/>
              <w:ind w:left="79"/>
              <w:rPr>
                <w:b/>
                <w:sz w:val="20"/>
              </w:rPr>
            </w:pPr>
            <w:r>
              <w:rPr>
                <w:b/>
                <w:color w:val="FFFFFF"/>
                <w:spacing w:val="-2"/>
                <w:sz w:val="20"/>
              </w:rPr>
              <w:t>Objectives</w:t>
            </w:r>
          </w:p>
        </w:tc>
        <w:tc>
          <w:tcPr>
            <w:tcW w:w="2016" w:type="dxa"/>
            <w:tcBorders>
              <w:left w:val="single" w:sz="4" w:space="0" w:color="FFFFFF"/>
              <w:right w:val="single" w:sz="4" w:space="0" w:color="FFFFFF"/>
            </w:tcBorders>
            <w:shd w:val="clear" w:color="auto" w:fill="939598"/>
          </w:tcPr>
          <w:p>
            <w:pPr>
              <w:pStyle w:val="TableParagraph"/>
              <w:spacing w:before="177"/>
              <w:rPr>
                <w:b/>
                <w:sz w:val="20"/>
              </w:rPr>
            </w:pPr>
          </w:p>
          <w:p>
            <w:pPr>
              <w:pStyle w:val="TableParagraph"/>
              <w:ind w:left="78"/>
              <w:rPr>
                <w:b/>
                <w:sz w:val="20"/>
              </w:rPr>
            </w:pPr>
            <w:r>
              <w:rPr>
                <w:b/>
                <w:color w:val="FFFFFF"/>
                <w:spacing w:val="-2"/>
                <w:sz w:val="20"/>
              </w:rPr>
              <w:t>Interventions</w:t>
            </w:r>
          </w:p>
        </w:tc>
        <w:tc>
          <w:tcPr>
            <w:tcW w:w="7085" w:type="dxa"/>
            <w:tcBorders>
              <w:left w:val="single" w:sz="4" w:space="0" w:color="FFFFFF"/>
              <w:right w:val="single" w:sz="4" w:space="0" w:color="FFFFFF"/>
            </w:tcBorders>
            <w:shd w:val="clear" w:color="auto" w:fill="939598"/>
          </w:tcPr>
          <w:p>
            <w:pPr>
              <w:pStyle w:val="TableParagraph"/>
              <w:spacing w:line="225" w:lineRule="exact" w:before="187"/>
              <w:ind w:left="4920"/>
              <w:rPr>
                <w:b/>
                <w:sz w:val="20"/>
              </w:rPr>
            </w:pPr>
            <w:r>
              <w:rPr>
                <w:b/>
                <w:color w:val="FFFFFF"/>
                <w:sz w:val="20"/>
              </w:rPr>
              <w:t>Projected</w:t>
            </w:r>
            <w:r>
              <w:rPr>
                <w:b/>
                <w:color w:val="FFFFFF"/>
                <w:spacing w:val="-14"/>
                <w:sz w:val="20"/>
              </w:rPr>
              <w:t> </w:t>
            </w:r>
            <w:r>
              <w:rPr>
                <w:b/>
                <w:color w:val="FFFFFF"/>
                <w:spacing w:val="-5"/>
                <w:sz w:val="20"/>
              </w:rPr>
              <w:t>(or</w:t>
            </w:r>
          </w:p>
          <w:p>
            <w:pPr>
              <w:pStyle w:val="TableParagraph"/>
              <w:tabs>
                <w:tab w:pos="4919" w:val="left" w:leader="none"/>
              </w:tabs>
              <w:spacing w:line="230" w:lineRule="auto" w:before="3"/>
              <w:ind w:left="4920" w:right="357" w:hanging="4832"/>
              <w:rPr>
                <w:b/>
                <w:sz w:val="20"/>
              </w:rPr>
            </w:pPr>
            <w:r>
              <w:rPr>
                <w:b/>
                <w:color w:val="FFFFFF"/>
                <w:sz w:val="20"/>
              </w:rPr>
              <w:t>Family of Measures</w:t>
              <w:tab/>
              <w:t>completed) Year 1 Intervention</w:t>
            </w:r>
            <w:r>
              <w:rPr>
                <w:b/>
                <w:color w:val="FFFFFF"/>
                <w:spacing w:val="-5"/>
                <w:sz w:val="20"/>
              </w:rPr>
              <w:t> </w:t>
            </w:r>
            <w:r>
              <w:rPr>
                <w:b/>
                <w:color w:val="FFFFFF"/>
                <w:sz w:val="20"/>
              </w:rPr>
              <w:t>-</w:t>
            </w:r>
            <w:r>
              <w:rPr>
                <w:b/>
                <w:color w:val="FFFFFF"/>
                <w:spacing w:val="-5"/>
                <w:sz w:val="20"/>
              </w:rPr>
              <w:t> </w:t>
            </w:r>
            <w:r>
              <w:rPr>
                <w:b/>
                <w:color w:val="FFFFFF"/>
                <w:spacing w:val="-4"/>
                <w:sz w:val="20"/>
              </w:rPr>
              <w:t>2019</w:t>
            </w:r>
          </w:p>
        </w:tc>
        <w:tc>
          <w:tcPr>
            <w:tcW w:w="2326" w:type="dxa"/>
            <w:tcBorders>
              <w:left w:val="single" w:sz="4" w:space="0" w:color="FFFFFF"/>
              <w:right w:val="single" w:sz="4" w:space="0" w:color="FFFFFF"/>
            </w:tcBorders>
            <w:shd w:val="clear" w:color="auto" w:fill="939598"/>
          </w:tcPr>
          <w:p>
            <w:pPr>
              <w:pStyle w:val="TableParagraph"/>
              <w:spacing w:before="74"/>
              <w:rPr>
                <w:b/>
                <w:sz w:val="20"/>
              </w:rPr>
            </w:pPr>
          </w:p>
          <w:p>
            <w:pPr>
              <w:pStyle w:val="TableParagraph"/>
              <w:spacing w:line="230" w:lineRule="auto" w:before="1"/>
              <w:ind w:left="78" w:right="930"/>
              <w:rPr>
                <w:b/>
                <w:sz w:val="20"/>
              </w:rPr>
            </w:pPr>
            <w:r>
              <w:rPr>
                <w:b/>
                <w:color w:val="FFFFFF"/>
                <w:spacing w:val="-2"/>
                <w:sz w:val="20"/>
              </w:rPr>
              <w:t>Projected </w:t>
            </w:r>
            <w:r>
              <w:rPr>
                <w:b/>
                <w:color w:val="FFFFFF"/>
                <w:sz w:val="20"/>
              </w:rPr>
              <w:t>Year</w:t>
            </w:r>
            <w:r>
              <w:rPr>
                <w:b/>
                <w:color w:val="FFFFFF"/>
                <w:spacing w:val="-7"/>
                <w:sz w:val="20"/>
              </w:rPr>
              <w:t> </w:t>
            </w:r>
            <w:r>
              <w:rPr>
                <w:b/>
                <w:color w:val="FFFFFF"/>
                <w:sz w:val="20"/>
              </w:rPr>
              <w:t>2</w:t>
            </w:r>
            <w:r>
              <w:rPr>
                <w:b/>
                <w:color w:val="FFFFFF"/>
                <w:spacing w:val="-7"/>
                <w:sz w:val="20"/>
              </w:rPr>
              <w:t> </w:t>
            </w:r>
            <w:r>
              <w:rPr>
                <w:b/>
                <w:color w:val="FFFFFF"/>
                <w:sz w:val="20"/>
              </w:rPr>
              <w:t>-</w:t>
            </w:r>
            <w:r>
              <w:rPr>
                <w:b/>
                <w:color w:val="FFFFFF"/>
                <w:spacing w:val="-7"/>
                <w:sz w:val="20"/>
              </w:rPr>
              <w:t> </w:t>
            </w:r>
            <w:r>
              <w:rPr>
                <w:b/>
                <w:color w:val="FFFFFF"/>
                <w:sz w:val="20"/>
              </w:rPr>
              <w:t>2020</w:t>
            </w:r>
          </w:p>
        </w:tc>
        <w:tc>
          <w:tcPr>
            <w:tcW w:w="2315" w:type="dxa"/>
            <w:tcBorders>
              <w:left w:val="single" w:sz="4" w:space="0" w:color="FFFFFF"/>
              <w:right w:val="single" w:sz="4" w:space="0" w:color="FFFFFF"/>
            </w:tcBorders>
            <w:shd w:val="clear" w:color="auto" w:fill="939598"/>
          </w:tcPr>
          <w:p>
            <w:pPr>
              <w:pStyle w:val="TableParagraph"/>
              <w:spacing w:line="225" w:lineRule="exact" w:before="187"/>
              <w:ind w:left="78"/>
              <w:rPr>
                <w:b/>
                <w:sz w:val="20"/>
              </w:rPr>
            </w:pPr>
            <w:r>
              <w:rPr>
                <w:b/>
                <w:color w:val="FFFFFF"/>
                <w:spacing w:val="-2"/>
                <w:sz w:val="20"/>
              </w:rPr>
              <w:t>Projected</w:t>
            </w:r>
          </w:p>
          <w:p>
            <w:pPr>
              <w:pStyle w:val="TableParagraph"/>
              <w:spacing w:line="230" w:lineRule="auto" w:before="3"/>
              <w:ind w:left="78"/>
              <w:rPr>
                <w:b/>
                <w:sz w:val="20"/>
              </w:rPr>
            </w:pPr>
            <w:r>
              <w:rPr>
                <w:b/>
                <w:color w:val="FFFFFF"/>
                <w:spacing w:val="-2"/>
                <w:sz w:val="20"/>
              </w:rPr>
              <w:t>Year</w:t>
            </w:r>
            <w:r>
              <w:rPr>
                <w:b/>
                <w:color w:val="FFFFFF"/>
                <w:spacing w:val="-12"/>
                <w:sz w:val="20"/>
              </w:rPr>
              <w:t> </w:t>
            </w:r>
            <w:r>
              <w:rPr>
                <w:b/>
                <w:color w:val="FFFFFF"/>
                <w:spacing w:val="-2"/>
                <w:sz w:val="20"/>
              </w:rPr>
              <w:t>3</w:t>
            </w:r>
            <w:r>
              <w:rPr>
                <w:b/>
                <w:color w:val="FFFFFF"/>
                <w:spacing w:val="-12"/>
                <w:sz w:val="20"/>
              </w:rPr>
              <w:t> </w:t>
            </w:r>
            <w:r>
              <w:rPr>
                <w:b/>
                <w:color w:val="FFFFFF"/>
                <w:spacing w:val="-2"/>
                <w:sz w:val="20"/>
              </w:rPr>
              <w:t>Interventions</w:t>
            </w:r>
            <w:r>
              <w:rPr>
                <w:b/>
                <w:color w:val="FFFFFF"/>
                <w:spacing w:val="-12"/>
                <w:sz w:val="20"/>
              </w:rPr>
              <w:t> </w:t>
            </w:r>
            <w:r>
              <w:rPr>
                <w:b/>
                <w:color w:val="FFFFFF"/>
                <w:spacing w:val="-2"/>
                <w:sz w:val="20"/>
              </w:rPr>
              <w:t>- </w:t>
            </w:r>
            <w:r>
              <w:rPr>
                <w:b/>
                <w:color w:val="FFFFFF"/>
                <w:spacing w:val="-4"/>
                <w:sz w:val="20"/>
              </w:rPr>
              <w:t>2021</w:t>
            </w:r>
          </w:p>
        </w:tc>
        <w:tc>
          <w:tcPr>
            <w:tcW w:w="1721" w:type="dxa"/>
            <w:tcBorders>
              <w:left w:val="single" w:sz="4" w:space="0" w:color="FFFFFF"/>
              <w:right w:val="single" w:sz="4" w:space="0" w:color="FFFFFF"/>
            </w:tcBorders>
            <w:shd w:val="clear" w:color="auto" w:fill="939598"/>
          </w:tcPr>
          <w:p>
            <w:pPr>
              <w:pStyle w:val="TableParagraph"/>
              <w:spacing w:before="74"/>
              <w:rPr>
                <w:b/>
                <w:sz w:val="20"/>
              </w:rPr>
            </w:pPr>
          </w:p>
          <w:p>
            <w:pPr>
              <w:pStyle w:val="TableParagraph"/>
              <w:spacing w:line="230" w:lineRule="auto" w:before="1"/>
              <w:ind w:left="78" w:right="57"/>
              <w:rPr>
                <w:b/>
                <w:sz w:val="20"/>
              </w:rPr>
            </w:pPr>
            <w:r>
              <w:rPr>
                <w:b/>
                <w:color w:val="FFFFFF"/>
                <w:spacing w:val="-2"/>
                <w:sz w:val="20"/>
              </w:rPr>
              <w:t>Implementation Partner</w:t>
            </w:r>
          </w:p>
        </w:tc>
        <w:tc>
          <w:tcPr>
            <w:tcW w:w="1550" w:type="dxa"/>
            <w:tcBorders>
              <w:left w:val="single" w:sz="4" w:space="0" w:color="FFFFFF"/>
              <w:right w:val="single" w:sz="4" w:space="0" w:color="FFFFFF"/>
            </w:tcBorders>
            <w:shd w:val="clear" w:color="auto" w:fill="939598"/>
          </w:tcPr>
          <w:p>
            <w:pPr>
              <w:pStyle w:val="TableParagraph"/>
              <w:spacing w:before="74"/>
              <w:rPr>
                <w:b/>
                <w:sz w:val="20"/>
              </w:rPr>
            </w:pPr>
          </w:p>
          <w:p>
            <w:pPr>
              <w:pStyle w:val="TableParagraph"/>
              <w:spacing w:line="230" w:lineRule="auto" w:before="1"/>
              <w:ind w:left="77"/>
              <w:rPr>
                <w:b/>
                <w:sz w:val="20"/>
              </w:rPr>
            </w:pPr>
            <w:r>
              <w:rPr>
                <w:b/>
                <w:color w:val="FFFFFF"/>
                <w:spacing w:val="-6"/>
                <w:sz w:val="20"/>
              </w:rPr>
              <w:t>Partner</w:t>
            </w:r>
            <w:r>
              <w:rPr>
                <w:b/>
                <w:color w:val="FFFFFF"/>
                <w:spacing w:val="-8"/>
                <w:sz w:val="20"/>
              </w:rPr>
              <w:t> </w:t>
            </w:r>
            <w:r>
              <w:rPr>
                <w:b/>
                <w:color w:val="FFFFFF"/>
                <w:spacing w:val="-6"/>
                <w:sz w:val="20"/>
              </w:rPr>
              <w:t>Role(s) </w:t>
            </w:r>
            <w:r>
              <w:rPr>
                <w:b/>
                <w:color w:val="FFFFFF"/>
                <w:sz w:val="20"/>
              </w:rPr>
              <w:t>and</w:t>
            </w:r>
            <w:r>
              <w:rPr>
                <w:b/>
                <w:color w:val="FFFFFF"/>
                <w:spacing w:val="-8"/>
                <w:sz w:val="20"/>
              </w:rPr>
              <w:t> Resources</w:t>
            </w:r>
          </w:p>
        </w:tc>
      </w:tr>
      <w:tr>
        <w:trPr>
          <w:trHeight w:val="5870" w:hRule="atLeast"/>
        </w:trPr>
        <w:tc>
          <w:tcPr>
            <w:tcW w:w="1526" w:type="dxa"/>
            <w:shd w:val="clear" w:color="auto" w:fill="E6E7E8"/>
          </w:tcPr>
          <w:p>
            <w:pPr>
              <w:pStyle w:val="TableParagraph"/>
              <w:spacing w:line="203" w:lineRule="exact" w:before="96"/>
              <w:ind w:left="90"/>
              <w:rPr>
                <w:sz w:val="18"/>
              </w:rPr>
            </w:pPr>
            <w:r>
              <w:rPr>
                <w:color w:val="105C84"/>
                <w:spacing w:val="-2"/>
                <w:w w:val="105"/>
                <w:sz w:val="18"/>
              </w:rPr>
              <w:t>Promote</w:t>
            </w:r>
          </w:p>
          <w:p>
            <w:pPr>
              <w:pStyle w:val="TableParagraph"/>
              <w:spacing w:line="232" w:lineRule="auto" w:before="1"/>
              <w:ind w:left="90" w:right="167"/>
              <w:jc w:val="both"/>
              <w:rPr>
                <w:sz w:val="18"/>
              </w:rPr>
            </w:pPr>
            <w:r>
              <w:rPr>
                <w:color w:val="105C84"/>
                <w:sz w:val="18"/>
              </w:rPr>
              <w:t>Well-Being</w:t>
            </w:r>
            <w:r>
              <w:rPr>
                <w:color w:val="105C84"/>
                <w:spacing w:val="-2"/>
                <w:sz w:val="18"/>
              </w:rPr>
              <w:t> </w:t>
            </w:r>
            <w:r>
              <w:rPr>
                <w:color w:val="105C84"/>
                <w:sz w:val="18"/>
              </w:rPr>
              <w:t>and Prevent Mental and Substance Use Disorders</w:t>
            </w:r>
          </w:p>
        </w:tc>
        <w:tc>
          <w:tcPr>
            <w:tcW w:w="1469" w:type="dxa"/>
          </w:tcPr>
          <w:p>
            <w:pPr>
              <w:pStyle w:val="TableParagraph"/>
              <w:spacing w:line="232" w:lineRule="auto" w:before="101"/>
              <w:ind w:left="90" w:right="151"/>
              <w:rPr>
                <w:sz w:val="18"/>
              </w:rPr>
            </w:pPr>
            <w:r>
              <w:rPr>
                <w:color w:val="105C84"/>
                <w:sz w:val="18"/>
              </w:rPr>
              <w:t>Focus Area 2: Prevent</w:t>
            </w:r>
            <w:r>
              <w:rPr>
                <w:color w:val="105C84"/>
                <w:spacing w:val="-13"/>
                <w:sz w:val="18"/>
              </w:rPr>
              <w:t> </w:t>
            </w:r>
            <w:r>
              <w:rPr>
                <w:color w:val="105C84"/>
                <w:sz w:val="18"/>
              </w:rPr>
              <w:t>Mental and</w:t>
            </w:r>
            <w:r>
              <w:rPr>
                <w:color w:val="105C84"/>
                <w:spacing w:val="-13"/>
                <w:sz w:val="18"/>
              </w:rPr>
              <w:t> </w:t>
            </w:r>
            <w:r>
              <w:rPr>
                <w:color w:val="105C84"/>
                <w:sz w:val="18"/>
              </w:rPr>
              <w:t>Substance </w:t>
            </w:r>
            <w:r>
              <w:rPr>
                <w:color w:val="105C84"/>
                <w:spacing w:val="-5"/>
                <w:sz w:val="18"/>
              </w:rPr>
              <w:t>User</w:t>
            </w:r>
            <w:r>
              <w:rPr>
                <w:color w:val="105C84"/>
                <w:spacing w:val="-7"/>
                <w:sz w:val="18"/>
              </w:rPr>
              <w:t> </w:t>
            </w:r>
            <w:r>
              <w:rPr>
                <w:color w:val="105C84"/>
                <w:spacing w:val="-2"/>
                <w:sz w:val="18"/>
              </w:rPr>
              <w:t>Disorders</w:t>
            </w:r>
          </w:p>
        </w:tc>
        <w:tc>
          <w:tcPr>
            <w:tcW w:w="951" w:type="dxa"/>
          </w:tcPr>
          <w:p>
            <w:pPr>
              <w:pStyle w:val="TableParagraph"/>
              <w:spacing w:line="232" w:lineRule="auto" w:before="101"/>
              <w:ind w:left="89" w:right="128"/>
              <w:rPr>
                <w:sz w:val="18"/>
              </w:rPr>
            </w:pPr>
            <w:r>
              <w:rPr>
                <w:color w:val="105C84"/>
                <w:spacing w:val="-2"/>
                <w:sz w:val="18"/>
              </w:rPr>
              <w:t>Goal</w:t>
            </w:r>
            <w:r>
              <w:rPr>
                <w:color w:val="105C84"/>
                <w:spacing w:val="-11"/>
                <w:sz w:val="18"/>
              </w:rPr>
              <w:t> </w:t>
            </w:r>
            <w:r>
              <w:rPr>
                <w:color w:val="105C84"/>
                <w:spacing w:val="-2"/>
                <w:sz w:val="18"/>
              </w:rPr>
              <w:t>2.5: Prevent suicides</w:t>
            </w:r>
          </w:p>
        </w:tc>
        <w:tc>
          <w:tcPr>
            <w:tcW w:w="1354" w:type="dxa"/>
          </w:tcPr>
          <w:p>
            <w:pPr>
              <w:pStyle w:val="TableParagraph"/>
              <w:spacing w:line="232" w:lineRule="auto" w:before="101"/>
              <w:ind w:left="89" w:right="180"/>
              <w:rPr>
                <w:sz w:val="18"/>
              </w:rPr>
            </w:pPr>
            <w:r>
              <w:rPr>
                <w:color w:val="105C84"/>
                <w:spacing w:val="-2"/>
                <w:sz w:val="18"/>
              </w:rPr>
              <w:t>2.5.2</w:t>
            </w:r>
            <w:r>
              <w:rPr>
                <w:color w:val="105C84"/>
                <w:spacing w:val="-11"/>
                <w:sz w:val="18"/>
              </w:rPr>
              <w:t> </w:t>
            </w:r>
            <w:r>
              <w:rPr>
                <w:color w:val="105C84"/>
                <w:spacing w:val="-2"/>
                <w:sz w:val="18"/>
              </w:rPr>
              <w:t>Reduce </w:t>
            </w:r>
            <w:r>
              <w:rPr>
                <w:color w:val="105C84"/>
                <w:w w:val="105"/>
                <w:sz w:val="18"/>
              </w:rPr>
              <w:t>the</w:t>
            </w:r>
            <w:r>
              <w:rPr>
                <w:color w:val="105C84"/>
                <w:spacing w:val="-1"/>
                <w:w w:val="105"/>
                <w:sz w:val="18"/>
              </w:rPr>
              <w:t> </w:t>
            </w:r>
            <w:r>
              <w:rPr>
                <w:color w:val="105C84"/>
                <w:w w:val="105"/>
                <w:sz w:val="18"/>
              </w:rPr>
              <w:t>age-</w:t>
            </w:r>
            <w:r>
              <w:rPr>
                <w:color w:val="105C84"/>
                <w:spacing w:val="-2"/>
                <w:w w:val="105"/>
                <w:sz w:val="18"/>
              </w:rPr>
              <w:t>adjusted suicide mortality</w:t>
            </w:r>
            <w:r>
              <w:rPr>
                <w:color w:val="105C84"/>
                <w:spacing w:val="-12"/>
                <w:w w:val="105"/>
                <w:sz w:val="18"/>
              </w:rPr>
              <w:t> </w:t>
            </w:r>
            <w:r>
              <w:rPr>
                <w:color w:val="105C84"/>
                <w:spacing w:val="-2"/>
                <w:w w:val="105"/>
                <w:sz w:val="18"/>
              </w:rPr>
              <w:t>rat</w:t>
            </w:r>
            <w:r>
              <w:rPr>
                <w:color w:val="105C84"/>
                <w:spacing w:val="-2"/>
                <w:w w:val="105"/>
                <w:sz w:val="18"/>
              </w:rPr>
              <w:t>e</w:t>
            </w:r>
            <w:r>
              <w:rPr>
                <w:color w:val="105C84"/>
                <w:spacing w:val="-2"/>
                <w:w w:val="105"/>
                <w:sz w:val="18"/>
              </w:rPr>
              <w:t> </w:t>
            </w:r>
            <w:r>
              <w:rPr>
                <w:color w:val="105C84"/>
                <w:w w:val="105"/>
                <w:sz w:val="18"/>
              </w:rPr>
              <w:t>by 10% to 7</w:t>
            </w:r>
          </w:p>
          <w:p>
            <w:pPr>
              <w:pStyle w:val="TableParagraph"/>
              <w:spacing w:line="197" w:lineRule="exact"/>
              <w:ind w:left="89"/>
              <w:rPr>
                <w:sz w:val="18"/>
              </w:rPr>
            </w:pPr>
            <w:r>
              <w:rPr>
                <w:color w:val="105C84"/>
                <w:sz w:val="18"/>
              </w:rPr>
              <w:t>per</w:t>
            </w:r>
            <w:r>
              <w:rPr>
                <w:color w:val="105C84"/>
                <w:spacing w:val="3"/>
                <w:sz w:val="18"/>
              </w:rPr>
              <w:t> </w:t>
            </w:r>
            <w:r>
              <w:rPr>
                <w:color w:val="105C84"/>
                <w:spacing w:val="-2"/>
                <w:sz w:val="18"/>
              </w:rPr>
              <w:t>100,000</w:t>
            </w:r>
          </w:p>
        </w:tc>
        <w:tc>
          <w:tcPr>
            <w:tcW w:w="2016" w:type="dxa"/>
          </w:tcPr>
          <w:p>
            <w:pPr>
              <w:pStyle w:val="TableParagraph"/>
              <w:spacing w:line="232" w:lineRule="auto" w:before="101"/>
              <w:ind w:left="88" w:right="217"/>
              <w:rPr>
                <w:sz w:val="18"/>
              </w:rPr>
            </w:pPr>
            <w:r>
              <w:rPr>
                <w:color w:val="105C84"/>
                <w:sz w:val="18"/>
              </w:rPr>
              <w:t>2.5.4 Identify and support people </w:t>
            </w:r>
            <w:r>
              <w:rPr>
                <w:color w:val="105C84"/>
                <w:sz w:val="18"/>
              </w:rPr>
              <w:t>at</w:t>
            </w:r>
            <w:r>
              <w:rPr>
                <w:color w:val="105C84"/>
                <w:sz w:val="18"/>
              </w:rPr>
              <w:t> risk: Gatekeeper training, crisis</w:t>
            </w:r>
          </w:p>
          <w:p>
            <w:pPr>
              <w:pStyle w:val="TableParagraph"/>
              <w:spacing w:line="232" w:lineRule="auto"/>
              <w:ind w:left="88" w:right="6"/>
              <w:rPr>
                <w:sz w:val="18"/>
              </w:rPr>
            </w:pPr>
            <w:r>
              <w:rPr>
                <w:color w:val="105C84"/>
                <w:sz w:val="18"/>
              </w:rPr>
              <w:t>intervention, </w:t>
            </w:r>
            <w:r>
              <w:rPr>
                <w:color w:val="105C84"/>
                <w:sz w:val="18"/>
              </w:rPr>
              <w:t>treatment for people at risk of suicide, treatment to prevent re-attempts, postvention, safe reporting and messaging about </w:t>
            </w:r>
            <w:r>
              <w:rPr>
                <w:color w:val="105C84"/>
                <w:spacing w:val="-2"/>
                <w:sz w:val="18"/>
              </w:rPr>
              <w:t>suicides</w:t>
            </w:r>
          </w:p>
        </w:tc>
        <w:tc>
          <w:tcPr>
            <w:tcW w:w="7085" w:type="dxa"/>
          </w:tcPr>
          <w:p>
            <w:pPr>
              <w:pStyle w:val="TableParagraph"/>
              <w:tabs>
                <w:tab w:pos="4919" w:val="left" w:leader="none"/>
              </w:tabs>
              <w:spacing w:line="203" w:lineRule="exact" w:before="96"/>
              <w:ind w:left="88"/>
              <w:rPr>
                <w:sz w:val="18"/>
              </w:rPr>
            </w:pPr>
            <w:r>
              <w:rPr>
                <w:color w:val="105C84"/>
                <w:sz w:val="18"/>
              </w:rPr>
              <w:t>Proportion</w:t>
            </w:r>
            <w:r>
              <w:rPr>
                <w:color w:val="105C84"/>
                <w:spacing w:val="8"/>
                <w:sz w:val="18"/>
              </w:rPr>
              <w:t> </w:t>
            </w:r>
            <w:r>
              <w:rPr>
                <w:color w:val="105C84"/>
                <w:sz w:val="18"/>
              </w:rPr>
              <w:t>who</w:t>
            </w:r>
            <w:r>
              <w:rPr>
                <w:color w:val="105C84"/>
                <w:spacing w:val="9"/>
                <w:sz w:val="18"/>
              </w:rPr>
              <w:t> </w:t>
            </w:r>
            <w:r>
              <w:rPr>
                <w:color w:val="105C84"/>
                <w:sz w:val="18"/>
              </w:rPr>
              <w:t>felt</w:t>
            </w:r>
            <w:r>
              <w:rPr>
                <w:color w:val="105C84"/>
                <w:spacing w:val="9"/>
                <w:sz w:val="18"/>
              </w:rPr>
              <w:t> </w:t>
            </w:r>
            <w:r>
              <w:rPr>
                <w:color w:val="105C84"/>
                <w:spacing w:val="-2"/>
                <w:sz w:val="18"/>
              </w:rPr>
              <w:t>comfortable</w:t>
            </w:r>
            <w:r>
              <w:rPr>
                <w:color w:val="105C84"/>
                <w:sz w:val="18"/>
              </w:rPr>
              <w:tab/>
              <w:t>Attend</w:t>
            </w:r>
            <w:r>
              <w:rPr>
                <w:color w:val="105C84"/>
                <w:spacing w:val="10"/>
                <w:sz w:val="18"/>
              </w:rPr>
              <w:t> </w:t>
            </w:r>
            <w:r>
              <w:rPr>
                <w:color w:val="105C84"/>
                <w:sz w:val="18"/>
              </w:rPr>
              <w:t>local</w:t>
            </w:r>
            <w:r>
              <w:rPr>
                <w:color w:val="105C84"/>
                <w:spacing w:val="11"/>
                <w:sz w:val="18"/>
              </w:rPr>
              <w:t> </w:t>
            </w:r>
            <w:r>
              <w:rPr>
                <w:color w:val="105C84"/>
                <w:spacing w:val="-2"/>
                <w:sz w:val="18"/>
              </w:rPr>
              <w:t>festivals</w:t>
            </w:r>
          </w:p>
          <w:p>
            <w:pPr>
              <w:pStyle w:val="TableParagraph"/>
              <w:tabs>
                <w:tab w:pos="4919" w:val="left" w:leader="none"/>
              </w:tabs>
              <w:spacing w:line="200" w:lineRule="exact"/>
              <w:ind w:left="88"/>
              <w:rPr>
                <w:sz w:val="18"/>
              </w:rPr>
            </w:pPr>
            <w:r>
              <w:rPr>
                <w:color w:val="105C84"/>
                <w:sz w:val="18"/>
              </w:rPr>
              <w:t>applying</w:t>
            </w:r>
            <w:r>
              <w:rPr>
                <w:color w:val="105C84"/>
                <w:spacing w:val="5"/>
                <w:sz w:val="18"/>
              </w:rPr>
              <w:t> </w:t>
            </w:r>
            <w:r>
              <w:rPr>
                <w:color w:val="105C84"/>
                <w:sz w:val="18"/>
              </w:rPr>
              <w:t>suicide</w:t>
            </w:r>
            <w:r>
              <w:rPr>
                <w:color w:val="105C84"/>
                <w:spacing w:val="6"/>
                <w:sz w:val="18"/>
              </w:rPr>
              <w:t> </w:t>
            </w:r>
            <w:r>
              <w:rPr>
                <w:color w:val="105C84"/>
                <w:sz w:val="18"/>
              </w:rPr>
              <w:t>prevention</w:t>
            </w:r>
            <w:r>
              <w:rPr>
                <w:color w:val="105C84"/>
                <w:spacing w:val="6"/>
                <w:sz w:val="18"/>
              </w:rPr>
              <w:t> </w:t>
            </w:r>
            <w:r>
              <w:rPr>
                <w:color w:val="105C84"/>
                <w:spacing w:val="-2"/>
                <w:sz w:val="18"/>
              </w:rPr>
              <w:t>skills,</w:t>
            </w:r>
            <w:r>
              <w:rPr>
                <w:color w:val="105C84"/>
                <w:sz w:val="18"/>
              </w:rPr>
              <w:tab/>
              <w:t>and</w:t>
            </w:r>
            <w:r>
              <w:rPr>
                <w:color w:val="105C84"/>
                <w:spacing w:val="-8"/>
                <w:sz w:val="18"/>
              </w:rPr>
              <w:t> </w:t>
            </w:r>
            <w:r>
              <w:rPr>
                <w:color w:val="105C84"/>
                <w:sz w:val="18"/>
              </w:rPr>
              <w:t>events</w:t>
            </w:r>
            <w:r>
              <w:rPr>
                <w:color w:val="105C84"/>
                <w:spacing w:val="-8"/>
                <w:sz w:val="18"/>
              </w:rPr>
              <w:t> </w:t>
            </w:r>
            <w:r>
              <w:rPr>
                <w:color w:val="105C84"/>
                <w:spacing w:val="-2"/>
                <w:sz w:val="18"/>
              </w:rPr>
              <w:t>together</w:t>
            </w:r>
          </w:p>
          <w:p>
            <w:pPr>
              <w:pStyle w:val="TableParagraph"/>
              <w:tabs>
                <w:tab w:pos="4919" w:val="left" w:leader="none"/>
              </w:tabs>
              <w:spacing w:line="200" w:lineRule="exact"/>
              <w:ind w:left="88"/>
              <w:rPr>
                <w:sz w:val="18"/>
              </w:rPr>
            </w:pPr>
            <w:r>
              <w:rPr>
                <w:color w:val="105C84"/>
                <w:sz w:val="18"/>
              </w:rPr>
              <w:t>active</w:t>
            </w:r>
            <w:r>
              <w:rPr>
                <w:color w:val="105C84"/>
                <w:spacing w:val="3"/>
                <w:sz w:val="18"/>
              </w:rPr>
              <w:t> </w:t>
            </w:r>
            <w:r>
              <w:rPr>
                <w:color w:val="105C84"/>
                <w:sz w:val="18"/>
              </w:rPr>
              <w:t>listening,</w:t>
            </w:r>
            <w:r>
              <w:rPr>
                <w:color w:val="105C84"/>
                <w:spacing w:val="3"/>
                <w:sz w:val="18"/>
              </w:rPr>
              <w:t> </w:t>
            </w:r>
            <w:r>
              <w:rPr>
                <w:color w:val="105C84"/>
                <w:sz w:val="18"/>
              </w:rPr>
              <w:t>problem-</w:t>
            </w:r>
            <w:r>
              <w:rPr>
                <w:color w:val="105C84"/>
                <w:spacing w:val="-2"/>
                <w:sz w:val="18"/>
              </w:rPr>
              <w:t>solving,</w:t>
            </w:r>
            <w:r>
              <w:rPr>
                <w:color w:val="105C84"/>
                <w:sz w:val="18"/>
              </w:rPr>
              <w:tab/>
              <w:t>with</w:t>
            </w:r>
            <w:r>
              <w:rPr>
                <w:color w:val="105C84"/>
                <w:spacing w:val="3"/>
                <w:sz w:val="18"/>
              </w:rPr>
              <w:t> </w:t>
            </w:r>
            <w:r>
              <w:rPr>
                <w:color w:val="105C84"/>
                <w:sz w:val="18"/>
              </w:rPr>
              <w:t>other</w:t>
            </w:r>
            <w:r>
              <w:rPr>
                <w:color w:val="105C84"/>
                <w:spacing w:val="3"/>
                <w:sz w:val="18"/>
              </w:rPr>
              <w:t> </w:t>
            </w:r>
            <w:r>
              <w:rPr>
                <w:color w:val="105C84"/>
                <w:sz w:val="18"/>
              </w:rPr>
              <w:t>local</w:t>
            </w:r>
            <w:r>
              <w:rPr>
                <w:color w:val="105C84"/>
                <w:spacing w:val="3"/>
                <w:sz w:val="18"/>
              </w:rPr>
              <w:t> </w:t>
            </w:r>
            <w:r>
              <w:rPr>
                <w:color w:val="105C84"/>
                <w:spacing w:val="-2"/>
                <w:sz w:val="18"/>
              </w:rPr>
              <w:t>suicide</w:t>
            </w:r>
          </w:p>
          <w:p>
            <w:pPr>
              <w:pStyle w:val="TableParagraph"/>
              <w:tabs>
                <w:tab w:pos="4919" w:val="left" w:leader="none"/>
              </w:tabs>
              <w:spacing w:line="200" w:lineRule="exact"/>
              <w:ind w:left="88"/>
              <w:rPr>
                <w:sz w:val="18"/>
              </w:rPr>
            </w:pPr>
            <w:r>
              <w:rPr>
                <w:color w:val="105C84"/>
                <w:sz w:val="18"/>
              </w:rPr>
              <w:t>anger</w:t>
            </w:r>
            <w:r>
              <w:rPr>
                <w:color w:val="105C84"/>
                <w:spacing w:val="-3"/>
                <w:sz w:val="18"/>
              </w:rPr>
              <w:t> </w:t>
            </w:r>
            <w:r>
              <w:rPr>
                <w:color w:val="105C84"/>
                <w:sz w:val="18"/>
              </w:rPr>
              <w:t>management,</w:t>
            </w:r>
            <w:r>
              <w:rPr>
                <w:color w:val="105C84"/>
                <w:spacing w:val="-3"/>
                <w:sz w:val="18"/>
              </w:rPr>
              <w:t> </w:t>
            </w:r>
            <w:r>
              <w:rPr>
                <w:color w:val="105C84"/>
                <w:sz w:val="18"/>
              </w:rPr>
              <w:t>and</w:t>
            </w:r>
            <w:r>
              <w:rPr>
                <w:color w:val="105C84"/>
                <w:spacing w:val="-3"/>
                <w:sz w:val="18"/>
              </w:rPr>
              <w:t> </w:t>
            </w:r>
            <w:r>
              <w:rPr>
                <w:color w:val="105C84"/>
                <w:spacing w:val="-2"/>
                <w:sz w:val="18"/>
              </w:rPr>
              <w:t>stress</w:t>
            </w:r>
            <w:r>
              <w:rPr>
                <w:color w:val="105C84"/>
                <w:sz w:val="18"/>
              </w:rPr>
              <w:tab/>
              <w:t>prevention</w:t>
            </w:r>
            <w:r>
              <w:rPr>
                <w:color w:val="105C84"/>
                <w:spacing w:val="1"/>
                <w:sz w:val="18"/>
              </w:rPr>
              <w:t> </w:t>
            </w:r>
            <w:r>
              <w:rPr>
                <w:color w:val="105C84"/>
                <w:sz w:val="18"/>
              </w:rPr>
              <w:t>and</w:t>
            </w:r>
            <w:r>
              <w:rPr>
                <w:color w:val="105C84"/>
                <w:spacing w:val="1"/>
                <w:sz w:val="18"/>
              </w:rPr>
              <w:t> </w:t>
            </w:r>
            <w:r>
              <w:rPr>
                <w:color w:val="105C84"/>
                <w:spacing w:val="-2"/>
                <w:sz w:val="18"/>
              </w:rPr>
              <w:t>awareness</w:t>
            </w:r>
          </w:p>
          <w:p>
            <w:pPr>
              <w:pStyle w:val="TableParagraph"/>
              <w:tabs>
                <w:tab w:pos="4919" w:val="left" w:leader="none"/>
              </w:tabs>
              <w:spacing w:line="200" w:lineRule="exact"/>
              <w:ind w:left="88"/>
              <w:rPr>
                <w:sz w:val="18"/>
              </w:rPr>
            </w:pPr>
            <w:r>
              <w:rPr>
                <w:color w:val="105C84"/>
                <w:sz w:val="18"/>
              </w:rPr>
              <w:t>management</w:t>
            </w:r>
            <w:r>
              <w:rPr>
                <w:color w:val="105C84"/>
                <w:spacing w:val="1"/>
                <w:sz w:val="18"/>
              </w:rPr>
              <w:t> </w:t>
            </w:r>
            <w:r>
              <w:rPr>
                <w:color w:val="105C84"/>
                <w:sz w:val="18"/>
              </w:rPr>
              <w:t>skills</w:t>
            </w:r>
            <w:r>
              <w:rPr>
                <w:color w:val="105C84"/>
                <w:spacing w:val="2"/>
                <w:sz w:val="18"/>
              </w:rPr>
              <w:t> </w:t>
            </w:r>
            <w:r>
              <w:rPr>
                <w:color w:val="105C84"/>
                <w:sz w:val="18"/>
              </w:rPr>
              <w:t>to</w:t>
            </w:r>
            <w:r>
              <w:rPr>
                <w:color w:val="105C84"/>
                <w:spacing w:val="2"/>
                <w:sz w:val="18"/>
              </w:rPr>
              <w:t> </w:t>
            </w:r>
            <w:r>
              <w:rPr>
                <w:color w:val="105C84"/>
                <w:sz w:val="18"/>
              </w:rPr>
              <w:t>identify</w:t>
            </w:r>
            <w:r>
              <w:rPr>
                <w:color w:val="105C84"/>
                <w:spacing w:val="2"/>
                <w:sz w:val="18"/>
              </w:rPr>
              <w:t> </w:t>
            </w:r>
            <w:r>
              <w:rPr>
                <w:color w:val="105C84"/>
                <w:spacing w:val="-5"/>
                <w:sz w:val="18"/>
              </w:rPr>
              <w:t>and</w:t>
            </w:r>
            <w:r>
              <w:rPr>
                <w:color w:val="105C84"/>
                <w:sz w:val="18"/>
              </w:rPr>
              <w:tab/>
            </w:r>
            <w:r>
              <w:rPr>
                <w:color w:val="105C84"/>
                <w:spacing w:val="-2"/>
                <w:sz w:val="18"/>
              </w:rPr>
              <w:t>organizations</w:t>
            </w:r>
          </w:p>
          <w:p>
            <w:pPr>
              <w:pStyle w:val="TableParagraph"/>
              <w:tabs>
                <w:tab w:pos="4919" w:val="left" w:leader="none"/>
              </w:tabs>
              <w:spacing w:line="148" w:lineRule="auto" w:before="26"/>
              <w:ind w:left="88"/>
              <w:rPr>
                <w:position w:val="-8"/>
                <w:sz w:val="18"/>
              </w:rPr>
            </w:pPr>
            <w:r>
              <w:rPr>
                <w:color w:val="105C84"/>
                <w:sz w:val="18"/>
              </w:rPr>
              <w:t>refer</w:t>
            </w:r>
            <w:r>
              <w:rPr>
                <w:color w:val="105C84"/>
                <w:spacing w:val="-5"/>
                <w:sz w:val="18"/>
              </w:rPr>
              <w:t> </w:t>
            </w:r>
            <w:r>
              <w:rPr>
                <w:color w:val="105C84"/>
                <w:sz w:val="18"/>
              </w:rPr>
              <w:t>individuals</w:t>
            </w:r>
            <w:r>
              <w:rPr>
                <w:color w:val="105C84"/>
                <w:spacing w:val="-5"/>
                <w:sz w:val="18"/>
              </w:rPr>
              <w:t> </w:t>
            </w:r>
            <w:r>
              <w:rPr>
                <w:color w:val="105C84"/>
                <w:sz w:val="18"/>
              </w:rPr>
              <w:t>at</w:t>
            </w:r>
            <w:r>
              <w:rPr>
                <w:color w:val="105C84"/>
                <w:spacing w:val="-5"/>
                <w:sz w:val="18"/>
              </w:rPr>
              <w:t> </w:t>
            </w:r>
            <w:r>
              <w:rPr>
                <w:color w:val="105C84"/>
                <w:sz w:val="18"/>
              </w:rPr>
              <w:t>risk</w:t>
            </w:r>
            <w:r>
              <w:rPr>
                <w:color w:val="105C84"/>
                <w:spacing w:val="-5"/>
                <w:sz w:val="18"/>
              </w:rPr>
              <w:t> </w:t>
            </w:r>
            <w:r>
              <w:rPr>
                <w:color w:val="105C84"/>
                <w:sz w:val="18"/>
              </w:rPr>
              <w:t>for</w:t>
            </w:r>
            <w:r>
              <w:rPr>
                <w:color w:val="105C84"/>
                <w:spacing w:val="-5"/>
                <w:sz w:val="18"/>
              </w:rPr>
              <w:t> </w:t>
            </w:r>
            <w:r>
              <w:rPr>
                <w:color w:val="105C84"/>
                <w:spacing w:val="-2"/>
                <w:sz w:val="18"/>
              </w:rPr>
              <w:t>suicide</w:t>
            </w:r>
            <w:r>
              <w:rPr>
                <w:color w:val="105C84"/>
                <w:sz w:val="18"/>
              </w:rPr>
              <w:tab/>
            </w:r>
            <w:r>
              <w:rPr>
                <w:color w:val="105C84"/>
                <w:position w:val="-8"/>
                <w:sz w:val="18"/>
              </w:rPr>
              <w:t>Offer</w:t>
            </w:r>
            <w:r>
              <w:rPr>
                <w:color w:val="105C84"/>
                <w:spacing w:val="-14"/>
                <w:position w:val="-8"/>
                <w:sz w:val="18"/>
              </w:rPr>
              <w:t> </w:t>
            </w:r>
            <w:r>
              <w:rPr>
                <w:color w:val="105C84"/>
                <w:position w:val="-8"/>
                <w:sz w:val="18"/>
              </w:rPr>
              <w:t>Survivor</w:t>
            </w:r>
            <w:r>
              <w:rPr>
                <w:color w:val="105C84"/>
                <w:spacing w:val="-11"/>
                <w:position w:val="-8"/>
                <w:sz w:val="18"/>
              </w:rPr>
              <w:t> </w:t>
            </w:r>
            <w:r>
              <w:rPr>
                <w:color w:val="105C84"/>
                <w:spacing w:val="-2"/>
                <w:position w:val="-8"/>
                <w:sz w:val="18"/>
              </w:rPr>
              <w:t>Meetings</w:t>
            </w:r>
          </w:p>
          <w:p>
            <w:pPr>
              <w:pStyle w:val="TableParagraph"/>
              <w:tabs>
                <w:tab w:pos="4919" w:val="left" w:leader="none"/>
              </w:tabs>
              <w:spacing w:line="148" w:lineRule="auto"/>
              <w:ind w:left="88"/>
              <w:rPr>
                <w:position w:val="-8"/>
                <w:sz w:val="18"/>
              </w:rPr>
            </w:pPr>
            <w:r>
              <w:rPr>
                <w:color w:val="105C84"/>
                <w:sz w:val="18"/>
              </w:rPr>
              <w:t>to</w:t>
            </w:r>
            <w:r>
              <w:rPr>
                <w:color w:val="105C84"/>
                <w:spacing w:val="4"/>
                <w:sz w:val="18"/>
              </w:rPr>
              <w:t> </w:t>
            </w:r>
            <w:r>
              <w:rPr>
                <w:color w:val="105C84"/>
                <w:sz w:val="18"/>
              </w:rPr>
              <w:t>appropriate</w:t>
            </w:r>
            <w:r>
              <w:rPr>
                <w:color w:val="105C84"/>
                <w:spacing w:val="4"/>
                <w:sz w:val="18"/>
              </w:rPr>
              <w:t> </w:t>
            </w:r>
            <w:r>
              <w:rPr>
                <w:color w:val="105C84"/>
                <w:sz w:val="18"/>
              </w:rPr>
              <w:t>care;</w:t>
            </w:r>
            <w:r>
              <w:rPr>
                <w:color w:val="105C84"/>
                <w:spacing w:val="4"/>
                <w:sz w:val="18"/>
              </w:rPr>
              <w:t> </w:t>
            </w:r>
            <w:r>
              <w:rPr>
                <w:color w:val="105C84"/>
                <w:spacing w:val="-2"/>
                <w:sz w:val="18"/>
              </w:rPr>
              <w:t>Proportion</w:t>
            </w:r>
            <w:r>
              <w:rPr>
                <w:color w:val="105C84"/>
                <w:sz w:val="18"/>
              </w:rPr>
              <w:tab/>
            </w:r>
            <w:r>
              <w:rPr>
                <w:color w:val="105C84"/>
                <w:position w:val="-8"/>
                <w:sz w:val="18"/>
              </w:rPr>
              <w:t>starting</w:t>
            </w:r>
            <w:r>
              <w:rPr>
                <w:color w:val="105C84"/>
                <w:spacing w:val="1"/>
                <w:position w:val="-8"/>
                <w:sz w:val="18"/>
              </w:rPr>
              <w:t> </w:t>
            </w:r>
            <w:r>
              <w:rPr>
                <w:color w:val="105C84"/>
                <w:position w:val="-8"/>
                <w:sz w:val="18"/>
              </w:rPr>
              <w:t>in</w:t>
            </w:r>
            <w:r>
              <w:rPr>
                <w:color w:val="105C84"/>
                <w:spacing w:val="2"/>
                <w:position w:val="-8"/>
                <w:sz w:val="18"/>
              </w:rPr>
              <w:t> </w:t>
            </w:r>
            <w:r>
              <w:rPr>
                <w:color w:val="105C84"/>
                <w:spacing w:val="-2"/>
                <w:position w:val="-8"/>
                <w:sz w:val="18"/>
              </w:rPr>
              <w:t>October</w:t>
            </w:r>
          </w:p>
          <w:p>
            <w:pPr>
              <w:pStyle w:val="TableParagraph"/>
              <w:spacing w:line="145" w:lineRule="exact"/>
              <w:ind w:left="88"/>
              <w:rPr>
                <w:sz w:val="18"/>
              </w:rPr>
            </w:pPr>
            <w:r>
              <w:rPr>
                <w:color w:val="105C84"/>
                <w:sz w:val="18"/>
              </w:rPr>
              <w:t>who</w:t>
            </w:r>
            <w:r>
              <w:rPr>
                <w:color w:val="105C84"/>
                <w:spacing w:val="1"/>
                <w:sz w:val="18"/>
              </w:rPr>
              <w:t> </w:t>
            </w:r>
            <w:r>
              <w:rPr>
                <w:color w:val="105C84"/>
                <w:sz w:val="18"/>
              </w:rPr>
              <w:t>were</w:t>
            </w:r>
            <w:r>
              <w:rPr>
                <w:color w:val="105C84"/>
                <w:spacing w:val="2"/>
                <w:sz w:val="18"/>
              </w:rPr>
              <w:t> </w:t>
            </w:r>
            <w:r>
              <w:rPr>
                <w:color w:val="105C84"/>
                <w:sz w:val="18"/>
              </w:rPr>
              <w:t>knowledgeable</w:t>
            </w:r>
            <w:r>
              <w:rPr>
                <w:color w:val="105C84"/>
                <w:spacing w:val="1"/>
                <w:sz w:val="18"/>
              </w:rPr>
              <w:t> </w:t>
            </w:r>
            <w:r>
              <w:rPr>
                <w:color w:val="105C84"/>
                <w:spacing w:val="-2"/>
                <w:sz w:val="18"/>
              </w:rPr>
              <w:t>about</w:t>
            </w:r>
          </w:p>
          <w:p>
            <w:pPr>
              <w:pStyle w:val="TableParagraph"/>
              <w:tabs>
                <w:tab w:pos="4919" w:val="left" w:leader="none"/>
              </w:tabs>
              <w:spacing w:line="200" w:lineRule="exact"/>
              <w:ind w:left="88"/>
              <w:rPr>
                <w:position w:val="2"/>
                <w:sz w:val="18"/>
              </w:rPr>
            </w:pPr>
            <w:r>
              <w:rPr>
                <w:color w:val="105C84"/>
                <w:sz w:val="18"/>
              </w:rPr>
              <w:t>the</w:t>
            </w:r>
            <w:r>
              <w:rPr>
                <w:color w:val="105C84"/>
                <w:spacing w:val="-4"/>
                <w:sz w:val="18"/>
              </w:rPr>
              <w:t> </w:t>
            </w:r>
            <w:r>
              <w:rPr>
                <w:color w:val="105C84"/>
                <w:sz w:val="18"/>
              </w:rPr>
              <w:t>signs</w:t>
            </w:r>
            <w:r>
              <w:rPr>
                <w:color w:val="105C84"/>
                <w:spacing w:val="-3"/>
                <w:sz w:val="18"/>
              </w:rPr>
              <w:t> </w:t>
            </w:r>
            <w:r>
              <w:rPr>
                <w:color w:val="105C84"/>
                <w:sz w:val="18"/>
              </w:rPr>
              <w:t>and</w:t>
            </w:r>
            <w:r>
              <w:rPr>
                <w:color w:val="105C84"/>
                <w:spacing w:val="-4"/>
                <w:sz w:val="18"/>
              </w:rPr>
              <w:t> </w:t>
            </w:r>
            <w:r>
              <w:rPr>
                <w:color w:val="105C84"/>
                <w:sz w:val="18"/>
              </w:rPr>
              <w:t>symptoms</w:t>
            </w:r>
            <w:r>
              <w:rPr>
                <w:color w:val="105C84"/>
                <w:spacing w:val="-3"/>
                <w:sz w:val="18"/>
              </w:rPr>
              <w:t> </w:t>
            </w:r>
            <w:r>
              <w:rPr>
                <w:color w:val="105C84"/>
                <w:sz w:val="18"/>
              </w:rPr>
              <w:t>of</w:t>
            </w:r>
            <w:r>
              <w:rPr>
                <w:color w:val="105C84"/>
                <w:spacing w:val="-4"/>
                <w:sz w:val="18"/>
              </w:rPr>
              <w:t> </w:t>
            </w:r>
            <w:r>
              <w:rPr>
                <w:color w:val="105C84"/>
                <w:spacing w:val="-2"/>
                <w:sz w:val="18"/>
              </w:rPr>
              <w:t>suicide</w:t>
            </w:r>
            <w:r>
              <w:rPr>
                <w:color w:val="105C84"/>
                <w:sz w:val="18"/>
              </w:rPr>
              <w:tab/>
            </w:r>
            <w:r>
              <w:rPr>
                <w:color w:val="105C84"/>
                <w:spacing w:val="-2"/>
                <w:position w:val="2"/>
                <w:sz w:val="18"/>
              </w:rPr>
              <w:t>Fundraise</w:t>
            </w:r>
            <w:r>
              <w:rPr>
                <w:color w:val="105C84"/>
                <w:spacing w:val="-5"/>
                <w:position w:val="2"/>
                <w:sz w:val="18"/>
              </w:rPr>
              <w:t> </w:t>
            </w:r>
            <w:r>
              <w:rPr>
                <w:color w:val="105C84"/>
                <w:spacing w:val="-2"/>
                <w:position w:val="2"/>
                <w:sz w:val="18"/>
              </w:rPr>
              <w:t>and promote</w:t>
            </w:r>
          </w:p>
          <w:p>
            <w:pPr>
              <w:pStyle w:val="TableParagraph"/>
              <w:tabs>
                <w:tab w:pos="4919" w:val="left" w:leader="none"/>
              </w:tabs>
              <w:spacing w:line="200" w:lineRule="exact"/>
              <w:ind w:left="88"/>
              <w:rPr>
                <w:position w:val="2"/>
                <w:sz w:val="18"/>
              </w:rPr>
            </w:pPr>
            <w:r>
              <w:rPr>
                <w:color w:val="105C84"/>
                <w:sz w:val="18"/>
              </w:rPr>
              <w:t>as</w:t>
            </w:r>
            <w:r>
              <w:rPr>
                <w:color w:val="105C84"/>
                <w:spacing w:val="-10"/>
                <w:sz w:val="18"/>
              </w:rPr>
              <w:t> </w:t>
            </w:r>
            <w:r>
              <w:rPr>
                <w:color w:val="105C84"/>
                <w:sz w:val="18"/>
              </w:rPr>
              <w:t>well</w:t>
            </w:r>
            <w:r>
              <w:rPr>
                <w:color w:val="105C84"/>
                <w:spacing w:val="-10"/>
                <w:sz w:val="18"/>
              </w:rPr>
              <w:t> </w:t>
            </w:r>
            <w:r>
              <w:rPr>
                <w:color w:val="105C84"/>
                <w:sz w:val="18"/>
              </w:rPr>
              <w:t>as</w:t>
            </w:r>
            <w:r>
              <w:rPr>
                <w:color w:val="105C84"/>
                <w:spacing w:val="-10"/>
                <w:sz w:val="18"/>
              </w:rPr>
              <w:t> </w:t>
            </w:r>
            <w:r>
              <w:rPr>
                <w:color w:val="105C84"/>
                <w:sz w:val="18"/>
              </w:rPr>
              <w:t>the</w:t>
            </w:r>
            <w:r>
              <w:rPr>
                <w:color w:val="105C84"/>
                <w:spacing w:val="-9"/>
                <w:sz w:val="18"/>
              </w:rPr>
              <w:t> </w:t>
            </w:r>
            <w:r>
              <w:rPr>
                <w:color w:val="105C84"/>
                <w:sz w:val="18"/>
              </w:rPr>
              <w:t>mental</w:t>
            </w:r>
            <w:r>
              <w:rPr>
                <w:color w:val="105C84"/>
                <w:spacing w:val="-10"/>
                <w:sz w:val="18"/>
              </w:rPr>
              <w:t> </w:t>
            </w:r>
            <w:r>
              <w:rPr>
                <w:color w:val="105C84"/>
                <w:spacing w:val="-2"/>
                <w:sz w:val="18"/>
              </w:rPr>
              <w:t>health</w:t>
            </w:r>
            <w:r>
              <w:rPr>
                <w:color w:val="105C84"/>
                <w:sz w:val="18"/>
              </w:rPr>
              <w:tab/>
            </w:r>
            <w:r>
              <w:rPr>
                <w:color w:val="105C84"/>
                <w:spacing w:val="-4"/>
                <w:position w:val="2"/>
                <w:sz w:val="18"/>
              </w:rPr>
              <w:t>suicide</w:t>
            </w:r>
            <w:r>
              <w:rPr>
                <w:color w:val="105C84"/>
                <w:spacing w:val="-1"/>
                <w:position w:val="2"/>
                <w:sz w:val="18"/>
              </w:rPr>
              <w:t> </w:t>
            </w:r>
            <w:r>
              <w:rPr>
                <w:color w:val="105C84"/>
                <w:spacing w:val="-4"/>
                <w:position w:val="2"/>
                <w:sz w:val="18"/>
              </w:rPr>
              <w:t>awareness</w:t>
            </w:r>
            <w:r>
              <w:rPr>
                <w:color w:val="105C84"/>
                <w:spacing w:val="-1"/>
                <w:position w:val="2"/>
                <w:sz w:val="18"/>
              </w:rPr>
              <w:t> </w:t>
            </w:r>
            <w:r>
              <w:rPr>
                <w:color w:val="105C84"/>
                <w:spacing w:val="-5"/>
                <w:position w:val="2"/>
                <w:sz w:val="18"/>
              </w:rPr>
              <w:t>and</w:t>
            </w:r>
          </w:p>
          <w:p>
            <w:pPr>
              <w:pStyle w:val="TableParagraph"/>
              <w:tabs>
                <w:tab w:pos="4919" w:val="left" w:leader="none"/>
              </w:tabs>
              <w:spacing w:line="210" w:lineRule="exact"/>
              <w:ind w:left="88"/>
              <w:rPr>
                <w:position w:val="2"/>
                <w:sz w:val="18"/>
              </w:rPr>
            </w:pPr>
            <w:r>
              <w:rPr>
                <w:color w:val="105C84"/>
                <w:sz w:val="18"/>
              </w:rPr>
              <w:t>problems</w:t>
            </w:r>
            <w:r>
              <w:rPr>
                <w:color w:val="105C84"/>
                <w:spacing w:val="-7"/>
                <w:sz w:val="18"/>
              </w:rPr>
              <w:t> </w:t>
            </w:r>
            <w:r>
              <w:rPr>
                <w:color w:val="105C84"/>
                <w:sz w:val="18"/>
              </w:rPr>
              <w:t>associated</w:t>
            </w:r>
            <w:r>
              <w:rPr>
                <w:color w:val="105C84"/>
                <w:spacing w:val="-7"/>
                <w:sz w:val="18"/>
              </w:rPr>
              <w:t> </w:t>
            </w:r>
            <w:r>
              <w:rPr>
                <w:color w:val="105C84"/>
                <w:spacing w:val="-4"/>
                <w:sz w:val="18"/>
              </w:rPr>
              <w:t>with</w:t>
            </w:r>
            <w:r>
              <w:rPr>
                <w:color w:val="105C84"/>
                <w:sz w:val="18"/>
              </w:rPr>
              <w:tab/>
            </w:r>
            <w:r>
              <w:rPr>
                <w:color w:val="105C84"/>
                <w:position w:val="2"/>
                <w:sz w:val="18"/>
              </w:rPr>
              <w:t>prevention</w:t>
            </w:r>
            <w:r>
              <w:rPr>
                <w:color w:val="105C84"/>
                <w:spacing w:val="7"/>
                <w:position w:val="2"/>
                <w:sz w:val="18"/>
              </w:rPr>
              <w:t> </w:t>
            </w:r>
            <w:r>
              <w:rPr>
                <w:color w:val="105C84"/>
                <w:position w:val="2"/>
                <w:sz w:val="18"/>
              </w:rPr>
              <w:t>with</w:t>
            </w:r>
            <w:r>
              <w:rPr>
                <w:color w:val="105C84"/>
                <w:spacing w:val="8"/>
                <w:position w:val="2"/>
                <w:sz w:val="18"/>
              </w:rPr>
              <w:t> </w:t>
            </w:r>
            <w:r>
              <w:rPr>
                <w:color w:val="105C84"/>
                <w:spacing w:val="-4"/>
                <w:position w:val="2"/>
                <w:sz w:val="18"/>
              </w:rPr>
              <w:t>gala</w:t>
            </w:r>
          </w:p>
          <w:p>
            <w:pPr>
              <w:pStyle w:val="TableParagraph"/>
              <w:tabs>
                <w:tab w:pos="4919" w:val="left" w:leader="none"/>
              </w:tabs>
              <w:spacing w:line="153" w:lineRule="auto" w:before="14"/>
              <w:ind w:left="88"/>
              <w:rPr>
                <w:position w:val="-6"/>
                <w:sz w:val="18"/>
              </w:rPr>
            </w:pPr>
            <w:r>
              <w:rPr>
                <w:color w:val="105C84"/>
                <w:spacing w:val="-2"/>
                <w:sz w:val="18"/>
              </w:rPr>
              <w:t>suicide,</w:t>
            </w:r>
            <w:r>
              <w:rPr>
                <w:color w:val="105C84"/>
                <w:spacing w:val="-10"/>
                <w:sz w:val="18"/>
              </w:rPr>
              <w:t> </w:t>
            </w:r>
            <w:r>
              <w:rPr>
                <w:color w:val="105C84"/>
                <w:spacing w:val="-2"/>
                <w:sz w:val="18"/>
              </w:rPr>
              <w:t>such</w:t>
            </w:r>
            <w:r>
              <w:rPr>
                <w:color w:val="105C84"/>
                <w:spacing w:val="-11"/>
                <w:sz w:val="18"/>
              </w:rPr>
              <w:t> </w:t>
            </w:r>
            <w:r>
              <w:rPr>
                <w:color w:val="105C84"/>
                <w:spacing w:val="-2"/>
                <w:sz w:val="18"/>
              </w:rPr>
              <w:t>as</w:t>
            </w:r>
            <w:r>
              <w:rPr>
                <w:color w:val="105C84"/>
                <w:spacing w:val="-10"/>
                <w:sz w:val="18"/>
              </w:rPr>
              <w:t> </w:t>
            </w:r>
            <w:r>
              <w:rPr>
                <w:color w:val="105C84"/>
                <w:spacing w:val="-2"/>
                <w:sz w:val="18"/>
              </w:rPr>
              <w:t>depression</w:t>
            </w:r>
            <w:r>
              <w:rPr>
                <w:color w:val="105C84"/>
                <w:sz w:val="18"/>
              </w:rPr>
              <w:tab/>
            </w:r>
            <w:r>
              <w:rPr>
                <w:color w:val="105C84"/>
                <w:position w:val="-6"/>
                <w:sz w:val="18"/>
              </w:rPr>
              <w:t>Reach</w:t>
            </w:r>
            <w:r>
              <w:rPr>
                <w:color w:val="105C84"/>
                <w:spacing w:val="-6"/>
                <w:position w:val="-6"/>
                <w:sz w:val="18"/>
              </w:rPr>
              <w:t> </w:t>
            </w:r>
            <w:r>
              <w:rPr>
                <w:color w:val="105C84"/>
                <w:position w:val="-6"/>
                <w:sz w:val="18"/>
              </w:rPr>
              <w:t>out</w:t>
            </w:r>
            <w:r>
              <w:rPr>
                <w:color w:val="105C84"/>
                <w:spacing w:val="-6"/>
                <w:position w:val="-6"/>
                <w:sz w:val="18"/>
              </w:rPr>
              <w:t> </w:t>
            </w:r>
            <w:r>
              <w:rPr>
                <w:color w:val="105C84"/>
                <w:position w:val="-6"/>
                <w:sz w:val="18"/>
              </w:rPr>
              <w:t>to</w:t>
            </w:r>
            <w:r>
              <w:rPr>
                <w:color w:val="105C84"/>
                <w:spacing w:val="-5"/>
                <w:position w:val="-6"/>
                <w:sz w:val="18"/>
              </w:rPr>
              <w:t> </w:t>
            </w:r>
            <w:r>
              <w:rPr>
                <w:color w:val="105C84"/>
                <w:spacing w:val="-2"/>
                <w:position w:val="-6"/>
                <w:sz w:val="18"/>
              </w:rPr>
              <w:t>families</w:t>
            </w:r>
          </w:p>
          <w:p>
            <w:pPr>
              <w:pStyle w:val="TableParagraph"/>
              <w:tabs>
                <w:tab w:pos="4919" w:val="left" w:leader="none"/>
              </w:tabs>
              <w:spacing w:line="235" w:lineRule="exact"/>
              <w:ind w:left="88"/>
              <w:rPr>
                <w:sz w:val="18"/>
              </w:rPr>
            </w:pPr>
            <w:r>
              <w:rPr>
                <w:color w:val="105C84"/>
                <w:spacing w:val="-2"/>
                <w:position w:val="7"/>
                <w:sz w:val="18"/>
              </w:rPr>
              <w:t>and</w:t>
            </w:r>
            <w:r>
              <w:rPr>
                <w:color w:val="105C84"/>
                <w:spacing w:val="-3"/>
                <w:position w:val="7"/>
                <w:sz w:val="18"/>
              </w:rPr>
              <w:t> </w:t>
            </w:r>
            <w:r>
              <w:rPr>
                <w:color w:val="105C84"/>
                <w:spacing w:val="-2"/>
                <w:position w:val="7"/>
                <w:sz w:val="18"/>
              </w:rPr>
              <w:t>substance</w:t>
            </w:r>
            <w:r>
              <w:rPr>
                <w:color w:val="105C84"/>
                <w:spacing w:val="-3"/>
                <w:position w:val="7"/>
                <w:sz w:val="18"/>
              </w:rPr>
              <w:t> </w:t>
            </w:r>
            <w:r>
              <w:rPr>
                <w:color w:val="105C84"/>
                <w:spacing w:val="-5"/>
                <w:position w:val="7"/>
                <w:sz w:val="18"/>
              </w:rPr>
              <w:t>use</w:t>
            </w:r>
            <w:r>
              <w:rPr>
                <w:color w:val="105C84"/>
                <w:position w:val="7"/>
                <w:sz w:val="18"/>
              </w:rPr>
              <w:tab/>
            </w:r>
            <w:r>
              <w:rPr>
                <w:color w:val="105C84"/>
                <w:sz w:val="18"/>
              </w:rPr>
              <w:t>affected</w:t>
            </w:r>
            <w:r>
              <w:rPr>
                <w:color w:val="105C84"/>
                <w:spacing w:val="-4"/>
                <w:sz w:val="18"/>
              </w:rPr>
              <w:t> </w:t>
            </w:r>
            <w:r>
              <w:rPr>
                <w:color w:val="105C84"/>
                <w:sz w:val="18"/>
              </w:rPr>
              <w:t>by</w:t>
            </w:r>
            <w:r>
              <w:rPr>
                <w:color w:val="105C84"/>
                <w:spacing w:val="-3"/>
                <w:sz w:val="18"/>
              </w:rPr>
              <w:t> </w:t>
            </w:r>
            <w:r>
              <w:rPr>
                <w:color w:val="105C84"/>
                <w:sz w:val="18"/>
              </w:rPr>
              <w:t>suicide</w:t>
            </w:r>
            <w:r>
              <w:rPr>
                <w:color w:val="105C84"/>
                <w:spacing w:val="-3"/>
                <w:sz w:val="18"/>
              </w:rPr>
              <w:t> </w:t>
            </w:r>
            <w:r>
              <w:rPr>
                <w:color w:val="105C84"/>
                <w:spacing w:val="-5"/>
                <w:sz w:val="18"/>
              </w:rPr>
              <w:t>to</w:t>
            </w:r>
          </w:p>
          <w:p>
            <w:pPr>
              <w:pStyle w:val="TableParagraph"/>
              <w:spacing w:line="203" w:lineRule="exact"/>
              <w:ind w:left="4920"/>
              <w:rPr>
                <w:sz w:val="18"/>
              </w:rPr>
            </w:pPr>
            <w:r>
              <w:rPr>
                <w:color w:val="105C84"/>
                <w:sz w:val="18"/>
              </w:rPr>
              <w:t>offer</w:t>
            </w:r>
            <w:r>
              <w:rPr>
                <w:color w:val="105C84"/>
                <w:spacing w:val="3"/>
                <w:sz w:val="18"/>
              </w:rPr>
              <w:t> </w:t>
            </w:r>
            <w:r>
              <w:rPr>
                <w:color w:val="105C84"/>
                <w:spacing w:val="-2"/>
                <w:sz w:val="18"/>
              </w:rPr>
              <w:t>support</w:t>
            </w:r>
          </w:p>
          <w:p>
            <w:pPr>
              <w:pStyle w:val="TableParagraph"/>
              <w:spacing w:line="232" w:lineRule="auto" w:before="88"/>
              <w:ind w:left="4920"/>
              <w:rPr>
                <w:sz w:val="18"/>
              </w:rPr>
            </w:pPr>
            <w:r>
              <w:rPr>
                <w:color w:val="105C84"/>
                <w:sz w:val="18"/>
              </w:rPr>
              <w:t>Adopt a family for </w:t>
            </w:r>
            <w:r>
              <w:rPr>
                <w:color w:val="105C84"/>
                <w:sz w:val="18"/>
              </w:rPr>
              <w:t>the </w:t>
            </w:r>
            <w:r>
              <w:rPr>
                <w:color w:val="105C84"/>
                <w:spacing w:val="-2"/>
                <w:sz w:val="18"/>
              </w:rPr>
              <w:t>holidays</w:t>
            </w:r>
          </w:p>
          <w:p>
            <w:pPr>
              <w:pStyle w:val="TableParagraph"/>
              <w:spacing w:line="232" w:lineRule="auto" w:before="88"/>
              <w:ind w:left="4920" w:right="46"/>
              <w:rPr>
                <w:sz w:val="18"/>
              </w:rPr>
            </w:pPr>
            <w:r>
              <w:rPr>
                <w:color w:val="105C84"/>
                <w:sz w:val="18"/>
              </w:rPr>
              <w:t>Partner with other community</w:t>
            </w:r>
            <w:r>
              <w:rPr>
                <w:color w:val="105C84"/>
                <w:spacing w:val="-13"/>
                <w:sz w:val="18"/>
              </w:rPr>
              <w:t> </w:t>
            </w:r>
            <w:r>
              <w:rPr>
                <w:color w:val="105C84"/>
                <w:sz w:val="18"/>
              </w:rPr>
              <w:t>organizations to</w:t>
            </w:r>
            <w:r>
              <w:rPr>
                <w:color w:val="105C84"/>
                <w:spacing w:val="-10"/>
                <w:sz w:val="18"/>
              </w:rPr>
              <w:t> </w:t>
            </w:r>
            <w:r>
              <w:rPr>
                <w:color w:val="105C84"/>
                <w:sz w:val="18"/>
              </w:rPr>
              <w:t>assist</w:t>
            </w:r>
            <w:r>
              <w:rPr>
                <w:color w:val="105C84"/>
                <w:spacing w:val="-10"/>
                <w:sz w:val="18"/>
              </w:rPr>
              <w:t> </w:t>
            </w:r>
            <w:r>
              <w:rPr>
                <w:color w:val="105C84"/>
                <w:sz w:val="18"/>
              </w:rPr>
              <w:t>with</w:t>
            </w:r>
            <w:r>
              <w:rPr>
                <w:color w:val="105C84"/>
                <w:spacing w:val="-10"/>
                <w:sz w:val="18"/>
              </w:rPr>
              <w:t> </w:t>
            </w:r>
            <w:r>
              <w:rPr>
                <w:color w:val="105C84"/>
                <w:sz w:val="18"/>
              </w:rPr>
              <w:t>postvention </w:t>
            </w:r>
            <w:r>
              <w:rPr>
                <w:color w:val="105C84"/>
                <w:spacing w:val="-2"/>
                <w:sz w:val="18"/>
              </w:rPr>
              <w:t>efforts</w:t>
            </w:r>
          </w:p>
          <w:p>
            <w:pPr>
              <w:pStyle w:val="TableParagraph"/>
              <w:spacing w:line="232" w:lineRule="auto" w:before="87"/>
              <w:ind w:left="4920"/>
              <w:rPr>
                <w:sz w:val="18"/>
              </w:rPr>
            </w:pPr>
            <w:r>
              <w:rPr>
                <w:color w:val="105C84"/>
                <w:sz w:val="18"/>
              </w:rPr>
              <w:t>Committee</w:t>
            </w:r>
            <w:r>
              <w:rPr>
                <w:color w:val="105C84"/>
                <w:spacing w:val="-1"/>
                <w:sz w:val="18"/>
              </w:rPr>
              <w:t> </w:t>
            </w:r>
            <w:r>
              <w:rPr>
                <w:color w:val="105C84"/>
                <w:sz w:val="18"/>
              </w:rPr>
              <w:t>members</w:t>
            </w:r>
            <w:r>
              <w:rPr>
                <w:color w:val="105C84"/>
                <w:spacing w:val="-1"/>
                <w:sz w:val="18"/>
              </w:rPr>
              <w:t> </w:t>
            </w:r>
            <w:r>
              <w:rPr>
                <w:color w:val="105C84"/>
                <w:sz w:val="18"/>
              </w:rPr>
              <w:t>will complete QPR training</w:t>
            </w:r>
          </w:p>
          <w:p>
            <w:pPr>
              <w:pStyle w:val="TableParagraph"/>
              <w:spacing w:line="232" w:lineRule="auto" w:before="88"/>
              <w:ind w:left="4920"/>
              <w:rPr>
                <w:sz w:val="18"/>
              </w:rPr>
            </w:pPr>
            <w:r>
              <w:rPr>
                <w:color w:val="105C84"/>
                <w:sz w:val="18"/>
              </w:rPr>
              <w:t>Offer</w:t>
            </w:r>
            <w:r>
              <w:rPr>
                <w:color w:val="105C84"/>
                <w:spacing w:val="-15"/>
                <w:sz w:val="18"/>
              </w:rPr>
              <w:t> </w:t>
            </w:r>
            <w:r>
              <w:rPr>
                <w:color w:val="105C84"/>
                <w:sz w:val="18"/>
              </w:rPr>
              <w:t>a</w:t>
            </w:r>
            <w:r>
              <w:rPr>
                <w:color w:val="105C84"/>
                <w:spacing w:val="-12"/>
                <w:sz w:val="18"/>
              </w:rPr>
              <w:t> </w:t>
            </w:r>
            <w:r>
              <w:rPr>
                <w:color w:val="105C84"/>
                <w:sz w:val="18"/>
              </w:rPr>
              <w:t>scholarship</w:t>
            </w:r>
            <w:r>
              <w:rPr>
                <w:color w:val="105C84"/>
                <w:spacing w:val="-13"/>
                <w:sz w:val="18"/>
              </w:rPr>
              <w:t> </w:t>
            </w:r>
            <w:r>
              <w:rPr>
                <w:color w:val="105C84"/>
                <w:sz w:val="18"/>
              </w:rPr>
              <w:t>for</w:t>
            </w:r>
            <w:r>
              <w:rPr>
                <w:color w:val="105C84"/>
                <w:spacing w:val="-12"/>
                <w:sz w:val="18"/>
              </w:rPr>
              <w:t> </w:t>
            </w:r>
            <w:r>
              <w:rPr>
                <w:color w:val="105C84"/>
                <w:sz w:val="18"/>
              </w:rPr>
              <w:t>a Watkins Glen student.</w:t>
            </w:r>
          </w:p>
        </w:tc>
        <w:tc>
          <w:tcPr>
            <w:tcW w:w="2326" w:type="dxa"/>
          </w:tcPr>
          <w:p>
            <w:pPr>
              <w:pStyle w:val="TableParagraph"/>
              <w:spacing w:line="232" w:lineRule="auto" w:before="100"/>
              <w:ind w:left="88" w:right="215"/>
              <w:rPr>
                <w:sz w:val="18"/>
              </w:rPr>
            </w:pPr>
            <w:r>
              <w:rPr>
                <w:color w:val="105C84"/>
                <w:w w:val="105"/>
                <w:sz w:val="18"/>
              </w:rPr>
              <w:t>Attend local festivals </w:t>
            </w:r>
            <w:r>
              <w:rPr>
                <w:color w:val="105C84"/>
                <w:spacing w:val="-2"/>
                <w:w w:val="105"/>
                <w:sz w:val="18"/>
              </w:rPr>
              <w:t>and</w:t>
            </w:r>
            <w:r>
              <w:rPr>
                <w:color w:val="105C84"/>
                <w:spacing w:val="-12"/>
                <w:w w:val="105"/>
                <w:sz w:val="18"/>
              </w:rPr>
              <w:t> </w:t>
            </w:r>
            <w:r>
              <w:rPr>
                <w:color w:val="105C84"/>
                <w:spacing w:val="-2"/>
                <w:w w:val="105"/>
                <w:sz w:val="18"/>
              </w:rPr>
              <w:t>events</w:t>
            </w:r>
            <w:r>
              <w:rPr>
                <w:color w:val="105C84"/>
                <w:spacing w:val="-11"/>
                <w:w w:val="105"/>
                <w:sz w:val="18"/>
              </w:rPr>
              <w:t> </w:t>
            </w:r>
            <w:r>
              <w:rPr>
                <w:color w:val="105C84"/>
                <w:spacing w:val="-2"/>
                <w:w w:val="105"/>
                <w:sz w:val="18"/>
              </w:rPr>
              <w:t>to</w:t>
            </w:r>
            <w:r>
              <w:rPr>
                <w:color w:val="105C84"/>
                <w:spacing w:val="-11"/>
                <w:w w:val="105"/>
                <w:sz w:val="18"/>
              </w:rPr>
              <w:t> </w:t>
            </w:r>
            <w:r>
              <w:rPr>
                <w:color w:val="105C84"/>
                <w:spacing w:val="-2"/>
                <w:w w:val="105"/>
                <w:sz w:val="18"/>
              </w:rPr>
              <w:t>together </w:t>
            </w:r>
            <w:r>
              <w:rPr>
                <w:color w:val="105C84"/>
                <w:sz w:val="18"/>
              </w:rPr>
              <w:t>with</w:t>
            </w:r>
            <w:r>
              <w:rPr>
                <w:color w:val="105C84"/>
                <w:spacing w:val="3"/>
                <w:sz w:val="18"/>
              </w:rPr>
              <w:t> </w:t>
            </w:r>
            <w:r>
              <w:rPr>
                <w:color w:val="105C84"/>
                <w:sz w:val="18"/>
              </w:rPr>
              <w:t>other</w:t>
            </w:r>
            <w:r>
              <w:rPr>
                <w:color w:val="105C84"/>
                <w:spacing w:val="3"/>
                <w:sz w:val="18"/>
              </w:rPr>
              <w:t> </w:t>
            </w:r>
            <w:r>
              <w:rPr>
                <w:color w:val="105C84"/>
                <w:sz w:val="18"/>
              </w:rPr>
              <w:t>local</w:t>
            </w:r>
            <w:r>
              <w:rPr>
                <w:color w:val="105C84"/>
                <w:spacing w:val="3"/>
                <w:sz w:val="18"/>
              </w:rPr>
              <w:t> </w:t>
            </w:r>
            <w:r>
              <w:rPr>
                <w:color w:val="105C84"/>
                <w:spacing w:val="-2"/>
                <w:sz w:val="18"/>
              </w:rPr>
              <w:t>suicide</w:t>
            </w:r>
          </w:p>
          <w:p>
            <w:pPr>
              <w:pStyle w:val="TableParagraph"/>
              <w:spacing w:line="232" w:lineRule="auto"/>
              <w:ind w:left="88"/>
              <w:rPr>
                <w:sz w:val="18"/>
              </w:rPr>
            </w:pPr>
            <w:r>
              <w:rPr>
                <w:color w:val="105C84"/>
                <w:spacing w:val="-2"/>
                <w:sz w:val="18"/>
              </w:rPr>
              <w:t>prevention</w:t>
            </w:r>
            <w:r>
              <w:rPr>
                <w:color w:val="105C84"/>
                <w:spacing w:val="-13"/>
                <w:sz w:val="18"/>
              </w:rPr>
              <w:t> </w:t>
            </w:r>
            <w:r>
              <w:rPr>
                <w:color w:val="105C84"/>
                <w:spacing w:val="-2"/>
                <w:sz w:val="18"/>
              </w:rPr>
              <w:t>and</w:t>
            </w:r>
            <w:r>
              <w:rPr>
                <w:color w:val="105C84"/>
                <w:spacing w:val="-10"/>
                <w:sz w:val="18"/>
              </w:rPr>
              <w:t> </w:t>
            </w:r>
            <w:r>
              <w:rPr>
                <w:color w:val="105C84"/>
                <w:spacing w:val="-2"/>
                <w:sz w:val="18"/>
              </w:rPr>
              <w:t>awareness organizations</w:t>
            </w:r>
          </w:p>
          <w:p>
            <w:pPr>
              <w:pStyle w:val="TableParagraph"/>
              <w:spacing w:before="81"/>
              <w:ind w:left="88"/>
              <w:rPr>
                <w:sz w:val="18"/>
              </w:rPr>
            </w:pPr>
            <w:r>
              <w:rPr>
                <w:color w:val="105C84"/>
                <w:sz w:val="18"/>
              </w:rPr>
              <w:t>Offer</w:t>
            </w:r>
            <w:r>
              <w:rPr>
                <w:color w:val="105C84"/>
                <w:spacing w:val="-14"/>
                <w:sz w:val="18"/>
              </w:rPr>
              <w:t> </w:t>
            </w:r>
            <w:r>
              <w:rPr>
                <w:color w:val="105C84"/>
                <w:sz w:val="18"/>
              </w:rPr>
              <w:t>Survivor</w:t>
            </w:r>
            <w:r>
              <w:rPr>
                <w:color w:val="105C84"/>
                <w:spacing w:val="-11"/>
                <w:sz w:val="18"/>
              </w:rPr>
              <w:t> </w:t>
            </w:r>
            <w:r>
              <w:rPr>
                <w:color w:val="105C84"/>
                <w:spacing w:val="-2"/>
                <w:sz w:val="18"/>
              </w:rPr>
              <w:t>Meetings</w:t>
            </w:r>
          </w:p>
          <w:p>
            <w:pPr>
              <w:pStyle w:val="TableParagraph"/>
              <w:spacing w:line="232" w:lineRule="auto" w:before="88"/>
              <w:ind w:left="88" w:right="215"/>
              <w:rPr>
                <w:sz w:val="18"/>
              </w:rPr>
            </w:pPr>
            <w:r>
              <w:rPr>
                <w:color w:val="105C84"/>
                <w:sz w:val="18"/>
              </w:rPr>
              <w:t>Fundraise</w:t>
            </w:r>
            <w:r>
              <w:rPr>
                <w:color w:val="105C84"/>
                <w:spacing w:val="-12"/>
                <w:sz w:val="18"/>
              </w:rPr>
              <w:t> </w:t>
            </w:r>
            <w:r>
              <w:rPr>
                <w:color w:val="105C84"/>
                <w:sz w:val="18"/>
              </w:rPr>
              <w:t>and</w:t>
            </w:r>
            <w:r>
              <w:rPr>
                <w:color w:val="105C84"/>
                <w:spacing w:val="-12"/>
                <w:sz w:val="18"/>
              </w:rPr>
              <w:t> </w:t>
            </w:r>
            <w:r>
              <w:rPr>
                <w:color w:val="105C84"/>
                <w:sz w:val="18"/>
              </w:rPr>
              <w:t>promote suicide awareness and prevention with gala</w:t>
            </w:r>
          </w:p>
          <w:p>
            <w:pPr>
              <w:pStyle w:val="TableParagraph"/>
              <w:spacing w:line="232" w:lineRule="auto" w:before="88"/>
              <w:ind w:left="88"/>
              <w:rPr>
                <w:sz w:val="18"/>
              </w:rPr>
            </w:pPr>
            <w:r>
              <w:rPr>
                <w:color w:val="105C84"/>
                <w:sz w:val="18"/>
              </w:rPr>
              <w:t>Reach out to families affected</w:t>
            </w:r>
            <w:r>
              <w:rPr>
                <w:color w:val="105C84"/>
                <w:spacing w:val="-2"/>
                <w:sz w:val="18"/>
              </w:rPr>
              <w:t> </w:t>
            </w:r>
            <w:r>
              <w:rPr>
                <w:color w:val="105C84"/>
                <w:sz w:val="18"/>
              </w:rPr>
              <w:t>by</w:t>
            </w:r>
            <w:r>
              <w:rPr>
                <w:color w:val="105C84"/>
                <w:spacing w:val="-2"/>
                <w:sz w:val="18"/>
              </w:rPr>
              <w:t> </w:t>
            </w:r>
            <w:r>
              <w:rPr>
                <w:color w:val="105C84"/>
                <w:sz w:val="18"/>
              </w:rPr>
              <w:t>suicide</w:t>
            </w:r>
            <w:r>
              <w:rPr>
                <w:color w:val="105C84"/>
                <w:spacing w:val="-2"/>
                <w:sz w:val="18"/>
              </w:rPr>
              <w:t> </w:t>
            </w:r>
            <w:r>
              <w:rPr>
                <w:color w:val="105C84"/>
                <w:sz w:val="18"/>
              </w:rPr>
              <w:t>to</w:t>
            </w:r>
            <w:r>
              <w:rPr>
                <w:color w:val="105C84"/>
                <w:spacing w:val="-2"/>
                <w:sz w:val="18"/>
              </w:rPr>
              <w:t> </w:t>
            </w:r>
            <w:r>
              <w:rPr>
                <w:color w:val="105C84"/>
                <w:sz w:val="18"/>
              </w:rPr>
              <w:t>offer </w:t>
            </w:r>
            <w:r>
              <w:rPr>
                <w:color w:val="105C84"/>
                <w:spacing w:val="-2"/>
                <w:sz w:val="18"/>
              </w:rPr>
              <w:t>support</w:t>
            </w:r>
          </w:p>
          <w:p>
            <w:pPr>
              <w:pStyle w:val="TableParagraph"/>
              <w:spacing w:line="232" w:lineRule="auto" w:before="87"/>
              <w:ind w:left="88" w:right="215"/>
              <w:rPr>
                <w:sz w:val="18"/>
              </w:rPr>
            </w:pPr>
            <w:r>
              <w:rPr>
                <w:color w:val="105C84"/>
                <w:sz w:val="18"/>
              </w:rPr>
              <w:t>Adopt a family for </w:t>
            </w:r>
            <w:r>
              <w:rPr>
                <w:color w:val="105C84"/>
                <w:sz w:val="18"/>
              </w:rPr>
              <w:t>the </w:t>
            </w:r>
            <w:r>
              <w:rPr>
                <w:color w:val="105C84"/>
                <w:spacing w:val="-2"/>
                <w:sz w:val="18"/>
              </w:rPr>
              <w:t>holidays</w:t>
            </w:r>
          </w:p>
          <w:p>
            <w:pPr>
              <w:pStyle w:val="TableParagraph"/>
              <w:spacing w:line="232" w:lineRule="auto" w:before="89"/>
              <w:ind w:left="88" w:right="119"/>
              <w:rPr>
                <w:sz w:val="18"/>
              </w:rPr>
            </w:pPr>
            <w:r>
              <w:rPr>
                <w:color w:val="105C84"/>
                <w:sz w:val="18"/>
              </w:rPr>
              <w:t>Partner with other community</w:t>
            </w:r>
            <w:r>
              <w:rPr>
                <w:color w:val="105C84"/>
                <w:spacing w:val="-13"/>
                <w:sz w:val="18"/>
              </w:rPr>
              <w:t> </w:t>
            </w:r>
            <w:r>
              <w:rPr>
                <w:color w:val="105C84"/>
                <w:sz w:val="18"/>
              </w:rPr>
              <w:t>organizations to</w:t>
            </w:r>
            <w:r>
              <w:rPr>
                <w:color w:val="105C84"/>
                <w:spacing w:val="-10"/>
                <w:sz w:val="18"/>
              </w:rPr>
              <w:t> </w:t>
            </w:r>
            <w:r>
              <w:rPr>
                <w:color w:val="105C84"/>
                <w:sz w:val="18"/>
              </w:rPr>
              <w:t>assist</w:t>
            </w:r>
            <w:r>
              <w:rPr>
                <w:color w:val="105C84"/>
                <w:spacing w:val="-10"/>
                <w:sz w:val="18"/>
              </w:rPr>
              <w:t> </w:t>
            </w:r>
            <w:r>
              <w:rPr>
                <w:color w:val="105C84"/>
                <w:sz w:val="18"/>
              </w:rPr>
              <w:t>with</w:t>
            </w:r>
            <w:r>
              <w:rPr>
                <w:color w:val="105C84"/>
                <w:spacing w:val="-10"/>
                <w:sz w:val="18"/>
              </w:rPr>
              <w:t> </w:t>
            </w:r>
            <w:r>
              <w:rPr>
                <w:color w:val="105C84"/>
                <w:sz w:val="18"/>
              </w:rPr>
              <w:t>postvention </w:t>
            </w:r>
            <w:r>
              <w:rPr>
                <w:color w:val="105C84"/>
                <w:spacing w:val="-2"/>
                <w:sz w:val="18"/>
              </w:rPr>
              <w:t>efforts</w:t>
            </w:r>
          </w:p>
          <w:p>
            <w:pPr>
              <w:pStyle w:val="TableParagraph"/>
              <w:spacing w:line="232" w:lineRule="auto" w:before="87"/>
              <w:ind w:left="88" w:right="215"/>
              <w:rPr>
                <w:sz w:val="18"/>
              </w:rPr>
            </w:pPr>
            <w:r>
              <w:rPr>
                <w:color w:val="105C84"/>
                <w:sz w:val="18"/>
              </w:rPr>
              <w:t>Committee</w:t>
            </w:r>
            <w:r>
              <w:rPr>
                <w:color w:val="105C84"/>
                <w:spacing w:val="-1"/>
                <w:sz w:val="18"/>
              </w:rPr>
              <w:t> </w:t>
            </w:r>
            <w:r>
              <w:rPr>
                <w:color w:val="105C84"/>
                <w:sz w:val="18"/>
              </w:rPr>
              <w:t>members</w:t>
            </w:r>
            <w:r>
              <w:rPr>
                <w:color w:val="105C84"/>
                <w:spacing w:val="-1"/>
                <w:sz w:val="18"/>
              </w:rPr>
              <w:t> </w:t>
            </w:r>
            <w:r>
              <w:rPr>
                <w:color w:val="105C84"/>
                <w:sz w:val="18"/>
              </w:rPr>
              <w:t>will complete QPR training</w:t>
            </w:r>
          </w:p>
          <w:p>
            <w:pPr>
              <w:pStyle w:val="TableParagraph"/>
              <w:spacing w:line="232" w:lineRule="auto" w:before="88"/>
              <w:ind w:left="88" w:right="215"/>
              <w:rPr>
                <w:sz w:val="18"/>
              </w:rPr>
            </w:pPr>
            <w:r>
              <w:rPr>
                <w:color w:val="105C84"/>
                <w:sz w:val="18"/>
              </w:rPr>
              <w:t>Offer</w:t>
            </w:r>
            <w:r>
              <w:rPr>
                <w:color w:val="105C84"/>
                <w:spacing w:val="-15"/>
                <w:sz w:val="18"/>
              </w:rPr>
              <w:t> </w:t>
            </w:r>
            <w:r>
              <w:rPr>
                <w:color w:val="105C84"/>
                <w:sz w:val="18"/>
              </w:rPr>
              <w:t>two</w:t>
            </w:r>
            <w:r>
              <w:rPr>
                <w:color w:val="105C84"/>
                <w:spacing w:val="-12"/>
                <w:sz w:val="18"/>
              </w:rPr>
              <w:t> </w:t>
            </w:r>
            <w:r>
              <w:rPr>
                <w:color w:val="105C84"/>
                <w:sz w:val="18"/>
              </w:rPr>
              <w:t>scholarships: one</w:t>
            </w:r>
            <w:r>
              <w:rPr>
                <w:color w:val="105C84"/>
                <w:spacing w:val="-15"/>
                <w:sz w:val="18"/>
              </w:rPr>
              <w:t> </w:t>
            </w:r>
            <w:r>
              <w:rPr>
                <w:color w:val="105C84"/>
                <w:sz w:val="18"/>
              </w:rPr>
              <w:t>each</w:t>
            </w:r>
            <w:r>
              <w:rPr>
                <w:color w:val="105C84"/>
                <w:spacing w:val="-12"/>
                <w:sz w:val="18"/>
              </w:rPr>
              <w:t> </w:t>
            </w:r>
            <w:r>
              <w:rPr>
                <w:color w:val="105C84"/>
                <w:sz w:val="18"/>
              </w:rPr>
              <w:t>for</w:t>
            </w:r>
            <w:r>
              <w:rPr>
                <w:color w:val="105C84"/>
                <w:spacing w:val="-13"/>
                <w:sz w:val="18"/>
              </w:rPr>
              <w:t> </w:t>
            </w:r>
            <w:r>
              <w:rPr>
                <w:color w:val="105C84"/>
                <w:sz w:val="18"/>
              </w:rPr>
              <w:t>a</w:t>
            </w:r>
            <w:r>
              <w:rPr>
                <w:color w:val="105C84"/>
                <w:spacing w:val="-12"/>
                <w:sz w:val="18"/>
              </w:rPr>
              <w:t> </w:t>
            </w:r>
            <w:r>
              <w:rPr>
                <w:color w:val="105C84"/>
                <w:sz w:val="18"/>
              </w:rPr>
              <w:t>Watkins Glen and an Odessa-Montour student</w:t>
            </w:r>
          </w:p>
        </w:tc>
        <w:tc>
          <w:tcPr>
            <w:tcW w:w="2315" w:type="dxa"/>
          </w:tcPr>
          <w:p>
            <w:pPr>
              <w:pStyle w:val="TableParagraph"/>
              <w:spacing w:line="232" w:lineRule="auto" w:before="99"/>
              <w:ind w:left="88" w:right="204"/>
              <w:rPr>
                <w:sz w:val="18"/>
              </w:rPr>
            </w:pPr>
            <w:r>
              <w:rPr>
                <w:color w:val="105C84"/>
                <w:w w:val="105"/>
                <w:sz w:val="18"/>
              </w:rPr>
              <w:t>Attend local festivals </w:t>
            </w:r>
            <w:r>
              <w:rPr>
                <w:color w:val="105C84"/>
                <w:spacing w:val="-2"/>
                <w:w w:val="105"/>
                <w:sz w:val="18"/>
              </w:rPr>
              <w:t>and</w:t>
            </w:r>
            <w:r>
              <w:rPr>
                <w:color w:val="105C84"/>
                <w:spacing w:val="-12"/>
                <w:w w:val="105"/>
                <w:sz w:val="18"/>
              </w:rPr>
              <w:t> </w:t>
            </w:r>
            <w:r>
              <w:rPr>
                <w:color w:val="105C84"/>
                <w:spacing w:val="-2"/>
                <w:w w:val="105"/>
                <w:sz w:val="18"/>
              </w:rPr>
              <w:t>events</w:t>
            </w:r>
            <w:r>
              <w:rPr>
                <w:color w:val="105C84"/>
                <w:spacing w:val="-11"/>
                <w:w w:val="105"/>
                <w:sz w:val="18"/>
              </w:rPr>
              <w:t> </w:t>
            </w:r>
            <w:r>
              <w:rPr>
                <w:color w:val="105C84"/>
                <w:spacing w:val="-2"/>
                <w:w w:val="105"/>
                <w:sz w:val="18"/>
              </w:rPr>
              <w:t>to</w:t>
            </w:r>
            <w:r>
              <w:rPr>
                <w:color w:val="105C84"/>
                <w:spacing w:val="-11"/>
                <w:w w:val="105"/>
                <w:sz w:val="18"/>
              </w:rPr>
              <w:t> </w:t>
            </w:r>
            <w:r>
              <w:rPr>
                <w:color w:val="105C84"/>
                <w:spacing w:val="-2"/>
                <w:w w:val="105"/>
                <w:sz w:val="18"/>
              </w:rPr>
              <w:t>together </w:t>
            </w:r>
            <w:r>
              <w:rPr>
                <w:color w:val="105C84"/>
                <w:sz w:val="18"/>
              </w:rPr>
              <w:t>with</w:t>
            </w:r>
            <w:r>
              <w:rPr>
                <w:color w:val="105C84"/>
                <w:spacing w:val="3"/>
                <w:sz w:val="18"/>
              </w:rPr>
              <w:t> </w:t>
            </w:r>
            <w:r>
              <w:rPr>
                <w:color w:val="105C84"/>
                <w:sz w:val="18"/>
              </w:rPr>
              <w:t>other</w:t>
            </w:r>
            <w:r>
              <w:rPr>
                <w:color w:val="105C84"/>
                <w:spacing w:val="3"/>
                <w:sz w:val="18"/>
              </w:rPr>
              <w:t> </w:t>
            </w:r>
            <w:r>
              <w:rPr>
                <w:color w:val="105C84"/>
                <w:sz w:val="18"/>
              </w:rPr>
              <w:t>local</w:t>
            </w:r>
            <w:r>
              <w:rPr>
                <w:color w:val="105C84"/>
                <w:spacing w:val="3"/>
                <w:sz w:val="18"/>
              </w:rPr>
              <w:t> </w:t>
            </w:r>
            <w:r>
              <w:rPr>
                <w:color w:val="105C84"/>
                <w:spacing w:val="-2"/>
                <w:sz w:val="18"/>
              </w:rPr>
              <w:t>suicide</w:t>
            </w:r>
          </w:p>
          <w:p>
            <w:pPr>
              <w:pStyle w:val="TableParagraph"/>
              <w:spacing w:line="232" w:lineRule="auto"/>
              <w:ind w:left="88"/>
              <w:rPr>
                <w:sz w:val="18"/>
              </w:rPr>
            </w:pPr>
            <w:r>
              <w:rPr>
                <w:color w:val="105C84"/>
                <w:spacing w:val="-2"/>
                <w:sz w:val="18"/>
              </w:rPr>
              <w:t>prevention</w:t>
            </w:r>
            <w:r>
              <w:rPr>
                <w:color w:val="105C84"/>
                <w:spacing w:val="-13"/>
                <w:sz w:val="18"/>
              </w:rPr>
              <w:t> </w:t>
            </w:r>
            <w:r>
              <w:rPr>
                <w:color w:val="105C84"/>
                <w:spacing w:val="-2"/>
                <w:sz w:val="18"/>
              </w:rPr>
              <w:t>and</w:t>
            </w:r>
            <w:r>
              <w:rPr>
                <w:color w:val="105C84"/>
                <w:spacing w:val="-10"/>
                <w:sz w:val="18"/>
              </w:rPr>
              <w:t> </w:t>
            </w:r>
            <w:r>
              <w:rPr>
                <w:color w:val="105C84"/>
                <w:spacing w:val="-2"/>
                <w:sz w:val="18"/>
              </w:rPr>
              <w:t>awareness organizations</w:t>
            </w:r>
          </w:p>
          <w:p>
            <w:pPr>
              <w:pStyle w:val="TableParagraph"/>
              <w:spacing w:before="81"/>
              <w:ind w:left="88"/>
              <w:rPr>
                <w:sz w:val="18"/>
              </w:rPr>
            </w:pPr>
            <w:r>
              <w:rPr>
                <w:color w:val="105C84"/>
                <w:sz w:val="18"/>
              </w:rPr>
              <w:t>Offer</w:t>
            </w:r>
            <w:r>
              <w:rPr>
                <w:color w:val="105C84"/>
                <w:spacing w:val="-14"/>
                <w:sz w:val="18"/>
              </w:rPr>
              <w:t> </w:t>
            </w:r>
            <w:r>
              <w:rPr>
                <w:color w:val="105C84"/>
                <w:sz w:val="18"/>
              </w:rPr>
              <w:t>Survivor</w:t>
            </w:r>
            <w:r>
              <w:rPr>
                <w:color w:val="105C84"/>
                <w:spacing w:val="-11"/>
                <w:sz w:val="18"/>
              </w:rPr>
              <w:t> </w:t>
            </w:r>
            <w:r>
              <w:rPr>
                <w:color w:val="105C84"/>
                <w:spacing w:val="-2"/>
                <w:sz w:val="18"/>
              </w:rPr>
              <w:t>Meetings</w:t>
            </w:r>
          </w:p>
          <w:p>
            <w:pPr>
              <w:pStyle w:val="TableParagraph"/>
              <w:spacing w:line="232" w:lineRule="auto" w:before="89"/>
              <w:ind w:left="88"/>
              <w:rPr>
                <w:sz w:val="18"/>
              </w:rPr>
            </w:pPr>
            <w:r>
              <w:rPr>
                <w:color w:val="105C84"/>
                <w:sz w:val="18"/>
              </w:rPr>
              <w:t>Fundraise</w:t>
            </w:r>
            <w:r>
              <w:rPr>
                <w:color w:val="105C84"/>
                <w:spacing w:val="-13"/>
                <w:sz w:val="18"/>
              </w:rPr>
              <w:t> </w:t>
            </w:r>
            <w:r>
              <w:rPr>
                <w:color w:val="105C84"/>
                <w:sz w:val="18"/>
              </w:rPr>
              <w:t>and</w:t>
            </w:r>
            <w:r>
              <w:rPr>
                <w:color w:val="105C84"/>
                <w:spacing w:val="-12"/>
                <w:sz w:val="18"/>
              </w:rPr>
              <w:t> </w:t>
            </w:r>
            <w:r>
              <w:rPr>
                <w:color w:val="105C84"/>
                <w:sz w:val="18"/>
              </w:rPr>
              <w:t>promote suicide awareness and prevention with gala</w:t>
            </w:r>
          </w:p>
          <w:p>
            <w:pPr>
              <w:pStyle w:val="TableParagraph"/>
              <w:spacing w:line="232" w:lineRule="auto" w:before="87"/>
              <w:ind w:left="88"/>
              <w:rPr>
                <w:sz w:val="18"/>
              </w:rPr>
            </w:pPr>
            <w:r>
              <w:rPr>
                <w:color w:val="105C84"/>
                <w:sz w:val="18"/>
              </w:rPr>
              <w:t>Reach out to families affected</w:t>
            </w:r>
            <w:r>
              <w:rPr>
                <w:color w:val="105C84"/>
                <w:spacing w:val="-2"/>
                <w:sz w:val="18"/>
              </w:rPr>
              <w:t> </w:t>
            </w:r>
            <w:r>
              <w:rPr>
                <w:color w:val="105C84"/>
                <w:sz w:val="18"/>
              </w:rPr>
              <w:t>by</w:t>
            </w:r>
            <w:r>
              <w:rPr>
                <w:color w:val="105C84"/>
                <w:spacing w:val="-2"/>
                <w:sz w:val="18"/>
              </w:rPr>
              <w:t> </w:t>
            </w:r>
            <w:r>
              <w:rPr>
                <w:color w:val="105C84"/>
                <w:sz w:val="18"/>
              </w:rPr>
              <w:t>suicide</w:t>
            </w:r>
            <w:r>
              <w:rPr>
                <w:color w:val="105C84"/>
                <w:spacing w:val="-2"/>
                <w:sz w:val="18"/>
              </w:rPr>
              <w:t> </w:t>
            </w:r>
            <w:r>
              <w:rPr>
                <w:color w:val="105C84"/>
                <w:sz w:val="18"/>
              </w:rPr>
              <w:t>to</w:t>
            </w:r>
            <w:r>
              <w:rPr>
                <w:color w:val="105C84"/>
                <w:spacing w:val="-2"/>
                <w:sz w:val="18"/>
              </w:rPr>
              <w:t> </w:t>
            </w:r>
            <w:r>
              <w:rPr>
                <w:color w:val="105C84"/>
                <w:sz w:val="18"/>
              </w:rPr>
              <w:t>offer </w:t>
            </w:r>
            <w:r>
              <w:rPr>
                <w:color w:val="105C84"/>
                <w:spacing w:val="-2"/>
                <w:sz w:val="18"/>
              </w:rPr>
              <w:t>support</w:t>
            </w:r>
          </w:p>
          <w:p>
            <w:pPr>
              <w:pStyle w:val="TableParagraph"/>
              <w:spacing w:line="232" w:lineRule="auto" w:before="88"/>
              <w:ind w:left="88"/>
              <w:rPr>
                <w:sz w:val="18"/>
              </w:rPr>
            </w:pPr>
            <w:r>
              <w:rPr>
                <w:color w:val="105C84"/>
                <w:sz w:val="18"/>
              </w:rPr>
              <w:t>Adopt a family for </w:t>
            </w:r>
            <w:r>
              <w:rPr>
                <w:color w:val="105C84"/>
                <w:sz w:val="18"/>
              </w:rPr>
              <w:t>the </w:t>
            </w:r>
            <w:r>
              <w:rPr>
                <w:color w:val="105C84"/>
                <w:spacing w:val="-2"/>
                <w:sz w:val="18"/>
              </w:rPr>
              <w:t>holidays</w:t>
            </w:r>
          </w:p>
          <w:p>
            <w:pPr>
              <w:pStyle w:val="TableParagraph"/>
              <w:spacing w:line="232" w:lineRule="auto" w:before="88"/>
              <w:ind w:left="88" w:right="108"/>
              <w:rPr>
                <w:sz w:val="18"/>
              </w:rPr>
            </w:pPr>
            <w:r>
              <w:rPr>
                <w:color w:val="105C84"/>
                <w:sz w:val="18"/>
              </w:rPr>
              <w:t>Partner with other community</w:t>
            </w:r>
            <w:r>
              <w:rPr>
                <w:color w:val="105C84"/>
                <w:spacing w:val="-13"/>
                <w:sz w:val="18"/>
              </w:rPr>
              <w:t> </w:t>
            </w:r>
            <w:r>
              <w:rPr>
                <w:color w:val="105C84"/>
                <w:sz w:val="18"/>
              </w:rPr>
              <w:t>organizations to</w:t>
            </w:r>
            <w:r>
              <w:rPr>
                <w:color w:val="105C84"/>
                <w:spacing w:val="-10"/>
                <w:sz w:val="18"/>
              </w:rPr>
              <w:t> </w:t>
            </w:r>
            <w:r>
              <w:rPr>
                <w:color w:val="105C84"/>
                <w:sz w:val="18"/>
              </w:rPr>
              <w:t>assist</w:t>
            </w:r>
            <w:r>
              <w:rPr>
                <w:color w:val="105C84"/>
                <w:spacing w:val="-10"/>
                <w:sz w:val="18"/>
              </w:rPr>
              <w:t> </w:t>
            </w:r>
            <w:r>
              <w:rPr>
                <w:color w:val="105C84"/>
                <w:sz w:val="18"/>
              </w:rPr>
              <w:t>with</w:t>
            </w:r>
            <w:r>
              <w:rPr>
                <w:color w:val="105C84"/>
                <w:spacing w:val="-10"/>
                <w:sz w:val="18"/>
              </w:rPr>
              <w:t> </w:t>
            </w:r>
            <w:r>
              <w:rPr>
                <w:color w:val="105C84"/>
                <w:sz w:val="18"/>
              </w:rPr>
              <w:t>postvention </w:t>
            </w:r>
            <w:r>
              <w:rPr>
                <w:color w:val="105C84"/>
                <w:spacing w:val="-2"/>
                <w:sz w:val="18"/>
              </w:rPr>
              <w:t>efforts</w:t>
            </w:r>
          </w:p>
          <w:p>
            <w:pPr>
              <w:pStyle w:val="TableParagraph"/>
              <w:spacing w:line="232" w:lineRule="auto" w:before="87"/>
              <w:ind w:left="88"/>
              <w:rPr>
                <w:sz w:val="18"/>
              </w:rPr>
            </w:pPr>
            <w:r>
              <w:rPr>
                <w:color w:val="105C84"/>
                <w:sz w:val="18"/>
              </w:rPr>
              <w:t>Committee</w:t>
            </w:r>
            <w:r>
              <w:rPr>
                <w:color w:val="105C84"/>
                <w:spacing w:val="-1"/>
                <w:sz w:val="18"/>
              </w:rPr>
              <w:t> </w:t>
            </w:r>
            <w:r>
              <w:rPr>
                <w:color w:val="105C84"/>
                <w:sz w:val="18"/>
              </w:rPr>
              <w:t>members</w:t>
            </w:r>
            <w:r>
              <w:rPr>
                <w:color w:val="105C84"/>
                <w:spacing w:val="-1"/>
                <w:sz w:val="18"/>
              </w:rPr>
              <w:t> </w:t>
            </w:r>
            <w:r>
              <w:rPr>
                <w:color w:val="105C84"/>
                <w:sz w:val="18"/>
              </w:rPr>
              <w:t>will complete QPR training</w:t>
            </w:r>
          </w:p>
          <w:p>
            <w:pPr>
              <w:pStyle w:val="TableParagraph"/>
              <w:spacing w:line="232" w:lineRule="auto" w:before="88"/>
              <w:ind w:left="88" w:right="108"/>
              <w:rPr>
                <w:sz w:val="18"/>
              </w:rPr>
            </w:pPr>
            <w:r>
              <w:rPr>
                <w:color w:val="105C84"/>
                <w:sz w:val="18"/>
              </w:rPr>
              <w:t>Offer three scholarships: one each for a Watkins Glen</w:t>
            </w:r>
            <w:r>
              <w:rPr>
                <w:color w:val="105C84"/>
                <w:spacing w:val="-13"/>
                <w:sz w:val="18"/>
              </w:rPr>
              <w:t> </w:t>
            </w:r>
            <w:r>
              <w:rPr>
                <w:color w:val="105C84"/>
                <w:sz w:val="18"/>
              </w:rPr>
              <w:t>student,</w:t>
            </w:r>
            <w:r>
              <w:rPr>
                <w:color w:val="105C84"/>
                <w:spacing w:val="-12"/>
                <w:sz w:val="18"/>
              </w:rPr>
              <w:t> </w:t>
            </w:r>
            <w:r>
              <w:rPr>
                <w:color w:val="105C84"/>
                <w:sz w:val="18"/>
              </w:rPr>
              <w:t>an</w:t>
            </w:r>
            <w:r>
              <w:rPr>
                <w:color w:val="105C84"/>
                <w:spacing w:val="-13"/>
                <w:sz w:val="18"/>
              </w:rPr>
              <w:t> </w:t>
            </w:r>
            <w:r>
              <w:rPr>
                <w:color w:val="105C84"/>
                <w:sz w:val="18"/>
              </w:rPr>
              <w:t>Odessa-Montour student, and a Bradford student</w:t>
            </w:r>
          </w:p>
        </w:tc>
        <w:tc>
          <w:tcPr>
            <w:tcW w:w="1721" w:type="dxa"/>
          </w:tcPr>
          <w:p>
            <w:pPr>
              <w:pStyle w:val="TableParagraph"/>
              <w:spacing w:line="232" w:lineRule="auto" w:before="99"/>
              <w:ind w:left="88" w:right="57"/>
              <w:rPr>
                <w:sz w:val="18"/>
              </w:rPr>
            </w:pPr>
            <w:r>
              <w:rPr>
                <w:color w:val="105C84"/>
                <w:spacing w:val="-2"/>
                <w:sz w:val="18"/>
              </w:rPr>
              <w:t>Community-</w:t>
            </w:r>
            <w:r>
              <w:rPr>
                <w:color w:val="105C84"/>
                <w:spacing w:val="-2"/>
                <w:sz w:val="18"/>
              </w:rPr>
              <w:t>based organizations</w:t>
            </w:r>
          </w:p>
        </w:tc>
        <w:tc>
          <w:tcPr>
            <w:tcW w:w="1550" w:type="dxa"/>
          </w:tcPr>
          <w:p>
            <w:pPr>
              <w:pStyle w:val="TableParagraph"/>
              <w:spacing w:line="232" w:lineRule="auto" w:before="99"/>
              <w:ind w:left="87"/>
              <w:rPr>
                <w:sz w:val="18"/>
              </w:rPr>
            </w:pPr>
            <w:r>
              <w:rPr>
                <w:color w:val="105C84"/>
                <w:sz w:val="18"/>
              </w:rPr>
              <w:t>Ryan Pruitt </w:t>
            </w:r>
            <w:r>
              <w:rPr>
                <w:color w:val="105C84"/>
                <w:spacing w:val="-6"/>
                <w:sz w:val="18"/>
              </w:rPr>
              <w:t>Awareness</w:t>
            </w:r>
            <w:r>
              <w:rPr>
                <w:color w:val="105C84"/>
                <w:spacing w:val="-7"/>
                <w:sz w:val="18"/>
              </w:rPr>
              <w:t> </w:t>
            </w:r>
            <w:r>
              <w:rPr>
                <w:color w:val="105C84"/>
                <w:spacing w:val="-6"/>
                <w:sz w:val="18"/>
              </w:rPr>
              <w:t>24</w:t>
            </w:r>
          </w:p>
          <w:p>
            <w:pPr>
              <w:pStyle w:val="TableParagraph"/>
              <w:spacing w:line="200" w:lineRule="exact"/>
              <w:ind w:left="87"/>
              <w:rPr>
                <w:sz w:val="18"/>
              </w:rPr>
            </w:pPr>
            <w:r>
              <w:rPr>
                <w:color w:val="105C84"/>
                <w:w w:val="85"/>
                <w:sz w:val="18"/>
              </w:rPr>
              <w:t>(RPA</w:t>
            </w:r>
            <w:r>
              <w:rPr>
                <w:color w:val="105C84"/>
                <w:spacing w:val="-7"/>
                <w:sz w:val="18"/>
              </w:rPr>
              <w:t> </w:t>
            </w:r>
            <w:r>
              <w:rPr>
                <w:color w:val="105C84"/>
                <w:spacing w:val="-5"/>
                <w:sz w:val="18"/>
              </w:rPr>
              <w:t>24)</w:t>
            </w:r>
          </w:p>
          <w:p>
            <w:pPr>
              <w:pStyle w:val="TableParagraph"/>
              <w:spacing w:line="232" w:lineRule="auto" w:before="88"/>
              <w:ind w:left="87" w:right="503"/>
              <w:rPr>
                <w:sz w:val="18"/>
              </w:rPr>
            </w:pPr>
            <w:r>
              <w:rPr>
                <w:color w:val="105C84"/>
                <w:sz w:val="18"/>
              </w:rPr>
              <w:t>Time</w:t>
            </w:r>
            <w:r>
              <w:rPr>
                <w:color w:val="105C84"/>
                <w:spacing w:val="-13"/>
                <w:sz w:val="18"/>
              </w:rPr>
              <w:t> </w:t>
            </w:r>
            <w:r>
              <w:rPr>
                <w:color w:val="105C84"/>
                <w:sz w:val="18"/>
              </w:rPr>
              <w:t>spent on tabling, </w:t>
            </w:r>
            <w:r>
              <w:rPr>
                <w:color w:val="105C84"/>
                <w:spacing w:val="-2"/>
                <w:sz w:val="18"/>
              </w:rPr>
              <w:t>trainings, </w:t>
            </w:r>
            <w:r>
              <w:rPr>
                <w:color w:val="105C84"/>
                <w:sz w:val="18"/>
              </w:rPr>
              <w:t>working</w:t>
            </w:r>
            <w:r>
              <w:rPr>
                <w:color w:val="105C84"/>
                <w:spacing w:val="-10"/>
                <w:sz w:val="18"/>
              </w:rPr>
              <w:t> </w:t>
            </w:r>
            <w:r>
              <w:rPr>
                <w:color w:val="105C84"/>
                <w:sz w:val="18"/>
              </w:rPr>
              <w:t>on</w:t>
            </w:r>
          </w:p>
          <w:p>
            <w:pPr>
              <w:pStyle w:val="TableParagraph"/>
              <w:spacing w:line="232" w:lineRule="auto"/>
              <w:ind w:left="87"/>
              <w:rPr>
                <w:sz w:val="18"/>
              </w:rPr>
            </w:pPr>
            <w:r>
              <w:rPr>
                <w:color w:val="105C84"/>
                <w:sz w:val="18"/>
              </w:rPr>
              <w:t>postventions</w:t>
            </w:r>
            <w:r>
              <w:rPr>
                <w:color w:val="105C84"/>
                <w:spacing w:val="-13"/>
                <w:sz w:val="18"/>
              </w:rPr>
              <w:t> </w:t>
            </w:r>
            <w:r>
              <w:rPr>
                <w:color w:val="105C84"/>
                <w:sz w:val="18"/>
              </w:rPr>
              <w:t>and </w:t>
            </w:r>
            <w:r>
              <w:rPr>
                <w:color w:val="105C84"/>
                <w:spacing w:val="-2"/>
                <w:sz w:val="18"/>
              </w:rPr>
              <w:t>fundraising</w:t>
            </w:r>
          </w:p>
        </w:tc>
      </w:tr>
    </w:tbl>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200"/>
        <w:rPr>
          <w:b/>
          <w:sz w:val="26"/>
        </w:rPr>
      </w:pPr>
    </w:p>
    <w:p>
      <w:pPr>
        <w:tabs>
          <w:tab w:pos="23047" w:val="left" w:leader="none"/>
        </w:tabs>
        <w:spacing w:before="0"/>
        <w:ind w:left="0" w:right="0" w:firstLine="0"/>
        <w:jc w:val="left"/>
        <w:rPr>
          <w:b/>
          <w:sz w:val="26"/>
        </w:rPr>
      </w:pPr>
      <w:r>
        <w:rPr>
          <w:position w:val="-4"/>
        </w:rPr>
        <w:drawing>
          <wp:inline distT="0" distB="0" distL="0" distR="0">
            <wp:extent cx="568172" cy="184683"/>
            <wp:effectExtent l="0" t="0" r="0" b="0"/>
            <wp:docPr id="1896" name="Image 1896"/>
            <wp:cNvGraphicFramePr>
              <a:graphicFrameLocks/>
            </wp:cNvGraphicFramePr>
            <a:graphic>
              <a:graphicData uri="http://schemas.openxmlformats.org/drawingml/2006/picture">
                <pic:pic>
                  <pic:nvPicPr>
                    <pic:cNvPr id="1896" name="Image 1896"/>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13"/>
          <w:sz w:val="20"/>
        </w:rPr>
        <w:t> </w:t>
      </w:r>
      <w:r>
        <w:rPr>
          <w:b/>
          <w:color w:val="939598"/>
          <w:w w:val="105"/>
          <w:sz w:val="26"/>
        </w:rPr>
        <w:t>177</w:t>
      </w:r>
      <w:r>
        <w:rPr>
          <w:b/>
          <w:color w:val="939598"/>
          <w:sz w:val="26"/>
        </w:rPr>
        <w:tab/>
      </w:r>
      <w:r>
        <w:rPr>
          <w:b/>
          <w:color w:val="939598"/>
          <w:spacing w:val="-5"/>
          <w:w w:val="105"/>
          <w:sz w:val="26"/>
        </w:rPr>
        <w:t>178</w:t>
      </w:r>
    </w:p>
    <w:p>
      <w:pPr>
        <w:spacing w:after="0"/>
        <w:jc w:val="left"/>
        <w:rPr>
          <w:b/>
          <w:sz w:val="26"/>
        </w:rPr>
        <w:sectPr>
          <w:pgSz w:w="24480" w:h="15840" w:orient="landscape"/>
          <w:pgMar w:header="0" w:footer="0" w:top="860" w:bottom="0" w:left="0" w:right="720"/>
        </w:sectPr>
      </w:pPr>
    </w:p>
    <w:p>
      <w:pPr>
        <w:pStyle w:val="Heading2"/>
      </w:pPr>
      <w:r>
        <w:rPr/>
        <w:drawing>
          <wp:anchor distT="0" distB="0" distL="0" distR="0" allowOverlap="1" layoutInCell="1" locked="0" behindDoc="0" simplePos="0" relativeHeight="15980032">
            <wp:simplePos x="0" y="0"/>
            <wp:positionH relativeFrom="page">
              <wp:posOffset>14981556</wp:posOffset>
            </wp:positionH>
            <wp:positionV relativeFrom="page">
              <wp:posOffset>9668103</wp:posOffset>
            </wp:positionV>
            <wp:extent cx="563245" cy="184683"/>
            <wp:effectExtent l="0" t="0" r="0" b="0"/>
            <wp:wrapNone/>
            <wp:docPr id="1902" name="Image 1902"/>
            <wp:cNvGraphicFramePr>
              <a:graphicFrameLocks/>
            </wp:cNvGraphicFramePr>
            <a:graphic>
              <a:graphicData uri="http://schemas.openxmlformats.org/drawingml/2006/picture">
                <pic:pic>
                  <pic:nvPicPr>
                    <pic:cNvPr id="1902" name="Image 1902"/>
                    <pic:cNvPicPr/>
                  </pic:nvPicPr>
                  <pic:blipFill>
                    <a:blip r:embed="rId38" cstate="print"/>
                    <a:stretch>
                      <a:fillRect/>
                    </a:stretch>
                  </pic:blipFill>
                  <pic:spPr>
                    <a:xfrm>
                      <a:off x="0" y="0"/>
                      <a:ext cx="563245" cy="184683"/>
                    </a:xfrm>
                    <a:prstGeom prst="rect">
                      <a:avLst/>
                    </a:prstGeom>
                  </pic:spPr>
                </pic:pic>
              </a:graphicData>
            </a:graphic>
          </wp:anchor>
        </w:drawing>
      </w:r>
      <w:r>
        <w:rPr/>
        <w:drawing>
          <wp:anchor distT="0" distB="0" distL="0" distR="0" allowOverlap="1" layoutInCell="1" locked="0" behindDoc="0" simplePos="0" relativeHeight="15980544">
            <wp:simplePos x="0" y="0"/>
            <wp:positionH relativeFrom="page">
              <wp:posOffset>14227238</wp:posOffset>
            </wp:positionH>
            <wp:positionV relativeFrom="paragraph">
              <wp:posOffset>365759</wp:posOffset>
            </wp:positionV>
            <wp:extent cx="688237" cy="640537"/>
            <wp:effectExtent l="0" t="0" r="0" b="0"/>
            <wp:wrapNone/>
            <wp:docPr id="1903" name="Image 1903"/>
            <wp:cNvGraphicFramePr>
              <a:graphicFrameLocks/>
            </wp:cNvGraphicFramePr>
            <a:graphic>
              <a:graphicData uri="http://schemas.openxmlformats.org/drawingml/2006/picture">
                <pic:pic>
                  <pic:nvPicPr>
                    <pic:cNvPr id="1903" name="Image 1903"/>
                    <pic:cNvPicPr/>
                  </pic:nvPicPr>
                  <pic:blipFill>
                    <a:blip r:embed="rId256" cstate="print"/>
                    <a:stretch>
                      <a:fillRect/>
                    </a:stretch>
                  </pic:blipFill>
                  <pic:spPr>
                    <a:xfrm>
                      <a:off x="0" y="0"/>
                      <a:ext cx="688237" cy="640537"/>
                    </a:xfrm>
                    <a:prstGeom prst="rect">
                      <a:avLst/>
                    </a:prstGeom>
                  </pic:spPr>
                </pic:pic>
              </a:graphicData>
            </a:graphic>
          </wp:anchor>
        </w:drawing>
      </w:r>
      <w:r>
        <w:rPr/>
        <w:drawing>
          <wp:anchor distT="0" distB="0" distL="0" distR="0" allowOverlap="1" layoutInCell="1" locked="0" behindDoc="0" simplePos="0" relativeHeight="15981056">
            <wp:simplePos x="0" y="0"/>
            <wp:positionH relativeFrom="page">
              <wp:posOffset>10990759</wp:posOffset>
            </wp:positionH>
            <wp:positionV relativeFrom="paragraph">
              <wp:posOffset>240004</wp:posOffset>
            </wp:positionV>
            <wp:extent cx="1627045" cy="526160"/>
            <wp:effectExtent l="0" t="0" r="0" b="0"/>
            <wp:wrapNone/>
            <wp:docPr id="1904" name="Image 1904"/>
            <wp:cNvGraphicFramePr>
              <a:graphicFrameLocks/>
            </wp:cNvGraphicFramePr>
            <a:graphic>
              <a:graphicData uri="http://schemas.openxmlformats.org/drawingml/2006/picture">
                <pic:pic>
                  <pic:nvPicPr>
                    <pic:cNvPr id="1904" name="Image 1904"/>
                    <pic:cNvPicPr/>
                  </pic:nvPicPr>
                  <pic:blipFill>
                    <a:blip r:embed="rId251" cstate="print"/>
                    <a:stretch>
                      <a:fillRect/>
                    </a:stretch>
                  </pic:blipFill>
                  <pic:spPr>
                    <a:xfrm>
                      <a:off x="0" y="0"/>
                      <a:ext cx="1627045" cy="526160"/>
                    </a:xfrm>
                    <a:prstGeom prst="rect">
                      <a:avLst/>
                    </a:prstGeom>
                  </pic:spPr>
                </pic:pic>
              </a:graphicData>
            </a:graphic>
          </wp:anchor>
        </w:drawing>
      </w:r>
      <w:r>
        <w:rPr/>
        <w:drawing>
          <wp:anchor distT="0" distB="0" distL="0" distR="0" allowOverlap="1" layoutInCell="1" locked="0" behindDoc="0" simplePos="0" relativeHeight="15981568">
            <wp:simplePos x="0" y="0"/>
            <wp:positionH relativeFrom="page">
              <wp:posOffset>12714085</wp:posOffset>
            </wp:positionH>
            <wp:positionV relativeFrom="paragraph">
              <wp:posOffset>347004</wp:posOffset>
            </wp:positionV>
            <wp:extent cx="1459113" cy="474391"/>
            <wp:effectExtent l="0" t="0" r="0" b="0"/>
            <wp:wrapNone/>
            <wp:docPr id="1905" name="Image 1905"/>
            <wp:cNvGraphicFramePr>
              <a:graphicFrameLocks/>
            </wp:cNvGraphicFramePr>
            <a:graphic>
              <a:graphicData uri="http://schemas.openxmlformats.org/drawingml/2006/picture">
                <pic:pic>
                  <pic:nvPicPr>
                    <pic:cNvPr id="1905" name="Image 1905"/>
                    <pic:cNvPicPr/>
                  </pic:nvPicPr>
                  <pic:blipFill>
                    <a:blip r:embed="rId257" cstate="print"/>
                    <a:stretch>
                      <a:fillRect/>
                    </a:stretch>
                  </pic:blipFill>
                  <pic:spPr>
                    <a:xfrm>
                      <a:off x="0" y="0"/>
                      <a:ext cx="1459113" cy="474391"/>
                    </a:xfrm>
                    <a:prstGeom prst="rect">
                      <a:avLst/>
                    </a:prstGeom>
                  </pic:spPr>
                </pic:pic>
              </a:graphicData>
            </a:graphic>
          </wp:anchor>
        </w:drawing>
      </w:r>
      <w:bookmarkStart w:name="_TOC_250003" w:id="16"/>
      <w:r>
        <w:rPr>
          <w:color w:val="636466"/>
        </w:rPr>
        <w:t>Seneca</w:t>
      </w:r>
      <w:r>
        <w:rPr>
          <w:color w:val="636466"/>
          <w:spacing w:val="24"/>
        </w:rPr>
        <w:t> </w:t>
      </w:r>
      <w:r>
        <w:rPr>
          <w:color w:val="636466"/>
        </w:rPr>
        <w:t>County</w:t>
      </w:r>
      <w:r>
        <w:rPr>
          <w:color w:val="636466"/>
          <w:spacing w:val="24"/>
        </w:rPr>
        <w:t> </w:t>
      </w:r>
      <w:r>
        <w:rPr>
          <w:color w:val="636466"/>
        </w:rPr>
        <w:t>Appendix</w:t>
      </w:r>
      <w:r>
        <w:rPr>
          <w:color w:val="636466"/>
          <w:spacing w:val="24"/>
        </w:rPr>
        <w:t> </w:t>
      </w:r>
      <w:bookmarkEnd w:id="16"/>
      <w:r>
        <w:rPr>
          <w:color w:val="636466"/>
          <w:spacing w:val="-10"/>
        </w:rPr>
        <w:t>E</w:t>
      </w:r>
    </w:p>
    <w:p>
      <w:pPr>
        <w:spacing w:before="235"/>
        <w:ind w:left="1089" w:right="0" w:firstLine="0"/>
        <w:jc w:val="left"/>
        <w:rPr>
          <w:b/>
          <w:sz w:val="32"/>
        </w:rPr>
      </w:pPr>
      <w:r>
        <w:rPr>
          <w:b/>
          <w:color w:val="82BF6A"/>
          <w:spacing w:val="-6"/>
          <w:sz w:val="32"/>
        </w:rPr>
        <w:t>PRIORITY:</w:t>
      </w:r>
      <w:r>
        <w:rPr>
          <w:b/>
          <w:color w:val="82BF6A"/>
          <w:spacing w:val="-13"/>
          <w:sz w:val="32"/>
        </w:rPr>
        <w:t> </w:t>
      </w:r>
      <w:r>
        <w:rPr>
          <w:b/>
          <w:color w:val="82BF6A"/>
          <w:spacing w:val="-6"/>
          <w:sz w:val="32"/>
        </w:rPr>
        <w:t>PREVENT</w:t>
      </w:r>
      <w:r>
        <w:rPr>
          <w:b/>
          <w:color w:val="82BF6A"/>
          <w:spacing w:val="-13"/>
          <w:sz w:val="32"/>
        </w:rPr>
        <w:t> </w:t>
      </w:r>
      <w:r>
        <w:rPr>
          <w:b/>
          <w:color w:val="82BF6A"/>
          <w:spacing w:val="-6"/>
          <w:sz w:val="32"/>
        </w:rPr>
        <w:t>CHRONIC</w:t>
      </w:r>
      <w:r>
        <w:rPr>
          <w:b/>
          <w:color w:val="82BF6A"/>
          <w:spacing w:val="-13"/>
          <w:sz w:val="32"/>
        </w:rPr>
        <w:t> </w:t>
      </w:r>
      <w:r>
        <w:rPr>
          <w:b/>
          <w:color w:val="82BF6A"/>
          <w:spacing w:val="-6"/>
          <w:sz w:val="32"/>
        </w:rPr>
        <w:t>DISEASES</w:t>
      </w:r>
    </w:p>
    <w:p>
      <w:pPr>
        <w:pStyle w:val="BodyText"/>
        <w:spacing w:before="8"/>
        <w:rPr>
          <w:b/>
          <w:sz w:val="16"/>
        </w:rPr>
      </w:pPr>
    </w:p>
    <w:tbl>
      <w:tblPr>
        <w:tblW w:w="0" w:type="auto"/>
        <w:jc w:val="left"/>
        <w:tblInd w:w="1099"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950"/>
        <w:gridCol w:w="1094"/>
        <w:gridCol w:w="1094"/>
        <w:gridCol w:w="1864"/>
        <w:gridCol w:w="1446"/>
        <w:gridCol w:w="1957"/>
        <w:gridCol w:w="5730"/>
        <w:gridCol w:w="1756"/>
        <w:gridCol w:w="1756"/>
        <w:gridCol w:w="1511"/>
        <w:gridCol w:w="3234"/>
      </w:tblGrid>
      <w:tr>
        <w:trPr>
          <w:trHeight w:val="930" w:hRule="atLeast"/>
        </w:trPr>
        <w:tc>
          <w:tcPr>
            <w:tcW w:w="950" w:type="dxa"/>
            <w:tcBorders>
              <w:right w:val="single" w:sz="4" w:space="0" w:color="FFFFFF"/>
            </w:tcBorders>
            <w:shd w:val="clear" w:color="auto" w:fill="A7A9AC"/>
          </w:tcPr>
          <w:p>
            <w:pPr>
              <w:pStyle w:val="TableParagraph"/>
              <w:spacing w:before="179"/>
              <w:rPr>
                <w:b/>
                <w:sz w:val="18"/>
              </w:rPr>
            </w:pPr>
          </w:p>
          <w:p>
            <w:pPr>
              <w:pStyle w:val="TableParagraph"/>
              <w:ind w:left="80"/>
              <w:rPr>
                <w:b/>
                <w:sz w:val="18"/>
              </w:rPr>
            </w:pPr>
            <w:r>
              <w:rPr>
                <w:b/>
                <w:color w:val="FFFFFF"/>
                <w:spacing w:val="-2"/>
                <w:sz w:val="18"/>
              </w:rPr>
              <w:t>Priority</w:t>
            </w:r>
          </w:p>
        </w:tc>
        <w:tc>
          <w:tcPr>
            <w:tcW w:w="1094" w:type="dxa"/>
            <w:tcBorders>
              <w:left w:val="single" w:sz="4" w:space="0" w:color="FFFFFF"/>
              <w:right w:val="single" w:sz="4" w:space="0" w:color="FFFFFF"/>
            </w:tcBorders>
            <w:shd w:val="clear" w:color="auto" w:fill="A7A9AC"/>
          </w:tcPr>
          <w:p>
            <w:pPr>
              <w:pStyle w:val="TableParagraph"/>
              <w:spacing w:before="179"/>
              <w:rPr>
                <w:b/>
                <w:sz w:val="18"/>
              </w:rPr>
            </w:pPr>
          </w:p>
          <w:p>
            <w:pPr>
              <w:pStyle w:val="TableParagraph"/>
              <w:ind w:left="80"/>
              <w:rPr>
                <w:b/>
                <w:sz w:val="18"/>
              </w:rPr>
            </w:pPr>
            <w:r>
              <w:rPr>
                <w:b/>
                <w:color w:val="FFFFFF"/>
                <w:w w:val="90"/>
                <w:sz w:val="18"/>
              </w:rPr>
              <w:t>Focus</w:t>
            </w:r>
            <w:r>
              <w:rPr>
                <w:b/>
                <w:color w:val="FFFFFF"/>
                <w:spacing w:val="8"/>
                <w:sz w:val="18"/>
              </w:rPr>
              <w:t> </w:t>
            </w:r>
            <w:r>
              <w:rPr>
                <w:b/>
                <w:color w:val="FFFFFF"/>
                <w:spacing w:val="-4"/>
                <w:sz w:val="18"/>
              </w:rPr>
              <w:t>Area</w:t>
            </w:r>
          </w:p>
        </w:tc>
        <w:tc>
          <w:tcPr>
            <w:tcW w:w="1094" w:type="dxa"/>
            <w:tcBorders>
              <w:left w:val="single" w:sz="4" w:space="0" w:color="FFFFFF"/>
              <w:right w:val="single" w:sz="4" w:space="0" w:color="FFFFFF"/>
            </w:tcBorders>
            <w:shd w:val="clear" w:color="auto" w:fill="A7A9AC"/>
          </w:tcPr>
          <w:p>
            <w:pPr>
              <w:pStyle w:val="TableParagraph"/>
              <w:spacing w:before="84"/>
              <w:rPr>
                <w:b/>
                <w:sz w:val="18"/>
              </w:rPr>
            </w:pPr>
          </w:p>
          <w:p>
            <w:pPr>
              <w:pStyle w:val="TableParagraph"/>
              <w:spacing w:line="232" w:lineRule="auto"/>
              <w:ind w:left="80" w:right="64"/>
              <w:rPr>
                <w:b/>
                <w:sz w:val="18"/>
              </w:rPr>
            </w:pPr>
            <w:r>
              <w:rPr>
                <w:b/>
                <w:color w:val="FFFFFF"/>
                <w:spacing w:val="-6"/>
                <w:sz w:val="18"/>
              </w:rPr>
              <w:t>Goal</w:t>
            </w:r>
            <w:r>
              <w:rPr>
                <w:b/>
                <w:color w:val="FFFFFF"/>
                <w:spacing w:val="-7"/>
                <w:sz w:val="18"/>
              </w:rPr>
              <w:t> </w:t>
            </w:r>
            <w:r>
              <w:rPr>
                <w:b/>
                <w:color w:val="FFFFFF"/>
                <w:spacing w:val="-6"/>
                <w:sz w:val="18"/>
              </w:rPr>
              <w:t>Focus </w:t>
            </w:r>
            <w:r>
              <w:rPr>
                <w:b/>
                <w:color w:val="FFFFFF"/>
                <w:spacing w:val="-4"/>
                <w:sz w:val="18"/>
              </w:rPr>
              <w:t>Area</w:t>
            </w:r>
          </w:p>
        </w:tc>
        <w:tc>
          <w:tcPr>
            <w:tcW w:w="1864" w:type="dxa"/>
            <w:tcBorders>
              <w:left w:val="single" w:sz="4" w:space="0" w:color="FFFFFF"/>
              <w:right w:val="single" w:sz="4" w:space="0" w:color="FFFFFF"/>
            </w:tcBorders>
            <w:shd w:val="clear" w:color="auto" w:fill="A7A9AC"/>
          </w:tcPr>
          <w:p>
            <w:pPr>
              <w:pStyle w:val="TableParagraph"/>
              <w:spacing w:before="179"/>
              <w:rPr>
                <w:b/>
                <w:sz w:val="18"/>
              </w:rPr>
            </w:pPr>
          </w:p>
          <w:p>
            <w:pPr>
              <w:pStyle w:val="TableParagraph"/>
              <w:ind w:left="80"/>
              <w:rPr>
                <w:b/>
                <w:sz w:val="18"/>
              </w:rPr>
            </w:pPr>
            <w:r>
              <w:rPr>
                <w:b/>
                <w:color w:val="FFFFFF"/>
                <w:spacing w:val="-2"/>
                <w:sz w:val="18"/>
              </w:rPr>
              <w:t>Objectives</w:t>
            </w:r>
          </w:p>
        </w:tc>
        <w:tc>
          <w:tcPr>
            <w:tcW w:w="1446" w:type="dxa"/>
            <w:tcBorders>
              <w:left w:val="single" w:sz="4" w:space="0" w:color="FFFFFF"/>
              <w:right w:val="single" w:sz="4" w:space="0" w:color="FFFFFF"/>
            </w:tcBorders>
            <w:shd w:val="clear" w:color="auto" w:fill="A7A9AC"/>
          </w:tcPr>
          <w:p>
            <w:pPr>
              <w:pStyle w:val="TableParagraph"/>
              <w:spacing w:before="179"/>
              <w:rPr>
                <w:b/>
                <w:sz w:val="18"/>
              </w:rPr>
            </w:pPr>
          </w:p>
          <w:p>
            <w:pPr>
              <w:pStyle w:val="TableParagraph"/>
              <w:ind w:left="81"/>
              <w:rPr>
                <w:b/>
                <w:sz w:val="18"/>
              </w:rPr>
            </w:pPr>
            <w:r>
              <w:rPr>
                <w:b/>
                <w:color w:val="FFFFFF"/>
                <w:spacing w:val="-2"/>
                <w:sz w:val="18"/>
              </w:rPr>
              <w:t>Disparities</w:t>
            </w:r>
          </w:p>
        </w:tc>
        <w:tc>
          <w:tcPr>
            <w:tcW w:w="1957" w:type="dxa"/>
            <w:tcBorders>
              <w:left w:val="single" w:sz="4" w:space="0" w:color="FFFFFF"/>
              <w:right w:val="single" w:sz="4" w:space="0" w:color="FFFFFF"/>
            </w:tcBorders>
            <w:shd w:val="clear" w:color="auto" w:fill="A7A9AC"/>
          </w:tcPr>
          <w:p>
            <w:pPr>
              <w:pStyle w:val="TableParagraph"/>
              <w:spacing w:before="179"/>
              <w:rPr>
                <w:b/>
                <w:sz w:val="18"/>
              </w:rPr>
            </w:pPr>
          </w:p>
          <w:p>
            <w:pPr>
              <w:pStyle w:val="TableParagraph"/>
              <w:ind w:left="82"/>
              <w:rPr>
                <w:b/>
                <w:sz w:val="18"/>
              </w:rPr>
            </w:pPr>
            <w:r>
              <w:rPr>
                <w:b/>
                <w:color w:val="FFFFFF"/>
                <w:spacing w:val="-2"/>
                <w:sz w:val="18"/>
              </w:rPr>
              <w:t>Interventions</w:t>
            </w:r>
          </w:p>
        </w:tc>
        <w:tc>
          <w:tcPr>
            <w:tcW w:w="5730" w:type="dxa"/>
            <w:tcBorders>
              <w:left w:val="single" w:sz="4" w:space="0" w:color="FFFFFF"/>
              <w:right w:val="single" w:sz="4" w:space="0" w:color="FFFFFF"/>
            </w:tcBorders>
            <w:shd w:val="clear" w:color="auto" w:fill="A7A9AC"/>
          </w:tcPr>
          <w:p>
            <w:pPr>
              <w:pStyle w:val="TableParagraph"/>
              <w:spacing w:line="203" w:lineRule="exact" w:before="186"/>
              <w:ind w:left="3827"/>
              <w:rPr>
                <w:b/>
                <w:sz w:val="18"/>
              </w:rPr>
            </w:pPr>
            <w:r>
              <w:rPr>
                <w:b/>
                <w:color w:val="FFFFFF"/>
                <w:sz w:val="18"/>
              </w:rPr>
              <w:t>Projected</w:t>
            </w:r>
            <w:r>
              <w:rPr>
                <w:b/>
                <w:color w:val="FFFFFF"/>
                <w:spacing w:val="-13"/>
                <w:sz w:val="18"/>
              </w:rPr>
              <w:t> </w:t>
            </w:r>
            <w:r>
              <w:rPr>
                <w:b/>
                <w:color w:val="FFFFFF"/>
                <w:spacing w:val="-5"/>
                <w:sz w:val="18"/>
              </w:rPr>
              <w:t>(or</w:t>
            </w:r>
          </w:p>
          <w:p>
            <w:pPr>
              <w:pStyle w:val="TableParagraph"/>
              <w:tabs>
                <w:tab w:pos="3827" w:val="left" w:leader="none"/>
              </w:tabs>
              <w:spacing w:line="200" w:lineRule="exact"/>
              <w:ind w:left="94"/>
              <w:rPr>
                <w:b/>
                <w:sz w:val="18"/>
              </w:rPr>
            </w:pPr>
            <w:r>
              <w:rPr>
                <w:b/>
                <w:color w:val="FFFFFF"/>
                <w:sz w:val="18"/>
              </w:rPr>
              <w:t>Family</w:t>
            </w:r>
            <w:r>
              <w:rPr>
                <w:b/>
                <w:color w:val="FFFFFF"/>
                <w:spacing w:val="-11"/>
                <w:sz w:val="18"/>
              </w:rPr>
              <w:t> </w:t>
            </w:r>
            <w:r>
              <w:rPr>
                <w:b/>
                <w:color w:val="FFFFFF"/>
                <w:sz w:val="18"/>
              </w:rPr>
              <w:t>of</w:t>
            </w:r>
            <w:r>
              <w:rPr>
                <w:b/>
                <w:color w:val="FFFFFF"/>
                <w:spacing w:val="-10"/>
                <w:sz w:val="18"/>
              </w:rPr>
              <w:t> </w:t>
            </w:r>
            <w:r>
              <w:rPr>
                <w:b/>
                <w:color w:val="FFFFFF"/>
                <w:spacing w:val="-2"/>
                <w:sz w:val="18"/>
              </w:rPr>
              <w:t>Measures</w:t>
            </w:r>
            <w:r>
              <w:rPr>
                <w:b/>
                <w:color w:val="FFFFFF"/>
                <w:sz w:val="18"/>
              </w:rPr>
              <w:tab/>
            </w:r>
            <w:r>
              <w:rPr>
                <w:b/>
                <w:color w:val="FFFFFF"/>
                <w:spacing w:val="-2"/>
                <w:sz w:val="18"/>
              </w:rPr>
              <w:t>completed)</w:t>
            </w:r>
          </w:p>
          <w:p>
            <w:pPr>
              <w:pStyle w:val="TableParagraph"/>
              <w:spacing w:line="203" w:lineRule="exact"/>
              <w:ind w:left="3827"/>
              <w:rPr>
                <w:b/>
                <w:sz w:val="18"/>
              </w:rPr>
            </w:pPr>
            <w:r>
              <w:rPr>
                <w:b/>
                <w:color w:val="FFFFFF"/>
                <w:sz w:val="18"/>
              </w:rPr>
              <w:t>Year</w:t>
            </w:r>
            <w:r>
              <w:rPr>
                <w:b/>
                <w:color w:val="FFFFFF"/>
                <w:spacing w:val="-8"/>
                <w:sz w:val="18"/>
              </w:rPr>
              <w:t> </w:t>
            </w:r>
            <w:r>
              <w:rPr>
                <w:b/>
                <w:color w:val="FFFFFF"/>
                <w:sz w:val="18"/>
              </w:rPr>
              <w:t>1</w:t>
            </w:r>
            <w:r>
              <w:rPr>
                <w:b/>
                <w:color w:val="FFFFFF"/>
                <w:spacing w:val="-7"/>
                <w:sz w:val="18"/>
              </w:rPr>
              <w:t> </w:t>
            </w:r>
            <w:r>
              <w:rPr>
                <w:b/>
                <w:color w:val="FFFFFF"/>
                <w:spacing w:val="-2"/>
                <w:sz w:val="18"/>
              </w:rPr>
              <w:t>Intervention</w:t>
            </w:r>
          </w:p>
        </w:tc>
        <w:tc>
          <w:tcPr>
            <w:tcW w:w="1756" w:type="dxa"/>
            <w:tcBorders>
              <w:left w:val="single" w:sz="4" w:space="0" w:color="FFFFFF"/>
              <w:right w:val="single" w:sz="4" w:space="0" w:color="FFFFFF"/>
            </w:tcBorders>
            <w:shd w:val="clear" w:color="auto" w:fill="A7A9AC"/>
          </w:tcPr>
          <w:p>
            <w:pPr>
              <w:pStyle w:val="TableParagraph"/>
              <w:spacing w:before="179"/>
              <w:rPr>
                <w:b/>
                <w:sz w:val="18"/>
              </w:rPr>
            </w:pPr>
          </w:p>
          <w:p>
            <w:pPr>
              <w:pStyle w:val="TableParagraph"/>
              <w:ind w:left="85"/>
              <w:rPr>
                <w:b/>
                <w:sz w:val="18"/>
              </w:rPr>
            </w:pPr>
            <w:r>
              <w:rPr>
                <w:b/>
                <w:color w:val="FFFFFF"/>
                <w:spacing w:val="-2"/>
                <w:sz w:val="18"/>
              </w:rPr>
              <w:t>Projected</w:t>
            </w:r>
            <w:r>
              <w:rPr>
                <w:b/>
                <w:color w:val="FFFFFF"/>
                <w:spacing w:val="-6"/>
                <w:sz w:val="18"/>
              </w:rPr>
              <w:t> </w:t>
            </w:r>
            <w:r>
              <w:rPr>
                <w:b/>
                <w:color w:val="FFFFFF"/>
                <w:spacing w:val="-2"/>
                <w:sz w:val="18"/>
              </w:rPr>
              <w:t>Year</w:t>
            </w:r>
            <w:r>
              <w:rPr>
                <w:b/>
                <w:color w:val="FFFFFF"/>
                <w:spacing w:val="-5"/>
                <w:sz w:val="18"/>
              </w:rPr>
              <w:t> </w:t>
            </w:r>
            <w:r>
              <w:rPr>
                <w:b/>
                <w:color w:val="FFFFFF"/>
                <w:spacing w:val="-12"/>
                <w:sz w:val="18"/>
              </w:rPr>
              <w:t>2</w:t>
            </w:r>
          </w:p>
        </w:tc>
        <w:tc>
          <w:tcPr>
            <w:tcW w:w="1756" w:type="dxa"/>
            <w:tcBorders>
              <w:left w:val="single" w:sz="4" w:space="0" w:color="FFFFFF"/>
              <w:right w:val="single" w:sz="4" w:space="0" w:color="FFFFFF"/>
            </w:tcBorders>
            <w:shd w:val="clear" w:color="auto" w:fill="A7A9AC"/>
          </w:tcPr>
          <w:p>
            <w:pPr>
              <w:pStyle w:val="TableParagraph"/>
              <w:spacing w:before="83"/>
              <w:rPr>
                <w:b/>
                <w:sz w:val="18"/>
              </w:rPr>
            </w:pPr>
          </w:p>
          <w:p>
            <w:pPr>
              <w:pStyle w:val="TableParagraph"/>
              <w:spacing w:line="232" w:lineRule="auto" w:before="1"/>
              <w:ind w:left="86"/>
              <w:rPr>
                <w:b/>
                <w:sz w:val="18"/>
              </w:rPr>
            </w:pPr>
            <w:r>
              <w:rPr>
                <w:b/>
                <w:color w:val="FFFFFF"/>
                <w:spacing w:val="-2"/>
                <w:sz w:val="18"/>
              </w:rPr>
              <w:t>Projected</w:t>
            </w:r>
            <w:r>
              <w:rPr>
                <w:b/>
                <w:color w:val="FFFFFF"/>
                <w:spacing w:val="-13"/>
                <w:sz w:val="18"/>
              </w:rPr>
              <w:t> </w:t>
            </w:r>
            <w:r>
              <w:rPr>
                <w:b/>
                <w:color w:val="FFFFFF"/>
                <w:spacing w:val="-2"/>
                <w:sz w:val="18"/>
              </w:rPr>
              <w:t>Year</w:t>
            </w:r>
            <w:r>
              <w:rPr>
                <w:b/>
                <w:color w:val="FFFFFF"/>
                <w:spacing w:val="-10"/>
                <w:sz w:val="18"/>
              </w:rPr>
              <w:t> </w:t>
            </w:r>
            <w:r>
              <w:rPr>
                <w:b/>
                <w:color w:val="FFFFFF"/>
                <w:spacing w:val="-2"/>
                <w:sz w:val="18"/>
              </w:rPr>
              <w:t>3 Interventions</w:t>
            </w:r>
          </w:p>
        </w:tc>
        <w:tc>
          <w:tcPr>
            <w:tcW w:w="1511" w:type="dxa"/>
            <w:tcBorders>
              <w:left w:val="single" w:sz="4" w:space="0" w:color="FFFFFF"/>
            </w:tcBorders>
            <w:shd w:val="clear" w:color="auto" w:fill="A7A9AC"/>
          </w:tcPr>
          <w:p>
            <w:pPr>
              <w:pStyle w:val="TableParagraph"/>
              <w:spacing w:before="83"/>
              <w:rPr>
                <w:b/>
                <w:sz w:val="18"/>
              </w:rPr>
            </w:pPr>
          </w:p>
          <w:p>
            <w:pPr>
              <w:pStyle w:val="TableParagraph"/>
              <w:spacing w:line="232" w:lineRule="auto" w:before="1"/>
              <w:ind w:left="87"/>
              <w:rPr>
                <w:b/>
                <w:sz w:val="18"/>
              </w:rPr>
            </w:pPr>
            <w:r>
              <w:rPr>
                <w:b/>
                <w:color w:val="FFFFFF"/>
                <w:spacing w:val="-2"/>
                <w:sz w:val="18"/>
              </w:rPr>
              <w:t>Implementation Partner</w:t>
            </w:r>
          </w:p>
        </w:tc>
        <w:tc>
          <w:tcPr>
            <w:tcW w:w="3234" w:type="dxa"/>
            <w:shd w:val="clear" w:color="auto" w:fill="A7A9AC"/>
          </w:tcPr>
          <w:p>
            <w:pPr>
              <w:pStyle w:val="TableParagraph"/>
              <w:spacing w:before="178"/>
              <w:rPr>
                <w:b/>
                <w:sz w:val="18"/>
              </w:rPr>
            </w:pPr>
          </w:p>
          <w:p>
            <w:pPr>
              <w:pStyle w:val="TableParagraph"/>
              <w:spacing w:before="1"/>
              <w:ind w:left="88"/>
              <w:rPr>
                <w:b/>
                <w:sz w:val="18"/>
              </w:rPr>
            </w:pPr>
            <w:r>
              <w:rPr>
                <w:b/>
                <w:color w:val="FFFFFF"/>
                <w:spacing w:val="-4"/>
                <w:sz w:val="18"/>
              </w:rPr>
              <w:t>Partner</w:t>
            </w:r>
            <w:r>
              <w:rPr>
                <w:b/>
                <w:color w:val="FFFFFF"/>
                <w:spacing w:val="-1"/>
                <w:sz w:val="18"/>
              </w:rPr>
              <w:t> </w:t>
            </w:r>
            <w:r>
              <w:rPr>
                <w:b/>
                <w:color w:val="FFFFFF"/>
                <w:spacing w:val="-4"/>
                <w:sz w:val="18"/>
              </w:rPr>
              <w:t>Role(s)</w:t>
            </w:r>
            <w:r>
              <w:rPr>
                <w:b/>
                <w:color w:val="FFFFFF"/>
                <w:sz w:val="18"/>
              </w:rPr>
              <w:t> </w:t>
            </w:r>
            <w:r>
              <w:rPr>
                <w:b/>
                <w:color w:val="FFFFFF"/>
                <w:spacing w:val="-4"/>
                <w:sz w:val="18"/>
              </w:rPr>
              <w:t>and</w:t>
            </w:r>
            <w:r>
              <w:rPr>
                <w:b/>
                <w:color w:val="FFFFFF"/>
                <w:sz w:val="18"/>
              </w:rPr>
              <w:t> </w:t>
            </w:r>
            <w:r>
              <w:rPr>
                <w:b/>
                <w:color w:val="FFFFFF"/>
                <w:spacing w:val="-4"/>
                <w:sz w:val="18"/>
              </w:rPr>
              <w:t>Resources</w:t>
            </w:r>
          </w:p>
        </w:tc>
      </w:tr>
      <w:tr>
        <w:trPr>
          <w:trHeight w:val="3220" w:hRule="atLeast"/>
        </w:trPr>
        <w:tc>
          <w:tcPr>
            <w:tcW w:w="950" w:type="dxa"/>
            <w:vMerge w:val="restart"/>
            <w:shd w:val="clear" w:color="auto" w:fill="E6E7E8"/>
          </w:tcPr>
          <w:p>
            <w:pPr>
              <w:pStyle w:val="TableParagraph"/>
              <w:spacing w:line="232" w:lineRule="auto" w:before="101"/>
              <w:ind w:left="89" w:right="133"/>
              <w:jc w:val="both"/>
              <w:rPr>
                <w:sz w:val="18"/>
              </w:rPr>
            </w:pPr>
            <w:r>
              <w:rPr>
                <w:color w:val="105C84"/>
                <w:spacing w:val="-2"/>
                <w:sz w:val="18"/>
              </w:rPr>
              <w:t>Prevent Chronic </w:t>
            </w:r>
            <w:r>
              <w:rPr>
                <w:color w:val="105C84"/>
                <w:spacing w:val="-6"/>
                <w:sz w:val="18"/>
              </w:rPr>
              <w:t>Diseases</w:t>
            </w:r>
          </w:p>
        </w:tc>
        <w:tc>
          <w:tcPr>
            <w:tcW w:w="1094" w:type="dxa"/>
            <w:vMerge w:val="restart"/>
          </w:tcPr>
          <w:p>
            <w:pPr>
              <w:pStyle w:val="TableParagraph"/>
              <w:spacing w:line="232" w:lineRule="auto" w:before="101"/>
              <w:ind w:left="89" w:right="99"/>
              <w:rPr>
                <w:sz w:val="18"/>
              </w:rPr>
            </w:pPr>
            <w:r>
              <w:rPr>
                <w:color w:val="105C84"/>
                <w:spacing w:val="-4"/>
                <w:sz w:val="18"/>
              </w:rPr>
              <w:t>Focus</w:t>
            </w:r>
            <w:r>
              <w:rPr>
                <w:color w:val="105C84"/>
                <w:spacing w:val="-9"/>
                <w:sz w:val="18"/>
              </w:rPr>
              <w:t> </w:t>
            </w:r>
            <w:r>
              <w:rPr>
                <w:color w:val="105C84"/>
                <w:spacing w:val="-4"/>
                <w:sz w:val="18"/>
              </w:rPr>
              <w:t>Area </w:t>
            </w:r>
            <w:r>
              <w:rPr>
                <w:color w:val="105C84"/>
                <w:sz w:val="18"/>
              </w:rPr>
              <w:t>1: Healthy </w:t>
            </w:r>
            <w:r>
              <w:rPr>
                <w:color w:val="105C84"/>
                <w:spacing w:val="-2"/>
                <w:sz w:val="18"/>
              </w:rPr>
              <w:t>eating</w:t>
            </w:r>
          </w:p>
          <w:p>
            <w:pPr>
              <w:pStyle w:val="TableParagraph"/>
              <w:spacing w:line="232" w:lineRule="auto"/>
              <w:ind w:left="89"/>
              <w:rPr>
                <w:sz w:val="18"/>
              </w:rPr>
            </w:pPr>
            <w:r>
              <w:rPr>
                <w:color w:val="105C84"/>
                <w:sz w:val="18"/>
              </w:rPr>
              <w:t>and</w:t>
            </w:r>
            <w:r>
              <w:rPr>
                <w:color w:val="105C84"/>
                <w:spacing w:val="-10"/>
                <w:sz w:val="18"/>
              </w:rPr>
              <w:t> </w:t>
            </w:r>
            <w:r>
              <w:rPr>
                <w:color w:val="105C84"/>
                <w:sz w:val="18"/>
              </w:rPr>
              <w:t>food </w:t>
            </w:r>
            <w:r>
              <w:rPr>
                <w:color w:val="105C84"/>
                <w:spacing w:val="-2"/>
                <w:sz w:val="18"/>
              </w:rPr>
              <w:t>security</w:t>
            </w:r>
          </w:p>
        </w:tc>
        <w:tc>
          <w:tcPr>
            <w:tcW w:w="1094" w:type="dxa"/>
          </w:tcPr>
          <w:p>
            <w:pPr>
              <w:pStyle w:val="TableParagraph"/>
              <w:spacing w:line="232" w:lineRule="auto" w:before="101"/>
              <w:ind w:left="90" w:right="99"/>
              <w:rPr>
                <w:sz w:val="18"/>
              </w:rPr>
            </w:pPr>
            <w:r>
              <w:rPr>
                <w:color w:val="105C84"/>
                <w:sz w:val="18"/>
              </w:rPr>
              <w:t>Goal 1.2: </w:t>
            </w:r>
            <w:r>
              <w:rPr>
                <w:color w:val="105C84"/>
                <w:spacing w:val="-2"/>
                <w:sz w:val="18"/>
              </w:rPr>
              <w:t>Increase </w:t>
            </w:r>
            <w:r>
              <w:rPr>
                <w:color w:val="105C84"/>
                <w:sz w:val="18"/>
              </w:rPr>
              <w:t>skills and </w:t>
            </w:r>
            <w:r>
              <w:rPr>
                <w:color w:val="105C84"/>
                <w:spacing w:val="-2"/>
                <w:sz w:val="18"/>
              </w:rPr>
              <w:t>knowledge </w:t>
            </w:r>
            <w:r>
              <w:rPr>
                <w:color w:val="105C84"/>
                <w:sz w:val="18"/>
              </w:rPr>
              <w:t>to support </w:t>
            </w:r>
            <w:r>
              <w:rPr>
                <w:color w:val="105C84"/>
                <w:spacing w:val="-2"/>
                <w:sz w:val="18"/>
              </w:rPr>
              <w:t>healthy </w:t>
            </w:r>
            <w:r>
              <w:rPr>
                <w:color w:val="105C84"/>
                <w:sz w:val="18"/>
              </w:rPr>
              <w:t>food and </w:t>
            </w:r>
            <w:r>
              <w:rPr>
                <w:color w:val="105C84"/>
                <w:spacing w:val="-2"/>
                <w:sz w:val="18"/>
              </w:rPr>
              <w:t>beverage choices</w:t>
            </w:r>
          </w:p>
        </w:tc>
        <w:tc>
          <w:tcPr>
            <w:tcW w:w="1864" w:type="dxa"/>
          </w:tcPr>
          <w:p>
            <w:pPr>
              <w:pStyle w:val="TableParagraph"/>
              <w:spacing w:line="232" w:lineRule="auto" w:before="100"/>
              <w:ind w:left="90"/>
              <w:rPr>
                <w:sz w:val="18"/>
              </w:rPr>
            </w:pPr>
            <w:r>
              <w:rPr>
                <w:color w:val="105C84"/>
                <w:sz w:val="18"/>
              </w:rPr>
              <w:t>Decrease the percentage of adults who</w:t>
            </w:r>
            <w:r>
              <w:rPr>
                <w:color w:val="105C84"/>
                <w:spacing w:val="-13"/>
                <w:sz w:val="18"/>
              </w:rPr>
              <w:t> </w:t>
            </w:r>
            <w:r>
              <w:rPr>
                <w:color w:val="105C84"/>
                <w:sz w:val="18"/>
              </w:rPr>
              <w:t>consume</w:t>
            </w:r>
            <w:r>
              <w:rPr>
                <w:color w:val="105C84"/>
                <w:spacing w:val="-12"/>
                <w:sz w:val="18"/>
              </w:rPr>
              <w:t> </w:t>
            </w:r>
            <w:r>
              <w:rPr>
                <w:color w:val="105C84"/>
                <w:sz w:val="18"/>
              </w:rPr>
              <w:t>one</w:t>
            </w:r>
            <w:r>
              <w:rPr>
                <w:color w:val="105C84"/>
                <w:spacing w:val="-13"/>
                <w:sz w:val="18"/>
              </w:rPr>
              <w:t> </w:t>
            </w:r>
            <w:r>
              <w:rPr>
                <w:color w:val="105C84"/>
                <w:sz w:val="18"/>
              </w:rPr>
              <w:t>or more sugary drinks per day (among all </w:t>
            </w:r>
            <w:r>
              <w:rPr>
                <w:color w:val="105C84"/>
                <w:spacing w:val="-2"/>
                <w:sz w:val="18"/>
              </w:rPr>
              <w:t>adults)</w:t>
            </w:r>
          </w:p>
        </w:tc>
        <w:tc>
          <w:tcPr>
            <w:tcW w:w="1446" w:type="dxa"/>
          </w:tcPr>
          <w:p>
            <w:pPr>
              <w:pStyle w:val="TableParagraph"/>
              <w:spacing w:line="203" w:lineRule="exact" w:before="95"/>
              <w:ind w:left="91"/>
              <w:rPr>
                <w:sz w:val="18"/>
              </w:rPr>
            </w:pPr>
            <w:r>
              <w:rPr>
                <w:color w:val="105C84"/>
                <w:sz w:val="18"/>
              </w:rPr>
              <w:t>Low</w:t>
            </w:r>
            <w:r>
              <w:rPr>
                <w:color w:val="105C84"/>
                <w:spacing w:val="-11"/>
                <w:sz w:val="18"/>
              </w:rPr>
              <w:t> </w:t>
            </w:r>
            <w:r>
              <w:rPr>
                <w:color w:val="105C84"/>
                <w:spacing w:val="-4"/>
                <w:sz w:val="18"/>
              </w:rPr>
              <w:t>SES,</w:t>
            </w:r>
          </w:p>
          <w:p>
            <w:pPr>
              <w:pStyle w:val="TableParagraph"/>
              <w:spacing w:line="203" w:lineRule="exact"/>
              <w:ind w:left="91"/>
              <w:rPr>
                <w:sz w:val="18"/>
              </w:rPr>
            </w:pPr>
            <w:r>
              <w:rPr>
                <w:color w:val="105C84"/>
                <w:spacing w:val="-2"/>
                <w:sz w:val="18"/>
              </w:rPr>
              <w:t>disability</w:t>
            </w:r>
          </w:p>
        </w:tc>
        <w:tc>
          <w:tcPr>
            <w:tcW w:w="1957" w:type="dxa"/>
          </w:tcPr>
          <w:p>
            <w:pPr>
              <w:pStyle w:val="TableParagraph"/>
              <w:spacing w:line="232" w:lineRule="auto" w:before="100"/>
              <w:ind w:left="92" w:right="84"/>
              <w:rPr>
                <w:sz w:val="18"/>
              </w:rPr>
            </w:pPr>
            <w:r>
              <w:rPr>
                <w:color w:val="105C84"/>
                <w:sz w:val="18"/>
              </w:rPr>
              <w:t>1.0.3 Worksite nutrition</w:t>
            </w:r>
            <w:r>
              <w:rPr>
                <w:color w:val="105C84"/>
                <w:spacing w:val="-11"/>
                <w:sz w:val="18"/>
              </w:rPr>
              <w:t> </w:t>
            </w:r>
            <w:r>
              <w:rPr>
                <w:color w:val="105C84"/>
                <w:sz w:val="18"/>
              </w:rPr>
              <w:t>and</w:t>
            </w:r>
            <w:r>
              <w:rPr>
                <w:color w:val="105C84"/>
                <w:spacing w:val="-11"/>
                <w:sz w:val="18"/>
              </w:rPr>
              <w:t> </w:t>
            </w:r>
            <w:r>
              <w:rPr>
                <w:color w:val="105C84"/>
                <w:sz w:val="18"/>
              </w:rPr>
              <w:t>physical</w:t>
            </w:r>
            <w:r>
              <w:rPr>
                <w:color w:val="105C84"/>
                <w:sz w:val="18"/>
              </w:rPr>
              <w:t> activity programs designed to improve health</w:t>
            </w:r>
            <w:r>
              <w:rPr>
                <w:color w:val="105C84"/>
                <w:spacing w:val="-1"/>
                <w:sz w:val="18"/>
              </w:rPr>
              <w:t> </w:t>
            </w:r>
            <w:r>
              <w:rPr>
                <w:color w:val="105C84"/>
                <w:sz w:val="18"/>
              </w:rPr>
              <w:t>behaviors</w:t>
            </w:r>
            <w:r>
              <w:rPr>
                <w:color w:val="105C84"/>
                <w:spacing w:val="-1"/>
                <w:sz w:val="18"/>
              </w:rPr>
              <w:t> </w:t>
            </w:r>
            <w:r>
              <w:rPr>
                <w:color w:val="105C84"/>
                <w:sz w:val="18"/>
              </w:rPr>
              <w:t>and </w:t>
            </w:r>
            <w:r>
              <w:rPr>
                <w:color w:val="105C84"/>
                <w:spacing w:val="-2"/>
                <w:sz w:val="18"/>
              </w:rPr>
              <w:t>results</w:t>
            </w:r>
          </w:p>
        </w:tc>
        <w:tc>
          <w:tcPr>
            <w:tcW w:w="5730" w:type="dxa"/>
          </w:tcPr>
          <w:p>
            <w:pPr>
              <w:pStyle w:val="TableParagraph"/>
              <w:tabs>
                <w:tab w:pos="3827" w:val="left" w:leader="none"/>
              </w:tabs>
              <w:spacing w:line="203" w:lineRule="exact" w:before="95"/>
              <w:ind w:left="94"/>
              <w:rPr>
                <w:sz w:val="18"/>
              </w:rPr>
            </w:pPr>
            <w:r>
              <w:rPr>
                <w:color w:val="105C84"/>
                <w:sz w:val="18"/>
              </w:rPr>
              <w:t>Number</w:t>
            </w:r>
            <w:r>
              <w:rPr>
                <w:color w:val="105C84"/>
                <w:spacing w:val="10"/>
                <w:sz w:val="18"/>
              </w:rPr>
              <w:t> </w:t>
            </w:r>
            <w:r>
              <w:rPr>
                <w:color w:val="105C84"/>
                <w:sz w:val="18"/>
              </w:rPr>
              <w:t>of</w:t>
            </w:r>
            <w:r>
              <w:rPr>
                <w:color w:val="105C84"/>
                <w:spacing w:val="10"/>
                <w:sz w:val="18"/>
              </w:rPr>
              <w:t> </w:t>
            </w:r>
            <w:r>
              <w:rPr>
                <w:color w:val="105C84"/>
                <w:spacing w:val="-2"/>
                <w:sz w:val="18"/>
              </w:rPr>
              <w:t>worksite</w:t>
            </w:r>
            <w:r>
              <w:rPr>
                <w:color w:val="105C84"/>
                <w:sz w:val="18"/>
              </w:rPr>
              <w:tab/>
              <w:t>SCHD</w:t>
            </w:r>
            <w:r>
              <w:rPr>
                <w:color w:val="105C84"/>
                <w:spacing w:val="-7"/>
                <w:sz w:val="18"/>
              </w:rPr>
              <w:t> </w:t>
            </w:r>
            <w:r>
              <w:rPr>
                <w:color w:val="105C84"/>
                <w:sz w:val="18"/>
              </w:rPr>
              <w:t>will</w:t>
            </w:r>
            <w:r>
              <w:rPr>
                <w:color w:val="105C84"/>
                <w:spacing w:val="-7"/>
                <w:sz w:val="18"/>
              </w:rPr>
              <w:t> </w:t>
            </w:r>
            <w:r>
              <w:rPr>
                <w:color w:val="105C84"/>
                <w:sz w:val="18"/>
              </w:rPr>
              <w:t>offer</w:t>
            </w:r>
            <w:r>
              <w:rPr>
                <w:color w:val="105C84"/>
                <w:spacing w:val="-6"/>
                <w:sz w:val="18"/>
              </w:rPr>
              <w:t> </w:t>
            </w:r>
            <w:r>
              <w:rPr>
                <w:color w:val="105C84"/>
                <w:spacing w:val="-5"/>
                <w:sz w:val="18"/>
              </w:rPr>
              <w:t>at</w:t>
            </w:r>
          </w:p>
          <w:p>
            <w:pPr>
              <w:pStyle w:val="TableParagraph"/>
              <w:tabs>
                <w:tab w:pos="3827" w:val="left" w:leader="none"/>
              </w:tabs>
              <w:spacing w:line="200" w:lineRule="exact"/>
              <w:ind w:left="94"/>
              <w:rPr>
                <w:sz w:val="18"/>
              </w:rPr>
            </w:pPr>
            <w:r>
              <w:rPr>
                <w:color w:val="105C84"/>
                <w:spacing w:val="-4"/>
                <w:sz w:val="18"/>
              </w:rPr>
              <w:t>wellness</w:t>
            </w:r>
            <w:r>
              <w:rPr>
                <w:color w:val="105C84"/>
                <w:sz w:val="18"/>
              </w:rPr>
              <w:t> </w:t>
            </w:r>
            <w:r>
              <w:rPr>
                <w:color w:val="105C84"/>
                <w:spacing w:val="-2"/>
                <w:sz w:val="18"/>
              </w:rPr>
              <w:t>healthy</w:t>
            </w:r>
            <w:r>
              <w:rPr>
                <w:color w:val="105C84"/>
                <w:sz w:val="18"/>
              </w:rPr>
              <w:tab/>
            </w:r>
            <w:r>
              <w:rPr>
                <w:color w:val="105C84"/>
                <w:spacing w:val="-2"/>
                <w:sz w:val="18"/>
              </w:rPr>
              <w:t>least</w:t>
            </w:r>
            <w:r>
              <w:rPr>
                <w:color w:val="105C84"/>
                <w:spacing w:val="-7"/>
                <w:sz w:val="18"/>
              </w:rPr>
              <w:t> </w:t>
            </w:r>
            <w:r>
              <w:rPr>
                <w:color w:val="105C84"/>
                <w:spacing w:val="-2"/>
                <w:sz w:val="18"/>
              </w:rPr>
              <w:t>1</w:t>
            </w:r>
            <w:r>
              <w:rPr>
                <w:color w:val="105C84"/>
                <w:spacing w:val="-6"/>
                <w:sz w:val="18"/>
              </w:rPr>
              <w:t> </w:t>
            </w:r>
            <w:r>
              <w:rPr>
                <w:color w:val="105C84"/>
                <w:spacing w:val="-2"/>
                <w:sz w:val="18"/>
              </w:rPr>
              <w:t>physical</w:t>
            </w:r>
            <w:r>
              <w:rPr>
                <w:color w:val="105C84"/>
                <w:spacing w:val="-6"/>
                <w:sz w:val="18"/>
              </w:rPr>
              <w:t> </w:t>
            </w:r>
            <w:r>
              <w:rPr>
                <w:color w:val="105C84"/>
                <w:spacing w:val="-2"/>
                <w:sz w:val="18"/>
              </w:rPr>
              <w:t>activity</w:t>
            </w:r>
          </w:p>
          <w:p>
            <w:pPr>
              <w:pStyle w:val="TableParagraph"/>
              <w:tabs>
                <w:tab w:pos="3827" w:val="left" w:leader="none"/>
              </w:tabs>
              <w:spacing w:line="200" w:lineRule="exact"/>
              <w:ind w:left="94"/>
              <w:rPr>
                <w:sz w:val="18"/>
              </w:rPr>
            </w:pPr>
            <w:r>
              <w:rPr>
                <w:color w:val="105C84"/>
                <w:sz w:val="18"/>
              </w:rPr>
              <w:t>eating</w:t>
            </w:r>
            <w:r>
              <w:rPr>
                <w:color w:val="105C84"/>
                <w:spacing w:val="3"/>
                <w:sz w:val="18"/>
              </w:rPr>
              <w:t> </w:t>
            </w:r>
            <w:r>
              <w:rPr>
                <w:color w:val="105C84"/>
                <w:sz w:val="18"/>
              </w:rPr>
              <w:t>and</w:t>
            </w:r>
            <w:r>
              <w:rPr>
                <w:color w:val="105C84"/>
                <w:spacing w:val="4"/>
                <w:sz w:val="18"/>
              </w:rPr>
              <w:t> </w:t>
            </w:r>
            <w:r>
              <w:rPr>
                <w:color w:val="105C84"/>
                <w:sz w:val="18"/>
              </w:rPr>
              <w:t>or</w:t>
            </w:r>
            <w:r>
              <w:rPr>
                <w:color w:val="105C84"/>
                <w:spacing w:val="4"/>
                <w:sz w:val="18"/>
              </w:rPr>
              <w:t> </w:t>
            </w:r>
            <w:r>
              <w:rPr>
                <w:color w:val="105C84"/>
                <w:spacing w:val="-2"/>
                <w:sz w:val="18"/>
              </w:rPr>
              <w:t>physical</w:t>
            </w:r>
            <w:r>
              <w:rPr>
                <w:color w:val="105C84"/>
                <w:sz w:val="18"/>
              </w:rPr>
              <w:tab/>
              <w:t>program</w:t>
            </w:r>
            <w:r>
              <w:rPr>
                <w:color w:val="105C84"/>
                <w:spacing w:val="3"/>
                <w:sz w:val="18"/>
              </w:rPr>
              <w:t> </w:t>
            </w:r>
            <w:r>
              <w:rPr>
                <w:color w:val="105C84"/>
                <w:sz w:val="18"/>
              </w:rPr>
              <w:t>and</w:t>
            </w:r>
            <w:r>
              <w:rPr>
                <w:color w:val="105C84"/>
                <w:spacing w:val="3"/>
                <w:sz w:val="18"/>
              </w:rPr>
              <w:t> </w:t>
            </w:r>
            <w:r>
              <w:rPr>
                <w:color w:val="105C84"/>
                <w:sz w:val="18"/>
              </w:rPr>
              <w:t>at</w:t>
            </w:r>
            <w:r>
              <w:rPr>
                <w:color w:val="105C84"/>
                <w:spacing w:val="3"/>
                <w:sz w:val="18"/>
              </w:rPr>
              <w:t> </w:t>
            </w:r>
            <w:r>
              <w:rPr>
                <w:color w:val="105C84"/>
                <w:spacing w:val="-2"/>
                <w:sz w:val="18"/>
              </w:rPr>
              <w:t>least</w:t>
            </w:r>
          </w:p>
          <w:p>
            <w:pPr>
              <w:pStyle w:val="TableParagraph"/>
              <w:tabs>
                <w:tab w:pos="3827" w:val="left" w:leader="none"/>
              </w:tabs>
              <w:spacing w:line="200" w:lineRule="exact"/>
              <w:ind w:left="94"/>
              <w:rPr>
                <w:sz w:val="18"/>
              </w:rPr>
            </w:pPr>
            <w:r>
              <w:rPr>
                <w:color w:val="105C84"/>
                <w:sz w:val="18"/>
              </w:rPr>
              <w:t>activity</w:t>
            </w:r>
            <w:r>
              <w:rPr>
                <w:color w:val="105C84"/>
                <w:spacing w:val="-7"/>
                <w:sz w:val="18"/>
              </w:rPr>
              <w:t> </w:t>
            </w:r>
            <w:r>
              <w:rPr>
                <w:color w:val="105C84"/>
                <w:spacing w:val="-2"/>
                <w:sz w:val="18"/>
              </w:rPr>
              <w:t>program</w:t>
            </w:r>
            <w:r>
              <w:rPr>
                <w:color w:val="105C84"/>
                <w:sz w:val="18"/>
              </w:rPr>
              <w:tab/>
              <w:t>1</w:t>
            </w:r>
            <w:r>
              <w:rPr>
                <w:color w:val="105C84"/>
                <w:spacing w:val="7"/>
                <w:sz w:val="18"/>
              </w:rPr>
              <w:t> </w:t>
            </w:r>
            <w:r>
              <w:rPr>
                <w:color w:val="105C84"/>
                <w:sz w:val="18"/>
              </w:rPr>
              <w:t>nutrition</w:t>
            </w:r>
            <w:r>
              <w:rPr>
                <w:color w:val="105C84"/>
                <w:spacing w:val="7"/>
                <w:sz w:val="18"/>
              </w:rPr>
              <w:t> </w:t>
            </w:r>
            <w:r>
              <w:rPr>
                <w:color w:val="105C84"/>
                <w:spacing w:val="-2"/>
                <w:sz w:val="18"/>
              </w:rPr>
              <w:t>education</w:t>
            </w:r>
          </w:p>
          <w:p>
            <w:pPr>
              <w:pStyle w:val="TableParagraph"/>
              <w:tabs>
                <w:tab w:pos="3827" w:val="left" w:leader="none"/>
              </w:tabs>
              <w:spacing w:line="200" w:lineRule="exact"/>
              <w:ind w:left="94"/>
              <w:rPr>
                <w:sz w:val="18"/>
              </w:rPr>
            </w:pPr>
            <w:r>
              <w:rPr>
                <w:color w:val="105C84"/>
                <w:spacing w:val="-2"/>
                <w:sz w:val="18"/>
              </w:rPr>
              <w:t>participants</w:t>
            </w:r>
            <w:r>
              <w:rPr>
                <w:color w:val="105C84"/>
                <w:sz w:val="18"/>
              </w:rPr>
              <w:tab/>
              <w:t>session</w:t>
            </w:r>
            <w:r>
              <w:rPr>
                <w:color w:val="105C84"/>
                <w:spacing w:val="-13"/>
                <w:sz w:val="18"/>
              </w:rPr>
              <w:t> </w:t>
            </w:r>
            <w:r>
              <w:rPr>
                <w:color w:val="105C84"/>
                <w:sz w:val="18"/>
              </w:rPr>
              <w:t>to</w:t>
            </w:r>
            <w:r>
              <w:rPr>
                <w:color w:val="105C84"/>
                <w:spacing w:val="-11"/>
                <w:sz w:val="18"/>
              </w:rPr>
              <w:t> </w:t>
            </w:r>
            <w:r>
              <w:rPr>
                <w:color w:val="105C84"/>
                <w:spacing w:val="-2"/>
                <w:sz w:val="18"/>
              </w:rPr>
              <w:t>Seneca</w:t>
            </w:r>
          </w:p>
          <w:p>
            <w:pPr>
              <w:pStyle w:val="TableParagraph"/>
              <w:tabs>
                <w:tab w:pos="3827" w:val="left" w:leader="none"/>
              </w:tabs>
              <w:spacing w:line="232" w:lineRule="auto"/>
              <w:ind w:left="94"/>
              <w:rPr>
                <w:sz w:val="18"/>
              </w:rPr>
            </w:pPr>
            <w:r>
              <w:rPr>
                <w:color w:val="105C84"/>
                <w:position w:val="-8"/>
                <w:sz w:val="18"/>
              </w:rPr>
              <w:t>#</w:t>
            </w:r>
            <w:r>
              <w:rPr>
                <w:color w:val="105C84"/>
                <w:spacing w:val="-11"/>
                <w:position w:val="-8"/>
                <w:sz w:val="18"/>
              </w:rPr>
              <w:t> </w:t>
            </w:r>
            <w:r>
              <w:rPr>
                <w:color w:val="105C84"/>
                <w:position w:val="-8"/>
                <w:sz w:val="18"/>
              </w:rPr>
              <w:t>of</w:t>
            </w:r>
            <w:r>
              <w:rPr>
                <w:color w:val="105C84"/>
                <w:spacing w:val="-8"/>
                <w:position w:val="-8"/>
                <w:sz w:val="18"/>
              </w:rPr>
              <w:t> </w:t>
            </w:r>
            <w:r>
              <w:rPr>
                <w:color w:val="105C84"/>
                <w:position w:val="-8"/>
                <w:sz w:val="18"/>
              </w:rPr>
              <w:t>worksites</w:t>
            </w:r>
            <w:r>
              <w:rPr>
                <w:color w:val="105C84"/>
                <w:spacing w:val="-8"/>
                <w:position w:val="-8"/>
                <w:sz w:val="18"/>
              </w:rPr>
              <w:t> </w:t>
            </w:r>
            <w:r>
              <w:rPr>
                <w:color w:val="105C84"/>
                <w:spacing w:val="-5"/>
                <w:position w:val="-8"/>
                <w:sz w:val="18"/>
              </w:rPr>
              <w:t>who</w:t>
            </w:r>
            <w:r>
              <w:rPr>
                <w:color w:val="105C84"/>
                <w:position w:val="-8"/>
                <w:sz w:val="18"/>
              </w:rPr>
              <w:tab/>
            </w:r>
            <w:r>
              <w:rPr>
                <w:color w:val="105C84"/>
                <w:sz w:val="18"/>
              </w:rPr>
              <w:t>County</w:t>
            </w:r>
            <w:r>
              <w:rPr>
                <w:color w:val="105C84"/>
                <w:spacing w:val="1"/>
                <w:sz w:val="18"/>
              </w:rPr>
              <w:t> </w:t>
            </w:r>
            <w:r>
              <w:rPr>
                <w:color w:val="105C84"/>
                <w:spacing w:val="-2"/>
                <w:sz w:val="18"/>
              </w:rPr>
              <w:t>employees</w:t>
            </w:r>
          </w:p>
          <w:p>
            <w:pPr>
              <w:pStyle w:val="TableParagraph"/>
              <w:tabs>
                <w:tab w:pos="3827" w:val="left" w:leader="none"/>
              </w:tabs>
              <w:spacing w:line="201" w:lineRule="exact"/>
              <w:ind w:left="94"/>
              <w:rPr>
                <w:sz w:val="18"/>
              </w:rPr>
            </w:pPr>
            <w:r>
              <w:rPr>
                <w:color w:val="105C84"/>
                <w:spacing w:val="-4"/>
                <w:sz w:val="18"/>
              </w:rPr>
              <w:t>have </w:t>
            </w:r>
            <w:r>
              <w:rPr>
                <w:color w:val="105C84"/>
                <w:spacing w:val="-2"/>
                <w:sz w:val="18"/>
              </w:rPr>
              <w:t>received</w:t>
            </w:r>
            <w:r>
              <w:rPr>
                <w:color w:val="105C84"/>
                <w:sz w:val="18"/>
              </w:rPr>
              <w:tab/>
            </w:r>
            <w:r>
              <w:rPr>
                <w:color w:val="105C84"/>
                <w:spacing w:val="-2"/>
                <w:sz w:val="18"/>
              </w:rPr>
              <w:t>The</w:t>
            </w:r>
            <w:r>
              <w:rPr>
                <w:color w:val="105C84"/>
                <w:spacing w:val="-4"/>
                <w:sz w:val="18"/>
              </w:rPr>
              <w:t> </w:t>
            </w:r>
            <w:r>
              <w:rPr>
                <w:color w:val="105C84"/>
                <w:spacing w:val="-2"/>
                <w:sz w:val="18"/>
              </w:rPr>
              <w:t>Public</w:t>
            </w:r>
            <w:r>
              <w:rPr>
                <w:color w:val="105C84"/>
                <w:spacing w:val="-4"/>
                <w:sz w:val="18"/>
              </w:rPr>
              <w:t> </w:t>
            </w:r>
            <w:r>
              <w:rPr>
                <w:color w:val="105C84"/>
                <w:spacing w:val="-2"/>
                <w:sz w:val="18"/>
              </w:rPr>
              <w:t>Health</w:t>
            </w:r>
          </w:p>
          <w:p>
            <w:pPr>
              <w:pStyle w:val="TableParagraph"/>
              <w:tabs>
                <w:tab w:pos="3827" w:val="left" w:leader="none"/>
              </w:tabs>
              <w:spacing w:line="200" w:lineRule="exact"/>
              <w:ind w:left="94"/>
              <w:rPr>
                <w:sz w:val="18"/>
              </w:rPr>
            </w:pPr>
            <w:r>
              <w:rPr>
                <w:color w:val="105C84"/>
                <w:sz w:val="18"/>
              </w:rPr>
              <w:t>nutrition</w:t>
            </w:r>
            <w:r>
              <w:rPr>
                <w:color w:val="105C84"/>
                <w:spacing w:val="25"/>
                <w:sz w:val="18"/>
              </w:rPr>
              <w:t> </w:t>
            </w:r>
            <w:r>
              <w:rPr>
                <w:color w:val="105C84"/>
                <w:spacing w:val="-2"/>
                <w:sz w:val="18"/>
              </w:rPr>
              <w:t>education</w:t>
            </w:r>
            <w:r>
              <w:rPr>
                <w:color w:val="105C84"/>
                <w:sz w:val="18"/>
              </w:rPr>
              <w:tab/>
              <w:t>Educator</w:t>
            </w:r>
            <w:r>
              <w:rPr>
                <w:color w:val="105C84"/>
                <w:spacing w:val="-2"/>
                <w:sz w:val="18"/>
              </w:rPr>
              <w:t> </w:t>
            </w:r>
            <w:r>
              <w:rPr>
                <w:color w:val="105C84"/>
                <w:sz w:val="18"/>
              </w:rPr>
              <w:t>will</w:t>
            </w:r>
            <w:r>
              <w:rPr>
                <w:color w:val="105C84"/>
                <w:spacing w:val="-1"/>
                <w:sz w:val="18"/>
              </w:rPr>
              <w:t> </w:t>
            </w:r>
            <w:r>
              <w:rPr>
                <w:color w:val="105C84"/>
                <w:spacing w:val="-2"/>
                <w:sz w:val="18"/>
              </w:rPr>
              <w:t>actively</w:t>
            </w:r>
          </w:p>
          <w:p>
            <w:pPr>
              <w:pStyle w:val="TableParagraph"/>
              <w:tabs>
                <w:tab w:pos="3827" w:val="left" w:leader="none"/>
              </w:tabs>
              <w:spacing w:line="200" w:lineRule="exact"/>
              <w:ind w:left="94"/>
              <w:rPr>
                <w:sz w:val="18"/>
              </w:rPr>
            </w:pPr>
            <w:r>
              <w:rPr>
                <w:color w:val="105C84"/>
                <w:sz w:val="18"/>
              </w:rPr>
              <w:t>and or</w:t>
            </w:r>
            <w:r>
              <w:rPr>
                <w:color w:val="105C84"/>
                <w:spacing w:val="1"/>
                <w:sz w:val="18"/>
              </w:rPr>
              <w:t> </w:t>
            </w:r>
            <w:r>
              <w:rPr>
                <w:color w:val="105C84"/>
                <w:spacing w:val="-2"/>
                <w:sz w:val="18"/>
              </w:rPr>
              <w:t>participated</w:t>
            </w:r>
            <w:r>
              <w:rPr>
                <w:color w:val="105C84"/>
                <w:sz w:val="18"/>
              </w:rPr>
              <w:tab/>
              <w:t>participate</w:t>
            </w:r>
            <w:r>
              <w:rPr>
                <w:color w:val="105C84"/>
                <w:spacing w:val="11"/>
                <w:sz w:val="18"/>
              </w:rPr>
              <w:t> </w:t>
            </w:r>
            <w:r>
              <w:rPr>
                <w:color w:val="105C84"/>
                <w:sz w:val="18"/>
              </w:rPr>
              <w:t>in</w:t>
            </w:r>
            <w:r>
              <w:rPr>
                <w:color w:val="105C84"/>
                <w:spacing w:val="11"/>
                <w:sz w:val="18"/>
              </w:rPr>
              <w:t> </w:t>
            </w:r>
            <w:r>
              <w:rPr>
                <w:color w:val="105C84"/>
                <w:spacing w:val="-5"/>
                <w:sz w:val="18"/>
              </w:rPr>
              <w:t>the</w:t>
            </w:r>
          </w:p>
          <w:p>
            <w:pPr>
              <w:pStyle w:val="TableParagraph"/>
              <w:tabs>
                <w:tab w:pos="3827" w:val="left" w:leader="none"/>
              </w:tabs>
              <w:spacing w:line="200" w:lineRule="exact"/>
              <w:ind w:left="94"/>
              <w:rPr>
                <w:sz w:val="18"/>
              </w:rPr>
            </w:pPr>
            <w:r>
              <w:rPr>
                <w:color w:val="105C84"/>
                <w:sz w:val="18"/>
              </w:rPr>
              <w:t>in</w:t>
            </w:r>
            <w:r>
              <w:rPr>
                <w:color w:val="105C84"/>
                <w:spacing w:val="-13"/>
                <w:sz w:val="18"/>
              </w:rPr>
              <w:t> </w:t>
            </w:r>
            <w:r>
              <w:rPr>
                <w:color w:val="105C84"/>
                <w:sz w:val="18"/>
              </w:rPr>
              <w:t>physical</w:t>
            </w:r>
            <w:r>
              <w:rPr>
                <w:color w:val="105C84"/>
                <w:spacing w:val="-12"/>
                <w:sz w:val="18"/>
              </w:rPr>
              <w:t> </w:t>
            </w:r>
            <w:r>
              <w:rPr>
                <w:color w:val="105C84"/>
                <w:spacing w:val="-2"/>
                <w:sz w:val="18"/>
              </w:rPr>
              <w:t>activity</w:t>
            </w:r>
            <w:r>
              <w:rPr>
                <w:color w:val="105C84"/>
                <w:sz w:val="18"/>
              </w:rPr>
              <w:tab/>
            </w:r>
            <w:r>
              <w:rPr>
                <w:color w:val="105C84"/>
                <w:spacing w:val="-5"/>
                <w:sz w:val="18"/>
              </w:rPr>
              <w:t>Seneca </w:t>
            </w:r>
            <w:r>
              <w:rPr>
                <w:color w:val="105C84"/>
                <w:spacing w:val="-2"/>
                <w:sz w:val="18"/>
              </w:rPr>
              <w:t>County</w:t>
            </w:r>
          </w:p>
          <w:p>
            <w:pPr>
              <w:pStyle w:val="TableParagraph"/>
              <w:tabs>
                <w:tab w:pos="3827" w:val="left" w:leader="none"/>
              </w:tabs>
              <w:spacing w:line="200" w:lineRule="exact"/>
              <w:ind w:left="94"/>
              <w:rPr>
                <w:sz w:val="18"/>
              </w:rPr>
            </w:pPr>
            <w:r>
              <w:rPr>
                <w:color w:val="105C84"/>
                <w:spacing w:val="-2"/>
                <w:sz w:val="18"/>
              </w:rPr>
              <w:t>program</w:t>
            </w:r>
            <w:r>
              <w:rPr>
                <w:color w:val="105C84"/>
                <w:sz w:val="18"/>
              </w:rPr>
              <w:tab/>
              <w:t>Employee</w:t>
            </w:r>
            <w:r>
              <w:rPr>
                <w:color w:val="105C84"/>
                <w:spacing w:val="-4"/>
                <w:sz w:val="18"/>
              </w:rPr>
              <w:t> </w:t>
            </w:r>
            <w:r>
              <w:rPr>
                <w:color w:val="105C84"/>
                <w:spacing w:val="-2"/>
                <w:sz w:val="18"/>
              </w:rPr>
              <w:t>Wellness</w:t>
            </w:r>
          </w:p>
          <w:p>
            <w:pPr>
              <w:pStyle w:val="TableParagraph"/>
              <w:spacing w:line="232" w:lineRule="auto"/>
              <w:ind w:left="3827"/>
              <w:rPr>
                <w:sz w:val="18"/>
              </w:rPr>
            </w:pPr>
            <w:r>
              <w:rPr>
                <w:color w:val="105C84"/>
                <w:sz w:val="18"/>
              </w:rPr>
              <w:t>Committee and the Regional Worksite Wellness</w:t>
            </w:r>
            <w:r>
              <w:rPr>
                <w:color w:val="105C84"/>
                <w:spacing w:val="-13"/>
                <w:sz w:val="18"/>
              </w:rPr>
              <w:t> </w:t>
            </w:r>
            <w:r>
              <w:rPr>
                <w:color w:val="105C84"/>
                <w:sz w:val="18"/>
              </w:rPr>
              <w:t>Committee</w:t>
            </w:r>
          </w:p>
        </w:tc>
        <w:tc>
          <w:tcPr>
            <w:tcW w:w="1756" w:type="dxa"/>
          </w:tcPr>
          <w:p>
            <w:pPr>
              <w:pStyle w:val="TableParagraph"/>
              <w:spacing w:line="232" w:lineRule="auto" w:before="100"/>
              <w:ind w:left="95" w:right="128"/>
              <w:rPr>
                <w:sz w:val="18"/>
              </w:rPr>
            </w:pPr>
            <w:r>
              <w:rPr>
                <w:color w:val="105C84"/>
                <w:spacing w:val="-2"/>
                <w:sz w:val="18"/>
              </w:rPr>
              <w:t>To</w:t>
            </w:r>
            <w:r>
              <w:rPr>
                <w:color w:val="105C84"/>
                <w:spacing w:val="-13"/>
                <w:sz w:val="18"/>
              </w:rPr>
              <w:t> </w:t>
            </w:r>
            <w:r>
              <w:rPr>
                <w:color w:val="105C84"/>
                <w:spacing w:val="-2"/>
                <w:sz w:val="18"/>
              </w:rPr>
              <w:t>expand</w:t>
            </w:r>
            <w:r>
              <w:rPr>
                <w:color w:val="105C84"/>
                <w:spacing w:val="-10"/>
                <w:sz w:val="18"/>
              </w:rPr>
              <w:t> </w:t>
            </w:r>
            <w:r>
              <w:rPr>
                <w:color w:val="105C84"/>
                <w:spacing w:val="-2"/>
                <w:sz w:val="18"/>
              </w:rPr>
              <w:t>physical </w:t>
            </w:r>
            <w:r>
              <w:rPr>
                <w:color w:val="105C84"/>
                <w:sz w:val="18"/>
              </w:rPr>
              <w:t>activity and or nutrition offerings to other Seneca County Employers</w:t>
            </w:r>
          </w:p>
          <w:p>
            <w:pPr>
              <w:pStyle w:val="TableParagraph"/>
              <w:spacing w:line="232" w:lineRule="auto" w:before="86"/>
              <w:ind w:left="95" w:right="288"/>
              <w:rPr>
                <w:sz w:val="18"/>
              </w:rPr>
            </w:pPr>
            <w:r>
              <w:rPr>
                <w:color w:val="105C84"/>
                <w:sz w:val="18"/>
              </w:rPr>
              <w:t>To offer 2 physical activity opportunities </w:t>
            </w:r>
            <w:r>
              <w:rPr>
                <w:color w:val="105C84"/>
                <w:sz w:val="18"/>
              </w:rPr>
              <w:t>for Seneca County </w:t>
            </w:r>
            <w:r>
              <w:rPr>
                <w:color w:val="105C84"/>
                <w:spacing w:val="-2"/>
                <w:sz w:val="18"/>
              </w:rPr>
              <w:t>employees</w:t>
            </w:r>
          </w:p>
        </w:tc>
        <w:tc>
          <w:tcPr>
            <w:tcW w:w="1756" w:type="dxa"/>
          </w:tcPr>
          <w:p>
            <w:pPr>
              <w:pStyle w:val="TableParagraph"/>
              <w:spacing w:line="232" w:lineRule="auto" w:before="99"/>
              <w:ind w:left="96"/>
              <w:rPr>
                <w:sz w:val="18"/>
              </w:rPr>
            </w:pPr>
            <w:r>
              <w:rPr>
                <w:color w:val="105C84"/>
                <w:w w:val="105"/>
                <w:sz w:val="18"/>
              </w:rPr>
              <w:t>To increase the number of / </w:t>
            </w:r>
            <w:r>
              <w:rPr>
                <w:color w:val="105C84"/>
                <w:sz w:val="18"/>
              </w:rPr>
              <w:t>workplaces</w:t>
            </w:r>
            <w:r>
              <w:rPr>
                <w:color w:val="105C84"/>
                <w:spacing w:val="-13"/>
                <w:sz w:val="18"/>
              </w:rPr>
              <w:t> </w:t>
            </w:r>
            <w:r>
              <w:rPr>
                <w:color w:val="105C84"/>
                <w:sz w:val="18"/>
              </w:rPr>
              <w:t>offering </w:t>
            </w:r>
            <w:r>
              <w:rPr>
                <w:color w:val="105C84"/>
                <w:spacing w:val="-2"/>
                <w:w w:val="105"/>
                <w:sz w:val="18"/>
              </w:rPr>
              <w:t>and</w:t>
            </w:r>
            <w:r>
              <w:rPr>
                <w:color w:val="105C84"/>
                <w:spacing w:val="-12"/>
                <w:w w:val="105"/>
                <w:sz w:val="18"/>
              </w:rPr>
              <w:t> </w:t>
            </w:r>
            <w:r>
              <w:rPr>
                <w:color w:val="105C84"/>
                <w:spacing w:val="-2"/>
                <w:w w:val="105"/>
                <w:sz w:val="18"/>
              </w:rPr>
              <w:t>participating</w:t>
            </w:r>
            <w:r>
              <w:rPr>
                <w:color w:val="105C84"/>
                <w:spacing w:val="-11"/>
                <w:w w:val="105"/>
                <w:sz w:val="18"/>
              </w:rPr>
              <w:t> </w:t>
            </w:r>
            <w:r>
              <w:rPr>
                <w:color w:val="105C84"/>
                <w:spacing w:val="-2"/>
                <w:w w:val="105"/>
                <w:sz w:val="18"/>
              </w:rPr>
              <w:t>in </w:t>
            </w:r>
            <w:r>
              <w:rPr>
                <w:color w:val="105C84"/>
                <w:w w:val="105"/>
                <w:sz w:val="18"/>
              </w:rPr>
              <w:t>worksite</w:t>
            </w:r>
            <w:r>
              <w:rPr>
                <w:color w:val="105C84"/>
                <w:spacing w:val="-1"/>
                <w:w w:val="105"/>
                <w:sz w:val="18"/>
              </w:rPr>
              <w:t> </w:t>
            </w:r>
            <w:r>
              <w:rPr>
                <w:color w:val="105C84"/>
                <w:w w:val="105"/>
                <w:sz w:val="18"/>
              </w:rPr>
              <w:t>wellness programs</w:t>
            </w:r>
            <w:r>
              <w:rPr>
                <w:color w:val="105C84"/>
                <w:spacing w:val="-1"/>
                <w:w w:val="105"/>
                <w:sz w:val="18"/>
              </w:rPr>
              <w:t> </w:t>
            </w:r>
            <w:r>
              <w:rPr>
                <w:color w:val="105C84"/>
                <w:w w:val="105"/>
                <w:sz w:val="18"/>
              </w:rPr>
              <w:t>and </w:t>
            </w:r>
            <w:r>
              <w:rPr>
                <w:color w:val="105C84"/>
                <w:spacing w:val="-2"/>
                <w:w w:val="105"/>
                <w:sz w:val="18"/>
              </w:rPr>
              <w:t>activities</w:t>
            </w:r>
          </w:p>
        </w:tc>
        <w:tc>
          <w:tcPr>
            <w:tcW w:w="1511" w:type="dxa"/>
          </w:tcPr>
          <w:p>
            <w:pPr>
              <w:pStyle w:val="TableParagraph"/>
              <w:spacing w:before="94"/>
              <w:ind w:left="96"/>
              <w:rPr>
                <w:sz w:val="18"/>
              </w:rPr>
            </w:pPr>
            <w:r>
              <w:rPr>
                <w:color w:val="105C84"/>
                <w:spacing w:val="-2"/>
                <w:sz w:val="18"/>
              </w:rPr>
              <w:t>Business</w:t>
            </w:r>
          </w:p>
        </w:tc>
        <w:tc>
          <w:tcPr>
            <w:tcW w:w="3234" w:type="dxa"/>
          </w:tcPr>
          <w:p>
            <w:pPr>
              <w:pStyle w:val="TableParagraph"/>
              <w:spacing w:line="232" w:lineRule="auto" w:before="99"/>
              <w:ind w:left="97" w:right="184"/>
              <w:rPr>
                <w:sz w:val="18"/>
              </w:rPr>
            </w:pPr>
            <w:r>
              <w:rPr>
                <w:color w:val="105C84"/>
                <w:sz w:val="18"/>
              </w:rPr>
              <w:t>.10 FTE -Seneca County Health Department</w:t>
            </w:r>
            <w:r>
              <w:rPr>
                <w:color w:val="105C84"/>
                <w:spacing w:val="-4"/>
                <w:sz w:val="18"/>
              </w:rPr>
              <w:t> </w:t>
            </w:r>
            <w:r>
              <w:rPr>
                <w:color w:val="105C84"/>
                <w:sz w:val="18"/>
              </w:rPr>
              <w:t>Public</w:t>
            </w:r>
            <w:r>
              <w:rPr>
                <w:color w:val="105C84"/>
                <w:spacing w:val="-4"/>
                <w:sz w:val="18"/>
              </w:rPr>
              <w:t> </w:t>
            </w:r>
            <w:r>
              <w:rPr>
                <w:color w:val="105C84"/>
                <w:sz w:val="18"/>
              </w:rPr>
              <w:t>Health</w:t>
            </w:r>
            <w:r>
              <w:rPr>
                <w:color w:val="105C84"/>
                <w:spacing w:val="-4"/>
                <w:sz w:val="18"/>
              </w:rPr>
              <w:t> </w:t>
            </w:r>
            <w:r>
              <w:rPr>
                <w:color w:val="105C84"/>
                <w:sz w:val="18"/>
              </w:rPr>
              <w:t>Educator will provide nutrition education</w:t>
            </w:r>
          </w:p>
          <w:p>
            <w:pPr>
              <w:pStyle w:val="TableParagraph"/>
              <w:spacing w:line="232" w:lineRule="auto"/>
              <w:ind w:left="97" w:right="463"/>
              <w:rPr>
                <w:sz w:val="18"/>
              </w:rPr>
            </w:pPr>
            <w:r>
              <w:rPr>
                <w:color w:val="105C84"/>
                <w:sz w:val="18"/>
              </w:rPr>
              <w:t>to</w:t>
            </w:r>
            <w:r>
              <w:rPr>
                <w:color w:val="105C84"/>
                <w:spacing w:val="-1"/>
                <w:sz w:val="18"/>
              </w:rPr>
              <w:t> </w:t>
            </w:r>
            <w:r>
              <w:rPr>
                <w:color w:val="105C84"/>
                <w:sz w:val="18"/>
              </w:rPr>
              <w:t>county</w:t>
            </w:r>
            <w:r>
              <w:rPr>
                <w:color w:val="105C84"/>
                <w:spacing w:val="-1"/>
                <w:sz w:val="18"/>
              </w:rPr>
              <w:t> </w:t>
            </w:r>
            <w:r>
              <w:rPr>
                <w:color w:val="105C84"/>
                <w:sz w:val="18"/>
              </w:rPr>
              <w:t>employees</w:t>
            </w:r>
            <w:r>
              <w:rPr>
                <w:color w:val="105C84"/>
                <w:spacing w:val="-1"/>
                <w:sz w:val="18"/>
              </w:rPr>
              <w:t> </w:t>
            </w:r>
            <w:r>
              <w:rPr>
                <w:color w:val="105C84"/>
                <w:sz w:val="18"/>
              </w:rPr>
              <w:t>and</w:t>
            </w:r>
            <w:r>
              <w:rPr>
                <w:color w:val="105C84"/>
                <w:spacing w:val="-1"/>
                <w:sz w:val="18"/>
              </w:rPr>
              <w:t> </w:t>
            </w:r>
            <w:r>
              <w:rPr>
                <w:color w:val="105C84"/>
                <w:sz w:val="18"/>
              </w:rPr>
              <w:t>other worksites as requested</w:t>
            </w:r>
          </w:p>
          <w:p>
            <w:pPr>
              <w:pStyle w:val="TableParagraph"/>
              <w:spacing w:line="232" w:lineRule="auto" w:before="86"/>
              <w:ind w:left="97" w:right="184"/>
              <w:rPr>
                <w:sz w:val="18"/>
              </w:rPr>
            </w:pPr>
            <w:r>
              <w:rPr>
                <w:color w:val="105C84"/>
                <w:sz w:val="18"/>
              </w:rPr>
              <w:t>Seneca County Public Health Educator will coordinate a walking challenge</w:t>
            </w:r>
            <w:r>
              <w:rPr>
                <w:color w:val="105C84"/>
                <w:spacing w:val="-5"/>
                <w:sz w:val="18"/>
              </w:rPr>
              <w:t> </w:t>
            </w:r>
            <w:r>
              <w:rPr>
                <w:color w:val="105C84"/>
                <w:sz w:val="18"/>
              </w:rPr>
              <w:t>for</w:t>
            </w:r>
            <w:r>
              <w:rPr>
                <w:color w:val="105C84"/>
                <w:spacing w:val="-6"/>
                <w:sz w:val="18"/>
              </w:rPr>
              <w:t> </w:t>
            </w:r>
            <w:r>
              <w:rPr>
                <w:color w:val="105C84"/>
                <w:sz w:val="18"/>
              </w:rPr>
              <w:t>County</w:t>
            </w:r>
            <w:r>
              <w:rPr>
                <w:color w:val="105C84"/>
                <w:spacing w:val="-5"/>
                <w:sz w:val="18"/>
              </w:rPr>
              <w:t> </w:t>
            </w:r>
            <w:r>
              <w:rPr>
                <w:color w:val="105C84"/>
                <w:sz w:val="18"/>
              </w:rPr>
              <w:t>employees</w:t>
            </w:r>
            <w:r>
              <w:rPr>
                <w:color w:val="105C84"/>
                <w:spacing w:val="-6"/>
                <w:sz w:val="18"/>
              </w:rPr>
              <w:t> </w:t>
            </w:r>
            <w:r>
              <w:rPr>
                <w:color w:val="105C84"/>
                <w:sz w:val="18"/>
              </w:rPr>
              <w:t>and at least one additional workplace</w:t>
            </w:r>
          </w:p>
          <w:p>
            <w:pPr>
              <w:pStyle w:val="TableParagraph"/>
              <w:spacing w:line="232" w:lineRule="auto" w:before="87"/>
              <w:ind w:left="97" w:right="130"/>
              <w:rPr>
                <w:sz w:val="18"/>
              </w:rPr>
            </w:pPr>
            <w:r>
              <w:rPr>
                <w:color w:val="105C84"/>
                <w:sz w:val="18"/>
              </w:rPr>
              <w:t>Cornell Cooperative Extension Nutrition Educator will provide nutrition education programs for Seneca</w:t>
            </w:r>
            <w:r>
              <w:rPr>
                <w:color w:val="105C84"/>
                <w:spacing w:val="-15"/>
                <w:sz w:val="18"/>
              </w:rPr>
              <w:t> </w:t>
            </w:r>
            <w:r>
              <w:rPr>
                <w:color w:val="105C84"/>
                <w:sz w:val="18"/>
              </w:rPr>
              <w:t>County</w:t>
            </w:r>
            <w:r>
              <w:rPr>
                <w:color w:val="105C84"/>
                <w:spacing w:val="-12"/>
                <w:sz w:val="18"/>
              </w:rPr>
              <w:t> </w:t>
            </w:r>
            <w:r>
              <w:rPr>
                <w:color w:val="105C84"/>
                <w:sz w:val="18"/>
              </w:rPr>
              <w:t>employees</w:t>
            </w:r>
            <w:r>
              <w:rPr>
                <w:color w:val="105C84"/>
                <w:spacing w:val="-13"/>
                <w:sz w:val="18"/>
              </w:rPr>
              <w:t> </w:t>
            </w:r>
            <w:r>
              <w:rPr>
                <w:color w:val="105C84"/>
                <w:sz w:val="18"/>
              </w:rPr>
              <w:t>and</w:t>
            </w:r>
            <w:r>
              <w:rPr>
                <w:color w:val="105C84"/>
                <w:spacing w:val="-12"/>
                <w:sz w:val="18"/>
              </w:rPr>
              <w:t> </w:t>
            </w:r>
            <w:r>
              <w:rPr>
                <w:color w:val="105C84"/>
                <w:sz w:val="18"/>
              </w:rPr>
              <w:t>other </w:t>
            </w:r>
            <w:r>
              <w:rPr>
                <w:color w:val="105C84"/>
                <w:spacing w:val="-2"/>
                <w:sz w:val="18"/>
              </w:rPr>
              <w:t>worksites</w:t>
            </w:r>
          </w:p>
        </w:tc>
      </w:tr>
      <w:tr>
        <w:trPr>
          <w:trHeight w:val="4710" w:hRule="atLeast"/>
        </w:trPr>
        <w:tc>
          <w:tcPr>
            <w:tcW w:w="950" w:type="dxa"/>
            <w:vMerge/>
            <w:tcBorders>
              <w:top w:val="nil"/>
            </w:tcBorders>
            <w:shd w:val="clear" w:color="auto" w:fill="E6E7E8"/>
          </w:tcPr>
          <w:p>
            <w:pPr>
              <w:rPr>
                <w:sz w:val="2"/>
                <w:szCs w:val="2"/>
              </w:rPr>
            </w:pPr>
          </w:p>
        </w:tc>
        <w:tc>
          <w:tcPr>
            <w:tcW w:w="1094" w:type="dxa"/>
            <w:vMerge/>
            <w:tcBorders>
              <w:top w:val="nil"/>
            </w:tcBorders>
          </w:tcPr>
          <w:p>
            <w:pPr>
              <w:rPr>
                <w:sz w:val="2"/>
                <w:szCs w:val="2"/>
              </w:rPr>
            </w:pPr>
          </w:p>
        </w:tc>
        <w:tc>
          <w:tcPr>
            <w:tcW w:w="1094" w:type="dxa"/>
          </w:tcPr>
          <w:p>
            <w:pPr>
              <w:pStyle w:val="TableParagraph"/>
              <w:spacing w:line="232" w:lineRule="auto" w:before="99"/>
              <w:ind w:left="90" w:right="270"/>
              <w:rPr>
                <w:sz w:val="18"/>
              </w:rPr>
            </w:pPr>
            <w:r>
              <w:rPr>
                <w:color w:val="105C84"/>
                <w:spacing w:val="-2"/>
                <w:sz w:val="18"/>
              </w:rPr>
              <w:t>Goal</w:t>
            </w:r>
            <w:r>
              <w:rPr>
                <w:color w:val="105C84"/>
                <w:spacing w:val="-11"/>
                <w:sz w:val="18"/>
              </w:rPr>
              <w:t> </w:t>
            </w:r>
            <w:r>
              <w:rPr>
                <w:color w:val="105C84"/>
                <w:spacing w:val="-2"/>
                <w:sz w:val="18"/>
              </w:rPr>
              <w:t>1.3: Increase </w:t>
            </w:r>
            <w:r>
              <w:rPr>
                <w:color w:val="105C84"/>
                <w:spacing w:val="-4"/>
                <w:sz w:val="18"/>
              </w:rPr>
              <w:t>food </w:t>
            </w:r>
            <w:r>
              <w:rPr>
                <w:color w:val="105C84"/>
                <w:spacing w:val="-2"/>
                <w:sz w:val="18"/>
              </w:rPr>
              <w:t>security</w:t>
            </w:r>
          </w:p>
        </w:tc>
        <w:tc>
          <w:tcPr>
            <w:tcW w:w="1864" w:type="dxa"/>
          </w:tcPr>
          <w:p>
            <w:pPr>
              <w:pStyle w:val="TableParagraph"/>
              <w:spacing w:line="232" w:lineRule="auto" w:before="99"/>
              <w:ind w:left="90"/>
              <w:rPr>
                <w:sz w:val="18"/>
              </w:rPr>
            </w:pPr>
            <w:r>
              <w:rPr>
                <w:color w:val="105C84"/>
                <w:sz w:val="18"/>
              </w:rPr>
              <w:t>1.13 Increase the percentage</w:t>
            </w:r>
            <w:r>
              <w:rPr>
                <w:color w:val="105C84"/>
                <w:spacing w:val="-8"/>
                <w:sz w:val="18"/>
              </w:rPr>
              <w:t> </w:t>
            </w:r>
            <w:r>
              <w:rPr>
                <w:color w:val="105C84"/>
                <w:sz w:val="18"/>
              </w:rPr>
              <w:t>of</w:t>
            </w:r>
            <w:r>
              <w:rPr>
                <w:color w:val="105C84"/>
                <w:spacing w:val="-8"/>
                <w:sz w:val="18"/>
              </w:rPr>
              <w:t> </w:t>
            </w:r>
            <w:r>
              <w:rPr>
                <w:color w:val="105C84"/>
                <w:sz w:val="18"/>
              </w:rPr>
              <w:t>adults</w:t>
            </w:r>
            <w:r>
              <w:rPr>
                <w:color w:val="105C84"/>
                <w:sz w:val="18"/>
              </w:rPr>
              <w:t> with perceived food security (among all </w:t>
            </w:r>
            <w:r>
              <w:rPr>
                <w:color w:val="105C84"/>
                <w:spacing w:val="-2"/>
                <w:sz w:val="18"/>
              </w:rPr>
              <w:t>adults)</w:t>
            </w:r>
          </w:p>
        </w:tc>
        <w:tc>
          <w:tcPr>
            <w:tcW w:w="1446" w:type="dxa"/>
          </w:tcPr>
          <w:p>
            <w:pPr>
              <w:pStyle w:val="TableParagraph"/>
              <w:spacing w:line="232" w:lineRule="auto" w:before="99"/>
              <w:ind w:left="91"/>
              <w:rPr>
                <w:sz w:val="18"/>
              </w:rPr>
            </w:pPr>
            <w:r>
              <w:rPr>
                <w:color w:val="105C84"/>
                <w:sz w:val="18"/>
              </w:rPr>
              <w:t>Low SES/ </w:t>
            </w:r>
            <w:r>
              <w:rPr>
                <w:color w:val="105C84"/>
                <w:spacing w:val="-2"/>
                <w:sz w:val="18"/>
              </w:rPr>
              <w:t>Geographically isolated</w:t>
            </w:r>
          </w:p>
        </w:tc>
        <w:tc>
          <w:tcPr>
            <w:tcW w:w="1957" w:type="dxa"/>
          </w:tcPr>
          <w:p>
            <w:pPr>
              <w:pStyle w:val="TableParagraph"/>
              <w:spacing w:line="232" w:lineRule="auto" w:before="99"/>
              <w:ind w:left="92" w:right="191"/>
              <w:rPr>
                <w:sz w:val="18"/>
              </w:rPr>
            </w:pPr>
            <w:r>
              <w:rPr>
                <w:color w:val="105C84"/>
                <w:sz w:val="18"/>
              </w:rPr>
              <w:t>1.0.6</w:t>
            </w:r>
            <w:r>
              <w:rPr>
                <w:color w:val="105C84"/>
                <w:spacing w:val="-13"/>
                <w:sz w:val="18"/>
              </w:rPr>
              <w:t> </w:t>
            </w:r>
            <w:r>
              <w:rPr>
                <w:color w:val="105C84"/>
                <w:sz w:val="18"/>
              </w:rPr>
              <w:t>Screen</w:t>
            </w:r>
            <w:r>
              <w:rPr>
                <w:color w:val="105C84"/>
                <w:spacing w:val="-12"/>
                <w:sz w:val="18"/>
              </w:rPr>
              <w:t> </w:t>
            </w:r>
            <w:r>
              <w:rPr>
                <w:color w:val="105C84"/>
                <w:sz w:val="18"/>
              </w:rPr>
              <w:t>for</w:t>
            </w:r>
            <w:r>
              <w:rPr>
                <w:color w:val="105C84"/>
                <w:spacing w:val="-13"/>
                <w:sz w:val="18"/>
              </w:rPr>
              <w:t> </w:t>
            </w:r>
            <w:r>
              <w:rPr>
                <w:color w:val="105C84"/>
                <w:sz w:val="18"/>
              </w:rPr>
              <w:t>food</w:t>
            </w:r>
            <w:r>
              <w:rPr>
                <w:color w:val="105C84"/>
                <w:sz w:val="18"/>
              </w:rPr>
              <w:t> insecurity, facilitate and actively support </w:t>
            </w:r>
            <w:r>
              <w:rPr>
                <w:color w:val="105C84"/>
                <w:spacing w:val="-2"/>
                <w:sz w:val="18"/>
              </w:rPr>
              <w:t>referral</w:t>
            </w:r>
          </w:p>
        </w:tc>
        <w:tc>
          <w:tcPr>
            <w:tcW w:w="5730" w:type="dxa"/>
          </w:tcPr>
          <w:p>
            <w:pPr>
              <w:pStyle w:val="TableParagraph"/>
              <w:tabs>
                <w:tab w:pos="3827" w:val="left" w:leader="none"/>
              </w:tabs>
              <w:spacing w:line="203" w:lineRule="exact" w:before="94"/>
              <w:ind w:left="94"/>
              <w:rPr>
                <w:sz w:val="18"/>
              </w:rPr>
            </w:pPr>
            <w:r>
              <w:rPr>
                <w:color w:val="105C84"/>
                <w:sz w:val="18"/>
              </w:rPr>
              <w:t>#</w:t>
            </w:r>
            <w:r>
              <w:rPr>
                <w:color w:val="105C84"/>
                <w:spacing w:val="-10"/>
                <w:sz w:val="18"/>
              </w:rPr>
              <w:t> </w:t>
            </w:r>
            <w:r>
              <w:rPr>
                <w:color w:val="105C84"/>
                <w:sz w:val="18"/>
              </w:rPr>
              <w:t>of</w:t>
            </w:r>
            <w:r>
              <w:rPr>
                <w:color w:val="105C84"/>
                <w:spacing w:val="-9"/>
                <w:sz w:val="18"/>
              </w:rPr>
              <w:t> </w:t>
            </w:r>
            <w:r>
              <w:rPr>
                <w:color w:val="105C84"/>
                <w:sz w:val="18"/>
              </w:rPr>
              <w:t>seniors</w:t>
            </w:r>
            <w:r>
              <w:rPr>
                <w:color w:val="105C84"/>
                <w:spacing w:val="-9"/>
                <w:sz w:val="18"/>
              </w:rPr>
              <w:t> </w:t>
            </w:r>
            <w:r>
              <w:rPr>
                <w:color w:val="105C84"/>
                <w:spacing w:val="-2"/>
                <w:sz w:val="18"/>
              </w:rPr>
              <w:t>screened</w:t>
            </w:r>
            <w:r>
              <w:rPr>
                <w:color w:val="105C84"/>
                <w:sz w:val="18"/>
              </w:rPr>
              <w:tab/>
              <w:t>To</w:t>
            </w:r>
            <w:r>
              <w:rPr>
                <w:color w:val="105C84"/>
                <w:spacing w:val="-8"/>
                <w:sz w:val="18"/>
              </w:rPr>
              <w:t> </w:t>
            </w:r>
            <w:r>
              <w:rPr>
                <w:color w:val="105C84"/>
                <w:sz w:val="18"/>
              </w:rPr>
              <w:t>develop</w:t>
            </w:r>
            <w:r>
              <w:rPr>
                <w:color w:val="105C84"/>
                <w:spacing w:val="-7"/>
                <w:sz w:val="18"/>
              </w:rPr>
              <w:t> </w:t>
            </w:r>
            <w:r>
              <w:rPr>
                <w:color w:val="105C84"/>
                <w:sz w:val="18"/>
              </w:rPr>
              <w:t>a</w:t>
            </w:r>
            <w:r>
              <w:rPr>
                <w:color w:val="105C84"/>
                <w:spacing w:val="-7"/>
                <w:sz w:val="18"/>
              </w:rPr>
              <w:t> </w:t>
            </w:r>
            <w:r>
              <w:rPr>
                <w:color w:val="105C84"/>
                <w:spacing w:val="-4"/>
                <w:sz w:val="18"/>
              </w:rPr>
              <w:t>food</w:t>
            </w:r>
          </w:p>
          <w:p>
            <w:pPr>
              <w:pStyle w:val="TableParagraph"/>
              <w:tabs>
                <w:tab w:pos="3827" w:val="left" w:leader="none"/>
              </w:tabs>
              <w:spacing w:line="200" w:lineRule="exact"/>
              <w:ind w:left="94"/>
              <w:rPr>
                <w:sz w:val="18"/>
              </w:rPr>
            </w:pPr>
            <w:r>
              <w:rPr>
                <w:color w:val="105C84"/>
                <w:sz w:val="18"/>
              </w:rPr>
              <w:t>for</w:t>
            </w:r>
            <w:r>
              <w:rPr>
                <w:color w:val="105C84"/>
                <w:spacing w:val="12"/>
                <w:sz w:val="18"/>
              </w:rPr>
              <w:t> </w:t>
            </w:r>
            <w:r>
              <w:rPr>
                <w:color w:val="105C84"/>
                <w:sz w:val="18"/>
              </w:rPr>
              <w:t>food</w:t>
            </w:r>
            <w:r>
              <w:rPr>
                <w:color w:val="105C84"/>
                <w:spacing w:val="12"/>
                <w:sz w:val="18"/>
              </w:rPr>
              <w:t> </w:t>
            </w:r>
            <w:r>
              <w:rPr>
                <w:color w:val="105C84"/>
                <w:spacing w:val="-2"/>
                <w:sz w:val="18"/>
              </w:rPr>
              <w:t>insecurity</w:t>
            </w:r>
            <w:r>
              <w:rPr>
                <w:color w:val="105C84"/>
                <w:sz w:val="18"/>
              </w:rPr>
              <w:tab/>
            </w:r>
            <w:r>
              <w:rPr>
                <w:color w:val="105C84"/>
                <w:w w:val="90"/>
                <w:sz w:val="18"/>
              </w:rPr>
              <w:t>assistance</w:t>
            </w:r>
            <w:r>
              <w:rPr>
                <w:color w:val="105C84"/>
                <w:spacing w:val="30"/>
                <w:sz w:val="18"/>
              </w:rPr>
              <w:t> </w:t>
            </w:r>
            <w:r>
              <w:rPr>
                <w:color w:val="105C84"/>
                <w:spacing w:val="-2"/>
                <w:sz w:val="18"/>
              </w:rPr>
              <w:t>resource</w:t>
            </w:r>
          </w:p>
          <w:p>
            <w:pPr>
              <w:pStyle w:val="TableParagraph"/>
              <w:tabs>
                <w:tab w:pos="3827" w:val="left" w:leader="none"/>
              </w:tabs>
              <w:spacing w:line="148" w:lineRule="auto" w:before="26"/>
              <w:ind w:left="94"/>
              <w:rPr>
                <w:sz w:val="18"/>
              </w:rPr>
            </w:pPr>
            <w:r>
              <w:rPr>
                <w:color w:val="105C84"/>
                <w:position w:val="-8"/>
                <w:sz w:val="18"/>
              </w:rPr>
              <w:t>#</w:t>
            </w:r>
            <w:r>
              <w:rPr>
                <w:color w:val="105C84"/>
                <w:spacing w:val="-5"/>
                <w:position w:val="-8"/>
                <w:sz w:val="18"/>
              </w:rPr>
              <w:t> </w:t>
            </w:r>
            <w:r>
              <w:rPr>
                <w:color w:val="105C84"/>
                <w:position w:val="-8"/>
                <w:sz w:val="18"/>
              </w:rPr>
              <w:t>of</w:t>
            </w:r>
            <w:r>
              <w:rPr>
                <w:color w:val="105C84"/>
                <w:spacing w:val="-3"/>
                <w:position w:val="-8"/>
                <w:sz w:val="18"/>
              </w:rPr>
              <w:t> </w:t>
            </w:r>
            <w:r>
              <w:rPr>
                <w:color w:val="105C84"/>
                <w:spacing w:val="-2"/>
                <w:position w:val="-8"/>
                <w:sz w:val="18"/>
              </w:rPr>
              <w:t>appropriate</w:t>
            </w:r>
            <w:r>
              <w:rPr>
                <w:color w:val="105C84"/>
                <w:position w:val="-8"/>
                <w:sz w:val="18"/>
              </w:rPr>
              <w:tab/>
            </w:r>
            <w:r>
              <w:rPr>
                <w:color w:val="105C84"/>
                <w:sz w:val="18"/>
              </w:rPr>
              <w:t>list</w:t>
            </w:r>
            <w:r>
              <w:rPr>
                <w:color w:val="105C84"/>
                <w:spacing w:val="-3"/>
                <w:sz w:val="18"/>
              </w:rPr>
              <w:t> </w:t>
            </w:r>
            <w:r>
              <w:rPr>
                <w:color w:val="105C84"/>
                <w:sz w:val="18"/>
              </w:rPr>
              <w:t>for</w:t>
            </w:r>
            <w:r>
              <w:rPr>
                <w:color w:val="105C84"/>
                <w:spacing w:val="-2"/>
                <w:sz w:val="18"/>
              </w:rPr>
              <w:t> </w:t>
            </w:r>
            <w:r>
              <w:rPr>
                <w:color w:val="105C84"/>
                <w:sz w:val="18"/>
              </w:rPr>
              <w:t>clients</w:t>
            </w:r>
            <w:r>
              <w:rPr>
                <w:color w:val="105C84"/>
                <w:spacing w:val="-2"/>
                <w:sz w:val="18"/>
              </w:rPr>
              <w:t> </w:t>
            </w:r>
            <w:r>
              <w:rPr>
                <w:color w:val="105C84"/>
                <w:sz w:val="18"/>
              </w:rPr>
              <w:t>and</w:t>
            </w:r>
            <w:r>
              <w:rPr>
                <w:color w:val="105C84"/>
                <w:spacing w:val="-2"/>
                <w:sz w:val="18"/>
              </w:rPr>
              <w:t> </w:t>
            </w:r>
            <w:r>
              <w:rPr>
                <w:color w:val="105C84"/>
                <w:spacing w:val="-10"/>
                <w:sz w:val="18"/>
              </w:rPr>
              <w:t>a</w:t>
            </w:r>
          </w:p>
          <w:p>
            <w:pPr>
              <w:pStyle w:val="TableParagraph"/>
              <w:tabs>
                <w:tab w:pos="3827" w:val="left" w:leader="none"/>
              </w:tabs>
              <w:spacing w:line="148" w:lineRule="auto"/>
              <w:ind w:left="94"/>
              <w:rPr>
                <w:sz w:val="18"/>
              </w:rPr>
            </w:pPr>
            <w:r>
              <w:rPr>
                <w:color w:val="105C84"/>
                <w:spacing w:val="-2"/>
                <w:position w:val="-8"/>
                <w:sz w:val="18"/>
              </w:rPr>
              <w:t>referrals</w:t>
            </w:r>
            <w:r>
              <w:rPr>
                <w:color w:val="105C84"/>
                <w:spacing w:val="-1"/>
                <w:position w:val="-8"/>
                <w:sz w:val="18"/>
              </w:rPr>
              <w:t> </w:t>
            </w:r>
            <w:r>
              <w:rPr>
                <w:color w:val="105C84"/>
                <w:spacing w:val="-2"/>
                <w:position w:val="-8"/>
                <w:sz w:val="18"/>
              </w:rPr>
              <w:t>made</w:t>
            </w:r>
            <w:r>
              <w:rPr>
                <w:color w:val="105C84"/>
                <w:position w:val="-8"/>
                <w:sz w:val="18"/>
              </w:rPr>
              <w:t> </w:t>
            </w:r>
            <w:r>
              <w:rPr>
                <w:color w:val="105C84"/>
                <w:spacing w:val="-5"/>
                <w:position w:val="-8"/>
                <w:sz w:val="18"/>
              </w:rPr>
              <w:t>for</w:t>
            </w:r>
            <w:r>
              <w:rPr>
                <w:color w:val="105C84"/>
                <w:position w:val="-8"/>
                <w:sz w:val="18"/>
              </w:rPr>
              <w:tab/>
            </w:r>
            <w:r>
              <w:rPr>
                <w:color w:val="105C84"/>
                <w:sz w:val="18"/>
              </w:rPr>
              <w:t>referral</w:t>
            </w:r>
            <w:r>
              <w:rPr>
                <w:color w:val="105C84"/>
                <w:spacing w:val="2"/>
                <w:sz w:val="18"/>
              </w:rPr>
              <w:t> </w:t>
            </w:r>
            <w:r>
              <w:rPr>
                <w:color w:val="105C84"/>
                <w:sz w:val="18"/>
              </w:rPr>
              <w:t>form</w:t>
            </w:r>
            <w:r>
              <w:rPr>
                <w:color w:val="105C84"/>
                <w:spacing w:val="2"/>
                <w:sz w:val="18"/>
              </w:rPr>
              <w:t> </w:t>
            </w:r>
            <w:r>
              <w:rPr>
                <w:color w:val="105C84"/>
                <w:sz w:val="18"/>
              </w:rPr>
              <w:t>to</w:t>
            </w:r>
            <w:r>
              <w:rPr>
                <w:color w:val="105C84"/>
                <w:spacing w:val="2"/>
                <w:sz w:val="18"/>
              </w:rPr>
              <w:t> </w:t>
            </w:r>
            <w:r>
              <w:rPr>
                <w:color w:val="105C84"/>
                <w:spacing w:val="-2"/>
                <w:sz w:val="18"/>
              </w:rPr>
              <w:t>access</w:t>
            </w:r>
          </w:p>
          <w:p>
            <w:pPr>
              <w:pStyle w:val="TableParagraph"/>
              <w:tabs>
                <w:tab w:pos="3827" w:val="left" w:leader="none"/>
              </w:tabs>
              <w:spacing w:line="170" w:lineRule="auto"/>
              <w:ind w:left="94"/>
              <w:rPr>
                <w:sz w:val="18"/>
              </w:rPr>
            </w:pPr>
            <w:r>
              <w:rPr>
                <w:color w:val="105C84"/>
                <w:spacing w:val="-2"/>
                <w:position w:val="-8"/>
                <w:sz w:val="18"/>
              </w:rPr>
              <w:t>seniors</w:t>
            </w:r>
            <w:r>
              <w:rPr>
                <w:color w:val="105C84"/>
                <w:position w:val="-8"/>
                <w:sz w:val="18"/>
              </w:rPr>
              <w:tab/>
            </w:r>
            <w:r>
              <w:rPr>
                <w:color w:val="105C84"/>
                <w:sz w:val="18"/>
              </w:rPr>
              <w:t>food</w:t>
            </w:r>
            <w:r>
              <w:rPr>
                <w:color w:val="105C84"/>
                <w:spacing w:val="20"/>
                <w:sz w:val="18"/>
              </w:rPr>
              <w:t> </w:t>
            </w:r>
            <w:r>
              <w:rPr>
                <w:color w:val="105C84"/>
                <w:spacing w:val="-2"/>
                <w:sz w:val="18"/>
              </w:rPr>
              <w:t>assistance</w:t>
            </w:r>
          </w:p>
          <w:p>
            <w:pPr>
              <w:pStyle w:val="TableParagraph"/>
              <w:tabs>
                <w:tab w:pos="3827" w:val="left" w:leader="none"/>
              </w:tabs>
              <w:spacing w:line="148" w:lineRule="auto" w:before="17"/>
              <w:ind w:left="94"/>
              <w:rPr>
                <w:sz w:val="18"/>
              </w:rPr>
            </w:pPr>
            <w:r>
              <w:rPr>
                <w:color w:val="105C84"/>
                <w:position w:val="-8"/>
                <w:sz w:val="18"/>
              </w:rPr>
              <w:t>#</w:t>
            </w:r>
            <w:r>
              <w:rPr>
                <w:color w:val="105C84"/>
                <w:spacing w:val="-5"/>
                <w:position w:val="-8"/>
                <w:sz w:val="18"/>
              </w:rPr>
              <w:t> </w:t>
            </w:r>
            <w:r>
              <w:rPr>
                <w:color w:val="105C84"/>
                <w:position w:val="-8"/>
                <w:sz w:val="18"/>
              </w:rPr>
              <w:t>of</w:t>
            </w:r>
            <w:r>
              <w:rPr>
                <w:color w:val="105C84"/>
                <w:spacing w:val="-3"/>
                <w:position w:val="-8"/>
                <w:sz w:val="18"/>
              </w:rPr>
              <w:t> </w:t>
            </w:r>
            <w:r>
              <w:rPr>
                <w:color w:val="105C84"/>
                <w:spacing w:val="-2"/>
                <w:position w:val="-8"/>
                <w:sz w:val="18"/>
              </w:rPr>
              <w:t>health</w:t>
            </w:r>
            <w:r>
              <w:rPr>
                <w:color w:val="105C84"/>
                <w:position w:val="-8"/>
                <w:sz w:val="18"/>
              </w:rPr>
              <w:tab/>
            </w:r>
            <w:r>
              <w:rPr>
                <w:color w:val="105C84"/>
                <w:sz w:val="18"/>
              </w:rPr>
              <w:t>To</w:t>
            </w:r>
            <w:r>
              <w:rPr>
                <w:color w:val="105C84"/>
                <w:spacing w:val="-4"/>
                <w:sz w:val="18"/>
              </w:rPr>
              <w:t> </w:t>
            </w:r>
            <w:r>
              <w:rPr>
                <w:color w:val="105C84"/>
                <w:sz w:val="18"/>
              </w:rPr>
              <w:t>begin</w:t>
            </w:r>
            <w:r>
              <w:rPr>
                <w:color w:val="105C84"/>
                <w:spacing w:val="-4"/>
                <w:sz w:val="18"/>
              </w:rPr>
              <w:t> </w:t>
            </w:r>
            <w:r>
              <w:rPr>
                <w:color w:val="105C84"/>
                <w:spacing w:val="-5"/>
                <w:sz w:val="18"/>
              </w:rPr>
              <w:t>to</w:t>
            </w:r>
          </w:p>
          <w:p>
            <w:pPr>
              <w:pStyle w:val="TableParagraph"/>
              <w:tabs>
                <w:tab w:pos="3827" w:val="left" w:leader="none"/>
              </w:tabs>
              <w:spacing w:line="200" w:lineRule="exact"/>
              <w:ind w:left="94"/>
              <w:rPr>
                <w:position w:val="9"/>
                <w:sz w:val="18"/>
              </w:rPr>
            </w:pPr>
            <w:r>
              <w:rPr>
                <w:color w:val="105C84"/>
                <w:sz w:val="18"/>
              </w:rPr>
              <w:t>department</w:t>
            </w:r>
            <w:r>
              <w:rPr>
                <w:color w:val="105C84"/>
                <w:spacing w:val="23"/>
                <w:sz w:val="18"/>
              </w:rPr>
              <w:t> </w:t>
            </w:r>
            <w:r>
              <w:rPr>
                <w:color w:val="105C84"/>
                <w:spacing w:val="-2"/>
                <w:sz w:val="18"/>
              </w:rPr>
              <w:t>patients</w:t>
            </w:r>
            <w:r>
              <w:rPr>
                <w:color w:val="105C84"/>
                <w:sz w:val="18"/>
              </w:rPr>
              <w:tab/>
            </w:r>
            <w:r>
              <w:rPr>
                <w:color w:val="105C84"/>
                <w:position w:val="9"/>
                <w:sz w:val="18"/>
              </w:rPr>
              <w:t>implement</w:t>
            </w:r>
            <w:r>
              <w:rPr>
                <w:color w:val="105C84"/>
                <w:spacing w:val="20"/>
                <w:position w:val="9"/>
                <w:sz w:val="18"/>
              </w:rPr>
              <w:t> </w:t>
            </w:r>
            <w:r>
              <w:rPr>
                <w:color w:val="105C84"/>
                <w:spacing w:val="-4"/>
                <w:position w:val="9"/>
                <w:sz w:val="18"/>
              </w:rPr>
              <w:t>food</w:t>
            </w:r>
          </w:p>
          <w:p>
            <w:pPr>
              <w:pStyle w:val="TableParagraph"/>
              <w:tabs>
                <w:tab w:pos="3827" w:val="left" w:leader="none"/>
              </w:tabs>
              <w:spacing w:line="148" w:lineRule="auto"/>
              <w:ind w:left="94"/>
              <w:rPr>
                <w:sz w:val="18"/>
              </w:rPr>
            </w:pPr>
            <w:r>
              <w:rPr>
                <w:color w:val="105C84"/>
                <w:spacing w:val="-2"/>
                <w:position w:val="-8"/>
                <w:sz w:val="18"/>
              </w:rPr>
              <w:t>(EI/MCH/Lead.)</w:t>
            </w:r>
            <w:r>
              <w:rPr>
                <w:color w:val="105C84"/>
                <w:position w:val="-8"/>
                <w:sz w:val="18"/>
              </w:rPr>
              <w:tab/>
            </w:r>
            <w:r>
              <w:rPr>
                <w:color w:val="105C84"/>
                <w:spacing w:val="-2"/>
                <w:sz w:val="18"/>
              </w:rPr>
              <w:t>security</w:t>
            </w:r>
            <w:r>
              <w:rPr>
                <w:color w:val="105C84"/>
                <w:spacing w:val="1"/>
                <w:sz w:val="18"/>
              </w:rPr>
              <w:t> </w:t>
            </w:r>
            <w:r>
              <w:rPr>
                <w:color w:val="105C84"/>
                <w:spacing w:val="-2"/>
                <w:sz w:val="18"/>
              </w:rPr>
              <w:t>screening</w:t>
            </w:r>
            <w:r>
              <w:rPr>
                <w:color w:val="105C84"/>
                <w:spacing w:val="2"/>
                <w:sz w:val="18"/>
              </w:rPr>
              <w:t> </w:t>
            </w:r>
            <w:r>
              <w:rPr>
                <w:color w:val="105C84"/>
                <w:spacing w:val="-5"/>
                <w:sz w:val="18"/>
              </w:rPr>
              <w:t>and</w:t>
            </w:r>
          </w:p>
          <w:p>
            <w:pPr>
              <w:pStyle w:val="TableParagraph"/>
              <w:tabs>
                <w:tab w:pos="3827" w:val="left" w:leader="none"/>
              </w:tabs>
              <w:spacing w:line="148" w:lineRule="auto"/>
              <w:ind w:left="94"/>
              <w:rPr>
                <w:sz w:val="18"/>
              </w:rPr>
            </w:pPr>
            <w:r>
              <w:rPr>
                <w:color w:val="105C84"/>
                <w:position w:val="-8"/>
                <w:sz w:val="18"/>
              </w:rPr>
              <w:t>screened</w:t>
            </w:r>
            <w:r>
              <w:rPr>
                <w:color w:val="105C84"/>
                <w:spacing w:val="-8"/>
                <w:position w:val="-8"/>
                <w:sz w:val="18"/>
              </w:rPr>
              <w:t> </w:t>
            </w:r>
            <w:r>
              <w:rPr>
                <w:color w:val="105C84"/>
                <w:position w:val="-8"/>
                <w:sz w:val="18"/>
              </w:rPr>
              <w:t>for</w:t>
            </w:r>
            <w:r>
              <w:rPr>
                <w:color w:val="105C84"/>
                <w:spacing w:val="-8"/>
                <w:position w:val="-8"/>
                <w:sz w:val="18"/>
              </w:rPr>
              <w:t> </w:t>
            </w:r>
            <w:r>
              <w:rPr>
                <w:color w:val="105C84"/>
                <w:spacing w:val="-4"/>
                <w:position w:val="-8"/>
                <w:sz w:val="18"/>
              </w:rPr>
              <w:t>food</w:t>
            </w:r>
            <w:r>
              <w:rPr>
                <w:color w:val="105C84"/>
                <w:position w:val="-8"/>
                <w:sz w:val="18"/>
              </w:rPr>
              <w:tab/>
            </w:r>
            <w:r>
              <w:rPr>
                <w:color w:val="105C84"/>
                <w:sz w:val="18"/>
              </w:rPr>
              <w:t>appropriate</w:t>
            </w:r>
            <w:r>
              <w:rPr>
                <w:color w:val="105C84"/>
                <w:spacing w:val="24"/>
                <w:sz w:val="18"/>
              </w:rPr>
              <w:t> </w:t>
            </w:r>
            <w:r>
              <w:rPr>
                <w:color w:val="105C84"/>
                <w:spacing w:val="-2"/>
                <w:sz w:val="18"/>
              </w:rPr>
              <w:t>referrals</w:t>
            </w:r>
          </w:p>
          <w:p>
            <w:pPr>
              <w:pStyle w:val="TableParagraph"/>
              <w:tabs>
                <w:tab w:pos="3827" w:val="left" w:leader="none"/>
              </w:tabs>
              <w:spacing w:line="148" w:lineRule="auto"/>
              <w:ind w:left="94"/>
              <w:rPr>
                <w:sz w:val="18"/>
              </w:rPr>
            </w:pPr>
            <w:r>
              <w:rPr>
                <w:color w:val="105C84"/>
                <w:spacing w:val="-2"/>
                <w:position w:val="-8"/>
                <w:sz w:val="18"/>
              </w:rPr>
              <w:t>insecurity</w:t>
            </w:r>
            <w:r>
              <w:rPr>
                <w:color w:val="105C84"/>
                <w:position w:val="-8"/>
                <w:sz w:val="18"/>
              </w:rPr>
              <w:tab/>
            </w:r>
            <w:r>
              <w:rPr>
                <w:color w:val="105C84"/>
                <w:spacing w:val="-2"/>
                <w:sz w:val="18"/>
              </w:rPr>
              <w:t>to</w:t>
            </w:r>
            <w:r>
              <w:rPr>
                <w:color w:val="105C84"/>
                <w:spacing w:val="-11"/>
                <w:sz w:val="18"/>
              </w:rPr>
              <w:t> </w:t>
            </w:r>
            <w:r>
              <w:rPr>
                <w:color w:val="105C84"/>
                <w:spacing w:val="-2"/>
                <w:sz w:val="18"/>
              </w:rPr>
              <w:t>access</w:t>
            </w:r>
            <w:r>
              <w:rPr>
                <w:color w:val="105C84"/>
                <w:spacing w:val="-10"/>
                <w:sz w:val="18"/>
              </w:rPr>
              <w:t> </w:t>
            </w:r>
            <w:r>
              <w:rPr>
                <w:color w:val="105C84"/>
                <w:spacing w:val="-4"/>
                <w:sz w:val="18"/>
              </w:rPr>
              <w:t>food</w:t>
            </w:r>
          </w:p>
          <w:p>
            <w:pPr>
              <w:pStyle w:val="TableParagraph"/>
              <w:spacing w:line="145" w:lineRule="exact"/>
              <w:ind w:right="1083"/>
              <w:jc w:val="right"/>
              <w:rPr>
                <w:sz w:val="18"/>
              </w:rPr>
            </w:pPr>
            <w:r>
              <w:rPr>
                <w:color w:val="105C84"/>
                <w:spacing w:val="-2"/>
                <w:sz w:val="18"/>
              </w:rPr>
              <w:t>assistance</w:t>
            </w:r>
          </w:p>
          <w:p>
            <w:pPr>
              <w:pStyle w:val="TableParagraph"/>
              <w:tabs>
                <w:tab w:pos="3827" w:val="left" w:leader="none"/>
              </w:tabs>
              <w:spacing w:line="245" w:lineRule="exact"/>
              <w:ind w:left="94"/>
              <w:rPr>
                <w:sz w:val="18"/>
              </w:rPr>
            </w:pPr>
            <w:r>
              <w:rPr>
                <w:color w:val="105C84"/>
                <w:position w:val="11"/>
                <w:sz w:val="18"/>
              </w:rPr>
              <w:t>#</w:t>
            </w:r>
            <w:r>
              <w:rPr>
                <w:color w:val="105C84"/>
                <w:spacing w:val="-5"/>
                <w:position w:val="11"/>
                <w:sz w:val="18"/>
              </w:rPr>
              <w:t> </w:t>
            </w:r>
            <w:r>
              <w:rPr>
                <w:color w:val="105C84"/>
                <w:position w:val="11"/>
                <w:sz w:val="18"/>
              </w:rPr>
              <w:t>of</w:t>
            </w:r>
            <w:r>
              <w:rPr>
                <w:color w:val="105C84"/>
                <w:spacing w:val="-3"/>
                <w:position w:val="11"/>
                <w:sz w:val="18"/>
              </w:rPr>
              <w:t> </w:t>
            </w:r>
            <w:r>
              <w:rPr>
                <w:color w:val="105C84"/>
                <w:spacing w:val="-2"/>
                <w:position w:val="11"/>
                <w:sz w:val="18"/>
              </w:rPr>
              <w:t>patients</w:t>
            </w:r>
            <w:r>
              <w:rPr>
                <w:color w:val="105C84"/>
                <w:position w:val="11"/>
                <w:sz w:val="18"/>
              </w:rPr>
              <w:tab/>
            </w:r>
            <w:r>
              <w:rPr>
                <w:color w:val="105C84"/>
                <w:sz w:val="18"/>
              </w:rPr>
              <w:t>To</w:t>
            </w:r>
            <w:r>
              <w:rPr>
                <w:color w:val="105C84"/>
                <w:spacing w:val="-11"/>
                <w:sz w:val="18"/>
              </w:rPr>
              <w:t> </w:t>
            </w:r>
            <w:r>
              <w:rPr>
                <w:color w:val="105C84"/>
                <w:sz w:val="18"/>
              </w:rPr>
              <w:t>sponsor</w:t>
            </w:r>
            <w:r>
              <w:rPr>
                <w:color w:val="105C84"/>
                <w:spacing w:val="-11"/>
                <w:sz w:val="18"/>
              </w:rPr>
              <w:t> </w:t>
            </w:r>
            <w:r>
              <w:rPr>
                <w:color w:val="105C84"/>
                <w:sz w:val="18"/>
              </w:rPr>
              <w:t>the</w:t>
            </w:r>
            <w:r>
              <w:rPr>
                <w:color w:val="105C84"/>
                <w:spacing w:val="-11"/>
                <w:sz w:val="18"/>
              </w:rPr>
              <w:t> </w:t>
            </w:r>
            <w:r>
              <w:rPr>
                <w:color w:val="105C84"/>
                <w:spacing w:val="-2"/>
                <w:sz w:val="18"/>
              </w:rPr>
              <w:t>Mobile</w:t>
            </w:r>
          </w:p>
          <w:p>
            <w:pPr>
              <w:pStyle w:val="TableParagraph"/>
              <w:tabs>
                <w:tab w:pos="3827" w:val="left" w:leader="none"/>
              </w:tabs>
              <w:spacing w:line="200" w:lineRule="exact"/>
              <w:ind w:left="94"/>
              <w:rPr>
                <w:sz w:val="18"/>
              </w:rPr>
            </w:pPr>
            <w:r>
              <w:rPr>
                <w:color w:val="105C84"/>
                <w:position w:val="11"/>
                <w:sz w:val="18"/>
              </w:rPr>
              <w:t>screened</w:t>
            </w:r>
            <w:r>
              <w:rPr>
                <w:color w:val="105C84"/>
                <w:spacing w:val="-8"/>
                <w:position w:val="11"/>
                <w:sz w:val="18"/>
              </w:rPr>
              <w:t> </w:t>
            </w:r>
            <w:r>
              <w:rPr>
                <w:color w:val="105C84"/>
                <w:position w:val="11"/>
                <w:sz w:val="18"/>
              </w:rPr>
              <w:t>for</w:t>
            </w:r>
            <w:r>
              <w:rPr>
                <w:color w:val="105C84"/>
                <w:spacing w:val="-8"/>
                <w:position w:val="11"/>
                <w:sz w:val="18"/>
              </w:rPr>
              <w:t> </w:t>
            </w:r>
            <w:r>
              <w:rPr>
                <w:color w:val="105C84"/>
                <w:spacing w:val="-4"/>
                <w:position w:val="11"/>
                <w:sz w:val="18"/>
              </w:rPr>
              <w:t>food</w:t>
            </w:r>
            <w:r>
              <w:rPr>
                <w:color w:val="105C84"/>
                <w:position w:val="11"/>
                <w:sz w:val="18"/>
              </w:rPr>
              <w:tab/>
            </w:r>
            <w:r>
              <w:rPr>
                <w:color w:val="105C84"/>
                <w:sz w:val="18"/>
              </w:rPr>
              <w:t>Market</w:t>
            </w:r>
            <w:r>
              <w:rPr>
                <w:color w:val="105C84"/>
                <w:spacing w:val="1"/>
                <w:sz w:val="18"/>
              </w:rPr>
              <w:t> </w:t>
            </w:r>
            <w:r>
              <w:rPr>
                <w:color w:val="105C84"/>
                <w:sz w:val="18"/>
              </w:rPr>
              <w:t>at</w:t>
            </w:r>
            <w:r>
              <w:rPr>
                <w:color w:val="105C84"/>
                <w:spacing w:val="1"/>
                <w:sz w:val="18"/>
              </w:rPr>
              <w:t> </w:t>
            </w:r>
            <w:r>
              <w:rPr>
                <w:color w:val="105C84"/>
                <w:sz w:val="18"/>
              </w:rPr>
              <w:t>the</w:t>
            </w:r>
            <w:r>
              <w:rPr>
                <w:color w:val="105C84"/>
                <w:spacing w:val="2"/>
                <w:sz w:val="18"/>
              </w:rPr>
              <w:t> </w:t>
            </w:r>
            <w:r>
              <w:rPr>
                <w:color w:val="105C84"/>
                <w:spacing w:val="-2"/>
                <w:sz w:val="18"/>
              </w:rPr>
              <w:t>Senior</w:t>
            </w:r>
          </w:p>
          <w:p>
            <w:pPr>
              <w:pStyle w:val="TableParagraph"/>
              <w:tabs>
                <w:tab w:pos="3827" w:val="left" w:leader="none"/>
              </w:tabs>
              <w:spacing w:line="245" w:lineRule="exact"/>
              <w:ind w:left="94"/>
              <w:rPr>
                <w:sz w:val="18"/>
              </w:rPr>
            </w:pPr>
            <w:r>
              <w:rPr>
                <w:color w:val="105C84"/>
                <w:position w:val="11"/>
                <w:sz w:val="18"/>
              </w:rPr>
              <w:t>insecurity</w:t>
            </w:r>
            <w:r>
              <w:rPr>
                <w:color w:val="105C84"/>
                <w:spacing w:val="-12"/>
                <w:position w:val="11"/>
                <w:sz w:val="18"/>
              </w:rPr>
              <w:t> </w:t>
            </w:r>
            <w:r>
              <w:rPr>
                <w:color w:val="105C84"/>
                <w:spacing w:val="-5"/>
                <w:position w:val="11"/>
                <w:sz w:val="18"/>
              </w:rPr>
              <w:t>and</w:t>
            </w:r>
            <w:r>
              <w:rPr>
                <w:color w:val="105C84"/>
                <w:position w:val="11"/>
                <w:sz w:val="18"/>
              </w:rPr>
              <w:tab/>
            </w:r>
            <w:r>
              <w:rPr>
                <w:color w:val="105C84"/>
                <w:sz w:val="18"/>
              </w:rPr>
              <w:t>Center</w:t>
            </w:r>
            <w:r>
              <w:rPr>
                <w:color w:val="105C84"/>
                <w:spacing w:val="-6"/>
                <w:sz w:val="18"/>
              </w:rPr>
              <w:t> </w:t>
            </w:r>
            <w:r>
              <w:rPr>
                <w:color w:val="105C84"/>
                <w:sz w:val="18"/>
              </w:rPr>
              <w:t>at</w:t>
            </w:r>
            <w:r>
              <w:rPr>
                <w:color w:val="105C84"/>
                <w:spacing w:val="-6"/>
                <w:sz w:val="18"/>
              </w:rPr>
              <w:t> </w:t>
            </w:r>
            <w:r>
              <w:rPr>
                <w:color w:val="105C84"/>
                <w:sz w:val="18"/>
              </w:rPr>
              <w:t>least</w:t>
            </w:r>
            <w:r>
              <w:rPr>
                <w:color w:val="105C84"/>
                <w:spacing w:val="-6"/>
                <w:sz w:val="18"/>
              </w:rPr>
              <w:t> </w:t>
            </w:r>
            <w:r>
              <w:rPr>
                <w:color w:val="105C84"/>
                <w:sz w:val="18"/>
              </w:rPr>
              <w:t>2</w:t>
            </w:r>
            <w:r>
              <w:rPr>
                <w:color w:val="105C84"/>
                <w:spacing w:val="-6"/>
                <w:sz w:val="18"/>
              </w:rPr>
              <w:t> </w:t>
            </w:r>
            <w:r>
              <w:rPr>
                <w:color w:val="105C84"/>
                <w:sz w:val="18"/>
              </w:rPr>
              <w:t>x</w:t>
            </w:r>
            <w:r>
              <w:rPr>
                <w:color w:val="105C84"/>
                <w:spacing w:val="-6"/>
                <w:sz w:val="18"/>
              </w:rPr>
              <w:t> </w:t>
            </w:r>
            <w:r>
              <w:rPr>
                <w:color w:val="105C84"/>
                <w:spacing w:val="-10"/>
                <w:sz w:val="18"/>
              </w:rPr>
              <w:t>a</w:t>
            </w:r>
          </w:p>
          <w:p>
            <w:pPr>
              <w:pStyle w:val="TableParagraph"/>
              <w:tabs>
                <w:tab w:pos="3827" w:val="left" w:leader="none"/>
              </w:tabs>
              <w:spacing w:line="200" w:lineRule="exact"/>
              <w:ind w:left="94"/>
              <w:rPr>
                <w:sz w:val="18"/>
              </w:rPr>
            </w:pPr>
            <w:r>
              <w:rPr>
                <w:color w:val="105C84"/>
                <w:position w:val="2"/>
                <w:sz w:val="18"/>
              </w:rPr>
              <w:t>#</w:t>
            </w:r>
            <w:r>
              <w:rPr>
                <w:color w:val="105C84"/>
                <w:spacing w:val="-13"/>
                <w:position w:val="2"/>
                <w:sz w:val="18"/>
              </w:rPr>
              <w:t> </w:t>
            </w:r>
            <w:r>
              <w:rPr>
                <w:color w:val="105C84"/>
                <w:position w:val="2"/>
                <w:sz w:val="18"/>
              </w:rPr>
              <w:t>of</w:t>
            </w:r>
            <w:r>
              <w:rPr>
                <w:color w:val="105C84"/>
                <w:spacing w:val="-11"/>
                <w:position w:val="2"/>
                <w:sz w:val="18"/>
              </w:rPr>
              <w:t> </w:t>
            </w:r>
            <w:r>
              <w:rPr>
                <w:color w:val="105C84"/>
                <w:position w:val="2"/>
                <w:sz w:val="18"/>
              </w:rPr>
              <w:t>referrals</w:t>
            </w:r>
            <w:r>
              <w:rPr>
                <w:color w:val="105C84"/>
                <w:spacing w:val="-10"/>
                <w:position w:val="2"/>
                <w:sz w:val="18"/>
              </w:rPr>
              <w:t> </w:t>
            </w:r>
            <w:r>
              <w:rPr>
                <w:color w:val="105C84"/>
                <w:spacing w:val="-5"/>
                <w:position w:val="2"/>
                <w:sz w:val="18"/>
              </w:rPr>
              <w:t>by</w:t>
            </w:r>
            <w:r>
              <w:rPr>
                <w:color w:val="105C84"/>
                <w:position w:val="2"/>
                <w:sz w:val="18"/>
              </w:rPr>
              <w:tab/>
            </w:r>
            <w:r>
              <w:rPr>
                <w:color w:val="105C84"/>
                <w:spacing w:val="-4"/>
                <w:sz w:val="18"/>
              </w:rPr>
              <w:t>year</w:t>
            </w:r>
          </w:p>
          <w:p>
            <w:pPr>
              <w:pStyle w:val="TableParagraph"/>
              <w:tabs>
                <w:tab w:pos="3827" w:val="left" w:leader="none"/>
              </w:tabs>
              <w:spacing w:line="245" w:lineRule="exact"/>
              <w:ind w:left="94"/>
              <w:rPr>
                <w:sz w:val="18"/>
              </w:rPr>
            </w:pPr>
            <w:r>
              <w:rPr>
                <w:color w:val="105C84"/>
                <w:position w:val="11"/>
                <w:sz w:val="18"/>
              </w:rPr>
              <w:t>health</w:t>
            </w:r>
            <w:r>
              <w:rPr>
                <w:color w:val="105C84"/>
                <w:spacing w:val="-3"/>
                <w:position w:val="11"/>
                <w:sz w:val="18"/>
              </w:rPr>
              <w:t> </w:t>
            </w:r>
            <w:r>
              <w:rPr>
                <w:color w:val="105C84"/>
                <w:spacing w:val="-2"/>
                <w:position w:val="11"/>
                <w:sz w:val="18"/>
              </w:rPr>
              <w:t>department</w:t>
            </w:r>
            <w:r>
              <w:rPr>
                <w:color w:val="105C84"/>
                <w:position w:val="11"/>
                <w:sz w:val="18"/>
              </w:rPr>
              <w:tab/>
            </w:r>
            <w:r>
              <w:rPr>
                <w:color w:val="105C84"/>
                <w:sz w:val="18"/>
              </w:rPr>
              <w:t>To promote </w:t>
            </w:r>
            <w:r>
              <w:rPr>
                <w:color w:val="105C84"/>
                <w:spacing w:val="-2"/>
                <w:sz w:val="18"/>
              </w:rPr>
              <w:t>farmer's</w:t>
            </w:r>
          </w:p>
          <w:p>
            <w:pPr>
              <w:pStyle w:val="TableParagraph"/>
              <w:tabs>
                <w:tab w:pos="3827" w:val="left" w:leader="none"/>
              </w:tabs>
              <w:spacing w:line="258" w:lineRule="exact"/>
              <w:ind w:left="94"/>
              <w:rPr>
                <w:sz w:val="18"/>
              </w:rPr>
            </w:pPr>
            <w:r>
              <w:rPr>
                <w:color w:val="105C84"/>
                <w:spacing w:val="-2"/>
                <w:position w:val="11"/>
                <w:sz w:val="18"/>
              </w:rPr>
              <w:t>staff</w:t>
            </w:r>
            <w:r>
              <w:rPr>
                <w:color w:val="105C84"/>
                <w:position w:val="11"/>
                <w:sz w:val="18"/>
              </w:rPr>
              <w:tab/>
            </w:r>
            <w:r>
              <w:rPr>
                <w:color w:val="105C84"/>
                <w:sz w:val="18"/>
              </w:rPr>
              <w:t>market</w:t>
            </w:r>
            <w:r>
              <w:rPr>
                <w:color w:val="105C84"/>
                <w:spacing w:val="-4"/>
                <w:sz w:val="18"/>
              </w:rPr>
              <w:t> </w:t>
            </w:r>
            <w:r>
              <w:rPr>
                <w:color w:val="105C84"/>
                <w:spacing w:val="-2"/>
                <w:sz w:val="18"/>
              </w:rPr>
              <w:t>coupons</w:t>
            </w:r>
          </w:p>
        </w:tc>
        <w:tc>
          <w:tcPr>
            <w:tcW w:w="1756" w:type="dxa"/>
          </w:tcPr>
          <w:p>
            <w:pPr>
              <w:pStyle w:val="TableParagraph"/>
              <w:spacing w:line="232" w:lineRule="auto" w:before="98"/>
              <w:ind w:left="95" w:right="128"/>
              <w:rPr>
                <w:sz w:val="18"/>
              </w:rPr>
            </w:pPr>
            <w:r>
              <w:rPr>
                <w:color w:val="105C84"/>
                <w:w w:val="105"/>
                <w:sz w:val="18"/>
              </w:rPr>
              <w:t>To</w:t>
            </w:r>
            <w:r>
              <w:rPr>
                <w:color w:val="105C84"/>
                <w:spacing w:val="-1"/>
                <w:w w:val="105"/>
                <w:sz w:val="18"/>
              </w:rPr>
              <w:t> </w:t>
            </w:r>
            <w:r>
              <w:rPr>
                <w:color w:val="105C84"/>
                <w:w w:val="105"/>
                <w:sz w:val="18"/>
              </w:rPr>
              <w:t>routinely screen for food insecurity</w:t>
            </w:r>
            <w:r>
              <w:rPr>
                <w:color w:val="105C84"/>
                <w:spacing w:val="-1"/>
                <w:w w:val="105"/>
                <w:sz w:val="18"/>
              </w:rPr>
              <w:t> </w:t>
            </w:r>
            <w:r>
              <w:rPr>
                <w:color w:val="105C84"/>
                <w:w w:val="105"/>
                <w:sz w:val="18"/>
              </w:rPr>
              <w:t>and </w:t>
            </w:r>
            <w:r>
              <w:rPr>
                <w:color w:val="105C84"/>
                <w:sz w:val="18"/>
              </w:rPr>
              <w:t>make</w:t>
            </w:r>
            <w:r>
              <w:rPr>
                <w:color w:val="105C84"/>
                <w:spacing w:val="-13"/>
                <w:sz w:val="18"/>
              </w:rPr>
              <w:t> </w:t>
            </w:r>
            <w:r>
              <w:rPr>
                <w:color w:val="105C84"/>
                <w:sz w:val="18"/>
              </w:rPr>
              <w:t>appropriate </w:t>
            </w:r>
            <w:r>
              <w:rPr>
                <w:color w:val="105C84"/>
                <w:w w:val="105"/>
                <w:sz w:val="18"/>
              </w:rPr>
              <w:t>referrals</w:t>
            </w:r>
            <w:r>
              <w:rPr>
                <w:color w:val="105C84"/>
                <w:spacing w:val="-1"/>
                <w:w w:val="105"/>
                <w:sz w:val="18"/>
              </w:rPr>
              <w:t> </w:t>
            </w:r>
            <w:r>
              <w:rPr>
                <w:color w:val="105C84"/>
                <w:w w:val="105"/>
                <w:sz w:val="18"/>
              </w:rPr>
              <w:t>to</w:t>
            </w:r>
          </w:p>
          <w:p>
            <w:pPr>
              <w:pStyle w:val="TableParagraph"/>
              <w:spacing w:line="232" w:lineRule="auto"/>
              <w:ind w:left="95"/>
              <w:rPr>
                <w:sz w:val="18"/>
              </w:rPr>
            </w:pPr>
            <w:r>
              <w:rPr>
                <w:color w:val="105C84"/>
                <w:sz w:val="18"/>
              </w:rPr>
              <w:t>access necessary supplemental </w:t>
            </w:r>
            <w:r>
              <w:rPr>
                <w:color w:val="105C84"/>
                <w:sz w:val="18"/>
              </w:rPr>
              <w:t>food </w:t>
            </w:r>
            <w:r>
              <w:rPr>
                <w:color w:val="105C84"/>
                <w:spacing w:val="-2"/>
                <w:sz w:val="18"/>
              </w:rPr>
              <w:t>resources</w:t>
            </w:r>
          </w:p>
        </w:tc>
        <w:tc>
          <w:tcPr>
            <w:tcW w:w="1756" w:type="dxa"/>
          </w:tcPr>
          <w:p>
            <w:pPr>
              <w:pStyle w:val="TableParagraph"/>
              <w:spacing w:line="232" w:lineRule="auto" w:before="98"/>
              <w:ind w:left="96" w:right="128"/>
              <w:rPr>
                <w:sz w:val="18"/>
              </w:rPr>
            </w:pPr>
            <w:r>
              <w:rPr>
                <w:color w:val="105C84"/>
                <w:w w:val="105"/>
                <w:sz w:val="18"/>
              </w:rPr>
              <w:t>To</w:t>
            </w:r>
            <w:r>
              <w:rPr>
                <w:color w:val="105C84"/>
                <w:spacing w:val="-1"/>
                <w:w w:val="105"/>
                <w:sz w:val="18"/>
              </w:rPr>
              <w:t> </w:t>
            </w:r>
            <w:r>
              <w:rPr>
                <w:color w:val="105C84"/>
                <w:w w:val="105"/>
                <w:sz w:val="18"/>
              </w:rPr>
              <w:t>routinely screen for food insecurity</w:t>
            </w:r>
            <w:r>
              <w:rPr>
                <w:color w:val="105C84"/>
                <w:spacing w:val="-1"/>
                <w:w w:val="105"/>
                <w:sz w:val="18"/>
              </w:rPr>
              <w:t> </w:t>
            </w:r>
            <w:r>
              <w:rPr>
                <w:color w:val="105C84"/>
                <w:w w:val="105"/>
                <w:sz w:val="18"/>
              </w:rPr>
              <w:t>and </w:t>
            </w:r>
            <w:r>
              <w:rPr>
                <w:color w:val="105C84"/>
                <w:sz w:val="18"/>
              </w:rPr>
              <w:t>make</w:t>
            </w:r>
            <w:r>
              <w:rPr>
                <w:color w:val="105C84"/>
                <w:spacing w:val="-13"/>
                <w:sz w:val="18"/>
              </w:rPr>
              <w:t> </w:t>
            </w:r>
            <w:r>
              <w:rPr>
                <w:color w:val="105C84"/>
                <w:sz w:val="18"/>
              </w:rPr>
              <w:t>appropriate </w:t>
            </w:r>
            <w:r>
              <w:rPr>
                <w:color w:val="105C84"/>
                <w:w w:val="105"/>
                <w:sz w:val="18"/>
              </w:rPr>
              <w:t>referrals</w:t>
            </w:r>
            <w:r>
              <w:rPr>
                <w:color w:val="105C84"/>
                <w:spacing w:val="-1"/>
                <w:w w:val="105"/>
                <w:sz w:val="18"/>
              </w:rPr>
              <w:t> </w:t>
            </w:r>
            <w:r>
              <w:rPr>
                <w:color w:val="105C84"/>
                <w:w w:val="105"/>
                <w:sz w:val="18"/>
              </w:rPr>
              <w:t>to</w:t>
            </w:r>
          </w:p>
          <w:p>
            <w:pPr>
              <w:pStyle w:val="TableParagraph"/>
              <w:spacing w:line="232" w:lineRule="auto"/>
              <w:ind w:left="96"/>
              <w:rPr>
                <w:sz w:val="18"/>
              </w:rPr>
            </w:pPr>
            <w:r>
              <w:rPr>
                <w:color w:val="105C84"/>
                <w:sz w:val="18"/>
              </w:rPr>
              <w:t>access necessary supplemental </w:t>
            </w:r>
            <w:r>
              <w:rPr>
                <w:color w:val="105C84"/>
                <w:sz w:val="18"/>
              </w:rPr>
              <w:t>food </w:t>
            </w:r>
            <w:r>
              <w:rPr>
                <w:color w:val="105C84"/>
                <w:spacing w:val="-2"/>
                <w:sz w:val="18"/>
              </w:rPr>
              <w:t>resources</w:t>
            </w:r>
          </w:p>
        </w:tc>
        <w:tc>
          <w:tcPr>
            <w:tcW w:w="1511" w:type="dxa"/>
          </w:tcPr>
          <w:p>
            <w:pPr>
              <w:pStyle w:val="TableParagraph"/>
              <w:spacing w:line="232" w:lineRule="auto" w:before="98"/>
              <w:ind w:left="96"/>
              <w:rPr>
                <w:sz w:val="18"/>
              </w:rPr>
            </w:pPr>
            <w:r>
              <w:rPr>
                <w:color w:val="105C84"/>
                <w:spacing w:val="-2"/>
                <w:sz w:val="18"/>
              </w:rPr>
              <w:t>Community-based organizations</w:t>
            </w:r>
          </w:p>
        </w:tc>
        <w:tc>
          <w:tcPr>
            <w:tcW w:w="3234" w:type="dxa"/>
          </w:tcPr>
          <w:p>
            <w:pPr>
              <w:pStyle w:val="TableParagraph"/>
              <w:spacing w:line="232" w:lineRule="auto" w:before="98"/>
              <w:ind w:left="97" w:right="86"/>
              <w:rPr>
                <w:sz w:val="18"/>
              </w:rPr>
            </w:pPr>
            <w:r>
              <w:rPr>
                <w:color w:val="105C84"/>
                <w:sz w:val="18"/>
              </w:rPr>
              <w:t>.10 RD-The Office for the Aging will conduct</w:t>
            </w:r>
            <w:r>
              <w:rPr>
                <w:color w:val="105C84"/>
                <w:spacing w:val="-4"/>
                <w:sz w:val="18"/>
              </w:rPr>
              <w:t> </w:t>
            </w:r>
            <w:r>
              <w:rPr>
                <w:color w:val="105C84"/>
                <w:sz w:val="18"/>
              </w:rPr>
              <w:t>High</w:t>
            </w:r>
            <w:r>
              <w:rPr>
                <w:color w:val="105C84"/>
                <w:spacing w:val="-4"/>
                <w:sz w:val="18"/>
              </w:rPr>
              <w:t> </w:t>
            </w:r>
            <w:r>
              <w:rPr>
                <w:color w:val="105C84"/>
                <w:sz w:val="18"/>
              </w:rPr>
              <w:t>Nutritional</w:t>
            </w:r>
            <w:r>
              <w:rPr>
                <w:color w:val="105C84"/>
                <w:spacing w:val="-4"/>
                <w:sz w:val="18"/>
              </w:rPr>
              <w:t> </w:t>
            </w:r>
            <w:r>
              <w:rPr>
                <w:color w:val="105C84"/>
                <w:sz w:val="18"/>
              </w:rPr>
              <w:t>Risk</w:t>
            </w:r>
            <w:r>
              <w:rPr>
                <w:color w:val="105C84"/>
                <w:spacing w:val="-4"/>
                <w:sz w:val="18"/>
              </w:rPr>
              <w:t> </w:t>
            </w:r>
            <w:r>
              <w:rPr>
                <w:color w:val="105C84"/>
                <w:sz w:val="18"/>
              </w:rPr>
              <w:t>Screen for</w:t>
            </w:r>
            <w:r>
              <w:rPr>
                <w:color w:val="105C84"/>
                <w:spacing w:val="-4"/>
                <w:sz w:val="18"/>
              </w:rPr>
              <w:t> </w:t>
            </w:r>
            <w:r>
              <w:rPr>
                <w:color w:val="105C84"/>
                <w:sz w:val="18"/>
              </w:rPr>
              <w:t>Seniors</w:t>
            </w:r>
            <w:r>
              <w:rPr>
                <w:color w:val="105C84"/>
                <w:spacing w:val="-4"/>
                <w:sz w:val="18"/>
              </w:rPr>
              <w:t> </w:t>
            </w:r>
            <w:r>
              <w:rPr>
                <w:color w:val="105C84"/>
                <w:sz w:val="18"/>
              </w:rPr>
              <w:t>who</w:t>
            </w:r>
            <w:r>
              <w:rPr>
                <w:color w:val="105C84"/>
                <w:spacing w:val="-4"/>
                <w:sz w:val="18"/>
              </w:rPr>
              <w:t> </w:t>
            </w:r>
            <w:r>
              <w:rPr>
                <w:color w:val="105C84"/>
                <w:sz w:val="18"/>
              </w:rPr>
              <w:t>come</w:t>
            </w:r>
            <w:r>
              <w:rPr>
                <w:color w:val="105C84"/>
                <w:spacing w:val="-4"/>
                <w:sz w:val="18"/>
              </w:rPr>
              <w:t> </w:t>
            </w:r>
            <w:r>
              <w:rPr>
                <w:color w:val="105C84"/>
                <w:sz w:val="18"/>
              </w:rPr>
              <w:t>to</w:t>
            </w:r>
            <w:r>
              <w:rPr>
                <w:color w:val="105C84"/>
                <w:spacing w:val="-4"/>
                <w:sz w:val="18"/>
              </w:rPr>
              <w:t> </w:t>
            </w:r>
            <w:r>
              <w:rPr>
                <w:color w:val="105C84"/>
                <w:sz w:val="18"/>
              </w:rPr>
              <w:t>Congregate</w:t>
            </w:r>
            <w:r>
              <w:rPr>
                <w:color w:val="105C84"/>
                <w:sz w:val="18"/>
              </w:rPr>
              <w:t> </w:t>
            </w:r>
            <w:r>
              <w:rPr>
                <w:color w:val="105C84"/>
                <w:spacing w:val="-2"/>
                <w:sz w:val="18"/>
              </w:rPr>
              <w:t>Meals,</w:t>
            </w:r>
            <w:r>
              <w:rPr>
                <w:color w:val="105C84"/>
                <w:spacing w:val="-13"/>
                <w:sz w:val="18"/>
              </w:rPr>
              <w:t> </w:t>
            </w:r>
            <w:r>
              <w:rPr>
                <w:color w:val="105C84"/>
                <w:spacing w:val="-2"/>
                <w:sz w:val="18"/>
              </w:rPr>
              <w:t>Home</w:t>
            </w:r>
            <w:r>
              <w:rPr>
                <w:color w:val="105C84"/>
                <w:spacing w:val="-10"/>
                <w:sz w:val="18"/>
              </w:rPr>
              <w:t> </w:t>
            </w:r>
            <w:r>
              <w:rPr>
                <w:color w:val="105C84"/>
                <w:spacing w:val="-2"/>
                <w:sz w:val="18"/>
              </w:rPr>
              <w:t>Delivered</w:t>
            </w:r>
            <w:r>
              <w:rPr>
                <w:color w:val="105C84"/>
                <w:spacing w:val="-11"/>
                <w:sz w:val="18"/>
              </w:rPr>
              <w:t> </w:t>
            </w:r>
            <w:r>
              <w:rPr>
                <w:color w:val="105C84"/>
                <w:spacing w:val="-2"/>
                <w:sz w:val="18"/>
              </w:rPr>
              <w:t>Meals,</w:t>
            </w:r>
            <w:r>
              <w:rPr>
                <w:color w:val="105C84"/>
                <w:spacing w:val="-10"/>
                <w:sz w:val="18"/>
              </w:rPr>
              <w:t> </w:t>
            </w:r>
            <w:r>
              <w:rPr>
                <w:color w:val="105C84"/>
                <w:spacing w:val="-2"/>
                <w:sz w:val="18"/>
              </w:rPr>
              <w:t>EISE</w:t>
            </w:r>
            <w:r>
              <w:rPr>
                <w:color w:val="105C84"/>
                <w:spacing w:val="-2"/>
                <w:sz w:val="18"/>
              </w:rPr>
              <w:t>P</w:t>
            </w:r>
            <w:r>
              <w:rPr>
                <w:color w:val="105C84"/>
                <w:spacing w:val="-2"/>
                <w:sz w:val="18"/>
              </w:rPr>
              <w:t> Program</w:t>
            </w:r>
          </w:p>
          <w:p>
            <w:pPr>
              <w:pStyle w:val="TableParagraph"/>
              <w:spacing w:line="232" w:lineRule="auto" w:before="86"/>
              <w:ind w:left="97" w:right="184"/>
              <w:rPr>
                <w:sz w:val="18"/>
              </w:rPr>
            </w:pPr>
            <w:r>
              <w:rPr>
                <w:color w:val="105C84"/>
                <w:sz w:val="18"/>
              </w:rPr>
              <w:t>If</w:t>
            </w:r>
            <w:r>
              <w:rPr>
                <w:color w:val="105C84"/>
                <w:spacing w:val="-13"/>
                <w:sz w:val="18"/>
              </w:rPr>
              <w:t> </w:t>
            </w:r>
            <w:r>
              <w:rPr>
                <w:color w:val="105C84"/>
                <w:sz w:val="18"/>
              </w:rPr>
              <w:t>they</w:t>
            </w:r>
            <w:r>
              <w:rPr>
                <w:color w:val="105C84"/>
                <w:spacing w:val="-12"/>
                <w:sz w:val="18"/>
              </w:rPr>
              <w:t> </w:t>
            </w:r>
            <w:r>
              <w:rPr>
                <w:color w:val="105C84"/>
                <w:sz w:val="18"/>
              </w:rPr>
              <w:t>score</w:t>
            </w:r>
            <w:r>
              <w:rPr>
                <w:color w:val="105C84"/>
                <w:spacing w:val="-13"/>
                <w:sz w:val="18"/>
              </w:rPr>
              <w:t> </w:t>
            </w:r>
            <w:r>
              <w:rPr>
                <w:color w:val="105C84"/>
                <w:sz w:val="18"/>
              </w:rPr>
              <w:t>at</w:t>
            </w:r>
            <w:r>
              <w:rPr>
                <w:color w:val="105C84"/>
                <w:spacing w:val="-12"/>
                <w:sz w:val="18"/>
              </w:rPr>
              <w:t> </w:t>
            </w:r>
            <w:r>
              <w:rPr>
                <w:color w:val="105C84"/>
                <w:sz w:val="18"/>
              </w:rPr>
              <w:t>risk</w:t>
            </w:r>
            <w:r>
              <w:rPr>
                <w:color w:val="105C84"/>
                <w:spacing w:val="-13"/>
                <w:sz w:val="18"/>
              </w:rPr>
              <w:t> </w:t>
            </w:r>
            <w:r>
              <w:rPr>
                <w:color w:val="105C84"/>
                <w:sz w:val="18"/>
              </w:rPr>
              <w:t>a</w:t>
            </w:r>
            <w:r>
              <w:rPr>
                <w:color w:val="105C84"/>
                <w:spacing w:val="-12"/>
                <w:sz w:val="18"/>
              </w:rPr>
              <w:t> </w:t>
            </w:r>
            <w:r>
              <w:rPr>
                <w:color w:val="105C84"/>
                <w:sz w:val="18"/>
              </w:rPr>
              <w:t>referral</w:t>
            </w:r>
            <w:r>
              <w:rPr>
                <w:color w:val="105C84"/>
                <w:spacing w:val="-13"/>
                <w:sz w:val="18"/>
              </w:rPr>
              <w:t> </w:t>
            </w:r>
            <w:r>
              <w:rPr>
                <w:color w:val="105C84"/>
                <w:sz w:val="18"/>
              </w:rPr>
              <w:t>is</w:t>
            </w:r>
            <w:r>
              <w:rPr>
                <w:color w:val="105C84"/>
                <w:spacing w:val="-12"/>
                <w:sz w:val="18"/>
              </w:rPr>
              <w:t> </w:t>
            </w:r>
            <w:r>
              <w:rPr>
                <w:color w:val="105C84"/>
                <w:sz w:val="18"/>
              </w:rPr>
              <w:t>made to the on staff RD for follow up.</w:t>
            </w:r>
          </w:p>
          <w:p>
            <w:pPr>
              <w:pStyle w:val="TableParagraph"/>
              <w:spacing w:line="232" w:lineRule="auto"/>
              <w:ind w:left="97"/>
              <w:rPr>
                <w:sz w:val="18"/>
              </w:rPr>
            </w:pPr>
            <w:r>
              <w:rPr>
                <w:color w:val="105C84"/>
                <w:sz w:val="18"/>
              </w:rPr>
              <w:t>Seneca County Health Department Early</w:t>
            </w:r>
            <w:r>
              <w:rPr>
                <w:color w:val="105C84"/>
                <w:spacing w:val="-12"/>
                <w:sz w:val="18"/>
              </w:rPr>
              <w:t> </w:t>
            </w:r>
            <w:r>
              <w:rPr>
                <w:color w:val="105C84"/>
                <w:sz w:val="18"/>
              </w:rPr>
              <w:t>Intervention</w:t>
            </w:r>
            <w:r>
              <w:rPr>
                <w:color w:val="105C84"/>
                <w:spacing w:val="-12"/>
                <w:sz w:val="18"/>
              </w:rPr>
              <w:t> </w:t>
            </w:r>
            <w:r>
              <w:rPr>
                <w:color w:val="105C84"/>
                <w:sz w:val="18"/>
              </w:rPr>
              <w:t>Service</w:t>
            </w:r>
            <w:r>
              <w:rPr>
                <w:color w:val="105C84"/>
                <w:spacing w:val="-12"/>
                <w:sz w:val="18"/>
              </w:rPr>
              <w:t> </w:t>
            </w:r>
            <w:r>
              <w:rPr>
                <w:color w:val="105C84"/>
                <w:sz w:val="18"/>
              </w:rPr>
              <w:t>Coordinator will screen (.03 FTE) their families for food insecurity and will document </w:t>
            </w:r>
            <w:r>
              <w:rPr>
                <w:color w:val="105C84"/>
                <w:sz w:val="18"/>
              </w:rPr>
              <w:t>and make an appropriate referral</w:t>
            </w:r>
          </w:p>
          <w:p>
            <w:pPr>
              <w:pStyle w:val="TableParagraph"/>
              <w:spacing w:line="232" w:lineRule="auto" w:before="84"/>
              <w:ind w:left="97" w:right="184"/>
              <w:rPr>
                <w:sz w:val="18"/>
              </w:rPr>
            </w:pPr>
            <w:r>
              <w:rPr>
                <w:color w:val="105C84"/>
                <w:sz w:val="18"/>
              </w:rPr>
              <w:t>The Lead Poisoning Prevention Program</w:t>
            </w:r>
            <w:r>
              <w:rPr>
                <w:color w:val="105C84"/>
                <w:spacing w:val="-13"/>
                <w:sz w:val="18"/>
              </w:rPr>
              <w:t> </w:t>
            </w:r>
            <w:r>
              <w:rPr>
                <w:color w:val="105C84"/>
                <w:sz w:val="18"/>
              </w:rPr>
              <w:t>Coordinator</w:t>
            </w:r>
            <w:r>
              <w:rPr>
                <w:color w:val="105C84"/>
                <w:spacing w:val="-12"/>
                <w:sz w:val="18"/>
              </w:rPr>
              <w:t> </w:t>
            </w:r>
            <w:r>
              <w:rPr>
                <w:color w:val="105C84"/>
                <w:sz w:val="18"/>
              </w:rPr>
              <w:t>(.02)FTE)</w:t>
            </w:r>
            <w:r>
              <w:rPr>
                <w:color w:val="105C84"/>
                <w:spacing w:val="-13"/>
                <w:sz w:val="18"/>
              </w:rPr>
              <w:t> </w:t>
            </w:r>
            <w:r>
              <w:rPr>
                <w:color w:val="105C84"/>
                <w:sz w:val="18"/>
              </w:rPr>
              <w:t>will screen families of children with elevated blood lead levels for </w:t>
            </w:r>
            <w:r>
              <w:rPr>
                <w:color w:val="105C84"/>
                <w:sz w:val="18"/>
              </w:rPr>
              <w:t>food </w:t>
            </w:r>
            <w:r>
              <w:rPr>
                <w:color w:val="105C84"/>
                <w:spacing w:val="-2"/>
                <w:sz w:val="18"/>
              </w:rPr>
              <w:t>insecurity</w:t>
            </w:r>
          </w:p>
          <w:p>
            <w:pPr>
              <w:pStyle w:val="TableParagraph"/>
              <w:spacing w:line="232" w:lineRule="auto" w:before="86"/>
              <w:ind w:left="97" w:right="184"/>
              <w:rPr>
                <w:sz w:val="18"/>
              </w:rPr>
            </w:pPr>
            <w:r>
              <w:rPr>
                <w:color w:val="105C84"/>
                <w:sz w:val="18"/>
              </w:rPr>
              <w:t>Families</w:t>
            </w:r>
            <w:r>
              <w:rPr>
                <w:color w:val="105C84"/>
                <w:spacing w:val="-12"/>
                <w:sz w:val="18"/>
              </w:rPr>
              <w:t> </w:t>
            </w:r>
            <w:r>
              <w:rPr>
                <w:color w:val="105C84"/>
                <w:sz w:val="18"/>
              </w:rPr>
              <w:t>who</w:t>
            </w:r>
            <w:r>
              <w:rPr>
                <w:color w:val="105C84"/>
                <w:spacing w:val="-12"/>
                <w:sz w:val="18"/>
              </w:rPr>
              <w:t> </w:t>
            </w:r>
            <w:r>
              <w:rPr>
                <w:color w:val="105C84"/>
                <w:sz w:val="18"/>
              </w:rPr>
              <w:t>screen</w:t>
            </w:r>
            <w:r>
              <w:rPr>
                <w:color w:val="105C84"/>
                <w:spacing w:val="-12"/>
                <w:sz w:val="18"/>
              </w:rPr>
              <w:t> </w:t>
            </w:r>
            <w:r>
              <w:rPr>
                <w:color w:val="105C84"/>
                <w:sz w:val="18"/>
              </w:rPr>
              <w:t>positive</w:t>
            </w:r>
            <w:r>
              <w:rPr>
                <w:color w:val="105C84"/>
                <w:spacing w:val="-12"/>
                <w:sz w:val="18"/>
              </w:rPr>
              <w:t> </w:t>
            </w:r>
            <w:r>
              <w:rPr>
                <w:color w:val="105C84"/>
                <w:sz w:val="18"/>
              </w:rPr>
              <w:t>will</w:t>
            </w:r>
            <w:r>
              <w:rPr>
                <w:color w:val="105C84"/>
                <w:spacing w:val="-12"/>
                <w:sz w:val="18"/>
              </w:rPr>
              <w:t> </w:t>
            </w:r>
            <w:r>
              <w:rPr>
                <w:color w:val="105C84"/>
                <w:sz w:val="18"/>
              </w:rPr>
              <w:t>be </w:t>
            </w:r>
            <w:r>
              <w:rPr>
                <w:color w:val="105C84"/>
                <w:w w:val="105"/>
                <w:sz w:val="18"/>
              </w:rPr>
              <w:t>referred</w:t>
            </w:r>
            <w:r>
              <w:rPr>
                <w:color w:val="105C84"/>
                <w:spacing w:val="-14"/>
                <w:w w:val="105"/>
                <w:sz w:val="18"/>
              </w:rPr>
              <w:t> </w:t>
            </w:r>
            <w:r>
              <w:rPr>
                <w:color w:val="105C84"/>
                <w:w w:val="105"/>
                <w:sz w:val="18"/>
              </w:rPr>
              <w:t>to</w:t>
            </w:r>
            <w:r>
              <w:rPr>
                <w:color w:val="105C84"/>
                <w:spacing w:val="-13"/>
                <w:w w:val="105"/>
                <w:sz w:val="18"/>
              </w:rPr>
              <w:t> </w:t>
            </w:r>
            <w:r>
              <w:rPr>
                <w:color w:val="105C84"/>
                <w:w w:val="105"/>
                <w:sz w:val="18"/>
              </w:rPr>
              <w:t>an</w:t>
            </w:r>
            <w:r>
              <w:rPr>
                <w:color w:val="105C84"/>
                <w:spacing w:val="-13"/>
                <w:w w:val="105"/>
                <w:sz w:val="18"/>
              </w:rPr>
              <w:t> </w:t>
            </w:r>
            <w:r>
              <w:rPr>
                <w:color w:val="105C84"/>
                <w:w w:val="105"/>
                <w:sz w:val="18"/>
              </w:rPr>
              <w:t>appropriate</w:t>
            </w:r>
            <w:r>
              <w:rPr>
                <w:color w:val="105C84"/>
                <w:spacing w:val="-13"/>
                <w:w w:val="105"/>
                <w:sz w:val="18"/>
              </w:rPr>
              <w:t> </w:t>
            </w:r>
            <w:r>
              <w:rPr>
                <w:color w:val="105C84"/>
                <w:w w:val="105"/>
                <w:sz w:val="18"/>
              </w:rPr>
              <w:t>agency/ program and will be provided nutrition</w:t>
            </w:r>
            <w:r>
              <w:rPr>
                <w:color w:val="105C84"/>
                <w:spacing w:val="-1"/>
                <w:w w:val="105"/>
                <w:sz w:val="18"/>
              </w:rPr>
              <w:t> </w:t>
            </w:r>
            <w:r>
              <w:rPr>
                <w:color w:val="105C84"/>
                <w:w w:val="105"/>
                <w:sz w:val="18"/>
              </w:rPr>
              <w:t>education</w:t>
            </w:r>
          </w:p>
        </w:tc>
      </w:tr>
    </w:tbl>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146"/>
        <w:rPr>
          <w:b/>
          <w:sz w:val="26"/>
        </w:rPr>
      </w:pPr>
    </w:p>
    <w:p>
      <w:pPr>
        <w:tabs>
          <w:tab w:pos="23047" w:val="left" w:leader="none"/>
        </w:tabs>
        <w:spacing w:before="0"/>
        <w:ind w:left="0" w:right="0" w:firstLine="0"/>
        <w:jc w:val="left"/>
        <w:rPr>
          <w:b/>
          <w:sz w:val="26"/>
        </w:rPr>
      </w:pPr>
      <w:r>
        <w:rPr>
          <w:position w:val="-4"/>
        </w:rPr>
        <w:drawing>
          <wp:inline distT="0" distB="0" distL="0" distR="0">
            <wp:extent cx="568172" cy="184683"/>
            <wp:effectExtent l="0" t="0" r="0" b="0"/>
            <wp:docPr id="1906" name="Image 1906"/>
            <wp:cNvGraphicFramePr>
              <a:graphicFrameLocks/>
            </wp:cNvGraphicFramePr>
            <a:graphic>
              <a:graphicData uri="http://schemas.openxmlformats.org/drawingml/2006/picture">
                <pic:pic>
                  <pic:nvPicPr>
                    <pic:cNvPr id="1906" name="Image 1906"/>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13"/>
          <w:sz w:val="20"/>
        </w:rPr>
        <w:t> </w:t>
      </w:r>
      <w:r>
        <w:rPr>
          <w:b/>
          <w:color w:val="939598"/>
          <w:w w:val="105"/>
          <w:sz w:val="26"/>
        </w:rPr>
        <w:t>179</w:t>
      </w:r>
      <w:r>
        <w:rPr>
          <w:b/>
          <w:color w:val="939598"/>
          <w:sz w:val="26"/>
        </w:rPr>
        <w:tab/>
      </w:r>
      <w:r>
        <w:rPr>
          <w:b/>
          <w:color w:val="939598"/>
          <w:spacing w:val="-5"/>
          <w:w w:val="105"/>
          <w:sz w:val="26"/>
        </w:rPr>
        <w:t>180</w:t>
      </w:r>
    </w:p>
    <w:p>
      <w:pPr>
        <w:spacing w:after="0"/>
        <w:jc w:val="left"/>
        <w:rPr>
          <w:b/>
          <w:sz w:val="26"/>
        </w:rPr>
        <w:sectPr>
          <w:headerReference w:type="default" r:id="rId255"/>
          <w:pgSz w:w="24480" w:h="15840" w:orient="landscape"/>
          <w:pgMar w:header="0" w:footer="0" w:top="860" w:bottom="0" w:left="0" w:right="720"/>
        </w:sectPr>
      </w:pPr>
    </w:p>
    <w:p>
      <w:pPr>
        <w:spacing w:before="607"/>
        <w:ind w:left="1089" w:right="0" w:firstLine="0"/>
        <w:jc w:val="left"/>
        <w:rPr>
          <w:sz w:val="54"/>
        </w:rPr>
      </w:pPr>
      <w:r>
        <w:rPr>
          <w:sz w:val="54"/>
        </w:rPr>
        <w:drawing>
          <wp:anchor distT="0" distB="0" distL="0" distR="0" allowOverlap="1" layoutInCell="1" locked="0" behindDoc="0" simplePos="0" relativeHeight="15982080">
            <wp:simplePos x="0" y="0"/>
            <wp:positionH relativeFrom="page">
              <wp:posOffset>14981556</wp:posOffset>
            </wp:positionH>
            <wp:positionV relativeFrom="page">
              <wp:posOffset>9668103</wp:posOffset>
            </wp:positionV>
            <wp:extent cx="563245" cy="184683"/>
            <wp:effectExtent l="0" t="0" r="0" b="0"/>
            <wp:wrapNone/>
            <wp:docPr id="1907" name="Image 1907"/>
            <wp:cNvGraphicFramePr>
              <a:graphicFrameLocks/>
            </wp:cNvGraphicFramePr>
            <a:graphic>
              <a:graphicData uri="http://schemas.openxmlformats.org/drawingml/2006/picture">
                <pic:pic>
                  <pic:nvPicPr>
                    <pic:cNvPr id="1907" name="Image 1907"/>
                    <pic:cNvPicPr/>
                  </pic:nvPicPr>
                  <pic:blipFill>
                    <a:blip r:embed="rId38" cstate="print"/>
                    <a:stretch>
                      <a:fillRect/>
                    </a:stretch>
                  </pic:blipFill>
                  <pic:spPr>
                    <a:xfrm>
                      <a:off x="0" y="0"/>
                      <a:ext cx="563245" cy="184683"/>
                    </a:xfrm>
                    <a:prstGeom prst="rect">
                      <a:avLst/>
                    </a:prstGeom>
                  </pic:spPr>
                </pic:pic>
              </a:graphicData>
            </a:graphic>
          </wp:anchor>
        </w:drawing>
      </w:r>
      <w:r>
        <w:rPr>
          <w:sz w:val="54"/>
        </w:rPr>
        <w:drawing>
          <wp:anchor distT="0" distB="0" distL="0" distR="0" allowOverlap="1" layoutInCell="1" locked="0" behindDoc="0" simplePos="0" relativeHeight="15982592">
            <wp:simplePos x="0" y="0"/>
            <wp:positionH relativeFrom="page">
              <wp:posOffset>14227238</wp:posOffset>
            </wp:positionH>
            <wp:positionV relativeFrom="paragraph">
              <wp:posOffset>365759</wp:posOffset>
            </wp:positionV>
            <wp:extent cx="688237" cy="640537"/>
            <wp:effectExtent l="0" t="0" r="0" b="0"/>
            <wp:wrapNone/>
            <wp:docPr id="1908" name="Image 1908"/>
            <wp:cNvGraphicFramePr>
              <a:graphicFrameLocks/>
            </wp:cNvGraphicFramePr>
            <a:graphic>
              <a:graphicData uri="http://schemas.openxmlformats.org/drawingml/2006/picture">
                <pic:pic>
                  <pic:nvPicPr>
                    <pic:cNvPr id="1908" name="Image 1908"/>
                    <pic:cNvPicPr/>
                  </pic:nvPicPr>
                  <pic:blipFill>
                    <a:blip r:embed="rId256" cstate="print"/>
                    <a:stretch>
                      <a:fillRect/>
                    </a:stretch>
                  </pic:blipFill>
                  <pic:spPr>
                    <a:xfrm>
                      <a:off x="0" y="0"/>
                      <a:ext cx="688237" cy="640537"/>
                    </a:xfrm>
                    <a:prstGeom prst="rect">
                      <a:avLst/>
                    </a:prstGeom>
                  </pic:spPr>
                </pic:pic>
              </a:graphicData>
            </a:graphic>
          </wp:anchor>
        </w:drawing>
      </w:r>
      <w:r>
        <w:rPr>
          <w:sz w:val="54"/>
        </w:rPr>
        <w:drawing>
          <wp:anchor distT="0" distB="0" distL="0" distR="0" allowOverlap="1" layoutInCell="1" locked="0" behindDoc="0" simplePos="0" relativeHeight="15983104">
            <wp:simplePos x="0" y="0"/>
            <wp:positionH relativeFrom="page">
              <wp:posOffset>10990759</wp:posOffset>
            </wp:positionH>
            <wp:positionV relativeFrom="paragraph">
              <wp:posOffset>240004</wp:posOffset>
            </wp:positionV>
            <wp:extent cx="1627045" cy="526160"/>
            <wp:effectExtent l="0" t="0" r="0" b="0"/>
            <wp:wrapNone/>
            <wp:docPr id="1909" name="Image 1909"/>
            <wp:cNvGraphicFramePr>
              <a:graphicFrameLocks/>
            </wp:cNvGraphicFramePr>
            <a:graphic>
              <a:graphicData uri="http://schemas.openxmlformats.org/drawingml/2006/picture">
                <pic:pic>
                  <pic:nvPicPr>
                    <pic:cNvPr id="1909" name="Image 1909"/>
                    <pic:cNvPicPr/>
                  </pic:nvPicPr>
                  <pic:blipFill>
                    <a:blip r:embed="rId251" cstate="print"/>
                    <a:stretch>
                      <a:fillRect/>
                    </a:stretch>
                  </pic:blipFill>
                  <pic:spPr>
                    <a:xfrm>
                      <a:off x="0" y="0"/>
                      <a:ext cx="1627045" cy="526160"/>
                    </a:xfrm>
                    <a:prstGeom prst="rect">
                      <a:avLst/>
                    </a:prstGeom>
                  </pic:spPr>
                </pic:pic>
              </a:graphicData>
            </a:graphic>
          </wp:anchor>
        </w:drawing>
      </w:r>
      <w:r>
        <w:rPr>
          <w:sz w:val="54"/>
        </w:rPr>
        <w:drawing>
          <wp:anchor distT="0" distB="0" distL="0" distR="0" allowOverlap="1" layoutInCell="1" locked="0" behindDoc="0" simplePos="0" relativeHeight="15983616">
            <wp:simplePos x="0" y="0"/>
            <wp:positionH relativeFrom="page">
              <wp:posOffset>12714085</wp:posOffset>
            </wp:positionH>
            <wp:positionV relativeFrom="paragraph">
              <wp:posOffset>347004</wp:posOffset>
            </wp:positionV>
            <wp:extent cx="1459113" cy="474391"/>
            <wp:effectExtent l="0" t="0" r="0" b="0"/>
            <wp:wrapNone/>
            <wp:docPr id="1910" name="Image 1910"/>
            <wp:cNvGraphicFramePr>
              <a:graphicFrameLocks/>
            </wp:cNvGraphicFramePr>
            <a:graphic>
              <a:graphicData uri="http://schemas.openxmlformats.org/drawingml/2006/picture">
                <pic:pic>
                  <pic:nvPicPr>
                    <pic:cNvPr id="1910" name="Image 1910"/>
                    <pic:cNvPicPr/>
                  </pic:nvPicPr>
                  <pic:blipFill>
                    <a:blip r:embed="rId257" cstate="print"/>
                    <a:stretch>
                      <a:fillRect/>
                    </a:stretch>
                  </pic:blipFill>
                  <pic:spPr>
                    <a:xfrm>
                      <a:off x="0" y="0"/>
                      <a:ext cx="1459113" cy="474391"/>
                    </a:xfrm>
                    <a:prstGeom prst="rect">
                      <a:avLst/>
                    </a:prstGeom>
                  </pic:spPr>
                </pic:pic>
              </a:graphicData>
            </a:graphic>
          </wp:anchor>
        </w:drawing>
      </w:r>
      <w:r>
        <w:rPr>
          <w:color w:val="636466"/>
          <w:sz w:val="54"/>
        </w:rPr>
        <w:t>Seneca</w:t>
      </w:r>
      <w:r>
        <w:rPr>
          <w:color w:val="636466"/>
          <w:spacing w:val="24"/>
          <w:sz w:val="54"/>
        </w:rPr>
        <w:t> </w:t>
      </w:r>
      <w:r>
        <w:rPr>
          <w:color w:val="636466"/>
          <w:sz w:val="54"/>
        </w:rPr>
        <w:t>County</w:t>
      </w:r>
      <w:r>
        <w:rPr>
          <w:color w:val="636466"/>
          <w:spacing w:val="24"/>
          <w:sz w:val="54"/>
        </w:rPr>
        <w:t> </w:t>
      </w:r>
      <w:r>
        <w:rPr>
          <w:color w:val="636466"/>
          <w:sz w:val="54"/>
        </w:rPr>
        <w:t>Appendix</w:t>
      </w:r>
      <w:r>
        <w:rPr>
          <w:color w:val="636466"/>
          <w:spacing w:val="24"/>
          <w:sz w:val="54"/>
        </w:rPr>
        <w:t> </w:t>
      </w:r>
      <w:r>
        <w:rPr>
          <w:color w:val="636466"/>
          <w:spacing w:val="-10"/>
          <w:sz w:val="54"/>
        </w:rPr>
        <w:t>E</w:t>
      </w:r>
    </w:p>
    <w:p>
      <w:pPr>
        <w:spacing w:before="235"/>
        <w:ind w:left="1089" w:right="0" w:firstLine="0"/>
        <w:jc w:val="left"/>
        <w:rPr>
          <w:b/>
          <w:sz w:val="32"/>
        </w:rPr>
      </w:pPr>
      <w:r>
        <w:rPr>
          <w:b/>
          <w:color w:val="82BF6A"/>
          <w:spacing w:val="-6"/>
          <w:sz w:val="32"/>
        </w:rPr>
        <w:t>PRIORITY:</w:t>
      </w:r>
      <w:r>
        <w:rPr>
          <w:b/>
          <w:color w:val="82BF6A"/>
          <w:spacing w:val="-13"/>
          <w:sz w:val="32"/>
        </w:rPr>
        <w:t> </w:t>
      </w:r>
      <w:r>
        <w:rPr>
          <w:b/>
          <w:color w:val="82BF6A"/>
          <w:spacing w:val="-6"/>
          <w:sz w:val="32"/>
        </w:rPr>
        <w:t>PREVENT</w:t>
      </w:r>
      <w:r>
        <w:rPr>
          <w:b/>
          <w:color w:val="82BF6A"/>
          <w:spacing w:val="-13"/>
          <w:sz w:val="32"/>
        </w:rPr>
        <w:t> </w:t>
      </w:r>
      <w:r>
        <w:rPr>
          <w:b/>
          <w:color w:val="82BF6A"/>
          <w:spacing w:val="-6"/>
          <w:sz w:val="32"/>
        </w:rPr>
        <w:t>CHRONIC</w:t>
      </w:r>
      <w:r>
        <w:rPr>
          <w:b/>
          <w:color w:val="82BF6A"/>
          <w:spacing w:val="-13"/>
          <w:sz w:val="32"/>
        </w:rPr>
        <w:t> </w:t>
      </w:r>
      <w:r>
        <w:rPr>
          <w:b/>
          <w:color w:val="82BF6A"/>
          <w:spacing w:val="-6"/>
          <w:sz w:val="32"/>
        </w:rPr>
        <w:t>DISEASES</w:t>
      </w:r>
    </w:p>
    <w:p>
      <w:pPr>
        <w:pStyle w:val="BodyText"/>
        <w:spacing w:before="8"/>
        <w:rPr>
          <w:b/>
          <w:sz w:val="16"/>
        </w:rPr>
      </w:pPr>
    </w:p>
    <w:tbl>
      <w:tblPr>
        <w:tblW w:w="0" w:type="auto"/>
        <w:jc w:val="left"/>
        <w:tblInd w:w="1099"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921"/>
        <w:gridCol w:w="1353"/>
        <w:gridCol w:w="1670"/>
        <w:gridCol w:w="1605"/>
        <w:gridCol w:w="1159"/>
        <w:gridCol w:w="1735"/>
        <w:gridCol w:w="2780"/>
        <w:gridCol w:w="2908"/>
        <w:gridCol w:w="1757"/>
        <w:gridCol w:w="1584"/>
        <w:gridCol w:w="1498"/>
        <w:gridCol w:w="3336"/>
      </w:tblGrid>
      <w:tr>
        <w:trPr>
          <w:trHeight w:val="930" w:hRule="atLeast"/>
        </w:trPr>
        <w:tc>
          <w:tcPr>
            <w:tcW w:w="921" w:type="dxa"/>
            <w:tcBorders>
              <w:right w:val="single" w:sz="4" w:space="0" w:color="FFFFFF"/>
            </w:tcBorders>
            <w:shd w:val="clear" w:color="auto" w:fill="A7A9AC"/>
          </w:tcPr>
          <w:p>
            <w:pPr>
              <w:pStyle w:val="TableParagraph"/>
              <w:spacing w:before="179"/>
              <w:rPr>
                <w:b/>
                <w:sz w:val="18"/>
              </w:rPr>
            </w:pPr>
          </w:p>
          <w:p>
            <w:pPr>
              <w:pStyle w:val="TableParagraph"/>
              <w:ind w:left="80"/>
              <w:rPr>
                <w:b/>
                <w:sz w:val="18"/>
              </w:rPr>
            </w:pPr>
            <w:r>
              <w:rPr>
                <w:b/>
                <w:color w:val="FFFFFF"/>
                <w:spacing w:val="-2"/>
                <w:sz w:val="18"/>
              </w:rPr>
              <w:t>Priority</w:t>
            </w:r>
          </w:p>
        </w:tc>
        <w:tc>
          <w:tcPr>
            <w:tcW w:w="1353" w:type="dxa"/>
            <w:tcBorders>
              <w:left w:val="single" w:sz="4" w:space="0" w:color="FFFFFF"/>
              <w:right w:val="single" w:sz="4" w:space="0" w:color="FFFFFF"/>
            </w:tcBorders>
            <w:shd w:val="clear" w:color="auto" w:fill="A7A9AC"/>
          </w:tcPr>
          <w:p>
            <w:pPr>
              <w:pStyle w:val="TableParagraph"/>
              <w:spacing w:before="179"/>
              <w:rPr>
                <w:b/>
                <w:sz w:val="18"/>
              </w:rPr>
            </w:pPr>
          </w:p>
          <w:p>
            <w:pPr>
              <w:pStyle w:val="TableParagraph"/>
              <w:ind w:left="80"/>
              <w:rPr>
                <w:b/>
                <w:sz w:val="18"/>
              </w:rPr>
            </w:pPr>
            <w:r>
              <w:rPr>
                <w:b/>
                <w:color w:val="FFFFFF"/>
                <w:w w:val="90"/>
                <w:sz w:val="18"/>
              </w:rPr>
              <w:t>Focus</w:t>
            </w:r>
            <w:r>
              <w:rPr>
                <w:b/>
                <w:color w:val="FFFFFF"/>
                <w:spacing w:val="8"/>
                <w:sz w:val="18"/>
              </w:rPr>
              <w:t> </w:t>
            </w:r>
            <w:r>
              <w:rPr>
                <w:b/>
                <w:color w:val="FFFFFF"/>
                <w:spacing w:val="-4"/>
                <w:sz w:val="18"/>
              </w:rPr>
              <w:t>Area</w:t>
            </w:r>
          </w:p>
        </w:tc>
        <w:tc>
          <w:tcPr>
            <w:tcW w:w="1670" w:type="dxa"/>
            <w:tcBorders>
              <w:left w:val="single" w:sz="4" w:space="0" w:color="FFFFFF"/>
              <w:right w:val="single" w:sz="4" w:space="0" w:color="FFFFFF"/>
            </w:tcBorders>
            <w:shd w:val="clear" w:color="auto" w:fill="A7A9AC"/>
          </w:tcPr>
          <w:p>
            <w:pPr>
              <w:pStyle w:val="TableParagraph"/>
              <w:spacing w:before="179"/>
              <w:rPr>
                <w:b/>
                <w:sz w:val="18"/>
              </w:rPr>
            </w:pPr>
          </w:p>
          <w:p>
            <w:pPr>
              <w:pStyle w:val="TableParagraph"/>
              <w:ind w:left="80"/>
              <w:rPr>
                <w:b/>
                <w:sz w:val="18"/>
              </w:rPr>
            </w:pPr>
            <w:r>
              <w:rPr>
                <w:b/>
                <w:color w:val="FFFFFF"/>
                <w:spacing w:val="-4"/>
                <w:sz w:val="18"/>
              </w:rPr>
              <w:t>Goal</w:t>
            </w:r>
            <w:r>
              <w:rPr>
                <w:b/>
                <w:color w:val="FFFFFF"/>
                <w:spacing w:val="-7"/>
                <w:sz w:val="18"/>
              </w:rPr>
              <w:t> </w:t>
            </w:r>
            <w:r>
              <w:rPr>
                <w:b/>
                <w:color w:val="FFFFFF"/>
                <w:spacing w:val="-4"/>
                <w:sz w:val="18"/>
              </w:rPr>
              <w:t>Focus</w:t>
            </w:r>
            <w:r>
              <w:rPr>
                <w:b/>
                <w:color w:val="FFFFFF"/>
                <w:spacing w:val="-7"/>
                <w:sz w:val="18"/>
              </w:rPr>
              <w:t> </w:t>
            </w:r>
            <w:r>
              <w:rPr>
                <w:b/>
                <w:color w:val="FFFFFF"/>
                <w:spacing w:val="-4"/>
                <w:sz w:val="18"/>
              </w:rPr>
              <w:t>Area</w:t>
            </w:r>
          </w:p>
        </w:tc>
        <w:tc>
          <w:tcPr>
            <w:tcW w:w="1605" w:type="dxa"/>
            <w:tcBorders>
              <w:left w:val="single" w:sz="4" w:space="0" w:color="FFFFFF"/>
              <w:right w:val="single" w:sz="4" w:space="0" w:color="FFFFFF"/>
            </w:tcBorders>
            <w:shd w:val="clear" w:color="auto" w:fill="A7A9AC"/>
          </w:tcPr>
          <w:p>
            <w:pPr>
              <w:pStyle w:val="TableParagraph"/>
              <w:spacing w:before="179"/>
              <w:rPr>
                <w:b/>
                <w:sz w:val="18"/>
              </w:rPr>
            </w:pPr>
          </w:p>
          <w:p>
            <w:pPr>
              <w:pStyle w:val="TableParagraph"/>
              <w:ind w:left="81"/>
              <w:rPr>
                <w:b/>
                <w:sz w:val="18"/>
              </w:rPr>
            </w:pPr>
            <w:r>
              <w:rPr>
                <w:b/>
                <w:color w:val="FFFFFF"/>
                <w:spacing w:val="-2"/>
                <w:sz w:val="18"/>
              </w:rPr>
              <w:t>Objectives</w:t>
            </w:r>
          </w:p>
        </w:tc>
        <w:tc>
          <w:tcPr>
            <w:tcW w:w="1159" w:type="dxa"/>
            <w:tcBorders>
              <w:left w:val="single" w:sz="4" w:space="0" w:color="FFFFFF"/>
              <w:right w:val="single" w:sz="4" w:space="0" w:color="FFFFFF"/>
            </w:tcBorders>
            <w:shd w:val="clear" w:color="auto" w:fill="A7A9AC"/>
          </w:tcPr>
          <w:p>
            <w:pPr>
              <w:pStyle w:val="TableParagraph"/>
              <w:spacing w:before="179"/>
              <w:rPr>
                <w:b/>
                <w:sz w:val="18"/>
              </w:rPr>
            </w:pPr>
          </w:p>
          <w:p>
            <w:pPr>
              <w:pStyle w:val="TableParagraph"/>
              <w:ind w:left="81"/>
              <w:rPr>
                <w:b/>
                <w:sz w:val="18"/>
              </w:rPr>
            </w:pPr>
            <w:r>
              <w:rPr>
                <w:b/>
                <w:color w:val="FFFFFF"/>
                <w:spacing w:val="-2"/>
                <w:sz w:val="18"/>
              </w:rPr>
              <w:t>Disparities</w:t>
            </w:r>
          </w:p>
        </w:tc>
        <w:tc>
          <w:tcPr>
            <w:tcW w:w="1735" w:type="dxa"/>
            <w:tcBorders>
              <w:left w:val="single" w:sz="4" w:space="0" w:color="FFFFFF"/>
              <w:right w:val="single" w:sz="4" w:space="0" w:color="FFFFFF"/>
            </w:tcBorders>
            <w:shd w:val="clear" w:color="auto" w:fill="A7A9AC"/>
          </w:tcPr>
          <w:p>
            <w:pPr>
              <w:pStyle w:val="TableParagraph"/>
              <w:spacing w:before="179"/>
              <w:rPr>
                <w:b/>
                <w:sz w:val="18"/>
              </w:rPr>
            </w:pPr>
          </w:p>
          <w:p>
            <w:pPr>
              <w:pStyle w:val="TableParagraph"/>
              <w:ind w:left="82"/>
              <w:rPr>
                <w:b/>
                <w:sz w:val="18"/>
              </w:rPr>
            </w:pPr>
            <w:r>
              <w:rPr>
                <w:b/>
                <w:color w:val="FFFFFF"/>
                <w:spacing w:val="-2"/>
                <w:sz w:val="18"/>
              </w:rPr>
              <w:t>Interventions</w:t>
            </w:r>
          </w:p>
        </w:tc>
        <w:tc>
          <w:tcPr>
            <w:tcW w:w="2780" w:type="dxa"/>
            <w:tcBorders>
              <w:left w:val="single" w:sz="4" w:space="0" w:color="FFFFFF"/>
              <w:right w:val="nil"/>
            </w:tcBorders>
            <w:shd w:val="clear" w:color="auto" w:fill="A7A9AC"/>
          </w:tcPr>
          <w:p>
            <w:pPr>
              <w:pStyle w:val="TableParagraph"/>
              <w:spacing w:before="179"/>
              <w:rPr>
                <w:b/>
                <w:sz w:val="18"/>
              </w:rPr>
            </w:pPr>
          </w:p>
          <w:p>
            <w:pPr>
              <w:pStyle w:val="TableParagraph"/>
              <w:ind w:left="92"/>
              <w:rPr>
                <w:b/>
                <w:sz w:val="18"/>
              </w:rPr>
            </w:pPr>
            <w:r>
              <w:rPr>
                <w:b/>
                <w:color w:val="FFFFFF"/>
                <w:sz w:val="18"/>
              </w:rPr>
              <w:t>Family</w:t>
            </w:r>
            <w:r>
              <w:rPr>
                <w:b/>
                <w:color w:val="FFFFFF"/>
                <w:spacing w:val="-11"/>
                <w:sz w:val="18"/>
              </w:rPr>
              <w:t> </w:t>
            </w:r>
            <w:r>
              <w:rPr>
                <w:b/>
                <w:color w:val="FFFFFF"/>
                <w:sz w:val="18"/>
              </w:rPr>
              <w:t>of</w:t>
            </w:r>
            <w:r>
              <w:rPr>
                <w:b/>
                <w:color w:val="FFFFFF"/>
                <w:spacing w:val="-10"/>
                <w:sz w:val="18"/>
              </w:rPr>
              <w:t> </w:t>
            </w:r>
            <w:r>
              <w:rPr>
                <w:b/>
                <w:color w:val="FFFFFF"/>
                <w:spacing w:val="-2"/>
                <w:sz w:val="18"/>
              </w:rPr>
              <w:t>Measures</w:t>
            </w:r>
          </w:p>
        </w:tc>
        <w:tc>
          <w:tcPr>
            <w:tcW w:w="2908" w:type="dxa"/>
            <w:tcBorders>
              <w:left w:val="nil"/>
              <w:right w:val="single" w:sz="4" w:space="0" w:color="FFFFFF"/>
            </w:tcBorders>
            <w:shd w:val="clear" w:color="auto" w:fill="A7A9AC"/>
          </w:tcPr>
          <w:p>
            <w:pPr>
              <w:pStyle w:val="TableParagraph"/>
              <w:spacing w:line="232" w:lineRule="auto" w:before="191"/>
              <w:ind w:left="1007"/>
              <w:rPr>
                <w:b/>
                <w:sz w:val="18"/>
              </w:rPr>
            </w:pPr>
            <w:r>
              <w:rPr>
                <w:b/>
                <w:color w:val="FFFFFF"/>
                <w:spacing w:val="-2"/>
                <w:sz w:val="18"/>
              </w:rPr>
              <w:t>Projected</w:t>
            </w:r>
            <w:r>
              <w:rPr>
                <w:b/>
                <w:color w:val="FFFFFF"/>
                <w:spacing w:val="-11"/>
                <w:sz w:val="18"/>
              </w:rPr>
              <w:t> </w:t>
            </w:r>
            <w:r>
              <w:rPr>
                <w:b/>
                <w:color w:val="FFFFFF"/>
                <w:spacing w:val="-2"/>
                <w:sz w:val="18"/>
              </w:rPr>
              <w:t>(or completed)</w:t>
            </w:r>
          </w:p>
          <w:p>
            <w:pPr>
              <w:pStyle w:val="TableParagraph"/>
              <w:spacing w:line="200" w:lineRule="exact"/>
              <w:ind w:left="1007"/>
              <w:rPr>
                <w:b/>
                <w:sz w:val="18"/>
              </w:rPr>
            </w:pPr>
            <w:r>
              <w:rPr>
                <w:b/>
                <w:color w:val="FFFFFF"/>
                <w:sz w:val="18"/>
              </w:rPr>
              <w:t>Year</w:t>
            </w:r>
            <w:r>
              <w:rPr>
                <w:b/>
                <w:color w:val="FFFFFF"/>
                <w:spacing w:val="-8"/>
                <w:sz w:val="18"/>
              </w:rPr>
              <w:t> </w:t>
            </w:r>
            <w:r>
              <w:rPr>
                <w:b/>
                <w:color w:val="FFFFFF"/>
                <w:sz w:val="18"/>
              </w:rPr>
              <w:t>1</w:t>
            </w:r>
            <w:r>
              <w:rPr>
                <w:b/>
                <w:color w:val="FFFFFF"/>
                <w:spacing w:val="-7"/>
                <w:sz w:val="18"/>
              </w:rPr>
              <w:t> </w:t>
            </w:r>
            <w:r>
              <w:rPr>
                <w:b/>
                <w:color w:val="FFFFFF"/>
                <w:spacing w:val="-2"/>
                <w:sz w:val="18"/>
              </w:rPr>
              <w:t>Intervention</w:t>
            </w:r>
          </w:p>
        </w:tc>
        <w:tc>
          <w:tcPr>
            <w:tcW w:w="1757" w:type="dxa"/>
            <w:tcBorders>
              <w:left w:val="single" w:sz="4" w:space="0" w:color="FFFFFF"/>
              <w:right w:val="single" w:sz="4" w:space="0" w:color="FFFFFF"/>
            </w:tcBorders>
            <w:shd w:val="clear" w:color="auto" w:fill="A7A9AC"/>
          </w:tcPr>
          <w:p>
            <w:pPr>
              <w:pStyle w:val="TableParagraph"/>
              <w:spacing w:before="179"/>
              <w:rPr>
                <w:b/>
                <w:sz w:val="18"/>
              </w:rPr>
            </w:pPr>
          </w:p>
          <w:p>
            <w:pPr>
              <w:pStyle w:val="TableParagraph"/>
              <w:ind w:left="82"/>
              <w:rPr>
                <w:b/>
                <w:sz w:val="18"/>
              </w:rPr>
            </w:pPr>
            <w:r>
              <w:rPr>
                <w:b/>
                <w:color w:val="FFFFFF"/>
                <w:spacing w:val="-2"/>
                <w:sz w:val="18"/>
              </w:rPr>
              <w:t>Projected</w:t>
            </w:r>
            <w:r>
              <w:rPr>
                <w:b/>
                <w:color w:val="FFFFFF"/>
                <w:spacing w:val="-6"/>
                <w:sz w:val="18"/>
              </w:rPr>
              <w:t> </w:t>
            </w:r>
            <w:r>
              <w:rPr>
                <w:b/>
                <w:color w:val="FFFFFF"/>
                <w:spacing w:val="-2"/>
                <w:sz w:val="18"/>
              </w:rPr>
              <w:t>Year</w:t>
            </w:r>
            <w:r>
              <w:rPr>
                <w:b/>
                <w:color w:val="FFFFFF"/>
                <w:spacing w:val="-5"/>
                <w:sz w:val="18"/>
              </w:rPr>
              <w:t> </w:t>
            </w:r>
            <w:r>
              <w:rPr>
                <w:b/>
                <w:color w:val="FFFFFF"/>
                <w:spacing w:val="-12"/>
                <w:sz w:val="18"/>
              </w:rPr>
              <w:t>2</w:t>
            </w:r>
          </w:p>
        </w:tc>
        <w:tc>
          <w:tcPr>
            <w:tcW w:w="1584" w:type="dxa"/>
            <w:tcBorders>
              <w:left w:val="single" w:sz="4" w:space="0" w:color="FFFFFF"/>
              <w:right w:val="single" w:sz="4" w:space="0" w:color="FFFFFF"/>
            </w:tcBorders>
            <w:shd w:val="clear" w:color="auto" w:fill="A7A9AC"/>
          </w:tcPr>
          <w:p>
            <w:pPr>
              <w:pStyle w:val="TableParagraph"/>
              <w:spacing w:before="84"/>
              <w:rPr>
                <w:b/>
                <w:sz w:val="18"/>
              </w:rPr>
            </w:pPr>
          </w:p>
          <w:p>
            <w:pPr>
              <w:pStyle w:val="TableParagraph"/>
              <w:spacing w:line="232" w:lineRule="auto"/>
              <w:ind w:left="82" w:right="82"/>
              <w:rPr>
                <w:b/>
                <w:sz w:val="18"/>
              </w:rPr>
            </w:pPr>
            <w:r>
              <w:rPr>
                <w:b/>
                <w:color w:val="FFFFFF"/>
                <w:spacing w:val="-2"/>
                <w:sz w:val="18"/>
              </w:rPr>
              <w:t>Projected</w:t>
            </w:r>
            <w:r>
              <w:rPr>
                <w:b/>
                <w:color w:val="FFFFFF"/>
                <w:spacing w:val="-13"/>
                <w:sz w:val="18"/>
              </w:rPr>
              <w:t> </w:t>
            </w:r>
            <w:r>
              <w:rPr>
                <w:b/>
                <w:color w:val="FFFFFF"/>
                <w:spacing w:val="-2"/>
                <w:sz w:val="18"/>
              </w:rPr>
              <w:t>Year</w:t>
            </w:r>
            <w:r>
              <w:rPr>
                <w:b/>
                <w:color w:val="FFFFFF"/>
                <w:spacing w:val="-10"/>
                <w:sz w:val="18"/>
              </w:rPr>
              <w:t> </w:t>
            </w:r>
            <w:r>
              <w:rPr>
                <w:b/>
                <w:color w:val="FFFFFF"/>
                <w:spacing w:val="-2"/>
                <w:sz w:val="18"/>
              </w:rPr>
              <w:t>3 Interventions</w:t>
            </w:r>
          </w:p>
        </w:tc>
        <w:tc>
          <w:tcPr>
            <w:tcW w:w="1498" w:type="dxa"/>
            <w:tcBorders>
              <w:left w:val="single" w:sz="4" w:space="0" w:color="FFFFFF"/>
            </w:tcBorders>
            <w:shd w:val="clear" w:color="auto" w:fill="A7A9AC"/>
          </w:tcPr>
          <w:p>
            <w:pPr>
              <w:pStyle w:val="TableParagraph"/>
              <w:spacing w:before="84"/>
              <w:rPr>
                <w:b/>
                <w:sz w:val="18"/>
              </w:rPr>
            </w:pPr>
          </w:p>
          <w:p>
            <w:pPr>
              <w:pStyle w:val="TableParagraph"/>
              <w:spacing w:line="232" w:lineRule="auto"/>
              <w:ind w:left="82"/>
              <w:rPr>
                <w:b/>
                <w:sz w:val="18"/>
              </w:rPr>
            </w:pPr>
            <w:r>
              <w:rPr>
                <w:b/>
                <w:color w:val="FFFFFF"/>
                <w:spacing w:val="-2"/>
                <w:sz w:val="18"/>
              </w:rPr>
              <w:t>Implementation Partner</w:t>
            </w:r>
          </w:p>
        </w:tc>
        <w:tc>
          <w:tcPr>
            <w:tcW w:w="3336" w:type="dxa"/>
            <w:shd w:val="clear" w:color="auto" w:fill="A7A9AC"/>
          </w:tcPr>
          <w:p>
            <w:pPr>
              <w:pStyle w:val="TableParagraph"/>
              <w:spacing w:before="179"/>
              <w:rPr>
                <w:b/>
                <w:sz w:val="18"/>
              </w:rPr>
            </w:pPr>
          </w:p>
          <w:p>
            <w:pPr>
              <w:pStyle w:val="TableParagraph"/>
              <w:ind w:left="81"/>
              <w:rPr>
                <w:b/>
                <w:sz w:val="18"/>
              </w:rPr>
            </w:pPr>
            <w:r>
              <w:rPr>
                <w:b/>
                <w:color w:val="FFFFFF"/>
                <w:spacing w:val="-4"/>
                <w:sz w:val="18"/>
              </w:rPr>
              <w:t>Partner</w:t>
            </w:r>
            <w:r>
              <w:rPr>
                <w:b/>
                <w:color w:val="FFFFFF"/>
                <w:spacing w:val="-1"/>
                <w:sz w:val="18"/>
              </w:rPr>
              <w:t> </w:t>
            </w:r>
            <w:r>
              <w:rPr>
                <w:b/>
                <w:color w:val="FFFFFF"/>
                <w:spacing w:val="-4"/>
                <w:sz w:val="18"/>
              </w:rPr>
              <w:t>Role(s)</w:t>
            </w:r>
            <w:r>
              <w:rPr>
                <w:b/>
                <w:color w:val="FFFFFF"/>
                <w:sz w:val="18"/>
              </w:rPr>
              <w:t> </w:t>
            </w:r>
            <w:r>
              <w:rPr>
                <w:b/>
                <w:color w:val="FFFFFF"/>
                <w:spacing w:val="-4"/>
                <w:sz w:val="18"/>
              </w:rPr>
              <w:t>and</w:t>
            </w:r>
            <w:r>
              <w:rPr>
                <w:b/>
                <w:color w:val="FFFFFF"/>
                <w:sz w:val="18"/>
              </w:rPr>
              <w:t> </w:t>
            </w:r>
            <w:r>
              <w:rPr>
                <w:b/>
                <w:color w:val="FFFFFF"/>
                <w:spacing w:val="-4"/>
                <w:sz w:val="18"/>
              </w:rPr>
              <w:t>Resources</w:t>
            </w:r>
          </w:p>
        </w:tc>
      </w:tr>
      <w:tr>
        <w:trPr>
          <w:trHeight w:val="3220" w:hRule="atLeast"/>
        </w:trPr>
        <w:tc>
          <w:tcPr>
            <w:tcW w:w="921" w:type="dxa"/>
            <w:vMerge w:val="restart"/>
            <w:shd w:val="clear" w:color="auto" w:fill="E6E7E8"/>
          </w:tcPr>
          <w:p>
            <w:pPr>
              <w:pStyle w:val="TableParagraph"/>
              <w:spacing w:line="232" w:lineRule="auto" w:before="101"/>
              <w:ind w:left="89" w:right="104"/>
              <w:jc w:val="both"/>
              <w:rPr>
                <w:sz w:val="18"/>
              </w:rPr>
            </w:pPr>
            <w:r>
              <w:rPr>
                <w:color w:val="105C84"/>
                <w:spacing w:val="-2"/>
                <w:sz w:val="18"/>
              </w:rPr>
              <w:t>Prevent Chronic </w:t>
            </w:r>
            <w:r>
              <w:rPr>
                <w:color w:val="105C84"/>
                <w:spacing w:val="-6"/>
                <w:sz w:val="18"/>
              </w:rPr>
              <w:t>Diseases</w:t>
            </w:r>
          </w:p>
        </w:tc>
        <w:tc>
          <w:tcPr>
            <w:tcW w:w="1353" w:type="dxa"/>
            <w:vMerge w:val="restart"/>
          </w:tcPr>
          <w:p>
            <w:pPr>
              <w:pStyle w:val="TableParagraph"/>
              <w:spacing w:line="232" w:lineRule="auto" w:before="101"/>
              <w:ind w:left="90" w:right="360"/>
              <w:jc w:val="both"/>
              <w:rPr>
                <w:sz w:val="18"/>
              </w:rPr>
            </w:pPr>
            <w:r>
              <w:rPr>
                <w:color w:val="105C84"/>
                <w:spacing w:val="-4"/>
                <w:sz w:val="18"/>
              </w:rPr>
              <w:t>Focus</w:t>
            </w:r>
            <w:r>
              <w:rPr>
                <w:color w:val="105C84"/>
                <w:spacing w:val="-9"/>
                <w:sz w:val="18"/>
              </w:rPr>
              <w:t> </w:t>
            </w:r>
            <w:r>
              <w:rPr>
                <w:color w:val="105C84"/>
                <w:spacing w:val="-4"/>
                <w:sz w:val="18"/>
              </w:rPr>
              <w:t>Area </w:t>
            </w:r>
            <w:r>
              <w:rPr>
                <w:color w:val="105C84"/>
                <w:sz w:val="18"/>
              </w:rPr>
              <w:t>3:</w:t>
            </w:r>
            <w:r>
              <w:rPr>
                <w:color w:val="105C84"/>
                <w:spacing w:val="-13"/>
                <w:sz w:val="18"/>
              </w:rPr>
              <w:t> </w:t>
            </w:r>
            <w:r>
              <w:rPr>
                <w:color w:val="105C84"/>
                <w:sz w:val="18"/>
              </w:rPr>
              <w:t>Tobacco </w:t>
            </w:r>
            <w:r>
              <w:rPr>
                <w:color w:val="105C84"/>
                <w:spacing w:val="-2"/>
                <w:sz w:val="18"/>
              </w:rPr>
              <w:t>prevention</w:t>
            </w:r>
          </w:p>
        </w:tc>
        <w:tc>
          <w:tcPr>
            <w:tcW w:w="1670" w:type="dxa"/>
            <w:vMerge w:val="restart"/>
          </w:tcPr>
          <w:p>
            <w:pPr>
              <w:pStyle w:val="TableParagraph"/>
              <w:spacing w:line="232" w:lineRule="auto" w:before="101"/>
              <w:ind w:left="90" w:right="76"/>
              <w:rPr>
                <w:sz w:val="18"/>
              </w:rPr>
            </w:pPr>
            <w:r>
              <w:rPr>
                <w:color w:val="105C84"/>
                <w:spacing w:val="-2"/>
                <w:sz w:val="18"/>
              </w:rPr>
              <w:t>Goal</w:t>
            </w:r>
            <w:r>
              <w:rPr>
                <w:color w:val="105C84"/>
                <w:spacing w:val="-13"/>
                <w:sz w:val="18"/>
              </w:rPr>
              <w:t> </w:t>
            </w:r>
            <w:r>
              <w:rPr>
                <w:color w:val="105C84"/>
                <w:spacing w:val="-2"/>
                <w:sz w:val="18"/>
              </w:rPr>
              <w:t>3.3:</w:t>
            </w:r>
            <w:r>
              <w:rPr>
                <w:color w:val="105C84"/>
                <w:spacing w:val="-10"/>
                <w:sz w:val="18"/>
              </w:rPr>
              <w:t> </w:t>
            </w:r>
            <w:r>
              <w:rPr>
                <w:color w:val="105C84"/>
                <w:spacing w:val="-2"/>
                <w:sz w:val="18"/>
              </w:rPr>
              <w:t>Eliminate </w:t>
            </w:r>
            <w:r>
              <w:rPr>
                <w:color w:val="105C84"/>
                <w:sz w:val="18"/>
              </w:rPr>
              <w:t>exposure to </w:t>
            </w:r>
            <w:r>
              <w:rPr>
                <w:color w:val="105C84"/>
                <w:spacing w:val="-2"/>
                <w:sz w:val="18"/>
              </w:rPr>
              <w:t>secondhand</w:t>
            </w:r>
            <w:r>
              <w:rPr>
                <w:color w:val="105C84"/>
                <w:spacing w:val="40"/>
                <w:sz w:val="18"/>
              </w:rPr>
              <w:t> </w:t>
            </w:r>
            <w:r>
              <w:rPr>
                <w:color w:val="105C84"/>
                <w:spacing w:val="-2"/>
                <w:sz w:val="18"/>
              </w:rPr>
              <w:t>smoke</w:t>
            </w:r>
          </w:p>
        </w:tc>
        <w:tc>
          <w:tcPr>
            <w:tcW w:w="1605" w:type="dxa"/>
          </w:tcPr>
          <w:p>
            <w:pPr>
              <w:pStyle w:val="TableParagraph"/>
              <w:spacing w:line="232" w:lineRule="auto" w:before="101"/>
              <w:ind w:left="91" w:right="276"/>
              <w:rPr>
                <w:sz w:val="18"/>
              </w:rPr>
            </w:pPr>
            <w:r>
              <w:rPr>
                <w:color w:val="105C84"/>
                <w:sz w:val="18"/>
              </w:rPr>
              <w:t>3.3.1</w:t>
            </w:r>
            <w:r>
              <w:rPr>
                <w:color w:val="105C84"/>
                <w:spacing w:val="-13"/>
                <w:sz w:val="18"/>
              </w:rPr>
              <w:t> </w:t>
            </w:r>
            <w:r>
              <w:rPr>
                <w:color w:val="105C84"/>
                <w:sz w:val="18"/>
              </w:rPr>
              <w:t>Decrease the</w:t>
            </w:r>
            <w:r>
              <w:rPr>
                <w:color w:val="105C84"/>
                <w:spacing w:val="-13"/>
                <w:sz w:val="18"/>
              </w:rPr>
              <w:t> </w:t>
            </w:r>
            <w:r>
              <w:rPr>
                <w:color w:val="105C84"/>
                <w:sz w:val="18"/>
              </w:rPr>
              <w:t>percentage</w:t>
            </w:r>
            <w:r>
              <w:rPr>
                <w:color w:val="105C84"/>
                <w:sz w:val="18"/>
              </w:rPr>
              <w:t> of adults (non-smokers)</w:t>
            </w:r>
            <w:r>
              <w:rPr>
                <w:color w:val="105C84"/>
                <w:spacing w:val="-13"/>
                <w:sz w:val="18"/>
              </w:rPr>
              <w:t> </w:t>
            </w:r>
            <w:r>
              <w:rPr>
                <w:color w:val="105C84"/>
                <w:sz w:val="18"/>
              </w:rPr>
              <w:t>living in multi-unit housing who were exposed to secondhand smoke in their </w:t>
            </w:r>
            <w:r>
              <w:rPr>
                <w:color w:val="105C84"/>
                <w:spacing w:val="-2"/>
                <w:sz w:val="18"/>
              </w:rPr>
              <w:t>homes</w:t>
            </w:r>
          </w:p>
        </w:tc>
        <w:tc>
          <w:tcPr>
            <w:tcW w:w="1159" w:type="dxa"/>
          </w:tcPr>
          <w:p>
            <w:pPr>
              <w:pStyle w:val="TableParagraph"/>
              <w:spacing w:before="95"/>
              <w:ind w:left="91"/>
              <w:rPr>
                <w:sz w:val="18"/>
              </w:rPr>
            </w:pPr>
            <w:r>
              <w:rPr>
                <w:color w:val="105C84"/>
                <w:sz w:val="18"/>
              </w:rPr>
              <w:t>Low</w:t>
            </w:r>
            <w:r>
              <w:rPr>
                <w:color w:val="105C84"/>
                <w:spacing w:val="-11"/>
                <w:sz w:val="18"/>
              </w:rPr>
              <w:t> </w:t>
            </w:r>
            <w:r>
              <w:rPr>
                <w:color w:val="105C84"/>
                <w:spacing w:val="-5"/>
                <w:sz w:val="18"/>
              </w:rPr>
              <w:t>SES</w:t>
            </w:r>
          </w:p>
        </w:tc>
        <w:tc>
          <w:tcPr>
            <w:tcW w:w="1735" w:type="dxa"/>
          </w:tcPr>
          <w:p>
            <w:pPr>
              <w:pStyle w:val="TableParagraph"/>
              <w:spacing w:line="232" w:lineRule="auto" w:before="101"/>
              <w:ind w:left="91" w:right="100"/>
              <w:rPr>
                <w:sz w:val="18"/>
              </w:rPr>
            </w:pPr>
            <w:r>
              <w:rPr>
                <w:color w:val="105C84"/>
                <w:sz w:val="18"/>
              </w:rPr>
              <w:t>3.3.1 Promote smoke-free and aerosol-free (from electronic vapor products) policies in multi-unit housing, including </w:t>
            </w:r>
            <w:r>
              <w:rPr>
                <w:color w:val="105C84"/>
                <w:spacing w:val="-2"/>
                <w:sz w:val="18"/>
              </w:rPr>
              <w:t>apartment complexes, </w:t>
            </w:r>
            <w:r>
              <w:rPr>
                <w:color w:val="105C84"/>
                <w:sz w:val="18"/>
              </w:rPr>
              <w:t>condominiums</w:t>
            </w:r>
            <w:r>
              <w:rPr>
                <w:color w:val="105C84"/>
                <w:spacing w:val="-13"/>
                <w:sz w:val="18"/>
              </w:rPr>
              <w:t> </w:t>
            </w:r>
            <w:r>
              <w:rPr>
                <w:color w:val="105C84"/>
                <w:sz w:val="18"/>
              </w:rPr>
              <w:t>and</w:t>
            </w:r>
            <w:r>
              <w:rPr>
                <w:color w:val="105C84"/>
                <w:sz w:val="18"/>
              </w:rPr>
              <w:t> co-ops, especially those that house low-SES residents</w:t>
            </w:r>
          </w:p>
        </w:tc>
        <w:tc>
          <w:tcPr>
            <w:tcW w:w="2780" w:type="dxa"/>
            <w:tcBorders>
              <w:right w:val="nil"/>
            </w:tcBorders>
          </w:tcPr>
          <w:p>
            <w:pPr>
              <w:pStyle w:val="TableParagraph"/>
              <w:spacing w:line="232" w:lineRule="auto" w:before="100"/>
              <w:ind w:left="92" w:right="1269"/>
              <w:jc w:val="both"/>
              <w:rPr>
                <w:sz w:val="18"/>
              </w:rPr>
            </w:pPr>
            <w:r>
              <w:rPr>
                <w:color w:val="105C84"/>
                <w:sz w:val="18"/>
              </w:rPr>
              <w:t>#</w:t>
            </w:r>
            <w:r>
              <w:rPr>
                <w:color w:val="105C84"/>
                <w:spacing w:val="-13"/>
                <w:sz w:val="18"/>
              </w:rPr>
              <w:t> </w:t>
            </w:r>
            <w:r>
              <w:rPr>
                <w:color w:val="105C84"/>
                <w:sz w:val="18"/>
              </w:rPr>
              <w:t>of</w:t>
            </w:r>
            <w:r>
              <w:rPr>
                <w:color w:val="105C84"/>
                <w:spacing w:val="-12"/>
                <w:sz w:val="18"/>
              </w:rPr>
              <w:t> </w:t>
            </w:r>
            <w:r>
              <w:rPr>
                <w:color w:val="105C84"/>
                <w:sz w:val="18"/>
              </w:rPr>
              <w:t>housing</w:t>
            </w:r>
            <w:r>
              <w:rPr>
                <w:color w:val="105C84"/>
                <w:spacing w:val="-13"/>
                <w:sz w:val="18"/>
              </w:rPr>
              <w:t> </w:t>
            </w:r>
            <w:r>
              <w:rPr>
                <w:color w:val="105C84"/>
                <w:sz w:val="18"/>
              </w:rPr>
              <w:t>units that</w:t>
            </w:r>
            <w:r>
              <w:rPr>
                <w:color w:val="105C84"/>
                <w:spacing w:val="-4"/>
                <w:sz w:val="18"/>
              </w:rPr>
              <w:t> </w:t>
            </w:r>
            <w:r>
              <w:rPr>
                <w:color w:val="105C84"/>
                <w:sz w:val="18"/>
              </w:rPr>
              <w:t>adopt</w:t>
            </w:r>
            <w:r>
              <w:rPr>
                <w:color w:val="105C84"/>
                <w:spacing w:val="-4"/>
                <w:sz w:val="18"/>
              </w:rPr>
              <w:t> </w:t>
            </w:r>
            <w:r>
              <w:rPr>
                <w:color w:val="105C84"/>
                <w:sz w:val="18"/>
              </w:rPr>
              <w:t>smoke free policies</w:t>
            </w:r>
          </w:p>
        </w:tc>
        <w:tc>
          <w:tcPr>
            <w:tcW w:w="2908" w:type="dxa"/>
            <w:tcBorders>
              <w:left w:val="nil"/>
            </w:tcBorders>
          </w:tcPr>
          <w:p>
            <w:pPr>
              <w:pStyle w:val="TableParagraph"/>
              <w:spacing w:line="232" w:lineRule="auto" w:before="100"/>
              <w:ind w:left="1007" w:right="92"/>
              <w:rPr>
                <w:sz w:val="18"/>
              </w:rPr>
            </w:pPr>
            <w:r>
              <w:rPr>
                <w:color w:val="105C84"/>
                <w:sz w:val="18"/>
              </w:rPr>
              <w:t>To work with TACFL, Seneca County Housing</w:t>
            </w:r>
            <w:r>
              <w:rPr>
                <w:color w:val="105C84"/>
                <w:spacing w:val="-4"/>
                <w:sz w:val="18"/>
              </w:rPr>
              <w:t> </w:t>
            </w:r>
            <w:r>
              <w:rPr>
                <w:color w:val="105C84"/>
                <w:sz w:val="18"/>
              </w:rPr>
              <w:t>Authority</w:t>
            </w:r>
            <w:r>
              <w:rPr>
                <w:color w:val="105C84"/>
                <w:spacing w:val="-4"/>
                <w:sz w:val="18"/>
              </w:rPr>
              <w:t> </w:t>
            </w:r>
            <w:r>
              <w:rPr>
                <w:color w:val="105C84"/>
                <w:sz w:val="18"/>
              </w:rPr>
              <w:t>and Finger</w:t>
            </w:r>
            <w:r>
              <w:rPr>
                <w:color w:val="105C84"/>
                <w:spacing w:val="-15"/>
                <w:sz w:val="18"/>
              </w:rPr>
              <w:t> </w:t>
            </w:r>
            <w:r>
              <w:rPr>
                <w:color w:val="105C84"/>
                <w:sz w:val="18"/>
              </w:rPr>
              <w:t>Lakes</w:t>
            </w:r>
            <w:r>
              <w:rPr>
                <w:color w:val="105C84"/>
                <w:spacing w:val="-12"/>
                <w:sz w:val="18"/>
              </w:rPr>
              <w:t> </w:t>
            </w:r>
            <w:r>
              <w:rPr>
                <w:color w:val="105C84"/>
                <w:sz w:val="18"/>
              </w:rPr>
              <w:t>Landlord Association to increase the number</w:t>
            </w:r>
            <w:r>
              <w:rPr>
                <w:color w:val="105C84"/>
                <w:spacing w:val="40"/>
                <w:sz w:val="18"/>
              </w:rPr>
              <w:t> </w:t>
            </w:r>
            <w:r>
              <w:rPr>
                <w:color w:val="105C84"/>
                <w:sz w:val="18"/>
              </w:rPr>
              <w:t>of multi-unit housing complexes to adopt smoke free housing </w:t>
            </w:r>
            <w:r>
              <w:rPr>
                <w:color w:val="105C84"/>
                <w:spacing w:val="-2"/>
                <w:sz w:val="18"/>
              </w:rPr>
              <w:t>policies</w:t>
            </w:r>
          </w:p>
        </w:tc>
        <w:tc>
          <w:tcPr>
            <w:tcW w:w="1757" w:type="dxa"/>
          </w:tcPr>
          <w:p>
            <w:pPr>
              <w:pStyle w:val="TableParagraph"/>
              <w:spacing w:line="232" w:lineRule="auto" w:before="100"/>
              <w:ind w:left="92" w:right="88"/>
              <w:rPr>
                <w:sz w:val="18"/>
              </w:rPr>
            </w:pPr>
            <w:r>
              <w:rPr>
                <w:color w:val="105C84"/>
                <w:sz w:val="18"/>
              </w:rPr>
              <w:t>To provide</w:t>
            </w:r>
            <w:r>
              <w:rPr>
                <w:color w:val="105C84"/>
                <w:spacing w:val="40"/>
                <w:sz w:val="18"/>
              </w:rPr>
              <w:t> </w:t>
            </w:r>
            <w:r>
              <w:rPr>
                <w:color w:val="105C84"/>
                <w:sz w:val="18"/>
              </w:rPr>
              <w:t>outreach and education to landlords and managers about</w:t>
            </w:r>
            <w:r>
              <w:rPr>
                <w:color w:val="105C84"/>
                <w:spacing w:val="40"/>
                <w:sz w:val="18"/>
              </w:rPr>
              <w:t> </w:t>
            </w:r>
            <w:r>
              <w:rPr>
                <w:color w:val="105C84"/>
                <w:sz w:val="18"/>
              </w:rPr>
              <w:t>the benefits of smoke</w:t>
            </w:r>
            <w:r>
              <w:rPr>
                <w:color w:val="105C84"/>
                <w:spacing w:val="-15"/>
                <w:sz w:val="18"/>
              </w:rPr>
              <w:t> </w:t>
            </w:r>
            <w:r>
              <w:rPr>
                <w:color w:val="105C84"/>
                <w:sz w:val="18"/>
              </w:rPr>
              <w:t>free</w:t>
            </w:r>
            <w:r>
              <w:rPr>
                <w:color w:val="105C84"/>
                <w:spacing w:val="-12"/>
                <w:sz w:val="18"/>
              </w:rPr>
              <w:t> </w:t>
            </w:r>
            <w:r>
              <w:rPr>
                <w:color w:val="105C84"/>
                <w:sz w:val="18"/>
              </w:rPr>
              <w:t>housing </w:t>
            </w:r>
            <w:r>
              <w:rPr>
                <w:color w:val="105C84"/>
                <w:spacing w:val="-2"/>
                <w:sz w:val="18"/>
              </w:rPr>
              <w:t>policies</w:t>
            </w:r>
          </w:p>
          <w:p>
            <w:pPr>
              <w:pStyle w:val="TableParagraph"/>
              <w:spacing w:line="232" w:lineRule="auto" w:before="84"/>
              <w:ind w:left="92" w:right="94"/>
              <w:rPr>
                <w:sz w:val="18"/>
              </w:rPr>
            </w:pPr>
            <w:r>
              <w:rPr>
                <w:color w:val="105C84"/>
                <w:sz w:val="18"/>
              </w:rPr>
              <w:t>At</w:t>
            </w:r>
            <w:r>
              <w:rPr>
                <w:color w:val="105C84"/>
                <w:spacing w:val="-5"/>
                <w:sz w:val="18"/>
              </w:rPr>
              <w:t> </w:t>
            </w:r>
            <w:r>
              <w:rPr>
                <w:color w:val="105C84"/>
                <w:sz w:val="18"/>
              </w:rPr>
              <w:t>least</w:t>
            </w:r>
            <w:r>
              <w:rPr>
                <w:color w:val="105C84"/>
                <w:spacing w:val="-5"/>
                <w:sz w:val="18"/>
              </w:rPr>
              <w:t> </w:t>
            </w:r>
            <w:r>
              <w:rPr>
                <w:color w:val="105C84"/>
                <w:sz w:val="18"/>
              </w:rPr>
              <w:t>1</w:t>
            </w:r>
            <w:r>
              <w:rPr>
                <w:color w:val="105C84"/>
                <w:spacing w:val="-5"/>
                <w:sz w:val="18"/>
              </w:rPr>
              <w:t> </w:t>
            </w:r>
            <w:r>
              <w:rPr>
                <w:color w:val="105C84"/>
                <w:sz w:val="18"/>
              </w:rPr>
              <w:t>multi-</w:t>
            </w:r>
            <w:r>
              <w:rPr>
                <w:color w:val="105C84"/>
                <w:sz w:val="18"/>
              </w:rPr>
              <w:t>unit housing complex will adopt a smoke free policy</w:t>
            </w:r>
          </w:p>
        </w:tc>
        <w:tc>
          <w:tcPr>
            <w:tcW w:w="1584" w:type="dxa"/>
          </w:tcPr>
          <w:p>
            <w:pPr>
              <w:pStyle w:val="TableParagraph"/>
              <w:spacing w:line="232" w:lineRule="auto" w:before="100"/>
              <w:ind w:left="91" w:right="82"/>
              <w:rPr>
                <w:sz w:val="18"/>
              </w:rPr>
            </w:pPr>
            <w:r>
              <w:rPr>
                <w:color w:val="105C84"/>
                <w:sz w:val="18"/>
              </w:rPr>
              <w:t>At</w:t>
            </w:r>
            <w:r>
              <w:rPr>
                <w:color w:val="105C84"/>
                <w:spacing w:val="-9"/>
                <w:sz w:val="18"/>
              </w:rPr>
              <w:t> </w:t>
            </w:r>
            <w:r>
              <w:rPr>
                <w:color w:val="105C84"/>
                <w:sz w:val="18"/>
              </w:rPr>
              <w:t>least</w:t>
            </w:r>
            <w:r>
              <w:rPr>
                <w:color w:val="105C84"/>
                <w:spacing w:val="-9"/>
                <w:sz w:val="18"/>
              </w:rPr>
              <w:t> </w:t>
            </w:r>
            <w:r>
              <w:rPr>
                <w:color w:val="105C84"/>
                <w:sz w:val="18"/>
              </w:rPr>
              <w:t>1</w:t>
            </w:r>
            <w:r>
              <w:rPr>
                <w:color w:val="105C84"/>
                <w:spacing w:val="-9"/>
                <w:sz w:val="18"/>
              </w:rPr>
              <w:t> </w:t>
            </w:r>
            <w:r>
              <w:rPr>
                <w:color w:val="105C84"/>
                <w:sz w:val="18"/>
              </w:rPr>
              <w:t>multi-unit housing complex will adopt a smoke free policy</w:t>
            </w:r>
          </w:p>
        </w:tc>
        <w:tc>
          <w:tcPr>
            <w:tcW w:w="1498" w:type="dxa"/>
          </w:tcPr>
          <w:p>
            <w:pPr>
              <w:pStyle w:val="TableParagraph"/>
              <w:spacing w:before="95"/>
              <w:ind w:left="91"/>
              <w:rPr>
                <w:sz w:val="18"/>
              </w:rPr>
            </w:pPr>
            <w:r>
              <w:rPr>
                <w:color w:val="105C84"/>
                <w:spacing w:val="-2"/>
                <w:sz w:val="18"/>
              </w:rPr>
              <w:t>Housing</w:t>
            </w:r>
          </w:p>
        </w:tc>
        <w:tc>
          <w:tcPr>
            <w:tcW w:w="3336" w:type="dxa"/>
          </w:tcPr>
          <w:p>
            <w:pPr>
              <w:pStyle w:val="TableParagraph"/>
              <w:spacing w:line="232" w:lineRule="auto" w:before="100"/>
              <w:ind w:left="91" w:right="235"/>
              <w:rPr>
                <w:sz w:val="18"/>
              </w:rPr>
            </w:pPr>
            <w:r>
              <w:rPr>
                <w:color w:val="105C84"/>
                <w:spacing w:val="-2"/>
                <w:sz w:val="18"/>
              </w:rPr>
              <w:t>TACFL</w:t>
            </w:r>
            <w:r>
              <w:rPr>
                <w:color w:val="105C84"/>
                <w:spacing w:val="-11"/>
                <w:sz w:val="18"/>
              </w:rPr>
              <w:t> </w:t>
            </w:r>
            <w:r>
              <w:rPr>
                <w:color w:val="105C84"/>
                <w:spacing w:val="-2"/>
                <w:sz w:val="18"/>
              </w:rPr>
              <w:t>.015</w:t>
            </w:r>
            <w:r>
              <w:rPr>
                <w:color w:val="105C84"/>
                <w:spacing w:val="-10"/>
                <w:sz w:val="18"/>
              </w:rPr>
              <w:t> </w:t>
            </w:r>
            <w:r>
              <w:rPr>
                <w:color w:val="105C84"/>
                <w:spacing w:val="-2"/>
                <w:sz w:val="18"/>
              </w:rPr>
              <w:t>and</w:t>
            </w:r>
            <w:r>
              <w:rPr>
                <w:color w:val="105C84"/>
                <w:spacing w:val="-11"/>
                <w:sz w:val="18"/>
              </w:rPr>
              <w:t> </w:t>
            </w:r>
            <w:r>
              <w:rPr>
                <w:color w:val="105C84"/>
                <w:spacing w:val="-2"/>
                <w:sz w:val="18"/>
              </w:rPr>
              <w:t>.05</w:t>
            </w:r>
            <w:r>
              <w:rPr>
                <w:color w:val="105C84"/>
                <w:spacing w:val="-10"/>
                <w:sz w:val="18"/>
              </w:rPr>
              <w:t> </w:t>
            </w:r>
            <w:r>
              <w:rPr>
                <w:color w:val="105C84"/>
                <w:spacing w:val="-2"/>
                <w:sz w:val="18"/>
              </w:rPr>
              <w:t>of</w:t>
            </w:r>
            <w:r>
              <w:rPr>
                <w:color w:val="105C84"/>
                <w:spacing w:val="-11"/>
                <w:sz w:val="18"/>
              </w:rPr>
              <w:t> </w:t>
            </w:r>
            <w:r>
              <w:rPr>
                <w:color w:val="105C84"/>
                <w:spacing w:val="-2"/>
                <w:sz w:val="18"/>
              </w:rPr>
              <w:t>Seneca</w:t>
            </w:r>
            <w:r>
              <w:rPr>
                <w:color w:val="105C84"/>
                <w:spacing w:val="-11"/>
                <w:sz w:val="18"/>
              </w:rPr>
              <w:t> </w:t>
            </w:r>
            <w:r>
              <w:rPr>
                <w:color w:val="105C84"/>
                <w:spacing w:val="-2"/>
                <w:sz w:val="18"/>
              </w:rPr>
              <w:t>County </w:t>
            </w:r>
            <w:r>
              <w:rPr>
                <w:color w:val="105C84"/>
                <w:sz w:val="18"/>
              </w:rPr>
              <w:t>Health Department health educators, TACFL representative and STEPS representative will form a sub-committee to work on smoke free housing initiatives in Seneca County</w:t>
            </w:r>
          </w:p>
          <w:p>
            <w:pPr>
              <w:pStyle w:val="TableParagraph"/>
              <w:spacing w:line="232" w:lineRule="auto" w:before="85"/>
              <w:ind w:left="91"/>
              <w:rPr>
                <w:sz w:val="18"/>
              </w:rPr>
            </w:pPr>
            <w:r>
              <w:rPr>
                <w:color w:val="105C84"/>
                <w:sz w:val="18"/>
              </w:rPr>
              <w:t>A</w:t>
            </w:r>
            <w:r>
              <w:rPr>
                <w:color w:val="105C84"/>
                <w:spacing w:val="-4"/>
                <w:sz w:val="18"/>
              </w:rPr>
              <w:t> </w:t>
            </w:r>
            <w:r>
              <w:rPr>
                <w:color w:val="105C84"/>
                <w:sz w:val="18"/>
              </w:rPr>
              <w:t>landlord</w:t>
            </w:r>
            <w:r>
              <w:rPr>
                <w:color w:val="105C84"/>
                <w:spacing w:val="-4"/>
                <w:sz w:val="18"/>
              </w:rPr>
              <w:t> </w:t>
            </w:r>
            <w:r>
              <w:rPr>
                <w:color w:val="105C84"/>
                <w:sz w:val="18"/>
              </w:rPr>
              <w:t>and</w:t>
            </w:r>
            <w:r>
              <w:rPr>
                <w:color w:val="105C84"/>
                <w:spacing w:val="-4"/>
                <w:sz w:val="18"/>
              </w:rPr>
              <w:t> </w:t>
            </w:r>
            <w:r>
              <w:rPr>
                <w:color w:val="105C84"/>
                <w:sz w:val="18"/>
              </w:rPr>
              <w:t>tenant</w:t>
            </w:r>
            <w:r>
              <w:rPr>
                <w:color w:val="105C84"/>
                <w:spacing w:val="-4"/>
                <w:sz w:val="18"/>
              </w:rPr>
              <w:t> </w:t>
            </w:r>
            <w:r>
              <w:rPr>
                <w:color w:val="105C84"/>
                <w:sz w:val="18"/>
              </w:rPr>
              <w:t>survey</w:t>
            </w:r>
            <w:r>
              <w:rPr>
                <w:color w:val="105C84"/>
                <w:spacing w:val="-4"/>
                <w:sz w:val="18"/>
              </w:rPr>
              <w:t> </w:t>
            </w:r>
            <w:r>
              <w:rPr>
                <w:color w:val="105C84"/>
                <w:sz w:val="18"/>
              </w:rPr>
              <w:t>will</w:t>
            </w:r>
            <w:r>
              <w:rPr>
                <w:color w:val="105C84"/>
                <w:spacing w:val="-4"/>
                <w:sz w:val="18"/>
              </w:rPr>
              <w:t> </w:t>
            </w:r>
            <w:r>
              <w:rPr>
                <w:color w:val="105C84"/>
                <w:sz w:val="18"/>
              </w:rPr>
              <w:t>be </w:t>
            </w:r>
            <w:r>
              <w:rPr>
                <w:color w:val="105C84"/>
                <w:spacing w:val="-2"/>
                <w:sz w:val="18"/>
              </w:rPr>
              <w:t>developed</w:t>
            </w:r>
          </w:p>
          <w:p>
            <w:pPr>
              <w:pStyle w:val="TableParagraph"/>
              <w:spacing w:line="232" w:lineRule="auto" w:before="89"/>
              <w:ind w:left="91" w:right="93"/>
              <w:rPr>
                <w:sz w:val="18"/>
              </w:rPr>
            </w:pPr>
            <w:r>
              <w:rPr>
                <w:color w:val="105C84"/>
                <w:sz w:val="18"/>
              </w:rPr>
              <w:t>Representatives from the committee will educate landlords about the benefits of smoke free housing and will work collaboratively with landlords and rental property managers to </w:t>
            </w:r>
            <w:r>
              <w:rPr>
                <w:color w:val="105C84"/>
                <w:sz w:val="18"/>
              </w:rPr>
              <w:t>implement smoke free housing policies</w:t>
            </w:r>
          </w:p>
        </w:tc>
      </w:tr>
      <w:tr>
        <w:trPr>
          <w:trHeight w:val="4130" w:hRule="atLeast"/>
        </w:trPr>
        <w:tc>
          <w:tcPr>
            <w:tcW w:w="921" w:type="dxa"/>
            <w:vMerge/>
            <w:tcBorders>
              <w:top w:val="nil"/>
            </w:tcBorders>
            <w:shd w:val="clear" w:color="auto" w:fill="E6E7E8"/>
          </w:tcPr>
          <w:p>
            <w:pPr>
              <w:rPr>
                <w:sz w:val="2"/>
                <w:szCs w:val="2"/>
              </w:rPr>
            </w:pPr>
          </w:p>
        </w:tc>
        <w:tc>
          <w:tcPr>
            <w:tcW w:w="1353" w:type="dxa"/>
            <w:vMerge/>
            <w:tcBorders>
              <w:top w:val="nil"/>
            </w:tcBorders>
          </w:tcPr>
          <w:p>
            <w:pPr>
              <w:rPr>
                <w:sz w:val="2"/>
                <w:szCs w:val="2"/>
              </w:rPr>
            </w:pPr>
          </w:p>
        </w:tc>
        <w:tc>
          <w:tcPr>
            <w:tcW w:w="1670" w:type="dxa"/>
            <w:vMerge/>
            <w:tcBorders>
              <w:top w:val="nil"/>
            </w:tcBorders>
          </w:tcPr>
          <w:p>
            <w:pPr>
              <w:rPr>
                <w:sz w:val="2"/>
                <w:szCs w:val="2"/>
              </w:rPr>
            </w:pPr>
          </w:p>
        </w:tc>
        <w:tc>
          <w:tcPr>
            <w:tcW w:w="1605" w:type="dxa"/>
          </w:tcPr>
          <w:p>
            <w:pPr>
              <w:pStyle w:val="TableParagraph"/>
              <w:spacing w:line="232" w:lineRule="auto" w:before="100"/>
              <w:ind w:left="91" w:right="172"/>
              <w:rPr>
                <w:sz w:val="18"/>
              </w:rPr>
            </w:pPr>
            <w:r>
              <w:rPr>
                <w:color w:val="105C84"/>
                <w:sz w:val="18"/>
              </w:rPr>
              <w:t>3.3.2 Decrease the percentage of</w:t>
            </w:r>
            <w:r>
              <w:rPr>
                <w:color w:val="105C84"/>
                <w:spacing w:val="-4"/>
                <w:sz w:val="18"/>
              </w:rPr>
              <w:t> </w:t>
            </w:r>
            <w:r>
              <w:rPr>
                <w:color w:val="105C84"/>
                <w:sz w:val="18"/>
              </w:rPr>
              <w:t>youth</w:t>
            </w:r>
            <w:r>
              <w:rPr>
                <w:color w:val="105C84"/>
                <w:spacing w:val="-4"/>
                <w:sz w:val="18"/>
              </w:rPr>
              <w:t> </w:t>
            </w:r>
            <w:r>
              <w:rPr>
                <w:color w:val="105C84"/>
                <w:sz w:val="18"/>
              </w:rPr>
              <w:t>(middle</w:t>
            </w:r>
            <w:r>
              <w:rPr>
                <w:color w:val="105C84"/>
                <w:sz w:val="18"/>
              </w:rPr>
              <w:t> and high school students) who were in a room where</w:t>
            </w:r>
            <w:r>
              <w:rPr>
                <w:color w:val="105C84"/>
                <w:spacing w:val="-7"/>
                <w:sz w:val="18"/>
              </w:rPr>
              <w:t> </w:t>
            </w:r>
            <w:r>
              <w:rPr>
                <w:color w:val="105C84"/>
                <w:sz w:val="18"/>
              </w:rPr>
              <w:t>someone was</w:t>
            </w:r>
            <w:r>
              <w:rPr>
                <w:color w:val="105C84"/>
                <w:spacing w:val="-9"/>
                <w:sz w:val="18"/>
              </w:rPr>
              <w:t> </w:t>
            </w:r>
            <w:r>
              <w:rPr>
                <w:color w:val="105C84"/>
                <w:sz w:val="18"/>
              </w:rPr>
              <w:t>smoking</w:t>
            </w:r>
            <w:r>
              <w:rPr>
                <w:color w:val="105C84"/>
                <w:spacing w:val="-9"/>
                <w:sz w:val="18"/>
              </w:rPr>
              <w:t> </w:t>
            </w:r>
            <w:r>
              <w:rPr>
                <w:color w:val="105C84"/>
                <w:sz w:val="18"/>
              </w:rPr>
              <w:t>on at least 1 day in the past 7 days</w:t>
            </w:r>
          </w:p>
        </w:tc>
        <w:tc>
          <w:tcPr>
            <w:tcW w:w="1159" w:type="dxa"/>
          </w:tcPr>
          <w:p>
            <w:pPr>
              <w:pStyle w:val="TableParagraph"/>
              <w:spacing w:line="232" w:lineRule="auto" w:before="100"/>
              <w:ind w:left="91" w:right="308"/>
              <w:rPr>
                <w:sz w:val="18"/>
              </w:rPr>
            </w:pPr>
            <w:r>
              <w:rPr>
                <w:color w:val="105C84"/>
                <w:spacing w:val="-8"/>
                <w:sz w:val="18"/>
              </w:rPr>
              <w:t>Low</w:t>
            </w:r>
            <w:r>
              <w:rPr>
                <w:color w:val="105C84"/>
                <w:spacing w:val="-5"/>
                <w:sz w:val="18"/>
              </w:rPr>
              <w:t> </w:t>
            </w:r>
            <w:r>
              <w:rPr>
                <w:color w:val="105C84"/>
                <w:spacing w:val="-8"/>
                <w:sz w:val="18"/>
              </w:rPr>
              <w:t>SES/ </w:t>
            </w:r>
            <w:r>
              <w:rPr>
                <w:color w:val="105C84"/>
                <w:spacing w:val="-2"/>
                <w:sz w:val="18"/>
              </w:rPr>
              <w:t>Youth</w:t>
            </w:r>
          </w:p>
        </w:tc>
        <w:tc>
          <w:tcPr>
            <w:tcW w:w="1735" w:type="dxa"/>
          </w:tcPr>
          <w:p>
            <w:pPr>
              <w:pStyle w:val="TableParagraph"/>
              <w:spacing w:line="232" w:lineRule="auto" w:before="100"/>
              <w:ind w:left="91" w:right="317"/>
              <w:rPr>
                <w:sz w:val="18"/>
              </w:rPr>
            </w:pPr>
            <w:r>
              <w:rPr>
                <w:color w:val="105C84"/>
                <w:sz w:val="18"/>
              </w:rPr>
              <w:t>3.3.3 Educate </w:t>
            </w:r>
            <w:r>
              <w:rPr>
                <w:color w:val="105C84"/>
                <w:spacing w:val="-2"/>
                <w:sz w:val="18"/>
              </w:rPr>
              <w:t>organizational decision</w:t>
            </w:r>
            <w:r>
              <w:rPr>
                <w:color w:val="105C84"/>
                <w:spacing w:val="40"/>
                <w:sz w:val="18"/>
              </w:rPr>
              <w:t> </w:t>
            </w:r>
            <w:r>
              <w:rPr>
                <w:color w:val="105C84"/>
                <w:spacing w:val="-2"/>
                <w:sz w:val="18"/>
              </w:rPr>
              <w:t>makers,</w:t>
            </w:r>
            <w:r>
              <w:rPr>
                <w:color w:val="105C84"/>
                <w:spacing w:val="-11"/>
                <w:sz w:val="18"/>
              </w:rPr>
              <w:t> </w:t>
            </w:r>
            <w:r>
              <w:rPr>
                <w:color w:val="105C84"/>
                <w:spacing w:val="-2"/>
                <w:sz w:val="18"/>
              </w:rPr>
              <w:t>conduc</w:t>
            </w:r>
            <w:r>
              <w:rPr>
                <w:color w:val="105C84"/>
                <w:spacing w:val="-2"/>
                <w:sz w:val="18"/>
              </w:rPr>
              <w:t>t</w:t>
            </w:r>
            <w:r>
              <w:rPr>
                <w:color w:val="105C84"/>
                <w:spacing w:val="-2"/>
                <w:sz w:val="18"/>
              </w:rPr>
              <w:t> community</w:t>
            </w:r>
          </w:p>
          <w:p>
            <w:pPr>
              <w:pStyle w:val="TableParagraph"/>
              <w:spacing w:line="232" w:lineRule="auto"/>
              <w:ind w:left="91"/>
              <w:rPr>
                <w:sz w:val="18"/>
              </w:rPr>
            </w:pPr>
            <w:r>
              <w:rPr>
                <w:color w:val="105C84"/>
                <w:sz w:val="18"/>
              </w:rPr>
              <w:t>education,</w:t>
            </w:r>
            <w:r>
              <w:rPr>
                <w:color w:val="105C84"/>
                <w:spacing w:val="-15"/>
                <w:sz w:val="18"/>
              </w:rPr>
              <w:t> </w:t>
            </w:r>
            <w:r>
              <w:rPr>
                <w:color w:val="105C84"/>
                <w:sz w:val="18"/>
              </w:rPr>
              <w:t>and</w:t>
            </w:r>
            <w:r>
              <w:rPr>
                <w:color w:val="105C84"/>
                <w:spacing w:val="-12"/>
                <w:sz w:val="18"/>
              </w:rPr>
              <w:t> </w:t>
            </w:r>
            <w:r>
              <w:rPr>
                <w:color w:val="105C84"/>
                <w:sz w:val="18"/>
              </w:rPr>
              <w:t>use paid and earned media to increase </w:t>
            </w:r>
            <w:r>
              <w:rPr>
                <w:color w:val="105C84"/>
                <w:spacing w:val="-2"/>
                <w:sz w:val="18"/>
              </w:rPr>
              <w:t>community </w:t>
            </w:r>
            <w:r>
              <w:rPr>
                <w:color w:val="105C84"/>
                <w:sz w:val="18"/>
              </w:rPr>
              <w:t>knowledge of</w:t>
            </w:r>
          </w:p>
          <w:p>
            <w:pPr>
              <w:pStyle w:val="TableParagraph"/>
              <w:spacing w:line="232" w:lineRule="auto"/>
              <w:ind w:left="91" w:right="176"/>
              <w:rPr>
                <w:sz w:val="18"/>
              </w:rPr>
            </w:pPr>
            <w:r>
              <w:rPr>
                <w:color w:val="105C84"/>
                <w:sz w:val="18"/>
              </w:rPr>
              <w:t>the dangers of </w:t>
            </w:r>
            <w:r>
              <w:rPr>
                <w:color w:val="105C84"/>
                <w:spacing w:val="-2"/>
                <w:sz w:val="18"/>
              </w:rPr>
              <w:t>secondhand </w:t>
            </w:r>
            <w:r>
              <w:rPr>
                <w:color w:val="105C84"/>
                <w:sz w:val="18"/>
              </w:rPr>
              <w:t>smoke</w:t>
            </w:r>
            <w:r>
              <w:rPr>
                <w:color w:val="105C84"/>
                <w:spacing w:val="-7"/>
                <w:sz w:val="18"/>
              </w:rPr>
              <w:t> </w:t>
            </w:r>
            <w:r>
              <w:rPr>
                <w:color w:val="105C84"/>
                <w:sz w:val="18"/>
              </w:rPr>
              <w:t>exposure and</w:t>
            </w:r>
            <w:r>
              <w:rPr>
                <w:color w:val="105C84"/>
                <w:spacing w:val="-13"/>
                <w:sz w:val="18"/>
              </w:rPr>
              <w:t> </w:t>
            </w:r>
            <w:r>
              <w:rPr>
                <w:color w:val="105C84"/>
                <w:sz w:val="18"/>
              </w:rPr>
              <w:t>secondhand </w:t>
            </w:r>
            <w:r>
              <w:rPr>
                <w:color w:val="105C84"/>
                <w:spacing w:val="-2"/>
                <w:sz w:val="18"/>
              </w:rPr>
              <w:t>aerosol/emission </w:t>
            </w:r>
            <w:r>
              <w:rPr>
                <w:color w:val="105C84"/>
                <w:sz w:val="18"/>
              </w:rPr>
              <w:t>exposure from electronic vapor </w:t>
            </w:r>
            <w:r>
              <w:rPr>
                <w:color w:val="105C84"/>
                <w:spacing w:val="-2"/>
                <w:sz w:val="18"/>
              </w:rPr>
              <w:t>products</w:t>
            </w:r>
          </w:p>
        </w:tc>
        <w:tc>
          <w:tcPr>
            <w:tcW w:w="2780" w:type="dxa"/>
            <w:tcBorders>
              <w:right w:val="nil"/>
            </w:tcBorders>
          </w:tcPr>
          <w:p>
            <w:pPr>
              <w:pStyle w:val="TableParagraph"/>
              <w:spacing w:line="232" w:lineRule="auto" w:before="99"/>
              <w:ind w:left="92" w:right="1396"/>
              <w:jc w:val="both"/>
              <w:rPr>
                <w:sz w:val="18"/>
              </w:rPr>
            </w:pPr>
            <w:r>
              <w:rPr>
                <w:color w:val="105C84"/>
                <w:sz w:val="18"/>
              </w:rPr>
              <w:t>#</w:t>
            </w:r>
            <w:r>
              <w:rPr>
                <w:color w:val="105C84"/>
                <w:spacing w:val="-13"/>
                <w:sz w:val="18"/>
              </w:rPr>
              <w:t> </w:t>
            </w:r>
            <w:r>
              <w:rPr>
                <w:color w:val="105C84"/>
                <w:sz w:val="18"/>
              </w:rPr>
              <w:t>of</w:t>
            </w:r>
            <w:r>
              <w:rPr>
                <w:color w:val="105C84"/>
                <w:spacing w:val="-12"/>
                <w:sz w:val="18"/>
              </w:rPr>
              <w:t> </w:t>
            </w:r>
            <w:r>
              <w:rPr>
                <w:color w:val="105C84"/>
                <w:sz w:val="18"/>
              </w:rPr>
              <w:t>educational presentation on </w:t>
            </w:r>
            <w:r>
              <w:rPr>
                <w:color w:val="105C84"/>
                <w:spacing w:val="-2"/>
                <w:sz w:val="18"/>
              </w:rPr>
              <w:t>vaping</w:t>
            </w:r>
          </w:p>
          <w:p>
            <w:pPr>
              <w:pStyle w:val="TableParagraph"/>
              <w:spacing w:line="232" w:lineRule="auto" w:before="88"/>
              <w:ind w:left="92" w:right="897"/>
              <w:rPr>
                <w:sz w:val="18"/>
              </w:rPr>
            </w:pPr>
            <w:r>
              <w:rPr>
                <w:color w:val="105C84"/>
                <w:sz w:val="18"/>
              </w:rPr>
              <w:t># of youth in attendance</w:t>
            </w:r>
            <w:r>
              <w:rPr>
                <w:color w:val="105C84"/>
                <w:spacing w:val="-10"/>
                <w:sz w:val="18"/>
              </w:rPr>
              <w:t> </w:t>
            </w:r>
            <w:r>
              <w:rPr>
                <w:color w:val="105C84"/>
                <w:sz w:val="18"/>
              </w:rPr>
              <w:t>at</w:t>
            </w:r>
            <w:r>
              <w:rPr>
                <w:color w:val="105C84"/>
                <w:spacing w:val="-10"/>
                <w:sz w:val="18"/>
              </w:rPr>
              <w:t> </w:t>
            </w:r>
            <w:r>
              <w:rPr>
                <w:color w:val="105C84"/>
                <w:sz w:val="18"/>
              </w:rPr>
              <w:t>vaping </w:t>
            </w:r>
            <w:r>
              <w:rPr>
                <w:color w:val="105C84"/>
                <w:spacing w:val="-2"/>
                <w:sz w:val="18"/>
              </w:rPr>
              <w:t>presentations</w:t>
            </w:r>
          </w:p>
          <w:p>
            <w:pPr>
              <w:pStyle w:val="TableParagraph"/>
              <w:spacing w:line="232" w:lineRule="auto" w:before="87"/>
              <w:ind w:left="92" w:right="897"/>
              <w:rPr>
                <w:sz w:val="18"/>
              </w:rPr>
            </w:pPr>
            <w:r>
              <w:rPr>
                <w:color w:val="105C84"/>
                <w:sz w:val="18"/>
              </w:rPr>
              <w:t># of youth </w:t>
            </w:r>
            <w:r>
              <w:rPr>
                <w:color w:val="105C84"/>
                <w:sz w:val="18"/>
              </w:rPr>
              <w:t>reporting they</w:t>
            </w:r>
            <w:r>
              <w:rPr>
                <w:color w:val="105C84"/>
                <w:spacing w:val="-6"/>
                <w:sz w:val="18"/>
              </w:rPr>
              <w:t> </w:t>
            </w:r>
            <w:r>
              <w:rPr>
                <w:color w:val="105C84"/>
                <w:sz w:val="18"/>
              </w:rPr>
              <w:t>were</w:t>
            </w:r>
            <w:r>
              <w:rPr>
                <w:color w:val="105C84"/>
                <w:spacing w:val="-6"/>
                <w:sz w:val="18"/>
              </w:rPr>
              <w:t> </w:t>
            </w:r>
            <w:r>
              <w:rPr>
                <w:color w:val="105C84"/>
                <w:sz w:val="18"/>
              </w:rPr>
              <w:t>in</w:t>
            </w:r>
            <w:r>
              <w:rPr>
                <w:color w:val="105C84"/>
                <w:spacing w:val="-6"/>
                <w:sz w:val="18"/>
              </w:rPr>
              <w:t> </w:t>
            </w:r>
            <w:r>
              <w:rPr>
                <w:color w:val="105C84"/>
                <w:sz w:val="18"/>
              </w:rPr>
              <w:t>a</w:t>
            </w:r>
            <w:r>
              <w:rPr>
                <w:color w:val="105C84"/>
                <w:spacing w:val="-6"/>
                <w:sz w:val="18"/>
              </w:rPr>
              <w:t> </w:t>
            </w:r>
            <w:r>
              <w:rPr>
                <w:color w:val="105C84"/>
                <w:sz w:val="18"/>
              </w:rPr>
              <w:t>room with someone who was</w:t>
            </w:r>
            <w:r>
              <w:rPr>
                <w:color w:val="105C84"/>
                <w:spacing w:val="-13"/>
                <w:sz w:val="18"/>
              </w:rPr>
              <w:t> </w:t>
            </w:r>
            <w:r>
              <w:rPr>
                <w:color w:val="105C84"/>
                <w:sz w:val="18"/>
              </w:rPr>
              <w:t>smoking</w:t>
            </w:r>
            <w:r>
              <w:rPr>
                <w:color w:val="105C84"/>
                <w:spacing w:val="-12"/>
                <w:sz w:val="18"/>
              </w:rPr>
              <w:t> </w:t>
            </w:r>
            <w:r>
              <w:rPr>
                <w:color w:val="105C84"/>
                <w:sz w:val="18"/>
              </w:rPr>
              <w:t>or</w:t>
            </w:r>
            <w:r>
              <w:rPr>
                <w:color w:val="105C84"/>
                <w:spacing w:val="-13"/>
                <w:sz w:val="18"/>
              </w:rPr>
              <w:t> </w:t>
            </w:r>
            <w:r>
              <w:rPr>
                <w:color w:val="105C84"/>
                <w:sz w:val="18"/>
              </w:rPr>
              <w:t>that they</w:t>
            </w:r>
            <w:r>
              <w:rPr>
                <w:color w:val="105C84"/>
                <w:spacing w:val="-2"/>
                <w:sz w:val="18"/>
              </w:rPr>
              <w:t> </w:t>
            </w:r>
            <w:r>
              <w:rPr>
                <w:color w:val="105C84"/>
                <w:sz w:val="18"/>
              </w:rPr>
              <w:t>had</w:t>
            </w:r>
            <w:r>
              <w:rPr>
                <w:color w:val="105C84"/>
                <w:spacing w:val="-2"/>
                <w:sz w:val="18"/>
              </w:rPr>
              <w:t> </w:t>
            </w:r>
            <w:r>
              <w:rPr>
                <w:color w:val="105C84"/>
                <w:sz w:val="18"/>
              </w:rPr>
              <w:t>smoked</w:t>
            </w:r>
            <w:r>
              <w:rPr>
                <w:color w:val="105C84"/>
                <w:spacing w:val="-2"/>
                <w:sz w:val="18"/>
              </w:rPr>
              <w:t> </w:t>
            </w:r>
            <w:r>
              <w:rPr>
                <w:color w:val="105C84"/>
                <w:sz w:val="18"/>
              </w:rPr>
              <w:t>in the last 7 days</w:t>
            </w:r>
          </w:p>
          <w:p>
            <w:pPr>
              <w:pStyle w:val="TableParagraph"/>
              <w:spacing w:line="232" w:lineRule="auto" w:before="86"/>
              <w:ind w:left="92" w:right="1126"/>
              <w:rPr>
                <w:sz w:val="18"/>
              </w:rPr>
            </w:pPr>
            <w:r>
              <w:rPr>
                <w:color w:val="105C84"/>
                <w:sz w:val="18"/>
              </w:rPr>
              <w:t># of underage purchases of vaping products by </w:t>
            </w:r>
            <w:r>
              <w:rPr>
                <w:color w:val="105C84"/>
                <w:spacing w:val="-4"/>
                <w:sz w:val="18"/>
              </w:rPr>
              <w:t>minors</w:t>
            </w:r>
            <w:r>
              <w:rPr>
                <w:color w:val="105C84"/>
                <w:spacing w:val="-11"/>
                <w:sz w:val="18"/>
              </w:rPr>
              <w:t> </w:t>
            </w:r>
            <w:r>
              <w:rPr>
                <w:color w:val="105C84"/>
                <w:spacing w:val="-4"/>
                <w:sz w:val="18"/>
              </w:rPr>
              <w:t>from</w:t>
            </w:r>
            <w:r>
              <w:rPr>
                <w:color w:val="105C84"/>
                <w:spacing w:val="-8"/>
                <w:sz w:val="18"/>
              </w:rPr>
              <w:t> </w:t>
            </w:r>
            <w:r>
              <w:rPr>
                <w:color w:val="105C84"/>
                <w:spacing w:val="-4"/>
                <w:sz w:val="18"/>
              </w:rPr>
              <w:t>ATUPA </w:t>
            </w:r>
            <w:r>
              <w:rPr>
                <w:color w:val="105C84"/>
                <w:sz w:val="18"/>
              </w:rPr>
              <w:t>compliance</w:t>
            </w:r>
            <w:r>
              <w:rPr>
                <w:color w:val="105C84"/>
                <w:spacing w:val="6"/>
                <w:sz w:val="18"/>
              </w:rPr>
              <w:t> </w:t>
            </w:r>
            <w:r>
              <w:rPr>
                <w:color w:val="105C84"/>
                <w:spacing w:val="-2"/>
                <w:sz w:val="18"/>
              </w:rPr>
              <w:t>checks</w:t>
            </w:r>
          </w:p>
        </w:tc>
        <w:tc>
          <w:tcPr>
            <w:tcW w:w="2908" w:type="dxa"/>
            <w:tcBorders>
              <w:left w:val="nil"/>
            </w:tcBorders>
          </w:tcPr>
          <w:p>
            <w:pPr>
              <w:pStyle w:val="TableParagraph"/>
              <w:spacing w:line="232" w:lineRule="auto" w:before="99"/>
              <w:ind w:left="1007"/>
              <w:rPr>
                <w:sz w:val="18"/>
              </w:rPr>
            </w:pPr>
            <w:r>
              <w:rPr>
                <w:color w:val="105C84"/>
                <w:spacing w:val="-2"/>
                <w:sz w:val="18"/>
              </w:rPr>
              <w:t>To</w:t>
            </w:r>
            <w:r>
              <w:rPr>
                <w:color w:val="105C84"/>
                <w:spacing w:val="-11"/>
                <w:sz w:val="18"/>
              </w:rPr>
              <w:t> </w:t>
            </w:r>
            <w:r>
              <w:rPr>
                <w:color w:val="105C84"/>
                <w:spacing w:val="-2"/>
                <w:sz w:val="18"/>
              </w:rPr>
              <w:t>partner</w:t>
            </w:r>
            <w:r>
              <w:rPr>
                <w:color w:val="105C84"/>
                <w:spacing w:val="-10"/>
                <w:sz w:val="18"/>
              </w:rPr>
              <w:t> </w:t>
            </w:r>
            <w:r>
              <w:rPr>
                <w:color w:val="105C84"/>
                <w:spacing w:val="-2"/>
                <w:sz w:val="18"/>
              </w:rPr>
              <w:t>with</w:t>
            </w:r>
            <w:r>
              <w:rPr>
                <w:color w:val="105C84"/>
                <w:spacing w:val="-11"/>
                <w:sz w:val="18"/>
              </w:rPr>
              <w:t> </w:t>
            </w:r>
            <w:r>
              <w:rPr>
                <w:color w:val="105C84"/>
                <w:spacing w:val="-2"/>
                <w:sz w:val="18"/>
              </w:rPr>
              <w:t>TACFL </w:t>
            </w:r>
            <w:r>
              <w:rPr>
                <w:color w:val="105C84"/>
                <w:sz w:val="18"/>
              </w:rPr>
              <w:t>and the Council</w:t>
            </w:r>
          </w:p>
          <w:p>
            <w:pPr>
              <w:pStyle w:val="TableParagraph"/>
              <w:spacing w:line="232" w:lineRule="auto"/>
              <w:ind w:left="1007" w:right="529"/>
              <w:rPr>
                <w:sz w:val="18"/>
              </w:rPr>
            </w:pPr>
            <w:r>
              <w:rPr>
                <w:color w:val="105C84"/>
                <w:sz w:val="18"/>
              </w:rPr>
              <w:t>on Alcoholism to provide at least</w:t>
            </w:r>
            <w:r>
              <w:rPr>
                <w:color w:val="105C84"/>
                <w:spacing w:val="40"/>
                <w:sz w:val="18"/>
              </w:rPr>
              <w:t> </w:t>
            </w:r>
            <w:r>
              <w:rPr>
                <w:color w:val="105C84"/>
                <w:sz w:val="18"/>
              </w:rPr>
              <w:t>2</w:t>
            </w:r>
            <w:r>
              <w:rPr>
                <w:color w:val="105C84"/>
                <w:spacing w:val="-15"/>
                <w:sz w:val="18"/>
              </w:rPr>
              <w:t> </w:t>
            </w:r>
            <w:r>
              <w:rPr>
                <w:color w:val="105C84"/>
                <w:sz w:val="18"/>
              </w:rPr>
              <w:t>presentations</w:t>
            </w:r>
            <w:r>
              <w:rPr>
                <w:color w:val="105C84"/>
                <w:spacing w:val="-12"/>
                <w:sz w:val="18"/>
              </w:rPr>
              <w:t> </w:t>
            </w:r>
            <w:r>
              <w:rPr>
                <w:color w:val="105C84"/>
                <w:sz w:val="18"/>
              </w:rPr>
              <w:t>1</w:t>
            </w:r>
          </w:p>
          <w:p>
            <w:pPr>
              <w:pStyle w:val="TableParagraph"/>
              <w:spacing w:line="232" w:lineRule="auto"/>
              <w:ind w:left="1007"/>
              <w:rPr>
                <w:sz w:val="18"/>
              </w:rPr>
            </w:pPr>
            <w:r>
              <w:rPr>
                <w:color w:val="105C84"/>
                <w:sz w:val="18"/>
              </w:rPr>
              <w:t>for</w:t>
            </w:r>
            <w:r>
              <w:rPr>
                <w:color w:val="105C84"/>
                <w:spacing w:val="-6"/>
                <w:sz w:val="18"/>
              </w:rPr>
              <w:t> </w:t>
            </w:r>
            <w:r>
              <w:rPr>
                <w:color w:val="105C84"/>
                <w:sz w:val="18"/>
              </w:rPr>
              <w:t>youth</w:t>
            </w:r>
            <w:r>
              <w:rPr>
                <w:color w:val="105C84"/>
                <w:spacing w:val="-6"/>
                <w:sz w:val="18"/>
              </w:rPr>
              <w:t> </w:t>
            </w:r>
            <w:r>
              <w:rPr>
                <w:color w:val="105C84"/>
                <w:sz w:val="18"/>
              </w:rPr>
              <w:t>and</w:t>
            </w:r>
            <w:r>
              <w:rPr>
                <w:color w:val="105C84"/>
                <w:spacing w:val="-6"/>
                <w:sz w:val="18"/>
              </w:rPr>
              <w:t> </w:t>
            </w:r>
            <w:r>
              <w:rPr>
                <w:color w:val="105C84"/>
                <w:sz w:val="18"/>
              </w:rPr>
              <w:t>1</w:t>
            </w:r>
            <w:r>
              <w:rPr>
                <w:color w:val="105C84"/>
                <w:spacing w:val="-6"/>
                <w:sz w:val="18"/>
              </w:rPr>
              <w:t> </w:t>
            </w:r>
            <w:r>
              <w:rPr>
                <w:color w:val="105C84"/>
                <w:sz w:val="18"/>
              </w:rPr>
              <w:t>for </w:t>
            </w:r>
            <w:r>
              <w:rPr>
                <w:color w:val="105C84"/>
                <w:spacing w:val="-2"/>
                <w:sz w:val="18"/>
              </w:rPr>
              <w:t>parents</w:t>
            </w:r>
          </w:p>
          <w:p>
            <w:pPr>
              <w:pStyle w:val="TableParagraph"/>
              <w:spacing w:line="232" w:lineRule="auto" w:before="84"/>
              <w:ind w:left="1007" w:right="143"/>
              <w:rPr>
                <w:sz w:val="18"/>
              </w:rPr>
            </w:pPr>
            <w:r>
              <w:rPr>
                <w:color w:val="105C84"/>
                <w:sz w:val="18"/>
              </w:rPr>
              <w:t>To</w:t>
            </w:r>
            <w:r>
              <w:rPr>
                <w:color w:val="105C84"/>
                <w:spacing w:val="-13"/>
                <w:sz w:val="18"/>
              </w:rPr>
              <w:t> </w:t>
            </w:r>
            <w:r>
              <w:rPr>
                <w:color w:val="105C84"/>
                <w:sz w:val="18"/>
              </w:rPr>
              <w:t>utilize</w:t>
            </w:r>
            <w:r>
              <w:rPr>
                <w:color w:val="105C84"/>
                <w:spacing w:val="-12"/>
                <w:sz w:val="18"/>
              </w:rPr>
              <w:t> </w:t>
            </w:r>
            <w:r>
              <w:rPr>
                <w:color w:val="105C84"/>
                <w:sz w:val="18"/>
              </w:rPr>
              <w:t>social</w:t>
            </w:r>
            <w:r>
              <w:rPr>
                <w:color w:val="105C84"/>
                <w:spacing w:val="-13"/>
                <w:sz w:val="18"/>
              </w:rPr>
              <w:t> </w:t>
            </w:r>
            <w:r>
              <w:rPr>
                <w:color w:val="105C84"/>
                <w:sz w:val="18"/>
              </w:rPr>
              <w:t>media </w:t>
            </w:r>
            <w:r>
              <w:rPr>
                <w:color w:val="105C84"/>
                <w:spacing w:val="-4"/>
                <w:sz w:val="18"/>
              </w:rPr>
              <w:t>to</w:t>
            </w:r>
            <w:r>
              <w:rPr>
                <w:color w:val="105C84"/>
                <w:spacing w:val="-8"/>
                <w:sz w:val="18"/>
              </w:rPr>
              <w:t> </w:t>
            </w:r>
            <w:r>
              <w:rPr>
                <w:color w:val="105C84"/>
                <w:spacing w:val="-4"/>
                <w:sz w:val="18"/>
              </w:rPr>
              <w:t>increase</w:t>
            </w:r>
            <w:r>
              <w:rPr>
                <w:color w:val="105C84"/>
                <w:spacing w:val="-8"/>
                <w:sz w:val="18"/>
              </w:rPr>
              <w:t> </w:t>
            </w:r>
            <w:r>
              <w:rPr>
                <w:color w:val="105C84"/>
                <w:spacing w:val="-4"/>
                <w:sz w:val="18"/>
              </w:rPr>
              <w:t>awareness </w:t>
            </w:r>
            <w:r>
              <w:rPr>
                <w:color w:val="105C84"/>
                <w:sz w:val="18"/>
              </w:rPr>
              <w:t>of the dangers of vaping among youth</w:t>
            </w:r>
          </w:p>
          <w:p>
            <w:pPr>
              <w:pStyle w:val="TableParagraph"/>
              <w:spacing w:line="232" w:lineRule="auto" w:before="87"/>
              <w:ind w:left="1007" w:right="284"/>
              <w:rPr>
                <w:sz w:val="18"/>
              </w:rPr>
            </w:pPr>
            <w:r>
              <w:rPr>
                <w:color w:val="105C84"/>
                <w:sz w:val="18"/>
              </w:rPr>
              <w:t>To conduct compliance checks per ATUPA grant guidelines</w:t>
            </w:r>
            <w:r>
              <w:rPr>
                <w:color w:val="105C84"/>
                <w:spacing w:val="-15"/>
                <w:sz w:val="18"/>
              </w:rPr>
              <w:t> </w:t>
            </w:r>
            <w:r>
              <w:rPr>
                <w:color w:val="105C84"/>
                <w:sz w:val="18"/>
              </w:rPr>
              <w:t>to</w:t>
            </w:r>
            <w:r>
              <w:rPr>
                <w:color w:val="105C84"/>
                <w:spacing w:val="-12"/>
                <w:sz w:val="18"/>
              </w:rPr>
              <w:t> </w:t>
            </w:r>
            <w:r>
              <w:rPr>
                <w:color w:val="105C84"/>
                <w:sz w:val="18"/>
              </w:rPr>
              <w:t>ensure youth are not able</w:t>
            </w:r>
            <w:r>
              <w:rPr>
                <w:color w:val="105C84"/>
                <w:spacing w:val="40"/>
                <w:sz w:val="18"/>
              </w:rPr>
              <w:t> </w:t>
            </w:r>
            <w:r>
              <w:rPr>
                <w:color w:val="105C84"/>
                <w:sz w:val="18"/>
              </w:rPr>
              <w:t>to purchase vaping devices or products</w:t>
            </w:r>
          </w:p>
        </w:tc>
        <w:tc>
          <w:tcPr>
            <w:tcW w:w="1757" w:type="dxa"/>
          </w:tcPr>
          <w:p>
            <w:pPr>
              <w:pStyle w:val="TableParagraph"/>
              <w:spacing w:line="232" w:lineRule="auto" w:before="98"/>
              <w:ind w:left="92" w:right="94"/>
              <w:rPr>
                <w:sz w:val="18"/>
              </w:rPr>
            </w:pPr>
            <w:r>
              <w:rPr>
                <w:color w:val="105C84"/>
                <w:sz w:val="18"/>
              </w:rPr>
              <w:t>To continue </w:t>
            </w:r>
            <w:r>
              <w:rPr>
                <w:color w:val="105C84"/>
                <w:spacing w:val="-2"/>
                <w:sz w:val="18"/>
              </w:rPr>
              <w:t>compliance</w:t>
            </w:r>
            <w:r>
              <w:rPr>
                <w:color w:val="105C84"/>
                <w:spacing w:val="-11"/>
                <w:sz w:val="18"/>
              </w:rPr>
              <w:t> </w:t>
            </w:r>
            <w:r>
              <w:rPr>
                <w:color w:val="105C84"/>
                <w:spacing w:val="-2"/>
                <w:sz w:val="18"/>
              </w:rPr>
              <w:t>checks </w:t>
            </w:r>
            <w:r>
              <w:rPr>
                <w:color w:val="105C84"/>
                <w:sz w:val="18"/>
              </w:rPr>
              <w:t>to ensure those under 18 are not able to purchase nicotine delivery </w:t>
            </w:r>
            <w:r>
              <w:rPr>
                <w:color w:val="105C84"/>
                <w:spacing w:val="-2"/>
                <w:sz w:val="18"/>
              </w:rPr>
              <w:t>devices</w:t>
            </w:r>
          </w:p>
          <w:p>
            <w:pPr>
              <w:pStyle w:val="TableParagraph"/>
              <w:spacing w:line="232" w:lineRule="auto" w:before="85"/>
              <w:ind w:left="92" w:right="128"/>
              <w:rPr>
                <w:sz w:val="18"/>
              </w:rPr>
            </w:pPr>
            <w:r>
              <w:rPr>
                <w:color w:val="105C84"/>
                <w:sz w:val="18"/>
              </w:rPr>
              <w:t>To post at least 1 anti vaping post per</w:t>
            </w:r>
            <w:r>
              <w:rPr>
                <w:color w:val="105C84"/>
                <w:spacing w:val="-4"/>
                <w:sz w:val="18"/>
              </w:rPr>
              <w:t> </w:t>
            </w:r>
            <w:r>
              <w:rPr>
                <w:color w:val="105C84"/>
                <w:sz w:val="18"/>
              </w:rPr>
              <w:t>month</w:t>
            </w:r>
            <w:r>
              <w:rPr>
                <w:color w:val="105C84"/>
                <w:spacing w:val="-4"/>
                <w:sz w:val="18"/>
              </w:rPr>
              <w:t> </w:t>
            </w:r>
            <w:r>
              <w:rPr>
                <w:color w:val="105C84"/>
                <w:sz w:val="18"/>
              </w:rPr>
              <w:t>to</w:t>
            </w:r>
            <w:r>
              <w:rPr>
                <w:color w:val="105C84"/>
                <w:spacing w:val="-4"/>
                <w:sz w:val="18"/>
              </w:rPr>
              <w:t> </w:t>
            </w:r>
            <w:r>
              <w:rPr>
                <w:color w:val="105C84"/>
                <w:sz w:val="18"/>
              </w:rPr>
              <w:t>FB</w:t>
            </w:r>
            <w:r>
              <w:rPr>
                <w:color w:val="105C84"/>
                <w:spacing w:val="-4"/>
                <w:sz w:val="18"/>
              </w:rPr>
              <w:t> </w:t>
            </w:r>
            <w:r>
              <w:rPr>
                <w:color w:val="105C84"/>
                <w:sz w:val="18"/>
              </w:rPr>
              <w:t>or other</w:t>
            </w:r>
            <w:r>
              <w:rPr>
                <w:color w:val="105C84"/>
                <w:spacing w:val="-2"/>
                <w:sz w:val="18"/>
              </w:rPr>
              <w:t> </w:t>
            </w:r>
            <w:r>
              <w:rPr>
                <w:color w:val="105C84"/>
                <w:sz w:val="18"/>
              </w:rPr>
              <w:t>Social</w:t>
            </w:r>
            <w:r>
              <w:rPr>
                <w:color w:val="105C84"/>
                <w:spacing w:val="-2"/>
                <w:sz w:val="18"/>
              </w:rPr>
              <w:t> </w:t>
            </w:r>
            <w:r>
              <w:rPr>
                <w:color w:val="105C84"/>
                <w:sz w:val="18"/>
              </w:rPr>
              <w:t>media </w:t>
            </w:r>
            <w:r>
              <w:rPr>
                <w:color w:val="105C84"/>
                <w:spacing w:val="-2"/>
                <w:sz w:val="18"/>
              </w:rPr>
              <w:t>outlets</w:t>
            </w:r>
          </w:p>
          <w:p>
            <w:pPr>
              <w:pStyle w:val="TableParagraph"/>
              <w:spacing w:line="232" w:lineRule="auto" w:before="86"/>
              <w:ind w:left="92" w:right="191"/>
              <w:rPr>
                <w:sz w:val="18"/>
              </w:rPr>
            </w:pPr>
            <w:r>
              <w:rPr>
                <w:color w:val="105C84"/>
                <w:sz w:val="18"/>
              </w:rPr>
              <w:t>Continue to provide</w:t>
            </w:r>
            <w:r>
              <w:rPr>
                <w:color w:val="105C84"/>
                <w:spacing w:val="-2"/>
                <w:sz w:val="18"/>
              </w:rPr>
              <w:t> </w:t>
            </w:r>
            <w:r>
              <w:rPr>
                <w:color w:val="105C84"/>
                <w:sz w:val="18"/>
              </w:rPr>
              <w:t>education to the community and youth about the dangers associated with </w:t>
            </w:r>
            <w:r>
              <w:rPr>
                <w:color w:val="105C84"/>
                <w:spacing w:val="-2"/>
                <w:sz w:val="18"/>
              </w:rPr>
              <w:t>vaping</w:t>
            </w:r>
          </w:p>
        </w:tc>
        <w:tc>
          <w:tcPr>
            <w:tcW w:w="1584" w:type="dxa"/>
          </w:tcPr>
          <w:p>
            <w:pPr>
              <w:pStyle w:val="TableParagraph"/>
              <w:spacing w:line="232" w:lineRule="auto" w:before="98"/>
              <w:ind w:left="91" w:right="545"/>
              <w:jc w:val="both"/>
              <w:rPr>
                <w:sz w:val="18"/>
              </w:rPr>
            </w:pPr>
            <w:r>
              <w:rPr>
                <w:color w:val="105C84"/>
                <w:spacing w:val="-2"/>
                <w:sz w:val="18"/>
              </w:rPr>
              <w:t>To</w:t>
            </w:r>
            <w:r>
              <w:rPr>
                <w:color w:val="105C84"/>
                <w:spacing w:val="-11"/>
                <w:sz w:val="18"/>
              </w:rPr>
              <w:t> </w:t>
            </w:r>
            <w:r>
              <w:rPr>
                <w:color w:val="105C84"/>
                <w:spacing w:val="-2"/>
                <w:sz w:val="18"/>
              </w:rPr>
              <w:t>continue compliance check</w:t>
            </w:r>
          </w:p>
          <w:p>
            <w:pPr>
              <w:pStyle w:val="TableParagraph"/>
              <w:spacing w:line="232" w:lineRule="auto" w:before="88"/>
              <w:ind w:left="91" w:right="82"/>
              <w:rPr>
                <w:sz w:val="18"/>
              </w:rPr>
            </w:pPr>
            <w:r>
              <w:rPr>
                <w:color w:val="105C84"/>
                <w:sz w:val="18"/>
              </w:rPr>
              <w:t>To</w:t>
            </w:r>
            <w:r>
              <w:rPr>
                <w:color w:val="105C84"/>
                <w:spacing w:val="-15"/>
                <w:sz w:val="18"/>
              </w:rPr>
              <w:t> </w:t>
            </w:r>
            <w:r>
              <w:rPr>
                <w:color w:val="105C84"/>
                <w:sz w:val="18"/>
              </w:rPr>
              <w:t>post</w:t>
            </w:r>
            <w:r>
              <w:rPr>
                <w:color w:val="105C84"/>
                <w:spacing w:val="-12"/>
                <w:sz w:val="18"/>
              </w:rPr>
              <w:t> </w:t>
            </w:r>
            <w:r>
              <w:rPr>
                <w:color w:val="105C84"/>
                <w:sz w:val="18"/>
              </w:rPr>
              <w:t>at</w:t>
            </w:r>
            <w:r>
              <w:rPr>
                <w:color w:val="105C84"/>
                <w:spacing w:val="-13"/>
                <w:sz w:val="18"/>
              </w:rPr>
              <w:t> </w:t>
            </w:r>
            <w:r>
              <w:rPr>
                <w:color w:val="105C84"/>
                <w:sz w:val="18"/>
              </w:rPr>
              <w:t>least</w:t>
            </w:r>
            <w:r>
              <w:rPr>
                <w:color w:val="105C84"/>
                <w:spacing w:val="-12"/>
                <w:sz w:val="18"/>
              </w:rPr>
              <w:t> </w:t>
            </w:r>
            <w:r>
              <w:rPr>
                <w:color w:val="105C84"/>
                <w:sz w:val="18"/>
              </w:rPr>
              <w:t>1 anti vaping post per month to FB or other Social media outlets</w:t>
            </w:r>
          </w:p>
          <w:p>
            <w:pPr>
              <w:pStyle w:val="TableParagraph"/>
              <w:spacing w:line="232" w:lineRule="auto" w:before="86"/>
              <w:ind w:left="91" w:right="604"/>
              <w:rPr>
                <w:sz w:val="18"/>
              </w:rPr>
            </w:pPr>
            <w:r>
              <w:rPr>
                <w:color w:val="105C84"/>
                <w:spacing w:val="-2"/>
                <w:w w:val="105"/>
                <w:sz w:val="18"/>
              </w:rPr>
              <w:t>Continue </w:t>
            </w:r>
            <w:r>
              <w:rPr>
                <w:color w:val="105C84"/>
                <w:w w:val="105"/>
                <w:sz w:val="18"/>
              </w:rPr>
              <w:t>to</w:t>
            </w:r>
            <w:r>
              <w:rPr>
                <w:color w:val="105C84"/>
                <w:spacing w:val="2"/>
                <w:w w:val="105"/>
                <w:sz w:val="18"/>
              </w:rPr>
              <w:t> </w:t>
            </w:r>
            <w:r>
              <w:rPr>
                <w:color w:val="105C84"/>
                <w:spacing w:val="-4"/>
                <w:w w:val="105"/>
                <w:sz w:val="18"/>
              </w:rPr>
              <w:t>provide</w:t>
            </w:r>
          </w:p>
          <w:p>
            <w:pPr>
              <w:pStyle w:val="TableParagraph"/>
              <w:spacing w:line="232" w:lineRule="auto"/>
              <w:ind w:left="91" w:right="162"/>
              <w:rPr>
                <w:sz w:val="18"/>
              </w:rPr>
            </w:pPr>
            <w:r>
              <w:rPr>
                <w:color w:val="105C84"/>
                <w:sz w:val="18"/>
              </w:rPr>
              <w:t>education</w:t>
            </w:r>
            <w:r>
              <w:rPr>
                <w:color w:val="105C84"/>
                <w:spacing w:val="1"/>
                <w:sz w:val="18"/>
              </w:rPr>
              <w:t> </w:t>
            </w:r>
            <w:r>
              <w:rPr>
                <w:color w:val="105C84"/>
                <w:sz w:val="18"/>
              </w:rPr>
              <w:t>to</w:t>
            </w:r>
            <w:r>
              <w:rPr>
                <w:color w:val="105C84"/>
                <w:spacing w:val="80"/>
                <w:sz w:val="18"/>
              </w:rPr>
              <w:t> </w:t>
            </w:r>
            <w:r>
              <w:rPr>
                <w:color w:val="105C84"/>
                <w:sz w:val="18"/>
              </w:rPr>
              <w:t>the community and</w:t>
            </w:r>
            <w:r>
              <w:rPr>
                <w:color w:val="105C84"/>
                <w:spacing w:val="-6"/>
                <w:sz w:val="18"/>
              </w:rPr>
              <w:t> </w:t>
            </w:r>
            <w:r>
              <w:rPr>
                <w:color w:val="105C84"/>
                <w:sz w:val="18"/>
              </w:rPr>
              <w:t>youth</w:t>
            </w:r>
            <w:r>
              <w:rPr>
                <w:color w:val="105C84"/>
                <w:spacing w:val="-6"/>
                <w:sz w:val="18"/>
              </w:rPr>
              <w:t> </w:t>
            </w:r>
            <w:r>
              <w:rPr>
                <w:color w:val="105C84"/>
                <w:sz w:val="18"/>
              </w:rPr>
              <w:t>about the dangers associated with </w:t>
            </w:r>
            <w:r>
              <w:rPr>
                <w:color w:val="105C84"/>
                <w:spacing w:val="-2"/>
                <w:sz w:val="18"/>
              </w:rPr>
              <w:t>vaping</w:t>
            </w:r>
          </w:p>
        </w:tc>
        <w:tc>
          <w:tcPr>
            <w:tcW w:w="1498" w:type="dxa"/>
          </w:tcPr>
          <w:p>
            <w:pPr>
              <w:pStyle w:val="TableParagraph"/>
              <w:spacing w:before="93"/>
              <w:ind w:left="91"/>
              <w:rPr>
                <w:sz w:val="18"/>
              </w:rPr>
            </w:pPr>
            <w:r>
              <w:rPr>
                <w:color w:val="105C84"/>
                <w:spacing w:val="-8"/>
                <w:sz w:val="18"/>
              </w:rPr>
              <w:t>K-12</w:t>
            </w:r>
            <w:r>
              <w:rPr>
                <w:color w:val="105C84"/>
                <w:spacing w:val="1"/>
                <w:sz w:val="18"/>
              </w:rPr>
              <w:t> </w:t>
            </w:r>
            <w:r>
              <w:rPr>
                <w:color w:val="105C84"/>
                <w:spacing w:val="-8"/>
                <w:sz w:val="18"/>
              </w:rPr>
              <w:t>School</w:t>
            </w:r>
          </w:p>
        </w:tc>
        <w:tc>
          <w:tcPr>
            <w:tcW w:w="3336" w:type="dxa"/>
          </w:tcPr>
          <w:p>
            <w:pPr>
              <w:pStyle w:val="TableParagraph"/>
              <w:spacing w:line="232" w:lineRule="auto" w:before="98"/>
              <w:ind w:left="91"/>
              <w:rPr>
                <w:sz w:val="18"/>
              </w:rPr>
            </w:pPr>
            <w:r>
              <w:rPr>
                <w:color w:val="105C84"/>
                <w:sz w:val="18"/>
              </w:rPr>
              <w:t>Seneca County Health Department </w:t>
            </w:r>
            <w:r>
              <w:rPr>
                <w:color w:val="105C84"/>
                <w:spacing w:val="-2"/>
                <w:sz w:val="18"/>
              </w:rPr>
              <w:t>Health</w:t>
            </w:r>
            <w:r>
              <w:rPr>
                <w:color w:val="105C84"/>
                <w:spacing w:val="-9"/>
                <w:sz w:val="18"/>
              </w:rPr>
              <w:t> </w:t>
            </w:r>
            <w:r>
              <w:rPr>
                <w:color w:val="105C84"/>
                <w:spacing w:val="-2"/>
                <w:sz w:val="18"/>
              </w:rPr>
              <w:t>Educators</w:t>
            </w:r>
            <w:r>
              <w:rPr>
                <w:color w:val="105C84"/>
                <w:spacing w:val="-9"/>
                <w:sz w:val="18"/>
              </w:rPr>
              <w:t> </w:t>
            </w:r>
            <w:r>
              <w:rPr>
                <w:color w:val="105C84"/>
                <w:spacing w:val="-2"/>
                <w:sz w:val="18"/>
              </w:rPr>
              <w:t>(.10</w:t>
            </w:r>
            <w:r>
              <w:rPr>
                <w:color w:val="105C84"/>
                <w:spacing w:val="-9"/>
                <w:sz w:val="18"/>
              </w:rPr>
              <w:t> </w:t>
            </w:r>
            <w:r>
              <w:rPr>
                <w:color w:val="105C84"/>
                <w:spacing w:val="-2"/>
                <w:sz w:val="18"/>
              </w:rPr>
              <w:t>FTE)</w:t>
            </w:r>
            <w:r>
              <w:rPr>
                <w:color w:val="105C84"/>
                <w:spacing w:val="-9"/>
                <w:sz w:val="18"/>
              </w:rPr>
              <w:t> </w:t>
            </w:r>
            <w:r>
              <w:rPr>
                <w:color w:val="105C84"/>
                <w:spacing w:val="-2"/>
                <w:sz w:val="18"/>
              </w:rPr>
              <w:t>will</w:t>
            </w:r>
            <w:r>
              <w:rPr>
                <w:color w:val="105C84"/>
                <w:spacing w:val="-9"/>
                <w:sz w:val="18"/>
              </w:rPr>
              <w:t> </w:t>
            </w:r>
            <w:r>
              <w:rPr>
                <w:color w:val="105C84"/>
                <w:spacing w:val="-2"/>
                <w:sz w:val="18"/>
              </w:rPr>
              <w:t>educate </w:t>
            </w:r>
            <w:r>
              <w:rPr>
                <w:color w:val="105C84"/>
                <w:sz w:val="18"/>
              </w:rPr>
              <w:t>the public by providing informational presentations to parents, community groups, schools as requested</w:t>
            </w:r>
          </w:p>
          <w:p>
            <w:pPr>
              <w:pStyle w:val="TableParagraph"/>
              <w:spacing w:line="232" w:lineRule="auto" w:before="86"/>
              <w:ind w:left="91"/>
              <w:rPr>
                <w:sz w:val="18"/>
              </w:rPr>
            </w:pPr>
            <w:r>
              <w:rPr>
                <w:color w:val="105C84"/>
                <w:sz w:val="18"/>
              </w:rPr>
              <w:t>TACFL will provide education and resource</w:t>
            </w:r>
            <w:r>
              <w:rPr>
                <w:color w:val="105C84"/>
                <w:spacing w:val="-2"/>
                <w:sz w:val="18"/>
              </w:rPr>
              <w:t> </w:t>
            </w:r>
            <w:r>
              <w:rPr>
                <w:color w:val="105C84"/>
                <w:sz w:val="18"/>
              </w:rPr>
              <w:t>support</w:t>
            </w:r>
            <w:r>
              <w:rPr>
                <w:color w:val="105C84"/>
                <w:spacing w:val="-2"/>
                <w:sz w:val="18"/>
              </w:rPr>
              <w:t> </w:t>
            </w:r>
            <w:r>
              <w:rPr>
                <w:color w:val="105C84"/>
                <w:sz w:val="18"/>
              </w:rPr>
              <w:t>to</w:t>
            </w:r>
            <w:r>
              <w:rPr>
                <w:color w:val="105C84"/>
                <w:spacing w:val="-2"/>
                <w:sz w:val="18"/>
              </w:rPr>
              <w:t> </w:t>
            </w:r>
            <w:r>
              <w:rPr>
                <w:color w:val="105C84"/>
                <w:sz w:val="18"/>
              </w:rPr>
              <w:t>educate</w:t>
            </w:r>
            <w:r>
              <w:rPr>
                <w:color w:val="105C84"/>
                <w:spacing w:val="-2"/>
                <w:sz w:val="18"/>
              </w:rPr>
              <w:t> </w:t>
            </w:r>
            <w:r>
              <w:rPr>
                <w:color w:val="105C84"/>
                <w:sz w:val="18"/>
              </w:rPr>
              <w:t>youth</w:t>
            </w:r>
            <w:r>
              <w:rPr>
                <w:color w:val="105C84"/>
                <w:spacing w:val="-2"/>
                <w:sz w:val="18"/>
              </w:rPr>
              <w:t> </w:t>
            </w:r>
            <w:r>
              <w:rPr>
                <w:color w:val="105C84"/>
                <w:sz w:val="18"/>
              </w:rPr>
              <w:t>and adults about the dangers of vaping</w:t>
            </w:r>
          </w:p>
          <w:p>
            <w:pPr>
              <w:pStyle w:val="TableParagraph"/>
              <w:spacing w:line="232" w:lineRule="auto" w:before="87"/>
              <w:ind w:left="91" w:right="164"/>
              <w:rPr>
                <w:sz w:val="18"/>
              </w:rPr>
            </w:pPr>
            <w:r>
              <w:rPr>
                <w:color w:val="105C84"/>
                <w:sz w:val="18"/>
              </w:rPr>
              <w:t>Council on Alcoholism will </w:t>
            </w:r>
            <w:r>
              <w:rPr>
                <w:color w:val="105C84"/>
                <w:sz w:val="18"/>
              </w:rPr>
              <w:t>incorporate e-cigs into their in plain sight </w:t>
            </w:r>
            <w:r>
              <w:rPr>
                <w:color w:val="105C84"/>
                <w:spacing w:val="-2"/>
                <w:sz w:val="18"/>
              </w:rPr>
              <w:t>presentations</w:t>
            </w:r>
          </w:p>
        </w:tc>
      </w:tr>
      <w:tr>
        <w:trPr>
          <w:trHeight w:val="3211" w:hRule="atLeast"/>
        </w:trPr>
        <w:tc>
          <w:tcPr>
            <w:tcW w:w="921" w:type="dxa"/>
            <w:vMerge/>
            <w:tcBorders>
              <w:top w:val="nil"/>
            </w:tcBorders>
            <w:shd w:val="clear" w:color="auto" w:fill="E6E7E8"/>
          </w:tcPr>
          <w:p>
            <w:pPr>
              <w:rPr>
                <w:sz w:val="2"/>
                <w:szCs w:val="2"/>
              </w:rPr>
            </w:pPr>
          </w:p>
        </w:tc>
        <w:tc>
          <w:tcPr>
            <w:tcW w:w="1353" w:type="dxa"/>
          </w:tcPr>
          <w:p>
            <w:pPr>
              <w:pStyle w:val="TableParagraph"/>
              <w:spacing w:line="232" w:lineRule="auto" w:before="98"/>
              <w:ind w:left="90" w:right="187"/>
              <w:rPr>
                <w:sz w:val="18"/>
              </w:rPr>
            </w:pPr>
            <w:r>
              <w:rPr>
                <w:color w:val="105C84"/>
                <w:sz w:val="18"/>
              </w:rPr>
              <w:t>Focus Area 4:</w:t>
            </w:r>
            <w:r>
              <w:rPr>
                <w:color w:val="105C84"/>
                <w:spacing w:val="-13"/>
                <w:sz w:val="18"/>
              </w:rPr>
              <w:t> </w:t>
            </w:r>
            <w:r>
              <w:rPr>
                <w:color w:val="105C84"/>
                <w:sz w:val="18"/>
              </w:rPr>
              <w:t>Preventive care and </w:t>
            </w:r>
            <w:r>
              <w:rPr>
                <w:color w:val="105C84"/>
                <w:spacing w:val="-2"/>
                <w:sz w:val="18"/>
              </w:rPr>
              <w:t>management</w:t>
            </w:r>
          </w:p>
        </w:tc>
        <w:tc>
          <w:tcPr>
            <w:tcW w:w="1670" w:type="dxa"/>
          </w:tcPr>
          <w:p>
            <w:pPr>
              <w:pStyle w:val="TableParagraph"/>
              <w:spacing w:line="232" w:lineRule="auto" w:before="98"/>
              <w:ind w:left="90" w:right="373"/>
              <w:rPr>
                <w:sz w:val="18"/>
              </w:rPr>
            </w:pPr>
            <w:r>
              <w:rPr>
                <w:color w:val="105C84"/>
                <w:sz w:val="18"/>
              </w:rPr>
              <w:t>Goal 4.4: In</w:t>
            </w:r>
            <w:r>
              <w:rPr>
                <w:color w:val="105C84"/>
                <w:spacing w:val="40"/>
                <w:sz w:val="18"/>
              </w:rPr>
              <w:t> </w:t>
            </w:r>
            <w:r>
              <w:rPr>
                <w:color w:val="105C84"/>
                <w:sz w:val="18"/>
              </w:rPr>
              <w:t>the</w:t>
            </w:r>
            <w:r>
              <w:rPr>
                <w:color w:val="105C84"/>
                <w:spacing w:val="-13"/>
                <w:sz w:val="18"/>
              </w:rPr>
              <w:t> </w:t>
            </w:r>
            <w:r>
              <w:rPr>
                <w:color w:val="105C84"/>
                <w:sz w:val="18"/>
              </w:rPr>
              <w:t>community</w:t>
            </w:r>
          </w:p>
          <w:p>
            <w:pPr>
              <w:pStyle w:val="TableParagraph"/>
              <w:spacing w:line="232" w:lineRule="auto"/>
              <w:ind w:left="90" w:right="170"/>
              <w:rPr>
                <w:sz w:val="18"/>
              </w:rPr>
            </w:pPr>
            <w:r>
              <w:rPr>
                <w:color w:val="105C84"/>
                <w:sz w:val="18"/>
              </w:rPr>
              <w:t>setting, improve </w:t>
            </w:r>
            <w:r>
              <w:rPr>
                <w:color w:val="105C84"/>
                <w:spacing w:val="-2"/>
                <w:sz w:val="18"/>
              </w:rPr>
              <w:t>self-</w:t>
            </w:r>
            <w:r>
              <w:rPr>
                <w:color w:val="105C84"/>
                <w:spacing w:val="-2"/>
                <w:sz w:val="18"/>
              </w:rPr>
              <w:t>management </w:t>
            </w:r>
            <w:r>
              <w:rPr>
                <w:color w:val="105C84"/>
                <w:sz w:val="18"/>
              </w:rPr>
              <w:t>skills for individuals with chronic</w:t>
            </w:r>
            <w:r>
              <w:rPr>
                <w:color w:val="105C84"/>
                <w:spacing w:val="-13"/>
                <w:sz w:val="18"/>
              </w:rPr>
              <w:t> </w:t>
            </w:r>
            <w:r>
              <w:rPr>
                <w:color w:val="105C84"/>
                <w:sz w:val="18"/>
              </w:rPr>
              <w:t>diseases, </w:t>
            </w:r>
            <w:r>
              <w:rPr>
                <w:color w:val="105C84"/>
                <w:spacing w:val="-2"/>
                <w:sz w:val="18"/>
              </w:rPr>
              <w:t>including</w:t>
            </w:r>
            <w:r>
              <w:rPr>
                <w:color w:val="105C84"/>
                <w:spacing w:val="80"/>
                <w:sz w:val="18"/>
              </w:rPr>
              <w:t> </w:t>
            </w:r>
            <w:r>
              <w:rPr>
                <w:color w:val="105C84"/>
                <w:sz w:val="18"/>
              </w:rPr>
              <w:t>asthma, arthritis, </w:t>
            </w:r>
            <w:r>
              <w:rPr>
                <w:color w:val="105C84"/>
                <w:spacing w:val="-2"/>
                <w:sz w:val="18"/>
              </w:rPr>
              <w:t>cardiovascular </w:t>
            </w:r>
            <w:r>
              <w:rPr>
                <w:color w:val="105C84"/>
                <w:sz w:val="18"/>
              </w:rPr>
              <w:t>disease,</w:t>
            </w:r>
            <w:r>
              <w:rPr>
                <w:color w:val="105C84"/>
                <w:spacing w:val="-13"/>
                <w:sz w:val="18"/>
              </w:rPr>
              <w:t> </w:t>
            </w:r>
            <w:r>
              <w:rPr>
                <w:color w:val="105C84"/>
                <w:sz w:val="18"/>
              </w:rPr>
              <w:t>diabetes and prediabetes and obesity</w:t>
            </w:r>
          </w:p>
        </w:tc>
        <w:tc>
          <w:tcPr>
            <w:tcW w:w="1605" w:type="dxa"/>
          </w:tcPr>
          <w:p>
            <w:pPr>
              <w:pStyle w:val="TableParagraph"/>
              <w:spacing w:line="232" w:lineRule="auto" w:before="97"/>
              <w:ind w:left="91" w:right="276"/>
              <w:rPr>
                <w:sz w:val="18"/>
              </w:rPr>
            </w:pPr>
            <w:r>
              <w:rPr>
                <w:color w:val="105C84"/>
                <w:sz w:val="18"/>
              </w:rPr>
              <w:t>4.4.1 Increase the</w:t>
            </w:r>
            <w:r>
              <w:rPr>
                <w:color w:val="105C84"/>
                <w:spacing w:val="-13"/>
                <w:sz w:val="18"/>
              </w:rPr>
              <w:t> </w:t>
            </w:r>
            <w:r>
              <w:rPr>
                <w:color w:val="105C84"/>
                <w:sz w:val="18"/>
              </w:rPr>
              <w:t>percentage</w:t>
            </w:r>
            <w:r>
              <w:rPr>
                <w:color w:val="105C84"/>
                <w:sz w:val="18"/>
              </w:rPr>
              <w:t> of adults</w:t>
            </w:r>
          </w:p>
          <w:p>
            <w:pPr>
              <w:pStyle w:val="TableParagraph"/>
              <w:spacing w:line="232" w:lineRule="auto"/>
              <w:ind w:left="91" w:right="140"/>
              <w:rPr>
                <w:sz w:val="18"/>
              </w:rPr>
            </w:pPr>
            <w:r>
              <w:rPr>
                <w:color w:val="105C84"/>
                <w:sz w:val="18"/>
              </w:rPr>
              <w:t>with chronic </w:t>
            </w:r>
            <w:r>
              <w:rPr>
                <w:color w:val="105C84"/>
                <w:spacing w:val="-2"/>
                <w:sz w:val="18"/>
              </w:rPr>
              <w:t>conditions (arthritis,</w:t>
            </w:r>
            <w:r>
              <w:rPr>
                <w:color w:val="105C84"/>
                <w:spacing w:val="-11"/>
                <w:sz w:val="18"/>
              </w:rPr>
              <w:t> </w:t>
            </w:r>
            <w:r>
              <w:rPr>
                <w:color w:val="105C84"/>
                <w:spacing w:val="-2"/>
                <w:sz w:val="18"/>
              </w:rPr>
              <w:t>asthma, </w:t>
            </w:r>
            <w:r>
              <w:rPr>
                <w:color w:val="105C84"/>
                <w:sz w:val="18"/>
              </w:rPr>
              <w:t>CVD, diabetes, CKD, cancer) who have taken a</w:t>
            </w:r>
            <w:r>
              <w:rPr>
                <w:color w:val="105C84"/>
                <w:spacing w:val="-13"/>
                <w:sz w:val="18"/>
              </w:rPr>
              <w:t> </w:t>
            </w:r>
            <w:r>
              <w:rPr>
                <w:color w:val="105C84"/>
                <w:sz w:val="18"/>
              </w:rPr>
              <w:t>course</w:t>
            </w:r>
            <w:r>
              <w:rPr>
                <w:color w:val="105C84"/>
                <w:spacing w:val="-12"/>
                <w:sz w:val="18"/>
              </w:rPr>
              <w:t> </w:t>
            </w:r>
            <w:r>
              <w:rPr>
                <w:color w:val="105C84"/>
                <w:sz w:val="18"/>
              </w:rPr>
              <w:t>or</w:t>
            </w:r>
            <w:r>
              <w:rPr>
                <w:color w:val="105C84"/>
                <w:spacing w:val="-13"/>
                <w:sz w:val="18"/>
              </w:rPr>
              <w:t> </w:t>
            </w:r>
            <w:r>
              <w:rPr>
                <w:color w:val="105C84"/>
                <w:sz w:val="18"/>
              </w:rPr>
              <w:t>class to learn how to manage their </w:t>
            </w:r>
            <w:r>
              <w:rPr>
                <w:color w:val="105C84"/>
                <w:spacing w:val="-2"/>
                <w:sz w:val="18"/>
              </w:rPr>
              <w:t>condition</w:t>
            </w:r>
          </w:p>
        </w:tc>
        <w:tc>
          <w:tcPr>
            <w:tcW w:w="1159" w:type="dxa"/>
          </w:tcPr>
          <w:p>
            <w:pPr>
              <w:pStyle w:val="TableParagraph"/>
              <w:spacing w:line="232" w:lineRule="auto" w:before="97"/>
              <w:ind w:left="91"/>
              <w:rPr>
                <w:sz w:val="18"/>
              </w:rPr>
            </w:pPr>
            <w:r>
              <w:rPr>
                <w:color w:val="105C84"/>
                <w:sz w:val="18"/>
              </w:rPr>
              <w:t>Low SES/ </w:t>
            </w:r>
            <w:r>
              <w:rPr>
                <w:color w:val="105C84"/>
                <w:spacing w:val="-2"/>
                <w:sz w:val="18"/>
              </w:rPr>
              <w:t>minority populations</w:t>
            </w:r>
          </w:p>
        </w:tc>
        <w:tc>
          <w:tcPr>
            <w:tcW w:w="1735" w:type="dxa"/>
          </w:tcPr>
          <w:p>
            <w:pPr>
              <w:pStyle w:val="TableParagraph"/>
              <w:spacing w:line="232" w:lineRule="auto" w:before="97"/>
              <w:ind w:left="91" w:right="103"/>
              <w:rPr>
                <w:sz w:val="18"/>
              </w:rPr>
            </w:pPr>
            <w:r>
              <w:rPr>
                <w:color w:val="105C84"/>
                <w:sz w:val="18"/>
              </w:rPr>
              <w:t>4.4.3 Expand access to the National Diabetes </w:t>
            </w:r>
            <w:r>
              <w:rPr>
                <w:color w:val="105C84"/>
                <w:spacing w:val="-2"/>
                <w:sz w:val="18"/>
              </w:rPr>
              <w:t>Prevention </w:t>
            </w:r>
            <w:r>
              <w:rPr>
                <w:color w:val="105C84"/>
                <w:sz w:val="18"/>
              </w:rPr>
              <w:t>Program (National DPP), a lifestyle change program</w:t>
            </w:r>
            <w:r>
              <w:rPr>
                <w:color w:val="105C84"/>
                <w:spacing w:val="40"/>
                <w:sz w:val="18"/>
              </w:rPr>
              <w:t> </w:t>
            </w:r>
            <w:r>
              <w:rPr>
                <w:color w:val="105C84"/>
                <w:sz w:val="18"/>
              </w:rPr>
              <w:t>for preventing </w:t>
            </w:r>
            <w:r>
              <w:rPr>
                <w:color w:val="105C84"/>
                <w:sz w:val="18"/>
              </w:rPr>
              <w:t>type</w:t>
            </w:r>
            <w:r>
              <w:rPr>
                <w:color w:val="105C84"/>
                <w:sz w:val="18"/>
              </w:rPr>
              <w:t> 2 diabetes</w:t>
            </w:r>
          </w:p>
        </w:tc>
        <w:tc>
          <w:tcPr>
            <w:tcW w:w="2780" w:type="dxa"/>
            <w:tcBorders>
              <w:right w:val="nil"/>
            </w:tcBorders>
          </w:tcPr>
          <w:p>
            <w:pPr>
              <w:pStyle w:val="TableParagraph"/>
              <w:spacing w:line="203" w:lineRule="exact" w:before="92"/>
              <w:ind w:left="92"/>
              <w:rPr>
                <w:sz w:val="18"/>
              </w:rPr>
            </w:pPr>
            <w:r>
              <w:rPr>
                <w:color w:val="105C84"/>
                <w:sz w:val="18"/>
              </w:rPr>
              <w:t>#</w:t>
            </w:r>
            <w:r>
              <w:rPr>
                <w:color w:val="105C84"/>
                <w:spacing w:val="-5"/>
                <w:sz w:val="18"/>
              </w:rPr>
              <w:t> </w:t>
            </w:r>
            <w:r>
              <w:rPr>
                <w:color w:val="105C84"/>
                <w:sz w:val="18"/>
              </w:rPr>
              <w:t>of</w:t>
            </w:r>
            <w:r>
              <w:rPr>
                <w:color w:val="105C84"/>
                <w:spacing w:val="-3"/>
                <w:sz w:val="18"/>
              </w:rPr>
              <w:t> </w:t>
            </w:r>
            <w:r>
              <w:rPr>
                <w:color w:val="105C84"/>
                <w:spacing w:val="-4"/>
                <w:sz w:val="18"/>
              </w:rPr>
              <w:t>NDPP</w:t>
            </w:r>
          </w:p>
          <w:p>
            <w:pPr>
              <w:pStyle w:val="TableParagraph"/>
              <w:spacing w:line="336" w:lineRule="auto"/>
              <w:ind w:left="92" w:right="1205"/>
              <w:rPr>
                <w:sz w:val="18"/>
              </w:rPr>
            </w:pPr>
            <w:r>
              <w:rPr>
                <w:color w:val="105C84"/>
                <w:sz w:val="18"/>
              </w:rPr>
              <w:t>workshops</w:t>
            </w:r>
            <w:r>
              <w:rPr>
                <w:color w:val="105C84"/>
                <w:spacing w:val="-13"/>
                <w:sz w:val="18"/>
              </w:rPr>
              <w:t> </w:t>
            </w:r>
            <w:r>
              <w:rPr>
                <w:color w:val="105C84"/>
                <w:sz w:val="18"/>
              </w:rPr>
              <w:t>offered # of participants</w:t>
            </w:r>
          </w:p>
          <w:p>
            <w:pPr>
              <w:pStyle w:val="TableParagraph"/>
              <w:spacing w:line="232" w:lineRule="auto" w:before="2"/>
              <w:ind w:left="92" w:right="1051"/>
              <w:rPr>
                <w:sz w:val="18"/>
              </w:rPr>
            </w:pPr>
            <w:r>
              <w:rPr>
                <w:color w:val="105C84"/>
                <w:sz w:val="18"/>
              </w:rPr>
              <w:t># of provider </w:t>
            </w:r>
            <w:r>
              <w:rPr>
                <w:color w:val="105C84"/>
                <w:spacing w:val="-2"/>
                <w:sz w:val="18"/>
              </w:rPr>
              <w:t>information</w:t>
            </w:r>
            <w:r>
              <w:rPr>
                <w:color w:val="105C84"/>
                <w:spacing w:val="-11"/>
                <w:sz w:val="18"/>
              </w:rPr>
              <w:t> </w:t>
            </w:r>
            <w:r>
              <w:rPr>
                <w:color w:val="105C84"/>
                <w:spacing w:val="-2"/>
                <w:sz w:val="18"/>
              </w:rPr>
              <w:t>sessions </w:t>
            </w:r>
            <w:r>
              <w:rPr>
                <w:color w:val="105C84"/>
                <w:sz w:val="18"/>
              </w:rPr>
              <w:t>offered</w:t>
            </w:r>
            <w:r>
              <w:rPr>
                <w:color w:val="105C84"/>
                <w:spacing w:val="10"/>
                <w:sz w:val="18"/>
              </w:rPr>
              <w:t> </w:t>
            </w:r>
            <w:r>
              <w:rPr>
                <w:color w:val="105C84"/>
                <w:sz w:val="18"/>
              </w:rPr>
              <w:t>about</w:t>
            </w:r>
            <w:r>
              <w:rPr>
                <w:color w:val="105C84"/>
                <w:spacing w:val="11"/>
                <w:sz w:val="18"/>
              </w:rPr>
              <w:t> </w:t>
            </w:r>
            <w:r>
              <w:rPr>
                <w:color w:val="105C84"/>
                <w:spacing w:val="-5"/>
                <w:sz w:val="18"/>
              </w:rPr>
              <w:t>NDPP</w:t>
            </w:r>
          </w:p>
        </w:tc>
        <w:tc>
          <w:tcPr>
            <w:tcW w:w="2908" w:type="dxa"/>
            <w:tcBorders>
              <w:left w:val="nil"/>
            </w:tcBorders>
          </w:tcPr>
          <w:p>
            <w:pPr>
              <w:pStyle w:val="TableParagraph"/>
              <w:spacing w:line="232" w:lineRule="auto" w:before="97"/>
              <w:ind w:left="1007" w:right="129"/>
              <w:jc w:val="both"/>
              <w:rPr>
                <w:sz w:val="18"/>
              </w:rPr>
            </w:pPr>
            <w:r>
              <w:rPr>
                <w:color w:val="105C84"/>
                <w:sz w:val="18"/>
              </w:rPr>
              <w:t>To</w:t>
            </w:r>
            <w:r>
              <w:rPr>
                <w:color w:val="105C84"/>
                <w:spacing w:val="-9"/>
                <w:sz w:val="18"/>
              </w:rPr>
              <w:t> </w:t>
            </w:r>
            <w:r>
              <w:rPr>
                <w:color w:val="105C84"/>
                <w:sz w:val="18"/>
              </w:rPr>
              <w:t>offer</w:t>
            </w:r>
            <w:r>
              <w:rPr>
                <w:color w:val="105C84"/>
                <w:spacing w:val="-9"/>
                <w:sz w:val="18"/>
              </w:rPr>
              <w:t> </w:t>
            </w:r>
            <w:r>
              <w:rPr>
                <w:color w:val="105C84"/>
                <w:sz w:val="18"/>
              </w:rPr>
              <w:t>and</w:t>
            </w:r>
            <w:r>
              <w:rPr>
                <w:color w:val="105C84"/>
                <w:spacing w:val="-9"/>
                <w:sz w:val="18"/>
              </w:rPr>
              <w:t> </w:t>
            </w:r>
            <w:r>
              <w:rPr>
                <w:color w:val="105C84"/>
                <w:sz w:val="18"/>
              </w:rPr>
              <w:t>complete at</w:t>
            </w:r>
            <w:r>
              <w:rPr>
                <w:color w:val="105C84"/>
                <w:spacing w:val="-9"/>
                <w:sz w:val="18"/>
              </w:rPr>
              <w:t> </w:t>
            </w:r>
            <w:r>
              <w:rPr>
                <w:color w:val="105C84"/>
                <w:sz w:val="18"/>
              </w:rPr>
              <w:t>least</w:t>
            </w:r>
            <w:r>
              <w:rPr>
                <w:color w:val="105C84"/>
                <w:spacing w:val="-9"/>
                <w:sz w:val="18"/>
              </w:rPr>
              <w:t> </w:t>
            </w:r>
            <w:r>
              <w:rPr>
                <w:color w:val="105C84"/>
                <w:sz w:val="18"/>
              </w:rPr>
              <w:t>1</w:t>
            </w:r>
            <w:r>
              <w:rPr>
                <w:color w:val="105C84"/>
                <w:spacing w:val="-9"/>
                <w:sz w:val="18"/>
              </w:rPr>
              <w:t> </w:t>
            </w:r>
            <w:r>
              <w:rPr>
                <w:color w:val="105C84"/>
                <w:sz w:val="18"/>
              </w:rPr>
              <w:t>NDPP</w:t>
            </w:r>
            <w:r>
              <w:rPr>
                <w:color w:val="105C84"/>
                <w:spacing w:val="-9"/>
                <w:sz w:val="18"/>
              </w:rPr>
              <w:t> </w:t>
            </w:r>
            <w:r>
              <w:rPr>
                <w:color w:val="105C84"/>
                <w:sz w:val="18"/>
              </w:rPr>
              <w:t>in</w:t>
            </w:r>
            <w:r>
              <w:rPr>
                <w:color w:val="105C84"/>
                <w:spacing w:val="-9"/>
                <w:sz w:val="18"/>
              </w:rPr>
              <w:t> </w:t>
            </w:r>
            <w:r>
              <w:rPr>
                <w:color w:val="105C84"/>
                <w:sz w:val="18"/>
              </w:rPr>
              <w:t>the </w:t>
            </w:r>
            <w:r>
              <w:rPr>
                <w:color w:val="105C84"/>
                <w:spacing w:val="-2"/>
                <w:sz w:val="18"/>
              </w:rPr>
              <w:t>community</w:t>
            </w:r>
          </w:p>
          <w:p>
            <w:pPr>
              <w:pStyle w:val="TableParagraph"/>
              <w:spacing w:line="232" w:lineRule="auto" w:before="87"/>
              <w:ind w:left="1007" w:right="82"/>
              <w:rPr>
                <w:sz w:val="18"/>
              </w:rPr>
            </w:pPr>
            <w:r>
              <w:rPr>
                <w:color w:val="105C84"/>
                <w:w w:val="105"/>
                <w:sz w:val="18"/>
              </w:rPr>
              <w:t>Finger Lakes Health will continue to refer their patients and</w:t>
            </w:r>
            <w:r>
              <w:rPr>
                <w:color w:val="105C84"/>
                <w:w w:val="105"/>
                <w:sz w:val="18"/>
              </w:rPr>
              <w:t> offer the diabetes </w:t>
            </w:r>
            <w:r>
              <w:rPr>
                <w:color w:val="105C84"/>
                <w:spacing w:val="-2"/>
                <w:w w:val="105"/>
                <w:sz w:val="18"/>
              </w:rPr>
              <w:t>prevention</w:t>
            </w:r>
            <w:r>
              <w:rPr>
                <w:color w:val="105C84"/>
                <w:spacing w:val="-12"/>
                <w:w w:val="105"/>
                <w:sz w:val="18"/>
              </w:rPr>
              <w:t> </w:t>
            </w:r>
            <w:r>
              <w:rPr>
                <w:color w:val="105C84"/>
                <w:spacing w:val="-2"/>
                <w:w w:val="105"/>
                <w:sz w:val="18"/>
              </w:rPr>
              <w:t>program</w:t>
            </w:r>
            <w:r>
              <w:rPr>
                <w:color w:val="105C84"/>
                <w:spacing w:val="-11"/>
                <w:w w:val="105"/>
                <w:sz w:val="18"/>
              </w:rPr>
              <w:t> </w:t>
            </w:r>
            <w:r>
              <w:rPr>
                <w:color w:val="105C84"/>
                <w:spacing w:val="-2"/>
                <w:w w:val="105"/>
                <w:sz w:val="18"/>
              </w:rPr>
              <w:t>to </w:t>
            </w:r>
            <w:r>
              <w:rPr>
                <w:color w:val="105C84"/>
                <w:w w:val="105"/>
                <w:sz w:val="18"/>
              </w:rPr>
              <w:t>their</w:t>
            </w:r>
            <w:r>
              <w:rPr>
                <w:color w:val="105C84"/>
                <w:spacing w:val="-1"/>
                <w:w w:val="105"/>
                <w:sz w:val="18"/>
              </w:rPr>
              <w:t> </w:t>
            </w:r>
            <w:r>
              <w:rPr>
                <w:color w:val="105C84"/>
                <w:w w:val="105"/>
                <w:sz w:val="18"/>
              </w:rPr>
              <w:t>patients</w:t>
            </w:r>
          </w:p>
          <w:p>
            <w:pPr>
              <w:pStyle w:val="TableParagraph"/>
              <w:spacing w:line="232" w:lineRule="auto" w:before="86"/>
              <w:ind w:left="1007" w:right="210"/>
              <w:rPr>
                <w:sz w:val="18"/>
              </w:rPr>
            </w:pPr>
            <w:r>
              <w:rPr>
                <w:color w:val="105C84"/>
                <w:sz w:val="18"/>
              </w:rPr>
              <w:t>At least 30 patients will have taken the program</w:t>
            </w:r>
            <w:r>
              <w:rPr>
                <w:color w:val="105C84"/>
                <w:spacing w:val="-2"/>
                <w:sz w:val="18"/>
              </w:rPr>
              <w:t> </w:t>
            </w:r>
            <w:r>
              <w:rPr>
                <w:color w:val="105C84"/>
                <w:sz w:val="18"/>
              </w:rPr>
              <w:t>by</w:t>
            </w:r>
            <w:r>
              <w:rPr>
                <w:color w:val="105C84"/>
                <w:spacing w:val="-2"/>
                <w:sz w:val="18"/>
              </w:rPr>
              <w:t> </w:t>
            </w:r>
            <w:r>
              <w:rPr>
                <w:color w:val="105C84"/>
                <w:sz w:val="18"/>
              </w:rPr>
              <w:t>the</w:t>
            </w:r>
            <w:r>
              <w:rPr>
                <w:color w:val="105C84"/>
                <w:spacing w:val="-2"/>
                <w:sz w:val="18"/>
              </w:rPr>
              <w:t> </w:t>
            </w:r>
            <w:r>
              <w:rPr>
                <w:color w:val="105C84"/>
                <w:sz w:val="18"/>
              </w:rPr>
              <w:t>end of year 1</w:t>
            </w:r>
          </w:p>
        </w:tc>
        <w:tc>
          <w:tcPr>
            <w:tcW w:w="1757" w:type="dxa"/>
          </w:tcPr>
          <w:p>
            <w:pPr>
              <w:pStyle w:val="TableParagraph"/>
              <w:spacing w:line="232" w:lineRule="auto" w:before="97"/>
              <w:ind w:left="92" w:right="191"/>
              <w:rPr>
                <w:sz w:val="18"/>
              </w:rPr>
            </w:pPr>
            <w:r>
              <w:rPr>
                <w:color w:val="105C84"/>
                <w:sz w:val="18"/>
              </w:rPr>
              <w:t>To</w:t>
            </w:r>
            <w:r>
              <w:rPr>
                <w:color w:val="105C84"/>
                <w:spacing w:val="-15"/>
                <w:sz w:val="18"/>
              </w:rPr>
              <w:t> </w:t>
            </w:r>
            <w:r>
              <w:rPr>
                <w:color w:val="105C84"/>
                <w:sz w:val="18"/>
              </w:rPr>
              <w:t>promote</w:t>
            </w:r>
            <w:r>
              <w:rPr>
                <w:color w:val="105C84"/>
                <w:spacing w:val="-12"/>
                <w:sz w:val="18"/>
              </w:rPr>
              <w:t> </w:t>
            </w:r>
            <w:r>
              <w:rPr>
                <w:color w:val="105C84"/>
                <w:sz w:val="18"/>
              </w:rPr>
              <w:t>NDPP programs in the community by reaching out to </w:t>
            </w:r>
            <w:r>
              <w:rPr>
                <w:color w:val="105C84"/>
                <w:spacing w:val="-2"/>
                <w:sz w:val="18"/>
              </w:rPr>
              <w:t>groups</w:t>
            </w:r>
          </w:p>
          <w:p>
            <w:pPr>
              <w:pStyle w:val="TableParagraph"/>
              <w:spacing w:line="232" w:lineRule="auto" w:before="86"/>
              <w:ind w:left="92" w:right="94"/>
              <w:rPr>
                <w:sz w:val="18"/>
              </w:rPr>
            </w:pPr>
            <w:r>
              <w:rPr>
                <w:color w:val="105C84"/>
                <w:sz w:val="18"/>
              </w:rPr>
              <w:t>Offering classes in a</w:t>
            </w:r>
            <w:r>
              <w:rPr>
                <w:color w:val="105C84"/>
                <w:spacing w:val="-7"/>
                <w:sz w:val="18"/>
              </w:rPr>
              <w:t> </w:t>
            </w:r>
            <w:r>
              <w:rPr>
                <w:color w:val="105C84"/>
                <w:sz w:val="18"/>
              </w:rPr>
              <w:t>variety</w:t>
            </w:r>
            <w:r>
              <w:rPr>
                <w:color w:val="105C84"/>
                <w:spacing w:val="-7"/>
                <w:sz w:val="18"/>
              </w:rPr>
              <w:t> </w:t>
            </w:r>
            <w:r>
              <w:rPr>
                <w:color w:val="105C84"/>
                <w:sz w:val="18"/>
              </w:rPr>
              <w:t>of</w:t>
            </w:r>
            <w:r>
              <w:rPr>
                <w:color w:val="105C84"/>
                <w:spacing w:val="-7"/>
                <w:sz w:val="18"/>
              </w:rPr>
              <w:t> </w:t>
            </w:r>
            <w:r>
              <w:rPr>
                <w:color w:val="105C84"/>
                <w:spacing w:val="-2"/>
                <w:sz w:val="18"/>
              </w:rPr>
              <w:t>settings</w:t>
            </w:r>
          </w:p>
          <w:p>
            <w:pPr>
              <w:pStyle w:val="TableParagraph"/>
              <w:spacing w:line="232" w:lineRule="auto" w:before="88"/>
              <w:ind w:left="92" w:right="78"/>
              <w:rPr>
                <w:sz w:val="18"/>
              </w:rPr>
            </w:pPr>
            <w:r>
              <w:rPr>
                <w:color w:val="105C84"/>
                <w:sz w:val="18"/>
              </w:rPr>
              <w:t>To increase provider</w:t>
            </w:r>
            <w:r>
              <w:rPr>
                <w:color w:val="105C84"/>
                <w:spacing w:val="-12"/>
                <w:sz w:val="18"/>
              </w:rPr>
              <w:t> </w:t>
            </w:r>
            <w:r>
              <w:rPr>
                <w:color w:val="105C84"/>
                <w:sz w:val="18"/>
              </w:rPr>
              <w:t>referrals</w:t>
            </w:r>
            <w:r>
              <w:rPr>
                <w:color w:val="105C84"/>
                <w:spacing w:val="-12"/>
                <w:sz w:val="18"/>
              </w:rPr>
              <w:t> </w:t>
            </w:r>
            <w:r>
              <w:rPr>
                <w:color w:val="105C84"/>
                <w:sz w:val="18"/>
              </w:rPr>
              <w:t>to community based NDPP and to the FLH Diabetes </w:t>
            </w:r>
            <w:r>
              <w:rPr>
                <w:color w:val="105C84"/>
                <w:spacing w:val="-2"/>
                <w:sz w:val="18"/>
              </w:rPr>
              <w:t>Center</w:t>
            </w:r>
          </w:p>
        </w:tc>
        <w:tc>
          <w:tcPr>
            <w:tcW w:w="1584" w:type="dxa"/>
          </w:tcPr>
          <w:p>
            <w:pPr>
              <w:pStyle w:val="TableParagraph"/>
              <w:spacing w:line="232" w:lineRule="auto" w:before="97"/>
              <w:ind w:left="91" w:right="435"/>
              <w:rPr>
                <w:sz w:val="18"/>
              </w:rPr>
            </w:pPr>
            <w:r>
              <w:rPr>
                <w:color w:val="105C84"/>
                <w:spacing w:val="-2"/>
                <w:sz w:val="18"/>
              </w:rPr>
              <w:t>To</w:t>
            </w:r>
            <w:r>
              <w:rPr>
                <w:color w:val="105C84"/>
                <w:spacing w:val="-11"/>
                <w:sz w:val="18"/>
              </w:rPr>
              <w:t> </w:t>
            </w:r>
            <w:r>
              <w:rPr>
                <w:color w:val="105C84"/>
                <w:spacing w:val="-2"/>
                <w:sz w:val="18"/>
              </w:rPr>
              <w:t>increase </w:t>
            </w:r>
            <w:r>
              <w:rPr>
                <w:color w:val="105C84"/>
                <w:spacing w:val="-4"/>
                <w:w w:val="105"/>
                <w:sz w:val="18"/>
              </w:rPr>
              <w:t>the</w:t>
            </w:r>
            <w:r>
              <w:rPr>
                <w:color w:val="105C84"/>
                <w:spacing w:val="-10"/>
                <w:w w:val="105"/>
                <w:sz w:val="18"/>
              </w:rPr>
              <w:t> </w:t>
            </w:r>
            <w:r>
              <w:rPr>
                <w:color w:val="105C84"/>
                <w:spacing w:val="-4"/>
                <w:w w:val="105"/>
                <w:sz w:val="18"/>
              </w:rPr>
              <w:t>number </w:t>
            </w:r>
            <w:r>
              <w:rPr>
                <w:color w:val="105C84"/>
                <w:w w:val="105"/>
                <w:sz w:val="18"/>
              </w:rPr>
              <w:t>of</w:t>
            </w:r>
            <w:r>
              <w:rPr>
                <w:color w:val="105C84"/>
                <w:spacing w:val="-1"/>
                <w:w w:val="105"/>
                <w:sz w:val="18"/>
              </w:rPr>
              <w:t> </w:t>
            </w:r>
            <w:r>
              <w:rPr>
                <w:color w:val="105C84"/>
                <w:w w:val="105"/>
                <w:sz w:val="18"/>
              </w:rPr>
              <w:t>patients </w:t>
            </w:r>
            <w:r>
              <w:rPr>
                <w:color w:val="105C84"/>
                <w:spacing w:val="-2"/>
                <w:w w:val="105"/>
                <w:sz w:val="18"/>
              </w:rPr>
              <w:t>completing</w:t>
            </w:r>
          </w:p>
          <w:p>
            <w:pPr>
              <w:pStyle w:val="TableParagraph"/>
              <w:spacing w:line="199" w:lineRule="exact"/>
              <w:ind w:left="91"/>
              <w:rPr>
                <w:sz w:val="18"/>
              </w:rPr>
            </w:pPr>
            <w:r>
              <w:rPr>
                <w:color w:val="105C84"/>
                <w:spacing w:val="-6"/>
                <w:sz w:val="18"/>
              </w:rPr>
              <w:t>NDPP</w:t>
            </w:r>
            <w:r>
              <w:rPr>
                <w:color w:val="105C84"/>
                <w:spacing w:val="-7"/>
                <w:sz w:val="18"/>
              </w:rPr>
              <w:t> </w:t>
            </w:r>
            <w:r>
              <w:rPr>
                <w:color w:val="105C84"/>
                <w:spacing w:val="-2"/>
                <w:sz w:val="18"/>
              </w:rPr>
              <w:t>workshops</w:t>
            </w:r>
          </w:p>
        </w:tc>
        <w:tc>
          <w:tcPr>
            <w:tcW w:w="1498" w:type="dxa"/>
          </w:tcPr>
          <w:p>
            <w:pPr>
              <w:pStyle w:val="TableParagraph"/>
              <w:spacing w:before="91"/>
              <w:ind w:left="91"/>
              <w:rPr>
                <w:sz w:val="18"/>
              </w:rPr>
            </w:pPr>
            <w:r>
              <w:rPr>
                <w:color w:val="105C84"/>
                <w:spacing w:val="-2"/>
                <w:sz w:val="18"/>
              </w:rPr>
              <w:t>Providers</w:t>
            </w:r>
          </w:p>
        </w:tc>
        <w:tc>
          <w:tcPr>
            <w:tcW w:w="3336" w:type="dxa"/>
          </w:tcPr>
          <w:p>
            <w:pPr>
              <w:pStyle w:val="TableParagraph"/>
              <w:spacing w:line="232" w:lineRule="auto" w:before="97"/>
              <w:ind w:left="91" w:right="235"/>
              <w:rPr>
                <w:sz w:val="18"/>
              </w:rPr>
            </w:pPr>
            <w:r>
              <w:rPr>
                <w:color w:val="105C84"/>
                <w:sz w:val="18"/>
              </w:rPr>
              <w:t>.05 FTE-Seneca County Health Department</w:t>
            </w:r>
            <w:r>
              <w:rPr>
                <w:color w:val="105C84"/>
                <w:spacing w:val="-1"/>
                <w:sz w:val="18"/>
              </w:rPr>
              <w:t> </w:t>
            </w:r>
            <w:r>
              <w:rPr>
                <w:color w:val="105C84"/>
                <w:sz w:val="18"/>
              </w:rPr>
              <w:t>Health</w:t>
            </w:r>
            <w:r>
              <w:rPr>
                <w:color w:val="105C84"/>
                <w:spacing w:val="-1"/>
                <w:sz w:val="18"/>
              </w:rPr>
              <w:t> </w:t>
            </w:r>
            <w:r>
              <w:rPr>
                <w:color w:val="105C84"/>
                <w:sz w:val="18"/>
              </w:rPr>
              <w:t>Educator</w:t>
            </w:r>
            <w:r>
              <w:rPr>
                <w:color w:val="105C84"/>
                <w:spacing w:val="-1"/>
                <w:sz w:val="18"/>
              </w:rPr>
              <w:t> </w:t>
            </w:r>
            <w:r>
              <w:rPr>
                <w:color w:val="105C84"/>
                <w:sz w:val="18"/>
              </w:rPr>
              <w:t>wil</w:t>
            </w:r>
            <w:r>
              <w:rPr>
                <w:color w:val="105C84"/>
                <w:sz w:val="18"/>
              </w:rPr>
              <w:t>l</w:t>
            </w:r>
            <w:r>
              <w:rPr>
                <w:color w:val="105C84"/>
                <w:sz w:val="18"/>
              </w:rPr>
              <w:t> facilitate NDPP workshops</w:t>
            </w:r>
          </w:p>
          <w:p>
            <w:pPr>
              <w:pStyle w:val="TableParagraph"/>
              <w:spacing w:line="232" w:lineRule="auto" w:before="87"/>
              <w:ind w:left="91" w:right="23"/>
              <w:rPr>
                <w:sz w:val="18"/>
              </w:rPr>
            </w:pPr>
            <w:r>
              <w:rPr>
                <w:color w:val="105C84"/>
                <w:sz w:val="18"/>
              </w:rPr>
              <w:t>Finger</w:t>
            </w:r>
            <w:r>
              <w:rPr>
                <w:color w:val="105C84"/>
                <w:spacing w:val="-13"/>
                <w:sz w:val="18"/>
              </w:rPr>
              <w:t> </w:t>
            </w:r>
            <w:r>
              <w:rPr>
                <w:color w:val="105C84"/>
                <w:sz w:val="18"/>
              </w:rPr>
              <w:t>Lakes</w:t>
            </w:r>
            <w:r>
              <w:rPr>
                <w:color w:val="105C84"/>
                <w:spacing w:val="-12"/>
                <w:sz w:val="18"/>
              </w:rPr>
              <w:t> </w:t>
            </w:r>
            <w:r>
              <w:rPr>
                <w:color w:val="105C84"/>
                <w:sz w:val="18"/>
              </w:rPr>
              <w:t>Health</w:t>
            </w:r>
            <w:r>
              <w:rPr>
                <w:color w:val="105C84"/>
                <w:spacing w:val="-13"/>
                <w:sz w:val="18"/>
              </w:rPr>
              <w:t> </w:t>
            </w:r>
            <w:r>
              <w:rPr>
                <w:color w:val="105C84"/>
                <w:sz w:val="18"/>
              </w:rPr>
              <w:t>will</w:t>
            </w:r>
            <w:r>
              <w:rPr>
                <w:color w:val="105C84"/>
                <w:spacing w:val="-12"/>
                <w:sz w:val="18"/>
              </w:rPr>
              <w:t> </w:t>
            </w:r>
            <w:r>
              <w:rPr>
                <w:color w:val="105C84"/>
                <w:sz w:val="18"/>
              </w:rPr>
              <w:t>facilitate</w:t>
            </w:r>
            <w:r>
              <w:rPr>
                <w:color w:val="105C84"/>
                <w:spacing w:val="-13"/>
                <w:sz w:val="18"/>
              </w:rPr>
              <w:t> </w:t>
            </w:r>
            <w:r>
              <w:rPr>
                <w:color w:val="105C84"/>
                <w:sz w:val="18"/>
              </w:rPr>
              <w:t>NDPP Workshops for their patients. Local medical providers including the FQHC will refer their pre-diabetic</w:t>
            </w:r>
            <w:r>
              <w:rPr>
                <w:color w:val="105C84"/>
                <w:spacing w:val="40"/>
                <w:sz w:val="18"/>
              </w:rPr>
              <w:t> </w:t>
            </w:r>
            <w:r>
              <w:rPr>
                <w:color w:val="105C84"/>
                <w:sz w:val="18"/>
              </w:rPr>
              <w:t>patients to the NDPP Program</w:t>
            </w:r>
          </w:p>
          <w:p>
            <w:pPr>
              <w:pStyle w:val="TableParagraph"/>
              <w:spacing w:line="232" w:lineRule="auto" w:before="86"/>
              <w:ind w:left="91"/>
              <w:rPr>
                <w:sz w:val="18"/>
              </w:rPr>
            </w:pPr>
            <w:r>
              <w:rPr>
                <w:color w:val="105C84"/>
                <w:spacing w:val="-2"/>
                <w:sz w:val="18"/>
              </w:rPr>
              <w:t>STEPS</w:t>
            </w:r>
            <w:r>
              <w:rPr>
                <w:color w:val="105C84"/>
                <w:spacing w:val="-13"/>
                <w:sz w:val="18"/>
              </w:rPr>
              <w:t> </w:t>
            </w:r>
            <w:r>
              <w:rPr>
                <w:color w:val="105C84"/>
                <w:spacing w:val="-2"/>
                <w:sz w:val="18"/>
              </w:rPr>
              <w:t>will</w:t>
            </w:r>
            <w:r>
              <w:rPr>
                <w:color w:val="105C84"/>
                <w:spacing w:val="-10"/>
                <w:sz w:val="18"/>
              </w:rPr>
              <w:t> </w:t>
            </w:r>
            <w:r>
              <w:rPr>
                <w:color w:val="105C84"/>
                <w:spacing w:val="-2"/>
                <w:sz w:val="18"/>
              </w:rPr>
              <w:t>promote</w:t>
            </w:r>
            <w:r>
              <w:rPr>
                <w:color w:val="105C84"/>
                <w:spacing w:val="-11"/>
                <w:sz w:val="18"/>
              </w:rPr>
              <w:t> </w:t>
            </w:r>
            <w:r>
              <w:rPr>
                <w:color w:val="105C84"/>
                <w:spacing w:val="-2"/>
                <w:sz w:val="18"/>
              </w:rPr>
              <w:t>NDPP</w:t>
            </w:r>
            <w:r>
              <w:rPr>
                <w:color w:val="105C84"/>
                <w:spacing w:val="-10"/>
                <w:sz w:val="18"/>
              </w:rPr>
              <w:t> </w:t>
            </w:r>
            <w:r>
              <w:rPr>
                <w:color w:val="105C84"/>
                <w:spacing w:val="-2"/>
                <w:sz w:val="18"/>
              </w:rPr>
              <w:t>workshops offered</w:t>
            </w:r>
          </w:p>
        </w:tc>
      </w:tr>
    </w:tbl>
    <w:p>
      <w:pPr>
        <w:pStyle w:val="BodyText"/>
        <w:rPr>
          <w:b/>
          <w:sz w:val="26"/>
        </w:rPr>
      </w:pPr>
    </w:p>
    <w:p>
      <w:pPr>
        <w:pStyle w:val="BodyText"/>
        <w:spacing w:before="195"/>
        <w:rPr>
          <w:b/>
          <w:sz w:val="26"/>
        </w:rPr>
      </w:pPr>
    </w:p>
    <w:p>
      <w:pPr>
        <w:tabs>
          <w:tab w:pos="23047" w:val="left" w:leader="none"/>
        </w:tabs>
        <w:spacing w:before="1"/>
        <w:ind w:left="0" w:right="0" w:firstLine="0"/>
        <w:jc w:val="left"/>
        <w:rPr>
          <w:b/>
          <w:sz w:val="26"/>
        </w:rPr>
      </w:pPr>
      <w:r>
        <w:rPr>
          <w:position w:val="-4"/>
        </w:rPr>
        <w:drawing>
          <wp:inline distT="0" distB="0" distL="0" distR="0">
            <wp:extent cx="568172" cy="184683"/>
            <wp:effectExtent l="0" t="0" r="0" b="0"/>
            <wp:docPr id="1911" name="Image 1911"/>
            <wp:cNvGraphicFramePr>
              <a:graphicFrameLocks/>
            </wp:cNvGraphicFramePr>
            <a:graphic>
              <a:graphicData uri="http://schemas.openxmlformats.org/drawingml/2006/picture">
                <pic:pic>
                  <pic:nvPicPr>
                    <pic:cNvPr id="1911" name="Image 1911"/>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13"/>
          <w:sz w:val="20"/>
        </w:rPr>
        <w:t> </w:t>
      </w:r>
      <w:r>
        <w:rPr>
          <w:b/>
          <w:color w:val="939598"/>
          <w:w w:val="105"/>
          <w:sz w:val="26"/>
        </w:rPr>
        <w:t>181</w:t>
      </w:r>
      <w:r>
        <w:rPr>
          <w:b/>
          <w:color w:val="939598"/>
          <w:sz w:val="26"/>
        </w:rPr>
        <w:tab/>
      </w:r>
      <w:r>
        <w:rPr>
          <w:b/>
          <w:color w:val="939598"/>
          <w:spacing w:val="-5"/>
          <w:w w:val="105"/>
          <w:sz w:val="26"/>
        </w:rPr>
        <w:t>182</w:t>
      </w:r>
    </w:p>
    <w:p>
      <w:pPr>
        <w:spacing w:after="0"/>
        <w:jc w:val="left"/>
        <w:rPr>
          <w:b/>
          <w:sz w:val="26"/>
        </w:rPr>
        <w:sectPr>
          <w:pgSz w:w="24480" w:h="15840" w:orient="landscape"/>
          <w:pgMar w:header="0" w:footer="0" w:top="860" w:bottom="0" w:left="0" w:right="720"/>
        </w:sectPr>
      </w:pPr>
    </w:p>
    <w:p>
      <w:pPr>
        <w:spacing w:before="607"/>
        <w:ind w:left="1089" w:right="0" w:firstLine="0"/>
        <w:jc w:val="left"/>
        <w:rPr>
          <w:sz w:val="54"/>
        </w:rPr>
      </w:pPr>
      <w:r>
        <w:rPr>
          <w:sz w:val="54"/>
        </w:rPr>
        <w:drawing>
          <wp:anchor distT="0" distB="0" distL="0" distR="0" allowOverlap="1" layoutInCell="1" locked="0" behindDoc="0" simplePos="0" relativeHeight="15984128">
            <wp:simplePos x="0" y="0"/>
            <wp:positionH relativeFrom="page">
              <wp:posOffset>14981556</wp:posOffset>
            </wp:positionH>
            <wp:positionV relativeFrom="page">
              <wp:posOffset>9668103</wp:posOffset>
            </wp:positionV>
            <wp:extent cx="563245" cy="184683"/>
            <wp:effectExtent l="0" t="0" r="0" b="0"/>
            <wp:wrapNone/>
            <wp:docPr id="1912" name="Image 1912"/>
            <wp:cNvGraphicFramePr>
              <a:graphicFrameLocks/>
            </wp:cNvGraphicFramePr>
            <a:graphic>
              <a:graphicData uri="http://schemas.openxmlformats.org/drawingml/2006/picture">
                <pic:pic>
                  <pic:nvPicPr>
                    <pic:cNvPr id="1912" name="Image 1912"/>
                    <pic:cNvPicPr/>
                  </pic:nvPicPr>
                  <pic:blipFill>
                    <a:blip r:embed="rId38" cstate="print"/>
                    <a:stretch>
                      <a:fillRect/>
                    </a:stretch>
                  </pic:blipFill>
                  <pic:spPr>
                    <a:xfrm>
                      <a:off x="0" y="0"/>
                      <a:ext cx="563245" cy="184683"/>
                    </a:xfrm>
                    <a:prstGeom prst="rect">
                      <a:avLst/>
                    </a:prstGeom>
                  </pic:spPr>
                </pic:pic>
              </a:graphicData>
            </a:graphic>
          </wp:anchor>
        </w:drawing>
      </w:r>
      <w:r>
        <w:rPr>
          <w:sz w:val="54"/>
        </w:rPr>
        <w:drawing>
          <wp:anchor distT="0" distB="0" distL="0" distR="0" allowOverlap="1" layoutInCell="1" locked="0" behindDoc="0" simplePos="0" relativeHeight="15984640">
            <wp:simplePos x="0" y="0"/>
            <wp:positionH relativeFrom="page">
              <wp:posOffset>14227238</wp:posOffset>
            </wp:positionH>
            <wp:positionV relativeFrom="paragraph">
              <wp:posOffset>365759</wp:posOffset>
            </wp:positionV>
            <wp:extent cx="688237" cy="640537"/>
            <wp:effectExtent l="0" t="0" r="0" b="0"/>
            <wp:wrapNone/>
            <wp:docPr id="1913" name="Image 1913"/>
            <wp:cNvGraphicFramePr>
              <a:graphicFrameLocks/>
            </wp:cNvGraphicFramePr>
            <a:graphic>
              <a:graphicData uri="http://schemas.openxmlformats.org/drawingml/2006/picture">
                <pic:pic>
                  <pic:nvPicPr>
                    <pic:cNvPr id="1913" name="Image 1913"/>
                    <pic:cNvPicPr/>
                  </pic:nvPicPr>
                  <pic:blipFill>
                    <a:blip r:embed="rId256" cstate="print"/>
                    <a:stretch>
                      <a:fillRect/>
                    </a:stretch>
                  </pic:blipFill>
                  <pic:spPr>
                    <a:xfrm>
                      <a:off x="0" y="0"/>
                      <a:ext cx="688237" cy="640537"/>
                    </a:xfrm>
                    <a:prstGeom prst="rect">
                      <a:avLst/>
                    </a:prstGeom>
                  </pic:spPr>
                </pic:pic>
              </a:graphicData>
            </a:graphic>
          </wp:anchor>
        </w:drawing>
      </w:r>
      <w:r>
        <w:rPr>
          <w:sz w:val="54"/>
        </w:rPr>
        <w:drawing>
          <wp:anchor distT="0" distB="0" distL="0" distR="0" allowOverlap="1" layoutInCell="1" locked="0" behindDoc="0" simplePos="0" relativeHeight="15985152">
            <wp:simplePos x="0" y="0"/>
            <wp:positionH relativeFrom="page">
              <wp:posOffset>10990759</wp:posOffset>
            </wp:positionH>
            <wp:positionV relativeFrom="paragraph">
              <wp:posOffset>240004</wp:posOffset>
            </wp:positionV>
            <wp:extent cx="1627045" cy="526160"/>
            <wp:effectExtent l="0" t="0" r="0" b="0"/>
            <wp:wrapNone/>
            <wp:docPr id="1914" name="Image 1914"/>
            <wp:cNvGraphicFramePr>
              <a:graphicFrameLocks/>
            </wp:cNvGraphicFramePr>
            <a:graphic>
              <a:graphicData uri="http://schemas.openxmlformats.org/drawingml/2006/picture">
                <pic:pic>
                  <pic:nvPicPr>
                    <pic:cNvPr id="1914" name="Image 1914"/>
                    <pic:cNvPicPr/>
                  </pic:nvPicPr>
                  <pic:blipFill>
                    <a:blip r:embed="rId251" cstate="print"/>
                    <a:stretch>
                      <a:fillRect/>
                    </a:stretch>
                  </pic:blipFill>
                  <pic:spPr>
                    <a:xfrm>
                      <a:off x="0" y="0"/>
                      <a:ext cx="1627045" cy="526160"/>
                    </a:xfrm>
                    <a:prstGeom prst="rect">
                      <a:avLst/>
                    </a:prstGeom>
                  </pic:spPr>
                </pic:pic>
              </a:graphicData>
            </a:graphic>
          </wp:anchor>
        </w:drawing>
      </w:r>
      <w:r>
        <w:rPr>
          <w:sz w:val="54"/>
        </w:rPr>
        <w:drawing>
          <wp:anchor distT="0" distB="0" distL="0" distR="0" allowOverlap="1" layoutInCell="1" locked="0" behindDoc="0" simplePos="0" relativeHeight="15985664">
            <wp:simplePos x="0" y="0"/>
            <wp:positionH relativeFrom="page">
              <wp:posOffset>12714085</wp:posOffset>
            </wp:positionH>
            <wp:positionV relativeFrom="paragraph">
              <wp:posOffset>347004</wp:posOffset>
            </wp:positionV>
            <wp:extent cx="1459113" cy="474391"/>
            <wp:effectExtent l="0" t="0" r="0" b="0"/>
            <wp:wrapNone/>
            <wp:docPr id="1915" name="Image 1915"/>
            <wp:cNvGraphicFramePr>
              <a:graphicFrameLocks/>
            </wp:cNvGraphicFramePr>
            <a:graphic>
              <a:graphicData uri="http://schemas.openxmlformats.org/drawingml/2006/picture">
                <pic:pic>
                  <pic:nvPicPr>
                    <pic:cNvPr id="1915" name="Image 1915"/>
                    <pic:cNvPicPr/>
                  </pic:nvPicPr>
                  <pic:blipFill>
                    <a:blip r:embed="rId257" cstate="print"/>
                    <a:stretch>
                      <a:fillRect/>
                    </a:stretch>
                  </pic:blipFill>
                  <pic:spPr>
                    <a:xfrm>
                      <a:off x="0" y="0"/>
                      <a:ext cx="1459113" cy="474391"/>
                    </a:xfrm>
                    <a:prstGeom prst="rect">
                      <a:avLst/>
                    </a:prstGeom>
                  </pic:spPr>
                </pic:pic>
              </a:graphicData>
            </a:graphic>
          </wp:anchor>
        </w:drawing>
      </w:r>
      <w:r>
        <w:rPr>
          <w:color w:val="636466"/>
          <w:sz w:val="54"/>
        </w:rPr>
        <w:t>Seneca</w:t>
      </w:r>
      <w:r>
        <w:rPr>
          <w:color w:val="636466"/>
          <w:spacing w:val="24"/>
          <w:sz w:val="54"/>
        </w:rPr>
        <w:t> </w:t>
      </w:r>
      <w:r>
        <w:rPr>
          <w:color w:val="636466"/>
          <w:sz w:val="54"/>
        </w:rPr>
        <w:t>County</w:t>
      </w:r>
      <w:r>
        <w:rPr>
          <w:color w:val="636466"/>
          <w:spacing w:val="24"/>
          <w:sz w:val="54"/>
        </w:rPr>
        <w:t> </w:t>
      </w:r>
      <w:r>
        <w:rPr>
          <w:color w:val="636466"/>
          <w:sz w:val="54"/>
        </w:rPr>
        <w:t>Appendix</w:t>
      </w:r>
      <w:r>
        <w:rPr>
          <w:color w:val="636466"/>
          <w:spacing w:val="24"/>
          <w:sz w:val="54"/>
        </w:rPr>
        <w:t> </w:t>
      </w:r>
      <w:r>
        <w:rPr>
          <w:color w:val="636466"/>
          <w:spacing w:val="-10"/>
          <w:sz w:val="54"/>
        </w:rPr>
        <w:t>E</w:t>
      </w:r>
    </w:p>
    <w:p>
      <w:pPr>
        <w:spacing w:before="235"/>
        <w:ind w:left="1089" w:right="0" w:firstLine="0"/>
        <w:jc w:val="left"/>
        <w:rPr>
          <w:b/>
          <w:sz w:val="32"/>
        </w:rPr>
      </w:pPr>
      <w:r>
        <w:rPr>
          <w:b/>
          <w:color w:val="82BF6A"/>
          <w:spacing w:val="-6"/>
          <w:sz w:val="32"/>
        </w:rPr>
        <w:t>PRIORITY:</w:t>
      </w:r>
      <w:r>
        <w:rPr>
          <w:b/>
          <w:color w:val="82BF6A"/>
          <w:spacing w:val="-13"/>
          <w:sz w:val="32"/>
        </w:rPr>
        <w:t> </w:t>
      </w:r>
      <w:r>
        <w:rPr>
          <w:b/>
          <w:color w:val="82BF6A"/>
          <w:spacing w:val="-6"/>
          <w:sz w:val="32"/>
        </w:rPr>
        <w:t>PREVENT</w:t>
      </w:r>
      <w:r>
        <w:rPr>
          <w:b/>
          <w:color w:val="82BF6A"/>
          <w:spacing w:val="-13"/>
          <w:sz w:val="32"/>
        </w:rPr>
        <w:t> </w:t>
      </w:r>
      <w:r>
        <w:rPr>
          <w:b/>
          <w:color w:val="82BF6A"/>
          <w:spacing w:val="-6"/>
          <w:sz w:val="32"/>
        </w:rPr>
        <w:t>CHRONIC</w:t>
      </w:r>
      <w:r>
        <w:rPr>
          <w:b/>
          <w:color w:val="82BF6A"/>
          <w:spacing w:val="-13"/>
          <w:sz w:val="32"/>
        </w:rPr>
        <w:t> </w:t>
      </w:r>
      <w:r>
        <w:rPr>
          <w:b/>
          <w:color w:val="82BF6A"/>
          <w:spacing w:val="-6"/>
          <w:sz w:val="32"/>
        </w:rPr>
        <w:t>DISEASES</w:t>
      </w:r>
    </w:p>
    <w:p>
      <w:pPr>
        <w:pStyle w:val="BodyText"/>
        <w:spacing w:before="8"/>
        <w:rPr>
          <w:b/>
          <w:sz w:val="16"/>
        </w:rPr>
      </w:pPr>
    </w:p>
    <w:tbl>
      <w:tblPr>
        <w:tblW w:w="0" w:type="auto"/>
        <w:jc w:val="left"/>
        <w:tblInd w:w="1099"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1008"/>
        <w:gridCol w:w="1325"/>
        <w:gridCol w:w="1671"/>
        <w:gridCol w:w="1606"/>
        <w:gridCol w:w="1217"/>
        <w:gridCol w:w="1735"/>
        <w:gridCol w:w="5429"/>
        <w:gridCol w:w="1383"/>
        <w:gridCol w:w="1268"/>
        <w:gridCol w:w="1498"/>
        <w:gridCol w:w="4092"/>
      </w:tblGrid>
      <w:tr>
        <w:trPr>
          <w:trHeight w:val="930" w:hRule="atLeast"/>
        </w:trPr>
        <w:tc>
          <w:tcPr>
            <w:tcW w:w="1008" w:type="dxa"/>
            <w:tcBorders>
              <w:right w:val="single" w:sz="4" w:space="0" w:color="FFFFFF"/>
            </w:tcBorders>
            <w:shd w:val="clear" w:color="auto" w:fill="A7A9AC"/>
          </w:tcPr>
          <w:p>
            <w:pPr>
              <w:pStyle w:val="TableParagraph"/>
              <w:spacing w:before="179"/>
              <w:rPr>
                <w:b/>
                <w:sz w:val="18"/>
              </w:rPr>
            </w:pPr>
          </w:p>
          <w:p>
            <w:pPr>
              <w:pStyle w:val="TableParagraph"/>
              <w:ind w:left="80"/>
              <w:rPr>
                <w:b/>
                <w:sz w:val="18"/>
              </w:rPr>
            </w:pPr>
            <w:r>
              <w:rPr>
                <w:b/>
                <w:color w:val="FFFFFF"/>
                <w:spacing w:val="-2"/>
                <w:sz w:val="18"/>
              </w:rPr>
              <w:t>Priority</w:t>
            </w:r>
          </w:p>
        </w:tc>
        <w:tc>
          <w:tcPr>
            <w:tcW w:w="1325" w:type="dxa"/>
            <w:tcBorders>
              <w:left w:val="single" w:sz="4" w:space="0" w:color="FFFFFF"/>
              <w:right w:val="single" w:sz="4" w:space="0" w:color="FFFFFF"/>
            </w:tcBorders>
            <w:shd w:val="clear" w:color="auto" w:fill="A7A9AC"/>
          </w:tcPr>
          <w:p>
            <w:pPr>
              <w:pStyle w:val="TableParagraph"/>
              <w:spacing w:before="179"/>
              <w:rPr>
                <w:b/>
                <w:sz w:val="18"/>
              </w:rPr>
            </w:pPr>
          </w:p>
          <w:p>
            <w:pPr>
              <w:pStyle w:val="TableParagraph"/>
              <w:ind w:left="79"/>
              <w:rPr>
                <w:b/>
                <w:sz w:val="18"/>
              </w:rPr>
            </w:pPr>
            <w:r>
              <w:rPr>
                <w:b/>
                <w:color w:val="FFFFFF"/>
                <w:w w:val="90"/>
                <w:sz w:val="18"/>
              </w:rPr>
              <w:t>Focus</w:t>
            </w:r>
            <w:r>
              <w:rPr>
                <w:b/>
                <w:color w:val="FFFFFF"/>
                <w:spacing w:val="8"/>
                <w:sz w:val="18"/>
              </w:rPr>
              <w:t> </w:t>
            </w:r>
            <w:r>
              <w:rPr>
                <w:b/>
                <w:color w:val="FFFFFF"/>
                <w:spacing w:val="-4"/>
                <w:sz w:val="18"/>
              </w:rPr>
              <w:t>Area</w:t>
            </w:r>
          </w:p>
        </w:tc>
        <w:tc>
          <w:tcPr>
            <w:tcW w:w="1671" w:type="dxa"/>
            <w:tcBorders>
              <w:left w:val="single" w:sz="4" w:space="0" w:color="FFFFFF"/>
              <w:right w:val="single" w:sz="4" w:space="0" w:color="FFFFFF"/>
            </w:tcBorders>
            <w:shd w:val="clear" w:color="auto" w:fill="A7A9AC"/>
          </w:tcPr>
          <w:p>
            <w:pPr>
              <w:pStyle w:val="TableParagraph"/>
              <w:spacing w:before="179"/>
              <w:rPr>
                <w:b/>
                <w:sz w:val="18"/>
              </w:rPr>
            </w:pPr>
          </w:p>
          <w:p>
            <w:pPr>
              <w:pStyle w:val="TableParagraph"/>
              <w:ind w:left="79"/>
              <w:rPr>
                <w:b/>
                <w:sz w:val="18"/>
              </w:rPr>
            </w:pPr>
            <w:r>
              <w:rPr>
                <w:b/>
                <w:color w:val="FFFFFF"/>
                <w:spacing w:val="-4"/>
                <w:sz w:val="18"/>
              </w:rPr>
              <w:t>Goal</w:t>
            </w:r>
            <w:r>
              <w:rPr>
                <w:b/>
                <w:color w:val="FFFFFF"/>
                <w:spacing w:val="-7"/>
                <w:sz w:val="18"/>
              </w:rPr>
              <w:t> </w:t>
            </w:r>
            <w:r>
              <w:rPr>
                <w:b/>
                <w:color w:val="FFFFFF"/>
                <w:spacing w:val="-4"/>
                <w:sz w:val="18"/>
              </w:rPr>
              <w:t>Focus</w:t>
            </w:r>
            <w:r>
              <w:rPr>
                <w:b/>
                <w:color w:val="FFFFFF"/>
                <w:spacing w:val="-7"/>
                <w:sz w:val="18"/>
              </w:rPr>
              <w:t> </w:t>
            </w:r>
            <w:r>
              <w:rPr>
                <w:b/>
                <w:color w:val="FFFFFF"/>
                <w:spacing w:val="-4"/>
                <w:sz w:val="18"/>
              </w:rPr>
              <w:t>Area</w:t>
            </w:r>
          </w:p>
        </w:tc>
        <w:tc>
          <w:tcPr>
            <w:tcW w:w="1606" w:type="dxa"/>
            <w:tcBorders>
              <w:left w:val="single" w:sz="4" w:space="0" w:color="FFFFFF"/>
              <w:right w:val="single" w:sz="4" w:space="0" w:color="FFFFFF"/>
            </w:tcBorders>
            <w:shd w:val="clear" w:color="auto" w:fill="A7A9AC"/>
          </w:tcPr>
          <w:p>
            <w:pPr>
              <w:pStyle w:val="TableParagraph"/>
              <w:spacing w:before="179"/>
              <w:rPr>
                <w:b/>
                <w:sz w:val="18"/>
              </w:rPr>
            </w:pPr>
          </w:p>
          <w:p>
            <w:pPr>
              <w:pStyle w:val="TableParagraph"/>
              <w:ind w:left="78"/>
              <w:rPr>
                <w:b/>
                <w:sz w:val="18"/>
              </w:rPr>
            </w:pPr>
            <w:r>
              <w:rPr>
                <w:b/>
                <w:color w:val="FFFFFF"/>
                <w:spacing w:val="-2"/>
                <w:sz w:val="18"/>
              </w:rPr>
              <w:t>Objectives</w:t>
            </w:r>
          </w:p>
        </w:tc>
        <w:tc>
          <w:tcPr>
            <w:tcW w:w="1217" w:type="dxa"/>
            <w:tcBorders>
              <w:left w:val="single" w:sz="4" w:space="0" w:color="FFFFFF"/>
              <w:right w:val="single" w:sz="4" w:space="0" w:color="FFFFFF"/>
            </w:tcBorders>
            <w:shd w:val="clear" w:color="auto" w:fill="A7A9AC"/>
          </w:tcPr>
          <w:p>
            <w:pPr>
              <w:pStyle w:val="TableParagraph"/>
              <w:spacing w:before="179"/>
              <w:rPr>
                <w:b/>
                <w:sz w:val="18"/>
              </w:rPr>
            </w:pPr>
          </w:p>
          <w:p>
            <w:pPr>
              <w:pStyle w:val="TableParagraph"/>
              <w:ind w:left="78"/>
              <w:rPr>
                <w:b/>
                <w:sz w:val="18"/>
              </w:rPr>
            </w:pPr>
            <w:r>
              <w:rPr>
                <w:b/>
                <w:color w:val="FFFFFF"/>
                <w:spacing w:val="-2"/>
                <w:sz w:val="18"/>
              </w:rPr>
              <w:t>Disparities</w:t>
            </w:r>
          </w:p>
        </w:tc>
        <w:tc>
          <w:tcPr>
            <w:tcW w:w="1735" w:type="dxa"/>
            <w:tcBorders>
              <w:left w:val="single" w:sz="4" w:space="0" w:color="FFFFFF"/>
              <w:right w:val="single" w:sz="4" w:space="0" w:color="FFFFFF"/>
            </w:tcBorders>
            <w:shd w:val="clear" w:color="auto" w:fill="A7A9AC"/>
          </w:tcPr>
          <w:p>
            <w:pPr>
              <w:pStyle w:val="TableParagraph"/>
              <w:spacing w:before="179"/>
              <w:rPr>
                <w:b/>
                <w:sz w:val="18"/>
              </w:rPr>
            </w:pPr>
          </w:p>
          <w:p>
            <w:pPr>
              <w:pStyle w:val="TableParagraph"/>
              <w:ind w:left="78"/>
              <w:rPr>
                <w:b/>
                <w:sz w:val="18"/>
              </w:rPr>
            </w:pPr>
            <w:r>
              <w:rPr>
                <w:b/>
                <w:color w:val="FFFFFF"/>
                <w:spacing w:val="-2"/>
                <w:sz w:val="18"/>
              </w:rPr>
              <w:t>Interventions</w:t>
            </w:r>
          </w:p>
        </w:tc>
        <w:tc>
          <w:tcPr>
            <w:tcW w:w="5429" w:type="dxa"/>
            <w:tcBorders>
              <w:left w:val="single" w:sz="4" w:space="0" w:color="FFFFFF"/>
              <w:right w:val="single" w:sz="4" w:space="0" w:color="FFFFFF"/>
            </w:tcBorders>
            <w:shd w:val="clear" w:color="auto" w:fill="A7A9AC"/>
          </w:tcPr>
          <w:p>
            <w:pPr>
              <w:pStyle w:val="TableParagraph"/>
              <w:spacing w:before="5"/>
              <w:rPr>
                <w:b/>
                <w:sz w:val="18"/>
              </w:rPr>
            </w:pPr>
          </w:p>
          <w:p>
            <w:pPr>
              <w:pStyle w:val="TableParagraph"/>
              <w:tabs>
                <w:tab w:pos="3670" w:val="left" w:leader="none"/>
              </w:tabs>
              <w:spacing w:line="146" w:lineRule="auto" w:before="1"/>
              <w:ind w:left="88"/>
              <w:rPr>
                <w:b/>
                <w:sz w:val="18"/>
              </w:rPr>
            </w:pPr>
            <w:r>
              <w:rPr>
                <w:b/>
                <w:color w:val="FFFFFF"/>
                <w:spacing w:val="-4"/>
                <w:position w:val="-9"/>
                <w:sz w:val="18"/>
              </w:rPr>
              <w:t>Family</w:t>
            </w:r>
            <w:r>
              <w:rPr>
                <w:b/>
                <w:color w:val="FFFFFF"/>
                <w:spacing w:val="-2"/>
                <w:position w:val="-9"/>
                <w:sz w:val="18"/>
              </w:rPr>
              <w:t> </w:t>
            </w:r>
            <w:r>
              <w:rPr>
                <w:b/>
                <w:color w:val="FFFFFF"/>
                <w:spacing w:val="-5"/>
                <w:position w:val="-9"/>
                <w:sz w:val="18"/>
              </w:rPr>
              <w:t>of</w:t>
            </w:r>
            <w:r>
              <w:rPr>
                <w:b/>
                <w:color w:val="FFFFFF"/>
                <w:position w:val="-9"/>
                <w:sz w:val="18"/>
              </w:rPr>
              <w:tab/>
            </w:r>
            <w:r>
              <w:rPr>
                <w:b/>
                <w:color w:val="FFFFFF"/>
                <w:sz w:val="18"/>
              </w:rPr>
              <w:t>Projected</w:t>
            </w:r>
            <w:r>
              <w:rPr>
                <w:b/>
                <w:color w:val="FFFFFF"/>
                <w:spacing w:val="-13"/>
                <w:sz w:val="18"/>
              </w:rPr>
              <w:t> </w:t>
            </w:r>
            <w:r>
              <w:rPr>
                <w:b/>
                <w:color w:val="FFFFFF"/>
                <w:spacing w:val="-5"/>
                <w:sz w:val="18"/>
              </w:rPr>
              <w:t>(or</w:t>
            </w:r>
          </w:p>
          <w:p>
            <w:pPr>
              <w:pStyle w:val="TableParagraph"/>
              <w:tabs>
                <w:tab w:pos="3670" w:val="left" w:leader="none"/>
              </w:tabs>
              <w:spacing w:line="146" w:lineRule="auto"/>
              <w:ind w:left="88"/>
              <w:rPr>
                <w:b/>
                <w:sz w:val="18"/>
              </w:rPr>
            </w:pPr>
            <w:r>
              <w:rPr>
                <w:b/>
                <w:color w:val="FFFFFF"/>
                <w:spacing w:val="-2"/>
                <w:position w:val="-9"/>
                <w:sz w:val="18"/>
              </w:rPr>
              <w:t>Measures</w:t>
            </w:r>
            <w:r>
              <w:rPr>
                <w:b/>
                <w:color w:val="FFFFFF"/>
                <w:position w:val="-9"/>
                <w:sz w:val="18"/>
              </w:rPr>
              <w:tab/>
            </w:r>
            <w:r>
              <w:rPr>
                <w:b/>
                <w:color w:val="FFFFFF"/>
                <w:spacing w:val="-2"/>
                <w:sz w:val="18"/>
              </w:rPr>
              <w:t>completed)</w:t>
            </w:r>
          </w:p>
          <w:p>
            <w:pPr>
              <w:pStyle w:val="TableParagraph"/>
              <w:spacing w:line="154" w:lineRule="exact"/>
              <w:ind w:right="139"/>
              <w:jc w:val="right"/>
              <w:rPr>
                <w:b/>
                <w:sz w:val="18"/>
              </w:rPr>
            </w:pPr>
            <w:r>
              <w:rPr>
                <w:b/>
                <w:color w:val="FFFFFF"/>
                <w:sz w:val="18"/>
              </w:rPr>
              <w:t>Year</w:t>
            </w:r>
            <w:r>
              <w:rPr>
                <w:b/>
                <w:color w:val="FFFFFF"/>
                <w:spacing w:val="-8"/>
                <w:sz w:val="18"/>
              </w:rPr>
              <w:t> </w:t>
            </w:r>
            <w:r>
              <w:rPr>
                <w:b/>
                <w:color w:val="FFFFFF"/>
                <w:sz w:val="18"/>
              </w:rPr>
              <w:t>1</w:t>
            </w:r>
            <w:r>
              <w:rPr>
                <w:b/>
                <w:color w:val="FFFFFF"/>
                <w:spacing w:val="-7"/>
                <w:sz w:val="18"/>
              </w:rPr>
              <w:t> </w:t>
            </w:r>
            <w:r>
              <w:rPr>
                <w:b/>
                <w:color w:val="FFFFFF"/>
                <w:spacing w:val="-2"/>
                <w:sz w:val="18"/>
              </w:rPr>
              <w:t>Intervention</w:t>
            </w:r>
          </w:p>
        </w:tc>
        <w:tc>
          <w:tcPr>
            <w:tcW w:w="1383" w:type="dxa"/>
            <w:tcBorders>
              <w:left w:val="single" w:sz="4" w:space="0" w:color="FFFFFF"/>
              <w:right w:val="single" w:sz="4" w:space="0" w:color="FFFFFF"/>
            </w:tcBorders>
            <w:shd w:val="clear" w:color="auto" w:fill="A7A9AC"/>
          </w:tcPr>
          <w:p>
            <w:pPr>
              <w:pStyle w:val="TableParagraph"/>
              <w:spacing w:before="83"/>
              <w:rPr>
                <w:b/>
                <w:sz w:val="18"/>
              </w:rPr>
            </w:pPr>
          </w:p>
          <w:p>
            <w:pPr>
              <w:pStyle w:val="TableParagraph"/>
              <w:spacing w:line="232" w:lineRule="auto" w:before="1"/>
              <w:ind w:left="78" w:right="472"/>
              <w:rPr>
                <w:b/>
                <w:sz w:val="18"/>
              </w:rPr>
            </w:pPr>
            <w:r>
              <w:rPr>
                <w:b/>
                <w:color w:val="FFFFFF"/>
                <w:spacing w:val="-2"/>
                <w:sz w:val="18"/>
              </w:rPr>
              <w:t>Projected </w:t>
            </w:r>
            <w:r>
              <w:rPr>
                <w:b/>
                <w:color w:val="FFFFFF"/>
                <w:sz w:val="18"/>
              </w:rPr>
              <w:t>Year 2</w:t>
            </w:r>
          </w:p>
        </w:tc>
        <w:tc>
          <w:tcPr>
            <w:tcW w:w="1268" w:type="dxa"/>
            <w:tcBorders>
              <w:left w:val="single" w:sz="4" w:space="0" w:color="FFFFFF"/>
              <w:right w:val="single" w:sz="4" w:space="0" w:color="FFFFFF"/>
            </w:tcBorders>
            <w:shd w:val="clear" w:color="auto" w:fill="A7A9AC"/>
          </w:tcPr>
          <w:p>
            <w:pPr>
              <w:pStyle w:val="TableParagraph"/>
              <w:spacing w:line="232" w:lineRule="auto" w:before="191"/>
              <w:ind w:left="77" w:right="8"/>
              <w:rPr>
                <w:b/>
                <w:sz w:val="18"/>
              </w:rPr>
            </w:pPr>
            <w:r>
              <w:rPr>
                <w:b/>
                <w:color w:val="FFFFFF"/>
                <w:spacing w:val="-2"/>
                <w:sz w:val="18"/>
              </w:rPr>
              <w:t>Projected </w:t>
            </w:r>
            <w:r>
              <w:rPr>
                <w:b/>
                <w:color w:val="FFFFFF"/>
                <w:sz w:val="18"/>
              </w:rPr>
              <w:t>Year 3 </w:t>
            </w:r>
            <w:r>
              <w:rPr>
                <w:b/>
                <w:color w:val="FFFFFF"/>
                <w:spacing w:val="-4"/>
                <w:sz w:val="18"/>
              </w:rPr>
              <w:t>Interventions</w:t>
            </w:r>
          </w:p>
        </w:tc>
        <w:tc>
          <w:tcPr>
            <w:tcW w:w="1498" w:type="dxa"/>
            <w:tcBorders>
              <w:left w:val="single" w:sz="4" w:space="0" w:color="FFFFFF"/>
            </w:tcBorders>
            <w:shd w:val="clear" w:color="auto" w:fill="A7A9AC"/>
          </w:tcPr>
          <w:p>
            <w:pPr>
              <w:pStyle w:val="TableParagraph"/>
              <w:spacing w:before="83"/>
              <w:rPr>
                <w:b/>
                <w:sz w:val="18"/>
              </w:rPr>
            </w:pPr>
          </w:p>
          <w:p>
            <w:pPr>
              <w:pStyle w:val="TableParagraph"/>
              <w:spacing w:line="232" w:lineRule="auto" w:before="1"/>
              <w:ind w:left="76"/>
              <w:rPr>
                <w:b/>
                <w:sz w:val="18"/>
              </w:rPr>
            </w:pPr>
            <w:r>
              <w:rPr>
                <w:b/>
                <w:color w:val="FFFFFF"/>
                <w:spacing w:val="-2"/>
                <w:sz w:val="18"/>
              </w:rPr>
              <w:t>Implementation Partner</w:t>
            </w:r>
          </w:p>
        </w:tc>
        <w:tc>
          <w:tcPr>
            <w:tcW w:w="4092" w:type="dxa"/>
            <w:shd w:val="clear" w:color="auto" w:fill="A7A9AC"/>
          </w:tcPr>
          <w:p>
            <w:pPr>
              <w:pStyle w:val="TableParagraph"/>
              <w:spacing w:before="178"/>
              <w:rPr>
                <w:b/>
                <w:sz w:val="18"/>
              </w:rPr>
            </w:pPr>
          </w:p>
          <w:p>
            <w:pPr>
              <w:pStyle w:val="TableParagraph"/>
              <w:ind w:left="76"/>
              <w:rPr>
                <w:b/>
                <w:sz w:val="18"/>
              </w:rPr>
            </w:pPr>
            <w:r>
              <w:rPr>
                <w:b/>
                <w:color w:val="FFFFFF"/>
                <w:spacing w:val="-4"/>
                <w:sz w:val="18"/>
              </w:rPr>
              <w:t>Partner</w:t>
            </w:r>
            <w:r>
              <w:rPr>
                <w:b/>
                <w:color w:val="FFFFFF"/>
                <w:spacing w:val="-1"/>
                <w:sz w:val="18"/>
              </w:rPr>
              <w:t> </w:t>
            </w:r>
            <w:r>
              <w:rPr>
                <w:b/>
                <w:color w:val="FFFFFF"/>
                <w:spacing w:val="-4"/>
                <w:sz w:val="18"/>
              </w:rPr>
              <w:t>Role(s)</w:t>
            </w:r>
            <w:r>
              <w:rPr>
                <w:b/>
                <w:color w:val="FFFFFF"/>
                <w:sz w:val="18"/>
              </w:rPr>
              <w:t> </w:t>
            </w:r>
            <w:r>
              <w:rPr>
                <w:b/>
                <w:color w:val="FFFFFF"/>
                <w:spacing w:val="-4"/>
                <w:sz w:val="18"/>
              </w:rPr>
              <w:t>and</w:t>
            </w:r>
            <w:r>
              <w:rPr>
                <w:b/>
                <w:color w:val="FFFFFF"/>
                <w:sz w:val="18"/>
              </w:rPr>
              <w:t> </w:t>
            </w:r>
            <w:r>
              <w:rPr>
                <w:b/>
                <w:color w:val="FFFFFF"/>
                <w:spacing w:val="-4"/>
                <w:sz w:val="18"/>
              </w:rPr>
              <w:t>Resources</w:t>
            </w:r>
          </w:p>
        </w:tc>
      </w:tr>
      <w:tr>
        <w:trPr>
          <w:trHeight w:val="5490" w:hRule="atLeast"/>
        </w:trPr>
        <w:tc>
          <w:tcPr>
            <w:tcW w:w="1008" w:type="dxa"/>
            <w:vMerge w:val="restart"/>
            <w:shd w:val="clear" w:color="auto" w:fill="E6E7E8"/>
          </w:tcPr>
          <w:p>
            <w:pPr>
              <w:pStyle w:val="TableParagraph"/>
              <w:spacing w:line="232" w:lineRule="auto" w:before="100"/>
              <w:ind w:left="89" w:right="191"/>
              <w:jc w:val="both"/>
              <w:rPr>
                <w:sz w:val="18"/>
              </w:rPr>
            </w:pPr>
            <w:r>
              <w:rPr>
                <w:color w:val="105C84"/>
                <w:spacing w:val="-2"/>
                <w:sz w:val="18"/>
              </w:rPr>
              <w:t>Prevent Chronic </w:t>
            </w:r>
            <w:r>
              <w:rPr>
                <w:color w:val="105C84"/>
                <w:spacing w:val="-6"/>
                <w:sz w:val="18"/>
              </w:rPr>
              <w:t>Diseases</w:t>
            </w:r>
          </w:p>
        </w:tc>
        <w:tc>
          <w:tcPr>
            <w:tcW w:w="1325" w:type="dxa"/>
            <w:vMerge w:val="restart"/>
          </w:tcPr>
          <w:p>
            <w:pPr>
              <w:pStyle w:val="TableParagraph"/>
              <w:spacing w:line="232" w:lineRule="auto" w:before="100"/>
              <w:ind w:left="89" w:right="159"/>
              <w:rPr>
                <w:sz w:val="18"/>
              </w:rPr>
            </w:pPr>
            <w:r>
              <w:rPr>
                <w:color w:val="105C84"/>
                <w:sz w:val="18"/>
              </w:rPr>
              <w:t>Focus Area 4:</w:t>
            </w:r>
            <w:r>
              <w:rPr>
                <w:color w:val="105C84"/>
                <w:spacing w:val="-13"/>
                <w:sz w:val="18"/>
              </w:rPr>
              <w:t> </w:t>
            </w:r>
            <w:r>
              <w:rPr>
                <w:color w:val="105C84"/>
                <w:sz w:val="18"/>
              </w:rPr>
              <w:t>Preventive care and </w:t>
            </w:r>
            <w:r>
              <w:rPr>
                <w:color w:val="105C84"/>
                <w:spacing w:val="-2"/>
                <w:sz w:val="18"/>
              </w:rPr>
              <w:t>management</w:t>
            </w:r>
          </w:p>
        </w:tc>
        <w:tc>
          <w:tcPr>
            <w:tcW w:w="1671" w:type="dxa"/>
          </w:tcPr>
          <w:p>
            <w:pPr>
              <w:pStyle w:val="TableParagraph"/>
              <w:spacing w:line="232" w:lineRule="auto" w:before="100"/>
              <w:ind w:left="89" w:right="103"/>
              <w:rPr>
                <w:sz w:val="18"/>
              </w:rPr>
            </w:pPr>
            <w:r>
              <w:rPr>
                <w:color w:val="105C84"/>
                <w:spacing w:val="-4"/>
                <w:sz w:val="18"/>
              </w:rPr>
              <w:t>Goal</w:t>
            </w:r>
            <w:r>
              <w:rPr>
                <w:color w:val="105C84"/>
                <w:spacing w:val="-11"/>
                <w:sz w:val="18"/>
              </w:rPr>
              <w:t> </w:t>
            </w:r>
            <w:r>
              <w:rPr>
                <w:color w:val="105C84"/>
                <w:spacing w:val="-4"/>
                <w:sz w:val="18"/>
              </w:rPr>
              <w:t>4.1:</w:t>
            </w:r>
            <w:r>
              <w:rPr>
                <w:color w:val="105C84"/>
                <w:spacing w:val="-8"/>
                <w:sz w:val="18"/>
              </w:rPr>
              <w:t> </w:t>
            </w:r>
            <w:r>
              <w:rPr>
                <w:color w:val="105C84"/>
                <w:spacing w:val="-4"/>
                <w:sz w:val="18"/>
              </w:rPr>
              <w:t>Increase </w:t>
            </w:r>
            <w:r>
              <w:rPr>
                <w:color w:val="105C84"/>
                <w:sz w:val="18"/>
              </w:rPr>
              <w:t>cancer screening </w:t>
            </w:r>
            <w:r>
              <w:rPr>
                <w:color w:val="105C84"/>
                <w:spacing w:val="-2"/>
                <w:sz w:val="18"/>
              </w:rPr>
              <w:t>rates</w:t>
            </w:r>
          </w:p>
        </w:tc>
        <w:tc>
          <w:tcPr>
            <w:tcW w:w="1606" w:type="dxa"/>
          </w:tcPr>
          <w:p>
            <w:pPr>
              <w:pStyle w:val="TableParagraph"/>
              <w:spacing w:line="232" w:lineRule="auto" w:before="100"/>
              <w:ind w:left="88" w:right="79"/>
              <w:rPr>
                <w:sz w:val="18"/>
              </w:rPr>
            </w:pPr>
            <w:r>
              <w:rPr>
                <w:color w:val="105C84"/>
                <w:spacing w:val="-2"/>
                <w:sz w:val="18"/>
              </w:rPr>
              <w:t>4.1.1</w:t>
            </w:r>
            <w:r>
              <w:rPr>
                <w:color w:val="105C84"/>
                <w:spacing w:val="-13"/>
                <w:sz w:val="18"/>
              </w:rPr>
              <w:t> </w:t>
            </w:r>
            <w:r>
              <w:rPr>
                <w:color w:val="105C84"/>
                <w:spacing w:val="-2"/>
                <w:sz w:val="18"/>
              </w:rPr>
              <w:t>Increase</w:t>
            </w:r>
            <w:r>
              <w:rPr>
                <w:color w:val="105C84"/>
                <w:spacing w:val="-10"/>
                <w:sz w:val="18"/>
              </w:rPr>
              <w:t> </w:t>
            </w:r>
            <w:r>
              <w:rPr>
                <w:color w:val="105C84"/>
                <w:spacing w:val="-2"/>
                <w:sz w:val="18"/>
              </w:rPr>
              <w:t>the </w:t>
            </w:r>
            <w:r>
              <w:rPr>
                <w:color w:val="105C84"/>
                <w:sz w:val="18"/>
              </w:rPr>
              <w:t>percentage of women with an annual</w:t>
            </w:r>
            <w:r>
              <w:rPr>
                <w:color w:val="105C84"/>
                <w:spacing w:val="-13"/>
                <w:sz w:val="18"/>
              </w:rPr>
              <w:t> </w:t>
            </w:r>
            <w:r>
              <w:rPr>
                <w:color w:val="105C84"/>
                <w:sz w:val="18"/>
              </w:rPr>
              <w:t>household</w:t>
            </w:r>
            <w:r>
              <w:rPr>
                <w:color w:val="105C84"/>
                <w:sz w:val="18"/>
              </w:rPr>
              <w:t> income less than</w:t>
            </w:r>
          </w:p>
          <w:p>
            <w:pPr>
              <w:pStyle w:val="TableParagraph"/>
              <w:spacing w:line="232" w:lineRule="auto"/>
              <w:ind w:left="88"/>
              <w:rPr>
                <w:sz w:val="18"/>
              </w:rPr>
            </w:pPr>
            <w:r>
              <w:rPr>
                <w:color w:val="105C84"/>
                <w:sz w:val="18"/>
              </w:rPr>
              <w:t>$25,000 who receive a breast cancer</w:t>
            </w:r>
            <w:r>
              <w:rPr>
                <w:color w:val="105C84"/>
                <w:spacing w:val="-13"/>
                <w:sz w:val="18"/>
              </w:rPr>
              <w:t> </w:t>
            </w:r>
            <w:r>
              <w:rPr>
                <w:color w:val="105C84"/>
                <w:sz w:val="18"/>
              </w:rPr>
              <w:t>screening based on most recent</w:t>
            </w:r>
            <w:r>
              <w:rPr>
                <w:color w:val="105C84"/>
                <w:spacing w:val="-13"/>
                <w:sz w:val="18"/>
              </w:rPr>
              <w:t> </w:t>
            </w:r>
            <w:r>
              <w:rPr>
                <w:color w:val="105C84"/>
                <w:sz w:val="18"/>
              </w:rPr>
              <w:t>guidelines</w:t>
            </w:r>
          </w:p>
        </w:tc>
        <w:tc>
          <w:tcPr>
            <w:tcW w:w="1217" w:type="dxa"/>
          </w:tcPr>
          <w:p>
            <w:pPr>
              <w:pStyle w:val="TableParagraph"/>
              <w:spacing w:line="232" w:lineRule="auto" w:before="100"/>
              <w:ind w:left="88"/>
              <w:rPr>
                <w:sz w:val="18"/>
              </w:rPr>
            </w:pPr>
            <w:r>
              <w:rPr>
                <w:color w:val="105C84"/>
                <w:spacing w:val="-2"/>
                <w:sz w:val="18"/>
              </w:rPr>
              <w:t>Women </w:t>
            </w:r>
            <w:r>
              <w:rPr>
                <w:color w:val="105C84"/>
                <w:sz w:val="18"/>
              </w:rPr>
              <w:t>income less than</w:t>
            </w:r>
            <w:r>
              <w:rPr>
                <w:color w:val="105C84"/>
                <w:spacing w:val="-4"/>
                <w:sz w:val="18"/>
              </w:rPr>
              <w:t> </w:t>
            </w:r>
            <w:r>
              <w:rPr>
                <w:color w:val="105C84"/>
                <w:spacing w:val="-8"/>
                <w:sz w:val="18"/>
              </w:rPr>
              <w:t>$25,000</w:t>
            </w:r>
          </w:p>
        </w:tc>
        <w:tc>
          <w:tcPr>
            <w:tcW w:w="1735" w:type="dxa"/>
          </w:tcPr>
          <w:p>
            <w:pPr>
              <w:pStyle w:val="TableParagraph"/>
              <w:spacing w:line="232" w:lineRule="auto" w:before="100"/>
              <w:ind w:left="88" w:right="176"/>
              <w:rPr>
                <w:sz w:val="18"/>
              </w:rPr>
            </w:pPr>
            <w:r>
              <w:rPr>
                <w:color w:val="105C84"/>
                <w:sz w:val="18"/>
              </w:rPr>
              <w:t>4.1.4 Work with clinical providers to assess how many of their patients receive </w:t>
            </w:r>
            <w:r>
              <w:rPr>
                <w:color w:val="105C84"/>
                <w:spacing w:val="-4"/>
                <w:sz w:val="18"/>
              </w:rPr>
              <w:t>screening</w:t>
            </w:r>
            <w:r>
              <w:rPr>
                <w:color w:val="105C84"/>
                <w:spacing w:val="-9"/>
                <w:sz w:val="18"/>
              </w:rPr>
              <w:t> </w:t>
            </w:r>
            <w:r>
              <w:rPr>
                <w:color w:val="105C84"/>
                <w:spacing w:val="-4"/>
                <w:sz w:val="18"/>
              </w:rPr>
              <w:t>service</w:t>
            </w:r>
            <w:r>
              <w:rPr>
                <w:color w:val="105C84"/>
                <w:spacing w:val="-4"/>
                <w:sz w:val="18"/>
              </w:rPr>
              <w:t>s</w:t>
            </w:r>
            <w:r>
              <w:rPr>
                <w:color w:val="105C84"/>
                <w:spacing w:val="-4"/>
                <w:sz w:val="18"/>
              </w:rPr>
              <w:t> </w:t>
            </w:r>
            <w:r>
              <w:rPr>
                <w:color w:val="105C84"/>
                <w:sz w:val="18"/>
              </w:rPr>
              <w:t>and provide them feedback on their </w:t>
            </w:r>
            <w:r>
              <w:rPr>
                <w:color w:val="105C84"/>
                <w:spacing w:val="-2"/>
                <w:sz w:val="18"/>
              </w:rPr>
              <w:t>performance (Provider </w:t>
            </w:r>
            <w:r>
              <w:rPr>
                <w:color w:val="105C84"/>
                <w:sz w:val="18"/>
              </w:rPr>
              <w:t>Assessment and </w:t>
            </w:r>
            <w:r>
              <w:rPr>
                <w:color w:val="105C84"/>
                <w:spacing w:val="-2"/>
                <w:sz w:val="18"/>
              </w:rPr>
              <w:t>Feedback)</w:t>
            </w:r>
          </w:p>
        </w:tc>
        <w:tc>
          <w:tcPr>
            <w:tcW w:w="5429" w:type="dxa"/>
          </w:tcPr>
          <w:p>
            <w:pPr>
              <w:pStyle w:val="TableParagraph"/>
              <w:tabs>
                <w:tab w:pos="3670" w:val="left" w:leader="none"/>
              </w:tabs>
              <w:spacing w:line="203" w:lineRule="exact" w:before="95"/>
              <w:ind w:left="88"/>
              <w:jc w:val="both"/>
              <w:rPr>
                <w:sz w:val="18"/>
              </w:rPr>
            </w:pPr>
            <w:r>
              <w:rPr>
                <w:color w:val="105C84"/>
                <w:sz w:val="18"/>
              </w:rPr>
              <w:t>Provider</w:t>
            </w:r>
            <w:r>
              <w:rPr>
                <w:color w:val="105C84"/>
                <w:spacing w:val="-7"/>
                <w:sz w:val="18"/>
              </w:rPr>
              <w:t> </w:t>
            </w:r>
            <w:r>
              <w:rPr>
                <w:color w:val="105C84"/>
                <w:sz w:val="18"/>
              </w:rPr>
              <w:t>or</w:t>
            </w:r>
            <w:r>
              <w:rPr>
                <w:color w:val="105C84"/>
                <w:spacing w:val="-7"/>
                <w:sz w:val="18"/>
              </w:rPr>
              <w:t> </w:t>
            </w:r>
            <w:r>
              <w:rPr>
                <w:color w:val="105C84"/>
                <w:spacing w:val="-2"/>
                <w:sz w:val="18"/>
              </w:rPr>
              <w:t>clinic-</w:t>
            </w:r>
            <w:r>
              <w:rPr>
                <w:color w:val="105C84"/>
                <w:sz w:val="18"/>
              </w:rPr>
              <w:tab/>
              <w:t>Promote</w:t>
            </w:r>
            <w:r>
              <w:rPr>
                <w:color w:val="105C84"/>
                <w:spacing w:val="-1"/>
                <w:sz w:val="18"/>
              </w:rPr>
              <w:t> </w:t>
            </w:r>
            <w:r>
              <w:rPr>
                <w:color w:val="105C84"/>
                <w:spacing w:val="-2"/>
                <w:sz w:val="18"/>
              </w:rPr>
              <w:t>cancer</w:t>
            </w:r>
          </w:p>
          <w:p>
            <w:pPr>
              <w:pStyle w:val="TableParagraph"/>
              <w:tabs>
                <w:tab w:pos="3670" w:val="left" w:leader="none"/>
              </w:tabs>
              <w:spacing w:line="200" w:lineRule="exact"/>
              <w:ind w:left="88"/>
              <w:jc w:val="both"/>
              <w:rPr>
                <w:sz w:val="18"/>
              </w:rPr>
            </w:pPr>
            <w:r>
              <w:rPr>
                <w:color w:val="105C84"/>
                <w:sz w:val="18"/>
              </w:rPr>
              <w:t>level</w:t>
            </w:r>
            <w:r>
              <w:rPr>
                <w:color w:val="105C84"/>
                <w:spacing w:val="-11"/>
                <w:sz w:val="18"/>
              </w:rPr>
              <w:t> </w:t>
            </w:r>
            <w:r>
              <w:rPr>
                <w:color w:val="105C84"/>
                <w:sz w:val="18"/>
              </w:rPr>
              <w:t>breast,</w:t>
            </w:r>
            <w:r>
              <w:rPr>
                <w:color w:val="105C84"/>
                <w:spacing w:val="-11"/>
                <w:sz w:val="18"/>
              </w:rPr>
              <w:t> </w:t>
            </w:r>
            <w:r>
              <w:rPr>
                <w:color w:val="105C84"/>
                <w:spacing w:val="-2"/>
                <w:sz w:val="18"/>
              </w:rPr>
              <w:t>cancer</w:t>
            </w:r>
            <w:r>
              <w:rPr>
                <w:color w:val="105C84"/>
                <w:sz w:val="18"/>
              </w:rPr>
              <w:tab/>
            </w:r>
            <w:r>
              <w:rPr>
                <w:color w:val="105C84"/>
                <w:spacing w:val="-4"/>
                <w:sz w:val="18"/>
              </w:rPr>
              <w:t>screenings</w:t>
            </w:r>
            <w:r>
              <w:rPr>
                <w:color w:val="105C84"/>
                <w:spacing w:val="8"/>
                <w:sz w:val="18"/>
              </w:rPr>
              <w:t> </w:t>
            </w:r>
            <w:r>
              <w:rPr>
                <w:color w:val="105C84"/>
                <w:spacing w:val="-5"/>
                <w:sz w:val="18"/>
              </w:rPr>
              <w:t>in</w:t>
            </w:r>
          </w:p>
          <w:p>
            <w:pPr>
              <w:pStyle w:val="TableParagraph"/>
              <w:tabs>
                <w:tab w:pos="3670" w:val="left" w:leader="none"/>
              </w:tabs>
              <w:spacing w:line="232" w:lineRule="auto" w:before="2"/>
              <w:ind w:left="3670" w:right="449" w:hanging="3582"/>
              <w:jc w:val="both"/>
              <w:rPr>
                <w:sz w:val="18"/>
              </w:rPr>
            </w:pPr>
            <w:r>
              <w:rPr>
                <w:color w:val="105C84"/>
                <w:sz w:val="18"/>
              </w:rPr>
              <w:t>screening rates</w:t>
              <w:tab/>
              <w:t>accordance</w:t>
            </w:r>
            <w:r>
              <w:rPr>
                <w:color w:val="105C84"/>
                <w:spacing w:val="-13"/>
                <w:sz w:val="18"/>
              </w:rPr>
              <w:t> </w:t>
            </w:r>
            <w:r>
              <w:rPr>
                <w:color w:val="105C84"/>
                <w:sz w:val="18"/>
              </w:rPr>
              <w:t>with the most recent </w:t>
            </w:r>
            <w:r>
              <w:rPr>
                <w:color w:val="105C84"/>
                <w:spacing w:val="-2"/>
                <w:sz w:val="18"/>
              </w:rPr>
              <w:t>guidance</w:t>
            </w:r>
          </w:p>
        </w:tc>
        <w:tc>
          <w:tcPr>
            <w:tcW w:w="1383" w:type="dxa"/>
          </w:tcPr>
          <w:p>
            <w:pPr>
              <w:pStyle w:val="TableParagraph"/>
              <w:spacing w:line="232" w:lineRule="auto" w:before="100"/>
              <w:ind w:left="88" w:right="115"/>
              <w:rPr>
                <w:sz w:val="18"/>
              </w:rPr>
            </w:pPr>
            <w:r>
              <w:rPr>
                <w:color w:val="105C84"/>
                <w:spacing w:val="-2"/>
                <w:sz w:val="18"/>
              </w:rPr>
              <w:t>Increase screening </w:t>
            </w:r>
            <w:r>
              <w:rPr>
                <w:color w:val="105C84"/>
                <w:sz w:val="18"/>
              </w:rPr>
              <w:t>rates among local</w:t>
            </w:r>
            <w:r>
              <w:rPr>
                <w:color w:val="105C84"/>
                <w:spacing w:val="-13"/>
                <w:sz w:val="18"/>
              </w:rPr>
              <w:t> </w:t>
            </w:r>
            <w:r>
              <w:rPr>
                <w:color w:val="105C84"/>
                <w:sz w:val="18"/>
              </w:rPr>
              <w:t>providers</w:t>
            </w:r>
          </w:p>
        </w:tc>
        <w:tc>
          <w:tcPr>
            <w:tcW w:w="1268" w:type="dxa"/>
          </w:tcPr>
          <w:p>
            <w:pPr>
              <w:pStyle w:val="TableParagraph"/>
              <w:spacing w:line="232" w:lineRule="auto" w:before="100"/>
              <w:ind w:left="87" w:right="184"/>
              <w:rPr>
                <w:sz w:val="18"/>
              </w:rPr>
            </w:pPr>
            <w:r>
              <w:rPr>
                <w:color w:val="105C84"/>
                <w:spacing w:val="-2"/>
                <w:sz w:val="18"/>
              </w:rPr>
              <w:t>Increase screening rates</w:t>
            </w:r>
            <w:r>
              <w:rPr>
                <w:color w:val="105C84"/>
                <w:spacing w:val="40"/>
                <w:sz w:val="18"/>
              </w:rPr>
              <w:t> </w:t>
            </w:r>
            <w:r>
              <w:rPr>
                <w:color w:val="105C84"/>
                <w:sz w:val="18"/>
              </w:rPr>
              <w:t>among</w:t>
            </w:r>
            <w:r>
              <w:rPr>
                <w:color w:val="105C84"/>
                <w:spacing w:val="-13"/>
                <w:sz w:val="18"/>
              </w:rPr>
              <w:t> </w:t>
            </w:r>
            <w:r>
              <w:rPr>
                <w:color w:val="105C84"/>
                <w:sz w:val="18"/>
              </w:rPr>
              <w:t>local </w:t>
            </w:r>
            <w:r>
              <w:rPr>
                <w:color w:val="105C84"/>
                <w:spacing w:val="-2"/>
                <w:sz w:val="18"/>
              </w:rPr>
              <w:t>providers</w:t>
            </w:r>
          </w:p>
        </w:tc>
        <w:tc>
          <w:tcPr>
            <w:tcW w:w="1498" w:type="dxa"/>
          </w:tcPr>
          <w:p>
            <w:pPr>
              <w:pStyle w:val="TableParagraph"/>
              <w:spacing w:before="95"/>
              <w:ind w:left="86"/>
              <w:rPr>
                <w:sz w:val="18"/>
              </w:rPr>
            </w:pPr>
            <w:r>
              <w:rPr>
                <w:color w:val="105C84"/>
                <w:spacing w:val="-2"/>
                <w:sz w:val="18"/>
              </w:rPr>
              <w:t>Hospital</w:t>
            </w:r>
          </w:p>
        </w:tc>
        <w:tc>
          <w:tcPr>
            <w:tcW w:w="4092" w:type="dxa"/>
          </w:tcPr>
          <w:p>
            <w:pPr>
              <w:pStyle w:val="TableParagraph"/>
              <w:spacing w:line="232" w:lineRule="auto" w:before="100"/>
              <w:ind w:left="86" w:right="164"/>
              <w:rPr>
                <w:sz w:val="18"/>
              </w:rPr>
            </w:pPr>
            <w:r>
              <w:rPr>
                <w:color w:val="105C84"/>
                <w:sz w:val="18"/>
              </w:rPr>
              <w:t>Finger</w:t>
            </w:r>
            <w:r>
              <w:rPr>
                <w:color w:val="105C84"/>
                <w:spacing w:val="-10"/>
                <w:sz w:val="18"/>
              </w:rPr>
              <w:t> </w:t>
            </w:r>
            <w:r>
              <w:rPr>
                <w:color w:val="105C84"/>
                <w:sz w:val="18"/>
              </w:rPr>
              <w:t>Lakes</w:t>
            </w:r>
            <w:r>
              <w:rPr>
                <w:color w:val="105C84"/>
                <w:spacing w:val="-10"/>
                <w:sz w:val="18"/>
              </w:rPr>
              <w:t> </w:t>
            </w:r>
            <w:r>
              <w:rPr>
                <w:color w:val="105C84"/>
                <w:sz w:val="18"/>
              </w:rPr>
              <w:t>Health</w:t>
            </w:r>
            <w:r>
              <w:rPr>
                <w:color w:val="105C84"/>
                <w:spacing w:val="-10"/>
                <w:sz w:val="18"/>
              </w:rPr>
              <w:t> </w:t>
            </w:r>
            <w:r>
              <w:rPr>
                <w:color w:val="105C84"/>
                <w:sz w:val="18"/>
              </w:rPr>
              <w:t>(GGH)-.2</w:t>
            </w:r>
            <w:r>
              <w:rPr>
                <w:color w:val="105C84"/>
                <w:spacing w:val="-10"/>
                <w:sz w:val="18"/>
              </w:rPr>
              <w:t> </w:t>
            </w:r>
            <w:r>
              <w:rPr>
                <w:color w:val="105C84"/>
                <w:sz w:val="18"/>
              </w:rPr>
              <w:t>FTE</w:t>
            </w:r>
            <w:r>
              <w:rPr>
                <w:color w:val="105C84"/>
                <w:spacing w:val="-10"/>
                <w:sz w:val="18"/>
              </w:rPr>
              <w:t> </w:t>
            </w:r>
            <w:r>
              <w:rPr>
                <w:color w:val="105C84"/>
                <w:sz w:val="18"/>
              </w:rPr>
              <w:t>and</w:t>
            </w:r>
            <w:r>
              <w:rPr>
                <w:color w:val="105C84"/>
                <w:spacing w:val="-10"/>
                <w:sz w:val="18"/>
              </w:rPr>
              <w:t> </w:t>
            </w:r>
            <w:r>
              <w:rPr>
                <w:color w:val="105C84"/>
                <w:sz w:val="18"/>
              </w:rPr>
              <w:t>$3,000 for promotion of screenings in FLH magazine. Finger</w:t>
            </w:r>
            <w:r>
              <w:rPr>
                <w:color w:val="105C84"/>
                <w:spacing w:val="-13"/>
                <w:sz w:val="18"/>
              </w:rPr>
              <w:t> </w:t>
            </w:r>
            <w:r>
              <w:rPr>
                <w:color w:val="105C84"/>
                <w:sz w:val="18"/>
              </w:rPr>
              <w:t>Lakes</w:t>
            </w:r>
            <w:r>
              <w:rPr>
                <w:color w:val="105C84"/>
                <w:spacing w:val="-12"/>
                <w:sz w:val="18"/>
              </w:rPr>
              <w:t> </w:t>
            </w:r>
            <w:r>
              <w:rPr>
                <w:color w:val="105C84"/>
                <w:sz w:val="18"/>
              </w:rPr>
              <w:t>Health</w:t>
            </w:r>
            <w:r>
              <w:rPr>
                <w:color w:val="105C84"/>
                <w:spacing w:val="-13"/>
                <w:sz w:val="18"/>
              </w:rPr>
              <w:t> </w:t>
            </w:r>
            <w:r>
              <w:rPr>
                <w:color w:val="105C84"/>
                <w:sz w:val="18"/>
              </w:rPr>
              <w:t>will</w:t>
            </w:r>
            <w:r>
              <w:rPr>
                <w:color w:val="105C84"/>
                <w:spacing w:val="-12"/>
                <w:sz w:val="18"/>
              </w:rPr>
              <w:t> </w:t>
            </w:r>
            <w:r>
              <w:rPr>
                <w:color w:val="105C84"/>
                <w:sz w:val="18"/>
              </w:rPr>
              <w:t>track</w:t>
            </w:r>
            <w:r>
              <w:rPr>
                <w:color w:val="105C84"/>
                <w:spacing w:val="-13"/>
                <w:sz w:val="18"/>
              </w:rPr>
              <w:t> </w:t>
            </w:r>
            <w:r>
              <w:rPr>
                <w:color w:val="105C84"/>
                <w:sz w:val="18"/>
              </w:rPr>
              <w:t>colorectal</w:t>
            </w:r>
            <w:r>
              <w:rPr>
                <w:color w:val="105C84"/>
                <w:spacing w:val="-13"/>
                <w:sz w:val="18"/>
              </w:rPr>
              <w:t> </w:t>
            </w:r>
            <w:r>
              <w:rPr>
                <w:color w:val="105C84"/>
                <w:sz w:val="18"/>
              </w:rPr>
              <w:t>cancer screening referrals from their Primary Care</w:t>
            </w:r>
          </w:p>
          <w:p>
            <w:pPr>
              <w:pStyle w:val="TableParagraph"/>
              <w:spacing w:line="232" w:lineRule="auto"/>
              <w:ind w:left="86"/>
              <w:rPr>
                <w:sz w:val="18"/>
              </w:rPr>
            </w:pPr>
            <w:r>
              <w:rPr>
                <w:color w:val="105C84"/>
                <w:sz w:val="18"/>
              </w:rPr>
              <w:t>Offices</w:t>
            </w:r>
            <w:r>
              <w:rPr>
                <w:color w:val="105C84"/>
                <w:spacing w:val="-3"/>
                <w:sz w:val="18"/>
              </w:rPr>
              <w:t> </w:t>
            </w:r>
            <w:r>
              <w:rPr>
                <w:color w:val="105C84"/>
                <w:sz w:val="18"/>
              </w:rPr>
              <w:t>and</w:t>
            </w:r>
            <w:r>
              <w:rPr>
                <w:color w:val="105C84"/>
                <w:spacing w:val="-3"/>
                <w:sz w:val="18"/>
              </w:rPr>
              <w:t> </w:t>
            </w:r>
            <w:r>
              <w:rPr>
                <w:color w:val="105C84"/>
                <w:sz w:val="18"/>
              </w:rPr>
              <w:t>track</w:t>
            </w:r>
            <w:r>
              <w:rPr>
                <w:color w:val="105C84"/>
                <w:spacing w:val="-3"/>
                <w:sz w:val="18"/>
              </w:rPr>
              <w:t> </w:t>
            </w:r>
            <w:r>
              <w:rPr>
                <w:color w:val="105C84"/>
                <w:sz w:val="18"/>
              </w:rPr>
              <w:t>the</w:t>
            </w:r>
            <w:r>
              <w:rPr>
                <w:color w:val="105C84"/>
                <w:spacing w:val="-3"/>
                <w:sz w:val="18"/>
              </w:rPr>
              <w:t> </w:t>
            </w:r>
            <w:r>
              <w:rPr>
                <w:color w:val="105C84"/>
                <w:sz w:val="18"/>
              </w:rPr>
              <w:t>number</w:t>
            </w:r>
            <w:r>
              <w:rPr>
                <w:color w:val="105C84"/>
                <w:spacing w:val="-3"/>
                <w:sz w:val="18"/>
              </w:rPr>
              <w:t> </w:t>
            </w:r>
            <w:r>
              <w:rPr>
                <w:color w:val="105C84"/>
                <w:sz w:val="18"/>
              </w:rPr>
              <w:t>of</w:t>
            </w:r>
            <w:r>
              <w:rPr>
                <w:color w:val="105C84"/>
                <w:spacing w:val="-3"/>
                <w:sz w:val="18"/>
              </w:rPr>
              <w:t> </w:t>
            </w:r>
            <w:r>
              <w:rPr>
                <w:color w:val="105C84"/>
                <w:sz w:val="18"/>
              </w:rPr>
              <w:t>visits</w:t>
            </w:r>
            <w:r>
              <w:rPr>
                <w:color w:val="105C84"/>
                <w:spacing w:val="-3"/>
                <w:sz w:val="18"/>
              </w:rPr>
              <w:t> </w:t>
            </w:r>
            <w:r>
              <w:rPr>
                <w:color w:val="105C84"/>
                <w:sz w:val="18"/>
              </w:rPr>
              <w:t>to</w:t>
            </w:r>
            <w:r>
              <w:rPr>
                <w:color w:val="105C84"/>
                <w:spacing w:val="-3"/>
                <w:sz w:val="18"/>
              </w:rPr>
              <w:t> </w:t>
            </w:r>
            <w:r>
              <w:rPr>
                <w:color w:val="105C84"/>
                <w:sz w:val="18"/>
              </w:rPr>
              <w:t>GGH</w:t>
            </w:r>
            <w:r>
              <w:rPr>
                <w:color w:val="105C84"/>
                <w:spacing w:val="-3"/>
                <w:sz w:val="18"/>
              </w:rPr>
              <w:t> </w:t>
            </w:r>
            <w:r>
              <w:rPr>
                <w:color w:val="105C84"/>
                <w:sz w:val="18"/>
              </w:rPr>
              <w:t>for colorectal cancer screenings</w:t>
            </w:r>
          </w:p>
          <w:p>
            <w:pPr>
              <w:pStyle w:val="TableParagraph"/>
              <w:spacing w:line="232" w:lineRule="auto" w:before="85"/>
              <w:ind w:left="86"/>
              <w:rPr>
                <w:sz w:val="18"/>
              </w:rPr>
            </w:pPr>
            <w:r>
              <w:rPr>
                <w:color w:val="105C84"/>
                <w:sz w:val="18"/>
              </w:rPr>
              <w:t>Referrals</w:t>
            </w:r>
            <w:r>
              <w:rPr>
                <w:color w:val="105C84"/>
                <w:spacing w:val="-13"/>
                <w:sz w:val="18"/>
              </w:rPr>
              <w:t> </w:t>
            </w:r>
            <w:r>
              <w:rPr>
                <w:color w:val="105C84"/>
                <w:sz w:val="18"/>
              </w:rPr>
              <w:t>and</w:t>
            </w:r>
            <w:r>
              <w:rPr>
                <w:color w:val="105C84"/>
                <w:spacing w:val="-12"/>
                <w:sz w:val="18"/>
              </w:rPr>
              <w:t> </w:t>
            </w:r>
            <w:r>
              <w:rPr>
                <w:color w:val="105C84"/>
                <w:sz w:val="18"/>
              </w:rPr>
              <w:t>hospital</w:t>
            </w:r>
            <w:r>
              <w:rPr>
                <w:color w:val="105C84"/>
                <w:spacing w:val="-13"/>
                <w:sz w:val="18"/>
              </w:rPr>
              <w:t> </w:t>
            </w:r>
            <w:r>
              <w:rPr>
                <w:color w:val="105C84"/>
                <w:sz w:val="18"/>
              </w:rPr>
              <w:t>visits</w:t>
            </w:r>
            <w:r>
              <w:rPr>
                <w:color w:val="105C84"/>
                <w:spacing w:val="-12"/>
                <w:sz w:val="18"/>
              </w:rPr>
              <w:t> </w:t>
            </w:r>
            <w:r>
              <w:rPr>
                <w:color w:val="105C84"/>
                <w:sz w:val="18"/>
              </w:rPr>
              <w:t>for</w:t>
            </w:r>
            <w:r>
              <w:rPr>
                <w:color w:val="105C84"/>
                <w:spacing w:val="-13"/>
                <w:sz w:val="18"/>
              </w:rPr>
              <w:t> </w:t>
            </w:r>
            <w:r>
              <w:rPr>
                <w:color w:val="105C84"/>
                <w:sz w:val="18"/>
              </w:rPr>
              <w:t>colorectal</w:t>
            </w:r>
            <w:r>
              <w:rPr>
                <w:color w:val="105C84"/>
                <w:spacing w:val="-13"/>
                <w:sz w:val="18"/>
              </w:rPr>
              <w:t> </w:t>
            </w:r>
            <w:r>
              <w:rPr>
                <w:color w:val="105C84"/>
                <w:sz w:val="18"/>
              </w:rPr>
              <w:t>cancer screenings are tracked by both zip code and healthcare payer</w:t>
            </w:r>
          </w:p>
          <w:p>
            <w:pPr>
              <w:pStyle w:val="TableParagraph"/>
              <w:spacing w:line="232" w:lineRule="auto" w:before="88"/>
              <w:ind w:left="86"/>
              <w:rPr>
                <w:sz w:val="18"/>
              </w:rPr>
            </w:pPr>
            <w:r>
              <w:rPr>
                <w:color w:val="105C84"/>
                <w:sz w:val="18"/>
              </w:rPr>
              <w:t>Finger</w:t>
            </w:r>
            <w:r>
              <w:rPr>
                <w:color w:val="105C84"/>
                <w:spacing w:val="-7"/>
                <w:sz w:val="18"/>
              </w:rPr>
              <w:t> </w:t>
            </w:r>
            <w:r>
              <w:rPr>
                <w:color w:val="105C84"/>
                <w:sz w:val="18"/>
              </w:rPr>
              <w:t>Lakes</w:t>
            </w:r>
            <w:r>
              <w:rPr>
                <w:color w:val="105C84"/>
                <w:spacing w:val="-7"/>
                <w:sz w:val="18"/>
              </w:rPr>
              <w:t> </w:t>
            </w:r>
            <w:r>
              <w:rPr>
                <w:color w:val="105C84"/>
                <w:sz w:val="18"/>
              </w:rPr>
              <w:t>Health</w:t>
            </w:r>
            <w:r>
              <w:rPr>
                <w:color w:val="105C84"/>
                <w:spacing w:val="-7"/>
                <w:sz w:val="18"/>
              </w:rPr>
              <w:t> </w:t>
            </w:r>
            <w:r>
              <w:rPr>
                <w:color w:val="105C84"/>
                <w:sz w:val="18"/>
              </w:rPr>
              <w:t>will</w:t>
            </w:r>
            <w:r>
              <w:rPr>
                <w:color w:val="105C84"/>
                <w:spacing w:val="-7"/>
                <w:sz w:val="18"/>
              </w:rPr>
              <w:t> </w:t>
            </w:r>
            <w:r>
              <w:rPr>
                <w:color w:val="105C84"/>
                <w:sz w:val="18"/>
              </w:rPr>
              <w:t>promote</w:t>
            </w:r>
            <w:r>
              <w:rPr>
                <w:color w:val="105C84"/>
                <w:spacing w:val="-7"/>
                <w:sz w:val="18"/>
              </w:rPr>
              <w:t> </w:t>
            </w:r>
            <w:r>
              <w:rPr>
                <w:color w:val="105C84"/>
                <w:sz w:val="18"/>
              </w:rPr>
              <w:t>screening</w:t>
            </w:r>
            <w:r>
              <w:rPr>
                <w:color w:val="105C84"/>
                <w:spacing w:val="-7"/>
                <w:sz w:val="18"/>
              </w:rPr>
              <w:t> </w:t>
            </w:r>
            <w:r>
              <w:rPr>
                <w:color w:val="105C84"/>
                <w:sz w:val="18"/>
              </w:rPr>
              <w:t>and </w:t>
            </w:r>
            <w:r>
              <w:rPr>
                <w:color w:val="105C84"/>
                <w:w w:val="105"/>
                <w:sz w:val="18"/>
              </w:rPr>
              <w:t>education through direct mail newsletters to </w:t>
            </w:r>
            <w:r>
              <w:rPr>
                <w:color w:val="105C84"/>
                <w:sz w:val="18"/>
              </w:rPr>
              <w:t>74,000</w:t>
            </w:r>
            <w:r>
              <w:rPr>
                <w:color w:val="105C84"/>
                <w:spacing w:val="-12"/>
                <w:sz w:val="18"/>
              </w:rPr>
              <w:t> </w:t>
            </w:r>
            <w:r>
              <w:rPr>
                <w:color w:val="105C84"/>
                <w:sz w:val="18"/>
              </w:rPr>
              <w:t>homes</w:t>
            </w:r>
            <w:r>
              <w:rPr>
                <w:color w:val="105C84"/>
                <w:spacing w:val="-12"/>
                <w:sz w:val="18"/>
              </w:rPr>
              <w:t> </w:t>
            </w:r>
            <w:r>
              <w:rPr>
                <w:color w:val="105C84"/>
                <w:sz w:val="18"/>
              </w:rPr>
              <w:t>2</w:t>
            </w:r>
            <w:r>
              <w:rPr>
                <w:color w:val="105C84"/>
                <w:spacing w:val="-12"/>
                <w:sz w:val="18"/>
              </w:rPr>
              <w:t> </w:t>
            </w:r>
            <w:r>
              <w:rPr>
                <w:color w:val="105C84"/>
                <w:sz w:val="18"/>
              </w:rPr>
              <w:t>x</w:t>
            </w:r>
            <w:r>
              <w:rPr>
                <w:color w:val="105C84"/>
                <w:spacing w:val="-12"/>
                <w:sz w:val="18"/>
              </w:rPr>
              <w:t> </w:t>
            </w:r>
            <w:r>
              <w:rPr>
                <w:color w:val="105C84"/>
                <w:sz w:val="18"/>
              </w:rPr>
              <w:t>year</w:t>
            </w:r>
            <w:r>
              <w:rPr>
                <w:color w:val="105C84"/>
                <w:spacing w:val="-12"/>
                <w:sz w:val="18"/>
              </w:rPr>
              <w:t> </w:t>
            </w:r>
            <w:r>
              <w:rPr>
                <w:color w:val="105C84"/>
                <w:sz w:val="18"/>
              </w:rPr>
              <w:t>and</w:t>
            </w:r>
            <w:r>
              <w:rPr>
                <w:color w:val="105C84"/>
                <w:spacing w:val="-12"/>
                <w:sz w:val="18"/>
              </w:rPr>
              <w:t> </w:t>
            </w:r>
            <w:r>
              <w:rPr>
                <w:color w:val="105C84"/>
                <w:sz w:val="18"/>
              </w:rPr>
              <w:t>will</w:t>
            </w:r>
            <w:r>
              <w:rPr>
                <w:color w:val="105C84"/>
                <w:spacing w:val="-12"/>
                <w:sz w:val="18"/>
              </w:rPr>
              <w:t> </w:t>
            </w:r>
            <w:r>
              <w:rPr>
                <w:color w:val="105C84"/>
                <w:sz w:val="18"/>
              </w:rPr>
              <w:t>use</w:t>
            </w:r>
            <w:r>
              <w:rPr>
                <w:color w:val="105C84"/>
                <w:spacing w:val="-12"/>
                <w:sz w:val="18"/>
              </w:rPr>
              <w:t> </w:t>
            </w:r>
            <w:r>
              <w:rPr>
                <w:color w:val="105C84"/>
                <w:sz w:val="18"/>
              </w:rPr>
              <w:t>social/digital </w:t>
            </w:r>
            <w:r>
              <w:rPr>
                <w:color w:val="105C84"/>
                <w:w w:val="105"/>
                <w:sz w:val="18"/>
              </w:rPr>
              <w:t>media to raise awareness</w:t>
            </w:r>
          </w:p>
          <w:p>
            <w:pPr>
              <w:pStyle w:val="TableParagraph"/>
              <w:spacing w:line="232" w:lineRule="auto" w:before="87"/>
              <w:ind w:left="86" w:right="287"/>
              <w:jc w:val="both"/>
              <w:rPr>
                <w:sz w:val="18"/>
              </w:rPr>
            </w:pPr>
            <w:r>
              <w:rPr>
                <w:color w:val="105C84"/>
                <w:sz w:val="18"/>
              </w:rPr>
              <w:t>(Ovid</w:t>
            </w:r>
            <w:r>
              <w:rPr>
                <w:color w:val="105C84"/>
                <w:spacing w:val="-5"/>
                <w:sz w:val="18"/>
              </w:rPr>
              <w:t> </w:t>
            </w:r>
            <w:r>
              <w:rPr>
                <w:color w:val="105C84"/>
                <w:sz w:val="18"/>
              </w:rPr>
              <w:t>Community</w:t>
            </w:r>
            <w:r>
              <w:rPr>
                <w:color w:val="105C84"/>
                <w:spacing w:val="-5"/>
                <w:sz w:val="18"/>
              </w:rPr>
              <w:t> </w:t>
            </w:r>
            <w:r>
              <w:rPr>
                <w:color w:val="105C84"/>
                <w:sz w:val="18"/>
              </w:rPr>
              <w:t>Health</w:t>
            </w:r>
            <w:r>
              <w:rPr>
                <w:color w:val="105C84"/>
                <w:spacing w:val="-5"/>
                <w:sz w:val="18"/>
              </w:rPr>
              <w:t> </w:t>
            </w:r>
            <w:r>
              <w:rPr>
                <w:color w:val="105C84"/>
                <w:sz w:val="18"/>
              </w:rPr>
              <w:t>Patient</w:t>
            </w:r>
            <w:r>
              <w:rPr>
                <w:color w:val="105C84"/>
                <w:spacing w:val="-5"/>
                <w:sz w:val="18"/>
              </w:rPr>
              <w:t> </w:t>
            </w:r>
            <w:r>
              <w:rPr>
                <w:color w:val="105C84"/>
                <w:sz w:val="18"/>
              </w:rPr>
              <w:t>Navigator</w:t>
            </w:r>
            <w:r>
              <w:rPr>
                <w:color w:val="105C84"/>
                <w:spacing w:val="-5"/>
                <w:sz w:val="18"/>
              </w:rPr>
              <w:t> </w:t>
            </w:r>
            <w:r>
              <w:rPr>
                <w:color w:val="105C84"/>
                <w:sz w:val="18"/>
              </w:rPr>
              <w:t>.10 FTE)</w:t>
            </w:r>
            <w:r>
              <w:rPr>
                <w:color w:val="105C84"/>
                <w:spacing w:val="-13"/>
                <w:sz w:val="18"/>
              </w:rPr>
              <w:t> </w:t>
            </w:r>
            <w:r>
              <w:rPr>
                <w:color w:val="105C84"/>
                <w:sz w:val="18"/>
              </w:rPr>
              <w:t>will</w:t>
            </w:r>
            <w:r>
              <w:rPr>
                <w:color w:val="105C84"/>
                <w:spacing w:val="-12"/>
                <w:sz w:val="18"/>
              </w:rPr>
              <w:t> </w:t>
            </w:r>
            <w:r>
              <w:rPr>
                <w:color w:val="105C84"/>
                <w:sz w:val="18"/>
              </w:rPr>
              <w:t>promote</w:t>
            </w:r>
            <w:r>
              <w:rPr>
                <w:color w:val="105C84"/>
                <w:spacing w:val="-13"/>
                <w:sz w:val="18"/>
              </w:rPr>
              <w:t> </w:t>
            </w:r>
            <w:r>
              <w:rPr>
                <w:color w:val="105C84"/>
                <w:sz w:val="18"/>
              </w:rPr>
              <w:t>cancer</w:t>
            </w:r>
            <w:r>
              <w:rPr>
                <w:color w:val="105C84"/>
                <w:spacing w:val="-12"/>
                <w:sz w:val="18"/>
              </w:rPr>
              <w:t> </w:t>
            </w:r>
            <w:r>
              <w:rPr>
                <w:color w:val="105C84"/>
                <w:sz w:val="18"/>
              </w:rPr>
              <w:t>screening</w:t>
            </w:r>
            <w:r>
              <w:rPr>
                <w:color w:val="105C84"/>
                <w:spacing w:val="-13"/>
                <w:sz w:val="18"/>
              </w:rPr>
              <w:t> </w:t>
            </w:r>
            <w:r>
              <w:rPr>
                <w:color w:val="105C84"/>
                <w:sz w:val="18"/>
              </w:rPr>
              <w:t>services</w:t>
            </w:r>
            <w:r>
              <w:rPr>
                <w:color w:val="105C84"/>
                <w:spacing w:val="-12"/>
                <w:sz w:val="18"/>
              </w:rPr>
              <w:t> </w:t>
            </w:r>
            <w:r>
              <w:rPr>
                <w:color w:val="105C84"/>
                <w:sz w:val="18"/>
              </w:rPr>
              <w:t>to their patients</w:t>
            </w:r>
          </w:p>
          <w:p>
            <w:pPr>
              <w:pStyle w:val="TableParagraph"/>
              <w:spacing w:line="232" w:lineRule="auto" w:before="87"/>
              <w:ind w:left="86" w:right="164"/>
              <w:rPr>
                <w:sz w:val="18"/>
              </w:rPr>
            </w:pPr>
            <w:r>
              <w:rPr>
                <w:color w:val="105C84"/>
                <w:sz w:val="18"/>
              </w:rPr>
              <w:t>Patient</w:t>
            </w:r>
            <w:r>
              <w:rPr>
                <w:color w:val="105C84"/>
                <w:spacing w:val="-6"/>
                <w:sz w:val="18"/>
              </w:rPr>
              <w:t> </w:t>
            </w:r>
            <w:r>
              <w:rPr>
                <w:color w:val="105C84"/>
                <w:sz w:val="18"/>
              </w:rPr>
              <w:t>Navigator</w:t>
            </w:r>
            <w:r>
              <w:rPr>
                <w:color w:val="105C84"/>
                <w:spacing w:val="-6"/>
                <w:sz w:val="18"/>
              </w:rPr>
              <w:t> </w:t>
            </w:r>
            <w:r>
              <w:rPr>
                <w:color w:val="105C84"/>
                <w:sz w:val="18"/>
              </w:rPr>
              <w:t>will</w:t>
            </w:r>
            <w:r>
              <w:rPr>
                <w:color w:val="105C84"/>
                <w:spacing w:val="-6"/>
                <w:sz w:val="18"/>
              </w:rPr>
              <w:t> </w:t>
            </w:r>
            <w:r>
              <w:rPr>
                <w:color w:val="105C84"/>
                <w:sz w:val="18"/>
              </w:rPr>
              <w:t>provide</w:t>
            </w:r>
            <w:r>
              <w:rPr>
                <w:color w:val="105C84"/>
                <w:spacing w:val="-6"/>
                <w:sz w:val="18"/>
              </w:rPr>
              <w:t> </w:t>
            </w:r>
            <w:r>
              <w:rPr>
                <w:color w:val="105C84"/>
                <w:sz w:val="18"/>
              </w:rPr>
              <w:t>cancer</w:t>
            </w:r>
            <w:r>
              <w:rPr>
                <w:color w:val="105C84"/>
                <w:spacing w:val="-6"/>
                <w:sz w:val="18"/>
              </w:rPr>
              <w:t> </w:t>
            </w:r>
            <w:r>
              <w:rPr>
                <w:color w:val="105C84"/>
                <w:sz w:val="18"/>
              </w:rPr>
              <w:t>screening outreach in the community to increase awareness for cancer screenings</w:t>
            </w:r>
          </w:p>
          <w:p>
            <w:pPr>
              <w:pStyle w:val="TableParagraph"/>
              <w:spacing w:line="232" w:lineRule="auto" w:before="88"/>
              <w:ind w:left="86" w:right="4"/>
              <w:rPr>
                <w:sz w:val="18"/>
              </w:rPr>
            </w:pPr>
            <w:r>
              <w:rPr>
                <w:color w:val="105C84"/>
                <w:sz w:val="18"/>
              </w:rPr>
              <w:t>Outreach coordinator for the Finger Lakes CSP will conduct outreach via tabling and provider outreach in Seneca County to increase the number of uninsured or underinsured men and women</w:t>
            </w:r>
            <w:r>
              <w:rPr>
                <w:color w:val="105C84"/>
                <w:spacing w:val="-13"/>
                <w:sz w:val="18"/>
              </w:rPr>
              <w:t> </w:t>
            </w:r>
            <w:r>
              <w:rPr>
                <w:color w:val="105C84"/>
                <w:sz w:val="18"/>
              </w:rPr>
              <w:t>who</w:t>
            </w:r>
            <w:r>
              <w:rPr>
                <w:color w:val="105C84"/>
                <w:spacing w:val="-12"/>
                <w:sz w:val="18"/>
              </w:rPr>
              <w:t> </w:t>
            </w:r>
            <w:r>
              <w:rPr>
                <w:color w:val="105C84"/>
                <w:sz w:val="18"/>
              </w:rPr>
              <w:t>receive</w:t>
            </w:r>
            <w:r>
              <w:rPr>
                <w:color w:val="105C84"/>
                <w:spacing w:val="-13"/>
                <w:sz w:val="18"/>
              </w:rPr>
              <w:t> </w:t>
            </w:r>
            <w:r>
              <w:rPr>
                <w:color w:val="105C84"/>
                <w:sz w:val="18"/>
              </w:rPr>
              <w:t>colorectal</w:t>
            </w:r>
            <w:r>
              <w:rPr>
                <w:color w:val="105C84"/>
                <w:spacing w:val="-12"/>
                <w:sz w:val="18"/>
              </w:rPr>
              <w:t> </w:t>
            </w:r>
            <w:r>
              <w:rPr>
                <w:color w:val="105C84"/>
                <w:sz w:val="18"/>
              </w:rPr>
              <w:t>cancer</w:t>
            </w:r>
            <w:r>
              <w:rPr>
                <w:color w:val="105C84"/>
                <w:spacing w:val="-13"/>
                <w:sz w:val="18"/>
              </w:rPr>
              <w:t> </w:t>
            </w:r>
            <w:r>
              <w:rPr>
                <w:color w:val="105C84"/>
                <w:sz w:val="18"/>
              </w:rPr>
              <w:t>screenings</w:t>
            </w:r>
          </w:p>
        </w:tc>
      </w:tr>
      <w:tr>
        <w:trPr>
          <w:trHeight w:val="5690" w:hRule="atLeast"/>
        </w:trPr>
        <w:tc>
          <w:tcPr>
            <w:tcW w:w="1008" w:type="dxa"/>
            <w:vMerge/>
            <w:tcBorders>
              <w:top w:val="nil"/>
            </w:tcBorders>
            <w:shd w:val="clear" w:color="auto" w:fill="E6E7E8"/>
          </w:tcPr>
          <w:p>
            <w:pPr>
              <w:rPr>
                <w:sz w:val="2"/>
                <w:szCs w:val="2"/>
              </w:rPr>
            </w:pPr>
          </w:p>
        </w:tc>
        <w:tc>
          <w:tcPr>
            <w:tcW w:w="1325" w:type="dxa"/>
            <w:vMerge/>
            <w:tcBorders>
              <w:top w:val="nil"/>
            </w:tcBorders>
          </w:tcPr>
          <w:p>
            <w:pPr>
              <w:rPr>
                <w:sz w:val="2"/>
                <w:szCs w:val="2"/>
              </w:rPr>
            </w:pPr>
          </w:p>
        </w:tc>
        <w:tc>
          <w:tcPr>
            <w:tcW w:w="1671" w:type="dxa"/>
          </w:tcPr>
          <w:p>
            <w:pPr>
              <w:pStyle w:val="TableParagraph"/>
              <w:spacing w:line="232" w:lineRule="auto" w:before="100"/>
              <w:ind w:left="89" w:right="124"/>
              <w:rPr>
                <w:sz w:val="18"/>
              </w:rPr>
            </w:pPr>
            <w:r>
              <w:rPr>
                <w:color w:val="105C84"/>
                <w:sz w:val="18"/>
              </w:rPr>
              <w:t>Goal</w:t>
            </w:r>
            <w:r>
              <w:rPr>
                <w:color w:val="105C84"/>
                <w:spacing w:val="-15"/>
                <w:sz w:val="18"/>
              </w:rPr>
              <w:t> </w:t>
            </w:r>
            <w:r>
              <w:rPr>
                <w:color w:val="105C84"/>
                <w:sz w:val="18"/>
              </w:rPr>
              <w:t>4.3:</w:t>
            </w:r>
            <w:r>
              <w:rPr>
                <w:color w:val="105C84"/>
                <w:spacing w:val="-12"/>
                <w:sz w:val="18"/>
              </w:rPr>
              <w:t> </w:t>
            </w:r>
            <w:r>
              <w:rPr>
                <w:color w:val="105C84"/>
                <w:sz w:val="18"/>
              </w:rPr>
              <w:t>Promote </w:t>
            </w:r>
            <w:r>
              <w:rPr>
                <w:color w:val="105C84"/>
                <w:spacing w:val="-2"/>
                <w:sz w:val="18"/>
              </w:rPr>
              <w:t>evidence-based </w:t>
            </w:r>
            <w:r>
              <w:rPr>
                <w:color w:val="105C84"/>
                <w:sz w:val="18"/>
              </w:rPr>
              <w:t>care to prevent and manage chronic diseases </w:t>
            </w:r>
            <w:r>
              <w:rPr>
                <w:color w:val="105C84"/>
                <w:spacing w:val="-2"/>
                <w:sz w:val="18"/>
              </w:rPr>
              <w:t>including</w:t>
            </w:r>
          </w:p>
          <w:p>
            <w:pPr>
              <w:pStyle w:val="TableParagraph"/>
              <w:spacing w:line="232" w:lineRule="auto"/>
              <w:ind w:left="89" w:right="103"/>
              <w:rPr>
                <w:sz w:val="18"/>
              </w:rPr>
            </w:pPr>
            <w:r>
              <w:rPr>
                <w:color w:val="105C84"/>
                <w:sz w:val="18"/>
              </w:rPr>
              <w:t>asthma, arthritis, </w:t>
            </w:r>
            <w:r>
              <w:rPr>
                <w:color w:val="105C84"/>
                <w:spacing w:val="-2"/>
                <w:sz w:val="18"/>
              </w:rPr>
              <w:t>cardiovascular disease,</w:t>
            </w:r>
            <w:r>
              <w:rPr>
                <w:color w:val="105C84"/>
                <w:spacing w:val="-11"/>
                <w:sz w:val="18"/>
              </w:rPr>
              <w:t> </w:t>
            </w:r>
            <w:r>
              <w:rPr>
                <w:color w:val="105C84"/>
                <w:spacing w:val="-2"/>
                <w:sz w:val="18"/>
              </w:rPr>
              <w:t>diabetes </w:t>
            </w:r>
            <w:r>
              <w:rPr>
                <w:color w:val="105C84"/>
                <w:sz w:val="18"/>
              </w:rPr>
              <w:t>and prediabetes and obesity</w:t>
            </w:r>
          </w:p>
        </w:tc>
        <w:tc>
          <w:tcPr>
            <w:tcW w:w="1606" w:type="dxa"/>
          </w:tcPr>
          <w:p>
            <w:pPr>
              <w:pStyle w:val="TableParagraph"/>
              <w:spacing w:line="232" w:lineRule="auto" w:before="99"/>
              <w:ind w:left="88" w:right="189"/>
              <w:rPr>
                <w:sz w:val="18"/>
              </w:rPr>
            </w:pPr>
            <w:r>
              <w:rPr>
                <w:color w:val="105C84"/>
                <w:sz w:val="18"/>
              </w:rPr>
              <w:t>4.4.1 Increase the</w:t>
            </w:r>
            <w:r>
              <w:rPr>
                <w:color w:val="105C84"/>
                <w:spacing w:val="-13"/>
                <w:sz w:val="18"/>
              </w:rPr>
              <w:t> </w:t>
            </w:r>
            <w:r>
              <w:rPr>
                <w:color w:val="105C84"/>
                <w:sz w:val="18"/>
              </w:rPr>
              <w:t>percentage</w:t>
            </w:r>
            <w:r>
              <w:rPr>
                <w:color w:val="105C84"/>
                <w:sz w:val="18"/>
              </w:rPr>
              <w:t> of adults</w:t>
            </w:r>
          </w:p>
          <w:p>
            <w:pPr>
              <w:pStyle w:val="TableParagraph"/>
              <w:spacing w:line="232" w:lineRule="auto"/>
              <w:ind w:left="88" w:right="144"/>
              <w:rPr>
                <w:sz w:val="18"/>
              </w:rPr>
            </w:pPr>
            <w:r>
              <w:rPr>
                <w:color w:val="105C84"/>
                <w:sz w:val="18"/>
              </w:rPr>
              <w:t>with chronic </w:t>
            </w:r>
            <w:r>
              <w:rPr>
                <w:color w:val="105C84"/>
                <w:spacing w:val="-2"/>
                <w:sz w:val="18"/>
              </w:rPr>
              <w:t>conditions (arthritis,</w:t>
            </w:r>
            <w:r>
              <w:rPr>
                <w:color w:val="105C84"/>
                <w:spacing w:val="-11"/>
                <w:sz w:val="18"/>
              </w:rPr>
              <w:t> </w:t>
            </w:r>
            <w:r>
              <w:rPr>
                <w:color w:val="105C84"/>
                <w:spacing w:val="-2"/>
                <w:sz w:val="18"/>
              </w:rPr>
              <w:t>asthma, </w:t>
            </w:r>
            <w:r>
              <w:rPr>
                <w:color w:val="105C84"/>
                <w:sz w:val="18"/>
              </w:rPr>
              <w:t>CVD, diabetes, CKD, cancer) who have taken a</w:t>
            </w:r>
            <w:r>
              <w:rPr>
                <w:color w:val="105C84"/>
                <w:spacing w:val="-13"/>
                <w:sz w:val="18"/>
              </w:rPr>
              <w:t> </w:t>
            </w:r>
            <w:r>
              <w:rPr>
                <w:color w:val="105C84"/>
                <w:sz w:val="18"/>
              </w:rPr>
              <w:t>course</w:t>
            </w:r>
            <w:r>
              <w:rPr>
                <w:color w:val="105C84"/>
                <w:spacing w:val="-12"/>
                <w:sz w:val="18"/>
              </w:rPr>
              <w:t> </w:t>
            </w:r>
            <w:r>
              <w:rPr>
                <w:color w:val="105C84"/>
                <w:sz w:val="18"/>
              </w:rPr>
              <w:t>or</w:t>
            </w:r>
            <w:r>
              <w:rPr>
                <w:color w:val="105C84"/>
                <w:spacing w:val="-13"/>
                <w:sz w:val="18"/>
              </w:rPr>
              <w:t> </w:t>
            </w:r>
            <w:r>
              <w:rPr>
                <w:color w:val="105C84"/>
                <w:sz w:val="18"/>
              </w:rPr>
              <w:t>class to learn how to manage their </w:t>
            </w:r>
            <w:r>
              <w:rPr>
                <w:color w:val="105C84"/>
                <w:spacing w:val="-2"/>
                <w:sz w:val="18"/>
              </w:rPr>
              <w:t>condition</w:t>
            </w:r>
          </w:p>
        </w:tc>
        <w:tc>
          <w:tcPr>
            <w:tcW w:w="1217" w:type="dxa"/>
          </w:tcPr>
          <w:p>
            <w:pPr>
              <w:pStyle w:val="TableParagraph"/>
              <w:spacing w:line="232" w:lineRule="auto" w:before="99"/>
              <w:ind w:left="88" w:right="166"/>
              <w:rPr>
                <w:sz w:val="18"/>
              </w:rPr>
            </w:pPr>
            <w:r>
              <w:rPr>
                <w:color w:val="105C84"/>
                <w:sz w:val="18"/>
              </w:rPr>
              <w:t>Low SES/ </w:t>
            </w:r>
            <w:r>
              <w:rPr>
                <w:color w:val="105C84"/>
                <w:spacing w:val="-2"/>
                <w:sz w:val="18"/>
              </w:rPr>
              <w:t>minority populations</w:t>
            </w:r>
          </w:p>
        </w:tc>
        <w:tc>
          <w:tcPr>
            <w:tcW w:w="1735" w:type="dxa"/>
          </w:tcPr>
          <w:p>
            <w:pPr>
              <w:pStyle w:val="TableParagraph"/>
              <w:spacing w:line="232" w:lineRule="auto" w:before="99"/>
              <w:ind w:left="88" w:right="151"/>
              <w:rPr>
                <w:sz w:val="18"/>
              </w:rPr>
            </w:pPr>
            <w:r>
              <w:rPr>
                <w:color w:val="105C84"/>
                <w:sz w:val="18"/>
              </w:rPr>
              <w:t>4.3.5 Promote referral</w:t>
            </w:r>
            <w:r>
              <w:rPr>
                <w:color w:val="105C84"/>
                <w:spacing w:val="-3"/>
                <w:sz w:val="18"/>
              </w:rPr>
              <w:t> </w:t>
            </w:r>
            <w:r>
              <w:rPr>
                <w:color w:val="105C84"/>
                <w:sz w:val="18"/>
              </w:rPr>
              <w:t>of</w:t>
            </w:r>
            <w:r>
              <w:rPr>
                <w:color w:val="105C84"/>
                <w:spacing w:val="-3"/>
                <w:sz w:val="18"/>
              </w:rPr>
              <w:t> </w:t>
            </w:r>
            <w:r>
              <w:rPr>
                <w:color w:val="105C84"/>
                <w:sz w:val="18"/>
              </w:rPr>
              <w:t>patients with prediabetes</w:t>
            </w:r>
            <w:r>
              <w:rPr>
                <w:color w:val="105C84"/>
                <w:spacing w:val="40"/>
                <w:sz w:val="18"/>
              </w:rPr>
              <w:t> </w:t>
            </w:r>
            <w:r>
              <w:rPr>
                <w:color w:val="105C84"/>
                <w:sz w:val="18"/>
              </w:rPr>
              <w:t>to an intensive behavioral</w:t>
            </w:r>
            <w:r>
              <w:rPr>
                <w:color w:val="105C84"/>
                <w:spacing w:val="-13"/>
                <w:sz w:val="18"/>
              </w:rPr>
              <w:t> </w:t>
            </w:r>
            <w:r>
              <w:rPr>
                <w:color w:val="105C84"/>
                <w:sz w:val="18"/>
              </w:rPr>
              <w:t>lifestyle</w:t>
            </w:r>
            <w:r>
              <w:rPr>
                <w:color w:val="105C84"/>
                <w:sz w:val="18"/>
              </w:rPr>
              <w:t> </w:t>
            </w:r>
            <w:r>
              <w:rPr>
                <w:color w:val="105C84"/>
                <w:spacing w:val="-2"/>
                <w:sz w:val="18"/>
              </w:rPr>
              <w:t>intervention </w:t>
            </w:r>
            <w:r>
              <w:rPr>
                <w:color w:val="105C84"/>
                <w:sz w:val="18"/>
              </w:rPr>
              <w:t>program modeled on the Diabetes </w:t>
            </w:r>
            <w:r>
              <w:rPr>
                <w:color w:val="105C84"/>
                <w:spacing w:val="-2"/>
                <w:sz w:val="18"/>
              </w:rPr>
              <w:t>Prevention</w:t>
            </w:r>
          </w:p>
          <w:p>
            <w:pPr>
              <w:pStyle w:val="TableParagraph"/>
              <w:spacing w:line="232" w:lineRule="auto"/>
              <w:ind w:left="88"/>
              <w:rPr>
                <w:sz w:val="18"/>
              </w:rPr>
            </w:pPr>
            <w:r>
              <w:rPr>
                <w:color w:val="105C84"/>
                <w:sz w:val="18"/>
              </w:rPr>
              <w:t>Program</w:t>
            </w:r>
            <w:r>
              <w:rPr>
                <w:color w:val="105C84"/>
                <w:spacing w:val="-15"/>
                <w:sz w:val="18"/>
              </w:rPr>
              <w:t> </w:t>
            </w:r>
            <w:r>
              <w:rPr>
                <w:color w:val="105C84"/>
                <w:sz w:val="18"/>
              </w:rPr>
              <w:t>to</w:t>
            </w:r>
            <w:r>
              <w:rPr>
                <w:color w:val="105C84"/>
                <w:spacing w:val="-12"/>
                <w:sz w:val="18"/>
              </w:rPr>
              <w:t> </w:t>
            </w:r>
            <w:r>
              <w:rPr>
                <w:color w:val="105C84"/>
                <w:sz w:val="18"/>
              </w:rPr>
              <w:t>achieve and maintain 5%</w:t>
            </w:r>
          </w:p>
          <w:p>
            <w:pPr>
              <w:pStyle w:val="TableParagraph"/>
              <w:spacing w:line="232" w:lineRule="auto"/>
              <w:ind w:left="88" w:right="79"/>
              <w:rPr>
                <w:sz w:val="18"/>
              </w:rPr>
            </w:pPr>
            <w:r>
              <w:rPr>
                <w:color w:val="105C84"/>
                <w:sz w:val="18"/>
              </w:rPr>
              <w:t>to 7% loss of initial body weight and increase</w:t>
            </w:r>
            <w:r>
              <w:rPr>
                <w:color w:val="105C84"/>
                <w:spacing w:val="-13"/>
                <w:sz w:val="18"/>
              </w:rPr>
              <w:t> </w:t>
            </w:r>
            <w:r>
              <w:rPr>
                <w:color w:val="105C84"/>
                <w:sz w:val="18"/>
              </w:rPr>
              <w:t>moderate-intensity physical activity (such as brisk walking) to at </w:t>
            </w:r>
            <w:r>
              <w:rPr>
                <w:color w:val="105C84"/>
                <w:spacing w:val="-2"/>
                <w:sz w:val="18"/>
              </w:rPr>
              <w:t>least</w:t>
            </w:r>
            <w:r>
              <w:rPr>
                <w:color w:val="105C84"/>
                <w:spacing w:val="-11"/>
                <w:sz w:val="18"/>
              </w:rPr>
              <w:t> </w:t>
            </w:r>
            <w:r>
              <w:rPr>
                <w:color w:val="105C84"/>
                <w:spacing w:val="-2"/>
                <w:sz w:val="18"/>
              </w:rPr>
              <w:t>150</w:t>
            </w:r>
            <w:r>
              <w:rPr>
                <w:color w:val="105C84"/>
                <w:spacing w:val="-10"/>
                <w:sz w:val="18"/>
              </w:rPr>
              <w:t> </w:t>
            </w:r>
            <w:r>
              <w:rPr>
                <w:color w:val="105C84"/>
                <w:spacing w:val="-2"/>
                <w:sz w:val="18"/>
              </w:rPr>
              <w:t>min/week</w:t>
            </w:r>
          </w:p>
        </w:tc>
        <w:tc>
          <w:tcPr>
            <w:tcW w:w="5429" w:type="dxa"/>
          </w:tcPr>
          <w:p>
            <w:pPr>
              <w:pStyle w:val="TableParagraph"/>
              <w:tabs>
                <w:tab w:pos="3670" w:val="left" w:leader="none"/>
              </w:tabs>
              <w:spacing w:line="203" w:lineRule="exact" w:before="94"/>
              <w:ind w:left="88"/>
              <w:rPr>
                <w:sz w:val="18"/>
              </w:rPr>
            </w:pPr>
            <w:r>
              <w:rPr>
                <w:color w:val="105C84"/>
                <w:sz w:val="18"/>
              </w:rPr>
              <w:t>Number</w:t>
            </w:r>
            <w:r>
              <w:rPr>
                <w:color w:val="105C84"/>
                <w:spacing w:val="10"/>
                <w:sz w:val="18"/>
              </w:rPr>
              <w:t> </w:t>
            </w:r>
            <w:r>
              <w:rPr>
                <w:color w:val="105C84"/>
                <w:sz w:val="18"/>
              </w:rPr>
              <w:t>of</w:t>
            </w:r>
            <w:r>
              <w:rPr>
                <w:color w:val="105C84"/>
                <w:spacing w:val="10"/>
                <w:sz w:val="18"/>
              </w:rPr>
              <w:t> </w:t>
            </w:r>
            <w:r>
              <w:rPr>
                <w:color w:val="105C84"/>
                <w:spacing w:val="-2"/>
                <w:sz w:val="18"/>
              </w:rPr>
              <w:t>National</w:t>
            </w:r>
            <w:r>
              <w:rPr>
                <w:color w:val="105C84"/>
                <w:sz w:val="18"/>
              </w:rPr>
              <w:tab/>
              <w:t>Promote</w:t>
            </w:r>
            <w:r>
              <w:rPr>
                <w:color w:val="105C84"/>
                <w:spacing w:val="1"/>
                <w:sz w:val="18"/>
              </w:rPr>
              <w:t> </w:t>
            </w:r>
            <w:r>
              <w:rPr>
                <w:color w:val="105C84"/>
                <w:sz w:val="18"/>
              </w:rPr>
              <w:t>the</w:t>
            </w:r>
            <w:r>
              <w:rPr>
                <w:color w:val="105C84"/>
                <w:spacing w:val="1"/>
                <w:sz w:val="18"/>
              </w:rPr>
              <w:t> </w:t>
            </w:r>
            <w:r>
              <w:rPr>
                <w:color w:val="105C84"/>
                <w:spacing w:val="-5"/>
                <w:sz w:val="18"/>
              </w:rPr>
              <w:t>FL</w:t>
            </w:r>
          </w:p>
          <w:p>
            <w:pPr>
              <w:pStyle w:val="TableParagraph"/>
              <w:tabs>
                <w:tab w:pos="3670" w:val="left" w:leader="none"/>
              </w:tabs>
              <w:spacing w:line="200" w:lineRule="exact"/>
              <w:ind w:left="88"/>
              <w:rPr>
                <w:sz w:val="18"/>
              </w:rPr>
            </w:pPr>
            <w:r>
              <w:rPr>
                <w:color w:val="105C84"/>
                <w:spacing w:val="-2"/>
                <w:sz w:val="18"/>
              </w:rPr>
              <w:t>DPP</w:t>
            </w:r>
            <w:r>
              <w:rPr>
                <w:color w:val="105C84"/>
                <w:spacing w:val="-7"/>
                <w:sz w:val="18"/>
              </w:rPr>
              <w:t> </w:t>
            </w:r>
            <w:r>
              <w:rPr>
                <w:color w:val="105C84"/>
                <w:spacing w:val="-2"/>
                <w:sz w:val="18"/>
              </w:rPr>
              <w:t>programs</w:t>
            </w:r>
            <w:r>
              <w:rPr>
                <w:color w:val="105C84"/>
                <w:spacing w:val="-7"/>
                <w:sz w:val="18"/>
              </w:rPr>
              <w:t> </w:t>
            </w:r>
            <w:r>
              <w:rPr>
                <w:color w:val="105C84"/>
                <w:spacing w:val="-5"/>
                <w:sz w:val="18"/>
              </w:rPr>
              <w:t>in</w:t>
            </w:r>
            <w:r>
              <w:rPr>
                <w:color w:val="105C84"/>
                <w:sz w:val="18"/>
              </w:rPr>
              <w:tab/>
            </w:r>
            <w:r>
              <w:rPr>
                <w:color w:val="105C84"/>
                <w:spacing w:val="-2"/>
                <w:sz w:val="18"/>
              </w:rPr>
              <w:t>Cancer</w:t>
            </w:r>
            <w:r>
              <w:rPr>
                <w:color w:val="105C84"/>
                <w:spacing w:val="-10"/>
                <w:sz w:val="18"/>
              </w:rPr>
              <w:t> </w:t>
            </w:r>
            <w:r>
              <w:rPr>
                <w:color w:val="105C84"/>
                <w:spacing w:val="-2"/>
                <w:sz w:val="18"/>
              </w:rPr>
              <w:t>Services</w:t>
            </w:r>
          </w:p>
          <w:p>
            <w:pPr>
              <w:pStyle w:val="TableParagraph"/>
              <w:tabs>
                <w:tab w:pos="3670" w:val="left" w:leader="none"/>
              </w:tabs>
              <w:spacing w:line="200" w:lineRule="exact"/>
              <w:ind w:left="88"/>
              <w:rPr>
                <w:sz w:val="18"/>
              </w:rPr>
            </w:pPr>
            <w:r>
              <w:rPr>
                <w:color w:val="105C84"/>
                <w:sz w:val="18"/>
              </w:rPr>
              <w:t>community</w:t>
            </w:r>
            <w:r>
              <w:rPr>
                <w:color w:val="105C84"/>
                <w:spacing w:val="4"/>
                <w:sz w:val="18"/>
              </w:rPr>
              <w:t> </w:t>
            </w:r>
            <w:r>
              <w:rPr>
                <w:color w:val="105C84"/>
                <w:spacing w:val="-2"/>
                <w:sz w:val="18"/>
              </w:rPr>
              <w:t>settings</w:t>
            </w:r>
            <w:r>
              <w:rPr>
                <w:color w:val="105C84"/>
                <w:sz w:val="18"/>
              </w:rPr>
              <w:tab/>
            </w:r>
            <w:r>
              <w:rPr>
                <w:color w:val="105C84"/>
                <w:spacing w:val="-2"/>
                <w:sz w:val="18"/>
              </w:rPr>
              <w:t>Program </w:t>
            </w:r>
            <w:r>
              <w:rPr>
                <w:color w:val="105C84"/>
                <w:spacing w:val="-5"/>
                <w:sz w:val="18"/>
              </w:rPr>
              <w:t>and</w:t>
            </w:r>
          </w:p>
          <w:p>
            <w:pPr>
              <w:pStyle w:val="TableParagraph"/>
              <w:tabs>
                <w:tab w:pos="3670" w:val="left" w:leader="none"/>
              </w:tabs>
              <w:spacing w:line="148" w:lineRule="auto" w:before="26"/>
              <w:ind w:left="88"/>
              <w:rPr>
                <w:sz w:val="18"/>
              </w:rPr>
            </w:pPr>
            <w:r>
              <w:rPr>
                <w:color w:val="105C84"/>
                <w:position w:val="-8"/>
                <w:sz w:val="18"/>
              </w:rPr>
              <w:t>Number</w:t>
            </w:r>
            <w:r>
              <w:rPr>
                <w:color w:val="105C84"/>
                <w:spacing w:val="15"/>
                <w:position w:val="-8"/>
                <w:sz w:val="18"/>
              </w:rPr>
              <w:t> </w:t>
            </w:r>
            <w:r>
              <w:rPr>
                <w:color w:val="105C84"/>
                <w:spacing w:val="-5"/>
                <w:position w:val="-8"/>
                <w:sz w:val="18"/>
              </w:rPr>
              <w:t>of</w:t>
            </w:r>
            <w:r>
              <w:rPr>
                <w:color w:val="105C84"/>
                <w:position w:val="-8"/>
                <w:sz w:val="18"/>
              </w:rPr>
              <w:tab/>
            </w:r>
            <w:r>
              <w:rPr>
                <w:color w:val="105C84"/>
                <w:sz w:val="18"/>
              </w:rPr>
              <w:t>work</w:t>
            </w:r>
            <w:r>
              <w:rPr>
                <w:color w:val="105C84"/>
                <w:spacing w:val="-1"/>
                <w:sz w:val="18"/>
              </w:rPr>
              <w:t> </w:t>
            </w:r>
            <w:r>
              <w:rPr>
                <w:color w:val="105C84"/>
                <w:sz w:val="18"/>
              </w:rPr>
              <w:t>with </w:t>
            </w:r>
            <w:r>
              <w:rPr>
                <w:color w:val="105C84"/>
                <w:spacing w:val="-2"/>
                <w:sz w:val="18"/>
              </w:rPr>
              <w:t>local</w:t>
            </w:r>
          </w:p>
          <w:p>
            <w:pPr>
              <w:pStyle w:val="TableParagraph"/>
              <w:tabs>
                <w:tab w:pos="3670" w:val="left" w:leader="none"/>
              </w:tabs>
              <w:spacing w:line="200" w:lineRule="exact"/>
              <w:ind w:left="88"/>
              <w:rPr>
                <w:position w:val="9"/>
                <w:sz w:val="18"/>
              </w:rPr>
            </w:pPr>
            <w:r>
              <w:rPr>
                <w:color w:val="105C84"/>
                <w:sz w:val="18"/>
              </w:rPr>
              <w:t>patients</w:t>
            </w:r>
            <w:r>
              <w:rPr>
                <w:color w:val="105C84"/>
                <w:spacing w:val="4"/>
                <w:sz w:val="18"/>
              </w:rPr>
              <w:t> </w:t>
            </w:r>
            <w:r>
              <w:rPr>
                <w:color w:val="105C84"/>
                <w:spacing w:val="-2"/>
                <w:sz w:val="18"/>
              </w:rPr>
              <w:t>referred</w:t>
            </w:r>
            <w:r>
              <w:rPr>
                <w:color w:val="105C84"/>
                <w:sz w:val="18"/>
              </w:rPr>
              <w:tab/>
            </w:r>
            <w:r>
              <w:rPr>
                <w:color w:val="105C84"/>
                <w:spacing w:val="-2"/>
                <w:position w:val="9"/>
                <w:sz w:val="18"/>
              </w:rPr>
              <w:t>health</w:t>
            </w:r>
            <w:r>
              <w:rPr>
                <w:color w:val="105C84"/>
                <w:spacing w:val="-10"/>
                <w:position w:val="9"/>
                <w:sz w:val="18"/>
              </w:rPr>
              <w:t> </w:t>
            </w:r>
            <w:r>
              <w:rPr>
                <w:color w:val="105C84"/>
                <w:spacing w:val="-2"/>
                <w:position w:val="9"/>
                <w:sz w:val="18"/>
              </w:rPr>
              <w:t>systems</w:t>
            </w:r>
            <w:r>
              <w:rPr>
                <w:color w:val="105C84"/>
                <w:spacing w:val="-10"/>
                <w:position w:val="9"/>
                <w:sz w:val="18"/>
              </w:rPr>
              <w:t> </w:t>
            </w:r>
            <w:r>
              <w:rPr>
                <w:color w:val="105C84"/>
                <w:spacing w:val="-5"/>
                <w:position w:val="9"/>
                <w:sz w:val="18"/>
              </w:rPr>
              <w:t>to</w:t>
            </w:r>
          </w:p>
          <w:p>
            <w:pPr>
              <w:pStyle w:val="TableParagraph"/>
              <w:tabs>
                <w:tab w:pos="3670" w:val="left" w:leader="none"/>
              </w:tabs>
              <w:spacing w:line="148" w:lineRule="auto"/>
              <w:ind w:left="88"/>
              <w:rPr>
                <w:sz w:val="18"/>
              </w:rPr>
            </w:pPr>
            <w:r>
              <w:rPr>
                <w:color w:val="105C84"/>
                <w:position w:val="-8"/>
                <w:sz w:val="18"/>
              </w:rPr>
              <w:t>to</w:t>
            </w:r>
            <w:r>
              <w:rPr>
                <w:color w:val="105C84"/>
                <w:spacing w:val="11"/>
                <w:position w:val="-8"/>
                <w:sz w:val="18"/>
              </w:rPr>
              <w:t> </w:t>
            </w:r>
            <w:r>
              <w:rPr>
                <w:color w:val="105C84"/>
                <w:position w:val="-8"/>
                <w:sz w:val="18"/>
              </w:rPr>
              <w:t>National</w:t>
            </w:r>
            <w:r>
              <w:rPr>
                <w:color w:val="105C84"/>
                <w:spacing w:val="12"/>
                <w:position w:val="-8"/>
                <w:sz w:val="18"/>
              </w:rPr>
              <w:t> </w:t>
            </w:r>
            <w:r>
              <w:rPr>
                <w:color w:val="105C84"/>
                <w:spacing w:val="-5"/>
                <w:position w:val="-8"/>
                <w:sz w:val="18"/>
              </w:rPr>
              <w:t>DPP</w:t>
            </w:r>
            <w:r>
              <w:rPr>
                <w:color w:val="105C84"/>
                <w:position w:val="-8"/>
                <w:sz w:val="18"/>
              </w:rPr>
              <w:tab/>
            </w:r>
            <w:r>
              <w:rPr>
                <w:color w:val="105C84"/>
                <w:spacing w:val="-6"/>
                <w:sz w:val="18"/>
              </w:rPr>
              <w:t>increase</w:t>
            </w:r>
            <w:r>
              <w:rPr>
                <w:color w:val="105C84"/>
                <w:sz w:val="18"/>
              </w:rPr>
              <w:t> </w:t>
            </w:r>
            <w:r>
              <w:rPr>
                <w:color w:val="105C84"/>
                <w:spacing w:val="-6"/>
                <w:sz w:val="18"/>
              </w:rPr>
              <w:t>access</w:t>
            </w:r>
            <w:r>
              <w:rPr>
                <w:color w:val="105C84"/>
                <w:sz w:val="18"/>
              </w:rPr>
              <w:t> </w:t>
            </w:r>
            <w:r>
              <w:rPr>
                <w:color w:val="105C84"/>
                <w:spacing w:val="-7"/>
                <w:sz w:val="18"/>
              </w:rPr>
              <w:t>to</w:t>
            </w:r>
          </w:p>
          <w:p>
            <w:pPr>
              <w:pStyle w:val="TableParagraph"/>
              <w:tabs>
                <w:tab w:pos="3670" w:val="left" w:leader="none"/>
              </w:tabs>
              <w:spacing w:line="148" w:lineRule="auto"/>
              <w:ind w:left="88"/>
              <w:rPr>
                <w:sz w:val="18"/>
              </w:rPr>
            </w:pPr>
            <w:r>
              <w:rPr>
                <w:color w:val="105C84"/>
                <w:position w:val="-8"/>
                <w:sz w:val="18"/>
              </w:rPr>
              <w:t>percentage</w:t>
            </w:r>
            <w:r>
              <w:rPr>
                <w:color w:val="105C84"/>
                <w:spacing w:val="6"/>
                <w:position w:val="-8"/>
                <w:sz w:val="18"/>
              </w:rPr>
              <w:t> </w:t>
            </w:r>
            <w:r>
              <w:rPr>
                <w:color w:val="105C84"/>
                <w:spacing w:val="-5"/>
                <w:position w:val="-8"/>
                <w:sz w:val="18"/>
              </w:rPr>
              <w:t>of</w:t>
            </w:r>
            <w:r>
              <w:rPr>
                <w:color w:val="105C84"/>
                <w:position w:val="-8"/>
                <w:sz w:val="18"/>
              </w:rPr>
              <w:tab/>
            </w:r>
            <w:r>
              <w:rPr>
                <w:color w:val="105C84"/>
                <w:spacing w:val="-2"/>
                <w:sz w:val="18"/>
              </w:rPr>
              <w:t>screenings</w:t>
            </w:r>
            <w:r>
              <w:rPr>
                <w:color w:val="105C84"/>
                <w:spacing w:val="-1"/>
                <w:sz w:val="18"/>
              </w:rPr>
              <w:t> </w:t>
            </w:r>
            <w:r>
              <w:rPr>
                <w:color w:val="105C84"/>
                <w:spacing w:val="-2"/>
                <w:sz w:val="18"/>
              </w:rPr>
              <w:t>for</w:t>
            </w:r>
            <w:r>
              <w:rPr>
                <w:color w:val="105C84"/>
                <w:sz w:val="18"/>
              </w:rPr>
              <w:t> </w:t>
            </w:r>
            <w:r>
              <w:rPr>
                <w:color w:val="105C84"/>
                <w:spacing w:val="-4"/>
                <w:sz w:val="18"/>
              </w:rPr>
              <w:t>their</w:t>
            </w:r>
          </w:p>
          <w:p>
            <w:pPr>
              <w:pStyle w:val="TableParagraph"/>
              <w:tabs>
                <w:tab w:pos="3670" w:val="left" w:leader="none"/>
              </w:tabs>
              <w:spacing w:line="148" w:lineRule="auto"/>
              <w:ind w:left="88"/>
              <w:rPr>
                <w:sz w:val="18"/>
              </w:rPr>
            </w:pPr>
            <w:r>
              <w:rPr>
                <w:color w:val="105C84"/>
                <w:position w:val="-8"/>
                <w:sz w:val="18"/>
              </w:rPr>
              <w:t>patients</w:t>
            </w:r>
            <w:r>
              <w:rPr>
                <w:color w:val="105C84"/>
                <w:spacing w:val="4"/>
                <w:position w:val="-8"/>
                <w:sz w:val="18"/>
              </w:rPr>
              <w:t> </w:t>
            </w:r>
            <w:r>
              <w:rPr>
                <w:color w:val="105C84"/>
                <w:spacing w:val="-5"/>
                <w:position w:val="-8"/>
                <w:sz w:val="18"/>
              </w:rPr>
              <w:t>who</w:t>
            </w:r>
            <w:r>
              <w:rPr>
                <w:color w:val="105C84"/>
                <w:position w:val="-8"/>
                <w:sz w:val="18"/>
              </w:rPr>
              <w:tab/>
            </w:r>
            <w:r>
              <w:rPr>
                <w:color w:val="105C84"/>
                <w:sz w:val="18"/>
              </w:rPr>
              <w:t>patients</w:t>
            </w:r>
            <w:r>
              <w:rPr>
                <w:color w:val="105C84"/>
                <w:spacing w:val="4"/>
                <w:sz w:val="18"/>
              </w:rPr>
              <w:t> </w:t>
            </w:r>
            <w:r>
              <w:rPr>
                <w:color w:val="105C84"/>
                <w:spacing w:val="-2"/>
                <w:sz w:val="18"/>
              </w:rPr>
              <w:t>including</w:t>
            </w:r>
          </w:p>
          <w:p>
            <w:pPr>
              <w:pStyle w:val="TableParagraph"/>
              <w:tabs>
                <w:tab w:pos="3670" w:val="left" w:leader="none"/>
              </w:tabs>
              <w:spacing w:line="148" w:lineRule="auto"/>
              <w:ind w:left="88"/>
              <w:rPr>
                <w:sz w:val="18"/>
              </w:rPr>
            </w:pPr>
            <w:r>
              <w:rPr>
                <w:color w:val="105C84"/>
                <w:position w:val="-8"/>
                <w:sz w:val="18"/>
              </w:rPr>
              <w:t>complete</w:t>
            </w:r>
            <w:r>
              <w:rPr>
                <w:color w:val="105C84"/>
                <w:spacing w:val="25"/>
                <w:position w:val="-8"/>
                <w:sz w:val="18"/>
              </w:rPr>
              <w:t> </w:t>
            </w:r>
            <w:r>
              <w:rPr>
                <w:color w:val="105C84"/>
                <w:spacing w:val="-2"/>
                <w:position w:val="-8"/>
                <w:sz w:val="18"/>
              </w:rPr>
              <w:t>National</w:t>
            </w:r>
            <w:r>
              <w:rPr>
                <w:color w:val="105C84"/>
                <w:position w:val="-8"/>
                <w:sz w:val="18"/>
              </w:rPr>
              <w:tab/>
            </w:r>
            <w:r>
              <w:rPr>
                <w:color w:val="105C84"/>
                <w:sz w:val="18"/>
              </w:rPr>
              <w:t>scheduling</w:t>
            </w:r>
            <w:r>
              <w:rPr>
                <w:color w:val="105C84"/>
                <w:spacing w:val="1"/>
                <w:sz w:val="18"/>
              </w:rPr>
              <w:t> </w:t>
            </w:r>
            <w:r>
              <w:rPr>
                <w:color w:val="105C84"/>
                <w:spacing w:val="-2"/>
                <w:sz w:val="18"/>
              </w:rPr>
              <w:t>mobile</w:t>
            </w:r>
          </w:p>
          <w:p>
            <w:pPr>
              <w:pStyle w:val="TableParagraph"/>
              <w:tabs>
                <w:tab w:pos="3670" w:val="left" w:leader="none"/>
              </w:tabs>
              <w:spacing w:line="148" w:lineRule="auto"/>
              <w:ind w:left="88"/>
              <w:rPr>
                <w:sz w:val="18"/>
              </w:rPr>
            </w:pPr>
            <w:r>
              <w:rPr>
                <w:color w:val="105C84"/>
                <w:spacing w:val="-5"/>
                <w:position w:val="-8"/>
                <w:sz w:val="18"/>
              </w:rPr>
              <w:t>DPP</w:t>
            </w:r>
            <w:r>
              <w:rPr>
                <w:color w:val="105C84"/>
                <w:position w:val="-8"/>
                <w:sz w:val="18"/>
              </w:rPr>
              <w:tab/>
            </w:r>
            <w:r>
              <w:rPr>
                <w:color w:val="105C84"/>
                <w:spacing w:val="-2"/>
                <w:sz w:val="18"/>
              </w:rPr>
              <w:t>mammogram</w:t>
            </w:r>
          </w:p>
          <w:p>
            <w:pPr>
              <w:pStyle w:val="TableParagraph"/>
              <w:spacing w:line="145" w:lineRule="exact"/>
              <w:ind w:left="3670"/>
              <w:rPr>
                <w:sz w:val="18"/>
              </w:rPr>
            </w:pPr>
            <w:r>
              <w:rPr>
                <w:color w:val="105C84"/>
                <w:sz w:val="18"/>
              </w:rPr>
              <w:t>clinics</w:t>
            </w:r>
            <w:r>
              <w:rPr>
                <w:color w:val="105C84"/>
                <w:spacing w:val="-5"/>
                <w:sz w:val="18"/>
              </w:rPr>
              <w:t> </w:t>
            </w:r>
            <w:r>
              <w:rPr>
                <w:color w:val="105C84"/>
                <w:sz w:val="18"/>
              </w:rPr>
              <w:t>and</w:t>
            </w:r>
            <w:r>
              <w:rPr>
                <w:color w:val="105C84"/>
                <w:spacing w:val="-5"/>
                <w:sz w:val="18"/>
              </w:rPr>
              <w:t> </w:t>
            </w:r>
            <w:r>
              <w:rPr>
                <w:color w:val="105C84"/>
                <w:sz w:val="18"/>
              </w:rPr>
              <w:t>or</w:t>
            </w:r>
            <w:r>
              <w:rPr>
                <w:color w:val="105C84"/>
                <w:spacing w:val="-5"/>
                <w:sz w:val="18"/>
              </w:rPr>
              <w:t> </w:t>
            </w:r>
            <w:r>
              <w:rPr>
                <w:color w:val="105C84"/>
                <w:spacing w:val="-2"/>
                <w:sz w:val="18"/>
              </w:rPr>
              <w:t>other</w:t>
            </w:r>
          </w:p>
          <w:p>
            <w:pPr>
              <w:pStyle w:val="TableParagraph"/>
              <w:tabs>
                <w:tab w:pos="3670" w:val="left" w:leader="none"/>
              </w:tabs>
              <w:spacing w:line="208" w:lineRule="auto"/>
              <w:ind w:left="88" w:right="406"/>
              <w:rPr>
                <w:sz w:val="18"/>
              </w:rPr>
            </w:pPr>
            <w:r>
              <w:rPr>
                <w:color w:val="105C84"/>
                <w:position w:val="2"/>
                <w:sz w:val="18"/>
              </w:rPr>
              <w:t>Number of patients</w:t>
              <w:tab/>
            </w:r>
            <w:r>
              <w:rPr>
                <w:color w:val="105C84"/>
                <w:spacing w:val="-2"/>
                <w:sz w:val="18"/>
              </w:rPr>
              <w:t>screening</w:t>
            </w:r>
            <w:r>
              <w:rPr>
                <w:color w:val="105C84"/>
                <w:spacing w:val="-11"/>
                <w:sz w:val="18"/>
              </w:rPr>
              <w:t> </w:t>
            </w:r>
            <w:r>
              <w:rPr>
                <w:color w:val="105C84"/>
                <w:spacing w:val="-2"/>
                <w:sz w:val="18"/>
              </w:rPr>
              <w:t>events </w:t>
            </w:r>
            <w:r>
              <w:rPr>
                <w:color w:val="105C84"/>
                <w:sz w:val="18"/>
              </w:rPr>
              <w:t>who participate in</w:t>
            </w:r>
          </w:p>
          <w:p>
            <w:pPr>
              <w:pStyle w:val="TableParagraph"/>
              <w:spacing w:line="205" w:lineRule="exact"/>
              <w:ind w:left="88"/>
              <w:rPr>
                <w:sz w:val="18"/>
              </w:rPr>
            </w:pPr>
            <w:r>
              <w:rPr>
                <w:color w:val="105C84"/>
                <w:sz w:val="18"/>
              </w:rPr>
              <w:t>National</w:t>
            </w:r>
            <w:r>
              <w:rPr>
                <w:color w:val="105C84"/>
                <w:spacing w:val="11"/>
                <w:sz w:val="18"/>
              </w:rPr>
              <w:t> </w:t>
            </w:r>
            <w:r>
              <w:rPr>
                <w:color w:val="105C84"/>
                <w:spacing w:val="-5"/>
                <w:sz w:val="18"/>
              </w:rPr>
              <w:t>DPP</w:t>
            </w:r>
          </w:p>
        </w:tc>
        <w:tc>
          <w:tcPr>
            <w:tcW w:w="1383" w:type="dxa"/>
          </w:tcPr>
          <w:p>
            <w:pPr>
              <w:pStyle w:val="TableParagraph"/>
              <w:spacing w:line="232" w:lineRule="auto" w:before="98"/>
              <w:ind w:left="88" w:right="115"/>
              <w:rPr>
                <w:sz w:val="18"/>
              </w:rPr>
            </w:pPr>
            <w:r>
              <w:rPr>
                <w:color w:val="105C84"/>
                <w:spacing w:val="-2"/>
                <w:sz w:val="18"/>
              </w:rPr>
              <w:t>Increase screening </w:t>
            </w:r>
            <w:r>
              <w:rPr>
                <w:color w:val="105C84"/>
                <w:sz w:val="18"/>
              </w:rPr>
              <w:t>rates among local</w:t>
            </w:r>
            <w:r>
              <w:rPr>
                <w:color w:val="105C84"/>
                <w:spacing w:val="-13"/>
                <w:sz w:val="18"/>
              </w:rPr>
              <w:t> </w:t>
            </w:r>
            <w:r>
              <w:rPr>
                <w:color w:val="105C84"/>
                <w:sz w:val="18"/>
              </w:rPr>
              <w:t>providers</w:t>
            </w:r>
          </w:p>
        </w:tc>
        <w:tc>
          <w:tcPr>
            <w:tcW w:w="1268" w:type="dxa"/>
          </w:tcPr>
          <w:p>
            <w:pPr>
              <w:pStyle w:val="TableParagraph"/>
              <w:spacing w:line="232" w:lineRule="auto" w:before="98"/>
              <w:ind w:left="87" w:right="184"/>
              <w:rPr>
                <w:sz w:val="18"/>
              </w:rPr>
            </w:pPr>
            <w:r>
              <w:rPr>
                <w:color w:val="105C84"/>
                <w:spacing w:val="-2"/>
                <w:sz w:val="18"/>
              </w:rPr>
              <w:t>Increase screening rates</w:t>
            </w:r>
            <w:r>
              <w:rPr>
                <w:color w:val="105C84"/>
                <w:spacing w:val="40"/>
                <w:sz w:val="18"/>
              </w:rPr>
              <w:t> </w:t>
            </w:r>
            <w:r>
              <w:rPr>
                <w:color w:val="105C84"/>
                <w:sz w:val="18"/>
              </w:rPr>
              <w:t>among</w:t>
            </w:r>
            <w:r>
              <w:rPr>
                <w:color w:val="105C84"/>
                <w:spacing w:val="-13"/>
                <w:sz w:val="18"/>
              </w:rPr>
              <w:t> </w:t>
            </w:r>
            <w:r>
              <w:rPr>
                <w:color w:val="105C84"/>
                <w:sz w:val="18"/>
              </w:rPr>
              <w:t>local </w:t>
            </w:r>
            <w:r>
              <w:rPr>
                <w:color w:val="105C84"/>
                <w:spacing w:val="-2"/>
                <w:sz w:val="18"/>
              </w:rPr>
              <w:t>providers</w:t>
            </w:r>
          </w:p>
        </w:tc>
        <w:tc>
          <w:tcPr>
            <w:tcW w:w="1498" w:type="dxa"/>
          </w:tcPr>
          <w:p>
            <w:pPr>
              <w:pStyle w:val="TableParagraph"/>
              <w:spacing w:before="93"/>
              <w:ind w:left="86"/>
              <w:rPr>
                <w:sz w:val="18"/>
              </w:rPr>
            </w:pPr>
            <w:r>
              <w:rPr>
                <w:color w:val="105C84"/>
                <w:spacing w:val="-2"/>
                <w:sz w:val="18"/>
              </w:rPr>
              <w:t>Hospital</w:t>
            </w:r>
          </w:p>
        </w:tc>
        <w:tc>
          <w:tcPr>
            <w:tcW w:w="4092" w:type="dxa"/>
          </w:tcPr>
          <w:p>
            <w:pPr>
              <w:pStyle w:val="TableParagraph"/>
              <w:spacing w:line="232" w:lineRule="auto" w:before="98"/>
              <w:ind w:left="86"/>
              <w:rPr>
                <w:sz w:val="18"/>
              </w:rPr>
            </w:pPr>
            <w:r>
              <w:rPr>
                <w:color w:val="105C84"/>
                <w:spacing w:val="-2"/>
                <w:sz w:val="18"/>
              </w:rPr>
              <w:t>Finger</w:t>
            </w:r>
            <w:r>
              <w:rPr>
                <w:color w:val="105C84"/>
                <w:spacing w:val="-11"/>
                <w:sz w:val="18"/>
              </w:rPr>
              <w:t> </w:t>
            </w:r>
            <w:r>
              <w:rPr>
                <w:color w:val="105C84"/>
                <w:spacing w:val="-2"/>
                <w:sz w:val="18"/>
              </w:rPr>
              <w:t>Lakes</w:t>
            </w:r>
            <w:r>
              <w:rPr>
                <w:color w:val="105C84"/>
                <w:spacing w:val="-10"/>
                <w:sz w:val="18"/>
              </w:rPr>
              <w:t> </w:t>
            </w:r>
            <w:r>
              <w:rPr>
                <w:color w:val="105C84"/>
                <w:spacing w:val="-2"/>
                <w:sz w:val="18"/>
              </w:rPr>
              <w:t>Health</w:t>
            </w:r>
            <w:r>
              <w:rPr>
                <w:color w:val="105C84"/>
                <w:spacing w:val="-11"/>
                <w:sz w:val="18"/>
              </w:rPr>
              <w:t> </w:t>
            </w:r>
            <w:r>
              <w:rPr>
                <w:color w:val="105C84"/>
                <w:spacing w:val="-2"/>
                <w:sz w:val="18"/>
              </w:rPr>
              <w:t>(GGH)-</w:t>
            </w:r>
            <w:r>
              <w:rPr>
                <w:color w:val="105C84"/>
                <w:spacing w:val="-10"/>
                <w:sz w:val="18"/>
              </w:rPr>
              <w:t> </w:t>
            </w:r>
            <w:r>
              <w:rPr>
                <w:color w:val="105C84"/>
                <w:spacing w:val="-2"/>
                <w:sz w:val="18"/>
              </w:rPr>
              <w:t>.2</w:t>
            </w:r>
            <w:r>
              <w:rPr>
                <w:color w:val="105C84"/>
                <w:spacing w:val="-11"/>
                <w:sz w:val="18"/>
              </w:rPr>
              <w:t> </w:t>
            </w:r>
            <w:r>
              <w:rPr>
                <w:color w:val="105C84"/>
                <w:spacing w:val="-2"/>
                <w:sz w:val="18"/>
              </w:rPr>
              <w:t>FTE</w:t>
            </w:r>
            <w:r>
              <w:rPr>
                <w:color w:val="105C84"/>
                <w:spacing w:val="-11"/>
                <w:sz w:val="18"/>
              </w:rPr>
              <w:t> </w:t>
            </w:r>
            <w:r>
              <w:rPr>
                <w:color w:val="105C84"/>
                <w:spacing w:val="-2"/>
                <w:sz w:val="18"/>
              </w:rPr>
              <w:t>and</w:t>
            </w:r>
            <w:r>
              <w:rPr>
                <w:color w:val="105C84"/>
                <w:spacing w:val="-10"/>
                <w:sz w:val="18"/>
              </w:rPr>
              <w:t> </w:t>
            </w:r>
            <w:r>
              <w:rPr>
                <w:color w:val="105C84"/>
                <w:spacing w:val="-2"/>
                <w:sz w:val="18"/>
              </w:rPr>
              <w:t>$3,000</w:t>
            </w:r>
            <w:r>
              <w:rPr>
                <w:color w:val="105C84"/>
                <w:spacing w:val="-11"/>
                <w:sz w:val="18"/>
              </w:rPr>
              <w:t> </w:t>
            </w:r>
            <w:r>
              <w:rPr>
                <w:color w:val="105C84"/>
                <w:spacing w:val="-2"/>
                <w:sz w:val="18"/>
              </w:rPr>
              <w:t>for </w:t>
            </w:r>
            <w:r>
              <w:rPr>
                <w:color w:val="105C84"/>
                <w:sz w:val="18"/>
              </w:rPr>
              <w:t>promotion of screenings in FLH magazine</w:t>
            </w:r>
          </w:p>
          <w:p>
            <w:pPr>
              <w:pStyle w:val="TableParagraph"/>
              <w:spacing w:line="232" w:lineRule="auto" w:before="89"/>
              <w:ind w:left="86" w:right="525"/>
              <w:rPr>
                <w:sz w:val="18"/>
              </w:rPr>
            </w:pPr>
            <w:r>
              <w:rPr>
                <w:color w:val="105C84"/>
                <w:sz w:val="18"/>
              </w:rPr>
              <w:t>Finger</w:t>
            </w:r>
            <w:r>
              <w:rPr>
                <w:color w:val="105C84"/>
                <w:spacing w:val="-12"/>
                <w:sz w:val="18"/>
              </w:rPr>
              <w:t> </w:t>
            </w:r>
            <w:r>
              <w:rPr>
                <w:color w:val="105C84"/>
                <w:sz w:val="18"/>
              </w:rPr>
              <w:t>Lakes</w:t>
            </w:r>
            <w:r>
              <w:rPr>
                <w:color w:val="105C84"/>
                <w:spacing w:val="-12"/>
                <w:sz w:val="18"/>
              </w:rPr>
              <w:t> </w:t>
            </w:r>
            <w:r>
              <w:rPr>
                <w:color w:val="105C84"/>
                <w:sz w:val="18"/>
              </w:rPr>
              <w:t>Health</w:t>
            </w:r>
            <w:r>
              <w:rPr>
                <w:color w:val="105C84"/>
                <w:spacing w:val="-12"/>
                <w:sz w:val="18"/>
              </w:rPr>
              <w:t> </w:t>
            </w:r>
            <w:r>
              <w:rPr>
                <w:color w:val="105C84"/>
                <w:sz w:val="18"/>
              </w:rPr>
              <w:t>will</w:t>
            </w:r>
            <w:r>
              <w:rPr>
                <w:color w:val="105C84"/>
                <w:spacing w:val="-12"/>
                <w:sz w:val="18"/>
              </w:rPr>
              <w:t> </w:t>
            </w:r>
            <w:r>
              <w:rPr>
                <w:color w:val="105C84"/>
                <w:sz w:val="18"/>
              </w:rPr>
              <w:t>track</w:t>
            </w:r>
            <w:r>
              <w:rPr>
                <w:color w:val="105C84"/>
                <w:spacing w:val="-12"/>
                <w:sz w:val="18"/>
              </w:rPr>
              <w:t> </w:t>
            </w:r>
            <w:r>
              <w:rPr>
                <w:color w:val="105C84"/>
                <w:sz w:val="18"/>
              </w:rPr>
              <w:t>mammogram referrals from their Primary Care Offices and track the number of visits to GGH for</w:t>
            </w:r>
          </w:p>
          <w:p>
            <w:pPr>
              <w:pStyle w:val="TableParagraph"/>
              <w:spacing w:line="232" w:lineRule="auto"/>
              <w:ind w:left="86"/>
              <w:rPr>
                <w:sz w:val="18"/>
              </w:rPr>
            </w:pPr>
            <w:r>
              <w:rPr>
                <w:color w:val="105C84"/>
                <w:sz w:val="18"/>
              </w:rPr>
              <w:t>mammography. Referrals and hospital visits for breast</w:t>
            </w:r>
            <w:r>
              <w:rPr>
                <w:color w:val="105C84"/>
                <w:spacing w:val="-11"/>
                <w:sz w:val="18"/>
              </w:rPr>
              <w:t> </w:t>
            </w:r>
            <w:r>
              <w:rPr>
                <w:color w:val="105C84"/>
                <w:sz w:val="18"/>
              </w:rPr>
              <w:t>cancer</w:t>
            </w:r>
            <w:r>
              <w:rPr>
                <w:color w:val="105C84"/>
                <w:spacing w:val="-11"/>
                <w:sz w:val="18"/>
              </w:rPr>
              <w:t> </w:t>
            </w:r>
            <w:r>
              <w:rPr>
                <w:color w:val="105C84"/>
                <w:sz w:val="18"/>
              </w:rPr>
              <w:t>screenings</w:t>
            </w:r>
            <w:r>
              <w:rPr>
                <w:color w:val="105C84"/>
                <w:spacing w:val="-11"/>
                <w:sz w:val="18"/>
              </w:rPr>
              <w:t> </w:t>
            </w:r>
            <w:r>
              <w:rPr>
                <w:color w:val="105C84"/>
                <w:sz w:val="18"/>
              </w:rPr>
              <w:t>are</w:t>
            </w:r>
            <w:r>
              <w:rPr>
                <w:color w:val="105C84"/>
                <w:spacing w:val="-11"/>
                <w:sz w:val="18"/>
              </w:rPr>
              <w:t> </w:t>
            </w:r>
            <w:r>
              <w:rPr>
                <w:color w:val="105C84"/>
                <w:sz w:val="18"/>
              </w:rPr>
              <w:t>tracked</w:t>
            </w:r>
            <w:r>
              <w:rPr>
                <w:color w:val="105C84"/>
                <w:spacing w:val="-11"/>
                <w:sz w:val="18"/>
              </w:rPr>
              <w:t> </w:t>
            </w:r>
            <w:r>
              <w:rPr>
                <w:color w:val="105C84"/>
                <w:sz w:val="18"/>
              </w:rPr>
              <w:t>by</w:t>
            </w:r>
            <w:r>
              <w:rPr>
                <w:color w:val="105C84"/>
                <w:spacing w:val="-11"/>
                <w:sz w:val="18"/>
              </w:rPr>
              <w:t> </w:t>
            </w:r>
            <w:r>
              <w:rPr>
                <w:color w:val="105C84"/>
                <w:sz w:val="18"/>
              </w:rPr>
              <w:t>both</w:t>
            </w:r>
            <w:r>
              <w:rPr>
                <w:color w:val="105C84"/>
                <w:spacing w:val="-11"/>
                <w:sz w:val="18"/>
              </w:rPr>
              <w:t> </w:t>
            </w:r>
            <w:r>
              <w:rPr>
                <w:color w:val="105C84"/>
                <w:sz w:val="18"/>
              </w:rPr>
              <w:t>zip code and healthcare payer</w:t>
            </w:r>
          </w:p>
          <w:p>
            <w:pPr>
              <w:pStyle w:val="TableParagraph"/>
              <w:spacing w:line="232" w:lineRule="auto" w:before="85"/>
              <w:ind w:left="86"/>
              <w:rPr>
                <w:sz w:val="18"/>
              </w:rPr>
            </w:pPr>
            <w:r>
              <w:rPr>
                <w:color w:val="105C84"/>
                <w:sz w:val="18"/>
              </w:rPr>
              <w:t>Finger</w:t>
            </w:r>
            <w:r>
              <w:rPr>
                <w:color w:val="105C84"/>
                <w:spacing w:val="-7"/>
                <w:sz w:val="18"/>
              </w:rPr>
              <w:t> </w:t>
            </w:r>
            <w:r>
              <w:rPr>
                <w:color w:val="105C84"/>
                <w:sz w:val="18"/>
              </w:rPr>
              <w:t>Lakes</w:t>
            </w:r>
            <w:r>
              <w:rPr>
                <w:color w:val="105C84"/>
                <w:spacing w:val="-7"/>
                <w:sz w:val="18"/>
              </w:rPr>
              <w:t> </w:t>
            </w:r>
            <w:r>
              <w:rPr>
                <w:color w:val="105C84"/>
                <w:sz w:val="18"/>
              </w:rPr>
              <w:t>Health</w:t>
            </w:r>
            <w:r>
              <w:rPr>
                <w:color w:val="105C84"/>
                <w:spacing w:val="-7"/>
                <w:sz w:val="18"/>
              </w:rPr>
              <w:t> </w:t>
            </w:r>
            <w:r>
              <w:rPr>
                <w:color w:val="105C84"/>
                <w:sz w:val="18"/>
              </w:rPr>
              <w:t>will</w:t>
            </w:r>
            <w:r>
              <w:rPr>
                <w:color w:val="105C84"/>
                <w:spacing w:val="-7"/>
                <w:sz w:val="18"/>
              </w:rPr>
              <w:t> </w:t>
            </w:r>
            <w:r>
              <w:rPr>
                <w:color w:val="105C84"/>
                <w:sz w:val="18"/>
              </w:rPr>
              <w:t>promote</w:t>
            </w:r>
            <w:r>
              <w:rPr>
                <w:color w:val="105C84"/>
                <w:spacing w:val="-7"/>
                <w:sz w:val="18"/>
              </w:rPr>
              <w:t> </w:t>
            </w:r>
            <w:r>
              <w:rPr>
                <w:color w:val="105C84"/>
                <w:sz w:val="18"/>
              </w:rPr>
              <w:t>screening</w:t>
            </w:r>
            <w:r>
              <w:rPr>
                <w:color w:val="105C84"/>
                <w:spacing w:val="-7"/>
                <w:sz w:val="18"/>
              </w:rPr>
              <w:t> </w:t>
            </w:r>
            <w:r>
              <w:rPr>
                <w:color w:val="105C84"/>
                <w:sz w:val="18"/>
              </w:rPr>
              <w:t>and </w:t>
            </w:r>
            <w:r>
              <w:rPr>
                <w:color w:val="105C84"/>
                <w:w w:val="105"/>
                <w:sz w:val="18"/>
              </w:rPr>
              <w:t>education through direct mail newsletters to </w:t>
            </w:r>
            <w:r>
              <w:rPr>
                <w:color w:val="105C84"/>
                <w:sz w:val="18"/>
              </w:rPr>
              <w:t>74,000</w:t>
            </w:r>
            <w:r>
              <w:rPr>
                <w:color w:val="105C84"/>
                <w:spacing w:val="-12"/>
                <w:sz w:val="18"/>
              </w:rPr>
              <w:t> </w:t>
            </w:r>
            <w:r>
              <w:rPr>
                <w:color w:val="105C84"/>
                <w:sz w:val="18"/>
              </w:rPr>
              <w:t>homes</w:t>
            </w:r>
            <w:r>
              <w:rPr>
                <w:color w:val="105C84"/>
                <w:spacing w:val="-12"/>
                <w:sz w:val="18"/>
              </w:rPr>
              <w:t> </w:t>
            </w:r>
            <w:r>
              <w:rPr>
                <w:color w:val="105C84"/>
                <w:sz w:val="18"/>
              </w:rPr>
              <w:t>2</w:t>
            </w:r>
            <w:r>
              <w:rPr>
                <w:color w:val="105C84"/>
                <w:spacing w:val="-12"/>
                <w:sz w:val="18"/>
              </w:rPr>
              <w:t> </w:t>
            </w:r>
            <w:r>
              <w:rPr>
                <w:color w:val="105C84"/>
                <w:sz w:val="18"/>
              </w:rPr>
              <w:t>x</w:t>
            </w:r>
            <w:r>
              <w:rPr>
                <w:color w:val="105C84"/>
                <w:spacing w:val="-12"/>
                <w:sz w:val="18"/>
              </w:rPr>
              <w:t> </w:t>
            </w:r>
            <w:r>
              <w:rPr>
                <w:color w:val="105C84"/>
                <w:sz w:val="18"/>
              </w:rPr>
              <w:t>year</w:t>
            </w:r>
            <w:r>
              <w:rPr>
                <w:color w:val="105C84"/>
                <w:spacing w:val="-12"/>
                <w:sz w:val="18"/>
              </w:rPr>
              <w:t> </w:t>
            </w:r>
            <w:r>
              <w:rPr>
                <w:color w:val="105C84"/>
                <w:sz w:val="18"/>
              </w:rPr>
              <w:t>and</w:t>
            </w:r>
            <w:r>
              <w:rPr>
                <w:color w:val="105C84"/>
                <w:spacing w:val="-12"/>
                <w:sz w:val="18"/>
              </w:rPr>
              <w:t> </w:t>
            </w:r>
            <w:r>
              <w:rPr>
                <w:color w:val="105C84"/>
                <w:sz w:val="18"/>
              </w:rPr>
              <w:t>will</w:t>
            </w:r>
            <w:r>
              <w:rPr>
                <w:color w:val="105C84"/>
                <w:spacing w:val="-12"/>
                <w:sz w:val="18"/>
              </w:rPr>
              <w:t> </w:t>
            </w:r>
            <w:r>
              <w:rPr>
                <w:color w:val="105C84"/>
                <w:sz w:val="18"/>
              </w:rPr>
              <w:t>use</w:t>
            </w:r>
            <w:r>
              <w:rPr>
                <w:color w:val="105C84"/>
                <w:spacing w:val="-12"/>
                <w:sz w:val="18"/>
              </w:rPr>
              <w:t> </w:t>
            </w:r>
            <w:r>
              <w:rPr>
                <w:color w:val="105C84"/>
                <w:sz w:val="18"/>
              </w:rPr>
              <w:t>social/digital </w:t>
            </w:r>
            <w:r>
              <w:rPr>
                <w:color w:val="105C84"/>
                <w:w w:val="105"/>
                <w:sz w:val="18"/>
              </w:rPr>
              <w:t>media to raise awareness</w:t>
            </w:r>
          </w:p>
          <w:p>
            <w:pPr>
              <w:pStyle w:val="TableParagraph"/>
              <w:spacing w:line="232" w:lineRule="auto" w:before="87"/>
              <w:ind w:left="86" w:right="164"/>
              <w:rPr>
                <w:sz w:val="18"/>
              </w:rPr>
            </w:pPr>
            <w:r>
              <w:rPr>
                <w:color w:val="105C84"/>
                <w:sz w:val="18"/>
              </w:rPr>
              <w:t>Finger Lakes Community Health (Ovid Community Health Patient Navigator .10 FTE will promote cancer screening services to their patients and arrange for mobile </w:t>
            </w:r>
            <w:r>
              <w:rPr>
                <w:color w:val="105C84"/>
                <w:sz w:val="18"/>
              </w:rPr>
              <w:t>mammography clinic to be onsite to screen their patients</w:t>
            </w:r>
          </w:p>
          <w:p>
            <w:pPr>
              <w:pStyle w:val="TableParagraph"/>
              <w:spacing w:line="232" w:lineRule="auto" w:before="86"/>
              <w:ind w:left="86" w:right="164"/>
              <w:rPr>
                <w:sz w:val="18"/>
              </w:rPr>
            </w:pPr>
            <w:r>
              <w:rPr>
                <w:color w:val="105C84"/>
                <w:sz w:val="18"/>
              </w:rPr>
              <w:t>Patient</w:t>
            </w:r>
            <w:r>
              <w:rPr>
                <w:color w:val="105C84"/>
                <w:spacing w:val="-6"/>
                <w:sz w:val="18"/>
              </w:rPr>
              <w:t> </w:t>
            </w:r>
            <w:r>
              <w:rPr>
                <w:color w:val="105C84"/>
                <w:sz w:val="18"/>
              </w:rPr>
              <w:t>Navigator</w:t>
            </w:r>
            <w:r>
              <w:rPr>
                <w:color w:val="105C84"/>
                <w:spacing w:val="-6"/>
                <w:sz w:val="18"/>
              </w:rPr>
              <w:t> </w:t>
            </w:r>
            <w:r>
              <w:rPr>
                <w:color w:val="105C84"/>
                <w:sz w:val="18"/>
              </w:rPr>
              <w:t>will</w:t>
            </w:r>
            <w:r>
              <w:rPr>
                <w:color w:val="105C84"/>
                <w:spacing w:val="-6"/>
                <w:sz w:val="18"/>
              </w:rPr>
              <w:t> </w:t>
            </w:r>
            <w:r>
              <w:rPr>
                <w:color w:val="105C84"/>
                <w:sz w:val="18"/>
              </w:rPr>
              <w:t>provide</w:t>
            </w:r>
            <w:r>
              <w:rPr>
                <w:color w:val="105C84"/>
                <w:spacing w:val="-6"/>
                <w:sz w:val="18"/>
              </w:rPr>
              <w:t> </w:t>
            </w:r>
            <w:r>
              <w:rPr>
                <w:color w:val="105C84"/>
                <w:sz w:val="18"/>
              </w:rPr>
              <w:t>cancer</w:t>
            </w:r>
            <w:r>
              <w:rPr>
                <w:color w:val="105C84"/>
                <w:spacing w:val="-6"/>
                <w:sz w:val="18"/>
              </w:rPr>
              <w:t> </w:t>
            </w:r>
            <w:r>
              <w:rPr>
                <w:color w:val="105C84"/>
                <w:sz w:val="18"/>
              </w:rPr>
              <w:t>screening outreach in the community to increase awareness for cancer screenings</w:t>
            </w:r>
          </w:p>
          <w:p>
            <w:pPr>
              <w:pStyle w:val="TableParagraph"/>
              <w:spacing w:line="232" w:lineRule="auto" w:before="88"/>
              <w:ind w:left="86" w:right="164"/>
              <w:rPr>
                <w:sz w:val="18"/>
              </w:rPr>
            </w:pPr>
            <w:r>
              <w:rPr>
                <w:color w:val="105C84"/>
                <w:sz w:val="18"/>
              </w:rPr>
              <w:t>Outreach</w:t>
            </w:r>
            <w:r>
              <w:rPr>
                <w:color w:val="105C84"/>
                <w:spacing w:val="-12"/>
                <w:sz w:val="18"/>
              </w:rPr>
              <w:t> </w:t>
            </w:r>
            <w:r>
              <w:rPr>
                <w:color w:val="105C84"/>
                <w:sz w:val="18"/>
              </w:rPr>
              <w:t>coordinator</w:t>
            </w:r>
            <w:r>
              <w:rPr>
                <w:color w:val="105C84"/>
                <w:spacing w:val="-12"/>
                <w:sz w:val="18"/>
              </w:rPr>
              <w:t> </w:t>
            </w:r>
            <w:r>
              <w:rPr>
                <w:color w:val="105C84"/>
                <w:sz w:val="18"/>
              </w:rPr>
              <w:t>for</w:t>
            </w:r>
            <w:r>
              <w:rPr>
                <w:color w:val="105C84"/>
                <w:spacing w:val="-12"/>
                <w:sz w:val="18"/>
              </w:rPr>
              <w:t> </w:t>
            </w:r>
            <w:r>
              <w:rPr>
                <w:color w:val="105C84"/>
                <w:sz w:val="18"/>
              </w:rPr>
              <w:t>the</w:t>
            </w:r>
            <w:r>
              <w:rPr>
                <w:color w:val="105C84"/>
                <w:spacing w:val="-12"/>
                <w:sz w:val="18"/>
              </w:rPr>
              <w:t> </w:t>
            </w:r>
            <w:r>
              <w:rPr>
                <w:color w:val="105C84"/>
                <w:sz w:val="18"/>
              </w:rPr>
              <w:t>Finger</w:t>
            </w:r>
            <w:r>
              <w:rPr>
                <w:color w:val="105C84"/>
                <w:spacing w:val="-12"/>
                <w:sz w:val="18"/>
              </w:rPr>
              <w:t> </w:t>
            </w:r>
            <w:r>
              <w:rPr>
                <w:color w:val="105C84"/>
                <w:sz w:val="18"/>
              </w:rPr>
              <w:t>Lakes</w:t>
            </w:r>
            <w:r>
              <w:rPr>
                <w:color w:val="105C84"/>
                <w:spacing w:val="-12"/>
                <w:sz w:val="18"/>
              </w:rPr>
              <w:t> </w:t>
            </w:r>
            <w:r>
              <w:rPr>
                <w:color w:val="105C84"/>
                <w:sz w:val="18"/>
              </w:rPr>
              <w:t>CSP will conduct outreach via tabling and provider outreach in Seneca County to increase the number of uninsured or underinsured women who receive breast cancer screenings</w:t>
            </w:r>
          </w:p>
        </w:tc>
      </w:tr>
    </w:tbl>
    <w:p>
      <w:pPr>
        <w:tabs>
          <w:tab w:pos="23047" w:val="left" w:leader="none"/>
        </w:tabs>
        <w:spacing w:before="185"/>
        <w:ind w:left="0" w:right="0" w:firstLine="0"/>
        <w:jc w:val="left"/>
        <w:rPr>
          <w:b/>
          <w:sz w:val="26"/>
        </w:rPr>
      </w:pPr>
      <w:r>
        <w:rPr>
          <w:position w:val="-4"/>
        </w:rPr>
        <w:drawing>
          <wp:inline distT="0" distB="0" distL="0" distR="0">
            <wp:extent cx="568172" cy="184683"/>
            <wp:effectExtent l="0" t="0" r="0" b="0"/>
            <wp:docPr id="1916" name="Image 1916"/>
            <wp:cNvGraphicFramePr>
              <a:graphicFrameLocks/>
            </wp:cNvGraphicFramePr>
            <a:graphic>
              <a:graphicData uri="http://schemas.openxmlformats.org/drawingml/2006/picture">
                <pic:pic>
                  <pic:nvPicPr>
                    <pic:cNvPr id="1916" name="Image 1916"/>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13"/>
          <w:sz w:val="20"/>
        </w:rPr>
        <w:t> </w:t>
      </w:r>
      <w:r>
        <w:rPr>
          <w:b/>
          <w:color w:val="939598"/>
          <w:w w:val="105"/>
          <w:sz w:val="26"/>
        </w:rPr>
        <w:t>183</w:t>
      </w:r>
      <w:r>
        <w:rPr>
          <w:b/>
          <w:color w:val="939598"/>
          <w:sz w:val="26"/>
        </w:rPr>
        <w:tab/>
      </w:r>
      <w:r>
        <w:rPr>
          <w:b/>
          <w:color w:val="939598"/>
          <w:spacing w:val="-5"/>
          <w:w w:val="105"/>
          <w:sz w:val="26"/>
        </w:rPr>
        <w:t>184</w:t>
      </w:r>
    </w:p>
    <w:p>
      <w:pPr>
        <w:spacing w:after="0"/>
        <w:jc w:val="left"/>
        <w:rPr>
          <w:b/>
          <w:sz w:val="26"/>
        </w:rPr>
        <w:sectPr>
          <w:pgSz w:w="24480" w:h="15840" w:orient="landscape"/>
          <w:pgMar w:header="0" w:footer="0" w:top="860" w:bottom="0" w:left="0" w:right="720"/>
        </w:sectPr>
      </w:pPr>
    </w:p>
    <w:p>
      <w:pPr>
        <w:spacing w:before="607"/>
        <w:ind w:left="1089" w:right="0" w:firstLine="0"/>
        <w:jc w:val="left"/>
        <w:rPr>
          <w:sz w:val="54"/>
        </w:rPr>
      </w:pPr>
      <w:r>
        <w:rPr>
          <w:sz w:val="54"/>
        </w:rPr>
        <w:drawing>
          <wp:anchor distT="0" distB="0" distL="0" distR="0" allowOverlap="1" layoutInCell="1" locked="0" behindDoc="0" simplePos="0" relativeHeight="15986176">
            <wp:simplePos x="0" y="0"/>
            <wp:positionH relativeFrom="page">
              <wp:posOffset>14981556</wp:posOffset>
            </wp:positionH>
            <wp:positionV relativeFrom="page">
              <wp:posOffset>9668103</wp:posOffset>
            </wp:positionV>
            <wp:extent cx="563245" cy="184683"/>
            <wp:effectExtent l="0" t="0" r="0" b="0"/>
            <wp:wrapNone/>
            <wp:docPr id="1917" name="Image 1917"/>
            <wp:cNvGraphicFramePr>
              <a:graphicFrameLocks/>
            </wp:cNvGraphicFramePr>
            <a:graphic>
              <a:graphicData uri="http://schemas.openxmlformats.org/drawingml/2006/picture">
                <pic:pic>
                  <pic:nvPicPr>
                    <pic:cNvPr id="1917" name="Image 1917"/>
                    <pic:cNvPicPr/>
                  </pic:nvPicPr>
                  <pic:blipFill>
                    <a:blip r:embed="rId38" cstate="print"/>
                    <a:stretch>
                      <a:fillRect/>
                    </a:stretch>
                  </pic:blipFill>
                  <pic:spPr>
                    <a:xfrm>
                      <a:off x="0" y="0"/>
                      <a:ext cx="563245" cy="184683"/>
                    </a:xfrm>
                    <a:prstGeom prst="rect">
                      <a:avLst/>
                    </a:prstGeom>
                  </pic:spPr>
                </pic:pic>
              </a:graphicData>
            </a:graphic>
          </wp:anchor>
        </w:drawing>
      </w:r>
      <w:r>
        <w:rPr>
          <w:sz w:val="54"/>
        </w:rPr>
        <w:drawing>
          <wp:anchor distT="0" distB="0" distL="0" distR="0" allowOverlap="1" layoutInCell="1" locked="0" behindDoc="0" simplePos="0" relativeHeight="15986688">
            <wp:simplePos x="0" y="0"/>
            <wp:positionH relativeFrom="page">
              <wp:posOffset>14227238</wp:posOffset>
            </wp:positionH>
            <wp:positionV relativeFrom="paragraph">
              <wp:posOffset>365759</wp:posOffset>
            </wp:positionV>
            <wp:extent cx="688237" cy="640537"/>
            <wp:effectExtent l="0" t="0" r="0" b="0"/>
            <wp:wrapNone/>
            <wp:docPr id="1918" name="Image 1918"/>
            <wp:cNvGraphicFramePr>
              <a:graphicFrameLocks/>
            </wp:cNvGraphicFramePr>
            <a:graphic>
              <a:graphicData uri="http://schemas.openxmlformats.org/drawingml/2006/picture">
                <pic:pic>
                  <pic:nvPicPr>
                    <pic:cNvPr id="1918" name="Image 1918"/>
                    <pic:cNvPicPr/>
                  </pic:nvPicPr>
                  <pic:blipFill>
                    <a:blip r:embed="rId256" cstate="print"/>
                    <a:stretch>
                      <a:fillRect/>
                    </a:stretch>
                  </pic:blipFill>
                  <pic:spPr>
                    <a:xfrm>
                      <a:off x="0" y="0"/>
                      <a:ext cx="688237" cy="640537"/>
                    </a:xfrm>
                    <a:prstGeom prst="rect">
                      <a:avLst/>
                    </a:prstGeom>
                  </pic:spPr>
                </pic:pic>
              </a:graphicData>
            </a:graphic>
          </wp:anchor>
        </w:drawing>
      </w:r>
      <w:r>
        <w:rPr>
          <w:sz w:val="54"/>
        </w:rPr>
        <w:drawing>
          <wp:anchor distT="0" distB="0" distL="0" distR="0" allowOverlap="1" layoutInCell="1" locked="0" behindDoc="0" simplePos="0" relativeHeight="15987200">
            <wp:simplePos x="0" y="0"/>
            <wp:positionH relativeFrom="page">
              <wp:posOffset>10990759</wp:posOffset>
            </wp:positionH>
            <wp:positionV relativeFrom="paragraph">
              <wp:posOffset>240004</wp:posOffset>
            </wp:positionV>
            <wp:extent cx="1627045" cy="526160"/>
            <wp:effectExtent l="0" t="0" r="0" b="0"/>
            <wp:wrapNone/>
            <wp:docPr id="1919" name="Image 1919"/>
            <wp:cNvGraphicFramePr>
              <a:graphicFrameLocks/>
            </wp:cNvGraphicFramePr>
            <a:graphic>
              <a:graphicData uri="http://schemas.openxmlformats.org/drawingml/2006/picture">
                <pic:pic>
                  <pic:nvPicPr>
                    <pic:cNvPr id="1919" name="Image 1919"/>
                    <pic:cNvPicPr/>
                  </pic:nvPicPr>
                  <pic:blipFill>
                    <a:blip r:embed="rId251" cstate="print"/>
                    <a:stretch>
                      <a:fillRect/>
                    </a:stretch>
                  </pic:blipFill>
                  <pic:spPr>
                    <a:xfrm>
                      <a:off x="0" y="0"/>
                      <a:ext cx="1627045" cy="526160"/>
                    </a:xfrm>
                    <a:prstGeom prst="rect">
                      <a:avLst/>
                    </a:prstGeom>
                  </pic:spPr>
                </pic:pic>
              </a:graphicData>
            </a:graphic>
          </wp:anchor>
        </w:drawing>
      </w:r>
      <w:r>
        <w:rPr>
          <w:sz w:val="54"/>
        </w:rPr>
        <w:drawing>
          <wp:anchor distT="0" distB="0" distL="0" distR="0" allowOverlap="1" layoutInCell="1" locked="0" behindDoc="0" simplePos="0" relativeHeight="15987712">
            <wp:simplePos x="0" y="0"/>
            <wp:positionH relativeFrom="page">
              <wp:posOffset>12714085</wp:posOffset>
            </wp:positionH>
            <wp:positionV relativeFrom="paragraph">
              <wp:posOffset>347004</wp:posOffset>
            </wp:positionV>
            <wp:extent cx="1459113" cy="474391"/>
            <wp:effectExtent l="0" t="0" r="0" b="0"/>
            <wp:wrapNone/>
            <wp:docPr id="1920" name="Image 1920"/>
            <wp:cNvGraphicFramePr>
              <a:graphicFrameLocks/>
            </wp:cNvGraphicFramePr>
            <a:graphic>
              <a:graphicData uri="http://schemas.openxmlformats.org/drawingml/2006/picture">
                <pic:pic>
                  <pic:nvPicPr>
                    <pic:cNvPr id="1920" name="Image 1920"/>
                    <pic:cNvPicPr/>
                  </pic:nvPicPr>
                  <pic:blipFill>
                    <a:blip r:embed="rId257" cstate="print"/>
                    <a:stretch>
                      <a:fillRect/>
                    </a:stretch>
                  </pic:blipFill>
                  <pic:spPr>
                    <a:xfrm>
                      <a:off x="0" y="0"/>
                      <a:ext cx="1459113" cy="474391"/>
                    </a:xfrm>
                    <a:prstGeom prst="rect">
                      <a:avLst/>
                    </a:prstGeom>
                  </pic:spPr>
                </pic:pic>
              </a:graphicData>
            </a:graphic>
          </wp:anchor>
        </w:drawing>
      </w:r>
      <w:r>
        <w:rPr>
          <w:color w:val="636466"/>
          <w:sz w:val="54"/>
        </w:rPr>
        <w:t>Seneca</w:t>
      </w:r>
      <w:r>
        <w:rPr>
          <w:color w:val="636466"/>
          <w:spacing w:val="24"/>
          <w:sz w:val="54"/>
        </w:rPr>
        <w:t> </w:t>
      </w:r>
      <w:r>
        <w:rPr>
          <w:color w:val="636466"/>
          <w:sz w:val="54"/>
        </w:rPr>
        <w:t>County</w:t>
      </w:r>
      <w:r>
        <w:rPr>
          <w:color w:val="636466"/>
          <w:spacing w:val="24"/>
          <w:sz w:val="54"/>
        </w:rPr>
        <w:t> </w:t>
      </w:r>
      <w:r>
        <w:rPr>
          <w:color w:val="636466"/>
          <w:sz w:val="54"/>
        </w:rPr>
        <w:t>Appendix</w:t>
      </w:r>
      <w:r>
        <w:rPr>
          <w:color w:val="636466"/>
          <w:spacing w:val="24"/>
          <w:sz w:val="54"/>
        </w:rPr>
        <w:t> </w:t>
      </w:r>
      <w:r>
        <w:rPr>
          <w:color w:val="636466"/>
          <w:spacing w:val="-10"/>
          <w:sz w:val="54"/>
        </w:rPr>
        <w:t>E</w:t>
      </w:r>
    </w:p>
    <w:p>
      <w:pPr>
        <w:spacing w:line="247" w:lineRule="auto" w:before="235"/>
        <w:ind w:left="1089" w:right="13013" w:firstLine="0"/>
        <w:jc w:val="left"/>
        <w:rPr>
          <w:b/>
          <w:sz w:val="32"/>
        </w:rPr>
      </w:pPr>
      <w:r>
        <w:rPr>
          <w:b/>
          <w:color w:val="82BF6A"/>
          <w:spacing w:val="-4"/>
          <w:sz w:val="32"/>
        </w:rPr>
        <w:t>PRIORITY:</w:t>
      </w:r>
      <w:r>
        <w:rPr>
          <w:b/>
          <w:color w:val="82BF6A"/>
          <w:spacing w:val="-19"/>
          <w:sz w:val="32"/>
        </w:rPr>
        <w:t> </w:t>
      </w:r>
      <w:r>
        <w:rPr>
          <w:b/>
          <w:color w:val="82BF6A"/>
          <w:spacing w:val="-4"/>
          <w:sz w:val="32"/>
        </w:rPr>
        <w:t>PROMOTE</w:t>
      </w:r>
      <w:r>
        <w:rPr>
          <w:b/>
          <w:color w:val="82BF6A"/>
          <w:spacing w:val="-18"/>
          <w:sz w:val="32"/>
        </w:rPr>
        <w:t> </w:t>
      </w:r>
      <w:r>
        <w:rPr>
          <w:b/>
          <w:color w:val="82BF6A"/>
          <w:spacing w:val="-4"/>
          <w:sz w:val="32"/>
        </w:rPr>
        <w:t>WELL-BEING</w:t>
      </w:r>
      <w:r>
        <w:rPr>
          <w:b/>
          <w:color w:val="82BF6A"/>
          <w:spacing w:val="-18"/>
          <w:sz w:val="32"/>
        </w:rPr>
        <w:t> </w:t>
      </w:r>
      <w:r>
        <w:rPr>
          <w:b/>
          <w:color w:val="82BF6A"/>
          <w:spacing w:val="-4"/>
          <w:sz w:val="32"/>
        </w:rPr>
        <w:t>AND</w:t>
      </w:r>
      <w:r>
        <w:rPr>
          <w:b/>
          <w:color w:val="82BF6A"/>
          <w:spacing w:val="-18"/>
          <w:sz w:val="32"/>
        </w:rPr>
        <w:t> </w:t>
      </w:r>
      <w:r>
        <w:rPr>
          <w:b/>
          <w:color w:val="82BF6A"/>
          <w:spacing w:val="-4"/>
          <w:sz w:val="32"/>
        </w:rPr>
        <w:t>PREVENT</w:t>
      </w:r>
      <w:r>
        <w:rPr>
          <w:b/>
          <w:color w:val="82BF6A"/>
          <w:spacing w:val="-19"/>
          <w:sz w:val="32"/>
        </w:rPr>
        <w:t> </w:t>
      </w:r>
      <w:r>
        <w:rPr>
          <w:b/>
          <w:color w:val="82BF6A"/>
          <w:spacing w:val="-4"/>
          <w:sz w:val="32"/>
        </w:rPr>
        <w:t>MENTAL </w:t>
      </w:r>
      <w:r>
        <w:rPr>
          <w:b/>
          <w:color w:val="82BF6A"/>
          <w:sz w:val="32"/>
        </w:rPr>
        <w:t>AND</w:t>
      </w:r>
      <w:r>
        <w:rPr>
          <w:b/>
          <w:color w:val="82BF6A"/>
          <w:spacing w:val="-22"/>
          <w:sz w:val="32"/>
        </w:rPr>
        <w:t> </w:t>
      </w:r>
      <w:r>
        <w:rPr>
          <w:b/>
          <w:color w:val="82BF6A"/>
          <w:sz w:val="32"/>
        </w:rPr>
        <w:t>SUBSTANCE</w:t>
      </w:r>
      <w:r>
        <w:rPr>
          <w:b/>
          <w:color w:val="82BF6A"/>
          <w:spacing w:val="-22"/>
          <w:sz w:val="32"/>
        </w:rPr>
        <w:t> </w:t>
      </w:r>
      <w:r>
        <w:rPr>
          <w:b/>
          <w:color w:val="82BF6A"/>
          <w:sz w:val="32"/>
        </w:rPr>
        <w:t>USE</w:t>
      </w:r>
      <w:r>
        <w:rPr>
          <w:b/>
          <w:color w:val="82BF6A"/>
          <w:spacing w:val="-22"/>
          <w:sz w:val="32"/>
        </w:rPr>
        <w:t> </w:t>
      </w:r>
      <w:r>
        <w:rPr>
          <w:b/>
          <w:color w:val="82BF6A"/>
          <w:sz w:val="32"/>
        </w:rPr>
        <w:t>DISORDERS</w:t>
      </w:r>
    </w:p>
    <w:p>
      <w:pPr>
        <w:pStyle w:val="BodyText"/>
        <w:spacing w:before="10"/>
        <w:rPr>
          <w:b/>
          <w:sz w:val="15"/>
        </w:rPr>
      </w:pPr>
    </w:p>
    <w:tbl>
      <w:tblPr>
        <w:tblW w:w="0" w:type="auto"/>
        <w:jc w:val="left"/>
        <w:tblInd w:w="1099"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1180"/>
        <w:gridCol w:w="1324"/>
        <w:gridCol w:w="1266"/>
        <w:gridCol w:w="1554"/>
        <w:gridCol w:w="1064"/>
        <w:gridCol w:w="2050"/>
        <w:gridCol w:w="5614"/>
        <w:gridCol w:w="1402"/>
        <w:gridCol w:w="2352"/>
        <w:gridCol w:w="1495"/>
        <w:gridCol w:w="2988"/>
      </w:tblGrid>
      <w:tr>
        <w:trPr>
          <w:trHeight w:val="930" w:hRule="atLeast"/>
        </w:trPr>
        <w:tc>
          <w:tcPr>
            <w:tcW w:w="1180" w:type="dxa"/>
            <w:tcBorders>
              <w:right w:val="single" w:sz="4" w:space="0" w:color="FFFFFF"/>
            </w:tcBorders>
            <w:shd w:val="clear" w:color="auto" w:fill="A7A9AC"/>
          </w:tcPr>
          <w:p>
            <w:pPr>
              <w:pStyle w:val="TableParagraph"/>
              <w:spacing w:before="179"/>
              <w:rPr>
                <w:b/>
                <w:sz w:val="18"/>
              </w:rPr>
            </w:pPr>
          </w:p>
          <w:p>
            <w:pPr>
              <w:pStyle w:val="TableParagraph"/>
              <w:ind w:left="80"/>
              <w:rPr>
                <w:b/>
                <w:sz w:val="18"/>
              </w:rPr>
            </w:pPr>
            <w:r>
              <w:rPr>
                <w:b/>
                <w:color w:val="FFFFFF"/>
                <w:spacing w:val="-2"/>
                <w:sz w:val="18"/>
              </w:rPr>
              <w:t>Priority</w:t>
            </w:r>
          </w:p>
        </w:tc>
        <w:tc>
          <w:tcPr>
            <w:tcW w:w="1324" w:type="dxa"/>
            <w:tcBorders>
              <w:left w:val="single" w:sz="4" w:space="0" w:color="FFFFFF"/>
              <w:right w:val="single" w:sz="4" w:space="0" w:color="FFFFFF"/>
            </w:tcBorders>
            <w:shd w:val="clear" w:color="auto" w:fill="A7A9AC"/>
          </w:tcPr>
          <w:p>
            <w:pPr>
              <w:pStyle w:val="TableParagraph"/>
              <w:spacing w:before="179"/>
              <w:rPr>
                <w:b/>
                <w:sz w:val="18"/>
              </w:rPr>
            </w:pPr>
          </w:p>
          <w:p>
            <w:pPr>
              <w:pStyle w:val="TableParagraph"/>
              <w:ind w:left="80"/>
              <w:rPr>
                <w:b/>
                <w:sz w:val="18"/>
              </w:rPr>
            </w:pPr>
            <w:r>
              <w:rPr>
                <w:b/>
                <w:color w:val="FFFFFF"/>
                <w:w w:val="90"/>
                <w:sz w:val="18"/>
              </w:rPr>
              <w:t>Focus</w:t>
            </w:r>
            <w:r>
              <w:rPr>
                <w:b/>
                <w:color w:val="FFFFFF"/>
                <w:spacing w:val="8"/>
                <w:sz w:val="18"/>
              </w:rPr>
              <w:t> </w:t>
            </w:r>
            <w:r>
              <w:rPr>
                <w:b/>
                <w:color w:val="FFFFFF"/>
                <w:spacing w:val="-4"/>
                <w:sz w:val="18"/>
              </w:rPr>
              <w:t>Area</w:t>
            </w:r>
          </w:p>
        </w:tc>
        <w:tc>
          <w:tcPr>
            <w:tcW w:w="1266" w:type="dxa"/>
            <w:tcBorders>
              <w:left w:val="single" w:sz="4" w:space="0" w:color="FFFFFF"/>
              <w:right w:val="single" w:sz="4" w:space="0" w:color="FFFFFF"/>
            </w:tcBorders>
            <w:shd w:val="clear" w:color="auto" w:fill="A7A9AC"/>
          </w:tcPr>
          <w:p>
            <w:pPr>
              <w:pStyle w:val="TableParagraph"/>
              <w:spacing w:before="179"/>
              <w:rPr>
                <w:b/>
                <w:sz w:val="18"/>
              </w:rPr>
            </w:pPr>
          </w:p>
          <w:p>
            <w:pPr>
              <w:pStyle w:val="TableParagraph"/>
              <w:ind w:left="81"/>
              <w:rPr>
                <w:b/>
                <w:sz w:val="18"/>
              </w:rPr>
            </w:pPr>
            <w:r>
              <w:rPr>
                <w:b/>
                <w:color w:val="FFFFFF"/>
                <w:spacing w:val="-4"/>
                <w:sz w:val="18"/>
              </w:rPr>
              <w:t>Goal</w:t>
            </w:r>
          </w:p>
        </w:tc>
        <w:tc>
          <w:tcPr>
            <w:tcW w:w="1554" w:type="dxa"/>
            <w:tcBorders>
              <w:left w:val="single" w:sz="4" w:space="0" w:color="FFFFFF"/>
              <w:right w:val="single" w:sz="4" w:space="0" w:color="FFFFFF"/>
            </w:tcBorders>
            <w:shd w:val="clear" w:color="auto" w:fill="A7A9AC"/>
          </w:tcPr>
          <w:p>
            <w:pPr>
              <w:pStyle w:val="TableParagraph"/>
              <w:spacing w:before="179"/>
              <w:rPr>
                <w:b/>
                <w:sz w:val="18"/>
              </w:rPr>
            </w:pPr>
          </w:p>
          <w:p>
            <w:pPr>
              <w:pStyle w:val="TableParagraph"/>
              <w:ind w:left="82"/>
              <w:rPr>
                <w:b/>
                <w:sz w:val="18"/>
              </w:rPr>
            </w:pPr>
            <w:r>
              <w:rPr>
                <w:b/>
                <w:color w:val="FFFFFF"/>
                <w:spacing w:val="-2"/>
                <w:sz w:val="18"/>
              </w:rPr>
              <w:t>Objectives</w:t>
            </w:r>
          </w:p>
        </w:tc>
        <w:tc>
          <w:tcPr>
            <w:tcW w:w="1064" w:type="dxa"/>
            <w:tcBorders>
              <w:left w:val="single" w:sz="4" w:space="0" w:color="FFFFFF"/>
              <w:right w:val="single" w:sz="4" w:space="0" w:color="FFFFFF"/>
            </w:tcBorders>
            <w:shd w:val="clear" w:color="auto" w:fill="A7A9AC"/>
          </w:tcPr>
          <w:p>
            <w:pPr>
              <w:pStyle w:val="TableParagraph"/>
              <w:spacing w:before="179"/>
              <w:rPr>
                <w:b/>
                <w:sz w:val="18"/>
              </w:rPr>
            </w:pPr>
          </w:p>
          <w:p>
            <w:pPr>
              <w:pStyle w:val="TableParagraph"/>
              <w:ind w:left="83"/>
              <w:rPr>
                <w:b/>
                <w:sz w:val="18"/>
              </w:rPr>
            </w:pPr>
            <w:r>
              <w:rPr>
                <w:b/>
                <w:color w:val="FFFFFF"/>
                <w:spacing w:val="-2"/>
                <w:sz w:val="18"/>
              </w:rPr>
              <w:t>Disparities</w:t>
            </w:r>
          </w:p>
        </w:tc>
        <w:tc>
          <w:tcPr>
            <w:tcW w:w="2050" w:type="dxa"/>
            <w:tcBorders>
              <w:left w:val="single" w:sz="4" w:space="0" w:color="FFFFFF"/>
              <w:right w:val="single" w:sz="4" w:space="0" w:color="FFFFFF"/>
            </w:tcBorders>
            <w:shd w:val="clear" w:color="auto" w:fill="A7A9AC"/>
          </w:tcPr>
          <w:p>
            <w:pPr>
              <w:pStyle w:val="TableParagraph"/>
              <w:spacing w:before="179"/>
              <w:rPr>
                <w:b/>
                <w:sz w:val="18"/>
              </w:rPr>
            </w:pPr>
          </w:p>
          <w:p>
            <w:pPr>
              <w:pStyle w:val="TableParagraph"/>
              <w:ind w:left="85"/>
              <w:rPr>
                <w:b/>
                <w:sz w:val="18"/>
              </w:rPr>
            </w:pPr>
            <w:r>
              <w:rPr>
                <w:b/>
                <w:color w:val="FFFFFF"/>
                <w:spacing w:val="-2"/>
                <w:sz w:val="18"/>
              </w:rPr>
              <w:t>Interventions</w:t>
            </w:r>
          </w:p>
        </w:tc>
        <w:tc>
          <w:tcPr>
            <w:tcW w:w="5614" w:type="dxa"/>
            <w:tcBorders>
              <w:left w:val="single" w:sz="4" w:space="0" w:color="FFFFFF"/>
              <w:right w:val="single" w:sz="4" w:space="0" w:color="FFFFFF"/>
            </w:tcBorders>
            <w:shd w:val="clear" w:color="auto" w:fill="A7A9AC"/>
          </w:tcPr>
          <w:p>
            <w:pPr>
              <w:pStyle w:val="TableParagraph"/>
              <w:spacing w:line="203" w:lineRule="exact" w:before="186"/>
              <w:ind w:left="3794"/>
              <w:rPr>
                <w:b/>
                <w:sz w:val="18"/>
              </w:rPr>
            </w:pPr>
            <w:r>
              <w:rPr>
                <w:b/>
                <w:color w:val="FFFFFF"/>
                <w:sz w:val="18"/>
              </w:rPr>
              <w:t>Projected</w:t>
            </w:r>
            <w:r>
              <w:rPr>
                <w:b/>
                <w:color w:val="FFFFFF"/>
                <w:spacing w:val="-13"/>
                <w:sz w:val="18"/>
              </w:rPr>
              <w:t> </w:t>
            </w:r>
            <w:r>
              <w:rPr>
                <w:b/>
                <w:color w:val="FFFFFF"/>
                <w:spacing w:val="-5"/>
                <w:sz w:val="18"/>
              </w:rPr>
              <w:t>(or</w:t>
            </w:r>
          </w:p>
          <w:p>
            <w:pPr>
              <w:pStyle w:val="TableParagraph"/>
              <w:tabs>
                <w:tab w:pos="3794" w:val="left" w:leader="none"/>
              </w:tabs>
              <w:spacing w:line="200" w:lineRule="exact"/>
              <w:ind w:left="97"/>
              <w:rPr>
                <w:b/>
                <w:sz w:val="18"/>
              </w:rPr>
            </w:pPr>
            <w:r>
              <w:rPr>
                <w:b/>
                <w:color w:val="FFFFFF"/>
                <w:sz w:val="18"/>
              </w:rPr>
              <w:t>Family</w:t>
            </w:r>
            <w:r>
              <w:rPr>
                <w:b/>
                <w:color w:val="FFFFFF"/>
                <w:spacing w:val="-11"/>
                <w:sz w:val="18"/>
              </w:rPr>
              <w:t> </w:t>
            </w:r>
            <w:r>
              <w:rPr>
                <w:b/>
                <w:color w:val="FFFFFF"/>
                <w:sz w:val="18"/>
              </w:rPr>
              <w:t>of</w:t>
            </w:r>
            <w:r>
              <w:rPr>
                <w:b/>
                <w:color w:val="FFFFFF"/>
                <w:spacing w:val="-10"/>
                <w:sz w:val="18"/>
              </w:rPr>
              <w:t> </w:t>
            </w:r>
            <w:r>
              <w:rPr>
                <w:b/>
                <w:color w:val="FFFFFF"/>
                <w:spacing w:val="-2"/>
                <w:sz w:val="18"/>
              </w:rPr>
              <w:t>Measures</w:t>
            </w:r>
            <w:r>
              <w:rPr>
                <w:b/>
                <w:color w:val="FFFFFF"/>
                <w:sz w:val="18"/>
              </w:rPr>
              <w:tab/>
            </w:r>
            <w:r>
              <w:rPr>
                <w:b/>
                <w:color w:val="FFFFFF"/>
                <w:spacing w:val="-2"/>
                <w:sz w:val="18"/>
              </w:rPr>
              <w:t>completed)</w:t>
            </w:r>
          </w:p>
          <w:p>
            <w:pPr>
              <w:pStyle w:val="TableParagraph"/>
              <w:spacing w:line="203" w:lineRule="exact"/>
              <w:ind w:left="3794"/>
              <w:rPr>
                <w:b/>
                <w:sz w:val="18"/>
              </w:rPr>
            </w:pPr>
            <w:r>
              <w:rPr>
                <w:b/>
                <w:color w:val="FFFFFF"/>
                <w:sz w:val="18"/>
              </w:rPr>
              <w:t>Year</w:t>
            </w:r>
            <w:r>
              <w:rPr>
                <w:b/>
                <w:color w:val="FFFFFF"/>
                <w:spacing w:val="-8"/>
                <w:sz w:val="18"/>
              </w:rPr>
              <w:t> </w:t>
            </w:r>
            <w:r>
              <w:rPr>
                <w:b/>
                <w:color w:val="FFFFFF"/>
                <w:sz w:val="18"/>
              </w:rPr>
              <w:t>1</w:t>
            </w:r>
            <w:r>
              <w:rPr>
                <w:b/>
                <w:color w:val="FFFFFF"/>
                <w:spacing w:val="-7"/>
                <w:sz w:val="18"/>
              </w:rPr>
              <w:t> </w:t>
            </w:r>
            <w:r>
              <w:rPr>
                <w:b/>
                <w:color w:val="FFFFFF"/>
                <w:spacing w:val="-2"/>
                <w:sz w:val="18"/>
              </w:rPr>
              <w:t>Intervention</w:t>
            </w:r>
          </w:p>
        </w:tc>
        <w:tc>
          <w:tcPr>
            <w:tcW w:w="1402" w:type="dxa"/>
            <w:tcBorders>
              <w:left w:val="single" w:sz="4" w:space="0" w:color="FFFFFF"/>
              <w:right w:val="single" w:sz="4" w:space="0" w:color="FFFFFF"/>
            </w:tcBorders>
            <w:shd w:val="clear" w:color="auto" w:fill="A7A9AC"/>
          </w:tcPr>
          <w:p>
            <w:pPr>
              <w:pStyle w:val="TableParagraph"/>
              <w:spacing w:before="84"/>
              <w:rPr>
                <w:b/>
                <w:sz w:val="18"/>
              </w:rPr>
            </w:pPr>
          </w:p>
          <w:p>
            <w:pPr>
              <w:pStyle w:val="TableParagraph"/>
              <w:spacing w:line="232" w:lineRule="auto"/>
              <w:ind w:left="89" w:right="480"/>
              <w:rPr>
                <w:b/>
                <w:sz w:val="18"/>
              </w:rPr>
            </w:pPr>
            <w:r>
              <w:rPr>
                <w:b/>
                <w:color w:val="FFFFFF"/>
                <w:spacing w:val="-2"/>
                <w:sz w:val="18"/>
              </w:rPr>
              <w:t>Projected </w:t>
            </w:r>
            <w:r>
              <w:rPr>
                <w:b/>
                <w:color w:val="FFFFFF"/>
                <w:sz w:val="18"/>
              </w:rPr>
              <w:t>Year 2</w:t>
            </w:r>
          </w:p>
        </w:tc>
        <w:tc>
          <w:tcPr>
            <w:tcW w:w="2352" w:type="dxa"/>
            <w:tcBorders>
              <w:left w:val="single" w:sz="4" w:space="0" w:color="FFFFFF"/>
              <w:right w:val="single" w:sz="4" w:space="0" w:color="FFFFFF"/>
            </w:tcBorders>
            <w:shd w:val="clear" w:color="auto" w:fill="A7A9AC"/>
          </w:tcPr>
          <w:p>
            <w:pPr>
              <w:pStyle w:val="TableParagraph"/>
              <w:spacing w:before="84"/>
              <w:rPr>
                <w:b/>
                <w:sz w:val="18"/>
              </w:rPr>
            </w:pPr>
          </w:p>
          <w:p>
            <w:pPr>
              <w:pStyle w:val="TableParagraph"/>
              <w:spacing w:line="232" w:lineRule="auto"/>
              <w:ind w:left="91" w:right="104"/>
              <w:rPr>
                <w:b/>
                <w:sz w:val="18"/>
              </w:rPr>
            </w:pPr>
            <w:r>
              <w:rPr>
                <w:b/>
                <w:color w:val="FFFFFF"/>
                <w:spacing w:val="-2"/>
                <w:sz w:val="18"/>
              </w:rPr>
              <w:t>Projected</w:t>
            </w:r>
            <w:r>
              <w:rPr>
                <w:b/>
                <w:color w:val="FFFFFF"/>
                <w:spacing w:val="-13"/>
                <w:sz w:val="18"/>
              </w:rPr>
              <w:t> </w:t>
            </w:r>
            <w:r>
              <w:rPr>
                <w:b/>
                <w:color w:val="FFFFFF"/>
                <w:spacing w:val="-2"/>
                <w:sz w:val="18"/>
              </w:rPr>
              <w:t>Year</w:t>
            </w:r>
            <w:r>
              <w:rPr>
                <w:b/>
                <w:color w:val="FFFFFF"/>
                <w:spacing w:val="-10"/>
                <w:sz w:val="18"/>
              </w:rPr>
              <w:t> </w:t>
            </w:r>
            <w:r>
              <w:rPr>
                <w:b/>
                <w:color w:val="FFFFFF"/>
                <w:spacing w:val="-2"/>
                <w:sz w:val="18"/>
              </w:rPr>
              <w:t>3 Interventions</w:t>
            </w:r>
          </w:p>
        </w:tc>
        <w:tc>
          <w:tcPr>
            <w:tcW w:w="1495" w:type="dxa"/>
            <w:tcBorders>
              <w:left w:val="single" w:sz="4" w:space="0" w:color="FFFFFF"/>
            </w:tcBorders>
            <w:shd w:val="clear" w:color="auto" w:fill="A7A9AC"/>
          </w:tcPr>
          <w:p>
            <w:pPr>
              <w:pStyle w:val="TableParagraph"/>
              <w:spacing w:before="84"/>
              <w:rPr>
                <w:b/>
                <w:sz w:val="18"/>
              </w:rPr>
            </w:pPr>
          </w:p>
          <w:p>
            <w:pPr>
              <w:pStyle w:val="TableParagraph"/>
              <w:spacing w:line="232" w:lineRule="auto"/>
              <w:ind w:left="93"/>
              <w:rPr>
                <w:b/>
                <w:sz w:val="18"/>
              </w:rPr>
            </w:pPr>
            <w:r>
              <w:rPr>
                <w:b/>
                <w:color w:val="FFFFFF"/>
                <w:spacing w:val="-2"/>
                <w:sz w:val="18"/>
              </w:rPr>
              <w:t>Implementation Partner</w:t>
            </w:r>
          </w:p>
        </w:tc>
        <w:tc>
          <w:tcPr>
            <w:tcW w:w="2988" w:type="dxa"/>
            <w:shd w:val="clear" w:color="auto" w:fill="A7A9AC"/>
          </w:tcPr>
          <w:p>
            <w:pPr>
              <w:pStyle w:val="TableParagraph"/>
              <w:spacing w:before="179"/>
              <w:rPr>
                <w:b/>
                <w:sz w:val="18"/>
              </w:rPr>
            </w:pPr>
          </w:p>
          <w:p>
            <w:pPr>
              <w:pStyle w:val="TableParagraph"/>
              <w:ind w:left="96"/>
              <w:rPr>
                <w:b/>
                <w:sz w:val="18"/>
              </w:rPr>
            </w:pPr>
            <w:r>
              <w:rPr>
                <w:b/>
                <w:color w:val="FFFFFF"/>
                <w:spacing w:val="-4"/>
                <w:sz w:val="18"/>
              </w:rPr>
              <w:t>Partner</w:t>
            </w:r>
            <w:r>
              <w:rPr>
                <w:b/>
                <w:color w:val="FFFFFF"/>
                <w:spacing w:val="-1"/>
                <w:sz w:val="18"/>
              </w:rPr>
              <w:t> </w:t>
            </w:r>
            <w:r>
              <w:rPr>
                <w:b/>
                <w:color w:val="FFFFFF"/>
                <w:spacing w:val="-4"/>
                <w:sz w:val="18"/>
              </w:rPr>
              <w:t>Role(s)</w:t>
            </w:r>
            <w:r>
              <w:rPr>
                <w:b/>
                <w:color w:val="FFFFFF"/>
                <w:sz w:val="18"/>
              </w:rPr>
              <w:t> </w:t>
            </w:r>
            <w:r>
              <w:rPr>
                <w:b/>
                <w:color w:val="FFFFFF"/>
                <w:spacing w:val="-4"/>
                <w:sz w:val="18"/>
              </w:rPr>
              <w:t>and</w:t>
            </w:r>
            <w:r>
              <w:rPr>
                <w:b/>
                <w:color w:val="FFFFFF"/>
                <w:sz w:val="18"/>
              </w:rPr>
              <w:t> </w:t>
            </w:r>
            <w:r>
              <w:rPr>
                <w:b/>
                <w:color w:val="FFFFFF"/>
                <w:spacing w:val="-4"/>
                <w:sz w:val="18"/>
              </w:rPr>
              <w:t>Resources</w:t>
            </w:r>
          </w:p>
        </w:tc>
      </w:tr>
      <w:tr>
        <w:trPr>
          <w:trHeight w:val="4820" w:hRule="atLeast"/>
        </w:trPr>
        <w:tc>
          <w:tcPr>
            <w:tcW w:w="1180" w:type="dxa"/>
            <w:vMerge w:val="restart"/>
            <w:shd w:val="clear" w:color="auto" w:fill="E6E7E8"/>
          </w:tcPr>
          <w:p>
            <w:pPr>
              <w:pStyle w:val="TableParagraph"/>
              <w:spacing w:line="232" w:lineRule="auto" w:before="101"/>
              <w:ind w:left="89" w:right="87"/>
              <w:rPr>
                <w:sz w:val="18"/>
              </w:rPr>
            </w:pPr>
            <w:r>
              <w:rPr>
                <w:color w:val="105C84"/>
                <w:spacing w:val="-2"/>
                <w:sz w:val="18"/>
              </w:rPr>
              <w:t>Promote Well-Being </w:t>
            </w:r>
            <w:r>
              <w:rPr>
                <w:color w:val="105C84"/>
                <w:sz w:val="18"/>
              </w:rPr>
              <w:t>and</w:t>
            </w:r>
            <w:r>
              <w:rPr>
                <w:color w:val="105C84"/>
                <w:spacing w:val="-13"/>
                <w:sz w:val="18"/>
              </w:rPr>
              <w:t> </w:t>
            </w:r>
            <w:r>
              <w:rPr>
                <w:color w:val="105C84"/>
                <w:sz w:val="18"/>
              </w:rPr>
              <w:t>Prevent Mental and </w:t>
            </w:r>
            <w:r>
              <w:rPr>
                <w:color w:val="105C84"/>
                <w:spacing w:val="-2"/>
                <w:sz w:val="18"/>
              </w:rPr>
              <w:t>Substance </w:t>
            </w:r>
            <w:r>
              <w:rPr>
                <w:color w:val="105C84"/>
                <w:spacing w:val="-4"/>
                <w:sz w:val="18"/>
              </w:rPr>
              <w:t>Use </w:t>
            </w:r>
            <w:r>
              <w:rPr>
                <w:color w:val="105C84"/>
                <w:spacing w:val="-2"/>
                <w:sz w:val="18"/>
              </w:rPr>
              <w:t>Disorders</w:t>
            </w:r>
          </w:p>
        </w:tc>
        <w:tc>
          <w:tcPr>
            <w:tcW w:w="1324" w:type="dxa"/>
            <w:vMerge w:val="restart"/>
          </w:tcPr>
          <w:p>
            <w:pPr>
              <w:pStyle w:val="TableParagraph"/>
              <w:spacing w:line="232" w:lineRule="auto" w:before="101"/>
              <w:ind w:left="90"/>
              <w:rPr>
                <w:sz w:val="18"/>
              </w:rPr>
            </w:pPr>
            <w:r>
              <w:rPr>
                <w:color w:val="105C84"/>
                <w:sz w:val="18"/>
              </w:rPr>
              <w:t>Focus</w:t>
            </w:r>
            <w:r>
              <w:rPr>
                <w:color w:val="105C84"/>
                <w:spacing w:val="-7"/>
                <w:sz w:val="18"/>
              </w:rPr>
              <w:t> </w:t>
            </w:r>
            <w:r>
              <w:rPr>
                <w:color w:val="105C84"/>
                <w:sz w:val="18"/>
              </w:rPr>
              <w:t>Area</w:t>
            </w:r>
            <w:r>
              <w:rPr>
                <w:color w:val="105C84"/>
                <w:spacing w:val="-7"/>
                <w:sz w:val="18"/>
              </w:rPr>
              <w:t> </w:t>
            </w:r>
            <w:r>
              <w:rPr>
                <w:color w:val="105C84"/>
                <w:sz w:val="18"/>
              </w:rPr>
              <w:t>1: Promote</w:t>
            </w:r>
            <w:r>
              <w:rPr>
                <w:color w:val="105C84"/>
                <w:spacing w:val="-13"/>
                <w:sz w:val="18"/>
              </w:rPr>
              <w:t> </w:t>
            </w:r>
            <w:r>
              <w:rPr>
                <w:color w:val="105C84"/>
                <w:sz w:val="18"/>
              </w:rPr>
              <w:t>Well-</w:t>
            </w:r>
            <w:r>
              <w:rPr>
                <w:color w:val="105C84"/>
                <w:spacing w:val="-2"/>
                <w:sz w:val="18"/>
              </w:rPr>
              <w:t>Being</w:t>
            </w:r>
          </w:p>
        </w:tc>
        <w:tc>
          <w:tcPr>
            <w:tcW w:w="1266" w:type="dxa"/>
          </w:tcPr>
          <w:p>
            <w:pPr>
              <w:pStyle w:val="TableParagraph"/>
              <w:spacing w:line="232" w:lineRule="auto" w:before="101"/>
              <w:ind w:left="91"/>
              <w:rPr>
                <w:sz w:val="18"/>
              </w:rPr>
            </w:pPr>
            <w:r>
              <w:rPr>
                <w:color w:val="105C84"/>
                <w:sz w:val="18"/>
              </w:rPr>
              <w:t>1.2 Facilitate </w:t>
            </w:r>
            <w:r>
              <w:rPr>
                <w:color w:val="105C84"/>
                <w:spacing w:val="-2"/>
                <w:sz w:val="18"/>
              </w:rPr>
              <w:t>supportive environments </w:t>
            </w:r>
            <w:r>
              <w:rPr>
                <w:color w:val="105C84"/>
                <w:sz w:val="18"/>
              </w:rPr>
              <w:t>that promote respect and dignity for people of all </w:t>
            </w:r>
            <w:r>
              <w:rPr>
                <w:color w:val="105C84"/>
                <w:spacing w:val="-4"/>
                <w:sz w:val="18"/>
              </w:rPr>
              <w:t>ages</w:t>
            </w:r>
          </w:p>
        </w:tc>
        <w:tc>
          <w:tcPr>
            <w:tcW w:w="1554" w:type="dxa"/>
          </w:tcPr>
          <w:p>
            <w:pPr>
              <w:pStyle w:val="TableParagraph"/>
              <w:spacing w:line="232" w:lineRule="auto" w:before="100"/>
              <w:ind w:left="92" w:right="74"/>
              <w:rPr>
                <w:sz w:val="18"/>
              </w:rPr>
            </w:pPr>
            <w:r>
              <w:rPr>
                <w:color w:val="105C84"/>
                <w:sz w:val="18"/>
              </w:rPr>
              <w:t>1.1.2</w:t>
            </w:r>
            <w:r>
              <w:rPr>
                <w:color w:val="105C84"/>
                <w:spacing w:val="-15"/>
                <w:sz w:val="18"/>
              </w:rPr>
              <w:t> </w:t>
            </w:r>
            <w:r>
              <w:rPr>
                <w:color w:val="105C84"/>
                <w:sz w:val="18"/>
              </w:rPr>
              <w:t>Reduce</w:t>
            </w:r>
            <w:r>
              <w:rPr>
                <w:color w:val="105C84"/>
                <w:spacing w:val="-12"/>
                <w:sz w:val="18"/>
              </w:rPr>
              <w:t> </w:t>
            </w:r>
            <w:r>
              <w:rPr>
                <w:color w:val="105C84"/>
                <w:sz w:val="18"/>
              </w:rPr>
              <w:t>the </w:t>
            </w:r>
            <w:r>
              <w:rPr>
                <w:color w:val="105C84"/>
                <w:spacing w:val="-2"/>
                <w:sz w:val="18"/>
              </w:rPr>
              <w:t>age-adjusted </w:t>
            </w:r>
            <w:r>
              <w:rPr>
                <w:color w:val="105C84"/>
                <w:sz w:val="18"/>
              </w:rPr>
              <w:t>percentage of Seneca County adults reporting 14 or more days with poor mental health in the last month by 10% </w:t>
            </w:r>
            <w:r>
              <w:rPr>
                <w:color w:val="105C84"/>
                <w:spacing w:val="-6"/>
                <w:sz w:val="18"/>
              </w:rPr>
              <w:t>expanded</w:t>
            </w:r>
            <w:r>
              <w:rPr>
                <w:color w:val="105C84"/>
                <w:spacing w:val="-7"/>
                <w:sz w:val="18"/>
              </w:rPr>
              <w:t> </w:t>
            </w:r>
            <w:r>
              <w:rPr>
                <w:color w:val="105C84"/>
                <w:spacing w:val="-6"/>
                <w:sz w:val="18"/>
              </w:rPr>
              <w:t>BRFS</w:t>
            </w:r>
            <w:r>
              <w:rPr>
                <w:color w:val="105C84"/>
                <w:spacing w:val="-6"/>
                <w:sz w:val="18"/>
              </w:rPr>
              <w:t>S</w:t>
            </w:r>
          </w:p>
        </w:tc>
        <w:tc>
          <w:tcPr>
            <w:tcW w:w="1064" w:type="dxa"/>
          </w:tcPr>
          <w:p>
            <w:pPr>
              <w:pStyle w:val="TableParagraph"/>
              <w:spacing w:line="232" w:lineRule="auto" w:before="100"/>
              <w:ind w:left="93" w:right="108"/>
              <w:rPr>
                <w:sz w:val="18"/>
              </w:rPr>
            </w:pPr>
            <w:r>
              <w:rPr>
                <w:color w:val="105C84"/>
                <w:spacing w:val="-2"/>
                <w:sz w:val="18"/>
              </w:rPr>
              <w:t>Individuals </w:t>
            </w:r>
            <w:r>
              <w:rPr>
                <w:color w:val="105C84"/>
                <w:spacing w:val="-4"/>
                <w:sz w:val="18"/>
              </w:rPr>
              <w:t>with </w:t>
            </w:r>
            <w:r>
              <w:rPr>
                <w:color w:val="105C84"/>
                <w:spacing w:val="-2"/>
                <w:sz w:val="18"/>
              </w:rPr>
              <w:t>Substance </w:t>
            </w:r>
            <w:r>
              <w:rPr>
                <w:color w:val="105C84"/>
                <w:sz w:val="18"/>
              </w:rPr>
              <w:t>Use and</w:t>
            </w:r>
            <w:r>
              <w:rPr>
                <w:color w:val="105C84"/>
                <w:spacing w:val="40"/>
                <w:sz w:val="18"/>
              </w:rPr>
              <w:t> </w:t>
            </w:r>
            <w:r>
              <w:rPr>
                <w:color w:val="105C84"/>
                <w:sz w:val="18"/>
              </w:rPr>
              <w:t>or Mental </w:t>
            </w:r>
            <w:r>
              <w:rPr>
                <w:color w:val="105C84"/>
                <w:spacing w:val="-2"/>
                <w:sz w:val="18"/>
              </w:rPr>
              <w:t>Health Disorder</w:t>
            </w:r>
          </w:p>
        </w:tc>
        <w:tc>
          <w:tcPr>
            <w:tcW w:w="2050" w:type="dxa"/>
          </w:tcPr>
          <w:p>
            <w:pPr>
              <w:pStyle w:val="TableParagraph"/>
              <w:spacing w:line="232" w:lineRule="auto" w:before="100"/>
              <w:ind w:left="95" w:right="81"/>
              <w:rPr>
                <w:sz w:val="18"/>
              </w:rPr>
            </w:pPr>
            <w:r>
              <w:rPr>
                <w:color w:val="105C84"/>
                <w:sz w:val="18"/>
              </w:rPr>
              <w:t>1.2.2</w:t>
            </w:r>
            <w:r>
              <w:rPr>
                <w:color w:val="105C84"/>
                <w:spacing w:val="-15"/>
                <w:sz w:val="18"/>
              </w:rPr>
              <w:t> </w:t>
            </w:r>
            <w:r>
              <w:rPr>
                <w:color w:val="105C84"/>
                <w:sz w:val="18"/>
              </w:rPr>
              <w:t>Mental</w:t>
            </w:r>
            <w:r>
              <w:rPr>
                <w:color w:val="105C84"/>
                <w:spacing w:val="-12"/>
                <w:sz w:val="18"/>
              </w:rPr>
              <w:t> </w:t>
            </w:r>
            <w:r>
              <w:rPr>
                <w:color w:val="105C84"/>
                <w:sz w:val="18"/>
              </w:rPr>
              <w:t>Healt</w:t>
            </w:r>
            <w:r>
              <w:rPr>
                <w:color w:val="105C84"/>
                <w:sz w:val="18"/>
              </w:rPr>
              <w:t>h</w:t>
            </w:r>
            <w:r>
              <w:rPr>
                <w:color w:val="105C84"/>
                <w:sz w:val="18"/>
              </w:rPr>
              <w:t> First Aid is an</w:t>
            </w:r>
          </w:p>
          <w:p>
            <w:pPr>
              <w:pStyle w:val="TableParagraph"/>
              <w:spacing w:line="232" w:lineRule="auto"/>
              <w:ind w:left="95" w:right="103"/>
              <w:rPr>
                <w:sz w:val="18"/>
              </w:rPr>
            </w:pPr>
            <w:r>
              <w:rPr>
                <w:color w:val="105C84"/>
                <w:sz w:val="18"/>
              </w:rPr>
              <w:t>evidence-</w:t>
            </w:r>
            <w:r>
              <w:rPr>
                <w:color w:val="105C84"/>
                <w:spacing w:val="-10"/>
                <w:sz w:val="18"/>
              </w:rPr>
              <w:t> </w:t>
            </w:r>
            <w:r>
              <w:rPr>
                <w:color w:val="105C84"/>
                <w:sz w:val="18"/>
              </w:rPr>
              <w:t>based</w:t>
            </w:r>
            <w:r>
              <w:rPr>
                <w:color w:val="105C84"/>
                <w:spacing w:val="-10"/>
                <w:sz w:val="18"/>
              </w:rPr>
              <w:t> </w:t>
            </w:r>
            <w:r>
              <w:rPr>
                <w:color w:val="105C84"/>
                <w:sz w:val="18"/>
              </w:rPr>
              <w:t>public education program</w:t>
            </w:r>
            <w:r>
              <w:rPr>
                <w:color w:val="105C84"/>
                <w:spacing w:val="80"/>
                <w:sz w:val="18"/>
              </w:rPr>
              <w:t> </w:t>
            </w:r>
            <w:r>
              <w:rPr>
                <w:color w:val="105C84"/>
                <w:sz w:val="18"/>
              </w:rPr>
              <w:t>that teaches people how to respond to individuals who are experiencing one or more acute mental health crises (such as suicidal thoughts or behavior, an acute stress reaction, panic attacks or acute psychotic behavior)</w:t>
            </w:r>
          </w:p>
          <w:p>
            <w:pPr>
              <w:pStyle w:val="TableParagraph"/>
              <w:spacing w:line="232" w:lineRule="auto"/>
              <w:ind w:left="95" w:right="81"/>
              <w:rPr>
                <w:sz w:val="18"/>
              </w:rPr>
            </w:pPr>
            <w:r>
              <w:rPr>
                <w:color w:val="105C84"/>
                <w:sz w:val="18"/>
              </w:rPr>
              <w:t>or are in the early stages</w:t>
            </w:r>
            <w:r>
              <w:rPr>
                <w:color w:val="105C84"/>
                <w:spacing w:val="-9"/>
                <w:sz w:val="18"/>
              </w:rPr>
              <w:t> </w:t>
            </w:r>
            <w:r>
              <w:rPr>
                <w:color w:val="105C84"/>
                <w:sz w:val="18"/>
              </w:rPr>
              <w:t>of</w:t>
            </w:r>
            <w:r>
              <w:rPr>
                <w:color w:val="105C84"/>
                <w:spacing w:val="-9"/>
                <w:sz w:val="18"/>
              </w:rPr>
              <w:t> </w:t>
            </w:r>
            <w:r>
              <w:rPr>
                <w:color w:val="105C84"/>
                <w:sz w:val="18"/>
              </w:rPr>
              <w:t>one</w:t>
            </w:r>
            <w:r>
              <w:rPr>
                <w:color w:val="105C84"/>
                <w:spacing w:val="-9"/>
                <w:sz w:val="18"/>
              </w:rPr>
              <w:t> </w:t>
            </w:r>
            <w:r>
              <w:rPr>
                <w:color w:val="105C84"/>
                <w:sz w:val="18"/>
              </w:rPr>
              <w:t>or</w:t>
            </w:r>
            <w:r>
              <w:rPr>
                <w:color w:val="105C84"/>
                <w:spacing w:val="-9"/>
                <w:sz w:val="18"/>
              </w:rPr>
              <w:t> </w:t>
            </w:r>
            <w:r>
              <w:rPr>
                <w:color w:val="105C84"/>
                <w:sz w:val="18"/>
              </w:rPr>
              <w:t>more chronic mental health problems (such as depressive,</w:t>
            </w:r>
            <w:r>
              <w:rPr>
                <w:color w:val="105C84"/>
                <w:spacing w:val="-15"/>
                <w:sz w:val="18"/>
              </w:rPr>
              <w:t> </w:t>
            </w:r>
            <w:r>
              <w:rPr>
                <w:color w:val="105C84"/>
                <w:sz w:val="18"/>
              </w:rPr>
              <w:t>anxiety</w:t>
            </w:r>
            <w:r>
              <w:rPr>
                <w:color w:val="105C84"/>
                <w:spacing w:val="-12"/>
                <w:sz w:val="18"/>
              </w:rPr>
              <w:t> </w:t>
            </w:r>
            <w:r>
              <w:rPr>
                <w:color w:val="105C84"/>
                <w:sz w:val="18"/>
              </w:rPr>
              <w:t>or psychotic disorders, which may occur with substance abuse)</w:t>
            </w:r>
          </w:p>
        </w:tc>
        <w:tc>
          <w:tcPr>
            <w:tcW w:w="5614" w:type="dxa"/>
          </w:tcPr>
          <w:p>
            <w:pPr>
              <w:pStyle w:val="TableParagraph"/>
              <w:tabs>
                <w:tab w:pos="3794" w:val="left" w:leader="none"/>
              </w:tabs>
              <w:spacing w:line="203" w:lineRule="exact" w:before="95"/>
              <w:ind w:left="97"/>
              <w:rPr>
                <w:sz w:val="18"/>
              </w:rPr>
            </w:pPr>
            <w:r>
              <w:rPr>
                <w:color w:val="105C84"/>
                <w:sz w:val="18"/>
              </w:rPr>
              <w:t>#</w:t>
            </w:r>
            <w:r>
              <w:rPr>
                <w:color w:val="105C84"/>
                <w:spacing w:val="-8"/>
                <w:sz w:val="18"/>
              </w:rPr>
              <w:t> </w:t>
            </w:r>
            <w:r>
              <w:rPr>
                <w:color w:val="105C84"/>
                <w:sz w:val="18"/>
              </w:rPr>
              <w:t>of</w:t>
            </w:r>
            <w:r>
              <w:rPr>
                <w:color w:val="105C84"/>
                <w:spacing w:val="-8"/>
                <w:sz w:val="18"/>
              </w:rPr>
              <w:t> </w:t>
            </w:r>
            <w:r>
              <w:rPr>
                <w:color w:val="105C84"/>
                <w:sz w:val="18"/>
              </w:rPr>
              <w:t>Youth</w:t>
            </w:r>
            <w:r>
              <w:rPr>
                <w:color w:val="105C84"/>
                <w:spacing w:val="-8"/>
                <w:sz w:val="18"/>
              </w:rPr>
              <w:t> </w:t>
            </w:r>
            <w:r>
              <w:rPr>
                <w:color w:val="105C84"/>
                <w:sz w:val="18"/>
              </w:rPr>
              <w:t>and</w:t>
            </w:r>
            <w:r>
              <w:rPr>
                <w:color w:val="105C84"/>
                <w:spacing w:val="-7"/>
                <w:sz w:val="18"/>
              </w:rPr>
              <w:t> </w:t>
            </w:r>
            <w:r>
              <w:rPr>
                <w:color w:val="105C84"/>
                <w:spacing w:val="-2"/>
                <w:sz w:val="18"/>
              </w:rPr>
              <w:t>Adult</w:t>
            </w:r>
            <w:r>
              <w:rPr>
                <w:color w:val="105C84"/>
                <w:sz w:val="18"/>
              </w:rPr>
              <w:tab/>
              <w:t>To</w:t>
            </w:r>
            <w:r>
              <w:rPr>
                <w:color w:val="105C84"/>
                <w:spacing w:val="-11"/>
                <w:sz w:val="18"/>
              </w:rPr>
              <w:t> </w:t>
            </w:r>
            <w:r>
              <w:rPr>
                <w:color w:val="105C84"/>
                <w:sz w:val="18"/>
              </w:rPr>
              <w:t>train</w:t>
            </w:r>
            <w:r>
              <w:rPr>
                <w:color w:val="105C84"/>
                <w:spacing w:val="-10"/>
                <w:sz w:val="18"/>
              </w:rPr>
              <w:t> </w:t>
            </w:r>
            <w:r>
              <w:rPr>
                <w:color w:val="105C84"/>
                <w:sz w:val="18"/>
              </w:rPr>
              <w:t>staff</w:t>
            </w:r>
            <w:r>
              <w:rPr>
                <w:color w:val="105C84"/>
                <w:spacing w:val="-10"/>
                <w:sz w:val="18"/>
              </w:rPr>
              <w:t> </w:t>
            </w:r>
            <w:r>
              <w:rPr>
                <w:color w:val="105C84"/>
                <w:sz w:val="18"/>
              </w:rPr>
              <w:t>in</w:t>
            </w:r>
            <w:r>
              <w:rPr>
                <w:color w:val="105C84"/>
                <w:spacing w:val="-11"/>
                <w:sz w:val="18"/>
              </w:rPr>
              <w:t> </w:t>
            </w:r>
            <w:r>
              <w:rPr>
                <w:color w:val="105C84"/>
                <w:spacing w:val="-2"/>
                <w:sz w:val="18"/>
              </w:rPr>
              <w:t>Youth</w:t>
            </w:r>
          </w:p>
          <w:p>
            <w:pPr>
              <w:pStyle w:val="TableParagraph"/>
              <w:tabs>
                <w:tab w:pos="3794" w:val="left" w:leader="none"/>
              </w:tabs>
              <w:spacing w:line="200" w:lineRule="exact"/>
              <w:ind w:left="97"/>
              <w:rPr>
                <w:sz w:val="18"/>
              </w:rPr>
            </w:pPr>
            <w:r>
              <w:rPr>
                <w:color w:val="105C84"/>
                <w:sz w:val="18"/>
              </w:rPr>
              <w:t>Mental</w:t>
            </w:r>
            <w:r>
              <w:rPr>
                <w:color w:val="105C84"/>
                <w:spacing w:val="6"/>
                <w:sz w:val="18"/>
              </w:rPr>
              <w:t> </w:t>
            </w:r>
            <w:r>
              <w:rPr>
                <w:color w:val="105C84"/>
                <w:sz w:val="18"/>
              </w:rPr>
              <w:t>Health</w:t>
            </w:r>
            <w:r>
              <w:rPr>
                <w:color w:val="105C84"/>
                <w:spacing w:val="7"/>
                <w:sz w:val="18"/>
              </w:rPr>
              <w:t> </w:t>
            </w:r>
            <w:r>
              <w:rPr>
                <w:color w:val="105C84"/>
                <w:spacing w:val="-2"/>
                <w:sz w:val="18"/>
              </w:rPr>
              <w:t>First</w:t>
            </w:r>
            <w:r>
              <w:rPr>
                <w:color w:val="105C84"/>
                <w:sz w:val="18"/>
              </w:rPr>
              <w:tab/>
              <w:t>Mental</w:t>
            </w:r>
            <w:r>
              <w:rPr>
                <w:color w:val="105C84"/>
                <w:spacing w:val="6"/>
                <w:sz w:val="18"/>
              </w:rPr>
              <w:t> </w:t>
            </w:r>
            <w:r>
              <w:rPr>
                <w:color w:val="105C84"/>
                <w:sz w:val="18"/>
              </w:rPr>
              <w:t>Health</w:t>
            </w:r>
            <w:r>
              <w:rPr>
                <w:color w:val="105C84"/>
                <w:spacing w:val="7"/>
                <w:sz w:val="18"/>
              </w:rPr>
              <w:t> </w:t>
            </w:r>
            <w:r>
              <w:rPr>
                <w:color w:val="105C84"/>
                <w:spacing w:val="-4"/>
                <w:sz w:val="18"/>
              </w:rPr>
              <w:t>First</w:t>
            </w:r>
          </w:p>
          <w:p>
            <w:pPr>
              <w:pStyle w:val="TableParagraph"/>
              <w:tabs>
                <w:tab w:pos="3794" w:val="left" w:leader="none"/>
              </w:tabs>
              <w:spacing w:line="200" w:lineRule="exact"/>
              <w:ind w:left="97"/>
              <w:rPr>
                <w:sz w:val="18"/>
              </w:rPr>
            </w:pPr>
            <w:r>
              <w:rPr>
                <w:color w:val="105C84"/>
                <w:sz w:val="18"/>
              </w:rPr>
              <w:t>Aid</w:t>
            </w:r>
            <w:r>
              <w:rPr>
                <w:color w:val="105C84"/>
                <w:spacing w:val="-12"/>
                <w:sz w:val="18"/>
              </w:rPr>
              <w:t> </w:t>
            </w:r>
            <w:r>
              <w:rPr>
                <w:color w:val="105C84"/>
                <w:sz w:val="18"/>
              </w:rPr>
              <w:t>Trainings</w:t>
            </w:r>
            <w:r>
              <w:rPr>
                <w:color w:val="105C84"/>
                <w:spacing w:val="-12"/>
                <w:sz w:val="18"/>
              </w:rPr>
              <w:t> </w:t>
            </w:r>
            <w:r>
              <w:rPr>
                <w:color w:val="105C84"/>
                <w:spacing w:val="-2"/>
                <w:sz w:val="18"/>
              </w:rPr>
              <w:t>offered</w:t>
            </w:r>
            <w:r>
              <w:rPr>
                <w:color w:val="105C84"/>
                <w:sz w:val="18"/>
              </w:rPr>
              <w:tab/>
              <w:t>Aid</w:t>
            </w:r>
            <w:r>
              <w:rPr>
                <w:color w:val="105C84"/>
                <w:spacing w:val="4"/>
                <w:sz w:val="18"/>
              </w:rPr>
              <w:t> </w:t>
            </w:r>
            <w:r>
              <w:rPr>
                <w:color w:val="105C84"/>
                <w:sz w:val="18"/>
              </w:rPr>
              <w:t>and</w:t>
            </w:r>
            <w:r>
              <w:rPr>
                <w:color w:val="105C84"/>
                <w:spacing w:val="4"/>
                <w:sz w:val="18"/>
              </w:rPr>
              <w:t> </w:t>
            </w:r>
            <w:r>
              <w:rPr>
                <w:color w:val="105C84"/>
                <w:sz w:val="18"/>
              </w:rPr>
              <w:t>or</w:t>
            </w:r>
            <w:r>
              <w:rPr>
                <w:color w:val="105C84"/>
                <w:spacing w:val="5"/>
                <w:sz w:val="18"/>
              </w:rPr>
              <w:t> </w:t>
            </w:r>
            <w:r>
              <w:rPr>
                <w:color w:val="105C84"/>
                <w:spacing w:val="-2"/>
                <w:sz w:val="18"/>
              </w:rPr>
              <w:t>Adult</w:t>
            </w:r>
          </w:p>
          <w:p>
            <w:pPr>
              <w:pStyle w:val="TableParagraph"/>
              <w:tabs>
                <w:tab w:pos="3794" w:val="left" w:leader="none"/>
              </w:tabs>
              <w:spacing w:line="245" w:lineRule="exact"/>
              <w:ind w:left="97"/>
              <w:rPr>
                <w:position w:val="9"/>
                <w:sz w:val="18"/>
              </w:rPr>
            </w:pPr>
            <w:r>
              <w:rPr>
                <w:color w:val="105C84"/>
                <w:sz w:val="18"/>
              </w:rPr>
              <w:t>#</w:t>
            </w:r>
            <w:r>
              <w:rPr>
                <w:color w:val="105C84"/>
                <w:spacing w:val="5"/>
                <w:sz w:val="18"/>
              </w:rPr>
              <w:t> </w:t>
            </w:r>
            <w:r>
              <w:rPr>
                <w:color w:val="105C84"/>
                <w:sz w:val="18"/>
              </w:rPr>
              <w:t>of</w:t>
            </w:r>
            <w:r>
              <w:rPr>
                <w:color w:val="105C84"/>
                <w:spacing w:val="6"/>
                <w:sz w:val="18"/>
              </w:rPr>
              <w:t> </w:t>
            </w:r>
            <w:r>
              <w:rPr>
                <w:color w:val="105C84"/>
                <w:sz w:val="18"/>
              </w:rPr>
              <w:t>people</w:t>
            </w:r>
            <w:r>
              <w:rPr>
                <w:color w:val="105C84"/>
                <w:spacing w:val="6"/>
                <w:sz w:val="18"/>
              </w:rPr>
              <w:t> </w:t>
            </w:r>
            <w:r>
              <w:rPr>
                <w:color w:val="105C84"/>
                <w:spacing w:val="-2"/>
                <w:sz w:val="18"/>
              </w:rPr>
              <w:t>trained</w:t>
            </w:r>
            <w:r>
              <w:rPr>
                <w:color w:val="105C84"/>
                <w:sz w:val="18"/>
              </w:rPr>
              <w:tab/>
            </w:r>
            <w:r>
              <w:rPr>
                <w:color w:val="105C84"/>
                <w:position w:val="9"/>
                <w:sz w:val="18"/>
              </w:rPr>
              <w:t>Mental</w:t>
            </w:r>
            <w:r>
              <w:rPr>
                <w:color w:val="105C84"/>
                <w:spacing w:val="12"/>
                <w:position w:val="9"/>
                <w:sz w:val="18"/>
              </w:rPr>
              <w:t> </w:t>
            </w:r>
            <w:r>
              <w:rPr>
                <w:color w:val="105C84"/>
                <w:spacing w:val="-2"/>
                <w:position w:val="9"/>
                <w:sz w:val="18"/>
              </w:rPr>
              <w:t>Health</w:t>
            </w:r>
          </w:p>
          <w:p>
            <w:pPr>
              <w:pStyle w:val="TableParagraph"/>
              <w:tabs>
                <w:tab w:pos="3794" w:val="left" w:leader="none"/>
              </w:tabs>
              <w:spacing w:line="245" w:lineRule="exact"/>
              <w:ind w:left="97"/>
              <w:rPr>
                <w:position w:val="9"/>
                <w:sz w:val="18"/>
              </w:rPr>
            </w:pPr>
            <w:r>
              <w:rPr>
                <w:color w:val="105C84"/>
                <w:sz w:val="18"/>
              </w:rPr>
              <w:t>in</w:t>
            </w:r>
            <w:r>
              <w:rPr>
                <w:color w:val="105C84"/>
                <w:spacing w:val="5"/>
                <w:sz w:val="18"/>
              </w:rPr>
              <w:t> </w:t>
            </w:r>
            <w:r>
              <w:rPr>
                <w:color w:val="105C84"/>
                <w:sz w:val="18"/>
              </w:rPr>
              <w:t>Mental</w:t>
            </w:r>
            <w:r>
              <w:rPr>
                <w:color w:val="105C84"/>
                <w:spacing w:val="6"/>
                <w:sz w:val="18"/>
              </w:rPr>
              <w:t> </w:t>
            </w:r>
            <w:r>
              <w:rPr>
                <w:color w:val="105C84"/>
                <w:spacing w:val="-2"/>
                <w:sz w:val="18"/>
              </w:rPr>
              <w:t>Health</w:t>
            </w:r>
            <w:r>
              <w:rPr>
                <w:color w:val="105C84"/>
                <w:sz w:val="18"/>
              </w:rPr>
              <w:tab/>
            </w:r>
            <w:r>
              <w:rPr>
                <w:color w:val="105C84"/>
                <w:spacing w:val="-2"/>
                <w:position w:val="9"/>
                <w:sz w:val="18"/>
              </w:rPr>
              <w:t>First</w:t>
            </w:r>
            <w:r>
              <w:rPr>
                <w:color w:val="105C84"/>
                <w:spacing w:val="-5"/>
                <w:position w:val="9"/>
                <w:sz w:val="18"/>
              </w:rPr>
              <w:t> Aid</w:t>
            </w:r>
          </w:p>
          <w:p>
            <w:pPr>
              <w:pStyle w:val="TableParagraph"/>
              <w:spacing w:line="203" w:lineRule="exact"/>
              <w:ind w:left="97"/>
              <w:rPr>
                <w:sz w:val="18"/>
              </w:rPr>
            </w:pPr>
            <w:r>
              <w:rPr>
                <w:color w:val="105C84"/>
                <w:spacing w:val="-2"/>
                <w:sz w:val="18"/>
              </w:rPr>
              <w:t>First</w:t>
            </w:r>
            <w:r>
              <w:rPr>
                <w:color w:val="105C84"/>
                <w:spacing w:val="-5"/>
                <w:sz w:val="18"/>
              </w:rPr>
              <w:t> Aid</w:t>
            </w:r>
          </w:p>
          <w:p>
            <w:pPr>
              <w:pStyle w:val="TableParagraph"/>
              <w:spacing w:line="232" w:lineRule="auto" w:before="88"/>
              <w:ind w:left="97" w:right="3722"/>
              <w:rPr>
                <w:sz w:val="18"/>
              </w:rPr>
            </w:pPr>
            <w:r>
              <w:rPr>
                <w:color w:val="105C84"/>
                <w:sz w:val="18"/>
              </w:rPr>
              <w:t># of participants reporting</w:t>
            </w:r>
            <w:r>
              <w:rPr>
                <w:color w:val="105C84"/>
                <w:spacing w:val="-15"/>
                <w:sz w:val="18"/>
              </w:rPr>
              <w:t> </w:t>
            </w:r>
            <w:r>
              <w:rPr>
                <w:color w:val="105C84"/>
                <w:sz w:val="18"/>
              </w:rPr>
              <w:t>an</w:t>
            </w:r>
            <w:r>
              <w:rPr>
                <w:color w:val="105C84"/>
                <w:spacing w:val="-12"/>
                <w:sz w:val="18"/>
              </w:rPr>
              <w:t> </w:t>
            </w:r>
            <w:r>
              <w:rPr>
                <w:color w:val="105C84"/>
                <w:sz w:val="18"/>
              </w:rPr>
              <w:t>increase in knowledge of appropriate Mental Health first</w:t>
            </w:r>
            <w:r>
              <w:rPr>
                <w:color w:val="105C84"/>
                <w:spacing w:val="40"/>
                <w:sz w:val="18"/>
              </w:rPr>
              <w:t> </w:t>
            </w:r>
            <w:r>
              <w:rPr>
                <w:color w:val="105C84"/>
                <w:sz w:val="18"/>
              </w:rPr>
              <w:t>aid </w:t>
            </w:r>
            <w:r>
              <w:rPr>
                <w:color w:val="105C84"/>
                <w:spacing w:val="-2"/>
                <w:sz w:val="18"/>
              </w:rPr>
              <w:t>strategies</w:t>
            </w:r>
          </w:p>
        </w:tc>
        <w:tc>
          <w:tcPr>
            <w:tcW w:w="1402" w:type="dxa"/>
          </w:tcPr>
          <w:p>
            <w:pPr>
              <w:pStyle w:val="TableParagraph"/>
              <w:spacing w:line="232" w:lineRule="auto" w:before="99"/>
              <w:ind w:left="99" w:right="352"/>
              <w:rPr>
                <w:sz w:val="18"/>
              </w:rPr>
            </w:pPr>
            <w:r>
              <w:rPr>
                <w:color w:val="105C84"/>
                <w:sz w:val="18"/>
              </w:rPr>
              <w:t>To work with faith </w:t>
            </w:r>
            <w:r>
              <w:rPr>
                <w:color w:val="105C84"/>
                <w:spacing w:val="-2"/>
                <w:sz w:val="18"/>
              </w:rPr>
              <w:t>leaders</w:t>
            </w:r>
            <w:r>
              <w:rPr>
                <w:color w:val="105C84"/>
                <w:spacing w:val="-11"/>
                <w:sz w:val="18"/>
              </w:rPr>
              <w:t> </w:t>
            </w:r>
            <w:r>
              <w:rPr>
                <w:color w:val="105C84"/>
                <w:spacing w:val="-2"/>
                <w:sz w:val="18"/>
              </w:rPr>
              <w:t>and community based</w:t>
            </w:r>
          </w:p>
          <w:p>
            <w:pPr>
              <w:pStyle w:val="TableParagraph"/>
              <w:spacing w:line="232" w:lineRule="auto"/>
              <w:ind w:left="99" w:right="86"/>
              <w:rPr>
                <w:sz w:val="18"/>
              </w:rPr>
            </w:pPr>
            <w:r>
              <w:rPr>
                <w:color w:val="105C84"/>
                <w:spacing w:val="-2"/>
                <w:sz w:val="18"/>
              </w:rPr>
              <w:t>organizations</w:t>
            </w:r>
            <w:r>
              <w:rPr>
                <w:color w:val="105C84"/>
                <w:spacing w:val="40"/>
                <w:sz w:val="18"/>
              </w:rPr>
              <w:t> </w:t>
            </w:r>
            <w:r>
              <w:rPr>
                <w:color w:val="105C84"/>
                <w:sz w:val="18"/>
              </w:rPr>
              <w:t>to provide or co-sponsor a Youth and an Adult Mental Health First</w:t>
            </w:r>
            <w:r>
              <w:rPr>
                <w:color w:val="105C84"/>
                <w:spacing w:val="40"/>
                <w:sz w:val="18"/>
              </w:rPr>
              <w:t> </w:t>
            </w:r>
            <w:r>
              <w:rPr>
                <w:color w:val="105C84"/>
                <w:sz w:val="18"/>
              </w:rPr>
              <w:t>Aid training in </w:t>
            </w:r>
            <w:r>
              <w:rPr>
                <w:color w:val="105C84"/>
                <w:spacing w:val="-5"/>
                <w:sz w:val="18"/>
              </w:rPr>
              <w:t>Seneca </w:t>
            </w:r>
            <w:r>
              <w:rPr>
                <w:color w:val="105C84"/>
                <w:spacing w:val="-2"/>
                <w:sz w:val="18"/>
              </w:rPr>
              <w:t>County</w:t>
            </w:r>
          </w:p>
        </w:tc>
        <w:tc>
          <w:tcPr>
            <w:tcW w:w="2352" w:type="dxa"/>
          </w:tcPr>
          <w:p>
            <w:pPr>
              <w:pStyle w:val="TableParagraph"/>
              <w:spacing w:line="232" w:lineRule="auto" w:before="99"/>
              <w:ind w:left="101" w:right="104"/>
              <w:rPr>
                <w:sz w:val="18"/>
              </w:rPr>
            </w:pPr>
            <w:r>
              <w:rPr>
                <w:color w:val="105C84"/>
                <w:spacing w:val="-4"/>
                <w:sz w:val="18"/>
              </w:rPr>
              <w:t>Resources:</w:t>
            </w:r>
            <w:r>
              <w:rPr>
                <w:color w:val="105C84"/>
                <w:spacing w:val="-7"/>
                <w:sz w:val="18"/>
              </w:rPr>
              <w:t> </w:t>
            </w:r>
            <w:r>
              <w:rPr>
                <w:color w:val="105C84"/>
                <w:spacing w:val="-4"/>
                <w:sz w:val="18"/>
              </w:rPr>
              <w:t>Seneca</w:t>
            </w:r>
            <w:r>
              <w:rPr>
                <w:color w:val="105C84"/>
                <w:spacing w:val="-7"/>
                <w:sz w:val="18"/>
              </w:rPr>
              <w:t> </w:t>
            </w:r>
            <w:r>
              <w:rPr>
                <w:color w:val="105C84"/>
                <w:spacing w:val="-4"/>
                <w:sz w:val="18"/>
              </w:rPr>
              <w:t>County </w:t>
            </w:r>
            <w:r>
              <w:rPr>
                <w:color w:val="105C84"/>
                <w:sz w:val="18"/>
              </w:rPr>
              <w:t>United Way .25 FTE Seneca County SRPHE/ PHE</w:t>
            </w:r>
            <w:r>
              <w:rPr>
                <w:color w:val="105C84"/>
                <w:spacing w:val="-13"/>
                <w:sz w:val="18"/>
              </w:rPr>
              <w:t> </w:t>
            </w:r>
            <w:r>
              <w:rPr>
                <w:color w:val="105C84"/>
                <w:sz w:val="18"/>
              </w:rPr>
              <w:t>.10</w:t>
            </w:r>
            <w:r>
              <w:rPr>
                <w:color w:val="105C84"/>
                <w:spacing w:val="-12"/>
                <w:sz w:val="18"/>
              </w:rPr>
              <w:t> </w:t>
            </w:r>
            <w:r>
              <w:rPr>
                <w:color w:val="105C84"/>
                <w:sz w:val="18"/>
              </w:rPr>
              <w:t>FTE</w:t>
            </w:r>
            <w:r>
              <w:rPr>
                <w:color w:val="105C84"/>
                <w:spacing w:val="-13"/>
                <w:sz w:val="18"/>
              </w:rPr>
              <w:t> </w:t>
            </w:r>
            <w:r>
              <w:rPr>
                <w:color w:val="105C84"/>
                <w:sz w:val="18"/>
              </w:rPr>
              <w:t>each</w:t>
            </w:r>
            <w:r>
              <w:rPr>
                <w:color w:val="105C84"/>
                <w:spacing w:val="-12"/>
                <w:sz w:val="18"/>
              </w:rPr>
              <w:t> </w:t>
            </w:r>
            <w:r>
              <w:rPr>
                <w:color w:val="105C84"/>
                <w:sz w:val="18"/>
              </w:rPr>
              <w:t>To</w:t>
            </w:r>
            <w:r>
              <w:rPr>
                <w:color w:val="105C84"/>
                <w:spacing w:val="-13"/>
                <w:sz w:val="18"/>
              </w:rPr>
              <w:t> </w:t>
            </w:r>
            <w:r>
              <w:rPr>
                <w:color w:val="105C84"/>
                <w:sz w:val="18"/>
              </w:rPr>
              <w:t>offer routine Youth and Adult Mental Health First Aid </w:t>
            </w:r>
            <w:r>
              <w:rPr>
                <w:color w:val="105C84"/>
                <w:spacing w:val="-2"/>
                <w:sz w:val="18"/>
              </w:rPr>
              <w:t>trainings in Seneca </w:t>
            </w:r>
            <w:r>
              <w:rPr>
                <w:color w:val="105C84"/>
                <w:spacing w:val="-2"/>
                <w:sz w:val="18"/>
              </w:rPr>
              <w:t>County</w:t>
            </w:r>
          </w:p>
          <w:p>
            <w:pPr>
              <w:pStyle w:val="TableParagraph"/>
              <w:spacing w:line="232" w:lineRule="auto" w:before="85"/>
              <w:ind w:left="101" w:right="129"/>
              <w:rPr>
                <w:sz w:val="18"/>
              </w:rPr>
            </w:pPr>
            <w:r>
              <w:rPr>
                <w:color w:val="105C84"/>
                <w:sz w:val="18"/>
              </w:rPr>
              <w:t>To</w:t>
            </w:r>
            <w:r>
              <w:rPr>
                <w:color w:val="105C84"/>
                <w:spacing w:val="-11"/>
                <w:sz w:val="18"/>
              </w:rPr>
              <w:t> </w:t>
            </w:r>
            <w:r>
              <w:rPr>
                <w:color w:val="105C84"/>
                <w:sz w:val="18"/>
              </w:rPr>
              <w:t>train</w:t>
            </w:r>
            <w:r>
              <w:rPr>
                <w:color w:val="105C84"/>
                <w:spacing w:val="-11"/>
                <w:sz w:val="18"/>
              </w:rPr>
              <w:t> </w:t>
            </w:r>
            <w:r>
              <w:rPr>
                <w:color w:val="105C84"/>
                <w:sz w:val="18"/>
              </w:rPr>
              <w:t>at</w:t>
            </w:r>
            <w:r>
              <w:rPr>
                <w:color w:val="105C84"/>
                <w:spacing w:val="-11"/>
                <w:sz w:val="18"/>
              </w:rPr>
              <w:t> </w:t>
            </w:r>
            <w:r>
              <w:rPr>
                <w:color w:val="105C84"/>
                <w:sz w:val="18"/>
              </w:rPr>
              <w:t>least</w:t>
            </w:r>
            <w:r>
              <w:rPr>
                <w:color w:val="105C84"/>
                <w:spacing w:val="-11"/>
                <w:sz w:val="18"/>
              </w:rPr>
              <w:t> </w:t>
            </w:r>
            <w:r>
              <w:rPr>
                <w:color w:val="105C84"/>
                <w:sz w:val="18"/>
              </w:rPr>
              <w:t>50</w:t>
            </w:r>
            <w:r>
              <w:rPr>
                <w:color w:val="105C84"/>
                <w:spacing w:val="-11"/>
                <w:sz w:val="18"/>
              </w:rPr>
              <w:t> </w:t>
            </w:r>
            <w:r>
              <w:rPr>
                <w:color w:val="105C84"/>
                <w:sz w:val="18"/>
              </w:rPr>
              <w:t>people in either Youth and or Adult Mental Health First </w:t>
            </w:r>
            <w:r>
              <w:rPr>
                <w:color w:val="105C84"/>
                <w:spacing w:val="-4"/>
                <w:sz w:val="18"/>
              </w:rPr>
              <w:t>Aid</w:t>
            </w:r>
          </w:p>
          <w:p>
            <w:pPr>
              <w:pStyle w:val="TableParagraph"/>
              <w:spacing w:line="232" w:lineRule="auto" w:before="87"/>
              <w:ind w:left="101" w:right="104"/>
              <w:rPr>
                <w:sz w:val="18"/>
              </w:rPr>
            </w:pPr>
            <w:r>
              <w:rPr>
                <w:color w:val="105C84"/>
                <w:w w:val="105"/>
                <w:sz w:val="18"/>
              </w:rPr>
              <w:t>100%</w:t>
            </w:r>
            <w:r>
              <w:rPr>
                <w:color w:val="105C84"/>
                <w:spacing w:val="-14"/>
                <w:w w:val="105"/>
                <w:sz w:val="18"/>
              </w:rPr>
              <w:t> </w:t>
            </w:r>
            <w:r>
              <w:rPr>
                <w:color w:val="105C84"/>
                <w:w w:val="105"/>
                <w:sz w:val="18"/>
              </w:rPr>
              <w:t>of</w:t>
            </w:r>
            <w:r>
              <w:rPr>
                <w:color w:val="105C84"/>
                <w:spacing w:val="-13"/>
                <w:w w:val="105"/>
                <w:sz w:val="18"/>
              </w:rPr>
              <w:t> </w:t>
            </w:r>
            <w:r>
              <w:rPr>
                <w:color w:val="105C84"/>
                <w:w w:val="105"/>
                <w:sz w:val="18"/>
              </w:rPr>
              <w:t>those</w:t>
            </w:r>
            <w:r>
              <w:rPr>
                <w:color w:val="105C84"/>
                <w:spacing w:val="-13"/>
                <w:w w:val="105"/>
                <w:sz w:val="18"/>
              </w:rPr>
              <w:t> </w:t>
            </w:r>
            <w:r>
              <w:rPr>
                <w:color w:val="105C84"/>
                <w:w w:val="105"/>
                <w:sz w:val="18"/>
              </w:rPr>
              <w:t>trained</w:t>
            </w:r>
            <w:r>
              <w:rPr>
                <w:color w:val="105C84"/>
                <w:spacing w:val="-13"/>
                <w:w w:val="105"/>
                <w:sz w:val="18"/>
              </w:rPr>
              <w:t> </w:t>
            </w:r>
            <w:r>
              <w:rPr>
                <w:color w:val="105C84"/>
                <w:w w:val="105"/>
                <w:sz w:val="18"/>
              </w:rPr>
              <w:t>will </w:t>
            </w:r>
            <w:r>
              <w:rPr>
                <w:color w:val="105C84"/>
                <w:sz w:val="18"/>
              </w:rPr>
              <w:t>report</w:t>
            </w:r>
            <w:r>
              <w:rPr>
                <w:color w:val="105C84"/>
                <w:spacing w:val="-11"/>
                <w:sz w:val="18"/>
              </w:rPr>
              <w:t> </w:t>
            </w:r>
            <w:r>
              <w:rPr>
                <w:color w:val="105C84"/>
                <w:sz w:val="18"/>
              </w:rPr>
              <w:t>increase</w:t>
            </w:r>
            <w:r>
              <w:rPr>
                <w:color w:val="105C84"/>
                <w:spacing w:val="-11"/>
                <w:sz w:val="18"/>
              </w:rPr>
              <w:t> </w:t>
            </w:r>
            <w:r>
              <w:rPr>
                <w:color w:val="105C84"/>
                <w:sz w:val="18"/>
              </w:rPr>
              <w:t>knowledge in</w:t>
            </w:r>
            <w:r>
              <w:rPr>
                <w:color w:val="105C84"/>
                <w:spacing w:val="-3"/>
                <w:sz w:val="18"/>
              </w:rPr>
              <w:t> </w:t>
            </w:r>
            <w:r>
              <w:rPr>
                <w:color w:val="105C84"/>
                <w:sz w:val="18"/>
              </w:rPr>
              <w:t>how</w:t>
            </w:r>
            <w:r>
              <w:rPr>
                <w:color w:val="105C84"/>
                <w:spacing w:val="-3"/>
                <w:sz w:val="18"/>
              </w:rPr>
              <w:t> </w:t>
            </w:r>
            <w:r>
              <w:rPr>
                <w:color w:val="105C84"/>
                <w:sz w:val="18"/>
              </w:rPr>
              <w:t>and</w:t>
            </w:r>
            <w:r>
              <w:rPr>
                <w:color w:val="105C84"/>
                <w:spacing w:val="-3"/>
                <w:sz w:val="18"/>
              </w:rPr>
              <w:t> </w:t>
            </w:r>
            <w:r>
              <w:rPr>
                <w:color w:val="105C84"/>
                <w:sz w:val="18"/>
              </w:rPr>
              <w:t>where</w:t>
            </w:r>
            <w:r>
              <w:rPr>
                <w:color w:val="105C84"/>
                <w:spacing w:val="-3"/>
                <w:sz w:val="18"/>
              </w:rPr>
              <w:t> </w:t>
            </w:r>
            <w:r>
              <w:rPr>
                <w:color w:val="105C84"/>
                <w:sz w:val="18"/>
              </w:rPr>
              <w:t>to</w:t>
            </w:r>
            <w:r>
              <w:rPr>
                <w:color w:val="105C84"/>
                <w:spacing w:val="-3"/>
                <w:sz w:val="18"/>
              </w:rPr>
              <w:t> </w:t>
            </w:r>
            <w:r>
              <w:rPr>
                <w:color w:val="105C84"/>
                <w:sz w:val="18"/>
              </w:rPr>
              <w:t>make </w:t>
            </w:r>
            <w:r>
              <w:rPr>
                <w:color w:val="105C84"/>
                <w:w w:val="105"/>
                <w:sz w:val="18"/>
              </w:rPr>
              <w:t>appropriate referrals and increased knowledge of appropriate</w:t>
            </w:r>
            <w:r>
              <w:rPr>
                <w:color w:val="105C84"/>
                <w:spacing w:val="-14"/>
                <w:w w:val="105"/>
                <w:sz w:val="18"/>
              </w:rPr>
              <w:t> </w:t>
            </w:r>
            <w:r>
              <w:rPr>
                <w:color w:val="105C84"/>
                <w:w w:val="105"/>
                <w:sz w:val="18"/>
              </w:rPr>
              <w:t>mental</w:t>
            </w:r>
            <w:r>
              <w:rPr>
                <w:color w:val="105C84"/>
                <w:spacing w:val="-13"/>
                <w:w w:val="105"/>
                <w:sz w:val="18"/>
              </w:rPr>
              <w:t> </w:t>
            </w:r>
            <w:r>
              <w:rPr>
                <w:color w:val="105C84"/>
                <w:w w:val="105"/>
                <w:sz w:val="18"/>
              </w:rPr>
              <w:t>health first aid strategies</w:t>
            </w:r>
          </w:p>
        </w:tc>
        <w:tc>
          <w:tcPr>
            <w:tcW w:w="1495" w:type="dxa"/>
          </w:tcPr>
          <w:p>
            <w:pPr>
              <w:pStyle w:val="TableParagraph"/>
              <w:spacing w:before="94"/>
              <w:ind w:left="103"/>
              <w:rPr>
                <w:sz w:val="18"/>
              </w:rPr>
            </w:pPr>
            <w:r>
              <w:rPr>
                <w:color w:val="105C84"/>
                <w:spacing w:val="-2"/>
                <w:sz w:val="18"/>
              </w:rPr>
              <w:t>Faith</w:t>
            </w:r>
          </w:p>
        </w:tc>
        <w:tc>
          <w:tcPr>
            <w:tcW w:w="2988" w:type="dxa"/>
          </w:tcPr>
          <w:p>
            <w:pPr>
              <w:pStyle w:val="TableParagraph"/>
              <w:spacing w:line="232" w:lineRule="auto" w:before="99"/>
              <w:ind w:left="106" w:right="38"/>
              <w:rPr>
                <w:sz w:val="18"/>
              </w:rPr>
            </w:pPr>
            <w:r>
              <w:rPr>
                <w:color w:val="105C84"/>
                <w:sz w:val="18"/>
              </w:rPr>
              <w:t>.10 FTE from the Seneca County Health Department and .10 FTE from the Seneca County United </w:t>
            </w:r>
            <w:r>
              <w:rPr>
                <w:color w:val="105C84"/>
                <w:spacing w:val="-6"/>
                <w:sz w:val="18"/>
              </w:rPr>
              <w:t>Way and .05 FTE S2AY Rural </w:t>
            </w:r>
            <w:r>
              <w:rPr>
                <w:color w:val="105C84"/>
                <w:spacing w:val="-6"/>
                <w:sz w:val="18"/>
              </w:rPr>
              <w:t>Healt</w:t>
            </w:r>
            <w:r>
              <w:rPr>
                <w:color w:val="105C84"/>
                <w:spacing w:val="-6"/>
                <w:sz w:val="18"/>
              </w:rPr>
              <w:t>h</w:t>
            </w:r>
            <w:r>
              <w:rPr>
                <w:color w:val="105C84"/>
                <w:spacing w:val="-6"/>
                <w:sz w:val="18"/>
              </w:rPr>
              <w:t> </w:t>
            </w:r>
            <w:r>
              <w:rPr>
                <w:color w:val="105C84"/>
                <w:sz w:val="18"/>
              </w:rPr>
              <w:t>Network, Seneca County Health Department, Seneca County Community Counseling Services United Way &amp; Suicide Coalition </w:t>
            </w:r>
            <w:r>
              <w:rPr>
                <w:color w:val="105C84"/>
                <w:spacing w:val="-2"/>
                <w:sz w:val="18"/>
              </w:rPr>
              <w:t>members</w:t>
            </w:r>
          </w:p>
          <w:p>
            <w:pPr>
              <w:pStyle w:val="TableParagraph"/>
              <w:spacing w:line="232" w:lineRule="auto" w:before="83"/>
              <w:ind w:left="106" w:right="350"/>
              <w:rPr>
                <w:sz w:val="18"/>
              </w:rPr>
            </w:pPr>
            <w:r>
              <w:rPr>
                <w:color w:val="105C84"/>
                <w:sz w:val="18"/>
              </w:rPr>
              <w:t>The outreach sub-committee</w:t>
            </w:r>
            <w:r>
              <w:rPr>
                <w:color w:val="105C84"/>
                <w:spacing w:val="40"/>
                <w:sz w:val="18"/>
              </w:rPr>
              <w:t> </w:t>
            </w:r>
            <w:r>
              <w:rPr>
                <w:color w:val="105C84"/>
                <w:sz w:val="18"/>
              </w:rPr>
              <w:t>for the Seneca County Suicide Coalition and the Senior PH Educator will plan for an Adult Mental Health First Aid training to</w:t>
            </w:r>
            <w:r>
              <w:rPr>
                <w:color w:val="105C84"/>
                <w:spacing w:val="-2"/>
                <w:sz w:val="18"/>
              </w:rPr>
              <w:t> </w:t>
            </w:r>
            <w:r>
              <w:rPr>
                <w:color w:val="105C84"/>
                <w:sz w:val="18"/>
              </w:rPr>
              <w:t>be</w:t>
            </w:r>
            <w:r>
              <w:rPr>
                <w:color w:val="105C84"/>
                <w:spacing w:val="-2"/>
                <w:sz w:val="18"/>
              </w:rPr>
              <w:t> </w:t>
            </w:r>
            <w:r>
              <w:rPr>
                <w:color w:val="105C84"/>
                <w:sz w:val="18"/>
              </w:rPr>
              <w:t>held</w:t>
            </w:r>
            <w:r>
              <w:rPr>
                <w:color w:val="105C84"/>
                <w:spacing w:val="-2"/>
                <w:sz w:val="18"/>
              </w:rPr>
              <w:t> </w:t>
            </w:r>
            <w:r>
              <w:rPr>
                <w:color w:val="105C84"/>
                <w:sz w:val="18"/>
              </w:rPr>
              <w:t>in</w:t>
            </w:r>
            <w:r>
              <w:rPr>
                <w:color w:val="105C84"/>
                <w:spacing w:val="-2"/>
                <w:sz w:val="18"/>
              </w:rPr>
              <w:t> </w:t>
            </w:r>
            <w:r>
              <w:rPr>
                <w:color w:val="105C84"/>
                <w:sz w:val="18"/>
              </w:rPr>
              <w:t>Seneca</w:t>
            </w:r>
            <w:r>
              <w:rPr>
                <w:color w:val="105C84"/>
                <w:spacing w:val="-2"/>
                <w:sz w:val="18"/>
              </w:rPr>
              <w:t> </w:t>
            </w:r>
            <w:r>
              <w:rPr>
                <w:color w:val="105C84"/>
                <w:sz w:val="18"/>
              </w:rPr>
              <w:t>County</w:t>
            </w:r>
            <w:r>
              <w:rPr>
                <w:color w:val="105C84"/>
                <w:spacing w:val="-2"/>
                <w:sz w:val="18"/>
              </w:rPr>
              <w:t> </w:t>
            </w:r>
            <w:r>
              <w:rPr>
                <w:color w:val="105C84"/>
                <w:spacing w:val="-5"/>
                <w:sz w:val="18"/>
              </w:rPr>
              <w:t>for</w:t>
            </w:r>
          </w:p>
          <w:p>
            <w:pPr>
              <w:pStyle w:val="TableParagraph"/>
              <w:spacing w:line="232" w:lineRule="auto"/>
              <w:ind w:left="106"/>
              <w:rPr>
                <w:sz w:val="18"/>
              </w:rPr>
            </w:pPr>
            <w:r>
              <w:rPr>
                <w:color w:val="105C84"/>
                <w:sz w:val="18"/>
              </w:rPr>
              <w:t>members of the faith sector to </w:t>
            </w:r>
            <w:r>
              <w:rPr>
                <w:color w:val="105C84"/>
                <w:sz w:val="18"/>
              </w:rPr>
              <w:t>be trained in</w:t>
            </w:r>
            <w:r>
              <w:rPr>
                <w:color w:val="105C84"/>
                <w:spacing w:val="1"/>
                <w:sz w:val="18"/>
              </w:rPr>
              <w:t> </w:t>
            </w:r>
            <w:r>
              <w:rPr>
                <w:color w:val="105C84"/>
                <w:sz w:val="18"/>
              </w:rPr>
              <w:t>Mental</w:t>
            </w:r>
            <w:r>
              <w:rPr>
                <w:color w:val="105C84"/>
                <w:spacing w:val="1"/>
                <w:sz w:val="18"/>
              </w:rPr>
              <w:t> </w:t>
            </w:r>
            <w:r>
              <w:rPr>
                <w:color w:val="105C84"/>
                <w:sz w:val="18"/>
              </w:rPr>
              <w:t>Health</w:t>
            </w:r>
            <w:r>
              <w:rPr>
                <w:color w:val="105C84"/>
                <w:spacing w:val="1"/>
                <w:sz w:val="18"/>
              </w:rPr>
              <w:t> </w:t>
            </w:r>
            <w:r>
              <w:rPr>
                <w:color w:val="105C84"/>
                <w:sz w:val="18"/>
              </w:rPr>
              <w:t>First</w:t>
            </w:r>
            <w:r>
              <w:rPr>
                <w:color w:val="105C84"/>
                <w:spacing w:val="1"/>
                <w:sz w:val="18"/>
              </w:rPr>
              <w:t> </w:t>
            </w:r>
            <w:r>
              <w:rPr>
                <w:color w:val="105C84"/>
                <w:spacing w:val="-5"/>
                <w:sz w:val="18"/>
              </w:rPr>
              <w:t>Aid</w:t>
            </w:r>
          </w:p>
          <w:p>
            <w:pPr>
              <w:pStyle w:val="TableParagraph"/>
              <w:spacing w:line="232" w:lineRule="auto" w:before="83"/>
              <w:ind w:left="106"/>
              <w:rPr>
                <w:sz w:val="18"/>
              </w:rPr>
            </w:pPr>
            <w:r>
              <w:rPr>
                <w:color w:val="105C84"/>
                <w:sz w:val="18"/>
              </w:rPr>
              <w:t>Suicide</w:t>
            </w:r>
            <w:r>
              <w:rPr>
                <w:color w:val="105C84"/>
                <w:spacing w:val="-2"/>
                <w:sz w:val="18"/>
              </w:rPr>
              <w:t> </w:t>
            </w:r>
            <w:r>
              <w:rPr>
                <w:color w:val="105C84"/>
                <w:sz w:val="18"/>
              </w:rPr>
              <w:t>Coalition</w:t>
            </w:r>
            <w:r>
              <w:rPr>
                <w:color w:val="105C84"/>
                <w:spacing w:val="-2"/>
                <w:sz w:val="18"/>
              </w:rPr>
              <w:t> </w:t>
            </w:r>
            <w:r>
              <w:rPr>
                <w:color w:val="105C84"/>
                <w:sz w:val="18"/>
              </w:rPr>
              <w:t>and</w:t>
            </w:r>
            <w:r>
              <w:rPr>
                <w:color w:val="105C84"/>
                <w:spacing w:val="-2"/>
                <w:sz w:val="18"/>
              </w:rPr>
              <w:t> </w:t>
            </w:r>
            <w:r>
              <w:rPr>
                <w:color w:val="105C84"/>
                <w:sz w:val="18"/>
              </w:rPr>
              <w:t>the</w:t>
            </w:r>
            <w:r>
              <w:rPr>
                <w:color w:val="105C84"/>
                <w:spacing w:val="-2"/>
                <w:sz w:val="18"/>
              </w:rPr>
              <w:t> </w:t>
            </w:r>
            <w:r>
              <w:rPr>
                <w:color w:val="105C84"/>
                <w:sz w:val="18"/>
              </w:rPr>
              <w:t>United </w:t>
            </w:r>
            <w:r>
              <w:rPr>
                <w:color w:val="105C84"/>
                <w:w w:val="105"/>
                <w:sz w:val="18"/>
              </w:rPr>
              <w:t>Way will promote appropriate trainings for the community to increase</w:t>
            </w:r>
            <w:r>
              <w:rPr>
                <w:color w:val="105C84"/>
                <w:spacing w:val="-8"/>
                <w:w w:val="105"/>
                <w:sz w:val="18"/>
              </w:rPr>
              <w:t> </w:t>
            </w:r>
            <w:r>
              <w:rPr>
                <w:color w:val="105C84"/>
                <w:w w:val="105"/>
                <w:sz w:val="18"/>
              </w:rPr>
              <w:t>awareness</w:t>
            </w:r>
            <w:r>
              <w:rPr>
                <w:color w:val="105C84"/>
                <w:spacing w:val="-8"/>
                <w:w w:val="105"/>
                <w:sz w:val="18"/>
              </w:rPr>
              <w:t> </w:t>
            </w:r>
            <w:r>
              <w:rPr>
                <w:color w:val="105C84"/>
                <w:w w:val="105"/>
                <w:sz w:val="18"/>
              </w:rPr>
              <w:t>of</w:t>
            </w:r>
            <w:r>
              <w:rPr>
                <w:color w:val="105C84"/>
                <w:spacing w:val="-8"/>
                <w:w w:val="105"/>
                <w:sz w:val="18"/>
              </w:rPr>
              <w:t> </w:t>
            </w:r>
            <w:r>
              <w:rPr>
                <w:color w:val="105C84"/>
                <w:w w:val="105"/>
                <w:sz w:val="18"/>
              </w:rPr>
              <w:t>mental health and to decrease stigma</w:t>
            </w:r>
          </w:p>
        </w:tc>
      </w:tr>
      <w:tr>
        <w:trPr>
          <w:trHeight w:val="3930" w:hRule="atLeast"/>
        </w:trPr>
        <w:tc>
          <w:tcPr>
            <w:tcW w:w="1180" w:type="dxa"/>
            <w:vMerge/>
            <w:tcBorders>
              <w:top w:val="nil"/>
            </w:tcBorders>
            <w:shd w:val="clear" w:color="auto" w:fill="E6E7E8"/>
          </w:tcPr>
          <w:p>
            <w:pPr>
              <w:rPr>
                <w:sz w:val="2"/>
                <w:szCs w:val="2"/>
              </w:rPr>
            </w:pPr>
          </w:p>
        </w:tc>
        <w:tc>
          <w:tcPr>
            <w:tcW w:w="1324" w:type="dxa"/>
            <w:vMerge/>
            <w:tcBorders>
              <w:top w:val="nil"/>
            </w:tcBorders>
          </w:tcPr>
          <w:p>
            <w:pPr>
              <w:rPr>
                <w:sz w:val="2"/>
                <w:szCs w:val="2"/>
              </w:rPr>
            </w:pPr>
          </w:p>
        </w:tc>
        <w:tc>
          <w:tcPr>
            <w:tcW w:w="1266" w:type="dxa"/>
          </w:tcPr>
          <w:p>
            <w:pPr>
              <w:pStyle w:val="TableParagraph"/>
              <w:spacing w:line="232" w:lineRule="auto" w:before="99"/>
              <w:ind w:left="91" w:right="420"/>
              <w:rPr>
                <w:sz w:val="18"/>
              </w:rPr>
            </w:pPr>
            <w:r>
              <w:rPr>
                <w:color w:val="105C84"/>
                <w:sz w:val="18"/>
              </w:rPr>
              <w:t>Goal</w:t>
            </w:r>
            <w:r>
              <w:rPr>
                <w:color w:val="105C84"/>
                <w:spacing w:val="-13"/>
                <w:sz w:val="18"/>
              </w:rPr>
              <w:t> </w:t>
            </w:r>
            <w:r>
              <w:rPr>
                <w:color w:val="105C84"/>
                <w:sz w:val="18"/>
              </w:rPr>
              <w:t>2.2: </w:t>
            </w:r>
            <w:r>
              <w:rPr>
                <w:color w:val="105C84"/>
                <w:spacing w:val="-2"/>
                <w:sz w:val="18"/>
              </w:rPr>
              <w:t>Prevent opioid overdose deaths</w:t>
            </w:r>
          </w:p>
        </w:tc>
        <w:tc>
          <w:tcPr>
            <w:tcW w:w="1554" w:type="dxa"/>
          </w:tcPr>
          <w:p>
            <w:pPr>
              <w:pStyle w:val="TableParagraph"/>
              <w:spacing w:line="232" w:lineRule="auto" w:before="99"/>
              <w:ind w:left="92" w:right="81"/>
              <w:rPr>
                <w:sz w:val="18"/>
              </w:rPr>
            </w:pPr>
            <w:r>
              <w:rPr>
                <w:color w:val="105C84"/>
                <w:sz w:val="18"/>
              </w:rPr>
              <w:t>To reduce overdose</w:t>
            </w:r>
            <w:r>
              <w:rPr>
                <w:color w:val="105C84"/>
                <w:spacing w:val="-1"/>
                <w:sz w:val="18"/>
              </w:rPr>
              <w:t> </w:t>
            </w:r>
            <w:r>
              <w:rPr>
                <w:color w:val="105C84"/>
                <w:sz w:val="18"/>
              </w:rPr>
              <w:t>deaths involving any opioid, crude</w:t>
            </w:r>
            <w:r>
              <w:rPr>
                <w:color w:val="105C84"/>
                <w:spacing w:val="40"/>
                <w:sz w:val="18"/>
              </w:rPr>
              <w:t> </w:t>
            </w:r>
            <w:r>
              <w:rPr>
                <w:color w:val="105C84"/>
                <w:sz w:val="18"/>
              </w:rPr>
              <w:t>rate per 100,000 population -</w:t>
            </w:r>
            <w:r>
              <w:rPr>
                <w:color w:val="105C84"/>
                <w:spacing w:val="40"/>
                <w:sz w:val="18"/>
              </w:rPr>
              <w:t> </w:t>
            </w:r>
            <w:r>
              <w:rPr>
                <w:color w:val="105C84"/>
                <w:sz w:val="18"/>
              </w:rPr>
              <w:t>Aged 18-44 years in Seneca County</w:t>
            </w:r>
            <w:r>
              <w:rPr>
                <w:color w:val="105C84"/>
                <w:spacing w:val="-15"/>
                <w:sz w:val="18"/>
              </w:rPr>
              <w:t> </w:t>
            </w:r>
            <w:r>
              <w:rPr>
                <w:color w:val="105C84"/>
                <w:sz w:val="18"/>
              </w:rPr>
              <w:t>from</w:t>
            </w:r>
            <w:r>
              <w:rPr>
                <w:color w:val="105C84"/>
                <w:spacing w:val="-12"/>
                <w:sz w:val="18"/>
              </w:rPr>
              <w:t> </w:t>
            </w:r>
            <w:r>
              <w:rPr>
                <w:color w:val="105C84"/>
                <w:sz w:val="18"/>
              </w:rPr>
              <w:t>17.3</w:t>
            </w:r>
          </w:p>
          <w:p>
            <w:pPr>
              <w:pStyle w:val="TableParagraph"/>
              <w:spacing w:line="195" w:lineRule="exact"/>
              <w:ind w:left="92"/>
              <w:rPr>
                <w:sz w:val="18"/>
              </w:rPr>
            </w:pPr>
            <w:r>
              <w:rPr>
                <w:color w:val="105C84"/>
                <w:sz w:val="18"/>
              </w:rPr>
              <w:t>to</w:t>
            </w:r>
            <w:r>
              <w:rPr>
                <w:color w:val="105C84"/>
                <w:spacing w:val="12"/>
                <w:sz w:val="18"/>
              </w:rPr>
              <w:t> </w:t>
            </w:r>
            <w:r>
              <w:rPr>
                <w:color w:val="105C84"/>
                <w:spacing w:val="-4"/>
                <w:sz w:val="18"/>
              </w:rPr>
              <w:t>14.3</w:t>
            </w:r>
          </w:p>
        </w:tc>
        <w:tc>
          <w:tcPr>
            <w:tcW w:w="1064" w:type="dxa"/>
          </w:tcPr>
          <w:p>
            <w:pPr>
              <w:pStyle w:val="TableParagraph"/>
              <w:spacing w:line="232" w:lineRule="auto" w:before="98"/>
              <w:ind w:left="93" w:right="138"/>
              <w:rPr>
                <w:sz w:val="18"/>
              </w:rPr>
            </w:pPr>
            <w:r>
              <w:rPr>
                <w:color w:val="105C84"/>
                <w:spacing w:val="-2"/>
                <w:sz w:val="18"/>
              </w:rPr>
              <w:t>Uninsured </w:t>
            </w:r>
            <w:r>
              <w:rPr>
                <w:color w:val="105C84"/>
                <w:sz w:val="18"/>
              </w:rPr>
              <w:t>or no RX </w:t>
            </w:r>
            <w:r>
              <w:rPr>
                <w:color w:val="105C84"/>
                <w:spacing w:val="-2"/>
                <w:sz w:val="18"/>
              </w:rPr>
              <w:t>coverage</w:t>
            </w:r>
          </w:p>
        </w:tc>
        <w:tc>
          <w:tcPr>
            <w:tcW w:w="2050" w:type="dxa"/>
          </w:tcPr>
          <w:p>
            <w:pPr>
              <w:pStyle w:val="TableParagraph"/>
              <w:spacing w:line="232" w:lineRule="auto" w:before="98"/>
              <w:ind w:left="95" w:right="226"/>
              <w:rPr>
                <w:sz w:val="18"/>
              </w:rPr>
            </w:pPr>
            <w:r>
              <w:rPr>
                <w:color w:val="105C84"/>
                <w:sz w:val="18"/>
              </w:rPr>
              <w:t>2.2.2 Increase </w:t>
            </w:r>
            <w:r>
              <w:rPr>
                <w:color w:val="105C84"/>
                <w:spacing w:val="-2"/>
                <w:sz w:val="18"/>
              </w:rPr>
              <w:t>availability</w:t>
            </w:r>
            <w:r>
              <w:rPr>
                <w:color w:val="105C84"/>
                <w:spacing w:val="-10"/>
                <w:sz w:val="18"/>
              </w:rPr>
              <w:t> </w:t>
            </w:r>
            <w:r>
              <w:rPr>
                <w:color w:val="105C84"/>
                <w:spacing w:val="-2"/>
                <w:sz w:val="18"/>
              </w:rPr>
              <w:t>of/acces</w:t>
            </w:r>
            <w:r>
              <w:rPr>
                <w:color w:val="105C84"/>
                <w:spacing w:val="-2"/>
                <w:sz w:val="18"/>
              </w:rPr>
              <w:t>s</w:t>
            </w:r>
            <w:r>
              <w:rPr>
                <w:color w:val="105C84"/>
                <w:spacing w:val="-2"/>
                <w:sz w:val="18"/>
              </w:rPr>
              <w:t> </w:t>
            </w:r>
            <w:r>
              <w:rPr>
                <w:color w:val="105C84"/>
                <w:sz w:val="18"/>
              </w:rPr>
              <w:t>to</w:t>
            </w:r>
            <w:r>
              <w:rPr>
                <w:color w:val="105C84"/>
                <w:spacing w:val="-15"/>
                <w:sz w:val="18"/>
              </w:rPr>
              <w:t> </w:t>
            </w:r>
            <w:r>
              <w:rPr>
                <w:color w:val="105C84"/>
                <w:sz w:val="18"/>
              </w:rPr>
              <w:t>overdose</w:t>
            </w:r>
            <w:r>
              <w:rPr>
                <w:color w:val="105C84"/>
                <w:spacing w:val="-12"/>
                <w:sz w:val="18"/>
              </w:rPr>
              <w:t> </w:t>
            </w:r>
            <w:r>
              <w:rPr>
                <w:color w:val="105C84"/>
                <w:sz w:val="18"/>
              </w:rPr>
              <w:t>reversal (Naloxone)</w:t>
            </w:r>
            <w:r>
              <w:rPr>
                <w:color w:val="105C84"/>
                <w:spacing w:val="-13"/>
                <w:sz w:val="18"/>
              </w:rPr>
              <w:t> </w:t>
            </w:r>
            <w:r>
              <w:rPr>
                <w:color w:val="105C84"/>
                <w:sz w:val="18"/>
              </w:rPr>
              <w:t>trainings to prescribers, pharmacists and </w:t>
            </w:r>
            <w:r>
              <w:rPr>
                <w:color w:val="105C84"/>
                <w:spacing w:val="-2"/>
                <w:sz w:val="18"/>
              </w:rPr>
              <w:t>consumers</w:t>
            </w:r>
          </w:p>
        </w:tc>
        <w:tc>
          <w:tcPr>
            <w:tcW w:w="5614" w:type="dxa"/>
          </w:tcPr>
          <w:p>
            <w:pPr>
              <w:pStyle w:val="TableParagraph"/>
              <w:tabs>
                <w:tab w:pos="3794" w:val="left" w:leader="none"/>
              </w:tabs>
              <w:spacing w:line="203" w:lineRule="exact" w:before="93"/>
              <w:ind w:left="97"/>
              <w:rPr>
                <w:sz w:val="18"/>
              </w:rPr>
            </w:pPr>
            <w:r>
              <w:rPr>
                <w:color w:val="105C84"/>
                <w:spacing w:val="-2"/>
                <w:sz w:val="18"/>
              </w:rPr>
              <w:t>#</w:t>
            </w:r>
            <w:r>
              <w:rPr>
                <w:color w:val="105C84"/>
                <w:spacing w:val="-7"/>
                <w:sz w:val="18"/>
              </w:rPr>
              <w:t> </w:t>
            </w:r>
            <w:r>
              <w:rPr>
                <w:color w:val="105C84"/>
                <w:spacing w:val="-2"/>
                <w:sz w:val="18"/>
              </w:rPr>
              <w:t>Narcan</w:t>
            </w:r>
            <w:r>
              <w:rPr>
                <w:color w:val="105C84"/>
                <w:spacing w:val="-7"/>
                <w:sz w:val="18"/>
              </w:rPr>
              <w:t> </w:t>
            </w:r>
            <w:r>
              <w:rPr>
                <w:color w:val="105C84"/>
                <w:spacing w:val="-2"/>
                <w:sz w:val="18"/>
              </w:rPr>
              <w:t>trainings</w:t>
            </w:r>
            <w:r>
              <w:rPr>
                <w:color w:val="105C84"/>
                <w:sz w:val="18"/>
              </w:rPr>
              <w:tab/>
              <w:t>4</w:t>
            </w:r>
            <w:r>
              <w:rPr>
                <w:color w:val="105C84"/>
                <w:spacing w:val="-10"/>
                <w:sz w:val="18"/>
              </w:rPr>
              <w:t> </w:t>
            </w:r>
            <w:r>
              <w:rPr>
                <w:color w:val="105C84"/>
                <w:sz w:val="18"/>
              </w:rPr>
              <w:t>Nalaxone</w:t>
            </w:r>
            <w:r>
              <w:rPr>
                <w:color w:val="105C84"/>
                <w:spacing w:val="-7"/>
                <w:sz w:val="18"/>
              </w:rPr>
              <w:t> </w:t>
            </w:r>
            <w:r>
              <w:rPr>
                <w:color w:val="105C84"/>
                <w:spacing w:val="-2"/>
                <w:sz w:val="18"/>
              </w:rPr>
              <w:t>Trainings</w:t>
            </w:r>
          </w:p>
          <w:p>
            <w:pPr>
              <w:pStyle w:val="TableParagraph"/>
              <w:tabs>
                <w:tab w:pos="3794" w:val="left" w:leader="none"/>
              </w:tabs>
              <w:spacing w:line="200" w:lineRule="exact"/>
              <w:ind w:left="97"/>
              <w:rPr>
                <w:sz w:val="18"/>
              </w:rPr>
            </w:pPr>
            <w:r>
              <w:rPr>
                <w:color w:val="105C84"/>
                <w:spacing w:val="-2"/>
                <w:w w:val="105"/>
                <w:sz w:val="18"/>
              </w:rPr>
              <w:t>provided</w:t>
            </w:r>
            <w:r>
              <w:rPr>
                <w:color w:val="105C84"/>
                <w:sz w:val="18"/>
              </w:rPr>
              <w:tab/>
            </w:r>
            <w:r>
              <w:rPr>
                <w:color w:val="105C84"/>
                <w:w w:val="105"/>
                <w:sz w:val="18"/>
              </w:rPr>
              <w:t>will</w:t>
            </w:r>
            <w:r>
              <w:rPr>
                <w:color w:val="105C84"/>
                <w:spacing w:val="-12"/>
                <w:w w:val="105"/>
                <w:sz w:val="18"/>
              </w:rPr>
              <w:t> </w:t>
            </w:r>
            <w:r>
              <w:rPr>
                <w:color w:val="105C84"/>
                <w:w w:val="105"/>
                <w:sz w:val="18"/>
              </w:rPr>
              <w:t>be</w:t>
            </w:r>
            <w:r>
              <w:rPr>
                <w:color w:val="105C84"/>
                <w:spacing w:val="-11"/>
                <w:w w:val="105"/>
                <w:sz w:val="18"/>
              </w:rPr>
              <w:t> </w:t>
            </w:r>
            <w:r>
              <w:rPr>
                <w:color w:val="105C84"/>
                <w:spacing w:val="-2"/>
                <w:w w:val="105"/>
                <w:sz w:val="18"/>
              </w:rPr>
              <w:t>provided</w:t>
            </w:r>
          </w:p>
          <w:p>
            <w:pPr>
              <w:pStyle w:val="TableParagraph"/>
              <w:tabs>
                <w:tab w:pos="3794" w:val="left" w:leader="none"/>
              </w:tabs>
              <w:spacing w:line="245" w:lineRule="exact"/>
              <w:ind w:left="97"/>
              <w:rPr>
                <w:position w:val="9"/>
                <w:sz w:val="18"/>
              </w:rPr>
            </w:pPr>
            <w:r>
              <w:rPr>
                <w:color w:val="105C84"/>
                <w:sz w:val="18"/>
              </w:rPr>
              <w:t>#</w:t>
            </w:r>
            <w:r>
              <w:rPr>
                <w:color w:val="105C84"/>
                <w:spacing w:val="6"/>
                <w:sz w:val="18"/>
              </w:rPr>
              <w:t> </w:t>
            </w:r>
            <w:r>
              <w:rPr>
                <w:color w:val="105C84"/>
                <w:sz w:val="18"/>
              </w:rPr>
              <w:t>people</w:t>
            </w:r>
            <w:r>
              <w:rPr>
                <w:color w:val="105C84"/>
                <w:spacing w:val="6"/>
                <w:sz w:val="18"/>
              </w:rPr>
              <w:t> </w:t>
            </w:r>
            <w:r>
              <w:rPr>
                <w:color w:val="105C84"/>
                <w:sz w:val="18"/>
              </w:rPr>
              <w:t>trained</w:t>
            </w:r>
            <w:r>
              <w:rPr>
                <w:color w:val="105C84"/>
                <w:spacing w:val="7"/>
                <w:sz w:val="18"/>
              </w:rPr>
              <w:t> </w:t>
            </w:r>
            <w:r>
              <w:rPr>
                <w:color w:val="105C84"/>
                <w:spacing w:val="-5"/>
                <w:sz w:val="18"/>
              </w:rPr>
              <w:t>to</w:t>
            </w:r>
            <w:r>
              <w:rPr>
                <w:color w:val="105C84"/>
                <w:sz w:val="18"/>
              </w:rPr>
              <w:tab/>
            </w:r>
            <w:r>
              <w:rPr>
                <w:color w:val="105C84"/>
                <w:position w:val="9"/>
                <w:sz w:val="18"/>
              </w:rPr>
              <w:t>by</w:t>
            </w:r>
            <w:r>
              <w:rPr>
                <w:color w:val="105C84"/>
                <w:spacing w:val="-10"/>
                <w:position w:val="9"/>
                <w:sz w:val="18"/>
              </w:rPr>
              <w:t> </w:t>
            </w:r>
            <w:r>
              <w:rPr>
                <w:color w:val="105C84"/>
                <w:position w:val="9"/>
                <w:sz w:val="18"/>
              </w:rPr>
              <w:t>SCDOH</w:t>
            </w:r>
            <w:r>
              <w:rPr>
                <w:color w:val="105C84"/>
                <w:spacing w:val="-10"/>
                <w:position w:val="9"/>
                <w:sz w:val="18"/>
              </w:rPr>
              <w:t> </w:t>
            </w:r>
            <w:r>
              <w:rPr>
                <w:color w:val="105C84"/>
                <w:spacing w:val="-2"/>
                <w:position w:val="9"/>
                <w:sz w:val="18"/>
              </w:rPr>
              <w:t>staff;</w:t>
            </w:r>
          </w:p>
          <w:p>
            <w:pPr>
              <w:pStyle w:val="TableParagraph"/>
              <w:tabs>
                <w:tab w:pos="3794" w:val="left" w:leader="none"/>
              </w:tabs>
              <w:spacing w:line="127" w:lineRule="auto" w:before="31"/>
              <w:ind w:left="3794" w:right="497" w:hanging="3698"/>
              <w:rPr>
                <w:sz w:val="18"/>
              </w:rPr>
            </w:pPr>
            <w:r>
              <w:rPr>
                <w:color w:val="105C84"/>
                <w:sz w:val="18"/>
              </w:rPr>
              <w:t>administer Narcan</w:t>
              <w:tab/>
            </w:r>
            <w:r>
              <w:rPr>
                <w:color w:val="105C84"/>
                <w:position w:val="9"/>
                <w:sz w:val="18"/>
              </w:rPr>
              <w:t>reaching</w:t>
            </w:r>
            <w:r>
              <w:rPr>
                <w:color w:val="105C84"/>
                <w:spacing w:val="-15"/>
                <w:position w:val="9"/>
                <w:sz w:val="18"/>
              </w:rPr>
              <w:t> </w:t>
            </w:r>
            <w:r>
              <w:rPr>
                <w:color w:val="105C84"/>
                <w:position w:val="9"/>
                <w:sz w:val="18"/>
              </w:rPr>
              <w:t>at</w:t>
            </w:r>
            <w:r>
              <w:rPr>
                <w:color w:val="105C84"/>
                <w:spacing w:val="-12"/>
                <w:position w:val="9"/>
                <w:sz w:val="18"/>
              </w:rPr>
              <w:t> </w:t>
            </w:r>
            <w:r>
              <w:rPr>
                <w:color w:val="105C84"/>
                <w:position w:val="9"/>
                <w:sz w:val="18"/>
              </w:rPr>
              <w:t>least </w:t>
            </w:r>
            <w:r>
              <w:rPr>
                <w:color w:val="105C84"/>
                <w:sz w:val="18"/>
              </w:rPr>
              <w:t>30 people</w:t>
            </w:r>
          </w:p>
          <w:p>
            <w:pPr>
              <w:pStyle w:val="TableParagraph"/>
              <w:spacing w:line="150" w:lineRule="exact"/>
              <w:ind w:left="97"/>
              <w:rPr>
                <w:sz w:val="18"/>
              </w:rPr>
            </w:pPr>
            <w:r>
              <w:rPr>
                <w:color w:val="105C84"/>
                <w:sz w:val="18"/>
              </w:rPr>
              <w:t>%</w:t>
            </w:r>
            <w:r>
              <w:rPr>
                <w:color w:val="105C84"/>
                <w:spacing w:val="-6"/>
                <w:sz w:val="18"/>
              </w:rPr>
              <w:t> </w:t>
            </w:r>
            <w:r>
              <w:rPr>
                <w:color w:val="105C84"/>
                <w:sz w:val="18"/>
              </w:rPr>
              <w:t>of</w:t>
            </w:r>
            <w:r>
              <w:rPr>
                <w:color w:val="105C84"/>
                <w:spacing w:val="-5"/>
                <w:sz w:val="18"/>
              </w:rPr>
              <w:t> </w:t>
            </w:r>
            <w:r>
              <w:rPr>
                <w:color w:val="105C84"/>
                <w:sz w:val="18"/>
              </w:rPr>
              <w:t>those</w:t>
            </w:r>
            <w:r>
              <w:rPr>
                <w:color w:val="105C84"/>
                <w:spacing w:val="-5"/>
                <w:sz w:val="18"/>
              </w:rPr>
              <w:t> </w:t>
            </w:r>
            <w:r>
              <w:rPr>
                <w:color w:val="105C84"/>
                <w:spacing w:val="-2"/>
                <w:sz w:val="18"/>
              </w:rPr>
              <w:t>trained</w:t>
            </w:r>
          </w:p>
          <w:p>
            <w:pPr>
              <w:pStyle w:val="TableParagraph"/>
              <w:tabs>
                <w:tab w:pos="3794" w:val="left" w:leader="none"/>
              </w:tabs>
              <w:spacing w:line="148" w:lineRule="auto"/>
              <w:ind w:left="97"/>
              <w:rPr>
                <w:sz w:val="18"/>
              </w:rPr>
            </w:pPr>
            <w:r>
              <w:rPr>
                <w:color w:val="105C84"/>
                <w:position w:val="-8"/>
                <w:sz w:val="18"/>
              </w:rPr>
              <w:t>indicating</w:t>
            </w:r>
            <w:r>
              <w:rPr>
                <w:color w:val="105C84"/>
                <w:spacing w:val="22"/>
                <w:position w:val="-8"/>
                <w:sz w:val="18"/>
              </w:rPr>
              <w:t> </w:t>
            </w:r>
            <w:r>
              <w:rPr>
                <w:color w:val="105C84"/>
                <w:spacing w:val="-2"/>
                <w:position w:val="-8"/>
                <w:sz w:val="18"/>
              </w:rPr>
              <w:t>increase</w:t>
            </w:r>
            <w:r>
              <w:rPr>
                <w:color w:val="105C84"/>
                <w:position w:val="-8"/>
                <w:sz w:val="18"/>
              </w:rPr>
              <w:tab/>
            </w:r>
            <w:r>
              <w:rPr>
                <w:color w:val="105C84"/>
                <w:sz w:val="18"/>
              </w:rPr>
              <w:t>After</w:t>
            </w:r>
            <w:r>
              <w:rPr>
                <w:color w:val="105C84"/>
                <w:spacing w:val="10"/>
                <w:sz w:val="18"/>
              </w:rPr>
              <w:t> </w:t>
            </w:r>
            <w:r>
              <w:rPr>
                <w:color w:val="105C84"/>
                <w:sz w:val="18"/>
              </w:rPr>
              <w:t>training,</w:t>
            </w:r>
            <w:r>
              <w:rPr>
                <w:color w:val="105C84"/>
                <w:spacing w:val="10"/>
                <w:sz w:val="18"/>
              </w:rPr>
              <w:t> </w:t>
            </w:r>
            <w:r>
              <w:rPr>
                <w:color w:val="105C84"/>
                <w:spacing w:val="-4"/>
                <w:sz w:val="18"/>
              </w:rPr>
              <w:t>100%</w:t>
            </w:r>
          </w:p>
          <w:p>
            <w:pPr>
              <w:pStyle w:val="TableParagraph"/>
              <w:tabs>
                <w:tab w:pos="3794" w:val="left" w:leader="none"/>
              </w:tabs>
              <w:spacing w:line="148" w:lineRule="auto"/>
              <w:ind w:left="97"/>
              <w:rPr>
                <w:sz w:val="18"/>
              </w:rPr>
            </w:pPr>
            <w:r>
              <w:rPr>
                <w:color w:val="105C84"/>
                <w:spacing w:val="-2"/>
                <w:position w:val="-8"/>
                <w:sz w:val="18"/>
              </w:rPr>
              <w:t>knowledge</w:t>
            </w:r>
            <w:r>
              <w:rPr>
                <w:color w:val="105C84"/>
                <w:position w:val="-8"/>
                <w:sz w:val="18"/>
              </w:rPr>
              <w:tab/>
            </w:r>
            <w:r>
              <w:rPr>
                <w:color w:val="105C84"/>
                <w:sz w:val="18"/>
              </w:rPr>
              <w:t>of</w:t>
            </w:r>
            <w:r>
              <w:rPr>
                <w:color w:val="105C84"/>
                <w:spacing w:val="3"/>
                <w:sz w:val="18"/>
              </w:rPr>
              <w:t> </w:t>
            </w:r>
            <w:r>
              <w:rPr>
                <w:color w:val="105C84"/>
                <w:sz w:val="18"/>
              </w:rPr>
              <w:t>those</w:t>
            </w:r>
            <w:r>
              <w:rPr>
                <w:color w:val="105C84"/>
                <w:spacing w:val="3"/>
                <w:sz w:val="18"/>
              </w:rPr>
              <w:t> </w:t>
            </w:r>
            <w:r>
              <w:rPr>
                <w:color w:val="105C84"/>
                <w:sz w:val="18"/>
              </w:rPr>
              <w:t>trained</w:t>
            </w:r>
            <w:r>
              <w:rPr>
                <w:color w:val="105C84"/>
                <w:spacing w:val="3"/>
                <w:sz w:val="18"/>
              </w:rPr>
              <w:t> </w:t>
            </w:r>
            <w:r>
              <w:rPr>
                <w:color w:val="105C84"/>
                <w:spacing w:val="-4"/>
                <w:sz w:val="18"/>
              </w:rPr>
              <w:t>will</w:t>
            </w:r>
          </w:p>
          <w:p>
            <w:pPr>
              <w:pStyle w:val="TableParagraph"/>
              <w:spacing w:line="155" w:lineRule="exact"/>
              <w:ind w:left="3794"/>
              <w:rPr>
                <w:sz w:val="18"/>
              </w:rPr>
            </w:pPr>
            <w:r>
              <w:rPr>
                <w:color w:val="105C84"/>
                <w:sz w:val="18"/>
              </w:rPr>
              <w:t>indicate</w:t>
            </w:r>
            <w:r>
              <w:rPr>
                <w:color w:val="105C84"/>
                <w:spacing w:val="-2"/>
                <w:sz w:val="18"/>
              </w:rPr>
              <w:t> </w:t>
            </w:r>
            <w:r>
              <w:rPr>
                <w:color w:val="105C84"/>
                <w:sz w:val="18"/>
              </w:rPr>
              <w:t>an</w:t>
            </w:r>
            <w:r>
              <w:rPr>
                <w:color w:val="105C84"/>
                <w:spacing w:val="-2"/>
                <w:sz w:val="18"/>
              </w:rPr>
              <w:t> increase</w:t>
            </w:r>
          </w:p>
          <w:p>
            <w:pPr>
              <w:pStyle w:val="TableParagraph"/>
              <w:spacing w:line="232" w:lineRule="auto"/>
              <w:ind w:left="3794" w:right="149"/>
              <w:rPr>
                <w:sz w:val="18"/>
              </w:rPr>
            </w:pPr>
            <w:r>
              <w:rPr>
                <w:color w:val="105C84"/>
                <w:sz w:val="18"/>
              </w:rPr>
              <w:t>in</w:t>
            </w:r>
            <w:r>
              <w:rPr>
                <w:color w:val="105C84"/>
                <w:spacing w:val="-3"/>
                <w:sz w:val="18"/>
              </w:rPr>
              <w:t> </w:t>
            </w:r>
            <w:r>
              <w:rPr>
                <w:color w:val="105C84"/>
                <w:sz w:val="18"/>
              </w:rPr>
              <w:t>knowledge</w:t>
            </w:r>
            <w:r>
              <w:rPr>
                <w:color w:val="105C84"/>
                <w:spacing w:val="-3"/>
                <w:sz w:val="18"/>
              </w:rPr>
              <w:t> </w:t>
            </w:r>
            <w:r>
              <w:rPr>
                <w:color w:val="105C84"/>
                <w:sz w:val="18"/>
              </w:rPr>
              <w:t>of</w:t>
            </w:r>
            <w:r>
              <w:rPr>
                <w:color w:val="105C84"/>
                <w:spacing w:val="-3"/>
                <w:sz w:val="18"/>
              </w:rPr>
              <w:t> </w:t>
            </w:r>
            <w:r>
              <w:rPr>
                <w:color w:val="105C84"/>
                <w:sz w:val="18"/>
              </w:rPr>
              <w:t>how to recognize an OD and how to properly administer narcan</w:t>
            </w:r>
            <w:r>
              <w:rPr>
                <w:color w:val="105C84"/>
                <w:spacing w:val="40"/>
                <w:sz w:val="18"/>
              </w:rPr>
              <w:t> </w:t>
            </w:r>
            <w:r>
              <w:rPr>
                <w:color w:val="105C84"/>
                <w:sz w:val="18"/>
              </w:rPr>
              <w:t>for a suspected </w:t>
            </w:r>
            <w:r>
              <w:rPr>
                <w:color w:val="105C84"/>
                <w:spacing w:val="-2"/>
                <w:sz w:val="18"/>
              </w:rPr>
              <w:t>overdose</w:t>
            </w:r>
          </w:p>
          <w:p>
            <w:pPr>
              <w:pStyle w:val="TableParagraph"/>
              <w:spacing w:line="232" w:lineRule="auto" w:before="50"/>
              <w:ind w:left="3794"/>
              <w:rPr>
                <w:sz w:val="18"/>
              </w:rPr>
            </w:pPr>
            <w:r>
              <w:rPr>
                <w:color w:val="105C84"/>
                <w:sz w:val="18"/>
              </w:rPr>
              <w:t>Narcan training to be offered</w:t>
            </w:r>
            <w:r>
              <w:rPr>
                <w:color w:val="105C84"/>
                <w:spacing w:val="-8"/>
                <w:sz w:val="18"/>
              </w:rPr>
              <w:t> </w:t>
            </w:r>
            <w:r>
              <w:rPr>
                <w:color w:val="105C84"/>
                <w:sz w:val="18"/>
              </w:rPr>
              <w:t>to</w:t>
            </w:r>
            <w:r>
              <w:rPr>
                <w:color w:val="105C84"/>
                <w:spacing w:val="-8"/>
                <w:sz w:val="18"/>
              </w:rPr>
              <w:t> </w:t>
            </w:r>
            <w:r>
              <w:rPr>
                <w:color w:val="105C84"/>
                <w:sz w:val="18"/>
              </w:rPr>
              <w:t>FQHC</w:t>
            </w:r>
            <w:r>
              <w:rPr>
                <w:color w:val="105C84"/>
                <w:spacing w:val="-8"/>
                <w:sz w:val="18"/>
              </w:rPr>
              <w:t> </w:t>
            </w:r>
            <w:r>
              <w:rPr>
                <w:color w:val="105C84"/>
                <w:sz w:val="18"/>
              </w:rPr>
              <w:t>staff at Ovid Community </w:t>
            </w:r>
            <w:r>
              <w:rPr>
                <w:color w:val="105C84"/>
                <w:spacing w:val="-2"/>
                <w:sz w:val="18"/>
              </w:rPr>
              <w:t>Health</w:t>
            </w:r>
          </w:p>
        </w:tc>
        <w:tc>
          <w:tcPr>
            <w:tcW w:w="1402" w:type="dxa"/>
          </w:tcPr>
          <w:p>
            <w:pPr>
              <w:pStyle w:val="TableParagraph"/>
              <w:spacing w:line="232" w:lineRule="auto" w:before="98"/>
              <w:ind w:left="99" w:right="160"/>
              <w:rPr>
                <w:sz w:val="18"/>
              </w:rPr>
            </w:pPr>
            <w:r>
              <w:rPr>
                <w:color w:val="105C84"/>
                <w:sz w:val="18"/>
              </w:rPr>
              <w:t>To provide </w:t>
            </w:r>
            <w:r>
              <w:rPr>
                <w:color w:val="105C84"/>
                <w:spacing w:val="-2"/>
                <w:sz w:val="18"/>
              </w:rPr>
              <w:t>Narcan Administration </w:t>
            </w:r>
            <w:r>
              <w:rPr>
                <w:color w:val="105C84"/>
                <w:sz w:val="18"/>
              </w:rPr>
              <w:t>and training</w:t>
            </w:r>
            <w:r>
              <w:rPr>
                <w:color w:val="105C84"/>
                <w:spacing w:val="80"/>
                <w:sz w:val="18"/>
              </w:rPr>
              <w:t> </w:t>
            </w:r>
            <w:r>
              <w:rPr>
                <w:color w:val="105C84"/>
                <w:sz w:val="18"/>
              </w:rPr>
              <w:t>to 100% of</w:t>
            </w:r>
          </w:p>
          <w:p>
            <w:pPr>
              <w:pStyle w:val="TableParagraph"/>
              <w:spacing w:line="232" w:lineRule="auto"/>
              <w:ind w:left="99" w:right="74"/>
              <w:rPr>
                <w:sz w:val="18"/>
              </w:rPr>
            </w:pPr>
            <w:r>
              <w:rPr>
                <w:color w:val="105C84"/>
                <w:spacing w:val="-2"/>
                <w:sz w:val="18"/>
              </w:rPr>
              <w:t>Seneca</w:t>
            </w:r>
            <w:r>
              <w:rPr>
                <w:color w:val="105C84"/>
                <w:spacing w:val="-11"/>
                <w:sz w:val="18"/>
              </w:rPr>
              <w:t> </w:t>
            </w:r>
            <w:r>
              <w:rPr>
                <w:color w:val="105C84"/>
                <w:spacing w:val="-2"/>
                <w:sz w:val="18"/>
              </w:rPr>
              <w:t>County </w:t>
            </w:r>
            <w:r>
              <w:rPr>
                <w:color w:val="105C84"/>
                <w:sz w:val="18"/>
              </w:rPr>
              <w:t>School RNs and to all</w:t>
            </w:r>
            <w:r>
              <w:rPr>
                <w:color w:val="105C84"/>
                <w:spacing w:val="40"/>
                <w:sz w:val="18"/>
              </w:rPr>
              <w:t> </w:t>
            </w:r>
            <w:r>
              <w:rPr>
                <w:color w:val="105C84"/>
                <w:sz w:val="18"/>
              </w:rPr>
              <w:t>public</w:t>
            </w:r>
            <w:r>
              <w:rPr>
                <w:color w:val="105C84"/>
                <w:spacing w:val="-13"/>
                <w:sz w:val="18"/>
              </w:rPr>
              <w:t> </w:t>
            </w:r>
            <w:r>
              <w:rPr>
                <w:color w:val="105C84"/>
                <w:sz w:val="18"/>
              </w:rPr>
              <w:t>Libraries in Seneca </w:t>
            </w:r>
            <w:r>
              <w:rPr>
                <w:color w:val="105C84"/>
                <w:spacing w:val="-2"/>
                <w:sz w:val="18"/>
              </w:rPr>
              <w:t>County</w:t>
            </w:r>
          </w:p>
          <w:p>
            <w:pPr>
              <w:pStyle w:val="TableParagraph"/>
              <w:spacing w:line="232" w:lineRule="auto" w:before="81"/>
              <w:ind w:left="99" w:right="65"/>
              <w:rPr>
                <w:sz w:val="18"/>
              </w:rPr>
            </w:pPr>
            <w:r>
              <w:rPr>
                <w:color w:val="105C84"/>
                <w:sz w:val="18"/>
              </w:rPr>
              <w:t>To provide Narcan</w:t>
            </w:r>
            <w:r>
              <w:rPr>
                <w:color w:val="105C84"/>
                <w:spacing w:val="-13"/>
                <w:sz w:val="18"/>
              </w:rPr>
              <w:t> </w:t>
            </w:r>
            <w:r>
              <w:rPr>
                <w:color w:val="105C84"/>
                <w:sz w:val="18"/>
              </w:rPr>
              <w:t>training for at least</w:t>
            </w:r>
          </w:p>
          <w:p>
            <w:pPr>
              <w:pStyle w:val="TableParagraph"/>
              <w:spacing w:line="232" w:lineRule="auto"/>
              <w:ind w:left="99" w:right="135"/>
              <w:rPr>
                <w:sz w:val="18"/>
              </w:rPr>
            </w:pPr>
            <w:r>
              <w:rPr>
                <w:color w:val="105C84"/>
                <w:sz w:val="18"/>
              </w:rPr>
              <w:t>1 Medical Provider</w:t>
            </w:r>
            <w:r>
              <w:rPr>
                <w:color w:val="105C84"/>
                <w:spacing w:val="-13"/>
                <w:sz w:val="18"/>
              </w:rPr>
              <w:t> </w:t>
            </w:r>
            <w:r>
              <w:rPr>
                <w:color w:val="105C84"/>
                <w:sz w:val="18"/>
              </w:rPr>
              <w:t>office</w:t>
            </w:r>
            <w:r>
              <w:rPr>
                <w:color w:val="105C84"/>
                <w:sz w:val="18"/>
              </w:rPr>
              <w:t> in Seneca </w:t>
            </w:r>
            <w:r>
              <w:rPr>
                <w:color w:val="105C84"/>
                <w:spacing w:val="-2"/>
                <w:sz w:val="18"/>
              </w:rPr>
              <w:t>County</w:t>
            </w:r>
          </w:p>
        </w:tc>
        <w:tc>
          <w:tcPr>
            <w:tcW w:w="2352" w:type="dxa"/>
          </w:tcPr>
          <w:p>
            <w:pPr>
              <w:pStyle w:val="TableParagraph"/>
              <w:spacing w:line="232" w:lineRule="auto" w:before="97"/>
              <w:ind w:left="101" w:right="104"/>
              <w:rPr>
                <w:sz w:val="18"/>
              </w:rPr>
            </w:pPr>
            <w:r>
              <w:rPr>
                <w:color w:val="105C84"/>
                <w:sz w:val="18"/>
              </w:rPr>
              <w:t>Partners: Seneca County Community Counseling Center</w:t>
            </w:r>
            <w:r>
              <w:rPr>
                <w:color w:val="105C84"/>
                <w:spacing w:val="-13"/>
                <w:sz w:val="18"/>
              </w:rPr>
              <w:t> </w:t>
            </w:r>
            <w:r>
              <w:rPr>
                <w:color w:val="105C84"/>
                <w:sz w:val="18"/>
              </w:rPr>
              <w:t>1%</w:t>
            </w:r>
            <w:r>
              <w:rPr>
                <w:color w:val="105C84"/>
                <w:spacing w:val="-12"/>
                <w:sz w:val="18"/>
              </w:rPr>
              <w:t> </w:t>
            </w:r>
            <w:r>
              <w:rPr>
                <w:color w:val="105C84"/>
                <w:sz w:val="18"/>
              </w:rPr>
              <w:t>FTE</w:t>
            </w:r>
            <w:r>
              <w:rPr>
                <w:color w:val="105C84"/>
                <w:spacing w:val="-13"/>
                <w:sz w:val="18"/>
              </w:rPr>
              <w:t> </w:t>
            </w:r>
            <w:r>
              <w:rPr>
                <w:color w:val="105C84"/>
                <w:sz w:val="18"/>
              </w:rPr>
              <w:t>dedicated to Narcan Trainings</w:t>
            </w:r>
          </w:p>
          <w:p>
            <w:pPr>
              <w:pStyle w:val="TableParagraph"/>
              <w:spacing w:line="203" w:lineRule="exact" w:before="82"/>
              <w:ind w:left="101"/>
              <w:rPr>
                <w:sz w:val="18"/>
              </w:rPr>
            </w:pPr>
            <w:r>
              <w:rPr>
                <w:color w:val="105C84"/>
                <w:spacing w:val="-4"/>
                <w:sz w:val="18"/>
              </w:rPr>
              <w:t>SCDOH</w:t>
            </w:r>
            <w:r>
              <w:rPr>
                <w:color w:val="105C84"/>
                <w:spacing w:val="-7"/>
                <w:sz w:val="18"/>
              </w:rPr>
              <w:t> </w:t>
            </w:r>
            <w:r>
              <w:rPr>
                <w:color w:val="105C84"/>
                <w:spacing w:val="-4"/>
                <w:sz w:val="18"/>
              </w:rPr>
              <w:t>Staff</w:t>
            </w:r>
            <w:r>
              <w:rPr>
                <w:color w:val="105C84"/>
                <w:spacing w:val="-6"/>
                <w:sz w:val="18"/>
              </w:rPr>
              <w:t> </w:t>
            </w:r>
            <w:r>
              <w:rPr>
                <w:color w:val="105C84"/>
                <w:spacing w:val="-4"/>
                <w:sz w:val="18"/>
              </w:rPr>
              <w:t>.05%</w:t>
            </w:r>
            <w:r>
              <w:rPr>
                <w:color w:val="105C84"/>
                <w:spacing w:val="-6"/>
                <w:sz w:val="18"/>
              </w:rPr>
              <w:t> </w:t>
            </w:r>
            <w:r>
              <w:rPr>
                <w:color w:val="105C84"/>
                <w:spacing w:val="-5"/>
                <w:sz w:val="18"/>
              </w:rPr>
              <w:t>FTE</w:t>
            </w:r>
          </w:p>
          <w:p>
            <w:pPr>
              <w:pStyle w:val="TableParagraph"/>
              <w:spacing w:line="232" w:lineRule="auto" w:before="2"/>
              <w:ind w:left="101" w:right="104"/>
              <w:rPr>
                <w:sz w:val="18"/>
              </w:rPr>
            </w:pPr>
            <w:r>
              <w:rPr>
                <w:color w:val="105C84"/>
                <w:sz w:val="18"/>
              </w:rPr>
              <w:t>either</w:t>
            </w:r>
            <w:r>
              <w:rPr>
                <w:color w:val="105C84"/>
                <w:spacing w:val="-3"/>
                <w:sz w:val="18"/>
              </w:rPr>
              <w:t> </w:t>
            </w:r>
            <w:r>
              <w:rPr>
                <w:color w:val="105C84"/>
                <w:sz w:val="18"/>
              </w:rPr>
              <w:t>SRPHE/PHE</w:t>
            </w:r>
            <w:r>
              <w:rPr>
                <w:color w:val="105C84"/>
                <w:spacing w:val="-3"/>
                <w:sz w:val="18"/>
              </w:rPr>
              <w:t> </w:t>
            </w:r>
            <w:r>
              <w:rPr>
                <w:color w:val="105C84"/>
                <w:sz w:val="18"/>
              </w:rPr>
              <w:t>or</w:t>
            </w:r>
            <w:r>
              <w:rPr>
                <w:color w:val="105C84"/>
                <w:spacing w:val="-3"/>
                <w:sz w:val="18"/>
              </w:rPr>
              <w:t> </w:t>
            </w:r>
            <w:r>
              <w:rPr>
                <w:color w:val="105C84"/>
                <w:sz w:val="18"/>
              </w:rPr>
              <w:t>RN To routinely offer Narcan </w:t>
            </w:r>
            <w:r>
              <w:rPr>
                <w:color w:val="105C84"/>
                <w:spacing w:val="-2"/>
                <w:sz w:val="18"/>
              </w:rPr>
              <w:t>Trainings</w:t>
            </w:r>
            <w:r>
              <w:rPr>
                <w:color w:val="105C84"/>
                <w:spacing w:val="-7"/>
                <w:sz w:val="18"/>
              </w:rPr>
              <w:t> </w:t>
            </w:r>
            <w:r>
              <w:rPr>
                <w:color w:val="105C84"/>
                <w:spacing w:val="-2"/>
                <w:sz w:val="18"/>
              </w:rPr>
              <w:t>at</w:t>
            </w:r>
            <w:r>
              <w:rPr>
                <w:color w:val="105C84"/>
                <w:spacing w:val="-7"/>
                <w:sz w:val="18"/>
              </w:rPr>
              <w:t> </w:t>
            </w:r>
            <w:r>
              <w:rPr>
                <w:color w:val="105C84"/>
                <w:spacing w:val="-2"/>
                <w:sz w:val="18"/>
              </w:rPr>
              <w:t>least</w:t>
            </w:r>
            <w:r>
              <w:rPr>
                <w:color w:val="105C84"/>
                <w:spacing w:val="-7"/>
                <w:sz w:val="18"/>
              </w:rPr>
              <w:t> </w:t>
            </w:r>
            <w:r>
              <w:rPr>
                <w:color w:val="105C84"/>
                <w:spacing w:val="-2"/>
                <w:sz w:val="18"/>
              </w:rPr>
              <w:t>quarterly </w:t>
            </w:r>
            <w:r>
              <w:rPr>
                <w:color w:val="105C84"/>
                <w:sz w:val="18"/>
              </w:rPr>
              <w:t>to members of the public</w:t>
            </w:r>
          </w:p>
          <w:p>
            <w:pPr>
              <w:pStyle w:val="TableParagraph"/>
              <w:spacing w:line="232" w:lineRule="auto" w:before="86"/>
              <w:ind w:left="101" w:right="363"/>
              <w:rPr>
                <w:sz w:val="18"/>
              </w:rPr>
            </w:pPr>
            <w:r>
              <w:rPr>
                <w:color w:val="105C84"/>
                <w:sz w:val="18"/>
              </w:rPr>
              <w:t>100% of those trained will report an increase in knowledge of how </w:t>
            </w:r>
            <w:r>
              <w:rPr>
                <w:color w:val="105C84"/>
                <w:sz w:val="18"/>
              </w:rPr>
              <w:t>to</w:t>
            </w:r>
          </w:p>
          <w:p>
            <w:pPr>
              <w:pStyle w:val="TableParagraph"/>
              <w:spacing w:line="232" w:lineRule="auto"/>
              <w:ind w:left="101" w:right="104"/>
              <w:rPr>
                <w:sz w:val="18"/>
              </w:rPr>
            </w:pPr>
            <w:r>
              <w:rPr>
                <w:color w:val="105C84"/>
                <w:sz w:val="18"/>
              </w:rPr>
              <w:t>recognize</w:t>
            </w:r>
            <w:r>
              <w:rPr>
                <w:color w:val="105C84"/>
                <w:spacing w:val="-6"/>
                <w:sz w:val="18"/>
              </w:rPr>
              <w:t> </w:t>
            </w:r>
            <w:r>
              <w:rPr>
                <w:color w:val="105C84"/>
                <w:sz w:val="18"/>
              </w:rPr>
              <w:t>an</w:t>
            </w:r>
            <w:r>
              <w:rPr>
                <w:color w:val="105C84"/>
                <w:spacing w:val="-6"/>
                <w:sz w:val="18"/>
              </w:rPr>
              <w:t> </w:t>
            </w:r>
            <w:r>
              <w:rPr>
                <w:color w:val="105C84"/>
                <w:sz w:val="18"/>
              </w:rPr>
              <w:t>OD</w:t>
            </w:r>
            <w:r>
              <w:rPr>
                <w:color w:val="105C84"/>
                <w:spacing w:val="-6"/>
                <w:sz w:val="18"/>
              </w:rPr>
              <w:t> </w:t>
            </w:r>
            <w:r>
              <w:rPr>
                <w:color w:val="105C84"/>
                <w:sz w:val="18"/>
              </w:rPr>
              <w:t>and</w:t>
            </w:r>
            <w:r>
              <w:rPr>
                <w:color w:val="105C84"/>
                <w:spacing w:val="-6"/>
                <w:sz w:val="18"/>
              </w:rPr>
              <w:t> </w:t>
            </w:r>
            <w:r>
              <w:rPr>
                <w:color w:val="105C84"/>
                <w:sz w:val="18"/>
              </w:rPr>
              <w:t>how to properly administer narcan for a suspected overdose.</w:t>
            </w:r>
            <w:r>
              <w:rPr>
                <w:color w:val="105C84"/>
                <w:spacing w:val="14"/>
                <w:sz w:val="18"/>
              </w:rPr>
              <w:t> </w:t>
            </w:r>
            <w:r>
              <w:rPr>
                <w:color w:val="105C84"/>
                <w:sz w:val="18"/>
              </w:rPr>
              <w:t>To</w:t>
            </w:r>
            <w:r>
              <w:rPr>
                <w:color w:val="105C84"/>
                <w:spacing w:val="-13"/>
                <w:sz w:val="18"/>
              </w:rPr>
              <w:t> </w:t>
            </w:r>
            <w:r>
              <w:rPr>
                <w:color w:val="105C84"/>
                <w:sz w:val="18"/>
              </w:rPr>
              <w:t>train</w:t>
            </w:r>
            <w:r>
              <w:rPr>
                <w:color w:val="105C84"/>
                <w:spacing w:val="-12"/>
                <w:sz w:val="18"/>
              </w:rPr>
              <w:t> </w:t>
            </w:r>
            <w:r>
              <w:rPr>
                <w:color w:val="105C84"/>
                <w:sz w:val="18"/>
              </w:rPr>
              <w:t>at</w:t>
            </w:r>
            <w:r>
              <w:rPr>
                <w:color w:val="105C84"/>
                <w:spacing w:val="-13"/>
                <w:sz w:val="18"/>
              </w:rPr>
              <w:t> </w:t>
            </w:r>
            <w:r>
              <w:rPr>
                <w:color w:val="105C84"/>
                <w:sz w:val="18"/>
              </w:rPr>
              <w:t>least 60 people annually</w:t>
            </w:r>
          </w:p>
        </w:tc>
        <w:tc>
          <w:tcPr>
            <w:tcW w:w="1495" w:type="dxa"/>
          </w:tcPr>
          <w:p>
            <w:pPr>
              <w:pStyle w:val="TableParagraph"/>
              <w:spacing w:before="92"/>
              <w:ind w:left="103"/>
              <w:rPr>
                <w:sz w:val="18"/>
              </w:rPr>
            </w:pPr>
            <w:r>
              <w:rPr>
                <w:color w:val="105C84"/>
                <w:spacing w:val="-2"/>
                <w:sz w:val="18"/>
              </w:rPr>
              <w:t>Hospital</w:t>
            </w:r>
          </w:p>
        </w:tc>
        <w:tc>
          <w:tcPr>
            <w:tcW w:w="2988" w:type="dxa"/>
          </w:tcPr>
          <w:p>
            <w:pPr>
              <w:pStyle w:val="TableParagraph"/>
              <w:spacing w:line="232" w:lineRule="auto" w:before="97"/>
              <w:ind w:left="106" w:right="109"/>
              <w:rPr>
                <w:sz w:val="18"/>
              </w:rPr>
            </w:pPr>
            <w:r>
              <w:rPr>
                <w:color w:val="105C84"/>
                <w:spacing w:val="-6"/>
                <w:sz w:val="18"/>
              </w:rPr>
              <w:t>.10</w:t>
            </w:r>
            <w:r>
              <w:rPr>
                <w:color w:val="105C84"/>
                <w:spacing w:val="-7"/>
                <w:sz w:val="18"/>
              </w:rPr>
              <w:t> </w:t>
            </w:r>
            <w:r>
              <w:rPr>
                <w:color w:val="105C84"/>
                <w:spacing w:val="-6"/>
                <w:sz w:val="18"/>
              </w:rPr>
              <w:t>SRPHE, RN</w:t>
            </w:r>
            <w:r>
              <w:rPr>
                <w:color w:val="105C84"/>
                <w:spacing w:val="-7"/>
                <w:sz w:val="18"/>
              </w:rPr>
              <w:t> </w:t>
            </w:r>
            <w:r>
              <w:rPr>
                <w:color w:val="105C84"/>
                <w:spacing w:val="-6"/>
                <w:sz w:val="18"/>
              </w:rPr>
              <w:t>and or</w:t>
            </w:r>
            <w:r>
              <w:rPr>
                <w:color w:val="105C84"/>
                <w:spacing w:val="-7"/>
                <w:sz w:val="18"/>
              </w:rPr>
              <w:t> </w:t>
            </w:r>
            <w:r>
              <w:rPr>
                <w:color w:val="105C84"/>
                <w:spacing w:val="-6"/>
                <w:sz w:val="18"/>
              </w:rPr>
              <w:t>PHE-</w:t>
            </w:r>
            <w:r>
              <w:rPr>
                <w:color w:val="105C84"/>
                <w:spacing w:val="-6"/>
                <w:sz w:val="18"/>
              </w:rPr>
              <w:t>Senec</w:t>
            </w:r>
            <w:r>
              <w:rPr>
                <w:color w:val="105C84"/>
                <w:spacing w:val="-6"/>
                <w:sz w:val="18"/>
              </w:rPr>
              <w:t>a</w:t>
            </w:r>
            <w:r>
              <w:rPr>
                <w:color w:val="105C84"/>
                <w:spacing w:val="-6"/>
                <w:sz w:val="18"/>
              </w:rPr>
              <w:t> </w:t>
            </w:r>
            <w:r>
              <w:rPr>
                <w:color w:val="105C84"/>
                <w:sz w:val="18"/>
              </w:rPr>
              <w:t>County Health Department</w:t>
            </w:r>
            <w:r>
              <w:rPr>
                <w:color w:val="105C84"/>
                <w:spacing w:val="40"/>
                <w:sz w:val="18"/>
              </w:rPr>
              <w:t> </w:t>
            </w:r>
            <w:r>
              <w:rPr>
                <w:color w:val="105C84"/>
                <w:sz w:val="18"/>
              </w:rPr>
              <w:t>.05</w:t>
            </w:r>
          </w:p>
          <w:p>
            <w:pPr>
              <w:pStyle w:val="TableParagraph"/>
              <w:spacing w:line="232" w:lineRule="auto"/>
              <w:ind w:left="106"/>
              <w:rPr>
                <w:sz w:val="18"/>
              </w:rPr>
            </w:pPr>
            <w:r>
              <w:rPr>
                <w:color w:val="105C84"/>
                <w:sz w:val="18"/>
              </w:rPr>
              <w:t>FT- Seneca County Community </w:t>
            </w:r>
            <w:r>
              <w:rPr>
                <w:color w:val="105C84"/>
                <w:spacing w:val="-2"/>
                <w:sz w:val="18"/>
              </w:rPr>
              <w:t>Counseling</w:t>
            </w:r>
            <w:r>
              <w:rPr>
                <w:color w:val="105C84"/>
                <w:spacing w:val="-7"/>
                <w:sz w:val="18"/>
              </w:rPr>
              <w:t> </w:t>
            </w:r>
            <w:r>
              <w:rPr>
                <w:color w:val="105C84"/>
                <w:spacing w:val="-2"/>
                <w:sz w:val="18"/>
              </w:rPr>
              <w:t>Center,</w:t>
            </w:r>
            <w:r>
              <w:rPr>
                <w:color w:val="105C84"/>
                <w:spacing w:val="-7"/>
                <w:sz w:val="18"/>
              </w:rPr>
              <w:t> </w:t>
            </w:r>
            <w:r>
              <w:rPr>
                <w:color w:val="105C84"/>
                <w:spacing w:val="-2"/>
                <w:sz w:val="18"/>
              </w:rPr>
              <w:t>Seneca</w:t>
            </w:r>
            <w:r>
              <w:rPr>
                <w:color w:val="105C84"/>
                <w:spacing w:val="-7"/>
                <w:sz w:val="18"/>
              </w:rPr>
              <w:t> </w:t>
            </w:r>
            <w:r>
              <w:rPr>
                <w:color w:val="105C84"/>
                <w:spacing w:val="-2"/>
                <w:sz w:val="18"/>
              </w:rPr>
              <w:t>County </w:t>
            </w:r>
            <w:r>
              <w:rPr>
                <w:color w:val="105C84"/>
                <w:sz w:val="18"/>
              </w:rPr>
              <w:t>Health Department Staff, Opioid Overdose Community Trainer</w:t>
            </w:r>
          </w:p>
          <w:p>
            <w:pPr>
              <w:pStyle w:val="TableParagraph"/>
              <w:spacing w:line="232" w:lineRule="auto"/>
              <w:ind w:left="106" w:right="140"/>
              <w:rPr>
                <w:sz w:val="18"/>
              </w:rPr>
            </w:pPr>
            <w:r>
              <w:rPr>
                <w:color w:val="105C84"/>
                <w:sz w:val="18"/>
              </w:rPr>
              <w:t>and Community Counseling Center Staff will provide quarterly community</w:t>
            </w:r>
            <w:r>
              <w:rPr>
                <w:color w:val="105C84"/>
                <w:spacing w:val="-3"/>
                <w:sz w:val="18"/>
              </w:rPr>
              <w:t> </w:t>
            </w:r>
            <w:r>
              <w:rPr>
                <w:color w:val="105C84"/>
                <w:sz w:val="18"/>
              </w:rPr>
              <w:t>Narcan</w:t>
            </w:r>
            <w:r>
              <w:rPr>
                <w:color w:val="105C84"/>
                <w:spacing w:val="-3"/>
                <w:sz w:val="18"/>
              </w:rPr>
              <w:t> </w:t>
            </w:r>
            <w:r>
              <w:rPr>
                <w:color w:val="105C84"/>
                <w:sz w:val="18"/>
              </w:rPr>
              <w:t>Administration Trainings to the community</w:t>
            </w:r>
          </w:p>
          <w:p>
            <w:pPr>
              <w:pStyle w:val="TableParagraph"/>
              <w:spacing w:line="232" w:lineRule="auto" w:before="192"/>
              <w:ind w:left="106" w:right="150"/>
              <w:rPr>
                <w:sz w:val="18"/>
              </w:rPr>
            </w:pPr>
            <w:r>
              <w:rPr>
                <w:color w:val="105C84"/>
                <w:spacing w:val="-2"/>
                <w:sz w:val="18"/>
              </w:rPr>
              <w:t>Seneca</w:t>
            </w:r>
            <w:r>
              <w:rPr>
                <w:color w:val="105C84"/>
                <w:spacing w:val="-11"/>
                <w:sz w:val="18"/>
              </w:rPr>
              <w:t> </w:t>
            </w:r>
            <w:r>
              <w:rPr>
                <w:color w:val="105C84"/>
                <w:spacing w:val="-2"/>
                <w:sz w:val="18"/>
              </w:rPr>
              <w:t>County</w:t>
            </w:r>
            <w:r>
              <w:rPr>
                <w:color w:val="105C84"/>
                <w:spacing w:val="-10"/>
                <w:sz w:val="18"/>
              </w:rPr>
              <w:t> </w:t>
            </w:r>
            <w:r>
              <w:rPr>
                <w:color w:val="105C84"/>
                <w:spacing w:val="-2"/>
                <w:sz w:val="18"/>
              </w:rPr>
              <w:t>Substance</w:t>
            </w:r>
            <w:r>
              <w:rPr>
                <w:color w:val="105C84"/>
                <w:spacing w:val="-11"/>
                <w:sz w:val="18"/>
              </w:rPr>
              <w:t> </w:t>
            </w:r>
            <w:r>
              <w:rPr>
                <w:color w:val="105C84"/>
                <w:spacing w:val="-2"/>
                <w:sz w:val="18"/>
              </w:rPr>
              <w:t>Abuse </w:t>
            </w:r>
            <w:r>
              <w:rPr>
                <w:color w:val="105C84"/>
                <w:sz w:val="18"/>
              </w:rPr>
              <w:t>Coalition will promote trainings and provide information on Opioids at tabling events</w:t>
            </w:r>
          </w:p>
          <w:p>
            <w:pPr>
              <w:pStyle w:val="TableParagraph"/>
              <w:spacing w:line="232" w:lineRule="auto" w:before="87"/>
              <w:ind w:left="106" w:right="109"/>
              <w:rPr>
                <w:sz w:val="18"/>
              </w:rPr>
            </w:pPr>
            <w:r>
              <w:rPr>
                <w:color w:val="105C84"/>
                <w:sz w:val="18"/>
              </w:rPr>
              <w:t>How</w:t>
            </w:r>
            <w:r>
              <w:rPr>
                <w:color w:val="105C84"/>
                <w:spacing w:val="-4"/>
                <w:sz w:val="18"/>
              </w:rPr>
              <w:t> </w:t>
            </w:r>
            <w:r>
              <w:rPr>
                <w:color w:val="105C84"/>
                <w:sz w:val="18"/>
              </w:rPr>
              <w:t>to</w:t>
            </w:r>
            <w:r>
              <w:rPr>
                <w:color w:val="105C84"/>
                <w:spacing w:val="-4"/>
                <w:sz w:val="18"/>
              </w:rPr>
              <w:t> </w:t>
            </w:r>
            <w:r>
              <w:rPr>
                <w:color w:val="105C84"/>
                <w:sz w:val="18"/>
              </w:rPr>
              <w:t>recognize</w:t>
            </w:r>
            <w:r>
              <w:rPr>
                <w:color w:val="105C84"/>
                <w:spacing w:val="-4"/>
                <w:sz w:val="18"/>
              </w:rPr>
              <w:t> </w:t>
            </w:r>
            <w:r>
              <w:rPr>
                <w:color w:val="105C84"/>
                <w:sz w:val="18"/>
              </w:rPr>
              <w:t>an</w:t>
            </w:r>
            <w:r>
              <w:rPr>
                <w:color w:val="105C84"/>
                <w:spacing w:val="-4"/>
                <w:sz w:val="18"/>
              </w:rPr>
              <w:t> </w:t>
            </w:r>
            <w:r>
              <w:rPr>
                <w:color w:val="105C84"/>
                <w:sz w:val="18"/>
              </w:rPr>
              <w:t>OD</w:t>
            </w:r>
            <w:r>
              <w:rPr>
                <w:color w:val="105C84"/>
                <w:spacing w:val="-4"/>
                <w:sz w:val="18"/>
              </w:rPr>
              <w:t> </w:t>
            </w:r>
            <w:r>
              <w:rPr>
                <w:color w:val="105C84"/>
                <w:sz w:val="18"/>
              </w:rPr>
              <w:t>palm cards will be distributed at community events</w:t>
            </w:r>
          </w:p>
        </w:tc>
      </w:tr>
    </w:tbl>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142"/>
        <w:rPr>
          <w:b/>
          <w:sz w:val="26"/>
        </w:rPr>
      </w:pPr>
    </w:p>
    <w:p>
      <w:pPr>
        <w:tabs>
          <w:tab w:pos="23047" w:val="left" w:leader="none"/>
        </w:tabs>
        <w:spacing w:before="0"/>
        <w:ind w:left="0" w:right="0" w:firstLine="0"/>
        <w:jc w:val="left"/>
        <w:rPr>
          <w:b/>
          <w:sz w:val="26"/>
        </w:rPr>
      </w:pPr>
      <w:r>
        <w:rPr>
          <w:position w:val="-4"/>
        </w:rPr>
        <w:drawing>
          <wp:inline distT="0" distB="0" distL="0" distR="0">
            <wp:extent cx="568172" cy="184683"/>
            <wp:effectExtent l="0" t="0" r="0" b="0"/>
            <wp:docPr id="1921" name="Image 1921"/>
            <wp:cNvGraphicFramePr>
              <a:graphicFrameLocks/>
            </wp:cNvGraphicFramePr>
            <a:graphic>
              <a:graphicData uri="http://schemas.openxmlformats.org/drawingml/2006/picture">
                <pic:pic>
                  <pic:nvPicPr>
                    <pic:cNvPr id="1921" name="Image 1921"/>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13"/>
          <w:sz w:val="20"/>
        </w:rPr>
        <w:t> </w:t>
      </w:r>
      <w:r>
        <w:rPr>
          <w:b/>
          <w:color w:val="939598"/>
          <w:w w:val="105"/>
          <w:sz w:val="26"/>
        </w:rPr>
        <w:t>185</w:t>
      </w:r>
      <w:r>
        <w:rPr>
          <w:b/>
          <w:color w:val="939598"/>
          <w:sz w:val="26"/>
        </w:rPr>
        <w:tab/>
      </w:r>
      <w:r>
        <w:rPr>
          <w:b/>
          <w:color w:val="939598"/>
          <w:spacing w:val="-5"/>
          <w:w w:val="105"/>
          <w:sz w:val="26"/>
        </w:rPr>
        <w:t>186</w:t>
      </w:r>
    </w:p>
    <w:p>
      <w:pPr>
        <w:spacing w:after="0"/>
        <w:jc w:val="left"/>
        <w:rPr>
          <w:b/>
          <w:sz w:val="26"/>
        </w:rPr>
        <w:sectPr>
          <w:pgSz w:w="24480" w:h="15840" w:orient="landscape"/>
          <w:pgMar w:header="0" w:footer="0" w:top="860" w:bottom="0" w:left="0" w:right="720"/>
        </w:sectPr>
      </w:pPr>
    </w:p>
    <w:p>
      <w:pPr>
        <w:spacing w:before="607"/>
        <w:ind w:left="1089" w:right="0" w:firstLine="0"/>
        <w:jc w:val="left"/>
        <w:rPr>
          <w:sz w:val="54"/>
        </w:rPr>
      </w:pPr>
      <w:r>
        <w:rPr>
          <w:sz w:val="54"/>
        </w:rPr>
        <w:drawing>
          <wp:anchor distT="0" distB="0" distL="0" distR="0" allowOverlap="1" layoutInCell="1" locked="0" behindDoc="0" simplePos="0" relativeHeight="15988224">
            <wp:simplePos x="0" y="0"/>
            <wp:positionH relativeFrom="page">
              <wp:posOffset>14981556</wp:posOffset>
            </wp:positionH>
            <wp:positionV relativeFrom="page">
              <wp:posOffset>9668103</wp:posOffset>
            </wp:positionV>
            <wp:extent cx="563245" cy="184683"/>
            <wp:effectExtent l="0" t="0" r="0" b="0"/>
            <wp:wrapNone/>
            <wp:docPr id="1922" name="Image 1922"/>
            <wp:cNvGraphicFramePr>
              <a:graphicFrameLocks/>
            </wp:cNvGraphicFramePr>
            <a:graphic>
              <a:graphicData uri="http://schemas.openxmlformats.org/drawingml/2006/picture">
                <pic:pic>
                  <pic:nvPicPr>
                    <pic:cNvPr id="1922" name="Image 1922"/>
                    <pic:cNvPicPr/>
                  </pic:nvPicPr>
                  <pic:blipFill>
                    <a:blip r:embed="rId38" cstate="print"/>
                    <a:stretch>
                      <a:fillRect/>
                    </a:stretch>
                  </pic:blipFill>
                  <pic:spPr>
                    <a:xfrm>
                      <a:off x="0" y="0"/>
                      <a:ext cx="563245" cy="184683"/>
                    </a:xfrm>
                    <a:prstGeom prst="rect">
                      <a:avLst/>
                    </a:prstGeom>
                  </pic:spPr>
                </pic:pic>
              </a:graphicData>
            </a:graphic>
          </wp:anchor>
        </w:drawing>
      </w:r>
      <w:r>
        <w:rPr>
          <w:sz w:val="54"/>
        </w:rPr>
        <w:drawing>
          <wp:anchor distT="0" distB="0" distL="0" distR="0" allowOverlap="1" layoutInCell="1" locked="0" behindDoc="0" simplePos="0" relativeHeight="15988736">
            <wp:simplePos x="0" y="0"/>
            <wp:positionH relativeFrom="page">
              <wp:posOffset>14227238</wp:posOffset>
            </wp:positionH>
            <wp:positionV relativeFrom="paragraph">
              <wp:posOffset>365759</wp:posOffset>
            </wp:positionV>
            <wp:extent cx="688237" cy="640537"/>
            <wp:effectExtent l="0" t="0" r="0" b="0"/>
            <wp:wrapNone/>
            <wp:docPr id="1923" name="Image 1923"/>
            <wp:cNvGraphicFramePr>
              <a:graphicFrameLocks/>
            </wp:cNvGraphicFramePr>
            <a:graphic>
              <a:graphicData uri="http://schemas.openxmlformats.org/drawingml/2006/picture">
                <pic:pic>
                  <pic:nvPicPr>
                    <pic:cNvPr id="1923" name="Image 1923"/>
                    <pic:cNvPicPr/>
                  </pic:nvPicPr>
                  <pic:blipFill>
                    <a:blip r:embed="rId256" cstate="print"/>
                    <a:stretch>
                      <a:fillRect/>
                    </a:stretch>
                  </pic:blipFill>
                  <pic:spPr>
                    <a:xfrm>
                      <a:off x="0" y="0"/>
                      <a:ext cx="688237" cy="640537"/>
                    </a:xfrm>
                    <a:prstGeom prst="rect">
                      <a:avLst/>
                    </a:prstGeom>
                  </pic:spPr>
                </pic:pic>
              </a:graphicData>
            </a:graphic>
          </wp:anchor>
        </w:drawing>
      </w:r>
      <w:r>
        <w:rPr>
          <w:sz w:val="54"/>
        </w:rPr>
        <w:drawing>
          <wp:anchor distT="0" distB="0" distL="0" distR="0" allowOverlap="1" layoutInCell="1" locked="0" behindDoc="0" simplePos="0" relativeHeight="15989248">
            <wp:simplePos x="0" y="0"/>
            <wp:positionH relativeFrom="page">
              <wp:posOffset>10990759</wp:posOffset>
            </wp:positionH>
            <wp:positionV relativeFrom="paragraph">
              <wp:posOffset>240004</wp:posOffset>
            </wp:positionV>
            <wp:extent cx="1627045" cy="526160"/>
            <wp:effectExtent l="0" t="0" r="0" b="0"/>
            <wp:wrapNone/>
            <wp:docPr id="1924" name="Image 1924"/>
            <wp:cNvGraphicFramePr>
              <a:graphicFrameLocks/>
            </wp:cNvGraphicFramePr>
            <a:graphic>
              <a:graphicData uri="http://schemas.openxmlformats.org/drawingml/2006/picture">
                <pic:pic>
                  <pic:nvPicPr>
                    <pic:cNvPr id="1924" name="Image 1924"/>
                    <pic:cNvPicPr/>
                  </pic:nvPicPr>
                  <pic:blipFill>
                    <a:blip r:embed="rId251" cstate="print"/>
                    <a:stretch>
                      <a:fillRect/>
                    </a:stretch>
                  </pic:blipFill>
                  <pic:spPr>
                    <a:xfrm>
                      <a:off x="0" y="0"/>
                      <a:ext cx="1627045" cy="526160"/>
                    </a:xfrm>
                    <a:prstGeom prst="rect">
                      <a:avLst/>
                    </a:prstGeom>
                  </pic:spPr>
                </pic:pic>
              </a:graphicData>
            </a:graphic>
          </wp:anchor>
        </w:drawing>
      </w:r>
      <w:r>
        <w:rPr>
          <w:sz w:val="54"/>
        </w:rPr>
        <w:drawing>
          <wp:anchor distT="0" distB="0" distL="0" distR="0" allowOverlap="1" layoutInCell="1" locked="0" behindDoc="0" simplePos="0" relativeHeight="15989760">
            <wp:simplePos x="0" y="0"/>
            <wp:positionH relativeFrom="page">
              <wp:posOffset>12714085</wp:posOffset>
            </wp:positionH>
            <wp:positionV relativeFrom="paragraph">
              <wp:posOffset>347004</wp:posOffset>
            </wp:positionV>
            <wp:extent cx="1459113" cy="474391"/>
            <wp:effectExtent l="0" t="0" r="0" b="0"/>
            <wp:wrapNone/>
            <wp:docPr id="1925" name="Image 1925"/>
            <wp:cNvGraphicFramePr>
              <a:graphicFrameLocks/>
            </wp:cNvGraphicFramePr>
            <a:graphic>
              <a:graphicData uri="http://schemas.openxmlformats.org/drawingml/2006/picture">
                <pic:pic>
                  <pic:nvPicPr>
                    <pic:cNvPr id="1925" name="Image 1925"/>
                    <pic:cNvPicPr/>
                  </pic:nvPicPr>
                  <pic:blipFill>
                    <a:blip r:embed="rId257" cstate="print"/>
                    <a:stretch>
                      <a:fillRect/>
                    </a:stretch>
                  </pic:blipFill>
                  <pic:spPr>
                    <a:xfrm>
                      <a:off x="0" y="0"/>
                      <a:ext cx="1459113" cy="474391"/>
                    </a:xfrm>
                    <a:prstGeom prst="rect">
                      <a:avLst/>
                    </a:prstGeom>
                  </pic:spPr>
                </pic:pic>
              </a:graphicData>
            </a:graphic>
          </wp:anchor>
        </w:drawing>
      </w:r>
      <w:r>
        <w:rPr>
          <w:color w:val="636466"/>
          <w:sz w:val="54"/>
        </w:rPr>
        <w:t>Seneca</w:t>
      </w:r>
      <w:r>
        <w:rPr>
          <w:color w:val="636466"/>
          <w:spacing w:val="24"/>
          <w:sz w:val="54"/>
        </w:rPr>
        <w:t> </w:t>
      </w:r>
      <w:r>
        <w:rPr>
          <w:color w:val="636466"/>
          <w:sz w:val="54"/>
        </w:rPr>
        <w:t>County</w:t>
      </w:r>
      <w:r>
        <w:rPr>
          <w:color w:val="636466"/>
          <w:spacing w:val="24"/>
          <w:sz w:val="54"/>
        </w:rPr>
        <w:t> </w:t>
      </w:r>
      <w:r>
        <w:rPr>
          <w:color w:val="636466"/>
          <w:sz w:val="54"/>
        </w:rPr>
        <w:t>Appendix</w:t>
      </w:r>
      <w:r>
        <w:rPr>
          <w:color w:val="636466"/>
          <w:spacing w:val="24"/>
          <w:sz w:val="54"/>
        </w:rPr>
        <w:t> </w:t>
      </w:r>
      <w:r>
        <w:rPr>
          <w:color w:val="636466"/>
          <w:spacing w:val="-10"/>
          <w:sz w:val="54"/>
        </w:rPr>
        <w:t>E</w:t>
      </w:r>
    </w:p>
    <w:p>
      <w:pPr>
        <w:spacing w:line="247" w:lineRule="auto" w:before="235"/>
        <w:ind w:left="1089" w:right="13013" w:firstLine="0"/>
        <w:jc w:val="left"/>
        <w:rPr>
          <w:b/>
          <w:sz w:val="32"/>
        </w:rPr>
      </w:pPr>
      <w:r>
        <w:rPr>
          <w:b/>
          <w:color w:val="82BF6A"/>
          <w:spacing w:val="-4"/>
          <w:sz w:val="32"/>
        </w:rPr>
        <w:t>PRIORITY:</w:t>
      </w:r>
      <w:r>
        <w:rPr>
          <w:b/>
          <w:color w:val="82BF6A"/>
          <w:spacing w:val="-19"/>
          <w:sz w:val="32"/>
        </w:rPr>
        <w:t> </w:t>
      </w:r>
      <w:r>
        <w:rPr>
          <w:b/>
          <w:color w:val="82BF6A"/>
          <w:spacing w:val="-4"/>
          <w:sz w:val="32"/>
        </w:rPr>
        <w:t>PROMOTE</w:t>
      </w:r>
      <w:r>
        <w:rPr>
          <w:b/>
          <w:color w:val="82BF6A"/>
          <w:spacing w:val="-18"/>
          <w:sz w:val="32"/>
        </w:rPr>
        <w:t> </w:t>
      </w:r>
      <w:r>
        <w:rPr>
          <w:b/>
          <w:color w:val="82BF6A"/>
          <w:spacing w:val="-4"/>
          <w:sz w:val="32"/>
        </w:rPr>
        <w:t>WELL-BEING</w:t>
      </w:r>
      <w:r>
        <w:rPr>
          <w:b/>
          <w:color w:val="82BF6A"/>
          <w:spacing w:val="-18"/>
          <w:sz w:val="32"/>
        </w:rPr>
        <w:t> </w:t>
      </w:r>
      <w:r>
        <w:rPr>
          <w:b/>
          <w:color w:val="82BF6A"/>
          <w:spacing w:val="-4"/>
          <w:sz w:val="32"/>
        </w:rPr>
        <w:t>AND</w:t>
      </w:r>
      <w:r>
        <w:rPr>
          <w:b/>
          <w:color w:val="82BF6A"/>
          <w:spacing w:val="-18"/>
          <w:sz w:val="32"/>
        </w:rPr>
        <w:t> </w:t>
      </w:r>
      <w:r>
        <w:rPr>
          <w:b/>
          <w:color w:val="82BF6A"/>
          <w:spacing w:val="-4"/>
          <w:sz w:val="32"/>
        </w:rPr>
        <w:t>PREVENT</w:t>
      </w:r>
      <w:r>
        <w:rPr>
          <w:b/>
          <w:color w:val="82BF6A"/>
          <w:spacing w:val="-19"/>
          <w:sz w:val="32"/>
        </w:rPr>
        <w:t> </w:t>
      </w:r>
      <w:r>
        <w:rPr>
          <w:b/>
          <w:color w:val="82BF6A"/>
          <w:spacing w:val="-4"/>
          <w:sz w:val="32"/>
        </w:rPr>
        <w:t>MENTAL </w:t>
      </w:r>
      <w:r>
        <w:rPr>
          <w:b/>
          <w:color w:val="82BF6A"/>
          <w:sz w:val="32"/>
        </w:rPr>
        <w:t>AND</w:t>
      </w:r>
      <w:r>
        <w:rPr>
          <w:b/>
          <w:color w:val="82BF6A"/>
          <w:spacing w:val="-22"/>
          <w:sz w:val="32"/>
        </w:rPr>
        <w:t> </w:t>
      </w:r>
      <w:r>
        <w:rPr>
          <w:b/>
          <w:color w:val="82BF6A"/>
          <w:sz w:val="32"/>
        </w:rPr>
        <w:t>SUBSTANCE</w:t>
      </w:r>
      <w:r>
        <w:rPr>
          <w:b/>
          <w:color w:val="82BF6A"/>
          <w:spacing w:val="-22"/>
          <w:sz w:val="32"/>
        </w:rPr>
        <w:t> </w:t>
      </w:r>
      <w:r>
        <w:rPr>
          <w:b/>
          <w:color w:val="82BF6A"/>
          <w:sz w:val="32"/>
        </w:rPr>
        <w:t>USE</w:t>
      </w:r>
      <w:r>
        <w:rPr>
          <w:b/>
          <w:color w:val="82BF6A"/>
          <w:spacing w:val="-22"/>
          <w:sz w:val="32"/>
        </w:rPr>
        <w:t> </w:t>
      </w:r>
      <w:r>
        <w:rPr>
          <w:b/>
          <w:color w:val="82BF6A"/>
          <w:sz w:val="32"/>
        </w:rPr>
        <w:t>DISORDERS</w:t>
      </w:r>
    </w:p>
    <w:p>
      <w:pPr>
        <w:pStyle w:val="BodyText"/>
        <w:spacing w:before="10"/>
        <w:rPr>
          <w:b/>
          <w:sz w:val="15"/>
        </w:rPr>
      </w:pPr>
    </w:p>
    <w:tbl>
      <w:tblPr>
        <w:tblW w:w="0" w:type="auto"/>
        <w:jc w:val="left"/>
        <w:tblInd w:w="1099"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1180"/>
        <w:gridCol w:w="1152"/>
        <w:gridCol w:w="1210"/>
        <w:gridCol w:w="1606"/>
        <w:gridCol w:w="1066"/>
        <w:gridCol w:w="2225"/>
        <w:gridCol w:w="5386"/>
        <w:gridCol w:w="1858"/>
        <w:gridCol w:w="1973"/>
        <w:gridCol w:w="1498"/>
        <w:gridCol w:w="3163"/>
      </w:tblGrid>
      <w:tr>
        <w:trPr>
          <w:trHeight w:val="1130" w:hRule="atLeast"/>
        </w:trPr>
        <w:tc>
          <w:tcPr>
            <w:tcW w:w="1180" w:type="dxa"/>
            <w:tcBorders>
              <w:right w:val="single" w:sz="4" w:space="0" w:color="FFFFFF"/>
            </w:tcBorders>
            <w:shd w:val="clear" w:color="auto" w:fill="A7A9AC"/>
          </w:tcPr>
          <w:p>
            <w:pPr>
              <w:pStyle w:val="TableParagraph"/>
              <w:rPr>
                <w:b/>
                <w:sz w:val="18"/>
              </w:rPr>
            </w:pPr>
          </w:p>
          <w:p>
            <w:pPr>
              <w:pStyle w:val="TableParagraph"/>
              <w:spacing w:before="72"/>
              <w:rPr>
                <w:b/>
                <w:sz w:val="18"/>
              </w:rPr>
            </w:pPr>
          </w:p>
          <w:p>
            <w:pPr>
              <w:pStyle w:val="TableParagraph"/>
              <w:ind w:left="80"/>
              <w:rPr>
                <w:b/>
                <w:sz w:val="18"/>
              </w:rPr>
            </w:pPr>
            <w:r>
              <w:rPr>
                <w:b/>
                <w:color w:val="FFFFFF"/>
                <w:spacing w:val="-2"/>
                <w:sz w:val="18"/>
              </w:rPr>
              <w:t>Priority</w:t>
            </w:r>
          </w:p>
        </w:tc>
        <w:tc>
          <w:tcPr>
            <w:tcW w:w="1152" w:type="dxa"/>
            <w:tcBorders>
              <w:left w:val="single" w:sz="4" w:space="0" w:color="FFFFFF"/>
              <w:right w:val="single" w:sz="4" w:space="0" w:color="FFFFFF"/>
            </w:tcBorders>
            <w:shd w:val="clear" w:color="auto" w:fill="A7A9AC"/>
          </w:tcPr>
          <w:p>
            <w:pPr>
              <w:pStyle w:val="TableParagraph"/>
              <w:rPr>
                <w:b/>
                <w:sz w:val="18"/>
              </w:rPr>
            </w:pPr>
          </w:p>
          <w:p>
            <w:pPr>
              <w:pStyle w:val="TableParagraph"/>
              <w:spacing w:before="72"/>
              <w:rPr>
                <w:b/>
                <w:sz w:val="18"/>
              </w:rPr>
            </w:pPr>
          </w:p>
          <w:p>
            <w:pPr>
              <w:pStyle w:val="TableParagraph"/>
              <w:ind w:left="80"/>
              <w:rPr>
                <w:b/>
                <w:sz w:val="18"/>
              </w:rPr>
            </w:pPr>
            <w:r>
              <w:rPr>
                <w:b/>
                <w:color w:val="FFFFFF"/>
                <w:w w:val="90"/>
                <w:sz w:val="18"/>
              </w:rPr>
              <w:t>Focus</w:t>
            </w:r>
            <w:r>
              <w:rPr>
                <w:b/>
                <w:color w:val="FFFFFF"/>
                <w:spacing w:val="8"/>
                <w:sz w:val="18"/>
              </w:rPr>
              <w:t> </w:t>
            </w:r>
            <w:r>
              <w:rPr>
                <w:b/>
                <w:color w:val="FFFFFF"/>
                <w:spacing w:val="-4"/>
                <w:sz w:val="18"/>
              </w:rPr>
              <w:t>Area</w:t>
            </w:r>
          </w:p>
        </w:tc>
        <w:tc>
          <w:tcPr>
            <w:tcW w:w="1210" w:type="dxa"/>
            <w:tcBorders>
              <w:left w:val="single" w:sz="4" w:space="0" w:color="FFFFFF"/>
              <w:right w:val="single" w:sz="4" w:space="0" w:color="FFFFFF"/>
            </w:tcBorders>
            <w:shd w:val="clear" w:color="auto" w:fill="A7A9AC"/>
          </w:tcPr>
          <w:p>
            <w:pPr>
              <w:pStyle w:val="TableParagraph"/>
              <w:rPr>
                <w:b/>
                <w:sz w:val="18"/>
              </w:rPr>
            </w:pPr>
          </w:p>
          <w:p>
            <w:pPr>
              <w:pStyle w:val="TableParagraph"/>
              <w:spacing w:before="72"/>
              <w:rPr>
                <w:b/>
                <w:sz w:val="18"/>
              </w:rPr>
            </w:pPr>
          </w:p>
          <w:p>
            <w:pPr>
              <w:pStyle w:val="TableParagraph"/>
              <w:ind w:left="80"/>
              <w:rPr>
                <w:b/>
                <w:sz w:val="18"/>
              </w:rPr>
            </w:pPr>
            <w:r>
              <w:rPr>
                <w:b/>
                <w:color w:val="FFFFFF"/>
                <w:spacing w:val="-4"/>
                <w:sz w:val="18"/>
              </w:rPr>
              <w:t>Goal</w:t>
            </w:r>
          </w:p>
        </w:tc>
        <w:tc>
          <w:tcPr>
            <w:tcW w:w="1606" w:type="dxa"/>
            <w:tcBorders>
              <w:left w:val="single" w:sz="4" w:space="0" w:color="FFFFFF"/>
              <w:right w:val="single" w:sz="4" w:space="0" w:color="FFFFFF"/>
            </w:tcBorders>
            <w:shd w:val="clear" w:color="auto" w:fill="A7A9AC"/>
          </w:tcPr>
          <w:p>
            <w:pPr>
              <w:pStyle w:val="TableParagraph"/>
              <w:rPr>
                <w:b/>
                <w:sz w:val="18"/>
              </w:rPr>
            </w:pPr>
          </w:p>
          <w:p>
            <w:pPr>
              <w:pStyle w:val="TableParagraph"/>
              <w:spacing w:before="72"/>
              <w:rPr>
                <w:b/>
                <w:sz w:val="18"/>
              </w:rPr>
            </w:pPr>
          </w:p>
          <w:p>
            <w:pPr>
              <w:pStyle w:val="TableParagraph"/>
              <w:ind w:left="80"/>
              <w:rPr>
                <w:b/>
                <w:sz w:val="18"/>
              </w:rPr>
            </w:pPr>
            <w:r>
              <w:rPr>
                <w:b/>
                <w:color w:val="FFFFFF"/>
                <w:spacing w:val="-2"/>
                <w:sz w:val="18"/>
              </w:rPr>
              <w:t>Objectives</w:t>
            </w:r>
          </w:p>
        </w:tc>
        <w:tc>
          <w:tcPr>
            <w:tcW w:w="1066" w:type="dxa"/>
            <w:tcBorders>
              <w:left w:val="single" w:sz="4" w:space="0" w:color="FFFFFF"/>
              <w:right w:val="single" w:sz="4" w:space="0" w:color="FFFFFF"/>
            </w:tcBorders>
            <w:shd w:val="clear" w:color="auto" w:fill="A7A9AC"/>
          </w:tcPr>
          <w:p>
            <w:pPr>
              <w:pStyle w:val="TableParagraph"/>
              <w:rPr>
                <w:b/>
                <w:sz w:val="18"/>
              </w:rPr>
            </w:pPr>
          </w:p>
          <w:p>
            <w:pPr>
              <w:pStyle w:val="TableParagraph"/>
              <w:spacing w:before="72"/>
              <w:rPr>
                <w:b/>
                <w:sz w:val="18"/>
              </w:rPr>
            </w:pPr>
          </w:p>
          <w:p>
            <w:pPr>
              <w:pStyle w:val="TableParagraph"/>
              <w:ind w:left="79"/>
              <w:rPr>
                <w:b/>
                <w:sz w:val="18"/>
              </w:rPr>
            </w:pPr>
            <w:r>
              <w:rPr>
                <w:b/>
                <w:color w:val="FFFFFF"/>
                <w:spacing w:val="-2"/>
                <w:sz w:val="18"/>
              </w:rPr>
              <w:t>Disparities</w:t>
            </w:r>
          </w:p>
        </w:tc>
        <w:tc>
          <w:tcPr>
            <w:tcW w:w="2225" w:type="dxa"/>
            <w:tcBorders>
              <w:left w:val="single" w:sz="4" w:space="0" w:color="FFFFFF"/>
              <w:right w:val="single" w:sz="4" w:space="0" w:color="FFFFFF"/>
            </w:tcBorders>
            <w:shd w:val="clear" w:color="auto" w:fill="A7A9AC"/>
          </w:tcPr>
          <w:p>
            <w:pPr>
              <w:pStyle w:val="TableParagraph"/>
              <w:rPr>
                <w:b/>
                <w:sz w:val="18"/>
              </w:rPr>
            </w:pPr>
          </w:p>
          <w:p>
            <w:pPr>
              <w:pStyle w:val="TableParagraph"/>
              <w:spacing w:before="72"/>
              <w:rPr>
                <w:b/>
                <w:sz w:val="18"/>
              </w:rPr>
            </w:pPr>
          </w:p>
          <w:p>
            <w:pPr>
              <w:pStyle w:val="TableParagraph"/>
              <w:ind w:left="79"/>
              <w:rPr>
                <w:b/>
                <w:sz w:val="18"/>
              </w:rPr>
            </w:pPr>
            <w:r>
              <w:rPr>
                <w:b/>
                <w:color w:val="FFFFFF"/>
                <w:spacing w:val="-2"/>
                <w:sz w:val="18"/>
              </w:rPr>
              <w:t>Interventions</w:t>
            </w:r>
          </w:p>
        </w:tc>
        <w:tc>
          <w:tcPr>
            <w:tcW w:w="5386" w:type="dxa"/>
            <w:tcBorders>
              <w:left w:val="single" w:sz="4" w:space="0" w:color="FFFFFF"/>
              <w:right w:val="single" w:sz="4" w:space="0" w:color="FFFFFF"/>
            </w:tcBorders>
            <w:shd w:val="clear" w:color="auto" w:fill="A7A9AC"/>
          </w:tcPr>
          <w:p>
            <w:pPr>
              <w:pStyle w:val="TableParagraph"/>
              <w:spacing w:line="204" w:lineRule="exact" w:before="186"/>
              <w:ind w:left="3786"/>
              <w:rPr>
                <w:b/>
                <w:sz w:val="18"/>
              </w:rPr>
            </w:pPr>
            <w:r>
              <w:rPr>
                <w:b/>
                <w:color w:val="FFFFFF"/>
                <w:sz w:val="18"/>
              </w:rPr>
              <w:t>Projected</w:t>
            </w:r>
            <w:r>
              <w:rPr>
                <w:b/>
                <w:color w:val="FFFFFF"/>
                <w:spacing w:val="-13"/>
                <w:sz w:val="18"/>
              </w:rPr>
              <w:t> </w:t>
            </w:r>
            <w:r>
              <w:rPr>
                <w:b/>
                <w:color w:val="FFFFFF"/>
                <w:spacing w:val="-5"/>
                <w:sz w:val="18"/>
              </w:rPr>
              <w:t>(or</w:t>
            </w:r>
          </w:p>
          <w:p>
            <w:pPr>
              <w:pStyle w:val="TableParagraph"/>
              <w:tabs>
                <w:tab w:pos="3786" w:val="left" w:leader="none"/>
              </w:tabs>
              <w:spacing w:line="115" w:lineRule="auto" w:before="84"/>
              <w:ind w:left="3786" w:right="630" w:hanging="3698"/>
              <w:rPr>
                <w:b/>
                <w:sz w:val="18"/>
              </w:rPr>
            </w:pPr>
            <w:r>
              <w:rPr>
                <w:b/>
                <w:color w:val="FFFFFF"/>
                <w:sz w:val="18"/>
              </w:rPr>
              <w:t>Family of Measures</w:t>
              <w:tab/>
            </w:r>
            <w:r>
              <w:rPr>
                <w:b/>
                <w:color w:val="FFFFFF"/>
                <w:spacing w:val="-2"/>
                <w:position w:val="10"/>
                <w:sz w:val="18"/>
              </w:rPr>
              <w:t>completed) </w:t>
            </w:r>
            <w:r>
              <w:rPr>
                <w:b/>
                <w:color w:val="FFFFFF"/>
                <w:sz w:val="18"/>
              </w:rPr>
              <w:t>Year 1</w:t>
            </w:r>
          </w:p>
          <w:p>
            <w:pPr>
              <w:pStyle w:val="TableParagraph"/>
              <w:spacing w:before="14"/>
              <w:ind w:left="3786"/>
              <w:rPr>
                <w:b/>
                <w:sz w:val="18"/>
              </w:rPr>
            </w:pPr>
            <w:r>
              <w:rPr>
                <w:b/>
                <w:color w:val="FFFFFF"/>
                <w:spacing w:val="-2"/>
                <w:sz w:val="18"/>
              </w:rPr>
              <w:t>Intervention</w:t>
            </w:r>
          </w:p>
        </w:tc>
        <w:tc>
          <w:tcPr>
            <w:tcW w:w="1858" w:type="dxa"/>
            <w:tcBorders>
              <w:left w:val="single" w:sz="4" w:space="0" w:color="FFFFFF"/>
              <w:right w:val="single" w:sz="4" w:space="0" w:color="FFFFFF"/>
            </w:tcBorders>
            <w:shd w:val="clear" w:color="auto" w:fill="A7A9AC"/>
          </w:tcPr>
          <w:p>
            <w:pPr>
              <w:pStyle w:val="TableParagraph"/>
              <w:rPr>
                <w:b/>
                <w:sz w:val="18"/>
              </w:rPr>
            </w:pPr>
          </w:p>
          <w:p>
            <w:pPr>
              <w:pStyle w:val="TableParagraph"/>
              <w:spacing w:before="72"/>
              <w:rPr>
                <w:b/>
                <w:sz w:val="18"/>
              </w:rPr>
            </w:pPr>
          </w:p>
          <w:p>
            <w:pPr>
              <w:pStyle w:val="TableParagraph"/>
              <w:ind w:left="78"/>
              <w:rPr>
                <w:b/>
                <w:sz w:val="18"/>
              </w:rPr>
            </w:pPr>
            <w:r>
              <w:rPr>
                <w:b/>
                <w:color w:val="FFFFFF"/>
                <w:spacing w:val="-2"/>
                <w:sz w:val="18"/>
              </w:rPr>
              <w:t>Projected</w:t>
            </w:r>
            <w:r>
              <w:rPr>
                <w:b/>
                <w:color w:val="FFFFFF"/>
                <w:spacing w:val="-6"/>
                <w:sz w:val="18"/>
              </w:rPr>
              <w:t> </w:t>
            </w:r>
            <w:r>
              <w:rPr>
                <w:b/>
                <w:color w:val="FFFFFF"/>
                <w:spacing w:val="-2"/>
                <w:sz w:val="18"/>
              </w:rPr>
              <w:t>Year</w:t>
            </w:r>
            <w:r>
              <w:rPr>
                <w:b/>
                <w:color w:val="FFFFFF"/>
                <w:spacing w:val="-5"/>
                <w:sz w:val="18"/>
              </w:rPr>
              <w:t> </w:t>
            </w:r>
            <w:r>
              <w:rPr>
                <w:b/>
                <w:color w:val="FFFFFF"/>
                <w:spacing w:val="-12"/>
                <w:sz w:val="18"/>
              </w:rPr>
              <w:t>2</w:t>
            </w:r>
          </w:p>
        </w:tc>
        <w:tc>
          <w:tcPr>
            <w:tcW w:w="1973" w:type="dxa"/>
            <w:tcBorders>
              <w:left w:val="single" w:sz="4" w:space="0" w:color="FFFFFF"/>
              <w:right w:val="single" w:sz="4" w:space="0" w:color="FFFFFF"/>
            </w:tcBorders>
            <w:shd w:val="clear" w:color="auto" w:fill="A7A9AC"/>
          </w:tcPr>
          <w:p>
            <w:pPr>
              <w:pStyle w:val="TableParagraph"/>
              <w:spacing w:before="183"/>
              <w:rPr>
                <w:b/>
                <w:sz w:val="18"/>
              </w:rPr>
            </w:pPr>
          </w:p>
          <w:p>
            <w:pPr>
              <w:pStyle w:val="TableParagraph"/>
              <w:spacing w:line="232" w:lineRule="auto" w:before="1"/>
              <w:ind w:left="78"/>
              <w:rPr>
                <w:b/>
                <w:sz w:val="18"/>
              </w:rPr>
            </w:pPr>
            <w:r>
              <w:rPr>
                <w:b/>
                <w:color w:val="FFFFFF"/>
                <w:spacing w:val="-2"/>
                <w:sz w:val="18"/>
              </w:rPr>
              <w:t>Projected</w:t>
            </w:r>
            <w:r>
              <w:rPr>
                <w:b/>
                <w:color w:val="FFFFFF"/>
                <w:spacing w:val="-13"/>
                <w:sz w:val="18"/>
              </w:rPr>
              <w:t> </w:t>
            </w:r>
            <w:r>
              <w:rPr>
                <w:b/>
                <w:color w:val="FFFFFF"/>
                <w:spacing w:val="-2"/>
                <w:sz w:val="18"/>
              </w:rPr>
              <w:t>Year</w:t>
            </w:r>
            <w:r>
              <w:rPr>
                <w:b/>
                <w:color w:val="FFFFFF"/>
                <w:spacing w:val="-10"/>
                <w:sz w:val="18"/>
              </w:rPr>
              <w:t> </w:t>
            </w:r>
            <w:r>
              <w:rPr>
                <w:b/>
                <w:color w:val="FFFFFF"/>
                <w:spacing w:val="-2"/>
                <w:sz w:val="18"/>
              </w:rPr>
              <w:t>3 Interventions</w:t>
            </w:r>
          </w:p>
        </w:tc>
        <w:tc>
          <w:tcPr>
            <w:tcW w:w="1498" w:type="dxa"/>
            <w:tcBorders>
              <w:left w:val="single" w:sz="4" w:space="0" w:color="FFFFFF"/>
            </w:tcBorders>
            <w:shd w:val="clear" w:color="auto" w:fill="A7A9AC"/>
          </w:tcPr>
          <w:p>
            <w:pPr>
              <w:pStyle w:val="TableParagraph"/>
              <w:spacing w:before="183"/>
              <w:rPr>
                <w:b/>
                <w:sz w:val="18"/>
              </w:rPr>
            </w:pPr>
          </w:p>
          <w:p>
            <w:pPr>
              <w:pStyle w:val="TableParagraph"/>
              <w:spacing w:line="232" w:lineRule="auto" w:before="1"/>
              <w:ind w:left="78"/>
              <w:rPr>
                <w:b/>
                <w:sz w:val="18"/>
              </w:rPr>
            </w:pPr>
            <w:r>
              <w:rPr>
                <w:b/>
                <w:color w:val="FFFFFF"/>
                <w:spacing w:val="-2"/>
                <w:sz w:val="18"/>
              </w:rPr>
              <w:t>Implementation Partner</w:t>
            </w:r>
          </w:p>
        </w:tc>
        <w:tc>
          <w:tcPr>
            <w:tcW w:w="3163" w:type="dxa"/>
            <w:shd w:val="clear" w:color="auto" w:fill="A7A9AC"/>
          </w:tcPr>
          <w:p>
            <w:pPr>
              <w:pStyle w:val="TableParagraph"/>
              <w:rPr>
                <w:b/>
                <w:sz w:val="18"/>
              </w:rPr>
            </w:pPr>
          </w:p>
          <w:p>
            <w:pPr>
              <w:pStyle w:val="TableParagraph"/>
              <w:spacing w:before="71"/>
              <w:rPr>
                <w:b/>
                <w:sz w:val="18"/>
              </w:rPr>
            </w:pPr>
          </w:p>
          <w:p>
            <w:pPr>
              <w:pStyle w:val="TableParagraph"/>
              <w:spacing w:before="1"/>
              <w:ind w:left="77"/>
              <w:rPr>
                <w:b/>
                <w:sz w:val="18"/>
              </w:rPr>
            </w:pPr>
            <w:r>
              <w:rPr>
                <w:b/>
                <w:color w:val="FFFFFF"/>
                <w:spacing w:val="-4"/>
                <w:sz w:val="18"/>
              </w:rPr>
              <w:t>Partner</w:t>
            </w:r>
            <w:r>
              <w:rPr>
                <w:b/>
                <w:color w:val="FFFFFF"/>
                <w:spacing w:val="-1"/>
                <w:sz w:val="18"/>
              </w:rPr>
              <w:t> </w:t>
            </w:r>
            <w:r>
              <w:rPr>
                <w:b/>
                <w:color w:val="FFFFFF"/>
                <w:spacing w:val="-4"/>
                <w:sz w:val="18"/>
              </w:rPr>
              <w:t>Role(s)</w:t>
            </w:r>
            <w:r>
              <w:rPr>
                <w:b/>
                <w:color w:val="FFFFFF"/>
                <w:sz w:val="18"/>
              </w:rPr>
              <w:t> </w:t>
            </w:r>
            <w:r>
              <w:rPr>
                <w:b/>
                <w:color w:val="FFFFFF"/>
                <w:spacing w:val="-4"/>
                <w:sz w:val="18"/>
              </w:rPr>
              <w:t>and</w:t>
            </w:r>
            <w:r>
              <w:rPr>
                <w:b/>
                <w:color w:val="FFFFFF"/>
                <w:sz w:val="18"/>
              </w:rPr>
              <w:t> </w:t>
            </w:r>
            <w:r>
              <w:rPr>
                <w:b/>
                <w:color w:val="FFFFFF"/>
                <w:spacing w:val="-4"/>
                <w:sz w:val="18"/>
              </w:rPr>
              <w:t>Resources</w:t>
            </w:r>
          </w:p>
        </w:tc>
      </w:tr>
      <w:tr>
        <w:trPr>
          <w:trHeight w:val="5800" w:hRule="atLeast"/>
        </w:trPr>
        <w:tc>
          <w:tcPr>
            <w:tcW w:w="1180" w:type="dxa"/>
            <w:vMerge w:val="restart"/>
            <w:shd w:val="clear" w:color="auto" w:fill="E6E7E8"/>
          </w:tcPr>
          <w:p>
            <w:pPr>
              <w:pStyle w:val="TableParagraph"/>
              <w:spacing w:line="232" w:lineRule="auto" w:before="101"/>
              <w:ind w:left="89" w:right="87"/>
              <w:rPr>
                <w:sz w:val="18"/>
              </w:rPr>
            </w:pPr>
            <w:r>
              <w:rPr>
                <w:color w:val="105C84"/>
                <w:spacing w:val="-2"/>
                <w:sz w:val="18"/>
              </w:rPr>
              <w:t>Promote Well-Being </w:t>
            </w:r>
            <w:r>
              <w:rPr>
                <w:color w:val="105C84"/>
                <w:sz w:val="18"/>
              </w:rPr>
              <w:t>and</w:t>
            </w:r>
            <w:r>
              <w:rPr>
                <w:color w:val="105C84"/>
                <w:spacing w:val="-13"/>
                <w:sz w:val="18"/>
              </w:rPr>
              <w:t> </w:t>
            </w:r>
            <w:r>
              <w:rPr>
                <w:color w:val="105C84"/>
                <w:sz w:val="18"/>
              </w:rPr>
              <w:t>Prevent Mental and </w:t>
            </w:r>
            <w:r>
              <w:rPr>
                <w:color w:val="105C84"/>
                <w:spacing w:val="-2"/>
                <w:sz w:val="18"/>
              </w:rPr>
              <w:t>Substance </w:t>
            </w:r>
            <w:r>
              <w:rPr>
                <w:color w:val="105C84"/>
                <w:spacing w:val="-4"/>
                <w:sz w:val="18"/>
              </w:rPr>
              <w:t>Use </w:t>
            </w:r>
            <w:r>
              <w:rPr>
                <w:color w:val="105C84"/>
                <w:spacing w:val="-2"/>
                <w:sz w:val="18"/>
              </w:rPr>
              <w:t>Disorders</w:t>
            </w:r>
          </w:p>
        </w:tc>
        <w:tc>
          <w:tcPr>
            <w:tcW w:w="1152" w:type="dxa"/>
            <w:vMerge w:val="restart"/>
          </w:tcPr>
          <w:p>
            <w:pPr>
              <w:pStyle w:val="TableParagraph"/>
              <w:spacing w:line="232" w:lineRule="auto" w:before="100"/>
              <w:ind w:left="90" w:right="140"/>
              <w:rPr>
                <w:sz w:val="18"/>
              </w:rPr>
            </w:pPr>
            <w:r>
              <w:rPr>
                <w:color w:val="105C84"/>
                <w:spacing w:val="-2"/>
                <w:sz w:val="18"/>
              </w:rPr>
              <w:t>Focus</w:t>
            </w:r>
            <w:r>
              <w:rPr>
                <w:color w:val="105C84"/>
                <w:spacing w:val="-11"/>
                <w:sz w:val="18"/>
              </w:rPr>
              <w:t> </w:t>
            </w:r>
            <w:r>
              <w:rPr>
                <w:color w:val="105C84"/>
                <w:spacing w:val="-2"/>
                <w:sz w:val="18"/>
              </w:rPr>
              <w:t>Area </w:t>
            </w:r>
            <w:r>
              <w:rPr>
                <w:color w:val="105C84"/>
                <w:sz w:val="18"/>
              </w:rPr>
              <w:t>2: Prevent Mental</w:t>
            </w:r>
            <w:r>
              <w:rPr>
                <w:color w:val="105C84"/>
                <w:spacing w:val="-13"/>
                <w:sz w:val="18"/>
              </w:rPr>
              <w:t> </w:t>
            </w:r>
            <w:r>
              <w:rPr>
                <w:color w:val="105C84"/>
                <w:sz w:val="18"/>
              </w:rPr>
              <w:t>and </w:t>
            </w:r>
            <w:r>
              <w:rPr>
                <w:color w:val="105C84"/>
                <w:spacing w:val="-2"/>
                <w:sz w:val="18"/>
              </w:rPr>
              <w:t>Substance </w:t>
            </w:r>
            <w:r>
              <w:rPr>
                <w:color w:val="105C84"/>
                <w:spacing w:val="-4"/>
                <w:sz w:val="18"/>
              </w:rPr>
              <w:t>User </w:t>
            </w:r>
            <w:r>
              <w:rPr>
                <w:color w:val="105C84"/>
                <w:spacing w:val="-2"/>
                <w:sz w:val="18"/>
              </w:rPr>
              <w:t>Disorders</w:t>
            </w:r>
          </w:p>
        </w:tc>
        <w:tc>
          <w:tcPr>
            <w:tcW w:w="1210" w:type="dxa"/>
            <w:vMerge w:val="restart"/>
          </w:tcPr>
          <w:p>
            <w:pPr>
              <w:pStyle w:val="TableParagraph"/>
              <w:spacing w:line="232" w:lineRule="auto" w:before="100"/>
              <w:ind w:left="90" w:right="365"/>
              <w:rPr>
                <w:sz w:val="18"/>
              </w:rPr>
            </w:pPr>
            <w:r>
              <w:rPr>
                <w:color w:val="105C84"/>
                <w:sz w:val="18"/>
              </w:rPr>
              <w:t>Goal</w:t>
            </w:r>
            <w:r>
              <w:rPr>
                <w:color w:val="105C84"/>
                <w:spacing w:val="-13"/>
                <w:sz w:val="18"/>
              </w:rPr>
              <w:t> </w:t>
            </w:r>
            <w:r>
              <w:rPr>
                <w:color w:val="105C84"/>
                <w:sz w:val="18"/>
              </w:rPr>
              <w:t>2.2: </w:t>
            </w:r>
            <w:r>
              <w:rPr>
                <w:color w:val="105C84"/>
                <w:spacing w:val="-2"/>
                <w:sz w:val="18"/>
              </w:rPr>
              <w:t>Prevent opioid overdose deaths</w:t>
            </w:r>
          </w:p>
        </w:tc>
        <w:tc>
          <w:tcPr>
            <w:tcW w:w="1606" w:type="dxa"/>
            <w:vMerge w:val="restart"/>
          </w:tcPr>
          <w:p>
            <w:pPr>
              <w:pStyle w:val="TableParagraph"/>
              <w:spacing w:line="232" w:lineRule="auto" w:before="100"/>
              <w:ind w:left="89" w:right="140"/>
              <w:rPr>
                <w:sz w:val="18"/>
              </w:rPr>
            </w:pPr>
            <w:r>
              <w:rPr>
                <w:color w:val="105C84"/>
                <w:sz w:val="18"/>
              </w:rPr>
              <w:t>2.2.1: Reduce the</w:t>
            </w:r>
            <w:r>
              <w:rPr>
                <w:color w:val="105C84"/>
                <w:spacing w:val="-13"/>
                <w:sz w:val="18"/>
              </w:rPr>
              <w:t> </w:t>
            </w:r>
            <w:r>
              <w:rPr>
                <w:color w:val="105C84"/>
                <w:sz w:val="18"/>
              </w:rPr>
              <w:t>age-</w:t>
            </w:r>
            <w:r>
              <w:rPr>
                <w:color w:val="105C84"/>
                <w:sz w:val="18"/>
              </w:rPr>
              <w:t>adjusted</w:t>
            </w:r>
            <w:r>
              <w:rPr>
                <w:color w:val="105C84"/>
                <w:sz w:val="18"/>
              </w:rPr>
              <w:t> overdose</w:t>
            </w:r>
            <w:r>
              <w:rPr>
                <w:color w:val="105C84"/>
                <w:spacing w:val="-5"/>
                <w:sz w:val="18"/>
              </w:rPr>
              <w:t> </w:t>
            </w:r>
            <w:r>
              <w:rPr>
                <w:color w:val="105C84"/>
                <w:sz w:val="18"/>
              </w:rPr>
              <w:t>deaths involving any opioid by 7% to</w:t>
            </w:r>
          </w:p>
          <w:p>
            <w:pPr>
              <w:pStyle w:val="TableParagraph"/>
              <w:spacing w:line="194" w:lineRule="exact"/>
              <w:ind w:left="89"/>
              <w:rPr>
                <w:sz w:val="18"/>
              </w:rPr>
            </w:pPr>
            <w:r>
              <w:rPr>
                <w:color w:val="105C84"/>
                <w:sz w:val="18"/>
              </w:rPr>
              <w:t>14.0</w:t>
            </w:r>
            <w:r>
              <w:rPr>
                <w:color w:val="105C84"/>
                <w:spacing w:val="-13"/>
                <w:sz w:val="18"/>
              </w:rPr>
              <w:t> </w:t>
            </w:r>
            <w:r>
              <w:rPr>
                <w:color w:val="105C84"/>
                <w:sz w:val="18"/>
              </w:rPr>
              <w:t>per</w:t>
            </w:r>
            <w:r>
              <w:rPr>
                <w:color w:val="105C84"/>
                <w:spacing w:val="-12"/>
                <w:sz w:val="18"/>
              </w:rPr>
              <w:t> </w:t>
            </w:r>
            <w:r>
              <w:rPr>
                <w:color w:val="105C84"/>
                <w:spacing w:val="-2"/>
                <w:sz w:val="18"/>
              </w:rPr>
              <w:t>100,000</w:t>
            </w:r>
          </w:p>
          <w:p>
            <w:pPr>
              <w:pStyle w:val="TableParagraph"/>
              <w:spacing w:line="203" w:lineRule="exact"/>
              <w:ind w:left="89"/>
              <w:rPr>
                <w:sz w:val="18"/>
              </w:rPr>
            </w:pPr>
            <w:r>
              <w:rPr>
                <w:color w:val="105C84"/>
                <w:spacing w:val="-2"/>
                <w:w w:val="105"/>
                <w:sz w:val="18"/>
              </w:rPr>
              <w:t>population</w:t>
            </w:r>
          </w:p>
        </w:tc>
        <w:tc>
          <w:tcPr>
            <w:tcW w:w="1066" w:type="dxa"/>
            <w:vMerge w:val="restart"/>
          </w:tcPr>
          <w:p>
            <w:pPr>
              <w:pStyle w:val="TableParagraph"/>
              <w:rPr>
                <w:rFonts w:ascii="Times New Roman"/>
                <w:sz w:val="18"/>
              </w:rPr>
            </w:pPr>
          </w:p>
        </w:tc>
        <w:tc>
          <w:tcPr>
            <w:tcW w:w="2225" w:type="dxa"/>
          </w:tcPr>
          <w:p>
            <w:pPr>
              <w:pStyle w:val="TableParagraph"/>
              <w:spacing w:line="232" w:lineRule="auto" w:before="100"/>
              <w:ind w:left="89" w:right="142"/>
              <w:rPr>
                <w:sz w:val="18"/>
              </w:rPr>
            </w:pPr>
            <w:r>
              <w:rPr>
                <w:color w:val="105C84"/>
                <w:spacing w:val="-2"/>
                <w:sz w:val="18"/>
              </w:rPr>
              <w:t>2.2.5</w:t>
            </w:r>
            <w:r>
              <w:rPr>
                <w:color w:val="105C84"/>
                <w:spacing w:val="-5"/>
                <w:sz w:val="18"/>
              </w:rPr>
              <w:t> </w:t>
            </w:r>
            <w:r>
              <w:rPr>
                <w:color w:val="105C84"/>
                <w:spacing w:val="-2"/>
                <w:sz w:val="18"/>
              </w:rPr>
              <w:t>Establish</w:t>
            </w:r>
            <w:r>
              <w:rPr>
                <w:color w:val="105C84"/>
                <w:spacing w:val="-5"/>
                <w:sz w:val="18"/>
              </w:rPr>
              <w:t> </w:t>
            </w:r>
            <w:r>
              <w:rPr>
                <w:color w:val="105C84"/>
                <w:spacing w:val="-2"/>
                <w:sz w:val="18"/>
              </w:rPr>
              <w:t>additiona</w:t>
            </w:r>
            <w:r>
              <w:rPr>
                <w:color w:val="105C84"/>
                <w:spacing w:val="-2"/>
                <w:sz w:val="18"/>
              </w:rPr>
              <w:t>l</w:t>
            </w:r>
            <w:r>
              <w:rPr>
                <w:color w:val="105C84"/>
                <w:spacing w:val="-2"/>
                <w:sz w:val="18"/>
              </w:rPr>
              <w:t> </w:t>
            </w:r>
            <w:r>
              <w:rPr>
                <w:color w:val="105C84"/>
                <w:sz w:val="18"/>
              </w:rPr>
              <w:t>permanent</w:t>
            </w:r>
            <w:r>
              <w:rPr>
                <w:color w:val="105C84"/>
                <w:spacing w:val="-9"/>
                <w:sz w:val="18"/>
              </w:rPr>
              <w:t> </w:t>
            </w:r>
            <w:r>
              <w:rPr>
                <w:color w:val="105C84"/>
                <w:sz w:val="18"/>
              </w:rPr>
              <w:t>safe</w:t>
            </w:r>
            <w:r>
              <w:rPr>
                <w:color w:val="105C84"/>
                <w:spacing w:val="-9"/>
                <w:sz w:val="18"/>
              </w:rPr>
              <w:t> </w:t>
            </w:r>
            <w:r>
              <w:rPr>
                <w:color w:val="105C84"/>
                <w:sz w:val="18"/>
              </w:rPr>
              <w:t>disposal sites for prescription drugs and organized take-back days</w:t>
            </w:r>
          </w:p>
        </w:tc>
        <w:tc>
          <w:tcPr>
            <w:tcW w:w="5386" w:type="dxa"/>
          </w:tcPr>
          <w:p>
            <w:pPr>
              <w:pStyle w:val="TableParagraph"/>
              <w:tabs>
                <w:tab w:pos="3786" w:val="left" w:leader="none"/>
              </w:tabs>
              <w:spacing w:line="203" w:lineRule="exact" w:before="95"/>
              <w:ind w:left="88"/>
              <w:rPr>
                <w:sz w:val="18"/>
              </w:rPr>
            </w:pPr>
            <w:r>
              <w:rPr>
                <w:color w:val="105C84"/>
                <w:sz w:val="18"/>
              </w:rPr>
              <w:t>#</w:t>
            </w:r>
            <w:r>
              <w:rPr>
                <w:color w:val="105C84"/>
                <w:spacing w:val="-7"/>
                <w:sz w:val="18"/>
              </w:rPr>
              <w:t> </w:t>
            </w:r>
            <w:r>
              <w:rPr>
                <w:color w:val="105C84"/>
                <w:sz w:val="18"/>
              </w:rPr>
              <w:t>of</w:t>
            </w:r>
            <w:r>
              <w:rPr>
                <w:color w:val="105C84"/>
                <w:spacing w:val="-5"/>
                <w:sz w:val="18"/>
              </w:rPr>
              <w:t> </w:t>
            </w:r>
            <w:r>
              <w:rPr>
                <w:color w:val="105C84"/>
                <w:sz w:val="18"/>
              </w:rPr>
              <w:t>lbs.</w:t>
            </w:r>
            <w:r>
              <w:rPr>
                <w:color w:val="105C84"/>
                <w:spacing w:val="-4"/>
                <w:sz w:val="18"/>
              </w:rPr>
              <w:t> </w:t>
            </w:r>
            <w:r>
              <w:rPr>
                <w:color w:val="105C84"/>
                <w:spacing w:val="-2"/>
                <w:sz w:val="18"/>
              </w:rPr>
              <w:t>collected</w:t>
            </w:r>
            <w:r>
              <w:rPr>
                <w:color w:val="105C84"/>
                <w:sz w:val="18"/>
              </w:rPr>
              <w:tab/>
            </w:r>
            <w:r>
              <w:rPr>
                <w:color w:val="105C84"/>
                <w:spacing w:val="-2"/>
                <w:sz w:val="18"/>
              </w:rPr>
              <w:t>To</w:t>
            </w:r>
            <w:r>
              <w:rPr>
                <w:color w:val="105C84"/>
                <w:spacing w:val="-10"/>
                <w:sz w:val="18"/>
              </w:rPr>
              <w:t> </w:t>
            </w:r>
            <w:r>
              <w:rPr>
                <w:color w:val="105C84"/>
                <w:spacing w:val="-2"/>
                <w:sz w:val="18"/>
              </w:rPr>
              <w:t>establish</w:t>
            </w:r>
            <w:r>
              <w:rPr>
                <w:color w:val="105C84"/>
                <w:spacing w:val="-10"/>
                <w:sz w:val="18"/>
              </w:rPr>
              <w:t> </w:t>
            </w:r>
            <w:r>
              <w:rPr>
                <w:color w:val="105C84"/>
                <w:spacing w:val="-5"/>
                <w:sz w:val="18"/>
              </w:rPr>
              <w:t>at</w:t>
            </w:r>
          </w:p>
          <w:p>
            <w:pPr>
              <w:pStyle w:val="TableParagraph"/>
              <w:tabs>
                <w:tab w:pos="3786" w:val="left" w:leader="none"/>
              </w:tabs>
              <w:spacing w:line="200" w:lineRule="exact"/>
              <w:ind w:left="88"/>
              <w:rPr>
                <w:sz w:val="18"/>
              </w:rPr>
            </w:pPr>
            <w:r>
              <w:rPr>
                <w:color w:val="105C84"/>
                <w:sz w:val="18"/>
              </w:rPr>
              <w:t>from</w:t>
            </w:r>
            <w:r>
              <w:rPr>
                <w:color w:val="105C84"/>
                <w:spacing w:val="7"/>
                <w:sz w:val="18"/>
              </w:rPr>
              <w:t> </w:t>
            </w:r>
            <w:r>
              <w:rPr>
                <w:color w:val="105C84"/>
                <w:sz w:val="18"/>
              </w:rPr>
              <w:t>the</w:t>
            </w:r>
            <w:r>
              <w:rPr>
                <w:color w:val="105C84"/>
                <w:spacing w:val="7"/>
                <w:sz w:val="18"/>
              </w:rPr>
              <w:t> </w:t>
            </w:r>
            <w:r>
              <w:rPr>
                <w:color w:val="105C84"/>
                <w:sz w:val="18"/>
              </w:rPr>
              <w:t>Med</w:t>
            </w:r>
            <w:r>
              <w:rPr>
                <w:color w:val="105C84"/>
                <w:spacing w:val="7"/>
                <w:sz w:val="18"/>
              </w:rPr>
              <w:t> </w:t>
            </w:r>
            <w:r>
              <w:rPr>
                <w:color w:val="105C84"/>
                <w:spacing w:val="-4"/>
                <w:sz w:val="18"/>
              </w:rPr>
              <w:t>Safe</w:t>
            </w:r>
            <w:r>
              <w:rPr>
                <w:color w:val="105C84"/>
                <w:sz w:val="18"/>
              </w:rPr>
              <w:tab/>
              <w:t>least</w:t>
            </w:r>
            <w:r>
              <w:rPr>
                <w:color w:val="105C84"/>
                <w:spacing w:val="-12"/>
                <w:sz w:val="18"/>
              </w:rPr>
              <w:t> </w:t>
            </w:r>
            <w:r>
              <w:rPr>
                <w:color w:val="105C84"/>
                <w:sz w:val="18"/>
              </w:rPr>
              <w:t>1</w:t>
            </w:r>
            <w:r>
              <w:rPr>
                <w:color w:val="105C84"/>
                <w:spacing w:val="-11"/>
                <w:sz w:val="18"/>
              </w:rPr>
              <w:t> </w:t>
            </w:r>
            <w:r>
              <w:rPr>
                <w:color w:val="105C84"/>
                <w:spacing w:val="-2"/>
                <w:sz w:val="18"/>
              </w:rPr>
              <w:t>additional</w:t>
            </w:r>
          </w:p>
          <w:p>
            <w:pPr>
              <w:pStyle w:val="TableParagraph"/>
              <w:tabs>
                <w:tab w:pos="3786" w:val="left" w:leader="none"/>
              </w:tabs>
              <w:spacing w:line="200" w:lineRule="exact"/>
              <w:ind w:left="88"/>
              <w:rPr>
                <w:sz w:val="18"/>
              </w:rPr>
            </w:pPr>
            <w:r>
              <w:rPr>
                <w:color w:val="105C84"/>
                <w:sz w:val="18"/>
              </w:rPr>
              <w:t>drug</w:t>
            </w:r>
            <w:r>
              <w:rPr>
                <w:color w:val="105C84"/>
                <w:spacing w:val="3"/>
                <w:sz w:val="18"/>
              </w:rPr>
              <w:t> </w:t>
            </w:r>
            <w:r>
              <w:rPr>
                <w:color w:val="105C84"/>
                <w:sz w:val="18"/>
              </w:rPr>
              <w:t>disposal</w:t>
            </w:r>
            <w:r>
              <w:rPr>
                <w:color w:val="105C84"/>
                <w:spacing w:val="4"/>
                <w:sz w:val="18"/>
              </w:rPr>
              <w:t> </w:t>
            </w:r>
            <w:r>
              <w:rPr>
                <w:color w:val="105C84"/>
                <w:spacing w:val="-2"/>
                <w:sz w:val="18"/>
              </w:rPr>
              <w:t>units</w:t>
            </w:r>
            <w:r>
              <w:rPr>
                <w:color w:val="105C84"/>
                <w:sz w:val="18"/>
              </w:rPr>
              <w:tab/>
              <w:t>medication</w:t>
            </w:r>
            <w:r>
              <w:rPr>
                <w:color w:val="105C84"/>
                <w:spacing w:val="18"/>
                <w:sz w:val="18"/>
              </w:rPr>
              <w:t> </w:t>
            </w:r>
            <w:r>
              <w:rPr>
                <w:color w:val="105C84"/>
                <w:spacing w:val="-4"/>
                <w:sz w:val="18"/>
              </w:rPr>
              <w:t>drop</w:t>
            </w:r>
          </w:p>
          <w:p>
            <w:pPr>
              <w:pStyle w:val="TableParagraph"/>
              <w:tabs>
                <w:tab w:pos="3786" w:val="left" w:leader="none"/>
              </w:tabs>
              <w:spacing w:line="245" w:lineRule="exact"/>
              <w:ind w:left="88"/>
              <w:rPr>
                <w:position w:val="9"/>
                <w:sz w:val="18"/>
              </w:rPr>
            </w:pPr>
            <w:r>
              <w:rPr>
                <w:color w:val="105C84"/>
                <w:sz w:val="18"/>
              </w:rPr>
              <w:t>#</w:t>
            </w:r>
            <w:r>
              <w:rPr>
                <w:color w:val="105C84"/>
                <w:spacing w:val="-7"/>
                <w:sz w:val="18"/>
              </w:rPr>
              <w:t> </w:t>
            </w:r>
            <w:r>
              <w:rPr>
                <w:color w:val="105C84"/>
                <w:sz w:val="18"/>
              </w:rPr>
              <w:t>of</w:t>
            </w:r>
            <w:r>
              <w:rPr>
                <w:color w:val="105C84"/>
                <w:spacing w:val="-6"/>
                <w:sz w:val="18"/>
              </w:rPr>
              <w:t> </w:t>
            </w:r>
            <w:r>
              <w:rPr>
                <w:color w:val="105C84"/>
                <w:sz w:val="18"/>
              </w:rPr>
              <w:t>Units</w:t>
            </w:r>
            <w:r>
              <w:rPr>
                <w:color w:val="105C84"/>
                <w:spacing w:val="-6"/>
                <w:sz w:val="18"/>
              </w:rPr>
              <w:t> </w:t>
            </w:r>
            <w:r>
              <w:rPr>
                <w:color w:val="105C84"/>
                <w:spacing w:val="-2"/>
                <w:sz w:val="18"/>
              </w:rPr>
              <w:t>collected</w:t>
            </w:r>
            <w:r>
              <w:rPr>
                <w:color w:val="105C84"/>
                <w:sz w:val="18"/>
              </w:rPr>
              <w:tab/>
            </w:r>
            <w:r>
              <w:rPr>
                <w:color w:val="105C84"/>
                <w:position w:val="9"/>
                <w:sz w:val="18"/>
              </w:rPr>
              <w:t>box</w:t>
            </w:r>
            <w:r>
              <w:rPr>
                <w:color w:val="105C84"/>
                <w:spacing w:val="3"/>
                <w:position w:val="9"/>
                <w:sz w:val="18"/>
              </w:rPr>
              <w:t> </w:t>
            </w:r>
            <w:r>
              <w:rPr>
                <w:color w:val="105C84"/>
                <w:position w:val="9"/>
                <w:sz w:val="18"/>
              </w:rPr>
              <w:t>in</w:t>
            </w:r>
            <w:r>
              <w:rPr>
                <w:color w:val="105C84"/>
                <w:spacing w:val="3"/>
                <w:position w:val="9"/>
                <w:sz w:val="18"/>
              </w:rPr>
              <w:t> </w:t>
            </w:r>
            <w:r>
              <w:rPr>
                <w:color w:val="105C84"/>
                <w:spacing w:val="-2"/>
                <w:position w:val="9"/>
                <w:sz w:val="18"/>
              </w:rPr>
              <w:t>Seneca</w:t>
            </w:r>
          </w:p>
          <w:p>
            <w:pPr>
              <w:pStyle w:val="TableParagraph"/>
              <w:tabs>
                <w:tab w:pos="3786" w:val="left" w:leader="none"/>
              </w:tabs>
              <w:spacing w:line="148" w:lineRule="auto"/>
              <w:ind w:left="88"/>
              <w:rPr>
                <w:sz w:val="18"/>
              </w:rPr>
            </w:pPr>
            <w:r>
              <w:rPr>
                <w:color w:val="105C84"/>
                <w:position w:val="-8"/>
                <w:sz w:val="18"/>
              </w:rPr>
              <w:t>Opioid</w:t>
            </w:r>
            <w:r>
              <w:rPr>
                <w:color w:val="105C84"/>
                <w:spacing w:val="-3"/>
                <w:position w:val="-8"/>
                <w:sz w:val="18"/>
              </w:rPr>
              <w:t> </w:t>
            </w:r>
            <w:r>
              <w:rPr>
                <w:color w:val="105C84"/>
                <w:position w:val="-8"/>
                <w:sz w:val="18"/>
              </w:rPr>
              <w:t>Take</w:t>
            </w:r>
            <w:r>
              <w:rPr>
                <w:color w:val="105C84"/>
                <w:spacing w:val="-3"/>
                <w:position w:val="-8"/>
                <w:sz w:val="18"/>
              </w:rPr>
              <w:t> </w:t>
            </w:r>
            <w:r>
              <w:rPr>
                <w:color w:val="105C84"/>
                <w:spacing w:val="-4"/>
                <w:position w:val="-8"/>
                <w:sz w:val="18"/>
              </w:rPr>
              <w:t>Back</w:t>
            </w:r>
            <w:r>
              <w:rPr>
                <w:color w:val="105C84"/>
                <w:position w:val="-8"/>
                <w:sz w:val="18"/>
              </w:rPr>
              <w:tab/>
            </w:r>
            <w:r>
              <w:rPr>
                <w:color w:val="105C84"/>
                <w:sz w:val="18"/>
              </w:rPr>
              <w:t>County</w:t>
            </w:r>
            <w:r>
              <w:rPr>
                <w:color w:val="105C84"/>
                <w:spacing w:val="1"/>
                <w:sz w:val="18"/>
              </w:rPr>
              <w:t> </w:t>
            </w:r>
            <w:r>
              <w:rPr>
                <w:color w:val="105C84"/>
                <w:sz w:val="18"/>
              </w:rPr>
              <w:t>by</w:t>
            </w:r>
            <w:r>
              <w:rPr>
                <w:color w:val="105C84"/>
                <w:spacing w:val="1"/>
                <w:sz w:val="18"/>
              </w:rPr>
              <w:t> </w:t>
            </w:r>
            <w:r>
              <w:rPr>
                <w:color w:val="105C84"/>
                <w:sz w:val="18"/>
              </w:rPr>
              <w:t>the</w:t>
            </w:r>
            <w:r>
              <w:rPr>
                <w:color w:val="105C84"/>
                <w:spacing w:val="1"/>
                <w:sz w:val="18"/>
              </w:rPr>
              <w:t> </w:t>
            </w:r>
            <w:r>
              <w:rPr>
                <w:color w:val="105C84"/>
                <w:spacing w:val="-5"/>
                <w:sz w:val="18"/>
              </w:rPr>
              <w:t>end</w:t>
            </w:r>
          </w:p>
          <w:p>
            <w:pPr>
              <w:pStyle w:val="TableParagraph"/>
              <w:tabs>
                <w:tab w:pos="3786" w:val="left" w:leader="none"/>
              </w:tabs>
              <w:spacing w:line="170" w:lineRule="auto"/>
              <w:ind w:left="88"/>
              <w:rPr>
                <w:sz w:val="18"/>
              </w:rPr>
            </w:pPr>
            <w:r>
              <w:rPr>
                <w:color w:val="105C84"/>
                <w:spacing w:val="-5"/>
                <w:position w:val="-8"/>
                <w:sz w:val="18"/>
              </w:rPr>
              <w:t>Day</w:t>
            </w:r>
            <w:r>
              <w:rPr>
                <w:color w:val="105C84"/>
                <w:position w:val="-8"/>
                <w:sz w:val="18"/>
              </w:rPr>
              <w:tab/>
            </w:r>
            <w:r>
              <w:rPr>
                <w:color w:val="105C84"/>
                <w:spacing w:val="-4"/>
                <w:sz w:val="18"/>
              </w:rPr>
              <w:t>of</w:t>
            </w:r>
            <w:r>
              <w:rPr>
                <w:color w:val="105C84"/>
                <w:spacing w:val="-9"/>
                <w:sz w:val="18"/>
              </w:rPr>
              <w:t> </w:t>
            </w:r>
            <w:r>
              <w:rPr>
                <w:color w:val="105C84"/>
                <w:spacing w:val="-4"/>
                <w:sz w:val="18"/>
              </w:rPr>
              <w:t>Year</w:t>
            </w:r>
            <w:r>
              <w:rPr>
                <w:color w:val="105C84"/>
                <w:spacing w:val="-8"/>
                <w:sz w:val="18"/>
              </w:rPr>
              <w:t> </w:t>
            </w:r>
            <w:r>
              <w:rPr>
                <w:color w:val="105C84"/>
                <w:spacing w:val="-10"/>
                <w:sz w:val="18"/>
              </w:rPr>
              <w:t>1</w:t>
            </w:r>
          </w:p>
          <w:p>
            <w:pPr>
              <w:pStyle w:val="TableParagraph"/>
              <w:tabs>
                <w:tab w:pos="3786" w:val="left" w:leader="none"/>
              </w:tabs>
              <w:spacing w:line="248" w:lineRule="exact"/>
              <w:ind w:left="88"/>
              <w:rPr>
                <w:position w:val="9"/>
                <w:sz w:val="18"/>
              </w:rPr>
            </w:pPr>
            <w:r>
              <w:rPr>
                <w:color w:val="105C84"/>
                <w:sz w:val="18"/>
              </w:rPr>
              <w:t>#</w:t>
            </w:r>
            <w:r>
              <w:rPr>
                <w:color w:val="105C84"/>
                <w:spacing w:val="-6"/>
                <w:sz w:val="18"/>
              </w:rPr>
              <w:t> </w:t>
            </w:r>
            <w:r>
              <w:rPr>
                <w:color w:val="105C84"/>
                <w:sz w:val="18"/>
              </w:rPr>
              <w:t>of</w:t>
            </w:r>
            <w:r>
              <w:rPr>
                <w:color w:val="105C84"/>
                <w:spacing w:val="-5"/>
                <w:sz w:val="18"/>
              </w:rPr>
              <w:t> </w:t>
            </w:r>
            <w:r>
              <w:rPr>
                <w:color w:val="105C84"/>
                <w:sz w:val="18"/>
              </w:rPr>
              <w:t>Dispose</w:t>
            </w:r>
            <w:r>
              <w:rPr>
                <w:color w:val="105C84"/>
                <w:spacing w:val="-6"/>
                <w:sz w:val="18"/>
              </w:rPr>
              <w:t> </w:t>
            </w:r>
            <w:r>
              <w:rPr>
                <w:color w:val="105C84"/>
                <w:spacing w:val="-5"/>
                <w:sz w:val="18"/>
              </w:rPr>
              <w:t>RX</w:t>
            </w:r>
            <w:r>
              <w:rPr>
                <w:color w:val="105C84"/>
                <w:sz w:val="18"/>
              </w:rPr>
              <w:tab/>
            </w:r>
            <w:r>
              <w:rPr>
                <w:color w:val="105C84"/>
                <w:spacing w:val="-2"/>
                <w:position w:val="9"/>
                <w:sz w:val="18"/>
              </w:rPr>
              <w:t>To</w:t>
            </w:r>
            <w:r>
              <w:rPr>
                <w:color w:val="105C84"/>
                <w:spacing w:val="-9"/>
                <w:position w:val="9"/>
                <w:sz w:val="18"/>
              </w:rPr>
              <w:t> </w:t>
            </w:r>
            <w:r>
              <w:rPr>
                <w:color w:val="105C84"/>
                <w:spacing w:val="-2"/>
                <w:position w:val="9"/>
                <w:sz w:val="18"/>
              </w:rPr>
              <w:t>work</w:t>
            </w:r>
            <w:r>
              <w:rPr>
                <w:color w:val="105C84"/>
                <w:spacing w:val="-9"/>
                <w:position w:val="9"/>
                <w:sz w:val="18"/>
              </w:rPr>
              <w:t> </w:t>
            </w:r>
            <w:r>
              <w:rPr>
                <w:color w:val="105C84"/>
                <w:spacing w:val="-4"/>
                <w:position w:val="9"/>
                <w:sz w:val="18"/>
              </w:rPr>
              <w:t>with</w:t>
            </w:r>
          </w:p>
          <w:p>
            <w:pPr>
              <w:pStyle w:val="TableParagraph"/>
              <w:tabs>
                <w:tab w:pos="3786" w:val="left" w:leader="none"/>
              </w:tabs>
              <w:spacing w:line="200" w:lineRule="exact"/>
              <w:ind w:left="88"/>
              <w:rPr>
                <w:position w:val="9"/>
                <w:sz w:val="18"/>
              </w:rPr>
            </w:pPr>
            <w:r>
              <w:rPr>
                <w:color w:val="105C84"/>
                <w:spacing w:val="-2"/>
                <w:sz w:val="18"/>
              </w:rPr>
              <w:t>packets</w:t>
            </w:r>
            <w:r>
              <w:rPr>
                <w:color w:val="105C84"/>
                <w:spacing w:val="-3"/>
                <w:sz w:val="18"/>
              </w:rPr>
              <w:t> </w:t>
            </w:r>
            <w:r>
              <w:rPr>
                <w:color w:val="105C84"/>
                <w:spacing w:val="-2"/>
                <w:sz w:val="18"/>
              </w:rPr>
              <w:t>distributed</w:t>
            </w:r>
            <w:r>
              <w:rPr>
                <w:color w:val="105C84"/>
                <w:sz w:val="18"/>
              </w:rPr>
              <w:tab/>
            </w:r>
            <w:r>
              <w:rPr>
                <w:color w:val="105C84"/>
                <w:position w:val="9"/>
                <w:sz w:val="18"/>
              </w:rPr>
              <w:t>the</w:t>
            </w:r>
            <w:r>
              <w:rPr>
                <w:color w:val="105C84"/>
                <w:spacing w:val="3"/>
                <w:position w:val="9"/>
                <w:sz w:val="18"/>
              </w:rPr>
              <w:t> </w:t>
            </w:r>
            <w:r>
              <w:rPr>
                <w:color w:val="105C84"/>
                <w:spacing w:val="-2"/>
                <w:position w:val="9"/>
                <w:sz w:val="18"/>
              </w:rPr>
              <w:t>Substance</w:t>
            </w:r>
          </w:p>
          <w:p>
            <w:pPr>
              <w:pStyle w:val="TableParagraph"/>
              <w:tabs>
                <w:tab w:pos="3786" w:val="left" w:leader="none"/>
              </w:tabs>
              <w:spacing w:line="148" w:lineRule="auto"/>
              <w:ind w:left="88"/>
              <w:rPr>
                <w:sz w:val="18"/>
              </w:rPr>
            </w:pPr>
            <w:r>
              <w:rPr>
                <w:color w:val="105C84"/>
                <w:position w:val="-8"/>
                <w:sz w:val="18"/>
              </w:rPr>
              <w:t>in</w:t>
            </w:r>
            <w:r>
              <w:rPr>
                <w:color w:val="105C84"/>
                <w:spacing w:val="-2"/>
                <w:position w:val="-8"/>
                <w:sz w:val="18"/>
              </w:rPr>
              <w:t> community</w:t>
            </w:r>
            <w:r>
              <w:rPr>
                <w:color w:val="105C84"/>
                <w:position w:val="-8"/>
                <w:sz w:val="18"/>
              </w:rPr>
              <w:tab/>
            </w:r>
            <w:r>
              <w:rPr>
                <w:color w:val="105C84"/>
                <w:sz w:val="18"/>
              </w:rPr>
              <w:t>Abuse</w:t>
            </w:r>
            <w:r>
              <w:rPr>
                <w:color w:val="105C84"/>
                <w:spacing w:val="-10"/>
                <w:sz w:val="18"/>
              </w:rPr>
              <w:t> </w:t>
            </w:r>
            <w:r>
              <w:rPr>
                <w:color w:val="105C84"/>
                <w:spacing w:val="-2"/>
                <w:sz w:val="18"/>
              </w:rPr>
              <w:t>Coalition</w:t>
            </w:r>
          </w:p>
          <w:p>
            <w:pPr>
              <w:pStyle w:val="TableParagraph"/>
              <w:spacing w:line="155" w:lineRule="exact"/>
              <w:ind w:left="3786"/>
              <w:rPr>
                <w:sz w:val="18"/>
              </w:rPr>
            </w:pPr>
            <w:r>
              <w:rPr>
                <w:color w:val="105C84"/>
                <w:w w:val="105"/>
                <w:sz w:val="18"/>
              </w:rPr>
              <w:t>to</w:t>
            </w:r>
            <w:r>
              <w:rPr>
                <w:color w:val="105C84"/>
                <w:spacing w:val="2"/>
                <w:w w:val="105"/>
                <w:sz w:val="18"/>
              </w:rPr>
              <w:t> </w:t>
            </w:r>
            <w:r>
              <w:rPr>
                <w:color w:val="105C84"/>
                <w:spacing w:val="-2"/>
                <w:w w:val="105"/>
                <w:sz w:val="18"/>
              </w:rPr>
              <w:t>develop</w:t>
            </w:r>
          </w:p>
          <w:p>
            <w:pPr>
              <w:pStyle w:val="TableParagraph"/>
              <w:spacing w:line="232" w:lineRule="auto"/>
              <w:ind w:left="3786" w:right="57"/>
              <w:rPr>
                <w:sz w:val="18"/>
              </w:rPr>
            </w:pPr>
            <w:r>
              <w:rPr>
                <w:color w:val="105C84"/>
                <w:sz w:val="18"/>
              </w:rPr>
              <w:t>a marketing campaign and provide</w:t>
            </w:r>
            <w:r>
              <w:rPr>
                <w:color w:val="105C84"/>
                <w:spacing w:val="-2"/>
                <w:sz w:val="18"/>
              </w:rPr>
              <w:t> </w:t>
            </w:r>
            <w:r>
              <w:rPr>
                <w:color w:val="105C84"/>
                <w:sz w:val="18"/>
              </w:rPr>
              <w:t>education to the public on safe medication storage and </w:t>
            </w:r>
            <w:r>
              <w:rPr>
                <w:color w:val="105C84"/>
                <w:spacing w:val="-2"/>
                <w:sz w:val="18"/>
              </w:rPr>
              <w:t>disposal</w:t>
            </w:r>
          </w:p>
          <w:p>
            <w:pPr>
              <w:pStyle w:val="TableParagraph"/>
              <w:spacing w:line="232" w:lineRule="auto" w:before="54"/>
              <w:ind w:left="3786" w:right="57"/>
              <w:rPr>
                <w:sz w:val="18"/>
              </w:rPr>
            </w:pPr>
            <w:r>
              <w:rPr>
                <w:color w:val="105C84"/>
                <w:sz w:val="18"/>
              </w:rPr>
              <w:t>To provide education to seniors</w:t>
            </w:r>
            <w:r>
              <w:rPr>
                <w:color w:val="105C84"/>
                <w:spacing w:val="-13"/>
                <w:sz w:val="18"/>
              </w:rPr>
              <w:t> </w:t>
            </w:r>
            <w:r>
              <w:rPr>
                <w:color w:val="105C84"/>
                <w:sz w:val="18"/>
              </w:rPr>
              <w:t>at</w:t>
            </w:r>
            <w:r>
              <w:rPr>
                <w:color w:val="105C84"/>
                <w:spacing w:val="-12"/>
                <w:sz w:val="18"/>
              </w:rPr>
              <w:t> </w:t>
            </w:r>
            <w:r>
              <w:rPr>
                <w:color w:val="105C84"/>
                <w:sz w:val="18"/>
              </w:rPr>
              <w:t>2</w:t>
            </w:r>
            <w:r>
              <w:rPr>
                <w:color w:val="105C84"/>
                <w:spacing w:val="-13"/>
                <w:sz w:val="18"/>
              </w:rPr>
              <w:t> </w:t>
            </w:r>
            <w:r>
              <w:rPr>
                <w:color w:val="105C84"/>
                <w:sz w:val="18"/>
              </w:rPr>
              <w:t>Senior Nutrition</w:t>
            </w:r>
            <w:r>
              <w:rPr>
                <w:color w:val="105C84"/>
                <w:spacing w:val="-9"/>
                <w:sz w:val="18"/>
              </w:rPr>
              <w:t> </w:t>
            </w:r>
            <w:r>
              <w:rPr>
                <w:color w:val="105C84"/>
                <w:sz w:val="18"/>
              </w:rPr>
              <w:t>Sites</w:t>
            </w:r>
            <w:r>
              <w:rPr>
                <w:color w:val="105C84"/>
                <w:spacing w:val="-9"/>
                <w:sz w:val="18"/>
              </w:rPr>
              <w:t> </w:t>
            </w:r>
            <w:r>
              <w:rPr>
                <w:color w:val="105C84"/>
                <w:sz w:val="18"/>
              </w:rPr>
              <w:t>and 1 Senior Housing </w:t>
            </w:r>
            <w:r>
              <w:rPr>
                <w:color w:val="105C84"/>
                <w:spacing w:val="-2"/>
                <w:sz w:val="18"/>
              </w:rPr>
              <w:t>Complex</w:t>
            </w:r>
          </w:p>
        </w:tc>
        <w:tc>
          <w:tcPr>
            <w:tcW w:w="1858" w:type="dxa"/>
          </w:tcPr>
          <w:p>
            <w:pPr>
              <w:pStyle w:val="TableParagraph"/>
              <w:spacing w:line="232" w:lineRule="auto" w:before="100"/>
              <w:ind w:left="88" w:right="172"/>
              <w:rPr>
                <w:sz w:val="18"/>
              </w:rPr>
            </w:pPr>
            <w:r>
              <w:rPr>
                <w:color w:val="105C84"/>
                <w:spacing w:val="-2"/>
                <w:sz w:val="18"/>
              </w:rPr>
              <w:t>To</w:t>
            </w:r>
            <w:r>
              <w:rPr>
                <w:color w:val="105C84"/>
                <w:spacing w:val="-13"/>
                <w:sz w:val="18"/>
              </w:rPr>
              <w:t> </w:t>
            </w:r>
            <w:r>
              <w:rPr>
                <w:color w:val="105C84"/>
                <w:spacing w:val="-2"/>
                <w:sz w:val="18"/>
              </w:rPr>
              <w:t>co-sponsor</w:t>
            </w:r>
            <w:r>
              <w:rPr>
                <w:color w:val="105C84"/>
                <w:spacing w:val="-10"/>
                <w:sz w:val="18"/>
              </w:rPr>
              <w:t> </w:t>
            </w:r>
            <w:r>
              <w:rPr>
                <w:color w:val="105C84"/>
                <w:spacing w:val="-2"/>
                <w:sz w:val="18"/>
              </w:rPr>
              <w:t>and </w:t>
            </w:r>
            <w:r>
              <w:rPr>
                <w:color w:val="105C84"/>
                <w:sz w:val="18"/>
              </w:rPr>
              <w:t>or support a drug take</w:t>
            </w:r>
            <w:r>
              <w:rPr>
                <w:color w:val="105C84"/>
                <w:spacing w:val="-4"/>
                <w:sz w:val="18"/>
              </w:rPr>
              <w:t> </w:t>
            </w:r>
            <w:r>
              <w:rPr>
                <w:color w:val="105C84"/>
                <w:sz w:val="18"/>
              </w:rPr>
              <w:t>back</w:t>
            </w:r>
            <w:r>
              <w:rPr>
                <w:color w:val="105C84"/>
                <w:spacing w:val="-4"/>
                <w:sz w:val="18"/>
              </w:rPr>
              <w:t> </w:t>
            </w:r>
            <w:r>
              <w:rPr>
                <w:color w:val="105C84"/>
                <w:sz w:val="18"/>
              </w:rPr>
              <w:t>event</w:t>
            </w:r>
            <w:r>
              <w:rPr>
                <w:color w:val="105C84"/>
                <w:spacing w:val="-4"/>
                <w:sz w:val="18"/>
              </w:rPr>
              <w:t> </w:t>
            </w:r>
            <w:r>
              <w:rPr>
                <w:color w:val="105C84"/>
                <w:sz w:val="18"/>
              </w:rPr>
              <w:t>in Seneca County</w:t>
            </w:r>
          </w:p>
          <w:p>
            <w:pPr>
              <w:pStyle w:val="TableParagraph"/>
              <w:spacing w:line="232" w:lineRule="auto" w:before="86"/>
              <w:ind w:left="88" w:right="38"/>
              <w:rPr>
                <w:sz w:val="18"/>
              </w:rPr>
            </w:pPr>
            <w:r>
              <w:rPr>
                <w:color w:val="105C84"/>
                <w:w w:val="105"/>
                <w:sz w:val="18"/>
              </w:rPr>
              <w:t>To provide ongoing support to the Seneca</w:t>
            </w:r>
            <w:r>
              <w:rPr>
                <w:color w:val="105C84"/>
                <w:spacing w:val="-1"/>
                <w:w w:val="105"/>
                <w:sz w:val="18"/>
              </w:rPr>
              <w:t> </w:t>
            </w:r>
            <w:r>
              <w:rPr>
                <w:color w:val="105C84"/>
                <w:w w:val="105"/>
                <w:sz w:val="18"/>
              </w:rPr>
              <w:t>County Substance</w:t>
            </w:r>
            <w:r>
              <w:rPr>
                <w:color w:val="105C84"/>
                <w:spacing w:val="-1"/>
                <w:w w:val="105"/>
                <w:sz w:val="18"/>
              </w:rPr>
              <w:t> </w:t>
            </w:r>
            <w:r>
              <w:rPr>
                <w:color w:val="105C84"/>
                <w:w w:val="105"/>
                <w:sz w:val="18"/>
              </w:rPr>
              <w:t>Abuse Coalition by having at least 2 staff </w:t>
            </w:r>
            <w:r>
              <w:rPr>
                <w:color w:val="105C84"/>
                <w:sz w:val="18"/>
              </w:rPr>
              <w:t>members</w:t>
            </w:r>
            <w:r>
              <w:rPr>
                <w:color w:val="105C84"/>
                <w:spacing w:val="-8"/>
                <w:sz w:val="18"/>
              </w:rPr>
              <w:t> </w:t>
            </w:r>
            <w:r>
              <w:rPr>
                <w:color w:val="105C84"/>
                <w:sz w:val="18"/>
              </w:rPr>
              <w:t>participate </w:t>
            </w:r>
            <w:r>
              <w:rPr>
                <w:color w:val="105C84"/>
                <w:w w:val="105"/>
                <w:sz w:val="18"/>
              </w:rPr>
              <w:t>in the Coalition and coalition</w:t>
            </w:r>
            <w:r>
              <w:rPr>
                <w:color w:val="105C84"/>
                <w:spacing w:val="-1"/>
                <w:w w:val="105"/>
                <w:sz w:val="18"/>
              </w:rPr>
              <w:t> </w:t>
            </w:r>
            <w:r>
              <w:rPr>
                <w:color w:val="105C84"/>
                <w:w w:val="105"/>
                <w:sz w:val="18"/>
              </w:rPr>
              <w:t>activities</w:t>
            </w:r>
          </w:p>
          <w:p>
            <w:pPr>
              <w:pStyle w:val="TableParagraph"/>
              <w:spacing w:line="232" w:lineRule="auto" w:before="83"/>
              <w:ind w:left="88" w:right="172"/>
              <w:rPr>
                <w:sz w:val="18"/>
              </w:rPr>
            </w:pPr>
            <w:r>
              <w:rPr>
                <w:color w:val="105C84"/>
                <w:sz w:val="18"/>
              </w:rPr>
              <w:t>To provide a minimum of 3 safe storage and drug disposal</w:t>
            </w:r>
            <w:r>
              <w:rPr>
                <w:color w:val="105C84"/>
                <w:spacing w:val="-15"/>
                <w:sz w:val="18"/>
              </w:rPr>
              <w:t> </w:t>
            </w:r>
            <w:r>
              <w:rPr>
                <w:color w:val="105C84"/>
                <w:sz w:val="18"/>
              </w:rPr>
              <w:t>trainings</w:t>
            </w:r>
            <w:r>
              <w:rPr>
                <w:color w:val="105C84"/>
                <w:spacing w:val="-12"/>
                <w:sz w:val="18"/>
              </w:rPr>
              <w:t> </w:t>
            </w:r>
            <w:r>
              <w:rPr>
                <w:color w:val="105C84"/>
                <w:sz w:val="18"/>
              </w:rPr>
              <w:t>in the community</w:t>
            </w:r>
          </w:p>
        </w:tc>
        <w:tc>
          <w:tcPr>
            <w:tcW w:w="1973" w:type="dxa"/>
          </w:tcPr>
          <w:p>
            <w:pPr>
              <w:pStyle w:val="TableParagraph"/>
              <w:spacing w:line="203" w:lineRule="exact" w:before="94"/>
              <w:ind w:left="88"/>
              <w:rPr>
                <w:sz w:val="18"/>
              </w:rPr>
            </w:pPr>
            <w:r>
              <w:rPr>
                <w:color w:val="105C84"/>
                <w:w w:val="85"/>
                <w:sz w:val="18"/>
              </w:rPr>
              <w:t>STEPS</w:t>
            </w:r>
            <w:r>
              <w:rPr>
                <w:color w:val="105C84"/>
                <w:spacing w:val="7"/>
                <w:sz w:val="18"/>
              </w:rPr>
              <w:t> </w:t>
            </w:r>
            <w:r>
              <w:rPr>
                <w:color w:val="105C84"/>
                <w:spacing w:val="-2"/>
                <w:sz w:val="18"/>
              </w:rPr>
              <w:t>Coordinator</w:t>
            </w:r>
          </w:p>
          <w:p>
            <w:pPr>
              <w:pStyle w:val="TableParagraph"/>
              <w:spacing w:line="203" w:lineRule="exact"/>
              <w:ind w:left="88"/>
              <w:rPr>
                <w:sz w:val="18"/>
              </w:rPr>
            </w:pPr>
            <w:r>
              <w:rPr>
                <w:color w:val="105C84"/>
                <w:w w:val="90"/>
                <w:sz w:val="18"/>
              </w:rPr>
              <w:t>.05%</w:t>
            </w:r>
            <w:r>
              <w:rPr>
                <w:color w:val="105C84"/>
                <w:spacing w:val="5"/>
                <w:sz w:val="18"/>
              </w:rPr>
              <w:t> </w:t>
            </w:r>
            <w:r>
              <w:rPr>
                <w:color w:val="105C84"/>
                <w:w w:val="90"/>
                <w:sz w:val="18"/>
              </w:rPr>
              <w:t>and</w:t>
            </w:r>
            <w:r>
              <w:rPr>
                <w:color w:val="105C84"/>
                <w:spacing w:val="6"/>
                <w:sz w:val="18"/>
              </w:rPr>
              <w:t> </w:t>
            </w:r>
            <w:r>
              <w:rPr>
                <w:color w:val="105C84"/>
                <w:w w:val="90"/>
                <w:sz w:val="18"/>
              </w:rPr>
              <w:t>SRPHE</w:t>
            </w:r>
            <w:r>
              <w:rPr>
                <w:color w:val="105C84"/>
                <w:spacing w:val="5"/>
                <w:sz w:val="18"/>
              </w:rPr>
              <w:t> </w:t>
            </w:r>
            <w:r>
              <w:rPr>
                <w:color w:val="105C84"/>
                <w:spacing w:val="-4"/>
                <w:w w:val="90"/>
                <w:sz w:val="18"/>
              </w:rPr>
              <w:t>.01%</w:t>
            </w:r>
          </w:p>
          <w:p>
            <w:pPr>
              <w:pStyle w:val="TableParagraph"/>
              <w:spacing w:line="232" w:lineRule="auto" w:before="88"/>
              <w:ind w:left="88" w:right="238"/>
              <w:rPr>
                <w:sz w:val="18"/>
              </w:rPr>
            </w:pPr>
            <w:r>
              <w:rPr>
                <w:color w:val="105C84"/>
                <w:sz w:val="18"/>
              </w:rPr>
              <w:t>To establish a medication drop</w:t>
            </w:r>
            <w:r>
              <w:rPr>
                <w:color w:val="105C84"/>
                <w:spacing w:val="80"/>
                <w:sz w:val="18"/>
              </w:rPr>
              <w:t> </w:t>
            </w:r>
            <w:r>
              <w:rPr>
                <w:color w:val="105C84"/>
                <w:sz w:val="18"/>
              </w:rPr>
              <w:t>box location in the Southern part of Seneca County by working</w:t>
            </w:r>
            <w:r>
              <w:rPr>
                <w:color w:val="105C84"/>
                <w:spacing w:val="-7"/>
                <w:sz w:val="18"/>
              </w:rPr>
              <w:t> </w:t>
            </w:r>
            <w:r>
              <w:rPr>
                <w:color w:val="105C84"/>
                <w:sz w:val="18"/>
              </w:rPr>
              <w:t>with</w:t>
            </w:r>
            <w:r>
              <w:rPr>
                <w:color w:val="105C84"/>
                <w:spacing w:val="-7"/>
                <w:sz w:val="18"/>
              </w:rPr>
              <w:t> </w:t>
            </w:r>
            <w:r>
              <w:rPr>
                <w:color w:val="105C84"/>
                <w:sz w:val="18"/>
              </w:rPr>
              <w:t>County and or local law enforcement and/or</w:t>
            </w:r>
          </w:p>
          <w:p>
            <w:pPr>
              <w:pStyle w:val="TableParagraph"/>
              <w:spacing w:line="196" w:lineRule="exact"/>
              <w:ind w:left="88"/>
              <w:rPr>
                <w:sz w:val="18"/>
              </w:rPr>
            </w:pPr>
            <w:r>
              <w:rPr>
                <w:color w:val="105C84"/>
                <w:sz w:val="18"/>
              </w:rPr>
              <w:t>village</w:t>
            </w:r>
            <w:r>
              <w:rPr>
                <w:color w:val="105C84"/>
                <w:spacing w:val="2"/>
                <w:sz w:val="18"/>
              </w:rPr>
              <w:t> </w:t>
            </w:r>
            <w:r>
              <w:rPr>
                <w:color w:val="105C84"/>
                <w:sz w:val="18"/>
              </w:rPr>
              <w:t>or</w:t>
            </w:r>
            <w:r>
              <w:rPr>
                <w:color w:val="105C84"/>
                <w:spacing w:val="3"/>
                <w:sz w:val="18"/>
              </w:rPr>
              <w:t> </w:t>
            </w:r>
            <w:r>
              <w:rPr>
                <w:color w:val="105C84"/>
                <w:sz w:val="18"/>
              </w:rPr>
              <w:t>town</w:t>
            </w:r>
            <w:r>
              <w:rPr>
                <w:color w:val="105C84"/>
                <w:spacing w:val="2"/>
                <w:sz w:val="18"/>
              </w:rPr>
              <w:t> </w:t>
            </w:r>
            <w:r>
              <w:rPr>
                <w:color w:val="105C84"/>
                <w:spacing w:val="-2"/>
                <w:sz w:val="18"/>
              </w:rPr>
              <w:t>offices</w:t>
            </w:r>
          </w:p>
          <w:p>
            <w:pPr>
              <w:pStyle w:val="TableParagraph"/>
              <w:spacing w:line="232" w:lineRule="auto" w:before="88"/>
              <w:ind w:left="88" w:right="123"/>
              <w:rPr>
                <w:sz w:val="18"/>
              </w:rPr>
            </w:pPr>
            <w:r>
              <w:rPr>
                <w:color w:val="105C84"/>
                <w:sz w:val="18"/>
              </w:rPr>
              <w:t>To provide education and outreach events in the county and distribute</w:t>
            </w:r>
            <w:r>
              <w:rPr>
                <w:color w:val="105C84"/>
                <w:spacing w:val="-4"/>
                <w:sz w:val="18"/>
              </w:rPr>
              <w:t> </w:t>
            </w:r>
            <w:r>
              <w:rPr>
                <w:color w:val="105C84"/>
                <w:sz w:val="18"/>
              </w:rPr>
              <w:t>at</w:t>
            </w:r>
            <w:r>
              <w:rPr>
                <w:color w:val="105C84"/>
                <w:spacing w:val="-4"/>
                <w:sz w:val="18"/>
              </w:rPr>
              <w:t> </w:t>
            </w:r>
            <w:r>
              <w:rPr>
                <w:color w:val="105C84"/>
                <w:sz w:val="18"/>
              </w:rPr>
              <w:t>least</w:t>
            </w:r>
            <w:r>
              <w:rPr>
                <w:color w:val="105C84"/>
                <w:spacing w:val="-4"/>
                <w:sz w:val="18"/>
              </w:rPr>
              <w:t> </w:t>
            </w:r>
            <w:r>
              <w:rPr>
                <w:color w:val="105C84"/>
                <w:sz w:val="18"/>
              </w:rPr>
              <w:t>500 </w:t>
            </w:r>
            <w:r>
              <w:rPr>
                <w:color w:val="105C84"/>
                <w:spacing w:val="-2"/>
                <w:sz w:val="18"/>
              </w:rPr>
              <w:t>dispose</w:t>
            </w:r>
            <w:r>
              <w:rPr>
                <w:color w:val="105C84"/>
                <w:spacing w:val="-11"/>
                <w:sz w:val="18"/>
              </w:rPr>
              <w:t> </w:t>
            </w:r>
            <w:r>
              <w:rPr>
                <w:color w:val="105C84"/>
                <w:spacing w:val="-2"/>
                <w:sz w:val="18"/>
              </w:rPr>
              <w:t>RX</w:t>
            </w:r>
            <w:r>
              <w:rPr>
                <w:color w:val="105C84"/>
                <w:spacing w:val="-10"/>
                <w:sz w:val="18"/>
              </w:rPr>
              <w:t> </w:t>
            </w:r>
            <w:r>
              <w:rPr>
                <w:color w:val="105C84"/>
                <w:spacing w:val="-2"/>
                <w:sz w:val="18"/>
              </w:rPr>
              <w:t>packets</w:t>
            </w:r>
            <w:r>
              <w:rPr>
                <w:color w:val="105C84"/>
                <w:spacing w:val="-11"/>
                <w:sz w:val="18"/>
              </w:rPr>
              <w:t> </w:t>
            </w:r>
            <w:r>
              <w:rPr>
                <w:color w:val="105C84"/>
                <w:spacing w:val="-2"/>
                <w:sz w:val="18"/>
              </w:rPr>
              <w:t>in </w:t>
            </w:r>
            <w:r>
              <w:rPr>
                <w:color w:val="105C84"/>
                <w:sz w:val="18"/>
              </w:rPr>
              <w:t>the community</w:t>
            </w:r>
          </w:p>
          <w:p>
            <w:pPr>
              <w:pStyle w:val="TableParagraph"/>
              <w:spacing w:line="232" w:lineRule="auto" w:before="85"/>
              <w:ind w:left="88" w:right="123"/>
              <w:rPr>
                <w:sz w:val="18"/>
              </w:rPr>
            </w:pPr>
            <w:r>
              <w:rPr>
                <w:color w:val="105C84"/>
                <w:sz w:val="18"/>
              </w:rPr>
              <w:t>To</w:t>
            </w:r>
            <w:r>
              <w:rPr>
                <w:color w:val="105C84"/>
                <w:spacing w:val="-13"/>
                <w:sz w:val="18"/>
              </w:rPr>
              <w:t> </w:t>
            </w:r>
            <w:r>
              <w:rPr>
                <w:color w:val="105C84"/>
                <w:sz w:val="18"/>
              </w:rPr>
              <w:t>provide</w:t>
            </w:r>
            <w:r>
              <w:rPr>
                <w:color w:val="105C84"/>
                <w:spacing w:val="-12"/>
                <w:sz w:val="18"/>
              </w:rPr>
              <w:t> </w:t>
            </w:r>
            <w:r>
              <w:rPr>
                <w:color w:val="105C84"/>
                <w:sz w:val="18"/>
              </w:rPr>
              <w:t>education to at least 150 students, adults</w:t>
            </w:r>
          </w:p>
          <w:p>
            <w:pPr>
              <w:pStyle w:val="TableParagraph"/>
              <w:spacing w:line="232" w:lineRule="auto"/>
              <w:ind w:left="88" w:right="321"/>
              <w:rPr>
                <w:sz w:val="18"/>
              </w:rPr>
            </w:pPr>
            <w:r>
              <w:rPr>
                <w:color w:val="105C84"/>
                <w:sz w:val="18"/>
              </w:rPr>
              <w:t>and</w:t>
            </w:r>
            <w:r>
              <w:rPr>
                <w:color w:val="105C84"/>
                <w:spacing w:val="-13"/>
                <w:sz w:val="18"/>
              </w:rPr>
              <w:t> </w:t>
            </w:r>
            <w:r>
              <w:rPr>
                <w:color w:val="105C84"/>
                <w:sz w:val="18"/>
              </w:rPr>
              <w:t>seniors</w:t>
            </w:r>
            <w:r>
              <w:rPr>
                <w:color w:val="105C84"/>
                <w:spacing w:val="-12"/>
                <w:sz w:val="18"/>
              </w:rPr>
              <w:t> </w:t>
            </w:r>
            <w:r>
              <w:rPr>
                <w:color w:val="105C84"/>
                <w:sz w:val="18"/>
              </w:rPr>
              <w:t>on</w:t>
            </w:r>
            <w:r>
              <w:rPr>
                <w:color w:val="105C84"/>
                <w:spacing w:val="-13"/>
                <w:sz w:val="18"/>
              </w:rPr>
              <w:t> </w:t>
            </w:r>
            <w:r>
              <w:rPr>
                <w:color w:val="105C84"/>
                <w:sz w:val="18"/>
              </w:rPr>
              <w:t>safe medication</w:t>
            </w:r>
            <w:r>
              <w:rPr>
                <w:color w:val="105C84"/>
                <w:spacing w:val="-10"/>
                <w:sz w:val="18"/>
              </w:rPr>
              <w:t> </w:t>
            </w:r>
            <w:r>
              <w:rPr>
                <w:color w:val="105C84"/>
                <w:sz w:val="18"/>
              </w:rPr>
              <w:t>storage and disposal to prevent overdose and unintentional </w:t>
            </w:r>
            <w:r>
              <w:rPr>
                <w:color w:val="105C84"/>
                <w:spacing w:val="-2"/>
                <w:sz w:val="18"/>
              </w:rPr>
              <w:t>poisonings</w:t>
            </w:r>
          </w:p>
        </w:tc>
        <w:tc>
          <w:tcPr>
            <w:tcW w:w="1498" w:type="dxa"/>
          </w:tcPr>
          <w:p>
            <w:pPr>
              <w:pStyle w:val="TableParagraph"/>
              <w:spacing w:line="232" w:lineRule="auto" w:before="99"/>
              <w:ind w:left="87"/>
              <w:rPr>
                <w:sz w:val="18"/>
              </w:rPr>
            </w:pPr>
            <w:r>
              <w:rPr>
                <w:color w:val="105C84"/>
                <w:spacing w:val="-2"/>
                <w:w w:val="105"/>
                <w:sz w:val="18"/>
              </w:rPr>
              <w:t>Neighborhood leader</w:t>
            </w:r>
          </w:p>
        </w:tc>
        <w:tc>
          <w:tcPr>
            <w:tcW w:w="3163" w:type="dxa"/>
          </w:tcPr>
          <w:p>
            <w:pPr>
              <w:pStyle w:val="TableParagraph"/>
              <w:spacing w:line="232" w:lineRule="auto" w:before="99"/>
              <w:ind w:left="87" w:right="78"/>
              <w:rPr>
                <w:sz w:val="18"/>
              </w:rPr>
            </w:pPr>
            <w:r>
              <w:rPr>
                <w:color w:val="105C84"/>
                <w:sz w:val="18"/>
              </w:rPr>
              <w:t>.10 STEPS Coordinator/S2AY Rural Health</w:t>
            </w:r>
            <w:r>
              <w:rPr>
                <w:color w:val="105C84"/>
                <w:spacing w:val="-13"/>
                <w:sz w:val="18"/>
              </w:rPr>
              <w:t> </w:t>
            </w:r>
            <w:r>
              <w:rPr>
                <w:color w:val="105C84"/>
                <w:sz w:val="18"/>
              </w:rPr>
              <w:t>Network-</w:t>
            </w:r>
            <w:r>
              <w:rPr>
                <w:color w:val="105C84"/>
                <w:spacing w:val="-12"/>
                <w:sz w:val="18"/>
              </w:rPr>
              <w:t> </w:t>
            </w:r>
            <w:r>
              <w:rPr>
                <w:color w:val="105C84"/>
                <w:sz w:val="18"/>
              </w:rPr>
              <w:t>STEPS</w:t>
            </w:r>
            <w:r>
              <w:rPr>
                <w:color w:val="105C84"/>
                <w:spacing w:val="-13"/>
                <w:sz w:val="18"/>
              </w:rPr>
              <w:t> </w:t>
            </w:r>
            <w:r>
              <w:rPr>
                <w:color w:val="105C84"/>
                <w:sz w:val="18"/>
              </w:rPr>
              <w:t>will</w:t>
            </w:r>
            <w:r>
              <w:rPr>
                <w:color w:val="105C84"/>
                <w:spacing w:val="-12"/>
                <w:sz w:val="18"/>
              </w:rPr>
              <w:t> </w:t>
            </w:r>
            <w:r>
              <w:rPr>
                <w:color w:val="105C84"/>
                <w:sz w:val="18"/>
              </w:rPr>
              <w:t>work</w:t>
            </w:r>
            <w:r>
              <w:rPr>
                <w:color w:val="105C84"/>
                <w:spacing w:val="-13"/>
                <w:sz w:val="18"/>
              </w:rPr>
              <w:t> </w:t>
            </w:r>
            <w:r>
              <w:rPr>
                <w:color w:val="105C84"/>
                <w:sz w:val="18"/>
              </w:rPr>
              <w:t>wit</w:t>
            </w:r>
            <w:r>
              <w:rPr>
                <w:color w:val="105C84"/>
                <w:sz w:val="18"/>
              </w:rPr>
              <w:t>h</w:t>
            </w:r>
            <w:r>
              <w:rPr>
                <w:color w:val="105C84"/>
                <w:sz w:val="18"/>
              </w:rPr>
              <w:t> the</w:t>
            </w:r>
            <w:r>
              <w:rPr>
                <w:color w:val="105C84"/>
                <w:spacing w:val="-13"/>
                <w:sz w:val="18"/>
              </w:rPr>
              <w:t> </w:t>
            </w:r>
            <w:r>
              <w:rPr>
                <w:color w:val="105C84"/>
                <w:sz w:val="18"/>
              </w:rPr>
              <w:t>Seneca</w:t>
            </w:r>
            <w:r>
              <w:rPr>
                <w:color w:val="105C84"/>
                <w:spacing w:val="-12"/>
                <w:sz w:val="18"/>
              </w:rPr>
              <w:t> </w:t>
            </w:r>
            <w:r>
              <w:rPr>
                <w:color w:val="105C84"/>
                <w:sz w:val="18"/>
              </w:rPr>
              <w:t>County</w:t>
            </w:r>
            <w:r>
              <w:rPr>
                <w:color w:val="105C84"/>
                <w:spacing w:val="-13"/>
                <w:sz w:val="18"/>
              </w:rPr>
              <w:t> </w:t>
            </w:r>
            <w:r>
              <w:rPr>
                <w:color w:val="105C84"/>
                <w:sz w:val="18"/>
              </w:rPr>
              <w:t>Substance</w:t>
            </w:r>
            <w:r>
              <w:rPr>
                <w:color w:val="105C84"/>
                <w:spacing w:val="-12"/>
                <w:sz w:val="18"/>
              </w:rPr>
              <w:t> </w:t>
            </w:r>
            <w:r>
              <w:rPr>
                <w:color w:val="105C84"/>
                <w:sz w:val="18"/>
              </w:rPr>
              <w:t>Abuse Coalition to identify a possible location to locate a medication drop box in one of the Southern Seneca County communities</w:t>
            </w:r>
          </w:p>
          <w:p>
            <w:pPr>
              <w:pStyle w:val="TableParagraph"/>
              <w:spacing w:line="232" w:lineRule="auto" w:before="84"/>
              <w:ind w:left="87" w:right="226"/>
              <w:rPr>
                <w:sz w:val="18"/>
              </w:rPr>
            </w:pPr>
            <w:r>
              <w:rPr>
                <w:color w:val="105C84"/>
                <w:sz w:val="18"/>
              </w:rPr>
              <w:t>Seneca County Substance Abuse Coalition</w:t>
            </w:r>
            <w:r>
              <w:rPr>
                <w:color w:val="105C84"/>
                <w:spacing w:val="-7"/>
                <w:sz w:val="18"/>
              </w:rPr>
              <w:t> </w:t>
            </w:r>
            <w:r>
              <w:rPr>
                <w:color w:val="105C84"/>
                <w:sz w:val="18"/>
              </w:rPr>
              <w:t>will</w:t>
            </w:r>
            <w:r>
              <w:rPr>
                <w:color w:val="105C84"/>
                <w:spacing w:val="-7"/>
                <w:sz w:val="18"/>
              </w:rPr>
              <w:t> </w:t>
            </w:r>
            <w:r>
              <w:rPr>
                <w:color w:val="105C84"/>
                <w:sz w:val="18"/>
              </w:rPr>
              <w:t>work</w:t>
            </w:r>
            <w:r>
              <w:rPr>
                <w:color w:val="105C84"/>
                <w:spacing w:val="-7"/>
                <w:sz w:val="18"/>
              </w:rPr>
              <w:t> </w:t>
            </w:r>
            <w:r>
              <w:rPr>
                <w:color w:val="105C84"/>
                <w:sz w:val="18"/>
              </w:rPr>
              <w:t>with</w:t>
            </w:r>
            <w:r>
              <w:rPr>
                <w:color w:val="105C84"/>
                <w:spacing w:val="-7"/>
                <w:sz w:val="18"/>
              </w:rPr>
              <w:t> </w:t>
            </w:r>
            <w:r>
              <w:rPr>
                <w:color w:val="105C84"/>
                <w:sz w:val="18"/>
              </w:rPr>
              <w:t>the</w:t>
            </w:r>
            <w:r>
              <w:rPr>
                <w:color w:val="105C84"/>
                <w:spacing w:val="-7"/>
                <w:sz w:val="18"/>
              </w:rPr>
              <w:t> </w:t>
            </w:r>
            <w:r>
              <w:rPr>
                <w:color w:val="105C84"/>
                <w:sz w:val="18"/>
              </w:rPr>
              <w:t>Seneca County Sheriff's Dept. for routine pick up of medication and proper disposal of medications from the drop box</w:t>
            </w:r>
          </w:p>
          <w:p>
            <w:pPr>
              <w:pStyle w:val="TableParagraph"/>
              <w:spacing w:line="232" w:lineRule="auto" w:before="85"/>
              <w:ind w:left="87" w:right="484"/>
              <w:rPr>
                <w:sz w:val="18"/>
              </w:rPr>
            </w:pPr>
            <w:r>
              <w:rPr>
                <w:color w:val="105C84"/>
                <w:sz w:val="18"/>
              </w:rPr>
              <w:t>S2AY</w:t>
            </w:r>
            <w:r>
              <w:rPr>
                <w:color w:val="105C84"/>
                <w:spacing w:val="-11"/>
                <w:sz w:val="18"/>
              </w:rPr>
              <w:t> </w:t>
            </w:r>
            <w:r>
              <w:rPr>
                <w:color w:val="105C84"/>
                <w:sz w:val="18"/>
              </w:rPr>
              <w:t>Rural</w:t>
            </w:r>
            <w:r>
              <w:rPr>
                <w:color w:val="105C84"/>
                <w:spacing w:val="-11"/>
                <w:sz w:val="18"/>
              </w:rPr>
              <w:t> </w:t>
            </w:r>
            <w:r>
              <w:rPr>
                <w:color w:val="105C84"/>
                <w:sz w:val="18"/>
              </w:rPr>
              <w:t>Health</w:t>
            </w:r>
            <w:r>
              <w:rPr>
                <w:color w:val="105C84"/>
                <w:spacing w:val="-11"/>
                <w:sz w:val="18"/>
              </w:rPr>
              <w:t> </w:t>
            </w:r>
            <w:r>
              <w:rPr>
                <w:color w:val="105C84"/>
                <w:sz w:val="18"/>
              </w:rPr>
              <w:t>Network</w:t>
            </w:r>
            <w:r>
              <w:rPr>
                <w:color w:val="105C84"/>
                <w:spacing w:val="-11"/>
                <w:sz w:val="18"/>
              </w:rPr>
              <w:t> </w:t>
            </w:r>
            <w:r>
              <w:rPr>
                <w:color w:val="105C84"/>
                <w:sz w:val="18"/>
              </w:rPr>
              <w:t>will provide funding for the </w:t>
            </w:r>
            <w:r>
              <w:rPr>
                <w:color w:val="105C84"/>
                <w:sz w:val="18"/>
              </w:rPr>
              <w:t>dispose RX packets</w:t>
            </w:r>
          </w:p>
          <w:p>
            <w:pPr>
              <w:pStyle w:val="TableParagraph"/>
              <w:spacing w:line="232" w:lineRule="auto" w:before="88"/>
              <w:ind w:left="87"/>
              <w:rPr>
                <w:sz w:val="18"/>
              </w:rPr>
            </w:pPr>
            <w:r>
              <w:rPr>
                <w:color w:val="105C84"/>
                <w:spacing w:val="-2"/>
                <w:sz w:val="18"/>
              </w:rPr>
              <w:t>Seneca</w:t>
            </w:r>
            <w:r>
              <w:rPr>
                <w:color w:val="105C84"/>
                <w:spacing w:val="-13"/>
                <w:sz w:val="18"/>
              </w:rPr>
              <w:t> </w:t>
            </w:r>
            <w:r>
              <w:rPr>
                <w:color w:val="105C84"/>
                <w:spacing w:val="-2"/>
                <w:sz w:val="18"/>
              </w:rPr>
              <w:t>County</w:t>
            </w:r>
            <w:r>
              <w:rPr>
                <w:color w:val="105C84"/>
                <w:spacing w:val="-10"/>
                <w:sz w:val="18"/>
              </w:rPr>
              <w:t> </w:t>
            </w:r>
            <w:r>
              <w:rPr>
                <w:color w:val="105C84"/>
                <w:spacing w:val="-2"/>
                <w:sz w:val="18"/>
              </w:rPr>
              <w:t>PH</w:t>
            </w:r>
            <w:r>
              <w:rPr>
                <w:color w:val="105C84"/>
                <w:spacing w:val="-11"/>
                <w:sz w:val="18"/>
              </w:rPr>
              <w:t> </w:t>
            </w:r>
            <w:r>
              <w:rPr>
                <w:color w:val="105C84"/>
                <w:spacing w:val="-2"/>
                <w:sz w:val="18"/>
              </w:rPr>
              <w:t>and</w:t>
            </w:r>
            <w:r>
              <w:rPr>
                <w:color w:val="105C84"/>
                <w:spacing w:val="-10"/>
                <w:sz w:val="18"/>
              </w:rPr>
              <w:t> </w:t>
            </w:r>
            <w:r>
              <w:rPr>
                <w:color w:val="105C84"/>
                <w:spacing w:val="-2"/>
                <w:sz w:val="18"/>
              </w:rPr>
              <w:t>Substance </w:t>
            </w:r>
            <w:r>
              <w:rPr>
                <w:color w:val="105C84"/>
                <w:sz w:val="18"/>
              </w:rPr>
              <w:t>Abuse Coalition committee</w:t>
            </w:r>
          </w:p>
          <w:p>
            <w:pPr>
              <w:pStyle w:val="TableParagraph"/>
              <w:spacing w:line="232" w:lineRule="auto"/>
              <w:ind w:left="87" w:right="78"/>
              <w:rPr>
                <w:sz w:val="18"/>
              </w:rPr>
            </w:pPr>
            <w:r>
              <w:rPr>
                <w:color w:val="105C84"/>
                <w:sz w:val="18"/>
              </w:rPr>
              <w:t>will distribute packets during informational</w:t>
            </w:r>
            <w:r>
              <w:rPr>
                <w:color w:val="105C84"/>
                <w:spacing w:val="-6"/>
                <w:sz w:val="18"/>
              </w:rPr>
              <w:t> </w:t>
            </w:r>
            <w:r>
              <w:rPr>
                <w:color w:val="105C84"/>
                <w:sz w:val="18"/>
              </w:rPr>
              <w:t>presentations</w:t>
            </w:r>
            <w:r>
              <w:rPr>
                <w:color w:val="105C84"/>
                <w:spacing w:val="-6"/>
                <w:sz w:val="18"/>
              </w:rPr>
              <w:t> </w:t>
            </w:r>
            <w:r>
              <w:rPr>
                <w:color w:val="105C84"/>
                <w:sz w:val="18"/>
              </w:rPr>
              <w:t>and tabling events</w:t>
            </w:r>
          </w:p>
          <w:p>
            <w:pPr>
              <w:pStyle w:val="TableParagraph"/>
              <w:spacing w:line="232" w:lineRule="auto" w:before="86"/>
              <w:ind w:left="87" w:right="226"/>
              <w:rPr>
                <w:sz w:val="18"/>
              </w:rPr>
            </w:pPr>
            <w:r>
              <w:rPr>
                <w:color w:val="105C84"/>
                <w:sz w:val="18"/>
              </w:rPr>
              <w:t>.02</w:t>
            </w:r>
            <w:r>
              <w:rPr>
                <w:color w:val="105C84"/>
                <w:spacing w:val="-15"/>
                <w:sz w:val="18"/>
              </w:rPr>
              <w:t> </w:t>
            </w:r>
            <w:r>
              <w:rPr>
                <w:color w:val="105C84"/>
                <w:sz w:val="18"/>
              </w:rPr>
              <w:t>Seneca</w:t>
            </w:r>
            <w:r>
              <w:rPr>
                <w:color w:val="105C84"/>
                <w:spacing w:val="-12"/>
                <w:sz w:val="18"/>
              </w:rPr>
              <w:t> </w:t>
            </w:r>
            <w:r>
              <w:rPr>
                <w:color w:val="105C84"/>
                <w:sz w:val="18"/>
              </w:rPr>
              <w:t>County</w:t>
            </w:r>
            <w:r>
              <w:rPr>
                <w:color w:val="105C84"/>
                <w:spacing w:val="-13"/>
                <w:sz w:val="18"/>
              </w:rPr>
              <w:t> </w:t>
            </w:r>
            <w:r>
              <w:rPr>
                <w:color w:val="105C84"/>
                <w:sz w:val="18"/>
              </w:rPr>
              <w:t>Health</w:t>
            </w:r>
            <w:r>
              <w:rPr>
                <w:color w:val="105C84"/>
                <w:spacing w:val="-12"/>
                <w:sz w:val="18"/>
              </w:rPr>
              <w:t> </w:t>
            </w:r>
            <w:r>
              <w:rPr>
                <w:color w:val="105C84"/>
                <w:sz w:val="18"/>
              </w:rPr>
              <w:t>Educator and/or Senior Public Health Educator will promote drop boxes and increase awareness of safe medication disposal and use</w:t>
            </w:r>
          </w:p>
        </w:tc>
      </w:tr>
      <w:tr>
        <w:trPr>
          <w:trHeight w:val="2362" w:hRule="atLeast"/>
        </w:trPr>
        <w:tc>
          <w:tcPr>
            <w:tcW w:w="1180" w:type="dxa"/>
            <w:vMerge/>
            <w:tcBorders>
              <w:top w:val="nil"/>
            </w:tcBorders>
            <w:shd w:val="clear" w:color="auto" w:fill="E6E7E8"/>
          </w:tcPr>
          <w:p>
            <w:pPr>
              <w:rPr>
                <w:sz w:val="2"/>
                <w:szCs w:val="2"/>
              </w:rPr>
            </w:pPr>
          </w:p>
        </w:tc>
        <w:tc>
          <w:tcPr>
            <w:tcW w:w="1152" w:type="dxa"/>
            <w:vMerge/>
            <w:tcBorders>
              <w:top w:val="nil"/>
            </w:tcBorders>
          </w:tcPr>
          <w:p>
            <w:pPr>
              <w:rPr>
                <w:sz w:val="2"/>
                <w:szCs w:val="2"/>
              </w:rPr>
            </w:pPr>
          </w:p>
        </w:tc>
        <w:tc>
          <w:tcPr>
            <w:tcW w:w="1210" w:type="dxa"/>
            <w:vMerge/>
            <w:tcBorders>
              <w:top w:val="nil"/>
            </w:tcBorders>
          </w:tcPr>
          <w:p>
            <w:pPr>
              <w:rPr>
                <w:sz w:val="2"/>
                <w:szCs w:val="2"/>
              </w:rPr>
            </w:pPr>
          </w:p>
        </w:tc>
        <w:tc>
          <w:tcPr>
            <w:tcW w:w="1606" w:type="dxa"/>
            <w:vMerge/>
            <w:tcBorders>
              <w:top w:val="nil"/>
            </w:tcBorders>
          </w:tcPr>
          <w:p>
            <w:pPr>
              <w:rPr>
                <w:sz w:val="2"/>
                <w:szCs w:val="2"/>
              </w:rPr>
            </w:pPr>
          </w:p>
        </w:tc>
        <w:tc>
          <w:tcPr>
            <w:tcW w:w="1066" w:type="dxa"/>
            <w:vMerge/>
            <w:tcBorders>
              <w:top w:val="nil"/>
            </w:tcBorders>
          </w:tcPr>
          <w:p>
            <w:pPr>
              <w:rPr>
                <w:sz w:val="2"/>
                <w:szCs w:val="2"/>
              </w:rPr>
            </w:pPr>
          </w:p>
        </w:tc>
        <w:tc>
          <w:tcPr>
            <w:tcW w:w="2225" w:type="dxa"/>
          </w:tcPr>
          <w:p>
            <w:pPr>
              <w:pStyle w:val="TableParagraph"/>
              <w:spacing w:line="232" w:lineRule="auto" w:before="98"/>
              <w:ind w:left="89"/>
              <w:rPr>
                <w:sz w:val="18"/>
              </w:rPr>
            </w:pPr>
            <w:r>
              <w:rPr>
                <w:color w:val="105C84"/>
                <w:sz w:val="18"/>
              </w:rPr>
              <w:t>2.2.3 Promote and encourage prescriber education and familiarity with opioid prescribing guidelines and limits as imposed</w:t>
            </w:r>
            <w:r>
              <w:rPr>
                <w:color w:val="105C84"/>
                <w:spacing w:val="-13"/>
                <w:sz w:val="18"/>
              </w:rPr>
              <w:t> </w:t>
            </w:r>
            <w:r>
              <w:rPr>
                <w:color w:val="105C84"/>
                <w:sz w:val="18"/>
              </w:rPr>
              <w:t>by</w:t>
            </w:r>
            <w:r>
              <w:rPr>
                <w:color w:val="105C84"/>
                <w:spacing w:val="-12"/>
                <w:sz w:val="18"/>
              </w:rPr>
              <w:t> </w:t>
            </w:r>
            <w:r>
              <w:rPr>
                <w:color w:val="105C84"/>
                <w:sz w:val="18"/>
              </w:rPr>
              <w:t>NYS</w:t>
            </w:r>
            <w:r>
              <w:rPr>
                <w:color w:val="105C84"/>
                <w:spacing w:val="-13"/>
                <w:sz w:val="18"/>
              </w:rPr>
              <w:t> </w:t>
            </w:r>
            <w:r>
              <w:rPr>
                <w:color w:val="105C84"/>
                <w:sz w:val="18"/>
              </w:rPr>
              <w:t>statutes</w:t>
            </w:r>
            <w:r>
              <w:rPr>
                <w:color w:val="105C84"/>
                <w:sz w:val="18"/>
              </w:rPr>
              <w:t> and regulations</w:t>
            </w:r>
          </w:p>
        </w:tc>
        <w:tc>
          <w:tcPr>
            <w:tcW w:w="5386" w:type="dxa"/>
          </w:tcPr>
          <w:p>
            <w:pPr>
              <w:pStyle w:val="TableParagraph"/>
              <w:tabs>
                <w:tab w:pos="3786" w:val="left" w:leader="none"/>
              </w:tabs>
              <w:spacing w:line="203" w:lineRule="exact" w:before="93"/>
              <w:ind w:left="88"/>
              <w:rPr>
                <w:sz w:val="18"/>
              </w:rPr>
            </w:pPr>
            <w:r>
              <w:rPr>
                <w:color w:val="105C84"/>
                <w:sz w:val="18"/>
              </w:rPr>
              <w:t>#</w:t>
            </w:r>
            <w:r>
              <w:rPr>
                <w:color w:val="105C84"/>
                <w:spacing w:val="-5"/>
                <w:sz w:val="18"/>
              </w:rPr>
              <w:t> </w:t>
            </w:r>
            <w:r>
              <w:rPr>
                <w:color w:val="105C84"/>
                <w:sz w:val="18"/>
              </w:rPr>
              <w:t>of</w:t>
            </w:r>
            <w:r>
              <w:rPr>
                <w:color w:val="105C84"/>
                <w:spacing w:val="-3"/>
                <w:sz w:val="18"/>
              </w:rPr>
              <w:t> </w:t>
            </w:r>
            <w:r>
              <w:rPr>
                <w:color w:val="105C84"/>
                <w:spacing w:val="-2"/>
                <w:sz w:val="18"/>
              </w:rPr>
              <w:t>providers</w:t>
            </w:r>
            <w:r>
              <w:rPr>
                <w:color w:val="105C84"/>
                <w:sz w:val="18"/>
              </w:rPr>
              <w:tab/>
              <w:t>To</w:t>
            </w:r>
            <w:r>
              <w:rPr>
                <w:color w:val="105C84"/>
                <w:spacing w:val="-6"/>
                <w:sz w:val="18"/>
              </w:rPr>
              <w:t> </w:t>
            </w:r>
            <w:r>
              <w:rPr>
                <w:color w:val="105C84"/>
                <w:sz w:val="18"/>
              </w:rPr>
              <w:t>provide</w:t>
            </w:r>
            <w:r>
              <w:rPr>
                <w:color w:val="105C84"/>
                <w:spacing w:val="-6"/>
                <w:sz w:val="18"/>
              </w:rPr>
              <w:t> </w:t>
            </w:r>
            <w:r>
              <w:rPr>
                <w:color w:val="105C84"/>
                <w:spacing w:val="-5"/>
                <w:sz w:val="18"/>
              </w:rPr>
              <w:t>at</w:t>
            </w:r>
          </w:p>
          <w:p>
            <w:pPr>
              <w:pStyle w:val="TableParagraph"/>
              <w:tabs>
                <w:tab w:pos="3786" w:val="left" w:leader="none"/>
              </w:tabs>
              <w:spacing w:line="200" w:lineRule="exact"/>
              <w:ind w:left="88"/>
              <w:rPr>
                <w:sz w:val="18"/>
              </w:rPr>
            </w:pPr>
            <w:r>
              <w:rPr>
                <w:color w:val="105C84"/>
                <w:sz w:val="18"/>
              </w:rPr>
              <w:t>receiving</w:t>
            </w:r>
            <w:r>
              <w:rPr>
                <w:color w:val="105C84"/>
                <w:spacing w:val="-9"/>
                <w:sz w:val="18"/>
              </w:rPr>
              <w:t> </w:t>
            </w:r>
            <w:r>
              <w:rPr>
                <w:color w:val="105C84"/>
                <w:spacing w:val="-2"/>
                <w:sz w:val="18"/>
              </w:rPr>
              <w:t>education</w:t>
            </w:r>
            <w:r>
              <w:rPr>
                <w:color w:val="105C84"/>
                <w:sz w:val="18"/>
              </w:rPr>
              <w:tab/>
              <w:t>least</w:t>
            </w:r>
            <w:r>
              <w:rPr>
                <w:color w:val="105C84"/>
                <w:spacing w:val="-12"/>
                <w:sz w:val="18"/>
              </w:rPr>
              <w:t> </w:t>
            </w:r>
            <w:r>
              <w:rPr>
                <w:color w:val="105C84"/>
                <w:sz w:val="18"/>
              </w:rPr>
              <w:t>1</w:t>
            </w:r>
            <w:r>
              <w:rPr>
                <w:color w:val="105C84"/>
                <w:spacing w:val="-11"/>
                <w:sz w:val="18"/>
              </w:rPr>
              <w:t> </w:t>
            </w:r>
            <w:r>
              <w:rPr>
                <w:color w:val="105C84"/>
                <w:spacing w:val="-2"/>
                <w:sz w:val="18"/>
              </w:rPr>
              <w:t>provider</w:t>
            </w:r>
          </w:p>
          <w:p>
            <w:pPr>
              <w:pStyle w:val="TableParagraph"/>
              <w:tabs>
                <w:tab w:pos="3786" w:val="left" w:leader="none"/>
              </w:tabs>
              <w:spacing w:line="200" w:lineRule="exact"/>
              <w:ind w:left="88"/>
              <w:rPr>
                <w:sz w:val="18"/>
              </w:rPr>
            </w:pPr>
            <w:r>
              <w:rPr>
                <w:color w:val="105C84"/>
                <w:w w:val="105"/>
                <w:sz w:val="18"/>
              </w:rPr>
              <w:t>on</w:t>
            </w:r>
            <w:r>
              <w:rPr>
                <w:color w:val="105C84"/>
                <w:spacing w:val="-11"/>
                <w:w w:val="105"/>
                <w:sz w:val="18"/>
              </w:rPr>
              <w:t> </w:t>
            </w:r>
            <w:r>
              <w:rPr>
                <w:color w:val="105C84"/>
                <w:w w:val="105"/>
                <w:sz w:val="18"/>
              </w:rPr>
              <w:t>opiate</w:t>
            </w:r>
            <w:r>
              <w:rPr>
                <w:color w:val="105C84"/>
                <w:spacing w:val="-11"/>
                <w:w w:val="105"/>
                <w:sz w:val="18"/>
              </w:rPr>
              <w:t> </w:t>
            </w:r>
            <w:r>
              <w:rPr>
                <w:color w:val="105C84"/>
                <w:spacing w:val="-2"/>
                <w:w w:val="105"/>
                <w:sz w:val="18"/>
              </w:rPr>
              <w:t>prescribing</w:t>
            </w:r>
            <w:r>
              <w:rPr>
                <w:color w:val="105C84"/>
                <w:sz w:val="18"/>
              </w:rPr>
              <w:tab/>
            </w:r>
            <w:r>
              <w:rPr>
                <w:color w:val="105C84"/>
                <w:spacing w:val="-2"/>
                <w:w w:val="105"/>
                <w:sz w:val="18"/>
              </w:rPr>
              <w:t>education</w:t>
            </w:r>
          </w:p>
          <w:p>
            <w:pPr>
              <w:pStyle w:val="TableParagraph"/>
              <w:tabs>
                <w:tab w:pos="3786" w:val="left" w:leader="none"/>
              </w:tabs>
              <w:spacing w:line="200" w:lineRule="exact"/>
              <w:ind w:left="88"/>
              <w:rPr>
                <w:sz w:val="18"/>
              </w:rPr>
            </w:pPr>
            <w:r>
              <w:rPr>
                <w:color w:val="105C84"/>
                <w:spacing w:val="-2"/>
                <w:sz w:val="18"/>
              </w:rPr>
              <w:t>NYSDOH</w:t>
            </w:r>
            <w:r>
              <w:rPr>
                <w:color w:val="105C84"/>
                <w:spacing w:val="-8"/>
                <w:sz w:val="18"/>
              </w:rPr>
              <w:t> </w:t>
            </w:r>
            <w:r>
              <w:rPr>
                <w:color w:val="105C84"/>
                <w:spacing w:val="-2"/>
                <w:sz w:val="18"/>
              </w:rPr>
              <w:t>opioid</w:t>
            </w:r>
            <w:r>
              <w:rPr>
                <w:color w:val="105C84"/>
                <w:sz w:val="18"/>
              </w:rPr>
              <w:tab/>
            </w:r>
            <w:r>
              <w:rPr>
                <w:color w:val="105C84"/>
                <w:spacing w:val="-2"/>
                <w:sz w:val="18"/>
              </w:rPr>
              <w:t>session</w:t>
            </w:r>
            <w:r>
              <w:rPr>
                <w:color w:val="105C84"/>
                <w:spacing w:val="-8"/>
                <w:sz w:val="18"/>
              </w:rPr>
              <w:t> </w:t>
            </w:r>
            <w:r>
              <w:rPr>
                <w:color w:val="105C84"/>
                <w:spacing w:val="-2"/>
                <w:sz w:val="18"/>
              </w:rPr>
              <w:t>on</w:t>
            </w:r>
            <w:r>
              <w:rPr>
                <w:color w:val="105C84"/>
                <w:spacing w:val="-7"/>
                <w:sz w:val="18"/>
              </w:rPr>
              <w:t> </w:t>
            </w:r>
            <w:r>
              <w:rPr>
                <w:color w:val="105C84"/>
                <w:spacing w:val="-2"/>
                <w:sz w:val="18"/>
              </w:rPr>
              <w:t>opiate</w:t>
            </w:r>
          </w:p>
          <w:p>
            <w:pPr>
              <w:pStyle w:val="TableParagraph"/>
              <w:tabs>
                <w:tab w:pos="3786" w:val="left" w:leader="none"/>
              </w:tabs>
              <w:spacing w:line="200" w:lineRule="exact"/>
              <w:ind w:left="88"/>
              <w:rPr>
                <w:sz w:val="18"/>
              </w:rPr>
            </w:pPr>
            <w:r>
              <w:rPr>
                <w:color w:val="105C84"/>
                <w:spacing w:val="-2"/>
                <w:sz w:val="18"/>
              </w:rPr>
              <w:t>dashboard</w:t>
            </w:r>
            <w:r>
              <w:rPr>
                <w:color w:val="105C84"/>
                <w:sz w:val="18"/>
              </w:rPr>
              <w:tab/>
              <w:t>prescribing</w:t>
            </w:r>
            <w:r>
              <w:rPr>
                <w:color w:val="105C84"/>
                <w:spacing w:val="6"/>
                <w:sz w:val="18"/>
              </w:rPr>
              <w:t> </w:t>
            </w:r>
            <w:r>
              <w:rPr>
                <w:color w:val="105C84"/>
                <w:sz w:val="18"/>
              </w:rPr>
              <w:t>for</w:t>
            </w:r>
            <w:r>
              <w:rPr>
                <w:color w:val="105C84"/>
                <w:spacing w:val="7"/>
                <w:sz w:val="18"/>
              </w:rPr>
              <w:t> </w:t>
            </w:r>
            <w:r>
              <w:rPr>
                <w:color w:val="105C84"/>
                <w:spacing w:val="-10"/>
                <w:sz w:val="18"/>
              </w:rPr>
              <w:t>2</w:t>
            </w:r>
          </w:p>
          <w:p>
            <w:pPr>
              <w:pStyle w:val="TableParagraph"/>
              <w:tabs>
                <w:tab w:pos="3786" w:val="left" w:leader="none"/>
              </w:tabs>
              <w:spacing w:line="148" w:lineRule="auto" w:before="26"/>
              <w:ind w:left="88"/>
              <w:rPr>
                <w:sz w:val="18"/>
              </w:rPr>
            </w:pPr>
            <w:r>
              <w:rPr>
                <w:color w:val="105C84"/>
                <w:position w:val="-8"/>
                <w:sz w:val="18"/>
              </w:rPr>
              <w:t>#</w:t>
            </w:r>
            <w:r>
              <w:rPr>
                <w:color w:val="105C84"/>
                <w:spacing w:val="-6"/>
                <w:position w:val="-8"/>
                <w:sz w:val="18"/>
              </w:rPr>
              <w:t> </w:t>
            </w:r>
            <w:r>
              <w:rPr>
                <w:color w:val="105C84"/>
                <w:position w:val="-8"/>
                <w:sz w:val="18"/>
              </w:rPr>
              <w:t>of</w:t>
            </w:r>
            <w:r>
              <w:rPr>
                <w:color w:val="105C84"/>
                <w:spacing w:val="-3"/>
                <w:position w:val="-8"/>
                <w:sz w:val="18"/>
              </w:rPr>
              <w:t> </w:t>
            </w:r>
            <w:r>
              <w:rPr>
                <w:color w:val="105C84"/>
                <w:position w:val="-8"/>
                <w:sz w:val="18"/>
              </w:rPr>
              <w:t>-</w:t>
            </w:r>
            <w:r>
              <w:rPr>
                <w:color w:val="105C84"/>
                <w:spacing w:val="-3"/>
                <w:position w:val="-8"/>
                <w:sz w:val="18"/>
              </w:rPr>
              <w:t> </w:t>
            </w:r>
            <w:r>
              <w:rPr>
                <w:color w:val="105C84"/>
                <w:spacing w:val="-2"/>
                <w:position w:val="-8"/>
                <w:sz w:val="18"/>
              </w:rPr>
              <w:t>Opioid</w:t>
            </w:r>
            <w:r>
              <w:rPr>
                <w:color w:val="105C84"/>
                <w:position w:val="-8"/>
                <w:sz w:val="18"/>
              </w:rPr>
              <w:tab/>
            </w:r>
            <w:r>
              <w:rPr>
                <w:color w:val="105C84"/>
                <w:sz w:val="18"/>
              </w:rPr>
              <w:t>Medical</w:t>
            </w:r>
            <w:r>
              <w:rPr>
                <w:color w:val="105C84"/>
                <w:spacing w:val="8"/>
                <w:sz w:val="18"/>
              </w:rPr>
              <w:t> </w:t>
            </w:r>
            <w:r>
              <w:rPr>
                <w:color w:val="105C84"/>
                <w:spacing w:val="-2"/>
                <w:sz w:val="18"/>
              </w:rPr>
              <w:t>Provider</w:t>
            </w:r>
          </w:p>
          <w:p>
            <w:pPr>
              <w:pStyle w:val="TableParagraph"/>
              <w:tabs>
                <w:tab w:pos="3786" w:val="left" w:leader="none"/>
              </w:tabs>
              <w:spacing w:line="148" w:lineRule="auto"/>
              <w:ind w:left="88"/>
              <w:rPr>
                <w:sz w:val="18"/>
              </w:rPr>
            </w:pPr>
            <w:r>
              <w:rPr>
                <w:color w:val="105C84"/>
                <w:spacing w:val="-2"/>
                <w:position w:val="-8"/>
                <w:sz w:val="18"/>
              </w:rPr>
              <w:t>analgesics</w:t>
            </w:r>
            <w:r>
              <w:rPr>
                <w:color w:val="105C84"/>
                <w:position w:val="-8"/>
                <w:sz w:val="18"/>
              </w:rPr>
              <w:tab/>
            </w:r>
            <w:r>
              <w:rPr>
                <w:color w:val="105C84"/>
                <w:sz w:val="18"/>
              </w:rPr>
              <w:t>Offices</w:t>
            </w:r>
            <w:r>
              <w:rPr>
                <w:color w:val="105C84"/>
                <w:spacing w:val="-3"/>
                <w:sz w:val="18"/>
              </w:rPr>
              <w:t> </w:t>
            </w:r>
            <w:r>
              <w:rPr>
                <w:color w:val="105C84"/>
                <w:sz w:val="18"/>
              </w:rPr>
              <w:t>by</w:t>
            </w:r>
            <w:r>
              <w:rPr>
                <w:color w:val="105C84"/>
                <w:spacing w:val="-3"/>
                <w:sz w:val="18"/>
              </w:rPr>
              <w:t> </w:t>
            </w:r>
            <w:r>
              <w:rPr>
                <w:color w:val="105C84"/>
                <w:sz w:val="18"/>
              </w:rPr>
              <w:t>the</w:t>
            </w:r>
            <w:r>
              <w:rPr>
                <w:color w:val="105C84"/>
                <w:spacing w:val="-3"/>
                <w:sz w:val="18"/>
              </w:rPr>
              <w:t> </w:t>
            </w:r>
            <w:r>
              <w:rPr>
                <w:color w:val="105C84"/>
                <w:spacing w:val="-5"/>
                <w:sz w:val="18"/>
              </w:rPr>
              <w:t>end</w:t>
            </w:r>
          </w:p>
          <w:p>
            <w:pPr>
              <w:pStyle w:val="TableParagraph"/>
              <w:tabs>
                <w:tab w:pos="3786" w:val="left" w:leader="none"/>
              </w:tabs>
              <w:spacing w:line="245" w:lineRule="exact"/>
              <w:ind w:left="88"/>
              <w:rPr>
                <w:position w:val="9"/>
                <w:sz w:val="18"/>
              </w:rPr>
            </w:pPr>
            <w:r>
              <w:rPr>
                <w:color w:val="105C84"/>
                <w:sz w:val="18"/>
              </w:rPr>
              <w:t>prescription,</w:t>
            </w:r>
            <w:r>
              <w:rPr>
                <w:color w:val="105C84"/>
                <w:spacing w:val="12"/>
                <w:sz w:val="18"/>
              </w:rPr>
              <w:t> </w:t>
            </w:r>
            <w:r>
              <w:rPr>
                <w:color w:val="105C84"/>
                <w:spacing w:val="-4"/>
                <w:sz w:val="18"/>
              </w:rPr>
              <w:t>crude</w:t>
            </w:r>
            <w:r>
              <w:rPr>
                <w:color w:val="105C84"/>
                <w:sz w:val="18"/>
              </w:rPr>
              <w:tab/>
            </w:r>
            <w:r>
              <w:rPr>
                <w:color w:val="105C84"/>
                <w:position w:val="9"/>
                <w:sz w:val="18"/>
              </w:rPr>
              <w:t>of</w:t>
            </w:r>
            <w:r>
              <w:rPr>
                <w:color w:val="105C84"/>
                <w:spacing w:val="-7"/>
                <w:position w:val="9"/>
                <w:sz w:val="18"/>
              </w:rPr>
              <w:t> </w:t>
            </w:r>
            <w:r>
              <w:rPr>
                <w:color w:val="105C84"/>
                <w:position w:val="9"/>
                <w:sz w:val="18"/>
              </w:rPr>
              <w:t>year</w:t>
            </w:r>
            <w:r>
              <w:rPr>
                <w:color w:val="105C84"/>
                <w:spacing w:val="-6"/>
                <w:position w:val="9"/>
                <w:sz w:val="18"/>
              </w:rPr>
              <w:t> </w:t>
            </w:r>
            <w:r>
              <w:rPr>
                <w:color w:val="105C84"/>
                <w:spacing w:val="-10"/>
                <w:position w:val="9"/>
                <w:sz w:val="18"/>
              </w:rPr>
              <w:t>1</w:t>
            </w:r>
          </w:p>
          <w:p>
            <w:pPr>
              <w:pStyle w:val="TableParagraph"/>
              <w:spacing w:line="232" w:lineRule="auto"/>
              <w:ind w:left="88" w:right="3381"/>
              <w:rPr>
                <w:sz w:val="18"/>
              </w:rPr>
            </w:pPr>
            <w:r>
              <w:rPr>
                <w:color w:val="105C84"/>
                <w:spacing w:val="-2"/>
                <w:sz w:val="18"/>
              </w:rPr>
              <w:t>rate</w:t>
            </w:r>
            <w:r>
              <w:rPr>
                <w:color w:val="105C84"/>
                <w:spacing w:val="-13"/>
                <w:sz w:val="18"/>
              </w:rPr>
              <w:t> </w:t>
            </w:r>
            <w:r>
              <w:rPr>
                <w:color w:val="105C84"/>
                <w:spacing w:val="-2"/>
                <w:sz w:val="18"/>
              </w:rPr>
              <w:t>per</w:t>
            </w:r>
            <w:r>
              <w:rPr>
                <w:color w:val="105C84"/>
                <w:spacing w:val="-10"/>
                <w:sz w:val="18"/>
              </w:rPr>
              <w:t> </w:t>
            </w:r>
            <w:r>
              <w:rPr>
                <w:color w:val="105C84"/>
                <w:spacing w:val="-2"/>
                <w:sz w:val="18"/>
              </w:rPr>
              <w:t>1,000 </w:t>
            </w:r>
            <w:r>
              <w:rPr>
                <w:color w:val="105C84"/>
                <w:spacing w:val="-2"/>
                <w:w w:val="105"/>
                <w:sz w:val="18"/>
              </w:rPr>
              <w:t>population</w:t>
            </w:r>
          </w:p>
        </w:tc>
        <w:tc>
          <w:tcPr>
            <w:tcW w:w="1858" w:type="dxa"/>
          </w:tcPr>
          <w:p>
            <w:pPr>
              <w:pStyle w:val="TableParagraph"/>
              <w:spacing w:line="232" w:lineRule="auto" w:before="98"/>
              <w:ind w:left="88" w:right="38"/>
              <w:rPr>
                <w:sz w:val="18"/>
              </w:rPr>
            </w:pPr>
            <w:r>
              <w:rPr>
                <w:color w:val="105C84"/>
                <w:sz w:val="18"/>
              </w:rPr>
              <w:t>To develop a public health detailing packet on opioid addiction and </w:t>
            </w:r>
            <w:r>
              <w:rPr>
                <w:color w:val="105C84"/>
                <w:sz w:val="18"/>
              </w:rPr>
              <w:t>opioid prescribing for prescribers</w:t>
            </w:r>
            <w:r>
              <w:rPr>
                <w:color w:val="105C84"/>
                <w:spacing w:val="-13"/>
                <w:sz w:val="18"/>
              </w:rPr>
              <w:t> </w:t>
            </w:r>
            <w:r>
              <w:rPr>
                <w:color w:val="105C84"/>
                <w:sz w:val="18"/>
              </w:rPr>
              <w:t>including medical, dental</w:t>
            </w:r>
          </w:p>
          <w:p>
            <w:pPr>
              <w:pStyle w:val="TableParagraph"/>
              <w:spacing w:line="232" w:lineRule="auto"/>
              <w:ind w:left="88"/>
              <w:rPr>
                <w:sz w:val="18"/>
              </w:rPr>
            </w:pPr>
            <w:r>
              <w:rPr>
                <w:color w:val="105C84"/>
                <w:sz w:val="18"/>
              </w:rPr>
              <w:t>and</w:t>
            </w:r>
            <w:r>
              <w:rPr>
                <w:color w:val="105C84"/>
                <w:spacing w:val="-15"/>
                <w:sz w:val="18"/>
              </w:rPr>
              <w:t> </w:t>
            </w:r>
            <w:r>
              <w:rPr>
                <w:color w:val="105C84"/>
                <w:sz w:val="18"/>
              </w:rPr>
              <w:t>pharmacist</w:t>
            </w:r>
            <w:r>
              <w:rPr>
                <w:color w:val="105C84"/>
                <w:spacing w:val="-12"/>
                <w:sz w:val="18"/>
              </w:rPr>
              <w:t> </w:t>
            </w:r>
            <w:r>
              <w:rPr>
                <w:color w:val="105C84"/>
                <w:sz w:val="18"/>
              </w:rPr>
              <w:t>in Seneca County</w:t>
            </w:r>
          </w:p>
        </w:tc>
        <w:tc>
          <w:tcPr>
            <w:tcW w:w="1973" w:type="dxa"/>
          </w:tcPr>
          <w:p>
            <w:pPr>
              <w:pStyle w:val="TableParagraph"/>
              <w:spacing w:line="232" w:lineRule="auto" w:before="97"/>
              <w:ind w:left="88" w:right="436"/>
              <w:rPr>
                <w:sz w:val="18"/>
              </w:rPr>
            </w:pPr>
            <w:r>
              <w:rPr>
                <w:color w:val="105C84"/>
                <w:w w:val="105"/>
                <w:sz w:val="18"/>
              </w:rPr>
              <w:t>To</w:t>
            </w:r>
            <w:r>
              <w:rPr>
                <w:color w:val="105C84"/>
                <w:spacing w:val="-1"/>
                <w:w w:val="105"/>
                <w:sz w:val="18"/>
              </w:rPr>
              <w:t> </w:t>
            </w:r>
            <w:r>
              <w:rPr>
                <w:color w:val="105C84"/>
                <w:w w:val="105"/>
                <w:sz w:val="18"/>
              </w:rPr>
              <w:t>provide </w:t>
            </w:r>
            <w:r>
              <w:rPr>
                <w:color w:val="105C84"/>
                <w:spacing w:val="-2"/>
                <w:w w:val="105"/>
                <w:sz w:val="18"/>
              </w:rPr>
              <w:t>ongoing</w:t>
            </w:r>
            <w:r>
              <w:rPr>
                <w:color w:val="105C84"/>
                <w:spacing w:val="-12"/>
                <w:w w:val="105"/>
                <w:sz w:val="18"/>
              </w:rPr>
              <w:t> </w:t>
            </w:r>
            <w:r>
              <w:rPr>
                <w:color w:val="105C84"/>
                <w:spacing w:val="-2"/>
                <w:w w:val="105"/>
                <w:sz w:val="18"/>
              </w:rPr>
              <w:t>outreach </w:t>
            </w:r>
            <w:r>
              <w:rPr>
                <w:color w:val="105C84"/>
                <w:w w:val="105"/>
                <w:sz w:val="18"/>
              </w:rPr>
              <w:t>and detailing for</w:t>
            </w:r>
          </w:p>
          <w:p>
            <w:pPr>
              <w:pStyle w:val="TableParagraph"/>
              <w:spacing w:line="232" w:lineRule="auto"/>
              <w:ind w:left="88" w:right="102"/>
              <w:rPr>
                <w:sz w:val="18"/>
              </w:rPr>
            </w:pPr>
            <w:r>
              <w:rPr>
                <w:color w:val="105C84"/>
                <w:sz w:val="18"/>
              </w:rPr>
              <w:t>prescribers regarding Opioid Addiction and prescribing</w:t>
            </w:r>
            <w:r>
              <w:rPr>
                <w:color w:val="105C84"/>
                <w:spacing w:val="-9"/>
                <w:sz w:val="18"/>
              </w:rPr>
              <w:t> </w:t>
            </w:r>
            <w:r>
              <w:rPr>
                <w:color w:val="105C84"/>
                <w:sz w:val="18"/>
              </w:rPr>
              <w:t>guidelines to 100% of the Medical Practices in Seneca County</w:t>
            </w:r>
          </w:p>
        </w:tc>
        <w:tc>
          <w:tcPr>
            <w:tcW w:w="1498" w:type="dxa"/>
          </w:tcPr>
          <w:p>
            <w:pPr>
              <w:pStyle w:val="TableParagraph"/>
              <w:spacing w:before="92"/>
              <w:ind w:left="87"/>
              <w:rPr>
                <w:sz w:val="18"/>
              </w:rPr>
            </w:pPr>
            <w:r>
              <w:rPr>
                <w:color w:val="105C84"/>
                <w:spacing w:val="-2"/>
                <w:sz w:val="18"/>
              </w:rPr>
              <w:t>Providers</w:t>
            </w:r>
          </w:p>
        </w:tc>
        <w:tc>
          <w:tcPr>
            <w:tcW w:w="3163" w:type="dxa"/>
          </w:tcPr>
          <w:p>
            <w:pPr>
              <w:pStyle w:val="TableParagraph"/>
              <w:spacing w:line="232" w:lineRule="auto" w:before="97"/>
              <w:ind w:left="87"/>
              <w:rPr>
                <w:sz w:val="18"/>
              </w:rPr>
            </w:pPr>
            <w:r>
              <w:rPr>
                <w:color w:val="105C84"/>
                <w:spacing w:val="-4"/>
                <w:sz w:val="18"/>
              </w:rPr>
              <w:t>.20-PHE</w:t>
            </w:r>
            <w:r>
              <w:rPr>
                <w:color w:val="105C84"/>
                <w:spacing w:val="-9"/>
                <w:sz w:val="18"/>
              </w:rPr>
              <w:t> </w:t>
            </w:r>
            <w:r>
              <w:rPr>
                <w:color w:val="105C84"/>
                <w:spacing w:val="-4"/>
                <w:sz w:val="18"/>
              </w:rPr>
              <w:t>and/or</w:t>
            </w:r>
            <w:r>
              <w:rPr>
                <w:color w:val="105C84"/>
                <w:spacing w:val="-8"/>
                <w:sz w:val="18"/>
              </w:rPr>
              <w:t> </w:t>
            </w:r>
            <w:r>
              <w:rPr>
                <w:color w:val="105C84"/>
                <w:spacing w:val="-4"/>
                <w:sz w:val="18"/>
              </w:rPr>
              <w:t>SR.PHE</w:t>
            </w:r>
            <w:r>
              <w:rPr>
                <w:color w:val="105C84"/>
                <w:spacing w:val="-9"/>
                <w:sz w:val="18"/>
              </w:rPr>
              <w:t> </w:t>
            </w:r>
            <w:r>
              <w:rPr>
                <w:color w:val="105C84"/>
                <w:spacing w:val="-4"/>
                <w:sz w:val="18"/>
              </w:rPr>
              <w:t>-Seneca </w:t>
            </w:r>
            <w:r>
              <w:rPr>
                <w:color w:val="105C84"/>
                <w:sz w:val="18"/>
              </w:rPr>
              <w:t>County</w:t>
            </w:r>
            <w:r>
              <w:rPr>
                <w:color w:val="105C84"/>
                <w:spacing w:val="8"/>
                <w:sz w:val="18"/>
              </w:rPr>
              <w:t> </w:t>
            </w:r>
            <w:r>
              <w:rPr>
                <w:color w:val="105C84"/>
                <w:sz w:val="18"/>
              </w:rPr>
              <w:t>Health</w:t>
            </w:r>
            <w:r>
              <w:rPr>
                <w:color w:val="105C84"/>
                <w:spacing w:val="9"/>
                <w:sz w:val="18"/>
              </w:rPr>
              <w:t> </w:t>
            </w:r>
            <w:r>
              <w:rPr>
                <w:color w:val="105C84"/>
                <w:sz w:val="18"/>
              </w:rPr>
              <w:t>Department</w:t>
            </w:r>
            <w:r>
              <w:rPr>
                <w:color w:val="105C84"/>
                <w:spacing w:val="9"/>
                <w:sz w:val="18"/>
              </w:rPr>
              <w:t> </w:t>
            </w:r>
            <w:r>
              <w:rPr>
                <w:color w:val="105C84"/>
                <w:spacing w:val="-5"/>
                <w:sz w:val="18"/>
              </w:rPr>
              <w:t>Staff</w:t>
            </w:r>
          </w:p>
          <w:p>
            <w:pPr>
              <w:pStyle w:val="TableParagraph"/>
              <w:spacing w:line="232" w:lineRule="auto" w:before="89"/>
              <w:ind w:left="87" w:right="226"/>
              <w:rPr>
                <w:sz w:val="18"/>
              </w:rPr>
            </w:pPr>
            <w:r>
              <w:rPr>
                <w:color w:val="105C84"/>
                <w:sz w:val="18"/>
              </w:rPr>
              <w:t>Seneca County Substance Abuse Coalition will develop a detailing packet to deliver and present to local providers to censure they are aware of the prescriber guidelines for Opioids and are informed of </w:t>
            </w:r>
            <w:r>
              <w:rPr>
                <w:color w:val="105C84"/>
                <w:sz w:val="18"/>
              </w:rPr>
              <w:t>the current state of Opioid Addiction impacting Seneca County</w:t>
            </w:r>
          </w:p>
        </w:tc>
      </w:tr>
    </w:tbl>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231"/>
        <w:rPr>
          <w:b/>
          <w:sz w:val="26"/>
        </w:rPr>
      </w:pPr>
    </w:p>
    <w:p>
      <w:pPr>
        <w:tabs>
          <w:tab w:pos="23047" w:val="left" w:leader="none"/>
        </w:tabs>
        <w:spacing w:before="0"/>
        <w:ind w:left="0" w:right="0" w:firstLine="0"/>
        <w:jc w:val="left"/>
        <w:rPr>
          <w:b/>
          <w:sz w:val="26"/>
        </w:rPr>
      </w:pPr>
      <w:r>
        <w:rPr>
          <w:position w:val="-4"/>
        </w:rPr>
        <w:drawing>
          <wp:inline distT="0" distB="0" distL="0" distR="0">
            <wp:extent cx="568172" cy="184683"/>
            <wp:effectExtent l="0" t="0" r="0" b="0"/>
            <wp:docPr id="1926" name="Image 1926"/>
            <wp:cNvGraphicFramePr>
              <a:graphicFrameLocks/>
            </wp:cNvGraphicFramePr>
            <a:graphic>
              <a:graphicData uri="http://schemas.openxmlformats.org/drawingml/2006/picture">
                <pic:pic>
                  <pic:nvPicPr>
                    <pic:cNvPr id="1926" name="Image 1926"/>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13"/>
          <w:sz w:val="20"/>
        </w:rPr>
        <w:t> </w:t>
      </w:r>
      <w:r>
        <w:rPr>
          <w:b/>
          <w:color w:val="939598"/>
          <w:w w:val="105"/>
          <w:sz w:val="26"/>
        </w:rPr>
        <w:t>187</w:t>
      </w:r>
      <w:r>
        <w:rPr>
          <w:b/>
          <w:color w:val="939598"/>
          <w:sz w:val="26"/>
        </w:rPr>
        <w:tab/>
      </w:r>
      <w:r>
        <w:rPr>
          <w:b/>
          <w:color w:val="939598"/>
          <w:spacing w:val="-5"/>
          <w:w w:val="105"/>
          <w:sz w:val="26"/>
        </w:rPr>
        <w:t>188</w:t>
      </w:r>
    </w:p>
    <w:p>
      <w:pPr>
        <w:spacing w:after="0"/>
        <w:jc w:val="left"/>
        <w:rPr>
          <w:b/>
          <w:sz w:val="26"/>
        </w:rPr>
        <w:sectPr>
          <w:pgSz w:w="24480" w:h="15840" w:orient="landscape"/>
          <w:pgMar w:header="0" w:footer="0" w:top="860" w:bottom="0" w:left="0" w:right="720"/>
        </w:sectPr>
      </w:pPr>
    </w:p>
    <w:p>
      <w:pPr>
        <w:spacing w:before="607"/>
        <w:ind w:left="1089" w:right="0" w:firstLine="0"/>
        <w:jc w:val="left"/>
        <w:rPr>
          <w:sz w:val="54"/>
        </w:rPr>
      </w:pPr>
      <w:r>
        <w:rPr>
          <w:sz w:val="54"/>
        </w:rPr>
        <w:drawing>
          <wp:anchor distT="0" distB="0" distL="0" distR="0" allowOverlap="1" layoutInCell="1" locked="0" behindDoc="0" simplePos="0" relativeHeight="15990272">
            <wp:simplePos x="0" y="0"/>
            <wp:positionH relativeFrom="page">
              <wp:posOffset>14981556</wp:posOffset>
            </wp:positionH>
            <wp:positionV relativeFrom="page">
              <wp:posOffset>9668103</wp:posOffset>
            </wp:positionV>
            <wp:extent cx="563245" cy="184683"/>
            <wp:effectExtent l="0" t="0" r="0" b="0"/>
            <wp:wrapNone/>
            <wp:docPr id="1927" name="Image 1927"/>
            <wp:cNvGraphicFramePr>
              <a:graphicFrameLocks/>
            </wp:cNvGraphicFramePr>
            <a:graphic>
              <a:graphicData uri="http://schemas.openxmlformats.org/drawingml/2006/picture">
                <pic:pic>
                  <pic:nvPicPr>
                    <pic:cNvPr id="1927" name="Image 1927"/>
                    <pic:cNvPicPr/>
                  </pic:nvPicPr>
                  <pic:blipFill>
                    <a:blip r:embed="rId38" cstate="print"/>
                    <a:stretch>
                      <a:fillRect/>
                    </a:stretch>
                  </pic:blipFill>
                  <pic:spPr>
                    <a:xfrm>
                      <a:off x="0" y="0"/>
                      <a:ext cx="563245" cy="184683"/>
                    </a:xfrm>
                    <a:prstGeom prst="rect">
                      <a:avLst/>
                    </a:prstGeom>
                  </pic:spPr>
                </pic:pic>
              </a:graphicData>
            </a:graphic>
          </wp:anchor>
        </w:drawing>
      </w:r>
      <w:r>
        <w:rPr>
          <w:sz w:val="54"/>
        </w:rPr>
        <w:drawing>
          <wp:anchor distT="0" distB="0" distL="0" distR="0" allowOverlap="1" layoutInCell="1" locked="0" behindDoc="0" simplePos="0" relativeHeight="15990784">
            <wp:simplePos x="0" y="0"/>
            <wp:positionH relativeFrom="page">
              <wp:posOffset>14227238</wp:posOffset>
            </wp:positionH>
            <wp:positionV relativeFrom="paragraph">
              <wp:posOffset>365759</wp:posOffset>
            </wp:positionV>
            <wp:extent cx="688237" cy="640537"/>
            <wp:effectExtent l="0" t="0" r="0" b="0"/>
            <wp:wrapNone/>
            <wp:docPr id="1928" name="Image 1928"/>
            <wp:cNvGraphicFramePr>
              <a:graphicFrameLocks/>
            </wp:cNvGraphicFramePr>
            <a:graphic>
              <a:graphicData uri="http://schemas.openxmlformats.org/drawingml/2006/picture">
                <pic:pic>
                  <pic:nvPicPr>
                    <pic:cNvPr id="1928" name="Image 1928"/>
                    <pic:cNvPicPr/>
                  </pic:nvPicPr>
                  <pic:blipFill>
                    <a:blip r:embed="rId256" cstate="print"/>
                    <a:stretch>
                      <a:fillRect/>
                    </a:stretch>
                  </pic:blipFill>
                  <pic:spPr>
                    <a:xfrm>
                      <a:off x="0" y="0"/>
                      <a:ext cx="688237" cy="640537"/>
                    </a:xfrm>
                    <a:prstGeom prst="rect">
                      <a:avLst/>
                    </a:prstGeom>
                  </pic:spPr>
                </pic:pic>
              </a:graphicData>
            </a:graphic>
          </wp:anchor>
        </w:drawing>
      </w:r>
      <w:r>
        <w:rPr>
          <w:sz w:val="54"/>
        </w:rPr>
        <w:drawing>
          <wp:anchor distT="0" distB="0" distL="0" distR="0" allowOverlap="1" layoutInCell="1" locked="0" behindDoc="0" simplePos="0" relativeHeight="15991296">
            <wp:simplePos x="0" y="0"/>
            <wp:positionH relativeFrom="page">
              <wp:posOffset>10990759</wp:posOffset>
            </wp:positionH>
            <wp:positionV relativeFrom="paragraph">
              <wp:posOffset>240004</wp:posOffset>
            </wp:positionV>
            <wp:extent cx="1627045" cy="526160"/>
            <wp:effectExtent l="0" t="0" r="0" b="0"/>
            <wp:wrapNone/>
            <wp:docPr id="1929" name="Image 1929"/>
            <wp:cNvGraphicFramePr>
              <a:graphicFrameLocks/>
            </wp:cNvGraphicFramePr>
            <a:graphic>
              <a:graphicData uri="http://schemas.openxmlformats.org/drawingml/2006/picture">
                <pic:pic>
                  <pic:nvPicPr>
                    <pic:cNvPr id="1929" name="Image 1929"/>
                    <pic:cNvPicPr/>
                  </pic:nvPicPr>
                  <pic:blipFill>
                    <a:blip r:embed="rId251" cstate="print"/>
                    <a:stretch>
                      <a:fillRect/>
                    </a:stretch>
                  </pic:blipFill>
                  <pic:spPr>
                    <a:xfrm>
                      <a:off x="0" y="0"/>
                      <a:ext cx="1627045" cy="526160"/>
                    </a:xfrm>
                    <a:prstGeom prst="rect">
                      <a:avLst/>
                    </a:prstGeom>
                  </pic:spPr>
                </pic:pic>
              </a:graphicData>
            </a:graphic>
          </wp:anchor>
        </w:drawing>
      </w:r>
      <w:r>
        <w:rPr>
          <w:sz w:val="54"/>
        </w:rPr>
        <w:drawing>
          <wp:anchor distT="0" distB="0" distL="0" distR="0" allowOverlap="1" layoutInCell="1" locked="0" behindDoc="0" simplePos="0" relativeHeight="15991808">
            <wp:simplePos x="0" y="0"/>
            <wp:positionH relativeFrom="page">
              <wp:posOffset>12714085</wp:posOffset>
            </wp:positionH>
            <wp:positionV relativeFrom="paragraph">
              <wp:posOffset>347004</wp:posOffset>
            </wp:positionV>
            <wp:extent cx="1459113" cy="474391"/>
            <wp:effectExtent l="0" t="0" r="0" b="0"/>
            <wp:wrapNone/>
            <wp:docPr id="1930" name="Image 1930"/>
            <wp:cNvGraphicFramePr>
              <a:graphicFrameLocks/>
            </wp:cNvGraphicFramePr>
            <a:graphic>
              <a:graphicData uri="http://schemas.openxmlformats.org/drawingml/2006/picture">
                <pic:pic>
                  <pic:nvPicPr>
                    <pic:cNvPr id="1930" name="Image 1930"/>
                    <pic:cNvPicPr/>
                  </pic:nvPicPr>
                  <pic:blipFill>
                    <a:blip r:embed="rId257" cstate="print"/>
                    <a:stretch>
                      <a:fillRect/>
                    </a:stretch>
                  </pic:blipFill>
                  <pic:spPr>
                    <a:xfrm>
                      <a:off x="0" y="0"/>
                      <a:ext cx="1459113" cy="474391"/>
                    </a:xfrm>
                    <a:prstGeom prst="rect">
                      <a:avLst/>
                    </a:prstGeom>
                  </pic:spPr>
                </pic:pic>
              </a:graphicData>
            </a:graphic>
          </wp:anchor>
        </w:drawing>
      </w:r>
      <w:r>
        <w:rPr>
          <w:color w:val="636466"/>
          <w:sz w:val="54"/>
        </w:rPr>
        <w:t>Seneca</w:t>
      </w:r>
      <w:r>
        <w:rPr>
          <w:color w:val="636466"/>
          <w:spacing w:val="24"/>
          <w:sz w:val="54"/>
        </w:rPr>
        <w:t> </w:t>
      </w:r>
      <w:r>
        <w:rPr>
          <w:color w:val="636466"/>
          <w:sz w:val="54"/>
        </w:rPr>
        <w:t>County</w:t>
      </w:r>
      <w:r>
        <w:rPr>
          <w:color w:val="636466"/>
          <w:spacing w:val="24"/>
          <w:sz w:val="54"/>
        </w:rPr>
        <w:t> </w:t>
      </w:r>
      <w:r>
        <w:rPr>
          <w:color w:val="636466"/>
          <w:sz w:val="54"/>
        </w:rPr>
        <w:t>Appendix</w:t>
      </w:r>
      <w:r>
        <w:rPr>
          <w:color w:val="636466"/>
          <w:spacing w:val="24"/>
          <w:sz w:val="54"/>
        </w:rPr>
        <w:t> </w:t>
      </w:r>
      <w:r>
        <w:rPr>
          <w:color w:val="636466"/>
          <w:spacing w:val="-10"/>
          <w:sz w:val="54"/>
        </w:rPr>
        <w:t>E</w:t>
      </w:r>
    </w:p>
    <w:p>
      <w:pPr>
        <w:spacing w:line="247" w:lineRule="auto" w:before="235"/>
        <w:ind w:left="1089" w:right="13013" w:firstLine="0"/>
        <w:jc w:val="left"/>
        <w:rPr>
          <w:b/>
          <w:sz w:val="32"/>
        </w:rPr>
      </w:pPr>
      <w:r>
        <w:rPr>
          <w:b/>
          <w:color w:val="82BF6A"/>
          <w:spacing w:val="-4"/>
          <w:sz w:val="32"/>
        </w:rPr>
        <w:t>PRIORITY:</w:t>
      </w:r>
      <w:r>
        <w:rPr>
          <w:b/>
          <w:color w:val="82BF6A"/>
          <w:spacing w:val="-19"/>
          <w:sz w:val="32"/>
        </w:rPr>
        <w:t> </w:t>
      </w:r>
      <w:r>
        <w:rPr>
          <w:b/>
          <w:color w:val="82BF6A"/>
          <w:spacing w:val="-4"/>
          <w:sz w:val="32"/>
        </w:rPr>
        <w:t>PROMOTE</w:t>
      </w:r>
      <w:r>
        <w:rPr>
          <w:b/>
          <w:color w:val="82BF6A"/>
          <w:spacing w:val="-18"/>
          <w:sz w:val="32"/>
        </w:rPr>
        <w:t> </w:t>
      </w:r>
      <w:r>
        <w:rPr>
          <w:b/>
          <w:color w:val="82BF6A"/>
          <w:spacing w:val="-4"/>
          <w:sz w:val="32"/>
        </w:rPr>
        <w:t>WELL-BEING</w:t>
      </w:r>
      <w:r>
        <w:rPr>
          <w:b/>
          <w:color w:val="82BF6A"/>
          <w:spacing w:val="-18"/>
          <w:sz w:val="32"/>
        </w:rPr>
        <w:t> </w:t>
      </w:r>
      <w:r>
        <w:rPr>
          <w:b/>
          <w:color w:val="82BF6A"/>
          <w:spacing w:val="-4"/>
          <w:sz w:val="32"/>
        </w:rPr>
        <w:t>AND</w:t>
      </w:r>
      <w:r>
        <w:rPr>
          <w:b/>
          <w:color w:val="82BF6A"/>
          <w:spacing w:val="-18"/>
          <w:sz w:val="32"/>
        </w:rPr>
        <w:t> </w:t>
      </w:r>
      <w:r>
        <w:rPr>
          <w:b/>
          <w:color w:val="82BF6A"/>
          <w:spacing w:val="-4"/>
          <w:sz w:val="32"/>
        </w:rPr>
        <w:t>PREVENT</w:t>
      </w:r>
      <w:r>
        <w:rPr>
          <w:b/>
          <w:color w:val="82BF6A"/>
          <w:spacing w:val="-19"/>
          <w:sz w:val="32"/>
        </w:rPr>
        <w:t> </w:t>
      </w:r>
      <w:r>
        <w:rPr>
          <w:b/>
          <w:color w:val="82BF6A"/>
          <w:spacing w:val="-4"/>
          <w:sz w:val="32"/>
        </w:rPr>
        <w:t>MENTAL </w:t>
      </w:r>
      <w:r>
        <w:rPr>
          <w:b/>
          <w:color w:val="82BF6A"/>
          <w:sz w:val="32"/>
        </w:rPr>
        <w:t>AND</w:t>
      </w:r>
      <w:r>
        <w:rPr>
          <w:b/>
          <w:color w:val="82BF6A"/>
          <w:spacing w:val="-22"/>
          <w:sz w:val="32"/>
        </w:rPr>
        <w:t> </w:t>
      </w:r>
      <w:r>
        <w:rPr>
          <w:b/>
          <w:color w:val="82BF6A"/>
          <w:sz w:val="32"/>
        </w:rPr>
        <w:t>SUBSTANCE</w:t>
      </w:r>
      <w:r>
        <w:rPr>
          <w:b/>
          <w:color w:val="82BF6A"/>
          <w:spacing w:val="-22"/>
          <w:sz w:val="32"/>
        </w:rPr>
        <w:t> </w:t>
      </w:r>
      <w:r>
        <w:rPr>
          <w:b/>
          <w:color w:val="82BF6A"/>
          <w:sz w:val="32"/>
        </w:rPr>
        <w:t>USE</w:t>
      </w:r>
      <w:r>
        <w:rPr>
          <w:b/>
          <w:color w:val="82BF6A"/>
          <w:spacing w:val="-22"/>
          <w:sz w:val="32"/>
        </w:rPr>
        <w:t> </w:t>
      </w:r>
      <w:r>
        <w:rPr>
          <w:b/>
          <w:color w:val="82BF6A"/>
          <w:sz w:val="32"/>
        </w:rPr>
        <w:t>DISORDERS</w:t>
      </w:r>
    </w:p>
    <w:p>
      <w:pPr>
        <w:pStyle w:val="BodyText"/>
        <w:spacing w:before="10"/>
        <w:rPr>
          <w:b/>
          <w:sz w:val="15"/>
        </w:rPr>
      </w:pPr>
    </w:p>
    <w:tbl>
      <w:tblPr>
        <w:tblW w:w="0" w:type="auto"/>
        <w:jc w:val="left"/>
        <w:tblInd w:w="1099"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1180"/>
        <w:gridCol w:w="1152"/>
        <w:gridCol w:w="1210"/>
        <w:gridCol w:w="1606"/>
        <w:gridCol w:w="1066"/>
        <w:gridCol w:w="2225"/>
        <w:gridCol w:w="5386"/>
        <w:gridCol w:w="1858"/>
        <w:gridCol w:w="1973"/>
        <w:gridCol w:w="1498"/>
        <w:gridCol w:w="3163"/>
      </w:tblGrid>
      <w:tr>
        <w:trPr>
          <w:trHeight w:val="1130" w:hRule="atLeast"/>
        </w:trPr>
        <w:tc>
          <w:tcPr>
            <w:tcW w:w="1180" w:type="dxa"/>
            <w:tcBorders>
              <w:right w:val="single" w:sz="4" w:space="0" w:color="FFFFFF"/>
            </w:tcBorders>
            <w:shd w:val="clear" w:color="auto" w:fill="A7A9AC"/>
          </w:tcPr>
          <w:p>
            <w:pPr>
              <w:pStyle w:val="TableParagraph"/>
              <w:rPr>
                <w:b/>
                <w:sz w:val="18"/>
              </w:rPr>
            </w:pPr>
          </w:p>
          <w:p>
            <w:pPr>
              <w:pStyle w:val="TableParagraph"/>
              <w:spacing w:before="72"/>
              <w:rPr>
                <w:b/>
                <w:sz w:val="18"/>
              </w:rPr>
            </w:pPr>
          </w:p>
          <w:p>
            <w:pPr>
              <w:pStyle w:val="TableParagraph"/>
              <w:ind w:left="80"/>
              <w:rPr>
                <w:b/>
                <w:sz w:val="18"/>
              </w:rPr>
            </w:pPr>
            <w:r>
              <w:rPr>
                <w:b/>
                <w:color w:val="FFFFFF"/>
                <w:spacing w:val="-2"/>
                <w:sz w:val="18"/>
              </w:rPr>
              <w:t>Priority</w:t>
            </w:r>
          </w:p>
        </w:tc>
        <w:tc>
          <w:tcPr>
            <w:tcW w:w="1152" w:type="dxa"/>
            <w:tcBorders>
              <w:left w:val="single" w:sz="4" w:space="0" w:color="FFFFFF"/>
              <w:right w:val="single" w:sz="4" w:space="0" w:color="FFFFFF"/>
            </w:tcBorders>
            <w:shd w:val="clear" w:color="auto" w:fill="A7A9AC"/>
          </w:tcPr>
          <w:p>
            <w:pPr>
              <w:pStyle w:val="TableParagraph"/>
              <w:rPr>
                <w:b/>
                <w:sz w:val="18"/>
              </w:rPr>
            </w:pPr>
          </w:p>
          <w:p>
            <w:pPr>
              <w:pStyle w:val="TableParagraph"/>
              <w:spacing w:before="72"/>
              <w:rPr>
                <w:b/>
                <w:sz w:val="18"/>
              </w:rPr>
            </w:pPr>
          </w:p>
          <w:p>
            <w:pPr>
              <w:pStyle w:val="TableParagraph"/>
              <w:ind w:left="80"/>
              <w:rPr>
                <w:b/>
                <w:sz w:val="18"/>
              </w:rPr>
            </w:pPr>
            <w:r>
              <w:rPr>
                <w:b/>
                <w:color w:val="FFFFFF"/>
                <w:w w:val="90"/>
                <w:sz w:val="18"/>
              </w:rPr>
              <w:t>Focus</w:t>
            </w:r>
            <w:r>
              <w:rPr>
                <w:b/>
                <w:color w:val="FFFFFF"/>
                <w:spacing w:val="8"/>
                <w:sz w:val="18"/>
              </w:rPr>
              <w:t> </w:t>
            </w:r>
            <w:r>
              <w:rPr>
                <w:b/>
                <w:color w:val="FFFFFF"/>
                <w:spacing w:val="-4"/>
                <w:sz w:val="18"/>
              </w:rPr>
              <w:t>Area</w:t>
            </w:r>
          </w:p>
        </w:tc>
        <w:tc>
          <w:tcPr>
            <w:tcW w:w="1210" w:type="dxa"/>
            <w:tcBorders>
              <w:left w:val="single" w:sz="4" w:space="0" w:color="FFFFFF"/>
              <w:right w:val="single" w:sz="4" w:space="0" w:color="FFFFFF"/>
            </w:tcBorders>
            <w:shd w:val="clear" w:color="auto" w:fill="A7A9AC"/>
          </w:tcPr>
          <w:p>
            <w:pPr>
              <w:pStyle w:val="TableParagraph"/>
              <w:rPr>
                <w:b/>
                <w:sz w:val="18"/>
              </w:rPr>
            </w:pPr>
          </w:p>
          <w:p>
            <w:pPr>
              <w:pStyle w:val="TableParagraph"/>
              <w:spacing w:before="72"/>
              <w:rPr>
                <w:b/>
                <w:sz w:val="18"/>
              </w:rPr>
            </w:pPr>
          </w:p>
          <w:p>
            <w:pPr>
              <w:pStyle w:val="TableParagraph"/>
              <w:ind w:left="80"/>
              <w:rPr>
                <w:b/>
                <w:sz w:val="18"/>
              </w:rPr>
            </w:pPr>
            <w:r>
              <w:rPr>
                <w:b/>
                <w:color w:val="FFFFFF"/>
                <w:spacing w:val="-4"/>
                <w:sz w:val="18"/>
              </w:rPr>
              <w:t>Goal</w:t>
            </w:r>
          </w:p>
        </w:tc>
        <w:tc>
          <w:tcPr>
            <w:tcW w:w="1606" w:type="dxa"/>
            <w:tcBorders>
              <w:left w:val="single" w:sz="4" w:space="0" w:color="FFFFFF"/>
              <w:right w:val="single" w:sz="4" w:space="0" w:color="FFFFFF"/>
            </w:tcBorders>
            <w:shd w:val="clear" w:color="auto" w:fill="A7A9AC"/>
          </w:tcPr>
          <w:p>
            <w:pPr>
              <w:pStyle w:val="TableParagraph"/>
              <w:rPr>
                <w:b/>
                <w:sz w:val="18"/>
              </w:rPr>
            </w:pPr>
          </w:p>
          <w:p>
            <w:pPr>
              <w:pStyle w:val="TableParagraph"/>
              <w:spacing w:before="72"/>
              <w:rPr>
                <w:b/>
                <w:sz w:val="18"/>
              </w:rPr>
            </w:pPr>
          </w:p>
          <w:p>
            <w:pPr>
              <w:pStyle w:val="TableParagraph"/>
              <w:ind w:left="80"/>
              <w:rPr>
                <w:b/>
                <w:sz w:val="18"/>
              </w:rPr>
            </w:pPr>
            <w:r>
              <w:rPr>
                <w:b/>
                <w:color w:val="FFFFFF"/>
                <w:spacing w:val="-2"/>
                <w:sz w:val="18"/>
              </w:rPr>
              <w:t>Objectives</w:t>
            </w:r>
          </w:p>
        </w:tc>
        <w:tc>
          <w:tcPr>
            <w:tcW w:w="1066" w:type="dxa"/>
            <w:tcBorders>
              <w:left w:val="single" w:sz="4" w:space="0" w:color="FFFFFF"/>
              <w:right w:val="single" w:sz="4" w:space="0" w:color="FFFFFF"/>
            </w:tcBorders>
            <w:shd w:val="clear" w:color="auto" w:fill="A7A9AC"/>
          </w:tcPr>
          <w:p>
            <w:pPr>
              <w:pStyle w:val="TableParagraph"/>
              <w:rPr>
                <w:b/>
                <w:sz w:val="18"/>
              </w:rPr>
            </w:pPr>
          </w:p>
          <w:p>
            <w:pPr>
              <w:pStyle w:val="TableParagraph"/>
              <w:spacing w:before="72"/>
              <w:rPr>
                <w:b/>
                <w:sz w:val="18"/>
              </w:rPr>
            </w:pPr>
          </w:p>
          <w:p>
            <w:pPr>
              <w:pStyle w:val="TableParagraph"/>
              <w:ind w:left="79"/>
              <w:rPr>
                <w:b/>
                <w:sz w:val="18"/>
              </w:rPr>
            </w:pPr>
            <w:r>
              <w:rPr>
                <w:b/>
                <w:color w:val="FFFFFF"/>
                <w:spacing w:val="-2"/>
                <w:sz w:val="18"/>
              </w:rPr>
              <w:t>Disparities</w:t>
            </w:r>
          </w:p>
        </w:tc>
        <w:tc>
          <w:tcPr>
            <w:tcW w:w="2225" w:type="dxa"/>
            <w:tcBorders>
              <w:left w:val="single" w:sz="4" w:space="0" w:color="FFFFFF"/>
              <w:right w:val="single" w:sz="4" w:space="0" w:color="FFFFFF"/>
            </w:tcBorders>
            <w:shd w:val="clear" w:color="auto" w:fill="A7A9AC"/>
          </w:tcPr>
          <w:p>
            <w:pPr>
              <w:pStyle w:val="TableParagraph"/>
              <w:rPr>
                <w:b/>
                <w:sz w:val="18"/>
              </w:rPr>
            </w:pPr>
          </w:p>
          <w:p>
            <w:pPr>
              <w:pStyle w:val="TableParagraph"/>
              <w:spacing w:before="72"/>
              <w:rPr>
                <w:b/>
                <w:sz w:val="18"/>
              </w:rPr>
            </w:pPr>
          </w:p>
          <w:p>
            <w:pPr>
              <w:pStyle w:val="TableParagraph"/>
              <w:ind w:left="79"/>
              <w:rPr>
                <w:b/>
                <w:sz w:val="18"/>
              </w:rPr>
            </w:pPr>
            <w:r>
              <w:rPr>
                <w:b/>
                <w:color w:val="FFFFFF"/>
                <w:spacing w:val="-2"/>
                <w:sz w:val="18"/>
              </w:rPr>
              <w:t>Interventions</w:t>
            </w:r>
          </w:p>
        </w:tc>
        <w:tc>
          <w:tcPr>
            <w:tcW w:w="5386" w:type="dxa"/>
            <w:tcBorders>
              <w:left w:val="single" w:sz="4" w:space="0" w:color="FFFFFF"/>
              <w:right w:val="single" w:sz="4" w:space="0" w:color="FFFFFF"/>
            </w:tcBorders>
            <w:shd w:val="clear" w:color="auto" w:fill="A7A9AC"/>
          </w:tcPr>
          <w:p>
            <w:pPr>
              <w:pStyle w:val="TableParagraph"/>
              <w:spacing w:line="204" w:lineRule="exact" w:before="186"/>
              <w:ind w:left="3786"/>
              <w:rPr>
                <w:b/>
                <w:sz w:val="18"/>
              </w:rPr>
            </w:pPr>
            <w:r>
              <w:rPr>
                <w:b/>
                <w:color w:val="FFFFFF"/>
                <w:sz w:val="18"/>
              </w:rPr>
              <w:t>Projected</w:t>
            </w:r>
            <w:r>
              <w:rPr>
                <w:b/>
                <w:color w:val="FFFFFF"/>
                <w:spacing w:val="-13"/>
                <w:sz w:val="18"/>
              </w:rPr>
              <w:t> </w:t>
            </w:r>
            <w:r>
              <w:rPr>
                <w:b/>
                <w:color w:val="FFFFFF"/>
                <w:spacing w:val="-5"/>
                <w:sz w:val="18"/>
              </w:rPr>
              <w:t>(or</w:t>
            </w:r>
          </w:p>
          <w:p>
            <w:pPr>
              <w:pStyle w:val="TableParagraph"/>
              <w:tabs>
                <w:tab w:pos="3786" w:val="left" w:leader="none"/>
              </w:tabs>
              <w:spacing w:line="115" w:lineRule="auto" w:before="84"/>
              <w:ind w:left="3786" w:right="630" w:hanging="3698"/>
              <w:rPr>
                <w:b/>
                <w:sz w:val="18"/>
              </w:rPr>
            </w:pPr>
            <w:r>
              <w:rPr>
                <w:b/>
                <w:color w:val="FFFFFF"/>
                <w:sz w:val="18"/>
              </w:rPr>
              <w:t>Family of Measures</w:t>
              <w:tab/>
            </w:r>
            <w:r>
              <w:rPr>
                <w:b/>
                <w:color w:val="FFFFFF"/>
                <w:spacing w:val="-2"/>
                <w:position w:val="10"/>
                <w:sz w:val="18"/>
              </w:rPr>
              <w:t>completed) </w:t>
            </w:r>
            <w:r>
              <w:rPr>
                <w:b/>
                <w:color w:val="FFFFFF"/>
                <w:sz w:val="18"/>
              </w:rPr>
              <w:t>Year 1</w:t>
            </w:r>
          </w:p>
          <w:p>
            <w:pPr>
              <w:pStyle w:val="TableParagraph"/>
              <w:spacing w:before="14"/>
              <w:ind w:left="3786"/>
              <w:rPr>
                <w:b/>
                <w:sz w:val="18"/>
              </w:rPr>
            </w:pPr>
            <w:r>
              <w:rPr>
                <w:b/>
                <w:color w:val="FFFFFF"/>
                <w:spacing w:val="-2"/>
                <w:sz w:val="18"/>
              </w:rPr>
              <w:t>Intervention</w:t>
            </w:r>
          </w:p>
        </w:tc>
        <w:tc>
          <w:tcPr>
            <w:tcW w:w="1858" w:type="dxa"/>
            <w:tcBorders>
              <w:left w:val="single" w:sz="4" w:space="0" w:color="FFFFFF"/>
              <w:right w:val="single" w:sz="4" w:space="0" w:color="FFFFFF"/>
            </w:tcBorders>
            <w:shd w:val="clear" w:color="auto" w:fill="A7A9AC"/>
          </w:tcPr>
          <w:p>
            <w:pPr>
              <w:pStyle w:val="TableParagraph"/>
              <w:rPr>
                <w:b/>
                <w:sz w:val="18"/>
              </w:rPr>
            </w:pPr>
          </w:p>
          <w:p>
            <w:pPr>
              <w:pStyle w:val="TableParagraph"/>
              <w:spacing w:before="72"/>
              <w:rPr>
                <w:b/>
                <w:sz w:val="18"/>
              </w:rPr>
            </w:pPr>
          </w:p>
          <w:p>
            <w:pPr>
              <w:pStyle w:val="TableParagraph"/>
              <w:ind w:left="78"/>
              <w:rPr>
                <w:b/>
                <w:sz w:val="18"/>
              </w:rPr>
            </w:pPr>
            <w:r>
              <w:rPr>
                <w:b/>
                <w:color w:val="FFFFFF"/>
                <w:spacing w:val="-2"/>
                <w:sz w:val="18"/>
              </w:rPr>
              <w:t>Projected</w:t>
            </w:r>
            <w:r>
              <w:rPr>
                <w:b/>
                <w:color w:val="FFFFFF"/>
                <w:spacing w:val="-6"/>
                <w:sz w:val="18"/>
              </w:rPr>
              <w:t> </w:t>
            </w:r>
            <w:r>
              <w:rPr>
                <w:b/>
                <w:color w:val="FFFFFF"/>
                <w:spacing w:val="-2"/>
                <w:sz w:val="18"/>
              </w:rPr>
              <w:t>Year</w:t>
            </w:r>
            <w:r>
              <w:rPr>
                <w:b/>
                <w:color w:val="FFFFFF"/>
                <w:spacing w:val="-5"/>
                <w:sz w:val="18"/>
              </w:rPr>
              <w:t> </w:t>
            </w:r>
            <w:r>
              <w:rPr>
                <w:b/>
                <w:color w:val="FFFFFF"/>
                <w:spacing w:val="-12"/>
                <w:sz w:val="18"/>
              </w:rPr>
              <w:t>2</w:t>
            </w:r>
          </w:p>
        </w:tc>
        <w:tc>
          <w:tcPr>
            <w:tcW w:w="1973" w:type="dxa"/>
            <w:tcBorders>
              <w:left w:val="single" w:sz="4" w:space="0" w:color="FFFFFF"/>
              <w:right w:val="single" w:sz="4" w:space="0" w:color="FFFFFF"/>
            </w:tcBorders>
            <w:shd w:val="clear" w:color="auto" w:fill="A7A9AC"/>
          </w:tcPr>
          <w:p>
            <w:pPr>
              <w:pStyle w:val="TableParagraph"/>
              <w:spacing w:before="183"/>
              <w:rPr>
                <w:b/>
                <w:sz w:val="18"/>
              </w:rPr>
            </w:pPr>
          </w:p>
          <w:p>
            <w:pPr>
              <w:pStyle w:val="TableParagraph"/>
              <w:spacing w:line="232" w:lineRule="auto" w:before="1"/>
              <w:ind w:left="78"/>
              <w:rPr>
                <w:b/>
                <w:sz w:val="18"/>
              </w:rPr>
            </w:pPr>
            <w:r>
              <w:rPr>
                <w:b/>
                <w:color w:val="FFFFFF"/>
                <w:spacing w:val="-2"/>
                <w:sz w:val="18"/>
              </w:rPr>
              <w:t>Projected</w:t>
            </w:r>
            <w:r>
              <w:rPr>
                <w:b/>
                <w:color w:val="FFFFFF"/>
                <w:spacing w:val="-13"/>
                <w:sz w:val="18"/>
              </w:rPr>
              <w:t> </w:t>
            </w:r>
            <w:r>
              <w:rPr>
                <w:b/>
                <w:color w:val="FFFFFF"/>
                <w:spacing w:val="-2"/>
                <w:sz w:val="18"/>
              </w:rPr>
              <w:t>Year</w:t>
            </w:r>
            <w:r>
              <w:rPr>
                <w:b/>
                <w:color w:val="FFFFFF"/>
                <w:spacing w:val="-10"/>
                <w:sz w:val="18"/>
              </w:rPr>
              <w:t> </w:t>
            </w:r>
            <w:r>
              <w:rPr>
                <w:b/>
                <w:color w:val="FFFFFF"/>
                <w:spacing w:val="-2"/>
                <w:sz w:val="18"/>
              </w:rPr>
              <w:t>3 Interventions</w:t>
            </w:r>
          </w:p>
        </w:tc>
        <w:tc>
          <w:tcPr>
            <w:tcW w:w="1498" w:type="dxa"/>
            <w:tcBorders>
              <w:left w:val="single" w:sz="4" w:space="0" w:color="FFFFFF"/>
            </w:tcBorders>
            <w:shd w:val="clear" w:color="auto" w:fill="A7A9AC"/>
          </w:tcPr>
          <w:p>
            <w:pPr>
              <w:pStyle w:val="TableParagraph"/>
              <w:spacing w:before="183"/>
              <w:rPr>
                <w:b/>
                <w:sz w:val="18"/>
              </w:rPr>
            </w:pPr>
          </w:p>
          <w:p>
            <w:pPr>
              <w:pStyle w:val="TableParagraph"/>
              <w:spacing w:line="232" w:lineRule="auto" w:before="1"/>
              <w:ind w:left="78"/>
              <w:rPr>
                <w:b/>
                <w:sz w:val="18"/>
              </w:rPr>
            </w:pPr>
            <w:r>
              <w:rPr>
                <w:b/>
                <w:color w:val="FFFFFF"/>
                <w:spacing w:val="-2"/>
                <w:sz w:val="18"/>
              </w:rPr>
              <w:t>Implementation Partner</w:t>
            </w:r>
          </w:p>
        </w:tc>
        <w:tc>
          <w:tcPr>
            <w:tcW w:w="3163" w:type="dxa"/>
            <w:shd w:val="clear" w:color="auto" w:fill="A7A9AC"/>
          </w:tcPr>
          <w:p>
            <w:pPr>
              <w:pStyle w:val="TableParagraph"/>
              <w:rPr>
                <w:b/>
                <w:sz w:val="18"/>
              </w:rPr>
            </w:pPr>
          </w:p>
          <w:p>
            <w:pPr>
              <w:pStyle w:val="TableParagraph"/>
              <w:spacing w:before="71"/>
              <w:rPr>
                <w:b/>
                <w:sz w:val="18"/>
              </w:rPr>
            </w:pPr>
          </w:p>
          <w:p>
            <w:pPr>
              <w:pStyle w:val="TableParagraph"/>
              <w:spacing w:before="1"/>
              <w:ind w:left="77"/>
              <w:rPr>
                <w:b/>
                <w:sz w:val="18"/>
              </w:rPr>
            </w:pPr>
            <w:r>
              <w:rPr>
                <w:b/>
                <w:color w:val="FFFFFF"/>
                <w:spacing w:val="-4"/>
                <w:sz w:val="18"/>
              </w:rPr>
              <w:t>Partner</w:t>
            </w:r>
            <w:r>
              <w:rPr>
                <w:b/>
                <w:color w:val="FFFFFF"/>
                <w:spacing w:val="-1"/>
                <w:sz w:val="18"/>
              </w:rPr>
              <w:t> </w:t>
            </w:r>
            <w:r>
              <w:rPr>
                <w:b/>
                <w:color w:val="FFFFFF"/>
                <w:spacing w:val="-4"/>
                <w:sz w:val="18"/>
              </w:rPr>
              <w:t>Role(s)</w:t>
            </w:r>
            <w:r>
              <w:rPr>
                <w:b/>
                <w:color w:val="FFFFFF"/>
                <w:sz w:val="18"/>
              </w:rPr>
              <w:t> </w:t>
            </w:r>
            <w:r>
              <w:rPr>
                <w:b/>
                <w:color w:val="FFFFFF"/>
                <w:spacing w:val="-4"/>
                <w:sz w:val="18"/>
              </w:rPr>
              <w:t>and</w:t>
            </w:r>
            <w:r>
              <w:rPr>
                <w:b/>
                <w:color w:val="FFFFFF"/>
                <w:sz w:val="18"/>
              </w:rPr>
              <w:t> </w:t>
            </w:r>
            <w:r>
              <w:rPr>
                <w:b/>
                <w:color w:val="FFFFFF"/>
                <w:spacing w:val="-4"/>
                <w:sz w:val="18"/>
              </w:rPr>
              <w:t>Resources</w:t>
            </w:r>
          </w:p>
        </w:tc>
      </w:tr>
      <w:tr>
        <w:trPr>
          <w:trHeight w:val="6490" w:hRule="atLeast"/>
        </w:trPr>
        <w:tc>
          <w:tcPr>
            <w:tcW w:w="1180" w:type="dxa"/>
            <w:shd w:val="clear" w:color="auto" w:fill="E6E7E8"/>
          </w:tcPr>
          <w:p>
            <w:pPr>
              <w:pStyle w:val="TableParagraph"/>
              <w:spacing w:line="232" w:lineRule="auto" w:before="101"/>
              <w:ind w:left="89" w:right="87"/>
              <w:rPr>
                <w:sz w:val="18"/>
              </w:rPr>
            </w:pPr>
            <w:r>
              <w:rPr>
                <w:color w:val="105C84"/>
                <w:spacing w:val="-2"/>
                <w:sz w:val="18"/>
              </w:rPr>
              <w:t>Promote Well-Being </w:t>
            </w:r>
            <w:r>
              <w:rPr>
                <w:color w:val="105C84"/>
                <w:sz w:val="18"/>
              </w:rPr>
              <w:t>and</w:t>
            </w:r>
            <w:r>
              <w:rPr>
                <w:color w:val="105C84"/>
                <w:spacing w:val="-13"/>
                <w:sz w:val="18"/>
              </w:rPr>
              <w:t> </w:t>
            </w:r>
            <w:r>
              <w:rPr>
                <w:color w:val="105C84"/>
                <w:sz w:val="18"/>
              </w:rPr>
              <w:t>Prevent Mental and </w:t>
            </w:r>
            <w:r>
              <w:rPr>
                <w:color w:val="105C84"/>
                <w:spacing w:val="-2"/>
                <w:sz w:val="18"/>
              </w:rPr>
              <w:t>Substance </w:t>
            </w:r>
            <w:r>
              <w:rPr>
                <w:color w:val="105C84"/>
                <w:spacing w:val="-4"/>
                <w:sz w:val="18"/>
              </w:rPr>
              <w:t>Use </w:t>
            </w:r>
            <w:r>
              <w:rPr>
                <w:color w:val="105C84"/>
                <w:spacing w:val="-2"/>
                <w:sz w:val="18"/>
              </w:rPr>
              <w:t>Disorders</w:t>
            </w:r>
          </w:p>
        </w:tc>
        <w:tc>
          <w:tcPr>
            <w:tcW w:w="1152" w:type="dxa"/>
          </w:tcPr>
          <w:p>
            <w:pPr>
              <w:pStyle w:val="TableParagraph"/>
              <w:spacing w:line="232" w:lineRule="auto" w:before="100"/>
              <w:ind w:left="90" w:right="140"/>
              <w:rPr>
                <w:sz w:val="18"/>
              </w:rPr>
            </w:pPr>
            <w:r>
              <w:rPr>
                <w:color w:val="105C84"/>
                <w:spacing w:val="-2"/>
                <w:sz w:val="18"/>
              </w:rPr>
              <w:t>Focus</w:t>
            </w:r>
            <w:r>
              <w:rPr>
                <w:color w:val="105C84"/>
                <w:spacing w:val="-11"/>
                <w:sz w:val="18"/>
              </w:rPr>
              <w:t> </w:t>
            </w:r>
            <w:r>
              <w:rPr>
                <w:color w:val="105C84"/>
                <w:spacing w:val="-2"/>
                <w:sz w:val="18"/>
              </w:rPr>
              <w:t>Area </w:t>
            </w:r>
            <w:r>
              <w:rPr>
                <w:color w:val="105C84"/>
                <w:sz w:val="18"/>
              </w:rPr>
              <w:t>2: Prevent Mental</w:t>
            </w:r>
            <w:r>
              <w:rPr>
                <w:color w:val="105C84"/>
                <w:spacing w:val="-13"/>
                <w:sz w:val="18"/>
              </w:rPr>
              <w:t> </w:t>
            </w:r>
            <w:r>
              <w:rPr>
                <w:color w:val="105C84"/>
                <w:sz w:val="18"/>
              </w:rPr>
              <w:t>and </w:t>
            </w:r>
            <w:r>
              <w:rPr>
                <w:color w:val="105C84"/>
                <w:spacing w:val="-2"/>
                <w:sz w:val="18"/>
              </w:rPr>
              <w:t>Substance </w:t>
            </w:r>
            <w:r>
              <w:rPr>
                <w:color w:val="105C84"/>
                <w:spacing w:val="-4"/>
                <w:sz w:val="18"/>
              </w:rPr>
              <w:t>User </w:t>
            </w:r>
            <w:r>
              <w:rPr>
                <w:color w:val="105C84"/>
                <w:spacing w:val="-2"/>
                <w:sz w:val="18"/>
              </w:rPr>
              <w:t>Disorders</w:t>
            </w:r>
          </w:p>
        </w:tc>
        <w:tc>
          <w:tcPr>
            <w:tcW w:w="1210" w:type="dxa"/>
          </w:tcPr>
          <w:p>
            <w:pPr>
              <w:pStyle w:val="TableParagraph"/>
              <w:spacing w:line="232" w:lineRule="auto" w:before="100"/>
              <w:ind w:left="90" w:right="386"/>
              <w:rPr>
                <w:sz w:val="18"/>
              </w:rPr>
            </w:pPr>
            <w:r>
              <w:rPr>
                <w:color w:val="105C84"/>
                <w:spacing w:val="-2"/>
                <w:sz w:val="18"/>
              </w:rPr>
              <w:t>Goal</w:t>
            </w:r>
            <w:r>
              <w:rPr>
                <w:color w:val="105C84"/>
                <w:spacing w:val="-11"/>
                <w:sz w:val="18"/>
              </w:rPr>
              <w:t> </w:t>
            </w:r>
            <w:r>
              <w:rPr>
                <w:color w:val="105C84"/>
                <w:spacing w:val="-2"/>
                <w:sz w:val="18"/>
              </w:rPr>
              <w:t>2.5: Prevent suicides</w:t>
            </w:r>
          </w:p>
        </w:tc>
        <w:tc>
          <w:tcPr>
            <w:tcW w:w="1606" w:type="dxa"/>
          </w:tcPr>
          <w:p>
            <w:pPr>
              <w:pStyle w:val="TableParagraph"/>
              <w:spacing w:line="232" w:lineRule="auto" w:before="100"/>
              <w:ind w:left="89" w:right="100"/>
              <w:rPr>
                <w:sz w:val="18"/>
              </w:rPr>
            </w:pPr>
            <w:r>
              <w:rPr>
                <w:color w:val="105C84"/>
                <w:w w:val="105"/>
                <w:sz w:val="18"/>
              </w:rPr>
              <w:t>2.5.2:</w:t>
            </w:r>
            <w:r>
              <w:rPr>
                <w:color w:val="105C84"/>
                <w:spacing w:val="-1"/>
                <w:w w:val="105"/>
                <w:sz w:val="18"/>
              </w:rPr>
              <w:t> </w:t>
            </w:r>
            <w:r>
              <w:rPr>
                <w:color w:val="105C84"/>
                <w:w w:val="105"/>
                <w:sz w:val="18"/>
              </w:rPr>
              <w:t>Reduce </w:t>
            </w:r>
            <w:r>
              <w:rPr>
                <w:color w:val="105C84"/>
                <w:sz w:val="18"/>
              </w:rPr>
              <w:t>the</w:t>
            </w:r>
            <w:r>
              <w:rPr>
                <w:color w:val="105C84"/>
                <w:spacing w:val="-13"/>
                <w:sz w:val="18"/>
              </w:rPr>
              <w:t> </w:t>
            </w:r>
            <w:r>
              <w:rPr>
                <w:color w:val="105C84"/>
                <w:sz w:val="18"/>
              </w:rPr>
              <w:t>age-</w:t>
            </w:r>
            <w:r>
              <w:rPr>
                <w:color w:val="105C84"/>
                <w:sz w:val="18"/>
              </w:rPr>
              <w:t>adjusted</w:t>
            </w:r>
            <w:r>
              <w:rPr>
                <w:color w:val="105C84"/>
                <w:sz w:val="18"/>
              </w:rPr>
              <w:t> </w:t>
            </w:r>
            <w:r>
              <w:rPr>
                <w:color w:val="105C84"/>
                <w:w w:val="105"/>
                <w:sz w:val="18"/>
              </w:rPr>
              <w:t>suicide</w:t>
            </w:r>
            <w:r>
              <w:rPr>
                <w:color w:val="105C84"/>
                <w:spacing w:val="-14"/>
                <w:w w:val="105"/>
                <w:sz w:val="18"/>
              </w:rPr>
              <w:t> </w:t>
            </w:r>
            <w:r>
              <w:rPr>
                <w:color w:val="105C84"/>
                <w:w w:val="105"/>
                <w:sz w:val="18"/>
              </w:rPr>
              <w:t>mortality rate</w:t>
            </w:r>
            <w:r>
              <w:rPr>
                <w:color w:val="105C84"/>
                <w:spacing w:val="-13"/>
                <w:w w:val="105"/>
                <w:sz w:val="18"/>
              </w:rPr>
              <w:t> </w:t>
            </w:r>
            <w:r>
              <w:rPr>
                <w:color w:val="105C84"/>
                <w:w w:val="105"/>
                <w:sz w:val="18"/>
              </w:rPr>
              <w:t>by</w:t>
            </w:r>
            <w:r>
              <w:rPr>
                <w:color w:val="105C84"/>
                <w:spacing w:val="-13"/>
                <w:w w:val="105"/>
                <w:sz w:val="18"/>
              </w:rPr>
              <w:t> </w:t>
            </w:r>
            <w:r>
              <w:rPr>
                <w:color w:val="105C84"/>
                <w:w w:val="105"/>
                <w:sz w:val="18"/>
              </w:rPr>
              <w:t>10%</w:t>
            </w:r>
            <w:r>
              <w:rPr>
                <w:color w:val="105C84"/>
                <w:spacing w:val="-13"/>
                <w:w w:val="105"/>
                <w:sz w:val="18"/>
              </w:rPr>
              <w:t> </w:t>
            </w:r>
            <w:r>
              <w:rPr>
                <w:color w:val="105C84"/>
                <w:w w:val="105"/>
                <w:sz w:val="18"/>
              </w:rPr>
              <w:t>to</w:t>
            </w:r>
            <w:r>
              <w:rPr>
                <w:color w:val="105C84"/>
                <w:spacing w:val="-13"/>
                <w:w w:val="105"/>
                <w:sz w:val="18"/>
              </w:rPr>
              <w:t> </w:t>
            </w:r>
            <w:r>
              <w:rPr>
                <w:color w:val="105C84"/>
                <w:w w:val="105"/>
                <w:sz w:val="18"/>
              </w:rPr>
              <w:t>7</w:t>
            </w:r>
          </w:p>
          <w:p>
            <w:pPr>
              <w:pStyle w:val="TableParagraph"/>
              <w:spacing w:line="199" w:lineRule="exact"/>
              <w:ind w:left="89"/>
              <w:rPr>
                <w:sz w:val="18"/>
              </w:rPr>
            </w:pPr>
            <w:r>
              <w:rPr>
                <w:color w:val="105C84"/>
                <w:sz w:val="18"/>
              </w:rPr>
              <w:t>per</w:t>
            </w:r>
            <w:r>
              <w:rPr>
                <w:color w:val="105C84"/>
                <w:spacing w:val="3"/>
                <w:sz w:val="18"/>
              </w:rPr>
              <w:t> </w:t>
            </w:r>
            <w:r>
              <w:rPr>
                <w:color w:val="105C84"/>
                <w:spacing w:val="-2"/>
                <w:sz w:val="18"/>
              </w:rPr>
              <w:t>100,000</w:t>
            </w:r>
          </w:p>
        </w:tc>
        <w:tc>
          <w:tcPr>
            <w:tcW w:w="1066" w:type="dxa"/>
          </w:tcPr>
          <w:p>
            <w:pPr>
              <w:pStyle w:val="TableParagraph"/>
              <w:rPr>
                <w:rFonts w:ascii="Times New Roman"/>
                <w:sz w:val="18"/>
              </w:rPr>
            </w:pPr>
          </w:p>
        </w:tc>
        <w:tc>
          <w:tcPr>
            <w:tcW w:w="2225" w:type="dxa"/>
          </w:tcPr>
          <w:p>
            <w:pPr>
              <w:pStyle w:val="TableParagraph"/>
              <w:spacing w:line="232" w:lineRule="auto" w:before="100"/>
              <w:ind w:left="89" w:right="124"/>
              <w:rPr>
                <w:sz w:val="18"/>
              </w:rPr>
            </w:pPr>
            <w:r>
              <w:rPr>
                <w:color w:val="105C84"/>
                <w:sz w:val="18"/>
              </w:rPr>
              <w:t>2.5.4 Identify and</w:t>
            </w:r>
            <w:r>
              <w:rPr>
                <w:color w:val="105C84"/>
                <w:spacing w:val="40"/>
                <w:sz w:val="18"/>
              </w:rPr>
              <w:t> </w:t>
            </w:r>
            <w:r>
              <w:rPr>
                <w:color w:val="105C84"/>
                <w:sz w:val="18"/>
              </w:rPr>
              <w:t>support people at risk: Gatekeeper Training, crisis intervention, treatment for people at risk of suicide, treatment to prevent re-attempts, postvention, safe reporting</w:t>
            </w:r>
            <w:r>
              <w:rPr>
                <w:color w:val="105C84"/>
                <w:spacing w:val="-6"/>
                <w:sz w:val="18"/>
              </w:rPr>
              <w:t> </w:t>
            </w:r>
            <w:r>
              <w:rPr>
                <w:color w:val="105C84"/>
                <w:sz w:val="18"/>
              </w:rPr>
              <w:t>and</w:t>
            </w:r>
            <w:r>
              <w:rPr>
                <w:color w:val="105C84"/>
                <w:spacing w:val="-6"/>
                <w:sz w:val="18"/>
              </w:rPr>
              <w:t> </w:t>
            </w:r>
            <w:r>
              <w:rPr>
                <w:color w:val="105C84"/>
                <w:sz w:val="18"/>
              </w:rPr>
              <w:t>messaging</w:t>
            </w:r>
            <w:r>
              <w:rPr>
                <w:color w:val="105C84"/>
                <w:sz w:val="18"/>
              </w:rPr>
              <w:t> about suicides</w:t>
            </w:r>
          </w:p>
        </w:tc>
        <w:tc>
          <w:tcPr>
            <w:tcW w:w="5386" w:type="dxa"/>
          </w:tcPr>
          <w:p>
            <w:pPr>
              <w:pStyle w:val="TableParagraph"/>
              <w:tabs>
                <w:tab w:pos="3786" w:val="left" w:leader="none"/>
              </w:tabs>
              <w:spacing w:line="203" w:lineRule="exact" w:before="95"/>
              <w:ind w:left="88"/>
              <w:rPr>
                <w:sz w:val="18"/>
              </w:rPr>
            </w:pPr>
            <w:r>
              <w:rPr>
                <w:color w:val="105C84"/>
                <w:sz w:val="18"/>
              </w:rPr>
              <w:t>#</w:t>
            </w:r>
            <w:r>
              <w:rPr>
                <w:color w:val="105C84"/>
                <w:spacing w:val="8"/>
                <w:sz w:val="18"/>
              </w:rPr>
              <w:t> </w:t>
            </w:r>
            <w:r>
              <w:rPr>
                <w:color w:val="105C84"/>
                <w:sz w:val="18"/>
              </w:rPr>
              <w:t>attending</w:t>
            </w:r>
            <w:r>
              <w:rPr>
                <w:color w:val="105C84"/>
                <w:spacing w:val="9"/>
                <w:sz w:val="18"/>
              </w:rPr>
              <w:t> </w:t>
            </w:r>
            <w:r>
              <w:rPr>
                <w:color w:val="105C84"/>
                <w:spacing w:val="-2"/>
                <w:sz w:val="18"/>
              </w:rPr>
              <w:t>Youth</w:t>
            </w:r>
            <w:r>
              <w:rPr>
                <w:color w:val="105C84"/>
                <w:sz w:val="18"/>
              </w:rPr>
              <w:tab/>
            </w:r>
            <w:r>
              <w:rPr>
                <w:color w:val="105C84"/>
                <w:spacing w:val="-2"/>
                <w:sz w:val="18"/>
              </w:rPr>
              <w:t>To</w:t>
            </w:r>
            <w:r>
              <w:rPr>
                <w:color w:val="105C84"/>
                <w:spacing w:val="-11"/>
                <w:sz w:val="18"/>
              </w:rPr>
              <w:t> </w:t>
            </w:r>
            <w:r>
              <w:rPr>
                <w:color w:val="105C84"/>
                <w:spacing w:val="-2"/>
                <w:sz w:val="18"/>
              </w:rPr>
              <w:t>have</w:t>
            </w:r>
            <w:r>
              <w:rPr>
                <w:color w:val="105C84"/>
                <w:spacing w:val="-10"/>
                <w:sz w:val="18"/>
              </w:rPr>
              <w:t> </w:t>
            </w:r>
            <w:r>
              <w:rPr>
                <w:color w:val="105C84"/>
                <w:spacing w:val="-2"/>
                <w:sz w:val="18"/>
              </w:rPr>
              <w:t>at</w:t>
            </w:r>
            <w:r>
              <w:rPr>
                <w:color w:val="105C84"/>
                <w:spacing w:val="-10"/>
                <w:sz w:val="18"/>
              </w:rPr>
              <w:t> </w:t>
            </w:r>
            <w:r>
              <w:rPr>
                <w:color w:val="105C84"/>
                <w:spacing w:val="-2"/>
                <w:sz w:val="18"/>
              </w:rPr>
              <w:t>least</w:t>
            </w:r>
          </w:p>
          <w:p>
            <w:pPr>
              <w:pStyle w:val="TableParagraph"/>
              <w:tabs>
                <w:tab w:pos="3786" w:val="left" w:leader="none"/>
              </w:tabs>
              <w:spacing w:line="200" w:lineRule="exact"/>
              <w:ind w:left="88"/>
              <w:rPr>
                <w:sz w:val="18"/>
              </w:rPr>
            </w:pPr>
            <w:r>
              <w:rPr>
                <w:color w:val="105C84"/>
                <w:sz w:val="18"/>
              </w:rPr>
              <w:t>and</w:t>
            </w:r>
            <w:r>
              <w:rPr>
                <w:color w:val="105C84"/>
                <w:spacing w:val="9"/>
                <w:sz w:val="18"/>
              </w:rPr>
              <w:t> </w:t>
            </w:r>
            <w:r>
              <w:rPr>
                <w:color w:val="105C84"/>
                <w:sz w:val="18"/>
              </w:rPr>
              <w:t>Adult</w:t>
            </w:r>
            <w:r>
              <w:rPr>
                <w:color w:val="105C84"/>
                <w:spacing w:val="9"/>
                <w:sz w:val="18"/>
              </w:rPr>
              <w:t> </w:t>
            </w:r>
            <w:r>
              <w:rPr>
                <w:color w:val="105C84"/>
                <w:spacing w:val="-2"/>
                <w:sz w:val="18"/>
              </w:rPr>
              <w:t>Mental</w:t>
            </w:r>
            <w:r>
              <w:rPr>
                <w:color w:val="105C84"/>
                <w:sz w:val="18"/>
              </w:rPr>
              <w:tab/>
            </w:r>
            <w:r>
              <w:rPr>
                <w:color w:val="105C84"/>
                <w:spacing w:val="-6"/>
                <w:sz w:val="18"/>
              </w:rPr>
              <w:t>1</w:t>
            </w:r>
            <w:r>
              <w:rPr>
                <w:color w:val="105C84"/>
                <w:spacing w:val="-2"/>
                <w:sz w:val="18"/>
              </w:rPr>
              <w:t> </w:t>
            </w:r>
            <w:r>
              <w:rPr>
                <w:color w:val="105C84"/>
                <w:spacing w:val="-6"/>
                <w:sz w:val="18"/>
              </w:rPr>
              <w:t>Seneca</w:t>
            </w:r>
            <w:r>
              <w:rPr>
                <w:color w:val="105C84"/>
                <w:spacing w:val="-2"/>
                <w:sz w:val="18"/>
              </w:rPr>
              <w:t> </w:t>
            </w:r>
            <w:r>
              <w:rPr>
                <w:color w:val="105C84"/>
                <w:spacing w:val="-6"/>
                <w:sz w:val="18"/>
              </w:rPr>
              <w:t>County</w:t>
            </w:r>
          </w:p>
          <w:p>
            <w:pPr>
              <w:pStyle w:val="TableParagraph"/>
              <w:tabs>
                <w:tab w:pos="3786" w:val="left" w:leader="none"/>
              </w:tabs>
              <w:spacing w:line="200" w:lineRule="exact"/>
              <w:ind w:left="88"/>
              <w:rPr>
                <w:sz w:val="18"/>
              </w:rPr>
            </w:pPr>
            <w:r>
              <w:rPr>
                <w:color w:val="105C84"/>
                <w:sz w:val="18"/>
              </w:rPr>
              <w:t>Health</w:t>
            </w:r>
            <w:r>
              <w:rPr>
                <w:color w:val="105C84"/>
                <w:spacing w:val="-7"/>
                <w:sz w:val="18"/>
              </w:rPr>
              <w:t> </w:t>
            </w:r>
            <w:r>
              <w:rPr>
                <w:color w:val="105C84"/>
                <w:sz w:val="18"/>
              </w:rPr>
              <w:t>First</w:t>
            </w:r>
            <w:r>
              <w:rPr>
                <w:color w:val="105C84"/>
                <w:spacing w:val="-7"/>
                <w:sz w:val="18"/>
              </w:rPr>
              <w:t> </w:t>
            </w:r>
            <w:r>
              <w:rPr>
                <w:color w:val="105C84"/>
                <w:spacing w:val="-5"/>
                <w:sz w:val="18"/>
              </w:rPr>
              <w:t>Aid</w:t>
            </w:r>
            <w:r>
              <w:rPr>
                <w:color w:val="105C84"/>
                <w:sz w:val="18"/>
              </w:rPr>
              <w:tab/>
            </w:r>
            <w:r>
              <w:rPr>
                <w:color w:val="105C84"/>
                <w:spacing w:val="-4"/>
                <w:sz w:val="18"/>
              </w:rPr>
              <w:t>Staff</w:t>
            </w:r>
            <w:r>
              <w:rPr>
                <w:color w:val="105C84"/>
                <w:spacing w:val="-3"/>
                <w:sz w:val="18"/>
              </w:rPr>
              <w:t> </w:t>
            </w:r>
            <w:r>
              <w:rPr>
                <w:color w:val="105C84"/>
                <w:spacing w:val="-2"/>
                <w:sz w:val="18"/>
              </w:rPr>
              <w:t>person</w:t>
            </w:r>
          </w:p>
          <w:p>
            <w:pPr>
              <w:pStyle w:val="TableParagraph"/>
              <w:tabs>
                <w:tab w:pos="3786" w:val="left" w:leader="none"/>
              </w:tabs>
              <w:spacing w:line="200" w:lineRule="exact"/>
              <w:ind w:left="88"/>
              <w:rPr>
                <w:sz w:val="18"/>
              </w:rPr>
            </w:pPr>
            <w:r>
              <w:rPr>
                <w:color w:val="105C84"/>
                <w:spacing w:val="-2"/>
                <w:sz w:val="18"/>
              </w:rPr>
              <w:t>trainings</w:t>
            </w:r>
            <w:r>
              <w:rPr>
                <w:color w:val="105C84"/>
                <w:sz w:val="18"/>
              </w:rPr>
              <w:tab/>
              <w:t>trained</w:t>
            </w:r>
            <w:r>
              <w:rPr>
                <w:color w:val="105C84"/>
                <w:spacing w:val="2"/>
                <w:sz w:val="18"/>
              </w:rPr>
              <w:t> </w:t>
            </w:r>
            <w:r>
              <w:rPr>
                <w:color w:val="105C84"/>
                <w:sz w:val="18"/>
              </w:rPr>
              <w:t>in</w:t>
            </w:r>
            <w:r>
              <w:rPr>
                <w:color w:val="105C84"/>
                <w:spacing w:val="3"/>
                <w:sz w:val="18"/>
              </w:rPr>
              <w:t> </w:t>
            </w:r>
            <w:r>
              <w:rPr>
                <w:color w:val="105C84"/>
                <w:spacing w:val="-10"/>
                <w:sz w:val="18"/>
              </w:rPr>
              <w:t>a</w:t>
            </w:r>
          </w:p>
          <w:p>
            <w:pPr>
              <w:pStyle w:val="TableParagraph"/>
              <w:tabs>
                <w:tab w:pos="3786" w:val="left" w:leader="none"/>
              </w:tabs>
              <w:spacing w:line="148" w:lineRule="auto" w:before="26"/>
              <w:ind w:left="88"/>
              <w:rPr>
                <w:sz w:val="18"/>
              </w:rPr>
            </w:pPr>
            <w:r>
              <w:rPr>
                <w:color w:val="105C84"/>
                <w:position w:val="-8"/>
                <w:sz w:val="18"/>
              </w:rPr>
              <w:t>#</w:t>
            </w:r>
            <w:r>
              <w:rPr>
                <w:color w:val="105C84"/>
                <w:spacing w:val="-6"/>
                <w:position w:val="-8"/>
                <w:sz w:val="18"/>
              </w:rPr>
              <w:t> </w:t>
            </w:r>
            <w:r>
              <w:rPr>
                <w:color w:val="105C84"/>
                <w:position w:val="-8"/>
                <w:sz w:val="18"/>
              </w:rPr>
              <w:t>of</w:t>
            </w:r>
            <w:r>
              <w:rPr>
                <w:color w:val="105C84"/>
                <w:spacing w:val="-3"/>
                <w:position w:val="-8"/>
                <w:sz w:val="18"/>
              </w:rPr>
              <w:t> </w:t>
            </w:r>
            <w:r>
              <w:rPr>
                <w:color w:val="105C84"/>
                <w:position w:val="-8"/>
                <w:sz w:val="18"/>
              </w:rPr>
              <w:t>trainings</w:t>
            </w:r>
            <w:r>
              <w:rPr>
                <w:color w:val="105C84"/>
                <w:spacing w:val="-3"/>
                <w:position w:val="-8"/>
                <w:sz w:val="18"/>
              </w:rPr>
              <w:t> </w:t>
            </w:r>
            <w:r>
              <w:rPr>
                <w:color w:val="105C84"/>
                <w:spacing w:val="-5"/>
                <w:position w:val="-8"/>
                <w:sz w:val="18"/>
              </w:rPr>
              <w:t>and</w:t>
            </w:r>
            <w:r>
              <w:rPr>
                <w:color w:val="105C84"/>
                <w:position w:val="-8"/>
                <w:sz w:val="18"/>
              </w:rPr>
              <w:tab/>
            </w:r>
            <w:r>
              <w:rPr>
                <w:color w:val="105C84"/>
                <w:sz w:val="18"/>
              </w:rPr>
              <w:t>suicide</w:t>
            </w:r>
            <w:r>
              <w:rPr>
                <w:color w:val="105C84"/>
                <w:spacing w:val="-10"/>
                <w:sz w:val="18"/>
              </w:rPr>
              <w:t> </w:t>
            </w:r>
            <w:r>
              <w:rPr>
                <w:color w:val="105C84"/>
                <w:spacing w:val="-2"/>
                <w:sz w:val="18"/>
              </w:rPr>
              <w:t>prevention</w:t>
            </w:r>
          </w:p>
          <w:p>
            <w:pPr>
              <w:pStyle w:val="TableParagraph"/>
              <w:tabs>
                <w:tab w:pos="3786" w:val="left" w:leader="none"/>
              </w:tabs>
              <w:spacing w:line="200" w:lineRule="exact"/>
              <w:ind w:left="88"/>
              <w:rPr>
                <w:position w:val="9"/>
                <w:sz w:val="18"/>
              </w:rPr>
            </w:pPr>
            <w:r>
              <w:rPr>
                <w:color w:val="105C84"/>
                <w:sz w:val="18"/>
              </w:rPr>
              <w:t>3</w:t>
            </w:r>
            <w:r>
              <w:rPr>
                <w:color w:val="105C84"/>
                <w:spacing w:val="-5"/>
                <w:sz w:val="18"/>
              </w:rPr>
              <w:t> </w:t>
            </w:r>
            <w:r>
              <w:rPr>
                <w:color w:val="105C84"/>
                <w:sz w:val="18"/>
              </w:rPr>
              <w:t>of</w:t>
            </w:r>
            <w:r>
              <w:rPr>
                <w:color w:val="105C84"/>
                <w:spacing w:val="-3"/>
                <w:sz w:val="18"/>
              </w:rPr>
              <w:t> </w:t>
            </w:r>
            <w:r>
              <w:rPr>
                <w:color w:val="105C84"/>
                <w:spacing w:val="-2"/>
                <w:sz w:val="18"/>
              </w:rPr>
              <w:t>participants</w:t>
            </w:r>
            <w:r>
              <w:rPr>
                <w:color w:val="105C84"/>
                <w:sz w:val="18"/>
              </w:rPr>
              <w:tab/>
            </w:r>
            <w:r>
              <w:rPr>
                <w:color w:val="105C84"/>
                <w:spacing w:val="-2"/>
                <w:position w:val="9"/>
                <w:sz w:val="18"/>
              </w:rPr>
              <w:t>gatekeeper</w:t>
            </w:r>
          </w:p>
          <w:p>
            <w:pPr>
              <w:pStyle w:val="TableParagraph"/>
              <w:tabs>
                <w:tab w:pos="3786" w:val="left" w:leader="none"/>
              </w:tabs>
              <w:spacing w:line="148" w:lineRule="auto"/>
              <w:ind w:left="88"/>
              <w:rPr>
                <w:sz w:val="18"/>
              </w:rPr>
            </w:pPr>
            <w:r>
              <w:rPr>
                <w:color w:val="105C84"/>
                <w:position w:val="-8"/>
                <w:sz w:val="18"/>
              </w:rPr>
              <w:t>attending</w:t>
            </w:r>
            <w:r>
              <w:rPr>
                <w:color w:val="105C84"/>
                <w:spacing w:val="28"/>
                <w:position w:val="-8"/>
                <w:sz w:val="18"/>
              </w:rPr>
              <w:t> </w:t>
            </w:r>
            <w:r>
              <w:rPr>
                <w:color w:val="105C84"/>
                <w:spacing w:val="-4"/>
                <w:position w:val="-8"/>
                <w:sz w:val="18"/>
              </w:rPr>
              <w:t>AFSP</w:t>
            </w:r>
            <w:r>
              <w:rPr>
                <w:color w:val="105C84"/>
                <w:position w:val="-8"/>
                <w:sz w:val="18"/>
              </w:rPr>
              <w:tab/>
            </w:r>
            <w:r>
              <w:rPr>
                <w:color w:val="105C84"/>
                <w:sz w:val="18"/>
              </w:rPr>
              <w:t>training</w:t>
            </w:r>
            <w:r>
              <w:rPr>
                <w:color w:val="105C84"/>
                <w:spacing w:val="5"/>
                <w:sz w:val="18"/>
              </w:rPr>
              <w:t> </w:t>
            </w:r>
            <w:r>
              <w:rPr>
                <w:color w:val="105C84"/>
                <w:sz w:val="18"/>
              </w:rPr>
              <w:t>by</w:t>
            </w:r>
            <w:r>
              <w:rPr>
                <w:color w:val="105C84"/>
                <w:spacing w:val="6"/>
                <w:sz w:val="18"/>
              </w:rPr>
              <w:t> </w:t>
            </w:r>
            <w:r>
              <w:rPr>
                <w:color w:val="105C84"/>
                <w:spacing w:val="-5"/>
                <w:sz w:val="18"/>
              </w:rPr>
              <w:t>the</w:t>
            </w:r>
          </w:p>
          <w:p>
            <w:pPr>
              <w:pStyle w:val="TableParagraph"/>
              <w:tabs>
                <w:tab w:pos="3786" w:val="left" w:leader="none"/>
              </w:tabs>
              <w:spacing w:line="246" w:lineRule="exact"/>
              <w:ind w:left="88"/>
              <w:rPr>
                <w:position w:val="9"/>
                <w:sz w:val="18"/>
              </w:rPr>
            </w:pPr>
            <w:r>
              <w:rPr>
                <w:color w:val="105C84"/>
                <w:spacing w:val="-4"/>
                <w:sz w:val="18"/>
              </w:rPr>
              <w:t>Presentations</w:t>
            </w:r>
            <w:r>
              <w:rPr>
                <w:color w:val="105C84"/>
                <w:spacing w:val="13"/>
                <w:sz w:val="18"/>
              </w:rPr>
              <w:t> </w:t>
            </w:r>
            <w:r>
              <w:rPr>
                <w:color w:val="105C84"/>
                <w:spacing w:val="-4"/>
                <w:sz w:val="18"/>
              </w:rPr>
              <w:t>More</w:t>
            </w:r>
            <w:r>
              <w:rPr>
                <w:color w:val="105C84"/>
                <w:sz w:val="18"/>
              </w:rPr>
              <w:tab/>
            </w:r>
            <w:r>
              <w:rPr>
                <w:color w:val="105C84"/>
                <w:position w:val="9"/>
                <w:sz w:val="18"/>
              </w:rPr>
              <w:t>end</w:t>
            </w:r>
            <w:r>
              <w:rPr>
                <w:color w:val="105C84"/>
                <w:spacing w:val="-3"/>
                <w:position w:val="9"/>
                <w:sz w:val="18"/>
              </w:rPr>
              <w:t> </w:t>
            </w:r>
            <w:r>
              <w:rPr>
                <w:color w:val="105C84"/>
                <w:position w:val="9"/>
                <w:sz w:val="18"/>
              </w:rPr>
              <w:t>of</w:t>
            </w:r>
            <w:r>
              <w:rPr>
                <w:color w:val="105C84"/>
                <w:spacing w:val="-3"/>
                <w:position w:val="9"/>
                <w:sz w:val="18"/>
              </w:rPr>
              <w:t> </w:t>
            </w:r>
            <w:r>
              <w:rPr>
                <w:color w:val="105C84"/>
                <w:position w:val="9"/>
                <w:sz w:val="18"/>
              </w:rPr>
              <w:t>year</w:t>
            </w:r>
            <w:r>
              <w:rPr>
                <w:color w:val="105C84"/>
                <w:spacing w:val="-2"/>
                <w:position w:val="9"/>
                <w:sz w:val="18"/>
              </w:rPr>
              <w:t> </w:t>
            </w:r>
            <w:r>
              <w:rPr>
                <w:color w:val="105C84"/>
                <w:spacing w:val="-10"/>
                <w:position w:val="9"/>
                <w:sz w:val="18"/>
              </w:rPr>
              <w:t>1</w:t>
            </w:r>
          </w:p>
          <w:p>
            <w:pPr>
              <w:pStyle w:val="TableParagraph"/>
              <w:tabs>
                <w:tab w:pos="3786" w:val="left" w:leader="none"/>
              </w:tabs>
              <w:spacing w:line="200" w:lineRule="exact"/>
              <w:ind w:left="88"/>
              <w:rPr>
                <w:sz w:val="18"/>
              </w:rPr>
            </w:pPr>
            <w:r>
              <w:rPr>
                <w:color w:val="105C84"/>
                <w:sz w:val="18"/>
              </w:rPr>
              <w:t>than</w:t>
            </w:r>
            <w:r>
              <w:rPr>
                <w:color w:val="105C84"/>
                <w:spacing w:val="-10"/>
                <w:sz w:val="18"/>
              </w:rPr>
              <w:t> </w:t>
            </w:r>
            <w:r>
              <w:rPr>
                <w:color w:val="105C84"/>
                <w:sz w:val="18"/>
              </w:rPr>
              <w:t>Sad</w:t>
            </w:r>
            <w:r>
              <w:rPr>
                <w:color w:val="105C84"/>
                <w:spacing w:val="-9"/>
                <w:sz w:val="18"/>
              </w:rPr>
              <w:t> </w:t>
            </w:r>
            <w:r>
              <w:rPr>
                <w:color w:val="105C84"/>
                <w:sz w:val="18"/>
              </w:rPr>
              <w:t>and</w:t>
            </w:r>
            <w:r>
              <w:rPr>
                <w:color w:val="105C84"/>
                <w:spacing w:val="-9"/>
                <w:sz w:val="18"/>
              </w:rPr>
              <w:t> </w:t>
            </w:r>
            <w:r>
              <w:rPr>
                <w:color w:val="105C84"/>
                <w:spacing w:val="-4"/>
                <w:sz w:val="18"/>
              </w:rPr>
              <w:t>Talk</w:t>
            </w:r>
            <w:r>
              <w:rPr>
                <w:color w:val="105C84"/>
                <w:sz w:val="18"/>
              </w:rPr>
              <w:tab/>
            </w:r>
            <w:r>
              <w:rPr>
                <w:color w:val="105C84"/>
                <w:spacing w:val="-2"/>
                <w:sz w:val="18"/>
              </w:rPr>
              <w:t>Seneca</w:t>
            </w:r>
          </w:p>
          <w:p>
            <w:pPr>
              <w:pStyle w:val="TableParagraph"/>
              <w:tabs>
                <w:tab w:pos="3786" w:val="left" w:leader="none"/>
              </w:tabs>
              <w:spacing w:line="200" w:lineRule="exact"/>
              <w:ind w:left="88"/>
              <w:rPr>
                <w:sz w:val="18"/>
              </w:rPr>
            </w:pPr>
            <w:r>
              <w:rPr>
                <w:color w:val="105C84"/>
                <w:w w:val="90"/>
                <w:sz w:val="18"/>
              </w:rPr>
              <w:t>Saves</w:t>
            </w:r>
            <w:r>
              <w:rPr>
                <w:color w:val="105C84"/>
                <w:spacing w:val="-4"/>
                <w:sz w:val="18"/>
              </w:rPr>
              <w:t> </w:t>
            </w:r>
            <w:r>
              <w:rPr>
                <w:color w:val="105C84"/>
                <w:spacing w:val="-2"/>
                <w:sz w:val="18"/>
              </w:rPr>
              <w:t>Lives</w:t>
            </w:r>
            <w:r>
              <w:rPr>
                <w:color w:val="105C84"/>
                <w:sz w:val="18"/>
              </w:rPr>
              <w:tab/>
              <w:t>County</w:t>
            </w:r>
            <w:r>
              <w:rPr>
                <w:color w:val="105C84"/>
                <w:spacing w:val="1"/>
                <w:sz w:val="18"/>
              </w:rPr>
              <w:t> </w:t>
            </w:r>
            <w:r>
              <w:rPr>
                <w:color w:val="105C84"/>
                <w:spacing w:val="-2"/>
                <w:sz w:val="18"/>
              </w:rPr>
              <w:t>Health</w:t>
            </w:r>
          </w:p>
          <w:p>
            <w:pPr>
              <w:pStyle w:val="TableParagraph"/>
              <w:tabs>
                <w:tab w:pos="3786" w:val="left" w:leader="none"/>
              </w:tabs>
              <w:spacing w:line="127" w:lineRule="auto" w:before="57"/>
              <w:ind w:left="3786" w:right="277" w:hanging="3698"/>
              <w:rPr>
                <w:sz w:val="18"/>
              </w:rPr>
            </w:pPr>
            <w:r>
              <w:rPr>
                <w:color w:val="105C84"/>
                <w:sz w:val="18"/>
              </w:rPr>
              <w:t># outreach events</w:t>
              <w:tab/>
            </w:r>
            <w:r>
              <w:rPr>
                <w:color w:val="105C84"/>
                <w:spacing w:val="-2"/>
                <w:position w:val="9"/>
                <w:sz w:val="18"/>
              </w:rPr>
              <w:t>Department</w:t>
            </w:r>
            <w:r>
              <w:rPr>
                <w:color w:val="105C84"/>
                <w:spacing w:val="80"/>
                <w:position w:val="9"/>
                <w:sz w:val="18"/>
              </w:rPr>
              <w:t> </w:t>
            </w:r>
            <w:r>
              <w:rPr>
                <w:color w:val="105C84"/>
                <w:sz w:val="18"/>
              </w:rPr>
              <w:t>staff</w:t>
            </w:r>
            <w:r>
              <w:rPr>
                <w:color w:val="105C84"/>
                <w:spacing w:val="-8"/>
                <w:sz w:val="18"/>
              </w:rPr>
              <w:t> </w:t>
            </w:r>
            <w:r>
              <w:rPr>
                <w:color w:val="105C84"/>
                <w:sz w:val="18"/>
              </w:rPr>
              <w:t>and</w:t>
            </w:r>
            <w:r>
              <w:rPr>
                <w:color w:val="105C84"/>
                <w:spacing w:val="-7"/>
                <w:sz w:val="18"/>
              </w:rPr>
              <w:t> </w:t>
            </w:r>
            <w:r>
              <w:rPr>
                <w:color w:val="105C84"/>
                <w:spacing w:val="-7"/>
                <w:sz w:val="18"/>
              </w:rPr>
              <w:t>Seneca</w:t>
            </w:r>
          </w:p>
          <w:p>
            <w:pPr>
              <w:pStyle w:val="TableParagraph"/>
              <w:tabs>
                <w:tab w:pos="3786" w:val="left" w:leader="none"/>
              </w:tabs>
              <w:spacing w:line="204" w:lineRule="exact"/>
              <w:ind w:left="88"/>
              <w:rPr>
                <w:sz w:val="18"/>
              </w:rPr>
            </w:pPr>
            <w:r>
              <w:rPr>
                <w:color w:val="105C84"/>
                <w:position w:val="2"/>
                <w:sz w:val="18"/>
              </w:rPr>
              <w:t>#</w:t>
            </w:r>
            <w:r>
              <w:rPr>
                <w:color w:val="105C84"/>
                <w:spacing w:val="5"/>
                <w:position w:val="2"/>
                <w:sz w:val="18"/>
              </w:rPr>
              <w:t> </w:t>
            </w:r>
            <w:r>
              <w:rPr>
                <w:color w:val="105C84"/>
                <w:position w:val="2"/>
                <w:sz w:val="18"/>
              </w:rPr>
              <w:t>of</w:t>
            </w:r>
            <w:r>
              <w:rPr>
                <w:color w:val="105C84"/>
                <w:spacing w:val="6"/>
                <w:position w:val="2"/>
                <w:sz w:val="18"/>
              </w:rPr>
              <w:t> </w:t>
            </w:r>
            <w:r>
              <w:rPr>
                <w:color w:val="105C84"/>
                <w:position w:val="2"/>
                <w:sz w:val="18"/>
              </w:rPr>
              <w:t>people</w:t>
            </w:r>
            <w:r>
              <w:rPr>
                <w:color w:val="105C84"/>
                <w:spacing w:val="6"/>
                <w:position w:val="2"/>
                <w:sz w:val="18"/>
              </w:rPr>
              <w:t> </w:t>
            </w:r>
            <w:r>
              <w:rPr>
                <w:color w:val="105C84"/>
                <w:spacing w:val="-2"/>
                <w:position w:val="2"/>
                <w:sz w:val="18"/>
              </w:rPr>
              <w:t>reached</w:t>
            </w:r>
            <w:r>
              <w:rPr>
                <w:color w:val="105C84"/>
                <w:position w:val="2"/>
                <w:sz w:val="18"/>
              </w:rPr>
              <w:tab/>
            </w:r>
            <w:r>
              <w:rPr>
                <w:color w:val="105C84"/>
                <w:sz w:val="18"/>
              </w:rPr>
              <w:t>County</w:t>
            </w:r>
            <w:r>
              <w:rPr>
                <w:color w:val="105C84"/>
                <w:spacing w:val="1"/>
                <w:sz w:val="18"/>
              </w:rPr>
              <w:t> </w:t>
            </w:r>
            <w:r>
              <w:rPr>
                <w:color w:val="105C84"/>
                <w:spacing w:val="-2"/>
                <w:sz w:val="18"/>
              </w:rPr>
              <w:t>Suicide</w:t>
            </w:r>
          </w:p>
          <w:p>
            <w:pPr>
              <w:pStyle w:val="TableParagraph"/>
              <w:tabs>
                <w:tab w:pos="3786" w:val="left" w:leader="none"/>
              </w:tabs>
              <w:spacing w:line="210" w:lineRule="exact"/>
              <w:ind w:left="88"/>
              <w:rPr>
                <w:sz w:val="18"/>
              </w:rPr>
            </w:pPr>
            <w:r>
              <w:rPr>
                <w:color w:val="105C84"/>
                <w:position w:val="2"/>
                <w:sz w:val="18"/>
              </w:rPr>
              <w:t>at</w:t>
            </w:r>
            <w:r>
              <w:rPr>
                <w:color w:val="105C84"/>
                <w:spacing w:val="-2"/>
                <w:position w:val="2"/>
                <w:sz w:val="18"/>
              </w:rPr>
              <w:t> </w:t>
            </w:r>
            <w:r>
              <w:rPr>
                <w:color w:val="105C84"/>
                <w:position w:val="2"/>
                <w:sz w:val="18"/>
              </w:rPr>
              <w:t>health</w:t>
            </w:r>
            <w:r>
              <w:rPr>
                <w:color w:val="105C84"/>
                <w:spacing w:val="-2"/>
                <w:position w:val="2"/>
                <w:sz w:val="18"/>
              </w:rPr>
              <w:t> fairs</w:t>
            </w:r>
            <w:r>
              <w:rPr>
                <w:color w:val="105C84"/>
                <w:position w:val="2"/>
                <w:sz w:val="18"/>
              </w:rPr>
              <w:tab/>
            </w:r>
            <w:r>
              <w:rPr>
                <w:color w:val="105C84"/>
                <w:sz w:val="18"/>
              </w:rPr>
              <w:t>Coalition</w:t>
            </w:r>
            <w:r>
              <w:rPr>
                <w:color w:val="105C84"/>
                <w:spacing w:val="9"/>
                <w:sz w:val="18"/>
              </w:rPr>
              <w:t> </w:t>
            </w:r>
            <w:r>
              <w:rPr>
                <w:color w:val="105C84"/>
                <w:sz w:val="18"/>
              </w:rPr>
              <w:t>will</w:t>
            </w:r>
            <w:r>
              <w:rPr>
                <w:color w:val="105C84"/>
                <w:spacing w:val="10"/>
                <w:sz w:val="18"/>
              </w:rPr>
              <w:t> </w:t>
            </w:r>
            <w:r>
              <w:rPr>
                <w:color w:val="105C84"/>
                <w:spacing w:val="-2"/>
                <w:sz w:val="18"/>
              </w:rPr>
              <w:t>offer</w:t>
            </w:r>
          </w:p>
          <w:p>
            <w:pPr>
              <w:pStyle w:val="TableParagraph"/>
              <w:tabs>
                <w:tab w:pos="3786" w:val="left" w:leader="none"/>
              </w:tabs>
              <w:spacing w:line="153" w:lineRule="auto" w:before="33"/>
              <w:ind w:left="88"/>
              <w:rPr>
                <w:sz w:val="18"/>
              </w:rPr>
            </w:pPr>
            <w:r>
              <w:rPr>
                <w:color w:val="105C84"/>
                <w:position w:val="-6"/>
                <w:sz w:val="18"/>
              </w:rPr>
              <w:t>#</w:t>
            </w:r>
            <w:r>
              <w:rPr>
                <w:color w:val="105C84"/>
                <w:spacing w:val="-5"/>
                <w:position w:val="-6"/>
                <w:sz w:val="18"/>
              </w:rPr>
              <w:t> </w:t>
            </w:r>
            <w:r>
              <w:rPr>
                <w:color w:val="105C84"/>
                <w:position w:val="-6"/>
                <w:sz w:val="18"/>
              </w:rPr>
              <w:t>of</w:t>
            </w:r>
            <w:r>
              <w:rPr>
                <w:color w:val="105C84"/>
                <w:spacing w:val="-3"/>
                <w:position w:val="-6"/>
                <w:sz w:val="18"/>
              </w:rPr>
              <w:t> </w:t>
            </w:r>
            <w:r>
              <w:rPr>
                <w:color w:val="105C84"/>
                <w:spacing w:val="-2"/>
                <w:position w:val="-6"/>
                <w:sz w:val="18"/>
              </w:rPr>
              <w:t>community</w:t>
            </w:r>
            <w:r>
              <w:rPr>
                <w:color w:val="105C84"/>
                <w:position w:val="-6"/>
                <w:sz w:val="18"/>
              </w:rPr>
              <w:tab/>
            </w:r>
            <w:r>
              <w:rPr>
                <w:color w:val="105C84"/>
                <w:sz w:val="18"/>
              </w:rPr>
              <w:t>at</w:t>
            </w:r>
            <w:r>
              <w:rPr>
                <w:color w:val="105C84"/>
                <w:spacing w:val="-8"/>
                <w:sz w:val="18"/>
              </w:rPr>
              <w:t> </w:t>
            </w:r>
            <w:r>
              <w:rPr>
                <w:color w:val="105C84"/>
                <w:sz w:val="18"/>
              </w:rPr>
              <w:t>least</w:t>
            </w:r>
            <w:r>
              <w:rPr>
                <w:color w:val="105C84"/>
                <w:spacing w:val="-8"/>
                <w:sz w:val="18"/>
              </w:rPr>
              <w:t> </w:t>
            </w:r>
            <w:r>
              <w:rPr>
                <w:color w:val="105C84"/>
                <w:sz w:val="18"/>
              </w:rPr>
              <w:t>1</w:t>
            </w:r>
            <w:r>
              <w:rPr>
                <w:color w:val="105C84"/>
                <w:spacing w:val="-8"/>
                <w:sz w:val="18"/>
              </w:rPr>
              <w:t> </w:t>
            </w:r>
            <w:r>
              <w:rPr>
                <w:color w:val="105C84"/>
                <w:spacing w:val="-4"/>
                <w:sz w:val="18"/>
              </w:rPr>
              <w:t>More</w:t>
            </w:r>
          </w:p>
          <w:p>
            <w:pPr>
              <w:pStyle w:val="TableParagraph"/>
              <w:tabs>
                <w:tab w:pos="3786" w:val="left" w:leader="none"/>
              </w:tabs>
              <w:spacing w:line="153" w:lineRule="auto"/>
              <w:ind w:left="88"/>
              <w:rPr>
                <w:sz w:val="18"/>
              </w:rPr>
            </w:pPr>
            <w:r>
              <w:rPr>
                <w:color w:val="105C84"/>
                <w:spacing w:val="-2"/>
                <w:position w:val="-6"/>
                <w:sz w:val="18"/>
              </w:rPr>
              <w:t>engagements</w:t>
            </w:r>
            <w:r>
              <w:rPr>
                <w:color w:val="105C84"/>
                <w:position w:val="-6"/>
                <w:sz w:val="18"/>
              </w:rPr>
              <w:tab/>
            </w:r>
            <w:r>
              <w:rPr>
                <w:color w:val="105C84"/>
                <w:sz w:val="18"/>
              </w:rPr>
              <w:t>than</w:t>
            </w:r>
            <w:r>
              <w:rPr>
                <w:color w:val="105C84"/>
                <w:spacing w:val="-10"/>
                <w:sz w:val="18"/>
              </w:rPr>
              <w:t> </w:t>
            </w:r>
            <w:r>
              <w:rPr>
                <w:color w:val="105C84"/>
                <w:sz w:val="18"/>
              </w:rPr>
              <w:t>Sad</w:t>
            </w:r>
            <w:r>
              <w:rPr>
                <w:color w:val="105C84"/>
                <w:spacing w:val="-9"/>
                <w:sz w:val="18"/>
              </w:rPr>
              <w:t> </w:t>
            </w:r>
            <w:r>
              <w:rPr>
                <w:color w:val="105C84"/>
                <w:sz w:val="18"/>
              </w:rPr>
              <w:t>and</w:t>
            </w:r>
            <w:r>
              <w:rPr>
                <w:color w:val="105C84"/>
                <w:spacing w:val="-9"/>
                <w:sz w:val="18"/>
              </w:rPr>
              <w:t> </w:t>
            </w:r>
            <w:r>
              <w:rPr>
                <w:color w:val="105C84"/>
                <w:spacing w:val="-10"/>
                <w:sz w:val="18"/>
              </w:rPr>
              <w:t>1</w:t>
            </w:r>
          </w:p>
          <w:p>
            <w:pPr>
              <w:pStyle w:val="TableParagraph"/>
              <w:tabs>
                <w:tab w:pos="3786" w:val="left" w:leader="none"/>
              </w:tabs>
              <w:spacing w:line="245" w:lineRule="exact"/>
              <w:ind w:left="88"/>
              <w:rPr>
                <w:position w:val="16"/>
                <w:sz w:val="18"/>
              </w:rPr>
            </w:pPr>
            <w:r>
              <w:rPr>
                <w:color w:val="105C84"/>
                <w:sz w:val="18"/>
              </w:rPr>
              <w:t># of engagements </w:t>
            </w:r>
            <w:r>
              <w:rPr>
                <w:color w:val="105C84"/>
                <w:spacing w:val="-5"/>
                <w:sz w:val="18"/>
              </w:rPr>
              <w:t>for</w:t>
            </w:r>
            <w:r>
              <w:rPr>
                <w:color w:val="105C84"/>
                <w:sz w:val="18"/>
              </w:rPr>
              <w:tab/>
            </w:r>
            <w:r>
              <w:rPr>
                <w:color w:val="105C84"/>
                <w:w w:val="90"/>
                <w:position w:val="16"/>
                <w:sz w:val="18"/>
              </w:rPr>
              <w:t>Talk</w:t>
            </w:r>
            <w:r>
              <w:rPr>
                <w:color w:val="105C84"/>
                <w:spacing w:val="-5"/>
                <w:position w:val="16"/>
                <w:sz w:val="18"/>
              </w:rPr>
              <w:t> </w:t>
            </w:r>
            <w:r>
              <w:rPr>
                <w:color w:val="105C84"/>
                <w:w w:val="90"/>
                <w:position w:val="16"/>
                <w:sz w:val="18"/>
              </w:rPr>
              <w:t>Saves</w:t>
            </w:r>
            <w:r>
              <w:rPr>
                <w:color w:val="105C84"/>
                <w:spacing w:val="-5"/>
                <w:position w:val="16"/>
                <w:sz w:val="18"/>
              </w:rPr>
              <w:t> </w:t>
            </w:r>
            <w:r>
              <w:rPr>
                <w:color w:val="105C84"/>
                <w:spacing w:val="-2"/>
                <w:w w:val="90"/>
                <w:position w:val="16"/>
                <w:sz w:val="18"/>
              </w:rPr>
              <w:t>Lives</w:t>
            </w:r>
          </w:p>
          <w:p>
            <w:pPr>
              <w:pStyle w:val="TableParagraph"/>
              <w:tabs>
                <w:tab w:pos="3786" w:val="left" w:leader="none"/>
              </w:tabs>
              <w:spacing w:line="200" w:lineRule="exact"/>
              <w:ind w:left="88"/>
              <w:rPr>
                <w:position w:val="16"/>
                <w:sz w:val="18"/>
              </w:rPr>
            </w:pPr>
            <w:r>
              <w:rPr>
                <w:color w:val="105C84"/>
                <w:sz w:val="18"/>
              </w:rPr>
              <w:t>suicide</w:t>
            </w:r>
            <w:r>
              <w:rPr>
                <w:color w:val="105C84"/>
                <w:spacing w:val="-10"/>
                <w:sz w:val="18"/>
              </w:rPr>
              <w:t> </w:t>
            </w:r>
            <w:r>
              <w:rPr>
                <w:color w:val="105C84"/>
                <w:spacing w:val="-2"/>
                <w:sz w:val="18"/>
              </w:rPr>
              <w:t>prevention</w:t>
            </w:r>
            <w:r>
              <w:rPr>
                <w:color w:val="105C84"/>
                <w:sz w:val="18"/>
              </w:rPr>
              <w:tab/>
            </w:r>
            <w:r>
              <w:rPr>
                <w:color w:val="105C84"/>
                <w:w w:val="90"/>
                <w:position w:val="16"/>
                <w:sz w:val="18"/>
              </w:rPr>
              <w:t>AFSP</w:t>
            </w:r>
            <w:r>
              <w:rPr>
                <w:color w:val="105C84"/>
                <w:spacing w:val="-4"/>
                <w:position w:val="16"/>
                <w:sz w:val="18"/>
              </w:rPr>
              <w:t> </w:t>
            </w:r>
            <w:r>
              <w:rPr>
                <w:color w:val="105C84"/>
                <w:spacing w:val="-2"/>
                <w:position w:val="16"/>
                <w:sz w:val="18"/>
              </w:rPr>
              <w:t>Gatekeeper</w:t>
            </w:r>
          </w:p>
          <w:p>
            <w:pPr>
              <w:pStyle w:val="TableParagraph"/>
              <w:tabs>
                <w:tab w:pos="3786" w:val="left" w:leader="none"/>
              </w:tabs>
              <w:spacing w:line="200" w:lineRule="exact"/>
              <w:ind w:left="88"/>
              <w:rPr>
                <w:position w:val="16"/>
                <w:sz w:val="18"/>
              </w:rPr>
            </w:pPr>
            <w:r>
              <w:rPr>
                <w:color w:val="105C84"/>
                <w:spacing w:val="-2"/>
                <w:sz w:val="18"/>
              </w:rPr>
              <w:t>messaging</w:t>
            </w:r>
            <w:r>
              <w:rPr>
                <w:color w:val="105C84"/>
                <w:spacing w:val="-3"/>
                <w:sz w:val="18"/>
              </w:rPr>
              <w:t> </w:t>
            </w:r>
            <w:r>
              <w:rPr>
                <w:color w:val="105C84"/>
                <w:spacing w:val="-2"/>
                <w:sz w:val="18"/>
              </w:rPr>
              <w:t>via social</w:t>
            </w:r>
            <w:r>
              <w:rPr>
                <w:color w:val="105C84"/>
                <w:sz w:val="18"/>
              </w:rPr>
              <w:tab/>
            </w:r>
            <w:r>
              <w:rPr>
                <w:color w:val="105C84"/>
                <w:position w:val="16"/>
                <w:sz w:val="18"/>
              </w:rPr>
              <w:t>program</w:t>
            </w:r>
            <w:r>
              <w:rPr>
                <w:color w:val="105C84"/>
                <w:spacing w:val="5"/>
                <w:position w:val="16"/>
                <w:sz w:val="18"/>
              </w:rPr>
              <w:t> </w:t>
            </w:r>
            <w:r>
              <w:rPr>
                <w:color w:val="105C84"/>
                <w:position w:val="16"/>
                <w:sz w:val="18"/>
              </w:rPr>
              <w:t>in</w:t>
            </w:r>
            <w:r>
              <w:rPr>
                <w:color w:val="105C84"/>
                <w:spacing w:val="5"/>
                <w:position w:val="16"/>
                <w:sz w:val="18"/>
              </w:rPr>
              <w:t> </w:t>
            </w:r>
            <w:r>
              <w:rPr>
                <w:color w:val="105C84"/>
                <w:spacing w:val="-2"/>
                <w:position w:val="16"/>
                <w:sz w:val="18"/>
              </w:rPr>
              <w:t>Seneca</w:t>
            </w:r>
          </w:p>
          <w:p>
            <w:pPr>
              <w:pStyle w:val="TableParagraph"/>
              <w:tabs>
                <w:tab w:pos="3786" w:val="left" w:leader="none"/>
              </w:tabs>
              <w:spacing w:line="120" w:lineRule="auto"/>
              <w:ind w:left="88"/>
              <w:rPr>
                <w:sz w:val="18"/>
              </w:rPr>
            </w:pPr>
            <w:r>
              <w:rPr>
                <w:color w:val="105C84"/>
                <w:spacing w:val="-4"/>
                <w:position w:val="-15"/>
                <w:sz w:val="18"/>
              </w:rPr>
              <w:t>media</w:t>
            </w:r>
            <w:r>
              <w:rPr>
                <w:color w:val="105C84"/>
                <w:position w:val="-15"/>
                <w:sz w:val="18"/>
              </w:rPr>
              <w:tab/>
            </w:r>
            <w:r>
              <w:rPr>
                <w:color w:val="105C84"/>
                <w:spacing w:val="-2"/>
                <w:sz w:val="18"/>
              </w:rPr>
              <w:t>County</w:t>
            </w:r>
          </w:p>
          <w:p>
            <w:pPr>
              <w:pStyle w:val="TableParagraph"/>
              <w:spacing w:line="232" w:lineRule="auto" w:before="104"/>
              <w:ind w:left="88" w:right="3381"/>
              <w:rPr>
                <w:sz w:val="18"/>
              </w:rPr>
            </w:pPr>
            <w:r>
              <w:rPr>
                <w:color w:val="105C84"/>
                <w:sz w:val="18"/>
              </w:rPr>
              <w:t># of staff trained in Gatekeeper</w:t>
            </w:r>
            <w:r>
              <w:rPr>
                <w:color w:val="105C84"/>
                <w:spacing w:val="-13"/>
                <w:sz w:val="18"/>
              </w:rPr>
              <w:t> </w:t>
            </w:r>
            <w:r>
              <w:rPr>
                <w:color w:val="105C84"/>
                <w:sz w:val="18"/>
              </w:rPr>
              <w:t>trainings</w:t>
            </w:r>
          </w:p>
        </w:tc>
        <w:tc>
          <w:tcPr>
            <w:tcW w:w="1858" w:type="dxa"/>
          </w:tcPr>
          <w:p>
            <w:pPr>
              <w:pStyle w:val="TableParagraph"/>
              <w:spacing w:line="232" w:lineRule="auto" w:before="99"/>
              <w:ind w:left="88" w:right="260"/>
              <w:rPr>
                <w:sz w:val="18"/>
              </w:rPr>
            </w:pPr>
            <w:r>
              <w:rPr>
                <w:color w:val="105C84"/>
                <w:sz w:val="18"/>
              </w:rPr>
              <w:t>To work with the Seneca County Suicide Coalition to offer at least 1 annual</w:t>
            </w:r>
            <w:r>
              <w:rPr>
                <w:color w:val="105C84"/>
                <w:spacing w:val="-13"/>
                <w:sz w:val="18"/>
              </w:rPr>
              <w:t> </w:t>
            </w:r>
            <w:r>
              <w:rPr>
                <w:color w:val="105C84"/>
                <w:sz w:val="18"/>
              </w:rPr>
              <w:t>gatekeeper </w:t>
            </w:r>
            <w:r>
              <w:rPr>
                <w:color w:val="105C84"/>
                <w:spacing w:val="-2"/>
                <w:sz w:val="18"/>
              </w:rPr>
              <w:t>training</w:t>
            </w:r>
          </w:p>
          <w:p>
            <w:pPr>
              <w:pStyle w:val="TableParagraph"/>
              <w:spacing w:line="232" w:lineRule="auto" w:before="86"/>
              <w:ind w:left="88" w:right="433"/>
              <w:rPr>
                <w:sz w:val="18"/>
              </w:rPr>
            </w:pPr>
            <w:r>
              <w:rPr>
                <w:color w:val="105C84"/>
                <w:sz w:val="18"/>
              </w:rPr>
              <w:t>To train at least 2</w:t>
            </w:r>
            <w:r>
              <w:rPr>
                <w:color w:val="105C84"/>
                <w:spacing w:val="-13"/>
                <w:sz w:val="18"/>
              </w:rPr>
              <w:t> </w:t>
            </w:r>
            <w:r>
              <w:rPr>
                <w:color w:val="105C84"/>
                <w:sz w:val="18"/>
              </w:rPr>
              <w:t>additional</w:t>
            </w:r>
            <w:r>
              <w:rPr>
                <w:color w:val="105C84"/>
                <w:spacing w:val="-12"/>
                <w:sz w:val="18"/>
              </w:rPr>
              <w:t> </w:t>
            </w:r>
            <w:r>
              <w:rPr>
                <w:color w:val="105C84"/>
                <w:sz w:val="18"/>
              </w:rPr>
              <w:t>staff</w:t>
            </w:r>
          </w:p>
          <w:p>
            <w:pPr>
              <w:pStyle w:val="TableParagraph"/>
              <w:spacing w:line="232" w:lineRule="auto"/>
              <w:ind w:left="88"/>
              <w:rPr>
                <w:sz w:val="18"/>
              </w:rPr>
            </w:pPr>
            <w:r>
              <w:rPr>
                <w:color w:val="105C84"/>
                <w:sz w:val="18"/>
              </w:rPr>
              <w:t>and or community members in Gatekeeper</w:t>
            </w:r>
            <w:r>
              <w:rPr>
                <w:color w:val="105C84"/>
                <w:spacing w:val="-13"/>
                <w:sz w:val="18"/>
              </w:rPr>
              <w:t> </w:t>
            </w:r>
            <w:r>
              <w:rPr>
                <w:color w:val="105C84"/>
                <w:sz w:val="18"/>
              </w:rPr>
              <w:t>trainings</w:t>
            </w:r>
          </w:p>
          <w:p>
            <w:pPr>
              <w:pStyle w:val="TableParagraph"/>
              <w:spacing w:line="232" w:lineRule="auto" w:before="86"/>
              <w:ind w:left="88"/>
              <w:rPr>
                <w:sz w:val="18"/>
              </w:rPr>
            </w:pPr>
            <w:r>
              <w:rPr>
                <w:color w:val="105C84"/>
                <w:sz w:val="18"/>
              </w:rPr>
              <w:t>To</w:t>
            </w:r>
            <w:r>
              <w:rPr>
                <w:color w:val="105C84"/>
                <w:spacing w:val="-15"/>
                <w:sz w:val="18"/>
              </w:rPr>
              <w:t> </w:t>
            </w:r>
            <w:r>
              <w:rPr>
                <w:color w:val="105C84"/>
                <w:sz w:val="18"/>
              </w:rPr>
              <w:t>offer</w:t>
            </w:r>
            <w:r>
              <w:rPr>
                <w:color w:val="105C84"/>
                <w:spacing w:val="-12"/>
                <w:sz w:val="18"/>
              </w:rPr>
              <w:t> </w:t>
            </w:r>
            <w:r>
              <w:rPr>
                <w:color w:val="105C84"/>
                <w:sz w:val="18"/>
              </w:rPr>
              <w:t>gatekeeper trainings and/</w:t>
            </w:r>
          </w:p>
          <w:p>
            <w:pPr>
              <w:pStyle w:val="TableParagraph"/>
              <w:spacing w:line="232" w:lineRule="auto"/>
              <w:ind w:left="88" w:right="183"/>
              <w:rPr>
                <w:sz w:val="18"/>
              </w:rPr>
            </w:pPr>
            <w:r>
              <w:rPr>
                <w:color w:val="105C84"/>
                <w:sz w:val="18"/>
              </w:rPr>
              <w:t>or awareness presentations in</w:t>
            </w:r>
            <w:r>
              <w:rPr>
                <w:color w:val="105C84"/>
                <w:spacing w:val="80"/>
                <w:sz w:val="18"/>
              </w:rPr>
              <w:t> </w:t>
            </w:r>
            <w:r>
              <w:rPr>
                <w:color w:val="105C84"/>
                <w:sz w:val="18"/>
              </w:rPr>
              <w:t>the community at a minimum</w:t>
            </w:r>
            <w:r>
              <w:rPr>
                <w:color w:val="105C84"/>
                <w:spacing w:val="-8"/>
                <w:sz w:val="18"/>
              </w:rPr>
              <w:t> </w:t>
            </w:r>
            <w:r>
              <w:rPr>
                <w:color w:val="105C84"/>
                <w:sz w:val="18"/>
              </w:rPr>
              <w:t>of</w:t>
            </w:r>
            <w:r>
              <w:rPr>
                <w:color w:val="105C84"/>
                <w:spacing w:val="-8"/>
                <w:sz w:val="18"/>
              </w:rPr>
              <w:t> </w:t>
            </w:r>
            <w:r>
              <w:rPr>
                <w:color w:val="105C84"/>
                <w:sz w:val="18"/>
              </w:rPr>
              <w:t>2</w:t>
            </w:r>
            <w:r>
              <w:rPr>
                <w:color w:val="105C84"/>
                <w:spacing w:val="-8"/>
                <w:sz w:val="18"/>
              </w:rPr>
              <w:t> </w:t>
            </w:r>
            <w:r>
              <w:rPr>
                <w:color w:val="105C84"/>
                <w:sz w:val="18"/>
              </w:rPr>
              <w:t>times a year</w:t>
            </w:r>
          </w:p>
        </w:tc>
        <w:tc>
          <w:tcPr>
            <w:tcW w:w="1973" w:type="dxa"/>
          </w:tcPr>
          <w:p>
            <w:pPr>
              <w:pStyle w:val="TableParagraph"/>
              <w:spacing w:line="232" w:lineRule="auto" w:before="99"/>
              <w:ind w:left="88" w:right="80"/>
              <w:rPr>
                <w:sz w:val="18"/>
              </w:rPr>
            </w:pPr>
            <w:r>
              <w:rPr>
                <w:color w:val="105C84"/>
                <w:sz w:val="18"/>
              </w:rPr>
              <w:t>Seneca</w:t>
            </w:r>
            <w:r>
              <w:rPr>
                <w:color w:val="105C84"/>
                <w:spacing w:val="-15"/>
                <w:sz w:val="18"/>
              </w:rPr>
              <w:t> </w:t>
            </w:r>
            <w:r>
              <w:rPr>
                <w:color w:val="105C84"/>
                <w:sz w:val="18"/>
              </w:rPr>
              <w:t>County</w:t>
            </w:r>
            <w:r>
              <w:rPr>
                <w:color w:val="105C84"/>
                <w:spacing w:val="-12"/>
                <w:sz w:val="18"/>
              </w:rPr>
              <w:t> </w:t>
            </w:r>
            <w:r>
              <w:rPr>
                <w:color w:val="105C84"/>
                <w:sz w:val="18"/>
              </w:rPr>
              <w:t>United Way .25% FTE-,</w:t>
            </w:r>
          </w:p>
          <w:p>
            <w:pPr>
              <w:pStyle w:val="TableParagraph"/>
              <w:spacing w:line="197" w:lineRule="exact"/>
              <w:ind w:left="88"/>
              <w:rPr>
                <w:sz w:val="18"/>
              </w:rPr>
            </w:pPr>
            <w:r>
              <w:rPr>
                <w:color w:val="105C84"/>
                <w:w w:val="85"/>
                <w:sz w:val="18"/>
              </w:rPr>
              <w:t>STEPS</w:t>
            </w:r>
            <w:r>
              <w:rPr>
                <w:color w:val="105C84"/>
                <w:spacing w:val="7"/>
                <w:sz w:val="18"/>
              </w:rPr>
              <w:t> </w:t>
            </w:r>
            <w:r>
              <w:rPr>
                <w:color w:val="105C84"/>
                <w:spacing w:val="-2"/>
                <w:sz w:val="18"/>
              </w:rPr>
              <w:t>Coordinator</w:t>
            </w:r>
          </w:p>
          <w:p>
            <w:pPr>
              <w:pStyle w:val="TableParagraph"/>
              <w:spacing w:line="232" w:lineRule="auto" w:before="2"/>
              <w:ind w:left="88"/>
              <w:rPr>
                <w:sz w:val="18"/>
              </w:rPr>
            </w:pPr>
            <w:r>
              <w:rPr>
                <w:color w:val="105C84"/>
                <w:sz w:val="18"/>
              </w:rPr>
              <w:t>.05% and SRPHE for </w:t>
            </w:r>
            <w:r>
              <w:rPr>
                <w:color w:val="105C84"/>
                <w:spacing w:val="-2"/>
                <w:sz w:val="18"/>
              </w:rPr>
              <w:t>Seneca</w:t>
            </w:r>
            <w:r>
              <w:rPr>
                <w:color w:val="105C84"/>
                <w:spacing w:val="-13"/>
                <w:sz w:val="18"/>
              </w:rPr>
              <w:t> </w:t>
            </w:r>
            <w:r>
              <w:rPr>
                <w:color w:val="105C84"/>
                <w:spacing w:val="-2"/>
                <w:sz w:val="18"/>
              </w:rPr>
              <w:t>County</w:t>
            </w:r>
            <w:r>
              <w:rPr>
                <w:color w:val="105C84"/>
                <w:spacing w:val="-10"/>
                <w:sz w:val="18"/>
              </w:rPr>
              <w:t> </w:t>
            </w:r>
            <w:r>
              <w:rPr>
                <w:color w:val="105C84"/>
                <w:spacing w:val="-2"/>
                <w:sz w:val="18"/>
              </w:rPr>
              <w:t>Health </w:t>
            </w:r>
            <w:r>
              <w:rPr>
                <w:color w:val="105C84"/>
                <w:sz w:val="18"/>
              </w:rPr>
              <w:t>Department 10%</w:t>
            </w:r>
          </w:p>
          <w:p>
            <w:pPr>
              <w:pStyle w:val="TableParagraph"/>
              <w:spacing w:line="232" w:lineRule="auto" w:before="87"/>
              <w:ind w:left="88" w:right="123"/>
              <w:rPr>
                <w:sz w:val="18"/>
              </w:rPr>
            </w:pPr>
            <w:r>
              <w:rPr>
                <w:color w:val="105C84"/>
                <w:sz w:val="18"/>
              </w:rPr>
              <w:t>To continuously support the Seneca County Suicide Coalition</w:t>
            </w:r>
            <w:r>
              <w:rPr>
                <w:color w:val="105C84"/>
                <w:spacing w:val="-6"/>
                <w:sz w:val="18"/>
              </w:rPr>
              <w:t> </w:t>
            </w:r>
            <w:r>
              <w:rPr>
                <w:color w:val="105C84"/>
                <w:sz w:val="18"/>
              </w:rPr>
              <w:t>by</w:t>
            </w:r>
            <w:r>
              <w:rPr>
                <w:color w:val="105C84"/>
                <w:spacing w:val="-6"/>
                <w:sz w:val="18"/>
              </w:rPr>
              <w:t> </w:t>
            </w:r>
            <w:r>
              <w:rPr>
                <w:color w:val="105C84"/>
                <w:sz w:val="18"/>
              </w:rPr>
              <w:t>having</w:t>
            </w:r>
            <w:r>
              <w:rPr>
                <w:color w:val="105C84"/>
                <w:spacing w:val="-6"/>
                <w:sz w:val="18"/>
              </w:rPr>
              <w:t> </w:t>
            </w:r>
            <w:r>
              <w:rPr>
                <w:color w:val="105C84"/>
                <w:sz w:val="18"/>
              </w:rPr>
              <w:t>at least 1 staff member participate on the </w:t>
            </w:r>
            <w:r>
              <w:rPr>
                <w:color w:val="105C84"/>
                <w:spacing w:val="-2"/>
                <w:sz w:val="18"/>
              </w:rPr>
              <w:t>Coalition</w:t>
            </w:r>
          </w:p>
          <w:p>
            <w:pPr>
              <w:pStyle w:val="TableParagraph"/>
              <w:spacing w:line="232" w:lineRule="auto" w:before="85"/>
              <w:ind w:left="88" w:right="101"/>
              <w:rPr>
                <w:sz w:val="18"/>
              </w:rPr>
            </w:pPr>
            <w:r>
              <w:rPr>
                <w:color w:val="105C84"/>
                <w:sz w:val="18"/>
              </w:rPr>
              <w:t>To</w:t>
            </w:r>
            <w:r>
              <w:rPr>
                <w:color w:val="105C84"/>
                <w:spacing w:val="-13"/>
                <w:sz w:val="18"/>
              </w:rPr>
              <w:t> </w:t>
            </w:r>
            <w:r>
              <w:rPr>
                <w:color w:val="105C84"/>
                <w:sz w:val="18"/>
              </w:rPr>
              <w:t>co-sponsor</w:t>
            </w:r>
            <w:r>
              <w:rPr>
                <w:color w:val="105C84"/>
                <w:spacing w:val="-12"/>
                <w:sz w:val="18"/>
              </w:rPr>
              <w:t> </w:t>
            </w:r>
            <w:r>
              <w:rPr>
                <w:color w:val="105C84"/>
                <w:sz w:val="18"/>
              </w:rPr>
              <w:t>at</w:t>
            </w:r>
            <w:r>
              <w:rPr>
                <w:color w:val="105C84"/>
                <w:spacing w:val="-13"/>
                <w:sz w:val="18"/>
              </w:rPr>
              <w:t> </w:t>
            </w:r>
            <w:r>
              <w:rPr>
                <w:color w:val="105C84"/>
                <w:sz w:val="18"/>
              </w:rPr>
              <w:t>least 1 Suicide Awareness event and to provide or sponsor at least 1 Adult Mental Health First Aid Training and 1</w:t>
            </w:r>
            <w:r>
              <w:rPr>
                <w:color w:val="105C84"/>
                <w:spacing w:val="-13"/>
                <w:sz w:val="18"/>
              </w:rPr>
              <w:t> </w:t>
            </w:r>
            <w:r>
              <w:rPr>
                <w:color w:val="105C84"/>
                <w:sz w:val="18"/>
              </w:rPr>
              <w:t>Youth</w:t>
            </w:r>
            <w:r>
              <w:rPr>
                <w:color w:val="105C84"/>
                <w:spacing w:val="-12"/>
                <w:sz w:val="18"/>
              </w:rPr>
              <w:t> </w:t>
            </w:r>
            <w:r>
              <w:rPr>
                <w:color w:val="105C84"/>
                <w:sz w:val="18"/>
              </w:rPr>
              <w:t>Mental</w:t>
            </w:r>
            <w:r>
              <w:rPr>
                <w:color w:val="105C84"/>
                <w:spacing w:val="-13"/>
                <w:sz w:val="18"/>
              </w:rPr>
              <w:t> </w:t>
            </w:r>
            <w:r>
              <w:rPr>
                <w:color w:val="105C84"/>
                <w:sz w:val="18"/>
              </w:rPr>
              <w:t>Health First Aid training </w:t>
            </w:r>
            <w:r>
              <w:rPr>
                <w:color w:val="105C84"/>
                <w:spacing w:val="-2"/>
                <w:sz w:val="18"/>
              </w:rPr>
              <w:t>annually</w:t>
            </w:r>
          </w:p>
          <w:p>
            <w:pPr>
              <w:pStyle w:val="TableParagraph"/>
              <w:spacing w:line="232" w:lineRule="auto" w:before="83"/>
              <w:ind w:left="88"/>
              <w:rPr>
                <w:sz w:val="18"/>
              </w:rPr>
            </w:pPr>
            <w:r>
              <w:rPr>
                <w:color w:val="105C84"/>
                <w:spacing w:val="-6"/>
                <w:sz w:val="18"/>
              </w:rPr>
              <w:t>To</w:t>
            </w:r>
            <w:r>
              <w:rPr>
                <w:color w:val="105C84"/>
                <w:spacing w:val="-7"/>
                <w:sz w:val="18"/>
              </w:rPr>
              <w:t> </w:t>
            </w:r>
            <w:r>
              <w:rPr>
                <w:color w:val="105C84"/>
                <w:spacing w:val="-6"/>
                <w:sz w:val="18"/>
              </w:rPr>
              <w:t>deliver Talk</w:t>
            </w:r>
            <w:r>
              <w:rPr>
                <w:color w:val="105C84"/>
                <w:spacing w:val="-7"/>
                <w:sz w:val="18"/>
              </w:rPr>
              <w:t> </w:t>
            </w:r>
            <w:r>
              <w:rPr>
                <w:color w:val="105C84"/>
                <w:spacing w:val="-6"/>
                <w:sz w:val="18"/>
              </w:rPr>
              <w:t>Saves </w:t>
            </w:r>
            <w:r>
              <w:rPr>
                <w:color w:val="105C84"/>
                <w:sz w:val="18"/>
              </w:rPr>
              <w:t>Lives</w:t>
            </w:r>
            <w:r>
              <w:rPr>
                <w:color w:val="105C84"/>
                <w:spacing w:val="-13"/>
                <w:sz w:val="18"/>
              </w:rPr>
              <w:t> </w:t>
            </w:r>
            <w:r>
              <w:rPr>
                <w:color w:val="105C84"/>
                <w:sz w:val="18"/>
              </w:rPr>
              <w:t>and</w:t>
            </w:r>
            <w:r>
              <w:rPr>
                <w:color w:val="105C84"/>
                <w:spacing w:val="-12"/>
                <w:sz w:val="18"/>
              </w:rPr>
              <w:t> </w:t>
            </w:r>
            <w:r>
              <w:rPr>
                <w:color w:val="105C84"/>
                <w:sz w:val="18"/>
              </w:rPr>
              <w:t>More</w:t>
            </w:r>
            <w:r>
              <w:rPr>
                <w:color w:val="105C84"/>
                <w:spacing w:val="-13"/>
                <w:sz w:val="18"/>
              </w:rPr>
              <w:t> </w:t>
            </w:r>
            <w:r>
              <w:rPr>
                <w:color w:val="105C84"/>
                <w:sz w:val="18"/>
              </w:rPr>
              <w:t>than Sad to appropriate </w:t>
            </w:r>
            <w:r>
              <w:rPr>
                <w:color w:val="105C84"/>
                <w:spacing w:val="-2"/>
                <w:sz w:val="18"/>
              </w:rPr>
              <w:t>audiences</w:t>
            </w:r>
          </w:p>
        </w:tc>
        <w:tc>
          <w:tcPr>
            <w:tcW w:w="1498" w:type="dxa"/>
          </w:tcPr>
          <w:p>
            <w:pPr>
              <w:pStyle w:val="TableParagraph"/>
              <w:spacing w:line="232" w:lineRule="auto" w:before="98"/>
              <w:ind w:left="87"/>
              <w:rPr>
                <w:sz w:val="18"/>
              </w:rPr>
            </w:pPr>
            <w:r>
              <w:rPr>
                <w:color w:val="105C84"/>
                <w:spacing w:val="-2"/>
                <w:sz w:val="18"/>
              </w:rPr>
              <w:t>Community-based organizations</w:t>
            </w:r>
          </w:p>
        </w:tc>
        <w:tc>
          <w:tcPr>
            <w:tcW w:w="3163" w:type="dxa"/>
          </w:tcPr>
          <w:p>
            <w:pPr>
              <w:pStyle w:val="TableParagraph"/>
              <w:spacing w:line="232" w:lineRule="auto" w:before="98"/>
              <w:ind w:left="87" w:right="484"/>
              <w:rPr>
                <w:sz w:val="18"/>
              </w:rPr>
            </w:pPr>
            <w:r>
              <w:rPr>
                <w:color w:val="105C84"/>
                <w:sz w:val="18"/>
              </w:rPr>
              <w:t>Partners: Seneca County</w:t>
            </w:r>
            <w:r>
              <w:rPr>
                <w:color w:val="105C84"/>
                <w:sz w:val="18"/>
              </w:rPr>
              <w:t> Suicide</w:t>
            </w:r>
            <w:r>
              <w:rPr>
                <w:color w:val="105C84"/>
                <w:spacing w:val="-8"/>
                <w:sz w:val="18"/>
              </w:rPr>
              <w:t> </w:t>
            </w:r>
            <w:r>
              <w:rPr>
                <w:color w:val="105C84"/>
                <w:sz w:val="18"/>
              </w:rPr>
              <w:t>Coalition,</w:t>
            </w:r>
            <w:r>
              <w:rPr>
                <w:color w:val="105C84"/>
                <w:spacing w:val="-8"/>
                <w:sz w:val="18"/>
              </w:rPr>
              <w:t> </w:t>
            </w:r>
            <w:r>
              <w:rPr>
                <w:color w:val="105C84"/>
                <w:sz w:val="18"/>
              </w:rPr>
              <w:t>United</w:t>
            </w:r>
            <w:r>
              <w:rPr>
                <w:color w:val="105C84"/>
                <w:spacing w:val="-8"/>
                <w:sz w:val="18"/>
              </w:rPr>
              <w:t> </w:t>
            </w:r>
            <w:r>
              <w:rPr>
                <w:color w:val="105C84"/>
                <w:sz w:val="18"/>
              </w:rPr>
              <w:t>Way</w:t>
            </w:r>
            <w:r>
              <w:rPr>
                <w:color w:val="105C84"/>
                <w:spacing w:val="-8"/>
                <w:sz w:val="18"/>
              </w:rPr>
              <w:t> </w:t>
            </w:r>
            <w:r>
              <w:rPr>
                <w:color w:val="105C84"/>
                <w:sz w:val="18"/>
              </w:rPr>
              <w:t>of Seneca</w:t>
            </w:r>
            <w:r>
              <w:rPr>
                <w:color w:val="105C84"/>
                <w:spacing w:val="-1"/>
                <w:sz w:val="18"/>
              </w:rPr>
              <w:t> </w:t>
            </w:r>
            <w:r>
              <w:rPr>
                <w:color w:val="105C84"/>
                <w:sz w:val="18"/>
              </w:rPr>
              <w:t>County,</w:t>
            </w:r>
            <w:r>
              <w:rPr>
                <w:color w:val="105C84"/>
                <w:spacing w:val="-1"/>
                <w:sz w:val="18"/>
              </w:rPr>
              <w:t> </w:t>
            </w:r>
            <w:r>
              <w:rPr>
                <w:color w:val="105C84"/>
                <w:sz w:val="18"/>
              </w:rPr>
              <w:t>SC</w:t>
            </w:r>
            <w:r>
              <w:rPr>
                <w:color w:val="105C84"/>
                <w:spacing w:val="-1"/>
                <w:sz w:val="18"/>
              </w:rPr>
              <w:t> </w:t>
            </w:r>
            <w:r>
              <w:rPr>
                <w:color w:val="105C84"/>
                <w:sz w:val="18"/>
              </w:rPr>
              <w:t>Community Counseling Center and Seneca County Health Department -</w:t>
            </w:r>
          </w:p>
          <w:p>
            <w:pPr>
              <w:pStyle w:val="TableParagraph"/>
              <w:spacing w:line="232" w:lineRule="auto"/>
              <w:ind w:left="87" w:right="144"/>
              <w:rPr>
                <w:sz w:val="18"/>
              </w:rPr>
            </w:pPr>
            <w:r>
              <w:rPr>
                <w:color w:val="105C84"/>
                <w:sz w:val="18"/>
              </w:rPr>
              <w:t>.25 FTE Senior PHE-will be trained to deliver Gatekeeper training </w:t>
            </w:r>
            <w:r>
              <w:rPr>
                <w:color w:val="105C84"/>
                <w:sz w:val="18"/>
              </w:rPr>
              <w:t>Mor</w:t>
            </w:r>
            <w:r>
              <w:rPr>
                <w:color w:val="105C84"/>
                <w:sz w:val="18"/>
              </w:rPr>
              <w:t>e</w:t>
            </w:r>
            <w:r>
              <w:rPr>
                <w:color w:val="105C84"/>
                <w:sz w:val="18"/>
              </w:rPr>
              <w:t> than Sad and Talk Saves Lives</w:t>
            </w:r>
          </w:p>
          <w:p>
            <w:pPr>
              <w:pStyle w:val="TableParagraph"/>
              <w:spacing w:line="232" w:lineRule="auto" w:before="84"/>
              <w:ind w:left="87"/>
              <w:rPr>
                <w:sz w:val="18"/>
              </w:rPr>
            </w:pPr>
            <w:r>
              <w:rPr>
                <w:color w:val="105C84"/>
                <w:sz w:val="18"/>
              </w:rPr>
              <w:t>In</w:t>
            </w:r>
            <w:r>
              <w:rPr>
                <w:color w:val="105C84"/>
                <w:spacing w:val="-11"/>
                <w:sz w:val="18"/>
              </w:rPr>
              <w:t> </w:t>
            </w:r>
            <w:r>
              <w:rPr>
                <w:color w:val="105C84"/>
                <w:sz w:val="18"/>
              </w:rPr>
              <w:t>addition,</w:t>
            </w:r>
            <w:r>
              <w:rPr>
                <w:color w:val="105C84"/>
                <w:spacing w:val="-11"/>
                <w:sz w:val="18"/>
              </w:rPr>
              <w:t> </w:t>
            </w:r>
            <w:r>
              <w:rPr>
                <w:color w:val="105C84"/>
                <w:sz w:val="18"/>
              </w:rPr>
              <w:t>the</w:t>
            </w:r>
            <w:r>
              <w:rPr>
                <w:color w:val="105C84"/>
                <w:spacing w:val="-11"/>
                <w:sz w:val="18"/>
              </w:rPr>
              <w:t> </w:t>
            </w:r>
            <w:r>
              <w:rPr>
                <w:color w:val="105C84"/>
                <w:sz w:val="18"/>
              </w:rPr>
              <w:t>SR.</w:t>
            </w:r>
            <w:r>
              <w:rPr>
                <w:color w:val="105C84"/>
                <w:spacing w:val="-11"/>
                <w:sz w:val="18"/>
              </w:rPr>
              <w:t> </w:t>
            </w:r>
            <w:r>
              <w:rPr>
                <w:color w:val="105C84"/>
                <w:sz w:val="18"/>
              </w:rPr>
              <w:t>PHE</w:t>
            </w:r>
            <w:r>
              <w:rPr>
                <w:color w:val="105C84"/>
                <w:spacing w:val="-11"/>
                <w:sz w:val="18"/>
              </w:rPr>
              <w:t> </w:t>
            </w:r>
            <w:r>
              <w:rPr>
                <w:color w:val="105C84"/>
                <w:sz w:val="18"/>
              </w:rPr>
              <w:t>will</w:t>
            </w:r>
            <w:r>
              <w:rPr>
                <w:color w:val="105C84"/>
                <w:spacing w:val="-11"/>
                <w:sz w:val="18"/>
              </w:rPr>
              <w:t> </w:t>
            </w:r>
            <w:r>
              <w:rPr>
                <w:color w:val="105C84"/>
                <w:sz w:val="18"/>
              </w:rPr>
              <w:t>attend Suicide Coalition steering and outreach/education committee meetings and participate in events</w:t>
            </w:r>
          </w:p>
          <w:p>
            <w:pPr>
              <w:pStyle w:val="TableParagraph"/>
              <w:spacing w:line="232" w:lineRule="auto" w:before="87"/>
              <w:ind w:left="87" w:right="251"/>
              <w:jc w:val="both"/>
              <w:rPr>
                <w:sz w:val="18"/>
              </w:rPr>
            </w:pPr>
            <w:r>
              <w:rPr>
                <w:color w:val="105C84"/>
                <w:spacing w:val="-2"/>
                <w:sz w:val="18"/>
              </w:rPr>
              <w:t>.10</w:t>
            </w:r>
            <w:r>
              <w:rPr>
                <w:color w:val="105C84"/>
                <w:spacing w:val="-11"/>
                <w:sz w:val="18"/>
              </w:rPr>
              <w:t> </w:t>
            </w:r>
            <w:r>
              <w:rPr>
                <w:color w:val="105C84"/>
                <w:spacing w:val="-2"/>
                <w:sz w:val="18"/>
              </w:rPr>
              <w:t>FTE</w:t>
            </w:r>
            <w:r>
              <w:rPr>
                <w:color w:val="105C84"/>
                <w:spacing w:val="-10"/>
                <w:sz w:val="18"/>
              </w:rPr>
              <w:t> </w:t>
            </w:r>
            <w:r>
              <w:rPr>
                <w:color w:val="105C84"/>
                <w:spacing w:val="-2"/>
                <w:sz w:val="18"/>
              </w:rPr>
              <w:t>Seneca</w:t>
            </w:r>
            <w:r>
              <w:rPr>
                <w:color w:val="105C84"/>
                <w:spacing w:val="-11"/>
                <w:sz w:val="18"/>
              </w:rPr>
              <w:t> </w:t>
            </w:r>
            <w:r>
              <w:rPr>
                <w:color w:val="105C84"/>
                <w:spacing w:val="-2"/>
                <w:sz w:val="18"/>
              </w:rPr>
              <w:t>County</w:t>
            </w:r>
            <w:r>
              <w:rPr>
                <w:color w:val="105C84"/>
                <w:spacing w:val="-10"/>
                <w:sz w:val="18"/>
              </w:rPr>
              <w:t> </w:t>
            </w:r>
            <w:r>
              <w:rPr>
                <w:color w:val="105C84"/>
                <w:spacing w:val="-2"/>
                <w:sz w:val="18"/>
              </w:rPr>
              <w:t>United</w:t>
            </w:r>
            <w:r>
              <w:rPr>
                <w:color w:val="105C84"/>
                <w:spacing w:val="-11"/>
                <w:sz w:val="18"/>
              </w:rPr>
              <w:t> </w:t>
            </w:r>
            <w:r>
              <w:rPr>
                <w:color w:val="105C84"/>
                <w:spacing w:val="-2"/>
                <w:sz w:val="18"/>
              </w:rPr>
              <w:t>Wa</w:t>
            </w:r>
            <w:r>
              <w:rPr>
                <w:color w:val="105C84"/>
                <w:spacing w:val="-2"/>
                <w:sz w:val="18"/>
              </w:rPr>
              <w:t>y</w:t>
            </w:r>
            <w:r>
              <w:rPr>
                <w:color w:val="105C84"/>
                <w:spacing w:val="-2"/>
                <w:sz w:val="18"/>
              </w:rPr>
              <w:t> </w:t>
            </w:r>
            <w:r>
              <w:rPr>
                <w:color w:val="105C84"/>
                <w:sz w:val="18"/>
              </w:rPr>
              <w:t>staff</w:t>
            </w:r>
            <w:r>
              <w:rPr>
                <w:color w:val="105C84"/>
                <w:spacing w:val="-10"/>
                <w:sz w:val="18"/>
              </w:rPr>
              <w:t> </w:t>
            </w:r>
            <w:r>
              <w:rPr>
                <w:color w:val="105C84"/>
                <w:sz w:val="18"/>
              </w:rPr>
              <w:t>for</w:t>
            </w:r>
            <w:r>
              <w:rPr>
                <w:color w:val="105C84"/>
                <w:spacing w:val="-10"/>
                <w:sz w:val="18"/>
              </w:rPr>
              <w:t> </w:t>
            </w:r>
            <w:r>
              <w:rPr>
                <w:color w:val="105C84"/>
                <w:sz w:val="18"/>
              </w:rPr>
              <w:t>the</w:t>
            </w:r>
            <w:r>
              <w:rPr>
                <w:color w:val="105C84"/>
                <w:spacing w:val="-10"/>
                <w:sz w:val="18"/>
              </w:rPr>
              <w:t> </w:t>
            </w:r>
            <w:r>
              <w:rPr>
                <w:color w:val="105C84"/>
                <w:sz w:val="18"/>
              </w:rPr>
              <w:t>Seneca</w:t>
            </w:r>
            <w:r>
              <w:rPr>
                <w:color w:val="105C84"/>
                <w:spacing w:val="-10"/>
                <w:sz w:val="18"/>
              </w:rPr>
              <w:t> </w:t>
            </w:r>
            <w:r>
              <w:rPr>
                <w:color w:val="105C84"/>
                <w:sz w:val="18"/>
              </w:rPr>
              <w:t>County</w:t>
            </w:r>
            <w:r>
              <w:rPr>
                <w:color w:val="105C84"/>
                <w:spacing w:val="-10"/>
                <w:sz w:val="18"/>
              </w:rPr>
              <w:t> </w:t>
            </w:r>
            <w:r>
              <w:rPr>
                <w:color w:val="105C84"/>
                <w:sz w:val="18"/>
              </w:rPr>
              <w:t>Suicide </w:t>
            </w:r>
            <w:r>
              <w:rPr>
                <w:color w:val="105C84"/>
                <w:w w:val="105"/>
                <w:sz w:val="18"/>
              </w:rPr>
              <w:t>Coalition will provide training</w:t>
            </w:r>
          </w:p>
          <w:p>
            <w:pPr>
              <w:pStyle w:val="TableParagraph"/>
              <w:spacing w:line="232" w:lineRule="auto"/>
              <w:ind w:left="87"/>
              <w:rPr>
                <w:sz w:val="18"/>
              </w:rPr>
            </w:pPr>
            <w:r>
              <w:rPr>
                <w:color w:val="105C84"/>
                <w:sz w:val="18"/>
              </w:rPr>
              <w:t>for coalition members to deliver </w:t>
            </w:r>
            <w:r>
              <w:rPr>
                <w:color w:val="105C84"/>
                <w:spacing w:val="-4"/>
                <w:sz w:val="18"/>
              </w:rPr>
              <w:t>gateway</w:t>
            </w:r>
            <w:r>
              <w:rPr>
                <w:color w:val="105C84"/>
                <w:spacing w:val="-7"/>
                <w:sz w:val="18"/>
              </w:rPr>
              <w:t> </w:t>
            </w:r>
            <w:r>
              <w:rPr>
                <w:color w:val="105C84"/>
                <w:spacing w:val="-4"/>
                <w:sz w:val="18"/>
              </w:rPr>
              <w:t>training</w:t>
            </w:r>
            <w:r>
              <w:rPr>
                <w:color w:val="105C84"/>
                <w:spacing w:val="-7"/>
                <w:sz w:val="18"/>
              </w:rPr>
              <w:t> </w:t>
            </w:r>
            <w:r>
              <w:rPr>
                <w:color w:val="105C84"/>
                <w:spacing w:val="-4"/>
                <w:sz w:val="18"/>
              </w:rPr>
              <w:t>such</w:t>
            </w:r>
            <w:r>
              <w:rPr>
                <w:color w:val="105C84"/>
                <w:spacing w:val="-7"/>
                <w:sz w:val="18"/>
              </w:rPr>
              <w:t> </w:t>
            </w:r>
            <w:r>
              <w:rPr>
                <w:color w:val="105C84"/>
                <w:spacing w:val="-4"/>
                <w:sz w:val="18"/>
              </w:rPr>
              <w:t>as</w:t>
            </w:r>
            <w:r>
              <w:rPr>
                <w:color w:val="105C84"/>
                <w:spacing w:val="-7"/>
                <w:sz w:val="18"/>
              </w:rPr>
              <w:t> </w:t>
            </w:r>
            <w:r>
              <w:rPr>
                <w:color w:val="105C84"/>
                <w:spacing w:val="-4"/>
                <w:sz w:val="18"/>
              </w:rPr>
              <w:t>Talk</w:t>
            </w:r>
            <w:r>
              <w:rPr>
                <w:color w:val="105C84"/>
                <w:spacing w:val="-7"/>
                <w:sz w:val="18"/>
              </w:rPr>
              <w:t> </w:t>
            </w:r>
            <w:r>
              <w:rPr>
                <w:color w:val="105C84"/>
                <w:spacing w:val="-4"/>
                <w:sz w:val="18"/>
              </w:rPr>
              <w:t>Saves </w:t>
            </w:r>
            <w:r>
              <w:rPr>
                <w:color w:val="105C84"/>
                <w:sz w:val="18"/>
              </w:rPr>
              <w:t>Lives and More than Sad</w:t>
            </w:r>
          </w:p>
          <w:p>
            <w:pPr>
              <w:pStyle w:val="TableParagraph"/>
              <w:spacing w:line="232" w:lineRule="auto" w:before="85"/>
              <w:ind w:left="87" w:right="226"/>
              <w:rPr>
                <w:sz w:val="18"/>
              </w:rPr>
            </w:pPr>
            <w:r>
              <w:rPr>
                <w:color w:val="105C84"/>
                <w:sz w:val="18"/>
              </w:rPr>
              <w:t>Coalition</w:t>
            </w:r>
            <w:r>
              <w:rPr>
                <w:color w:val="105C84"/>
                <w:spacing w:val="-1"/>
                <w:sz w:val="18"/>
              </w:rPr>
              <w:t> </w:t>
            </w:r>
            <w:r>
              <w:rPr>
                <w:color w:val="105C84"/>
                <w:sz w:val="18"/>
              </w:rPr>
              <w:t>members</w:t>
            </w:r>
            <w:r>
              <w:rPr>
                <w:color w:val="105C84"/>
                <w:spacing w:val="-1"/>
                <w:sz w:val="18"/>
              </w:rPr>
              <w:t> </w:t>
            </w:r>
            <w:r>
              <w:rPr>
                <w:color w:val="105C84"/>
                <w:sz w:val="18"/>
              </w:rPr>
              <w:t>that</w:t>
            </w:r>
            <w:r>
              <w:rPr>
                <w:color w:val="105C84"/>
                <w:spacing w:val="-1"/>
                <w:sz w:val="18"/>
              </w:rPr>
              <w:t> </w:t>
            </w:r>
            <w:r>
              <w:rPr>
                <w:color w:val="105C84"/>
                <w:sz w:val="18"/>
              </w:rPr>
              <w:t>are</w:t>
            </w:r>
            <w:r>
              <w:rPr>
                <w:color w:val="105C84"/>
                <w:spacing w:val="-1"/>
                <w:sz w:val="18"/>
              </w:rPr>
              <w:t> </w:t>
            </w:r>
            <w:r>
              <w:rPr>
                <w:color w:val="105C84"/>
                <w:sz w:val="18"/>
              </w:rPr>
              <w:t>trained will deliver the programs in the </w:t>
            </w:r>
            <w:r>
              <w:rPr>
                <w:color w:val="105C84"/>
                <w:spacing w:val="-2"/>
                <w:sz w:val="18"/>
              </w:rPr>
              <w:t>community</w:t>
            </w:r>
          </w:p>
          <w:p>
            <w:pPr>
              <w:pStyle w:val="TableParagraph"/>
              <w:spacing w:line="232" w:lineRule="auto" w:before="88"/>
              <w:ind w:left="87"/>
              <w:rPr>
                <w:sz w:val="18"/>
              </w:rPr>
            </w:pPr>
            <w:r>
              <w:rPr>
                <w:color w:val="105C84"/>
                <w:sz w:val="18"/>
              </w:rPr>
              <w:t>The SC Suicide Coalition will participate in at least 1 awareness event</w:t>
            </w:r>
            <w:r>
              <w:rPr>
                <w:color w:val="105C84"/>
                <w:spacing w:val="-13"/>
                <w:sz w:val="18"/>
              </w:rPr>
              <w:t> </w:t>
            </w:r>
            <w:r>
              <w:rPr>
                <w:color w:val="105C84"/>
                <w:sz w:val="18"/>
              </w:rPr>
              <w:t>each</w:t>
            </w:r>
            <w:r>
              <w:rPr>
                <w:color w:val="105C84"/>
                <w:spacing w:val="-12"/>
                <w:sz w:val="18"/>
              </w:rPr>
              <w:t> </w:t>
            </w:r>
            <w:r>
              <w:rPr>
                <w:color w:val="105C84"/>
                <w:sz w:val="18"/>
              </w:rPr>
              <w:t>year</w:t>
            </w:r>
            <w:r>
              <w:rPr>
                <w:color w:val="105C84"/>
                <w:spacing w:val="-13"/>
                <w:sz w:val="18"/>
              </w:rPr>
              <w:t> </w:t>
            </w:r>
            <w:r>
              <w:rPr>
                <w:color w:val="105C84"/>
                <w:sz w:val="18"/>
              </w:rPr>
              <w:t>such</w:t>
            </w:r>
            <w:r>
              <w:rPr>
                <w:color w:val="105C84"/>
                <w:spacing w:val="-12"/>
                <w:sz w:val="18"/>
              </w:rPr>
              <w:t> </w:t>
            </w:r>
            <w:r>
              <w:rPr>
                <w:color w:val="105C84"/>
                <w:sz w:val="18"/>
              </w:rPr>
              <w:t>as</w:t>
            </w:r>
            <w:r>
              <w:rPr>
                <w:color w:val="105C84"/>
                <w:spacing w:val="-13"/>
                <w:sz w:val="18"/>
              </w:rPr>
              <w:t> </w:t>
            </w:r>
            <w:r>
              <w:rPr>
                <w:color w:val="105C84"/>
                <w:sz w:val="18"/>
              </w:rPr>
              <w:t>Walk</w:t>
            </w:r>
            <w:r>
              <w:rPr>
                <w:color w:val="105C84"/>
                <w:spacing w:val="-13"/>
                <w:sz w:val="18"/>
              </w:rPr>
              <w:t> </w:t>
            </w:r>
            <w:r>
              <w:rPr>
                <w:color w:val="105C84"/>
                <w:sz w:val="18"/>
              </w:rPr>
              <w:t>out</w:t>
            </w:r>
            <w:r>
              <w:rPr>
                <w:color w:val="105C84"/>
                <w:spacing w:val="-12"/>
                <w:sz w:val="18"/>
              </w:rPr>
              <w:t> </w:t>
            </w:r>
            <w:r>
              <w:rPr>
                <w:color w:val="105C84"/>
                <w:sz w:val="18"/>
              </w:rPr>
              <w:t>of </w:t>
            </w:r>
            <w:r>
              <w:rPr>
                <w:color w:val="105C84"/>
                <w:spacing w:val="-2"/>
                <w:sz w:val="18"/>
              </w:rPr>
              <w:t>Darkness</w:t>
            </w:r>
          </w:p>
          <w:p>
            <w:pPr>
              <w:pStyle w:val="TableParagraph"/>
              <w:spacing w:line="232" w:lineRule="auto" w:before="87"/>
              <w:ind w:left="87" w:right="78"/>
              <w:rPr>
                <w:sz w:val="18"/>
              </w:rPr>
            </w:pPr>
            <w:r>
              <w:rPr>
                <w:color w:val="105C84"/>
                <w:sz w:val="18"/>
              </w:rPr>
              <w:t>SC Suicide Prevention Coalition is working on developing </w:t>
            </w:r>
            <w:r>
              <w:rPr>
                <w:color w:val="105C84"/>
                <w:sz w:val="18"/>
              </w:rPr>
              <w:t>postvention strategies including training peers who have suffered loss to suicide</w:t>
            </w:r>
          </w:p>
        </w:tc>
      </w:tr>
    </w:tbl>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119"/>
        <w:rPr>
          <w:b/>
          <w:sz w:val="26"/>
        </w:rPr>
      </w:pPr>
    </w:p>
    <w:p>
      <w:pPr>
        <w:tabs>
          <w:tab w:pos="23047" w:val="left" w:leader="none"/>
        </w:tabs>
        <w:spacing w:before="0"/>
        <w:ind w:left="0" w:right="0" w:firstLine="0"/>
        <w:jc w:val="left"/>
        <w:rPr>
          <w:b/>
          <w:sz w:val="26"/>
        </w:rPr>
      </w:pPr>
      <w:r>
        <w:rPr>
          <w:position w:val="-4"/>
        </w:rPr>
        <w:drawing>
          <wp:inline distT="0" distB="0" distL="0" distR="0">
            <wp:extent cx="568172" cy="184683"/>
            <wp:effectExtent l="0" t="0" r="0" b="0"/>
            <wp:docPr id="1931" name="Image 1931"/>
            <wp:cNvGraphicFramePr>
              <a:graphicFrameLocks/>
            </wp:cNvGraphicFramePr>
            <a:graphic>
              <a:graphicData uri="http://schemas.openxmlformats.org/drawingml/2006/picture">
                <pic:pic>
                  <pic:nvPicPr>
                    <pic:cNvPr id="1931" name="Image 1931"/>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13"/>
          <w:sz w:val="20"/>
        </w:rPr>
        <w:t> </w:t>
      </w:r>
      <w:r>
        <w:rPr>
          <w:b/>
          <w:color w:val="939598"/>
          <w:w w:val="105"/>
          <w:sz w:val="26"/>
        </w:rPr>
        <w:t>189</w:t>
      </w:r>
      <w:r>
        <w:rPr>
          <w:b/>
          <w:color w:val="939598"/>
          <w:sz w:val="26"/>
        </w:rPr>
        <w:tab/>
      </w:r>
      <w:r>
        <w:rPr>
          <w:b/>
          <w:color w:val="939598"/>
          <w:spacing w:val="-5"/>
          <w:w w:val="105"/>
          <w:sz w:val="26"/>
        </w:rPr>
        <w:t>190</w:t>
      </w:r>
    </w:p>
    <w:p>
      <w:pPr>
        <w:spacing w:after="0"/>
        <w:jc w:val="left"/>
        <w:rPr>
          <w:b/>
          <w:sz w:val="26"/>
        </w:rPr>
        <w:sectPr>
          <w:pgSz w:w="24480" w:h="15840" w:orient="landscape"/>
          <w:pgMar w:header="0" w:footer="0" w:top="860" w:bottom="0" w:left="0" w:right="720"/>
        </w:sectPr>
      </w:pPr>
    </w:p>
    <w:p>
      <w:pPr>
        <w:pStyle w:val="Heading2"/>
        <w:spacing w:before="609"/>
      </w:pPr>
      <w:r>
        <w:rPr/>
        <w:drawing>
          <wp:anchor distT="0" distB="0" distL="0" distR="0" allowOverlap="1" layoutInCell="1" locked="0" behindDoc="0" simplePos="0" relativeHeight="15992320">
            <wp:simplePos x="0" y="0"/>
            <wp:positionH relativeFrom="page">
              <wp:posOffset>14981556</wp:posOffset>
            </wp:positionH>
            <wp:positionV relativeFrom="page">
              <wp:posOffset>9668103</wp:posOffset>
            </wp:positionV>
            <wp:extent cx="563245" cy="184683"/>
            <wp:effectExtent l="0" t="0" r="0" b="0"/>
            <wp:wrapNone/>
            <wp:docPr id="1937" name="Image 1937"/>
            <wp:cNvGraphicFramePr>
              <a:graphicFrameLocks/>
            </wp:cNvGraphicFramePr>
            <a:graphic>
              <a:graphicData uri="http://schemas.openxmlformats.org/drawingml/2006/picture">
                <pic:pic>
                  <pic:nvPicPr>
                    <pic:cNvPr id="1937" name="Image 1937"/>
                    <pic:cNvPicPr/>
                  </pic:nvPicPr>
                  <pic:blipFill>
                    <a:blip r:embed="rId38" cstate="print"/>
                    <a:stretch>
                      <a:fillRect/>
                    </a:stretch>
                  </pic:blipFill>
                  <pic:spPr>
                    <a:xfrm>
                      <a:off x="0" y="0"/>
                      <a:ext cx="563245" cy="184683"/>
                    </a:xfrm>
                    <a:prstGeom prst="rect">
                      <a:avLst/>
                    </a:prstGeom>
                  </pic:spPr>
                </pic:pic>
              </a:graphicData>
            </a:graphic>
          </wp:anchor>
        </w:drawing>
      </w:r>
      <w:r>
        <w:rPr/>
        <w:drawing>
          <wp:anchor distT="0" distB="0" distL="0" distR="0" allowOverlap="1" layoutInCell="1" locked="0" behindDoc="0" simplePos="0" relativeHeight="15992832">
            <wp:simplePos x="0" y="0"/>
            <wp:positionH relativeFrom="page">
              <wp:posOffset>14298866</wp:posOffset>
            </wp:positionH>
            <wp:positionV relativeFrom="paragraph">
              <wp:posOffset>333089</wp:posOffset>
            </wp:positionV>
            <wp:extent cx="552068" cy="591502"/>
            <wp:effectExtent l="0" t="0" r="0" b="0"/>
            <wp:wrapNone/>
            <wp:docPr id="1938" name="Image 1938"/>
            <wp:cNvGraphicFramePr>
              <a:graphicFrameLocks/>
            </wp:cNvGraphicFramePr>
            <a:graphic>
              <a:graphicData uri="http://schemas.openxmlformats.org/drawingml/2006/picture">
                <pic:pic>
                  <pic:nvPicPr>
                    <pic:cNvPr id="1938" name="Image 1938"/>
                    <pic:cNvPicPr/>
                  </pic:nvPicPr>
                  <pic:blipFill>
                    <a:blip r:embed="rId259" cstate="print"/>
                    <a:stretch>
                      <a:fillRect/>
                    </a:stretch>
                  </pic:blipFill>
                  <pic:spPr>
                    <a:xfrm>
                      <a:off x="0" y="0"/>
                      <a:ext cx="552068" cy="591502"/>
                    </a:xfrm>
                    <a:prstGeom prst="rect">
                      <a:avLst/>
                    </a:prstGeom>
                  </pic:spPr>
                </pic:pic>
              </a:graphicData>
            </a:graphic>
          </wp:anchor>
        </w:drawing>
      </w:r>
      <w:r>
        <w:rPr/>
        <w:drawing>
          <wp:anchor distT="0" distB="0" distL="0" distR="0" allowOverlap="1" layoutInCell="1" locked="0" behindDoc="0" simplePos="0" relativeHeight="15993344">
            <wp:simplePos x="0" y="0"/>
            <wp:positionH relativeFrom="page">
              <wp:posOffset>11596623</wp:posOffset>
            </wp:positionH>
            <wp:positionV relativeFrom="paragraph">
              <wp:posOffset>330783</wp:posOffset>
            </wp:positionV>
            <wp:extent cx="1311661" cy="345815"/>
            <wp:effectExtent l="0" t="0" r="0" b="0"/>
            <wp:wrapNone/>
            <wp:docPr id="1939" name="Image 1939"/>
            <wp:cNvGraphicFramePr>
              <a:graphicFrameLocks/>
            </wp:cNvGraphicFramePr>
            <a:graphic>
              <a:graphicData uri="http://schemas.openxmlformats.org/drawingml/2006/picture">
                <pic:pic>
                  <pic:nvPicPr>
                    <pic:cNvPr id="1939" name="Image 1939"/>
                    <pic:cNvPicPr/>
                  </pic:nvPicPr>
                  <pic:blipFill>
                    <a:blip r:embed="rId260" cstate="print"/>
                    <a:stretch>
                      <a:fillRect/>
                    </a:stretch>
                  </pic:blipFill>
                  <pic:spPr>
                    <a:xfrm>
                      <a:off x="0" y="0"/>
                      <a:ext cx="1311661" cy="345815"/>
                    </a:xfrm>
                    <a:prstGeom prst="rect">
                      <a:avLst/>
                    </a:prstGeom>
                  </pic:spPr>
                </pic:pic>
              </a:graphicData>
            </a:graphic>
          </wp:anchor>
        </w:drawing>
      </w:r>
      <w:r>
        <w:rPr/>
        <w:drawing>
          <wp:anchor distT="0" distB="0" distL="0" distR="0" allowOverlap="1" layoutInCell="1" locked="0" behindDoc="0" simplePos="0" relativeHeight="15993856">
            <wp:simplePos x="0" y="0"/>
            <wp:positionH relativeFrom="page">
              <wp:posOffset>13088996</wp:posOffset>
            </wp:positionH>
            <wp:positionV relativeFrom="paragraph">
              <wp:posOffset>323398</wp:posOffset>
            </wp:positionV>
            <wp:extent cx="1063929" cy="302976"/>
            <wp:effectExtent l="0" t="0" r="0" b="0"/>
            <wp:wrapNone/>
            <wp:docPr id="1940" name="Image 1940"/>
            <wp:cNvGraphicFramePr>
              <a:graphicFrameLocks/>
            </wp:cNvGraphicFramePr>
            <a:graphic>
              <a:graphicData uri="http://schemas.openxmlformats.org/drawingml/2006/picture">
                <pic:pic>
                  <pic:nvPicPr>
                    <pic:cNvPr id="1940" name="Image 1940"/>
                    <pic:cNvPicPr/>
                  </pic:nvPicPr>
                  <pic:blipFill>
                    <a:blip r:embed="rId261" cstate="print"/>
                    <a:stretch>
                      <a:fillRect/>
                    </a:stretch>
                  </pic:blipFill>
                  <pic:spPr>
                    <a:xfrm>
                      <a:off x="0" y="0"/>
                      <a:ext cx="1063929" cy="302976"/>
                    </a:xfrm>
                    <a:prstGeom prst="rect">
                      <a:avLst/>
                    </a:prstGeom>
                  </pic:spPr>
                </pic:pic>
              </a:graphicData>
            </a:graphic>
          </wp:anchor>
        </w:drawing>
      </w:r>
      <w:r>
        <w:rPr/>
        <w:drawing>
          <wp:anchor distT="0" distB="0" distL="0" distR="0" allowOverlap="1" layoutInCell="1" locked="0" behindDoc="0" simplePos="0" relativeHeight="15994368">
            <wp:simplePos x="0" y="0"/>
            <wp:positionH relativeFrom="page">
              <wp:posOffset>11099800</wp:posOffset>
            </wp:positionH>
            <wp:positionV relativeFrom="paragraph">
              <wp:posOffset>279907</wp:posOffset>
            </wp:positionV>
            <wp:extent cx="330199" cy="393699"/>
            <wp:effectExtent l="0" t="0" r="0" b="0"/>
            <wp:wrapNone/>
            <wp:docPr id="1941" name="Image 1941"/>
            <wp:cNvGraphicFramePr>
              <a:graphicFrameLocks/>
            </wp:cNvGraphicFramePr>
            <a:graphic>
              <a:graphicData uri="http://schemas.openxmlformats.org/drawingml/2006/picture">
                <pic:pic>
                  <pic:nvPicPr>
                    <pic:cNvPr id="1941" name="Image 1941"/>
                    <pic:cNvPicPr/>
                  </pic:nvPicPr>
                  <pic:blipFill>
                    <a:blip r:embed="rId262" cstate="print"/>
                    <a:stretch>
                      <a:fillRect/>
                    </a:stretch>
                  </pic:blipFill>
                  <pic:spPr>
                    <a:xfrm>
                      <a:off x="0" y="0"/>
                      <a:ext cx="330199" cy="393699"/>
                    </a:xfrm>
                    <a:prstGeom prst="rect">
                      <a:avLst/>
                    </a:prstGeom>
                  </pic:spPr>
                </pic:pic>
              </a:graphicData>
            </a:graphic>
          </wp:anchor>
        </w:drawing>
      </w:r>
      <w:r>
        <w:rPr/>
        <w:drawing>
          <wp:anchor distT="0" distB="0" distL="0" distR="0" allowOverlap="1" layoutInCell="1" locked="0" behindDoc="0" simplePos="0" relativeHeight="15994880">
            <wp:simplePos x="0" y="0"/>
            <wp:positionH relativeFrom="page">
              <wp:posOffset>9610343</wp:posOffset>
            </wp:positionH>
            <wp:positionV relativeFrom="paragraph">
              <wp:posOffset>374444</wp:posOffset>
            </wp:positionV>
            <wp:extent cx="1279782" cy="224523"/>
            <wp:effectExtent l="0" t="0" r="0" b="0"/>
            <wp:wrapNone/>
            <wp:docPr id="1942" name="Image 1942"/>
            <wp:cNvGraphicFramePr>
              <a:graphicFrameLocks/>
            </wp:cNvGraphicFramePr>
            <a:graphic>
              <a:graphicData uri="http://schemas.openxmlformats.org/drawingml/2006/picture">
                <pic:pic>
                  <pic:nvPicPr>
                    <pic:cNvPr id="1942" name="Image 1942"/>
                    <pic:cNvPicPr/>
                  </pic:nvPicPr>
                  <pic:blipFill>
                    <a:blip r:embed="rId263" cstate="print"/>
                    <a:stretch>
                      <a:fillRect/>
                    </a:stretch>
                  </pic:blipFill>
                  <pic:spPr>
                    <a:xfrm>
                      <a:off x="0" y="0"/>
                      <a:ext cx="1279782" cy="224523"/>
                    </a:xfrm>
                    <a:prstGeom prst="rect">
                      <a:avLst/>
                    </a:prstGeom>
                  </pic:spPr>
                </pic:pic>
              </a:graphicData>
            </a:graphic>
          </wp:anchor>
        </w:drawing>
      </w:r>
      <w:bookmarkStart w:name="_TOC_250002" w:id="17"/>
      <w:r>
        <w:rPr>
          <w:color w:val="636466"/>
        </w:rPr>
        <w:t>Steuben</w:t>
      </w:r>
      <w:r>
        <w:rPr>
          <w:color w:val="636466"/>
          <w:spacing w:val="54"/>
        </w:rPr>
        <w:t> </w:t>
      </w:r>
      <w:r>
        <w:rPr>
          <w:color w:val="636466"/>
        </w:rPr>
        <w:t>County</w:t>
      </w:r>
      <w:r>
        <w:rPr>
          <w:color w:val="636466"/>
          <w:spacing w:val="55"/>
        </w:rPr>
        <w:t> </w:t>
      </w:r>
      <w:r>
        <w:rPr>
          <w:color w:val="636466"/>
        </w:rPr>
        <w:t>Appendix</w:t>
      </w:r>
      <w:r>
        <w:rPr>
          <w:color w:val="636466"/>
          <w:spacing w:val="54"/>
        </w:rPr>
        <w:t> </w:t>
      </w:r>
      <w:bookmarkEnd w:id="17"/>
      <w:r>
        <w:rPr>
          <w:color w:val="636466"/>
          <w:spacing w:val="-10"/>
        </w:rPr>
        <w:t>F</w:t>
      </w:r>
    </w:p>
    <w:p>
      <w:pPr>
        <w:spacing w:before="236"/>
        <w:ind w:left="1089" w:right="0" w:firstLine="0"/>
        <w:jc w:val="left"/>
        <w:rPr>
          <w:b/>
          <w:sz w:val="32"/>
        </w:rPr>
      </w:pPr>
      <w:r>
        <w:rPr>
          <w:b/>
          <w:color w:val="82BF6A"/>
          <w:spacing w:val="-6"/>
          <w:sz w:val="32"/>
        </w:rPr>
        <w:t>PRIORITY:</w:t>
      </w:r>
      <w:r>
        <w:rPr>
          <w:b/>
          <w:color w:val="82BF6A"/>
          <w:spacing w:val="-13"/>
          <w:sz w:val="32"/>
        </w:rPr>
        <w:t> </w:t>
      </w:r>
      <w:r>
        <w:rPr>
          <w:b/>
          <w:color w:val="82BF6A"/>
          <w:spacing w:val="-6"/>
          <w:sz w:val="32"/>
        </w:rPr>
        <w:t>PREVENT</w:t>
      </w:r>
      <w:r>
        <w:rPr>
          <w:b/>
          <w:color w:val="82BF6A"/>
          <w:spacing w:val="-13"/>
          <w:sz w:val="32"/>
        </w:rPr>
        <w:t> </w:t>
      </w:r>
      <w:r>
        <w:rPr>
          <w:b/>
          <w:color w:val="82BF6A"/>
          <w:spacing w:val="-6"/>
          <w:sz w:val="32"/>
        </w:rPr>
        <w:t>CHRONIC</w:t>
      </w:r>
      <w:r>
        <w:rPr>
          <w:b/>
          <w:color w:val="82BF6A"/>
          <w:spacing w:val="-13"/>
          <w:sz w:val="32"/>
        </w:rPr>
        <w:t> </w:t>
      </w:r>
      <w:r>
        <w:rPr>
          <w:b/>
          <w:color w:val="82BF6A"/>
          <w:spacing w:val="-6"/>
          <w:sz w:val="32"/>
        </w:rPr>
        <w:t>DISEASES</w:t>
      </w:r>
    </w:p>
    <w:p>
      <w:pPr>
        <w:pStyle w:val="BodyText"/>
        <w:spacing w:before="162"/>
        <w:rPr>
          <w:b/>
          <w:sz w:val="20"/>
        </w:rPr>
      </w:pPr>
    </w:p>
    <w:tbl>
      <w:tblPr>
        <w:tblW w:w="0" w:type="auto"/>
        <w:jc w:val="left"/>
        <w:tblInd w:w="1099"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1180"/>
        <w:gridCol w:w="1353"/>
        <w:gridCol w:w="1209"/>
        <w:gridCol w:w="1605"/>
        <w:gridCol w:w="1065"/>
        <w:gridCol w:w="1936"/>
        <w:gridCol w:w="2893"/>
        <w:gridCol w:w="2901"/>
        <w:gridCol w:w="2534"/>
        <w:gridCol w:w="2368"/>
        <w:gridCol w:w="1497"/>
        <w:gridCol w:w="1787"/>
      </w:tblGrid>
      <w:tr>
        <w:trPr>
          <w:trHeight w:val="930" w:hRule="atLeast"/>
        </w:trPr>
        <w:tc>
          <w:tcPr>
            <w:tcW w:w="1180" w:type="dxa"/>
            <w:tcBorders>
              <w:right w:val="single" w:sz="4" w:space="0" w:color="FFFFFF"/>
            </w:tcBorders>
            <w:shd w:val="clear" w:color="auto" w:fill="A7A9AC"/>
          </w:tcPr>
          <w:p>
            <w:pPr>
              <w:pStyle w:val="TableParagraph"/>
              <w:spacing w:before="179"/>
              <w:rPr>
                <w:b/>
                <w:sz w:val="18"/>
              </w:rPr>
            </w:pPr>
          </w:p>
          <w:p>
            <w:pPr>
              <w:pStyle w:val="TableParagraph"/>
              <w:ind w:left="79"/>
              <w:rPr>
                <w:b/>
                <w:sz w:val="18"/>
              </w:rPr>
            </w:pPr>
            <w:r>
              <w:rPr>
                <w:b/>
                <w:color w:val="FFFFFF"/>
                <w:spacing w:val="-2"/>
                <w:sz w:val="18"/>
              </w:rPr>
              <w:t>Priority</w:t>
            </w:r>
          </w:p>
        </w:tc>
        <w:tc>
          <w:tcPr>
            <w:tcW w:w="1353" w:type="dxa"/>
            <w:tcBorders>
              <w:left w:val="single" w:sz="4" w:space="0" w:color="FFFFFF"/>
              <w:right w:val="single" w:sz="4" w:space="0" w:color="FFFFFF"/>
            </w:tcBorders>
            <w:shd w:val="clear" w:color="auto" w:fill="A7A9AC"/>
          </w:tcPr>
          <w:p>
            <w:pPr>
              <w:pStyle w:val="TableParagraph"/>
              <w:spacing w:before="179"/>
              <w:rPr>
                <w:b/>
                <w:sz w:val="18"/>
              </w:rPr>
            </w:pPr>
          </w:p>
          <w:p>
            <w:pPr>
              <w:pStyle w:val="TableParagraph"/>
              <w:ind w:left="80"/>
              <w:rPr>
                <w:b/>
                <w:sz w:val="18"/>
              </w:rPr>
            </w:pPr>
            <w:r>
              <w:rPr>
                <w:b/>
                <w:color w:val="FFFFFF"/>
                <w:w w:val="90"/>
                <w:sz w:val="18"/>
              </w:rPr>
              <w:t>Focus</w:t>
            </w:r>
            <w:r>
              <w:rPr>
                <w:b/>
                <w:color w:val="FFFFFF"/>
                <w:spacing w:val="8"/>
                <w:sz w:val="18"/>
              </w:rPr>
              <w:t> </w:t>
            </w:r>
            <w:r>
              <w:rPr>
                <w:b/>
                <w:color w:val="FFFFFF"/>
                <w:spacing w:val="-4"/>
                <w:sz w:val="18"/>
              </w:rPr>
              <w:t>Area</w:t>
            </w:r>
          </w:p>
        </w:tc>
        <w:tc>
          <w:tcPr>
            <w:tcW w:w="1209" w:type="dxa"/>
            <w:tcBorders>
              <w:left w:val="single" w:sz="4" w:space="0" w:color="FFFFFF"/>
              <w:right w:val="single" w:sz="4" w:space="0" w:color="FFFFFF"/>
            </w:tcBorders>
            <w:shd w:val="clear" w:color="auto" w:fill="A7A9AC"/>
          </w:tcPr>
          <w:p>
            <w:pPr>
              <w:pStyle w:val="TableParagraph"/>
              <w:spacing w:before="84"/>
              <w:rPr>
                <w:b/>
                <w:sz w:val="18"/>
              </w:rPr>
            </w:pPr>
          </w:p>
          <w:p>
            <w:pPr>
              <w:pStyle w:val="TableParagraph"/>
              <w:spacing w:line="232" w:lineRule="auto"/>
              <w:ind w:left="81" w:right="178"/>
              <w:rPr>
                <w:b/>
                <w:sz w:val="18"/>
              </w:rPr>
            </w:pPr>
            <w:r>
              <w:rPr>
                <w:b/>
                <w:color w:val="FFFFFF"/>
                <w:spacing w:val="-6"/>
                <w:sz w:val="18"/>
              </w:rPr>
              <w:t>Goal</w:t>
            </w:r>
            <w:r>
              <w:rPr>
                <w:b/>
                <w:color w:val="FFFFFF"/>
                <w:spacing w:val="-7"/>
                <w:sz w:val="18"/>
              </w:rPr>
              <w:t> </w:t>
            </w:r>
            <w:r>
              <w:rPr>
                <w:b/>
                <w:color w:val="FFFFFF"/>
                <w:spacing w:val="-6"/>
                <w:sz w:val="18"/>
              </w:rPr>
              <w:t>Focus </w:t>
            </w:r>
            <w:r>
              <w:rPr>
                <w:b/>
                <w:color w:val="FFFFFF"/>
                <w:spacing w:val="-4"/>
                <w:sz w:val="18"/>
              </w:rPr>
              <w:t>Area</w:t>
            </w:r>
          </w:p>
        </w:tc>
        <w:tc>
          <w:tcPr>
            <w:tcW w:w="1605" w:type="dxa"/>
            <w:tcBorders>
              <w:left w:val="single" w:sz="4" w:space="0" w:color="FFFFFF"/>
              <w:right w:val="single" w:sz="4" w:space="0" w:color="FFFFFF"/>
            </w:tcBorders>
            <w:shd w:val="clear" w:color="auto" w:fill="A7A9AC"/>
          </w:tcPr>
          <w:p>
            <w:pPr>
              <w:pStyle w:val="TableParagraph"/>
              <w:spacing w:before="179"/>
              <w:rPr>
                <w:b/>
                <w:sz w:val="18"/>
              </w:rPr>
            </w:pPr>
          </w:p>
          <w:p>
            <w:pPr>
              <w:pStyle w:val="TableParagraph"/>
              <w:ind w:left="81"/>
              <w:rPr>
                <w:b/>
                <w:sz w:val="18"/>
              </w:rPr>
            </w:pPr>
            <w:r>
              <w:rPr>
                <w:b/>
                <w:color w:val="FFFFFF"/>
                <w:spacing w:val="-2"/>
                <w:sz w:val="18"/>
              </w:rPr>
              <w:t>Objectives</w:t>
            </w:r>
          </w:p>
        </w:tc>
        <w:tc>
          <w:tcPr>
            <w:tcW w:w="1065" w:type="dxa"/>
            <w:tcBorders>
              <w:left w:val="single" w:sz="4" w:space="0" w:color="FFFFFF"/>
              <w:right w:val="single" w:sz="4" w:space="0" w:color="FFFFFF"/>
            </w:tcBorders>
            <w:shd w:val="clear" w:color="auto" w:fill="A7A9AC"/>
          </w:tcPr>
          <w:p>
            <w:pPr>
              <w:pStyle w:val="TableParagraph"/>
              <w:spacing w:before="179"/>
              <w:rPr>
                <w:b/>
                <w:sz w:val="18"/>
              </w:rPr>
            </w:pPr>
          </w:p>
          <w:p>
            <w:pPr>
              <w:pStyle w:val="TableParagraph"/>
              <w:ind w:left="82"/>
              <w:rPr>
                <w:b/>
                <w:sz w:val="18"/>
              </w:rPr>
            </w:pPr>
            <w:r>
              <w:rPr>
                <w:b/>
                <w:color w:val="FFFFFF"/>
                <w:spacing w:val="-2"/>
                <w:sz w:val="18"/>
              </w:rPr>
              <w:t>Disparities</w:t>
            </w:r>
          </w:p>
        </w:tc>
        <w:tc>
          <w:tcPr>
            <w:tcW w:w="1936" w:type="dxa"/>
            <w:tcBorders>
              <w:left w:val="single" w:sz="4" w:space="0" w:color="FFFFFF"/>
              <w:right w:val="single" w:sz="4" w:space="0" w:color="FFFFFF"/>
            </w:tcBorders>
            <w:shd w:val="clear" w:color="auto" w:fill="A7A9AC"/>
          </w:tcPr>
          <w:p>
            <w:pPr>
              <w:pStyle w:val="TableParagraph"/>
              <w:spacing w:before="179"/>
              <w:rPr>
                <w:b/>
                <w:sz w:val="18"/>
              </w:rPr>
            </w:pPr>
          </w:p>
          <w:p>
            <w:pPr>
              <w:pStyle w:val="TableParagraph"/>
              <w:ind w:left="82"/>
              <w:rPr>
                <w:b/>
                <w:sz w:val="18"/>
              </w:rPr>
            </w:pPr>
            <w:r>
              <w:rPr>
                <w:b/>
                <w:color w:val="FFFFFF"/>
                <w:spacing w:val="-2"/>
                <w:sz w:val="18"/>
              </w:rPr>
              <w:t>Interventions</w:t>
            </w:r>
          </w:p>
        </w:tc>
        <w:tc>
          <w:tcPr>
            <w:tcW w:w="2893" w:type="dxa"/>
            <w:tcBorders>
              <w:left w:val="single" w:sz="4" w:space="0" w:color="FFFFFF"/>
              <w:right w:val="nil"/>
            </w:tcBorders>
            <w:shd w:val="clear" w:color="auto" w:fill="A7A9AC"/>
          </w:tcPr>
          <w:p>
            <w:pPr>
              <w:pStyle w:val="TableParagraph"/>
              <w:spacing w:before="179"/>
              <w:rPr>
                <w:b/>
                <w:sz w:val="18"/>
              </w:rPr>
            </w:pPr>
          </w:p>
          <w:p>
            <w:pPr>
              <w:pStyle w:val="TableParagraph"/>
              <w:ind w:left="93"/>
              <w:rPr>
                <w:b/>
                <w:sz w:val="18"/>
              </w:rPr>
            </w:pPr>
            <w:r>
              <w:rPr>
                <w:b/>
                <w:color w:val="FFFFFF"/>
                <w:sz w:val="18"/>
              </w:rPr>
              <w:t>Family</w:t>
            </w:r>
            <w:r>
              <w:rPr>
                <w:b/>
                <w:color w:val="FFFFFF"/>
                <w:spacing w:val="-11"/>
                <w:sz w:val="18"/>
              </w:rPr>
              <w:t> </w:t>
            </w:r>
            <w:r>
              <w:rPr>
                <w:b/>
                <w:color w:val="FFFFFF"/>
                <w:sz w:val="18"/>
              </w:rPr>
              <w:t>of</w:t>
            </w:r>
            <w:r>
              <w:rPr>
                <w:b/>
                <w:color w:val="FFFFFF"/>
                <w:spacing w:val="-10"/>
                <w:sz w:val="18"/>
              </w:rPr>
              <w:t> </w:t>
            </w:r>
            <w:r>
              <w:rPr>
                <w:b/>
                <w:color w:val="FFFFFF"/>
                <w:spacing w:val="-2"/>
                <w:sz w:val="18"/>
              </w:rPr>
              <w:t>Measures</w:t>
            </w:r>
          </w:p>
        </w:tc>
        <w:tc>
          <w:tcPr>
            <w:tcW w:w="2901" w:type="dxa"/>
            <w:tcBorders>
              <w:left w:val="nil"/>
              <w:right w:val="single" w:sz="4" w:space="0" w:color="FFFFFF"/>
            </w:tcBorders>
            <w:shd w:val="clear" w:color="auto" w:fill="A7A9AC"/>
          </w:tcPr>
          <w:p>
            <w:pPr>
              <w:pStyle w:val="TableParagraph"/>
              <w:spacing w:line="232" w:lineRule="auto" w:before="191"/>
              <w:ind w:left="1003"/>
              <w:rPr>
                <w:b/>
                <w:sz w:val="18"/>
              </w:rPr>
            </w:pPr>
            <w:r>
              <w:rPr>
                <w:b/>
                <w:color w:val="FFFFFF"/>
                <w:spacing w:val="-2"/>
                <w:sz w:val="18"/>
              </w:rPr>
              <w:t>Projected</w:t>
            </w:r>
            <w:r>
              <w:rPr>
                <w:b/>
                <w:color w:val="FFFFFF"/>
                <w:spacing w:val="-11"/>
                <w:sz w:val="18"/>
              </w:rPr>
              <w:t> </w:t>
            </w:r>
            <w:r>
              <w:rPr>
                <w:b/>
                <w:color w:val="FFFFFF"/>
                <w:spacing w:val="-2"/>
                <w:sz w:val="18"/>
              </w:rPr>
              <w:t>(or completed)</w:t>
            </w:r>
          </w:p>
          <w:p>
            <w:pPr>
              <w:pStyle w:val="TableParagraph"/>
              <w:spacing w:line="200" w:lineRule="exact"/>
              <w:ind w:left="1003"/>
              <w:rPr>
                <w:b/>
                <w:sz w:val="18"/>
              </w:rPr>
            </w:pPr>
            <w:r>
              <w:rPr>
                <w:b/>
                <w:color w:val="FFFFFF"/>
                <w:sz w:val="18"/>
              </w:rPr>
              <w:t>Year</w:t>
            </w:r>
            <w:r>
              <w:rPr>
                <w:b/>
                <w:color w:val="FFFFFF"/>
                <w:spacing w:val="-8"/>
                <w:sz w:val="18"/>
              </w:rPr>
              <w:t> </w:t>
            </w:r>
            <w:r>
              <w:rPr>
                <w:b/>
                <w:color w:val="FFFFFF"/>
                <w:sz w:val="18"/>
              </w:rPr>
              <w:t>1</w:t>
            </w:r>
            <w:r>
              <w:rPr>
                <w:b/>
                <w:color w:val="FFFFFF"/>
                <w:spacing w:val="-7"/>
                <w:sz w:val="18"/>
              </w:rPr>
              <w:t> </w:t>
            </w:r>
            <w:r>
              <w:rPr>
                <w:b/>
                <w:color w:val="FFFFFF"/>
                <w:spacing w:val="-2"/>
                <w:sz w:val="18"/>
              </w:rPr>
              <w:t>Intervention</w:t>
            </w:r>
          </w:p>
        </w:tc>
        <w:tc>
          <w:tcPr>
            <w:tcW w:w="2534" w:type="dxa"/>
            <w:tcBorders>
              <w:left w:val="single" w:sz="4" w:space="0" w:color="FFFFFF"/>
              <w:right w:val="single" w:sz="4" w:space="0" w:color="FFFFFF"/>
            </w:tcBorders>
            <w:shd w:val="clear" w:color="auto" w:fill="A7A9AC"/>
          </w:tcPr>
          <w:p>
            <w:pPr>
              <w:pStyle w:val="TableParagraph"/>
              <w:spacing w:before="179"/>
              <w:rPr>
                <w:b/>
                <w:sz w:val="18"/>
              </w:rPr>
            </w:pPr>
          </w:p>
          <w:p>
            <w:pPr>
              <w:pStyle w:val="TableParagraph"/>
              <w:ind w:left="85"/>
              <w:rPr>
                <w:b/>
                <w:sz w:val="18"/>
              </w:rPr>
            </w:pPr>
            <w:r>
              <w:rPr>
                <w:b/>
                <w:color w:val="FFFFFF"/>
                <w:spacing w:val="-2"/>
                <w:sz w:val="18"/>
              </w:rPr>
              <w:t>Projected</w:t>
            </w:r>
            <w:r>
              <w:rPr>
                <w:b/>
                <w:color w:val="FFFFFF"/>
                <w:spacing w:val="-6"/>
                <w:sz w:val="18"/>
              </w:rPr>
              <w:t> </w:t>
            </w:r>
            <w:r>
              <w:rPr>
                <w:b/>
                <w:color w:val="FFFFFF"/>
                <w:spacing w:val="-2"/>
                <w:sz w:val="18"/>
              </w:rPr>
              <w:t>Year</w:t>
            </w:r>
            <w:r>
              <w:rPr>
                <w:b/>
                <w:color w:val="FFFFFF"/>
                <w:spacing w:val="-5"/>
                <w:sz w:val="18"/>
              </w:rPr>
              <w:t> </w:t>
            </w:r>
            <w:r>
              <w:rPr>
                <w:b/>
                <w:color w:val="FFFFFF"/>
                <w:spacing w:val="-12"/>
                <w:sz w:val="18"/>
              </w:rPr>
              <w:t>2</w:t>
            </w:r>
          </w:p>
        </w:tc>
        <w:tc>
          <w:tcPr>
            <w:tcW w:w="2368" w:type="dxa"/>
            <w:tcBorders>
              <w:left w:val="single" w:sz="4" w:space="0" w:color="FFFFFF"/>
              <w:right w:val="single" w:sz="4" w:space="0" w:color="FFFFFF"/>
            </w:tcBorders>
            <w:shd w:val="clear" w:color="auto" w:fill="A7A9AC"/>
          </w:tcPr>
          <w:p>
            <w:pPr>
              <w:pStyle w:val="TableParagraph"/>
              <w:spacing w:before="83"/>
              <w:rPr>
                <w:b/>
                <w:sz w:val="18"/>
              </w:rPr>
            </w:pPr>
          </w:p>
          <w:p>
            <w:pPr>
              <w:pStyle w:val="TableParagraph"/>
              <w:spacing w:line="232" w:lineRule="auto" w:before="1"/>
              <w:ind w:left="86"/>
              <w:rPr>
                <w:b/>
                <w:sz w:val="18"/>
              </w:rPr>
            </w:pPr>
            <w:r>
              <w:rPr>
                <w:b/>
                <w:color w:val="FFFFFF"/>
                <w:spacing w:val="-2"/>
                <w:sz w:val="18"/>
              </w:rPr>
              <w:t>Projected</w:t>
            </w:r>
            <w:r>
              <w:rPr>
                <w:b/>
                <w:color w:val="FFFFFF"/>
                <w:spacing w:val="-13"/>
                <w:sz w:val="18"/>
              </w:rPr>
              <w:t> </w:t>
            </w:r>
            <w:r>
              <w:rPr>
                <w:b/>
                <w:color w:val="FFFFFF"/>
                <w:spacing w:val="-2"/>
                <w:sz w:val="18"/>
              </w:rPr>
              <w:t>Year</w:t>
            </w:r>
            <w:r>
              <w:rPr>
                <w:b/>
                <w:color w:val="FFFFFF"/>
                <w:spacing w:val="-10"/>
                <w:sz w:val="18"/>
              </w:rPr>
              <w:t> </w:t>
            </w:r>
            <w:r>
              <w:rPr>
                <w:b/>
                <w:color w:val="FFFFFF"/>
                <w:spacing w:val="-2"/>
                <w:sz w:val="18"/>
              </w:rPr>
              <w:t>3 Interventions</w:t>
            </w:r>
          </w:p>
        </w:tc>
        <w:tc>
          <w:tcPr>
            <w:tcW w:w="1497" w:type="dxa"/>
            <w:tcBorders>
              <w:left w:val="single" w:sz="4" w:space="0" w:color="FFFFFF"/>
            </w:tcBorders>
            <w:shd w:val="clear" w:color="auto" w:fill="A7A9AC"/>
          </w:tcPr>
          <w:p>
            <w:pPr>
              <w:pStyle w:val="TableParagraph"/>
              <w:spacing w:before="83"/>
              <w:rPr>
                <w:b/>
                <w:sz w:val="18"/>
              </w:rPr>
            </w:pPr>
          </w:p>
          <w:p>
            <w:pPr>
              <w:pStyle w:val="TableParagraph"/>
              <w:spacing w:line="232" w:lineRule="auto" w:before="1"/>
              <w:ind w:left="86"/>
              <w:rPr>
                <w:b/>
                <w:sz w:val="18"/>
              </w:rPr>
            </w:pPr>
            <w:r>
              <w:rPr>
                <w:b/>
                <w:color w:val="FFFFFF"/>
                <w:spacing w:val="-2"/>
                <w:sz w:val="18"/>
              </w:rPr>
              <w:t>Implementation Partner</w:t>
            </w:r>
          </w:p>
        </w:tc>
        <w:tc>
          <w:tcPr>
            <w:tcW w:w="1787" w:type="dxa"/>
            <w:shd w:val="clear" w:color="auto" w:fill="A7A9AC"/>
          </w:tcPr>
          <w:p>
            <w:pPr>
              <w:pStyle w:val="TableParagraph"/>
              <w:spacing w:before="83"/>
              <w:rPr>
                <w:b/>
                <w:sz w:val="18"/>
              </w:rPr>
            </w:pPr>
          </w:p>
          <w:p>
            <w:pPr>
              <w:pStyle w:val="TableParagraph"/>
              <w:spacing w:line="232" w:lineRule="auto" w:before="1"/>
              <w:ind w:left="87" w:right="35"/>
              <w:rPr>
                <w:b/>
                <w:sz w:val="18"/>
              </w:rPr>
            </w:pPr>
            <w:r>
              <w:rPr>
                <w:b/>
                <w:color w:val="FFFFFF"/>
                <w:spacing w:val="-4"/>
                <w:sz w:val="18"/>
              </w:rPr>
              <w:t>Partner</w:t>
            </w:r>
            <w:r>
              <w:rPr>
                <w:b/>
                <w:color w:val="FFFFFF"/>
                <w:spacing w:val="-11"/>
                <w:sz w:val="18"/>
              </w:rPr>
              <w:t> </w:t>
            </w:r>
            <w:r>
              <w:rPr>
                <w:b/>
                <w:color w:val="FFFFFF"/>
                <w:spacing w:val="-4"/>
                <w:sz w:val="18"/>
              </w:rPr>
              <w:t>Role(s)</w:t>
            </w:r>
            <w:r>
              <w:rPr>
                <w:b/>
                <w:color w:val="FFFFFF"/>
                <w:spacing w:val="-8"/>
                <w:sz w:val="18"/>
              </w:rPr>
              <w:t> </w:t>
            </w:r>
            <w:r>
              <w:rPr>
                <w:b/>
                <w:color w:val="FFFFFF"/>
                <w:spacing w:val="-4"/>
                <w:sz w:val="18"/>
              </w:rPr>
              <w:t>and </w:t>
            </w:r>
            <w:r>
              <w:rPr>
                <w:b/>
                <w:color w:val="FFFFFF"/>
                <w:spacing w:val="-2"/>
                <w:sz w:val="18"/>
              </w:rPr>
              <w:t>Resources</w:t>
            </w:r>
          </w:p>
        </w:tc>
      </w:tr>
      <w:tr>
        <w:trPr>
          <w:trHeight w:val="3325" w:hRule="atLeast"/>
        </w:trPr>
        <w:tc>
          <w:tcPr>
            <w:tcW w:w="1180" w:type="dxa"/>
            <w:tcBorders>
              <w:bottom w:val="nil"/>
            </w:tcBorders>
            <w:shd w:val="clear" w:color="auto" w:fill="E6E7E8"/>
          </w:tcPr>
          <w:p>
            <w:pPr>
              <w:pStyle w:val="TableParagraph"/>
              <w:spacing w:line="232" w:lineRule="auto" w:before="101"/>
              <w:ind w:left="89" w:right="363"/>
              <w:jc w:val="both"/>
              <w:rPr>
                <w:sz w:val="18"/>
              </w:rPr>
            </w:pPr>
            <w:r>
              <w:rPr>
                <w:color w:val="105C84"/>
                <w:spacing w:val="-2"/>
                <w:sz w:val="18"/>
              </w:rPr>
              <w:t>Prevent Chronic </w:t>
            </w:r>
            <w:r>
              <w:rPr>
                <w:color w:val="105C84"/>
                <w:spacing w:val="-6"/>
                <w:sz w:val="18"/>
              </w:rPr>
              <w:t>Diseases</w:t>
            </w:r>
          </w:p>
        </w:tc>
        <w:tc>
          <w:tcPr>
            <w:tcW w:w="1353" w:type="dxa"/>
            <w:tcBorders>
              <w:bottom w:val="nil"/>
            </w:tcBorders>
          </w:tcPr>
          <w:p>
            <w:pPr>
              <w:pStyle w:val="TableParagraph"/>
              <w:spacing w:line="232" w:lineRule="auto" w:before="101"/>
              <w:ind w:left="90"/>
              <w:rPr>
                <w:sz w:val="18"/>
              </w:rPr>
            </w:pPr>
            <w:r>
              <w:rPr>
                <w:color w:val="105C84"/>
                <w:spacing w:val="-4"/>
                <w:sz w:val="18"/>
              </w:rPr>
              <w:t>Focus</w:t>
            </w:r>
            <w:r>
              <w:rPr>
                <w:color w:val="105C84"/>
                <w:spacing w:val="-11"/>
                <w:sz w:val="18"/>
              </w:rPr>
              <w:t> </w:t>
            </w:r>
            <w:r>
              <w:rPr>
                <w:color w:val="105C84"/>
                <w:spacing w:val="-4"/>
                <w:sz w:val="18"/>
              </w:rPr>
              <w:t>Area</w:t>
            </w:r>
            <w:r>
              <w:rPr>
                <w:color w:val="105C84"/>
                <w:spacing w:val="-8"/>
                <w:sz w:val="18"/>
              </w:rPr>
              <w:t> </w:t>
            </w:r>
            <w:r>
              <w:rPr>
                <w:color w:val="105C84"/>
                <w:spacing w:val="-4"/>
                <w:sz w:val="18"/>
              </w:rPr>
              <w:t>3: </w:t>
            </w:r>
            <w:r>
              <w:rPr>
                <w:color w:val="105C84"/>
                <w:spacing w:val="-2"/>
                <w:sz w:val="18"/>
              </w:rPr>
              <w:t>Tobacco Prevention</w:t>
            </w:r>
          </w:p>
        </w:tc>
        <w:tc>
          <w:tcPr>
            <w:tcW w:w="1209" w:type="dxa"/>
            <w:tcBorders>
              <w:bottom w:val="nil"/>
            </w:tcBorders>
          </w:tcPr>
          <w:p>
            <w:pPr>
              <w:pStyle w:val="TableParagraph"/>
              <w:spacing w:line="232" w:lineRule="auto" w:before="101"/>
              <w:ind w:left="90" w:right="128"/>
              <w:rPr>
                <w:sz w:val="18"/>
              </w:rPr>
            </w:pPr>
            <w:r>
              <w:rPr>
                <w:color w:val="105C84"/>
                <w:sz w:val="18"/>
              </w:rPr>
              <w:t>Goal 3.1: </w:t>
            </w:r>
            <w:r>
              <w:rPr>
                <w:color w:val="105C84"/>
                <w:spacing w:val="-2"/>
                <w:sz w:val="18"/>
              </w:rPr>
              <w:t>Prevent </w:t>
            </w:r>
            <w:r>
              <w:rPr>
                <w:color w:val="105C84"/>
                <w:sz w:val="18"/>
              </w:rPr>
              <w:t>initiation of tobacco</w:t>
            </w:r>
            <w:r>
              <w:rPr>
                <w:color w:val="105C84"/>
                <w:spacing w:val="14"/>
                <w:sz w:val="18"/>
              </w:rPr>
              <w:t> </w:t>
            </w:r>
            <w:r>
              <w:rPr>
                <w:color w:val="105C84"/>
                <w:spacing w:val="-8"/>
                <w:sz w:val="18"/>
              </w:rPr>
              <w:t>use</w:t>
            </w:r>
          </w:p>
        </w:tc>
        <w:tc>
          <w:tcPr>
            <w:tcW w:w="1605" w:type="dxa"/>
            <w:tcBorders>
              <w:bottom w:val="nil"/>
            </w:tcBorders>
          </w:tcPr>
          <w:p>
            <w:pPr>
              <w:pStyle w:val="TableParagraph"/>
              <w:spacing w:line="232" w:lineRule="auto" w:before="101"/>
              <w:ind w:left="91" w:right="23"/>
              <w:rPr>
                <w:sz w:val="18"/>
              </w:rPr>
            </w:pPr>
            <w:r>
              <w:rPr>
                <w:color w:val="105C84"/>
                <w:sz w:val="18"/>
              </w:rPr>
              <w:t>3.1.1: Decrease the</w:t>
            </w:r>
            <w:r>
              <w:rPr>
                <w:color w:val="105C84"/>
                <w:spacing w:val="-15"/>
                <w:sz w:val="18"/>
              </w:rPr>
              <w:t> </w:t>
            </w:r>
            <w:r>
              <w:rPr>
                <w:color w:val="105C84"/>
                <w:sz w:val="18"/>
              </w:rPr>
              <w:t>prevalence</w:t>
            </w:r>
            <w:r>
              <w:rPr>
                <w:color w:val="105C84"/>
                <w:spacing w:val="-12"/>
                <w:sz w:val="18"/>
              </w:rPr>
              <w:t> </w:t>
            </w:r>
            <w:r>
              <w:rPr>
                <w:color w:val="105C84"/>
                <w:sz w:val="18"/>
              </w:rPr>
              <w:t>of</w:t>
            </w:r>
            <w:r>
              <w:rPr>
                <w:color w:val="105C84"/>
                <w:sz w:val="18"/>
              </w:rPr>
              <w:t> any tobacco use by high school </w:t>
            </w:r>
            <w:r>
              <w:rPr>
                <w:color w:val="105C84"/>
                <w:spacing w:val="-2"/>
                <w:sz w:val="18"/>
              </w:rPr>
              <w:t>students</w:t>
            </w:r>
          </w:p>
        </w:tc>
        <w:tc>
          <w:tcPr>
            <w:tcW w:w="1065" w:type="dxa"/>
            <w:tcBorders>
              <w:bottom w:val="nil"/>
            </w:tcBorders>
          </w:tcPr>
          <w:p>
            <w:pPr>
              <w:pStyle w:val="TableParagraph"/>
              <w:spacing w:line="232" w:lineRule="auto" w:before="101"/>
              <w:ind w:left="92" w:right="117"/>
              <w:rPr>
                <w:sz w:val="18"/>
              </w:rPr>
            </w:pPr>
            <w:r>
              <w:rPr>
                <w:color w:val="105C84"/>
                <w:spacing w:val="-2"/>
                <w:sz w:val="18"/>
              </w:rPr>
              <w:t>Pregnant women; </w:t>
            </w:r>
            <w:r>
              <w:rPr>
                <w:color w:val="105C84"/>
                <w:sz w:val="18"/>
              </w:rPr>
              <w:t>low SES, </w:t>
            </w:r>
            <w:r>
              <w:rPr>
                <w:color w:val="105C84"/>
                <w:spacing w:val="-2"/>
                <w:sz w:val="18"/>
              </w:rPr>
              <w:t>Mental</w:t>
            </w:r>
            <w:r>
              <w:rPr>
                <w:color w:val="105C84"/>
                <w:spacing w:val="40"/>
                <w:sz w:val="18"/>
              </w:rPr>
              <w:t> </w:t>
            </w:r>
            <w:r>
              <w:rPr>
                <w:color w:val="105C84"/>
                <w:spacing w:val="-4"/>
                <w:sz w:val="18"/>
              </w:rPr>
              <w:t>and </w:t>
            </w:r>
            <w:r>
              <w:rPr>
                <w:color w:val="105C84"/>
                <w:spacing w:val="-2"/>
                <w:sz w:val="18"/>
              </w:rPr>
              <w:t>Substance </w:t>
            </w:r>
            <w:r>
              <w:rPr>
                <w:color w:val="105C84"/>
                <w:spacing w:val="-4"/>
                <w:sz w:val="18"/>
              </w:rPr>
              <w:t>Use </w:t>
            </w:r>
            <w:r>
              <w:rPr>
                <w:color w:val="105C84"/>
                <w:spacing w:val="-2"/>
                <w:sz w:val="18"/>
              </w:rPr>
              <w:t>disorders; </w:t>
            </w:r>
            <w:r>
              <w:rPr>
                <w:color w:val="105C84"/>
                <w:sz w:val="18"/>
              </w:rPr>
              <w:t>those</w:t>
            </w:r>
            <w:r>
              <w:rPr>
                <w:color w:val="105C84"/>
                <w:spacing w:val="-5"/>
                <w:sz w:val="18"/>
              </w:rPr>
              <w:t> </w:t>
            </w:r>
            <w:r>
              <w:rPr>
                <w:color w:val="105C84"/>
                <w:sz w:val="18"/>
              </w:rPr>
              <w:t>with </w:t>
            </w:r>
            <w:r>
              <w:rPr>
                <w:color w:val="105C84"/>
                <w:spacing w:val="-2"/>
                <w:sz w:val="18"/>
              </w:rPr>
              <w:t>disabilities</w:t>
            </w:r>
          </w:p>
        </w:tc>
        <w:tc>
          <w:tcPr>
            <w:tcW w:w="1936" w:type="dxa"/>
            <w:tcBorders>
              <w:bottom w:val="nil"/>
            </w:tcBorders>
          </w:tcPr>
          <w:p>
            <w:pPr>
              <w:pStyle w:val="TableParagraph"/>
              <w:spacing w:line="232" w:lineRule="auto" w:before="101"/>
              <w:ind w:left="92" w:right="192"/>
              <w:rPr>
                <w:sz w:val="18"/>
              </w:rPr>
            </w:pPr>
            <w:r>
              <w:rPr>
                <w:color w:val="105C84"/>
                <w:sz w:val="18"/>
              </w:rPr>
              <w:t>3.1.2: Use media and health communications</w:t>
            </w:r>
            <w:r>
              <w:rPr>
                <w:color w:val="105C84"/>
                <w:spacing w:val="-13"/>
                <w:sz w:val="18"/>
              </w:rPr>
              <w:t> </w:t>
            </w:r>
            <w:r>
              <w:rPr>
                <w:color w:val="105C84"/>
                <w:sz w:val="18"/>
              </w:rPr>
              <w:t>to</w:t>
            </w:r>
          </w:p>
          <w:p>
            <w:pPr>
              <w:pStyle w:val="TableParagraph"/>
              <w:spacing w:line="232" w:lineRule="auto"/>
              <w:ind w:left="92" w:right="32"/>
              <w:rPr>
                <w:sz w:val="18"/>
              </w:rPr>
            </w:pPr>
            <w:r>
              <w:rPr>
                <w:color w:val="105C84"/>
                <w:sz w:val="18"/>
              </w:rPr>
              <w:t>highlight the </w:t>
            </w:r>
            <w:r>
              <w:rPr>
                <w:color w:val="105C84"/>
                <w:sz w:val="18"/>
              </w:rPr>
              <w:t>dangers of tobacco, promote effective tobacco control policies and reshape</w:t>
            </w:r>
            <w:r>
              <w:rPr>
                <w:color w:val="105C84"/>
                <w:spacing w:val="-15"/>
                <w:sz w:val="18"/>
              </w:rPr>
              <w:t> </w:t>
            </w:r>
            <w:r>
              <w:rPr>
                <w:color w:val="105C84"/>
                <w:sz w:val="18"/>
              </w:rPr>
              <w:t>social</w:t>
            </w:r>
            <w:r>
              <w:rPr>
                <w:color w:val="105C84"/>
                <w:spacing w:val="-12"/>
                <w:sz w:val="18"/>
              </w:rPr>
              <w:t> </w:t>
            </w:r>
            <w:r>
              <w:rPr>
                <w:color w:val="105C84"/>
                <w:sz w:val="18"/>
              </w:rPr>
              <w:t>norms</w:t>
            </w:r>
          </w:p>
        </w:tc>
        <w:tc>
          <w:tcPr>
            <w:tcW w:w="2893" w:type="dxa"/>
            <w:vMerge w:val="restart"/>
            <w:tcBorders>
              <w:right w:val="nil"/>
            </w:tcBorders>
          </w:tcPr>
          <w:p>
            <w:pPr>
              <w:pStyle w:val="TableParagraph"/>
              <w:spacing w:line="232" w:lineRule="auto" w:before="100"/>
              <w:ind w:left="93" w:right="981"/>
              <w:rPr>
                <w:sz w:val="18"/>
              </w:rPr>
            </w:pPr>
            <w:r>
              <w:rPr>
                <w:color w:val="105C84"/>
                <w:sz w:val="18"/>
              </w:rPr>
              <w:t># of Reality Check activities</w:t>
            </w:r>
            <w:r>
              <w:rPr>
                <w:color w:val="105C84"/>
                <w:spacing w:val="-15"/>
                <w:sz w:val="18"/>
              </w:rPr>
              <w:t> </w:t>
            </w:r>
            <w:r>
              <w:rPr>
                <w:color w:val="105C84"/>
                <w:sz w:val="18"/>
              </w:rPr>
              <w:t>in</w:t>
            </w:r>
            <w:r>
              <w:rPr>
                <w:color w:val="105C84"/>
                <w:spacing w:val="-12"/>
                <w:sz w:val="18"/>
              </w:rPr>
              <w:t> </w:t>
            </w:r>
            <w:r>
              <w:rPr>
                <w:color w:val="105C84"/>
                <w:sz w:val="18"/>
              </w:rPr>
              <w:t>Steuben </w:t>
            </w:r>
            <w:r>
              <w:rPr>
                <w:color w:val="105C84"/>
                <w:spacing w:val="-2"/>
                <w:sz w:val="18"/>
              </w:rPr>
              <w:t>County</w:t>
            </w:r>
          </w:p>
          <w:p>
            <w:pPr>
              <w:pStyle w:val="TableParagraph"/>
              <w:spacing w:line="232" w:lineRule="auto" w:before="88"/>
              <w:ind w:left="93" w:right="981"/>
              <w:rPr>
                <w:sz w:val="18"/>
              </w:rPr>
            </w:pPr>
            <w:r>
              <w:rPr>
                <w:color w:val="105C84"/>
                <w:sz w:val="18"/>
              </w:rPr>
              <w:t># of Reality Check social media activities (posts</w:t>
            </w:r>
            <w:r>
              <w:rPr>
                <w:color w:val="105C84"/>
                <w:spacing w:val="-11"/>
                <w:sz w:val="18"/>
              </w:rPr>
              <w:t> </w:t>
            </w:r>
            <w:r>
              <w:rPr>
                <w:color w:val="105C84"/>
                <w:sz w:val="18"/>
              </w:rPr>
              <w:t>and</w:t>
            </w:r>
            <w:r>
              <w:rPr>
                <w:color w:val="105C84"/>
                <w:spacing w:val="-11"/>
                <w:sz w:val="18"/>
              </w:rPr>
              <w:t> </w:t>
            </w:r>
            <w:r>
              <w:rPr>
                <w:color w:val="105C84"/>
                <w:sz w:val="18"/>
              </w:rPr>
              <w:t>paid</w:t>
            </w:r>
            <w:r>
              <w:rPr>
                <w:color w:val="105C84"/>
                <w:spacing w:val="-11"/>
                <w:sz w:val="18"/>
              </w:rPr>
              <w:t> </w:t>
            </w:r>
            <w:r>
              <w:rPr>
                <w:color w:val="105C84"/>
                <w:sz w:val="18"/>
              </w:rPr>
              <w:t>media </w:t>
            </w:r>
            <w:r>
              <w:rPr>
                <w:color w:val="105C84"/>
                <w:spacing w:val="-4"/>
                <w:sz w:val="18"/>
              </w:rPr>
              <w:t>ads)</w:t>
            </w:r>
          </w:p>
          <w:p>
            <w:pPr>
              <w:pStyle w:val="TableParagraph"/>
              <w:spacing w:line="232" w:lineRule="auto" w:before="87"/>
              <w:ind w:left="93" w:right="981"/>
              <w:rPr>
                <w:sz w:val="18"/>
              </w:rPr>
            </w:pPr>
            <w:r>
              <w:rPr>
                <w:color w:val="105C84"/>
                <w:sz w:val="18"/>
              </w:rPr>
              <w:t># of education </w:t>
            </w:r>
            <w:r>
              <w:rPr>
                <w:color w:val="105C84"/>
                <w:spacing w:val="-2"/>
                <w:sz w:val="18"/>
              </w:rPr>
              <w:t>presentations</w:t>
            </w:r>
            <w:r>
              <w:rPr>
                <w:color w:val="105C84"/>
                <w:spacing w:val="80"/>
                <w:sz w:val="18"/>
              </w:rPr>
              <w:t> </w:t>
            </w:r>
            <w:r>
              <w:rPr>
                <w:color w:val="105C84"/>
                <w:sz w:val="18"/>
              </w:rPr>
              <w:t>provided to youth-focused</w:t>
            </w:r>
            <w:r>
              <w:rPr>
                <w:color w:val="105C84"/>
                <w:spacing w:val="-13"/>
                <w:sz w:val="18"/>
              </w:rPr>
              <w:t> </w:t>
            </w:r>
            <w:r>
              <w:rPr>
                <w:color w:val="105C84"/>
                <w:sz w:val="18"/>
              </w:rPr>
              <w:t>organizations, </w:t>
            </w:r>
            <w:r>
              <w:rPr>
                <w:color w:val="105C84"/>
                <w:spacing w:val="-2"/>
                <w:sz w:val="18"/>
              </w:rPr>
              <w:t>such</w:t>
            </w:r>
            <w:r>
              <w:rPr>
                <w:color w:val="105C84"/>
                <w:spacing w:val="-10"/>
                <w:sz w:val="18"/>
              </w:rPr>
              <w:t> </w:t>
            </w:r>
            <w:r>
              <w:rPr>
                <w:color w:val="105C84"/>
                <w:spacing w:val="-2"/>
                <w:sz w:val="18"/>
              </w:rPr>
              <w:t>as</w:t>
            </w:r>
            <w:r>
              <w:rPr>
                <w:color w:val="105C84"/>
                <w:spacing w:val="-9"/>
                <w:sz w:val="18"/>
              </w:rPr>
              <w:t> </w:t>
            </w:r>
            <w:r>
              <w:rPr>
                <w:color w:val="105C84"/>
                <w:spacing w:val="-2"/>
                <w:sz w:val="18"/>
              </w:rPr>
              <w:t>school</w:t>
            </w:r>
            <w:r>
              <w:rPr>
                <w:color w:val="105C84"/>
                <w:spacing w:val="-9"/>
                <w:sz w:val="18"/>
              </w:rPr>
              <w:t> </w:t>
            </w:r>
            <w:r>
              <w:rPr>
                <w:color w:val="105C84"/>
                <w:spacing w:val="-2"/>
                <w:sz w:val="18"/>
              </w:rPr>
              <w:t>districts</w:t>
            </w:r>
          </w:p>
          <w:p>
            <w:pPr>
              <w:pStyle w:val="TableParagraph"/>
              <w:spacing w:line="232" w:lineRule="auto" w:before="86"/>
              <w:ind w:left="93" w:right="1017"/>
              <w:jc w:val="both"/>
              <w:rPr>
                <w:sz w:val="18"/>
              </w:rPr>
            </w:pPr>
            <w:r>
              <w:rPr>
                <w:color w:val="105C84"/>
                <w:sz w:val="18"/>
              </w:rPr>
              <w:t>#</w:t>
            </w:r>
            <w:r>
              <w:rPr>
                <w:color w:val="105C84"/>
                <w:spacing w:val="-13"/>
                <w:sz w:val="18"/>
              </w:rPr>
              <w:t> </w:t>
            </w:r>
            <w:r>
              <w:rPr>
                <w:color w:val="105C84"/>
                <w:sz w:val="18"/>
              </w:rPr>
              <w:t>of</w:t>
            </w:r>
            <w:r>
              <w:rPr>
                <w:color w:val="105C84"/>
                <w:spacing w:val="-12"/>
                <w:sz w:val="18"/>
              </w:rPr>
              <w:t> </w:t>
            </w:r>
            <w:r>
              <w:rPr>
                <w:color w:val="105C84"/>
                <w:sz w:val="18"/>
              </w:rPr>
              <w:t>media</w:t>
            </w:r>
            <w:r>
              <w:rPr>
                <w:color w:val="105C84"/>
                <w:spacing w:val="-13"/>
                <w:sz w:val="18"/>
              </w:rPr>
              <w:t> </w:t>
            </w:r>
            <w:r>
              <w:rPr>
                <w:color w:val="105C84"/>
                <w:sz w:val="18"/>
              </w:rPr>
              <w:t>outreaches </w:t>
            </w:r>
            <w:r>
              <w:rPr>
                <w:color w:val="105C84"/>
                <w:spacing w:val="-2"/>
                <w:sz w:val="18"/>
              </w:rPr>
              <w:t>(radio,</w:t>
            </w:r>
            <w:r>
              <w:rPr>
                <w:color w:val="105C84"/>
                <w:spacing w:val="-13"/>
                <w:sz w:val="18"/>
              </w:rPr>
              <w:t> </w:t>
            </w:r>
            <w:r>
              <w:rPr>
                <w:color w:val="105C84"/>
                <w:spacing w:val="-2"/>
                <w:sz w:val="18"/>
              </w:rPr>
              <w:t>TV,</w:t>
            </w:r>
            <w:r>
              <w:rPr>
                <w:color w:val="105C84"/>
                <w:spacing w:val="-10"/>
                <w:sz w:val="18"/>
              </w:rPr>
              <w:t> </w:t>
            </w:r>
            <w:r>
              <w:rPr>
                <w:color w:val="105C84"/>
                <w:spacing w:val="-2"/>
                <w:sz w:val="18"/>
              </w:rPr>
              <w:t>newspaper, </w:t>
            </w:r>
            <w:r>
              <w:rPr>
                <w:color w:val="105C84"/>
                <w:sz w:val="18"/>
              </w:rPr>
              <w:t>etc.) completed</w:t>
            </w:r>
          </w:p>
          <w:p>
            <w:pPr>
              <w:pStyle w:val="TableParagraph"/>
              <w:spacing w:line="232" w:lineRule="auto"/>
              <w:ind w:left="93" w:right="1361"/>
              <w:rPr>
                <w:sz w:val="18"/>
              </w:rPr>
            </w:pPr>
            <w:r>
              <w:rPr>
                <w:color w:val="105C84"/>
                <w:sz w:val="18"/>
              </w:rPr>
              <w:t>by</w:t>
            </w:r>
            <w:r>
              <w:rPr>
                <w:color w:val="105C84"/>
                <w:spacing w:val="-15"/>
                <w:sz w:val="18"/>
              </w:rPr>
              <w:t> </w:t>
            </w:r>
            <w:r>
              <w:rPr>
                <w:color w:val="105C84"/>
                <w:sz w:val="18"/>
              </w:rPr>
              <w:t>Smart</w:t>
            </w:r>
            <w:r>
              <w:rPr>
                <w:color w:val="105C84"/>
                <w:spacing w:val="-12"/>
                <w:sz w:val="18"/>
              </w:rPr>
              <w:t> </w:t>
            </w:r>
            <w:r>
              <w:rPr>
                <w:color w:val="105C84"/>
                <w:sz w:val="18"/>
              </w:rPr>
              <w:t>Steuben </w:t>
            </w:r>
            <w:r>
              <w:rPr>
                <w:color w:val="105C84"/>
                <w:spacing w:val="-2"/>
                <w:sz w:val="18"/>
              </w:rPr>
              <w:t>partners</w:t>
            </w:r>
          </w:p>
          <w:p>
            <w:pPr>
              <w:pStyle w:val="TableParagraph"/>
              <w:spacing w:line="232" w:lineRule="auto" w:before="86"/>
              <w:ind w:left="93" w:right="981"/>
              <w:rPr>
                <w:sz w:val="18"/>
              </w:rPr>
            </w:pPr>
            <w:r>
              <w:rPr>
                <w:color w:val="105C84"/>
                <w:sz w:val="18"/>
              </w:rPr>
              <w:t># of social media or other</w:t>
            </w:r>
            <w:r>
              <w:rPr>
                <w:color w:val="105C84"/>
                <w:spacing w:val="-13"/>
                <w:sz w:val="18"/>
              </w:rPr>
              <w:t> </w:t>
            </w:r>
            <w:r>
              <w:rPr>
                <w:color w:val="105C84"/>
                <w:sz w:val="18"/>
              </w:rPr>
              <w:t>communications provided by Smart Steuben team members related to </w:t>
            </w:r>
            <w:r>
              <w:rPr>
                <w:color w:val="105C84"/>
                <w:spacing w:val="-2"/>
                <w:sz w:val="18"/>
              </w:rPr>
              <w:t>tobacco</w:t>
            </w:r>
          </w:p>
        </w:tc>
        <w:tc>
          <w:tcPr>
            <w:tcW w:w="2901" w:type="dxa"/>
            <w:vMerge w:val="restart"/>
            <w:tcBorders>
              <w:left w:val="nil"/>
            </w:tcBorders>
          </w:tcPr>
          <w:p>
            <w:pPr>
              <w:pStyle w:val="TableParagraph"/>
              <w:spacing w:line="232" w:lineRule="auto" w:before="100"/>
              <w:ind w:left="1003" w:right="79"/>
              <w:rPr>
                <w:sz w:val="18"/>
              </w:rPr>
            </w:pPr>
            <w:r>
              <w:rPr>
                <w:color w:val="105C84"/>
                <w:spacing w:val="-2"/>
                <w:sz w:val="18"/>
              </w:rPr>
              <w:t>STTAC</w:t>
            </w:r>
            <w:r>
              <w:rPr>
                <w:color w:val="105C84"/>
                <w:spacing w:val="-13"/>
                <w:sz w:val="18"/>
              </w:rPr>
              <w:t> </w:t>
            </w:r>
            <w:r>
              <w:rPr>
                <w:color w:val="105C84"/>
                <w:spacing w:val="-2"/>
                <w:sz w:val="18"/>
              </w:rPr>
              <w:t>Completed</w:t>
            </w:r>
            <w:r>
              <w:rPr>
                <w:color w:val="105C84"/>
                <w:spacing w:val="-10"/>
                <w:sz w:val="18"/>
              </w:rPr>
              <w:t> </w:t>
            </w:r>
            <w:r>
              <w:rPr>
                <w:color w:val="105C84"/>
                <w:spacing w:val="-2"/>
                <w:sz w:val="18"/>
              </w:rPr>
              <w:t>as </w:t>
            </w:r>
            <w:r>
              <w:rPr>
                <w:color w:val="105C84"/>
                <w:sz w:val="18"/>
              </w:rPr>
              <w:t>of 7/12/19</w:t>
            </w:r>
          </w:p>
          <w:p>
            <w:pPr>
              <w:pStyle w:val="TableParagraph"/>
              <w:spacing w:line="232" w:lineRule="auto" w:before="88"/>
              <w:ind w:left="1003"/>
              <w:rPr>
                <w:sz w:val="18"/>
              </w:rPr>
            </w:pPr>
            <w:r>
              <w:rPr>
                <w:color w:val="105C84"/>
                <w:sz w:val="18"/>
              </w:rPr>
              <w:t>23 - Reality Check activities</w:t>
            </w:r>
            <w:r>
              <w:rPr>
                <w:color w:val="105C84"/>
                <w:spacing w:val="-15"/>
                <w:sz w:val="18"/>
              </w:rPr>
              <w:t> </w:t>
            </w:r>
            <w:r>
              <w:rPr>
                <w:color w:val="105C84"/>
                <w:sz w:val="18"/>
              </w:rPr>
              <w:t>in</w:t>
            </w:r>
            <w:r>
              <w:rPr>
                <w:color w:val="105C84"/>
                <w:spacing w:val="-12"/>
                <w:sz w:val="18"/>
              </w:rPr>
              <w:t> </w:t>
            </w:r>
            <w:r>
              <w:rPr>
                <w:color w:val="105C84"/>
                <w:sz w:val="18"/>
              </w:rPr>
              <w:t>Steuben</w:t>
            </w:r>
            <w:r>
              <w:rPr>
                <w:color w:val="105C84"/>
                <w:sz w:val="18"/>
              </w:rPr>
              <w:t> </w:t>
            </w:r>
            <w:r>
              <w:rPr>
                <w:color w:val="105C84"/>
                <w:spacing w:val="-2"/>
                <w:sz w:val="18"/>
              </w:rPr>
              <w:t>County</w:t>
            </w:r>
          </w:p>
          <w:p>
            <w:pPr>
              <w:pStyle w:val="TableParagraph"/>
              <w:spacing w:line="232" w:lineRule="auto" w:before="88"/>
              <w:ind w:left="1003" w:right="319"/>
              <w:rPr>
                <w:sz w:val="18"/>
              </w:rPr>
            </w:pPr>
            <w:r>
              <w:rPr>
                <w:color w:val="105C84"/>
                <w:sz w:val="18"/>
              </w:rPr>
              <w:t>95</w:t>
            </w:r>
            <w:r>
              <w:rPr>
                <w:color w:val="105C84"/>
                <w:spacing w:val="-12"/>
                <w:sz w:val="18"/>
              </w:rPr>
              <w:t> </w:t>
            </w:r>
            <w:r>
              <w:rPr>
                <w:color w:val="105C84"/>
                <w:sz w:val="18"/>
              </w:rPr>
              <w:t>posts</w:t>
            </w:r>
            <w:r>
              <w:rPr>
                <w:color w:val="105C84"/>
                <w:spacing w:val="-12"/>
                <w:sz w:val="18"/>
              </w:rPr>
              <w:t> </w:t>
            </w:r>
            <w:r>
              <w:rPr>
                <w:color w:val="105C84"/>
                <w:sz w:val="18"/>
              </w:rPr>
              <w:t>and</w:t>
            </w:r>
            <w:r>
              <w:rPr>
                <w:color w:val="105C84"/>
                <w:spacing w:val="-12"/>
                <w:sz w:val="18"/>
              </w:rPr>
              <w:t> </w:t>
            </w:r>
            <w:r>
              <w:rPr>
                <w:color w:val="105C84"/>
                <w:sz w:val="18"/>
              </w:rPr>
              <w:t>1</w:t>
            </w:r>
            <w:r>
              <w:rPr>
                <w:color w:val="105C84"/>
                <w:spacing w:val="-12"/>
                <w:sz w:val="18"/>
              </w:rPr>
              <w:t> </w:t>
            </w:r>
            <w:r>
              <w:rPr>
                <w:color w:val="105C84"/>
                <w:sz w:val="18"/>
              </w:rPr>
              <w:t>paid media ad - Reality Check</w:t>
            </w:r>
            <w:r>
              <w:rPr>
                <w:color w:val="105C84"/>
                <w:spacing w:val="-15"/>
                <w:sz w:val="18"/>
              </w:rPr>
              <w:t> </w:t>
            </w:r>
            <w:r>
              <w:rPr>
                <w:color w:val="105C84"/>
                <w:sz w:val="18"/>
              </w:rPr>
              <w:t>social</w:t>
            </w:r>
            <w:r>
              <w:rPr>
                <w:color w:val="105C84"/>
                <w:spacing w:val="-12"/>
                <w:sz w:val="18"/>
              </w:rPr>
              <w:t> </w:t>
            </w:r>
            <w:r>
              <w:rPr>
                <w:color w:val="105C84"/>
                <w:sz w:val="18"/>
              </w:rPr>
              <w:t>media activities</w:t>
            </w:r>
            <w:r>
              <w:rPr>
                <w:color w:val="105C84"/>
                <w:spacing w:val="-15"/>
                <w:sz w:val="18"/>
              </w:rPr>
              <w:t> </w:t>
            </w:r>
            <w:r>
              <w:rPr>
                <w:color w:val="105C84"/>
                <w:sz w:val="18"/>
              </w:rPr>
              <w:t>(posts</w:t>
            </w:r>
            <w:r>
              <w:rPr>
                <w:color w:val="105C84"/>
                <w:spacing w:val="-12"/>
                <w:sz w:val="18"/>
              </w:rPr>
              <w:t> </w:t>
            </w:r>
            <w:r>
              <w:rPr>
                <w:color w:val="105C84"/>
                <w:sz w:val="18"/>
              </w:rPr>
              <w:t>and</w:t>
            </w:r>
            <w:r>
              <w:rPr>
                <w:color w:val="105C84"/>
                <w:sz w:val="18"/>
              </w:rPr>
              <w:t> paid media ads)</w:t>
            </w:r>
          </w:p>
          <w:p>
            <w:pPr>
              <w:pStyle w:val="TableParagraph"/>
              <w:spacing w:line="232" w:lineRule="auto" w:before="86"/>
              <w:ind w:left="1003" w:right="79"/>
              <w:rPr>
                <w:sz w:val="18"/>
              </w:rPr>
            </w:pPr>
            <w:r>
              <w:rPr>
                <w:color w:val="105C84"/>
                <w:sz w:val="18"/>
              </w:rPr>
              <w:t>2 - education </w:t>
            </w:r>
            <w:r>
              <w:rPr>
                <w:color w:val="105C84"/>
                <w:spacing w:val="-2"/>
                <w:sz w:val="18"/>
              </w:rPr>
              <w:t>presentations</w:t>
            </w:r>
            <w:r>
              <w:rPr>
                <w:color w:val="105C84"/>
                <w:spacing w:val="80"/>
                <w:sz w:val="18"/>
              </w:rPr>
              <w:t> </w:t>
            </w:r>
            <w:r>
              <w:rPr>
                <w:color w:val="105C84"/>
                <w:sz w:val="18"/>
              </w:rPr>
              <w:t>provided to youth-focused</w:t>
            </w:r>
            <w:r>
              <w:rPr>
                <w:color w:val="105C84"/>
                <w:spacing w:val="-13"/>
                <w:sz w:val="18"/>
              </w:rPr>
              <w:t> </w:t>
            </w:r>
            <w:r>
              <w:rPr>
                <w:color w:val="105C84"/>
                <w:sz w:val="18"/>
              </w:rPr>
              <w:t>organizations, </w:t>
            </w:r>
            <w:r>
              <w:rPr>
                <w:color w:val="105C84"/>
                <w:spacing w:val="-2"/>
                <w:sz w:val="18"/>
              </w:rPr>
              <w:t>such</w:t>
            </w:r>
            <w:r>
              <w:rPr>
                <w:color w:val="105C84"/>
                <w:spacing w:val="-10"/>
                <w:sz w:val="18"/>
              </w:rPr>
              <w:t> </w:t>
            </w:r>
            <w:r>
              <w:rPr>
                <w:color w:val="105C84"/>
                <w:spacing w:val="-2"/>
                <w:sz w:val="18"/>
              </w:rPr>
              <w:t>as</w:t>
            </w:r>
            <w:r>
              <w:rPr>
                <w:color w:val="105C84"/>
                <w:spacing w:val="-9"/>
                <w:sz w:val="18"/>
              </w:rPr>
              <w:t> </w:t>
            </w:r>
            <w:r>
              <w:rPr>
                <w:color w:val="105C84"/>
                <w:spacing w:val="-2"/>
                <w:sz w:val="18"/>
              </w:rPr>
              <w:t>school</w:t>
            </w:r>
            <w:r>
              <w:rPr>
                <w:color w:val="105C84"/>
                <w:spacing w:val="-9"/>
                <w:sz w:val="18"/>
              </w:rPr>
              <w:t> </w:t>
            </w:r>
            <w:r>
              <w:rPr>
                <w:color w:val="105C84"/>
                <w:spacing w:val="-2"/>
                <w:sz w:val="18"/>
              </w:rPr>
              <w:t>district</w:t>
            </w:r>
            <w:r>
              <w:rPr>
                <w:color w:val="105C84"/>
                <w:spacing w:val="-2"/>
                <w:sz w:val="18"/>
              </w:rPr>
              <w:t>s</w:t>
            </w:r>
          </w:p>
          <w:p>
            <w:pPr>
              <w:pStyle w:val="TableParagraph"/>
              <w:spacing w:line="232" w:lineRule="auto" w:before="86"/>
              <w:ind w:left="1003" w:right="73" w:firstLine="46"/>
              <w:rPr>
                <w:sz w:val="18"/>
              </w:rPr>
            </w:pPr>
            <w:r>
              <w:rPr>
                <w:color w:val="105C84"/>
                <w:sz w:val="18"/>
              </w:rPr>
              <w:t>57</w:t>
            </w:r>
            <w:r>
              <w:rPr>
                <w:color w:val="105C84"/>
                <w:spacing w:val="-13"/>
                <w:sz w:val="18"/>
              </w:rPr>
              <w:t> </w:t>
            </w:r>
            <w:r>
              <w:rPr>
                <w:color w:val="105C84"/>
                <w:sz w:val="18"/>
              </w:rPr>
              <w:t>-</w:t>
            </w:r>
            <w:r>
              <w:rPr>
                <w:color w:val="105C84"/>
                <w:spacing w:val="-12"/>
                <w:sz w:val="18"/>
              </w:rPr>
              <w:t> </w:t>
            </w:r>
            <w:r>
              <w:rPr>
                <w:color w:val="105C84"/>
                <w:sz w:val="18"/>
              </w:rPr>
              <w:t>media</w:t>
            </w:r>
            <w:r>
              <w:rPr>
                <w:color w:val="105C84"/>
                <w:spacing w:val="-13"/>
                <w:sz w:val="18"/>
              </w:rPr>
              <w:t> </w:t>
            </w:r>
            <w:r>
              <w:rPr>
                <w:color w:val="105C84"/>
                <w:sz w:val="18"/>
              </w:rPr>
              <w:t>outreaches</w:t>
            </w:r>
            <w:r>
              <w:rPr>
                <w:color w:val="105C84"/>
                <w:sz w:val="18"/>
              </w:rPr>
              <w:t> (radio,</w:t>
            </w:r>
            <w:r>
              <w:rPr>
                <w:color w:val="105C84"/>
                <w:spacing w:val="-15"/>
                <w:sz w:val="18"/>
              </w:rPr>
              <w:t> </w:t>
            </w:r>
            <w:r>
              <w:rPr>
                <w:color w:val="105C84"/>
                <w:sz w:val="18"/>
              </w:rPr>
              <w:t>TV,</w:t>
            </w:r>
            <w:r>
              <w:rPr>
                <w:color w:val="105C84"/>
                <w:spacing w:val="-12"/>
                <w:sz w:val="18"/>
              </w:rPr>
              <w:t> </w:t>
            </w:r>
            <w:r>
              <w:rPr>
                <w:color w:val="105C84"/>
                <w:sz w:val="18"/>
              </w:rPr>
              <w:t>newspaper, etc.) completed by </w:t>
            </w:r>
            <w:r>
              <w:rPr>
                <w:color w:val="105C84"/>
                <w:spacing w:val="-4"/>
                <w:sz w:val="18"/>
              </w:rPr>
              <w:t>STTAC</w:t>
            </w:r>
          </w:p>
          <w:p>
            <w:pPr>
              <w:pStyle w:val="TableParagraph"/>
              <w:spacing w:line="232" w:lineRule="auto" w:before="87"/>
              <w:ind w:left="1003" w:right="79"/>
              <w:rPr>
                <w:sz w:val="18"/>
              </w:rPr>
            </w:pPr>
            <w:r>
              <w:rPr>
                <w:color w:val="105C84"/>
                <w:sz w:val="18"/>
              </w:rPr>
              <w:t>PH, Oak Orchard Health, and FLCH to provide messaging related</w:t>
            </w:r>
            <w:r>
              <w:rPr>
                <w:color w:val="105C84"/>
                <w:spacing w:val="-3"/>
                <w:sz w:val="18"/>
              </w:rPr>
              <w:t> </w:t>
            </w:r>
            <w:r>
              <w:rPr>
                <w:color w:val="105C84"/>
                <w:sz w:val="18"/>
              </w:rPr>
              <w:t>to</w:t>
            </w:r>
            <w:r>
              <w:rPr>
                <w:color w:val="105C84"/>
                <w:spacing w:val="-3"/>
                <w:sz w:val="18"/>
              </w:rPr>
              <w:t> </w:t>
            </w:r>
            <w:r>
              <w:rPr>
                <w:color w:val="105C84"/>
                <w:sz w:val="18"/>
              </w:rPr>
              <w:t>the</w:t>
            </w:r>
            <w:r>
              <w:rPr>
                <w:color w:val="105C84"/>
                <w:spacing w:val="-3"/>
                <w:sz w:val="18"/>
              </w:rPr>
              <w:t> </w:t>
            </w:r>
            <w:r>
              <w:rPr>
                <w:color w:val="105C84"/>
                <w:sz w:val="18"/>
              </w:rPr>
              <w:t>dangers of tobacco</w:t>
            </w:r>
          </w:p>
        </w:tc>
        <w:tc>
          <w:tcPr>
            <w:tcW w:w="2534" w:type="dxa"/>
            <w:tcBorders>
              <w:bottom w:val="nil"/>
            </w:tcBorders>
          </w:tcPr>
          <w:p>
            <w:pPr>
              <w:pStyle w:val="TableParagraph"/>
              <w:spacing w:before="94"/>
              <w:ind w:left="95"/>
              <w:rPr>
                <w:sz w:val="18"/>
              </w:rPr>
            </w:pPr>
            <w:r>
              <w:rPr>
                <w:color w:val="105C84"/>
                <w:w w:val="90"/>
                <w:sz w:val="18"/>
              </w:rPr>
              <w:t>STTAC</w:t>
            </w:r>
            <w:r>
              <w:rPr>
                <w:color w:val="105C84"/>
                <w:spacing w:val="5"/>
                <w:sz w:val="18"/>
              </w:rPr>
              <w:t> </w:t>
            </w:r>
            <w:r>
              <w:rPr>
                <w:color w:val="105C84"/>
                <w:spacing w:val="-2"/>
                <w:sz w:val="18"/>
              </w:rPr>
              <w:t>Projections</w:t>
            </w:r>
          </w:p>
          <w:p>
            <w:pPr>
              <w:pStyle w:val="TableParagraph"/>
              <w:spacing w:line="232" w:lineRule="auto" w:before="88"/>
              <w:ind w:left="95"/>
              <w:rPr>
                <w:sz w:val="18"/>
              </w:rPr>
            </w:pPr>
            <w:r>
              <w:rPr>
                <w:color w:val="105C84"/>
                <w:spacing w:val="-2"/>
                <w:sz w:val="18"/>
              </w:rPr>
              <w:t>30</w:t>
            </w:r>
            <w:r>
              <w:rPr>
                <w:color w:val="105C84"/>
                <w:spacing w:val="-9"/>
                <w:sz w:val="18"/>
              </w:rPr>
              <w:t> </w:t>
            </w:r>
            <w:r>
              <w:rPr>
                <w:color w:val="105C84"/>
                <w:spacing w:val="-2"/>
                <w:sz w:val="18"/>
              </w:rPr>
              <w:t>-</w:t>
            </w:r>
            <w:r>
              <w:rPr>
                <w:color w:val="105C84"/>
                <w:spacing w:val="-9"/>
                <w:sz w:val="18"/>
              </w:rPr>
              <w:t> </w:t>
            </w:r>
            <w:r>
              <w:rPr>
                <w:color w:val="105C84"/>
                <w:spacing w:val="-2"/>
                <w:sz w:val="18"/>
              </w:rPr>
              <w:t>Reality</w:t>
            </w:r>
            <w:r>
              <w:rPr>
                <w:color w:val="105C84"/>
                <w:spacing w:val="-9"/>
                <w:sz w:val="18"/>
              </w:rPr>
              <w:t> </w:t>
            </w:r>
            <w:r>
              <w:rPr>
                <w:color w:val="105C84"/>
                <w:spacing w:val="-2"/>
                <w:sz w:val="18"/>
              </w:rPr>
              <w:t>Check</w:t>
            </w:r>
            <w:r>
              <w:rPr>
                <w:color w:val="105C84"/>
                <w:spacing w:val="-9"/>
                <w:sz w:val="18"/>
              </w:rPr>
              <w:t> </w:t>
            </w:r>
            <w:r>
              <w:rPr>
                <w:color w:val="105C84"/>
                <w:spacing w:val="-2"/>
                <w:sz w:val="18"/>
              </w:rPr>
              <w:t>activities</w:t>
            </w:r>
            <w:r>
              <w:rPr>
                <w:color w:val="105C84"/>
                <w:spacing w:val="-9"/>
                <w:sz w:val="18"/>
              </w:rPr>
              <w:t> </w:t>
            </w:r>
            <w:r>
              <w:rPr>
                <w:color w:val="105C84"/>
                <w:spacing w:val="-2"/>
                <w:sz w:val="18"/>
              </w:rPr>
              <w:t>i</w:t>
            </w:r>
            <w:r>
              <w:rPr>
                <w:color w:val="105C84"/>
                <w:spacing w:val="-2"/>
                <w:sz w:val="18"/>
              </w:rPr>
              <w:t>n</w:t>
            </w:r>
            <w:r>
              <w:rPr>
                <w:color w:val="105C84"/>
                <w:spacing w:val="-2"/>
                <w:sz w:val="18"/>
              </w:rPr>
              <w:t> </w:t>
            </w:r>
            <w:r>
              <w:rPr>
                <w:color w:val="105C84"/>
                <w:sz w:val="18"/>
              </w:rPr>
              <w:t>Steuben County</w:t>
            </w:r>
          </w:p>
          <w:p>
            <w:pPr>
              <w:pStyle w:val="TableParagraph"/>
              <w:spacing w:line="232" w:lineRule="auto" w:before="89"/>
              <w:ind w:left="95" w:right="129"/>
              <w:rPr>
                <w:sz w:val="18"/>
              </w:rPr>
            </w:pPr>
            <w:r>
              <w:rPr>
                <w:color w:val="105C84"/>
                <w:sz w:val="18"/>
              </w:rPr>
              <w:t>125</w:t>
            </w:r>
            <w:r>
              <w:rPr>
                <w:color w:val="105C84"/>
                <w:spacing w:val="-10"/>
                <w:sz w:val="18"/>
              </w:rPr>
              <w:t> </w:t>
            </w:r>
            <w:r>
              <w:rPr>
                <w:color w:val="105C84"/>
                <w:sz w:val="18"/>
              </w:rPr>
              <w:t>posts</w:t>
            </w:r>
            <w:r>
              <w:rPr>
                <w:color w:val="105C84"/>
                <w:spacing w:val="-10"/>
                <w:sz w:val="18"/>
              </w:rPr>
              <w:t> </w:t>
            </w:r>
            <w:r>
              <w:rPr>
                <w:color w:val="105C84"/>
                <w:sz w:val="18"/>
              </w:rPr>
              <w:t>and</w:t>
            </w:r>
            <w:r>
              <w:rPr>
                <w:color w:val="105C84"/>
                <w:spacing w:val="-10"/>
                <w:sz w:val="18"/>
              </w:rPr>
              <w:t> </w:t>
            </w:r>
            <w:r>
              <w:rPr>
                <w:color w:val="105C84"/>
                <w:sz w:val="18"/>
              </w:rPr>
              <w:t>1</w:t>
            </w:r>
            <w:r>
              <w:rPr>
                <w:color w:val="105C84"/>
                <w:spacing w:val="-10"/>
                <w:sz w:val="18"/>
              </w:rPr>
              <w:t> </w:t>
            </w:r>
            <w:r>
              <w:rPr>
                <w:color w:val="105C84"/>
                <w:sz w:val="18"/>
              </w:rPr>
              <w:t>paid</w:t>
            </w:r>
            <w:r>
              <w:rPr>
                <w:color w:val="105C84"/>
                <w:spacing w:val="-10"/>
                <w:sz w:val="18"/>
              </w:rPr>
              <w:t> </w:t>
            </w:r>
            <w:r>
              <w:rPr>
                <w:color w:val="105C84"/>
                <w:sz w:val="18"/>
              </w:rPr>
              <w:t>media</w:t>
            </w:r>
            <w:r>
              <w:rPr>
                <w:color w:val="105C84"/>
                <w:sz w:val="18"/>
              </w:rPr>
              <w:t> ad - Reality Check social media activities (posts and paid media ads)</w:t>
            </w:r>
          </w:p>
          <w:p>
            <w:pPr>
              <w:pStyle w:val="TableParagraph"/>
              <w:spacing w:line="232" w:lineRule="auto" w:before="87"/>
              <w:ind w:left="95"/>
              <w:rPr>
                <w:sz w:val="18"/>
              </w:rPr>
            </w:pPr>
            <w:r>
              <w:rPr>
                <w:color w:val="105C84"/>
                <w:sz w:val="18"/>
              </w:rPr>
              <w:t>5 - education presentations provided to youth-focused </w:t>
            </w:r>
            <w:r>
              <w:rPr>
                <w:color w:val="105C84"/>
                <w:spacing w:val="-2"/>
                <w:sz w:val="18"/>
              </w:rPr>
              <w:t>organizations,</w:t>
            </w:r>
            <w:r>
              <w:rPr>
                <w:color w:val="105C84"/>
                <w:spacing w:val="-11"/>
                <w:sz w:val="18"/>
              </w:rPr>
              <w:t> </w:t>
            </w:r>
            <w:r>
              <w:rPr>
                <w:color w:val="105C84"/>
                <w:spacing w:val="-2"/>
                <w:sz w:val="18"/>
              </w:rPr>
              <w:t>such</w:t>
            </w:r>
            <w:r>
              <w:rPr>
                <w:color w:val="105C84"/>
                <w:spacing w:val="-10"/>
                <w:sz w:val="18"/>
              </w:rPr>
              <w:t> </w:t>
            </w:r>
            <w:r>
              <w:rPr>
                <w:color w:val="105C84"/>
                <w:spacing w:val="-2"/>
                <w:sz w:val="18"/>
              </w:rPr>
              <w:t>as</w:t>
            </w:r>
            <w:r>
              <w:rPr>
                <w:color w:val="105C84"/>
                <w:spacing w:val="-11"/>
                <w:sz w:val="18"/>
              </w:rPr>
              <w:t> </w:t>
            </w:r>
            <w:r>
              <w:rPr>
                <w:color w:val="105C84"/>
                <w:spacing w:val="-2"/>
                <w:sz w:val="18"/>
              </w:rPr>
              <w:t>schoo</w:t>
            </w:r>
            <w:r>
              <w:rPr>
                <w:color w:val="105C84"/>
                <w:spacing w:val="-2"/>
                <w:sz w:val="18"/>
              </w:rPr>
              <w:t>l</w:t>
            </w:r>
            <w:r>
              <w:rPr>
                <w:color w:val="105C84"/>
                <w:spacing w:val="-2"/>
                <w:sz w:val="18"/>
              </w:rPr>
              <w:t> districts</w:t>
            </w:r>
          </w:p>
          <w:p>
            <w:pPr>
              <w:pStyle w:val="TableParagraph"/>
              <w:spacing w:line="232" w:lineRule="auto" w:before="87"/>
              <w:ind w:left="95" w:right="129" w:firstLine="46"/>
              <w:rPr>
                <w:sz w:val="18"/>
              </w:rPr>
            </w:pPr>
            <w:r>
              <w:rPr>
                <w:color w:val="105C84"/>
                <w:sz w:val="18"/>
              </w:rPr>
              <w:t>75 - media outreaches </w:t>
            </w:r>
            <w:r>
              <w:rPr>
                <w:color w:val="105C84"/>
                <w:spacing w:val="-4"/>
                <w:sz w:val="18"/>
              </w:rPr>
              <w:t>(radio,</w:t>
            </w:r>
            <w:r>
              <w:rPr>
                <w:color w:val="105C84"/>
                <w:spacing w:val="-9"/>
                <w:sz w:val="18"/>
              </w:rPr>
              <w:t> </w:t>
            </w:r>
            <w:r>
              <w:rPr>
                <w:color w:val="105C84"/>
                <w:spacing w:val="-4"/>
                <w:sz w:val="18"/>
              </w:rPr>
              <w:t>TV,</w:t>
            </w:r>
            <w:r>
              <w:rPr>
                <w:color w:val="105C84"/>
                <w:spacing w:val="-8"/>
                <w:sz w:val="18"/>
              </w:rPr>
              <w:t> </w:t>
            </w:r>
            <w:r>
              <w:rPr>
                <w:color w:val="105C84"/>
                <w:spacing w:val="-4"/>
                <w:sz w:val="18"/>
              </w:rPr>
              <w:t>newspaper,</w:t>
            </w:r>
            <w:r>
              <w:rPr>
                <w:color w:val="105C84"/>
                <w:spacing w:val="-9"/>
                <w:sz w:val="18"/>
              </w:rPr>
              <w:t> </w:t>
            </w:r>
            <w:r>
              <w:rPr>
                <w:color w:val="105C84"/>
                <w:spacing w:val="-4"/>
                <w:sz w:val="18"/>
              </w:rPr>
              <w:t>etc.</w:t>
            </w:r>
            <w:r>
              <w:rPr>
                <w:color w:val="105C84"/>
                <w:spacing w:val="-4"/>
                <w:sz w:val="18"/>
              </w:rPr>
              <w:t>)</w:t>
            </w:r>
            <w:r>
              <w:rPr>
                <w:color w:val="105C84"/>
                <w:spacing w:val="-4"/>
                <w:sz w:val="18"/>
              </w:rPr>
              <w:t> </w:t>
            </w:r>
            <w:r>
              <w:rPr>
                <w:color w:val="105C84"/>
                <w:sz w:val="18"/>
              </w:rPr>
              <w:t>completed by STTAC</w:t>
            </w:r>
          </w:p>
        </w:tc>
        <w:tc>
          <w:tcPr>
            <w:tcW w:w="2368" w:type="dxa"/>
            <w:tcBorders>
              <w:bottom w:val="nil"/>
            </w:tcBorders>
          </w:tcPr>
          <w:p>
            <w:pPr>
              <w:pStyle w:val="TableParagraph"/>
              <w:spacing w:before="94"/>
              <w:ind w:left="95"/>
              <w:rPr>
                <w:sz w:val="18"/>
              </w:rPr>
            </w:pPr>
            <w:r>
              <w:rPr>
                <w:color w:val="105C84"/>
                <w:w w:val="90"/>
                <w:sz w:val="18"/>
              </w:rPr>
              <w:t>STTAC</w:t>
            </w:r>
            <w:r>
              <w:rPr>
                <w:color w:val="105C84"/>
                <w:spacing w:val="5"/>
                <w:sz w:val="18"/>
              </w:rPr>
              <w:t> </w:t>
            </w:r>
            <w:r>
              <w:rPr>
                <w:color w:val="105C84"/>
                <w:spacing w:val="-2"/>
                <w:sz w:val="18"/>
              </w:rPr>
              <w:t>Projections</w:t>
            </w:r>
          </w:p>
          <w:p>
            <w:pPr>
              <w:pStyle w:val="TableParagraph"/>
              <w:spacing w:line="232" w:lineRule="auto" w:before="88"/>
              <w:ind w:left="95" w:right="103"/>
              <w:rPr>
                <w:sz w:val="18"/>
              </w:rPr>
            </w:pPr>
            <w:r>
              <w:rPr>
                <w:color w:val="105C84"/>
                <w:spacing w:val="-2"/>
                <w:sz w:val="18"/>
              </w:rPr>
              <w:t>30</w:t>
            </w:r>
            <w:r>
              <w:rPr>
                <w:color w:val="105C84"/>
                <w:spacing w:val="-13"/>
                <w:sz w:val="18"/>
              </w:rPr>
              <w:t> </w:t>
            </w:r>
            <w:r>
              <w:rPr>
                <w:color w:val="105C84"/>
                <w:spacing w:val="-2"/>
                <w:sz w:val="18"/>
              </w:rPr>
              <w:t>-</w:t>
            </w:r>
            <w:r>
              <w:rPr>
                <w:color w:val="105C84"/>
                <w:spacing w:val="-10"/>
                <w:sz w:val="18"/>
              </w:rPr>
              <w:t> </w:t>
            </w:r>
            <w:r>
              <w:rPr>
                <w:color w:val="105C84"/>
                <w:spacing w:val="-2"/>
                <w:sz w:val="18"/>
              </w:rPr>
              <w:t>Reality</w:t>
            </w:r>
            <w:r>
              <w:rPr>
                <w:color w:val="105C84"/>
                <w:spacing w:val="-11"/>
                <w:sz w:val="18"/>
              </w:rPr>
              <w:t> </w:t>
            </w:r>
            <w:r>
              <w:rPr>
                <w:color w:val="105C84"/>
                <w:spacing w:val="-2"/>
                <w:sz w:val="18"/>
              </w:rPr>
              <w:t>Check</w:t>
            </w:r>
            <w:r>
              <w:rPr>
                <w:color w:val="105C84"/>
                <w:spacing w:val="-10"/>
                <w:sz w:val="18"/>
              </w:rPr>
              <w:t> </w:t>
            </w:r>
            <w:r>
              <w:rPr>
                <w:color w:val="105C84"/>
                <w:spacing w:val="-2"/>
                <w:sz w:val="18"/>
              </w:rPr>
              <w:t>activitie</w:t>
            </w:r>
            <w:r>
              <w:rPr>
                <w:color w:val="105C84"/>
                <w:spacing w:val="-2"/>
                <w:sz w:val="18"/>
              </w:rPr>
              <w:t>s</w:t>
            </w:r>
            <w:r>
              <w:rPr>
                <w:color w:val="105C84"/>
                <w:spacing w:val="-2"/>
                <w:sz w:val="18"/>
              </w:rPr>
              <w:t> </w:t>
            </w:r>
            <w:r>
              <w:rPr>
                <w:color w:val="105C84"/>
                <w:sz w:val="18"/>
              </w:rPr>
              <w:t>in Steuben County</w:t>
            </w:r>
          </w:p>
          <w:p>
            <w:pPr>
              <w:pStyle w:val="TableParagraph"/>
              <w:spacing w:line="232" w:lineRule="auto" w:before="89"/>
              <w:ind w:left="95" w:right="103"/>
              <w:rPr>
                <w:sz w:val="18"/>
              </w:rPr>
            </w:pPr>
            <w:r>
              <w:rPr>
                <w:color w:val="105C84"/>
                <w:sz w:val="18"/>
              </w:rPr>
              <w:t>125 posts and 1 paid media ad - Reality Check social media activities (posts</w:t>
            </w:r>
            <w:r>
              <w:rPr>
                <w:color w:val="105C84"/>
                <w:spacing w:val="-2"/>
                <w:sz w:val="18"/>
              </w:rPr>
              <w:t> </w:t>
            </w:r>
            <w:r>
              <w:rPr>
                <w:color w:val="105C84"/>
                <w:sz w:val="18"/>
              </w:rPr>
              <w:t>and</w:t>
            </w:r>
            <w:r>
              <w:rPr>
                <w:color w:val="105C84"/>
                <w:spacing w:val="-2"/>
                <w:sz w:val="18"/>
              </w:rPr>
              <w:t> </w:t>
            </w:r>
            <w:r>
              <w:rPr>
                <w:color w:val="105C84"/>
                <w:sz w:val="18"/>
              </w:rPr>
              <w:t>paid</w:t>
            </w:r>
            <w:r>
              <w:rPr>
                <w:color w:val="105C84"/>
                <w:spacing w:val="-2"/>
                <w:sz w:val="18"/>
              </w:rPr>
              <w:t> </w:t>
            </w:r>
            <w:r>
              <w:rPr>
                <w:color w:val="105C84"/>
                <w:sz w:val="18"/>
              </w:rPr>
              <w:t>media</w:t>
            </w:r>
            <w:r>
              <w:rPr>
                <w:color w:val="105C84"/>
                <w:spacing w:val="-2"/>
                <w:sz w:val="18"/>
              </w:rPr>
              <w:t> </w:t>
            </w:r>
            <w:r>
              <w:rPr>
                <w:color w:val="105C84"/>
                <w:spacing w:val="-6"/>
                <w:sz w:val="18"/>
              </w:rPr>
              <w:t>ads</w:t>
            </w:r>
            <w:r>
              <w:rPr>
                <w:color w:val="105C84"/>
                <w:spacing w:val="-6"/>
                <w:sz w:val="18"/>
              </w:rPr>
              <w:t>)</w:t>
            </w:r>
          </w:p>
          <w:p>
            <w:pPr>
              <w:pStyle w:val="TableParagraph"/>
              <w:spacing w:line="232" w:lineRule="auto" w:before="86"/>
              <w:ind w:left="95"/>
              <w:rPr>
                <w:sz w:val="18"/>
              </w:rPr>
            </w:pPr>
            <w:r>
              <w:rPr>
                <w:color w:val="105C84"/>
                <w:sz w:val="18"/>
              </w:rPr>
              <w:t>5</w:t>
            </w:r>
            <w:r>
              <w:rPr>
                <w:color w:val="105C84"/>
                <w:spacing w:val="-10"/>
                <w:sz w:val="18"/>
              </w:rPr>
              <w:t> </w:t>
            </w:r>
            <w:r>
              <w:rPr>
                <w:color w:val="105C84"/>
                <w:sz w:val="18"/>
              </w:rPr>
              <w:t>-</w:t>
            </w:r>
            <w:r>
              <w:rPr>
                <w:color w:val="105C84"/>
                <w:spacing w:val="-10"/>
                <w:sz w:val="18"/>
              </w:rPr>
              <w:t> </w:t>
            </w:r>
            <w:r>
              <w:rPr>
                <w:color w:val="105C84"/>
                <w:sz w:val="18"/>
              </w:rPr>
              <w:t>education</w:t>
            </w:r>
            <w:r>
              <w:rPr>
                <w:color w:val="105C84"/>
                <w:spacing w:val="-10"/>
                <w:sz w:val="18"/>
              </w:rPr>
              <w:t> </w:t>
            </w:r>
            <w:r>
              <w:rPr>
                <w:color w:val="105C84"/>
                <w:sz w:val="18"/>
              </w:rPr>
              <w:t>presentations</w:t>
            </w:r>
            <w:r>
              <w:rPr>
                <w:color w:val="105C84"/>
                <w:sz w:val="18"/>
              </w:rPr>
              <w:t> provided to youth-focused organizations, such as school districts</w:t>
            </w:r>
          </w:p>
          <w:p>
            <w:pPr>
              <w:pStyle w:val="TableParagraph"/>
              <w:spacing w:line="232" w:lineRule="auto" w:before="87"/>
              <w:ind w:left="95" w:firstLine="46"/>
              <w:rPr>
                <w:sz w:val="18"/>
              </w:rPr>
            </w:pPr>
            <w:r>
              <w:rPr>
                <w:color w:val="105C84"/>
                <w:sz w:val="18"/>
              </w:rPr>
              <w:t>75 - media outreaches </w:t>
            </w:r>
            <w:r>
              <w:rPr>
                <w:color w:val="105C84"/>
                <w:spacing w:val="-4"/>
                <w:sz w:val="18"/>
              </w:rPr>
              <w:t>(radio,</w:t>
            </w:r>
            <w:r>
              <w:rPr>
                <w:color w:val="105C84"/>
                <w:spacing w:val="-9"/>
                <w:sz w:val="18"/>
              </w:rPr>
              <w:t> </w:t>
            </w:r>
            <w:r>
              <w:rPr>
                <w:color w:val="105C84"/>
                <w:spacing w:val="-4"/>
                <w:sz w:val="18"/>
              </w:rPr>
              <w:t>TV,</w:t>
            </w:r>
            <w:r>
              <w:rPr>
                <w:color w:val="105C84"/>
                <w:spacing w:val="-8"/>
                <w:sz w:val="18"/>
              </w:rPr>
              <w:t> </w:t>
            </w:r>
            <w:r>
              <w:rPr>
                <w:color w:val="105C84"/>
                <w:spacing w:val="-4"/>
                <w:sz w:val="18"/>
              </w:rPr>
              <w:t>newspaper,</w:t>
            </w:r>
            <w:r>
              <w:rPr>
                <w:color w:val="105C84"/>
                <w:spacing w:val="-9"/>
                <w:sz w:val="18"/>
              </w:rPr>
              <w:t> </w:t>
            </w:r>
            <w:r>
              <w:rPr>
                <w:color w:val="105C84"/>
                <w:spacing w:val="-4"/>
                <w:sz w:val="18"/>
              </w:rPr>
              <w:t>etc.</w:t>
            </w:r>
            <w:r>
              <w:rPr>
                <w:color w:val="105C84"/>
                <w:spacing w:val="-4"/>
                <w:sz w:val="18"/>
              </w:rPr>
              <w:t>)</w:t>
            </w:r>
            <w:r>
              <w:rPr>
                <w:color w:val="105C84"/>
                <w:spacing w:val="-4"/>
                <w:sz w:val="18"/>
              </w:rPr>
              <w:t> </w:t>
            </w:r>
            <w:r>
              <w:rPr>
                <w:color w:val="105C84"/>
                <w:sz w:val="18"/>
              </w:rPr>
              <w:t>completed by STTAC</w:t>
            </w:r>
          </w:p>
        </w:tc>
        <w:tc>
          <w:tcPr>
            <w:tcW w:w="1497" w:type="dxa"/>
            <w:tcBorders>
              <w:bottom w:val="nil"/>
            </w:tcBorders>
          </w:tcPr>
          <w:p>
            <w:pPr>
              <w:pStyle w:val="TableParagraph"/>
              <w:spacing w:before="94"/>
              <w:ind w:left="96"/>
              <w:rPr>
                <w:sz w:val="18"/>
              </w:rPr>
            </w:pPr>
            <w:r>
              <w:rPr>
                <w:color w:val="105C84"/>
                <w:spacing w:val="-2"/>
                <w:sz w:val="18"/>
              </w:rPr>
              <w:t>Advocates</w:t>
            </w:r>
          </w:p>
        </w:tc>
        <w:tc>
          <w:tcPr>
            <w:tcW w:w="1787" w:type="dxa"/>
            <w:tcBorders>
              <w:bottom w:val="nil"/>
            </w:tcBorders>
          </w:tcPr>
          <w:p>
            <w:pPr>
              <w:pStyle w:val="TableParagraph"/>
              <w:spacing w:line="200" w:lineRule="exact" w:before="103"/>
              <w:ind w:left="97" w:right="96"/>
              <w:rPr>
                <w:sz w:val="18"/>
              </w:rPr>
            </w:pPr>
            <w:r>
              <w:rPr>
                <w:color w:val="105C84"/>
                <w:sz w:val="18"/>
              </w:rPr>
              <w:t>STTAC oversees</w:t>
            </w:r>
            <w:r>
              <w:rPr>
                <w:color w:val="105C84"/>
                <w:sz w:val="18"/>
              </w:rPr>
              <w:t> the Reality Check program, a youth advocacy program to reduce the</w:t>
            </w:r>
            <w:r>
              <w:rPr>
                <w:color w:val="105C84"/>
                <w:spacing w:val="40"/>
                <w:sz w:val="18"/>
              </w:rPr>
              <w:t> </w:t>
            </w:r>
            <w:r>
              <w:rPr>
                <w:color w:val="105C84"/>
                <w:sz w:val="18"/>
              </w:rPr>
              <w:t>impact of tobacco. </w:t>
            </w:r>
            <w:r>
              <w:rPr>
                <w:color w:val="105C84"/>
                <w:spacing w:val="-2"/>
                <w:sz w:val="18"/>
              </w:rPr>
              <w:t>STTAC</w:t>
            </w:r>
            <w:r>
              <w:rPr>
                <w:color w:val="105C84"/>
                <w:spacing w:val="-13"/>
                <w:sz w:val="18"/>
              </w:rPr>
              <w:t> </w:t>
            </w:r>
            <w:r>
              <w:rPr>
                <w:color w:val="105C84"/>
                <w:spacing w:val="-2"/>
                <w:sz w:val="18"/>
              </w:rPr>
              <w:t>will</w:t>
            </w:r>
            <w:r>
              <w:rPr>
                <w:color w:val="105C84"/>
                <w:spacing w:val="-10"/>
                <w:sz w:val="18"/>
              </w:rPr>
              <w:t> </w:t>
            </w:r>
            <w:r>
              <w:rPr>
                <w:color w:val="105C84"/>
                <w:spacing w:val="-2"/>
                <w:sz w:val="18"/>
              </w:rPr>
              <w:t>continue </w:t>
            </w:r>
            <w:r>
              <w:rPr>
                <w:color w:val="105C84"/>
                <w:sz w:val="18"/>
              </w:rPr>
              <w:t>to provide and</w:t>
            </w:r>
            <w:r>
              <w:rPr>
                <w:color w:val="105C84"/>
                <w:spacing w:val="80"/>
                <w:sz w:val="18"/>
              </w:rPr>
              <w:t> </w:t>
            </w:r>
            <w:r>
              <w:rPr>
                <w:color w:val="105C84"/>
                <w:sz w:val="18"/>
              </w:rPr>
              <w:t>track</w:t>
            </w:r>
            <w:r>
              <w:rPr>
                <w:color w:val="105C84"/>
                <w:spacing w:val="-9"/>
                <w:sz w:val="18"/>
              </w:rPr>
              <w:t> </w:t>
            </w:r>
            <w:r>
              <w:rPr>
                <w:color w:val="105C84"/>
                <w:sz w:val="18"/>
              </w:rPr>
              <w:t>education</w:t>
            </w:r>
            <w:r>
              <w:rPr>
                <w:color w:val="105C84"/>
                <w:spacing w:val="-9"/>
                <w:sz w:val="18"/>
              </w:rPr>
              <w:t> </w:t>
            </w:r>
            <w:r>
              <w:rPr>
                <w:color w:val="105C84"/>
                <w:sz w:val="18"/>
              </w:rPr>
              <w:t>and outreach regarding the dangers of tobacco, effective tobacco control policies, and reshaping social norms. 1 FTE</w:t>
            </w:r>
          </w:p>
        </w:tc>
      </w:tr>
      <w:tr>
        <w:trPr>
          <w:trHeight w:val="2104" w:hRule="atLeast"/>
        </w:trPr>
        <w:tc>
          <w:tcPr>
            <w:tcW w:w="1180" w:type="dxa"/>
            <w:tcBorders>
              <w:top w:val="nil"/>
            </w:tcBorders>
            <w:shd w:val="clear" w:color="auto" w:fill="E6E7E8"/>
          </w:tcPr>
          <w:p>
            <w:pPr>
              <w:pStyle w:val="TableParagraph"/>
              <w:rPr>
                <w:rFonts w:ascii="Times New Roman"/>
                <w:sz w:val="18"/>
              </w:rPr>
            </w:pPr>
          </w:p>
        </w:tc>
        <w:tc>
          <w:tcPr>
            <w:tcW w:w="1353" w:type="dxa"/>
            <w:tcBorders>
              <w:top w:val="nil"/>
            </w:tcBorders>
          </w:tcPr>
          <w:p>
            <w:pPr>
              <w:pStyle w:val="TableParagraph"/>
              <w:rPr>
                <w:rFonts w:ascii="Times New Roman"/>
                <w:sz w:val="18"/>
              </w:rPr>
            </w:pPr>
          </w:p>
        </w:tc>
        <w:tc>
          <w:tcPr>
            <w:tcW w:w="1209" w:type="dxa"/>
            <w:tcBorders>
              <w:top w:val="nil"/>
            </w:tcBorders>
          </w:tcPr>
          <w:p>
            <w:pPr>
              <w:pStyle w:val="TableParagraph"/>
              <w:rPr>
                <w:rFonts w:ascii="Times New Roman"/>
                <w:sz w:val="18"/>
              </w:rPr>
            </w:pPr>
          </w:p>
        </w:tc>
        <w:tc>
          <w:tcPr>
            <w:tcW w:w="1605" w:type="dxa"/>
            <w:tcBorders>
              <w:top w:val="nil"/>
            </w:tcBorders>
          </w:tcPr>
          <w:p>
            <w:pPr>
              <w:pStyle w:val="TableParagraph"/>
              <w:rPr>
                <w:rFonts w:ascii="Times New Roman"/>
                <w:sz w:val="18"/>
              </w:rPr>
            </w:pPr>
          </w:p>
        </w:tc>
        <w:tc>
          <w:tcPr>
            <w:tcW w:w="1065" w:type="dxa"/>
            <w:tcBorders>
              <w:top w:val="nil"/>
            </w:tcBorders>
          </w:tcPr>
          <w:p>
            <w:pPr>
              <w:pStyle w:val="TableParagraph"/>
              <w:rPr>
                <w:rFonts w:ascii="Times New Roman"/>
                <w:sz w:val="18"/>
              </w:rPr>
            </w:pPr>
          </w:p>
        </w:tc>
        <w:tc>
          <w:tcPr>
            <w:tcW w:w="1936" w:type="dxa"/>
            <w:tcBorders>
              <w:top w:val="nil"/>
            </w:tcBorders>
          </w:tcPr>
          <w:p>
            <w:pPr>
              <w:pStyle w:val="TableParagraph"/>
              <w:rPr>
                <w:rFonts w:ascii="Times New Roman"/>
                <w:sz w:val="18"/>
              </w:rPr>
            </w:pPr>
          </w:p>
        </w:tc>
        <w:tc>
          <w:tcPr>
            <w:tcW w:w="2893" w:type="dxa"/>
            <w:vMerge/>
            <w:tcBorders>
              <w:top w:val="nil"/>
              <w:right w:val="nil"/>
            </w:tcBorders>
          </w:tcPr>
          <w:p>
            <w:pPr>
              <w:rPr>
                <w:sz w:val="2"/>
                <w:szCs w:val="2"/>
              </w:rPr>
            </w:pPr>
          </w:p>
        </w:tc>
        <w:tc>
          <w:tcPr>
            <w:tcW w:w="2901" w:type="dxa"/>
            <w:vMerge/>
            <w:tcBorders>
              <w:top w:val="nil"/>
              <w:left w:val="nil"/>
            </w:tcBorders>
          </w:tcPr>
          <w:p>
            <w:pPr>
              <w:rPr>
                <w:sz w:val="2"/>
                <w:szCs w:val="2"/>
              </w:rPr>
            </w:pPr>
          </w:p>
        </w:tc>
        <w:tc>
          <w:tcPr>
            <w:tcW w:w="2534" w:type="dxa"/>
            <w:tcBorders>
              <w:top w:val="nil"/>
            </w:tcBorders>
          </w:tcPr>
          <w:p>
            <w:pPr>
              <w:pStyle w:val="TableParagraph"/>
              <w:spacing w:line="232" w:lineRule="auto" w:before="14"/>
              <w:ind w:left="95" w:right="501"/>
              <w:rPr>
                <w:sz w:val="18"/>
              </w:rPr>
            </w:pPr>
            <w:r>
              <w:rPr>
                <w:color w:val="105C84"/>
                <w:sz w:val="18"/>
              </w:rPr>
              <w:t>PH to provide at least 12</w:t>
            </w:r>
            <w:r>
              <w:rPr>
                <w:color w:val="105C84"/>
                <w:spacing w:val="-13"/>
                <w:sz w:val="18"/>
              </w:rPr>
              <w:t> </w:t>
            </w:r>
            <w:r>
              <w:rPr>
                <w:color w:val="105C84"/>
                <w:sz w:val="18"/>
              </w:rPr>
              <w:t>monthly</w:t>
            </w:r>
            <w:r>
              <w:rPr>
                <w:color w:val="105C84"/>
                <w:spacing w:val="-12"/>
                <w:sz w:val="18"/>
              </w:rPr>
              <w:t> </w:t>
            </w:r>
            <w:r>
              <w:rPr>
                <w:color w:val="105C84"/>
                <w:sz w:val="18"/>
              </w:rPr>
              <w:t>social</w:t>
            </w:r>
            <w:r>
              <w:rPr>
                <w:color w:val="105C84"/>
                <w:spacing w:val="-13"/>
                <w:sz w:val="18"/>
              </w:rPr>
              <w:t> </w:t>
            </w:r>
            <w:r>
              <w:rPr>
                <w:color w:val="105C84"/>
                <w:sz w:val="18"/>
              </w:rPr>
              <w:t>media messages</w:t>
            </w:r>
            <w:r>
              <w:rPr>
                <w:color w:val="105C84"/>
                <w:spacing w:val="-12"/>
                <w:sz w:val="18"/>
              </w:rPr>
              <w:t> </w:t>
            </w:r>
            <w:r>
              <w:rPr>
                <w:color w:val="105C84"/>
                <w:sz w:val="18"/>
              </w:rPr>
              <w:t>related</w:t>
            </w:r>
            <w:r>
              <w:rPr>
                <w:color w:val="105C84"/>
                <w:spacing w:val="-12"/>
                <w:sz w:val="18"/>
              </w:rPr>
              <w:t> </w:t>
            </w:r>
            <w:r>
              <w:rPr>
                <w:color w:val="105C84"/>
                <w:sz w:val="18"/>
              </w:rPr>
              <w:t>to</w:t>
            </w:r>
            <w:r>
              <w:rPr>
                <w:color w:val="105C84"/>
                <w:spacing w:val="-12"/>
                <w:sz w:val="18"/>
              </w:rPr>
              <w:t> </w:t>
            </w:r>
            <w:r>
              <w:rPr>
                <w:color w:val="105C84"/>
                <w:sz w:val="18"/>
              </w:rPr>
              <w:t>the dangers of tobacco</w:t>
            </w:r>
          </w:p>
          <w:p>
            <w:pPr>
              <w:pStyle w:val="TableParagraph"/>
              <w:spacing w:line="232" w:lineRule="auto" w:before="86"/>
              <w:ind w:left="95" w:right="129"/>
              <w:rPr>
                <w:sz w:val="18"/>
              </w:rPr>
            </w:pPr>
            <w:r>
              <w:rPr>
                <w:color w:val="105C84"/>
                <w:sz w:val="18"/>
              </w:rPr>
              <w:t>FLCH and Oak Orchard Health to provide social media</w:t>
            </w:r>
            <w:r>
              <w:rPr>
                <w:color w:val="105C84"/>
                <w:spacing w:val="-13"/>
                <w:sz w:val="18"/>
              </w:rPr>
              <w:t> </w:t>
            </w:r>
            <w:r>
              <w:rPr>
                <w:color w:val="105C84"/>
                <w:sz w:val="18"/>
              </w:rPr>
              <w:t>messages</w:t>
            </w:r>
            <w:r>
              <w:rPr>
                <w:color w:val="105C84"/>
                <w:spacing w:val="-12"/>
                <w:sz w:val="18"/>
              </w:rPr>
              <w:t> </w:t>
            </w:r>
            <w:r>
              <w:rPr>
                <w:color w:val="105C84"/>
                <w:sz w:val="18"/>
              </w:rPr>
              <w:t>related</w:t>
            </w:r>
            <w:r>
              <w:rPr>
                <w:color w:val="105C84"/>
                <w:spacing w:val="-13"/>
                <w:sz w:val="18"/>
              </w:rPr>
              <w:t> </w:t>
            </w:r>
            <w:r>
              <w:rPr>
                <w:color w:val="105C84"/>
                <w:sz w:val="18"/>
              </w:rPr>
              <w:t>to the dangers of tobacco</w:t>
            </w:r>
          </w:p>
        </w:tc>
        <w:tc>
          <w:tcPr>
            <w:tcW w:w="2368" w:type="dxa"/>
            <w:tcBorders>
              <w:top w:val="nil"/>
            </w:tcBorders>
          </w:tcPr>
          <w:p>
            <w:pPr>
              <w:pStyle w:val="TableParagraph"/>
              <w:spacing w:line="232" w:lineRule="auto" w:before="13"/>
              <w:ind w:left="95" w:right="335"/>
              <w:rPr>
                <w:sz w:val="18"/>
              </w:rPr>
            </w:pPr>
            <w:r>
              <w:rPr>
                <w:color w:val="105C84"/>
                <w:sz w:val="18"/>
              </w:rPr>
              <w:t>PH to provide at least 12</w:t>
            </w:r>
            <w:r>
              <w:rPr>
                <w:color w:val="105C84"/>
                <w:spacing w:val="-13"/>
                <w:sz w:val="18"/>
              </w:rPr>
              <w:t> </w:t>
            </w:r>
            <w:r>
              <w:rPr>
                <w:color w:val="105C84"/>
                <w:sz w:val="18"/>
              </w:rPr>
              <w:t>monthly</w:t>
            </w:r>
            <w:r>
              <w:rPr>
                <w:color w:val="105C84"/>
                <w:spacing w:val="-12"/>
                <w:sz w:val="18"/>
              </w:rPr>
              <w:t> </w:t>
            </w:r>
            <w:r>
              <w:rPr>
                <w:color w:val="105C84"/>
                <w:sz w:val="18"/>
              </w:rPr>
              <w:t>social</w:t>
            </w:r>
            <w:r>
              <w:rPr>
                <w:color w:val="105C84"/>
                <w:spacing w:val="-13"/>
                <w:sz w:val="18"/>
              </w:rPr>
              <w:t> </w:t>
            </w:r>
            <w:r>
              <w:rPr>
                <w:color w:val="105C84"/>
                <w:sz w:val="18"/>
              </w:rPr>
              <w:t>media messages</w:t>
            </w:r>
            <w:r>
              <w:rPr>
                <w:color w:val="105C84"/>
                <w:spacing w:val="-12"/>
                <w:sz w:val="18"/>
              </w:rPr>
              <w:t> </w:t>
            </w:r>
            <w:r>
              <w:rPr>
                <w:color w:val="105C84"/>
                <w:sz w:val="18"/>
              </w:rPr>
              <w:t>related</w:t>
            </w:r>
            <w:r>
              <w:rPr>
                <w:color w:val="105C84"/>
                <w:spacing w:val="-12"/>
                <w:sz w:val="18"/>
              </w:rPr>
              <w:t> </w:t>
            </w:r>
            <w:r>
              <w:rPr>
                <w:color w:val="105C84"/>
                <w:sz w:val="18"/>
              </w:rPr>
              <w:t>to</w:t>
            </w:r>
            <w:r>
              <w:rPr>
                <w:color w:val="105C84"/>
                <w:spacing w:val="-12"/>
                <w:sz w:val="18"/>
              </w:rPr>
              <w:t> </w:t>
            </w:r>
            <w:r>
              <w:rPr>
                <w:color w:val="105C84"/>
                <w:sz w:val="18"/>
              </w:rPr>
              <w:t>the dangers of tobacco</w:t>
            </w:r>
          </w:p>
          <w:p>
            <w:pPr>
              <w:pStyle w:val="TableParagraph"/>
              <w:spacing w:line="232" w:lineRule="auto" w:before="87"/>
              <w:ind w:left="95"/>
              <w:rPr>
                <w:sz w:val="18"/>
              </w:rPr>
            </w:pPr>
            <w:r>
              <w:rPr>
                <w:color w:val="105C84"/>
                <w:sz w:val="18"/>
              </w:rPr>
              <w:t>FLCH and Oak Orchard Health to provide social media</w:t>
            </w:r>
            <w:r>
              <w:rPr>
                <w:color w:val="105C84"/>
                <w:spacing w:val="-13"/>
                <w:sz w:val="18"/>
              </w:rPr>
              <w:t> </w:t>
            </w:r>
            <w:r>
              <w:rPr>
                <w:color w:val="105C84"/>
                <w:sz w:val="18"/>
              </w:rPr>
              <w:t>messages</w:t>
            </w:r>
            <w:r>
              <w:rPr>
                <w:color w:val="105C84"/>
                <w:spacing w:val="-12"/>
                <w:sz w:val="18"/>
              </w:rPr>
              <w:t> </w:t>
            </w:r>
            <w:r>
              <w:rPr>
                <w:color w:val="105C84"/>
                <w:sz w:val="18"/>
              </w:rPr>
              <w:t>related</w:t>
            </w:r>
            <w:r>
              <w:rPr>
                <w:color w:val="105C84"/>
                <w:spacing w:val="-13"/>
                <w:sz w:val="18"/>
              </w:rPr>
              <w:t> </w:t>
            </w:r>
            <w:r>
              <w:rPr>
                <w:color w:val="105C84"/>
                <w:sz w:val="18"/>
              </w:rPr>
              <w:t>to the dangers of tobacco</w:t>
            </w:r>
          </w:p>
        </w:tc>
        <w:tc>
          <w:tcPr>
            <w:tcW w:w="1497" w:type="dxa"/>
            <w:tcBorders>
              <w:top w:val="nil"/>
            </w:tcBorders>
          </w:tcPr>
          <w:p>
            <w:pPr>
              <w:pStyle w:val="TableParagraph"/>
              <w:rPr>
                <w:rFonts w:ascii="Times New Roman"/>
                <w:sz w:val="18"/>
              </w:rPr>
            </w:pPr>
          </w:p>
        </w:tc>
        <w:tc>
          <w:tcPr>
            <w:tcW w:w="1787" w:type="dxa"/>
            <w:tcBorders>
              <w:top w:val="nil"/>
            </w:tcBorders>
          </w:tcPr>
          <w:p>
            <w:pPr>
              <w:pStyle w:val="TableParagraph"/>
              <w:spacing w:line="232" w:lineRule="auto" w:before="163"/>
              <w:ind w:left="97" w:right="142"/>
              <w:rPr>
                <w:sz w:val="18"/>
              </w:rPr>
            </w:pPr>
            <w:r>
              <w:rPr>
                <w:color w:val="105C84"/>
                <w:sz w:val="18"/>
              </w:rPr>
              <w:t>PH,</w:t>
            </w:r>
            <w:r>
              <w:rPr>
                <w:color w:val="105C84"/>
                <w:spacing w:val="-13"/>
                <w:sz w:val="18"/>
              </w:rPr>
              <w:t> </w:t>
            </w:r>
            <w:r>
              <w:rPr>
                <w:color w:val="105C84"/>
                <w:sz w:val="18"/>
              </w:rPr>
              <w:t>FLCH</w:t>
            </w:r>
            <w:r>
              <w:rPr>
                <w:color w:val="105C84"/>
                <w:spacing w:val="-12"/>
                <w:sz w:val="18"/>
              </w:rPr>
              <w:t> </w:t>
            </w:r>
            <w:r>
              <w:rPr>
                <w:color w:val="105C84"/>
                <w:sz w:val="18"/>
              </w:rPr>
              <w:t>and</w:t>
            </w:r>
            <w:r>
              <w:rPr>
                <w:color w:val="105C84"/>
                <w:spacing w:val="-13"/>
                <w:sz w:val="18"/>
              </w:rPr>
              <w:t> </w:t>
            </w:r>
            <w:r>
              <w:rPr>
                <w:color w:val="105C84"/>
                <w:sz w:val="18"/>
              </w:rPr>
              <w:t>Oak Orchard</w:t>
            </w:r>
            <w:r>
              <w:rPr>
                <w:color w:val="105C84"/>
                <w:spacing w:val="-15"/>
                <w:sz w:val="18"/>
              </w:rPr>
              <w:t> </w:t>
            </w:r>
            <w:r>
              <w:rPr>
                <w:color w:val="105C84"/>
                <w:sz w:val="18"/>
              </w:rPr>
              <w:t>Health</w:t>
            </w:r>
            <w:r>
              <w:rPr>
                <w:color w:val="105C84"/>
                <w:spacing w:val="-12"/>
                <w:sz w:val="18"/>
              </w:rPr>
              <w:t> </w:t>
            </w:r>
            <w:r>
              <w:rPr>
                <w:color w:val="105C84"/>
                <w:sz w:val="18"/>
              </w:rPr>
              <w:t>will </w:t>
            </w:r>
            <w:r>
              <w:rPr>
                <w:color w:val="105C84"/>
                <w:w w:val="105"/>
                <w:sz w:val="18"/>
              </w:rPr>
              <w:t>provide</w:t>
            </w:r>
            <w:r>
              <w:rPr>
                <w:color w:val="105C84"/>
                <w:spacing w:val="-1"/>
                <w:w w:val="105"/>
                <w:sz w:val="18"/>
              </w:rPr>
              <w:t> </w:t>
            </w:r>
            <w:r>
              <w:rPr>
                <w:color w:val="105C84"/>
                <w:w w:val="105"/>
                <w:sz w:val="18"/>
              </w:rPr>
              <w:t>education and</w:t>
            </w:r>
            <w:r>
              <w:rPr>
                <w:color w:val="105C84"/>
                <w:spacing w:val="-1"/>
                <w:w w:val="105"/>
                <w:sz w:val="18"/>
              </w:rPr>
              <w:t> </w:t>
            </w:r>
            <w:r>
              <w:rPr>
                <w:color w:val="105C84"/>
                <w:w w:val="105"/>
                <w:sz w:val="18"/>
              </w:rPr>
              <w:t>outreach through</w:t>
            </w:r>
            <w:r>
              <w:rPr>
                <w:color w:val="105C84"/>
                <w:spacing w:val="-14"/>
                <w:w w:val="105"/>
                <w:sz w:val="18"/>
              </w:rPr>
              <w:t> </w:t>
            </w:r>
            <w:r>
              <w:rPr>
                <w:color w:val="105C84"/>
                <w:w w:val="105"/>
                <w:sz w:val="18"/>
              </w:rPr>
              <w:t>social</w:t>
            </w:r>
            <w:r>
              <w:rPr>
                <w:color w:val="105C84"/>
                <w:spacing w:val="-13"/>
                <w:w w:val="105"/>
                <w:sz w:val="18"/>
              </w:rPr>
              <w:t> </w:t>
            </w:r>
            <w:r>
              <w:rPr>
                <w:color w:val="105C84"/>
                <w:w w:val="105"/>
                <w:sz w:val="18"/>
              </w:rPr>
              <w:t>and traditional</w:t>
            </w:r>
            <w:r>
              <w:rPr>
                <w:color w:val="105C84"/>
                <w:spacing w:val="-1"/>
                <w:w w:val="105"/>
                <w:sz w:val="18"/>
              </w:rPr>
              <w:t> </w:t>
            </w:r>
            <w:r>
              <w:rPr>
                <w:color w:val="105C84"/>
                <w:w w:val="105"/>
                <w:sz w:val="18"/>
              </w:rPr>
              <w:t>media outlets and other opportunities</w:t>
            </w:r>
            <w:r>
              <w:rPr>
                <w:color w:val="105C84"/>
                <w:spacing w:val="-1"/>
                <w:w w:val="105"/>
                <w:sz w:val="18"/>
              </w:rPr>
              <w:t> </w:t>
            </w:r>
            <w:r>
              <w:rPr>
                <w:color w:val="105C84"/>
                <w:w w:val="105"/>
                <w:sz w:val="18"/>
              </w:rPr>
              <w:t>as they</w:t>
            </w:r>
            <w:r>
              <w:rPr>
                <w:color w:val="105C84"/>
                <w:spacing w:val="-1"/>
                <w:w w:val="105"/>
                <w:sz w:val="18"/>
              </w:rPr>
              <w:t> </w:t>
            </w:r>
            <w:r>
              <w:rPr>
                <w:color w:val="105C84"/>
                <w:w w:val="105"/>
                <w:sz w:val="18"/>
              </w:rPr>
              <w:t>arise</w:t>
            </w:r>
          </w:p>
        </w:tc>
      </w:tr>
    </w:tbl>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53"/>
        <w:rPr>
          <w:b/>
          <w:sz w:val="26"/>
        </w:rPr>
      </w:pPr>
    </w:p>
    <w:p>
      <w:pPr>
        <w:tabs>
          <w:tab w:pos="23047" w:val="left" w:leader="none"/>
        </w:tabs>
        <w:spacing w:before="0"/>
        <w:ind w:left="0" w:right="0" w:firstLine="0"/>
        <w:jc w:val="left"/>
        <w:rPr>
          <w:b/>
          <w:sz w:val="26"/>
        </w:rPr>
      </w:pPr>
      <w:r>
        <w:rPr>
          <w:position w:val="-4"/>
        </w:rPr>
        <w:drawing>
          <wp:inline distT="0" distB="0" distL="0" distR="0">
            <wp:extent cx="568172" cy="184683"/>
            <wp:effectExtent l="0" t="0" r="0" b="0"/>
            <wp:docPr id="1943" name="Image 1943"/>
            <wp:cNvGraphicFramePr>
              <a:graphicFrameLocks/>
            </wp:cNvGraphicFramePr>
            <a:graphic>
              <a:graphicData uri="http://schemas.openxmlformats.org/drawingml/2006/picture">
                <pic:pic>
                  <pic:nvPicPr>
                    <pic:cNvPr id="1943" name="Image 1943"/>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13"/>
          <w:sz w:val="20"/>
        </w:rPr>
        <w:t> </w:t>
      </w:r>
      <w:r>
        <w:rPr>
          <w:b/>
          <w:color w:val="939598"/>
          <w:w w:val="105"/>
          <w:sz w:val="26"/>
        </w:rPr>
        <w:t>191</w:t>
      </w:r>
      <w:r>
        <w:rPr>
          <w:b/>
          <w:color w:val="939598"/>
          <w:sz w:val="26"/>
        </w:rPr>
        <w:tab/>
      </w:r>
      <w:r>
        <w:rPr>
          <w:b/>
          <w:color w:val="939598"/>
          <w:spacing w:val="-5"/>
          <w:w w:val="105"/>
          <w:sz w:val="26"/>
        </w:rPr>
        <w:t>192</w:t>
      </w:r>
    </w:p>
    <w:p>
      <w:pPr>
        <w:spacing w:after="0"/>
        <w:jc w:val="left"/>
        <w:rPr>
          <w:b/>
          <w:sz w:val="26"/>
        </w:rPr>
        <w:sectPr>
          <w:headerReference w:type="default" r:id="rId258"/>
          <w:pgSz w:w="24480" w:h="15840" w:orient="landscape"/>
          <w:pgMar w:header="0" w:footer="0" w:top="860" w:bottom="0" w:left="0" w:right="720"/>
        </w:sectPr>
      </w:pPr>
    </w:p>
    <w:p>
      <w:pPr>
        <w:spacing w:before="609"/>
        <w:ind w:left="1089" w:right="0" w:firstLine="0"/>
        <w:jc w:val="left"/>
        <w:rPr>
          <w:sz w:val="54"/>
        </w:rPr>
      </w:pPr>
      <w:r>
        <w:rPr>
          <w:sz w:val="54"/>
        </w:rPr>
        <w:drawing>
          <wp:anchor distT="0" distB="0" distL="0" distR="0" allowOverlap="1" layoutInCell="1" locked="0" behindDoc="0" simplePos="0" relativeHeight="15995392">
            <wp:simplePos x="0" y="0"/>
            <wp:positionH relativeFrom="page">
              <wp:posOffset>14981556</wp:posOffset>
            </wp:positionH>
            <wp:positionV relativeFrom="page">
              <wp:posOffset>9668103</wp:posOffset>
            </wp:positionV>
            <wp:extent cx="563245" cy="184683"/>
            <wp:effectExtent l="0" t="0" r="0" b="0"/>
            <wp:wrapNone/>
            <wp:docPr id="1944" name="Image 1944"/>
            <wp:cNvGraphicFramePr>
              <a:graphicFrameLocks/>
            </wp:cNvGraphicFramePr>
            <a:graphic>
              <a:graphicData uri="http://schemas.openxmlformats.org/drawingml/2006/picture">
                <pic:pic>
                  <pic:nvPicPr>
                    <pic:cNvPr id="1944" name="Image 1944"/>
                    <pic:cNvPicPr/>
                  </pic:nvPicPr>
                  <pic:blipFill>
                    <a:blip r:embed="rId38" cstate="print"/>
                    <a:stretch>
                      <a:fillRect/>
                    </a:stretch>
                  </pic:blipFill>
                  <pic:spPr>
                    <a:xfrm>
                      <a:off x="0" y="0"/>
                      <a:ext cx="563245" cy="184683"/>
                    </a:xfrm>
                    <a:prstGeom prst="rect">
                      <a:avLst/>
                    </a:prstGeom>
                  </pic:spPr>
                </pic:pic>
              </a:graphicData>
            </a:graphic>
          </wp:anchor>
        </w:drawing>
      </w:r>
      <w:r>
        <w:rPr>
          <w:sz w:val="54"/>
        </w:rPr>
        <w:drawing>
          <wp:anchor distT="0" distB="0" distL="0" distR="0" allowOverlap="1" layoutInCell="1" locked="0" behindDoc="0" simplePos="0" relativeHeight="15995904">
            <wp:simplePos x="0" y="0"/>
            <wp:positionH relativeFrom="page">
              <wp:posOffset>14298866</wp:posOffset>
            </wp:positionH>
            <wp:positionV relativeFrom="paragraph">
              <wp:posOffset>333089</wp:posOffset>
            </wp:positionV>
            <wp:extent cx="552068" cy="591502"/>
            <wp:effectExtent l="0" t="0" r="0" b="0"/>
            <wp:wrapNone/>
            <wp:docPr id="1945" name="Image 1945"/>
            <wp:cNvGraphicFramePr>
              <a:graphicFrameLocks/>
            </wp:cNvGraphicFramePr>
            <a:graphic>
              <a:graphicData uri="http://schemas.openxmlformats.org/drawingml/2006/picture">
                <pic:pic>
                  <pic:nvPicPr>
                    <pic:cNvPr id="1945" name="Image 1945"/>
                    <pic:cNvPicPr/>
                  </pic:nvPicPr>
                  <pic:blipFill>
                    <a:blip r:embed="rId259" cstate="print"/>
                    <a:stretch>
                      <a:fillRect/>
                    </a:stretch>
                  </pic:blipFill>
                  <pic:spPr>
                    <a:xfrm>
                      <a:off x="0" y="0"/>
                      <a:ext cx="552068" cy="591502"/>
                    </a:xfrm>
                    <a:prstGeom prst="rect">
                      <a:avLst/>
                    </a:prstGeom>
                  </pic:spPr>
                </pic:pic>
              </a:graphicData>
            </a:graphic>
          </wp:anchor>
        </w:drawing>
      </w:r>
      <w:r>
        <w:rPr>
          <w:sz w:val="54"/>
        </w:rPr>
        <w:drawing>
          <wp:anchor distT="0" distB="0" distL="0" distR="0" allowOverlap="1" layoutInCell="1" locked="0" behindDoc="0" simplePos="0" relativeHeight="15996416">
            <wp:simplePos x="0" y="0"/>
            <wp:positionH relativeFrom="page">
              <wp:posOffset>11596623</wp:posOffset>
            </wp:positionH>
            <wp:positionV relativeFrom="paragraph">
              <wp:posOffset>330783</wp:posOffset>
            </wp:positionV>
            <wp:extent cx="1311661" cy="345815"/>
            <wp:effectExtent l="0" t="0" r="0" b="0"/>
            <wp:wrapNone/>
            <wp:docPr id="1946" name="Image 1946"/>
            <wp:cNvGraphicFramePr>
              <a:graphicFrameLocks/>
            </wp:cNvGraphicFramePr>
            <a:graphic>
              <a:graphicData uri="http://schemas.openxmlformats.org/drawingml/2006/picture">
                <pic:pic>
                  <pic:nvPicPr>
                    <pic:cNvPr id="1946" name="Image 1946"/>
                    <pic:cNvPicPr/>
                  </pic:nvPicPr>
                  <pic:blipFill>
                    <a:blip r:embed="rId260" cstate="print"/>
                    <a:stretch>
                      <a:fillRect/>
                    </a:stretch>
                  </pic:blipFill>
                  <pic:spPr>
                    <a:xfrm>
                      <a:off x="0" y="0"/>
                      <a:ext cx="1311661" cy="345815"/>
                    </a:xfrm>
                    <a:prstGeom prst="rect">
                      <a:avLst/>
                    </a:prstGeom>
                  </pic:spPr>
                </pic:pic>
              </a:graphicData>
            </a:graphic>
          </wp:anchor>
        </w:drawing>
      </w:r>
      <w:r>
        <w:rPr>
          <w:sz w:val="54"/>
        </w:rPr>
        <w:drawing>
          <wp:anchor distT="0" distB="0" distL="0" distR="0" allowOverlap="1" layoutInCell="1" locked="0" behindDoc="0" simplePos="0" relativeHeight="15996928">
            <wp:simplePos x="0" y="0"/>
            <wp:positionH relativeFrom="page">
              <wp:posOffset>13088996</wp:posOffset>
            </wp:positionH>
            <wp:positionV relativeFrom="paragraph">
              <wp:posOffset>323398</wp:posOffset>
            </wp:positionV>
            <wp:extent cx="1063929" cy="302976"/>
            <wp:effectExtent l="0" t="0" r="0" b="0"/>
            <wp:wrapNone/>
            <wp:docPr id="1947" name="Image 1947"/>
            <wp:cNvGraphicFramePr>
              <a:graphicFrameLocks/>
            </wp:cNvGraphicFramePr>
            <a:graphic>
              <a:graphicData uri="http://schemas.openxmlformats.org/drawingml/2006/picture">
                <pic:pic>
                  <pic:nvPicPr>
                    <pic:cNvPr id="1947" name="Image 1947"/>
                    <pic:cNvPicPr/>
                  </pic:nvPicPr>
                  <pic:blipFill>
                    <a:blip r:embed="rId261" cstate="print"/>
                    <a:stretch>
                      <a:fillRect/>
                    </a:stretch>
                  </pic:blipFill>
                  <pic:spPr>
                    <a:xfrm>
                      <a:off x="0" y="0"/>
                      <a:ext cx="1063929" cy="302976"/>
                    </a:xfrm>
                    <a:prstGeom prst="rect">
                      <a:avLst/>
                    </a:prstGeom>
                  </pic:spPr>
                </pic:pic>
              </a:graphicData>
            </a:graphic>
          </wp:anchor>
        </w:drawing>
      </w:r>
      <w:r>
        <w:rPr>
          <w:sz w:val="54"/>
        </w:rPr>
        <w:drawing>
          <wp:anchor distT="0" distB="0" distL="0" distR="0" allowOverlap="1" layoutInCell="1" locked="0" behindDoc="0" simplePos="0" relativeHeight="15997440">
            <wp:simplePos x="0" y="0"/>
            <wp:positionH relativeFrom="page">
              <wp:posOffset>11099800</wp:posOffset>
            </wp:positionH>
            <wp:positionV relativeFrom="paragraph">
              <wp:posOffset>279907</wp:posOffset>
            </wp:positionV>
            <wp:extent cx="330199" cy="393699"/>
            <wp:effectExtent l="0" t="0" r="0" b="0"/>
            <wp:wrapNone/>
            <wp:docPr id="1948" name="Image 1948"/>
            <wp:cNvGraphicFramePr>
              <a:graphicFrameLocks/>
            </wp:cNvGraphicFramePr>
            <a:graphic>
              <a:graphicData uri="http://schemas.openxmlformats.org/drawingml/2006/picture">
                <pic:pic>
                  <pic:nvPicPr>
                    <pic:cNvPr id="1948" name="Image 1948"/>
                    <pic:cNvPicPr/>
                  </pic:nvPicPr>
                  <pic:blipFill>
                    <a:blip r:embed="rId262" cstate="print"/>
                    <a:stretch>
                      <a:fillRect/>
                    </a:stretch>
                  </pic:blipFill>
                  <pic:spPr>
                    <a:xfrm>
                      <a:off x="0" y="0"/>
                      <a:ext cx="330199" cy="393699"/>
                    </a:xfrm>
                    <a:prstGeom prst="rect">
                      <a:avLst/>
                    </a:prstGeom>
                  </pic:spPr>
                </pic:pic>
              </a:graphicData>
            </a:graphic>
          </wp:anchor>
        </w:drawing>
      </w:r>
      <w:r>
        <w:rPr>
          <w:sz w:val="54"/>
        </w:rPr>
        <w:drawing>
          <wp:anchor distT="0" distB="0" distL="0" distR="0" allowOverlap="1" layoutInCell="1" locked="0" behindDoc="0" simplePos="0" relativeHeight="15997952">
            <wp:simplePos x="0" y="0"/>
            <wp:positionH relativeFrom="page">
              <wp:posOffset>9610343</wp:posOffset>
            </wp:positionH>
            <wp:positionV relativeFrom="paragraph">
              <wp:posOffset>374444</wp:posOffset>
            </wp:positionV>
            <wp:extent cx="1279782" cy="224523"/>
            <wp:effectExtent l="0" t="0" r="0" b="0"/>
            <wp:wrapNone/>
            <wp:docPr id="1949" name="Image 1949"/>
            <wp:cNvGraphicFramePr>
              <a:graphicFrameLocks/>
            </wp:cNvGraphicFramePr>
            <a:graphic>
              <a:graphicData uri="http://schemas.openxmlformats.org/drawingml/2006/picture">
                <pic:pic>
                  <pic:nvPicPr>
                    <pic:cNvPr id="1949" name="Image 1949"/>
                    <pic:cNvPicPr/>
                  </pic:nvPicPr>
                  <pic:blipFill>
                    <a:blip r:embed="rId263" cstate="print"/>
                    <a:stretch>
                      <a:fillRect/>
                    </a:stretch>
                  </pic:blipFill>
                  <pic:spPr>
                    <a:xfrm>
                      <a:off x="0" y="0"/>
                      <a:ext cx="1279782" cy="224523"/>
                    </a:xfrm>
                    <a:prstGeom prst="rect">
                      <a:avLst/>
                    </a:prstGeom>
                  </pic:spPr>
                </pic:pic>
              </a:graphicData>
            </a:graphic>
          </wp:anchor>
        </w:drawing>
      </w:r>
      <w:r>
        <w:rPr>
          <w:color w:val="636466"/>
          <w:sz w:val="54"/>
        </w:rPr>
        <w:t>Steuben</w:t>
      </w:r>
      <w:r>
        <w:rPr>
          <w:color w:val="636466"/>
          <w:spacing w:val="54"/>
          <w:sz w:val="54"/>
        </w:rPr>
        <w:t> </w:t>
      </w:r>
      <w:r>
        <w:rPr>
          <w:color w:val="636466"/>
          <w:sz w:val="54"/>
        </w:rPr>
        <w:t>County</w:t>
      </w:r>
      <w:r>
        <w:rPr>
          <w:color w:val="636466"/>
          <w:spacing w:val="55"/>
          <w:sz w:val="54"/>
        </w:rPr>
        <w:t> </w:t>
      </w:r>
      <w:r>
        <w:rPr>
          <w:color w:val="636466"/>
          <w:sz w:val="54"/>
        </w:rPr>
        <w:t>Appendix</w:t>
      </w:r>
      <w:r>
        <w:rPr>
          <w:color w:val="636466"/>
          <w:spacing w:val="54"/>
          <w:sz w:val="54"/>
        </w:rPr>
        <w:t> </w:t>
      </w:r>
      <w:r>
        <w:rPr>
          <w:color w:val="636466"/>
          <w:spacing w:val="-10"/>
          <w:sz w:val="54"/>
        </w:rPr>
        <w:t>F</w:t>
      </w:r>
    </w:p>
    <w:p>
      <w:pPr>
        <w:spacing w:before="236"/>
        <w:ind w:left="1089" w:right="0" w:firstLine="0"/>
        <w:jc w:val="left"/>
        <w:rPr>
          <w:b/>
          <w:sz w:val="32"/>
        </w:rPr>
      </w:pPr>
      <w:r>
        <w:rPr>
          <w:b/>
          <w:color w:val="82BF6A"/>
          <w:spacing w:val="-6"/>
          <w:sz w:val="32"/>
        </w:rPr>
        <w:t>PRIORITY:</w:t>
      </w:r>
      <w:r>
        <w:rPr>
          <w:b/>
          <w:color w:val="82BF6A"/>
          <w:spacing w:val="-13"/>
          <w:sz w:val="32"/>
        </w:rPr>
        <w:t> </w:t>
      </w:r>
      <w:r>
        <w:rPr>
          <w:b/>
          <w:color w:val="82BF6A"/>
          <w:spacing w:val="-6"/>
          <w:sz w:val="32"/>
        </w:rPr>
        <w:t>PREVENT</w:t>
      </w:r>
      <w:r>
        <w:rPr>
          <w:b/>
          <w:color w:val="82BF6A"/>
          <w:spacing w:val="-13"/>
          <w:sz w:val="32"/>
        </w:rPr>
        <w:t> </w:t>
      </w:r>
      <w:r>
        <w:rPr>
          <w:b/>
          <w:color w:val="82BF6A"/>
          <w:spacing w:val="-6"/>
          <w:sz w:val="32"/>
        </w:rPr>
        <w:t>CHRONIC</w:t>
      </w:r>
      <w:r>
        <w:rPr>
          <w:b/>
          <w:color w:val="82BF6A"/>
          <w:spacing w:val="-13"/>
          <w:sz w:val="32"/>
        </w:rPr>
        <w:t> </w:t>
      </w:r>
      <w:r>
        <w:rPr>
          <w:b/>
          <w:color w:val="82BF6A"/>
          <w:spacing w:val="-6"/>
          <w:sz w:val="32"/>
        </w:rPr>
        <w:t>DISEASES</w:t>
      </w:r>
    </w:p>
    <w:p>
      <w:pPr>
        <w:pStyle w:val="BodyText"/>
        <w:spacing w:before="162"/>
        <w:rPr>
          <w:b/>
          <w:sz w:val="20"/>
        </w:rPr>
      </w:pPr>
    </w:p>
    <w:tbl>
      <w:tblPr>
        <w:tblW w:w="0" w:type="auto"/>
        <w:jc w:val="left"/>
        <w:tblInd w:w="1099"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1180"/>
        <w:gridCol w:w="1353"/>
        <w:gridCol w:w="1209"/>
        <w:gridCol w:w="1605"/>
        <w:gridCol w:w="1763"/>
        <w:gridCol w:w="4031"/>
        <w:gridCol w:w="3109"/>
        <w:gridCol w:w="1755"/>
        <w:gridCol w:w="1582"/>
        <w:gridCol w:w="1553"/>
        <w:gridCol w:w="1488"/>
        <w:gridCol w:w="1656"/>
      </w:tblGrid>
      <w:tr>
        <w:trPr>
          <w:trHeight w:val="1130" w:hRule="atLeast"/>
        </w:trPr>
        <w:tc>
          <w:tcPr>
            <w:tcW w:w="1180" w:type="dxa"/>
            <w:tcBorders>
              <w:right w:val="single" w:sz="4" w:space="0" w:color="FFFFFF"/>
            </w:tcBorders>
            <w:shd w:val="clear" w:color="auto" w:fill="A7A9AC"/>
          </w:tcPr>
          <w:p>
            <w:pPr>
              <w:pStyle w:val="TableParagraph"/>
              <w:rPr>
                <w:b/>
                <w:sz w:val="18"/>
              </w:rPr>
            </w:pPr>
          </w:p>
          <w:p>
            <w:pPr>
              <w:pStyle w:val="TableParagraph"/>
              <w:spacing w:before="72"/>
              <w:rPr>
                <w:b/>
                <w:sz w:val="18"/>
              </w:rPr>
            </w:pPr>
          </w:p>
          <w:p>
            <w:pPr>
              <w:pStyle w:val="TableParagraph"/>
              <w:ind w:left="80"/>
              <w:rPr>
                <w:b/>
                <w:sz w:val="18"/>
              </w:rPr>
            </w:pPr>
            <w:r>
              <w:rPr>
                <w:b/>
                <w:color w:val="FFFFFF"/>
                <w:spacing w:val="-2"/>
                <w:sz w:val="18"/>
              </w:rPr>
              <w:t>Priority</w:t>
            </w:r>
          </w:p>
        </w:tc>
        <w:tc>
          <w:tcPr>
            <w:tcW w:w="1353" w:type="dxa"/>
            <w:tcBorders>
              <w:left w:val="single" w:sz="4" w:space="0" w:color="FFFFFF"/>
              <w:right w:val="single" w:sz="4" w:space="0" w:color="FFFFFF"/>
            </w:tcBorders>
            <w:shd w:val="clear" w:color="auto" w:fill="A7A9AC"/>
          </w:tcPr>
          <w:p>
            <w:pPr>
              <w:pStyle w:val="TableParagraph"/>
              <w:rPr>
                <w:b/>
                <w:sz w:val="18"/>
              </w:rPr>
            </w:pPr>
          </w:p>
          <w:p>
            <w:pPr>
              <w:pStyle w:val="TableParagraph"/>
              <w:spacing w:before="72"/>
              <w:rPr>
                <w:b/>
                <w:sz w:val="18"/>
              </w:rPr>
            </w:pPr>
          </w:p>
          <w:p>
            <w:pPr>
              <w:pStyle w:val="TableParagraph"/>
              <w:ind w:left="80"/>
              <w:rPr>
                <w:b/>
                <w:sz w:val="18"/>
              </w:rPr>
            </w:pPr>
            <w:r>
              <w:rPr>
                <w:b/>
                <w:color w:val="FFFFFF"/>
                <w:w w:val="90"/>
                <w:sz w:val="18"/>
              </w:rPr>
              <w:t>Focus</w:t>
            </w:r>
            <w:r>
              <w:rPr>
                <w:b/>
                <w:color w:val="FFFFFF"/>
                <w:spacing w:val="8"/>
                <w:sz w:val="18"/>
              </w:rPr>
              <w:t> </w:t>
            </w:r>
            <w:r>
              <w:rPr>
                <w:b/>
                <w:color w:val="FFFFFF"/>
                <w:spacing w:val="-4"/>
                <w:sz w:val="18"/>
              </w:rPr>
              <w:t>Area</w:t>
            </w:r>
          </w:p>
        </w:tc>
        <w:tc>
          <w:tcPr>
            <w:tcW w:w="1209" w:type="dxa"/>
            <w:tcBorders>
              <w:left w:val="single" w:sz="4" w:space="0" w:color="FFFFFF"/>
              <w:right w:val="single" w:sz="4" w:space="0" w:color="FFFFFF"/>
            </w:tcBorders>
            <w:shd w:val="clear" w:color="auto" w:fill="A7A9AC"/>
          </w:tcPr>
          <w:p>
            <w:pPr>
              <w:pStyle w:val="TableParagraph"/>
              <w:spacing w:before="184"/>
              <w:rPr>
                <w:b/>
                <w:sz w:val="18"/>
              </w:rPr>
            </w:pPr>
          </w:p>
          <w:p>
            <w:pPr>
              <w:pStyle w:val="TableParagraph"/>
              <w:spacing w:line="232" w:lineRule="auto"/>
              <w:ind w:left="81" w:right="178"/>
              <w:rPr>
                <w:b/>
                <w:sz w:val="18"/>
              </w:rPr>
            </w:pPr>
            <w:r>
              <w:rPr>
                <w:b/>
                <w:color w:val="FFFFFF"/>
                <w:spacing w:val="-6"/>
                <w:sz w:val="18"/>
              </w:rPr>
              <w:t>Goal</w:t>
            </w:r>
            <w:r>
              <w:rPr>
                <w:b/>
                <w:color w:val="FFFFFF"/>
                <w:spacing w:val="-7"/>
                <w:sz w:val="18"/>
              </w:rPr>
              <w:t> </w:t>
            </w:r>
            <w:r>
              <w:rPr>
                <w:b/>
                <w:color w:val="FFFFFF"/>
                <w:spacing w:val="-6"/>
                <w:sz w:val="18"/>
              </w:rPr>
              <w:t>Focus </w:t>
            </w:r>
            <w:r>
              <w:rPr>
                <w:b/>
                <w:color w:val="FFFFFF"/>
                <w:spacing w:val="-4"/>
                <w:sz w:val="18"/>
              </w:rPr>
              <w:t>Area</w:t>
            </w:r>
          </w:p>
        </w:tc>
        <w:tc>
          <w:tcPr>
            <w:tcW w:w="1605" w:type="dxa"/>
            <w:tcBorders>
              <w:left w:val="single" w:sz="4" w:space="0" w:color="FFFFFF"/>
              <w:right w:val="single" w:sz="4" w:space="0" w:color="FFFFFF"/>
            </w:tcBorders>
            <w:shd w:val="clear" w:color="auto" w:fill="A7A9AC"/>
          </w:tcPr>
          <w:p>
            <w:pPr>
              <w:pStyle w:val="TableParagraph"/>
              <w:rPr>
                <w:b/>
                <w:sz w:val="18"/>
              </w:rPr>
            </w:pPr>
          </w:p>
          <w:p>
            <w:pPr>
              <w:pStyle w:val="TableParagraph"/>
              <w:spacing w:before="72"/>
              <w:rPr>
                <w:b/>
                <w:sz w:val="18"/>
              </w:rPr>
            </w:pPr>
          </w:p>
          <w:p>
            <w:pPr>
              <w:pStyle w:val="TableParagraph"/>
              <w:ind w:left="81"/>
              <w:rPr>
                <w:b/>
                <w:sz w:val="18"/>
              </w:rPr>
            </w:pPr>
            <w:r>
              <w:rPr>
                <w:b/>
                <w:color w:val="FFFFFF"/>
                <w:spacing w:val="-2"/>
                <w:sz w:val="18"/>
              </w:rPr>
              <w:t>Objectives</w:t>
            </w:r>
          </w:p>
        </w:tc>
        <w:tc>
          <w:tcPr>
            <w:tcW w:w="1763" w:type="dxa"/>
            <w:tcBorders>
              <w:left w:val="single" w:sz="4" w:space="0" w:color="FFFFFF"/>
              <w:right w:val="single" w:sz="4" w:space="0" w:color="FFFFFF"/>
            </w:tcBorders>
            <w:shd w:val="clear" w:color="auto" w:fill="A7A9AC"/>
          </w:tcPr>
          <w:p>
            <w:pPr>
              <w:pStyle w:val="TableParagraph"/>
              <w:rPr>
                <w:b/>
                <w:sz w:val="18"/>
              </w:rPr>
            </w:pPr>
          </w:p>
          <w:p>
            <w:pPr>
              <w:pStyle w:val="TableParagraph"/>
              <w:spacing w:before="72"/>
              <w:rPr>
                <w:b/>
                <w:sz w:val="18"/>
              </w:rPr>
            </w:pPr>
          </w:p>
          <w:p>
            <w:pPr>
              <w:pStyle w:val="TableParagraph"/>
              <w:ind w:left="82"/>
              <w:rPr>
                <w:b/>
                <w:sz w:val="18"/>
              </w:rPr>
            </w:pPr>
            <w:r>
              <w:rPr>
                <w:b/>
                <w:color w:val="FFFFFF"/>
                <w:spacing w:val="-2"/>
                <w:sz w:val="18"/>
              </w:rPr>
              <w:t>Disparities</w:t>
            </w:r>
          </w:p>
        </w:tc>
        <w:tc>
          <w:tcPr>
            <w:tcW w:w="4031" w:type="dxa"/>
            <w:tcBorders>
              <w:left w:val="single" w:sz="4" w:space="0" w:color="FFFFFF"/>
              <w:right w:val="nil"/>
            </w:tcBorders>
            <w:shd w:val="clear" w:color="auto" w:fill="A7A9AC"/>
          </w:tcPr>
          <w:p>
            <w:pPr>
              <w:pStyle w:val="TableParagraph"/>
              <w:rPr>
                <w:b/>
                <w:sz w:val="18"/>
              </w:rPr>
            </w:pPr>
          </w:p>
          <w:p>
            <w:pPr>
              <w:pStyle w:val="TableParagraph"/>
              <w:spacing w:before="72"/>
              <w:rPr>
                <w:b/>
                <w:sz w:val="18"/>
              </w:rPr>
            </w:pPr>
          </w:p>
          <w:p>
            <w:pPr>
              <w:pStyle w:val="TableParagraph"/>
              <w:ind w:left="83"/>
              <w:rPr>
                <w:b/>
                <w:sz w:val="18"/>
              </w:rPr>
            </w:pPr>
            <w:r>
              <w:rPr>
                <w:b/>
                <w:color w:val="FFFFFF"/>
                <w:spacing w:val="-2"/>
                <w:sz w:val="18"/>
              </w:rPr>
              <w:t>Interventions</w:t>
            </w:r>
          </w:p>
        </w:tc>
        <w:tc>
          <w:tcPr>
            <w:tcW w:w="3109" w:type="dxa"/>
            <w:tcBorders>
              <w:left w:val="nil"/>
              <w:right w:val="single" w:sz="4" w:space="0" w:color="FFFFFF"/>
            </w:tcBorders>
            <w:shd w:val="clear" w:color="auto" w:fill="A7A9AC"/>
          </w:tcPr>
          <w:p>
            <w:pPr>
              <w:pStyle w:val="TableParagraph"/>
              <w:rPr>
                <w:b/>
                <w:sz w:val="18"/>
              </w:rPr>
            </w:pPr>
          </w:p>
          <w:p>
            <w:pPr>
              <w:pStyle w:val="TableParagraph"/>
              <w:spacing w:before="72"/>
              <w:rPr>
                <w:b/>
                <w:sz w:val="18"/>
              </w:rPr>
            </w:pPr>
          </w:p>
          <w:p>
            <w:pPr>
              <w:pStyle w:val="TableParagraph"/>
              <w:ind w:left="1089"/>
              <w:rPr>
                <w:b/>
                <w:sz w:val="18"/>
              </w:rPr>
            </w:pPr>
            <w:r>
              <w:rPr>
                <w:b/>
                <w:color w:val="FFFFFF"/>
                <w:sz w:val="18"/>
              </w:rPr>
              <w:t>Family</w:t>
            </w:r>
            <w:r>
              <w:rPr>
                <w:b/>
                <w:color w:val="FFFFFF"/>
                <w:spacing w:val="-11"/>
                <w:sz w:val="18"/>
              </w:rPr>
              <w:t> </w:t>
            </w:r>
            <w:r>
              <w:rPr>
                <w:b/>
                <w:color w:val="FFFFFF"/>
                <w:sz w:val="18"/>
              </w:rPr>
              <w:t>of</w:t>
            </w:r>
            <w:r>
              <w:rPr>
                <w:b/>
                <w:color w:val="FFFFFF"/>
                <w:spacing w:val="-10"/>
                <w:sz w:val="18"/>
              </w:rPr>
              <w:t> </w:t>
            </w:r>
            <w:r>
              <w:rPr>
                <w:b/>
                <w:color w:val="FFFFFF"/>
                <w:spacing w:val="-2"/>
                <w:sz w:val="18"/>
              </w:rPr>
              <w:t>Measures</w:t>
            </w:r>
          </w:p>
        </w:tc>
        <w:tc>
          <w:tcPr>
            <w:tcW w:w="1755" w:type="dxa"/>
            <w:tcBorders>
              <w:left w:val="single" w:sz="4" w:space="0" w:color="FFFFFF"/>
              <w:right w:val="single" w:sz="4" w:space="0" w:color="FFFFFF"/>
            </w:tcBorders>
            <w:shd w:val="clear" w:color="auto" w:fill="A7A9AC"/>
          </w:tcPr>
          <w:p>
            <w:pPr>
              <w:pStyle w:val="TableParagraph"/>
              <w:spacing w:line="232" w:lineRule="auto" w:before="191"/>
              <w:ind w:left="95" w:right="339"/>
              <w:rPr>
                <w:b/>
                <w:sz w:val="18"/>
              </w:rPr>
            </w:pPr>
            <w:r>
              <w:rPr>
                <w:b/>
                <w:color w:val="FFFFFF"/>
                <w:spacing w:val="-2"/>
                <w:sz w:val="18"/>
              </w:rPr>
              <w:t>Projected</w:t>
            </w:r>
            <w:r>
              <w:rPr>
                <w:b/>
                <w:color w:val="FFFFFF"/>
                <w:spacing w:val="-11"/>
                <w:sz w:val="18"/>
              </w:rPr>
              <w:t> </w:t>
            </w:r>
            <w:r>
              <w:rPr>
                <w:b/>
                <w:color w:val="FFFFFF"/>
                <w:spacing w:val="-2"/>
                <w:sz w:val="18"/>
              </w:rPr>
              <w:t>(or completed) </w:t>
            </w:r>
            <w:r>
              <w:rPr>
                <w:b/>
                <w:color w:val="FFFFFF"/>
                <w:sz w:val="18"/>
              </w:rPr>
              <w:t>Year 1 </w:t>
            </w:r>
            <w:r>
              <w:rPr>
                <w:b/>
                <w:color w:val="FFFFFF"/>
                <w:spacing w:val="-2"/>
                <w:sz w:val="18"/>
              </w:rPr>
              <w:t>Intervention</w:t>
            </w:r>
          </w:p>
        </w:tc>
        <w:tc>
          <w:tcPr>
            <w:tcW w:w="1582" w:type="dxa"/>
            <w:tcBorders>
              <w:left w:val="single" w:sz="4" w:space="0" w:color="FFFFFF"/>
              <w:right w:val="single" w:sz="4" w:space="0" w:color="FFFFFF"/>
            </w:tcBorders>
            <w:shd w:val="clear" w:color="auto" w:fill="A7A9AC"/>
          </w:tcPr>
          <w:p>
            <w:pPr>
              <w:pStyle w:val="TableParagraph"/>
              <w:rPr>
                <w:b/>
                <w:sz w:val="18"/>
              </w:rPr>
            </w:pPr>
          </w:p>
          <w:p>
            <w:pPr>
              <w:pStyle w:val="TableParagraph"/>
              <w:spacing w:before="71"/>
              <w:rPr>
                <w:b/>
                <w:sz w:val="18"/>
              </w:rPr>
            </w:pPr>
          </w:p>
          <w:p>
            <w:pPr>
              <w:pStyle w:val="TableParagraph"/>
              <w:spacing w:before="1"/>
              <w:ind w:left="87"/>
              <w:rPr>
                <w:b/>
                <w:sz w:val="18"/>
              </w:rPr>
            </w:pPr>
            <w:r>
              <w:rPr>
                <w:b/>
                <w:color w:val="FFFFFF"/>
                <w:spacing w:val="-2"/>
                <w:sz w:val="18"/>
              </w:rPr>
              <w:t>Projected</w:t>
            </w:r>
            <w:r>
              <w:rPr>
                <w:b/>
                <w:color w:val="FFFFFF"/>
                <w:spacing w:val="-6"/>
                <w:sz w:val="18"/>
              </w:rPr>
              <w:t> </w:t>
            </w:r>
            <w:r>
              <w:rPr>
                <w:b/>
                <w:color w:val="FFFFFF"/>
                <w:spacing w:val="-2"/>
                <w:sz w:val="18"/>
              </w:rPr>
              <w:t>Year</w:t>
            </w:r>
            <w:r>
              <w:rPr>
                <w:b/>
                <w:color w:val="FFFFFF"/>
                <w:spacing w:val="-5"/>
                <w:sz w:val="18"/>
              </w:rPr>
              <w:t> </w:t>
            </w:r>
            <w:r>
              <w:rPr>
                <w:b/>
                <w:color w:val="FFFFFF"/>
                <w:spacing w:val="-12"/>
                <w:sz w:val="18"/>
              </w:rPr>
              <w:t>2</w:t>
            </w:r>
          </w:p>
        </w:tc>
        <w:tc>
          <w:tcPr>
            <w:tcW w:w="1553" w:type="dxa"/>
            <w:tcBorders>
              <w:left w:val="single" w:sz="4" w:space="0" w:color="FFFFFF"/>
              <w:right w:val="single" w:sz="4" w:space="0" w:color="FFFFFF"/>
            </w:tcBorders>
            <w:shd w:val="clear" w:color="auto" w:fill="A7A9AC"/>
          </w:tcPr>
          <w:p>
            <w:pPr>
              <w:pStyle w:val="TableParagraph"/>
              <w:spacing w:before="183"/>
              <w:rPr>
                <w:b/>
                <w:sz w:val="18"/>
              </w:rPr>
            </w:pPr>
          </w:p>
          <w:p>
            <w:pPr>
              <w:pStyle w:val="TableParagraph"/>
              <w:spacing w:line="232" w:lineRule="auto" w:before="1"/>
              <w:ind w:left="89"/>
              <w:rPr>
                <w:b/>
                <w:sz w:val="18"/>
              </w:rPr>
            </w:pPr>
            <w:r>
              <w:rPr>
                <w:b/>
                <w:color w:val="FFFFFF"/>
                <w:spacing w:val="-2"/>
                <w:sz w:val="18"/>
              </w:rPr>
              <w:t>Projected</w:t>
            </w:r>
            <w:r>
              <w:rPr>
                <w:b/>
                <w:color w:val="FFFFFF"/>
                <w:spacing w:val="-13"/>
                <w:sz w:val="18"/>
              </w:rPr>
              <w:t> </w:t>
            </w:r>
            <w:r>
              <w:rPr>
                <w:b/>
                <w:color w:val="FFFFFF"/>
                <w:spacing w:val="-2"/>
                <w:sz w:val="18"/>
              </w:rPr>
              <w:t>Year</w:t>
            </w:r>
            <w:r>
              <w:rPr>
                <w:b/>
                <w:color w:val="FFFFFF"/>
                <w:spacing w:val="-10"/>
                <w:sz w:val="18"/>
              </w:rPr>
              <w:t> </w:t>
            </w:r>
            <w:r>
              <w:rPr>
                <w:b/>
                <w:color w:val="FFFFFF"/>
                <w:spacing w:val="-2"/>
                <w:sz w:val="18"/>
              </w:rPr>
              <w:t>3 Interventions</w:t>
            </w:r>
          </w:p>
        </w:tc>
        <w:tc>
          <w:tcPr>
            <w:tcW w:w="1488" w:type="dxa"/>
            <w:tcBorders>
              <w:left w:val="single" w:sz="4" w:space="0" w:color="FFFFFF"/>
            </w:tcBorders>
            <w:shd w:val="clear" w:color="auto" w:fill="A7A9AC"/>
          </w:tcPr>
          <w:p>
            <w:pPr>
              <w:pStyle w:val="TableParagraph"/>
              <w:spacing w:before="183"/>
              <w:rPr>
                <w:b/>
                <w:sz w:val="18"/>
              </w:rPr>
            </w:pPr>
          </w:p>
          <w:p>
            <w:pPr>
              <w:pStyle w:val="TableParagraph"/>
              <w:spacing w:line="232" w:lineRule="auto" w:before="1"/>
              <w:ind w:left="91"/>
              <w:rPr>
                <w:b/>
                <w:sz w:val="18"/>
              </w:rPr>
            </w:pPr>
            <w:r>
              <w:rPr>
                <w:b/>
                <w:color w:val="FFFFFF"/>
                <w:spacing w:val="-2"/>
                <w:sz w:val="18"/>
              </w:rPr>
              <w:t>Implementation Partner</w:t>
            </w:r>
          </w:p>
        </w:tc>
        <w:tc>
          <w:tcPr>
            <w:tcW w:w="1656" w:type="dxa"/>
            <w:shd w:val="clear" w:color="auto" w:fill="A7A9AC"/>
          </w:tcPr>
          <w:p>
            <w:pPr>
              <w:pStyle w:val="TableParagraph"/>
              <w:spacing w:before="183"/>
              <w:rPr>
                <w:b/>
                <w:sz w:val="18"/>
              </w:rPr>
            </w:pPr>
          </w:p>
          <w:p>
            <w:pPr>
              <w:pStyle w:val="TableParagraph"/>
              <w:spacing w:line="232" w:lineRule="auto" w:before="1"/>
              <w:ind w:left="94" w:right="306"/>
              <w:rPr>
                <w:b/>
                <w:sz w:val="18"/>
              </w:rPr>
            </w:pPr>
            <w:r>
              <w:rPr>
                <w:b/>
                <w:color w:val="FFFFFF"/>
                <w:spacing w:val="-4"/>
                <w:sz w:val="18"/>
              </w:rPr>
              <w:t>Partner</w:t>
            </w:r>
            <w:r>
              <w:rPr>
                <w:b/>
                <w:color w:val="FFFFFF"/>
                <w:spacing w:val="-9"/>
                <w:sz w:val="18"/>
              </w:rPr>
              <w:t> </w:t>
            </w:r>
            <w:r>
              <w:rPr>
                <w:b/>
                <w:color w:val="FFFFFF"/>
                <w:spacing w:val="-4"/>
                <w:sz w:val="18"/>
              </w:rPr>
              <w:t>Role(s) </w:t>
            </w:r>
            <w:r>
              <w:rPr>
                <w:b/>
                <w:color w:val="FFFFFF"/>
                <w:sz w:val="18"/>
              </w:rPr>
              <w:t>and</w:t>
            </w:r>
            <w:r>
              <w:rPr>
                <w:b/>
                <w:color w:val="FFFFFF"/>
                <w:spacing w:val="-7"/>
                <w:sz w:val="18"/>
              </w:rPr>
              <w:t> </w:t>
            </w:r>
            <w:r>
              <w:rPr>
                <w:b/>
                <w:color w:val="FFFFFF"/>
                <w:spacing w:val="-8"/>
                <w:sz w:val="18"/>
              </w:rPr>
              <w:t>Resources</w:t>
            </w:r>
          </w:p>
        </w:tc>
      </w:tr>
      <w:tr>
        <w:trPr>
          <w:trHeight w:val="2420" w:hRule="atLeast"/>
        </w:trPr>
        <w:tc>
          <w:tcPr>
            <w:tcW w:w="1180" w:type="dxa"/>
            <w:vMerge w:val="restart"/>
            <w:tcBorders>
              <w:bottom w:val="nil"/>
            </w:tcBorders>
            <w:shd w:val="clear" w:color="auto" w:fill="E6E7E8"/>
          </w:tcPr>
          <w:p>
            <w:pPr>
              <w:pStyle w:val="TableParagraph"/>
              <w:spacing w:line="232" w:lineRule="auto" w:before="100"/>
              <w:ind w:left="89" w:right="363"/>
              <w:jc w:val="both"/>
              <w:rPr>
                <w:sz w:val="18"/>
              </w:rPr>
            </w:pPr>
            <w:r>
              <w:rPr>
                <w:color w:val="105C84"/>
                <w:spacing w:val="-2"/>
                <w:sz w:val="18"/>
              </w:rPr>
              <w:t>Prevent Chronic </w:t>
            </w:r>
            <w:r>
              <w:rPr>
                <w:color w:val="105C84"/>
                <w:spacing w:val="-6"/>
                <w:sz w:val="18"/>
              </w:rPr>
              <w:t>Diseases</w:t>
            </w:r>
          </w:p>
        </w:tc>
        <w:tc>
          <w:tcPr>
            <w:tcW w:w="1353" w:type="dxa"/>
            <w:vMerge w:val="restart"/>
            <w:tcBorders>
              <w:bottom w:val="nil"/>
            </w:tcBorders>
          </w:tcPr>
          <w:p>
            <w:pPr>
              <w:pStyle w:val="TableParagraph"/>
              <w:spacing w:line="232" w:lineRule="auto" w:before="100"/>
              <w:ind w:left="90"/>
              <w:rPr>
                <w:sz w:val="18"/>
              </w:rPr>
            </w:pPr>
            <w:r>
              <w:rPr>
                <w:color w:val="105C84"/>
                <w:spacing w:val="-4"/>
                <w:sz w:val="18"/>
              </w:rPr>
              <w:t>Focus</w:t>
            </w:r>
            <w:r>
              <w:rPr>
                <w:color w:val="105C84"/>
                <w:spacing w:val="-11"/>
                <w:sz w:val="18"/>
              </w:rPr>
              <w:t> </w:t>
            </w:r>
            <w:r>
              <w:rPr>
                <w:color w:val="105C84"/>
                <w:spacing w:val="-4"/>
                <w:sz w:val="18"/>
              </w:rPr>
              <w:t>Area</w:t>
            </w:r>
            <w:r>
              <w:rPr>
                <w:color w:val="105C84"/>
                <w:spacing w:val="-8"/>
                <w:sz w:val="18"/>
              </w:rPr>
              <w:t> </w:t>
            </w:r>
            <w:r>
              <w:rPr>
                <w:color w:val="105C84"/>
                <w:spacing w:val="-4"/>
                <w:sz w:val="18"/>
              </w:rPr>
              <w:t>3: </w:t>
            </w:r>
            <w:r>
              <w:rPr>
                <w:color w:val="105C84"/>
                <w:spacing w:val="-2"/>
                <w:sz w:val="18"/>
              </w:rPr>
              <w:t>Tobacco Prevention</w:t>
            </w:r>
          </w:p>
        </w:tc>
        <w:tc>
          <w:tcPr>
            <w:tcW w:w="1209" w:type="dxa"/>
            <w:vMerge w:val="restart"/>
            <w:tcBorders>
              <w:bottom w:val="nil"/>
            </w:tcBorders>
          </w:tcPr>
          <w:p>
            <w:pPr>
              <w:pStyle w:val="TableParagraph"/>
              <w:spacing w:line="232" w:lineRule="auto" w:before="100"/>
              <w:ind w:left="90" w:right="131"/>
              <w:rPr>
                <w:sz w:val="18"/>
              </w:rPr>
            </w:pPr>
            <w:r>
              <w:rPr>
                <w:color w:val="105C84"/>
                <w:sz w:val="18"/>
              </w:rPr>
              <w:t>Goal 3.2: </w:t>
            </w:r>
            <w:r>
              <w:rPr>
                <w:color w:val="105C84"/>
                <w:spacing w:val="-2"/>
                <w:sz w:val="18"/>
              </w:rPr>
              <w:t>Promote </w:t>
            </w:r>
            <w:r>
              <w:rPr>
                <w:color w:val="105C84"/>
                <w:sz w:val="18"/>
              </w:rPr>
              <w:t>tobacco</w:t>
            </w:r>
            <w:r>
              <w:rPr>
                <w:color w:val="105C84"/>
                <w:spacing w:val="-13"/>
                <w:sz w:val="18"/>
              </w:rPr>
              <w:t> </w:t>
            </w:r>
            <w:r>
              <w:rPr>
                <w:color w:val="105C84"/>
                <w:sz w:val="18"/>
              </w:rPr>
              <w:t>use </w:t>
            </w:r>
            <w:r>
              <w:rPr>
                <w:color w:val="105C84"/>
                <w:spacing w:val="-2"/>
                <w:sz w:val="18"/>
              </w:rPr>
              <w:t>cessation</w:t>
            </w:r>
          </w:p>
        </w:tc>
        <w:tc>
          <w:tcPr>
            <w:tcW w:w="1605" w:type="dxa"/>
            <w:vMerge w:val="restart"/>
            <w:tcBorders>
              <w:bottom w:val="nil"/>
            </w:tcBorders>
          </w:tcPr>
          <w:p>
            <w:pPr>
              <w:pStyle w:val="TableParagraph"/>
              <w:spacing w:line="232" w:lineRule="auto" w:before="100"/>
              <w:ind w:left="91" w:right="277"/>
              <w:rPr>
                <w:sz w:val="18"/>
              </w:rPr>
            </w:pPr>
            <w:r>
              <w:rPr>
                <w:color w:val="105C84"/>
                <w:sz w:val="18"/>
              </w:rPr>
              <w:t>3.2.1:</w:t>
            </w:r>
            <w:r>
              <w:rPr>
                <w:color w:val="105C84"/>
                <w:spacing w:val="-4"/>
                <w:sz w:val="18"/>
              </w:rPr>
              <w:t> </w:t>
            </w:r>
            <w:r>
              <w:rPr>
                <w:color w:val="105C84"/>
                <w:sz w:val="18"/>
              </w:rPr>
              <w:t>Increase the</w:t>
            </w:r>
            <w:r>
              <w:rPr>
                <w:color w:val="105C84"/>
                <w:spacing w:val="-13"/>
                <w:sz w:val="18"/>
              </w:rPr>
              <w:t> </w:t>
            </w:r>
            <w:r>
              <w:rPr>
                <w:color w:val="105C84"/>
                <w:sz w:val="18"/>
              </w:rPr>
              <w:t>percentage</w:t>
            </w:r>
            <w:r>
              <w:rPr>
                <w:color w:val="105C84"/>
                <w:sz w:val="18"/>
              </w:rPr>
              <w:t> of smokers</w:t>
            </w:r>
            <w:r>
              <w:rPr>
                <w:color w:val="105C84"/>
                <w:spacing w:val="40"/>
                <w:sz w:val="18"/>
              </w:rPr>
              <w:t> </w:t>
            </w:r>
            <w:r>
              <w:rPr>
                <w:color w:val="105C84"/>
                <w:sz w:val="18"/>
              </w:rPr>
              <w:t>who received </w:t>
            </w:r>
            <w:r>
              <w:rPr>
                <w:color w:val="105C84"/>
                <w:spacing w:val="-4"/>
                <w:sz w:val="18"/>
              </w:rPr>
              <w:t>assistance</w:t>
            </w:r>
            <w:r>
              <w:rPr>
                <w:color w:val="105C84"/>
                <w:spacing w:val="-9"/>
                <w:sz w:val="18"/>
              </w:rPr>
              <w:t> </w:t>
            </w:r>
            <w:r>
              <w:rPr>
                <w:color w:val="105C84"/>
                <w:spacing w:val="-4"/>
                <w:sz w:val="18"/>
              </w:rPr>
              <w:t>fro</w:t>
            </w:r>
            <w:r>
              <w:rPr>
                <w:color w:val="105C84"/>
                <w:spacing w:val="-4"/>
                <w:sz w:val="18"/>
              </w:rPr>
              <w:t>m</w:t>
            </w:r>
          </w:p>
          <w:p>
            <w:pPr>
              <w:pStyle w:val="TableParagraph"/>
              <w:spacing w:line="232" w:lineRule="auto"/>
              <w:ind w:left="91" w:right="93"/>
              <w:rPr>
                <w:sz w:val="18"/>
              </w:rPr>
            </w:pPr>
            <w:r>
              <w:rPr>
                <w:color w:val="105C84"/>
                <w:sz w:val="18"/>
              </w:rPr>
              <w:t>their health care provider to quit smoking by</w:t>
            </w:r>
            <w:r>
              <w:rPr>
                <w:color w:val="105C84"/>
                <w:spacing w:val="40"/>
                <w:sz w:val="18"/>
              </w:rPr>
              <w:t> </w:t>
            </w:r>
            <w:r>
              <w:rPr>
                <w:color w:val="105C84"/>
                <w:spacing w:val="-6"/>
                <w:sz w:val="18"/>
              </w:rPr>
              <w:t>13.1%</w:t>
            </w:r>
            <w:r>
              <w:rPr>
                <w:color w:val="105C84"/>
                <w:spacing w:val="-9"/>
                <w:sz w:val="18"/>
              </w:rPr>
              <w:t> </w:t>
            </w:r>
            <w:r>
              <w:rPr>
                <w:color w:val="105C84"/>
                <w:spacing w:val="-6"/>
                <w:sz w:val="18"/>
              </w:rPr>
              <w:t>from </w:t>
            </w:r>
            <w:r>
              <w:rPr>
                <w:color w:val="105C84"/>
                <w:spacing w:val="-6"/>
                <w:sz w:val="18"/>
              </w:rPr>
              <w:t>53.1%</w:t>
            </w:r>
          </w:p>
          <w:p>
            <w:pPr>
              <w:pStyle w:val="TableParagraph"/>
              <w:spacing w:line="199" w:lineRule="exact"/>
              <w:ind w:left="91"/>
              <w:rPr>
                <w:sz w:val="18"/>
              </w:rPr>
            </w:pPr>
            <w:r>
              <w:rPr>
                <w:color w:val="105C84"/>
                <w:spacing w:val="-4"/>
                <w:sz w:val="18"/>
              </w:rPr>
              <w:t>(2017)</w:t>
            </w:r>
            <w:r>
              <w:rPr>
                <w:color w:val="105C84"/>
                <w:spacing w:val="-9"/>
                <w:sz w:val="18"/>
              </w:rPr>
              <w:t> </w:t>
            </w:r>
            <w:r>
              <w:rPr>
                <w:color w:val="105C84"/>
                <w:spacing w:val="-4"/>
                <w:sz w:val="18"/>
              </w:rPr>
              <w:t>to</w:t>
            </w:r>
            <w:r>
              <w:rPr>
                <w:color w:val="105C84"/>
                <w:spacing w:val="-8"/>
                <w:sz w:val="18"/>
              </w:rPr>
              <w:t> </w:t>
            </w:r>
            <w:r>
              <w:rPr>
                <w:color w:val="105C84"/>
                <w:spacing w:val="-4"/>
                <w:sz w:val="18"/>
              </w:rPr>
              <w:t>60.1%</w:t>
            </w:r>
          </w:p>
        </w:tc>
        <w:tc>
          <w:tcPr>
            <w:tcW w:w="1763" w:type="dxa"/>
            <w:vMerge w:val="restart"/>
            <w:tcBorders>
              <w:bottom w:val="nil"/>
            </w:tcBorders>
          </w:tcPr>
          <w:p>
            <w:pPr>
              <w:pStyle w:val="TableParagraph"/>
              <w:spacing w:line="232" w:lineRule="auto" w:before="100"/>
              <w:ind w:left="92" w:right="80"/>
              <w:rPr>
                <w:sz w:val="18"/>
              </w:rPr>
            </w:pPr>
            <w:r>
              <w:rPr>
                <w:color w:val="105C84"/>
                <w:sz w:val="18"/>
              </w:rPr>
              <w:t>Pregnant women; low SES, Mental </w:t>
            </w:r>
            <w:r>
              <w:rPr>
                <w:color w:val="105C84"/>
                <w:spacing w:val="-4"/>
                <w:sz w:val="18"/>
              </w:rPr>
              <w:t>and</w:t>
            </w:r>
            <w:r>
              <w:rPr>
                <w:color w:val="105C84"/>
                <w:spacing w:val="-11"/>
                <w:sz w:val="18"/>
              </w:rPr>
              <w:t> </w:t>
            </w:r>
            <w:r>
              <w:rPr>
                <w:color w:val="105C84"/>
                <w:spacing w:val="-4"/>
                <w:sz w:val="18"/>
              </w:rPr>
              <w:t>Substance</w:t>
            </w:r>
            <w:r>
              <w:rPr>
                <w:color w:val="105C84"/>
                <w:spacing w:val="-8"/>
                <w:sz w:val="18"/>
              </w:rPr>
              <w:t> </w:t>
            </w:r>
            <w:r>
              <w:rPr>
                <w:color w:val="105C84"/>
                <w:spacing w:val="-4"/>
                <w:sz w:val="18"/>
              </w:rPr>
              <w:t>Use </w:t>
            </w:r>
            <w:r>
              <w:rPr>
                <w:color w:val="105C84"/>
                <w:sz w:val="18"/>
              </w:rPr>
              <w:t>disorders; those with disabilities</w:t>
            </w:r>
          </w:p>
        </w:tc>
        <w:tc>
          <w:tcPr>
            <w:tcW w:w="4031" w:type="dxa"/>
            <w:vMerge w:val="restart"/>
            <w:tcBorders>
              <w:bottom w:val="nil"/>
              <w:right w:val="nil"/>
            </w:tcBorders>
          </w:tcPr>
          <w:p>
            <w:pPr>
              <w:pStyle w:val="TableParagraph"/>
              <w:spacing w:line="232" w:lineRule="auto" w:before="100"/>
              <w:ind w:left="93" w:right="1027"/>
              <w:rPr>
                <w:sz w:val="18"/>
              </w:rPr>
            </w:pPr>
            <w:r>
              <w:rPr>
                <w:color w:val="105C84"/>
                <w:sz w:val="18"/>
              </w:rPr>
              <w:t>3.2.1:</w:t>
            </w:r>
            <w:r>
              <w:rPr>
                <w:color w:val="105C84"/>
                <w:spacing w:val="-4"/>
                <w:sz w:val="18"/>
              </w:rPr>
              <w:t> </w:t>
            </w:r>
            <w:r>
              <w:rPr>
                <w:color w:val="105C84"/>
                <w:sz w:val="18"/>
              </w:rPr>
              <w:t>Assist</w:t>
            </w:r>
            <w:r>
              <w:rPr>
                <w:color w:val="105C84"/>
                <w:spacing w:val="-4"/>
                <w:sz w:val="18"/>
              </w:rPr>
              <w:t> </w:t>
            </w:r>
            <w:r>
              <w:rPr>
                <w:color w:val="105C84"/>
                <w:sz w:val="18"/>
              </w:rPr>
              <w:t>medical</w:t>
            </w:r>
            <w:r>
              <w:rPr>
                <w:color w:val="105C84"/>
                <w:spacing w:val="-4"/>
                <w:sz w:val="18"/>
              </w:rPr>
              <w:t> </w:t>
            </w:r>
            <w:r>
              <w:rPr>
                <w:color w:val="105C84"/>
                <w:sz w:val="18"/>
              </w:rPr>
              <w:t>and</w:t>
            </w:r>
            <w:r>
              <w:rPr>
                <w:color w:val="105C84"/>
                <w:spacing w:val="-4"/>
                <w:sz w:val="18"/>
              </w:rPr>
              <w:t> </w:t>
            </w:r>
            <w:r>
              <w:rPr>
                <w:color w:val="105C84"/>
                <w:sz w:val="18"/>
              </w:rPr>
              <w:t>behavioral health care organizations (defined as those organizations focusing on mental health and substance use disorders) and provider groups in establishing policies, procedures, and workflows to facilitate the delivery of tobacco dependence treatment,</w:t>
            </w:r>
            <w:r>
              <w:rPr>
                <w:color w:val="105C84"/>
                <w:spacing w:val="-4"/>
                <w:sz w:val="18"/>
              </w:rPr>
              <w:t> </w:t>
            </w:r>
            <w:r>
              <w:rPr>
                <w:color w:val="105C84"/>
                <w:sz w:val="18"/>
              </w:rPr>
              <w:t>consistent</w:t>
            </w:r>
            <w:r>
              <w:rPr>
                <w:color w:val="105C84"/>
                <w:spacing w:val="-4"/>
                <w:sz w:val="18"/>
              </w:rPr>
              <w:t> </w:t>
            </w:r>
            <w:r>
              <w:rPr>
                <w:color w:val="105C84"/>
                <w:sz w:val="18"/>
              </w:rPr>
              <w:t>with</w:t>
            </w:r>
            <w:r>
              <w:rPr>
                <w:color w:val="105C84"/>
                <w:spacing w:val="-4"/>
                <w:sz w:val="18"/>
              </w:rPr>
              <w:t> </w:t>
            </w:r>
            <w:r>
              <w:rPr>
                <w:color w:val="105C84"/>
                <w:sz w:val="18"/>
              </w:rPr>
              <w:t>the</w:t>
            </w:r>
            <w:r>
              <w:rPr>
                <w:color w:val="105C84"/>
                <w:spacing w:val="-4"/>
                <w:sz w:val="18"/>
              </w:rPr>
              <w:t> </w:t>
            </w:r>
            <w:r>
              <w:rPr>
                <w:color w:val="105C84"/>
                <w:sz w:val="18"/>
              </w:rPr>
              <w:t>Public</w:t>
            </w:r>
            <w:r>
              <w:rPr>
                <w:color w:val="105C84"/>
                <w:sz w:val="18"/>
              </w:rPr>
              <w:t> Health Service Clinical Practice Guidelines, Community Health Centers and behavioral health </w:t>
            </w:r>
            <w:r>
              <w:rPr>
                <w:color w:val="105C84"/>
                <w:spacing w:val="-2"/>
                <w:sz w:val="18"/>
              </w:rPr>
              <w:t>providers</w:t>
            </w:r>
          </w:p>
        </w:tc>
        <w:tc>
          <w:tcPr>
            <w:tcW w:w="3109" w:type="dxa"/>
            <w:tcBorders>
              <w:left w:val="nil"/>
            </w:tcBorders>
          </w:tcPr>
          <w:p>
            <w:pPr>
              <w:pStyle w:val="TableParagraph"/>
              <w:spacing w:line="232" w:lineRule="auto" w:before="100"/>
              <w:ind w:left="1089" w:right="143"/>
              <w:rPr>
                <w:sz w:val="18"/>
              </w:rPr>
            </w:pPr>
            <w:r>
              <w:rPr>
                <w:color w:val="105C84"/>
                <w:sz w:val="18"/>
              </w:rPr>
              <w:t># people trained in Baby &amp; Me Tobacco Free</w:t>
            </w:r>
            <w:r>
              <w:rPr>
                <w:color w:val="105C84"/>
                <w:spacing w:val="-15"/>
                <w:sz w:val="18"/>
              </w:rPr>
              <w:t> </w:t>
            </w:r>
            <w:r>
              <w:rPr>
                <w:color w:val="105C84"/>
                <w:sz w:val="18"/>
              </w:rPr>
              <w:t>program</w:t>
            </w:r>
            <w:r>
              <w:rPr>
                <w:color w:val="105C84"/>
                <w:spacing w:val="-12"/>
                <w:sz w:val="18"/>
              </w:rPr>
              <w:t> </w:t>
            </w:r>
            <w:r>
              <w:rPr>
                <w:color w:val="105C84"/>
                <w:sz w:val="18"/>
              </w:rPr>
              <w:t>delivery</w:t>
            </w:r>
          </w:p>
          <w:p>
            <w:pPr>
              <w:pStyle w:val="TableParagraph"/>
              <w:spacing w:line="232" w:lineRule="auto" w:before="88"/>
              <w:ind w:left="1089" w:right="108"/>
              <w:rPr>
                <w:sz w:val="18"/>
              </w:rPr>
            </w:pPr>
            <w:r>
              <w:rPr>
                <w:color w:val="105C84"/>
                <w:sz w:val="18"/>
              </w:rPr>
              <w:t>#</w:t>
            </w:r>
            <w:r>
              <w:rPr>
                <w:color w:val="105C84"/>
                <w:spacing w:val="-6"/>
                <w:sz w:val="18"/>
              </w:rPr>
              <w:t> </w:t>
            </w:r>
            <w:r>
              <w:rPr>
                <w:color w:val="105C84"/>
                <w:sz w:val="18"/>
              </w:rPr>
              <w:t>of</w:t>
            </w:r>
            <w:r>
              <w:rPr>
                <w:color w:val="105C84"/>
                <w:spacing w:val="-6"/>
                <w:sz w:val="18"/>
              </w:rPr>
              <w:t> </w:t>
            </w:r>
            <w:r>
              <w:rPr>
                <w:color w:val="105C84"/>
                <w:sz w:val="18"/>
              </w:rPr>
              <w:t>individuals</w:t>
            </w:r>
            <w:r>
              <w:rPr>
                <w:color w:val="105C84"/>
                <w:spacing w:val="-6"/>
                <w:sz w:val="18"/>
              </w:rPr>
              <w:t> </w:t>
            </w:r>
            <w:r>
              <w:rPr>
                <w:color w:val="105C84"/>
                <w:sz w:val="18"/>
              </w:rPr>
              <w:t>enrolled in program</w:t>
            </w:r>
          </w:p>
          <w:p>
            <w:pPr>
              <w:pStyle w:val="TableParagraph"/>
              <w:spacing w:line="232" w:lineRule="auto" w:before="88"/>
              <w:ind w:left="1089"/>
              <w:rPr>
                <w:sz w:val="18"/>
              </w:rPr>
            </w:pPr>
            <w:r>
              <w:rPr>
                <w:color w:val="105C84"/>
                <w:sz w:val="18"/>
              </w:rPr>
              <w:t>% of individuals who successfully</w:t>
            </w:r>
            <w:r>
              <w:rPr>
                <w:color w:val="105C84"/>
                <w:spacing w:val="-13"/>
                <w:sz w:val="18"/>
              </w:rPr>
              <w:t> </w:t>
            </w:r>
            <w:r>
              <w:rPr>
                <w:color w:val="105C84"/>
                <w:sz w:val="18"/>
              </w:rPr>
              <w:t>quit</w:t>
            </w:r>
            <w:r>
              <w:rPr>
                <w:color w:val="105C84"/>
                <w:spacing w:val="-12"/>
                <w:sz w:val="18"/>
              </w:rPr>
              <w:t> </w:t>
            </w:r>
            <w:r>
              <w:rPr>
                <w:color w:val="105C84"/>
                <w:sz w:val="18"/>
              </w:rPr>
              <w:t>by</w:t>
            </w:r>
            <w:r>
              <w:rPr>
                <w:color w:val="105C84"/>
                <w:spacing w:val="-13"/>
                <w:sz w:val="18"/>
              </w:rPr>
              <w:t> </w:t>
            </w:r>
            <w:r>
              <w:rPr>
                <w:color w:val="105C84"/>
                <w:sz w:val="18"/>
              </w:rPr>
              <w:t>time of delivery</w:t>
            </w:r>
          </w:p>
          <w:p>
            <w:pPr>
              <w:pStyle w:val="TableParagraph"/>
              <w:spacing w:line="232" w:lineRule="auto" w:before="88"/>
              <w:ind w:left="1089"/>
              <w:rPr>
                <w:sz w:val="18"/>
              </w:rPr>
            </w:pPr>
            <w:r>
              <w:rPr>
                <w:color w:val="105C84"/>
                <w:sz w:val="18"/>
              </w:rPr>
              <w:t>%</w:t>
            </w:r>
            <w:r>
              <w:rPr>
                <w:color w:val="105C84"/>
                <w:spacing w:val="-8"/>
                <w:sz w:val="18"/>
              </w:rPr>
              <w:t> </w:t>
            </w:r>
            <w:r>
              <w:rPr>
                <w:color w:val="105C84"/>
                <w:sz w:val="18"/>
              </w:rPr>
              <w:t>remaining</w:t>
            </w:r>
            <w:r>
              <w:rPr>
                <w:color w:val="105C84"/>
                <w:spacing w:val="-8"/>
                <w:sz w:val="18"/>
              </w:rPr>
              <w:t> </w:t>
            </w:r>
            <w:r>
              <w:rPr>
                <w:color w:val="105C84"/>
                <w:sz w:val="18"/>
              </w:rPr>
              <w:t>quit</w:t>
            </w:r>
            <w:r>
              <w:rPr>
                <w:color w:val="105C84"/>
                <w:spacing w:val="-8"/>
                <w:sz w:val="18"/>
              </w:rPr>
              <w:t> </w:t>
            </w:r>
            <w:r>
              <w:rPr>
                <w:color w:val="105C84"/>
                <w:sz w:val="18"/>
              </w:rPr>
              <w:t>for</w:t>
            </w:r>
            <w:r>
              <w:rPr>
                <w:color w:val="105C84"/>
                <w:spacing w:val="-8"/>
                <w:sz w:val="18"/>
              </w:rPr>
              <w:t> </w:t>
            </w:r>
            <w:r>
              <w:rPr>
                <w:color w:val="105C84"/>
                <w:sz w:val="18"/>
              </w:rPr>
              <w:t>1st year of baby's life</w:t>
            </w:r>
          </w:p>
        </w:tc>
        <w:tc>
          <w:tcPr>
            <w:tcW w:w="1755" w:type="dxa"/>
          </w:tcPr>
          <w:p>
            <w:pPr>
              <w:pStyle w:val="TableParagraph"/>
              <w:spacing w:line="232" w:lineRule="auto" w:before="100"/>
              <w:ind w:left="95" w:right="182"/>
              <w:rPr>
                <w:sz w:val="18"/>
              </w:rPr>
            </w:pPr>
            <w:r>
              <w:rPr>
                <w:color w:val="105C84"/>
                <w:sz w:val="18"/>
              </w:rPr>
              <w:t>PH to identify partner</w:t>
            </w:r>
            <w:r>
              <w:rPr>
                <w:color w:val="105C84"/>
                <w:spacing w:val="-13"/>
                <w:sz w:val="18"/>
              </w:rPr>
              <w:t> </w:t>
            </w:r>
            <w:r>
              <w:rPr>
                <w:color w:val="105C84"/>
                <w:sz w:val="18"/>
              </w:rPr>
              <w:t>healthcare organizations to provide Baby &amp; Me Tobacco Free program through PH funds</w:t>
            </w:r>
          </w:p>
        </w:tc>
        <w:tc>
          <w:tcPr>
            <w:tcW w:w="1582" w:type="dxa"/>
          </w:tcPr>
          <w:p>
            <w:pPr>
              <w:pStyle w:val="TableParagraph"/>
              <w:spacing w:line="232" w:lineRule="auto" w:before="100"/>
              <w:ind w:left="97" w:right="206"/>
              <w:rPr>
                <w:sz w:val="18"/>
              </w:rPr>
            </w:pPr>
            <w:r>
              <w:rPr>
                <w:color w:val="105C84"/>
                <w:sz w:val="18"/>
              </w:rPr>
              <w:t>PH to pay for training for Baby &amp; Me TF and program costs. Start </w:t>
            </w:r>
            <w:r>
              <w:rPr>
                <w:color w:val="105C84"/>
                <w:spacing w:val="-2"/>
                <w:sz w:val="18"/>
              </w:rPr>
              <w:t>implementation </w:t>
            </w:r>
            <w:r>
              <w:rPr>
                <w:color w:val="105C84"/>
                <w:sz w:val="18"/>
              </w:rPr>
              <w:t>through</w:t>
            </w:r>
            <w:r>
              <w:rPr>
                <w:color w:val="105C84"/>
                <w:spacing w:val="-2"/>
                <w:sz w:val="18"/>
              </w:rPr>
              <w:t> </w:t>
            </w:r>
            <w:r>
              <w:rPr>
                <w:color w:val="105C84"/>
                <w:sz w:val="18"/>
              </w:rPr>
              <w:t>partner </w:t>
            </w:r>
            <w:r>
              <w:rPr>
                <w:color w:val="105C84"/>
                <w:spacing w:val="-2"/>
                <w:sz w:val="18"/>
              </w:rPr>
              <w:t>organization(s)</w:t>
            </w:r>
          </w:p>
        </w:tc>
        <w:tc>
          <w:tcPr>
            <w:tcW w:w="1553" w:type="dxa"/>
          </w:tcPr>
          <w:p>
            <w:pPr>
              <w:pStyle w:val="TableParagraph"/>
              <w:spacing w:line="232" w:lineRule="auto" w:before="100"/>
              <w:ind w:left="99" w:right="235"/>
              <w:rPr>
                <w:sz w:val="18"/>
              </w:rPr>
            </w:pPr>
            <w:r>
              <w:rPr>
                <w:color w:val="105C84"/>
                <w:sz w:val="18"/>
              </w:rPr>
              <w:t>PH</w:t>
            </w:r>
            <w:r>
              <w:rPr>
                <w:color w:val="105C84"/>
                <w:spacing w:val="-15"/>
                <w:sz w:val="18"/>
              </w:rPr>
              <w:t> </w:t>
            </w:r>
            <w:r>
              <w:rPr>
                <w:color w:val="105C84"/>
                <w:sz w:val="18"/>
              </w:rPr>
              <w:t>to</w:t>
            </w:r>
            <w:r>
              <w:rPr>
                <w:color w:val="105C84"/>
                <w:spacing w:val="-12"/>
                <w:sz w:val="18"/>
              </w:rPr>
              <w:t> </w:t>
            </w:r>
            <w:r>
              <w:rPr>
                <w:color w:val="105C84"/>
                <w:sz w:val="18"/>
              </w:rPr>
              <w:t>continue </w:t>
            </w:r>
            <w:r>
              <w:rPr>
                <w:color w:val="105C84"/>
                <w:w w:val="105"/>
                <w:sz w:val="18"/>
              </w:rPr>
              <w:t>funding</w:t>
            </w:r>
            <w:r>
              <w:rPr>
                <w:color w:val="105C84"/>
                <w:spacing w:val="-1"/>
                <w:w w:val="105"/>
                <w:sz w:val="18"/>
              </w:rPr>
              <w:t> </w:t>
            </w:r>
            <w:r>
              <w:rPr>
                <w:color w:val="105C84"/>
                <w:w w:val="105"/>
                <w:sz w:val="18"/>
              </w:rPr>
              <w:t>Baby &amp; Me through partners</w:t>
            </w:r>
            <w:r>
              <w:rPr>
                <w:color w:val="105C84"/>
                <w:spacing w:val="-1"/>
                <w:w w:val="105"/>
                <w:sz w:val="18"/>
              </w:rPr>
              <w:t> </w:t>
            </w:r>
            <w:r>
              <w:rPr>
                <w:color w:val="105C84"/>
                <w:w w:val="105"/>
                <w:sz w:val="18"/>
              </w:rPr>
              <w:t>and </w:t>
            </w:r>
            <w:r>
              <w:rPr>
                <w:color w:val="105C84"/>
                <w:sz w:val="18"/>
              </w:rPr>
              <w:t>collecting data</w:t>
            </w:r>
          </w:p>
        </w:tc>
        <w:tc>
          <w:tcPr>
            <w:tcW w:w="1488" w:type="dxa"/>
            <w:vMerge w:val="restart"/>
            <w:tcBorders>
              <w:bottom w:val="nil"/>
            </w:tcBorders>
          </w:tcPr>
          <w:p>
            <w:pPr>
              <w:pStyle w:val="TableParagraph"/>
              <w:spacing w:before="94"/>
              <w:ind w:left="101"/>
              <w:rPr>
                <w:sz w:val="18"/>
              </w:rPr>
            </w:pPr>
            <w:r>
              <w:rPr>
                <w:color w:val="105C84"/>
                <w:spacing w:val="-2"/>
                <w:sz w:val="18"/>
              </w:rPr>
              <w:t>Hospital</w:t>
            </w:r>
          </w:p>
        </w:tc>
        <w:tc>
          <w:tcPr>
            <w:tcW w:w="1656" w:type="dxa"/>
          </w:tcPr>
          <w:p>
            <w:pPr>
              <w:pStyle w:val="TableParagraph"/>
              <w:spacing w:line="232" w:lineRule="auto" w:before="100"/>
              <w:ind w:left="103" w:right="209"/>
              <w:rPr>
                <w:sz w:val="18"/>
              </w:rPr>
            </w:pPr>
            <w:r>
              <w:rPr>
                <w:color w:val="105C84"/>
                <w:sz w:val="18"/>
              </w:rPr>
              <w:t>PH to provide funding to train and implement Baby and Me Tobacco Free Program and to help with data collection</w:t>
            </w:r>
            <w:r>
              <w:rPr>
                <w:color w:val="105C84"/>
                <w:spacing w:val="-13"/>
                <w:sz w:val="18"/>
              </w:rPr>
              <w:t> </w:t>
            </w:r>
            <w:r>
              <w:rPr>
                <w:color w:val="105C84"/>
                <w:sz w:val="18"/>
              </w:rPr>
              <w:t>needs</w:t>
            </w:r>
          </w:p>
        </w:tc>
      </w:tr>
      <w:tr>
        <w:trPr>
          <w:trHeight w:val="3330" w:hRule="atLeast"/>
        </w:trPr>
        <w:tc>
          <w:tcPr>
            <w:tcW w:w="1180" w:type="dxa"/>
            <w:vMerge/>
            <w:tcBorders>
              <w:top w:val="nil"/>
              <w:bottom w:val="nil"/>
            </w:tcBorders>
            <w:shd w:val="clear" w:color="auto" w:fill="E6E7E8"/>
          </w:tcPr>
          <w:p>
            <w:pPr>
              <w:rPr>
                <w:sz w:val="2"/>
                <w:szCs w:val="2"/>
              </w:rPr>
            </w:pPr>
          </w:p>
        </w:tc>
        <w:tc>
          <w:tcPr>
            <w:tcW w:w="1353" w:type="dxa"/>
            <w:vMerge/>
            <w:tcBorders>
              <w:top w:val="nil"/>
              <w:bottom w:val="nil"/>
            </w:tcBorders>
          </w:tcPr>
          <w:p>
            <w:pPr>
              <w:rPr>
                <w:sz w:val="2"/>
                <w:szCs w:val="2"/>
              </w:rPr>
            </w:pPr>
          </w:p>
        </w:tc>
        <w:tc>
          <w:tcPr>
            <w:tcW w:w="1209" w:type="dxa"/>
            <w:vMerge/>
            <w:tcBorders>
              <w:top w:val="nil"/>
              <w:bottom w:val="nil"/>
            </w:tcBorders>
          </w:tcPr>
          <w:p>
            <w:pPr>
              <w:rPr>
                <w:sz w:val="2"/>
                <w:szCs w:val="2"/>
              </w:rPr>
            </w:pPr>
          </w:p>
        </w:tc>
        <w:tc>
          <w:tcPr>
            <w:tcW w:w="1605" w:type="dxa"/>
            <w:vMerge/>
            <w:tcBorders>
              <w:top w:val="nil"/>
              <w:bottom w:val="nil"/>
            </w:tcBorders>
          </w:tcPr>
          <w:p>
            <w:pPr>
              <w:rPr>
                <w:sz w:val="2"/>
                <w:szCs w:val="2"/>
              </w:rPr>
            </w:pPr>
          </w:p>
        </w:tc>
        <w:tc>
          <w:tcPr>
            <w:tcW w:w="1763" w:type="dxa"/>
            <w:vMerge/>
            <w:tcBorders>
              <w:top w:val="nil"/>
              <w:bottom w:val="nil"/>
            </w:tcBorders>
          </w:tcPr>
          <w:p>
            <w:pPr>
              <w:rPr>
                <w:sz w:val="2"/>
                <w:szCs w:val="2"/>
              </w:rPr>
            </w:pPr>
          </w:p>
        </w:tc>
        <w:tc>
          <w:tcPr>
            <w:tcW w:w="4031" w:type="dxa"/>
            <w:vMerge/>
            <w:tcBorders>
              <w:top w:val="nil"/>
              <w:bottom w:val="nil"/>
              <w:right w:val="nil"/>
            </w:tcBorders>
          </w:tcPr>
          <w:p>
            <w:pPr>
              <w:rPr>
                <w:sz w:val="2"/>
                <w:szCs w:val="2"/>
              </w:rPr>
            </w:pPr>
          </w:p>
        </w:tc>
        <w:tc>
          <w:tcPr>
            <w:tcW w:w="3109" w:type="dxa"/>
            <w:tcBorders>
              <w:left w:val="nil"/>
            </w:tcBorders>
          </w:tcPr>
          <w:p>
            <w:pPr>
              <w:pStyle w:val="TableParagraph"/>
              <w:spacing w:line="232" w:lineRule="auto" w:before="99"/>
              <w:ind w:left="1089" w:right="108"/>
              <w:rPr>
                <w:sz w:val="18"/>
              </w:rPr>
            </w:pPr>
            <w:r>
              <w:rPr>
                <w:color w:val="105C84"/>
                <w:sz w:val="18"/>
              </w:rPr>
              <w:t># of individuals who receive tobacco </w:t>
            </w:r>
            <w:r>
              <w:rPr>
                <w:color w:val="105C84"/>
                <w:spacing w:val="-2"/>
                <w:sz w:val="18"/>
              </w:rPr>
              <w:t>cessation</w:t>
            </w:r>
            <w:r>
              <w:rPr>
                <w:color w:val="105C84"/>
                <w:spacing w:val="-13"/>
                <w:sz w:val="18"/>
              </w:rPr>
              <w:t> </w:t>
            </w:r>
            <w:r>
              <w:rPr>
                <w:color w:val="105C84"/>
                <w:spacing w:val="-2"/>
                <w:sz w:val="18"/>
              </w:rPr>
              <w:t>resources</w:t>
            </w:r>
            <w:r>
              <w:rPr>
                <w:color w:val="105C84"/>
                <w:spacing w:val="-10"/>
                <w:sz w:val="18"/>
              </w:rPr>
              <w:t> </w:t>
            </w:r>
            <w:r>
              <w:rPr>
                <w:color w:val="105C84"/>
                <w:spacing w:val="-2"/>
                <w:sz w:val="18"/>
              </w:rPr>
              <w:t>and </w:t>
            </w:r>
            <w:r>
              <w:rPr>
                <w:color w:val="105C84"/>
                <w:sz w:val="18"/>
              </w:rPr>
              <w:t>quit within one year</w:t>
            </w:r>
          </w:p>
          <w:p>
            <w:pPr>
              <w:pStyle w:val="TableParagraph"/>
              <w:spacing w:line="232" w:lineRule="auto" w:before="87"/>
              <w:ind w:left="1089"/>
              <w:rPr>
                <w:sz w:val="18"/>
              </w:rPr>
            </w:pPr>
            <w:r>
              <w:rPr>
                <w:color w:val="105C84"/>
                <w:spacing w:val="-2"/>
                <w:sz w:val="18"/>
              </w:rPr>
              <w:t>%</w:t>
            </w:r>
            <w:r>
              <w:rPr>
                <w:color w:val="105C84"/>
                <w:spacing w:val="-11"/>
                <w:sz w:val="18"/>
              </w:rPr>
              <w:t> </w:t>
            </w:r>
            <w:r>
              <w:rPr>
                <w:color w:val="105C84"/>
                <w:spacing w:val="-2"/>
                <w:sz w:val="18"/>
              </w:rPr>
              <w:t>those</w:t>
            </w:r>
            <w:r>
              <w:rPr>
                <w:color w:val="105C84"/>
                <w:spacing w:val="-10"/>
                <w:sz w:val="18"/>
              </w:rPr>
              <w:t> </w:t>
            </w:r>
            <w:r>
              <w:rPr>
                <w:color w:val="105C84"/>
                <w:spacing w:val="-2"/>
                <w:sz w:val="18"/>
              </w:rPr>
              <w:t>assisted</w:t>
            </w:r>
            <w:r>
              <w:rPr>
                <w:color w:val="105C84"/>
                <w:spacing w:val="-11"/>
                <w:sz w:val="18"/>
              </w:rPr>
              <w:t> </w:t>
            </w:r>
            <w:r>
              <w:rPr>
                <w:color w:val="105C84"/>
                <w:spacing w:val="-2"/>
                <w:sz w:val="18"/>
              </w:rPr>
              <w:t>who </w:t>
            </w:r>
            <w:r>
              <w:rPr>
                <w:color w:val="105C84"/>
                <w:sz w:val="18"/>
              </w:rPr>
              <w:t>successfully quit</w:t>
            </w:r>
          </w:p>
        </w:tc>
        <w:tc>
          <w:tcPr>
            <w:tcW w:w="1755" w:type="dxa"/>
          </w:tcPr>
          <w:p>
            <w:pPr>
              <w:pStyle w:val="TableParagraph"/>
              <w:spacing w:line="232" w:lineRule="auto" w:before="99"/>
              <w:ind w:left="95" w:right="179"/>
              <w:rPr>
                <w:sz w:val="18"/>
              </w:rPr>
            </w:pPr>
            <w:r>
              <w:rPr>
                <w:color w:val="105C84"/>
                <w:sz w:val="18"/>
              </w:rPr>
              <w:t>CH continued commitment to </w:t>
            </w:r>
            <w:r>
              <w:rPr>
                <w:color w:val="105C84"/>
                <w:spacing w:val="-2"/>
                <w:sz w:val="18"/>
              </w:rPr>
              <w:t>smoking</w:t>
            </w:r>
            <w:r>
              <w:rPr>
                <w:color w:val="105C84"/>
                <w:spacing w:val="-11"/>
                <w:sz w:val="18"/>
              </w:rPr>
              <w:t> </w:t>
            </w:r>
            <w:r>
              <w:rPr>
                <w:color w:val="105C84"/>
                <w:spacing w:val="-2"/>
                <w:sz w:val="18"/>
              </w:rPr>
              <w:t>cessation </w:t>
            </w:r>
            <w:r>
              <w:rPr>
                <w:color w:val="105C84"/>
                <w:sz w:val="18"/>
              </w:rPr>
              <w:t>discussion with each admission</w:t>
            </w:r>
          </w:p>
          <w:p>
            <w:pPr>
              <w:pStyle w:val="TableParagraph"/>
              <w:spacing w:line="232" w:lineRule="auto" w:before="86"/>
              <w:ind w:left="95" w:right="179"/>
              <w:rPr>
                <w:sz w:val="18"/>
              </w:rPr>
            </w:pPr>
            <w:r>
              <w:rPr>
                <w:color w:val="105C84"/>
                <w:sz w:val="18"/>
              </w:rPr>
              <w:t>CH to partner</w:t>
            </w:r>
            <w:r>
              <w:rPr>
                <w:color w:val="105C84"/>
                <w:spacing w:val="80"/>
                <w:sz w:val="18"/>
              </w:rPr>
              <w:t> </w:t>
            </w:r>
            <w:r>
              <w:rPr>
                <w:color w:val="105C84"/>
                <w:sz w:val="18"/>
              </w:rPr>
              <w:t>with Guthrie Medical group (GMG)</w:t>
            </w:r>
            <w:r>
              <w:rPr>
                <w:color w:val="105C84"/>
                <w:spacing w:val="-15"/>
                <w:sz w:val="18"/>
              </w:rPr>
              <w:t> </w:t>
            </w:r>
            <w:r>
              <w:rPr>
                <w:color w:val="105C84"/>
                <w:sz w:val="18"/>
              </w:rPr>
              <w:t>to</w:t>
            </w:r>
            <w:r>
              <w:rPr>
                <w:color w:val="105C84"/>
                <w:spacing w:val="-12"/>
                <w:sz w:val="18"/>
              </w:rPr>
              <w:t> </w:t>
            </w:r>
            <w:r>
              <w:rPr>
                <w:color w:val="105C84"/>
                <w:sz w:val="18"/>
              </w:rPr>
              <w:t>evaluate and determine feasibility of</w:t>
            </w:r>
          </w:p>
          <w:p>
            <w:pPr>
              <w:pStyle w:val="TableParagraph"/>
              <w:spacing w:line="232" w:lineRule="auto"/>
              <w:ind w:left="95"/>
              <w:rPr>
                <w:sz w:val="18"/>
              </w:rPr>
            </w:pPr>
            <w:r>
              <w:rPr>
                <w:color w:val="105C84"/>
                <w:sz w:val="18"/>
              </w:rPr>
              <w:t>implementing</w:t>
            </w:r>
            <w:r>
              <w:rPr>
                <w:color w:val="105C84"/>
                <w:spacing w:val="-4"/>
                <w:sz w:val="18"/>
              </w:rPr>
              <w:t> </w:t>
            </w:r>
            <w:r>
              <w:rPr>
                <w:color w:val="105C84"/>
                <w:sz w:val="18"/>
              </w:rPr>
              <w:t>Baby and Me Tobacco Free Program for OB/GYN patients</w:t>
            </w:r>
          </w:p>
        </w:tc>
        <w:tc>
          <w:tcPr>
            <w:tcW w:w="1582" w:type="dxa"/>
          </w:tcPr>
          <w:p>
            <w:pPr>
              <w:pStyle w:val="TableParagraph"/>
              <w:spacing w:line="232" w:lineRule="auto" w:before="99"/>
              <w:ind w:left="97" w:right="328"/>
              <w:rPr>
                <w:sz w:val="18"/>
              </w:rPr>
            </w:pPr>
            <w:r>
              <w:rPr>
                <w:color w:val="105C84"/>
                <w:sz w:val="18"/>
              </w:rPr>
              <w:t>CH</w:t>
            </w:r>
            <w:r>
              <w:rPr>
                <w:color w:val="105C84"/>
                <w:spacing w:val="-13"/>
                <w:sz w:val="18"/>
              </w:rPr>
              <w:t> </w:t>
            </w:r>
            <w:r>
              <w:rPr>
                <w:color w:val="105C84"/>
                <w:sz w:val="18"/>
              </w:rPr>
              <w:t>continued </w:t>
            </w:r>
            <w:r>
              <w:rPr>
                <w:color w:val="105C84"/>
                <w:spacing w:val="-2"/>
                <w:w w:val="105"/>
                <w:sz w:val="18"/>
              </w:rPr>
              <w:t>commitment </w:t>
            </w:r>
            <w:r>
              <w:rPr>
                <w:color w:val="105C84"/>
                <w:w w:val="105"/>
                <w:sz w:val="18"/>
              </w:rPr>
              <w:t>to</w:t>
            </w:r>
            <w:r>
              <w:rPr>
                <w:color w:val="105C84"/>
                <w:spacing w:val="-1"/>
                <w:w w:val="105"/>
                <w:sz w:val="18"/>
              </w:rPr>
              <w:t> </w:t>
            </w:r>
            <w:r>
              <w:rPr>
                <w:color w:val="105C84"/>
                <w:w w:val="105"/>
                <w:sz w:val="18"/>
              </w:rPr>
              <w:t>smoking </w:t>
            </w:r>
            <w:r>
              <w:rPr>
                <w:color w:val="105C84"/>
                <w:spacing w:val="-2"/>
                <w:w w:val="105"/>
                <w:sz w:val="18"/>
              </w:rPr>
              <w:t>cessation</w:t>
            </w:r>
          </w:p>
          <w:p>
            <w:pPr>
              <w:pStyle w:val="TableParagraph"/>
              <w:spacing w:line="232" w:lineRule="auto"/>
              <w:ind w:left="97" w:right="195"/>
              <w:rPr>
                <w:sz w:val="18"/>
              </w:rPr>
            </w:pPr>
            <w:r>
              <w:rPr>
                <w:color w:val="105C84"/>
                <w:spacing w:val="-2"/>
                <w:sz w:val="18"/>
              </w:rPr>
              <w:t>discussions</w:t>
            </w:r>
            <w:r>
              <w:rPr>
                <w:color w:val="105C84"/>
                <w:spacing w:val="-11"/>
                <w:sz w:val="18"/>
              </w:rPr>
              <w:t> </w:t>
            </w:r>
            <w:r>
              <w:rPr>
                <w:color w:val="105C84"/>
                <w:spacing w:val="-2"/>
                <w:sz w:val="18"/>
              </w:rPr>
              <w:t>with each</w:t>
            </w:r>
            <w:r>
              <w:rPr>
                <w:color w:val="105C84"/>
                <w:spacing w:val="-8"/>
                <w:sz w:val="18"/>
              </w:rPr>
              <w:t> </w:t>
            </w:r>
            <w:r>
              <w:rPr>
                <w:color w:val="105C84"/>
                <w:spacing w:val="-2"/>
                <w:sz w:val="18"/>
              </w:rPr>
              <w:t>admission</w:t>
            </w:r>
          </w:p>
          <w:p>
            <w:pPr>
              <w:pStyle w:val="TableParagraph"/>
              <w:spacing w:line="203" w:lineRule="exact" w:before="80"/>
              <w:ind w:left="97"/>
              <w:rPr>
                <w:sz w:val="18"/>
              </w:rPr>
            </w:pPr>
            <w:r>
              <w:rPr>
                <w:color w:val="105C84"/>
                <w:spacing w:val="-2"/>
                <w:w w:val="105"/>
                <w:sz w:val="18"/>
              </w:rPr>
              <w:t>CH/GMG</w:t>
            </w:r>
          </w:p>
          <w:p>
            <w:pPr>
              <w:pStyle w:val="TableParagraph"/>
              <w:spacing w:line="232" w:lineRule="auto" w:before="2"/>
              <w:ind w:left="97" w:right="126"/>
              <w:jc w:val="both"/>
              <w:rPr>
                <w:sz w:val="18"/>
              </w:rPr>
            </w:pPr>
            <w:r>
              <w:rPr>
                <w:color w:val="105C84"/>
                <w:spacing w:val="-2"/>
                <w:w w:val="105"/>
                <w:sz w:val="18"/>
              </w:rPr>
              <w:t>principal</w:t>
            </w:r>
            <w:r>
              <w:rPr>
                <w:color w:val="105C84"/>
                <w:spacing w:val="-12"/>
                <w:w w:val="105"/>
                <w:sz w:val="18"/>
              </w:rPr>
              <w:t> </w:t>
            </w:r>
            <w:r>
              <w:rPr>
                <w:color w:val="105C84"/>
                <w:spacing w:val="-2"/>
                <w:w w:val="105"/>
                <w:sz w:val="18"/>
              </w:rPr>
              <w:t>training </w:t>
            </w:r>
            <w:r>
              <w:rPr>
                <w:color w:val="105C84"/>
                <w:w w:val="105"/>
                <w:sz w:val="18"/>
              </w:rPr>
              <w:t>to</w:t>
            </w:r>
            <w:r>
              <w:rPr>
                <w:color w:val="105C84"/>
                <w:spacing w:val="-14"/>
                <w:w w:val="105"/>
                <w:sz w:val="18"/>
              </w:rPr>
              <w:t> </w:t>
            </w:r>
            <w:r>
              <w:rPr>
                <w:color w:val="105C84"/>
                <w:w w:val="105"/>
                <w:sz w:val="18"/>
              </w:rPr>
              <w:t>be</w:t>
            </w:r>
            <w:r>
              <w:rPr>
                <w:color w:val="105C84"/>
                <w:spacing w:val="-13"/>
                <w:w w:val="105"/>
                <w:sz w:val="18"/>
              </w:rPr>
              <w:t> </w:t>
            </w:r>
            <w:r>
              <w:rPr>
                <w:color w:val="105C84"/>
                <w:w w:val="105"/>
                <w:sz w:val="18"/>
              </w:rPr>
              <w:t>completed </w:t>
            </w:r>
            <w:r>
              <w:rPr>
                <w:color w:val="105C84"/>
                <w:sz w:val="18"/>
              </w:rPr>
              <w:t>for</w:t>
            </w:r>
            <w:r>
              <w:rPr>
                <w:color w:val="105C84"/>
                <w:spacing w:val="-5"/>
                <w:sz w:val="18"/>
              </w:rPr>
              <w:t> </w:t>
            </w:r>
            <w:r>
              <w:rPr>
                <w:color w:val="105C84"/>
                <w:sz w:val="18"/>
              </w:rPr>
              <w:t>Baby</w:t>
            </w:r>
            <w:r>
              <w:rPr>
                <w:color w:val="105C84"/>
                <w:spacing w:val="-4"/>
                <w:sz w:val="18"/>
              </w:rPr>
              <w:t> </w:t>
            </w:r>
            <w:r>
              <w:rPr>
                <w:color w:val="105C84"/>
                <w:sz w:val="18"/>
              </w:rPr>
              <w:t>and</w:t>
            </w:r>
            <w:r>
              <w:rPr>
                <w:color w:val="105C84"/>
                <w:spacing w:val="-4"/>
                <w:sz w:val="18"/>
              </w:rPr>
              <w:t> </w:t>
            </w:r>
            <w:r>
              <w:rPr>
                <w:color w:val="105C84"/>
                <w:spacing w:val="-5"/>
                <w:sz w:val="18"/>
              </w:rPr>
              <w:t>Me</w:t>
            </w:r>
          </w:p>
          <w:p>
            <w:pPr>
              <w:pStyle w:val="TableParagraph"/>
              <w:spacing w:line="232" w:lineRule="auto" w:before="87"/>
              <w:ind w:left="97" w:right="328"/>
              <w:rPr>
                <w:sz w:val="18"/>
              </w:rPr>
            </w:pPr>
            <w:r>
              <w:rPr>
                <w:color w:val="105C84"/>
                <w:spacing w:val="-2"/>
                <w:sz w:val="18"/>
              </w:rPr>
              <w:t>Facilitators identified, </w:t>
            </w:r>
            <w:r>
              <w:rPr>
                <w:color w:val="105C84"/>
                <w:sz w:val="18"/>
              </w:rPr>
              <w:t>trained</w:t>
            </w:r>
            <w:r>
              <w:rPr>
                <w:color w:val="105C84"/>
                <w:spacing w:val="-13"/>
                <w:sz w:val="18"/>
              </w:rPr>
              <w:t> </w:t>
            </w:r>
            <w:r>
              <w:rPr>
                <w:color w:val="105C84"/>
                <w:sz w:val="18"/>
              </w:rPr>
              <w:t>and </w:t>
            </w:r>
            <w:r>
              <w:rPr>
                <w:color w:val="105C84"/>
                <w:spacing w:val="-2"/>
                <w:sz w:val="18"/>
              </w:rPr>
              <w:t>workflows developed</w:t>
            </w:r>
          </w:p>
        </w:tc>
        <w:tc>
          <w:tcPr>
            <w:tcW w:w="1553" w:type="dxa"/>
          </w:tcPr>
          <w:p>
            <w:pPr>
              <w:pStyle w:val="TableParagraph"/>
              <w:spacing w:line="232" w:lineRule="auto" w:before="98"/>
              <w:ind w:left="99" w:right="83"/>
              <w:rPr>
                <w:sz w:val="18"/>
              </w:rPr>
            </w:pPr>
            <w:r>
              <w:rPr>
                <w:color w:val="105C84"/>
                <w:spacing w:val="-4"/>
                <w:sz w:val="18"/>
              </w:rPr>
              <w:t>Full </w:t>
            </w:r>
            <w:r>
              <w:rPr>
                <w:color w:val="105C84"/>
                <w:spacing w:val="-2"/>
                <w:sz w:val="18"/>
              </w:rPr>
              <w:t>implementation </w:t>
            </w:r>
            <w:r>
              <w:rPr>
                <w:color w:val="105C84"/>
                <w:sz w:val="18"/>
              </w:rPr>
              <w:t>and monitoring</w:t>
            </w:r>
            <w:r>
              <w:rPr>
                <w:color w:val="105C84"/>
                <w:spacing w:val="40"/>
                <w:sz w:val="18"/>
              </w:rPr>
              <w:t> </w:t>
            </w:r>
            <w:r>
              <w:rPr>
                <w:color w:val="105C84"/>
                <w:sz w:val="18"/>
              </w:rPr>
              <w:t>of Baby and Me Tobacco Free program </w:t>
            </w:r>
            <w:r>
              <w:rPr>
                <w:color w:val="105C84"/>
                <w:sz w:val="18"/>
              </w:rPr>
              <w:t>through </w:t>
            </w:r>
            <w:r>
              <w:rPr>
                <w:color w:val="105C84"/>
                <w:spacing w:val="-2"/>
                <w:sz w:val="18"/>
              </w:rPr>
              <w:t>CH/GMG</w:t>
            </w:r>
          </w:p>
        </w:tc>
        <w:tc>
          <w:tcPr>
            <w:tcW w:w="1488" w:type="dxa"/>
            <w:vMerge/>
            <w:tcBorders>
              <w:top w:val="nil"/>
              <w:bottom w:val="nil"/>
            </w:tcBorders>
          </w:tcPr>
          <w:p>
            <w:pPr>
              <w:rPr>
                <w:sz w:val="2"/>
                <w:szCs w:val="2"/>
              </w:rPr>
            </w:pPr>
          </w:p>
        </w:tc>
        <w:tc>
          <w:tcPr>
            <w:tcW w:w="1656" w:type="dxa"/>
          </w:tcPr>
          <w:p>
            <w:pPr>
              <w:pStyle w:val="TableParagraph"/>
              <w:spacing w:line="232" w:lineRule="auto" w:before="98"/>
              <w:ind w:left="103" w:right="209"/>
              <w:rPr>
                <w:sz w:val="18"/>
              </w:rPr>
            </w:pPr>
            <w:r>
              <w:rPr>
                <w:color w:val="105C84"/>
                <w:sz w:val="18"/>
              </w:rPr>
              <w:t>CH/GMG staff</w:t>
            </w:r>
            <w:r>
              <w:rPr>
                <w:color w:val="105C84"/>
                <w:spacing w:val="80"/>
                <w:sz w:val="18"/>
              </w:rPr>
              <w:t> </w:t>
            </w:r>
            <w:r>
              <w:rPr>
                <w:color w:val="105C84"/>
                <w:sz w:val="18"/>
              </w:rPr>
              <w:t>to conduct Baby and</w:t>
            </w:r>
            <w:r>
              <w:rPr>
                <w:color w:val="105C84"/>
                <w:spacing w:val="-15"/>
                <w:sz w:val="18"/>
              </w:rPr>
              <w:t> </w:t>
            </w:r>
            <w:r>
              <w:rPr>
                <w:color w:val="105C84"/>
                <w:sz w:val="18"/>
              </w:rPr>
              <w:t>Me</w:t>
            </w:r>
            <w:r>
              <w:rPr>
                <w:color w:val="105C84"/>
                <w:spacing w:val="-12"/>
                <w:sz w:val="18"/>
              </w:rPr>
              <w:t> </w:t>
            </w:r>
            <w:r>
              <w:rPr>
                <w:color w:val="105C84"/>
                <w:sz w:val="18"/>
              </w:rPr>
              <w:t>Tobacco Free Program and cessation </w:t>
            </w:r>
            <w:r>
              <w:rPr>
                <w:color w:val="105C84"/>
                <w:spacing w:val="-2"/>
                <w:sz w:val="18"/>
              </w:rPr>
              <w:t>assistance</w:t>
            </w:r>
          </w:p>
          <w:p>
            <w:pPr>
              <w:pStyle w:val="TableParagraph"/>
              <w:spacing w:line="232" w:lineRule="auto" w:before="86"/>
              <w:ind w:left="103"/>
              <w:rPr>
                <w:sz w:val="18"/>
              </w:rPr>
            </w:pPr>
            <w:r>
              <w:rPr>
                <w:color w:val="105C84"/>
                <w:sz w:val="18"/>
              </w:rPr>
              <w:t>Provide</w:t>
            </w:r>
            <w:r>
              <w:rPr>
                <w:color w:val="105C84"/>
                <w:spacing w:val="-13"/>
                <w:sz w:val="18"/>
              </w:rPr>
              <w:t> </w:t>
            </w:r>
            <w:r>
              <w:rPr>
                <w:color w:val="105C84"/>
                <w:sz w:val="18"/>
              </w:rPr>
              <w:t>education and support materials</w:t>
            </w:r>
            <w:r>
              <w:rPr>
                <w:color w:val="105C84"/>
                <w:spacing w:val="-13"/>
                <w:sz w:val="18"/>
              </w:rPr>
              <w:t> </w:t>
            </w:r>
            <w:r>
              <w:rPr>
                <w:color w:val="105C84"/>
                <w:sz w:val="18"/>
              </w:rPr>
              <w:t>required for patient </w:t>
            </w:r>
            <w:r>
              <w:rPr>
                <w:color w:val="105C84"/>
                <w:spacing w:val="-2"/>
                <w:sz w:val="18"/>
              </w:rPr>
              <w:t>education</w:t>
            </w:r>
          </w:p>
        </w:tc>
      </w:tr>
      <w:tr>
        <w:trPr>
          <w:trHeight w:val="2549" w:hRule="atLeast"/>
        </w:trPr>
        <w:tc>
          <w:tcPr>
            <w:tcW w:w="1180" w:type="dxa"/>
            <w:tcBorders>
              <w:top w:val="nil"/>
              <w:bottom w:val="nil"/>
            </w:tcBorders>
            <w:shd w:val="clear" w:color="auto" w:fill="E6E7E8"/>
          </w:tcPr>
          <w:p>
            <w:pPr>
              <w:pStyle w:val="TableParagraph"/>
              <w:rPr>
                <w:rFonts w:ascii="Times New Roman"/>
                <w:sz w:val="18"/>
              </w:rPr>
            </w:pPr>
          </w:p>
        </w:tc>
        <w:tc>
          <w:tcPr>
            <w:tcW w:w="1353" w:type="dxa"/>
            <w:tcBorders>
              <w:top w:val="nil"/>
              <w:bottom w:val="nil"/>
            </w:tcBorders>
          </w:tcPr>
          <w:p>
            <w:pPr>
              <w:pStyle w:val="TableParagraph"/>
              <w:rPr>
                <w:rFonts w:ascii="Times New Roman"/>
                <w:sz w:val="18"/>
              </w:rPr>
            </w:pPr>
          </w:p>
        </w:tc>
        <w:tc>
          <w:tcPr>
            <w:tcW w:w="1209" w:type="dxa"/>
            <w:tcBorders>
              <w:top w:val="nil"/>
              <w:bottom w:val="nil"/>
            </w:tcBorders>
          </w:tcPr>
          <w:p>
            <w:pPr>
              <w:pStyle w:val="TableParagraph"/>
              <w:rPr>
                <w:rFonts w:ascii="Times New Roman"/>
                <w:sz w:val="18"/>
              </w:rPr>
            </w:pPr>
          </w:p>
        </w:tc>
        <w:tc>
          <w:tcPr>
            <w:tcW w:w="1605" w:type="dxa"/>
            <w:tcBorders>
              <w:top w:val="nil"/>
              <w:bottom w:val="nil"/>
            </w:tcBorders>
          </w:tcPr>
          <w:p>
            <w:pPr>
              <w:pStyle w:val="TableParagraph"/>
              <w:rPr>
                <w:rFonts w:ascii="Times New Roman"/>
                <w:sz w:val="18"/>
              </w:rPr>
            </w:pPr>
          </w:p>
        </w:tc>
        <w:tc>
          <w:tcPr>
            <w:tcW w:w="1763" w:type="dxa"/>
            <w:tcBorders>
              <w:top w:val="nil"/>
              <w:bottom w:val="nil"/>
            </w:tcBorders>
          </w:tcPr>
          <w:p>
            <w:pPr>
              <w:pStyle w:val="TableParagraph"/>
              <w:rPr>
                <w:rFonts w:ascii="Times New Roman"/>
                <w:sz w:val="18"/>
              </w:rPr>
            </w:pPr>
          </w:p>
        </w:tc>
        <w:tc>
          <w:tcPr>
            <w:tcW w:w="4031" w:type="dxa"/>
            <w:tcBorders>
              <w:top w:val="nil"/>
              <w:bottom w:val="nil"/>
              <w:right w:val="nil"/>
            </w:tcBorders>
          </w:tcPr>
          <w:p>
            <w:pPr>
              <w:pStyle w:val="TableParagraph"/>
              <w:rPr>
                <w:rFonts w:ascii="Times New Roman"/>
                <w:sz w:val="18"/>
              </w:rPr>
            </w:pPr>
          </w:p>
        </w:tc>
        <w:tc>
          <w:tcPr>
            <w:tcW w:w="3109" w:type="dxa"/>
            <w:tcBorders>
              <w:left w:val="nil"/>
              <w:bottom w:val="nil"/>
            </w:tcBorders>
          </w:tcPr>
          <w:p>
            <w:pPr>
              <w:pStyle w:val="TableParagraph"/>
              <w:spacing w:line="232" w:lineRule="auto" w:before="98"/>
              <w:ind w:left="1089" w:right="143"/>
              <w:rPr>
                <w:sz w:val="18"/>
              </w:rPr>
            </w:pPr>
            <w:r>
              <w:rPr>
                <w:color w:val="105C84"/>
                <w:w w:val="105"/>
                <w:sz w:val="18"/>
              </w:rPr>
              <w:t>% of inpatient admission</w:t>
            </w:r>
            <w:r>
              <w:rPr>
                <w:color w:val="105C84"/>
                <w:spacing w:val="-14"/>
                <w:w w:val="105"/>
                <w:sz w:val="18"/>
              </w:rPr>
              <w:t> </w:t>
            </w:r>
            <w:r>
              <w:rPr>
                <w:color w:val="105C84"/>
                <w:w w:val="105"/>
                <w:sz w:val="18"/>
              </w:rPr>
              <w:t>tobacco </w:t>
            </w:r>
            <w:r>
              <w:rPr>
                <w:color w:val="105C84"/>
                <w:sz w:val="18"/>
              </w:rPr>
              <w:t>cessation</w:t>
            </w:r>
            <w:r>
              <w:rPr>
                <w:color w:val="105C84"/>
                <w:spacing w:val="-10"/>
                <w:sz w:val="18"/>
              </w:rPr>
              <w:t> </w:t>
            </w:r>
            <w:r>
              <w:rPr>
                <w:color w:val="105C84"/>
                <w:sz w:val="18"/>
              </w:rPr>
              <w:t>offered</w:t>
            </w:r>
            <w:r>
              <w:rPr>
                <w:color w:val="105C84"/>
                <w:spacing w:val="-9"/>
                <w:sz w:val="18"/>
              </w:rPr>
              <w:t> </w:t>
            </w:r>
            <w:r>
              <w:rPr>
                <w:color w:val="105C84"/>
                <w:spacing w:val="-5"/>
                <w:sz w:val="18"/>
              </w:rPr>
              <w:t>to</w:t>
            </w:r>
          </w:p>
        </w:tc>
        <w:tc>
          <w:tcPr>
            <w:tcW w:w="1755" w:type="dxa"/>
            <w:tcBorders>
              <w:bottom w:val="nil"/>
            </w:tcBorders>
          </w:tcPr>
          <w:p>
            <w:pPr>
              <w:pStyle w:val="TableParagraph"/>
              <w:spacing w:line="232" w:lineRule="auto" w:before="98"/>
              <w:ind w:left="95" w:right="89"/>
              <w:rPr>
                <w:sz w:val="18"/>
              </w:rPr>
            </w:pPr>
            <w:r>
              <w:rPr>
                <w:color w:val="105C84"/>
                <w:sz w:val="18"/>
              </w:rPr>
              <w:t>St James Hospital is</w:t>
            </w:r>
            <w:r>
              <w:rPr>
                <w:color w:val="105C84"/>
                <w:spacing w:val="-1"/>
                <w:sz w:val="18"/>
              </w:rPr>
              <w:t> </w:t>
            </w:r>
            <w:r>
              <w:rPr>
                <w:color w:val="105C84"/>
                <w:sz w:val="18"/>
              </w:rPr>
              <w:t>in</w:t>
            </w:r>
            <w:r>
              <w:rPr>
                <w:color w:val="105C84"/>
                <w:spacing w:val="-1"/>
                <w:sz w:val="18"/>
              </w:rPr>
              <w:t> </w:t>
            </w:r>
            <w:r>
              <w:rPr>
                <w:color w:val="105C84"/>
                <w:sz w:val="18"/>
              </w:rPr>
              <w:t>the</w:t>
            </w:r>
            <w:r>
              <w:rPr>
                <w:color w:val="105C84"/>
                <w:spacing w:val="-1"/>
                <w:sz w:val="18"/>
              </w:rPr>
              <w:t> </w:t>
            </w:r>
            <w:r>
              <w:rPr>
                <w:color w:val="105C84"/>
                <w:sz w:val="18"/>
              </w:rPr>
              <w:t>process</w:t>
            </w:r>
            <w:r>
              <w:rPr>
                <w:color w:val="105C84"/>
                <w:spacing w:val="-1"/>
                <w:sz w:val="18"/>
              </w:rPr>
              <w:t> </w:t>
            </w:r>
            <w:r>
              <w:rPr>
                <w:color w:val="105C84"/>
                <w:sz w:val="18"/>
              </w:rPr>
              <w:t>of hiring patient care partners</w:t>
            </w:r>
            <w:r>
              <w:rPr>
                <w:color w:val="105C84"/>
                <w:spacing w:val="-13"/>
                <w:sz w:val="18"/>
              </w:rPr>
              <w:t> </w:t>
            </w:r>
            <w:r>
              <w:rPr>
                <w:color w:val="105C84"/>
                <w:sz w:val="18"/>
              </w:rPr>
              <w:t>who</w:t>
            </w:r>
            <w:r>
              <w:rPr>
                <w:color w:val="105C84"/>
                <w:spacing w:val="-12"/>
                <w:sz w:val="18"/>
              </w:rPr>
              <w:t> </w:t>
            </w:r>
            <w:r>
              <w:rPr>
                <w:color w:val="105C84"/>
                <w:sz w:val="18"/>
              </w:rPr>
              <w:t>could offer education</w:t>
            </w:r>
          </w:p>
          <w:p>
            <w:pPr>
              <w:pStyle w:val="TableParagraph"/>
              <w:spacing w:line="232" w:lineRule="auto"/>
              <w:ind w:left="95" w:right="343"/>
              <w:jc w:val="both"/>
              <w:rPr>
                <w:sz w:val="18"/>
              </w:rPr>
            </w:pPr>
            <w:r>
              <w:rPr>
                <w:color w:val="105C84"/>
                <w:sz w:val="18"/>
              </w:rPr>
              <w:t>on</w:t>
            </w:r>
            <w:r>
              <w:rPr>
                <w:color w:val="105C84"/>
                <w:spacing w:val="-2"/>
                <w:sz w:val="18"/>
              </w:rPr>
              <w:t> </w:t>
            </w:r>
            <w:r>
              <w:rPr>
                <w:color w:val="105C84"/>
                <w:sz w:val="18"/>
              </w:rPr>
              <w:t>cessation</w:t>
            </w:r>
            <w:r>
              <w:rPr>
                <w:color w:val="105C84"/>
                <w:spacing w:val="-2"/>
                <w:sz w:val="18"/>
              </w:rPr>
              <w:t> </w:t>
            </w:r>
            <w:r>
              <w:rPr>
                <w:color w:val="105C84"/>
                <w:sz w:val="18"/>
              </w:rPr>
              <w:t>for </w:t>
            </w:r>
            <w:r>
              <w:rPr>
                <w:color w:val="105C84"/>
                <w:spacing w:val="-2"/>
                <w:sz w:val="18"/>
              </w:rPr>
              <w:t>inpatient/urgent </w:t>
            </w:r>
            <w:r>
              <w:rPr>
                <w:color w:val="105C84"/>
                <w:sz w:val="18"/>
              </w:rPr>
              <w:t>care and ER</w:t>
            </w:r>
          </w:p>
        </w:tc>
        <w:tc>
          <w:tcPr>
            <w:tcW w:w="1582" w:type="dxa"/>
            <w:tcBorders>
              <w:bottom w:val="nil"/>
            </w:tcBorders>
          </w:tcPr>
          <w:p>
            <w:pPr>
              <w:pStyle w:val="TableParagraph"/>
              <w:spacing w:line="232" w:lineRule="auto" w:before="98"/>
              <w:ind w:left="97" w:right="328"/>
              <w:rPr>
                <w:sz w:val="18"/>
              </w:rPr>
            </w:pPr>
            <w:r>
              <w:rPr>
                <w:color w:val="105C84"/>
                <w:sz w:val="18"/>
              </w:rPr>
              <w:t>Continue to offer</w:t>
            </w:r>
            <w:r>
              <w:rPr>
                <w:color w:val="105C84"/>
                <w:spacing w:val="-11"/>
                <w:sz w:val="18"/>
              </w:rPr>
              <w:t> </w:t>
            </w:r>
            <w:r>
              <w:rPr>
                <w:color w:val="105C84"/>
                <w:sz w:val="18"/>
              </w:rPr>
              <w:t>tobacco </w:t>
            </w:r>
            <w:r>
              <w:rPr>
                <w:color w:val="105C84"/>
                <w:spacing w:val="-2"/>
                <w:sz w:val="18"/>
              </w:rPr>
              <w:t>cessation education</w:t>
            </w:r>
          </w:p>
          <w:p>
            <w:pPr>
              <w:pStyle w:val="TableParagraph"/>
              <w:spacing w:line="232" w:lineRule="auto"/>
              <w:ind w:left="97" w:right="445"/>
              <w:jc w:val="both"/>
              <w:rPr>
                <w:sz w:val="18"/>
              </w:rPr>
            </w:pPr>
            <w:r>
              <w:rPr>
                <w:color w:val="105C84"/>
                <w:w w:val="105"/>
                <w:sz w:val="18"/>
              </w:rPr>
              <w:t>to</w:t>
            </w:r>
            <w:r>
              <w:rPr>
                <w:color w:val="105C84"/>
                <w:spacing w:val="-14"/>
                <w:w w:val="105"/>
                <w:sz w:val="18"/>
              </w:rPr>
              <w:t> </w:t>
            </w:r>
            <w:r>
              <w:rPr>
                <w:color w:val="105C84"/>
                <w:w w:val="105"/>
                <w:sz w:val="18"/>
              </w:rPr>
              <w:t>inpatients and</w:t>
            </w:r>
            <w:r>
              <w:rPr>
                <w:color w:val="105C84"/>
                <w:spacing w:val="-14"/>
                <w:w w:val="105"/>
                <w:sz w:val="18"/>
              </w:rPr>
              <w:t> </w:t>
            </w:r>
            <w:r>
              <w:rPr>
                <w:color w:val="105C84"/>
                <w:w w:val="105"/>
                <w:sz w:val="18"/>
              </w:rPr>
              <w:t>prepare to</w:t>
            </w:r>
            <w:r>
              <w:rPr>
                <w:color w:val="105C84"/>
                <w:spacing w:val="-14"/>
                <w:w w:val="105"/>
                <w:sz w:val="18"/>
              </w:rPr>
              <w:t> </w:t>
            </w:r>
            <w:r>
              <w:rPr>
                <w:color w:val="105C84"/>
                <w:w w:val="105"/>
                <w:sz w:val="18"/>
              </w:rPr>
              <w:t>expand</w:t>
            </w:r>
            <w:r>
              <w:rPr>
                <w:color w:val="105C84"/>
                <w:spacing w:val="-13"/>
                <w:w w:val="105"/>
                <w:sz w:val="18"/>
              </w:rPr>
              <w:t> </w:t>
            </w:r>
            <w:r>
              <w:rPr>
                <w:color w:val="105C84"/>
                <w:w w:val="105"/>
                <w:sz w:val="18"/>
              </w:rPr>
              <w:t>to </w:t>
            </w:r>
            <w:r>
              <w:rPr>
                <w:color w:val="105C84"/>
                <w:spacing w:val="-2"/>
                <w:w w:val="105"/>
                <w:sz w:val="18"/>
              </w:rPr>
              <w:t>outpatient</w:t>
            </w:r>
          </w:p>
        </w:tc>
        <w:tc>
          <w:tcPr>
            <w:tcW w:w="1553" w:type="dxa"/>
            <w:tcBorders>
              <w:bottom w:val="nil"/>
            </w:tcBorders>
          </w:tcPr>
          <w:p>
            <w:pPr>
              <w:pStyle w:val="TableParagraph"/>
              <w:spacing w:line="232" w:lineRule="auto" w:before="98"/>
              <w:ind w:left="99" w:right="268"/>
              <w:rPr>
                <w:sz w:val="18"/>
              </w:rPr>
            </w:pPr>
            <w:r>
              <w:rPr>
                <w:color w:val="105C84"/>
                <w:sz w:val="18"/>
              </w:rPr>
              <w:t>Expand to </w:t>
            </w:r>
            <w:r>
              <w:rPr>
                <w:color w:val="105C84"/>
                <w:spacing w:val="-2"/>
                <w:sz w:val="18"/>
              </w:rPr>
              <w:t>outpatient cessation </w:t>
            </w:r>
            <w:r>
              <w:rPr>
                <w:color w:val="105C84"/>
                <w:spacing w:val="-6"/>
                <w:sz w:val="18"/>
              </w:rPr>
              <w:t>assistance</w:t>
            </w:r>
            <w:r>
              <w:rPr>
                <w:color w:val="105C84"/>
                <w:spacing w:val="-7"/>
                <w:sz w:val="18"/>
              </w:rPr>
              <w:t> </w:t>
            </w:r>
            <w:r>
              <w:rPr>
                <w:color w:val="105C84"/>
                <w:spacing w:val="-6"/>
                <w:sz w:val="18"/>
              </w:rPr>
              <w:t>SJH</w:t>
            </w:r>
          </w:p>
        </w:tc>
        <w:tc>
          <w:tcPr>
            <w:tcW w:w="1488" w:type="dxa"/>
            <w:tcBorders>
              <w:top w:val="nil"/>
              <w:bottom w:val="nil"/>
            </w:tcBorders>
          </w:tcPr>
          <w:p>
            <w:pPr>
              <w:pStyle w:val="TableParagraph"/>
              <w:rPr>
                <w:rFonts w:ascii="Times New Roman"/>
                <w:sz w:val="18"/>
              </w:rPr>
            </w:pPr>
          </w:p>
        </w:tc>
        <w:tc>
          <w:tcPr>
            <w:tcW w:w="1656" w:type="dxa"/>
            <w:tcBorders>
              <w:bottom w:val="nil"/>
            </w:tcBorders>
          </w:tcPr>
          <w:p>
            <w:pPr>
              <w:pStyle w:val="TableParagraph"/>
              <w:spacing w:line="232" w:lineRule="auto" w:before="98"/>
              <w:ind w:left="103" w:right="95"/>
              <w:rPr>
                <w:sz w:val="18"/>
              </w:rPr>
            </w:pPr>
            <w:r>
              <w:rPr>
                <w:color w:val="105C84"/>
                <w:sz w:val="18"/>
              </w:rPr>
              <w:t>St</w:t>
            </w:r>
            <w:r>
              <w:rPr>
                <w:color w:val="105C84"/>
                <w:spacing w:val="-15"/>
                <w:sz w:val="18"/>
              </w:rPr>
              <w:t> </w:t>
            </w:r>
            <w:r>
              <w:rPr>
                <w:color w:val="105C84"/>
                <w:sz w:val="18"/>
              </w:rPr>
              <w:t>James</w:t>
            </w:r>
            <w:r>
              <w:rPr>
                <w:color w:val="105C84"/>
                <w:spacing w:val="-12"/>
                <w:sz w:val="18"/>
              </w:rPr>
              <w:t> </w:t>
            </w:r>
            <w:r>
              <w:rPr>
                <w:color w:val="105C84"/>
                <w:sz w:val="18"/>
              </w:rPr>
              <w:t>Hospital and St. James Primary Care assess patients for tobacco use and provide tobacco</w:t>
            </w:r>
            <w:r>
              <w:rPr>
                <w:color w:val="105C84"/>
                <w:spacing w:val="-13"/>
                <w:sz w:val="18"/>
              </w:rPr>
              <w:t> </w:t>
            </w:r>
            <w:r>
              <w:rPr>
                <w:color w:val="105C84"/>
                <w:sz w:val="18"/>
              </w:rPr>
              <w:t>cessation </w:t>
            </w:r>
            <w:r>
              <w:rPr>
                <w:color w:val="105C84"/>
                <w:spacing w:val="-2"/>
                <w:sz w:val="18"/>
              </w:rPr>
              <w:t>education</w:t>
            </w:r>
          </w:p>
          <w:p>
            <w:pPr>
              <w:pStyle w:val="TableParagraph"/>
              <w:spacing w:line="232" w:lineRule="auto"/>
              <w:ind w:left="103" w:right="95"/>
              <w:rPr>
                <w:sz w:val="18"/>
              </w:rPr>
            </w:pPr>
            <w:r>
              <w:rPr>
                <w:color w:val="105C84"/>
                <w:sz w:val="18"/>
              </w:rPr>
              <w:t>and also refer patients to NY Quits</w:t>
            </w:r>
            <w:r>
              <w:rPr>
                <w:color w:val="105C84"/>
                <w:spacing w:val="-5"/>
                <w:sz w:val="18"/>
              </w:rPr>
              <w:t> </w:t>
            </w:r>
            <w:r>
              <w:rPr>
                <w:color w:val="105C84"/>
                <w:sz w:val="18"/>
              </w:rPr>
              <w:t>if</w:t>
            </w:r>
            <w:r>
              <w:rPr>
                <w:color w:val="105C84"/>
                <w:spacing w:val="-5"/>
                <w:sz w:val="18"/>
              </w:rPr>
              <w:t> </w:t>
            </w:r>
            <w:r>
              <w:rPr>
                <w:color w:val="105C84"/>
                <w:sz w:val="18"/>
              </w:rPr>
              <w:t>patient</w:t>
            </w:r>
            <w:r>
              <w:rPr>
                <w:color w:val="105C84"/>
                <w:spacing w:val="-5"/>
                <w:sz w:val="18"/>
              </w:rPr>
              <w:t> </w:t>
            </w:r>
            <w:r>
              <w:rPr>
                <w:color w:val="105C84"/>
                <w:sz w:val="18"/>
              </w:rPr>
              <w:t>is </w:t>
            </w:r>
            <w:r>
              <w:rPr>
                <w:color w:val="105C84"/>
                <w:spacing w:val="-2"/>
                <w:sz w:val="18"/>
              </w:rPr>
              <w:t>agreeable</w:t>
            </w:r>
          </w:p>
        </w:tc>
      </w:tr>
      <w:tr>
        <w:trPr>
          <w:trHeight w:val="980" w:hRule="atLeast"/>
        </w:trPr>
        <w:tc>
          <w:tcPr>
            <w:tcW w:w="1180" w:type="dxa"/>
            <w:tcBorders>
              <w:top w:val="nil"/>
            </w:tcBorders>
            <w:shd w:val="clear" w:color="auto" w:fill="E6E7E8"/>
          </w:tcPr>
          <w:p>
            <w:pPr>
              <w:pStyle w:val="TableParagraph"/>
              <w:rPr>
                <w:rFonts w:ascii="Times New Roman"/>
                <w:sz w:val="18"/>
              </w:rPr>
            </w:pPr>
          </w:p>
        </w:tc>
        <w:tc>
          <w:tcPr>
            <w:tcW w:w="1353" w:type="dxa"/>
            <w:tcBorders>
              <w:top w:val="nil"/>
            </w:tcBorders>
          </w:tcPr>
          <w:p>
            <w:pPr>
              <w:pStyle w:val="TableParagraph"/>
              <w:rPr>
                <w:rFonts w:ascii="Times New Roman"/>
                <w:sz w:val="18"/>
              </w:rPr>
            </w:pPr>
          </w:p>
        </w:tc>
        <w:tc>
          <w:tcPr>
            <w:tcW w:w="1209" w:type="dxa"/>
            <w:tcBorders>
              <w:top w:val="nil"/>
            </w:tcBorders>
          </w:tcPr>
          <w:p>
            <w:pPr>
              <w:pStyle w:val="TableParagraph"/>
              <w:rPr>
                <w:rFonts w:ascii="Times New Roman"/>
                <w:sz w:val="18"/>
              </w:rPr>
            </w:pPr>
          </w:p>
        </w:tc>
        <w:tc>
          <w:tcPr>
            <w:tcW w:w="1605" w:type="dxa"/>
            <w:tcBorders>
              <w:top w:val="nil"/>
            </w:tcBorders>
          </w:tcPr>
          <w:p>
            <w:pPr>
              <w:pStyle w:val="TableParagraph"/>
              <w:rPr>
                <w:rFonts w:ascii="Times New Roman"/>
                <w:sz w:val="18"/>
              </w:rPr>
            </w:pPr>
          </w:p>
        </w:tc>
        <w:tc>
          <w:tcPr>
            <w:tcW w:w="1763" w:type="dxa"/>
            <w:tcBorders>
              <w:top w:val="nil"/>
            </w:tcBorders>
          </w:tcPr>
          <w:p>
            <w:pPr>
              <w:pStyle w:val="TableParagraph"/>
              <w:rPr>
                <w:rFonts w:ascii="Times New Roman"/>
                <w:sz w:val="18"/>
              </w:rPr>
            </w:pPr>
          </w:p>
        </w:tc>
        <w:tc>
          <w:tcPr>
            <w:tcW w:w="4031" w:type="dxa"/>
            <w:tcBorders>
              <w:top w:val="nil"/>
              <w:right w:val="nil"/>
            </w:tcBorders>
          </w:tcPr>
          <w:p>
            <w:pPr>
              <w:pStyle w:val="TableParagraph"/>
              <w:rPr>
                <w:rFonts w:ascii="Times New Roman"/>
                <w:sz w:val="18"/>
              </w:rPr>
            </w:pPr>
          </w:p>
        </w:tc>
        <w:tc>
          <w:tcPr>
            <w:tcW w:w="3109" w:type="dxa"/>
            <w:tcBorders>
              <w:top w:val="nil"/>
              <w:left w:val="nil"/>
            </w:tcBorders>
          </w:tcPr>
          <w:p>
            <w:pPr>
              <w:pStyle w:val="TableParagraph"/>
              <w:rPr>
                <w:rFonts w:ascii="Times New Roman"/>
                <w:sz w:val="18"/>
              </w:rPr>
            </w:pPr>
          </w:p>
        </w:tc>
        <w:tc>
          <w:tcPr>
            <w:tcW w:w="1755" w:type="dxa"/>
            <w:tcBorders>
              <w:top w:val="nil"/>
            </w:tcBorders>
          </w:tcPr>
          <w:p>
            <w:pPr>
              <w:pStyle w:val="TableParagraph"/>
              <w:rPr>
                <w:rFonts w:ascii="Times New Roman"/>
                <w:sz w:val="18"/>
              </w:rPr>
            </w:pPr>
          </w:p>
        </w:tc>
        <w:tc>
          <w:tcPr>
            <w:tcW w:w="1582" w:type="dxa"/>
            <w:tcBorders>
              <w:top w:val="nil"/>
            </w:tcBorders>
          </w:tcPr>
          <w:p>
            <w:pPr>
              <w:pStyle w:val="TableParagraph"/>
              <w:rPr>
                <w:rFonts w:ascii="Times New Roman"/>
                <w:sz w:val="18"/>
              </w:rPr>
            </w:pPr>
          </w:p>
        </w:tc>
        <w:tc>
          <w:tcPr>
            <w:tcW w:w="1553" w:type="dxa"/>
            <w:tcBorders>
              <w:top w:val="nil"/>
            </w:tcBorders>
          </w:tcPr>
          <w:p>
            <w:pPr>
              <w:pStyle w:val="TableParagraph"/>
              <w:rPr>
                <w:rFonts w:ascii="Times New Roman"/>
                <w:sz w:val="18"/>
              </w:rPr>
            </w:pPr>
          </w:p>
        </w:tc>
        <w:tc>
          <w:tcPr>
            <w:tcW w:w="1488" w:type="dxa"/>
            <w:tcBorders>
              <w:top w:val="nil"/>
            </w:tcBorders>
          </w:tcPr>
          <w:p>
            <w:pPr>
              <w:pStyle w:val="TableParagraph"/>
              <w:rPr>
                <w:rFonts w:ascii="Times New Roman"/>
                <w:sz w:val="18"/>
              </w:rPr>
            </w:pPr>
          </w:p>
        </w:tc>
        <w:tc>
          <w:tcPr>
            <w:tcW w:w="1656" w:type="dxa"/>
            <w:tcBorders>
              <w:top w:val="nil"/>
            </w:tcBorders>
          </w:tcPr>
          <w:p>
            <w:pPr>
              <w:pStyle w:val="TableParagraph"/>
              <w:spacing w:line="232" w:lineRule="auto" w:before="38"/>
              <w:ind w:left="103" w:right="79"/>
              <w:jc w:val="both"/>
              <w:rPr>
                <w:sz w:val="18"/>
              </w:rPr>
            </w:pPr>
            <w:r>
              <w:rPr>
                <w:color w:val="105C84"/>
                <w:sz w:val="18"/>
              </w:rPr>
              <w:t>Treatment</w:t>
            </w:r>
            <w:r>
              <w:rPr>
                <w:color w:val="105C84"/>
                <w:spacing w:val="-13"/>
                <w:sz w:val="18"/>
              </w:rPr>
              <w:t> </w:t>
            </w:r>
            <w:r>
              <w:rPr>
                <w:color w:val="105C84"/>
                <w:sz w:val="18"/>
              </w:rPr>
              <w:t>options are</w:t>
            </w:r>
            <w:r>
              <w:rPr>
                <w:color w:val="105C84"/>
                <w:spacing w:val="-15"/>
                <w:sz w:val="18"/>
              </w:rPr>
              <w:t> </w:t>
            </w:r>
            <w:r>
              <w:rPr>
                <w:color w:val="105C84"/>
                <w:sz w:val="18"/>
              </w:rPr>
              <w:t>discussed</w:t>
            </w:r>
            <w:r>
              <w:rPr>
                <w:color w:val="105C84"/>
                <w:spacing w:val="-12"/>
                <w:sz w:val="18"/>
              </w:rPr>
              <w:t> </w:t>
            </w:r>
            <w:r>
              <w:rPr>
                <w:color w:val="105C84"/>
                <w:sz w:val="18"/>
              </w:rPr>
              <w:t>and offered to patient. 2 FTE</w:t>
            </w:r>
          </w:p>
        </w:tc>
      </w:tr>
    </w:tbl>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178"/>
        <w:rPr>
          <w:b/>
          <w:sz w:val="26"/>
        </w:rPr>
      </w:pPr>
    </w:p>
    <w:p>
      <w:pPr>
        <w:tabs>
          <w:tab w:pos="23047" w:val="left" w:leader="none"/>
        </w:tabs>
        <w:spacing w:before="0"/>
        <w:ind w:left="0" w:right="0" w:firstLine="0"/>
        <w:jc w:val="left"/>
        <w:rPr>
          <w:b/>
          <w:sz w:val="26"/>
        </w:rPr>
      </w:pPr>
      <w:r>
        <w:rPr>
          <w:position w:val="-4"/>
        </w:rPr>
        <w:drawing>
          <wp:inline distT="0" distB="0" distL="0" distR="0">
            <wp:extent cx="568172" cy="184683"/>
            <wp:effectExtent l="0" t="0" r="0" b="0"/>
            <wp:docPr id="1950" name="Image 1950"/>
            <wp:cNvGraphicFramePr>
              <a:graphicFrameLocks/>
            </wp:cNvGraphicFramePr>
            <a:graphic>
              <a:graphicData uri="http://schemas.openxmlformats.org/drawingml/2006/picture">
                <pic:pic>
                  <pic:nvPicPr>
                    <pic:cNvPr id="1950" name="Image 1950"/>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13"/>
          <w:sz w:val="20"/>
        </w:rPr>
        <w:t> </w:t>
      </w:r>
      <w:r>
        <w:rPr>
          <w:b/>
          <w:color w:val="939598"/>
          <w:w w:val="105"/>
          <w:sz w:val="26"/>
        </w:rPr>
        <w:t>193</w:t>
      </w:r>
      <w:r>
        <w:rPr>
          <w:b/>
          <w:color w:val="939598"/>
          <w:sz w:val="26"/>
        </w:rPr>
        <w:tab/>
      </w:r>
      <w:r>
        <w:rPr>
          <w:b/>
          <w:color w:val="939598"/>
          <w:spacing w:val="-5"/>
          <w:w w:val="105"/>
          <w:sz w:val="26"/>
        </w:rPr>
        <w:t>194</w:t>
      </w:r>
    </w:p>
    <w:p>
      <w:pPr>
        <w:spacing w:after="0"/>
        <w:jc w:val="left"/>
        <w:rPr>
          <w:b/>
          <w:sz w:val="26"/>
        </w:rPr>
        <w:sectPr>
          <w:pgSz w:w="24480" w:h="15840" w:orient="landscape"/>
          <w:pgMar w:header="0" w:footer="0" w:top="860" w:bottom="0" w:left="0" w:right="720"/>
        </w:sectPr>
      </w:pPr>
    </w:p>
    <w:p>
      <w:pPr>
        <w:spacing w:before="609"/>
        <w:ind w:left="1089" w:right="0" w:firstLine="0"/>
        <w:jc w:val="left"/>
        <w:rPr>
          <w:sz w:val="54"/>
        </w:rPr>
      </w:pPr>
      <w:r>
        <w:rPr>
          <w:sz w:val="54"/>
        </w:rPr>
        <w:drawing>
          <wp:anchor distT="0" distB="0" distL="0" distR="0" allowOverlap="1" layoutInCell="1" locked="0" behindDoc="0" simplePos="0" relativeHeight="15998464">
            <wp:simplePos x="0" y="0"/>
            <wp:positionH relativeFrom="page">
              <wp:posOffset>14981556</wp:posOffset>
            </wp:positionH>
            <wp:positionV relativeFrom="page">
              <wp:posOffset>9668103</wp:posOffset>
            </wp:positionV>
            <wp:extent cx="563245" cy="184683"/>
            <wp:effectExtent l="0" t="0" r="0" b="0"/>
            <wp:wrapNone/>
            <wp:docPr id="1951" name="Image 1951"/>
            <wp:cNvGraphicFramePr>
              <a:graphicFrameLocks/>
            </wp:cNvGraphicFramePr>
            <a:graphic>
              <a:graphicData uri="http://schemas.openxmlformats.org/drawingml/2006/picture">
                <pic:pic>
                  <pic:nvPicPr>
                    <pic:cNvPr id="1951" name="Image 1951"/>
                    <pic:cNvPicPr/>
                  </pic:nvPicPr>
                  <pic:blipFill>
                    <a:blip r:embed="rId38" cstate="print"/>
                    <a:stretch>
                      <a:fillRect/>
                    </a:stretch>
                  </pic:blipFill>
                  <pic:spPr>
                    <a:xfrm>
                      <a:off x="0" y="0"/>
                      <a:ext cx="563245" cy="184683"/>
                    </a:xfrm>
                    <a:prstGeom prst="rect">
                      <a:avLst/>
                    </a:prstGeom>
                  </pic:spPr>
                </pic:pic>
              </a:graphicData>
            </a:graphic>
          </wp:anchor>
        </w:drawing>
      </w:r>
      <w:r>
        <w:rPr>
          <w:sz w:val="54"/>
        </w:rPr>
        <w:drawing>
          <wp:anchor distT="0" distB="0" distL="0" distR="0" allowOverlap="1" layoutInCell="1" locked="0" behindDoc="0" simplePos="0" relativeHeight="15998976">
            <wp:simplePos x="0" y="0"/>
            <wp:positionH relativeFrom="page">
              <wp:posOffset>14298866</wp:posOffset>
            </wp:positionH>
            <wp:positionV relativeFrom="paragraph">
              <wp:posOffset>333089</wp:posOffset>
            </wp:positionV>
            <wp:extent cx="552068" cy="591502"/>
            <wp:effectExtent l="0" t="0" r="0" b="0"/>
            <wp:wrapNone/>
            <wp:docPr id="1952" name="Image 1952"/>
            <wp:cNvGraphicFramePr>
              <a:graphicFrameLocks/>
            </wp:cNvGraphicFramePr>
            <a:graphic>
              <a:graphicData uri="http://schemas.openxmlformats.org/drawingml/2006/picture">
                <pic:pic>
                  <pic:nvPicPr>
                    <pic:cNvPr id="1952" name="Image 1952"/>
                    <pic:cNvPicPr/>
                  </pic:nvPicPr>
                  <pic:blipFill>
                    <a:blip r:embed="rId259" cstate="print"/>
                    <a:stretch>
                      <a:fillRect/>
                    </a:stretch>
                  </pic:blipFill>
                  <pic:spPr>
                    <a:xfrm>
                      <a:off x="0" y="0"/>
                      <a:ext cx="552068" cy="591502"/>
                    </a:xfrm>
                    <a:prstGeom prst="rect">
                      <a:avLst/>
                    </a:prstGeom>
                  </pic:spPr>
                </pic:pic>
              </a:graphicData>
            </a:graphic>
          </wp:anchor>
        </w:drawing>
      </w:r>
      <w:r>
        <w:rPr>
          <w:sz w:val="54"/>
        </w:rPr>
        <w:drawing>
          <wp:anchor distT="0" distB="0" distL="0" distR="0" allowOverlap="1" layoutInCell="1" locked="0" behindDoc="0" simplePos="0" relativeHeight="15999488">
            <wp:simplePos x="0" y="0"/>
            <wp:positionH relativeFrom="page">
              <wp:posOffset>11596623</wp:posOffset>
            </wp:positionH>
            <wp:positionV relativeFrom="paragraph">
              <wp:posOffset>330783</wp:posOffset>
            </wp:positionV>
            <wp:extent cx="1311661" cy="345815"/>
            <wp:effectExtent l="0" t="0" r="0" b="0"/>
            <wp:wrapNone/>
            <wp:docPr id="1953" name="Image 1953"/>
            <wp:cNvGraphicFramePr>
              <a:graphicFrameLocks/>
            </wp:cNvGraphicFramePr>
            <a:graphic>
              <a:graphicData uri="http://schemas.openxmlformats.org/drawingml/2006/picture">
                <pic:pic>
                  <pic:nvPicPr>
                    <pic:cNvPr id="1953" name="Image 1953"/>
                    <pic:cNvPicPr/>
                  </pic:nvPicPr>
                  <pic:blipFill>
                    <a:blip r:embed="rId260" cstate="print"/>
                    <a:stretch>
                      <a:fillRect/>
                    </a:stretch>
                  </pic:blipFill>
                  <pic:spPr>
                    <a:xfrm>
                      <a:off x="0" y="0"/>
                      <a:ext cx="1311661" cy="345815"/>
                    </a:xfrm>
                    <a:prstGeom prst="rect">
                      <a:avLst/>
                    </a:prstGeom>
                  </pic:spPr>
                </pic:pic>
              </a:graphicData>
            </a:graphic>
          </wp:anchor>
        </w:drawing>
      </w:r>
      <w:r>
        <w:rPr>
          <w:sz w:val="54"/>
        </w:rPr>
        <w:drawing>
          <wp:anchor distT="0" distB="0" distL="0" distR="0" allowOverlap="1" layoutInCell="1" locked="0" behindDoc="0" simplePos="0" relativeHeight="16000000">
            <wp:simplePos x="0" y="0"/>
            <wp:positionH relativeFrom="page">
              <wp:posOffset>13088996</wp:posOffset>
            </wp:positionH>
            <wp:positionV relativeFrom="paragraph">
              <wp:posOffset>323398</wp:posOffset>
            </wp:positionV>
            <wp:extent cx="1063929" cy="302976"/>
            <wp:effectExtent l="0" t="0" r="0" b="0"/>
            <wp:wrapNone/>
            <wp:docPr id="1954" name="Image 1954"/>
            <wp:cNvGraphicFramePr>
              <a:graphicFrameLocks/>
            </wp:cNvGraphicFramePr>
            <a:graphic>
              <a:graphicData uri="http://schemas.openxmlformats.org/drawingml/2006/picture">
                <pic:pic>
                  <pic:nvPicPr>
                    <pic:cNvPr id="1954" name="Image 1954"/>
                    <pic:cNvPicPr/>
                  </pic:nvPicPr>
                  <pic:blipFill>
                    <a:blip r:embed="rId261" cstate="print"/>
                    <a:stretch>
                      <a:fillRect/>
                    </a:stretch>
                  </pic:blipFill>
                  <pic:spPr>
                    <a:xfrm>
                      <a:off x="0" y="0"/>
                      <a:ext cx="1063929" cy="302976"/>
                    </a:xfrm>
                    <a:prstGeom prst="rect">
                      <a:avLst/>
                    </a:prstGeom>
                  </pic:spPr>
                </pic:pic>
              </a:graphicData>
            </a:graphic>
          </wp:anchor>
        </w:drawing>
      </w:r>
      <w:r>
        <w:rPr>
          <w:sz w:val="54"/>
        </w:rPr>
        <w:drawing>
          <wp:anchor distT="0" distB="0" distL="0" distR="0" allowOverlap="1" layoutInCell="1" locked="0" behindDoc="0" simplePos="0" relativeHeight="16000512">
            <wp:simplePos x="0" y="0"/>
            <wp:positionH relativeFrom="page">
              <wp:posOffset>11099800</wp:posOffset>
            </wp:positionH>
            <wp:positionV relativeFrom="paragraph">
              <wp:posOffset>279907</wp:posOffset>
            </wp:positionV>
            <wp:extent cx="330199" cy="393699"/>
            <wp:effectExtent l="0" t="0" r="0" b="0"/>
            <wp:wrapNone/>
            <wp:docPr id="1955" name="Image 1955"/>
            <wp:cNvGraphicFramePr>
              <a:graphicFrameLocks/>
            </wp:cNvGraphicFramePr>
            <a:graphic>
              <a:graphicData uri="http://schemas.openxmlformats.org/drawingml/2006/picture">
                <pic:pic>
                  <pic:nvPicPr>
                    <pic:cNvPr id="1955" name="Image 1955"/>
                    <pic:cNvPicPr/>
                  </pic:nvPicPr>
                  <pic:blipFill>
                    <a:blip r:embed="rId262" cstate="print"/>
                    <a:stretch>
                      <a:fillRect/>
                    </a:stretch>
                  </pic:blipFill>
                  <pic:spPr>
                    <a:xfrm>
                      <a:off x="0" y="0"/>
                      <a:ext cx="330199" cy="393699"/>
                    </a:xfrm>
                    <a:prstGeom prst="rect">
                      <a:avLst/>
                    </a:prstGeom>
                  </pic:spPr>
                </pic:pic>
              </a:graphicData>
            </a:graphic>
          </wp:anchor>
        </w:drawing>
      </w:r>
      <w:r>
        <w:rPr>
          <w:sz w:val="54"/>
        </w:rPr>
        <w:drawing>
          <wp:anchor distT="0" distB="0" distL="0" distR="0" allowOverlap="1" layoutInCell="1" locked="0" behindDoc="0" simplePos="0" relativeHeight="16001024">
            <wp:simplePos x="0" y="0"/>
            <wp:positionH relativeFrom="page">
              <wp:posOffset>9610343</wp:posOffset>
            </wp:positionH>
            <wp:positionV relativeFrom="paragraph">
              <wp:posOffset>374444</wp:posOffset>
            </wp:positionV>
            <wp:extent cx="1279782" cy="224523"/>
            <wp:effectExtent l="0" t="0" r="0" b="0"/>
            <wp:wrapNone/>
            <wp:docPr id="1956" name="Image 1956"/>
            <wp:cNvGraphicFramePr>
              <a:graphicFrameLocks/>
            </wp:cNvGraphicFramePr>
            <a:graphic>
              <a:graphicData uri="http://schemas.openxmlformats.org/drawingml/2006/picture">
                <pic:pic>
                  <pic:nvPicPr>
                    <pic:cNvPr id="1956" name="Image 1956"/>
                    <pic:cNvPicPr/>
                  </pic:nvPicPr>
                  <pic:blipFill>
                    <a:blip r:embed="rId263" cstate="print"/>
                    <a:stretch>
                      <a:fillRect/>
                    </a:stretch>
                  </pic:blipFill>
                  <pic:spPr>
                    <a:xfrm>
                      <a:off x="0" y="0"/>
                      <a:ext cx="1279782" cy="224523"/>
                    </a:xfrm>
                    <a:prstGeom prst="rect">
                      <a:avLst/>
                    </a:prstGeom>
                  </pic:spPr>
                </pic:pic>
              </a:graphicData>
            </a:graphic>
          </wp:anchor>
        </w:drawing>
      </w:r>
      <w:r>
        <w:rPr>
          <w:color w:val="636466"/>
          <w:sz w:val="54"/>
        </w:rPr>
        <w:t>Steuben</w:t>
      </w:r>
      <w:r>
        <w:rPr>
          <w:color w:val="636466"/>
          <w:spacing w:val="54"/>
          <w:sz w:val="54"/>
        </w:rPr>
        <w:t> </w:t>
      </w:r>
      <w:r>
        <w:rPr>
          <w:color w:val="636466"/>
          <w:sz w:val="54"/>
        </w:rPr>
        <w:t>County</w:t>
      </w:r>
      <w:r>
        <w:rPr>
          <w:color w:val="636466"/>
          <w:spacing w:val="55"/>
          <w:sz w:val="54"/>
        </w:rPr>
        <w:t> </w:t>
      </w:r>
      <w:r>
        <w:rPr>
          <w:color w:val="636466"/>
          <w:sz w:val="54"/>
        </w:rPr>
        <w:t>Appendix</w:t>
      </w:r>
      <w:r>
        <w:rPr>
          <w:color w:val="636466"/>
          <w:spacing w:val="54"/>
          <w:sz w:val="54"/>
        </w:rPr>
        <w:t> </w:t>
      </w:r>
      <w:r>
        <w:rPr>
          <w:color w:val="636466"/>
          <w:spacing w:val="-10"/>
          <w:sz w:val="54"/>
        </w:rPr>
        <w:t>F</w:t>
      </w:r>
    </w:p>
    <w:p>
      <w:pPr>
        <w:spacing w:before="236"/>
        <w:ind w:left="1089" w:right="0" w:firstLine="0"/>
        <w:jc w:val="left"/>
        <w:rPr>
          <w:b/>
          <w:sz w:val="32"/>
        </w:rPr>
      </w:pPr>
      <w:r>
        <w:rPr>
          <w:b/>
          <w:color w:val="82BF6A"/>
          <w:spacing w:val="-6"/>
          <w:sz w:val="32"/>
        </w:rPr>
        <w:t>PRIORITY:</w:t>
      </w:r>
      <w:r>
        <w:rPr>
          <w:b/>
          <w:color w:val="82BF6A"/>
          <w:spacing w:val="-13"/>
          <w:sz w:val="32"/>
        </w:rPr>
        <w:t> </w:t>
      </w:r>
      <w:r>
        <w:rPr>
          <w:b/>
          <w:color w:val="82BF6A"/>
          <w:spacing w:val="-6"/>
          <w:sz w:val="32"/>
        </w:rPr>
        <w:t>PREVENT</w:t>
      </w:r>
      <w:r>
        <w:rPr>
          <w:b/>
          <w:color w:val="82BF6A"/>
          <w:spacing w:val="-13"/>
          <w:sz w:val="32"/>
        </w:rPr>
        <w:t> </w:t>
      </w:r>
      <w:r>
        <w:rPr>
          <w:b/>
          <w:color w:val="82BF6A"/>
          <w:spacing w:val="-6"/>
          <w:sz w:val="32"/>
        </w:rPr>
        <w:t>CHRONIC</w:t>
      </w:r>
      <w:r>
        <w:rPr>
          <w:b/>
          <w:color w:val="82BF6A"/>
          <w:spacing w:val="-13"/>
          <w:sz w:val="32"/>
        </w:rPr>
        <w:t> </w:t>
      </w:r>
      <w:r>
        <w:rPr>
          <w:b/>
          <w:color w:val="82BF6A"/>
          <w:spacing w:val="-6"/>
          <w:sz w:val="32"/>
        </w:rPr>
        <w:t>DISEASES</w:t>
      </w:r>
    </w:p>
    <w:p>
      <w:pPr>
        <w:pStyle w:val="BodyText"/>
        <w:spacing w:before="162"/>
        <w:rPr>
          <w:b/>
          <w:sz w:val="20"/>
        </w:rPr>
      </w:pPr>
    </w:p>
    <w:tbl>
      <w:tblPr>
        <w:tblW w:w="0" w:type="auto"/>
        <w:jc w:val="left"/>
        <w:tblInd w:w="1099"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1180"/>
        <w:gridCol w:w="1353"/>
        <w:gridCol w:w="1209"/>
        <w:gridCol w:w="1605"/>
        <w:gridCol w:w="1763"/>
        <w:gridCol w:w="4031"/>
        <w:gridCol w:w="2361"/>
        <w:gridCol w:w="1900"/>
        <w:gridCol w:w="1554"/>
        <w:gridCol w:w="1468"/>
        <w:gridCol w:w="1526"/>
        <w:gridCol w:w="2342"/>
      </w:tblGrid>
      <w:tr>
        <w:trPr>
          <w:trHeight w:val="930" w:hRule="atLeast"/>
        </w:trPr>
        <w:tc>
          <w:tcPr>
            <w:tcW w:w="1180" w:type="dxa"/>
            <w:tcBorders>
              <w:right w:val="single" w:sz="4" w:space="0" w:color="FFFFFF"/>
            </w:tcBorders>
            <w:shd w:val="clear" w:color="auto" w:fill="A7A9AC"/>
          </w:tcPr>
          <w:p>
            <w:pPr>
              <w:pStyle w:val="TableParagraph"/>
              <w:spacing w:before="179"/>
              <w:rPr>
                <w:b/>
                <w:sz w:val="18"/>
              </w:rPr>
            </w:pPr>
          </w:p>
          <w:p>
            <w:pPr>
              <w:pStyle w:val="TableParagraph"/>
              <w:ind w:left="80"/>
              <w:rPr>
                <w:b/>
                <w:sz w:val="18"/>
              </w:rPr>
            </w:pPr>
            <w:r>
              <w:rPr>
                <w:b/>
                <w:color w:val="FFFFFF"/>
                <w:spacing w:val="-2"/>
                <w:sz w:val="18"/>
              </w:rPr>
              <w:t>Priority</w:t>
            </w:r>
          </w:p>
        </w:tc>
        <w:tc>
          <w:tcPr>
            <w:tcW w:w="1353" w:type="dxa"/>
            <w:tcBorders>
              <w:left w:val="single" w:sz="4" w:space="0" w:color="FFFFFF"/>
              <w:right w:val="single" w:sz="4" w:space="0" w:color="FFFFFF"/>
            </w:tcBorders>
            <w:shd w:val="clear" w:color="auto" w:fill="A7A9AC"/>
          </w:tcPr>
          <w:p>
            <w:pPr>
              <w:pStyle w:val="TableParagraph"/>
              <w:spacing w:before="179"/>
              <w:rPr>
                <w:b/>
                <w:sz w:val="18"/>
              </w:rPr>
            </w:pPr>
          </w:p>
          <w:p>
            <w:pPr>
              <w:pStyle w:val="TableParagraph"/>
              <w:ind w:left="80"/>
              <w:rPr>
                <w:b/>
                <w:sz w:val="18"/>
              </w:rPr>
            </w:pPr>
            <w:r>
              <w:rPr>
                <w:b/>
                <w:color w:val="FFFFFF"/>
                <w:w w:val="90"/>
                <w:sz w:val="18"/>
              </w:rPr>
              <w:t>Focus</w:t>
            </w:r>
            <w:r>
              <w:rPr>
                <w:b/>
                <w:color w:val="FFFFFF"/>
                <w:spacing w:val="8"/>
                <w:sz w:val="18"/>
              </w:rPr>
              <w:t> </w:t>
            </w:r>
            <w:r>
              <w:rPr>
                <w:b/>
                <w:color w:val="FFFFFF"/>
                <w:spacing w:val="-4"/>
                <w:sz w:val="18"/>
              </w:rPr>
              <w:t>Area</w:t>
            </w:r>
          </w:p>
        </w:tc>
        <w:tc>
          <w:tcPr>
            <w:tcW w:w="1209" w:type="dxa"/>
            <w:tcBorders>
              <w:left w:val="single" w:sz="4" w:space="0" w:color="FFFFFF"/>
              <w:right w:val="single" w:sz="4" w:space="0" w:color="FFFFFF"/>
            </w:tcBorders>
            <w:shd w:val="clear" w:color="auto" w:fill="A7A9AC"/>
          </w:tcPr>
          <w:p>
            <w:pPr>
              <w:pStyle w:val="TableParagraph"/>
              <w:spacing w:before="84"/>
              <w:rPr>
                <w:b/>
                <w:sz w:val="18"/>
              </w:rPr>
            </w:pPr>
          </w:p>
          <w:p>
            <w:pPr>
              <w:pStyle w:val="TableParagraph"/>
              <w:spacing w:line="232" w:lineRule="auto"/>
              <w:ind w:left="81" w:right="178"/>
              <w:rPr>
                <w:b/>
                <w:sz w:val="18"/>
              </w:rPr>
            </w:pPr>
            <w:r>
              <w:rPr>
                <w:b/>
                <w:color w:val="FFFFFF"/>
                <w:spacing w:val="-6"/>
                <w:sz w:val="18"/>
              </w:rPr>
              <w:t>Goal</w:t>
            </w:r>
            <w:r>
              <w:rPr>
                <w:b/>
                <w:color w:val="FFFFFF"/>
                <w:spacing w:val="-7"/>
                <w:sz w:val="18"/>
              </w:rPr>
              <w:t> </w:t>
            </w:r>
            <w:r>
              <w:rPr>
                <w:b/>
                <w:color w:val="FFFFFF"/>
                <w:spacing w:val="-6"/>
                <w:sz w:val="18"/>
              </w:rPr>
              <w:t>Focus </w:t>
            </w:r>
            <w:r>
              <w:rPr>
                <w:b/>
                <w:color w:val="FFFFFF"/>
                <w:spacing w:val="-4"/>
                <w:sz w:val="18"/>
              </w:rPr>
              <w:t>Area</w:t>
            </w:r>
          </w:p>
        </w:tc>
        <w:tc>
          <w:tcPr>
            <w:tcW w:w="1605" w:type="dxa"/>
            <w:tcBorders>
              <w:left w:val="single" w:sz="4" w:space="0" w:color="FFFFFF"/>
              <w:right w:val="single" w:sz="4" w:space="0" w:color="FFFFFF"/>
            </w:tcBorders>
            <w:shd w:val="clear" w:color="auto" w:fill="A7A9AC"/>
          </w:tcPr>
          <w:p>
            <w:pPr>
              <w:pStyle w:val="TableParagraph"/>
              <w:spacing w:before="179"/>
              <w:rPr>
                <w:b/>
                <w:sz w:val="18"/>
              </w:rPr>
            </w:pPr>
          </w:p>
          <w:p>
            <w:pPr>
              <w:pStyle w:val="TableParagraph"/>
              <w:ind w:left="81"/>
              <w:rPr>
                <w:b/>
                <w:sz w:val="18"/>
              </w:rPr>
            </w:pPr>
            <w:r>
              <w:rPr>
                <w:b/>
                <w:color w:val="FFFFFF"/>
                <w:spacing w:val="-2"/>
                <w:sz w:val="18"/>
              </w:rPr>
              <w:t>Objectives</w:t>
            </w:r>
          </w:p>
        </w:tc>
        <w:tc>
          <w:tcPr>
            <w:tcW w:w="1763" w:type="dxa"/>
            <w:tcBorders>
              <w:left w:val="single" w:sz="4" w:space="0" w:color="FFFFFF"/>
              <w:right w:val="single" w:sz="4" w:space="0" w:color="FFFFFF"/>
            </w:tcBorders>
            <w:shd w:val="clear" w:color="auto" w:fill="A7A9AC"/>
          </w:tcPr>
          <w:p>
            <w:pPr>
              <w:pStyle w:val="TableParagraph"/>
              <w:spacing w:before="179"/>
              <w:rPr>
                <w:b/>
                <w:sz w:val="18"/>
              </w:rPr>
            </w:pPr>
          </w:p>
          <w:p>
            <w:pPr>
              <w:pStyle w:val="TableParagraph"/>
              <w:ind w:left="82"/>
              <w:rPr>
                <w:b/>
                <w:sz w:val="18"/>
              </w:rPr>
            </w:pPr>
            <w:r>
              <w:rPr>
                <w:b/>
                <w:color w:val="FFFFFF"/>
                <w:spacing w:val="-2"/>
                <w:sz w:val="18"/>
              </w:rPr>
              <w:t>Disparities</w:t>
            </w:r>
          </w:p>
        </w:tc>
        <w:tc>
          <w:tcPr>
            <w:tcW w:w="4031" w:type="dxa"/>
            <w:tcBorders>
              <w:left w:val="single" w:sz="4" w:space="0" w:color="FFFFFF"/>
              <w:right w:val="nil"/>
            </w:tcBorders>
            <w:shd w:val="clear" w:color="auto" w:fill="A7A9AC"/>
          </w:tcPr>
          <w:p>
            <w:pPr>
              <w:pStyle w:val="TableParagraph"/>
              <w:spacing w:before="179"/>
              <w:rPr>
                <w:b/>
                <w:sz w:val="18"/>
              </w:rPr>
            </w:pPr>
          </w:p>
          <w:p>
            <w:pPr>
              <w:pStyle w:val="TableParagraph"/>
              <w:ind w:left="83"/>
              <w:rPr>
                <w:b/>
                <w:sz w:val="18"/>
              </w:rPr>
            </w:pPr>
            <w:r>
              <w:rPr>
                <w:b/>
                <w:color w:val="FFFFFF"/>
                <w:spacing w:val="-2"/>
                <w:sz w:val="18"/>
              </w:rPr>
              <w:t>Interventions</w:t>
            </w:r>
          </w:p>
        </w:tc>
        <w:tc>
          <w:tcPr>
            <w:tcW w:w="2361" w:type="dxa"/>
            <w:tcBorders>
              <w:left w:val="nil"/>
              <w:right w:val="single" w:sz="4" w:space="0" w:color="FFFFFF"/>
            </w:tcBorders>
            <w:shd w:val="clear" w:color="auto" w:fill="A7A9AC"/>
          </w:tcPr>
          <w:p>
            <w:pPr>
              <w:pStyle w:val="TableParagraph"/>
              <w:spacing w:before="83"/>
              <w:rPr>
                <w:b/>
                <w:sz w:val="18"/>
              </w:rPr>
            </w:pPr>
          </w:p>
          <w:p>
            <w:pPr>
              <w:pStyle w:val="TableParagraph"/>
              <w:spacing w:line="232" w:lineRule="auto" w:before="1"/>
              <w:ind w:left="1089" w:right="199"/>
              <w:rPr>
                <w:b/>
                <w:sz w:val="18"/>
              </w:rPr>
            </w:pPr>
            <w:r>
              <w:rPr>
                <w:b/>
                <w:color w:val="FFFFFF"/>
                <w:sz w:val="18"/>
              </w:rPr>
              <w:t>Family</w:t>
            </w:r>
            <w:r>
              <w:rPr>
                <w:b/>
                <w:color w:val="FFFFFF"/>
                <w:spacing w:val="-13"/>
                <w:sz w:val="18"/>
              </w:rPr>
              <w:t> </w:t>
            </w:r>
            <w:r>
              <w:rPr>
                <w:b/>
                <w:color w:val="FFFFFF"/>
                <w:sz w:val="18"/>
              </w:rPr>
              <w:t>of </w:t>
            </w:r>
            <w:r>
              <w:rPr>
                <w:b/>
                <w:color w:val="FFFFFF"/>
                <w:spacing w:val="-6"/>
                <w:sz w:val="18"/>
              </w:rPr>
              <w:t>Measures</w:t>
            </w:r>
          </w:p>
        </w:tc>
        <w:tc>
          <w:tcPr>
            <w:tcW w:w="1900" w:type="dxa"/>
            <w:tcBorders>
              <w:left w:val="single" w:sz="4" w:space="0" w:color="FFFFFF"/>
              <w:right w:val="single" w:sz="4" w:space="0" w:color="FFFFFF"/>
            </w:tcBorders>
            <w:shd w:val="clear" w:color="auto" w:fill="A7A9AC"/>
          </w:tcPr>
          <w:p>
            <w:pPr>
              <w:pStyle w:val="TableParagraph"/>
              <w:spacing w:line="232" w:lineRule="auto" w:before="191"/>
              <w:ind w:left="94"/>
              <w:rPr>
                <w:b/>
                <w:sz w:val="18"/>
              </w:rPr>
            </w:pPr>
            <w:r>
              <w:rPr>
                <w:b/>
                <w:color w:val="FFFFFF"/>
                <w:spacing w:val="-2"/>
                <w:sz w:val="18"/>
              </w:rPr>
              <w:t>Projected</w:t>
            </w:r>
            <w:r>
              <w:rPr>
                <w:b/>
                <w:color w:val="FFFFFF"/>
                <w:spacing w:val="-11"/>
                <w:sz w:val="18"/>
              </w:rPr>
              <w:t> </w:t>
            </w:r>
            <w:r>
              <w:rPr>
                <w:b/>
                <w:color w:val="FFFFFF"/>
                <w:spacing w:val="-2"/>
                <w:sz w:val="18"/>
              </w:rPr>
              <w:t>(or completed)</w:t>
            </w:r>
          </w:p>
          <w:p>
            <w:pPr>
              <w:pStyle w:val="TableParagraph"/>
              <w:spacing w:line="200" w:lineRule="exact"/>
              <w:ind w:left="94"/>
              <w:rPr>
                <w:b/>
                <w:sz w:val="18"/>
              </w:rPr>
            </w:pPr>
            <w:r>
              <w:rPr>
                <w:b/>
                <w:color w:val="FFFFFF"/>
                <w:sz w:val="18"/>
              </w:rPr>
              <w:t>Year</w:t>
            </w:r>
            <w:r>
              <w:rPr>
                <w:b/>
                <w:color w:val="FFFFFF"/>
                <w:spacing w:val="-8"/>
                <w:sz w:val="18"/>
              </w:rPr>
              <w:t> </w:t>
            </w:r>
            <w:r>
              <w:rPr>
                <w:b/>
                <w:color w:val="FFFFFF"/>
                <w:sz w:val="18"/>
              </w:rPr>
              <w:t>1</w:t>
            </w:r>
            <w:r>
              <w:rPr>
                <w:b/>
                <w:color w:val="FFFFFF"/>
                <w:spacing w:val="-7"/>
                <w:sz w:val="18"/>
              </w:rPr>
              <w:t> </w:t>
            </w:r>
            <w:r>
              <w:rPr>
                <w:b/>
                <w:color w:val="FFFFFF"/>
                <w:spacing w:val="-2"/>
                <w:sz w:val="18"/>
              </w:rPr>
              <w:t>Intervention</w:t>
            </w:r>
          </w:p>
        </w:tc>
        <w:tc>
          <w:tcPr>
            <w:tcW w:w="1554" w:type="dxa"/>
            <w:tcBorders>
              <w:left w:val="single" w:sz="4" w:space="0" w:color="FFFFFF"/>
              <w:right w:val="single" w:sz="4" w:space="0" w:color="FFFFFF"/>
            </w:tcBorders>
            <w:shd w:val="clear" w:color="auto" w:fill="A7A9AC"/>
          </w:tcPr>
          <w:p>
            <w:pPr>
              <w:pStyle w:val="TableParagraph"/>
              <w:spacing w:before="178"/>
              <w:rPr>
                <w:b/>
                <w:sz w:val="18"/>
              </w:rPr>
            </w:pPr>
          </w:p>
          <w:p>
            <w:pPr>
              <w:pStyle w:val="TableParagraph"/>
              <w:spacing w:before="1"/>
              <w:ind w:left="85"/>
              <w:rPr>
                <w:b/>
                <w:sz w:val="18"/>
              </w:rPr>
            </w:pPr>
            <w:r>
              <w:rPr>
                <w:b/>
                <w:color w:val="FFFFFF"/>
                <w:spacing w:val="-2"/>
                <w:sz w:val="18"/>
              </w:rPr>
              <w:t>Projected</w:t>
            </w:r>
            <w:r>
              <w:rPr>
                <w:b/>
                <w:color w:val="FFFFFF"/>
                <w:spacing w:val="-6"/>
                <w:sz w:val="18"/>
              </w:rPr>
              <w:t> </w:t>
            </w:r>
            <w:r>
              <w:rPr>
                <w:b/>
                <w:color w:val="FFFFFF"/>
                <w:spacing w:val="-2"/>
                <w:sz w:val="18"/>
              </w:rPr>
              <w:t>Year</w:t>
            </w:r>
            <w:r>
              <w:rPr>
                <w:b/>
                <w:color w:val="FFFFFF"/>
                <w:spacing w:val="-5"/>
                <w:sz w:val="18"/>
              </w:rPr>
              <w:t> </w:t>
            </w:r>
            <w:r>
              <w:rPr>
                <w:b/>
                <w:color w:val="FFFFFF"/>
                <w:spacing w:val="-12"/>
                <w:sz w:val="18"/>
              </w:rPr>
              <w:t>2</w:t>
            </w:r>
          </w:p>
        </w:tc>
        <w:tc>
          <w:tcPr>
            <w:tcW w:w="1468" w:type="dxa"/>
            <w:tcBorders>
              <w:left w:val="single" w:sz="4" w:space="0" w:color="FFFFFF"/>
              <w:right w:val="single" w:sz="4" w:space="0" w:color="FFFFFF"/>
            </w:tcBorders>
            <w:shd w:val="clear" w:color="auto" w:fill="A7A9AC"/>
          </w:tcPr>
          <w:p>
            <w:pPr>
              <w:pStyle w:val="TableParagraph"/>
              <w:spacing w:before="83"/>
              <w:rPr>
                <w:b/>
                <w:sz w:val="18"/>
              </w:rPr>
            </w:pPr>
          </w:p>
          <w:p>
            <w:pPr>
              <w:pStyle w:val="TableParagraph"/>
              <w:spacing w:line="232" w:lineRule="auto" w:before="1"/>
              <w:ind w:left="86" w:right="44"/>
              <w:rPr>
                <w:b/>
                <w:sz w:val="18"/>
              </w:rPr>
            </w:pPr>
            <w:r>
              <w:rPr>
                <w:b/>
                <w:color w:val="FFFFFF"/>
                <w:sz w:val="18"/>
              </w:rPr>
              <w:t>Projected</w:t>
            </w:r>
            <w:r>
              <w:rPr>
                <w:b/>
                <w:color w:val="FFFFFF"/>
                <w:spacing w:val="-13"/>
                <w:sz w:val="18"/>
              </w:rPr>
              <w:t> </w:t>
            </w:r>
            <w:r>
              <w:rPr>
                <w:b/>
                <w:color w:val="FFFFFF"/>
                <w:sz w:val="18"/>
              </w:rPr>
              <w:t>Year 3</w:t>
            </w:r>
            <w:r>
              <w:rPr>
                <w:b/>
                <w:color w:val="FFFFFF"/>
                <w:spacing w:val="9"/>
                <w:sz w:val="18"/>
              </w:rPr>
              <w:t> </w:t>
            </w:r>
            <w:r>
              <w:rPr>
                <w:b/>
                <w:color w:val="FFFFFF"/>
                <w:spacing w:val="-4"/>
                <w:sz w:val="18"/>
              </w:rPr>
              <w:t>Interventions</w:t>
            </w:r>
          </w:p>
        </w:tc>
        <w:tc>
          <w:tcPr>
            <w:tcW w:w="1526" w:type="dxa"/>
            <w:tcBorders>
              <w:left w:val="single" w:sz="4" w:space="0" w:color="FFFFFF"/>
            </w:tcBorders>
            <w:shd w:val="clear" w:color="auto" w:fill="A7A9AC"/>
          </w:tcPr>
          <w:p>
            <w:pPr>
              <w:pStyle w:val="TableParagraph"/>
              <w:spacing w:before="83"/>
              <w:rPr>
                <w:b/>
                <w:sz w:val="18"/>
              </w:rPr>
            </w:pPr>
          </w:p>
          <w:p>
            <w:pPr>
              <w:pStyle w:val="TableParagraph"/>
              <w:spacing w:line="232" w:lineRule="auto" w:before="1"/>
              <w:ind w:left="87"/>
              <w:rPr>
                <w:b/>
                <w:sz w:val="18"/>
              </w:rPr>
            </w:pPr>
            <w:r>
              <w:rPr>
                <w:b/>
                <w:color w:val="FFFFFF"/>
                <w:spacing w:val="-2"/>
                <w:sz w:val="18"/>
              </w:rPr>
              <w:t>Implementation Partner</w:t>
            </w:r>
          </w:p>
        </w:tc>
        <w:tc>
          <w:tcPr>
            <w:tcW w:w="2342" w:type="dxa"/>
            <w:shd w:val="clear" w:color="auto" w:fill="A7A9AC"/>
          </w:tcPr>
          <w:p>
            <w:pPr>
              <w:pStyle w:val="TableParagraph"/>
              <w:spacing w:before="83"/>
              <w:rPr>
                <w:b/>
                <w:sz w:val="18"/>
              </w:rPr>
            </w:pPr>
          </w:p>
          <w:p>
            <w:pPr>
              <w:pStyle w:val="TableParagraph"/>
              <w:spacing w:line="232" w:lineRule="auto" w:before="1"/>
              <w:ind w:left="88" w:right="350"/>
              <w:rPr>
                <w:b/>
                <w:sz w:val="18"/>
              </w:rPr>
            </w:pPr>
            <w:r>
              <w:rPr>
                <w:b/>
                <w:color w:val="FFFFFF"/>
                <w:spacing w:val="-4"/>
                <w:sz w:val="18"/>
              </w:rPr>
              <w:t>Partner</w:t>
            </w:r>
            <w:r>
              <w:rPr>
                <w:b/>
                <w:color w:val="FFFFFF"/>
                <w:spacing w:val="-11"/>
                <w:sz w:val="18"/>
              </w:rPr>
              <w:t> </w:t>
            </w:r>
            <w:r>
              <w:rPr>
                <w:b/>
                <w:color w:val="FFFFFF"/>
                <w:spacing w:val="-4"/>
                <w:sz w:val="18"/>
              </w:rPr>
              <w:t>Role(s)</w:t>
            </w:r>
            <w:r>
              <w:rPr>
                <w:b/>
                <w:color w:val="FFFFFF"/>
                <w:spacing w:val="-8"/>
                <w:sz w:val="18"/>
              </w:rPr>
              <w:t> </w:t>
            </w:r>
            <w:r>
              <w:rPr>
                <w:b/>
                <w:color w:val="FFFFFF"/>
                <w:spacing w:val="-4"/>
                <w:sz w:val="18"/>
              </w:rPr>
              <w:t>and </w:t>
            </w:r>
            <w:r>
              <w:rPr>
                <w:b/>
                <w:color w:val="FFFFFF"/>
                <w:spacing w:val="-2"/>
                <w:sz w:val="18"/>
              </w:rPr>
              <w:t>Resources</w:t>
            </w:r>
          </w:p>
        </w:tc>
      </w:tr>
      <w:tr>
        <w:trPr>
          <w:trHeight w:val="2440" w:hRule="atLeast"/>
        </w:trPr>
        <w:tc>
          <w:tcPr>
            <w:tcW w:w="1180" w:type="dxa"/>
            <w:vMerge w:val="restart"/>
            <w:tcBorders>
              <w:bottom w:val="nil"/>
            </w:tcBorders>
            <w:shd w:val="clear" w:color="auto" w:fill="E6E7E8"/>
          </w:tcPr>
          <w:p>
            <w:pPr>
              <w:pStyle w:val="TableParagraph"/>
              <w:spacing w:line="232" w:lineRule="auto" w:before="101"/>
              <w:ind w:left="89" w:right="363"/>
              <w:jc w:val="both"/>
              <w:rPr>
                <w:sz w:val="18"/>
              </w:rPr>
            </w:pPr>
            <w:r>
              <w:rPr>
                <w:color w:val="105C84"/>
                <w:spacing w:val="-2"/>
                <w:sz w:val="18"/>
              </w:rPr>
              <w:t>Prevent Chronic </w:t>
            </w:r>
            <w:r>
              <w:rPr>
                <w:color w:val="105C84"/>
                <w:spacing w:val="-6"/>
                <w:sz w:val="18"/>
              </w:rPr>
              <w:t>Diseases</w:t>
            </w:r>
          </w:p>
        </w:tc>
        <w:tc>
          <w:tcPr>
            <w:tcW w:w="1353" w:type="dxa"/>
            <w:vMerge w:val="restart"/>
            <w:tcBorders>
              <w:bottom w:val="nil"/>
            </w:tcBorders>
          </w:tcPr>
          <w:p>
            <w:pPr>
              <w:pStyle w:val="TableParagraph"/>
              <w:spacing w:line="232" w:lineRule="auto" w:before="101"/>
              <w:ind w:left="90"/>
              <w:rPr>
                <w:sz w:val="18"/>
              </w:rPr>
            </w:pPr>
            <w:r>
              <w:rPr>
                <w:color w:val="105C84"/>
                <w:spacing w:val="-4"/>
                <w:sz w:val="18"/>
              </w:rPr>
              <w:t>Focus</w:t>
            </w:r>
            <w:r>
              <w:rPr>
                <w:color w:val="105C84"/>
                <w:spacing w:val="-11"/>
                <w:sz w:val="18"/>
              </w:rPr>
              <w:t> </w:t>
            </w:r>
            <w:r>
              <w:rPr>
                <w:color w:val="105C84"/>
                <w:spacing w:val="-4"/>
                <w:sz w:val="18"/>
              </w:rPr>
              <w:t>Area</w:t>
            </w:r>
            <w:r>
              <w:rPr>
                <w:color w:val="105C84"/>
                <w:spacing w:val="-8"/>
                <w:sz w:val="18"/>
              </w:rPr>
              <w:t> </w:t>
            </w:r>
            <w:r>
              <w:rPr>
                <w:color w:val="105C84"/>
                <w:spacing w:val="-4"/>
                <w:sz w:val="18"/>
              </w:rPr>
              <w:t>3: </w:t>
            </w:r>
            <w:r>
              <w:rPr>
                <w:color w:val="105C84"/>
                <w:spacing w:val="-2"/>
                <w:sz w:val="18"/>
              </w:rPr>
              <w:t>Tobacco Prevention</w:t>
            </w:r>
          </w:p>
        </w:tc>
        <w:tc>
          <w:tcPr>
            <w:tcW w:w="1209" w:type="dxa"/>
            <w:vMerge w:val="restart"/>
            <w:tcBorders>
              <w:bottom w:val="nil"/>
            </w:tcBorders>
          </w:tcPr>
          <w:p>
            <w:pPr>
              <w:pStyle w:val="TableParagraph"/>
              <w:spacing w:line="232" w:lineRule="auto" w:before="101"/>
              <w:ind w:left="90" w:right="131"/>
              <w:rPr>
                <w:sz w:val="18"/>
              </w:rPr>
            </w:pPr>
            <w:r>
              <w:rPr>
                <w:color w:val="105C84"/>
                <w:sz w:val="18"/>
              </w:rPr>
              <w:t>Goal 3.2: </w:t>
            </w:r>
            <w:r>
              <w:rPr>
                <w:color w:val="105C84"/>
                <w:spacing w:val="-2"/>
                <w:sz w:val="18"/>
              </w:rPr>
              <w:t>Promote </w:t>
            </w:r>
            <w:r>
              <w:rPr>
                <w:color w:val="105C84"/>
                <w:sz w:val="18"/>
              </w:rPr>
              <w:t>tobacco</w:t>
            </w:r>
            <w:r>
              <w:rPr>
                <w:color w:val="105C84"/>
                <w:spacing w:val="-13"/>
                <w:sz w:val="18"/>
              </w:rPr>
              <w:t> </w:t>
            </w:r>
            <w:r>
              <w:rPr>
                <w:color w:val="105C84"/>
                <w:sz w:val="18"/>
              </w:rPr>
              <w:t>use </w:t>
            </w:r>
            <w:r>
              <w:rPr>
                <w:color w:val="105C84"/>
                <w:spacing w:val="-2"/>
                <w:sz w:val="18"/>
              </w:rPr>
              <w:t>cessation</w:t>
            </w:r>
          </w:p>
        </w:tc>
        <w:tc>
          <w:tcPr>
            <w:tcW w:w="1605" w:type="dxa"/>
            <w:vMerge w:val="restart"/>
            <w:tcBorders>
              <w:bottom w:val="nil"/>
            </w:tcBorders>
          </w:tcPr>
          <w:p>
            <w:pPr>
              <w:pStyle w:val="TableParagraph"/>
              <w:spacing w:line="232" w:lineRule="auto" w:before="101"/>
              <w:ind w:left="91" w:right="277"/>
              <w:rPr>
                <w:sz w:val="18"/>
              </w:rPr>
            </w:pPr>
            <w:r>
              <w:rPr>
                <w:color w:val="105C84"/>
                <w:sz w:val="18"/>
              </w:rPr>
              <w:t>3.2.1:</w:t>
            </w:r>
            <w:r>
              <w:rPr>
                <w:color w:val="105C84"/>
                <w:spacing w:val="-4"/>
                <w:sz w:val="18"/>
              </w:rPr>
              <w:t> </w:t>
            </w:r>
            <w:r>
              <w:rPr>
                <w:color w:val="105C84"/>
                <w:sz w:val="18"/>
              </w:rPr>
              <w:t>Increase the</w:t>
            </w:r>
            <w:r>
              <w:rPr>
                <w:color w:val="105C84"/>
                <w:spacing w:val="-13"/>
                <w:sz w:val="18"/>
              </w:rPr>
              <w:t> </w:t>
            </w:r>
            <w:r>
              <w:rPr>
                <w:color w:val="105C84"/>
                <w:sz w:val="18"/>
              </w:rPr>
              <w:t>percentage</w:t>
            </w:r>
            <w:r>
              <w:rPr>
                <w:color w:val="105C84"/>
                <w:sz w:val="18"/>
              </w:rPr>
              <w:t> of smokers</w:t>
            </w:r>
            <w:r>
              <w:rPr>
                <w:color w:val="105C84"/>
                <w:spacing w:val="40"/>
                <w:sz w:val="18"/>
              </w:rPr>
              <w:t> </w:t>
            </w:r>
            <w:r>
              <w:rPr>
                <w:color w:val="105C84"/>
                <w:sz w:val="18"/>
              </w:rPr>
              <w:t>who received </w:t>
            </w:r>
            <w:r>
              <w:rPr>
                <w:color w:val="105C84"/>
                <w:spacing w:val="-4"/>
                <w:sz w:val="18"/>
              </w:rPr>
              <w:t>assistance</w:t>
            </w:r>
            <w:r>
              <w:rPr>
                <w:color w:val="105C84"/>
                <w:spacing w:val="-9"/>
                <w:sz w:val="18"/>
              </w:rPr>
              <w:t> </w:t>
            </w:r>
            <w:r>
              <w:rPr>
                <w:color w:val="105C84"/>
                <w:spacing w:val="-4"/>
                <w:sz w:val="18"/>
              </w:rPr>
              <w:t>fro</w:t>
            </w:r>
            <w:r>
              <w:rPr>
                <w:color w:val="105C84"/>
                <w:spacing w:val="-4"/>
                <w:sz w:val="18"/>
              </w:rPr>
              <w:t>m</w:t>
            </w:r>
          </w:p>
          <w:p>
            <w:pPr>
              <w:pStyle w:val="TableParagraph"/>
              <w:spacing w:line="232" w:lineRule="auto"/>
              <w:ind w:left="91" w:right="93"/>
              <w:rPr>
                <w:sz w:val="18"/>
              </w:rPr>
            </w:pPr>
            <w:r>
              <w:rPr>
                <w:color w:val="105C84"/>
                <w:sz w:val="18"/>
              </w:rPr>
              <w:t>their health care provider to quit smoking by</w:t>
            </w:r>
            <w:r>
              <w:rPr>
                <w:color w:val="105C84"/>
                <w:spacing w:val="40"/>
                <w:sz w:val="18"/>
              </w:rPr>
              <w:t> </w:t>
            </w:r>
            <w:r>
              <w:rPr>
                <w:color w:val="105C84"/>
                <w:spacing w:val="-6"/>
                <w:sz w:val="18"/>
              </w:rPr>
              <w:t>13.1%</w:t>
            </w:r>
            <w:r>
              <w:rPr>
                <w:color w:val="105C84"/>
                <w:spacing w:val="-9"/>
                <w:sz w:val="18"/>
              </w:rPr>
              <w:t> </w:t>
            </w:r>
            <w:r>
              <w:rPr>
                <w:color w:val="105C84"/>
                <w:spacing w:val="-6"/>
                <w:sz w:val="18"/>
              </w:rPr>
              <w:t>from </w:t>
            </w:r>
            <w:r>
              <w:rPr>
                <w:color w:val="105C84"/>
                <w:spacing w:val="-6"/>
                <w:sz w:val="18"/>
              </w:rPr>
              <w:t>53.1%</w:t>
            </w:r>
          </w:p>
          <w:p>
            <w:pPr>
              <w:pStyle w:val="TableParagraph"/>
              <w:spacing w:line="199" w:lineRule="exact"/>
              <w:ind w:left="91"/>
              <w:rPr>
                <w:sz w:val="18"/>
              </w:rPr>
            </w:pPr>
            <w:r>
              <w:rPr>
                <w:color w:val="105C84"/>
                <w:spacing w:val="-4"/>
                <w:sz w:val="18"/>
              </w:rPr>
              <w:t>(2017)</w:t>
            </w:r>
            <w:r>
              <w:rPr>
                <w:color w:val="105C84"/>
                <w:spacing w:val="-9"/>
                <w:sz w:val="18"/>
              </w:rPr>
              <w:t> </w:t>
            </w:r>
            <w:r>
              <w:rPr>
                <w:color w:val="105C84"/>
                <w:spacing w:val="-4"/>
                <w:sz w:val="18"/>
              </w:rPr>
              <w:t>to</w:t>
            </w:r>
            <w:r>
              <w:rPr>
                <w:color w:val="105C84"/>
                <w:spacing w:val="-8"/>
                <w:sz w:val="18"/>
              </w:rPr>
              <w:t> </w:t>
            </w:r>
            <w:r>
              <w:rPr>
                <w:color w:val="105C84"/>
                <w:spacing w:val="-4"/>
                <w:sz w:val="18"/>
              </w:rPr>
              <w:t>60.1%</w:t>
            </w:r>
          </w:p>
        </w:tc>
        <w:tc>
          <w:tcPr>
            <w:tcW w:w="1763" w:type="dxa"/>
            <w:vMerge w:val="restart"/>
            <w:tcBorders>
              <w:bottom w:val="nil"/>
            </w:tcBorders>
          </w:tcPr>
          <w:p>
            <w:pPr>
              <w:pStyle w:val="TableParagraph"/>
              <w:spacing w:line="232" w:lineRule="auto" w:before="100"/>
              <w:ind w:left="92" w:right="80"/>
              <w:rPr>
                <w:sz w:val="18"/>
              </w:rPr>
            </w:pPr>
            <w:r>
              <w:rPr>
                <w:color w:val="105C84"/>
                <w:sz w:val="18"/>
              </w:rPr>
              <w:t>Pregnant women; low SES, Mental </w:t>
            </w:r>
            <w:r>
              <w:rPr>
                <w:color w:val="105C84"/>
                <w:spacing w:val="-4"/>
                <w:sz w:val="18"/>
              </w:rPr>
              <w:t>and</w:t>
            </w:r>
            <w:r>
              <w:rPr>
                <w:color w:val="105C84"/>
                <w:spacing w:val="-11"/>
                <w:sz w:val="18"/>
              </w:rPr>
              <w:t> </w:t>
            </w:r>
            <w:r>
              <w:rPr>
                <w:color w:val="105C84"/>
                <w:spacing w:val="-4"/>
                <w:sz w:val="18"/>
              </w:rPr>
              <w:t>Substance</w:t>
            </w:r>
            <w:r>
              <w:rPr>
                <w:color w:val="105C84"/>
                <w:spacing w:val="-8"/>
                <w:sz w:val="18"/>
              </w:rPr>
              <w:t> </w:t>
            </w:r>
            <w:r>
              <w:rPr>
                <w:color w:val="105C84"/>
                <w:spacing w:val="-4"/>
                <w:sz w:val="18"/>
              </w:rPr>
              <w:t>Use </w:t>
            </w:r>
            <w:r>
              <w:rPr>
                <w:color w:val="105C84"/>
                <w:sz w:val="18"/>
              </w:rPr>
              <w:t>disorders; those with disabilities</w:t>
            </w:r>
          </w:p>
        </w:tc>
        <w:tc>
          <w:tcPr>
            <w:tcW w:w="4031" w:type="dxa"/>
            <w:vMerge w:val="restart"/>
            <w:tcBorders>
              <w:bottom w:val="nil"/>
              <w:right w:val="nil"/>
            </w:tcBorders>
          </w:tcPr>
          <w:p>
            <w:pPr>
              <w:pStyle w:val="TableParagraph"/>
              <w:spacing w:line="232" w:lineRule="auto" w:before="100"/>
              <w:ind w:left="93" w:right="1027"/>
              <w:rPr>
                <w:sz w:val="18"/>
              </w:rPr>
            </w:pPr>
            <w:r>
              <w:rPr>
                <w:color w:val="105C84"/>
                <w:sz w:val="18"/>
              </w:rPr>
              <w:t>3.2.1:</w:t>
            </w:r>
            <w:r>
              <w:rPr>
                <w:color w:val="105C84"/>
                <w:spacing w:val="-4"/>
                <w:sz w:val="18"/>
              </w:rPr>
              <w:t> </w:t>
            </w:r>
            <w:r>
              <w:rPr>
                <w:color w:val="105C84"/>
                <w:sz w:val="18"/>
              </w:rPr>
              <w:t>Assist</w:t>
            </w:r>
            <w:r>
              <w:rPr>
                <w:color w:val="105C84"/>
                <w:spacing w:val="-4"/>
                <w:sz w:val="18"/>
              </w:rPr>
              <w:t> </w:t>
            </w:r>
            <w:r>
              <w:rPr>
                <w:color w:val="105C84"/>
                <w:sz w:val="18"/>
              </w:rPr>
              <w:t>medical</w:t>
            </w:r>
            <w:r>
              <w:rPr>
                <w:color w:val="105C84"/>
                <w:spacing w:val="-4"/>
                <w:sz w:val="18"/>
              </w:rPr>
              <w:t> </w:t>
            </w:r>
            <w:r>
              <w:rPr>
                <w:color w:val="105C84"/>
                <w:sz w:val="18"/>
              </w:rPr>
              <w:t>and</w:t>
            </w:r>
            <w:r>
              <w:rPr>
                <w:color w:val="105C84"/>
                <w:spacing w:val="-4"/>
                <w:sz w:val="18"/>
              </w:rPr>
              <w:t> </w:t>
            </w:r>
            <w:r>
              <w:rPr>
                <w:color w:val="105C84"/>
                <w:sz w:val="18"/>
              </w:rPr>
              <w:t>behavioral health care organizations (defined as those organizations focusing on mental health and substance use disorders) and provider groups in establishing policies, procedures, and workflows to facilitate the delivery of tobacco dependence treatment,</w:t>
            </w:r>
            <w:r>
              <w:rPr>
                <w:color w:val="105C84"/>
                <w:spacing w:val="-4"/>
                <w:sz w:val="18"/>
              </w:rPr>
              <w:t> </w:t>
            </w:r>
            <w:r>
              <w:rPr>
                <w:color w:val="105C84"/>
                <w:sz w:val="18"/>
              </w:rPr>
              <w:t>consistent</w:t>
            </w:r>
            <w:r>
              <w:rPr>
                <w:color w:val="105C84"/>
                <w:spacing w:val="-4"/>
                <w:sz w:val="18"/>
              </w:rPr>
              <w:t> </w:t>
            </w:r>
            <w:r>
              <w:rPr>
                <w:color w:val="105C84"/>
                <w:sz w:val="18"/>
              </w:rPr>
              <w:t>with</w:t>
            </w:r>
            <w:r>
              <w:rPr>
                <w:color w:val="105C84"/>
                <w:spacing w:val="-4"/>
                <w:sz w:val="18"/>
              </w:rPr>
              <w:t> </w:t>
            </w:r>
            <w:r>
              <w:rPr>
                <w:color w:val="105C84"/>
                <w:sz w:val="18"/>
              </w:rPr>
              <w:t>the</w:t>
            </w:r>
            <w:r>
              <w:rPr>
                <w:color w:val="105C84"/>
                <w:spacing w:val="-4"/>
                <w:sz w:val="18"/>
              </w:rPr>
              <w:t> </w:t>
            </w:r>
            <w:r>
              <w:rPr>
                <w:color w:val="105C84"/>
                <w:sz w:val="18"/>
              </w:rPr>
              <w:t>Public</w:t>
            </w:r>
            <w:r>
              <w:rPr>
                <w:color w:val="105C84"/>
                <w:sz w:val="18"/>
              </w:rPr>
              <w:t> Health Service Clinical Practice Guidelines, Community Health Centers and behavioral health </w:t>
            </w:r>
            <w:r>
              <w:rPr>
                <w:color w:val="105C84"/>
                <w:spacing w:val="-2"/>
                <w:sz w:val="18"/>
              </w:rPr>
              <w:t>providers</w:t>
            </w:r>
          </w:p>
        </w:tc>
        <w:tc>
          <w:tcPr>
            <w:tcW w:w="2361" w:type="dxa"/>
            <w:tcBorders>
              <w:left w:val="nil"/>
            </w:tcBorders>
          </w:tcPr>
          <w:p>
            <w:pPr>
              <w:pStyle w:val="TableParagraph"/>
              <w:spacing w:line="232" w:lineRule="auto" w:before="100"/>
              <w:ind w:left="1089" w:right="438"/>
              <w:jc w:val="both"/>
              <w:rPr>
                <w:sz w:val="18"/>
              </w:rPr>
            </w:pPr>
            <w:r>
              <w:rPr>
                <w:color w:val="105C84"/>
                <w:sz w:val="18"/>
              </w:rPr>
              <w:t>#</w:t>
            </w:r>
            <w:r>
              <w:rPr>
                <w:color w:val="105C84"/>
                <w:spacing w:val="-13"/>
                <w:sz w:val="18"/>
              </w:rPr>
              <w:t> </w:t>
            </w:r>
            <w:r>
              <w:rPr>
                <w:color w:val="105C84"/>
                <w:sz w:val="18"/>
              </w:rPr>
              <w:t>smokers </w:t>
            </w:r>
            <w:r>
              <w:rPr>
                <w:color w:val="105C84"/>
                <w:spacing w:val="-4"/>
                <w:sz w:val="18"/>
              </w:rPr>
              <w:t>assisted</w:t>
            </w:r>
            <w:r>
              <w:rPr>
                <w:color w:val="105C84"/>
                <w:spacing w:val="-9"/>
                <w:sz w:val="18"/>
              </w:rPr>
              <w:t> </w:t>
            </w:r>
            <w:r>
              <w:rPr>
                <w:color w:val="105C84"/>
                <w:spacing w:val="-4"/>
                <w:sz w:val="18"/>
              </w:rPr>
              <w:t>in </w:t>
            </w:r>
            <w:r>
              <w:rPr>
                <w:color w:val="105C84"/>
                <w:spacing w:val="-2"/>
                <w:sz w:val="18"/>
              </w:rPr>
              <w:t>quitting</w:t>
            </w:r>
          </w:p>
          <w:p>
            <w:pPr>
              <w:pStyle w:val="TableParagraph"/>
              <w:spacing w:line="232" w:lineRule="auto" w:before="88"/>
              <w:ind w:left="1089" w:right="199"/>
              <w:rPr>
                <w:sz w:val="18"/>
              </w:rPr>
            </w:pPr>
            <w:r>
              <w:rPr>
                <w:color w:val="105C84"/>
                <w:spacing w:val="-2"/>
                <w:sz w:val="18"/>
              </w:rPr>
              <w:t>%</w:t>
            </w:r>
            <w:r>
              <w:rPr>
                <w:color w:val="105C84"/>
                <w:spacing w:val="-13"/>
                <w:sz w:val="18"/>
              </w:rPr>
              <w:t> </w:t>
            </w:r>
            <w:r>
              <w:rPr>
                <w:color w:val="105C84"/>
                <w:spacing w:val="-2"/>
                <w:sz w:val="18"/>
              </w:rPr>
              <w:t>of</w:t>
            </w:r>
            <w:r>
              <w:rPr>
                <w:color w:val="105C84"/>
                <w:spacing w:val="-10"/>
                <w:sz w:val="18"/>
              </w:rPr>
              <w:t> </w:t>
            </w:r>
            <w:r>
              <w:rPr>
                <w:color w:val="105C84"/>
                <w:spacing w:val="-2"/>
                <w:sz w:val="18"/>
              </w:rPr>
              <w:t>smokers attending</w:t>
            </w:r>
          </w:p>
          <w:p>
            <w:pPr>
              <w:pStyle w:val="TableParagraph"/>
              <w:spacing w:line="232" w:lineRule="auto"/>
              <w:ind w:left="1089" w:right="219"/>
              <w:rPr>
                <w:sz w:val="18"/>
              </w:rPr>
            </w:pPr>
            <w:r>
              <w:rPr>
                <w:color w:val="105C84"/>
                <w:sz w:val="18"/>
              </w:rPr>
              <w:t>3 or more </w:t>
            </w:r>
            <w:r>
              <w:rPr>
                <w:color w:val="105C84"/>
                <w:spacing w:val="-2"/>
                <w:sz w:val="18"/>
              </w:rPr>
              <w:t>counseling </w:t>
            </w:r>
            <w:r>
              <w:rPr>
                <w:color w:val="105C84"/>
                <w:spacing w:val="-4"/>
                <w:sz w:val="18"/>
              </w:rPr>
              <w:t>sessions</w:t>
            </w:r>
            <w:r>
              <w:rPr>
                <w:color w:val="105C84"/>
                <w:spacing w:val="-9"/>
                <w:sz w:val="18"/>
              </w:rPr>
              <w:t> </w:t>
            </w:r>
            <w:r>
              <w:rPr>
                <w:color w:val="105C84"/>
                <w:spacing w:val="-4"/>
                <w:sz w:val="18"/>
              </w:rPr>
              <w:t>wh</w:t>
            </w:r>
            <w:r>
              <w:rPr>
                <w:color w:val="105C84"/>
                <w:spacing w:val="-4"/>
                <w:sz w:val="18"/>
              </w:rPr>
              <w:t>o</w:t>
            </w:r>
            <w:r>
              <w:rPr>
                <w:color w:val="105C84"/>
                <w:spacing w:val="-4"/>
                <w:sz w:val="18"/>
              </w:rPr>
              <w:t> </w:t>
            </w:r>
            <w:r>
              <w:rPr>
                <w:color w:val="105C84"/>
                <w:sz w:val="18"/>
              </w:rPr>
              <w:t>identify as having quit </w:t>
            </w:r>
            <w:r>
              <w:rPr>
                <w:color w:val="105C84"/>
                <w:spacing w:val="-2"/>
                <w:sz w:val="18"/>
              </w:rPr>
              <w:t>smoking</w:t>
            </w:r>
          </w:p>
        </w:tc>
        <w:tc>
          <w:tcPr>
            <w:tcW w:w="1900" w:type="dxa"/>
          </w:tcPr>
          <w:p>
            <w:pPr>
              <w:pStyle w:val="TableParagraph"/>
              <w:spacing w:line="232" w:lineRule="auto" w:before="100"/>
              <w:ind w:left="94"/>
              <w:rPr>
                <w:sz w:val="18"/>
              </w:rPr>
            </w:pPr>
            <w:r>
              <w:rPr>
                <w:color w:val="105C84"/>
                <w:sz w:val="18"/>
              </w:rPr>
              <w:t>Publicizing Tobacco </w:t>
            </w:r>
            <w:r>
              <w:rPr>
                <w:color w:val="105C84"/>
                <w:spacing w:val="-2"/>
                <w:sz w:val="18"/>
              </w:rPr>
              <w:t>Dependence </w:t>
            </w:r>
            <w:r>
              <w:rPr>
                <w:color w:val="105C84"/>
                <w:sz w:val="18"/>
              </w:rPr>
              <w:t>Counseling through UR Center for CHP and</w:t>
            </w:r>
            <w:r>
              <w:rPr>
                <w:color w:val="105C84"/>
                <w:spacing w:val="-6"/>
                <w:sz w:val="18"/>
              </w:rPr>
              <w:t> </w:t>
            </w:r>
            <w:r>
              <w:rPr>
                <w:color w:val="105C84"/>
                <w:sz w:val="18"/>
              </w:rPr>
              <w:t>expanding</w:t>
            </w:r>
            <w:r>
              <w:rPr>
                <w:color w:val="105C84"/>
                <w:spacing w:val="-6"/>
                <w:sz w:val="18"/>
              </w:rPr>
              <w:t> </w:t>
            </w:r>
            <w:r>
              <w:rPr>
                <w:color w:val="105C84"/>
                <w:sz w:val="18"/>
              </w:rPr>
              <w:t>to</w:t>
            </w:r>
            <w:r>
              <w:rPr>
                <w:color w:val="105C84"/>
                <w:spacing w:val="-6"/>
                <w:sz w:val="18"/>
              </w:rPr>
              <w:t> </w:t>
            </w:r>
            <w:r>
              <w:rPr>
                <w:color w:val="105C84"/>
                <w:sz w:val="18"/>
              </w:rPr>
              <w:t>15 </w:t>
            </w:r>
            <w:r>
              <w:rPr>
                <w:color w:val="105C84"/>
                <w:spacing w:val="-2"/>
                <w:sz w:val="18"/>
              </w:rPr>
              <w:t>counties</w:t>
            </w:r>
          </w:p>
        </w:tc>
        <w:tc>
          <w:tcPr>
            <w:tcW w:w="1554" w:type="dxa"/>
          </w:tcPr>
          <w:p>
            <w:pPr>
              <w:pStyle w:val="TableParagraph"/>
              <w:spacing w:line="232" w:lineRule="auto" w:before="100"/>
              <w:ind w:left="95"/>
              <w:rPr>
                <w:sz w:val="18"/>
              </w:rPr>
            </w:pPr>
            <w:r>
              <w:rPr>
                <w:color w:val="105C84"/>
                <w:w w:val="105"/>
                <w:sz w:val="18"/>
              </w:rPr>
              <w:t>Continuing</w:t>
            </w:r>
            <w:r>
              <w:rPr>
                <w:color w:val="105C84"/>
                <w:spacing w:val="-1"/>
                <w:w w:val="105"/>
                <w:sz w:val="18"/>
              </w:rPr>
              <w:t> </w:t>
            </w:r>
            <w:r>
              <w:rPr>
                <w:color w:val="105C84"/>
                <w:w w:val="105"/>
                <w:sz w:val="18"/>
              </w:rPr>
              <w:t>to </w:t>
            </w:r>
            <w:r>
              <w:rPr>
                <w:color w:val="105C84"/>
                <w:sz w:val="18"/>
              </w:rPr>
              <w:t>offer</w:t>
            </w:r>
            <w:r>
              <w:rPr>
                <w:color w:val="105C84"/>
                <w:spacing w:val="-13"/>
                <w:sz w:val="18"/>
              </w:rPr>
              <w:t> </w:t>
            </w:r>
            <w:r>
              <w:rPr>
                <w:color w:val="105C84"/>
                <w:sz w:val="18"/>
              </w:rPr>
              <w:t>counseling</w:t>
            </w:r>
          </w:p>
        </w:tc>
        <w:tc>
          <w:tcPr>
            <w:tcW w:w="1468" w:type="dxa"/>
          </w:tcPr>
          <w:p>
            <w:pPr>
              <w:pStyle w:val="TableParagraph"/>
              <w:spacing w:line="232" w:lineRule="auto" w:before="100"/>
              <w:ind w:left="96" w:right="75"/>
              <w:rPr>
                <w:sz w:val="18"/>
              </w:rPr>
            </w:pPr>
            <w:r>
              <w:rPr>
                <w:color w:val="105C84"/>
                <w:sz w:val="18"/>
              </w:rPr>
              <w:t>Continue to offer</w:t>
            </w:r>
            <w:r>
              <w:rPr>
                <w:color w:val="105C84"/>
                <w:spacing w:val="-13"/>
                <w:sz w:val="18"/>
              </w:rPr>
              <w:t> </w:t>
            </w:r>
            <w:r>
              <w:rPr>
                <w:color w:val="105C84"/>
                <w:sz w:val="18"/>
              </w:rPr>
              <w:t>counseling and support</w:t>
            </w:r>
          </w:p>
          <w:p>
            <w:pPr>
              <w:pStyle w:val="TableParagraph"/>
              <w:spacing w:line="232" w:lineRule="auto"/>
              <w:ind w:left="96" w:right="44"/>
              <w:rPr>
                <w:sz w:val="18"/>
              </w:rPr>
            </w:pPr>
            <w:r>
              <w:rPr>
                <w:color w:val="105C84"/>
                <w:sz w:val="18"/>
              </w:rPr>
              <w:t>to 15 county area</w:t>
            </w:r>
            <w:r>
              <w:rPr>
                <w:color w:val="105C84"/>
                <w:spacing w:val="-15"/>
                <w:sz w:val="18"/>
              </w:rPr>
              <w:t> </w:t>
            </w:r>
            <w:r>
              <w:rPr>
                <w:color w:val="105C84"/>
                <w:sz w:val="18"/>
              </w:rPr>
              <w:t>for</w:t>
            </w:r>
            <w:r>
              <w:rPr>
                <w:color w:val="105C84"/>
                <w:spacing w:val="-12"/>
                <w:sz w:val="18"/>
              </w:rPr>
              <w:t> </w:t>
            </w:r>
            <w:r>
              <w:rPr>
                <w:color w:val="105C84"/>
                <w:sz w:val="18"/>
              </w:rPr>
              <w:t>those interested in </w:t>
            </w:r>
            <w:r>
              <w:rPr>
                <w:color w:val="105C84"/>
                <w:spacing w:val="-2"/>
                <w:sz w:val="18"/>
              </w:rPr>
              <w:t>quitting</w:t>
            </w:r>
          </w:p>
        </w:tc>
        <w:tc>
          <w:tcPr>
            <w:tcW w:w="1526" w:type="dxa"/>
            <w:vMerge w:val="restart"/>
            <w:tcBorders>
              <w:bottom w:val="nil"/>
            </w:tcBorders>
          </w:tcPr>
          <w:p>
            <w:pPr>
              <w:pStyle w:val="TableParagraph"/>
              <w:spacing w:before="95"/>
              <w:ind w:left="97"/>
              <w:rPr>
                <w:sz w:val="18"/>
              </w:rPr>
            </w:pPr>
            <w:r>
              <w:rPr>
                <w:color w:val="105C84"/>
                <w:spacing w:val="-2"/>
                <w:sz w:val="18"/>
              </w:rPr>
              <w:t>Hospital</w:t>
            </w:r>
          </w:p>
        </w:tc>
        <w:tc>
          <w:tcPr>
            <w:tcW w:w="2342" w:type="dxa"/>
          </w:tcPr>
          <w:p>
            <w:pPr>
              <w:pStyle w:val="TableParagraph"/>
              <w:spacing w:line="232" w:lineRule="auto" w:before="100"/>
              <w:ind w:left="97" w:right="350"/>
              <w:rPr>
                <w:sz w:val="18"/>
              </w:rPr>
            </w:pPr>
            <w:r>
              <w:rPr>
                <w:color w:val="105C84"/>
                <w:sz w:val="18"/>
              </w:rPr>
              <w:t>Center</w:t>
            </w:r>
            <w:r>
              <w:rPr>
                <w:color w:val="105C84"/>
                <w:spacing w:val="-5"/>
                <w:sz w:val="18"/>
              </w:rPr>
              <w:t> </w:t>
            </w:r>
            <w:r>
              <w:rPr>
                <w:color w:val="105C84"/>
                <w:sz w:val="18"/>
              </w:rPr>
              <w:t>for</w:t>
            </w:r>
            <w:r>
              <w:rPr>
                <w:color w:val="105C84"/>
                <w:spacing w:val="-5"/>
                <w:sz w:val="18"/>
              </w:rPr>
              <w:t> </w:t>
            </w:r>
            <w:r>
              <w:rPr>
                <w:color w:val="105C84"/>
                <w:sz w:val="18"/>
              </w:rPr>
              <w:t>Community Health</w:t>
            </w:r>
            <w:r>
              <w:rPr>
                <w:color w:val="105C84"/>
                <w:spacing w:val="-15"/>
                <w:sz w:val="18"/>
              </w:rPr>
              <w:t> </w:t>
            </w:r>
            <w:r>
              <w:rPr>
                <w:color w:val="105C84"/>
                <w:sz w:val="18"/>
              </w:rPr>
              <w:t>and</w:t>
            </w:r>
            <w:r>
              <w:rPr>
                <w:color w:val="105C84"/>
                <w:spacing w:val="-12"/>
                <w:sz w:val="18"/>
              </w:rPr>
              <w:t> </w:t>
            </w:r>
            <w:r>
              <w:rPr>
                <w:color w:val="105C84"/>
                <w:sz w:val="18"/>
              </w:rPr>
              <w:t>Prevention to offer free tobacco cessation telephone guidance and track</w:t>
            </w:r>
          </w:p>
          <w:p>
            <w:pPr>
              <w:pStyle w:val="TableParagraph"/>
              <w:spacing w:line="198" w:lineRule="exact"/>
              <w:ind w:left="97"/>
              <w:rPr>
                <w:sz w:val="18"/>
              </w:rPr>
            </w:pPr>
            <w:r>
              <w:rPr>
                <w:color w:val="105C84"/>
                <w:spacing w:val="-2"/>
                <w:sz w:val="18"/>
              </w:rPr>
              <w:t>Steuben outreach.</w:t>
            </w:r>
            <w:r>
              <w:rPr>
                <w:color w:val="105C84"/>
                <w:spacing w:val="-1"/>
                <w:sz w:val="18"/>
              </w:rPr>
              <w:t> </w:t>
            </w:r>
            <w:r>
              <w:rPr>
                <w:color w:val="105C84"/>
                <w:spacing w:val="-2"/>
                <w:sz w:val="18"/>
              </w:rPr>
              <w:t>1.5 </w:t>
            </w:r>
            <w:r>
              <w:rPr>
                <w:color w:val="105C84"/>
                <w:spacing w:val="-5"/>
                <w:sz w:val="18"/>
              </w:rPr>
              <w:t>FTE</w:t>
            </w:r>
          </w:p>
        </w:tc>
      </w:tr>
      <w:tr>
        <w:trPr>
          <w:trHeight w:val="2950" w:hRule="atLeast"/>
        </w:trPr>
        <w:tc>
          <w:tcPr>
            <w:tcW w:w="1180" w:type="dxa"/>
            <w:vMerge/>
            <w:tcBorders>
              <w:top w:val="nil"/>
              <w:bottom w:val="nil"/>
            </w:tcBorders>
            <w:shd w:val="clear" w:color="auto" w:fill="E6E7E8"/>
          </w:tcPr>
          <w:p>
            <w:pPr>
              <w:rPr>
                <w:sz w:val="2"/>
                <w:szCs w:val="2"/>
              </w:rPr>
            </w:pPr>
          </w:p>
        </w:tc>
        <w:tc>
          <w:tcPr>
            <w:tcW w:w="1353" w:type="dxa"/>
            <w:vMerge/>
            <w:tcBorders>
              <w:top w:val="nil"/>
              <w:bottom w:val="nil"/>
            </w:tcBorders>
          </w:tcPr>
          <w:p>
            <w:pPr>
              <w:rPr>
                <w:sz w:val="2"/>
                <w:szCs w:val="2"/>
              </w:rPr>
            </w:pPr>
          </w:p>
        </w:tc>
        <w:tc>
          <w:tcPr>
            <w:tcW w:w="1209" w:type="dxa"/>
            <w:vMerge/>
            <w:tcBorders>
              <w:top w:val="nil"/>
              <w:bottom w:val="nil"/>
            </w:tcBorders>
          </w:tcPr>
          <w:p>
            <w:pPr>
              <w:rPr>
                <w:sz w:val="2"/>
                <w:szCs w:val="2"/>
              </w:rPr>
            </w:pPr>
          </w:p>
        </w:tc>
        <w:tc>
          <w:tcPr>
            <w:tcW w:w="1605" w:type="dxa"/>
            <w:vMerge/>
            <w:tcBorders>
              <w:top w:val="nil"/>
              <w:bottom w:val="nil"/>
            </w:tcBorders>
          </w:tcPr>
          <w:p>
            <w:pPr>
              <w:rPr>
                <w:sz w:val="2"/>
                <w:szCs w:val="2"/>
              </w:rPr>
            </w:pPr>
          </w:p>
        </w:tc>
        <w:tc>
          <w:tcPr>
            <w:tcW w:w="1763" w:type="dxa"/>
            <w:vMerge/>
            <w:tcBorders>
              <w:top w:val="nil"/>
              <w:bottom w:val="nil"/>
            </w:tcBorders>
          </w:tcPr>
          <w:p>
            <w:pPr>
              <w:rPr>
                <w:sz w:val="2"/>
                <w:szCs w:val="2"/>
              </w:rPr>
            </w:pPr>
          </w:p>
        </w:tc>
        <w:tc>
          <w:tcPr>
            <w:tcW w:w="4031" w:type="dxa"/>
            <w:vMerge/>
            <w:tcBorders>
              <w:top w:val="nil"/>
              <w:bottom w:val="nil"/>
              <w:right w:val="nil"/>
            </w:tcBorders>
          </w:tcPr>
          <w:p>
            <w:pPr>
              <w:rPr>
                <w:sz w:val="2"/>
                <w:szCs w:val="2"/>
              </w:rPr>
            </w:pPr>
          </w:p>
        </w:tc>
        <w:tc>
          <w:tcPr>
            <w:tcW w:w="2361" w:type="dxa"/>
            <w:tcBorders>
              <w:left w:val="nil"/>
            </w:tcBorders>
          </w:tcPr>
          <w:p>
            <w:pPr>
              <w:pStyle w:val="TableParagraph"/>
              <w:spacing w:line="232" w:lineRule="auto" w:before="100"/>
              <w:ind w:left="1089" w:right="259"/>
              <w:rPr>
                <w:sz w:val="18"/>
              </w:rPr>
            </w:pPr>
            <w:r>
              <w:rPr>
                <w:color w:val="105C84"/>
                <w:sz w:val="18"/>
              </w:rPr>
              <w:t>% patients aged 18+ who were screened</w:t>
            </w:r>
            <w:r>
              <w:rPr>
                <w:color w:val="105C84"/>
                <w:spacing w:val="-13"/>
                <w:sz w:val="18"/>
              </w:rPr>
              <w:t> </w:t>
            </w:r>
            <w:r>
              <w:rPr>
                <w:color w:val="105C84"/>
                <w:sz w:val="18"/>
              </w:rPr>
              <w:t>for tobacco</w:t>
            </w:r>
            <w:r>
              <w:rPr>
                <w:color w:val="105C84"/>
                <w:spacing w:val="-11"/>
                <w:sz w:val="18"/>
              </w:rPr>
              <w:t> </w:t>
            </w:r>
            <w:r>
              <w:rPr>
                <w:color w:val="105C84"/>
                <w:sz w:val="18"/>
              </w:rPr>
              <w:t>use one</w:t>
            </w:r>
            <w:r>
              <w:rPr>
                <w:color w:val="105C84"/>
                <w:spacing w:val="-6"/>
                <w:sz w:val="18"/>
              </w:rPr>
              <w:t> </w:t>
            </w:r>
            <w:r>
              <w:rPr>
                <w:color w:val="105C84"/>
                <w:sz w:val="18"/>
              </w:rPr>
              <w:t>or</w:t>
            </w:r>
            <w:r>
              <w:rPr>
                <w:color w:val="105C84"/>
                <w:spacing w:val="-6"/>
                <w:sz w:val="18"/>
              </w:rPr>
              <w:t> </w:t>
            </w:r>
            <w:r>
              <w:rPr>
                <w:color w:val="105C84"/>
                <w:sz w:val="18"/>
              </w:rPr>
              <w:t>more times</w:t>
            </w:r>
            <w:r>
              <w:rPr>
                <w:color w:val="105C84"/>
                <w:spacing w:val="-3"/>
                <w:sz w:val="18"/>
              </w:rPr>
              <w:t> </w:t>
            </w:r>
            <w:r>
              <w:rPr>
                <w:color w:val="105C84"/>
                <w:spacing w:val="-2"/>
                <w:sz w:val="18"/>
              </w:rPr>
              <w:t>within</w:t>
            </w:r>
          </w:p>
          <w:p>
            <w:pPr>
              <w:pStyle w:val="TableParagraph"/>
              <w:spacing w:line="232" w:lineRule="auto"/>
              <w:ind w:left="1089"/>
              <w:rPr>
                <w:sz w:val="18"/>
              </w:rPr>
            </w:pPr>
            <w:r>
              <w:rPr>
                <w:color w:val="105C84"/>
                <w:sz w:val="18"/>
              </w:rPr>
              <w:t>24</w:t>
            </w:r>
            <w:r>
              <w:rPr>
                <w:color w:val="105C84"/>
                <w:spacing w:val="-15"/>
                <w:sz w:val="18"/>
              </w:rPr>
              <w:t> </w:t>
            </w:r>
            <w:r>
              <w:rPr>
                <w:color w:val="105C84"/>
                <w:sz w:val="18"/>
              </w:rPr>
              <w:t>months</w:t>
            </w:r>
            <w:r>
              <w:rPr>
                <w:color w:val="105C84"/>
                <w:spacing w:val="-12"/>
                <w:sz w:val="18"/>
              </w:rPr>
              <w:t> </w:t>
            </w:r>
            <w:r>
              <w:rPr>
                <w:color w:val="105C84"/>
                <w:sz w:val="18"/>
              </w:rPr>
              <w:t>and</w:t>
            </w:r>
            <w:r>
              <w:rPr>
                <w:color w:val="105C84"/>
                <w:sz w:val="18"/>
              </w:rPr>
              <w:t> who received </w:t>
            </w:r>
            <w:r>
              <w:rPr>
                <w:color w:val="105C84"/>
                <w:spacing w:val="-2"/>
                <w:sz w:val="18"/>
              </w:rPr>
              <w:t>tobacco cessation </w:t>
            </w:r>
            <w:r>
              <w:rPr>
                <w:color w:val="105C84"/>
                <w:sz w:val="18"/>
              </w:rPr>
              <w:t>intervention if identified as tobacco user</w:t>
            </w:r>
          </w:p>
        </w:tc>
        <w:tc>
          <w:tcPr>
            <w:tcW w:w="1900" w:type="dxa"/>
          </w:tcPr>
          <w:p>
            <w:pPr>
              <w:pStyle w:val="TableParagraph"/>
              <w:spacing w:line="232" w:lineRule="auto" w:before="99"/>
              <w:ind w:left="94"/>
              <w:rPr>
                <w:sz w:val="18"/>
              </w:rPr>
            </w:pPr>
            <w:r>
              <w:rPr>
                <w:color w:val="105C84"/>
                <w:sz w:val="18"/>
              </w:rPr>
              <w:t>Arnot</w:t>
            </w:r>
            <w:r>
              <w:rPr>
                <w:color w:val="105C84"/>
                <w:spacing w:val="-7"/>
                <w:sz w:val="18"/>
              </w:rPr>
              <w:t> </w:t>
            </w:r>
            <w:r>
              <w:rPr>
                <w:color w:val="105C84"/>
                <w:sz w:val="18"/>
              </w:rPr>
              <w:t>Health</w:t>
            </w:r>
            <w:r>
              <w:rPr>
                <w:color w:val="105C84"/>
                <w:spacing w:val="-7"/>
                <w:sz w:val="18"/>
              </w:rPr>
              <w:t> </w:t>
            </w:r>
            <w:r>
              <w:rPr>
                <w:color w:val="105C84"/>
                <w:sz w:val="18"/>
              </w:rPr>
              <w:t>primary and specialty care providers screen all patients for tobacco </w:t>
            </w:r>
            <w:r>
              <w:rPr>
                <w:color w:val="105C84"/>
                <w:spacing w:val="-4"/>
                <w:sz w:val="18"/>
              </w:rPr>
              <w:t>use</w:t>
            </w:r>
          </w:p>
          <w:p>
            <w:pPr>
              <w:pStyle w:val="TableParagraph"/>
              <w:spacing w:line="232" w:lineRule="auto" w:before="86"/>
              <w:ind w:left="94" w:right="428"/>
              <w:rPr>
                <w:sz w:val="18"/>
              </w:rPr>
            </w:pPr>
            <w:r>
              <w:rPr>
                <w:color w:val="105C84"/>
                <w:sz w:val="18"/>
              </w:rPr>
              <w:t>All patients who are identified as a tobacco user </w:t>
            </w:r>
            <w:r>
              <w:rPr>
                <w:color w:val="105C84"/>
                <w:spacing w:val="-2"/>
                <w:sz w:val="18"/>
              </w:rPr>
              <w:t>receive</w:t>
            </w:r>
            <w:r>
              <w:rPr>
                <w:color w:val="105C84"/>
                <w:spacing w:val="-11"/>
                <w:sz w:val="18"/>
              </w:rPr>
              <w:t> </w:t>
            </w:r>
            <w:r>
              <w:rPr>
                <w:color w:val="105C84"/>
                <w:spacing w:val="-2"/>
                <w:sz w:val="18"/>
              </w:rPr>
              <w:t>cessation intervention</w:t>
            </w:r>
          </w:p>
        </w:tc>
        <w:tc>
          <w:tcPr>
            <w:tcW w:w="1554" w:type="dxa"/>
          </w:tcPr>
          <w:p>
            <w:pPr>
              <w:pStyle w:val="TableParagraph"/>
              <w:spacing w:line="232" w:lineRule="auto" w:before="99"/>
              <w:ind w:left="95"/>
              <w:rPr>
                <w:sz w:val="18"/>
              </w:rPr>
            </w:pPr>
            <w:r>
              <w:rPr>
                <w:color w:val="105C84"/>
                <w:sz w:val="18"/>
              </w:rPr>
              <w:t>Arnot Health primary and specialty care </w:t>
            </w:r>
            <w:r>
              <w:rPr>
                <w:color w:val="105C84"/>
                <w:spacing w:val="-2"/>
                <w:sz w:val="18"/>
              </w:rPr>
              <w:t>providers</w:t>
            </w:r>
            <w:r>
              <w:rPr>
                <w:color w:val="105C84"/>
                <w:spacing w:val="-11"/>
                <w:sz w:val="18"/>
              </w:rPr>
              <w:t> </w:t>
            </w:r>
            <w:r>
              <w:rPr>
                <w:color w:val="105C84"/>
                <w:spacing w:val="-2"/>
                <w:sz w:val="18"/>
              </w:rPr>
              <w:t>screen </w:t>
            </w:r>
            <w:r>
              <w:rPr>
                <w:color w:val="105C84"/>
                <w:sz w:val="18"/>
              </w:rPr>
              <w:t>all patients for tobacco use</w:t>
            </w:r>
          </w:p>
          <w:p>
            <w:pPr>
              <w:pStyle w:val="TableParagraph"/>
              <w:spacing w:line="232" w:lineRule="auto" w:before="86"/>
              <w:ind w:left="95" w:right="81"/>
              <w:rPr>
                <w:sz w:val="18"/>
              </w:rPr>
            </w:pPr>
            <w:r>
              <w:rPr>
                <w:color w:val="105C84"/>
                <w:sz w:val="18"/>
              </w:rPr>
              <w:t>All patients who are identified as a tobacco user </w:t>
            </w:r>
            <w:r>
              <w:rPr>
                <w:color w:val="105C84"/>
                <w:spacing w:val="-2"/>
                <w:sz w:val="18"/>
              </w:rPr>
              <w:t>receive</w:t>
            </w:r>
            <w:r>
              <w:rPr>
                <w:color w:val="105C84"/>
                <w:spacing w:val="-11"/>
                <w:sz w:val="18"/>
              </w:rPr>
              <w:t> </w:t>
            </w:r>
            <w:r>
              <w:rPr>
                <w:color w:val="105C84"/>
                <w:spacing w:val="-2"/>
                <w:sz w:val="18"/>
              </w:rPr>
              <w:t>cessation intervention</w:t>
            </w:r>
          </w:p>
        </w:tc>
        <w:tc>
          <w:tcPr>
            <w:tcW w:w="1468" w:type="dxa"/>
          </w:tcPr>
          <w:p>
            <w:pPr>
              <w:pStyle w:val="TableParagraph"/>
              <w:spacing w:line="232" w:lineRule="auto" w:before="99"/>
              <w:ind w:left="96" w:right="278"/>
              <w:rPr>
                <w:sz w:val="18"/>
              </w:rPr>
            </w:pPr>
            <w:r>
              <w:rPr>
                <w:color w:val="105C84"/>
                <w:sz w:val="18"/>
              </w:rPr>
              <w:t>Arnot Health primary and </w:t>
            </w:r>
            <w:r>
              <w:rPr>
                <w:color w:val="105C84"/>
                <w:spacing w:val="-2"/>
                <w:sz w:val="18"/>
              </w:rPr>
              <w:t>specialty</w:t>
            </w:r>
            <w:r>
              <w:rPr>
                <w:color w:val="105C84"/>
                <w:spacing w:val="-11"/>
                <w:sz w:val="18"/>
              </w:rPr>
              <w:t> </w:t>
            </w:r>
            <w:r>
              <w:rPr>
                <w:color w:val="105C84"/>
                <w:spacing w:val="-2"/>
                <w:sz w:val="18"/>
              </w:rPr>
              <w:t>care providers </w:t>
            </w:r>
            <w:r>
              <w:rPr>
                <w:color w:val="105C84"/>
                <w:sz w:val="18"/>
              </w:rPr>
              <w:t>screen all patients for tobacco use</w:t>
            </w:r>
          </w:p>
          <w:p>
            <w:pPr>
              <w:pStyle w:val="TableParagraph"/>
              <w:spacing w:line="232" w:lineRule="auto" w:before="85"/>
              <w:ind w:left="96" w:right="44"/>
              <w:rPr>
                <w:sz w:val="18"/>
              </w:rPr>
            </w:pPr>
            <w:r>
              <w:rPr>
                <w:color w:val="105C84"/>
                <w:sz w:val="18"/>
              </w:rPr>
              <w:t>All</w:t>
            </w:r>
            <w:r>
              <w:rPr>
                <w:color w:val="105C84"/>
                <w:spacing w:val="-9"/>
                <w:sz w:val="18"/>
              </w:rPr>
              <w:t> </w:t>
            </w:r>
            <w:r>
              <w:rPr>
                <w:color w:val="105C84"/>
                <w:sz w:val="18"/>
              </w:rPr>
              <w:t>patients</w:t>
            </w:r>
            <w:r>
              <w:rPr>
                <w:color w:val="105C84"/>
                <w:spacing w:val="-9"/>
                <w:sz w:val="18"/>
              </w:rPr>
              <w:t> </w:t>
            </w:r>
            <w:r>
              <w:rPr>
                <w:color w:val="105C84"/>
                <w:sz w:val="18"/>
              </w:rPr>
              <w:t>who are identified</w:t>
            </w:r>
          </w:p>
          <w:p>
            <w:pPr>
              <w:pStyle w:val="TableParagraph"/>
              <w:spacing w:line="232" w:lineRule="auto"/>
              <w:ind w:left="96" w:right="348"/>
              <w:rPr>
                <w:sz w:val="18"/>
              </w:rPr>
            </w:pPr>
            <w:r>
              <w:rPr>
                <w:color w:val="105C84"/>
                <w:sz w:val="18"/>
              </w:rPr>
              <w:t>as</w:t>
            </w:r>
            <w:r>
              <w:rPr>
                <w:color w:val="105C84"/>
                <w:spacing w:val="-15"/>
                <w:sz w:val="18"/>
              </w:rPr>
              <w:t> </w:t>
            </w:r>
            <w:r>
              <w:rPr>
                <w:color w:val="105C84"/>
                <w:sz w:val="18"/>
              </w:rPr>
              <w:t>a</w:t>
            </w:r>
            <w:r>
              <w:rPr>
                <w:color w:val="105C84"/>
                <w:spacing w:val="-12"/>
                <w:sz w:val="18"/>
              </w:rPr>
              <w:t> </w:t>
            </w:r>
            <w:r>
              <w:rPr>
                <w:color w:val="105C84"/>
                <w:sz w:val="18"/>
              </w:rPr>
              <w:t>tobacco user</w:t>
            </w:r>
            <w:r>
              <w:rPr>
                <w:color w:val="105C84"/>
                <w:spacing w:val="-10"/>
                <w:sz w:val="18"/>
              </w:rPr>
              <w:t> </w:t>
            </w:r>
            <w:r>
              <w:rPr>
                <w:color w:val="105C84"/>
                <w:sz w:val="18"/>
              </w:rPr>
              <w:t>receive </w:t>
            </w:r>
            <w:r>
              <w:rPr>
                <w:color w:val="105C84"/>
                <w:spacing w:val="-2"/>
                <w:sz w:val="18"/>
              </w:rPr>
              <w:t>cessation intervention</w:t>
            </w:r>
          </w:p>
        </w:tc>
        <w:tc>
          <w:tcPr>
            <w:tcW w:w="1526" w:type="dxa"/>
            <w:vMerge/>
            <w:tcBorders>
              <w:top w:val="nil"/>
              <w:bottom w:val="nil"/>
            </w:tcBorders>
          </w:tcPr>
          <w:p>
            <w:pPr>
              <w:rPr>
                <w:sz w:val="2"/>
                <w:szCs w:val="2"/>
              </w:rPr>
            </w:pPr>
          </w:p>
        </w:tc>
        <w:tc>
          <w:tcPr>
            <w:tcW w:w="2342" w:type="dxa"/>
          </w:tcPr>
          <w:p>
            <w:pPr>
              <w:pStyle w:val="TableParagraph"/>
              <w:spacing w:line="232" w:lineRule="auto" w:before="99"/>
              <w:ind w:left="97"/>
              <w:rPr>
                <w:sz w:val="18"/>
              </w:rPr>
            </w:pPr>
            <w:r>
              <w:rPr>
                <w:color w:val="105C84"/>
                <w:sz w:val="18"/>
              </w:rPr>
              <w:t>Arnot</w:t>
            </w:r>
            <w:r>
              <w:rPr>
                <w:color w:val="105C84"/>
                <w:spacing w:val="-5"/>
                <w:sz w:val="18"/>
              </w:rPr>
              <w:t> </w:t>
            </w:r>
            <w:r>
              <w:rPr>
                <w:color w:val="105C84"/>
                <w:sz w:val="18"/>
              </w:rPr>
              <w:t>Health</w:t>
            </w:r>
            <w:r>
              <w:rPr>
                <w:color w:val="105C84"/>
                <w:spacing w:val="-5"/>
                <w:sz w:val="18"/>
              </w:rPr>
              <w:t> </w:t>
            </w:r>
            <w:r>
              <w:rPr>
                <w:color w:val="105C84"/>
                <w:sz w:val="18"/>
              </w:rPr>
              <w:t>primary</w:t>
            </w:r>
            <w:r>
              <w:rPr>
                <w:color w:val="105C84"/>
                <w:spacing w:val="-5"/>
                <w:sz w:val="18"/>
              </w:rPr>
              <w:t> </w:t>
            </w:r>
            <w:r>
              <w:rPr>
                <w:color w:val="105C84"/>
                <w:sz w:val="18"/>
              </w:rPr>
              <w:t>and specialty care providers screen all patients for tobacco use</w:t>
            </w:r>
          </w:p>
          <w:p>
            <w:pPr>
              <w:pStyle w:val="TableParagraph"/>
              <w:spacing w:line="232" w:lineRule="auto" w:before="87"/>
              <w:ind w:left="97" w:right="350"/>
              <w:rPr>
                <w:sz w:val="18"/>
              </w:rPr>
            </w:pPr>
            <w:r>
              <w:rPr>
                <w:color w:val="105C84"/>
                <w:sz w:val="18"/>
              </w:rPr>
              <w:t>All patients who are identified</w:t>
            </w:r>
            <w:r>
              <w:rPr>
                <w:color w:val="105C84"/>
                <w:spacing w:val="-5"/>
                <w:sz w:val="18"/>
              </w:rPr>
              <w:t> </w:t>
            </w:r>
            <w:r>
              <w:rPr>
                <w:color w:val="105C84"/>
                <w:sz w:val="18"/>
              </w:rPr>
              <w:t>as</w:t>
            </w:r>
            <w:r>
              <w:rPr>
                <w:color w:val="105C84"/>
                <w:spacing w:val="-5"/>
                <w:sz w:val="18"/>
              </w:rPr>
              <w:t> </w:t>
            </w:r>
            <w:r>
              <w:rPr>
                <w:color w:val="105C84"/>
                <w:sz w:val="18"/>
              </w:rPr>
              <w:t>a</w:t>
            </w:r>
            <w:r>
              <w:rPr>
                <w:color w:val="105C84"/>
                <w:spacing w:val="-5"/>
                <w:sz w:val="18"/>
              </w:rPr>
              <w:t> </w:t>
            </w:r>
            <w:r>
              <w:rPr>
                <w:color w:val="105C84"/>
                <w:sz w:val="18"/>
              </w:rPr>
              <w:t>tobacco user</w:t>
            </w:r>
            <w:r>
              <w:rPr>
                <w:color w:val="105C84"/>
                <w:spacing w:val="-7"/>
                <w:sz w:val="18"/>
              </w:rPr>
              <w:t> </w:t>
            </w:r>
            <w:r>
              <w:rPr>
                <w:color w:val="105C84"/>
                <w:sz w:val="18"/>
              </w:rPr>
              <w:t>receive</w:t>
            </w:r>
            <w:r>
              <w:rPr>
                <w:color w:val="105C84"/>
                <w:spacing w:val="-7"/>
                <w:sz w:val="18"/>
              </w:rPr>
              <w:t> </w:t>
            </w:r>
            <w:r>
              <w:rPr>
                <w:color w:val="105C84"/>
                <w:sz w:val="18"/>
              </w:rPr>
              <w:t>cessation </w:t>
            </w:r>
            <w:r>
              <w:rPr>
                <w:color w:val="105C84"/>
                <w:spacing w:val="-2"/>
                <w:sz w:val="18"/>
              </w:rPr>
              <w:t>intervention</w:t>
            </w:r>
          </w:p>
        </w:tc>
      </w:tr>
      <w:tr>
        <w:trPr>
          <w:trHeight w:val="2639" w:hRule="atLeast"/>
        </w:trPr>
        <w:tc>
          <w:tcPr>
            <w:tcW w:w="1180" w:type="dxa"/>
            <w:tcBorders>
              <w:top w:val="nil"/>
              <w:bottom w:val="nil"/>
            </w:tcBorders>
            <w:shd w:val="clear" w:color="auto" w:fill="E6E7E8"/>
          </w:tcPr>
          <w:p>
            <w:pPr>
              <w:pStyle w:val="TableParagraph"/>
              <w:rPr>
                <w:rFonts w:ascii="Times New Roman"/>
                <w:sz w:val="18"/>
              </w:rPr>
            </w:pPr>
          </w:p>
        </w:tc>
        <w:tc>
          <w:tcPr>
            <w:tcW w:w="1353" w:type="dxa"/>
            <w:tcBorders>
              <w:top w:val="nil"/>
              <w:bottom w:val="nil"/>
            </w:tcBorders>
          </w:tcPr>
          <w:p>
            <w:pPr>
              <w:pStyle w:val="TableParagraph"/>
              <w:rPr>
                <w:rFonts w:ascii="Times New Roman"/>
                <w:sz w:val="18"/>
              </w:rPr>
            </w:pPr>
          </w:p>
        </w:tc>
        <w:tc>
          <w:tcPr>
            <w:tcW w:w="1209" w:type="dxa"/>
            <w:tcBorders>
              <w:top w:val="nil"/>
              <w:bottom w:val="nil"/>
            </w:tcBorders>
          </w:tcPr>
          <w:p>
            <w:pPr>
              <w:pStyle w:val="TableParagraph"/>
              <w:rPr>
                <w:rFonts w:ascii="Times New Roman"/>
                <w:sz w:val="18"/>
              </w:rPr>
            </w:pPr>
          </w:p>
        </w:tc>
        <w:tc>
          <w:tcPr>
            <w:tcW w:w="1605" w:type="dxa"/>
            <w:tcBorders>
              <w:top w:val="nil"/>
              <w:bottom w:val="nil"/>
            </w:tcBorders>
          </w:tcPr>
          <w:p>
            <w:pPr>
              <w:pStyle w:val="TableParagraph"/>
              <w:rPr>
                <w:rFonts w:ascii="Times New Roman"/>
                <w:sz w:val="18"/>
              </w:rPr>
            </w:pPr>
          </w:p>
        </w:tc>
        <w:tc>
          <w:tcPr>
            <w:tcW w:w="1763" w:type="dxa"/>
            <w:tcBorders>
              <w:top w:val="nil"/>
              <w:bottom w:val="nil"/>
            </w:tcBorders>
          </w:tcPr>
          <w:p>
            <w:pPr>
              <w:pStyle w:val="TableParagraph"/>
              <w:rPr>
                <w:rFonts w:ascii="Times New Roman"/>
                <w:sz w:val="18"/>
              </w:rPr>
            </w:pPr>
          </w:p>
        </w:tc>
        <w:tc>
          <w:tcPr>
            <w:tcW w:w="4031" w:type="dxa"/>
            <w:tcBorders>
              <w:top w:val="nil"/>
              <w:bottom w:val="nil"/>
              <w:right w:val="nil"/>
            </w:tcBorders>
          </w:tcPr>
          <w:p>
            <w:pPr>
              <w:pStyle w:val="TableParagraph"/>
              <w:rPr>
                <w:rFonts w:ascii="Times New Roman"/>
                <w:sz w:val="18"/>
              </w:rPr>
            </w:pPr>
          </w:p>
        </w:tc>
        <w:tc>
          <w:tcPr>
            <w:tcW w:w="2361" w:type="dxa"/>
            <w:tcBorders>
              <w:left w:val="nil"/>
              <w:bottom w:val="nil"/>
            </w:tcBorders>
          </w:tcPr>
          <w:p>
            <w:pPr>
              <w:pStyle w:val="TableParagraph"/>
              <w:spacing w:line="232" w:lineRule="auto" w:before="99"/>
              <w:ind w:left="1089" w:right="267"/>
              <w:jc w:val="both"/>
              <w:rPr>
                <w:sz w:val="18"/>
              </w:rPr>
            </w:pPr>
            <w:r>
              <w:rPr>
                <w:color w:val="105C84"/>
                <w:sz w:val="18"/>
              </w:rPr>
              <w:t>#</w:t>
            </w:r>
            <w:r>
              <w:rPr>
                <w:color w:val="105C84"/>
                <w:spacing w:val="-11"/>
                <w:sz w:val="18"/>
              </w:rPr>
              <w:t> </w:t>
            </w:r>
            <w:r>
              <w:rPr>
                <w:color w:val="105C84"/>
                <w:sz w:val="18"/>
              </w:rPr>
              <w:t>of</w:t>
            </w:r>
            <w:r>
              <w:rPr>
                <w:color w:val="105C84"/>
                <w:spacing w:val="-11"/>
                <w:sz w:val="18"/>
              </w:rPr>
              <w:t> </w:t>
            </w:r>
            <w:r>
              <w:rPr>
                <w:color w:val="105C84"/>
                <w:sz w:val="18"/>
              </w:rPr>
              <w:t>patients screened</w:t>
            </w:r>
            <w:r>
              <w:rPr>
                <w:color w:val="105C84"/>
                <w:spacing w:val="-13"/>
                <w:sz w:val="18"/>
              </w:rPr>
              <w:t> </w:t>
            </w:r>
            <w:r>
              <w:rPr>
                <w:color w:val="105C84"/>
                <w:sz w:val="18"/>
              </w:rPr>
              <w:t>for tobacco</w:t>
            </w:r>
            <w:r>
              <w:rPr>
                <w:color w:val="105C84"/>
                <w:spacing w:val="14"/>
                <w:sz w:val="18"/>
              </w:rPr>
              <w:t> </w:t>
            </w:r>
            <w:r>
              <w:rPr>
                <w:color w:val="105C84"/>
                <w:spacing w:val="-5"/>
                <w:sz w:val="18"/>
              </w:rPr>
              <w:t>use</w:t>
            </w:r>
          </w:p>
          <w:p>
            <w:pPr>
              <w:pStyle w:val="TableParagraph"/>
              <w:spacing w:line="232" w:lineRule="auto" w:before="87"/>
              <w:ind w:left="1089" w:right="199"/>
              <w:rPr>
                <w:sz w:val="18"/>
              </w:rPr>
            </w:pPr>
            <w:r>
              <w:rPr>
                <w:color w:val="105C84"/>
                <w:sz w:val="18"/>
              </w:rPr>
              <w:t># of patients who receive </w:t>
            </w:r>
            <w:r>
              <w:rPr>
                <w:color w:val="105C84"/>
                <w:spacing w:val="-2"/>
                <w:sz w:val="18"/>
              </w:rPr>
              <w:t>tobacco cessation interventions</w:t>
            </w:r>
          </w:p>
        </w:tc>
        <w:tc>
          <w:tcPr>
            <w:tcW w:w="1900" w:type="dxa"/>
            <w:tcBorders>
              <w:bottom w:val="nil"/>
            </w:tcBorders>
          </w:tcPr>
          <w:p>
            <w:pPr>
              <w:pStyle w:val="TableParagraph"/>
              <w:spacing w:line="232" w:lineRule="auto" w:before="99"/>
              <w:ind w:left="94"/>
              <w:rPr>
                <w:sz w:val="18"/>
              </w:rPr>
            </w:pPr>
            <w:r>
              <w:rPr>
                <w:color w:val="105C84"/>
                <w:sz w:val="18"/>
              </w:rPr>
              <w:t>All patients are screened</w:t>
            </w:r>
            <w:r>
              <w:rPr>
                <w:color w:val="105C84"/>
                <w:spacing w:val="-12"/>
                <w:sz w:val="18"/>
              </w:rPr>
              <w:t> </w:t>
            </w:r>
            <w:r>
              <w:rPr>
                <w:color w:val="105C84"/>
                <w:sz w:val="18"/>
              </w:rPr>
              <w:t>for</w:t>
            </w:r>
            <w:r>
              <w:rPr>
                <w:color w:val="105C84"/>
                <w:spacing w:val="-12"/>
                <w:sz w:val="18"/>
              </w:rPr>
              <w:t> </w:t>
            </w:r>
            <w:r>
              <w:rPr>
                <w:color w:val="105C84"/>
                <w:sz w:val="18"/>
              </w:rPr>
              <w:t>tobacco </w:t>
            </w:r>
            <w:r>
              <w:rPr>
                <w:color w:val="105C84"/>
                <w:spacing w:val="-4"/>
                <w:sz w:val="18"/>
              </w:rPr>
              <w:t>use</w:t>
            </w:r>
          </w:p>
          <w:p>
            <w:pPr>
              <w:pStyle w:val="TableParagraph"/>
              <w:spacing w:line="232" w:lineRule="auto" w:before="87"/>
              <w:ind w:left="94"/>
              <w:rPr>
                <w:sz w:val="18"/>
              </w:rPr>
            </w:pPr>
            <w:r>
              <w:rPr>
                <w:color w:val="105C84"/>
                <w:sz w:val="18"/>
              </w:rPr>
              <w:t>All</w:t>
            </w:r>
            <w:r>
              <w:rPr>
                <w:color w:val="105C84"/>
                <w:spacing w:val="-15"/>
                <w:sz w:val="18"/>
              </w:rPr>
              <w:t> </w:t>
            </w:r>
            <w:r>
              <w:rPr>
                <w:color w:val="105C84"/>
                <w:sz w:val="18"/>
              </w:rPr>
              <w:t>patients</w:t>
            </w:r>
            <w:r>
              <w:rPr>
                <w:color w:val="105C84"/>
                <w:spacing w:val="-12"/>
                <w:sz w:val="18"/>
              </w:rPr>
              <w:t> </w:t>
            </w:r>
            <w:r>
              <w:rPr>
                <w:color w:val="105C84"/>
                <w:sz w:val="18"/>
              </w:rPr>
              <w:t>screening positive for tobacco use will be offered tobacco cessation </w:t>
            </w:r>
            <w:r>
              <w:rPr>
                <w:color w:val="105C84"/>
                <w:spacing w:val="-2"/>
                <w:sz w:val="18"/>
              </w:rPr>
              <w:t>assistance</w:t>
            </w:r>
          </w:p>
        </w:tc>
        <w:tc>
          <w:tcPr>
            <w:tcW w:w="1554" w:type="dxa"/>
            <w:tcBorders>
              <w:bottom w:val="nil"/>
            </w:tcBorders>
          </w:tcPr>
          <w:p>
            <w:pPr>
              <w:pStyle w:val="TableParagraph"/>
              <w:spacing w:line="232" w:lineRule="auto" w:before="98"/>
              <w:ind w:left="95"/>
              <w:rPr>
                <w:sz w:val="18"/>
              </w:rPr>
            </w:pPr>
            <w:r>
              <w:rPr>
                <w:color w:val="105C84"/>
                <w:sz w:val="18"/>
              </w:rPr>
              <w:t>All</w:t>
            </w:r>
            <w:r>
              <w:rPr>
                <w:color w:val="105C84"/>
                <w:spacing w:val="-15"/>
                <w:sz w:val="18"/>
              </w:rPr>
              <w:t> </w:t>
            </w:r>
            <w:r>
              <w:rPr>
                <w:color w:val="105C84"/>
                <w:sz w:val="18"/>
              </w:rPr>
              <w:t>patients</w:t>
            </w:r>
            <w:r>
              <w:rPr>
                <w:color w:val="105C84"/>
                <w:spacing w:val="-12"/>
                <w:sz w:val="18"/>
              </w:rPr>
              <w:t> </w:t>
            </w:r>
            <w:r>
              <w:rPr>
                <w:color w:val="105C84"/>
                <w:sz w:val="18"/>
              </w:rPr>
              <w:t>are screened for tobacco use</w:t>
            </w:r>
          </w:p>
          <w:p>
            <w:pPr>
              <w:pStyle w:val="TableParagraph"/>
              <w:spacing w:line="232" w:lineRule="auto" w:before="88"/>
              <w:ind w:left="95" w:right="248"/>
              <w:rPr>
                <w:sz w:val="18"/>
              </w:rPr>
            </w:pPr>
            <w:r>
              <w:rPr>
                <w:color w:val="105C84"/>
                <w:sz w:val="18"/>
              </w:rPr>
              <w:t>All patients </w:t>
            </w:r>
            <w:r>
              <w:rPr>
                <w:color w:val="105C84"/>
                <w:spacing w:val="-2"/>
                <w:sz w:val="18"/>
              </w:rPr>
              <w:t>screening </w:t>
            </w:r>
            <w:r>
              <w:rPr>
                <w:color w:val="105C84"/>
                <w:sz w:val="18"/>
              </w:rPr>
              <w:t>positive for tobacco use will</w:t>
            </w:r>
            <w:r>
              <w:rPr>
                <w:color w:val="105C84"/>
                <w:spacing w:val="-6"/>
                <w:sz w:val="18"/>
              </w:rPr>
              <w:t> </w:t>
            </w:r>
            <w:r>
              <w:rPr>
                <w:color w:val="105C84"/>
                <w:sz w:val="18"/>
              </w:rPr>
              <w:t>be</w:t>
            </w:r>
            <w:r>
              <w:rPr>
                <w:color w:val="105C84"/>
                <w:spacing w:val="-6"/>
                <w:sz w:val="18"/>
              </w:rPr>
              <w:t> </w:t>
            </w:r>
            <w:r>
              <w:rPr>
                <w:color w:val="105C84"/>
                <w:sz w:val="18"/>
              </w:rPr>
              <w:t>offered </w:t>
            </w:r>
            <w:r>
              <w:rPr>
                <w:color w:val="105C84"/>
                <w:spacing w:val="-2"/>
                <w:sz w:val="18"/>
              </w:rPr>
              <w:t>tobacco cessation assistance</w:t>
            </w:r>
          </w:p>
        </w:tc>
        <w:tc>
          <w:tcPr>
            <w:tcW w:w="1468" w:type="dxa"/>
            <w:tcBorders>
              <w:bottom w:val="nil"/>
            </w:tcBorders>
          </w:tcPr>
          <w:p>
            <w:pPr>
              <w:pStyle w:val="TableParagraph"/>
              <w:spacing w:line="232" w:lineRule="auto" w:before="98"/>
              <w:ind w:left="96" w:right="44"/>
              <w:rPr>
                <w:sz w:val="18"/>
              </w:rPr>
            </w:pPr>
            <w:r>
              <w:rPr>
                <w:color w:val="105C84"/>
                <w:sz w:val="18"/>
              </w:rPr>
              <w:t>All</w:t>
            </w:r>
            <w:r>
              <w:rPr>
                <w:color w:val="105C84"/>
                <w:spacing w:val="-15"/>
                <w:sz w:val="18"/>
              </w:rPr>
              <w:t> </w:t>
            </w:r>
            <w:r>
              <w:rPr>
                <w:color w:val="105C84"/>
                <w:sz w:val="18"/>
              </w:rPr>
              <w:t>patients</w:t>
            </w:r>
            <w:r>
              <w:rPr>
                <w:color w:val="105C84"/>
                <w:spacing w:val="-12"/>
                <w:sz w:val="18"/>
              </w:rPr>
              <w:t> </w:t>
            </w:r>
            <w:r>
              <w:rPr>
                <w:color w:val="105C84"/>
                <w:sz w:val="18"/>
              </w:rPr>
              <w:t>are screened for tobacco use</w:t>
            </w:r>
          </w:p>
          <w:p>
            <w:pPr>
              <w:pStyle w:val="TableParagraph"/>
              <w:spacing w:line="232" w:lineRule="auto" w:before="88"/>
              <w:ind w:left="96" w:right="161"/>
              <w:rPr>
                <w:sz w:val="18"/>
              </w:rPr>
            </w:pPr>
            <w:r>
              <w:rPr>
                <w:color w:val="105C84"/>
                <w:sz w:val="18"/>
              </w:rPr>
              <w:t>All patients </w:t>
            </w:r>
            <w:r>
              <w:rPr>
                <w:color w:val="105C84"/>
                <w:spacing w:val="-2"/>
                <w:sz w:val="18"/>
              </w:rPr>
              <w:t>screening </w:t>
            </w:r>
            <w:r>
              <w:rPr>
                <w:color w:val="105C84"/>
                <w:sz w:val="18"/>
              </w:rPr>
              <w:t>positive for tobacco use will</w:t>
            </w:r>
            <w:r>
              <w:rPr>
                <w:color w:val="105C84"/>
                <w:spacing w:val="-6"/>
                <w:sz w:val="18"/>
              </w:rPr>
              <w:t> </w:t>
            </w:r>
            <w:r>
              <w:rPr>
                <w:color w:val="105C84"/>
                <w:sz w:val="18"/>
              </w:rPr>
              <w:t>be</w:t>
            </w:r>
            <w:r>
              <w:rPr>
                <w:color w:val="105C84"/>
                <w:spacing w:val="-6"/>
                <w:sz w:val="18"/>
              </w:rPr>
              <w:t> </w:t>
            </w:r>
            <w:r>
              <w:rPr>
                <w:color w:val="105C84"/>
                <w:sz w:val="18"/>
              </w:rPr>
              <w:t>offered </w:t>
            </w:r>
            <w:r>
              <w:rPr>
                <w:color w:val="105C84"/>
                <w:spacing w:val="-2"/>
                <w:sz w:val="18"/>
              </w:rPr>
              <w:t>tobacco cessation assistance</w:t>
            </w:r>
          </w:p>
        </w:tc>
        <w:tc>
          <w:tcPr>
            <w:tcW w:w="1526" w:type="dxa"/>
            <w:tcBorders>
              <w:top w:val="nil"/>
              <w:bottom w:val="nil"/>
            </w:tcBorders>
          </w:tcPr>
          <w:p>
            <w:pPr>
              <w:pStyle w:val="TableParagraph"/>
              <w:rPr>
                <w:rFonts w:ascii="Times New Roman"/>
                <w:sz w:val="18"/>
              </w:rPr>
            </w:pPr>
          </w:p>
        </w:tc>
        <w:tc>
          <w:tcPr>
            <w:tcW w:w="2342" w:type="dxa"/>
            <w:tcBorders>
              <w:bottom w:val="nil"/>
            </w:tcBorders>
          </w:tcPr>
          <w:p>
            <w:pPr>
              <w:pStyle w:val="TableParagraph"/>
              <w:spacing w:line="232" w:lineRule="auto" w:before="98"/>
              <w:ind w:left="97" w:right="156"/>
              <w:rPr>
                <w:sz w:val="18"/>
              </w:rPr>
            </w:pPr>
            <w:r>
              <w:rPr>
                <w:color w:val="105C84"/>
                <w:sz w:val="18"/>
              </w:rPr>
              <w:t>OOH Medical has an established protocol to screen</w:t>
            </w:r>
            <w:r>
              <w:rPr>
                <w:color w:val="105C84"/>
                <w:spacing w:val="-15"/>
                <w:sz w:val="18"/>
              </w:rPr>
              <w:t> </w:t>
            </w:r>
            <w:r>
              <w:rPr>
                <w:color w:val="105C84"/>
                <w:sz w:val="18"/>
              </w:rPr>
              <w:t>for</w:t>
            </w:r>
            <w:r>
              <w:rPr>
                <w:color w:val="105C84"/>
                <w:spacing w:val="-12"/>
                <w:sz w:val="18"/>
              </w:rPr>
              <w:t> </w:t>
            </w:r>
            <w:r>
              <w:rPr>
                <w:color w:val="105C84"/>
                <w:sz w:val="18"/>
              </w:rPr>
              <w:t>tobacco</w:t>
            </w:r>
            <w:r>
              <w:rPr>
                <w:color w:val="105C84"/>
                <w:spacing w:val="-13"/>
                <w:sz w:val="18"/>
              </w:rPr>
              <w:t> </w:t>
            </w:r>
            <w:r>
              <w:rPr>
                <w:color w:val="105C84"/>
                <w:sz w:val="18"/>
              </w:rPr>
              <w:t>use</w:t>
            </w:r>
            <w:r>
              <w:rPr>
                <w:color w:val="105C84"/>
                <w:spacing w:val="-12"/>
                <w:sz w:val="18"/>
              </w:rPr>
              <w:t> </w:t>
            </w:r>
            <w:r>
              <w:rPr>
                <w:color w:val="105C84"/>
                <w:sz w:val="18"/>
              </w:rPr>
              <w:t>in all patients 12+ at every </w:t>
            </w:r>
            <w:r>
              <w:rPr>
                <w:color w:val="105C84"/>
                <w:spacing w:val="-4"/>
                <w:sz w:val="18"/>
              </w:rPr>
              <w:t>visit</w:t>
            </w:r>
          </w:p>
          <w:p>
            <w:pPr>
              <w:pStyle w:val="TableParagraph"/>
              <w:spacing w:line="232" w:lineRule="auto" w:before="86"/>
              <w:ind w:left="97"/>
              <w:rPr>
                <w:sz w:val="18"/>
              </w:rPr>
            </w:pPr>
            <w:r>
              <w:rPr>
                <w:color w:val="105C84"/>
                <w:sz w:val="18"/>
              </w:rPr>
              <w:t>The system recently received </w:t>
            </w:r>
            <w:r>
              <w:rPr>
                <w:color w:val="105C84"/>
                <w:sz w:val="18"/>
              </w:rPr>
              <w:t>tobacco/nicotine cessation training from</w:t>
            </w:r>
          </w:p>
          <w:p>
            <w:pPr>
              <w:pStyle w:val="TableParagraph"/>
              <w:spacing w:line="232" w:lineRule="auto"/>
              <w:ind w:left="97" w:right="156"/>
              <w:rPr>
                <w:sz w:val="18"/>
              </w:rPr>
            </w:pPr>
            <w:r>
              <w:rPr>
                <w:color w:val="105C84"/>
                <w:sz w:val="18"/>
              </w:rPr>
              <w:t>a NYSDOH sponsored program run by URMC </w:t>
            </w:r>
            <w:r>
              <w:rPr>
                <w:color w:val="105C84"/>
                <w:spacing w:val="-4"/>
                <w:sz w:val="18"/>
              </w:rPr>
              <w:t>and</w:t>
            </w:r>
            <w:r>
              <w:rPr>
                <w:color w:val="105C84"/>
                <w:spacing w:val="-9"/>
                <w:sz w:val="18"/>
              </w:rPr>
              <w:t> </w:t>
            </w:r>
            <w:r>
              <w:rPr>
                <w:color w:val="105C84"/>
                <w:spacing w:val="-4"/>
                <w:sz w:val="18"/>
              </w:rPr>
              <w:t>Roswell</w:t>
            </w:r>
            <w:r>
              <w:rPr>
                <w:color w:val="105C84"/>
                <w:spacing w:val="-8"/>
                <w:sz w:val="18"/>
              </w:rPr>
              <w:t> </w:t>
            </w:r>
            <w:r>
              <w:rPr>
                <w:color w:val="105C84"/>
                <w:spacing w:val="-4"/>
                <w:sz w:val="18"/>
              </w:rPr>
              <w:t>Park</w:t>
            </w:r>
            <w:r>
              <w:rPr>
                <w:color w:val="105C84"/>
                <w:spacing w:val="-9"/>
                <w:sz w:val="18"/>
              </w:rPr>
              <w:t> </w:t>
            </w:r>
            <w:r>
              <w:rPr>
                <w:color w:val="105C84"/>
                <w:spacing w:val="-4"/>
                <w:sz w:val="18"/>
              </w:rPr>
              <w:t>Cancer </w:t>
            </w:r>
            <w:r>
              <w:rPr>
                <w:color w:val="105C84"/>
                <w:spacing w:val="-2"/>
                <w:sz w:val="18"/>
              </w:rPr>
              <w:t>Institute</w:t>
            </w:r>
          </w:p>
        </w:tc>
      </w:tr>
      <w:tr>
        <w:trPr>
          <w:trHeight w:val="580" w:hRule="atLeast"/>
        </w:trPr>
        <w:tc>
          <w:tcPr>
            <w:tcW w:w="1180" w:type="dxa"/>
            <w:tcBorders>
              <w:top w:val="nil"/>
            </w:tcBorders>
            <w:shd w:val="clear" w:color="auto" w:fill="E6E7E8"/>
          </w:tcPr>
          <w:p>
            <w:pPr>
              <w:pStyle w:val="TableParagraph"/>
              <w:rPr>
                <w:rFonts w:ascii="Times New Roman"/>
                <w:sz w:val="18"/>
              </w:rPr>
            </w:pPr>
          </w:p>
        </w:tc>
        <w:tc>
          <w:tcPr>
            <w:tcW w:w="1353" w:type="dxa"/>
            <w:tcBorders>
              <w:top w:val="nil"/>
            </w:tcBorders>
          </w:tcPr>
          <w:p>
            <w:pPr>
              <w:pStyle w:val="TableParagraph"/>
              <w:rPr>
                <w:rFonts w:ascii="Times New Roman"/>
                <w:sz w:val="18"/>
              </w:rPr>
            </w:pPr>
          </w:p>
        </w:tc>
        <w:tc>
          <w:tcPr>
            <w:tcW w:w="1209" w:type="dxa"/>
            <w:tcBorders>
              <w:top w:val="nil"/>
            </w:tcBorders>
          </w:tcPr>
          <w:p>
            <w:pPr>
              <w:pStyle w:val="TableParagraph"/>
              <w:rPr>
                <w:rFonts w:ascii="Times New Roman"/>
                <w:sz w:val="18"/>
              </w:rPr>
            </w:pPr>
          </w:p>
        </w:tc>
        <w:tc>
          <w:tcPr>
            <w:tcW w:w="1605" w:type="dxa"/>
            <w:tcBorders>
              <w:top w:val="nil"/>
            </w:tcBorders>
          </w:tcPr>
          <w:p>
            <w:pPr>
              <w:pStyle w:val="TableParagraph"/>
              <w:rPr>
                <w:rFonts w:ascii="Times New Roman"/>
                <w:sz w:val="18"/>
              </w:rPr>
            </w:pPr>
          </w:p>
        </w:tc>
        <w:tc>
          <w:tcPr>
            <w:tcW w:w="1763" w:type="dxa"/>
            <w:tcBorders>
              <w:top w:val="nil"/>
            </w:tcBorders>
          </w:tcPr>
          <w:p>
            <w:pPr>
              <w:pStyle w:val="TableParagraph"/>
              <w:rPr>
                <w:rFonts w:ascii="Times New Roman"/>
                <w:sz w:val="18"/>
              </w:rPr>
            </w:pPr>
          </w:p>
        </w:tc>
        <w:tc>
          <w:tcPr>
            <w:tcW w:w="4031" w:type="dxa"/>
            <w:tcBorders>
              <w:top w:val="nil"/>
              <w:right w:val="nil"/>
            </w:tcBorders>
          </w:tcPr>
          <w:p>
            <w:pPr>
              <w:pStyle w:val="TableParagraph"/>
              <w:rPr>
                <w:rFonts w:ascii="Times New Roman"/>
                <w:sz w:val="18"/>
              </w:rPr>
            </w:pPr>
          </w:p>
        </w:tc>
        <w:tc>
          <w:tcPr>
            <w:tcW w:w="2361" w:type="dxa"/>
            <w:tcBorders>
              <w:top w:val="nil"/>
              <w:left w:val="nil"/>
            </w:tcBorders>
          </w:tcPr>
          <w:p>
            <w:pPr>
              <w:pStyle w:val="TableParagraph"/>
              <w:rPr>
                <w:rFonts w:ascii="Times New Roman"/>
                <w:sz w:val="18"/>
              </w:rPr>
            </w:pPr>
          </w:p>
        </w:tc>
        <w:tc>
          <w:tcPr>
            <w:tcW w:w="1900" w:type="dxa"/>
            <w:tcBorders>
              <w:top w:val="nil"/>
            </w:tcBorders>
          </w:tcPr>
          <w:p>
            <w:pPr>
              <w:pStyle w:val="TableParagraph"/>
              <w:rPr>
                <w:rFonts w:ascii="Times New Roman"/>
                <w:sz w:val="18"/>
              </w:rPr>
            </w:pPr>
          </w:p>
        </w:tc>
        <w:tc>
          <w:tcPr>
            <w:tcW w:w="1554" w:type="dxa"/>
            <w:tcBorders>
              <w:top w:val="nil"/>
            </w:tcBorders>
          </w:tcPr>
          <w:p>
            <w:pPr>
              <w:pStyle w:val="TableParagraph"/>
              <w:rPr>
                <w:rFonts w:ascii="Times New Roman"/>
                <w:sz w:val="18"/>
              </w:rPr>
            </w:pPr>
          </w:p>
        </w:tc>
        <w:tc>
          <w:tcPr>
            <w:tcW w:w="1468" w:type="dxa"/>
            <w:tcBorders>
              <w:top w:val="nil"/>
            </w:tcBorders>
          </w:tcPr>
          <w:p>
            <w:pPr>
              <w:pStyle w:val="TableParagraph"/>
              <w:rPr>
                <w:rFonts w:ascii="Times New Roman"/>
                <w:sz w:val="18"/>
              </w:rPr>
            </w:pPr>
          </w:p>
        </w:tc>
        <w:tc>
          <w:tcPr>
            <w:tcW w:w="1526" w:type="dxa"/>
            <w:tcBorders>
              <w:top w:val="nil"/>
            </w:tcBorders>
          </w:tcPr>
          <w:p>
            <w:pPr>
              <w:pStyle w:val="TableParagraph"/>
              <w:rPr>
                <w:rFonts w:ascii="Times New Roman"/>
                <w:sz w:val="18"/>
              </w:rPr>
            </w:pPr>
          </w:p>
        </w:tc>
        <w:tc>
          <w:tcPr>
            <w:tcW w:w="2342" w:type="dxa"/>
            <w:tcBorders>
              <w:top w:val="nil"/>
            </w:tcBorders>
          </w:tcPr>
          <w:p>
            <w:pPr>
              <w:pStyle w:val="TableParagraph"/>
              <w:spacing w:line="232" w:lineRule="auto" w:before="38"/>
              <w:ind w:left="97" w:right="350"/>
              <w:rPr>
                <w:sz w:val="18"/>
              </w:rPr>
            </w:pPr>
            <w:r>
              <w:rPr>
                <w:color w:val="105C84"/>
                <w:sz w:val="18"/>
              </w:rPr>
              <w:t>OOH</w:t>
            </w:r>
            <w:r>
              <w:rPr>
                <w:color w:val="105C84"/>
                <w:spacing w:val="-8"/>
                <w:sz w:val="18"/>
              </w:rPr>
              <w:t> </w:t>
            </w:r>
            <w:r>
              <w:rPr>
                <w:color w:val="105C84"/>
                <w:sz w:val="18"/>
              </w:rPr>
              <w:t>utilizes</w:t>
            </w:r>
            <w:r>
              <w:rPr>
                <w:color w:val="105C84"/>
                <w:spacing w:val="-8"/>
                <w:sz w:val="18"/>
              </w:rPr>
              <w:t> </w:t>
            </w:r>
            <w:r>
              <w:rPr>
                <w:color w:val="105C84"/>
                <w:sz w:val="18"/>
              </w:rPr>
              <w:t>the</w:t>
            </w:r>
            <w:r>
              <w:rPr>
                <w:color w:val="105C84"/>
                <w:spacing w:val="-8"/>
                <w:sz w:val="18"/>
              </w:rPr>
              <w:t> </w:t>
            </w:r>
            <w:r>
              <w:rPr>
                <w:color w:val="105C84"/>
                <w:sz w:val="18"/>
              </w:rPr>
              <w:t>Fax</w:t>
            </w:r>
            <w:r>
              <w:rPr>
                <w:color w:val="105C84"/>
                <w:spacing w:val="-8"/>
                <w:sz w:val="18"/>
              </w:rPr>
              <w:t> </w:t>
            </w:r>
            <w:r>
              <w:rPr>
                <w:color w:val="105C84"/>
                <w:sz w:val="18"/>
              </w:rPr>
              <w:t>to </w:t>
            </w:r>
            <w:r>
              <w:rPr>
                <w:color w:val="105C84"/>
                <w:w w:val="105"/>
                <w:sz w:val="18"/>
              </w:rPr>
              <w:t>Quit</w:t>
            </w:r>
            <w:r>
              <w:rPr>
                <w:color w:val="105C84"/>
                <w:spacing w:val="-1"/>
                <w:w w:val="105"/>
                <w:sz w:val="18"/>
              </w:rPr>
              <w:t> </w:t>
            </w:r>
            <w:r>
              <w:rPr>
                <w:color w:val="105C84"/>
                <w:w w:val="105"/>
                <w:sz w:val="18"/>
              </w:rPr>
              <w:t>program</w:t>
            </w:r>
          </w:p>
        </w:tc>
      </w:tr>
    </w:tbl>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151"/>
        <w:rPr>
          <w:b/>
          <w:sz w:val="26"/>
        </w:rPr>
      </w:pPr>
    </w:p>
    <w:p>
      <w:pPr>
        <w:tabs>
          <w:tab w:pos="23047" w:val="left" w:leader="none"/>
        </w:tabs>
        <w:spacing w:before="0"/>
        <w:ind w:left="0" w:right="0" w:firstLine="0"/>
        <w:jc w:val="left"/>
        <w:rPr>
          <w:b/>
          <w:sz w:val="26"/>
        </w:rPr>
      </w:pPr>
      <w:r>
        <w:rPr>
          <w:position w:val="-4"/>
        </w:rPr>
        <w:drawing>
          <wp:inline distT="0" distB="0" distL="0" distR="0">
            <wp:extent cx="568172" cy="184683"/>
            <wp:effectExtent l="0" t="0" r="0" b="0"/>
            <wp:docPr id="1957" name="Image 1957"/>
            <wp:cNvGraphicFramePr>
              <a:graphicFrameLocks/>
            </wp:cNvGraphicFramePr>
            <a:graphic>
              <a:graphicData uri="http://schemas.openxmlformats.org/drawingml/2006/picture">
                <pic:pic>
                  <pic:nvPicPr>
                    <pic:cNvPr id="1957" name="Image 1957"/>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13"/>
          <w:sz w:val="20"/>
        </w:rPr>
        <w:t> </w:t>
      </w:r>
      <w:r>
        <w:rPr>
          <w:b/>
          <w:color w:val="939598"/>
          <w:w w:val="105"/>
          <w:sz w:val="26"/>
        </w:rPr>
        <w:t>195</w:t>
      </w:r>
      <w:r>
        <w:rPr>
          <w:b/>
          <w:color w:val="939598"/>
          <w:sz w:val="26"/>
        </w:rPr>
        <w:tab/>
      </w:r>
      <w:r>
        <w:rPr>
          <w:b/>
          <w:color w:val="939598"/>
          <w:spacing w:val="-5"/>
          <w:w w:val="105"/>
          <w:sz w:val="26"/>
        </w:rPr>
        <w:t>196</w:t>
      </w:r>
    </w:p>
    <w:p>
      <w:pPr>
        <w:spacing w:after="0"/>
        <w:jc w:val="left"/>
        <w:rPr>
          <w:b/>
          <w:sz w:val="26"/>
        </w:rPr>
        <w:sectPr>
          <w:pgSz w:w="24480" w:h="15840" w:orient="landscape"/>
          <w:pgMar w:header="0" w:footer="0" w:top="860" w:bottom="0" w:left="0" w:right="720"/>
        </w:sectPr>
      </w:pPr>
    </w:p>
    <w:p>
      <w:pPr>
        <w:spacing w:before="609"/>
        <w:ind w:left="1089" w:right="0" w:firstLine="0"/>
        <w:jc w:val="left"/>
        <w:rPr>
          <w:sz w:val="54"/>
        </w:rPr>
      </w:pPr>
      <w:r>
        <w:rPr>
          <w:sz w:val="54"/>
        </w:rPr>
        <w:drawing>
          <wp:anchor distT="0" distB="0" distL="0" distR="0" allowOverlap="1" layoutInCell="1" locked="0" behindDoc="0" simplePos="0" relativeHeight="16001536">
            <wp:simplePos x="0" y="0"/>
            <wp:positionH relativeFrom="page">
              <wp:posOffset>14981556</wp:posOffset>
            </wp:positionH>
            <wp:positionV relativeFrom="page">
              <wp:posOffset>9668103</wp:posOffset>
            </wp:positionV>
            <wp:extent cx="563245" cy="184683"/>
            <wp:effectExtent l="0" t="0" r="0" b="0"/>
            <wp:wrapNone/>
            <wp:docPr id="1958" name="Image 1958"/>
            <wp:cNvGraphicFramePr>
              <a:graphicFrameLocks/>
            </wp:cNvGraphicFramePr>
            <a:graphic>
              <a:graphicData uri="http://schemas.openxmlformats.org/drawingml/2006/picture">
                <pic:pic>
                  <pic:nvPicPr>
                    <pic:cNvPr id="1958" name="Image 1958"/>
                    <pic:cNvPicPr/>
                  </pic:nvPicPr>
                  <pic:blipFill>
                    <a:blip r:embed="rId38" cstate="print"/>
                    <a:stretch>
                      <a:fillRect/>
                    </a:stretch>
                  </pic:blipFill>
                  <pic:spPr>
                    <a:xfrm>
                      <a:off x="0" y="0"/>
                      <a:ext cx="563245" cy="184683"/>
                    </a:xfrm>
                    <a:prstGeom prst="rect">
                      <a:avLst/>
                    </a:prstGeom>
                  </pic:spPr>
                </pic:pic>
              </a:graphicData>
            </a:graphic>
          </wp:anchor>
        </w:drawing>
      </w:r>
      <w:r>
        <w:rPr>
          <w:sz w:val="54"/>
        </w:rPr>
        <w:drawing>
          <wp:anchor distT="0" distB="0" distL="0" distR="0" allowOverlap="1" layoutInCell="1" locked="0" behindDoc="0" simplePos="0" relativeHeight="16002048">
            <wp:simplePos x="0" y="0"/>
            <wp:positionH relativeFrom="page">
              <wp:posOffset>14298866</wp:posOffset>
            </wp:positionH>
            <wp:positionV relativeFrom="paragraph">
              <wp:posOffset>333089</wp:posOffset>
            </wp:positionV>
            <wp:extent cx="552068" cy="591502"/>
            <wp:effectExtent l="0" t="0" r="0" b="0"/>
            <wp:wrapNone/>
            <wp:docPr id="1959" name="Image 1959"/>
            <wp:cNvGraphicFramePr>
              <a:graphicFrameLocks/>
            </wp:cNvGraphicFramePr>
            <a:graphic>
              <a:graphicData uri="http://schemas.openxmlformats.org/drawingml/2006/picture">
                <pic:pic>
                  <pic:nvPicPr>
                    <pic:cNvPr id="1959" name="Image 1959"/>
                    <pic:cNvPicPr/>
                  </pic:nvPicPr>
                  <pic:blipFill>
                    <a:blip r:embed="rId259" cstate="print"/>
                    <a:stretch>
                      <a:fillRect/>
                    </a:stretch>
                  </pic:blipFill>
                  <pic:spPr>
                    <a:xfrm>
                      <a:off x="0" y="0"/>
                      <a:ext cx="552068" cy="591502"/>
                    </a:xfrm>
                    <a:prstGeom prst="rect">
                      <a:avLst/>
                    </a:prstGeom>
                  </pic:spPr>
                </pic:pic>
              </a:graphicData>
            </a:graphic>
          </wp:anchor>
        </w:drawing>
      </w:r>
      <w:r>
        <w:rPr>
          <w:sz w:val="54"/>
        </w:rPr>
        <w:drawing>
          <wp:anchor distT="0" distB="0" distL="0" distR="0" allowOverlap="1" layoutInCell="1" locked="0" behindDoc="0" simplePos="0" relativeHeight="16002560">
            <wp:simplePos x="0" y="0"/>
            <wp:positionH relativeFrom="page">
              <wp:posOffset>11596623</wp:posOffset>
            </wp:positionH>
            <wp:positionV relativeFrom="paragraph">
              <wp:posOffset>330783</wp:posOffset>
            </wp:positionV>
            <wp:extent cx="1311661" cy="345815"/>
            <wp:effectExtent l="0" t="0" r="0" b="0"/>
            <wp:wrapNone/>
            <wp:docPr id="1960" name="Image 1960"/>
            <wp:cNvGraphicFramePr>
              <a:graphicFrameLocks/>
            </wp:cNvGraphicFramePr>
            <a:graphic>
              <a:graphicData uri="http://schemas.openxmlformats.org/drawingml/2006/picture">
                <pic:pic>
                  <pic:nvPicPr>
                    <pic:cNvPr id="1960" name="Image 1960"/>
                    <pic:cNvPicPr/>
                  </pic:nvPicPr>
                  <pic:blipFill>
                    <a:blip r:embed="rId260" cstate="print"/>
                    <a:stretch>
                      <a:fillRect/>
                    </a:stretch>
                  </pic:blipFill>
                  <pic:spPr>
                    <a:xfrm>
                      <a:off x="0" y="0"/>
                      <a:ext cx="1311661" cy="345815"/>
                    </a:xfrm>
                    <a:prstGeom prst="rect">
                      <a:avLst/>
                    </a:prstGeom>
                  </pic:spPr>
                </pic:pic>
              </a:graphicData>
            </a:graphic>
          </wp:anchor>
        </w:drawing>
      </w:r>
      <w:r>
        <w:rPr>
          <w:sz w:val="54"/>
        </w:rPr>
        <w:drawing>
          <wp:anchor distT="0" distB="0" distL="0" distR="0" allowOverlap="1" layoutInCell="1" locked="0" behindDoc="0" simplePos="0" relativeHeight="16003072">
            <wp:simplePos x="0" y="0"/>
            <wp:positionH relativeFrom="page">
              <wp:posOffset>13088996</wp:posOffset>
            </wp:positionH>
            <wp:positionV relativeFrom="paragraph">
              <wp:posOffset>323398</wp:posOffset>
            </wp:positionV>
            <wp:extent cx="1063929" cy="302976"/>
            <wp:effectExtent l="0" t="0" r="0" b="0"/>
            <wp:wrapNone/>
            <wp:docPr id="1961" name="Image 1961"/>
            <wp:cNvGraphicFramePr>
              <a:graphicFrameLocks/>
            </wp:cNvGraphicFramePr>
            <a:graphic>
              <a:graphicData uri="http://schemas.openxmlformats.org/drawingml/2006/picture">
                <pic:pic>
                  <pic:nvPicPr>
                    <pic:cNvPr id="1961" name="Image 1961"/>
                    <pic:cNvPicPr/>
                  </pic:nvPicPr>
                  <pic:blipFill>
                    <a:blip r:embed="rId261" cstate="print"/>
                    <a:stretch>
                      <a:fillRect/>
                    </a:stretch>
                  </pic:blipFill>
                  <pic:spPr>
                    <a:xfrm>
                      <a:off x="0" y="0"/>
                      <a:ext cx="1063929" cy="302976"/>
                    </a:xfrm>
                    <a:prstGeom prst="rect">
                      <a:avLst/>
                    </a:prstGeom>
                  </pic:spPr>
                </pic:pic>
              </a:graphicData>
            </a:graphic>
          </wp:anchor>
        </w:drawing>
      </w:r>
      <w:r>
        <w:rPr>
          <w:sz w:val="54"/>
        </w:rPr>
        <w:drawing>
          <wp:anchor distT="0" distB="0" distL="0" distR="0" allowOverlap="1" layoutInCell="1" locked="0" behindDoc="0" simplePos="0" relativeHeight="16003584">
            <wp:simplePos x="0" y="0"/>
            <wp:positionH relativeFrom="page">
              <wp:posOffset>11099800</wp:posOffset>
            </wp:positionH>
            <wp:positionV relativeFrom="paragraph">
              <wp:posOffset>279907</wp:posOffset>
            </wp:positionV>
            <wp:extent cx="330199" cy="393699"/>
            <wp:effectExtent l="0" t="0" r="0" b="0"/>
            <wp:wrapNone/>
            <wp:docPr id="1962" name="Image 1962"/>
            <wp:cNvGraphicFramePr>
              <a:graphicFrameLocks/>
            </wp:cNvGraphicFramePr>
            <a:graphic>
              <a:graphicData uri="http://schemas.openxmlformats.org/drawingml/2006/picture">
                <pic:pic>
                  <pic:nvPicPr>
                    <pic:cNvPr id="1962" name="Image 1962"/>
                    <pic:cNvPicPr/>
                  </pic:nvPicPr>
                  <pic:blipFill>
                    <a:blip r:embed="rId262" cstate="print"/>
                    <a:stretch>
                      <a:fillRect/>
                    </a:stretch>
                  </pic:blipFill>
                  <pic:spPr>
                    <a:xfrm>
                      <a:off x="0" y="0"/>
                      <a:ext cx="330199" cy="393699"/>
                    </a:xfrm>
                    <a:prstGeom prst="rect">
                      <a:avLst/>
                    </a:prstGeom>
                  </pic:spPr>
                </pic:pic>
              </a:graphicData>
            </a:graphic>
          </wp:anchor>
        </w:drawing>
      </w:r>
      <w:r>
        <w:rPr>
          <w:sz w:val="54"/>
        </w:rPr>
        <w:drawing>
          <wp:anchor distT="0" distB="0" distL="0" distR="0" allowOverlap="1" layoutInCell="1" locked="0" behindDoc="0" simplePos="0" relativeHeight="16004096">
            <wp:simplePos x="0" y="0"/>
            <wp:positionH relativeFrom="page">
              <wp:posOffset>9610343</wp:posOffset>
            </wp:positionH>
            <wp:positionV relativeFrom="paragraph">
              <wp:posOffset>374444</wp:posOffset>
            </wp:positionV>
            <wp:extent cx="1279782" cy="224523"/>
            <wp:effectExtent l="0" t="0" r="0" b="0"/>
            <wp:wrapNone/>
            <wp:docPr id="1963" name="Image 1963"/>
            <wp:cNvGraphicFramePr>
              <a:graphicFrameLocks/>
            </wp:cNvGraphicFramePr>
            <a:graphic>
              <a:graphicData uri="http://schemas.openxmlformats.org/drawingml/2006/picture">
                <pic:pic>
                  <pic:nvPicPr>
                    <pic:cNvPr id="1963" name="Image 1963"/>
                    <pic:cNvPicPr/>
                  </pic:nvPicPr>
                  <pic:blipFill>
                    <a:blip r:embed="rId263" cstate="print"/>
                    <a:stretch>
                      <a:fillRect/>
                    </a:stretch>
                  </pic:blipFill>
                  <pic:spPr>
                    <a:xfrm>
                      <a:off x="0" y="0"/>
                      <a:ext cx="1279782" cy="224523"/>
                    </a:xfrm>
                    <a:prstGeom prst="rect">
                      <a:avLst/>
                    </a:prstGeom>
                  </pic:spPr>
                </pic:pic>
              </a:graphicData>
            </a:graphic>
          </wp:anchor>
        </w:drawing>
      </w:r>
      <w:r>
        <w:rPr>
          <w:color w:val="636466"/>
          <w:sz w:val="54"/>
        </w:rPr>
        <w:t>Steuben</w:t>
      </w:r>
      <w:r>
        <w:rPr>
          <w:color w:val="636466"/>
          <w:spacing w:val="54"/>
          <w:sz w:val="54"/>
        </w:rPr>
        <w:t> </w:t>
      </w:r>
      <w:r>
        <w:rPr>
          <w:color w:val="636466"/>
          <w:sz w:val="54"/>
        </w:rPr>
        <w:t>County</w:t>
      </w:r>
      <w:r>
        <w:rPr>
          <w:color w:val="636466"/>
          <w:spacing w:val="55"/>
          <w:sz w:val="54"/>
        </w:rPr>
        <w:t> </w:t>
      </w:r>
      <w:r>
        <w:rPr>
          <w:color w:val="636466"/>
          <w:sz w:val="54"/>
        </w:rPr>
        <w:t>Appendix</w:t>
      </w:r>
      <w:r>
        <w:rPr>
          <w:color w:val="636466"/>
          <w:spacing w:val="54"/>
          <w:sz w:val="54"/>
        </w:rPr>
        <w:t> </w:t>
      </w:r>
      <w:r>
        <w:rPr>
          <w:color w:val="636466"/>
          <w:spacing w:val="-10"/>
          <w:sz w:val="54"/>
        </w:rPr>
        <w:t>F</w:t>
      </w:r>
    </w:p>
    <w:p>
      <w:pPr>
        <w:spacing w:before="236"/>
        <w:ind w:left="1089" w:right="0" w:firstLine="0"/>
        <w:jc w:val="left"/>
        <w:rPr>
          <w:b/>
          <w:sz w:val="32"/>
        </w:rPr>
      </w:pPr>
      <w:r>
        <w:rPr>
          <w:b/>
          <w:color w:val="82BF6A"/>
          <w:spacing w:val="-6"/>
          <w:sz w:val="32"/>
        </w:rPr>
        <w:t>PRIORITY:</w:t>
      </w:r>
      <w:r>
        <w:rPr>
          <w:b/>
          <w:color w:val="82BF6A"/>
          <w:spacing w:val="-13"/>
          <w:sz w:val="32"/>
        </w:rPr>
        <w:t> </w:t>
      </w:r>
      <w:r>
        <w:rPr>
          <w:b/>
          <w:color w:val="82BF6A"/>
          <w:spacing w:val="-6"/>
          <w:sz w:val="32"/>
        </w:rPr>
        <w:t>PREVENT</w:t>
      </w:r>
      <w:r>
        <w:rPr>
          <w:b/>
          <w:color w:val="82BF6A"/>
          <w:spacing w:val="-13"/>
          <w:sz w:val="32"/>
        </w:rPr>
        <w:t> </w:t>
      </w:r>
      <w:r>
        <w:rPr>
          <w:b/>
          <w:color w:val="82BF6A"/>
          <w:spacing w:val="-6"/>
          <w:sz w:val="32"/>
        </w:rPr>
        <w:t>CHRONIC</w:t>
      </w:r>
      <w:r>
        <w:rPr>
          <w:b/>
          <w:color w:val="82BF6A"/>
          <w:spacing w:val="-13"/>
          <w:sz w:val="32"/>
        </w:rPr>
        <w:t> </w:t>
      </w:r>
      <w:r>
        <w:rPr>
          <w:b/>
          <w:color w:val="82BF6A"/>
          <w:spacing w:val="-6"/>
          <w:sz w:val="32"/>
        </w:rPr>
        <w:t>DISEASES</w:t>
      </w:r>
    </w:p>
    <w:p>
      <w:pPr>
        <w:pStyle w:val="BodyText"/>
        <w:spacing w:before="162"/>
        <w:rPr>
          <w:b/>
          <w:sz w:val="20"/>
        </w:rPr>
      </w:pPr>
    </w:p>
    <w:tbl>
      <w:tblPr>
        <w:tblW w:w="0" w:type="auto"/>
        <w:jc w:val="left"/>
        <w:tblInd w:w="1099"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1180"/>
        <w:gridCol w:w="1353"/>
        <w:gridCol w:w="1209"/>
        <w:gridCol w:w="1605"/>
        <w:gridCol w:w="1763"/>
        <w:gridCol w:w="4031"/>
        <w:gridCol w:w="2620"/>
        <w:gridCol w:w="1900"/>
        <w:gridCol w:w="1554"/>
        <w:gridCol w:w="1525"/>
        <w:gridCol w:w="1525"/>
        <w:gridCol w:w="1981"/>
      </w:tblGrid>
      <w:tr>
        <w:trPr>
          <w:trHeight w:val="930" w:hRule="atLeast"/>
        </w:trPr>
        <w:tc>
          <w:tcPr>
            <w:tcW w:w="1180" w:type="dxa"/>
            <w:tcBorders>
              <w:right w:val="single" w:sz="4" w:space="0" w:color="FFFFFF"/>
            </w:tcBorders>
            <w:shd w:val="clear" w:color="auto" w:fill="A7A9AC"/>
          </w:tcPr>
          <w:p>
            <w:pPr>
              <w:pStyle w:val="TableParagraph"/>
              <w:spacing w:before="179"/>
              <w:rPr>
                <w:b/>
                <w:sz w:val="18"/>
              </w:rPr>
            </w:pPr>
          </w:p>
          <w:p>
            <w:pPr>
              <w:pStyle w:val="TableParagraph"/>
              <w:ind w:left="80"/>
              <w:rPr>
                <w:b/>
                <w:sz w:val="18"/>
              </w:rPr>
            </w:pPr>
            <w:r>
              <w:rPr>
                <w:b/>
                <w:color w:val="FFFFFF"/>
                <w:spacing w:val="-2"/>
                <w:sz w:val="18"/>
              </w:rPr>
              <w:t>Priority</w:t>
            </w:r>
          </w:p>
        </w:tc>
        <w:tc>
          <w:tcPr>
            <w:tcW w:w="1353" w:type="dxa"/>
            <w:tcBorders>
              <w:left w:val="single" w:sz="4" w:space="0" w:color="FFFFFF"/>
              <w:right w:val="single" w:sz="4" w:space="0" w:color="FFFFFF"/>
            </w:tcBorders>
            <w:shd w:val="clear" w:color="auto" w:fill="A7A9AC"/>
          </w:tcPr>
          <w:p>
            <w:pPr>
              <w:pStyle w:val="TableParagraph"/>
              <w:spacing w:before="179"/>
              <w:rPr>
                <w:b/>
                <w:sz w:val="18"/>
              </w:rPr>
            </w:pPr>
          </w:p>
          <w:p>
            <w:pPr>
              <w:pStyle w:val="TableParagraph"/>
              <w:ind w:left="80"/>
              <w:rPr>
                <w:b/>
                <w:sz w:val="18"/>
              </w:rPr>
            </w:pPr>
            <w:r>
              <w:rPr>
                <w:b/>
                <w:color w:val="FFFFFF"/>
                <w:w w:val="90"/>
                <w:sz w:val="18"/>
              </w:rPr>
              <w:t>Focus</w:t>
            </w:r>
            <w:r>
              <w:rPr>
                <w:b/>
                <w:color w:val="FFFFFF"/>
                <w:spacing w:val="8"/>
                <w:sz w:val="18"/>
              </w:rPr>
              <w:t> </w:t>
            </w:r>
            <w:r>
              <w:rPr>
                <w:b/>
                <w:color w:val="FFFFFF"/>
                <w:spacing w:val="-4"/>
                <w:sz w:val="18"/>
              </w:rPr>
              <w:t>Area</w:t>
            </w:r>
          </w:p>
        </w:tc>
        <w:tc>
          <w:tcPr>
            <w:tcW w:w="1209" w:type="dxa"/>
            <w:tcBorders>
              <w:left w:val="single" w:sz="4" w:space="0" w:color="FFFFFF"/>
              <w:right w:val="single" w:sz="4" w:space="0" w:color="FFFFFF"/>
            </w:tcBorders>
            <w:shd w:val="clear" w:color="auto" w:fill="A7A9AC"/>
          </w:tcPr>
          <w:p>
            <w:pPr>
              <w:pStyle w:val="TableParagraph"/>
              <w:spacing w:before="84"/>
              <w:rPr>
                <w:b/>
                <w:sz w:val="18"/>
              </w:rPr>
            </w:pPr>
          </w:p>
          <w:p>
            <w:pPr>
              <w:pStyle w:val="TableParagraph"/>
              <w:spacing w:line="232" w:lineRule="auto"/>
              <w:ind w:left="81" w:right="178"/>
              <w:rPr>
                <w:b/>
                <w:sz w:val="18"/>
              </w:rPr>
            </w:pPr>
            <w:r>
              <w:rPr>
                <w:b/>
                <w:color w:val="FFFFFF"/>
                <w:spacing w:val="-6"/>
                <w:sz w:val="18"/>
              </w:rPr>
              <w:t>Goal</w:t>
            </w:r>
            <w:r>
              <w:rPr>
                <w:b/>
                <w:color w:val="FFFFFF"/>
                <w:spacing w:val="-7"/>
                <w:sz w:val="18"/>
              </w:rPr>
              <w:t> </w:t>
            </w:r>
            <w:r>
              <w:rPr>
                <w:b/>
                <w:color w:val="FFFFFF"/>
                <w:spacing w:val="-6"/>
                <w:sz w:val="18"/>
              </w:rPr>
              <w:t>Focus </w:t>
            </w:r>
            <w:r>
              <w:rPr>
                <w:b/>
                <w:color w:val="FFFFFF"/>
                <w:spacing w:val="-4"/>
                <w:sz w:val="18"/>
              </w:rPr>
              <w:t>Area</w:t>
            </w:r>
          </w:p>
        </w:tc>
        <w:tc>
          <w:tcPr>
            <w:tcW w:w="1605" w:type="dxa"/>
            <w:tcBorders>
              <w:left w:val="single" w:sz="4" w:space="0" w:color="FFFFFF"/>
              <w:right w:val="single" w:sz="4" w:space="0" w:color="FFFFFF"/>
            </w:tcBorders>
            <w:shd w:val="clear" w:color="auto" w:fill="A7A9AC"/>
          </w:tcPr>
          <w:p>
            <w:pPr>
              <w:pStyle w:val="TableParagraph"/>
              <w:spacing w:before="179"/>
              <w:rPr>
                <w:b/>
                <w:sz w:val="18"/>
              </w:rPr>
            </w:pPr>
          </w:p>
          <w:p>
            <w:pPr>
              <w:pStyle w:val="TableParagraph"/>
              <w:ind w:left="81"/>
              <w:rPr>
                <w:b/>
                <w:sz w:val="18"/>
              </w:rPr>
            </w:pPr>
            <w:r>
              <w:rPr>
                <w:b/>
                <w:color w:val="FFFFFF"/>
                <w:spacing w:val="-2"/>
                <w:sz w:val="18"/>
              </w:rPr>
              <w:t>Objectives</w:t>
            </w:r>
          </w:p>
        </w:tc>
        <w:tc>
          <w:tcPr>
            <w:tcW w:w="1763" w:type="dxa"/>
            <w:tcBorders>
              <w:left w:val="single" w:sz="4" w:space="0" w:color="FFFFFF"/>
              <w:right w:val="single" w:sz="4" w:space="0" w:color="FFFFFF"/>
            </w:tcBorders>
            <w:shd w:val="clear" w:color="auto" w:fill="A7A9AC"/>
          </w:tcPr>
          <w:p>
            <w:pPr>
              <w:pStyle w:val="TableParagraph"/>
              <w:spacing w:before="179"/>
              <w:rPr>
                <w:b/>
                <w:sz w:val="18"/>
              </w:rPr>
            </w:pPr>
          </w:p>
          <w:p>
            <w:pPr>
              <w:pStyle w:val="TableParagraph"/>
              <w:ind w:left="82"/>
              <w:rPr>
                <w:b/>
                <w:sz w:val="18"/>
              </w:rPr>
            </w:pPr>
            <w:r>
              <w:rPr>
                <w:b/>
                <w:color w:val="FFFFFF"/>
                <w:spacing w:val="-2"/>
                <w:sz w:val="18"/>
              </w:rPr>
              <w:t>Disparities</w:t>
            </w:r>
          </w:p>
        </w:tc>
        <w:tc>
          <w:tcPr>
            <w:tcW w:w="6651" w:type="dxa"/>
            <w:gridSpan w:val="2"/>
            <w:tcBorders>
              <w:left w:val="single" w:sz="4" w:space="0" w:color="FFFFFF"/>
              <w:right w:val="single" w:sz="4" w:space="0" w:color="FFFFFF"/>
            </w:tcBorders>
            <w:shd w:val="clear" w:color="auto" w:fill="A7A9AC"/>
          </w:tcPr>
          <w:p>
            <w:pPr>
              <w:pStyle w:val="TableParagraph"/>
              <w:spacing w:before="79"/>
              <w:rPr>
                <w:b/>
                <w:sz w:val="18"/>
              </w:rPr>
            </w:pPr>
          </w:p>
          <w:p>
            <w:pPr>
              <w:pStyle w:val="TableParagraph"/>
              <w:tabs>
                <w:tab w:pos="5115" w:val="left" w:leader="none"/>
              </w:tabs>
              <w:spacing w:line="253" w:lineRule="exact"/>
              <w:ind w:left="83"/>
              <w:rPr>
                <w:b/>
                <w:position w:val="10"/>
                <w:sz w:val="18"/>
              </w:rPr>
            </w:pPr>
            <w:r>
              <w:rPr>
                <w:b/>
                <w:color w:val="FFFFFF"/>
                <w:spacing w:val="-2"/>
                <w:sz w:val="18"/>
              </w:rPr>
              <w:t>Interventions</w:t>
            </w:r>
            <w:r>
              <w:rPr>
                <w:b/>
                <w:color w:val="FFFFFF"/>
                <w:sz w:val="18"/>
              </w:rPr>
              <w:tab/>
            </w:r>
            <w:r>
              <w:rPr>
                <w:b/>
                <w:color w:val="FFFFFF"/>
                <w:spacing w:val="-4"/>
                <w:position w:val="10"/>
                <w:sz w:val="18"/>
              </w:rPr>
              <w:t>Family</w:t>
            </w:r>
            <w:r>
              <w:rPr>
                <w:b/>
                <w:color w:val="FFFFFF"/>
                <w:spacing w:val="-2"/>
                <w:position w:val="10"/>
                <w:sz w:val="18"/>
              </w:rPr>
              <w:t> </w:t>
            </w:r>
            <w:r>
              <w:rPr>
                <w:b/>
                <w:color w:val="FFFFFF"/>
                <w:spacing w:val="-5"/>
                <w:position w:val="10"/>
                <w:sz w:val="18"/>
              </w:rPr>
              <w:t>of</w:t>
            </w:r>
          </w:p>
          <w:p>
            <w:pPr>
              <w:pStyle w:val="TableParagraph"/>
              <w:spacing w:line="153" w:lineRule="exact"/>
              <w:ind w:right="723"/>
              <w:jc w:val="right"/>
              <w:rPr>
                <w:b/>
                <w:sz w:val="18"/>
              </w:rPr>
            </w:pPr>
            <w:r>
              <w:rPr>
                <w:b/>
                <w:color w:val="FFFFFF"/>
                <w:spacing w:val="-2"/>
                <w:sz w:val="18"/>
              </w:rPr>
              <w:t>Measures</w:t>
            </w:r>
          </w:p>
        </w:tc>
        <w:tc>
          <w:tcPr>
            <w:tcW w:w="1900" w:type="dxa"/>
            <w:tcBorders>
              <w:left w:val="single" w:sz="4" w:space="0" w:color="FFFFFF"/>
              <w:right w:val="single" w:sz="4" w:space="0" w:color="FFFFFF"/>
            </w:tcBorders>
            <w:shd w:val="clear" w:color="auto" w:fill="A7A9AC"/>
          </w:tcPr>
          <w:p>
            <w:pPr>
              <w:pStyle w:val="TableParagraph"/>
              <w:spacing w:line="232" w:lineRule="auto" w:before="191"/>
              <w:ind w:left="95"/>
              <w:rPr>
                <w:b/>
                <w:sz w:val="18"/>
              </w:rPr>
            </w:pPr>
            <w:r>
              <w:rPr>
                <w:b/>
                <w:color w:val="FFFFFF"/>
                <w:spacing w:val="-2"/>
                <w:sz w:val="18"/>
              </w:rPr>
              <w:t>Projected</w:t>
            </w:r>
            <w:r>
              <w:rPr>
                <w:b/>
                <w:color w:val="FFFFFF"/>
                <w:spacing w:val="-11"/>
                <w:sz w:val="18"/>
              </w:rPr>
              <w:t> </w:t>
            </w:r>
            <w:r>
              <w:rPr>
                <w:b/>
                <w:color w:val="FFFFFF"/>
                <w:spacing w:val="-2"/>
                <w:sz w:val="18"/>
              </w:rPr>
              <w:t>(or completed)</w:t>
            </w:r>
          </w:p>
          <w:p>
            <w:pPr>
              <w:pStyle w:val="TableParagraph"/>
              <w:spacing w:line="200" w:lineRule="exact"/>
              <w:ind w:left="95"/>
              <w:rPr>
                <w:b/>
                <w:sz w:val="18"/>
              </w:rPr>
            </w:pPr>
            <w:r>
              <w:rPr>
                <w:b/>
                <w:color w:val="FFFFFF"/>
                <w:sz w:val="18"/>
              </w:rPr>
              <w:t>Year</w:t>
            </w:r>
            <w:r>
              <w:rPr>
                <w:b/>
                <w:color w:val="FFFFFF"/>
                <w:spacing w:val="-8"/>
                <w:sz w:val="18"/>
              </w:rPr>
              <w:t> </w:t>
            </w:r>
            <w:r>
              <w:rPr>
                <w:b/>
                <w:color w:val="FFFFFF"/>
                <w:sz w:val="18"/>
              </w:rPr>
              <w:t>1</w:t>
            </w:r>
            <w:r>
              <w:rPr>
                <w:b/>
                <w:color w:val="FFFFFF"/>
                <w:spacing w:val="-7"/>
                <w:sz w:val="18"/>
              </w:rPr>
              <w:t> </w:t>
            </w:r>
            <w:r>
              <w:rPr>
                <w:b/>
                <w:color w:val="FFFFFF"/>
                <w:spacing w:val="-2"/>
                <w:sz w:val="18"/>
              </w:rPr>
              <w:t>Intervention</w:t>
            </w:r>
          </w:p>
        </w:tc>
        <w:tc>
          <w:tcPr>
            <w:tcW w:w="1554" w:type="dxa"/>
            <w:tcBorders>
              <w:left w:val="single" w:sz="4" w:space="0" w:color="FFFFFF"/>
              <w:right w:val="single" w:sz="4" w:space="0" w:color="FFFFFF"/>
            </w:tcBorders>
            <w:shd w:val="clear" w:color="auto" w:fill="A7A9AC"/>
          </w:tcPr>
          <w:p>
            <w:pPr>
              <w:pStyle w:val="TableParagraph"/>
              <w:spacing w:before="178"/>
              <w:rPr>
                <w:b/>
                <w:sz w:val="18"/>
              </w:rPr>
            </w:pPr>
          </w:p>
          <w:p>
            <w:pPr>
              <w:pStyle w:val="TableParagraph"/>
              <w:spacing w:before="1"/>
              <w:ind w:left="85"/>
              <w:rPr>
                <w:b/>
                <w:sz w:val="18"/>
              </w:rPr>
            </w:pPr>
            <w:r>
              <w:rPr>
                <w:b/>
                <w:color w:val="FFFFFF"/>
                <w:spacing w:val="-2"/>
                <w:sz w:val="18"/>
              </w:rPr>
              <w:t>Projected</w:t>
            </w:r>
            <w:r>
              <w:rPr>
                <w:b/>
                <w:color w:val="FFFFFF"/>
                <w:spacing w:val="-6"/>
                <w:sz w:val="18"/>
              </w:rPr>
              <w:t> </w:t>
            </w:r>
            <w:r>
              <w:rPr>
                <w:b/>
                <w:color w:val="FFFFFF"/>
                <w:spacing w:val="-2"/>
                <w:sz w:val="18"/>
              </w:rPr>
              <w:t>Year</w:t>
            </w:r>
            <w:r>
              <w:rPr>
                <w:b/>
                <w:color w:val="FFFFFF"/>
                <w:spacing w:val="-5"/>
                <w:sz w:val="18"/>
              </w:rPr>
              <w:t> </w:t>
            </w:r>
            <w:r>
              <w:rPr>
                <w:b/>
                <w:color w:val="FFFFFF"/>
                <w:spacing w:val="-12"/>
                <w:sz w:val="18"/>
              </w:rPr>
              <w:t>2</w:t>
            </w:r>
          </w:p>
        </w:tc>
        <w:tc>
          <w:tcPr>
            <w:tcW w:w="1525" w:type="dxa"/>
            <w:tcBorders>
              <w:left w:val="single" w:sz="4" w:space="0" w:color="FFFFFF"/>
              <w:right w:val="single" w:sz="4" w:space="0" w:color="FFFFFF"/>
            </w:tcBorders>
            <w:shd w:val="clear" w:color="auto" w:fill="A7A9AC"/>
          </w:tcPr>
          <w:p>
            <w:pPr>
              <w:pStyle w:val="TableParagraph"/>
              <w:spacing w:before="83"/>
              <w:rPr>
                <w:b/>
                <w:sz w:val="18"/>
              </w:rPr>
            </w:pPr>
          </w:p>
          <w:p>
            <w:pPr>
              <w:pStyle w:val="TableParagraph"/>
              <w:spacing w:line="232" w:lineRule="auto" w:before="1"/>
              <w:ind w:left="87" w:right="128"/>
              <w:rPr>
                <w:b/>
                <w:sz w:val="18"/>
              </w:rPr>
            </w:pPr>
            <w:r>
              <w:rPr>
                <w:b/>
                <w:color w:val="FFFFFF"/>
                <w:sz w:val="18"/>
              </w:rPr>
              <w:t>Projected</w:t>
            </w:r>
            <w:r>
              <w:rPr>
                <w:b/>
                <w:color w:val="FFFFFF"/>
                <w:spacing w:val="-13"/>
                <w:sz w:val="18"/>
              </w:rPr>
              <w:t> </w:t>
            </w:r>
            <w:r>
              <w:rPr>
                <w:b/>
                <w:color w:val="FFFFFF"/>
                <w:sz w:val="18"/>
              </w:rPr>
              <w:t>Year 3</w:t>
            </w:r>
            <w:r>
              <w:rPr>
                <w:b/>
                <w:color w:val="FFFFFF"/>
                <w:spacing w:val="9"/>
                <w:sz w:val="18"/>
              </w:rPr>
              <w:t> </w:t>
            </w:r>
            <w:r>
              <w:rPr>
                <w:b/>
                <w:color w:val="FFFFFF"/>
                <w:spacing w:val="-4"/>
                <w:sz w:val="18"/>
              </w:rPr>
              <w:t>Interventions</w:t>
            </w:r>
          </w:p>
        </w:tc>
        <w:tc>
          <w:tcPr>
            <w:tcW w:w="1525" w:type="dxa"/>
            <w:tcBorders>
              <w:left w:val="single" w:sz="4" w:space="0" w:color="FFFFFF"/>
            </w:tcBorders>
            <w:shd w:val="clear" w:color="auto" w:fill="A7A9AC"/>
          </w:tcPr>
          <w:p>
            <w:pPr>
              <w:pStyle w:val="TableParagraph"/>
              <w:spacing w:before="83"/>
              <w:rPr>
                <w:b/>
                <w:sz w:val="18"/>
              </w:rPr>
            </w:pPr>
          </w:p>
          <w:p>
            <w:pPr>
              <w:pStyle w:val="TableParagraph"/>
              <w:spacing w:line="232" w:lineRule="auto" w:before="1"/>
              <w:ind w:left="88"/>
              <w:rPr>
                <w:b/>
                <w:sz w:val="18"/>
              </w:rPr>
            </w:pPr>
            <w:r>
              <w:rPr>
                <w:b/>
                <w:color w:val="FFFFFF"/>
                <w:spacing w:val="-2"/>
                <w:sz w:val="18"/>
              </w:rPr>
              <w:t>Implementation Partner</w:t>
            </w:r>
          </w:p>
        </w:tc>
        <w:tc>
          <w:tcPr>
            <w:tcW w:w="1981" w:type="dxa"/>
            <w:shd w:val="clear" w:color="auto" w:fill="A7A9AC"/>
          </w:tcPr>
          <w:p>
            <w:pPr>
              <w:pStyle w:val="TableParagraph"/>
              <w:spacing w:before="83"/>
              <w:rPr>
                <w:b/>
                <w:sz w:val="18"/>
              </w:rPr>
            </w:pPr>
          </w:p>
          <w:p>
            <w:pPr>
              <w:pStyle w:val="TableParagraph"/>
              <w:spacing w:line="232" w:lineRule="auto" w:before="1"/>
              <w:ind w:left="89" w:right="149"/>
              <w:rPr>
                <w:b/>
                <w:sz w:val="18"/>
              </w:rPr>
            </w:pPr>
            <w:r>
              <w:rPr>
                <w:b/>
                <w:color w:val="FFFFFF"/>
                <w:spacing w:val="-4"/>
                <w:sz w:val="18"/>
              </w:rPr>
              <w:t>Partner</w:t>
            </w:r>
            <w:r>
              <w:rPr>
                <w:b/>
                <w:color w:val="FFFFFF"/>
                <w:spacing w:val="-11"/>
                <w:sz w:val="18"/>
              </w:rPr>
              <w:t> </w:t>
            </w:r>
            <w:r>
              <w:rPr>
                <w:b/>
                <w:color w:val="FFFFFF"/>
                <w:spacing w:val="-4"/>
                <w:sz w:val="18"/>
              </w:rPr>
              <w:t>Role(s)</w:t>
            </w:r>
            <w:r>
              <w:rPr>
                <w:b/>
                <w:color w:val="FFFFFF"/>
                <w:spacing w:val="-8"/>
                <w:sz w:val="18"/>
              </w:rPr>
              <w:t> </w:t>
            </w:r>
            <w:r>
              <w:rPr>
                <w:b/>
                <w:color w:val="FFFFFF"/>
                <w:spacing w:val="-4"/>
                <w:sz w:val="18"/>
              </w:rPr>
              <w:t>and </w:t>
            </w:r>
            <w:r>
              <w:rPr>
                <w:b/>
                <w:color w:val="FFFFFF"/>
                <w:spacing w:val="-2"/>
                <w:sz w:val="18"/>
              </w:rPr>
              <w:t>Resources</w:t>
            </w:r>
          </w:p>
        </w:tc>
      </w:tr>
      <w:tr>
        <w:trPr>
          <w:trHeight w:val="3419" w:hRule="atLeast"/>
        </w:trPr>
        <w:tc>
          <w:tcPr>
            <w:tcW w:w="1180" w:type="dxa"/>
            <w:vMerge w:val="restart"/>
            <w:shd w:val="clear" w:color="auto" w:fill="E6E7E8"/>
          </w:tcPr>
          <w:p>
            <w:pPr>
              <w:pStyle w:val="TableParagraph"/>
              <w:spacing w:line="232" w:lineRule="auto" w:before="101"/>
              <w:ind w:left="89" w:right="363"/>
              <w:jc w:val="both"/>
              <w:rPr>
                <w:sz w:val="18"/>
              </w:rPr>
            </w:pPr>
            <w:r>
              <w:rPr>
                <w:color w:val="105C84"/>
                <w:spacing w:val="-2"/>
                <w:sz w:val="18"/>
              </w:rPr>
              <w:t>Prevent Chronic </w:t>
            </w:r>
            <w:r>
              <w:rPr>
                <w:color w:val="105C84"/>
                <w:spacing w:val="-6"/>
                <w:sz w:val="18"/>
              </w:rPr>
              <w:t>Diseases</w:t>
            </w:r>
          </w:p>
        </w:tc>
        <w:tc>
          <w:tcPr>
            <w:tcW w:w="1353" w:type="dxa"/>
            <w:vMerge w:val="restart"/>
          </w:tcPr>
          <w:p>
            <w:pPr>
              <w:pStyle w:val="TableParagraph"/>
              <w:spacing w:line="232" w:lineRule="auto" w:before="101"/>
              <w:ind w:left="90"/>
              <w:rPr>
                <w:sz w:val="18"/>
              </w:rPr>
            </w:pPr>
            <w:r>
              <w:rPr>
                <w:color w:val="105C84"/>
                <w:spacing w:val="-4"/>
                <w:sz w:val="18"/>
              </w:rPr>
              <w:t>Focus</w:t>
            </w:r>
            <w:r>
              <w:rPr>
                <w:color w:val="105C84"/>
                <w:spacing w:val="-11"/>
                <w:sz w:val="18"/>
              </w:rPr>
              <w:t> </w:t>
            </w:r>
            <w:r>
              <w:rPr>
                <w:color w:val="105C84"/>
                <w:spacing w:val="-4"/>
                <w:sz w:val="18"/>
              </w:rPr>
              <w:t>Area</w:t>
            </w:r>
            <w:r>
              <w:rPr>
                <w:color w:val="105C84"/>
                <w:spacing w:val="-8"/>
                <w:sz w:val="18"/>
              </w:rPr>
              <w:t> </w:t>
            </w:r>
            <w:r>
              <w:rPr>
                <w:color w:val="105C84"/>
                <w:spacing w:val="-4"/>
                <w:sz w:val="18"/>
              </w:rPr>
              <w:t>3: </w:t>
            </w:r>
            <w:r>
              <w:rPr>
                <w:color w:val="105C84"/>
                <w:spacing w:val="-2"/>
                <w:sz w:val="18"/>
              </w:rPr>
              <w:t>Tobacco Prevention</w:t>
            </w:r>
          </w:p>
        </w:tc>
        <w:tc>
          <w:tcPr>
            <w:tcW w:w="1209" w:type="dxa"/>
            <w:vMerge w:val="restart"/>
          </w:tcPr>
          <w:p>
            <w:pPr>
              <w:pStyle w:val="TableParagraph"/>
              <w:spacing w:line="232" w:lineRule="auto" w:before="101"/>
              <w:ind w:left="90" w:right="131"/>
              <w:rPr>
                <w:sz w:val="18"/>
              </w:rPr>
            </w:pPr>
            <w:r>
              <w:rPr>
                <w:color w:val="105C84"/>
                <w:sz w:val="18"/>
              </w:rPr>
              <w:t>Goal 3.2: </w:t>
            </w:r>
            <w:r>
              <w:rPr>
                <w:color w:val="105C84"/>
                <w:spacing w:val="-2"/>
                <w:sz w:val="18"/>
              </w:rPr>
              <w:t>Promote </w:t>
            </w:r>
            <w:r>
              <w:rPr>
                <w:color w:val="105C84"/>
                <w:sz w:val="18"/>
              </w:rPr>
              <w:t>tobacco</w:t>
            </w:r>
            <w:r>
              <w:rPr>
                <w:color w:val="105C84"/>
                <w:spacing w:val="-13"/>
                <w:sz w:val="18"/>
              </w:rPr>
              <w:t> </w:t>
            </w:r>
            <w:r>
              <w:rPr>
                <w:color w:val="105C84"/>
                <w:sz w:val="18"/>
              </w:rPr>
              <w:t>use </w:t>
            </w:r>
            <w:r>
              <w:rPr>
                <w:color w:val="105C84"/>
                <w:spacing w:val="-2"/>
                <w:sz w:val="18"/>
              </w:rPr>
              <w:t>cessation</w:t>
            </w:r>
          </w:p>
        </w:tc>
        <w:tc>
          <w:tcPr>
            <w:tcW w:w="1605" w:type="dxa"/>
            <w:vMerge w:val="restart"/>
          </w:tcPr>
          <w:p>
            <w:pPr>
              <w:pStyle w:val="TableParagraph"/>
              <w:spacing w:line="232" w:lineRule="auto" w:before="101"/>
              <w:ind w:left="91" w:right="277"/>
              <w:rPr>
                <w:sz w:val="18"/>
              </w:rPr>
            </w:pPr>
            <w:r>
              <w:rPr>
                <w:color w:val="105C84"/>
                <w:sz w:val="18"/>
              </w:rPr>
              <w:t>3.2.1:</w:t>
            </w:r>
            <w:r>
              <w:rPr>
                <w:color w:val="105C84"/>
                <w:spacing w:val="-4"/>
                <w:sz w:val="18"/>
              </w:rPr>
              <w:t> </w:t>
            </w:r>
            <w:r>
              <w:rPr>
                <w:color w:val="105C84"/>
                <w:sz w:val="18"/>
              </w:rPr>
              <w:t>Increase the</w:t>
            </w:r>
            <w:r>
              <w:rPr>
                <w:color w:val="105C84"/>
                <w:spacing w:val="-13"/>
                <w:sz w:val="18"/>
              </w:rPr>
              <w:t> </w:t>
            </w:r>
            <w:r>
              <w:rPr>
                <w:color w:val="105C84"/>
                <w:sz w:val="18"/>
              </w:rPr>
              <w:t>percentage</w:t>
            </w:r>
            <w:r>
              <w:rPr>
                <w:color w:val="105C84"/>
                <w:sz w:val="18"/>
              </w:rPr>
              <w:t> of smokers</w:t>
            </w:r>
            <w:r>
              <w:rPr>
                <w:color w:val="105C84"/>
                <w:spacing w:val="40"/>
                <w:sz w:val="18"/>
              </w:rPr>
              <w:t> </w:t>
            </w:r>
            <w:r>
              <w:rPr>
                <w:color w:val="105C84"/>
                <w:sz w:val="18"/>
              </w:rPr>
              <w:t>who received </w:t>
            </w:r>
            <w:r>
              <w:rPr>
                <w:color w:val="105C84"/>
                <w:spacing w:val="-4"/>
                <w:sz w:val="18"/>
              </w:rPr>
              <w:t>assistance</w:t>
            </w:r>
            <w:r>
              <w:rPr>
                <w:color w:val="105C84"/>
                <w:spacing w:val="-9"/>
                <w:sz w:val="18"/>
              </w:rPr>
              <w:t> </w:t>
            </w:r>
            <w:r>
              <w:rPr>
                <w:color w:val="105C84"/>
                <w:spacing w:val="-4"/>
                <w:sz w:val="18"/>
              </w:rPr>
              <w:t>fro</w:t>
            </w:r>
            <w:r>
              <w:rPr>
                <w:color w:val="105C84"/>
                <w:spacing w:val="-4"/>
                <w:sz w:val="18"/>
              </w:rPr>
              <w:t>m</w:t>
            </w:r>
          </w:p>
          <w:p>
            <w:pPr>
              <w:pStyle w:val="TableParagraph"/>
              <w:spacing w:line="232" w:lineRule="auto"/>
              <w:ind w:left="91" w:right="93"/>
              <w:rPr>
                <w:sz w:val="18"/>
              </w:rPr>
            </w:pPr>
            <w:r>
              <w:rPr>
                <w:color w:val="105C84"/>
                <w:sz w:val="18"/>
              </w:rPr>
              <w:t>their health care provider to quit smoking by</w:t>
            </w:r>
            <w:r>
              <w:rPr>
                <w:color w:val="105C84"/>
                <w:spacing w:val="40"/>
                <w:sz w:val="18"/>
              </w:rPr>
              <w:t> </w:t>
            </w:r>
            <w:r>
              <w:rPr>
                <w:color w:val="105C84"/>
                <w:spacing w:val="-6"/>
                <w:sz w:val="18"/>
              </w:rPr>
              <w:t>13.1%</w:t>
            </w:r>
            <w:r>
              <w:rPr>
                <w:color w:val="105C84"/>
                <w:spacing w:val="-9"/>
                <w:sz w:val="18"/>
              </w:rPr>
              <w:t> </w:t>
            </w:r>
            <w:r>
              <w:rPr>
                <w:color w:val="105C84"/>
                <w:spacing w:val="-6"/>
                <w:sz w:val="18"/>
              </w:rPr>
              <w:t>from </w:t>
            </w:r>
            <w:r>
              <w:rPr>
                <w:color w:val="105C84"/>
                <w:spacing w:val="-6"/>
                <w:sz w:val="18"/>
              </w:rPr>
              <w:t>53.1%</w:t>
            </w:r>
          </w:p>
          <w:p>
            <w:pPr>
              <w:pStyle w:val="TableParagraph"/>
              <w:spacing w:line="199" w:lineRule="exact"/>
              <w:ind w:left="91"/>
              <w:rPr>
                <w:sz w:val="18"/>
              </w:rPr>
            </w:pPr>
            <w:r>
              <w:rPr>
                <w:color w:val="105C84"/>
                <w:spacing w:val="-4"/>
                <w:sz w:val="18"/>
              </w:rPr>
              <w:t>(2017)</w:t>
            </w:r>
            <w:r>
              <w:rPr>
                <w:color w:val="105C84"/>
                <w:spacing w:val="-9"/>
                <w:sz w:val="18"/>
              </w:rPr>
              <w:t> </w:t>
            </w:r>
            <w:r>
              <w:rPr>
                <w:color w:val="105C84"/>
                <w:spacing w:val="-4"/>
                <w:sz w:val="18"/>
              </w:rPr>
              <w:t>to</w:t>
            </w:r>
            <w:r>
              <w:rPr>
                <w:color w:val="105C84"/>
                <w:spacing w:val="-8"/>
                <w:sz w:val="18"/>
              </w:rPr>
              <w:t> </w:t>
            </w:r>
            <w:r>
              <w:rPr>
                <w:color w:val="105C84"/>
                <w:spacing w:val="-4"/>
                <w:sz w:val="18"/>
              </w:rPr>
              <w:t>60.1%</w:t>
            </w:r>
          </w:p>
        </w:tc>
        <w:tc>
          <w:tcPr>
            <w:tcW w:w="1763" w:type="dxa"/>
            <w:vMerge w:val="restart"/>
          </w:tcPr>
          <w:p>
            <w:pPr>
              <w:pStyle w:val="TableParagraph"/>
              <w:spacing w:line="232" w:lineRule="auto" w:before="100"/>
              <w:ind w:left="92" w:right="80"/>
              <w:rPr>
                <w:sz w:val="18"/>
              </w:rPr>
            </w:pPr>
            <w:r>
              <w:rPr>
                <w:color w:val="105C84"/>
                <w:sz w:val="18"/>
              </w:rPr>
              <w:t>Pregnant women; low SES, Mental </w:t>
            </w:r>
            <w:r>
              <w:rPr>
                <w:color w:val="105C84"/>
                <w:spacing w:val="-4"/>
                <w:sz w:val="18"/>
              </w:rPr>
              <w:t>and</w:t>
            </w:r>
            <w:r>
              <w:rPr>
                <w:color w:val="105C84"/>
                <w:spacing w:val="-11"/>
                <w:sz w:val="18"/>
              </w:rPr>
              <w:t> </w:t>
            </w:r>
            <w:r>
              <w:rPr>
                <w:color w:val="105C84"/>
                <w:spacing w:val="-4"/>
                <w:sz w:val="18"/>
              </w:rPr>
              <w:t>Substance</w:t>
            </w:r>
            <w:r>
              <w:rPr>
                <w:color w:val="105C84"/>
                <w:spacing w:val="-8"/>
                <w:sz w:val="18"/>
              </w:rPr>
              <w:t> </w:t>
            </w:r>
            <w:r>
              <w:rPr>
                <w:color w:val="105C84"/>
                <w:spacing w:val="-4"/>
                <w:sz w:val="18"/>
              </w:rPr>
              <w:t>Use </w:t>
            </w:r>
            <w:r>
              <w:rPr>
                <w:color w:val="105C84"/>
                <w:sz w:val="18"/>
              </w:rPr>
              <w:t>disorders; those with disabilities</w:t>
            </w:r>
          </w:p>
        </w:tc>
        <w:tc>
          <w:tcPr>
            <w:tcW w:w="4031" w:type="dxa"/>
            <w:vMerge w:val="restart"/>
            <w:tcBorders>
              <w:right w:val="nil"/>
            </w:tcBorders>
          </w:tcPr>
          <w:p>
            <w:pPr>
              <w:pStyle w:val="TableParagraph"/>
              <w:spacing w:line="232" w:lineRule="auto" w:before="100"/>
              <w:ind w:left="93" w:right="1027"/>
              <w:rPr>
                <w:sz w:val="18"/>
              </w:rPr>
            </w:pPr>
            <w:r>
              <w:rPr>
                <w:color w:val="105C84"/>
                <w:sz w:val="18"/>
              </w:rPr>
              <w:t>3.2.1:</w:t>
            </w:r>
            <w:r>
              <w:rPr>
                <w:color w:val="105C84"/>
                <w:spacing w:val="-4"/>
                <w:sz w:val="18"/>
              </w:rPr>
              <w:t> </w:t>
            </w:r>
            <w:r>
              <w:rPr>
                <w:color w:val="105C84"/>
                <w:sz w:val="18"/>
              </w:rPr>
              <w:t>Assist</w:t>
            </w:r>
            <w:r>
              <w:rPr>
                <w:color w:val="105C84"/>
                <w:spacing w:val="-4"/>
                <w:sz w:val="18"/>
              </w:rPr>
              <w:t> </w:t>
            </w:r>
            <w:r>
              <w:rPr>
                <w:color w:val="105C84"/>
                <w:sz w:val="18"/>
              </w:rPr>
              <w:t>medical</w:t>
            </w:r>
            <w:r>
              <w:rPr>
                <w:color w:val="105C84"/>
                <w:spacing w:val="-4"/>
                <w:sz w:val="18"/>
              </w:rPr>
              <w:t> </w:t>
            </w:r>
            <w:r>
              <w:rPr>
                <w:color w:val="105C84"/>
                <w:sz w:val="18"/>
              </w:rPr>
              <w:t>and</w:t>
            </w:r>
            <w:r>
              <w:rPr>
                <w:color w:val="105C84"/>
                <w:spacing w:val="-4"/>
                <w:sz w:val="18"/>
              </w:rPr>
              <w:t> </w:t>
            </w:r>
            <w:r>
              <w:rPr>
                <w:color w:val="105C84"/>
                <w:sz w:val="18"/>
              </w:rPr>
              <w:t>behavioral health care organizations (defined as those organizations focusing on mental health and substance use disorders) and provider groups in establishing policies, procedures, and workflows to facilitate the delivery of tobacco dependence treatment,</w:t>
            </w:r>
            <w:r>
              <w:rPr>
                <w:color w:val="105C84"/>
                <w:spacing w:val="-4"/>
                <w:sz w:val="18"/>
              </w:rPr>
              <w:t> </w:t>
            </w:r>
            <w:r>
              <w:rPr>
                <w:color w:val="105C84"/>
                <w:sz w:val="18"/>
              </w:rPr>
              <w:t>consistent</w:t>
            </w:r>
            <w:r>
              <w:rPr>
                <w:color w:val="105C84"/>
                <w:spacing w:val="-4"/>
                <w:sz w:val="18"/>
              </w:rPr>
              <w:t> </w:t>
            </w:r>
            <w:r>
              <w:rPr>
                <w:color w:val="105C84"/>
                <w:sz w:val="18"/>
              </w:rPr>
              <w:t>with</w:t>
            </w:r>
            <w:r>
              <w:rPr>
                <w:color w:val="105C84"/>
                <w:spacing w:val="-4"/>
                <w:sz w:val="18"/>
              </w:rPr>
              <w:t> </w:t>
            </w:r>
            <w:r>
              <w:rPr>
                <w:color w:val="105C84"/>
                <w:sz w:val="18"/>
              </w:rPr>
              <w:t>the</w:t>
            </w:r>
            <w:r>
              <w:rPr>
                <w:color w:val="105C84"/>
                <w:spacing w:val="-4"/>
                <w:sz w:val="18"/>
              </w:rPr>
              <w:t> </w:t>
            </w:r>
            <w:r>
              <w:rPr>
                <w:color w:val="105C84"/>
                <w:sz w:val="18"/>
              </w:rPr>
              <w:t>Public</w:t>
            </w:r>
            <w:r>
              <w:rPr>
                <w:color w:val="105C84"/>
                <w:sz w:val="18"/>
              </w:rPr>
              <w:t> Health Service Clinical Practice Guidelines, Community Health Centers and behavioral health </w:t>
            </w:r>
            <w:r>
              <w:rPr>
                <w:color w:val="105C84"/>
                <w:spacing w:val="-2"/>
                <w:sz w:val="18"/>
              </w:rPr>
              <w:t>providers</w:t>
            </w:r>
          </w:p>
        </w:tc>
        <w:tc>
          <w:tcPr>
            <w:tcW w:w="2620" w:type="dxa"/>
            <w:tcBorders>
              <w:left w:val="nil"/>
            </w:tcBorders>
          </w:tcPr>
          <w:p>
            <w:pPr>
              <w:pStyle w:val="TableParagraph"/>
              <w:spacing w:line="232" w:lineRule="auto" w:before="100"/>
              <w:ind w:left="1089" w:right="538"/>
              <w:rPr>
                <w:sz w:val="18"/>
              </w:rPr>
            </w:pPr>
            <w:r>
              <w:rPr>
                <w:color w:val="105C84"/>
                <w:sz w:val="18"/>
              </w:rPr>
              <w:t># of clients </w:t>
            </w:r>
            <w:r>
              <w:rPr>
                <w:color w:val="105C84"/>
                <w:spacing w:val="-4"/>
                <w:sz w:val="18"/>
              </w:rPr>
              <w:t>assessed</w:t>
            </w:r>
            <w:r>
              <w:rPr>
                <w:color w:val="105C84"/>
                <w:spacing w:val="-9"/>
                <w:sz w:val="18"/>
              </w:rPr>
              <w:t> </w:t>
            </w:r>
            <w:r>
              <w:rPr>
                <w:color w:val="105C84"/>
                <w:spacing w:val="-4"/>
                <w:sz w:val="18"/>
              </w:rPr>
              <w:t>for </w:t>
            </w:r>
            <w:r>
              <w:rPr>
                <w:color w:val="105C84"/>
                <w:sz w:val="18"/>
              </w:rPr>
              <w:t>tobacco</w:t>
            </w:r>
            <w:r>
              <w:rPr>
                <w:color w:val="105C84"/>
                <w:spacing w:val="14"/>
                <w:sz w:val="18"/>
              </w:rPr>
              <w:t> </w:t>
            </w:r>
            <w:r>
              <w:rPr>
                <w:color w:val="105C84"/>
                <w:spacing w:val="-7"/>
                <w:sz w:val="18"/>
              </w:rPr>
              <w:t>use</w:t>
            </w:r>
          </w:p>
        </w:tc>
        <w:tc>
          <w:tcPr>
            <w:tcW w:w="1900" w:type="dxa"/>
          </w:tcPr>
          <w:p>
            <w:pPr>
              <w:pStyle w:val="TableParagraph"/>
              <w:spacing w:line="232" w:lineRule="auto" w:before="100"/>
              <w:ind w:left="94" w:right="278"/>
              <w:rPr>
                <w:sz w:val="18"/>
              </w:rPr>
            </w:pPr>
            <w:r>
              <w:rPr>
                <w:color w:val="105C84"/>
                <w:sz w:val="18"/>
              </w:rPr>
              <w:t>Refer clients to group or </w:t>
            </w:r>
            <w:r>
              <w:rPr>
                <w:color w:val="105C84"/>
                <w:sz w:val="18"/>
              </w:rPr>
              <w:t>individual cessation</w:t>
            </w:r>
            <w:r>
              <w:rPr>
                <w:color w:val="105C84"/>
                <w:spacing w:val="-13"/>
                <w:sz w:val="18"/>
              </w:rPr>
              <w:t> </w:t>
            </w:r>
            <w:r>
              <w:rPr>
                <w:color w:val="105C84"/>
                <w:sz w:val="18"/>
              </w:rPr>
              <w:t>sessions</w:t>
            </w:r>
          </w:p>
          <w:p>
            <w:pPr>
              <w:pStyle w:val="TableParagraph"/>
              <w:spacing w:line="232" w:lineRule="auto" w:before="88"/>
              <w:ind w:left="94" w:right="278"/>
              <w:rPr>
                <w:sz w:val="18"/>
              </w:rPr>
            </w:pPr>
            <w:r>
              <w:rPr>
                <w:color w:val="105C84"/>
                <w:spacing w:val="-4"/>
                <w:sz w:val="18"/>
              </w:rPr>
              <w:t>Assess</w:t>
            </w:r>
            <w:r>
              <w:rPr>
                <w:color w:val="105C84"/>
                <w:spacing w:val="-11"/>
                <w:sz w:val="18"/>
              </w:rPr>
              <w:t> </w:t>
            </w:r>
            <w:r>
              <w:rPr>
                <w:color w:val="105C84"/>
                <w:spacing w:val="-4"/>
                <w:sz w:val="18"/>
              </w:rPr>
              <w:t>every</w:t>
            </w:r>
            <w:r>
              <w:rPr>
                <w:color w:val="105C84"/>
                <w:spacing w:val="-8"/>
                <w:sz w:val="18"/>
              </w:rPr>
              <w:t> </w:t>
            </w:r>
            <w:r>
              <w:rPr>
                <w:color w:val="105C84"/>
                <w:spacing w:val="-4"/>
                <w:sz w:val="18"/>
              </w:rPr>
              <w:t>client </w:t>
            </w:r>
            <w:r>
              <w:rPr>
                <w:color w:val="105C84"/>
                <w:sz w:val="18"/>
              </w:rPr>
              <w:t>for tobacco use</w:t>
            </w:r>
          </w:p>
          <w:p>
            <w:pPr>
              <w:pStyle w:val="TableParagraph"/>
              <w:spacing w:line="232" w:lineRule="auto" w:before="88"/>
              <w:ind w:left="94" w:right="238"/>
              <w:rPr>
                <w:sz w:val="18"/>
              </w:rPr>
            </w:pPr>
            <w:r>
              <w:rPr>
                <w:color w:val="105C84"/>
                <w:sz w:val="18"/>
              </w:rPr>
              <w:t>Admitted clients</w:t>
            </w:r>
            <w:r>
              <w:rPr>
                <w:color w:val="105C84"/>
                <w:spacing w:val="80"/>
                <w:sz w:val="18"/>
              </w:rPr>
              <w:t> </w:t>
            </w:r>
            <w:r>
              <w:rPr>
                <w:color w:val="105C84"/>
                <w:sz w:val="18"/>
              </w:rPr>
              <w:t>go</w:t>
            </w:r>
            <w:r>
              <w:rPr>
                <w:color w:val="105C84"/>
                <w:spacing w:val="-2"/>
                <w:sz w:val="18"/>
              </w:rPr>
              <w:t> </w:t>
            </w:r>
            <w:r>
              <w:rPr>
                <w:color w:val="105C84"/>
                <w:sz w:val="18"/>
              </w:rPr>
              <w:t>through</w:t>
            </w:r>
            <w:r>
              <w:rPr>
                <w:color w:val="105C84"/>
                <w:spacing w:val="-2"/>
                <w:sz w:val="18"/>
              </w:rPr>
              <w:t> </w:t>
            </w:r>
            <w:r>
              <w:rPr>
                <w:color w:val="105C84"/>
                <w:sz w:val="18"/>
              </w:rPr>
              <w:t>Healthy Living group which includes tobacco </w:t>
            </w:r>
            <w:r>
              <w:rPr>
                <w:color w:val="105C84"/>
                <w:spacing w:val="-2"/>
                <w:sz w:val="18"/>
              </w:rPr>
              <w:t>education</w:t>
            </w:r>
          </w:p>
        </w:tc>
        <w:tc>
          <w:tcPr>
            <w:tcW w:w="1554" w:type="dxa"/>
          </w:tcPr>
          <w:p>
            <w:pPr>
              <w:pStyle w:val="TableParagraph"/>
              <w:spacing w:line="232" w:lineRule="auto" w:before="100"/>
              <w:ind w:left="95" w:right="463"/>
              <w:rPr>
                <w:sz w:val="18"/>
              </w:rPr>
            </w:pPr>
            <w:r>
              <w:rPr>
                <w:color w:val="105C84"/>
                <w:spacing w:val="-2"/>
                <w:sz w:val="18"/>
              </w:rPr>
              <w:t>Refer</w:t>
            </w:r>
            <w:r>
              <w:rPr>
                <w:color w:val="105C84"/>
                <w:spacing w:val="-11"/>
                <w:sz w:val="18"/>
              </w:rPr>
              <w:t> </w:t>
            </w:r>
            <w:r>
              <w:rPr>
                <w:color w:val="105C84"/>
                <w:spacing w:val="-2"/>
                <w:sz w:val="18"/>
              </w:rPr>
              <w:t>clients </w:t>
            </w:r>
            <w:r>
              <w:rPr>
                <w:color w:val="105C84"/>
                <w:sz w:val="18"/>
              </w:rPr>
              <w:t>to group or </w:t>
            </w:r>
            <w:r>
              <w:rPr>
                <w:color w:val="105C84"/>
                <w:spacing w:val="-2"/>
                <w:sz w:val="18"/>
              </w:rPr>
              <w:t>individual cessation sessions</w:t>
            </w:r>
          </w:p>
          <w:p>
            <w:pPr>
              <w:pStyle w:val="TableParagraph"/>
              <w:spacing w:line="232" w:lineRule="auto" w:before="86"/>
              <w:ind w:left="95" w:right="248"/>
              <w:rPr>
                <w:sz w:val="18"/>
              </w:rPr>
            </w:pPr>
            <w:r>
              <w:rPr>
                <w:color w:val="105C84"/>
                <w:spacing w:val="-8"/>
                <w:sz w:val="18"/>
              </w:rPr>
              <w:t>Assess</w:t>
            </w:r>
            <w:r>
              <w:rPr>
                <w:color w:val="105C84"/>
                <w:spacing w:val="-5"/>
                <w:sz w:val="18"/>
              </w:rPr>
              <w:t> </w:t>
            </w:r>
            <w:r>
              <w:rPr>
                <w:color w:val="105C84"/>
                <w:spacing w:val="-8"/>
                <w:sz w:val="18"/>
              </w:rPr>
              <w:t>every </w:t>
            </w:r>
            <w:r>
              <w:rPr>
                <w:color w:val="105C84"/>
                <w:sz w:val="18"/>
              </w:rPr>
              <w:t>client for tobacco</w:t>
            </w:r>
            <w:r>
              <w:rPr>
                <w:color w:val="105C84"/>
                <w:spacing w:val="-4"/>
                <w:sz w:val="18"/>
              </w:rPr>
              <w:t> </w:t>
            </w:r>
            <w:r>
              <w:rPr>
                <w:color w:val="105C84"/>
                <w:sz w:val="18"/>
              </w:rPr>
              <w:t>use</w:t>
            </w:r>
          </w:p>
          <w:p>
            <w:pPr>
              <w:pStyle w:val="TableParagraph"/>
              <w:spacing w:line="232" w:lineRule="auto" w:before="88"/>
              <w:ind w:left="95"/>
              <w:rPr>
                <w:sz w:val="18"/>
              </w:rPr>
            </w:pPr>
            <w:r>
              <w:rPr>
                <w:color w:val="105C84"/>
                <w:sz w:val="18"/>
              </w:rPr>
              <w:t>Admitted clients go through Healthy Living group which includes</w:t>
            </w:r>
            <w:r>
              <w:rPr>
                <w:color w:val="105C84"/>
                <w:spacing w:val="-13"/>
                <w:sz w:val="18"/>
              </w:rPr>
              <w:t> </w:t>
            </w:r>
            <w:r>
              <w:rPr>
                <w:color w:val="105C84"/>
                <w:sz w:val="18"/>
              </w:rPr>
              <w:t>tobacco </w:t>
            </w:r>
            <w:r>
              <w:rPr>
                <w:color w:val="105C84"/>
                <w:spacing w:val="-2"/>
                <w:sz w:val="18"/>
              </w:rPr>
              <w:t>education</w:t>
            </w:r>
          </w:p>
        </w:tc>
        <w:tc>
          <w:tcPr>
            <w:tcW w:w="1525" w:type="dxa"/>
          </w:tcPr>
          <w:p>
            <w:pPr>
              <w:pStyle w:val="TableParagraph"/>
              <w:spacing w:line="232" w:lineRule="auto" w:before="100"/>
              <w:ind w:left="96" w:right="433"/>
              <w:rPr>
                <w:sz w:val="18"/>
              </w:rPr>
            </w:pPr>
            <w:r>
              <w:rPr>
                <w:color w:val="105C84"/>
                <w:spacing w:val="-2"/>
                <w:sz w:val="18"/>
              </w:rPr>
              <w:t>Refer</w:t>
            </w:r>
            <w:r>
              <w:rPr>
                <w:color w:val="105C84"/>
                <w:spacing w:val="-11"/>
                <w:sz w:val="18"/>
              </w:rPr>
              <w:t> </w:t>
            </w:r>
            <w:r>
              <w:rPr>
                <w:color w:val="105C84"/>
                <w:spacing w:val="-2"/>
                <w:sz w:val="18"/>
              </w:rPr>
              <w:t>clients </w:t>
            </w:r>
            <w:r>
              <w:rPr>
                <w:color w:val="105C84"/>
                <w:sz w:val="18"/>
              </w:rPr>
              <w:t>to group or </w:t>
            </w:r>
            <w:r>
              <w:rPr>
                <w:color w:val="105C84"/>
                <w:spacing w:val="-2"/>
                <w:sz w:val="18"/>
              </w:rPr>
              <w:t>individual cessation sessions</w:t>
            </w:r>
          </w:p>
          <w:p>
            <w:pPr>
              <w:pStyle w:val="TableParagraph"/>
              <w:spacing w:line="232" w:lineRule="auto" w:before="86"/>
              <w:ind w:left="96" w:right="128"/>
              <w:rPr>
                <w:sz w:val="18"/>
              </w:rPr>
            </w:pPr>
            <w:r>
              <w:rPr>
                <w:color w:val="105C84"/>
                <w:spacing w:val="-8"/>
                <w:sz w:val="18"/>
              </w:rPr>
              <w:t>Assess</w:t>
            </w:r>
            <w:r>
              <w:rPr>
                <w:color w:val="105C84"/>
                <w:spacing w:val="-5"/>
                <w:sz w:val="18"/>
              </w:rPr>
              <w:t> </w:t>
            </w:r>
            <w:r>
              <w:rPr>
                <w:color w:val="105C84"/>
                <w:spacing w:val="-8"/>
                <w:sz w:val="18"/>
              </w:rPr>
              <w:t>every </w:t>
            </w:r>
            <w:r>
              <w:rPr>
                <w:color w:val="105C84"/>
                <w:sz w:val="18"/>
              </w:rPr>
              <w:t>client for tobacco</w:t>
            </w:r>
            <w:r>
              <w:rPr>
                <w:color w:val="105C84"/>
                <w:spacing w:val="-4"/>
                <w:sz w:val="18"/>
              </w:rPr>
              <w:t> </w:t>
            </w:r>
            <w:r>
              <w:rPr>
                <w:color w:val="105C84"/>
                <w:sz w:val="18"/>
              </w:rPr>
              <w:t>use</w:t>
            </w:r>
          </w:p>
          <w:p>
            <w:pPr>
              <w:pStyle w:val="TableParagraph"/>
              <w:spacing w:line="232" w:lineRule="auto" w:before="87"/>
              <w:ind w:left="96" w:right="124"/>
              <w:rPr>
                <w:sz w:val="18"/>
              </w:rPr>
            </w:pPr>
            <w:r>
              <w:rPr>
                <w:color w:val="105C84"/>
                <w:spacing w:val="-2"/>
                <w:sz w:val="18"/>
              </w:rPr>
              <w:t>Admitted</w:t>
            </w:r>
            <w:r>
              <w:rPr>
                <w:color w:val="105C84"/>
                <w:spacing w:val="80"/>
                <w:w w:val="150"/>
                <w:sz w:val="18"/>
              </w:rPr>
              <w:t> </w:t>
            </w:r>
            <w:r>
              <w:rPr>
                <w:color w:val="105C84"/>
                <w:sz w:val="18"/>
              </w:rPr>
              <w:t>clients go through</w:t>
            </w:r>
            <w:r>
              <w:rPr>
                <w:color w:val="105C84"/>
                <w:spacing w:val="-13"/>
                <w:sz w:val="18"/>
              </w:rPr>
              <w:t> </w:t>
            </w:r>
            <w:r>
              <w:rPr>
                <w:color w:val="105C84"/>
                <w:sz w:val="18"/>
              </w:rPr>
              <w:t>Healthy Living group which includes </w:t>
            </w:r>
            <w:r>
              <w:rPr>
                <w:color w:val="105C84"/>
                <w:spacing w:val="-2"/>
                <w:sz w:val="18"/>
              </w:rPr>
              <w:t>tobacco education</w:t>
            </w:r>
          </w:p>
        </w:tc>
        <w:tc>
          <w:tcPr>
            <w:tcW w:w="1525" w:type="dxa"/>
            <w:vMerge w:val="restart"/>
          </w:tcPr>
          <w:p>
            <w:pPr>
              <w:pStyle w:val="TableParagraph"/>
              <w:spacing w:before="94"/>
              <w:ind w:left="98"/>
              <w:rPr>
                <w:sz w:val="18"/>
              </w:rPr>
            </w:pPr>
            <w:r>
              <w:rPr>
                <w:color w:val="105C84"/>
                <w:spacing w:val="-2"/>
                <w:sz w:val="18"/>
              </w:rPr>
              <w:t>Hospital</w:t>
            </w:r>
          </w:p>
        </w:tc>
        <w:tc>
          <w:tcPr>
            <w:tcW w:w="1981" w:type="dxa"/>
          </w:tcPr>
          <w:p>
            <w:pPr>
              <w:pStyle w:val="TableParagraph"/>
              <w:spacing w:line="232" w:lineRule="auto" w:before="99"/>
              <w:ind w:left="99" w:right="149"/>
              <w:rPr>
                <w:sz w:val="18"/>
              </w:rPr>
            </w:pPr>
            <w:r>
              <w:rPr>
                <w:color w:val="105C84"/>
                <w:sz w:val="18"/>
              </w:rPr>
              <w:t>SCASAS and Mental Health assess for tobacco </w:t>
            </w:r>
            <w:r>
              <w:rPr>
                <w:color w:val="105C84"/>
                <w:sz w:val="18"/>
              </w:rPr>
              <w:t>dependence in all clients</w:t>
            </w:r>
          </w:p>
          <w:p>
            <w:pPr>
              <w:pStyle w:val="TableParagraph"/>
              <w:spacing w:line="232" w:lineRule="auto" w:before="87"/>
              <w:ind w:left="99" w:right="149"/>
              <w:rPr>
                <w:sz w:val="18"/>
              </w:rPr>
            </w:pPr>
            <w:r>
              <w:rPr>
                <w:color w:val="105C84"/>
                <w:sz w:val="18"/>
              </w:rPr>
              <w:t>SCASAS treats and counsels those with tobacco </w:t>
            </w:r>
            <w:r>
              <w:rPr>
                <w:color w:val="105C84"/>
                <w:sz w:val="18"/>
              </w:rPr>
              <w:t>dependence alongside their other </w:t>
            </w:r>
            <w:r>
              <w:rPr>
                <w:color w:val="105C84"/>
                <w:spacing w:val="-2"/>
                <w:sz w:val="18"/>
              </w:rPr>
              <w:t>addictions</w:t>
            </w:r>
          </w:p>
        </w:tc>
      </w:tr>
      <w:tr>
        <w:trPr>
          <w:trHeight w:val="2710" w:hRule="atLeast"/>
        </w:trPr>
        <w:tc>
          <w:tcPr>
            <w:tcW w:w="1180" w:type="dxa"/>
            <w:vMerge/>
            <w:tcBorders>
              <w:top w:val="nil"/>
            </w:tcBorders>
            <w:shd w:val="clear" w:color="auto" w:fill="E6E7E8"/>
          </w:tcPr>
          <w:p>
            <w:pPr>
              <w:rPr>
                <w:sz w:val="2"/>
                <w:szCs w:val="2"/>
              </w:rPr>
            </w:pPr>
          </w:p>
        </w:tc>
        <w:tc>
          <w:tcPr>
            <w:tcW w:w="1353" w:type="dxa"/>
            <w:vMerge/>
            <w:tcBorders>
              <w:top w:val="nil"/>
            </w:tcBorders>
          </w:tcPr>
          <w:p>
            <w:pPr>
              <w:rPr>
                <w:sz w:val="2"/>
                <w:szCs w:val="2"/>
              </w:rPr>
            </w:pPr>
          </w:p>
        </w:tc>
        <w:tc>
          <w:tcPr>
            <w:tcW w:w="1209" w:type="dxa"/>
            <w:vMerge/>
            <w:tcBorders>
              <w:top w:val="nil"/>
            </w:tcBorders>
          </w:tcPr>
          <w:p>
            <w:pPr>
              <w:rPr>
                <w:sz w:val="2"/>
                <w:szCs w:val="2"/>
              </w:rPr>
            </w:pPr>
          </w:p>
        </w:tc>
        <w:tc>
          <w:tcPr>
            <w:tcW w:w="1605" w:type="dxa"/>
            <w:vMerge/>
            <w:tcBorders>
              <w:top w:val="nil"/>
            </w:tcBorders>
          </w:tcPr>
          <w:p>
            <w:pPr>
              <w:rPr>
                <w:sz w:val="2"/>
                <w:szCs w:val="2"/>
              </w:rPr>
            </w:pPr>
          </w:p>
        </w:tc>
        <w:tc>
          <w:tcPr>
            <w:tcW w:w="1763" w:type="dxa"/>
            <w:vMerge/>
            <w:tcBorders>
              <w:top w:val="nil"/>
            </w:tcBorders>
          </w:tcPr>
          <w:p>
            <w:pPr>
              <w:rPr>
                <w:sz w:val="2"/>
                <w:szCs w:val="2"/>
              </w:rPr>
            </w:pPr>
          </w:p>
        </w:tc>
        <w:tc>
          <w:tcPr>
            <w:tcW w:w="4031" w:type="dxa"/>
            <w:vMerge/>
            <w:tcBorders>
              <w:top w:val="nil"/>
              <w:right w:val="nil"/>
            </w:tcBorders>
          </w:tcPr>
          <w:p>
            <w:pPr>
              <w:rPr>
                <w:sz w:val="2"/>
                <w:szCs w:val="2"/>
              </w:rPr>
            </w:pPr>
          </w:p>
        </w:tc>
        <w:tc>
          <w:tcPr>
            <w:tcW w:w="2620" w:type="dxa"/>
            <w:tcBorders>
              <w:left w:val="nil"/>
            </w:tcBorders>
          </w:tcPr>
          <w:p>
            <w:pPr>
              <w:pStyle w:val="TableParagraph"/>
              <w:spacing w:line="232" w:lineRule="auto" w:before="99"/>
              <w:ind w:left="1089" w:right="338"/>
              <w:rPr>
                <w:sz w:val="18"/>
              </w:rPr>
            </w:pPr>
            <w:r>
              <w:rPr>
                <w:color w:val="105C84"/>
                <w:sz w:val="18"/>
              </w:rPr>
              <w:t># of medical and</w:t>
            </w:r>
            <w:r>
              <w:rPr>
                <w:color w:val="105C84"/>
                <w:spacing w:val="-13"/>
                <w:sz w:val="18"/>
              </w:rPr>
              <w:t> </w:t>
            </w:r>
            <w:r>
              <w:rPr>
                <w:color w:val="105C84"/>
                <w:sz w:val="18"/>
              </w:rPr>
              <w:t>behavioral health care</w:t>
            </w:r>
          </w:p>
          <w:p>
            <w:pPr>
              <w:pStyle w:val="TableParagraph"/>
              <w:spacing w:line="232" w:lineRule="auto"/>
              <w:ind w:left="1089" w:right="97"/>
              <w:rPr>
                <w:sz w:val="18"/>
              </w:rPr>
            </w:pPr>
            <w:r>
              <w:rPr>
                <w:color w:val="105C84"/>
                <w:sz w:val="18"/>
              </w:rPr>
              <w:t>organizations</w:t>
            </w:r>
            <w:r>
              <w:rPr>
                <w:color w:val="105C84"/>
                <w:spacing w:val="-13"/>
                <w:sz w:val="18"/>
              </w:rPr>
              <w:t> </w:t>
            </w:r>
            <w:r>
              <w:rPr>
                <w:color w:val="105C84"/>
                <w:sz w:val="18"/>
              </w:rPr>
              <w:t>and provider groups </w:t>
            </w:r>
            <w:r>
              <w:rPr>
                <w:color w:val="105C84"/>
                <w:spacing w:val="-2"/>
                <w:sz w:val="18"/>
              </w:rPr>
              <w:t>approached</w:t>
            </w:r>
          </w:p>
          <w:p>
            <w:pPr>
              <w:pStyle w:val="TableParagraph"/>
              <w:spacing w:line="232" w:lineRule="auto" w:before="86"/>
              <w:ind w:left="1089" w:right="108"/>
              <w:rPr>
                <w:sz w:val="18"/>
              </w:rPr>
            </w:pPr>
            <w:r>
              <w:rPr>
                <w:color w:val="105C84"/>
                <w:sz w:val="18"/>
              </w:rPr>
              <w:t># of above to establish</w:t>
            </w:r>
            <w:r>
              <w:rPr>
                <w:color w:val="105C84"/>
                <w:spacing w:val="-13"/>
                <w:sz w:val="18"/>
              </w:rPr>
              <w:t> </w:t>
            </w:r>
            <w:r>
              <w:rPr>
                <w:color w:val="105C84"/>
                <w:sz w:val="18"/>
              </w:rPr>
              <w:t>policies, procedures and workflows to facilitate tobacco cessation info</w:t>
            </w:r>
          </w:p>
        </w:tc>
        <w:tc>
          <w:tcPr>
            <w:tcW w:w="1900" w:type="dxa"/>
          </w:tcPr>
          <w:p>
            <w:pPr>
              <w:pStyle w:val="TableParagraph"/>
              <w:spacing w:line="232" w:lineRule="auto" w:before="99"/>
              <w:ind w:left="94" w:right="365"/>
              <w:rPr>
                <w:sz w:val="18"/>
              </w:rPr>
            </w:pPr>
            <w:r>
              <w:rPr>
                <w:color w:val="105C84"/>
                <w:sz w:val="18"/>
              </w:rPr>
              <w:t>CTFFL will offer its</w:t>
            </w:r>
            <w:r>
              <w:rPr>
                <w:color w:val="105C84"/>
                <w:spacing w:val="-13"/>
                <w:sz w:val="18"/>
              </w:rPr>
              <w:t> </w:t>
            </w:r>
            <w:r>
              <w:rPr>
                <w:color w:val="105C84"/>
                <w:sz w:val="18"/>
              </w:rPr>
              <w:t>services</w:t>
            </w:r>
            <w:r>
              <w:rPr>
                <w:color w:val="105C84"/>
                <w:spacing w:val="-12"/>
                <w:sz w:val="18"/>
              </w:rPr>
              <w:t> </w:t>
            </w:r>
            <w:r>
              <w:rPr>
                <w:color w:val="105C84"/>
                <w:sz w:val="18"/>
              </w:rPr>
              <w:t>to</w:t>
            </w:r>
            <w:r>
              <w:rPr>
                <w:color w:val="105C84"/>
                <w:spacing w:val="-13"/>
                <w:sz w:val="18"/>
              </w:rPr>
              <w:t> </w:t>
            </w:r>
            <w:r>
              <w:rPr>
                <w:color w:val="105C84"/>
                <w:sz w:val="18"/>
              </w:rPr>
              <w:t>the</w:t>
            </w:r>
          </w:p>
          <w:p>
            <w:pPr>
              <w:pStyle w:val="TableParagraph"/>
              <w:spacing w:line="232" w:lineRule="auto"/>
              <w:ind w:left="94"/>
              <w:rPr>
                <w:sz w:val="18"/>
              </w:rPr>
            </w:pPr>
            <w:r>
              <w:rPr>
                <w:color w:val="105C84"/>
                <w:sz w:val="18"/>
              </w:rPr>
              <w:t>following</w:t>
            </w:r>
            <w:r>
              <w:rPr>
                <w:color w:val="105C84"/>
                <w:spacing w:val="-12"/>
                <w:sz w:val="18"/>
              </w:rPr>
              <w:t> </w:t>
            </w:r>
            <w:r>
              <w:rPr>
                <w:color w:val="105C84"/>
                <w:sz w:val="18"/>
              </w:rPr>
              <w:t>FQHCs</w:t>
            </w:r>
            <w:r>
              <w:rPr>
                <w:color w:val="105C84"/>
                <w:spacing w:val="-12"/>
                <w:sz w:val="18"/>
              </w:rPr>
              <w:t> </w:t>
            </w:r>
            <w:r>
              <w:rPr>
                <w:color w:val="105C84"/>
                <w:sz w:val="18"/>
              </w:rPr>
              <w:t>in Steuben County at least</w:t>
            </w:r>
            <w:r>
              <w:rPr>
                <w:color w:val="105C84"/>
                <w:spacing w:val="-11"/>
                <w:sz w:val="18"/>
              </w:rPr>
              <w:t> </w:t>
            </w:r>
            <w:r>
              <w:rPr>
                <w:color w:val="105C84"/>
                <w:sz w:val="18"/>
              </w:rPr>
              <w:t>twice</w:t>
            </w:r>
            <w:r>
              <w:rPr>
                <w:color w:val="105C84"/>
                <w:spacing w:val="-11"/>
                <w:sz w:val="18"/>
              </w:rPr>
              <w:t> </w:t>
            </w:r>
            <w:r>
              <w:rPr>
                <w:color w:val="105C84"/>
                <w:sz w:val="18"/>
              </w:rPr>
              <w:t>per</w:t>
            </w:r>
            <w:r>
              <w:rPr>
                <w:color w:val="105C84"/>
                <w:spacing w:val="-11"/>
                <w:sz w:val="18"/>
              </w:rPr>
              <w:t> </w:t>
            </w:r>
            <w:r>
              <w:rPr>
                <w:color w:val="105C84"/>
                <w:sz w:val="18"/>
              </w:rPr>
              <w:t>year</w:t>
            </w:r>
          </w:p>
          <w:p>
            <w:pPr>
              <w:pStyle w:val="TableParagraph"/>
              <w:spacing w:line="232" w:lineRule="auto" w:before="86"/>
              <w:ind w:left="94" w:right="278"/>
              <w:rPr>
                <w:sz w:val="18"/>
              </w:rPr>
            </w:pPr>
            <w:r>
              <w:rPr>
                <w:color w:val="105C84"/>
                <w:sz w:val="18"/>
              </w:rPr>
              <w:t>Finger Lakes Community</w:t>
            </w:r>
            <w:r>
              <w:rPr>
                <w:color w:val="105C84"/>
                <w:spacing w:val="-13"/>
                <w:sz w:val="18"/>
              </w:rPr>
              <w:t> </w:t>
            </w:r>
            <w:r>
              <w:rPr>
                <w:color w:val="105C84"/>
                <w:sz w:val="18"/>
              </w:rPr>
              <w:t>Health and Oak Orchard </w:t>
            </w:r>
            <w:r>
              <w:rPr>
                <w:color w:val="105C84"/>
                <w:spacing w:val="-2"/>
                <w:sz w:val="18"/>
              </w:rPr>
              <w:t>Health</w:t>
            </w:r>
          </w:p>
        </w:tc>
        <w:tc>
          <w:tcPr>
            <w:tcW w:w="1554" w:type="dxa"/>
          </w:tcPr>
          <w:p>
            <w:pPr>
              <w:pStyle w:val="TableParagraph"/>
              <w:spacing w:line="232" w:lineRule="auto" w:before="99"/>
              <w:ind w:left="95"/>
              <w:rPr>
                <w:sz w:val="18"/>
              </w:rPr>
            </w:pPr>
            <w:r>
              <w:rPr>
                <w:color w:val="105C84"/>
                <w:w w:val="105"/>
                <w:sz w:val="18"/>
              </w:rPr>
              <w:t>CTFFL will offer </w:t>
            </w:r>
            <w:r>
              <w:rPr>
                <w:color w:val="105C84"/>
                <w:sz w:val="18"/>
              </w:rPr>
              <w:t>its</w:t>
            </w:r>
            <w:r>
              <w:rPr>
                <w:color w:val="105C84"/>
                <w:spacing w:val="-13"/>
                <w:sz w:val="18"/>
              </w:rPr>
              <w:t> </w:t>
            </w:r>
            <w:r>
              <w:rPr>
                <w:color w:val="105C84"/>
                <w:sz w:val="18"/>
              </w:rPr>
              <w:t>services</w:t>
            </w:r>
            <w:r>
              <w:rPr>
                <w:color w:val="105C84"/>
                <w:spacing w:val="-12"/>
                <w:sz w:val="18"/>
              </w:rPr>
              <w:t> </w:t>
            </w:r>
            <w:r>
              <w:rPr>
                <w:color w:val="105C84"/>
                <w:sz w:val="18"/>
              </w:rPr>
              <w:t>to</w:t>
            </w:r>
            <w:r>
              <w:rPr>
                <w:color w:val="105C84"/>
                <w:spacing w:val="-13"/>
                <w:sz w:val="18"/>
              </w:rPr>
              <w:t> </w:t>
            </w:r>
            <w:r>
              <w:rPr>
                <w:color w:val="105C84"/>
                <w:sz w:val="18"/>
              </w:rPr>
              <w:t>the following</w:t>
            </w:r>
            <w:r>
              <w:rPr>
                <w:color w:val="105C84"/>
                <w:spacing w:val="-13"/>
                <w:sz w:val="18"/>
              </w:rPr>
              <w:t> </w:t>
            </w:r>
            <w:r>
              <w:rPr>
                <w:color w:val="105C84"/>
                <w:sz w:val="18"/>
              </w:rPr>
              <w:t>FQHCs </w:t>
            </w:r>
            <w:r>
              <w:rPr>
                <w:color w:val="105C84"/>
                <w:w w:val="105"/>
                <w:sz w:val="18"/>
              </w:rPr>
              <w:t>in</w:t>
            </w:r>
            <w:r>
              <w:rPr>
                <w:color w:val="105C84"/>
                <w:spacing w:val="-1"/>
                <w:w w:val="105"/>
                <w:sz w:val="18"/>
              </w:rPr>
              <w:t> </w:t>
            </w:r>
            <w:r>
              <w:rPr>
                <w:color w:val="105C84"/>
                <w:w w:val="105"/>
                <w:sz w:val="18"/>
              </w:rPr>
              <w:t>Steuben County at least twice per year</w:t>
            </w:r>
          </w:p>
          <w:p>
            <w:pPr>
              <w:pStyle w:val="TableParagraph"/>
              <w:spacing w:line="232" w:lineRule="auto" w:before="85"/>
              <w:ind w:left="95" w:right="74"/>
              <w:rPr>
                <w:sz w:val="18"/>
              </w:rPr>
            </w:pPr>
            <w:r>
              <w:rPr>
                <w:color w:val="105C84"/>
                <w:sz w:val="18"/>
              </w:rPr>
              <w:t>Finger Lakes </w:t>
            </w:r>
            <w:r>
              <w:rPr>
                <w:color w:val="105C84"/>
                <w:spacing w:val="-2"/>
                <w:sz w:val="18"/>
              </w:rPr>
              <w:t>Community </w:t>
            </w:r>
            <w:r>
              <w:rPr>
                <w:color w:val="105C84"/>
                <w:sz w:val="18"/>
              </w:rPr>
              <w:t>Health</w:t>
            </w:r>
            <w:r>
              <w:rPr>
                <w:color w:val="105C84"/>
                <w:spacing w:val="-15"/>
                <w:sz w:val="18"/>
              </w:rPr>
              <w:t> </w:t>
            </w:r>
            <w:r>
              <w:rPr>
                <w:color w:val="105C84"/>
                <w:sz w:val="18"/>
              </w:rPr>
              <w:t>and</w:t>
            </w:r>
            <w:r>
              <w:rPr>
                <w:color w:val="105C84"/>
                <w:spacing w:val="-12"/>
                <w:sz w:val="18"/>
              </w:rPr>
              <w:t> </w:t>
            </w:r>
            <w:r>
              <w:rPr>
                <w:color w:val="105C84"/>
                <w:sz w:val="18"/>
              </w:rPr>
              <w:t>Oak Orchard</w:t>
            </w:r>
            <w:r>
              <w:rPr>
                <w:color w:val="105C84"/>
                <w:spacing w:val="-4"/>
                <w:sz w:val="18"/>
              </w:rPr>
              <w:t> </w:t>
            </w:r>
            <w:r>
              <w:rPr>
                <w:color w:val="105C84"/>
                <w:spacing w:val="-2"/>
                <w:sz w:val="18"/>
              </w:rPr>
              <w:t>Health</w:t>
            </w:r>
          </w:p>
        </w:tc>
        <w:tc>
          <w:tcPr>
            <w:tcW w:w="1525" w:type="dxa"/>
          </w:tcPr>
          <w:p>
            <w:pPr>
              <w:pStyle w:val="TableParagraph"/>
              <w:spacing w:line="232" w:lineRule="auto" w:before="99"/>
              <w:ind w:left="96" w:right="73"/>
              <w:rPr>
                <w:sz w:val="18"/>
              </w:rPr>
            </w:pPr>
            <w:r>
              <w:rPr>
                <w:color w:val="105C84"/>
                <w:sz w:val="18"/>
              </w:rPr>
              <w:t>CTFFL</w:t>
            </w:r>
            <w:r>
              <w:rPr>
                <w:color w:val="105C84"/>
                <w:spacing w:val="-7"/>
                <w:sz w:val="18"/>
              </w:rPr>
              <w:t> </w:t>
            </w:r>
            <w:r>
              <w:rPr>
                <w:color w:val="105C84"/>
                <w:sz w:val="18"/>
              </w:rPr>
              <w:t>will</w:t>
            </w:r>
            <w:r>
              <w:rPr>
                <w:color w:val="105C84"/>
                <w:spacing w:val="-7"/>
                <w:sz w:val="18"/>
              </w:rPr>
              <w:t> </w:t>
            </w:r>
            <w:r>
              <w:rPr>
                <w:color w:val="105C84"/>
                <w:sz w:val="18"/>
              </w:rPr>
              <w:t>offer </w:t>
            </w:r>
            <w:r>
              <w:rPr>
                <w:color w:val="105C84"/>
                <w:w w:val="105"/>
                <w:sz w:val="18"/>
              </w:rPr>
              <w:t>its services to the</w:t>
            </w:r>
            <w:r>
              <w:rPr>
                <w:color w:val="105C84"/>
                <w:spacing w:val="-1"/>
                <w:w w:val="105"/>
                <w:sz w:val="18"/>
              </w:rPr>
              <w:t> </w:t>
            </w:r>
            <w:r>
              <w:rPr>
                <w:color w:val="105C84"/>
                <w:w w:val="105"/>
                <w:sz w:val="18"/>
              </w:rPr>
              <w:t>following FQHCs</w:t>
            </w:r>
            <w:r>
              <w:rPr>
                <w:color w:val="105C84"/>
                <w:spacing w:val="-1"/>
                <w:w w:val="105"/>
                <w:sz w:val="18"/>
              </w:rPr>
              <w:t> </w:t>
            </w:r>
            <w:r>
              <w:rPr>
                <w:color w:val="105C84"/>
                <w:w w:val="105"/>
                <w:sz w:val="18"/>
              </w:rPr>
              <w:t>in </w:t>
            </w:r>
            <w:r>
              <w:rPr>
                <w:color w:val="105C84"/>
                <w:sz w:val="18"/>
              </w:rPr>
              <w:t>Steuben</w:t>
            </w:r>
            <w:r>
              <w:rPr>
                <w:color w:val="105C84"/>
                <w:spacing w:val="-13"/>
                <w:sz w:val="18"/>
              </w:rPr>
              <w:t> </w:t>
            </w:r>
            <w:r>
              <w:rPr>
                <w:color w:val="105C84"/>
                <w:sz w:val="18"/>
              </w:rPr>
              <w:t>County </w:t>
            </w:r>
            <w:r>
              <w:rPr>
                <w:color w:val="105C84"/>
                <w:w w:val="105"/>
                <w:sz w:val="18"/>
              </w:rPr>
              <w:t>at least twice per</w:t>
            </w:r>
            <w:r>
              <w:rPr>
                <w:color w:val="105C84"/>
                <w:spacing w:val="-1"/>
                <w:w w:val="105"/>
                <w:sz w:val="18"/>
              </w:rPr>
              <w:t> </w:t>
            </w:r>
            <w:r>
              <w:rPr>
                <w:color w:val="105C84"/>
                <w:w w:val="105"/>
                <w:sz w:val="18"/>
              </w:rPr>
              <w:t>year</w:t>
            </w:r>
          </w:p>
          <w:p>
            <w:pPr>
              <w:pStyle w:val="TableParagraph"/>
              <w:spacing w:line="232" w:lineRule="auto" w:before="84"/>
              <w:ind w:left="96" w:right="128"/>
              <w:rPr>
                <w:sz w:val="18"/>
              </w:rPr>
            </w:pPr>
            <w:r>
              <w:rPr>
                <w:color w:val="105C84"/>
                <w:sz w:val="18"/>
              </w:rPr>
              <w:t>Finger Lakes </w:t>
            </w:r>
            <w:r>
              <w:rPr>
                <w:color w:val="105C84"/>
                <w:spacing w:val="-2"/>
                <w:sz w:val="18"/>
              </w:rPr>
              <w:t>Community </w:t>
            </w:r>
            <w:r>
              <w:rPr>
                <w:color w:val="105C84"/>
                <w:sz w:val="18"/>
              </w:rPr>
              <w:t>Health</w:t>
            </w:r>
            <w:r>
              <w:rPr>
                <w:color w:val="105C84"/>
                <w:spacing w:val="-15"/>
                <w:sz w:val="18"/>
              </w:rPr>
              <w:t> </w:t>
            </w:r>
            <w:r>
              <w:rPr>
                <w:color w:val="105C84"/>
                <w:sz w:val="18"/>
              </w:rPr>
              <w:t>and</w:t>
            </w:r>
            <w:r>
              <w:rPr>
                <w:color w:val="105C84"/>
                <w:spacing w:val="-12"/>
                <w:sz w:val="18"/>
              </w:rPr>
              <w:t> </w:t>
            </w:r>
            <w:r>
              <w:rPr>
                <w:color w:val="105C84"/>
                <w:sz w:val="18"/>
              </w:rPr>
              <w:t>Oak Orchard</w:t>
            </w:r>
            <w:r>
              <w:rPr>
                <w:color w:val="105C84"/>
                <w:spacing w:val="-4"/>
                <w:sz w:val="18"/>
              </w:rPr>
              <w:t> </w:t>
            </w:r>
            <w:r>
              <w:rPr>
                <w:color w:val="105C84"/>
                <w:spacing w:val="-2"/>
                <w:sz w:val="18"/>
              </w:rPr>
              <w:t>Health</w:t>
            </w:r>
          </w:p>
        </w:tc>
        <w:tc>
          <w:tcPr>
            <w:tcW w:w="1525" w:type="dxa"/>
            <w:vMerge/>
            <w:tcBorders>
              <w:top w:val="nil"/>
            </w:tcBorders>
          </w:tcPr>
          <w:p>
            <w:pPr>
              <w:rPr>
                <w:sz w:val="2"/>
                <w:szCs w:val="2"/>
              </w:rPr>
            </w:pPr>
          </w:p>
        </w:tc>
        <w:tc>
          <w:tcPr>
            <w:tcW w:w="1981" w:type="dxa"/>
          </w:tcPr>
          <w:p>
            <w:pPr>
              <w:pStyle w:val="TableParagraph"/>
              <w:spacing w:line="232" w:lineRule="auto" w:before="99"/>
              <w:ind w:left="99" w:right="149"/>
              <w:rPr>
                <w:sz w:val="18"/>
              </w:rPr>
            </w:pPr>
            <w:r>
              <w:rPr>
                <w:color w:val="105C84"/>
                <w:sz w:val="18"/>
              </w:rPr>
              <w:t>Center for Tobacco Free Finger Lakes, CTFFL, is a program that provides free </w:t>
            </w:r>
            <w:r>
              <w:rPr>
                <w:color w:val="105C84"/>
                <w:spacing w:val="-2"/>
                <w:sz w:val="18"/>
              </w:rPr>
              <w:t>tobacco-cessation </w:t>
            </w:r>
            <w:r>
              <w:rPr>
                <w:color w:val="105C84"/>
                <w:sz w:val="18"/>
              </w:rPr>
              <w:t>training</w:t>
            </w:r>
            <w:r>
              <w:rPr>
                <w:color w:val="105C84"/>
                <w:spacing w:val="-10"/>
                <w:sz w:val="18"/>
              </w:rPr>
              <w:t> </w:t>
            </w:r>
            <w:r>
              <w:rPr>
                <w:color w:val="105C84"/>
                <w:sz w:val="18"/>
              </w:rPr>
              <w:t>and</w:t>
            </w:r>
            <w:r>
              <w:rPr>
                <w:color w:val="105C84"/>
                <w:spacing w:val="-10"/>
                <w:sz w:val="18"/>
              </w:rPr>
              <w:t> </w:t>
            </w:r>
            <w:r>
              <w:rPr>
                <w:color w:val="105C84"/>
                <w:sz w:val="18"/>
              </w:rPr>
              <w:t>technical assistance to health care systems and</w:t>
            </w:r>
          </w:p>
          <w:p>
            <w:pPr>
              <w:pStyle w:val="TableParagraph"/>
              <w:spacing w:line="232" w:lineRule="auto"/>
              <w:ind w:left="99" w:right="149"/>
              <w:rPr>
                <w:sz w:val="18"/>
              </w:rPr>
            </w:pPr>
            <w:r>
              <w:rPr>
                <w:color w:val="105C84"/>
                <w:sz w:val="18"/>
              </w:rPr>
              <w:t>to</w:t>
            </w:r>
            <w:r>
              <w:rPr>
                <w:color w:val="105C84"/>
                <w:spacing w:val="-15"/>
                <w:sz w:val="18"/>
              </w:rPr>
              <w:t> </w:t>
            </w:r>
            <w:r>
              <w:rPr>
                <w:color w:val="105C84"/>
                <w:sz w:val="18"/>
              </w:rPr>
              <w:t>health</w:t>
            </w:r>
            <w:r>
              <w:rPr>
                <w:color w:val="105C84"/>
                <w:spacing w:val="-12"/>
                <w:sz w:val="18"/>
              </w:rPr>
              <w:t> </w:t>
            </w:r>
            <w:r>
              <w:rPr>
                <w:color w:val="105C84"/>
                <w:sz w:val="18"/>
              </w:rPr>
              <w:t>care </w:t>
            </w:r>
            <w:r>
              <w:rPr>
                <w:color w:val="105C84"/>
                <w:spacing w:val="-2"/>
                <w:sz w:val="18"/>
              </w:rPr>
              <w:t>professionals</w:t>
            </w:r>
          </w:p>
        </w:tc>
      </w:tr>
    </w:tbl>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249"/>
        <w:rPr>
          <w:b/>
          <w:sz w:val="26"/>
        </w:rPr>
      </w:pPr>
    </w:p>
    <w:p>
      <w:pPr>
        <w:tabs>
          <w:tab w:pos="23047" w:val="left" w:leader="none"/>
        </w:tabs>
        <w:spacing w:before="1"/>
        <w:ind w:left="0" w:right="0" w:firstLine="0"/>
        <w:jc w:val="left"/>
        <w:rPr>
          <w:b/>
          <w:sz w:val="26"/>
        </w:rPr>
      </w:pPr>
      <w:r>
        <w:rPr>
          <w:position w:val="-4"/>
        </w:rPr>
        <w:drawing>
          <wp:inline distT="0" distB="0" distL="0" distR="0">
            <wp:extent cx="568172" cy="184683"/>
            <wp:effectExtent l="0" t="0" r="0" b="0"/>
            <wp:docPr id="1964" name="Image 1964"/>
            <wp:cNvGraphicFramePr>
              <a:graphicFrameLocks/>
            </wp:cNvGraphicFramePr>
            <a:graphic>
              <a:graphicData uri="http://schemas.openxmlformats.org/drawingml/2006/picture">
                <pic:pic>
                  <pic:nvPicPr>
                    <pic:cNvPr id="1964" name="Image 1964"/>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13"/>
          <w:sz w:val="20"/>
        </w:rPr>
        <w:t> </w:t>
      </w:r>
      <w:r>
        <w:rPr>
          <w:b/>
          <w:color w:val="939598"/>
          <w:w w:val="105"/>
          <w:sz w:val="26"/>
        </w:rPr>
        <w:t>197</w:t>
      </w:r>
      <w:r>
        <w:rPr>
          <w:b/>
          <w:color w:val="939598"/>
          <w:sz w:val="26"/>
        </w:rPr>
        <w:tab/>
      </w:r>
      <w:r>
        <w:rPr>
          <w:b/>
          <w:color w:val="939598"/>
          <w:spacing w:val="-5"/>
          <w:w w:val="105"/>
          <w:sz w:val="26"/>
        </w:rPr>
        <w:t>198</w:t>
      </w:r>
    </w:p>
    <w:p>
      <w:pPr>
        <w:spacing w:after="0"/>
        <w:jc w:val="left"/>
        <w:rPr>
          <w:b/>
          <w:sz w:val="26"/>
        </w:rPr>
        <w:sectPr>
          <w:pgSz w:w="24480" w:h="15840" w:orient="landscape"/>
          <w:pgMar w:header="0" w:footer="0" w:top="860" w:bottom="0" w:left="0" w:right="720"/>
        </w:sectPr>
      </w:pPr>
    </w:p>
    <w:p>
      <w:pPr>
        <w:pStyle w:val="BodyText"/>
        <w:spacing w:before="8"/>
        <w:rPr>
          <w:b/>
          <w:sz w:val="54"/>
        </w:rPr>
      </w:pPr>
      <w:r>
        <w:rPr>
          <w:b/>
          <w:sz w:val="54"/>
        </w:rPr>
        <w:drawing>
          <wp:anchor distT="0" distB="0" distL="0" distR="0" allowOverlap="1" layoutInCell="1" locked="0" behindDoc="0" simplePos="0" relativeHeight="16004608">
            <wp:simplePos x="0" y="0"/>
            <wp:positionH relativeFrom="page">
              <wp:posOffset>14981556</wp:posOffset>
            </wp:positionH>
            <wp:positionV relativeFrom="page">
              <wp:posOffset>9668103</wp:posOffset>
            </wp:positionV>
            <wp:extent cx="563245" cy="184683"/>
            <wp:effectExtent l="0" t="0" r="0" b="0"/>
            <wp:wrapNone/>
            <wp:docPr id="1965" name="Image 1965"/>
            <wp:cNvGraphicFramePr>
              <a:graphicFrameLocks/>
            </wp:cNvGraphicFramePr>
            <a:graphic>
              <a:graphicData uri="http://schemas.openxmlformats.org/drawingml/2006/picture">
                <pic:pic>
                  <pic:nvPicPr>
                    <pic:cNvPr id="1965" name="Image 1965"/>
                    <pic:cNvPicPr/>
                  </pic:nvPicPr>
                  <pic:blipFill>
                    <a:blip r:embed="rId38" cstate="print"/>
                    <a:stretch>
                      <a:fillRect/>
                    </a:stretch>
                  </pic:blipFill>
                  <pic:spPr>
                    <a:xfrm>
                      <a:off x="0" y="0"/>
                      <a:ext cx="563245" cy="184683"/>
                    </a:xfrm>
                    <a:prstGeom prst="rect">
                      <a:avLst/>
                    </a:prstGeom>
                  </pic:spPr>
                </pic:pic>
              </a:graphicData>
            </a:graphic>
          </wp:anchor>
        </w:drawing>
      </w:r>
    </w:p>
    <w:p>
      <w:pPr>
        <w:spacing w:before="0"/>
        <w:ind w:left="1089" w:right="0" w:firstLine="0"/>
        <w:jc w:val="left"/>
        <w:rPr>
          <w:sz w:val="54"/>
        </w:rPr>
      </w:pPr>
      <w:r>
        <w:rPr>
          <w:sz w:val="54"/>
        </w:rPr>
        <w:drawing>
          <wp:anchor distT="0" distB="0" distL="0" distR="0" allowOverlap="1" layoutInCell="1" locked="0" behindDoc="0" simplePos="0" relativeHeight="16005120">
            <wp:simplePos x="0" y="0"/>
            <wp:positionH relativeFrom="page">
              <wp:posOffset>14298866</wp:posOffset>
            </wp:positionH>
            <wp:positionV relativeFrom="paragraph">
              <wp:posOffset>-66292</wp:posOffset>
            </wp:positionV>
            <wp:extent cx="552068" cy="591502"/>
            <wp:effectExtent l="0" t="0" r="0" b="0"/>
            <wp:wrapNone/>
            <wp:docPr id="1966" name="Image 1966"/>
            <wp:cNvGraphicFramePr>
              <a:graphicFrameLocks/>
            </wp:cNvGraphicFramePr>
            <a:graphic>
              <a:graphicData uri="http://schemas.openxmlformats.org/drawingml/2006/picture">
                <pic:pic>
                  <pic:nvPicPr>
                    <pic:cNvPr id="1966" name="Image 1966"/>
                    <pic:cNvPicPr/>
                  </pic:nvPicPr>
                  <pic:blipFill>
                    <a:blip r:embed="rId259" cstate="print"/>
                    <a:stretch>
                      <a:fillRect/>
                    </a:stretch>
                  </pic:blipFill>
                  <pic:spPr>
                    <a:xfrm>
                      <a:off x="0" y="0"/>
                      <a:ext cx="552068" cy="591502"/>
                    </a:xfrm>
                    <a:prstGeom prst="rect">
                      <a:avLst/>
                    </a:prstGeom>
                  </pic:spPr>
                </pic:pic>
              </a:graphicData>
            </a:graphic>
          </wp:anchor>
        </w:drawing>
      </w:r>
      <w:r>
        <w:rPr>
          <w:sz w:val="54"/>
        </w:rPr>
        <w:drawing>
          <wp:anchor distT="0" distB="0" distL="0" distR="0" allowOverlap="1" layoutInCell="1" locked="0" behindDoc="0" simplePos="0" relativeHeight="16005632">
            <wp:simplePos x="0" y="0"/>
            <wp:positionH relativeFrom="page">
              <wp:posOffset>11596623</wp:posOffset>
            </wp:positionH>
            <wp:positionV relativeFrom="paragraph">
              <wp:posOffset>-68598</wp:posOffset>
            </wp:positionV>
            <wp:extent cx="1311661" cy="345815"/>
            <wp:effectExtent l="0" t="0" r="0" b="0"/>
            <wp:wrapNone/>
            <wp:docPr id="1967" name="Image 1967"/>
            <wp:cNvGraphicFramePr>
              <a:graphicFrameLocks/>
            </wp:cNvGraphicFramePr>
            <a:graphic>
              <a:graphicData uri="http://schemas.openxmlformats.org/drawingml/2006/picture">
                <pic:pic>
                  <pic:nvPicPr>
                    <pic:cNvPr id="1967" name="Image 1967"/>
                    <pic:cNvPicPr/>
                  </pic:nvPicPr>
                  <pic:blipFill>
                    <a:blip r:embed="rId260" cstate="print"/>
                    <a:stretch>
                      <a:fillRect/>
                    </a:stretch>
                  </pic:blipFill>
                  <pic:spPr>
                    <a:xfrm>
                      <a:off x="0" y="0"/>
                      <a:ext cx="1311661" cy="345815"/>
                    </a:xfrm>
                    <a:prstGeom prst="rect">
                      <a:avLst/>
                    </a:prstGeom>
                  </pic:spPr>
                </pic:pic>
              </a:graphicData>
            </a:graphic>
          </wp:anchor>
        </w:drawing>
      </w:r>
      <w:r>
        <w:rPr>
          <w:sz w:val="54"/>
        </w:rPr>
        <w:drawing>
          <wp:anchor distT="0" distB="0" distL="0" distR="0" allowOverlap="1" layoutInCell="1" locked="0" behindDoc="0" simplePos="0" relativeHeight="16006144">
            <wp:simplePos x="0" y="0"/>
            <wp:positionH relativeFrom="page">
              <wp:posOffset>13088996</wp:posOffset>
            </wp:positionH>
            <wp:positionV relativeFrom="paragraph">
              <wp:posOffset>-75983</wp:posOffset>
            </wp:positionV>
            <wp:extent cx="1063929" cy="302976"/>
            <wp:effectExtent l="0" t="0" r="0" b="0"/>
            <wp:wrapNone/>
            <wp:docPr id="1968" name="Image 1968"/>
            <wp:cNvGraphicFramePr>
              <a:graphicFrameLocks/>
            </wp:cNvGraphicFramePr>
            <a:graphic>
              <a:graphicData uri="http://schemas.openxmlformats.org/drawingml/2006/picture">
                <pic:pic>
                  <pic:nvPicPr>
                    <pic:cNvPr id="1968" name="Image 1968"/>
                    <pic:cNvPicPr/>
                  </pic:nvPicPr>
                  <pic:blipFill>
                    <a:blip r:embed="rId261" cstate="print"/>
                    <a:stretch>
                      <a:fillRect/>
                    </a:stretch>
                  </pic:blipFill>
                  <pic:spPr>
                    <a:xfrm>
                      <a:off x="0" y="0"/>
                      <a:ext cx="1063929" cy="302976"/>
                    </a:xfrm>
                    <a:prstGeom prst="rect">
                      <a:avLst/>
                    </a:prstGeom>
                  </pic:spPr>
                </pic:pic>
              </a:graphicData>
            </a:graphic>
          </wp:anchor>
        </w:drawing>
      </w:r>
      <w:r>
        <w:rPr>
          <w:sz w:val="54"/>
        </w:rPr>
        <w:drawing>
          <wp:anchor distT="0" distB="0" distL="0" distR="0" allowOverlap="1" layoutInCell="1" locked="0" behindDoc="0" simplePos="0" relativeHeight="16006656">
            <wp:simplePos x="0" y="0"/>
            <wp:positionH relativeFrom="page">
              <wp:posOffset>11099800</wp:posOffset>
            </wp:positionH>
            <wp:positionV relativeFrom="paragraph">
              <wp:posOffset>-119473</wp:posOffset>
            </wp:positionV>
            <wp:extent cx="330199" cy="393699"/>
            <wp:effectExtent l="0" t="0" r="0" b="0"/>
            <wp:wrapNone/>
            <wp:docPr id="1969" name="Image 1969"/>
            <wp:cNvGraphicFramePr>
              <a:graphicFrameLocks/>
            </wp:cNvGraphicFramePr>
            <a:graphic>
              <a:graphicData uri="http://schemas.openxmlformats.org/drawingml/2006/picture">
                <pic:pic>
                  <pic:nvPicPr>
                    <pic:cNvPr id="1969" name="Image 1969"/>
                    <pic:cNvPicPr/>
                  </pic:nvPicPr>
                  <pic:blipFill>
                    <a:blip r:embed="rId262" cstate="print"/>
                    <a:stretch>
                      <a:fillRect/>
                    </a:stretch>
                  </pic:blipFill>
                  <pic:spPr>
                    <a:xfrm>
                      <a:off x="0" y="0"/>
                      <a:ext cx="330199" cy="393699"/>
                    </a:xfrm>
                    <a:prstGeom prst="rect">
                      <a:avLst/>
                    </a:prstGeom>
                  </pic:spPr>
                </pic:pic>
              </a:graphicData>
            </a:graphic>
          </wp:anchor>
        </w:drawing>
      </w:r>
      <w:r>
        <w:rPr>
          <w:sz w:val="54"/>
        </w:rPr>
        <w:drawing>
          <wp:anchor distT="0" distB="0" distL="0" distR="0" allowOverlap="1" layoutInCell="1" locked="0" behindDoc="0" simplePos="0" relativeHeight="16007168">
            <wp:simplePos x="0" y="0"/>
            <wp:positionH relativeFrom="page">
              <wp:posOffset>9610343</wp:posOffset>
            </wp:positionH>
            <wp:positionV relativeFrom="paragraph">
              <wp:posOffset>-24936</wp:posOffset>
            </wp:positionV>
            <wp:extent cx="1279782" cy="224523"/>
            <wp:effectExtent l="0" t="0" r="0" b="0"/>
            <wp:wrapNone/>
            <wp:docPr id="1970" name="Image 1970"/>
            <wp:cNvGraphicFramePr>
              <a:graphicFrameLocks/>
            </wp:cNvGraphicFramePr>
            <a:graphic>
              <a:graphicData uri="http://schemas.openxmlformats.org/drawingml/2006/picture">
                <pic:pic>
                  <pic:nvPicPr>
                    <pic:cNvPr id="1970" name="Image 1970"/>
                    <pic:cNvPicPr/>
                  </pic:nvPicPr>
                  <pic:blipFill>
                    <a:blip r:embed="rId263" cstate="print"/>
                    <a:stretch>
                      <a:fillRect/>
                    </a:stretch>
                  </pic:blipFill>
                  <pic:spPr>
                    <a:xfrm>
                      <a:off x="0" y="0"/>
                      <a:ext cx="1279782" cy="224523"/>
                    </a:xfrm>
                    <a:prstGeom prst="rect">
                      <a:avLst/>
                    </a:prstGeom>
                  </pic:spPr>
                </pic:pic>
              </a:graphicData>
            </a:graphic>
          </wp:anchor>
        </w:drawing>
      </w:r>
      <w:r>
        <w:rPr>
          <w:color w:val="636466"/>
          <w:sz w:val="54"/>
        </w:rPr>
        <w:t>Steuben</w:t>
      </w:r>
      <w:r>
        <w:rPr>
          <w:color w:val="636466"/>
          <w:spacing w:val="54"/>
          <w:sz w:val="54"/>
        </w:rPr>
        <w:t> </w:t>
      </w:r>
      <w:r>
        <w:rPr>
          <w:color w:val="636466"/>
          <w:sz w:val="54"/>
        </w:rPr>
        <w:t>County</w:t>
      </w:r>
      <w:r>
        <w:rPr>
          <w:color w:val="636466"/>
          <w:spacing w:val="55"/>
          <w:sz w:val="54"/>
        </w:rPr>
        <w:t> </w:t>
      </w:r>
      <w:r>
        <w:rPr>
          <w:color w:val="636466"/>
          <w:sz w:val="54"/>
        </w:rPr>
        <w:t>Appendix</w:t>
      </w:r>
      <w:r>
        <w:rPr>
          <w:color w:val="636466"/>
          <w:spacing w:val="54"/>
          <w:sz w:val="54"/>
        </w:rPr>
        <w:t> </w:t>
      </w:r>
      <w:r>
        <w:rPr>
          <w:color w:val="636466"/>
          <w:spacing w:val="-10"/>
          <w:sz w:val="54"/>
        </w:rPr>
        <w:t>F</w:t>
      </w:r>
    </w:p>
    <w:p>
      <w:pPr>
        <w:spacing w:line="247" w:lineRule="auto" w:before="236"/>
        <w:ind w:left="1089" w:right="13013" w:firstLine="0"/>
        <w:jc w:val="left"/>
        <w:rPr>
          <w:b/>
          <w:sz w:val="32"/>
        </w:rPr>
      </w:pPr>
      <w:r>
        <w:rPr>
          <w:b/>
          <w:color w:val="82BF6A"/>
          <w:spacing w:val="-4"/>
          <w:sz w:val="32"/>
        </w:rPr>
        <w:t>PRIORITY:</w:t>
      </w:r>
      <w:r>
        <w:rPr>
          <w:b/>
          <w:color w:val="82BF6A"/>
          <w:spacing w:val="-19"/>
          <w:sz w:val="32"/>
        </w:rPr>
        <w:t> </w:t>
      </w:r>
      <w:r>
        <w:rPr>
          <w:b/>
          <w:color w:val="82BF6A"/>
          <w:spacing w:val="-4"/>
          <w:sz w:val="32"/>
        </w:rPr>
        <w:t>PROMOTE</w:t>
      </w:r>
      <w:r>
        <w:rPr>
          <w:b/>
          <w:color w:val="82BF6A"/>
          <w:spacing w:val="-18"/>
          <w:sz w:val="32"/>
        </w:rPr>
        <w:t> </w:t>
      </w:r>
      <w:r>
        <w:rPr>
          <w:b/>
          <w:color w:val="82BF6A"/>
          <w:spacing w:val="-4"/>
          <w:sz w:val="32"/>
        </w:rPr>
        <w:t>WELL-BEING</w:t>
      </w:r>
      <w:r>
        <w:rPr>
          <w:b/>
          <w:color w:val="82BF6A"/>
          <w:spacing w:val="-18"/>
          <w:sz w:val="32"/>
        </w:rPr>
        <w:t> </w:t>
      </w:r>
      <w:r>
        <w:rPr>
          <w:b/>
          <w:color w:val="82BF6A"/>
          <w:spacing w:val="-4"/>
          <w:sz w:val="32"/>
        </w:rPr>
        <w:t>AND</w:t>
      </w:r>
      <w:r>
        <w:rPr>
          <w:b/>
          <w:color w:val="82BF6A"/>
          <w:spacing w:val="-18"/>
          <w:sz w:val="32"/>
        </w:rPr>
        <w:t> </w:t>
      </w:r>
      <w:r>
        <w:rPr>
          <w:b/>
          <w:color w:val="82BF6A"/>
          <w:spacing w:val="-4"/>
          <w:sz w:val="32"/>
        </w:rPr>
        <w:t>PREVENT</w:t>
      </w:r>
      <w:r>
        <w:rPr>
          <w:b/>
          <w:color w:val="82BF6A"/>
          <w:spacing w:val="-19"/>
          <w:sz w:val="32"/>
        </w:rPr>
        <w:t> </w:t>
      </w:r>
      <w:r>
        <w:rPr>
          <w:b/>
          <w:color w:val="82BF6A"/>
          <w:spacing w:val="-4"/>
          <w:sz w:val="32"/>
        </w:rPr>
        <w:t>MENTAL </w:t>
      </w:r>
      <w:r>
        <w:rPr>
          <w:b/>
          <w:color w:val="82BF6A"/>
          <w:sz w:val="32"/>
        </w:rPr>
        <w:t>AND</w:t>
      </w:r>
      <w:r>
        <w:rPr>
          <w:b/>
          <w:color w:val="82BF6A"/>
          <w:spacing w:val="-22"/>
          <w:sz w:val="32"/>
        </w:rPr>
        <w:t> </w:t>
      </w:r>
      <w:r>
        <w:rPr>
          <w:b/>
          <w:color w:val="82BF6A"/>
          <w:sz w:val="32"/>
        </w:rPr>
        <w:t>SUBSTANCE</w:t>
      </w:r>
      <w:r>
        <w:rPr>
          <w:b/>
          <w:color w:val="82BF6A"/>
          <w:spacing w:val="-22"/>
          <w:sz w:val="32"/>
        </w:rPr>
        <w:t> </w:t>
      </w:r>
      <w:r>
        <w:rPr>
          <w:b/>
          <w:color w:val="82BF6A"/>
          <w:sz w:val="32"/>
        </w:rPr>
        <w:t>USE</w:t>
      </w:r>
      <w:r>
        <w:rPr>
          <w:b/>
          <w:color w:val="82BF6A"/>
          <w:spacing w:val="-22"/>
          <w:sz w:val="32"/>
        </w:rPr>
        <w:t> </w:t>
      </w:r>
      <w:r>
        <w:rPr>
          <w:b/>
          <w:color w:val="82BF6A"/>
          <w:sz w:val="32"/>
        </w:rPr>
        <w:t>DISORDERS</w:t>
      </w:r>
    </w:p>
    <w:p>
      <w:pPr>
        <w:pStyle w:val="BodyText"/>
        <w:spacing w:before="152"/>
        <w:rPr>
          <w:b/>
          <w:sz w:val="20"/>
        </w:rPr>
      </w:pPr>
    </w:p>
    <w:tbl>
      <w:tblPr>
        <w:tblW w:w="0" w:type="auto"/>
        <w:jc w:val="left"/>
        <w:tblInd w:w="1099"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1180"/>
        <w:gridCol w:w="1555"/>
        <w:gridCol w:w="1497"/>
        <w:gridCol w:w="1756"/>
        <w:gridCol w:w="1115"/>
        <w:gridCol w:w="1565"/>
        <w:gridCol w:w="2614"/>
        <w:gridCol w:w="3370"/>
        <w:gridCol w:w="1539"/>
        <w:gridCol w:w="1568"/>
        <w:gridCol w:w="1669"/>
        <w:gridCol w:w="2823"/>
      </w:tblGrid>
      <w:tr>
        <w:trPr>
          <w:trHeight w:val="730" w:hRule="atLeast"/>
        </w:trPr>
        <w:tc>
          <w:tcPr>
            <w:tcW w:w="1180" w:type="dxa"/>
            <w:tcBorders>
              <w:right w:val="single" w:sz="4" w:space="0" w:color="FFFFFF"/>
            </w:tcBorders>
            <w:shd w:val="clear" w:color="auto" w:fill="A7A9AC"/>
          </w:tcPr>
          <w:p>
            <w:pPr>
              <w:pStyle w:val="TableParagraph"/>
              <w:spacing w:before="79"/>
              <w:rPr>
                <w:b/>
                <w:sz w:val="18"/>
              </w:rPr>
            </w:pPr>
          </w:p>
          <w:p>
            <w:pPr>
              <w:pStyle w:val="TableParagraph"/>
              <w:ind w:left="80"/>
              <w:rPr>
                <w:b/>
                <w:sz w:val="18"/>
              </w:rPr>
            </w:pPr>
            <w:r>
              <w:rPr>
                <w:b/>
                <w:color w:val="FFFFFF"/>
                <w:spacing w:val="-2"/>
                <w:sz w:val="18"/>
              </w:rPr>
              <w:t>Priority</w:t>
            </w:r>
          </w:p>
        </w:tc>
        <w:tc>
          <w:tcPr>
            <w:tcW w:w="1555" w:type="dxa"/>
            <w:tcBorders>
              <w:left w:val="single" w:sz="4" w:space="0" w:color="FFFFFF"/>
              <w:right w:val="single" w:sz="4" w:space="0" w:color="FFFFFF"/>
            </w:tcBorders>
            <w:shd w:val="clear" w:color="auto" w:fill="A7A9AC"/>
          </w:tcPr>
          <w:p>
            <w:pPr>
              <w:pStyle w:val="TableParagraph"/>
              <w:spacing w:before="79"/>
              <w:rPr>
                <w:b/>
                <w:sz w:val="18"/>
              </w:rPr>
            </w:pPr>
          </w:p>
          <w:p>
            <w:pPr>
              <w:pStyle w:val="TableParagraph"/>
              <w:ind w:left="80"/>
              <w:rPr>
                <w:b/>
                <w:sz w:val="18"/>
              </w:rPr>
            </w:pPr>
            <w:r>
              <w:rPr>
                <w:b/>
                <w:color w:val="FFFFFF"/>
                <w:w w:val="90"/>
                <w:sz w:val="18"/>
              </w:rPr>
              <w:t>Focus</w:t>
            </w:r>
            <w:r>
              <w:rPr>
                <w:b/>
                <w:color w:val="FFFFFF"/>
                <w:spacing w:val="8"/>
                <w:sz w:val="18"/>
              </w:rPr>
              <w:t> </w:t>
            </w:r>
            <w:r>
              <w:rPr>
                <w:b/>
                <w:color w:val="FFFFFF"/>
                <w:spacing w:val="-4"/>
                <w:sz w:val="18"/>
              </w:rPr>
              <w:t>Area</w:t>
            </w:r>
          </w:p>
        </w:tc>
        <w:tc>
          <w:tcPr>
            <w:tcW w:w="1497" w:type="dxa"/>
            <w:tcBorders>
              <w:left w:val="single" w:sz="4" w:space="0" w:color="FFFFFF"/>
              <w:right w:val="single" w:sz="4" w:space="0" w:color="FFFFFF"/>
            </w:tcBorders>
            <w:shd w:val="clear" w:color="auto" w:fill="A7A9AC"/>
          </w:tcPr>
          <w:p>
            <w:pPr>
              <w:pStyle w:val="TableParagraph"/>
              <w:spacing w:line="232" w:lineRule="auto" w:before="191"/>
              <w:ind w:left="80" w:right="467"/>
              <w:rPr>
                <w:b/>
                <w:sz w:val="18"/>
              </w:rPr>
            </w:pPr>
            <w:r>
              <w:rPr>
                <w:b/>
                <w:color w:val="FFFFFF"/>
                <w:spacing w:val="-6"/>
                <w:sz w:val="18"/>
              </w:rPr>
              <w:t>Goal</w:t>
            </w:r>
            <w:r>
              <w:rPr>
                <w:b/>
                <w:color w:val="FFFFFF"/>
                <w:spacing w:val="-7"/>
                <w:sz w:val="18"/>
              </w:rPr>
              <w:t> </w:t>
            </w:r>
            <w:r>
              <w:rPr>
                <w:b/>
                <w:color w:val="FFFFFF"/>
                <w:spacing w:val="-6"/>
                <w:sz w:val="18"/>
              </w:rPr>
              <w:t>Focus </w:t>
            </w:r>
            <w:r>
              <w:rPr>
                <w:b/>
                <w:color w:val="FFFFFF"/>
                <w:spacing w:val="-4"/>
                <w:sz w:val="18"/>
              </w:rPr>
              <w:t>Area</w:t>
            </w:r>
          </w:p>
        </w:tc>
        <w:tc>
          <w:tcPr>
            <w:tcW w:w="1756" w:type="dxa"/>
            <w:tcBorders>
              <w:left w:val="single" w:sz="4" w:space="0" w:color="FFFFFF"/>
              <w:right w:val="single" w:sz="4" w:space="0" w:color="FFFFFF"/>
            </w:tcBorders>
            <w:shd w:val="clear" w:color="auto" w:fill="A7A9AC"/>
          </w:tcPr>
          <w:p>
            <w:pPr>
              <w:pStyle w:val="TableParagraph"/>
              <w:spacing w:before="79"/>
              <w:rPr>
                <w:b/>
                <w:sz w:val="18"/>
              </w:rPr>
            </w:pPr>
          </w:p>
          <w:p>
            <w:pPr>
              <w:pStyle w:val="TableParagraph"/>
              <w:ind w:left="81"/>
              <w:rPr>
                <w:b/>
                <w:sz w:val="18"/>
              </w:rPr>
            </w:pPr>
            <w:r>
              <w:rPr>
                <w:b/>
                <w:color w:val="FFFFFF"/>
                <w:spacing w:val="-2"/>
                <w:sz w:val="18"/>
              </w:rPr>
              <w:t>Objectives</w:t>
            </w:r>
          </w:p>
        </w:tc>
        <w:tc>
          <w:tcPr>
            <w:tcW w:w="1115" w:type="dxa"/>
            <w:tcBorders>
              <w:left w:val="single" w:sz="4" w:space="0" w:color="FFFFFF"/>
              <w:right w:val="single" w:sz="4" w:space="0" w:color="FFFFFF"/>
            </w:tcBorders>
            <w:shd w:val="clear" w:color="auto" w:fill="A7A9AC"/>
          </w:tcPr>
          <w:p>
            <w:pPr>
              <w:pStyle w:val="TableParagraph"/>
              <w:spacing w:before="79"/>
              <w:rPr>
                <w:b/>
                <w:sz w:val="18"/>
              </w:rPr>
            </w:pPr>
          </w:p>
          <w:p>
            <w:pPr>
              <w:pStyle w:val="TableParagraph"/>
              <w:ind w:left="82"/>
              <w:rPr>
                <w:b/>
                <w:sz w:val="18"/>
              </w:rPr>
            </w:pPr>
            <w:r>
              <w:rPr>
                <w:b/>
                <w:color w:val="FFFFFF"/>
                <w:spacing w:val="-2"/>
                <w:sz w:val="18"/>
              </w:rPr>
              <w:t>Disparities</w:t>
            </w:r>
          </w:p>
        </w:tc>
        <w:tc>
          <w:tcPr>
            <w:tcW w:w="1565" w:type="dxa"/>
            <w:tcBorders>
              <w:left w:val="single" w:sz="4" w:space="0" w:color="FFFFFF"/>
              <w:right w:val="single" w:sz="4" w:space="0" w:color="FFFFFF"/>
            </w:tcBorders>
            <w:shd w:val="clear" w:color="auto" w:fill="A7A9AC"/>
          </w:tcPr>
          <w:p>
            <w:pPr>
              <w:pStyle w:val="TableParagraph"/>
              <w:spacing w:before="79"/>
              <w:rPr>
                <w:b/>
                <w:sz w:val="18"/>
              </w:rPr>
            </w:pPr>
          </w:p>
          <w:p>
            <w:pPr>
              <w:pStyle w:val="TableParagraph"/>
              <w:ind w:left="83"/>
              <w:rPr>
                <w:b/>
                <w:sz w:val="18"/>
              </w:rPr>
            </w:pPr>
            <w:r>
              <w:rPr>
                <w:b/>
                <w:color w:val="FFFFFF"/>
                <w:spacing w:val="-2"/>
                <w:sz w:val="18"/>
              </w:rPr>
              <w:t>Interventions</w:t>
            </w:r>
          </w:p>
        </w:tc>
        <w:tc>
          <w:tcPr>
            <w:tcW w:w="2614" w:type="dxa"/>
            <w:tcBorders>
              <w:left w:val="single" w:sz="4" w:space="0" w:color="FFFFFF"/>
              <w:right w:val="nil"/>
            </w:tcBorders>
            <w:shd w:val="clear" w:color="auto" w:fill="A7A9AC"/>
          </w:tcPr>
          <w:p>
            <w:pPr>
              <w:pStyle w:val="TableParagraph"/>
              <w:spacing w:line="232" w:lineRule="auto" w:before="191"/>
              <w:ind w:left="94" w:right="1062"/>
              <w:rPr>
                <w:b/>
                <w:sz w:val="18"/>
              </w:rPr>
            </w:pPr>
            <w:r>
              <w:rPr>
                <w:b/>
                <w:color w:val="FFFFFF"/>
                <w:sz w:val="18"/>
              </w:rPr>
              <w:t>Family</w:t>
            </w:r>
            <w:r>
              <w:rPr>
                <w:b/>
                <w:color w:val="FFFFFF"/>
                <w:spacing w:val="-13"/>
                <w:sz w:val="18"/>
              </w:rPr>
              <w:t> </w:t>
            </w:r>
            <w:r>
              <w:rPr>
                <w:b/>
                <w:color w:val="FFFFFF"/>
                <w:sz w:val="18"/>
              </w:rPr>
              <w:t>of </w:t>
            </w:r>
            <w:r>
              <w:rPr>
                <w:b/>
                <w:color w:val="FFFFFF"/>
                <w:spacing w:val="-6"/>
                <w:sz w:val="18"/>
              </w:rPr>
              <w:t>Measures</w:t>
            </w:r>
          </w:p>
        </w:tc>
        <w:tc>
          <w:tcPr>
            <w:tcW w:w="3370" w:type="dxa"/>
            <w:tcBorders>
              <w:left w:val="nil"/>
              <w:right w:val="single" w:sz="4" w:space="0" w:color="FFFFFF"/>
            </w:tcBorders>
            <w:shd w:val="clear" w:color="auto" w:fill="A7A9AC"/>
          </w:tcPr>
          <w:p>
            <w:pPr>
              <w:pStyle w:val="TableParagraph"/>
              <w:spacing w:line="232" w:lineRule="auto" w:before="191"/>
              <w:ind w:left="1045" w:right="206"/>
              <w:rPr>
                <w:b/>
                <w:sz w:val="18"/>
              </w:rPr>
            </w:pPr>
            <w:r>
              <w:rPr>
                <w:b/>
                <w:color w:val="FFFFFF"/>
                <w:sz w:val="18"/>
              </w:rPr>
              <w:t>Projected</w:t>
            </w:r>
            <w:r>
              <w:rPr>
                <w:b/>
                <w:color w:val="FFFFFF"/>
                <w:spacing w:val="-15"/>
                <w:sz w:val="18"/>
              </w:rPr>
              <w:t> </w:t>
            </w:r>
            <w:r>
              <w:rPr>
                <w:b/>
                <w:color w:val="FFFFFF"/>
                <w:sz w:val="18"/>
              </w:rPr>
              <w:t>(or</w:t>
            </w:r>
            <w:r>
              <w:rPr>
                <w:b/>
                <w:color w:val="FFFFFF"/>
                <w:spacing w:val="-12"/>
                <w:sz w:val="18"/>
              </w:rPr>
              <w:t> </w:t>
            </w:r>
            <w:r>
              <w:rPr>
                <w:b/>
                <w:color w:val="FFFFFF"/>
                <w:sz w:val="18"/>
              </w:rPr>
              <w:t>completed) Year 1 Intervention</w:t>
            </w:r>
          </w:p>
        </w:tc>
        <w:tc>
          <w:tcPr>
            <w:tcW w:w="1539" w:type="dxa"/>
            <w:tcBorders>
              <w:left w:val="single" w:sz="4" w:space="0" w:color="FFFFFF"/>
              <w:right w:val="single" w:sz="4" w:space="0" w:color="FFFFFF"/>
            </w:tcBorders>
            <w:shd w:val="clear" w:color="auto" w:fill="A7A9AC"/>
          </w:tcPr>
          <w:p>
            <w:pPr>
              <w:pStyle w:val="TableParagraph"/>
              <w:spacing w:line="232" w:lineRule="auto" w:before="191"/>
              <w:ind w:left="86" w:right="620"/>
              <w:rPr>
                <w:b/>
                <w:sz w:val="18"/>
              </w:rPr>
            </w:pPr>
            <w:r>
              <w:rPr>
                <w:b/>
                <w:color w:val="FFFFFF"/>
                <w:spacing w:val="-2"/>
                <w:sz w:val="18"/>
              </w:rPr>
              <w:t>Projected </w:t>
            </w:r>
            <w:r>
              <w:rPr>
                <w:b/>
                <w:color w:val="FFFFFF"/>
                <w:sz w:val="18"/>
              </w:rPr>
              <w:t>Year 2</w:t>
            </w:r>
          </w:p>
        </w:tc>
        <w:tc>
          <w:tcPr>
            <w:tcW w:w="1568" w:type="dxa"/>
            <w:tcBorders>
              <w:left w:val="single" w:sz="4" w:space="0" w:color="FFFFFF"/>
              <w:right w:val="single" w:sz="4" w:space="0" w:color="FFFFFF"/>
            </w:tcBorders>
            <w:shd w:val="clear" w:color="auto" w:fill="A7A9AC"/>
          </w:tcPr>
          <w:p>
            <w:pPr>
              <w:pStyle w:val="TableParagraph"/>
              <w:spacing w:line="232" w:lineRule="auto" w:before="191"/>
              <w:ind w:left="88" w:right="11"/>
              <w:rPr>
                <w:b/>
                <w:sz w:val="18"/>
              </w:rPr>
            </w:pPr>
            <w:r>
              <w:rPr>
                <w:b/>
                <w:color w:val="FFFFFF"/>
                <w:spacing w:val="-2"/>
                <w:sz w:val="18"/>
              </w:rPr>
              <w:t>Projected</w:t>
            </w:r>
            <w:r>
              <w:rPr>
                <w:b/>
                <w:color w:val="FFFFFF"/>
                <w:spacing w:val="-13"/>
                <w:sz w:val="18"/>
              </w:rPr>
              <w:t> </w:t>
            </w:r>
            <w:r>
              <w:rPr>
                <w:b/>
                <w:color w:val="FFFFFF"/>
                <w:spacing w:val="-2"/>
                <w:sz w:val="18"/>
              </w:rPr>
              <w:t>Year</w:t>
            </w:r>
            <w:r>
              <w:rPr>
                <w:b/>
                <w:color w:val="FFFFFF"/>
                <w:spacing w:val="-10"/>
                <w:sz w:val="18"/>
              </w:rPr>
              <w:t> </w:t>
            </w:r>
            <w:r>
              <w:rPr>
                <w:b/>
                <w:color w:val="FFFFFF"/>
                <w:spacing w:val="-2"/>
                <w:sz w:val="18"/>
              </w:rPr>
              <w:t>3 Interventions</w:t>
            </w:r>
          </w:p>
        </w:tc>
        <w:tc>
          <w:tcPr>
            <w:tcW w:w="1669" w:type="dxa"/>
            <w:tcBorders>
              <w:left w:val="single" w:sz="4" w:space="0" w:color="FFFFFF"/>
            </w:tcBorders>
            <w:shd w:val="clear" w:color="auto" w:fill="A7A9AC"/>
          </w:tcPr>
          <w:p>
            <w:pPr>
              <w:pStyle w:val="TableParagraph"/>
              <w:spacing w:line="232" w:lineRule="auto" w:before="191"/>
              <w:ind w:left="90"/>
              <w:rPr>
                <w:b/>
                <w:sz w:val="18"/>
              </w:rPr>
            </w:pPr>
            <w:r>
              <w:rPr>
                <w:b/>
                <w:color w:val="FFFFFF"/>
                <w:spacing w:val="-2"/>
                <w:sz w:val="18"/>
              </w:rPr>
              <w:t>Implementation Partner</w:t>
            </w:r>
          </w:p>
        </w:tc>
        <w:tc>
          <w:tcPr>
            <w:tcW w:w="2823" w:type="dxa"/>
            <w:shd w:val="clear" w:color="auto" w:fill="A7A9AC"/>
          </w:tcPr>
          <w:p>
            <w:pPr>
              <w:pStyle w:val="TableParagraph"/>
              <w:spacing w:before="78"/>
              <w:rPr>
                <w:b/>
                <w:sz w:val="18"/>
              </w:rPr>
            </w:pPr>
          </w:p>
          <w:p>
            <w:pPr>
              <w:pStyle w:val="TableParagraph"/>
              <w:spacing w:before="1"/>
              <w:ind w:left="91"/>
              <w:rPr>
                <w:b/>
                <w:sz w:val="18"/>
              </w:rPr>
            </w:pPr>
            <w:r>
              <w:rPr>
                <w:b/>
                <w:color w:val="FFFFFF"/>
                <w:spacing w:val="-4"/>
                <w:sz w:val="18"/>
              </w:rPr>
              <w:t>Partner</w:t>
            </w:r>
            <w:r>
              <w:rPr>
                <w:b/>
                <w:color w:val="FFFFFF"/>
                <w:spacing w:val="-1"/>
                <w:sz w:val="18"/>
              </w:rPr>
              <w:t> </w:t>
            </w:r>
            <w:r>
              <w:rPr>
                <w:b/>
                <w:color w:val="FFFFFF"/>
                <w:spacing w:val="-4"/>
                <w:sz w:val="18"/>
              </w:rPr>
              <w:t>Role(s)</w:t>
            </w:r>
            <w:r>
              <w:rPr>
                <w:b/>
                <w:color w:val="FFFFFF"/>
                <w:sz w:val="18"/>
              </w:rPr>
              <w:t> </w:t>
            </w:r>
            <w:r>
              <w:rPr>
                <w:b/>
                <w:color w:val="FFFFFF"/>
                <w:spacing w:val="-4"/>
                <w:sz w:val="18"/>
              </w:rPr>
              <w:t>and</w:t>
            </w:r>
            <w:r>
              <w:rPr>
                <w:b/>
                <w:color w:val="FFFFFF"/>
                <w:sz w:val="18"/>
              </w:rPr>
              <w:t> </w:t>
            </w:r>
            <w:r>
              <w:rPr>
                <w:b/>
                <w:color w:val="FFFFFF"/>
                <w:spacing w:val="-4"/>
                <w:sz w:val="18"/>
              </w:rPr>
              <w:t>Resources</w:t>
            </w:r>
          </w:p>
        </w:tc>
      </w:tr>
      <w:tr>
        <w:trPr>
          <w:trHeight w:val="2236" w:hRule="atLeast"/>
        </w:trPr>
        <w:tc>
          <w:tcPr>
            <w:tcW w:w="1180" w:type="dxa"/>
            <w:tcBorders>
              <w:bottom w:val="nil"/>
            </w:tcBorders>
            <w:shd w:val="clear" w:color="auto" w:fill="E6E7E8"/>
          </w:tcPr>
          <w:p>
            <w:pPr>
              <w:pStyle w:val="TableParagraph"/>
              <w:spacing w:line="232" w:lineRule="auto" w:before="101"/>
              <w:ind w:left="89" w:right="87"/>
              <w:rPr>
                <w:sz w:val="18"/>
              </w:rPr>
            </w:pPr>
            <w:r>
              <w:rPr>
                <w:color w:val="105C84"/>
                <w:spacing w:val="-2"/>
                <w:sz w:val="18"/>
              </w:rPr>
              <w:t>Promote Well-Being </w:t>
            </w:r>
            <w:r>
              <w:rPr>
                <w:color w:val="105C84"/>
                <w:sz w:val="18"/>
              </w:rPr>
              <w:t>and</w:t>
            </w:r>
            <w:r>
              <w:rPr>
                <w:color w:val="105C84"/>
                <w:spacing w:val="-13"/>
                <w:sz w:val="18"/>
              </w:rPr>
              <w:t> </w:t>
            </w:r>
            <w:r>
              <w:rPr>
                <w:color w:val="105C84"/>
                <w:sz w:val="18"/>
              </w:rPr>
              <w:t>Prevent Mental and </w:t>
            </w:r>
            <w:r>
              <w:rPr>
                <w:color w:val="105C84"/>
                <w:spacing w:val="-2"/>
                <w:sz w:val="18"/>
              </w:rPr>
              <w:t>Substance </w:t>
            </w:r>
            <w:r>
              <w:rPr>
                <w:color w:val="105C84"/>
                <w:spacing w:val="-4"/>
                <w:sz w:val="18"/>
              </w:rPr>
              <w:t>Use </w:t>
            </w:r>
            <w:r>
              <w:rPr>
                <w:color w:val="105C84"/>
                <w:spacing w:val="-2"/>
                <w:sz w:val="18"/>
              </w:rPr>
              <w:t>Disorders</w:t>
            </w:r>
          </w:p>
        </w:tc>
        <w:tc>
          <w:tcPr>
            <w:tcW w:w="1555" w:type="dxa"/>
            <w:tcBorders>
              <w:bottom w:val="nil"/>
            </w:tcBorders>
          </w:tcPr>
          <w:p>
            <w:pPr>
              <w:pStyle w:val="TableParagraph"/>
              <w:spacing w:line="232" w:lineRule="auto" w:before="100"/>
              <w:ind w:left="90" w:right="237"/>
              <w:rPr>
                <w:sz w:val="18"/>
              </w:rPr>
            </w:pPr>
            <w:r>
              <w:rPr>
                <w:color w:val="105C84"/>
                <w:sz w:val="18"/>
              </w:rPr>
              <w:t>Focus Area 2: Prevent</w:t>
            </w:r>
            <w:r>
              <w:rPr>
                <w:color w:val="105C84"/>
                <w:spacing w:val="-13"/>
                <w:sz w:val="18"/>
              </w:rPr>
              <w:t> </w:t>
            </w:r>
            <w:r>
              <w:rPr>
                <w:color w:val="105C84"/>
                <w:sz w:val="18"/>
              </w:rPr>
              <w:t>Mental and</w:t>
            </w:r>
            <w:r>
              <w:rPr>
                <w:color w:val="105C84"/>
                <w:spacing w:val="-13"/>
                <w:sz w:val="18"/>
              </w:rPr>
              <w:t> </w:t>
            </w:r>
            <w:r>
              <w:rPr>
                <w:color w:val="105C84"/>
                <w:sz w:val="18"/>
              </w:rPr>
              <w:t>Substance Use Disorders</w:t>
            </w:r>
          </w:p>
        </w:tc>
        <w:tc>
          <w:tcPr>
            <w:tcW w:w="1497" w:type="dxa"/>
            <w:tcBorders>
              <w:bottom w:val="nil"/>
            </w:tcBorders>
          </w:tcPr>
          <w:p>
            <w:pPr>
              <w:pStyle w:val="TableParagraph"/>
              <w:spacing w:line="232" w:lineRule="auto" w:before="100"/>
              <w:ind w:left="90" w:right="70"/>
              <w:rPr>
                <w:sz w:val="18"/>
              </w:rPr>
            </w:pPr>
            <w:r>
              <w:rPr>
                <w:color w:val="105C84"/>
                <w:sz w:val="18"/>
              </w:rPr>
              <w:t>Goal 2.2: Prevent</w:t>
            </w:r>
            <w:r>
              <w:rPr>
                <w:color w:val="105C84"/>
                <w:spacing w:val="-13"/>
                <w:sz w:val="18"/>
              </w:rPr>
              <w:t> </w:t>
            </w:r>
            <w:r>
              <w:rPr>
                <w:color w:val="105C84"/>
                <w:sz w:val="18"/>
              </w:rPr>
              <w:t>opioid and other </w:t>
            </w:r>
            <w:r>
              <w:rPr>
                <w:color w:val="105C84"/>
                <w:spacing w:val="-2"/>
                <w:sz w:val="18"/>
              </w:rPr>
              <w:t>substance </w:t>
            </w:r>
            <w:r>
              <w:rPr>
                <w:color w:val="105C84"/>
                <w:sz w:val="18"/>
              </w:rPr>
              <w:t>misuse and </w:t>
            </w:r>
            <w:r>
              <w:rPr>
                <w:color w:val="105C84"/>
                <w:spacing w:val="-2"/>
                <w:sz w:val="18"/>
              </w:rPr>
              <w:t>deaths</w:t>
            </w:r>
          </w:p>
        </w:tc>
        <w:tc>
          <w:tcPr>
            <w:tcW w:w="1756" w:type="dxa"/>
            <w:tcBorders>
              <w:bottom w:val="nil"/>
            </w:tcBorders>
          </w:tcPr>
          <w:p>
            <w:pPr>
              <w:pStyle w:val="TableParagraph"/>
              <w:spacing w:line="232" w:lineRule="auto" w:before="100"/>
              <w:ind w:left="91" w:right="288"/>
              <w:rPr>
                <w:sz w:val="18"/>
              </w:rPr>
            </w:pPr>
            <w:r>
              <w:rPr>
                <w:color w:val="105C84"/>
                <w:sz w:val="18"/>
              </w:rPr>
              <w:t>2.2.1: Reduce the</w:t>
            </w:r>
            <w:r>
              <w:rPr>
                <w:color w:val="105C84"/>
                <w:spacing w:val="-13"/>
                <w:sz w:val="18"/>
              </w:rPr>
              <w:t> </w:t>
            </w:r>
            <w:r>
              <w:rPr>
                <w:color w:val="105C84"/>
                <w:sz w:val="18"/>
              </w:rPr>
              <w:t>age-</w:t>
            </w:r>
            <w:r>
              <w:rPr>
                <w:color w:val="105C84"/>
                <w:sz w:val="18"/>
              </w:rPr>
              <w:t>adjusted</w:t>
            </w:r>
            <w:r>
              <w:rPr>
                <w:color w:val="105C84"/>
                <w:sz w:val="18"/>
              </w:rPr>
              <w:t> overdose</w:t>
            </w:r>
            <w:r>
              <w:rPr>
                <w:color w:val="105C84"/>
                <w:spacing w:val="-5"/>
                <w:sz w:val="18"/>
              </w:rPr>
              <w:t> </w:t>
            </w:r>
            <w:r>
              <w:rPr>
                <w:color w:val="105C84"/>
                <w:sz w:val="18"/>
              </w:rPr>
              <w:t>deaths involving any opioid by 7% to</w:t>
            </w:r>
          </w:p>
          <w:p>
            <w:pPr>
              <w:pStyle w:val="TableParagraph"/>
              <w:spacing w:line="194" w:lineRule="exact"/>
              <w:ind w:left="91"/>
              <w:rPr>
                <w:sz w:val="18"/>
              </w:rPr>
            </w:pPr>
            <w:r>
              <w:rPr>
                <w:color w:val="105C84"/>
                <w:sz w:val="18"/>
              </w:rPr>
              <w:t>14.0</w:t>
            </w:r>
            <w:r>
              <w:rPr>
                <w:color w:val="105C84"/>
                <w:spacing w:val="-13"/>
                <w:sz w:val="18"/>
              </w:rPr>
              <w:t> </w:t>
            </w:r>
            <w:r>
              <w:rPr>
                <w:color w:val="105C84"/>
                <w:sz w:val="18"/>
              </w:rPr>
              <w:t>per</w:t>
            </w:r>
            <w:r>
              <w:rPr>
                <w:color w:val="105C84"/>
                <w:spacing w:val="-12"/>
                <w:sz w:val="18"/>
              </w:rPr>
              <w:t> </w:t>
            </w:r>
            <w:r>
              <w:rPr>
                <w:color w:val="105C84"/>
                <w:spacing w:val="-2"/>
                <w:sz w:val="18"/>
              </w:rPr>
              <w:t>100,000</w:t>
            </w:r>
          </w:p>
          <w:p>
            <w:pPr>
              <w:pStyle w:val="TableParagraph"/>
              <w:spacing w:line="203" w:lineRule="exact"/>
              <w:ind w:left="91"/>
              <w:rPr>
                <w:sz w:val="18"/>
              </w:rPr>
            </w:pPr>
            <w:r>
              <w:rPr>
                <w:color w:val="105C84"/>
                <w:spacing w:val="-2"/>
                <w:w w:val="105"/>
                <w:sz w:val="18"/>
              </w:rPr>
              <w:t>population</w:t>
            </w:r>
          </w:p>
        </w:tc>
        <w:tc>
          <w:tcPr>
            <w:tcW w:w="1115" w:type="dxa"/>
            <w:vMerge w:val="restart"/>
          </w:tcPr>
          <w:p>
            <w:pPr>
              <w:pStyle w:val="TableParagraph"/>
              <w:rPr>
                <w:rFonts w:ascii="Times New Roman"/>
                <w:sz w:val="18"/>
              </w:rPr>
            </w:pPr>
          </w:p>
        </w:tc>
        <w:tc>
          <w:tcPr>
            <w:tcW w:w="1565" w:type="dxa"/>
            <w:tcBorders>
              <w:bottom w:val="nil"/>
            </w:tcBorders>
          </w:tcPr>
          <w:p>
            <w:pPr>
              <w:pStyle w:val="TableParagraph"/>
              <w:spacing w:line="232" w:lineRule="auto" w:before="100"/>
              <w:ind w:left="92"/>
              <w:rPr>
                <w:sz w:val="18"/>
              </w:rPr>
            </w:pPr>
            <w:r>
              <w:rPr>
                <w:color w:val="105C84"/>
                <w:spacing w:val="-6"/>
                <w:sz w:val="18"/>
              </w:rPr>
              <w:t>2.2.2:</w:t>
            </w:r>
            <w:r>
              <w:rPr>
                <w:color w:val="105C84"/>
                <w:spacing w:val="-7"/>
                <w:sz w:val="18"/>
              </w:rPr>
              <w:t> </w:t>
            </w:r>
            <w:r>
              <w:rPr>
                <w:color w:val="105C84"/>
                <w:spacing w:val="-6"/>
                <w:sz w:val="18"/>
              </w:rPr>
              <w:t>Increas</w:t>
            </w:r>
            <w:r>
              <w:rPr>
                <w:color w:val="105C84"/>
                <w:spacing w:val="-6"/>
                <w:sz w:val="18"/>
              </w:rPr>
              <w:t>e</w:t>
            </w:r>
            <w:r>
              <w:rPr>
                <w:color w:val="105C84"/>
                <w:spacing w:val="-6"/>
                <w:sz w:val="18"/>
              </w:rPr>
              <w:t> </w:t>
            </w:r>
            <w:r>
              <w:rPr>
                <w:color w:val="105C84"/>
                <w:spacing w:val="-2"/>
                <w:sz w:val="18"/>
              </w:rPr>
              <w:t>availability of/access</w:t>
            </w:r>
          </w:p>
          <w:p>
            <w:pPr>
              <w:pStyle w:val="TableParagraph"/>
              <w:spacing w:line="232" w:lineRule="auto"/>
              <w:ind w:left="92"/>
              <w:rPr>
                <w:sz w:val="18"/>
              </w:rPr>
            </w:pPr>
            <w:r>
              <w:rPr>
                <w:color w:val="105C84"/>
                <w:sz w:val="18"/>
              </w:rPr>
              <w:t>to overdose </w:t>
            </w:r>
            <w:r>
              <w:rPr>
                <w:color w:val="105C84"/>
                <w:spacing w:val="-2"/>
                <w:sz w:val="18"/>
              </w:rPr>
              <w:t>reversal (Naloxone) </w:t>
            </w:r>
            <w:r>
              <w:rPr>
                <w:color w:val="105C84"/>
                <w:sz w:val="18"/>
              </w:rPr>
              <w:t>trainings to </w:t>
            </w:r>
            <w:r>
              <w:rPr>
                <w:color w:val="105C84"/>
                <w:spacing w:val="-2"/>
                <w:sz w:val="18"/>
              </w:rPr>
              <w:t>prescribers, pharmacists</w:t>
            </w:r>
            <w:r>
              <w:rPr>
                <w:color w:val="105C84"/>
                <w:spacing w:val="-11"/>
                <w:sz w:val="18"/>
              </w:rPr>
              <w:t> </w:t>
            </w:r>
            <w:r>
              <w:rPr>
                <w:color w:val="105C84"/>
                <w:spacing w:val="-2"/>
                <w:sz w:val="18"/>
              </w:rPr>
              <w:t>and consumers</w:t>
            </w:r>
          </w:p>
        </w:tc>
        <w:tc>
          <w:tcPr>
            <w:tcW w:w="2614" w:type="dxa"/>
            <w:vMerge w:val="restart"/>
            <w:tcBorders>
              <w:right w:val="nil"/>
            </w:tcBorders>
          </w:tcPr>
          <w:p>
            <w:pPr>
              <w:pStyle w:val="TableParagraph"/>
              <w:spacing w:line="232" w:lineRule="auto" w:before="100"/>
              <w:ind w:left="93" w:right="1062"/>
              <w:rPr>
                <w:sz w:val="18"/>
              </w:rPr>
            </w:pPr>
            <w:r>
              <w:rPr>
                <w:color w:val="105C84"/>
                <w:sz w:val="18"/>
              </w:rPr>
              <w:t>#</w:t>
            </w:r>
            <w:r>
              <w:rPr>
                <w:color w:val="105C84"/>
                <w:spacing w:val="-15"/>
                <w:sz w:val="18"/>
              </w:rPr>
              <w:t> </w:t>
            </w:r>
            <w:r>
              <w:rPr>
                <w:color w:val="105C84"/>
                <w:sz w:val="18"/>
              </w:rPr>
              <w:t>Narcan</w:t>
            </w:r>
            <w:r>
              <w:rPr>
                <w:color w:val="105C84"/>
                <w:spacing w:val="-12"/>
                <w:sz w:val="18"/>
              </w:rPr>
              <w:t> </w:t>
            </w:r>
            <w:r>
              <w:rPr>
                <w:color w:val="105C84"/>
                <w:sz w:val="18"/>
              </w:rPr>
              <w:t>trainings </w:t>
            </w:r>
            <w:r>
              <w:rPr>
                <w:color w:val="105C84"/>
                <w:spacing w:val="-2"/>
                <w:sz w:val="18"/>
              </w:rPr>
              <w:t>provided</w:t>
            </w:r>
          </w:p>
          <w:p>
            <w:pPr>
              <w:pStyle w:val="TableParagraph"/>
              <w:spacing w:line="232" w:lineRule="auto" w:before="88"/>
              <w:ind w:left="93" w:right="1098"/>
              <w:rPr>
                <w:sz w:val="18"/>
              </w:rPr>
            </w:pPr>
            <w:r>
              <w:rPr>
                <w:color w:val="105C84"/>
                <w:sz w:val="18"/>
              </w:rPr>
              <w:t>#</w:t>
            </w:r>
            <w:r>
              <w:rPr>
                <w:color w:val="105C84"/>
                <w:spacing w:val="-2"/>
                <w:sz w:val="18"/>
              </w:rPr>
              <w:t> </w:t>
            </w:r>
            <w:r>
              <w:rPr>
                <w:color w:val="105C84"/>
                <w:sz w:val="18"/>
              </w:rPr>
              <w:t>people</w:t>
            </w:r>
            <w:r>
              <w:rPr>
                <w:color w:val="105C84"/>
                <w:spacing w:val="-2"/>
                <w:sz w:val="18"/>
              </w:rPr>
              <w:t> </w:t>
            </w:r>
            <w:r>
              <w:rPr>
                <w:color w:val="105C84"/>
                <w:sz w:val="18"/>
              </w:rPr>
              <w:t>trained to administer </w:t>
            </w:r>
            <w:r>
              <w:rPr>
                <w:color w:val="105C84"/>
                <w:spacing w:val="-2"/>
                <w:sz w:val="18"/>
              </w:rPr>
              <w:t>Narcan</w:t>
            </w:r>
          </w:p>
          <w:p>
            <w:pPr>
              <w:pStyle w:val="TableParagraph"/>
              <w:spacing w:line="232" w:lineRule="auto" w:before="88"/>
              <w:ind w:left="93" w:right="1022"/>
              <w:jc w:val="both"/>
              <w:rPr>
                <w:sz w:val="18"/>
              </w:rPr>
            </w:pPr>
            <w:r>
              <w:rPr>
                <w:color w:val="105C84"/>
                <w:sz w:val="18"/>
              </w:rPr>
              <w:t>% of those trained indicating</w:t>
            </w:r>
            <w:r>
              <w:rPr>
                <w:color w:val="105C84"/>
                <w:spacing w:val="-13"/>
                <w:sz w:val="18"/>
              </w:rPr>
              <w:t> </w:t>
            </w:r>
            <w:r>
              <w:rPr>
                <w:color w:val="105C84"/>
                <w:sz w:val="18"/>
              </w:rPr>
              <w:t>increase </w:t>
            </w:r>
            <w:r>
              <w:rPr>
                <w:color w:val="105C84"/>
                <w:spacing w:val="-2"/>
                <w:sz w:val="18"/>
              </w:rPr>
              <w:t>knowledge</w:t>
            </w:r>
          </w:p>
          <w:p>
            <w:pPr>
              <w:pStyle w:val="TableParagraph"/>
              <w:spacing w:line="232" w:lineRule="auto" w:before="88"/>
              <w:ind w:left="93" w:right="1062"/>
              <w:rPr>
                <w:sz w:val="18"/>
              </w:rPr>
            </w:pPr>
            <w:r>
              <w:rPr>
                <w:color w:val="105C84"/>
                <w:sz w:val="18"/>
              </w:rPr>
              <w:t>#</w:t>
            </w:r>
            <w:r>
              <w:rPr>
                <w:color w:val="105C84"/>
                <w:spacing w:val="-15"/>
                <w:sz w:val="18"/>
              </w:rPr>
              <w:t> </w:t>
            </w:r>
            <w:r>
              <w:rPr>
                <w:color w:val="105C84"/>
                <w:sz w:val="18"/>
              </w:rPr>
              <w:t>of</w:t>
            </w:r>
            <w:r>
              <w:rPr>
                <w:color w:val="105C84"/>
                <w:spacing w:val="-12"/>
                <w:sz w:val="18"/>
              </w:rPr>
              <w:t> </w:t>
            </w:r>
            <w:r>
              <w:rPr>
                <w:color w:val="105C84"/>
                <w:sz w:val="18"/>
              </w:rPr>
              <w:t>trainings </w:t>
            </w:r>
            <w:r>
              <w:rPr>
                <w:color w:val="105C84"/>
                <w:spacing w:val="-2"/>
                <w:sz w:val="18"/>
              </w:rPr>
              <w:t>provided</w:t>
            </w:r>
          </w:p>
          <w:p>
            <w:pPr>
              <w:pStyle w:val="TableParagraph"/>
              <w:spacing w:line="232" w:lineRule="auto" w:before="88"/>
              <w:ind w:left="93" w:right="1139"/>
              <w:rPr>
                <w:sz w:val="18"/>
              </w:rPr>
            </w:pPr>
            <w:r>
              <w:rPr>
                <w:color w:val="105C84"/>
                <w:sz w:val="18"/>
              </w:rPr>
              <w:t># of employees</w:t>
            </w:r>
            <w:r>
              <w:rPr>
                <w:color w:val="105C84"/>
                <w:spacing w:val="40"/>
                <w:sz w:val="18"/>
              </w:rPr>
              <w:t> </w:t>
            </w:r>
            <w:r>
              <w:rPr>
                <w:color w:val="105C84"/>
                <w:sz w:val="18"/>
              </w:rPr>
              <w:t>in the Hornell office who are trained</w:t>
            </w:r>
            <w:r>
              <w:rPr>
                <w:color w:val="105C84"/>
                <w:spacing w:val="-15"/>
                <w:sz w:val="18"/>
              </w:rPr>
              <w:t> </w:t>
            </w:r>
            <w:r>
              <w:rPr>
                <w:color w:val="105C84"/>
                <w:sz w:val="18"/>
              </w:rPr>
              <w:t>in</w:t>
            </w:r>
            <w:r>
              <w:rPr>
                <w:color w:val="105C84"/>
                <w:spacing w:val="-12"/>
                <w:sz w:val="18"/>
              </w:rPr>
              <w:t> </w:t>
            </w:r>
            <w:r>
              <w:rPr>
                <w:color w:val="105C84"/>
                <w:sz w:val="18"/>
              </w:rPr>
              <w:t>Narcan </w:t>
            </w:r>
            <w:r>
              <w:rPr>
                <w:color w:val="105C84"/>
                <w:spacing w:val="-2"/>
                <w:sz w:val="18"/>
              </w:rPr>
              <w:t>administration</w:t>
            </w:r>
          </w:p>
        </w:tc>
        <w:tc>
          <w:tcPr>
            <w:tcW w:w="3370" w:type="dxa"/>
            <w:vMerge w:val="restart"/>
            <w:tcBorders>
              <w:left w:val="nil"/>
            </w:tcBorders>
          </w:tcPr>
          <w:p>
            <w:pPr>
              <w:pStyle w:val="TableParagraph"/>
              <w:spacing w:line="232" w:lineRule="auto" w:before="100"/>
              <w:ind w:left="1045" w:right="20"/>
              <w:rPr>
                <w:sz w:val="18"/>
              </w:rPr>
            </w:pPr>
            <w:r>
              <w:rPr>
                <w:color w:val="105C84"/>
                <w:sz w:val="18"/>
              </w:rPr>
              <w:t>4</w:t>
            </w:r>
            <w:r>
              <w:rPr>
                <w:color w:val="105C84"/>
                <w:spacing w:val="-15"/>
                <w:sz w:val="18"/>
              </w:rPr>
              <w:t> </w:t>
            </w:r>
            <w:r>
              <w:rPr>
                <w:color w:val="105C84"/>
                <w:sz w:val="18"/>
              </w:rPr>
              <w:t>Trainings</w:t>
            </w:r>
            <w:r>
              <w:rPr>
                <w:color w:val="105C84"/>
                <w:spacing w:val="-12"/>
                <w:sz w:val="18"/>
              </w:rPr>
              <w:t> </w:t>
            </w:r>
            <w:r>
              <w:rPr>
                <w:color w:val="105C84"/>
                <w:sz w:val="18"/>
              </w:rPr>
              <w:t>provided</w:t>
            </w:r>
            <w:r>
              <w:rPr>
                <w:color w:val="105C84"/>
                <w:spacing w:val="-13"/>
                <w:sz w:val="18"/>
              </w:rPr>
              <w:t> </w:t>
            </w:r>
            <w:r>
              <w:rPr>
                <w:color w:val="105C84"/>
                <w:sz w:val="18"/>
              </w:rPr>
              <w:t>by</w:t>
            </w:r>
            <w:r>
              <w:rPr>
                <w:color w:val="105C84"/>
                <w:spacing w:val="-12"/>
                <w:sz w:val="18"/>
              </w:rPr>
              <w:t> </w:t>
            </w:r>
            <w:r>
              <w:rPr>
                <w:color w:val="105C84"/>
                <w:sz w:val="18"/>
              </w:rPr>
              <w:t>PH;</w:t>
            </w:r>
            <w:r>
              <w:rPr>
                <w:color w:val="105C84"/>
                <w:sz w:val="18"/>
              </w:rPr>
              <w:t> reaching</w:t>
            </w:r>
            <w:r>
              <w:rPr>
                <w:color w:val="105C84"/>
                <w:spacing w:val="-10"/>
                <w:sz w:val="18"/>
              </w:rPr>
              <w:t> </w:t>
            </w:r>
            <w:r>
              <w:rPr>
                <w:color w:val="105C84"/>
                <w:sz w:val="18"/>
              </w:rPr>
              <w:t>at</w:t>
            </w:r>
            <w:r>
              <w:rPr>
                <w:color w:val="105C84"/>
                <w:spacing w:val="-10"/>
                <w:sz w:val="18"/>
              </w:rPr>
              <w:t> </w:t>
            </w:r>
            <w:r>
              <w:rPr>
                <w:color w:val="105C84"/>
                <w:sz w:val="18"/>
              </w:rPr>
              <w:t>least</w:t>
            </w:r>
            <w:r>
              <w:rPr>
                <w:color w:val="105C84"/>
                <w:spacing w:val="-10"/>
                <w:sz w:val="18"/>
              </w:rPr>
              <w:t> </w:t>
            </w:r>
            <w:r>
              <w:rPr>
                <w:color w:val="105C84"/>
                <w:sz w:val="18"/>
              </w:rPr>
              <w:t>20</w:t>
            </w:r>
            <w:r>
              <w:rPr>
                <w:color w:val="105C84"/>
                <w:spacing w:val="-10"/>
                <w:sz w:val="18"/>
              </w:rPr>
              <w:t> </w:t>
            </w:r>
            <w:r>
              <w:rPr>
                <w:color w:val="105C84"/>
                <w:spacing w:val="-2"/>
                <w:sz w:val="18"/>
              </w:rPr>
              <w:t>people</w:t>
            </w:r>
          </w:p>
          <w:p>
            <w:pPr>
              <w:pStyle w:val="TableParagraph"/>
              <w:spacing w:line="232" w:lineRule="auto" w:before="88"/>
              <w:ind w:left="1045" w:right="206"/>
              <w:rPr>
                <w:sz w:val="18"/>
              </w:rPr>
            </w:pPr>
            <w:r>
              <w:rPr>
                <w:color w:val="105C84"/>
                <w:sz w:val="18"/>
              </w:rPr>
              <w:t>100% of those trained indicating</w:t>
            </w:r>
            <w:r>
              <w:rPr>
                <w:color w:val="105C84"/>
                <w:spacing w:val="-5"/>
                <w:sz w:val="18"/>
              </w:rPr>
              <w:t> </w:t>
            </w:r>
            <w:r>
              <w:rPr>
                <w:color w:val="105C84"/>
                <w:sz w:val="18"/>
              </w:rPr>
              <w:t>an</w:t>
            </w:r>
            <w:r>
              <w:rPr>
                <w:color w:val="105C84"/>
                <w:spacing w:val="-5"/>
                <w:sz w:val="18"/>
              </w:rPr>
              <w:t> </w:t>
            </w:r>
            <w:r>
              <w:rPr>
                <w:color w:val="105C84"/>
                <w:sz w:val="18"/>
              </w:rPr>
              <w:t>increase</w:t>
            </w:r>
            <w:r>
              <w:rPr>
                <w:color w:val="105C84"/>
                <w:spacing w:val="-5"/>
                <w:sz w:val="18"/>
              </w:rPr>
              <w:t> </w:t>
            </w:r>
            <w:r>
              <w:rPr>
                <w:color w:val="105C84"/>
                <w:sz w:val="18"/>
              </w:rPr>
              <w:t>in knowledge</w:t>
            </w:r>
            <w:r>
              <w:rPr>
                <w:color w:val="105C84"/>
                <w:spacing w:val="6"/>
                <w:sz w:val="18"/>
              </w:rPr>
              <w:t> </w:t>
            </w:r>
            <w:r>
              <w:rPr>
                <w:color w:val="105C84"/>
                <w:sz w:val="18"/>
              </w:rPr>
              <w:t>after</w:t>
            </w:r>
            <w:r>
              <w:rPr>
                <w:color w:val="105C84"/>
                <w:spacing w:val="6"/>
                <w:sz w:val="18"/>
              </w:rPr>
              <w:t> </w:t>
            </w:r>
            <w:r>
              <w:rPr>
                <w:color w:val="105C84"/>
                <w:spacing w:val="-2"/>
                <w:sz w:val="18"/>
              </w:rPr>
              <w:t>training</w:t>
            </w:r>
          </w:p>
          <w:p>
            <w:pPr>
              <w:pStyle w:val="TableParagraph"/>
              <w:spacing w:line="232" w:lineRule="auto" w:before="198"/>
              <w:ind w:left="1045" w:right="20"/>
              <w:rPr>
                <w:sz w:val="18"/>
              </w:rPr>
            </w:pPr>
            <w:r>
              <w:rPr>
                <w:color w:val="105C84"/>
                <w:sz w:val="18"/>
              </w:rPr>
              <w:t>Oak Orchard Health has narcan</w:t>
            </w:r>
            <w:r>
              <w:rPr>
                <w:color w:val="105C84"/>
                <w:spacing w:val="-15"/>
                <w:sz w:val="18"/>
              </w:rPr>
              <w:t> </w:t>
            </w:r>
            <w:r>
              <w:rPr>
                <w:color w:val="105C84"/>
                <w:sz w:val="18"/>
              </w:rPr>
              <w:t>in</w:t>
            </w:r>
            <w:r>
              <w:rPr>
                <w:color w:val="105C84"/>
                <w:spacing w:val="-12"/>
                <w:sz w:val="18"/>
              </w:rPr>
              <w:t> </w:t>
            </w:r>
            <w:r>
              <w:rPr>
                <w:color w:val="105C84"/>
                <w:sz w:val="18"/>
              </w:rPr>
              <w:t>emergency</w:t>
            </w:r>
            <w:r>
              <w:rPr>
                <w:color w:val="105C84"/>
                <w:spacing w:val="-13"/>
                <w:sz w:val="18"/>
              </w:rPr>
              <w:t> </w:t>
            </w:r>
            <w:r>
              <w:rPr>
                <w:color w:val="105C84"/>
                <w:sz w:val="18"/>
              </w:rPr>
              <w:t>kits</w:t>
            </w:r>
            <w:r>
              <w:rPr>
                <w:color w:val="105C84"/>
                <w:spacing w:val="-12"/>
                <w:sz w:val="18"/>
              </w:rPr>
              <w:t> </w:t>
            </w:r>
            <w:r>
              <w:rPr>
                <w:color w:val="105C84"/>
                <w:sz w:val="18"/>
              </w:rPr>
              <w:t>in all medical sites</w:t>
            </w:r>
          </w:p>
          <w:p>
            <w:pPr>
              <w:pStyle w:val="TableParagraph"/>
              <w:spacing w:line="232" w:lineRule="auto" w:before="87"/>
              <w:ind w:left="1045" w:right="20"/>
              <w:rPr>
                <w:sz w:val="18"/>
              </w:rPr>
            </w:pPr>
            <w:r>
              <w:rPr>
                <w:color w:val="105C84"/>
                <w:sz w:val="18"/>
              </w:rPr>
              <w:t>OOH</w:t>
            </w:r>
            <w:r>
              <w:rPr>
                <w:color w:val="105C84"/>
                <w:spacing w:val="-15"/>
                <w:sz w:val="18"/>
              </w:rPr>
              <w:t> </w:t>
            </w:r>
            <w:r>
              <w:rPr>
                <w:color w:val="105C84"/>
                <w:sz w:val="18"/>
              </w:rPr>
              <w:t>is</w:t>
            </w:r>
            <w:r>
              <w:rPr>
                <w:color w:val="105C84"/>
                <w:spacing w:val="-12"/>
                <w:sz w:val="18"/>
              </w:rPr>
              <w:t> </w:t>
            </w:r>
            <w:r>
              <w:rPr>
                <w:color w:val="105C84"/>
                <w:sz w:val="18"/>
              </w:rPr>
              <w:t>a</w:t>
            </w:r>
            <w:r>
              <w:rPr>
                <w:color w:val="105C84"/>
                <w:spacing w:val="-13"/>
                <w:sz w:val="18"/>
              </w:rPr>
              <w:t> </w:t>
            </w:r>
            <w:r>
              <w:rPr>
                <w:color w:val="105C84"/>
                <w:sz w:val="18"/>
              </w:rPr>
              <w:t>recognized</w:t>
            </w:r>
            <w:r>
              <w:rPr>
                <w:color w:val="105C84"/>
                <w:spacing w:val="-12"/>
                <w:sz w:val="18"/>
              </w:rPr>
              <w:t> </w:t>
            </w:r>
            <w:r>
              <w:rPr>
                <w:color w:val="105C84"/>
                <w:sz w:val="18"/>
              </w:rPr>
              <w:t>narcan training provider</w:t>
            </w:r>
          </w:p>
          <w:p>
            <w:pPr>
              <w:pStyle w:val="TableParagraph"/>
              <w:spacing w:line="232" w:lineRule="auto" w:before="89"/>
              <w:ind w:left="1045" w:right="206"/>
              <w:rPr>
                <w:sz w:val="18"/>
              </w:rPr>
            </w:pPr>
            <w:r>
              <w:rPr>
                <w:color w:val="105C84"/>
                <w:sz w:val="18"/>
              </w:rPr>
              <w:t>All</w:t>
            </w:r>
            <w:r>
              <w:rPr>
                <w:color w:val="105C84"/>
                <w:spacing w:val="-13"/>
                <w:sz w:val="18"/>
              </w:rPr>
              <w:t> </w:t>
            </w:r>
            <w:r>
              <w:rPr>
                <w:color w:val="105C84"/>
                <w:sz w:val="18"/>
              </w:rPr>
              <w:t>sites</w:t>
            </w:r>
            <w:r>
              <w:rPr>
                <w:color w:val="105C84"/>
                <w:spacing w:val="-12"/>
                <w:sz w:val="18"/>
              </w:rPr>
              <w:t> </w:t>
            </w:r>
            <w:r>
              <w:rPr>
                <w:color w:val="105C84"/>
                <w:sz w:val="18"/>
              </w:rPr>
              <w:t>are</w:t>
            </w:r>
            <w:r>
              <w:rPr>
                <w:color w:val="105C84"/>
                <w:spacing w:val="-13"/>
                <w:sz w:val="18"/>
              </w:rPr>
              <w:t> </w:t>
            </w:r>
            <w:r>
              <w:rPr>
                <w:color w:val="105C84"/>
                <w:sz w:val="18"/>
              </w:rPr>
              <w:t>in</w:t>
            </w:r>
            <w:r>
              <w:rPr>
                <w:color w:val="105C84"/>
                <w:spacing w:val="-12"/>
                <w:sz w:val="18"/>
              </w:rPr>
              <w:t> </w:t>
            </w:r>
            <w:r>
              <w:rPr>
                <w:color w:val="105C84"/>
                <w:sz w:val="18"/>
              </w:rPr>
              <w:t>the</w:t>
            </w:r>
            <w:r>
              <w:rPr>
                <w:color w:val="105C84"/>
                <w:spacing w:val="-13"/>
                <w:sz w:val="18"/>
              </w:rPr>
              <w:t> </w:t>
            </w:r>
            <w:r>
              <w:rPr>
                <w:color w:val="105C84"/>
                <w:sz w:val="18"/>
              </w:rPr>
              <w:t>process of being trained to administer Narcan</w:t>
            </w:r>
          </w:p>
          <w:p>
            <w:pPr>
              <w:pStyle w:val="TableParagraph"/>
              <w:spacing w:line="232" w:lineRule="auto" w:before="87"/>
              <w:ind w:left="1045" w:right="146"/>
              <w:rPr>
                <w:sz w:val="18"/>
              </w:rPr>
            </w:pPr>
            <w:r>
              <w:rPr>
                <w:color w:val="105C84"/>
                <w:sz w:val="18"/>
              </w:rPr>
              <w:t>Hornell</w:t>
            </w:r>
            <w:r>
              <w:rPr>
                <w:color w:val="105C84"/>
                <w:spacing w:val="-13"/>
                <w:sz w:val="18"/>
              </w:rPr>
              <w:t> </w:t>
            </w:r>
            <w:r>
              <w:rPr>
                <w:color w:val="105C84"/>
                <w:sz w:val="18"/>
              </w:rPr>
              <w:t>office</w:t>
            </w:r>
            <w:r>
              <w:rPr>
                <w:color w:val="105C84"/>
                <w:spacing w:val="-12"/>
                <w:sz w:val="18"/>
              </w:rPr>
              <w:t> </w:t>
            </w:r>
            <w:r>
              <w:rPr>
                <w:color w:val="105C84"/>
                <w:sz w:val="18"/>
              </w:rPr>
              <w:t>currently</w:t>
            </w:r>
            <w:r>
              <w:rPr>
                <w:color w:val="105C84"/>
                <w:spacing w:val="-13"/>
                <w:sz w:val="18"/>
              </w:rPr>
              <w:t> </w:t>
            </w:r>
            <w:r>
              <w:rPr>
                <w:color w:val="105C84"/>
                <w:sz w:val="18"/>
              </w:rPr>
              <w:t>has 1 employee trained</w:t>
            </w:r>
          </w:p>
        </w:tc>
        <w:tc>
          <w:tcPr>
            <w:tcW w:w="1539" w:type="dxa"/>
            <w:tcBorders>
              <w:bottom w:val="nil"/>
            </w:tcBorders>
          </w:tcPr>
          <w:p>
            <w:pPr>
              <w:pStyle w:val="TableParagraph"/>
              <w:spacing w:line="232" w:lineRule="auto" w:before="99"/>
              <w:ind w:left="96"/>
              <w:rPr>
                <w:sz w:val="18"/>
              </w:rPr>
            </w:pPr>
            <w:r>
              <w:rPr>
                <w:color w:val="105C84"/>
                <w:sz w:val="18"/>
              </w:rPr>
              <w:t>4 Trainings provided</w:t>
            </w:r>
            <w:r>
              <w:rPr>
                <w:color w:val="105C84"/>
                <w:spacing w:val="-4"/>
                <w:sz w:val="18"/>
              </w:rPr>
              <w:t> </w:t>
            </w:r>
            <w:r>
              <w:rPr>
                <w:color w:val="105C84"/>
                <w:sz w:val="18"/>
              </w:rPr>
              <w:t>by</w:t>
            </w:r>
            <w:r>
              <w:rPr>
                <w:color w:val="105C84"/>
                <w:spacing w:val="-4"/>
                <w:sz w:val="18"/>
              </w:rPr>
              <w:t> </w:t>
            </w:r>
            <w:r>
              <w:rPr>
                <w:color w:val="105C84"/>
                <w:sz w:val="18"/>
              </w:rPr>
              <w:t>PH; reaching</w:t>
            </w:r>
            <w:r>
              <w:rPr>
                <w:color w:val="105C84"/>
                <w:spacing w:val="-15"/>
                <w:sz w:val="18"/>
              </w:rPr>
              <w:t> </w:t>
            </w:r>
            <w:r>
              <w:rPr>
                <w:color w:val="105C84"/>
                <w:sz w:val="18"/>
              </w:rPr>
              <w:t>at</w:t>
            </w:r>
            <w:r>
              <w:rPr>
                <w:color w:val="105C84"/>
                <w:spacing w:val="-12"/>
                <w:sz w:val="18"/>
              </w:rPr>
              <w:t> </w:t>
            </w:r>
            <w:r>
              <w:rPr>
                <w:color w:val="105C84"/>
                <w:sz w:val="18"/>
              </w:rPr>
              <w:t>least</w:t>
            </w:r>
            <w:r>
              <w:rPr>
                <w:color w:val="105C84"/>
                <w:sz w:val="18"/>
              </w:rPr>
              <w:t> 20 people</w:t>
            </w:r>
          </w:p>
          <w:p>
            <w:pPr>
              <w:pStyle w:val="TableParagraph"/>
              <w:spacing w:line="232" w:lineRule="auto" w:before="87"/>
              <w:ind w:left="96" w:right="352"/>
              <w:rPr>
                <w:sz w:val="18"/>
              </w:rPr>
            </w:pPr>
            <w:r>
              <w:rPr>
                <w:color w:val="105C84"/>
                <w:sz w:val="18"/>
              </w:rPr>
              <w:t>100% of those</w:t>
            </w:r>
            <w:r>
              <w:rPr>
                <w:color w:val="105C84"/>
                <w:spacing w:val="-13"/>
                <w:sz w:val="18"/>
              </w:rPr>
              <w:t> </w:t>
            </w:r>
            <w:r>
              <w:rPr>
                <w:color w:val="105C84"/>
                <w:sz w:val="18"/>
              </w:rPr>
              <w:t>trained indicating an increase in</w:t>
            </w:r>
          </w:p>
          <w:p>
            <w:pPr>
              <w:pStyle w:val="TableParagraph"/>
              <w:spacing w:line="232" w:lineRule="auto"/>
              <w:ind w:left="96"/>
              <w:rPr>
                <w:sz w:val="18"/>
              </w:rPr>
            </w:pPr>
            <w:r>
              <w:rPr>
                <w:color w:val="105C84"/>
                <w:sz w:val="18"/>
              </w:rPr>
              <w:t>knowledge</w:t>
            </w:r>
            <w:r>
              <w:rPr>
                <w:color w:val="105C84"/>
                <w:spacing w:val="-12"/>
                <w:sz w:val="18"/>
              </w:rPr>
              <w:t> </w:t>
            </w:r>
            <w:r>
              <w:rPr>
                <w:color w:val="105C84"/>
                <w:sz w:val="18"/>
              </w:rPr>
              <w:t>after </w:t>
            </w:r>
            <w:r>
              <w:rPr>
                <w:color w:val="105C84"/>
                <w:spacing w:val="-2"/>
                <w:sz w:val="18"/>
              </w:rPr>
              <w:t>training</w:t>
            </w:r>
          </w:p>
        </w:tc>
        <w:tc>
          <w:tcPr>
            <w:tcW w:w="1568" w:type="dxa"/>
            <w:tcBorders>
              <w:bottom w:val="nil"/>
            </w:tcBorders>
          </w:tcPr>
          <w:p>
            <w:pPr>
              <w:pStyle w:val="TableParagraph"/>
              <w:spacing w:line="232" w:lineRule="auto" w:before="99"/>
              <w:ind w:left="98" w:right="146"/>
              <w:rPr>
                <w:sz w:val="18"/>
              </w:rPr>
            </w:pPr>
            <w:r>
              <w:rPr>
                <w:color w:val="105C84"/>
                <w:sz w:val="18"/>
              </w:rPr>
              <w:t>4 Trainings provided</w:t>
            </w:r>
            <w:r>
              <w:rPr>
                <w:color w:val="105C84"/>
                <w:spacing w:val="-4"/>
                <w:sz w:val="18"/>
              </w:rPr>
              <w:t> </w:t>
            </w:r>
            <w:r>
              <w:rPr>
                <w:color w:val="105C84"/>
                <w:sz w:val="18"/>
              </w:rPr>
              <w:t>by</w:t>
            </w:r>
            <w:r>
              <w:rPr>
                <w:color w:val="105C84"/>
                <w:spacing w:val="-4"/>
                <w:sz w:val="18"/>
              </w:rPr>
              <w:t> </w:t>
            </w:r>
            <w:r>
              <w:rPr>
                <w:color w:val="105C84"/>
                <w:sz w:val="18"/>
              </w:rPr>
              <w:t>PH; reaching</w:t>
            </w:r>
            <w:r>
              <w:rPr>
                <w:color w:val="105C84"/>
                <w:spacing w:val="-15"/>
                <w:sz w:val="18"/>
              </w:rPr>
              <w:t> </w:t>
            </w:r>
            <w:r>
              <w:rPr>
                <w:color w:val="105C84"/>
                <w:sz w:val="18"/>
              </w:rPr>
              <w:t>at</w:t>
            </w:r>
            <w:r>
              <w:rPr>
                <w:color w:val="105C84"/>
                <w:spacing w:val="-12"/>
                <w:sz w:val="18"/>
              </w:rPr>
              <w:t> </w:t>
            </w:r>
            <w:r>
              <w:rPr>
                <w:color w:val="105C84"/>
                <w:sz w:val="18"/>
              </w:rPr>
              <w:t>least</w:t>
            </w:r>
            <w:r>
              <w:rPr>
                <w:color w:val="105C84"/>
                <w:sz w:val="18"/>
              </w:rPr>
              <w:t> 20 people</w:t>
            </w:r>
          </w:p>
          <w:p>
            <w:pPr>
              <w:pStyle w:val="TableParagraph"/>
              <w:spacing w:line="232" w:lineRule="auto" w:before="87"/>
              <w:ind w:left="98" w:right="379"/>
              <w:rPr>
                <w:sz w:val="18"/>
              </w:rPr>
            </w:pPr>
            <w:r>
              <w:rPr>
                <w:color w:val="105C84"/>
                <w:sz w:val="18"/>
              </w:rPr>
              <w:t>100% of those</w:t>
            </w:r>
            <w:r>
              <w:rPr>
                <w:color w:val="105C84"/>
                <w:spacing w:val="-13"/>
                <w:sz w:val="18"/>
              </w:rPr>
              <w:t> </w:t>
            </w:r>
            <w:r>
              <w:rPr>
                <w:color w:val="105C84"/>
                <w:sz w:val="18"/>
              </w:rPr>
              <w:t>trained indicating an increase in</w:t>
            </w:r>
          </w:p>
          <w:p>
            <w:pPr>
              <w:pStyle w:val="TableParagraph"/>
              <w:spacing w:line="232" w:lineRule="auto"/>
              <w:ind w:left="98" w:right="11"/>
              <w:rPr>
                <w:sz w:val="18"/>
              </w:rPr>
            </w:pPr>
            <w:r>
              <w:rPr>
                <w:color w:val="105C84"/>
                <w:sz w:val="18"/>
              </w:rPr>
              <w:t>knowledge</w:t>
            </w:r>
            <w:r>
              <w:rPr>
                <w:color w:val="105C84"/>
                <w:spacing w:val="-12"/>
                <w:sz w:val="18"/>
              </w:rPr>
              <w:t> </w:t>
            </w:r>
            <w:r>
              <w:rPr>
                <w:color w:val="105C84"/>
                <w:sz w:val="18"/>
              </w:rPr>
              <w:t>after </w:t>
            </w:r>
            <w:r>
              <w:rPr>
                <w:color w:val="105C84"/>
                <w:spacing w:val="-2"/>
                <w:sz w:val="18"/>
              </w:rPr>
              <w:t>training</w:t>
            </w:r>
          </w:p>
        </w:tc>
        <w:tc>
          <w:tcPr>
            <w:tcW w:w="1669" w:type="dxa"/>
            <w:tcBorders>
              <w:bottom w:val="nil"/>
            </w:tcBorders>
          </w:tcPr>
          <w:p>
            <w:pPr>
              <w:pStyle w:val="TableParagraph"/>
              <w:spacing w:line="232" w:lineRule="auto" w:before="98"/>
              <w:ind w:left="100"/>
              <w:rPr>
                <w:sz w:val="18"/>
              </w:rPr>
            </w:pPr>
            <w:r>
              <w:rPr>
                <w:color w:val="105C84"/>
                <w:spacing w:val="-2"/>
                <w:sz w:val="18"/>
              </w:rPr>
              <w:t>Local</w:t>
            </w:r>
            <w:r>
              <w:rPr>
                <w:color w:val="105C84"/>
                <w:spacing w:val="-11"/>
                <w:sz w:val="18"/>
              </w:rPr>
              <w:t> </w:t>
            </w:r>
            <w:r>
              <w:rPr>
                <w:color w:val="105C84"/>
                <w:spacing w:val="-2"/>
                <w:sz w:val="18"/>
              </w:rPr>
              <w:t>health department</w:t>
            </w:r>
          </w:p>
        </w:tc>
        <w:tc>
          <w:tcPr>
            <w:tcW w:w="2823" w:type="dxa"/>
            <w:tcBorders>
              <w:bottom w:val="nil"/>
            </w:tcBorders>
          </w:tcPr>
          <w:p>
            <w:pPr>
              <w:pStyle w:val="TableParagraph"/>
              <w:spacing w:line="232" w:lineRule="auto" w:before="98"/>
              <w:ind w:left="101" w:right="164"/>
              <w:rPr>
                <w:sz w:val="18"/>
              </w:rPr>
            </w:pPr>
            <w:r>
              <w:rPr>
                <w:color w:val="105C84"/>
                <w:sz w:val="18"/>
              </w:rPr>
              <w:t>PH to provide Naloxone trainings</w:t>
            </w:r>
            <w:r>
              <w:rPr>
                <w:color w:val="105C84"/>
                <w:spacing w:val="-4"/>
                <w:sz w:val="18"/>
              </w:rPr>
              <w:t> </w:t>
            </w:r>
            <w:r>
              <w:rPr>
                <w:color w:val="105C84"/>
                <w:sz w:val="18"/>
              </w:rPr>
              <w:t>in</w:t>
            </w:r>
            <w:r>
              <w:rPr>
                <w:color w:val="105C84"/>
                <w:spacing w:val="-4"/>
                <w:sz w:val="18"/>
              </w:rPr>
              <w:t> </w:t>
            </w:r>
            <w:r>
              <w:rPr>
                <w:color w:val="105C84"/>
                <w:sz w:val="18"/>
              </w:rPr>
              <w:t>the</w:t>
            </w:r>
            <w:r>
              <w:rPr>
                <w:color w:val="105C84"/>
                <w:spacing w:val="-4"/>
                <w:sz w:val="18"/>
              </w:rPr>
              <w:t> </w:t>
            </w:r>
            <w:r>
              <w:rPr>
                <w:color w:val="105C84"/>
                <w:sz w:val="18"/>
              </w:rPr>
              <w:t>community</w:t>
            </w:r>
          </w:p>
          <w:p>
            <w:pPr>
              <w:pStyle w:val="TableParagraph"/>
              <w:spacing w:line="232" w:lineRule="auto" w:before="199"/>
              <w:ind w:left="101" w:right="130"/>
              <w:rPr>
                <w:sz w:val="18"/>
              </w:rPr>
            </w:pPr>
            <w:r>
              <w:rPr>
                <w:color w:val="105C84"/>
                <w:sz w:val="18"/>
              </w:rPr>
              <w:t>Oak Orchard Health RN Care Managers were trained to recognize opioid overdose and to</w:t>
            </w:r>
            <w:r>
              <w:rPr>
                <w:color w:val="105C84"/>
                <w:spacing w:val="-12"/>
                <w:sz w:val="18"/>
              </w:rPr>
              <w:t> </w:t>
            </w:r>
            <w:r>
              <w:rPr>
                <w:color w:val="105C84"/>
                <w:sz w:val="18"/>
              </w:rPr>
              <w:t>administer</w:t>
            </w:r>
            <w:r>
              <w:rPr>
                <w:color w:val="105C84"/>
                <w:spacing w:val="-12"/>
                <w:sz w:val="18"/>
              </w:rPr>
              <w:t> </w:t>
            </w:r>
            <w:r>
              <w:rPr>
                <w:color w:val="105C84"/>
                <w:sz w:val="18"/>
              </w:rPr>
              <w:t>Narcan</w:t>
            </w:r>
            <w:r>
              <w:rPr>
                <w:color w:val="105C84"/>
                <w:spacing w:val="-12"/>
                <w:sz w:val="18"/>
              </w:rPr>
              <w:t> </w:t>
            </w:r>
            <w:r>
              <w:rPr>
                <w:color w:val="105C84"/>
                <w:sz w:val="18"/>
              </w:rPr>
              <w:t>by</w:t>
            </w:r>
            <w:r>
              <w:rPr>
                <w:color w:val="105C84"/>
                <w:spacing w:val="-12"/>
                <w:sz w:val="18"/>
              </w:rPr>
              <w:t> </w:t>
            </w:r>
            <w:r>
              <w:rPr>
                <w:color w:val="105C84"/>
                <w:sz w:val="18"/>
              </w:rPr>
              <w:t>CASA</w:t>
            </w:r>
            <w:r>
              <w:rPr>
                <w:color w:val="105C84"/>
                <w:spacing w:val="-12"/>
                <w:sz w:val="18"/>
              </w:rPr>
              <w:t> </w:t>
            </w:r>
            <w:r>
              <w:rPr>
                <w:color w:val="105C84"/>
                <w:sz w:val="18"/>
              </w:rPr>
              <w:t>2 years ago</w:t>
            </w:r>
          </w:p>
        </w:tc>
      </w:tr>
      <w:tr>
        <w:trPr>
          <w:trHeight w:val="1544" w:hRule="atLeast"/>
        </w:trPr>
        <w:tc>
          <w:tcPr>
            <w:tcW w:w="1180" w:type="dxa"/>
            <w:tcBorders>
              <w:top w:val="nil"/>
              <w:bottom w:val="nil"/>
            </w:tcBorders>
            <w:shd w:val="clear" w:color="auto" w:fill="E6E7E8"/>
          </w:tcPr>
          <w:p>
            <w:pPr>
              <w:pStyle w:val="TableParagraph"/>
              <w:rPr>
                <w:rFonts w:ascii="Times New Roman"/>
                <w:sz w:val="18"/>
              </w:rPr>
            </w:pPr>
          </w:p>
        </w:tc>
        <w:tc>
          <w:tcPr>
            <w:tcW w:w="1555" w:type="dxa"/>
            <w:tcBorders>
              <w:top w:val="nil"/>
              <w:bottom w:val="nil"/>
            </w:tcBorders>
          </w:tcPr>
          <w:p>
            <w:pPr>
              <w:pStyle w:val="TableParagraph"/>
              <w:rPr>
                <w:rFonts w:ascii="Times New Roman"/>
                <w:sz w:val="18"/>
              </w:rPr>
            </w:pPr>
          </w:p>
        </w:tc>
        <w:tc>
          <w:tcPr>
            <w:tcW w:w="1497" w:type="dxa"/>
            <w:tcBorders>
              <w:top w:val="nil"/>
              <w:bottom w:val="nil"/>
            </w:tcBorders>
          </w:tcPr>
          <w:p>
            <w:pPr>
              <w:pStyle w:val="TableParagraph"/>
              <w:rPr>
                <w:rFonts w:ascii="Times New Roman"/>
                <w:sz w:val="18"/>
              </w:rPr>
            </w:pPr>
          </w:p>
        </w:tc>
        <w:tc>
          <w:tcPr>
            <w:tcW w:w="1756" w:type="dxa"/>
            <w:tcBorders>
              <w:top w:val="nil"/>
              <w:bottom w:val="nil"/>
            </w:tcBorders>
          </w:tcPr>
          <w:p>
            <w:pPr>
              <w:pStyle w:val="TableParagraph"/>
              <w:rPr>
                <w:rFonts w:ascii="Times New Roman"/>
                <w:sz w:val="18"/>
              </w:rPr>
            </w:pPr>
          </w:p>
        </w:tc>
        <w:tc>
          <w:tcPr>
            <w:tcW w:w="1115" w:type="dxa"/>
            <w:vMerge/>
            <w:tcBorders>
              <w:top w:val="nil"/>
            </w:tcBorders>
          </w:tcPr>
          <w:p>
            <w:pPr>
              <w:rPr>
                <w:sz w:val="2"/>
                <w:szCs w:val="2"/>
              </w:rPr>
            </w:pPr>
          </w:p>
        </w:tc>
        <w:tc>
          <w:tcPr>
            <w:tcW w:w="1565" w:type="dxa"/>
            <w:tcBorders>
              <w:top w:val="nil"/>
            </w:tcBorders>
          </w:tcPr>
          <w:p>
            <w:pPr>
              <w:pStyle w:val="TableParagraph"/>
              <w:rPr>
                <w:rFonts w:ascii="Times New Roman"/>
                <w:sz w:val="18"/>
              </w:rPr>
            </w:pPr>
          </w:p>
        </w:tc>
        <w:tc>
          <w:tcPr>
            <w:tcW w:w="2614" w:type="dxa"/>
            <w:vMerge/>
            <w:tcBorders>
              <w:top w:val="nil"/>
              <w:right w:val="nil"/>
            </w:tcBorders>
          </w:tcPr>
          <w:p>
            <w:pPr>
              <w:rPr>
                <w:sz w:val="2"/>
                <w:szCs w:val="2"/>
              </w:rPr>
            </w:pPr>
          </w:p>
        </w:tc>
        <w:tc>
          <w:tcPr>
            <w:tcW w:w="3370" w:type="dxa"/>
            <w:vMerge/>
            <w:tcBorders>
              <w:top w:val="nil"/>
              <w:left w:val="nil"/>
            </w:tcBorders>
          </w:tcPr>
          <w:p>
            <w:pPr>
              <w:rPr>
                <w:sz w:val="2"/>
                <w:szCs w:val="2"/>
              </w:rPr>
            </w:pPr>
          </w:p>
        </w:tc>
        <w:tc>
          <w:tcPr>
            <w:tcW w:w="1539" w:type="dxa"/>
            <w:tcBorders>
              <w:top w:val="nil"/>
            </w:tcBorders>
          </w:tcPr>
          <w:p>
            <w:pPr>
              <w:pStyle w:val="TableParagraph"/>
              <w:spacing w:line="232" w:lineRule="auto" w:before="33"/>
              <w:ind w:left="96" w:right="163"/>
              <w:rPr>
                <w:sz w:val="18"/>
              </w:rPr>
            </w:pPr>
            <w:r>
              <w:rPr>
                <w:color w:val="105C84"/>
                <w:sz w:val="18"/>
              </w:rPr>
              <w:t>All</w:t>
            </w:r>
            <w:r>
              <w:rPr>
                <w:color w:val="105C84"/>
                <w:spacing w:val="-15"/>
                <w:sz w:val="18"/>
              </w:rPr>
              <w:t> </w:t>
            </w:r>
            <w:r>
              <w:rPr>
                <w:color w:val="105C84"/>
                <w:sz w:val="18"/>
              </w:rPr>
              <w:t>medical</w:t>
            </w:r>
            <w:r>
              <w:rPr>
                <w:color w:val="105C84"/>
                <w:spacing w:val="-12"/>
                <w:sz w:val="18"/>
              </w:rPr>
              <w:t> </w:t>
            </w:r>
            <w:r>
              <w:rPr>
                <w:color w:val="105C84"/>
                <w:sz w:val="18"/>
              </w:rPr>
              <w:t>staff will be trained</w:t>
            </w:r>
            <w:r>
              <w:rPr>
                <w:color w:val="105C84"/>
                <w:spacing w:val="40"/>
                <w:sz w:val="18"/>
              </w:rPr>
              <w:t> </w:t>
            </w:r>
            <w:r>
              <w:rPr>
                <w:color w:val="105C84"/>
                <w:sz w:val="18"/>
              </w:rPr>
              <w:t>to administer Narcan</w:t>
            </w:r>
            <w:r>
              <w:rPr>
                <w:color w:val="105C84"/>
                <w:spacing w:val="-1"/>
                <w:sz w:val="18"/>
              </w:rPr>
              <w:t> </w:t>
            </w:r>
            <w:r>
              <w:rPr>
                <w:color w:val="105C84"/>
                <w:sz w:val="18"/>
              </w:rPr>
              <w:t>in</w:t>
            </w:r>
            <w:r>
              <w:rPr>
                <w:color w:val="105C84"/>
                <w:spacing w:val="-1"/>
                <w:sz w:val="18"/>
              </w:rPr>
              <w:t> </w:t>
            </w:r>
            <w:r>
              <w:rPr>
                <w:color w:val="105C84"/>
                <w:sz w:val="18"/>
              </w:rPr>
              <w:t>OOH Hornell office</w:t>
            </w:r>
          </w:p>
        </w:tc>
        <w:tc>
          <w:tcPr>
            <w:tcW w:w="1568" w:type="dxa"/>
            <w:tcBorders>
              <w:top w:val="nil"/>
            </w:tcBorders>
          </w:tcPr>
          <w:p>
            <w:pPr>
              <w:pStyle w:val="TableParagraph"/>
              <w:spacing w:line="232" w:lineRule="auto" w:before="143"/>
              <w:ind w:left="98" w:right="241"/>
              <w:rPr>
                <w:sz w:val="18"/>
              </w:rPr>
            </w:pPr>
            <w:r>
              <w:rPr>
                <w:color w:val="105C84"/>
                <w:sz w:val="18"/>
              </w:rPr>
              <w:t>All staff in Hornell office will</w:t>
            </w:r>
            <w:r>
              <w:rPr>
                <w:color w:val="105C84"/>
                <w:spacing w:val="-6"/>
                <w:sz w:val="18"/>
              </w:rPr>
              <w:t> </w:t>
            </w:r>
            <w:r>
              <w:rPr>
                <w:color w:val="105C84"/>
                <w:sz w:val="18"/>
              </w:rPr>
              <w:t>be</w:t>
            </w:r>
            <w:r>
              <w:rPr>
                <w:color w:val="105C84"/>
                <w:spacing w:val="-6"/>
                <w:sz w:val="18"/>
              </w:rPr>
              <w:t> </w:t>
            </w:r>
            <w:r>
              <w:rPr>
                <w:color w:val="105C84"/>
                <w:sz w:val="18"/>
              </w:rPr>
              <w:t>trained to administer </w:t>
            </w:r>
            <w:r>
              <w:rPr>
                <w:color w:val="105C84"/>
                <w:spacing w:val="-2"/>
                <w:sz w:val="18"/>
              </w:rPr>
              <w:t>Narcan</w:t>
            </w:r>
          </w:p>
        </w:tc>
        <w:tc>
          <w:tcPr>
            <w:tcW w:w="1669" w:type="dxa"/>
            <w:tcBorders>
              <w:top w:val="nil"/>
            </w:tcBorders>
          </w:tcPr>
          <w:p>
            <w:pPr>
              <w:pStyle w:val="TableParagraph"/>
              <w:rPr>
                <w:rFonts w:ascii="Times New Roman"/>
                <w:sz w:val="18"/>
              </w:rPr>
            </w:pPr>
          </w:p>
        </w:tc>
        <w:tc>
          <w:tcPr>
            <w:tcW w:w="2823" w:type="dxa"/>
            <w:tcBorders>
              <w:top w:val="nil"/>
            </w:tcBorders>
          </w:tcPr>
          <w:p>
            <w:pPr>
              <w:pStyle w:val="TableParagraph"/>
              <w:rPr>
                <w:rFonts w:ascii="Times New Roman"/>
                <w:sz w:val="18"/>
              </w:rPr>
            </w:pPr>
          </w:p>
        </w:tc>
      </w:tr>
      <w:tr>
        <w:trPr>
          <w:trHeight w:val="2434" w:hRule="atLeast"/>
        </w:trPr>
        <w:tc>
          <w:tcPr>
            <w:tcW w:w="1180" w:type="dxa"/>
            <w:tcBorders>
              <w:top w:val="nil"/>
              <w:bottom w:val="nil"/>
            </w:tcBorders>
            <w:shd w:val="clear" w:color="auto" w:fill="E6E7E8"/>
          </w:tcPr>
          <w:p>
            <w:pPr>
              <w:pStyle w:val="TableParagraph"/>
              <w:rPr>
                <w:rFonts w:ascii="Times New Roman"/>
                <w:sz w:val="18"/>
              </w:rPr>
            </w:pPr>
          </w:p>
        </w:tc>
        <w:tc>
          <w:tcPr>
            <w:tcW w:w="1555" w:type="dxa"/>
            <w:tcBorders>
              <w:top w:val="nil"/>
              <w:bottom w:val="nil"/>
            </w:tcBorders>
          </w:tcPr>
          <w:p>
            <w:pPr>
              <w:pStyle w:val="TableParagraph"/>
              <w:rPr>
                <w:rFonts w:ascii="Times New Roman"/>
                <w:sz w:val="18"/>
              </w:rPr>
            </w:pPr>
          </w:p>
        </w:tc>
        <w:tc>
          <w:tcPr>
            <w:tcW w:w="1497" w:type="dxa"/>
            <w:tcBorders>
              <w:top w:val="nil"/>
              <w:bottom w:val="nil"/>
            </w:tcBorders>
          </w:tcPr>
          <w:p>
            <w:pPr>
              <w:pStyle w:val="TableParagraph"/>
              <w:rPr>
                <w:rFonts w:ascii="Times New Roman"/>
                <w:sz w:val="18"/>
              </w:rPr>
            </w:pPr>
          </w:p>
        </w:tc>
        <w:tc>
          <w:tcPr>
            <w:tcW w:w="1756" w:type="dxa"/>
            <w:tcBorders>
              <w:top w:val="nil"/>
              <w:bottom w:val="nil"/>
            </w:tcBorders>
          </w:tcPr>
          <w:p>
            <w:pPr>
              <w:pStyle w:val="TableParagraph"/>
              <w:rPr>
                <w:rFonts w:ascii="Times New Roman"/>
                <w:sz w:val="18"/>
              </w:rPr>
            </w:pPr>
          </w:p>
        </w:tc>
        <w:tc>
          <w:tcPr>
            <w:tcW w:w="1115" w:type="dxa"/>
            <w:vMerge/>
            <w:tcBorders>
              <w:top w:val="nil"/>
            </w:tcBorders>
          </w:tcPr>
          <w:p>
            <w:pPr>
              <w:rPr>
                <w:sz w:val="2"/>
                <w:szCs w:val="2"/>
              </w:rPr>
            </w:pPr>
          </w:p>
        </w:tc>
        <w:tc>
          <w:tcPr>
            <w:tcW w:w="1565" w:type="dxa"/>
            <w:tcBorders>
              <w:bottom w:val="nil"/>
            </w:tcBorders>
          </w:tcPr>
          <w:p>
            <w:pPr>
              <w:pStyle w:val="TableParagraph"/>
              <w:spacing w:line="232" w:lineRule="auto" w:before="98"/>
              <w:ind w:left="92" w:right="22"/>
              <w:rPr>
                <w:sz w:val="18"/>
              </w:rPr>
            </w:pPr>
            <w:r>
              <w:rPr>
                <w:color w:val="105C84"/>
                <w:sz w:val="18"/>
              </w:rPr>
              <w:t>2.2.4: Build support systems to care for </w:t>
            </w:r>
            <w:r>
              <w:rPr>
                <w:color w:val="105C84"/>
                <w:sz w:val="18"/>
              </w:rPr>
              <w:t>opioid</w:t>
            </w:r>
            <w:r>
              <w:rPr>
                <w:color w:val="105C84"/>
                <w:sz w:val="18"/>
              </w:rPr>
              <w:t> users</w:t>
            </w:r>
            <w:r>
              <w:rPr>
                <w:color w:val="105C84"/>
                <w:spacing w:val="-9"/>
                <w:sz w:val="18"/>
              </w:rPr>
              <w:t> </w:t>
            </w:r>
            <w:r>
              <w:rPr>
                <w:color w:val="105C84"/>
                <w:sz w:val="18"/>
              </w:rPr>
              <w:t>or</w:t>
            </w:r>
            <w:r>
              <w:rPr>
                <w:color w:val="105C84"/>
                <w:spacing w:val="-9"/>
                <w:sz w:val="18"/>
              </w:rPr>
              <w:t> </w:t>
            </w:r>
            <w:r>
              <w:rPr>
                <w:color w:val="105C84"/>
                <w:sz w:val="18"/>
              </w:rPr>
              <w:t>at</w:t>
            </w:r>
            <w:r>
              <w:rPr>
                <w:color w:val="105C84"/>
                <w:spacing w:val="-9"/>
                <w:sz w:val="18"/>
              </w:rPr>
              <w:t> </w:t>
            </w:r>
            <w:r>
              <w:rPr>
                <w:color w:val="105C84"/>
                <w:sz w:val="18"/>
              </w:rPr>
              <w:t>risk</w:t>
            </w:r>
            <w:r>
              <w:rPr>
                <w:color w:val="105C84"/>
                <w:spacing w:val="-9"/>
                <w:sz w:val="18"/>
              </w:rPr>
              <w:t> </w:t>
            </w:r>
            <w:r>
              <w:rPr>
                <w:color w:val="105C84"/>
                <w:sz w:val="18"/>
              </w:rPr>
              <w:t>of an overdose</w:t>
            </w:r>
          </w:p>
        </w:tc>
        <w:tc>
          <w:tcPr>
            <w:tcW w:w="2614" w:type="dxa"/>
            <w:vMerge w:val="restart"/>
            <w:tcBorders>
              <w:bottom w:val="nil"/>
              <w:right w:val="nil"/>
            </w:tcBorders>
          </w:tcPr>
          <w:p>
            <w:pPr>
              <w:pStyle w:val="TableParagraph"/>
              <w:spacing w:line="232" w:lineRule="auto" w:before="98"/>
              <w:ind w:left="93" w:right="844"/>
              <w:rPr>
                <w:sz w:val="18"/>
              </w:rPr>
            </w:pPr>
            <w:r>
              <w:rPr>
                <w:color w:val="105C84"/>
                <w:sz w:val="18"/>
              </w:rPr>
              <w:t>#</w:t>
            </w:r>
            <w:r>
              <w:rPr>
                <w:color w:val="105C84"/>
                <w:spacing w:val="-6"/>
                <w:sz w:val="18"/>
              </w:rPr>
              <w:t> </w:t>
            </w:r>
            <w:r>
              <w:rPr>
                <w:color w:val="105C84"/>
                <w:sz w:val="18"/>
              </w:rPr>
              <w:t>controlled</w:t>
            </w:r>
            <w:r>
              <w:rPr>
                <w:color w:val="105C84"/>
                <w:spacing w:val="-6"/>
                <w:sz w:val="18"/>
              </w:rPr>
              <w:t> </w:t>
            </w:r>
            <w:r>
              <w:rPr>
                <w:color w:val="105C84"/>
                <w:sz w:val="18"/>
              </w:rPr>
              <w:t>drugs dispensed during open pharmacy hours monthly</w:t>
            </w:r>
          </w:p>
          <w:p>
            <w:pPr>
              <w:pStyle w:val="TableParagraph"/>
              <w:spacing w:line="232" w:lineRule="auto" w:before="87"/>
              <w:ind w:left="93" w:right="1062"/>
              <w:rPr>
                <w:sz w:val="18"/>
              </w:rPr>
            </w:pPr>
            <w:r>
              <w:rPr>
                <w:color w:val="105C84"/>
                <w:sz w:val="18"/>
              </w:rPr>
              <w:t>#</w:t>
            </w:r>
            <w:r>
              <w:rPr>
                <w:color w:val="105C84"/>
                <w:spacing w:val="-15"/>
                <w:sz w:val="18"/>
              </w:rPr>
              <w:t> </w:t>
            </w:r>
            <w:r>
              <w:rPr>
                <w:color w:val="105C84"/>
                <w:sz w:val="18"/>
              </w:rPr>
              <w:t>times</w:t>
            </w:r>
            <w:r>
              <w:rPr>
                <w:color w:val="105C84"/>
                <w:spacing w:val="-12"/>
                <w:sz w:val="18"/>
              </w:rPr>
              <w:t> </w:t>
            </w:r>
            <w:r>
              <w:rPr>
                <w:color w:val="105C84"/>
                <w:sz w:val="18"/>
              </w:rPr>
              <w:t>providers enter data into </w:t>
            </w:r>
            <w:r>
              <w:rPr>
                <w:color w:val="105C84"/>
                <w:spacing w:val="-2"/>
                <w:sz w:val="18"/>
              </w:rPr>
              <w:t>NYSPMP</w:t>
            </w:r>
          </w:p>
          <w:p>
            <w:pPr>
              <w:pStyle w:val="TableParagraph"/>
              <w:spacing w:line="232" w:lineRule="auto" w:before="88"/>
              <w:ind w:left="93" w:right="1062"/>
              <w:rPr>
                <w:sz w:val="18"/>
              </w:rPr>
            </w:pPr>
            <w:r>
              <w:rPr>
                <w:color w:val="105C84"/>
                <w:sz w:val="18"/>
              </w:rPr>
              <w:t>#</w:t>
            </w:r>
            <w:r>
              <w:rPr>
                <w:color w:val="105C84"/>
                <w:spacing w:val="-13"/>
                <w:sz w:val="18"/>
              </w:rPr>
              <w:t> </w:t>
            </w:r>
            <w:r>
              <w:rPr>
                <w:color w:val="105C84"/>
                <w:sz w:val="18"/>
              </w:rPr>
              <w:t>patients</w:t>
            </w:r>
            <w:r>
              <w:rPr>
                <w:color w:val="105C84"/>
                <w:spacing w:val="-12"/>
                <w:sz w:val="18"/>
              </w:rPr>
              <w:t> </w:t>
            </w:r>
            <w:r>
              <w:rPr>
                <w:color w:val="105C84"/>
                <w:sz w:val="18"/>
              </w:rPr>
              <w:t>seen</w:t>
            </w:r>
            <w:r>
              <w:rPr>
                <w:color w:val="105C84"/>
                <w:spacing w:val="-13"/>
                <w:sz w:val="18"/>
              </w:rPr>
              <w:t> </w:t>
            </w:r>
            <w:r>
              <w:rPr>
                <w:color w:val="105C84"/>
                <w:sz w:val="18"/>
              </w:rPr>
              <w:t>in ED by PAO who are referred to </w:t>
            </w:r>
            <w:r>
              <w:rPr>
                <w:color w:val="105C84"/>
                <w:spacing w:val="-4"/>
                <w:sz w:val="18"/>
              </w:rPr>
              <w:t>CASA</w:t>
            </w:r>
          </w:p>
        </w:tc>
        <w:tc>
          <w:tcPr>
            <w:tcW w:w="3370" w:type="dxa"/>
            <w:vMerge w:val="restart"/>
            <w:tcBorders>
              <w:left w:val="nil"/>
              <w:bottom w:val="nil"/>
            </w:tcBorders>
          </w:tcPr>
          <w:p>
            <w:pPr>
              <w:pStyle w:val="TableParagraph"/>
              <w:spacing w:line="232" w:lineRule="auto" w:before="98"/>
              <w:ind w:left="1045" w:right="20"/>
              <w:rPr>
                <w:sz w:val="18"/>
              </w:rPr>
            </w:pPr>
            <w:r>
              <w:rPr>
                <w:color w:val="105C84"/>
                <w:sz w:val="18"/>
              </w:rPr>
              <w:t>St</w:t>
            </w:r>
            <w:r>
              <w:rPr>
                <w:color w:val="105C84"/>
                <w:spacing w:val="-15"/>
                <w:sz w:val="18"/>
              </w:rPr>
              <w:t> </w:t>
            </w:r>
            <w:r>
              <w:rPr>
                <w:color w:val="105C84"/>
                <w:sz w:val="18"/>
              </w:rPr>
              <w:t>James</w:t>
            </w:r>
            <w:r>
              <w:rPr>
                <w:color w:val="105C84"/>
                <w:spacing w:val="-12"/>
                <w:sz w:val="18"/>
              </w:rPr>
              <w:t> </w:t>
            </w:r>
            <w:r>
              <w:rPr>
                <w:color w:val="105C84"/>
                <w:sz w:val="18"/>
              </w:rPr>
              <w:t>Hospital</w:t>
            </w:r>
            <w:r>
              <w:rPr>
                <w:color w:val="105C84"/>
                <w:spacing w:val="-13"/>
                <w:sz w:val="18"/>
              </w:rPr>
              <w:t> </w:t>
            </w:r>
            <w:r>
              <w:rPr>
                <w:color w:val="105C84"/>
                <w:sz w:val="18"/>
              </w:rPr>
              <w:t>is</w:t>
            </w:r>
            <w:r>
              <w:rPr>
                <w:color w:val="105C84"/>
                <w:spacing w:val="-12"/>
                <w:sz w:val="18"/>
              </w:rPr>
              <w:t> </w:t>
            </w:r>
            <w:r>
              <w:rPr>
                <w:color w:val="105C84"/>
                <w:sz w:val="18"/>
              </w:rPr>
              <w:t>linking ED providers with I-STOP</w:t>
            </w:r>
          </w:p>
          <w:p>
            <w:pPr>
              <w:pStyle w:val="TableParagraph"/>
              <w:spacing w:line="232" w:lineRule="auto" w:before="89"/>
              <w:ind w:left="1045" w:right="206"/>
              <w:rPr>
                <w:sz w:val="18"/>
              </w:rPr>
            </w:pPr>
            <w:r>
              <w:rPr>
                <w:color w:val="105C84"/>
                <w:sz w:val="18"/>
              </w:rPr>
              <w:t>SJH/OOH Providing education</w:t>
            </w:r>
            <w:r>
              <w:rPr>
                <w:color w:val="105C84"/>
                <w:spacing w:val="-13"/>
                <w:sz w:val="18"/>
              </w:rPr>
              <w:t> </w:t>
            </w:r>
            <w:r>
              <w:rPr>
                <w:color w:val="105C84"/>
                <w:sz w:val="18"/>
              </w:rPr>
              <w:t>re:</w:t>
            </w:r>
            <w:r>
              <w:rPr>
                <w:color w:val="105C84"/>
                <w:spacing w:val="-12"/>
                <w:sz w:val="18"/>
              </w:rPr>
              <w:t> </w:t>
            </w:r>
            <w:r>
              <w:rPr>
                <w:color w:val="105C84"/>
                <w:sz w:val="18"/>
              </w:rPr>
              <w:t>CASA</w:t>
            </w:r>
            <w:r>
              <w:rPr>
                <w:color w:val="105C84"/>
                <w:spacing w:val="-13"/>
                <w:sz w:val="18"/>
              </w:rPr>
              <w:t> </w:t>
            </w:r>
            <w:r>
              <w:rPr>
                <w:color w:val="105C84"/>
                <w:sz w:val="18"/>
              </w:rPr>
              <w:t>and info to providers</w:t>
            </w:r>
          </w:p>
        </w:tc>
        <w:tc>
          <w:tcPr>
            <w:tcW w:w="1539" w:type="dxa"/>
            <w:tcBorders>
              <w:bottom w:val="nil"/>
            </w:tcBorders>
          </w:tcPr>
          <w:p>
            <w:pPr>
              <w:pStyle w:val="TableParagraph"/>
              <w:spacing w:line="232" w:lineRule="auto" w:before="98"/>
              <w:ind w:left="96"/>
              <w:rPr>
                <w:sz w:val="18"/>
              </w:rPr>
            </w:pPr>
            <w:r>
              <w:rPr>
                <w:color w:val="105C84"/>
                <w:sz w:val="18"/>
              </w:rPr>
              <w:t>All</w:t>
            </w:r>
            <w:r>
              <w:rPr>
                <w:color w:val="105C84"/>
                <w:spacing w:val="-15"/>
                <w:sz w:val="18"/>
              </w:rPr>
              <w:t> </w:t>
            </w:r>
            <w:r>
              <w:rPr>
                <w:color w:val="105C84"/>
                <w:sz w:val="18"/>
              </w:rPr>
              <w:t>ED</w:t>
            </w:r>
            <w:r>
              <w:rPr>
                <w:color w:val="105C84"/>
                <w:spacing w:val="-12"/>
                <w:sz w:val="18"/>
              </w:rPr>
              <w:t> </w:t>
            </w:r>
            <w:r>
              <w:rPr>
                <w:color w:val="105C84"/>
                <w:sz w:val="18"/>
              </w:rPr>
              <w:t>providers </w:t>
            </w:r>
            <w:r>
              <w:rPr>
                <w:color w:val="105C84"/>
                <w:w w:val="105"/>
                <w:sz w:val="18"/>
              </w:rPr>
              <w:t>expected</w:t>
            </w:r>
            <w:r>
              <w:rPr>
                <w:color w:val="105C84"/>
                <w:spacing w:val="-1"/>
                <w:w w:val="105"/>
                <w:sz w:val="18"/>
              </w:rPr>
              <w:t> </w:t>
            </w:r>
            <w:r>
              <w:rPr>
                <w:color w:val="105C84"/>
                <w:w w:val="105"/>
                <w:sz w:val="18"/>
              </w:rPr>
              <w:t>to</w:t>
            </w:r>
          </w:p>
          <w:p>
            <w:pPr>
              <w:pStyle w:val="TableParagraph"/>
              <w:spacing w:line="197" w:lineRule="exact"/>
              <w:ind w:left="96"/>
              <w:rPr>
                <w:sz w:val="18"/>
              </w:rPr>
            </w:pPr>
            <w:r>
              <w:rPr>
                <w:color w:val="105C84"/>
                <w:sz w:val="18"/>
              </w:rPr>
              <w:t>be</w:t>
            </w:r>
            <w:r>
              <w:rPr>
                <w:color w:val="105C84"/>
                <w:spacing w:val="5"/>
                <w:sz w:val="18"/>
              </w:rPr>
              <w:t> </w:t>
            </w:r>
            <w:r>
              <w:rPr>
                <w:color w:val="105C84"/>
                <w:sz w:val="18"/>
              </w:rPr>
              <w:t>linked</w:t>
            </w:r>
            <w:r>
              <w:rPr>
                <w:color w:val="105C84"/>
                <w:spacing w:val="6"/>
                <w:sz w:val="18"/>
              </w:rPr>
              <w:t> </w:t>
            </w:r>
            <w:r>
              <w:rPr>
                <w:color w:val="105C84"/>
                <w:spacing w:val="-4"/>
                <w:sz w:val="18"/>
              </w:rPr>
              <w:t>with</w:t>
            </w:r>
          </w:p>
          <w:p>
            <w:pPr>
              <w:pStyle w:val="TableParagraph"/>
              <w:spacing w:line="203" w:lineRule="exact"/>
              <w:ind w:left="96"/>
              <w:rPr>
                <w:sz w:val="18"/>
              </w:rPr>
            </w:pPr>
            <w:r>
              <w:rPr>
                <w:color w:val="105C84"/>
                <w:spacing w:val="-4"/>
                <w:sz w:val="18"/>
              </w:rPr>
              <w:t>I-STOP this year</w:t>
            </w:r>
          </w:p>
          <w:p>
            <w:pPr>
              <w:pStyle w:val="TableParagraph"/>
              <w:spacing w:line="232" w:lineRule="auto" w:before="88"/>
              <w:ind w:left="96" w:right="297"/>
              <w:rPr>
                <w:sz w:val="18"/>
              </w:rPr>
            </w:pPr>
            <w:r>
              <w:rPr>
                <w:color w:val="105C84"/>
                <w:spacing w:val="-2"/>
                <w:sz w:val="18"/>
              </w:rPr>
              <w:t>SJH</w:t>
            </w:r>
            <w:r>
              <w:rPr>
                <w:color w:val="105C84"/>
                <w:spacing w:val="-11"/>
                <w:sz w:val="18"/>
              </w:rPr>
              <w:t> </w:t>
            </w:r>
            <w:r>
              <w:rPr>
                <w:color w:val="105C84"/>
                <w:spacing w:val="-2"/>
                <w:sz w:val="18"/>
              </w:rPr>
              <w:t>Enforcing providers accessing</w:t>
            </w:r>
          </w:p>
          <w:p>
            <w:pPr>
              <w:pStyle w:val="TableParagraph"/>
              <w:spacing w:line="232" w:lineRule="auto"/>
              <w:ind w:left="96"/>
              <w:rPr>
                <w:sz w:val="18"/>
              </w:rPr>
            </w:pPr>
            <w:r>
              <w:rPr>
                <w:color w:val="105C84"/>
                <w:sz w:val="18"/>
              </w:rPr>
              <w:t>I-STOP and </w:t>
            </w:r>
            <w:r>
              <w:rPr>
                <w:color w:val="105C84"/>
                <w:spacing w:val="-2"/>
                <w:sz w:val="18"/>
              </w:rPr>
              <w:t>continuing </w:t>
            </w:r>
            <w:r>
              <w:rPr>
                <w:color w:val="105C84"/>
                <w:sz w:val="18"/>
              </w:rPr>
              <w:t>partnership</w:t>
            </w:r>
            <w:r>
              <w:rPr>
                <w:color w:val="105C84"/>
                <w:spacing w:val="-13"/>
                <w:sz w:val="18"/>
              </w:rPr>
              <w:t> </w:t>
            </w:r>
            <w:r>
              <w:rPr>
                <w:color w:val="105C84"/>
                <w:sz w:val="18"/>
              </w:rPr>
              <w:t>wit</w:t>
            </w:r>
            <w:r>
              <w:rPr>
                <w:color w:val="105C84"/>
                <w:sz w:val="18"/>
              </w:rPr>
              <w:t>h</w:t>
            </w:r>
            <w:r>
              <w:rPr>
                <w:color w:val="105C84"/>
                <w:sz w:val="18"/>
              </w:rPr>
              <w:t> </w:t>
            </w:r>
            <w:r>
              <w:rPr>
                <w:color w:val="105C84"/>
                <w:spacing w:val="-4"/>
                <w:sz w:val="18"/>
              </w:rPr>
              <w:t>CASA</w:t>
            </w:r>
          </w:p>
        </w:tc>
        <w:tc>
          <w:tcPr>
            <w:tcW w:w="1568" w:type="dxa"/>
            <w:tcBorders>
              <w:bottom w:val="nil"/>
            </w:tcBorders>
          </w:tcPr>
          <w:p>
            <w:pPr>
              <w:pStyle w:val="TableParagraph"/>
              <w:spacing w:line="232" w:lineRule="auto" w:before="98"/>
              <w:ind w:left="98" w:right="11"/>
              <w:rPr>
                <w:sz w:val="18"/>
              </w:rPr>
            </w:pPr>
            <w:r>
              <w:rPr>
                <w:color w:val="105C84"/>
                <w:sz w:val="18"/>
              </w:rPr>
              <w:t>SJH Enforcing </w:t>
            </w:r>
            <w:r>
              <w:rPr>
                <w:color w:val="105C84"/>
                <w:spacing w:val="-2"/>
                <w:sz w:val="18"/>
              </w:rPr>
              <w:t>providers </w:t>
            </w:r>
            <w:r>
              <w:rPr>
                <w:color w:val="105C84"/>
                <w:spacing w:val="-6"/>
                <w:sz w:val="18"/>
              </w:rPr>
              <w:t>accessing</w:t>
            </w:r>
            <w:r>
              <w:rPr>
                <w:color w:val="105C84"/>
                <w:spacing w:val="-7"/>
                <w:sz w:val="18"/>
              </w:rPr>
              <w:t> </w:t>
            </w:r>
            <w:r>
              <w:rPr>
                <w:color w:val="105C84"/>
                <w:spacing w:val="-6"/>
                <w:sz w:val="18"/>
              </w:rPr>
              <w:t>I-</w:t>
            </w:r>
            <w:r>
              <w:rPr>
                <w:color w:val="105C84"/>
                <w:spacing w:val="-6"/>
                <w:sz w:val="18"/>
              </w:rPr>
              <w:t>STOP </w:t>
            </w:r>
            <w:r>
              <w:rPr>
                <w:color w:val="105C84"/>
                <w:sz w:val="18"/>
              </w:rPr>
              <w:t>and continuing partnership with </w:t>
            </w:r>
            <w:r>
              <w:rPr>
                <w:color w:val="105C84"/>
                <w:spacing w:val="-4"/>
                <w:sz w:val="18"/>
              </w:rPr>
              <w:t>CASA</w:t>
            </w:r>
          </w:p>
        </w:tc>
        <w:tc>
          <w:tcPr>
            <w:tcW w:w="1669" w:type="dxa"/>
            <w:tcBorders>
              <w:bottom w:val="nil"/>
            </w:tcBorders>
          </w:tcPr>
          <w:p>
            <w:pPr>
              <w:pStyle w:val="TableParagraph"/>
              <w:spacing w:line="232" w:lineRule="auto" w:before="98"/>
              <w:ind w:left="100"/>
              <w:rPr>
                <w:sz w:val="18"/>
              </w:rPr>
            </w:pPr>
            <w:r>
              <w:rPr>
                <w:color w:val="105C84"/>
                <w:spacing w:val="-2"/>
                <w:sz w:val="18"/>
              </w:rPr>
              <w:t>Community-</w:t>
            </w:r>
            <w:r>
              <w:rPr>
                <w:color w:val="105C84"/>
                <w:spacing w:val="-2"/>
                <w:sz w:val="18"/>
              </w:rPr>
              <w:t>based organizations</w:t>
            </w:r>
          </w:p>
        </w:tc>
        <w:tc>
          <w:tcPr>
            <w:tcW w:w="2823" w:type="dxa"/>
            <w:tcBorders>
              <w:bottom w:val="nil"/>
            </w:tcBorders>
          </w:tcPr>
          <w:p>
            <w:pPr>
              <w:pStyle w:val="TableParagraph"/>
              <w:spacing w:line="232" w:lineRule="auto" w:before="98"/>
              <w:ind w:left="101" w:right="61"/>
              <w:rPr>
                <w:sz w:val="18"/>
              </w:rPr>
            </w:pPr>
            <w:r>
              <w:rPr>
                <w:color w:val="105C84"/>
                <w:sz w:val="18"/>
              </w:rPr>
              <w:t>St. James Hospital is working with CASA Trinity to identify patients with substance abuse concerns</w:t>
            </w:r>
            <w:r>
              <w:rPr>
                <w:color w:val="105C84"/>
                <w:spacing w:val="-8"/>
                <w:sz w:val="18"/>
              </w:rPr>
              <w:t> </w:t>
            </w:r>
            <w:r>
              <w:rPr>
                <w:color w:val="105C84"/>
                <w:sz w:val="18"/>
              </w:rPr>
              <w:t>whether</w:t>
            </w:r>
            <w:r>
              <w:rPr>
                <w:color w:val="105C84"/>
                <w:spacing w:val="-7"/>
                <w:sz w:val="18"/>
              </w:rPr>
              <w:t> </w:t>
            </w:r>
            <w:r>
              <w:rPr>
                <w:color w:val="105C84"/>
                <w:sz w:val="18"/>
              </w:rPr>
              <w:t>new</w:t>
            </w:r>
            <w:r>
              <w:rPr>
                <w:color w:val="105C84"/>
                <w:spacing w:val="-8"/>
                <w:sz w:val="18"/>
              </w:rPr>
              <w:t> </w:t>
            </w:r>
            <w:r>
              <w:rPr>
                <w:color w:val="105C84"/>
                <w:sz w:val="18"/>
              </w:rPr>
              <w:t>or</w:t>
            </w:r>
            <w:r>
              <w:rPr>
                <w:color w:val="105C84"/>
                <w:spacing w:val="-7"/>
                <w:sz w:val="18"/>
              </w:rPr>
              <w:t> </w:t>
            </w:r>
            <w:r>
              <w:rPr>
                <w:color w:val="105C84"/>
                <w:spacing w:val="-2"/>
                <w:sz w:val="18"/>
              </w:rPr>
              <w:t>chronic</w:t>
            </w:r>
          </w:p>
          <w:p>
            <w:pPr>
              <w:pStyle w:val="TableParagraph"/>
              <w:spacing w:line="232" w:lineRule="auto" w:before="87"/>
              <w:ind w:left="101" w:right="149" w:firstLine="46"/>
              <w:rPr>
                <w:sz w:val="18"/>
              </w:rPr>
            </w:pPr>
            <w:r>
              <w:rPr>
                <w:color w:val="105C84"/>
                <w:spacing w:val="-4"/>
                <w:sz w:val="18"/>
              </w:rPr>
              <w:t>St</w:t>
            </w:r>
            <w:r>
              <w:rPr>
                <w:color w:val="105C84"/>
                <w:spacing w:val="-7"/>
                <w:sz w:val="18"/>
              </w:rPr>
              <w:t> </w:t>
            </w:r>
            <w:r>
              <w:rPr>
                <w:color w:val="105C84"/>
                <w:spacing w:val="-4"/>
                <w:sz w:val="18"/>
              </w:rPr>
              <w:t>James</w:t>
            </w:r>
            <w:r>
              <w:rPr>
                <w:color w:val="105C84"/>
                <w:spacing w:val="-7"/>
                <w:sz w:val="18"/>
              </w:rPr>
              <w:t> </w:t>
            </w:r>
            <w:r>
              <w:rPr>
                <w:color w:val="105C84"/>
                <w:spacing w:val="-4"/>
                <w:sz w:val="18"/>
              </w:rPr>
              <w:t>reaches</w:t>
            </w:r>
            <w:r>
              <w:rPr>
                <w:color w:val="105C84"/>
                <w:spacing w:val="-7"/>
                <w:sz w:val="18"/>
              </w:rPr>
              <w:t> </w:t>
            </w:r>
            <w:r>
              <w:rPr>
                <w:color w:val="105C84"/>
                <w:spacing w:val="-4"/>
                <w:sz w:val="18"/>
              </w:rPr>
              <w:t>out</w:t>
            </w:r>
            <w:r>
              <w:rPr>
                <w:color w:val="105C84"/>
                <w:spacing w:val="-7"/>
                <w:sz w:val="18"/>
              </w:rPr>
              <w:t> </w:t>
            </w:r>
            <w:r>
              <w:rPr>
                <w:color w:val="105C84"/>
                <w:spacing w:val="-4"/>
                <w:sz w:val="18"/>
              </w:rPr>
              <w:t>to</w:t>
            </w:r>
            <w:r>
              <w:rPr>
                <w:color w:val="105C84"/>
                <w:spacing w:val="-7"/>
                <w:sz w:val="18"/>
              </w:rPr>
              <w:t> </w:t>
            </w:r>
            <w:r>
              <w:rPr>
                <w:color w:val="105C84"/>
                <w:spacing w:val="-4"/>
                <w:sz w:val="18"/>
              </w:rPr>
              <w:t>CASA’s </w:t>
            </w:r>
            <w:r>
              <w:rPr>
                <w:color w:val="105C84"/>
                <w:sz w:val="18"/>
              </w:rPr>
              <w:t>case</w:t>
            </w:r>
            <w:r>
              <w:rPr>
                <w:color w:val="105C84"/>
                <w:spacing w:val="-8"/>
                <w:sz w:val="18"/>
              </w:rPr>
              <w:t> </w:t>
            </w:r>
            <w:r>
              <w:rPr>
                <w:color w:val="105C84"/>
                <w:sz w:val="18"/>
              </w:rPr>
              <w:t>worker</w:t>
            </w:r>
            <w:r>
              <w:rPr>
                <w:color w:val="105C84"/>
                <w:spacing w:val="-8"/>
                <w:sz w:val="18"/>
              </w:rPr>
              <w:t> </w:t>
            </w:r>
            <w:r>
              <w:rPr>
                <w:color w:val="105C84"/>
                <w:sz w:val="18"/>
              </w:rPr>
              <w:t>who</w:t>
            </w:r>
            <w:r>
              <w:rPr>
                <w:color w:val="105C84"/>
                <w:spacing w:val="-8"/>
                <w:sz w:val="18"/>
              </w:rPr>
              <w:t> </w:t>
            </w:r>
            <w:r>
              <w:rPr>
                <w:color w:val="105C84"/>
                <w:sz w:val="18"/>
              </w:rPr>
              <w:t>comes</w:t>
            </w:r>
            <w:r>
              <w:rPr>
                <w:color w:val="105C84"/>
                <w:spacing w:val="-8"/>
                <w:sz w:val="18"/>
              </w:rPr>
              <w:t> </w:t>
            </w:r>
            <w:r>
              <w:rPr>
                <w:color w:val="105C84"/>
                <w:sz w:val="18"/>
              </w:rPr>
              <w:t>directly </w:t>
            </w:r>
            <w:r>
              <w:rPr>
                <w:color w:val="105C84"/>
                <w:w w:val="105"/>
                <w:sz w:val="18"/>
              </w:rPr>
              <w:t>on-site at the hospital to get them</w:t>
            </w:r>
            <w:r>
              <w:rPr>
                <w:color w:val="105C84"/>
                <w:spacing w:val="-3"/>
                <w:w w:val="105"/>
                <w:sz w:val="18"/>
              </w:rPr>
              <w:t> </w:t>
            </w:r>
            <w:r>
              <w:rPr>
                <w:color w:val="105C84"/>
                <w:w w:val="105"/>
                <w:sz w:val="18"/>
              </w:rPr>
              <w:t>linked</w:t>
            </w:r>
            <w:r>
              <w:rPr>
                <w:color w:val="105C84"/>
                <w:spacing w:val="-3"/>
                <w:w w:val="105"/>
                <w:sz w:val="18"/>
              </w:rPr>
              <w:t> </w:t>
            </w:r>
            <w:r>
              <w:rPr>
                <w:color w:val="105C84"/>
                <w:w w:val="105"/>
                <w:sz w:val="18"/>
              </w:rPr>
              <w:t>with</w:t>
            </w:r>
            <w:r>
              <w:rPr>
                <w:color w:val="105C84"/>
                <w:spacing w:val="-3"/>
                <w:w w:val="105"/>
                <w:sz w:val="18"/>
              </w:rPr>
              <w:t> </w:t>
            </w:r>
            <w:r>
              <w:rPr>
                <w:color w:val="105C84"/>
                <w:w w:val="105"/>
                <w:sz w:val="18"/>
              </w:rPr>
              <w:t>their</w:t>
            </w:r>
            <w:r>
              <w:rPr>
                <w:color w:val="105C84"/>
                <w:spacing w:val="-3"/>
                <w:w w:val="105"/>
                <w:sz w:val="18"/>
              </w:rPr>
              <w:t> </w:t>
            </w:r>
            <w:r>
              <w:rPr>
                <w:color w:val="105C84"/>
                <w:w w:val="105"/>
                <w:sz w:val="18"/>
              </w:rPr>
              <w:t>program (either inpatient or outpatient, whichever is determined to be best for that patient)</w:t>
            </w:r>
          </w:p>
        </w:tc>
      </w:tr>
      <w:tr>
        <w:trPr>
          <w:trHeight w:val="1079" w:hRule="atLeast"/>
        </w:trPr>
        <w:tc>
          <w:tcPr>
            <w:tcW w:w="1180" w:type="dxa"/>
            <w:tcBorders>
              <w:top w:val="nil"/>
              <w:bottom w:val="nil"/>
            </w:tcBorders>
            <w:shd w:val="clear" w:color="auto" w:fill="E6E7E8"/>
          </w:tcPr>
          <w:p>
            <w:pPr>
              <w:pStyle w:val="TableParagraph"/>
              <w:rPr>
                <w:rFonts w:ascii="Times New Roman"/>
                <w:sz w:val="18"/>
              </w:rPr>
            </w:pPr>
          </w:p>
        </w:tc>
        <w:tc>
          <w:tcPr>
            <w:tcW w:w="1555" w:type="dxa"/>
            <w:tcBorders>
              <w:top w:val="nil"/>
              <w:bottom w:val="nil"/>
            </w:tcBorders>
          </w:tcPr>
          <w:p>
            <w:pPr>
              <w:pStyle w:val="TableParagraph"/>
              <w:rPr>
                <w:rFonts w:ascii="Times New Roman"/>
                <w:sz w:val="18"/>
              </w:rPr>
            </w:pPr>
          </w:p>
        </w:tc>
        <w:tc>
          <w:tcPr>
            <w:tcW w:w="1497" w:type="dxa"/>
            <w:tcBorders>
              <w:top w:val="nil"/>
              <w:bottom w:val="nil"/>
            </w:tcBorders>
          </w:tcPr>
          <w:p>
            <w:pPr>
              <w:pStyle w:val="TableParagraph"/>
              <w:rPr>
                <w:rFonts w:ascii="Times New Roman"/>
                <w:sz w:val="18"/>
              </w:rPr>
            </w:pPr>
          </w:p>
        </w:tc>
        <w:tc>
          <w:tcPr>
            <w:tcW w:w="1756" w:type="dxa"/>
            <w:tcBorders>
              <w:top w:val="nil"/>
              <w:bottom w:val="nil"/>
            </w:tcBorders>
          </w:tcPr>
          <w:p>
            <w:pPr>
              <w:pStyle w:val="TableParagraph"/>
              <w:rPr>
                <w:rFonts w:ascii="Times New Roman"/>
                <w:sz w:val="18"/>
              </w:rPr>
            </w:pPr>
          </w:p>
        </w:tc>
        <w:tc>
          <w:tcPr>
            <w:tcW w:w="1115" w:type="dxa"/>
            <w:vMerge/>
            <w:tcBorders>
              <w:top w:val="nil"/>
            </w:tcBorders>
          </w:tcPr>
          <w:p>
            <w:pPr>
              <w:rPr>
                <w:sz w:val="2"/>
                <w:szCs w:val="2"/>
              </w:rPr>
            </w:pPr>
          </w:p>
        </w:tc>
        <w:tc>
          <w:tcPr>
            <w:tcW w:w="1565" w:type="dxa"/>
            <w:tcBorders>
              <w:top w:val="nil"/>
              <w:bottom w:val="nil"/>
            </w:tcBorders>
          </w:tcPr>
          <w:p>
            <w:pPr>
              <w:pStyle w:val="TableParagraph"/>
              <w:rPr>
                <w:rFonts w:ascii="Times New Roman"/>
                <w:sz w:val="18"/>
              </w:rPr>
            </w:pPr>
          </w:p>
        </w:tc>
        <w:tc>
          <w:tcPr>
            <w:tcW w:w="2614" w:type="dxa"/>
            <w:vMerge/>
            <w:tcBorders>
              <w:top w:val="nil"/>
              <w:bottom w:val="nil"/>
              <w:right w:val="nil"/>
            </w:tcBorders>
          </w:tcPr>
          <w:p>
            <w:pPr>
              <w:rPr>
                <w:sz w:val="2"/>
                <w:szCs w:val="2"/>
              </w:rPr>
            </w:pPr>
          </w:p>
        </w:tc>
        <w:tc>
          <w:tcPr>
            <w:tcW w:w="3370" w:type="dxa"/>
            <w:vMerge/>
            <w:tcBorders>
              <w:top w:val="nil"/>
              <w:left w:val="nil"/>
              <w:bottom w:val="nil"/>
            </w:tcBorders>
          </w:tcPr>
          <w:p>
            <w:pPr>
              <w:rPr>
                <w:sz w:val="2"/>
                <w:szCs w:val="2"/>
              </w:rPr>
            </w:pPr>
          </w:p>
        </w:tc>
        <w:tc>
          <w:tcPr>
            <w:tcW w:w="1539" w:type="dxa"/>
            <w:tcBorders>
              <w:top w:val="nil"/>
              <w:bottom w:val="nil"/>
            </w:tcBorders>
          </w:tcPr>
          <w:p>
            <w:pPr>
              <w:pStyle w:val="TableParagraph"/>
              <w:rPr>
                <w:rFonts w:ascii="Times New Roman"/>
                <w:sz w:val="18"/>
              </w:rPr>
            </w:pPr>
          </w:p>
        </w:tc>
        <w:tc>
          <w:tcPr>
            <w:tcW w:w="1568" w:type="dxa"/>
            <w:tcBorders>
              <w:top w:val="nil"/>
              <w:bottom w:val="nil"/>
            </w:tcBorders>
          </w:tcPr>
          <w:p>
            <w:pPr>
              <w:pStyle w:val="TableParagraph"/>
              <w:rPr>
                <w:rFonts w:ascii="Times New Roman"/>
                <w:sz w:val="18"/>
              </w:rPr>
            </w:pPr>
          </w:p>
        </w:tc>
        <w:tc>
          <w:tcPr>
            <w:tcW w:w="1669" w:type="dxa"/>
            <w:tcBorders>
              <w:top w:val="nil"/>
              <w:bottom w:val="nil"/>
            </w:tcBorders>
          </w:tcPr>
          <w:p>
            <w:pPr>
              <w:pStyle w:val="TableParagraph"/>
              <w:rPr>
                <w:rFonts w:ascii="Times New Roman"/>
                <w:sz w:val="18"/>
              </w:rPr>
            </w:pPr>
          </w:p>
        </w:tc>
        <w:tc>
          <w:tcPr>
            <w:tcW w:w="2823" w:type="dxa"/>
            <w:tcBorders>
              <w:top w:val="nil"/>
              <w:bottom w:val="nil"/>
            </w:tcBorders>
          </w:tcPr>
          <w:p>
            <w:pPr>
              <w:pStyle w:val="TableParagraph"/>
              <w:spacing w:line="232" w:lineRule="auto" w:before="33"/>
              <w:ind w:left="101" w:right="164"/>
              <w:rPr>
                <w:sz w:val="18"/>
              </w:rPr>
            </w:pPr>
            <w:r>
              <w:rPr>
                <w:color w:val="105C84"/>
                <w:w w:val="105"/>
                <w:sz w:val="18"/>
              </w:rPr>
              <w:t>If</w:t>
            </w:r>
            <w:r>
              <w:rPr>
                <w:color w:val="105C84"/>
                <w:spacing w:val="-14"/>
                <w:w w:val="105"/>
                <w:sz w:val="18"/>
              </w:rPr>
              <w:t> </w:t>
            </w:r>
            <w:r>
              <w:rPr>
                <w:color w:val="105C84"/>
                <w:w w:val="105"/>
                <w:sz w:val="18"/>
              </w:rPr>
              <w:t>the</w:t>
            </w:r>
            <w:r>
              <w:rPr>
                <w:color w:val="105C84"/>
                <w:spacing w:val="-13"/>
                <w:w w:val="105"/>
                <w:sz w:val="18"/>
              </w:rPr>
              <w:t> </w:t>
            </w:r>
            <w:r>
              <w:rPr>
                <w:color w:val="105C84"/>
                <w:w w:val="105"/>
                <w:sz w:val="18"/>
              </w:rPr>
              <w:t>patient</w:t>
            </w:r>
            <w:r>
              <w:rPr>
                <w:color w:val="105C84"/>
                <w:spacing w:val="-13"/>
                <w:w w:val="105"/>
                <w:sz w:val="18"/>
              </w:rPr>
              <w:t> </w:t>
            </w:r>
            <w:r>
              <w:rPr>
                <w:color w:val="105C84"/>
                <w:w w:val="105"/>
                <w:sz w:val="18"/>
              </w:rPr>
              <w:t>is</w:t>
            </w:r>
            <w:r>
              <w:rPr>
                <w:color w:val="105C84"/>
                <w:spacing w:val="-13"/>
                <w:w w:val="105"/>
                <w:sz w:val="18"/>
              </w:rPr>
              <w:t> </w:t>
            </w:r>
            <w:r>
              <w:rPr>
                <w:color w:val="105C84"/>
                <w:w w:val="105"/>
                <w:sz w:val="18"/>
              </w:rPr>
              <w:t>in</w:t>
            </w:r>
            <w:r>
              <w:rPr>
                <w:color w:val="105C84"/>
                <w:spacing w:val="-13"/>
                <w:w w:val="105"/>
                <w:sz w:val="18"/>
              </w:rPr>
              <w:t> </w:t>
            </w:r>
            <w:r>
              <w:rPr>
                <w:color w:val="105C84"/>
                <w:w w:val="105"/>
                <w:sz w:val="18"/>
              </w:rPr>
              <w:t>withdrawal</w:t>
            </w:r>
            <w:r>
              <w:rPr>
                <w:color w:val="105C84"/>
                <w:spacing w:val="-13"/>
                <w:w w:val="105"/>
                <w:sz w:val="18"/>
              </w:rPr>
              <w:t> </w:t>
            </w:r>
            <w:r>
              <w:rPr>
                <w:color w:val="105C84"/>
                <w:w w:val="105"/>
                <w:sz w:val="18"/>
              </w:rPr>
              <w:t>at the</w:t>
            </w:r>
            <w:r>
              <w:rPr>
                <w:color w:val="105C84"/>
                <w:spacing w:val="-7"/>
                <w:w w:val="105"/>
                <w:sz w:val="18"/>
              </w:rPr>
              <w:t> </w:t>
            </w:r>
            <w:r>
              <w:rPr>
                <w:color w:val="105C84"/>
                <w:w w:val="105"/>
                <w:sz w:val="18"/>
              </w:rPr>
              <w:t>time</w:t>
            </w:r>
            <w:r>
              <w:rPr>
                <w:color w:val="105C84"/>
                <w:spacing w:val="-7"/>
                <w:w w:val="105"/>
                <w:sz w:val="18"/>
              </w:rPr>
              <w:t> </w:t>
            </w:r>
            <w:r>
              <w:rPr>
                <w:color w:val="105C84"/>
                <w:w w:val="105"/>
                <w:sz w:val="18"/>
              </w:rPr>
              <w:t>of</w:t>
            </w:r>
            <w:r>
              <w:rPr>
                <w:color w:val="105C84"/>
                <w:spacing w:val="-7"/>
                <w:w w:val="105"/>
                <w:sz w:val="18"/>
              </w:rPr>
              <w:t> </w:t>
            </w:r>
            <w:r>
              <w:rPr>
                <w:color w:val="105C84"/>
                <w:w w:val="105"/>
                <w:sz w:val="18"/>
              </w:rPr>
              <w:t>arrival</w:t>
            </w:r>
            <w:r>
              <w:rPr>
                <w:color w:val="105C84"/>
                <w:spacing w:val="-7"/>
                <w:w w:val="105"/>
                <w:sz w:val="18"/>
              </w:rPr>
              <w:t> </w:t>
            </w:r>
            <w:r>
              <w:rPr>
                <w:color w:val="105C84"/>
                <w:w w:val="105"/>
                <w:sz w:val="18"/>
              </w:rPr>
              <w:t>to</w:t>
            </w:r>
            <w:r>
              <w:rPr>
                <w:color w:val="105C84"/>
                <w:spacing w:val="-7"/>
                <w:w w:val="105"/>
                <w:sz w:val="18"/>
              </w:rPr>
              <w:t> </w:t>
            </w:r>
            <w:r>
              <w:rPr>
                <w:color w:val="105C84"/>
                <w:w w:val="105"/>
                <w:sz w:val="18"/>
              </w:rPr>
              <w:t>SJH,</w:t>
            </w:r>
            <w:r>
              <w:rPr>
                <w:color w:val="105C84"/>
                <w:spacing w:val="-7"/>
                <w:w w:val="105"/>
                <w:sz w:val="18"/>
              </w:rPr>
              <w:t> </w:t>
            </w:r>
            <w:r>
              <w:rPr>
                <w:color w:val="105C84"/>
                <w:w w:val="105"/>
                <w:sz w:val="18"/>
              </w:rPr>
              <w:t>they </w:t>
            </w:r>
            <w:r>
              <w:rPr>
                <w:color w:val="105C84"/>
                <w:sz w:val="18"/>
              </w:rPr>
              <w:t>are</w:t>
            </w:r>
            <w:r>
              <w:rPr>
                <w:color w:val="105C84"/>
                <w:spacing w:val="-1"/>
                <w:sz w:val="18"/>
              </w:rPr>
              <w:t> </w:t>
            </w:r>
            <w:r>
              <w:rPr>
                <w:color w:val="105C84"/>
                <w:sz w:val="18"/>
              </w:rPr>
              <w:t>admitted</w:t>
            </w:r>
            <w:r>
              <w:rPr>
                <w:color w:val="105C84"/>
                <w:spacing w:val="-1"/>
                <w:sz w:val="18"/>
              </w:rPr>
              <w:t> </w:t>
            </w:r>
            <w:r>
              <w:rPr>
                <w:color w:val="105C84"/>
                <w:sz w:val="18"/>
              </w:rPr>
              <w:t>and</w:t>
            </w:r>
            <w:r>
              <w:rPr>
                <w:color w:val="105C84"/>
                <w:spacing w:val="-1"/>
                <w:sz w:val="18"/>
              </w:rPr>
              <w:t> </w:t>
            </w:r>
            <w:r>
              <w:rPr>
                <w:color w:val="105C84"/>
                <w:sz w:val="18"/>
              </w:rPr>
              <w:t>provided</w:t>
            </w:r>
            <w:r>
              <w:rPr>
                <w:color w:val="105C84"/>
                <w:spacing w:val="-1"/>
                <w:sz w:val="18"/>
              </w:rPr>
              <w:t> </w:t>
            </w:r>
            <w:r>
              <w:rPr>
                <w:color w:val="105C84"/>
                <w:sz w:val="18"/>
              </w:rPr>
              <w:t>care </w:t>
            </w:r>
            <w:r>
              <w:rPr>
                <w:color w:val="105C84"/>
                <w:w w:val="105"/>
                <w:sz w:val="18"/>
              </w:rPr>
              <w:t>to</w:t>
            </w:r>
            <w:r>
              <w:rPr>
                <w:color w:val="105C84"/>
                <w:spacing w:val="-11"/>
                <w:w w:val="105"/>
                <w:sz w:val="18"/>
              </w:rPr>
              <w:t> </w:t>
            </w:r>
            <w:r>
              <w:rPr>
                <w:color w:val="105C84"/>
                <w:w w:val="105"/>
                <w:sz w:val="18"/>
              </w:rPr>
              <w:t>safely</w:t>
            </w:r>
            <w:r>
              <w:rPr>
                <w:color w:val="105C84"/>
                <w:spacing w:val="-11"/>
                <w:w w:val="105"/>
                <w:sz w:val="18"/>
              </w:rPr>
              <w:t> </w:t>
            </w:r>
            <w:r>
              <w:rPr>
                <w:color w:val="105C84"/>
                <w:w w:val="105"/>
                <w:sz w:val="18"/>
              </w:rPr>
              <w:t>get</w:t>
            </w:r>
            <w:r>
              <w:rPr>
                <w:color w:val="105C84"/>
                <w:spacing w:val="-11"/>
                <w:w w:val="105"/>
                <w:sz w:val="18"/>
              </w:rPr>
              <w:t> </w:t>
            </w:r>
            <w:r>
              <w:rPr>
                <w:color w:val="105C84"/>
                <w:w w:val="105"/>
                <w:sz w:val="18"/>
              </w:rPr>
              <w:t>through</w:t>
            </w:r>
            <w:r>
              <w:rPr>
                <w:color w:val="105C84"/>
                <w:spacing w:val="-11"/>
                <w:w w:val="105"/>
                <w:sz w:val="18"/>
              </w:rPr>
              <w:t> </w:t>
            </w:r>
            <w:r>
              <w:rPr>
                <w:color w:val="105C84"/>
                <w:w w:val="105"/>
                <w:sz w:val="18"/>
              </w:rPr>
              <w:t>the</w:t>
            </w:r>
            <w:r>
              <w:rPr>
                <w:color w:val="105C84"/>
                <w:spacing w:val="-11"/>
                <w:w w:val="105"/>
                <w:sz w:val="18"/>
              </w:rPr>
              <w:t> </w:t>
            </w:r>
            <w:r>
              <w:rPr>
                <w:color w:val="105C84"/>
                <w:w w:val="105"/>
                <w:sz w:val="18"/>
              </w:rPr>
              <w:t>acute detox/withdrawal</w:t>
            </w:r>
            <w:r>
              <w:rPr>
                <w:color w:val="105C84"/>
                <w:spacing w:val="-1"/>
                <w:w w:val="105"/>
                <w:sz w:val="18"/>
              </w:rPr>
              <w:t> </w:t>
            </w:r>
            <w:r>
              <w:rPr>
                <w:color w:val="105C84"/>
                <w:w w:val="105"/>
                <w:sz w:val="18"/>
              </w:rPr>
              <w:t>phase</w:t>
            </w:r>
          </w:p>
        </w:tc>
      </w:tr>
      <w:tr>
        <w:trPr>
          <w:trHeight w:val="1079" w:hRule="atLeast"/>
        </w:trPr>
        <w:tc>
          <w:tcPr>
            <w:tcW w:w="1180" w:type="dxa"/>
            <w:tcBorders>
              <w:top w:val="nil"/>
              <w:bottom w:val="nil"/>
            </w:tcBorders>
            <w:shd w:val="clear" w:color="auto" w:fill="E6E7E8"/>
          </w:tcPr>
          <w:p>
            <w:pPr>
              <w:pStyle w:val="TableParagraph"/>
              <w:rPr>
                <w:rFonts w:ascii="Times New Roman"/>
                <w:sz w:val="18"/>
              </w:rPr>
            </w:pPr>
          </w:p>
        </w:tc>
        <w:tc>
          <w:tcPr>
            <w:tcW w:w="1555" w:type="dxa"/>
            <w:tcBorders>
              <w:top w:val="nil"/>
              <w:bottom w:val="nil"/>
            </w:tcBorders>
          </w:tcPr>
          <w:p>
            <w:pPr>
              <w:pStyle w:val="TableParagraph"/>
              <w:rPr>
                <w:rFonts w:ascii="Times New Roman"/>
                <w:sz w:val="18"/>
              </w:rPr>
            </w:pPr>
          </w:p>
        </w:tc>
        <w:tc>
          <w:tcPr>
            <w:tcW w:w="1497" w:type="dxa"/>
            <w:tcBorders>
              <w:top w:val="nil"/>
              <w:bottom w:val="nil"/>
            </w:tcBorders>
          </w:tcPr>
          <w:p>
            <w:pPr>
              <w:pStyle w:val="TableParagraph"/>
              <w:rPr>
                <w:rFonts w:ascii="Times New Roman"/>
                <w:sz w:val="18"/>
              </w:rPr>
            </w:pPr>
          </w:p>
        </w:tc>
        <w:tc>
          <w:tcPr>
            <w:tcW w:w="1756" w:type="dxa"/>
            <w:tcBorders>
              <w:top w:val="nil"/>
              <w:bottom w:val="nil"/>
            </w:tcBorders>
          </w:tcPr>
          <w:p>
            <w:pPr>
              <w:pStyle w:val="TableParagraph"/>
              <w:rPr>
                <w:rFonts w:ascii="Times New Roman"/>
                <w:sz w:val="18"/>
              </w:rPr>
            </w:pPr>
          </w:p>
        </w:tc>
        <w:tc>
          <w:tcPr>
            <w:tcW w:w="1115" w:type="dxa"/>
            <w:vMerge/>
            <w:tcBorders>
              <w:top w:val="nil"/>
            </w:tcBorders>
          </w:tcPr>
          <w:p>
            <w:pPr>
              <w:rPr>
                <w:sz w:val="2"/>
                <w:szCs w:val="2"/>
              </w:rPr>
            </w:pPr>
          </w:p>
        </w:tc>
        <w:tc>
          <w:tcPr>
            <w:tcW w:w="1565" w:type="dxa"/>
            <w:tcBorders>
              <w:top w:val="nil"/>
              <w:bottom w:val="nil"/>
            </w:tcBorders>
          </w:tcPr>
          <w:p>
            <w:pPr>
              <w:pStyle w:val="TableParagraph"/>
              <w:rPr>
                <w:rFonts w:ascii="Times New Roman"/>
                <w:sz w:val="18"/>
              </w:rPr>
            </w:pPr>
          </w:p>
        </w:tc>
        <w:tc>
          <w:tcPr>
            <w:tcW w:w="2614" w:type="dxa"/>
            <w:tcBorders>
              <w:top w:val="nil"/>
              <w:bottom w:val="nil"/>
              <w:right w:val="nil"/>
            </w:tcBorders>
          </w:tcPr>
          <w:p>
            <w:pPr>
              <w:pStyle w:val="TableParagraph"/>
              <w:rPr>
                <w:rFonts w:ascii="Times New Roman"/>
                <w:sz w:val="18"/>
              </w:rPr>
            </w:pPr>
          </w:p>
        </w:tc>
        <w:tc>
          <w:tcPr>
            <w:tcW w:w="3370" w:type="dxa"/>
            <w:tcBorders>
              <w:top w:val="nil"/>
              <w:left w:val="nil"/>
              <w:bottom w:val="nil"/>
            </w:tcBorders>
          </w:tcPr>
          <w:p>
            <w:pPr>
              <w:pStyle w:val="TableParagraph"/>
              <w:rPr>
                <w:rFonts w:ascii="Times New Roman"/>
                <w:sz w:val="18"/>
              </w:rPr>
            </w:pPr>
          </w:p>
        </w:tc>
        <w:tc>
          <w:tcPr>
            <w:tcW w:w="1539" w:type="dxa"/>
            <w:tcBorders>
              <w:top w:val="nil"/>
              <w:bottom w:val="nil"/>
            </w:tcBorders>
          </w:tcPr>
          <w:p>
            <w:pPr>
              <w:pStyle w:val="TableParagraph"/>
              <w:rPr>
                <w:rFonts w:ascii="Times New Roman"/>
                <w:sz w:val="18"/>
              </w:rPr>
            </w:pPr>
          </w:p>
        </w:tc>
        <w:tc>
          <w:tcPr>
            <w:tcW w:w="1568" w:type="dxa"/>
            <w:tcBorders>
              <w:top w:val="nil"/>
              <w:bottom w:val="nil"/>
            </w:tcBorders>
          </w:tcPr>
          <w:p>
            <w:pPr>
              <w:pStyle w:val="TableParagraph"/>
              <w:rPr>
                <w:rFonts w:ascii="Times New Roman"/>
                <w:sz w:val="18"/>
              </w:rPr>
            </w:pPr>
          </w:p>
        </w:tc>
        <w:tc>
          <w:tcPr>
            <w:tcW w:w="1669" w:type="dxa"/>
            <w:tcBorders>
              <w:top w:val="nil"/>
              <w:bottom w:val="nil"/>
            </w:tcBorders>
          </w:tcPr>
          <w:p>
            <w:pPr>
              <w:pStyle w:val="TableParagraph"/>
              <w:rPr>
                <w:rFonts w:ascii="Times New Roman"/>
                <w:sz w:val="18"/>
              </w:rPr>
            </w:pPr>
          </w:p>
        </w:tc>
        <w:tc>
          <w:tcPr>
            <w:tcW w:w="2823" w:type="dxa"/>
            <w:tcBorders>
              <w:top w:val="nil"/>
              <w:bottom w:val="nil"/>
            </w:tcBorders>
          </w:tcPr>
          <w:p>
            <w:pPr>
              <w:pStyle w:val="TableParagraph"/>
              <w:spacing w:line="232" w:lineRule="auto" w:before="33"/>
              <w:ind w:left="101" w:right="164"/>
              <w:rPr>
                <w:sz w:val="18"/>
              </w:rPr>
            </w:pPr>
            <w:r>
              <w:rPr>
                <w:color w:val="105C84"/>
                <w:sz w:val="18"/>
              </w:rPr>
              <w:t>They</w:t>
            </w:r>
            <w:r>
              <w:rPr>
                <w:color w:val="105C84"/>
                <w:spacing w:val="-13"/>
                <w:sz w:val="18"/>
              </w:rPr>
              <w:t> </w:t>
            </w:r>
            <w:r>
              <w:rPr>
                <w:color w:val="105C84"/>
                <w:sz w:val="18"/>
              </w:rPr>
              <w:t>are</w:t>
            </w:r>
            <w:r>
              <w:rPr>
                <w:color w:val="105C84"/>
                <w:spacing w:val="-12"/>
                <w:sz w:val="18"/>
              </w:rPr>
              <w:t> </w:t>
            </w:r>
            <w:r>
              <w:rPr>
                <w:color w:val="105C84"/>
                <w:sz w:val="18"/>
              </w:rPr>
              <w:t>linked</w:t>
            </w:r>
            <w:r>
              <w:rPr>
                <w:color w:val="105C84"/>
                <w:spacing w:val="-13"/>
                <w:sz w:val="18"/>
              </w:rPr>
              <w:t> </w:t>
            </w:r>
            <w:r>
              <w:rPr>
                <w:color w:val="105C84"/>
                <w:sz w:val="18"/>
              </w:rPr>
              <w:t>with</w:t>
            </w:r>
            <w:r>
              <w:rPr>
                <w:color w:val="105C84"/>
                <w:spacing w:val="-12"/>
                <w:sz w:val="18"/>
              </w:rPr>
              <w:t> </w:t>
            </w:r>
            <w:r>
              <w:rPr>
                <w:color w:val="105C84"/>
                <w:sz w:val="18"/>
              </w:rPr>
              <w:t>CASA</w:t>
            </w:r>
            <w:r>
              <w:rPr>
                <w:color w:val="105C84"/>
                <w:spacing w:val="-13"/>
                <w:sz w:val="18"/>
              </w:rPr>
              <w:t> </w:t>
            </w:r>
            <w:r>
              <w:rPr>
                <w:color w:val="105C84"/>
                <w:sz w:val="18"/>
              </w:rPr>
              <w:t>from the</w:t>
            </w:r>
            <w:r>
              <w:rPr>
                <w:color w:val="105C84"/>
                <w:spacing w:val="-5"/>
                <w:sz w:val="18"/>
              </w:rPr>
              <w:t> </w:t>
            </w:r>
            <w:r>
              <w:rPr>
                <w:color w:val="105C84"/>
                <w:sz w:val="18"/>
              </w:rPr>
              <w:t>time</w:t>
            </w:r>
            <w:r>
              <w:rPr>
                <w:color w:val="105C84"/>
                <w:spacing w:val="-5"/>
                <w:sz w:val="18"/>
              </w:rPr>
              <w:t> </w:t>
            </w:r>
            <w:r>
              <w:rPr>
                <w:color w:val="105C84"/>
                <w:sz w:val="18"/>
              </w:rPr>
              <w:t>they</w:t>
            </w:r>
            <w:r>
              <w:rPr>
                <w:color w:val="105C84"/>
                <w:spacing w:val="-5"/>
                <w:sz w:val="18"/>
              </w:rPr>
              <w:t> </w:t>
            </w:r>
            <w:r>
              <w:rPr>
                <w:color w:val="105C84"/>
                <w:sz w:val="18"/>
              </w:rPr>
              <w:t>arrive</w:t>
            </w:r>
            <w:r>
              <w:rPr>
                <w:color w:val="105C84"/>
                <w:spacing w:val="-5"/>
                <w:sz w:val="18"/>
              </w:rPr>
              <w:t> </w:t>
            </w:r>
            <w:r>
              <w:rPr>
                <w:color w:val="105C84"/>
                <w:sz w:val="18"/>
              </w:rPr>
              <w:t>which</w:t>
            </w:r>
            <w:r>
              <w:rPr>
                <w:color w:val="105C84"/>
                <w:spacing w:val="-5"/>
                <w:sz w:val="18"/>
              </w:rPr>
              <w:t> </w:t>
            </w:r>
            <w:r>
              <w:rPr>
                <w:color w:val="105C84"/>
                <w:sz w:val="18"/>
              </w:rPr>
              <w:t>gives ample time to get them the resources through CASA that they need</w:t>
            </w:r>
          </w:p>
        </w:tc>
      </w:tr>
      <w:tr>
        <w:trPr>
          <w:trHeight w:val="975" w:hRule="atLeast"/>
        </w:trPr>
        <w:tc>
          <w:tcPr>
            <w:tcW w:w="1180" w:type="dxa"/>
            <w:tcBorders>
              <w:top w:val="nil"/>
            </w:tcBorders>
            <w:shd w:val="clear" w:color="auto" w:fill="E6E7E8"/>
          </w:tcPr>
          <w:p>
            <w:pPr>
              <w:pStyle w:val="TableParagraph"/>
              <w:rPr>
                <w:rFonts w:ascii="Times New Roman"/>
                <w:sz w:val="18"/>
              </w:rPr>
            </w:pPr>
          </w:p>
        </w:tc>
        <w:tc>
          <w:tcPr>
            <w:tcW w:w="1555" w:type="dxa"/>
            <w:tcBorders>
              <w:top w:val="nil"/>
            </w:tcBorders>
          </w:tcPr>
          <w:p>
            <w:pPr>
              <w:pStyle w:val="TableParagraph"/>
              <w:rPr>
                <w:rFonts w:ascii="Times New Roman"/>
                <w:sz w:val="18"/>
              </w:rPr>
            </w:pPr>
          </w:p>
        </w:tc>
        <w:tc>
          <w:tcPr>
            <w:tcW w:w="1497" w:type="dxa"/>
            <w:tcBorders>
              <w:top w:val="nil"/>
            </w:tcBorders>
          </w:tcPr>
          <w:p>
            <w:pPr>
              <w:pStyle w:val="TableParagraph"/>
              <w:rPr>
                <w:rFonts w:ascii="Times New Roman"/>
                <w:sz w:val="18"/>
              </w:rPr>
            </w:pPr>
          </w:p>
        </w:tc>
        <w:tc>
          <w:tcPr>
            <w:tcW w:w="1756" w:type="dxa"/>
            <w:tcBorders>
              <w:top w:val="nil"/>
            </w:tcBorders>
          </w:tcPr>
          <w:p>
            <w:pPr>
              <w:pStyle w:val="TableParagraph"/>
              <w:rPr>
                <w:rFonts w:ascii="Times New Roman"/>
                <w:sz w:val="18"/>
              </w:rPr>
            </w:pPr>
          </w:p>
        </w:tc>
        <w:tc>
          <w:tcPr>
            <w:tcW w:w="1115" w:type="dxa"/>
            <w:vMerge/>
            <w:tcBorders>
              <w:top w:val="nil"/>
            </w:tcBorders>
          </w:tcPr>
          <w:p>
            <w:pPr>
              <w:rPr>
                <w:sz w:val="2"/>
                <w:szCs w:val="2"/>
              </w:rPr>
            </w:pPr>
          </w:p>
        </w:tc>
        <w:tc>
          <w:tcPr>
            <w:tcW w:w="1565" w:type="dxa"/>
            <w:tcBorders>
              <w:top w:val="nil"/>
            </w:tcBorders>
          </w:tcPr>
          <w:p>
            <w:pPr>
              <w:pStyle w:val="TableParagraph"/>
              <w:rPr>
                <w:rFonts w:ascii="Times New Roman"/>
                <w:sz w:val="18"/>
              </w:rPr>
            </w:pPr>
          </w:p>
        </w:tc>
        <w:tc>
          <w:tcPr>
            <w:tcW w:w="2614" w:type="dxa"/>
            <w:tcBorders>
              <w:top w:val="nil"/>
              <w:right w:val="nil"/>
            </w:tcBorders>
          </w:tcPr>
          <w:p>
            <w:pPr>
              <w:pStyle w:val="TableParagraph"/>
              <w:rPr>
                <w:rFonts w:ascii="Times New Roman"/>
                <w:sz w:val="18"/>
              </w:rPr>
            </w:pPr>
          </w:p>
        </w:tc>
        <w:tc>
          <w:tcPr>
            <w:tcW w:w="3370" w:type="dxa"/>
            <w:tcBorders>
              <w:top w:val="nil"/>
              <w:left w:val="nil"/>
            </w:tcBorders>
          </w:tcPr>
          <w:p>
            <w:pPr>
              <w:pStyle w:val="TableParagraph"/>
              <w:rPr>
                <w:rFonts w:ascii="Times New Roman"/>
                <w:sz w:val="18"/>
              </w:rPr>
            </w:pPr>
          </w:p>
        </w:tc>
        <w:tc>
          <w:tcPr>
            <w:tcW w:w="1539" w:type="dxa"/>
            <w:tcBorders>
              <w:top w:val="nil"/>
            </w:tcBorders>
          </w:tcPr>
          <w:p>
            <w:pPr>
              <w:pStyle w:val="TableParagraph"/>
              <w:rPr>
                <w:rFonts w:ascii="Times New Roman"/>
                <w:sz w:val="18"/>
              </w:rPr>
            </w:pPr>
          </w:p>
        </w:tc>
        <w:tc>
          <w:tcPr>
            <w:tcW w:w="1568" w:type="dxa"/>
            <w:tcBorders>
              <w:top w:val="nil"/>
            </w:tcBorders>
          </w:tcPr>
          <w:p>
            <w:pPr>
              <w:pStyle w:val="TableParagraph"/>
              <w:rPr>
                <w:rFonts w:ascii="Times New Roman"/>
                <w:sz w:val="18"/>
              </w:rPr>
            </w:pPr>
          </w:p>
        </w:tc>
        <w:tc>
          <w:tcPr>
            <w:tcW w:w="1669" w:type="dxa"/>
            <w:tcBorders>
              <w:top w:val="nil"/>
            </w:tcBorders>
          </w:tcPr>
          <w:p>
            <w:pPr>
              <w:pStyle w:val="TableParagraph"/>
              <w:rPr>
                <w:rFonts w:ascii="Times New Roman"/>
                <w:sz w:val="18"/>
              </w:rPr>
            </w:pPr>
          </w:p>
        </w:tc>
        <w:tc>
          <w:tcPr>
            <w:tcW w:w="2823" w:type="dxa"/>
            <w:tcBorders>
              <w:top w:val="nil"/>
            </w:tcBorders>
          </w:tcPr>
          <w:p>
            <w:pPr>
              <w:pStyle w:val="TableParagraph"/>
              <w:spacing w:line="232" w:lineRule="auto" w:before="33"/>
              <w:ind w:left="101" w:right="210"/>
              <w:rPr>
                <w:sz w:val="18"/>
              </w:rPr>
            </w:pPr>
            <w:r>
              <w:rPr>
                <w:color w:val="105C84"/>
                <w:sz w:val="18"/>
              </w:rPr>
              <w:t>2</w:t>
            </w:r>
            <w:r>
              <w:rPr>
                <w:color w:val="105C84"/>
                <w:spacing w:val="-6"/>
                <w:sz w:val="18"/>
              </w:rPr>
              <w:t> </w:t>
            </w:r>
            <w:r>
              <w:rPr>
                <w:color w:val="105C84"/>
                <w:sz w:val="18"/>
              </w:rPr>
              <w:t>beds</w:t>
            </w:r>
            <w:r>
              <w:rPr>
                <w:color w:val="105C84"/>
                <w:spacing w:val="-6"/>
                <w:sz w:val="18"/>
              </w:rPr>
              <w:t> </w:t>
            </w:r>
            <w:r>
              <w:rPr>
                <w:color w:val="105C84"/>
                <w:sz w:val="18"/>
              </w:rPr>
              <w:t>guaranteed</w:t>
            </w:r>
            <w:r>
              <w:rPr>
                <w:color w:val="105C84"/>
                <w:spacing w:val="-6"/>
                <w:sz w:val="18"/>
              </w:rPr>
              <w:t> </w:t>
            </w:r>
            <w:r>
              <w:rPr>
                <w:color w:val="105C84"/>
                <w:sz w:val="18"/>
              </w:rPr>
              <w:t>to</w:t>
            </w:r>
            <w:r>
              <w:rPr>
                <w:color w:val="105C84"/>
                <w:spacing w:val="-6"/>
                <w:sz w:val="18"/>
              </w:rPr>
              <w:t> </w:t>
            </w:r>
            <w:r>
              <w:rPr>
                <w:color w:val="105C84"/>
                <w:sz w:val="18"/>
              </w:rPr>
              <w:t>CASA</w:t>
            </w:r>
            <w:r>
              <w:rPr>
                <w:color w:val="105C84"/>
                <w:spacing w:val="-6"/>
                <w:sz w:val="18"/>
              </w:rPr>
              <w:t> </w:t>
            </w:r>
            <w:r>
              <w:rPr>
                <w:color w:val="105C84"/>
                <w:sz w:val="18"/>
              </w:rPr>
              <w:t>for</w:t>
            </w:r>
            <w:r>
              <w:rPr>
                <w:color w:val="105C84"/>
                <w:sz w:val="18"/>
              </w:rPr>
              <w:t> detox. Education and training</w:t>
            </w:r>
            <w:r>
              <w:rPr>
                <w:color w:val="105C84"/>
                <w:spacing w:val="40"/>
                <w:sz w:val="18"/>
              </w:rPr>
              <w:t> </w:t>
            </w:r>
            <w:r>
              <w:rPr>
                <w:color w:val="105C84"/>
                <w:sz w:val="18"/>
              </w:rPr>
              <w:t>to ED providers for opiate </w:t>
            </w:r>
            <w:r>
              <w:rPr>
                <w:color w:val="105C84"/>
                <w:spacing w:val="-2"/>
                <w:sz w:val="18"/>
              </w:rPr>
              <w:t>prescribing</w:t>
            </w:r>
          </w:p>
        </w:tc>
      </w:tr>
    </w:tbl>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80"/>
        <w:rPr>
          <w:b/>
          <w:sz w:val="26"/>
        </w:rPr>
      </w:pPr>
    </w:p>
    <w:p>
      <w:pPr>
        <w:tabs>
          <w:tab w:pos="23047" w:val="left" w:leader="none"/>
        </w:tabs>
        <w:spacing w:before="0"/>
        <w:ind w:left="0" w:right="0" w:firstLine="0"/>
        <w:jc w:val="left"/>
        <w:rPr>
          <w:b/>
          <w:sz w:val="26"/>
        </w:rPr>
      </w:pPr>
      <w:r>
        <w:rPr>
          <w:position w:val="-4"/>
        </w:rPr>
        <w:drawing>
          <wp:inline distT="0" distB="0" distL="0" distR="0">
            <wp:extent cx="568172" cy="184683"/>
            <wp:effectExtent l="0" t="0" r="0" b="0"/>
            <wp:docPr id="1971" name="Image 1971"/>
            <wp:cNvGraphicFramePr>
              <a:graphicFrameLocks/>
            </wp:cNvGraphicFramePr>
            <a:graphic>
              <a:graphicData uri="http://schemas.openxmlformats.org/drawingml/2006/picture">
                <pic:pic>
                  <pic:nvPicPr>
                    <pic:cNvPr id="1971" name="Image 1971"/>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13"/>
          <w:sz w:val="20"/>
        </w:rPr>
        <w:t> </w:t>
      </w:r>
      <w:r>
        <w:rPr>
          <w:b/>
          <w:color w:val="939598"/>
          <w:w w:val="105"/>
          <w:sz w:val="26"/>
        </w:rPr>
        <w:t>199</w:t>
      </w:r>
      <w:r>
        <w:rPr>
          <w:b/>
          <w:color w:val="939598"/>
          <w:sz w:val="26"/>
        </w:rPr>
        <w:tab/>
      </w:r>
      <w:r>
        <w:rPr>
          <w:b/>
          <w:color w:val="939598"/>
          <w:spacing w:val="-5"/>
          <w:w w:val="105"/>
          <w:sz w:val="26"/>
        </w:rPr>
        <w:t>200</w:t>
      </w:r>
    </w:p>
    <w:p>
      <w:pPr>
        <w:spacing w:after="0"/>
        <w:jc w:val="left"/>
        <w:rPr>
          <w:b/>
          <w:sz w:val="26"/>
        </w:rPr>
        <w:sectPr>
          <w:pgSz w:w="24480" w:h="15840" w:orient="landscape"/>
          <w:pgMar w:header="0" w:footer="0" w:top="860" w:bottom="0" w:left="0" w:right="720"/>
        </w:sectPr>
      </w:pPr>
    </w:p>
    <w:p>
      <w:pPr>
        <w:pStyle w:val="BodyText"/>
        <w:spacing w:before="8"/>
        <w:rPr>
          <w:b/>
          <w:sz w:val="54"/>
        </w:rPr>
      </w:pPr>
      <w:r>
        <w:rPr>
          <w:b/>
          <w:sz w:val="54"/>
        </w:rPr>
        <w:drawing>
          <wp:anchor distT="0" distB="0" distL="0" distR="0" allowOverlap="1" layoutInCell="1" locked="0" behindDoc="0" simplePos="0" relativeHeight="16007680">
            <wp:simplePos x="0" y="0"/>
            <wp:positionH relativeFrom="page">
              <wp:posOffset>14981556</wp:posOffset>
            </wp:positionH>
            <wp:positionV relativeFrom="page">
              <wp:posOffset>9668103</wp:posOffset>
            </wp:positionV>
            <wp:extent cx="563245" cy="184683"/>
            <wp:effectExtent l="0" t="0" r="0" b="0"/>
            <wp:wrapNone/>
            <wp:docPr id="1972" name="Image 1972"/>
            <wp:cNvGraphicFramePr>
              <a:graphicFrameLocks/>
            </wp:cNvGraphicFramePr>
            <a:graphic>
              <a:graphicData uri="http://schemas.openxmlformats.org/drawingml/2006/picture">
                <pic:pic>
                  <pic:nvPicPr>
                    <pic:cNvPr id="1972" name="Image 1972"/>
                    <pic:cNvPicPr/>
                  </pic:nvPicPr>
                  <pic:blipFill>
                    <a:blip r:embed="rId38" cstate="print"/>
                    <a:stretch>
                      <a:fillRect/>
                    </a:stretch>
                  </pic:blipFill>
                  <pic:spPr>
                    <a:xfrm>
                      <a:off x="0" y="0"/>
                      <a:ext cx="563245" cy="184683"/>
                    </a:xfrm>
                    <a:prstGeom prst="rect">
                      <a:avLst/>
                    </a:prstGeom>
                  </pic:spPr>
                </pic:pic>
              </a:graphicData>
            </a:graphic>
          </wp:anchor>
        </w:drawing>
      </w:r>
    </w:p>
    <w:p>
      <w:pPr>
        <w:spacing w:before="0"/>
        <w:ind w:left="1089" w:right="0" w:firstLine="0"/>
        <w:jc w:val="left"/>
        <w:rPr>
          <w:sz w:val="54"/>
        </w:rPr>
      </w:pPr>
      <w:r>
        <w:rPr>
          <w:sz w:val="54"/>
        </w:rPr>
        <w:drawing>
          <wp:anchor distT="0" distB="0" distL="0" distR="0" allowOverlap="1" layoutInCell="1" locked="0" behindDoc="0" simplePos="0" relativeHeight="16008192">
            <wp:simplePos x="0" y="0"/>
            <wp:positionH relativeFrom="page">
              <wp:posOffset>14298866</wp:posOffset>
            </wp:positionH>
            <wp:positionV relativeFrom="paragraph">
              <wp:posOffset>-66292</wp:posOffset>
            </wp:positionV>
            <wp:extent cx="552068" cy="591502"/>
            <wp:effectExtent l="0" t="0" r="0" b="0"/>
            <wp:wrapNone/>
            <wp:docPr id="1973" name="Image 1973"/>
            <wp:cNvGraphicFramePr>
              <a:graphicFrameLocks/>
            </wp:cNvGraphicFramePr>
            <a:graphic>
              <a:graphicData uri="http://schemas.openxmlformats.org/drawingml/2006/picture">
                <pic:pic>
                  <pic:nvPicPr>
                    <pic:cNvPr id="1973" name="Image 1973"/>
                    <pic:cNvPicPr/>
                  </pic:nvPicPr>
                  <pic:blipFill>
                    <a:blip r:embed="rId259" cstate="print"/>
                    <a:stretch>
                      <a:fillRect/>
                    </a:stretch>
                  </pic:blipFill>
                  <pic:spPr>
                    <a:xfrm>
                      <a:off x="0" y="0"/>
                      <a:ext cx="552068" cy="591502"/>
                    </a:xfrm>
                    <a:prstGeom prst="rect">
                      <a:avLst/>
                    </a:prstGeom>
                  </pic:spPr>
                </pic:pic>
              </a:graphicData>
            </a:graphic>
          </wp:anchor>
        </w:drawing>
      </w:r>
      <w:r>
        <w:rPr>
          <w:sz w:val="54"/>
        </w:rPr>
        <w:drawing>
          <wp:anchor distT="0" distB="0" distL="0" distR="0" allowOverlap="1" layoutInCell="1" locked="0" behindDoc="0" simplePos="0" relativeHeight="16008704">
            <wp:simplePos x="0" y="0"/>
            <wp:positionH relativeFrom="page">
              <wp:posOffset>11596623</wp:posOffset>
            </wp:positionH>
            <wp:positionV relativeFrom="paragraph">
              <wp:posOffset>-68598</wp:posOffset>
            </wp:positionV>
            <wp:extent cx="1311661" cy="345815"/>
            <wp:effectExtent l="0" t="0" r="0" b="0"/>
            <wp:wrapNone/>
            <wp:docPr id="1974" name="Image 1974"/>
            <wp:cNvGraphicFramePr>
              <a:graphicFrameLocks/>
            </wp:cNvGraphicFramePr>
            <a:graphic>
              <a:graphicData uri="http://schemas.openxmlformats.org/drawingml/2006/picture">
                <pic:pic>
                  <pic:nvPicPr>
                    <pic:cNvPr id="1974" name="Image 1974"/>
                    <pic:cNvPicPr/>
                  </pic:nvPicPr>
                  <pic:blipFill>
                    <a:blip r:embed="rId260" cstate="print"/>
                    <a:stretch>
                      <a:fillRect/>
                    </a:stretch>
                  </pic:blipFill>
                  <pic:spPr>
                    <a:xfrm>
                      <a:off x="0" y="0"/>
                      <a:ext cx="1311661" cy="345815"/>
                    </a:xfrm>
                    <a:prstGeom prst="rect">
                      <a:avLst/>
                    </a:prstGeom>
                  </pic:spPr>
                </pic:pic>
              </a:graphicData>
            </a:graphic>
          </wp:anchor>
        </w:drawing>
      </w:r>
      <w:r>
        <w:rPr>
          <w:sz w:val="54"/>
        </w:rPr>
        <w:drawing>
          <wp:anchor distT="0" distB="0" distL="0" distR="0" allowOverlap="1" layoutInCell="1" locked="0" behindDoc="0" simplePos="0" relativeHeight="16009216">
            <wp:simplePos x="0" y="0"/>
            <wp:positionH relativeFrom="page">
              <wp:posOffset>13088996</wp:posOffset>
            </wp:positionH>
            <wp:positionV relativeFrom="paragraph">
              <wp:posOffset>-75983</wp:posOffset>
            </wp:positionV>
            <wp:extent cx="1063929" cy="302976"/>
            <wp:effectExtent l="0" t="0" r="0" b="0"/>
            <wp:wrapNone/>
            <wp:docPr id="1975" name="Image 1975"/>
            <wp:cNvGraphicFramePr>
              <a:graphicFrameLocks/>
            </wp:cNvGraphicFramePr>
            <a:graphic>
              <a:graphicData uri="http://schemas.openxmlformats.org/drawingml/2006/picture">
                <pic:pic>
                  <pic:nvPicPr>
                    <pic:cNvPr id="1975" name="Image 1975"/>
                    <pic:cNvPicPr/>
                  </pic:nvPicPr>
                  <pic:blipFill>
                    <a:blip r:embed="rId261" cstate="print"/>
                    <a:stretch>
                      <a:fillRect/>
                    </a:stretch>
                  </pic:blipFill>
                  <pic:spPr>
                    <a:xfrm>
                      <a:off x="0" y="0"/>
                      <a:ext cx="1063929" cy="302976"/>
                    </a:xfrm>
                    <a:prstGeom prst="rect">
                      <a:avLst/>
                    </a:prstGeom>
                  </pic:spPr>
                </pic:pic>
              </a:graphicData>
            </a:graphic>
          </wp:anchor>
        </w:drawing>
      </w:r>
      <w:r>
        <w:rPr>
          <w:sz w:val="54"/>
        </w:rPr>
        <w:drawing>
          <wp:anchor distT="0" distB="0" distL="0" distR="0" allowOverlap="1" layoutInCell="1" locked="0" behindDoc="0" simplePos="0" relativeHeight="16009728">
            <wp:simplePos x="0" y="0"/>
            <wp:positionH relativeFrom="page">
              <wp:posOffset>11099800</wp:posOffset>
            </wp:positionH>
            <wp:positionV relativeFrom="paragraph">
              <wp:posOffset>-119473</wp:posOffset>
            </wp:positionV>
            <wp:extent cx="330199" cy="393699"/>
            <wp:effectExtent l="0" t="0" r="0" b="0"/>
            <wp:wrapNone/>
            <wp:docPr id="1976" name="Image 1976"/>
            <wp:cNvGraphicFramePr>
              <a:graphicFrameLocks/>
            </wp:cNvGraphicFramePr>
            <a:graphic>
              <a:graphicData uri="http://schemas.openxmlformats.org/drawingml/2006/picture">
                <pic:pic>
                  <pic:nvPicPr>
                    <pic:cNvPr id="1976" name="Image 1976"/>
                    <pic:cNvPicPr/>
                  </pic:nvPicPr>
                  <pic:blipFill>
                    <a:blip r:embed="rId262" cstate="print"/>
                    <a:stretch>
                      <a:fillRect/>
                    </a:stretch>
                  </pic:blipFill>
                  <pic:spPr>
                    <a:xfrm>
                      <a:off x="0" y="0"/>
                      <a:ext cx="330199" cy="393699"/>
                    </a:xfrm>
                    <a:prstGeom prst="rect">
                      <a:avLst/>
                    </a:prstGeom>
                  </pic:spPr>
                </pic:pic>
              </a:graphicData>
            </a:graphic>
          </wp:anchor>
        </w:drawing>
      </w:r>
      <w:r>
        <w:rPr>
          <w:sz w:val="54"/>
        </w:rPr>
        <w:drawing>
          <wp:anchor distT="0" distB="0" distL="0" distR="0" allowOverlap="1" layoutInCell="1" locked="0" behindDoc="0" simplePos="0" relativeHeight="16010240">
            <wp:simplePos x="0" y="0"/>
            <wp:positionH relativeFrom="page">
              <wp:posOffset>9610343</wp:posOffset>
            </wp:positionH>
            <wp:positionV relativeFrom="paragraph">
              <wp:posOffset>-24936</wp:posOffset>
            </wp:positionV>
            <wp:extent cx="1279782" cy="224523"/>
            <wp:effectExtent l="0" t="0" r="0" b="0"/>
            <wp:wrapNone/>
            <wp:docPr id="1977" name="Image 1977"/>
            <wp:cNvGraphicFramePr>
              <a:graphicFrameLocks/>
            </wp:cNvGraphicFramePr>
            <a:graphic>
              <a:graphicData uri="http://schemas.openxmlformats.org/drawingml/2006/picture">
                <pic:pic>
                  <pic:nvPicPr>
                    <pic:cNvPr id="1977" name="Image 1977"/>
                    <pic:cNvPicPr/>
                  </pic:nvPicPr>
                  <pic:blipFill>
                    <a:blip r:embed="rId263" cstate="print"/>
                    <a:stretch>
                      <a:fillRect/>
                    </a:stretch>
                  </pic:blipFill>
                  <pic:spPr>
                    <a:xfrm>
                      <a:off x="0" y="0"/>
                      <a:ext cx="1279782" cy="224523"/>
                    </a:xfrm>
                    <a:prstGeom prst="rect">
                      <a:avLst/>
                    </a:prstGeom>
                  </pic:spPr>
                </pic:pic>
              </a:graphicData>
            </a:graphic>
          </wp:anchor>
        </w:drawing>
      </w:r>
      <w:r>
        <w:rPr>
          <w:color w:val="636466"/>
          <w:sz w:val="54"/>
        </w:rPr>
        <w:t>Steuben</w:t>
      </w:r>
      <w:r>
        <w:rPr>
          <w:color w:val="636466"/>
          <w:spacing w:val="54"/>
          <w:sz w:val="54"/>
        </w:rPr>
        <w:t> </w:t>
      </w:r>
      <w:r>
        <w:rPr>
          <w:color w:val="636466"/>
          <w:sz w:val="54"/>
        </w:rPr>
        <w:t>County</w:t>
      </w:r>
      <w:r>
        <w:rPr>
          <w:color w:val="636466"/>
          <w:spacing w:val="55"/>
          <w:sz w:val="54"/>
        </w:rPr>
        <w:t> </w:t>
      </w:r>
      <w:r>
        <w:rPr>
          <w:color w:val="636466"/>
          <w:sz w:val="54"/>
        </w:rPr>
        <w:t>Appendix</w:t>
      </w:r>
      <w:r>
        <w:rPr>
          <w:color w:val="636466"/>
          <w:spacing w:val="54"/>
          <w:sz w:val="54"/>
        </w:rPr>
        <w:t> </w:t>
      </w:r>
      <w:r>
        <w:rPr>
          <w:color w:val="636466"/>
          <w:spacing w:val="-10"/>
          <w:sz w:val="54"/>
        </w:rPr>
        <w:t>F</w:t>
      </w:r>
    </w:p>
    <w:p>
      <w:pPr>
        <w:spacing w:line="247" w:lineRule="auto" w:before="236"/>
        <w:ind w:left="1089" w:right="13013" w:firstLine="0"/>
        <w:jc w:val="left"/>
        <w:rPr>
          <w:b/>
          <w:sz w:val="32"/>
        </w:rPr>
      </w:pPr>
      <w:r>
        <w:rPr>
          <w:b/>
          <w:color w:val="82BF6A"/>
          <w:spacing w:val="-4"/>
          <w:sz w:val="32"/>
        </w:rPr>
        <w:t>PRIORITY:</w:t>
      </w:r>
      <w:r>
        <w:rPr>
          <w:b/>
          <w:color w:val="82BF6A"/>
          <w:spacing w:val="-19"/>
          <w:sz w:val="32"/>
        </w:rPr>
        <w:t> </w:t>
      </w:r>
      <w:r>
        <w:rPr>
          <w:b/>
          <w:color w:val="82BF6A"/>
          <w:spacing w:val="-4"/>
          <w:sz w:val="32"/>
        </w:rPr>
        <w:t>PROMOTE</w:t>
      </w:r>
      <w:r>
        <w:rPr>
          <w:b/>
          <w:color w:val="82BF6A"/>
          <w:spacing w:val="-18"/>
          <w:sz w:val="32"/>
        </w:rPr>
        <w:t> </w:t>
      </w:r>
      <w:r>
        <w:rPr>
          <w:b/>
          <w:color w:val="82BF6A"/>
          <w:spacing w:val="-4"/>
          <w:sz w:val="32"/>
        </w:rPr>
        <w:t>WELL-BEING</w:t>
      </w:r>
      <w:r>
        <w:rPr>
          <w:b/>
          <w:color w:val="82BF6A"/>
          <w:spacing w:val="-18"/>
          <w:sz w:val="32"/>
        </w:rPr>
        <w:t> </w:t>
      </w:r>
      <w:r>
        <w:rPr>
          <w:b/>
          <w:color w:val="82BF6A"/>
          <w:spacing w:val="-4"/>
          <w:sz w:val="32"/>
        </w:rPr>
        <w:t>AND</w:t>
      </w:r>
      <w:r>
        <w:rPr>
          <w:b/>
          <w:color w:val="82BF6A"/>
          <w:spacing w:val="-18"/>
          <w:sz w:val="32"/>
        </w:rPr>
        <w:t> </w:t>
      </w:r>
      <w:r>
        <w:rPr>
          <w:b/>
          <w:color w:val="82BF6A"/>
          <w:spacing w:val="-4"/>
          <w:sz w:val="32"/>
        </w:rPr>
        <w:t>PREVENT</w:t>
      </w:r>
      <w:r>
        <w:rPr>
          <w:b/>
          <w:color w:val="82BF6A"/>
          <w:spacing w:val="-19"/>
          <w:sz w:val="32"/>
        </w:rPr>
        <w:t> </w:t>
      </w:r>
      <w:r>
        <w:rPr>
          <w:b/>
          <w:color w:val="82BF6A"/>
          <w:spacing w:val="-4"/>
          <w:sz w:val="32"/>
        </w:rPr>
        <w:t>MENTAL </w:t>
      </w:r>
      <w:r>
        <w:rPr>
          <w:b/>
          <w:color w:val="82BF6A"/>
          <w:sz w:val="32"/>
        </w:rPr>
        <w:t>AND</w:t>
      </w:r>
      <w:r>
        <w:rPr>
          <w:b/>
          <w:color w:val="82BF6A"/>
          <w:spacing w:val="-22"/>
          <w:sz w:val="32"/>
        </w:rPr>
        <w:t> </w:t>
      </w:r>
      <w:r>
        <w:rPr>
          <w:b/>
          <w:color w:val="82BF6A"/>
          <w:sz w:val="32"/>
        </w:rPr>
        <w:t>SUBSTANCE</w:t>
      </w:r>
      <w:r>
        <w:rPr>
          <w:b/>
          <w:color w:val="82BF6A"/>
          <w:spacing w:val="-22"/>
          <w:sz w:val="32"/>
        </w:rPr>
        <w:t> </w:t>
      </w:r>
      <w:r>
        <w:rPr>
          <w:b/>
          <w:color w:val="82BF6A"/>
          <w:sz w:val="32"/>
        </w:rPr>
        <w:t>USE</w:t>
      </w:r>
      <w:r>
        <w:rPr>
          <w:b/>
          <w:color w:val="82BF6A"/>
          <w:spacing w:val="-22"/>
          <w:sz w:val="32"/>
        </w:rPr>
        <w:t> </w:t>
      </w:r>
      <w:r>
        <w:rPr>
          <w:b/>
          <w:color w:val="82BF6A"/>
          <w:sz w:val="32"/>
        </w:rPr>
        <w:t>DISORDERS</w:t>
      </w:r>
    </w:p>
    <w:p>
      <w:pPr>
        <w:pStyle w:val="BodyText"/>
        <w:spacing w:before="152"/>
        <w:rPr>
          <w:b/>
          <w:sz w:val="20"/>
        </w:rPr>
      </w:pPr>
    </w:p>
    <w:tbl>
      <w:tblPr>
        <w:tblW w:w="0" w:type="auto"/>
        <w:jc w:val="left"/>
        <w:tblInd w:w="1099"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1180"/>
        <w:gridCol w:w="1555"/>
        <w:gridCol w:w="1497"/>
        <w:gridCol w:w="1756"/>
        <w:gridCol w:w="1115"/>
        <w:gridCol w:w="1565"/>
        <w:gridCol w:w="2613"/>
        <w:gridCol w:w="3279"/>
        <w:gridCol w:w="2073"/>
        <w:gridCol w:w="2015"/>
        <w:gridCol w:w="1669"/>
        <w:gridCol w:w="1894"/>
      </w:tblGrid>
      <w:tr>
        <w:trPr>
          <w:trHeight w:val="730" w:hRule="atLeast"/>
        </w:trPr>
        <w:tc>
          <w:tcPr>
            <w:tcW w:w="1180" w:type="dxa"/>
            <w:tcBorders>
              <w:right w:val="single" w:sz="4" w:space="0" w:color="FFFFFF"/>
            </w:tcBorders>
            <w:shd w:val="clear" w:color="auto" w:fill="A7A9AC"/>
          </w:tcPr>
          <w:p>
            <w:pPr>
              <w:pStyle w:val="TableParagraph"/>
              <w:spacing w:before="79"/>
              <w:rPr>
                <w:b/>
                <w:sz w:val="18"/>
              </w:rPr>
            </w:pPr>
          </w:p>
          <w:p>
            <w:pPr>
              <w:pStyle w:val="TableParagraph"/>
              <w:ind w:left="80"/>
              <w:rPr>
                <w:b/>
                <w:sz w:val="18"/>
              </w:rPr>
            </w:pPr>
            <w:r>
              <w:rPr>
                <w:b/>
                <w:color w:val="FFFFFF"/>
                <w:spacing w:val="-2"/>
                <w:sz w:val="18"/>
              </w:rPr>
              <w:t>Priority</w:t>
            </w:r>
          </w:p>
        </w:tc>
        <w:tc>
          <w:tcPr>
            <w:tcW w:w="1555" w:type="dxa"/>
            <w:tcBorders>
              <w:left w:val="single" w:sz="4" w:space="0" w:color="FFFFFF"/>
              <w:right w:val="single" w:sz="4" w:space="0" w:color="FFFFFF"/>
            </w:tcBorders>
            <w:shd w:val="clear" w:color="auto" w:fill="A7A9AC"/>
          </w:tcPr>
          <w:p>
            <w:pPr>
              <w:pStyle w:val="TableParagraph"/>
              <w:spacing w:before="79"/>
              <w:rPr>
                <w:b/>
                <w:sz w:val="18"/>
              </w:rPr>
            </w:pPr>
          </w:p>
          <w:p>
            <w:pPr>
              <w:pStyle w:val="TableParagraph"/>
              <w:ind w:left="80"/>
              <w:rPr>
                <w:b/>
                <w:sz w:val="18"/>
              </w:rPr>
            </w:pPr>
            <w:r>
              <w:rPr>
                <w:b/>
                <w:color w:val="FFFFFF"/>
                <w:w w:val="90"/>
                <w:sz w:val="18"/>
              </w:rPr>
              <w:t>Focus</w:t>
            </w:r>
            <w:r>
              <w:rPr>
                <w:b/>
                <w:color w:val="FFFFFF"/>
                <w:spacing w:val="8"/>
                <w:sz w:val="18"/>
              </w:rPr>
              <w:t> </w:t>
            </w:r>
            <w:r>
              <w:rPr>
                <w:b/>
                <w:color w:val="FFFFFF"/>
                <w:spacing w:val="-4"/>
                <w:sz w:val="18"/>
              </w:rPr>
              <w:t>Area</w:t>
            </w:r>
          </w:p>
        </w:tc>
        <w:tc>
          <w:tcPr>
            <w:tcW w:w="1497" w:type="dxa"/>
            <w:tcBorders>
              <w:left w:val="single" w:sz="4" w:space="0" w:color="FFFFFF"/>
              <w:right w:val="single" w:sz="4" w:space="0" w:color="FFFFFF"/>
            </w:tcBorders>
            <w:shd w:val="clear" w:color="auto" w:fill="A7A9AC"/>
          </w:tcPr>
          <w:p>
            <w:pPr>
              <w:pStyle w:val="TableParagraph"/>
              <w:spacing w:line="232" w:lineRule="auto" w:before="191"/>
              <w:ind w:left="80" w:right="467"/>
              <w:rPr>
                <w:b/>
                <w:sz w:val="18"/>
              </w:rPr>
            </w:pPr>
            <w:r>
              <w:rPr>
                <w:b/>
                <w:color w:val="FFFFFF"/>
                <w:spacing w:val="-6"/>
                <w:sz w:val="18"/>
              </w:rPr>
              <w:t>Goal</w:t>
            </w:r>
            <w:r>
              <w:rPr>
                <w:b/>
                <w:color w:val="FFFFFF"/>
                <w:spacing w:val="-7"/>
                <w:sz w:val="18"/>
              </w:rPr>
              <w:t> </w:t>
            </w:r>
            <w:r>
              <w:rPr>
                <w:b/>
                <w:color w:val="FFFFFF"/>
                <w:spacing w:val="-6"/>
                <w:sz w:val="18"/>
              </w:rPr>
              <w:t>Focus </w:t>
            </w:r>
            <w:r>
              <w:rPr>
                <w:b/>
                <w:color w:val="FFFFFF"/>
                <w:spacing w:val="-4"/>
                <w:sz w:val="18"/>
              </w:rPr>
              <w:t>Area</w:t>
            </w:r>
          </w:p>
        </w:tc>
        <w:tc>
          <w:tcPr>
            <w:tcW w:w="1756" w:type="dxa"/>
            <w:tcBorders>
              <w:left w:val="single" w:sz="4" w:space="0" w:color="FFFFFF"/>
              <w:right w:val="single" w:sz="4" w:space="0" w:color="FFFFFF"/>
            </w:tcBorders>
            <w:shd w:val="clear" w:color="auto" w:fill="A7A9AC"/>
          </w:tcPr>
          <w:p>
            <w:pPr>
              <w:pStyle w:val="TableParagraph"/>
              <w:spacing w:before="79"/>
              <w:rPr>
                <w:b/>
                <w:sz w:val="18"/>
              </w:rPr>
            </w:pPr>
          </w:p>
          <w:p>
            <w:pPr>
              <w:pStyle w:val="TableParagraph"/>
              <w:ind w:left="81"/>
              <w:rPr>
                <w:b/>
                <w:sz w:val="18"/>
              </w:rPr>
            </w:pPr>
            <w:r>
              <w:rPr>
                <w:b/>
                <w:color w:val="FFFFFF"/>
                <w:spacing w:val="-2"/>
                <w:sz w:val="18"/>
              </w:rPr>
              <w:t>Objectives</w:t>
            </w:r>
          </w:p>
        </w:tc>
        <w:tc>
          <w:tcPr>
            <w:tcW w:w="1115" w:type="dxa"/>
            <w:tcBorders>
              <w:left w:val="single" w:sz="4" w:space="0" w:color="FFFFFF"/>
              <w:right w:val="single" w:sz="4" w:space="0" w:color="FFFFFF"/>
            </w:tcBorders>
            <w:shd w:val="clear" w:color="auto" w:fill="A7A9AC"/>
          </w:tcPr>
          <w:p>
            <w:pPr>
              <w:pStyle w:val="TableParagraph"/>
              <w:spacing w:before="79"/>
              <w:rPr>
                <w:b/>
                <w:sz w:val="18"/>
              </w:rPr>
            </w:pPr>
          </w:p>
          <w:p>
            <w:pPr>
              <w:pStyle w:val="TableParagraph"/>
              <w:ind w:left="82"/>
              <w:rPr>
                <w:b/>
                <w:sz w:val="18"/>
              </w:rPr>
            </w:pPr>
            <w:r>
              <w:rPr>
                <w:b/>
                <w:color w:val="FFFFFF"/>
                <w:spacing w:val="-2"/>
                <w:sz w:val="18"/>
              </w:rPr>
              <w:t>Disparities</w:t>
            </w:r>
          </w:p>
        </w:tc>
        <w:tc>
          <w:tcPr>
            <w:tcW w:w="1565" w:type="dxa"/>
            <w:tcBorders>
              <w:left w:val="single" w:sz="4" w:space="0" w:color="FFFFFF"/>
              <w:right w:val="single" w:sz="4" w:space="0" w:color="FFFFFF"/>
            </w:tcBorders>
            <w:shd w:val="clear" w:color="auto" w:fill="A7A9AC"/>
          </w:tcPr>
          <w:p>
            <w:pPr>
              <w:pStyle w:val="TableParagraph"/>
              <w:spacing w:before="79"/>
              <w:rPr>
                <w:b/>
                <w:sz w:val="18"/>
              </w:rPr>
            </w:pPr>
          </w:p>
          <w:p>
            <w:pPr>
              <w:pStyle w:val="TableParagraph"/>
              <w:ind w:left="83"/>
              <w:rPr>
                <w:b/>
                <w:sz w:val="18"/>
              </w:rPr>
            </w:pPr>
            <w:r>
              <w:rPr>
                <w:b/>
                <w:color w:val="FFFFFF"/>
                <w:spacing w:val="-2"/>
                <w:sz w:val="18"/>
              </w:rPr>
              <w:t>Interventions</w:t>
            </w:r>
          </w:p>
        </w:tc>
        <w:tc>
          <w:tcPr>
            <w:tcW w:w="2613" w:type="dxa"/>
            <w:tcBorders>
              <w:left w:val="single" w:sz="4" w:space="0" w:color="FFFFFF"/>
              <w:right w:val="nil"/>
            </w:tcBorders>
            <w:shd w:val="clear" w:color="auto" w:fill="A7A9AC"/>
          </w:tcPr>
          <w:p>
            <w:pPr>
              <w:pStyle w:val="TableParagraph"/>
              <w:spacing w:line="232" w:lineRule="auto" w:before="191"/>
              <w:ind w:left="94" w:right="1114"/>
              <w:rPr>
                <w:b/>
                <w:sz w:val="18"/>
              </w:rPr>
            </w:pPr>
            <w:r>
              <w:rPr>
                <w:b/>
                <w:color w:val="FFFFFF"/>
                <w:sz w:val="18"/>
              </w:rPr>
              <w:t>Family</w:t>
            </w:r>
            <w:r>
              <w:rPr>
                <w:b/>
                <w:color w:val="FFFFFF"/>
                <w:spacing w:val="-13"/>
                <w:sz w:val="18"/>
              </w:rPr>
              <w:t> </w:t>
            </w:r>
            <w:r>
              <w:rPr>
                <w:b/>
                <w:color w:val="FFFFFF"/>
                <w:sz w:val="18"/>
              </w:rPr>
              <w:t>of </w:t>
            </w:r>
            <w:r>
              <w:rPr>
                <w:b/>
                <w:color w:val="FFFFFF"/>
                <w:spacing w:val="-6"/>
                <w:sz w:val="18"/>
              </w:rPr>
              <w:t>Measures</w:t>
            </w:r>
          </w:p>
        </w:tc>
        <w:tc>
          <w:tcPr>
            <w:tcW w:w="3279" w:type="dxa"/>
            <w:tcBorders>
              <w:left w:val="nil"/>
              <w:right w:val="single" w:sz="4" w:space="0" w:color="FFFFFF"/>
            </w:tcBorders>
            <w:shd w:val="clear" w:color="auto" w:fill="A7A9AC"/>
          </w:tcPr>
          <w:p>
            <w:pPr>
              <w:pStyle w:val="TableParagraph"/>
              <w:spacing w:line="232" w:lineRule="auto" w:before="191"/>
              <w:ind w:left="1046" w:right="114"/>
              <w:rPr>
                <w:b/>
                <w:sz w:val="18"/>
              </w:rPr>
            </w:pPr>
            <w:r>
              <w:rPr>
                <w:b/>
                <w:color w:val="FFFFFF"/>
                <w:sz w:val="18"/>
              </w:rPr>
              <w:t>Projected</w:t>
            </w:r>
            <w:r>
              <w:rPr>
                <w:b/>
                <w:color w:val="FFFFFF"/>
                <w:spacing w:val="-15"/>
                <w:sz w:val="18"/>
              </w:rPr>
              <w:t> </w:t>
            </w:r>
            <w:r>
              <w:rPr>
                <w:b/>
                <w:color w:val="FFFFFF"/>
                <w:sz w:val="18"/>
              </w:rPr>
              <w:t>(or</w:t>
            </w:r>
            <w:r>
              <w:rPr>
                <w:b/>
                <w:color w:val="FFFFFF"/>
                <w:spacing w:val="-12"/>
                <w:sz w:val="18"/>
              </w:rPr>
              <w:t> </w:t>
            </w:r>
            <w:r>
              <w:rPr>
                <w:b/>
                <w:color w:val="FFFFFF"/>
                <w:sz w:val="18"/>
              </w:rPr>
              <w:t>completed) Year 1 Intervention</w:t>
            </w:r>
          </w:p>
        </w:tc>
        <w:tc>
          <w:tcPr>
            <w:tcW w:w="2073" w:type="dxa"/>
            <w:tcBorders>
              <w:left w:val="single" w:sz="4" w:space="0" w:color="FFFFFF"/>
              <w:right w:val="single" w:sz="4" w:space="0" w:color="FFFFFF"/>
            </w:tcBorders>
            <w:shd w:val="clear" w:color="auto" w:fill="A7A9AC"/>
          </w:tcPr>
          <w:p>
            <w:pPr>
              <w:pStyle w:val="TableParagraph"/>
              <w:spacing w:line="232" w:lineRule="auto" w:before="191"/>
              <w:ind w:left="85" w:right="1155"/>
              <w:rPr>
                <w:b/>
                <w:sz w:val="18"/>
              </w:rPr>
            </w:pPr>
            <w:r>
              <w:rPr>
                <w:b/>
                <w:color w:val="FFFFFF"/>
                <w:spacing w:val="-2"/>
                <w:sz w:val="18"/>
              </w:rPr>
              <w:t>Projected </w:t>
            </w:r>
            <w:r>
              <w:rPr>
                <w:b/>
                <w:color w:val="FFFFFF"/>
                <w:sz w:val="18"/>
              </w:rPr>
              <w:t>Year 2</w:t>
            </w:r>
          </w:p>
        </w:tc>
        <w:tc>
          <w:tcPr>
            <w:tcW w:w="2015" w:type="dxa"/>
            <w:tcBorders>
              <w:left w:val="single" w:sz="4" w:space="0" w:color="FFFFFF"/>
              <w:right w:val="single" w:sz="4" w:space="0" w:color="FFFFFF"/>
            </w:tcBorders>
            <w:shd w:val="clear" w:color="auto" w:fill="A7A9AC"/>
          </w:tcPr>
          <w:p>
            <w:pPr>
              <w:pStyle w:val="TableParagraph"/>
              <w:spacing w:line="232" w:lineRule="auto" w:before="191"/>
              <w:ind w:left="85" w:right="72"/>
              <w:rPr>
                <w:b/>
                <w:sz w:val="18"/>
              </w:rPr>
            </w:pPr>
            <w:r>
              <w:rPr>
                <w:b/>
                <w:color w:val="FFFFFF"/>
                <w:spacing w:val="-2"/>
                <w:sz w:val="18"/>
              </w:rPr>
              <w:t>Projected</w:t>
            </w:r>
            <w:r>
              <w:rPr>
                <w:b/>
                <w:color w:val="FFFFFF"/>
                <w:spacing w:val="-13"/>
                <w:sz w:val="18"/>
              </w:rPr>
              <w:t> </w:t>
            </w:r>
            <w:r>
              <w:rPr>
                <w:b/>
                <w:color w:val="FFFFFF"/>
                <w:spacing w:val="-2"/>
                <w:sz w:val="18"/>
              </w:rPr>
              <w:t>Year</w:t>
            </w:r>
            <w:r>
              <w:rPr>
                <w:b/>
                <w:color w:val="FFFFFF"/>
                <w:spacing w:val="-10"/>
                <w:sz w:val="18"/>
              </w:rPr>
              <w:t> </w:t>
            </w:r>
            <w:r>
              <w:rPr>
                <w:b/>
                <w:color w:val="FFFFFF"/>
                <w:spacing w:val="-2"/>
                <w:sz w:val="18"/>
              </w:rPr>
              <w:t>3 Interventions</w:t>
            </w:r>
          </w:p>
        </w:tc>
        <w:tc>
          <w:tcPr>
            <w:tcW w:w="1669" w:type="dxa"/>
            <w:tcBorders>
              <w:left w:val="single" w:sz="4" w:space="0" w:color="FFFFFF"/>
            </w:tcBorders>
            <w:shd w:val="clear" w:color="auto" w:fill="A7A9AC"/>
          </w:tcPr>
          <w:p>
            <w:pPr>
              <w:pStyle w:val="TableParagraph"/>
              <w:spacing w:line="232" w:lineRule="auto" w:before="191"/>
              <w:ind w:left="86"/>
              <w:rPr>
                <w:b/>
                <w:sz w:val="18"/>
              </w:rPr>
            </w:pPr>
            <w:r>
              <w:rPr>
                <w:b/>
                <w:color w:val="FFFFFF"/>
                <w:spacing w:val="-2"/>
                <w:sz w:val="18"/>
              </w:rPr>
              <w:t>Implementation Partner</w:t>
            </w:r>
          </w:p>
        </w:tc>
        <w:tc>
          <w:tcPr>
            <w:tcW w:w="1894" w:type="dxa"/>
            <w:shd w:val="clear" w:color="auto" w:fill="A7A9AC"/>
          </w:tcPr>
          <w:p>
            <w:pPr>
              <w:pStyle w:val="TableParagraph"/>
              <w:spacing w:line="232" w:lineRule="auto" w:before="191"/>
              <w:ind w:left="88" w:right="95"/>
              <w:rPr>
                <w:b/>
                <w:sz w:val="18"/>
              </w:rPr>
            </w:pPr>
            <w:r>
              <w:rPr>
                <w:b/>
                <w:color w:val="FFFFFF"/>
                <w:spacing w:val="-4"/>
                <w:sz w:val="18"/>
              </w:rPr>
              <w:t>Partner</w:t>
            </w:r>
            <w:r>
              <w:rPr>
                <w:b/>
                <w:color w:val="FFFFFF"/>
                <w:spacing w:val="-11"/>
                <w:sz w:val="18"/>
              </w:rPr>
              <w:t> </w:t>
            </w:r>
            <w:r>
              <w:rPr>
                <w:b/>
                <w:color w:val="FFFFFF"/>
                <w:spacing w:val="-4"/>
                <w:sz w:val="18"/>
              </w:rPr>
              <w:t>Role(s)</w:t>
            </w:r>
            <w:r>
              <w:rPr>
                <w:b/>
                <w:color w:val="FFFFFF"/>
                <w:spacing w:val="-8"/>
                <w:sz w:val="18"/>
              </w:rPr>
              <w:t> </w:t>
            </w:r>
            <w:r>
              <w:rPr>
                <w:b/>
                <w:color w:val="FFFFFF"/>
                <w:spacing w:val="-4"/>
                <w:sz w:val="18"/>
              </w:rPr>
              <w:t>and </w:t>
            </w:r>
            <w:r>
              <w:rPr>
                <w:b/>
                <w:color w:val="FFFFFF"/>
                <w:spacing w:val="-2"/>
                <w:sz w:val="18"/>
              </w:rPr>
              <w:t>Resources</w:t>
            </w:r>
          </w:p>
        </w:tc>
      </w:tr>
      <w:tr>
        <w:trPr>
          <w:trHeight w:val="1840" w:hRule="atLeast"/>
        </w:trPr>
        <w:tc>
          <w:tcPr>
            <w:tcW w:w="1180" w:type="dxa"/>
            <w:vMerge w:val="restart"/>
            <w:shd w:val="clear" w:color="auto" w:fill="E6E7E8"/>
          </w:tcPr>
          <w:p>
            <w:pPr>
              <w:pStyle w:val="TableParagraph"/>
              <w:spacing w:line="232" w:lineRule="auto" w:before="101"/>
              <w:ind w:left="89" w:right="87"/>
              <w:rPr>
                <w:sz w:val="18"/>
              </w:rPr>
            </w:pPr>
            <w:r>
              <w:rPr>
                <w:color w:val="105C84"/>
                <w:spacing w:val="-2"/>
                <w:sz w:val="18"/>
              </w:rPr>
              <w:t>Promote Well-Being </w:t>
            </w:r>
            <w:r>
              <w:rPr>
                <w:color w:val="105C84"/>
                <w:sz w:val="18"/>
              </w:rPr>
              <w:t>and</w:t>
            </w:r>
            <w:r>
              <w:rPr>
                <w:color w:val="105C84"/>
                <w:spacing w:val="-13"/>
                <w:sz w:val="18"/>
              </w:rPr>
              <w:t> </w:t>
            </w:r>
            <w:r>
              <w:rPr>
                <w:color w:val="105C84"/>
                <w:sz w:val="18"/>
              </w:rPr>
              <w:t>Prevent Mental and </w:t>
            </w:r>
            <w:r>
              <w:rPr>
                <w:color w:val="105C84"/>
                <w:spacing w:val="-2"/>
                <w:sz w:val="18"/>
              </w:rPr>
              <w:t>Substance </w:t>
            </w:r>
            <w:r>
              <w:rPr>
                <w:color w:val="105C84"/>
                <w:spacing w:val="-4"/>
                <w:sz w:val="18"/>
              </w:rPr>
              <w:t>Use </w:t>
            </w:r>
            <w:r>
              <w:rPr>
                <w:color w:val="105C84"/>
                <w:spacing w:val="-2"/>
                <w:sz w:val="18"/>
              </w:rPr>
              <w:t>Disorders</w:t>
            </w:r>
          </w:p>
        </w:tc>
        <w:tc>
          <w:tcPr>
            <w:tcW w:w="1555" w:type="dxa"/>
            <w:vMerge w:val="restart"/>
          </w:tcPr>
          <w:p>
            <w:pPr>
              <w:pStyle w:val="TableParagraph"/>
              <w:spacing w:line="232" w:lineRule="auto" w:before="100"/>
              <w:ind w:left="90" w:right="237"/>
              <w:rPr>
                <w:sz w:val="18"/>
              </w:rPr>
            </w:pPr>
            <w:r>
              <w:rPr>
                <w:color w:val="105C84"/>
                <w:sz w:val="18"/>
              </w:rPr>
              <w:t>Focus Area 2: Prevent</w:t>
            </w:r>
            <w:r>
              <w:rPr>
                <w:color w:val="105C84"/>
                <w:spacing w:val="-13"/>
                <w:sz w:val="18"/>
              </w:rPr>
              <w:t> </w:t>
            </w:r>
            <w:r>
              <w:rPr>
                <w:color w:val="105C84"/>
                <w:sz w:val="18"/>
              </w:rPr>
              <w:t>Mental and</w:t>
            </w:r>
            <w:r>
              <w:rPr>
                <w:color w:val="105C84"/>
                <w:spacing w:val="-13"/>
                <w:sz w:val="18"/>
              </w:rPr>
              <w:t> </w:t>
            </w:r>
            <w:r>
              <w:rPr>
                <w:color w:val="105C84"/>
                <w:sz w:val="18"/>
              </w:rPr>
              <w:t>Substance Use Disorders</w:t>
            </w:r>
          </w:p>
        </w:tc>
        <w:tc>
          <w:tcPr>
            <w:tcW w:w="1497" w:type="dxa"/>
            <w:vMerge w:val="restart"/>
          </w:tcPr>
          <w:p>
            <w:pPr>
              <w:pStyle w:val="TableParagraph"/>
              <w:spacing w:line="232" w:lineRule="auto" w:before="100"/>
              <w:ind w:left="90" w:right="70"/>
              <w:rPr>
                <w:sz w:val="18"/>
              </w:rPr>
            </w:pPr>
            <w:r>
              <w:rPr>
                <w:color w:val="105C84"/>
                <w:sz w:val="18"/>
              </w:rPr>
              <w:t>Goal 2.2: Prevent</w:t>
            </w:r>
            <w:r>
              <w:rPr>
                <w:color w:val="105C84"/>
                <w:spacing w:val="-13"/>
                <w:sz w:val="18"/>
              </w:rPr>
              <w:t> </w:t>
            </w:r>
            <w:r>
              <w:rPr>
                <w:color w:val="105C84"/>
                <w:sz w:val="18"/>
              </w:rPr>
              <w:t>opioid and other </w:t>
            </w:r>
            <w:r>
              <w:rPr>
                <w:color w:val="105C84"/>
                <w:spacing w:val="-2"/>
                <w:sz w:val="18"/>
              </w:rPr>
              <w:t>substance </w:t>
            </w:r>
            <w:r>
              <w:rPr>
                <w:color w:val="105C84"/>
                <w:sz w:val="18"/>
              </w:rPr>
              <w:t>misuse and </w:t>
            </w:r>
            <w:r>
              <w:rPr>
                <w:color w:val="105C84"/>
                <w:spacing w:val="-2"/>
                <w:sz w:val="18"/>
              </w:rPr>
              <w:t>deaths</w:t>
            </w:r>
          </w:p>
        </w:tc>
        <w:tc>
          <w:tcPr>
            <w:tcW w:w="1756" w:type="dxa"/>
            <w:vMerge w:val="restart"/>
          </w:tcPr>
          <w:p>
            <w:pPr>
              <w:pStyle w:val="TableParagraph"/>
              <w:spacing w:line="232" w:lineRule="auto" w:before="100"/>
              <w:ind w:left="91" w:right="288"/>
              <w:rPr>
                <w:sz w:val="18"/>
              </w:rPr>
            </w:pPr>
            <w:r>
              <w:rPr>
                <w:color w:val="105C84"/>
                <w:sz w:val="18"/>
              </w:rPr>
              <w:t>2.2.1: Reduce the</w:t>
            </w:r>
            <w:r>
              <w:rPr>
                <w:color w:val="105C84"/>
                <w:spacing w:val="-13"/>
                <w:sz w:val="18"/>
              </w:rPr>
              <w:t> </w:t>
            </w:r>
            <w:r>
              <w:rPr>
                <w:color w:val="105C84"/>
                <w:sz w:val="18"/>
              </w:rPr>
              <w:t>age-</w:t>
            </w:r>
            <w:r>
              <w:rPr>
                <w:color w:val="105C84"/>
                <w:sz w:val="18"/>
              </w:rPr>
              <w:t>adjusted</w:t>
            </w:r>
            <w:r>
              <w:rPr>
                <w:color w:val="105C84"/>
                <w:sz w:val="18"/>
              </w:rPr>
              <w:t> overdose</w:t>
            </w:r>
            <w:r>
              <w:rPr>
                <w:color w:val="105C84"/>
                <w:spacing w:val="-5"/>
                <w:sz w:val="18"/>
              </w:rPr>
              <w:t> </w:t>
            </w:r>
            <w:r>
              <w:rPr>
                <w:color w:val="105C84"/>
                <w:sz w:val="18"/>
              </w:rPr>
              <w:t>deaths involving any opioid by 7% to</w:t>
            </w:r>
          </w:p>
          <w:p>
            <w:pPr>
              <w:pStyle w:val="TableParagraph"/>
              <w:spacing w:line="194" w:lineRule="exact"/>
              <w:ind w:left="91"/>
              <w:rPr>
                <w:sz w:val="18"/>
              </w:rPr>
            </w:pPr>
            <w:r>
              <w:rPr>
                <w:color w:val="105C84"/>
                <w:sz w:val="18"/>
              </w:rPr>
              <w:t>14.0</w:t>
            </w:r>
            <w:r>
              <w:rPr>
                <w:color w:val="105C84"/>
                <w:spacing w:val="-13"/>
                <w:sz w:val="18"/>
              </w:rPr>
              <w:t> </w:t>
            </w:r>
            <w:r>
              <w:rPr>
                <w:color w:val="105C84"/>
                <w:sz w:val="18"/>
              </w:rPr>
              <w:t>per</w:t>
            </w:r>
            <w:r>
              <w:rPr>
                <w:color w:val="105C84"/>
                <w:spacing w:val="-12"/>
                <w:sz w:val="18"/>
              </w:rPr>
              <w:t> </w:t>
            </w:r>
            <w:r>
              <w:rPr>
                <w:color w:val="105C84"/>
                <w:spacing w:val="-2"/>
                <w:sz w:val="18"/>
              </w:rPr>
              <w:t>100,000</w:t>
            </w:r>
          </w:p>
          <w:p>
            <w:pPr>
              <w:pStyle w:val="TableParagraph"/>
              <w:spacing w:line="203" w:lineRule="exact"/>
              <w:ind w:left="91"/>
              <w:rPr>
                <w:sz w:val="18"/>
              </w:rPr>
            </w:pPr>
            <w:r>
              <w:rPr>
                <w:color w:val="105C84"/>
                <w:spacing w:val="-2"/>
                <w:w w:val="105"/>
                <w:sz w:val="18"/>
              </w:rPr>
              <w:t>population</w:t>
            </w:r>
          </w:p>
        </w:tc>
        <w:tc>
          <w:tcPr>
            <w:tcW w:w="1115" w:type="dxa"/>
            <w:vMerge w:val="restart"/>
          </w:tcPr>
          <w:p>
            <w:pPr>
              <w:pStyle w:val="TableParagraph"/>
              <w:rPr>
                <w:rFonts w:ascii="Times New Roman"/>
                <w:sz w:val="18"/>
              </w:rPr>
            </w:pPr>
          </w:p>
        </w:tc>
        <w:tc>
          <w:tcPr>
            <w:tcW w:w="1565" w:type="dxa"/>
            <w:vMerge w:val="restart"/>
          </w:tcPr>
          <w:p>
            <w:pPr>
              <w:pStyle w:val="TableParagraph"/>
              <w:spacing w:line="232" w:lineRule="auto" w:before="100"/>
              <w:ind w:left="92" w:right="22"/>
              <w:rPr>
                <w:sz w:val="18"/>
              </w:rPr>
            </w:pPr>
            <w:r>
              <w:rPr>
                <w:color w:val="105C84"/>
                <w:sz w:val="18"/>
              </w:rPr>
              <w:t>2.2.4: Build support systems to care for </w:t>
            </w:r>
            <w:r>
              <w:rPr>
                <w:color w:val="105C84"/>
                <w:sz w:val="18"/>
              </w:rPr>
              <w:t>opioid</w:t>
            </w:r>
            <w:r>
              <w:rPr>
                <w:color w:val="105C84"/>
                <w:sz w:val="18"/>
              </w:rPr>
              <w:t> users</w:t>
            </w:r>
            <w:r>
              <w:rPr>
                <w:color w:val="105C84"/>
                <w:spacing w:val="-9"/>
                <w:sz w:val="18"/>
              </w:rPr>
              <w:t> </w:t>
            </w:r>
            <w:r>
              <w:rPr>
                <w:color w:val="105C84"/>
                <w:sz w:val="18"/>
              </w:rPr>
              <w:t>or</w:t>
            </w:r>
            <w:r>
              <w:rPr>
                <w:color w:val="105C84"/>
                <w:spacing w:val="-9"/>
                <w:sz w:val="18"/>
              </w:rPr>
              <w:t> </w:t>
            </w:r>
            <w:r>
              <w:rPr>
                <w:color w:val="105C84"/>
                <w:sz w:val="18"/>
              </w:rPr>
              <w:t>at</w:t>
            </w:r>
            <w:r>
              <w:rPr>
                <w:color w:val="105C84"/>
                <w:spacing w:val="-9"/>
                <w:sz w:val="18"/>
              </w:rPr>
              <w:t> </w:t>
            </w:r>
            <w:r>
              <w:rPr>
                <w:color w:val="105C84"/>
                <w:sz w:val="18"/>
              </w:rPr>
              <w:t>risk</w:t>
            </w:r>
            <w:r>
              <w:rPr>
                <w:color w:val="105C84"/>
                <w:spacing w:val="-9"/>
                <w:sz w:val="18"/>
              </w:rPr>
              <w:t> </w:t>
            </w:r>
            <w:r>
              <w:rPr>
                <w:color w:val="105C84"/>
                <w:sz w:val="18"/>
              </w:rPr>
              <w:t>of an overdose</w:t>
            </w:r>
          </w:p>
        </w:tc>
        <w:tc>
          <w:tcPr>
            <w:tcW w:w="2613" w:type="dxa"/>
            <w:tcBorders>
              <w:right w:val="nil"/>
            </w:tcBorders>
          </w:tcPr>
          <w:p>
            <w:pPr>
              <w:pStyle w:val="TableParagraph"/>
              <w:spacing w:line="203" w:lineRule="exact" w:before="95"/>
              <w:ind w:left="93"/>
              <w:rPr>
                <w:sz w:val="18"/>
              </w:rPr>
            </w:pPr>
            <w:r>
              <w:rPr>
                <w:color w:val="105C84"/>
                <w:sz w:val="18"/>
              </w:rPr>
              <w:t>#</w:t>
            </w:r>
            <w:r>
              <w:rPr>
                <w:color w:val="105C84"/>
                <w:spacing w:val="-5"/>
                <w:sz w:val="18"/>
              </w:rPr>
              <w:t> </w:t>
            </w:r>
            <w:r>
              <w:rPr>
                <w:color w:val="105C84"/>
                <w:sz w:val="18"/>
              </w:rPr>
              <w:t>of</w:t>
            </w:r>
            <w:r>
              <w:rPr>
                <w:color w:val="105C84"/>
                <w:spacing w:val="-3"/>
                <w:sz w:val="18"/>
              </w:rPr>
              <w:t> </w:t>
            </w:r>
            <w:r>
              <w:rPr>
                <w:color w:val="105C84"/>
                <w:spacing w:val="-2"/>
                <w:sz w:val="18"/>
              </w:rPr>
              <w:t>ODMAP</w:t>
            </w:r>
          </w:p>
          <w:p>
            <w:pPr>
              <w:pStyle w:val="TableParagraph"/>
              <w:spacing w:line="203" w:lineRule="exact"/>
              <w:ind w:left="93"/>
              <w:rPr>
                <w:sz w:val="18"/>
              </w:rPr>
            </w:pPr>
            <w:r>
              <w:rPr>
                <w:color w:val="105C84"/>
                <w:spacing w:val="-2"/>
                <w:sz w:val="18"/>
              </w:rPr>
              <w:t>inputs</w:t>
            </w:r>
          </w:p>
          <w:p>
            <w:pPr>
              <w:pStyle w:val="TableParagraph"/>
              <w:spacing w:line="203" w:lineRule="exact" w:before="83"/>
              <w:ind w:left="93"/>
              <w:rPr>
                <w:sz w:val="18"/>
              </w:rPr>
            </w:pPr>
            <w:r>
              <w:rPr>
                <w:color w:val="105C84"/>
                <w:sz w:val="18"/>
              </w:rPr>
              <w:t>%</w:t>
            </w:r>
            <w:r>
              <w:rPr>
                <w:color w:val="105C84"/>
                <w:spacing w:val="-7"/>
                <w:sz w:val="18"/>
              </w:rPr>
              <w:t> </w:t>
            </w:r>
            <w:r>
              <w:rPr>
                <w:color w:val="105C84"/>
                <w:sz w:val="18"/>
              </w:rPr>
              <w:t>of</w:t>
            </w:r>
            <w:r>
              <w:rPr>
                <w:color w:val="105C84"/>
                <w:spacing w:val="-7"/>
                <w:sz w:val="18"/>
              </w:rPr>
              <w:t> </w:t>
            </w:r>
            <w:r>
              <w:rPr>
                <w:color w:val="105C84"/>
                <w:spacing w:val="-2"/>
                <w:sz w:val="18"/>
              </w:rPr>
              <w:t>ODMAP</w:t>
            </w:r>
          </w:p>
          <w:p>
            <w:pPr>
              <w:pStyle w:val="TableParagraph"/>
              <w:spacing w:line="232" w:lineRule="auto" w:before="2"/>
              <w:ind w:left="93" w:right="1114"/>
              <w:rPr>
                <w:sz w:val="18"/>
              </w:rPr>
            </w:pPr>
            <w:r>
              <w:rPr>
                <w:color w:val="105C84"/>
                <w:spacing w:val="-2"/>
                <w:w w:val="105"/>
                <w:sz w:val="18"/>
              </w:rPr>
              <w:t>inputs</w:t>
            </w:r>
            <w:r>
              <w:rPr>
                <w:color w:val="105C84"/>
                <w:spacing w:val="-12"/>
                <w:w w:val="105"/>
                <w:sz w:val="18"/>
              </w:rPr>
              <w:t> </w:t>
            </w:r>
            <w:r>
              <w:rPr>
                <w:color w:val="105C84"/>
                <w:spacing w:val="-2"/>
                <w:w w:val="105"/>
                <w:sz w:val="18"/>
              </w:rPr>
              <w:t>followed </w:t>
            </w:r>
            <w:r>
              <w:rPr>
                <w:color w:val="105C84"/>
                <w:w w:val="105"/>
                <w:sz w:val="18"/>
              </w:rPr>
              <w:t>up</w:t>
            </w:r>
            <w:r>
              <w:rPr>
                <w:color w:val="105C84"/>
                <w:spacing w:val="-1"/>
                <w:w w:val="105"/>
                <w:sz w:val="18"/>
              </w:rPr>
              <w:t> </w:t>
            </w:r>
            <w:r>
              <w:rPr>
                <w:color w:val="105C84"/>
                <w:w w:val="105"/>
                <w:sz w:val="18"/>
              </w:rPr>
              <w:t>on</w:t>
            </w:r>
          </w:p>
        </w:tc>
        <w:tc>
          <w:tcPr>
            <w:tcW w:w="3279" w:type="dxa"/>
            <w:tcBorders>
              <w:left w:val="nil"/>
            </w:tcBorders>
          </w:tcPr>
          <w:p>
            <w:pPr>
              <w:pStyle w:val="TableParagraph"/>
              <w:spacing w:line="232" w:lineRule="auto" w:before="100"/>
              <w:ind w:left="1046" w:right="26"/>
              <w:rPr>
                <w:sz w:val="18"/>
              </w:rPr>
            </w:pPr>
            <w:r>
              <w:rPr>
                <w:color w:val="105C84"/>
                <w:sz w:val="18"/>
              </w:rPr>
              <w:t>ODMAP program </w:t>
            </w:r>
            <w:r>
              <w:rPr>
                <w:color w:val="105C84"/>
                <w:sz w:val="18"/>
              </w:rPr>
              <w:t>adopted in Steuben County and partner</w:t>
            </w:r>
            <w:r>
              <w:rPr>
                <w:color w:val="105C84"/>
                <w:spacing w:val="-1"/>
                <w:sz w:val="18"/>
              </w:rPr>
              <w:t> </w:t>
            </w:r>
            <w:r>
              <w:rPr>
                <w:color w:val="105C84"/>
                <w:sz w:val="18"/>
              </w:rPr>
              <w:t>agencies</w:t>
            </w:r>
            <w:r>
              <w:rPr>
                <w:color w:val="105C84"/>
                <w:spacing w:val="-1"/>
                <w:sz w:val="18"/>
              </w:rPr>
              <w:t> </w:t>
            </w:r>
            <w:r>
              <w:rPr>
                <w:color w:val="105C84"/>
                <w:sz w:val="18"/>
              </w:rPr>
              <w:t>identified and roles delineated</w:t>
            </w:r>
          </w:p>
        </w:tc>
        <w:tc>
          <w:tcPr>
            <w:tcW w:w="2073" w:type="dxa"/>
          </w:tcPr>
          <w:p>
            <w:pPr>
              <w:pStyle w:val="TableParagraph"/>
              <w:spacing w:line="232" w:lineRule="auto" w:before="100"/>
              <w:ind w:left="95" w:right="644"/>
              <w:rPr>
                <w:sz w:val="18"/>
              </w:rPr>
            </w:pPr>
            <w:r>
              <w:rPr>
                <w:color w:val="105C84"/>
                <w:sz w:val="18"/>
              </w:rPr>
              <w:t>PH</w:t>
            </w:r>
            <w:r>
              <w:rPr>
                <w:color w:val="105C84"/>
                <w:spacing w:val="-15"/>
                <w:sz w:val="18"/>
              </w:rPr>
              <w:t> </w:t>
            </w:r>
            <w:r>
              <w:rPr>
                <w:color w:val="105C84"/>
                <w:sz w:val="18"/>
              </w:rPr>
              <w:t>to</w:t>
            </w:r>
            <w:r>
              <w:rPr>
                <w:color w:val="105C84"/>
                <w:spacing w:val="-12"/>
                <w:sz w:val="18"/>
              </w:rPr>
              <w:t> </w:t>
            </w:r>
            <w:r>
              <w:rPr>
                <w:color w:val="105C84"/>
                <w:sz w:val="18"/>
              </w:rPr>
              <w:t>continue as ODMAP an </w:t>
            </w:r>
            <w:r>
              <w:rPr>
                <w:color w:val="105C84"/>
                <w:spacing w:val="-2"/>
                <w:sz w:val="18"/>
              </w:rPr>
              <w:t>administrator</w:t>
            </w:r>
          </w:p>
          <w:p>
            <w:pPr>
              <w:pStyle w:val="TableParagraph"/>
              <w:spacing w:line="232" w:lineRule="auto" w:before="88"/>
              <w:ind w:left="95" w:right="148"/>
              <w:rPr>
                <w:sz w:val="18"/>
              </w:rPr>
            </w:pPr>
            <w:r>
              <w:rPr>
                <w:color w:val="105C84"/>
                <w:sz w:val="18"/>
              </w:rPr>
              <w:t>PH may run daily reports</w:t>
            </w:r>
            <w:r>
              <w:rPr>
                <w:color w:val="105C84"/>
                <w:spacing w:val="-3"/>
                <w:sz w:val="18"/>
              </w:rPr>
              <w:t> </w:t>
            </w:r>
            <w:r>
              <w:rPr>
                <w:color w:val="105C84"/>
                <w:sz w:val="18"/>
              </w:rPr>
              <w:t>related</w:t>
            </w:r>
            <w:r>
              <w:rPr>
                <w:color w:val="105C84"/>
                <w:spacing w:val="-3"/>
                <w:sz w:val="18"/>
              </w:rPr>
              <w:t> </w:t>
            </w:r>
            <w:r>
              <w:rPr>
                <w:color w:val="105C84"/>
                <w:sz w:val="18"/>
              </w:rPr>
              <w:t>to</w:t>
            </w:r>
            <w:r>
              <w:rPr>
                <w:color w:val="105C84"/>
                <w:spacing w:val="-3"/>
                <w:sz w:val="18"/>
              </w:rPr>
              <w:t> </w:t>
            </w:r>
            <w:r>
              <w:rPr>
                <w:color w:val="105C84"/>
                <w:sz w:val="18"/>
              </w:rPr>
              <w:t>ODs and connect with peer </w:t>
            </w:r>
            <w:r>
              <w:rPr>
                <w:color w:val="105C84"/>
                <w:spacing w:val="-2"/>
                <w:sz w:val="18"/>
              </w:rPr>
              <w:t>specialists</w:t>
            </w:r>
          </w:p>
        </w:tc>
        <w:tc>
          <w:tcPr>
            <w:tcW w:w="2015" w:type="dxa"/>
          </w:tcPr>
          <w:p>
            <w:pPr>
              <w:pStyle w:val="TableParagraph"/>
              <w:spacing w:line="232" w:lineRule="auto" w:before="100"/>
              <w:ind w:left="95" w:right="586"/>
              <w:rPr>
                <w:sz w:val="18"/>
              </w:rPr>
            </w:pPr>
            <w:r>
              <w:rPr>
                <w:color w:val="105C84"/>
                <w:sz w:val="18"/>
              </w:rPr>
              <w:t>PH</w:t>
            </w:r>
            <w:r>
              <w:rPr>
                <w:color w:val="105C84"/>
                <w:spacing w:val="-15"/>
                <w:sz w:val="18"/>
              </w:rPr>
              <w:t> </w:t>
            </w:r>
            <w:r>
              <w:rPr>
                <w:color w:val="105C84"/>
                <w:sz w:val="18"/>
              </w:rPr>
              <w:t>to</w:t>
            </w:r>
            <w:r>
              <w:rPr>
                <w:color w:val="105C84"/>
                <w:spacing w:val="-12"/>
                <w:sz w:val="18"/>
              </w:rPr>
              <w:t> </w:t>
            </w:r>
            <w:r>
              <w:rPr>
                <w:color w:val="105C84"/>
                <w:sz w:val="18"/>
              </w:rPr>
              <w:t>continue as ODMAP an </w:t>
            </w:r>
            <w:r>
              <w:rPr>
                <w:color w:val="105C84"/>
                <w:spacing w:val="-2"/>
                <w:sz w:val="18"/>
              </w:rPr>
              <w:t>administrator</w:t>
            </w:r>
          </w:p>
          <w:p>
            <w:pPr>
              <w:pStyle w:val="TableParagraph"/>
              <w:spacing w:line="232" w:lineRule="auto" w:before="88"/>
              <w:ind w:left="95" w:right="72" w:firstLine="46"/>
              <w:rPr>
                <w:sz w:val="18"/>
              </w:rPr>
            </w:pPr>
            <w:r>
              <w:rPr>
                <w:color w:val="105C84"/>
                <w:sz w:val="18"/>
              </w:rPr>
              <w:t>PH may run daily reports</w:t>
            </w:r>
            <w:r>
              <w:rPr>
                <w:color w:val="105C84"/>
                <w:spacing w:val="-3"/>
                <w:sz w:val="18"/>
              </w:rPr>
              <w:t> </w:t>
            </w:r>
            <w:r>
              <w:rPr>
                <w:color w:val="105C84"/>
                <w:sz w:val="18"/>
              </w:rPr>
              <w:t>related</w:t>
            </w:r>
            <w:r>
              <w:rPr>
                <w:color w:val="105C84"/>
                <w:spacing w:val="-3"/>
                <w:sz w:val="18"/>
              </w:rPr>
              <w:t> </w:t>
            </w:r>
            <w:r>
              <w:rPr>
                <w:color w:val="105C84"/>
                <w:sz w:val="18"/>
              </w:rPr>
              <w:t>to</w:t>
            </w:r>
            <w:r>
              <w:rPr>
                <w:color w:val="105C84"/>
                <w:spacing w:val="-3"/>
                <w:sz w:val="18"/>
              </w:rPr>
              <w:t> </w:t>
            </w:r>
            <w:r>
              <w:rPr>
                <w:color w:val="105C84"/>
                <w:sz w:val="18"/>
              </w:rPr>
              <w:t>ODs and connect with peer </w:t>
            </w:r>
            <w:r>
              <w:rPr>
                <w:color w:val="105C84"/>
                <w:spacing w:val="-2"/>
                <w:sz w:val="18"/>
              </w:rPr>
              <w:t>specialists</w:t>
            </w:r>
          </w:p>
        </w:tc>
        <w:tc>
          <w:tcPr>
            <w:tcW w:w="1669" w:type="dxa"/>
            <w:vMerge w:val="restart"/>
          </w:tcPr>
          <w:p>
            <w:pPr>
              <w:pStyle w:val="TableParagraph"/>
              <w:spacing w:line="232" w:lineRule="auto" w:before="100"/>
              <w:ind w:left="96"/>
              <w:rPr>
                <w:sz w:val="18"/>
              </w:rPr>
            </w:pPr>
            <w:r>
              <w:rPr>
                <w:color w:val="105C84"/>
                <w:spacing w:val="-2"/>
                <w:sz w:val="18"/>
              </w:rPr>
              <w:t>Community-</w:t>
            </w:r>
            <w:r>
              <w:rPr>
                <w:color w:val="105C84"/>
                <w:spacing w:val="-2"/>
                <w:sz w:val="18"/>
              </w:rPr>
              <w:t>based organizations</w:t>
            </w:r>
          </w:p>
        </w:tc>
        <w:tc>
          <w:tcPr>
            <w:tcW w:w="1894" w:type="dxa"/>
          </w:tcPr>
          <w:p>
            <w:pPr>
              <w:pStyle w:val="TableParagraph"/>
              <w:spacing w:line="232" w:lineRule="auto" w:before="100"/>
              <w:ind w:left="98" w:right="95"/>
              <w:rPr>
                <w:sz w:val="18"/>
              </w:rPr>
            </w:pPr>
            <w:r>
              <w:rPr>
                <w:color w:val="105C84"/>
                <w:sz w:val="18"/>
              </w:rPr>
              <w:t>PH and Steuben County departments will work together to bring ODMAP to </w:t>
            </w:r>
            <w:r>
              <w:rPr>
                <w:color w:val="105C84"/>
                <w:sz w:val="18"/>
              </w:rPr>
              <w:t>the county to address overdoses</w:t>
            </w:r>
            <w:r>
              <w:rPr>
                <w:color w:val="105C84"/>
                <w:spacing w:val="-3"/>
                <w:sz w:val="18"/>
              </w:rPr>
              <w:t> </w:t>
            </w:r>
            <w:r>
              <w:rPr>
                <w:color w:val="105C84"/>
                <w:sz w:val="18"/>
              </w:rPr>
              <w:t>and</w:t>
            </w:r>
            <w:r>
              <w:rPr>
                <w:color w:val="105C84"/>
                <w:spacing w:val="-3"/>
                <w:sz w:val="18"/>
              </w:rPr>
              <w:t> </w:t>
            </w:r>
            <w:r>
              <w:rPr>
                <w:color w:val="105C84"/>
                <w:sz w:val="18"/>
              </w:rPr>
              <w:t>try</w:t>
            </w:r>
            <w:r>
              <w:rPr>
                <w:color w:val="105C84"/>
                <w:spacing w:val="-3"/>
                <w:sz w:val="18"/>
              </w:rPr>
              <w:t> </w:t>
            </w:r>
            <w:r>
              <w:rPr>
                <w:color w:val="105C84"/>
                <w:sz w:val="18"/>
              </w:rPr>
              <w:t>to prevent future ODs</w:t>
            </w:r>
          </w:p>
        </w:tc>
      </w:tr>
      <w:tr>
        <w:trPr>
          <w:trHeight w:val="1750" w:hRule="atLeast"/>
        </w:trPr>
        <w:tc>
          <w:tcPr>
            <w:tcW w:w="1180" w:type="dxa"/>
            <w:vMerge/>
            <w:tcBorders>
              <w:top w:val="nil"/>
            </w:tcBorders>
            <w:shd w:val="clear" w:color="auto" w:fill="E6E7E8"/>
          </w:tcPr>
          <w:p>
            <w:pPr>
              <w:rPr>
                <w:sz w:val="2"/>
                <w:szCs w:val="2"/>
              </w:rPr>
            </w:pPr>
          </w:p>
        </w:tc>
        <w:tc>
          <w:tcPr>
            <w:tcW w:w="1555" w:type="dxa"/>
            <w:vMerge/>
            <w:tcBorders>
              <w:top w:val="nil"/>
            </w:tcBorders>
          </w:tcPr>
          <w:p>
            <w:pPr>
              <w:rPr>
                <w:sz w:val="2"/>
                <w:szCs w:val="2"/>
              </w:rPr>
            </w:pPr>
          </w:p>
        </w:tc>
        <w:tc>
          <w:tcPr>
            <w:tcW w:w="1497" w:type="dxa"/>
            <w:vMerge/>
            <w:tcBorders>
              <w:top w:val="nil"/>
            </w:tcBorders>
          </w:tcPr>
          <w:p>
            <w:pPr>
              <w:rPr>
                <w:sz w:val="2"/>
                <w:szCs w:val="2"/>
              </w:rPr>
            </w:pPr>
          </w:p>
        </w:tc>
        <w:tc>
          <w:tcPr>
            <w:tcW w:w="1756" w:type="dxa"/>
            <w:vMerge/>
            <w:tcBorders>
              <w:top w:val="nil"/>
            </w:tcBorders>
          </w:tcPr>
          <w:p>
            <w:pPr>
              <w:rPr>
                <w:sz w:val="2"/>
                <w:szCs w:val="2"/>
              </w:rPr>
            </w:pPr>
          </w:p>
        </w:tc>
        <w:tc>
          <w:tcPr>
            <w:tcW w:w="1115" w:type="dxa"/>
            <w:vMerge/>
            <w:tcBorders>
              <w:top w:val="nil"/>
            </w:tcBorders>
          </w:tcPr>
          <w:p>
            <w:pPr>
              <w:rPr>
                <w:sz w:val="2"/>
                <w:szCs w:val="2"/>
              </w:rPr>
            </w:pPr>
          </w:p>
        </w:tc>
        <w:tc>
          <w:tcPr>
            <w:tcW w:w="1565" w:type="dxa"/>
            <w:vMerge/>
            <w:tcBorders>
              <w:top w:val="nil"/>
            </w:tcBorders>
          </w:tcPr>
          <w:p>
            <w:pPr>
              <w:rPr>
                <w:sz w:val="2"/>
                <w:szCs w:val="2"/>
              </w:rPr>
            </w:pPr>
          </w:p>
        </w:tc>
        <w:tc>
          <w:tcPr>
            <w:tcW w:w="2613" w:type="dxa"/>
            <w:tcBorders>
              <w:right w:val="nil"/>
            </w:tcBorders>
          </w:tcPr>
          <w:p>
            <w:pPr>
              <w:pStyle w:val="TableParagraph"/>
              <w:spacing w:line="232" w:lineRule="auto" w:before="100"/>
              <w:ind w:left="93" w:right="1114"/>
              <w:rPr>
                <w:sz w:val="18"/>
              </w:rPr>
            </w:pPr>
            <w:r>
              <w:rPr>
                <w:color w:val="105C84"/>
                <w:spacing w:val="-10"/>
                <w:sz w:val="18"/>
              </w:rPr>
              <w:t>#</w:t>
            </w:r>
            <w:r>
              <w:rPr>
                <w:color w:val="105C84"/>
                <w:spacing w:val="-4"/>
                <w:sz w:val="18"/>
              </w:rPr>
              <w:t> </w:t>
            </w:r>
            <w:r>
              <w:rPr>
                <w:color w:val="105C84"/>
                <w:spacing w:val="-10"/>
                <w:sz w:val="18"/>
              </w:rPr>
              <w:t>CPSMP</w:t>
            </w:r>
            <w:r>
              <w:rPr>
                <w:color w:val="105C84"/>
                <w:spacing w:val="-4"/>
                <w:sz w:val="18"/>
              </w:rPr>
              <w:t> </w:t>
            </w:r>
            <w:r>
              <w:rPr>
                <w:color w:val="105C84"/>
                <w:spacing w:val="-10"/>
                <w:sz w:val="18"/>
              </w:rPr>
              <w:t>classes</w:t>
            </w:r>
            <w:r>
              <w:rPr>
                <w:color w:val="105C84"/>
                <w:spacing w:val="-2"/>
                <w:sz w:val="18"/>
              </w:rPr>
              <w:t> offered</w:t>
            </w:r>
          </w:p>
          <w:p>
            <w:pPr>
              <w:pStyle w:val="TableParagraph"/>
              <w:spacing w:line="232" w:lineRule="auto" w:before="88"/>
              <w:ind w:left="93" w:right="1377"/>
              <w:rPr>
                <w:sz w:val="18"/>
              </w:rPr>
            </w:pPr>
            <w:r>
              <w:rPr>
                <w:color w:val="105C84"/>
                <w:sz w:val="18"/>
              </w:rPr>
              <w:t>%</w:t>
            </w:r>
            <w:r>
              <w:rPr>
                <w:color w:val="105C84"/>
                <w:spacing w:val="-13"/>
                <w:sz w:val="18"/>
              </w:rPr>
              <w:t> </w:t>
            </w:r>
            <w:r>
              <w:rPr>
                <w:color w:val="105C84"/>
                <w:sz w:val="18"/>
              </w:rPr>
              <w:t>participants </w:t>
            </w:r>
            <w:r>
              <w:rPr>
                <w:color w:val="105C84"/>
                <w:spacing w:val="-2"/>
                <w:sz w:val="18"/>
              </w:rPr>
              <w:t>completing CPSMP</w:t>
            </w:r>
          </w:p>
        </w:tc>
        <w:tc>
          <w:tcPr>
            <w:tcW w:w="3279" w:type="dxa"/>
            <w:tcBorders>
              <w:left w:val="nil"/>
            </w:tcBorders>
          </w:tcPr>
          <w:p>
            <w:pPr>
              <w:pStyle w:val="TableParagraph"/>
              <w:spacing w:line="232" w:lineRule="auto" w:before="100"/>
              <w:ind w:left="1046" w:right="307"/>
              <w:rPr>
                <w:sz w:val="18"/>
              </w:rPr>
            </w:pPr>
            <w:r>
              <w:rPr>
                <w:color w:val="105C84"/>
                <w:sz w:val="18"/>
              </w:rPr>
              <w:t>Living Healthy of the Southern Tier -Provide</w:t>
            </w:r>
            <w:r>
              <w:rPr>
                <w:color w:val="105C84"/>
                <w:spacing w:val="40"/>
                <w:sz w:val="18"/>
              </w:rPr>
              <w:t> </w:t>
            </w:r>
            <w:r>
              <w:rPr>
                <w:color w:val="105C84"/>
                <w:sz w:val="18"/>
              </w:rPr>
              <w:t>1 Chronic Pain Self-Management</w:t>
            </w:r>
            <w:r>
              <w:rPr>
                <w:color w:val="105C84"/>
                <w:spacing w:val="-13"/>
                <w:sz w:val="18"/>
              </w:rPr>
              <w:t> </w:t>
            </w:r>
            <w:r>
              <w:rPr>
                <w:color w:val="105C84"/>
                <w:sz w:val="18"/>
              </w:rPr>
              <w:t>Workshop with a completion rate</w:t>
            </w:r>
            <w:r>
              <w:rPr>
                <w:color w:val="105C84"/>
                <w:spacing w:val="40"/>
                <w:sz w:val="18"/>
              </w:rPr>
              <w:t> </w:t>
            </w:r>
            <w:r>
              <w:rPr>
                <w:color w:val="105C84"/>
                <w:sz w:val="18"/>
              </w:rPr>
              <w:t>of 75%</w:t>
            </w:r>
          </w:p>
        </w:tc>
        <w:tc>
          <w:tcPr>
            <w:tcW w:w="2073" w:type="dxa"/>
          </w:tcPr>
          <w:p>
            <w:pPr>
              <w:pStyle w:val="TableParagraph"/>
              <w:spacing w:line="232" w:lineRule="auto" w:before="99"/>
              <w:ind w:left="95" w:right="148"/>
              <w:rPr>
                <w:sz w:val="18"/>
              </w:rPr>
            </w:pPr>
            <w:r>
              <w:rPr>
                <w:color w:val="105C84"/>
                <w:sz w:val="18"/>
              </w:rPr>
              <w:t>Living</w:t>
            </w:r>
            <w:r>
              <w:rPr>
                <w:color w:val="105C84"/>
                <w:spacing w:val="-10"/>
                <w:sz w:val="18"/>
              </w:rPr>
              <w:t> </w:t>
            </w:r>
            <w:r>
              <w:rPr>
                <w:color w:val="105C84"/>
                <w:sz w:val="18"/>
              </w:rPr>
              <w:t>Healthy</w:t>
            </w:r>
            <w:r>
              <w:rPr>
                <w:color w:val="105C84"/>
                <w:spacing w:val="-10"/>
                <w:sz w:val="18"/>
              </w:rPr>
              <w:t> </w:t>
            </w:r>
            <w:r>
              <w:rPr>
                <w:color w:val="105C84"/>
                <w:sz w:val="18"/>
              </w:rPr>
              <w:t>of</w:t>
            </w:r>
            <w:r>
              <w:rPr>
                <w:color w:val="105C84"/>
                <w:spacing w:val="-10"/>
                <w:sz w:val="18"/>
              </w:rPr>
              <w:t> </w:t>
            </w:r>
            <w:r>
              <w:rPr>
                <w:color w:val="105C84"/>
                <w:sz w:val="18"/>
              </w:rPr>
              <w:t>the Southern Tier</w:t>
            </w:r>
          </w:p>
          <w:p>
            <w:pPr>
              <w:pStyle w:val="TableParagraph"/>
              <w:spacing w:line="232" w:lineRule="auto"/>
              <w:ind w:left="95" w:right="148"/>
              <w:rPr>
                <w:sz w:val="18"/>
              </w:rPr>
            </w:pPr>
            <w:r>
              <w:rPr>
                <w:color w:val="105C84"/>
                <w:sz w:val="18"/>
              </w:rPr>
              <w:t>-Provide 1 Chronic </w:t>
            </w:r>
            <w:r>
              <w:rPr>
                <w:color w:val="105C84"/>
                <w:spacing w:val="-2"/>
                <w:sz w:val="18"/>
              </w:rPr>
              <w:t>Pain</w:t>
            </w:r>
            <w:r>
              <w:rPr>
                <w:color w:val="105C84"/>
                <w:spacing w:val="-11"/>
                <w:sz w:val="18"/>
              </w:rPr>
              <w:t> </w:t>
            </w:r>
            <w:r>
              <w:rPr>
                <w:color w:val="105C84"/>
                <w:spacing w:val="-2"/>
                <w:sz w:val="18"/>
              </w:rPr>
              <w:t>Self-</w:t>
            </w:r>
            <w:r>
              <w:rPr>
                <w:color w:val="105C84"/>
                <w:spacing w:val="-2"/>
                <w:sz w:val="18"/>
              </w:rPr>
              <w:t>Management </w:t>
            </w:r>
            <w:r>
              <w:rPr>
                <w:color w:val="105C84"/>
                <w:sz w:val="18"/>
              </w:rPr>
              <w:t>Workshop with a</w:t>
            </w:r>
          </w:p>
          <w:p>
            <w:pPr>
              <w:pStyle w:val="TableParagraph"/>
              <w:spacing w:line="200" w:lineRule="exact"/>
              <w:ind w:left="95"/>
              <w:rPr>
                <w:sz w:val="18"/>
              </w:rPr>
            </w:pPr>
            <w:r>
              <w:rPr>
                <w:color w:val="105C84"/>
                <w:w w:val="105"/>
                <w:sz w:val="18"/>
              </w:rPr>
              <w:t>completion</w:t>
            </w:r>
            <w:r>
              <w:rPr>
                <w:color w:val="105C84"/>
                <w:spacing w:val="-14"/>
                <w:w w:val="105"/>
                <w:sz w:val="18"/>
              </w:rPr>
              <w:t> </w:t>
            </w:r>
            <w:r>
              <w:rPr>
                <w:color w:val="105C84"/>
                <w:w w:val="105"/>
                <w:sz w:val="18"/>
              </w:rPr>
              <w:t>rate</w:t>
            </w:r>
            <w:r>
              <w:rPr>
                <w:color w:val="105C84"/>
                <w:spacing w:val="-13"/>
                <w:w w:val="105"/>
                <w:sz w:val="18"/>
              </w:rPr>
              <w:t> </w:t>
            </w:r>
            <w:r>
              <w:rPr>
                <w:color w:val="105C84"/>
                <w:w w:val="105"/>
                <w:sz w:val="18"/>
              </w:rPr>
              <w:t>of</w:t>
            </w:r>
            <w:r>
              <w:rPr>
                <w:color w:val="105C84"/>
                <w:spacing w:val="-13"/>
                <w:w w:val="105"/>
                <w:sz w:val="18"/>
              </w:rPr>
              <w:t> </w:t>
            </w:r>
            <w:r>
              <w:rPr>
                <w:color w:val="105C84"/>
                <w:spacing w:val="-5"/>
                <w:w w:val="105"/>
                <w:sz w:val="18"/>
              </w:rPr>
              <w:t>75%</w:t>
            </w:r>
          </w:p>
        </w:tc>
        <w:tc>
          <w:tcPr>
            <w:tcW w:w="2015" w:type="dxa"/>
          </w:tcPr>
          <w:p>
            <w:pPr>
              <w:pStyle w:val="TableParagraph"/>
              <w:spacing w:line="232" w:lineRule="auto" w:before="99"/>
              <w:ind w:left="95" w:right="72"/>
              <w:rPr>
                <w:sz w:val="18"/>
              </w:rPr>
            </w:pPr>
            <w:r>
              <w:rPr>
                <w:color w:val="105C84"/>
                <w:sz w:val="18"/>
              </w:rPr>
              <w:t>Living</w:t>
            </w:r>
            <w:r>
              <w:rPr>
                <w:color w:val="105C84"/>
                <w:spacing w:val="-10"/>
                <w:sz w:val="18"/>
              </w:rPr>
              <w:t> </w:t>
            </w:r>
            <w:r>
              <w:rPr>
                <w:color w:val="105C84"/>
                <w:sz w:val="18"/>
              </w:rPr>
              <w:t>Healthy</w:t>
            </w:r>
            <w:r>
              <w:rPr>
                <w:color w:val="105C84"/>
                <w:spacing w:val="-10"/>
                <w:sz w:val="18"/>
              </w:rPr>
              <w:t> </w:t>
            </w:r>
            <w:r>
              <w:rPr>
                <w:color w:val="105C84"/>
                <w:sz w:val="18"/>
              </w:rPr>
              <w:t>of</w:t>
            </w:r>
            <w:r>
              <w:rPr>
                <w:color w:val="105C84"/>
                <w:spacing w:val="-10"/>
                <w:sz w:val="18"/>
              </w:rPr>
              <w:t> </w:t>
            </w:r>
            <w:r>
              <w:rPr>
                <w:color w:val="105C84"/>
                <w:sz w:val="18"/>
              </w:rPr>
              <w:t>the Southern Tier</w:t>
            </w:r>
          </w:p>
          <w:p>
            <w:pPr>
              <w:pStyle w:val="TableParagraph"/>
              <w:spacing w:line="232" w:lineRule="auto"/>
              <w:ind w:left="95" w:right="107"/>
              <w:rPr>
                <w:sz w:val="18"/>
              </w:rPr>
            </w:pPr>
            <w:r>
              <w:rPr>
                <w:color w:val="105C84"/>
                <w:sz w:val="18"/>
              </w:rPr>
              <w:t>-Provide 1 Chronic </w:t>
            </w:r>
            <w:r>
              <w:rPr>
                <w:color w:val="105C84"/>
                <w:spacing w:val="-2"/>
                <w:sz w:val="18"/>
              </w:rPr>
              <w:t>Pain</w:t>
            </w:r>
            <w:r>
              <w:rPr>
                <w:color w:val="105C84"/>
                <w:spacing w:val="-11"/>
                <w:sz w:val="18"/>
              </w:rPr>
              <w:t> </w:t>
            </w:r>
            <w:r>
              <w:rPr>
                <w:color w:val="105C84"/>
                <w:spacing w:val="-2"/>
                <w:sz w:val="18"/>
              </w:rPr>
              <w:t>Self-</w:t>
            </w:r>
            <w:r>
              <w:rPr>
                <w:color w:val="105C84"/>
                <w:spacing w:val="-2"/>
                <w:sz w:val="18"/>
              </w:rPr>
              <w:t>Management </w:t>
            </w:r>
            <w:r>
              <w:rPr>
                <w:color w:val="105C84"/>
                <w:sz w:val="18"/>
              </w:rPr>
              <w:t>Workshop with a completion rate of</w:t>
            </w:r>
            <w:r>
              <w:rPr>
                <w:color w:val="105C84"/>
                <w:spacing w:val="40"/>
                <w:sz w:val="18"/>
              </w:rPr>
              <w:t> </w:t>
            </w:r>
            <w:r>
              <w:rPr>
                <w:color w:val="105C84"/>
                <w:spacing w:val="-4"/>
                <w:sz w:val="18"/>
              </w:rPr>
              <w:t>75%</w:t>
            </w:r>
          </w:p>
        </w:tc>
        <w:tc>
          <w:tcPr>
            <w:tcW w:w="1669" w:type="dxa"/>
            <w:vMerge/>
            <w:tcBorders>
              <w:top w:val="nil"/>
            </w:tcBorders>
          </w:tcPr>
          <w:p>
            <w:pPr>
              <w:rPr>
                <w:sz w:val="2"/>
                <w:szCs w:val="2"/>
              </w:rPr>
            </w:pPr>
          </w:p>
        </w:tc>
        <w:tc>
          <w:tcPr>
            <w:tcW w:w="1894" w:type="dxa"/>
          </w:tcPr>
          <w:p>
            <w:pPr>
              <w:pStyle w:val="TableParagraph"/>
              <w:spacing w:line="232" w:lineRule="auto" w:before="99"/>
              <w:ind w:left="98" w:right="95"/>
              <w:rPr>
                <w:sz w:val="18"/>
              </w:rPr>
            </w:pPr>
            <w:r>
              <w:rPr>
                <w:color w:val="105C84"/>
                <w:sz w:val="18"/>
              </w:rPr>
              <w:t>SRHN to provide support and/or </w:t>
            </w:r>
            <w:r>
              <w:rPr>
                <w:color w:val="105C84"/>
                <w:spacing w:val="-6"/>
                <w:sz w:val="18"/>
              </w:rPr>
              <w:t>CPSMP</w:t>
            </w:r>
            <w:r>
              <w:rPr>
                <w:color w:val="105C84"/>
                <w:spacing w:val="-7"/>
                <w:sz w:val="18"/>
              </w:rPr>
              <w:t> </w:t>
            </w:r>
            <w:r>
              <w:rPr>
                <w:color w:val="105C84"/>
                <w:spacing w:val="-6"/>
                <w:sz w:val="18"/>
              </w:rPr>
              <w:t>workshops </w:t>
            </w:r>
            <w:r>
              <w:rPr>
                <w:color w:val="105C84"/>
                <w:spacing w:val="-2"/>
                <w:sz w:val="18"/>
              </w:rPr>
              <w:t>(FTE)</w:t>
            </w:r>
          </w:p>
        </w:tc>
      </w:tr>
      <w:tr>
        <w:trPr>
          <w:trHeight w:val="3130" w:hRule="atLeast"/>
        </w:trPr>
        <w:tc>
          <w:tcPr>
            <w:tcW w:w="1180" w:type="dxa"/>
            <w:vMerge/>
            <w:tcBorders>
              <w:top w:val="nil"/>
            </w:tcBorders>
            <w:shd w:val="clear" w:color="auto" w:fill="E6E7E8"/>
          </w:tcPr>
          <w:p>
            <w:pPr>
              <w:rPr>
                <w:sz w:val="2"/>
                <w:szCs w:val="2"/>
              </w:rPr>
            </w:pPr>
          </w:p>
        </w:tc>
        <w:tc>
          <w:tcPr>
            <w:tcW w:w="1555" w:type="dxa"/>
            <w:vMerge/>
            <w:tcBorders>
              <w:top w:val="nil"/>
            </w:tcBorders>
          </w:tcPr>
          <w:p>
            <w:pPr>
              <w:rPr>
                <w:sz w:val="2"/>
                <w:szCs w:val="2"/>
              </w:rPr>
            </w:pPr>
          </w:p>
        </w:tc>
        <w:tc>
          <w:tcPr>
            <w:tcW w:w="1497" w:type="dxa"/>
            <w:vMerge/>
            <w:tcBorders>
              <w:top w:val="nil"/>
            </w:tcBorders>
          </w:tcPr>
          <w:p>
            <w:pPr>
              <w:rPr>
                <w:sz w:val="2"/>
                <w:szCs w:val="2"/>
              </w:rPr>
            </w:pPr>
          </w:p>
        </w:tc>
        <w:tc>
          <w:tcPr>
            <w:tcW w:w="1756" w:type="dxa"/>
            <w:vMerge/>
            <w:tcBorders>
              <w:top w:val="nil"/>
            </w:tcBorders>
          </w:tcPr>
          <w:p>
            <w:pPr>
              <w:rPr>
                <w:sz w:val="2"/>
                <w:szCs w:val="2"/>
              </w:rPr>
            </w:pPr>
          </w:p>
        </w:tc>
        <w:tc>
          <w:tcPr>
            <w:tcW w:w="1115" w:type="dxa"/>
            <w:vMerge/>
            <w:tcBorders>
              <w:top w:val="nil"/>
            </w:tcBorders>
          </w:tcPr>
          <w:p>
            <w:pPr>
              <w:rPr>
                <w:sz w:val="2"/>
                <w:szCs w:val="2"/>
              </w:rPr>
            </w:pPr>
          </w:p>
        </w:tc>
        <w:tc>
          <w:tcPr>
            <w:tcW w:w="1565" w:type="dxa"/>
            <w:vMerge/>
            <w:tcBorders>
              <w:top w:val="nil"/>
            </w:tcBorders>
          </w:tcPr>
          <w:p>
            <w:pPr>
              <w:rPr>
                <w:sz w:val="2"/>
                <w:szCs w:val="2"/>
              </w:rPr>
            </w:pPr>
          </w:p>
        </w:tc>
        <w:tc>
          <w:tcPr>
            <w:tcW w:w="2613" w:type="dxa"/>
            <w:tcBorders>
              <w:right w:val="nil"/>
            </w:tcBorders>
          </w:tcPr>
          <w:p>
            <w:pPr>
              <w:pStyle w:val="TableParagraph"/>
              <w:spacing w:line="232" w:lineRule="auto" w:before="99"/>
              <w:ind w:left="93" w:right="1087"/>
              <w:rPr>
                <w:sz w:val="18"/>
              </w:rPr>
            </w:pPr>
            <w:r>
              <w:rPr>
                <w:color w:val="105C84"/>
                <w:sz w:val="18"/>
              </w:rPr>
              <w:t># cans filled and returned to the processing</w:t>
            </w:r>
            <w:r>
              <w:rPr>
                <w:color w:val="105C84"/>
                <w:spacing w:val="-13"/>
                <w:sz w:val="18"/>
              </w:rPr>
              <w:t> </w:t>
            </w:r>
            <w:r>
              <w:rPr>
                <w:color w:val="105C84"/>
                <w:sz w:val="18"/>
              </w:rPr>
              <w:t>facility for the MedSafe drug disposal (50 lbs each)</w:t>
            </w:r>
          </w:p>
          <w:p>
            <w:pPr>
              <w:pStyle w:val="TableParagraph"/>
              <w:spacing w:line="232" w:lineRule="auto" w:before="85"/>
              <w:ind w:left="93" w:right="1024"/>
              <w:rPr>
                <w:sz w:val="18"/>
              </w:rPr>
            </w:pPr>
            <w:r>
              <w:rPr>
                <w:color w:val="105C84"/>
                <w:sz w:val="18"/>
              </w:rPr>
              <w:t># of patients that allow social work to</w:t>
            </w:r>
            <w:r>
              <w:rPr>
                <w:color w:val="105C84"/>
                <w:spacing w:val="-10"/>
                <w:sz w:val="18"/>
              </w:rPr>
              <w:t> </w:t>
            </w:r>
            <w:r>
              <w:rPr>
                <w:color w:val="105C84"/>
                <w:sz w:val="18"/>
              </w:rPr>
              <w:t>initiate</w:t>
            </w:r>
            <w:r>
              <w:rPr>
                <w:color w:val="105C84"/>
                <w:spacing w:val="-10"/>
                <w:sz w:val="18"/>
              </w:rPr>
              <w:t> </w:t>
            </w:r>
            <w:r>
              <w:rPr>
                <w:color w:val="105C84"/>
                <w:sz w:val="18"/>
              </w:rPr>
              <w:t>resource </w:t>
            </w:r>
            <w:r>
              <w:rPr>
                <w:color w:val="105C84"/>
                <w:spacing w:val="-2"/>
                <w:sz w:val="18"/>
              </w:rPr>
              <w:t>contact</w:t>
            </w:r>
          </w:p>
          <w:p>
            <w:pPr>
              <w:pStyle w:val="TableParagraph"/>
              <w:spacing w:line="232" w:lineRule="auto" w:before="87"/>
              <w:ind w:left="93" w:right="1052"/>
              <w:rPr>
                <w:sz w:val="18"/>
              </w:rPr>
            </w:pPr>
            <w:r>
              <w:rPr>
                <w:color w:val="105C84"/>
                <w:sz w:val="18"/>
              </w:rPr>
              <w:t># of providers </w:t>
            </w:r>
            <w:r>
              <w:rPr>
                <w:color w:val="105C84"/>
                <w:spacing w:val="-2"/>
                <w:sz w:val="18"/>
              </w:rPr>
              <w:t>receiving </w:t>
            </w:r>
            <w:r>
              <w:rPr>
                <w:color w:val="105C84"/>
                <w:sz w:val="18"/>
              </w:rPr>
              <w:t>education on opiate</w:t>
            </w:r>
            <w:r>
              <w:rPr>
                <w:color w:val="105C84"/>
                <w:spacing w:val="-2"/>
                <w:sz w:val="18"/>
              </w:rPr>
              <w:t> </w:t>
            </w:r>
            <w:r>
              <w:rPr>
                <w:color w:val="105C84"/>
                <w:sz w:val="18"/>
              </w:rPr>
              <w:t>prescribing</w:t>
            </w:r>
          </w:p>
        </w:tc>
        <w:tc>
          <w:tcPr>
            <w:tcW w:w="3279" w:type="dxa"/>
            <w:tcBorders>
              <w:left w:val="nil"/>
            </w:tcBorders>
          </w:tcPr>
          <w:p>
            <w:pPr>
              <w:pStyle w:val="TableParagraph"/>
              <w:spacing w:line="232" w:lineRule="auto" w:before="99"/>
              <w:ind w:left="1046" w:right="137"/>
              <w:rPr>
                <w:sz w:val="18"/>
              </w:rPr>
            </w:pPr>
            <w:r>
              <w:rPr>
                <w:color w:val="105C84"/>
                <w:sz w:val="18"/>
              </w:rPr>
              <w:t>CH will utilize MedSafe Drug Disposal units at their</w:t>
            </w:r>
            <w:r>
              <w:rPr>
                <w:color w:val="105C84"/>
                <w:spacing w:val="-13"/>
                <w:sz w:val="18"/>
              </w:rPr>
              <w:t> </w:t>
            </w:r>
            <w:r>
              <w:rPr>
                <w:color w:val="105C84"/>
                <w:sz w:val="18"/>
              </w:rPr>
              <w:t>annual</w:t>
            </w:r>
            <w:r>
              <w:rPr>
                <w:color w:val="105C84"/>
                <w:spacing w:val="-12"/>
                <w:sz w:val="18"/>
              </w:rPr>
              <w:t> </w:t>
            </w:r>
            <w:r>
              <w:rPr>
                <w:color w:val="105C84"/>
                <w:sz w:val="18"/>
              </w:rPr>
              <w:t>Opioid</w:t>
            </w:r>
            <w:r>
              <w:rPr>
                <w:color w:val="105C84"/>
                <w:spacing w:val="-13"/>
                <w:sz w:val="18"/>
              </w:rPr>
              <w:t> </w:t>
            </w:r>
            <w:r>
              <w:rPr>
                <w:color w:val="105C84"/>
                <w:sz w:val="18"/>
              </w:rPr>
              <w:t>Take Back Day</w:t>
            </w:r>
          </w:p>
          <w:p>
            <w:pPr>
              <w:pStyle w:val="TableParagraph"/>
              <w:spacing w:line="203" w:lineRule="exact" w:before="82"/>
              <w:ind w:left="1046"/>
              <w:rPr>
                <w:sz w:val="18"/>
              </w:rPr>
            </w:pPr>
            <w:r>
              <w:rPr>
                <w:color w:val="105C84"/>
                <w:sz w:val="18"/>
              </w:rPr>
              <w:t>CH</w:t>
            </w:r>
            <w:r>
              <w:rPr>
                <w:color w:val="105C84"/>
                <w:spacing w:val="-11"/>
                <w:sz w:val="18"/>
              </w:rPr>
              <w:t> </w:t>
            </w:r>
            <w:r>
              <w:rPr>
                <w:color w:val="105C84"/>
                <w:sz w:val="18"/>
              </w:rPr>
              <w:t>plans</w:t>
            </w:r>
            <w:r>
              <w:rPr>
                <w:color w:val="105C84"/>
                <w:spacing w:val="-11"/>
                <w:sz w:val="18"/>
              </w:rPr>
              <w:t> </w:t>
            </w:r>
            <w:r>
              <w:rPr>
                <w:color w:val="105C84"/>
                <w:spacing w:val="-5"/>
                <w:sz w:val="18"/>
              </w:rPr>
              <w:t>to</w:t>
            </w:r>
          </w:p>
          <w:p>
            <w:pPr>
              <w:pStyle w:val="TableParagraph"/>
              <w:spacing w:line="232" w:lineRule="auto" w:before="1"/>
              <w:ind w:left="1046" w:right="114"/>
              <w:rPr>
                <w:sz w:val="18"/>
              </w:rPr>
            </w:pPr>
            <w:r>
              <w:rPr>
                <w:color w:val="105C84"/>
                <w:sz w:val="18"/>
              </w:rPr>
              <w:t>address</w:t>
            </w:r>
            <w:r>
              <w:rPr>
                <w:color w:val="105C84"/>
                <w:spacing w:val="-9"/>
                <w:sz w:val="18"/>
              </w:rPr>
              <w:t> </w:t>
            </w:r>
            <w:r>
              <w:rPr>
                <w:color w:val="105C84"/>
                <w:sz w:val="18"/>
              </w:rPr>
              <w:t>the</w:t>
            </w:r>
            <w:r>
              <w:rPr>
                <w:color w:val="105C84"/>
                <w:spacing w:val="-9"/>
                <w:sz w:val="18"/>
              </w:rPr>
              <w:t> </w:t>
            </w:r>
            <w:r>
              <w:rPr>
                <w:color w:val="105C84"/>
                <w:sz w:val="18"/>
              </w:rPr>
              <w:t>appropriate prescribing practices of </w:t>
            </w:r>
            <w:r>
              <w:rPr>
                <w:color w:val="105C84"/>
                <w:spacing w:val="-2"/>
                <w:sz w:val="18"/>
              </w:rPr>
              <w:t>opiates</w:t>
            </w:r>
          </w:p>
        </w:tc>
        <w:tc>
          <w:tcPr>
            <w:tcW w:w="2073" w:type="dxa"/>
          </w:tcPr>
          <w:p>
            <w:pPr>
              <w:pStyle w:val="TableParagraph"/>
              <w:spacing w:line="232" w:lineRule="auto" w:before="99"/>
              <w:ind w:left="95" w:right="257"/>
              <w:rPr>
                <w:sz w:val="18"/>
              </w:rPr>
            </w:pPr>
            <w:r>
              <w:rPr>
                <w:color w:val="105C84"/>
                <w:sz w:val="18"/>
              </w:rPr>
              <w:t>Implement</w:t>
            </w:r>
            <w:r>
              <w:rPr>
                <w:color w:val="105C84"/>
                <w:spacing w:val="-13"/>
                <w:sz w:val="18"/>
              </w:rPr>
              <w:t> </w:t>
            </w:r>
            <w:r>
              <w:rPr>
                <w:color w:val="105C84"/>
                <w:sz w:val="18"/>
              </w:rPr>
              <w:t>discharge planning process changes to include contact information for substance abuse </w:t>
            </w:r>
            <w:r>
              <w:rPr>
                <w:color w:val="105C84"/>
                <w:spacing w:val="-2"/>
                <w:sz w:val="18"/>
              </w:rPr>
              <w:t>resources</w:t>
            </w:r>
          </w:p>
          <w:p>
            <w:pPr>
              <w:pStyle w:val="TableParagraph"/>
              <w:spacing w:line="232" w:lineRule="auto" w:before="85"/>
              <w:ind w:left="95" w:right="86"/>
              <w:rPr>
                <w:sz w:val="18"/>
              </w:rPr>
            </w:pPr>
            <w:r>
              <w:rPr>
                <w:color w:val="105C84"/>
                <w:sz w:val="18"/>
              </w:rPr>
              <w:t>Address the</w:t>
            </w:r>
            <w:r>
              <w:rPr>
                <w:color w:val="105C84"/>
                <w:spacing w:val="40"/>
                <w:sz w:val="18"/>
              </w:rPr>
              <w:t> </w:t>
            </w:r>
            <w:r>
              <w:rPr>
                <w:color w:val="105C84"/>
                <w:sz w:val="18"/>
              </w:rPr>
              <w:t>appropriate </w:t>
            </w:r>
            <w:r>
              <w:rPr>
                <w:color w:val="105C84"/>
                <w:sz w:val="18"/>
              </w:rPr>
              <w:t>prescribing practices of opiates.</w:t>
            </w:r>
          </w:p>
          <w:p>
            <w:pPr>
              <w:pStyle w:val="TableParagraph"/>
              <w:spacing w:line="232" w:lineRule="auto"/>
              <w:ind w:left="95" w:right="104"/>
              <w:rPr>
                <w:sz w:val="18"/>
              </w:rPr>
            </w:pPr>
            <w:r>
              <w:rPr>
                <w:color w:val="105C84"/>
                <w:sz w:val="18"/>
              </w:rPr>
              <w:t>Work</w:t>
            </w:r>
            <w:r>
              <w:rPr>
                <w:color w:val="105C84"/>
                <w:spacing w:val="-15"/>
                <w:sz w:val="18"/>
              </w:rPr>
              <w:t> </w:t>
            </w:r>
            <w:r>
              <w:rPr>
                <w:color w:val="105C84"/>
                <w:sz w:val="18"/>
              </w:rPr>
              <w:t>with</w:t>
            </w:r>
            <w:r>
              <w:rPr>
                <w:color w:val="105C84"/>
                <w:spacing w:val="-12"/>
                <w:sz w:val="18"/>
              </w:rPr>
              <w:t> </w:t>
            </w:r>
            <w:r>
              <w:rPr>
                <w:color w:val="105C84"/>
                <w:sz w:val="18"/>
              </w:rPr>
              <w:t>CASA/Trinity for education support for patients</w:t>
            </w:r>
          </w:p>
        </w:tc>
        <w:tc>
          <w:tcPr>
            <w:tcW w:w="2015" w:type="dxa"/>
          </w:tcPr>
          <w:p>
            <w:pPr>
              <w:pStyle w:val="TableParagraph"/>
              <w:spacing w:line="232" w:lineRule="auto" w:before="98"/>
              <w:ind w:left="95" w:right="92"/>
              <w:jc w:val="both"/>
              <w:rPr>
                <w:sz w:val="18"/>
              </w:rPr>
            </w:pPr>
            <w:r>
              <w:rPr>
                <w:color w:val="105C84"/>
                <w:sz w:val="18"/>
              </w:rPr>
              <w:t>Evaluation</w:t>
            </w:r>
            <w:r>
              <w:rPr>
                <w:color w:val="105C84"/>
                <w:spacing w:val="-5"/>
                <w:sz w:val="18"/>
              </w:rPr>
              <w:t> </w:t>
            </w:r>
            <w:r>
              <w:rPr>
                <w:color w:val="105C84"/>
                <w:sz w:val="18"/>
              </w:rPr>
              <w:t>of</w:t>
            </w:r>
            <w:r>
              <w:rPr>
                <w:color w:val="105C84"/>
                <w:spacing w:val="-5"/>
                <w:sz w:val="18"/>
              </w:rPr>
              <w:t> </w:t>
            </w:r>
            <w:r>
              <w:rPr>
                <w:color w:val="105C84"/>
                <w:sz w:val="18"/>
              </w:rPr>
              <w:t>data</w:t>
            </w:r>
            <w:r>
              <w:rPr>
                <w:color w:val="105C84"/>
                <w:spacing w:val="-5"/>
                <w:sz w:val="18"/>
              </w:rPr>
              <w:t> </w:t>
            </w:r>
            <w:r>
              <w:rPr>
                <w:color w:val="105C84"/>
                <w:sz w:val="18"/>
              </w:rPr>
              <w:t>and </w:t>
            </w:r>
            <w:r>
              <w:rPr>
                <w:color w:val="105C84"/>
                <w:w w:val="105"/>
                <w:sz w:val="18"/>
              </w:rPr>
              <w:t>opportunity</w:t>
            </w:r>
            <w:r>
              <w:rPr>
                <w:color w:val="105C84"/>
                <w:spacing w:val="-14"/>
                <w:w w:val="105"/>
                <w:sz w:val="18"/>
              </w:rPr>
              <w:t> </w:t>
            </w:r>
            <w:r>
              <w:rPr>
                <w:color w:val="105C84"/>
                <w:w w:val="105"/>
                <w:sz w:val="18"/>
              </w:rPr>
              <w:t>for</w:t>
            </w:r>
            <w:r>
              <w:rPr>
                <w:color w:val="105C84"/>
                <w:spacing w:val="-13"/>
                <w:w w:val="105"/>
                <w:sz w:val="18"/>
              </w:rPr>
              <w:t> </w:t>
            </w:r>
            <w:r>
              <w:rPr>
                <w:color w:val="105C84"/>
                <w:w w:val="105"/>
                <w:sz w:val="18"/>
              </w:rPr>
              <w:t>growth and</w:t>
            </w:r>
            <w:r>
              <w:rPr>
                <w:color w:val="105C84"/>
                <w:spacing w:val="-1"/>
                <w:w w:val="105"/>
                <w:sz w:val="18"/>
              </w:rPr>
              <w:t> </w:t>
            </w:r>
            <w:r>
              <w:rPr>
                <w:color w:val="105C84"/>
                <w:w w:val="105"/>
                <w:sz w:val="18"/>
              </w:rPr>
              <w:t>continue</w:t>
            </w:r>
          </w:p>
        </w:tc>
        <w:tc>
          <w:tcPr>
            <w:tcW w:w="1669" w:type="dxa"/>
            <w:vMerge/>
            <w:tcBorders>
              <w:top w:val="nil"/>
            </w:tcBorders>
          </w:tcPr>
          <w:p>
            <w:pPr>
              <w:rPr>
                <w:sz w:val="2"/>
                <w:szCs w:val="2"/>
              </w:rPr>
            </w:pPr>
          </w:p>
        </w:tc>
        <w:tc>
          <w:tcPr>
            <w:tcW w:w="1894" w:type="dxa"/>
          </w:tcPr>
          <w:p>
            <w:pPr>
              <w:pStyle w:val="TableParagraph"/>
              <w:spacing w:line="232" w:lineRule="auto" w:before="98"/>
              <w:ind w:left="98" w:right="95"/>
              <w:rPr>
                <w:sz w:val="18"/>
              </w:rPr>
            </w:pPr>
            <w:r>
              <w:rPr>
                <w:color w:val="105C84"/>
                <w:w w:val="105"/>
                <w:sz w:val="18"/>
              </w:rPr>
              <w:t>Staff to implement education</w:t>
            </w:r>
            <w:r>
              <w:rPr>
                <w:color w:val="105C84"/>
                <w:spacing w:val="-1"/>
                <w:w w:val="105"/>
                <w:sz w:val="18"/>
              </w:rPr>
              <w:t> </w:t>
            </w:r>
            <w:r>
              <w:rPr>
                <w:color w:val="105C84"/>
                <w:w w:val="105"/>
                <w:sz w:val="18"/>
              </w:rPr>
              <w:t>and </w:t>
            </w:r>
            <w:r>
              <w:rPr>
                <w:color w:val="105C84"/>
                <w:sz w:val="18"/>
              </w:rPr>
              <w:t>training</w:t>
            </w:r>
            <w:r>
              <w:rPr>
                <w:color w:val="105C84"/>
                <w:spacing w:val="-2"/>
                <w:sz w:val="18"/>
              </w:rPr>
              <w:t> </w:t>
            </w:r>
            <w:r>
              <w:rPr>
                <w:color w:val="105C84"/>
                <w:sz w:val="18"/>
              </w:rPr>
              <w:t>components </w:t>
            </w:r>
            <w:r>
              <w:rPr>
                <w:color w:val="105C84"/>
                <w:w w:val="105"/>
                <w:sz w:val="18"/>
              </w:rPr>
              <w:t>of</w:t>
            </w:r>
            <w:r>
              <w:rPr>
                <w:color w:val="105C84"/>
                <w:spacing w:val="-1"/>
                <w:w w:val="105"/>
                <w:sz w:val="18"/>
              </w:rPr>
              <w:t> </w:t>
            </w:r>
            <w:r>
              <w:rPr>
                <w:color w:val="105C84"/>
                <w:w w:val="105"/>
                <w:sz w:val="18"/>
              </w:rPr>
              <w:t>prescribing </w:t>
            </w:r>
            <w:r>
              <w:rPr>
                <w:color w:val="105C84"/>
                <w:spacing w:val="-2"/>
                <w:w w:val="105"/>
                <w:sz w:val="18"/>
              </w:rPr>
              <w:t>appropriately</w:t>
            </w:r>
          </w:p>
        </w:tc>
      </w:tr>
      <w:tr>
        <w:trPr>
          <w:trHeight w:val="2730" w:hRule="atLeast"/>
        </w:trPr>
        <w:tc>
          <w:tcPr>
            <w:tcW w:w="1180" w:type="dxa"/>
            <w:vMerge/>
            <w:tcBorders>
              <w:top w:val="nil"/>
            </w:tcBorders>
            <w:shd w:val="clear" w:color="auto" w:fill="E6E7E8"/>
          </w:tcPr>
          <w:p>
            <w:pPr>
              <w:rPr>
                <w:sz w:val="2"/>
                <w:szCs w:val="2"/>
              </w:rPr>
            </w:pPr>
          </w:p>
        </w:tc>
        <w:tc>
          <w:tcPr>
            <w:tcW w:w="1555" w:type="dxa"/>
            <w:vMerge/>
            <w:tcBorders>
              <w:top w:val="nil"/>
            </w:tcBorders>
          </w:tcPr>
          <w:p>
            <w:pPr>
              <w:rPr>
                <w:sz w:val="2"/>
                <w:szCs w:val="2"/>
              </w:rPr>
            </w:pPr>
          </w:p>
        </w:tc>
        <w:tc>
          <w:tcPr>
            <w:tcW w:w="1497" w:type="dxa"/>
            <w:vMerge/>
            <w:tcBorders>
              <w:top w:val="nil"/>
            </w:tcBorders>
          </w:tcPr>
          <w:p>
            <w:pPr>
              <w:rPr>
                <w:sz w:val="2"/>
                <w:szCs w:val="2"/>
              </w:rPr>
            </w:pPr>
          </w:p>
        </w:tc>
        <w:tc>
          <w:tcPr>
            <w:tcW w:w="1756" w:type="dxa"/>
            <w:vMerge/>
            <w:tcBorders>
              <w:top w:val="nil"/>
            </w:tcBorders>
          </w:tcPr>
          <w:p>
            <w:pPr>
              <w:rPr>
                <w:sz w:val="2"/>
                <w:szCs w:val="2"/>
              </w:rPr>
            </w:pPr>
          </w:p>
        </w:tc>
        <w:tc>
          <w:tcPr>
            <w:tcW w:w="1115" w:type="dxa"/>
            <w:vMerge/>
            <w:tcBorders>
              <w:top w:val="nil"/>
            </w:tcBorders>
          </w:tcPr>
          <w:p>
            <w:pPr>
              <w:rPr>
                <w:sz w:val="2"/>
                <w:szCs w:val="2"/>
              </w:rPr>
            </w:pPr>
          </w:p>
        </w:tc>
        <w:tc>
          <w:tcPr>
            <w:tcW w:w="1565" w:type="dxa"/>
            <w:vMerge/>
            <w:tcBorders>
              <w:top w:val="nil"/>
            </w:tcBorders>
          </w:tcPr>
          <w:p>
            <w:pPr>
              <w:rPr>
                <w:sz w:val="2"/>
                <w:szCs w:val="2"/>
              </w:rPr>
            </w:pPr>
          </w:p>
        </w:tc>
        <w:tc>
          <w:tcPr>
            <w:tcW w:w="2613" w:type="dxa"/>
            <w:tcBorders>
              <w:right w:val="nil"/>
            </w:tcBorders>
          </w:tcPr>
          <w:p>
            <w:pPr>
              <w:pStyle w:val="TableParagraph"/>
              <w:spacing w:line="232" w:lineRule="auto" w:before="98"/>
              <w:ind w:left="93" w:right="1391"/>
              <w:rPr>
                <w:sz w:val="18"/>
              </w:rPr>
            </w:pPr>
            <w:r>
              <w:rPr>
                <w:color w:val="105C84"/>
                <w:spacing w:val="-4"/>
                <w:sz w:val="18"/>
              </w:rPr>
              <w:t>#</w:t>
            </w:r>
            <w:r>
              <w:rPr>
                <w:color w:val="105C84"/>
                <w:spacing w:val="-11"/>
                <w:sz w:val="18"/>
              </w:rPr>
              <w:t> </w:t>
            </w:r>
            <w:r>
              <w:rPr>
                <w:color w:val="105C84"/>
                <w:spacing w:val="-4"/>
                <w:sz w:val="18"/>
              </w:rPr>
              <w:t>assessed</w:t>
            </w:r>
            <w:r>
              <w:rPr>
                <w:color w:val="105C84"/>
                <w:spacing w:val="-8"/>
                <w:sz w:val="18"/>
              </w:rPr>
              <w:t> </w:t>
            </w:r>
            <w:r>
              <w:rPr>
                <w:color w:val="105C84"/>
                <w:spacing w:val="-4"/>
                <w:sz w:val="18"/>
              </w:rPr>
              <w:t>for </w:t>
            </w:r>
            <w:r>
              <w:rPr>
                <w:color w:val="105C84"/>
                <w:sz w:val="18"/>
              </w:rPr>
              <w:t>opioid use</w:t>
            </w:r>
          </w:p>
          <w:p>
            <w:pPr>
              <w:pStyle w:val="TableParagraph"/>
              <w:spacing w:line="232" w:lineRule="auto" w:before="89"/>
              <w:ind w:left="93" w:right="1527"/>
              <w:rPr>
                <w:sz w:val="18"/>
              </w:rPr>
            </w:pPr>
            <w:r>
              <w:rPr>
                <w:color w:val="105C84"/>
                <w:sz w:val="18"/>
              </w:rPr>
              <w:t>%</w:t>
            </w:r>
            <w:r>
              <w:rPr>
                <w:color w:val="105C84"/>
                <w:spacing w:val="-13"/>
                <w:sz w:val="18"/>
              </w:rPr>
              <w:t> </w:t>
            </w:r>
            <w:r>
              <w:rPr>
                <w:color w:val="105C84"/>
                <w:sz w:val="18"/>
              </w:rPr>
              <w:t>accepting </w:t>
            </w:r>
            <w:r>
              <w:rPr>
                <w:color w:val="105C84"/>
                <w:spacing w:val="-2"/>
                <w:sz w:val="18"/>
              </w:rPr>
              <w:t>treatment</w:t>
            </w:r>
          </w:p>
        </w:tc>
        <w:tc>
          <w:tcPr>
            <w:tcW w:w="3279" w:type="dxa"/>
            <w:tcBorders>
              <w:left w:val="nil"/>
            </w:tcBorders>
          </w:tcPr>
          <w:p>
            <w:pPr>
              <w:pStyle w:val="TableParagraph"/>
              <w:spacing w:line="232" w:lineRule="auto" w:before="98"/>
              <w:ind w:left="1046" w:right="127"/>
              <w:rPr>
                <w:sz w:val="18"/>
              </w:rPr>
            </w:pPr>
            <w:r>
              <w:rPr>
                <w:color w:val="105C84"/>
                <w:sz w:val="18"/>
              </w:rPr>
              <w:t>Mental Health assesses for opioid SSE and offers treatment,</w:t>
            </w:r>
            <w:r>
              <w:rPr>
                <w:color w:val="105C84"/>
                <w:spacing w:val="-8"/>
                <w:sz w:val="18"/>
              </w:rPr>
              <w:t> </w:t>
            </w:r>
            <w:r>
              <w:rPr>
                <w:color w:val="105C84"/>
                <w:sz w:val="18"/>
              </w:rPr>
              <w:t>counseling</w:t>
            </w:r>
            <w:r>
              <w:rPr>
                <w:color w:val="105C84"/>
                <w:spacing w:val="-8"/>
                <w:sz w:val="18"/>
              </w:rPr>
              <w:t> </w:t>
            </w:r>
            <w:r>
              <w:rPr>
                <w:color w:val="105C84"/>
                <w:sz w:val="18"/>
              </w:rPr>
              <w:t>and </w:t>
            </w:r>
            <w:r>
              <w:rPr>
                <w:color w:val="105C84"/>
                <w:spacing w:val="-2"/>
                <w:sz w:val="18"/>
              </w:rPr>
              <w:t>referrals</w:t>
            </w:r>
          </w:p>
          <w:p>
            <w:pPr>
              <w:pStyle w:val="TableParagraph"/>
              <w:spacing w:line="232" w:lineRule="auto" w:before="87"/>
              <w:ind w:left="1046" w:right="421"/>
              <w:jc w:val="both"/>
              <w:rPr>
                <w:sz w:val="18"/>
              </w:rPr>
            </w:pPr>
            <w:r>
              <w:rPr>
                <w:color w:val="105C84"/>
                <w:sz w:val="18"/>
              </w:rPr>
              <w:t>SCASAS treats opioid use through individual counseling and group education</w:t>
            </w:r>
            <w:r>
              <w:rPr>
                <w:color w:val="105C84"/>
                <w:spacing w:val="5"/>
                <w:sz w:val="18"/>
              </w:rPr>
              <w:t> </w:t>
            </w:r>
            <w:r>
              <w:rPr>
                <w:color w:val="105C84"/>
                <w:sz w:val="18"/>
              </w:rPr>
              <w:t>and</w:t>
            </w:r>
            <w:r>
              <w:rPr>
                <w:color w:val="105C84"/>
                <w:spacing w:val="5"/>
                <w:sz w:val="18"/>
              </w:rPr>
              <w:t> </w:t>
            </w:r>
            <w:r>
              <w:rPr>
                <w:color w:val="105C84"/>
                <w:spacing w:val="-2"/>
                <w:sz w:val="18"/>
              </w:rPr>
              <w:t>therapy</w:t>
            </w:r>
          </w:p>
        </w:tc>
        <w:tc>
          <w:tcPr>
            <w:tcW w:w="2073" w:type="dxa"/>
          </w:tcPr>
          <w:p>
            <w:pPr>
              <w:pStyle w:val="TableParagraph"/>
              <w:spacing w:line="232" w:lineRule="auto" w:before="98"/>
              <w:ind w:left="95" w:right="113"/>
              <w:rPr>
                <w:sz w:val="18"/>
              </w:rPr>
            </w:pPr>
            <w:r>
              <w:rPr>
                <w:color w:val="105C84"/>
                <w:spacing w:val="-4"/>
                <w:sz w:val="18"/>
              </w:rPr>
              <w:t>Mental</w:t>
            </w:r>
            <w:r>
              <w:rPr>
                <w:color w:val="105C84"/>
                <w:spacing w:val="-8"/>
                <w:sz w:val="18"/>
              </w:rPr>
              <w:t> </w:t>
            </w:r>
            <w:r>
              <w:rPr>
                <w:color w:val="105C84"/>
                <w:spacing w:val="-4"/>
                <w:sz w:val="18"/>
              </w:rPr>
              <w:t>Health</w:t>
            </w:r>
            <w:r>
              <w:rPr>
                <w:color w:val="105C84"/>
                <w:spacing w:val="-8"/>
                <w:sz w:val="18"/>
              </w:rPr>
              <w:t> </w:t>
            </w:r>
            <w:r>
              <w:rPr>
                <w:color w:val="105C84"/>
                <w:spacing w:val="-4"/>
                <w:sz w:val="18"/>
              </w:rPr>
              <w:t>assesses </w:t>
            </w:r>
            <w:r>
              <w:rPr>
                <w:color w:val="105C84"/>
                <w:sz w:val="18"/>
              </w:rPr>
              <w:t>for opioid use and offers treatment, counseling and </w:t>
            </w:r>
            <w:r>
              <w:rPr>
                <w:color w:val="105C84"/>
                <w:spacing w:val="-2"/>
                <w:sz w:val="18"/>
              </w:rPr>
              <w:t>referrals</w:t>
            </w:r>
          </w:p>
          <w:p>
            <w:pPr>
              <w:pStyle w:val="TableParagraph"/>
              <w:spacing w:line="232" w:lineRule="auto" w:before="86"/>
              <w:ind w:left="95" w:right="131"/>
              <w:jc w:val="both"/>
              <w:rPr>
                <w:sz w:val="18"/>
              </w:rPr>
            </w:pPr>
            <w:r>
              <w:rPr>
                <w:color w:val="105C84"/>
                <w:sz w:val="18"/>
              </w:rPr>
              <w:t>SCASAS treats opioid use through individual counseling and group education</w:t>
            </w:r>
            <w:r>
              <w:rPr>
                <w:color w:val="105C84"/>
                <w:spacing w:val="5"/>
                <w:sz w:val="18"/>
              </w:rPr>
              <w:t> </w:t>
            </w:r>
            <w:r>
              <w:rPr>
                <w:color w:val="105C84"/>
                <w:sz w:val="18"/>
              </w:rPr>
              <w:t>and</w:t>
            </w:r>
            <w:r>
              <w:rPr>
                <w:color w:val="105C84"/>
                <w:spacing w:val="5"/>
                <w:sz w:val="18"/>
              </w:rPr>
              <w:t> </w:t>
            </w:r>
            <w:r>
              <w:rPr>
                <w:color w:val="105C84"/>
                <w:spacing w:val="-2"/>
                <w:sz w:val="18"/>
              </w:rPr>
              <w:t>therapy.</w:t>
            </w:r>
          </w:p>
          <w:p>
            <w:pPr>
              <w:pStyle w:val="TableParagraph"/>
              <w:spacing w:line="232" w:lineRule="auto" w:before="87"/>
              <w:ind w:left="95" w:right="148"/>
              <w:rPr>
                <w:sz w:val="18"/>
              </w:rPr>
            </w:pPr>
            <w:r>
              <w:rPr>
                <w:color w:val="105C84"/>
                <w:sz w:val="18"/>
              </w:rPr>
              <w:t>In addition, peer </w:t>
            </w:r>
            <w:r>
              <w:rPr>
                <w:color w:val="105C84"/>
                <w:spacing w:val="-2"/>
                <w:sz w:val="18"/>
              </w:rPr>
              <w:t>services</w:t>
            </w:r>
            <w:r>
              <w:rPr>
                <w:color w:val="105C84"/>
                <w:spacing w:val="-13"/>
                <w:sz w:val="18"/>
              </w:rPr>
              <w:t> </w:t>
            </w:r>
            <w:r>
              <w:rPr>
                <w:color w:val="105C84"/>
                <w:spacing w:val="-2"/>
                <w:sz w:val="18"/>
              </w:rPr>
              <w:t>are</w:t>
            </w:r>
            <w:r>
              <w:rPr>
                <w:color w:val="105C84"/>
                <w:spacing w:val="-10"/>
                <w:sz w:val="18"/>
              </w:rPr>
              <w:t> </w:t>
            </w:r>
            <w:r>
              <w:rPr>
                <w:color w:val="105C84"/>
                <w:spacing w:val="-2"/>
                <w:sz w:val="18"/>
              </w:rPr>
              <w:t>expected </w:t>
            </w:r>
            <w:r>
              <w:rPr>
                <w:color w:val="105C84"/>
                <w:sz w:val="18"/>
              </w:rPr>
              <w:t>to be offered</w:t>
            </w:r>
          </w:p>
        </w:tc>
        <w:tc>
          <w:tcPr>
            <w:tcW w:w="2015" w:type="dxa"/>
          </w:tcPr>
          <w:p>
            <w:pPr>
              <w:pStyle w:val="TableParagraph"/>
              <w:spacing w:line="232" w:lineRule="auto" w:before="98"/>
              <w:ind w:left="95" w:right="72"/>
              <w:rPr>
                <w:sz w:val="18"/>
              </w:rPr>
            </w:pPr>
            <w:r>
              <w:rPr>
                <w:color w:val="105C84"/>
                <w:sz w:val="18"/>
              </w:rPr>
              <w:t>Mental Health </w:t>
            </w:r>
            <w:r>
              <w:rPr>
                <w:color w:val="105C84"/>
                <w:spacing w:val="-2"/>
                <w:sz w:val="18"/>
              </w:rPr>
              <w:t>assesses</w:t>
            </w:r>
            <w:r>
              <w:rPr>
                <w:color w:val="105C84"/>
                <w:spacing w:val="-11"/>
                <w:sz w:val="18"/>
              </w:rPr>
              <w:t> </w:t>
            </w:r>
            <w:r>
              <w:rPr>
                <w:color w:val="105C84"/>
                <w:spacing w:val="-2"/>
                <w:sz w:val="18"/>
              </w:rPr>
              <w:t>for</w:t>
            </w:r>
            <w:r>
              <w:rPr>
                <w:color w:val="105C84"/>
                <w:spacing w:val="-10"/>
                <w:sz w:val="18"/>
              </w:rPr>
              <w:t> </w:t>
            </w:r>
            <w:r>
              <w:rPr>
                <w:color w:val="105C84"/>
                <w:spacing w:val="-2"/>
                <w:sz w:val="18"/>
              </w:rPr>
              <w:t>opioid</w:t>
            </w:r>
            <w:r>
              <w:rPr>
                <w:color w:val="105C84"/>
                <w:spacing w:val="-11"/>
                <w:sz w:val="18"/>
              </w:rPr>
              <w:t> </w:t>
            </w:r>
            <w:r>
              <w:rPr>
                <w:color w:val="105C84"/>
                <w:spacing w:val="-2"/>
                <w:sz w:val="18"/>
              </w:rPr>
              <w:t>use </w:t>
            </w:r>
            <w:r>
              <w:rPr>
                <w:color w:val="105C84"/>
                <w:sz w:val="18"/>
              </w:rPr>
              <w:t>and offers treatment, counseling and </w:t>
            </w:r>
            <w:r>
              <w:rPr>
                <w:color w:val="105C84"/>
                <w:spacing w:val="-2"/>
                <w:sz w:val="18"/>
              </w:rPr>
              <w:t>referrals</w:t>
            </w:r>
          </w:p>
          <w:p>
            <w:pPr>
              <w:pStyle w:val="TableParagraph"/>
              <w:spacing w:line="232" w:lineRule="auto" w:before="86"/>
              <w:ind w:left="95" w:right="102"/>
              <w:jc w:val="both"/>
              <w:rPr>
                <w:sz w:val="18"/>
              </w:rPr>
            </w:pPr>
            <w:r>
              <w:rPr>
                <w:color w:val="105C84"/>
                <w:sz w:val="18"/>
              </w:rPr>
              <w:t>SCASAS treats opioid use through individual counseling and group education</w:t>
            </w:r>
            <w:r>
              <w:rPr>
                <w:color w:val="105C84"/>
                <w:spacing w:val="5"/>
                <w:sz w:val="18"/>
              </w:rPr>
              <w:t> </w:t>
            </w:r>
            <w:r>
              <w:rPr>
                <w:color w:val="105C84"/>
                <w:sz w:val="18"/>
              </w:rPr>
              <w:t>and</w:t>
            </w:r>
            <w:r>
              <w:rPr>
                <w:color w:val="105C84"/>
                <w:spacing w:val="5"/>
                <w:sz w:val="18"/>
              </w:rPr>
              <w:t> </w:t>
            </w:r>
            <w:r>
              <w:rPr>
                <w:color w:val="105C84"/>
                <w:spacing w:val="-2"/>
                <w:sz w:val="18"/>
              </w:rPr>
              <w:t>therapy</w:t>
            </w:r>
          </w:p>
          <w:p>
            <w:pPr>
              <w:pStyle w:val="TableParagraph"/>
              <w:spacing w:line="232" w:lineRule="auto" w:before="87"/>
              <w:ind w:left="95" w:right="568"/>
              <w:rPr>
                <w:sz w:val="18"/>
              </w:rPr>
            </w:pPr>
            <w:r>
              <w:rPr>
                <w:color w:val="105C84"/>
                <w:spacing w:val="-4"/>
                <w:sz w:val="18"/>
              </w:rPr>
              <w:t>Peer</w:t>
            </w:r>
            <w:r>
              <w:rPr>
                <w:color w:val="105C84"/>
                <w:spacing w:val="-11"/>
                <w:sz w:val="18"/>
              </w:rPr>
              <w:t> </w:t>
            </w:r>
            <w:r>
              <w:rPr>
                <w:color w:val="105C84"/>
                <w:spacing w:val="-4"/>
                <w:sz w:val="18"/>
              </w:rPr>
              <w:t>services</w:t>
            </w:r>
            <w:r>
              <w:rPr>
                <w:color w:val="105C84"/>
                <w:spacing w:val="-8"/>
                <w:sz w:val="18"/>
              </w:rPr>
              <w:t> </w:t>
            </w:r>
            <w:r>
              <w:rPr>
                <w:color w:val="105C84"/>
                <w:spacing w:val="-4"/>
                <w:sz w:val="18"/>
              </w:rPr>
              <w:t>are </w:t>
            </w:r>
            <w:r>
              <w:rPr>
                <w:color w:val="105C84"/>
                <w:sz w:val="18"/>
              </w:rPr>
              <w:t>expected to be </w:t>
            </w:r>
            <w:r>
              <w:rPr>
                <w:color w:val="105C84"/>
                <w:spacing w:val="-2"/>
                <w:sz w:val="18"/>
              </w:rPr>
              <w:t>continued</w:t>
            </w:r>
          </w:p>
        </w:tc>
        <w:tc>
          <w:tcPr>
            <w:tcW w:w="1669" w:type="dxa"/>
            <w:vMerge/>
            <w:tcBorders>
              <w:top w:val="nil"/>
            </w:tcBorders>
          </w:tcPr>
          <w:p>
            <w:pPr>
              <w:rPr>
                <w:sz w:val="2"/>
                <w:szCs w:val="2"/>
              </w:rPr>
            </w:pPr>
          </w:p>
        </w:tc>
        <w:tc>
          <w:tcPr>
            <w:tcW w:w="1894" w:type="dxa"/>
          </w:tcPr>
          <w:p>
            <w:pPr>
              <w:pStyle w:val="TableParagraph"/>
              <w:spacing w:line="232" w:lineRule="auto" w:before="98"/>
              <w:ind w:left="98" w:right="315"/>
              <w:rPr>
                <w:sz w:val="18"/>
              </w:rPr>
            </w:pPr>
            <w:r>
              <w:rPr>
                <w:color w:val="105C84"/>
                <w:sz w:val="18"/>
              </w:rPr>
              <w:t>Mental Health assesses for opioid use and offers</w:t>
            </w:r>
            <w:r>
              <w:rPr>
                <w:color w:val="105C84"/>
                <w:spacing w:val="-13"/>
                <w:sz w:val="18"/>
              </w:rPr>
              <w:t> </w:t>
            </w:r>
            <w:r>
              <w:rPr>
                <w:color w:val="105C84"/>
                <w:sz w:val="18"/>
              </w:rPr>
              <w:t>treatment, counseling and </w:t>
            </w:r>
            <w:r>
              <w:rPr>
                <w:color w:val="105C84"/>
                <w:spacing w:val="-2"/>
                <w:sz w:val="18"/>
              </w:rPr>
              <w:t>referrals</w:t>
            </w:r>
          </w:p>
          <w:p>
            <w:pPr>
              <w:pStyle w:val="TableParagraph"/>
              <w:spacing w:line="232" w:lineRule="auto" w:before="85"/>
              <w:ind w:left="98" w:right="95"/>
              <w:rPr>
                <w:sz w:val="18"/>
              </w:rPr>
            </w:pPr>
            <w:r>
              <w:rPr>
                <w:color w:val="105C84"/>
                <w:sz w:val="18"/>
              </w:rPr>
              <w:t>SCASAS treats opioid use through individual</w:t>
            </w:r>
            <w:r>
              <w:rPr>
                <w:color w:val="105C84"/>
                <w:spacing w:val="-13"/>
                <w:sz w:val="18"/>
              </w:rPr>
              <w:t> </w:t>
            </w:r>
            <w:r>
              <w:rPr>
                <w:color w:val="105C84"/>
                <w:sz w:val="18"/>
              </w:rPr>
              <w:t>counseling and group education and therapy</w:t>
            </w:r>
          </w:p>
        </w:tc>
      </w:tr>
    </w:tbl>
    <w:p>
      <w:pPr>
        <w:pStyle w:val="BodyText"/>
        <w:rPr>
          <w:b/>
          <w:sz w:val="26"/>
        </w:rPr>
      </w:pPr>
    </w:p>
    <w:p>
      <w:pPr>
        <w:pStyle w:val="BodyText"/>
        <w:rPr>
          <w:b/>
          <w:sz w:val="26"/>
        </w:rPr>
      </w:pPr>
    </w:p>
    <w:p>
      <w:pPr>
        <w:pStyle w:val="BodyText"/>
        <w:rPr>
          <w:b/>
          <w:sz w:val="26"/>
        </w:rPr>
      </w:pPr>
    </w:p>
    <w:p>
      <w:pPr>
        <w:pStyle w:val="BodyText"/>
        <w:spacing w:before="296"/>
        <w:rPr>
          <w:b/>
          <w:sz w:val="26"/>
        </w:rPr>
      </w:pPr>
    </w:p>
    <w:p>
      <w:pPr>
        <w:tabs>
          <w:tab w:pos="23047" w:val="left" w:leader="none"/>
        </w:tabs>
        <w:spacing w:before="0"/>
        <w:ind w:left="0" w:right="0" w:firstLine="0"/>
        <w:jc w:val="left"/>
        <w:rPr>
          <w:b/>
          <w:sz w:val="26"/>
        </w:rPr>
      </w:pPr>
      <w:r>
        <w:rPr>
          <w:position w:val="-4"/>
        </w:rPr>
        <w:drawing>
          <wp:inline distT="0" distB="0" distL="0" distR="0">
            <wp:extent cx="568172" cy="184683"/>
            <wp:effectExtent l="0" t="0" r="0" b="0"/>
            <wp:docPr id="1978" name="Image 1978"/>
            <wp:cNvGraphicFramePr>
              <a:graphicFrameLocks/>
            </wp:cNvGraphicFramePr>
            <a:graphic>
              <a:graphicData uri="http://schemas.openxmlformats.org/drawingml/2006/picture">
                <pic:pic>
                  <pic:nvPicPr>
                    <pic:cNvPr id="1978" name="Image 1978"/>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13"/>
          <w:sz w:val="20"/>
        </w:rPr>
        <w:t> </w:t>
      </w:r>
      <w:r>
        <w:rPr>
          <w:b/>
          <w:color w:val="939598"/>
          <w:w w:val="105"/>
          <w:sz w:val="26"/>
        </w:rPr>
        <w:t>201</w:t>
      </w:r>
      <w:r>
        <w:rPr>
          <w:b/>
          <w:color w:val="939598"/>
          <w:sz w:val="26"/>
        </w:rPr>
        <w:tab/>
      </w:r>
      <w:r>
        <w:rPr>
          <w:b/>
          <w:color w:val="939598"/>
          <w:spacing w:val="-5"/>
          <w:w w:val="105"/>
          <w:sz w:val="26"/>
        </w:rPr>
        <w:t>202</w:t>
      </w:r>
    </w:p>
    <w:p>
      <w:pPr>
        <w:spacing w:after="0"/>
        <w:jc w:val="left"/>
        <w:rPr>
          <w:b/>
          <w:sz w:val="26"/>
        </w:rPr>
        <w:sectPr>
          <w:pgSz w:w="24480" w:h="15840" w:orient="landscape"/>
          <w:pgMar w:header="0" w:footer="0" w:top="860" w:bottom="0" w:left="0" w:right="720"/>
        </w:sectPr>
      </w:pPr>
    </w:p>
    <w:p>
      <w:pPr>
        <w:pStyle w:val="BodyText"/>
        <w:spacing w:before="8"/>
        <w:rPr>
          <w:b/>
          <w:sz w:val="54"/>
        </w:rPr>
      </w:pPr>
      <w:r>
        <w:rPr>
          <w:b/>
          <w:sz w:val="54"/>
        </w:rPr>
        <w:drawing>
          <wp:anchor distT="0" distB="0" distL="0" distR="0" allowOverlap="1" layoutInCell="1" locked="0" behindDoc="0" simplePos="0" relativeHeight="16010752">
            <wp:simplePos x="0" y="0"/>
            <wp:positionH relativeFrom="page">
              <wp:posOffset>14981556</wp:posOffset>
            </wp:positionH>
            <wp:positionV relativeFrom="page">
              <wp:posOffset>9668103</wp:posOffset>
            </wp:positionV>
            <wp:extent cx="563245" cy="184683"/>
            <wp:effectExtent l="0" t="0" r="0" b="0"/>
            <wp:wrapNone/>
            <wp:docPr id="1979" name="Image 1979"/>
            <wp:cNvGraphicFramePr>
              <a:graphicFrameLocks/>
            </wp:cNvGraphicFramePr>
            <a:graphic>
              <a:graphicData uri="http://schemas.openxmlformats.org/drawingml/2006/picture">
                <pic:pic>
                  <pic:nvPicPr>
                    <pic:cNvPr id="1979" name="Image 1979"/>
                    <pic:cNvPicPr/>
                  </pic:nvPicPr>
                  <pic:blipFill>
                    <a:blip r:embed="rId38" cstate="print"/>
                    <a:stretch>
                      <a:fillRect/>
                    </a:stretch>
                  </pic:blipFill>
                  <pic:spPr>
                    <a:xfrm>
                      <a:off x="0" y="0"/>
                      <a:ext cx="563245" cy="184683"/>
                    </a:xfrm>
                    <a:prstGeom prst="rect">
                      <a:avLst/>
                    </a:prstGeom>
                  </pic:spPr>
                </pic:pic>
              </a:graphicData>
            </a:graphic>
          </wp:anchor>
        </w:drawing>
      </w:r>
    </w:p>
    <w:p>
      <w:pPr>
        <w:spacing w:before="0"/>
        <w:ind w:left="1089" w:right="0" w:firstLine="0"/>
        <w:jc w:val="left"/>
        <w:rPr>
          <w:sz w:val="54"/>
        </w:rPr>
      </w:pPr>
      <w:r>
        <w:rPr>
          <w:sz w:val="54"/>
        </w:rPr>
        <w:drawing>
          <wp:anchor distT="0" distB="0" distL="0" distR="0" allowOverlap="1" layoutInCell="1" locked="0" behindDoc="0" simplePos="0" relativeHeight="16011264">
            <wp:simplePos x="0" y="0"/>
            <wp:positionH relativeFrom="page">
              <wp:posOffset>14298866</wp:posOffset>
            </wp:positionH>
            <wp:positionV relativeFrom="paragraph">
              <wp:posOffset>-66292</wp:posOffset>
            </wp:positionV>
            <wp:extent cx="552068" cy="591502"/>
            <wp:effectExtent l="0" t="0" r="0" b="0"/>
            <wp:wrapNone/>
            <wp:docPr id="1980" name="Image 1980"/>
            <wp:cNvGraphicFramePr>
              <a:graphicFrameLocks/>
            </wp:cNvGraphicFramePr>
            <a:graphic>
              <a:graphicData uri="http://schemas.openxmlformats.org/drawingml/2006/picture">
                <pic:pic>
                  <pic:nvPicPr>
                    <pic:cNvPr id="1980" name="Image 1980"/>
                    <pic:cNvPicPr/>
                  </pic:nvPicPr>
                  <pic:blipFill>
                    <a:blip r:embed="rId259" cstate="print"/>
                    <a:stretch>
                      <a:fillRect/>
                    </a:stretch>
                  </pic:blipFill>
                  <pic:spPr>
                    <a:xfrm>
                      <a:off x="0" y="0"/>
                      <a:ext cx="552068" cy="591502"/>
                    </a:xfrm>
                    <a:prstGeom prst="rect">
                      <a:avLst/>
                    </a:prstGeom>
                  </pic:spPr>
                </pic:pic>
              </a:graphicData>
            </a:graphic>
          </wp:anchor>
        </w:drawing>
      </w:r>
      <w:r>
        <w:rPr>
          <w:sz w:val="54"/>
        </w:rPr>
        <w:drawing>
          <wp:anchor distT="0" distB="0" distL="0" distR="0" allowOverlap="1" layoutInCell="1" locked="0" behindDoc="0" simplePos="0" relativeHeight="16011776">
            <wp:simplePos x="0" y="0"/>
            <wp:positionH relativeFrom="page">
              <wp:posOffset>11596623</wp:posOffset>
            </wp:positionH>
            <wp:positionV relativeFrom="paragraph">
              <wp:posOffset>-68598</wp:posOffset>
            </wp:positionV>
            <wp:extent cx="1311661" cy="345815"/>
            <wp:effectExtent l="0" t="0" r="0" b="0"/>
            <wp:wrapNone/>
            <wp:docPr id="1981" name="Image 1981"/>
            <wp:cNvGraphicFramePr>
              <a:graphicFrameLocks/>
            </wp:cNvGraphicFramePr>
            <a:graphic>
              <a:graphicData uri="http://schemas.openxmlformats.org/drawingml/2006/picture">
                <pic:pic>
                  <pic:nvPicPr>
                    <pic:cNvPr id="1981" name="Image 1981"/>
                    <pic:cNvPicPr/>
                  </pic:nvPicPr>
                  <pic:blipFill>
                    <a:blip r:embed="rId260" cstate="print"/>
                    <a:stretch>
                      <a:fillRect/>
                    </a:stretch>
                  </pic:blipFill>
                  <pic:spPr>
                    <a:xfrm>
                      <a:off x="0" y="0"/>
                      <a:ext cx="1311661" cy="345815"/>
                    </a:xfrm>
                    <a:prstGeom prst="rect">
                      <a:avLst/>
                    </a:prstGeom>
                  </pic:spPr>
                </pic:pic>
              </a:graphicData>
            </a:graphic>
          </wp:anchor>
        </w:drawing>
      </w:r>
      <w:r>
        <w:rPr>
          <w:sz w:val="54"/>
        </w:rPr>
        <w:drawing>
          <wp:anchor distT="0" distB="0" distL="0" distR="0" allowOverlap="1" layoutInCell="1" locked="0" behindDoc="0" simplePos="0" relativeHeight="16012288">
            <wp:simplePos x="0" y="0"/>
            <wp:positionH relativeFrom="page">
              <wp:posOffset>13088996</wp:posOffset>
            </wp:positionH>
            <wp:positionV relativeFrom="paragraph">
              <wp:posOffset>-75983</wp:posOffset>
            </wp:positionV>
            <wp:extent cx="1063929" cy="302976"/>
            <wp:effectExtent l="0" t="0" r="0" b="0"/>
            <wp:wrapNone/>
            <wp:docPr id="1982" name="Image 1982"/>
            <wp:cNvGraphicFramePr>
              <a:graphicFrameLocks/>
            </wp:cNvGraphicFramePr>
            <a:graphic>
              <a:graphicData uri="http://schemas.openxmlformats.org/drawingml/2006/picture">
                <pic:pic>
                  <pic:nvPicPr>
                    <pic:cNvPr id="1982" name="Image 1982"/>
                    <pic:cNvPicPr/>
                  </pic:nvPicPr>
                  <pic:blipFill>
                    <a:blip r:embed="rId261" cstate="print"/>
                    <a:stretch>
                      <a:fillRect/>
                    </a:stretch>
                  </pic:blipFill>
                  <pic:spPr>
                    <a:xfrm>
                      <a:off x="0" y="0"/>
                      <a:ext cx="1063929" cy="302976"/>
                    </a:xfrm>
                    <a:prstGeom prst="rect">
                      <a:avLst/>
                    </a:prstGeom>
                  </pic:spPr>
                </pic:pic>
              </a:graphicData>
            </a:graphic>
          </wp:anchor>
        </w:drawing>
      </w:r>
      <w:r>
        <w:rPr>
          <w:sz w:val="54"/>
        </w:rPr>
        <w:drawing>
          <wp:anchor distT="0" distB="0" distL="0" distR="0" allowOverlap="1" layoutInCell="1" locked="0" behindDoc="0" simplePos="0" relativeHeight="16012800">
            <wp:simplePos x="0" y="0"/>
            <wp:positionH relativeFrom="page">
              <wp:posOffset>11099800</wp:posOffset>
            </wp:positionH>
            <wp:positionV relativeFrom="paragraph">
              <wp:posOffset>-119473</wp:posOffset>
            </wp:positionV>
            <wp:extent cx="330199" cy="393699"/>
            <wp:effectExtent l="0" t="0" r="0" b="0"/>
            <wp:wrapNone/>
            <wp:docPr id="1983" name="Image 1983"/>
            <wp:cNvGraphicFramePr>
              <a:graphicFrameLocks/>
            </wp:cNvGraphicFramePr>
            <a:graphic>
              <a:graphicData uri="http://schemas.openxmlformats.org/drawingml/2006/picture">
                <pic:pic>
                  <pic:nvPicPr>
                    <pic:cNvPr id="1983" name="Image 1983"/>
                    <pic:cNvPicPr/>
                  </pic:nvPicPr>
                  <pic:blipFill>
                    <a:blip r:embed="rId262" cstate="print"/>
                    <a:stretch>
                      <a:fillRect/>
                    </a:stretch>
                  </pic:blipFill>
                  <pic:spPr>
                    <a:xfrm>
                      <a:off x="0" y="0"/>
                      <a:ext cx="330199" cy="393699"/>
                    </a:xfrm>
                    <a:prstGeom prst="rect">
                      <a:avLst/>
                    </a:prstGeom>
                  </pic:spPr>
                </pic:pic>
              </a:graphicData>
            </a:graphic>
          </wp:anchor>
        </w:drawing>
      </w:r>
      <w:r>
        <w:rPr>
          <w:sz w:val="54"/>
        </w:rPr>
        <w:drawing>
          <wp:anchor distT="0" distB="0" distL="0" distR="0" allowOverlap="1" layoutInCell="1" locked="0" behindDoc="0" simplePos="0" relativeHeight="16013312">
            <wp:simplePos x="0" y="0"/>
            <wp:positionH relativeFrom="page">
              <wp:posOffset>9610343</wp:posOffset>
            </wp:positionH>
            <wp:positionV relativeFrom="paragraph">
              <wp:posOffset>-24936</wp:posOffset>
            </wp:positionV>
            <wp:extent cx="1279782" cy="224523"/>
            <wp:effectExtent l="0" t="0" r="0" b="0"/>
            <wp:wrapNone/>
            <wp:docPr id="1984" name="Image 1984"/>
            <wp:cNvGraphicFramePr>
              <a:graphicFrameLocks/>
            </wp:cNvGraphicFramePr>
            <a:graphic>
              <a:graphicData uri="http://schemas.openxmlformats.org/drawingml/2006/picture">
                <pic:pic>
                  <pic:nvPicPr>
                    <pic:cNvPr id="1984" name="Image 1984"/>
                    <pic:cNvPicPr/>
                  </pic:nvPicPr>
                  <pic:blipFill>
                    <a:blip r:embed="rId263" cstate="print"/>
                    <a:stretch>
                      <a:fillRect/>
                    </a:stretch>
                  </pic:blipFill>
                  <pic:spPr>
                    <a:xfrm>
                      <a:off x="0" y="0"/>
                      <a:ext cx="1279782" cy="224523"/>
                    </a:xfrm>
                    <a:prstGeom prst="rect">
                      <a:avLst/>
                    </a:prstGeom>
                  </pic:spPr>
                </pic:pic>
              </a:graphicData>
            </a:graphic>
          </wp:anchor>
        </w:drawing>
      </w:r>
      <w:r>
        <w:rPr>
          <w:color w:val="636466"/>
          <w:sz w:val="54"/>
        </w:rPr>
        <w:t>Steuben</w:t>
      </w:r>
      <w:r>
        <w:rPr>
          <w:color w:val="636466"/>
          <w:spacing w:val="54"/>
          <w:sz w:val="54"/>
        </w:rPr>
        <w:t> </w:t>
      </w:r>
      <w:r>
        <w:rPr>
          <w:color w:val="636466"/>
          <w:sz w:val="54"/>
        </w:rPr>
        <w:t>County</w:t>
      </w:r>
      <w:r>
        <w:rPr>
          <w:color w:val="636466"/>
          <w:spacing w:val="55"/>
          <w:sz w:val="54"/>
        </w:rPr>
        <w:t> </w:t>
      </w:r>
      <w:r>
        <w:rPr>
          <w:color w:val="636466"/>
          <w:sz w:val="54"/>
        </w:rPr>
        <w:t>Appendix</w:t>
      </w:r>
      <w:r>
        <w:rPr>
          <w:color w:val="636466"/>
          <w:spacing w:val="54"/>
          <w:sz w:val="54"/>
        </w:rPr>
        <w:t> </w:t>
      </w:r>
      <w:r>
        <w:rPr>
          <w:color w:val="636466"/>
          <w:spacing w:val="-10"/>
          <w:sz w:val="54"/>
        </w:rPr>
        <w:t>F</w:t>
      </w:r>
    </w:p>
    <w:p>
      <w:pPr>
        <w:spacing w:line="247" w:lineRule="auto" w:before="236"/>
        <w:ind w:left="1089" w:right="13013" w:firstLine="0"/>
        <w:jc w:val="left"/>
        <w:rPr>
          <w:b/>
          <w:sz w:val="32"/>
        </w:rPr>
      </w:pPr>
      <w:r>
        <w:rPr>
          <w:b/>
          <w:color w:val="82BF6A"/>
          <w:spacing w:val="-4"/>
          <w:sz w:val="32"/>
        </w:rPr>
        <w:t>PRIORITY:</w:t>
      </w:r>
      <w:r>
        <w:rPr>
          <w:b/>
          <w:color w:val="82BF6A"/>
          <w:spacing w:val="-19"/>
          <w:sz w:val="32"/>
        </w:rPr>
        <w:t> </w:t>
      </w:r>
      <w:r>
        <w:rPr>
          <w:b/>
          <w:color w:val="82BF6A"/>
          <w:spacing w:val="-4"/>
          <w:sz w:val="32"/>
        </w:rPr>
        <w:t>PROMOTE</w:t>
      </w:r>
      <w:r>
        <w:rPr>
          <w:b/>
          <w:color w:val="82BF6A"/>
          <w:spacing w:val="-18"/>
          <w:sz w:val="32"/>
        </w:rPr>
        <w:t> </w:t>
      </w:r>
      <w:r>
        <w:rPr>
          <w:b/>
          <w:color w:val="82BF6A"/>
          <w:spacing w:val="-4"/>
          <w:sz w:val="32"/>
        </w:rPr>
        <w:t>WELL-BEING</w:t>
      </w:r>
      <w:r>
        <w:rPr>
          <w:b/>
          <w:color w:val="82BF6A"/>
          <w:spacing w:val="-18"/>
          <w:sz w:val="32"/>
        </w:rPr>
        <w:t> </w:t>
      </w:r>
      <w:r>
        <w:rPr>
          <w:b/>
          <w:color w:val="82BF6A"/>
          <w:spacing w:val="-4"/>
          <w:sz w:val="32"/>
        </w:rPr>
        <w:t>AND</w:t>
      </w:r>
      <w:r>
        <w:rPr>
          <w:b/>
          <w:color w:val="82BF6A"/>
          <w:spacing w:val="-18"/>
          <w:sz w:val="32"/>
        </w:rPr>
        <w:t> </w:t>
      </w:r>
      <w:r>
        <w:rPr>
          <w:b/>
          <w:color w:val="82BF6A"/>
          <w:spacing w:val="-4"/>
          <w:sz w:val="32"/>
        </w:rPr>
        <w:t>PREVENT</w:t>
      </w:r>
      <w:r>
        <w:rPr>
          <w:b/>
          <w:color w:val="82BF6A"/>
          <w:spacing w:val="-19"/>
          <w:sz w:val="32"/>
        </w:rPr>
        <w:t> </w:t>
      </w:r>
      <w:r>
        <w:rPr>
          <w:b/>
          <w:color w:val="82BF6A"/>
          <w:spacing w:val="-4"/>
          <w:sz w:val="32"/>
        </w:rPr>
        <w:t>MENTAL </w:t>
      </w:r>
      <w:r>
        <w:rPr>
          <w:b/>
          <w:color w:val="82BF6A"/>
          <w:sz w:val="32"/>
        </w:rPr>
        <w:t>AND</w:t>
      </w:r>
      <w:r>
        <w:rPr>
          <w:b/>
          <w:color w:val="82BF6A"/>
          <w:spacing w:val="-22"/>
          <w:sz w:val="32"/>
        </w:rPr>
        <w:t> </w:t>
      </w:r>
      <w:r>
        <w:rPr>
          <w:b/>
          <w:color w:val="82BF6A"/>
          <w:sz w:val="32"/>
        </w:rPr>
        <w:t>SUBSTANCE</w:t>
      </w:r>
      <w:r>
        <w:rPr>
          <w:b/>
          <w:color w:val="82BF6A"/>
          <w:spacing w:val="-22"/>
          <w:sz w:val="32"/>
        </w:rPr>
        <w:t> </w:t>
      </w:r>
      <w:r>
        <w:rPr>
          <w:b/>
          <w:color w:val="82BF6A"/>
          <w:sz w:val="32"/>
        </w:rPr>
        <w:t>USE</w:t>
      </w:r>
      <w:r>
        <w:rPr>
          <w:b/>
          <w:color w:val="82BF6A"/>
          <w:spacing w:val="-22"/>
          <w:sz w:val="32"/>
        </w:rPr>
        <w:t> </w:t>
      </w:r>
      <w:r>
        <w:rPr>
          <w:b/>
          <w:color w:val="82BF6A"/>
          <w:sz w:val="32"/>
        </w:rPr>
        <w:t>DISORDERS</w:t>
      </w:r>
    </w:p>
    <w:p>
      <w:pPr>
        <w:pStyle w:val="BodyText"/>
        <w:spacing w:before="152"/>
        <w:rPr>
          <w:b/>
          <w:sz w:val="20"/>
        </w:rPr>
      </w:pPr>
    </w:p>
    <w:tbl>
      <w:tblPr>
        <w:tblW w:w="0" w:type="auto"/>
        <w:jc w:val="left"/>
        <w:tblInd w:w="1099"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1180"/>
        <w:gridCol w:w="1094"/>
        <w:gridCol w:w="1180"/>
        <w:gridCol w:w="1324"/>
        <w:gridCol w:w="1065"/>
        <w:gridCol w:w="1641"/>
        <w:gridCol w:w="3789"/>
        <w:gridCol w:w="3698"/>
        <w:gridCol w:w="1756"/>
        <w:gridCol w:w="1727"/>
        <w:gridCol w:w="1497"/>
        <w:gridCol w:w="2414"/>
      </w:tblGrid>
      <w:tr>
        <w:trPr>
          <w:trHeight w:val="730" w:hRule="atLeast"/>
        </w:trPr>
        <w:tc>
          <w:tcPr>
            <w:tcW w:w="1180" w:type="dxa"/>
            <w:tcBorders>
              <w:right w:val="single" w:sz="4" w:space="0" w:color="FFFFFF"/>
            </w:tcBorders>
            <w:shd w:val="clear" w:color="auto" w:fill="A7A9AC"/>
          </w:tcPr>
          <w:p>
            <w:pPr>
              <w:pStyle w:val="TableParagraph"/>
              <w:spacing w:before="79"/>
              <w:rPr>
                <w:b/>
                <w:sz w:val="18"/>
              </w:rPr>
            </w:pPr>
          </w:p>
          <w:p>
            <w:pPr>
              <w:pStyle w:val="TableParagraph"/>
              <w:ind w:left="80"/>
              <w:rPr>
                <w:b/>
                <w:sz w:val="18"/>
              </w:rPr>
            </w:pPr>
            <w:r>
              <w:rPr>
                <w:b/>
                <w:color w:val="FFFFFF"/>
                <w:spacing w:val="-2"/>
                <w:sz w:val="18"/>
              </w:rPr>
              <w:t>Priority</w:t>
            </w:r>
          </w:p>
        </w:tc>
        <w:tc>
          <w:tcPr>
            <w:tcW w:w="1094" w:type="dxa"/>
            <w:tcBorders>
              <w:left w:val="single" w:sz="4" w:space="0" w:color="FFFFFF"/>
              <w:right w:val="single" w:sz="4" w:space="0" w:color="FFFFFF"/>
            </w:tcBorders>
            <w:shd w:val="clear" w:color="auto" w:fill="A7A9AC"/>
          </w:tcPr>
          <w:p>
            <w:pPr>
              <w:pStyle w:val="TableParagraph"/>
              <w:spacing w:before="79"/>
              <w:rPr>
                <w:b/>
                <w:sz w:val="18"/>
              </w:rPr>
            </w:pPr>
          </w:p>
          <w:p>
            <w:pPr>
              <w:pStyle w:val="TableParagraph"/>
              <w:ind w:left="80"/>
              <w:rPr>
                <w:b/>
                <w:sz w:val="18"/>
              </w:rPr>
            </w:pPr>
            <w:r>
              <w:rPr>
                <w:b/>
                <w:color w:val="FFFFFF"/>
                <w:w w:val="90"/>
                <w:sz w:val="18"/>
              </w:rPr>
              <w:t>Focus</w:t>
            </w:r>
            <w:r>
              <w:rPr>
                <w:b/>
                <w:color w:val="FFFFFF"/>
                <w:spacing w:val="8"/>
                <w:sz w:val="18"/>
              </w:rPr>
              <w:t> </w:t>
            </w:r>
            <w:r>
              <w:rPr>
                <w:b/>
                <w:color w:val="FFFFFF"/>
                <w:spacing w:val="-4"/>
                <w:sz w:val="18"/>
              </w:rPr>
              <w:t>Area</w:t>
            </w:r>
          </w:p>
        </w:tc>
        <w:tc>
          <w:tcPr>
            <w:tcW w:w="1180" w:type="dxa"/>
            <w:tcBorders>
              <w:left w:val="single" w:sz="4" w:space="0" w:color="FFFFFF"/>
              <w:right w:val="single" w:sz="4" w:space="0" w:color="FFFFFF"/>
            </w:tcBorders>
            <w:shd w:val="clear" w:color="auto" w:fill="A7A9AC"/>
          </w:tcPr>
          <w:p>
            <w:pPr>
              <w:pStyle w:val="TableParagraph"/>
              <w:spacing w:line="232" w:lineRule="auto" w:before="191"/>
              <w:ind w:left="80" w:right="150"/>
              <w:rPr>
                <w:b/>
                <w:sz w:val="18"/>
              </w:rPr>
            </w:pPr>
            <w:r>
              <w:rPr>
                <w:b/>
                <w:color w:val="FFFFFF"/>
                <w:spacing w:val="-6"/>
                <w:sz w:val="18"/>
              </w:rPr>
              <w:t>Goal</w:t>
            </w:r>
            <w:r>
              <w:rPr>
                <w:b/>
                <w:color w:val="FFFFFF"/>
                <w:spacing w:val="-7"/>
                <w:sz w:val="18"/>
              </w:rPr>
              <w:t> </w:t>
            </w:r>
            <w:r>
              <w:rPr>
                <w:b/>
                <w:color w:val="FFFFFF"/>
                <w:spacing w:val="-6"/>
                <w:sz w:val="18"/>
              </w:rPr>
              <w:t>Focus </w:t>
            </w:r>
            <w:r>
              <w:rPr>
                <w:b/>
                <w:color w:val="FFFFFF"/>
                <w:spacing w:val="-4"/>
                <w:sz w:val="18"/>
              </w:rPr>
              <w:t>Area</w:t>
            </w:r>
          </w:p>
        </w:tc>
        <w:tc>
          <w:tcPr>
            <w:tcW w:w="1324" w:type="dxa"/>
            <w:tcBorders>
              <w:left w:val="single" w:sz="4" w:space="0" w:color="FFFFFF"/>
              <w:right w:val="single" w:sz="4" w:space="0" w:color="FFFFFF"/>
            </w:tcBorders>
            <w:shd w:val="clear" w:color="auto" w:fill="A7A9AC"/>
          </w:tcPr>
          <w:p>
            <w:pPr>
              <w:pStyle w:val="TableParagraph"/>
              <w:spacing w:before="79"/>
              <w:rPr>
                <w:b/>
                <w:sz w:val="18"/>
              </w:rPr>
            </w:pPr>
          </w:p>
          <w:p>
            <w:pPr>
              <w:pStyle w:val="TableParagraph"/>
              <w:ind w:left="81"/>
              <w:rPr>
                <w:b/>
                <w:sz w:val="18"/>
              </w:rPr>
            </w:pPr>
            <w:r>
              <w:rPr>
                <w:b/>
                <w:color w:val="FFFFFF"/>
                <w:spacing w:val="-2"/>
                <w:sz w:val="18"/>
              </w:rPr>
              <w:t>Objectives</w:t>
            </w:r>
          </w:p>
        </w:tc>
        <w:tc>
          <w:tcPr>
            <w:tcW w:w="1065" w:type="dxa"/>
            <w:tcBorders>
              <w:left w:val="single" w:sz="4" w:space="0" w:color="FFFFFF"/>
              <w:right w:val="single" w:sz="4" w:space="0" w:color="FFFFFF"/>
            </w:tcBorders>
            <w:shd w:val="clear" w:color="auto" w:fill="A7A9AC"/>
          </w:tcPr>
          <w:p>
            <w:pPr>
              <w:pStyle w:val="TableParagraph"/>
              <w:spacing w:before="79"/>
              <w:rPr>
                <w:b/>
                <w:sz w:val="18"/>
              </w:rPr>
            </w:pPr>
          </w:p>
          <w:p>
            <w:pPr>
              <w:pStyle w:val="TableParagraph"/>
              <w:ind w:left="82"/>
              <w:rPr>
                <w:b/>
                <w:sz w:val="18"/>
              </w:rPr>
            </w:pPr>
            <w:r>
              <w:rPr>
                <w:b/>
                <w:color w:val="FFFFFF"/>
                <w:spacing w:val="-2"/>
                <w:sz w:val="18"/>
              </w:rPr>
              <w:t>Disparities</w:t>
            </w:r>
          </w:p>
        </w:tc>
        <w:tc>
          <w:tcPr>
            <w:tcW w:w="1641" w:type="dxa"/>
            <w:tcBorders>
              <w:left w:val="single" w:sz="4" w:space="0" w:color="FFFFFF"/>
              <w:right w:val="single" w:sz="4" w:space="0" w:color="FFFFFF"/>
            </w:tcBorders>
            <w:shd w:val="clear" w:color="auto" w:fill="A7A9AC"/>
          </w:tcPr>
          <w:p>
            <w:pPr>
              <w:pStyle w:val="TableParagraph"/>
              <w:spacing w:before="79"/>
              <w:rPr>
                <w:b/>
                <w:sz w:val="18"/>
              </w:rPr>
            </w:pPr>
          </w:p>
          <w:p>
            <w:pPr>
              <w:pStyle w:val="TableParagraph"/>
              <w:ind w:left="83"/>
              <w:rPr>
                <w:b/>
                <w:sz w:val="18"/>
              </w:rPr>
            </w:pPr>
            <w:r>
              <w:rPr>
                <w:b/>
                <w:color w:val="FFFFFF"/>
                <w:spacing w:val="-2"/>
                <w:sz w:val="18"/>
              </w:rPr>
              <w:t>Interventions</w:t>
            </w:r>
          </w:p>
        </w:tc>
        <w:tc>
          <w:tcPr>
            <w:tcW w:w="3789" w:type="dxa"/>
            <w:tcBorders>
              <w:left w:val="single" w:sz="4" w:space="0" w:color="FFFFFF"/>
              <w:right w:val="nil"/>
            </w:tcBorders>
            <w:shd w:val="clear" w:color="auto" w:fill="A7A9AC"/>
          </w:tcPr>
          <w:p>
            <w:pPr>
              <w:pStyle w:val="TableParagraph"/>
              <w:spacing w:before="79"/>
              <w:rPr>
                <w:b/>
                <w:sz w:val="18"/>
              </w:rPr>
            </w:pPr>
          </w:p>
          <w:p>
            <w:pPr>
              <w:pStyle w:val="TableParagraph"/>
              <w:ind w:left="93"/>
              <w:rPr>
                <w:b/>
                <w:sz w:val="18"/>
              </w:rPr>
            </w:pPr>
            <w:r>
              <w:rPr>
                <w:b/>
                <w:color w:val="FFFFFF"/>
                <w:sz w:val="18"/>
              </w:rPr>
              <w:t>Family</w:t>
            </w:r>
            <w:r>
              <w:rPr>
                <w:b/>
                <w:color w:val="FFFFFF"/>
                <w:spacing w:val="-11"/>
                <w:sz w:val="18"/>
              </w:rPr>
              <w:t> </w:t>
            </w:r>
            <w:r>
              <w:rPr>
                <w:b/>
                <w:color w:val="FFFFFF"/>
                <w:sz w:val="18"/>
              </w:rPr>
              <w:t>of</w:t>
            </w:r>
            <w:r>
              <w:rPr>
                <w:b/>
                <w:color w:val="FFFFFF"/>
                <w:spacing w:val="-10"/>
                <w:sz w:val="18"/>
              </w:rPr>
              <w:t> </w:t>
            </w:r>
            <w:r>
              <w:rPr>
                <w:b/>
                <w:color w:val="FFFFFF"/>
                <w:spacing w:val="-2"/>
                <w:sz w:val="18"/>
              </w:rPr>
              <w:t>Measures</w:t>
            </w:r>
          </w:p>
        </w:tc>
        <w:tc>
          <w:tcPr>
            <w:tcW w:w="3698" w:type="dxa"/>
            <w:tcBorders>
              <w:left w:val="nil"/>
              <w:right w:val="single" w:sz="4" w:space="0" w:color="FFFFFF"/>
            </w:tcBorders>
            <w:shd w:val="clear" w:color="auto" w:fill="A7A9AC"/>
          </w:tcPr>
          <w:p>
            <w:pPr>
              <w:pStyle w:val="TableParagraph"/>
              <w:spacing w:line="232" w:lineRule="auto" w:before="191"/>
              <w:ind w:left="1054" w:right="525"/>
              <w:rPr>
                <w:b/>
                <w:sz w:val="18"/>
              </w:rPr>
            </w:pPr>
            <w:r>
              <w:rPr>
                <w:b/>
                <w:color w:val="FFFFFF"/>
                <w:sz w:val="18"/>
              </w:rPr>
              <w:t>Projected</w:t>
            </w:r>
            <w:r>
              <w:rPr>
                <w:b/>
                <w:color w:val="FFFFFF"/>
                <w:spacing w:val="-15"/>
                <w:sz w:val="18"/>
              </w:rPr>
              <w:t> </w:t>
            </w:r>
            <w:r>
              <w:rPr>
                <w:b/>
                <w:color w:val="FFFFFF"/>
                <w:sz w:val="18"/>
              </w:rPr>
              <w:t>(or</w:t>
            </w:r>
            <w:r>
              <w:rPr>
                <w:b/>
                <w:color w:val="FFFFFF"/>
                <w:spacing w:val="-12"/>
                <w:sz w:val="18"/>
              </w:rPr>
              <w:t> </w:t>
            </w:r>
            <w:r>
              <w:rPr>
                <w:b/>
                <w:color w:val="FFFFFF"/>
                <w:sz w:val="18"/>
              </w:rPr>
              <w:t>completed) Year 1 Intervention</w:t>
            </w:r>
          </w:p>
        </w:tc>
        <w:tc>
          <w:tcPr>
            <w:tcW w:w="1756" w:type="dxa"/>
            <w:tcBorders>
              <w:left w:val="single" w:sz="4" w:space="0" w:color="FFFFFF"/>
              <w:right w:val="single" w:sz="4" w:space="0" w:color="FFFFFF"/>
            </w:tcBorders>
            <w:shd w:val="clear" w:color="auto" w:fill="A7A9AC"/>
          </w:tcPr>
          <w:p>
            <w:pPr>
              <w:pStyle w:val="TableParagraph"/>
              <w:spacing w:line="232" w:lineRule="auto" w:before="191"/>
              <w:ind w:left="84" w:right="839"/>
              <w:rPr>
                <w:b/>
                <w:sz w:val="18"/>
              </w:rPr>
            </w:pPr>
            <w:r>
              <w:rPr>
                <w:b/>
                <w:color w:val="FFFFFF"/>
                <w:spacing w:val="-2"/>
                <w:sz w:val="18"/>
              </w:rPr>
              <w:t>Projected </w:t>
            </w:r>
            <w:r>
              <w:rPr>
                <w:b/>
                <w:color w:val="FFFFFF"/>
                <w:sz w:val="18"/>
              </w:rPr>
              <w:t>Year 2</w:t>
            </w:r>
          </w:p>
        </w:tc>
        <w:tc>
          <w:tcPr>
            <w:tcW w:w="1727" w:type="dxa"/>
            <w:tcBorders>
              <w:left w:val="single" w:sz="4" w:space="0" w:color="FFFFFF"/>
              <w:right w:val="single" w:sz="4" w:space="0" w:color="FFFFFF"/>
            </w:tcBorders>
            <w:shd w:val="clear" w:color="auto" w:fill="A7A9AC"/>
          </w:tcPr>
          <w:p>
            <w:pPr>
              <w:pStyle w:val="TableParagraph"/>
              <w:spacing w:line="232" w:lineRule="auto" w:before="191"/>
              <w:ind w:left="85" w:right="176"/>
              <w:rPr>
                <w:b/>
                <w:sz w:val="18"/>
              </w:rPr>
            </w:pPr>
            <w:r>
              <w:rPr>
                <w:b/>
                <w:color w:val="FFFFFF"/>
                <w:spacing w:val="-2"/>
                <w:sz w:val="18"/>
              </w:rPr>
              <w:t>Projected</w:t>
            </w:r>
            <w:r>
              <w:rPr>
                <w:b/>
                <w:color w:val="FFFFFF"/>
                <w:spacing w:val="-13"/>
                <w:sz w:val="18"/>
              </w:rPr>
              <w:t> </w:t>
            </w:r>
            <w:r>
              <w:rPr>
                <w:b/>
                <w:color w:val="FFFFFF"/>
                <w:spacing w:val="-2"/>
                <w:sz w:val="18"/>
              </w:rPr>
              <w:t>Year</w:t>
            </w:r>
            <w:r>
              <w:rPr>
                <w:b/>
                <w:color w:val="FFFFFF"/>
                <w:spacing w:val="-10"/>
                <w:sz w:val="18"/>
              </w:rPr>
              <w:t> </w:t>
            </w:r>
            <w:r>
              <w:rPr>
                <w:b/>
                <w:color w:val="FFFFFF"/>
                <w:spacing w:val="-2"/>
                <w:sz w:val="18"/>
              </w:rPr>
              <w:t>3 Interventions</w:t>
            </w:r>
          </w:p>
        </w:tc>
        <w:tc>
          <w:tcPr>
            <w:tcW w:w="1497" w:type="dxa"/>
            <w:tcBorders>
              <w:left w:val="single" w:sz="4" w:space="0" w:color="FFFFFF"/>
            </w:tcBorders>
            <w:shd w:val="clear" w:color="auto" w:fill="A7A9AC"/>
          </w:tcPr>
          <w:p>
            <w:pPr>
              <w:pStyle w:val="TableParagraph"/>
              <w:spacing w:line="232" w:lineRule="auto" w:before="191"/>
              <w:ind w:left="86"/>
              <w:rPr>
                <w:b/>
                <w:sz w:val="18"/>
              </w:rPr>
            </w:pPr>
            <w:r>
              <w:rPr>
                <w:b/>
                <w:color w:val="FFFFFF"/>
                <w:spacing w:val="-2"/>
                <w:sz w:val="18"/>
              </w:rPr>
              <w:t>Implementation Partner</w:t>
            </w:r>
          </w:p>
        </w:tc>
        <w:tc>
          <w:tcPr>
            <w:tcW w:w="2414" w:type="dxa"/>
            <w:shd w:val="clear" w:color="auto" w:fill="A7A9AC"/>
          </w:tcPr>
          <w:p>
            <w:pPr>
              <w:pStyle w:val="TableParagraph"/>
              <w:spacing w:line="232" w:lineRule="auto" w:before="191"/>
              <w:ind w:left="87" w:right="206"/>
              <w:rPr>
                <w:b/>
                <w:sz w:val="18"/>
              </w:rPr>
            </w:pPr>
            <w:r>
              <w:rPr>
                <w:b/>
                <w:color w:val="FFFFFF"/>
                <w:spacing w:val="-4"/>
                <w:sz w:val="18"/>
              </w:rPr>
              <w:t>Partner</w:t>
            </w:r>
            <w:r>
              <w:rPr>
                <w:b/>
                <w:color w:val="FFFFFF"/>
                <w:spacing w:val="-11"/>
                <w:sz w:val="18"/>
              </w:rPr>
              <w:t> </w:t>
            </w:r>
            <w:r>
              <w:rPr>
                <w:b/>
                <w:color w:val="FFFFFF"/>
                <w:spacing w:val="-4"/>
                <w:sz w:val="18"/>
              </w:rPr>
              <w:t>Role(s)</w:t>
            </w:r>
            <w:r>
              <w:rPr>
                <w:b/>
                <w:color w:val="FFFFFF"/>
                <w:spacing w:val="-8"/>
                <w:sz w:val="18"/>
              </w:rPr>
              <w:t> </w:t>
            </w:r>
            <w:r>
              <w:rPr>
                <w:b/>
                <w:color w:val="FFFFFF"/>
                <w:spacing w:val="-4"/>
                <w:sz w:val="18"/>
              </w:rPr>
              <w:t>and </w:t>
            </w:r>
            <w:r>
              <w:rPr>
                <w:b/>
                <w:color w:val="FFFFFF"/>
                <w:spacing w:val="-2"/>
                <w:sz w:val="18"/>
              </w:rPr>
              <w:t>Resources</w:t>
            </w:r>
          </w:p>
        </w:tc>
      </w:tr>
      <w:tr>
        <w:trPr>
          <w:trHeight w:val="4330" w:hRule="atLeast"/>
        </w:trPr>
        <w:tc>
          <w:tcPr>
            <w:tcW w:w="1180" w:type="dxa"/>
            <w:tcBorders>
              <w:bottom w:val="nil"/>
            </w:tcBorders>
            <w:shd w:val="clear" w:color="auto" w:fill="E6E7E8"/>
          </w:tcPr>
          <w:p>
            <w:pPr>
              <w:pStyle w:val="TableParagraph"/>
              <w:spacing w:line="232" w:lineRule="auto" w:before="101"/>
              <w:ind w:left="89" w:right="87"/>
              <w:rPr>
                <w:sz w:val="18"/>
              </w:rPr>
            </w:pPr>
            <w:r>
              <w:rPr>
                <w:color w:val="105C84"/>
                <w:spacing w:val="-2"/>
                <w:sz w:val="18"/>
              </w:rPr>
              <w:t>Promote Well-Being </w:t>
            </w:r>
            <w:r>
              <w:rPr>
                <w:color w:val="105C84"/>
                <w:sz w:val="18"/>
              </w:rPr>
              <w:t>and</w:t>
            </w:r>
            <w:r>
              <w:rPr>
                <w:color w:val="105C84"/>
                <w:spacing w:val="-13"/>
                <w:sz w:val="18"/>
              </w:rPr>
              <w:t> </w:t>
            </w:r>
            <w:r>
              <w:rPr>
                <w:color w:val="105C84"/>
                <w:sz w:val="18"/>
              </w:rPr>
              <w:t>Prevent Mental and </w:t>
            </w:r>
            <w:r>
              <w:rPr>
                <w:color w:val="105C84"/>
                <w:spacing w:val="-2"/>
                <w:sz w:val="18"/>
              </w:rPr>
              <w:t>Substance </w:t>
            </w:r>
            <w:r>
              <w:rPr>
                <w:color w:val="105C84"/>
                <w:spacing w:val="-4"/>
                <w:sz w:val="18"/>
              </w:rPr>
              <w:t>Use </w:t>
            </w:r>
            <w:r>
              <w:rPr>
                <w:color w:val="105C84"/>
                <w:spacing w:val="-2"/>
                <w:sz w:val="18"/>
              </w:rPr>
              <w:t>Disorders</w:t>
            </w:r>
          </w:p>
        </w:tc>
        <w:tc>
          <w:tcPr>
            <w:tcW w:w="1094" w:type="dxa"/>
            <w:tcBorders>
              <w:bottom w:val="nil"/>
            </w:tcBorders>
          </w:tcPr>
          <w:p>
            <w:pPr>
              <w:pStyle w:val="TableParagraph"/>
              <w:spacing w:line="232" w:lineRule="auto" w:before="100"/>
              <w:ind w:left="90" w:right="82"/>
              <w:rPr>
                <w:sz w:val="18"/>
              </w:rPr>
            </w:pPr>
            <w:r>
              <w:rPr>
                <w:color w:val="105C84"/>
                <w:spacing w:val="-2"/>
                <w:sz w:val="18"/>
              </w:rPr>
              <w:t>Focus</w:t>
            </w:r>
            <w:r>
              <w:rPr>
                <w:color w:val="105C84"/>
                <w:spacing w:val="-11"/>
                <w:sz w:val="18"/>
              </w:rPr>
              <w:t> </w:t>
            </w:r>
            <w:r>
              <w:rPr>
                <w:color w:val="105C84"/>
                <w:spacing w:val="-2"/>
                <w:sz w:val="18"/>
              </w:rPr>
              <w:t>Area </w:t>
            </w:r>
            <w:r>
              <w:rPr>
                <w:color w:val="105C84"/>
                <w:sz w:val="18"/>
              </w:rPr>
              <w:t>2: Prevent Mental</w:t>
            </w:r>
            <w:r>
              <w:rPr>
                <w:color w:val="105C84"/>
                <w:spacing w:val="-13"/>
                <w:sz w:val="18"/>
              </w:rPr>
              <w:t> </w:t>
            </w:r>
            <w:r>
              <w:rPr>
                <w:color w:val="105C84"/>
                <w:sz w:val="18"/>
              </w:rPr>
              <w:t>and </w:t>
            </w:r>
            <w:r>
              <w:rPr>
                <w:color w:val="105C84"/>
                <w:spacing w:val="-2"/>
                <w:sz w:val="18"/>
              </w:rPr>
              <w:t>Substance </w:t>
            </w:r>
            <w:r>
              <w:rPr>
                <w:color w:val="105C84"/>
                <w:spacing w:val="-4"/>
                <w:sz w:val="18"/>
              </w:rPr>
              <w:t>Use </w:t>
            </w:r>
            <w:r>
              <w:rPr>
                <w:color w:val="105C84"/>
                <w:spacing w:val="-2"/>
                <w:sz w:val="18"/>
              </w:rPr>
              <w:t>Disorders</w:t>
            </w:r>
          </w:p>
        </w:tc>
        <w:tc>
          <w:tcPr>
            <w:tcW w:w="1180" w:type="dxa"/>
            <w:tcBorders>
              <w:bottom w:val="nil"/>
            </w:tcBorders>
          </w:tcPr>
          <w:p>
            <w:pPr>
              <w:pStyle w:val="TableParagraph"/>
              <w:spacing w:line="232" w:lineRule="auto" w:before="100"/>
              <w:ind w:left="90" w:right="356"/>
              <w:rPr>
                <w:sz w:val="18"/>
              </w:rPr>
            </w:pPr>
            <w:r>
              <w:rPr>
                <w:color w:val="105C84"/>
                <w:spacing w:val="-2"/>
                <w:sz w:val="18"/>
              </w:rPr>
              <w:t>Goal</w:t>
            </w:r>
            <w:r>
              <w:rPr>
                <w:color w:val="105C84"/>
                <w:spacing w:val="-11"/>
                <w:sz w:val="18"/>
              </w:rPr>
              <w:t> </w:t>
            </w:r>
            <w:r>
              <w:rPr>
                <w:color w:val="105C84"/>
                <w:spacing w:val="-2"/>
                <w:sz w:val="18"/>
              </w:rPr>
              <w:t>2.5: Prevent suicides</w:t>
            </w:r>
          </w:p>
        </w:tc>
        <w:tc>
          <w:tcPr>
            <w:tcW w:w="1324" w:type="dxa"/>
            <w:tcBorders>
              <w:bottom w:val="nil"/>
            </w:tcBorders>
          </w:tcPr>
          <w:p>
            <w:pPr>
              <w:pStyle w:val="TableParagraph"/>
              <w:spacing w:line="232" w:lineRule="auto" w:before="100"/>
              <w:ind w:left="91" w:right="139"/>
              <w:rPr>
                <w:sz w:val="18"/>
              </w:rPr>
            </w:pPr>
            <w:r>
              <w:rPr>
                <w:color w:val="105C84"/>
                <w:spacing w:val="-4"/>
                <w:sz w:val="18"/>
              </w:rPr>
              <w:t>2.5.2:</w:t>
            </w:r>
            <w:r>
              <w:rPr>
                <w:color w:val="105C84"/>
                <w:spacing w:val="-9"/>
                <w:sz w:val="18"/>
              </w:rPr>
              <w:t> </w:t>
            </w:r>
            <w:r>
              <w:rPr>
                <w:color w:val="105C84"/>
                <w:spacing w:val="-4"/>
                <w:sz w:val="18"/>
              </w:rPr>
              <w:t>Reduc</w:t>
            </w:r>
            <w:r>
              <w:rPr>
                <w:color w:val="105C84"/>
                <w:spacing w:val="-4"/>
                <w:sz w:val="18"/>
              </w:rPr>
              <w:t>e</w:t>
            </w:r>
            <w:r>
              <w:rPr>
                <w:color w:val="105C84"/>
                <w:spacing w:val="-4"/>
                <w:sz w:val="18"/>
              </w:rPr>
              <w:t> </w:t>
            </w:r>
            <w:r>
              <w:rPr>
                <w:color w:val="105C84"/>
                <w:sz w:val="18"/>
              </w:rPr>
              <w:t>the age-</w:t>
            </w:r>
            <w:r>
              <w:rPr>
                <w:color w:val="105C84"/>
                <w:spacing w:val="-2"/>
                <w:sz w:val="18"/>
              </w:rPr>
              <w:t>adjusted suicide </w:t>
            </w:r>
            <w:r>
              <w:rPr>
                <w:color w:val="105C84"/>
                <w:sz w:val="18"/>
              </w:rPr>
              <w:t>mortality</w:t>
            </w:r>
            <w:r>
              <w:rPr>
                <w:color w:val="105C84"/>
                <w:spacing w:val="-6"/>
                <w:sz w:val="18"/>
              </w:rPr>
              <w:t> </w:t>
            </w:r>
            <w:r>
              <w:rPr>
                <w:color w:val="105C84"/>
                <w:sz w:val="18"/>
              </w:rPr>
              <w:t>rate by 10% to 7</w:t>
            </w:r>
          </w:p>
          <w:p>
            <w:pPr>
              <w:pStyle w:val="TableParagraph"/>
              <w:spacing w:line="197" w:lineRule="exact"/>
              <w:ind w:left="91"/>
              <w:rPr>
                <w:sz w:val="18"/>
              </w:rPr>
            </w:pPr>
            <w:r>
              <w:rPr>
                <w:color w:val="105C84"/>
                <w:sz w:val="18"/>
              </w:rPr>
              <w:t>per</w:t>
            </w:r>
            <w:r>
              <w:rPr>
                <w:color w:val="105C84"/>
                <w:spacing w:val="3"/>
                <w:sz w:val="18"/>
              </w:rPr>
              <w:t> </w:t>
            </w:r>
            <w:r>
              <w:rPr>
                <w:color w:val="105C84"/>
                <w:spacing w:val="-2"/>
                <w:sz w:val="18"/>
              </w:rPr>
              <w:t>100,000</w:t>
            </w:r>
          </w:p>
        </w:tc>
        <w:tc>
          <w:tcPr>
            <w:tcW w:w="1065" w:type="dxa"/>
            <w:vMerge w:val="restart"/>
          </w:tcPr>
          <w:p>
            <w:pPr>
              <w:pStyle w:val="TableParagraph"/>
              <w:rPr>
                <w:rFonts w:ascii="Times New Roman"/>
                <w:sz w:val="18"/>
              </w:rPr>
            </w:pPr>
          </w:p>
        </w:tc>
        <w:tc>
          <w:tcPr>
            <w:tcW w:w="1641" w:type="dxa"/>
            <w:tcBorders>
              <w:bottom w:val="nil"/>
            </w:tcBorders>
          </w:tcPr>
          <w:p>
            <w:pPr>
              <w:pStyle w:val="TableParagraph"/>
              <w:spacing w:line="232" w:lineRule="auto" w:before="100"/>
              <w:ind w:left="92" w:right="1"/>
              <w:rPr>
                <w:sz w:val="18"/>
              </w:rPr>
            </w:pPr>
            <w:r>
              <w:rPr>
                <w:color w:val="105C84"/>
                <w:sz w:val="18"/>
              </w:rPr>
              <w:t>2.5.4:</w:t>
            </w:r>
            <w:r>
              <w:rPr>
                <w:color w:val="105C84"/>
                <w:spacing w:val="-15"/>
                <w:sz w:val="18"/>
              </w:rPr>
              <w:t> </w:t>
            </w:r>
            <w:r>
              <w:rPr>
                <w:color w:val="105C84"/>
                <w:sz w:val="18"/>
              </w:rPr>
              <w:t>Identify</w:t>
            </w:r>
            <w:r>
              <w:rPr>
                <w:color w:val="105C84"/>
                <w:spacing w:val="-12"/>
                <w:sz w:val="18"/>
              </w:rPr>
              <w:t> </w:t>
            </w:r>
            <w:r>
              <w:rPr>
                <w:color w:val="105C84"/>
                <w:sz w:val="18"/>
              </w:rPr>
              <w:t>and support people </w:t>
            </w:r>
            <w:r>
              <w:rPr>
                <w:color w:val="105C84"/>
                <w:sz w:val="18"/>
              </w:rPr>
              <w:t>at</w:t>
            </w:r>
            <w:r>
              <w:rPr>
                <w:color w:val="105C84"/>
                <w:sz w:val="18"/>
              </w:rPr>
              <w:t> risk: Gatekeeper Training, crisis </w:t>
            </w:r>
            <w:r>
              <w:rPr>
                <w:color w:val="105C84"/>
                <w:spacing w:val="-2"/>
                <w:sz w:val="18"/>
              </w:rPr>
              <w:t>intervention, </w:t>
            </w:r>
            <w:r>
              <w:rPr>
                <w:color w:val="105C84"/>
                <w:sz w:val="18"/>
              </w:rPr>
              <w:t>treatment for people at risk of suicide,</w:t>
            </w:r>
            <w:r>
              <w:rPr>
                <w:color w:val="105C84"/>
                <w:spacing w:val="-13"/>
                <w:sz w:val="18"/>
              </w:rPr>
              <w:t> </w:t>
            </w:r>
            <w:r>
              <w:rPr>
                <w:color w:val="105C84"/>
                <w:sz w:val="18"/>
              </w:rPr>
              <w:t>treatment</w:t>
            </w:r>
            <w:r>
              <w:rPr>
                <w:color w:val="105C84"/>
                <w:sz w:val="18"/>
              </w:rPr>
              <w:t> to prevent</w:t>
            </w:r>
          </w:p>
          <w:p>
            <w:pPr>
              <w:pStyle w:val="TableParagraph"/>
              <w:spacing w:line="232" w:lineRule="auto"/>
              <w:ind w:left="92"/>
              <w:rPr>
                <w:sz w:val="18"/>
              </w:rPr>
            </w:pPr>
            <w:r>
              <w:rPr>
                <w:color w:val="105C84"/>
                <w:spacing w:val="-2"/>
                <w:sz w:val="18"/>
              </w:rPr>
              <w:t>re-attempts, </w:t>
            </w:r>
            <w:r>
              <w:rPr>
                <w:color w:val="105C84"/>
                <w:sz w:val="18"/>
              </w:rPr>
              <w:t>postvention,</w:t>
            </w:r>
            <w:r>
              <w:rPr>
                <w:color w:val="105C84"/>
                <w:spacing w:val="-13"/>
                <w:sz w:val="18"/>
              </w:rPr>
              <w:t> </w:t>
            </w:r>
            <w:r>
              <w:rPr>
                <w:color w:val="105C84"/>
                <w:sz w:val="18"/>
              </w:rPr>
              <w:t>safe reporting and messaging</w:t>
            </w:r>
            <w:r>
              <w:rPr>
                <w:color w:val="105C84"/>
                <w:spacing w:val="-13"/>
                <w:sz w:val="18"/>
              </w:rPr>
              <w:t> </w:t>
            </w:r>
            <w:r>
              <w:rPr>
                <w:color w:val="105C84"/>
                <w:sz w:val="18"/>
              </w:rPr>
              <w:t>about </w:t>
            </w:r>
            <w:r>
              <w:rPr>
                <w:color w:val="105C84"/>
                <w:spacing w:val="-2"/>
                <w:sz w:val="18"/>
              </w:rPr>
              <w:t>suicide</w:t>
            </w:r>
          </w:p>
        </w:tc>
        <w:tc>
          <w:tcPr>
            <w:tcW w:w="3789" w:type="dxa"/>
            <w:tcBorders>
              <w:right w:val="nil"/>
            </w:tcBorders>
          </w:tcPr>
          <w:p>
            <w:pPr>
              <w:pStyle w:val="TableParagraph"/>
              <w:spacing w:line="232" w:lineRule="auto" w:before="100"/>
              <w:ind w:left="93" w:right="1374"/>
              <w:jc w:val="both"/>
              <w:rPr>
                <w:sz w:val="18"/>
              </w:rPr>
            </w:pPr>
            <w:r>
              <w:rPr>
                <w:color w:val="105C84"/>
                <w:sz w:val="18"/>
              </w:rPr>
              <w:t>#</w:t>
            </w:r>
            <w:r>
              <w:rPr>
                <w:color w:val="105C84"/>
                <w:spacing w:val="-9"/>
                <w:sz w:val="18"/>
              </w:rPr>
              <w:t> </w:t>
            </w:r>
            <w:r>
              <w:rPr>
                <w:color w:val="105C84"/>
                <w:sz w:val="18"/>
              </w:rPr>
              <w:t>providers</w:t>
            </w:r>
            <w:r>
              <w:rPr>
                <w:color w:val="105C84"/>
                <w:spacing w:val="-9"/>
                <w:sz w:val="18"/>
              </w:rPr>
              <w:t> </w:t>
            </w:r>
            <w:r>
              <w:rPr>
                <w:color w:val="105C84"/>
                <w:sz w:val="18"/>
              </w:rPr>
              <w:t>receiving</w:t>
            </w:r>
            <w:r>
              <w:rPr>
                <w:color w:val="105C84"/>
                <w:spacing w:val="-9"/>
                <w:sz w:val="18"/>
              </w:rPr>
              <w:t> </w:t>
            </w:r>
            <w:r>
              <w:rPr>
                <w:color w:val="105C84"/>
                <w:sz w:val="18"/>
              </w:rPr>
              <w:t>training related to suicide prevention </w:t>
            </w:r>
            <w:r>
              <w:rPr>
                <w:color w:val="105C84"/>
                <w:spacing w:val="-2"/>
                <w:sz w:val="18"/>
              </w:rPr>
              <w:t>(OOH)</w:t>
            </w:r>
          </w:p>
          <w:p>
            <w:pPr>
              <w:pStyle w:val="TableParagraph"/>
              <w:spacing w:line="232" w:lineRule="auto" w:before="88"/>
              <w:ind w:left="93" w:right="1193"/>
              <w:rPr>
                <w:sz w:val="18"/>
              </w:rPr>
            </w:pPr>
            <w:r>
              <w:rPr>
                <w:color w:val="105C84"/>
                <w:sz w:val="18"/>
              </w:rPr>
              <w:t># of behavior health referrals made</w:t>
            </w:r>
            <w:r>
              <w:rPr>
                <w:color w:val="105C84"/>
                <w:spacing w:val="-1"/>
                <w:sz w:val="18"/>
              </w:rPr>
              <w:t> </w:t>
            </w:r>
            <w:r>
              <w:rPr>
                <w:color w:val="105C84"/>
                <w:sz w:val="18"/>
              </w:rPr>
              <w:t>from</w:t>
            </w:r>
            <w:r>
              <w:rPr>
                <w:color w:val="105C84"/>
                <w:spacing w:val="-1"/>
                <w:sz w:val="18"/>
              </w:rPr>
              <w:t> </w:t>
            </w:r>
            <w:r>
              <w:rPr>
                <w:color w:val="105C84"/>
                <w:sz w:val="18"/>
              </w:rPr>
              <w:t>the</w:t>
            </w:r>
            <w:r>
              <w:rPr>
                <w:color w:val="105C84"/>
                <w:spacing w:val="-1"/>
                <w:sz w:val="18"/>
              </w:rPr>
              <w:t> </w:t>
            </w:r>
            <w:r>
              <w:rPr>
                <w:color w:val="105C84"/>
                <w:sz w:val="18"/>
              </w:rPr>
              <w:t>office</w:t>
            </w:r>
            <w:r>
              <w:rPr>
                <w:color w:val="105C84"/>
                <w:spacing w:val="-1"/>
                <w:sz w:val="18"/>
              </w:rPr>
              <w:t> </w:t>
            </w:r>
            <w:r>
              <w:rPr>
                <w:color w:val="105C84"/>
                <w:sz w:val="18"/>
              </w:rPr>
              <w:t>(including in-house BH and outside </w:t>
            </w:r>
            <w:r>
              <w:rPr>
                <w:color w:val="105C84"/>
                <w:spacing w:val="-2"/>
                <w:sz w:val="18"/>
              </w:rPr>
              <w:t>referrals)</w:t>
            </w:r>
          </w:p>
        </w:tc>
        <w:tc>
          <w:tcPr>
            <w:tcW w:w="3698" w:type="dxa"/>
            <w:tcBorders>
              <w:left w:val="nil"/>
            </w:tcBorders>
          </w:tcPr>
          <w:p>
            <w:pPr>
              <w:pStyle w:val="TableParagraph"/>
              <w:spacing w:line="232" w:lineRule="auto" w:before="100"/>
              <w:ind w:left="1054" w:right="67"/>
              <w:rPr>
                <w:sz w:val="18"/>
              </w:rPr>
            </w:pPr>
            <w:r>
              <w:rPr>
                <w:color w:val="105C84"/>
                <w:sz w:val="18"/>
              </w:rPr>
              <w:t>Oak</w:t>
            </w:r>
            <w:r>
              <w:rPr>
                <w:color w:val="105C84"/>
                <w:spacing w:val="-2"/>
                <w:sz w:val="18"/>
              </w:rPr>
              <w:t> </w:t>
            </w:r>
            <w:r>
              <w:rPr>
                <w:color w:val="105C84"/>
                <w:sz w:val="18"/>
              </w:rPr>
              <w:t>Orchard</w:t>
            </w:r>
            <w:r>
              <w:rPr>
                <w:color w:val="105C84"/>
                <w:spacing w:val="-2"/>
                <w:sz w:val="18"/>
              </w:rPr>
              <w:t> </w:t>
            </w:r>
            <w:r>
              <w:rPr>
                <w:color w:val="105C84"/>
                <w:sz w:val="18"/>
              </w:rPr>
              <w:t>completed</w:t>
            </w:r>
            <w:r>
              <w:rPr>
                <w:color w:val="105C84"/>
                <w:spacing w:val="-2"/>
                <w:sz w:val="18"/>
              </w:rPr>
              <w:t> </w:t>
            </w:r>
            <w:r>
              <w:rPr>
                <w:color w:val="105C84"/>
                <w:sz w:val="18"/>
              </w:rPr>
              <w:t>suicide </w:t>
            </w:r>
            <w:r>
              <w:rPr>
                <w:color w:val="105C84"/>
                <w:w w:val="105"/>
                <w:sz w:val="18"/>
              </w:rPr>
              <w:t>prevention training, "Suicide Safer Care" and this training was</w:t>
            </w:r>
            <w:r>
              <w:rPr>
                <w:color w:val="105C84"/>
                <w:spacing w:val="-8"/>
                <w:w w:val="105"/>
                <w:sz w:val="18"/>
              </w:rPr>
              <w:t> </w:t>
            </w:r>
            <w:r>
              <w:rPr>
                <w:color w:val="105C84"/>
                <w:w w:val="105"/>
                <w:sz w:val="18"/>
              </w:rPr>
              <w:t>skyped</w:t>
            </w:r>
            <w:r>
              <w:rPr>
                <w:color w:val="105C84"/>
                <w:spacing w:val="-8"/>
                <w:w w:val="105"/>
                <w:sz w:val="18"/>
              </w:rPr>
              <w:t> </w:t>
            </w:r>
            <w:r>
              <w:rPr>
                <w:color w:val="105C84"/>
                <w:w w:val="105"/>
                <w:sz w:val="18"/>
              </w:rPr>
              <w:t>out</w:t>
            </w:r>
            <w:r>
              <w:rPr>
                <w:color w:val="105C84"/>
                <w:spacing w:val="-8"/>
                <w:w w:val="105"/>
                <w:sz w:val="18"/>
              </w:rPr>
              <w:t> </w:t>
            </w:r>
            <w:r>
              <w:rPr>
                <w:color w:val="105C84"/>
                <w:w w:val="105"/>
                <w:sz w:val="18"/>
              </w:rPr>
              <w:t>to</w:t>
            </w:r>
            <w:r>
              <w:rPr>
                <w:color w:val="105C84"/>
                <w:spacing w:val="-8"/>
                <w:w w:val="105"/>
                <w:sz w:val="18"/>
              </w:rPr>
              <w:t> </w:t>
            </w:r>
            <w:r>
              <w:rPr>
                <w:color w:val="105C84"/>
                <w:w w:val="105"/>
                <w:sz w:val="18"/>
              </w:rPr>
              <w:t>all</w:t>
            </w:r>
            <w:r>
              <w:rPr>
                <w:color w:val="105C84"/>
                <w:spacing w:val="-8"/>
                <w:w w:val="105"/>
                <w:sz w:val="18"/>
              </w:rPr>
              <w:t> </w:t>
            </w:r>
            <w:r>
              <w:rPr>
                <w:color w:val="105C84"/>
                <w:w w:val="105"/>
                <w:sz w:val="18"/>
              </w:rPr>
              <w:t>locations</w:t>
            </w:r>
          </w:p>
          <w:p>
            <w:pPr>
              <w:pStyle w:val="TableParagraph"/>
              <w:spacing w:line="232" w:lineRule="auto" w:before="87"/>
              <w:ind w:left="1054" w:right="67"/>
              <w:rPr>
                <w:sz w:val="18"/>
              </w:rPr>
            </w:pPr>
            <w:r>
              <w:rPr>
                <w:color w:val="105C84"/>
                <w:sz w:val="18"/>
              </w:rPr>
              <w:t>Behavioral</w:t>
            </w:r>
            <w:r>
              <w:rPr>
                <w:color w:val="105C84"/>
                <w:spacing w:val="-8"/>
                <w:sz w:val="18"/>
              </w:rPr>
              <w:t> </w:t>
            </w:r>
            <w:r>
              <w:rPr>
                <w:color w:val="105C84"/>
                <w:sz w:val="18"/>
              </w:rPr>
              <w:t>Health</w:t>
            </w:r>
            <w:r>
              <w:rPr>
                <w:color w:val="105C84"/>
                <w:spacing w:val="-8"/>
                <w:sz w:val="18"/>
              </w:rPr>
              <w:t> </w:t>
            </w:r>
            <w:r>
              <w:rPr>
                <w:color w:val="105C84"/>
                <w:sz w:val="18"/>
              </w:rPr>
              <w:t>department implemented in office.</w:t>
            </w:r>
          </w:p>
          <w:p>
            <w:pPr>
              <w:pStyle w:val="TableParagraph"/>
              <w:spacing w:line="200" w:lineRule="exact"/>
              <w:ind w:left="1054"/>
              <w:rPr>
                <w:sz w:val="18"/>
              </w:rPr>
            </w:pPr>
            <w:r>
              <w:rPr>
                <w:color w:val="105C84"/>
                <w:spacing w:val="-2"/>
                <w:sz w:val="18"/>
              </w:rPr>
              <w:t>Psychiatrist</w:t>
            </w:r>
            <w:r>
              <w:rPr>
                <w:color w:val="105C84"/>
                <w:spacing w:val="-9"/>
                <w:sz w:val="18"/>
              </w:rPr>
              <w:t> </w:t>
            </w:r>
            <w:r>
              <w:rPr>
                <w:color w:val="105C84"/>
                <w:spacing w:val="-2"/>
                <w:sz w:val="18"/>
              </w:rPr>
              <w:t>in</w:t>
            </w:r>
            <w:r>
              <w:rPr>
                <w:color w:val="105C84"/>
                <w:spacing w:val="-7"/>
                <w:sz w:val="18"/>
              </w:rPr>
              <w:t> </w:t>
            </w:r>
            <w:r>
              <w:rPr>
                <w:color w:val="105C84"/>
                <w:spacing w:val="-2"/>
                <w:sz w:val="18"/>
              </w:rPr>
              <w:t>office</w:t>
            </w:r>
          </w:p>
        </w:tc>
        <w:tc>
          <w:tcPr>
            <w:tcW w:w="1756" w:type="dxa"/>
          </w:tcPr>
          <w:p>
            <w:pPr>
              <w:pStyle w:val="TableParagraph"/>
              <w:spacing w:line="232" w:lineRule="auto" w:before="100"/>
              <w:ind w:left="94" w:right="381"/>
              <w:rPr>
                <w:sz w:val="18"/>
              </w:rPr>
            </w:pPr>
            <w:r>
              <w:rPr>
                <w:color w:val="105C84"/>
                <w:w w:val="105"/>
                <w:sz w:val="18"/>
              </w:rPr>
              <w:t>Implement</w:t>
            </w:r>
            <w:r>
              <w:rPr>
                <w:color w:val="105C84"/>
                <w:spacing w:val="-1"/>
                <w:w w:val="105"/>
                <w:sz w:val="18"/>
              </w:rPr>
              <w:t> </w:t>
            </w:r>
            <w:r>
              <w:rPr>
                <w:color w:val="105C84"/>
                <w:w w:val="105"/>
                <w:sz w:val="18"/>
              </w:rPr>
              <w:t>/ continue</w:t>
            </w:r>
            <w:r>
              <w:rPr>
                <w:color w:val="105C84"/>
                <w:spacing w:val="-1"/>
                <w:w w:val="105"/>
                <w:sz w:val="18"/>
              </w:rPr>
              <w:t> </w:t>
            </w:r>
            <w:r>
              <w:rPr>
                <w:color w:val="105C84"/>
                <w:w w:val="105"/>
                <w:sz w:val="18"/>
              </w:rPr>
              <w:t>to review</w:t>
            </w:r>
            <w:r>
              <w:rPr>
                <w:color w:val="105C84"/>
                <w:spacing w:val="-1"/>
                <w:w w:val="105"/>
                <w:sz w:val="18"/>
              </w:rPr>
              <w:t> </w:t>
            </w:r>
            <w:r>
              <w:rPr>
                <w:color w:val="105C84"/>
                <w:w w:val="105"/>
                <w:sz w:val="18"/>
              </w:rPr>
              <w:t>policy </w:t>
            </w:r>
            <w:r>
              <w:rPr>
                <w:color w:val="105C84"/>
                <w:sz w:val="18"/>
              </w:rPr>
              <w:t>for</w:t>
            </w:r>
            <w:r>
              <w:rPr>
                <w:color w:val="105C84"/>
                <w:spacing w:val="-13"/>
                <w:sz w:val="18"/>
              </w:rPr>
              <w:t> </w:t>
            </w:r>
            <w:r>
              <w:rPr>
                <w:color w:val="105C84"/>
                <w:sz w:val="18"/>
              </w:rPr>
              <w:t>depression </w:t>
            </w:r>
            <w:r>
              <w:rPr>
                <w:color w:val="105C84"/>
                <w:spacing w:val="-2"/>
                <w:w w:val="105"/>
                <w:sz w:val="18"/>
              </w:rPr>
              <w:t>screening</w:t>
            </w:r>
          </w:p>
          <w:p>
            <w:pPr>
              <w:pStyle w:val="TableParagraph"/>
              <w:spacing w:line="232" w:lineRule="auto" w:before="86"/>
              <w:ind w:left="94" w:right="288"/>
              <w:rPr>
                <w:sz w:val="18"/>
              </w:rPr>
            </w:pPr>
            <w:r>
              <w:rPr>
                <w:color w:val="105C84"/>
                <w:sz w:val="18"/>
              </w:rPr>
              <w:t>All</w:t>
            </w:r>
            <w:r>
              <w:rPr>
                <w:color w:val="105C84"/>
                <w:spacing w:val="-15"/>
                <w:sz w:val="18"/>
              </w:rPr>
              <w:t> </w:t>
            </w:r>
            <w:r>
              <w:rPr>
                <w:color w:val="105C84"/>
                <w:sz w:val="18"/>
              </w:rPr>
              <w:t>patients</w:t>
            </w:r>
            <w:r>
              <w:rPr>
                <w:color w:val="105C84"/>
                <w:spacing w:val="-12"/>
                <w:sz w:val="18"/>
              </w:rPr>
              <w:t> </w:t>
            </w:r>
            <w:r>
              <w:rPr>
                <w:color w:val="105C84"/>
                <w:sz w:val="18"/>
              </w:rPr>
              <w:t>are screened for </w:t>
            </w:r>
            <w:r>
              <w:rPr>
                <w:color w:val="105C84"/>
                <w:spacing w:val="-2"/>
                <w:sz w:val="18"/>
              </w:rPr>
              <w:t>depression</w:t>
            </w:r>
          </w:p>
          <w:p>
            <w:pPr>
              <w:pStyle w:val="TableParagraph"/>
              <w:spacing w:line="232" w:lineRule="auto" w:before="87"/>
              <w:ind w:left="94" w:right="206"/>
              <w:rPr>
                <w:sz w:val="18"/>
              </w:rPr>
            </w:pPr>
            <w:r>
              <w:rPr>
                <w:color w:val="105C84"/>
                <w:w w:val="105"/>
                <w:sz w:val="18"/>
              </w:rPr>
              <w:t>Continue</w:t>
            </w:r>
            <w:r>
              <w:rPr>
                <w:color w:val="105C84"/>
                <w:spacing w:val="-1"/>
                <w:w w:val="105"/>
                <w:sz w:val="18"/>
              </w:rPr>
              <w:t> </w:t>
            </w:r>
            <w:r>
              <w:rPr>
                <w:color w:val="105C84"/>
                <w:w w:val="105"/>
                <w:sz w:val="18"/>
              </w:rPr>
              <w:t>to </w:t>
            </w:r>
            <w:r>
              <w:rPr>
                <w:color w:val="105C84"/>
                <w:spacing w:val="-2"/>
                <w:w w:val="105"/>
                <w:sz w:val="18"/>
              </w:rPr>
              <w:t>implement</w:t>
            </w:r>
            <w:r>
              <w:rPr>
                <w:color w:val="105C84"/>
                <w:spacing w:val="-12"/>
                <w:w w:val="105"/>
                <w:sz w:val="18"/>
              </w:rPr>
              <w:t> </w:t>
            </w:r>
            <w:r>
              <w:rPr>
                <w:color w:val="105C84"/>
                <w:spacing w:val="-2"/>
                <w:w w:val="105"/>
                <w:sz w:val="18"/>
              </w:rPr>
              <w:t>"warm </w:t>
            </w:r>
            <w:r>
              <w:rPr>
                <w:color w:val="105C84"/>
                <w:w w:val="105"/>
                <w:sz w:val="18"/>
              </w:rPr>
              <w:t>hand</w:t>
            </w:r>
            <w:r>
              <w:rPr>
                <w:color w:val="105C84"/>
                <w:spacing w:val="-1"/>
                <w:w w:val="105"/>
                <w:sz w:val="18"/>
              </w:rPr>
              <w:t> </w:t>
            </w:r>
            <w:r>
              <w:rPr>
                <w:color w:val="105C84"/>
                <w:w w:val="105"/>
                <w:sz w:val="18"/>
              </w:rPr>
              <w:t>off"</w:t>
            </w:r>
            <w:r>
              <w:rPr>
                <w:color w:val="105C84"/>
                <w:spacing w:val="-1"/>
                <w:w w:val="105"/>
                <w:sz w:val="18"/>
              </w:rPr>
              <w:t> </w:t>
            </w:r>
            <w:r>
              <w:rPr>
                <w:color w:val="105C84"/>
                <w:w w:val="105"/>
                <w:sz w:val="18"/>
              </w:rPr>
              <w:t>with</w:t>
            </w:r>
            <w:r>
              <w:rPr>
                <w:color w:val="105C84"/>
                <w:spacing w:val="-1"/>
                <w:w w:val="105"/>
                <w:sz w:val="18"/>
              </w:rPr>
              <w:t> </w:t>
            </w:r>
            <w:r>
              <w:rPr>
                <w:color w:val="105C84"/>
                <w:w w:val="105"/>
                <w:sz w:val="18"/>
              </w:rPr>
              <w:t>in-house</w:t>
            </w:r>
            <w:r>
              <w:rPr>
                <w:color w:val="105C84"/>
                <w:spacing w:val="-14"/>
                <w:w w:val="105"/>
                <w:sz w:val="18"/>
              </w:rPr>
              <w:t> </w:t>
            </w:r>
            <w:r>
              <w:rPr>
                <w:color w:val="105C84"/>
                <w:w w:val="105"/>
                <w:sz w:val="18"/>
              </w:rPr>
              <w:t>behavioral health</w:t>
            </w:r>
            <w:r>
              <w:rPr>
                <w:color w:val="105C84"/>
                <w:spacing w:val="-1"/>
                <w:w w:val="105"/>
                <w:sz w:val="18"/>
              </w:rPr>
              <w:t> </w:t>
            </w:r>
            <w:r>
              <w:rPr>
                <w:color w:val="105C84"/>
                <w:w w:val="105"/>
                <w:sz w:val="18"/>
              </w:rPr>
              <w:t>providers and offer this service or future appointment</w:t>
            </w:r>
            <w:r>
              <w:rPr>
                <w:color w:val="105C84"/>
                <w:spacing w:val="-1"/>
                <w:w w:val="105"/>
                <w:sz w:val="18"/>
              </w:rPr>
              <w:t> </w:t>
            </w:r>
            <w:r>
              <w:rPr>
                <w:color w:val="105C84"/>
                <w:w w:val="105"/>
                <w:sz w:val="18"/>
              </w:rPr>
              <w:t>or outside</w:t>
            </w:r>
            <w:r>
              <w:rPr>
                <w:color w:val="105C84"/>
                <w:spacing w:val="-1"/>
                <w:w w:val="105"/>
                <w:sz w:val="18"/>
              </w:rPr>
              <w:t> </w:t>
            </w:r>
            <w:r>
              <w:rPr>
                <w:color w:val="105C84"/>
                <w:w w:val="105"/>
                <w:sz w:val="18"/>
              </w:rPr>
              <w:t>referral</w:t>
            </w:r>
          </w:p>
          <w:p>
            <w:pPr>
              <w:pStyle w:val="TableParagraph"/>
              <w:spacing w:line="232" w:lineRule="auto"/>
              <w:ind w:left="94" w:right="204"/>
              <w:rPr>
                <w:sz w:val="18"/>
              </w:rPr>
            </w:pPr>
            <w:r>
              <w:rPr>
                <w:color w:val="105C84"/>
                <w:sz w:val="18"/>
              </w:rPr>
              <w:t>to any patient screening</w:t>
            </w:r>
            <w:r>
              <w:rPr>
                <w:color w:val="105C84"/>
                <w:spacing w:val="-13"/>
                <w:sz w:val="18"/>
              </w:rPr>
              <w:t> </w:t>
            </w:r>
            <w:r>
              <w:rPr>
                <w:color w:val="105C84"/>
                <w:sz w:val="18"/>
              </w:rPr>
              <w:t>positive for depression</w:t>
            </w:r>
          </w:p>
        </w:tc>
        <w:tc>
          <w:tcPr>
            <w:tcW w:w="1727" w:type="dxa"/>
          </w:tcPr>
          <w:p>
            <w:pPr>
              <w:pStyle w:val="TableParagraph"/>
              <w:spacing w:line="232" w:lineRule="auto" w:before="99"/>
              <w:ind w:left="95" w:right="351"/>
              <w:rPr>
                <w:sz w:val="18"/>
              </w:rPr>
            </w:pPr>
            <w:r>
              <w:rPr>
                <w:color w:val="105C84"/>
                <w:w w:val="105"/>
                <w:sz w:val="18"/>
              </w:rPr>
              <w:t>Implement</w:t>
            </w:r>
            <w:r>
              <w:rPr>
                <w:color w:val="105C84"/>
                <w:spacing w:val="-1"/>
                <w:w w:val="105"/>
                <w:sz w:val="18"/>
              </w:rPr>
              <w:t> </w:t>
            </w:r>
            <w:r>
              <w:rPr>
                <w:color w:val="105C84"/>
                <w:w w:val="105"/>
                <w:sz w:val="18"/>
              </w:rPr>
              <w:t>/ continue</w:t>
            </w:r>
            <w:r>
              <w:rPr>
                <w:color w:val="105C84"/>
                <w:spacing w:val="-1"/>
                <w:w w:val="105"/>
                <w:sz w:val="18"/>
              </w:rPr>
              <w:t> </w:t>
            </w:r>
            <w:r>
              <w:rPr>
                <w:color w:val="105C84"/>
                <w:w w:val="105"/>
                <w:sz w:val="18"/>
              </w:rPr>
              <w:t>to review</w:t>
            </w:r>
            <w:r>
              <w:rPr>
                <w:color w:val="105C84"/>
                <w:spacing w:val="-1"/>
                <w:w w:val="105"/>
                <w:sz w:val="18"/>
              </w:rPr>
              <w:t> </w:t>
            </w:r>
            <w:r>
              <w:rPr>
                <w:color w:val="105C84"/>
                <w:w w:val="105"/>
                <w:sz w:val="18"/>
              </w:rPr>
              <w:t>policy </w:t>
            </w:r>
            <w:r>
              <w:rPr>
                <w:color w:val="105C84"/>
                <w:sz w:val="18"/>
              </w:rPr>
              <w:t>for</w:t>
            </w:r>
            <w:r>
              <w:rPr>
                <w:color w:val="105C84"/>
                <w:spacing w:val="-13"/>
                <w:sz w:val="18"/>
              </w:rPr>
              <w:t> </w:t>
            </w:r>
            <w:r>
              <w:rPr>
                <w:color w:val="105C84"/>
                <w:sz w:val="18"/>
              </w:rPr>
              <w:t>depression </w:t>
            </w:r>
            <w:r>
              <w:rPr>
                <w:color w:val="105C84"/>
                <w:spacing w:val="-2"/>
                <w:w w:val="105"/>
                <w:sz w:val="18"/>
              </w:rPr>
              <w:t>screening.</w:t>
            </w:r>
            <w:r>
              <w:rPr>
                <w:color w:val="105C84"/>
                <w:spacing w:val="7"/>
                <w:w w:val="105"/>
                <w:sz w:val="18"/>
              </w:rPr>
              <w:t> </w:t>
            </w:r>
            <w:r>
              <w:rPr>
                <w:color w:val="105C84"/>
                <w:spacing w:val="-2"/>
                <w:w w:val="105"/>
                <w:sz w:val="18"/>
              </w:rPr>
              <w:t>All </w:t>
            </w:r>
            <w:r>
              <w:rPr>
                <w:color w:val="105C84"/>
                <w:w w:val="105"/>
                <w:sz w:val="18"/>
              </w:rPr>
              <w:t>patients</w:t>
            </w:r>
            <w:r>
              <w:rPr>
                <w:color w:val="105C84"/>
                <w:spacing w:val="-1"/>
                <w:w w:val="105"/>
                <w:sz w:val="18"/>
              </w:rPr>
              <w:t> </w:t>
            </w:r>
            <w:r>
              <w:rPr>
                <w:color w:val="105C84"/>
                <w:w w:val="105"/>
                <w:sz w:val="18"/>
              </w:rPr>
              <w:t>are screened</w:t>
            </w:r>
            <w:r>
              <w:rPr>
                <w:color w:val="105C84"/>
                <w:spacing w:val="-1"/>
                <w:w w:val="105"/>
                <w:sz w:val="18"/>
              </w:rPr>
              <w:t> </w:t>
            </w:r>
            <w:r>
              <w:rPr>
                <w:color w:val="105C84"/>
                <w:w w:val="105"/>
                <w:sz w:val="18"/>
              </w:rPr>
              <w:t>for </w:t>
            </w:r>
            <w:r>
              <w:rPr>
                <w:color w:val="105C84"/>
                <w:spacing w:val="-2"/>
                <w:w w:val="105"/>
                <w:sz w:val="18"/>
              </w:rPr>
              <w:t>depression</w:t>
            </w:r>
          </w:p>
          <w:p>
            <w:pPr>
              <w:pStyle w:val="TableParagraph"/>
              <w:spacing w:line="232" w:lineRule="auto" w:before="84"/>
              <w:ind w:left="95" w:right="176"/>
              <w:rPr>
                <w:sz w:val="18"/>
              </w:rPr>
            </w:pPr>
            <w:r>
              <w:rPr>
                <w:color w:val="105C84"/>
                <w:w w:val="105"/>
                <w:sz w:val="18"/>
              </w:rPr>
              <w:t>Continue</w:t>
            </w:r>
            <w:r>
              <w:rPr>
                <w:color w:val="105C84"/>
                <w:spacing w:val="-1"/>
                <w:w w:val="105"/>
                <w:sz w:val="18"/>
              </w:rPr>
              <w:t> </w:t>
            </w:r>
            <w:r>
              <w:rPr>
                <w:color w:val="105C84"/>
                <w:w w:val="105"/>
                <w:sz w:val="18"/>
              </w:rPr>
              <w:t>to </w:t>
            </w:r>
            <w:r>
              <w:rPr>
                <w:color w:val="105C84"/>
                <w:spacing w:val="-2"/>
                <w:w w:val="105"/>
                <w:sz w:val="18"/>
              </w:rPr>
              <w:t>implement</w:t>
            </w:r>
            <w:r>
              <w:rPr>
                <w:color w:val="105C84"/>
                <w:spacing w:val="-12"/>
                <w:w w:val="105"/>
                <w:sz w:val="18"/>
              </w:rPr>
              <w:t> </w:t>
            </w:r>
            <w:r>
              <w:rPr>
                <w:color w:val="105C84"/>
                <w:spacing w:val="-2"/>
                <w:w w:val="105"/>
                <w:sz w:val="18"/>
              </w:rPr>
              <w:t>"warm </w:t>
            </w:r>
            <w:r>
              <w:rPr>
                <w:color w:val="105C84"/>
                <w:w w:val="105"/>
                <w:sz w:val="18"/>
              </w:rPr>
              <w:t>hand</w:t>
            </w:r>
            <w:r>
              <w:rPr>
                <w:color w:val="105C84"/>
                <w:spacing w:val="-1"/>
                <w:w w:val="105"/>
                <w:sz w:val="18"/>
              </w:rPr>
              <w:t> </w:t>
            </w:r>
            <w:r>
              <w:rPr>
                <w:color w:val="105C84"/>
                <w:w w:val="105"/>
                <w:sz w:val="18"/>
              </w:rPr>
              <w:t>off"</w:t>
            </w:r>
            <w:r>
              <w:rPr>
                <w:color w:val="105C84"/>
                <w:spacing w:val="-1"/>
                <w:w w:val="105"/>
                <w:sz w:val="18"/>
              </w:rPr>
              <w:t> </w:t>
            </w:r>
            <w:r>
              <w:rPr>
                <w:color w:val="105C84"/>
                <w:w w:val="105"/>
                <w:sz w:val="18"/>
              </w:rPr>
              <w:t>with</w:t>
            </w:r>
            <w:r>
              <w:rPr>
                <w:color w:val="105C84"/>
                <w:spacing w:val="-1"/>
                <w:w w:val="105"/>
                <w:sz w:val="18"/>
              </w:rPr>
              <w:t> </w:t>
            </w:r>
            <w:r>
              <w:rPr>
                <w:color w:val="105C84"/>
                <w:w w:val="105"/>
                <w:sz w:val="18"/>
              </w:rPr>
              <w:t>in-house</w:t>
            </w:r>
            <w:r>
              <w:rPr>
                <w:color w:val="105C84"/>
                <w:spacing w:val="-14"/>
                <w:w w:val="105"/>
                <w:sz w:val="18"/>
              </w:rPr>
              <w:t> </w:t>
            </w:r>
            <w:r>
              <w:rPr>
                <w:color w:val="105C84"/>
                <w:w w:val="105"/>
                <w:sz w:val="18"/>
              </w:rPr>
              <w:t>behavioral health</w:t>
            </w:r>
            <w:r>
              <w:rPr>
                <w:color w:val="105C84"/>
                <w:spacing w:val="-1"/>
                <w:w w:val="105"/>
                <w:sz w:val="18"/>
              </w:rPr>
              <w:t> </w:t>
            </w:r>
            <w:r>
              <w:rPr>
                <w:color w:val="105C84"/>
                <w:w w:val="105"/>
                <w:sz w:val="18"/>
              </w:rPr>
              <w:t>providers and offer this service or future appointment</w:t>
            </w:r>
            <w:r>
              <w:rPr>
                <w:color w:val="105C84"/>
                <w:spacing w:val="-1"/>
                <w:w w:val="105"/>
                <w:sz w:val="18"/>
              </w:rPr>
              <w:t> </w:t>
            </w:r>
            <w:r>
              <w:rPr>
                <w:color w:val="105C84"/>
                <w:w w:val="105"/>
                <w:sz w:val="18"/>
              </w:rPr>
              <w:t>or outside</w:t>
            </w:r>
            <w:r>
              <w:rPr>
                <w:color w:val="105C84"/>
                <w:spacing w:val="-1"/>
                <w:w w:val="105"/>
                <w:sz w:val="18"/>
              </w:rPr>
              <w:t> </w:t>
            </w:r>
            <w:r>
              <w:rPr>
                <w:color w:val="105C84"/>
                <w:w w:val="105"/>
                <w:sz w:val="18"/>
              </w:rPr>
              <w:t>referral</w:t>
            </w:r>
          </w:p>
          <w:p>
            <w:pPr>
              <w:pStyle w:val="TableParagraph"/>
              <w:spacing w:line="232" w:lineRule="auto"/>
              <w:ind w:left="95" w:right="174"/>
              <w:rPr>
                <w:sz w:val="18"/>
              </w:rPr>
            </w:pPr>
            <w:r>
              <w:rPr>
                <w:color w:val="105C84"/>
                <w:sz w:val="18"/>
              </w:rPr>
              <w:t>to any patient screening</w:t>
            </w:r>
            <w:r>
              <w:rPr>
                <w:color w:val="105C84"/>
                <w:spacing w:val="-13"/>
                <w:sz w:val="18"/>
              </w:rPr>
              <w:t> </w:t>
            </w:r>
            <w:r>
              <w:rPr>
                <w:color w:val="105C84"/>
                <w:sz w:val="18"/>
              </w:rPr>
              <w:t>positive for depression</w:t>
            </w:r>
          </w:p>
        </w:tc>
        <w:tc>
          <w:tcPr>
            <w:tcW w:w="1497" w:type="dxa"/>
            <w:tcBorders>
              <w:bottom w:val="nil"/>
            </w:tcBorders>
          </w:tcPr>
          <w:p>
            <w:pPr>
              <w:pStyle w:val="TableParagraph"/>
              <w:spacing w:line="232" w:lineRule="auto" w:before="99"/>
              <w:ind w:left="96"/>
              <w:rPr>
                <w:sz w:val="18"/>
              </w:rPr>
            </w:pPr>
            <w:r>
              <w:rPr>
                <w:color w:val="105C84"/>
                <w:spacing w:val="-2"/>
                <w:sz w:val="18"/>
              </w:rPr>
              <w:t>Community-based organizations</w:t>
            </w:r>
          </w:p>
        </w:tc>
        <w:tc>
          <w:tcPr>
            <w:tcW w:w="2414" w:type="dxa"/>
          </w:tcPr>
          <w:p>
            <w:pPr>
              <w:pStyle w:val="TableParagraph"/>
              <w:spacing w:line="232" w:lineRule="auto" w:before="99"/>
              <w:ind w:left="96" w:right="206"/>
              <w:rPr>
                <w:sz w:val="18"/>
              </w:rPr>
            </w:pPr>
            <w:r>
              <w:rPr>
                <w:color w:val="105C84"/>
                <w:sz w:val="18"/>
              </w:rPr>
              <w:t>Oak Orchard Health has an established protocol </w:t>
            </w:r>
            <w:r>
              <w:rPr>
                <w:color w:val="105C84"/>
                <w:sz w:val="18"/>
              </w:rPr>
              <w:t>to</w:t>
            </w:r>
          </w:p>
          <w:p>
            <w:pPr>
              <w:pStyle w:val="TableParagraph"/>
              <w:spacing w:line="232" w:lineRule="auto"/>
              <w:ind w:left="96" w:right="113"/>
              <w:rPr>
                <w:sz w:val="18"/>
              </w:rPr>
            </w:pPr>
            <w:r>
              <w:rPr>
                <w:color w:val="105C84"/>
                <w:sz w:val="18"/>
              </w:rPr>
              <w:t>screen</w:t>
            </w:r>
            <w:r>
              <w:rPr>
                <w:color w:val="105C84"/>
                <w:spacing w:val="-13"/>
                <w:sz w:val="18"/>
              </w:rPr>
              <w:t> </w:t>
            </w:r>
            <w:r>
              <w:rPr>
                <w:color w:val="105C84"/>
                <w:sz w:val="18"/>
              </w:rPr>
              <w:t>for</w:t>
            </w:r>
            <w:r>
              <w:rPr>
                <w:color w:val="105C84"/>
                <w:spacing w:val="-12"/>
                <w:sz w:val="18"/>
              </w:rPr>
              <w:t> </w:t>
            </w:r>
            <w:r>
              <w:rPr>
                <w:color w:val="105C84"/>
                <w:sz w:val="18"/>
              </w:rPr>
              <w:t>depression</w:t>
            </w:r>
            <w:r>
              <w:rPr>
                <w:color w:val="105C84"/>
                <w:spacing w:val="-13"/>
                <w:sz w:val="18"/>
              </w:rPr>
              <w:t> </w:t>
            </w:r>
            <w:r>
              <w:rPr>
                <w:color w:val="105C84"/>
                <w:sz w:val="18"/>
              </w:rPr>
              <w:t>using PHQ-2, reflex to PHQ-9 in all patients 12+</w:t>
            </w:r>
          </w:p>
          <w:p>
            <w:pPr>
              <w:pStyle w:val="TableParagraph"/>
              <w:spacing w:line="232" w:lineRule="auto" w:before="86"/>
              <w:ind w:left="96" w:right="206"/>
              <w:rPr>
                <w:sz w:val="18"/>
              </w:rPr>
            </w:pPr>
            <w:r>
              <w:rPr>
                <w:color w:val="105C84"/>
                <w:spacing w:val="-2"/>
                <w:sz w:val="18"/>
              </w:rPr>
              <w:t>Peds</w:t>
            </w:r>
            <w:r>
              <w:rPr>
                <w:color w:val="105C84"/>
                <w:spacing w:val="-11"/>
                <w:sz w:val="18"/>
              </w:rPr>
              <w:t> </w:t>
            </w:r>
            <w:r>
              <w:rPr>
                <w:color w:val="105C84"/>
                <w:spacing w:val="-2"/>
                <w:sz w:val="18"/>
              </w:rPr>
              <w:t>providers</w:t>
            </w:r>
            <w:r>
              <w:rPr>
                <w:color w:val="105C84"/>
                <w:spacing w:val="-10"/>
                <w:sz w:val="18"/>
              </w:rPr>
              <w:t> </w:t>
            </w:r>
            <w:r>
              <w:rPr>
                <w:color w:val="105C84"/>
                <w:spacing w:val="-2"/>
                <w:sz w:val="18"/>
              </w:rPr>
              <w:t>are</w:t>
            </w:r>
            <w:r>
              <w:rPr>
                <w:color w:val="105C84"/>
                <w:spacing w:val="-11"/>
                <w:sz w:val="18"/>
              </w:rPr>
              <w:t> </w:t>
            </w:r>
            <w:r>
              <w:rPr>
                <w:color w:val="105C84"/>
                <w:spacing w:val="-2"/>
                <w:sz w:val="18"/>
              </w:rPr>
              <w:t>asking </w:t>
            </w:r>
            <w:r>
              <w:rPr>
                <w:color w:val="105C84"/>
                <w:sz w:val="18"/>
              </w:rPr>
              <w:t>at well visits age 12-17 and</w:t>
            </w:r>
            <w:r>
              <w:rPr>
                <w:color w:val="105C84"/>
                <w:spacing w:val="-1"/>
                <w:sz w:val="18"/>
              </w:rPr>
              <w:t> </w:t>
            </w:r>
            <w:r>
              <w:rPr>
                <w:color w:val="105C84"/>
                <w:sz w:val="18"/>
              </w:rPr>
              <w:t>nurses</w:t>
            </w:r>
            <w:r>
              <w:rPr>
                <w:color w:val="105C84"/>
                <w:spacing w:val="-1"/>
                <w:sz w:val="18"/>
              </w:rPr>
              <w:t> </w:t>
            </w:r>
            <w:r>
              <w:rPr>
                <w:color w:val="105C84"/>
                <w:sz w:val="18"/>
              </w:rPr>
              <w:t>are</w:t>
            </w:r>
            <w:r>
              <w:rPr>
                <w:color w:val="105C84"/>
                <w:spacing w:val="-1"/>
                <w:sz w:val="18"/>
              </w:rPr>
              <w:t> </w:t>
            </w:r>
            <w:r>
              <w:rPr>
                <w:color w:val="105C84"/>
                <w:sz w:val="18"/>
              </w:rPr>
              <w:t>asking</w:t>
            </w:r>
            <w:r>
              <w:rPr>
                <w:color w:val="105C84"/>
                <w:spacing w:val="-1"/>
                <w:sz w:val="18"/>
              </w:rPr>
              <w:t> </w:t>
            </w:r>
            <w:r>
              <w:rPr>
                <w:color w:val="105C84"/>
                <w:sz w:val="18"/>
              </w:rPr>
              <w:t>all patients 18+ at any visit</w:t>
            </w:r>
          </w:p>
          <w:p>
            <w:pPr>
              <w:pStyle w:val="TableParagraph"/>
              <w:spacing w:line="232" w:lineRule="auto" w:before="87"/>
              <w:ind w:left="96" w:right="156"/>
              <w:rPr>
                <w:sz w:val="18"/>
              </w:rPr>
            </w:pPr>
            <w:r>
              <w:rPr>
                <w:color w:val="105C84"/>
                <w:sz w:val="18"/>
              </w:rPr>
              <w:t>Patients with depression/ anxiety are automatically given</w:t>
            </w:r>
            <w:r>
              <w:rPr>
                <w:color w:val="105C84"/>
                <w:spacing w:val="-10"/>
                <w:sz w:val="18"/>
              </w:rPr>
              <w:t> </w:t>
            </w:r>
            <w:r>
              <w:rPr>
                <w:color w:val="105C84"/>
                <w:sz w:val="18"/>
              </w:rPr>
              <w:t>the</w:t>
            </w:r>
            <w:r>
              <w:rPr>
                <w:color w:val="105C84"/>
                <w:spacing w:val="-10"/>
                <w:sz w:val="18"/>
              </w:rPr>
              <w:t> </w:t>
            </w:r>
            <w:r>
              <w:rPr>
                <w:color w:val="105C84"/>
                <w:sz w:val="18"/>
              </w:rPr>
              <w:t>GAD-7</w:t>
            </w:r>
            <w:r>
              <w:rPr>
                <w:color w:val="105C84"/>
                <w:spacing w:val="-10"/>
                <w:sz w:val="18"/>
              </w:rPr>
              <w:t> </w:t>
            </w:r>
            <w:r>
              <w:rPr>
                <w:color w:val="105C84"/>
                <w:sz w:val="18"/>
              </w:rPr>
              <w:t>or</w:t>
            </w:r>
            <w:r>
              <w:rPr>
                <w:color w:val="105C84"/>
                <w:spacing w:val="-10"/>
                <w:sz w:val="18"/>
              </w:rPr>
              <w:t> </w:t>
            </w:r>
            <w:r>
              <w:rPr>
                <w:color w:val="105C84"/>
                <w:sz w:val="18"/>
              </w:rPr>
              <w:t>PHQ-</w:t>
            </w:r>
            <w:r>
              <w:rPr>
                <w:color w:val="105C84"/>
                <w:sz w:val="18"/>
              </w:rPr>
              <w:t>9 (depending on diagnosis) at follow up visits</w:t>
            </w:r>
          </w:p>
          <w:p>
            <w:pPr>
              <w:pStyle w:val="TableParagraph"/>
              <w:spacing w:line="232" w:lineRule="auto" w:before="86"/>
              <w:ind w:left="96" w:right="206"/>
              <w:rPr>
                <w:sz w:val="18"/>
              </w:rPr>
            </w:pPr>
            <w:r>
              <w:rPr>
                <w:color w:val="105C84"/>
                <w:sz w:val="18"/>
              </w:rPr>
              <w:t>Their collaborative care model with Behavior Health</w:t>
            </w:r>
            <w:r>
              <w:rPr>
                <w:color w:val="105C84"/>
                <w:spacing w:val="-15"/>
                <w:sz w:val="18"/>
              </w:rPr>
              <w:t> </w:t>
            </w:r>
            <w:r>
              <w:rPr>
                <w:color w:val="105C84"/>
                <w:sz w:val="18"/>
              </w:rPr>
              <w:t>is</w:t>
            </w:r>
            <w:r>
              <w:rPr>
                <w:color w:val="105C84"/>
                <w:spacing w:val="-12"/>
                <w:sz w:val="18"/>
              </w:rPr>
              <w:t> </w:t>
            </w:r>
            <w:r>
              <w:rPr>
                <w:color w:val="105C84"/>
                <w:sz w:val="18"/>
              </w:rPr>
              <w:t>available</w:t>
            </w:r>
            <w:r>
              <w:rPr>
                <w:color w:val="105C84"/>
                <w:spacing w:val="-13"/>
                <w:sz w:val="18"/>
              </w:rPr>
              <w:t> </w:t>
            </w:r>
            <w:r>
              <w:rPr>
                <w:color w:val="105C84"/>
                <w:sz w:val="18"/>
              </w:rPr>
              <w:t>at</w:t>
            </w:r>
            <w:r>
              <w:rPr>
                <w:color w:val="105C84"/>
                <w:spacing w:val="-12"/>
                <w:sz w:val="18"/>
              </w:rPr>
              <w:t> </w:t>
            </w:r>
            <w:r>
              <w:rPr>
                <w:color w:val="105C84"/>
                <w:sz w:val="18"/>
              </w:rPr>
              <w:t>most locations</w:t>
            </w:r>
            <w:r>
              <w:rPr>
                <w:color w:val="105C84"/>
                <w:spacing w:val="-3"/>
                <w:sz w:val="18"/>
              </w:rPr>
              <w:t> </w:t>
            </w:r>
            <w:r>
              <w:rPr>
                <w:color w:val="105C84"/>
                <w:sz w:val="18"/>
              </w:rPr>
              <w:t>for</w:t>
            </w:r>
            <w:r>
              <w:rPr>
                <w:color w:val="105C84"/>
                <w:spacing w:val="-3"/>
                <w:sz w:val="18"/>
              </w:rPr>
              <w:t> </w:t>
            </w:r>
            <w:r>
              <w:rPr>
                <w:color w:val="105C84"/>
                <w:sz w:val="18"/>
              </w:rPr>
              <w:t>a</w:t>
            </w:r>
            <w:r>
              <w:rPr>
                <w:color w:val="105C84"/>
                <w:spacing w:val="-3"/>
                <w:sz w:val="18"/>
              </w:rPr>
              <w:t> </w:t>
            </w:r>
            <w:r>
              <w:rPr>
                <w:color w:val="105C84"/>
                <w:sz w:val="18"/>
              </w:rPr>
              <w:t>warm</w:t>
            </w:r>
            <w:r>
              <w:rPr>
                <w:color w:val="105C84"/>
                <w:spacing w:val="-3"/>
                <w:sz w:val="18"/>
              </w:rPr>
              <w:t> </w:t>
            </w:r>
            <w:r>
              <w:rPr>
                <w:color w:val="105C84"/>
                <w:sz w:val="18"/>
              </w:rPr>
              <w:t>hand off if needed</w:t>
            </w:r>
          </w:p>
        </w:tc>
      </w:tr>
      <w:tr>
        <w:trPr>
          <w:trHeight w:val="1535" w:hRule="atLeast"/>
        </w:trPr>
        <w:tc>
          <w:tcPr>
            <w:tcW w:w="1180" w:type="dxa"/>
            <w:tcBorders>
              <w:top w:val="nil"/>
              <w:bottom w:val="nil"/>
            </w:tcBorders>
            <w:shd w:val="clear" w:color="auto" w:fill="E6E7E8"/>
          </w:tcPr>
          <w:p>
            <w:pPr>
              <w:pStyle w:val="TableParagraph"/>
              <w:rPr>
                <w:rFonts w:ascii="Times New Roman"/>
                <w:sz w:val="18"/>
              </w:rPr>
            </w:pPr>
          </w:p>
        </w:tc>
        <w:tc>
          <w:tcPr>
            <w:tcW w:w="1094" w:type="dxa"/>
            <w:tcBorders>
              <w:top w:val="nil"/>
              <w:bottom w:val="nil"/>
            </w:tcBorders>
          </w:tcPr>
          <w:p>
            <w:pPr>
              <w:pStyle w:val="TableParagraph"/>
              <w:rPr>
                <w:rFonts w:ascii="Times New Roman"/>
                <w:sz w:val="18"/>
              </w:rPr>
            </w:pPr>
          </w:p>
        </w:tc>
        <w:tc>
          <w:tcPr>
            <w:tcW w:w="1180" w:type="dxa"/>
            <w:tcBorders>
              <w:top w:val="nil"/>
              <w:bottom w:val="nil"/>
            </w:tcBorders>
          </w:tcPr>
          <w:p>
            <w:pPr>
              <w:pStyle w:val="TableParagraph"/>
              <w:rPr>
                <w:rFonts w:ascii="Times New Roman"/>
                <w:sz w:val="18"/>
              </w:rPr>
            </w:pPr>
          </w:p>
        </w:tc>
        <w:tc>
          <w:tcPr>
            <w:tcW w:w="1324" w:type="dxa"/>
            <w:tcBorders>
              <w:top w:val="nil"/>
              <w:bottom w:val="nil"/>
            </w:tcBorders>
          </w:tcPr>
          <w:p>
            <w:pPr>
              <w:pStyle w:val="TableParagraph"/>
              <w:rPr>
                <w:rFonts w:ascii="Times New Roman"/>
                <w:sz w:val="18"/>
              </w:rPr>
            </w:pPr>
          </w:p>
        </w:tc>
        <w:tc>
          <w:tcPr>
            <w:tcW w:w="1065" w:type="dxa"/>
            <w:vMerge/>
            <w:tcBorders>
              <w:top w:val="nil"/>
            </w:tcBorders>
          </w:tcPr>
          <w:p>
            <w:pPr>
              <w:rPr>
                <w:sz w:val="2"/>
                <w:szCs w:val="2"/>
              </w:rPr>
            </w:pPr>
          </w:p>
        </w:tc>
        <w:tc>
          <w:tcPr>
            <w:tcW w:w="1641" w:type="dxa"/>
            <w:tcBorders>
              <w:top w:val="nil"/>
              <w:bottom w:val="nil"/>
            </w:tcBorders>
          </w:tcPr>
          <w:p>
            <w:pPr>
              <w:pStyle w:val="TableParagraph"/>
              <w:rPr>
                <w:rFonts w:ascii="Times New Roman"/>
                <w:sz w:val="18"/>
              </w:rPr>
            </w:pPr>
          </w:p>
        </w:tc>
        <w:tc>
          <w:tcPr>
            <w:tcW w:w="3789" w:type="dxa"/>
            <w:tcBorders>
              <w:bottom w:val="nil"/>
              <w:right w:val="nil"/>
            </w:tcBorders>
          </w:tcPr>
          <w:p>
            <w:pPr>
              <w:pStyle w:val="TableParagraph"/>
              <w:spacing w:line="232" w:lineRule="auto" w:before="98"/>
              <w:ind w:left="93" w:right="531"/>
              <w:rPr>
                <w:sz w:val="18"/>
              </w:rPr>
            </w:pPr>
            <w:r>
              <w:rPr>
                <w:color w:val="105C84"/>
                <w:sz w:val="18"/>
              </w:rPr>
              <w:t>#</w:t>
            </w:r>
            <w:r>
              <w:rPr>
                <w:color w:val="105C84"/>
                <w:spacing w:val="-9"/>
                <w:sz w:val="18"/>
              </w:rPr>
              <w:t> </w:t>
            </w:r>
            <w:r>
              <w:rPr>
                <w:color w:val="105C84"/>
                <w:sz w:val="18"/>
              </w:rPr>
              <w:t>clients</w:t>
            </w:r>
            <w:r>
              <w:rPr>
                <w:color w:val="105C84"/>
                <w:spacing w:val="-9"/>
                <w:sz w:val="18"/>
              </w:rPr>
              <w:t> </w:t>
            </w:r>
            <w:r>
              <w:rPr>
                <w:color w:val="105C84"/>
                <w:sz w:val="18"/>
              </w:rPr>
              <w:t>disclosing</w:t>
            </w:r>
            <w:r>
              <w:rPr>
                <w:color w:val="105C84"/>
                <w:spacing w:val="-9"/>
                <w:sz w:val="18"/>
              </w:rPr>
              <w:t> </w:t>
            </w:r>
            <w:r>
              <w:rPr>
                <w:color w:val="105C84"/>
                <w:sz w:val="18"/>
              </w:rPr>
              <w:t>struggles</w:t>
            </w:r>
            <w:r>
              <w:rPr>
                <w:color w:val="105C84"/>
                <w:spacing w:val="-9"/>
                <w:sz w:val="18"/>
              </w:rPr>
              <w:t> </w:t>
            </w:r>
            <w:r>
              <w:rPr>
                <w:color w:val="105C84"/>
                <w:sz w:val="18"/>
              </w:rPr>
              <w:t>with substance use/abuse</w:t>
            </w:r>
          </w:p>
          <w:p>
            <w:pPr>
              <w:pStyle w:val="TableParagraph"/>
              <w:spacing w:line="232" w:lineRule="auto" w:before="89"/>
              <w:ind w:left="93" w:right="531"/>
              <w:rPr>
                <w:sz w:val="18"/>
              </w:rPr>
            </w:pPr>
            <w:r>
              <w:rPr>
                <w:color w:val="105C84"/>
                <w:sz w:val="18"/>
              </w:rPr>
              <w:t>#</w:t>
            </w:r>
            <w:r>
              <w:rPr>
                <w:color w:val="105C84"/>
                <w:spacing w:val="-15"/>
                <w:sz w:val="18"/>
              </w:rPr>
              <w:t> </w:t>
            </w:r>
            <w:r>
              <w:rPr>
                <w:color w:val="105C84"/>
                <w:sz w:val="18"/>
              </w:rPr>
              <w:t>clients</w:t>
            </w:r>
            <w:r>
              <w:rPr>
                <w:color w:val="105C84"/>
                <w:spacing w:val="-12"/>
                <w:sz w:val="18"/>
              </w:rPr>
              <w:t> </w:t>
            </w:r>
            <w:r>
              <w:rPr>
                <w:color w:val="105C84"/>
                <w:sz w:val="18"/>
              </w:rPr>
              <w:t>disclosing</w:t>
            </w:r>
            <w:r>
              <w:rPr>
                <w:color w:val="105C84"/>
                <w:spacing w:val="-13"/>
                <w:sz w:val="18"/>
              </w:rPr>
              <w:t> </w:t>
            </w:r>
            <w:r>
              <w:rPr>
                <w:color w:val="105C84"/>
                <w:sz w:val="18"/>
              </w:rPr>
              <w:t>or</w:t>
            </w:r>
            <w:r>
              <w:rPr>
                <w:color w:val="105C84"/>
                <w:spacing w:val="-12"/>
                <w:sz w:val="18"/>
              </w:rPr>
              <w:t> </w:t>
            </w:r>
            <w:r>
              <w:rPr>
                <w:color w:val="105C84"/>
                <w:sz w:val="18"/>
              </w:rPr>
              <w:t>expressing suicidal ideation</w:t>
            </w:r>
          </w:p>
          <w:p>
            <w:pPr>
              <w:pStyle w:val="TableParagraph"/>
              <w:spacing w:line="232" w:lineRule="auto" w:before="88"/>
              <w:ind w:left="93" w:right="1193"/>
              <w:rPr>
                <w:sz w:val="18"/>
              </w:rPr>
            </w:pPr>
            <w:r>
              <w:rPr>
                <w:color w:val="105C84"/>
                <w:sz w:val="18"/>
              </w:rPr>
              <w:t>#</w:t>
            </w:r>
            <w:r>
              <w:rPr>
                <w:color w:val="105C84"/>
                <w:spacing w:val="-4"/>
                <w:sz w:val="18"/>
              </w:rPr>
              <w:t> </w:t>
            </w:r>
            <w:r>
              <w:rPr>
                <w:color w:val="105C84"/>
                <w:sz w:val="18"/>
              </w:rPr>
              <w:t>staff/volunteers</w:t>
            </w:r>
            <w:r>
              <w:rPr>
                <w:color w:val="105C84"/>
                <w:spacing w:val="-4"/>
                <w:sz w:val="18"/>
              </w:rPr>
              <w:t> </w:t>
            </w:r>
            <w:r>
              <w:rPr>
                <w:color w:val="105C84"/>
                <w:sz w:val="18"/>
              </w:rPr>
              <w:t>trained</w:t>
            </w:r>
            <w:r>
              <w:rPr>
                <w:color w:val="105C84"/>
                <w:spacing w:val="-4"/>
                <w:sz w:val="18"/>
              </w:rPr>
              <w:t> </w:t>
            </w:r>
            <w:r>
              <w:rPr>
                <w:color w:val="105C84"/>
                <w:sz w:val="18"/>
              </w:rPr>
              <w:t>to assess for suicide risk</w:t>
            </w:r>
          </w:p>
        </w:tc>
        <w:tc>
          <w:tcPr>
            <w:tcW w:w="3698" w:type="dxa"/>
            <w:tcBorders>
              <w:left w:val="nil"/>
              <w:bottom w:val="nil"/>
            </w:tcBorders>
          </w:tcPr>
          <w:p>
            <w:pPr>
              <w:pStyle w:val="TableParagraph"/>
              <w:spacing w:line="232" w:lineRule="auto" w:before="98"/>
              <w:ind w:left="1054" w:right="67"/>
              <w:rPr>
                <w:sz w:val="18"/>
              </w:rPr>
            </w:pPr>
            <w:r>
              <w:rPr>
                <w:color w:val="105C84"/>
                <w:sz w:val="18"/>
              </w:rPr>
              <w:t>5</w:t>
            </w:r>
            <w:r>
              <w:rPr>
                <w:color w:val="105C84"/>
                <w:spacing w:val="-7"/>
                <w:sz w:val="18"/>
              </w:rPr>
              <w:t> </w:t>
            </w:r>
            <w:r>
              <w:rPr>
                <w:color w:val="105C84"/>
                <w:sz w:val="18"/>
              </w:rPr>
              <w:t>staff/volunteers</w:t>
            </w:r>
            <w:r>
              <w:rPr>
                <w:color w:val="105C84"/>
                <w:spacing w:val="-7"/>
                <w:sz w:val="18"/>
              </w:rPr>
              <w:t> </w:t>
            </w:r>
            <w:r>
              <w:rPr>
                <w:color w:val="105C84"/>
                <w:sz w:val="18"/>
              </w:rPr>
              <w:t>trained</w:t>
            </w:r>
            <w:r>
              <w:rPr>
                <w:color w:val="105C84"/>
                <w:spacing w:val="-7"/>
                <w:sz w:val="18"/>
              </w:rPr>
              <w:t> </w:t>
            </w:r>
            <w:r>
              <w:rPr>
                <w:color w:val="105C84"/>
                <w:sz w:val="18"/>
              </w:rPr>
              <w:t>in</w:t>
            </w:r>
            <w:r>
              <w:rPr>
                <w:color w:val="105C84"/>
                <w:spacing w:val="-7"/>
                <w:sz w:val="18"/>
              </w:rPr>
              <w:t> </w:t>
            </w:r>
            <w:r>
              <w:rPr>
                <w:color w:val="105C84"/>
                <w:sz w:val="18"/>
              </w:rPr>
              <w:t>best</w:t>
            </w:r>
            <w:r>
              <w:rPr>
                <w:color w:val="105C84"/>
                <w:sz w:val="18"/>
              </w:rPr>
              <w:t> practice</w:t>
            </w:r>
            <w:r>
              <w:rPr>
                <w:color w:val="105C84"/>
                <w:spacing w:val="-9"/>
                <w:sz w:val="18"/>
              </w:rPr>
              <w:t> </w:t>
            </w:r>
            <w:r>
              <w:rPr>
                <w:color w:val="105C84"/>
                <w:sz w:val="18"/>
              </w:rPr>
              <w:t>suicide</w:t>
            </w:r>
            <w:r>
              <w:rPr>
                <w:color w:val="105C84"/>
                <w:spacing w:val="-9"/>
                <w:sz w:val="18"/>
              </w:rPr>
              <w:t> </w:t>
            </w:r>
            <w:r>
              <w:rPr>
                <w:color w:val="105C84"/>
                <w:sz w:val="18"/>
              </w:rPr>
              <w:t>risk</w:t>
            </w:r>
            <w:r>
              <w:rPr>
                <w:color w:val="105C84"/>
                <w:spacing w:val="-8"/>
                <w:sz w:val="18"/>
              </w:rPr>
              <w:t> </w:t>
            </w:r>
            <w:r>
              <w:rPr>
                <w:color w:val="105C84"/>
                <w:spacing w:val="-2"/>
                <w:sz w:val="18"/>
              </w:rPr>
              <w:t>assessment</w:t>
            </w:r>
          </w:p>
          <w:p>
            <w:pPr>
              <w:pStyle w:val="TableParagraph"/>
              <w:spacing w:line="232" w:lineRule="auto" w:before="89"/>
              <w:ind w:left="1054" w:right="366"/>
              <w:rPr>
                <w:sz w:val="18"/>
              </w:rPr>
            </w:pPr>
            <w:r>
              <w:rPr>
                <w:color w:val="105C84"/>
                <w:sz w:val="18"/>
              </w:rPr>
              <w:t>5 staff/volunteers trained in best</w:t>
            </w:r>
            <w:r>
              <w:rPr>
                <w:color w:val="105C84"/>
                <w:spacing w:val="-13"/>
                <w:sz w:val="18"/>
              </w:rPr>
              <w:t> </w:t>
            </w:r>
            <w:r>
              <w:rPr>
                <w:color w:val="105C84"/>
                <w:sz w:val="18"/>
              </w:rPr>
              <w:t>practice</w:t>
            </w:r>
            <w:r>
              <w:rPr>
                <w:color w:val="105C84"/>
                <w:spacing w:val="-12"/>
                <w:sz w:val="18"/>
              </w:rPr>
              <w:t> </w:t>
            </w:r>
            <w:r>
              <w:rPr>
                <w:color w:val="105C84"/>
                <w:sz w:val="18"/>
              </w:rPr>
              <w:t>assessment</w:t>
            </w:r>
            <w:r>
              <w:rPr>
                <w:color w:val="105C84"/>
                <w:spacing w:val="-13"/>
                <w:sz w:val="18"/>
              </w:rPr>
              <w:t> </w:t>
            </w:r>
            <w:r>
              <w:rPr>
                <w:color w:val="105C84"/>
                <w:sz w:val="18"/>
              </w:rPr>
              <w:t>for</w:t>
            </w:r>
            <w:r>
              <w:rPr>
                <w:color w:val="105C84"/>
                <w:sz w:val="18"/>
              </w:rPr>
              <w:t> substance use/abuse</w:t>
            </w:r>
          </w:p>
        </w:tc>
        <w:tc>
          <w:tcPr>
            <w:tcW w:w="1756" w:type="dxa"/>
            <w:vMerge w:val="restart"/>
          </w:tcPr>
          <w:p>
            <w:pPr>
              <w:pStyle w:val="TableParagraph"/>
              <w:spacing w:line="232" w:lineRule="auto" w:before="98"/>
              <w:ind w:left="94" w:right="88"/>
              <w:rPr>
                <w:sz w:val="18"/>
              </w:rPr>
            </w:pPr>
            <w:r>
              <w:rPr>
                <w:color w:val="105C84"/>
                <w:sz w:val="18"/>
              </w:rPr>
              <w:t>10 additional </w:t>
            </w:r>
            <w:r>
              <w:rPr>
                <w:color w:val="105C84"/>
                <w:spacing w:val="-2"/>
                <w:sz w:val="18"/>
              </w:rPr>
              <w:t>staff/volunteers </w:t>
            </w:r>
            <w:r>
              <w:rPr>
                <w:color w:val="105C84"/>
                <w:sz w:val="18"/>
              </w:rPr>
              <w:t>trained in best practice</w:t>
            </w:r>
            <w:r>
              <w:rPr>
                <w:color w:val="105C84"/>
                <w:spacing w:val="-15"/>
                <w:sz w:val="18"/>
              </w:rPr>
              <w:t> </w:t>
            </w:r>
            <w:r>
              <w:rPr>
                <w:color w:val="105C84"/>
                <w:sz w:val="18"/>
              </w:rPr>
              <w:t>suicide</w:t>
            </w:r>
            <w:r>
              <w:rPr>
                <w:color w:val="105C84"/>
                <w:spacing w:val="-12"/>
                <w:sz w:val="18"/>
              </w:rPr>
              <w:t> </w:t>
            </w:r>
            <w:r>
              <w:rPr>
                <w:color w:val="105C84"/>
                <w:sz w:val="18"/>
              </w:rPr>
              <w:t>risk</w:t>
            </w:r>
            <w:r>
              <w:rPr>
                <w:color w:val="105C84"/>
                <w:sz w:val="18"/>
              </w:rPr>
              <w:t> </w:t>
            </w:r>
            <w:r>
              <w:rPr>
                <w:color w:val="105C84"/>
                <w:spacing w:val="-2"/>
                <w:sz w:val="18"/>
              </w:rPr>
              <w:t>assessment</w:t>
            </w:r>
          </w:p>
          <w:p>
            <w:pPr>
              <w:pStyle w:val="TableParagraph"/>
              <w:spacing w:line="232" w:lineRule="auto" w:before="86"/>
              <w:ind w:left="94" w:right="101"/>
              <w:rPr>
                <w:sz w:val="18"/>
              </w:rPr>
            </w:pPr>
            <w:r>
              <w:rPr>
                <w:color w:val="105C84"/>
                <w:sz w:val="18"/>
              </w:rPr>
              <w:t>10</w:t>
            </w:r>
            <w:r>
              <w:rPr>
                <w:color w:val="105C84"/>
                <w:spacing w:val="-8"/>
                <w:sz w:val="18"/>
              </w:rPr>
              <w:t> </w:t>
            </w:r>
            <w:r>
              <w:rPr>
                <w:color w:val="105C84"/>
                <w:sz w:val="18"/>
              </w:rPr>
              <w:t>additional</w:t>
            </w:r>
            <w:r>
              <w:rPr>
                <w:color w:val="105C84"/>
                <w:spacing w:val="-8"/>
                <w:sz w:val="18"/>
              </w:rPr>
              <w:t> </w:t>
            </w:r>
            <w:r>
              <w:rPr>
                <w:color w:val="105C84"/>
                <w:sz w:val="18"/>
              </w:rPr>
              <w:t>staff/</w:t>
            </w:r>
            <w:r>
              <w:rPr>
                <w:color w:val="105C84"/>
                <w:sz w:val="18"/>
              </w:rPr>
              <w:t> volunteers trained in best practice assessment for substance use/ </w:t>
            </w:r>
            <w:r>
              <w:rPr>
                <w:color w:val="105C84"/>
                <w:spacing w:val="-2"/>
                <w:sz w:val="18"/>
              </w:rPr>
              <w:t>abuse</w:t>
            </w:r>
          </w:p>
        </w:tc>
        <w:tc>
          <w:tcPr>
            <w:tcW w:w="1727" w:type="dxa"/>
            <w:vMerge w:val="restart"/>
          </w:tcPr>
          <w:p>
            <w:pPr>
              <w:pStyle w:val="TableParagraph"/>
              <w:spacing w:line="232" w:lineRule="auto" w:before="98"/>
              <w:ind w:left="95" w:right="81"/>
              <w:rPr>
                <w:sz w:val="18"/>
              </w:rPr>
            </w:pPr>
            <w:r>
              <w:rPr>
                <w:color w:val="105C84"/>
                <w:sz w:val="18"/>
              </w:rPr>
              <w:t>10</w:t>
            </w:r>
            <w:r>
              <w:rPr>
                <w:color w:val="105C84"/>
                <w:spacing w:val="-8"/>
                <w:sz w:val="18"/>
              </w:rPr>
              <w:t> </w:t>
            </w:r>
            <w:r>
              <w:rPr>
                <w:color w:val="105C84"/>
                <w:sz w:val="18"/>
              </w:rPr>
              <w:t>additional</w:t>
            </w:r>
            <w:r>
              <w:rPr>
                <w:color w:val="105C84"/>
                <w:spacing w:val="-8"/>
                <w:sz w:val="18"/>
              </w:rPr>
              <w:t> </w:t>
            </w:r>
            <w:r>
              <w:rPr>
                <w:color w:val="105C84"/>
                <w:sz w:val="18"/>
              </w:rPr>
              <w:t>staff/</w:t>
            </w:r>
            <w:r>
              <w:rPr>
                <w:color w:val="105C84"/>
                <w:sz w:val="18"/>
              </w:rPr>
              <w:t> volunteers trained in best practice suicide risk </w:t>
            </w:r>
            <w:r>
              <w:rPr>
                <w:color w:val="105C84"/>
                <w:spacing w:val="-2"/>
                <w:sz w:val="18"/>
              </w:rPr>
              <w:t>assessment</w:t>
            </w:r>
          </w:p>
          <w:p>
            <w:pPr>
              <w:pStyle w:val="TableParagraph"/>
              <w:spacing w:line="232" w:lineRule="auto" w:before="86"/>
              <w:ind w:left="95" w:right="81"/>
              <w:rPr>
                <w:sz w:val="18"/>
              </w:rPr>
            </w:pPr>
            <w:r>
              <w:rPr>
                <w:color w:val="105C84"/>
                <w:sz w:val="18"/>
              </w:rPr>
              <w:t>10</w:t>
            </w:r>
            <w:r>
              <w:rPr>
                <w:color w:val="105C84"/>
                <w:spacing w:val="-8"/>
                <w:sz w:val="18"/>
              </w:rPr>
              <w:t> </w:t>
            </w:r>
            <w:r>
              <w:rPr>
                <w:color w:val="105C84"/>
                <w:sz w:val="18"/>
              </w:rPr>
              <w:t>additional</w:t>
            </w:r>
            <w:r>
              <w:rPr>
                <w:color w:val="105C84"/>
                <w:spacing w:val="-8"/>
                <w:sz w:val="18"/>
              </w:rPr>
              <w:t> </w:t>
            </w:r>
            <w:r>
              <w:rPr>
                <w:color w:val="105C84"/>
                <w:sz w:val="18"/>
              </w:rPr>
              <w:t>staff/</w:t>
            </w:r>
            <w:r>
              <w:rPr>
                <w:color w:val="105C84"/>
                <w:sz w:val="18"/>
              </w:rPr>
              <w:t> volunteers trained in best practice assessment for substance use/ </w:t>
            </w:r>
            <w:r>
              <w:rPr>
                <w:color w:val="105C84"/>
                <w:spacing w:val="-2"/>
                <w:sz w:val="18"/>
              </w:rPr>
              <w:t>abuse</w:t>
            </w:r>
          </w:p>
        </w:tc>
        <w:tc>
          <w:tcPr>
            <w:tcW w:w="1497" w:type="dxa"/>
            <w:tcBorders>
              <w:top w:val="nil"/>
              <w:bottom w:val="nil"/>
            </w:tcBorders>
          </w:tcPr>
          <w:p>
            <w:pPr>
              <w:pStyle w:val="TableParagraph"/>
              <w:rPr>
                <w:rFonts w:ascii="Times New Roman"/>
                <w:sz w:val="18"/>
              </w:rPr>
            </w:pPr>
          </w:p>
        </w:tc>
        <w:tc>
          <w:tcPr>
            <w:tcW w:w="2414" w:type="dxa"/>
            <w:tcBorders>
              <w:bottom w:val="nil"/>
            </w:tcBorders>
          </w:tcPr>
          <w:p>
            <w:pPr>
              <w:pStyle w:val="TableParagraph"/>
              <w:spacing w:line="232" w:lineRule="auto" w:before="98"/>
              <w:ind w:left="96" w:right="166"/>
              <w:rPr>
                <w:sz w:val="18"/>
              </w:rPr>
            </w:pPr>
            <w:r>
              <w:rPr>
                <w:color w:val="105C84"/>
                <w:sz w:val="18"/>
              </w:rPr>
              <w:t>PRCV uses standardized assessments to identify</w:t>
            </w:r>
            <w:r>
              <w:rPr>
                <w:color w:val="105C84"/>
                <w:spacing w:val="40"/>
                <w:sz w:val="18"/>
              </w:rPr>
              <w:t> </w:t>
            </w:r>
            <w:r>
              <w:rPr>
                <w:color w:val="105C84"/>
                <w:sz w:val="18"/>
              </w:rPr>
              <w:t>the additional need for </w:t>
            </w:r>
            <w:r>
              <w:rPr>
                <w:color w:val="105C84"/>
                <w:spacing w:val="-2"/>
                <w:sz w:val="18"/>
              </w:rPr>
              <w:t>substance</w:t>
            </w:r>
            <w:r>
              <w:rPr>
                <w:color w:val="105C84"/>
                <w:spacing w:val="-5"/>
                <w:sz w:val="18"/>
              </w:rPr>
              <w:t> </w:t>
            </w:r>
            <w:r>
              <w:rPr>
                <w:color w:val="105C84"/>
                <w:spacing w:val="-2"/>
                <w:sz w:val="18"/>
              </w:rPr>
              <w:t>abuse</w:t>
            </w:r>
            <w:r>
              <w:rPr>
                <w:color w:val="105C84"/>
                <w:spacing w:val="-4"/>
                <w:sz w:val="18"/>
              </w:rPr>
              <w:t> </w:t>
            </w:r>
            <w:r>
              <w:rPr>
                <w:color w:val="105C84"/>
                <w:spacing w:val="-2"/>
                <w:sz w:val="18"/>
              </w:rPr>
              <w:t>or</w:t>
            </w:r>
            <w:r>
              <w:rPr>
                <w:color w:val="105C84"/>
                <w:spacing w:val="-4"/>
                <w:sz w:val="18"/>
              </w:rPr>
              <w:t> </w:t>
            </w:r>
            <w:r>
              <w:rPr>
                <w:color w:val="105C84"/>
                <w:spacing w:val="-2"/>
                <w:sz w:val="18"/>
              </w:rPr>
              <w:t>mental</w:t>
            </w:r>
          </w:p>
          <w:p>
            <w:pPr>
              <w:pStyle w:val="TableParagraph"/>
              <w:spacing w:line="232" w:lineRule="auto"/>
              <w:ind w:left="96" w:right="36"/>
              <w:rPr>
                <w:sz w:val="18"/>
              </w:rPr>
            </w:pPr>
            <w:r>
              <w:rPr>
                <w:color w:val="105C84"/>
                <w:sz w:val="18"/>
              </w:rPr>
              <w:t>health</w:t>
            </w:r>
            <w:r>
              <w:rPr>
                <w:color w:val="105C84"/>
                <w:spacing w:val="-13"/>
                <w:sz w:val="18"/>
              </w:rPr>
              <w:t> </w:t>
            </w:r>
            <w:r>
              <w:rPr>
                <w:color w:val="105C84"/>
                <w:sz w:val="18"/>
              </w:rPr>
              <w:t>services</w:t>
            </w:r>
            <w:r>
              <w:rPr>
                <w:color w:val="105C84"/>
                <w:spacing w:val="-12"/>
                <w:sz w:val="18"/>
              </w:rPr>
              <w:t> </w:t>
            </w:r>
            <w:r>
              <w:rPr>
                <w:color w:val="105C84"/>
                <w:sz w:val="18"/>
              </w:rPr>
              <w:t>for</w:t>
            </w:r>
            <w:r>
              <w:rPr>
                <w:color w:val="105C84"/>
                <w:spacing w:val="-13"/>
                <w:sz w:val="18"/>
              </w:rPr>
              <w:t> </w:t>
            </w:r>
            <w:r>
              <w:rPr>
                <w:color w:val="105C84"/>
                <w:sz w:val="18"/>
              </w:rPr>
              <w:t>pregnant and parenting families across Steuben County</w:t>
            </w:r>
          </w:p>
        </w:tc>
      </w:tr>
      <w:tr>
        <w:trPr>
          <w:trHeight w:val="470" w:hRule="atLeast"/>
        </w:trPr>
        <w:tc>
          <w:tcPr>
            <w:tcW w:w="1180" w:type="dxa"/>
            <w:tcBorders>
              <w:top w:val="nil"/>
              <w:bottom w:val="nil"/>
            </w:tcBorders>
            <w:shd w:val="clear" w:color="auto" w:fill="E6E7E8"/>
          </w:tcPr>
          <w:p>
            <w:pPr>
              <w:pStyle w:val="TableParagraph"/>
              <w:rPr>
                <w:rFonts w:ascii="Times New Roman"/>
                <w:sz w:val="18"/>
              </w:rPr>
            </w:pPr>
          </w:p>
        </w:tc>
        <w:tc>
          <w:tcPr>
            <w:tcW w:w="1094" w:type="dxa"/>
            <w:tcBorders>
              <w:top w:val="nil"/>
              <w:bottom w:val="nil"/>
            </w:tcBorders>
          </w:tcPr>
          <w:p>
            <w:pPr>
              <w:pStyle w:val="TableParagraph"/>
              <w:rPr>
                <w:rFonts w:ascii="Times New Roman"/>
                <w:sz w:val="18"/>
              </w:rPr>
            </w:pPr>
          </w:p>
        </w:tc>
        <w:tc>
          <w:tcPr>
            <w:tcW w:w="1180" w:type="dxa"/>
            <w:tcBorders>
              <w:top w:val="nil"/>
              <w:bottom w:val="nil"/>
            </w:tcBorders>
          </w:tcPr>
          <w:p>
            <w:pPr>
              <w:pStyle w:val="TableParagraph"/>
              <w:rPr>
                <w:rFonts w:ascii="Times New Roman"/>
                <w:sz w:val="18"/>
              </w:rPr>
            </w:pPr>
          </w:p>
        </w:tc>
        <w:tc>
          <w:tcPr>
            <w:tcW w:w="1324" w:type="dxa"/>
            <w:tcBorders>
              <w:top w:val="nil"/>
              <w:bottom w:val="nil"/>
            </w:tcBorders>
          </w:tcPr>
          <w:p>
            <w:pPr>
              <w:pStyle w:val="TableParagraph"/>
              <w:rPr>
                <w:rFonts w:ascii="Times New Roman"/>
                <w:sz w:val="18"/>
              </w:rPr>
            </w:pPr>
          </w:p>
        </w:tc>
        <w:tc>
          <w:tcPr>
            <w:tcW w:w="1065" w:type="dxa"/>
            <w:vMerge/>
            <w:tcBorders>
              <w:top w:val="nil"/>
            </w:tcBorders>
          </w:tcPr>
          <w:p>
            <w:pPr>
              <w:rPr>
                <w:sz w:val="2"/>
                <w:szCs w:val="2"/>
              </w:rPr>
            </w:pPr>
          </w:p>
        </w:tc>
        <w:tc>
          <w:tcPr>
            <w:tcW w:w="1641" w:type="dxa"/>
            <w:tcBorders>
              <w:top w:val="nil"/>
              <w:bottom w:val="nil"/>
            </w:tcBorders>
          </w:tcPr>
          <w:p>
            <w:pPr>
              <w:pStyle w:val="TableParagraph"/>
              <w:rPr>
                <w:rFonts w:ascii="Times New Roman"/>
                <w:sz w:val="18"/>
              </w:rPr>
            </w:pPr>
          </w:p>
        </w:tc>
        <w:tc>
          <w:tcPr>
            <w:tcW w:w="3789" w:type="dxa"/>
            <w:tcBorders>
              <w:top w:val="nil"/>
              <w:bottom w:val="nil"/>
              <w:right w:val="nil"/>
            </w:tcBorders>
          </w:tcPr>
          <w:p>
            <w:pPr>
              <w:pStyle w:val="TableParagraph"/>
              <w:spacing w:line="232" w:lineRule="auto" w:before="23"/>
              <w:ind w:left="93" w:right="1572"/>
              <w:rPr>
                <w:sz w:val="18"/>
              </w:rPr>
            </w:pPr>
            <w:r>
              <w:rPr>
                <w:color w:val="105C84"/>
                <w:sz w:val="18"/>
              </w:rPr>
              <w:t>#</w:t>
            </w:r>
            <w:r>
              <w:rPr>
                <w:color w:val="105C84"/>
                <w:spacing w:val="-13"/>
                <w:sz w:val="18"/>
              </w:rPr>
              <w:t> </w:t>
            </w:r>
            <w:r>
              <w:rPr>
                <w:color w:val="105C84"/>
                <w:sz w:val="18"/>
              </w:rPr>
              <w:t>staff</w:t>
            </w:r>
            <w:r>
              <w:rPr>
                <w:color w:val="105C84"/>
                <w:spacing w:val="-12"/>
                <w:sz w:val="18"/>
              </w:rPr>
              <w:t> </w:t>
            </w:r>
            <w:r>
              <w:rPr>
                <w:color w:val="105C84"/>
                <w:sz w:val="18"/>
              </w:rPr>
              <w:t>trained</w:t>
            </w:r>
            <w:r>
              <w:rPr>
                <w:color w:val="105C84"/>
                <w:spacing w:val="-13"/>
                <w:sz w:val="18"/>
              </w:rPr>
              <w:t> </w:t>
            </w:r>
            <w:r>
              <w:rPr>
                <w:color w:val="105C84"/>
                <w:sz w:val="18"/>
              </w:rPr>
              <w:t>to</w:t>
            </w:r>
            <w:r>
              <w:rPr>
                <w:color w:val="105C84"/>
                <w:spacing w:val="-12"/>
                <w:sz w:val="18"/>
              </w:rPr>
              <w:t> </w:t>
            </w:r>
            <w:r>
              <w:rPr>
                <w:color w:val="105C84"/>
                <w:sz w:val="18"/>
              </w:rPr>
              <w:t>assess</w:t>
            </w:r>
            <w:r>
              <w:rPr>
                <w:color w:val="105C84"/>
                <w:spacing w:val="-13"/>
                <w:sz w:val="18"/>
              </w:rPr>
              <w:t> </w:t>
            </w:r>
            <w:r>
              <w:rPr>
                <w:color w:val="105C84"/>
                <w:sz w:val="18"/>
              </w:rPr>
              <w:t>for </w:t>
            </w:r>
            <w:r>
              <w:rPr>
                <w:color w:val="105C84"/>
                <w:spacing w:val="-2"/>
                <w:sz w:val="18"/>
              </w:rPr>
              <w:t>substance</w:t>
            </w:r>
            <w:r>
              <w:rPr>
                <w:color w:val="105C84"/>
                <w:spacing w:val="-3"/>
                <w:sz w:val="18"/>
              </w:rPr>
              <w:t> </w:t>
            </w:r>
            <w:r>
              <w:rPr>
                <w:color w:val="105C84"/>
                <w:spacing w:val="-2"/>
                <w:sz w:val="18"/>
              </w:rPr>
              <w:t>use/abuse risks</w:t>
            </w:r>
          </w:p>
        </w:tc>
        <w:tc>
          <w:tcPr>
            <w:tcW w:w="3698" w:type="dxa"/>
            <w:tcBorders>
              <w:top w:val="nil"/>
              <w:left w:val="nil"/>
              <w:bottom w:val="nil"/>
            </w:tcBorders>
          </w:tcPr>
          <w:p>
            <w:pPr>
              <w:pStyle w:val="TableParagraph"/>
              <w:rPr>
                <w:rFonts w:ascii="Times New Roman"/>
                <w:sz w:val="18"/>
              </w:rPr>
            </w:pPr>
          </w:p>
        </w:tc>
        <w:tc>
          <w:tcPr>
            <w:tcW w:w="1756" w:type="dxa"/>
            <w:vMerge/>
            <w:tcBorders>
              <w:top w:val="nil"/>
            </w:tcBorders>
          </w:tcPr>
          <w:p>
            <w:pPr>
              <w:rPr>
                <w:sz w:val="2"/>
                <w:szCs w:val="2"/>
              </w:rPr>
            </w:pPr>
          </w:p>
        </w:tc>
        <w:tc>
          <w:tcPr>
            <w:tcW w:w="1727" w:type="dxa"/>
            <w:vMerge/>
            <w:tcBorders>
              <w:top w:val="nil"/>
            </w:tcBorders>
          </w:tcPr>
          <w:p>
            <w:pPr>
              <w:rPr>
                <w:sz w:val="2"/>
                <w:szCs w:val="2"/>
              </w:rPr>
            </w:pPr>
          </w:p>
        </w:tc>
        <w:tc>
          <w:tcPr>
            <w:tcW w:w="1497" w:type="dxa"/>
            <w:tcBorders>
              <w:top w:val="nil"/>
              <w:bottom w:val="nil"/>
            </w:tcBorders>
          </w:tcPr>
          <w:p>
            <w:pPr>
              <w:pStyle w:val="TableParagraph"/>
              <w:rPr>
                <w:rFonts w:ascii="Times New Roman"/>
                <w:sz w:val="18"/>
              </w:rPr>
            </w:pPr>
          </w:p>
        </w:tc>
        <w:tc>
          <w:tcPr>
            <w:tcW w:w="2414" w:type="dxa"/>
            <w:tcBorders>
              <w:top w:val="nil"/>
              <w:bottom w:val="nil"/>
            </w:tcBorders>
          </w:tcPr>
          <w:p>
            <w:pPr>
              <w:pStyle w:val="TableParagraph"/>
              <w:rPr>
                <w:rFonts w:ascii="Times New Roman"/>
                <w:sz w:val="18"/>
              </w:rPr>
            </w:pPr>
          </w:p>
        </w:tc>
      </w:tr>
      <w:tr>
        <w:trPr>
          <w:trHeight w:val="479" w:hRule="atLeast"/>
        </w:trPr>
        <w:tc>
          <w:tcPr>
            <w:tcW w:w="1180" w:type="dxa"/>
            <w:tcBorders>
              <w:top w:val="nil"/>
              <w:bottom w:val="nil"/>
            </w:tcBorders>
            <w:shd w:val="clear" w:color="auto" w:fill="E6E7E8"/>
          </w:tcPr>
          <w:p>
            <w:pPr>
              <w:pStyle w:val="TableParagraph"/>
              <w:rPr>
                <w:rFonts w:ascii="Times New Roman"/>
                <w:sz w:val="18"/>
              </w:rPr>
            </w:pPr>
          </w:p>
        </w:tc>
        <w:tc>
          <w:tcPr>
            <w:tcW w:w="1094" w:type="dxa"/>
            <w:tcBorders>
              <w:top w:val="nil"/>
              <w:bottom w:val="nil"/>
            </w:tcBorders>
          </w:tcPr>
          <w:p>
            <w:pPr>
              <w:pStyle w:val="TableParagraph"/>
              <w:rPr>
                <w:rFonts w:ascii="Times New Roman"/>
                <w:sz w:val="18"/>
              </w:rPr>
            </w:pPr>
          </w:p>
        </w:tc>
        <w:tc>
          <w:tcPr>
            <w:tcW w:w="1180" w:type="dxa"/>
            <w:tcBorders>
              <w:top w:val="nil"/>
              <w:bottom w:val="nil"/>
            </w:tcBorders>
          </w:tcPr>
          <w:p>
            <w:pPr>
              <w:pStyle w:val="TableParagraph"/>
              <w:rPr>
                <w:rFonts w:ascii="Times New Roman"/>
                <w:sz w:val="18"/>
              </w:rPr>
            </w:pPr>
          </w:p>
        </w:tc>
        <w:tc>
          <w:tcPr>
            <w:tcW w:w="1324" w:type="dxa"/>
            <w:tcBorders>
              <w:top w:val="nil"/>
              <w:bottom w:val="nil"/>
            </w:tcBorders>
          </w:tcPr>
          <w:p>
            <w:pPr>
              <w:pStyle w:val="TableParagraph"/>
              <w:rPr>
                <w:rFonts w:ascii="Times New Roman"/>
                <w:sz w:val="18"/>
              </w:rPr>
            </w:pPr>
          </w:p>
        </w:tc>
        <w:tc>
          <w:tcPr>
            <w:tcW w:w="1065" w:type="dxa"/>
            <w:vMerge/>
            <w:tcBorders>
              <w:top w:val="nil"/>
            </w:tcBorders>
          </w:tcPr>
          <w:p>
            <w:pPr>
              <w:rPr>
                <w:sz w:val="2"/>
                <w:szCs w:val="2"/>
              </w:rPr>
            </w:pPr>
          </w:p>
        </w:tc>
        <w:tc>
          <w:tcPr>
            <w:tcW w:w="1641" w:type="dxa"/>
            <w:tcBorders>
              <w:top w:val="nil"/>
              <w:bottom w:val="nil"/>
            </w:tcBorders>
          </w:tcPr>
          <w:p>
            <w:pPr>
              <w:pStyle w:val="TableParagraph"/>
              <w:rPr>
                <w:rFonts w:ascii="Times New Roman"/>
                <w:sz w:val="18"/>
              </w:rPr>
            </w:pPr>
          </w:p>
        </w:tc>
        <w:tc>
          <w:tcPr>
            <w:tcW w:w="3789" w:type="dxa"/>
            <w:tcBorders>
              <w:top w:val="nil"/>
              <w:bottom w:val="nil"/>
              <w:right w:val="nil"/>
            </w:tcBorders>
          </w:tcPr>
          <w:p>
            <w:pPr>
              <w:pStyle w:val="TableParagraph"/>
              <w:spacing w:line="232" w:lineRule="auto" w:before="33"/>
              <w:ind w:left="93" w:right="1052"/>
              <w:rPr>
                <w:sz w:val="18"/>
              </w:rPr>
            </w:pPr>
            <w:r>
              <w:rPr>
                <w:color w:val="105C84"/>
                <w:sz w:val="18"/>
              </w:rPr>
              <w:t>#</w:t>
            </w:r>
            <w:r>
              <w:rPr>
                <w:color w:val="105C84"/>
                <w:spacing w:val="-13"/>
                <w:sz w:val="18"/>
              </w:rPr>
              <w:t> </w:t>
            </w:r>
            <w:r>
              <w:rPr>
                <w:color w:val="105C84"/>
                <w:sz w:val="18"/>
              </w:rPr>
              <w:t>of</w:t>
            </w:r>
            <w:r>
              <w:rPr>
                <w:color w:val="105C84"/>
                <w:spacing w:val="-12"/>
                <w:sz w:val="18"/>
              </w:rPr>
              <w:t> </w:t>
            </w:r>
            <w:r>
              <w:rPr>
                <w:color w:val="105C84"/>
                <w:sz w:val="18"/>
              </w:rPr>
              <w:t>referrals</w:t>
            </w:r>
            <w:r>
              <w:rPr>
                <w:color w:val="105C84"/>
                <w:spacing w:val="-13"/>
                <w:sz w:val="18"/>
              </w:rPr>
              <w:t> </w:t>
            </w:r>
            <w:r>
              <w:rPr>
                <w:color w:val="105C84"/>
                <w:sz w:val="18"/>
              </w:rPr>
              <w:t>for</w:t>
            </w:r>
            <w:r>
              <w:rPr>
                <w:color w:val="105C84"/>
                <w:spacing w:val="-12"/>
                <w:sz w:val="18"/>
              </w:rPr>
              <w:t> </w:t>
            </w:r>
            <w:r>
              <w:rPr>
                <w:color w:val="105C84"/>
                <w:sz w:val="18"/>
              </w:rPr>
              <w:t>substance</w:t>
            </w:r>
            <w:r>
              <w:rPr>
                <w:color w:val="105C84"/>
                <w:spacing w:val="-13"/>
                <w:sz w:val="18"/>
              </w:rPr>
              <w:t> </w:t>
            </w:r>
            <w:r>
              <w:rPr>
                <w:color w:val="105C84"/>
                <w:sz w:val="18"/>
              </w:rPr>
              <w:t>abuse </w:t>
            </w:r>
            <w:r>
              <w:rPr>
                <w:color w:val="105C84"/>
                <w:spacing w:val="-2"/>
                <w:sz w:val="18"/>
              </w:rPr>
              <w:t>services</w:t>
            </w:r>
          </w:p>
        </w:tc>
        <w:tc>
          <w:tcPr>
            <w:tcW w:w="3698" w:type="dxa"/>
            <w:tcBorders>
              <w:top w:val="nil"/>
              <w:left w:val="nil"/>
              <w:bottom w:val="nil"/>
            </w:tcBorders>
          </w:tcPr>
          <w:p>
            <w:pPr>
              <w:pStyle w:val="TableParagraph"/>
              <w:rPr>
                <w:rFonts w:ascii="Times New Roman"/>
                <w:sz w:val="18"/>
              </w:rPr>
            </w:pPr>
          </w:p>
        </w:tc>
        <w:tc>
          <w:tcPr>
            <w:tcW w:w="1756" w:type="dxa"/>
            <w:vMerge/>
            <w:tcBorders>
              <w:top w:val="nil"/>
            </w:tcBorders>
          </w:tcPr>
          <w:p>
            <w:pPr>
              <w:rPr>
                <w:sz w:val="2"/>
                <w:szCs w:val="2"/>
              </w:rPr>
            </w:pPr>
          </w:p>
        </w:tc>
        <w:tc>
          <w:tcPr>
            <w:tcW w:w="1727" w:type="dxa"/>
            <w:vMerge/>
            <w:tcBorders>
              <w:top w:val="nil"/>
            </w:tcBorders>
          </w:tcPr>
          <w:p>
            <w:pPr>
              <w:rPr>
                <w:sz w:val="2"/>
                <w:szCs w:val="2"/>
              </w:rPr>
            </w:pPr>
          </w:p>
        </w:tc>
        <w:tc>
          <w:tcPr>
            <w:tcW w:w="1497" w:type="dxa"/>
            <w:tcBorders>
              <w:top w:val="nil"/>
              <w:bottom w:val="nil"/>
            </w:tcBorders>
          </w:tcPr>
          <w:p>
            <w:pPr>
              <w:pStyle w:val="TableParagraph"/>
              <w:rPr>
                <w:rFonts w:ascii="Times New Roman"/>
                <w:sz w:val="18"/>
              </w:rPr>
            </w:pPr>
          </w:p>
        </w:tc>
        <w:tc>
          <w:tcPr>
            <w:tcW w:w="2414" w:type="dxa"/>
            <w:tcBorders>
              <w:top w:val="nil"/>
              <w:bottom w:val="nil"/>
            </w:tcBorders>
          </w:tcPr>
          <w:p>
            <w:pPr>
              <w:pStyle w:val="TableParagraph"/>
              <w:rPr>
                <w:rFonts w:ascii="Times New Roman"/>
                <w:sz w:val="18"/>
              </w:rPr>
            </w:pPr>
          </w:p>
        </w:tc>
      </w:tr>
      <w:tr>
        <w:trPr>
          <w:trHeight w:val="484" w:hRule="atLeast"/>
        </w:trPr>
        <w:tc>
          <w:tcPr>
            <w:tcW w:w="1180" w:type="dxa"/>
            <w:tcBorders>
              <w:top w:val="nil"/>
              <w:bottom w:val="nil"/>
            </w:tcBorders>
            <w:shd w:val="clear" w:color="auto" w:fill="E6E7E8"/>
          </w:tcPr>
          <w:p>
            <w:pPr>
              <w:pStyle w:val="TableParagraph"/>
              <w:rPr>
                <w:rFonts w:ascii="Times New Roman"/>
                <w:sz w:val="18"/>
              </w:rPr>
            </w:pPr>
          </w:p>
        </w:tc>
        <w:tc>
          <w:tcPr>
            <w:tcW w:w="1094" w:type="dxa"/>
            <w:tcBorders>
              <w:top w:val="nil"/>
              <w:bottom w:val="nil"/>
            </w:tcBorders>
          </w:tcPr>
          <w:p>
            <w:pPr>
              <w:pStyle w:val="TableParagraph"/>
              <w:rPr>
                <w:rFonts w:ascii="Times New Roman"/>
                <w:sz w:val="18"/>
              </w:rPr>
            </w:pPr>
          </w:p>
        </w:tc>
        <w:tc>
          <w:tcPr>
            <w:tcW w:w="1180" w:type="dxa"/>
            <w:tcBorders>
              <w:top w:val="nil"/>
              <w:bottom w:val="nil"/>
            </w:tcBorders>
          </w:tcPr>
          <w:p>
            <w:pPr>
              <w:pStyle w:val="TableParagraph"/>
              <w:rPr>
                <w:rFonts w:ascii="Times New Roman"/>
                <w:sz w:val="18"/>
              </w:rPr>
            </w:pPr>
          </w:p>
        </w:tc>
        <w:tc>
          <w:tcPr>
            <w:tcW w:w="1324" w:type="dxa"/>
            <w:tcBorders>
              <w:top w:val="nil"/>
              <w:bottom w:val="nil"/>
            </w:tcBorders>
          </w:tcPr>
          <w:p>
            <w:pPr>
              <w:pStyle w:val="TableParagraph"/>
              <w:rPr>
                <w:rFonts w:ascii="Times New Roman"/>
                <w:sz w:val="18"/>
              </w:rPr>
            </w:pPr>
          </w:p>
        </w:tc>
        <w:tc>
          <w:tcPr>
            <w:tcW w:w="1065" w:type="dxa"/>
            <w:vMerge/>
            <w:tcBorders>
              <w:top w:val="nil"/>
            </w:tcBorders>
          </w:tcPr>
          <w:p>
            <w:pPr>
              <w:rPr>
                <w:sz w:val="2"/>
                <w:szCs w:val="2"/>
              </w:rPr>
            </w:pPr>
          </w:p>
        </w:tc>
        <w:tc>
          <w:tcPr>
            <w:tcW w:w="1641" w:type="dxa"/>
            <w:tcBorders>
              <w:top w:val="nil"/>
              <w:bottom w:val="nil"/>
            </w:tcBorders>
          </w:tcPr>
          <w:p>
            <w:pPr>
              <w:pStyle w:val="TableParagraph"/>
              <w:rPr>
                <w:rFonts w:ascii="Times New Roman"/>
                <w:sz w:val="18"/>
              </w:rPr>
            </w:pPr>
          </w:p>
        </w:tc>
        <w:tc>
          <w:tcPr>
            <w:tcW w:w="3789" w:type="dxa"/>
            <w:tcBorders>
              <w:top w:val="nil"/>
              <w:right w:val="nil"/>
            </w:tcBorders>
          </w:tcPr>
          <w:p>
            <w:pPr>
              <w:pStyle w:val="TableParagraph"/>
              <w:spacing w:line="232" w:lineRule="auto" w:before="33"/>
              <w:ind w:left="93" w:right="1193"/>
              <w:rPr>
                <w:sz w:val="18"/>
              </w:rPr>
            </w:pPr>
            <w:r>
              <w:rPr>
                <w:color w:val="105C84"/>
                <w:sz w:val="18"/>
              </w:rPr>
              <w:t>#</w:t>
            </w:r>
            <w:r>
              <w:rPr>
                <w:color w:val="105C84"/>
                <w:spacing w:val="-5"/>
                <w:sz w:val="18"/>
              </w:rPr>
              <w:t> </w:t>
            </w:r>
            <w:r>
              <w:rPr>
                <w:color w:val="105C84"/>
                <w:sz w:val="18"/>
              </w:rPr>
              <w:t>of</w:t>
            </w:r>
            <w:r>
              <w:rPr>
                <w:color w:val="105C84"/>
                <w:spacing w:val="-5"/>
                <w:sz w:val="18"/>
              </w:rPr>
              <w:t> </w:t>
            </w:r>
            <w:r>
              <w:rPr>
                <w:color w:val="105C84"/>
                <w:sz w:val="18"/>
              </w:rPr>
              <w:t>referrals</w:t>
            </w:r>
            <w:r>
              <w:rPr>
                <w:color w:val="105C84"/>
                <w:spacing w:val="-5"/>
                <w:sz w:val="18"/>
              </w:rPr>
              <w:t> </w:t>
            </w:r>
            <w:r>
              <w:rPr>
                <w:color w:val="105C84"/>
                <w:sz w:val="18"/>
              </w:rPr>
              <w:t>for</w:t>
            </w:r>
            <w:r>
              <w:rPr>
                <w:color w:val="105C84"/>
                <w:spacing w:val="-5"/>
                <w:sz w:val="18"/>
              </w:rPr>
              <w:t> </w:t>
            </w:r>
            <w:r>
              <w:rPr>
                <w:color w:val="105C84"/>
                <w:sz w:val="18"/>
              </w:rPr>
              <w:t>MH</w:t>
            </w:r>
            <w:r>
              <w:rPr>
                <w:color w:val="105C84"/>
                <w:spacing w:val="-5"/>
                <w:sz w:val="18"/>
              </w:rPr>
              <w:t> </w:t>
            </w:r>
            <w:r>
              <w:rPr>
                <w:color w:val="105C84"/>
                <w:sz w:val="18"/>
              </w:rPr>
              <w:t>support </w:t>
            </w:r>
            <w:r>
              <w:rPr>
                <w:color w:val="105C84"/>
                <w:spacing w:val="-2"/>
                <w:sz w:val="18"/>
              </w:rPr>
              <w:t>services</w:t>
            </w:r>
          </w:p>
        </w:tc>
        <w:tc>
          <w:tcPr>
            <w:tcW w:w="3698" w:type="dxa"/>
            <w:tcBorders>
              <w:top w:val="nil"/>
              <w:left w:val="nil"/>
            </w:tcBorders>
          </w:tcPr>
          <w:p>
            <w:pPr>
              <w:pStyle w:val="TableParagraph"/>
              <w:rPr>
                <w:rFonts w:ascii="Times New Roman"/>
                <w:sz w:val="18"/>
              </w:rPr>
            </w:pPr>
          </w:p>
        </w:tc>
        <w:tc>
          <w:tcPr>
            <w:tcW w:w="1756" w:type="dxa"/>
            <w:vMerge/>
            <w:tcBorders>
              <w:top w:val="nil"/>
            </w:tcBorders>
          </w:tcPr>
          <w:p>
            <w:pPr>
              <w:rPr>
                <w:sz w:val="2"/>
                <w:szCs w:val="2"/>
              </w:rPr>
            </w:pPr>
          </w:p>
        </w:tc>
        <w:tc>
          <w:tcPr>
            <w:tcW w:w="1727" w:type="dxa"/>
            <w:vMerge/>
            <w:tcBorders>
              <w:top w:val="nil"/>
            </w:tcBorders>
          </w:tcPr>
          <w:p>
            <w:pPr>
              <w:rPr>
                <w:sz w:val="2"/>
                <w:szCs w:val="2"/>
              </w:rPr>
            </w:pPr>
          </w:p>
        </w:tc>
        <w:tc>
          <w:tcPr>
            <w:tcW w:w="1497" w:type="dxa"/>
            <w:tcBorders>
              <w:top w:val="nil"/>
              <w:bottom w:val="nil"/>
            </w:tcBorders>
          </w:tcPr>
          <w:p>
            <w:pPr>
              <w:pStyle w:val="TableParagraph"/>
              <w:rPr>
                <w:rFonts w:ascii="Times New Roman"/>
                <w:sz w:val="18"/>
              </w:rPr>
            </w:pPr>
          </w:p>
        </w:tc>
        <w:tc>
          <w:tcPr>
            <w:tcW w:w="2414" w:type="dxa"/>
            <w:tcBorders>
              <w:top w:val="nil"/>
            </w:tcBorders>
          </w:tcPr>
          <w:p>
            <w:pPr>
              <w:pStyle w:val="TableParagraph"/>
              <w:rPr>
                <w:rFonts w:ascii="Times New Roman"/>
                <w:sz w:val="18"/>
              </w:rPr>
            </w:pPr>
          </w:p>
        </w:tc>
      </w:tr>
      <w:tr>
        <w:trPr>
          <w:trHeight w:val="3420" w:hRule="atLeast"/>
        </w:trPr>
        <w:tc>
          <w:tcPr>
            <w:tcW w:w="1180" w:type="dxa"/>
            <w:tcBorders>
              <w:top w:val="nil"/>
            </w:tcBorders>
            <w:shd w:val="clear" w:color="auto" w:fill="E6E7E8"/>
          </w:tcPr>
          <w:p>
            <w:pPr>
              <w:pStyle w:val="TableParagraph"/>
              <w:rPr>
                <w:rFonts w:ascii="Times New Roman"/>
                <w:sz w:val="18"/>
              </w:rPr>
            </w:pPr>
          </w:p>
        </w:tc>
        <w:tc>
          <w:tcPr>
            <w:tcW w:w="1094" w:type="dxa"/>
            <w:tcBorders>
              <w:top w:val="nil"/>
            </w:tcBorders>
          </w:tcPr>
          <w:p>
            <w:pPr>
              <w:pStyle w:val="TableParagraph"/>
              <w:rPr>
                <w:rFonts w:ascii="Times New Roman"/>
                <w:sz w:val="18"/>
              </w:rPr>
            </w:pPr>
          </w:p>
        </w:tc>
        <w:tc>
          <w:tcPr>
            <w:tcW w:w="1180" w:type="dxa"/>
            <w:tcBorders>
              <w:top w:val="nil"/>
            </w:tcBorders>
          </w:tcPr>
          <w:p>
            <w:pPr>
              <w:pStyle w:val="TableParagraph"/>
              <w:rPr>
                <w:rFonts w:ascii="Times New Roman"/>
                <w:sz w:val="18"/>
              </w:rPr>
            </w:pPr>
          </w:p>
        </w:tc>
        <w:tc>
          <w:tcPr>
            <w:tcW w:w="1324" w:type="dxa"/>
            <w:tcBorders>
              <w:top w:val="nil"/>
            </w:tcBorders>
          </w:tcPr>
          <w:p>
            <w:pPr>
              <w:pStyle w:val="TableParagraph"/>
              <w:rPr>
                <w:rFonts w:ascii="Times New Roman"/>
                <w:sz w:val="18"/>
              </w:rPr>
            </w:pPr>
          </w:p>
        </w:tc>
        <w:tc>
          <w:tcPr>
            <w:tcW w:w="1065" w:type="dxa"/>
            <w:vMerge/>
            <w:tcBorders>
              <w:top w:val="nil"/>
            </w:tcBorders>
          </w:tcPr>
          <w:p>
            <w:pPr>
              <w:rPr>
                <w:sz w:val="2"/>
                <w:szCs w:val="2"/>
              </w:rPr>
            </w:pPr>
          </w:p>
        </w:tc>
        <w:tc>
          <w:tcPr>
            <w:tcW w:w="1641" w:type="dxa"/>
            <w:tcBorders>
              <w:top w:val="nil"/>
            </w:tcBorders>
          </w:tcPr>
          <w:p>
            <w:pPr>
              <w:pStyle w:val="TableParagraph"/>
              <w:rPr>
                <w:rFonts w:ascii="Times New Roman"/>
                <w:sz w:val="18"/>
              </w:rPr>
            </w:pPr>
          </w:p>
        </w:tc>
        <w:tc>
          <w:tcPr>
            <w:tcW w:w="3789" w:type="dxa"/>
            <w:tcBorders>
              <w:right w:val="nil"/>
            </w:tcBorders>
          </w:tcPr>
          <w:p>
            <w:pPr>
              <w:pStyle w:val="TableParagraph"/>
              <w:spacing w:before="93"/>
              <w:ind w:left="93"/>
              <w:rPr>
                <w:sz w:val="18"/>
              </w:rPr>
            </w:pPr>
            <w:r>
              <w:rPr>
                <w:color w:val="105C84"/>
                <w:sz w:val="18"/>
              </w:rPr>
              <w:t>#</w:t>
            </w:r>
            <w:r>
              <w:rPr>
                <w:color w:val="105C84"/>
                <w:spacing w:val="-7"/>
                <w:sz w:val="18"/>
              </w:rPr>
              <w:t> </w:t>
            </w:r>
            <w:r>
              <w:rPr>
                <w:color w:val="105C84"/>
                <w:sz w:val="18"/>
              </w:rPr>
              <w:t>patients</w:t>
            </w:r>
            <w:r>
              <w:rPr>
                <w:color w:val="105C84"/>
                <w:spacing w:val="-7"/>
                <w:sz w:val="18"/>
              </w:rPr>
              <w:t> </w:t>
            </w:r>
            <w:r>
              <w:rPr>
                <w:color w:val="105C84"/>
                <w:sz w:val="18"/>
              </w:rPr>
              <w:t>seen</w:t>
            </w:r>
            <w:r>
              <w:rPr>
                <w:color w:val="105C84"/>
                <w:spacing w:val="-7"/>
                <w:sz w:val="18"/>
              </w:rPr>
              <w:t> </w:t>
            </w:r>
            <w:r>
              <w:rPr>
                <w:color w:val="105C84"/>
                <w:sz w:val="18"/>
              </w:rPr>
              <w:t>by</w:t>
            </w:r>
            <w:r>
              <w:rPr>
                <w:color w:val="105C84"/>
                <w:spacing w:val="-8"/>
                <w:sz w:val="18"/>
              </w:rPr>
              <w:t> </w:t>
            </w:r>
            <w:r>
              <w:rPr>
                <w:color w:val="105C84"/>
                <w:spacing w:val="-5"/>
                <w:sz w:val="18"/>
              </w:rPr>
              <w:t>PAO</w:t>
            </w:r>
          </w:p>
        </w:tc>
        <w:tc>
          <w:tcPr>
            <w:tcW w:w="3698" w:type="dxa"/>
            <w:tcBorders>
              <w:left w:val="nil"/>
            </w:tcBorders>
          </w:tcPr>
          <w:p>
            <w:pPr>
              <w:pStyle w:val="TableParagraph"/>
              <w:spacing w:line="232" w:lineRule="auto" w:before="98"/>
              <w:ind w:left="1054" w:right="273"/>
              <w:rPr>
                <w:sz w:val="18"/>
              </w:rPr>
            </w:pPr>
            <w:r>
              <w:rPr>
                <w:color w:val="105C84"/>
                <w:spacing w:val="-2"/>
                <w:sz w:val="18"/>
              </w:rPr>
              <w:t>SJH’s</w:t>
            </w:r>
            <w:r>
              <w:rPr>
                <w:color w:val="105C84"/>
                <w:spacing w:val="-13"/>
                <w:sz w:val="18"/>
              </w:rPr>
              <w:t> </w:t>
            </w:r>
            <w:r>
              <w:rPr>
                <w:color w:val="105C84"/>
                <w:spacing w:val="-2"/>
                <w:sz w:val="18"/>
              </w:rPr>
              <w:t>Psychiatric</w:t>
            </w:r>
            <w:r>
              <w:rPr>
                <w:color w:val="105C84"/>
                <w:spacing w:val="-10"/>
                <w:sz w:val="18"/>
              </w:rPr>
              <w:t> </w:t>
            </w:r>
            <w:r>
              <w:rPr>
                <w:color w:val="105C84"/>
                <w:spacing w:val="-2"/>
                <w:sz w:val="18"/>
              </w:rPr>
              <w:t>Assessment </w:t>
            </w:r>
            <w:r>
              <w:rPr>
                <w:color w:val="105C84"/>
                <w:sz w:val="18"/>
              </w:rPr>
              <w:t>Officer</w:t>
            </w:r>
            <w:r>
              <w:rPr>
                <w:color w:val="105C84"/>
                <w:spacing w:val="-13"/>
                <w:sz w:val="18"/>
              </w:rPr>
              <w:t> </w:t>
            </w:r>
            <w:r>
              <w:rPr>
                <w:color w:val="105C84"/>
                <w:sz w:val="18"/>
              </w:rPr>
              <w:t>(PAO)</w:t>
            </w:r>
            <w:r>
              <w:rPr>
                <w:color w:val="105C84"/>
                <w:spacing w:val="-12"/>
                <w:sz w:val="18"/>
              </w:rPr>
              <w:t> </w:t>
            </w:r>
            <w:r>
              <w:rPr>
                <w:color w:val="105C84"/>
                <w:sz w:val="18"/>
              </w:rPr>
              <w:t>is</w:t>
            </w:r>
            <w:r>
              <w:rPr>
                <w:color w:val="105C84"/>
                <w:spacing w:val="-13"/>
                <w:sz w:val="18"/>
              </w:rPr>
              <w:t> </w:t>
            </w:r>
            <w:r>
              <w:rPr>
                <w:color w:val="105C84"/>
                <w:sz w:val="18"/>
              </w:rPr>
              <w:t>located</w:t>
            </w:r>
            <w:r>
              <w:rPr>
                <w:color w:val="105C84"/>
                <w:spacing w:val="-12"/>
                <w:sz w:val="18"/>
              </w:rPr>
              <w:t> </w:t>
            </w:r>
            <w:r>
              <w:rPr>
                <w:color w:val="105C84"/>
                <w:sz w:val="18"/>
              </w:rPr>
              <w:t>in</w:t>
            </w:r>
            <w:r>
              <w:rPr>
                <w:color w:val="105C84"/>
                <w:spacing w:val="-13"/>
                <w:sz w:val="18"/>
              </w:rPr>
              <w:t> </w:t>
            </w:r>
            <w:r>
              <w:rPr>
                <w:color w:val="105C84"/>
                <w:sz w:val="18"/>
              </w:rPr>
              <w:t>the Emergency Department</w:t>
            </w:r>
          </w:p>
          <w:p>
            <w:pPr>
              <w:pStyle w:val="TableParagraph"/>
              <w:spacing w:line="232" w:lineRule="auto" w:before="88"/>
              <w:ind w:left="1054" w:right="67"/>
              <w:rPr>
                <w:sz w:val="18"/>
              </w:rPr>
            </w:pPr>
            <w:r>
              <w:rPr>
                <w:color w:val="105C84"/>
                <w:sz w:val="18"/>
              </w:rPr>
              <w:t>The PAO connects mental health patients and substance abuse</w:t>
            </w:r>
            <w:r>
              <w:rPr>
                <w:color w:val="105C84"/>
                <w:spacing w:val="-6"/>
                <w:sz w:val="18"/>
              </w:rPr>
              <w:t> </w:t>
            </w:r>
            <w:r>
              <w:rPr>
                <w:color w:val="105C84"/>
                <w:sz w:val="18"/>
              </w:rPr>
              <w:t>patients</w:t>
            </w:r>
            <w:r>
              <w:rPr>
                <w:color w:val="105C84"/>
                <w:spacing w:val="-6"/>
                <w:sz w:val="18"/>
              </w:rPr>
              <w:t> </w:t>
            </w:r>
            <w:r>
              <w:rPr>
                <w:color w:val="105C84"/>
                <w:sz w:val="18"/>
              </w:rPr>
              <w:t>with</w:t>
            </w:r>
            <w:r>
              <w:rPr>
                <w:color w:val="105C84"/>
                <w:spacing w:val="-6"/>
                <w:sz w:val="18"/>
              </w:rPr>
              <w:t> </w:t>
            </w:r>
            <w:r>
              <w:rPr>
                <w:color w:val="105C84"/>
                <w:sz w:val="18"/>
              </w:rPr>
              <w:t>community </w:t>
            </w:r>
            <w:r>
              <w:rPr>
                <w:color w:val="105C84"/>
                <w:spacing w:val="-2"/>
                <w:sz w:val="18"/>
              </w:rPr>
              <w:t>resources</w:t>
            </w:r>
          </w:p>
          <w:p>
            <w:pPr>
              <w:pStyle w:val="TableParagraph"/>
              <w:spacing w:line="232" w:lineRule="auto" w:before="86"/>
              <w:ind w:left="1054" w:right="95"/>
              <w:jc w:val="both"/>
              <w:rPr>
                <w:sz w:val="18"/>
              </w:rPr>
            </w:pPr>
            <w:r>
              <w:rPr>
                <w:color w:val="105C84"/>
                <w:sz w:val="18"/>
              </w:rPr>
              <w:t>The</w:t>
            </w:r>
            <w:r>
              <w:rPr>
                <w:color w:val="105C84"/>
                <w:spacing w:val="-13"/>
                <w:sz w:val="18"/>
              </w:rPr>
              <w:t> </w:t>
            </w:r>
            <w:r>
              <w:rPr>
                <w:color w:val="105C84"/>
                <w:sz w:val="18"/>
              </w:rPr>
              <w:t>PAO</w:t>
            </w:r>
            <w:r>
              <w:rPr>
                <w:color w:val="105C84"/>
                <w:spacing w:val="-12"/>
                <w:sz w:val="18"/>
              </w:rPr>
              <w:t> </w:t>
            </w:r>
            <w:r>
              <w:rPr>
                <w:color w:val="105C84"/>
                <w:sz w:val="18"/>
              </w:rPr>
              <w:t>works</w:t>
            </w:r>
            <w:r>
              <w:rPr>
                <w:color w:val="105C84"/>
                <w:spacing w:val="-13"/>
                <w:sz w:val="18"/>
              </w:rPr>
              <w:t> </w:t>
            </w:r>
            <w:r>
              <w:rPr>
                <w:color w:val="105C84"/>
                <w:sz w:val="18"/>
              </w:rPr>
              <w:t>with</w:t>
            </w:r>
            <w:r>
              <w:rPr>
                <w:color w:val="105C84"/>
                <w:spacing w:val="-12"/>
                <w:sz w:val="18"/>
              </w:rPr>
              <w:t> </w:t>
            </w:r>
            <w:r>
              <w:rPr>
                <w:color w:val="105C84"/>
                <w:sz w:val="18"/>
              </w:rPr>
              <w:t>a</w:t>
            </w:r>
            <w:r>
              <w:rPr>
                <w:color w:val="105C84"/>
                <w:spacing w:val="-13"/>
                <w:sz w:val="18"/>
              </w:rPr>
              <w:t> </w:t>
            </w:r>
            <w:r>
              <w:rPr>
                <w:color w:val="105C84"/>
                <w:sz w:val="18"/>
              </w:rPr>
              <w:t>telepsych psychiatrist to identify the need for inpatient treatment as well</w:t>
            </w:r>
          </w:p>
          <w:p>
            <w:pPr>
              <w:pStyle w:val="TableParagraph"/>
              <w:spacing w:line="232" w:lineRule="auto" w:before="88"/>
              <w:ind w:left="1054" w:right="175"/>
              <w:rPr>
                <w:sz w:val="18"/>
              </w:rPr>
            </w:pPr>
            <w:r>
              <w:rPr>
                <w:color w:val="105C84"/>
                <w:sz w:val="18"/>
              </w:rPr>
              <w:t>This helps to keep patients within their own community and not to travel outside the community</w:t>
            </w:r>
            <w:r>
              <w:rPr>
                <w:color w:val="105C84"/>
                <w:spacing w:val="-7"/>
                <w:sz w:val="18"/>
              </w:rPr>
              <w:t> </w:t>
            </w:r>
            <w:r>
              <w:rPr>
                <w:color w:val="105C84"/>
                <w:sz w:val="18"/>
              </w:rPr>
              <w:t>unless</w:t>
            </w:r>
            <w:r>
              <w:rPr>
                <w:color w:val="105C84"/>
                <w:spacing w:val="-7"/>
                <w:sz w:val="18"/>
              </w:rPr>
              <w:t> </w:t>
            </w:r>
            <w:r>
              <w:rPr>
                <w:color w:val="105C84"/>
                <w:sz w:val="18"/>
              </w:rPr>
              <w:t>the</w:t>
            </w:r>
            <w:r>
              <w:rPr>
                <w:color w:val="105C84"/>
                <w:spacing w:val="-7"/>
                <w:sz w:val="18"/>
              </w:rPr>
              <w:t> </w:t>
            </w:r>
            <w:r>
              <w:rPr>
                <w:color w:val="105C84"/>
                <w:sz w:val="18"/>
              </w:rPr>
              <w:t>need</w:t>
            </w:r>
            <w:r>
              <w:rPr>
                <w:color w:val="105C84"/>
                <w:spacing w:val="-7"/>
                <w:sz w:val="18"/>
              </w:rPr>
              <w:t> </w:t>
            </w:r>
            <w:r>
              <w:rPr>
                <w:color w:val="105C84"/>
                <w:sz w:val="18"/>
              </w:rPr>
              <w:t>for further services is available</w:t>
            </w:r>
          </w:p>
        </w:tc>
        <w:tc>
          <w:tcPr>
            <w:tcW w:w="1756" w:type="dxa"/>
          </w:tcPr>
          <w:p>
            <w:pPr>
              <w:pStyle w:val="TableParagraph"/>
              <w:spacing w:line="232" w:lineRule="auto" w:before="98"/>
              <w:ind w:left="94" w:right="320"/>
              <w:rPr>
                <w:sz w:val="18"/>
              </w:rPr>
            </w:pPr>
            <w:r>
              <w:rPr>
                <w:color w:val="105C84"/>
                <w:sz w:val="18"/>
              </w:rPr>
              <w:t>PAO</w:t>
            </w:r>
            <w:r>
              <w:rPr>
                <w:color w:val="105C84"/>
                <w:spacing w:val="-15"/>
                <w:sz w:val="18"/>
              </w:rPr>
              <w:t> </w:t>
            </w:r>
            <w:r>
              <w:rPr>
                <w:color w:val="105C84"/>
                <w:sz w:val="18"/>
              </w:rPr>
              <w:t>to</w:t>
            </w:r>
            <w:r>
              <w:rPr>
                <w:color w:val="105C84"/>
                <w:spacing w:val="-12"/>
                <w:sz w:val="18"/>
              </w:rPr>
              <w:t> </w:t>
            </w:r>
            <w:r>
              <w:rPr>
                <w:color w:val="105C84"/>
                <w:sz w:val="18"/>
              </w:rPr>
              <w:t>continue to see patients </w:t>
            </w:r>
            <w:r>
              <w:rPr>
                <w:color w:val="105C84"/>
                <w:spacing w:val="-2"/>
                <w:sz w:val="18"/>
              </w:rPr>
              <w:t>and</w:t>
            </w:r>
            <w:r>
              <w:rPr>
                <w:color w:val="105C84"/>
                <w:spacing w:val="-13"/>
                <w:sz w:val="18"/>
              </w:rPr>
              <w:t> </w:t>
            </w:r>
            <w:r>
              <w:rPr>
                <w:color w:val="105C84"/>
                <w:spacing w:val="-2"/>
                <w:sz w:val="18"/>
              </w:rPr>
              <w:t>assess</w:t>
            </w:r>
            <w:r>
              <w:rPr>
                <w:color w:val="105C84"/>
                <w:spacing w:val="-10"/>
                <w:sz w:val="18"/>
              </w:rPr>
              <w:t> </w:t>
            </w:r>
            <w:r>
              <w:rPr>
                <w:color w:val="105C84"/>
                <w:spacing w:val="-2"/>
                <w:sz w:val="18"/>
              </w:rPr>
              <w:t>need </w:t>
            </w:r>
            <w:r>
              <w:rPr>
                <w:color w:val="105C84"/>
                <w:sz w:val="18"/>
              </w:rPr>
              <w:t>for psychiatric inpatient of </w:t>
            </w:r>
            <w:r>
              <w:rPr>
                <w:color w:val="105C84"/>
                <w:spacing w:val="-2"/>
                <w:sz w:val="18"/>
              </w:rPr>
              <w:t>telepsych</w:t>
            </w:r>
          </w:p>
          <w:p>
            <w:pPr>
              <w:pStyle w:val="TableParagraph"/>
              <w:spacing w:line="232" w:lineRule="auto" w:before="85"/>
              <w:ind w:left="94" w:right="1"/>
              <w:rPr>
                <w:sz w:val="18"/>
              </w:rPr>
            </w:pPr>
            <w:r>
              <w:rPr>
                <w:color w:val="105C84"/>
                <w:w w:val="105"/>
                <w:sz w:val="18"/>
              </w:rPr>
              <w:t>SJH</w:t>
            </w:r>
            <w:r>
              <w:rPr>
                <w:color w:val="105C84"/>
                <w:spacing w:val="-1"/>
                <w:w w:val="105"/>
                <w:sz w:val="18"/>
              </w:rPr>
              <w:t> </w:t>
            </w:r>
            <w:r>
              <w:rPr>
                <w:color w:val="105C84"/>
                <w:w w:val="105"/>
                <w:sz w:val="18"/>
              </w:rPr>
              <w:t>exploring opportunity</w:t>
            </w:r>
            <w:r>
              <w:rPr>
                <w:color w:val="105C84"/>
                <w:spacing w:val="-14"/>
                <w:w w:val="105"/>
                <w:sz w:val="18"/>
              </w:rPr>
              <w:t> </w:t>
            </w:r>
            <w:r>
              <w:rPr>
                <w:color w:val="105C84"/>
                <w:w w:val="105"/>
                <w:sz w:val="18"/>
              </w:rPr>
              <w:t>to</w:t>
            </w:r>
            <w:r>
              <w:rPr>
                <w:color w:val="105C84"/>
                <w:spacing w:val="-13"/>
                <w:w w:val="105"/>
                <w:sz w:val="18"/>
              </w:rPr>
              <w:t> </w:t>
            </w:r>
            <w:r>
              <w:rPr>
                <w:color w:val="105C84"/>
                <w:w w:val="105"/>
                <w:sz w:val="18"/>
              </w:rPr>
              <w:t>fund an additional PAO in medical office building</w:t>
            </w:r>
            <w:r>
              <w:rPr>
                <w:color w:val="105C84"/>
                <w:spacing w:val="-1"/>
                <w:w w:val="105"/>
                <w:sz w:val="18"/>
              </w:rPr>
              <w:t> </w:t>
            </w:r>
            <w:r>
              <w:rPr>
                <w:color w:val="105C84"/>
                <w:w w:val="105"/>
                <w:sz w:val="18"/>
              </w:rPr>
              <w:t>(MOB)</w:t>
            </w:r>
          </w:p>
        </w:tc>
        <w:tc>
          <w:tcPr>
            <w:tcW w:w="1727" w:type="dxa"/>
          </w:tcPr>
          <w:p>
            <w:pPr>
              <w:pStyle w:val="TableParagraph"/>
              <w:spacing w:line="232" w:lineRule="auto" w:before="97"/>
              <w:ind w:left="95" w:right="290"/>
              <w:rPr>
                <w:sz w:val="18"/>
              </w:rPr>
            </w:pPr>
            <w:r>
              <w:rPr>
                <w:color w:val="105C84"/>
                <w:sz w:val="18"/>
              </w:rPr>
              <w:t>PAO</w:t>
            </w:r>
            <w:r>
              <w:rPr>
                <w:color w:val="105C84"/>
                <w:spacing w:val="-15"/>
                <w:sz w:val="18"/>
              </w:rPr>
              <w:t> </w:t>
            </w:r>
            <w:r>
              <w:rPr>
                <w:color w:val="105C84"/>
                <w:sz w:val="18"/>
              </w:rPr>
              <w:t>to</w:t>
            </w:r>
            <w:r>
              <w:rPr>
                <w:color w:val="105C84"/>
                <w:spacing w:val="-12"/>
                <w:sz w:val="18"/>
              </w:rPr>
              <w:t> </w:t>
            </w:r>
            <w:r>
              <w:rPr>
                <w:color w:val="105C84"/>
                <w:sz w:val="18"/>
              </w:rPr>
              <w:t>continue to see patients </w:t>
            </w:r>
            <w:r>
              <w:rPr>
                <w:color w:val="105C84"/>
                <w:spacing w:val="-2"/>
                <w:sz w:val="18"/>
              </w:rPr>
              <w:t>and</w:t>
            </w:r>
            <w:r>
              <w:rPr>
                <w:color w:val="105C84"/>
                <w:spacing w:val="-13"/>
                <w:sz w:val="18"/>
              </w:rPr>
              <w:t> </w:t>
            </w:r>
            <w:r>
              <w:rPr>
                <w:color w:val="105C84"/>
                <w:spacing w:val="-2"/>
                <w:sz w:val="18"/>
              </w:rPr>
              <w:t>assess</w:t>
            </w:r>
            <w:r>
              <w:rPr>
                <w:color w:val="105C84"/>
                <w:spacing w:val="-10"/>
                <w:sz w:val="18"/>
              </w:rPr>
              <w:t> </w:t>
            </w:r>
            <w:r>
              <w:rPr>
                <w:color w:val="105C84"/>
                <w:spacing w:val="-2"/>
                <w:sz w:val="18"/>
              </w:rPr>
              <w:t>need </w:t>
            </w:r>
            <w:r>
              <w:rPr>
                <w:color w:val="105C84"/>
                <w:sz w:val="18"/>
              </w:rPr>
              <w:t>for psychiatric inpatient of </w:t>
            </w:r>
            <w:r>
              <w:rPr>
                <w:color w:val="105C84"/>
                <w:spacing w:val="-2"/>
                <w:sz w:val="18"/>
              </w:rPr>
              <w:t>telepsych</w:t>
            </w:r>
          </w:p>
          <w:p>
            <w:pPr>
              <w:pStyle w:val="TableParagraph"/>
              <w:spacing w:line="232" w:lineRule="auto" w:before="86"/>
              <w:ind w:left="95" w:right="178"/>
              <w:rPr>
                <w:sz w:val="18"/>
              </w:rPr>
            </w:pPr>
            <w:r>
              <w:rPr>
                <w:color w:val="105C84"/>
                <w:sz w:val="18"/>
              </w:rPr>
              <w:t>If financing available begin expansion</w:t>
            </w:r>
            <w:r>
              <w:rPr>
                <w:color w:val="105C84"/>
                <w:spacing w:val="-15"/>
                <w:sz w:val="18"/>
              </w:rPr>
              <w:t> </w:t>
            </w:r>
            <w:r>
              <w:rPr>
                <w:color w:val="105C84"/>
                <w:sz w:val="18"/>
              </w:rPr>
              <w:t>of</w:t>
            </w:r>
            <w:r>
              <w:rPr>
                <w:color w:val="105C84"/>
                <w:spacing w:val="-12"/>
                <w:sz w:val="18"/>
              </w:rPr>
              <w:t> </w:t>
            </w:r>
            <w:r>
              <w:rPr>
                <w:color w:val="105C84"/>
                <w:sz w:val="18"/>
              </w:rPr>
              <w:t>PAO services to MOB</w:t>
            </w:r>
          </w:p>
        </w:tc>
        <w:tc>
          <w:tcPr>
            <w:tcW w:w="1497" w:type="dxa"/>
            <w:tcBorders>
              <w:top w:val="nil"/>
            </w:tcBorders>
          </w:tcPr>
          <w:p>
            <w:pPr>
              <w:pStyle w:val="TableParagraph"/>
              <w:rPr>
                <w:rFonts w:ascii="Times New Roman"/>
                <w:sz w:val="18"/>
              </w:rPr>
            </w:pPr>
          </w:p>
        </w:tc>
        <w:tc>
          <w:tcPr>
            <w:tcW w:w="2414" w:type="dxa"/>
          </w:tcPr>
          <w:p>
            <w:pPr>
              <w:pStyle w:val="TableParagraph"/>
              <w:spacing w:line="232" w:lineRule="auto" w:before="97"/>
              <w:ind w:left="96" w:right="186"/>
              <w:rPr>
                <w:sz w:val="18"/>
              </w:rPr>
            </w:pPr>
            <w:r>
              <w:rPr>
                <w:color w:val="105C84"/>
                <w:sz w:val="18"/>
              </w:rPr>
              <w:t>PAO housed in ED, able</w:t>
            </w:r>
            <w:r>
              <w:rPr>
                <w:color w:val="105C84"/>
                <w:spacing w:val="40"/>
                <w:sz w:val="18"/>
              </w:rPr>
              <w:t> </w:t>
            </w:r>
            <w:r>
              <w:rPr>
                <w:color w:val="105C84"/>
                <w:sz w:val="18"/>
              </w:rPr>
              <w:t>to see patients in ER and on</w:t>
            </w:r>
            <w:r>
              <w:rPr>
                <w:color w:val="105C84"/>
                <w:spacing w:val="-9"/>
                <w:sz w:val="18"/>
              </w:rPr>
              <w:t> </w:t>
            </w:r>
            <w:r>
              <w:rPr>
                <w:color w:val="105C84"/>
                <w:sz w:val="18"/>
              </w:rPr>
              <w:t>inpatient</w:t>
            </w:r>
            <w:r>
              <w:rPr>
                <w:color w:val="105C84"/>
                <w:spacing w:val="-9"/>
                <w:sz w:val="18"/>
              </w:rPr>
              <w:t> </w:t>
            </w:r>
            <w:r>
              <w:rPr>
                <w:color w:val="105C84"/>
                <w:sz w:val="18"/>
              </w:rPr>
              <w:t>unit.</w:t>
            </w:r>
            <w:r>
              <w:rPr>
                <w:color w:val="105C84"/>
                <w:spacing w:val="-9"/>
                <w:sz w:val="18"/>
              </w:rPr>
              <w:t> </w:t>
            </w:r>
            <w:r>
              <w:rPr>
                <w:color w:val="105C84"/>
                <w:sz w:val="18"/>
              </w:rPr>
              <w:t>St</w:t>
            </w:r>
            <w:r>
              <w:rPr>
                <w:color w:val="105C84"/>
                <w:spacing w:val="-9"/>
                <w:sz w:val="18"/>
              </w:rPr>
              <w:t> </w:t>
            </w:r>
            <w:r>
              <w:rPr>
                <w:color w:val="105C84"/>
                <w:sz w:val="18"/>
              </w:rPr>
              <w:t>James contracted with URMC for </w:t>
            </w:r>
            <w:r>
              <w:rPr>
                <w:color w:val="105C84"/>
                <w:spacing w:val="-2"/>
                <w:sz w:val="18"/>
              </w:rPr>
              <w:t>telepsych</w:t>
            </w:r>
          </w:p>
        </w:tc>
      </w:tr>
    </w:tbl>
    <w:p>
      <w:pPr>
        <w:tabs>
          <w:tab w:pos="23047" w:val="left" w:leader="none"/>
        </w:tabs>
        <w:spacing w:before="204"/>
        <w:ind w:left="0" w:right="0" w:firstLine="0"/>
        <w:jc w:val="left"/>
        <w:rPr>
          <w:b/>
          <w:sz w:val="26"/>
        </w:rPr>
      </w:pPr>
      <w:r>
        <w:rPr>
          <w:position w:val="-4"/>
        </w:rPr>
        <w:drawing>
          <wp:inline distT="0" distB="0" distL="0" distR="0">
            <wp:extent cx="568172" cy="184683"/>
            <wp:effectExtent l="0" t="0" r="0" b="0"/>
            <wp:docPr id="1985" name="Image 1985"/>
            <wp:cNvGraphicFramePr>
              <a:graphicFrameLocks/>
            </wp:cNvGraphicFramePr>
            <a:graphic>
              <a:graphicData uri="http://schemas.openxmlformats.org/drawingml/2006/picture">
                <pic:pic>
                  <pic:nvPicPr>
                    <pic:cNvPr id="1985" name="Image 1985"/>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13"/>
          <w:sz w:val="20"/>
        </w:rPr>
        <w:t> </w:t>
      </w:r>
      <w:r>
        <w:rPr>
          <w:b/>
          <w:color w:val="939598"/>
          <w:w w:val="105"/>
          <w:sz w:val="26"/>
        </w:rPr>
        <w:t>203</w:t>
      </w:r>
      <w:r>
        <w:rPr>
          <w:b/>
          <w:color w:val="939598"/>
          <w:sz w:val="26"/>
        </w:rPr>
        <w:tab/>
      </w:r>
      <w:r>
        <w:rPr>
          <w:b/>
          <w:color w:val="939598"/>
          <w:spacing w:val="-5"/>
          <w:w w:val="105"/>
          <w:sz w:val="26"/>
        </w:rPr>
        <w:t>204</w:t>
      </w:r>
    </w:p>
    <w:p>
      <w:pPr>
        <w:spacing w:after="0"/>
        <w:jc w:val="left"/>
        <w:rPr>
          <w:b/>
          <w:sz w:val="26"/>
        </w:rPr>
        <w:sectPr>
          <w:pgSz w:w="24480" w:h="15840" w:orient="landscape"/>
          <w:pgMar w:header="0" w:footer="0" w:top="860" w:bottom="0" w:left="0" w:right="720"/>
        </w:sectPr>
      </w:pPr>
    </w:p>
    <w:p>
      <w:pPr>
        <w:pStyle w:val="BodyText"/>
        <w:spacing w:before="8"/>
        <w:rPr>
          <w:b/>
          <w:sz w:val="54"/>
        </w:rPr>
      </w:pPr>
      <w:r>
        <w:rPr>
          <w:b/>
          <w:sz w:val="54"/>
        </w:rPr>
        <w:drawing>
          <wp:anchor distT="0" distB="0" distL="0" distR="0" allowOverlap="1" layoutInCell="1" locked="0" behindDoc="0" simplePos="0" relativeHeight="16013824">
            <wp:simplePos x="0" y="0"/>
            <wp:positionH relativeFrom="page">
              <wp:posOffset>14981556</wp:posOffset>
            </wp:positionH>
            <wp:positionV relativeFrom="page">
              <wp:posOffset>9668103</wp:posOffset>
            </wp:positionV>
            <wp:extent cx="563245" cy="184683"/>
            <wp:effectExtent l="0" t="0" r="0" b="0"/>
            <wp:wrapNone/>
            <wp:docPr id="1986" name="Image 1986"/>
            <wp:cNvGraphicFramePr>
              <a:graphicFrameLocks/>
            </wp:cNvGraphicFramePr>
            <a:graphic>
              <a:graphicData uri="http://schemas.openxmlformats.org/drawingml/2006/picture">
                <pic:pic>
                  <pic:nvPicPr>
                    <pic:cNvPr id="1986" name="Image 1986"/>
                    <pic:cNvPicPr/>
                  </pic:nvPicPr>
                  <pic:blipFill>
                    <a:blip r:embed="rId38" cstate="print"/>
                    <a:stretch>
                      <a:fillRect/>
                    </a:stretch>
                  </pic:blipFill>
                  <pic:spPr>
                    <a:xfrm>
                      <a:off x="0" y="0"/>
                      <a:ext cx="563245" cy="184683"/>
                    </a:xfrm>
                    <a:prstGeom prst="rect">
                      <a:avLst/>
                    </a:prstGeom>
                  </pic:spPr>
                </pic:pic>
              </a:graphicData>
            </a:graphic>
          </wp:anchor>
        </w:drawing>
      </w:r>
    </w:p>
    <w:p>
      <w:pPr>
        <w:spacing w:before="0"/>
        <w:ind w:left="1089" w:right="0" w:firstLine="0"/>
        <w:jc w:val="left"/>
        <w:rPr>
          <w:sz w:val="54"/>
        </w:rPr>
      </w:pPr>
      <w:r>
        <w:rPr>
          <w:sz w:val="54"/>
        </w:rPr>
        <w:drawing>
          <wp:anchor distT="0" distB="0" distL="0" distR="0" allowOverlap="1" layoutInCell="1" locked="0" behindDoc="0" simplePos="0" relativeHeight="16014336">
            <wp:simplePos x="0" y="0"/>
            <wp:positionH relativeFrom="page">
              <wp:posOffset>14298866</wp:posOffset>
            </wp:positionH>
            <wp:positionV relativeFrom="paragraph">
              <wp:posOffset>-66292</wp:posOffset>
            </wp:positionV>
            <wp:extent cx="552068" cy="591502"/>
            <wp:effectExtent l="0" t="0" r="0" b="0"/>
            <wp:wrapNone/>
            <wp:docPr id="1987" name="Image 1987"/>
            <wp:cNvGraphicFramePr>
              <a:graphicFrameLocks/>
            </wp:cNvGraphicFramePr>
            <a:graphic>
              <a:graphicData uri="http://schemas.openxmlformats.org/drawingml/2006/picture">
                <pic:pic>
                  <pic:nvPicPr>
                    <pic:cNvPr id="1987" name="Image 1987"/>
                    <pic:cNvPicPr/>
                  </pic:nvPicPr>
                  <pic:blipFill>
                    <a:blip r:embed="rId259" cstate="print"/>
                    <a:stretch>
                      <a:fillRect/>
                    </a:stretch>
                  </pic:blipFill>
                  <pic:spPr>
                    <a:xfrm>
                      <a:off x="0" y="0"/>
                      <a:ext cx="552068" cy="591502"/>
                    </a:xfrm>
                    <a:prstGeom prst="rect">
                      <a:avLst/>
                    </a:prstGeom>
                  </pic:spPr>
                </pic:pic>
              </a:graphicData>
            </a:graphic>
          </wp:anchor>
        </w:drawing>
      </w:r>
      <w:r>
        <w:rPr>
          <w:sz w:val="54"/>
        </w:rPr>
        <w:drawing>
          <wp:anchor distT="0" distB="0" distL="0" distR="0" allowOverlap="1" layoutInCell="1" locked="0" behindDoc="0" simplePos="0" relativeHeight="16014848">
            <wp:simplePos x="0" y="0"/>
            <wp:positionH relativeFrom="page">
              <wp:posOffset>11596623</wp:posOffset>
            </wp:positionH>
            <wp:positionV relativeFrom="paragraph">
              <wp:posOffset>-68598</wp:posOffset>
            </wp:positionV>
            <wp:extent cx="1311661" cy="345815"/>
            <wp:effectExtent l="0" t="0" r="0" b="0"/>
            <wp:wrapNone/>
            <wp:docPr id="1988" name="Image 1988"/>
            <wp:cNvGraphicFramePr>
              <a:graphicFrameLocks/>
            </wp:cNvGraphicFramePr>
            <a:graphic>
              <a:graphicData uri="http://schemas.openxmlformats.org/drawingml/2006/picture">
                <pic:pic>
                  <pic:nvPicPr>
                    <pic:cNvPr id="1988" name="Image 1988"/>
                    <pic:cNvPicPr/>
                  </pic:nvPicPr>
                  <pic:blipFill>
                    <a:blip r:embed="rId260" cstate="print"/>
                    <a:stretch>
                      <a:fillRect/>
                    </a:stretch>
                  </pic:blipFill>
                  <pic:spPr>
                    <a:xfrm>
                      <a:off x="0" y="0"/>
                      <a:ext cx="1311661" cy="345815"/>
                    </a:xfrm>
                    <a:prstGeom prst="rect">
                      <a:avLst/>
                    </a:prstGeom>
                  </pic:spPr>
                </pic:pic>
              </a:graphicData>
            </a:graphic>
          </wp:anchor>
        </w:drawing>
      </w:r>
      <w:r>
        <w:rPr>
          <w:sz w:val="54"/>
        </w:rPr>
        <w:drawing>
          <wp:anchor distT="0" distB="0" distL="0" distR="0" allowOverlap="1" layoutInCell="1" locked="0" behindDoc="0" simplePos="0" relativeHeight="16015360">
            <wp:simplePos x="0" y="0"/>
            <wp:positionH relativeFrom="page">
              <wp:posOffset>13088996</wp:posOffset>
            </wp:positionH>
            <wp:positionV relativeFrom="paragraph">
              <wp:posOffset>-75983</wp:posOffset>
            </wp:positionV>
            <wp:extent cx="1063929" cy="302976"/>
            <wp:effectExtent l="0" t="0" r="0" b="0"/>
            <wp:wrapNone/>
            <wp:docPr id="1989" name="Image 1989"/>
            <wp:cNvGraphicFramePr>
              <a:graphicFrameLocks/>
            </wp:cNvGraphicFramePr>
            <a:graphic>
              <a:graphicData uri="http://schemas.openxmlformats.org/drawingml/2006/picture">
                <pic:pic>
                  <pic:nvPicPr>
                    <pic:cNvPr id="1989" name="Image 1989"/>
                    <pic:cNvPicPr/>
                  </pic:nvPicPr>
                  <pic:blipFill>
                    <a:blip r:embed="rId261" cstate="print"/>
                    <a:stretch>
                      <a:fillRect/>
                    </a:stretch>
                  </pic:blipFill>
                  <pic:spPr>
                    <a:xfrm>
                      <a:off x="0" y="0"/>
                      <a:ext cx="1063929" cy="302976"/>
                    </a:xfrm>
                    <a:prstGeom prst="rect">
                      <a:avLst/>
                    </a:prstGeom>
                  </pic:spPr>
                </pic:pic>
              </a:graphicData>
            </a:graphic>
          </wp:anchor>
        </w:drawing>
      </w:r>
      <w:r>
        <w:rPr>
          <w:sz w:val="54"/>
        </w:rPr>
        <w:drawing>
          <wp:anchor distT="0" distB="0" distL="0" distR="0" allowOverlap="1" layoutInCell="1" locked="0" behindDoc="0" simplePos="0" relativeHeight="16015872">
            <wp:simplePos x="0" y="0"/>
            <wp:positionH relativeFrom="page">
              <wp:posOffset>11099800</wp:posOffset>
            </wp:positionH>
            <wp:positionV relativeFrom="paragraph">
              <wp:posOffset>-119473</wp:posOffset>
            </wp:positionV>
            <wp:extent cx="330199" cy="393699"/>
            <wp:effectExtent l="0" t="0" r="0" b="0"/>
            <wp:wrapNone/>
            <wp:docPr id="1990" name="Image 1990"/>
            <wp:cNvGraphicFramePr>
              <a:graphicFrameLocks/>
            </wp:cNvGraphicFramePr>
            <a:graphic>
              <a:graphicData uri="http://schemas.openxmlformats.org/drawingml/2006/picture">
                <pic:pic>
                  <pic:nvPicPr>
                    <pic:cNvPr id="1990" name="Image 1990"/>
                    <pic:cNvPicPr/>
                  </pic:nvPicPr>
                  <pic:blipFill>
                    <a:blip r:embed="rId262" cstate="print"/>
                    <a:stretch>
                      <a:fillRect/>
                    </a:stretch>
                  </pic:blipFill>
                  <pic:spPr>
                    <a:xfrm>
                      <a:off x="0" y="0"/>
                      <a:ext cx="330199" cy="393699"/>
                    </a:xfrm>
                    <a:prstGeom prst="rect">
                      <a:avLst/>
                    </a:prstGeom>
                  </pic:spPr>
                </pic:pic>
              </a:graphicData>
            </a:graphic>
          </wp:anchor>
        </w:drawing>
      </w:r>
      <w:r>
        <w:rPr>
          <w:sz w:val="54"/>
        </w:rPr>
        <w:drawing>
          <wp:anchor distT="0" distB="0" distL="0" distR="0" allowOverlap="1" layoutInCell="1" locked="0" behindDoc="0" simplePos="0" relativeHeight="16016384">
            <wp:simplePos x="0" y="0"/>
            <wp:positionH relativeFrom="page">
              <wp:posOffset>9610343</wp:posOffset>
            </wp:positionH>
            <wp:positionV relativeFrom="paragraph">
              <wp:posOffset>-24936</wp:posOffset>
            </wp:positionV>
            <wp:extent cx="1279782" cy="224523"/>
            <wp:effectExtent l="0" t="0" r="0" b="0"/>
            <wp:wrapNone/>
            <wp:docPr id="1991" name="Image 1991"/>
            <wp:cNvGraphicFramePr>
              <a:graphicFrameLocks/>
            </wp:cNvGraphicFramePr>
            <a:graphic>
              <a:graphicData uri="http://schemas.openxmlformats.org/drawingml/2006/picture">
                <pic:pic>
                  <pic:nvPicPr>
                    <pic:cNvPr id="1991" name="Image 1991"/>
                    <pic:cNvPicPr/>
                  </pic:nvPicPr>
                  <pic:blipFill>
                    <a:blip r:embed="rId263" cstate="print"/>
                    <a:stretch>
                      <a:fillRect/>
                    </a:stretch>
                  </pic:blipFill>
                  <pic:spPr>
                    <a:xfrm>
                      <a:off x="0" y="0"/>
                      <a:ext cx="1279782" cy="224523"/>
                    </a:xfrm>
                    <a:prstGeom prst="rect">
                      <a:avLst/>
                    </a:prstGeom>
                  </pic:spPr>
                </pic:pic>
              </a:graphicData>
            </a:graphic>
          </wp:anchor>
        </w:drawing>
      </w:r>
      <w:r>
        <w:rPr>
          <w:color w:val="636466"/>
          <w:sz w:val="54"/>
        </w:rPr>
        <w:t>Steuben</w:t>
      </w:r>
      <w:r>
        <w:rPr>
          <w:color w:val="636466"/>
          <w:spacing w:val="54"/>
          <w:sz w:val="54"/>
        </w:rPr>
        <w:t> </w:t>
      </w:r>
      <w:r>
        <w:rPr>
          <w:color w:val="636466"/>
          <w:sz w:val="54"/>
        </w:rPr>
        <w:t>County</w:t>
      </w:r>
      <w:r>
        <w:rPr>
          <w:color w:val="636466"/>
          <w:spacing w:val="55"/>
          <w:sz w:val="54"/>
        </w:rPr>
        <w:t> </w:t>
      </w:r>
      <w:r>
        <w:rPr>
          <w:color w:val="636466"/>
          <w:sz w:val="54"/>
        </w:rPr>
        <w:t>Appendix</w:t>
      </w:r>
      <w:r>
        <w:rPr>
          <w:color w:val="636466"/>
          <w:spacing w:val="54"/>
          <w:sz w:val="54"/>
        </w:rPr>
        <w:t> </w:t>
      </w:r>
      <w:r>
        <w:rPr>
          <w:color w:val="636466"/>
          <w:spacing w:val="-10"/>
          <w:sz w:val="54"/>
        </w:rPr>
        <w:t>F</w:t>
      </w:r>
    </w:p>
    <w:p>
      <w:pPr>
        <w:spacing w:line="247" w:lineRule="auto" w:before="236"/>
        <w:ind w:left="1089" w:right="13013" w:firstLine="0"/>
        <w:jc w:val="left"/>
        <w:rPr>
          <w:b/>
          <w:sz w:val="32"/>
        </w:rPr>
      </w:pPr>
      <w:r>
        <w:rPr>
          <w:b/>
          <w:color w:val="82BF6A"/>
          <w:spacing w:val="-4"/>
          <w:sz w:val="32"/>
        </w:rPr>
        <w:t>PRIORITY:</w:t>
      </w:r>
      <w:r>
        <w:rPr>
          <w:b/>
          <w:color w:val="82BF6A"/>
          <w:spacing w:val="-19"/>
          <w:sz w:val="32"/>
        </w:rPr>
        <w:t> </w:t>
      </w:r>
      <w:r>
        <w:rPr>
          <w:b/>
          <w:color w:val="82BF6A"/>
          <w:spacing w:val="-4"/>
          <w:sz w:val="32"/>
        </w:rPr>
        <w:t>PROMOTE</w:t>
      </w:r>
      <w:r>
        <w:rPr>
          <w:b/>
          <w:color w:val="82BF6A"/>
          <w:spacing w:val="-18"/>
          <w:sz w:val="32"/>
        </w:rPr>
        <w:t> </w:t>
      </w:r>
      <w:r>
        <w:rPr>
          <w:b/>
          <w:color w:val="82BF6A"/>
          <w:spacing w:val="-4"/>
          <w:sz w:val="32"/>
        </w:rPr>
        <w:t>WELL-BEING</w:t>
      </w:r>
      <w:r>
        <w:rPr>
          <w:b/>
          <w:color w:val="82BF6A"/>
          <w:spacing w:val="-18"/>
          <w:sz w:val="32"/>
        </w:rPr>
        <w:t> </w:t>
      </w:r>
      <w:r>
        <w:rPr>
          <w:b/>
          <w:color w:val="82BF6A"/>
          <w:spacing w:val="-4"/>
          <w:sz w:val="32"/>
        </w:rPr>
        <w:t>AND</w:t>
      </w:r>
      <w:r>
        <w:rPr>
          <w:b/>
          <w:color w:val="82BF6A"/>
          <w:spacing w:val="-18"/>
          <w:sz w:val="32"/>
        </w:rPr>
        <w:t> </w:t>
      </w:r>
      <w:r>
        <w:rPr>
          <w:b/>
          <w:color w:val="82BF6A"/>
          <w:spacing w:val="-4"/>
          <w:sz w:val="32"/>
        </w:rPr>
        <w:t>PREVENT</w:t>
      </w:r>
      <w:r>
        <w:rPr>
          <w:b/>
          <w:color w:val="82BF6A"/>
          <w:spacing w:val="-19"/>
          <w:sz w:val="32"/>
        </w:rPr>
        <w:t> </w:t>
      </w:r>
      <w:r>
        <w:rPr>
          <w:b/>
          <w:color w:val="82BF6A"/>
          <w:spacing w:val="-4"/>
          <w:sz w:val="32"/>
        </w:rPr>
        <w:t>MENTAL </w:t>
      </w:r>
      <w:r>
        <w:rPr>
          <w:b/>
          <w:color w:val="82BF6A"/>
          <w:sz w:val="32"/>
        </w:rPr>
        <w:t>AND</w:t>
      </w:r>
      <w:r>
        <w:rPr>
          <w:b/>
          <w:color w:val="82BF6A"/>
          <w:spacing w:val="-22"/>
          <w:sz w:val="32"/>
        </w:rPr>
        <w:t> </w:t>
      </w:r>
      <w:r>
        <w:rPr>
          <w:b/>
          <w:color w:val="82BF6A"/>
          <w:sz w:val="32"/>
        </w:rPr>
        <w:t>SUBSTANCE</w:t>
      </w:r>
      <w:r>
        <w:rPr>
          <w:b/>
          <w:color w:val="82BF6A"/>
          <w:spacing w:val="-22"/>
          <w:sz w:val="32"/>
        </w:rPr>
        <w:t> </w:t>
      </w:r>
      <w:r>
        <w:rPr>
          <w:b/>
          <w:color w:val="82BF6A"/>
          <w:sz w:val="32"/>
        </w:rPr>
        <w:t>USE</w:t>
      </w:r>
      <w:r>
        <w:rPr>
          <w:b/>
          <w:color w:val="82BF6A"/>
          <w:spacing w:val="-22"/>
          <w:sz w:val="32"/>
        </w:rPr>
        <w:t> </w:t>
      </w:r>
      <w:r>
        <w:rPr>
          <w:b/>
          <w:color w:val="82BF6A"/>
          <w:sz w:val="32"/>
        </w:rPr>
        <w:t>DISORDERS</w:t>
      </w:r>
    </w:p>
    <w:p>
      <w:pPr>
        <w:pStyle w:val="BodyText"/>
        <w:spacing w:before="152"/>
        <w:rPr>
          <w:b/>
          <w:sz w:val="20"/>
        </w:rPr>
      </w:pPr>
    </w:p>
    <w:tbl>
      <w:tblPr>
        <w:tblW w:w="0" w:type="auto"/>
        <w:jc w:val="left"/>
        <w:tblInd w:w="1099"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1180"/>
        <w:gridCol w:w="1382"/>
        <w:gridCol w:w="1180"/>
        <w:gridCol w:w="1497"/>
        <w:gridCol w:w="1065"/>
        <w:gridCol w:w="1987"/>
        <w:gridCol w:w="2965"/>
        <w:gridCol w:w="3285"/>
        <w:gridCol w:w="2275"/>
        <w:gridCol w:w="1987"/>
        <w:gridCol w:w="1497"/>
        <w:gridCol w:w="1982"/>
      </w:tblGrid>
      <w:tr>
        <w:trPr>
          <w:trHeight w:val="730" w:hRule="atLeast"/>
        </w:trPr>
        <w:tc>
          <w:tcPr>
            <w:tcW w:w="1180" w:type="dxa"/>
            <w:tcBorders>
              <w:right w:val="single" w:sz="4" w:space="0" w:color="FFFFFF"/>
            </w:tcBorders>
            <w:shd w:val="clear" w:color="auto" w:fill="A7A9AC"/>
          </w:tcPr>
          <w:p>
            <w:pPr>
              <w:pStyle w:val="TableParagraph"/>
              <w:spacing w:before="79"/>
              <w:rPr>
                <w:b/>
                <w:sz w:val="18"/>
              </w:rPr>
            </w:pPr>
          </w:p>
          <w:p>
            <w:pPr>
              <w:pStyle w:val="TableParagraph"/>
              <w:ind w:left="79"/>
              <w:rPr>
                <w:b/>
                <w:sz w:val="18"/>
              </w:rPr>
            </w:pPr>
            <w:r>
              <w:rPr>
                <w:b/>
                <w:color w:val="FFFFFF"/>
                <w:spacing w:val="-2"/>
                <w:sz w:val="18"/>
              </w:rPr>
              <w:t>Priority</w:t>
            </w:r>
          </w:p>
        </w:tc>
        <w:tc>
          <w:tcPr>
            <w:tcW w:w="1382" w:type="dxa"/>
            <w:tcBorders>
              <w:left w:val="single" w:sz="4" w:space="0" w:color="FFFFFF"/>
              <w:right w:val="single" w:sz="4" w:space="0" w:color="FFFFFF"/>
            </w:tcBorders>
            <w:shd w:val="clear" w:color="auto" w:fill="A7A9AC"/>
          </w:tcPr>
          <w:p>
            <w:pPr>
              <w:pStyle w:val="TableParagraph"/>
              <w:spacing w:before="79"/>
              <w:rPr>
                <w:b/>
                <w:sz w:val="18"/>
              </w:rPr>
            </w:pPr>
          </w:p>
          <w:p>
            <w:pPr>
              <w:pStyle w:val="TableParagraph"/>
              <w:ind w:left="80"/>
              <w:rPr>
                <w:b/>
                <w:sz w:val="18"/>
              </w:rPr>
            </w:pPr>
            <w:r>
              <w:rPr>
                <w:b/>
                <w:color w:val="FFFFFF"/>
                <w:w w:val="90"/>
                <w:sz w:val="18"/>
              </w:rPr>
              <w:t>Focus</w:t>
            </w:r>
            <w:r>
              <w:rPr>
                <w:b/>
                <w:color w:val="FFFFFF"/>
                <w:spacing w:val="8"/>
                <w:sz w:val="18"/>
              </w:rPr>
              <w:t> </w:t>
            </w:r>
            <w:r>
              <w:rPr>
                <w:b/>
                <w:color w:val="FFFFFF"/>
                <w:spacing w:val="-4"/>
                <w:sz w:val="18"/>
              </w:rPr>
              <w:t>Area</w:t>
            </w:r>
          </w:p>
        </w:tc>
        <w:tc>
          <w:tcPr>
            <w:tcW w:w="1180" w:type="dxa"/>
            <w:tcBorders>
              <w:left w:val="single" w:sz="4" w:space="0" w:color="FFFFFF"/>
              <w:right w:val="single" w:sz="4" w:space="0" w:color="FFFFFF"/>
            </w:tcBorders>
            <w:shd w:val="clear" w:color="auto" w:fill="A7A9AC"/>
          </w:tcPr>
          <w:p>
            <w:pPr>
              <w:pStyle w:val="TableParagraph"/>
              <w:spacing w:line="232" w:lineRule="auto" w:before="191"/>
              <w:ind w:left="80" w:right="150"/>
              <w:rPr>
                <w:b/>
                <w:sz w:val="18"/>
              </w:rPr>
            </w:pPr>
            <w:r>
              <w:rPr>
                <w:b/>
                <w:color w:val="FFFFFF"/>
                <w:spacing w:val="-6"/>
                <w:sz w:val="18"/>
              </w:rPr>
              <w:t>Goal</w:t>
            </w:r>
            <w:r>
              <w:rPr>
                <w:b/>
                <w:color w:val="FFFFFF"/>
                <w:spacing w:val="-7"/>
                <w:sz w:val="18"/>
              </w:rPr>
              <w:t> </w:t>
            </w:r>
            <w:r>
              <w:rPr>
                <w:b/>
                <w:color w:val="FFFFFF"/>
                <w:spacing w:val="-6"/>
                <w:sz w:val="18"/>
              </w:rPr>
              <w:t>Focus </w:t>
            </w:r>
            <w:r>
              <w:rPr>
                <w:b/>
                <w:color w:val="FFFFFF"/>
                <w:spacing w:val="-4"/>
                <w:sz w:val="18"/>
              </w:rPr>
              <w:t>Area</w:t>
            </w:r>
          </w:p>
        </w:tc>
        <w:tc>
          <w:tcPr>
            <w:tcW w:w="1497" w:type="dxa"/>
            <w:tcBorders>
              <w:left w:val="single" w:sz="4" w:space="0" w:color="FFFFFF"/>
              <w:right w:val="single" w:sz="4" w:space="0" w:color="FFFFFF"/>
            </w:tcBorders>
            <w:shd w:val="clear" w:color="auto" w:fill="A7A9AC"/>
          </w:tcPr>
          <w:p>
            <w:pPr>
              <w:pStyle w:val="TableParagraph"/>
              <w:spacing w:before="79"/>
              <w:rPr>
                <w:b/>
                <w:sz w:val="18"/>
              </w:rPr>
            </w:pPr>
          </w:p>
          <w:p>
            <w:pPr>
              <w:pStyle w:val="TableParagraph"/>
              <w:ind w:left="81"/>
              <w:rPr>
                <w:b/>
                <w:sz w:val="18"/>
              </w:rPr>
            </w:pPr>
            <w:r>
              <w:rPr>
                <w:b/>
                <w:color w:val="FFFFFF"/>
                <w:spacing w:val="-2"/>
                <w:sz w:val="18"/>
              </w:rPr>
              <w:t>Objectives</w:t>
            </w:r>
          </w:p>
        </w:tc>
        <w:tc>
          <w:tcPr>
            <w:tcW w:w="1065" w:type="dxa"/>
            <w:tcBorders>
              <w:left w:val="single" w:sz="4" w:space="0" w:color="FFFFFF"/>
              <w:right w:val="single" w:sz="4" w:space="0" w:color="FFFFFF"/>
            </w:tcBorders>
            <w:shd w:val="clear" w:color="auto" w:fill="A7A9AC"/>
          </w:tcPr>
          <w:p>
            <w:pPr>
              <w:pStyle w:val="TableParagraph"/>
              <w:spacing w:before="79"/>
              <w:rPr>
                <w:b/>
                <w:sz w:val="18"/>
              </w:rPr>
            </w:pPr>
          </w:p>
          <w:p>
            <w:pPr>
              <w:pStyle w:val="TableParagraph"/>
              <w:ind w:left="82"/>
              <w:rPr>
                <w:b/>
                <w:sz w:val="18"/>
              </w:rPr>
            </w:pPr>
            <w:r>
              <w:rPr>
                <w:b/>
                <w:color w:val="FFFFFF"/>
                <w:spacing w:val="-2"/>
                <w:sz w:val="18"/>
              </w:rPr>
              <w:t>Disparities</w:t>
            </w:r>
          </w:p>
        </w:tc>
        <w:tc>
          <w:tcPr>
            <w:tcW w:w="1987" w:type="dxa"/>
            <w:tcBorders>
              <w:left w:val="single" w:sz="4" w:space="0" w:color="FFFFFF"/>
              <w:right w:val="single" w:sz="4" w:space="0" w:color="FFFFFF"/>
            </w:tcBorders>
            <w:shd w:val="clear" w:color="auto" w:fill="A7A9AC"/>
          </w:tcPr>
          <w:p>
            <w:pPr>
              <w:pStyle w:val="TableParagraph"/>
              <w:spacing w:before="79"/>
              <w:rPr>
                <w:b/>
                <w:sz w:val="18"/>
              </w:rPr>
            </w:pPr>
          </w:p>
          <w:p>
            <w:pPr>
              <w:pStyle w:val="TableParagraph"/>
              <w:ind w:left="82"/>
              <w:rPr>
                <w:b/>
                <w:sz w:val="18"/>
              </w:rPr>
            </w:pPr>
            <w:r>
              <w:rPr>
                <w:b/>
                <w:color w:val="FFFFFF"/>
                <w:spacing w:val="-2"/>
                <w:sz w:val="18"/>
              </w:rPr>
              <w:t>Interventions</w:t>
            </w:r>
          </w:p>
        </w:tc>
        <w:tc>
          <w:tcPr>
            <w:tcW w:w="2965" w:type="dxa"/>
            <w:tcBorders>
              <w:left w:val="single" w:sz="4" w:space="0" w:color="FFFFFF"/>
              <w:right w:val="nil"/>
            </w:tcBorders>
            <w:shd w:val="clear" w:color="auto" w:fill="A7A9AC"/>
          </w:tcPr>
          <w:p>
            <w:pPr>
              <w:pStyle w:val="TableParagraph"/>
              <w:spacing w:before="79"/>
              <w:rPr>
                <w:b/>
                <w:sz w:val="18"/>
              </w:rPr>
            </w:pPr>
          </w:p>
          <w:p>
            <w:pPr>
              <w:pStyle w:val="TableParagraph"/>
              <w:ind w:left="93"/>
              <w:rPr>
                <w:b/>
                <w:sz w:val="18"/>
              </w:rPr>
            </w:pPr>
            <w:r>
              <w:rPr>
                <w:b/>
                <w:color w:val="FFFFFF"/>
                <w:sz w:val="18"/>
              </w:rPr>
              <w:t>Family</w:t>
            </w:r>
            <w:r>
              <w:rPr>
                <w:b/>
                <w:color w:val="FFFFFF"/>
                <w:spacing w:val="-11"/>
                <w:sz w:val="18"/>
              </w:rPr>
              <w:t> </w:t>
            </w:r>
            <w:r>
              <w:rPr>
                <w:b/>
                <w:color w:val="FFFFFF"/>
                <w:sz w:val="18"/>
              </w:rPr>
              <w:t>of</w:t>
            </w:r>
            <w:r>
              <w:rPr>
                <w:b/>
                <w:color w:val="FFFFFF"/>
                <w:spacing w:val="-10"/>
                <w:sz w:val="18"/>
              </w:rPr>
              <w:t> </w:t>
            </w:r>
            <w:r>
              <w:rPr>
                <w:b/>
                <w:color w:val="FFFFFF"/>
                <w:spacing w:val="-2"/>
                <w:sz w:val="18"/>
              </w:rPr>
              <w:t>Measures</w:t>
            </w:r>
          </w:p>
        </w:tc>
        <w:tc>
          <w:tcPr>
            <w:tcW w:w="3285" w:type="dxa"/>
            <w:tcBorders>
              <w:left w:val="nil"/>
              <w:right w:val="single" w:sz="4" w:space="0" w:color="FFFFFF"/>
            </w:tcBorders>
            <w:shd w:val="clear" w:color="auto" w:fill="A7A9AC"/>
          </w:tcPr>
          <w:p>
            <w:pPr>
              <w:pStyle w:val="TableParagraph"/>
              <w:spacing w:line="232" w:lineRule="auto" w:before="191"/>
              <w:ind w:left="1071" w:right="95"/>
              <w:rPr>
                <w:b/>
                <w:sz w:val="18"/>
              </w:rPr>
            </w:pPr>
            <w:r>
              <w:rPr>
                <w:b/>
                <w:color w:val="FFFFFF"/>
                <w:sz w:val="18"/>
              </w:rPr>
              <w:t>Projected</w:t>
            </w:r>
            <w:r>
              <w:rPr>
                <w:b/>
                <w:color w:val="FFFFFF"/>
                <w:spacing w:val="-15"/>
                <w:sz w:val="18"/>
              </w:rPr>
              <w:t> </w:t>
            </w:r>
            <w:r>
              <w:rPr>
                <w:b/>
                <w:color w:val="FFFFFF"/>
                <w:sz w:val="18"/>
              </w:rPr>
              <w:t>(or</w:t>
            </w:r>
            <w:r>
              <w:rPr>
                <w:b/>
                <w:color w:val="FFFFFF"/>
                <w:spacing w:val="-12"/>
                <w:sz w:val="18"/>
              </w:rPr>
              <w:t> </w:t>
            </w:r>
            <w:r>
              <w:rPr>
                <w:b/>
                <w:color w:val="FFFFFF"/>
                <w:sz w:val="18"/>
              </w:rPr>
              <w:t>completed) Year 1 Intervention</w:t>
            </w:r>
          </w:p>
        </w:tc>
        <w:tc>
          <w:tcPr>
            <w:tcW w:w="2275" w:type="dxa"/>
            <w:tcBorders>
              <w:left w:val="single" w:sz="4" w:space="0" w:color="FFFFFF"/>
              <w:right w:val="single" w:sz="4" w:space="0" w:color="FFFFFF"/>
            </w:tcBorders>
            <w:shd w:val="clear" w:color="auto" w:fill="A7A9AC"/>
          </w:tcPr>
          <w:p>
            <w:pPr>
              <w:pStyle w:val="TableParagraph"/>
              <w:spacing w:line="232" w:lineRule="auto" w:before="191"/>
              <w:ind w:left="82" w:right="1360"/>
              <w:rPr>
                <w:b/>
                <w:sz w:val="18"/>
              </w:rPr>
            </w:pPr>
            <w:r>
              <w:rPr>
                <w:b/>
                <w:color w:val="FFFFFF"/>
                <w:spacing w:val="-2"/>
                <w:sz w:val="18"/>
              </w:rPr>
              <w:t>Projected </w:t>
            </w:r>
            <w:r>
              <w:rPr>
                <w:b/>
                <w:color w:val="FFFFFF"/>
                <w:sz w:val="18"/>
              </w:rPr>
              <w:t>Year 2</w:t>
            </w:r>
          </w:p>
        </w:tc>
        <w:tc>
          <w:tcPr>
            <w:tcW w:w="1987" w:type="dxa"/>
            <w:tcBorders>
              <w:left w:val="single" w:sz="4" w:space="0" w:color="FFFFFF"/>
              <w:right w:val="single" w:sz="4" w:space="0" w:color="FFFFFF"/>
            </w:tcBorders>
            <w:shd w:val="clear" w:color="auto" w:fill="A7A9AC"/>
          </w:tcPr>
          <w:p>
            <w:pPr>
              <w:pStyle w:val="TableParagraph"/>
              <w:spacing w:line="232" w:lineRule="auto" w:before="191"/>
              <w:ind w:left="82"/>
              <w:rPr>
                <w:b/>
                <w:sz w:val="18"/>
              </w:rPr>
            </w:pPr>
            <w:r>
              <w:rPr>
                <w:b/>
                <w:color w:val="FFFFFF"/>
                <w:spacing w:val="-2"/>
                <w:sz w:val="18"/>
              </w:rPr>
              <w:t>Projected</w:t>
            </w:r>
            <w:r>
              <w:rPr>
                <w:b/>
                <w:color w:val="FFFFFF"/>
                <w:spacing w:val="-13"/>
                <w:sz w:val="18"/>
              </w:rPr>
              <w:t> </w:t>
            </w:r>
            <w:r>
              <w:rPr>
                <w:b/>
                <w:color w:val="FFFFFF"/>
                <w:spacing w:val="-2"/>
                <w:sz w:val="18"/>
              </w:rPr>
              <w:t>Year</w:t>
            </w:r>
            <w:r>
              <w:rPr>
                <w:b/>
                <w:color w:val="FFFFFF"/>
                <w:spacing w:val="-10"/>
                <w:sz w:val="18"/>
              </w:rPr>
              <w:t> </w:t>
            </w:r>
            <w:r>
              <w:rPr>
                <w:b/>
                <w:color w:val="FFFFFF"/>
                <w:spacing w:val="-2"/>
                <w:sz w:val="18"/>
              </w:rPr>
              <w:t>3 Interventions</w:t>
            </w:r>
          </w:p>
        </w:tc>
        <w:tc>
          <w:tcPr>
            <w:tcW w:w="1497" w:type="dxa"/>
            <w:tcBorders>
              <w:left w:val="single" w:sz="4" w:space="0" w:color="FFFFFF"/>
            </w:tcBorders>
            <w:shd w:val="clear" w:color="auto" w:fill="A7A9AC"/>
          </w:tcPr>
          <w:p>
            <w:pPr>
              <w:pStyle w:val="TableParagraph"/>
              <w:spacing w:line="232" w:lineRule="auto" w:before="191"/>
              <w:ind w:left="83"/>
              <w:rPr>
                <w:b/>
                <w:sz w:val="18"/>
              </w:rPr>
            </w:pPr>
            <w:r>
              <w:rPr>
                <w:b/>
                <w:color w:val="FFFFFF"/>
                <w:spacing w:val="-2"/>
                <w:sz w:val="18"/>
              </w:rPr>
              <w:t>Implementation Partner</w:t>
            </w:r>
          </w:p>
        </w:tc>
        <w:tc>
          <w:tcPr>
            <w:tcW w:w="1982" w:type="dxa"/>
            <w:shd w:val="clear" w:color="auto" w:fill="A7A9AC"/>
          </w:tcPr>
          <w:p>
            <w:pPr>
              <w:pStyle w:val="TableParagraph"/>
              <w:spacing w:line="232" w:lineRule="auto" w:before="191"/>
              <w:ind w:left="83"/>
              <w:rPr>
                <w:b/>
                <w:sz w:val="18"/>
              </w:rPr>
            </w:pPr>
            <w:r>
              <w:rPr>
                <w:b/>
                <w:color w:val="FFFFFF"/>
                <w:spacing w:val="-4"/>
                <w:sz w:val="18"/>
              </w:rPr>
              <w:t>Partner</w:t>
            </w:r>
            <w:r>
              <w:rPr>
                <w:b/>
                <w:color w:val="FFFFFF"/>
                <w:spacing w:val="-11"/>
                <w:sz w:val="18"/>
              </w:rPr>
              <w:t> </w:t>
            </w:r>
            <w:r>
              <w:rPr>
                <w:b/>
                <w:color w:val="FFFFFF"/>
                <w:spacing w:val="-4"/>
                <w:sz w:val="18"/>
              </w:rPr>
              <w:t>Role(s)</w:t>
            </w:r>
            <w:r>
              <w:rPr>
                <w:b/>
                <w:color w:val="FFFFFF"/>
                <w:spacing w:val="-8"/>
                <w:sz w:val="18"/>
              </w:rPr>
              <w:t> </w:t>
            </w:r>
            <w:r>
              <w:rPr>
                <w:b/>
                <w:color w:val="FFFFFF"/>
                <w:spacing w:val="-4"/>
                <w:sz w:val="18"/>
              </w:rPr>
              <w:t>and </w:t>
            </w:r>
            <w:r>
              <w:rPr>
                <w:b/>
                <w:color w:val="FFFFFF"/>
                <w:spacing w:val="-2"/>
                <w:sz w:val="18"/>
              </w:rPr>
              <w:t>Resources</w:t>
            </w:r>
          </w:p>
        </w:tc>
      </w:tr>
      <w:tr>
        <w:trPr>
          <w:trHeight w:val="1975" w:hRule="atLeast"/>
        </w:trPr>
        <w:tc>
          <w:tcPr>
            <w:tcW w:w="1180" w:type="dxa"/>
            <w:vMerge w:val="restart"/>
            <w:tcBorders>
              <w:bottom w:val="nil"/>
            </w:tcBorders>
            <w:shd w:val="clear" w:color="auto" w:fill="E6E7E8"/>
          </w:tcPr>
          <w:p>
            <w:pPr>
              <w:pStyle w:val="TableParagraph"/>
              <w:spacing w:line="232" w:lineRule="auto" w:before="101"/>
              <w:ind w:left="89" w:right="87"/>
              <w:rPr>
                <w:sz w:val="18"/>
              </w:rPr>
            </w:pPr>
            <w:r>
              <w:rPr>
                <w:color w:val="105C84"/>
                <w:spacing w:val="-2"/>
                <w:sz w:val="18"/>
              </w:rPr>
              <w:t>Promote Well-Being </w:t>
            </w:r>
            <w:r>
              <w:rPr>
                <w:color w:val="105C84"/>
                <w:sz w:val="18"/>
              </w:rPr>
              <w:t>and</w:t>
            </w:r>
            <w:r>
              <w:rPr>
                <w:color w:val="105C84"/>
                <w:spacing w:val="-13"/>
                <w:sz w:val="18"/>
              </w:rPr>
              <w:t> </w:t>
            </w:r>
            <w:r>
              <w:rPr>
                <w:color w:val="105C84"/>
                <w:sz w:val="18"/>
              </w:rPr>
              <w:t>Prevent Mental and </w:t>
            </w:r>
            <w:r>
              <w:rPr>
                <w:color w:val="105C84"/>
                <w:spacing w:val="-2"/>
                <w:sz w:val="18"/>
              </w:rPr>
              <w:t>Substance </w:t>
            </w:r>
            <w:r>
              <w:rPr>
                <w:color w:val="105C84"/>
                <w:spacing w:val="-4"/>
                <w:sz w:val="18"/>
              </w:rPr>
              <w:t>Use </w:t>
            </w:r>
            <w:r>
              <w:rPr>
                <w:color w:val="105C84"/>
                <w:spacing w:val="-2"/>
                <w:sz w:val="18"/>
              </w:rPr>
              <w:t>Disorders</w:t>
            </w:r>
          </w:p>
        </w:tc>
        <w:tc>
          <w:tcPr>
            <w:tcW w:w="1382" w:type="dxa"/>
            <w:vMerge w:val="restart"/>
            <w:tcBorders>
              <w:bottom w:val="nil"/>
            </w:tcBorders>
          </w:tcPr>
          <w:p>
            <w:pPr>
              <w:pStyle w:val="TableParagraph"/>
              <w:spacing w:line="232" w:lineRule="auto" w:before="100"/>
              <w:ind w:left="90" w:right="74"/>
              <w:rPr>
                <w:sz w:val="18"/>
              </w:rPr>
            </w:pPr>
            <w:r>
              <w:rPr>
                <w:color w:val="105C84"/>
                <w:sz w:val="18"/>
              </w:rPr>
              <w:t>Focus Area 2: </w:t>
            </w:r>
            <w:r>
              <w:rPr>
                <w:color w:val="105C84"/>
                <w:spacing w:val="-2"/>
                <w:sz w:val="18"/>
              </w:rPr>
              <w:t>Prevent</w:t>
            </w:r>
            <w:r>
              <w:rPr>
                <w:color w:val="105C84"/>
                <w:spacing w:val="-11"/>
                <w:sz w:val="18"/>
              </w:rPr>
              <w:t> </w:t>
            </w:r>
            <w:r>
              <w:rPr>
                <w:color w:val="105C84"/>
                <w:spacing w:val="-2"/>
                <w:sz w:val="18"/>
              </w:rPr>
              <w:t>Mental </w:t>
            </w:r>
            <w:r>
              <w:rPr>
                <w:color w:val="105C84"/>
                <w:sz w:val="18"/>
              </w:rPr>
              <w:t>and</w:t>
            </w:r>
            <w:r>
              <w:rPr>
                <w:color w:val="105C84"/>
                <w:spacing w:val="-13"/>
                <w:sz w:val="18"/>
              </w:rPr>
              <w:t> </w:t>
            </w:r>
            <w:r>
              <w:rPr>
                <w:color w:val="105C84"/>
                <w:sz w:val="18"/>
              </w:rPr>
              <w:t>Substance Use Disorders</w:t>
            </w:r>
          </w:p>
        </w:tc>
        <w:tc>
          <w:tcPr>
            <w:tcW w:w="1180" w:type="dxa"/>
            <w:vMerge w:val="restart"/>
            <w:tcBorders>
              <w:bottom w:val="nil"/>
            </w:tcBorders>
          </w:tcPr>
          <w:p>
            <w:pPr>
              <w:pStyle w:val="TableParagraph"/>
              <w:spacing w:line="232" w:lineRule="auto" w:before="100"/>
              <w:ind w:left="90" w:right="356"/>
              <w:rPr>
                <w:sz w:val="18"/>
              </w:rPr>
            </w:pPr>
            <w:r>
              <w:rPr>
                <w:color w:val="105C84"/>
                <w:spacing w:val="-2"/>
                <w:sz w:val="18"/>
              </w:rPr>
              <w:t>Goal</w:t>
            </w:r>
            <w:r>
              <w:rPr>
                <w:color w:val="105C84"/>
                <w:spacing w:val="-11"/>
                <w:sz w:val="18"/>
              </w:rPr>
              <w:t> </w:t>
            </w:r>
            <w:r>
              <w:rPr>
                <w:color w:val="105C84"/>
                <w:spacing w:val="-2"/>
                <w:sz w:val="18"/>
              </w:rPr>
              <w:t>2.5: Prevent suicides</w:t>
            </w:r>
          </w:p>
        </w:tc>
        <w:tc>
          <w:tcPr>
            <w:tcW w:w="1497" w:type="dxa"/>
            <w:vMerge w:val="restart"/>
            <w:tcBorders>
              <w:bottom w:val="nil"/>
            </w:tcBorders>
          </w:tcPr>
          <w:p>
            <w:pPr>
              <w:pStyle w:val="TableParagraph"/>
              <w:spacing w:line="232" w:lineRule="auto" w:before="100"/>
              <w:ind w:left="91" w:right="93"/>
              <w:rPr>
                <w:sz w:val="18"/>
              </w:rPr>
            </w:pPr>
            <w:r>
              <w:rPr>
                <w:color w:val="105C84"/>
                <w:w w:val="105"/>
                <w:sz w:val="18"/>
              </w:rPr>
              <w:t>2.5.2:</w:t>
            </w:r>
            <w:r>
              <w:rPr>
                <w:color w:val="105C84"/>
                <w:spacing w:val="-1"/>
                <w:w w:val="105"/>
                <w:sz w:val="18"/>
              </w:rPr>
              <w:t> </w:t>
            </w:r>
            <w:r>
              <w:rPr>
                <w:color w:val="105C84"/>
                <w:w w:val="105"/>
                <w:sz w:val="18"/>
              </w:rPr>
              <w:t>Reduce the</w:t>
            </w:r>
            <w:r>
              <w:rPr>
                <w:color w:val="105C84"/>
                <w:spacing w:val="-1"/>
                <w:w w:val="105"/>
                <w:sz w:val="18"/>
              </w:rPr>
              <w:t> </w:t>
            </w:r>
            <w:r>
              <w:rPr>
                <w:color w:val="105C84"/>
                <w:w w:val="105"/>
                <w:sz w:val="18"/>
              </w:rPr>
              <w:t>age-</w:t>
            </w:r>
            <w:r>
              <w:rPr>
                <w:color w:val="105C84"/>
                <w:sz w:val="18"/>
              </w:rPr>
              <w:t>adjusted</w:t>
            </w:r>
            <w:r>
              <w:rPr>
                <w:color w:val="105C84"/>
                <w:spacing w:val="-13"/>
                <w:sz w:val="18"/>
              </w:rPr>
              <w:t> </w:t>
            </w:r>
            <w:r>
              <w:rPr>
                <w:color w:val="105C84"/>
                <w:sz w:val="18"/>
              </w:rPr>
              <w:t>suicide</w:t>
            </w:r>
            <w:r>
              <w:rPr>
                <w:color w:val="105C84"/>
                <w:sz w:val="18"/>
              </w:rPr>
              <w:t> </w:t>
            </w:r>
            <w:r>
              <w:rPr>
                <w:color w:val="105C84"/>
                <w:w w:val="105"/>
                <w:sz w:val="18"/>
              </w:rPr>
              <w:t>mortality</w:t>
            </w:r>
            <w:r>
              <w:rPr>
                <w:color w:val="105C84"/>
                <w:spacing w:val="-1"/>
                <w:w w:val="105"/>
                <w:sz w:val="18"/>
              </w:rPr>
              <w:t> </w:t>
            </w:r>
            <w:r>
              <w:rPr>
                <w:color w:val="105C84"/>
                <w:w w:val="105"/>
                <w:sz w:val="18"/>
              </w:rPr>
              <w:t>rate</w:t>
            </w:r>
            <w:r>
              <w:rPr>
                <w:color w:val="105C84"/>
                <w:w w:val="105"/>
                <w:sz w:val="18"/>
              </w:rPr>
              <w:t> by</w:t>
            </w:r>
            <w:r>
              <w:rPr>
                <w:color w:val="105C84"/>
                <w:spacing w:val="-14"/>
                <w:w w:val="105"/>
                <w:sz w:val="18"/>
              </w:rPr>
              <w:t> </w:t>
            </w:r>
            <w:r>
              <w:rPr>
                <w:color w:val="105C84"/>
                <w:w w:val="105"/>
                <w:sz w:val="18"/>
              </w:rPr>
              <w:t>10%</w:t>
            </w:r>
            <w:r>
              <w:rPr>
                <w:color w:val="105C84"/>
                <w:spacing w:val="-13"/>
                <w:w w:val="105"/>
                <w:sz w:val="18"/>
              </w:rPr>
              <w:t> </w:t>
            </w:r>
            <w:r>
              <w:rPr>
                <w:color w:val="105C84"/>
                <w:w w:val="105"/>
                <w:sz w:val="18"/>
              </w:rPr>
              <w:t>to</w:t>
            </w:r>
            <w:r>
              <w:rPr>
                <w:color w:val="105C84"/>
                <w:spacing w:val="-13"/>
                <w:w w:val="105"/>
                <w:sz w:val="18"/>
              </w:rPr>
              <w:t> </w:t>
            </w:r>
            <w:r>
              <w:rPr>
                <w:color w:val="105C84"/>
                <w:w w:val="105"/>
                <w:sz w:val="18"/>
              </w:rPr>
              <w:t>7</w:t>
            </w:r>
            <w:r>
              <w:rPr>
                <w:color w:val="105C84"/>
                <w:spacing w:val="-13"/>
                <w:w w:val="105"/>
                <w:sz w:val="18"/>
              </w:rPr>
              <w:t> </w:t>
            </w:r>
            <w:r>
              <w:rPr>
                <w:color w:val="105C84"/>
                <w:w w:val="105"/>
                <w:sz w:val="18"/>
              </w:rPr>
              <w:t>per</w:t>
            </w:r>
          </w:p>
          <w:p>
            <w:pPr>
              <w:pStyle w:val="TableParagraph"/>
              <w:spacing w:line="198" w:lineRule="exact"/>
              <w:ind w:left="91"/>
              <w:rPr>
                <w:sz w:val="18"/>
              </w:rPr>
            </w:pPr>
            <w:r>
              <w:rPr>
                <w:color w:val="105C84"/>
                <w:spacing w:val="-2"/>
                <w:sz w:val="18"/>
              </w:rPr>
              <w:t>100,000</w:t>
            </w:r>
          </w:p>
        </w:tc>
        <w:tc>
          <w:tcPr>
            <w:tcW w:w="1065" w:type="dxa"/>
            <w:vMerge w:val="restart"/>
          </w:tcPr>
          <w:p>
            <w:pPr>
              <w:pStyle w:val="TableParagraph"/>
              <w:rPr>
                <w:rFonts w:ascii="Times New Roman"/>
                <w:sz w:val="18"/>
              </w:rPr>
            </w:pPr>
          </w:p>
        </w:tc>
        <w:tc>
          <w:tcPr>
            <w:tcW w:w="1987" w:type="dxa"/>
            <w:vMerge w:val="restart"/>
            <w:tcBorders>
              <w:bottom w:val="nil"/>
            </w:tcBorders>
          </w:tcPr>
          <w:p>
            <w:pPr>
              <w:pStyle w:val="TableParagraph"/>
              <w:spacing w:line="232" w:lineRule="auto" w:before="100"/>
              <w:ind w:left="92" w:right="23"/>
              <w:rPr>
                <w:sz w:val="18"/>
              </w:rPr>
            </w:pPr>
            <w:r>
              <w:rPr>
                <w:color w:val="105C84"/>
                <w:sz w:val="18"/>
              </w:rPr>
              <w:t>2.5.4: Identify and support</w:t>
            </w:r>
            <w:r>
              <w:rPr>
                <w:color w:val="105C84"/>
                <w:spacing w:val="-3"/>
                <w:sz w:val="18"/>
              </w:rPr>
              <w:t> </w:t>
            </w:r>
            <w:r>
              <w:rPr>
                <w:color w:val="105C84"/>
                <w:sz w:val="18"/>
              </w:rPr>
              <w:t>people</w:t>
            </w:r>
            <w:r>
              <w:rPr>
                <w:color w:val="105C84"/>
                <w:spacing w:val="-3"/>
                <w:sz w:val="18"/>
              </w:rPr>
              <w:t> </w:t>
            </w:r>
            <w:r>
              <w:rPr>
                <w:color w:val="105C84"/>
                <w:sz w:val="18"/>
              </w:rPr>
              <w:t>at</w:t>
            </w:r>
            <w:r>
              <w:rPr>
                <w:color w:val="105C84"/>
                <w:spacing w:val="-3"/>
                <w:sz w:val="18"/>
              </w:rPr>
              <w:t> </w:t>
            </w:r>
            <w:r>
              <w:rPr>
                <w:color w:val="105C84"/>
                <w:sz w:val="18"/>
              </w:rPr>
              <w:t>risk:</w:t>
            </w:r>
          </w:p>
          <w:p>
            <w:pPr>
              <w:pStyle w:val="TableParagraph"/>
              <w:spacing w:line="232" w:lineRule="auto" w:before="89"/>
              <w:ind w:left="92" w:right="23"/>
              <w:rPr>
                <w:sz w:val="18"/>
              </w:rPr>
            </w:pPr>
            <w:r>
              <w:rPr>
                <w:color w:val="105C84"/>
                <w:spacing w:val="-2"/>
                <w:sz w:val="18"/>
              </w:rPr>
              <w:t>Gatekeeper</w:t>
            </w:r>
            <w:r>
              <w:rPr>
                <w:color w:val="105C84"/>
                <w:spacing w:val="-10"/>
                <w:sz w:val="18"/>
              </w:rPr>
              <w:t> </w:t>
            </w:r>
            <w:r>
              <w:rPr>
                <w:color w:val="105C84"/>
                <w:spacing w:val="-2"/>
                <w:sz w:val="18"/>
              </w:rPr>
              <w:t>Training, </w:t>
            </w:r>
            <w:r>
              <w:rPr>
                <w:color w:val="105C84"/>
                <w:sz w:val="18"/>
              </w:rPr>
              <w:t>crisis intervention, treatment for</w:t>
            </w:r>
          </w:p>
          <w:p>
            <w:pPr>
              <w:pStyle w:val="TableParagraph"/>
              <w:spacing w:line="232" w:lineRule="auto"/>
              <w:ind w:left="92" w:right="23"/>
              <w:rPr>
                <w:sz w:val="18"/>
              </w:rPr>
            </w:pPr>
            <w:r>
              <w:rPr>
                <w:color w:val="105C84"/>
                <w:sz w:val="18"/>
              </w:rPr>
              <w:t>people at risk of suicide,</w:t>
            </w:r>
            <w:r>
              <w:rPr>
                <w:color w:val="105C84"/>
                <w:spacing w:val="-4"/>
                <w:sz w:val="18"/>
              </w:rPr>
              <w:t> </w:t>
            </w:r>
            <w:r>
              <w:rPr>
                <w:color w:val="105C84"/>
                <w:sz w:val="18"/>
              </w:rPr>
              <w:t>treatment</w:t>
            </w:r>
            <w:r>
              <w:rPr>
                <w:color w:val="105C84"/>
                <w:spacing w:val="-4"/>
                <w:sz w:val="18"/>
              </w:rPr>
              <w:t> </w:t>
            </w:r>
            <w:r>
              <w:rPr>
                <w:color w:val="105C84"/>
                <w:sz w:val="18"/>
              </w:rPr>
              <w:t>to prevent re-attempts, postvention, safe reporting and messaging about </w:t>
            </w:r>
            <w:r>
              <w:rPr>
                <w:color w:val="105C84"/>
                <w:spacing w:val="-2"/>
                <w:sz w:val="18"/>
              </w:rPr>
              <w:t>suicide</w:t>
            </w:r>
          </w:p>
        </w:tc>
        <w:tc>
          <w:tcPr>
            <w:tcW w:w="2965" w:type="dxa"/>
            <w:tcBorders>
              <w:right w:val="nil"/>
            </w:tcBorders>
          </w:tcPr>
          <w:p>
            <w:pPr>
              <w:pStyle w:val="TableParagraph"/>
              <w:spacing w:line="232" w:lineRule="auto" w:before="100"/>
              <w:ind w:left="92" w:right="1037"/>
              <w:rPr>
                <w:sz w:val="18"/>
              </w:rPr>
            </w:pPr>
            <w:r>
              <w:rPr>
                <w:color w:val="105C84"/>
                <w:sz w:val="18"/>
              </w:rPr>
              <w:t># 211 callers referred to appropriate Mental </w:t>
            </w:r>
            <w:r>
              <w:rPr>
                <w:color w:val="105C84"/>
                <w:spacing w:val="-2"/>
                <w:sz w:val="18"/>
              </w:rPr>
              <w:t>Health/Substance </w:t>
            </w:r>
            <w:r>
              <w:rPr>
                <w:color w:val="105C84"/>
                <w:sz w:val="18"/>
              </w:rPr>
              <w:t>Abuse Counseling Services in Steuben County</w:t>
            </w:r>
            <w:r>
              <w:rPr>
                <w:color w:val="105C84"/>
                <w:spacing w:val="-13"/>
                <w:sz w:val="18"/>
              </w:rPr>
              <w:t> </w:t>
            </w:r>
            <w:r>
              <w:rPr>
                <w:color w:val="105C84"/>
                <w:sz w:val="18"/>
              </w:rPr>
              <w:t>(based</w:t>
            </w:r>
            <w:r>
              <w:rPr>
                <w:color w:val="105C84"/>
                <w:spacing w:val="-12"/>
                <w:sz w:val="18"/>
              </w:rPr>
              <w:t> </w:t>
            </w:r>
            <w:r>
              <w:rPr>
                <w:color w:val="105C84"/>
                <w:sz w:val="18"/>
              </w:rPr>
              <w:t>on</w:t>
            </w:r>
            <w:r>
              <w:rPr>
                <w:color w:val="105C84"/>
                <w:spacing w:val="-13"/>
                <w:sz w:val="18"/>
              </w:rPr>
              <w:t> </w:t>
            </w:r>
            <w:r>
              <w:rPr>
                <w:color w:val="105C84"/>
                <w:sz w:val="18"/>
              </w:rPr>
              <w:t>age)</w:t>
            </w:r>
          </w:p>
        </w:tc>
        <w:tc>
          <w:tcPr>
            <w:tcW w:w="3285" w:type="dxa"/>
            <w:tcBorders>
              <w:left w:val="nil"/>
            </w:tcBorders>
          </w:tcPr>
          <w:p>
            <w:pPr>
              <w:pStyle w:val="TableParagraph"/>
              <w:spacing w:line="232" w:lineRule="auto" w:before="100"/>
              <w:ind w:left="1071" w:right="281"/>
              <w:rPr>
                <w:sz w:val="18"/>
              </w:rPr>
            </w:pPr>
            <w:r>
              <w:rPr>
                <w:color w:val="105C84"/>
                <w:w w:val="105"/>
                <w:sz w:val="18"/>
              </w:rPr>
              <w:t>2-1-1 will refer at least </w:t>
            </w:r>
            <w:r>
              <w:rPr>
                <w:color w:val="105C84"/>
                <w:sz w:val="18"/>
              </w:rPr>
              <w:t>50</w:t>
            </w:r>
            <w:r>
              <w:rPr>
                <w:color w:val="105C84"/>
                <w:spacing w:val="-11"/>
                <w:sz w:val="18"/>
              </w:rPr>
              <w:t> </w:t>
            </w:r>
            <w:r>
              <w:rPr>
                <w:color w:val="105C84"/>
                <w:sz w:val="18"/>
              </w:rPr>
              <w:t>callers</w:t>
            </w:r>
            <w:r>
              <w:rPr>
                <w:color w:val="105C84"/>
                <w:spacing w:val="-11"/>
                <w:sz w:val="18"/>
              </w:rPr>
              <w:t> </w:t>
            </w:r>
            <w:r>
              <w:rPr>
                <w:color w:val="105C84"/>
                <w:sz w:val="18"/>
              </w:rPr>
              <w:t>per</w:t>
            </w:r>
            <w:r>
              <w:rPr>
                <w:color w:val="105C84"/>
                <w:spacing w:val="-11"/>
                <w:sz w:val="18"/>
              </w:rPr>
              <w:t> </w:t>
            </w:r>
            <w:r>
              <w:rPr>
                <w:color w:val="105C84"/>
                <w:sz w:val="18"/>
              </w:rPr>
              <w:t>quarter</w:t>
            </w:r>
            <w:r>
              <w:rPr>
                <w:color w:val="105C84"/>
                <w:spacing w:val="-11"/>
                <w:sz w:val="18"/>
              </w:rPr>
              <w:t> </w:t>
            </w:r>
            <w:r>
              <w:rPr>
                <w:color w:val="105C84"/>
                <w:sz w:val="18"/>
              </w:rPr>
              <w:t>to</w:t>
            </w:r>
            <w:r>
              <w:rPr>
                <w:color w:val="105C84"/>
                <w:sz w:val="18"/>
              </w:rPr>
              <w:t> the</w:t>
            </w:r>
            <w:r>
              <w:rPr>
                <w:color w:val="105C84"/>
                <w:spacing w:val="14"/>
                <w:sz w:val="18"/>
              </w:rPr>
              <w:t> </w:t>
            </w:r>
            <w:r>
              <w:rPr>
                <w:color w:val="105C84"/>
                <w:sz w:val="18"/>
              </w:rPr>
              <w:t>appropriate</w:t>
            </w:r>
            <w:r>
              <w:rPr>
                <w:color w:val="105C84"/>
                <w:spacing w:val="14"/>
                <w:sz w:val="18"/>
              </w:rPr>
              <w:t> </w:t>
            </w:r>
            <w:r>
              <w:rPr>
                <w:color w:val="105C84"/>
                <w:spacing w:val="-2"/>
                <w:sz w:val="18"/>
              </w:rPr>
              <w:t>Mental</w:t>
            </w:r>
          </w:p>
          <w:p>
            <w:pPr>
              <w:pStyle w:val="TableParagraph"/>
              <w:spacing w:line="232" w:lineRule="auto"/>
              <w:ind w:left="1071"/>
              <w:rPr>
                <w:sz w:val="18"/>
              </w:rPr>
            </w:pPr>
            <w:r>
              <w:rPr>
                <w:color w:val="105C84"/>
                <w:sz w:val="18"/>
              </w:rPr>
              <w:t>Health/Substance Abuse Counseling Services in Steuben</w:t>
            </w:r>
            <w:r>
              <w:rPr>
                <w:color w:val="105C84"/>
                <w:spacing w:val="-9"/>
                <w:sz w:val="18"/>
              </w:rPr>
              <w:t> </w:t>
            </w:r>
            <w:r>
              <w:rPr>
                <w:color w:val="105C84"/>
                <w:sz w:val="18"/>
              </w:rPr>
              <w:t>County</w:t>
            </w:r>
            <w:r>
              <w:rPr>
                <w:color w:val="105C84"/>
                <w:spacing w:val="-9"/>
                <w:sz w:val="18"/>
              </w:rPr>
              <w:t> </w:t>
            </w:r>
            <w:r>
              <w:rPr>
                <w:color w:val="105C84"/>
                <w:sz w:val="18"/>
              </w:rPr>
              <w:t>(reporting will be based on age)</w:t>
            </w:r>
          </w:p>
        </w:tc>
        <w:tc>
          <w:tcPr>
            <w:tcW w:w="2275" w:type="dxa"/>
          </w:tcPr>
          <w:p>
            <w:pPr>
              <w:pStyle w:val="TableParagraph"/>
              <w:spacing w:line="232" w:lineRule="auto" w:before="100"/>
              <w:ind w:left="92" w:right="184"/>
              <w:rPr>
                <w:sz w:val="18"/>
              </w:rPr>
            </w:pPr>
            <w:r>
              <w:rPr>
                <w:color w:val="105C84"/>
                <w:w w:val="105"/>
                <w:sz w:val="18"/>
              </w:rPr>
              <w:t>2-1-1 will refer at least </w:t>
            </w:r>
            <w:r>
              <w:rPr>
                <w:color w:val="105C84"/>
                <w:sz w:val="18"/>
              </w:rPr>
              <w:t>50</w:t>
            </w:r>
            <w:r>
              <w:rPr>
                <w:color w:val="105C84"/>
                <w:spacing w:val="-11"/>
                <w:sz w:val="18"/>
              </w:rPr>
              <w:t> </w:t>
            </w:r>
            <w:r>
              <w:rPr>
                <w:color w:val="105C84"/>
                <w:sz w:val="18"/>
              </w:rPr>
              <w:t>callers</w:t>
            </w:r>
            <w:r>
              <w:rPr>
                <w:color w:val="105C84"/>
                <w:spacing w:val="-11"/>
                <w:sz w:val="18"/>
              </w:rPr>
              <w:t> </w:t>
            </w:r>
            <w:r>
              <w:rPr>
                <w:color w:val="105C84"/>
                <w:sz w:val="18"/>
              </w:rPr>
              <w:t>per</w:t>
            </w:r>
            <w:r>
              <w:rPr>
                <w:color w:val="105C84"/>
                <w:spacing w:val="-11"/>
                <w:sz w:val="18"/>
              </w:rPr>
              <w:t> </w:t>
            </w:r>
            <w:r>
              <w:rPr>
                <w:color w:val="105C84"/>
                <w:sz w:val="18"/>
              </w:rPr>
              <w:t>quarter</w:t>
            </w:r>
            <w:r>
              <w:rPr>
                <w:color w:val="105C84"/>
                <w:spacing w:val="-11"/>
                <w:sz w:val="18"/>
              </w:rPr>
              <w:t> </w:t>
            </w:r>
            <w:r>
              <w:rPr>
                <w:color w:val="105C84"/>
                <w:sz w:val="18"/>
              </w:rPr>
              <w:t>to</w:t>
            </w:r>
            <w:r>
              <w:rPr>
                <w:color w:val="105C84"/>
                <w:sz w:val="18"/>
              </w:rPr>
              <w:t> the</w:t>
            </w:r>
            <w:r>
              <w:rPr>
                <w:color w:val="105C84"/>
                <w:spacing w:val="14"/>
                <w:sz w:val="18"/>
              </w:rPr>
              <w:t> </w:t>
            </w:r>
            <w:r>
              <w:rPr>
                <w:color w:val="105C84"/>
                <w:sz w:val="18"/>
              </w:rPr>
              <w:t>appropriate</w:t>
            </w:r>
            <w:r>
              <w:rPr>
                <w:color w:val="105C84"/>
                <w:spacing w:val="14"/>
                <w:sz w:val="18"/>
              </w:rPr>
              <w:t> </w:t>
            </w:r>
            <w:r>
              <w:rPr>
                <w:color w:val="105C84"/>
                <w:spacing w:val="-2"/>
                <w:sz w:val="18"/>
              </w:rPr>
              <w:t>Mental</w:t>
            </w:r>
          </w:p>
          <w:p>
            <w:pPr>
              <w:pStyle w:val="TableParagraph"/>
              <w:spacing w:line="232" w:lineRule="auto"/>
              <w:ind w:left="92" w:right="184"/>
              <w:rPr>
                <w:sz w:val="18"/>
              </w:rPr>
            </w:pPr>
            <w:r>
              <w:rPr>
                <w:color w:val="105C84"/>
                <w:sz w:val="18"/>
              </w:rPr>
              <w:t>Health/Substance</w:t>
            </w:r>
            <w:r>
              <w:rPr>
                <w:color w:val="105C84"/>
                <w:spacing w:val="-13"/>
                <w:sz w:val="18"/>
              </w:rPr>
              <w:t> </w:t>
            </w:r>
            <w:r>
              <w:rPr>
                <w:color w:val="105C84"/>
                <w:sz w:val="18"/>
              </w:rPr>
              <w:t>Abuse Counseling Services</w:t>
            </w:r>
          </w:p>
          <w:p>
            <w:pPr>
              <w:pStyle w:val="TableParagraph"/>
              <w:spacing w:line="232" w:lineRule="auto"/>
              <w:ind w:left="92" w:right="184"/>
              <w:rPr>
                <w:sz w:val="18"/>
              </w:rPr>
            </w:pPr>
            <w:r>
              <w:rPr>
                <w:color w:val="105C84"/>
                <w:sz w:val="18"/>
              </w:rPr>
              <w:t>in Steuben County (reporting</w:t>
            </w:r>
            <w:r>
              <w:rPr>
                <w:color w:val="105C84"/>
                <w:spacing w:val="-3"/>
                <w:sz w:val="18"/>
              </w:rPr>
              <w:t> </w:t>
            </w:r>
            <w:r>
              <w:rPr>
                <w:color w:val="105C84"/>
                <w:sz w:val="18"/>
              </w:rPr>
              <w:t>will</w:t>
            </w:r>
            <w:r>
              <w:rPr>
                <w:color w:val="105C84"/>
                <w:spacing w:val="-3"/>
                <w:sz w:val="18"/>
              </w:rPr>
              <w:t> </w:t>
            </w:r>
            <w:r>
              <w:rPr>
                <w:color w:val="105C84"/>
                <w:sz w:val="18"/>
              </w:rPr>
              <w:t>be</w:t>
            </w:r>
            <w:r>
              <w:rPr>
                <w:color w:val="105C84"/>
                <w:spacing w:val="-3"/>
                <w:sz w:val="18"/>
              </w:rPr>
              <w:t> </w:t>
            </w:r>
            <w:r>
              <w:rPr>
                <w:color w:val="105C84"/>
                <w:sz w:val="18"/>
              </w:rPr>
              <w:t>based on age)</w:t>
            </w:r>
          </w:p>
        </w:tc>
        <w:tc>
          <w:tcPr>
            <w:tcW w:w="1987" w:type="dxa"/>
          </w:tcPr>
          <w:p>
            <w:pPr>
              <w:pStyle w:val="TableParagraph"/>
              <w:spacing w:line="232" w:lineRule="auto" w:before="100"/>
              <w:ind w:left="92" w:right="124"/>
              <w:rPr>
                <w:sz w:val="18"/>
              </w:rPr>
            </w:pPr>
            <w:r>
              <w:rPr>
                <w:color w:val="105C84"/>
                <w:sz w:val="18"/>
              </w:rPr>
              <w:t>2-1-1</w:t>
            </w:r>
            <w:r>
              <w:rPr>
                <w:color w:val="105C84"/>
                <w:spacing w:val="-15"/>
                <w:sz w:val="18"/>
              </w:rPr>
              <w:t> </w:t>
            </w:r>
            <w:r>
              <w:rPr>
                <w:color w:val="105C84"/>
                <w:sz w:val="18"/>
              </w:rPr>
              <w:t>will</w:t>
            </w:r>
            <w:r>
              <w:rPr>
                <w:color w:val="105C84"/>
                <w:spacing w:val="-12"/>
                <w:sz w:val="18"/>
              </w:rPr>
              <w:t> </w:t>
            </w:r>
            <w:r>
              <w:rPr>
                <w:color w:val="105C84"/>
                <w:sz w:val="18"/>
              </w:rPr>
              <w:t>refer</w:t>
            </w:r>
            <w:r>
              <w:rPr>
                <w:color w:val="105C84"/>
                <w:spacing w:val="-13"/>
                <w:sz w:val="18"/>
              </w:rPr>
              <w:t> </w:t>
            </w:r>
            <w:r>
              <w:rPr>
                <w:color w:val="105C84"/>
                <w:sz w:val="18"/>
              </w:rPr>
              <w:t>at</w:t>
            </w:r>
            <w:r>
              <w:rPr>
                <w:color w:val="105C84"/>
                <w:spacing w:val="-12"/>
                <w:sz w:val="18"/>
              </w:rPr>
              <w:t> </w:t>
            </w:r>
            <w:r>
              <w:rPr>
                <w:color w:val="105C84"/>
                <w:sz w:val="18"/>
              </w:rPr>
              <w:t>least</w:t>
            </w:r>
            <w:r>
              <w:rPr>
                <w:color w:val="105C84"/>
                <w:sz w:val="18"/>
              </w:rPr>
              <w:t> 50 callers per quarter to the appropriate Mental Health/ Substance Abuse Counseling Services in Steuben County (reporting will be based on age)</w:t>
            </w:r>
          </w:p>
        </w:tc>
        <w:tc>
          <w:tcPr>
            <w:tcW w:w="1497" w:type="dxa"/>
            <w:vMerge w:val="restart"/>
            <w:tcBorders>
              <w:bottom w:val="nil"/>
            </w:tcBorders>
          </w:tcPr>
          <w:p>
            <w:pPr>
              <w:pStyle w:val="TableParagraph"/>
              <w:spacing w:line="232" w:lineRule="auto" w:before="99"/>
              <w:ind w:left="92"/>
              <w:rPr>
                <w:sz w:val="18"/>
              </w:rPr>
            </w:pPr>
            <w:r>
              <w:rPr>
                <w:color w:val="105C84"/>
                <w:spacing w:val="-2"/>
                <w:sz w:val="18"/>
              </w:rPr>
              <w:t>Community-based organizations</w:t>
            </w:r>
          </w:p>
        </w:tc>
        <w:tc>
          <w:tcPr>
            <w:tcW w:w="1982" w:type="dxa"/>
          </w:tcPr>
          <w:p>
            <w:pPr>
              <w:pStyle w:val="TableParagraph"/>
              <w:spacing w:before="94"/>
              <w:ind w:left="93"/>
              <w:rPr>
                <w:sz w:val="18"/>
              </w:rPr>
            </w:pPr>
            <w:r>
              <w:rPr>
                <w:color w:val="105C84"/>
                <w:spacing w:val="-6"/>
                <w:sz w:val="18"/>
              </w:rPr>
              <w:t>SRHN/IHS:</w:t>
            </w:r>
            <w:r>
              <w:rPr>
                <w:color w:val="105C84"/>
                <w:spacing w:val="4"/>
                <w:sz w:val="18"/>
              </w:rPr>
              <w:t> </w:t>
            </w:r>
            <w:r>
              <w:rPr>
                <w:color w:val="105C84"/>
                <w:spacing w:val="-2"/>
                <w:sz w:val="18"/>
              </w:rPr>
              <w:t>referrals</w:t>
            </w:r>
          </w:p>
        </w:tc>
      </w:tr>
      <w:tr>
        <w:trPr>
          <w:trHeight w:val="3035" w:hRule="atLeast"/>
        </w:trPr>
        <w:tc>
          <w:tcPr>
            <w:tcW w:w="1180" w:type="dxa"/>
            <w:vMerge/>
            <w:tcBorders>
              <w:top w:val="nil"/>
              <w:bottom w:val="nil"/>
            </w:tcBorders>
            <w:shd w:val="clear" w:color="auto" w:fill="E6E7E8"/>
          </w:tcPr>
          <w:p>
            <w:pPr>
              <w:rPr>
                <w:sz w:val="2"/>
                <w:szCs w:val="2"/>
              </w:rPr>
            </w:pPr>
          </w:p>
        </w:tc>
        <w:tc>
          <w:tcPr>
            <w:tcW w:w="1382" w:type="dxa"/>
            <w:vMerge/>
            <w:tcBorders>
              <w:top w:val="nil"/>
              <w:bottom w:val="nil"/>
            </w:tcBorders>
          </w:tcPr>
          <w:p>
            <w:pPr>
              <w:rPr>
                <w:sz w:val="2"/>
                <w:szCs w:val="2"/>
              </w:rPr>
            </w:pPr>
          </w:p>
        </w:tc>
        <w:tc>
          <w:tcPr>
            <w:tcW w:w="1180" w:type="dxa"/>
            <w:vMerge/>
            <w:tcBorders>
              <w:top w:val="nil"/>
              <w:bottom w:val="nil"/>
            </w:tcBorders>
          </w:tcPr>
          <w:p>
            <w:pPr>
              <w:rPr>
                <w:sz w:val="2"/>
                <w:szCs w:val="2"/>
              </w:rPr>
            </w:pPr>
          </w:p>
        </w:tc>
        <w:tc>
          <w:tcPr>
            <w:tcW w:w="1497" w:type="dxa"/>
            <w:vMerge/>
            <w:tcBorders>
              <w:top w:val="nil"/>
              <w:bottom w:val="nil"/>
            </w:tcBorders>
          </w:tcPr>
          <w:p>
            <w:pPr>
              <w:rPr>
                <w:sz w:val="2"/>
                <w:szCs w:val="2"/>
              </w:rPr>
            </w:pPr>
          </w:p>
        </w:tc>
        <w:tc>
          <w:tcPr>
            <w:tcW w:w="1065" w:type="dxa"/>
            <w:vMerge/>
            <w:tcBorders>
              <w:top w:val="nil"/>
            </w:tcBorders>
          </w:tcPr>
          <w:p>
            <w:pPr>
              <w:rPr>
                <w:sz w:val="2"/>
                <w:szCs w:val="2"/>
              </w:rPr>
            </w:pPr>
          </w:p>
        </w:tc>
        <w:tc>
          <w:tcPr>
            <w:tcW w:w="1987" w:type="dxa"/>
            <w:vMerge/>
            <w:tcBorders>
              <w:top w:val="nil"/>
              <w:bottom w:val="nil"/>
            </w:tcBorders>
          </w:tcPr>
          <w:p>
            <w:pPr>
              <w:rPr>
                <w:sz w:val="2"/>
                <w:szCs w:val="2"/>
              </w:rPr>
            </w:pPr>
          </w:p>
        </w:tc>
        <w:tc>
          <w:tcPr>
            <w:tcW w:w="2965" w:type="dxa"/>
            <w:tcBorders>
              <w:bottom w:val="nil"/>
              <w:right w:val="nil"/>
            </w:tcBorders>
          </w:tcPr>
          <w:p>
            <w:pPr>
              <w:pStyle w:val="TableParagraph"/>
              <w:spacing w:line="232" w:lineRule="auto" w:before="99"/>
              <w:ind w:left="92" w:right="1037"/>
              <w:rPr>
                <w:sz w:val="18"/>
              </w:rPr>
            </w:pPr>
            <w:r>
              <w:rPr>
                <w:color w:val="105C84"/>
                <w:sz w:val="18"/>
              </w:rPr>
              <w:t>% of BSU patients followed</w:t>
            </w:r>
            <w:r>
              <w:rPr>
                <w:color w:val="105C84"/>
                <w:spacing w:val="-13"/>
                <w:sz w:val="18"/>
              </w:rPr>
              <w:t> </w:t>
            </w:r>
            <w:r>
              <w:rPr>
                <w:color w:val="105C84"/>
                <w:sz w:val="18"/>
              </w:rPr>
              <w:t>up</w:t>
            </w:r>
            <w:r>
              <w:rPr>
                <w:color w:val="105C84"/>
                <w:spacing w:val="-12"/>
                <w:sz w:val="18"/>
              </w:rPr>
              <w:t> </w:t>
            </w:r>
            <w:r>
              <w:rPr>
                <w:color w:val="105C84"/>
                <w:sz w:val="18"/>
              </w:rPr>
              <w:t>by</w:t>
            </w:r>
            <w:r>
              <w:rPr>
                <w:color w:val="105C84"/>
                <w:spacing w:val="-13"/>
                <w:sz w:val="18"/>
              </w:rPr>
              <w:t> </w:t>
            </w:r>
            <w:r>
              <w:rPr>
                <w:color w:val="105C84"/>
                <w:sz w:val="18"/>
              </w:rPr>
              <w:t>PCP within 7 days from </w:t>
            </w:r>
            <w:r>
              <w:rPr>
                <w:color w:val="105C84"/>
                <w:spacing w:val="-2"/>
                <w:sz w:val="18"/>
              </w:rPr>
              <w:t>discharge</w:t>
            </w:r>
          </w:p>
          <w:p>
            <w:pPr>
              <w:pStyle w:val="TableParagraph"/>
              <w:spacing w:line="232" w:lineRule="auto" w:before="87"/>
              <w:ind w:left="92" w:right="1037"/>
              <w:rPr>
                <w:sz w:val="18"/>
              </w:rPr>
            </w:pPr>
            <w:r>
              <w:rPr>
                <w:color w:val="105C84"/>
                <w:sz w:val="18"/>
              </w:rPr>
              <w:t>#</w:t>
            </w:r>
            <w:r>
              <w:rPr>
                <w:color w:val="105C84"/>
                <w:spacing w:val="-15"/>
                <w:sz w:val="18"/>
              </w:rPr>
              <w:t> </w:t>
            </w:r>
            <w:r>
              <w:rPr>
                <w:color w:val="105C84"/>
                <w:sz w:val="18"/>
              </w:rPr>
              <w:t>utilizing</w:t>
            </w:r>
            <w:r>
              <w:rPr>
                <w:color w:val="105C84"/>
                <w:spacing w:val="-12"/>
                <w:sz w:val="18"/>
              </w:rPr>
              <w:t> </w:t>
            </w:r>
            <w:r>
              <w:rPr>
                <w:color w:val="105C84"/>
                <w:sz w:val="18"/>
              </w:rPr>
              <w:t>telepsych </w:t>
            </w:r>
            <w:r>
              <w:rPr>
                <w:color w:val="105C84"/>
                <w:spacing w:val="-2"/>
                <w:sz w:val="18"/>
              </w:rPr>
              <w:t>services</w:t>
            </w:r>
          </w:p>
        </w:tc>
        <w:tc>
          <w:tcPr>
            <w:tcW w:w="3285" w:type="dxa"/>
            <w:tcBorders>
              <w:left w:val="nil"/>
              <w:bottom w:val="nil"/>
            </w:tcBorders>
          </w:tcPr>
          <w:p>
            <w:pPr>
              <w:pStyle w:val="TableParagraph"/>
              <w:spacing w:line="232" w:lineRule="auto" w:before="99"/>
              <w:ind w:left="1071" w:right="281"/>
              <w:rPr>
                <w:sz w:val="18"/>
              </w:rPr>
            </w:pPr>
            <w:r>
              <w:rPr>
                <w:color w:val="105C84"/>
                <w:sz w:val="18"/>
              </w:rPr>
              <w:t>Baseline</w:t>
            </w:r>
            <w:r>
              <w:rPr>
                <w:color w:val="105C84"/>
                <w:spacing w:val="-15"/>
                <w:sz w:val="18"/>
              </w:rPr>
              <w:t> </w:t>
            </w:r>
            <w:r>
              <w:rPr>
                <w:color w:val="105C84"/>
                <w:sz w:val="18"/>
              </w:rPr>
              <w:t>established</w:t>
            </w:r>
            <w:r>
              <w:rPr>
                <w:color w:val="105C84"/>
                <w:spacing w:val="-12"/>
                <w:sz w:val="18"/>
              </w:rPr>
              <w:t> </w:t>
            </w:r>
            <w:r>
              <w:rPr>
                <w:color w:val="105C84"/>
                <w:sz w:val="18"/>
              </w:rPr>
              <w:t>for PCP</w:t>
            </w:r>
            <w:r>
              <w:rPr>
                <w:color w:val="105C84"/>
                <w:spacing w:val="-5"/>
                <w:sz w:val="18"/>
              </w:rPr>
              <w:t> </w:t>
            </w:r>
            <w:r>
              <w:rPr>
                <w:color w:val="105C84"/>
                <w:sz w:val="18"/>
              </w:rPr>
              <w:t>follow</w:t>
            </w:r>
            <w:r>
              <w:rPr>
                <w:color w:val="105C84"/>
                <w:spacing w:val="-5"/>
                <w:sz w:val="18"/>
              </w:rPr>
              <w:t> </w:t>
            </w:r>
            <w:r>
              <w:rPr>
                <w:color w:val="105C84"/>
                <w:sz w:val="18"/>
              </w:rPr>
              <w:t>up</w:t>
            </w:r>
            <w:r>
              <w:rPr>
                <w:color w:val="105C84"/>
                <w:spacing w:val="-5"/>
                <w:sz w:val="18"/>
              </w:rPr>
              <w:t> </w:t>
            </w:r>
            <w:r>
              <w:rPr>
                <w:color w:val="105C84"/>
                <w:sz w:val="18"/>
              </w:rPr>
              <w:t>from</w:t>
            </w:r>
            <w:r>
              <w:rPr>
                <w:color w:val="105C84"/>
                <w:spacing w:val="-5"/>
                <w:sz w:val="18"/>
              </w:rPr>
              <w:t> </w:t>
            </w:r>
            <w:r>
              <w:rPr>
                <w:color w:val="105C84"/>
                <w:spacing w:val="-11"/>
                <w:sz w:val="18"/>
              </w:rPr>
              <w:t>BSU</w:t>
            </w:r>
          </w:p>
        </w:tc>
        <w:tc>
          <w:tcPr>
            <w:tcW w:w="2275" w:type="dxa"/>
            <w:tcBorders>
              <w:bottom w:val="nil"/>
            </w:tcBorders>
          </w:tcPr>
          <w:p>
            <w:pPr>
              <w:pStyle w:val="TableParagraph"/>
              <w:spacing w:line="232" w:lineRule="auto" w:before="99"/>
              <w:ind w:left="92" w:right="5"/>
              <w:rPr>
                <w:sz w:val="18"/>
              </w:rPr>
            </w:pPr>
            <w:r>
              <w:rPr>
                <w:color w:val="105C84"/>
                <w:sz w:val="18"/>
              </w:rPr>
              <w:t>Increase</w:t>
            </w:r>
            <w:r>
              <w:rPr>
                <w:color w:val="105C84"/>
                <w:spacing w:val="-11"/>
                <w:sz w:val="18"/>
              </w:rPr>
              <w:t> </w:t>
            </w:r>
            <w:r>
              <w:rPr>
                <w:color w:val="105C84"/>
                <w:sz w:val="18"/>
              </w:rPr>
              <w:t>%</w:t>
            </w:r>
            <w:r>
              <w:rPr>
                <w:color w:val="105C84"/>
                <w:spacing w:val="-11"/>
                <w:sz w:val="18"/>
              </w:rPr>
              <w:t> </w:t>
            </w:r>
            <w:r>
              <w:rPr>
                <w:color w:val="105C84"/>
                <w:sz w:val="18"/>
              </w:rPr>
              <w:t>of</w:t>
            </w:r>
            <w:r>
              <w:rPr>
                <w:color w:val="105C84"/>
                <w:spacing w:val="-11"/>
                <w:sz w:val="18"/>
              </w:rPr>
              <w:t> </w:t>
            </w:r>
            <w:r>
              <w:rPr>
                <w:color w:val="105C84"/>
                <w:sz w:val="18"/>
              </w:rPr>
              <w:t>follow</w:t>
            </w:r>
            <w:r>
              <w:rPr>
                <w:color w:val="105C84"/>
                <w:spacing w:val="-11"/>
                <w:sz w:val="18"/>
              </w:rPr>
              <w:t> </w:t>
            </w:r>
            <w:r>
              <w:rPr>
                <w:color w:val="105C84"/>
                <w:sz w:val="18"/>
              </w:rPr>
              <w:t>up</w:t>
            </w:r>
            <w:r>
              <w:rPr>
                <w:color w:val="105C84"/>
                <w:spacing w:val="-11"/>
                <w:sz w:val="18"/>
              </w:rPr>
              <w:t> </w:t>
            </w:r>
            <w:r>
              <w:rPr>
                <w:color w:val="105C84"/>
                <w:sz w:val="18"/>
              </w:rPr>
              <w:t>by PCP by 10%</w:t>
            </w:r>
          </w:p>
        </w:tc>
        <w:tc>
          <w:tcPr>
            <w:tcW w:w="1987" w:type="dxa"/>
            <w:tcBorders>
              <w:bottom w:val="nil"/>
            </w:tcBorders>
          </w:tcPr>
          <w:p>
            <w:pPr>
              <w:pStyle w:val="TableParagraph"/>
              <w:spacing w:line="232" w:lineRule="auto" w:before="99"/>
              <w:ind w:left="92" w:right="242"/>
              <w:rPr>
                <w:sz w:val="18"/>
              </w:rPr>
            </w:pPr>
            <w:r>
              <w:rPr>
                <w:color w:val="105C84"/>
                <w:sz w:val="18"/>
              </w:rPr>
              <w:t>Increase</w:t>
            </w:r>
            <w:r>
              <w:rPr>
                <w:color w:val="105C84"/>
                <w:spacing w:val="-13"/>
                <w:sz w:val="18"/>
              </w:rPr>
              <w:t> </w:t>
            </w:r>
            <w:r>
              <w:rPr>
                <w:color w:val="105C84"/>
                <w:sz w:val="18"/>
              </w:rPr>
              <w:t>%</w:t>
            </w:r>
            <w:r>
              <w:rPr>
                <w:color w:val="105C84"/>
                <w:spacing w:val="-12"/>
                <w:sz w:val="18"/>
              </w:rPr>
              <w:t> </w:t>
            </w:r>
            <w:r>
              <w:rPr>
                <w:color w:val="105C84"/>
                <w:sz w:val="18"/>
              </w:rPr>
              <w:t>follow</w:t>
            </w:r>
            <w:r>
              <w:rPr>
                <w:color w:val="105C84"/>
                <w:spacing w:val="-13"/>
                <w:sz w:val="18"/>
              </w:rPr>
              <w:t> </w:t>
            </w:r>
            <w:r>
              <w:rPr>
                <w:color w:val="105C84"/>
                <w:sz w:val="18"/>
              </w:rPr>
              <w:t>up by PCP by 10%</w:t>
            </w:r>
          </w:p>
        </w:tc>
        <w:tc>
          <w:tcPr>
            <w:tcW w:w="1497" w:type="dxa"/>
            <w:vMerge/>
            <w:tcBorders>
              <w:top w:val="nil"/>
              <w:bottom w:val="nil"/>
            </w:tcBorders>
          </w:tcPr>
          <w:p>
            <w:pPr>
              <w:rPr>
                <w:sz w:val="2"/>
                <w:szCs w:val="2"/>
              </w:rPr>
            </w:pPr>
          </w:p>
        </w:tc>
        <w:tc>
          <w:tcPr>
            <w:tcW w:w="1982" w:type="dxa"/>
            <w:tcBorders>
              <w:bottom w:val="nil"/>
            </w:tcBorders>
          </w:tcPr>
          <w:p>
            <w:pPr>
              <w:pStyle w:val="TableParagraph"/>
              <w:spacing w:line="232" w:lineRule="auto" w:before="99"/>
              <w:ind w:left="93" w:right="259"/>
              <w:rPr>
                <w:sz w:val="18"/>
              </w:rPr>
            </w:pPr>
            <w:r>
              <w:rPr>
                <w:color w:val="105C84"/>
                <w:sz w:val="18"/>
              </w:rPr>
              <w:t>Because Ira does </w:t>
            </w:r>
            <w:r>
              <w:rPr>
                <w:color w:val="105C84"/>
                <w:spacing w:val="-4"/>
                <w:sz w:val="18"/>
              </w:rPr>
              <w:t>not</w:t>
            </w:r>
            <w:r>
              <w:rPr>
                <w:color w:val="105C84"/>
                <w:spacing w:val="-11"/>
                <w:sz w:val="18"/>
              </w:rPr>
              <w:t> </w:t>
            </w:r>
            <w:r>
              <w:rPr>
                <w:color w:val="105C84"/>
                <w:spacing w:val="-4"/>
                <w:sz w:val="18"/>
              </w:rPr>
              <w:t>have</w:t>
            </w:r>
            <w:r>
              <w:rPr>
                <w:color w:val="105C84"/>
                <w:spacing w:val="-8"/>
                <w:sz w:val="18"/>
              </w:rPr>
              <w:t> </w:t>
            </w:r>
            <w:r>
              <w:rPr>
                <w:color w:val="105C84"/>
                <w:spacing w:val="-4"/>
                <w:sz w:val="18"/>
              </w:rPr>
              <w:t>a</w:t>
            </w:r>
            <w:r>
              <w:rPr>
                <w:color w:val="105C84"/>
                <w:spacing w:val="-9"/>
                <w:sz w:val="18"/>
              </w:rPr>
              <w:t> </w:t>
            </w:r>
            <w:r>
              <w:rPr>
                <w:color w:val="105C84"/>
                <w:spacing w:val="-4"/>
                <w:sz w:val="18"/>
              </w:rPr>
              <w:t>BSU,</w:t>
            </w:r>
            <w:r>
              <w:rPr>
                <w:color w:val="105C84"/>
                <w:spacing w:val="-8"/>
                <w:sz w:val="18"/>
              </w:rPr>
              <w:t> </w:t>
            </w:r>
            <w:r>
              <w:rPr>
                <w:color w:val="105C84"/>
                <w:spacing w:val="-4"/>
                <w:sz w:val="18"/>
              </w:rPr>
              <w:t>any </w:t>
            </w:r>
            <w:r>
              <w:rPr>
                <w:color w:val="105C84"/>
                <w:sz w:val="18"/>
              </w:rPr>
              <w:t>patients requiring this service may be referred to Arnot</w:t>
            </w:r>
          </w:p>
          <w:p>
            <w:pPr>
              <w:pStyle w:val="TableParagraph"/>
              <w:spacing w:line="232" w:lineRule="auto" w:before="86"/>
              <w:ind w:left="93" w:right="151"/>
              <w:rPr>
                <w:sz w:val="18"/>
              </w:rPr>
            </w:pPr>
            <w:r>
              <w:rPr>
                <w:color w:val="105C84"/>
                <w:sz w:val="18"/>
              </w:rPr>
              <w:t>Patients would remain in the BSU until they are ready</w:t>
            </w:r>
            <w:r>
              <w:rPr>
                <w:color w:val="105C84"/>
                <w:spacing w:val="40"/>
                <w:sz w:val="18"/>
              </w:rPr>
              <w:t> </w:t>
            </w:r>
            <w:r>
              <w:rPr>
                <w:color w:val="105C84"/>
                <w:sz w:val="18"/>
              </w:rPr>
              <w:t>to discharge, then</w:t>
            </w:r>
            <w:r>
              <w:rPr>
                <w:color w:val="105C84"/>
                <w:spacing w:val="80"/>
                <w:sz w:val="18"/>
              </w:rPr>
              <w:t> </w:t>
            </w:r>
            <w:r>
              <w:rPr>
                <w:color w:val="105C84"/>
                <w:spacing w:val="-2"/>
                <w:sz w:val="18"/>
              </w:rPr>
              <w:t>the</w:t>
            </w:r>
            <w:r>
              <w:rPr>
                <w:color w:val="105C84"/>
                <w:spacing w:val="-13"/>
                <w:sz w:val="18"/>
              </w:rPr>
              <w:t> </w:t>
            </w:r>
            <w:r>
              <w:rPr>
                <w:color w:val="105C84"/>
                <w:spacing w:val="-2"/>
                <w:sz w:val="18"/>
              </w:rPr>
              <w:t>DSRIP</w:t>
            </w:r>
            <w:r>
              <w:rPr>
                <w:color w:val="105C84"/>
                <w:spacing w:val="-10"/>
                <w:sz w:val="18"/>
              </w:rPr>
              <w:t> </w:t>
            </w:r>
            <w:r>
              <w:rPr>
                <w:color w:val="105C84"/>
                <w:spacing w:val="-2"/>
                <w:sz w:val="18"/>
              </w:rPr>
              <w:t>goal</w:t>
            </w:r>
            <w:r>
              <w:rPr>
                <w:color w:val="105C84"/>
                <w:spacing w:val="-11"/>
                <w:sz w:val="18"/>
              </w:rPr>
              <w:t> </w:t>
            </w:r>
            <w:r>
              <w:rPr>
                <w:color w:val="105C84"/>
                <w:spacing w:val="-2"/>
                <w:sz w:val="18"/>
              </w:rPr>
              <w:t>is</w:t>
            </w:r>
            <w:r>
              <w:rPr>
                <w:color w:val="105C84"/>
                <w:spacing w:val="-10"/>
                <w:sz w:val="18"/>
              </w:rPr>
              <w:t> </w:t>
            </w:r>
            <w:r>
              <w:rPr>
                <w:color w:val="105C84"/>
                <w:spacing w:val="-2"/>
                <w:sz w:val="18"/>
              </w:rPr>
              <w:t>that </w:t>
            </w:r>
            <w:r>
              <w:rPr>
                <w:color w:val="105C84"/>
                <w:sz w:val="18"/>
              </w:rPr>
              <w:t>all BSU discharged</w:t>
            </w:r>
          </w:p>
          <w:p>
            <w:pPr>
              <w:pStyle w:val="TableParagraph"/>
              <w:spacing w:line="232" w:lineRule="auto"/>
              <w:ind w:left="93"/>
              <w:rPr>
                <w:sz w:val="18"/>
              </w:rPr>
            </w:pPr>
            <w:r>
              <w:rPr>
                <w:color w:val="105C84"/>
                <w:sz w:val="18"/>
              </w:rPr>
              <w:t>patients be </w:t>
            </w:r>
            <w:r>
              <w:rPr>
                <w:color w:val="105C84"/>
                <w:sz w:val="18"/>
              </w:rPr>
              <w:t>contacted by their PCP within 7 </w:t>
            </w:r>
            <w:r>
              <w:rPr>
                <w:color w:val="105C84"/>
                <w:spacing w:val="-4"/>
                <w:sz w:val="18"/>
              </w:rPr>
              <w:t>days</w:t>
            </w:r>
          </w:p>
        </w:tc>
      </w:tr>
      <w:tr>
        <w:trPr>
          <w:trHeight w:val="974" w:hRule="atLeast"/>
        </w:trPr>
        <w:tc>
          <w:tcPr>
            <w:tcW w:w="1180" w:type="dxa"/>
            <w:tcBorders>
              <w:top w:val="nil"/>
            </w:tcBorders>
            <w:shd w:val="clear" w:color="auto" w:fill="E6E7E8"/>
          </w:tcPr>
          <w:p>
            <w:pPr>
              <w:pStyle w:val="TableParagraph"/>
              <w:rPr>
                <w:rFonts w:ascii="Times New Roman"/>
                <w:sz w:val="18"/>
              </w:rPr>
            </w:pPr>
          </w:p>
        </w:tc>
        <w:tc>
          <w:tcPr>
            <w:tcW w:w="1382" w:type="dxa"/>
            <w:tcBorders>
              <w:top w:val="nil"/>
            </w:tcBorders>
          </w:tcPr>
          <w:p>
            <w:pPr>
              <w:pStyle w:val="TableParagraph"/>
              <w:rPr>
                <w:rFonts w:ascii="Times New Roman"/>
                <w:sz w:val="18"/>
              </w:rPr>
            </w:pPr>
          </w:p>
        </w:tc>
        <w:tc>
          <w:tcPr>
            <w:tcW w:w="1180" w:type="dxa"/>
            <w:tcBorders>
              <w:top w:val="nil"/>
            </w:tcBorders>
          </w:tcPr>
          <w:p>
            <w:pPr>
              <w:pStyle w:val="TableParagraph"/>
              <w:rPr>
                <w:rFonts w:ascii="Times New Roman"/>
                <w:sz w:val="18"/>
              </w:rPr>
            </w:pPr>
          </w:p>
        </w:tc>
        <w:tc>
          <w:tcPr>
            <w:tcW w:w="1497" w:type="dxa"/>
            <w:tcBorders>
              <w:top w:val="nil"/>
            </w:tcBorders>
          </w:tcPr>
          <w:p>
            <w:pPr>
              <w:pStyle w:val="TableParagraph"/>
              <w:rPr>
                <w:rFonts w:ascii="Times New Roman"/>
                <w:sz w:val="18"/>
              </w:rPr>
            </w:pPr>
          </w:p>
        </w:tc>
        <w:tc>
          <w:tcPr>
            <w:tcW w:w="1065" w:type="dxa"/>
            <w:vMerge/>
            <w:tcBorders>
              <w:top w:val="nil"/>
            </w:tcBorders>
          </w:tcPr>
          <w:p>
            <w:pPr>
              <w:rPr>
                <w:sz w:val="2"/>
                <w:szCs w:val="2"/>
              </w:rPr>
            </w:pPr>
          </w:p>
        </w:tc>
        <w:tc>
          <w:tcPr>
            <w:tcW w:w="1987" w:type="dxa"/>
            <w:tcBorders>
              <w:top w:val="nil"/>
            </w:tcBorders>
          </w:tcPr>
          <w:p>
            <w:pPr>
              <w:pStyle w:val="TableParagraph"/>
              <w:rPr>
                <w:rFonts w:ascii="Times New Roman"/>
                <w:sz w:val="18"/>
              </w:rPr>
            </w:pPr>
          </w:p>
        </w:tc>
        <w:tc>
          <w:tcPr>
            <w:tcW w:w="2965" w:type="dxa"/>
            <w:tcBorders>
              <w:top w:val="nil"/>
              <w:right w:val="nil"/>
            </w:tcBorders>
          </w:tcPr>
          <w:p>
            <w:pPr>
              <w:pStyle w:val="TableParagraph"/>
              <w:rPr>
                <w:rFonts w:ascii="Times New Roman"/>
                <w:sz w:val="18"/>
              </w:rPr>
            </w:pPr>
          </w:p>
        </w:tc>
        <w:tc>
          <w:tcPr>
            <w:tcW w:w="3285" w:type="dxa"/>
            <w:tcBorders>
              <w:top w:val="nil"/>
              <w:left w:val="nil"/>
            </w:tcBorders>
          </w:tcPr>
          <w:p>
            <w:pPr>
              <w:pStyle w:val="TableParagraph"/>
              <w:rPr>
                <w:rFonts w:ascii="Times New Roman"/>
                <w:sz w:val="18"/>
              </w:rPr>
            </w:pPr>
          </w:p>
        </w:tc>
        <w:tc>
          <w:tcPr>
            <w:tcW w:w="2275" w:type="dxa"/>
            <w:tcBorders>
              <w:top w:val="nil"/>
            </w:tcBorders>
          </w:tcPr>
          <w:p>
            <w:pPr>
              <w:pStyle w:val="TableParagraph"/>
              <w:rPr>
                <w:rFonts w:ascii="Times New Roman"/>
                <w:sz w:val="18"/>
              </w:rPr>
            </w:pPr>
          </w:p>
        </w:tc>
        <w:tc>
          <w:tcPr>
            <w:tcW w:w="1987" w:type="dxa"/>
            <w:tcBorders>
              <w:top w:val="nil"/>
            </w:tcBorders>
          </w:tcPr>
          <w:p>
            <w:pPr>
              <w:pStyle w:val="TableParagraph"/>
              <w:rPr>
                <w:rFonts w:ascii="Times New Roman"/>
                <w:sz w:val="18"/>
              </w:rPr>
            </w:pPr>
          </w:p>
        </w:tc>
        <w:tc>
          <w:tcPr>
            <w:tcW w:w="1497" w:type="dxa"/>
            <w:tcBorders>
              <w:top w:val="nil"/>
            </w:tcBorders>
          </w:tcPr>
          <w:p>
            <w:pPr>
              <w:pStyle w:val="TableParagraph"/>
              <w:rPr>
                <w:rFonts w:ascii="Times New Roman"/>
                <w:sz w:val="18"/>
              </w:rPr>
            </w:pPr>
          </w:p>
        </w:tc>
        <w:tc>
          <w:tcPr>
            <w:tcW w:w="1982" w:type="dxa"/>
            <w:tcBorders>
              <w:top w:val="nil"/>
            </w:tcBorders>
          </w:tcPr>
          <w:p>
            <w:pPr>
              <w:pStyle w:val="TableParagraph"/>
              <w:spacing w:line="232" w:lineRule="auto" w:before="33"/>
              <w:ind w:left="93" w:right="259"/>
              <w:rPr>
                <w:sz w:val="18"/>
              </w:rPr>
            </w:pPr>
            <w:r>
              <w:rPr>
                <w:color w:val="105C84"/>
                <w:spacing w:val="-2"/>
                <w:sz w:val="18"/>
              </w:rPr>
              <w:t>Ira</w:t>
            </w:r>
            <w:r>
              <w:rPr>
                <w:color w:val="105C84"/>
                <w:spacing w:val="-11"/>
                <w:sz w:val="18"/>
              </w:rPr>
              <w:t> </w:t>
            </w:r>
            <w:r>
              <w:rPr>
                <w:color w:val="105C84"/>
                <w:spacing w:val="-2"/>
                <w:sz w:val="18"/>
              </w:rPr>
              <w:t>utilizes</w:t>
            </w:r>
            <w:r>
              <w:rPr>
                <w:color w:val="105C84"/>
                <w:spacing w:val="-10"/>
                <w:sz w:val="18"/>
              </w:rPr>
              <w:t> </w:t>
            </w:r>
            <w:r>
              <w:rPr>
                <w:color w:val="105C84"/>
                <w:spacing w:val="-2"/>
                <w:sz w:val="18"/>
              </w:rPr>
              <w:t>telepysch </w:t>
            </w:r>
            <w:r>
              <w:rPr>
                <w:color w:val="105C84"/>
                <w:sz w:val="18"/>
              </w:rPr>
              <w:t>for adult patient consults with Arnot Health</w:t>
            </w:r>
            <w:r>
              <w:rPr>
                <w:color w:val="105C84"/>
                <w:spacing w:val="-13"/>
                <w:sz w:val="18"/>
              </w:rPr>
              <w:t> </w:t>
            </w:r>
            <w:r>
              <w:rPr>
                <w:color w:val="105C84"/>
                <w:sz w:val="18"/>
              </w:rPr>
              <w:t>Psychiatrists</w:t>
            </w:r>
          </w:p>
        </w:tc>
      </w:tr>
    </w:tbl>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184"/>
        <w:rPr>
          <w:b/>
          <w:sz w:val="26"/>
        </w:rPr>
      </w:pPr>
    </w:p>
    <w:p>
      <w:pPr>
        <w:tabs>
          <w:tab w:pos="23047" w:val="left" w:leader="none"/>
        </w:tabs>
        <w:spacing w:before="1"/>
        <w:ind w:left="0" w:right="0" w:firstLine="0"/>
        <w:jc w:val="left"/>
        <w:rPr>
          <w:b/>
          <w:sz w:val="26"/>
        </w:rPr>
      </w:pPr>
      <w:r>
        <w:rPr>
          <w:position w:val="-4"/>
        </w:rPr>
        <w:drawing>
          <wp:inline distT="0" distB="0" distL="0" distR="0">
            <wp:extent cx="568172" cy="184683"/>
            <wp:effectExtent l="0" t="0" r="0" b="0"/>
            <wp:docPr id="1992" name="Image 1992"/>
            <wp:cNvGraphicFramePr>
              <a:graphicFrameLocks/>
            </wp:cNvGraphicFramePr>
            <a:graphic>
              <a:graphicData uri="http://schemas.openxmlformats.org/drawingml/2006/picture">
                <pic:pic>
                  <pic:nvPicPr>
                    <pic:cNvPr id="1992" name="Image 1992"/>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13"/>
          <w:sz w:val="20"/>
        </w:rPr>
        <w:t> </w:t>
      </w:r>
      <w:r>
        <w:rPr>
          <w:b/>
          <w:color w:val="939598"/>
          <w:w w:val="105"/>
          <w:sz w:val="26"/>
        </w:rPr>
        <w:t>205</w:t>
      </w:r>
      <w:r>
        <w:rPr>
          <w:b/>
          <w:color w:val="939598"/>
          <w:sz w:val="26"/>
        </w:rPr>
        <w:tab/>
      </w:r>
      <w:r>
        <w:rPr>
          <w:b/>
          <w:color w:val="939598"/>
          <w:spacing w:val="-5"/>
          <w:w w:val="105"/>
          <w:sz w:val="26"/>
        </w:rPr>
        <w:t>206</w:t>
      </w:r>
    </w:p>
    <w:p>
      <w:pPr>
        <w:spacing w:after="0"/>
        <w:jc w:val="left"/>
        <w:rPr>
          <w:b/>
          <w:sz w:val="26"/>
        </w:rPr>
        <w:sectPr>
          <w:pgSz w:w="24480" w:h="15840" w:orient="landscape"/>
          <w:pgMar w:header="0" w:footer="0" w:top="860" w:bottom="0" w:left="0" w:right="720"/>
        </w:sectPr>
      </w:pPr>
    </w:p>
    <w:p>
      <w:pPr>
        <w:spacing w:before="609"/>
        <w:ind w:left="1089" w:right="0" w:firstLine="0"/>
        <w:jc w:val="left"/>
        <w:rPr>
          <w:sz w:val="54"/>
        </w:rPr>
      </w:pPr>
      <w:r>
        <w:rPr>
          <w:sz w:val="54"/>
        </w:rPr>
        <w:drawing>
          <wp:anchor distT="0" distB="0" distL="0" distR="0" allowOverlap="1" layoutInCell="1" locked="0" behindDoc="0" simplePos="0" relativeHeight="16016896">
            <wp:simplePos x="0" y="0"/>
            <wp:positionH relativeFrom="page">
              <wp:posOffset>14981556</wp:posOffset>
            </wp:positionH>
            <wp:positionV relativeFrom="page">
              <wp:posOffset>9668103</wp:posOffset>
            </wp:positionV>
            <wp:extent cx="563245" cy="184683"/>
            <wp:effectExtent l="0" t="0" r="0" b="0"/>
            <wp:wrapNone/>
            <wp:docPr id="1993" name="Image 1993"/>
            <wp:cNvGraphicFramePr>
              <a:graphicFrameLocks/>
            </wp:cNvGraphicFramePr>
            <a:graphic>
              <a:graphicData uri="http://schemas.openxmlformats.org/drawingml/2006/picture">
                <pic:pic>
                  <pic:nvPicPr>
                    <pic:cNvPr id="1993" name="Image 1993"/>
                    <pic:cNvPicPr/>
                  </pic:nvPicPr>
                  <pic:blipFill>
                    <a:blip r:embed="rId38" cstate="print"/>
                    <a:stretch>
                      <a:fillRect/>
                    </a:stretch>
                  </pic:blipFill>
                  <pic:spPr>
                    <a:xfrm>
                      <a:off x="0" y="0"/>
                      <a:ext cx="563245" cy="184683"/>
                    </a:xfrm>
                    <a:prstGeom prst="rect">
                      <a:avLst/>
                    </a:prstGeom>
                  </pic:spPr>
                </pic:pic>
              </a:graphicData>
            </a:graphic>
          </wp:anchor>
        </w:drawing>
      </w:r>
      <w:r>
        <w:rPr>
          <w:sz w:val="54"/>
        </w:rPr>
        <w:drawing>
          <wp:anchor distT="0" distB="0" distL="0" distR="0" allowOverlap="1" layoutInCell="1" locked="0" behindDoc="0" simplePos="0" relativeHeight="16017408">
            <wp:simplePos x="0" y="0"/>
            <wp:positionH relativeFrom="page">
              <wp:posOffset>14298866</wp:posOffset>
            </wp:positionH>
            <wp:positionV relativeFrom="paragraph">
              <wp:posOffset>333089</wp:posOffset>
            </wp:positionV>
            <wp:extent cx="552068" cy="591502"/>
            <wp:effectExtent l="0" t="0" r="0" b="0"/>
            <wp:wrapNone/>
            <wp:docPr id="1994" name="Image 1994"/>
            <wp:cNvGraphicFramePr>
              <a:graphicFrameLocks/>
            </wp:cNvGraphicFramePr>
            <a:graphic>
              <a:graphicData uri="http://schemas.openxmlformats.org/drawingml/2006/picture">
                <pic:pic>
                  <pic:nvPicPr>
                    <pic:cNvPr id="1994" name="Image 1994"/>
                    <pic:cNvPicPr/>
                  </pic:nvPicPr>
                  <pic:blipFill>
                    <a:blip r:embed="rId259" cstate="print"/>
                    <a:stretch>
                      <a:fillRect/>
                    </a:stretch>
                  </pic:blipFill>
                  <pic:spPr>
                    <a:xfrm>
                      <a:off x="0" y="0"/>
                      <a:ext cx="552068" cy="591502"/>
                    </a:xfrm>
                    <a:prstGeom prst="rect">
                      <a:avLst/>
                    </a:prstGeom>
                  </pic:spPr>
                </pic:pic>
              </a:graphicData>
            </a:graphic>
          </wp:anchor>
        </w:drawing>
      </w:r>
      <w:r>
        <w:rPr>
          <w:sz w:val="54"/>
        </w:rPr>
        <w:drawing>
          <wp:anchor distT="0" distB="0" distL="0" distR="0" allowOverlap="1" layoutInCell="1" locked="0" behindDoc="0" simplePos="0" relativeHeight="16017920">
            <wp:simplePos x="0" y="0"/>
            <wp:positionH relativeFrom="page">
              <wp:posOffset>11596623</wp:posOffset>
            </wp:positionH>
            <wp:positionV relativeFrom="paragraph">
              <wp:posOffset>330783</wp:posOffset>
            </wp:positionV>
            <wp:extent cx="1311661" cy="345815"/>
            <wp:effectExtent l="0" t="0" r="0" b="0"/>
            <wp:wrapNone/>
            <wp:docPr id="1995" name="Image 1995"/>
            <wp:cNvGraphicFramePr>
              <a:graphicFrameLocks/>
            </wp:cNvGraphicFramePr>
            <a:graphic>
              <a:graphicData uri="http://schemas.openxmlformats.org/drawingml/2006/picture">
                <pic:pic>
                  <pic:nvPicPr>
                    <pic:cNvPr id="1995" name="Image 1995"/>
                    <pic:cNvPicPr/>
                  </pic:nvPicPr>
                  <pic:blipFill>
                    <a:blip r:embed="rId260" cstate="print"/>
                    <a:stretch>
                      <a:fillRect/>
                    </a:stretch>
                  </pic:blipFill>
                  <pic:spPr>
                    <a:xfrm>
                      <a:off x="0" y="0"/>
                      <a:ext cx="1311661" cy="345815"/>
                    </a:xfrm>
                    <a:prstGeom prst="rect">
                      <a:avLst/>
                    </a:prstGeom>
                  </pic:spPr>
                </pic:pic>
              </a:graphicData>
            </a:graphic>
          </wp:anchor>
        </w:drawing>
      </w:r>
      <w:r>
        <w:rPr>
          <w:sz w:val="54"/>
        </w:rPr>
        <w:drawing>
          <wp:anchor distT="0" distB="0" distL="0" distR="0" allowOverlap="1" layoutInCell="1" locked="0" behindDoc="0" simplePos="0" relativeHeight="16018432">
            <wp:simplePos x="0" y="0"/>
            <wp:positionH relativeFrom="page">
              <wp:posOffset>13088996</wp:posOffset>
            </wp:positionH>
            <wp:positionV relativeFrom="paragraph">
              <wp:posOffset>323398</wp:posOffset>
            </wp:positionV>
            <wp:extent cx="1063929" cy="302976"/>
            <wp:effectExtent l="0" t="0" r="0" b="0"/>
            <wp:wrapNone/>
            <wp:docPr id="1996" name="Image 1996"/>
            <wp:cNvGraphicFramePr>
              <a:graphicFrameLocks/>
            </wp:cNvGraphicFramePr>
            <a:graphic>
              <a:graphicData uri="http://schemas.openxmlformats.org/drawingml/2006/picture">
                <pic:pic>
                  <pic:nvPicPr>
                    <pic:cNvPr id="1996" name="Image 1996"/>
                    <pic:cNvPicPr/>
                  </pic:nvPicPr>
                  <pic:blipFill>
                    <a:blip r:embed="rId261" cstate="print"/>
                    <a:stretch>
                      <a:fillRect/>
                    </a:stretch>
                  </pic:blipFill>
                  <pic:spPr>
                    <a:xfrm>
                      <a:off x="0" y="0"/>
                      <a:ext cx="1063929" cy="302976"/>
                    </a:xfrm>
                    <a:prstGeom prst="rect">
                      <a:avLst/>
                    </a:prstGeom>
                  </pic:spPr>
                </pic:pic>
              </a:graphicData>
            </a:graphic>
          </wp:anchor>
        </w:drawing>
      </w:r>
      <w:r>
        <w:rPr>
          <w:sz w:val="54"/>
        </w:rPr>
        <w:drawing>
          <wp:anchor distT="0" distB="0" distL="0" distR="0" allowOverlap="1" layoutInCell="1" locked="0" behindDoc="0" simplePos="0" relativeHeight="16018944">
            <wp:simplePos x="0" y="0"/>
            <wp:positionH relativeFrom="page">
              <wp:posOffset>11099800</wp:posOffset>
            </wp:positionH>
            <wp:positionV relativeFrom="paragraph">
              <wp:posOffset>279907</wp:posOffset>
            </wp:positionV>
            <wp:extent cx="330199" cy="393699"/>
            <wp:effectExtent l="0" t="0" r="0" b="0"/>
            <wp:wrapNone/>
            <wp:docPr id="1997" name="Image 1997"/>
            <wp:cNvGraphicFramePr>
              <a:graphicFrameLocks/>
            </wp:cNvGraphicFramePr>
            <a:graphic>
              <a:graphicData uri="http://schemas.openxmlformats.org/drawingml/2006/picture">
                <pic:pic>
                  <pic:nvPicPr>
                    <pic:cNvPr id="1997" name="Image 1997"/>
                    <pic:cNvPicPr/>
                  </pic:nvPicPr>
                  <pic:blipFill>
                    <a:blip r:embed="rId262" cstate="print"/>
                    <a:stretch>
                      <a:fillRect/>
                    </a:stretch>
                  </pic:blipFill>
                  <pic:spPr>
                    <a:xfrm>
                      <a:off x="0" y="0"/>
                      <a:ext cx="330199" cy="393699"/>
                    </a:xfrm>
                    <a:prstGeom prst="rect">
                      <a:avLst/>
                    </a:prstGeom>
                  </pic:spPr>
                </pic:pic>
              </a:graphicData>
            </a:graphic>
          </wp:anchor>
        </w:drawing>
      </w:r>
      <w:r>
        <w:rPr>
          <w:sz w:val="54"/>
        </w:rPr>
        <w:drawing>
          <wp:anchor distT="0" distB="0" distL="0" distR="0" allowOverlap="1" layoutInCell="1" locked="0" behindDoc="0" simplePos="0" relativeHeight="16019456">
            <wp:simplePos x="0" y="0"/>
            <wp:positionH relativeFrom="page">
              <wp:posOffset>9610343</wp:posOffset>
            </wp:positionH>
            <wp:positionV relativeFrom="paragraph">
              <wp:posOffset>374444</wp:posOffset>
            </wp:positionV>
            <wp:extent cx="1279782" cy="224523"/>
            <wp:effectExtent l="0" t="0" r="0" b="0"/>
            <wp:wrapNone/>
            <wp:docPr id="1998" name="Image 1998"/>
            <wp:cNvGraphicFramePr>
              <a:graphicFrameLocks/>
            </wp:cNvGraphicFramePr>
            <a:graphic>
              <a:graphicData uri="http://schemas.openxmlformats.org/drawingml/2006/picture">
                <pic:pic>
                  <pic:nvPicPr>
                    <pic:cNvPr id="1998" name="Image 1998"/>
                    <pic:cNvPicPr/>
                  </pic:nvPicPr>
                  <pic:blipFill>
                    <a:blip r:embed="rId263" cstate="print"/>
                    <a:stretch>
                      <a:fillRect/>
                    </a:stretch>
                  </pic:blipFill>
                  <pic:spPr>
                    <a:xfrm>
                      <a:off x="0" y="0"/>
                      <a:ext cx="1279782" cy="224523"/>
                    </a:xfrm>
                    <a:prstGeom prst="rect">
                      <a:avLst/>
                    </a:prstGeom>
                  </pic:spPr>
                </pic:pic>
              </a:graphicData>
            </a:graphic>
          </wp:anchor>
        </w:drawing>
      </w:r>
      <w:r>
        <w:rPr>
          <w:color w:val="636466"/>
          <w:sz w:val="54"/>
        </w:rPr>
        <w:t>Steuben</w:t>
      </w:r>
      <w:r>
        <w:rPr>
          <w:color w:val="636466"/>
          <w:spacing w:val="54"/>
          <w:sz w:val="54"/>
        </w:rPr>
        <w:t> </w:t>
      </w:r>
      <w:r>
        <w:rPr>
          <w:color w:val="636466"/>
          <w:sz w:val="54"/>
        </w:rPr>
        <w:t>County</w:t>
      </w:r>
      <w:r>
        <w:rPr>
          <w:color w:val="636466"/>
          <w:spacing w:val="55"/>
          <w:sz w:val="54"/>
        </w:rPr>
        <w:t> </w:t>
      </w:r>
      <w:r>
        <w:rPr>
          <w:color w:val="636466"/>
          <w:sz w:val="54"/>
        </w:rPr>
        <w:t>Appendix</w:t>
      </w:r>
      <w:r>
        <w:rPr>
          <w:color w:val="636466"/>
          <w:spacing w:val="54"/>
          <w:sz w:val="54"/>
        </w:rPr>
        <w:t> </w:t>
      </w:r>
      <w:r>
        <w:rPr>
          <w:color w:val="636466"/>
          <w:spacing w:val="-10"/>
          <w:sz w:val="54"/>
        </w:rPr>
        <w:t>F</w:t>
      </w:r>
    </w:p>
    <w:p>
      <w:pPr>
        <w:spacing w:before="236"/>
        <w:ind w:left="1089" w:right="0" w:firstLine="0"/>
        <w:jc w:val="left"/>
        <w:rPr>
          <w:b/>
          <w:sz w:val="32"/>
        </w:rPr>
      </w:pPr>
      <w:r>
        <w:rPr>
          <w:b/>
          <w:color w:val="82BF6A"/>
          <w:sz w:val="32"/>
        </w:rPr>
        <w:t>PRIORITY:</w:t>
      </w:r>
      <w:r>
        <w:rPr>
          <w:b/>
          <w:color w:val="82BF6A"/>
          <w:spacing w:val="-20"/>
          <w:sz w:val="32"/>
        </w:rPr>
        <w:t> </w:t>
      </w:r>
      <w:r>
        <w:rPr>
          <w:b/>
          <w:color w:val="82BF6A"/>
          <w:sz w:val="32"/>
        </w:rPr>
        <w:t>PROMOTE</w:t>
      </w:r>
      <w:r>
        <w:rPr>
          <w:b/>
          <w:color w:val="82BF6A"/>
          <w:spacing w:val="-19"/>
          <w:sz w:val="32"/>
        </w:rPr>
        <w:t> </w:t>
      </w:r>
      <w:r>
        <w:rPr>
          <w:b/>
          <w:color w:val="82BF6A"/>
          <w:sz w:val="32"/>
        </w:rPr>
        <w:t>HEALTHY</w:t>
      </w:r>
      <w:r>
        <w:rPr>
          <w:b/>
          <w:color w:val="82BF6A"/>
          <w:spacing w:val="-20"/>
          <w:sz w:val="32"/>
        </w:rPr>
        <w:t> </w:t>
      </w:r>
      <w:r>
        <w:rPr>
          <w:b/>
          <w:color w:val="82BF6A"/>
          <w:sz w:val="32"/>
        </w:rPr>
        <w:t>WOMEN,</w:t>
      </w:r>
      <w:r>
        <w:rPr>
          <w:b/>
          <w:color w:val="82BF6A"/>
          <w:spacing w:val="-19"/>
          <w:sz w:val="32"/>
        </w:rPr>
        <w:t> </w:t>
      </w:r>
      <w:r>
        <w:rPr>
          <w:b/>
          <w:color w:val="82BF6A"/>
          <w:sz w:val="32"/>
        </w:rPr>
        <w:t>INFANTS</w:t>
      </w:r>
      <w:r>
        <w:rPr>
          <w:b/>
          <w:color w:val="82BF6A"/>
          <w:spacing w:val="-19"/>
          <w:sz w:val="32"/>
        </w:rPr>
        <w:t> </w:t>
      </w:r>
      <w:r>
        <w:rPr>
          <w:b/>
          <w:color w:val="82BF6A"/>
          <w:sz w:val="32"/>
        </w:rPr>
        <w:t>AND</w:t>
      </w:r>
      <w:r>
        <w:rPr>
          <w:b/>
          <w:color w:val="82BF6A"/>
          <w:spacing w:val="-20"/>
          <w:sz w:val="32"/>
        </w:rPr>
        <w:t> </w:t>
      </w:r>
      <w:r>
        <w:rPr>
          <w:b/>
          <w:color w:val="82BF6A"/>
          <w:spacing w:val="-2"/>
          <w:sz w:val="32"/>
        </w:rPr>
        <w:t>CHILDREN</w:t>
      </w:r>
    </w:p>
    <w:p>
      <w:pPr>
        <w:pStyle w:val="BodyText"/>
        <w:spacing w:before="162"/>
        <w:rPr>
          <w:b/>
          <w:sz w:val="20"/>
        </w:rPr>
      </w:pPr>
    </w:p>
    <w:tbl>
      <w:tblPr>
        <w:tblW w:w="0" w:type="auto"/>
        <w:jc w:val="left"/>
        <w:tblInd w:w="1099"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1123"/>
        <w:gridCol w:w="1354"/>
        <w:gridCol w:w="1268"/>
        <w:gridCol w:w="1606"/>
        <w:gridCol w:w="1066"/>
        <w:gridCol w:w="1937"/>
        <w:gridCol w:w="2871"/>
        <w:gridCol w:w="3004"/>
        <w:gridCol w:w="2844"/>
        <w:gridCol w:w="1951"/>
        <w:gridCol w:w="1497"/>
        <w:gridCol w:w="1787"/>
      </w:tblGrid>
      <w:tr>
        <w:trPr>
          <w:trHeight w:val="930" w:hRule="atLeast"/>
        </w:trPr>
        <w:tc>
          <w:tcPr>
            <w:tcW w:w="1123" w:type="dxa"/>
            <w:tcBorders>
              <w:right w:val="single" w:sz="4" w:space="0" w:color="FFFFFF"/>
            </w:tcBorders>
            <w:shd w:val="clear" w:color="auto" w:fill="A7A9AC"/>
          </w:tcPr>
          <w:p>
            <w:pPr>
              <w:pStyle w:val="TableParagraph"/>
              <w:spacing w:before="179"/>
              <w:rPr>
                <w:b/>
                <w:sz w:val="18"/>
              </w:rPr>
            </w:pPr>
          </w:p>
          <w:p>
            <w:pPr>
              <w:pStyle w:val="TableParagraph"/>
              <w:ind w:left="79"/>
              <w:rPr>
                <w:b/>
                <w:sz w:val="18"/>
              </w:rPr>
            </w:pPr>
            <w:r>
              <w:rPr>
                <w:b/>
                <w:color w:val="FFFFFF"/>
                <w:spacing w:val="-2"/>
                <w:sz w:val="18"/>
              </w:rPr>
              <w:t>Priority</w:t>
            </w:r>
          </w:p>
        </w:tc>
        <w:tc>
          <w:tcPr>
            <w:tcW w:w="1354" w:type="dxa"/>
            <w:tcBorders>
              <w:left w:val="single" w:sz="4" w:space="0" w:color="FFFFFF"/>
              <w:right w:val="single" w:sz="4" w:space="0" w:color="FFFFFF"/>
            </w:tcBorders>
            <w:shd w:val="clear" w:color="auto" w:fill="A7A9AC"/>
          </w:tcPr>
          <w:p>
            <w:pPr>
              <w:pStyle w:val="TableParagraph"/>
              <w:spacing w:before="179"/>
              <w:rPr>
                <w:b/>
                <w:sz w:val="18"/>
              </w:rPr>
            </w:pPr>
          </w:p>
          <w:p>
            <w:pPr>
              <w:pStyle w:val="TableParagraph"/>
              <w:ind w:left="79"/>
              <w:rPr>
                <w:b/>
                <w:sz w:val="18"/>
              </w:rPr>
            </w:pPr>
            <w:r>
              <w:rPr>
                <w:b/>
                <w:color w:val="FFFFFF"/>
                <w:w w:val="90"/>
                <w:sz w:val="18"/>
              </w:rPr>
              <w:t>Focus</w:t>
            </w:r>
            <w:r>
              <w:rPr>
                <w:b/>
                <w:color w:val="FFFFFF"/>
                <w:spacing w:val="8"/>
                <w:sz w:val="18"/>
              </w:rPr>
              <w:t> </w:t>
            </w:r>
            <w:r>
              <w:rPr>
                <w:b/>
                <w:color w:val="FFFFFF"/>
                <w:spacing w:val="-4"/>
                <w:sz w:val="18"/>
              </w:rPr>
              <w:t>Area</w:t>
            </w:r>
          </w:p>
        </w:tc>
        <w:tc>
          <w:tcPr>
            <w:tcW w:w="1268" w:type="dxa"/>
            <w:tcBorders>
              <w:left w:val="single" w:sz="4" w:space="0" w:color="FFFFFF"/>
              <w:right w:val="single" w:sz="4" w:space="0" w:color="FFFFFF"/>
            </w:tcBorders>
            <w:shd w:val="clear" w:color="auto" w:fill="A7A9AC"/>
          </w:tcPr>
          <w:p>
            <w:pPr>
              <w:pStyle w:val="TableParagraph"/>
              <w:spacing w:before="84"/>
              <w:rPr>
                <w:b/>
                <w:sz w:val="18"/>
              </w:rPr>
            </w:pPr>
          </w:p>
          <w:p>
            <w:pPr>
              <w:pStyle w:val="TableParagraph"/>
              <w:spacing w:line="232" w:lineRule="auto"/>
              <w:ind w:left="79" w:right="239"/>
              <w:rPr>
                <w:b/>
                <w:sz w:val="18"/>
              </w:rPr>
            </w:pPr>
            <w:r>
              <w:rPr>
                <w:b/>
                <w:color w:val="FFFFFF"/>
                <w:spacing w:val="-6"/>
                <w:sz w:val="18"/>
              </w:rPr>
              <w:t>Goal</w:t>
            </w:r>
            <w:r>
              <w:rPr>
                <w:b/>
                <w:color w:val="FFFFFF"/>
                <w:spacing w:val="-7"/>
                <w:sz w:val="18"/>
              </w:rPr>
              <w:t> </w:t>
            </w:r>
            <w:r>
              <w:rPr>
                <w:b/>
                <w:color w:val="FFFFFF"/>
                <w:spacing w:val="-6"/>
                <w:sz w:val="18"/>
              </w:rPr>
              <w:t>Focus </w:t>
            </w:r>
            <w:r>
              <w:rPr>
                <w:b/>
                <w:color w:val="FFFFFF"/>
                <w:spacing w:val="-4"/>
                <w:sz w:val="18"/>
              </w:rPr>
              <w:t>Area</w:t>
            </w:r>
          </w:p>
        </w:tc>
        <w:tc>
          <w:tcPr>
            <w:tcW w:w="1606" w:type="dxa"/>
            <w:tcBorders>
              <w:left w:val="single" w:sz="4" w:space="0" w:color="FFFFFF"/>
              <w:right w:val="single" w:sz="4" w:space="0" w:color="FFFFFF"/>
            </w:tcBorders>
            <w:shd w:val="clear" w:color="auto" w:fill="A7A9AC"/>
          </w:tcPr>
          <w:p>
            <w:pPr>
              <w:pStyle w:val="TableParagraph"/>
              <w:spacing w:before="179"/>
              <w:rPr>
                <w:b/>
                <w:sz w:val="18"/>
              </w:rPr>
            </w:pPr>
          </w:p>
          <w:p>
            <w:pPr>
              <w:pStyle w:val="TableParagraph"/>
              <w:ind w:left="78"/>
              <w:rPr>
                <w:b/>
                <w:sz w:val="18"/>
              </w:rPr>
            </w:pPr>
            <w:r>
              <w:rPr>
                <w:b/>
                <w:color w:val="FFFFFF"/>
                <w:spacing w:val="-2"/>
                <w:sz w:val="18"/>
              </w:rPr>
              <w:t>Objectives</w:t>
            </w:r>
          </w:p>
        </w:tc>
        <w:tc>
          <w:tcPr>
            <w:tcW w:w="1066" w:type="dxa"/>
            <w:tcBorders>
              <w:left w:val="single" w:sz="4" w:space="0" w:color="FFFFFF"/>
              <w:right w:val="single" w:sz="4" w:space="0" w:color="FFFFFF"/>
            </w:tcBorders>
            <w:shd w:val="clear" w:color="auto" w:fill="A7A9AC"/>
          </w:tcPr>
          <w:p>
            <w:pPr>
              <w:pStyle w:val="TableParagraph"/>
              <w:spacing w:before="179"/>
              <w:rPr>
                <w:b/>
                <w:sz w:val="18"/>
              </w:rPr>
            </w:pPr>
          </w:p>
          <w:p>
            <w:pPr>
              <w:pStyle w:val="TableParagraph"/>
              <w:ind w:left="78"/>
              <w:rPr>
                <w:b/>
                <w:sz w:val="18"/>
              </w:rPr>
            </w:pPr>
            <w:r>
              <w:rPr>
                <w:b/>
                <w:color w:val="FFFFFF"/>
                <w:spacing w:val="-2"/>
                <w:sz w:val="18"/>
              </w:rPr>
              <w:t>Disparities</w:t>
            </w:r>
          </w:p>
        </w:tc>
        <w:tc>
          <w:tcPr>
            <w:tcW w:w="1937" w:type="dxa"/>
            <w:tcBorders>
              <w:left w:val="single" w:sz="4" w:space="0" w:color="FFFFFF"/>
              <w:right w:val="single" w:sz="4" w:space="0" w:color="FFFFFF"/>
            </w:tcBorders>
            <w:shd w:val="clear" w:color="auto" w:fill="A7A9AC"/>
          </w:tcPr>
          <w:p>
            <w:pPr>
              <w:pStyle w:val="TableParagraph"/>
              <w:spacing w:before="179"/>
              <w:rPr>
                <w:b/>
                <w:sz w:val="18"/>
              </w:rPr>
            </w:pPr>
          </w:p>
          <w:p>
            <w:pPr>
              <w:pStyle w:val="TableParagraph"/>
              <w:ind w:left="77"/>
              <w:rPr>
                <w:b/>
                <w:sz w:val="18"/>
              </w:rPr>
            </w:pPr>
            <w:r>
              <w:rPr>
                <w:b/>
                <w:color w:val="FFFFFF"/>
                <w:spacing w:val="-2"/>
                <w:sz w:val="18"/>
              </w:rPr>
              <w:t>Interventions</w:t>
            </w:r>
          </w:p>
        </w:tc>
        <w:tc>
          <w:tcPr>
            <w:tcW w:w="2871" w:type="dxa"/>
            <w:tcBorders>
              <w:left w:val="single" w:sz="4" w:space="0" w:color="FFFFFF"/>
              <w:right w:val="nil"/>
            </w:tcBorders>
            <w:shd w:val="clear" w:color="auto" w:fill="A7A9AC"/>
          </w:tcPr>
          <w:p>
            <w:pPr>
              <w:pStyle w:val="TableParagraph"/>
              <w:spacing w:before="179"/>
              <w:rPr>
                <w:b/>
                <w:sz w:val="18"/>
              </w:rPr>
            </w:pPr>
          </w:p>
          <w:p>
            <w:pPr>
              <w:pStyle w:val="TableParagraph"/>
              <w:ind w:left="87"/>
              <w:rPr>
                <w:b/>
                <w:sz w:val="18"/>
              </w:rPr>
            </w:pPr>
            <w:r>
              <w:rPr>
                <w:b/>
                <w:color w:val="FFFFFF"/>
                <w:sz w:val="18"/>
              </w:rPr>
              <w:t>Family</w:t>
            </w:r>
            <w:r>
              <w:rPr>
                <w:b/>
                <w:color w:val="FFFFFF"/>
                <w:spacing w:val="-11"/>
                <w:sz w:val="18"/>
              </w:rPr>
              <w:t> </w:t>
            </w:r>
            <w:r>
              <w:rPr>
                <w:b/>
                <w:color w:val="FFFFFF"/>
                <w:sz w:val="18"/>
              </w:rPr>
              <w:t>of</w:t>
            </w:r>
            <w:r>
              <w:rPr>
                <w:b/>
                <w:color w:val="FFFFFF"/>
                <w:spacing w:val="-10"/>
                <w:sz w:val="18"/>
              </w:rPr>
              <w:t> </w:t>
            </w:r>
            <w:r>
              <w:rPr>
                <w:b/>
                <w:color w:val="FFFFFF"/>
                <w:spacing w:val="-2"/>
                <w:sz w:val="18"/>
              </w:rPr>
              <w:t>Measures</w:t>
            </w:r>
          </w:p>
        </w:tc>
        <w:tc>
          <w:tcPr>
            <w:tcW w:w="3004" w:type="dxa"/>
            <w:tcBorders>
              <w:left w:val="nil"/>
              <w:right w:val="single" w:sz="4" w:space="0" w:color="FFFFFF"/>
            </w:tcBorders>
            <w:shd w:val="clear" w:color="auto" w:fill="A7A9AC"/>
          </w:tcPr>
          <w:p>
            <w:pPr>
              <w:pStyle w:val="TableParagraph"/>
              <w:spacing w:line="232" w:lineRule="auto" w:before="191"/>
              <w:ind w:left="1019"/>
              <w:rPr>
                <w:b/>
                <w:sz w:val="18"/>
              </w:rPr>
            </w:pPr>
            <w:r>
              <w:rPr>
                <w:b/>
                <w:color w:val="FFFFFF"/>
                <w:spacing w:val="-2"/>
                <w:sz w:val="18"/>
              </w:rPr>
              <w:t>Projected</w:t>
            </w:r>
            <w:r>
              <w:rPr>
                <w:b/>
                <w:color w:val="FFFFFF"/>
                <w:spacing w:val="-11"/>
                <w:sz w:val="18"/>
              </w:rPr>
              <w:t> </w:t>
            </w:r>
            <w:r>
              <w:rPr>
                <w:b/>
                <w:color w:val="FFFFFF"/>
                <w:spacing w:val="-2"/>
                <w:sz w:val="18"/>
              </w:rPr>
              <w:t>(or completed)</w:t>
            </w:r>
          </w:p>
          <w:p>
            <w:pPr>
              <w:pStyle w:val="TableParagraph"/>
              <w:spacing w:line="200" w:lineRule="exact"/>
              <w:ind w:left="1019"/>
              <w:rPr>
                <w:b/>
                <w:sz w:val="18"/>
              </w:rPr>
            </w:pPr>
            <w:r>
              <w:rPr>
                <w:b/>
                <w:color w:val="FFFFFF"/>
                <w:sz w:val="18"/>
              </w:rPr>
              <w:t>Year</w:t>
            </w:r>
            <w:r>
              <w:rPr>
                <w:b/>
                <w:color w:val="FFFFFF"/>
                <w:spacing w:val="-8"/>
                <w:sz w:val="18"/>
              </w:rPr>
              <w:t> </w:t>
            </w:r>
            <w:r>
              <w:rPr>
                <w:b/>
                <w:color w:val="FFFFFF"/>
                <w:sz w:val="18"/>
              </w:rPr>
              <w:t>1</w:t>
            </w:r>
            <w:r>
              <w:rPr>
                <w:b/>
                <w:color w:val="FFFFFF"/>
                <w:spacing w:val="-7"/>
                <w:sz w:val="18"/>
              </w:rPr>
              <w:t> </w:t>
            </w:r>
            <w:r>
              <w:rPr>
                <w:b/>
                <w:color w:val="FFFFFF"/>
                <w:spacing w:val="-2"/>
                <w:sz w:val="18"/>
              </w:rPr>
              <w:t>Intervention</w:t>
            </w:r>
          </w:p>
        </w:tc>
        <w:tc>
          <w:tcPr>
            <w:tcW w:w="2844" w:type="dxa"/>
            <w:tcBorders>
              <w:left w:val="single" w:sz="4" w:space="0" w:color="FFFFFF"/>
              <w:right w:val="single" w:sz="4" w:space="0" w:color="FFFFFF"/>
            </w:tcBorders>
            <w:shd w:val="clear" w:color="auto" w:fill="A7A9AC"/>
          </w:tcPr>
          <w:p>
            <w:pPr>
              <w:pStyle w:val="TableParagraph"/>
              <w:spacing w:before="179"/>
              <w:rPr>
                <w:b/>
                <w:sz w:val="18"/>
              </w:rPr>
            </w:pPr>
          </w:p>
          <w:p>
            <w:pPr>
              <w:pStyle w:val="TableParagraph"/>
              <w:ind w:left="77"/>
              <w:rPr>
                <w:b/>
                <w:sz w:val="18"/>
              </w:rPr>
            </w:pPr>
            <w:r>
              <w:rPr>
                <w:b/>
                <w:color w:val="FFFFFF"/>
                <w:spacing w:val="-2"/>
                <w:sz w:val="18"/>
              </w:rPr>
              <w:t>Projected</w:t>
            </w:r>
            <w:r>
              <w:rPr>
                <w:b/>
                <w:color w:val="FFFFFF"/>
                <w:spacing w:val="-6"/>
                <w:sz w:val="18"/>
              </w:rPr>
              <w:t> </w:t>
            </w:r>
            <w:r>
              <w:rPr>
                <w:b/>
                <w:color w:val="FFFFFF"/>
                <w:spacing w:val="-2"/>
                <w:sz w:val="18"/>
              </w:rPr>
              <w:t>Year</w:t>
            </w:r>
            <w:r>
              <w:rPr>
                <w:b/>
                <w:color w:val="FFFFFF"/>
                <w:spacing w:val="-5"/>
                <w:sz w:val="18"/>
              </w:rPr>
              <w:t> </w:t>
            </w:r>
            <w:r>
              <w:rPr>
                <w:b/>
                <w:color w:val="FFFFFF"/>
                <w:spacing w:val="-12"/>
                <w:sz w:val="18"/>
              </w:rPr>
              <w:t>2</w:t>
            </w:r>
          </w:p>
        </w:tc>
        <w:tc>
          <w:tcPr>
            <w:tcW w:w="1951" w:type="dxa"/>
            <w:tcBorders>
              <w:left w:val="single" w:sz="4" w:space="0" w:color="FFFFFF"/>
              <w:right w:val="single" w:sz="4" w:space="0" w:color="FFFFFF"/>
            </w:tcBorders>
            <w:shd w:val="clear" w:color="auto" w:fill="A7A9AC"/>
          </w:tcPr>
          <w:p>
            <w:pPr>
              <w:pStyle w:val="TableParagraph"/>
              <w:spacing w:before="83"/>
              <w:rPr>
                <w:b/>
                <w:sz w:val="18"/>
              </w:rPr>
            </w:pPr>
          </w:p>
          <w:p>
            <w:pPr>
              <w:pStyle w:val="TableParagraph"/>
              <w:spacing w:line="232" w:lineRule="auto" w:before="1"/>
              <w:ind w:left="77" w:right="43"/>
              <w:rPr>
                <w:b/>
                <w:sz w:val="18"/>
              </w:rPr>
            </w:pPr>
            <w:r>
              <w:rPr>
                <w:b/>
                <w:color w:val="FFFFFF"/>
                <w:spacing w:val="-2"/>
                <w:sz w:val="18"/>
              </w:rPr>
              <w:t>Projected</w:t>
            </w:r>
            <w:r>
              <w:rPr>
                <w:b/>
                <w:color w:val="FFFFFF"/>
                <w:spacing w:val="-13"/>
                <w:sz w:val="18"/>
              </w:rPr>
              <w:t> </w:t>
            </w:r>
            <w:r>
              <w:rPr>
                <w:b/>
                <w:color w:val="FFFFFF"/>
                <w:spacing w:val="-2"/>
                <w:sz w:val="18"/>
              </w:rPr>
              <w:t>Year</w:t>
            </w:r>
            <w:r>
              <w:rPr>
                <w:b/>
                <w:color w:val="FFFFFF"/>
                <w:spacing w:val="-10"/>
                <w:sz w:val="18"/>
              </w:rPr>
              <w:t> </w:t>
            </w:r>
            <w:r>
              <w:rPr>
                <w:b/>
                <w:color w:val="FFFFFF"/>
                <w:spacing w:val="-2"/>
                <w:sz w:val="18"/>
              </w:rPr>
              <w:t>3 Interventions</w:t>
            </w:r>
          </w:p>
        </w:tc>
        <w:tc>
          <w:tcPr>
            <w:tcW w:w="1497" w:type="dxa"/>
            <w:tcBorders>
              <w:left w:val="single" w:sz="4" w:space="0" w:color="FFFFFF"/>
            </w:tcBorders>
            <w:shd w:val="clear" w:color="auto" w:fill="A7A9AC"/>
          </w:tcPr>
          <w:p>
            <w:pPr>
              <w:pStyle w:val="TableParagraph"/>
              <w:spacing w:before="83"/>
              <w:rPr>
                <w:b/>
                <w:sz w:val="18"/>
              </w:rPr>
            </w:pPr>
          </w:p>
          <w:p>
            <w:pPr>
              <w:pStyle w:val="TableParagraph"/>
              <w:spacing w:line="232" w:lineRule="auto" w:before="1"/>
              <w:ind w:left="78"/>
              <w:rPr>
                <w:b/>
                <w:sz w:val="18"/>
              </w:rPr>
            </w:pPr>
            <w:r>
              <w:rPr>
                <w:b/>
                <w:color w:val="FFFFFF"/>
                <w:spacing w:val="-2"/>
                <w:sz w:val="18"/>
              </w:rPr>
              <w:t>Implementation Partner</w:t>
            </w:r>
          </w:p>
        </w:tc>
        <w:tc>
          <w:tcPr>
            <w:tcW w:w="1787" w:type="dxa"/>
            <w:shd w:val="clear" w:color="auto" w:fill="A7A9AC"/>
          </w:tcPr>
          <w:p>
            <w:pPr>
              <w:pStyle w:val="TableParagraph"/>
              <w:spacing w:before="83"/>
              <w:rPr>
                <w:b/>
                <w:sz w:val="18"/>
              </w:rPr>
            </w:pPr>
          </w:p>
          <w:p>
            <w:pPr>
              <w:pStyle w:val="TableParagraph"/>
              <w:spacing w:line="232" w:lineRule="auto" w:before="1"/>
              <w:ind w:left="78" w:right="35"/>
              <w:rPr>
                <w:b/>
                <w:sz w:val="18"/>
              </w:rPr>
            </w:pPr>
            <w:r>
              <w:rPr>
                <w:b/>
                <w:color w:val="FFFFFF"/>
                <w:spacing w:val="-4"/>
                <w:sz w:val="18"/>
              </w:rPr>
              <w:t>Partner</w:t>
            </w:r>
            <w:r>
              <w:rPr>
                <w:b/>
                <w:color w:val="FFFFFF"/>
                <w:spacing w:val="-11"/>
                <w:sz w:val="18"/>
              </w:rPr>
              <w:t> </w:t>
            </w:r>
            <w:r>
              <w:rPr>
                <w:b/>
                <w:color w:val="FFFFFF"/>
                <w:spacing w:val="-4"/>
                <w:sz w:val="18"/>
              </w:rPr>
              <w:t>Role(s)</w:t>
            </w:r>
            <w:r>
              <w:rPr>
                <w:b/>
                <w:color w:val="FFFFFF"/>
                <w:spacing w:val="-8"/>
                <w:sz w:val="18"/>
              </w:rPr>
              <w:t> </w:t>
            </w:r>
            <w:r>
              <w:rPr>
                <w:b/>
                <w:color w:val="FFFFFF"/>
                <w:spacing w:val="-4"/>
                <w:sz w:val="18"/>
              </w:rPr>
              <w:t>and </w:t>
            </w:r>
            <w:r>
              <w:rPr>
                <w:b/>
                <w:color w:val="FFFFFF"/>
                <w:spacing w:val="-2"/>
                <w:sz w:val="18"/>
              </w:rPr>
              <w:t>Resources</w:t>
            </w:r>
          </w:p>
        </w:tc>
      </w:tr>
      <w:tr>
        <w:trPr>
          <w:trHeight w:val="3155" w:hRule="atLeast"/>
        </w:trPr>
        <w:tc>
          <w:tcPr>
            <w:tcW w:w="1123" w:type="dxa"/>
            <w:vMerge w:val="restart"/>
            <w:shd w:val="clear" w:color="auto" w:fill="E6E7E8"/>
          </w:tcPr>
          <w:p>
            <w:pPr>
              <w:pStyle w:val="TableParagraph"/>
              <w:spacing w:line="232" w:lineRule="auto" w:before="101"/>
              <w:ind w:left="89"/>
              <w:rPr>
                <w:sz w:val="18"/>
              </w:rPr>
            </w:pPr>
            <w:r>
              <w:rPr>
                <w:color w:val="105C84"/>
                <w:spacing w:val="-2"/>
                <w:sz w:val="18"/>
              </w:rPr>
              <w:t>Promote Healthy Women, </w:t>
            </w:r>
            <w:r>
              <w:rPr>
                <w:color w:val="105C84"/>
                <w:sz w:val="18"/>
              </w:rPr>
              <w:t>Infants</w:t>
            </w:r>
            <w:r>
              <w:rPr>
                <w:color w:val="105C84"/>
                <w:spacing w:val="-13"/>
                <w:sz w:val="18"/>
              </w:rPr>
              <w:t> </w:t>
            </w:r>
            <w:r>
              <w:rPr>
                <w:color w:val="105C84"/>
                <w:sz w:val="18"/>
              </w:rPr>
              <w:t>and </w:t>
            </w:r>
            <w:r>
              <w:rPr>
                <w:color w:val="105C84"/>
                <w:spacing w:val="-2"/>
                <w:sz w:val="18"/>
              </w:rPr>
              <w:t>Children</w:t>
            </w:r>
          </w:p>
        </w:tc>
        <w:tc>
          <w:tcPr>
            <w:tcW w:w="1354" w:type="dxa"/>
            <w:vMerge w:val="restart"/>
          </w:tcPr>
          <w:p>
            <w:pPr>
              <w:pStyle w:val="TableParagraph"/>
              <w:spacing w:line="232" w:lineRule="auto" w:before="101"/>
              <w:ind w:left="89" w:right="204"/>
              <w:rPr>
                <w:sz w:val="18"/>
              </w:rPr>
            </w:pPr>
            <w:r>
              <w:rPr>
                <w:color w:val="105C84"/>
                <w:sz w:val="18"/>
              </w:rPr>
              <w:t>Focus Area 3: Child and </w:t>
            </w:r>
            <w:r>
              <w:rPr>
                <w:color w:val="105C84"/>
                <w:spacing w:val="-2"/>
                <w:sz w:val="18"/>
              </w:rPr>
              <w:t>Adolescent Health, including </w:t>
            </w:r>
            <w:r>
              <w:rPr>
                <w:color w:val="105C84"/>
                <w:sz w:val="18"/>
              </w:rPr>
              <w:t>children</w:t>
            </w:r>
            <w:r>
              <w:rPr>
                <w:color w:val="105C84"/>
                <w:spacing w:val="-13"/>
                <w:sz w:val="18"/>
              </w:rPr>
              <w:t> </w:t>
            </w:r>
            <w:r>
              <w:rPr>
                <w:color w:val="105C84"/>
                <w:sz w:val="18"/>
              </w:rPr>
              <w:t>with</w:t>
            </w:r>
          </w:p>
          <w:p>
            <w:pPr>
              <w:pStyle w:val="TableParagraph"/>
              <w:spacing w:line="232" w:lineRule="auto"/>
              <w:ind w:left="89" w:right="147"/>
              <w:rPr>
                <w:sz w:val="18"/>
              </w:rPr>
            </w:pPr>
            <w:r>
              <w:rPr>
                <w:color w:val="105C84"/>
                <w:sz w:val="18"/>
              </w:rPr>
              <w:t>special</w:t>
            </w:r>
            <w:r>
              <w:rPr>
                <w:color w:val="105C84"/>
                <w:spacing w:val="-13"/>
                <w:sz w:val="18"/>
              </w:rPr>
              <w:t> </w:t>
            </w:r>
            <w:r>
              <w:rPr>
                <w:color w:val="105C84"/>
                <w:sz w:val="18"/>
              </w:rPr>
              <w:t>health care needs </w:t>
            </w:r>
            <w:r>
              <w:rPr>
                <w:color w:val="105C84"/>
                <w:spacing w:val="-2"/>
                <w:sz w:val="18"/>
              </w:rPr>
              <w:t>(CSHCN)</w:t>
            </w:r>
          </w:p>
        </w:tc>
        <w:tc>
          <w:tcPr>
            <w:tcW w:w="1268" w:type="dxa"/>
            <w:vMerge w:val="restart"/>
          </w:tcPr>
          <w:p>
            <w:pPr>
              <w:pStyle w:val="TableParagraph"/>
              <w:spacing w:line="232" w:lineRule="auto" w:before="101"/>
              <w:ind w:left="89" w:right="99"/>
              <w:rPr>
                <w:sz w:val="18"/>
              </w:rPr>
            </w:pPr>
            <w:r>
              <w:rPr>
                <w:color w:val="105C84"/>
                <w:sz w:val="18"/>
              </w:rPr>
              <w:t>Goal 3.1: Support and </w:t>
            </w:r>
            <w:r>
              <w:rPr>
                <w:color w:val="105C84"/>
                <w:spacing w:val="-2"/>
                <w:sz w:val="18"/>
              </w:rPr>
              <w:t>enhance </w:t>
            </w:r>
            <w:r>
              <w:rPr>
                <w:color w:val="105C84"/>
                <w:sz w:val="18"/>
              </w:rPr>
              <w:t>children and </w:t>
            </w:r>
            <w:r>
              <w:rPr>
                <w:color w:val="105C84"/>
                <w:spacing w:val="-2"/>
                <w:sz w:val="18"/>
              </w:rPr>
              <w:t>adolscents' social-emotional development </w:t>
            </w:r>
            <w:r>
              <w:rPr>
                <w:color w:val="105C84"/>
                <w:spacing w:val="-4"/>
                <w:sz w:val="18"/>
              </w:rPr>
              <w:t>and </w:t>
            </w:r>
            <w:r>
              <w:rPr>
                <w:color w:val="105C84"/>
                <w:spacing w:val="-2"/>
                <w:sz w:val="18"/>
              </w:rPr>
              <w:t>relationships</w:t>
            </w:r>
          </w:p>
        </w:tc>
        <w:tc>
          <w:tcPr>
            <w:tcW w:w="1606" w:type="dxa"/>
            <w:vMerge w:val="restart"/>
          </w:tcPr>
          <w:p>
            <w:pPr>
              <w:pStyle w:val="TableParagraph"/>
              <w:spacing w:line="232" w:lineRule="auto" w:before="100"/>
              <w:ind w:left="88" w:right="207"/>
              <w:rPr>
                <w:sz w:val="18"/>
              </w:rPr>
            </w:pPr>
            <w:r>
              <w:rPr>
                <w:color w:val="105C84"/>
                <w:sz w:val="18"/>
              </w:rPr>
              <w:t>3.1.2: Increase the percentage of children and </w:t>
            </w:r>
            <w:r>
              <w:rPr>
                <w:color w:val="105C84"/>
                <w:spacing w:val="-2"/>
                <w:sz w:val="18"/>
              </w:rPr>
              <w:t>adolescents,</w:t>
            </w:r>
            <w:r>
              <w:rPr>
                <w:color w:val="105C84"/>
                <w:spacing w:val="40"/>
                <w:sz w:val="18"/>
              </w:rPr>
              <w:t> </w:t>
            </w:r>
            <w:r>
              <w:rPr>
                <w:color w:val="105C84"/>
                <w:sz w:val="18"/>
              </w:rPr>
              <w:t>age 3-17 years, with a mental/ </w:t>
            </w:r>
            <w:r>
              <w:rPr>
                <w:color w:val="105C84"/>
                <w:spacing w:val="-2"/>
                <w:sz w:val="18"/>
              </w:rPr>
              <w:t>behavioral </w:t>
            </w:r>
            <w:r>
              <w:rPr>
                <w:color w:val="105C84"/>
                <w:sz w:val="18"/>
              </w:rPr>
              <w:t>health </w:t>
            </w:r>
            <w:r>
              <w:rPr>
                <w:color w:val="105C84"/>
                <w:sz w:val="18"/>
              </w:rPr>
              <w:t>condition</w:t>
            </w:r>
            <w:r>
              <w:rPr>
                <w:color w:val="105C84"/>
                <w:sz w:val="18"/>
              </w:rPr>
              <w:t> who received treatment or counseling by 10% to 49.8%</w:t>
            </w:r>
          </w:p>
        </w:tc>
        <w:tc>
          <w:tcPr>
            <w:tcW w:w="1066" w:type="dxa"/>
            <w:vMerge w:val="restart"/>
          </w:tcPr>
          <w:p>
            <w:pPr>
              <w:pStyle w:val="TableParagraph"/>
              <w:spacing w:line="203" w:lineRule="exact" w:before="95"/>
              <w:ind w:left="88"/>
              <w:rPr>
                <w:sz w:val="18"/>
              </w:rPr>
            </w:pPr>
            <w:r>
              <w:rPr>
                <w:color w:val="105C84"/>
                <w:sz w:val="18"/>
              </w:rPr>
              <w:t>Low</w:t>
            </w:r>
            <w:r>
              <w:rPr>
                <w:color w:val="105C84"/>
                <w:spacing w:val="-11"/>
                <w:sz w:val="18"/>
              </w:rPr>
              <w:t> </w:t>
            </w:r>
            <w:r>
              <w:rPr>
                <w:color w:val="105C84"/>
                <w:spacing w:val="-4"/>
                <w:sz w:val="18"/>
              </w:rPr>
              <w:t>SES,</w:t>
            </w:r>
          </w:p>
          <w:p>
            <w:pPr>
              <w:pStyle w:val="TableParagraph"/>
              <w:spacing w:line="203" w:lineRule="exact"/>
              <w:ind w:left="88"/>
              <w:rPr>
                <w:sz w:val="18"/>
              </w:rPr>
            </w:pPr>
            <w:r>
              <w:rPr>
                <w:color w:val="105C84"/>
                <w:spacing w:val="-2"/>
                <w:sz w:val="18"/>
              </w:rPr>
              <w:t>women</w:t>
            </w:r>
          </w:p>
        </w:tc>
        <w:tc>
          <w:tcPr>
            <w:tcW w:w="1937" w:type="dxa"/>
            <w:vMerge w:val="restart"/>
          </w:tcPr>
          <w:p>
            <w:pPr>
              <w:pStyle w:val="TableParagraph"/>
              <w:spacing w:line="232" w:lineRule="auto" w:before="100"/>
              <w:ind w:left="87" w:right="140"/>
              <w:rPr>
                <w:sz w:val="18"/>
              </w:rPr>
            </w:pPr>
            <w:r>
              <w:rPr>
                <w:color w:val="105C84"/>
                <w:sz w:val="18"/>
              </w:rPr>
              <w:t>3.1.1: Increase </w:t>
            </w:r>
            <w:r>
              <w:rPr>
                <w:color w:val="105C84"/>
                <w:spacing w:val="-2"/>
                <w:sz w:val="18"/>
              </w:rPr>
              <w:t>awareness, </w:t>
            </w:r>
            <w:r>
              <w:rPr>
                <w:color w:val="105C84"/>
                <w:sz w:val="18"/>
              </w:rPr>
              <w:t>knowledge and skills of providers serving children, youth and families related to </w:t>
            </w:r>
            <w:r>
              <w:rPr>
                <w:color w:val="105C84"/>
                <w:spacing w:val="-2"/>
                <w:sz w:val="18"/>
              </w:rPr>
              <w:t>social-emotional development, </w:t>
            </w:r>
            <w:r>
              <w:rPr>
                <w:color w:val="105C84"/>
                <w:sz w:val="18"/>
              </w:rPr>
              <w:t>adverse childhood experiences</w:t>
            </w:r>
            <w:r>
              <w:rPr>
                <w:color w:val="105C84"/>
                <w:spacing w:val="-13"/>
                <w:sz w:val="18"/>
              </w:rPr>
              <w:t> </w:t>
            </w:r>
            <w:r>
              <w:rPr>
                <w:color w:val="105C84"/>
                <w:sz w:val="18"/>
              </w:rPr>
              <w:t>(ACES), and</w:t>
            </w:r>
            <w:r>
              <w:rPr>
                <w:color w:val="105C84"/>
                <w:spacing w:val="-13"/>
                <w:sz w:val="18"/>
              </w:rPr>
              <w:t> </w:t>
            </w:r>
            <w:r>
              <w:rPr>
                <w:color w:val="105C84"/>
                <w:sz w:val="18"/>
              </w:rPr>
              <w:t>trauma-</w:t>
            </w:r>
            <w:r>
              <w:rPr>
                <w:color w:val="105C84"/>
                <w:sz w:val="18"/>
              </w:rPr>
              <w:t>informed</w:t>
            </w:r>
            <w:r>
              <w:rPr>
                <w:color w:val="105C84"/>
                <w:sz w:val="18"/>
              </w:rPr>
              <w:t> </w:t>
            </w:r>
            <w:r>
              <w:rPr>
                <w:color w:val="105C84"/>
                <w:spacing w:val="-4"/>
                <w:sz w:val="18"/>
              </w:rPr>
              <w:t>care</w:t>
            </w:r>
          </w:p>
        </w:tc>
        <w:tc>
          <w:tcPr>
            <w:tcW w:w="2871" w:type="dxa"/>
            <w:tcBorders>
              <w:right w:val="nil"/>
            </w:tcBorders>
          </w:tcPr>
          <w:p>
            <w:pPr>
              <w:pStyle w:val="TableParagraph"/>
              <w:spacing w:line="232" w:lineRule="auto" w:before="100"/>
              <w:ind w:left="87" w:right="727"/>
              <w:rPr>
                <w:sz w:val="18"/>
              </w:rPr>
            </w:pPr>
            <w:r>
              <w:rPr>
                <w:color w:val="105C84"/>
                <w:sz w:val="18"/>
              </w:rPr>
              <w:t># ACES trained participant</w:t>
            </w:r>
            <w:r>
              <w:rPr>
                <w:color w:val="105C84"/>
                <w:spacing w:val="-6"/>
                <w:sz w:val="18"/>
              </w:rPr>
              <w:t> </w:t>
            </w:r>
            <w:r>
              <w:rPr>
                <w:color w:val="105C84"/>
                <w:sz w:val="18"/>
              </w:rPr>
              <w:t>by</w:t>
            </w:r>
            <w:r>
              <w:rPr>
                <w:color w:val="105C84"/>
                <w:spacing w:val="-6"/>
                <w:sz w:val="18"/>
              </w:rPr>
              <w:t> </w:t>
            </w:r>
            <w:r>
              <w:rPr>
                <w:color w:val="105C84"/>
                <w:sz w:val="18"/>
              </w:rPr>
              <w:t>sector </w:t>
            </w:r>
            <w:r>
              <w:rPr>
                <w:color w:val="105C84"/>
                <w:spacing w:val="-2"/>
                <w:sz w:val="18"/>
              </w:rPr>
              <w:t>(ProAction)</w:t>
            </w:r>
          </w:p>
          <w:p>
            <w:pPr>
              <w:pStyle w:val="TableParagraph"/>
              <w:spacing w:line="232" w:lineRule="auto" w:before="88"/>
              <w:ind w:left="87" w:right="1581"/>
              <w:rPr>
                <w:sz w:val="18"/>
              </w:rPr>
            </w:pPr>
            <w:r>
              <w:rPr>
                <w:color w:val="105C84"/>
                <w:spacing w:val="-4"/>
                <w:sz w:val="18"/>
              </w:rPr>
              <w:t>#</w:t>
            </w:r>
            <w:r>
              <w:rPr>
                <w:color w:val="105C84"/>
                <w:spacing w:val="-11"/>
                <w:sz w:val="18"/>
              </w:rPr>
              <w:t> </w:t>
            </w:r>
            <w:r>
              <w:rPr>
                <w:color w:val="105C84"/>
                <w:spacing w:val="-4"/>
                <w:sz w:val="18"/>
              </w:rPr>
              <w:t>ACES</w:t>
            </w:r>
            <w:r>
              <w:rPr>
                <w:color w:val="105C84"/>
                <w:spacing w:val="-8"/>
                <w:sz w:val="18"/>
              </w:rPr>
              <w:t> </w:t>
            </w:r>
            <w:r>
              <w:rPr>
                <w:color w:val="105C84"/>
                <w:spacing w:val="-4"/>
                <w:sz w:val="18"/>
              </w:rPr>
              <w:t>master </w:t>
            </w:r>
            <w:r>
              <w:rPr>
                <w:color w:val="105C84"/>
                <w:spacing w:val="-2"/>
                <w:sz w:val="18"/>
              </w:rPr>
              <w:t>trainers</w:t>
            </w:r>
          </w:p>
          <w:p>
            <w:pPr>
              <w:pStyle w:val="TableParagraph"/>
              <w:spacing w:line="232" w:lineRule="auto" w:before="88"/>
              <w:ind w:left="87" w:right="1439"/>
              <w:rPr>
                <w:sz w:val="18"/>
              </w:rPr>
            </w:pPr>
            <w:r>
              <w:rPr>
                <w:color w:val="105C84"/>
                <w:spacing w:val="-2"/>
                <w:sz w:val="18"/>
              </w:rPr>
              <w:t>#</w:t>
            </w:r>
            <w:r>
              <w:rPr>
                <w:color w:val="105C84"/>
                <w:spacing w:val="-13"/>
                <w:sz w:val="18"/>
              </w:rPr>
              <w:t> </w:t>
            </w:r>
            <w:r>
              <w:rPr>
                <w:color w:val="105C84"/>
                <w:spacing w:val="-2"/>
                <w:sz w:val="18"/>
              </w:rPr>
              <w:t>ACES</w:t>
            </w:r>
            <w:r>
              <w:rPr>
                <w:color w:val="105C84"/>
                <w:spacing w:val="-10"/>
                <w:sz w:val="18"/>
              </w:rPr>
              <w:t> </w:t>
            </w:r>
            <w:r>
              <w:rPr>
                <w:color w:val="105C84"/>
                <w:spacing w:val="-2"/>
                <w:sz w:val="18"/>
              </w:rPr>
              <w:t>trainings provided</w:t>
            </w:r>
          </w:p>
        </w:tc>
        <w:tc>
          <w:tcPr>
            <w:tcW w:w="3004" w:type="dxa"/>
            <w:tcBorders>
              <w:left w:val="nil"/>
            </w:tcBorders>
          </w:tcPr>
          <w:p>
            <w:pPr>
              <w:pStyle w:val="TableParagraph"/>
              <w:spacing w:line="232" w:lineRule="auto" w:before="100"/>
              <w:ind w:left="1019" w:right="178"/>
              <w:rPr>
                <w:sz w:val="18"/>
              </w:rPr>
            </w:pPr>
            <w:r>
              <w:rPr>
                <w:color w:val="105C84"/>
                <w:sz w:val="18"/>
              </w:rPr>
              <w:t>ProAction to provide 10 screenings of Resilience: The Biology of Stress and the Science of Hope followed by ACES information on brain development to </w:t>
            </w:r>
            <w:r>
              <w:rPr>
                <w:color w:val="105C84"/>
                <w:sz w:val="18"/>
              </w:rPr>
              <w:t>more than 400 providers</w:t>
            </w:r>
          </w:p>
          <w:p>
            <w:pPr>
              <w:pStyle w:val="TableParagraph"/>
              <w:spacing w:line="232" w:lineRule="auto" w:before="83"/>
              <w:ind w:left="1019" w:right="59"/>
              <w:rPr>
                <w:sz w:val="18"/>
              </w:rPr>
            </w:pPr>
            <w:r>
              <w:rPr>
                <w:color w:val="105C84"/>
                <w:sz w:val="18"/>
              </w:rPr>
              <w:t>Hold Resilience Symposium for providers with national </w:t>
            </w:r>
            <w:r>
              <w:rPr>
                <w:color w:val="105C84"/>
                <w:spacing w:val="-4"/>
                <w:sz w:val="18"/>
              </w:rPr>
              <w:t>level</w:t>
            </w:r>
            <w:r>
              <w:rPr>
                <w:color w:val="105C84"/>
                <w:spacing w:val="-9"/>
                <w:sz w:val="18"/>
              </w:rPr>
              <w:t> </w:t>
            </w:r>
            <w:r>
              <w:rPr>
                <w:color w:val="105C84"/>
                <w:spacing w:val="-4"/>
                <w:sz w:val="18"/>
              </w:rPr>
              <w:t>speakers</w:t>
            </w:r>
            <w:r>
              <w:rPr>
                <w:color w:val="105C84"/>
                <w:spacing w:val="-8"/>
                <w:sz w:val="18"/>
              </w:rPr>
              <w:t> </w:t>
            </w:r>
            <w:r>
              <w:rPr>
                <w:color w:val="105C84"/>
                <w:spacing w:val="-4"/>
                <w:sz w:val="18"/>
              </w:rPr>
              <w:t>on</w:t>
            </w:r>
            <w:r>
              <w:rPr>
                <w:color w:val="105C84"/>
                <w:spacing w:val="-9"/>
                <w:sz w:val="18"/>
              </w:rPr>
              <w:t> </w:t>
            </w:r>
            <w:r>
              <w:rPr>
                <w:color w:val="105C84"/>
                <w:spacing w:val="-4"/>
                <w:sz w:val="18"/>
              </w:rPr>
              <w:t>ACES </w:t>
            </w:r>
            <w:r>
              <w:rPr>
                <w:color w:val="105C84"/>
                <w:spacing w:val="-2"/>
                <w:sz w:val="18"/>
              </w:rPr>
              <w:t>science</w:t>
            </w:r>
          </w:p>
        </w:tc>
        <w:tc>
          <w:tcPr>
            <w:tcW w:w="2844" w:type="dxa"/>
          </w:tcPr>
          <w:p>
            <w:pPr>
              <w:pStyle w:val="TableParagraph"/>
              <w:spacing w:line="232" w:lineRule="auto" w:before="100"/>
              <w:ind w:left="87" w:right="340"/>
              <w:jc w:val="both"/>
              <w:rPr>
                <w:sz w:val="18"/>
              </w:rPr>
            </w:pPr>
            <w:r>
              <w:rPr>
                <w:color w:val="105C84"/>
                <w:sz w:val="18"/>
              </w:rPr>
              <w:t>ProAction staff to attend ACE Interface</w:t>
            </w:r>
            <w:r>
              <w:rPr>
                <w:color w:val="105C84"/>
                <w:spacing w:val="-12"/>
                <w:sz w:val="18"/>
              </w:rPr>
              <w:t> </w:t>
            </w:r>
            <w:r>
              <w:rPr>
                <w:color w:val="105C84"/>
                <w:sz w:val="18"/>
              </w:rPr>
              <w:t>Master</w:t>
            </w:r>
            <w:r>
              <w:rPr>
                <w:color w:val="105C84"/>
                <w:spacing w:val="-12"/>
                <w:sz w:val="18"/>
              </w:rPr>
              <w:t> </w:t>
            </w:r>
            <w:r>
              <w:rPr>
                <w:color w:val="105C84"/>
                <w:sz w:val="18"/>
              </w:rPr>
              <w:t>training</w:t>
            </w:r>
            <w:r>
              <w:rPr>
                <w:color w:val="105C84"/>
                <w:spacing w:val="-12"/>
                <w:sz w:val="18"/>
              </w:rPr>
              <w:t> </w:t>
            </w:r>
            <w:r>
              <w:rPr>
                <w:color w:val="105C84"/>
                <w:sz w:val="18"/>
              </w:rPr>
              <w:t>(train the trainer)</w:t>
            </w:r>
          </w:p>
          <w:p>
            <w:pPr>
              <w:pStyle w:val="TableParagraph"/>
              <w:spacing w:line="232" w:lineRule="auto" w:before="87"/>
              <w:ind w:left="87" w:right="85"/>
              <w:rPr>
                <w:sz w:val="18"/>
              </w:rPr>
            </w:pPr>
            <w:r>
              <w:rPr>
                <w:color w:val="105C84"/>
                <w:sz w:val="18"/>
              </w:rPr>
              <w:t>Train trainers throughout</w:t>
            </w:r>
            <w:r>
              <w:rPr>
                <w:color w:val="105C84"/>
                <w:spacing w:val="40"/>
                <w:sz w:val="18"/>
              </w:rPr>
              <w:t> </w:t>
            </w:r>
            <w:r>
              <w:rPr>
                <w:color w:val="105C84"/>
                <w:sz w:val="18"/>
              </w:rPr>
              <w:t>Steuben County to educate providers,</w:t>
            </w:r>
            <w:r>
              <w:rPr>
                <w:color w:val="105C84"/>
                <w:spacing w:val="-13"/>
                <w:sz w:val="18"/>
              </w:rPr>
              <w:t> </w:t>
            </w:r>
            <w:r>
              <w:rPr>
                <w:color w:val="105C84"/>
                <w:sz w:val="18"/>
              </w:rPr>
              <w:t>health</w:t>
            </w:r>
            <w:r>
              <w:rPr>
                <w:color w:val="105C84"/>
                <w:spacing w:val="-12"/>
                <w:sz w:val="18"/>
              </w:rPr>
              <w:t> </w:t>
            </w:r>
            <w:r>
              <w:rPr>
                <w:color w:val="105C84"/>
                <w:sz w:val="18"/>
              </w:rPr>
              <w:t>care,</w:t>
            </w:r>
            <w:r>
              <w:rPr>
                <w:color w:val="105C84"/>
                <w:spacing w:val="-13"/>
                <w:sz w:val="18"/>
              </w:rPr>
              <w:t> </w:t>
            </w:r>
            <w:r>
              <w:rPr>
                <w:color w:val="105C84"/>
                <w:sz w:val="18"/>
              </w:rPr>
              <w:t>education, law</w:t>
            </w:r>
            <w:r>
              <w:rPr>
                <w:color w:val="105C84"/>
                <w:spacing w:val="-6"/>
                <w:sz w:val="18"/>
              </w:rPr>
              <w:t> </w:t>
            </w:r>
            <w:r>
              <w:rPr>
                <w:color w:val="105C84"/>
                <w:sz w:val="18"/>
              </w:rPr>
              <w:t>enforcement,</w:t>
            </w:r>
            <w:r>
              <w:rPr>
                <w:color w:val="105C84"/>
                <w:spacing w:val="-6"/>
                <w:sz w:val="18"/>
              </w:rPr>
              <w:t> </w:t>
            </w:r>
            <w:r>
              <w:rPr>
                <w:color w:val="105C84"/>
                <w:sz w:val="18"/>
              </w:rPr>
              <w:t>and</w:t>
            </w:r>
            <w:r>
              <w:rPr>
                <w:color w:val="105C84"/>
                <w:spacing w:val="-6"/>
                <w:sz w:val="18"/>
              </w:rPr>
              <w:t> </w:t>
            </w:r>
            <w:r>
              <w:rPr>
                <w:color w:val="105C84"/>
                <w:sz w:val="18"/>
              </w:rPr>
              <w:t>community at large on ACEs</w:t>
            </w:r>
          </w:p>
          <w:p>
            <w:pPr>
              <w:pStyle w:val="TableParagraph"/>
              <w:spacing w:line="232" w:lineRule="auto" w:before="86"/>
              <w:ind w:left="87" w:right="81"/>
              <w:rPr>
                <w:sz w:val="18"/>
              </w:rPr>
            </w:pPr>
            <w:r>
              <w:rPr>
                <w:color w:val="105C84"/>
                <w:sz w:val="18"/>
              </w:rPr>
              <w:t>Hold 2nd Annual Resilience Symposium for providers on topics</w:t>
            </w:r>
            <w:r>
              <w:rPr>
                <w:color w:val="105C84"/>
                <w:spacing w:val="-11"/>
                <w:sz w:val="18"/>
              </w:rPr>
              <w:t> </w:t>
            </w:r>
            <w:r>
              <w:rPr>
                <w:color w:val="105C84"/>
                <w:sz w:val="18"/>
              </w:rPr>
              <w:t>related</w:t>
            </w:r>
            <w:r>
              <w:rPr>
                <w:color w:val="105C84"/>
                <w:spacing w:val="-11"/>
                <w:sz w:val="18"/>
              </w:rPr>
              <w:t> </w:t>
            </w:r>
            <w:r>
              <w:rPr>
                <w:color w:val="105C84"/>
                <w:sz w:val="18"/>
              </w:rPr>
              <w:t>to</w:t>
            </w:r>
            <w:r>
              <w:rPr>
                <w:color w:val="105C84"/>
                <w:spacing w:val="-11"/>
                <w:sz w:val="18"/>
              </w:rPr>
              <w:t> </w:t>
            </w:r>
            <w:r>
              <w:rPr>
                <w:color w:val="105C84"/>
                <w:sz w:val="18"/>
              </w:rPr>
              <w:t>ACES</w:t>
            </w:r>
            <w:r>
              <w:rPr>
                <w:color w:val="105C84"/>
                <w:spacing w:val="-11"/>
                <w:sz w:val="18"/>
              </w:rPr>
              <w:t> </w:t>
            </w:r>
            <w:r>
              <w:rPr>
                <w:color w:val="105C84"/>
                <w:sz w:val="18"/>
              </w:rPr>
              <w:t>and</w:t>
            </w:r>
            <w:r>
              <w:rPr>
                <w:color w:val="105C84"/>
                <w:spacing w:val="-11"/>
                <w:sz w:val="18"/>
              </w:rPr>
              <w:t> </w:t>
            </w:r>
            <w:r>
              <w:rPr>
                <w:color w:val="105C84"/>
                <w:sz w:val="18"/>
              </w:rPr>
              <w:t>TIC</w:t>
            </w:r>
          </w:p>
          <w:p>
            <w:pPr>
              <w:pStyle w:val="TableParagraph"/>
              <w:spacing w:line="232" w:lineRule="auto" w:before="88"/>
              <w:ind w:left="87"/>
              <w:rPr>
                <w:sz w:val="18"/>
              </w:rPr>
            </w:pPr>
            <w:r>
              <w:rPr>
                <w:color w:val="105C84"/>
                <w:sz w:val="18"/>
              </w:rPr>
              <w:t>Continue</w:t>
            </w:r>
            <w:r>
              <w:rPr>
                <w:color w:val="105C84"/>
                <w:spacing w:val="-13"/>
                <w:sz w:val="18"/>
              </w:rPr>
              <w:t> </w:t>
            </w:r>
            <w:r>
              <w:rPr>
                <w:color w:val="105C84"/>
                <w:sz w:val="18"/>
              </w:rPr>
              <w:t>to</w:t>
            </w:r>
            <w:r>
              <w:rPr>
                <w:color w:val="105C84"/>
                <w:spacing w:val="-12"/>
                <w:sz w:val="18"/>
              </w:rPr>
              <w:t> </w:t>
            </w:r>
            <w:r>
              <w:rPr>
                <w:color w:val="105C84"/>
                <w:sz w:val="18"/>
              </w:rPr>
              <w:t>host</w:t>
            </w:r>
            <w:r>
              <w:rPr>
                <w:color w:val="105C84"/>
                <w:spacing w:val="-13"/>
                <w:sz w:val="18"/>
              </w:rPr>
              <w:t> </w:t>
            </w:r>
            <w:r>
              <w:rPr>
                <w:color w:val="105C84"/>
                <w:sz w:val="18"/>
              </w:rPr>
              <w:t>Resilience </w:t>
            </w:r>
            <w:r>
              <w:rPr>
                <w:color w:val="105C84"/>
                <w:spacing w:val="-2"/>
                <w:sz w:val="18"/>
              </w:rPr>
              <w:t>screenings</w:t>
            </w:r>
          </w:p>
        </w:tc>
        <w:tc>
          <w:tcPr>
            <w:tcW w:w="1951" w:type="dxa"/>
          </w:tcPr>
          <w:p>
            <w:pPr>
              <w:pStyle w:val="TableParagraph"/>
              <w:spacing w:line="232" w:lineRule="auto" w:before="99"/>
              <w:ind w:left="87" w:right="43"/>
              <w:rPr>
                <w:sz w:val="18"/>
              </w:rPr>
            </w:pPr>
            <w:r>
              <w:rPr>
                <w:color w:val="105C84"/>
                <w:sz w:val="18"/>
              </w:rPr>
              <w:t>ProAction</w:t>
            </w:r>
            <w:r>
              <w:rPr>
                <w:color w:val="105C84"/>
                <w:spacing w:val="-2"/>
                <w:sz w:val="18"/>
              </w:rPr>
              <w:t> </w:t>
            </w:r>
            <w:r>
              <w:rPr>
                <w:color w:val="105C84"/>
                <w:sz w:val="18"/>
              </w:rPr>
              <w:t>to</w:t>
            </w:r>
            <w:r>
              <w:rPr>
                <w:color w:val="105C84"/>
                <w:spacing w:val="-2"/>
                <w:sz w:val="18"/>
              </w:rPr>
              <w:t> </w:t>
            </w:r>
            <w:r>
              <w:rPr>
                <w:color w:val="105C84"/>
                <w:sz w:val="18"/>
              </w:rPr>
              <w:t>continue to train and educate providers on ACES</w:t>
            </w:r>
          </w:p>
          <w:p>
            <w:pPr>
              <w:pStyle w:val="TableParagraph"/>
              <w:spacing w:line="232" w:lineRule="auto" w:before="88"/>
              <w:ind w:left="87" w:right="494"/>
              <w:rPr>
                <w:sz w:val="18"/>
              </w:rPr>
            </w:pPr>
            <w:r>
              <w:rPr>
                <w:color w:val="105C84"/>
                <w:spacing w:val="-4"/>
                <w:sz w:val="18"/>
              </w:rPr>
              <w:t>Train</w:t>
            </w:r>
            <w:r>
              <w:rPr>
                <w:color w:val="105C84"/>
                <w:spacing w:val="-11"/>
                <w:sz w:val="18"/>
              </w:rPr>
              <w:t> </w:t>
            </w:r>
            <w:r>
              <w:rPr>
                <w:color w:val="105C84"/>
                <w:spacing w:val="-4"/>
                <w:sz w:val="18"/>
              </w:rPr>
              <w:t>more</w:t>
            </w:r>
            <w:r>
              <w:rPr>
                <w:color w:val="105C84"/>
                <w:spacing w:val="-8"/>
                <w:sz w:val="18"/>
              </w:rPr>
              <w:t> </w:t>
            </w:r>
            <w:r>
              <w:rPr>
                <w:color w:val="105C84"/>
                <w:spacing w:val="-4"/>
                <w:sz w:val="18"/>
              </w:rPr>
              <w:t>ACES </w:t>
            </w:r>
            <w:r>
              <w:rPr>
                <w:color w:val="105C84"/>
                <w:spacing w:val="-2"/>
                <w:sz w:val="18"/>
              </w:rPr>
              <w:t>trainers</w:t>
            </w:r>
          </w:p>
          <w:p>
            <w:pPr>
              <w:pStyle w:val="TableParagraph"/>
              <w:spacing w:line="232" w:lineRule="auto" w:before="89"/>
              <w:ind w:left="87" w:right="43"/>
              <w:rPr>
                <w:sz w:val="18"/>
              </w:rPr>
            </w:pPr>
            <w:r>
              <w:rPr>
                <w:color w:val="105C84"/>
                <w:sz w:val="18"/>
              </w:rPr>
              <w:t>Begin Healthy Communities</w:t>
            </w:r>
            <w:r>
              <w:rPr>
                <w:color w:val="105C84"/>
                <w:spacing w:val="-13"/>
                <w:sz w:val="18"/>
              </w:rPr>
              <w:t> </w:t>
            </w:r>
            <w:r>
              <w:rPr>
                <w:color w:val="105C84"/>
                <w:sz w:val="18"/>
              </w:rPr>
              <w:t>work </w:t>
            </w:r>
            <w:r>
              <w:rPr>
                <w:color w:val="105C84"/>
                <w:spacing w:val="-2"/>
                <w:sz w:val="18"/>
              </w:rPr>
              <w:t>regionally</w:t>
            </w:r>
          </w:p>
          <w:p>
            <w:pPr>
              <w:pStyle w:val="TableParagraph"/>
              <w:spacing w:line="232" w:lineRule="auto" w:before="87"/>
              <w:ind w:left="87" w:right="43"/>
              <w:rPr>
                <w:sz w:val="18"/>
              </w:rPr>
            </w:pPr>
            <w:r>
              <w:rPr>
                <w:color w:val="105C84"/>
                <w:sz w:val="18"/>
              </w:rPr>
              <w:t>Hold 3rd Annual Symposium on Resilience for providers on ACES and</w:t>
            </w:r>
            <w:r>
              <w:rPr>
                <w:color w:val="105C84"/>
                <w:spacing w:val="-11"/>
                <w:sz w:val="18"/>
              </w:rPr>
              <w:t> </w:t>
            </w:r>
            <w:r>
              <w:rPr>
                <w:color w:val="105C84"/>
                <w:sz w:val="18"/>
              </w:rPr>
              <w:t>TIC</w:t>
            </w:r>
            <w:r>
              <w:rPr>
                <w:color w:val="105C84"/>
                <w:spacing w:val="-11"/>
                <w:sz w:val="18"/>
              </w:rPr>
              <w:t> </w:t>
            </w:r>
            <w:r>
              <w:rPr>
                <w:color w:val="105C84"/>
                <w:sz w:val="18"/>
              </w:rPr>
              <w:t>related</w:t>
            </w:r>
            <w:r>
              <w:rPr>
                <w:color w:val="105C84"/>
                <w:spacing w:val="-11"/>
                <w:sz w:val="18"/>
              </w:rPr>
              <w:t> </w:t>
            </w:r>
            <w:r>
              <w:rPr>
                <w:color w:val="105C84"/>
                <w:sz w:val="18"/>
              </w:rPr>
              <w:t>topics</w:t>
            </w:r>
          </w:p>
        </w:tc>
        <w:tc>
          <w:tcPr>
            <w:tcW w:w="1497" w:type="dxa"/>
            <w:vMerge w:val="restart"/>
          </w:tcPr>
          <w:p>
            <w:pPr>
              <w:pStyle w:val="TableParagraph"/>
              <w:spacing w:line="232" w:lineRule="auto" w:before="99"/>
              <w:ind w:left="87" w:right="329"/>
              <w:rPr>
                <w:sz w:val="18"/>
              </w:rPr>
            </w:pPr>
            <w:r>
              <w:rPr>
                <w:color w:val="105C84"/>
                <w:spacing w:val="-2"/>
                <w:sz w:val="18"/>
              </w:rPr>
              <w:t>Community-based organizations</w:t>
            </w:r>
          </w:p>
        </w:tc>
        <w:tc>
          <w:tcPr>
            <w:tcW w:w="1787" w:type="dxa"/>
          </w:tcPr>
          <w:p>
            <w:pPr>
              <w:pStyle w:val="TableParagraph"/>
              <w:spacing w:line="232" w:lineRule="auto" w:before="99"/>
              <w:ind w:left="88" w:right="191"/>
              <w:rPr>
                <w:sz w:val="18"/>
              </w:rPr>
            </w:pPr>
            <w:r>
              <w:rPr>
                <w:color w:val="105C84"/>
                <w:spacing w:val="-2"/>
                <w:sz w:val="18"/>
              </w:rPr>
              <w:t>ProAction: </w:t>
            </w:r>
            <w:r>
              <w:rPr>
                <w:color w:val="105C84"/>
                <w:sz w:val="18"/>
              </w:rPr>
              <w:t>Facilitate</w:t>
            </w:r>
            <w:r>
              <w:rPr>
                <w:color w:val="105C84"/>
                <w:spacing w:val="40"/>
                <w:sz w:val="18"/>
              </w:rPr>
              <w:t> </w:t>
            </w:r>
            <w:r>
              <w:rPr>
                <w:color w:val="105C84"/>
                <w:sz w:val="18"/>
              </w:rPr>
              <w:t>film screenings,</w:t>
            </w:r>
            <w:r>
              <w:rPr>
                <w:color w:val="105C84"/>
                <w:spacing w:val="-7"/>
                <w:sz w:val="18"/>
              </w:rPr>
              <w:t> </w:t>
            </w:r>
            <w:r>
              <w:rPr>
                <w:color w:val="105C84"/>
                <w:sz w:val="18"/>
              </w:rPr>
              <w:t>ACES Interface Master Trainer, Train the </w:t>
            </w:r>
            <w:r>
              <w:rPr>
                <w:color w:val="105C84"/>
                <w:spacing w:val="-2"/>
                <w:sz w:val="18"/>
              </w:rPr>
              <w:t>Trainer,</w:t>
            </w:r>
            <w:r>
              <w:rPr>
                <w:color w:val="105C84"/>
                <w:spacing w:val="-11"/>
                <w:sz w:val="18"/>
              </w:rPr>
              <w:t> </w:t>
            </w:r>
            <w:r>
              <w:rPr>
                <w:color w:val="105C84"/>
                <w:spacing w:val="-2"/>
                <w:sz w:val="18"/>
              </w:rPr>
              <w:t>Resilience Symposiums, </w:t>
            </w:r>
            <w:r>
              <w:rPr>
                <w:color w:val="105C84"/>
                <w:sz w:val="18"/>
              </w:rPr>
              <w:t>Resilience film screening,</w:t>
            </w:r>
            <w:r>
              <w:rPr>
                <w:color w:val="105C84"/>
                <w:spacing w:val="-13"/>
                <w:sz w:val="18"/>
              </w:rPr>
              <w:t> </w:t>
            </w:r>
            <w:r>
              <w:rPr>
                <w:color w:val="105C84"/>
                <w:sz w:val="18"/>
              </w:rPr>
              <w:t>Healing Communities </w:t>
            </w:r>
            <w:r>
              <w:rPr>
                <w:color w:val="105C84"/>
                <w:spacing w:val="-4"/>
                <w:sz w:val="18"/>
              </w:rPr>
              <w:t>work</w:t>
            </w:r>
          </w:p>
        </w:tc>
      </w:tr>
      <w:tr>
        <w:trPr>
          <w:trHeight w:val="1840" w:hRule="atLeast"/>
        </w:trPr>
        <w:tc>
          <w:tcPr>
            <w:tcW w:w="1123" w:type="dxa"/>
            <w:vMerge/>
            <w:tcBorders>
              <w:top w:val="nil"/>
            </w:tcBorders>
            <w:shd w:val="clear" w:color="auto" w:fill="E6E7E8"/>
          </w:tcPr>
          <w:p>
            <w:pPr>
              <w:rPr>
                <w:sz w:val="2"/>
                <w:szCs w:val="2"/>
              </w:rPr>
            </w:pPr>
          </w:p>
        </w:tc>
        <w:tc>
          <w:tcPr>
            <w:tcW w:w="1354" w:type="dxa"/>
            <w:vMerge/>
            <w:tcBorders>
              <w:top w:val="nil"/>
            </w:tcBorders>
          </w:tcPr>
          <w:p>
            <w:pPr>
              <w:rPr>
                <w:sz w:val="2"/>
                <w:szCs w:val="2"/>
              </w:rPr>
            </w:pPr>
          </w:p>
        </w:tc>
        <w:tc>
          <w:tcPr>
            <w:tcW w:w="1268" w:type="dxa"/>
            <w:vMerge/>
            <w:tcBorders>
              <w:top w:val="nil"/>
            </w:tcBorders>
          </w:tcPr>
          <w:p>
            <w:pPr>
              <w:rPr>
                <w:sz w:val="2"/>
                <w:szCs w:val="2"/>
              </w:rPr>
            </w:pPr>
          </w:p>
        </w:tc>
        <w:tc>
          <w:tcPr>
            <w:tcW w:w="1606" w:type="dxa"/>
            <w:vMerge/>
            <w:tcBorders>
              <w:top w:val="nil"/>
            </w:tcBorders>
          </w:tcPr>
          <w:p>
            <w:pPr>
              <w:rPr>
                <w:sz w:val="2"/>
                <w:szCs w:val="2"/>
              </w:rPr>
            </w:pPr>
          </w:p>
        </w:tc>
        <w:tc>
          <w:tcPr>
            <w:tcW w:w="1066" w:type="dxa"/>
            <w:vMerge/>
            <w:tcBorders>
              <w:top w:val="nil"/>
            </w:tcBorders>
          </w:tcPr>
          <w:p>
            <w:pPr>
              <w:rPr>
                <w:sz w:val="2"/>
                <w:szCs w:val="2"/>
              </w:rPr>
            </w:pPr>
          </w:p>
        </w:tc>
        <w:tc>
          <w:tcPr>
            <w:tcW w:w="1937" w:type="dxa"/>
            <w:vMerge/>
            <w:tcBorders>
              <w:top w:val="nil"/>
            </w:tcBorders>
          </w:tcPr>
          <w:p>
            <w:pPr>
              <w:rPr>
                <w:sz w:val="2"/>
                <w:szCs w:val="2"/>
              </w:rPr>
            </w:pPr>
          </w:p>
        </w:tc>
        <w:tc>
          <w:tcPr>
            <w:tcW w:w="2871" w:type="dxa"/>
            <w:tcBorders>
              <w:right w:val="nil"/>
            </w:tcBorders>
          </w:tcPr>
          <w:p>
            <w:pPr>
              <w:pStyle w:val="TableParagraph"/>
              <w:spacing w:line="232" w:lineRule="auto" w:before="99"/>
              <w:ind w:left="87" w:right="1012"/>
              <w:jc w:val="both"/>
              <w:rPr>
                <w:sz w:val="18"/>
              </w:rPr>
            </w:pPr>
            <w:r>
              <w:rPr>
                <w:color w:val="105C84"/>
                <w:sz w:val="18"/>
              </w:rPr>
              <w:t>#</w:t>
            </w:r>
            <w:r>
              <w:rPr>
                <w:color w:val="105C84"/>
                <w:spacing w:val="-11"/>
                <w:sz w:val="18"/>
              </w:rPr>
              <w:t> </w:t>
            </w:r>
            <w:r>
              <w:rPr>
                <w:color w:val="105C84"/>
                <w:sz w:val="18"/>
              </w:rPr>
              <w:t>of</w:t>
            </w:r>
            <w:r>
              <w:rPr>
                <w:color w:val="105C84"/>
                <w:spacing w:val="-11"/>
                <w:sz w:val="18"/>
              </w:rPr>
              <w:t> </w:t>
            </w:r>
            <w:r>
              <w:rPr>
                <w:color w:val="105C84"/>
                <w:sz w:val="18"/>
              </w:rPr>
              <w:t>PH</w:t>
            </w:r>
            <w:r>
              <w:rPr>
                <w:color w:val="105C84"/>
                <w:spacing w:val="-11"/>
                <w:sz w:val="18"/>
              </w:rPr>
              <w:t> </w:t>
            </w:r>
            <w:r>
              <w:rPr>
                <w:color w:val="105C84"/>
                <w:sz w:val="18"/>
              </w:rPr>
              <w:t>staff</w:t>
            </w:r>
            <w:r>
              <w:rPr>
                <w:color w:val="105C84"/>
                <w:spacing w:val="-11"/>
                <w:sz w:val="18"/>
              </w:rPr>
              <w:t> </w:t>
            </w:r>
            <w:r>
              <w:rPr>
                <w:color w:val="105C84"/>
                <w:sz w:val="18"/>
              </w:rPr>
              <w:t>trained</w:t>
            </w:r>
            <w:r>
              <w:rPr>
                <w:color w:val="105C84"/>
                <w:spacing w:val="-11"/>
                <w:sz w:val="18"/>
              </w:rPr>
              <w:t> </w:t>
            </w:r>
            <w:r>
              <w:rPr>
                <w:color w:val="105C84"/>
                <w:sz w:val="18"/>
              </w:rPr>
              <w:t>in </w:t>
            </w:r>
            <w:r>
              <w:rPr>
                <w:color w:val="105C84"/>
                <w:spacing w:val="-4"/>
                <w:sz w:val="18"/>
              </w:rPr>
              <w:t>ACES</w:t>
            </w:r>
          </w:p>
          <w:p>
            <w:pPr>
              <w:pStyle w:val="TableParagraph"/>
              <w:spacing w:line="232" w:lineRule="auto" w:before="88"/>
              <w:ind w:left="87" w:right="1079"/>
              <w:jc w:val="both"/>
              <w:rPr>
                <w:sz w:val="18"/>
              </w:rPr>
            </w:pPr>
            <w:r>
              <w:rPr>
                <w:color w:val="105C84"/>
                <w:sz w:val="18"/>
              </w:rPr>
              <w:t>%</w:t>
            </w:r>
            <w:r>
              <w:rPr>
                <w:color w:val="105C84"/>
                <w:spacing w:val="-15"/>
                <w:sz w:val="18"/>
              </w:rPr>
              <w:t> </w:t>
            </w:r>
            <w:r>
              <w:rPr>
                <w:color w:val="105C84"/>
                <w:sz w:val="18"/>
              </w:rPr>
              <w:t>of</w:t>
            </w:r>
            <w:r>
              <w:rPr>
                <w:color w:val="105C84"/>
                <w:spacing w:val="-12"/>
                <w:sz w:val="18"/>
              </w:rPr>
              <w:t> </w:t>
            </w:r>
            <w:r>
              <w:rPr>
                <w:color w:val="105C84"/>
                <w:sz w:val="18"/>
              </w:rPr>
              <w:t>PH</w:t>
            </w:r>
            <w:r>
              <w:rPr>
                <w:color w:val="105C84"/>
                <w:spacing w:val="-13"/>
                <w:sz w:val="18"/>
              </w:rPr>
              <w:t> </w:t>
            </w:r>
            <w:r>
              <w:rPr>
                <w:color w:val="105C84"/>
                <w:sz w:val="18"/>
              </w:rPr>
              <w:t>staff</w:t>
            </w:r>
            <w:r>
              <w:rPr>
                <w:color w:val="105C84"/>
                <w:spacing w:val="-12"/>
                <w:sz w:val="18"/>
              </w:rPr>
              <w:t> </w:t>
            </w:r>
            <w:r>
              <w:rPr>
                <w:color w:val="105C84"/>
                <w:sz w:val="18"/>
              </w:rPr>
              <w:t>indicate increased</w:t>
            </w:r>
            <w:r>
              <w:rPr>
                <w:color w:val="105C84"/>
                <w:spacing w:val="-13"/>
                <w:sz w:val="18"/>
              </w:rPr>
              <w:t> </w:t>
            </w:r>
            <w:r>
              <w:rPr>
                <w:color w:val="105C84"/>
                <w:sz w:val="18"/>
              </w:rPr>
              <w:t>knowledge of ACES</w:t>
            </w:r>
          </w:p>
        </w:tc>
        <w:tc>
          <w:tcPr>
            <w:tcW w:w="3004" w:type="dxa"/>
            <w:tcBorders>
              <w:left w:val="nil"/>
            </w:tcBorders>
          </w:tcPr>
          <w:p>
            <w:pPr>
              <w:pStyle w:val="TableParagraph"/>
              <w:spacing w:line="232" w:lineRule="auto" w:before="99"/>
              <w:ind w:left="1019" w:right="178"/>
              <w:rPr>
                <w:sz w:val="18"/>
              </w:rPr>
            </w:pPr>
            <w:r>
              <w:rPr>
                <w:color w:val="105C84"/>
                <w:spacing w:val="-2"/>
                <w:sz w:val="18"/>
              </w:rPr>
              <w:t>PH</w:t>
            </w:r>
            <w:r>
              <w:rPr>
                <w:color w:val="105C84"/>
                <w:spacing w:val="-11"/>
                <w:sz w:val="18"/>
              </w:rPr>
              <w:t> </w:t>
            </w:r>
            <w:r>
              <w:rPr>
                <w:color w:val="105C84"/>
                <w:spacing w:val="-2"/>
                <w:sz w:val="18"/>
              </w:rPr>
              <w:t>Staff</w:t>
            </w:r>
            <w:r>
              <w:rPr>
                <w:color w:val="105C84"/>
                <w:spacing w:val="-10"/>
                <w:sz w:val="18"/>
              </w:rPr>
              <w:t> </w:t>
            </w:r>
            <w:r>
              <w:rPr>
                <w:color w:val="105C84"/>
                <w:spacing w:val="-2"/>
                <w:sz w:val="18"/>
              </w:rPr>
              <w:t>to</w:t>
            </w:r>
            <w:r>
              <w:rPr>
                <w:color w:val="105C84"/>
                <w:spacing w:val="-11"/>
                <w:sz w:val="18"/>
              </w:rPr>
              <w:t> </w:t>
            </w:r>
            <w:r>
              <w:rPr>
                <w:color w:val="105C84"/>
                <w:spacing w:val="-2"/>
                <w:sz w:val="18"/>
              </w:rPr>
              <w:t>receive </w:t>
            </w:r>
            <w:r>
              <w:rPr>
                <w:color w:val="105C84"/>
                <w:sz w:val="18"/>
              </w:rPr>
              <w:t>ACES training</w:t>
            </w:r>
          </w:p>
        </w:tc>
        <w:tc>
          <w:tcPr>
            <w:tcW w:w="2844" w:type="dxa"/>
          </w:tcPr>
          <w:p>
            <w:pPr>
              <w:pStyle w:val="TableParagraph"/>
              <w:spacing w:line="232" w:lineRule="auto" w:before="99"/>
              <w:ind w:left="87" w:right="81"/>
              <w:rPr>
                <w:sz w:val="18"/>
              </w:rPr>
            </w:pPr>
            <w:r>
              <w:rPr>
                <w:color w:val="105C84"/>
                <w:sz w:val="18"/>
              </w:rPr>
              <w:t>PH staff begin to implement ACES</w:t>
            </w:r>
            <w:r>
              <w:rPr>
                <w:color w:val="105C84"/>
                <w:spacing w:val="-15"/>
                <w:sz w:val="18"/>
              </w:rPr>
              <w:t> </w:t>
            </w:r>
            <w:r>
              <w:rPr>
                <w:color w:val="105C84"/>
                <w:sz w:val="18"/>
              </w:rPr>
              <w:t>work</w:t>
            </w:r>
            <w:r>
              <w:rPr>
                <w:color w:val="105C84"/>
                <w:spacing w:val="-12"/>
                <w:sz w:val="18"/>
              </w:rPr>
              <w:t> </w:t>
            </w:r>
            <w:r>
              <w:rPr>
                <w:color w:val="105C84"/>
                <w:sz w:val="18"/>
              </w:rPr>
              <w:t>in</w:t>
            </w:r>
            <w:r>
              <w:rPr>
                <w:color w:val="105C84"/>
                <w:spacing w:val="-13"/>
                <w:sz w:val="18"/>
              </w:rPr>
              <w:t> </w:t>
            </w:r>
            <w:r>
              <w:rPr>
                <w:color w:val="105C84"/>
                <w:sz w:val="18"/>
              </w:rPr>
              <w:t>their</w:t>
            </w:r>
            <w:r>
              <w:rPr>
                <w:color w:val="105C84"/>
                <w:spacing w:val="-12"/>
                <w:sz w:val="18"/>
              </w:rPr>
              <w:t> </w:t>
            </w:r>
            <w:r>
              <w:rPr>
                <w:color w:val="105C84"/>
                <w:sz w:val="18"/>
              </w:rPr>
              <w:t>interactions with youth, families, providers, </w:t>
            </w:r>
            <w:r>
              <w:rPr>
                <w:color w:val="105C84"/>
                <w:spacing w:val="-4"/>
                <w:sz w:val="18"/>
              </w:rPr>
              <w:t>etc.</w:t>
            </w:r>
          </w:p>
        </w:tc>
        <w:tc>
          <w:tcPr>
            <w:tcW w:w="1951" w:type="dxa"/>
          </w:tcPr>
          <w:p>
            <w:pPr>
              <w:pStyle w:val="TableParagraph"/>
              <w:spacing w:line="232" w:lineRule="auto" w:before="99"/>
              <w:ind w:left="87" w:right="43"/>
              <w:rPr>
                <w:sz w:val="18"/>
              </w:rPr>
            </w:pPr>
            <w:r>
              <w:rPr>
                <w:color w:val="105C84"/>
                <w:sz w:val="18"/>
              </w:rPr>
              <w:t>PH staff to continue </w:t>
            </w:r>
            <w:r>
              <w:rPr>
                <w:color w:val="105C84"/>
                <w:spacing w:val="-2"/>
                <w:sz w:val="18"/>
              </w:rPr>
              <w:t>using</w:t>
            </w:r>
            <w:r>
              <w:rPr>
                <w:color w:val="105C84"/>
                <w:spacing w:val="-13"/>
                <w:sz w:val="18"/>
              </w:rPr>
              <w:t> </w:t>
            </w:r>
            <w:r>
              <w:rPr>
                <w:color w:val="105C84"/>
                <w:spacing w:val="-2"/>
                <w:sz w:val="18"/>
              </w:rPr>
              <w:t>ACES</w:t>
            </w:r>
            <w:r>
              <w:rPr>
                <w:color w:val="105C84"/>
                <w:spacing w:val="-10"/>
                <w:sz w:val="18"/>
              </w:rPr>
              <w:t> </w:t>
            </w:r>
            <w:r>
              <w:rPr>
                <w:color w:val="105C84"/>
                <w:spacing w:val="-2"/>
                <w:sz w:val="18"/>
              </w:rPr>
              <w:t>principles </w:t>
            </w:r>
            <w:r>
              <w:rPr>
                <w:color w:val="105C84"/>
                <w:sz w:val="18"/>
              </w:rPr>
              <w:t>In their work</w:t>
            </w:r>
          </w:p>
        </w:tc>
        <w:tc>
          <w:tcPr>
            <w:tcW w:w="1497" w:type="dxa"/>
            <w:vMerge/>
            <w:tcBorders>
              <w:top w:val="nil"/>
            </w:tcBorders>
          </w:tcPr>
          <w:p>
            <w:pPr>
              <w:rPr>
                <w:sz w:val="2"/>
                <w:szCs w:val="2"/>
              </w:rPr>
            </w:pPr>
          </w:p>
        </w:tc>
        <w:tc>
          <w:tcPr>
            <w:tcW w:w="1787" w:type="dxa"/>
          </w:tcPr>
          <w:p>
            <w:pPr>
              <w:pStyle w:val="TableParagraph"/>
              <w:spacing w:line="232" w:lineRule="auto" w:before="99"/>
              <w:ind w:left="88" w:right="81"/>
              <w:rPr>
                <w:sz w:val="18"/>
              </w:rPr>
            </w:pPr>
            <w:r>
              <w:rPr>
                <w:color w:val="105C84"/>
                <w:sz w:val="18"/>
              </w:rPr>
              <w:t>Public Health staff will be trained in ACES and will use their understanding of</w:t>
            </w:r>
            <w:r>
              <w:rPr>
                <w:color w:val="105C84"/>
                <w:spacing w:val="-13"/>
                <w:sz w:val="18"/>
              </w:rPr>
              <w:t> </w:t>
            </w:r>
            <w:r>
              <w:rPr>
                <w:color w:val="105C84"/>
                <w:sz w:val="18"/>
              </w:rPr>
              <w:t>ACES</w:t>
            </w:r>
            <w:r>
              <w:rPr>
                <w:color w:val="105C84"/>
                <w:spacing w:val="-12"/>
                <w:sz w:val="18"/>
              </w:rPr>
              <w:t> </w:t>
            </w:r>
            <w:r>
              <w:rPr>
                <w:color w:val="105C84"/>
                <w:sz w:val="18"/>
              </w:rPr>
              <w:t>to</w:t>
            </w:r>
            <w:r>
              <w:rPr>
                <w:color w:val="105C84"/>
                <w:spacing w:val="-13"/>
                <w:sz w:val="18"/>
              </w:rPr>
              <w:t> </w:t>
            </w:r>
            <w:r>
              <w:rPr>
                <w:color w:val="105C84"/>
                <w:sz w:val="18"/>
              </w:rPr>
              <w:t>enhance the interactions</w:t>
            </w:r>
            <w:r>
              <w:rPr>
                <w:color w:val="105C84"/>
                <w:spacing w:val="40"/>
                <w:sz w:val="18"/>
              </w:rPr>
              <w:t> </w:t>
            </w:r>
            <w:r>
              <w:rPr>
                <w:color w:val="105C84"/>
                <w:sz w:val="18"/>
              </w:rPr>
              <w:t>they have with the public 15 FTE</w:t>
            </w:r>
          </w:p>
        </w:tc>
      </w:tr>
      <w:tr>
        <w:trPr>
          <w:trHeight w:val="1446" w:hRule="atLeast"/>
        </w:trPr>
        <w:tc>
          <w:tcPr>
            <w:tcW w:w="1123" w:type="dxa"/>
            <w:vMerge/>
            <w:tcBorders>
              <w:top w:val="nil"/>
            </w:tcBorders>
            <w:shd w:val="clear" w:color="auto" w:fill="E6E7E8"/>
          </w:tcPr>
          <w:p>
            <w:pPr>
              <w:rPr>
                <w:sz w:val="2"/>
                <w:szCs w:val="2"/>
              </w:rPr>
            </w:pPr>
          </w:p>
        </w:tc>
        <w:tc>
          <w:tcPr>
            <w:tcW w:w="1354" w:type="dxa"/>
            <w:vMerge/>
            <w:tcBorders>
              <w:top w:val="nil"/>
            </w:tcBorders>
          </w:tcPr>
          <w:p>
            <w:pPr>
              <w:rPr>
                <w:sz w:val="2"/>
                <w:szCs w:val="2"/>
              </w:rPr>
            </w:pPr>
          </w:p>
        </w:tc>
        <w:tc>
          <w:tcPr>
            <w:tcW w:w="1268" w:type="dxa"/>
            <w:vMerge/>
            <w:tcBorders>
              <w:top w:val="nil"/>
            </w:tcBorders>
          </w:tcPr>
          <w:p>
            <w:pPr>
              <w:rPr>
                <w:sz w:val="2"/>
                <w:szCs w:val="2"/>
              </w:rPr>
            </w:pPr>
          </w:p>
        </w:tc>
        <w:tc>
          <w:tcPr>
            <w:tcW w:w="1606" w:type="dxa"/>
            <w:vMerge/>
            <w:tcBorders>
              <w:top w:val="nil"/>
            </w:tcBorders>
          </w:tcPr>
          <w:p>
            <w:pPr>
              <w:rPr>
                <w:sz w:val="2"/>
                <w:szCs w:val="2"/>
              </w:rPr>
            </w:pPr>
          </w:p>
        </w:tc>
        <w:tc>
          <w:tcPr>
            <w:tcW w:w="1066" w:type="dxa"/>
            <w:vMerge/>
            <w:tcBorders>
              <w:top w:val="nil"/>
            </w:tcBorders>
          </w:tcPr>
          <w:p>
            <w:pPr>
              <w:rPr>
                <w:sz w:val="2"/>
                <w:szCs w:val="2"/>
              </w:rPr>
            </w:pPr>
          </w:p>
        </w:tc>
        <w:tc>
          <w:tcPr>
            <w:tcW w:w="1937" w:type="dxa"/>
            <w:vMerge/>
            <w:tcBorders>
              <w:top w:val="nil"/>
            </w:tcBorders>
          </w:tcPr>
          <w:p>
            <w:pPr>
              <w:rPr>
                <w:sz w:val="2"/>
                <w:szCs w:val="2"/>
              </w:rPr>
            </w:pPr>
          </w:p>
        </w:tc>
        <w:tc>
          <w:tcPr>
            <w:tcW w:w="2871" w:type="dxa"/>
            <w:tcBorders>
              <w:right w:val="nil"/>
            </w:tcBorders>
          </w:tcPr>
          <w:p>
            <w:pPr>
              <w:pStyle w:val="TableParagraph"/>
              <w:spacing w:line="232" w:lineRule="auto" w:before="99"/>
              <w:ind w:left="87" w:right="727"/>
              <w:rPr>
                <w:sz w:val="18"/>
              </w:rPr>
            </w:pPr>
            <w:r>
              <w:rPr>
                <w:color w:val="105C84"/>
                <w:sz w:val="18"/>
              </w:rPr>
              <w:t># CH staff trained in trauma</w:t>
            </w:r>
            <w:r>
              <w:rPr>
                <w:color w:val="105C84"/>
                <w:spacing w:val="-15"/>
                <w:sz w:val="18"/>
              </w:rPr>
              <w:t> </w:t>
            </w:r>
            <w:r>
              <w:rPr>
                <w:color w:val="105C84"/>
                <w:sz w:val="18"/>
              </w:rPr>
              <w:t>informed</w:t>
            </w:r>
            <w:r>
              <w:rPr>
                <w:color w:val="105C84"/>
                <w:spacing w:val="-12"/>
                <w:sz w:val="18"/>
              </w:rPr>
              <w:t> </w:t>
            </w:r>
            <w:r>
              <w:rPr>
                <w:color w:val="105C84"/>
                <w:sz w:val="18"/>
              </w:rPr>
              <w:t>care</w:t>
            </w:r>
          </w:p>
          <w:p>
            <w:pPr>
              <w:pStyle w:val="TableParagraph"/>
              <w:spacing w:line="232" w:lineRule="auto" w:before="88"/>
              <w:ind w:left="87" w:right="727"/>
              <w:rPr>
                <w:sz w:val="18"/>
              </w:rPr>
            </w:pPr>
            <w:r>
              <w:rPr>
                <w:color w:val="105C84"/>
                <w:sz w:val="18"/>
              </w:rPr>
              <w:t>% of staff reporting increased</w:t>
            </w:r>
            <w:r>
              <w:rPr>
                <w:color w:val="105C84"/>
                <w:spacing w:val="-13"/>
                <w:sz w:val="18"/>
              </w:rPr>
              <w:t> </w:t>
            </w:r>
            <w:r>
              <w:rPr>
                <w:color w:val="105C84"/>
                <w:sz w:val="18"/>
              </w:rPr>
              <w:t>knowledge</w:t>
            </w:r>
          </w:p>
        </w:tc>
        <w:tc>
          <w:tcPr>
            <w:tcW w:w="3004" w:type="dxa"/>
            <w:tcBorders>
              <w:left w:val="nil"/>
            </w:tcBorders>
          </w:tcPr>
          <w:p>
            <w:pPr>
              <w:pStyle w:val="TableParagraph"/>
              <w:spacing w:line="232" w:lineRule="auto" w:before="99"/>
              <w:ind w:left="1019" w:right="257"/>
              <w:rPr>
                <w:sz w:val="18"/>
              </w:rPr>
            </w:pPr>
            <w:r>
              <w:rPr>
                <w:color w:val="105C84"/>
                <w:sz w:val="18"/>
              </w:rPr>
              <w:t>Corning Hospital</w:t>
            </w:r>
            <w:r>
              <w:rPr>
                <w:color w:val="105C84"/>
                <w:spacing w:val="40"/>
                <w:sz w:val="18"/>
              </w:rPr>
              <w:t> </w:t>
            </w:r>
            <w:r>
              <w:rPr>
                <w:color w:val="105C84"/>
                <w:spacing w:val="-2"/>
                <w:sz w:val="18"/>
              </w:rPr>
              <w:t>(CH)</w:t>
            </w:r>
            <w:r>
              <w:rPr>
                <w:color w:val="105C84"/>
                <w:spacing w:val="-11"/>
                <w:sz w:val="18"/>
              </w:rPr>
              <w:t> </w:t>
            </w:r>
            <w:r>
              <w:rPr>
                <w:color w:val="105C84"/>
                <w:spacing w:val="-2"/>
                <w:sz w:val="18"/>
              </w:rPr>
              <w:t>-</w:t>
            </w:r>
            <w:r>
              <w:rPr>
                <w:color w:val="105C84"/>
                <w:spacing w:val="-10"/>
                <w:sz w:val="18"/>
              </w:rPr>
              <w:t> </w:t>
            </w:r>
            <w:r>
              <w:rPr>
                <w:color w:val="105C84"/>
                <w:spacing w:val="-2"/>
                <w:sz w:val="18"/>
              </w:rPr>
              <w:t>Investigate</w:t>
            </w:r>
            <w:r>
              <w:rPr>
                <w:color w:val="105C84"/>
                <w:spacing w:val="-11"/>
                <w:sz w:val="18"/>
              </w:rPr>
              <w:t> </w:t>
            </w:r>
            <w:r>
              <w:rPr>
                <w:color w:val="105C84"/>
                <w:spacing w:val="-2"/>
                <w:sz w:val="18"/>
              </w:rPr>
              <w:t>and</w:t>
            </w:r>
          </w:p>
          <w:p>
            <w:pPr>
              <w:pStyle w:val="TableParagraph"/>
              <w:spacing w:line="232" w:lineRule="auto"/>
              <w:ind w:left="1019" w:right="98"/>
              <w:rPr>
                <w:sz w:val="18"/>
              </w:rPr>
            </w:pPr>
            <w:r>
              <w:rPr>
                <w:color w:val="105C84"/>
                <w:sz w:val="18"/>
              </w:rPr>
              <w:t>develop education </w:t>
            </w:r>
            <w:r>
              <w:rPr>
                <w:color w:val="105C84"/>
                <w:sz w:val="18"/>
              </w:rPr>
              <w:t>plan for patient facing staff</w:t>
            </w:r>
            <w:r>
              <w:rPr>
                <w:color w:val="105C84"/>
                <w:spacing w:val="40"/>
                <w:sz w:val="18"/>
              </w:rPr>
              <w:t> </w:t>
            </w:r>
            <w:r>
              <w:rPr>
                <w:color w:val="105C84"/>
                <w:sz w:val="18"/>
              </w:rPr>
              <w:t>in regard to Trauma Informed</w:t>
            </w:r>
            <w:r>
              <w:rPr>
                <w:color w:val="105C84"/>
                <w:spacing w:val="40"/>
                <w:sz w:val="18"/>
              </w:rPr>
              <w:t> </w:t>
            </w:r>
            <w:r>
              <w:rPr>
                <w:color w:val="105C84"/>
                <w:sz w:val="18"/>
              </w:rPr>
              <w:t>Care</w:t>
            </w:r>
          </w:p>
        </w:tc>
        <w:tc>
          <w:tcPr>
            <w:tcW w:w="2844" w:type="dxa"/>
          </w:tcPr>
          <w:p>
            <w:pPr>
              <w:pStyle w:val="TableParagraph"/>
              <w:spacing w:line="232" w:lineRule="auto" w:before="99"/>
              <w:ind w:left="87"/>
              <w:rPr>
                <w:sz w:val="18"/>
              </w:rPr>
            </w:pPr>
            <w:r>
              <w:rPr>
                <w:color w:val="105C84"/>
                <w:sz w:val="18"/>
              </w:rPr>
              <w:t>Guthrie Corning Hospital </w:t>
            </w:r>
            <w:r>
              <w:rPr>
                <w:color w:val="105C84"/>
                <w:sz w:val="18"/>
              </w:rPr>
              <w:t>patient facing staff in ED, LDRP Social Work and Case Management to complete</w:t>
            </w:r>
            <w:r>
              <w:rPr>
                <w:color w:val="105C84"/>
                <w:spacing w:val="-6"/>
                <w:sz w:val="18"/>
              </w:rPr>
              <w:t> </w:t>
            </w:r>
            <w:r>
              <w:rPr>
                <w:color w:val="105C84"/>
                <w:sz w:val="18"/>
              </w:rPr>
              <w:t>Trauma</w:t>
            </w:r>
            <w:r>
              <w:rPr>
                <w:color w:val="105C84"/>
                <w:spacing w:val="-6"/>
                <w:sz w:val="18"/>
              </w:rPr>
              <w:t> </w:t>
            </w:r>
            <w:r>
              <w:rPr>
                <w:color w:val="105C84"/>
                <w:sz w:val="18"/>
              </w:rPr>
              <w:t>Informed</w:t>
            </w:r>
            <w:r>
              <w:rPr>
                <w:color w:val="105C84"/>
                <w:spacing w:val="-6"/>
                <w:sz w:val="18"/>
              </w:rPr>
              <w:t> </w:t>
            </w:r>
            <w:r>
              <w:rPr>
                <w:color w:val="105C84"/>
                <w:sz w:val="18"/>
              </w:rPr>
              <w:t>Care </w:t>
            </w:r>
            <w:r>
              <w:rPr>
                <w:color w:val="105C84"/>
                <w:spacing w:val="-2"/>
                <w:sz w:val="18"/>
              </w:rPr>
              <w:t>Training</w:t>
            </w:r>
          </w:p>
        </w:tc>
        <w:tc>
          <w:tcPr>
            <w:tcW w:w="1951" w:type="dxa"/>
          </w:tcPr>
          <w:p>
            <w:pPr>
              <w:pStyle w:val="TableParagraph"/>
              <w:spacing w:line="232" w:lineRule="auto" w:before="99"/>
              <w:ind w:left="87" w:right="280"/>
              <w:jc w:val="both"/>
              <w:rPr>
                <w:sz w:val="18"/>
              </w:rPr>
            </w:pPr>
            <w:r>
              <w:rPr>
                <w:color w:val="105C84"/>
                <w:w w:val="105"/>
                <w:sz w:val="18"/>
              </w:rPr>
              <w:t>Completion</w:t>
            </w:r>
            <w:r>
              <w:rPr>
                <w:color w:val="105C84"/>
                <w:spacing w:val="-11"/>
                <w:w w:val="105"/>
                <w:sz w:val="18"/>
              </w:rPr>
              <w:t> </w:t>
            </w:r>
            <w:r>
              <w:rPr>
                <w:color w:val="105C84"/>
                <w:w w:val="105"/>
                <w:sz w:val="18"/>
              </w:rPr>
              <w:t>and/or ongoing</w:t>
            </w:r>
            <w:r>
              <w:rPr>
                <w:color w:val="105C84"/>
                <w:spacing w:val="-12"/>
                <w:w w:val="105"/>
                <w:sz w:val="18"/>
              </w:rPr>
              <w:t> </w:t>
            </w:r>
            <w:r>
              <w:rPr>
                <w:color w:val="105C84"/>
                <w:w w:val="105"/>
                <w:sz w:val="18"/>
              </w:rPr>
              <w:t>education for CH staff</w:t>
            </w:r>
          </w:p>
        </w:tc>
        <w:tc>
          <w:tcPr>
            <w:tcW w:w="1497" w:type="dxa"/>
            <w:vMerge/>
            <w:tcBorders>
              <w:top w:val="nil"/>
            </w:tcBorders>
          </w:tcPr>
          <w:p>
            <w:pPr>
              <w:rPr>
                <w:sz w:val="2"/>
                <w:szCs w:val="2"/>
              </w:rPr>
            </w:pPr>
          </w:p>
        </w:tc>
        <w:tc>
          <w:tcPr>
            <w:tcW w:w="1787" w:type="dxa"/>
          </w:tcPr>
          <w:p>
            <w:pPr>
              <w:pStyle w:val="TableParagraph"/>
              <w:spacing w:line="232" w:lineRule="auto" w:before="99"/>
              <w:ind w:left="88" w:right="35"/>
              <w:rPr>
                <w:sz w:val="18"/>
              </w:rPr>
            </w:pPr>
            <w:r>
              <w:rPr>
                <w:color w:val="105C84"/>
                <w:spacing w:val="-2"/>
                <w:sz w:val="18"/>
              </w:rPr>
              <w:t>CH:</w:t>
            </w:r>
            <w:r>
              <w:rPr>
                <w:color w:val="105C84"/>
                <w:spacing w:val="-13"/>
                <w:sz w:val="18"/>
              </w:rPr>
              <w:t> </w:t>
            </w:r>
            <w:r>
              <w:rPr>
                <w:color w:val="105C84"/>
                <w:spacing w:val="-2"/>
                <w:sz w:val="18"/>
              </w:rPr>
              <w:t>Education</w:t>
            </w:r>
            <w:r>
              <w:rPr>
                <w:color w:val="105C84"/>
                <w:spacing w:val="-10"/>
                <w:sz w:val="18"/>
              </w:rPr>
              <w:t> </w:t>
            </w:r>
            <w:r>
              <w:rPr>
                <w:color w:val="105C84"/>
                <w:spacing w:val="-2"/>
                <w:sz w:val="18"/>
              </w:rPr>
              <w:t>Staff </w:t>
            </w:r>
            <w:r>
              <w:rPr>
                <w:color w:val="105C84"/>
                <w:sz w:val="18"/>
              </w:rPr>
              <w:t>to conduct training and any materials </w:t>
            </w:r>
            <w:r>
              <w:rPr>
                <w:color w:val="105C84"/>
                <w:spacing w:val="-2"/>
                <w:sz w:val="18"/>
              </w:rPr>
              <w:t>required</w:t>
            </w:r>
          </w:p>
        </w:tc>
      </w:tr>
    </w:tbl>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226"/>
        <w:rPr>
          <w:b/>
          <w:sz w:val="26"/>
        </w:rPr>
      </w:pPr>
    </w:p>
    <w:p>
      <w:pPr>
        <w:tabs>
          <w:tab w:pos="23047" w:val="left" w:leader="none"/>
        </w:tabs>
        <w:spacing w:before="1"/>
        <w:ind w:left="0" w:right="0" w:firstLine="0"/>
        <w:jc w:val="left"/>
        <w:rPr>
          <w:b/>
          <w:sz w:val="26"/>
        </w:rPr>
      </w:pPr>
      <w:r>
        <w:rPr>
          <w:position w:val="-4"/>
        </w:rPr>
        <w:drawing>
          <wp:inline distT="0" distB="0" distL="0" distR="0">
            <wp:extent cx="568172" cy="184683"/>
            <wp:effectExtent l="0" t="0" r="0" b="0"/>
            <wp:docPr id="1999" name="Image 1999"/>
            <wp:cNvGraphicFramePr>
              <a:graphicFrameLocks/>
            </wp:cNvGraphicFramePr>
            <a:graphic>
              <a:graphicData uri="http://schemas.openxmlformats.org/drawingml/2006/picture">
                <pic:pic>
                  <pic:nvPicPr>
                    <pic:cNvPr id="1999" name="Image 1999"/>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13"/>
          <w:sz w:val="20"/>
        </w:rPr>
        <w:t> </w:t>
      </w:r>
      <w:r>
        <w:rPr>
          <w:b/>
          <w:color w:val="939598"/>
          <w:w w:val="105"/>
          <w:sz w:val="26"/>
        </w:rPr>
        <w:t>207</w:t>
      </w:r>
      <w:r>
        <w:rPr>
          <w:b/>
          <w:color w:val="939598"/>
          <w:sz w:val="26"/>
        </w:rPr>
        <w:tab/>
      </w:r>
      <w:r>
        <w:rPr>
          <w:b/>
          <w:color w:val="939598"/>
          <w:spacing w:val="-5"/>
          <w:w w:val="105"/>
          <w:sz w:val="26"/>
        </w:rPr>
        <w:t>208</w:t>
      </w:r>
    </w:p>
    <w:p>
      <w:pPr>
        <w:spacing w:after="0"/>
        <w:jc w:val="left"/>
        <w:rPr>
          <w:b/>
          <w:sz w:val="26"/>
        </w:rPr>
        <w:sectPr>
          <w:pgSz w:w="24480" w:h="15840" w:orient="landscape"/>
          <w:pgMar w:header="0" w:footer="0" w:top="860" w:bottom="0" w:left="0" w:right="720"/>
        </w:sectPr>
      </w:pPr>
    </w:p>
    <w:p>
      <w:pPr>
        <w:spacing w:before="609"/>
        <w:ind w:left="1089" w:right="0" w:firstLine="0"/>
        <w:jc w:val="left"/>
        <w:rPr>
          <w:sz w:val="54"/>
        </w:rPr>
      </w:pPr>
      <w:r>
        <w:rPr>
          <w:sz w:val="54"/>
        </w:rPr>
        <w:drawing>
          <wp:anchor distT="0" distB="0" distL="0" distR="0" allowOverlap="1" layoutInCell="1" locked="0" behindDoc="0" simplePos="0" relativeHeight="16019968">
            <wp:simplePos x="0" y="0"/>
            <wp:positionH relativeFrom="page">
              <wp:posOffset>14981556</wp:posOffset>
            </wp:positionH>
            <wp:positionV relativeFrom="page">
              <wp:posOffset>9668103</wp:posOffset>
            </wp:positionV>
            <wp:extent cx="563245" cy="184683"/>
            <wp:effectExtent l="0" t="0" r="0" b="0"/>
            <wp:wrapNone/>
            <wp:docPr id="2000" name="Image 2000"/>
            <wp:cNvGraphicFramePr>
              <a:graphicFrameLocks/>
            </wp:cNvGraphicFramePr>
            <a:graphic>
              <a:graphicData uri="http://schemas.openxmlformats.org/drawingml/2006/picture">
                <pic:pic>
                  <pic:nvPicPr>
                    <pic:cNvPr id="2000" name="Image 2000"/>
                    <pic:cNvPicPr/>
                  </pic:nvPicPr>
                  <pic:blipFill>
                    <a:blip r:embed="rId38" cstate="print"/>
                    <a:stretch>
                      <a:fillRect/>
                    </a:stretch>
                  </pic:blipFill>
                  <pic:spPr>
                    <a:xfrm>
                      <a:off x="0" y="0"/>
                      <a:ext cx="563245" cy="184683"/>
                    </a:xfrm>
                    <a:prstGeom prst="rect">
                      <a:avLst/>
                    </a:prstGeom>
                  </pic:spPr>
                </pic:pic>
              </a:graphicData>
            </a:graphic>
          </wp:anchor>
        </w:drawing>
      </w:r>
      <w:r>
        <w:rPr>
          <w:sz w:val="54"/>
        </w:rPr>
        <w:drawing>
          <wp:anchor distT="0" distB="0" distL="0" distR="0" allowOverlap="1" layoutInCell="1" locked="0" behindDoc="0" simplePos="0" relativeHeight="16020480">
            <wp:simplePos x="0" y="0"/>
            <wp:positionH relativeFrom="page">
              <wp:posOffset>14298866</wp:posOffset>
            </wp:positionH>
            <wp:positionV relativeFrom="paragraph">
              <wp:posOffset>333089</wp:posOffset>
            </wp:positionV>
            <wp:extent cx="552068" cy="591502"/>
            <wp:effectExtent l="0" t="0" r="0" b="0"/>
            <wp:wrapNone/>
            <wp:docPr id="2001" name="Image 2001"/>
            <wp:cNvGraphicFramePr>
              <a:graphicFrameLocks/>
            </wp:cNvGraphicFramePr>
            <a:graphic>
              <a:graphicData uri="http://schemas.openxmlformats.org/drawingml/2006/picture">
                <pic:pic>
                  <pic:nvPicPr>
                    <pic:cNvPr id="2001" name="Image 2001"/>
                    <pic:cNvPicPr/>
                  </pic:nvPicPr>
                  <pic:blipFill>
                    <a:blip r:embed="rId259" cstate="print"/>
                    <a:stretch>
                      <a:fillRect/>
                    </a:stretch>
                  </pic:blipFill>
                  <pic:spPr>
                    <a:xfrm>
                      <a:off x="0" y="0"/>
                      <a:ext cx="552068" cy="591502"/>
                    </a:xfrm>
                    <a:prstGeom prst="rect">
                      <a:avLst/>
                    </a:prstGeom>
                  </pic:spPr>
                </pic:pic>
              </a:graphicData>
            </a:graphic>
          </wp:anchor>
        </w:drawing>
      </w:r>
      <w:r>
        <w:rPr>
          <w:sz w:val="54"/>
        </w:rPr>
        <w:drawing>
          <wp:anchor distT="0" distB="0" distL="0" distR="0" allowOverlap="1" layoutInCell="1" locked="0" behindDoc="0" simplePos="0" relativeHeight="16020992">
            <wp:simplePos x="0" y="0"/>
            <wp:positionH relativeFrom="page">
              <wp:posOffset>11596623</wp:posOffset>
            </wp:positionH>
            <wp:positionV relativeFrom="paragraph">
              <wp:posOffset>330783</wp:posOffset>
            </wp:positionV>
            <wp:extent cx="1311661" cy="345815"/>
            <wp:effectExtent l="0" t="0" r="0" b="0"/>
            <wp:wrapNone/>
            <wp:docPr id="2002" name="Image 2002"/>
            <wp:cNvGraphicFramePr>
              <a:graphicFrameLocks/>
            </wp:cNvGraphicFramePr>
            <a:graphic>
              <a:graphicData uri="http://schemas.openxmlformats.org/drawingml/2006/picture">
                <pic:pic>
                  <pic:nvPicPr>
                    <pic:cNvPr id="2002" name="Image 2002"/>
                    <pic:cNvPicPr/>
                  </pic:nvPicPr>
                  <pic:blipFill>
                    <a:blip r:embed="rId260" cstate="print"/>
                    <a:stretch>
                      <a:fillRect/>
                    </a:stretch>
                  </pic:blipFill>
                  <pic:spPr>
                    <a:xfrm>
                      <a:off x="0" y="0"/>
                      <a:ext cx="1311661" cy="345815"/>
                    </a:xfrm>
                    <a:prstGeom prst="rect">
                      <a:avLst/>
                    </a:prstGeom>
                  </pic:spPr>
                </pic:pic>
              </a:graphicData>
            </a:graphic>
          </wp:anchor>
        </w:drawing>
      </w:r>
      <w:r>
        <w:rPr>
          <w:sz w:val="54"/>
        </w:rPr>
        <w:drawing>
          <wp:anchor distT="0" distB="0" distL="0" distR="0" allowOverlap="1" layoutInCell="1" locked="0" behindDoc="0" simplePos="0" relativeHeight="16021504">
            <wp:simplePos x="0" y="0"/>
            <wp:positionH relativeFrom="page">
              <wp:posOffset>13088996</wp:posOffset>
            </wp:positionH>
            <wp:positionV relativeFrom="paragraph">
              <wp:posOffset>323398</wp:posOffset>
            </wp:positionV>
            <wp:extent cx="1063929" cy="302976"/>
            <wp:effectExtent l="0" t="0" r="0" b="0"/>
            <wp:wrapNone/>
            <wp:docPr id="2003" name="Image 2003"/>
            <wp:cNvGraphicFramePr>
              <a:graphicFrameLocks/>
            </wp:cNvGraphicFramePr>
            <a:graphic>
              <a:graphicData uri="http://schemas.openxmlformats.org/drawingml/2006/picture">
                <pic:pic>
                  <pic:nvPicPr>
                    <pic:cNvPr id="2003" name="Image 2003"/>
                    <pic:cNvPicPr/>
                  </pic:nvPicPr>
                  <pic:blipFill>
                    <a:blip r:embed="rId261" cstate="print"/>
                    <a:stretch>
                      <a:fillRect/>
                    </a:stretch>
                  </pic:blipFill>
                  <pic:spPr>
                    <a:xfrm>
                      <a:off x="0" y="0"/>
                      <a:ext cx="1063929" cy="302976"/>
                    </a:xfrm>
                    <a:prstGeom prst="rect">
                      <a:avLst/>
                    </a:prstGeom>
                  </pic:spPr>
                </pic:pic>
              </a:graphicData>
            </a:graphic>
          </wp:anchor>
        </w:drawing>
      </w:r>
      <w:r>
        <w:rPr>
          <w:sz w:val="54"/>
        </w:rPr>
        <w:drawing>
          <wp:anchor distT="0" distB="0" distL="0" distR="0" allowOverlap="1" layoutInCell="1" locked="0" behindDoc="0" simplePos="0" relativeHeight="16022016">
            <wp:simplePos x="0" y="0"/>
            <wp:positionH relativeFrom="page">
              <wp:posOffset>11099800</wp:posOffset>
            </wp:positionH>
            <wp:positionV relativeFrom="paragraph">
              <wp:posOffset>279907</wp:posOffset>
            </wp:positionV>
            <wp:extent cx="330199" cy="393699"/>
            <wp:effectExtent l="0" t="0" r="0" b="0"/>
            <wp:wrapNone/>
            <wp:docPr id="2004" name="Image 2004"/>
            <wp:cNvGraphicFramePr>
              <a:graphicFrameLocks/>
            </wp:cNvGraphicFramePr>
            <a:graphic>
              <a:graphicData uri="http://schemas.openxmlformats.org/drawingml/2006/picture">
                <pic:pic>
                  <pic:nvPicPr>
                    <pic:cNvPr id="2004" name="Image 2004"/>
                    <pic:cNvPicPr/>
                  </pic:nvPicPr>
                  <pic:blipFill>
                    <a:blip r:embed="rId262" cstate="print"/>
                    <a:stretch>
                      <a:fillRect/>
                    </a:stretch>
                  </pic:blipFill>
                  <pic:spPr>
                    <a:xfrm>
                      <a:off x="0" y="0"/>
                      <a:ext cx="330199" cy="393699"/>
                    </a:xfrm>
                    <a:prstGeom prst="rect">
                      <a:avLst/>
                    </a:prstGeom>
                  </pic:spPr>
                </pic:pic>
              </a:graphicData>
            </a:graphic>
          </wp:anchor>
        </w:drawing>
      </w:r>
      <w:r>
        <w:rPr>
          <w:sz w:val="54"/>
        </w:rPr>
        <w:drawing>
          <wp:anchor distT="0" distB="0" distL="0" distR="0" allowOverlap="1" layoutInCell="1" locked="0" behindDoc="0" simplePos="0" relativeHeight="16022528">
            <wp:simplePos x="0" y="0"/>
            <wp:positionH relativeFrom="page">
              <wp:posOffset>9610343</wp:posOffset>
            </wp:positionH>
            <wp:positionV relativeFrom="paragraph">
              <wp:posOffset>374444</wp:posOffset>
            </wp:positionV>
            <wp:extent cx="1279782" cy="224523"/>
            <wp:effectExtent l="0" t="0" r="0" b="0"/>
            <wp:wrapNone/>
            <wp:docPr id="2005" name="Image 2005"/>
            <wp:cNvGraphicFramePr>
              <a:graphicFrameLocks/>
            </wp:cNvGraphicFramePr>
            <a:graphic>
              <a:graphicData uri="http://schemas.openxmlformats.org/drawingml/2006/picture">
                <pic:pic>
                  <pic:nvPicPr>
                    <pic:cNvPr id="2005" name="Image 2005"/>
                    <pic:cNvPicPr/>
                  </pic:nvPicPr>
                  <pic:blipFill>
                    <a:blip r:embed="rId263" cstate="print"/>
                    <a:stretch>
                      <a:fillRect/>
                    </a:stretch>
                  </pic:blipFill>
                  <pic:spPr>
                    <a:xfrm>
                      <a:off x="0" y="0"/>
                      <a:ext cx="1279782" cy="224523"/>
                    </a:xfrm>
                    <a:prstGeom prst="rect">
                      <a:avLst/>
                    </a:prstGeom>
                  </pic:spPr>
                </pic:pic>
              </a:graphicData>
            </a:graphic>
          </wp:anchor>
        </w:drawing>
      </w:r>
      <w:r>
        <w:rPr>
          <w:color w:val="636466"/>
          <w:sz w:val="54"/>
        </w:rPr>
        <w:t>Steuben</w:t>
      </w:r>
      <w:r>
        <w:rPr>
          <w:color w:val="636466"/>
          <w:spacing w:val="54"/>
          <w:sz w:val="54"/>
        </w:rPr>
        <w:t> </w:t>
      </w:r>
      <w:r>
        <w:rPr>
          <w:color w:val="636466"/>
          <w:sz w:val="54"/>
        </w:rPr>
        <w:t>County</w:t>
      </w:r>
      <w:r>
        <w:rPr>
          <w:color w:val="636466"/>
          <w:spacing w:val="55"/>
          <w:sz w:val="54"/>
        </w:rPr>
        <w:t> </w:t>
      </w:r>
      <w:r>
        <w:rPr>
          <w:color w:val="636466"/>
          <w:sz w:val="54"/>
        </w:rPr>
        <w:t>Appendix</w:t>
      </w:r>
      <w:r>
        <w:rPr>
          <w:color w:val="636466"/>
          <w:spacing w:val="54"/>
          <w:sz w:val="54"/>
        </w:rPr>
        <w:t> </w:t>
      </w:r>
      <w:r>
        <w:rPr>
          <w:color w:val="636466"/>
          <w:spacing w:val="-10"/>
          <w:sz w:val="54"/>
        </w:rPr>
        <w:t>F</w:t>
      </w:r>
    </w:p>
    <w:p>
      <w:pPr>
        <w:spacing w:before="236"/>
        <w:ind w:left="1089" w:right="0" w:firstLine="0"/>
        <w:jc w:val="left"/>
        <w:rPr>
          <w:b/>
          <w:sz w:val="32"/>
        </w:rPr>
      </w:pPr>
      <w:r>
        <w:rPr>
          <w:b/>
          <w:color w:val="82BF6A"/>
          <w:sz w:val="32"/>
        </w:rPr>
        <w:t>PRIORITY:</w:t>
      </w:r>
      <w:r>
        <w:rPr>
          <w:b/>
          <w:color w:val="82BF6A"/>
          <w:spacing w:val="-20"/>
          <w:sz w:val="32"/>
        </w:rPr>
        <w:t> </w:t>
      </w:r>
      <w:r>
        <w:rPr>
          <w:b/>
          <w:color w:val="82BF6A"/>
          <w:sz w:val="32"/>
        </w:rPr>
        <w:t>PROMOTE</w:t>
      </w:r>
      <w:r>
        <w:rPr>
          <w:b/>
          <w:color w:val="82BF6A"/>
          <w:spacing w:val="-19"/>
          <w:sz w:val="32"/>
        </w:rPr>
        <w:t> </w:t>
      </w:r>
      <w:r>
        <w:rPr>
          <w:b/>
          <w:color w:val="82BF6A"/>
          <w:sz w:val="32"/>
        </w:rPr>
        <w:t>HEALTHY</w:t>
      </w:r>
      <w:r>
        <w:rPr>
          <w:b/>
          <w:color w:val="82BF6A"/>
          <w:spacing w:val="-20"/>
          <w:sz w:val="32"/>
        </w:rPr>
        <w:t> </w:t>
      </w:r>
      <w:r>
        <w:rPr>
          <w:b/>
          <w:color w:val="82BF6A"/>
          <w:sz w:val="32"/>
        </w:rPr>
        <w:t>WOMEN,</w:t>
      </w:r>
      <w:r>
        <w:rPr>
          <w:b/>
          <w:color w:val="82BF6A"/>
          <w:spacing w:val="-19"/>
          <w:sz w:val="32"/>
        </w:rPr>
        <w:t> </w:t>
      </w:r>
      <w:r>
        <w:rPr>
          <w:b/>
          <w:color w:val="82BF6A"/>
          <w:sz w:val="32"/>
        </w:rPr>
        <w:t>INFANTS</w:t>
      </w:r>
      <w:r>
        <w:rPr>
          <w:b/>
          <w:color w:val="82BF6A"/>
          <w:spacing w:val="-19"/>
          <w:sz w:val="32"/>
        </w:rPr>
        <w:t> </w:t>
      </w:r>
      <w:r>
        <w:rPr>
          <w:b/>
          <w:color w:val="82BF6A"/>
          <w:sz w:val="32"/>
        </w:rPr>
        <w:t>AND</w:t>
      </w:r>
      <w:r>
        <w:rPr>
          <w:b/>
          <w:color w:val="82BF6A"/>
          <w:spacing w:val="-20"/>
          <w:sz w:val="32"/>
        </w:rPr>
        <w:t> </w:t>
      </w:r>
      <w:r>
        <w:rPr>
          <w:b/>
          <w:color w:val="82BF6A"/>
          <w:spacing w:val="-2"/>
          <w:sz w:val="32"/>
        </w:rPr>
        <w:t>CHILDREN</w:t>
      </w:r>
    </w:p>
    <w:p>
      <w:pPr>
        <w:pStyle w:val="BodyText"/>
        <w:spacing w:before="162"/>
        <w:rPr>
          <w:b/>
          <w:sz w:val="20"/>
        </w:rPr>
      </w:pPr>
    </w:p>
    <w:tbl>
      <w:tblPr>
        <w:tblW w:w="0" w:type="auto"/>
        <w:jc w:val="left"/>
        <w:tblInd w:w="1099"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1094"/>
        <w:gridCol w:w="1354"/>
        <w:gridCol w:w="1268"/>
        <w:gridCol w:w="1606"/>
        <w:gridCol w:w="1066"/>
        <w:gridCol w:w="1937"/>
        <w:gridCol w:w="5897"/>
        <w:gridCol w:w="2189"/>
        <w:gridCol w:w="2333"/>
        <w:gridCol w:w="1498"/>
        <w:gridCol w:w="2069"/>
      </w:tblGrid>
      <w:tr>
        <w:trPr>
          <w:trHeight w:val="930" w:hRule="atLeast"/>
        </w:trPr>
        <w:tc>
          <w:tcPr>
            <w:tcW w:w="1094" w:type="dxa"/>
            <w:tcBorders>
              <w:right w:val="single" w:sz="4" w:space="0" w:color="FFFFFF"/>
            </w:tcBorders>
            <w:shd w:val="clear" w:color="auto" w:fill="A7A9AC"/>
          </w:tcPr>
          <w:p>
            <w:pPr>
              <w:pStyle w:val="TableParagraph"/>
              <w:spacing w:before="179"/>
              <w:rPr>
                <w:b/>
                <w:sz w:val="18"/>
              </w:rPr>
            </w:pPr>
          </w:p>
          <w:p>
            <w:pPr>
              <w:pStyle w:val="TableParagraph"/>
              <w:ind w:left="79"/>
              <w:rPr>
                <w:b/>
                <w:sz w:val="18"/>
              </w:rPr>
            </w:pPr>
            <w:r>
              <w:rPr>
                <w:b/>
                <w:color w:val="FFFFFF"/>
                <w:spacing w:val="-2"/>
                <w:sz w:val="18"/>
              </w:rPr>
              <w:t>Priority</w:t>
            </w:r>
          </w:p>
        </w:tc>
        <w:tc>
          <w:tcPr>
            <w:tcW w:w="1354" w:type="dxa"/>
            <w:tcBorders>
              <w:left w:val="single" w:sz="4" w:space="0" w:color="FFFFFF"/>
              <w:right w:val="single" w:sz="4" w:space="0" w:color="FFFFFF"/>
            </w:tcBorders>
            <w:shd w:val="clear" w:color="auto" w:fill="A7A9AC"/>
          </w:tcPr>
          <w:p>
            <w:pPr>
              <w:pStyle w:val="TableParagraph"/>
              <w:spacing w:before="179"/>
              <w:rPr>
                <w:b/>
                <w:sz w:val="18"/>
              </w:rPr>
            </w:pPr>
          </w:p>
          <w:p>
            <w:pPr>
              <w:pStyle w:val="TableParagraph"/>
              <w:ind w:left="80"/>
              <w:rPr>
                <w:b/>
                <w:sz w:val="18"/>
              </w:rPr>
            </w:pPr>
            <w:r>
              <w:rPr>
                <w:b/>
                <w:color w:val="FFFFFF"/>
                <w:w w:val="90"/>
                <w:sz w:val="18"/>
              </w:rPr>
              <w:t>Focus</w:t>
            </w:r>
            <w:r>
              <w:rPr>
                <w:b/>
                <w:color w:val="FFFFFF"/>
                <w:spacing w:val="8"/>
                <w:sz w:val="18"/>
              </w:rPr>
              <w:t> </w:t>
            </w:r>
            <w:r>
              <w:rPr>
                <w:b/>
                <w:color w:val="FFFFFF"/>
                <w:spacing w:val="-4"/>
                <w:sz w:val="18"/>
              </w:rPr>
              <w:t>Area</w:t>
            </w:r>
          </w:p>
        </w:tc>
        <w:tc>
          <w:tcPr>
            <w:tcW w:w="1268" w:type="dxa"/>
            <w:tcBorders>
              <w:left w:val="single" w:sz="4" w:space="0" w:color="FFFFFF"/>
              <w:right w:val="single" w:sz="4" w:space="0" w:color="FFFFFF"/>
            </w:tcBorders>
            <w:shd w:val="clear" w:color="auto" w:fill="A7A9AC"/>
          </w:tcPr>
          <w:p>
            <w:pPr>
              <w:pStyle w:val="TableParagraph"/>
              <w:spacing w:before="84"/>
              <w:rPr>
                <w:b/>
                <w:sz w:val="18"/>
              </w:rPr>
            </w:pPr>
          </w:p>
          <w:p>
            <w:pPr>
              <w:pStyle w:val="TableParagraph"/>
              <w:spacing w:line="232" w:lineRule="auto"/>
              <w:ind w:left="79" w:right="239"/>
              <w:rPr>
                <w:b/>
                <w:sz w:val="18"/>
              </w:rPr>
            </w:pPr>
            <w:r>
              <w:rPr>
                <w:b/>
                <w:color w:val="FFFFFF"/>
                <w:spacing w:val="-6"/>
                <w:sz w:val="18"/>
              </w:rPr>
              <w:t>Goal</w:t>
            </w:r>
            <w:r>
              <w:rPr>
                <w:b/>
                <w:color w:val="FFFFFF"/>
                <w:spacing w:val="-7"/>
                <w:sz w:val="18"/>
              </w:rPr>
              <w:t> </w:t>
            </w:r>
            <w:r>
              <w:rPr>
                <w:b/>
                <w:color w:val="FFFFFF"/>
                <w:spacing w:val="-6"/>
                <w:sz w:val="18"/>
              </w:rPr>
              <w:t>Focus </w:t>
            </w:r>
            <w:r>
              <w:rPr>
                <w:b/>
                <w:color w:val="FFFFFF"/>
                <w:spacing w:val="-4"/>
                <w:sz w:val="18"/>
              </w:rPr>
              <w:t>Area</w:t>
            </w:r>
          </w:p>
        </w:tc>
        <w:tc>
          <w:tcPr>
            <w:tcW w:w="1606" w:type="dxa"/>
            <w:tcBorders>
              <w:left w:val="single" w:sz="4" w:space="0" w:color="FFFFFF"/>
              <w:right w:val="single" w:sz="4" w:space="0" w:color="FFFFFF"/>
            </w:tcBorders>
            <w:shd w:val="clear" w:color="auto" w:fill="A7A9AC"/>
          </w:tcPr>
          <w:p>
            <w:pPr>
              <w:pStyle w:val="TableParagraph"/>
              <w:spacing w:before="179"/>
              <w:rPr>
                <w:b/>
                <w:sz w:val="18"/>
              </w:rPr>
            </w:pPr>
          </w:p>
          <w:p>
            <w:pPr>
              <w:pStyle w:val="TableParagraph"/>
              <w:ind w:left="78"/>
              <w:rPr>
                <w:b/>
                <w:sz w:val="18"/>
              </w:rPr>
            </w:pPr>
            <w:r>
              <w:rPr>
                <w:b/>
                <w:color w:val="FFFFFF"/>
                <w:spacing w:val="-2"/>
                <w:sz w:val="18"/>
              </w:rPr>
              <w:t>Objectives</w:t>
            </w:r>
          </w:p>
        </w:tc>
        <w:tc>
          <w:tcPr>
            <w:tcW w:w="1066" w:type="dxa"/>
            <w:tcBorders>
              <w:left w:val="single" w:sz="4" w:space="0" w:color="FFFFFF"/>
              <w:right w:val="single" w:sz="4" w:space="0" w:color="FFFFFF"/>
            </w:tcBorders>
            <w:shd w:val="clear" w:color="auto" w:fill="A7A9AC"/>
          </w:tcPr>
          <w:p>
            <w:pPr>
              <w:pStyle w:val="TableParagraph"/>
              <w:spacing w:before="179"/>
              <w:rPr>
                <w:b/>
                <w:sz w:val="18"/>
              </w:rPr>
            </w:pPr>
          </w:p>
          <w:p>
            <w:pPr>
              <w:pStyle w:val="TableParagraph"/>
              <w:ind w:left="78"/>
              <w:rPr>
                <w:b/>
                <w:sz w:val="18"/>
              </w:rPr>
            </w:pPr>
            <w:r>
              <w:rPr>
                <w:b/>
                <w:color w:val="FFFFFF"/>
                <w:spacing w:val="-2"/>
                <w:sz w:val="18"/>
              </w:rPr>
              <w:t>Disparities</w:t>
            </w:r>
          </w:p>
        </w:tc>
        <w:tc>
          <w:tcPr>
            <w:tcW w:w="1937" w:type="dxa"/>
            <w:tcBorders>
              <w:left w:val="single" w:sz="4" w:space="0" w:color="FFFFFF"/>
              <w:right w:val="single" w:sz="4" w:space="0" w:color="FFFFFF"/>
            </w:tcBorders>
            <w:shd w:val="clear" w:color="auto" w:fill="A7A9AC"/>
          </w:tcPr>
          <w:p>
            <w:pPr>
              <w:pStyle w:val="TableParagraph"/>
              <w:spacing w:before="179"/>
              <w:rPr>
                <w:b/>
                <w:sz w:val="18"/>
              </w:rPr>
            </w:pPr>
          </w:p>
          <w:p>
            <w:pPr>
              <w:pStyle w:val="TableParagraph"/>
              <w:ind w:left="78"/>
              <w:rPr>
                <w:b/>
                <w:sz w:val="18"/>
              </w:rPr>
            </w:pPr>
            <w:r>
              <w:rPr>
                <w:b/>
                <w:color w:val="FFFFFF"/>
                <w:spacing w:val="-2"/>
                <w:sz w:val="18"/>
              </w:rPr>
              <w:t>Interventions</w:t>
            </w:r>
          </w:p>
        </w:tc>
        <w:tc>
          <w:tcPr>
            <w:tcW w:w="5897" w:type="dxa"/>
            <w:tcBorders>
              <w:left w:val="single" w:sz="4" w:space="0" w:color="FFFFFF"/>
              <w:right w:val="single" w:sz="4" w:space="0" w:color="FFFFFF"/>
            </w:tcBorders>
            <w:shd w:val="clear" w:color="auto" w:fill="A7A9AC"/>
          </w:tcPr>
          <w:p>
            <w:pPr>
              <w:pStyle w:val="TableParagraph"/>
              <w:spacing w:line="203" w:lineRule="exact" w:before="186"/>
              <w:ind w:left="3907"/>
              <w:rPr>
                <w:b/>
                <w:sz w:val="18"/>
              </w:rPr>
            </w:pPr>
            <w:r>
              <w:rPr>
                <w:b/>
                <w:color w:val="FFFFFF"/>
                <w:sz w:val="18"/>
              </w:rPr>
              <w:t>Projected</w:t>
            </w:r>
            <w:r>
              <w:rPr>
                <w:b/>
                <w:color w:val="FFFFFF"/>
                <w:spacing w:val="-13"/>
                <w:sz w:val="18"/>
              </w:rPr>
              <w:t> </w:t>
            </w:r>
            <w:r>
              <w:rPr>
                <w:b/>
                <w:color w:val="FFFFFF"/>
                <w:spacing w:val="-5"/>
                <w:sz w:val="18"/>
              </w:rPr>
              <w:t>(or</w:t>
            </w:r>
          </w:p>
          <w:p>
            <w:pPr>
              <w:pStyle w:val="TableParagraph"/>
              <w:tabs>
                <w:tab w:pos="3907" w:val="left" w:leader="none"/>
              </w:tabs>
              <w:spacing w:line="200" w:lineRule="exact"/>
              <w:ind w:left="87"/>
              <w:rPr>
                <w:b/>
                <w:sz w:val="18"/>
              </w:rPr>
            </w:pPr>
            <w:r>
              <w:rPr>
                <w:b/>
                <w:color w:val="FFFFFF"/>
                <w:sz w:val="18"/>
              </w:rPr>
              <w:t>Family</w:t>
            </w:r>
            <w:r>
              <w:rPr>
                <w:b/>
                <w:color w:val="FFFFFF"/>
                <w:spacing w:val="-11"/>
                <w:sz w:val="18"/>
              </w:rPr>
              <w:t> </w:t>
            </w:r>
            <w:r>
              <w:rPr>
                <w:b/>
                <w:color w:val="FFFFFF"/>
                <w:sz w:val="18"/>
              </w:rPr>
              <w:t>of</w:t>
            </w:r>
            <w:r>
              <w:rPr>
                <w:b/>
                <w:color w:val="FFFFFF"/>
                <w:spacing w:val="-10"/>
                <w:sz w:val="18"/>
              </w:rPr>
              <w:t> </w:t>
            </w:r>
            <w:r>
              <w:rPr>
                <w:b/>
                <w:color w:val="FFFFFF"/>
                <w:spacing w:val="-2"/>
                <w:sz w:val="18"/>
              </w:rPr>
              <w:t>Measures</w:t>
            </w:r>
            <w:r>
              <w:rPr>
                <w:b/>
                <w:color w:val="FFFFFF"/>
                <w:sz w:val="18"/>
              </w:rPr>
              <w:tab/>
            </w:r>
            <w:r>
              <w:rPr>
                <w:b/>
                <w:color w:val="FFFFFF"/>
                <w:spacing w:val="-2"/>
                <w:sz w:val="18"/>
              </w:rPr>
              <w:t>completed)</w:t>
            </w:r>
          </w:p>
          <w:p>
            <w:pPr>
              <w:pStyle w:val="TableParagraph"/>
              <w:spacing w:line="203" w:lineRule="exact"/>
              <w:ind w:left="3907"/>
              <w:rPr>
                <w:b/>
                <w:sz w:val="18"/>
              </w:rPr>
            </w:pPr>
            <w:r>
              <w:rPr>
                <w:b/>
                <w:color w:val="FFFFFF"/>
                <w:sz w:val="18"/>
              </w:rPr>
              <w:t>Year</w:t>
            </w:r>
            <w:r>
              <w:rPr>
                <w:b/>
                <w:color w:val="FFFFFF"/>
                <w:spacing w:val="-8"/>
                <w:sz w:val="18"/>
              </w:rPr>
              <w:t> </w:t>
            </w:r>
            <w:r>
              <w:rPr>
                <w:b/>
                <w:color w:val="FFFFFF"/>
                <w:sz w:val="18"/>
              </w:rPr>
              <w:t>1</w:t>
            </w:r>
            <w:r>
              <w:rPr>
                <w:b/>
                <w:color w:val="FFFFFF"/>
                <w:spacing w:val="-7"/>
                <w:sz w:val="18"/>
              </w:rPr>
              <w:t> </w:t>
            </w:r>
            <w:r>
              <w:rPr>
                <w:b/>
                <w:color w:val="FFFFFF"/>
                <w:spacing w:val="-2"/>
                <w:sz w:val="18"/>
              </w:rPr>
              <w:t>Intervention</w:t>
            </w:r>
          </w:p>
        </w:tc>
        <w:tc>
          <w:tcPr>
            <w:tcW w:w="2189" w:type="dxa"/>
            <w:tcBorders>
              <w:left w:val="single" w:sz="4" w:space="0" w:color="FFFFFF"/>
              <w:right w:val="single" w:sz="4" w:space="0" w:color="FFFFFF"/>
            </w:tcBorders>
            <w:shd w:val="clear" w:color="auto" w:fill="A7A9AC"/>
          </w:tcPr>
          <w:p>
            <w:pPr>
              <w:pStyle w:val="TableParagraph"/>
              <w:spacing w:before="179"/>
              <w:rPr>
                <w:b/>
                <w:sz w:val="18"/>
              </w:rPr>
            </w:pPr>
          </w:p>
          <w:p>
            <w:pPr>
              <w:pStyle w:val="TableParagraph"/>
              <w:ind w:left="77"/>
              <w:rPr>
                <w:b/>
                <w:sz w:val="18"/>
              </w:rPr>
            </w:pPr>
            <w:r>
              <w:rPr>
                <w:b/>
                <w:color w:val="FFFFFF"/>
                <w:spacing w:val="-2"/>
                <w:sz w:val="18"/>
              </w:rPr>
              <w:t>Projected</w:t>
            </w:r>
            <w:r>
              <w:rPr>
                <w:b/>
                <w:color w:val="FFFFFF"/>
                <w:spacing w:val="-6"/>
                <w:sz w:val="18"/>
              </w:rPr>
              <w:t> </w:t>
            </w:r>
            <w:r>
              <w:rPr>
                <w:b/>
                <w:color w:val="FFFFFF"/>
                <w:spacing w:val="-2"/>
                <w:sz w:val="18"/>
              </w:rPr>
              <w:t>Year</w:t>
            </w:r>
            <w:r>
              <w:rPr>
                <w:b/>
                <w:color w:val="FFFFFF"/>
                <w:spacing w:val="-5"/>
                <w:sz w:val="18"/>
              </w:rPr>
              <w:t> </w:t>
            </w:r>
            <w:r>
              <w:rPr>
                <w:b/>
                <w:color w:val="FFFFFF"/>
                <w:spacing w:val="-12"/>
                <w:sz w:val="18"/>
              </w:rPr>
              <w:t>2</w:t>
            </w:r>
          </w:p>
        </w:tc>
        <w:tc>
          <w:tcPr>
            <w:tcW w:w="2333" w:type="dxa"/>
            <w:tcBorders>
              <w:left w:val="single" w:sz="4" w:space="0" w:color="FFFFFF"/>
              <w:right w:val="single" w:sz="4" w:space="0" w:color="FFFFFF"/>
            </w:tcBorders>
            <w:shd w:val="clear" w:color="auto" w:fill="A7A9AC"/>
          </w:tcPr>
          <w:p>
            <w:pPr>
              <w:pStyle w:val="TableParagraph"/>
              <w:spacing w:before="83"/>
              <w:rPr>
                <w:b/>
                <w:sz w:val="18"/>
              </w:rPr>
            </w:pPr>
          </w:p>
          <w:p>
            <w:pPr>
              <w:pStyle w:val="TableParagraph"/>
              <w:spacing w:line="232" w:lineRule="auto" w:before="1"/>
              <w:ind w:left="77" w:right="41"/>
              <w:rPr>
                <w:b/>
                <w:sz w:val="18"/>
              </w:rPr>
            </w:pPr>
            <w:r>
              <w:rPr>
                <w:b/>
                <w:color w:val="FFFFFF"/>
                <w:spacing w:val="-2"/>
                <w:sz w:val="18"/>
              </w:rPr>
              <w:t>Projected</w:t>
            </w:r>
            <w:r>
              <w:rPr>
                <w:b/>
                <w:color w:val="FFFFFF"/>
                <w:spacing w:val="-13"/>
                <w:sz w:val="18"/>
              </w:rPr>
              <w:t> </w:t>
            </w:r>
            <w:r>
              <w:rPr>
                <w:b/>
                <w:color w:val="FFFFFF"/>
                <w:spacing w:val="-2"/>
                <w:sz w:val="18"/>
              </w:rPr>
              <w:t>Year</w:t>
            </w:r>
            <w:r>
              <w:rPr>
                <w:b/>
                <w:color w:val="FFFFFF"/>
                <w:spacing w:val="-10"/>
                <w:sz w:val="18"/>
              </w:rPr>
              <w:t> </w:t>
            </w:r>
            <w:r>
              <w:rPr>
                <w:b/>
                <w:color w:val="FFFFFF"/>
                <w:spacing w:val="-2"/>
                <w:sz w:val="18"/>
              </w:rPr>
              <w:t>3 Interventions</w:t>
            </w:r>
          </w:p>
        </w:tc>
        <w:tc>
          <w:tcPr>
            <w:tcW w:w="1498" w:type="dxa"/>
            <w:tcBorders>
              <w:left w:val="single" w:sz="4" w:space="0" w:color="FFFFFF"/>
            </w:tcBorders>
            <w:shd w:val="clear" w:color="auto" w:fill="A7A9AC"/>
          </w:tcPr>
          <w:p>
            <w:pPr>
              <w:pStyle w:val="TableParagraph"/>
              <w:spacing w:before="83"/>
              <w:rPr>
                <w:b/>
                <w:sz w:val="18"/>
              </w:rPr>
            </w:pPr>
          </w:p>
          <w:p>
            <w:pPr>
              <w:pStyle w:val="TableParagraph"/>
              <w:spacing w:line="232" w:lineRule="auto" w:before="1"/>
              <w:ind w:left="77"/>
              <w:rPr>
                <w:b/>
                <w:sz w:val="18"/>
              </w:rPr>
            </w:pPr>
            <w:r>
              <w:rPr>
                <w:b/>
                <w:color w:val="FFFFFF"/>
                <w:spacing w:val="-2"/>
                <w:sz w:val="18"/>
              </w:rPr>
              <w:t>Implementation Partner</w:t>
            </w:r>
          </w:p>
        </w:tc>
        <w:tc>
          <w:tcPr>
            <w:tcW w:w="2069" w:type="dxa"/>
            <w:shd w:val="clear" w:color="auto" w:fill="A7A9AC"/>
          </w:tcPr>
          <w:p>
            <w:pPr>
              <w:pStyle w:val="TableParagraph"/>
              <w:spacing w:before="83"/>
              <w:rPr>
                <w:b/>
                <w:sz w:val="18"/>
              </w:rPr>
            </w:pPr>
          </w:p>
          <w:p>
            <w:pPr>
              <w:pStyle w:val="TableParagraph"/>
              <w:spacing w:line="232" w:lineRule="auto" w:before="1"/>
              <w:ind w:left="76" w:right="377"/>
              <w:rPr>
                <w:b/>
                <w:sz w:val="18"/>
              </w:rPr>
            </w:pPr>
            <w:r>
              <w:rPr>
                <w:b/>
                <w:color w:val="FFFFFF"/>
                <w:spacing w:val="-4"/>
                <w:sz w:val="18"/>
              </w:rPr>
              <w:t>Partner</w:t>
            </w:r>
            <w:r>
              <w:rPr>
                <w:b/>
                <w:color w:val="FFFFFF"/>
                <w:spacing w:val="-11"/>
                <w:sz w:val="18"/>
              </w:rPr>
              <w:t> </w:t>
            </w:r>
            <w:r>
              <w:rPr>
                <w:b/>
                <w:color w:val="FFFFFF"/>
                <w:spacing w:val="-4"/>
                <w:sz w:val="18"/>
              </w:rPr>
              <w:t>Role(s)</w:t>
            </w:r>
            <w:r>
              <w:rPr>
                <w:b/>
                <w:color w:val="FFFFFF"/>
                <w:spacing w:val="-8"/>
                <w:sz w:val="18"/>
              </w:rPr>
              <w:t> </w:t>
            </w:r>
            <w:r>
              <w:rPr>
                <w:b/>
                <w:color w:val="FFFFFF"/>
                <w:spacing w:val="-4"/>
                <w:sz w:val="18"/>
              </w:rPr>
              <w:t>and </w:t>
            </w:r>
            <w:r>
              <w:rPr>
                <w:b/>
                <w:color w:val="FFFFFF"/>
                <w:spacing w:val="-2"/>
                <w:sz w:val="18"/>
              </w:rPr>
              <w:t>Resources</w:t>
            </w:r>
          </w:p>
        </w:tc>
      </w:tr>
      <w:tr>
        <w:trPr>
          <w:trHeight w:val="5675" w:hRule="atLeast"/>
        </w:trPr>
        <w:tc>
          <w:tcPr>
            <w:tcW w:w="1094" w:type="dxa"/>
            <w:vMerge w:val="restart"/>
            <w:shd w:val="clear" w:color="auto" w:fill="E6E7E8"/>
          </w:tcPr>
          <w:p>
            <w:pPr>
              <w:pStyle w:val="TableParagraph"/>
              <w:spacing w:line="232" w:lineRule="auto" w:before="101"/>
              <w:ind w:left="89"/>
              <w:rPr>
                <w:sz w:val="18"/>
              </w:rPr>
            </w:pPr>
            <w:r>
              <w:rPr>
                <w:color w:val="105C84"/>
                <w:spacing w:val="-2"/>
                <w:sz w:val="18"/>
              </w:rPr>
              <w:t>Promote Healthy Women, </w:t>
            </w:r>
            <w:r>
              <w:rPr>
                <w:color w:val="105C84"/>
                <w:sz w:val="18"/>
              </w:rPr>
              <w:t>Infants</w:t>
            </w:r>
            <w:r>
              <w:rPr>
                <w:color w:val="105C84"/>
                <w:spacing w:val="-13"/>
                <w:sz w:val="18"/>
              </w:rPr>
              <w:t> </w:t>
            </w:r>
            <w:r>
              <w:rPr>
                <w:color w:val="105C84"/>
                <w:sz w:val="18"/>
              </w:rPr>
              <w:t>and </w:t>
            </w:r>
            <w:r>
              <w:rPr>
                <w:color w:val="105C84"/>
                <w:spacing w:val="-2"/>
                <w:sz w:val="18"/>
              </w:rPr>
              <w:t>Children</w:t>
            </w:r>
          </w:p>
        </w:tc>
        <w:tc>
          <w:tcPr>
            <w:tcW w:w="1354" w:type="dxa"/>
            <w:vMerge w:val="restart"/>
          </w:tcPr>
          <w:p>
            <w:pPr>
              <w:pStyle w:val="TableParagraph"/>
              <w:spacing w:line="232" w:lineRule="auto" w:before="101"/>
              <w:ind w:left="89" w:right="204"/>
              <w:rPr>
                <w:sz w:val="18"/>
              </w:rPr>
            </w:pPr>
            <w:r>
              <w:rPr>
                <w:color w:val="105C84"/>
                <w:sz w:val="18"/>
              </w:rPr>
              <w:t>Focus Area 3: Child and </w:t>
            </w:r>
            <w:r>
              <w:rPr>
                <w:color w:val="105C84"/>
                <w:spacing w:val="-2"/>
                <w:sz w:val="18"/>
              </w:rPr>
              <w:t>Adolescent Health, including </w:t>
            </w:r>
            <w:r>
              <w:rPr>
                <w:color w:val="105C84"/>
                <w:sz w:val="18"/>
              </w:rPr>
              <w:t>children</w:t>
            </w:r>
            <w:r>
              <w:rPr>
                <w:color w:val="105C84"/>
                <w:spacing w:val="-13"/>
                <w:sz w:val="18"/>
              </w:rPr>
              <w:t> </w:t>
            </w:r>
            <w:r>
              <w:rPr>
                <w:color w:val="105C84"/>
                <w:sz w:val="18"/>
              </w:rPr>
              <w:t>with</w:t>
            </w:r>
          </w:p>
          <w:p>
            <w:pPr>
              <w:pStyle w:val="TableParagraph"/>
              <w:spacing w:line="232" w:lineRule="auto"/>
              <w:ind w:left="89" w:right="147"/>
              <w:rPr>
                <w:sz w:val="18"/>
              </w:rPr>
            </w:pPr>
            <w:r>
              <w:rPr>
                <w:color w:val="105C84"/>
                <w:sz w:val="18"/>
              </w:rPr>
              <w:t>special</w:t>
            </w:r>
            <w:r>
              <w:rPr>
                <w:color w:val="105C84"/>
                <w:spacing w:val="-13"/>
                <w:sz w:val="18"/>
              </w:rPr>
              <w:t> </w:t>
            </w:r>
            <w:r>
              <w:rPr>
                <w:color w:val="105C84"/>
                <w:sz w:val="18"/>
              </w:rPr>
              <w:t>health care needs </w:t>
            </w:r>
            <w:r>
              <w:rPr>
                <w:color w:val="105C84"/>
                <w:spacing w:val="-2"/>
                <w:sz w:val="18"/>
              </w:rPr>
              <w:t>(CSHCN)</w:t>
            </w:r>
          </w:p>
        </w:tc>
        <w:tc>
          <w:tcPr>
            <w:tcW w:w="1268" w:type="dxa"/>
            <w:vMerge w:val="restart"/>
          </w:tcPr>
          <w:p>
            <w:pPr>
              <w:pStyle w:val="TableParagraph"/>
              <w:spacing w:line="232" w:lineRule="auto" w:before="101"/>
              <w:ind w:left="89" w:right="99"/>
              <w:rPr>
                <w:sz w:val="18"/>
              </w:rPr>
            </w:pPr>
            <w:r>
              <w:rPr>
                <w:color w:val="105C84"/>
                <w:sz w:val="18"/>
              </w:rPr>
              <w:t>Goal 3.1: Support and </w:t>
            </w:r>
            <w:r>
              <w:rPr>
                <w:color w:val="105C84"/>
                <w:spacing w:val="-2"/>
                <w:sz w:val="18"/>
              </w:rPr>
              <w:t>enhance </w:t>
            </w:r>
            <w:r>
              <w:rPr>
                <w:color w:val="105C84"/>
                <w:sz w:val="18"/>
              </w:rPr>
              <w:t>children and </w:t>
            </w:r>
            <w:r>
              <w:rPr>
                <w:color w:val="105C84"/>
                <w:spacing w:val="-2"/>
                <w:sz w:val="18"/>
              </w:rPr>
              <w:t>adolscents' social-emotional development </w:t>
            </w:r>
            <w:r>
              <w:rPr>
                <w:color w:val="105C84"/>
                <w:spacing w:val="-4"/>
                <w:sz w:val="18"/>
              </w:rPr>
              <w:t>and </w:t>
            </w:r>
            <w:r>
              <w:rPr>
                <w:color w:val="105C84"/>
                <w:spacing w:val="-2"/>
                <w:sz w:val="18"/>
              </w:rPr>
              <w:t>relationships</w:t>
            </w:r>
          </w:p>
        </w:tc>
        <w:tc>
          <w:tcPr>
            <w:tcW w:w="1606" w:type="dxa"/>
            <w:vMerge w:val="restart"/>
          </w:tcPr>
          <w:p>
            <w:pPr>
              <w:pStyle w:val="TableParagraph"/>
              <w:spacing w:line="232" w:lineRule="auto" w:before="100"/>
              <w:ind w:left="88" w:right="207"/>
              <w:rPr>
                <w:sz w:val="18"/>
              </w:rPr>
            </w:pPr>
            <w:r>
              <w:rPr>
                <w:color w:val="105C84"/>
                <w:sz w:val="18"/>
              </w:rPr>
              <w:t>3.1.2: Increase the percentage of children and </w:t>
            </w:r>
            <w:r>
              <w:rPr>
                <w:color w:val="105C84"/>
                <w:spacing w:val="-2"/>
                <w:sz w:val="18"/>
              </w:rPr>
              <w:t>adolescents,</w:t>
            </w:r>
            <w:r>
              <w:rPr>
                <w:color w:val="105C84"/>
                <w:spacing w:val="40"/>
                <w:sz w:val="18"/>
              </w:rPr>
              <w:t> </w:t>
            </w:r>
            <w:r>
              <w:rPr>
                <w:color w:val="105C84"/>
                <w:sz w:val="18"/>
              </w:rPr>
              <w:t>age 3-17 years, with a mental/ </w:t>
            </w:r>
            <w:r>
              <w:rPr>
                <w:color w:val="105C84"/>
                <w:spacing w:val="-2"/>
                <w:sz w:val="18"/>
              </w:rPr>
              <w:t>behavioral </w:t>
            </w:r>
            <w:r>
              <w:rPr>
                <w:color w:val="105C84"/>
                <w:sz w:val="18"/>
              </w:rPr>
              <w:t>health </w:t>
            </w:r>
            <w:r>
              <w:rPr>
                <w:color w:val="105C84"/>
                <w:sz w:val="18"/>
              </w:rPr>
              <w:t>condition</w:t>
            </w:r>
            <w:r>
              <w:rPr>
                <w:color w:val="105C84"/>
                <w:sz w:val="18"/>
              </w:rPr>
              <w:t> who received treatment or counseling by 10% to 49.8%</w:t>
            </w:r>
          </w:p>
        </w:tc>
        <w:tc>
          <w:tcPr>
            <w:tcW w:w="1066" w:type="dxa"/>
            <w:vMerge w:val="restart"/>
          </w:tcPr>
          <w:p>
            <w:pPr>
              <w:pStyle w:val="TableParagraph"/>
              <w:spacing w:line="203" w:lineRule="exact" w:before="95"/>
              <w:ind w:left="88"/>
              <w:rPr>
                <w:sz w:val="18"/>
              </w:rPr>
            </w:pPr>
            <w:r>
              <w:rPr>
                <w:color w:val="105C84"/>
                <w:sz w:val="18"/>
              </w:rPr>
              <w:t>Low</w:t>
            </w:r>
            <w:r>
              <w:rPr>
                <w:color w:val="105C84"/>
                <w:spacing w:val="-11"/>
                <w:sz w:val="18"/>
              </w:rPr>
              <w:t> </w:t>
            </w:r>
            <w:r>
              <w:rPr>
                <w:color w:val="105C84"/>
                <w:spacing w:val="-4"/>
                <w:sz w:val="18"/>
              </w:rPr>
              <w:t>SES,</w:t>
            </w:r>
          </w:p>
          <w:p>
            <w:pPr>
              <w:pStyle w:val="TableParagraph"/>
              <w:spacing w:line="203" w:lineRule="exact"/>
              <w:ind w:left="88"/>
              <w:rPr>
                <w:sz w:val="18"/>
              </w:rPr>
            </w:pPr>
            <w:r>
              <w:rPr>
                <w:color w:val="105C84"/>
                <w:spacing w:val="-2"/>
                <w:sz w:val="18"/>
              </w:rPr>
              <w:t>women</w:t>
            </w:r>
          </w:p>
        </w:tc>
        <w:tc>
          <w:tcPr>
            <w:tcW w:w="1937" w:type="dxa"/>
            <w:vMerge w:val="restart"/>
          </w:tcPr>
          <w:p>
            <w:pPr>
              <w:pStyle w:val="TableParagraph"/>
              <w:spacing w:line="232" w:lineRule="auto" w:before="100"/>
              <w:ind w:left="87" w:right="139"/>
              <w:rPr>
                <w:sz w:val="18"/>
              </w:rPr>
            </w:pPr>
            <w:r>
              <w:rPr>
                <w:color w:val="105C84"/>
                <w:sz w:val="18"/>
              </w:rPr>
              <w:t>3.1.1: Increase </w:t>
            </w:r>
            <w:r>
              <w:rPr>
                <w:color w:val="105C84"/>
                <w:spacing w:val="-2"/>
                <w:sz w:val="18"/>
              </w:rPr>
              <w:t>awareness, </w:t>
            </w:r>
            <w:r>
              <w:rPr>
                <w:color w:val="105C84"/>
                <w:sz w:val="18"/>
              </w:rPr>
              <w:t>knowledge and skills of providers serving children, youth and families related to </w:t>
            </w:r>
            <w:r>
              <w:rPr>
                <w:color w:val="105C84"/>
                <w:spacing w:val="-2"/>
                <w:sz w:val="18"/>
              </w:rPr>
              <w:t>social-emotional development, </w:t>
            </w:r>
            <w:r>
              <w:rPr>
                <w:color w:val="105C84"/>
                <w:sz w:val="18"/>
              </w:rPr>
              <w:t>adverse childhood experiences</w:t>
            </w:r>
            <w:r>
              <w:rPr>
                <w:color w:val="105C84"/>
                <w:spacing w:val="-13"/>
                <w:sz w:val="18"/>
              </w:rPr>
              <w:t> </w:t>
            </w:r>
            <w:r>
              <w:rPr>
                <w:color w:val="105C84"/>
                <w:sz w:val="18"/>
              </w:rPr>
              <w:t>(ACES), and</w:t>
            </w:r>
            <w:r>
              <w:rPr>
                <w:color w:val="105C84"/>
                <w:spacing w:val="-12"/>
                <w:sz w:val="18"/>
              </w:rPr>
              <w:t> </w:t>
            </w:r>
            <w:r>
              <w:rPr>
                <w:color w:val="105C84"/>
                <w:sz w:val="18"/>
              </w:rPr>
              <w:t>trauma-</w:t>
            </w:r>
            <w:r>
              <w:rPr>
                <w:color w:val="105C84"/>
                <w:sz w:val="18"/>
              </w:rPr>
              <w:t>informed</w:t>
            </w:r>
            <w:r>
              <w:rPr>
                <w:color w:val="105C84"/>
                <w:sz w:val="18"/>
              </w:rPr>
              <w:t> </w:t>
            </w:r>
            <w:r>
              <w:rPr>
                <w:color w:val="105C84"/>
                <w:spacing w:val="-4"/>
                <w:sz w:val="18"/>
              </w:rPr>
              <w:t>care</w:t>
            </w:r>
          </w:p>
        </w:tc>
        <w:tc>
          <w:tcPr>
            <w:tcW w:w="5897" w:type="dxa"/>
          </w:tcPr>
          <w:p>
            <w:pPr>
              <w:pStyle w:val="TableParagraph"/>
              <w:tabs>
                <w:tab w:pos="3907" w:val="left" w:leader="none"/>
              </w:tabs>
              <w:spacing w:line="203" w:lineRule="exact" w:before="95"/>
              <w:ind w:left="87"/>
              <w:rPr>
                <w:sz w:val="18"/>
              </w:rPr>
            </w:pPr>
            <w:r>
              <w:rPr>
                <w:color w:val="105C84"/>
                <w:spacing w:val="-4"/>
                <w:sz w:val="18"/>
              </w:rPr>
              <w:t>#</w:t>
            </w:r>
            <w:r>
              <w:rPr>
                <w:color w:val="105C84"/>
                <w:spacing w:val="-8"/>
                <w:sz w:val="18"/>
              </w:rPr>
              <w:t> </w:t>
            </w:r>
            <w:r>
              <w:rPr>
                <w:color w:val="105C84"/>
                <w:spacing w:val="-4"/>
                <w:sz w:val="18"/>
              </w:rPr>
              <w:t>GOTR</w:t>
            </w:r>
            <w:r>
              <w:rPr>
                <w:color w:val="105C84"/>
                <w:spacing w:val="-8"/>
                <w:sz w:val="18"/>
              </w:rPr>
              <w:t> </w:t>
            </w:r>
            <w:r>
              <w:rPr>
                <w:color w:val="105C84"/>
                <w:spacing w:val="-4"/>
                <w:sz w:val="18"/>
              </w:rPr>
              <w:t>coaches</w:t>
            </w:r>
            <w:r>
              <w:rPr>
                <w:color w:val="105C84"/>
                <w:sz w:val="18"/>
              </w:rPr>
              <w:tab/>
            </w:r>
            <w:r>
              <w:rPr>
                <w:color w:val="105C84"/>
                <w:spacing w:val="-4"/>
                <w:sz w:val="18"/>
              </w:rPr>
              <w:t>SRHN:</w:t>
            </w:r>
            <w:r>
              <w:rPr>
                <w:color w:val="105C84"/>
                <w:spacing w:val="-8"/>
                <w:sz w:val="18"/>
              </w:rPr>
              <w:t> </w:t>
            </w:r>
            <w:r>
              <w:rPr>
                <w:color w:val="105C84"/>
                <w:spacing w:val="-4"/>
                <w:sz w:val="18"/>
              </w:rPr>
              <w:t>Girls</w:t>
            </w:r>
            <w:r>
              <w:rPr>
                <w:color w:val="105C84"/>
                <w:spacing w:val="-7"/>
                <w:sz w:val="18"/>
              </w:rPr>
              <w:t> </w:t>
            </w:r>
            <w:r>
              <w:rPr>
                <w:color w:val="105C84"/>
                <w:spacing w:val="-5"/>
                <w:sz w:val="18"/>
              </w:rPr>
              <w:t>on</w:t>
            </w:r>
          </w:p>
          <w:p>
            <w:pPr>
              <w:pStyle w:val="TableParagraph"/>
              <w:tabs>
                <w:tab w:pos="3907" w:val="left" w:leader="none"/>
              </w:tabs>
              <w:spacing w:line="200" w:lineRule="exact"/>
              <w:ind w:left="87"/>
              <w:rPr>
                <w:sz w:val="18"/>
              </w:rPr>
            </w:pPr>
            <w:r>
              <w:rPr>
                <w:color w:val="105C84"/>
                <w:spacing w:val="-2"/>
                <w:sz w:val="18"/>
              </w:rPr>
              <w:t>trained</w:t>
            </w:r>
            <w:r>
              <w:rPr>
                <w:color w:val="105C84"/>
                <w:sz w:val="18"/>
              </w:rPr>
              <w:tab/>
            </w:r>
            <w:r>
              <w:rPr>
                <w:color w:val="105C84"/>
                <w:spacing w:val="-6"/>
                <w:sz w:val="18"/>
              </w:rPr>
              <w:t>the</w:t>
            </w:r>
            <w:r>
              <w:rPr>
                <w:color w:val="105C84"/>
                <w:spacing w:val="-4"/>
                <w:sz w:val="18"/>
              </w:rPr>
              <w:t> </w:t>
            </w:r>
            <w:r>
              <w:rPr>
                <w:color w:val="105C84"/>
                <w:spacing w:val="-6"/>
                <w:sz w:val="18"/>
              </w:rPr>
              <w:t>Run</w:t>
            </w:r>
            <w:r>
              <w:rPr>
                <w:color w:val="105C84"/>
                <w:spacing w:val="-3"/>
                <w:sz w:val="18"/>
              </w:rPr>
              <w:t> </w:t>
            </w:r>
            <w:r>
              <w:rPr>
                <w:color w:val="105C84"/>
                <w:spacing w:val="-6"/>
                <w:sz w:val="18"/>
              </w:rPr>
              <w:t>(GOTR)</w:t>
            </w:r>
            <w:r>
              <w:rPr>
                <w:color w:val="105C84"/>
                <w:spacing w:val="-4"/>
                <w:sz w:val="18"/>
              </w:rPr>
              <w:t> </w:t>
            </w:r>
            <w:r>
              <w:rPr>
                <w:color w:val="105C84"/>
                <w:spacing w:val="-6"/>
                <w:sz w:val="18"/>
              </w:rPr>
              <w:t>of</w:t>
            </w:r>
          </w:p>
          <w:p>
            <w:pPr>
              <w:pStyle w:val="TableParagraph"/>
              <w:tabs>
                <w:tab w:pos="3907" w:val="left" w:leader="none"/>
              </w:tabs>
              <w:spacing w:line="245" w:lineRule="exact"/>
              <w:ind w:left="87"/>
              <w:rPr>
                <w:position w:val="9"/>
                <w:sz w:val="18"/>
              </w:rPr>
            </w:pPr>
            <w:r>
              <w:rPr>
                <w:color w:val="105C84"/>
                <w:sz w:val="18"/>
              </w:rPr>
              <w:t>%</w:t>
            </w:r>
            <w:r>
              <w:rPr>
                <w:color w:val="105C84"/>
                <w:spacing w:val="2"/>
                <w:sz w:val="18"/>
              </w:rPr>
              <w:t> </w:t>
            </w:r>
            <w:r>
              <w:rPr>
                <w:color w:val="105C84"/>
                <w:sz w:val="18"/>
              </w:rPr>
              <w:t>indicating</w:t>
            </w:r>
            <w:r>
              <w:rPr>
                <w:color w:val="105C84"/>
                <w:spacing w:val="2"/>
                <w:sz w:val="18"/>
              </w:rPr>
              <w:t> </w:t>
            </w:r>
            <w:r>
              <w:rPr>
                <w:color w:val="105C84"/>
                <w:spacing w:val="-2"/>
                <w:sz w:val="18"/>
              </w:rPr>
              <w:t>increased</w:t>
            </w:r>
            <w:r>
              <w:rPr>
                <w:color w:val="105C84"/>
                <w:sz w:val="18"/>
              </w:rPr>
              <w:tab/>
            </w:r>
            <w:r>
              <w:rPr>
                <w:color w:val="105C84"/>
                <w:position w:val="9"/>
                <w:sz w:val="18"/>
              </w:rPr>
              <w:t>the</w:t>
            </w:r>
            <w:r>
              <w:rPr>
                <w:color w:val="105C84"/>
                <w:spacing w:val="-4"/>
                <w:position w:val="9"/>
                <w:sz w:val="18"/>
              </w:rPr>
              <w:t> </w:t>
            </w:r>
            <w:r>
              <w:rPr>
                <w:color w:val="105C84"/>
                <w:position w:val="9"/>
                <w:sz w:val="18"/>
              </w:rPr>
              <w:t>Southern</w:t>
            </w:r>
            <w:r>
              <w:rPr>
                <w:color w:val="105C84"/>
                <w:spacing w:val="-4"/>
                <w:position w:val="9"/>
                <w:sz w:val="18"/>
              </w:rPr>
              <w:t> Tier</w:t>
            </w:r>
          </w:p>
          <w:p>
            <w:pPr>
              <w:pStyle w:val="TableParagraph"/>
              <w:tabs>
                <w:tab w:pos="3907" w:val="left" w:leader="none"/>
              </w:tabs>
              <w:spacing w:line="148" w:lineRule="auto"/>
              <w:ind w:left="87"/>
              <w:rPr>
                <w:sz w:val="18"/>
              </w:rPr>
            </w:pPr>
            <w:r>
              <w:rPr>
                <w:color w:val="105C84"/>
                <w:position w:val="-8"/>
                <w:sz w:val="18"/>
              </w:rPr>
              <w:t>knowledge</w:t>
            </w:r>
            <w:r>
              <w:rPr>
                <w:color w:val="105C84"/>
                <w:spacing w:val="5"/>
                <w:position w:val="-8"/>
                <w:sz w:val="18"/>
              </w:rPr>
              <w:t> </w:t>
            </w:r>
            <w:r>
              <w:rPr>
                <w:color w:val="105C84"/>
                <w:position w:val="-8"/>
                <w:sz w:val="18"/>
              </w:rPr>
              <w:t>in</w:t>
            </w:r>
            <w:r>
              <w:rPr>
                <w:color w:val="105C84"/>
                <w:spacing w:val="5"/>
                <w:position w:val="-8"/>
                <w:sz w:val="18"/>
              </w:rPr>
              <w:t> </w:t>
            </w:r>
            <w:r>
              <w:rPr>
                <w:color w:val="105C84"/>
                <w:position w:val="-8"/>
                <w:sz w:val="18"/>
              </w:rPr>
              <w:t>the</w:t>
            </w:r>
            <w:r>
              <w:rPr>
                <w:color w:val="105C84"/>
                <w:spacing w:val="5"/>
                <w:position w:val="-8"/>
                <w:sz w:val="18"/>
              </w:rPr>
              <w:t> </w:t>
            </w:r>
            <w:r>
              <w:rPr>
                <w:color w:val="105C84"/>
                <w:spacing w:val="-2"/>
                <w:position w:val="-8"/>
                <w:sz w:val="18"/>
              </w:rPr>
              <w:t>topic</w:t>
            </w:r>
            <w:r>
              <w:rPr>
                <w:color w:val="105C84"/>
                <w:position w:val="-8"/>
                <w:sz w:val="18"/>
              </w:rPr>
              <w:tab/>
            </w:r>
            <w:r>
              <w:rPr>
                <w:color w:val="105C84"/>
                <w:sz w:val="18"/>
              </w:rPr>
              <w:t>Coaches</w:t>
            </w:r>
            <w:r>
              <w:rPr>
                <w:color w:val="105C84"/>
                <w:spacing w:val="-12"/>
                <w:sz w:val="18"/>
              </w:rPr>
              <w:t> </w:t>
            </w:r>
            <w:r>
              <w:rPr>
                <w:color w:val="105C84"/>
                <w:sz w:val="18"/>
              </w:rPr>
              <w:t>will</w:t>
            </w:r>
            <w:r>
              <w:rPr>
                <w:color w:val="105C84"/>
                <w:spacing w:val="-13"/>
                <w:sz w:val="18"/>
              </w:rPr>
              <w:t> </w:t>
            </w:r>
            <w:r>
              <w:rPr>
                <w:color w:val="105C84"/>
                <w:spacing w:val="-2"/>
                <w:sz w:val="18"/>
              </w:rPr>
              <w:t>complete</w:t>
            </w:r>
          </w:p>
          <w:p>
            <w:pPr>
              <w:pStyle w:val="TableParagraph"/>
              <w:tabs>
                <w:tab w:pos="3907" w:val="left" w:leader="none"/>
              </w:tabs>
              <w:spacing w:line="148" w:lineRule="auto"/>
              <w:ind w:left="87"/>
              <w:rPr>
                <w:sz w:val="18"/>
              </w:rPr>
            </w:pPr>
            <w:r>
              <w:rPr>
                <w:color w:val="105C84"/>
                <w:spacing w:val="-4"/>
                <w:position w:val="-8"/>
                <w:sz w:val="18"/>
              </w:rPr>
              <w:t>area</w:t>
            </w:r>
            <w:r>
              <w:rPr>
                <w:color w:val="105C84"/>
                <w:position w:val="-8"/>
                <w:sz w:val="18"/>
              </w:rPr>
              <w:tab/>
            </w:r>
            <w:r>
              <w:rPr>
                <w:color w:val="105C84"/>
                <w:sz w:val="18"/>
              </w:rPr>
              <w:t>1</w:t>
            </w:r>
            <w:r>
              <w:rPr>
                <w:color w:val="105C84"/>
                <w:spacing w:val="1"/>
                <w:sz w:val="18"/>
              </w:rPr>
              <w:t> </w:t>
            </w:r>
            <w:r>
              <w:rPr>
                <w:color w:val="105C84"/>
                <w:sz w:val="18"/>
              </w:rPr>
              <w:t>training</w:t>
            </w:r>
            <w:r>
              <w:rPr>
                <w:color w:val="105C84"/>
                <w:spacing w:val="1"/>
                <w:sz w:val="18"/>
              </w:rPr>
              <w:t> </w:t>
            </w:r>
            <w:r>
              <w:rPr>
                <w:color w:val="105C84"/>
                <w:spacing w:val="-2"/>
                <w:sz w:val="18"/>
              </w:rPr>
              <w:t>around</w:t>
            </w:r>
          </w:p>
          <w:p>
            <w:pPr>
              <w:pStyle w:val="TableParagraph"/>
              <w:spacing w:line="145" w:lineRule="exact"/>
              <w:ind w:left="3907"/>
              <w:rPr>
                <w:sz w:val="18"/>
              </w:rPr>
            </w:pPr>
            <w:r>
              <w:rPr>
                <w:color w:val="105C84"/>
                <w:sz w:val="18"/>
              </w:rPr>
              <w:t>social-</w:t>
            </w:r>
            <w:r>
              <w:rPr>
                <w:color w:val="105C84"/>
                <w:spacing w:val="-2"/>
                <w:sz w:val="18"/>
              </w:rPr>
              <w:t>emotional</w:t>
            </w:r>
          </w:p>
          <w:p>
            <w:pPr>
              <w:pStyle w:val="TableParagraph"/>
              <w:tabs>
                <w:tab w:pos="3907" w:val="left" w:leader="none"/>
              </w:tabs>
              <w:spacing w:line="200" w:lineRule="exact"/>
              <w:ind w:left="87"/>
              <w:rPr>
                <w:sz w:val="18"/>
              </w:rPr>
            </w:pPr>
            <w:r>
              <w:rPr>
                <w:color w:val="105C84"/>
                <w:spacing w:val="-16"/>
                <w:position w:val="2"/>
                <w:sz w:val="18"/>
              </w:rPr>
              <w:t>%</w:t>
            </w:r>
            <w:r>
              <w:rPr>
                <w:color w:val="105C84"/>
                <w:spacing w:val="-3"/>
                <w:position w:val="2"/>
                <w:sz w:val="18"/>
              </w:rPr>
              <w:t> </w:t>
            </w:r>
            <w:r>
              <w:rPr>
                <w:color w:val="105C84"/>
                <w:spacing w:val="-2"/>
                <w:position w:val="2"/>
                <w:sz w:val="18"/>
              </w:rPr>
              <w:t>participants</w:t>
            </w:r>
            <w:r>
              <w:rPr>
                <w:color w:val="105C84"/>
                <w:position w:val="2"/>
                <w:sz w:val="18"/>
              </w:rPr>
              <w:tab/>
            </w:r>
            <w:r>
              <w:rPr>
                <w:color w:val="105C84"/>
                <w:sz w:val="18"/>
              </w:rPr>
              <w:t>development,</w:t>
            </w:r>
            <w:r>
              <w:rPr>
                <w:color w:val="105C84"/>
                <w:spacing w:val="28"/>
                <w:sz w:val="18"/>
              </w:rPr>
              <w:t> </w:t>
            </w:r>
            <w:r>
              <w:rPr>
                <w:color w:val="105C84"/>
                <w:spacing w:val="-2"/>
                <w:sz w:val="18"/>
              </w:rPr>
              <w:t>ACES,</w:t>
            </w:r>
          </w:p>
          <w:p>
            <w:pPr>
              <w:pStyle w:val="TableParagraph"/>
              <w:tabs>
                <w:tab w:pos="3907" w:val="left" w:leader="none"/>
              </w:tabs>
              <w:spacing w:line="200" w:lineRule="exact"/>
              <w:ind w:left="87"/>
              <w:rPr>
                <w:sz w:val="18"/>
              </w:rPr>
            </w:pPr>
            <w:r>
              <w:rPr>
                <w:color w:val="105C84"/>
                <w:position w:val="2"/>
                <w:sz w:val="18"/>
              </w:rPr>
              <w:t>indicating</w:t>
            </w:r>
            <w:r>
              <w:rPr>
                <w:color w:val="105C84"/>
                <w:spacing w:val="22"/>
                <w:position w:val="2"/>
                <w:sz w:val="18"/>
              </w:rPr>
              <w:t> </w:t>
            </w:r>
            <w:r>
              <w:rPr>
                <w:color w:val="105C84"/>
                <w:spacing w:val="-2"/>
                <w:position w:val="2"/>
                <w:sz w:val="18"/>
              </w:rPr>
              <w:t>coaches</w:t>
            </w:r>
            <w:r>
              <w:rPr>
                <w:color w:val="105C84"/>
                <w:position w:val="2"/>
                <w:sz w:val="18"/>
              </w:rPr>
              <w:tab/>
            </w:r>
            <w:r>
              <w:rPr>
                <w:color w:val="105C84"/>
                <w:sz w:val="18"/>
              </w:rPr>
              <w:t>and/or</w:t>
            </w:r>
            <w:r>
              <w:rPr>
                <w:color w:val="105C84"/>
                <w:spacing w:val="21"/>
                <w:sz w:val="18"/>
              </w:rPr>
              <w:t> </w:t>
            </w:r>
            <w:r>
              <w:rPr>
                <w:color w:val="105C84"/>
                <w:spacing w:val="-2"/>
                <w:sz w:val="18"/>
              </w:rPr>
              <w:t>trauma</w:t>
            </w:r>
          </w:p>
          <w:p>
            <w:pPr>
              <w:pStyle w:val="TableParagraph"/>
              <w:tabs>
                <w:tab w:pos="3907" w:val="left" w:leader="none"/>
              </w:tabs>
              <w:spacing w:line="232" w:lineRule="auto"/>
              <w:ind w:left="3907" w:right="146" w:hanging="3820"/>
              <w:rPr>
                <w:sz w:val="18"/>
              </w:rPr>
            </w:pPr>
            <w:r>
              <w:rPr>
                <w:color w:val="105C84"/>
                <w:position w:val="2"/>
                <w:sz w:val="18"/>
              </w:rPr>
              <w:t>made them feel good</w:t>
              <w:tab/>
            </w:r>
            <w:r>
              <w:rPr>
                <w:color w:val="105C84"/>
                <w:sz w:val="18"/>
              </w:rPr>
              <w:t>informed care during </w:t>
            </w:r>
            <w:r>
              <w:rPr>
                <w:color w:val="105C84"/>
                <w:spacing w:val="-2"/>
                <w:sz w:val="18"/>
              </w:rPr>
              <w:t>the</w:t>
            </w:r>
            <w:r>
              <w:rPr>
                <w:color w:val="105C84"/>
                <w:spacing w:val="-9"/>
                <w:sz w:val="18"/>
              </w:rPr>
              <w:t> </w:t>
            </w:r>
            <w:r>
              <w:rPr>
                <w:color w:val="105C84"/>
                <w:spacing w:val="-2"/>
                <w:sz w:val="18"/>
              </w:rPr>
              <w:t>season/school</w:t>
            </w:r>
            <w:r>
              <w:rPr>
                <w:color w:val="105C84"/>
                <w:spacing w:val="-9"/>
                <w:sz w:val="18"/>
              </w:rPr>
              <w:t> </w:t>
            </w:r>
            <w:r>
              <w:rPr>
                <w:color w:val="105C84"/>
                <w:spacing w:val="-2"/>
                <w:sz w:val="18"/>
              </w:rPr>
              <w:t>year</w:t>
            </w:r>
          </w:p>
          <w:p>
            <w:pPr>
              <w:pStyle w:val="TableParagraph"/>
              <w:spacing w:line="232" w:lineRule="auto" w:before="43"/>
              <w:ind w:left="3907"/>
              <w:rPr>
                <w:sz w:val="18"/>
              </w:rPr>
            </w:pPr>
            <w:r>
              <w:rPr>
                <w:color w:val="105C84"/>
                <w:sz w:val="18"/>
              </w:rPr>
              <w:t>80% of participants complete an end of the </w:t>
            </w:r>
            <w:r>
              <w:rPr>
                <w:color w:val="105C84"/>
                <w:spacing w:val="-6"/>
                <w:sz w:val="18"/>
              </w:rPr>
              <w:t>season</w:t>
            </w:r>
            <w:r>
              <w:rPr>
                <w:color w:val="105C84"/>
                <w:spacing w:val="-7"/>
                <w:sz w:val="18"/>
              </w:rPr>
              <w:t> </w:t>
            </w:r>
            <w:r>
              <w:rPr>
                <w:color w:val="105C84"/>
                <w:spacing w:val="-6"/>
                <w:sz w:val="18"/>
              </w:rPr>
              <w:t>survey</w:t>
            </w:r>
            <w:r>
              <w:rPr>
                <w:color w:val="105C84"/>
                <w:spacing w:val="-7"/>
                <w:sz w:val="18"/>
              </w:rPr>
              <w:t> </w:t>
            </w:r>
            <w:r>
              <w:rPr>
                <w:color w:val="105C84"/>
                <w:spacing w:val="-6"/>
                <w:sz w:val="18"/>
              </w:rPr>
              <w:t>assessing </w:t>
            </w:r>
            <w:r>
              <w:rPr>
                <w:color w:val="105C84"/>
                <w:sz w:val="18"/>
              </w:rPr>
              <w:t>the climate of their practices and coach autonomy support</w:t>
            </w:r>
          </w:p>
          <w:p>
            <w:pPr>
              <w:pStyle w:val="TableParagraph"/>
              <w:spacing w:line="232" w:lineRule="auto" w:before="85"/>
              <w:ind w:left="3907" w:right="273"/>
              <w:rPr>
                <w:sz w:val="18"/>
              </w:rPr>
            </w:pPr>
            <w:r>
              <w:rPr>
                <w:color w:val="105C84"/>
                <w:sz w:val="18"/>
              </w:rPr>
              <w:t>80% of participants indicate that the coaches made us feel good when we improve;</w:t>
            </w:r>
            <w:r>
              <w:rPr>
                <w:color w:val="105C84"/>
                <w:spacing w:val="-15"/>
                <w:sz w:val="18"/>
              </w:rPr>
              <w:t> </w:t>
            </w:r>
            <w:r>
              <w:rPr>
                <w:color w:val="105C84"/>
                <w:sz w:val="18"/>
              </w:rPr>
              <w:t>the</w:t>
            </w:r>
            <w:r>
              <w:rPr>
                <w:color w:val="105C84"/>
                <w:spacing w:val="-12"/>
                <w:sz w:val="18"/>
              </w:rPr>
              <w:t> </w:t>
            </w:r>
            <w:r>
              <w:rPr>
                <w:color w:val="105C84"/>
                <w:sz w:val="18"/>
              </w:rPr>
              <w:t>coaches encourage</w:t>
            </w:r>
            <w:r>
              <w:rPr>
                <w:color w:val="105C84"/>
                <w:spacing w:val="-2"/>
                <w:sz w:val="18"/>
              </w:rPr>
              <w:t> </w:t>
            </w:r>
            <w:r>
              <w:rPr>
                <w:color w:val="105C84"/>
                <w:sz w:val="18"/>
              </w:rPr>
              <w:t>us</w:t>
            </w:r>
            <w:r>
              <w:rPr>
                <w:color w:val="105C84"/>
                <w:spacing w:val="-2"/>
                <w:sz w:val="18"/>
              </w:rPr>
              <w:t> </w:t>
            </w:r>
            <w:r>
              <w:rPr>
                <w:color w:val="105C84"/>
                <w:sz w:val="18"/>
              </w:rPr>
              <w:t>to</w:t>
            </w:r>
            <w:r>
              <w:rPr>
                <w:color w:val="105C84"/>
                <w:spacing w:val="-2"/>
                <w:sz w:val="18"/>
              </w:rPr>
              <w:t> </w:t>
            </w:r>
            <w:r>
              <w:rPr>
                <w:color w:val="105C84"/>
                <w:sz w:val="18"/>
              </w:rPr>
              <w:t>give our best effort; the coaches tell us that trying our best is the most important thing</w:t>
            </w:r>
          </w:p>
        </w:tc>
        <w:tc>
          <w:tcPr>
            <w:tcW w:w="2189" w:type="dxa"/>
          </w:tcPr>
          <w:p>
            <w:pPr>
              <w:pStyle w:val="TableParagraph"/>
              <w:spacing w:line="232" w:lineRule="auto" w:before="99"/>
              <w:ind w:left="87" w:right="251"/>
              <w:rPr>
                <w:sz w:val="18"/>
              </w:rPr>
            </w:pPr>
            <w:r>
              <w:rPr>
                <w:color w:val="105C84"/>
                <w:sz w:val="18"/>
              </w:rPr>
              <w:t>SRHN: Girls on the Run (GOTR) of the Southern</w:t>
            </w:r>
            <w:r>
              <w:rPr>
                <w:color w:val="105C84"/>
                <w:spacing w:val="-11"/>
                <w:sz w:val="18"/>
              </w:rPr>
              <w:t> </w:t>
            </w:r>
            <w:r>
              <w:rPr>
                <w:color w:val="105C84"/>
                <w:sz w:val="18"/>
              </w:rPr>
              <w:t>Tier</w:t>
            </w:r>
            <w:r>
              <w:rPr>
                <w:color w:val="105C84"/>
                <w:spacing w:val="-8"/>
                <w:sz w:val="18"/>
              </w:rPr>
              <w:t> </w:t>
            </w:r>
            <w:r>
              <w:rPr>
                <w:color w:val="105C84"/>
                <w:spacing w:val="-4"/>
                <w:sz w:val="18"/>
              </w:rPr>
              <w:t>Coaches</w:t>
            </w:r>
          </w:p>
          <w:p>
            <w:pPr>
              <w:pStyle w:val="TableParagraph"/>
              <w:spacing w:line="232" w:lineRule="auto"/>
              <w:ind w:left="87"/>
              <w:rPr>
                <w:sz w:val="18"/>
              </w:rPr>
            </w:pPr>
            <w:r>
              <w:rPr>
                <w:color w:val="105C84"/>
                <w:sz w:val="18"/>
              </w:rPr>
              <w:t>will complete 1 training around</w:t>
            </w:r>
            <w:r>
              <w:rPr>
                <w:color w:val="105C84"/>
                <w:spacing w:val="-13"/>
                <w:sz w:val="18"/>
              </w:rPr>
              <w:t> </w:t>
            </w:r>
            <w:r>
              <w:rPr>
                <w:color w:val="105C84"/>
                <w:sz w:val="18"/>
              </w:rPr>
              <w:t>social-</w:t>
            </w:r>
            <w:r>
              <w:rPr>
                <w:color w:val="105C84"/>
                <w:sz w:val="18"/>
              </w:rPr>
              <w:t>emotional development, ACES, and/or trauma informed care during the season/ school year</w:t>
            </w:r>
          </w:p>
          <w:p>
            <w:pPr>
              <w:pStyle w:val="TableParagraph"/>
              <w:spacing w:line="232" w:lineRule="auto" w:before="83"/>
              <w:ind w:left="87"/>
              <w:rPr>
                <w:sz w:val="18"/>
              </w:rPr>
            </w:pPr>
            <w:r>
              <w:rPr>
                <w:color w:val="105C84"/>
                <w:sz w:val="18"/>
              </w:rPr>
              <w:t>80% of participants complete an end of the </w:t>
            </w:r>
            <w:r>
              <w:rPr>
                <w:color w:val="105C84"/>
                <w:spacing w:val="-6"/>
                <w:sz w:val="18"/>
              </w:rPr>
              <w:t>season</w:t>
            </w:r>
            <w:r>
              <w:rPr>
                <w:color w:val="105C84"/>
                <w:spacing w:val="-9"/>
                <w:sz w:val="18"/>
              </w:rPr>
              <w:t> </w:t>
            </w:r>
            <w:r>
              <w:rPr>
                <w:color w:val="105C84"/>
                <w:spacing w:val="-6"/>
                <w:sz w:val="18"/>
              </w:rPr>
              <w:t>survey </w:t>
            </w:r>
            <w:r>
              <w:rPr>
                <w:color w:val="105C84"/>
                <w:spacing w:val="-6"/>
                <w:sz w:val="18"/>
              </w:rPr>
              <w:t>assessing </w:t>
            </w:r>
            <w:r>
              <w:rPr>
                <w:color w:val="105C84"/>
                <w:sz w:val="18"/>
              </w:rPr>
              <w:t>the climate of their practices and coach autonomy support</w:t>
            </w:r>
          </w:p>
          <w:p>
            <w:pPr>
              <w:pStyle w:val="TableParagraph"/>
              <w:spacing w:line="232" w:lineRule="auto" w:before="85"/>
              <w:ind w:left="87"/>
              <w:rPr>
                <w:sz w:val="18"/>
              </w:rPr>
            </w:pPr>
            <w:r>
              <w:rPr>
                <w:color w:val="105C84"/>
                <w:sz w:val="18"/>
              </w:rPr>
              <w:t>80% of participants indicate</w:t>
            </w:r>
            <w:r>
              <w:rPr>
                <w:color w:val="105C84"/>
                <w:spacing w:val="-10"/>
                <w:sz w:val="18"/>
              </w:rPr>
              <w:t> </w:t>
            </w:r>
            <w:r>
              <w:rPr>
                <w:color w:val="105C84"/>
                <w:sz w:val="18"/>
              </w:rPr>
              <w:t>that</w:t>
            </w:r>
            <w:r>
              <w:rPr>
                <w:color w:val="105C84"/>
                <w:spacing w:val="-10"/>
                <w:sz w:val="18"/>
              </w:rPr>
              <w:t> </w:t>
            </w:r>
            <w:r>
              <w:rPr>
                <w:color w:val="105C84"/>
                <w:sz w:val="18"/>
              </w:rPr>
              <w:t>the</w:t>
            </w:r>
            <w:r>
              <w:rPr>
                <w:color w:val="105C84"/>
                <w:spacing w:val="-10"/>
                <w:sz w:val="18"/>
              </w:rPr>
              <w:t> </w:t>
            </w:r>
            <w:r>
              <w:rPr>
                <w:color w:val="105C84"/>
                <w:sz w:val="18"/>
              </w:rPr>
              <w:t>coaches made us feel good</w:t>
            </w:r>
          </w:p>
          <w:p>
            <w:pPr>
              <w:pStyle w:val="TableParagraph"/>
              <w:spacing w:line="232" w:lineRule="auto"/>
              <w:ind w:left="87" w:right="251"/>
              <w:rPr>
                <w:sz w:val="18"/>
              </w:rPr>
            </w:pPr>
            <w:r>
              <w:rPr>
                <w:color w:val="105C84"/>
                <w:sz w:val="18"/>
              </w:rPr>
              <w:t>when we improve; the coaches</w:t>
            </w:r>
            <w:r>
              <w:rPr>
                <w:color w:val="105C84"/>
                <w:spacing w:val="-7"/>
                <w:sz w:val="18"/>
              </w:rPr>
              <w:t> </w:t>
            </w:r>
            <w:r>
              <w:rPr>
                <w:color w:val="105C84"/>
                <w:sz w:val="18"/>
              </w:rPr>
              <w:t>encourage</w:t>
            </w:r>
            <w:r>
              <w:rPr>
                <w:color w:val="105C84"/>
                <w:spacing w:val="-7"/>
                <w:sz w:val="18"/>
              </w:rPr>
              <w:t> </w:t>
            </w:r>
            <w:r>
              <w:rPr>
                <w:color w:val="105C84"/>
                <w:sz w:val="18"/>
              </w:rPr>
              <w:t>us to give our best effort; the</w:t>
            </w:r>
            <w:r>
              <w:rPr>
                <w:color w:val="105C84"/>
                <w:spacing w:val="-11"/>
                <w:sz w:val="18"/>
              </w:rPr>
              <w:t> </w:t>
            </w:r>
            <w:r>
              <w:rPr>
                <w:color w:val="105C84"/>
                <w:sz w:val="18"/>
              </w:rPr>
              <w:t>coaches</w:t>
            </w:r>
            <w:r>
              <w:rPr>
                <w:color w:val="105C84"/>
                <w:spacing w:val="-11"/>
                <w:sz w:val="18"/>
              </w:rPr>
              <w:t> </w:t>
            </w:r>
            <w:r>
              <w:rPr>
                <w:color w:val="105C84"/>
                <w:sz w:val="18"/>
              </w:rPr>
              <w:t>tell</w:t>
            </w:r>
            <w:r>
              <w:rPr>
                <w:color w:val="105C84"/>
                <w:spacing w:val="-11"/>
                <w:sz w:val="18"/>
              </w:rPr>
              <w:t> </w:t>
            </w:r>
            <w:r>
              <w:rPr>
                <w:color w:val="105C84"/>
                <w:sz w:val="18"/>
              </w:rPr>
              <w:t>us</w:t>
            </w:r>
            <w:r>
              <w:rPr>
                <w:color w:val="105C84"/>
                <w:spacing w:val="-11"/>
                <w:sz w:val="18"/>
              </w:rPr>
              <w:t> </w:t>
            </w:r>
            <w:r>
              <w:rPr>
                <w:color w:val="105C84"/>
                <w:sz w:val="18"/>
              </w:rPr>
              <w:t>that trying our best is the most important thing</w:t>
            </w:r>
          </w:p>
        </w:tc>
        <w:tc>
          <w:tcPr>
            <w:tcW w:w="2333" w:type="dxa"/>
          </w:tcPr>
          <w:p>
            <w:pPr>
              <w:pStyle w:val="TableParagraph"/>
              <w:spacing w:line="232" w:lineRule="auto" w:before="99"/>
              <w:ind w:left="87" w:right="41"/>
              <w:rPr>
                <w:sz w:val="18"/>
              </w:rPr>
            </w:pPr>
            <w:r>
              <w:rPr>
                <w:color w:val="105C84"/>
                <w:sz w:val="18"/>
              </w:rPr>
              <w:t>SRHN: Girls on the Run (GOTR) of the Southern Tier</w:t>
            </w:r>
            <w:r>
              <w:rPr>
                <w:color w:val="105C84"/>
                <w:spacing w:val="-12"/>
                <w:sz w:val="18"/>
              </w:rPr>
              <w:t> </w:t>
            </w:r>
            <w:r>
              <w:rPr>
                <w:color w:val="105C84"/>
                <w:sz w:val="18"/>
              </w:rPr>
              <w:t>Coaches</w:t>
            </w:r>
            <w:r>
              <w:rPr>
                <w:color w:val="105C84"/>
                <w:spacing w:val="-12"/>
                <w:sz w:val="18"/>
              </w:rPr>
              <w:t> </w:t>
            </w:r>
            <w:r>
              <w:rPr>
                <w:color w:val="105C84"/>
                <w:sz w:val="18"/>
              </w:rPr>
              <w:t>will</w:t>
            </w:r>
            <w:r>
              <w:rPr>
                <w:color w:val="105C84"/>
                <w:spacing w:val="-12"/>
                <w:sz w:val="18"/>
              </w:rPr>
              <w:t> </w:t>
            </w:r>
            <w:r>
              <w:rPr>
                <w:color w:val="105C84"/>
                <w:sz w:val="18"/>
              </w:rPr>
              <w:t>complete 1 training around social-emotional development, ACES, and/or trauma informed care during the season/school year</w:t>
            </w:r>
          </w:p>
          <w:p>
            <w:pPr>
              <w:pStyle w:val="TableParagraph"/>
              <w:spacing w:line="232" w:lineRule="auto" w:before="83"/>
              <w:ind w:left="87" w:right="192"/>
              <w:rPr>
                <w:sz w:val="18"/>
              </w:rPr>
            </w:pPr>
            <w:r>
              <w:rPr>
                <w:color w:val="105C84"/>
                <w:sz w:val="18"/>
              </w:rPr>
              <w:t>80% of participants complete an end of the </w:t>
            </w:r>
            <w:r>
              <w:rPr>
                <w:color w:val="105C84"/>
                <w:spacing w:val="-6"/>
                <w:sz w:val="18"/>
              </w:rPr>
              <w:t>season</w:t>
            </w:r>
            <w:r>
              <w:rPr>
                <w:color w:val="105C84"/>
                <w:spacing w:val="-9"/>
                <w:sz w:val="18"/>
              </w:rPr>
              <w:t> </w:t>
            </w:r>
            <w:r>
              <w:rPr>
                <w:color w:val="105C84"/>
                <w:spacing w:val="-6"/>
                <w:sz w:val="18"/>
              </w:rPr>
              <w:t>survey </w:t>
            </w:r>
            <w:r>
              <w:rPr>
                <w:color w:val="105C84"/>
                <w:spacing w:val="-6"/>
                <w:sz w:val="18"/>
              </w:rPr>
              <w:t>assessing </w:t>
            </w:r>
            <w:r>
              <w:rPr>
                <w:color w:val="105C84"/>
                <w:sz w:val="18"/>
              </w:rPr>
              <w:t>the climate of their practices and coach autonomy support</w:t>
            </w:r>
          </w:p>
          <w:p>
            <w:pPr>
              <w:pStyle w:val="TableParagraph"/>
              <w:spacing w:line="232" w:lineRule="auto" w:before="86"/>
              <w:ind w:left="87" w:right="192"/>
              <w:rPr>
                <w:sz w:val="18"/>
              </w:rPr>
            </w:pPr>
            <w:r>
              <w:rPr>
                <w:color w:val="105C84"/>
                <w:sz w:val="18"/>
              </w:rPr>
              <w:t>80% of participants indicate that the coaches made us feel good when we improve; the coaches encourage us to give our best effort; the coaches tell</w:t>
            </w:r>
            <w:r>
              <w:rPr>
                <w:color w:val="105C84"/>
                <w:spacing w:val="-2"/>
                <w:sz w:val="18"/>
              </w:rPr>
              <w:t> </w:t>
            </w:r>
            <w:r>
              <w:rPr>
                <w:color w:val="105C84"/>
                <w:sz w:val="18"/>
              </w:rPr>
              <w:t>us</w:t>
            </w:r>
            <w:r>
              <w:rPr>
                <w:color w:val="105C84"/>
                <w:spacing w:val="-2"/>
                <w:sz w:val="18"/>
              </w:rPr>
              <w:t> </w:t>
            </w:r>
            <w:r>
              <w:rPr>
                <w:color w:val="105C84"/>
                <w:sz w:val="18"/>
              </w:rPr>
              <w:t>that</w:t>
            </w:r>
            <w:r>
              <w:rPr>
                <w:color w:val="105C84"/>
                <w:spacing w:val="-2"/>
                <w:sz w:val="18"/>
              </w:rPr>
              <w:t> </w:t>
            </w:r>
            <w:r>
              <w:rPr>
                <w:color w:val="105C84"/>
                <w:sz w:val="18"/>
              </w:rPr>
              <w:t>trying</w:t>
            </w:r>
            <w:r>
              <w:rPr>
                <w:color w:val="105C84"/>
                <w:spacing w:val="-2"/>
                <w:sz w:val="18"/>
              </w:rPr>
              <w:t> </w:t>
            </w:r>
            <w:r>
              <w:rPr>
                <w:color w:val="105C84"/>
                <w:sz w:val="18"/>
              </w:rPr>
              <w:t>our</w:t>
            </w:r>
            <w:r>
              <w:rPr>
                <w:color w:val="105C84"/>
                <w:spacing w:val="-2"/>
                <w:sz w:val="18"/>
              </w:rPr>
              <w:t> </w:t>
            </w:r>
            <w:r>
              <w:rPr>
                <w:color w:val="105C84"/>
                <w:sz w:val="18"/>
              </w:rPr>
              <w:t>best is the most important </w:t>
            </w:r>
            <w:r>
              <w:rPr>
                <w:color w:val="105C84"/>
                <w:spacing w:val="-2"/>
                <w:sz w:val="18"/>
              </w:rPr>
              <w:t>thing</w:t>
            </w:r>
          </w:p>
        </w:tc>
        <w:tc>
          <w:tcPr>
            <w:tcW w:w="1498" w:type="dxa"/>
            <w:vMerge w:val="restart"/>
          </w:tcPr>
          <w:p>
            <w:pPr>
              <w:pStyle w:val="TableParagraph"/>
              <w:spacing w:line="232" w:lineRule="auto" w:before="98"/>
              <w:ind w:left="87" w:right="331"/>
              <w:rPr>
                <w:sz w:val="18"/>
              </w:rPr>
            </w:pPr>
            <w:r>
              <w:rPr>
                <w:color w:val="105C84"/>
                <w:spacing w:val="-2"/>
                <w:sz w:val="18"/>
              </w:rPr>
              <w:t>Community-based organizations</w:t>
            </w:r>
          </w:p>
        </w:tc>
        <w:tc>
          <w:tcPr>
            <w:tcW w:w="2069" w:type="dxa"/>
          </w:tcPr>
          <w:p>
            <w:pPr>
              <w:pStyle w:val="TableParagraph"/>
              <w:spacing w:line="232" w:lineRule="auto" w:before="98"/>
              <w:ind w:left="86" w:right="44"/>
              <w:rPr>
                <w:sz w:val="18"/>
              </w:rPr>
            </w:pPr>
            <w:r>
              <w:rPr>
                <w:color w:val="105C84"/>
                <w:sz w:val="18"/>
              </w:rPr>
              <w:t>Steuben Rural Health Network will provide Girls</w:t>
            </w:r>
            <w:r>
              <w:rPr>
                <w:color w:val="105C84"/>
                <w:spacing w:val="-1"/>
                <w:sz w:val="18"/>
              </w:rPr>
              <w:t> </w:t>
            </w:r>
            <w:r>
              <w:rPr>
                <w:color w:val="105C84"/>
                <w:sz w:val="18"/>
              </w:rPr>
              <w:t>on</w:t>
            </w:r>
            <w:r>
              <w:rPr>
                <w:color w:val="105C84"/>
                <w:spacing w:val="-1"/>
                <w:sz w:val="18"/>
              </w:rPr>
              <w:t> </w:t>
            </w:r>
            <w:r>
              <w:rPr>
                <w:color w:val="105C84"/>
                <w:sz w:val="18"/>
              </w:rPr>
              <w:t>the</w:t>
            </w:r>
            <w:r>
              <w:rPr>
                <w:color w:val="105C84"/>
                <w:spacing w:val="-1"/>
                <w:sz w:val="18"/>
              </w:rPr>
              <w:t> </w:t>
            </w:r>
            <w:r>
              <w:rPr>
                <w:color w:val="105C84"/>
                <w:sz w:val="18"/>
              </w:rPr>
              <w:t>Run</w:t>
            </w:r>
            <w:r>
              <w:rPr>
                <w:color w:val="105C84"/>
                <w:spacing w:val="-1"/>
                <w:sz w:val="18"/>
              </w:rPr>
              <w:t> </w:t>
            </w:r>
            <w:r>
              <w:rPr>
                <w:color w:val="105C84"/>
                <w:sz w:val="18"/>
              </w:rPr>
              <w:t>of</w:t>
            </w:r>
            <w:r>
              <w:rPr>
                <w:color w:val="105C84"/>
                <w:spacing w:val="-1"/>
                <w:sz w:val="18"/>
              </w:rPr>
              <w:t> </w:t>
            </w:r>
            <w:r>
              <w:rPr>
                <w:color w:val="105C84"/>
                <w:sz w:val="18"/>
              </w:rPr>
              <w:t>the Southern</w:t>
            </w:r>
            <w:r>
              <w:rPr>
                <w:color w:val="105C84"/>
                <w:spacing w:val="-6"/>
                <w:sz w:val="18"/>
              </w:rPr>
              <w:t> </w:t>
            </w:r>
            <w:r>
              <w:rPr>
                <w:color w:val="105C84"/>
                <w:sz w:val="18"/>
              </w:rPr>
              <w:t>Tier</w:t>
            </w:r>
            <w:r>
              <w:rPr>
                <w:color w:val="105C84"/>
                <w:spacing w:val="-6"/>
                <w:sz w:val="18"/>
              </w:rPr>
              <w:t> </w:t>
            </w:r>
            <w:r>
              <w:rPr>
                <w:color w:val="105C84"/>
                <w:sz w:val="18"/>
              </w:rPr>
              <w:t>coaches training and materials, along</w:t>
            </w:r>
            <w:r>
              <w:rPr>
                <w:color w:val="105C84"/>
                <w:spacing w:val="-8"/>
                <w:sz w:val="18"/>
              </w:rPr>
              <w:t> </w:t>
            </w:r>
            <w:r>
              <w:rPr>
                <w:color w:val="105C84"/>
                <w:sz w:val="18"/>
              </w:rPr>
              <w:t>with</w:t>
            </w:r>
            <w:r>
              <w:rPr>
                <w:color w:val="105C84"/>
                <w:spacing w:val="-8"/>
                <w:sz w:val="18"/>
              </w:rPr>
              <w:t> </w:t>
            </w:r>
            <w:r>
              <w:rPr>
                <w:color w:val="105C84"/>
                <w:sz w:val="18"/>
              </w:rPr>
              <w:t>the</w:t>
            </w:r>
            <w:r>
              <w:rPr>
                <w:color w:val="105C84"/>
                <w:spacing w:val="-8"/>
                <w:sz w:val="18"/>
              </w:rPr>
              <w:t> </w:t>
            </w:r>
            <w:r>
              <w:rPr>
                <w:color w:val="105C84"/>
                <w:sz w:val="18"/>
              </w:rPr>
              <w:t>10</w:t>
            </w:r>
            <w:r>
              <w:rPr>
                <w:color w:val="105C84"/>
                <w:spacing w:val="-8"/>
                <w:sz w:val="18"/>
              </w:rPr>
              <w:t> </w:t>
            </w:r>
            <w:r>
              <w:rPr>
                <w:color w:val="105C84"/>
                <w:sz w:val="18"/>
              </w:rPr>
              <w:t>week program in 6 sites </w:t>
            </w:r>
            <w:r>
              <w:rPr>
                <w:color w:val="105C84"/>
                <w:spacing w:val="-2"/>
                <w:sz w:val="18"/>
              </w:rPr>
              <w:t>across</w:t>
            </w:r>
            <w:r>
              <w:rPr>
                <w:color w:val="105C84"/>
                <w:spacing w:val="-13"/>
                <w:sz w:val="18"/>
              </w:rPr>
              <w:t> </w:t>
            </w:r>
            <w:r>
              <w:rPr>
                <w:color w:val="105C84"/>
                <w:spacing w:val="-2"/>
                <w:sz w:val="18"/>
              </w:rPr>
              <w:t>Steuben</w:t>
            </w:r>
            <w:r>
              <w:rPr>
                <w:color w:val="105C84"/>
                <w:spacing w:val="-10"/>
                <w:sz w:val="18"/>
              </w:rPr>
              <w:t> </w:t>
            </w:r>
            <w:r>
              <w:rPr>
                <w:color w:val="105C84"/>
                <w:spacing w:val="-2"/>
                <w:sz w:val="18"/>
              </w:rPr>
              <w:t>County</w:t>
            </w:r>
          </w:p>
        </w:tc>
      </w:tr>
      <w:tr>
        <w:trPr>
          <w:trHeight w:val="3420" w:hRule="atLeast"/>
        </w:trPr>
        <w:tc>
          <w:tcPr>
            <w:tcW w:w="1094" w:type="dxa"/>
            <w:vMerge/>
            <w:tcBorders>
              <w:top w:val="nil"/>
            </w:tcBorders>
            <w:shd w:val="clear" w:color="auto" w:fill="E6E7E8"/>
          </w:tcPr>
          <w:p>
            <w:pPr>
              <w:rPr>
                <w:sz w:val="2"/>
                <w:szCs w:val="2"/>
              </w:rPr>
            </w:pPr>
          </w:p>
        </w:tc>
        <w:tc>
          <w:tcPr>
            <w:tcW w:w="1354" w:type="dxa"/>
            <w:vMerge/>
            <w:tcBorders>
              <w:top w:val="nil"/>
            </w:tcBorders>
          </w:tcPr>
          <w:p>
            <w:pPr>
              <w:rPr>
                <w:sz w:val="2"/>
                <w:szCs w:val="2"/>
              </w:rPr>
            </w:pPr>
          </w:p>
        </w:tc>
        <w:tc>
          <w:tcPr>
            <w:tcW w:w="1268" w:type="dxa"/>
            <w:vMerge/>
            <w:tcBorders>
              <w:top w:val="nil"/>
            </w:tcBorders>
          </w:tcPr>
          <w:p>
            <w:pPr>
              <w:rPr>
                <w:sz w:val="2"/>
                <w:szCs w:val="2"/>
              </w:rPr>
            </w:pPr>
          </w:p>
        </w:tc>
        <w:tc>
          <w:tcPr>
            <w:tcW w:w="1606" w:type="dxa"/>
            <w:vMerge/>
            <w:tcBorders>
              <w:top w:val="nil"/>
            </w:tcBorders>
          </w:tcPr>
          <w:p>
            <w:pPr>
              <w:rPr>
                <w:sz w:val="2"/>
                <w:szCs w:val="2"/>
              </w:rPr>
            </w:pPr>
          </w:p>
        </w:tc>
        <w:tc>
          <w:tcPr>
            <w:tcW w:w="1066" w:type="dxa"/>
            <w:vMerge/>
            <w:tcBorders>
              <w:top w:val="nil"/>
            </w:tcBorders>
          </w:tcPr>
          <w:p>
            <w:pPr>
              <w:rPr>
                <w:sz w:val="2"/>
                <w:szCs w:val="2"/>
              </w:rPr>
            </w:pPr>
          </w:p>
        </w:tc>
        <w:tc>
          <w:tcPr>
            <w:tcW w:w="1937" w:type="dxa"/>
            <w:vMerge/>
            <w:tcBorders>
              <w:top w:val="nil"/>
            </w:tcBorders>
          </w:tcPr>
          <w:p>
            <w:pPr>
              <w:rPr>
                <w:sz w:val="2"/>
                <w:szCs w:val="2"/>
              </w:rPr>
            </w:pPr>
          </w:p>
        </w:tc>
        <w:tc>
          <w:tcPr>
            <w:tcW w:w="5897" w:type="dxa"/>
          </w:tcPr>
          <w:p>
            <w:pPr>
              <w:pStyle w:val="TableParagraph"/>
              <w:tabs>
                <w:tab w:pos="3907" w:val="left" w:leader="none"/>
              </w:tabs>
              <w:spacing w:line="203" w:lineRule="exact" w:before="93"/>
              <w:ind w:left="87"/>
              <w:rPr>
                <w:sz w:val="18"/>
              </w:rPr>
            </w:pPr>
            <w:r>
              <w:rPr>
                <w:color w:val="105C84"/>
                <w:sz w:val="18"/>
              </w:rPr>
              <w:t>#</w:t>
            </w:r>
            <w:r>
              <w:rPr>
                <w:color w:val="105C84"/>
                <w:spacing w:val="-13"/>
                <w:sz w:val="18"/>
              </w:rPr>
              <w:t> </w:t>
            </w:r>
            <w:r>
              <w:rPr>
                <w:color w:val="105C84"/>
                <w:spacing w:val="-2"/>
                <w:sz w:val="18"/>
              </w:rPr>
              <w:t>staff/volunteers</w:t>
            </w:r>
            <w:r>
              <w:rPr>
                <w:color w:val="105C84"/>
                <w:sz w:val="18"/>
              </w:rPr>
              <w:tab/>
            </w:r>
            <w:r>
              <w:rPr>
                <w:color w:val="105C84"/>
                <w:spacing w:val="-2"/>
                <w:sz w:val="18"/>
              </w:rPr>
              <w:t>25%</w:t>
            </w:r>
            <w:r>
              <w:rPr>
                <w:color w:val="105C84"/>
                <w:spacing w:val="-9"/>
                <w:sz w:val="18"/>
              </w:rPr>
              <w:t> </w:t>
            </w:r>
            <w:r>
              <w:rPr>
                <w:color w:val="105C84"/>
                <w:spacing w:val="-2"/>
                <w:sz w:val="18"/>
              </w:rPr>
              <w:t>of</w:t>
            </w:r>
            <w:r>
              <w:rPr>
                <w:color w:val="105C84"/>
                <w:spacing w:val="-9"/>
                <w:sz w:val="18"/>
              </w:rPr>
              <w:t> </w:t>
            </w:r>
            <w:r>
              <w:rPr>
                <w:color w:val="105C84"/>
                <w:spacing w:val="-2"/>
                <w:sz w:val="18"/>
              </w:rPr>
              <w:t>staff/volunteers</w:t>
            </w:r>
          </w:p>
          <w:p>
            <w:pPr>
              <w:pStyle w:val="TableParagraph"/>
              <w:tabs>
                <w:tab w:pos="3907" w:val="left" w:leader="none"/>
              </w:tabs>
              <w:spacing w:line="200" w:lineRule="exact"/>
              <w:ind w:left="87"/>
              <w:rPr>
                <w:sz w:val="18"/>
              </w:rPr>
            </w:pPr>
            <w:r>
              <w:rPr>
                <w:color w:val="105C84"/>
                <w:sz w:val="18"/>
              </w:rPr>
              <w:t>trained</w:t>
            </w:r>
            <w:r>
              <w:rPr>
                <w:color w:val="105C84"/>
                <w:spacing w:val="2"/>
                <w:sz w:val="18"/>
              </w:rPr>
              <w:t> </w:t>
            </w:r>
            <w:r>
              <w:rPr>
                <w:color w:val="105C84"/>
                <w:sz w:val="18"/>
              </w:rPr>
              <w:t>in</w:t>
            </w:r>
            <w:r>
              <w:rPr>
                <w:color w:val="105C84"/>
                <w:spacing w:val="3"/>
                <w:sz w:val="18"/>
              </w:rPr>
              <w:t> </w:t>
            </w:r>
            <w:r>
              <w:rPr>
                <w:color w:val="105C84"/>
                <w:spacing w:val="-4"/>
                <w:sz w:val="18"/>
              </w:rPr>
              <w:t>ACES</w:t>
            </w:r>
            <w:r>
              <w:rPr>
                <w:color w:val="105C84"/>
                <w:sz w:val="18"/>
              </w:rPr>
              <w:tab/>
              <w:t>will</w:t>
            </w:r>
            <w:r>
              <w:rPr>
                <w:color w:val="105C84"/>
                <w:spacing w:val="2"/>
                <w:sz w:val="18"/>
              </w:rPr>
              <w:t> </w:t>
            </w:r>
            <w:r>
              <w:rPr>
                <w:color w:val="105C84"/>
                <w:sz w:val="18"/>
              </w:rPr>
              <w:t>be</w:t>
            </w:r>
            <w:r>
              <w:rPr>
                <w:color w:val="105C84"/>
                <w:spacing w:val="3"/>
                <w:sz w:val="18"/>
              </w:rPr>
              <w:t> </w:t>
            </w:r>
            <w:r>
              <w:rPr>
                <w:color w:val="105C84"/>
                <w:sz w:val="18"/>
              </w:rPr>
              <w:t>trained</w:t>
            </w:r>
            <w:r>
              <w:rPr>
                <w:color w:val="105C84"/>
                <w:spacing w:val="3"/>
                <w:sz w:val="18"/>
              </w:rPr>
              <w:t> </w:t>
            </w:r>
            <w:r>
              <w:rPr>
                <w:color w:val="105C84"/>
                <w:sz w:val="18"/>
              </w:rPr>
              <w:t>in</w:t>
            </w:r>
            <w:r>
              <w:rPr>
                <w:color w:val="105C84"/>
                <w:spacing w:val="3"/>
                <w:sz w:val="18"/>
              </w:rPr>
              <w:t> </w:t>
            </w:r>
            <w:r>
              <w:rPr>
                <w:color w:val="105C84"/>
                <w:spacing w:val="-2"/>
                <w:sz w:val="18"/>
              </w:rPr>
              <w:t>ACES.</w:t>
            </w:r>
          </w:p>
          <w:p>
            <w:pPr>
              <w:pStyle w:val="TableParagraph"/>
              <w:tabs>
                <w:tab w:pos="3907" w:val="left" w:leader="none"/>
              </w:tabs>
              <w:spacing w:line="148" w:lineRule="auto" w:before="27"/>
              <w:ind w:left="87"/>
              <w:rPr>
                <w:sz w:val="18"/>
              </w:rPr>
            </w:pPr>
            <w:r>
              <w:rPr>
                <w:color w:val="105C84"/>
                <w:position w:val="-8"/>
                <w:sz w:val="18"/>
              </w:rPr>
              <w:t>#</w:t>
            </w:r>
            <w:r>
              <w:rPr>
                <w:color w:val="105C84"/>
                <w:spacing w:val="-13"/>
                <w:position w:val="-8"/>
                <w:sz w:val="18"/>
              </w:rPr>
              <w:t> </w:t>
            </w:r>
            <w:r>
              <w:rPr>
                <w:color w:val="105C84"/>
                <w:spacing w:val="-2"/>
                <w:position w:val="-8"/>
                <w:sz w:val="18"/>
              </w:rPr>
              <w:t>staff/volunteers</w:t>
            </w:r>
            <w:r>
              <w:rPr>
                <w:color w:val="105C84"/>
                <w:position w:val="-8"/>
                <w:sz w:val="18"/>
              </w:rPr>
              <w:tab/>
            </w:r>
            <w:r>
              <w:rPr>
                <w:color w:val="105C84"/>
                <w:sz w:val="18"/>
              </w:rPr>
              <w:t>4</w:t>
            </w:r>
            <w:r>
              <w:rPr>
                <w:color w:val="105C84"/>
                <w:spacing w:val="-5"/>
                <w:sz w:val="18"/>
              </w:rPr>
              <w:t> </w:t>
            </w:r>
            <w:r>
              <w:rPr>
                <w:color w:val="105C84"/>
                <w:sz w:val="18"/>
              </w:rPr>
              <w:t>staff/volunteers</w:t>
            </w:r>
            <w:r>
              <w:rPr>
                <w:color w:val="105C84"/>
                <w:spacing w:val="-5"/>
                <w:sz w:val="18"/>
              </w:rPr>
              <w:t> </w:t>
            </w:r>
            <w:r>
              <w:rPr>
                <w:color w:val="105C84"/>
                <w:spacing w:val="-4"/>
                <w:sz w:val="18"/>
              </w:rPr>
              <w:t>will</w:t>
            </w:r>
          </w:p>
          <w:p>
            <w:pPr>
              <w:pStyle w:val="TableParagraph"/>
              <w:tabs>
                <w:tab w:pos="3907" w:val="left" w:leader="none"/>
              </w:tabs>
              <w:spacing w:line="148" w:lineRule="auto"/>
              <w:ind w:left="87"/>
              <w:rPr>
                <w:sz w:val="18"/>
              </w:rPr>
            </w:pPr>
            <w:r>
              <w:rPr>
                <w:color w:val="105C84"/>
                <w:position w:val="-8"/>
                <w:sz w:val="18"/>
              </w:rPr>
              <w:t>trained</w:t>
            </w:r>
            <w:r>
              <w:rPr>
                <w:color w:val="105C84"/>
                <w:spacing w:val="2"/>
                <w:position w:val="-8"/>
                <w:sz w:val="18"/>
              </w:rPr>
              <w:t> </w:t>
            </w:r>
            <w:r>
              <w:rPr>
                <w:color w:val="105C84"/>
                <w:position w:val="-8"/>
                <w:sz w:val="18"/>
              </w:rPr>
              <w:t>in</w:t>
            </w:r>
            <w:r>
              <w:rPr>
                <w:color w:val="105C84"/>
                <w:spacing w:val="3"/>
                <w:position w:val="-8"/>
                <w:sz w:val="18"/>
              </w:rPr>
              <w:t> </w:t>
            </w:r>
            <w:r>
              <w:rPr>
                <w:color w:val="105C84"/>
                <w:spacing w:val="-2"/>
                <w:position w:val="-8"/>
                <w:sz w:val="18"/>
              </w:rPr>
              <w:t>Youth</w:t>
            </w:r>
            <w:r>
              <w:rPr>
                <w:color w:val="105C84"/>
                <w:position w:val="-8"/>
                <w:sz w:val="18"/>
              </w:rPr>
              <w:tab/>
            </w:r>
            <w:r>
              <w:rPr>
                <w:color w:val="105C84"/>
                <w:sz w:val="18"/>
              </w:rPr>
              <w:t>be</w:t>
            </w:r>
            <w:r>
              <w:rPr>
                <w:color w:val="105C84"/>
                <w:spacing w:val="6"/>
                <w:sz w:val="18"/>
              </w:rPr>
              <w:t> </w:t>
            </w:r>
            <w:r>
              <w:rPr>
                <w:color w:val="105C84"/>
                <w:sz w:val="18"/>
              </w:rPr>
              <w:t>certified</w:t>
            </w:r>
            <w:r>
              <w:rPr>
                <w:color w:val="105C84"/>
                <w:spacing w:val="6"/>
                <w:sz w:val="18"/>
              </w:rPr>
              <w:t> </w:t>
            </w:r>
            <w:r>
              <w:rPr>
                <w:color w:val="105C84"/>
                <w:sz w:val="18"/>
              </w:rPr>
              <w:t>in</w:t>
            </w:r>
            <w:r>
              <w:rPr>
                <w:color w:val="105C84"/>
                <w:spacing w:val="6"/>
                <w:sz w:val="18"/>
              </w:rPr>
              <w:t> </w:t>
            </w:r>
            <w:r>
              <w:rPr>
                <w:color w:val="105C84"/>
                <w:spacing w:val="-4"/>
                <w:sz w:val="18"/>
              </w:rPr>
              <w:t>Youth</w:t>
            </w:r>
          </w:p>
          <w:p>
            <w:pPr>
              <w:pStyle w:val="TableParagraph"/>
              <w:tabs>
                <w:tab w:pos="3907" w:val="left" w:leader="none"/>
              </w:tabs>
              <w:spacing w:line="170" w:lineRule="auto"/>
              <w:ind w:left="87"/>
              <w:rPr>
                <w:sz w:val="18"/>
              </w:rPr>
            </w:pPr>
            <w:r>
              <w:rPr>
                <w:color w:val="105C84"/>
                <w:position w:val="-8"/>
                <w:sz w:val="18"/>
              </w:rPr>
              <w:t>Mental</w:t>
            </w:r>
            <w:r>
              <w:rPr>
                <w:color w:val="105C84"/>
                <w:spacing w:val="-1"/>
                <w:position w:val="-8"/>
                <w:sz w:val="18"/>
              </w:rPr>
              <w:t> </w:t>
            </w:r>
            <w:r>
              <w:rPr>
                <w:color w:val="105C84"/>
                <w:position w:val="-8"/>
                <w:sz w:val="18"/>
              </w:rPr>
              <w:t>Health First</w:t>
            </w:r>
            <w:r>
              <w:rPr>
                <w:color w:val="105C84"/>
                <w:spacing w:val="-1"/>
                <w:position w:val="-8"/>
                <w:sz w:val="18"/>
              </w:rPr>
              <w:t> </w:t>
            </w:r>
            <w:r>
              <w:rPr>
                <w:color w:val="105C84"/>
                <w:spacing w:val="-5"/>
                <w:position w:val="-8"/>
                <w:sz w:val="18"/>
              </w:rPr>
              <w:t>Aid</w:t>
            </w:r>
            <w:r>
              <w:rPr>
                <w:color w:val="105C84"/>
                <w:position w:val="-8"/>
                <w:sz w:val="18"/>
              </w:rPr>
              <w:tab/>
            </w:r>
            <w:r>
              <w:rPr>
                <w:color w:val="105C84"/>
                <w:sz w:val="18"/>
              </w:rPr>
              <w:t>Mental</w:t>
            </w:r>
            <w:r>
              <w:rPr>
                <w:color w:val="105C84"/>
                <w:spacing w:val="-1"/>
                <w:sz w:val="18"/>
              </w:rPr>
              <w:t> </w:t>
            </w:r>
            <w:r>
              <w:rPr>
                <w:color w:val="105C84"/>
                <w:sz w:val="18"/>
              </w:rPr>
              <w:t>Health First</w:t>
            </w:r>
            <w:r>
              <w:rPr>
                <w:color w:val="105C84"/>
                <w:spacing w:val="-1"/>
                <w:sz w:val="18"/>
              </w:rPr>
              <w:t> </w:t>
            </w:r>
            <w:r>
              <w:rPr>
                <w:color w:val="105C84"/>
                <w:spacing w:val="-4"/>
                <w:sz w:val="18"/>
              </w:rPr>
              <w:t>Aid.</w:t>
            </w:r>
          </w:p>
          <w:p>
            <w:pPr>
              <w:pStyle w:val="TableParagraph"/>
              <w:tabs>
                <w:tab w:pos="3907" w:val="left" w:leader="none"/>
              </w:tabs>
              <w:spacing w:line="248" w:lineRule="exact"/>
              <w:ind w:left="87"/>
              <w:rPr>
                <w:position w:val="9"/>
                <w:sz w:val="18"/>
              </w:rPr>
            </w:pPr>
            <w:r>
              <w:rPr>
                <w:color w:val="105C84"/>
                <w:sz w:val="18"/>
              </w:rPr>
              <w:t>%</w:t>
            </w:r>
            <w:r>
              <w:rPr>
                <w:color w:val="105C84"/>
                <w:spacing w:val="-7"/>
                <w:sz w:val="18"/>
              </w:rPr>
              <w:t> </w:t>
            </w:r>
            <w:r>
              <w:rPr>
                <w:color w:val="105C84"/>
                <w:sz w:val="18"/>
              </w:rPr>
              <w:t>client</w:t>
            </w:r>
            <w:r>
              <w:rPr>
                <w:color w:val="105C84"/>
                <w:spacing w:val="-6"/>
                <w:sz w:val="18"/>
              </w:rPr>
              <w:t> </w:t>
            </w:r>
            <w:r>
              <w:rPr>
                <w:color w:val="105C84"/>
                <w:spacing w:val="-2"/>
                <w:sz w:val="18"/>
              </w:rPr>
              <w:t>evaluations</w:t>
            </w:r>
            <w:r>
              <w:rPr>
                <w:color w:val="105C84"/>
                <w:sz w:val="18"/>
              </w:rPr>
              <w:tab/>
            </w:r>
            <w:r>
              <w:rPr>
                <w:color w:val="105C84"/>
                <w:w w:val="90"/>
                <w:position w:val="9"/>
                <w:sz w:val="18"/>
              </w:rPr>
              <w:t>PRCV</w:t>
            </w:r>
            <w:r>
              <w:rPr>
                <w:color w:val="105C84"/>
                <w:spacing w:val="6"/>
                <w:position w:val="9"/>
                <w:sz w:val="18"/>
              </w:rPr>
              <w:t> </w:t>
            </w:r>
            <w:r>
              <w:rPr>
                <w:color w:val="105C84"/>
                <w:w w:val="90"/>
                <w:position w:val="9"/>
                <w:sz w:val="18"/>
              </w:rPr>
              <w:t>will</w:t>
            </w:r>
            <w:r>
              <w:rPr>
                <w:color w:val="105C84"/>
                <w:spacing w:val="6"/>
                <w:position w:val="9"/>
                <w:sz w:val="18"/>
              </w:rPr>
              <w:t> </w:t>
            </w:r>
            <w:r>
              <w:rPr>
                <w:color w:val="105C84"/>
                <w:spacing w:val="-2"/>
                <w:w w:val="90"/>
                <w:position w:val="9"/>
                <w:sz w:val="18"/>
              </w:rPr>
              <w:t>continue</w:t>
            </w:r>
          </w:p>
          <w:p>
            <w:pPr>
              <w:pStyle w:val="TableParagraph"/>
              <w:tabs>
                <w:tab w:pos="3907" w:val="left" w:leader="none"/>
              </w:tabs>
              <w:spacing w:line="200" w:lineRule="exact"/>
              <w:ind w:left="87"/>
              <w:rPr>
                <w:position w:val="9"/>
                <w:sz w:val="18"/>
              </w:rPr>
            </w:pPr>
            <w:r>
              <w:rPr>
                <w:color w:val="105C84"/>
                <w:sz w:val="18"/>
              </w:rPr>
              <w:t>reflecting</w:t>
            </w:r>
            <w:r>
              <w:rPr>
                <w:color w:val="105C84"/>
                <w:spacing w:val="-3"/>
                <w:sz w:val="18"/>
              </w:rPr>
              <w:t> </w:t>
            </w:r>
            <w:r>
              <w:rPr>
                <w:color w:val="105C84"/>
                <w:sz w:val="18"/>
              </w:rPr>
              <w:t>car</w:t>
            </w:r>
            <w:r>
              <w:rPr>
                <w:color w:val="105C84"/>
                <w:spacing w:val="-2"/>
                <w:sz w:val="18"/>
              </w:rPr>
              <w:t> received</w:t>
            </w:r>
            <w:r>
              <w:rPr>
                <w:color w:val="105C84"/>
                <w:sz w:val="18"/>
              </w:rPr>
              <w:tab/>
            </w:r>
            <w:r>
              <w:rPr>
                <w:color w:val="105C84"/>
                <w:position w:val="9"/>
                <w:sz w:val="18"/>
              </w:rPr>
              <w:t>using</w:t>
            </w:r>
            <w:r>
              <w:rPr>
                <w:color w:val="105C84"/>
                <w:spacing w:val="-9"/>
                <w:position w:val="9"/>
                <w:sz w:val="18"/>
              </w:rPr>
              <w:t> </w:t>
            </w:r>
            <w:r>
              <w:rPr>
                <w:color w:val="105C84"/>
                <w:spacing w:val="-2"/>
                <w:position w:val="9"/>
                <w:sz w:val="18"/>
              </w:rPr>
              <w:t>existing</w:t>
            </w:r>
          </w:p>
          <w:p>
            <w:pPr>
              <w:pStyle w:val="TableParagraph"/>
              <w:tabs>
                <w:tab w:pos="3907" w:val="left" w:leader="none"/>
              </w:tabs>
              <w:spacing w:line="148" w:lineRule="auto"/>
              <w:ind w:left="87"/>
              <w:rPr>
                <w:sz w:val="18"/>
              </w:rPr>
            </w:pPr>
            <w:r>
              <w:rPr>
                <w:color w:val="105C84"/>
                <w:spacing w:val="-2"/>
                <w:position w:val="-8"/>
                <w:sz w:val="18"/>
              </w:rPr>
              <w:t>as</w:t>
            </w:r>
            <w:r>
              <w:rPr>
                <w:color w:val="105C84"/>
                <w:spacing w:val="-7"/>
                <w:position w:val="-8"/>
                <w:sz w:val="18"/>
              </w:rPr>
              <w:t> </w:t>
            </w:r>
            <w:r>
              <w:rPr>
                <w:color w:val="105C84"/>
                <w:spacing w:val="-2"/>
                <w:position w:val="-8"/>
                <w:sz w:val="18"/>
              </w:rPr>
              <w:t>trauma</w:t>
            </w:r>
            <w:r>
              <w:rPr>
                <w:color w:val="105C84"/>
                <w:spacing w:val="-6"/>
                <w:position w:val="-8"/>
                <w:sz w:val="18"/>
              </w:rPr>
              <w:t> </w:t>
            </w:r>
            <w:r>
              <w:rPr>
                <w:color w:val="105C84"/>
                <w:spacing w:val="-2"/>
                <w:position w:val="-8"/>
                <w:sz w:val="18"/>
              </w:rPr>
              <w:t>informed</w:t>
            </w:r>
            <w:r>
              <w:rPr>
                <w:color w:val="105C84"/>
                <w:position w:val="-8"/>
                <w:sz w:val="18"/>
              </w:rPr>
              <w:tab/>
            </w:r>
            <w:r>
              <w:rPr>
                <w:color w:val="105C84"/>
                <w:sz w:val="18"/>
              </w:rPr>
              <w:t>evaluation</w:t>
            </w:r>
            <w:r>
              <w:rPr>
                <w:color w:val="105C84"/>
                <w:spacing w:val="-7"/>
                <w:sz w:val="18"/>
              </w:rPr>
              <w:t> </w:t>
            </w:r>
            <w:r>
              <w:rPr>
                <w:color w:val="105C84"/>
                <w:sz w:val="18"/>
              </w:rPr>
              <w:t>forms</w:t>
            </w:r>
            <w:r>
              <w:rPr>
                <w:color w:val="105C84"/>
                <w:spacing w:val="-5"/>
                <w:sz w:val="18"/>
              </w:rPr>
              <w:t> and</w:t>
            </w:r>
          </w:p>
          <w:p>
            <w:pPr>
              <w:pStyle w:val="TableParagraph"/>
              <w:spacing w:line="145" w:lineRule="exact"/>
              <w:ind w:left="3907"/>
              <w:rPr>
                <w:sz w:val="18"/>
              </w:rPr>
            </w:pPr>
            <w:r>
              <w:rPr>
                <w:color w:val="105C84"/>
                <w:sz w:val="18"/>
              </w:rPr>
              <w:t>will</w:t>
            </w:r>
            <w:r>
              <w:rPr>
                <w:color w:val="105C84"/>
                <w:spacing w:val="11"/>
                <w:sz w:val="18"/>
              </w:rPr>
              <w:t> </w:t>
            </w:r>
            <w:r>
              <w:rPr>
                <w:color w:val="105C84"/>
                <w:sz w:val="18"/>
              </w:rPr>
              <w:t>implement</w:t>
            </w:r>
            <w:r>
              <w:rPr>
                <w:color w:val="105C84"/>
                <w:spacing w:val="11"/>
                <w:sz w:val="18"/>
              </w:rPr>
              <w:t> </w:t>
            </w:r>
            <w:r>
              <w:rPr>
                <w:color w:val="105C84"/>
                <w:spacing w:val="-2"/>
                <w:sz w:val="18"/>
              </w:rPr>
              <w:t>updates</w:t>
            </w:r>
          </w:p>
          <w:p>
            <w:pPr>
              <w:pStyle w:val="TableParagraph"/>
              <w:tabs>
                <w:tab w:pos="3907" w:val="left" w:leader="none"/>
              </w:tabs>
              <w:spacing w:line="200" w:lineRule="exact"/>
              <w:ind w:left="87"/>
              <w:rPr>
                <w:sz w:val="18"/>
              </w:rPr>
            </w:pPr>
            <w:r>
              <w:rPr>
                <w:color w:val="105C84"/>
                <w:position w:val="2"/>
                <w:sz w:val="18"/>
              </w:rPr>
              <w:t>#</w:t>
            </w:r>
            <w:r>
              <w:rPr>
                <w:color w:val="105C84"/>
                <w:spacing w:val="-11"/>
                <w:position w:val="2"/>
                <w:sz w:val="18"/>
              </w:rPr>
              <w:t> </w:t>
            </w:r>
            <w:r>
              <w:rPr>
                <w:color w:val="105C84"/>
                <w:position w:val="2"/>
                <w:sz w:val="18"/>
              </w:rPr>
              <w:t>or</w:t>
            </w:r>
            <w:r>
              <w:rPr>
                <w:color w:val="105C84"/>
                <w:spacing w:val="-11"/>
                <w:position w:val="2"/>
                <w:sz w:val="18"/>
              </w:rPr>
              <w:t> </w:t>
            </w:r>
            <w:r>
              <w:rPr>
                <w:color w:val="105C84"/>
                <w:position w:val="2"/>
                <w:sz w:val="18"/>
              </w:rPr>
              <w:t>%</w:t>
            </w:r>
            <w:r>
              <w:rPr>
                <w:color w:val="105C84"/>
                <w:spacing w:val="-10"/>
                <w:position w:val="2"/>
                <w:sz w:val="18"/>
              </w:rPr>
              <w:t> </w:t>
            </w:r>
            <w:r>
              <w:rPr>
                <w:color w:val="105C84"/>
                <w:position w:val="2"/>
                <w:sz w:val="18"/>
              </w:rPr>
              <w:t>intakes</w:t>
            </w:r>
            <w:r>
              <w:rPr>
                <w:color w:val="105C84"/>
                <w:spacing w:val="-11"/>
                <w:position w:val="2"/>
                <w:sz w:val="18"/>
              </w:rPr>
              <w:t> </w:t>
            </w:r>
            <w:r>
              <w:rPr>
                <w:color w:val="105C84"/>
                <w:spacing w:val="-5"/>
                <w:position w:val="2"/>
                <w:sz w:val="18"/>
              </w:rPr>
              <w:t>and</w:t>
            </w:r>
            <w:r>
              <w:rPr>
                <w:color w:val="105C84"/>
                <w:position w:val="2"/>
                <w:sz w:val="18"/>
              </w:rPr>
              <w:tab/>
            </w:r>
            <w:r>
              <w:rPr>
                <w:color w:val="105C84"/>
                <w:sz w:val="18"/>
              </w:rPr>
              <w:t>in</w:t>
            </w:r>
            <w:r>
              <w:rPr>
                <w:color w:val="105C84"/>
                <w:spacing w:val="-2"/>
                <w:sz w:val="18"/>
              </w:rPr>
              <w:t> </w:t>
            </w:r>
            <w:r>
              <w:rPr>
                <w:color w:val="105C84"/>
                <w:spacing w:val="-4"/>
                <w:sz w:val="18"/>
              </w:rPr>
              <w:t>2020</w:t>
            </w:r>
          </w:p>
          <w:p>
            <w:pPr>
              <w:pStyle w:val="TableParagraph"/>
              <w:spacing w:line="232" w:lineRule="auto"/>
              <w:ind w:left="87" w:right="4002"/>
              <w:rPr>
                <w:sz w:val="18"/>
              </w:rPr>
            </w:pPr>
            <w:r>
              <w:rPr>
                <w:color w:val="105C84"/>
                <w:spacing w:val="-2"/>
                <w:sz w:val="18"/>
              </w:rPr>
              <w:t>assessments</w:t>
            </w:r>
            <w:r>
              <w:rPr>
                <w:color w:val="105C84"/>
                <w:spacing w:val="-11"/>
                <w:sz w:val="18"/>
              </w:rPr>
              <w:t> </w:t>
            </w:r>
            <w:r>
              <w:rPr>
                <w:color w:val="105C84"/>
                <w:spacing w:val="-2"/>
                <w:sz w:val="18"/>
              </w:rPr>
              <w:t>reflecting </w:t>
            </w:r>
            <w:r>
              <w:rPr>
                <w:color w:val="105C84"/>
                <w:sz w:val="18"/>
              </w:rPr>
              <w:t>trauma informed </w:t>
            </w:r>
            <w:r>
              <w:rPr>
                <w:color w:val="105C84"/>
                <w:spacing w:val="-2"/>
                <w:sz w:val="18"/>
              </w:rPr>
              <w:t>language</w:t>
            </w:r>
          </w:p>
        </w:tc>
        <w:tc>
          <w:tcPr>
            <w:tcW w:w="2189" w:type="dxa"/>
          </w:tcPr>
          <w:p>
            <w:pPr>
              <w:pStyle w:val="TableParagraph"/>
              <w:spacing w:line="232" w:lineRule="auto" w:before="98"/>
              <w:ind w:left="87" w:right="141"/>
              <w:rPr>
                <w:sz w:val="18"/>
              </w:rPr>
            </w:pPr>
            <w:r>
              <w:rPr>
                <w:color w:val="105C84"/>
                <w:sz w:val="18"/>
              </w:rPr>
              <w:t>60% of staff/volunteers will be trained in ACES. 2-6 additional staff/ volunteers will be certified</w:t>
            </w:r>
            <w:r>
              <w:rPr>
                <w:color w:val="105C84"/>
                <w:spacing w:val="-7"/>
                <w:sz w:val="18"/>
              </w:rPr>
              <w:t> </w:t>
            </w:r>
            <w:r>
              <w:rPr>
                <w:color w:val="105C84"/>
                <w:sz w:val="18"/>
              </w:rPr>
              <w:t>in</w:t>
            </w:r>
            <w:r>
              <w:rPr>
                <w:color w:val="105C84"/>
                <w:spacing w:val="-7"/>
                <w:sz w:val="18"/>
              </w:rPr>
              <w:t> </w:t>
            </w:r>
            <w:r>
              <w:rPr>
                <w:color w:val="105C84"/>
                <w:sz w:val="18"/>
              </w:rPr>
              <w:t>Youth</w:t>
            </w:r>
            <w:r>
              <w:rPr>
                <w:color w:val="105C84"/>
                <w:spacing w:val="-7"/>
                <w:sz w:val="18"/>
              </w:rPr>
              <w:t> </w:t>
            </w:r>
            <w:r>
              <w:rPr>
                <w:color w:val="105C84"/>
                <w:sz w:val="18"/>
              </w:rPr>
              <w:t>Mental Health First Aid. Begin using the updated evaluation and intake and assessment forms. Update</w:t>
            </w:r>
            <w:r>
              <w:rPr>
                <w:color w:val="105C84"/>
                <w:spacing w:val="-7"/>
                <w:sz w:val="18"/>
              </w:rPr>
              <w:t> </w:t>
            </w:r>
            <w:r>
              <w:rPr>
                <w:color w:val="105C84"/>
                <w:sz w:val="18"/>
              </w:rPr>
              <w:t>through</w:t>
            </w:r>
            <w:r>
              <w:rPr>
                <w:color w:val="105C84"/>
                <w:spacing w:val="-7"/>
                <w:sz w:val="18"/>
              </w:rPr>
              <w:t> </w:t>
            </w:r>
            <w:r>
              <w:rPr>
                <w:color w:val="105C84"/>
                <w:sz w:val="18"/>
              </w:rPr>
              <w:t>2020</w:t>
            </w:r>
            <w:r>
              <w:rPr>
                <w:color w:val="105C84"/>
                <w:spacing w:val="-7"/>
                <w:sz w:val="18"/>
              </w:rPr>
              <w:t> </w:t>
            </w:r>
            <w:r>
              <w:rPr>
                <w:color w:val="105C84"/>
                <w:sz w:val="18"/>
              </w:rPr>
              <w:t>as </w:t>
            </w:r>
            <w:r>
              <w:rPr>
                <w:color w:val="105C84"/>
                <w:spacing w:val="-2"/>
                <w:sz w:val="18"/>
              </w:rPr>
              <w:t>needed.</w:t>
            </w:r>
          </w:p>
        </w:tc>
        <w:tc>
          <w:tcPr>
            <w:tcW w:w="2333" w:type="dxa"/>
          </w:tcPr>
          <w:p>
            <w:pPr>
              <w:pStyle w:val="TableParagraph"/>
              <w:spacing w:line="232" w:lineRule="auto" w:before="98"/>
              <w:ind w:left="87" w:right="41"/>
              <w:rPr>
                <w:sz w:val="18"/>
              </w:rPr>
            </w:pPr>
            <w:r>
              <w:rPr>
                <w:color w:val="105C84"/>
                <w:sz w:val="18"/>
              </w:rPr>
              <w:t>85%</w:t>
            </w:r>
            <w:r>
              <w:rPr>
                <w:color w:val="105C84"/>
                <w:spacing w:val="-13"/>
                <w:sz w:val="18"/>
              </w:rPr>
              <w:t> </w:t>
            </w:r>
            <w:r>
              <w:rPr>
                <w:color w:val="105C84"/>
                <w:sz w:val="18"/>
              </w:rPr>
              <w:t>of</w:t>
            </w:r>
            <w:r>
              <w:rPr>
                <w:color w:val="105C84"/>
                <w:spacing w:val="-12"/>
                <w:sz w:val="18"/>
              </w:rPr>
              <w:t> </w:t>
            </w:r>
            <w:r>
              <w:rPr>
                <w:color w:val="105C84"/>
                <w:sz w:val="18"/>
              </w:rPr>
              <w:t>staff/volunteers</w:t>
            </w:r>
            <w:r>
              <w:rPr>
                <w:color w:val="105C84"/>
                <w:spacing w:val="-13"/>
                <w:sz w:val="18"/>
              </w:rPr>
              <w:t> </w:t>
            </w:r>
            <w:r>
              <w:rPr>
                <w:color w:val="105C84"/>
                <w:sz w:val="18"/>
              </w:rPr>
              <w:t>will be trained in ACES</w:t>
            </w:r>
          </w:p>
          <w:p>
            <w:pPr>
              <w:pStyle w:val="TableParagraph"/>
              <w:spacing w:line="232" w:lineRule="auto" w:before="88"/>
              <w:ind w:left="87" w:right="85"/>
              <w:rPr>
                <w:sz w:val="18"/>
              </w:rPr>
            </w:pPr>
            <w:r>
              <w:rPr>
                <w:color w:val="105C84"/>
                <w:sz w:val="18"/>
              </w:rPr>
              <w:t>3-6 additional staff/ volunteers</w:t>
            </w:r>
            <w:r>
              <w:rPr>
                <w:color w:val="105C84"/>
                <w:spacing w:val="-3"/>
                <w:sz w:val="18"/>
              </w:rPr>
              <w:t> </w:t>
            </w:r>
            <w:r>
              <w:rPr>
                <w:color w:val="105C84"/>
                <w:sz w:val="18"/>
              </w:rPr>
              <w:t>will</w:t>
            </w:r>
            <w:r>
              <w:rPr>
                <w:color w:val="105C84"/>
                <w:spacing w:val="-3"/>
                <w:sz w:val="18"/>
              </w:rPr>
              <w:t> </w:t>
            </w:r>
            <w:r>
              <w:rPr>
                <w:color w:val="105C84"/>
                <w:sz w:val="18"/>
              </w:rPr>
              <w:t>be</w:t>
            </w:r>
            <w:r>
              <w:rPr>
                <w:color w:val="105C84"/>
                <w:spacing w:val="-3"/>
                <w:sz w:val="18"/>
              </w:rPr>
              <w:t> </w:t>
            </w:r>
            <w:r>
              <w:rPr>
                <w:color w:val="105C84"/>
                <w:sz w:val="18"/>
              </w:rPr>
              <w:t>certified</w:t>
            </w:r>
            <w:r>
              <w:rPr>
                <w:color w:val="105C84"/>
                <w:sz w:val="18"/>
              </w:rPr>
              <w:t> in Youth Mental Health First Aid</w:t>
            </w:r>
          </w:p>
          <w:p>
            <w:pPr>
              <w:pStyle w:val="TableParagraph"/>
              <w:spacing w:line="232" w:lineRule="auto" w:before="87"/>
              <w:ind w:left="87" w:right="41"/>
              <w:rPr>
                <w:sz w:val="18"/>
              </w:rPr>
            </w:pPr>
            <w:r>
              <w:rPr>
                <w:color w:val="105C84"/>
                <w:sz w:val="18"/>
              </w:rPr>
              <w:t>Begin using the updated evaluation</w:t>
            </w:r>
            <w:r>
              <w:rPr>
                <w:color w:val="105C84"/>
                <w:spacing w:val="-12"/>
                <w:sz w:val="18"/>
              </w:rPr>
              <w:t> </w:t>
            </w:r>
            <w:r>
              <w:rPr>
                <w:color w:val="105C84"/>
                <w:sz w:val="18"/>
              </w:rPr>
              <w:t>and</w:t>
            </w:r>
            <w:r>
              <w:rPr>
                <w:color w:val="105C84"/>
                <w:spacing w:val="-12"/>
                <w:sz w:val="18"/>
              </w:rPr>
              <w:t> </w:t>
            </w:r>
            <w:r>
              <w:rPr>
                <w:color w:val="105C84"/>
                <w:sz w:val="18"/>
              </w:rPr>
              <w:t>intake</w:t>
            </w:r>
            <w:r>
              <w:rPr>
                <w:color w:val="105C84"/>
                <w:spacing w:val="-12"/>
                <w:sz w:val="18"/>
              </w:rPr>
              <w:t> </w:t>
            </w:r>
            <w:r>
              <w:rPr>
                <w:color w:val="105C84"/>
                <w:sz w:val="18"/>
              </w:rPr>
              <w:t>and assessment forms</w:t>
            </w:r>
          </w:p>
        </w:tc>
        <w:tc>
          <w:tcPr>
            <w:tcW w:w="1498" w:type="dxa"/>
            <w:vMerge/>
            <w:tcBorders>
              <w:top w:val="nil"/>
            </w:tcBorders>
          </w:tcPr>
          <w:p>
            <w:pPr>
              <w:rPr>
                <w:sz w:val="2"/>
                <w:szCs w:val="2"/>
              </w:rPr>
            </w:pPr>
          </w:p>
        </w:tc>
        <w:tc>
          <w:tcPr>
            <w:tcW w:w="2069" w:type="dxa"/>
          </w:tcPr>
          <w:p>
            <w:pPr>
              <w:pStyle w:val="TableParagraph"/>
              <w:spacing w:line="232" w:lineRule="auto" w:before="98"/>
              <w:ind w:left="86" w:right="44"/>
              <w:rPr>
                <w:sz w:val="18"/>
              </w:rPr>
            </w:pPr>
            <w:r>
              <w:rPr>
                <w:color w:val="105C84"/>
                <w:sz w:val="18"/>
              </w:rPr>
              <w:t>PRCV will provide mentors</w:t>
            </w:r>
            <w:r>
              <w:rPr>
                <w:color w:val="105C84"/>
                <w:spacing w:val="-6"/>
                <w:sz w:val="18"/>
              </w:rPr>
              <w:t> </w:t>
            </w:r>
            <w:r>
              <w:rPr>
                <w:color w:val="105C84"/>
                <w:sz w:val="18"/>
              </w:rPr>
              <w:t>and</w:t>
            </w:r>
            <w:r>
              <w:rPr>
                <w:color w:val="105C84"/>
                <w:spacing w:val="-6"/>
                <w:sz w:val="18"/>
              </w:rPr>
              <w:t> </w:t>
            </w:r>
            <w:r>
              <w:rPr>
                <w:color w:val="105C84"/>
                <w:sz w:val="18"/>
              </w:rPr>
              <w:t>support through the Real </w:t>
            </w:r>
            <w:r>
              <w:rPr>
                <w:color w:val="105C84"/>
                <w:spacing w:val="-2"/>
                <w:sz w:val="18"/>
              </w:rPr>
              <w:t>Essentials</w:t>
            </w:r>
            <w:r>
              <w:rPr>
                <w:color w:val="105C84"/>
                <w:spacing w:val="-11"/>
                <w:sz w:val="18"/>
              </w:rPr>
              <w:t> </w:t>
            </w:r>
            <w:r>
              <w:rPr>
                <w:color w:val="105C84"/>
                <w:spacing w:val="-2"/>
                <w:sz w:val="18"/>
              </w:rPr>
              <w:t>curriculum</w:t>
            </w:r>
          </w:p>
          <w:p>
            <w:pPr>
              <w:pStyle w:val="TableParagraph"/>
              <w:spacing w:line="232" w:lineRule="auto" w:before="86"/>
              <w:ind w:left="86" w:right="44"/>
              <w:rPr>
                <w:sz w:val="18"/>
              </w:rPr>
            </w:pPr>
            <w:r>
              <w:rPr>
                <w:color w:val="105C84"/>
                <w:sz w:val="18"/>
              </w:rPr>
              <w:t>PRCV will provide community support groups facilitated through a network of trained</w:t>
            </w:r>
            <w:r>
              <w:rPr>
                <w:color w:val="105C84"/>
                <w:spacing w:val="-13"/>
                <w:sz w:val="18"/>
              </w:rPr>
              <w:t> </w:t>
            </w:r>
            <w:r>
              <w:rPr>
                <w:color w:val="105C84"/>
                <w:sz w:val="18"/>
              </w:rPr>
              <w:t>volunteers</w:t>
            </w:r>
            <w:r>
              <w:rPr>
                <w:color w:val="105C84"/>
                <w:spacing w:val="-12"/>
                <w:sz w:val="18"/>
              </w:rPr>
              <w:t> </w:t>
            </w:r>
            <w:r>
              <w:rPr>
                <w:color w:val="105C84"/>
                <w:sz w:val="18"/>
              </w:rPr>
              <w:t>and </w:t>
            </w:r>
            <w:r>
              <w:rPr>
                <w:color w:val="105C84"/>
                <w:spacing w:val="-2"/>
                <w:sz w:val="18"/>
              </w:rPr>
              <w:t>donors</w:t>
            </w:r>
          </w:p>
          <w:p>
            <w:pPr>
              <w:pStyle w:val="TableParagraph"/>
              <w:spacing w:line="232" w:lineRule="auto" w:before="86"/>
              <w:ind w:left="86" w:right="44"/>
              <w:rPr>
                <w:sz w:val="18"/>
              </w:rPr>
            </w:pPr>
            <w:r>
              <w:rPr>
                <w:color w:val="105C84"/>
                <w:sz w:val="18"/>
              </w:rPr>
              <w:t>Sites</w:t>
            </w:r>
            <w:r>
              <w:rPr>
                <w:color w:val="105C84"/>
                <w:spacing w:val="-4"/>
                <w:sz w:val="18"/>
              </w:rPr>
              <w:t> </w:t>
            </w:r>
            <w:r>
              <w:rPr>
                <w:color w:val="105C84"/>
                <w:sz w:val="18"/>
              </w:rPr>
              <w:t>will</w:t>
            </w:r>
            <w:r>
              <w:rPr>
                <w:color w:val="105C84"/>
                <w:spacing w:val="-4"/>
                <w:sz w:val="18"/>
              </w:rPr>
              <w:t> </w:t>
            </w:r>
            <w:r>
              <w:rPr>
                <w:color w:val="105C84"/>
                <w:sz w:val="18"/>
              </w:rPr>
              <w:t>be</w:t>
            </w:r>
            <w:r>
              <w:rPr>
                <w:color w:val="105C84"/>
                <w:spacing w:val="-4"/>
                <w:sz w:val="18"/>
              </w:rPr>
              <w:t> </w:t>
            </w:r>
            <w:r>
              <w:rPr>
                <w:color w:val="105C84"/>
                <w:sz w:val="18"/>
              </w:rPr>
              <w:t>identified through our ministry partners across identified Steuben county communities</w:t>
            </w:r>
          </w:p>
        </w:tc>
      </w:tr>
    </w:tbl>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273"/>
        <w:rPr>
          <w:b/>
          <w:sz w:val="26"/>
        </w:rPr>
      </w:pPr>
    </w:p>
    <w:p>
      <w:pPr>
        <w:tabs>
          <w:tab w:pos="23047" w:val="left" w:leader="none"/>
        </w:tabs>
        <w:spacing w:before="0"/>
        <w:ind w:left="0" w:right="0" w:firstLine="0"/>
        <w:jc w:val="left"/>
        <w:rPr>
          <w:b/>
          <w:sz w:val="26"/>
        </w:rPr>
      </w:pPr>
      <w:r>
        <w:rPr>
          <w:position w:val="-4"/>
        </w:rPr>
        <w:drawing>
          <wp:inline distT="0" distB="0" distL="0" distR="0">
            <wp:extent cx="568172" cy="184683"/>
            <wp:effectExtent l="0" t="0" r="0" b="0"/>
            <wp:docPr id="2006" name="Image 2006"/>
            <wp:cNvGraphicFramePr>
              <a:graphicFrameLocks/>
            </wp:cNvGraphicFramePr>
            <a:graphic>
              <a:graphicData uri="http://schemas.openxmlformats.org/drawingml/2006/picture">
                <pic:pic>
                  <pic:nvPicPr>
                    <pic:cNvPr id="2006" name="Image 2006"/>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13"/>
          <w:sz w:val="20"/>
        </w:rPr>
        <w:t> </w:t>
      </w:r>
      <w:r>
        <w:rPr>
          <w:b/>
          <w:color w:val="939598"/>
          <w:w w:val="105"/>
          <w:sz w:val="26"/>
        </w:rPr>
        <w:t>209</w:t>
      </w:r>
      <w:r>
        <w:rPr>
          <w:b/>
          <w:color w:val="939598"/>
          <w:sz w:val="26"/>
        </w:rPr>
        <w:tab/>
      </w:r>
      <w:r>
        <w:rPr>
          <w:b/>
          <w:color w:val="939598"/>
          <w:spacing w:val="-5"/>
          <w:w w:val="105"/>
          <w:sz w:val="26"/>
        </w:rPr>
        <w:t>210</w:t>
      </w:r>
    </w:p>
    <w:p>
      <w:pPr>
        <w:spacing w:after="0"/>
        <w:jc w:val="left"/>
        <w:rPr>
          <w:b/>
          <w:sz w:val="26"/>
        </w:rPr>
        <w:sectPr>
          <w:pgSz w:w="24480" w:h="15840" w:orient="landscape"/>
          <w:pgMar w:header="0" w:footer="0" w:top="860" w:bottom="0" w:left="0" w:right="720"/>
        </w:sectPr>
      </w:pPr>
    </w:p>
    <w:p>
      <w:pPr>
        <w:spacing w:before="609"/>
        <w:ind w:left="1089" w:right="0" w:firstLine="0"/>
        <w:jc w:val="left"/>
        <w:rPr>
          <w:sz w:val="54"/>
        </w:rPr>
      </w:pPr>
      <w:r>
        <w:rPr>
          <w:sz w:val="54"/>
        </w:rPr>
        <w:drawing>
          <wp:anchor distT="0" distB="0" distL="0" distR="0" allowOverlap="1" layoutInCell="1" locked="0" behindDoc="0" simplePos="0" relativeHeight="16023040">
            <wp:simplePos x="0" y="0"/>
            <wp:positionH relativeFrom="page">
              <wp:posOffset>14981556</wp:posOffset>
            </wp:positionH>
            <wp:positionV relativeFrom="page">
              <wp:posOffset>9668103</wp:posOffset>
            </wp:positionV>
            <wp:extent cx="563245" cy="184683"/>
            <wp:effectExtent l="0" t="0" r="0" b="0"/>
            <wp:wrapNone/>
            <wp:docPr id="2007" name="Image 2007"/>
            <wp:cNvGraphicFramePr>
              <a:graphicFrameLocks/>
            </wp:cNvGraphicFramePr>
            <a:graphic>
              <a:graphicData uri="http://schemas.openxmlformats.org/drawingml/2006/picture">
                <pic:pic>
                  <pic:nvPicPr>
                    <pic:cNvPr id="2007" name="Image 2007"/>
                    <pic:cNvPicPr/>
                  </pic:nvPicPr>
                  <pic:blipFill>
                    <a:blip r:embed="rId38" cstate="print"/>
                    <a:stretch>
                      <a:fillRect/>
                    </a:stretch>
                  </pic:blipFill>
                  <pic:spPr>
                    <a:xfrm>
                      <a:off x="0" y="0"/>
                      <a:ext cx="563245" cy="184683"/>
                    </a:xfrm>
                    <a:prstGeom prst="rect">
                      <a:avLst/>
                    </a:prstGeom>
                  </pic:spPr>
                </pic:pic>
              </a:graphicData>
            </a:graphic>
          </wp:anchor>
        </w:drawing>
      </w:r>
      <w:r>
        <w:rPr>
          <w:sz w:val="54"/>
        </w:rPr>
        <w:drawing>
          <wp:anchor distT="0" distB="0" distL="0" distR="0" allowOverlap="1" layoutInCell="1" locked="0" behindDoc="0" simplePos="0" relativeHeight="16023552">
            <wp:simplePos x="0" y="0"/>
            <wp:positionH relativeFrom="page">
              <wp:posOffset>14298866</wp:posOffset>
            </wp:positionH>
            <wp:positionV relativeFrom="paragraph">
              <wp:posOffset>333089</wp:posOffset>
            </wp:positionV>
            <wp:extent cx="552068" cy="591502"/>
            <wp:effectExtent l="0" t="0" r="0" b="0"/>
            <wp:wrapNone/>
            <wp:docPr id="2008" name="Image 2008"/>
            <wp:cNvGraphicFramePr>
              <a:graphicFrameLocks/>
            </wp:cNvGraphicFramePr>
            <a:graphic>
              <a:graphicData uri="http://schemas.openxmlformats.org/drawingml/2006/picture">
                <pic:pic>
                  <pic:nvPicPr>
                    <pic:cNvPr id="2008" name="Image 2008"/>
                    <pic:cNvPicPr/>
                  </pic:nvPicPr>
                  <pic:blipFill>
                    <a:blip r:embed="rId259" cstate="print"/>
                    <a:stretch>
                      <a:fillRect/>
                    </a:stretch>
                  </pic:blipFill>
                  <pic:spPr>
                    <a:xfrm>
                      <a:off x="0" y="0"/>
                      <a:ext cx="552068" cy="591502"/>
                    </a:xfrm>
                    <a:prstGeom prst="rect">
                      <a:avLst/>
                    </a:prstGeom>
                  </pic:spPr>
                </pic:pic>
              </a:graphicData>
            </a:graphic>
          </wp:anchor>
        </w:drawing>
      </w:r>
      <w:r>
        <w:rPr>
          <w:sz w:val="54"/>
        </w:rPr>
        <w:drawing>
          <wp:anchor distT="0" distB="0" distL="0" distR="0" allowOverlap="1" layoutInCell="1" locked="0" behindDoc="0" simplePos="0" relativeHeight="16024064">
            <wp:simplePos x="0" y="0"/>
            <wp:positionH relativeFrom="page">
              <wp:posOffset>11596623</wp:posOffset>
            </wp:positionH>
            <wp:positionV relativeFrom="paragraph">
              <wp:posOffset>330783</wp:posOffset>
            </wp:positionV>
            <wp:extent cx="1311661" cy="345815"/>
            <wp:effectExtent l="0" t="0" r="0" b="0"/>
            <wp:wrapNone/>
            <wp:docPr id="2009" name="Image 2009"/>
            <wp:cNvGraphicFramePr>
              <a:graphicFrameLocks/>
            </wp:cNvGraphicFramePr>
            <a:graphic>
              <a:graphicData uri="http://schemas.openxmlformats.org/drawingml/2006/picture">
                <pic:pic>
                  <pic:nvPicPr>
                    <pic:cNvPr id="2009" name="Image 2009"/>
                    <pic:cNvPicPr/>
                  </pic:nvPicPr>
                  <pic:blipFill>
                    <a:blip r:embed="rId260" cstate="print"/>
                    <a:stretch>
                      <a:fillRect/>
                    </a:stretch>
                  </pic:blipFill>
                  <pic:spPr>
                    <a:xfrm>
                      <a:off x="0" y="0"/>
                      <a:ext cx="1311661" cy="345815"/>
                    </a:xfrm>
                    <a:prstGeom prst="rect">
                      <a:avLst/>
                    </a:prstGeom>
                  </pic:spPr>
                </pic:pic>
              </a:graphicData>
            </a:graphic>
          </wp:anchor>
        </w:drawing>
      </w:r>
      <w:r>
        <w:rPr>
          <w:sz w:val="54"/>
        </w:rPr>
        <w:drawing>
          <wp:anchor distT="0" distB="0" distL="0" distR="0" allowOverlap="1" layoutInCell="1" locked="0" behindDoc="0" simplePos="0" relativeHeight="16024576">
            <wp:simplePos x="0" y="0"/>
            <wp:positionH relativeFrom="page">
              <wp:posOffset>13088996</wp:posOffset>
            </wp:positionH>
            <wp:positionV relativeFrom="paragraph">
              <wp:posOffset>323398</wp:posOffset>
            </wp:positionV>
            <wp:extent cx="1063929" cy="302976"/>
            <wp:effectExtent l="0" t="0" r="0" b="0"/>
            <wp:wrapNone/>
            <wp:docPr id="2010" name="Image 2010"/>
            <wp:cNvGraphicFramePr>
              <a:graphicFrameLocks/>
            </wp:cNvGraphicFramePr>
            <a:graphic>
              <a:graphicData uri="http://schemas.openxmlformats.org/drawingml/2006/picture">
                <pic:pic>
                  <pic:nvPicPr>
                    <pic:cNvPr id="2010" name="Image 2010"/>
                    <pic:cNvPicPr/>
                  </pic:nvPicPr>
                  <pic:blipFill>
                    <a:blip r:embed="rId261" cstate="print"/>
                    <a:stretch>
                      <a:fillRect/>
                    </a:stretch>
                  </pic:blipFill>
                  <pic:spPr>
                    <a:xfrm>
                      <a:off x="0" y="0"/>
                      <a:ext cx="1063929" cy="302976"/>
                    </a:xfrm>
                    <a:prstGeom prst="rect">
                      <a:avLst/>
                    </a:prstGeom>
                  </pic:spPr>
                </pic:pic>
              </a:graphicData>
            </a:graphic>
          </wp:anchor>
        </w:drawing>
      </w:r>
      <w:r>
        <w:rPr>
          <w:sz w:val="54"/>
        </w:rPr>
        <w:drawing>
          <wp:anchor distT="0" distB="0" distL="0" distR="0" allowOverlap="1" layoutInCell="1" locked="0" behindDoc="0" simplePos="0" relativeHeight="16025088">
            <wp:simplePos x="0" y="0"/>
            <wp:positionH relativeFrom="page">
              <wp:posOffset>11099800</wp:posOffset>
            </wp:positionH>
            <wp:positionV relativeFrom="paragraph">
              <wp:posOffset>279907</wp:posOffset>
            </wp:positionV>
            <wp:extent cx="330199" cy="393699"/>
            <wp:effectExtent l="0" t="0" r="0" b="0"/>
            <wp:wrapNone/>
            <wp:docPr id="2011" name="Image 2011"/>
            <wp:cNvGraphicFramePr>
              <a:graphicFrameLocks/>
            </wp:cNvGraphicFramePr>
            <a:graphic>
              <a:graphicData uri="http://schemas.openxmlformats.org/drawingml/2006/picture">
                <pic:pic>
                  <pic:nvPicPr>
                    <pic:cNvPr id="2011" name="Image 2011"/>
                    <pic:cNvPicPr/>
                  </pic:nvPicPr>
                  <pic:blipFill>
                    <a:blip r:embed="rId262" cstate="print"/>
                    <a:stretch>
                      <a:fillRect/>
                    </a:stretch>
                  </pic:blipFill>
                  <pic:spPr>
                    <a:xfrm>
                      <a:off x="0" y="0"/>
                      <a:ext cx="330199" cy="393699"/>
                    </a:xfrm>
                    <a:prstGeom prst="rect">
                      <a:avLst/>
                    </a:prstGeom>
                  </pic:spPr>
                </pic:pic>
              </a:graphicData>
            </a:graphic>
          </wp:anchor>
        </w:drawing>
      </w:r>
      <w:r>
        <w:rPr>
          <w:sz w:val="54"/>
        </w:rPr>
        <w:drawing>
          <wp:anchor distT="0" distB="0" distL="0" distR="0" allowOverlap="1" layoutInCell="1" locked="0" behindDoc="0" simplePos="0" relativeHeight="16025600">
            <wp:simplePos x="0" y="0"/>
            <wp:positionH relativeFrom="page">
              <wp:posOffset>9610343</wp:posOffset>
            </wp:positionH>
            <wp:positionV relativeFrom="paragraph">
              <wp:posOffset>374444</wp:posOffset>
            </wp:positionV>
            <wp:extent cx="1279782" cy="224523"/>
            <wp:effectExtent l="0" t="0" r="0" b="0"/>
            <wp:wrapNone/>
            <wp:docPr id="2012" name="Image 2012"/>
            <wp:cNvGraphicFramePr>
              <a:graphicFrameLocks/>
            </wp:cNvGraphicFramePr>
            <a:graphic>
              <a:graphicData uri="http://schemas.openxmlformats.org/drawingml/2006/picture">
                <pic:pic>
                  <pic:nvPicPr>
                    <pic:cNvPr id="2012" name="Image 2012"/>
                    <pic:cNvPicPr/>
                  </pic:nvPicPr>
                  <pic:blipFill>
                    <a:blip r:embed="rId263" cstate="print"/>
                    <a:stretch>
                      <a:fillRect/>
                    </a:stretch>
                  </pic:blipFill>
                  <pic:spPr>
                    <a:xfrm>
                      <a:off x="0" y="0"/>
                      <a:ext cx="1279782" cy="224523"/>
                    </a:xfrm>
                    <a:prstGeom prst="rect">
                      <a:avLst/>
                    </a:prstGeom>
                  </pic:spPr>
                </pic:pic>
              </a:graphicData>
            </a:graphic>
          </wp:anchor>
        </w:drawing>
      </w:r>
      <w:r>
        <w:rPr>
          <w:color w:val="636466"/>
          <w:sz w:val="54"/>
        </w:rPr>
        <w:t>Steuben</w:t>
      </w:r>
      <w:r>
        <w:rPr>
          <w:color w:val="636466"/>
          <w:spacing w:val="54"/>
          <w:sz w:val="54"/>
        </w:rPr>
        <w:t> </w:t>
      </w:r>
      <w:r>
        <w:rPr>
          <w:color w:val="636466"/>
          <w:sz w:val="54"/>
        </w:rPr>
        <w:t>County</w:t>
      </w:r>
      <w:r>
        <w:rPr>
          <w:color w:val="636466"/>
          <w:spacing w:val="55"/>
          <w:sz w:val="54"/>
        </w:rPr>
        <w:t> </w:t>
      </w:r>
      <w:r>
        <w:rPr>
          <w:color w:val="636466"/>
          <w:sz w:val="54"/>
        </w:rPr>
        <w:t>Appendix</w:t>
      </w:r>
      <w:r>
        <w:rPr>
          <w:color w:val="636466"/>
          <w:spacing w:val="54"/>
          <w:sz w:val="54"/>
        </w:rPr>
        <w:t> </w:t>
      </w:r>
      <w:r>
        <w:rPr>
          <w:color w:val="636466"/>
          <w:spacing w:val="-10"/>
          <w:sz w:val="54"/>
        </w:rPr>
        <w:t>F</w:t>
      </w:r>
    </w:p>
    <w:p>
      <w:pPr>
        <w:spacing w:before="236"/>
        <w:ind w:left="1089" w:right="0" w:firstLine="0"/>
        <w:jc w:val="left"/>
        <w:rPr>
          <w:b/>
          <w:sz w:val="32"/>
        </w:rPr>
      </w:pPr>
      <w:r>
        <w:rPr>
          <w:b/>
          <w:color w:val="82BF6A"/>
          <w:sz w:val="32"/>
        </w:rPr>
        <w:t>PRIORITY:</w:t>
      </w:r>
      <w:r>
        <w:rPr>
          <w:b/>
          <w:color w:val="82BF6A"/>
          <w:spacing w:val="-20"/>
          <w:sz w:val="32"/>
        </w:rPr>
        <w:t> </w:t>
      </w:r>
      <w:r>
        <w:rPr>
          <w:b/>
          <w:color w:val="82BF6A"/>
          <w:sz w:val="32"/>
        </w:rPr>
        <w:t>PROMOTE</w:t>
      </w:r>
      <w:r>
        <w:rPr>
          <w:b/>
          <w:color w:val="82BF6A"/>
          <w:spacing w:val="-19"/>
          <w:sz w:val="32"/>
        </w:rPr>
        <w:t> </w:t>
      </w:r>
      <w:r>
        <w:rPr>
          <w:b/>
          <w:color w:val="82BF6A"/>
          <w:sz w:val="32"/>
        </w:rPr>
        <w:t>HEALTHY</w:t>
      </w:r>
      <w:r>
        <w:rPr>
          <w:b/>
          <w:color w:val="82BF6A"/>
          <w:spacing w:val="-20"/>
          <w:sz w:val="32"/>
        </w:rPr>
        <w:t> </w:t>
      </w:r>
      <w:r>
        <w:rPr>
          <w:b/>
          <w:color w:val="82BF6A"/>
          <w:sz w:val="32"/>
        </w:rPr>
        <w:t>WOMEN,</w:t>
      </w:r>
      <w:r>
        <w:rPr>
          <w:b/>
          <w:color w:val="82BF6A"/>
          <w:spacing w:val="-19"/>
          <w:sz w:val="32"/>
        </w:rPr>
        <w:t> </w:t>
      </w:r>
      <w:r>
        <w:rPr>
          <w:b/>
          <w:color w:val="82BF6A"/>
          <w:sz w:val="32"/>
        </w:rPr>
        <w:t>INFANTS</w:t>
      </w:r>
      <w:r>
        <w:rPr>
          <w:b/>
          <w:color w:val="82BF6A"/>
          <w:spacing w:val="-19"/>
          <w:sz w:val="32"/>
        </w:rPr>
        <w:t> </w:t>
      </w:r>
      <w:r>
        <w:rPr>
          <w:b/>
          <w:color w:val="82BF6A"/>
          <w:sz w:val="32"/>
        </w:rPr>
        <w:t>AND</w:t>
      </w:r>
      <w:r>
        <w:rPr>
          <w:b/>
          <w:color w:val="82BF6A"/>
          <w:spacing w:val="-20"/>
          <w:sz w:val="32"/>
        </w:rPr>
        <w:t> </w:t>
      </w:r>
      <w:r>
        <w:rPr>
          <w:b/>
          <w:color w:val="82BF6A"/>
          <w:spacing w:val="-2"/>
          <w:sz w:val="32"/>
        </w:rPr>
        <w:t>CHILDREN</w:t>
      </w:r>
    </w:p>
    <w:p>
      <w:pPr>
        <w:pStyle w:val="BodyText"/>
        <w:spacing w:before="162"/>
        <w:rPr>
          <w:b/>
          <w:sz w:val="20"/>
        </w:rPr>
      </w:pPr>
    </w:p>
    <w:tbl>
      <w:tblPr>
        <w:tblW w:w="0" w:type="auto"/>
        <w:jc w:val="left"/>
        <w:tblInd w:w="1099"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1123"/>
        <w:gridCol w:w="1354"/>
        <w:gridCol w:w="1268"/>
        <w:gridCol w:w="1606"/>
        <w:gridCol w:w="1066"/>
        <w:gridCol w:w="1937"/>
        <w:gridCol w:w="5991"/>
        <w:gridCol w:w="2189"/>
        <w:gridCol w:w="2175"/>
        <w:gridCol w:w="1498"/>
        <w:gridCol w:w="2069"/>
      </w:tblGrid>
      <w:tr>
        <w:trPr>
          <w:trHeight w:val="930" w:hRule="atLeast"/>
        </w:trPr>
        <w:tc>
          <w:tcPr>
            <w:tcW w:w="1123" w:type="dxa"/>
            <w:tcBorders>
              <w:right w:val="single" w:sz="4" w:space="0" w:color="FFFFFF"/>
            </w:tcBorders>
            <w:shd w:val="clear" w:color="auto" w:fill="A7A9AC"/>
          </w:tcPr>
          <w:p>
            <w:pPr>
              <w:pStyle w:val="TableParagraph"/>
              <w:spacing w:before="179"/>
              <w:rPr>
                <w:b/>
                <w:sz w:val="18"/>
              </w:rPr>
            </w:pPr>
          </w:p>
          <w:p>
            <w:pPr>
              <w:pStyle w:val="TableParagraph"/>
              <w:ind w:left="80"/>
              <w:rPr>
                <w:b/>
                <w:sz w:val="18"/>
              </w:rPr>
            </w:pPr>
            <w:r>
              <w:rPr>
                <w:b/>
                <w:color w:val="FFFFFF"/>
                <w:spacing w:val="-2"/>
                <w:sz w:val="18"/>
              </w:rPr>
              <w:t>Priority</w:t>
            </w:r>
          </w:p>
        </w:tc>
        <w:tc>
          <w:tcPr>
            <w:tcW w:w="1354" w:type="dxa"/>
            <w:tcBorders>
              <w:left w:val="single" w:sz="4" w:space="0" w:color="FFFFFF"/>
              <w:right w:val="single" w:sz="4" w:space="0" w:color="FFFFFF"/>
            </w:tcBorders>
            <w:shd w:val="clear" w:color="auto" w:fill="A7A9AC"/>
          </w:tcPr>
          <w:p>
            <w:pPr>
              <w:pStyle w:val="TableParagraph"/>
              <w:spacing w:before="179"/>
              <w:rPr>
                <w:b/>
                <w:sz w:val="18"/>
              </w:rPr>
            </w:pPr>
          </w:p>
          <w:p>
            <w:pPr>
              <w:pStyle w:val="TableParagraph"/>
              <w:ind w:left="79"/>
              <w:rPr>
                <w:b/>
                <w:sz w:val="18"/>
              </w:rPr>
            </w:pPr>
            <w:r>
              <w:rPr>
                <w:b/>
                <w:color w:val="FFFFFF"/>
                <w:w w:val="90"/>
                <w:sz w:val="18"/>
              </w:rPr>
              <w:t>Focus</w:t>
            </w:r>
            <w:r>
              <w:rPr>
                <w:b/>
                <w:color w:val="FFFFFF"/>
                <w:spacing w:val="8"/>
                <w:sz w:val="18"/>
              </w:rPr>
              <w:t> </w:t>
            </w:r>
            <w:r>
              <w:rPr>
                <w:b/>
                <w:color w:val="FFFFFF"/>
                <w:spacing w:val="-4"/>
                <w:sz w:val="18"/>
              </w:rPr>
              <w:t>Area</w:t>
            </w:r>
          </w:p>
        </w:tc>
        <w:tc>
          <w:tcPr>
            <w:tcW w:w="1268" w:type="dxa"/>
            <w:tcBorders>
              <w:left w:val="single" w:sz="4" w:space="0" w:color="FFFFFF"/>
              <w:right w:val="single" w:sz="4" w:space="0" w:color="FFFFFF"/>
            </w:tcBorders>
            <w:shd w:val="clear" w:color="auto" w:fill="A7A9AC"/>
          </w:tcPr>
          <w:p>
            <w:pPr>
              <w:pStyle w:val="TableParagraph"/>
              <w:spacing w:before="84"/>
              <w:rPr>
                <w:b/>
                <w:sz w:val="18"/>
              </w:rPr>
            </w:pPr>
          </w:p>
          <w:p>
            <w:pPr>
              <w:pStyle w:val="TableParagraph"/>
              <w:spacing w:line="232" w:lineRule="auto"/>
              <w:ind w:left="79" w:right="239"/>
              <w:rPr>
                <w:b/>
                <w:sz w:val="18"/>
              </w:rPr>
            </w:pPr>
            <w:r>
              <w:rPr>
                <w:b/>
                <w:color w:val="FFFFFF"/>
                <w:spacing w:val="-6"/>
                <w:sz w:val="18"/>
              </w:rPr>
              <w:t>Goal</w:t>
            </w:r>
            <w:r>
              <w:rPr>
                <w:b/>
                <w:color w:val="FFFFFF"/>
                <w:spacing w:val="-7"/>
                <w:sz w:val="18"/>
              </w:rPr>
              <w:t> </w:t>
            </w:r>
            <w:r>
              <w:rPr>
                <w:b/>
                <w:color w:val="FFFFFF"/>
                <w:spacing w:val="-6"/>
                <w:sz w:val="18"/>
              </w:rPr>
              <w:t>Focus </w:t>
            </w:r>
            <w:r>
              <w:rPr>
                <w:b/>
                <w:color w:val="FFFFFF"/>
                <w:spacing w:val="-4"/>
                <w:sz w:val="18"/>
              </w:rPr>
              <w:t>Area</w:t>
            </w:r>
          </w:p>
        </w:tc>
        <w:tc>
          <w:tcPr>
            <w:tcW w:w="1606" w:type="dxa"/>
            <w:tcBorders>
              <w:left w:val="single" w:sz="4" w:space="0" w:color="FFFFFF"/>
              <w:right w:val="single" w:sz="4" w:space="0" w:color="FFFFFF"/>
            </w:tcBorders>
            <w:shd w:val="clear" w:color="auto" w:fill="A7A9AC"/>
          </w:tcPr>
          <w:p>
            <w:pPr>
              <w:pStyle w:val="TableParagraph"/>
              <w:spacing w:before="179"/>
              <w:rPr>
                <w:b/>
                <w:sz w:val="18"/>
              </w:rPr>
            </w:pPr>
          </w:p>
          <w:p>
            <w:pPr>
              <w:pStyle w:val="TableParagraph"/>
              <w:ind w:left="78"/>
              <w:rPr>
                <w:b/>
                <w:sz w:val="18"/>
              </w:rPr>
            </w:pPr>
            <w:r>
              <w:rPr>
                <w:b/>
                <w:color w:val="FFFFFF"/>
                <w:spacing w:val="-2"/>
                <w:sz w:val="18"/>
              </w:rPr>
              <w:t>Objectives</w:t>
            </w:r>
          </w:p>
        </w:tc>
        <w:tc>
          <w:tcPr>
            <w:tcW w:w="1066" w:type="dxa"/>
            <w:tcBorders>
              <w:left w:val="single" w:sz="4" w:space="0" w:color="FFFFFF"/>
              <w:right w:val="single" w:sz="4" w:space="0" w:color="FFFFFF"/>
            </w:tcBorders>
            <w:shd w:val="clear" w:color="auto" w:fill="A7A9AC"/>
          </w:tcPr>
          <w:p>
            <w:pPr>
              <w:pStyle w:val="TableParagraph"/>
              <w:spacing w:before="179"/>
              <w:rPr>
                <w:b/>
                <w:sz w:val="18"/>
              </w:rPr>
            </w:pPr>
          </w:p>
          <w:p>
            <w:pPr>
              <w:pStyle w:val="TableParagraph"/>
              <w:ind w:left="78"/>
              <w:rPr>
                <w:b/>
                <w:sz w:val="18"/>
              </w:rPr>
            </w:pPr>
            <w:r>
              <w:rPr>
                <w:b/>
                <w:color w:val="FFFFFF"/>
                <w:spacing w:val="-2"/>
                <w:sz w:val="18"/>
              </w:rPr>
              <w:t>Disparities</w:t>
            </w:r>
          </w:p>
        </w:tc>
        <w:tc>
          <w:tcPr>
            <w:tcW w:w="1937" w:type="dxa"/>
            <w:tcBorders>
              <w:left w:val="single" w:sz="4" w:space="0" w:color="FFFFFF"/>
              <w:right w:val="single" w:sz="4" w:space="0" w:color="FFFFFF"/>
            </w:tcBorders>
            <w:shd w:val="clear" w:color="auto" w:fill="A7A9AC"/>
          </w:tcPr>
          <w:p>
            <w:pPr>
              <w:pStyle w:val="TableParagraph"/>
              <w:spacing w:before="179"/>
              <w:rPr>
                <w:b/>
                <w:sz w:val="18"/>
              </w:rPr>
            </w:pPr>
          </w:p>
          <w:p>
            <w:pPr>
              <w:pStyle w:val="TableParagraph"/>
              <w:ind w:left="77"/>
              <w:rPr>
                <w:b/>
                <w:sz w:val="18"/>
              </w:rPr>
            </w:pPr>
            <w:r>
              <w:rPr>
                <w:b/>
                <w:color w:val="FFFFFF"/>
                <w:spacing w:val="-2"/>
                <w:sz w:val="18"/>
              </w:rPr>
              <w:t>Interventions</w:t>
            </w:r>
          </w:p>
        </w:tc>
        <w:tc>
          <w:tcPr>
            <w:tcW w:w="5991" w:type="dxa"/>
            <w:tcBorders>
              <w:left w:val="single" w:sz="4" w:space="0" w:color="FFFFFF"/>
              <w:right w:val="single" w:sz="4" w:space="0" w:color="FFFFFF"/>
            </w:tcBorders>
            <w:shd w:val="clear" w:color="auto" w:fill="A7A9AC"/>
          </w:tcPr>
          <w:p>
            <w:pPr>
              <w:pStyle w:val="TableParagraph"/>
              <w:spacing w:line="203" w:lineRule="exact" w:before="186"/>
              <w:ind w:left="3885"/>
              <w:rPr>
                <w:b/>
                <w:sz w:val="18"/>
              </w:rPr>
            </w:pPr>
            <w:r>
              <w:rPr>
                <w:b/>
                <w:color w:val="FFFFFF"/>
                <w:sz w:val="18"/>
              </w:rPr>
              <w:t>Projected</w:t>
            </w:r>
            <w:r>
              <w:rPr>
                <w:b/>
                <w:color w:val="FFFFFF"/>
                <w:spacing w:val="-13"/>
                <w:sz w:val="18"/>
              </w:rPr>
              <w:t> </w:t>
            </w:r>
            <w:r>
              <w:rPr>
                <w:b/>
                <w:color w:val="FFFFFF"/>
                <w:spacing w:val="-5"/>
                <w:sz w:val="18"/>
              </w:rPr>
              <w:t>(or</w:t>
            </w:r>
          </w:p>
          <w:p>
            <w:pPr>
              <w:pStyle w:val="TableParagraph"/>
              <w:tabs>
                <w:tab w:pos="3885" w:val="left" w:leader="none"/>
              </w:tabs>
              <w:spacing w:line="200" w:lineRule="exact"/>
              <w:ind w:left="87"/>
              <w:rPr>
                <w:b/>
                <w:sz w:val="18"/>
              </w:rPr>
            </w:pPr>
            <w:r>
              <w:rPr>
                <w:b/>
                <w:color w:val="FFFFFF"/>
                <w:sz w:val="18"/>
              </w:rPr>
              <w:t>Family</w:t>
            </w:r>
            <w:r>
              <w:rPr>
                <w:b/>
                <w:color w:val="FFFFFF"/>
                <w:spacing w:val="-11"/>
                <w:sz w:val="18"/>
              </w:rPr>
              <w:t> </w:t>
            </w:r>
            <w:r>
              <w:rPr>
                <w:b/>
                <w:color w:val="FFFFFF"/>
                <w:sz w:val="18"/>
              </w:rPr>
              <w:t>of</w:t>
            </w:r>
            <w:r>
              <w:rPr>
                <w:b/>
                <w:color w:val="FFFFFF"/>
                <w:spacing w:val="-10"/>
                <w:sz w:val="18"/>
              </w:rPr>
              <w:t> </w:t>
            </w:r>
            <w:r>
              <w:rPr>
                <w:b/>
                <w:color w:val="FFFFFF"/>
                <w:spacing w:val="-2"/>
                <w:sz w:val="18"/>
              </w:rPr>
              <w:t>Measures</w:t>
            </w:r>
            <w:r>
              <w:rPr>
                <w:b/>
                <w:color w:val="FFFFFF"/>
                <w:sz w:val="18"/>
              </w:rPr>
              <w:tab/>
            </w:r>
            <w:r>
              <w:rPr>
                <w:b/>
                <w:color w:val="FFFFFF"/>
                <w:spacing w:val="-2"/>
                <w:sz w:val="18"/>
              </w:rPr>
              <w:t>completed)</w:t>
            </w:r>
          </w:p>
          <w:p>
            <w:pPr>
              <w:pStyle w:val="TableParagraph"/>
              <w:spacing w:line="203" w:lineRule="exact"/>
              <w:ind w:left="3885"/>
              <w:rPr>
                <w:b/>
                <w:sz w:val="18"/>
              </w:rPr>
            </w:pPr>
            <w:r>
              <w:rPr>
                <w:b/>
                <w:color w:val="FFFFFF"/>
                <w:sz w:val="18"/>
              </w:rPr>
              <w:t>Year</w:t>
            </w:r>
            <w:r>
              <w:rPr>
                <w:b/>
                <w:color w:val="FFFFFF"/>
                <w:spacing w:val="-8"/>
                <w:sz w:val="18"/>
              </w:rPr>
              <w:t> </w:t>
            </w:r>
            <w:r>
              <w:rPr>
                <w:b/>
                <w:color w:val="FFFFFF"/>
                <w:sz w:val="18"/>
              </w:rPr>
              <w:t>1</w:t>
            </w:r>
            <w:r>
              <w:rPr>
                <w:b/>
                <w:color w:val="FFFFFF"/>
                <w:spacing w:val="-7"/>
                <w:sz w:val="18"/>
              </w:rPr>
              <w:t> </w:t>
            </w:r>
            <w:r>
              <w:rPr>
                <w:b/>
                <w:color w:val="FFFFFF"/>
                <w:spacing w:val="-2"/>
                <w:sz w:val="18"/>
              </w:rPr>
              <w:t>Intervention</w:t>
            </w:r>
          </w:p>
        </w:tc>
        <w:tc>
          <w:tcPr>
            <w:tcW w:w="2189" w:type="dxa"/>
            <w:tcBorders>
              <w:left w:val="single" w:sz="4" w:space="0" w:color="FFFFFF"/>
              <w:right w:val="single" w:sz="4" w:space="0" w:color="FFFFFF"/>
            </w:tcBorders>
            <w:shd w:val="clear" w:color="auto" w:fill="A7A9AC"/>
          </w:tcPr>
          <w:p>
            <w:pPr>
              <w:pStyle w:val="TableParagraph"/>
              <w:spacing w:before="179"/>
              <w:rPr>
                <w:b/>
                <w:sz w:val="18"/>
              </w:rPr>
            </w:pPr>
          </w:p>
          <w:p>
            <w:pPr>
              <w:pStyle w:val="TableParagraph"/>
              <w:ind w:left="77"/>
              <w:rPr>
                <w:b/>
                <w:sz w:val="18"/>
              </w:rPr>
            </w:pPr>
            <w:r>
              <w:rPr>
                <w:b/>
                <w:color w:val="FFFFFF"/>
                <w:spacing w:val="-2"/>
                <w:sz w:val="18"/>
              </w:rPr>
              <w:t>Projected</w:t>
            </w:r>
            <w:r>
              <w:rPr>
                <w:b/>
                <w:color w:val="FFFFFF"/>
                <w:spacing w:val="-6"/>
                <w:sz w:val="18"/>
              </w:rPr>
              <w:t> </w:t>
            </w:r>
            <w:r>
              <w:rPr>
                <w:b/>
                <w:color w:val="FFFFFF"/>
                <w:spacing w:val="-2"/>
                <w:sz w:val="18"/>
              </w:rPr>
              <w:t>Year</w:t>
            </w:r>
            <w:r>
              <w:rPr>
                <w:b/>
                <w:color w:val="FFFFFF"/>
                <w:spacing w:val="-5"/>
                <w:sz w:val="18"/>
              </w:rPr>
              <w:t> </w:t>
            </w:r>
            <w:r>
              <w:rPr>
                <w:b/>
                <w:color w:val="FFFFFF"/>
                <w:spacing w:val="-12"/>
                <w:sz w:val="18"/>
              </w:rPr>
              <w:t>2</w:t>
            </w:r>
          </w:p>
        </w:tc>
        <w:tc>
          <w:tcPr>
            <w:tcW w:w="2175" w:type="dxa"/>
            <w:tcBorders>
              <w:left w:val="single" w:sz="4" w:space="0" w:color="FFFFFF"/>
              <w:right w:val="single" w:sz="4" w:space="0" w:color="FFFFFF"/>
            </w:tcBorders>
            <w:shd w:val="clear" w:color="auto" w:fill="A7A9AC"/>
          </w:tcPr>
          <w:p>
            <w:pPr>
              <w:pStyle w:val="TableParagraph"/>
              <w:spacing w:before="83"/>
              <w:rPr>
                <w:b/>
                <w:sz w:val="18"/>
              </w:rPr>
            </w:pPr>
          </w:p>
          <w:p>
            <w:pPr>
              <w:pStyle w:val="TableParagraph"/>
              <w:spacing w:line="232" w:lineRule="auto" w:before="1"/>
              <w:ind w:left="76" w:right="147"/>
              <w:rPr>
                <w:b/>
                <w:sz w:val="18"/>
              </w:rPr>
            </w:pPr>
            <w:r>
              <w:rPr>
                <w:b/>
                <w:color w:val="FFFFFF"/>
                <w:spacing w:val="-2"/>
                <w:sz w:val="18"/>
              </w:rPr>
              <w:t>Projected</w:t>
            </w:r>
            <w:r>
              <w:rPr>
                <w:b/>
                <w:color w:val="FFFFFF"/>
                <w:spacing w:val="-13"/>
                <w:sz w:val="18"/>
              </w:rPr>
              <w:t> </w:t>
            </w:r>
            <w:r>
              <w:rPr>
                <w:b/>
                <w:color w:val="FFFFFF"/>
                <w:spacing w:val="-2"/>
                <w:sz w:val="18"/>
              </w:rPr>
              <w:t>Year</w:t>
            </w:r>
            <w:r>
              <w:rPr>
                <w:b/>
                <w:color w:val="FFFFFF"/>
                <w:spacing w:val="-10"/>
                <w:sz w:val="18"/>
              </w:rPr>
              <w:t> </w:t>
            </w:r>
            <w:r>
              <w:rPr>
                <w:b/>
                <w:color w:val="FFFFFF"/>
                <w:spacing w:val="-2"/>
                <w:sz w:val="18"/>
              </w:rPr>
              <w:t>3 Interventions</w:t>
            </w:r>
          </w:p>
        </w:tc>
        <w:tc>
          <w:tcPr>
            <w:tcW w:w="1498" w:type="dxa"/>
            <w:tcBorders>
              <w:left w:val="single" w:sz="4" w:space="0" w:color="FFFFFF"/>
            </w:tcBorders>
            <w:shd w:val="clear" w:color="auto" w:fill="A7A9AC"/>
          </w:tcPr>
          <w:p>
            <w:pPr>
              <w:pStyle w:val="TableParagraph"/>
              <w:spacing w:before="83"/>
              <w:rPr>
                <w:b/>
                <w:sz w:val="18"/>
              </w:rPr>
            </w:pPr>
          </w:p>
          <w:p>
            <w:pPr>
              <w:pStyle w:val="TableParagraph"/>
              <w:spacing w:line="232" w:lineRule="auto" w:before="1"/>
              <w:ind w:left="76"/>
              <w:rPr>
                <w:b/>
                <w:sz w:val="18"/>
              </w:rPr>
            </w:pPr>
            <w:r>
              <w:rPr>
                <w:b/>
                <w:color w:val="FFFFFF"/>
                <w:spacing w:val="-2"/>
                <w:sz w:val="18"/>
              </w:rPr>
              <w:t>Implementation Partner</w:t>
            </w:r>
          </w:p>
        </w:tc>
        <w:tc>
          <w:tcPr>
            <w:tcW w:w="2069" w:type="dxa"/>
            <w:shd w:val="clear" w:color="auto" w:fill="A7A9AC"/>
          </w:tcPr>
          <w:p>
            <w:pPr>
              <w:pStyle w:val="TableParagraph"/>
              <w:spacing w:before="83"/>
              <w:rPr>
                <w:b/>
                <w:sz w:val="18"/>
              </w:rPr>
            </w:pPr>
          </w:p>
          <w:p>
            <w:pPr>
              <w:pStyle w:val="TableParagraph"/>
              <w:spacing w:line="232" w:lineRule="auto" w:before="1"/>
              <w:ind w:left="75" w:right="44"/>
              <w:rPr>
                <w:b/>
                <w:sz w:val="18"/>
              </w:rPr>
            </w:pPr>
            <w:r>
              <w:rPr>
                <w:b/>
                <w:color w:val="FFFFFF"/>
                <w:spacing w:val="-4"/>
                <w:sz w:val="18"/>
              </w:rPr>
              <w:t>Partner</w:t>
            </w:r>
            <w:r>
              <w:rPr>
                <w:b/>
                <w:color w:val="FFFFFF"/>
                <w:spacing w:val="-11"/>
                <w:sz w:val="18"/>
              </w:rPr>
              <w:t> </w:t>
            </w:r>
            <w:r>
              <w:rPr>
                <w:b/>
                <w:color w:val="FFFFFF"/>
                <w:spacing w:val="-4"/>
                <w:sz w:val="18"/>
              </w:rPr>
              <w:t>Role(s)</w:t>
            </w:r>
            <w:r>
              <w:rPr>
                <w:b/>
                <w:color w:val="FFFFFF"/>
                <w:spacing w:val="-8"/>
                <w:sz w:val="18"/>
              </w:rPr>
              <w:t> </w:t>
            </w:r>
            <w:r>
              <w:rPr>
                <w:b/>
                <w:color w:val="FFFFFF"/>
                <w:spacing w:val="-4"/>
                <w:sz w:val="18"/>
              </w:rPr>
              <w:t>and </w:t>
            </w:r>
            <w:r>
              <w:rPr>
                <w:b/>
                <w:color w:val="FFFFFF"/>
                <w:spacing w:val="-2"/>
                <w:sz w:val="18"/>
              </w:rPr>
              <w:t>Resources</w:t>
            </w:r>
          </w:p>
        </w:tc>
      </w:tr>
      <w:tr>
        <w:trPr>
          <w:trHeight w:val="6346" w:hRule="atLeast"/>
        </w:trPr>
        <w:tc>
          <w:tcPr>
            <w:tcW w:w="1123" w:type="dxa"/>
            <w:shd w:val="clear" w:color="auto" w:fill="E6E7E8"/>
          </w:tcPr>
          <w:p>
            <w:pPr>
              <w:pStyle w:val="TableParagraph"/>
              <w:spacing w:line="232" w:lineRule="auto" w:before="101"/>
              <w:ind w:left="89"/>
              <w:rPr>
                <w:sz w:val="18"/>
              </w:rPr>
            </w:pPr>
            <w:r>
              <w:rPr>
                <w:color w:val="105C84"/>
                <w:spacing w:val="-2"/>
                <w:sz w:val="18"/>
              </w:rPr>
              <w:t>Promote Healthy Women, </w:t>
            </w:r>
            <w:r>
              <w:rPr>
                <w:color w:val="105C84"/>
                <w:sz w:val="18"/>
              </w:rPr>
              <w:t>Infants</w:t>
            </w:r>
            <w:r>
              <w:rPr>
                <w:color w:val="105C84"/>
                <w:spacing w:val="-13"/>
                <w:sz w:val="18"/>
              </w:rPr>
              <w:t> </w:t>
            </w:r>
            <w:r>
              <w:rPr>
                <w:color w:val="105C84"/>
                <w:sz w:val="18"/>
              </w:rPr>
              <w:t>and </w:t>
            </w:r>
            <w:r>
              <w:rPr>
                <w:color w:val="105C84"/>
                <w:spacing w:val="-2"/>
                <w:sz w:val="18"/>
              </w:rPr>
              <w:t>Children</w:t>
            </w:r>
          </w:p>
        </w:tc>
        <w:tc>
          <w:tcPr>
            <w:tcW w:w="1354" w:type="dxa"/>
          </w:tcPr>
          <w:p>
            <w:pPr>
              <w:pStyle w:val="TableParagraph"/>
              <w:spacing w:line="232" w:lineRule="auto" w:before="101"/>
              <w:ind w:left="89" w:right="204"/>
              <w:rPr>
                <w:sz w:val="18"/>
              </w:rPr>
            </w:pPr>
            <w:r>
              <w:rPr>
                <w:color w:val="105C84"/>
                <w:sz w:val="18"/>
              </w:rPr>
              <w:t>Focus Area 3: Child and </w:t>
            </w:r>
            <w:r>
              <w:rPr>
                <w:color w:val="105C84"/>
                <w:spacing w:val="-2"/>
                <w:sz w:val="18"/>
              </w:rPr>
              <w:t>Adolescent Health, including </w:t>
            </w:r>
            <w:r>
              <w:rPr>
                <w:color w:val="105C84"/>
                <w:sz w:val="18"/>
              </w:rPr>
              <w:t>children</w:t>
            </w:r>
            <w:r>
              <w:rPr>
                <w:color w:val="105C84"/>
                <w:spacing w:val="-13"/>
                <w:sz w:val="18"/>
              </w:rPr>
              <w:t> </w:t>
            </w:r>
            <w:r>
              <w:rPr>
                <w:color w:val="105C84"/>
                <w:sz w:val="18"/>
              </w:rPr>
              <w:t>with</w:t>
            </w:r>
          </w:p>
          <w:p>
            <w:pPr>
              <w:pStyle w:val="TableParagraph"/>
              <w:spacing w:line="232" w:lineRule="auto"/>
              <w:ind w:left="89" w:right="147"/>
              <w:rPr>
                <w:sz w:val="18"/>
              </w:rPr>
            </w:pPr>
            <w:r>
              <w:rPr>
                <w:color w:val="105C84"/>
                <w:sz w:val="18"/>
              </w:rPr>
              <w:t>special</w:t>
            </w:r>
            <w:r>
              <w:rPr>
                <w:color w:val="105C84"/>
                <w:spacing w:val="-13"/>
                <w:sz w:val="18"/>
              </w:rPr>
              <w:t> </w:t>
            </w:r>
            <w:r>
              <w:rPr>
                <w:color w:val="105C84"/>
                <w:sz w:val="18"/>
              </w:rPr>
              <w:t>health care needs </w:t>
            </w:r>
            <w:r>
              <w:rPr>
                <w:color w:val="105C84"/>
                <w:spacing w:val="-2"/>
                <w:sz w:val="18"/>
              </w:rPr>
              <w:t>(CSHCN)</w:t>
            </w:r>
          </w:p>
        </w:tc>
        <w:tc>
          <w:tcPr>
            <w:tcW w:w="1268" w:type="dxa"/>
          </w:tcPr>
          <w:p>
            <w:pPr>
              <w:pStyle w:val="TableParagraph"/>
              <w:spacing w:line="232" w:lineRule="auto" w:before="101"/>
              <w:ind w:left="89" w:right="99"/>
              <w:rPr>
                <w:sz w:val="18"/>
              </w:rPr>
            </w:pPr>
            <w:r>
              <w:rPr>
                <w:color w:val="105C84"/>
                <w:sz w:val="18"/>
              </w:rPr>
              <w:t>Goal 3.1: Support and </w:t>
            </w:r>
            <w:r>
              <w:rPr>
                <w:color w:val="105C84"/>
                <w:spacing w:val="-2"/>
                <w:sz w:val="18"/>
              </w:rPr>
              <w:t>enhance </w:t>
            </w:r>
            <w:r>
              <w:rPr>
                <w:color w:val="105C84"/>
                <w:sz w:val="18"/>
              </w:rPr>
              <w:t>children and </w:t>
            </w:r>
            <w:r>
              <w:rPr>
                <w:color w:val="105C84"/>
                <w:spacing w:val="-2"/>
                <w:sz w:val="18"/>
              </w:rPr>
              <w:t>adolscents' social-emotional development </w:t>
            </w:r>
            <w:r>
              <w:rPr>
                <w:color w:val="105C84"/>
                <w:spacing w:val="-4"/>
                <w:sz w:val="18"/>
              </w:rPr>
              <w:t>and </w:t>
            </w:r>
            <w:r>
              <w:rPr>
                <w:color w:val="105C84"/>
                <w:spacing w:val="-2"/>
                <w:sz w:val="18"/>
              </w:rPr>
              <w:t>relationships</w:t>
            </w:r>
          </w:p>
        </w:tc>
        <w:tc>
          <w:tcPr>
            <w:tcW w:w="1606" w:type="dxa"/>
          </w:tcPr>
          <w:p>
            <w:pPr>
              <w:pStyle w:val="TableParagraph"/>
              <w:spacing w:line="232" w:lineRule="auto" w:before="100"/>
              <w:ind w:left="88" w:right="207"/>
              <w:rPr>
                <w:sz w:val="18"/>
              </w:rPr>
            </w:pPr>
            <w:r>
              <w:rPr>
                <w:color w:val="105C84"/>
                <w:sz w:val="18"/>
              </w:rPr>
              <w:t>3.1.2: Increase the percentage of children and </w:t>
            </w:r>
            <w:r>
              <w:rPr>
                <w:color w:val="105C84"/>
                <w:spacing w:val="-2"/>
                <w:sz w:val="18"/>
              </w:rPr>
              <w:t>adolescents,</w:t>
            </w:r>
            <w:r>
              <w:rPr>
                <w:color w:val="105C84"/>
                <w:spacing w:val="40"/>
                <w:sz w:val="18"/>
              </w:rPr>
              <w:t> </w:t>
            </w:r>
            <w:r>
              <w:rPr>
                <w:color w:val="105C84"/>
                <w:sz w:val="18"/>
              </w:rPr>
              <w:t>age 3-17 years, with a mental/ </w:t>
            </w:r>
            <w:r>
              <w:rPr>
                <w:color w:val="105C84"/>
                <w:spacing w:val="-2"/>
                <w:sz w:val="18"/>
              </w:rPr>
              <w:t>behavioral </w:t>
            </w:r>
            <w:r>
              <w:rPr>
                <w:color w:val="105C84"/>
                <w:sz w:val="18"/>
              </w:rPr>
              <w:t>health </w:t>
            </w:r>
            <w:r>
              <w:rPr>
                <w:color w:val="105C84"/>
                <w:sz w:val="18"/>
              </w:rPr>
              <w:t>condition</w:t>
            </w:r>
            <w:r>
              <w:rPr>
                <w:color w:val="105C84"/>
                <w:sz w:val="18"/>
              </w:rPr>
              <w:t> who received treatment or counseling by 10% to 49.8%</w:t>
            </w:r>
          </w:p>
        </w:tc>
        <w:tc>
          <w:tcPr>
            <w:tcW w:w="1066" w:type="dxa"/>
          </w:tcPr>
          <w:p>
            <w:pPr>
              <w:pStyle w:val="TableParagraph"/>
              <w:spacing w:line="203" w:lineRule="exact" w:before="95"/>
              <w:ind w:left="88"/>
              <w:rPr>
                <w:sz w:val="18"/>
              </w:rPr>
            </w:pPr>
            <w:r>
              <w:rPr>
                <w:color w:val="105C84"/>
                <w:sz w:val="18"/>
              </w:rPr>
              <w:t>Low</w:t>
            </w:r>
            <w:r>
              <w:rPr>
                <w:color w:val="105C84"/>
                <w:spacing w:val="-11"/>
                <w:sz w:val="18"/>
              </w:rPr>
              <w:t> </w:t>
            </w:r>
            <w:r>
              <w:rPr>
                <w:color w:val="105C84"/>
                <w:spacing w:val="-4"/>
                <w:sz w:val="18"/>
              </w:rPr>
              <w:t>SES,</w:t>
            </w:r>
          </w:p>
          <w:p>
            <w:pPr>
              <w:pStyle w:val="TableParagraph"/>
              <w:spacing w:line="232" w:lineRule="auto" w:before="2"/>
              <w:ind w:left="88" w:right="80"/>
              <w:rPr>
                <w:sz w:val="18"/>
              </w:rPr>
            </w:pPr>
            <w:r>
              <w:rPr>
                <w:color w:val="105C84"/>
                <w:spacing w:val="-2"/>
                <w:sz w:val="18"/>
              </w:rPr>
              <w:t>pregnant </w:t>
            </w:r>
            <w:r>
              <w:rPr>
                <w:color w:val="105C84"/>
                <w:spacing w:val="-4"/>
                <w:sz w:val="18"/>
              </w:rPr>
              <w:t>and </w:t>
            </w:r>
            <w:r>
              <w:rPr>
                <w:color w:val="105C84"/>
                <w:spacing w:val="-2"/>
                <w:sz w:val="18"/>
              </w:rPr>
              <w:t>parenting </w:t>
            </w:r>
            <w:r>
              <w:rPr>
                <w:color w:val="105C84"/>
                <w:sz w:val="18"/>
              </w:rPr>
              <w:t>teens,</w:t>
            </w:r>
            <w:r>
              <w:rPr>
                <w:color w:val="105C84"/>
                <w:spacing w:val="-13"/>
                <w:sz w:val="18"/>
              </w:rPr>
              <w:t> </w:t>
            </w:r>
            <w:r>
              <w:rPr>
                <w:color w:val="105C84"/>
                <w:sz w:val="18"/>
              </w:rPr>
              <w:t>dual </w:t>
            </w:r>
            <w:r>
              <w:rPr>
                <w:color w:val="105C84"/>
                <w:spacing w:val="-2"/>
                <w:sz w:val="18"/>
              </w:rPr>
              <w:t>diagnosed pregnant/ parenting mothers</w:t>
            </w:r>
          </w:p>
        </w:tc>
        <w:tc>
          <w:tcPr>
            <w:tcW w:w="1937" w:type="dxa"/>
          </w:tcPr>
          <w:p>
            <w:pPr>
              <w:pStyle w:val="TableParagraph"/>
              <w:spacing w:line="232" w:lineRule="auto" w:before="100"/>
              <w:ind w:left="87" w:right="139"/>
              <w:rPr>
                <w:sz w:val="18"/>
              </w:rPr>
            </w:pPr>
            <w:r>
              <w:rPr>
                <w:color w:val="105C84"/>
                <w:sz w:val="18"/>
              </w:rPr>
              <w:t>3.1.2: Identify and integrate evidence-based and evidence-informed strategies</w:t>
            </w:r>
            <w:r>
              <w:rPr>
                <w:color w:val="105C84"/>
                <w:spacing w:val="40"/>
                <w:sz w:val="18"/>
              </w:rPr>
              <w:t> </w:t>
            </w:r>
            <w:r>
              <w:rPr>
                <w:color w:val="105C84"/>
                <w:sz w:val="18"/>
              </w:rPr>
              <w:t>to promote social-emotional wellness through public </w:t>
            </w:r>
            <w:r>
              <w:rPr>
                <w:color w:val="105C84"/>
                <w:sz w:val="18"/>
              </w:rPr>
              <w:t>healt</w:t>
            </w:r>
            <w:r>
              <w:rPr>
                <w:color w:val="105C84"/>
                <w:sz w:val="18"/>
              </w:rPr>
              <w:t>h</w:t>
            </w:r>
            <w:r>
              <w:rPr>
                <w:color w:val="105C84"/>
                <w:sz w:val="18"/>
              </w:rPr>
              <w:t> programs serving children, youth, and </w:t>
            </w:r>
            <w:r>
              <w:rPr>
                <w:color w:val="105C84"/>
                <w:spacing w:val="-2"/>
                <w:sz w:val="18"/>
              </w:rPr>
              <w:t>families</w:t>
            </w:r>
          </w:p>
        </w:tc>
        <w:tc>
          <w:tcPr>
            <w:tcW w:w="5991" w:type="dxa"/>
          </w:tcPr>
          <w:p>
            <w:pPr>
              <w:pStyle w:val="TableParagraph"/>
              <w:tabs>
                <w:tab w:pos="3885" w:val="left" w:leader="none"/>
              </w:tabs>
              <w:spacing w:line="203" w:lineRule="exact" w:before="95"/>
              <w:ind w:left="87"/>
              <w:rPr>
                <w:sz w:val="18"/>
              </w:rPr>
            </w:pPr>
            <w:r>
              <w:rPr>
                <w:color w:val="105C84"/>
                <w:sz w:val="18"/>
              </w:rPr>
              <w:t>#</w:t>
            </w:r>
            <w:r>
              <w:rPr>
                <w:color w:val="105C84"/>
                <w:spacing w:val="-7"/>
                <w:sz w:val="18"/>
              </w:rPr>
              <w:t> </w:t>
            </w:r>
            <w:r>
              <w:rPr>
                <w:color w:val="105C84"/>
                <w:sz w:val="18"/>
              </w:rPr>
              <w:t>children</w:t>
            </w:r>
            <w:r>
              <w:rPr>
                <w:color w:val="105C84"/>
                <w:spacing w:val="-6"/>
                <w:sz w:val="18"/>
              </w:rPr>
              <w:t> </w:t>
            </w:r>
            <w:r>
              <w:rPr>
                <w:color w:val="105C84"/>
                <w:spacing w:val="-2"/>
                <w:sz w:val="18"/>
              </w:rPr>
              <w:t>served</w:t>
            </w:r>
            <w:r>
              <w:rPr>
                <w:color w:val="105C84"/>
                <w:sz w:val="18"/>
              </w:rPr>
              <w:tab/>
              <w:t>ProAction</w:t>
            </w:r>
            <w:r>
              <w:rPr>
                <w:color w:val="105C84"/>
                <w:spacing w:val="-2"/>
                <w:sz w:val="18"/>
              </w:rPr>
              <w:t> Resilient</w:t>
            </w:r>
          </w:p>
          <w:p>
            <w:pPr>
              <w:pStyle w:val="TableParagraph"/>
              <w:tabs>
                <w:tab w:pos="3885" w:val="left" w:leader="none"/>
              </w:tabs>
              <w:spacing w:line="200" w:lineRule="exact"/>
              <w:ind w:left="87"/>
              <w:rPr>
                <w:sz w:val="18"/>
              </w:rPr>
            </w:pPr>
            <w:r>
              <w:rPr>
                <w:color w:val="105C84"/>
                <w:sz w:val="18"/>
              </w:rPr>
              <w:t>%</w:t>
            </w:r>
            <w:r>
              <w:rPr>
                <w:color w:val="105C84"/>
                <w:spacing w:val="-1"/>
                <w:sz w:val="18"/>
              </w:rPr>
              <w:t> </w:t>
            </w:r>
            <w:r>
              <w:rPr>
                <w:color w:val="105C84"/>
                <w:sz w:val="18"/>
              </w:rPr>
              <w:t>of</w:t>
            </w:r>
            <w:r>
              <w:rPr>
                <w:color w:val="105C84"/>
                <w:spacing w:val="-1"/>
                <w:sz w:val="18"/>
              </w:rPr>
              <w:t> </w:t>
            </w:r>
            <w:r>
              <w:rPr>
                <w:color w:val="105C84"/>
                <w:sz w:val="18"/>
              </w:rPr>
              <w:t>growth </w:t>
            </w:r>
            <w:r>
              <w:rPr>
                <w:color w:val="105C84"/>
                <w:spacing w:val="-5"/>
                <w:sz w:val="18"/>
              </w:rPr>
              <w:t>in</w:t>
            </w:r>
            <w:r>
              <w:rPr>
                <w:color w:val="105C84"/>
                <w:sz w:val="18"/>
              </w:rPr>
              <w:tab/>
              <w:t>Children</w:t>
            </w:r>
            <w:r>
              <w:rPr>
                <w:color w:val="105C84"/>
                <w:spacing w:val="-1"/>
                <w:sz w:val="18"/>
              </w:rPr>
              <w:t> </w:t>
            </w:r>
            <w:r>
              <w:rPr>
                <w:color w:val="105C84"/>
                <w:sz w:val="18"/>
              </w:rPr>
              <w:t>and</w:t>
            </w:r>
            <w:r>
              <w:rPr>
                <w:color w:val="105C84"/>
                <w:spacing w:val="-1"/>
                <w:sz w:val="18"/>
              </w:rPr>
              <w:t> </w:t>
            </w:r>
            <w:r>
              <w:rPr>
                <w:color w:val="105C84"/>
                <w:spacing w:val="-2"/>
                <w:sz w:val="18"/>
              </w:rPr>
              <w:t>Families</w:t>
            </w:r>
          </w:p>
          <w:p>
            <w:pPr>
              <w:pStyle w:val="TableParagraph"/>
              <w:tabs>
                <w:tab w:pos="3885" w:val="left" w:leader="none"/>
              </w:tabs>
              <w:spacing w:line="200" w:lineRule="exact"/>
              <w:ind w:left="87"/>
              <w:rPr>
                <w:sz w:val="18"/>
              </w:rPr>
            </w:pPr>
            <w:r>
              <w:rPr>
                <w:color w:val="105C84"/>
                <w:w w:val="95"/>
                <w:sz w:val="18"/>
              </w:rPr>
              <w:t>social</w:t>
            </w:r>
            <w:r>
              <w:rPr>
                <w:color w:val="105C84"/>
                <w:spacing w:val="5"/>
                <w:sz w:val="18"/>
              </w:rPr>
              <w:t> </w:t>
            </w:r>
            <w:r>
              <w:rPr>
                <w:color w:val="105C84"/>
                <w:spacing w:val="-2"/>
                <w:sz w:val="18"/>
              </w:rPr>
              <w:t>emotional</w:t>
            </w:r>
            <w:r>
              <w:rPr>
                <w:color w:val="105C84"/>
                <w:sz w:val="18"/>
              </w:rPr>
              <w:tab/>
            </w:r>
            <w:r>
              <w:rPr>
                <w:color w:val="105C84"/>
                <w:w w:val="90"/>
                <w:sz w:val="18"/>
              </w:rPr>
              <w:t>(RCF)</w:t>
            </w:r>
            <w:r>
              <w:rPr>
                <w:color w:val="105C84"/>
                <w:spacing w:val="16"/>
                <w:sz w:val="18"/>
              </w:rPr>
              <w:t> </w:t>
            </w:r>
            <w:r>
              <w:rPr>
                <w:color w:val="105C84"/>
                <w:w w:val="90"/>
                <w:sz w:val="18"/>
              </w:rPr>
              <w:t>Programs</w:t>
            </w:r>
            <w:r>
              <w:rPr>
                <w:color w:val="105C84"/>
                <w:spacing w:val="17"/>
                <w:sz w:val="18"/>
              </w:rPr>
              <w:t> </w:t>
            </w:r>
            <w:r>
              <w:rPr>
                <w:color w:val="105C84"/>
                <w:spacing w:val="-2"/>
                <w:w w:val="90"/>
                <w:sz w:val="18"/>
              </w:rPr>
              <w:t>include</w:t>
            </w:r>
          </w:p>
          <w:p>
            <w:pPr>
              <w:pStyle w:val="TableParagraph"/>
              <w:tabs>
                <w:tab w:pos="3885" w:val="left" w:leader="none"/>
              </w:tabs>
              <w:spacing w:line="200" w:lineRule="exact"/>
              <w:ind w:left="87"/>
              <w:rPr>
                <w:sz w:val="18"/>
              </w:rPr>
            </w:pPr>
            <w:r>
              <w:rPr>
                <w:color w:val="105C84"/>
                <w:spacing w:val="-2"/>
                <w:sz w:val="18"/>
              </w:rPr>
              <w:t>development</w:t>
            </w:r>
            <w:r>
              <w:rPr>
                <w:color w:val="105C84"/>
                <w:sz w:val="18"/>
              </w:rPr>
              <w:tab/>
              <w:t>12</w:t>
            </w:r>
            <w:r>
              <w:rPr>
                <w:color w:val="105C84"/>
                <w:spacing w:val="-6"/>
                <w:sz w:val="18"/>
              </w:rPr>
              <w:t> </w:t>
            </w:r>
            <w:r>
              <w:rPr>
                <w:color w:val="105C84"/>
                <w:sz w:val="18"/>
              </w:rPr>
              <w:t>Head</w:t>
            </w:r>
            <w:r>
              <w:rPr>
                <w:color w:val="105C84"/>
                <w:spacing w:val="-5"/>
                <w:sz w:val="18"/>
              </w:rPr>
              <w:t> </w:t>
            </w:r>
            <w:r>
              <w:rPr>
                <w:color w:val="105C84"/>
                <w:sz w:val="18"/>
              </w:rPr>
              <w:t>Start</w:t>
            </w:r>
            <w:r>
              <w:rPr>
                <w:color w:val="105C84"/>
                <w:spacing w:val="-5"/>
                <w:sz w:val="18"/>
              </w:rPr>
              <w:t> </w:t>
            </w:r>
            <w:r>
              <w:rPr>
                <w:color w:val="105C84"/>
                <w:sz w:val="18"/>
              </w:rPr>
              <w:t>/</w:t>
            </w:r>
            <w:r>
              <w:rPr>
                <w:color w:val="105C84"/>
                <w:spacing w:val="-6"/>
                <w:sz w:val="18"/>
              </w:rPr>
              <w:t> </w:t>
            </w:r>
            <w:r>
              <w:rPr>
                <w:color w:val="105C84"/>
                <w:spacing w:val="-2"/>
                <w:sz w:val="18"/>
              </w:rPr>
              <w:t>Early</w:t>
            </w:r>
          </w:p>
          <w:p>
            <w:pPr>
              <w:pStyle w:val="TableParagraph"/>
              <w:tabs>
                <w:tab w:pos="3885" w:val="left" w:leader="none"/>
              </w:tabs>
              <w:spacing w:line="148" w:lineRule="auto" w:before="26"/>
              <w:ind w:left="87"/>
              <w:rPr>
                <w:sz w:val="18"/>
              </w:rPr>
            </w:pPr>
            <w:r>
              <w:rPr>
                <w:color w:val="105C84"/>
                <w:position w:val="-8"/>
                <w:sz w:val="18"/>
              </w:rPr>
              <w:t>#</w:t>
            </w:r>
            <w:r>
              <w:rPr>
                <w:color w:val="105C84"/>
                <w:spacing w:val="-7"/>
                <w:position w:val="-8"/>
                <w:sz w:val="18"/>
              </w:rPr>
              <w:t> </w:t>
            </w:r>
            <w:r>
              <w:rPr>
                <w:color w:val="105C84"/>
                <w:position w:val="-8"/>
                <w:sz w:val="18"/>
              </w:rPr>
              <w:t>of</w:t>
            </w:r>
            <w:r>
              <w:rPr>
                <w:color w:val="105C84"/>
                <w:spacing w:val="-6"/>
                <w:position w:val="-8"/>
                <w:sz w:val="18"/>
              </w:rPr>
              <w:t> </w:t>
            </w:r>
            <w:r>
              <w:rPr>
                <w:color w:val="105C84"/>
                <w:position w:val="-8"/>
                <w:sz w:val="18"/>
              </w:rPr>
              <w:t>parents</w:t>
            </w:r>
            <w:r>
              <w:rPr>
                <w:color w:val="105C84"/>
                <w:spacing w:val="-6"/>
                <w:position w:val="-8"/>
                <w:sz w:val="18"/>
              </w:rPr>
              <w:t> </w:t>
            </w:r>
            <w:r>
              <w:rPr>
                <w:color w:val="105C84"/>
                <w:spacing w:val="-2"/>
                <w:position w:val="-8"/>
                <w:sz w:val="18"/>
              </w:rPr>
              <w:t>receiving</w:t>
            </w:r>
            <w:r>
              <w:rPr>
                <w:color w:val="105C84"/>
                <w:position w:val="-8"/>
                <w:sz w:val="18"/>
              </w:rPr>
              <w:tab/>
            </w:r>
            <w:r>
              <w:rPr>
                <w:color w:val="105C84"/>
                <w:sz w:val="18"/>
              </w:rPr>
              <w:t>Head</w:t>
            </w:r>
            <w:r>
              <w:rPr>
                <w:color w:val="105C84"/>
                <w:spacing w:val="-12"/>
                <w:sz w:val="18"/>
              </w:rPr>
              <w:t> </w:t>
            </w:r>
            <w:r>
              <w:rPr>
                <w:color w:val="105C84"/>
                <w:sz w:val="18"/>
              </w:rPr>
              <w:t>Start</w:t>
            </w:r>
            <w:r>
              <w:rPr>
                <w:color w:val="105C84"/>
                <w:spacing w:val="-12"/>
                <w:sz w:val="18"/>
              </w:rPr>
              <w:t> </w:t>
            </w:r>
            <w:r>
              <w:rPr>
                <w:color w:val="105C84"/>
                <w:sz w:val="18"/>
              </w:rPr>
              <w:t>sites,</w:t>
            </w:r>
            <w:r>
              <w:rPr>
                <w:color w:val="105C84"/>
                <w:spacing w:val="-12"/>
                <w:sz w:val="18"/>
              </w:rPr>
              <w:t> </w:t>
            </w:r>
            <w:r>
              <w:rPr>
                <w:color w:val="105C84"/>
                <w:sz w:val="18"/>
              </w:rPr>
              <w:t>3</w:t>
            </w:r>
            <w:r>
              <w:rPr>
                <w:color w:val="105C84"/>
                <w:spacing w:val="-12"/>
                <w:sz w:val="18"/>
              </w:rPr>
              <w:t> </w:t>
            </w:r>
            <w:r>
              <w:rPr>
                <w:color w:val="105C84"/>
                <w:spacing w:val="-2"/>
                <w:sz w:val="18"/>
              </w:rPr>
              <w:t>Family</w:t>
            </w:r>
          </w:p>
          <w:p>
            <w:pPr>
              <w:pStyle w:val="TableParagraph"/>
              <w:tabs>
                <w:tab w:pos="3885" w:val="left" w:leader="none"/>
              </w:tabs>
              <w:spacing w:line="148" w:lineRule="auto"/>
              <w:ind w:left="87"/>
              <w:rPr>
                <w:sz w:val="18"/>
              </w:rPr>
            </w:pPr>
            <w:r>
              <w:rPr>
                <w:color w:val="105C84"/>
                <w:position w:val="-8"/>
                <w:sz w:val="18"/>
              </w:rPr>
              <w:t>parenting</w:t>
            </w:r>
            <w:r>
              <w:rPr>
                <w:color w:val="105C84"/>
                <w:spacing w:val="14"/>
                <w:position w:val="-8"/>
                <w:sz w:val="18"/>
              </w:rPr>
              <w:t> </w:t>
            </w:r>
            <w:r>
              <w:rPr>
                <w:color w:val="105C84"/>
                <w:spacing w:val="-2"/>
                <w:position w:val="-8"/>
                <w:sz w:val="18"/>
              </w:rPr>
              <w:t>education</w:t>
            </w:r>
            <w:r>
              <w:rPr>
                <w:color w:val="105C84"/>
                <w:position w:val="-8"/>
                <w:sz w:val="18"/>
              </w:rPr>
              <w:tab/>
            </w:r>
            <w:r>
              <w:rPr>
                <w:color w:val="105C84"/>
                <w:spacing w:val="-4"/>
                <w:sz w:val="18"/>
              </w:rPr>
              <w:t>Resource</w:t>
            </w:r>
            <w:r>
              <w:rPr>
                <w:color w:val="105C84"/>
                <w:spacing w:val="-1"/>
                <w:sz w:val="18"/>
              </w:rPr>
              <w:t> </w:t>
            </w:r>
            <w:r>
              <w:rPr>
                <w:color w:val="105C84"/>
                <w:spacing w:val="-4"/>
                <w:sz w:val="18"/>
              </w:rPr>
              <w:t>Centers,</w:t>
            </w:r>
            <w:r>
              <w:rPr>
                <w:color w:val="105C84"/>
                <w:sz w:val="18"/>
              </w:rPr>
              <w:t> </w:t>
            </w:r>
            <w:r>
              <w:rPr>
                <w:color w:val="105C84"/>
                <w:spacing w:val="-5"/>
                <w:sz w:val="18"/>
              </w:rPr>
              <w:t>and</w:t>
            </w:r>
          </w:p>
          <w:p>
            <w:pPr>
              <w:pStyle w:val="TableParagraph"/>
              <w:spacing w:line="145" w:lineRule="exact"/>
              <w:ind w:left="3885"/>
              <w:rPr>
                <w:sz w:val="18"/>
              </w:rPr>
            </w:pPr>
            <w:r>
              <w:rPr>
                <w:color w:val="105C84"/>
                <w:sz w:val="18"/>
              </w:rPr>
              <w:t>multiple</w:t>
            </w:r>
            <w:r>
              <w:rPr>
                <w:color w:val="105C84"/>
                <w:spacing w:val="-8"/>
                <w:sz w:val="18"/>
              </w:rPr>
              <w:t> </w:t>
            </w:r>
            <w:r>
              <w:rPr>
                <w:color w:val="105C84"/>
                <w:sz w:val="18"/>
              </w:rPr>
              <w:t>RCF</w:t>
            </w:r>
            <w:r>
              <w:rPr>
                <w:color w:val="105C84"/>
                <w:spacing w:val="-8"/>
                <w:sz w:val="18"/>
              </w:rPr>
              <w:t> </w:t>
            </w:r>
            <w:r>
              <w:rPr>
                <w:color w:val="105C84"/>
                <w:spacing w:val="-4"/>
                <w:sz w:val="18"/>
              </w:rPr>
              <w:t>Home</w:t>
            </w:r>
          </w:p>
          <w:p>
            <w:pPr>
              <w:pStyle w:val="TableParagraph"/>
              <w:tabs>
                <w:tab w:pos="3885" w:val="left" w:leader="none"/>
              </w:tabs>
              <w:spacing w:line="200" w:lineRule="exact"/>
              <w:ind w:left="87"/>
              <w:rPr>
                <w:sz w:val="18"/>
              </w:rPr>
            </w:pPr>
            <w:r>
              <w:rPr>
                <w:color w:val="105C84"/>
                <w:spacing w:val="-2"/>
                <w:position w:val="2"/>
                <w:sz w:val="18"/>
              </w:rPr>
              <w:t>%</w:t>
            </w:r>
            <w:r>
              <w:rPr>
                <w:color w:val="105C84"/>
                <w:spacing w:val="-8"/>
                <w:position w:val="2"/>
                <w:sz w:val="18"/>
              </w:rPr>
              <w:t> </w:t>
            </w:r>
            <w:r>
              <w:rPr>
                <w:color w:val="105C84"/>
                <w:spacing w:val="-2"/>
                <w:position w:val="2"/>
                <w:sz w:val="18"/>
              </w:rPr>
              <w:t>parents</w:t>
            </w:r>
            <w:r>
              <w:rPr>
                <w:color w:val="105C84"/>
                <w:spacing w:val="-7"/>
                <w:position w:val="2"/>
                <w:sz w:val="18"/>
              </w:rPr>
              <w:t> </w:t>
            </w:r>
            <w:r>
              <w:rPr>
                <w:color w:val="105C84"/>
                <w:spacing w:val="-2"/>
                <w:position w:val="2"/>
                <w:sz w:val="18"/>
              </w:rPr>
              <w:t>gaining</w:t>
            </w:r>
            <w:r>
              <w:rPr>
                <w:color w:val="105C84"/>
                <w:position w:val="2"/>
                <w:sz w:val="18"/>
              </w:rPr>
              <w:tab/>
            </w:r>
            <w:r>
              <w:rPr>
                <w:color w:val="105C84"/>
                <w:spacing w:val="-2"/>
                <w:sz w:val="18"/>
              </w:rPr>
              <w:t>Visitors</w:t>
            </w:r>
          </w:p>
          <w:p>
            <w:pPr>
              <w:pStyle w:val="TableParagraph"/>
              <w:tabs>
                <w:tab w:pos="3885" w:val="left" w:leader="none"/>
              </w:tabs>
              <w:spacing w:line="245" w:lineRule="exact"/>
              <w:ind w:left="87"/>
              <w:rPr>
                <w:sz w:val="18"/>
              </w:rPr>
            </w:pPr>
            <w:r>
              <w:rPr>
                <w:color w:val="105C84"/>
                <w:position w:val="11"/>
                <w:sz w:val="18"/>
              </w:rPr>
              <w:t>new</w:t>
            </w:r>
            <w:r>
              <w:rPr>
                <w:color w:val="105C84"/>
                <w:spacing w:val="1"/>
                <w:position w:val="11"/>
                <w:sz w:val="18"/>
              </w:rPr>
              <w:t> </w:t>
            </w:r>
            <w:r>
              <w:rPr>
                <w:color w:val="105C84"/>
                <w:position w:val="11"/>
                <w:sz w:val="18"/>
              </w:rPr>
              <w:t>knowledge</w:t>
            </w:r>
            <w:r>
              <w:rPr>
                <w:color w:val="105C84"/>
                <w:spacing w:val="1"/>
                <w:position w:val="11"/>
                <w:sz w:val="18"/>
              </w:rPr>
              <w:t> </w:t>
            </w:r>
            <w:r>
              <w:rPr>
                <w:color w:val="105C84"/>
                <w:spacing w:val="-2"/>
                <w:position w:val="11"/>
                <w:sz w:val="18"/>
              </w:rPr>
              <w:t>about</w:t>
            </w:r>
            <w:r>
              <w:rPr>
                <w:color w:val="105C84"/>
                <w:position w:val="11"/>
                <w:sz w:val="18"/>
              </w:rPr>
              <w:tab/>
            </w:r>
            <w:r>
              <w:rPr>
                <w:color w:val="105C84"/>
                <w:sz w:val="18"/>
              </w:rPr>
              <w:t>All</w:t>
            </w:r>
            <w:r>
              <w:rPr>
                <w:color w:val="105C84"/>
                <w:spacing w:val="3"/>
                <w:sz w:val="18"/>
              </w:rPr>
              <w:t> </w:t>
            </w:r>
            <w:r>
              <w:rPr>
                <w:color w:val="105C84"/>
                <w:sz w:val="18"/>
              </w:rPr>
              <w:t>utilize</w:t>
            </w:r>
            <w:r>
              <w:rPr>
                <w:color w:val="105C84"/>
                <w:spacing w:val="3"/>
                <w:sz w:val="18"/>
              </w:rPr>
              <w:t> </w:t>
            </w:r>
            <w:r>
              <w:rPr>
                <w:color w:val="105C84"/>
                <w:sz w:val="18"/>
              </w:rPr>
              <w:t>the</w:t>
            </w:r>
            <w:r>
              <w:rPr>
                <w:color w:val="105C84"/>
                <w:spacing w:val="3"/>
                <w:sz w:val="18"/>
              </w:rPr>
              <w:t> </w:t>
            </w:r>
            <w:r>
              <w:rPr>
                <w:color w:val="105C84"/>
                <w:spacing w:val="-2"/>
                <w:sz w:val="18"/>
              </w:rPr>
              <w:t>Pyramid</w:t>
            </w:r>
          </w:p>
          <w:p>
            <w:pPr>
              <w:pStyle w:val="TableParagraph"/>
              <w:tabs>
                <w:tab w:pos="3885" w:val="left" w:leader="none"/>
              </w:tabs>
              <w:spacing w:line="144" w:lineRule="auto"/>
              <w:ind w:left="87"/>
              <w:rPr>
                <w:position w:val="-10"/>
                <w:sz w:val="18"/>
              </w:rPr>
            </w:pPr>
            <w:r>
              <w:rPr>
                <w:color w:val="105C84"/>
                <w:sz w:val="18"/>
              </w:rPr>
              <w:t>expected social </w:t>
            </w:r>
            <w:r>
              <w:rPr>
                <w:color w:val="105C84"/>
                <w:spacing w:val="-5"/>
                <w:sz w:val="18"/>
              </w:rPr>
              <w:t>and</w:t>
            </w:r>
            <w:r>
              <w:rPr>
                <w:color w:val="105C84"/>
                <w:sz w:val="18"/>
              </w:rPr>
              <w:tab/>
            </w:r>
            <w:r>
              <w:rPr>
                <w:color w:val="105C84"/>
                <w:position w:val="-10"/>
                <w:sz w:val="18"/>
              </w:rPr>
              <w:t>Model,</w:t>
            </w:r>
            <w:r>
              <w:rPr>
                <w:color w:val="105C84"/>
                <w:spacing w:val="17"/>
                <w:position w:val="-10"/>
                <w:sz w:val="18"/>
              </w:rPr>
              <w:t> </w:t>
            </w:r>
            <w:r>
              <w:rPr>
                <w:color w:val="105C84"/>
                <w:spacing w:val="-2"/>
                <w:position w:val="-10"/>
                <w:sz w:val="18"/>
              </w:rPr>
              <w:t>Conscious</w:t>
            </w:r>
          </w:p>
          <w:p>
            <w:pPr>
              <w:pStyle w:val="TableParagraph"/>
              <w:tabs>
                <w:tab w:pos="3885" w:val="left" w:leader="none"/>
              </w:tabs>
              <w:spacing w:line="144" w:lineRule="auto"/>
              <w:ind w:left="87"/>
              <w:rPr>
                <w:position w:val="-10"/>
                <w:sz w:val="18"/>
              </w:rPr>
            </w:pPr>
            <w:r>
              <w:rPr>
                <w:color w:val="105C84"/>
                <w:sz w:val="18"/>
              </w:rPr>
              <w:t>emotional</w:t>
            </w:r>
            <w:r>
              <w:rPr>
                <w:color w:val="105C84"/>
                <w:spacing w:val="8"/>
                <w:sz w:val="18"/>
              </w:rPr>
              <w:t> </w:t>
            </w:r>
            <w:r>
              <w:rPr>
                <w:color w:val="105C84"/>
                <w:sz w:val="18"/>
              </w:rPr>
              <w:t>well</w:t>
            </w:r>
            <w:r>
              <w:rPr>
                <w:color w:val="105C84"/>
                <w:spacing w:val="8"/>
                <w:sz w:val="18"/>
              </w:rPr>
              <w:t> </w:t>
            </w:r>
            <w:r>
              <w:rPr>
                <w:color w:val="105C84"/>
                <w:spacing w:val="-2"/>
                <w:sz w:val="18"/>
              </w:rPr>
              <w:t>being</w:t>
            </w:r>
            <w:r>
              <w:rPr>
                <w:color w:val="105C84"/>
                <w:sz w:val="18"/>
              </w:rPr>
              <w:tab/>
            </w:r>
            <w:r>
              <w:rPr>
                <w:color w:val="105C84"/>
                <w:spacing w:val="-2"/>
                <w:position w:val="-10"/>
                <w:sz w:val="18"/>
              </w:rPr>
              <w:t>Disciple,</w:t>
            </w:r>
            <w:r>
              <w:rPr>
                <w:color w:val="105C84"/>
                <w:spacing w:val="-6"/>
                <w:position w:val="-10"/>
                <w:sz w:val="18"/>
              </w:rPr>
              <w:t> </w:t>
            </w:r>
            <w:r>
              <w:rPr>
                <w:color w:val="105C84"/>
                <w:spacing w:val="-2"/>
                <w:position w:val="-10"/>
                <w:sz w:val="18"/>
              </w:rPr>
              <w:t>Parents</w:t>
            </w:r>
            <w:r>
              <w:rPr>
                <w:color w:val="105C84"/>
                <w:spacing w:val="-7"/>
                <w:position w:val="-10"/>
                <w:sz w:val="18"/>
              </w:rPr>
              <w:t> </w:t>
            </w:r>
            <w:r>
              <w:rPr>
                <w:color w:val="105C84"/>
                <w:spacing w:val="-5"/>
                <w:position w:val="-10"/>
                <w:sz w:val="18"/>
              </w:rPr>
              <w:t>as</w:t>
            </w:r>
          </w:p>
          <w:p>
            <w:pPr>
              <w:pStyle w:val="TableParagraph"/>
              <w:tabs>
                <w:tab w:pos="3885" w:val="left" w:leader="none"/>
              </w:tabs>
              <w:spacing w:line="200" w:lineRule="exact"/>
              <w:ind w:left="87"/>
              <w:rPr>
                <w:sz w:val="18"/>
              </w:rPr>
            </w:pPr>
            <w:r>
              <w:rPr>
                <w:color w:val="105C84"/>
                <w:position w:val="11"/>
                <w:sz w:val="18"/>
              </w:rPr>
              <w:t>and</w:t>
            </w:r>
            <w:r>
              <w:rPr>
                <w:color w:val="105C84"/>
                <w:spacing w:val="-1"/>
                <w:position w:val="11"/>
                <w:sz w:val="18"/>
              </w:rPr>
              <w:t> </w:t>
            </w:r>
            <w:r>
              <w:rPr>
                <w:color w:val="105C84"/>
                <w:spacing w:val="-2"/>
                <w:position w:val="11"/>
                <w:sz w:val="18"/>
              </w:rPr>
              <w:t>developmental</w:t>
            </w:r>
            <w:r>
              <w:rPr>
                <w:color w:val="105C84"/>
                <w:position w:val="11"/>
                <w:sz w:val="18"/>
              </w:rPr>
              <w:tab/>
            </w:r>
            <w:r>
              <w:rPr>
                <w:color w:val="105C84"/>
                <w:spacing w:val="-8"/>
                <w:sz w:val="18"/>
              </w:rPr>
              <w:t>Teachers,</w:t>
            </w:r>
            <w:r>
              <w:rPr>
                <w:color w:val="105C84"/>
                <w:spacing w:val="6"/>
                <w:sz w:val="18"/>
              </w:rPr>
              <w:t> </w:t>
            </w:r>
            <w:r>
              <w:rPr>
                <w:color w:val="105C84"/>
                <w:spacing w:val="-8"/>
                <w:sz w:val="18"/>
              </w:rPr>
              <w:t>Your</w:t>
            </w:r>
            <w:r>
              <w:rPr>
                <w:color w:val="105C84"/>
                <w:spacing w:val="6"/>
                <w:sz w:val="18"/>
              </w:rPr>
              <w:t> </w:t>
            </w:r>
            <w:r>
              <w:rPr>
                <w:color w:val="105C84"/>
                <w:spacing w:val="-8"/>
                <w:sz w:val="18"/>
              </w:rPr>
              <w:t>Journey</w:t>
            </w:r>
          </w:p>
          <w:p>
            <w:pPr>
              <w:pStyle w:val="TableParagraph"/>
              <w:tabs>
                <w:tab w:pos="3885" w:val="left" w:leader="none"/>
              </w:tabs>
              <w:spacing w:line="245" w:lineRule="exact"/>
              <w:ind w:left="87"/>
              <w:rPr>
                <w:sz w:val="18"/>
              </w:rPr>
            </w:pPr>
            <w:r>
              <w:rPr>
                <w:color w:val="105C84"/>
                <w:spacing w:val="-2"/>
                <w:position w:val="11"/>
                <w:sz w:val="18"/>
              </w:rPr>
              <w:t>milestones</w:t>
            </w:r>
            <w:r>
              <w:rPr>
                <w:color w:val="105C84"/>
                <w:position w:val="11"/>
                <w:sz w:val="18"/>
              </w:rPr>
              <w:tab/>
            </w:r>
            <w:r>
              <w:rPr>
                <w:color w:val="105C84"/>
                <w:spacing w:val="-2"/>
                <w:sz w:val="18"/>
              </w:rPr>
              <w:t>Together, Flip </w:t>
            </w:r>
            <w:r>
              <w:rPr>
                <w:color w:val="105C84"/>
                <w:spacing w:val="-5"/>
                <w:sz w:val="18"/>
              </w:rPr>
              <w:t>It,</w:t>
            </w:r>
          </w:p>
          <w:p>
            <w:pPr>
              <w:pStyle w:val="TableParagraph"/>
              <w:tabs>
                <w:tab w:pos="3885" w:val="left" w:leader="none"/>
              </w:tabs>
              <w:spacing w:line="200" w:lineRule="exact"/>
              <w:ind w:left="87"/>
              <w:rPr>
                <w:sz w:val="18"/>
              </w:rPr>
            </w:pPr>
            <w:r>
              <w:rPr>
                <w:color w:val="105C84"/>
                <w:spacing w:val="-2"/>
                <w:position w:val="2"/>
                <w:sz w:val="18"/>
              </w:rPr>
              <w:t>%</w:t>
            </w:r>
            <w:r>
              <w:rPr>
                <w:color w:val="105C84"/>
                <w:spacing w:val="-8"/>
                <w:position w:val="2"/>
                <w:sz w:val="18"/>
              </w:rPr>
              <w:t> </w:t>
            </w:r>
            <w:r>
              <w:rPr>
                <w:color w:val="105C84"/>
                <w:spacing w:val="-2"/>
                <w:position w:val="2"/>
                <w:sz w:val="18"/>
              </w:rPr>
              <w:t>parents</w:t>
            </w:r>
            <w:r>
              <w:rPr>
                <w:color w:val="105C84"/>
                <w:spacing w:val="-7"/>
                <w:position w:val="2"/>
                <w:sz w:val="18"/>
              </w:rPr>
              <w:t> </w:t>
            </w:r>
            <w:r>
              <w:rPr>
                <w:color w:val="105C84"/>
                <w:spacing w:val="-2"/>
                <w:position w:val="2"/>
                <w:sz w:val="18"/>
              </w:rPr>
              <w:t>gaining</w:t>
            </w:r>
            <w:r>
              <w:rPr>
                <w:color w:val="105C84"/>
                <w:position w:val="2"/>
                <w:sz w:val="18"/>
              </w:rPr>
              <w:tab/>
            </w:r>
            <w:r>
              <w:rPr>
                <w:color w:val="105C84"/>
                <w:sz w:val="18"/>
              </w:rPr>
              <w:t>Strengthening</w:t>
            </w:r>
            <w:r>
              <w:rPr>
                <w:color w:val="105C84"/>
                <w:spacing w:val="8"/>
                <w:sz w:val="18"/>
              </w:rPr>
              <w:t> </w:t>
            </w:r>
            <w:r>
              <w:rPr>
                <w:color w:val="105C84"/>
                <w:spacing w:val="-2"/>
                <w:sz w:val="18"/>
              </w:rPr>
              <w:t>Families</w:t>
            </w:r>
          </w:p>
          <w:p>
            <w:pPr>
              <w:pStyle w:val="TableParagraph"/>
              <w:tabs>
                <w:tab w:pos="3885" w:val="left" w:leader="none"/>
              </w:tabs>
              <w:spacing w:line="210" w:lineRule="exact"/>
              <w:ind w:left="87"/>
              <w:rPr>
                <w:sz w:val="18"/>
              </w:rPr>
            </w:pPr>
            <w:r>
              <w:rPr>
                <w:color w:val="105C84"/>
                <w:position w:val="2"/>
                <w:sz w:val="18"/>
              </w:rPr>
              <w:t>parenting</w:t>
            </w:r>
            <w:r>
              <w:rPr>
                <w:color w:val="105C84"/>
                <w:spacing w:val="14"/>
                <w:position w:val="2"/>
                <w:sz w:val="18"/>
              </w:rPr>
              <w:t> </w:t>
            </w:r>
            <w:r>
              <w:rPr>
                <w:color w:val="105C84"/>
                <w:spacing w:val="-2"/>
                <w:position w:val="2"/>
                <w:sz w:val="18"/>
              </w:rPr>
              <w:t>skills</w:t>
            </w:r>
            <w:r>
              <w:rPr>
                <w:color w:val="105C84"/>
                <w:position w:val="2"/>
                <w:sz w:val="18"/>
              </w:rPr>
              <w:tab/>
            </w:r>
            <w:r>
              <w:rPr>
                <w:color w:val="105C84"/>
                <w:sz w:val="18"/>
              </w:rPr>
              <w:t>and the</w:t>
            </w:r>
            <w:r>
              <w:rPr>
                <w:color w:val="105C84"/>
                <w:spacing w:val="1"/>
                <w:sz w:val="18"/>
              </w:rPr>
              <w:t> </w:t>
            </w:r>
            <w:r>
              <w:rPr>
                <w:color w:val="105C84"/>
                <w:sz w:val="18"/>
              </w:rPr>
              <w:t>Dial </w:t>
            </w:r>
            <w:r>
              <w:rPr>
                <w:color w:val="105C84"/>
                <w:spacing w:val="-2"/>
                <w:sz w:val="18"/>
              </w:rPr>
              <w:t>Assessment</w:t>
            </w:r>
          </w:p>
          <w:p>
            <w:pPr>
              <w:pStyle w:val="TableParagraph"/>
              <w:tabs>
                <w:tab w:pos="3885" w:val="left" w:leader="none"/>
              </w:tabs>
              <w:spacing w:line="153" w:lineRule="auto"/>
              <w:ind w:left="87"/>
              <w:rPr>
                <w:sz w:val="18"/>
              </w:rPr>
            </w:pPr>
            <w:r>
              <w:rPr>
                <w:color w:val="105C84"/>
                <w:position w:val="-6"/>
                <w:sz w:val="18"/>
              </w:rPr>
              <w:t>#</w:t>
            </w:r>
            <w:r>
              <w:rPr>
                <w:color w:val="105C84"/>
                <w:spacing w:val="-6"/>
                <w:position w:val="-6"/>
                <w:sz w:val="18"/>
              </w:rPr>
              <w:t> </w:t>
            </w:r>
            <w:r>
              <w:rPr>
                <w:color w:val="105C84"/>
                <w:position w:val="-6"/>
                <w:sz w:val="18"/>
              </w:rPr>
              <w:t>staff</w:t>
            </w:r>
            <w:r>
              <w:rPr>
                <w:color w:val="105C84"/>
                <w:spacing w:val="-6"/>
                <w:position w:val="-6"/>
                <w:sz w:val="18"/>
              </w:rPr>
              <w:t> </w:t>
            </w:r>
            <w:r>
              <w:rPr>
                <w:color w:val="105C84"/>
                <w:position w:val="-6"/>
                <w:sz w:val="18"/>
              </w:rPr>
              <w:t>trained</w:t>
            </w:r>
            <w:r>
              <w:rPr>
                <w:color w:val="105C84"/>
                <w:spacing w:val="-6"/>
                <w:position w:val="-6"/>
                <w:sz w:val="18"/>
              </w:rPr>
              <w:t> </w:t>
            </w:r>
            <w:r>
              <w:rPr>
                <w:color w:val="105C84"/>
                <w:spacing w:val="-5"/>
                <w:position w:val="-6"/>
                <w:sz w:val="18"/>
              </w:rPr>
              <w:t>in</w:t>
            </w:r>
            <w:r>
              <w:rPr>
                <w:color w:val="105C84"/>
                <w:position w:val="-6"/>
                <w:sz w:val="18"/>
              </w:rPr>
              <w:tab/>
            </w:r>
            <w:r>
              <w:rPr>
                <w:color w:val="105C84"/>
                <w:sz w:val="18"/>
              </w:rPr>
              <w:t>to</w:t>
            </w:r>
            <w:r>
              <w:rPr>
                <w:color w:val="105C84"/>
                <w:spacing w:val="4"/>
                <w:sz w:val="18"/>
              </w:rPr>
              <w:t> </w:t>
            </w:r>
            <w:r>
              <w:rPr>
                <w:color w:val="105C84"/>
                <w:sz w:val="18"/>
              </w:rPr>
              <w:t>work</w:t>
            </w:r>
            <w:r>
              <w:rPr>
                <w:color w:val="105C84"/>
                <w:spacing w:val="4"/>
                <w:sz w:val="18"/>
              </w:rPr>
              <w:t> </w:t>
            </w:r>
            <w:r>
              <w:rPr>
                <w:color w:val="105C84"/>
                <w:sz w:val="18"/>
              </w:rPr>
              <w:t>with</w:t>
            </w:r>
            <w:r>
              <w:rPr>
                <w:color w:val="105C84"/>
                <w:spacing w:val="4"/>
                <w:sz w:val="18"/>
              </w:rPr>
              <w:t> </w:t>
            </w:r>
            <w:r>
              <w:rPr>
                <w:color w:val="105C84"/>
                <w:spacing w:val="-2"/>
                <w:sz w:val="18"/>
              </w:rPr>
              <w:t>children</w:t>
            </w:r>
          </w:p>
          <w:p>
            <w:pPr>
              <w:pStyle w:val="TableParagraph"/>
              <w:tabs>
                <w:tab w:pos="3885" w:val="left" w:leader="none"/>
              </w:tabs>
              <w:spacing w:line="153" w:lineRule="auto"/>
              <w:ind w:left="87"/>
              <w:rPr>
                <w:sz w:val="18"/>
              </w:rPr>
            </w:pPr>
            <w:r>
              <w:rPr>
                <w:color w:val="105C84"/>
                <w:position w:val="-6"/>
                <w:sz w:val="18"/>
              </w:rPr>
              <w:t>evidence</w:t>
            </w:r>
            <w:r>
              <w:rPr>
                <w:color w:val="105C84"/>
                <w:spacing w:val="-4"/>
                <w:position w:val="-6"/>
                <w:sz w:val="18"/>
              </w:rPr>
              <w:t> based</w:t>
            </w:r>
            <w:r>
              <w:rPr>
                <w:color w:val="105C84"/>
                <w:position w:val="-6"/>
                <w:sz w:val="18"/>
              </w:rPr>
              <w:tab/>
            </w:r>
            <w:r>
              <w:rPr>
                <w:color w:val="105C84"/>
                <w:sz w:val="18"/>
              </w:rPr>
              <w:t>and</w:t>
            </w:r>
            <w:r>
              <w:rPr>
                <w:color w:val="105C84"/>
                <w:spacing w:val="-2"/>
                <w:sz w:val="18"/>
              </w:rPr>
              <w:t> </w:t>
            </w:r>
            <w:r>
              <w:rPr>
                <w:color w:val="105C84"/>
                <w:sz w:val="18"/>
              </w:rPr>
              <w:t>their</w:t>
            </w:r>
            <w:r>
              <w:rPr>
                <w:color w:val="105C84"/>
                <w:spacing w:val="-1"/>
                <w:sz w:val="18"/>
              </w:rPr>
              <w:t> </w:t>
            </w:r>
            <w:r>
              <w:rPr>
                <w:color w:val="105C84"/>
                <w:sz w:val="18"/>
              </w:rPr>
              <w:t>families</w:t>
            </w:r>
            <w:r>
              <w:rPr>
                <w:color w:val="105C84"/>
                <w:spacing w:val="-2"/>
                <w:sz w:val="18"/>
              </w:rPr>
              <w:t> </w:t>
            </w:r>
            <w:r>
              <w:rPr>
                <w:color w:val="105C84"/>
                <w:spacing w:val="-5"/>
                <w:sz w:val="18"/>
              </w:rPr>
              <w:t>on</w:t>
            </w:r>
          </w:p>
          <w:p>
            <w:pPr>
              <w:pStyle w:val="TableParagraph"/>
              <w:tabs>
                <w:tab w:pos="3885" w:val="left" w:leader="none"/>
              </w:tabs>
              <w:spacing w:line="153" w:lineRule="auto"/>
              <w:ind w:left="87"/>
              <w:rPr>
                <w:sz w:val="18"/>
              </w:rPr>
            </w:pPr>
            <w:r>
              <w:rPr>
                <w:color w:val="105C84"/>
                <w:spacing w:val="-2"/>
                <w:position w:val="-6"/>
                <w:sz w:val="18"/>
              </w:rPr>
              <w:t>models</w:t>
            </w:r>
            <w:r>
              <w:rPr>
                <w:color w:val="105C84"/>
                <w:position w:val="-6"/>
                <w:sz w:val="18"/>
              </w:rPr>
              <w:tab/>
            </w:r>
            <w:r>
              <w:rPr>
                <w:color w:val="105C84"/>
                <w:sz w:val="18"/>
              </w:rPr>
              <w:t>social</w:t>
            </w:r>
            <w:r>
              <w:rPr>
                <w:color w:val="105C84"/>
                <w:spacing w:val="-10"/>
                <w:sz w:val="18"/>
              </w:rPr>
              <w:t> </w:t>
            </w:r>
            <w:r>
              <w:rPr>
                <w:color w:val="105C84"/>
                <w:sz w:val="18"/>
              </w:rPr>
              <w:t>and</w:t>
            </w:r>
            <w:r>
              <w:rPr>
                <w:color w:val="105C84"/>
                <w:spacing w:val="-9"/>
                <w:sz w:val="18"/>
              </w:rPr>
              <w:t> </w:t>
            </w:r>
            <w:r>
              <w:rPr>
                <w:color w:val="105C84"/>
                <w:spacing w:val="-2"/>
                <w:sz w:val="18"/>
              </w:rPr>
              <w:t>emotional</w:t>
            </w:r>
          </w:p>
          <w:p>
            <w:pPr>
              <w:pStyle w:val="TableParagraph"/>
              <w:spacing w:line="165" w:lineRule="exact"/>
              <w:ind w:left="3885"/>
              <w:rPr>
                <w:sz w:val="18"/>
              </w:rPr>
            </w:pPr>
            <w:r>
              <w:rPr>
                <w:color w:val="105C84"/>
                <w:sz w:val="18"/>
              </w:rPr>
              <w:t>development,</w:t>
            </w:r>
            <w:r>
              <w:rPr>
                <w:color w:val="105C84"/>
                <w:spacing w:val="28"/>
                <w:sz w:val="18"/>
              </w:rPr>
              <w:t> </w:t>
            </w:r>
            <w:r>
              <w:rPr>
                <w:color w:val="105C84"/>
                <w:spacing w:val="-2"/>
                <w:sz w:val="18"/>
              </w:rPr>
              <w:t>resulting</w:t>
            </w:r>
          </w:p>
          <w:p>
            <w:pPr>
              <w:pStyle w:val="TableParagraph"/>
              <w:spacing w:line="232" w:lineRule="auto"/>
              <w:ind w:left="3885" w:right="194"/>
              <w:rPr>
                <w:sz w:val="18"/>
              </w:rPr>
            </w:pPr>
            <w:r>
              <w:rPr>
                <w:color w:val="105C84"/>
                <w:sz w:val="18"/>
              </w:rPr>
              <w:t>in</w:t>
            </w:r>
            <w:r>
              <w:rPr>
                <w:color w:val="105C84"/>
                <w:spacing w:val="-12"/>
                <w:sz w:val="18"/>
              </w:rPr>
              <w:t> </w:t>
            </w:r>
            <w:r>
              <w:rPr>
                <w:color w:val="105C84"/>
                <w:sz w:val="18"/>
              </w:rPr>
              <w:t>400</w:t>
            </w:r>
            <w:r>
              <w:rPr>
                <w:color w:val="105C84"/>
                <w:spacing w:val="-12"/>
                <w:sz w:val="18"/>
              </w:rPr>
              <w:t> </w:t>
            </w:r>
            <w:r>
              <w:rPr>
                <w:color w:val="105C84"/>
                <w:sz w:val="18"/>
              </w:rPr>
              <w:t>children's</w:t>
            </w:r>
            <w:r>
              <w:rPr>
                <w:color w:val="105C84"/>
                <w:spacing w:val="-12"/>
                <w:sz w:val="18"/>
              </w:rPr>
              <w:t> </w:t>
            </w:r>
            <w:r>
              <w:rPr>
                <w:color w:val="105C84"/>
                <w:sz w:val="18"/>
              </w:rPr>
              <w:t>growth in social and emotional milestones, and 150 parents increasing</w:t>
            </w:r>
          </w:p>
          <w:p>
            <w:pPr>
              <w:pStyle w:val="TableParagraph"/>
              <w:spacing w:line="232" w:lineRule="auto"/>
              <w:ind w:left="3885" w:right="194"/>
              <w:rPr>
                <w:sz w:val="18"/>
              </w:rPr>
            </w:pPr>
            <w:r>
              <w:rPr>
                <w:color w:val="105C84"/>
                <w:sz w:val="18"/>
              </w:rPr>
              <w:t>their knowledge of social and emotional well</w:t>
            </w:r>
            <w:r>
              <w:rPr>
                <w:color w:val="105C84"/>
                <w:spacing w:val="-11"/>
                <w:sz w:val="18"/>
              </w:rPr>
              <w:t> </w:t>
            </w:r>
            <w:r>
              <w:rPr>
                <w:color w:val="105C84"/>
                <w:sz w:val="18"/>
              </w:rPr>
              <w:t>being</w:t>
            </w:r>
            <w:r>
              <w:rPr>
                <w:color w:val="105C84"/>
                <w:spacing w:val="-11"/>
                <w:sz w:val="18"/>
              </w:rPr>
              <w:t> </w:t>
            </w:r>
            <w:r>
              <w:rPr>
                <w:color w:val="105C84"/>
                <w:sz w:val="18"/>
              </w:rPr>
              <w:t>milestones, </w:t>
            </w:r>
            <w:r>
              <w:rPr>
                <w:color w:val="105C84"/>
                <w:spacing w:val="-2"/>
                <w:sz w:val="18"/>
              </w:rPr>
              <w:t>developmental </w:t>
            </w:r>
            <w:r>
              <w:rPr>
                <w:color w:val="105C84"/>
                <w:sz w:val="18"/>
              </w:rPr>
              <w:t>milestones and</w:t>
            </w:r>
          </w:p>
          <w:p>
            <w:pPr>
              <w:pStyle w:val="TableParagraph"/>
              <w:spacing w:line="198" w:lineRule="exact"/>
              <w:ind w:left="3885"/>
              <w:rPr>
                <w:sz w:val="18"/>
              </w:rPr>
            </w:pPr>
            <w:r>
              <w:rPr>
                <w:color w:val="105C84"/>
                <w:sz w:val="18"/>
              </w:rPr>
              <w:t>increased</w:t>
            </w:r>
            <w:r>
              <w:rPr>
                <w:color w:val="105C84"/>
                <w:spacing w:val="-6"/>
                <w:sz w:val="18"/>
              </w:rPr>
              <w:t> </w:t>
            </w:r>
            <w:r>
              <w:rPr>
                <w:color w:val="105C84"/>
                <w:sz w:val="18"/>
              </w:rPr>
              <w:t>parenting</w:t>
            </w:r>
            <w:r>
              <w:rPr>
                <w:color w:val="105C84"/>
                <w:spacing w:val="-6"/>
                <w:sz w:val="18"/>
              </w:rPr>
              <w:t> </w:t>
            </w:r>
            <w:r>
              <w:rPr>
                <w:color w:val="105C84"/>
                <w:spacing w:val="-2"/>
                <w:sz w:val="18"/>
              </w:rPr>
              <w:t>skills</w:t>
            </w:r>
          </w:p>
        </w:tc>
        <w:tc>
          <w:tcPr>
            <w:tcW w:w="2189" w:type="dxa"/>
          </w:tcPr>
          <w:p>
            <w:pPr>
              <w:pStyle w:val="TableParagraph"/>
              <w:spacing w:line="232" w:lineRule="auto" w:before="99"/>
              <w:ind w:left="86" w:right="14"/>
              <w:rPr>
                <w:sz w:val="18"/>
              </w:rPr>
            </w:pPr>
            <w:r>
              <w:rPr>
                <w:color w:val="105C84"/>
                <w:sz w:val="18"/>
              </w:rPr>
              <w:t>ProAction Resilient Children and Families (RCF) Programs include 12 Head Start </w:t>
            </w:r>
            <w:r>
              <w:rPr>
                <w:color w:val="105C84"/>
                <w:w w:val="105"/>
                <w:sz w:val="18"/>
              </w:rPr>
              <w:t>/ </w:t>
            </w:r>
            <w:r>
              <w:rPr>
                <w:color w:val="105C84"/>
                <w:sz w:val="18"/>
              </w:rPr>
              <w:t>Early </w:t>
            </w:r>
            <w:r>
              <w:rPr>
                <w:color w:val="105C84"/>
                <w:spacing w:val="-2"/>
                <w:sz w:val="18"/>
              </w:rPr>
              <w:t>Head</w:t>
            </w:r>
            <w:r>
              <w:rPr>
                <w:color w:val="105C84"/>
                <w:spacing w:val="-13"/>
                <w:sz w:val="18"/>
              </w:rPr>
              <w:t> </w:t>
            </w:r>
            <w:r>
              <w:rPr>
                <w:color w:val="105C84"/>
                <w:spacing w:val="-2"/>
                <w:sz w:val="18"/>
              </w:rPr>
              <w:t>Start</w:t>
            </w:r>
            <w:r>
              <w:rPr>
                <w:color w:val="105C84"/>
                <w:spacing w:val="-10"/>
                <w:sz w:val="18"/>
              </w:rPr>
              <w:t> </w:t>
            </w:r>
            <w:r>
              <w:rPr>
                <w:color w:val="105C84"/>
                <w:spacing w:val="-2"/>
                <w:sz w:val="18"/>
              </w:rPr>
              <w:t>sites,</w:t>
            </w:r>
            <w:r>
              <w:rPr>
                <w:color w:val="105C84"/>
                <w:spacing w:val="-11"/>
                <w:sz w:val="18"/>
              </w:rPr>
              <w:t> </w:t>
            </w:r>
            <w:r>
              <w:rPr>
                <w:color w:val="105C84"/>
                <w:spacing w:val="-2"/>
                <w:sz w:val="18"/>
              </w:rPr>
              <w:t>3</w:t>
            </w:r>
            <w:r>
              <w:rPr>
                <w:color w:val="105C84"/>
                <w:spacing w:val="-10"/>
                <w:sz w:val="18"/>
              </w:rPr>
              <w:t> </w:t>
            </w:r>
            <w:r>
              <w:rPr>
                <w:color w:val="105C84"/>
                <w:spacing w:val="-2"/>
                <w:sz w:val="18"/>
              </w:rPr>
              <w:t>Family </w:t>
            </w:r>
            <w:r>
              <w:rPr>
                <w:color w:val="105C84"/>
                <w:sz w:val="18"/>
              </w:rPr>
              <w:t>Resource Centers, and multiple RCF Home </w:t>
            </w:r>
            <w:r>
              <w:rPr>
                <w:color w:val="105C84"/>
                <w:spacing w:val="-2"/>
                <w:sz w:val="18"/>
              </w:rPr>
              <w:t>Visitors</w:t>
            </w:r>
          </w:p>
          <w:p>
            <w:pPr>
              <w:pStyle w:val="TableParagraph"/>
              <w:spacing w:line="232" w:lineRule="auto" w:before="84"/>
              <w:ind w:left="86" w:right="129"/>
              <w:rPr>
                <w:sz w:val="18"/>
              </w:rPr>
            </w:pPr>
            <w:r>
              <w:rPr>
                <w:color w:val="105C84"/>
                <w:sz w:val="18"/>
              </w:rPr>
              <w:t>All utilize the Pyramid Model, Conscious Disciple, Parents as Teachers, Your Journey Together, Flip It, Strengthening Families and</w:t>
            </w:r>
            <w:r>
              <w:rPr>
                <w:color w:val="105C84"/>
                <w:spacing w:val="-13"/>
                <w:sz w:val="18"/>
              </w:rPr>
              <w:t> </w:t>
            </w:r>
            <w:r>
              <w:rPr>
                <w:color w:val="105C84"/>
                <w:sz w:val="18"/>
              </w:rPr>
              <w:t>the</w:t>
            </w:r>
            <w:r>
              <w:rPr>
                <w:color w:val="105C84"/>
                <w:spacing w:val="-12"/>
                <w:sz w:val="18"/>
              </w:rPr>
              <w:t> </w:t>
            </w:r>
            <w:r>
              <w:rPr>
                <w:color w:val="105C84"/>
                <w:sz w:val="18"/>
              </w:rPr>
              <w:t>Dial</w:t>
            </w:r>
            <w:r>
              <w:rPr>
                <w:color w:val="105C84"/>
                <w:spacing w:val="-13"/>
                <w:sz w:val="18"/>
              </w:rPr>
              <w:t> </w:t>
            </w:r>
            <w:r>
              <w:rPr>
                <w:color w:val="105C84"/>
                <w:sz w:val="18"/>
              </w:rPr>
              <w:t>Assessment to work with children</w:t>
            </w:r>
            <w:r>
              <w:rPr>
                <w:color w:val="105C84"/>
                <w:spacing w:val="40"/>
                <w:sz w:val="18"/>
              </w:rPr>
              <w:t> </w:t>
            </w:r>
            <w:r>
              <w:rPr>
                <w:color w:val="105C84"/>
                <w:sz w:val="18"/>
              </w:rPr>
              <w:t>and their families on social and emotional development, resulting</w:t>
            </w:r>
            <w:r>
              <w:rPr>
                <w:color w:val="105C84"/>
                <w:spacing w:val="40"/>
                <w:sz w:val="18"/>
              </w:rPr>
              <w:t> </w:t>
            </w:r>
            <w:r>
              <w:rPr>
                <w:color w:val="105C84"/>
                <w:sz w:val="18"/>
              </w:rPr>
              <w:t>in 400 children's growth in social and emotional milestones, and 150 parents increasing</w:t>
            </w:r>
          </w:p>
          <w:p>
            <w:pPr>
              <w:pStyle w:val="TableParagraph"/>
              <w:spacing w:line="187" w:lineRule="exact"/>
              <w:ind w:left="86"/>
              <w:rPr>
                <w:sz w:val="18"/>
              </w:rPr>
            </w:pPr>
            <w:r>
              <w:rPr>
                <w:color w:val="105C84"/>
                <w:sz w:val="18"/>
              </w:rPr>
              <w:t>their</w:t>
            </w:r>
            <w:r>
              <w:rPr>
                <w:color w:val="105C84"/>
                <w:spacing w:val="10"/>
                <w:sz w:val="18"/>
              </w:rPr>
              <w:t> </w:t>
            </w:r>
            <w:r>
              <w:rPr>
                <w:color w:val="105C84"/>
                <w:sz w:val="18"/>
              </w:rPr>
              <w:t>knowledge</w:t>
            </w:r>
            <w:r>
              <w:rPr>
                <w:color w:val="105C84"/>
                <w:spacing w:val="11"/>
                <w:sz w:val="18"/>
              </w:rPr>
              <w:t> </w:t>
            </w:r>
            <w:r>
              <w:rPr>
                <w:color w:val="105C84"/>
                <w:spacing w:val="-5"/>
                <w:sz w:val="18"/>
              </w:rPr>
              <w:t>of</w:t>
            </w:r>
          </w:p>
          <w:p>
            <w:pPr>
              <w:pStyle w:val="TableParagraph"/>
              <w:spacing w:line="232" w:lineRule="auto" w:before="1"/>
              <w:ind w:left="86" w:right="86"/>
              <w:rPr>
                <w:sz w:val="18"/>
              </w:rPr>
            </w:pPr>
            <w:r>
              <w:rPr>
                <w:color w:val="105C84"/>
                <w:sz w:val="18"/>
              </w:rPr>
              <w:t>social and emotional</w:t>
            </w:r>
            <w:r>
              <w:rPr>
                <w:color w:val="105C84"/>
                <w:spacing w:val="80"/>
                <w:sz w:val="18"/>
              </w:rPr>
              <w:t> </w:t>
            </w:r>
            <w:r>
              <w:rPr>
                <w:color w:val="105C84"/>
                <w:sz w:val="18"/>
              </w:rPr>
              <w:t>well being milestones, </w:t>
            </w:r>
            <w:r>
              <w:rPr>
                <w:color w:val="105C84"/>
                <w:spacing w:val="-2"/>
                <w:sz w:val="18"/>
              </w:rPr>
              <w:t>developmental </w:t>
            </w:r>
            <w:r>
              <w:rPr>
                <w:color w:val="105C84"/>
                <w:sz w:val="18"/>
              </w:rPr>
              <w:t>milestones and</w:t>
            </w:r>
            <w:r>
              <w:rPr>
                <w:color w:val="105C84"/>
                <w:spacing w:val="40"/>
                <w:sz w:val="18"/>
              </w:rPr>
              <w:t> </w:t>
            </w:r>
            <w:r>
              <w:rPr>
                <w:color w:val="105C84"/>
                <w:sz w:val="18"/>
              </w:rPr>
              <w:t>increased</w:t>
            </w:r>
            <w:r>
              <w:rPr>
                <w:color w:val="105C84"/>
                <w:spacing w:val="-15"/>
                <w:sz w:val="18"/>
              </w:rPr>
              <w:t> </w:t>
            </w:r>
            <w:r>
              <w:rPr>
                <w:color w:val="105C84"/>
                <w:sz w:val="18"/>
              </w:rPr>
              <w:t>parenting</w:t>
            </w:r>
            <w:r>
              <w:rPr>
                <w:color w:val="105C84"/>
                <w:spacing w:val="-12"/>
                <w:sz w:val="18"/>
              </w:rPr>
              <w:t> </w:t>
            </w:r>
            <w:r>
              <w:rPr>
                <w:color w:val="105C84"/>
                <w:sz w:val="18"/>
              </w:rPr>
              <w:t>skills</w:t>
            </w:r>
          </w:p>
        </w:tc>
        <w:tc>
          <w:tcPr>
            <w:tcW w:w="2175" w:type="dxa"/>
          </w:tcPr>
          <w:p>
            <w:pPr>
              <w:pStyle w:val="TableParagraph"/>
              <w:spacing w:line="232" w:lineRule="auto" w:before="98"/>
              <w:ind w:left="86" w:right="147"/>
              <w:rPr>
                <w:sz w:val="18"/>
              </w:rPr>
            </w:pPr>
            <w:r>
              <w:rPr>
                <w:color w:val="105C84"/>
                <w:sz w:val="18"/>
              </w:rPr>
              <w:t>ProAction Resilient Children and Families </w:t>
            </w:r>
            <w:r>
              <w:rPr>
                <w:color w:val="105C84"/>
                <w:spacing w:val="-4"/>
                <w:sz w:val="18"/>
              </w:rPr>
              <w:t>(RCF)</w:t>
            </w:r>
            <w:r>
              <w:rPr>
                <w:color w:val="105C84"/>
                <w:spacing w:val="-11"/>
                <w:sz w:val="18"/>
              </w:rPr>
              <w:t> </w:t>
            </w:r>
            <w:r>
              <w:rPr>
                <w:color w:val="105C84"/>
                <w:spacing w:val="-4"/>
                <w:sz w:val="18"/>
              </w:rPr>
              <w:t>Programs</w:t>
            </w:r>
            <w:r>
              <w:rPr>
                <w:color w:val="105C84"/>
                <w:spacing w:val="-8"/>
                <w:sz w:val="18"/>
              </w:rPr>
              <w:t> </w:t>
            </w:r>
            <w:r>
              <w:rPr>
                <w:color w:val="105C84"/>
                <w:spacing w:val="-4"/>
                <w:sz w:val="18"/>
              </w:rPr>
              <w:t>include </w:t>
            </w:r>
            <w:r>
              <w:rPr>
                <w:color w:val="105C84"/>
                <w:sz w:val="18"/>
              </w:rPr>
              <w:t>12 Head Start </w:t>
            </w:r>
            <w:r>
              <w:rPr>
                <w:color w:val="105C84"/>
                <w:w w:val="105"/>
                <w:sz w:val="18"/>
              </w:rPr>
              <w:t>/ </w:t>
            </w:r>
            <w:r>
              <w:rPr>
                <w:color w:val="105C84"/>
                <w:sz w:val="18"/>
              </w:rPr>
              <w:t>Early Head Start sites,</w:t>
            </w:r>
          </w:p>
          <w:p>
            <w:pPr>
              <w:pStyle w:val="TableParagraph"/>
              <w:spacing w:line="232" w:lineRule="auto"/>
              <w:ind w:left="86" w:right="147"/>
              <w:rPr>
                <w:sz w:val="18"/>
              </w:rPr>
            </w:pPr>
            <w:r>
              <w:rPr>
                <w:color w:val="105C84"/>
                <w:sz w:val="18"/>
              </w:rPr>
              <w:t>3 Family Resource Centers,</w:t>
            </w:r>
            <w:r>
              <w:rPr>
                <w:color w:val="105C84"/>
                <w:spacing w:val="-9"/>
                <w:sz w:val="18"/>
              </w:rPr>
              <w:t> </w:t>
            </w:r>
            <w:r>
              <w:rPr>
                <w:color w:val="105C84"/>
                <w:sz w:val="18"/>
              </w:rPr>
              <w:t>and</w:t>
            </w:r>
            <w:r>
              <w:rPr>
                <w:color w:val="105C84"/>
                <w:spacing w:val="-9"/>
                <w:sz w:val="18"/>
              </w:rPr>
              <w:t> </w:t>
            </w:r>
            <w:r>
              <w:rPr>
                <w:color w:val="105C84"/>
                <w:sz w:val="18"/>
              </w:rPr>
              <w:t>multiple</w:t>
            </w:r>
            <w:r>
              <w:rPr>
                <w:color w:val="105C84"/>
                <w:sz w:val="18"/>
              </w:rPr>
              <w:t> RCF Home Visitors</w:t>
            </w:r>
          </w:p>
          <w:p>
            <w:pPr>
              <w:pStyle w:val="TableParagraph"/>
              <w:spacing w:line="232" w:lineRule="auto" w:before="84"/>
              <w:ind w:left="86" w:right="115"/>
              <w:rPr>
                <w:sz w:val="18"/>
              </w:rPr>
            </w:pPr>
            <w:r>
              <w:rPr>
                <w:color w:val="105C84"/>
                <w:sz w:val="18"/>
              </w:rPr>
              <w:t>All utilize the Pyramid Model, Conscious Disciple, Parents as Teachers, Your Journey Together, Flip It, Strengthening Families and</w:t>
            </w:r>
            <w:r>
              <w:rPr>
                <w:color w:val="105C84"/>
                <w:spacing w:val="-13"/>
                <w:sz w:val="18"/>
              </w:rPr>
              <w:t> </w:t>
            </w:r>
            <w:r>
              <w:rPr>
                <w:color w:val="105C84"/>
                <w:sz w:val="18"/>
              </w:rPr>
              <w:t>the</w:t>
            </w:r>
            <w:r>
              <w:rPr>
                <w:color w:val="105C84"/>
                <w:spacing w:val="-12"/>
                <w:sz w:val="18"/>
              </w:rPr>
              <w:t> </w:t>
            </w:r>
            <w:r>
              <w:rPr>
                <w:color w:val="105C84"/>
                <w:sz w:val="18"/>
              </w:rPr>
              <w:t>Dial</w:t>
            </w:r>
            <w:r>
              <w:rPr>
                <w:color w:val="105C84"/>
                <w:spacing w:val="-13"/>
                <w:sz w:val="18"/>
              </w:rPr>
              <w:t> </w:t>
            </w:r>
            <w:r>
              <w:rPr>
                <w:color w:val="105C84"/>
                <w:sz w:val="18"/>
              </w:rPr>
              <w:t>Assessment to work with children</w:t>
            </w:r>
            <w:r>
              <w:rPr>
                <w:color w:val="105C84"/>
                <w:spacing w:val="40"/>
                <w:sz w:val="18"/>
              </w:rPr>
              <w:t> </w:t>
            </w:r>
            <w:r>
              <w:rPr>
                <w:color w:val="105C84"/>
                <w:sz w:val="18"/>
              </w:rPr>
              <w:t>and their families on social and emotional development, resulting</w:t>
            </w:r>
            <w:r>
              <w:rPr>
                <w:color w:val="105C84"/>
                <w:spacing w:val="40"/>
                <w:sz w:val="18"/>
              </w:rPr>
              <w:t> </w:t>
            </w:r>
            <w:r>
              <w:rPr>
                <w:color w:val="105C84"/>
                <w:sz w:val="18"/>
              </w:rPr>
              <w:t>in 400 children's growth in social and emotional milestones, and 150 parents increasing</w:t>
            </w:r>
          </w:p>
          <w:p>
            <w:pPr>
              <w:pStyle w:val="TableParagraph"/>
              <w:spacing w:line="187" w:lineRule="exact"/>
              <w:ind w:left="86"/>
              <w:rPr>
                <w:sz w:val="18"/>
              </w:rPr>
            </w:pPr>
            <w:r>
              <w:rPr>
                <w:color w:val="105C84"/>
                <w:sz w:val="18"/>
              </w:rPr>
              <w:t>their</w:t>
            </w:r>
            <w:r>
              <w:rPr>
                <w:color w:val="105C84"/>
                <w:spacing w:val="10"/>
                <w:sz w:val="18"/>
              </w:rPr>
              <w:t> </w:t>
            </w:r>
            <w:r>
              <w:rPr>
                <w:color w:val="105C84"/>
                <w:sz w:val="18"/>
              </w:rPr>
              <w:t>knowledge</w:t>
            </w:r>
            <w:r>
              <w:rPr>
                <w:color w:val="105C84"/>
                <w:spacing w:val="11"/>
                <w:sz w:val="18"/>
              </w:rPr>
              <w:t> </w:t>
            </w:r>
            <w:r>
              <w:rPr>
                <w:color w:val="105C84"/>
                <w:spacing w:val="-5"/>
                <w:sz w:val="18"/>
              </w:rPr>
              <w:t>of</w:t>
            </w:r>
          </w:p>
          <w:p>
            <w:pPr>
              <w:pStyle w:val="TableParagraph"/>
              <w:spacing w:line="232" w:lineRule="auto" w:before="2"/>
              <w:ind w:left="86" w:right="147"/>
              <w:rPr>
                <w:sz w:val="18"/>
              </w:rPr>
            </w:pPr>
            <w:r>
              <w:rPr>
                <w:color w:val="105C84"/>
                <w:sz w:val="18"/>
              </w:rPr>
              <w:t>social and emotional well</w:t>
            </w:r>
            <w:r>
              <w:rPr>
                <w:color w:val="105C84"/>
                <w:spacing w:val="-11"/>
                <w:sz w:val="18"/>
              </w:rPr>
              <w:t> </w:t>
            </w:r>
            <w:r>
              <w:rPr>
                <w:color w:val="105C84"/>
                <w:sz w:val="18"/>
              </w:rPr>
              <w:t>being</w:t>
            </w:r>
            <w:r>
              <w:rPr>
                <w:color w:val="105C84"/>
                <w:spacing w:val="-11"/>
                <w:sz w:val="18"/>
              </w:rPr>
              <w:t> </w:t>
            </w:r>
            <w:r>
              <w:rPr>
                <w:color w:val="105C84"/>
                <w:sz w:val="18"/>
              </w:rPr>
              <w:t>milestones, </w:t>
            </w:r>
            <w:r>
              <w:rPr>
                <w:color w:val="105C84"/>
                <w:spacing w:val="-2"/>
                <w:sz w:val="18"/>
              </w:rPr>
              <w:t>developmental </w:t>
            </w:r>
            <w:r>
              <w:rPr>
                <w:color w:val="105C84"/>
                <w:sz w:val="18"/>
              </w:rPr>
              <w:t>milestones and increased parenting </w:t>
            </w:r>
            <w:r>
              <w:rPr>
                <w:color w:val="105C84"/>
                <w:spacing w:val="-2"/>
                <w:sz w:val="18"/>
              </w:rPr>
              <w:t>skills</w:t>
            </w:r>
          </w:p>
        </w:tc>
        <w:tc>
          <w:tcPr>
            <w:tcW w:w="1498" w:type="dxa"/>
          </w:tcPr>
          <w:p>
            <w:pPr>
              <w:pStyle w:val="TableParagraph"/>
              <w:spacing w:line="232" w:lineRule="auto" w:before="98"/>
              <w:ind w:left="86"/>
              <w:rPr>
                <w:sz w:val="18"/>
              </w:rPr>
            </w:pPr>
            <w:r>
              <w:rPr>
                <w:color w:val="105C84"/>
                <w:spacing w:val="-2"/>
                <w:sz w:val="18"/>
              </w:rPr>
              <w:t>Community-based organizations</w:t>
            </w:r>
          </w:p>
        </w:tc>
        <w:tc>
          <w:tcPr>
            <w:tcW w:w="2069" w:type="dxa"/>
          </w:tcPr>
          <w:p>
            <w:pPr>
              <w:pStyle w:val="TableParagraph"/>
              <w:spacing w:line="232" w:lineRule="auto" w:before="98"/>
              <w:ind w:left="85" w:right="223"/>
              <w:rPr>
                <w:sz w:val="18"/>
              </w:rPr>
            </w:pPr>
            <w:r>
              <w:rPr>
                <w:color w:val="105C84"/>
                <w:sz w:val="18"/>
              </w:rPr>
              <w:t>ProAction: Resilient Children</w:t>
            </w:r>
            <w:r>
              <w:rPr>
                <w:color w:val="105C84"/>
                <w:spacing w:val="-15"/>
                <w:sz w:val="18"/>
              </w:rPr>
              <w:t> </w:t>
            </w:r>
            <w:r>
              <w:rPr>
                <w:color w:val="105C84"/>
                <w:sz w:val="18"/>
              </w:rPr>
              <w:t>and</w:t>
            </w:r>
            <w:r>
              <w:rPr>
                <w:color w:val="105C84"/>
                <w:spacing w:val="-12"/>
                <w:sz w:val="18"/>
              </w:rPr>
              <w:t> </w:t>
            </w:r>
            <w:r>
              <w:rPr>
                <w:color w:val="105C84"/>
                <w:sz w:val="18"/>
              </w:rPr>
              <w:t>Families Programs and staff will deliver social and emotional learning using the Pyramid Model Framework, Conscious</w:t>
            </w:r>
            <w:r>
              <w:rPr>
                <w:color w:val="105C84"/>
                <w:spacing w:val="-13"/>
                <w:sz w:val="18"/>
              </w:rPr>
              <w:t> </w:t>
            </w:r>
            <w:r>
              <w:rPr>
                <w:color w:val="105C84"/>
                <w:sz w:val="18"/>
              </w:rPr>
              <w:t>Discipline, Flip It, Your Journey Together, Dial Assessment,</w:t>
            </w:r>
            <w:r>
              <w:rPr>
                <w:color w:val="105C84"/>
                <w:spacing w:val="-7"/>
                <w:sz w:val="18"/>
              </w:rPr>
              <w:t> </w:t>
            </w:r>
            <w:r>
              <w:rPr>
                <w:color w:val="105C84"/>
                <w:sz w:val="18"/>
              </w:rPr>
              <w:t>Parents as Teachers, and</w:t>
            </w:r>
          </w:p>
          <w:p>
            <w:pPr>
              <w:pStyle w:val="TableParagraph"/>
              <w:spacing w:line="192" w:lineRule="exact"/>
              <w:ind w:left="85"/>
              <w:rPr>
                <w:sz w:val="18"/>
              </w:rPr>
            </w:pPr>
            <w:r>
              <w:rPr>
                <w:color w:val="105C84"/>
                <w:sz w:val="18"/>
              </w:rPr>
              <w:t>Strengthening</w:t>
            </w:r>
            <w:r>
              <w:rPr>
                <w:color w:val="105C84"/>
                <w:spacing w:val="8"/>
                <w:sz w:val="18"/>
              </w:rPr>
              <w:t> </w:t>
            </w:r>
            <w:r>
              <w:rPr>
                <w:color w:val="105C84"/>
                <w:spacing w:val="-2"/>
                <w:sz w:val="18"/>
              </w:rPr>
              <w:t>Families</w:t>
            </w:r>
          </w:p>
        </w:tc>
      </w:tr>
    </w:tbl>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42"/>
        <w:rPr>
          <w:b/>
          <w:sz w:val="26"/>
        </w:rPr>
      </w:pPr>
    </w:p>
    <w:p>
      <w:pPr>
        <w:tabs>
          <w:tab w:pos="23047" w:val="left" w:leader="none"/>
        </w:tabs>
        <w:spacing w:before="1"/>
        <w:ind w:left="0" w:right="0" w:firstLine="0"/>
        <w:jc w:val="left"/>
        <w:rPr>
          <w:b/>
          <w:sz w:val="26"/>
        </w:rPr>
      </w:pPr>
      <w:r>
        <w:rPr>
          <w:position w:val="-4"/>
        </w:rPr>
        <w:drawing>
          <wp:inline distT="0" distB="0" distL="0" distR="0">
            <wp:extent cx="568172" cy="184683"/>
            <wp:effectExtent l="0" t="0" r="0" b="0"/>
            <wp:docPr id="2013" name="Image 2013"/>
            <wp:cNvGraphicFramePr>
              <a:graphicFrameLocks/>
            </wp:cNvGraphicFramePr>
            <a:graphic>
              <a:graphicData uri="http://schemas.openxmlformats.org/drawingml/2006/picture">
                <pic:pic>
                  <pic:nvPicPr>
                    <pic:cNvPr id="2013" name="Image 2013"/>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13"/>
          <w:sz w:val="20"/>
        </w:rPr>
        <w:t> </w:t>
      </w:r>
      <w:r>
        <w:rPr>
          <w:b/>
          <w:color w:val="939598"/>
          <w:w w:val="105"/>
          <w:sz w:val="26"/>
        </w:rPr>
        <w:t>211</w:t>
      </w:r>
      <w:r>
        <w:rPr>
          <w:b/>
          <w:color w:val="939598"/>
          <w:sz w:val="26"/>
        </w:rPr>
        <w:tab/>
      </w:r>
      <w:r>
        <w:rPr>
          <w:b/>
          <w:color w:val="939598"/>
          <w:spacing w:val="-5"/>
          <w:w w:val="105"/>
          <w:sz w:val="26"/>
        </w:rPr>
        <w:t>212</w:t>
      </w:r>
    </w:p>
    <w:p>
      <w:pPr>
        <w:spacing w:after="0"/>
        <w:jc w:val="left"/>
        <w:rPr>
          <w:b/>
          <w:sz w:val="26"/>
        </w:rPr>
        <w:sectPr>
          <w:pgSz w:w="24480" w:h="15840" w:orient="landscape"/>
          <w:pgMar w:header="0" w:footer="0" w:top="860" w:bottom="0" w:left="0" w:right="720"/>
        </w:sectPr>
      </w:pPr>
    </w:p>
    <w:p>
      <w:pPr>
        <w:spacing w:before="609"/>
        <w:ind w:left="1089" w:right="0" w:firstLine="0"/>
        <w:jc w:val="left"/>
        <w:rPr>
          <w:sz w:val="54"/>
        </w:rPr>
      </w:pPr>
      <w:r>
        <w:rPr>
          <w:sz w:val="54"/>
        </w:rPr>
        <w:drawing>
          <wp:anchor distT="0" distB="0" distL="0" distR="0" allowOverlap="1" layoutInCell="1" locked="0" behindDoc="0" simplePos="0" relativeHeight="16026112">
            <wp:simplePos x="0" y="0"/>
            <wp:positionH relativeFrom="page">
              <wp:posOffset>14981556</wp:posOffset>
            </wp:positionH>
            <wp:positionV relativeFrom="page">
              <wp:posOffset>9668103</wp:posOffset>
            </wp:positionV>
            <wp:extent cx="563245" cy="184683"/>
            <wp:effectExtent l="0" t="0" r="0" b="0"/>
            <wp:wrapNone/>
            <wp:docPr id="2014" name="Image 2014"/>
            <wp:cNvGraphicFramePr>
              <a:graphicFrameLocks/>
            </wp:cNvGraphicFramePr>
            <a:graphic>
              <a:graphicData uri="http://schemas.openxmlformats.org/drawingml/2006/picture">
                <pic:pic>
                  <pic:nvPicPr>
                    <pic:cNvPr id="2014" name="Image 2014"/>
                    <pic:cNvPicPr/>
                  </pic:nvPicPr>
                  <pic:blipFill>
                    <a:blip r:embed="rId38" cstate="print"/>
                    <a:stretch>
                      <a:fillRect/>
                    </a:stretch>
                  </pic:blipFill>
                  <pic:spPr>
                    <a:xfrm>
                      <a:off x="0" y="0"/>
                      <a:ext cx="563245" cy="184683"/>
                    </a:xfrm>
                    <a:prstGeom prst="rect">
                      <a:avLst/>
                    </a:prstGeom>
                  </pic:spPr>
                </pic:pic>
              </a:graphicData>
            </a:graphic>
          </wp:anchor>
        </w:drawing>
      </w:r>
      <w:r>
        <w:rPr>
          <w:sz w:val="54"/>
        </w:rPr>
        <w:drawing>
          <wp:anchor distT="0" distB="0" distL="0" distR="0" allowOverlap="1" layoutInCell="1" locked="0" behindDoc="0" simplePos="0" relativeHeight="16026624">
            <wp:simplePos x="0" y="0"/>
            <wp:positionH relativeFrom="page">
              <wp:posOffset>14298866</wp:posOffset>
            </wp:positionH>
            <wp:positionV relativeFrom="paragraph">
              <wp:posOffset>333089</wp:posOffset>
            </wp:positionV>
            <wp:extent cx="552068" cy="591502"/>
            <wp:effectExtent l="0" t="0" r="0" b="0"/>
            <wp:wrapNone/>
            <wp:docPr id="2015" name="Image 2015"/>
            <wp:cNvGraphicFramePr>
              <a:graphicFrameLocks/>
            </wp:cNvGraphicFramePr>
            <a:graphic>
              <a:graphicData uri="http://schemas.openxmlformats.org/drawingml/2006/picture">
                <pic:pic>
                  <pic:nvPicPr>
                    <pic:cNvPr id="2015" name="Image 2015"/>
                    <pic:cNvPicPr/>
                  </pic:nvPicPr>
                  <pic:blipFill>
                    <a:blip r:embed="rId259" cstate="print"/>
                    <a:stretch>
                      <a:fillRect/>
                    </a:stretch>
                  </pic:blipFill>
                  <pic:spPr>
                    <a:xfrm>
                      <a:off x="0" y="0"/>
                      <a:ext cx="552068" cy="591502"/>
                    </a:xfrm>
                    <a:prstGeom prst="rect">
                      <a:avLst/>
                    </a:prstGeom>
                  </pic:spPr>
                </pic:pic>
              </a:graphicData>
            </a:graphic>
          </wp:anchor>
        </w:drawing>
      </w:r>
      <w:r>
        <w:rPr>
          <w:sz w:val="54"/>
        </w:rPr>
        <w:drawing>
          <wp:anchor distT="0" distB="0" distL="0" distR="0" allowOverlap="1" layoutInCell="1" locked="0" behindDoc="0" simplePos="0" relativeHeight="16027136">
            <wp:simplePos x="0" y="0"/>
            <wp:positionH relativeFrom="page">
              <wp:posOffset>11596623</wp:posOffset>
            </wp:positionH>
            <wp:positionV relativeFrom="paragraph">
              <wp:posOffset>330783</wp:posOffset>
            </wp:positionV>
            <wp:extent cx="1311661" cy="345815"/>
            <wp:effectExtent l="0" t="0" r="0" b="0"/>
            <wp:wrapNone/>
            <wp:docPr id="2016" name="Image 2016"/>
            <wp:cNvGraphicFramePr>
              <a:graphicFrameLocks/>
            </wp:cNvGraphicFramePr>
            <a:graphic>
              <a:graphicData uri="http://schemas.openxmlformats.org/drawingml/2006/picture">
                <pic:pic>
                  <pic:nvPicPr>
                    <pic:cNvPr id="2016" name="Image 2016"/>
                    <pic:cNvPicPr/>
                  </pic:nvPicPr>
                  <pic:blipFill>
                    <a:blip r:embed="rId260" cstate="print"/>
                    <a:stretch>
                      <a:fillRect/>
                    </a:stretch>
                  </pic:blipFill>
                  <pic:spPr>
                    <a:xfrm>
                      <a:off x="0" y="0"/>
                      <a:ext cx="1311661" cy="345815"/>
                    </a:xfrm>
                    <a:prstGeom prst="rect">
                      <a:avLst/>
                    </a:prstGeom>
                  </pic:spPr>
                </pic:pic>
              </a:graphicData>
            </a:graphic>
          </wp:anchor>
        </w:drawing>
      </w:r>
      <w:r>
        <w:rPr>
          <w:sz w:val="54"/>
        </w:rPr>
        <w:drawing>
          <wp:anchor distT="0" distB="0" distL="0" distR="0" allowOverlap="1" layoutInCell="1" locked="0" behindDoc="0" simplePos="0" relativeHeight="16027648">
            <wp:simplePos x="0" y="0"/>
            <wp:positionH relativeFrom="page">
              <wp:posOffset>13088996</wp:posOffset>
            </wp:positionH>
            <wp:positionV relativeFrom="paragraph">
              <wp:posOffset>323398</wp:posOffset>
            </wp:positionV>
            <wp:extent cx="1063929" cy="302976"/>
            <wp:effectExtent l="0" t="0" r="0" b="0"/>
            <wp:wrapNone/>
            <wp:docPr id="2017" name="Image 2017"/>
            <wp:cNvGraphicFramePr>
              <a:graphicFrameLocks/>
            </wp:cNvGraphicFramePr>
            <a:graphic>
              <a:graphicData uri="http://schemas.openxmlformats.org/drawingml/2006/picture">
                <pic:pic>
                  <pic:nvPicPr>
                    <pic:cNvPr id="2017" name="Image 2017"/>
                    <pic:cNvPicPr/>
                  </pic:nvPicPr>
                  <pic:blipFill>
                    <a:blip r:embed="rId261" cstate="print"/>
                    <a:stretch>
                      <a:fillRect/>
                    </a:stretch>
                  </pic:blipFill>
                  <pic:spPr>
                    <a:xfrm>
                      <a:off x="0" y="0"/>
                      <a:ext cx="1063929" cy="302976"/>
                    </a:xfrm>
                    <a:prstGeom prst="rect">
                      <a:avLst/>
                    </a:prstGeom>
                  </pic:spPr>
                </pic:pic>
              </a:graphicData>
            </a:graphic>
          </wp:anchor>
        </w:drawing>
      </w:r>
      <w:r>
        <w:rPr>
          <w:sz w:val="54"/>
        </w:rPr>
        <w:drawing>
          <wp:anchor distT="0" distB="0" distL="0" distR="0" allowOverlap="1" layoutInCell="1" locked="0" behindDoc="0" simplePos="0" relativeHeight="16028160">
            <wp:simplePos x="0" y="0"/>
            <wp:positionH relativeFrom="page">
              <wp:posOffset>11099800</wp:posOffset>
            </wp:positionH>
            <wp:positionV relativeFrom="paragraph">
              <wp:posOffset>279907</wp:posOffset>
            </wp:positionV>
            <wp:extent cx="330199" cy="393699"/>
            <wp:effectExtent l="0" t="0" r="0" b="0"/>
            <wp:wrapNone/>
            <wp:docPr id="2018" name="Image 2018"/>
            <wp:cNvGraphicFramePr>
              <a:graphicFrameLocks/>
            </wp:cNvGraphicFramePr>
            <a:graphic>
              <a:graphicData uri="http://schemas.openxmlformats.org/drawingml/2006/picture">
                <pic:pic>
                  <pic:nvPicPr>
                    <pic:cNvPr id="2018" name="Image 2018"/>
                    <pic:cNvPicPr/>
                  </pic:nvPicPr>
                  <pic:blipFill>
                    <a:blip r:embed="rId262" cstate="print"/>
                    <a:stretch>
                      <a:fillRect/>
                    </a:stretch>
                  </pic:blipFill>
                  <pic:spPr>
                    <a:xfrm>
                      <a:off x="0" y="0"/>
                      <a:ext cx="330199" cy="393699"/>
                    </a:xfrm>
                    <a:prstGeom prst="rect">
                      <a:avLst/>
                    </a:prstGeom>
                  </pic:spPr>
                </pic:pic>
              </a:graphicData>
            </a:graphic>
          </wp:anchor>
        </w:drawing>
      </w:r>
      <w:r>
        <w:rPr>
          <w:sz w:val="54"/>
        </w:rPr>
        <w:drawing>
          <wp:anchor distT="0" distB="0" distL="0" distR="0" allowOverlap="1" layoutInCell="1" locked="0" behindDoc="0" simplePos="0" relativeHeight="16028672">
            <wp:simplePos x="0" y="0"/>
            <wp:positionH relativeFrom="page">
              <wp:posOffset>9610343</wp:posOffset>
            </wp:positionH>
            <wp:positionV relativeFrom="paragraph">
              <wp:posOffset>374444</wp:posOffset>
            </wp:positionV>
            <wp:extent cx="1279782" cy="224523"/>
            <wp:effectExtent l="0" t="0" r="0" b="0"/>
            <wp:wrapNone/>
            <wp:docPr id="2019" name="Image 2019"/>
            <wp:cNvGraphicFramePr>
              <a:graphicFrameLocks/>
            </wp:cNvGraphicFramePr>
            <a:graphic>
              <a:graphicData uri="http://schemas.openxmlformats.org/drawingml/2006/picture">
                <pic:pic>
                  <pic:nvPicPr>
                    <pic:cNvPr id="2019" name="Image 2019"/>
                    <pic:cNvPicPr/>
                  </pic:nvPicPr>
                  <pic:blipFill>
                    <a:blip r:embed="rId263" cstate="print"/>
                    <a:stretch>
                      <a:fillRect/>
                    </a:stretch>
                  </pic:blipFill>
                  <pic:spPr>
                    <a:xfrm>
                      <a:off x="0" y="0"/>
                      <a:ext cx="1279782" cy="224523"/>
                    </a:xfrm>
                    <a:prstGeom prst="rect">
                      <a:avLst/>
                    </a:prstGeom>
                  </pic:spPr>
                </pic:pic>
              </a:graphicData>
            </a:graphic>
          </wp:anchor>
        </w:drawing>
      </w:r>
      <w:r>
        <w:rPr>
          <w:color w:val="636466"/>
          <w:sz w:val="54"/>
        </w:rPr>
        <w:t>Steuben</w:t>
      </w:r>
      <w:r>
        <w:rPr>
          <w:color w:val="636466"/>
          <w:spacing w:val="54"/>
          <w:sz w:val="54"/>
        </w:rPr>
        <w:t> </w:t>
      </w:r>
      <w:r>
        <w:rPr>
          <w:color w:val="636466"/>
          <w:sz w:val="54"/>
        </w:rPr>
        <w:t>County</w:t>
      </w:r>
      <w:r>
        <w:rPr>
          <w:color w:val="636466"/>
          <w:spacing w:val="55"/>
          <w:sz w:val="54"/>
        </w:rPr>
        <w:t> </w:t>
      </w:r>
      <w:r>
        <w:rPr>
          <w:color w:val="636466"/>
          <w:sz w:val="54"/>
        </w:rPr>
        <w:t>Appendix</w:t>
      </w:r>
      <w:r>
        <w:rPr>
          <w:color w:val="636466"/>
          <w:spacing w:val="54"/>
          <w:sz w:val="54"/>
        </w:rPr>
        <w:t> </w:t>
      </w:r>
      <w:r>
        <w:rPr>
          <w:color w:val="636466"/>
          <w:spacing w:val="-10"/>
          <w:sz w:val="54"/>
        </w:rPr>
        <w:t>F</w:t>
      </w:r>
    </w:p>
    <w:p>
      <w:pPr>
        <w:spacing w:before="236"/>
        <w:ind w:left="1089" w:right="0" w:firstLine="0"/>
        <w:jc w:val="left"/>
        <w:rPr>
          <w:b/>
          <w:sz w:val="32"/>
        </w:rPr>
      </w:pPr>
      <w:r>
        <w:rPr>
          <w:b/>
          <w:color w:val="82BF6A"/>
          <w:sz w:val="32"/>
        </w:rPr>
        <w:t>PRIORITY:</w:t>
      </w:r>
      <w:r>
        <w:rPr>
          <w:b/>
          <w:color w:val="82BF6A"/>
          <w:spacing w:val="-20"/>
          <w:sz w:val="32"/>
        </w:rPr>
        <w:t> </w:t>
      </w:r>
      <w:r>
        <w:rPr>
          <w:b/>
          <w:color w:val="82BF6A"/>
          <w:sz w:val="32"/>
        </w:rPr>
        <w:t>PROMOTE</w:t>
      </w:r>
      <w:r>
        <w:rPr>
          <w:b/>
          <w:color w:val="82BF6A"/>
          <w:spacing w:val="-19"/>
          <w:sz w:val="32"/>
        </w:rPr>
        <w:t> </w:t>
      </w:r>
      <w:r>
        <w:rPr>
          <w:b/>
          <w:color w:val="82BF6A"/>
          <w:sz w:val="32"/>
        </w:rPr>
        <w:t>HEALTHY</w:t>
      </w:r>
      <w:r>
        <w:rPr>
          <w:b/>
          <w:color w:val="82BF6A"/>
          <w:spacing w:val="-20"/>
          <w:sz w:val="32"/>
        </w:rPr>
        <w:t> </w:t>
      </w:r>
      <w:r>
        <w:rPr>
          <w:b/>
          <w:color w:val="82BF6A"/>
          <w:sz w:val="32"/>
        </w:rPr>
        <w:t>WOMEN,</w:t>
      </w:r>
      <w:r>
        <w:rPr>
          <w:b/>
          <w:color w:val="82BF6A"/>
          <w:spacing w:val="-19"/>
          <w:sz w:val="32"/>
        </w:rPr>
        <w:t> </w:t>
      </w:r>
      <w:r>
        <w:rPr>
          <w:b/>
          <w:color w:val="82BF6A"/>
          <w:sz w:val="32"/>
        </w:rPr>
        <w:t>INFANTS</w:t>
      </w:r>
      <w:r>
        <w:rPr>
          <w:b/>
          <w:color w:val="82BF6A"/>
          <w:spacing w:val="-19"/>
          <w:sz w:val="32"/>
        </w:rPr>
        <w:t> </w:t>
      </w:r>
      <w:r>
        <w:rPr>
          <w:b/>
          <w:color w:val="82BF6A"/>
          <w:sz w:val="32"/>
        </w:rPr>
        <w:t>AND</w:t>
      </w:r>
      <w:r>
        <w:rPr>
          <w:b/>
          <w:color w:val="82BF6A"/>
          <w:spacing w:val="-20"/>
          <w:sz w:val="32"/>
        </w:rPr>
        <w:t> </w:t>
      </w:r>
      <w:r>
        <w:rPr>
          <w:b/>
          <w:color w:val="82BF6A"/>
          <w:spacing w:val="-2"/>
          <w:sz w:val="32"/>
        </w:rPr>
        <w:t>CHILDREN</w:t>
      </w:r>
    </w:p>
    <w:p>
      <w:pPr>
        <w:pStyle w:val="BodyText"/>
        <w:spacing w:before="162"/>
        <w:rPr>
          <w:b/>
          <w:sz w:val="20"/>
        </w:rPr>
      </w:pPr>
    </w:p>
    <w:tbl>
      <w:tblPr>
        <w:tblW w:w="0" w:type="auto"/>
        <w:jc w:val="left"/>
        <w:tblInd w:w="1099"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1065"/>
        <w:gridCol w:w="1353"/>
        <w:gridCol w:w="1267"/>
        <w:gridCol w:w="1605"/>
        <w:gridCol w:w="1101"/>
        <w:gridCol w:w="1936"/>
        <w:gridCol w:w="5990"/>
        <w:gridCol w:w="2188"/>
        <w:gridCol w:w="2174"/>
        <w:gridCol w:w="1497"/>
        <w:gridCol w:w="2068"/>
      </w:tblGrid>
      <w:tr>
        <w:trPr>
          <w:trHeight w:val="930" w:hRule="atLeast"/>
        </w:trPr>
        <w:tc>
          <w:tcPr>
            <w:tcW w:w="1065" w:type="dxa"/>
            <w:tcBorders>
              <w:right w:val="single" w:sz="4" w:space="0" w:color="FFFFFF"/>
            </w:tcBorders>
            <w:shd w:val="clear" w:color="auto" w:fill="A7A9AC"/>
          </w:tcPr>
          <w:p>
            <w:pPr>
              <w:pStyle w:val="TableParagraph"/>
              <w:spacing w:before="179"/>
              <w:rPr>
                <w:b/>
                <w:sz w:val="18"/>
              </w:rPr>
            </w:pPr>
          </w:p>
          <w:p>
            <w:pPr>
              <w:pStyle w:val="TableParagraph"/>
              <w:ind w:left="80"/>
              <w:rPr>
                <w:b/>
                <w:sz w:val="18"/>
              </w:rPr>
            </w:pPr>
            <w:r>
              <w:rPr>
                <w:b/>
                <w:color w:val="FFFFFF"/>
                <w:spacing w:val="-2"/>
                <w:sz w:val="18"/>
              </w:rPr>
              <w:t>Priority</w:t>
            </w:r>
          </w:p>
        </w:tc>
        <w:tc>
          <w:tcPr>
            <w:tcW w:w="1353" w:type="dxa"/>
            <w:tcBorders>
              <w:left w:val="single" w:sz="4" w:space="0" w:color="FFFFFF"/>
              <w:right w:val="single" w:sz="4" w:space="0" w:color="FFFFFF"/>
            </w:tcBorders>
            <w:shd w:val="clear" w:color="auto" w:fill="A7A9AC"/>
          </w:tcPr>
          <w:p>
            <w:pPr>
              <w:pStyle w:val="TableParagraph"/>
              <w:spacing w:before="179"/>
              <w:rPr>
                <w:b/>
                <w:sz w:val="18"/>
              </w:rPr>
            </w:pPr>
          </w:p>
          <w:p>
            <w:pPr>
              <w:pStyle w:val="TableParagraph"/>
              <w:ind w:left="80"/>
              <w:rPr>
                <w:b/>
                <w:sz w:val="18"/>
              </w:rPr>
            </w:pPr>
            <w:r>
              <w:rPr>
                <w:b/>
                <w:color w:val="FFFFFF"/>
                <w:w w:val="90"/>
                <w:sz w:val="18"/>
              </w:rPr>
              <w:t>Focus</w:t>
            </w:r>
            <w:r>
              <w:rPr>
                <w:b/>
                <w:color w:val="FFFFFF"/>
                <w:spacing w:val="8"/>
                <w:sz w:val="18"/>
              </w:rPr>
              <w:t> </w:t>
            </w:r>
            <w:r>
              <w:rPr>
                <w:b/>
                <w:color w:val="FFFFFF"/>
                <w:spacing w:val="-4"/>
                <w:sz w:val="18"/>
              </w:rPr>
              <w:t>Area</w:t>
            </w:r>
          </w:p>
        </w:tc>
        <w:tc>
          <w:tcPr>
            <w:tcW w:w="1267" w:type="dxa"/>
            <w:tcBorders>
              <w:left w:val="single" w:sz="4" w:space="0" w:color="FFFFFF"/>
              <w:right w:val="single" w:sz="4" w:space="0" w:color="FFFFFF"/>
            </w:tcBorders>
            <w:shd w:val="clear" w:color="auto" w:fill="A7A9AC"/>
          </w:tcPr>
          <w:p>
            <w:pPr>
              <w:pStyle w:val="TableParagraph"/>
              <w:spacing w:before="84"/>
              <w:rPr>
                <w:b/>
                <w:sz w:val="18"/>
              </w:rPr>
            </w:pPr>
          </w:p>
          <w:p>
            <w:pPr>
              <w:pStyle w:val="TableParagraph"/>
              <w:spacing w:line="232" w:lineRule="auto"/>
              <w:ind w:left="80" w:right="237"/>
              <w:rPr>
                <w:b/>
                <w:sz w:val="18"/>
              </w:rPr>
            </w:pPr>
            <w:r>
              <w:rPr>
                <w:b/>
                <w:color w:val="FFFFFF"/>
                <w:spacing w:val="-6"/>
                <w:sz w:val="18"/>
              </w:rPr>
              <w:t>Goal</w:t>
            </w:r>
            <w:r>
              <w:rPr>
                <w:b/>
                <w:color w:val="FFFFFF"/>
                <w:spacing w:val="-7"/>
                <w:sz w:val="18"/>
              </w:rPr>
              <w:t> </w:t>
            </w:r>
            <w:r>
              <w:rPr>
                <w:b/>
                <w:color w:val="FFFFFF"/>
                <w:spacing w:val="-6"/>
                <w:sz w:val="18"/>
              </w:rPr>
              <w:t>Focus </w:t>
            </w:r>
            <w:r>
              <w:rPr>
                <w:b/>
                <w:color w:val="FFFFFF"/>
                <w:spacing w:val="-4"/>
                <w:sz w:val="18"/>
              </w:rPr>
              <w:t>Area</w:t>
            </w:r>
          </w:p>
        </w:tc>
        <w:tc>
          <w:tcPr>
            <w:tcW w:w="1605" w:type="dxa"/>
            <w:tcBorders>
              <w:left w:val="single" w:sz="4" w:space="0" w:color="FFFFFF"/>
              <w:right w:val="single" w:sz="4" w:space="0" w:color="FFFFFF"/>
            </w:tcBorders>
            <w:shd w:val="clear" w:color="auto" w:fill="A7A9AC"/>
          </w:tcPr>
          <w:p>
            <w:pPr>
              <w:pStyle w:val="TableParagraph"/>
              <w:spacing w:before="179"/>
              <w:rPr>
                <w:b/>
                <w:sz w:val="18"/>
              </w:rPr>
            </w:pPr>
          </w:p>
          <w:p>
            <w:pPr>
              <w:pStyle w:val="TableParagraph"/>
              <w:ind w:left="81"/>
              <w:rPr>
                <w:b/>
                <w:sz w:val="18"/>
              </w:rPr>
            </w:pPr>
            <w:r>
              <w:rPr>
                <w:b/>
                <w:color w:val="FFFFFF"/>
                <w:spacing w:val="-2"/>
                <w:sz w:val="18"/>
              </w:rPr>
              <w:t>Objectives</w:t>
            </w:r>
          </w:p>
        </w:tc>
        <w:tc>
          <w:tcPr>
            <w:tcW w:w="1101" w:type="dxa"/>
            <w:tcBorders>
              <w:left w:val="single" w:sz="4" w:space="0" w:color="FFFFFF"/>
              <w:right w:val="single" w:sz="4" w:space="0" w:color="FFFFFF"/>
            </w:tcBorders>
            <w:shd w:val="clear" w:color="auto" w:fill="A7A9AC"/>
          </w:tcPr>
          <w:p>
            <w:pPr>
              <w:pStyle w:val="TableParagraph"/>
              <w:spacing w:before="179"/>
              <w:rPr>
                <w:b/>
                <w:sz w:val="18"/>
              </w:rPr>
            </w:pPr>
          </w:p>
          <w:p>
            <w:pPr>
              <w:pStyle w:val="TableParagraph"/>
              <w:ind w:left="81"/>
              <w:rPr>
                <w:b/>
                <w:sz w:val="18"/>
              </w:rPr>
            </w:pPr>
            <w:r>
              <w:rPr>
                <w:b/>
                <w:color w:val="FFFFFF"/>
                <w:spacing w:val="-2"/>
                <w:sz w:val="18"/>
              </w:rPr>
              <w:t>Disparities</w:t>
            </w:r>
          </w:p>
        </w:tc>
        <w:tc>
          <w:tcPr>
            <w:tcW w:w="1936" w:type="dxa"/>
            <w:tcBorders>
              <w:left w:val="single" w:sz="4" w:space="0" w:color="FFFFFF"/>
              <w:right w:val="single" w:sz="4" w:space="0" w:color="FFFFFF"/>
            </w:tcBorders>
            <w:shd w:val="clear" w:color="auto" w:fill="A7A9AC"/>
          </w:tcPr>
          <w:p>
            <w:pPr>
              <w:pStyle w:val="TableParagraph"/>
              <w:spacing w:before="179"/>
              <w:rPr>
                <w:b/>
                <w:sz w:val="18"/>
              </w:rPr>
            </w:pPr>
          </w:p>
          <w:p>
            <w:pPr>
              <w:pStyle w:val="TableParagraph"/>
              <w:ind w:left="82"/>
              <w:rPr>
                <w:b/>
                <w:sz w:val="18"/>
              </w:rPr>
            </w:pPr>
            <w:r>
              <w:rPr>
                <w:b/>
                <w:color w:val="FFFFFF"/>
                <w:spacing w:val="-2"/>
                <w:sz w:val="18"/>
              </w:rPr>
              <w:t>Interventions</w:t>
            </w:r>
          </w:p>
        </w:tc>
        <w:tc>
          <w:tcPr>
            <w:tcW w:w="5990" w:type="dxa"/>
            <w:tcBorders>
              <w:left w:val="single" w:sz="4" w:space="0" w:color="FFFFFF"/>
              <w:right w:val="single" w:sz="4" w:space="0" w:color="FFFFFF"/>
            </w:tcBorders>
            <w:shd w:val="clear" w:color="auto" w:fill="A7A9AC"/>
          </w:tcPr>
          <w:p>
            <w:pPr>
              <w:pStyle w:val="TableParagraph"/>
              <w:spacing w:line="203" w:lineRule="exact" w:before="186"/>
              <w:ind w:left="3891"/>
              <w:rPr>
                <w:b/>
                <w:sz w:val="18"/>
              </w:rPr>
            </w:pPr>
            <w:r>
              <w:rPr>
                <w:b/>
                <w:color w:val="FFFFFF"/>
                <w:sz w:val="18"/>
              </w:rPr>
              <w:t>Projected</w:t>
            </w:r>
            <w:r>
              <w:rPr>
                <w:b/>
                <w:color w:val="FFFFFF"/>
                <w:spacing w:val="-13"/>
                <w:sz w:val="18"/>
              </w:rPr>
              <w:t> </w:t>
            </w:r>
            <w:r>
              <w:rPr>
                <w:b/>
                <w:color w:val="FFFFFF"/>
                <w:spacing w:val="-5"/>
                <w:sz w:val="18"/>
              </w:rPr>
              <w:t>(or</w:t>
            </w:r>
          </w:p>
          <w:p>
            <w:pPr>
              <w:pStyle w:val="TableParagraph"/>
              <w:tabs>
                <w:tab w:pos="3891" w:val="left" w:leader="none"/>
              </w:tabs>
              <w:spacing w:line="200" w:lineRule="exact"/>
              <w:ind w:left="93"/>
              <w:rPr>
                <w:b/>
                <w:sz w:val="18"/>
              </w:rPr>
            </w:pPr>
            <w:r>
              <w:rPr>
                <w:b/>
                <w:color w:val="FFFFFF"/>
                <w:sz w:val="18"/>
              </w:rPr>
              <w:t>Family</w:t>
            </w:r>
            <w:r>
              <w:rPr>
                <w:b/>
                <w:color w:val="FFFFFF"/>
                <w:spacing w:val="-11"/>
                <w:sz w:val="18"/>
              </w:rPr>
              <w:t> </w:t>
            </w:r>
            <w:r>
              <w:rPr>
                <w:b/>
                <w:color w:val="FFFFFF"/>
                <w:sz w:val="18"/>
              </w:rPr>
              <w:t>of</w:t>
            </w:r>
            <w:r>
              <w:rPr>
                <w:b/>
                <w:color w:val="FFFFFF"/>
                <w:spacing w:val="-10"/>
                <w:sz w:val="18"/>
              </w:rPr>
              <w:t> </w:t>
            </w:r>
            <w:r>
              <w:rPr>
                <w:b/>
                <w:color w:val="FFFFFF"/>
                <w:spacing w:val="-2"/>
                <w:sz w:val="18"/>
              </w:rPr>
              <w:t>Measures</w:t>
            </w:r>
            <w:r>
              <w:rPr>
                <w:b/>
                <w:color w:val="FFFFFF"/>
                <w:sz w:val="18"/>
              </w:rPr>
              <w:tab/>
            </w:r>
            <w:r>
              <w:rPr>
                <w:b/>
                <w:color w:val="FFFFFF"/>
                <w:spacing w:val="-2"/>
                <w:sz w:val="18"/>
              </w:rPr>
              <w:t>completed)</w:t>
            </w:r>
          </w:p>
          <w:p>
            <w:pPr>
              <w:pStyle w:val="TableParagraph"/>
              <w:spacing w:line="203" w:lineRule="exact"/>
              <w:ind w:left="3891"/>
              <w:rPr>
                <w:b/>
                <w:sz w:val="18"/>
              </w:rPr>
            </w:pPr>
            <w:r>
              <w:rPr>
                <w:b/>
                <w:color w:val="FFFFFF"/>
                <w:sz w:val="18"/>
              </w:rPr>
              <w:t>Year</w:t>
            </w:r>
            <w:r>
              <w:rPr>
                <w:b/>
                <w:color w:val="FFFFFF"/>
                <w:spacing w:val="-8"/>
                <w:sz w:val="18"/>
              </w:rPr>
              <w:t> </w:t>
            </w:r>
            <w:r>
              <w:rPr>
                <w:b/>
                <w:color w:val="FFFFFF"/>
                <w:sz w:val="18"/>
              </w:rPr>
              <w:t>1</w:t>
            </w:r>
            <w:r>
              <w:rPr>
                <w:b/>
                <w:color w:val="FFFFFF"/>
                <w:spacing w:val="-7"/>
                <w:sz w:val="18"/>
              </w:rPr>
              <w:t> </w:t>
            </w:r>
            <w:r>
              <w:rPr>
                <w:b/>
                <w:color w:val="FFFFFF"/>
                <w:spacing w:val="-2"/>
                <w:sz w:val="18"/>
              </w:rPr>
              <w:t>Intervention</w:t>
            </w:r>
          </w:p>
        </w:tc>
        <w:tc>
          <w:tcPr>
            <w:tcW w:w="2188" w:type="dxa"/>
            <w:tcBorders>
              <w:left w:val="single" w:sz="4" w:space="0" w:color="FFFFFF"/>
              <w:right w:val="single" w:sz="4" w:space="0" w:color="FFFFFF"/>
            </w:tcBorders>
            <w:shd w:val="clear" w:color="auto" w:fill="A7A9AC"/>
          </w:tcPr>
          <w:p>
            <w:pPr>
              <w:pStyle w:val="TableParagraph"/>
              <w:spacing w:before="179"/>
              <w:rPr>
                <w:b/>
                <w:sz w:val="18"/>
              </w:rPr>
            </w:pPr>
          </w:p>
          <w:p>
            <w:pPr>
              <w:pStyle w:val="TableParagraph"/>
              <w:ind w:left="83"/>
              <w:rPr>
                <w:b/>
                <w:sz w:val="18"/>
              </w:rPr>
            </w:pPr>
            <w:r>
              <w:rPr>
                <w:b/>
                <w:color w:val="FFFFFF"/>
                <w:spacing w:val="-2"/>
                <w:sz w:val="18"/>
              </w:rPr>
              <w:t>Projected</w:t>
            </w:r>
            <w:r>
              <w:rPr>
                <w:b/>
                <w:color w:val="FFFFFF"/>
                <w:spacing w:val="-6"/>
                <w:sz w:val="18"/>
              </w:rPr>
              <w:t> </w:t>
            </w:r>
            <w:r>
              <w:rPr>
                <w:b/>
                <w:color w:val="FFFFFF"/>
                <w:spacing w:val="-2"/>
                <w:sz w:val="18"/>
              </w:rPr>
              <w:t>Year</w:t>
            </w:r>
            <w:r>
              <w:rPr>
                <w:b/>
                <w:color w:val="FFFFFF"/>
                <w:spacing w:val="-5"/>
                <w:sz w:val="18"/>
              </w:rPr>
              <w:t> </w:t>
            </w:r>
            <w:r>
              <w:rPr>
                <w:b/>
                <w:color w:val="FFFFFF"/>
                <w:spacing w:val="-12"/>
                <w:sz w:val="18"/>
              </w:rPr>
              <w:t>2</w:t>
            </w:r>
          </w:p>
        </w:tc>
        <w:tc>
          <w:tcPr>
            <w:tcW w:w="2174" w:type="dxa"/>
            <w:tcBorders>
              <w:left w:val="single" w:sz="4" w:space="0" w:color="FFFFFF"/>
              <w:right w:val="single" w:sz="4" w:space="0" w:color="FFFFFF"/>
            </w:tcBorders>
            <w:shd w:val="clear" w:color="auto" w:fill="A7A9AC"/>
          </w:tcPr>
          <w:p>
            <w:pPr>
              <w:pStyle w:val="TableParagraph"/>
              <w:spacing w:before="83"/>
              <w:rPr>
                <w:b/>
                <w:sz w:val="18"/>
              </w:rPr>
            </w:pPr>
          </w:p>
          <w:p>
            <w:pPr>
              <w:pStyle w:val="TableParagraph"/>
              <w:spacing w:line="232" w:lineRule="auto" w:before="1"/>
              <w:ind w:left="84" w:right="687"/>
              <w:rPr>
                <w:b/>
                <w:sz w:val="18"/>
              </w:rPr>
            </w:pPr>
            <w:r>
              <w:rPr>
                <w:b/>
                <w:color w:val="FFFFFF"/>
                <w:spacing w:val="-2"/>
                <w:sz w:val="18"/>
              </w:rPr>
              <w:t>Projected</w:t>
            </w:r>
            <w:r>
              <w:rPr>
                <w:b/>
                <w:color w:val="FFFFFF"/>
                <w:spacing w:val="-13"/>
                <w:sz w:val="18"/>
              </w:rPr>
              <w:t> </w:t>
            </w:r>
            <w:r>
              <w:rPr>
                <w:b/>
                <w:color w:val="FFFFFF"/>
                <w:spacing w:val="-2"/>
                <w:sz w:val="18"/>
              </w:rPr>
              <w:t>Year</w:t>
            </w:r>
            <w:r>
              <w:rPr>
                <w:b/>
                <w:color w:val="FFFFFF"/>
                <w:spacing w:val="-10"/>
                <w:sz w:val="18"/>
              </w:rPr>
              <w:t> </w:t>
            </w:r>
            <w:r>
              <w:rPr>
                <w:b/>
                <w:color w:val="FFFFFF"/>
                <w:spacing w:val="-2"/>
                <w:sz w:val="18"/>
              </w:rPr>
              <w:t>3 Interventions</w:t>
            </w:r>
          </w:p>
        </w:tc>
        <w:tc>
          <w:tcPr>
            <w:tcW w:w="1497" w:type="dxa"/>
            <w:tcBorders>
              <w:left w:val="single" w:sz="4" w:space="0" w:color="FFFFFF"/>
            </w:tcBorders>
            <w:shd w:val="clear" w:color="auto" w:fill="A7A9AC"/>
          </w:tcPr>
          <w:p>
            <w:pPr>
              <w:pStyle w:val="TableParagraph"/>
              <w:spacing w:before="83"/>
              <w:rPr>
                <w:b/>
                <w:sz w:val="18"/>
              </w:rPr>
            </w:pPr>
          </w:p>
          <w:p>
            <w:pPr>
              <w:pStyle w:val="TableParagraph"/>
              <w:spacing w:line="232" w:lineRule="auto" w:before="1"/>
              <w:ind w:left="84"/>
              <w:rPr>
                <w:b/>
                <w:sz w:val="18"/>
              </w:rPr>
            </w:pPr>
            <w:r>
              <w:rPr>
                <w:b/>
                <w:color w:val="FFFFFF"/>
                <w:spacing w:val="-2"/>
                <w:sz w:val="18"/>
              </w:rPr>
              <w:t>Implementation Partner</w:t>
            </w:r>
          </w:p>
        </w:tc>
        <w:tc>
          <w:tcPr>
            <w:tcW w:w="2068" w:type="dxa"/>
            <w:shd w:val="clear" w:color="auto" w:fill="A7A9AC"/>
          </w:tcPr>
          <w:p>
            <w:pPr>
              <w:pStyle w:val="TableParagraph"/>
              <w:spacing w:before="83"/>
              <w:rPr>
                <w:b/>
                <w:sz w:val="18"/>
              </w:rPr>
            </w:pPr>
          </w:p>
          <w:p>
            <w:pPr>
              <w:pStyle w:val="TableParagraph"/>
              <w:spacing w:line="232" w:lineRule="auto" w:before="1"/>
              <w:ind w:left="85" w:right="236"/>
              <w:rPr>
                <w:b/>
                <w:sz w:val="18"/>
              </w:rPr>
            </w:pPr>
            <w:r>
              <w:rPr>
                <w:b/>
                <w:color w:val="FFFFFF"/>
                <w:spacing w:val="-4"/>
                <w:sz w:val="18"/>
              </w:rPr>
              <w:t>Partner</w:t>
            </w:r>
            <w:r>
              <w:rPr>
                <w:b/>
                <w:color w:val="FFFFFF"/>
                <w:spacing w:val="-11"/>
                <w:sz w:val="18"/>
              </w:rPr>
              <w:t> </w:t>
            </w:r>
            <w:r>
              <w:rPr>
                <w:b/>
                <w:color w:val="FFFFFF"/>
                <w:spacing w:val="-4"/>
                <w:sz w:val="18"/>
              </w:rPr>
              <w:t>Role(s)</w:t>
            </w:r>
            <w:r>
              <w:rPr>
                <w:b/>
                <w:color w:val="FFFFFF"/>
                <w:spacing w:val="-8"/>
                <w:sz w:val="18"/>
              </w:rPr>
              <w:t> </w:t>
            </w:r>
            <w:r>
              <w:rPr>
                <w:b/>
                <w:color w:val="FFFFFF"/>
                <w:spacing w:val="-4"/>
                <w:sz w:val="18"/>
              </w:rPr>
              <w:t>and </w:t>
            </w:r>
            <w:r>
              <w:rPr>
                <w:b/>
                <w:color w:val="FFFFFF"/>
                <w:spacing w:val="-2"/>
                <w:sz w:val="18"/>
              </w:rPr>
              <w:t>Resources</w:t>
            </w:r>
          </w:p>
        </w:tc>
      </w:tr>
      <w:tr>
        <w:trPr>
          <w:trHeight w:val="9670" w:hRule="atLeast"/>
        </w:trPr>
        <w:tc>
          <w:tcPr>
            <w:tcW w:w="1065" w:type="dxa"/>
            <w:shd w:val="clear" w:color="auto" w:fill="E6E7E8"/>
          </w:tcPr>
          <w:p>
            <w:pPr>
              <w:pStyle w:val="TableParagraph"/>
              <w:spacing w:line="232" w:lineRule="auto" w:before="101"/>
              <w:ind w:left="89" w:right="171"/>
              <w:rPr>
                <w:sz w:val="18"/>
              </w:rPr>
            </w:pPr>
            <w:r>
              <w:rPr>
                <w:color w:val="105C84"/>
                <w:spacing w:val="-2"/>
                <w:sz w:val="18"/>
              </w:rPr>
              <w:t>Promote Healthy Women, Infants </w:t>
            </w:r>
            <w:r>
              <w:rPr>
                <w:color w:val="105C84"/>
                <w:spacing w:val="-4"/>
                <w:sz w:val="18"/>
              </w:rPr>
              <w:t>and </w:t>
            </w:r>
            <w:r>
              <w:rPr>
                <w:color w:val="105C84"/>
                <w:spacing w:val="-2"/>
                <w:sz w:val="18"/>
              </w:rPr>
              <w:t>Children</w:t>
            </w:r>
          </w:p>
        </w:tc>
        <w:tc>
          <w:tcPr>
            <w:tcW w:w="1353" w:type="dxa"/>
          </w:tcPr>
          <w:p>
            <w:pPr>
              <w:pStyle w:val="TableParagraph"/>
              <w:spacing w:line="232" w:lineRule="auto" w:before="101"/>
              <w:ind w:left="90" w:right="202"/>
              <w:rPr>
                <w:sz w:val="18"/>
              </w:rPr>
            </w:pPr>
            <w:r>
              <w:rPr>
                <w:color w:val="105C84"/>
                <w:sz w:val="18"/>
              </w:rPr>
              <w:t>Focus Area 3: Child and </w:t>
            </w:r>
            <w:r>
              <w:rPr>
                <w:color w:val="105C84"/>
                <w:spacing w:val="-2"/>
                <w:sz w:val="18"/>
              </w:rPr>
              <w:t>Adolescent Health, including </w:t>
            </w:r>
            <w:r>
              <w:rPr>
                <w:color w:val="105C84"/>
                <w:sz w:val="18"/>
              </w:rPr>
              <w:t>children</w:t>
            </w:r>
            <w:r>
              <w:rPr>
                <w:color w:val="105C84"/>
                <w:spacing w:val="-13"/>
                <w:sz w:val="18"/>
              </w:rPr>
              <w:t> </w:t>
            </w:r>
            <w:r>
              <w:rPr>
                <w:color w:val="105C84"/>
                <w:sz w:val="18"/>
              </w:rPr>
              <w:t>with</w:t>
            </w:r>
          </w:p>
          <w:p>
            <w:pPr>
              <w:pStyle w:val="TableParagraph"/>
              <w:spacing w:line="232" w:lineRule="auto"/>
              <w:ind w:left="90" w:right="145"/>
              <w:rPr>
                <w:sz w:val="18"/>
              </w:rPr>
            </w:pPr>
            <w:r>
              <w:rPr>
                <w:color w:val="105C84"/>
                <w:sz w:val="18"/>
              </w:rPr>
              <w:t>special</w:t>
            </w:r>
            <w:r>
              <w:rPr>
                <w:color w:val="105C84"/>
                <w:spacing w:val="-13"/>
                <w:sz w:val="18"/>
              </w:rPr>
              <w:t> </w:t>
            </w:r>
            <w:r>
              <w:rPr>
                <w:color w:val="105C84"/>
                <w:sz w:val="18"/>
              </w:rPr>
              <w:t>health care needs </w:t>
            </w:r>
            <w:r>
              <w:rPr>
                <w:color w:val="105C84"/>
                <w:spacing w:val="-2"/>
                <w:sz w:val="18"/>
              </w:rPr>
              <w:t>(CSHCN)</w:t>
            </w:r>
          </w:p>
        </w:tc>
        <w:tc>
          <w:tcPr>
            <w:tcW w:w="1267" w:type="dxa"/>
          </w:tcPr>
          <w:p>
            <w:pPr>
              <w:pStyle w:val="TableParagraph"/>
              <w:spacing w:line="232" w:lineRule="auto" w:before="100"/>
              <w:ind w:left="90" w:right="97"/>
              <w:rPr>
                <w:sz w:val="18"/>
              </w:rPr>
            </w:pPr>
            <w:r>
              <w:rPr>
                <w:color w:val="105C84"/>
                <w:sz w:val="18"/>
              </w:rPr>
              <w:t>Goal 3.1: Support and </w:t>
            </w:r>
            <w:r>
              <w:rPr>
                <w:color w:val="105C84"/>
                <w:spacing w:val="-2"/>
                <w:sz w:val="18"/>
              </w:rPr>
              <w:t>enhance </w:t>
            </w:r>
            <w:r>
              <w:rPr>
                <w:color w:val="105C84"/>
                <w:sz w:val="18"/>
              </w:rPr>
              <w:t>children and </w:t>
            </w:r>
            <w:r>
              <w:rPr>
                <w:color w:val="105C84"/>
                <w:spacing w:val="-2"/>
                <w:sz w:val="18"/>
              </w:rPr>
              <w:t>adolscents' social-emotional development </w:t>
            </w:r>
            <w:r>
              <w:rPr>
                <w:color w:val="105C84"/>
                <w:spacing w:val="-4"/>
                <w:sz w:val="18"/>
              </w:rPr>
              <w:t>and </w:t>
            </w:r>
            <w:r>
              <w:rPr>
                <w:color w:val="105C84"/>
                <w:spacing w:val="-2"/>
                <w:sz w:val="18"/>
              </w:rPr>
              <w:t>relationships</w:t>
            </w:r>
          </w:p>
        </w:tc>
        <w:tc>
          <w:tcPr>
            <w:tcW w:w="1605" w:type="dxa"/>
          </w:tcPr>
          <w:p>
            <w:pPr>
              <w:pStyle w:val="TableParagraph"/>
              <w:spacing w:line="232" w:lineRule="auto" w:before="100"/>
              <w:ind w:left="90" w:right="204"/>
              <w:rPr>
                <w:sz w:val="18"/>
              </w:rPr>
            </w:pPr>
            <w:r>
              <w:rPr>
                <w:color w:val="105C84"/>
                <w:sz w:val="18"/>
              </w:rPr>
              <w:t>3.1.2: Increase the percentage of children and </w:t>
            </w:r>
            <w:r>
              <w:rPr>
                <w:color w:val="105C84"/>
                <w:spacing w:val="-2"/>
                <w:sz w:val="18"/>
              </w:rPr>
              <w:t>adolescents,</w:t>
            </w:r>
            <w:r>
              <w:rPr>
                <w:color w:val="105C84"/>
                <w:spacing w:val="40"/>
                <w:sz w:val="18"/>
              </w:rPr>
              <w:t> </w:t>
            </w:r>
            <w:r>
              <w:rPr>
                <w:color w:val="105C84"/>
                <w:sz w:val="18"/>
              </w:rPr>
              <w:t>age 3-17 years, with a mental/ </w:t>
            </w:r>
            <w:r>
              <w:rPr>
                <w:color w:val="105C84"/>
                <w:spacing w:val="-2"/>
                <w:sz w:val="18"/>
              </w:rPr>
              <w:t>behavioral </w:t>
            </w:r>
            <w:r>
              <w:rPr>
                <w:color w:val="105C84"/>
                <w:sz w:val="18"/>
              </w:rPr>
              <w:t>health </w:t>
            </w:r>
            <w:r>
              <w:rPr>
                <w:color w:val="105C84"/>
                <w:sz w:val="18"/>
              </w:rPr>
              <w:t>condition</w:t>
            </w:r>
            <w:r>
              <w:rPr>
                <w:color w:val="105C84"/>
                <w:sz w:val="18"/>
              </w:rPr>
              <w:t> who received treatment or counseling by 10% to 49.8%</w:t>
            </w:r>
          </w:p>
        </w:tc>
        <w:tc>
          <w:tcPr>
            <w:tcW w:w="1101" w:type="dxa"/>
          </w:tcPr>
          <w:p>
            <w:pPr>
              <w:pStyle w:val="TableParagraph"/>
              <w:spacing w:line="203" w:lineRule="exact" w:before="95"/>
              <w:ind w:left="91"/>
              <w:rPr>
                <w:sz w:val="18"/>
              </w:rPr>
            </w:pPr>
            <w:r>
              <w:rPr>
                <w:color w:val="105C84"/>
                <w:sz w:val="18"/>
              </w:rPr>
              <w:t>Low</w:t>
            </w:r>
            <w:r>
              <w:rPr>
                <w:color w:val="105C84"/>
                <w:spacing w:val="-11"/>
                <w:sz w:val="18"/>
              </w:rPr>
              <w:t> </w:t>
            </w:r>
            <w:r>
              <w:rPr>
                <w:color w:val="105C84"/>
                <w:spacing w:val="-4"/>
                <w:sz w:val="18"/>
              </w:rPr>
              <w:t>SES,</w:t>
            </w:r>
          </w:p>
          <w:p>
            <w:pPr>
              <w:pStyle w:val="TableParagraph"/>
              <w:spacing w:line="232" w:lineRule="auto" w:before="2"/>
              <w:ind w:left="91" w:right="112"/>
              <w:rPr>
                <w:sz w:val="18"/>
              </w:rPr>
            </w:pPr>
            <w:r>
              <w:rPr>
                <w:color w:val="105C84"/>
                <w:spacing w:val="-2"/>
                <w:sz w:val="18"/>
              </w:rPr>
              <w:t>pregnant </w:t>
            </w:r>
            <w:r>
              <w:rPr>
                <w:color w:val="105C84"/>
                <w:spacing w:val="-4"/>
                <w:sz w:val="18"/>
              </w:rPr>
              <w:t>and </w:t>
            </w:r>
            <w:r>
              <w:rPr>
                <w:color w:val="105C84"/>
                <w:spacing w:val="-2"/>
                <w:sz w:val="18"/>
              </w:rPr>
              <w:t>parenting </w:t>
            </w:r>
            <w:r>
              <w:rPr>
                <w:color w:val="105C84"/>
                <w:sz w:val="18"/>
              </w:rPr>
              <w:t>teens,</w:t>
            </w:r>
            <w:r>
              <w:rPr>
                <w:color w:val="105C84"/>
                <w:spacing w:val="-13"/>
                <w:sz w:val="18"/>
              </w:rPr>
              <w:t> </w:t>
            </w:r>
            <w:r>
              <w:rPr>
                <w:color w:val="105C84"/>
                <w:sz w:val="18"/>
              </w:rPr>
              <w:t>dual </w:t>
            </w:r>
            <w:r>
              <w:rPr>
                <w:color w:val="105C84"/>
                <w:spacing w:val="-2"/>
                <w:sz w:val="18"/>
              </w:rPr>
              <w:t>diagnosed pregnant/ parenting mothers</w:t>
            </w:r>
          </w:p>
        </w:tc>
        <w:tc>
          <w:tcPr>
            <w:tcW w:w="1936" w:type="dxa"/>
          </w:tcPr>
          <w:p>
            <w:pPr>
              <w:pStyle w:val="TableParagraph"/>
              <w:spacing w:line="232" w:lineRule="auto" w:before="100"/>
              <w:ind w:left="92" w:right="133"/>
              <w:rPr>
                <w:sz w:val="18"/>
              </w:rPr>
            </w:pPr>
            <w:r>
              <w:rPr>
                <w:color w:val="105C84"/>
                <w:sz w:val="18"/>
              </w:rPr>
              <w:t>3.1.2: Identify and integrate evidence-based and evidence-informed strategies</w:t>
            </w:r>
            <w:r>
              <w:rPr>
                <w:color w:val="105C84"/>
                <w:spacing w:val="40"/>
                <w:sz w:val="18"/>
              </w:rPr>
              <w:t> </w:t>
            </w:r>
            <w:r>
              <w:rPr>
                <w:color w:val="105C84"/>
                <w:sz w:val="18"/>
              </w:rPr>
              <w:t>to promote social-emotional wellness through public </w:t>
            </w:r>
            <w:r>
              <w:rPr>
                <w:color w:val="105C84"/>
                <w:sz w:val="18"/>
              </w:rPr>
              <w:t>healt</w:t>
            </w:r>
            <w:r>
              <w:rPr>
                <w:color w:val="105C84"/>
                <w:sz w:val="18"/>
              </w:rPr>
              <w:t>h</w:t>
            </w:r>
            <w:r>
              <w:rPr>
                <w:color w:val="105C84"/>
                <w:sz w:val="18"/>
              </w:rPr>
              <w:t> programs serving children, youth, and </w:t>
            </w:r>
            <w:r>
              <w:rPr>
                <w:color w:val="105C84"/>
                <w:spacing w:val="-2"/>
                <w:sz w:val="18"/>
              </w:rPr>
              <w:t>families</w:t>
            </w:r>
          </w:p>
        </w:tc>
        <w:tc>
          <w:tcPr>
            <w:tcW w:w="5990" w:type="dxa"/>
          </w:tcPr>
          <w:p>
            <w:pPr>
              <w:pStyle w:val="TableParagraph"/>
              <w:tabs>
                <w:tab w:pos="3890" w:val="left" w:leader="none"/>
              </w:tabs>
              <w:spacing w:line="203" w:lineRule="exact" w:before="95"/>
              <w:ind w:left="92"/>
              <w:rPr>
                <w:sz w:val="18"/>
              </w:rPr>
            </w:pPr>
            <w:r>
              <w:rPr>
                <w:color w:val="105C84"/>
                <w:spacing w:val="-2"/>
                <w:sz w:val="18"/>
              </w:rPr>
              <w:t>#</w:t>
            </w:r>
            <w:r>
              <w:rPr>
                <w:color w:val="105C84"/>
                <w:spacing w:val="-9"/>
                <w:sz w:val="18"/>
              </w:rPr>
              <w:t> </w:t>
            </w:r>
            <w:r>
              <w:rPr>
                <w:color w:val="105C84"/>
                <w:spacing w:val="-2"/>
                <w:sz w:val="18"/>
              </w:rPr>
              <w:t>schools</w:t>
            </w:r>
            <w:r>
              <w:rPr>
                <w:color w:val="105C84"/>
                <w:spacing w:val="-9"/>
                <w:sz w:val="18"/>
              </w:rPr>
              <w:t> </w:t>
            </w:r>
            <w:r>
              <w:rPr>
                <w:color w:val="105C84"/>
                <w:spacing w:val="-2"/>
                <w:sz w:val="18"/>
              </w:rPr>
              <w:t>piloting</w:t>
            </w:r>
            <w:r>
              <w:rPr>
                <w:color w:val="105C84"/>
                <w:sz w:val="18"/>
              </w:rPr>
              <w:tab/>
            </w:r>
            <w:r>
              <w:rPr>
                <w:color w:val="105C84"/>
                <w:spacing w:val="-2"/>
                <w:sz w:val="18"/>
              </w:rPr>
              <w:t>Steuben</w:t>
            </w:r>
            <w:r>
              <w:rPr>
                <w:color w:val="105C84"/>
                <w:spacing w:val="-11"/>
                <w:sz w:val="18"/>
              </w:rPr>
              <w:t> </w:t>
            </w:r>
            <w:r>
              <w:rPr>
                <w:color w:val="105C84"/>
                <w:spacing w:val="-2"/>
                <w:sz w:val="18"/>
              </w:rPr>
              <w:t>Rural</w:t>
            </w:r>
            <w:r>
              <w:rPr>
                <w:color w:val="105C84"/>
                <w:spacing w:val="-10"/>
                <w:sz w:val="18"/>
              </w:rPr>
              <w:t> </w:t>
            </w:r>
            <w:r>
              <w:rPr>
                <w:color w:val="105C84"/>
                <w:spacing w:val="-2"/>
                <w:sz w:val="18"/>
              </w:rPr>
              <w:t>Health</w:t>
            </w:r>
          </w:p>
          <w:p>
            <w:pPr>
              <w:pStyle w:val="TableParagraph"/>
              <w:tabs>
                <w:tab w:pos="3890" w:val="left" w:leader="none"/>
              </w:tabs>
              <w:spacing w:line="200" w:lineRule="exact"/>
              <w:ind w:left="92"/>
              <w:rPr>
                <w:sz w:val="18"/>
              </w:rPr>
            </w:pPr>
            <w:r>
              <w:rPr>
                <w:color w:val="105C84"/>
                <w:sz w:val="18"/>
              </w:rPr>
              <w:t>Cope</w:t>
            </w:r>
            <w:r>
              <w:rPr>
                <w:color w:val="105C84"/>
                <w:spacing w:val="10"/>
                <w:sz w:val="18"/>
              </w:rPr>
              <w:t> </w:t>
            </w:r>
            <w:r>
              <w:rPr>
                <w:color w:val="105C84"/>
                <w:sz w:val="18"/>
              </w:rPr>
              <w:t>to</w:t>
            </w:r>
            <w:r>
              <w:rPr>
                <w:color w:val="105C84"/>
                <w:spacing w:val="11"/>
                <w:sz w:val="18"/>
              </w:rPr>
              <w:t> </w:t>
            </w:r>
            <w:r>
              <w:rPr>
                <w:color w:val="105C84"/>
                <w:spacing w:val="-2"/>
                <w:sz w:val="18"/>
              </w:rPr>
              <w:t>Thrive</w:t>
            </w:r>
            <w:r>
              <w:rPr>
                <w:color w:val="105C84"/>
                <w:sz w:val="18"/>
              </w:rPr>
              <w:tab/>
              <w:t>Network:</w:t>
            </w:r>
            <w:r>
              <w:rPr>
                <w:color w:val="105C84"/>
                <w:spacing w:val="10"/>
                <w:sz w:val="18"/>
              </w:rPr>
              <w:t> </w:t>
            </w:r>
            <w:r>
              <w:rPr>
                <w:color w:val="105C84"/>
                <w:sz w:val="18"/>
              </w:rPr>
              <w:t>Cope</w:t>
            </w:r>
            <w:r>
              <w:rPr>
                <w:color w:val="105C84"/>
                <w:spacing w:val="11"/>
                <w:sz w:val="18"/>
              </w:rPr>
              <w:t> </w:t>
            </w:r>
            <w:r>
              <w:rPr>
                <w:color w:val="105C84"/>
                <w:sz w:val="18"/>
              </w:rPr>
              <w:t>to</w:t>
            </w:r>
            <w:r>
              <w:rPr>
                <w:color w:val="105C84"/>
                <w:spacing w:val="10"/>
                <w:sz w:val="18"/>
              </w:rPr>
              <w:t> </w:t>
            </w:r>
            <w:r>
              <w:rPr>
                <w:color w:val="105C84"/>
                <w:spacing w:val="-2"/>
                <w:sz w:val="18"/>
              </w:rPr>
              <w:t>Thrive</w:t>
            </w:r>
          </w:p>
          <w:p>
            <w:pPr>
              <w:pStyle w:val="TableParagraph"/>
              <w:tabs>
                <w:tab w:pos="3890" w:val="left" w:leader="none"/>
              </w:tabs>
              <w:spacing w:line="290" w:lineRule="exact"/>
              <w:ind w:left="92"/>
              <w:rPr>
                <w:sz w:val="18"/>
              </w:rPr>
            </w:pPr>
            <w:r>
              <w:rPr>
                <w:color w:val="105C84"/>
                <w:spacing w:val="-2"/>
                <w:position w:val="9"/>
                <w:sz w:val="18"/>
              </w:rPr>
              <w:t>program</w:t>
            </w:r>
            <w:r>
              <w:rPr>
                <w:color w:val="105C84"/>
                <w:position w:val="9"/>
                <w:sz w:val="18"/>
              </w:rPr>
              <w:tab/>
            </w:r>
            <w:r>
              <w:rPr>
                <w:color w:val="105C84"/>
                <w:sz w:val="18"/>
              </w:rPr>
              <w:t>-2</w:t>
            </w:r>
            <w:r>
              <w:rPr>
                <w:color w:val="105C84"/>
                <w:spacing w:val="-11"/>
                <w:sz w:val="18"/>
              </w:rPr>
              <w:t> </w:t>
            </w:r>
            <w:r>
              <w:rPr>
                <w:color w:val="105C84"/>
                <w:sz w:val="18"/>
              </w:rPr>
              <w:t>schools</w:t>
            </w:r>
            <w:r>
              <w:rPr>
                <w:color w:val="105C84"/>
                <w:spacing w:val="-11"/>
                <w:sz w:val="18"/>
              </w:rPr>
              <w:t> </w:t>
            </w:r>
            <w:r>
              <w:rPr>
                <w:color w:val="105C84"/>
                <w:sz w:val="18"/>
              </w:rPr>
              <w:t>will</w:t>
            </w:r>
            <w:r>
              <w:rPr>
                <w:color w:val="105C84"/>
                <w:spacing w:val="-12"/>
                <w:sz w:val="18"/>
              </w:rPr>
              <w:t> </w:t>
            </w:r>
            <w:r>
              <w:rPr>
                <w:color w:val="105C84"/>
                <w:spacing w:val="-2"/>
                <w:sz w:val="18"/>
              </w:rPr>
              <w:t>implement</w:t>
            </w:r>
          </w:p>
          <w:p>
            <w:pPr>
              <w:pStyle w:val="TableParagraph"/>
              <w:tabs>
                <w:tab w:pos="3890" w:val="left" w:leader="none"/>
              </w:tabs>
              <w:spacing w:line="200" w:lineRule="exact"/>
              <w:ind w:left="92"/>
              <w:rPr>
                <w:sz w:val="18"/>
              </w:rPr>
            </w:pPr>
            <w:r>
              <w:rPr>
                <w:color w:val="105C84"/>
                <w:sz w:val="18"/>
              </w:rPr>
              <w:t>#</w:t>
            </w:r>
            <w:r>
              <w:rPr>
                <w:color w:val="105C84"/>
                <w:spacing w:val="-13"/>
                <w:sz w:val="18"/>
              </w:rPr>
              <w:t> </w:t>
            </w:r>
            <w:r>
              <w:rPr>
                <w:color w:val="105C84"/>
                <w:spacing w:val="-2"/>
                <w:sz w:val="18"/>
              </w:rPr>
              <w:t>instructors</w:t>
            </w:r>
            <w:r>
              <w:rPr>
                <w:color w:val="105C84"/>
                <w:sz w:val="18"/>
              </w:rPr>
              <w:tab/>
              <w:t>the</w:t>
            </w:r>
            <w:r>
              <w:rPr>
                <w:color w:val="105C84"/>
                <w:spacing w:val="-8"/>
                <w:sz w:val="18"/>
              </w:rPr>
              <w:t> </w:t>
            </w:r>
            <w:r>
              <w:rPr>
                <w:color w:val="105C84"/>
                <w:sz w:val="18"/>
              </w:rPr>
              <w:t>7</w:t>
            </w:r>
            <w:r>
              <w:rPr>
                <w:color w:val="105C84"/>
                <w:spacing w:val="-8"/>
                <w:sz w:val="18"/>
              </w:rPr>
              <w:t> </w:t>
            </w:r>
            <w:r>
              <w:rPr>
                <w:color w:val="105C84"/>
                <w:sz w:val="18"/>
              </w:rPr>
              <w:t>session</w:t>
            </w:r>
            <w:r>
              <w:rPr>
                <w:color w:val="105C84"/>
                <w:spacing w:val="-7"/>
                <w:sz w:val="18"/>
              </w:rPr>
              <w:t> </w:t>
            </w:r>
            <w:r>
              <w:rPr>
                <w:color w:val="105C84"/>
                <w:sz w:val="18"/>
              </w:rPr>
              <w:t>program</w:t>
            </w:r>
            <w:r>
              <w:rPr>
                <w:color w:val="105C84"/>
                <w:spacing w:val="-8"/>
                <w:sz w:val="18"/>
              </w:rPr>
              <w:t> </w:t>
            </w:r>
            <w:r>
              <w:rPr>
                <w:color w:val="105C84"/>
                <w:spacing w:val="-5"/>
                <w:sz w:val="18"/>
              </w:rPr>
              <w:t>in</w:t>
            </w:r>
          </w:p>
          <w:p>
            <w:pPr>
              <w:pStyle w:val="TableParagraph"/>
              <w:tabs>
                <w:tab w:pos="3890" w:val="left" w:leader="none"/>
              </w:tabs>
              <w:spacing w:line="200" w:lineRule="exact"/>
              <w:ind w:left="92"/>
              <w:rPr>
                <w:sz w:val="18"/>
              </w:rPr>
            </w:pPr>
            <w:r>
              <w:rPr>
                <w:color w:val="105C84"/>
                <w:sz w:val="18"/>
              </w:rPr>
              <w:t>completing</w:t>
            </w:r>
            <w:r>
              <w:rPr>
                <w:color w:val="105C84"/>
                <w:spacing w:val="33"/>
                <w:sz w:val="18"/>
              </w:rPr>
              <w:t> </w:t>
            </w:r>
            <w:r>
              <w:rPr>
                <w:color w:val="105C84"/>
                <w:spacing w:val="-5"/>
                <w:sz w:val="18"/>
              </w:rPr>
              <w:t>and</w:t>
            </w:r>
            <w:r>
              <w:rPr>
                <w:color w:val="105C84"/>
                <w:sz w:val="18"/>
              </w:rPr>
              <w:tab/>
            </w:r>
            <w:r>
              <w:rPr>
                <w:color w:val="105C84"/>
                <w:spacing w:val="-2"/>
                <w:sz w:val="18"/>
              </w:rPr>
              <w:t>Steuben</w:t>
            </w:r>
          </w:p>
          <w:p>
            <w:pPr>
              <w:pStyle w:val="TableParagraph"/>
              <w:tabs>
                <w:tab w:pos="3890" w:val="left" w:leader="none"/>
              </w:tabs>
              <w:spacing w:line="245" w:lineRule="exact"/>
              <w:ind w:left="92"/>
              <w:rPr>
                <w:sz w:val="18"/>
              </w:rPr>
            </w:pPr>
            <w:r>
              <w:rPr>
                <w:color w:val="105C84"/>
                <w:spacing w:val="-2"/>
                <w:position w:val="9"/>
                <w:sz w:val="18"/>
              </w:rPr>
              <w:t>passing</w:t>
            </w:r>
            <w:r>
              <w:rPr>
                <w:color w:val="105C84"/>
                <w:spacing w:val="-3"/>
                <w:position w:val="9"/>
                <w:sz w:val="18"/>
              </w:rPr>
              <w:t> </w:t>
            </w:r>
            <w:r>
              <w:rPr>
                <w:color w:val="105C84"/>
                <w:spacing w:val="-2"/>
                <w:position w:val="9"/>
                <w:sz w:val="18"/>
              </w:rPr>
              <w:t>training</w:t>
            </w:r>
            <w:r>
              <w:rPr>
                <w:color w:val="105C84"/>
                <w:position w:val="9"/>
                <w:sz w:val="18"/>
              </w:rPr>
              <w:tab/>
            </w:r>
            <w:r>
              <w:rPr>
                <w:color w:val="105C84"/>
                <w:sz w:val="18"/>
              </w:rPr>
              <w:t>-4</w:t>
            </w:r>
            <w:r>
              <w:rPr>
                <w:color w:val="105C84"/>
                <w:spacing w:val="-13"/>
                <w:sz w:val="18"/>
              </w:rPr>
              <w:t> </w:t>
            </w:r>
            <w:r>
              <w:rPr>
                <w:color w:val="105C84"/>
                <w:sz w:val="18"/>
              </w:rPr>
              <w:t>instructors</w:t>
            </w:r>
            <w:r>
              <w:rPr>
                <w:color w:val="105C84"/>
                <w:spacing w:val="-12"/>
                <w:sz w:val="18"/>
              </w:rPr>
              <w:t> </w:t>
            </w:r>
            <w:r>
              <w:rPr>
                <w:color w:val="105C84"/>
                <w:spacing w:val="-4"/>
                <w:sz w:val="18"/>
              </w:rPr>
              <w:t>will</w:t>
            </w:r>
          </w:p>
          <w:p>
            <w:pPr>
              <w:pStyle w:val="TableParagraph"/>
              <w:tabs>
                <w:tab w:pos="3890" w:val="left" w:leader="none"/>
              </w:tabs>
              <w:spacing w:line="200" w:lineRule="exact"/>
              <w:ind w:left="92"/>
              <w:rPr>
                <w:sz w:val="18"/>
              </w:rPr>
            </w:pPr>
            <w:r>
              <w:rPr>
                <w:color w:val="105C84"/>
                <w:position w:val="9"/>
                <w:sz w:val="18"/>
              </w:rPr>
              <w:t>for</w:t>
            </w:r>
            <w:r>
              <w:rPr>
                <w:color w:val="105C84"/>
                <w:spacing w:val="8"/>
                <w:position w:val="9"/>
                <w:sz w:val="18"/>
              </w:rPr>
              <w:t> </w:t>
            </w:r>
            <w:r>
              <w:rPr>
                <w:color w:val="105C84"/>
                <w:position w:val="9"/>
                <w:sz w:val="18"/>
              </w:rPr>
              <w:t>Cope</w:t>
            </w:r>
            <w:r>
              <w:rPr>
                <w:color w:val="105C84"/>
                <w:spacing w:val="9"/>
                <w:position w:val="9"/>
                <w:sz w:val="18"/>
              </w:rPr>
              <w:t> </w:t>
            </w:r>
            <w:r>
              <w:rPr>
                <w:color w:val="105C84"/>
                <w:position w:val="9"/>
                <w:sz w:val="18"/>
              </w:rPr>
              <w:t>to</w:t>
            </w:r>
            <w:r>
              <w:rPr>
                <w:color w:val="105C84"/>
                <w:spacing w:val="8"/>
                <w:position w:val="9"/>
                <w:sz w:val="18"/>
              </w:rPr>
              <w:t> </w:t>
            </w:r>
            <w:r>
              <w:rPr>
                <w:color w:val="105C84"/>
                <w:spacing w:val="-2"/>
                <w:position w:val="9"/>
                <w:sz w:val="18"/>
              </w:rPr>
              <w:t>Thrive</w:t>
            </w:r>
            <w:r>
              <w:rPr>
                <w:color w:val="105C84"/>
                <w:position w:val="9"/>
                <w:sz w:val="18"/>
              </w:rPr>
              <w:tab/>
            </w:r>
            <w:r>
              <w:rPr>
                <w:color w:val="105C84"/>
                <w:sz w:val="18"/>
              </w:rPr>
              <w:t>complete</w:t>
            </w:r>
            <w:r>
              <w:rPr>
                <w:color w:val="105C84"/>
                <w:spacing w:val="-3"/>
                <w:sz w:val="18"/>
              </w:rPr>
              <w:t> </w:t>
            </w:r>
            <w:r>
              <w:rPr>
                <w:color w:val="105C84"/>
                <w:sz w:val="18"/>
              </w:rPr>
              <w:t>a</w:t>
            </w:r>
            <w:r>
              <w:rPr>
                <w:color w:val="105C84"/>
                <w:spacing w:val="-2"/>
                <w:sz w:val="18"/>
              </w:rPr>
              <w:t> </w:t>
            </w:r>
            <w:r>
              <w:rPr>
                <w:color w:val="105C84"/>
                <w:sz w:val="18"/>
              </w:rPr>
              <w:t>2.5</w:t>
            </w:r>
            <w:r>
              <w:rPr>
                <w:color w:val="105C84"/>
                <w:spacing w:val="-3"/>
                <w:sz w:val="18"/>
              </w:rPr>
              <w:t> </w:t>
            </w:r>
            <w:r>
              <w:rPr>
                <w:color w:val="105C84"/>
                <w:spacing w:val="-4"/>
                <w:sz w:val="18"/>
              </w:rPr>
              <w:t>hour</w:t>
            </w:r>
          </w:p>
          <w:p>
            <w:pPr>
              <w:pStyle w:val="TableParagraph"/>
              <w:tabs>
                <w:tab w:pos="3890" w:val="left" w:leader="none"/>
              </w:tabs>
              <w:spacing w:line="245" w:lineRule="exact"/>
              <w:ind w:left="92"/>
              <w:rPr>
                <w:sz w:val="18"/>
              </w:rPr>
            </w:pPr>
            <w:r>
              <w:rPr>
                <w:color w:val="105C84"/>
                <w:spacing w:val="-2"/>
                <w:position w:val="9"/>
                <w:sz w:val="18"/>
              </w:rPr>
              <w:t>program</w:t>
            </w:r>
            <w:r>
              <w:rPr>
                <w:color w:val="105C84"/>
                <w:position w:val="9"/>
                <w:sz w:val="18"/>
              </w:rPr>
              <w:tab/>
            </w:r>
            <w:r>
              <w:rPr>
                <w:color w:val="105C84"/>
                <w:sz w:val="18"/>
              </w:rPr>
              <w:t>training</w:t>
            </w:r>
            <w:r>
              <w:rPr>
                <w:color w:val="105C84"/>
                <w:spacing w:val="-4"/>
                <w:sz w:val="18"/>
              </w:rPr>
              <w:t> </w:t>
            </w:r>
            <w:r>
              <w:rPr>
                <w:color w:val="105C84"/>
                <w:sz w:val="18"/>
              </w:rPr>
              <w:t>and</w:t>
            </w:r>
            <w:r>
              <w:rPr>
                <w:color w:val="105C84"/>
                <w:spacing w:val="-4"/>
                <w:sz w:val="18"/>
              </w:rPr>
              <w:t> </w:t>
            </w:r>
            <w:r>
              <w:rPr>
                <w:color w:val="105C84"/>
                <w:sz w:val="18"/>
              </w:rPr>
              <w:t>pass</w:t>
            </w:r>
            <w:r>
              <w:rPr>
                <w:color w:val="105C84"/>
                <w:spacing w:val="-3"/>
                <w:sz w:val="18"/>
              </w:rPr>
              <w:t> </w:t>
            </w:r>
            <w:r>
              <w:rPr>
                <w:color w:val="105C84"/>
                <w:sz w:val="18"/>
              </w:rPr>
              <w:t>with</w:t>
            </w:r>
            <w:r>
              <w:rPr>
                <w:color w:val="105C84"/>
                <w:spacing w:val="-4"/>
                <w:sz w:val="18"/>
              </w:rPr>
              <w:t> </w:t>
            </w:r>
            <w:r>
              <w:rPr>
                <w:color w:val="105C84"/>
                <w:spacing w:val="-10"/>
                <w:sz w:val="18"/>
              </w:rPr>
              <w:t>a</w:t>
            </w:r>
          </w:p>
          <w:p>
            <w:pPr>
              <w:pStyle w:val="TableParagraph"/>
              <w:tabs>
                <w:tab w:pos="3890" w:val="left" w:leader="none"/>
              </w:tabs>
              <w:spacing w:line="200" w:lineRule="exact"/>
              <w:ind w:left="92"/>
              <w:rPr>
                <w:sz w:val="18"/>
              </w:rPr>
            </w:pPr>
            <w:r>
              <w:rPr>
                <w:color w:val="105C84"/>
                <w:sz w:val="18"/>
              </w:rPr>
              <w:t>#</w:t>
            </w:r>
            <w:r>
              <w:rPr>
                <w:color w:val="105C84"/>
                <w:spacing w:val="-13"/>
                <w:sz w:val="18"/>
              </w:rPr>
              <w:t> </w:t>
            </w:r>
            <w:r>
              <w:rPr>
                <w:color w:val="105C84"/>
                <w:spacing w:val="-2"/>
                <w:sz w:val="18"/>
              </w:rPr>
              <w:t>participants</w:t>
            </w:r>
            <w:r>
              <w:rPr>
                <w:color w:val="105C84"/>
                <w:sz w:val="18"/>
              </w:rPr>
              <w:tab/>
            </w:r>
            <w:r>
              <w:rPr>
                <w:color w:val="105C84"/>
                <w:spacing w:val="-2"/>
                <w:sz w:val="18"/>
              </w:rPr>
              <w:t>80%</w:t>
            </w:r>
            <w:r>
              <w:rPr>
                <w:color w:val="105C84"/>
                <w:spacing w:val="-11"/>
                <w:sz w:val="18"/>
              </w:rPr>
              <w:t> </w:t>
            </w:r>
            <w:r>
              <w:rPr>
                <w:color w:val="105C84"/>
                <w:spacing w:val="-2"/>
                <w:sz w:val="18"/>
              </w:rPr>
              <w:t>or</w:t>
            </w:r>
            <w:r>
              <w:rPr>
                <w:color w:val="105C84"/>
                <w:spacing w:val="-10"/>
                <w:sz w:val="18"/>
              </w:rPr>
              <w:t> </w:t>
            </w:r>
            <w:r>
              <w:rPr>
                <w:color w:val="105C84"/>
                <w:spacing w:val="-2"/>
                <w:sz w:val="18"/>
              </w:rPr>
              <w:t>higher</w:t>
            </w:r>
          </w:p>
          <w:p>
            <w:pPr>
              <w:pStyle w:val="TableParagraph"/>
              <w:tabs>
                <w:tab w:pos="3890" w:val="left" w:leader="none"/>
              </w:tabs>
              <w:spacing w:line="245" w:lineRule="exact"/>
              <w:ind w:left="92"/>
              <w:rPr>
                <w:sz w:val="18"/>
              </w:rPr>
            </w:pPr>
            <w:r>
              <w:rPr>
                <w:color w:val="105C84"/>
                <w:position w:val="9"/>
                <w:sz w:val="18"/>
              </w:rPr>
              <w:t>completing</w:t>
            </w:r>
            <w:r>
              <w:rPr>
                <w:color w:val="105C84"/>
                <w:spacing w:val="21"/>
                <w:position w:val="9"/>
                <w:sz w:val="18"/>
              </w:rPr>
              <w:t> </w:t>
            </w:r>
            <w:r>
              <w:rPr>
                <w:color w:val="105C84"/>
                <w:position w:val="9"/>
                <w:sz w:val="18"/>
              </w:rPr>
              <w:t>Cope</w:t>
            </w:r>
            <w:r>
              <w:rPr>
                <w:color w:val="105C84"/>
                <w:spacing w:val="21"/>
                <w:position w:val="9"/>
                <w:sz w:val="18"/>
              </w:rPr>
              <w:t> </w:t>
            </w:r>
            <w:r>
              <w:rPr>
                <w:color w:val="105C84"/>
                <w:spacing w:val="-5"/>
                <w:position w:val="9"/>
                <w:sz w:val="18"/>
              </w:rPr>
              <w:t>to</w:t>
            </w:r>
            <w:r>
              <w:rPr>
                <w:color w:val="105C84"/>
                <w:position w:val="9"/>
                <w:sz w:val="18"/>
              </w:rPr>
              <w:tab/>
            </w:r>
            <w:r>
              <w:rPr>
                <w:color w:val="105C84"/>
                <w:sz w:val="18"/>
              </w:rPr>
              <w:t>-At</w:t>
            </w:r>
            <w:r>
              <w:rPr>
                <w:color w:val="105C84"/>
                <w:spacing w:val="-8"/>
                <w:sz w:val="18"/>
              </w:rPr>
              <w:t> </w:t>
            </w:r>
            <w:r>
              <w:rPr>
                <w:color w:val="105C84"/>
                <w:sz w:val="18"/>
              </w:rPr>
              <w:t>least</w:t>
            </w:r>
            <w:r>
              <w:rPr>
                <w:color w:val="105C84"/>
                <w:spacing w:val="-7"/>
                <w:sz w:val="18"/>
              </w:rPr>
              <w:t> </w:t>
            </w:r>
            <w:r>
              <w:rPr>
                <w:color w:val="105C84"/>
                <w:sz w:val="18"/>
              </w:rPr>
              <w:t>15</w:t>
            </w:r>
            <w:r>
              <w:rPr>
                <w:color w:val="105C84"/>
                <w:spacing w:val="-8"/>
                <w:sz w:val="18"/>
              </w:rPr>
              <w:t> </w:t>
            </w:r>
            <w:r>
              <w:rPr>
                <w:color w:val="105C84"/>
                <w:spacing w:val="-2"/>
                <w:sz w:val="18"/>
              </w:rPr>
              <w:t>participants</w:t>
            </w:r>
          </w:p>
          <w:p>
            <w:pPr>
              <w:pStyle w:val="TableParagraph"/>
              <w:tabs>
                <w:tab w:pos="3890" w:val="left" w:leader="none"/>
              </w:tabs>
              <w:spacing w:line="245" w:lineRule="exact"/>
              <w:ind w:left="92"/>
              <w:rPr>
                <w:sz w:val="18"/>
              </w:rPr>
            </w:pPr>
            <w:r>
              <w:rPr>
                <w:color w:val="105C84"/>
                <w:spacing w:val="-2"/>
                <w:position w:val="9"/>
                <w:sz w:val="18"/>
              </w:rPr>
              <w:t>Thrive</w:t>
            </w:r>
            <w:r>
              <w:rPr>
                <w:color w:val="105C84"/>
                <w:position w:val="9"/>
                <w:sz w:val="18"/>
              </w:rPr>
              <w:tab/>
            </w:r>
            <w:r>
              <w:rPr>
                <w:color w:val="105C84"/>
                <w:sz w:val="18"/>
              </w:rPr>
              <w:t>will</w:t>
            </w:r>
            <w:r>
              <w:rPr>
                <w:color w:val="105C84"/>
                <w:spacing w:val="13"/>
                <w:sz w:val="18"/>
              </w:rPr>
              <w:t> </w:t>
            </w:r>
            <w:r>
              <w:rPr>
                <w:color w:val="105C84"/>
                <w:sz w:val="18"/>
              </w:rPr>
              <w:t>complete</w:t>
            </w:r>
            <w:r>
              <w:rPr>
                <w:color w:val="105C84"/>
                <w:spacing w:val="13"/>
                <w:sz w:val="18"/>
              </w:rPr>
              <w:t> </w:t>
            </w:r>
            <w:r>
              <w:rPr>
                <w:color w:val="105C84"/>
                <w:spacing w:val="-5"/>
                <w:sz w:val="18"/>
              </w:rPr>
              <w:t>the</w:t>
            </w:r>
          </w:p>
          <w:p>
            <w:pPr>
              <w:pStyle w:val="TableParagraph"/>
              <w:tabs>
                <w:tab w:pos="3890" w:val="left" w:leader="none"/>
              </w:tabs>
              <w:spacing w:line="200" w:lineRule="exact"/>
              <w:ind w:left="92"/>
              <w:rPr>
                <w:sz w:val="18"/>
              </w:rPr>
            </w:pPr>
            <w:r>
              <w:rPr>
                <w:color w:val="105C84"/>
                <w:spacing w:val="-16"/>
                <w:sz w:val="18"/>
              </w:rPr>
              <w:t>%</w:t>
            </w:r>
            <w:r>
              <w:rPr>
                <w:color w:val="105C84"/>
                <w:spacing w:val="-3"/>
                <w:sz w:val="18"/>
              </w:rPr>
              <w:t> </w:t>
            </w:r>
            <w:r>
              <w:rPr>
                <w:color w:val="105C84"/>
                <w:spacing w:val="-2"/>
                <w:sz w:val="18"/>
              </w:rPr>
              <w:t>participants</w:t>
            </w:r>
            <w:r>
              <w:rPr>
                <w:color w:val="105C84"/>
                <w:sz w:val="18"/>
              </w:rPr>
              <w:tab/>
            </w:r>
            <w:r>
              <w:rPr>
                <w:color w:val="105C84"/>
                <w:spacing w:val="-2"/>
                <w:sz w:val="18"/>
              </w:rPr>
              <w:t>program</w:t>
            </w:r>
          </w:p>
          <w:p>
            <w:pPr>
              <w:pStyle w:val="TableParagraph"/>
              <w:tabs>
                <w:tab w:pos="3890" w:val="left" w:leader="none"/>
              </w:tabs>
              <w:spacing w:line="146" w:lineRule="auto" w:before="26"/>
              <w:ind w:left="92"/>
              <w:rPr>
                <w:position w:val="-8"/>
                <w:sz w:val="18"/>
              </w:rPr>
            </w:pPr>
            <w:r>
              <w:rPr>
                <w:color w:val="105C84"/>
                <w:sz w:val="18"/>
              </w:rPr>
              <w:t>showing</w:t>
            </w:r>
            <w:r>
              <w:rPr>
                <w:color w:val="105C84"/>
                <w:spacing w:val="-4"/>
                <w:sz w:val="18"/>
              </w:rPr>
              <w:t> </w:t>
            </w:r>
            <w:r>
              <w:rPr>
                <w:color w:val="105C84"/>
                <w:spacing w:val="-2"/>
                <w:sz w:val="18"/>
              </w:rPr>
              <w:t>improvement</w:t>
            </w:r>
            <w:r>
              <w:rPr>
                <w:color w:val="105C84"/>
                <w:sz w:val="18"/>
              </w:rPr>
              <w:tab/>
            </w:r>
            <w:r>
              <w:rPr>
                <w:color w:val="105C84"/>
                <w:position w:val="-8"/>
                <w:sz w:val="18"/>
              </w:rPr>
              <w:t>-Students</w:t>
            </w:r>
            <w:r>
              <w:rPr>
                <w:color w:val="105C84"/>
                <w:spacing w:val="-6"/>
                <w:position w:val="-8"/>
                <w:sz w:val="18"/>
              </w:rPr>
              <w:t> </w:t>
            </w:r>
            <w:r>
              <w:rPr>
                <w:color w:val="105C84"/>
                <w:position w:val="-8"/>
                <w:sz w:val="18"/>
              </w:rPr>
              <w:t>will</w:t>
            </w:r>
            <w:r>
              <w:rPr>
                <w:color w:val="105C84"/>
                <w:spacing w:val="-5"/>
                <w:position w:val="-8"/>
                <w:sz w:val="18"/>
              </w:rPr>
              <w:t> </w:t>
            </w:r>
            <w:r>
              <w:rPr>
                <w:color w:val="105C84"/>
                <w:spacing w:val="-4"/>
                <w:position w:val="-8"/>
                <w:sz w:val="18"/>
              </w:rPr>
              <w:t>show</w:t>
            </w:r>
          </w:p>
          <w:p>
            <w:pPr>
              <w:pStyle w:val="TableParagraph"/>
              <w:tabs>
                <w:tab w:pos="3890" w:val="left" w:leader="none"/>
              </w:tabs>
              <w:spacing w:line="200" w:lineRule="exact"/>
              <w:ind w:left="92"/>
              <w:rPr>
                <w:sz w:val="18"/>
              </w:rPr>
            </w:pPr>
            <w:r>
              <w:rPr>
                <w:color w:val="105C84"/>
                <w:position w:val="9"/>
                <w:sz w:val="18"/>
              </w:rPr>
              <w:t>in</w:t>
            </w:r>
            <w:r>
              <w:rPr>
                <w:color w:val="105C84"/>
                <w:spacing w:val="-2"/>
                <w:position w:val="9"/>
                <w:sz w:val="18"/>
              </w:rPr>
              <w:t> understanding</w:t>
            </w:r>
            <w:r>
              <w:rPr>
                <w:color w:val="105C84"/>
                <w:position w:val="9"/>
                <w:sz w:val="18"/>
              </w:rPr>
              <w:tab/>
            </w:r>
            <w:r>
              <w:rPr>
                <w:color w:val="105C84"/>
                <w:sz w:val="18"/>
              </w:rPr>
              <w:t>improvements</w:t>
            </w:r>
            <w:r>
              <w:rPr>
                <w:color w:val="105C84"/>
                <w:spacing w:val="4"/>
                <w:sz w:val="18"/>
              </w:rPr>
              <w:t> </w:t>
            </w:r>
            <w:r>
              <w:rPr>
                <w:color w:val="105C84"/>
                <w:spacing w:val="-2"/>
                <w:sz w:val="18"/>
              </w:rPr>
              <w:t>through</w:t>
            </w:r>
          </w:p>
          <w:p>
            <w:pPr>
              <w:pStyle w:val="TableParagraph"/>
              <w:tabs>
                <w:tab w:pos="3890" w:val="left" w:leader="none"/>
              </w:tabs>
              <w:spacing w:line="146" w:lineRule="auto"/>
              <w:ind w:left="92"/>
              <w:rPr>
                <w:position w:val="-8"/>
                <w:sz w:val="18"/>
              </w:rPr>
            </w:pPr>
            <w:r>
              <w:rPr>
                <w:color w:val="105C84"/>
                <w:sz w:val="18"/>
              </w:rPr>
              <w:t>and</w:t>
            </w:r>
            <w:r>
              <w:rPr>
                <w:color w:val="105C84"/>
                <w:spacing w:val="1"/>
                <w:sz w:val="18"/>
              </w:rPr>
              <w:t> </w:t>
            </w:r>
            <w:r>
              <w:rPr>
                <w:color w:val="105C84"/>
                <w:sz w:val="18"/>
              </w:rPr>
              <w:t>managing</w:t>
            </w:r>
            <w:r>
              <w:rPr>
                <w:color w:val="105C84"/>
                <w:spacing w:val="1"/>
                <w:sz w:val="18"/>
              </w:rPr>
              <w:t> </w:t>
            </w:r>
            <w:r>
              <w:rPr>
                <w:color w:val="105C84"/>
                <w:spacing w:val="-2"/>
                <w:sz w:val="18"/>
              </w:rPr>
              <w:t>stress,</w:t>
            </w:r>
            <w:r>
              <w:rPr>
                <w:color w:val="105C84"/>
                <w:sz w:val="18"/>
              </w:rPr>
              <w:tab/>
            </w:r>
            <w:r>
              <w:rPr>
                <w:color w:val="105C84"/>
                <w:position w:val="-8"/>
                <w:sz w:val="18"/>
              </w:rPr>
              <w:t>pre</w:t>
            </w:r>
            <w:r>
              <w:rPr>
                <w:color w:val="105C84"/>
                <w:spacing w:val="1"/>
                <w:position w:val="-8"/>
                <w:sz w:val="18"/>
              </w:rPr>
              <w:t> </w:t>
            </w:r>
            <w:r>
              <w:rPr>
                <w:color w:val="105C84"/>
                <w:position w:val="-8"/>
                <w:sz w:val="18"/>
              </w:rPr>
              <w:t>and</w:t>
            </w:r>
            <w:r>
              <w:rPr>
                <w:color w:val="105C84"/>
                <w:spacing w:val="2"/>
                <w:position w:val="-8"/>
                <w:sz w:val="18"/>
              </w:rPr>
              <w:t> </w:t>
            </w:r>
            <w:r>
              <w:rPr>
                <w:color w:val="105C84"/>
                <w:position w:val="-8"/>
                <w:sz w:val="18"/>
              </w:rPr>
              <w:t>post</w:t>
            </w:r>
            <w:r>
              <w:rPr>
                <w:color w:val="105C84"/>
                <w:spacing w:val="2"/>
                <w:position w:val="-8"/>
                <w:sz w:val="18"/>
              </w:rPr>
              <w:t> </w:t>
            </w:r>
            <w:r>
              <w:rPr>
                <w:color w:val="105C84"/>
                <w:spacing w:val="-2"/>
                <w:position w:val="-8"/>
                <w:sz w:val="18"/>
              </w:rPr>
              <w:t>survey</w:t>
            </w:r>
          </w:p>
          <w:p>
            <w:pPr>
              <w:pStyle w:val="TableParagraph"/>
              <w:tabs>
                <w:tab w:pos="3890" w:val="left" w:leader="none"/>
              </w:tabs>
              <w:spacing w:line="200" w:lineRule="exact"/>
              <w:ind w:left="92"/>
              <w:rPr>
                <w:sz w:val="18"/>
              </w:rPr>
            </w:pPr>
            <w:r>
              <w:rPr>
                <w:color w:val="105C84"/>
                <w:spacing w:val="-2"/>
                <w:position w:val="9"/>
                <w:sz w:val="18"/>
              </w:rPr>
              <w:t>increasing healthy</w:t>
            </w:r>
            <w:r>
              <w:rPr>
                <w:color w:val="105C84"/>
                <w:position w:val="9"/>
                <w:sz w:val="18"/>
              </w:rPr>
              <w:tab/>
            </w:r>
            <w:r>
              <w:rPr>
                <w:color w:val="105C84"/>
                <w:sz w:val="18"/>
              </w:rPr>
              <w:t>in</w:t>
            </w:r>
            <w:r>
              <w:rPr>
                <w:color w:val="105C84"/>
                <w:spacing w:val="8"/>
                <w:sz w:val="18"/>
              </w:rPr>
              <w:t> </w:t>
            </w:r>
            <w:r>
              <w:rPr>
                <w:color w:val="105C84"/>
                <w:sz w:val="18"/>
              </w:rPr>
              <w:t>the</w:t>
            </w:r>
            <w:r>
              <w:rPr>
                <w:color w:val="105C84"/>
                <w:spacing w:val="8"/>
                <w:sz w:val="18"/>
              </w:rPr>
              <w:t> </w:t>
            </w:r>
            <w:r>
              <w:rPr>
                <w:color w:val="105C84"/>
                <w:sz w:val="18"/>
              </w:rPr>
              <w:t>following</w:t>
            </w:r>
            <w:r>
              <w:rPr>
                <w:color w:val="105C84"/>
                <w:spacing w:val="9"/>
                <w:sz w:val="18"/>
              </w:rPr>
              <w:t> </w:t>
            </w:r>
            <w:r>
              <w:rPr>
                <w:color w:val="105C84"/>
                <w:spacing w:val="-2"/>
                <w:sz w:val="18"/>
              </w:rPr>
              <w:t>areas:</w:t>
            </w:r>
          </w:p>
          <w:p>
            <w:pPr>
              <w:pStyle w:val="TableParagraph"/>
              <w:tabs>
                <w:tab w:pos="3890" w:val="left" w:leader="none"/>
              </w:tabs>
              <w:spacing w:line="148" w:lineRule="auto"/>
              <w:ind w:left="92"/>
              <w:rPr>
                <w:position w:val="-8"/>
                <w:sz w:val="18"/>
              </w:rPr>
            </w:pPr>
            <w:r>
              <w:rPr>
                <w:color w:val="105C84"/>
                <w:spacing w:val="-2"/>
                <w:sz w:val="18"/>
              </w:rPr>
              <w:t>behaviors,</w:t>
            </w:r>
            <w:r>
              <w:rPr>
                <w:color w:val="105C84"/>
                <w:spacing w:val="-1"/>
                <w:sz w:val="18"/>
              </w:rPr>
              <w:t> </w:t>
            </w:r>
            <w:r>
              <w:rPr>
                <w:color w:val="105C84"/>
                <w:spacing w:val="-2"/>
                <w:sz w:val="18"/>
              </w:rPr>
              <w:t>reducing</w:t>
            </w:r>
            <w:r>
              <w:rPr>
                <w:color w:val="105C84"/>
                <w:sz w:val="18"/>
              </w:rPr>
              <w:tab/>
            </w:r>
            <w:r>
              <w:rPr>
                <w:color w:val="105C84"/>
                <w:position w:val="-8"/>
                <w:sz w:val="18"/>
              </w:rPr>
              <w:t>understanding</w:t>
            </w:r>
            <w:r>
              <w:rPr>
                <w:color w:val="105C84"/>
                <w:spacing w:val="17"/>
                <w:position w:val="-8"/>
                <w:sz w:val="18"/>
              </w:rPr>
              <w:t> </w:t>
            </w:r>
            <w:r>
              <w:rPr>
                <w:color w:val="105C84"/>
                <w:spacing w:val="-5"/>
                <w:position w:val="-8"/>
                <w:sz w:val="18"/>
              </w:rPr>
              <w:t>and</w:t>
            </w:r>
          </w:p>
          <w:p>
            <w:pPr>
              <w:pStyle w:val="TableParagraph"/>
              <w:tabs>
                <w:tab w:pos="3890" w:val="left" w:leader="none"/>
              </w:tabs>
              <w:spacing w:line="148" w:lineRule="auto"/>
              <w:ind w:left="92"/>
              <w:rPr>
                <w:position w:val="-8"/>
                <w:sz w:val="18"/>
              </w:rPr>
            </w:pPr>
            <w:r>
              <w:rPr>
                <w:color w:val="105C84"/>
                <w:sz w:val="18"/>
              </w:rPr>
              <w:t>negative</w:t>
            </w:r>
            <w:r>
              <w:rPr>
                <w:color w:val="105C84"/>
                <w:spacing w:val="9"/>
                <w:sz w:val="18"/>
              </w:rPr>
              <w:t> </w:t>
            </w:r>
            <w:r>
              <w:rPr>
                <w:color w:val="105C84"/>
                <w:sz w:val="18"/>
              </w:rPr>
              <w:t>thoughts</w:t>
            </w:r>
            <w:r>
              <w:rPr>
                <w:color w:val="105C84"/>
                <w:spacing w:val="9"/>
                <w:sz w:val="18"/>
              </w:rPr>
              <w:t> </w:t>
            </w:r>
            <w:r>
              <w:rPr>
                <w:color w:val="105C84"/>
                <w:spacing w:val="-5"/>
                <w:sz w:val="18"/>
              </w:rPr>
              <w:t>and</w:t>
            </w:r>
            <w:r>
              <w:rPr>
                <w:color w:val="105C84"/>
                <w:sz w:val="18"/>
              </w:rPr>
              <w:tab/>
            </w:r>
            <w:r>
              <w:rPr>
                <w:color w:val="105C84"/>
                <w:position w:val="-8"/>
                <w:sz w:val="18"/>
              </w:rPr>
              <w:t>managing</w:t>
            </w:r>
            <w:r>
              <w:rPr>
                <w:color w:val="105C84"/>
                <w:spacing w:val="3"/>
                <w:position w:val="-8"/>
                <w:sz w:val="18"/>
              </w:rPr>
              <w:t> </w:t>
            </w:r>
            <w:r>
              <w:rPr>
                <w:color w:val="105C84"/>
                <w:spacing w:val="-2"/>
                <w:position w:val="-8"/>
                <w:sz w:val="18"/>
              </w:rPr>
              <w:t>stress,</w:t>
            </w:r>
          </w:p>
          <w:p>
            <w:pPr>
              <w:pStyle w:val="TableParagraph"/>
              <w:tabs>
                <w:tab w:pos="3890" w:val="left" w:leader="none"/>
              </w:tabs>
              <w:spacing w:line="146" w:lineRule="auto"/>
              <w:ind w:left="92"/>
              <w:rPr>
                <w:position w:val="-8"/>
                <w:sz w:val="18"/>
              </w:rPr>
            </w:pPr>
            <w:r>
              <w:rPr>
                <w:color w:val="105C84"/>
                <w:sz w:val="18"/>
              </w:rPr>
              <w:t>emotions,</w:t>
            </w:r>
            <w:r>
              <w:rPr>
                <w:color w:val="105C84"/>
                <w:spacing w:val="8"/>
                <w:sz w:val="18"/>
              </w:rPr>
              <w:t> </w:t>
            </w:r>
            <w:r>
              <w:rPr>
                <w:color w:val="105C84"/>
                <w:spacing w:val="-2"/>
                <w:sz w:val="18"/>
              </w:rPr>
              <w:t>building</w:t>
            </w:r>
            <w:r>
              <w:rPr>
                <w:color w:val="105C84"/>
                <w:sz w:val="18"/>
              </w:rPr>
              <w:tab/>
            </w:r>
            <w:r>
              <w:rPr>
                <w:color w:val="105C84"/>
                <w:spacing w:val="-4"/>
                <w:position w:val="-8"/>
                <w:sz w:val="18"/>
              </w:rPr>
              <w:t>increase</w:t>
            </w:r>
            <w:r>
              <w:rPr>
                <w:color w:val="105C84"/>
                <w:spacing w:val="-3"/>
                <w:position w:val="-8"/>
                <w:sz w:val="18"/>
              </w:rPr>
              <w:t> </w:t>
            </w:r>
            <w:r>
              <w:rPr>
                <w:color w:val="105C84"/>
                <w:spacing w:val="-2"/>
                <w:position w:val="-8"/>
                <w:sz w:val="18"/>
              </w:rPr>
              <w:t>healthy</w:t>
            </w:r>
          </w:p>
          <w:p>
            <w:pPr>
              <w:pStyle w:val="TableParagraph"/>
              <w:tabs>
                <w:tab w:pos="3890" w:val="left" w:leader="none"/>
              </w:tabs>
              <w:spacing w:line="199" w:lineRule="exact"/>
              <w:ind w:left="92"/>
              <w:rPr>
                <w:sz w:val="18"/>
              </w:rPr>
            </w:pPr>
            <w:r>
              <w:rPr>
                <w:color w:val="105C84"/>
                <w:position w:val="9"/>
                <w:sz w:val="18"/>
              </w:rPr>
              <w:t>problem</w:t>
            </w:r>
            <w:r>
              <w:rPr>
                <w:color w:val="105C84"/>
                <w:spacing w:val="21"/>
                <w:position w:val="9"/>
                <w:sz w:val="18"/>
              </w:rPr>
              <w:t> </w:t>
            </w:r>
            <w:r>
              <w:rPr>
                <w:color w:val="105C84"/>
                <w:spacing w:val="-2"/>
                <w:position w:val="9"/>
                <w:sz w:val="18"/>
              </w:rPr>
              <w:t>solving</w:t>
            </w:r>
            <w:r>
              <w:rPr>
                <w:color w:val="105C84"/>
                <w:position w:val="9"/>
                <w:sz w:val="18"/>
              </w:rPr>
              <w:tab/>
            </w:r>
            <w:r>
              <w:rPr>
                <w:color w:val="105C84"/>
                <w:spacing w:val="-2"/>
                <w:sz w:val="18"/>
              </w:rPr>
              <w:t>behaviors,</w:t>
            </w:r>
            <w:r>
              <w:rPr>
                <w:color w:val="105C84"/>
                <w:spacing w:val="-1"/>
                <w:sz w:val="18"/>
              </w:rPr>
              <w:t> </w:t>
            </w:r>
            <w:r>
              <w:rPr>
                <w:color w:val="105C84"/>
                <w:spacing w:val="-2"/>
                <w:sz w:val="18"/>
              </w:rPr>
              <w:t>reduce</w:t>
            </w:r>
          </w:p>
          <w:p>
            <w:pPr>
              <w:pStyle w:val="TableParagraph"/>
              <w:tabs>
                <w:tab w:pos="3890" w:val="left" w:leader="none"/>
              </w:tabs>
              <w:spacing w:line="200" w:lineRule="exact"/>
              <w:ind w:left="92"/>
              <w:rPr>
                <w:sz w:val="18"/>
              </w:rPr>
            </w:pPr>
            <w:r>
              <w:rPr>
                <w:color w:val="105C84"/>
                <w:position w:val="9"/>
                <w:sz w:val="18"/>
              </w:rPr>
              <w:t>skills</w:t>
            </w:r>
            <w:r>
              <w:rPr>
                <w:color w:val="105C84"/>
                <w:spacing w:val="-12"/>
                <w:position w:val="9"/>
                <w:sz w:val="18"/>
              </w:rPr>
              <w:t> </w:t>
            </w:r>
            <w:r>
              <w:rPr>
                <w:color w:val="105C84"/>
                <w:position w:val="9"/>
                <w:sz w:val="18"/>
              </w:rPr>
              <w:t>or</w:t>
            </w:r>
            <w:r>
              <w:rPr>
                <w:color w:val="105C84"/>
                <w:spacing w:val="-11"/>
                <w:position w:val="9"/>
                <w:sz w:val="18"/>
              </w:rPr>
              <w:t> </w:t>
            </w:r>
            <w:r>
              <w:rPr>
                <w:color w:val="105C84"/>
                <w:spacing w:val="-2"/>
                <w:position w:val="9"/>
                <w:sz w:val="18"/>
              </w:rPr>
              <w:t>improving</w:t>
            </w:r>
            <w:r>
              <w:rPr>
                <w:color w:val="105C84"/>
                <w:position w:val="9"/>
                <w:sz w:val="18"/>
              </w:rPr>
              <w:tab/>
            </w:r>
            <w:r>
              <w:rPr>
                <w:color w:val="105C84"/>
                <w:sz w:val="18"/>
              </w:rPr>
              <w:t>negative</w:t>
            </w:r>
            <w:r>
              <w:rPr>
                <w:color w:val="105C84"/>
                <w:spacing w:val="9"/>
                <w:sz w:val="18"/>
              </w:rPr>
              <w:t> </w:t>
            </w:r>
            <w:r>
              <w:rPr>
                <w:color w:val="105C84"/>
                <w:sz w:val="18"/>
              </w:rPr>
              <w:t>thoughts</w:t>
            </w:r>
            <w:r>
              <w:rPr>
                <w:color w:val="105C84"/>
                <w:spacing w:val="9"/>
                <w:sz w:val="18"/>
              </w:rPr>
              <w:t> </w:t>
            </w:r>
            <w:r>
              <w:rPr>
                <w:color w:val="105C84"/>
                <w:spacing w:val="-5"/>
                <w:sz w:val="18"/>
              </w:rPr>
              <w:t>and</w:t>
            </w:r>
          </w:p>
          <w:p>
            <w:pPr>
              <w:pStyle w:val="TableParagraph"/>
              <w:tabs>
                <w:tab w:pos="3890" w:val="left" w:leader="none"/>
              </w:tabs>
              <w:spacing w:line="245" w:lineRule="exact"/>
              <w:ind w:left="92"/>
              <w:rPr>
                <w:sz w:val="18"/>
              </w:rPr>
            </w:pPr>
            <w:r>
              <w:rPr>
                <w:color w:val="105C84"/>
                <w:position w:val="9"/>
                <w:sz w:val="18"/>
              </w:rPr>
              <w:t>communication</w:t>
            </w:r>
            <w:r>
              <w:rPr>
                <w:color w:val="105C84"/>
                <w:spacing w:val="15"/>
                <w:position w:val="9"/>
                <w:sz w:val="18"/>
              </w:rPr>
              <w:t> </w:t>
            </w:r>
            <w:r>
              <w:rPr>
                <w:color w:val="105C84"/>
                <w:spacing w:val="-2"/>
                <w:position w:val="9"/>
                <w:sz w:val="18"/>
              </w:rPr>
              <w:t>skills</w:t>
            </w:r>
            <w:r>
              <w:rPr>
                <w:color w:val="105C84"/>
                <w:position w:val="9"/>
                <w:sz w:val="18"/>
              </w:rPr>
              <w:tab/>
            </w:r>
            <w:r>
              <w:rPr>
                <w:color w:val="105C84"/>
                <w:sz w:val="18"/>
              </w:rPr>
              <w:t>emotions,</w:t>
            </w:r>
            <w:r>
              <w:rPr>
                <w:color w:val="105C84"/>
                <w:spacing w:val="13"/>
                <w:sz w:val="18"/>
              </w:rPr>
              <w:t> </w:t>
            </w:r>
            <w:r>
              <w:rPr>
                <w:color w:val="105C84"/>
                <w:sz w:val="18"/>
              </w:rPr>
              <w:t>build</w:t>
            </w:r>
            <w:r>
              <w:rPr>
                <w:color w:val="105C84"/>
                <w:spacing w:val="14"/>
                <w:sz w:val="18"/>
              </w:rPr>
              <w:t> </w:t>
            </w:r>
            <w:r>
              <w:rPr>
                <w:color w:val="105C84"/>
                <w:spacing w:val="-2"/>
                <w:sz w:val="18"/>
              </w:rPr>
              <w:t>problem</w:t>
            </w:r>
          </w:p>
          <w:p>
            <w:pPr>
              <w:pStyle w:val="TableParagraph"/>
              <w:tabs>
                <w:tab w:pos="3890" w:val="left" w:leader="none"/>
              </w:tabs>
              <w:spacing w:line="200" w:lineRule="exact"/>
              <w:ind w:left="92"/>
              <w:rPr>
                <w:sz w:val="18"/>
              </w:rPr>
            </w:pPr>
            <w:r>
              <w:rPr>
                <w:color w:val="105C84"/>
                <w:sz w:val="18"/>
              </w:rPr>
              <w:t>#</w:t>
            </w:r>
            <w:r>
              <w:rPr>
                <w:color w:val="105C84"/>
                <w:spacing w:val="-8"/>
                <w:sz w:val="18"/>
              </w:rPr>
              <w:t> </w:t>
            </w:r>
            <w:r>
              <w:rPr>
                <w:color w:val="105C84"/>
                <w:sz w:val="18"/>
              </w:rPr>
              <w:t>sites</w:t>
            </w:r>
            <w:r>
              <w:rPr>
                <w:color w:val="105C84"/>
                <w:spacing w:val="-7"/>
                <w:sz w:val="18"/>
              </w:rPr>
              <w:t> </w:t>
            </w:r>
            <w:r>
              <w:rPr>
                <w:color w:val="105C84"/>
                <w:sz w:val="18"/>
              </w:rPr>
              <w:t>hosting</w:t>
            </w:r>
            <w:r>
              <w:rPr>
                <w:color w:val="105C84"/>
                <w:spacing w:val="-7"/>
                <w:sz w:val="18"/>
              </w:rPr>
              <w:t> </w:t>
            </w:r>
            <w:r>
              <w:rPr>
                <w:color w:val="105C84"/>
                <w:spacing w:val="-2"/>
                <w:sz w:val="18"/>
              </w:rPr>
              <w:t>Girls</w:t>
            </w:r>
            <w:r>
              <w:rPr>
                <w:color w:val="105C84"/>
                <w:sz w:val="18"/>
              </w:rPr>
              <w:tab/>
            </w:r>
            <w:r>
              <w:rPr>
                <w:color w:val="105C84"/>
                <w:spacing w:val="-2"/>
                <w:sz w:val="18"/>
              </w:rPr>
              <w:t>solving</w:t>
            </w:r>
            <w:r>
              <w:rPr>
                <w:color w:val="105C84"/>
                <w:spacing w:val="-3"/>
                <w:sz w:val="18"/>
              </w:rPr>
              <w:t> </w:t>
            </w:r>
            <w:r>
              <w:rPr>
                <w:color w:val="105C84"/>
                <w:spacing w:val="-2"/>
                <w:sz w:val="18"/>
              </w:rPr>
              <w:t>skills, </w:t>
            </w:r>
            <w:r>
              <w:rPr>
                <w:color w:val="105C84"/>
                <w:spacing w:val="-5"/>
                <w:sz w:val="18"/>
              </w:rPr>
              <w:t>and</w:t>
            </w:r>
          </w:p>
          <w:p>
            <w:pPr>
              <w:pStyle w:val="TableParagraph"/>
              <w:tabs>
                <w:tab w:pos="3890" w:val="left" w:leader="none"/>
              </w:tabs>
              <w:spacing w:line="200" w:lineRule="exact"/>
              <w:ind w:left="92"/>
              <w:rPr>
                <w:sz w:val="18"/>
              </w:rPr>
            </w:pPr>
            <w:r>
              <w:rPr>
                <w:color w:val="105C84"/>
                <w:sz w:val="18"/>
              </w:rPr>
              <w:t>on</w:t>
            </w:r>
            <w:r>
              <w:rPr>
                <w:color w:val="105C84"/>
                <w:spacing w:val="-5"/>
                <w:sz w:val="18"/>
              </w:rPr>
              <w:t> </w:t>
            </w:r>
            <w:r>
              <w:rPr>
                <w:color w:val="105C84"/>
                <w:sz w:val="18"/>
              </w:rPr>
              <w:t>the</w:t>
            </w:r>
            <w:r>
              <w:rPr>
                <w:color w:val="105C84"/>
                <w:spacing w:val="-5"/>
                <w:sz w:val="18"/>
              </w:rPr>
              <w:t> </w:t>
            </w:r>
            <w:r>
              <w:rPr>
                <w:color w:val="105C84"/>
                <w:sz w:val="18"/>
              </w:rPr>
              <w:t>Run</w:t>
            </w:r>
            <w:r>
              <w:rPr>
                <w:color w:val="105C84"/>
                <w:spacing w:val="-5"/>
                <w:sz w:val="18"/>
              </w:rPr>
              <w:t> </w:t>
            </w:r>
            <w:r>
              <w:rPr>
                <w:color w:val="105C84"/>
                <w:sz w:val="18"/>
              </w:rPr>
              <w:t>of</w:t>
            </w:r>
            <w:r>
              <w:rPr>
                <w:color w:val="105C84"/>
                <w:spacing w:val="-5"/>
                <w:sz w:val="18"/>
              </w:rPr>
              <w:t> the</w:t>
            </w:r>
            <w:r>
              <w:rPr>
                <w:color w:val="105C84"/>
                <w:sz w:val="18"/>
              </w:rPr>
              <w:tab/>
              <w:t>improve</w:t>
            </w:r>
            <w:r>
              <w:rPr>
                <w:color w:val="105C84"/>
                <w:spacing w:val="4"/>
                <w:sz w:val="18"/>
              </w:rPr>
              <w:t> </w:t>
            </w:r>
            <w:r>
              <w:rPr>
                <w:color w:val="105C84"/>
                <w:spacing w:val="-2"/>
                <w:sz w:val="18"/>
              </w:rPr>
              <w:t>communication</w:t>
            </w:r>
          </w:p>
          <w:p>
            <w:pPr>
              <w:pStyle w:val="TableParagraph"/>
              <w:tabs>
                <w:tab w:pos="3890" w:val="left" w:leader="none"/>
              </w:tabs>
              <w:spacing w:line="200" w:lineRule="exact"/>
              <w:ind w:left="92"/>
              <w:rPr>
                <w:sz w:val="18"/>
              </w:rPr>
            </w:pPr>
            <w:r>
              <w:rPr>
                <w:color w:val="105C84"/>
                <w:sz w:val="18"/>
              </w:rPr>
              <w:t>Southern</w:t>
            </w:r>
            <w:r>
              <w:rPr>
                <w:color w:val="105C84"/>
                <w:spacing w:val="-13"/>
                <w:sz w:val="18"/>
              </w:rPr>
              <w:t> </w:t>
            </w:r>
            <w:r>
              <w:rPr>
                <w:color w:val="105C84"/>
                <w:sz w:val="18"/>
              </w:rPr>
              <w:t>Tier</w:t>
            </w:r>
            <w:r>
              <w:rPr>
                <w:color w:val="105C84"/>
                <w:spacing w:val="-10"/>
                <w:sz w:val="18"/>
              </w:rPr>
              <w:t> </w:t>
            </w:r>
            <w:r>
              <w:rPr>
                <w:color w:val="105C84"/>
                <w:spacing w:val="-2"/>
                <w:sz w:val="18"/>
              </w:rPr>
              <w:t>program</w:t>
            </w:r>
            <w:r>
              <w:rPr>
                <w:color w:val="105C84"/>
                <w:sz w:val="18"/>
              </w:rPr>
              <w:tab/>
            </w:r>
            <w:r>
              <w:rPr>
                <w:color w:val="105C84"/>
                <w:spacing w:val="-2"/>
                <w:sz w:val="18"/>
              </w:rPr>
              <w:t>skills</w:t>
            </w:r>
            <w:r>
              <w:rPr>
                <w:color w:val="105C84"/>
                <w:spacing w:val="-6"/>
                <w:sz w:val="18"/>
              </w:rPr>
              <w:t> </w:t>
            </w:r>
            <w:r>
              <w:rPr>
                <w:color w:val="105C84"/>
                <w:spacing w:val="-2"/>
                <w:sz w:val="18"/>
              </w:rPr>
              <w:t>by</w:t>
            </w:r>
            <w:r>
              <w:rPr>
                <w:color w:val="105C84"/>
                <w:spacing w:val="-5"/>
                <w:sz w:val="18"/>
              </w:rPr>
              <w:t> 80%</w:t>
            </w:r>
          </w:p>
          <w:p>
            <w:pPr>
              <w:pStyle w:val="TableParagraph"/>
              <w:tabs>
                <w:tab w:pos="3890" w:val="left" w:leader="none"/>
              </w:tabs>
              <w:spacing w:line="290" w:lineRule="exact"/>
              <w:ind w:left="92"/>
              <w:rPr>
                <w:sz w:val="18"/>
              </w:rPr>
            </w:pPr>
            <w:r>
              <w:rPr>
                <w:color w:val="105C84"/>
                <w:position w:val="9"/>
                <w:sz w:val="18"/>
              </w:rPr>
              <w:t>in</w:t>
            </w:r>
            <w:r>
              <w:rPr>
                <w:color w:val="105C84"/>
                <w:spacing w:val="-6"/>
                <w:position w:val="9"/>
                <w:sz w:val="18"/>
              </w:rPr>
              <w:t> </w:t>
            </w:r>
            <w:r>
              <w:rPr>
                <w:color w:val="105C84"/>
                <w:position w:val="9"/>
                <w:sz w:val="18"/>
              </w:rPr>
              <w:t>Steuben</w:t>
            </w:r>
            <w:r>
              <w:rPr>
                <w:color w:val="105C84"/>
                <w:spacing w:val="-6"/>
                <w:position w:val="9"/>
                <w:sz w:val="18"/>
              </w:rPr>
              <w:t> </w:t>
            </w:r>
            <w:r>
              <w:rPr>
                <w:color w:val="105C84"/>
                <w:spacing w:val="-2"/>
                <w:position w:val="9"/>
                <w:sz w:val="18"/>
              </w:rPr>
              <w:t>County</w:t>
            </w:r>
            <w:r>
              <w:rPr>
                <w:color w:val="105C84"/>
                <w:position w:val="9"/>
                <w:sz w:val="18"/>
              </w:rPr>
              <w:tab/>
            </w:r>
            <w:r>
              <w:rPr>
                <w:color w:val="105C84"/>
                <w:sz w:val="18"/>
              </w:rPr>
              <w:t>Girls</w:t>
            </w:r>
            <w:r>
              <w:rPr>
                <w:color w:val="105C84"/>
                <w:spacing w:val="-7"/>
                <w:sz w:val="18"/>
              </w:rPr>
              <w:t> </w:t>
            </w:r>
            <w:r>
              <w:rPr>
                <w:color w:val="105C84"/>
                <w:sz w:val="18"/>
              </w:rPr>
              <w:t>on</w:t>
            </w:r>
            <w:r>
              <w:rPr>
                <w:color w:val="105C84"/>
                <w:spacing w:val="-6"/>
                <w:sz w:val="18"/>
              </w:rPr>
              <w:t> </w:t>
            </w:r>
            <w:r>
              <w:rPr>
                <w:color w:val="105C84"/>
                <w:sz w:val="18"/>
              </w:rPr>
              <w:t>the</w:t>
            </w:r>
            <w:r>
              <w:rPr>
                <w:color w:val="105C84"/>
                <w:spacing w:val="-6"/>
                <w:sz w:val="18"/>
              </w:rPr>
              <w:t> </w:t>
            </w:r>
            <w:r>
              <w:rPr>
                <w:color w:val="105C84"/>
                <w:sz w:val="18"/>
              </w:rPr>
              <w:t>Run</w:t>
            </w:r>
            <w:r>
              <w:rPr>
                <w:color w:val="105C84"/>
                <w:spacing w:val="-7"/>
                <w:sz w:val="18"/>
              </w:rPr>
              <w:t> </w:t>
            </w:r>
            <w:r>
              <w:rPr>
                <w:color w:val="105C84"/>
                <w:sz w:val="18"/>
              </w:rPr>
              <w:t>of</w:t>
            </w:r>
            <w:r>
              <w:rPr>
                <w:color w:val="105C84"/>
                <w:spacing w:val="-6"/>
                <w:sz w:val="18"/>
              </w:rPr>
              <w:t> </w:t>
            </w:r>
            <w:r>
              <w:rPr>
                <w:color w:val="105C84"/>
                <w:spacing w:val="-5"/>
                <w:sz w:val="18"/>
              </w:rPr>
              <w:t>the</w:t>
            </w:r>
          </w:p>
          <w:p>
            <w:pPr>
              <w:pStyle w:val="TableParagraph"/>
              <w:tabs>
                <w:tab w:pos="3890" w:val="left" w:leader="none"/>
              </w:tabs>
              <w:spacing w:line="200" w:lineRule="exact"/>
              <w:ind w:left="92"/>
              <w:rPr>
                <w:sz w:val="18"/>
              </w:rPr>
            </w:pPr>
            <w:r>
              <w:rPr>
                <w:color w:val="105C84"/>
                <w:sz w:val="18"/>
              </w:rPr>
              <w:t>#</w:t>
            </w:r>
            <w:r>
              <w:rPr>
                <w:color w:val="105C84"/>
                <w:spacing w:val="-3"/>
                <w:sz w:val="18"/>
              </w:rPr>
              <w:t> </w:t>
            </w:r>
            <w:r>
              <w:rPr>
                <w:color w:val="105C84"/>
                <w:sz w:val="18"/>
              </w:rPr>
              <w:t>girls</w:t>
            </w:r>
            <w:r>
              <w:rPr>
                <w:color w:val="105C84"/>
                <w:spacing w:val="-2"/>
                <w:sz w:val="18"/>
              </w:rPr>
              <w:t> </w:t>
            </w:r>
            <w:r>
              <w:rPr>
                <w:color w:val="105C84"/>
                <w:sz w:val="18"/>
              </w:rPr>
              <w:t>signed</w:t>
            </w:r>
            <w:r>
              <w:rPr>
                <w:color w:val="105C84"/>
                <w:spacing w:val="-3"/>
                <w:sz w:val="18"/>
              </w:rPr>
              <w:t> </w:t>
            </w:r>
            <w:r>
              <w:rPr>
                <w:color w:val="105C84"/>
                <w:sz w:val="18"/>
              </w:rPr>
              <w:t>up</w:t>
            </w:r>
            <w:r>
              <w:rPr>
                <w:color w:val="105C84"/>
                <w:spacing w:val="-2"/>
                <w:sz w:val="18"/>
              </w:rPr>
              <w:t> </w:t>
            </w:r>
            <w:r>
              <w:rPr>
                <w:color w:val="105C84"/>
                <w:spacing w:val="-5"/>
                <w:sz w:val="18"/>
              </w:rPr>
              <w:t>for</w:t>
            </w:r>
            <w:r>
              <w:rPr>
                <w:color w:val="105C84"/>
                <w:sz w:val="18"/>
              </w:rPr>
              <w:tab/>
            </w:r>
            <w:r>
              <w:rPr>
                <w:color w:val="105C84"/>
                <w:spacing w:val="-2"/>
                <w:sz w:val="18"/>
              </w:rPr>
              <w:t>Southern</w:t>
            </w:r>
            <w:r>
              <w:rPr>
                <w:color w:val="105C84"/>
                <w:spacing w:val="-1"/>
                <w:sz w:val="18"/>
              </w:rPr>
              <w:t> </w:t>
            </w:r>
            <w:r>
              <w:rPr>
                <w:color w:val="105C84"/>
                <w:spacing w:val="-2"/>
                <w:sz w:val="18"/>
              </w:rPr>
              <w:t>Tier</w:t>
            </w:r>
            <w:r>
              <w:rPr>
                <w:color w:val="105C84"/>
                <w:sz w:val="18"/>
              </w:rPr>
              <w:t> </w:t>
            </w:r>
            <w:r>
              <w:rPr>
                <w:color w:val="105C84"/>
                <w:spacing w:val="-2"/>
                <w:sz w:val="18"/>
              </w:rPr>
              <w:t>(3rd-</w:t>
            </w:r>
            <w:r>
              <w:rPr>
                <w:color w:val="105C84"/>
                <w:spacing w:val="-5"/>
                <w:sz w:val="18"/>
              </w:rPr>
              <w:t>8th</w:t>
            </w:r>
          </w:p>
          <w:p>
            <w:pPr>
              <w:pStyle w:val="TableParagraph"/>
              <w:tabs>
                <w:tab w:pos="3890" w:val="left" w:leader="none"/>
              </w:tabs>
              <w:spacing w:line="200" w:lineRule="exact"/>
              <w:ind w:left="92"/>
              <w:rPr>
                <w:sz w:val="18"/>
              </w:rPr>
            </w:pPr>
            <w:r>
              <w:rPr>
                <w:color w:val="105C84"/>
                <w:spacing w:val="-6"/>
                <w:sz w:val="18"/>
              </w:rPr>
              <w:t>GOTRST</w:t>
            </w:r>
            <w:r>
              <w:rPr>
                <w:color w:val="105C84"/>
                <w:spacing w:val="-5"/>
                <w:sz w:val="18"/>
              </w:rPr>
              <w:t> </w:t>
            </w:r>
            <w:r>
              <w:rPr>
                <w:color w:val="105C84"/>
                <w:spacing w:val="-6"/>
                <w:sz w:val="18"/>
              </w:rPr>
              <w:t>in</w:t>
            </w:r>
            <w:r>
              <w:rPr>
                <w:color w:val="105C84"/>
                <w:spacing w:val="-5"/>
                <w:sz w:val="18"/>
              </w:rPr>
              <w:t> </w:t>
            </w:r>
            <w:r>
              <w:rPr>
                <w:color w:val="105C84"/>
                <w:spacing w:val="-6"/>
                <w:sz w:val="18"/>
              </w:rPr>
              <w:t>Steuben</w:t>
            </w:r>
            <w:r>
              <w:rPr>
                <w:color w:val="105C84"/>
                <w:sz w:val="18"/>
              </w:rPr>
              <w:tab/>
            </w:r>
            <w:r>
              <w:rPr>
                <w:color w:val="105C84"/>
                <w:spacing w:val="-2"/>
                <w:sz w:val="18"/>
              </w:rPr>
              <w:t>grade)</w:t>
            </w:r>
          </w:p>
          <w:p>
            <w:pPr>
              <w:pStyle w:val="TableParagraph"/>
              <w:tabs>
                <w:tab w:pos="3890" w:val="left" w:leader="none"/>
              </w:tabs>
              <w:spacing w:line="290" w:lineRule="exact"/>
              <w:ind w:left="92"/>
              <w:rPr>
                <w:sz w:val="18"/>
              </w:rPr>
            </w:pPr>
            <w:r>
              <w:rPr>
                <w:color w:val="105C84"/>
                <w:spacing w:val="-2"/>
                <w:position w:val="9"/>
                <w:sz w:val="18"/>
              </w:rPr>
              <w:t>sites</w:t>
            </w:r>
            <w:r>
              <w:rPr>
                <w:color w:val="105C84"/>
                <w:position w:val="9"/>
                <w:sz w:val="18"/>
              </w:rPr>
              <w:tab/>
            </w:r>
            <w:r>
              <w:rPr>
                <w:color w:val="105C84"/>
                <w:sz w:val="18"/>
              </w:rPr>
              <w:t>-3</w:t>
            </w:r>
            <w:r>
              <w:rPr>
                <w:color w:val="105C84"/>
                <w:spacing w:val="-10"/>
                <w:sz w:val="18"/>
              </w:rPr>
              <w:t> </w:t>
            </w:r>
            <w:r>
              <w:rPr>
                <w:color w:val="105C84"/>
                <w:sz w:val="18"/>
              </w:rPr>
              <w:t>sites</w:t>
            </w:r>
            <w:r>
              <w:rPr>
                <w:color w:val="105C84"/>
                <w:spacing w:val="-10"/>
                <w:sz w:val="18"/>
              </w:rPr>
              <w:t> </w:t>
            </w:r>
            <w:r>
              <w:rPr>
                <w:color w:val="105C84"/>
                <w:sz w:val="18"/>
              </w:rPr>
              <w:t>will</w:t>
            </w:r>
            <w:r>
              <w:rPr>
                <w:color w:val="105C84"/>
                <w:spacing w:val="-10"/>
                <w:sz w:val="18"/>
              </w:rPr>
              <w:t> </w:t>
            </w:r>
            <w:r>
              <w:rPr>
                <w:color w:val="105C84"/>
                <w:spacing w:val="-2"/>
                <w:sz w:val="18"/>
              </w:rPr>
              <w:t>implement</w:t>
            </w:r>
          </w:p>
          <w:p>
            <w:pPr>
              <w:pStyle w:val="TableParagraph"/>
              <w:tabs>
                <w:tab w:pos="3890" w:val="left" w:leader="none"/>
              </w:tabs>
              <w:spacing w:line="200" w:lineRule="exact"/>
              <w:ind w:left="92"/>
              <w:rPr>
                <w:sz w:val="18"/>
              </w:rPr>
            </w:pPr>
            <w:r>
              <w:rPr>
                <w:color w:val="105C84"/>
                <w:spacing w:val="-2"/>
                <w:sz w:val="18"/>
              </w:rPr>
              <w:t>%</w:t>
            </w:r>
            <w:r>
              <w:rPr>
                <w:color w:val="105C84"/>
                <w:spacing w:val="-10"/>
                <w:sz w:val="18"/>
              </w:rPr>
              <w:t> </w:t>
            </w:r>
            <w:r>
              <w:rPr>
                <w:color w:val="105C84"/>
                <w:spacing w:val="-2"/>
                <w:sz w:val="18"/>
              </w:rPr>
              <w:t>average</w:t>
            </w:r>
            <w:r>
              <w:rPr>
                <w:color w:val="105C84"/>
                <w:spacing w:val="-10"/>
                <w:sz w:val="18"/>
              </w:rPr>
              <w:t> </w:t>
            </w:r>
            <w:r>
              <w:rPr>
                <w:color w:val="105C84"/>
                <w:spacing w:val="-2"/>
                <w:sz w:val="18"/>
              </w:rPr>
              <w:t>attendance</w:t>
            </w:r>
            <w:r>
              <w:rPr>
                <w:color w:val="105C84"/>
                <w:sz w:val="18"/>
              </w:rPr>
              <w:tab/>
            </w:r>
            <w:r>
              <w:rPr>
                <w:color w:val="105C84"/>
                <w:spacing w:val="-4"/>
                <w:sz w:val="18"/>
              </w:rPr>
              <w:t>the</w:t>
            </w:r>
            <w:r>
              <w:rPr>
                <w:color w:val="105C84"/>
                <w:spacing w:val="-9"/>
                <w:sz w:val="18"/>
              </w:rPr>
              <w:t> </w:t>
            </w:r>
            <w:r>
              <w:rPr>
                <w:color w:val="105C84"/>
                <w:spacing w:val="-4"/>
                <w:sz w:val="18"/>
              </w:rPr>
              <w:t>GOTRST</w:t>
            </w:r>
            <w:r>
              <w:rPr>
                <w:color w:val="105C84"/>
                <w:spacing w:val="-8"/>
                <w:sz w:val="18"/>
              </w:rPr>
              <w:t> </w:t>
            </w:r>
            <w:r>
              <w:rPr>
                <w:color w:val="105C84"/>
                <w:spacing w:val="-4"/>
                <w:sz w:val="18"/>
              </w:rPr>
              <w:t>program</w:t>
            </w:r>
          </w:p>
          <w:p>
            <w:pPr>
              <w:pStyle w:val="TableParagraph"/>
              <w:tabs>
                <w:tab w:pos="3890" w:val="left" w:leader="none"/>
              </w:tabs>
              <w:spacing w:line="200" w:lineRule="exact"/>
              <w:ind w:left="92"/>
              <w:rPr>
                <w:sz w:val="18"/>
              </w:rPr>
            </w:pPr>
            <w:r>
              <w:rPr>
                <w:color w:val="105C84"/>
                <w:spacing w:val="-4"/>
                <w:sz w:val="18"/>
              </w:rPr>
              <w:t>across sites in</w:t>
            </w:r>
            <w:r>
              <w:rPr>
                <w:color w:val="105C84"/>
                <w:spacing w:val="-3"/>
                <w:sz w:val="18"/>
              </w:rPr>
              <w:t> </w:t>
            </w:r>
            <w:r>
              <w:rPr>
                <w:color w:val="105C84"/>
                <w:spacing w:val="-4"/>
                <w:sz w:val="18"/>
              </w:rPr>
              <w:t>Steuben</w:t>
            </w:r>
            <w:r>
              <w:rPr>
                <w:color w:val="105C84"/>
                <w:sz w:val="18"/>
              </w:rPr>
              <w:tab/>
              <w:t>(heart</w:t>
            </w:r>
            <w:r>
              <w:rPr>
                <w:color w:val="105C84"/>
                <w:spacing w:val="-7"/>
                <w:sz w:val="18"/>
              </w:rPr>
              <w:t> </w:t>
            </w:r>
            <w:r>
              <w:rPr>
                <w:color w:val="105C84"/>
                <w:sz w:val="18"/>
              </w:rPr>
              <w:t>and</w:t>
            </w:r>
            <w:r>
              <w:rPr>
                <w:color w:val="105C84"/>
                <w:spacing w:val="-7"/>
                <w:sz w:val="18"/>
              </w:rPr>
              <w:t> </w:t>
            </w:r>
            <w:r>
              <w:rPr>
                <w:color w:val="105C84"/>
                <w:sz w:val="18"/>
              </w:rPr>
              <w:t>sole</w:t>
            </w:r>
            <w:r>
              <w:rPr>
                <w:color w:val="105C84"/>
                <w:spacing w:val="-7"/>
                <w:sz w:val="18"/>
              </w:rPr>
              <w:t> </w:t>
            </w:r>
            <w:r>
              <w:rPr>
                <w:color w:val="105C84"/>
                <w:sz w:val="18"/>
              </w:rPr>
              <w:t>or</w:t>
            </w:r>
            <w:r>
              <w:rPr>
                <w:color w:val="105C84"/>
                <w:spacing w:val="-7"/>
                <w:sz w:val="18"/>
              </w:rPr>
              <w:t> </w:t>
            </w:r>
            <w:r>
              <w:rPr>
                <w:color w:val="105C84"/>
                <w:spacing w:val="-2"/>
                <w:sz w:val="18"/>
              </w:rPr>
              <w:t>GOTR)</w:t>
            </w:r>
          </w:p>
          <w:p>
            <w:pPr>
              <w:pStyle w:val="TableParagraph"/>
              <w:tabs>
                <w:tab w:pos="3890" w:val="left" w:leader="none"/>
              </w:tabs>
              <w:spacing w:line="148" w:lineRule="auto"/>
              <w:ind w:left="92"/>
              <w:rPr>
                <w:sz w:val="18"/>
              </w:rPr>
            </w:pPr>
            <w:r>
              <w:rPr>
                <w:color w:val="105C84"/>
                <w:position w:val="-8"/>
                <w:sz w:val="18"/>
              </w:rPr>
              <w:t>%</w:t>
            </w:r>
            <w:r>
              <w:rPr>
                <w:color w:val="105C84"/>
                <w:spacing w:val="-7"/>
                <w:position w:val="-8"/>
                <w:sz w:val="18"/>
              </w:rPr>
              <w:t> </w:t>
            </w:r>
            <w:r>
              <w:rPr>
                <w:color w:val="105C84"/>
                <w:position w:val="-8"/>
                <w:sz w:val="18"/>
              </w:rPr>
              <w:t>of</w:t>
            </w:r>
            <w:r>
              <w:rPr>
                <w:color w:val="105C84"/>
                <w:spacing w:val="-7"/>
                <w:position w:val="-8"/>
                <w:sz w:val="18"/>
              </w:rPr>
              <w:t> </w:t>
            </w:r>
            <w:r>
              <w:rPr>
                <w:color w:val="105C84"/>
                <w:spacing w:val="-2"/>
                <w:position w:val="-8"/>
                <w:sz w:val="18"/>
              </w:rPr>
              <w:t>participants</w:t>
            </w:r>
            <w:r>
              <w:rPr>
                <w:color w:val="105C84"/>
                <w:position w:val="-8"/>
                <w:sz w:val="18"/>
              </w:rPr>
              <w:tab/>
            </w:r>
            <w:r>
              <w:rPr>
                <w:color w:val="105C84"/>
                <w:sz w:val="18"/>
              </w:rPr>
              <w:t>in</w:t>
            </w:r>
            <w:r>
              <w:rPr>
                <w:color w:val="105C84"/>
                <w:spacing w:val="-4"/>
                <w:sz w:val="18"/>
              </w:rPr>
              <w:t> </w:t>
            </w:r>
            <w:r>
              <w:rPr>
                <w:color w:val="105C84"/>
                <w:sz w:val="18"/>
              </w:rPr>
              <w:t>Steuben</w:t>
            </w:r>
            <w:r>
              <w:rPr>
                <w:color w:val="105C84"/>
                <w:spacing w:val="-3"/>
                <w:sz w:val="18"/>
              </w:rPr>
              <w:t> </w:t>
            </w:r>
            <w:r>
              <w:rPr>
                <w:color w:val="105C84"/>
                <w:sz w:val="18"/>
              </w:rPr>
              <w:t>County</w:t>
            </w:r>
            <w:r>
              <w:rPr>
                <w:color w:val="105C84"/>
                <w:spacing w:val="-4"/>
                <w:sz w:val="18"/>
              </w:rPr>
              <w:t> with</w:t>
            </w:r>
          </w:p>
          <w:p>
            <w:pPr>
              <w:pStyle w:val="TableParagraph"/>
              <w:tabs>
                <w:tab w:pos="3890" w:val="left" w:leader="none"/>
              </w:tabs>
              <w:spacing w:line="170" w:lineRule="auto"/>
              <w:ind w:left="92"/>
              <w:rPr>
                <w:sz w:val="18"/>
              </w:rPr>
            </w:pPr>
            <w:r>
              <w:rPr>
                <w:color w:val="105C84"/>
                <w:position w:val="-8"/>
                <w:sz w:val="18"/>
              </w:rPr>
              <w:t>completing</w:t>
            </w:r>
            <w:r>
              <w:rPr>
                <w:color w:val="105C84"/>
                <w:spacing w:val="33"/>
                <w:position w:val="-8"/>
                <w:sz w:val="18"/>
              </w:rPr>
              <w:t> </w:t>
            </w:r>
            <w:r>
              <w:rPr>
                <w:color w:val="105C84"/>
                <w:spacing w:val="-5"/>
                <w:position w:val="-8"/>
                <w:sz w:val="18"/>
              </w:rPr>
              <w:t>5K</w:t>
            </w:r>
            <w:r>
              <w:rPr>
                <w:color w:val="105C84"/>
                <w:position w:val="-8"/>
                <w:sz w:val="18"/>
              </w:rPr>
              <w:tab/>
            </w:r>
            <w:r>
              <w:rPr>
                <w:color w:val="105C84"/>
                <w:spacing w:val="-2"/>
                <w:sz w:val="18"/>
              </w:rPr>
              <w:t>70%</w:t>
            </w:r>
            <w:r>
              <w:rPr>
                <w:color w:val="105C84"/>
                <w:spacing w:val="-1"/>
                <w:sz w:val="18"/>
              </w:rPr>
              <w:t> </w:t>
            </w:r>
            <w:r>
              <w:rPr>
                <w:color w:val="105C84"/>
                <w:spacing w:val="-2"/>
                <w:sz w:val="18"/>
              </w:rPr>
              <w:t>attendance</w:t>
            </w:r>
            <w:r>
              <w:rPr>
                <w:color w:val="105C84"/>
                <w:sz w:val="18"/>
              </w:rPr>
              <w:t> </w:t>
            </w:r>
            <w:r>
              <w:rPr>
                <w:color w:val="105C84"/>
                <w:spacing w:val="-4"/>
                <w:sz w:val="18"/>
              </w:rPr>
              <w:t>rate</w:t>
            </w:r>
          </w:p>
          <w:p>
            <w:pPr>
              <w:pStyle w:val="TableParagraph"/>
              <w:tabs>
                <w:tab w:pos="3890" w:val="left" w:leader="none"/>
              </w:tabs>
              <w:spacing w:line="148" w:lineRule="auto"/>
              <w:ind w:left="92"/>
              <w:rPr>
                <w:sz w:val="18"/>
              </w:rPr>
            </w:pPr>
            <w:r>
              <w:rPr>
                <w:color w:val="105C84"/>
                <w:position w:val="-8"/>
                <w:sz w:val="18"/>
              </w:rPr>
              <w:t>%</w:t>
            </w:r>
            <w:r>
              <w:rPr>
                <w:color w:val="105C84"/>
                <w:spacing w:val="-7"/>
                <w:position w:val="-8"/>
                <w:sz w:val="18"/>
              </w:rPr>
              <w:t> </w:t>
            </w:r>
            <w:r>
              <w:rPr>
                <w:color w:val="105C84"/>
                <w:position w:val="-8"/>
                <w:sz w:val="18"/>
              </w:rPr>
              <w:t>of</w:t>
            </w:r>
            <w:r>
              <w:rPr>
                <w:color w:val="105C84"/>
                <w:spacing w:val="-7"/>
                <w:position w:val="-8"/>
                <w:sz w:val="18"/>
              </w:rPr>
              <w:t> </w:t>
            </w:r>
            <w:r>
              <w:rPr>
                <w:color w:val="105C84"/>
                <w:spacing w:val="-2"/>
                <w:position w:val="-8"/>
                <w:sz w:val="18"/>
              </w:rPr>
              <w:t>participants</w:t>
            </w:r>
            <w:r>
              <w:rPr>
                <w:color w:val="105C84"/>
                <w:position w:val="-8"/>
                <w:sz w:val="18"/>
              </w:rPr>
              <w:tab/>
            </w:r>
            <w:r>
              <w:rPr>
                <w:color w:val="105C84"/>
                <w:sz w:val="18"/>
              </w:rPr>
              <w:t>-80%</w:t>
            </w:r>
            <w:r>
              <w:rPr>
                <w:color w:val="105C84"/>
                <w:spacing w:val="-9"/>
                <w:sz w:val="18"/>
              </w:rPr>
              <w:t> </w:t>
            </w:r>
            <w:r>
              <w:rPr>
                <w:color w:val="105C84"/>
                <w:sz w:val="18"/>
              </w:rPr>
              <w:t>of</w:t>
            </w:r>
            <w:r>
              <w:rPr>
                <w:color w:val="105C84"/>
                <w:spacing w:val="-7"/>
                <w:sz w:val="18"/>
              </w:rPr>
              <w:t> </w:t>
            </w:r>
            <w:r>
              <w:rPr>
                <w:color w:val="105C84"/>
                <w:sz w:val="18"/>
              </w:rPr>
              <w:t>participants</w:t>
            </w:r>
            <w:r>
              <w:rPr>
                <w:color w:val="105C84"/>
                <w:spacing w:val="-6"/>
                <w:sz w:val="18"/>
              </w:rPr>
              <w:t> </w:t>
            </w:r>
            <w:r>
              <w:rPr>
                <w:color w:val="105C84"/>
                <w:spacing w:val="-4"/>
                <w:sz w:val="18"/>
              </w:rPr>
              <w:t>will</w:t>
            </w:r>
          </w:p>
          <w:p>
            <w:pPr>
              <w:pStyle w:val="TableParagraph"/>
              <w:tabs>
                <w:tab w:pos="3890" w:val="left" w:leader="none"/>
              </w:tabs>
              <w:spacing w:line="246" w:lineRule="exact"/>
              <w:ind w:left="92"/>
              <w:rPr>
                <w:position w:val="9"/>
                <w:sz w:val="18"/>
              </w:rPr>
            </w:pPr>
            <w:r>
              <w:rPr>
                <w:color w:val="105C84"/>
                <w:spacing w:val="-2"/>
                <w:sz w:val="18"/>
              </w:rPr>
              <w:t>increased</w:t>
            </w:r>
            <w:r>
              <w:rPr>
                <w:color w:val="105C84"/>
                <w:spacing w:val="-8"/>
                <w:sz w:val="18"/>
              </w:rPr>
              <w:t> </w:t>
            </w:r>
            <w:r>
              <w:rPr>
                <w:color w:val="105C84"/>
                <w:spacing w:val="-2"/>
                <w:sz w:val="18"/>
              </w:rPr>
              <w:t>their</w:t>
            </w:r>
            <w:r>
              <w:rPr>
                <w:color w:val="105C84"/>
                <w:sz w:val="18"/>
              </w:rPr>
              <w:tab/>
            </w:r>
            <w:r>
              <w:rPr>
                <w:color w:val="105C84"/>
                <w:position w:val="9"/>
                <w:sz w:val="18"/>
              </w:rPr>
              <w:t>complete</w:t>
            </w:r>
            <w:r>
              <w:rPr>
                <w:color w:val="105C84"/>
                <w:spacing w:val="7"/>
                <w:position w:val="9"/>
                <w:sz w:val="18"/>
              </w:rPr>
              <w:t> </w:t>
            </w:r>
            <w:r>
              <w:rPr>
                <w:color w:val="105C84"/>
                <w:position w:val="9"/>
                <w:sz w:val="18"/>
              </w:rPr>
              <w:t>a</w:t>
            </w:r>
            <w:r>
              <w:rPr>
                <w:color w:val="105C84"/>
                <w:spacing w:val="7"/>
                <w:position w:val="9"/>
                <w:sz w:val="18"/>
              </w:rPr>
              <w:t> </w:t>
            </w:r>
            <w:r>
              <w:rPr>
                <w:color w:val="105C84"/>
                <w:spacing w:val="-5"/>
                <w:position w:val="9"/>
                <w:sz w:val="18"/>
              </w:rPr>
              <w:t>5K</w:t>
            </w:r>
          </w:p>
          <w:p>
            <w:pPr>
              <w:pStyle w:val="TableParagraph"/>
              <w:tabs>
                <w:tab w:pos="3890" w:val="left" w:leader="none"/>
              </w:tabs>
              <w:spacing w:line="200" w:lineRule="exact"/>
              <w:ind w:left="92"/>
              <w:rPr>
                <w:sz w:val="18"/>
              </w:rPr>
            </w:pPr>
            <w:r>
              <w:rPr>
                <w:color w:val="105C84"/>
                <w:sz w:val="18"/>
              </w:rPr>
              <w:t>confidence</w:t>
            </w:r>
            <w:r>
              <w:rPr>
                <w:color w:val="105C84"/>
                <w:spacing w:val="1"/>
                <w:sz w:val="18"/>
              </w:rPr>
              <w:t> </w:t>
            </w:r>
            <w:r>
              <w:rPr>
                <w:color w:val="105C84"/>
                <w:sz w:val="18"/>
              </w:rPr>
              <w:t>in</w:t>
            </w:r>
            <w:r>
              <w:rPr>
                <w:color w:val="105C84"/>
                <w:spacing w:val="2"/>
                <w:sz w:val="18"/>
              </w:rPr>
              <w:t> </w:t>
            </w:r>
            <w:r>
              <w:rPr>
                <w:color w:val="105C84"/>
                <w:spacing w:val="-2"/>
                <w:sz w:val="18"/>
              </w:rPr>
              <w:t>physical</w:t>
            </w:r>
            <w:r>
              <w:rPr>
                <w:color w:val="105C84"/>
                <w:sz w:val="18"/>
              </w:rPr>
              <w:tab/>
            </w:r>
            <w:r>
              <w:rPr>
                <w:color w:val="105C84"/>
                <w:spacing w:val="-2"/>
                <w:sz w:val="18"/>
              </w:rPr>
              <w:t>-Pre</w:t>
            </w:r>
            <w:r>
              <w:rPr>
                <w:color w:val="105C84"/>
                <w:spacing w:val="-8"/>
                <w:sz w:val="18"/>
              </w:rPr>
              <w:t> </w:t>
            </w:r>
            <w:r>
              <w:rPr>
                <w:color w:val="105C84"/>
                <w:spacing w:val="-2"/>
                <w:sz w:val="18"/>
              </w:rPr>
              <w:t>and</w:t>
            </w:r>
            <w:r>
              <w:rPr>
                <w:color w:val="105C84"/>
                <w:spacing w:val="-8"/>
                <w:sz w:val="18"/>
              </w:rPr>
              <w:t> </w:t>
            </w:r>
            <w:r>
              <w:rPr>
                <w:color w:val="105C84"/>
                <w:spacing w:val="-2"/>
                <w:sz w:val="18"/>
              </w:rPr>
              <w:t>Post</w:t>
            </w:r>
            <w:r>
              <w:rPr>
                <w:color w:val="105C84"/>
                <w:spacing w:val="-8"/>
                <w:sz w:val="18"/>
              </w:rPr>
              <w:t> </w:t>
            </w:r>
            <w:r>
              <w:rPr>
                <w:color w:val="105C84"/>
                <w:spacing w:val="-2"/>
                <w:sz w:val="18"/>
              </w:rPr>
              <w:t>survey</w:t>
            </w:r>
          </w:p>
          <w:p>
            <w:pPr>
              <w:pStyle w:val="TableParagraph"/>
              <w:tabs>
                <w:tab w:pos="3890" w:val="left" w:leader="none"/>
              </w:tabs>
              <w:spacing w:line="200" w:lineRule="exact"/>
              <w:ind w:left="92"/>
              <w:rPr>
                <w:sz w:val="18"/>
              </w:rPr>
            </w:pPr>
            <w:r>
              <w:rPr>
                <w:color w:val="105C84"/>
                <w:spacing w:val="-2"/>
                <w:sz w:val="18"/>
              </w:rPr>
              <w:t>activity,</w:t>
            </w:r>
            <w:r>
              <w:rPr>
                <w:color w:val="105C84"/>
                <w:spacing w:val="-8"/>
                <w:sz w:val="18"/>
              </w:rPr>
              <w:t> </w:t>
            </w:r>
            <w:r>
              <w:rPr>
                <w:color w:val="105C84"/>
                <w:spacing w:val="-2"/>
                <w:sz w:val="18"/>
              </w:rPr>
              <w:t>self-worth,</w:t>
            </w:r>
            <w:r>
              <w:rPr>
                <w:color w:val="105C84"/>
                <w:sz w:val="18"/>
              </w:rPr>
              <w:tab/>
              <w:t>will</w:t>
            </w:r>
            <w:r>
              <w:rPr>
                <w:color w:val="105C84"/>
                <w:spacing w:val="-11"/>
                <w:sz w:val="18"/>
              </w:rPr>
              <w:t> </w:t>
            </w:r>
            <w:r>
              <w:rPr>
                <w:color w:val="105C84"/>
                <w:sz w:val="18"/>
              </w:rPr>
              <w:t>show</w:t>
            </w:r>
            <w:r>
              <w:rPr>
                <w:color w:val="105C84"/>
                <w:spacing w:val="-10"/>
                <w:sz w:val="18"/>
              </w:rPr>
              <w:t> </w:t>
            </w:r>
            <w:r>
              <w:rPr>
                <w:color w:val="105C84"/>
                <w:sz w:val="18"/>
              </w:rPr>
              <w:t>that</w:t>
            </w:r>
            <w:r>
              <w:rPr>
                <w:color w:val="105C84"/>
                <w:spacing w:val="-10"/>
                <w:sz w:val="18"/>
              </w:rPr>
              <w:t> </w:t>
            </w:r>
            <w:r>
              <w:rPr>
                <w:color w:val="105C84"/>
                <w:sz w:val="18"/>
              </w:rPr>
              <w:t>75%</w:t>
            </w:r>
            <w:r>
              <w:rPr>
                <w:color w:val="105C84"/>
                <w:spacing w:val="-10"/>
                <w:sz w:val="18"/>
              </w:rPr>
              <w:t> </w:t>
            </w:r>
            <w:r>
              <w:rPr>
                <w:color w:val="105C84"/>
                <w:spacing w:val="-5"/>
                <w:sz w:val="18"/>
              </w:rPr>
              <w:t>of</w:t>
            </w:r>
          </w:p>
          <w:p>
            <w:pPr>
              <w:pStyle w:val="TableParagraph"/>
              <w:tabs>
                <w:tab w:pos="3890" w:val="left" w:leader="none"/>
              </w:tabs>
              <w:spacing w:line="200" w:lineRule="exact"/>
              <w:ind w:left="92"/>
              <w:rPr>
                <w:sz w:val="18"/>
              </w:rPr>
            </w:pPr>
            <w:r>
              <w:rPr>
                <w:color w:val="105C84"/>
                <w:sz w:val="18"/>
              </w:rPr>
              <w:t>managing</w:t>
            </w:r>
            <w:r>
              <w:rPr>
                <w:color w:val="105C84"/>
                <w:spacing w:val="3"/>
                <w:sz w:val="18"/>
              </w:rPr>
              <w:t> </w:t>
            </w:r>
            <w:r>
              <w:rPr>
                <w:color w:val="105C84"/>
                <w:spacing w:val="-2"/>
                <w:sz w:val="18"/>
              </w:rPr>
              <w:t>emotions,</w:t>
            </w:r>
            <w:r>
              <w:rPr>
                <w:color w:val="105C84"/>
                <w:sz w:val="18"/>
              </w:rPr>
              <w:tab/>
              <w:t>participants</w:t>
            </w:r>
            <w:r>
              <w:rPr>
                <w:color w:val="105C84"/>
                <w:spacing w:val="8"/>
                <w:sz w:val="18"/>
              </w:rPr>
              <w:t> </w:t>
            </w:r>
            <w:r>
              <w:rPr>
                <w:color w:val="105C84"/>
                <w:spacing w:val="-2"/>
                <w:sz w:val="18"/>
              </w:rPr>
              <w:t>increased</w:t>
            </w:r>
          </w:p>
          <w:p>
            <w:pPr>
              <w:pStyle w:val="TableParagraph"/>
              <w:tabs>
                <w:tab w:pos="3890" w:val="left" w:leader="none"/>
              </w:tabs>
              <w:spacing w:line="200" w:lineRule="exact"/>
              <w:ind w:left="92"/>
              <w:rPr>
                <w:sz w:val="18"/>
              </w:rPr>
            </w:pPr>
            <w:r>
              <w:rPr>
                <w:color w:val="105C84"/>
                <w:sz w:val="18"/>
              </w:rPr>
              <w:t>resolving</w:t>
            </w:r>
            <w:r>
              <w:rPr>
                <w:color w:val="105C84"/>
                <w:spacing w:val="-9"/>
                <w:sz w:val="18"/>
              </w:rPr>
              <w:t> </w:t>
            </w:r>
            <w:r>
              <w:rPr>
                <w:color w:val="105C84"/>
                <w:spacing w:val="-2"/>
                <w:sz w:val="18"/>
              </w:rPr>
              <w:t>conflicts,</w:t>
            </w:r>
            <w:r>
              <w:rPr>
                <w:color w:val="105C84"/>
                <w:sz w:val="18"/>
              </w:rPr>
              <w:tab/>
              <w:t>their</w:t>
            </w:r>
            <w:r>
              <w:rPr>
                <w:color w:val="105C84"/>
                <w:spacing w:val="8"/>
                <w:sz w:val="18"/>
              </w:rPr>
              <w:t> </w:t>
            </w:r>
            <w:r>
              <w:rPr>
                <w:color w:val="105C84"/>
                <w:spacing w:val="-2"/>
                <w:sz w:val="18"/>
              </w:rPr>
              <w:t>confidence</w:t>
            </w:r>
          </w:p>
          <w:p>
            <w:pPr>
              <w:pStyle w:val="TableParagraph"/>
              <w:tabs>
                <w:tab w:pos="3890" w:val="left" w:leader="none"/>
              </w:tabs>
              <w:spacing w:line="200" w:lineRule="exact"/>
              <w:ind w:left="92"/>
              <w:rPr>
                <w:sz w:val="18"/>
              </w:rPr>
            </w:pPr>
            <w:r>
              <w:rPr>
                <w:color w:val="105C84"/>
                <w:sz w:val="18"/>
              </w:rPr>
              <w:t>and making </w:t>
            </w:r>
            <w:r>
              <w:rPr>
                <w:color w:val="105C84"/>
                <w:spacing w:val="-2"/>
                <w:sz w:val="18"/>
              </w:rPr>
              <w:t>healthy</w:t>
            </w:r>
            <w:r>
              <w:rPr>
                <w:color w:val="105C84"/>
                <w:sz w:val="18"/>
              </w:rPr>
              <w:tab/>
              <w:t>in</w:t>
            </w:r>
            <w:r>
              <w:rPr>
                <w:color w:val="105C84"/>
                <w:spacing w:val="-13"/>
                <w:sz w:val="18"/>
              </w:rPr>
              <w:t> </w:t>
            </w:r>
            <w:r>
              <w:rPr>
                <w:color w:val="105C84"/>
                <w:sz w:val="18"/>
              </w:rPr>
              <w:t>physical</w:t>
            </w:r>
            <w:r>
              <w:rPr>
                <w:color w:val="105C84"/>
                <w:spacing w:val="-12"/>
                <w:sz w:val="18"/>
              </w:rPr>
              <w:t> </w:t>
            </w:r>
            <w:r>
              <w:rPr>
                <w:color w:val="105C84"/>
                <w:spacing w:val="-2"/>
                <w:sz w:val="18"/>
              </w:rPr>
              <w:t>activity,</w:t>
            </w:r>
          </w:p>
          <w:p>
            <w:pPr>
              <w:pStyle w:val="TableParagraph"/>
              <w:tabs>
                <w:tab w:pos="3890" w:val="left" w:leader="none"/>
              </w:tabs>
              <w:spacing w:line="200" w:lineRule="exact"/>
              <w:ind w:left="92"/>
              <w:rPr>
                <w:sz w:val="18"/>
              </w:rPr>
            </w:pPr>
            <w:r>
              <w:rPr>
                <w:color w:val="105C84"/>
                <w:spacing w:val="-2"/>
                <w:sz w:val="18"/>
              </w:rPr>
              <w:t>choices</w:t>
            </w:r>
            <w:r>
              <w:rPr>
                <w:color w:val="105C84"/>
                <w:sz w:val="18"/>
              </w:rPr>
              <w:tab/>
              <w:t>self-worth,</w:t>
            </w:r>
            <w:r>
              <w:rPr>
                <w:color w:val="105C84"/>
                <w:spacing w:val="-7"/>
                <w:sz w:val="18"/>
              </w:rPr>
              <w:t> </w:t>
            </w:r>
            <w:r>
              <w:rPr>
                <w:color w:val="105C84"/>
                <w:spacing w:val="-2"/>
                <w:sz w:val="18"/>
              </w:rPr>
              <w:t>managing</w:t>
            </w:r>
          </w:p>
          <w:p>
            <w:pPr>
              <w:pStyle w:val="TableParagraph"/>
              <w:spacing w:line="232" w:lineRule="auto"/>
              <w:ind w:left="3890"/>
              <w:rPr>
                <w:sz w:val="18"/>
              </w:rPr>
            </w:pPr>
            <w:r>
              <w:rPr>
                <w:color w:val="105C84"/>
                <w:sz w:val="18"/>
              </w:rPr>
              <w:t>emotions, resolving conflicts,</w:t>
            </w:r>
            <w:r>
              <w:rPr>
                <w:color w:val="105C84"/>
                <w:spacing w:val="-15"/>
                <w:sz w:val="18"/>
              </w:rPr>
              <w:t> </w:t>
            </w:r>
            <w:r>
              <w:rPr>
                <w:color w:val="105C84"/>
                <w:sz w:val="18"/>
              </w:rPr>
              <w:t>and</w:t>
            </w:r>
            <w:r>
              <w:rPr>
                <w:color w:val="105C84"/>
                <w:spacing w:val="-12"/>
                <w:sz w:val="18"/>
              </w:rPr>
              <w:t> </w:t>
            </w:r>
            <w:r>
              <w:rPr>
                <w:color w:val="105C84"/>
                <w:sz w:val="18"/>
              </w:rPr>
              <w:t>making healthy choices</w:t>
            </w:r>
          </w:p>
        </w:tc>
        <w:tc>
          <w:tcPr>
            <w:tcW w:w="2188" w:type="dxa"/>
          </w:tcPr>
          <w:p>
            <w:pPr>
              <w:pStyle w:val="TableParagraph"/>
              <w:spacing w:line="232" w:lineRule="auto" w:before="98"/>
              <w:ind w:left="93"/>
              <w:rPr>
                <w:sz w:val="18"/>
              </w:rPr>
            </w:pPr>
            <w:r>
              <w:rPr>
                <w:color w:val="105C84"/>
                <w:sz w:val="18"/>
              </w:rPr>
              <w:t>Steuben Rural Health Network:</w:t>
            </w:r>
            <w:r>
              <w:rPr>
                <w:color w:val="105C84"/>
                <w:spacing w:val="-4"/>
                <w:sz w:val="18"/>
              </w:rPr>
              <w:t> </w:t>
            </w:r>
            <w:r>
              <w:rPr>
                <w:color w:val="105C84"/>
                <w:sz w:val="18"/>
              </w:rPr>
              <w:t>Cope</w:t>
            </w:r>
            <w:r>
              <w:rPr>
                <w:color w:val="105C84"/>
                <w:spacing w:val="-4"/>
                <w:sz w:val="18"/>
              </w:rPr>
              <w:t> </w:t>
            </w:r>
            <w:r>
              <w:rPr>
                <w:color w:val="105C84"/>
                <w:sz w:val="18"/>
              </w:rPr>
              <w:t>to</w:t>
            </w:r>
            <w:r>
              <w:rPr>
                <w:color w:val="105C84"/>
                <w:spacing w:val="-4"/>
                <w:sz w:val="18"/>
              </w:rPr>
              <w:t> </w:t>
            </w:r>
            <w:r>
              <w:rPr>
                <w:color w:val="105C84"/>
                <w:sz w:val="18"/>
              </w:rPr>
              <w:t>Thrive</w:t>
            </w:r>
          </w:p>
          <w:p>
            <w:pPr>
              <w:pStyle w:val="TableParagraph"/>
              <w:spacing w:line="232" w:lineRule="auto" w:before="88"/>
              <w:ind w:left="93" w:right="90"/>
              <w:rPr>
                <w:sz w:val="18"/>
              </w:rPr>
            </w:pPr>
            <w:r>
              <w:rPr>
                <w:color w:val="105C84"/>
                <w:sz w:val="18"/>
              </w:rPr>
              <w:t>-1 class of 15 students will</w:t>
            </w:r>
            <w:r>
              <w:rPr>
                <w:color w:val="105C84"/>
                <w:spacing w:val="-15"/>
                <w:sz w:val="18"/>
              </w:rPr>
              <w:t> </w:t>
            </w:r>
            <w:r>
              <w:rPr>
                <w:color w:val="105C84"/>
                <w:sz w:val="18"/>
              </w:rPr>
              <w:t>pilot</w:t>
            </w:r>
            <w:r>
              <w:rPr>
                <w:color w:val="105C84"/>
                <w:spacing w:val="-12"/>
                <w:sz w:val="18"/>
              </w:rPr>
              <w:t> </w:t>
            </w:r>
            <w:r>
              <w:rPr>
                <w:color w:val="105C84"/>
                <w:sz w:val="18"/>
              </w:rPr>
              <w:t>the</w:t>
            </w:r>
            <w:r>
              <w:rPr>
                <w:color w:val="105C84"/>
                <w:spacing w:val="-13"/>
                <w:sz w:val="18"/>
              </w:rPr>
              <w:t> </w:t>
            </w:r>
            <w:r>
              <w:rPr>
                <w:color w:val="105C84"/>
                <w:sz w:val="18"/>
              </w:rPr>
              <w:t>COPE</w:t>
            </w:r>
            <w:r>
              <w:rPr>
                <w:color w:val="105C84"/>
                <w:spacing w:val="-12"/>
                <w:sz w:val="18"/>
              </w:rPr>
              <w:t> </w:t>
            </w:r>
            <w:r>
              <w:rPr>
                <w:color w:val="105C84"/>
                <w:sz w:val="18"/>
              </w:rPr>
              <w:t>Teen Online Program</w:t>
            </w:r>
          </w:p>
          <w:p>
            <w:pPr>
              <w:pStyle w:val="TableParagraph"/>
              <w:spacing w:line="232" w:lineRule="auto" w:before="88"/>
              <w:ind w:left="93" w:right="90"/>
              <w:rPr>
                <w:sz w:val="18"/>
              </w:rPr>
            </w:pPr>
            <w:r>
              <w:rPr>
                <w:color w:val="105C84"/>
                <w:sz w:val="18"/>
              </w:rPr>
              <w:t>-Students will show improvements</w:t>
            </w:r>
            <w:r>
              <w:rPr>
                <w:color w:val="105C84"/>
                <w:spacing w:val="-5"/>
                <w:sz w:val="18"/>
              </w:rPr>
              <w:t> </w:t>
            </w:r>
            <w:r>
              <w:rPr>
                <w:color w:val="105C84"/>
                <w:sz w:val="18"/>
              </w:rPr>
              <w:t>through pre and post survey</w:t>
            </w:r>
          </w:p>
          <w:p>
            <w:pPr>
              <w:pStyle w:val="TableParagraph"/>
              <w:spacing w:line="232" w:lineRule="auto"/>
              <w:ind w:left="93" w:right="90"/>
              <w:rPr>
                <w:sz w:val="18"/>
              </w:rPr>
            </w:pPr>
            <w:r>
              <w:rPr>
                <w:color w:val="105C84"/>
                <w:sz w:val="18"/>
              </w:rPr>
              <w:t>in the following areas: understanding and managing stress, increase healthy behaviors, reduce negative thoughts and emotions, build </w:t>
            </w:r>
            <w:r>
              <w:rPr>
                <w:color w:val="105C84"/>
                <w:sz w:val="18"/>
              </w:rPr>
              <w:t>problem solving skills, and improve communication skills by 80%</w:t>
            </w:r>
          </w:p>
          <w:p>
            <w:pPr>
              <w:pStyle w:val="TableParagraph"/>
              <w:spacing w:line="232" w:lineRule="auto" w:before="80"/>
              <w:ind w:left="93"/>
              <w:rPr>
                <w:sz w:val="18"/>
              </w:rPr>
            </w:pPr>
            <w:r>
              <w:rPr>
                <w:color w:val="105C84"/>
                <w:sz w:val="18"/>
              </w:rPr>
              <w:t>Girls</w:t>
            </w:r>
            <w:r>
              <w:rPr>
                <w:color w:val="105C84"/>
                <w:spacing w:val="-10"/>
                <w:sz w:val="18"/>
              </w:rPr>
              <w:t> </w:t>
            </w:r>
            <w:r>
              <w:rPr>
                <w:color w:val="105C84"/>
                <w:sz w:val="18"/>
              </w:rPr>
              <w:t>on</w:t>
            </w:r>
            <w:r>
              <w:rPr>
                <w:color w:val="105C84"/>
                <w:spacing w:val="-10"/>
                <w:sz w:val="18"/>
              </w:rPr>
              <w:t> </w:t>
            </w:r>
            <w:r>
              <w:rPr>
                <w:color w:val="105C84"/>
                <w:sz w:val="18"/>
              </w:rPr>
              <w:t>the</w:t>
            </w:r>
            <w:r>
              <w:rPr>
                <w:color w:val="105C84"/>
                <w:spacing w:val="-10"/>
                <w:sz w:val="18"/>
              </w:rPr>
              <w:t> </w:t>
            </w:r>
            <w:r>
              <w:rPr>
                <w:color w:val="105C84"/>
                <w:sz w:val="18"/>
              </w:rPr>
              <w:t>Run</w:t>
            </w:r>
            <w:r>
              <w:rPr>
                <w:color w:val="105C84"/>
                <w:spacing w:val="-10"/>
                <w:sz w:val="18"/>
              </w:rPr>
              <w:t> </w:t>
            </w:r>
            <w:r>
              <w:rPr>
                <w:color w:val="105C84"/>
                <w:sz w:val="18"/>
              </w:rPr>
              <w:t>of</w:t>
            </w:r>
            <w:r>
              <w:rPr>
                <w:color w:val="105C84"/>
                <w:spacing w:val="-10"/>
                <w:sz w:val="18"/>
              </w:rPr>
              <w:t> </w:t>
            </w:r>
            <w:r>
              <w:rPr>
                <w:color w:val="105C84"/>
                <w:sz w:val="18"/>
              </w:rPr>
              <w:t>the Southern Tier</w:t>
            </w:r>
          </w:p>
          <w:p>
            <w:pPr>
              <w:pStyle w:val="TableParagraph"/>
              <w:spacing w:line="232" w:lineRule="auto" w:before="88"/>
              <w:ind w:left="93" w:right="90"/>
              <w:rPr>
                <w:sz w:val="18"/>
              </w:rPr>
            </w:pPr>
            <w:r>
              <w:rPr>
                <w:color w:val="105C84"/>
                <w:sz w:val="18"/>
              </w:rPr>
              <w:t>-3 sites will implement the GOTRST program </w:t>
            </w:r>
            <w:r>
              <w:rPr>
                <w:color w:val="105C84"/>
                <w:spacing w:val="-2"/>
                <w:sz w:val="18"/>
              </w:rPr>
              <w:t>(heart</w:t>
            </w:r>
            <w:r>
              <w:rPr>
                <w:color w:val="105C84"/>
                <w:spacing w:val="-13"/>
                <w:sz w:val="18"/>
              </w:rPr>
              <w:t> </w:t>
            </w:r>
            <w:r>
              <w:rPr>
                <w:color w:val="105C84"/>
                <w:spacing w:val="-2"/>
                <w:sz w:val="18"/>
              </w:rPr>
              <w:t>and</w:t>
            </w:r>
            <w:r>
              <w:rPr>
                <w:color w:val="105C84"/>
                <w:spacing w:val="-10"/>
                <w:sz w:val="18"/>
              </w:rPr>
              <w:t> </w:t>
            </w:r>
            <w:r>
              <w:rPr>
                <w:color w:val="105C84"/>
                <w:spacing w:val="-2"/>
                <w:sz w:val="18"/>
              </w:rPr>
              <w:t>sole</w:t>
            </w:r>
            <w:r>
              <w:rPr>
                <w:color w:val="105C84"/>
                <w:spacing w:val="-11"/>
                <w:sz w:val="18"/>
              </w:rPr>
              <w:t> </w:t>
            </w:r>
            <w:r>
              <w:rPr>
                <w:color w:val="105C84"/>
                <w:spacing w:val="-2"/>
                <w:sz w:val="18"/>
              </w:rPr>
              <w:t>or</w:t>
            </w:r>
            <w:r>
              <w:rPr>
                <w:color w:val="105C84"/>
                <w:spacing w:val="-10"/>
                <w:sz w:val="18"/>
              </w:rPr>
              <w:t> </w:t>
            </w:r>
            <w:r>
              <w:rPr>
                <w:color w:val="105C84"/>
                <w:spacing w:val="-2"/>
                <w:sz w:val="18"/>
              </w:rPr>
              <w:t>GOTR) </w:t>
            </w:r>
            <w:r>
              <w:rPr>
                <w:color w:val="105C84"/>
                <w:sz w:val="18"/>
              </w:rPr>
              <w:t>in Steuben County with 80% attendance rate</w:t>
            </w:r>
          </w:p>
          <w:p>
            <w:pPr>
              <w:pStyle w:val="TableParagraph"/>
              <w:spacing w:line="232" w:lineRule="auto" w:before="86"/>
              <w:ind w:left="93"/>
              <w:rPr>
                <w:sz w:val="18"/>
              </w:rPr>
            </w:pPr>
            <w:r>
              <w:rPr>
                <w:color w:val="105C84"/>
                <w:sz w:val="18"/>
              </w:rPr>
              <w:t>-85%</w:t>
            </w:r>
            <w:r>
              <w:rPr>
                <w:color w:val="105C84"/>
                <w:spacing w:val="-13"/>
                <w:sz w:val="18"/>
              </w:rPr>
              <w:t> </w:t>
            </w:r>
            <w:r>
              <w:rPr>
                <w:color w:val="105C84"/>
                <w:sz w:val="18"/>
              </w:rPr>
              <w:t>of</w:t>
            </w:r>
            <w:r>
              <w:rPr>
                <w:color w:val="105C84"/>
                <w:spacing w:val="-12"/>
                <w:sz w:val="18"/>
              </w:rPr>
              <w:t> </w:t>
            </w:r>
            <w:r>
              <w:rPr>
                <w:color w:val="105C84"/>
                <w:sz w:val="18"/>
              </w:rPr>
              <w:t>participants</w:t>
            </w:r>
            <w:r>
              <w:rPr>
                <w:color w:val="105C84"/>
                <w:spacing w:val="-13"/>
                <w:sz w:val="18"/>
              </w:rPr>
              <w:t> </w:t>
            </w:r>
            <w:r>
              <w:rPr>
                <w:color w:val="105C84"/>
                <w:sz w:val="18"/>
              </w:rPr>
              <w:t>will complete a 5K</w:t>
            </w:r>
          </w:p>
          <w:p>
            <w:pPr>
              <w:pStyle w:val="TableParagraph"/>
              <w:spacing w:line="232" w:lineRule="auto" w:before="89"/>
              <w:ind w:left="93" w:right="327"/>
              <w:rPr>
                <w:sz w:val="18"/>
              </w:rPr>
            </w:pPr>
            <w:r>
              <w:rPr>
                <w:color w:val="105C84"/>
                <w:sz w:val="18"/>
              </w:rPr>
              <w:t>-Pre and Post survey will show that 80% of participants</w:t>
            </w:r>
            <w:r>
              <w:rPr>
                <w:color w:val="105C84"/>
                <w:spacing w:val="-13"/>
                <w:sz w:val="18"/>
              </w:rPr>
              <w:t> </w:t>
            </w:r>
            <w:r>
              <w:rPr>
                <w:color w:val="105C84"/>
                <w:sz w:val="18"/>
              </w:rPr>
              <w:t>increased their confidence</w:t>
            </w:r>
          </w:p>
          <w:p>
            <w:pPr>
              <w:pStyle w:val="TableParagraph"/>
              <w:spacing w:line="232" w:lineRule="auto"/>
              <w:ind w:left="93" w:right="398"/>
              <w:rPr>
                <w:sz w:val="18"/>
              </w:rPr>
            </w:pPr>
            <w:r>
              <w:rPr>
                <w:color w:val="105C84"/>
                <w:sz w:val="18"/>
              </w:rPr>
              <w:t>in physical activity, self-worth,</w:t>
            </w:r>
            <w:r>
              <w:rPr>
                <w:color w:val="105C84"/>
                <w:spacing w:val="-13"/>
                <w:sz w:val="18"/>
              </w:rPr>
              <w:t> </w:t>
            </w:r>
            <w:r>
              <w:rPr>
                <w:color w:val="105C84"/>
                <w:sz w:val="18"/>
              </w:rPr>
              <w:t>managing emotions, resolving conflicts,</w:t>
            </w:r>
            <w:r>
              <w:rPr>
                <w:color w:val="105C84"/>
                <w:spacing w:val="-15"/>
                <w:sz w:val="18"/>
              </w:rPr>
              <w:t> </w:t>
            </w:r>
            <w:r>
              <w:rPr>
                <w:color w:val="105C84"/>
                <w:sz w:val="18"/>
              </w:rPr>
              <w:t>and</w:t>
            </w:r>
            <w:r>
              <w:rPr>
                <w:color w:val="105C84"/>
                <w:spacing w:val="-12"/>
                <w:sz w:val="18"/>
              </w:rPr>
              <w:t> </w:t>
            </w:r>
            <w:r>
              <w:rPr>
                <w:color w:val="105C84"/>
                <w:sz w:val="18"/>
              </w:rPr>
              <w:t>making healthy choices</w:t>
            </w:r>
          </w:p>
        </w:tc>
        <w:tc>
          <w:tcPr>
            <w:tcW w:w="2174" w:type="dxa"/>
          </w:tcPr>
          <w:p>
            <w:pPr>
              <w:pStyle w:val="TableParagraph"/>
              <w:spacing w:line="232" w:lineRule="auto" w:before="97"/>
              <w:ind w:left="94" w:right="79"/>
              <w:rPr>
                <w:sz w:val="18"/>
              </w:rPr>
            </w:pPr>
            <w:r>
              <w:rPr>
                <w:color w:val="105C84"/>
                <w:sz w:val="18"/>
              </w:rPr>
              <w:t>Steuben Rural Health Network: Girls on the Run</w:t>
            </w:r>
            <w:r>
              <w:rPr>
                <w:color w:val="105C84"/>
                <w:spacing w:val="-15"/>
                <w:sz w:val="18"/>
              </w:rPr>
              <w:t> </w:t>
            </w:r>
            <w:r>
              <w:rPr>
                <w:color w:val="105C84"/>
                <w:sz w:val="18"/>
              </w:rPr>
              <w:t>of</w:t>
            </w:r>
            <w:r>
              <w:rPr>
                <w:color w:val="105C84"/>
                <w:spacing w:val="-12"/>
                <w:sz w:val="18"/>
              </w:rPr>
              <w:t> </w:t>
            </w:r>
            <w:r>
              <w:rPr>
                <w:color w:val="105C84"/>
                <w:sz w:val="18"/>
              </w:rPr>
              <w:t>the</w:t>
            </w:r>
            <w:r>
              <w:rPr>
                <w:color w:val="105C84"/>
                <w:spacing w:val="-13"/>
                <w:sz w:val="18"/>
              </w:rPr>
              <w:t> </w:t>
            </w:r>
            <w:r>
              <w:rPr>
                <w:color w:val="105C84"/>
                <w:sz w:val="18"/>
              </w:rPr>
              <w:t>Southern</w:t>
            </w:r>
            <w:r>
              <w:rPr>
                <w:color w:val="105C84"/>
                <w:spacing w:val="-12"/>
                <w:sz w:val="18"/>
              </w:rPr>
              <w:t> </w:t>
            </w:r>
            <w:r>
              <w:rPr>
                <w:color w:val="105C84"/>
                <w:sz w:val="18"/>
              </w:rPr>
              <w:t>Tier</w:t>
            </w:r>
          </w:p>
          <w:p>
            <w:pPr>
              <w:pStyle w:val="TableParagraph"/>
              <w:spacing w:line="232" w:lineRule="auto" w:before="88"/>
              <w:ind w:left="94" w:right="76"/>
              <w:rPr>
                <w:sz w:val="18"/>
              </w:rPr>
            </w:pPr>
            <w:r>
              <w:rPr>
                <w:color w:val="105C84"/>
                <w:sz w:val="18"/>
              </w:rPr>
              <w:t>-4 sites will implement the GOTRST program </w:t>
            </w:r>
            <w:r>
              <w:rPr>
                <w:color w:val="105C84"/>
                <w:spacing w:val="-2"/>
                <w:sz w:val="18"/>
              </w:rPr>
              <w:t>(heart</w:t>
            </w:r>
            <w:r>
              <w:rPr>
                <w:color w:val="105C84"/>
                <w:spacing w:val="-13"/>
                <w:sz w:val="18"/>
              </w:rPr>
              <w:t> </w:t>
            </w:r>
            <w:r>
              <w:rPr>
                <w:color w:val="105C84"/>
                <w:spacing w:val="-2"/>
                <w:sz w:val="18"/>
              </w:rPr>
              <w:t>and</w:t>
            </w:r>
            <w:r>
              <w:rPr>
                <w:color w:val="105C84"/>
                <w:spacing w:val="-10"/>
                <w:sz w:val="18"/>
              </w:rPr>
              <w:t> </w:t>
            </w:r>
            <w:r>
              <w:rPr>
                <w:color w:val="105C84"/>
                <w:spacing w:val="-2"/>
                <w:sz w:val="18"/>
              </w:rPr>
              <w:t>sole</w:t>
            </w:r>
            <w:r>
              <w:rPr>
                <w:color w:val="105C84"/>
                <w:spacing w:val="-11"/>
                <w:sz w:val="18"/>
              </w:rPr>
              <w:t> </w:t>
            </w:r>
            <w:r>
              <w:rPr>
                <w:color w:val="105C84"/>
                <w:spacing w:val="-2"/>
                <w:sz w:val="18"/>
              </w:rPr>
              <w:t>or</w:t>
            </w:r>
            <w:r>
              <w:rPr>
                <w:color w:val="105C84"/>
                <w:spacing w:val="-10"/>
                <w:sz w:val="18"/>
              </w:rPr>
              <w:t> </w:t>
            </w:r>
            <w:r>
              <w:rPr>
                <w:color w:val="105C84"/>
                <w:spacing w:val="-2"/>
                <w:sz w:val="18"/>
              </w:rPr>
              <w:t>GOTR) </w:t>
            </w:r>
            <w:r>
              <w:rPr>
                <w:color w:val="105C84"/>
                <w:sz w:val="18"/>
              </w:rPr>
              <w:t>in Steuben County with 85% attendance rate</w:t>
            </w:r>
          </w:p>
          <w:p>
            <w:pPr>
              <w:pStyle w:val="TableParagraph"/>
              <w:spacing w:line="232" w:lineRule="auto" w:before="86"/>
              <w:ind w:left="94" w:right="79"/>
              <w:rPr>
                <w:sz w:val="18"/>
              </w:rPr>
            </w:pPr>
            <w:r>
              <w:rPr>
                <w:color w:val="105C84"/>
                <w:sz w:val="18"/>
              </w:rPr>
              <w:t>-90%</w:t>
            </w:r>
            <w:r>
              <w:rPr>
                <w:color w:val="105C84"/>
                <w:spacing w:val="-13"/>
                <w:sz w:val="18"/>
              </w:rPr>
              <w:t> </w:t>
            </w:r>
            <w:r>
              <w:rPr>
                <w:color w:val="105C84"/>
                <w:sz w:val="18"/>
              </w:rPr>
              <w:t>of</w:t>
            </w:r>
            <w:r>
              <w:rPr>
                <w:color w:val="105C84"/>
                <w:spacing w:val="-12"/>
                <w:sz w:val="18"/>
              </w:rPr>
              <w:t> </w:t>
            </w:r>
            <w:r>
              <w:rPr>
                <w:color w:val="105C84"/>
                <w:sz w:val="18"/>
              </w:rPr>
              <w:t>participants</w:t>
            </w:r>
            <w:r>
              <w:rPr>
                <w:color w:val="105C84"/>
                <w:spacing w:val="-13"/>
                <w:sz w:val="18"/>
              </w:rPr>
              <w:t> </w:t>
            </w:r>
            <w:r>
              <w:rPr>
                <w:color w:val="105C84"/>
                <w:sz w:val="18"/>
              </w:rPr>
              <w:t>will complete a 5K</w:t>
            </w:r>
          </w:p>
          <w:p>
            <w:pPr>
              <w:pStyle w:val="TableParagraph"/>
              <w:spacing w:line="232" w:lineRule="auto" w:before="88"/>
              <w:ind w:left="94" w:right="312"/>
              <w:rPr>
                <w:sz w:val="18"/>
              </w:rPr>
            </w:pPr>
            <w:r>
              <w:rPr>
                <w:color w:val="105C84"/>
                <w:sz w:val="18"/>
              </w:rPr>
              <w:t>-Pre and Post survey will show that 82% of participants</w:t>
            </w:r>
            <w:r>
              <w:rPr>
                <w:color w:val="105C84"/>
                <w:spacing w:val="-13"/>
                <w:sz w:val="18"/>
              </w:rPr>
              <w:t> </w:t>
            </w:r>
            <w:r>
              <w:rPr>
                <w:color w:val="105C84"/>
                <w:sz w:val="18"/>
              </w:rPr>
              <w:t>increased their confidence</w:t>
            </w:r>
          </w:p>
          <w:p>
            <w:pPr>
              <w:pStyle w:val="TableParagraph"/>
              <w:spacing w:line="232" w:lineRule="auto"/>
              <w:ind w:left="94" w:right="383"/>
              <w:rPr>
                <w:sz w:val="18"/>
              </w:rPr>
            </w:pPr>
            <w:r>
              <w:rPr>
                <w:color w:val="105C84"/>
                <w:sz w:val="18"/>
              </w:rPr>
              <w:t>in physical activity, self-worth,</w:t>
            </w:r>
            <w:r>
              <w:rPr>
                <w:color w:val="105C84"/>
                <w:spacing w:val="-13"/>
                <w:sz w:val="18"/>
              </w:rPr>
              <w:t> </w:t>
            </w:r>
            <w:r>
              <w:rPr>
                <w:color w:val="105C84"/>
                <w:sz w:val="18"/>
              </w:rPr>
              <w:t>managing emotions, resolving conflicts,</w:t>
            </w:r>
            <w:r>
              <w:rPr>
                <w:color w:val="105C84"/>
                <w:spacing w:val="-15"/>
                <w:sz w:val="18"/>
              </w:rPr>
              <w:t> </w:t>
            </w:r>
            <w:r>
              <w:rPr>
                <w:color w:val="105C84"/>
                <w:sz w:val="18"/>
              </w:rPr>
              <w:t>and</w:t>
            </w:r>
            <w:r>
              <w:rPr>
                <w:color w:val="105C84"/>
                <w:spacing w:val="-12"/>
                <w:sz w:val="18"/>
              </w:rPr>
              <w:t> </w:t>
            </w:r>
            <w:r>
              <w:rPr>
                <w:color w:val="105C84"/>
                <w:sz w:val="18"/>
              </w:rPr>
              <w:t>making healthy choices</w:t>
            </w:r>
          </w:p>
        </w:tc>
        <w:tc>
          <w:tcPr>
            <w:tcW w:w="1497" w:type="dxa"/>
          </w:tcPr>
          <w:p>
            <w:pPr>
              <w:pStyle w:val="TableParagraph"/>
              <w:spacing w:line="232" w:lineRule="auto" w:before="97"/>
              <w:ind w:left="94"/>
              <w:rPr>
                <w:sz w:val="18"/>
              </w:rPr>
            </w:pPr>
            <w:r>
              <w:rPr>
                <w:color w:val="105C84"/>
                <w:spacing w:val="-2"/>
                <w:sz w:val="18"/>
              </w:rPr>
              <w:t>Community-based organizations</w:t>
            </w:r>
          </w:p>
        </w:tc>
        <w:tc>
          <w:tcPr>
            <w:tcW w:w="2068" w:type="dxa"/>
          </w:tcPr>
          <w:p>
            <w:pPr>
              <w:pStyle w:val="TableParagraph"/>
              <w:spacing w:line="232" w:lineRule="auto" w:before="97"/>
              <w:ind w:left="95" w:right="236"/>
              <w:rPr>
                <w:sz w:val="18"/>
              </w:rPr>
            </w:pPr>
            <w:r>
              <w:rPr>
                <w:color w:val="105C84"/>
                <w:sz w:val="18"/>
              </w:rPr>
              <w:t>SRHN: Providing programming and planning</w:t>
            </w:r>
            <w:r>
              <w:rPr>
                <w:color w:val="105C84"/>
                <w:spacing w:val="-5"/>
                <w:sz w:val="18"/>
              </w:rPr>
              <w:t> </w:t>
            </w:r>
            <w:r>
              <w:rPr>
                <w:color w:val="105C84"/>
                <w:sz w:val="18"/>
              </w:rPr>
              <w:t>for</w:t>
            </w:r>
            <w:r>
              <w:rPr>
                <w:color w:val="105C84"/>
                <w:spacing w:val="-5"/>
                <w:sz w:val="18"/>
              </w:rPr>
              <w:t> </w:t>
            </w:r>
            <w:r>
              <w:rPr>
                <w:color w:val="105C84"/>
                <w:sz w:val="18"/>
              </w:rPr>
              <w:t>Cope</w:t>
            </w:r>
            <w:r>
              <w:rPr>
                <w:color w:val="105C84"/>
                <w:spacing w:val="-5"/>
                <w:sz w:val="18"/>
              </w:rPr>
              <w:t> </w:t>
            </w:r>
            <w:r>
              <w:rPr>
                <w:color w:val="105C84"/>
                <w:sz w:val="18"/>
              </w:rPr>
              <w:t>2 Thrive and Girls on the</w:t>
            </w:r>
            <w:r>
              <w:rPr>
                <w:color w:val="105C84"/>
                <w:spacing w:val="-13"/>
                <w:sz w:val="18"/>
              </w:rPr>
              <w:t> </w:t>
            </w:r>
            <w:r>
              <w:rPr>
                <w:color w:val="105C84"/>
                <w:sz w:val="18"/>
              </w:rPr>
              <w:t>Run</w:t>
            </w:r>
            <w:r>
              <w:rPr>
                <w:color w:val="105C84"/>
                <w:spacing w:val="-12"/>
                <w:sz w:val="18"/>
              </w:rPr>
              <w:t> </w:t>
            </w:r>
            <w:r>
              <w:rPr>
                <w:color w:val="105C84"/>
                <w:sz w:val="18"/>
              </w:rPr>
              <w:t>(GOTR</w:t>
            </w:r>
            <w:r>
              <w:rPr>
                <w:color w:val="105C84"/>
                <w:spacing w:val="-13"/>
                <w:sz w:val="18"/>
              </w:rPr>
              <w:t> </w:t>
            </w:r>
            <w:r>
              <w:rPr>
                <w:color w:val="105C84"/>
                <w:sz w:val="18"/>
              </w:rPr>
              <w:t>and</w:t>
            </w:r>
          </w:p>
          <w:p>
            <w:pPr>
              <w:pStyle w:val="TableParagraph"/>
              <w:spacing w:line="232" w:lineRule="auto"/>
              <w:ind w:left="95" w:right="67"/>
              <w:rPr>
                <w:sz w:val="18"/>
              </w:rPr>
            </w:pPr>
            <w:r>
              <w:rPr>
                <w:color w:val="105C84"/>
                <w:spacing w:val="-2"/>
                <w:sz w:val="18"/>
              </w:rPr>
              <w:t>Heart</w:t>
            </w:r>
            <w:r>
              <w:rPr>
                <w:color w:val="105C84"/>
                <w:spacing w:val="-11"/>
                <w:sz w:val="18"/>
              </w:rPr>
              <w:t> </w:t>
            </w:r>
            <w:r>
              <w:rPr>
                <w:color w:val="105C84"/>
                <w:spacing w:val="-2"/>
                <w:sz w:val="18"/>
              </w:rPr>
              <w:t>and</w:t>
            </w:r>
            <w:r>
              <w:rPr>
                <w:color w:val="105C84"/>
                <w:spacing w:val="-10"/>
                <w:sz w:val="18"/>
              </w:rPr>
              <w:t> </w:t>
            </w:r>
            <w:r>
              <w:rPr>
                <w:color w:val="105C84"/>
                <w:spacing w:val="-2"/>
                <w:sz w:val="18"/>
              </w:rPr>
              <w:t>Sole)</w:t>
            </w:r>
            <w:r>
              <w:rPr>
                <w:color w:val="105C84"/>
                <w:spacing w:val="-11"/>
                <w:sz w:val="18"/>
              </w:rPr>
              <w:t> </w:t>
            </w:r>
            <w:r>
              <w:rPr>
                <w:color w:val="105C84"/>
                <w:spacing w:val="-2"/>
                <w:sz w:val="18"/>
              </w:rPr>
              <w:t>SRHN's </w:t>
            </w:r>
            <w:r>
              <w:rPr>
                <w:color w:val="105C84"/>
                <w:sz w:val="18"/>
              </w:rPr>
              <w:t>Role: FTE's, cost of </w:t>
            </w:r>
            <w:r>
              <w:rPr>
                <w:color w:val="105C84"/>
                <w:spacing w:val="-2"/>
                <w:sz w:val="18"/>
              </w:rPr>
              <w:t>curriculum/training</w:t>
            </w:r>
          </w:p>
        </w:tc>
      </w:tr>
    </w:tbl>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7"/>
        <w:rPr>
          <w:b/>
          <w:sz w:val="26"/>
        </w:rPr>
      </w:pPr>
    </w:p>
    <w:p>
      <w:pPr>
        <w:tabs>
          <w:tab w:pos="23047" w:val="left" w:leader="none"/>
        </w:tabs>
        <w:spacing w:before="0"/>
        <w:ind w:left="0" w:right="0" w:firstLine="0"/>
        <w:jc w:val="left"/>
        <w:rPr>
          <w:b/>
          <w:sz w:val="26"/>
        </w:rPr>
      </w:pPr>
      <w:r>
        <w:rPr>
          <w:position w:val="-4"/>
        </w:rPr>
        <w:drawing>
          <wp:inline distT="0" distB="0" distL="0" distR="0">
            <wp:extent cx="568172" cy="184683"/>
            <wp:effectExtent l="0" t="0" r="0" b="0"/>
            <wp:docPr id="2020" name="Image 2020"/>
            <wp:cNvGraphicFramePr>
              <a:graphicFrameLocks/>
            </wp:cNvGraphicFramePr>
            <a:graphic>
              <a:graphicData uri="http://schemas.openxmlformats.org/drawingml/2006/picture">
                <pic:pic>
                  <pic:nvPicPr>
                    <pic:cNvPr id="2020" name="Image 2020"/>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13"/>
          <w:sz w:val="20"/>
        </w:rPr>
        <w:t> </w:t>
      </w:r>
      <w:r>
        <w:rPr>
          <w:b/>
          <w:color w:val="939598"/>
          <w:w w:val="105"/>
          <w:sz w:val="26"/>
        </w:rPr>
        <w:t>213</w:t>
      </w:r>
      <w:r>
        <w:rPr>
          <w:b/>
          <w:color w:val="939598"/>
          <w:sz w:val="26"/>
        </w:rPr>
        <w:tab/>
      </w:r>
      <w:r>
        <w:rPr>
          <w:b/>
          <w:color w:val="939598"/>
          <w:spacing w:val="-5"/>
          <w:w w:val="105"/>
          <w:sz w:val="26"/>
        </w:rPr>
        <w:t>214</w:t>
      </w:r>
    </w:p>
    <w:p>
      <w:pPr>
        <w:spacing w:after="0"/>
        <w:jc w:val="left"/>
        <w:rPr>
          <w:b/>
          <w:sz w:val="26"/>
        </w:rPr>
        <w:sectPr>
          <w:pgSz w:w="24480" w:h="15840" w:orient="landscape"/>
          <w:pgMar w:header="0" w:footer="0" w:top="860" w:bottom="0" w:left="0" w:right="720"/>
        </w:sectPr>
      </w:pPr>
    </w:p>
    <w:p>
      <w:pPr>
        <w:spacing w:before="609"/>
        <w:ind w:left="1089" w:right="0" w:firstLine="0"/>
        <w:jc w:val="left"/>
        <w:rPr>
          <w:sz w:val="54"/>
        </w:rPr>
      </w:pPr>
      <w:r>
        <w:rPr>
          <w:sz w:val="54"/>
        </w:rPr>
        <w:drawing>
          <wp:anchor distT="0" distB="0" distL="0" distR="0" allowOverlap="1" layoutInCell="1" locked="0" behindDoc="0" simplePos="0" relativeHeight="16029184">
            <wp:simplePos x="0" y="0"/>
            <wp:positionH relativeFrom="page">
              <wp:posOffset>14981556</wp:posOffset>
            </wp:positionH>
            <wp:positionV relativeFrom="page">
              <wp:posOffset>9668103</wp:posOffset>
            </wp:positionV>
            <wp:extent cx="563245" cy="184683"/>
            <wp:effectExtent l="0" t="0" r="0" b="0"/>
            <wp:wrapNone/>
            <wp:docPr id="2021" name="Image 2021"/>
            <wp:cNvGraphicFramePr>
              <a:graphicFrameLocks/>
            </wp:cNvGraphicFramePr>
            <a:graphic>
              <a:graphicData uri="http://schemas.openxmlformats.org/drawingml/2006/picture">
                <pic:pic>
                  <pic:nvPicPr>
                    <pic:cNvPr id="2021" name="Image 2021"/>
                    <pic:cNvPicPr/>
                  </pic:nvPicPr>
                  <pic:blipFill>
                    <a:blip r:embed="rId38" cstate="print"/>
                    <a:stretch>
                      <a:fillRect/>
                    </a:stretch>
                  </pic:blipFill>
                  <pic:spPr>
                    <a:xfrm>
                      <a:off x="0" y="0"/>
                      <a:ext cx="563245" cy="184683"/>
                    </a:xfrm>
                    <a:prstGeom prst="rect">
                      <a:avLst/>
                    </a:prstGeom>
                  </pic:spPr>
                </pic:pic>
              </a:graphicData>
            </a:graphic>
          </wp:anchor>
        </w:drawing>
      </w:r>
      <w:r>
        <w:rPr>
          <w:sz w:val="54"/>
        </w:rPr>
        <w:drawing>
          <wp:anchor distT="0" distB="0" distL="0" distR="0" allowOverlap="1" layoutInCell="1" locked="0" behindDoc="0" simplePos="0" relativeHeight="16029696">
            <wp:simplePos x="0" y="0"/>
            <wp:positionH relativeFrom="page">
              <wp:posOffset>14298866</wp:posOffset>
            </wp:positionH>
            <wp:positionV relativeFrom="paragraph">
              <wp:posOffset>333089</wp:posOffset>
            </wp:positionV>
            <wp:extent cx="552068" cy="591502"/>
            <wp:effectExtent l="0" t="0" r="0" b="0"/>
            <wp:wrapNone/>
            <wp:docPr id="2022" name="Image 2022"/>
            <wp:cNvGraphicFramePr>
              <a:graphicFrameLocks/>
            </wp:cNvGraphicFramePr>
            <a:graphic>
              <a:graphicData uri="http://schemas.openxmlformats.org/drawingml/2006/picture">
                <pic:pic>
                  <pic:nvPicPr>
                    <pic:cNvPr id="2022" name="Image 2022"/>
                    <pic:cNvPicPr/>
                  </pic:nvPicPr>
                  <pic:blipFill>
                    <a:blip r:embed="rId259" cstate="print"/>
                    <a:stretch>
                      <a:fillRect/>
                    </a:stretch>
                  </pic:blipFill>
                  <pic:spPr>
                    <a:xfrm>
                      <a:off x="0" y="0"/>
                      <a:ext cx="552068" cy="591502"/>
                    </a:xfrm>
                    <a:prstGeom prst="rect">
                      <a:avLst/>
                    </a:prstGeom>
                  </pic:spPr>
                </pic:pic>
              </a:graphicData>
            </a:graphic>
          </wp:anchor>
        </w:drawing>
      </w:r>
      <w:r>
        <w:rPr>
          <w:sz w:val="54"/>
        </w:rPr>
        <w:drawing>
          <wp:anchor distT="0" distB="0" distL="0" distR="0" allowOverlap="1" layoutInCell="1" locked="0" behindDoc="0" simplePos="0" relativeHeight="16030208">
            <wp:simplePos x="0" y="0"/>
            <wp:positionH relativeFrom="page">
              <wp:posOffset>11596623</wp:posOffset>
            </wp:positionH>
            <wp:positionV relativeFrom="paragraph">
              <wp:posOffset>330783</wp:posOffset>
            </wp:positionV>
            <wp:extent cx="1311661" cy="345815"/>
            <wp:effectExtent l="0" t="0" r="0" b="0"/>
            <wp:wrapNone/>
            <wp:docPr id="2023" name="Image 2023"/>
            <wp:cNvGraphicFramePr>
              <a:graphicFrameLocks/>
            </wp:cNvGraphicFramePr>
            <a:graphic>
              <a:graphicData uri="http://schemas.openxmlformats.org/drawingml/2006/picture">
                <pic:pic>
                  <pic:nvPicPr>
                    <pic:cNvPr id="2023" name="Image 2023"/>
                    <pic:cNvPicPr/>
                  </pic:nvPicPr>
                  <pic:blipFill>
                    <a:blip r:embed="rId260" cstate="print"/>
                    <a:stretch>
                      <a:fillRect/>
                    </a:stretch>
                  </pic:blipFill>
                  <pic:spPr>
                    <a:xfrm>
                      <a:off x="0" y="0"/>
                      <a:ext cx="1311661" cy="345815"/>
                    </a:xfrm>
                    <a:prstGeom prst="rect">
                      <a:avLst/>
                    </a:prstGeom>
                  </pic:spPr>
                </pic:pic>
              </a:graphicData>
            </a:graphic>
          </wp:anchor>
        </w:drawing>
      </w:r>
      <w:r>
        <w:rPr>
          <w:sz w:val="54"/>
        </w:rPr>
        <w:drawing>
          <wp:anchor distT="0" distB="0" distL="0" distR="0" allowOverlap="1" layoutInCell="1" locked="0" behindDoc="0" simplePos="0" relativeHeight="16030720">
            <wp:simplePos x="0" y="0"/>
            <wp:positionH relativeFrom="page">
              <wp:posOffset>13088996</wp:posOffset>
            </wp:positionH>
            <wp:positionV relativeFrom="paragraph">
              <wp:posOffset>323398</wp:posOffset>
            </wp:positionV>
            <wp:extent cx="1063929" cy="302976"/>
            <wp:effectExtent l="0" t="0" r="0" b="0"/>
            <wp:wrapNone/>
            <wp:docPr id="2024" name="Image 2024"/>
            <wp:cNvGraphicFramePr>
              <a:graphicFrameLocks/>
            </wp:cNvGraphicFramePr>
            <a:graphic>
              <a:graphicData uri="http://schemas.openxmlformats.org/drawingml/2006/picture">
                <pic:pic>
                  <pic:nvPicPr>
                    <pic:cNvPr id="2024" name="Image 2024"/>
                    <pic:cNvPicPr/>
                  </pic:nvPicPr>
                  <pic:blipFill>
                    <a:blip r:embed="rId261" cstate="print"/>
                    <a:stretch>
                      <a:fillRect/>
                    </a:stretch>
                  </pic:blipFill>
                  <pic:spPr>
                    <a:xfrm>
                      <a:off x="0" y="0"/>
                      <a:ext cx="1063929" cy="302976"/>
                    </a:xfrm>
                    <a:prstGeom prst="rect">
                      <a:avLst/>
                    </a:prstGeom>
                  </pic:spPr>
                </pic:pic>
              </a:graphicData>
            </a:graphic>
          </wp:anchor>
        </w:drawing>
      </w:r>
      <w:r>
        <w:rPr>
          <w:sz w:val="54"/>
        </w:rPr>
        <w:drawing>
          <wp:anchor distT="0" distB="0" distL="0" distR="0" allowOverlap="1" layoutInCell="1" locked="0" behindDoc="0" simplePos="0" relativeHeight="16031232">
            <wp:simplePos x="0" y="0"/>
            <wp:positionH relativeFrom="page">
              <wp:posOffset>11099800</wp:posOffset>
            </wp:positionH>
            <wp:positionV relativeFrom="paragraph">
              <wp:posOffset>279907</wp:posOffset>
            </wp:positionV>
            <wp:extent cx="330199" cy="393699"/>
            <wp:effectExtent l="0" t="0" r="0" b="0"/>
            <wp:wrapNone/>
            <wp:docPr id="2025" name="Image 2025"/>
            <wp:cNvGraphicFramePr>
              <a:graphicFrameLocks/>
            </wp:cNvGraphicFramePr>
            <a:graphic>
              <a:graphicData uri="http://schemas.openxmlformats.org/drawingml/2006/picture">
                <pic:pic>
                  <pic:nvPicPr>
                    <pic:cNvPr id="2025" name="Image 2025"/>
                    <pic:cNvPicPr/>
                  </pic:nvPicPr>
                  <pic:blipFill>
                    <a:blip r:embed="rId262" cstate="print"/>
                    <a:stretch>
                      <a:fillRect/>
                    </a:stretch>
                  </pic:blipFill>
                  <pic:spPr>
                    <a:xfrm>
                      <a:off x="0" y="0"/>
                      <a:ext cx="330199" cy="393699"/>
                    </a:xfrm>
                    <a:prstGeom prst="rect">
                      <a:avLst/>
                    </a:prstGeom>
                  </pic:spPr>
                </pic:pic>
              </a:graphicData>
            </a:graphic>
          </wp:anchor>
        </w:drawing>
      </w:r>
      <w:r>
        <w:rPr>
          <w:sz w:val="54"/>
        </w:rPr>
        <w:drawing>
          <wp:anchor distT="0" distB="0" distL="0" distR="0" allowOverlap="1" layoutInCell="1" locked="0" behindDoc="0" simplePos="0" relativeHeight="16031744">
            <wp:simplePos x="0" y="0"/>
            <wp:positionH relativeFrom="page">
              <wp:posOffset>9610343</wp:posOffset>
            </wp:positionH>
            <wp:positionV relativeFrom="paragraph">
              <wp:posOffset>374444</wp:posOffset>
            </wp:positionV>
            <wp:extent cx="1279782" cy="224523"/>
            <wp:effectExtent l="0" t="0" r="0" b="0"/>
            <wp:wrapNone/>
            <wp:docPr id="2026" name="Image 2026"/>
            <wp:cNvGraphicFramePr>
              <a:graphicFrameLocks/>
            </wp:cNvGraphicFramePr>
            <a:graphic>
              <a:graphicData uri="http://schemas.openxmlformats.org/drawingml/2006/picture">
                <pic:pic>
                  <pic:nvPicPr>
                    <pic:cNvPr id="2026" name="Image 2026"/>
                    <pic:cNvPicPr/>
                  </pic:nvPicPr>
                  <pic:blipFill>
                    <a:blip r:embed="rId263" cstate="print"/>
                    <a:stretch>
                      <a:fillRect/>
                    </a:stretch>
                  </pic:blipFill>
                  <pic:spPr>
                    <a:xfrm>
                      <a:off x="0" y="0"/>
                      <a:ext cx="1279782" cy="224523"/>
                    </a:xfrm>
                    <a:prstGeom prst="rect">
                      <a:avLst/>
                    </a:prstGeom>
                  </pic:spPr>
                </pic:pic>
              </a:graphicData>
            </a:graphic>
          </wp:anchor>
        </w:drawing>
      </w:r>
      <w:r>
        <w:rPr>
          <w:color w:val="636466"/>
          <w:sz w:val="54"/>
        </w:rPr>
        <w:t>Steuben</w:t>
      </w:r>
      <w:r>
        <w:rPr>
          <w:color w:val="636466"/>
          <w:spacing w:val="54"/>
          <w:sz w:val="54"/>
        </w:rPr>
        <w:t> </w:t>
      </w:r>
      <w:r>
        <w:rPr>
          <w:color w:val="636466"/>
          <w:sz w:val="54"/>
        </w:rPr>
        <w:t>County</w:t>
      </w:r>
      <w:r>
        <w:rPr>
          <w:color w:val="636466"/>
          <w:spacing w:val="55"/>
          <w:sz w:val="54"/>
        </w:rPr>
        <w:t> </w:t>
      </w:r>
      <w:r>
        <w:rPr>
          <w:color w:val="636466"/>
          <w:sz w:val="54"/>
        </w:rPr>
        <w:t>Appendix</w:t>
      </w:r>
      <w:r>
        <w:rPr>
          <w:color w:val="636466"/>
          <w:spacing w:val="54"/>
          <w:sz w:val="54"/>
        </w:rPr>
        <w:t> </w:t>
      </w:r>
      <w:r>
        <w:rPr>
          <w:color w:val="636466"/>
          <w:spacing w:val="-10"/>
          <w:sz w:val="54"/>
        </w:rPr>
        <w:t>F</w:t>
      </w:r>
    </w:p>
    <w:p>
      <w:pPr>
        <w:spacing w:before="236"/>
        <w:ind w:left="1089" w:right="0" w:firstLine="0"/>
        <w:jc w:val="left"/>
        <w:rPr>
          <w:b/>
          <w:sz w:val="32"/>
        </w:rPr>
      </w:pPr>
      <w:r>
        <w:rPr>
          <w:b/>
          <w:color w:val="82BF6A"/>
          <w:sz w:val="32"/>
        </w:rPr>
        <w:t>PRIORITY:</w:t>
      </w:r>
      <w:r>
        <w:rPr>
          <w:b/>
          <w:color w:val="82BF6A"/>
          <w:spacing w:val="-20"/>
          <w:sz w:val="32"/>
        </w:rPr>
        <w:t> </w:t>
      </w:r>
      <w:r>
        <w:rPr>
          <w:b/>
          <w:color w:val="82BF6A"/>
          <w:sz w:val="32"/>
        </w:rPr>
        <w:t>PROMOTE</w:t>
      </w:r>
      <w:r>
        <w:rPr>
          <w:b/>
          <w:color w:val="82BF6A"/>
          <w:spacing w:val="-19"/>
          <w:sz w:val="32"/>
        </w:rPr>
        <w:t> </w:t>
      </w:r>
      <w:r>
        <w:rPr>
          <w:b/>
          <w:color w:val="82BF6A"/>
          <w:sz w:val="32"/>
        </w:rPr>
        <w:t>HEALTHY</w:t>
      </w:r>
      <w:r>
        <w:rPr>
          <w:b/>
          <w:color w:val="82BF6A"/>
          <w:spacing w:val="-20"/>
          <w:sz w:val="32"/>
        </w:rPr>
        <w:t> </w:t>
      </w:r>
      <w:r>
        <w:rPr>
          <w:b/>
          <w:color w:val="82BF6A"/>
          <w:sz w:val="32"/>
        </w:rPr>
        <w:t>WOMEN,</w:t>
      </w:r>
      <w:r>
        <w:rPr>
          <w:b/>
          <w:color w:val="82BF6A"/>
          <w:spacing w:val="-19"/>
          <w:sz w:val="32"/>
        </w:rPr>
        <w:t> </w:t>
      </w:r>
      <w:r>
        <w:rPr>
          <w:b/>
          <w:color w:val="82BF6A"/>
          <w:sz w:val="32"/>
        </w:rPr>
        <w:t>INFANTS</w:t>
      </w:r>
      <w:r>
        <w:rPr>
          <w:b/>
          <w:color w:val="82BF6A"/>
          <w:spacing w:val="-19"/>
          <w:sz w:val="32"/>
        </w:rPr>
        <w:t> </w:t>
      </w:r>
      <w:r>
        <w:rPr>
          <w:b/>
          <w:color w:val="82BF6A"/>
          <w:sz w:val="32"/>
        </w:rPr>
        <w:t>AND</w:t>
      </w:r>
      <w:r>
        <w:rPr>
          <w:b/>
          <w:color w:val="82BF6A"/>
          <w:spacing w:val="-20"/>
          <w:sz w:val="32"/>
        </w:rPr>
        <w:t> </w:t>
      </w:r>
      <w:r>
        <w:rPr>
          <w:b/>
          <w:color w:val="82BF6A"/>
          <w:spacing w:val="-2"/>
          <w:sz w:val="32"/>
        </w:rPr>
        <w:t>CHILDREN</w:t>
      </w:r>
    </w:p>
    <w:p>
      <w:pPr>
        <w:pStyle w:val="BodyText"/>
        <w:spacing w:before="162"/>
        <w:rPr>
          <w:b/>
          <w:sz w:val="20"/>
        </w:rPr>
      </w:pPr>
    </w:p>
    <w:tbl>
      <w:tblPr>
        <w:tblW w:w="0" w:type="auto"/>
        <w:jc w:val="left"/>
        <w:tblInd w:w="1099"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1065"/>
        <w:gridCol w:w="1353"/>
        <w:gridCol w:w="1295"/>
        <w:gridCol w:w="1605"/>
        <w:gridCol w:w="1065"/>
        <w:gridCol w:w="1936"/>
        <w:gridCol w:w="6004"/>
        <w:gridCol w:w="2188"/>
        <w:gridCol w:w="2174"/>
        <w:gridCol w:w="1497"/>
        <w:gridCol w:w="2068"/>
      </w:tblGrid>
      <w:tr>
        <w:trPr>
          <w:trHeight w:val="930" w:hRule="atLeast"/>
        </w:trPr>
        <w:tc>
          <w:tcPr>
            <w:tcW w:w="1065" w:type="dxa"/>
            <w:tcBorders>
              <w:right w:val="single" w:sz="4" w:space="0" w:color="FFFFFF"/>
            </w:tcBorders>
            <w:shd w:val="clear" w:color="auto" w:fill="A7A9AC"/>
          </w:tcPr>
          <w:p>
            <w:pPr>
              <w:pStyle w:val="TableParagraph"/>
              <w:spacing w:before="179"/>
              <w:rPr>
                <w:b/>
                <w:sz w:val="18"/>
              </w:rPr>
            </w:pPr>
          </w:p>
          <w:p>
            <w:pPr>
              <w:pStyle w:val="TableParagraph"/>
              <w:ind w:left="79"/>
              <w:rPr>
                <w:b/>
                <w:sz w:val="18"/>
              </w:rPr>
            </w:pPr>
            <w:r>
              <w:rPr>
                <w:b/>
                <w:color w:val="FFFFFF"/>
                <w:spacing w:val="-2"/>
                <w:sz w:val="18"/>
              </w:rPr>
              <w:t>Priority</w:t>
            </w:r>
          </w:p>
        </w:tc>
        <w:tc>
          <w:tcPr>
            <w:tcW w:w="1353" w:type="dxa"/>
            <w:tcBorders>
              <w:left w:val="single" w:sz="4" w:space="0" w:color="FFFFFF"/>
              <w:right w:val="single" w:sz="4" w:space="0" w:color="FFFFFF"/>
            </w:tcBorders>
            <w:shd w:val="clear" w:color="auto" w:fill="A7A9AC"/>
          </w:tcPr>
          <w:p>
            <w:pPr>
              <w:pStyle w:val="TableParagraph"/>
              <w:spacing w:before="179"/>
              <w:rPr>
                <w:b/>
                <w:sz w:val="18"/>
              </w:rPr>
            </w:pPr>
          </w:p>
          <w:p>
            <w:pPr>
              <w:pStyle w:val="TableParagraph"/>
              <w:ind w:left="80"/>
              <w:rPr>
                <w:b/>
                <w:sz w:val="18"/>
              </w:rPr>
            </w:pPr>
            <w:r>
              <w:rPr>
                <w:b/>
                <w:color w:val="FFFFFF"/>
                <w:w w:val="90"/>
                <w:sz w:val="18"/>
              </w:rPr>
              <w:t>Focus</w:t>
            </w:r>
            <w:r>
              <w:rPr>
                <w:b/>
                <w:color w:val="FFFFFF"/>
                <w:spacing w:val="8"/>
                <w:sz w:val="18"/>
              </w:rPr>
              <w:t> </w:t>
            </w:r>
            <w:r>
              <w:rPr>
                <w:b/>
                <w:color w:val="FFFFFF"/>
                <w:spacing w:val="-4"/>
                <w:sz w:val="18"/>
              </w:rPr>
              <w:t>Area</w:t>
            </w:r>
          </w:p>
        </w:tc>
        <w:tc>
          <w:tcPr>
            <w:tcW w:w="1295" w:type="dxa"/>
            <w:tcBorders>
              <w:left w:val="single" w:sz="4" w:space="0" w:color="FFFFFF"/>
              <w:right w:val="single" w:sz="4" w:space="0" w:color="FFFFFF"/>
            </w:tcBorders>
            <w:shd w:val="clear" w:color="auto" w:fill="A7A9AC"/>
          </w:tcPr>
          <w:p>
            <w:pPr>
              <w:pStyle w:val="TableParagraph"/>
              <w:spacing w:before="84"/>
              <w:rPr>
                <w:b/>
                <w:sz w:val="18"/>
              </w:rPr>
            </w:pPr>
          </w:p>
          <w:p>
            <w:pPr>
              <w:pStyle w:val="TableParagraph"/>
              <w:spacing w:line="232" w:lineRule="auto"/>
              <w:ind w:left="80" w:right="265"/>
              <w:rPr>
                <w:b/>
                <w:sz w:val="18"/>
              </w:rPr>
            </w:pPr>
            <w:r>
              <w:rPr>
                <w:b/>
                <w:color w:val="FFFFFF"/>
                <w:spacing w:val="-6"/>
                <w:sz w:val="18"/>
              </w:rPr>
              <w:t>Goal</w:t>
            </w:r>
            <w:r>
              <w:rPr>
                <w:b/>
                <w:color w:val="FFFFFF"/>
                <w:spacing w:val="-7"/>
                <w:sz w:val="18"/>
              </w:rPr>
              <w:t> </w:t>
            </w:r>
            <w:r>
              <w:rPr>
                <w:b/>
                <w:color w:val="FFFFFF"/>
                <w:spacing w:val="-6"/>
                <w:sz w:val="18"/>
              </w:rPr>
              <w:t>Focus </w:t>
            </w:r>
            <w:r>
              <w:rPr>
                <w:b/>
                <w:color w:val="FFFFFF"/>
                <w:spacing w:val="-4"/>
                <w:sz w:val="18"/>
              </w:rPr>
              <w:t>Area</w:t>
            </w:r>
          </w:p>
        </w:tc>
        <w:tc>
          <w:tcPr>
            <w:tcW w:w="1605" w:type="dxa"/>
            <w:tcBorders>
              <w:left w:val="single" w:sz="4" w:space="0" w:color="FFFFFF"/>
              <w:right w:val="single" w:sz="4" w:space="0" w:color="FFFFFF"/>
            </w:tcBorders>
            <w:shd w:val="clear" w:color="auto" w:fill="A7A9AC"/>
          </w:tcPr>
          <w:p>
            <w:pPr>
              <w:pStyle w:val="TableParagraph"/>
              <w:spacing w:before="179"/>
              <w:rPr>
                <w:b/>
                <w:sz w:val="18"/>
              </w:rPr>
            </w:pPr>
          </w:p>
          <w:p>
            <w:pPr>
              <w:pStyle w:val="TableParagraph"/>
              <w:ind w:left="81"/>
              <w:rPr>
                <w:b/>
                <w:sz w:val="18"/>
              </w:rPr>
            </w:pPr>
            <w:r>
              <w:rPr>
                <w:b/>
                <w:color w:val="FFFFFF"/>
                <w:spacing w:val="-2"/>
                <w:sz w:val="18"/>
              </w:rPr>
              <w:t>Objectives</w:t>
            </w:r>
          </w:p>
        </w:tc>
        <w:tc>
          <w:tcPr>
            <w:tcW w:w="1065" w:type="dxa"/>
            <w:tcBorders>
              <w:left w:val="single" w:sz="4" w:space="0" w:color="FFFFFF"/>
              <w:right w:val="single" w:sz="4" w:space="0" w:color="FFFFFF"/>
            </w:tcBorders>
            <w:shd w:val="clear" w:color="auto" w:fill="A7A9AC"/>
          </w:tcPr>
          <w:p>
            <w:pPr>
              <w:pStyle w:val="TableParagraph"/>
              <w:spacing w:before="179"/>
              <w:rPr>
                <w:b/>
                <w:sz w:val="18"/>
              </w:rPr>
            </w:pPr>
          </w:p>
          <w:p>
            <w:pPr>
              <w:pStyle w:val="TableParagraph"/>
              <w:ind w:left="82"/>
              <w:rPr>
                <w:b/>
                <w:sz w:val="18"/>
              </w:rPr>
            </w:pPr>
            <w:r>
              <w:rPr>
                <w:b/>
                <w:color w:val="FFFFFF"/>
                <w:spacing w:val="-2"/>
                <w:sz w:val="18"/>
              </w:rPr>
              <w:t>Disparities</w:t>
            </w:r>
          </w:p>
        </w:tc>
        <w:tc>
          <w:tcPr>
            <w:tcW w:w="1936" w:type="dxa"/>
            <w:tcBorders>
              <w:left w:val="single" w:sz="4" w:space="0" w:color="FFFFFF"/>
              <w:right w:val="single" w:sz="4" w:space="0" w:color="FFFFFF"/>
            </w:tcBorders>
            <w:shd w:val="clear" w:color="auto" w:fill="A7A9AC"/>
          </w:tcPr>
          <w:p>
            <w:pPr>
              <w:pStyle w:val="TableParagraph"/>
              <w:spacing w:before="179"/>
              <w:rPr>
                <w:b/>
                <w:sz w:val="18"/>
              </w:rPr>
            </w:pPr>
          </w:p>
          <w:p>
            <w:pPr>
              <w:pStyle w:val="TableParagraph"/>
              <w:ind w:left="83"/>
              <w:rPr>
                <w:b/>
                <w:sz w:val="18"/>
              </w:rPr>
            </w:pPr>
            <w:r>
              <w:rPr>
                <w:b/>
                <w:color w:val="FFFFFF"/>
                <w:spacing w:val="-2"/>
                <w:sz w:val="18"/>
              </w:rPr>
              <w:t>Interventions</w:t>
            </w:r>
          </w:p>
        </w:tc>
        <w:tc>
          <w:tcPr>
            <w:tcW w:w="6004" w:type="dxa"/>
            <w:tcBorders>
              <w:left w:val="single" w:sz="4" w:space="0" w:color="FFFFFF"/>
              <w:right w:val="single" w:sz="4" w:space="0" w:color="FFFFFF"/>
            </w:tcBorders>
            <w:shd w:val="clear" w:color="auto" w:fill="A7A9AC"/>
          </w:tcPr>
          <w:p>
            <w:pPr>
              <w:pStyle w:val="TableParagraph"/>
              <w:spacing w:line="203" w:lineRule="exact" w:before="186"/>
              <w:ind w:left="3906"/>
              <w:rPr>
                <w:b/>
                <w:sz w:val="18"/>
              </w:rPr>
            </w:pPr>
            <w:r>
              <w:rPr>
                <w:b/>
                <w:color w:val="FFFFFF"/>
                <w:sz w:val="18"/>
              </w:rPr>
              <w:t>Projected</w:t>
            </w:r>
            <w:r>
              <w:rPr>
                <w:b/>
                <w:color w:val="FFFFFF"/>
                <w:spacing w:val="-13"/>
                <w:sz w:val="18"/>
              </w:rPr>
              <w:t> </w:t>
            </w:r>
            <w:r>
              <w:rPr>
                <w:b/>
                <w:color w:val="FFFFFF"/>
                <w:spacing w:val="-5"/>
                <w:sz w:val="18"/>
              </w:rPr>
              <w:t>(or</w:t>
            </w:r>
          </w:p>
          <w:p>
            <w:pPr>
              <w:pStyle w:val="TableParagraph"/>
              <w:tabs>
                <w:tab w:pos="3906" w:val="left" w:leader="none"/>
              </w:tabs>
              <w:spacing w:line="200" w:lineRule="exact"/>
              <w:ind w:left="93"/>
              <w:rPr>
                <w:b/>
                <w:sz w:val="18"/>
              </w:rPr>
            </w:pPr>
            <w:r>
              <w:rPr>
                <w:b/>
                <w:color w:val="FFFFFF"/>
                <w:sz w:val="18"/>
              </w:rPr>
              <w:t>Family</w:t>
            </w:r>
            <w:r>
              <w:rPr>
                <w:b/>
                <w:color w:val="FFFFFF"/>
                <w:spacing w:val="-11"/>
                <w:sz w:val="18"/>
              </w:rPr>
              <w:t> </w:t>
            </w:r>
            <w:r>
              <w:rPr>
                <w:b/>
                <w:color w:val="FFFFFF"/>
                <w:sz w:val="18"/>
              </w:rPr>
              <w:t>of</w:t>
            </w:r>
            <w:r>
              <w:rPr>
                <w:b/>
                <w:color w:val="FFFFFF"/>
                <w:spacing w:val="-10"/>
                <w:sz w:val="18"/>
              </w:rPr>
              <w:t> </w:t>
            </w:r>
            <w:r>
              <w:rPr>
                <w:b/>
                <w:color w:val="FFFFFF"/>
                <w:spacing w:val="-2"/>
                <w:sz w:val="18"/>
              </w:rPr>
              <w:t>Measures</w:t>
            </w:r>
            <w:r>
              <w:rPr>
                <w:b/>
                <w:color w:val="FFFFFF"/>
                <w:sz w:val="18"/>
              </w:rPr>
              <w:tab/>
            </w:r>
            <w:r>
              <w:rPr>
                <w:b/>
                <w:color w:val="FFFFFF"/>
                <w:spacing w:val="-2"/>
                <w:sz w:val="18"/>
              </w:rPr>
              <w:t>completed)</w:t>
            </w:r>
          </w:p>
          <w:p>
            <w:pPr>
              <w:pStyle w:val="TableParagraph"/>
              <w:spacing w:line="203" w:lineRule="exact"/>
              <w:ind w:left="3906"/>
              <w:rPr>
                <w:b/>
                <w:sz w:val="18"/>
              </w:rPr>
            </w:pPr>
            <w:r>
              <w:rPr>
                <w:b/>
                <w:color w:val="FFFFFF"/>
                <w:sz w:val="18"/>
              </w:rPr>
              <w:t>Year</w:t>
            </w:r>
            <w:r>
              <w:rPr>
                <w:b/>
                <w:color w:val="FFFFFF"/>
                <w:spacing w:val="-8"/>
                <w:sz w:val="18"/>
              </w:rPr>
              <w:t> </w:t>
            </w:r>
            <w:r>
              <w:rPr>
                <w:b/>
                <w:color w:val="FFFFFF"/>
                <w:sz w:val="18"/>
              </w:rPr>
              <w:t>1</w:t>
            </w:r>
            <w:r>
              <w:rPr>
                <w:b/>
                <w:color w:val="FFFFFF"/>
                <w:spacing w:val="-7"/>
                <w:sz w:val="18"/>
              </w:rPr>
              <w:t> </w:t>
            </w:r>
            <w:r>
              <w:rPr>
                <w:b/>
                <w:color w:val="FFFFFF"/>
                <w:spacing w:val="-2"/>
                <w:sz w:val="18"/>
              </w:rPr>
              <w:t>Intervention</w:t>
            </w:r>
          </w:p>
        </w:tc>
        <w:tc>
          <w:tcPr>
            <w:tcW w:w="2188" w:type="dxa"/>
            <w:tcBorders>
              <w:left w:val="single" w:sz="4" w:space="0" w:color="FFFFFF"/>
              <w:right w:val="single" w:sz="4" w:space="0" w:color="FFFFFF"/>
            </w:tcBorders>
            <w:shd w:val="clear" w:color="auto" w:fill="A7A9AC"/>
          </w:tcPr>
          <w:p>
            <w:pPr>
              <w:pStyle w:val="TableParagraph"/>
              <w:spacing w:before="179"/>
              <w:rPr>
                <w:b/>
                <w:sz w:val="18"/>
              </w:rPr>
            </w:pPr>
          </w:p>
          <w:p>
            <w:pPr>
              <w:pStyle w:val="TableParagraph"/>
              <w:ind w:left="84"/>
              <w:rPr>
                <w:b/>
                <w:sz w:val="18"/>
              </w:rPr>
            </w:pPr>
            <w:r>
              <w:rPr>
                <w:b/>
                <w:color w:val="FFFFFF"/>
                <w:spacing w:val="-2"/>
                <w:sz w:val="18"/>
              </w:rPr>
              <w:t>Projected</w:t>
            </w:r>
            <w:r>
              <w:rPr>
                <w:b/>
                <w:color w:val="FFFFFF"/>
                <w:spacing w:val="-6"/>
                <w:sz w:val="18"/>
              </w:rPr>
              <w:t> </w:t>
            </w:r>
            <w:r>
              <w:rPr>
                <w:b/>
                <w:color w:val="FFFFFF"/>
                <w:spacing w:val="-2"/>
                <w:sz w:val="18"/>
              </w:rPr>
              <w:t>Year</w:t>
            </w:r>
            <w:r>
              <w:rPr>
                <w:b/>
                <w:color w:val="FFFFFF"/>
                <w:spacing w:val="-5"/>
                <w:sz w:val="18"/>
              </w:rPr>
              <w:t> </w:t>
            </w:r>
            <w:r>
              <w:rPr>
                <w:b/>
                <w:color w:val="FFFFFF"/>
                <w:spacing w:val="-12"/>
                <w:sz w:val="18"/>
              </w:rPr>
              <w:t>2</w:t>
            </w:r>
          </w:p>
        </w:tc>
        <w:tc>
          <w:tcPr>
            <w:tcW w:w="2174" w:type="dxa"/>
            <w:tcBorders>
              <w:left w:val="single" w:sz="4" w:space="0" w:color="FFFFFF"/>
              <w:right w:val="single" w:sz="4" w:space="0" w:color="FFFFFF"/>
            </w:tcBorders>
            <w:shd w:val="clear" w:color="auto" w:fill="A7A9AC"/>
          </w:tcPr>
          <w:p>
            <w:pPr>
              <w:pStyle w:val="TableParagraph"/>
              <w:spacing w:before="83"/>
              <w:rPr>
                <w:b/>
                <w:sz w:val="18"/>
              </w:rPr>
            </w:pPr>
          </w:p>
          <w:p>
            <w:pPr>
              <w:pStyle w:val="TableParagraph"/>
              <w:spacing w:line="232" w:lineRule="auto" w:before="1"/>
              <w:ind w:left="85" w:right="79"/>
              <w:rPr>
                <w:b/>
                <w:sz w:val="18"/>
              </w:rPr>
            </w:pPr>
            <w:r>
              <w:rPr>
                <w:b/>
                <w:color w:val="FFFFFF"/>
                <w:spacing w:val="-2"/>
                <w:sz w:val="18"/>
              </w:rPr>
              <w:t>Projected</w:t>
            </w:r>
            <w:r>
              <w:rPr>
                <w:b/>
                <w:color w:val="FFFFFF"/>
                <w:spacing w:val="-13"/>
                <w:sz w:val="18"/>
              </w:rPr>
              <w:t> </w:t>
            </w:r>
            <w:r>
              <w:rPr>
                <w:b/>
                <w:color w:val="FFFFFF"/>
                <w:spacing w:val="-2"/>
                <w:sz w:val="18"/>
              </w:rPr>
              <w:t>Year</w:t>
            </w:r>
            <w:r>
              <w:rPr>
                <w:b/>
                <w:color w:val="FFFFFF"/>
                <w:spacing w:val="-10"/>
                <w:sz w:val="18"/>
              </w:rPr>
              <w:t> </w:t>
            </w:r>
            <w:r>
              <w:rPr>
                <w:b/>
                <w:color w:val="FFFFFF"/>
                <w:spacing w:val="-2"/>
                <w:sz w:val="18"/>
              </w:rPr>
              <w:t>3 Interventions</w:t>
            </w:r>
          </w:p>
        </w:tc>
        <w:tc>
          <w:tcPr>
            <w:tcW w:w="1497" w:type="dxa"/>
            <w:tcBorders>
              <w:left w:val="single" w:sz="4" w:space="0" w:color="FFFFFF"/>
            </w:tcBorders>
            <w:shd w:val="clear" w:color="auto" w:fill="A7A9AC"/>
          </w:tcPr>
          <w:p>
            <w:pPr>
              <w:pStyle w:val="TableParagraph"/>
              <w:spacing w:before="83"/>
              <w:rPr>
                <w:b/>
                <w:sz w:val="18"/>
              </w:rPr>
            </w:pPr>
          </w:p>
          <w:p>
            <w:pPr>
              <w:pStyle w:val="TableParagraph"/>
              <w:spacing w:line="232" w:lineRule="auto" w:before="1"/>
              <w:ind w:left="85"/>
              <w:rPr>
                <w:b/>
                <w:sz w:val="18"/>
              </w:rPr>
            </w:pPr>
            <w:r>
              <w:rPr>
                <w:b/>
                <w:color w:val="FFFFFF"/>
                <w:spacing w:val="-2"/>
                <w:sz w:val="18"/>
              </w:rPr>
              <w:t>Implementation Partner</w:t>
            </w:r>
          </w:p>
        </w:tc>
        <w:tc>
          <w:tcPr>
            <w:tcW w:w="2068" w:type="dxa"/>
            <w:shd w:val="clear" w:color="auto" w:fill="A7A9AC"/>
          </w:tcPr>
          <w:p>
            <w:pPr>
              <w:pStyle w:val="TableParagraph"/>
              <w:spacing w:before="83"/>
              <w:rPr>
                <w:b/>
                <w:sz w:val="18"/>
              </w:rPr>
            </w:pPr>
          </w:p>
          <w:p>
            <w:pPr>
              <w:pStyle w:val="TableParagraph"/>
              <w:spacing w:line="232" w:lineRule="auto" w:before="1"/>
              <w:ind w:left="86" w:right="236"/>
              <w:rPr>
                <w:b/>
                <w:sz w:val="18"/>
              </w:rPr>
            </w:pPr>
            <w:r>
              <w:rPr>
                <w:b/>
                <w:color w:val="FFFFFF"/>
                <w:spacing w:val="-4"/>
                <w:sz w:val="18"/>
              </w:rPr>
              <w:t>Partner</w:t>
            </w:r>
            <w:r>
              <w:rPr>
                <w:b/>
                <w:color w:val="FFFFFF"/>
                <w:spacing w:val="-11"/>
                <w:sz w:val="18"/>
              </w:rPr>
              <w:t> </w:t>
            </w:r>
            <w:r>
              <w:rPr>
                <w:b/>
                <w:color w:val="FFFFFF"/>
                <w:spacing w:val="-4"/>
                <w:sz w:val="18"/>
              </w:rPr>
              <w:t>Role(s)</w:t>
            </w:r>
            <w:r>
              <w:rPr>
                <w:b/>
                <w:color w:val="FFFFFF"/>
                <w:spacing w:val="-8"/>
                <w:sz w:val="18"/>
              </w:rPr>
              <w:t> </w:t>
            </w:r>
            <w:r>
              <w:rPr>
                <w:b/>
                <w:color w:val="FFFFFF"/>
                <w:spacing w:val="-4"/>
                <w:sz w:val="18"/>
              </w:rPr>
              <w:t>and </w:t>
            </w:r>
            <w:r>
              <w:rPr>
                <w:b/>
                <w:color w:val="FFFFFF"/>
                <w:spacing w:val="-2"/>
                <w:sz w:val="18"/>
              </w:rPr>
              <w:t>Resources</w:t>
            </w:r>
          </w:p>
        </w:tc>
      </w:tr>
      <w:tr>
        <w:trPr>
          <w:trHeight w:val="7297" w:hRule="atLeast"/>
        </w:trPr>
        <w:tc>
          <w:tcPr>
            <w:tcW w:w="1065" w:type="dxa"/>
            <w:shd w:val="clear" w:color="auto" w:fill="E6E7E8"/>
          </w:tcPr>
          <w:p>
            <w:pPr>
              <w:pStyle w:val="TableParagraph"/>
              <w:spacing w:line="232" w:lineRule="auto" w:before="101"/>
              <w:ind w:left="89" w:right="171"/>
              <w:rPr>
                <w:sz w:val="18"/>
              </w:rPr>
            </w:pPr>
            <w:r>
              <w:rPr>
                <w:color w:val="105C84"/>
                <w:spacing w:val="-2"/>
                <w:sz w:val="18"/>
              </w:rPr>
              <w:t>Promote Healthy Women, Infants </w:t>
            </w:r>
            <w:r>
              <w:rPr>
                <w:color w:val="105C84"/>
                <w:spacing w:val="-4"/>
                <w:sz w:val="18"/>
              </w:rPr>
              <w:t>and </w:t>
            </w:r>
            <w:r>
              <w:rPr>
                <w:color w:val="105C84"/>
                <w:spacing w:val="-2"/>
                <w:sz w:val="18"/>
              </w:rPr>
              <w:t>Children</w:t>
            </w:r>
          </w:p>
        </w:tc>
        <w:tc>
          <w:tcPr>
            <w:tcW w:w="1353" w:type="dxa"/>
          </w:tcPr>
          <w:p>
            <w:pPr>
              <w:pStyle w:val="TableParagraph"/>
              <w:spacing w:line="232" w:lineRule="auto" w:before="101"/>
              <w:ind w:left="90" w:right="202"/>
              <w:rPr>
                <w:sz w:val="18"/>
              </w:rPr>
            </w:pPr>
            <w:r>
              <w:rPr>
                <w:color w:val="105C84"/>
                <w:sz w:val="18"/>
              </w:rPr>
              <w:t>Focus Area 3: Child and </w:t>
            </w:r>
            <w:r>
              <w:rPr>
                <w:color w:val="105C84"/>
                <w:spacing w:val="-2"/>
                <w:sz w:val="18"/>
              </w:rPr>
              <w:t>Adolescent Health, including </w:t>
            </w:r>
            <w:r>
              <w:rPr>
                <w:color w:val="105C84"/>
                <w:sz w:val="18"/>
              </w:rPr>
              <w:t>children</w:t>
            </w:r>
            <w:r>
              <w:rPr>
                <w:color w:val="105C84"/>
                <w:spacing w:val="-13"/>
                <w:sz w:val="18"/>
              </w:rPr>
              <w:t> </w:t>
            </w:r>
            <w:r>
              <w:rPr>
                <w:color w:val="105C84"/>
                <w:sz w:val="18"/>
              </w:rPr>
              <w:t>with</w:t>
            </w:r>
          </w:p>
          <w:p>
            <w:pPr>
              <w:pStyle w:val="TableParagraph"/>
              <w:spacing w:line="232" w:lineRule="auto"/>
              <w:ind w:left="90" w:right="145"/>
              <w:rPr>
                <w:sz w:val="18"/>
              </w:rPr>
            </w:pPr>
            <w:r>
              <w:rPr>
                <w:color w:val="105C84"/>
                <w:sz w:val="18"/>
              </w:rPr>
              <w:t>special</w:t>
            </w:r>
            <w:r>
              <w:rPr>
                <w:color w:val="105C84"/>
                <w:spacing w:val="-13"/>
                <w:sz w:val="18"/>
              </w:rPr>
              <w:t> </w:t>
            </w:r>
            <w:r>
              <w:rPr>
                <w:color w:val="105C84"/>
                <w:sz w:val="18"/>
              </w:rPr>
              <w:t>health care needs </w:t>
            </w:r>
            <w:r>
              <w:rPr>
                <w:color w:val="105C84"/>
                <w:spacing w:val="-2"/>
                <w:sz w:val="18"/>
              </w:rPr>
              <w:t>(CSHCN)</w:t>
            </w:r>
          </w:p>
        </w:tc>
        <w:tc>
          <w:tcPr>
            <w:tcW w:w="1295" w:type="dxa"/>
          </w:tcPr>
          <w:p>
            <w:pPr>
              <w:pStyle w:val="TableParagraph"/>
              <w:spacing w:line="232" w:lineRule="auto" w:before="100"/>
              <w:ind w:left="90" w:right="125"/>
              <w:rPr>
                <w:sz w:val="18"/>
              </w:rPr>
            </w:pPr>
            <w:r>
              <w:rPr>
                <w:color w:val="105C84"/>
                <w:sz w:val="18"/>
              </w:rPr>
              <w:t>Goal 3.1: Support and </w:t>
            </w:r>
            <w:r>
              <w:rPr>
                <w:color w:val="105C84"/>
                <w:spacing w:val="-2"/>
                <w:sz w:val="18"/>
              </w:rPr>
              <w:t>enhance </w:t>
            </w:r>
            <w:r>
              <w:rPr>
                <w:color w:val="105C84"/>
                <w:sz w:val="18"/>
              </w:rPr>
              <w:t>children and </w:t>
            </w:r>
            <w:r>
              <w:rPr>
                <w:color w:val="105C84"/>
                <w:spacing w:val="-2"/>
                <w:sz w:val="18"/>
              </w:rPr>
              <w:t>adolscents' social-emotional development </w:t>
            </w:r>
            <w:r>
              <w:rPr>
                <w:color w:val="105C84"/>
                <w:spacing w:val="-4"/>
                <w:sz w:val="18"/>
              </w:rPr>
              <w:t>and </w:t>
            </w:r>
            <w:r>
              <w:rPr>
                <w:color w:val="105C84"/>
                <w:spacing w:val="-2"/>
                <w:sz w:val="18"/>
              </w:rPr>
              <w:t>relationships</w:t>
            </w:r>
          </w:p>
        </w:tc>
        <w:tc>
          <w:tcPr>
            <w:tcW w:w="1605" w:type="dxa"/>
          </w:tcPr>
          <w:p>
            <w:pPr>
              <w:pStyle w:val="TableParagraph"/>
              <w:spacing w:line="232" w:lineRule="auto" w:before="100"/>
              <w:ind w:left="91" w:right="203"/>
              <w:rPr>
                <w:sz w:val="18"/>
              </w:rPr>
            </w:pPr>
            <w:r>
              <w:rPr>
                <w:color w:val="105C84"/>
                <w:sz w:val="18"/>
              </w:rPr>
              <w:t>3.1.2: Increase the percentage of children and </w:t>
            </w:r>
            <w:r>
              <w:rPr>
                <w:color w:val="105C84"/>
                <w:spacing w:val="-2"/>
                <w:sz w:val="18"/>
              </w:rPr>
              <w:t>adolescents,</w:t>
            </w:r>
            <w:r>
              <w:rPr>
                <w:color w:val="105C84"/>
                <w:spacing w:val="40"/>
                <w:sz w:val="18"/>
              </w:rPr>
              <w:t> </w:t>
            </w:r>
            <w:r>
              <w:rPr>
                <w:color w:val="105C84"/>
                <w:sz w:val="18"/>
              </w:rPr>
              <w:t>age 3-17 years, with a mental/ </w:t>
            </w:r>
            <w:r>
              <w:rPr>
                <w:color w:val="105C84"/>
                <w:spacing w:val="-2"/>
                <w:sz w:val="18"/>
              </w:rPr>
              <w:t>behavioral </w:t>
            </w:r>
            <w:r>
              <w:rPr>
                <w:color w:val="105C84"/>
                <w:sz w:val="18"/>
              </w:rPr>
              <w:t>health </w:t>
            </w:r>
            <w:r>
              <w:rPr>
                <w:color w:val="105C84"/>
                <w:sz w:val="18"/>
              </w:rPr>
              <w:t>condition</w:t>
            </w:r>
            <w:r>
              <w:rPr>
                <w:color w:val="105C84"/>
                <w:sz w:val="18"/>
              </w:rPr>
              <w:t> who received treatment or counseling by 10% to 49.8%</w:t>
            </w:r>
          </w:p>
        </w:tc>
        <w:tc>
          <w:tcPr>
            <w:tcW w:w="1065" w:type="dxa"/>
          </w:tcPr>
          <w:p>
            <w:pPr>
              <w:pStyle w:val="TableParagraph"/>
              <w:spacing w:line="203" w:lineRule="exact" w:before="95"/>
              <w:ind w:left="92"/>
              <w:rPr>
                <w:sz w:val="18"/>
              </w:rPr>
            </w:pPr>
            <w:r>
              <w:rPr>
                <w:color w:val="105C84"/>
                <w:sz w:val="18"/>
              </w:rPr>
              <w:t>Low</w:t>
            </w:r>
            <w:r>
              <w:rPr>
                <w:color w:val="105C84"/>
                <w:spacing w:val="-11"/>
                <w:sz w:val="18"/>
              </w:rPr>
              <w:t> </w:t>
            </w:r>
            <w:r>
              <w:rPr>
                <w:color w:val="105C84"/>
                <w:spacing w:val="-4"/>
                <w:sz w:val="18"/>
              </w:rPr>
              <w:t>SES,</w:t>
            </w:r>
          </w:p>
          <w:p>
            <w:pPr>
              <w:pStyle w:val="TableParagraph"/>
              <w:spacing w:line="232" w:lineRule="auto" w:before="2"/>
              <w:ind w:left="92" w:right="75"/>
              <w:rPr>
                <w:sz w:val="18"/>
              </w:rPr>
            </w:pPr>
            <w:r>
              <w:rPr>
                <w:color w:val="105C84"/>
                <w:spacing w:val="-2"/>
                <w:sz w:val="18"/>
              </w:rPr>
              <w:t>pregnant </w:t>
            </w:r>
            <w:r>
              <w:rPr>
                <w:color w:val="105C84"/>
                <w:spacing w:val="-4"/>
                <w:sz w:val="18"/>
              </w:rPr>
              <w:t>and </w:t>
            </w:r>
            <w:r>
              <w:rPr>
                <w:color w:val="105C84"/>
                <w:spacing w:val="-2"/>
                <w:sz w:val="18"/>
              </w:rPr>
              <w:t>parenting </w:t>
            </w:r>
            <w:r>
              <w:rPr>
                <w:color w:val="105C84"/>
                <w:sz w:val="18"/>
              </w:rPr>
              <w:t>teens,</w:t>
            </w:r>
            <w:r>
              <w:rPr>
                <w:color w:val="105C84"/>
                <w:spacing w:val="-13"/>
                <w:sz w:val="18"/>
              </w:rPr>
              <w:t> </w:t>
            </w:r>
            <w:r>
              <w:rPr>
                <w:color w:val="105C84"/>
                <w:sz w:val="18"/>
              </w:rPr>
              <w:t>dual </w:t>
            </w:r>
            <w:r>
              <w:rPr>
                <w:color w:val="105C84"/>
                <w:spacing w:val="-2"/>
                <w:sz w:val="18"/>
              </w:rPr>
              <w:t>diagnosed pregnant/ parenting mothers</w:t>
            </w:r>
          </w:p>
        </w:tc>
        <w:tc>
          <w:tcPr>
            <w:tcW w:w="1936" w:type="dxa"/>
          </w:tcPr>
          <w:p>
            <w:pPr>
              <w:pStyle w:val="TableParagraph"/>
              <w:spacing w:line="232" w:lineRule="auto" w:before="100"/>
              <w:ind w:left="92" w:right="133"/>
              <w:rPr>
                <w:sz w:val="18"/>
              </w:rPr>
            </w:pPr>
            <w:r>
              <w:rPr>
                <w:color w:val="105C84"/>
                <w:sz w:val="18"/>
              </w:rPr>
              <w:t>3.1.2: Identify and integrate evidence-based and evidence-informed strategies</w:t>
            </w:r>
            <w:r>
              <w:rPr>
                <w:color w:val="105C84"/>
                <w:spacing w:val="40"/>
                <w:sz w:val="18"/>
              </w:rPr>
              <w:t> </w:t>
            </w:r>
            <w:r>
              <w:rPr>
                <w:color w:val="105C84"/>
                <w:sz w:val="18"/>
              </w:rPr>
              <w:t>to promote social-emotional wellness through public </w:t>
            </w:r>
            <w:r>
              <w:rPr>
                <w:color w:val="105C84"/>
                <w:sz w:val="18"/>
              </w:rPr>
              <w:t>healt</w:t>
            </w:r>
            <w:r>
              <w:rPr>
                <w:color w:val="105C84"/>
                <w:sz w:val="18"/>
              </w:rPr>
              <w:t>h</w:t>
            </w:r>
            <w:r>
              <w:rPr>
                <w:color w:val="105C84"/>
                <w:sz w:val="18"/>
              </w:rPr>
              <w:t> programs serving children, youth, and </w:t>
            </w:r>
            <w:r>
              <w:rPr>
                <w:color w:val="105C84"/>
                <w:spacing w:val="-2"/>
                <w:sz w:val="18"/>
              </w:rPr>
              <w:t>families</w:t>
            </w:r>
          </w:p>
        </w:tc>
        <w:tc>
          <w:tcPr>
            <w:tcW w:w="6004" w:type="dxa"/>
          </w:tcPr>
          <w:p>
            <w:pPr>
              <w:pStyle w:val="TableParagraph"/>
              <w:tabs>
                <w:tab w:pos="3906" w:val="left" w:leader="none"/>
              </w:tabs>
              <w:spacing w:line="203" w:lineRule="exact" w:before="95"/>
              <w:ind w:left="93"/>
              <w:rPr>
                <w:sz w:val="18"/>
              </w:rPr>
            </w:pPr>
            <w:r>
              <w:rPr>
                <w:color w:val="105C84"/>
                <w:spacing w:val="-2"/>
                <w:sz w:val="18"/>
              </w:rPr>
              <w:t>#</w:t>
            </w:r>
            <w:r>
              <w:rPr>
                <w:color w:val="105C84"/>
                <w:spacing w:val="-9"/>
                <w:sz w:val="18"/>
              </w:rPr>
              <w:t> </w:t>
            </w:r>
            <w:r>
              <w:rPr>
                <w:color w:val="105C84"/>
                <w:spacing w:val="-2"/>
                <w:sz w:val="18"/>
              </w:rPr>
              <w:t>of</w:t>
            </w:r>
            <w:r>
              <w:rPr>
                <w:color w:val="105C84"/>
                <w:spacing w:val="-9"/>
                <w:sz w:val="18"/>
              </w:rPr>
              <w:t> </w:t>
            </w:r>
            <w:r>
              <w:rPr>
                <w:color w:val="105C84"/>
                <w:spacing w:val="-2"/>
                <w:sz w:val="18"/>
              </w:rPr>
              <w:t>Real</w:t>
            </w:r>
            <w:r>
              <w:rPr>
                <w:color w:val="105C84"/>
                <w:spacing w:val="-8"/>
                <w:sz w:val="18"/>
              </w:rPr>
              <w:t> </w:t>
            </w:r>
            <w:r>
              <w:rPr>
                <w:color w:val="105C84"/>
                <w:spacing w:val="-2"/>
                <w:sz w:val="18"/>
              </w:rPr>
              <w:t>Essentials</w:t>
            </w:r>
            <w:r>
              <w:rPr>
                <w:color w:val="105C84"/>
                <w:sz w:val="18"/>
              </w:rPr>
              <w:tab/>
            </w:r>
            <w:r>
              <w:rPr>
                <w:color w:val="105C84"/>
                <w:spacing w:val="-5"/>
                <w:sz w:val="18"/>
              </w:rPr>
              <w:t>Pregnancy</w:t>
            </w:r>
            <w:r>
              <w:rPr>
                <w:color w:val="105C84"/>
                <w:spacing w:val="5"/>
                <w:sz w:val="18"/>
              </w:rPr>
              <w:t> </w:t>
            </w:r>
            <w:r>
              <w:rPr>
                <w:color w:val="105C84"/>
                <w:spacing w:val="-2"/>
                <w:sz w:val="18"/>
              </w:rPr>
              <w:t>Resource</w:t>
            </w:r>
          </w:p>
          <w:p>
            <w:pPr>
              <w:pStyle w:val="TableParagraph"/>
              <w:tabs>
                <w:tab w:pos="3906" w:val="left" w:leader="none"/>
              </w:tabs>
              <w:spacing w:line="200" w:lineRule="exact"/>
              <w:ind w:left="93"/>
              <w:rPr>
                <w:sz w:val="18"/>
              </w:rPr>
            </w:pPr>
            <w:r>
              <w:rPr>
                <w:color w:val="105C84"/>
                <w:sz w:val="18"/>
              </w:rPr>
              <w:t>participants</w:t>
            </w:r>
            <w:r>
              <w:rPr>
                <w:color w:val="105C84"/>
                <w:spacing w:val="8"/>
                <w:sz w:val="18"/>
              </w:rPr>
              <w:t> </w:t>
            </w:r>
            <w:r>
              <w:rPr>
                <w:color w:val="105C84"/>
                <w:spacing w:val="-2"/>
                <w:sz w:val="18"/>
              </w:rPr>
              <w:t>identified</w:t>
            </w:r>
            <w:r>
              <w:rPr>
                <w:color w:val="105C84"/>
                <w:sz w:val="18"/>
              </w:rPr>
              <w:tab/>
              <w:t>Center</w:t>
            </w:r>
            <w:r>
              <w:rPr>
                <w:color w:val="105C84"/>
                <w:spacing w:val="3"/>
                <w:sz w:val="18"/>
              </w:rPr>
              <w:t> </w:t>
            </w:r>
            <w:r>
              <w:rPr>
                <w:color w:val="105C84"/>
                <w:sz w:val="18"/>
              </w:rPr>
              <w:t>of</w:t>
            </w:r>
            <w:r>
              <w:rPr>
                <w:color w:val="105C84"/>
                <w:spacing w:val="3"/>
                <w:sz w:val="18"/>
              </w:rPr>
              <w:t> </w:t>
            </w:r>
            <w:r>
              <w:rPr>
                <w:color w:val="105C84"/>
                <w:sz w:val="18"/>
              </w:rPr>
              <w:t>the</w:t>
            </w:r>
            <w:r>
              <w:rPr>
                <w:color w:val="105C84"/>
                <w:spacing w:val="3"/>
                <w:sz w:val="18"/>
              </w:rPr>
              <w:t> </w:t>
            </w:r>
            <w:r>
              <w:rPr>
                <w:color w:val="105C84"/>
                <w:spacing w:val="-2"/>
                <w:sz w:val="18"/>
              </w:rPr>
              <w:t>Valleys</w:t>
            </w:r>
          </w:p>
          <w:p>
            <w:pPr>
              <w:pStyle w:val="TableParagraph"/>
              <w:tabs>
                <w:tab w:pos="3906" w:val="left" w:leader="none"/>
              </w:tabs>
              <w:spacing w:line="200" w:lineRule="exact"/>
              <w:ind w:left="93"/>
              <w:rPr>
                <w:sz w:val="18"/>
              </w:rPr>
            </w:pPr>
            <w:r>
              <w:rPr>
                <w:color w:val="105C84"/>
                <w:sz w:val="18"/>
              </w:rPr>
              <w:t>by</w:t>
            </w:r>
            <w:r>
              <w:rPr>
                <w:color w:val="105C84"/>
                <w:spacing w:val="-3"/>
                <w:sz w:val="18"/>
              </w:rPr>
              <w:t> </w:t>
            </w:r>
            <w:r>
              <w:rPr>
                <w:color w:val="105C84"/>
                <w:spacing w:val="-2"/>
                <w:sz w:val="18"/>
              </w:rPr>
              <w:t>gender</w:t>
            </w:r>
            <w:r>
              <w:rPr>
                <w:color w:val="105C84"/>
                <w:sz w:val="18"/>
              </w:rPr>
              <w:tab/>
            </w:r>
            <w:r>
              <w:rPr>
                <w:color w:val="105C84"/>
                <w:w w:val="90"/>
                <w:sz w:val="18"/>
              </w:rPr>
              <w:t>(PRCV):</w:t>
            </w:r>
            <w:r>
              <w:rPr>
                <w:color w:val="105C84"/>
                <w:spacing w:val="12"/>
                <w:sz w:val="18"/>
              </w:rPr>
              <w:t> </w:t>
            </w:r>
            <w:r>
              <w:rPr>
                <w:color w:val="105C84"/>
                <w:w w:val="90"/>
                <w:sz w:val="18"/>
              </w:rPr>
              <w:t>Report</w:t>
            </w:r>
            <w:r>
              <w:rPr>
                <w:color w:val="105C84"/>
                <w:spacing w:val="13"/>
                <w:sz w:val="18"/>
              </w:rPr>
              <w:t> </w:t>
            </w:r>
            <w:r>
              <w:rPr>
                <w:color w:val="105C84"/>
                <w:spacing w:val="-4"/>
                <w:w w:val="90"/>
                <w:sz w:val="18"/>
              </w:rPr>
              <w:t>data</w:t>
            </w:r>
          </w:p>
          <w:p>
            <w:pPr>
              <w:pStyle w:val="TableParagraph"/>
              <w:tabs>
                <w:tab w:pos="3906" w:val="left" w:leader="none"/>
              </w:tabs>
              <w:spacing w:line="245" w:lineRule="exact"/>
              <w:ind w:left="93"/>
              <w:rPr>
                <w:position w:val="9"/>
                <w:sz w:val="18"/>
              </w:rPr>
            </w:pPr>
            <w:r>
              <w:rPr>
                <w:color w:val="105C84"/>
                <w:spacing w:val="-2"/>
                <w:sz w:val="18"/>
              </w:rPr>
              <w:t>#</w:t>
            </w:r>
            <w:r>
              <w:rPr>
                <w:color w:val="105C84"/>
                <w:spacing w:val="-9"/>
                <w:sz w:val="18"/>
              </w:rPr>
              <w:t> </w:t>
            </w:r>
            <w:r>
              <w:rPr>
                <w:color w:val="105C84"/>
                <w:spacing w:val="-2"/>
                <w:sz w:val="18"/>
              </w:rPr>
              <w:t>of</w:t>
            </w:r>
            <w:r>
              <w:rPr>
                <w:color w:val="105C84"/>
                <w:spacing w:val="-9"/>
                <w:sz w:val="18"/>
              </w:rPr>
              <w:t> </w:t>
            </w:r>
            <w:r>
              <w:rPr>
                <w:color w:val="105C84"/>
                <w:spacing w:val="-2"/>
                <w:sz w:val="18"/>
              </w:rPr>
              <w:t>Real</w:t>
            </w:r>
            <w:r>
              <w:rPr>
                <w:color w:val="105C84"/>
                <w:spacing w:val="-8"/>
                <w:sz w:val="18"/>
              </w:rPr>
              <w:t> </w:t>
            </w:r>
            <w:r>
              <w:rPr>
                <w:color w:val="105C84"/>
                <w:spacing w:val="-2"/>
                <w:sz w:val="18"/>
              </w:rPr>
              <w:t>Essentials</w:t>
            </w:r>
            <w:r>
              <w:rPr>
                <w:color w:val="105C84"/>
                <w:sz w:val="18"/>
              </w:rPr>
              <w:tab/>
            </w:r>
            <w:r>
              <w:rPr>
                <w:color w:val="105C84"/>
                <w:position w:val="9"/>
                <w:sz w:val="18"/>
              </w:rPr>
              <w:t>outcomes</w:t>
            </w:r>
            <w:r>
              <w:rPr>
                <w:color w:val="105C84"/>
                <w:spacing w:val="4"/>
                <w:position w:val="9"/>
                <w:sz w:val="18"/>
              </w:rPr>
              <w:t> </w:t>
            </w:r>
            <w:r>
              <w:rPr>
                <w:color w:val="105C84"/>
                <w:position w:val="9"/>
                <w:sz w:val="18"/>
              </w:rPr>
              <w:t>for</w:t>
            </w:r>
            <w:r>
              <w:rPr>
                <w:color w:val="105C84"/>
                <w:spacing w:val="4"/>
                <w:position w:val="9"/>
                <w:sz w:val="18"/>
              </w:rPr>
              <w:t> </w:t>
            </w:r>
            <w:r>
              <w:rPr>
                <w:color w:val="105C84"/>
                <w:spacing w:val="-2"/>
                <w:position w:val="9"/>
                <w:sz w:val="18"/>
              </w:rPr>
              <w:t>2018-</w:t>
            </w:r>
          </w:p>
          <w:p>
            <w:pPr>
              <w:pStyle w:val="TableParagraph"/>
              <w:tabs>
                <w:tab w:pos="3906" w:val="left" w:leader="none"/>
              </w:tabs>
              <w:spacing w:line="200" w:lineRule="exact"/>
              <w:ind w:left="93"/>
              <w:rPr>
                <w:position w:val="9"/>
                <w:sz w:val="18"/>
              </w:rPr>
            </w:pPr>
            <w:r>
              <w:rPr>
                <w:color w:val="105C84"/>
                <w:sz w:val="18"/>
              </w:rPr>
              <w:t>participants</w:t>
            </w:r>
            <w:r>
              <w:rPr>
                <w:color w:val="105C84"/>
                <w:spacing w:val="8"/>
                <w:sz w:val="18"/>
              </w:rPr>
              <w:t> </w:t>
            </w:r>
            <w:r>
              <w:rPr>
                <w:color w:val="105C84"/>
                <w:spacing w:val="-2"/>
                <w:sz w:val="18"/>
              </w:rPr>
              <w:t>identified</w:t>
            </w:r>
            <w:r>
              <w:rPr>
                <w:color w:val="105C84"/>
                <w:sz w:val="18"/>
              </w:rPr>
              <w:tab/>
            </w:r>
            <w:r>
              <w:rPr>
                <w:color w:val="105C84"/>
                <w:spacing w:val="-2"/>
                <w:position w:val="9"/>
                <w:sz w:val="18"/>
              </w:rPr>
              <w:t>2019</w:t>
            </w:r>
            <w:r>
              <w:rPr>
                <w:color w:val="105C84"/>
                <w:spacing w:val="-9"/>
                <w:position w:val="9"/>
                <w:sz w:val="18"/>
              </w:rPr>
              <w:t> </w:t>
            </w:r>
            <w:r>
              <w:rPr>
                <w:color w:val="105C84"/>
                <w:spacing w:val="-2"/>
                <w:position w:val="9"/>
                <w:sz w:val="18"/>
              </w:rPr>
              <w:t>school</w:t>
            </w:r>
            <w:r>
              <w:rPr>
                <w:color w:val="105C84"/>
                <w:spacing w:val="-9"/>
                <w:position w:val="9"/>
                <w:sz w:val="18"/>
              </w:rPr>
              <w:t> </w:t>
            </w:r>
            <w:r>
              <w:rPr>
                <w:color w:val="105C84"/>
                <w:spacing w:val="-2"/>
                <w:position w:val="9"/>
                <w:sz w:val="18"/>
              </w:rPr>
              <w:t>year</w:t>
            </w:r>
            <w:r>
              <w:rPr>
                <w:color w:val="105C84"/>
                <w:spacing w:val="-9"/>
                <w:position w:val="9"/>
                <w:sz w:val="18"/>
              </w:rPr>
              <w:t> </w:t>
            </w:r>
            <w:r>
              <w:rPr>
                <w:color w:val="105C84"/>
                <w:spacing w:val="-5"/>
                <w:position w:val="9"/>
                <w:sz w:val="18"/>
              </w:rPr>
              <w:t>on</w:t>
            </w:r>
          </w:p>
          <w:p>
            <w:pPr>
              <w:pStyle w:val="TableParagraph"/>
              <w:tabs>
                <w:tab w:pos="3906" w:val="left" w:leader="none"/>
              </w:tabs>
              <w:spacing w:line="148" w:lineRule="auto"/>
              <w:ind w:left="93"/>
              <w:rPr>
                <w:sz w:val="18"/>
              </w:rPr>
            </w:pPr>
            <w:r>
              <w:rPr>
                <w:color w:val="105C84"/>
                <w:position w:val="-8"/>
                <w:sz w:val="18"/>
              </w:rPr>
              <w:t>by</w:t>
            </w:r>
            <w:r>
              <w:rPr>
                <w:color w:val="105C84"/>
                <w:spacing w:val="-5"/>
                <w:position w:val="-8"/>
                <w:sz w:val="18"/>
              </w:rPr>
              <w:t> </w:t>
            </w:r>
            <w:r>
              <w:rPr>
                <w:color w:val="105C84"/>
                <w:position w:val="-8"/>
                <w:sz w:val="18"/>
              </w:rPr>
              <w:t>zip</w:t>
            </w:r>
            <w:r>
              <w:rPr>
                <w:color w:val="105C84"/>
                <w:spacing w:val="-4"/>
                <w:position w:val="-8"/>
                <w:sz w:val="18"/>
              </w:rPr>
              <w:t> code</w:t>
            </w:r>
            <w:r>
              <w:rPr>
                <w:color w:val="105C84"/>
                <w:position w:val="-8"/>
                <w:sz w:val="18"/>
              </w:rPr>
              <w:tab/>
            </w:r>
            <w:r>
              <w:rPr>
                <w:color w:val="105C84"/>
                <w:w w:val="90"/>
                <w:sz w:val="18"/>
              </w:rPr>
              <w:t>Real</w:t>
            </w:r>
            <w:r>
              <w:rPr>
                <w:color w:val="105C84"/>
                <w:spacing w:val="16"/>
                <w:sz w:val="18"/>
              </w:rPr>
              <w:t> </w:t>
            </w:r>
            <w:r>
              <w:rPr>
                <w:color w:val="105C84"/>
                <w:w w:val="90"/>
                <w:sz w:val="18"/>
              </w:rPr>
              <w:t>Essentials</w:t>
            </w:r>
            <w:r>
              <w:rPr>
                <w:color w:val="105C84"/>
                <w:spacing w:val="16"/>
                <w:sz w:val="18"/>
              </w:rPr>
              <w:t> </w:t>
            </w:r>
            <w:r>
              <w:rPr>
                <w:color w:val="105C84"/>
                <w:spacing w:val="-4"/>
                <w:w w:val="90"/>
                <w:sz w:val="18"/>
              </w:rPr>
              <w:t>with</w:t>
            </w:r>
          </w:p>
          <w:p>
            <w:pPr>
              <w:pStyle w:val="TableParagraph"/>
              <w:spacing w:line="145" w:lineRule="exact"/>
              <w:ind w:left="3906"/>
              <w:rPr>
                <w:sz w:val="18"/>
              </w:rPr>
            </w:pPr>
            <w:r>
              <w:rPr>
                <w:color w:val="105C84"/>
                <w:sz w:val="18"/>
              </w:rPr>
              <w:t>community</w:t>
            </w:r>
            <w:r>
              <w:rPr>
                <w:color w:val="105C84"/>
                <w:spacing w:val="4"/>
                <w:sz w:val="18"/>
              </w:rPr>
              <w:t> </w:t>
            </w:r>
            <w:r>
              <w:rPr>
                <w:color w:val="105C84"/>
                <w:spacing w:val="-2"/>
                <w:sz w:val="18"/>
              </w:rPr>
              <w:t>participants</w:t>
            </w:r>
          </w:p>
          <w:p>
            <w:pPr>
              <w:pStyle w:val="TableParagraph"/>
              <w:spacing w:line="145" w:lineRule="exact"/>
              <w:ind w:left="93"/>
              <w:rPr>
                <w:sz w:val="18"/>
              </w:rPr>
            </w:pPr>
            <w:r>
              <w:rPr>
                <w:color w:val="105C84"/>
                <w:spacing w:val="-2"/>
                <w:sz w:val="18"/>
              </w:rPr>
              <w:t>#</w:t>
            </w:r>
            <w:r>
              <w:rPr>
                <w:color w:val="105C84"/>
                <w:spacing w:val="-9"/>
                <w:sz w:val="18"/>
              </w:rPr>
              <w:t> </w:t>
            </w:r>
            <w:r>
              <w:rPr>
                <w:color w:val="105C84"/>
                <w:spacing w:val="-2"/>
                <w:sz w:val="18"/>
              </w:rPr>
              <w:t>of</w:t>
            </w:r>
            <w:r>
              <w:rPr>
                <w:color w:val="105C84"/>
                <w:spacing w:val="-9"/>
                <w:sz w:val="18"/>
              </w:rPr>
              <w:t> </w:t>
            </w:r>
            <w:r>
              <w:rPr>
                <w:color w:val="105C84"/>
                <w:spacing w:val="-2"/>
                <w:sz w:val="18"/>
              </w:rPr>
              <w:t>Real</w:t>
            </w:r>
            <w:r>
              <w:rPr>
                <w:color w:val="105C84"/>
                <w:spacing w:val="-8"/>
                <w:sz w:val="18"/>
              </w:rPr>
              <w:t> </w:t>
            </w:r>
            <w:r>
              <w:rPr>
                <w:color w:val="105C84"/>
                <w:spacing w:val="-2"/>
                <w:sz w:val="18"/>
              </w:rPr>
              <w:t>Essentials</w:t>
            </w:r>
          </w:p>
          <w:p>
            <w:pPr>
              <w:pStyle w:val="TableParagraph"/>
              <w:tabs>
                <w:tab w:pos="3906" w:val="left" w:leader="none"/>
              </w:tabs>
              <w:spacing w:line="200" w:lineRule="exact"/>
              <w:ind w:left="93"/>
              <w:rPr>
                <w:position w:val="9"/>
                <w:sz w:val="18"/>
              </w:rPr>
            </w:pPr>
            <w:r>
              <w:rPr>
                <w:color w:val="105C84"/>
                <w:sz w:val="18"/>
              </w:rPr>
              <w:t>participants</w:t>
            </w:r>
            <w:r>
              <w:rPr>
                <w:color w:val="105C84"/>
                <w:spacing w:val="8"/>
                <w:sz w:val="18"/>
              </w:rPr>
              <w:t> </w:t>
            </w:r>
            <w:r>
              <w:rPr>
                <w:color w:val="105C84"/>
                <w:spacing w:val="-2"/>
                <w:sz w:val="18"/>
              </w:rPr>
              <w:t>identified</w:t>
            </w:r>
            <w:r>
              <w:rPr>
                <w:color w:val="105C84"/>
                <w:sz w:val="18"/>
              </w:rPr>
              <w:tab/>
            </w:r>
            <w:r>
              <w:rPr>
                <w:color w:val="105C84"/>
                <w:position w:val="9"/>
                <w:sz w:val="18"/>
              </w:rPr>
              <w:t>Schedule</w:t>
            </w:r>
            <w:r>
              <w:rPr>
                <w:color w:val="105C84"/>
                <w:spacing w:val="-12"/>
                <w:position w:val="9"/>
                <w:sz w:val="18"/>
              </w:rPr>
              <w:t> </w:t>
            </w:r>
            <w:r>
              <w:rPr>
                <w:color w:val="105C84"/>
                <w:position w:val="9"/>
                <w:sz w:val="18"/>
              </w:rPr>
              <w:t>and</w:t>
            </w:r>
            <w:r>
              <w:rPr>
                <w:color w:val="105C84"/>
                <w:spacing w:val="-10"/>
                <w:position w:val="9"/>
                <w:sz w:val="18"/>
              </w:rPr>
              <w:t> </w:t>
            </w:r>
            <w:r>
              <w:rPr>
                <w:color w:val="105C84"/>
                <w:spacing w:val="-2"/>
                <w:position w:val="9"/>
                <w:sz w:val="18"/>
              </w:rPr>
              <w:t>implement</w:t>
            </w:r>
          </w:p>
          <w:p>
            <w:pPr>
              <w:pStyle w:val="TableParagraph"/>
              <w:tabs>
                <w:tab w:pos="3906" w:val="left" w:leader="none"/>
              </w:tabs>
              <w:spacing w:line="148" w:lineRule="auto"/>
              <w:ind w:left="93"/>
              <w:rPr>
                <w:sz w:val="18"/>
              </w:rPr>
            </w:pPr>
            <w:r>
              <w:rPr>
                <w:color w:val="105C84"/>
                <w:position w:val="-8"/>
                <w:sz w:val="18"/>
              </w:rPr>
              <w:t>by</w:t>
            </w:r>
            <w:r>
              <w:rPr>
                <w:color w:val="105C84"/>
                <w:spacing w:val="-3"/>
                <w:position w:val="-8"/>
                <w:sz w:val="18"/>
              </w:rPr>
              <w:t> </w:t>
            </w:r>
            <w:r>
              <w:rPr>
                <w:color w:val="105C84"/>
                <w:spacing w:val="-5"/>
                <w:position w:val="-8"/>
                <w:sz w:val="18"/>
              </w:rPr>
              <w:t>DOB</w:t>
            </w:r>
            <w:r>
              <w:rPr>
                <w:color w:val="105C84"/>
                <w:position w:val="-8"/>
                <w:sz w:val="18"/>
              </w:rPr>
              <w:tab/>
            </w:r>
            <w:r>
              <w:rPr>
                <w:color w:val="105C84"/>
                <w:sz w:val="18"/>
              </w:rPr>
              <w:t>3</w:t>
            </w:r>
            <w:r>
              <w:rPr>
                <w:color w:val="105C84"/>
                <w:spacing w:val="9"/>
                <w:sz w:val="18"/>
              </w:rPr>
              <w:t> </w:t>
            </w:r>
            <w:r>
              <w:rPr>
                <w:color w:val="105C84"/>
                <w:sz w:val="18"/>
              </w:rPr>
              <w:t>Childbirth</w:t>
            </w:r>
            <w:r>
              <w:rPr>
                <w:color w:val="105C84"/>
                <w:spacing w:val="9"/>
                <w:sz w:val="18"/>
              </w:rPr>
              <w:t> </w:t>
            </w:r>
            <w:r>
              <w:rPr>
                <w:color w:val="105C84"/>
                <w:spacing w:val="-2"/>
                <w:sz w:val="18"/>
              </w:rPr>
              <w:t>Education</w:t>
            </w:r>
          </w:p>
          <w:p>
            <w:pPr>
              <w:pStyle w:val="TableParagraph"/>
              <w:spacing w:line="145" w:lineRule="exact"/>
              <w:ind w:left="3906"/>
              <w:rPr>
                <w:sz w:val="18"/>
              </w:rPr>
            </w:pPr>
            <w:r>
              <w:rPr>
                <w:color w:val="105C84"/>
                <w:spacing w:val="-2"/>
                <w:sz w:val="18"/>
              </w:rPr>
              <w:t>classes</w:t>
            </w:r>
            <w:r>
              <w:rPr>
                <w:color w:val="105C84"/>
                <w:spacing w:val="-4"/>
                <w:sz w:val="18"/>
              </w:rPr>
              <w:t> </w:t>
            </w:r>
            <w:r>
              <w:rPr>
                <w:color w:val="105C84"/>
                <w:spacing w:val="-2"/>
                <w:sz w:val="18"/>
              </w:rPr>
              <w:t>to</w:t>
            </w:r>
            <w:r>
              <w:rPr>
                <w:color w:val="105C84"/>
                <w:spacing w:val="-4"/>
                <w:sz w:val="18"/>
              </w:rPr>
              <w:t> </w:t>
            </w:r>
            <w:r>
              <w:rPr>
                <w:color w:val="105C84"/>
                <w:spacing w:val="-2"/>
                <w:sz w:val="18"/>
              </w:rPr>
              <w:t>take</w:t>
            </w:r>
            <w:r>
              <w:rPr>
                <w:color w:val="105C84"/>
                <w:spacing w:val="-4"/>
                <w:sz w:val="18"/>
              </w:rPr>
              <w:t> </w:t>
            </w:r>
            <w:r>
              <w:rPr>
                <w:color w:val="105C84"/>
                <w:spacing w:val="-2"/>
                <w:sz w:val="18"/>
              </w:rPr>
              <w:t>place</w:t>
            </w:r>
            <w:r>
              <w:rPr>
                <w:color w:val="105C84"/>
                <w:spacing w:val="-3"/>
                <w:sz w:val="18"/>
              </w:rPr>
              <w:t> </w:t>
            </w:r>
            <w:r>
              <w:rPr>
                <w:color w:val="105C84"/>
                <w:spacing w:val="-5"/>
                <w:sz w:val="18"/>
              </w:rPr>
              <w:t>in</w:t>
            </w:r>
          </w:p>
          <w:p>
            <w:pPr>
              <w:pStyle w:val="TableParagraph"/>
              <w:tabs>
                <w:tab w:pos="3906" w:val="left" w:leader="none"/>
              </w:tabs>
              <w:spacing w:line="200" w:lineRule="exact"/>
              <w:ind w:left="93"/>
              <w:rPr>
                <w:sz w:val="18"/>
              </w:rPr>
            </w:pPr>
            <w:r>
              <w:rPr>
                <w:color w:val="105C84"/>
                <w:position w:val="2"/>
                <w:sz w:val="18"/>
              </w:rPr>
              <w:t>%</w:t>
            </w:r>
            <w:r>
              <w:rPr>
                <w:color w:val="105C84"/>
                <w:spacing w:val="-12"/>
                <w:position w:val="2"/>
                <w:sz w:val="18"/>
              </w:rPr>
              <w:t> </w:t>
            </w:r>
            <w:r>
              <w:rPr>
                <w:color w:val="105C84"/>
                <w:position w:val="2"/>
                <w:sz w:val="18"/>
              </w:rPr>
              <w:t>showing</w:t>
            </w:r>
            <w:r>
              <w:rPr>
                <w:color w:val="105C84"/>
                <w:spacing w:val="-11"/>
                <w:position w:val="2"/>
                <w:sz w:val="18"/>
              </w:rPr>
              <w:t> </w:t>
            </w:r>
            <w:r>
              <w:rPr>
                <w:color w:val="105C84"/>
                <w:position w:val="2"/>
                <w:sz w:val="18"/>
              </w:rPr>
              <w:t>an</w:t>
            </w:r>
            <w:r>
              <w:rPr>
                <w:color w:val="105C84"/>
                <w:spacing w:val="-12"/>
                <w:position w:val="2"/>
                <w:sz w:val="18"/>
              </w:rPr>
              <w:t> </w:t>
            </w:r>
            <w:r>
              <w:rPr>
                <w:color w:val="105C84"/>
                <w:spacing w:val="-2"/>
                <w:position w:val="2"/>
                <w:sz w:val="18"/>
              </w:rPr>
              <w:t>increase</w:t>
            </w:r>
            <w:r>
              <w:rPr>
                <w:color w:val="105C84"/>
                <w:position w:val="2"/>
                <w:sz w:val="18"/>
              </w:rPr>
              <w:tab/>
            </w:r>
            <w:r>
              <w:rPr>
                <w:color w:val="105C84"/>
                <w:sz w:val="18"/>
              </w:rPr>
              <w:t>Steuben</w:t>
            </w:r>
            <w:r>
              <w:rPr>
                <w:color w:val="105C84"/>
                <w:spacing w:val="-11"/>
                <w:sz w:val="18"/>
              </w:rPr>
              <w:t> </w:t>
            </w:r>
            <w:r>
              <w:rPr>
                <w:color w:val="105C84"/>
                <w:spacing w:val="-2"/>
                <w:sz w:val="18"/>
              </w:rPr>
              <w:t>County</w:t>
            </w:r>
          </w:p>
          <w:p>
            <w:pPr>
              <w:pStyle w:val="TableParagraph"/>
              <w:tabs>
                <w:tab w:pos="3906" w:val="left" w:leader="none"/>
              </w:tabs>
              <w:spacing w:line="245" w:lineRule="exact"/>
              <w:ind w:left="93"/>
              <w:rPr>
                <w:sz w:val="18"/>
              </w:rPr>
            </w:pPr>
            <w:r>
              <w:rPr>
                <w:color w:val="105C84"/>
                <w:position w:val="11"/>
                <w:sz w:val="18"/>
              </w:rPr>
              <w:t>in</w:t>
            </w:r>
            <w:r>
              <w:rPr>
                <w:color w:val="105C84"/>
                <w:spacing w:val="6"/>
                <w:position w:val="11"/>
                <w:sz w:val="18"/>
              </w:rPr>
              <w:t> </w:t>
            </w:r>
            <w:r>
              <w:rPr>
                <w:color w:val="105C84"/>
                <w:position w:val="11"/>
                <w:sz w:val="18"/>
              </w:rPr>
              <w:t>knowledge</w:t>
            </w:r>
            <w:r>
              <w:rPr>
                <w:color w:val="105C84"/>
                <w:spacing w:val="6"/>
                <w:position w:val="11"/>
                <w:sz w:val="18"/>
              </w:rPr>
              <w:t> </w:t>
            </w:r>
            <w:r>
              <w:rPr>
                <w:color w:val="105C84"/>
                <w:spacing w:val="-4"/>
                <w:position w:val="11"/>
                <w:sz w:val="18"/>
              </w:rPr>
              <w:t>from</w:t>
            </w:r>
            <w:r>
              <w:rPr>
                <w:color w:val="105C84"/>
                <w:position w:val="11"/>
                <w:sz w:val="18"/>
              </w:rPr>
              <w:tab/>
            </w:r>
            <w:r>
              <w:rPr>
                <w:color w:val="105C84"/>
                <w:sz w:val="18"/>
              </w:rPr>
              <w:t>1</w:t>
            </w:r>
            <w:r>
              <w:rPr>
                <w:color w:val="105C84"/>
                <w:spacing w:val="-3"/>
                <w:sz w:val="18"/>
              </w:rPr>
              <w:t> </w:t>
            </w:r>
            <w:r>
              <w:rPr>
                <w:color w:val="105C84"/>
                <w:sz w:val="18"/>
              </w:rPr>
              <w:t>staff</w:t>
            </w:r>
            <w:r>
              <w:rPr>
                <w:color w:val="105C84"/>
                <w:spacing w:val="-3"/>
                <w:sz w:val="18"/>
              </w:rPr>
              <w:t> </w:t>
            </w:r>
            <w:r>
              <w:rPr>
                <w:color w:val="105C84"/>
                <w:sz w:val="18"/>
              </w:rPr>
              <w:t>certified</w:t>
            </w:r>
            <w:r>
              <w:rPr>
                <w:color w:val="105C84"/>
                <w:spacing w:val="-2"/>
                <w:sz w:val="18"/>
              </w:rPr>
              <w:t> </w:t>
            </w:r>
            <w:r>
              <w:rPr>
                <w:color w:val="105C84"/>
                <w:sz w:val="18"/>
              </w:rPr>
              <w:t>and</w:t>
            </w:r>
            <w:r>
              <w:rPr>
                <w:color w:val="105C84"/>
                <w:spacing w:val="-3"/>
                <w:sz w:val="18"/>
              </w:rPr>
              <w:t> </w:t>
            </w:r>
            <w:r>
              <w:rPr>
                <w:color w:val="105C84"/>
                <w:spacing w:val="-10"/>
                <w:sz w:val="18"/>
              </w:rPr>
              <w:t>3</w:t>
            </w:r>
          </w:p>
          <w:p>
            <w:pPr>
              <w:pStyle w:val="TableParagraph"/>
              <w:tabs>
                <w:tab w:pos="3906" w:val="left" w:leader="none"/>
              </w:tabs>
              <w:spacing w:line="200" w:lineRule="exact"/>
              <w:ind w:left="93"/>
              <w:rPr>
                <w:sz w:val="18"/>
              </w:rPr>
            </w:pPr>
            <w:r>
              <w:rPr>
                <w:color w:val="105C84"/>
                <w:position w:val="11"/>
                <w:sz w:val="18"/>
              </w:rPr>
              <w:t>participating</w:t>
            </w:r>
            <w:r>
              <w:rPr>
                <w:color w:val="105C84"/>
                <w:spacing w:val="15"/>
                <w:position w:val="11"/>
                <w:sz w:val="18"/>
              </w:rPr>
              <w:t> </w:t>
            </w:r>
            <w:r>
              <w:rPr>
                <w:color w:val="105C84"/>
                <w:position w:val="11"/>
                <w:sz w:val="18"/>
              </w:rPr>
              <w:t>in</w:t>
            </w:r>
            <w:r>
              <w:rPr>
                <w:color w:val="105C84"/>
                <w:spacing w:val="16"/>
                <w:position w:val="11"/>
                <w:sz w:val="18"/>
              </w:rPr>
              <w:t> </w:t>
            </w:r>
            <w:r>
              <w:rPr>
                <w:color w:val="105C84"/>
                <w:spacing w:val="-4"/>
                <w:position w:val="11"/>
                <w:sz w:val="18"/>
              </w:rPr>
              <w:t>Real</w:t>
            </w:r>
            <w:r>
              <w:rPr>
                <w:color w:val="105C84"/>
                <w:position w:val="11"/>
                <w:sz w:val="18"/>
              </w:rPr>
              <w:tab/>
            </w:r>
            <w:r>
              <w:rPr>
                <w:color w:val="105C84"/>
                <w:sz w:val="18"/>
              </w:rPr>
              <w:t>additional</w:t>
            </w:r>
            <w:r>
              <w:rPr>
                <w:color w:val="105C84"/>
                <w:spacing w:val="5"/>
                <w:sz w:val="18"/>
              </w:rPr>
              <w:t> </w:t>
            </w:r>
            <w:r>
              <w:rPr>
                <w:color w:val="105C84"/>
                <w:sz w:val="18"/>
              </w:rPr>
              <w:t>staff</w:t>
            </w:r>
            <w:r>
              <w:rPr>
                <w:color w:val="105C84"/>
                <w:spacing w:val="6"/>
                <w:sz w:val="18"/>
              </w:rPr>
              <w:t> </w:t>
            </w:r>
            <w:r>
              <w:rPr>
                <w:color w:val="105C84"/>
                <w:sz w:val="18"/>
              </w:rPr>
              <w:t>trained</w:t>
            </w:r>
            <w:r>
              <w:rPr>
                <w:color w:val="105C84"/>
                <w:spacing w:val="6"/>
                <w:sz w:val="18"/>
              </w:rPr>
              <w:t> </w:t>
            </w:r>
            <w:r>
              <w:rPr>
                <w:color w:val="105C84"/>
                <w:spacing w:val="-5"/>
                <w:sz w:val="18"/>
              </w:rPr>
              <w:t>in</w:t>
            </w:r>
          </w:p>
          <w:p>
            <w:pPr>
              <w:pStyle w:val="TableParagraph"/>
              <w:tabs>
                <w:tab w:pos="3906" w:val="left" w:leader="none"/>
              </w:tabs>
              <w:spacing w:line="245" w:lineRule="exact"/>
              <w:ind w:left="93"/>
              <w:rPr>
                <w:sz w:val="18"/>
              </w:rPr>
            </w:pPr>
            <w:r>
              <w:rPr>
                <w:color w:val="105C84"/>
                <w:spacing w:val="-2"/>
                <w:position w:val="11"/>
                <w:sz w:val="18"/>
              </w:rPr>
              <w:t>Essentials</w:t>
            </w:r>
            <w:r>
              <w:rPr>
                <w:color w:val="105C84"/>
                <w:position w:val="11"/>
                <w:sz w:val="18"/>
              </w:rPr>
              <w:tab/>
            </w:r>
            <w:r>
              <w:rPr>
                <w:color w:val="105C84"/>
                <w:sz w:val="18"/>
              </w:rPr>
              <w:t>childbirth</w:t>
            </w:r>
            <w:r>
              <w:rPr>
                <w:color w:val="105C84"/>
                <w:spacing w:val="19"/>
                <w:sz w:val="18"/>
              </w:rPr>
              <w:t> </w:t>
            </w:r>
            <w:r>
              <w:rPr>
                <w:color w:val="105C84"/>
                <w:sz w:val="18"/>
              </w:rPr>
              <w:t>education</w:t>
            </w:r>
            <w:r>
              <w:rPr>
                <w:color w:val="105C84"/>
                <w:spacing w:val="20"/>
                <w:sz w:val="18"/>
              </w:rPr>
              <w:t> </w:t>
            </w:r>
            <w:r>
              <w:rPr>
                <w:color w:val="105C84"/>
                <w:spacing w:val="-5"/>
                <w:sz w:val="18"/>
              </w:rPr>
              <w:t>by</w:t>
            </w:r>
          </w:p>
          <w:p>
            <w:pPr>
              <w:pStyle w:val="TableParagraph"/>
              <w:tabs>
                <w:tab w:pos="3906" w:val="left" w:leader="none"/>
              </w:tabs>
              <w:spacing w:line="200" w:lineRule="exact"/>
              <w:ind w:left="93"/>
              <w:rPr>
                <w:sz w:val="18"/>
              </w:rPr>
            </w:pPr>
            <w:r>
              <w:rPr>
                <w:color w:val="105C84"/>
                <w:position w:val="2"/>
                <w:sz w:val="18"/>
              </w:rPr>
              <w:t>#</w:t>
            </w:r>
            <w:r>
              <w:rPr>
                <w:color w:val="105C84"/>
                <w:spacing w:val="-5"/>
                <w:position w:val="2"/>
                <w:sz w:val="18"/>
              </w:rPr>
              <w:t> </w:t>
            </w:r>
            <w:r>
              <w:rPr>
                <w:color w:val="105C84"/>
                <w:position w:val="2"/>
                <w:sz w:val="18"/>
              </w:rPr>
              <w:t>of</w:t>
            </w:r>
            <w:r>
              <w:rPr>
                <w:color w:val="105C84"/>
                <w:spacing w:val="-3"/>
                <w:position w:val="2"/>
                <w:sz w:val="18"/>
              </w:rPr>
              <w:t> </w:t>
            </w:r>
            <w:r>
              <w:rPr>
                <w:color w:val="105C84"/>
                <w:spacing w:val="-2"/>
                <w:position w:val="2"/>
                <w:sz w:val="18"/>
              </w:rPr>
              <w:t>Childbirth</w:t>
            </w:r>
            <w:r>
              <w:rPr>
                <w:color w:val="105C84"/>
                <w:position w:val="2"/>
                <w:sz w:val="18"/>
              </w:rPr>
              <w:tab/>
            </w:r>
            <w:r>
              <w:rPr>
                <w:color w:val="105C84"/>
                <w:spacing w:val="-2"/>
                <w:sz w:val="18"/>
              </w:rPr>
              <w:t>12/31/19.</w:t>
            </w:r>
          </w:p>
          <w:p>
            <w:pPr>
              <w:pStyle w:val="TableParagraph"/>
              <w:tabs>
                <w:tab w:pos="3906" w:val="left" w:leader="none"/>
              </w:tabs>
              <w:spacing w:line="144" w:lineRule="auto"/>
              <w:ind w:left="93"/>
              <w:rPr>
                <w:position w:val="-10"/>
                <w:sz w:val="18"/>
              </w:rPr>
            </w:pPr>
            <w:r>
              <w:rPr>
                <w:color w:val="105C84"/>
                <w:sz w:val="18"/>
              </w:rPr>
              <w:t>Education </w:t>
            </w:r>
            <w:r>
              <w:rPr>
                <w:color w:val="105C84"/>
                <w:spacing w:val="-2"/>
                <w:sz w:val="18"/>
              </w:rPr>
              <w:t>participants</w:t>
            </w:r>
            <w:r>
              <w:rPr>
                <w:color w:val="105C84"/>
                <w:sz w:val="18"/>
              </w:rPr>
              <w:tab/>
            </w:r>
            <w:r>
              <w:rPr>
                <w:color w:val="105C84"/>
                <w:position w:val="-10"/>
                <w:sz w:val="18"/>
              </w:rPr>
              <w:t>5</w:t>
            </w:r>
            <w:r>
              <w:rPr>
                <w:color w:val="105C84"/>
                <w:spacing w:val="-13"/>
                <w:position w:val="-10"/>
                <w:sz w:val="18"/>
              </w:rPr>
              <w:t> </w:t>
            </w:r>
            <w:r>
              <w:rPr>
                <w:color w:val="105C84"/>
                <w:spacing w:val="-2"/>
                <w:position w:val="-10"/>
                <w:sz w:val="18"/>
              </w:rPr>
              <w:t>staff/volunteers</w:t>
            </w:r>
          </w:p>
          <w:p>
            <w:pPr>
              <w:pStyle w:val="TableParagraph"/>
              <w:tabs>
                <w:tab w:pos="3906" w:val="left" w:leader="none"/>
              </w:tabs>
              <w:spacing w:line="153" w:lineRule="auto"/>
              <w:ind w:left="93"/>
              <w:rPr>
                <w:position w:val="-10"/>
                <w:sz w:val="18"/>
              </w:rPr>
            </w:pPr>
            <w:r>
              <w:rPr>
                <w:color w:val="105C84"/>
                <w:sz w:val="18"/>
              </w:rPr>
              <w:t>identified</w:t>
            </w:r>
            <w:r>
              <w:rPr>
                <w:color w:val="105C84"/>
                <w:spacing w:val="13"/>
                <w:sz w:val="18"/>
              </w:rPr>
              <w:t> </w:t>
            </w:r>
            <w:r>
              <w:rPr>
                <w:color w:val="105C84"/>
                <w:sz w:val="18"/>
              </w:rPr>
              <w:t>by</w:t>
            </w:r>
            <w:r>
              <w:rPr>
                <w:color w:val="105C84"/>
                <w:spacing w:val="13"/>
                <w:sz w:val="18"/>
              </w:rPr>
              <w:t> </w:t>
            </w:r>
            <w:r>
              <w:rPr>
                <w:color w:val="105C84"/>
                <w:spacing w:val="-2"/>
                <w:sz w:val="18"/>
              </w:rPr>
              <w:t>gender</w:t>
            </w:r>
            <w:r>
              <w:rPr>
                <w:color w:val="105C84"/>
                <w:sz w:val="18"/>
              </w:rPr>
              <w:tab/>
            </w:r>
            <w:r>
              <w:rPr>
                <w:color w:val="105C84"/>
                <w:position w:val="-10"/>
                <w:sz w:val="18"/>
              </w:rPr>
              <w:t>certified</w:t>
            </w:r>
            <w:r>
              <w:rPr>
                <w:color w:val="105C84"/>
                <w:spacing w:val="9"/>
                <w:position w:val="-10"/>
                <w:sz w:val="18"/>
              </w:rPr>
              <w:t> </w:t>
            </w:r>
            <w:r>
              <w:rPr>
                <w:color w:val="105C84"/>
                <w:position w:val="-10"/>
                <w:sz w:val="18"/>
              </w:rPr>
              <w:t>with</w:t>
            </w:r>
            <w:r>
              <w:rPr>
                <w:color w:val="105C84"/>
                <w:spacing w:val="10"/>
                <w:position w:val="-10"/>
                <w:sz w:val="18"/>
              </w:rPr>
              <w:t> </w:t>
            </w:r>
            <w:r>
              <w:rPr>
                <w:color w:val="105C84"/>
                <w:spacing w:val="-5"/>
                <w:position w:val="-10"/>
                <w:sz w:val="18"/>
              </w:rPr>
              <w:t>the</w:t>
            </w:r>
          </w:p>
          <w:p>
            <w:pPr>
              <w:pStyle w:val="TableParagraph"/>
              <w:tabs>
                <w:tab w:pos="3906" w:val="left" w:leader="none"/>
              </w:tabs>
              <w:spacing w:line="213" w:lineRule="exact"/>
              <w:ind w:left="93"/>
              <w:rPr>
                <w:sz w:val="18"/>
              </w:rPr>
            </w:pPr>
            <w:r>
              <w:rPr>
                <w:color w:val="105C84"/>
                <w:position w:val="2"/>
                <w:sz w:val="18"/>
              </w:rPr>
              <w:t>#</w:t>
            </w:r>
            <w:r>
              <w:rPr>
                <w:color w:val="105C84"/>
                <w:spacing w:val="-5"/>
                <w:position w:val="2"/>
                <w:sz w:val="18"/>
              </w:rPr>
              <w:t> </w:t>
            </w:r>
            <w:r>
              <w:rPr>
                <w:color w:val="105C84"/>
                <w:position w:val="2"/>
                <w:sz w:val="18"/>
              </w:rPr>
              <w:t>of</w:t>
            </w:r>
            <w:r>
              <w:rPr>
                <w:color w:val="105C84"/>
                <w:spacing w:val="-3"/>
                <w:position w:val="2"/>
                <w:sz w:val="18"/>
              </w:rPr>
              <w:t> </w:t>
            </w:r>
            <w:r>
              <w:rPr>
                <w:color w:val="105C84"/>
                <w:spacing w:val="-2"/>
                <w:position w:val="2"/>
                <w:sz w:val="18"/>
              </w:rPr>
              <w:t>Childbirth</w:t>
            </w:r>
            <w:r>
              <w:rPr>
                <w:color w:val="105C84"/>
                <w:position w:val="2"/>
                <w:sz w:val="18"/>
              </w:rPr>
              <w:tab/>
            </w:r>
            <w:r>
              <w:rPr>
                <w:color w:val="105C84"/>
                <w:sz w:val="18"/>
              </w:rPr>
              <w:t>Academy</w:t>
            </w:r>
            <w:r>
              <w:rPr>
                <w:color w:val="105C84"/>
                <w:spacing w:val="-4"/>
                <w:sz w:val="18"/>
              </w:rPr>
              <w:t> </w:t>
            </w:r>
            <w:r>
              <w:rPr>
                <w:color w:val="105C84"/>
                <w:sz w:val="18"/>
              </w:rPr>
              <w:t>of</w:t>
            </w:r>
            <w:r>
              <w:rPr>
                <w:color w:val="105C84"/>
                <w:spacing w:val="-3"/>
                <w:sz w:val="18"/>
              </w:rPr>
              <w:t> </w:t>
            </w:r>
            <w:r>
              <w:rPr>
                <w:color w:val="105C84"/>
                <w:spacing w:val="-2"/>
                <w:sz w:val="18"/>
              </w:rPr>
              <w:t>Certified</w:t>
            </w:r>
          </w:p>
          <w:p>
            <w:pPr>
              <w:pStyle w:val="TableParagraph"/>
              <w:tabs>
                <w:tab w:pos="3906" w:val="left" w:leader="none"/>
              </w:tabs>
              <w:spacing w:line="200" w:lineRule="exact"/>
              <w:ind w:left="93"/>
              <w:rPr>
                <w:sz w:val="18"/>
              </w:rPr>
            </w:pPr>
            <w:r>
              <w:rPr>
                <w:color w:val="105C84"/>
                <w:position w:val="2"/>
                <w:sz w:val="18"/>
              </w:rPr>
              <w:t>Education </w:t>
            </w:r>
            <w:r>
              <w:rPr>
                <w:color w:val="105C84"/>
                <w:spacing w:val="-2"/>
                <w:position w:val="2"/>
                <w:sz w:val="18"/>
              </w:rPr>
              <w:t>participants</w:t>
            </w:r>
            <w:r>
              <w:rPr>
                <w:color w:val="105C84"/>
                <w:position w:val="2"/>
                <w:sz w:val="18"/>
              </w:rPr>
              <w:tab/>
            </w:r>
            <w:r>
              <w:rPr>
                <w:color w:val="105C84"/>
                <w:sz w:val="18"/>
              </w:rPr>
              <w:t>Birth</w:t>
            </w:r>
            <w:r>
              <w:rPr>
                <w:color w:val="105C84"/>
                <w:spacing w:val="-10"/>
                <w:sz w:val="18"/>
              </w:rPr>
              <w:t> </w:t>
            </w:r>
            <w:r>
              <w:rPr>
                <w:color w:val="105C84"/>
                <w:sz w:val="18"/>
              </w:rPr>
              <w:t>Educators</w:t>
            </w:r>
            <w:r>
              <w:rPr>
                <w:color w:val="105C84"/>
                <w:spacing w:val="-10"/>
                <w:sz w:val="18"/>
              </w:rPr>
              <w:t> </w:t>
            </w:r>
            <w:r>
              <w:rPr>
                <w:color w:val="105C84"/>
                <w:spacing w:val="-2"/>
                <w:sz w:val="18"/>
              </w:rPr>
              <w:t>(ACBE)</w:t>
            </w:r>
          </w:p>
          <w:p>
            <w:pPr>
              <w:pStyle w:val="TableParagraph"/>
              <w:tabs>
                <w:tab w:pos="3906" w:val="left" w:leader="none"/>
              </w:tabs>
              <w:spacing w:line="213" w:lineRule="exact"/>
              <w:ind w:left="93"/>
              <w:rPr>
                <w:sz w:val="18"/>
              </w:rPr>
            </w:pPr>
            <w:r>
              <w:rPr>
                <w:color w:val="105C84"/>
                <w:position w:val="2"/>
                <w:sz w:val="18"/>
              </w:rPr>
              <w:t>identified</w:t>
            </w:r>
            <w:r>
              <w:rPr>
                <w:color w:val="105C84"/>
                <w:spacing w:val="6"/>
                <w:position w:val="2"/>
                <w:sz w:val="18"/>
              </w:rPr>
              <w:t> </w:t>
            </w:r>
            <w:r>
              <w:rPr>
                <w:color w:val="105C84"/>
                <w:position w:val="2"/>
                <w:sz w:val="18"/>
              </w:rPr>
              <w:t>by</w:t>
            </w:r>
            <w:r>
              <w:rPr>
                <w:color w:val="105C84"/>
                <w:spacing w:val="7"/>
                <w:position w:val="2"/>
                <w:sz w:val="18"/>
              </w:rPr>
              <w:t> </w:t>
            </w:r>
            <w:r>
              <w:rPr>
                <w:color w:val="105C84"/>
                <w:position w:val="2"/>
                <w:sz w:val="18"/>
              </w:rPr>
              <w:t>zip</w:t>
            </w:r>
            <w:r>
              <w:rPr>
                <w:color w:val="105C84"/>
                <w:spacing w:val="7"/>
                <w:position w:val="2"/>
                <w:sz w:val="18"/>
              </w:rPr>
              <w:t> </w:t>
            </w:r>
            <w:r>
              <w:rPr>
                <w:color w:val="105C84"/>
                <w:spacing w:val="-4"/>
                <w:position w:val="2"/>
                <w:sz w:val="18"/>
              </w:rPr>
              <w:t>code</w:t>
            </w:r>
            <w:r>
              <w:rPr>
                <w:color w:val="105C84"/>
                <w:position w:val="2"/>
                <w:sz w:val="18"/>
              </w:rPr>
              <w:tab/>
            </w:r>
            <w:r>
              <w:rPr>
                <w:color w:val="105C84"/>
                <w:sz w:val="18"/>
              </w:rPr>
              <w:t>in</w:t>
            </w:r>
            <w:r>
              <w:rPr>
                <w:color w:val="105C84"/>
                <w:spacing w:val="-2"/>
                <w:sz w:val="18"/>
              </w:rPr>
              <w:t> </w:t>
            </w:r>
            <w:r>
              <w:rPr>
                <w:color w:val="105C84"/>
                <w:spacing w:val="-4"/>
                <w:sz w:val="18"/>
              </w:rPr>
              <w:t>2019</w:t>
            </w:r>
          </w:p>
          <w:p>
            <w:pPr>
              <w:pStyle w:val="TableParagraph"/>
              <w:tabs>
                <w:tab w:pos="3906" w:val="left" w:leader="none"/>
              </w:tabs>
              <w:spacing w:line="213" w:lineRule="exact" w:before="20"/>
              <w:ind w:left="93"/>
              <w:rPr>
                <w:sz w:val="18"/>
              </w:rPr>
            </w:pPr>
            <w:r>
              <w:rPr>
                <w:color w:val="105C84"/>
                <w:position w:val="2"/>
                <w:sz w:val="18"/>
              </w:rPr>
              <w:t>#</w:t>
            </w:r>
            <w:r>
              <w:rPr>
                <w:color w:val="105C84"/>
                <w:spacing w:val="-5"/>
                <w:position w:val="2"/>
                <w:sz w:val="18"/>
              </w:rPr>
              <w:t> </w:t>
            </w:r>
            <w:r>
              <w:rPr>
                <w:color w:val="105C84"/>
                <w:position w:val="2"/>
                <w:sz w:val="18"/>
              </w:rPr>
              <w:t>of</w:t>
            </w:r>
            <w:r>
              <w:rPr>
                <w:color w:val="105C84"/>
                <w:spacing w:val="-3"/>
                <w:position w:val="2"/>
                <w:sz w:val="18"/>
              </w:rPr>
              <w:t> </w:t>
            </w:r>
            <w:r>
              <w:rPr>
                <w:color w:val="105C84"/>
                <w:spacing w:val="-2"/>
                <w:position w:val="2"/>
                <w:sz w:val="18"/>
              </w:rPr>
              <w:t>Childbirth</w:t>
            </w:r>
            <w:r>
              <w:rPr>
                <w:color w:val="105C84"/>
                <w:position w:val="2"/>
                <w:sz w:val="18"/>
              </w:rPr>
              <w:tab/>
            </w:r>
            <w:r>
              <w:rPr>
                <w:color w:val="105C84"/>
                <w:sz w:val="18"/>
              </w:rPr>
              <w:t>Continue</w:t>
            </w:r>
            <w:r>
              <w:rPr>
                <w:color w:val="105C84"/>
                <w:spacing w:val="7"/>
                <w:sz w:val="18"/>
              </w:rPr>
              <w:t> </w:t>
            </w:r>
            <w:r>
              <w:rPr>
                <w:color w:val="105C84"/>
                <w:spacing w:val="-2"/>
                <w:sz w:val="18"/>
              </w:rPr>
              <w:t>offering</w:t>
            </w:r>
          </w:p>
          <w:p>
            <w:pPr>
              <w:pStyle w:val="TableParagraph"/>
              <w:tabs>
                <w:tab w:pos="3906" w:val="left" w:leader="none"/>
              </w:tabs>
              <w:spacing w:line="200" w:lineRule="exact"/>
              <w:ind w:left="93"/>
              <w:rPr>
                <w:sz w:val="18"/>
              </w:rPr>
            </w:pPr>
            <w:r>
              <w:rPr>
                <w:color w:val="105C84"/>
                <w:position w:val="2"/>
                <w:sz w:val="18"/>
              </w:rPr>
              <w:t>Education </w:t>
            </w:r>
            <w:r>
              <w:rPr>
                <w:color w:val="105C84"/>
                <w:spacing w:val="-2"/>
                <w:position w:val="2"/>
                <w:sz w:val="18"/>
              </w:rPr>
              <w:t>participants</w:t>
            </w:r>
            <w:r>
              <w:rPr>
                <w:color w:val="105C84"/>
                <w:position w:val="2"/>
                <w:sz w:val="18"/>
              </w:rPr>
              <w:tab/>
            </w:r>
            <w:r>
              <w:rPr>
                <w:color w:val="105C84"/>
                <w:spacing w:val="-4"/>
                <w:sz w:val="18"/>
              </w:rPr>
              <w:t>services</w:t>
            </w:r>
            <w:r>
              <w:rPr>
                <w:color w:val="105C84"/>
                <w:spacing w:val="-3"/>
                <w:sz w:val="18"/>
              </w:rPr>
              <w:t> </w:t>
            </w:r>
            <w:r>
              <w:rPr>
                <w:color w:val="105C84"/>
                <w:spacing w:val="-4"/>
                <w:sz w:val="18"/>
              </w:rPr>
              <w:t>in</w:t>
            </w:r>
            <w:r>
              <w:rPr>
                <w:color w:val="105C84"/>
                <w:spacing w:val="-2"/>
                <w:sz w:val="18"/>
              </w:rPr>
              <w:t> </w:t>
            </w:r>
            <w:r>
              <w:rPr>
                <w:color w:val="105C84"/>
                <w:spacing w:val="-4"/>
                <w:sz w:val="18"/>
              </w:rPr>
              <w:t>existing</w:t>
            </w:r>
          </w:p>
          <w:p>
            <w:pPr>
              <w:pStyle w:val="TableParagraph"/>
              <w:tabs>
                <w:tab w:pos="3906" w:val="left" w:leader="none"/>
              </w:tabs>
              <w:spacing w:line="210" w:lineRule="exact"/>
              <w:ind w:left="93"/>
              <w:rPr>
                <w:sz w:val="18"/>
              </w:rPr>
            </w:pPr>
            <w:r>
              <w:rPr>
                <w:color w:val="105C84"/>
                <w:position w:val="2"/>
                <w:sz w:val="18"/>
              </w:rPr>
              <w:t>identified</w:t>
            </w:r>
            <w:r>
              <w:rPr>
                <w:color w:val="105C84"/>
                <w:spacing w:val="13"/>
                <w:position w:val="2"/>
                <w:sz w:val="18"/>
              </w:rPr>
              <w:t> </w:t>
            </w:r>
            <w:r>
              <w:rPr>
                <w:color w:val="105C84"/>
                <w:position w:val="2"/>
                <w:sz w:val="18"/>
              </w:rPr>
              <w:t>by</w:t>
            </w:r>
            <w:r>
              <w:rPr>
                <w:color w:val="105C84"/>
                <w:spacing w:val="13"/>
                <w:position w:val="2"/>
                <w:sz w:val="18"/>
              </w:rPr>
              <w:t> </w:t>
            </w:r>
            <w:r>
              <w:rPr>
                <w:color w:val="105C84"/>
                <w:spacing w:val="-5"/>
                <w:position w:val="2"/>
                <w:sz w:val="18"/>
              </w:rPr>
              <w:t>DOB</w:t>
            </w:r>
            <w:r>
              <w:rPr>
                <w:color w:val="105C84"/>
                <w:position w:val="2"/>
                <w:sz w:val="18"/>
              </w:rPr>
              <w:tab/>
            </w:r>
            <w:r>
              <w:rPr>
                <w:color w:val="105C84"/>
                <w:sz w:val="18"/>
              </w:rPr>
              <w:t>Steuben</w:t>
            </w:r>
            <w:r>
              <w:rPr>
                <w:color w:val="105C84"/>
                <w:spacing w:val="-7"/>
                <w:sz w:val="18"/>
              </w:rPr>
              <w:t> </w:t>
            </w:r>
            <w:r>
              <w:rPr>
                <w:color w:val="105C84"/>
                <w:sz w:val="18"/>
              </w:rPr>
              <w:t>County</w:t>
            </w:r>
            <w:r>
              <w:rPr>
                <w:color w:val="105C84"/>
                <w:spacing w:val="-4"/>
                <w:sz w:val="18"/>
              </w:rPr>
              <w:t> </w:t>
            </w:r>
            <w:r>
              <w:rPr>
                <w:color w:val="105C84"/>
                <w:spacing w:val="-2"/>
                <w:sz w:val="18"/>
              </w:rPr>
              <w:t>venues</w:t>
            </w:r>
          </w:p>
          <w:p>
            <w:pPr>
              <w:pStyle w:val="TableParagraph"/>
              <w:tabs>
                <w:tab w:pos="3906" w:val="left" w:leader="none"/>
              </w:tabs>
              <w:spacing w:line="153" w:lineRule="auto" w:before="31"/>
              <w:ind w:left="93"/>
              <w:rPr>
                <w:sz w:val="18"/>
              </w:rPr>
            </w:pPr>
            <w:r>
              <w:rPr>
                <w:color w:val="105C84"/>
                <w:position w:val="-6"/>
                <w:sz w:val="18"/>
              </w:rPr>
              <w:t>%</w:t>
            </w:r>
            <w:r>
              <w:rPr>
                <w:color w:val="105C84"/>
                <w:spacing w:val="-12"/>
                <w:position w:val="-6"/>
                <w:sz w:val="18"/>
              </w:rPr>
              <w:t> </w:t>
            </w:r>
            <w:r>
              <w:rPr>
                <w:color w:val="105C84"/>
                <w:position w:val="-6"/>
                <w:sz w:val="18"/>
              </w:rPr>
              <w:t>showing</w:t>
            </w:r>
            <w:r>
              <w:rPr>
                <w:color w:val="105C84"/>
                <w:spacing w:val="-11"/>
                <w:position w:val="-6"/>
                <w:sz w:val="18"/>
              </w:rPr>
              <w:t> </w:t>
            </w:r>
            <w:r>
              <w:rPr>
                <w:color w:val="105C84"/>
                <w:position w:val="-6"/>
                <w:sz w:val="18"/>
              </w:rPr>
              <w:t>an</w:t>
            </w:r>
            <w:r>
              <w:rPr>
                <w:color w:val="105C84"/>
                <w:spacing w:val="-12"/>
                <w:position w:val="-6"/>
                <w:sz w:val="18"/>
              </w:rPr>
              <w:t> </w:t>
            </w:r>
            <w:r>
              <w:rPr>
                <w:color w:val="105C84"/>
                <w:spacing w:val="-2"/>
                <w:position w:val="-6"/>
                <w:sz w:val="18"/>
              </w:rPr>
              <w:t>increase</w:t>
            </w:r>
            <w:r>
              <w:rPr>
                <w:color w:val="105C84"/>
                <w:position w:val="-6"/>
                <w:sz w:val="18"/>
              </w:rPr>
              <w:tab/>
            </w:r>
            <w:r>
              <w:rPr>
                <w:color w:val="105C84"/>
                <w:spacing w:val="-2"/>
                <w:sz w:val="18"/>
              </w:rPr>
              <w:t>and</w:t>
            </w:r>
            <w:r>
              <w:rPr>
                <w:color w:val="105C84"/>
                <w:spacing w:val="-7"/>
                <w:sz w:val="18"/>
              </w:rPr>
              <w:t> </w:t>
            </w:r>
            <w:r>
              <w:rPr>
                <w:color w:val="105C84"/>
                <w:spacing w:val="-2"/>
                <w:sz w:val="18"/>
              </w:rPr>
              <w:t>increase</w:t>
            </w:r>
            <w:r>
              <w:rPr>
                <w:color w:val="105C84"/>
                <w:spacing w:val="-7"/>
                <w:sz w:val="18"/>
              </w:rPr>
              <w:t> </w:t>
            </w:r>
            <w:r>
              <w:rPr>
                <w:color w:val="105C84"/>
                <w:spacing w:val="-2"/>
                <w:sz w:val="18"/>
              </w:rPr>
              <w:t>community</w:t>
            </w:r>
          </w:p>
          <w:p>
            <w:pPr>
              <w:pStyle w:val="TableParagraph"/>
              <w:tabs>
                <w:tab w:pos="3906" w:val="left" w:leader="none"/>
              </w:tabs>
              <w:spacing w:line="200" w:lineRule="exact"/>
              <w:ind w:left="93"/>
              <w:rPr>
                <w:position w:val="7"/>
                <w:sz w:val="18"/>
              </w:rPr>
            </w:pPr>
            <w:r>
              <w:rPr>
                <w:color w:val="105C84"/>
                <w:sz w:val="18"/>
              </w:rPr>
              <w:t>in</w:t>
            </w:r>
            <w:r>
              <w:rPr>
                <w:color w:val="105C84"/>
                <w:spacing w:val="6"/>
                <w:sz w:val="18"/>
              </w:rPr>
              <w:t> </w:t>
            </w:r>
            <w:r>
              <w:rPr>
                <w:color w:val="105C84"/>
                <w:sz w:val="18"/>
              </w:rPr>
              <w:t>knowledge</w:t>
            </w:r>
            <w:r>
              <w:rPr>
                <w:color w:val="105C84"/>
                <w:spacing w:val="6"/>
                <w:sz w:val="18"/>
              </w:rPr>
              <w:t> </w:t>
            </w:r>
            <w:r>
              <w:rPr>
                <w:color w:val="105C84"/>
                <w:spacing w:val="-4"/>
                <w:sz w:val="18"/>
              </w:rPr>
              <w:t>from</w:t>
            </w:r>
            <w:r>
              <w:rPr>
                <w:color w:val="105C84"/>
                <w:sz w:val="18"/>
              </w:rPr>
              <w:tab/>
            </w:r>
            <w:r>
              <w:rPr>
                <w:color w:val="105C84"/>
                <w:spacing w:val="-6"/>
                <w:position w:val="7"/>
                <w:sz w:val="18"/>
              </w:rPr>
              <w:t>awareness</w:t>
            </w:r>
            <w:r>
              <w:rPr>
                <w:color w:val="105C84"/>
                <w:spacing w:val="-3"/>
                <w:position w:val="7"/>
                <w:sz w:val="18"/>
              </w:rPr>
              <w:t> </w:t>
            </w:r>
            <w:r>
              <w:rPr>
                <w:color w:val="105C84"/>
                <w:spacing w:val="-5"/>
                <w:position w:val="7"/>
                <w:sz w:val="18"/>
              </w:rPr>
              <w:t>and</w:t>
            </w:r>
          </w:p>
          <w:p>
            <w:pPr>
              <w:pStyle w:val="TableParagraph"/>
              <w:tabs>
                <w:tab w:pos="3906" w:val="left" w:leader="none"/>
              </w:tabs>
              <w:spacing w:line="235" w:lineRule="exact"/>
              <w:ind w:left="93"/>
              <w:rPr>
                <w:position w:val="7"/>
                <w:sz w:val="18"/>
              </w:rPr>
            </w:pPr>
            <w:r>
              <w:rPr>
                <w:color w:val="105C84"/>
                <w:sz w:val="18"/>
              </w:rPr>
              <w:t>participating</w:t>
            </w:r>
            <w:r>
              <w:rPr>
                <w:color w:val="105C84"/>
                <w:spacing w:val="33"/>
                <w:sz w:val="18"/>
              </w:rPr>
              <w:t> </w:t>
            </w:r>
            <w:r>
              <w:rPr>
                <w:color w:val="105C84"/>
                <w:spacing w:val="-5"/>
                <w:sz w:val="18"/>
              </w:rPr>
              <w:t>in</w:t>
            </w:r>
            <w:r>
              <w:rPr>
                <w:color w:val="105C84"/>
                <w:sz w:val="18"/>
              </w:rPr>
              <w:tab/>
            </w:r>
            <w:r>
              <w:rPr>
                <w:color w:val="105C84"/>
                <w:spacing w:val="-2"/>
                <w:position w:val="7"/>
                <w:sz w:val="18"/>
              </w:rPr>
              <w:t>involvement</w:t>
            </w:r>
          </w:p>
          <w:p>
            <w:pPr>
              <w:pStyle w:val="TableParagraph"/>
              <w:spacing w:line="203" w:lineRule="exact"/>
              <w:ind w:left="93"/>
              <w:rPr>
                <w:sz w:val="18"/>
              </w:rPr>
            </w:pPr>
            <w:r>
              <w:rPr>
                <w:color w:val="105C84"/>
                <w:w w:val="105"/>
                <w:sz w:val="18"/>
              </w:rPr>
              <w:t>Childbirth</w:t>
            </w:r>
            <w:r>
              <w:rPr>
                <w:color w:val="105C84"/>
                <w:spacing w:val="-11"/>
                <w:w w:val="105"/>
                <w:sz w:val="18"/>
              </w:rPr>
              <w:t> </w:t>
            </w:r>
            <w:r>
              <w:rPr>
                <w:color w:val="105C84"/>
                <w:spacing w:val="-2"/>
                <w:w w:val="105"/>
                <w:sz w:val="18"/>
              </w:rPr>
              <w:t>Education</w:t>
            </w:r>
          </w:p>
          <w:p>
            <w:pPr>
              <w:pStyle w:val="TableParagraph"/>
              <w:spacing w:line="232" w:lineRule="auto" w:before="88"/>
              <w:ind w:left="93" w:right="4033"/>
              <w:rPr>
                <w:sz w:val="18"/>
              </w:rPr>
            </w:pPr>
            <w:r>
              <w:rPr>
                <w:color w:val="105C84"/>
                <w:sz w:val="18"/>
              </w:rPr>
              <w:t>#</w:t>
            </w:r>
            <w:r>
              <w:rPr>
                <w:color w:val="105C84"/>
                <w:spacing w:val="-15"/>
                <w:sz w:val="18"/>
              </w:rPr>
              <w:t> </w:t>
            </w:r>
            <w:r>
              <w:rPr>
                <w:color w:val="105C84"/>
                <w:sz w:val="18"/>
              </w:rPr>
              <w:t>staff</w:t>
            </w:r>
            <w:r>
              <w:rPr>
                <w:color w:val="105C84"/>
                <w:spacing w:val="-12"/>
                <w:sz w:val="18"/>
              </w:rPr>
              <w:t> </w:t>
            </w:r>
            <w:r>
              <w:rPr>
                <w:color w:val="105C84"/>
                <w:sz w:val="18"/>
              </w:rPr>
              <w:t>trained</w:t>
            </w:r>
            <w:r>
              <w:rPr>
                <w:color w:val="105C84"/>
                <w:spacing w:val="-13"/>
                <w:sz w:val="18"/>
              </w:rPr>
              <w:t> </w:t>
            </w:r>
            <w:r>
              <w:rPr>
                <w:color w:val="105C84"/>
                <w:sz w:val="18"/>
              </w:rPr>
              <w:t>in</w:t>
            </w:r>
            <w:r>
              <w:rPr>
                <w:color w:val="105C84"/>
                <w:spacing w:val="-12"/>
                <w:sz w:val="18"/>
              </w:rPr>
              <w:t> </w:t>
            </w:r>
            <w:r>
              <w:rPr>
                <w:color w:val="105C84"/>
                <w:sz w:val="18"/>
              </w:rPr>
              <w:t>Real </w:t>
            </w:r>
            <w:r>
              <w:rPr>
                <w:color w:val="105C84"/>
                <w:spacing w:val="-2"/>
                <w:sz w:val="18"/>
              </w:rPr>
              <w:t>Essentials</w:t>
            </w:r>
          </w:p>
          <w:p>
            <w:pPr>
              <w:pStyle w:val="TableParagraph"/>
              <w:spacing w:line="232" w:lineRule="auto" w:before="89"/>
              <w:ind w:left="93" w:right="4033"/>
              <w:rPr>
                <w:sz w:val="18"/>
              </w:rPr>
            </w:pPr>
            <w:r>
              <w:rPr>
                <w:color w:val="105C84"/>
                <w:sz w:val="18"/>
              </w:rPr>
              <w:t>#</w:t>
            </w:r>
            <w:r>
              <w:rPr>
                <w:color w:val="105C84"/>
                <w:spacing w:val="-6"/>
                <w:sz w:val="18"/>
              </w:rPr>
              <w:t> </w:t>
            </w:r>
            <w:r>
              <w:rPr>
                <w:color w:val="105C84"/>
                <w:sz w:val="18"/>
              </w:rPr>
              <w:t>staff</w:t>
            </w:r>
            <w:r>
              <w:rPr>
                <w:color w:val="105C84"/>
                <w:spacing w:val="-6"/>
                <w:sz w:val="18"/>
              </w:rPr>
              <w:t> </w:t>
            </w:r>
            <w:r>
              <w:rPr>
                <w:color w:val="105C84"/>
                <w:sz w:val="18"/>
              </w:rPr>
              <w:t>trained</w:t>
            </w:r>
            <w:r>
              <w:rPr>
                <w:color w:val="105C84"/>
                <w:spacing w:val="-6"/>
                <w:sz w:val="18"/>
              </w:rPr>
              <w:t> </w:t>
            </w:r>
            <w:r>
              <w:rPr>
                <w:color w:val="105C84"/>
                <w:sz w:val="18"/>
              </w:rPr>
              <w:t>to</w:t>
            </w:r>
            <w:r>
              <w:rPr>
                <w:color w:val="105C84"/>
                <w:spacing w:val="-6"/>
                <w:sz w:val="18"/>
              </w:rPr>
              <w:t> </w:t>
            </w:r>
            <w:r>
              <w:rPr>
                <w:color w:val="105C84"/>
                <w:sz w:val="18"/>
              </w:rPr>
              <w:t>be Birth and Beyond Educators (BABE)</w:t>
            </w:r>
          </w:p>
        </w:tc>
        <w:tc>
          <w:tcPr>
            <w:tcW w:w="2188" w:type="dxa"/>
          </w:tcPr>
          <w:p>
            <w:pPr>
              <w:pStyle w:val="TableParagraph"/>
              <w:spacing w:line="232" w:lineRule="auto" w:before="99"/>
              <w:ind w:left="94" w:right="35"/>
              <w:rPr>
                <w:sz w:val="18"/>
              </w:rPr>
            </w:pPr>
            <w:r>
              <w:rPr>
                <w:color w:val="105C84"/>
                <w:sz w:val="18"/>
              </w:rPr>
              <w:t>PRCV: Continue gathering and reporting data</w:t>
            </w:r>
            <w:r>
              <w:rPr>
                <w:color w:val="105C84"/>
                <w:spacing w:val="-13"/>
                <w:sz w:val="18"/>
              </w:rPr>
              <w:t> </w:t>
            </w:r>
            <w:r>
              <w:rPr>
                <w:color w:val="105C84"/>
                <w:sz w:val="18"/>
              </w:rPr>
              <w:t>for</w:t>
            </w:r>
            <w:r>
              <w:rPr>
                <w:color w:val="105C84"/>
                <w:spacing w:val="-12"/>
                <w:sz w:val="18"/>
              </w:rPr>
              <w:t> </w:t>
            </w:r>
            <w:r>
              <w:rPr>
                <w:color w:val="105C84"/>
                <w:sz w:val="18"/>
              </w:rPr>
              <w:t>each</w:t>
            </w:r>
            <w:r>
              <w:rPr>
                <w:color w:val="105C84"/>
                <w:spacing w:val="-13"/>
                <w:sz w:val="18"/>
              </w:rPr>
              <w:t> </w:t>
            </w:r>
            <w:r>
              <w:rPr>
                <w:color w:val="105C84"/>
                <w:sz w:val="18"/>
              </w:rPr>
              <w:t>established Real Essentials site</w:t>
            </w:r>
          </w:p>
          <w:p>
            <w:pPr>
              <w:pStyle w:val="TableParagraph"/>
              <w:spacing w:line="232" w:lineRule="auto" w:before="86"/>
              <w:ind w:left="94"/>
              <w:rPr>
                <w:sz w:val="18"/>
              </w:rPr>
            </w:pPr>
            <w:r>
              <w:rPr>
                <w:color w:val="105C84"/>
                <w:sz w:val="18"/>
              </w:rPr>
              <w:t>Increase Childbirth Education class opportunities</w:t>
            </w:r>
            <w:r>
              <w:rPr>
                <w:color w:val="105C84"/>
                <w:spacing w:val="-11"/>
                <w:sz w:val="18"/>
              </w:rPr>
              <w:t> </w:t>
            </w:r>
            <w:r>
              <w:rPr>
                <w:color w:val="105C84"/>
                <w:sz w:val="18"/>
              </w:rPr>
              <w:t>by</w:t>
            </w:r>
            <w:r>
              <w:rPr>
                <w:color w:val="105C84"/>
                <w:spacing w:val="-11"/>
                <w:sz w:val="18"/>
              </w:rPr>
              <w:t> </w:t>
            </w:r>
            <w:r>
              <w:rPr>
                <w:color w:val="105C84"/>
                <w:sz w:val="18"/>
              </w:rPr>
              <w:t>50%</w:t>
            </w:r>
          </w:p>
          <w:p>
            <w:pPr>
              <w:pStyle w:val="TableParagraph"/>
              <w:spacing w:line="232" w:lineRule="auto" w:before="88"/>
              <w:ind w:left="94"/>
              <w:rPr>
                <w:sz w:val="18"/>
              </w:rPr>
            </w:pPr>
            <w:r>
              <w:rPr>
                <w:color w:val="105C84"/>
                <w:sz w:val="18"/>
              </w:rPr>
              <w:t>1-3 additional staff trained/certified in childbirth education </w:t>
            </w:r>
            <w:r>
              <w:rPr>
                <w:color w:val="105C84"/>
                <w:sz w:val="18"/>
              </w:rPr>
              <w:t>by</w:t>
            </w:r>
            <w:r>
              <w:rPr>
                <w:color w:val="105C84"/>
                <w:sz w:val="18"/>
              </w:rPr>
              <w:t> </w:t>
            </w:r>
            <w:r>
              <w:rPr>
                <w:color w:val="105C84"/>
                <w:spacing w:val="-2"/>
                <w:sz w:val="18"/>
              </w:rPr>
              <w:t>12/31/20</w:t>
            </w:r>
          </w:p>
          <w:p>
            <w:pPr>
              <w:pStyle w:val="TableParagraph"/>
              <w:spacing w:line="232" w:lineRule="auto" w:before="87"/>
              <w:ind w:left="94"/>
              <w:rPr>
                <w:sz w:val="18"/>
              </w:rPr>
            </w:pPr>
            <w:r>
              <w:rPr>
                <w:color w:val="105C84"/>
                <w:sz w:val="18"/>
              </w:rPr>
              <w:t>Maintain staff/CE in childbirth</w:t>
            </w:r>
            <w:r>
              <w:rPr>
                <w:color w:val="105C84"/>
                <w:spacing w:val="28"/>
                <w:sz w:val="18"/>
              </w:rPr>
              <w:t> </w:t>
            </w:r>
            <w:r>
              <w:rPr>
                <w:color w:val="105C84"/>
                <w:spacing w:val="-2"/>
                <w:sz w:val="18"/>
              </w:rPr>
              <w:t>education</w:t>
            </w:r>
          </w:p>
          <w:p>
            <w:pPr>
              <w:pStyle w:val="TableParagraph"/>
              <w:spacing w:line="232" w:lineRule="auto" w:before="88"/>
              <w:ind w:left="94"/>
              <w:rPr>
                <w:sz w:val="18"/>
              </w:rPr>
            </w:pPr>
            <w:r>
              <w:rPr>
                <w:color w:val="105C84"/>
                <w:sz w:val="18"/>
              </w:rPr>
              <w:t>Maintain and increase existing</w:t>
            </w:r>
            <w:r>
              <w:rPr>
                <w:color w:val="105C84"/>
                <w:spacing w:val="-13"/>
                <w:sz w:val="18"/>
              </w:rPr>
              <w:t> </w:t>
            </w:r>
            <w:r>
              <w:rPr>
                <w:color w:val="105C84"/>
                <w:sz w:val="18"/>
              </w:rPr>
              <w:t>sites</w:t>
            </w:r>
            <w:r>
              <w:rPr>
                <w:color w:val="105C84"/>
                <w:spacing w:val="-12"/>
                <w:sz w:val="18"/>
              </w:rPr>
              <w:t> </w:t>
            </w:r>
            <w:r>
              <w:rPr>
                <w:color w:val="105C84"/>
                <w:sz w:val="18"/>
              </w:rPr>
              <w:t>in</w:t>
            </w:r>
            <w:r>
              <w:rPr>
                <w:color w:val="105C84"/>
                <w:spacing w:val="-13"/>
                <w:sz w:val="18"/>
              </w:rPr>
              <w:t> </w:t>
            </w:r>
            <w:r>
              <w:rPr>
                <w:color w:val="105C84"/>
                <w:sz w:val="18"/>
              </w:rPr>
              <w:t>Steuben County for childbirth </w:t>
            </w:r>
            <w:r>
              <w:rPr>
                <w:color w:val="105C84"/>
                <w:spacing w:val="-2"/>
                <w:sz w:val="18"/>
              </w:rPr>
              <w:t>education</w:t>
            </w:r>
          </w:p>
          <w:p>
            <w:pPr>
              <w:pStyle w:val="TableParagraph"/>
              <w:spacing w:line="232" w:lineRule="auto" w:before="87"/>
              <w:ind w:left="94" w:right="320"/>
              <w:rPr>
                <w:sz w:val="18"/>
              </w:rPr>
            </w:pPr>
            <w:r>
              <w:rPr>
                <w:color w:val="105C84"/>
                <w:sz w:val="18"/>
              </w:rPr>
              <w:t>Maintain or increase </w:t>
            </w:r>
            <w:r>
              <w:rPr>
                <w:color w:val="105C84"/>
                <w:spacing w:val="-2"/>
                <w:sz w:val="18"/>
              </w:rPr>
              <w:t>community</w:t>
            </w:r>
            <w:r>
              <w:rPr>
                <w:color w:val="105C84"/>
                <w:spacing w:val="-11"/>
                <w:sz w:val="18"/>
              </w:rPr>
              <w:t> </w:t>
            </w:r>
            <w:r>
              <w:rPr>
                <w:color w:val="105C84"/>
                <w:spacing w:val="-2"/>
                <w:sz w:val="18"/>
              </w:rPr>
              <w:t>awareness </w:t>
            </w:r>
            <w:r>
              <w:rPr>
                <w:color w:val="105C84"/>
                <w:sz w:val="18"/>
              </w:rPr>
              <w:t>and involvement</w:t>
            </w:r>
          </w:p>
        </w:tc>
        <w:tc>
          <w:tcPr>
            <w:tcW w:w="2174" w:type="dxa"/>
          </w:tcPr>
          <w:p>
            <w:pPr>
              <w:pStyle w:val="TableParagraph"/>
              <w:spacing w:line="232" w:lineRule="auto" w:before="98"/>
              <w:ind w:left="95" w:right="335"/>
              <w:rPr>
                <w:sz w:val="18"/>
              </w:rPr>
            </w:pPr>
            <w:r>
              <w:rPr>
                <w:color w:val="105C84"/>
                <w:sz w:val="18"/>
              </w:rPr>
              <w:t>PRCV: Continue gathering and reporting data for </w:t>
            </w:r>
            <w:r>
              <w:rPr>
                <w:color w:val="105C84"/>
                <w:spacing w:val="-2"/>
                <w:sz w:val="18"/>
              </w:rPr>
              <w:t>each</w:t>
            </w:r>
            <w:r>
              <w:rPr>
                <w:color w:val="105C84"/>
                <w:spacing w:val="-13"/>
                <w:sz w:val="18"/>
              </w:rPr>
              <w:t> </w:t>
            </w:r>
            <w:r>
              <w:rPr>
                <w:color w:val="105C84"/>
                <w:spacing w:val="-2"/>
                <w:sz w:val="18"/>
              </w:rPr>
              <w:t>established</w:t>
            </w:r>
            <w:r>
              <w:rPr>
                <w:color w:val="105C84"/>
                <w:spacing w:val="-10"/>
                <w:sz w:val="18"/>
              </w:rPr>
              <w:t> </w:t>
            </w:r>
            <w:r>
              <w:rPr>
                <w:color w:val="105C84"/>
                <w:spacing w:val="-2"/>
                <w:sz w:val="18"/>
              </w:rPr>
              <w:t>Real </w:t>
            </w:r>
            <w:r>
              <w:rPr>
                <w:color w:val="105C84"/>
                <w:sz w:val="18"/>
              </w:rPr>
              <w:t>Essentials site</w:t>
            </w:r>
          </w:p>
          <w:p>
            <w:pPr>
              <w:pStyle w:val="TableParagraph"/>
              <w:spacing w:line="232" w:lineRule="auto" w:before="86"/>
              <w:ind w:left="95" w:right="79"/>
              <w:rPr>
                <w:sz w:val="18"/>
              </w:rPr>
            </w:pPr>
            <w:r>
              <w:rPr>
                <w:color w:val="105C84"/>
                <w:sz w:val="18"/>
              </w:rPr>
              <w:t>Increase Childbirth Education class opportunities</w:t>
            </w:r>
            <w:r>
              <w:rPr>
                <w:color w:val="105C84"/>
                <w:spacing w:val="-11"/>
                <w:sz w:val="18"/>
              </w:rPr>
              <w:t> </w:t>
            </w:r>
            <w:r>
              <w:rPr>
                <w:color w:val="105C84"/>
                <w:sz w:val="18"/>
              </w:rPr>
              <w:t>by</w:t>
            </w:r>
            <w:r>
              <w:rPr>
                <w:color w:val="105C84"/>
                <w:spacing w:val="-11"/>
                <w:sz w:val="18"/>
              </w:rPr>
              <w:t> </w:t>
            </w:r>
            <w:r>
              <w:rPr>
                <w:color w:val="105C84"/>
                <w:sz w:val="18"/>
              </w:rPr>
              <w:t>50%</w:t>
            </w:r>
          </w:p>
          <w:p>
            <w:pPr>
              <w:pStyle w:val="TableParagraph"/>
              <w:spacing w:line="200" w:lineRule="exact"/>
              <w:ind w:left="95"/>
              <w:rPr>
                <w:sz w:val="18"/>
              </w:rPr>
            </w:pPr>
            <w:r>
              <w:rPr>
                <w:color w:val="105C84"/>
                <w:sz w:val="18"/>
              </w:rPr>
              <w:t>from</w:t>
            </w:r>
            <w:r>
              <w:rPr>
                <w:color w:val="105C84"/>
                <w:spacing w:val="4"/>
                <w:sz w:val="18"/>
              </w:rPr>
              <w:t> </w:t>
            </w:r>
            <w:r>
              <w:rPr>
                <w:color w:val="105C84"/>
                <w:spacing w:val="-4"/>
                <w:sz w:val="18"/>
              </w:rPr>
              <w:t>2020</w:t>
            </w:r>
          </w:p>
          <w:p>
            <w:pPr>
              <w:pStyle w:val="TableParagraph"/>
              <w:spacing w:line="232" w:lineRule="auto" w:before="88"/>
              <w:ind w:left="95" w:right="79"/>
              <w:rPr>
                <w:sz w:val="18"/>
              </w:rPr>
            </w:pPr>
            <w:r>
              <w:rPr>
                <w:color w:val="105C84"/>
                <w:sz w:val="18"/>
              </w:rPr>
              <w:t>1-3 additional staff trained/certified in childbirth education </w:t>
            </w:r>
            <w:r>
              <w:rPr>
                <w:color w:val="105C84"/>
                <w:sz w:val="18"/>
              </w:rPr>
              <w:t>by</w:t>
            </w:r>
            <w:r>
              <w:rPr>
                <w:color w:val="105C84"/>
                <w:sz w:val="18"/>
              </w:rPr>
              <w:t> </w:t>
            </w:r>
            <w:r>
              <w:rPr>
                <w:color w:val="105C84"/>
                <w:spacing w:val="-2"/>
                <w:sz w:val="18"/>
              </w:rPr>
              <w:t>12/31/21</w:t>
            </w:r>
          </w:p>
          <w:p>
            <w:pPr>
              <w:pStyle w:val="TableParagraph"/>
              <w:spacing w:line="232" w:lineRule="auto" w:before="87"/>
              <w:ind w:left="95" w:right="345"/>
              <w:rPr>
                <w:sz w:val="18"/>
              </w:rPr>
            </w:pPr>
            <w:r>
              <w:rPr>
                <w:color w:val="105C84"/>
                <w:sz w:val="18"/>
              </w:rPr>
              <w:t>Increase</w:t>
            </w:r>
            <w:r>
              <w:rPr>
                <w:color w:val="105C84"/>
                <w:spacing w:val="-15"/>
                <w:sz w:val="18"/>
              </w:rPr>
              <w:t> </w:t>
            </w:r>
            <w:r>
              <w:rPr>
                <w:color w:val="105C84"/>
                <w:sz w:val="18"/>
              </w:rPr>
              <w:t>trained</w:t>
            </w:r>
            <w:r>
              <w:rPr>
                <w:color w:val="105C84"/>
                <w:spacing w:val="-12"/>
                <w:sz w:val="18"/>
              </w:rPr>
              <w:t> </w:t>
            </w:r>
            <w:r>
              <w:rPr>
                <w:color w:val="105C84"/>
                <w:sz w:val="18"/>
              </w:rPr>
              <w:t>staff/ volunteers by 1-2 in childbirth education </w:t>
            </w:r>
            <w:r>
              <w:rPr>
                <w:color w:val="105C84"/>
                <w:spacing w:val="-2"/>
                <w:sz w:val="18"/>
              </w:rPr>
              <w:t>program</w:t>
            </w:r>
          </w:p>
          <w:p>
            <w:pPr>
              <w:pStyle w:val="TableParagraph"/>
              <w:spacing w:line="232" w:lineRule="auto" w:before="87"/>
              <w:ind w:left="95" w:right="79"/>
              <w:rPr>
                <w:sz w:val="18"/>
              </w:rPr>
            </w:pPr>
            <w:r>
              <w:rPr>
                <w:color w:val="105C84"/>
                <w:sz w:val="18"/>
              </w:rPr>
              <w:t>Maintain and increase existing</w:t>
            </w:r>
            <w:r>
              <w:rPr>
                <w:color w:val="105C84"/>
                <w:spacing w:val="-13"/>
                <w:sz w:val="18"/>
              </w:rPr>
              <w:t> </w:t>
            </w:r>
            <w:r>
              <w:rPr>
                <w:color w:val="105C84"/>
                <w:sz w:val="18"/>
              </w:rPr>
              <w:t>sites</w:t>
            </w:r>
            <w:r>
              <w:rPr>
                <w:color w:val="105C84"/>
                <w:spacing w:val="-12"/>
                <w:sz w:val="18"/>
              </w:rPr>
              <w:t> </w:t>
            </w:r>
            <w:r>
              <w:rPr>
                <w:color w:val="105C84"/>
                <w:sz w:val="18"/>
              </w:rPr>
              <w:t>in</w:t>
            </w:r>
            <w:r>
              <w:rPr>
                <w:color w:val="105C84"/>
                <w:spacing w:val="-13"/>
                <w:sz w:val="18"/>
              </w:rPr>
              <w:t> </w:t>
            </w:r>
            <w:r>
              <w:rPr>
                <w:color w:val="105C84"/>
                <w:sz w:val="18"/>
              </w:rPr>
              <w:t>Steuben County for childbirth </w:t>
            </w:r>
            <w:r>
              <w:rPr>
                <w:color w:val="105C84"/>
                <w:spacing w:val="-2"/>
                <w:sz w:val="18"/>
              </w:rPr>
              <w:t>education</w:t>
            </w:r>
          </w:p>
          <w:p>
            <w:pPr>
              <w:pStyle w:val="TableParagraph"/>
              <w:spacing w:line="232" w:lineRule="auto" w:before="87"/>
              <w:ind w:left="95" w:right="305"/>
              <w:rPr>
                <w:sz w:val="18"/>
              </w:rPr>
            </w:pPr>
            <w:r>
              <w:rPr>
                <w:color w:val="105C84"/>
                <w:sz w:val="18"/>
              </w:rPr>
              <w:t>Maintain or increase </w:t>
            </w:r>
            <w:r>
              <w:rPr>
                <w:color w:val="105C84"/>
                <w:spacing w:val="-2"/>
                <w:sz w:val="18"/>
              </w:rPr>
              <w:t>community</w:t>
            </w:r>
            <w:r>
              <w:rPr>
                <w:color w:val="105C84"/>
                <w:spacing w:val="-11"/>
                <w:sz w:val="18"/>
              </w:rPr>
              <w:t> </w:t>
            </w:r>
            <w:r>
              <w:rPr>
                <w:color w:val="105C84"/>
                <w:spacing w:val="-2"/>
                <w:sz w:val="18"/>
              </w:rPr>
              <w:t>awareness </w:t>
            </w:r>
            <w:r>
              <w:rPr>
                <w:color w:val="105C84"/>
                <w:sz w:val="18"/>
              </w:rPr>
              <w:t>and involvement</w:t>
            </w:r>
          </w:p>
        </w:tc>
        <w:tc>
          <w:tcPr>
            <w:tcW w:w="1497" w:type="dxa"/>
          </w:tcPr>
          <w:p>
            <w:pPr>
              <w:pStyle w:val="TableParagraph"/>
              <w:spacing w:line="232" w:lineRule="auto" w:before="98"/>
              <w:ind w:left="95"/>
              <w:rPr>
                <w:sz w:val="18"/>
              </w:rPr>
            </w:pPr>
            <w:r>
              <w:rPr>
                <w:color w:val="105C84"/>
                <w:spacing w:val="-2"/>
                <w:sz w:val="18"/>
              </w:rPr>
              <w:t>Community-based organizations</w:t>
            </w:r>
          </w:p>
        </w:tc>
        <w:tc>
          <w:tcPr>
            <w:tcW w:w="2068" w:type="dxa"/>
          </w:tcPr>
          <w:p>
            <w:pPr>
              <w:pStyle w:val="TableParagraph"/>
              <w:spacing w:line="232" w:lineRule="auto" w:before="98"/>
              <w:ind w:left="96" w:right="236"/>
              <w:rPr>
                <w:sz w:val="18"/>
              </w:rPr>
            </w:pPr>
            <w:r>
              <w:rPr>
                <w:color w:val="105C84"/>
                <w:sz w:val="18"/>
              </w:rPr>
              <w:t>PRCV oversees implementation of</w:t>
            </w:r>
            <w:r>
              <w:rPr>
                <w:color w:val="105C84"/>
                <w:spacing w:val="80"/>
                <w:sz w:val="18"/>
              </w:rPr>
              <w:t> </w:t>
            </w:r>
            <w:r>
              <w:rPr>
                <w:color w:val="105C84"/>
                <w:sz w:val="18"/>
              </w:rPr>
              <w:t>the Real Essentials curriculum</w:t>
            </w:r>
            <w:r>
              <w:rPr>
                <w:color w:val="105C84"/>
                <w:spacing w:val="-3"/>
                <w:sz w:val="18"/>
              </w:rPr>
              <w:t> </w:t>
            </w:r>
            <w:r>
              <w:rPr>
                <w:color w:val="105C84"/>
                <w:sz w:val="18"/>
              </w:rPr>
              <w:t>in</w:t>
            </w:r>
            <w:r>
              <w:rPr>
                <w:color w:val="105C84"/>
                <w:spacing w:val="-3"/>
                <w:sz w:val="18"/>
              </w:rPr>
              <w:t> </w:t>
            </w:r>
            <w:r>
              <w:rPr>
                <w:color w:val="105C84"/>
                <w:sz w:val="18"/>
              </w:rPr>
              <w:t>multiple</w:t>
            </w:r>
          </w:p>
          <w:p>
            <w:pPr>
              <w:pStyle w:val="TableParagraph"/>
              <w:spacing w:line="232" w:lineRule="auto"/>
              <w:ind w:left="96" w:right="161"/>
              <w:jc w:val="both"/>
              <w:rPr>
                <w:sz w:val="18"/>
              </w:rPr>
            </w:pPr>
            <w:r>
              <w:rPr>
                <w:color w:val="105C84"/>
                <w:sz w:val="18"/>
              </w:rPr>
              <w:t>community</w:t>
            </w:r>
            <w:r>
              <w:rPr>
                <w:color w:val="105C84"/>
                <w:spacing w:val="-6"/>
                <w:sz w:val="18"/>
              </w:rPr>
              <w:t> </w:t>
            </w:r>
            <w:r>
              <w:rPr>
                <w:color w:val="105C84"/>
                <w:sz w:val="18"/>
              </w:rPr>
              <w:t>and</w:t>
            </w:r>
            <w:r>
              <w:rPr>
                <w:color w:val="105C84"/>
                <w:spacing w:val="-6"/>
                <w:sz w:val="18"/>
              </w:rPr>
              <w:t> </w:t>
            </w:r>
            <w:r>
              <w:rPr>
                <w:color w:val="105C84"/>
                <w:sz w:val="18"/>
              </w:rPr>
              <w:t>center </w:t>
            </w:r>
            <w:r>
              <w:rPr>
                <w:color w:val="105C84"/>
                <w:spacing w:val="-2"/>
                <w:sz w:val="18"/>
              </w:rPr>
              <w:t>based</w:t>
            </w:r>
            <w:r>
              <w:rPr>
                <w:color w:val="105C84"/>
                <w:spacing w:val="-13"/>
                <w:sz w:val="18"/>
              </w:rPr>
              <w:t> </w:t>
            </w:r>
            <w:r>
              <w:rPr>
                <w:color w:val="105C84"/>
                <w:spacing w:val="-2"/>
                <w:sz w:val="18"/>
              </w:rPr>
              <w:t>locations</w:t>
            </w:r>
            <w:r>
              <w:rPr>
                <w:color w:val="105C84"/>
                <w:spacing w:val="-10"/>
                <w:sz w:val="18"/>
              </w:rPr>
              <w:t> </w:t>
            </w:r>
            <w:r>
              <w:rPr>
                <w:color w:val="105C84"/>
                <w:spacing w:val="-2"/>
                <w:sz w:val="18"/>
              </w:rPr>
              <w:t>across </w:t>
            </w:r>
            <w:r>
              <w:rPr>
                <w:color w:val="105C84"/>
                <w:sz w:val="18"/>
              </w:rPr>
              <w:t>Steuben County</w:t>
            </w:r>
          </w:p>
          <w:p>
            <w:pPr>
              <w:pStyle w:val="TableParagraph"/>
              <w:spacing w:line="232" w:lineRule="auto" w:before="84"/>
              <w:ind w:left="96" w:right="509"/>
              <w:rPr>
                <w:sz w:val="18"/>
              </w:rPr>
            </w:pPr>
            <w:r>
              <w:rPr>
                <w:color w:val="105C84"/>
                <w:sz w:val="18"/>
              </w:rPr>
              <w:t>PRCV connects multiple</w:t>
            </w:r>
            <w:r>
              <w:rPr>
                <w:color w:val="105C84"/>
                <w:spacing w:val="-8"/>
                <w:sz w:val="18"/>
              </w:rPr>
              <w:t> </w:t>
            </w:r>
            <w:r>
              <w:rPr>
                <w:color w:val="105C84"/>
                <w:sz w:val="18"/>
              </w:rPr>
              <w:t>partners to provide safe</w:t>
            </w:r>
          </w:p>
          <w:p>
            <w:pPr>
              <w:pStyle w:val="TableParagraph"/>
              <w:spacing w:line="232" w:lineRule="auto"/>
              <w:ind w:left="96" w:right="236"/>
              <w:rPr>
                <w:sz w:val="18"/>
              </w:rPr>
            </w:pPr>
            <w:r>
              <w:rPr>
                <w:color w:val="105C84"/>
                <w:sz w:val="18"/>
              </w:rPr>
              <w:t>community</w:t>
            </w:r>
            <w:r>
              <w:rPr>
                <w:color w:val="105C84"/>
                <w:spacing w:val="-15"/>
                <w:sz w:val="18"/>
              </w:rPr>
              <w:t> </w:t>
            </w:r>
            <w:r>
              <w:rPr>
                <w:color w:val="105C84"/>
                <w:sz w:val="18"/>
              </w:rPr>
              <w:t>space</w:t>
            </w:r>
            <w:r>
              <w:rPr>
                <w:color w:val="105C84"/>
                <w:spacing w:val="-12"/>
                <w:sz w:val="18"/>
              </w:rPr>
              <w:t> </w:t>
            </w:r>
            <w:r>
              <w:rPr>
                <w:color w:val="105C84"/>
                <w:sz w:val="18"/>
              </w:rPr>
              <w:t>for service provision</w:t>
            </w:r>
          </w:p>
          <w:p>
            <w:pPr>
              <w:pStyle w:val="TableParagraph"/>
              <w:spacing w:line="232" w:lineRule="auto" w:before="86"/>
              <w:ind w:left="96" w:right="141"/>
              <w:rPr>
                <w:sz w:val="18"/>
              </w:rPr>
            </w:pPr>
            <w:r>
              <w:rPr>
                <w:color w:val="105C84"/>
                <w:sz w:val="18"/>
              </w:rPr>
              <w:t>PRCV is able to partner with other organizations to fill in gaps</w:t>
            </w:r>
            <w:r>
              <w:rPr>
                <w:color w:val="105C84"/>
                <w:spacing w:val="-10"/>
                <w:sz w:val="18"/>
              </w:rPr>
              <w:t> </w:t>
            </w:r>
            <w:r>
              <w:rPr>
                <w:color w:val="105C84"/>
                <w:sz w:val="18"/>
              </w:rPr>
              <w:t>based</w:t>
            </w:r>
            <w:r>
              <w:rPr>
                <w:color w:val="105C84"/>
                <w:spacing w:val="-10"/>
                <w:sz w:val="18"/>
              </w:rPr>
              <w:t> </w:t>
            </w:r>
            <w:r>
              <w:rPr>
                <w:color w:val="105C84"/>
                <w:sz w:val="18"/>
              </w:rPr>
              <w:t>on</w:t>
            </w:r>
            <w:r>
              <w:rPr>
                <w:color w:val="105C84"/>
                <w:spacing w:val="-10"/>
                <w:sz w:val="18"/>
              </w:rPr>
              <w:t> </w:t>
            </w:r>
            <w:r>
              <w:rPr>
                <w:color w:val="105C84"/>
                <w:sz w:val="18"/>
              </w:rPr>
              <w:t>funder </w:t>
            </w:r>
            <w:r>
              <w:rPr>
                <w:color w:val="105C84"/>
                <w:spacing w:val="-2"/>
                <w:sz w:val="18"/>
              </w:rPr>
              <w:t>requirements</w:t>
            </w:r>
          </w:p>
          <w:p>
            <w:pPr>
              <w:pStyle w:val="TableParagraph"/>
              <w:spacing w:line="232" w:lineRule="auto" w:before="86"/>
              <w:ind w:left="96" w:right="97"/>
              <w:rPr>
                <w:sz w:val="18"/>
              </w:rPr>
            </w:pPr>
            <w:r>
              <w:rPr>
                <w:color w:val="105C84"/>
                <w:spacing w:val="-2"/>
                <w:sz w:val="18"/>
              </w:rPr>
              <w:t>PRCV</w:t>
            </w:r>
            <w:r>
              <w:rPr>
                <w:color w:val="105C84"/>
                <w:spacing w:val="-11"/>
                <w:sz w:val="18"/>
              </w:rPr>
              <w:t> </w:t>
            </w:r>
            <w:r>
              <w:rPr>
                <w:color w:val="105C84"/>
                <w:spacing w:val="-2"/>
                <w:sz w:val="18"/>
              </w:rPr>
              <w:t>provides</w:t>
            </w:r>
            <w:r>
              <w:rPr>
                <w:color w:val="105C84"/>
                <w:spacing w:val="-10"/>
                <w:sz w:val="18"/>
              </w:rPr>
              <w:t> </w:t>
            </w:r>
            <w:r>
              <w:rPr>
                <w:color w:val="105C84"/>
                <w:spacing w:val="-2"/>
                <w:sz w:val="18"/>
              </w:rPr>
              <w:t>trained/ </w:t>
            </w:r>
            <w:r>
              <w:rPr>
                <w:color w:val="105C84"/>
                <w:sz w:val="18"/>
              </w:rPr>
              <w:t>certified medical and educational staff, certified Birth and Beyond</w:t>
            </w:r>
            <w:r>
              <w:rPr>
                <w:color w:val="105C84"/>
                <w:spacing w:val="-15"/>
                <w:sz w:val="18"/>
              </w:rPr>
              <w:t> </w:t>
            </w:r>
            <w:r>
              <w:rPr>
                <w:color w:val="105C84"/>
                <w:sz w:val="18"/>
              </w:rPr>
              <w:t>Educators,</w:t>
            </w:r>
            <w:r>
              <w:rPr>
                <w:color w:val="105C84"/>
                <w:spacing w:val="-12"/>
                <w:sz w:val="18"/>
              </w:rPr>
              <w:t> </w:t>
            </w:r>
            <w:r>
              <w:rPr>
                <w:color w:val="105C84"/>
                <w:sz w:val="18"/>
              </w:rPr>
              <w:t>and a variety of support </w:t>
            </w:r>
            <w:r>
              <w:rPr>
                <w:color w:val="105C84"/>
                <w:spacing w:val="-2"/>
                <w:sz w:val="18"/>
              </w:rPr>
              <w:t>groups</w:t>
            </w:r>
          </w:p>
        </w:tc>
      </w:tr>
    </w:tbl>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287"/>
        <w:rPr>
          <w:b/>
          <w:sz w:val="26"/>
        </w:rPr>
      </w:pPr>
    </w:p>
    <w:p>
      <w:pPr>
        <w:tabs>
          <w:tab w:pos="23047" w:val="left" w:leader="none"/>
        </w:tabs>
        <w:spacing w:before="1"/>
        <w:ind w:left="0" w:right="0" w:firstLine="0"/>
        <w:jc w:val="left"/>
        <w:rPr>
          <w:b/>
          <w:sz w:val="26"/>
        </w:rPr>
      </w:pPr>
      <w:r>
        <w:rPr>
          <w:position w:val="-4"/>
        </w:rPr>
        <w:drawing>
          <wp:inline distT="0" distB="0" distL="0" distR="0">
            <wp:extent cx="568172" cy="184683"/>
            <wp:effectExtent l="0" t="0" r="0" b="0"/>
            <wp:docPr id="2027" name="Image 2027"/>
            <wp:cNvGraphicFramePr>
              <a:graphicFrameLocks/>
            </wp:cNvGraphicFramePr>
            <a:graphic>
              <a:graphicData uri="http://schemas.openxmlformats.org/drawingml/2006/picture">
                <pic:pic>
                  <pic:nvPicPr>
                    <pic:cNvPr id="2027" name="Image 2027"/>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13"/>
          <w:sz w:val="20"/>
        </w:rPr>
        <w:t> </w:t>
      </w:r>
      <w:r>
        <w:rPr>
          <w:b/>
          <w:color w:val="939598"/>
          <w:w w:val="105"/>
          <w:sz w:val="26"/>
        </w:rPr>
        <w:t>215</w:t>
      </w:r>
      <w:r>
        <w:rPr>
          <w:b/>
          <w:color w:val="939598"/>
          <w:sz w:val="26"/>
        </w:rPr>
        <w:tab/>
      </w:r>
      <w:r>
        <w:rPr>
          <w:b/>
          <w:color w:val="939598"/>
          <w:spacing w:val="-5"/>
          <w:w w:val="105"/>
          <w:sz w:val="26"/>
        </w:rPr>
        <w:t>216</w:t>
      </w:r>
    </w:p>
    <w:p>
      <w:pPr>
        <w:spacing w:after="0"/>
        <w:jc w:val="left"/>
        <w:rPr>
          <w:b/>
          <w:sz w:val="26"/>
        </w:rPr>
        <w:sectPr>
          <w:pgSz w:w="24480" w:h="15840" w:orient="landscape"/>
          <w:pgMar w:header="0" w:footer="0" w:top="860" w:bottom="0" w:left="0" w:right="720"/>
        </w:sectPr>
      </w:pPr>
    </w:p>
    <w:p>
      <w:pPr>
        <w:pStyle w:val="Heading2"/>
        <w:spacing w:before="609"/>
      </w:pPr>
      <w:r>
        <w:rPr/>
        <w:drawing>
          <wp:anchor distT="0" distB="0" distL="0" distR="0" allowOverlap="1" layoutInCell="1" locked="0" behindDoc="0" simplePos="0" relativeHeight="16032256">
            <wp:simplePos x="0" y="0"/>
            <wp:positionH relativeFrom="page">
              <wp:posOffset>14299183</wp:posOffset>
            </wp:positionH>
            <wp:positionV relativeFrom="paragraph">
              <wp:posOffset>345947</wp:posOffset>
            </wp:positionV>
            <wp:extent cx="620268" cy="568578"/>
            <wp:effectExtent l="0" t="0" r="0" b="0"/>
            <wp:wrapNone/>
            <wp:docPr id="2033" name="Image 2033"/>
            <wp:cNvGraphicFramePr>
              <a:graphicFrameLocks/>
            </wp:cNvGraphicFramePr>
            <a:graphic>
              <a:graphicData uri="http://schemas.openxmlformats.org/drawingml/2006/picture">
                <pic:pic>
                  <pic:nvPicPr>
                    <pic:cNvPr id="2033" name="Image 2033"/>
                    <pic:cNvPicPr/>
                  </pic:nvPicPr>
                  <pic:blipFill>
                    <a:blip r:embed="rId265" cstate="print"/>
                    <a:stretch>
                      <a:fillRect/>
                    </a:stretch>
                  </pic:blipFill>
                  <pic:spPr>
                    <a:xfrm>
                      <a:off x="0" y="0"/>
                      <a:ext cx="620268" cy="568578"/>
                    </a:xfrm>
                    <a:prstGeom prst="rect">
                      <a:avLst/>
                    </a:prstGeom>
                  </pic:spPr>
                </pic:pic>
              </a:graphicData>
            </a:graphic>
          </wp:anchor>
        </w:drawing>
      </w:r>
      <w:r>
        <w:rPr/>
        <w:drawing>
          <wp:anchor distT="0" distB="0" distL="0" distR="0" allowOverlap="1" layoutInCell="1" locked="0" behindDoc="0" simplePos="0" relativeHeight="16032768">
            <wp:simplePos x="0" y="0"/>
            <wp:positionH relativeFrom="page">
              <wp:posOffset>14981556</wp:posOffset>
            </wp:positionH>
            <wp:positionV relativeFrom="page">
              <wp:posOffset>9668103</wp:posOffset>
            </wp:positionV>
            <wp:extent cx="563245" cy="184683"/>
            <wp:effectExtent l="0" t="0" r="0" b="0"/>
            <wp:wrapNone/>
            <wp:docPr id="2034" name="Image 2034"/>
            <wp:cNvGraphicFramePr>
              <a:graphicFrameLocks/>
            </wp:cNvGraphicFramePr>
            <a:graphic>
              <a:graphicData uri="http://schemas.openxmlformats.org/drawingml/2006/picture">
                <pic:pic>
                  <pic:nvPicPr>
                    <pic:cNvPr id="2034" name="Image 2034"/>
                    <pic:cNvPicPr/>
                  </pic:nvPicPr>
                  <pic:blipFill>
                    <a:blip r:embed="rId38" cstate="print"/>
                    <a:stretch>
                      <a:fillRect/>
                    </a:stretch>
                  </pic:blipFill>
                  <pic:spPr>
                    <a:xfrm>
                      <a:off x="0" y="0"/>
                      <a:ext cx="563245" cy="184683"/>
                    </a:xfrm>
                    <a:prstGeom prst="rect">
                      <a:avLst/>
                    </a:prstGeom>
                  </pic:spPr>
                </pic:pic>
              </a:graphicData>
            </a:graphic>
          </wp:anchor>
        </w:drawing>
      </w:r>
      <w:r>
        <w:rPr/>
        <w:drawing>
          <wp:anchor distT="0" distB="0" distL="0" distR="0" allowOverlap="1" layoutInCell="1" locked="0" behindDoc="0" simplePos="0" relativeHeight="16033280">
            <wp:simplePos x="0" y="0"/>
            <wp:positionH relativeFrom="page">
              <wp:posOffset>13372084</wp:posOffset>
            </wp:positionH>
            <wp:positionV relativeFrom="paragraph">
              <wp:posOffset>365759</wp:posOffset>
            </wp:positionV>
            <wp:extent cx="728345" cy="366522"/>
            <wp:effectExtent l="0" t="0" r="0" b="0"/>
            <wp:wrapNone/>
            <wp:docPr id="2035" name="Image 2035"/>
            <wp:cNvGraphicFramePr>
              <a:graphicFrameLocks/>
            </wp:cNvGraphicFramePr>
            <a:graphic>
              <a:graphicData uri="http://schemas.openxmlformats.org/drawingml/2006/picture">
                <pic:pic>
                  <pic:nvPicPr>
                    <pic:cNvPr id="2035" name="Image 2035"/>
                    <pic:cNvPicPr/>
                  </pic:nvPicPr>
                  <pic:blipFill>
                    <a:blip r:embed="rId266" cstate="print"/>
                    <a:stretch>
                      <a:fillRect/>
                    </a:stretch>
                  </pic:blipFill>
                  <pic:spPr>
                    <a:xfrm>
                      <a:off x="0" y="0"/>
                      <a:ext cx="728345" cy="366522"/>
                    </a:xfrm>
                    <a:prstGeom prst="rect">
                      <a:avLst/>
                    </a:prstGeom>
                  </pic:spPr>
                </pic:pic>
              </a:graphicData>
            </a:graphic>
          </wp:anchor>
        </w:drawing>
      </w:r>
      <w:bookmarkStart w:name="_TOC_250001" w:id="18"/>
      <w:r>
        <w:rPr>
          <w:color w:val="636466"/>
        </w:rPr>
        <w:t>Wayne</w:t>
      </w:r>
      <w:r>
        <w:rPr>
          <w:color w:val="636466"/>
          <w:spacing w:val="37"/>
        </w:rPr>
        <w:t> </w:t>
      </w:r>
      <w:r>
        <w:rPr>
          <w:color w:val="636466"/>
        </w:rPr>
        <w:t>County</w:t>
      </w:r>
      <w:r>
        <w:rPr>
          <w:color w:val="636466"/>
          <w:spacing w:val="38"/>
        </w:rPr>
        <w:t> </w:t>
      </w:r>
      <w:r>
        <w:rPr>
          <w:color w:val="636466"/>
        </w:rPr>
        <w:t>Appendix</w:t>
      </w:r>
      <w:r>
        <w:rPr>
          <w:color w:val="636466"/>
          <w:spacing w:val="38"/>
        </w:rPr>
        <w:t> </w:t>
      </w:r>
      <w:bookmarkEnd w:id="18"/>
      <w:r>
        <w:rPr>
          <w:color w:val="636466"/>
          <w:spacing w:val="-10"/>
        </w:rPr>
        <w:t>G</w:t>
      </w:r>
    </w:p>
    <w:p>
      <w:pPr>
        <w:spacing w:before="236"/>
        <w:ind w:left="1089" w:right="0" w:firstLine="0"/>
        <w:jc w:val="left"/>
        <w:rPr>
          <w:b/>
          <w:sz w:val="32"/>
        </w:rPr>
      </w:pPr>
      <w:r>
        <w:rPr>
          <w:b/>
          <w:color w:val="82BF6A"/>
          <w:spacing w:val="-6"/>
          <w:sz w:val="32"/>
        </w:rPr>
        <w:t>PRIORITY:</w:t>
      </w:r>
      <w:r>
        <w:rPr>
          <w:b/>
          <w:color w:val="82BF6A"/>
          <w:spacing w:val="-13"/>
          <w:sz w:val="32"/>
        </w:rPr>
        <w:t> </w:t>
      </w:r>
      <w:r>
        <w:rPr>
          <w:b/>
          <w:color w:val="82BF6A"/>
          <w:spacing w:val="-6"/>
          <w:sz w:val="32"/>
        </w:rPr>
        <w:t>PREVENT</w:t>
      </w:r>
      <w:r>
        <w:rPr>
          <w:b/>
          <w:color w:val="82BF6A"/>
          <w:spacing w:val="-13"/>
          <w:sz w:val="32"/>
        </w:rPr>
        <w:t> </w:t>
      </w:r>
      <w:r>
        <w:rPr>
          <w:b/>
          <w:color w:val="82BF6A"/>
          <w:spacing w:val="-6"/>
          <w:sz w:val="32"/>
        </w:rPr>
        <w:t>CHRONIC</w:t>
      </w:r>
      <w:r>
        <w:rPr>
          <w:b/>
          <w:color w:val="82BF6A"/>
          <w:spacing w:val="-13"/>
          <w:sz w:val="32"/>
        </w:rPr>
        <w:t> </w:t>
      </w:r>
      <w:r>
        <w:rPr>
          <w:b/>
          <w:color w:val="82BF6A"/>
          <w:spacing w:val="-6"/>
          <w:sz w:val="32"/>
        </w:rPr>
        <w:t>DISEASES</w:t>
      </w:r>
    </w:p>
    <w:p>
      <w:pPr>
        <w:pStyle w:val="BodyText"/>
        <w:spacing w:before="162"/>
        <w:rPr>
          <w:b/>
          <w:sz w:val="20"/>
        </w:rPr>
      </w:pPr>
    </w:p>
    <w:tbl>
      <w:tblPr>
        <w:tblW w:w="0" w:type="auto"/>
        <w:jc w:val="left"/>
        <w:tblInd w:w="1099"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1180"/>
        <w:gridCol w:w="1267"/>
        <w:gridCol w:w="1440"/>
        <w:gridCol w:w="1411"/>
        <w:gridCol w:w="1065"/>
        <w:gridCol w:w="2159"/>
        <w:gridCol w:w="6054"/>
        <w:gridCol w:w="2188"/>
        <w:gridCol w:w="2433"/>
        <w:gridCol w:w="1497"/>
        <w:gridCol w:w="1607"/>
      </w:tblGrid>
      <w:tr>
        <w:trPr>
          <w:trHeight w:val="730" w:hRule="atLeast"/>
        </w:trPr>
        <w:tc>
          <w:tcPr>
            <w:tcW w:w="1180" w:type="dxa"/>
            <w:tcBorders>
              <w:right w:val="single" w:sz="4" w:space="0" w:color="FFFFFF"/>
            </w:tcBorders>
            <w:shd w:val="clear" w:color="auto" w:fill="A7A9AC"/>
          </w:tcPr>
          <w:p>
            <w:pPr>
              <w:pStyle w:val="TableParagraph"/>
              <w:spacing w:before="79"/>
              <w:rPr>
                <w:b/>
                <w:sz w:val="18"/>
              </w:rPr>
            </w:pPr>
          </w:p>
          <w:p>
            <w:pPr>
              <w:pStyle w:val="TableParagraph"/>
              <w:ind w:left="79"/>
              <w:rPr>
                <w:b/>
                <w:sz w:val="18"/>
              </w:rPr>
            </w:pPr>
            <w:r>
              <w:rPr>
                <w:b/>
                <w:color w:val="FFFFFF"/>
                <w:spacing w:val="-2"/>
                <w:sz w:val="18"/>
              </w:rPr>
              <w:t>Priority</w:t>
            </w:r>
          </w:p>
        </w:tc>
        <w:tc>
          <w:tcPr>
            <w:tcW w:w="1267" w:type="dxa"/>
            <w:tcBorders>
              <w:left w:val="single" w:sz="4" w:space="0" w:color="FFFFFF"/>
              <w:right w:val="single" w:sz="4" w:space="0" w:color="FFFFFF"/>
            </w:tcBorders>
            <w:shd w:val="clear" w:color="auto" w:fill="A7A9AC"/>
          </w:tcPr>
          <w:p>
            <w:pPr>
              <w:pStyle w:val="TableParagraph"/>
              <w:spacing w:before="79"/>
              <w:rPr>
                <w:b/>
                <w:sz w:val="18"/>
              </w:rPr>
            </w:pPr>
          </w:p>
          <w:p>
            <w:pPr>
              <w:pStyle w:val="TableParagraph"/>
              <w:ind w:left="80"/>
              <w:rPr>
                <w:b/>
                <w:sz w:val="18"/>
              </w:rPr>
            </w:pPr>
            <w:r>
              <w:rPr>
                <w:b/>
                <w:color w:val="FFFFFF"/>
                <w:w w:val="90"/>
                <w:sz w:val="18"/>
              </w:rPr>
              <w:t>Focus</w:t>
            </w:r>
            <w:r>
              <w:rPr>
                <w:b/>
                <w:color w:val="FFFFFF"/>
                <w:spacing w:val="8"/>
                <w:sz w:val="18"/>
              </w:rPr>
              <w:t> </w:t>
            </w:r>
            <w:r>
              <w:rPr>
                <w:b/>
                <w:color w:val="FFFFFF"/>
                <w:spacing w:val="-4"/>
                <w:sz w:val="18"/>
              </w:rPr>
              <w:t>Area</w:t>
            </w:r>
          </w:p>
        </w:tc>
        <w:tc>
          <w:tcPr>
            <w:tcW w:w="1440" w:type="dxa"/>
            <w:tcBorders>
              <w:left w:val="single" w:sz="4" w:space="0" w:color="FFFFFF"/>
              <w:right w:val="single" w:sz="4" w:space="0" w:color="FFFFFF"/>
            </w:tcBorders>
            <w:shd w:val="clear" w:color="auto" w:fill="A7A9AC"/>
          </w:tcPr>
          <w:p>
            <w:pPr>
              <w:pStyle w:val="TableParagraph"/>
              <w:spacing w:line="232" w:lineRule="auto" w:before="191"/>
              <w:ind w:left="80" w:right="410"/>
              <w:rPr>
                <w:b/>
                <w:sz w:val="18"/>
              </w:rPr>
            </w:pPr>
            <w:r>
              <w:rPr>
                <w:b/>
                <w:color w:val="FFFFFF"/>
                <w:spacing w:val="-6"/>
                <w:sz w:val="18"/>
              </w:rPr>
              <w:t>Goal</w:t>
            </w:r>
            <w:r>
              <w:rPr>
                <w:b/>
                <w:color w:val="FFFFFF"/>
                <w:spacing w:val="-7"/>
                <w:sz w:val="18"/>
              </w:rPr>
              <w:t> </w:t>
            </w:r>
            <w:r>
              <w:rPr>
                <w:b/>
                <w:color w:val="FFFFFF"/>
                <w:spacing w:val="-6"/>
                <w:sz w:val="18"/>
              </w:rPr>
              <w:t>Focus </w:t>
            </w:r>
            <w:r>
              <w:rPr>
                <w:b/>
                <w:color w:val="FFFFFF"/>
                <w:spacing w:val="-4"/>
                <w:sz w:val="18"/>
              </w:rPr>
              <w:t>Area</w:t>
            </w:r>
          </w:p>
        </w:tc>
        <w:tc>
          <w:tcPr>
            <w:tcW w:w="1411" w:type="dxa"/>
            <w:tcBorders>
              <w:left w:val="single" w:sz="4" w:space="0" w:color="FFFFFF"/>
              <w:right w:val="single" w:sz="4" w:space="0" w:color="FFFFFF"/>
            </w:tcBorders>
            <w:shd w:val="clear" w:color="auto" w:fill="A7A9AC"/>
          </w:tcPr>
          <w:p>
            <w:pPr>
              <w:pStyle w:val="TableParagraph"/>
              <w:spacing w:before="79"/>
              <w:rPr>
                <w:b/>
                <w:sz w:val="18"/>
              </w:rPr>
            </w:pPr>
          </w:p>
          <w:p>
            <w:pPr>
              <w:pStyle w:val="TableParagraph"/>
              <w:ind w:left="80"/>
              <w:rPr>
                <w:b/>
                <w:sz w:val="18"/>
              </w:rPr>
            </w:pPr>
            <w:r>
              <w:rPr>
                <w:b/>
                <w:color w:val="FFFFFF"/>
                <w:spacing w:val="-2"/>
                <w:sz w:val="18"/>
              </w:rPr>
              <w:t>Objectives</w:t>
            </w:r>
          </w:p>
        </w:tc>
        <w:tc>
          <w:tcPr>
            <w:tcW w:w="1065" w:type="dxa"/>
            <w:tcBorders>
              <w:left w:val="single" w:sz="4" w:space="0" w:color="FFFFFF"/>
              <w:right w:val="single" w:sz="4" w:space="0" w:color="FFFFFF"/>
            </w:tcBorders>
            <w:shd w:val="clear" w:color="auto" w:fill="A7A9AC"/>
          </w:tcPr>
          <w:p>
            <w:pPr>
              <w:pStyle w:val="TableParagraph"/>
              <w:spacing w:before="79"/>
              <w:rPr>
                <w:b/>
                <w:sz w:val="18"/>
              </w:rPr>
            </w:pPr>
          </w:p>
          <w:p>
            <w:pPr>
              <w:pStyle w:val="TableParagraph"/>
              <w:ind w:left="80"/>
              <w:rPr>
                <w:b/>
                <w:sz w:val="18"/>
              </w:rPr>
            </w:pPr>
            <w:r>
              <w:rPr>
                <w:b/>
                <w:color w:val="FFFFFF"/>
                <w:spacing w:val="-2"/>
                <w:sz w:val="18"/>
              </w:rPr>
              <w:t>Disparities</w:t>
            </w:r>
          </w:p>
        </w:tc>
        <w:tc>
          <w:tcPr>
            <w:tcW w:w="2159" w:type="dxa"/>
            <w:tcBorders>
              <w:left w:val="single" w:sz="4" w:space="0" w:color="FFFFFF"/>
              <w:right w:val="single" w:sz="4" w:space="0" w:color="FFFFFF"/>
            </w:tcBorders>
            <w:shd w:val="clear" w:color="auto" w:fill="A7A9AC"/>
          </w:tcPr>
          <w:p>
            <w:pPr>
              <w:pStyle w:val="TableParagraph"/>
              <w:spacing w:before="79"/>
              <w:rPr>
                <w:b/>
                <w:sz w:val="18"/>
              </w:rPr>
            </w:pPr>
          </w:p>
          <w:p>
            <w:pPr>
              <w:pStyle w:val="TableParagraph"/>
              <w:ind w:left="81"/>
              <w:rPr>
                <w:b/>
                <w:sz w:val="18"/>
              </w:rPr>
            </w:pPr>
            <w:r>
              <w:rPr>
                <w:b/>
                <w:color w:val="FFFFFF"/>
                <w:spacing w:val="-2"/>
                <w:sz w:val="18"/>
              </w:rPr>
              <w:t>Interventions</w:t>
            </w:r>
          </w:p>
        </w:tc>
        <w:tc>
          <w:tcPr>
            <w:tcW w:w="6054" w:type="dxa"/>
            <w:tcBorders>
              <w:left w:val="single" w:sz="4" w:space="0" w:color="FFFFFF"/>
              <w:right w:val="single" w:sz="4" w:space="0" w:color="FFFFFF"/>
            </w:tcBorders>
            <w:shd w:val="clear" w:color="auto" w:fill="A7A9AC"/>
          </w:tcPr>
          <w:p>
            <w:pPr>
              <w:pStyle w:val="TableParagraph"/>
              <w:spacing w:before="3"/>
              <w:rPr>
                <w:b/>
                <w:sz w:val="18"/>
              </w:rPr>
            </w:pPr>
          </w:p>
          <w:p>
            <w:pPr>
              <w:pStyle w:val="TableParagraph"/>
              <w:tabs>
                <w:tab w:pos="3710" w:val="left" w:leader="none"/>
              </w:tabs>
              <w:spacing w:line="156" w:lineRule="auto"/>
              <w:ind w:left="3710" w:right="224" w:hanging="3618"/>
              <w:rPr>
                <w:b/>
                <w:sz w:val="18"/>
              </w:rPr>
            </w:pPr>
            <w:r>
              <w:rPr>
                <w:b/>
                <w:color w:val="FFFFFF"/>
                <w:position w:val="-9"/>
                <w:sz w:val="18"/>
              </w:rPr>
              <w:t>Family of Measures</w:t>
              <w:tab/>
            </w:r>
            <w:r>
              <w:rPr>
                <w:b/>
                <w:color w:val="FFFFFF"/>
                <w:sz w:val="18"/>
              </w:rPr>
              <w:t>Projected</w:t>
            </w:r>
            <w:r>
              <w:rPr>
                <w:b/>
                <w:color w:val="FFFFFF"/>
                <w:spacing w:val="-15"/>
                <w:sz w:val="18"/>
              </w:rPr>
              <w:t> </w:t>
            </w:r>
            <w:r>
              <w:rPr>
                <w:b/>
                <w:color w:val="FFFFFF"/>
                <w:sz w:val="18"/>
              </w:rPr>
              <w:t>(or</w:t>
            </w:r>
            <w:r>
              <w:rPr>
                <w:b/>
                <w:color w:val="FFFFFF"/>
                <w:spacing w:val="-12"/>
                <w:sz w:val="18"/>
              </w:rPr>
              <w:t> </w:t>
            </w:r>
            <w:r>
              <w:rPr>
                <w:b/>
                <w:color w:val="FFFFFF"/>
                <w:sz w:val="18"/>
              </w:rPr>
              <w:t>completed) Year 1 Intervention</w:t>
            </w:r>
          </w:p>
        </w:tc>
        <w:tc>
          <w:tcPr>
            <w:tcW w:w="2188" w:type="dxa"/>
            <w:tcBorders>
              <w:left w:val="single" w:sz="4" w:space="0" w:color="FFFFFF"/>
              <w:right w:val="single" w:sz="4" w:space="0" w:color="FFFFFF"/>
            </w:tcBorders>
            <w:shd w:val="clear" w:color="auto" w:fill="A7A9AC"/>
          </w:tcPr>
          <w:p>
            <w:pPr>
              <w:pStyle w:val="TableParagraph"/>
              <w:spacing w:before="78"/>
              <w:rPr>
                <w:b/>
                <w:sz w:val="18"/>
              </w:rPr>
            </w:pPr>
          </w:p>
          <w:p>
            <w:pPr>
              <w:pStyle w:val="TableParagraph"/>
              <w:spacing w:before="1"/>
              <w:ind w:left="83"/>
              <w:rPr>
                <w:b/>
                <w:sz w:val="18"/>
              </w:rPr>
            </w:pPr>
            <w:r>
              <w:rPr>
                <w:b/>
                <w:color w:val="FFFFFF"/>
                <w:spacing w:val="-2"/>
                <w:sz w:val="18"/>
              </w:rPr>
              <w:t>Projected</w:t>
            </w:r>
            <w:r>
              <w:rPr>
                <w:b/>
                <w:color w:val="FFFFFF"/>
                <w:spacing w:val="-6"/>
                <w:sz w:val="18"/>
              </w:rPr>
              <w:t> </w:t>
            </w:r>
            <w:r>
              <w:rPr>
                <w:b/>
                <w:color w:val="FFFFFF"/>
                <w:spacing w:val="-2"/>
                <w:sz w:val="18"/>
              </w:rPr>
              <w:t>Year</w:t>
            </w:r>
            <w:r>
              <w:rPr>
                <w:b/>
                <w:color w:val="FFFFFF"/>
                <w:spacing w:val="-5"/>
                <w:sz w:val="18"/>
              </w:rPr>
              <w:t> </w:t>
            </w:r>
            <w:r>
              <w:rPr>
                <w:b/>
                <w:color w:val="FFFFFF"/>
                <w:spacing w:val="-12"/>
                <w:sz w:val="18"/>
              </w:rPr>
              <w:t>2</w:t>
            </w:r>
          </w:p>
        </w:tc>
        <w:tc>
          <w:tcPr>
            <w:tcW w:w="2433" w:type="dxa"/>
            <w:tcBorders>
              <w:left w:val="single" w:sz="4" w:space="0" w:color="FFFFFF"/>
              <w:right w:val="single" w:sz="4" w:space="0" w:color="FFFFFF"/>
            </w:tcBorders>
            <w:shd w:val="clear" w:color="auto" w:fill="A7A9AC"/>
          </w:tcPr>
          <w:p>
            <w:pPr>
              <w:pStyle w:val="TableParagraph"/>
              <w:spacing w:line="232" w:lineRule="auto" w:before="190"/>
              <w:ind w:left="84"/>
              <w:rPr>
                <w:b/>
                <w:sz w:val="18"/>
              </w:rPr>
            </w:pPr>
            <w:r>
              <w:rPr>
                <w:b/>
                <w:color w:val="FFFFFF"/>
                <w:spacing w:val="-2"/>
                <w:sz w:val="18"/>
              </w:rPr>
              <w:t>Projected</w:t>
            </w:r>
            <w:r>
              <w:rPr>
                <w:b/>
                <w:color w:val="FFFFFF"/>
                <w:spacing w:val="-13"/>
                <w:sz w:val="18"/>
              </w:rPr>
              <w:t> </w:t>
            </w:r>
            <w:r>
              <w:rPr>
                <w:b/>
                <w:color w:val="FFFFFF"/>
                <w:spacing w:val="-2"/>
                <w:sz w:val="18"/>
              </w:rPr>
              <w:t>Year</w:t>
            </w:r>
            <w:r>
              <w:rPr>
                <w:b/>
                <w:color w:val="FFFFFF"/>
                <w:spacing w:val="-10"/>
                <w:sz w:val="18"/>
              </w:rPr>
              <w:t> </w:t>
            </w:r>
            <w:r>
              <w:rPr>
                <w:b/>
                <w:color w:val="FFFFFF"/>
                <w:spacing w:val="-2"/>
                <w:sz w:val="18"/>
              </w:rPr>
              <w:t>3 Interventions</w:t>
            </w:r>
          </w:p>
        </w:tc>
        <w:tc>
          <w:tcPr>
            <w:tcW w:w="1497" w:type="dxa"/>
            <w:tcBorders>
              <w:left w:val="single" w:sz="4" w:space="0" w:color="FFFFFF"/>
            </w:tcBorders>
            <w:shd w:val="clear" w:color="auto" w:fill="A7A9AC"/>
          </w:tcPr>
          <w:p>
            <w:pPr>
              <w:pStyle w:val="TableParagraph"/>
              <w:spacing w:line="232" w:lineRule="auto" w:before="190"/>
              <w:ind w:left="85"/>
              <w:rPr>
                <w:b/>
                <w:sz w:val="18"/>
              </w:rPr>
            </w:pPr>
            <w:r>
              <w:rPr>
                <w:b/>
                <w:color w:val="FFFFFF"/>
                <w:spacing w:val="-2"/>
                <w:sz w:val="18"/>
              </w:rPr>
              <w:t>Implementation Partner</w:t>
            </w:r>
          </w:p>
        </w:tc>
        <w:tc>
          <w:tcPr>
            <w:tcW w:w="1607" w:type="dxa"/>
            <w:shd w:val="clear" w:color="auto" w:fill="A7A9AC"/>
          </w:tcPr>
          <w:p>
            <w:pPr>
              <w:pStyle w:val="TableParagraph"/>
              <w:spacing w:line="232" w:lineRule="auto" w:before="190"/>
              <w:ind w:left="85" w:right="266"/>
              <w:rPr>
                <w:b/>
                <w:sz w:val="18"/>
              </w:rPr>
            </w:pPr>
            <w:r>
              <w:rPr>
                <w:b/>
                <w:color w:val="FFFFFF"/>
                <w:spacing w:val="-4"/>
                <w:sz w:val="18"/>
              </w:rPr>
              <w:t>Partner</w:t>
            </w:r>
            <w:r>
              <w:rPr>
                <w:b/>
                <w:color w:val="FFFFFF"/>
                <w:spacing w:val="-9"/>
                <w:sz w:val="18"/>
              </w:rPr>
              <w:t> </w:t>
            </w:r>
            <w:r>
              <w:rPr>
                <w:b/>
                <w:color w:val="FFFFFF"/>
                <w:spacing w:val="-4"/>
                <w:sz w:val="18"/>
              </w:rPr>
              <w:t>Role(s) </w:t>
            </w:r>
            <w:r>
              <w:rPr>
                <w:b/>
                <w:color w:val="FFFFFF"/>
                <w:sz w:val="18"/>
              </w:rPr>
              <w:t>and</w:t>
            </w:r>
            <w:r>
              <w:rPr>
                <w:b/>
                <w:color w:val="FFFFFF"/>
                <w:spacing w:val="-7"/>
                <w:sz w:val="18"/>
              </w:rPr>
              <w:t> Resources</w:t>
            </w:r>
          </w:p>
        </w:tc>
      </w:tr>
      <w:tr>
        <w:trPr>
          <w:trHeight w:val="5220" w:hRule="atLeast"/>
        </w:trPr>
        <w:tc>
          <w:tcPr>
            <w:tcW w:w="1180" w:type="dxa"/>
            <w:vMerge w:val="restart"/>
            <w:shd w:val="clear" w:color="auto" w:fill="E6E7E8"/>
          </w:tcPr>
          <w:p>
            <w:pPr>
              <w:pStyle w:val="TableParagraph"/>
              <w:spacing w:line="232" w:lineRule="auto" w:before="100"/>
              <w:ind w:left="89" w:right="363"/>
              <w:jc w:val="both"/>
              <w:rPr>
                <w:sz w:val="18"/>
              </w:rPr>
            </w:pPr>
            <w:r>
              <w:rPr>
                <w:color w:val="105C84"/>
                <w:spacing w:val="-2"/>
                <w:sz w:val="18"/>
              </w:rPr>
              <w:t>Prevent Chronic </w:t>
            </w:r>
            <w:r>
              <w:rPr>
                <w:color w:val="105C84"/>
                <w:spacing w:val="-6"/>
                <w:sz w:val="18"/>
              </w:rPr>
              <w:t>Diseases</w:t>
            </w:r>
          </w:p>
        </w:tc>
        <w:tc>
          <w:tcPr>
            <w:tcW w:w="1267" w:type="dxa"/>
            <w:vMerge w:val="restart"/>
          </w:tcPr>
          <w:p>
            <w:pPr>
              <w:pStyle w:val="TableParagraph"/>
              <w:spacing w:line="232" w:lineRule="auto" w:before="100"/>
              <w:ind w:left="90" w:right="86"/>
              <w:rPr>
                <w:sz w:val="18"/>
              </w:rPr>
            </w:pPr>
            <w:r>
              <w:rPr>
                <w:color w:val="105C84"/>
                <w:spacing w:val="-4"/>
                <w:sz w:val="18"/>
              </w:rPr>
              <w:t>Focus</w:t>
            </w:r>
            <w:r>
              <w:rPr>
                <w:color w:val="105C84"/>
                <w:spacing w:val="-11"/>
                <w:sz w:val="18"/>
              </w:rPr>
              <w:t> </w:t>
            </w:r>
            <w:r>
              <w:rPr>
                <w:color w:val="105C84"/>
                <w:spacing w:val="-4"/>
                <w:sz w:val="18"/>
              </w:rPr>
              <w:t>Area</w:t>
            </w:r>
            <w:r>
              <w:rPr>
                <w:color w:val="105C84"/>
                <w:spacing w:val="-8"/>
                <w:sz w:val="18"/>
              </w:rPr>
              <w:t> </w:t>
            </w:r>
            <w:r>
              <w:rPr>
                <w:color w:val="105C84"/>
                <w:spacing w:val="-4"/>
                <w:sz w:val="18"/>
              </w:rPr>
              <w:t>3: </w:t>
            </w:r>
            <w:r>
              <w:rPr>
                <w:color w:val="105C84"/>
                <w:spacing w:val="-2"/>
                <w:sz w:val="18"/>
              </w:rPr>
              <w:t>Tobacco prevention</w:t>
            </w:r>
          </w:p>
        </w:tc>
        <w:tc>
          <w:tcPr>
            <w:tcW w:w="1440" w:type="dxa"/>
            <w:vMerge w:val="restart"/>
          </w:tcPr>
          <w:p>
            <w:pPr>
              <w:pStyle w:val="TableParagraph"/>
              <w:spacing w:line="232" w:lineRule="auto" w:before="100"/>
              <w:ind w:left="90" w:right="359"/>
              <w:rPr>
                <w:sz w:val="18"/>
              </w:rPr>
            </w:pPr>
            <w:r>
              <w:rPr>
                <w:color w:val="105C84"/>
                <w:sz w:val="18"/>
              </w:rPr>
              <w:t>Goal 3.1: </w:t>
            </w:r>
            <w:r>
              <w:rPr>
                <w:color w:val="105C84"/>
                <w:spacing w:val="-2"/>
                <w:sz w:val="18"/>
              </w:rPr>
              <w:t>Prevent </w:t>
            </w:r>
            <w:r>
              <w:rPr>
                <w:color w:val="105C84"/>
                <w:sz w:val="18"/>
              </w:rPr>
              <w:t>initiation of tobacco</w:t>
            </w:r>
            <w:r>
              <w:rPr>
                <w:color w:val="105C84"/>
                <w:spacing w:val="14"/>
                <w:sz w:val="18"/>
              </w:rPr>
              <w:t> </w:t>
            </w:r>
            <w:r>
              <w:rPr>
                <w:color w:val="105C84"/>
                <w:spacing w:val="-8"/>
                <w:sz w:val="18"/>
              </w:rPr>
              <w:t>use</w:t>
            </w:r>
          </w:p>
        </w:tc>
        <w:tc>
          <w:tcPr>
            <w:tcW w:w="1411" w:type="dxa"/>
            <w:vMerge w:val="restart"/>
          </w:tcPr>
          <w:p>
            <w:pPr>
              <w:pStyle w:val="TableParagraph"/>
              <w:numPr>
                <w:ilvl w:val="2"/>
                <w:numId w:val="70"/>
              </w:numPr>
              <w:tabs>
                <w:tab w:pos="510" w:val="left" w:leader="none"/>
              </w:tabs>
              <w:spacing w:line="232" w:lineRule="auto" w:before="100" w:after="0"/>
              <w:ind w:left="90" w:right="111" w:firstLine="0"/>
              <w:jc w:val="left"/>
              <w:rPr>
                <w:sz w:val="18"/>
              </w:rPr>
            </w:pPr>
            <w:r>
              <w:rPr>
                <w:color w:val="105C84"/>
                <w:spacing w:val="-2"/>
                <w:sz w:val="18"/>
              </w:rPr>
              <w:t>Decrease </w:t>
            </w:r>
            <w:r>
              <w:rPr>
                <w:color w:val="105C84"/>
                <w:sz w:val="18"/>
              </w:rPr>
              <w:t>the</w:t>
            </w:r>
            <w:r>
              <w:rPr>
                <w:color w:val="105C84"/>
                <w:spacing w:val="-13"/>
                <w:sz w:val="18"/>
              </w:rPr>
              <w:t> </w:t>
            </w:r>
            <w:r>
              <w:rPr>
                <w:color w:val="105C84"/>
                <w:sz w:val="18"/>
              </w:rPr>
              <w:t>prevalence of</w:t>
            </w:r>
            <w:r>
              <w:rPr>
                <w:color w:val="105C84"/>
                <w:spacing w:val="-1"/>
                <w:sz w:val="18"/>
              </w:rPr>
              <w:t> </w:t>
            </w:r>
            <w:r>
              <w:rPr>
                <w:color w:val="105C84"/>
                <w:sz w:val="18"/>
              </w:rPr>
              <w:t>combustible cigarette use by high school </w:t>
            </w:r>
            <w:r>
              <w:rPr>
                <w:color w:val="105C84"/>
                <w:spacing w:val="-2"/>
                <w:sz w:val="18"/>
              </w:rPr>
              <w:t>students;</w:t>
            </w:r>
          </w:p>
          <w:p>
            <w:pPr>
              <w:pStyle w:val="TableParagraph"/>
              <w:numPr>
                <w:ilvl w:val="2"/>
                <w:numId w:val="70"/>
              </w:numPr>
              <w:tabs>
                <w:tab w:pos="510" w:val="left" w:leader="none"/>
              </w:tabs>
              <w:spacing w:line="232" w:lineRule="auto" w:before="86" w:after="0"/>
              <w:ind w:left="90" w:right="127" w:firstLine="0"/>
              <w:jc w:val="left"/>
              <w:rPr>
                <w:sz w:val="18"/>
              </w:rPr>
            </w:pPr>
            <w:r>
              <w:rPr>
                <w:color w:val="105C84"/>
                <w:spacing w:val="-4"/>
                <w:sz w:val="18"/>
              </w:rPr>
              <w:t>Decrease </w:t>
            </w:r>
            <w:r>
              <w:rPr>
                <w:color w:val="105C84"/>
                <w:sz w:val="18"/>
              </w:rPr>
              <w:t>the</w:t>
            </w:r>
            <w:r>
              <w:rPr>
                <w:color w:val="105C84"/>
                <w:spacing w:val="-13"/>
                <w:sz w:val="18"/>
              </w:rPr>
              <w:t> </w:t>
            </w:r>
            <w:r>
              <w:rPr>
                <w:color w:val="105C84"/>
                <w:sz w:val="18"/>
              </w:rPr>
              <w:t>prevalence of vaping product use</w:t>
            </w:r>
            <w:r>
              <w:rPr>
                <w:color w:val="105C84"/>
                <w:spacing w:val="80"/>
                <w:sz w:val="18"/>
              </w:rPr>
              <w:t> </w:t>
            </w:r>
            <w:r>
              <w:rPr>
                <w:color w:val="105C84"/>
                <w:sz w:val="18"/>
              </w:rPr>
              <w:t>by</w:t>
            </w:r>
            <w:r>
              <w:rPr>
                <w:color w:val="105C84"/>
                <w:spacing w:val="-4"/>
                <w:sz w:val="18"/>
              </w:rPr>
              <w:t> </w:t>
            </w:r>
            <w:r>
              <w:rPr>
                <w:color w:val="105C84"/>
                <w:sz w:val="18"/>
              </w:rPr>
              <w:t>high</w:t>
            </w:r>
            <w:r>
              <w:rPr>
                <w:color w:val="105C84"/>
                <w:spacing w:val="-4"/>
                <w:sz w:val="18"/>
              </w:rPr>
              <w:t> </w:t>
            </w:r>
            <w:r>
              <w:rPr>
                <w:color w:val="105C84"/>
                <w:sz w:val="18"/>
              </w:rPr>
              <w:t>school </w:t>
            </w:r>
            <w:r>
              <w:rPr>
                <w:color w:val="105C84"/>
                <w:spacing w:val="-2"/>
                <w:sz w:val="18"/>
              </w:rPr>
              <w:t>students</w:t>
            </w:r>
          </w:p>
        </w:tc>
        <w:tc>
          <w:tcPr>
            <w:tcW w:w="1065" w:type="dxa"/>
          </w:tcPr>
          <w:p>
            <w:pPr>
              <w:pStyle w:val="TableParagraph"/>
              <w:rPr>
                <w:rFonts w:ascii="Times New Roman"/>
                <w:sz w:val="18"/>
              </w:rPr>
            </w:pPr>
          </w:p>
        </w:tc>
        <w:tc>
          <w:tcPr>
            <w:tcW w:w="2159" w:type="dxa"/>
            <w:vMerge w:val="restart"/>
          </w:tcPr>
          <w:p>
            <w:pPr>
              <w:pStyle w:val="TableParagraph"/>
              <w:spacing w:line="232" w:lineRule="auto" w:before="100"/>
              <w:ind w:left="91" w:right="314"/>
              <w:rPr>
                <w:sz w:val="18"/>
              </w:rPr>
            </w:pPr>
            <w:r>
              <w:rPr>
                <w:color w:val="105C84"/>
                <w:sz w:val="18"/>
              </w:rPr>
              <w:t>Intervention 3.1.2: Use</w:t>
            </w:r>
            <w:r>
              <w:rPr>
                <w:color w:val="105C84"/>
                <w:spacing w:val="-13"/>
                <w:sz w:val="18"/>
              </w:rPr>
              <w:t> </w:t>
            </w:r>
            <w:r>
              <w:rPr>
                <w:color w:val="105C84"/>
                <w:sz w:val="18"/>
              </w:rPr>
              <w:t>media</w:t>
            </w:r>
            <w:r>
              <w:rPr>
                <w:color w:val="105C84"/>
                <w:spacing w:val="-12"/>
                <w:sz w:val="18"/>
              </w:rPr>
              <w:t> </w:t>
            </w:r>
            <w:r>
              <w:rPr>
                <w:color w:val="105C84"/>
                <w:sz w:val="18"/>
              </w:rPr>
              <w:t>and</w:t>
            </w:r>
            <w:r>
              <w:rPr>
                <w:color w:val="105C84"/>
                <w:spacing w:val="-13"/>
                <w:sz w:val="18"/>
              </w:rPr>
              <w:t> </w:t>
            </w:r>
            <w:r>
              <w:rPr>
                <w:color w:val="105C84"/>
                <w:sz w:val="18"/>
              </w:rPr>
              <w:t>health communications to highlight the dangers of tobacco, promote</w:t>
            </w:r>
          </w:p>
          <w:p>
            <w:pPr>
              <w:pStyle w:val="TableParagraph"/>
              <w:spacing w:line="232" w:lineRule="auto"/>
              <w:ind w:left="91"/>
              <w:rPr>
                <w:sz w:val="18"/>
              </w:rPr>
            </w:pPr>
            <w:r>
              <w:rPr>
                <w:color w:val="105C84"/>
                <w:sz w:val="18"/>
              </w:rPr>
              <w:t>effective tobacco </w:t>
            </w:r>
            <w:r>
              <w:rPr>
                <w:color w:val="105C84"/>
                <w:sz w:val="18"/>
              </w:rPr>
              <w:t>control policies and reshape social norms</w:t>
            </w:r>
          </w:p>
        </w:tc>
        <w:tc>
          <w:tcPr>
            <w:tcW w:w="6054" w:type="dxa"/>
          </w:tcPr>
          <w:p>
            <w:pPr>
              <w:pStyle w:val="TableParagraph"/>
              <w:tabs>
                <w:tab w:pos="3710" w:val="left" w:leader="none"/>
              </w:tabs>
              <w:spacing w:line="203" w:lineRule="exact" w:before="95"/>
              <w:ind w:left="92"/>
              <w:rPr>
                <w:sz w:val="18"/>
              </w:rPr>
            </w:pPr>
            <w:r>
              <w:rPr>
                <w:color w:val="105C84"/>
                <w:spacing w:val="-2"/>
                <w:sz w:val="18"/>
              </w:rPr>
              <w:t>Metrics/Goals</w:t>
            </w:r>
            <w:r>
              <w:rPr>
                <w:color w:val="105C84"/>
                <w:sz w:val="18"/>
              </w:rPr>
              <w:tab/>
            </w:r>
            <w:r>
              <w:rPr>
                <w:color w:val="105C84"/>
                <w:spacing w:val="-2"/>
                <w:sz w:val="18"/>
              </w:rPr>
              <w:t>Share unified messages</w:t>
            </w:r>
          </w:p>
          <w:p>
            <w:pPr>
              <w:pStyle w:val="TableParagraph"/>
              <w:tabs>
                <w:tab w:pos="3710" w:val="left" w:leader="none"/>
              </w:tabs>
              <w:spacing w:line="200" w:lineRule="exact"/>
              <w:ind w:left="92"/>
              <w:rPr>
                <w:sz w:val="18"/>
              </w:rPr>
            </w:pPr>
            <w:r>
              <w:rPr>
                <w:color w:val="105C84"/>
                <w:sz w:val="18"/>
              </w:rPr>
              <w:t>by</w:t>
            </w:r>
            <w:r>
              <w:rPr>
                <w:color w:val="105C84"/>
                <w:spacing w:val="-3"/>
                <w:sz w:val="18"/>
              </w:rPr>
              <w:t> </w:t>
            </w:r>
            <w:r>
              <w:rPr>
                <w:color w:val="105C84"/>
                <w:spacing w:val="-4"/>
                <w:sz w:val="18"/>
              </w:rPr>
              <w:t>Year</w:t>
            </w:r>
            <w:r>
              <w:rPr>
                <w:color w:val="105C84"/>
                <w:sz w:val="18"/>
              </w:rPr>
              <w:tab/>
              <w:t>around</w:t>
            </w:r>
            <w:r>
              <w:rPr>
                <w:color w:val="105C84"/>
                <w:spacing w:val="4"/>
                <w:sz w:val="18"/>
              </w:rPr>
              <w:t> </w:t>
            </w:r>
            <w:r>
              <w:rPr>
                <w:color w:val="105C84"/>
                <w:sz w:val="18"/>
              </w:rPr>
              <w:t>tobacco</w:t>
            </w:r>
            <w:r>
              <w:rPr>
                <w:color w:val="105C84"/>
                <w:spacing w:val="5"/>
                <w:sz w:val="18"/>
              </w:rPr>
              <w:t> </w:t>
            </w:r>
            <w:r>
              <w:rPr>
                <w:color w:val="105C84"/>
                <w:sz w:val="18"/>
              </w:rPr>
              <w:t>and</w:t>
            </w:r>
            <w:r>
              <w:rPr>
                <w:color w:val="105C84"/>
                <w:spacing w:val="4"/>
                <w:sz w:val="18"/>
              </w:rPr>
              <w:t> </w:t>
            </w:r>
            <w:r>
              <w:rPr>
                <w:color w:val="105C84"/>
                <w:spacing w:val="-2"/>
                <w:sz w:val="18"/>
              </w:rPr>
              <w:t>vaping</w:t>
            </w:r>
          </w:p>
          <w:p>
            <w:pPr>
              <w:pStyle w:val="TableParagraph"/>
              <w:tabs>
                <w:tab w:pos="3710" w:val="left" w:leader="none"/>
              </w:tabs>
              <w:spacing w:line="232" w:lineRule="auto"/>
              <w:ind w:left="92"/>
              <w:rPr>
                <w:sz w:val="18"/>
              </w:rPr>
            </w:pPr>
            <w:r>
              <w:rPr>
                <w:color w:val="105C84"/>
                <w:spacing w:val="-4"/>
                <w:position w:val="-8"/>
                <w:sz w:val="18"/>
              </w:rPr>
              <w:t>Year</w:t>
            </w:r>
            <w:r>
              <w:rPr>
                <w:color w:val="105C84"/>
                <w:spacing w:val="-8"/>
                <w:position w:val="-8"/>
                <w:sz w:val="18"/>
              </w:rPr>
              <w:t> </w:t>
            </w:r>
            <w:r>
              <w:rPr>
                <w:color w:val="105C84"/>
                <w:spacing w:val="-4"/>
                <w:position w:val="-8"/>
                <w:sz w:val="18"/>
              </w:rPr>
              <w:t>1:</w:t>
            </w:r>
            <w:r>
              <w:rPr>
                <w:color w:val="105C84"/>
                <w:spacing w:val="-8"/>
                <w:position w:val="-8"/>
                <w:sz w:val="18"/>
              </w:rPr>
              <w:t> </w:t>
            </w:r>
            <w:r>
              <w:rPr>
                <w:color w:val="105C84"/>
                <w:spacing w:val="-4"/>
                <w:position w:val="-8"/>
                <w:sz w:val="18"/>
              </w:rPr>
              <w:t>2+</w:t>
            </w:r>
            <w:r>
              <w:rPr>
                <w:color w:val="105C84"/>
                <w:spacing w:val="-8"/>
                <w:position w:val="-8"/>
                <w:sz w:val="18"/>
              </w:rPr>
              <w:t> </w:t>
            </w:r>
            <w:r>
              <w:rPr>
                <w:color w:val="105C84"/>
                <w:spacing w:val="-4"/>
                <w:position w:val="-8"/>
                <w:sz w:val="18"/>
              </w:rPr>
              <w:t>unified</w:t>
            </w:r>
            <w:r>
              <w:rPr>
                <w:color w:val="105C84"/>
                <w:position w:val="-8"/>
                <w:sz w:val="18"/>
              </w:rPr>
              <w:tab/>
            </w:r>
            <w:r>
              <w:rPr>
                <w:color w:val="105C84"/>
                <w:sz w:val="18"/>
              </w:rPr>
              <w:t>prevention</w:t>
            </w:r>
            <w:r>
              <w:rPr>
                <w:color w:val="105C84"/>
                <w:spacing w:val="5"/>
                <w:sz w:val="18"/>
              </w:rPr>
              <w:t> </w:t>
            </w:r>
            <w:r>
              <w:rPr>
                <w:color w:val="105C84"/>
                <w:sz w:val="18"/>
              </w:rPr>
              <w:t>and</w:t>
            </w:r>
            <w:r>
              <w:rPr>
                <w:color w:val="105C84"/>
                <w:spacing w:val="5"/>
                <w:sz w:val="18"/>
              </w:rPr>
              <w:t> </w:t>
            </w:r>
            <w:r>
              <w:rPr>
                <w:color w:val="105C84"/>
                <w:spacing w:val="-2"/>
                <w:sz w:val="18"/>
              </w:rPr>
              <w:t>cessation</w:t>
            </w:r>
          </w:p>
          <w:p>
            <w:pPr>
              <w:pStyle w:val="TableParagraph"/>
              <w:tabs>
                <w:tab w:pos="3710" w:val="left" w:leader="none"/>
              </w:tabs>
              <w:spacing w:line="200" w:lineRule="exact"/>
              <w:ind w:left="92"/>
              <w:rPr>
                <w:sz w:val="18"/>
              </w:rPr>
            </w:pPr>
            <w:r>
              <w:rPr>
                <w:color w:val="105C84"/>
                <w:spacing w:val="-2"/>
                <w:sz w:val="18"/>
              </w:rPr>
              <w:t>messages</w:t>
            </w:r>
            <w:r>
              <w:rPr>
                <w:color w:val="105C84"/>
                <w:sz w:val="18"/>
              </w:rPr>
              <w:tab/>
              <w:t>Tobacco</w:t>
            </w:r>
            <w:r>
              <w:rPr>
                <w:color w:val="105C84"/>
                <w:spacing w:val="-7"/>
                <w:sz w:val="18"/>
              </w:rPr>
              <w:t> </w:t>
            </w:r>
            <w:r>
              <w:rPr>
                <w:color w:val="105C84"/>
                <w:sz w:val="18"/>
              </w:rPr>
              <w:t>Action</w:t>
            </w:r>
            <w:r>
              <w:rPr>
                <w:color w:val="105C84"/>
                <w:spacing w:val="-6"/>
                <w:sz w:val="18"/>
              </w:rPr>
              <w:t> </w:t>
            </w:r>
            <w:r>
              <w:rPr>
                <w:color w:val="105C84"/>
                <w:spacing w:val="-2"/>
                <w:sz w:val="18"/>
              </w:rPr>
              <w:t>Coalition</w:t>
            </w:r>
          </w:p>
          <w:p>
            <w:pPr>
              <w:pStyle w:val="TableParagraph"/>
              <w:tabs>
                <w:tab w:pos="3710" w:val="left" w:leader="none"/>
              </w:tabs>
              <w:spacing w:line="148" w:lineRule="auto" w:before="25"/>
              <w:ind w:left="92"/>
              <w:rPr>
                <w:sz w:val="18"/>
              </w:rPr>
            </w:pPr>
            <w:r>
              <w:rPr>
                <w:color w:val="105C84"/>
                <w:spacing w:val="-4"/>
                <w:position w:val="-8"/>
                <w:sz w:val="18"/>
              </w:rPr>
              <w:t>Year</w:t>
            </w:r>
            <w:r>
              <w:rPr>
                <w:color w:val="105C84"/>
                <w:spacing w:val="-8"/>
                <w:position w:val="-8"/>
                <w:sz w:val="18"/>
              </w:rPr>
              <w:t> </w:t>
            </w:r>
            <w:r>
              <w:rPr>
                <w:color w:val="105C84"/>
                <w:spacing w:val="-4"/>
                <w:position w:val="-8"/>
                <w:sz w:val="18"/>
              </w:rPr>
              <w:t>2:</w:t>
            </w:r>
            <w:r>
              <w:rPr>
                <w:color w:val="105C84"/>
                <w:spacing w:val="-8"/>
                <w:position w:val="-8"/>
                <w:sz w:val="18"/>
              </w:rPr>
              <w:t> </w:t>
            </w:r>
            <w:r>
              <w:rPr>
                <w:color w:val="105C84"/>
                <w:spacing w:val="-4"/>
                <w:position w:val="-8"/>
                <w:sz w:val="18"/>
              </w:rPr>
              <w:t>4+</w:t>
            </w:r>
            <w:r>
              <w:rPr>
                <w:color w:val="105C84"/>
                <w:spacing w:val="-8"/>
                <w:position w:val="-8"/>
                <w:sz w:val="18"/>
              </w:rPr>
              <w:t> </w:t>
            </w:r>
            <w:r>
              <w:rPr>
                <w:color w:val="105C84"/>
                <w:spacing w:val="-4"/>
                <w:position w:val="-8"/>
                <w:sz w:val="18"/>
              </w:rPr>
              <w:t>unified</w:t>
            </w:r>
            <w:r>
              <w:rPr>
                <w:color w:val="105C84"/>
                <w:position w:val="-8"/>
                <w:sz w:val="18"/>
              </w:rPr>
              <w:tab/>
            </w:r>
            <w:r>
              <w:rPr>
                <w:color w:val="105C84"/>
                <w:sz w:val="18"/>
              </w:rPr>
              <w:t>of</w:t>
            </w:r>
            <w:r>
              <w:rPr>
                <w:color w:val="105C84"/>
                <w:spacing w:val="-9"/>
                <w:sz w:val="18"/>
              </w:rPr>
              <w:t> </w:t>
            </w:r>
            <w:r>
              <w:rPr>
                <w:color w:val="105C84"/>
                <w:sz w:val="18"/>
              </w:rPr>
              <w:t>the</w:t>
            </w:r>
            <w:r>
              <w:rPr>
                <w:color w:val="105C84"/>
                <w:spacing w:val="-8"/>
                <w:sz w:val="18"/>
              </w:rPr>
              <w:t> </w:t>
            </w:r>
            <w:r>
              <w:rPr>
                <w:color w:val="105C84"/>
                <w:sz w:val="18"/>
              </w:rPr>
              <w:t>Finger</w:t>
            </w:r>
            <w:r>
              <w:rPr>
                <w:color w:val="105C84"/>
                <w:spacing w:val="-8"/>
                <w:sz w:val="18"/>
              </w:rPr>
              <w:t> </w:t>
            </w:r>
            <w:r>
              <w:rPr>
                <w:color w:val="105C84"/>
                <w:sz w:val="18"/>
              </w:rPr>
              <w:t>Lakes</w:t>
            </w:r>
            <w:r>
              <w:rPr>
                <w:color w:val="105C84"/>
                <w:spacing w:val="-9"/>
                <w:sz w:val="18"/>
              </w:rPr>
              <w:t> </w:t>
            </w:r>
            <w:r>
              <w:rPr>
                <w:color w:val="105C84"/>
                <w:spacing w:val="-2"/>
                <w:sz w:val="18"/>
              </w:rPr>
              <w:t>(TACFL)</w:t>
            </w:r>
          </w:p>
          <w:p>
            <w:pPr>
              <w:pStyle w:val="TableParagraph"/>
              <w:tabs>
                <w:tab w:pos="3710" w:val="left" w:leader="none"/>
              </w:tabs>
              <w:spacing w:line="148" w:lineRule="auto"/>
              <w:ind w:left="92"/>
              <w:rPr>
                <w:sz w:val="18"/>
              </w:rPr>
            </w:pPr>
            <w:r>
              <w:rPr>
                <w:color w:val="105C84"/>
                <w:spacing w:val="-2"/>
                <w:position w:val="-8"/>
                <w:sz w:val="18"/>
              </w:rPr>
              <w:t>messages</w:t>
            </w:r>
            <w:r>
              <w:rPr>
                <w:color w:val="105C84"/>
                <w:position w:val="-8"/>
                <w:sz w:val="18"/>
              </w:rPr>
              <w:tab/>
            </w:r>
            <w:r>
              <w:rPr>
                <w:color w:val="105C84"/>
                <w:sz w:val="18"/>
              </w:rPr>
              <w:t>will</w:t>
            </w:r>
            <w:r>
              <w:rPr>
                <w:color w:val="105C84"/>
                <w:spacing w:val="-3"/>
                <w:sz w:val="18"/>
              </w:rPr>
              <w:t> </w:t>
            </w:r>
            <w:r>
              <w:rPr>
                <w:color w:val="105C84"/>
                <w:sz w:val="18"/>
              </w:rPr>
              <w:t>be</w:t>
            </w:r>
            <w:r>
              <w:rPr>
                <w:color w:val="105C84"/>
                <w:spacing w:val="-3"/>
                <w:sz w:val="18"/>
              </w:rPr>
              <w:t> </w:t>
            </w:r>
            <w:r>
              <w:rPr>
                <w:color w:val="105C84"/>
                <w:sz w:val="18"/>
              </w:rPr>
              <w:t>lead</w:t>
            </w:r>
            <w:r>
              <w:rPr>
                <w:color w:val="105C84"/>
                <w:spacing w:val="-3"/>
                <w:sz w:val="18"/>
              </w:rPr>
              <w:t> </w:t>
            </w:r>
            <w:r>
              <w:rPr>
                <w:color w:val="105C84"/>
                <w:sz w:val="18"/>
              </w:rPr>
              <w:t>agency</w:t>
            </w:r>
            <w:r>
              <w:rPr>
                <w:color w:val="105C84"/>
                <w:spacing w:val="-2"/>
                <w:sz w:val="18"/>
              </w:rPr>
              <w:t> </w:t>
            </w:r>
            <w:r>
              <w:rPr>
                <w:color w:val="105C84"/>
                <w:spacing w:val="-5"/>
                <w:sz w:val="18"/>
              </w:rPr>
              <w:t>for</w:t>
            </w:r>
          </w:p>
          <w:p>
            <w:pPr>
              <w:pStyle w:val="TableParagraph"/>
              <w:spacing w:line="145" w:lineRule="exact"/>
              <w:ind w:left="3710"/>
              <w:rPr>
                <w:sz w:val="18"/>
              </w:rPr>
            </w:pPr>
            <w:r>
              <w:rPr>
                <w:color w:val="105C84"/>
                <w:sz w:val="18"/>
              </w:rPr>
              <w:t>creating</w:t>
            </w:r>
            <w:r>
              <w:rPr>
                <w:color w:val="105C84"/>
                <w:spacing w:val="5"/>
                <w:sz w:val="18"/>
              </w:rPr>
              <w:t> </w:t>
            </w:r>
            <w:r>
              <w:rPr>
                <w:color w:val="105C84"/>
                <w:sz w:val="18"/>
              </w:rPr>
              <w:t>majority</w:t>
            </w:r>
            <w:r>
              <w:rPr>
                <w:color w:val="105C84"/>
                <w:spacing w:val="5"/>
                <w:sz w:val="18"/>
              </w:rPr>
              <w:t> </w:t>
            </w:r>
            <w:r>
              <w:rPr>
                <w:color w:val="105C84"/>
                <w:spacing w:val="-5"/>
                <w:sz w:val="18"/>
              </w:rPr>
              <w:t>of</w:t>
            </w:r>
          </w:p>
          <w:p>
            <w:pPr>
              <w:pStyle w:val="TableParagraph"/>
              <w:tabs>
                <w:tab w:pos="3710" w:val="left" w:leader="none"/>
              </w:tabs>
              <w:spacing w:line="200" w:lineRule="exact"/>
              <w:ind w:left="92"/>
              <w:rPr>
                <w:sz w:val="18"/>
              </w:rPr>
            </w:pPr>
            <w:r>
              <w:rPr>
                <w:color w:val="105C84"/>
                <w:spacing w:val="-4"/>
                <w:position w:val="2"/>
                <w:sz w:val="18"/>
              </w:rPr>
              <w:t>Year</w:t>
            </w:r>
            <w:r>
              <w:rPr>
                <w:color w:val="105C84"/>
                <w:spacing w:val="-8"/>
                <w:position w:val="2"/>
                <w:sz w:val="18"/>
              </w:rPr>
              <w:t> </w:t>
            </w:r>
            <w:r>
              <w:rPr>
                <w:color w:val="105C84"/>
                <w:spacing w:val="-4"/>
                <w:position w:val="2"/>
                <w:sz w:val="18"/>
              </w:rPr>
              <w:t>3:</w:t>
            </w:r>
            <w:r>
              <w:rPr>
                <w:color w:val="105C84"/>
                <w:spacing w:val="-8"/>
                <w:position w:val="2"/>
                <w:sz w:val="18"/>
              </w:rPr>
              <w:t> </w:t>
            </w:r>
            <w:r>
              <w:rPr>
                <w:color w:val="105C84"/>
                <w:spacing w:val="-4"/>
                <w:position w:val="2"/>
                <w:sz w:val="18"/>
              </w:rPr>
              <w:t>4+</w:t>
            </w:r>
            <w:r>
              <w:rPr>
                <w:color w:val="105C84"/>
                <w:spacing w:val="-8"/>
                <w:position w:val="2"/>
                <w:sz w:val="18"/>
              </w:rPr>
              <w:t> </w:t>
            </w:r>
            <w:r>
              <w:rPr>
                <w:color w:val="105C84"/>
                <w:spacing w:val="-4"/>
                <w:position w:val="2"/>
                <w:sz w:val="18"/>
              </w:rPr>
              <w:t>unified</w:t>
            </w:r>
            <w:r>
              <w:rPr>
                <w:color w:val="105C84"/>
                <w:position w:val="2"/>
                <w:sz w:val="18"/>
              </w:rPr>
              <w:tab/>
            </w:r>
            <w:r>
              <w:rPr>
                <w:color w:val="105C84"/>
                <w:spacing w:val="-2"/>
                <w:sz w:val="18"/>
              </w:rPr>
              <w:t>messages,</w:t>
            </w:r>
            <w:r>
              <w:rPr>
                <w:color w:val="105C84"/>
                <w:spacing w:val="1"/>
                <w:sz w:val="18"/>
              </w:rPr>
              <w:t> </w:t>
            </w:r>
            <w:r>
              <w:rPr>
                <w:color w:val="105C84"/>
                <w:spacing w:val="-2"/>
                <w:sz w:val="18"/>
              </w:rPr>
              <w:t>although</w:t>
            </w:r>
            <w:r>
              <w:rPr>
                <w:color w:val="105C84"/>
                <w:spacing w:val="1"/>
                <w:sz w:val="18"/>
              </w:rPr>
              <w:t> </w:t>
            </w:r>
            <w:r>
              <w:rPr>
                <w:color w:val="105C84"/>
                <w:spacing w:val="-5"/>
                <w:sz w:val="18"/>
              </w:rPr>
              <w:t>any</w:t>
            </w:r>
          </w:p>
          <w:p>
            <w:pPr>
              <w:pStyle w:val="TableParagraph"/>
              <w:tabs>
                <w:tab w:pos="3710" w:val="left" w:leader="none"/>
              </w:tabs>
              <w:spacing w:line="232" w:lineRule="auto"/>
              <w:ind w:left="3710" w:right="143" w:hanging="3618"/>
              <w:rPr>
                <w:sz w:val="18"/>
              </w:rPr>
            </w:pPr>
            <w:r>
              <w:rPr>
                <w:color w:val="105C84"/>
                <w:spacing w:val="-2"/>
                <w:position w:val="2"/>
                <w:sz w:val="18"/>
              </w:rPr>
              <w:t>messages</w:t>
            </w:r>
            <w:r>
              <w:rPr>
                <w:color w:val="105C84"/>
                <w:position w:val="2"/>
                <w:sz w:val="18"/>
              </w:rPr>
              <w:tab/>
            </w:r>
            <w:r>
              <w:rPr>
                <w:color w:val="105C84"/>
                <w:sz w:val="18"/>
              </w:rPr>
              <w:t>agency</w:t>
            </w:r>
            <w:r>
              <w:rPr>
                <w:color w:val="105C84"/>
                <w:spacing w:val="-15"/>
                <w:sz w:val="18"/>
              </w:rPr>
              <w:t> </w:t>
            </w:r>
            <w:r>
              <w:rPr>
                <w:color w:val="105C84"/>
                <w:sz w:val="18"/>
              </w:rPr>
              <w:t>can</w:t>
            </w:r>
            <w:r>
              <w:rPr>
                <w:color w:val="105C84"/>
                <w:spacing w:val="-12"/>
                <w:sz w:val="18"/>
              </w:rPr>
              <w:t> </w:t>
            </w:r>
            <w:r>
              <w:rPr>
                <w:color w:val="105C84"/>
                <w:sz w:val="18"/>
              </w:rPr>
              <w:t>request</w:t>
            </w:r>
            <w:r>
              <w:rPr>
                <w:color w:val="105C84"/>
                <w:spacing w:val="-13"/>
                <w:sz w:val="18"/>
              </w:rPr>
              <w:t> </w:t>
            </w:r>
            <w:r>
              <w:rPr>
                <w:color w:val="105C84"/>
                <w:sz w:val="18"/>
              </w:rPr>
              <w:t>to</w:t>
            </w:r>
            <w:r>
              <w:rPr>
                <w:color w:val="105C84"/>
                <w:spacing w:val="-12"/>
                <w:sz w:val="18"/>
              </w:rPr>
              <w:t> </w:t>
            </w:r>
            <w:r>
              <w:rPr>
                <w:color w:val="105C84"/>
                <w:sz w:val="18"/>
              </w:rPr>
              <w:t>have a tobacco/vaping-related message shared through Partnership agencies</w:t>
            </w:r>
          </w:p>
          <w:p>
            <w:pPr>
              <w:pStyle w:val="TableParagraph"/>
              <w:spacing w:line="232" w:lineRule="auto" w:before="60"/>
              <w:ind w:left="3710" w:right="232"/>
              <w:rPr>
                <w:sz w:val="18"/>
              </w:rPr>
            </w:pPr>
            <w:r>
              <w:rPr>
                <w:color w:val="105C84"/>
                <w:sz w:val="18"/>
              </w:rPr>
              <w:t>Center for a</w:t>
            </w:r>
            <w:r>
              <w:rPr>
                <w:color w:val="105C84"/>
                <w:spacing w:val="40"/>
                <w:sz w:val="18"/>
              </w:rPr>
              <w:t> </w:t>
            </w:r>
            <w:r>
              <w:rPr>
                <w:color w:val="105C84"/>
                <w:sz w:val="18"/>
              </w:rPr>
              <w:t>Tobacco-</w:t>
            </w:r>
            <w:r>
              <w:rPr>
                <w:color w:val="105C84"/>
                <w:spacing w:val="-4"/>
                <w:sz w:val="18"/>
              </w:rPr>
              <w:t>Free</w:t>
            </w:r>
            <w:r>
              <w:rPr>
                <w:color w:val="105C84"/>
                <w:spacing w:val="-8"/>
                <w:sz w:val="18"/>
              </w:rPr>
              <w:t> </w:t>
            </w:r>
            <w:r>
              <w:rPr>
                <w:color w:val="105C84"/>
                <w:spacing w:val="-4"/>
                <w:sz w:val="18"/>
              </w:rPr>
              <w:t>Finger</w:t>
            </w:r>
            <w:r>
              <w:rPr>
                <w:color w:val="105C84"/>
                <w:spacing w:val="-8"/>
                <w:sz w:val="18"/>
              </w:rPr>
              <w:t> </w:t>
            </w:r>
            <w:r>
              <w:rPr>
                <w:color w:val="105C84"/>
                <w:spacing w:val="-4"/>
                <w:sz w:val="18"/>
              </w:rPr>
              <w:t>Lakes</w:t>
            </w:r>
            <w:r>
              <w:rPr>
                <w:color w:val="105C84"/>
                <w:spacing w:val="-8"/>
                <w:sz w:val="18"/>
              </w:rPr>
              <w:t> </w:t>
            </w:r>
            <w:r>
              <w:rPr>
                <w:color w:val="105C84"/>
                <w:spacing w:val="-4"/>
                <w:sz w:val="18"/>
              </w:rPr>
              <w:t>(CTFFL) </w:t>
            </w:r>
            <w:r>
              <w:rPr>
                <w:color w:val="105C84"/>
                <w:sz w:val="18"/>
              </w:rPr>
              <w:t>will produce messages, including monthly letters</w:t>
            </w:r>
            <w:r>
              <w:rPr>
                <w:color w:val="105C84"/>
                <w:spacing w:val="40"/>
                <w:sz w:val="18"/>
              </w:rPr>
              <w:t> </w:t>
            </w:r>
            <w:r>
              <w:rPr>
                <w:color w:val="105C84"/>
                <w:sz w:val="18"/>
              </w:rPr>
              <w:t>to</w:t>
            </w:r>
            <w:r>
              <w:rPr>
                <w:color w:val="105C84"/>
                <w:spacing w:val="-5"/>
                <w:sz w:val="18"/>
              </w:rPr>
              <w:t> </w:t>
            </w:r>
            <w:r>
              <w:rPr>
                <w:color w:val="105C84"/>
                <w:sz w:val="18"/>
              </w:rPr>
              <w:t>the</w:t>
            </w:r>
            <w:r>
              <w:rPr>
                <w:color w:val="105C84"/>
                <w:spacing w:val="-5"/>
                <w:sz w:val="18"/>
              </w:rPr>
              <w:t> </w:t>
            </w:r>
            <w:r>
              <w:rPr>
                <w:color w:val="105C84"/>
                <w:sz w:val="18"/>
              </w:rPr>
              <w:t>editor,</w:t>
            </w:r>
            <w:r>
              <w:rPr>
                <w:color w:val="105C84"/>
                <w:spacing w:val="-5"/>
                <w:sz w:val="18"/>
              </w:rPr>
              <w:t> </w:t>
            </w:r>
            <w:r>
              <w:rPr>
                <w:color w:val="105C84"/>
                <w:sz w:val="18"/>
              </w:rPr>
              <w:t>which</w:t>
            </w:r>
            <w:r>
              <w:rPr>
                <w:color w:val="105C84"/>
                <w:spacing w:val="-5"/>
                <w:sz w:val="18"/>
              </w:rPr>
              <w:t> </w:t>
            </w:r>
            <w:r>
              <w:rPr>
                <w:color w:val="105C84"/>
                <w:sz w:val="18"/>
              </w:rPr>
              <w:t>can</w:t>
            </w:r>
            <w:r>
              <w:rPr>
                <w:color w:val="105C84"/>
                <w:spacing w:val="-5"/>
                <w:sz w:val="18"/>
              </w:rPr>
              <w:t> </w:t>
            </w:r>
            <w:r>
              <w:rPr>
                <w:color w:val="105C84"/>
                <w:sz w:val="18"/>
              </w:rPr>
              <w:t>be</w:t>
            </w:r>
          </w:p>
          <w:p>
            <w:pPr>
              <w:pStyle w:val="TableParagraph"/>
              <w:spacing w:line="232" w:lineRule="auto"/>
              <w:ind w:left="3710"/>
              <w:rPr>
                <w:sz w:val="18"/>
              </w:rPr>
            </w:pPr>
            <w:r>
              <w:rPr>
                <w:color w:val="105C84"/>
                <w:sz w:val="18"/>
              </w:rPr>
              <w:t>shared and/or promoted </w:t>
            </w:r>
            <w:r>
              <w:rPr>
                <w:color w:val="105C84"/>
                <w:sz w:val="18"/>
              </w:rPr>
              <w:t>by Partnership agencies</w:t>
            </w:r>
          </w:p>
          <w:p>
            <w:pPr>
              <w:pStyle w:val="TableParagraph"/>
              <w:spacing w:line="232" w:lineRule="auto" w:before="85"/>
              <w:ind w:left="3710" w:right="385"/>
              <w:rPr>
                <w:sz w:val="18"/>
              </w:rPr>
            </w:pPr>
            <w:r>
              <w:rPr>
                <w:color w:val="105C84"/>
                <w:sz w:val="18"/>
              </w:rPr>
              <w:t>CTTFL specializes in educating</w:t>
            </w:r>
            <w:r>
              <w:rPr>
                <w:color w:val="105C84"/>
                <w:spacing w:val="-13"/>
                <w:sz w:val="18"/>
              </w:rPr>
              <w:t> </w:t>
            </w:r>
            <w:r>
              <w:rPr>
                <w:color w:val="105C84"/>
                <w:sz w:val="18"/>
              </w:rPr>
              <w:t>professionals, including mental health professionals, about tobacco cessation</w:t>
            </w:r>
          </w:p>
        </w:tc>
        <w:tc>
          <w:tcPr>
            <w:tcW w:w="2188" w:type="dxa"/>
          </w:tcPr>
          <w:p>
            <w:pPr>
              <w:pStyle w:val="TableParagraph"/>
              <w:spacing w:line="232" w:lineRule="auto" w:before="99"/>
              <w:ind w:left="93" w:right="196"/>
              <w:rPr>
                <w:sz w:val="18"/>
              </w:rPr>
            </w:pPr>
            <w:r>
              <w:rPr>
                <w:color w:val="105C84"/>
                <w:spacing w:val="-2"/>
                <w:sz w:val="18"/>
              </w:rPr>
              <w:t>Share</w:t>
            </w:r>
            <w:r>
              <w:rPr>
                <w:color w:val="105C84"/>
                <w:spacing w:val="-13"/>
                <w:sz w:val="18"/>
              </w:rPr>
              <w:t> </w:t>
            </w:r>
            <w:r>
              <w:rPr>
                <w:color w:val="105C84"/>
                <w:spacing w:val="-2"/>
                <w:sz w:val="18"/>
              </w:rPr>
              <w:t>unified</w:t>
            </w:r>
            <w:r>
              <w:rPr>
                <w:color w:val="105C84"/>
                <w:spacing w:val="-10"/>
                <w:sz w:val="18"/>
              </w:rPr>
              <w:t> </w:t>
            </w:r>
            <w:r>
              <w:rPr>
                <w:color w:val="105C84"/>
                <w:spacing w:val="-2"/>
                <w:sz w:val="18"/>
              </w:rPr>
              <w:t>messages </w:t>
            </w:r>
            <w:r>
              <w:rPr>
                <w:color w:val="105C84"/>
                <w:sz w:val="18"/>
              </w:rPr>
              <w:t>around tobacco and vaping prevention and </w:t>
            </w:r>
            <w:r>
              <w:rPr>
                <w:color w:val="105C84"/>
                <w:spacing w:val="-2"/>
                <w:sz w:val="18"/>
              </w:rPr>
              <w:t>cessation</w:t>
            </w:r>
          </w:p>
          <w:p>
            <w:pPr>
              <w:pStyle w:val="TableParagraph"/>
              <w:spacing w:line="232" w:lineRule="auto" w:before="87"/>
              <w:ind w:left="93" w:right="107"/>
              <w:rPr>
                <w:sz w:val="18"/>
              </w:rPr>
            </w:pPr>
            <w:r>
              <w:rPr>
                <w:color w:val="105C84"/>
                <w:sz w:val="18"/>
              </w:rPr>
              <w:t>TACFL will be lead agency for creating majority of messages, although any agency</w:t>
            </w:r>
            <w:r>
              <w:rPr>
                <w:color w:val="105C84"/>
                <w:spacing w:val="40"/>
                <w:sz w:val="18"/>
              </w:rPr>
              <w:t> </w:t>
            </w:r>
            <w:r>
              <w:rPr>
                <w:color w:val="105C84"/>
                <w:sz w:val="18"/>
              </w:rPr>
              <w:t>can request to have a </w:t>
            </w:r>
            <w:r>
              <w:rPr>
                <w:color w:val="105C84"/>
                <w:spacing w:val="-2"/>
                <w:sz w:val="18"/>
              </w:rPr>
              <w:t>tobacco/vaping-related </w:t>
            </w:r>
            <w:r>
              <w:rPr>
                <w:color w:val="105C84"/>
                <w:sz w:val="18"/>
              </w:rPr>
              <w:t>message</w:t>
            </w:r>
            <w:r>
              <w:rPr>
                <w:color w:val="105C84"/>
                <w:spacing w:val="-15"/>
                <w:sz w:val="18"/>
              </w:rPr>
              <w:t> </w:t>
            </w:r>
            <w:r>
              <w:rPr>
                <w:color w:val="105C84"/>
                <w:sz w:val="18"/>
              </w:rPr>
              <w:t>shared</w:t>
            </w:r>
            <w:r>
              <w:rPr>
                <w:color w:val="105C84"/>
                <w:spacing w:val="-12"/>
                <w:sz w:val="18"/>
              </w:rPr>
              <w:t> </w:t>
            </w:r>
            <w:r>
              <w:rPr>
                <w:color w:val="105C84"/>
                <w:sz w:val="18"/>
              </w:rPr>
              <w:t>through Partnership agencies</w:t>
            </w:r>
          </w:p>
          <w:p>
            <w:pPr>
              <w:pStyle w:val="TableParagraph"/>
              <w:spacing w:line="232" w:lineRule="auto" w:before="84"/>
              <w:ind w:left="93"/>
              <w:rPr>
                <w:sz w:val="18"/>
              </w:rPr>
            </w:pPr>
            <w:r>
              <w:rPr>
                <w:color w:val="105C84"/>
                <w:sz w:val="18"/>
              </w:rPr>
              <w:t>CTFFL will produce messages, including monthly letters to the editor, which can be shared and/or </w:t>
            </w:r>
            <w:r>
              <w:rPr>
                <w:color w:val="105C84"/>
                <w:sz w:val="18"/>
              </w:rPr>
              <w:t>promoted by Partnership agencies</w:t>
            </w:r>
          </w:p>
          <w:p>
            <w:pPr>
              <w:pStyle w:val="TableParagraph"/>
              <w:spacing w:line="232" w:lineRule="auto" w:before="85"/>
              <w:ind w:left="93" w:right="136"/>
              <w:rPr>
                <w:sz w:val="18"/>
              </w:rPr>
            </w:pPr>
            <w:r>
              <w:rPr>
                <w:color w:val="105C84"/>
                <w:sz w:val="18"/>
              </w:rPr>
              <w:t>CTTFL specializes in educating</w:t>
            </w:r>
            <w:r>
              <w:rPr>
                <w:color w:val="105C84"/>
                <w:spacing w:val="-13"/>
                <w:sz w:val="18"/>
              </w:rPr>
              <w:t> </w:t>
            </w:r>
            <w:r>
              <w:rPr>
                <w:color w:val="105C84"/>
                <w:sz w:val="18"/>
              </w:rPr>
              <w:t>professionals, including mental health professionals, about tobacco cessation</w:t>
            </w:r>
          </w:p>
        </w:tc>
        <w:tc>
          <w:tcPr>
            <w:tcW w:w="2433" w:type="dxa"/>
          </w:tcPr>
          <w:p>
            <w:pPr>
              <w:pStyle w:val="TableParagraph"/>
              <w:spacing w:line="232" w:lineRule="auto" w:before="99"/>
              <w:ind w:left="94"/>
              <w:rPr>
                <w:sz w:val="18"/>
              </w:rPr>
            </w:pPr>
            <w:r>
              <w:rPr>
                <w:color w:val="105C84"/>
                <w:sz w:val="18"/>
              </w:rPr>
              <w:t>Share unified messages around</w:t>
            </w:r>
            <w:r>
              <w:rPr>
                <w:color w:val="105C84"/>
                <w:spacing w:val="-3"/>
                <w:sz w:val="18"/>
              </w:rPr>
              <w:t> </w:t>
            </w:r>
            <w:r>
              <w:rPr>
                <w:color w:val="105C84"/>
                <w:sz w:val="18"/>
              </w:rPr>
              <w:t>tobacco</w:t>
            </w:r>
            <w:r>
              <w:rPr>
                <w:color w:val="105C84"/>
                <w:spacing w:val="-3"/>
                <w:sz w:val="18"/>
              </w:rPr>
              <w:t> </w:t>
            </w:r>
            <w:r>
              <w:rPr>
                <w:color w:val="105C84"/>
                <w:sz w:val="18"/>
              </w:rPr>
              <w:t>and</w:t>
            </w:r>
            <w:r>
              <w:rPr>
                <w:color w:val="105C84"/>
                <w:spacing w:val="-3"/>
                <w:sz w:val="18"/>
              </w:rPr>
              <w:t> </w:t>
            </w:r>
            <w:r>
              <w:rPr>
                <w:color w:val="105C84"/>
                <w:sz w:val="18"/>
              </w:rPr>
              <w:t>vaping prevention and cessation</w:t>
            </w:r>
          </w:p>
          <w:p>
            <w:pPr>
              <w:pStyle w:val="TableParagraph"/>
              <w:spacing w:line="232" w:lineRule="auto" w:before="88"/>
              <w:ind w:left="94" w:right="134"/>
              <w:rPr>
                <w:sz w:val="18"/>
              </w:rPr>
            </w:pPr>
            <w:r>
              <w:rPr>
                <w:color w:val="105C84"/>
                <w:sz w:val="18"/>
              </w:rPr>
              <w:t>Tobacco Action Coalition</w:t>
            </w:r>
            <w:r>
              <w:rPr>
                <w:color w:val="105C84"/>
                <w:spacing w:val="80"/>
                <w:sz w:val="18"/>
              </w:rPr>
              <w:t> </w:t>
            </w:r>
            <w:r>
              <w:rPr>
                <w:color w:val="105C84"/>
                <w:spacing w:val="-4"/>
                <w:sz w:val="18"/>
              </w:rPr>
              <w:t>of</w:t>
            </w:r>
            <w:r>
              <w:rPr>
                <w:color w:val="105C84"/>
                <w:spacing w:val="-11"/>
                <w:sz w:val="18"/>
              </w:rPr>
              <w:t> </w:t>
            </w:r>
            <w:r>
              <w:rPr>
                <w:color w:val="105C84"/>
                <w:spacing w:val="-4"/>
                <w:sz w:val="18"/>
              </w:rPr>
              <w:t>the</w:t>
            </w:r>
            <w:r>
              <w:rPr>
                <w:color w:val="105C84"/>
                <w:spacing w:val="-8"/>
                <w:sz w:val="18"/>
              </w:rPr>
              <w:t> </w:t>
            </w:r>
            <w:r>
              <w:rPr>
                <w:color w:val="105C84"/>
                <w:spacing w:val="-4"/>
                <w:sz w:val="18"/>
              </w:rPr>
              <w:t>Finger</w:t>
            </w:r>
            <w:r>
              <w:rPr>
                <w:color w:val="105C84"/>
                <w:spacing w:val="-9"/>
                <w:sz w:val="18"/>
              </w:rPr>
              <w:t> </w:t>
            </w:r>
            <w:r>
              <w:rPr>
                <w:color w:val="105C84"/>
                <w:spacing w:val="-4"/>
                <w:sz w:val="18"/>
              </w:rPr>
              <w:t>Lakes</w:t>
            </w:r>
            <w:r>
              <w:rPr>
                <w:color w:val="105C84"/>
                <w:spacing w:val="-8"/>
                <w:sz w:val="18"/>
              </w:rPr>
              <w:t> </w:t>
            </w:r>
            <w:r>
              <w:rPr>
                <w:color w:val="105C84"/>
                <w:spacing w:val="-4"/>
                <w:sz w:val="18"/>
              </w:rPr>
              <w:t>(TACFL) </w:t>
            </w:r>
            <w:r>
              <w:rPr>
                <w:color w:val="105C84"/>
                <w:sz w:val="18"/>
              </w:rPr>
              <w:t>will be lead agency for creating majority of messages, although any agency</w:t>
            </w:r>
            <w:r>
              <w:rPr>
                <w:color w:val="105C84"/>
                <w:spacing w:val="-15"/>
                <w:sz w:val="18"/>
              </w:rPr>
              <w:t> </w:t>
            </w:r>
            <w:r>
              <w:rPr>
                <w:color w:val="105C84"/>
                <w:sz w:val="18"/>
              </w:rPr>
              <w:t>can</w:t>
            </w:r>
            <w:r>
              <w:rPr>
                <w:color w:val="105C84"/>
                <w:spacing w:val="-12"/>
                <w:sz w:val="18"/>
              </w:rPr>
              <w:t> </w:t>
            </w:r>
            <w:r>
              <w:rPr>
                <w:color w:val="105C84"/>
                <w:sz w:val="18"/>
              </w:rPr>
              <w:t>request</w:t>
            </w:r>
            <w:r>
              <w:rPr>
                <w:color w:val="105C84"/>
                <w:spacing w:val="-13"/>
                <w:sz w:val="18"/>
              </w:rPr>
              <w:t> </w:t>
            </w:r>
            <w:r>
              <w:rPr>
                <w:color w:val="105C84"/>
                <w:sz w:val="18"/>
              </w:rPr>
              <w:t>to</w:t>
            </w:r>
            <w:r>
              <w:rPr>
                <w:color w:val="105C84"/>
                <w:spacing w:val="-12"/>
                <w:sz w:val="18"/>
              </w:rPr>
              <w:t> </w:t>
            </w:r>
            <w:r>
              <w:rPr>
                <w:color w:val="105C84"/>
                <w:sz w:val="18"/>
              </w:rPr>
              <w:t>have a tobacco/vaping-related message shared through Partnership agencies</w:t>
            </w:r>
          </w:p>
          <w:p>
            <w:pPr>
              <w:pStyle w:val="TableParagraph"/>
              <w:spacing w:line="232" w:lineRule="auto" w:before="83"/>
              <w:ind w:left="94" w:right="227"/>
              <w:rPr>
                <w:sz w:val="18"/>
              </w:rPr>
            </w:pPr>
            <w:r>
              <w:rPr>
                <w:color w:val="105C84"/>
                <w:sz w:val="18"/>
              </w:rPr>
              <w:t>Center for a</w:t>
            </w:r>
            <w:r>
              <w:rPr>
                <w:color w:val="105C84"/>
                <w:spacing w:val="40"/>
                <w:sz w:val="18"/>
              </w:rPr>
              <w:t> </w:t>
            </w:r>
            <w:r>
              <w:rPr>
                <w:color w:val="105C84"/>
                <w:sz w:val="18"/>
              </w:rPr>
              <w:t>Tobacco-</w:t>
            </w:r>
            <w:r>
              <w:rPr>
                <w:color w:val="105C84"/>
                <w:spacing w:val="-4"/>
                <w:sz w:val="18"/>
              </w:rPr>
              <w:t>Free</w:t>
            </w:r>
            <w:r>
              <w:rPr>
                <w:color w:val="105C84"/>
                <w:spacing w:val="-8"/>
                <w:sz w:val="18"/>
              </w:rPr>
              <w:t> </w:t>
            </w:r>
            <w:r>
              <w:rPr>
                <w:color w:val="105C84"/>
                <w:spacing w:val="-4"/>
                <w:sz w:val="18"/>
              </w:rPr>
              <w:t>Finger</w:t>
            </w:r>
            <w:r>
              <w:rPr>
                <w:color w:val="105C84"/>
                <w:spacing w:val="-8"/>
                <w:sz w:val="18"/>
              </w:rPr>
              <w:t> </w:t>
            </w:r>
            <w:r>
              <w:rPr>
                <w:color w:val="105C84"/>
                <w:spacing w:val="-4"/>
                <w:sz w:val="18"/>
              </w:rPr>
              <w:t>Lakes</w:t>
            </w:r>
            <w:r>
              <w:rPr>
                <w:color w:val="105C84"/>
                <w:spacing w:val="-8"/>
                <w:sz w:val="18"/>
              </w:rPr>
              <w:t> </w:t>
            </w:r>
            <w:r>
              <w:rPr>
                <w:color w:val="105C84"/>
                <w:spacing w:val="-4"/>
                <w:sz w:val="18"/>
              </w:rPr>
              <w:t>(CTFFL) </w:t>
            </w:r>
            <w:r>
              <w:rPr>
                <w:color w:val="105C84"/>
                <w:sz w:val="18"/>
              </w:rPr>
              <w:t>will produce messages, including monthly letters</w:t>
            </w:r>
            <w:r>
              <w:rPr>
                <w:color w:val="105C84"/>
                <w:spacing w:val="40"/>
                <w:sz w:val="18"/>
              </w:rPr>
              <w:t> </w:t>
            </w:r>
            <w:r>
              <w:rPr>
                <w:color w:val="105C84"/>
                <w:sz w:val="18"/>
              </w:rPr>
              <w:t>to</w:t>
            </w:r>
            <w:r>
              <w:rPr>
                <w:color w:val="105C84"/>
                <w:spacing w:val="-5"/>
                <w:sz w:val="18"/>
              </w:rPr>
              <w:t> </w:t>
            </w:r>
            <w:r>
              <w:rPr>
                <w:color w:val="105C84"/>
                <w:sz w:val="18"/>
              </w:rPr>
              <w:t>the</w:t>
            </w:r>
            <w:r>
              <w:rPr>
                <w:color w:val="105C84"/>
                <w:spacing w:val="-5"/>
                <w:sz w:val="18"/>
              </w:rPr>
              <w:t> </w:t>
            </w:r>
            <w:r>
              <w:rPr>
                <w:color w:val="105C84"/>
                <w:sz w:val="18"/>
              </w:rPr>
              <w:t>editor,</w:t>
            </w:r>
            <w:r>
              <w:rPr>
                <w:color w:val="105C84"/>
                <w:spacing w:val="-5"/>
                <w:sz w:val="18"/>
              </w:rPr>
              <w:t> </w:t>
            </w:r>
            <w:r>
              <w:rPr>
                <w:color w:val="105C84"/>
                <w:sz w:val="18"/>
              </w:rPr>
              <w:t>which</w:t>
            </w:r>
            <w:r>
              <w:rPr>
                <w:color w:val="105C84"/>
                <w:spacing w:val="-5"/>
                <w:sz w:val="18"/>
              </w:rPr>
              <w:t> </w:t>
            </w:r>
            <w:r>
              <w:rPr>
                <w:color w:val="105C84"/>
                <w:sz w:val="18"/>
              </w:rPr>
              <w:t>can</w:t>
            </w:r>
            <w:r>
              <w:rPr>
                <w:color w:val="105C84"/>
                <w:spacing w:val="-5"/>
                <w:sz w:val="18"/>
              </w:rPr>
              <w:t> </w:t>
            </w:r>
            <w:r>
              <w:rPr>
                <w:color w:val="105C84"/>
                <w:sz w:val="18"/>
              </w:rPr>
              <w:t>be</w:t>
            </w:r>
          </w:p>
          <w:p>
            <w:pPr>
              <w:pStyle w:val="TableParagraph"/>
              <w:spacing w:line="232" w:lineRule="auto"/>
              <w:ind w:left="94"/>
              <w:rPr>
                <w:sz w:val="18"/>
              </w:rPr>
            </w:pPr>
            <w:r>
              <w:rPr>
                <w:color w:val="105C84"/>
                <w:sz w:val="18"/>
              </w:rPr>
              <w:t>shared and/or promoted </w:t>
            </w:r>
            <w:r>
              <w:rPr>
                <w:color w:val="105C84"/>
                <w:sz w:val="18"/>
              </w:rPr>
              <w:t>by Partnership agencies</w:t>
            </w:r>
          </w:p>
          <w:p>
            <w:pPr>
              <w:pStyle w:val="TableParagraph"/>
              <w:spacing w:line="232" w:lineRule="auto" w:before="84"/>
              <w:ind w:left="94" w:right="380"/>
              <w:rPr>
                <w:sz w:val="18"/>
              </w:rPr>
            </w:pPr>
            <w:r>
              <w:rPr>
                <w:color w:val="105C84"/>
                <w:sz w:val="18"/>
              </w:rPr>
              <w:t>CTTFL specializes in educating</w:t>
            </w:r>
            <w:r>
              <w:rPr>
                <w:color w:val="105C84"/>
                <w:spacing w:val="-13"/>
                <w:sz w:val="18"/>
              </w:rPr>
              <w:t> </w:t>
            </w:r>
            <w:r>
              <w:rPr>
                <w:color w:val="105C84"/>
                <w:sz w:val="18"/>
              </w:rPr>
              <w:t>professionals, including mental health professionals, about tobacco cessation</w:t>
            </w:r>
          </w:p>
        </w:tc>
        <w:tc>
          <w:tcPr>
            <w:tcW w:w="1497" w:type="dxa"/>
          </w:tcPr>
          <w:p>
            <w:pPr>
              <w:pStyle w:val="TableParagraph"/>
              <w:spacing w:line="232" w:lineRule="auto" w:before="98"/>
              <w:ind w:left="94"/>
              <w:rPr>
                <w:sz w:val="18"/>
              </w:rPr>
            </w:pPr>
            <w:r>
              <w:rPr>
                <w:color w:val="105C84"/>
                <w:spacing w:val="-2"/>
                <w:sz w:val="18"/>
              </w:rPr>
              <w:t>Community-based organizations</w:t>
            </w:r>
          </w:p>
        </w:tc>
        <w:tc>
          <w:tcPr>
            <w:tcW w:w="1607" w:type="dxa"/>
          </w:tcPr>
          <w:p>
            <w:pPr>
              <w:pStyle w:val="TableParagraph"/>
              <w:spacing w:line="232" w:lineRule="auto" w:before="98"/>
              <w:ind w:left="95" w:right="110"/>
              <w:rPr>
                <w:sz w:val="18"/>
              </w:rPr>
            </w:pPr>
            <w:r>
              <w:rPr>
                <w:color w:val="105C84"/>
                <w:sz w:val="18"/>
              </w:rPr>
              <w:t>For</w:t>
            </w:r>
            <w:r>
              <w:rPr>
                <w:color w:val="105C84"/>
                <w:spacing w:val="-15"/>
                <w:sz w:val="18"/>
              </w:rPr>
              <w:t> </w:t>
            </w:r>
            <w:r>
              <w:rPr>
                <w:color w:val="105C84"/>
                <w:sz w:val="18"/>
              </w:rPr>
              <w:t>partner</w:t>
            </w:r>
            <w:r>
              <w:rPr>
                <w:color w:val="105C84"/>
                <w:spacing w:val="-12"/>
                <w:sz w:val="18"/>
              </w:rPr>
              <w:t> </w:t>
            </w:r>
            <w:r>
              <w:rPr>
                <w:color w:val="105C84"/>
                <w:sz w:val="18"/>
              </w:rPr>
              <w:t>roles, see projected year columns</w:t>
            </w:r>
          </w:p>
          <w:p>
            <w:pPr>
              <w:pStyle w:val="TableParagraph"/>
              <w:spacing w:line="232" w:lineRule="auto" w:before="88"/>
              <w:ind w:left="95" w:right="110"/>
              <w:rPr>
                <w:sz w:val="18"/>
              </w:rPr>
            </w:pPr>
            <w:r>
              <w:rPr>
                <w:color w:val="105C84"/>
                <w:spacing w:val="-2"/>
                <w:sz w:val="18"/>
              </w:rPr>
              <w:t>Resources: messages,</w:t>
            </w:r>
            <w:r>
              <w:rPr>
                <w:color w:val="105C84"/>
                <w:spacing w:val="-11"/>
                <w:sz w:val="18"/>
              </w:rPr>
              <w:t> </w:t>
            </w:r>
            <w:r>
              <w:rPr>
                <w:color w:val="105C84"/>
                <w:spacing w:val="-2"/>
                <w:sz w:val="18"/>
              </w:rPr>
              <w:t>media connections, </w:t>
            </w:r>
            <w:r>
              <w:rPr>
                <w:color w:val="105C84"/>
                <w:sz w:val="18"/>
              </w:rPr>
              <w:t>sharing</w:t>
            </w:r>
            <w:r>
              <w:rPr>
                <w:color w:val="105C84"/>
                <w:spacing w:val="-13"/>
                <w:sz w:val="18"/>
              </w:rPr>
              <w:t> </w:t>
            </w:r>
            <w:r>
              <w:rPr>
                <w:color w:val="105C84"/>
                <w:sz w:val="18"/>
              </w:rPr>
              <w:t>platforms</w:t>
            </w:r>
          </w:p>
        </w:tc>
      </w:tr>
      <w:tr>
        <w:trPr>
          <w:trHeight w:val="5550" w:hRule="atLeast"/>
        </w:trPr>
        <w:tc>
          <w:tcPr>
            <w:tcW w:w="1180" w:type="dxa"/>
            <w:vMerge/>
            <w:tcBorders>
              <w:top w:val="nil"/>
            </w:tcBorders>
            <w:shd w:val="clear" w:color="auto" w:fill="E6E7E8"/>
          </w:tcPr>
          <w:p>
            <w:pPr>
              <w:rPr>
                <w:sz w:val="2"/>
                <w:szCs w:val="2"/>
              </w:rPr>
            </w:pPr>
          </w:p>
        </w:tc>
        <w:tc>
          <w:tcPr>
            <w:tcW w:w="1267" w:type="dxa"/>
            <w:vMerge/>
            <w:tcBorders>
              <w:top w:val="nil"/>
            </w:tcBorders>
          </w:tcPr>
          <w:p>
            <w:pPr>
              <w:rPr>
                <w:sz w:val="2"/>
                <w:szCs w:val="2"/>
              </w:rPr>
            </w:pPr>
          </w:p>
        </w:tc>
        <w:tc>
          <w:tcPr>
            <w:tcW w:w="1440" w:type="dxa"/>
            <w:vMerge/>
            <w:tcBorders>
              <w:top w:val="nil"/>
            </w:tcBorders>
          </w:tcPr>
          <w:p>
            <w:pPr>
              <w:rPr>
                <w:sz w:val="2"/>
                <w:szCs w:val="2"/>
              </w:rPr>
            </w:pPr>
          </w:p>
        </w:tc>
        <w:tc>
          <w:tcPr>
            <w:tcW w:w="1411" w:type="dxa"/>
            <w:vMerge/>
            <w:tcBorders>
              <w:top w:val="nil"/>
            </w:tcBorders>
          </w:tcPr>
          <w:p>
            <w:pPr>
              <w:rPr>
                <w:sz w:val="2"/>
                <w:szCs w:val="2"/>
              </w:rPr>
            </w:pPr>
          </w:p>
        </w:tc>
        <w:tc>
          <w:tcPr>
            <w:tcW w:w="1065" w:type="dxa"/>
          </w:tcPr>
          <w:p>
            <w:pPr>
              <w:pStyle w:val="TableParagraph"/>
              <w:spacing w:before="93"/>
              <w:ind w:left="90"/>
              <w:rPr>
                <w:sz w:val="18"/>
              </w:rPr>
            </w:pPr>
            <w:r>
              <w:rPr>
                <w:color w:val="105C84"/>
                <w:sz w:val="18"/>
              </w:rPr>
              <w:t>Low</w:t>
            </w:r>
            <w:r>
              <w:rPr>
                <w:color w:val="105C84"/>
                <w:spacing w:val="-11"/>
                <w:sz w:val="18"/>
              </w:rPr>
              <w:t> </w:t>
            </w:r>
            <w:r>
              <w:rPr>
                <w:color w:val="105C84"/>
                <w:spacing w:val="-5"/>
                <w:sz w:val="18"/>
              </w:rPr>
              <w:t>SES</w:t>
            </w:r>
          </w:p>
        </w:tc>
        <w:tc>
          <w:tcPr>
            <w:tcW w:w="2159" w:type="dxa"/>
            <w:vMerge/>
            <w:tcBorders>
              <w:top w:val="nil"/>
            </w:tcBorders>
          </w:tcPr>
          <w:p>
            <w:pPr>
              <w:rPr>
                <w:sz w:val="2"/>
                <w:szCs w:val="2"/>
              </w:rPr>
            </w:pPr>
          </w:p>
        </w:tc>
        <w:tc>
          <w:tcPr>
            <w:tcW w:w="6054" w:type="dxa"/>
          </w:tcPr>
          <w:p>
            <w:pPr>
              <w:pStyle w:val="TableParagraph"/>
              <w:tabs>
                <w:tab w:pos="3710" w:val="left" w:leader="none"/>
              </w:tabs>
              <w:spacing w:line="203" w:lineRule="exact" w:before="93"/>
              <w:ind w:left="92"/>
              <w:rPr>
                <w:sz w:val="18"/>
              </w:rPr>
            </w:pPr>
            <w:r>
              <w:rPr>
                <w:color w:val="105C84"/>
                <w:sz w:val="18"/>
              </w:rPr>
              <w:t>Metrics/Goals</w:t>
            </w:r>
            <w:r>
              <w:rPr>
                <w:color w:val="105C84"/>
                <w:spacing w:val="7"/>
                <w:sz w:val="18"/>
              </w:rPr>
              <w:t> </w:t>
            </w:r>
            <w:r>
              <w:rPr>
                <w:color w:val="105C84"/>
                <w:spacing w:val="-7"/>
                <w:sz w:val="18"/>
              </w:rPr>
              <w:t>by</w:t>
            </w:r>
            <w:r>
              <w:rPr>
                <w:color w:val="105C84"/>
                <w:sz w:val="18"/>
              </w:rPr>
              <w:tab/>
              <w:t>Promote</w:t>
            </w:r>
            <w:r>
              <w:rPr>
                <w:color w:val="105C84"/>
                <w:spacing w:val="12"/>
                <w:sz w:val="18"/>
              </w:rPr>
              <w:t> </w:t>
            </w:r>
            <w:r>
              <w:rPr>
                <w:color w:val="105C84"/>
                <w:sz w:val="18"/>
              </w:rPr>
              <w:t>tobacco-</w:t>
            </w:r>
            <w:r>
              <w:rPr>
                <w:color w:val="105C84"/>
                <w:spacing w:val="-4"/>
                <w:sz w:val="18"/>
              </w:rPr>
              <w:t>free</w:t>
            </w:r>
          </w:p>
          <w:p>
            <w:pPr>
              <w:pStyle w:val="TableParagraph"/>
              <w:tabs>
                <w:tab w:pos="3710" w:val="left" w:leader="none"/>
              </w:tabs>
              <w:spacing w:line="203" w:lineRule="exact"/>
              <w:ind w:left="92"/>
              <w:rPr>
                <w:sz w:val="18"/>
              </w:rPr>
            </w:pPr>
            <w:r>
              <w:rPr>
                <w:color w:val="105C84"/>
                <w:spacing w:val="-4"/>
                <w:sz w:val="18"/>
              </w:rPr>
              <w:t>Year</w:t>
            </w:r>
            <w:r>
              <w:rPr>
                <w:color w:val="105C84"/>
                <w:sz w:val="18"/>
              </w:rPr>
              <w:tab/>
              <w:t>outdoor</w:t>
            </w:r>
            <w:r>
              <w:rPr>
                <w:color w:val="105C84"/>
                <w:spacing w:val="32"/>
                <w:sz w:val="18"/>
              </w:rPr>
              <w:t> </w:t>
            </w:r>
            <w:r>
              <w:rPr>
                <w:color w:val="105C84"/>
                <w:spacing w:val="-2"/>
                <w:sz w:val="18"/>
              </w:rPr>
              <w:t>spaces</w:t>
            </w:r>
          </w:p>
          <w:p>
            <w:pPr>
              <w:pStyle w:val="TableParagraph"/>
              <w:tabs>
                <w:tab w:pos="3710" w:val="left" w:leader="none"/>
              </w:tabs>
              <w:spacing w:line="203" w:lineRule="exact" w:before="83"/>
              <w:ind w:left="92"/>
              <w:rPr>
                <w:sz w:val="18"/>
              </w:rPr>
            </w:pPr>
            <w:r>
              <w:rPr>
                <w:color w:val="105C84"/>
                <w:spacing w:val="-4"/>
                <w:sz w:val="18"/>
              </w:rPr>
              <w:t>Year</w:t>
            </w:r>
            <w:r>
              <w:rPr>
                <w:color w:val="105C84"/>
                <w:spacing w:val="-8"/>
                <w:sz w:val="18"/>
              </w:rPr>
              <w:t> </w:t>
            </w:r>
            <w:r>
              <w:rPr>
                <w:color w:val="105C84"/>
                <w:spacing w:val="-4"/>
                <w:sz w:val="18"/>
              </w:rPr>
              <w:t>1:</w:t>
            </w:r>
            <w:r>
              <w:rPr>
                <w:color w:val="105C84"/>
                <w:spacing w:val="-8"/>
                <w:sz w:val="18"/>
              </w:rPr>
              <w:t> </w:t>
            </w:r>
            <w:r>
              <w:rPr>
                <w:color w:val="105C84"/>
                <w:spacing w:val="-4"/>
                <w:sz w:val="18"/>
              </w:rPr>
              <w:t>4+</w:t>
            </w:r>
            <w:r>
              <w:rPr>
                <w:color w:val="105C84"/>
                <w:spacing w:val="-8"/>
                <w:sz w:val="18"/>
              </w:rPr>
              <w:t> </w:t>
            </w:r>
            <w:r>
              <w:rPr>
                <w:color w:val="105C84"/>
                <w:spacing w:val="-4"/>
                <w:sz w:val="18"/>
              </w:rPr>
              <w:t>total</w:t>
            </w:r>
            <w:r>
              <w:rPr>
                <w:color w:val="105C84"/>
                <w:sz w:val="18"/>
              </w:rPr>
              <w:tab/>
            </w:r>
            <w:r>
              <w:rPr>
                <w:color w:val="105C84"/>
                <w:spacing w:val="-4"/>
                <w:sz w:val="18"/>
              </w:rPr>
              <w:t>TACFL</w:t>
            </w:r>
            <w:r>
              <w:rPr>
                <w:color w:val="105C84"/>
                <w:spacing w:val="-6"/>
                <w:sz w:val="18"/>
              </w:rPr>
              <w:t> </w:t>
            </w:r>
            <w:r>
              <w:rPr>
                <w:color w:val="105C84"/>
                <w:spacing w:val="-4"/>
                <w:sz w:val="18"/>
              </w:rPr>
              <w:t>will</w:t>
            </w:r>
            <w:r>
              <w:rPr>
                <w:color w:val="105C84"/>
                <w:spacing w:val="-5"/>
                <w:sz w:val="18"/>
              </w:rPr>
              <w:t> </w:t>
            </w:r>
            <w:r>
              <w:rPr>
                <w:color w:val="105C84"/>
                <w:spacing w:val="-4"/>
                <w:sz w:val="18"/>
              </w:rPr>
              <w:t>provide</w:t>
            </w:r>
          </w:p>
          <w:p>
            <w:pPr>
              <w:pStyle w:val="TableParagraph"/>
              <w:tabs>
                <w:tab w:pos="3710" w:val="left" w:leader="none"/>
              </w:tabs>
              <w:spacing w:line="200" w:lineRule="exact"/>
              <w:ind w:left="92"/>
              <w:rPr>
                <w:sz w:val="18"/>
              </w:rPr>
            </w:pPr>
            <w:r>
              <w:rPr>
                <w:color w:val="105C84"/>
                <w:spacing w:val="-2"/>
                <w:sz w:val="18"/>
              </w:rPr>
              <w:t>documented</w:t>
            </w:r>
            <w:r>
              <w:rPr>
                <w:color w:val="105C84"/>
                <w:sz w:val="18"/>
              </w:rPr>
              <w:tab/>
            </w:r>
            <w:r>
              <w:rPr>
                <w:color w:val="105C84"/>
                <w:spacing w:val="-4"/>
                <w:sz w:val="18"/>
              </w:rPr>
              <w:t>Tobacco-Free</w:t>
            </w:r>
            <w:r>
              <w:rPr>
                <w:color w:val="105C84"/>
                <w:spacing w:val="10"/>
                <w:sz w:val="18"/>
              </w:rPr>
              <w:t> </w:t>
            </w:r>
            <w:r>
              <w:rPr>
                <w:color w:val="105C84"/>
                <w:spacing w:val="-4"/>
                <w:sz w:val="18"/>
              </w:rPr>
              <w:t>Outdoor</w:t>
            </w:r>
          </w:p>
          <w:p>
            <w:pPr>
              <w:pStyle w:val="TableParagraph"/>
              <w:tabs>
                <w:tab w:pos="3710" w:val="left" w:leader="none"/>
              </w:tabs>
              <w:spacing w:line="200" w:lineRule="exact"/>
              <w:ind w:left="92"/>
              <w:rPr>
                <w:sz w:val="18"/>
              </w:rPr>
            </w:pPr>
            <w:r>
              <w:rPr>
                <w:color w:val="105C84"/>
                <w:sz w:val="18"/>
              </w:rPr>
              <w:t>interactions</w:t>
            </w:r>
            <w:r>
              <w:rPr>
                <w:color w:val="105C84"/>
                <w:spacing w:val="2"/>
                <w:sz w:val="18"/>
              </w:rPr>
              <w:t> </w:t>
            </w:r>
            <w:r>
              <w:rPr>
                <w:color w:val="105C84"/>
                <w:sz w:val="18"/>
              </w:rPr>
              <w:t>per</w:t>
            </w:r>
            <w:r>
              <w:rPr>
                <w:color w:val="105C84"/>
                <w:spacing w:val="3"/>
                <w:sz w:val="18"/>
              </w:rPr>
              <w:t> </w:t>
            </w:r>
            <w:r>
              <w:rPr>
                <w:color w:val="105C84"/>
                <w:spacing w:val="-4"/>
                <w:sz w:val="18"/>
              </w:rPr>
              <w:t>year</w:t>
            </w:r>
            <w:r>
              <w:rPr>
                <w:color w:val="105C84"/>
                <w:sz w:val="18"/>
              </w:rPr>
              <w:tab/>
              <w:t>toolkits</w:t>
            </w:r>
            <w:r>
              <w:rPr>
                <w:color w:val="105C84"/>
                <w:spacing w:val="4"/>
                <w:sz w:val="18"/>
              </w:rPr>
              <w:t> </w:t>
            </w:r>
            <w:r>
              <w:rPr>
                <w:color w:val="105C84"/>
                <w:sz w:val="18"/>
              </w:rPr>
              <w:t>to</w:t>
            </w:r>
            <w:r>
              <w:rPr>
                <w:color w:val="105C84"/>
                <w:spacing w:val="4"/>
                <w:sz w:val="18"/>
              </w:rPr>
              <w:t> </w:t>
            </w:r>
            <w:r>
              <w:rPr>
                <w:color w:val="105C84"/>
                <w:sz w:val="18"/>
              </w:rPr>
              <w:t>Public</w:t>
            </w:r>
            <w:r>
              <w:rPr>
                <w:color w:val="105C84"/>
                <w:spacing w:val="5"/>
                <w:sz w:val="18"/>
              </w:rPr>
              <w:t> </w:t>
            </w:r>
            <w:r>
              <w:rPr>
                <w:color w:val="105C84"/>
                <w:sz w:val="18"/>
              </w:rPr>
              <w:t>Health</w:t>
            </w:r>
            <w:r>
              <w:rPr>
                <w:color w:val="105C84"/>
                <w:spacing w:val="4"/>
                <w:sz w:val="18"/>
              </w:rPr>
              <w:t> </w:t>
            </w:r>
            <w:r>
              <w:rPr>
                <w:color w:val="105C84"/>
                <w:spacing w:val="-5"/>
                <w:sz w:val="18"/>
              </w:rPr>
              <w:t>to</w:t>
            </w:r>
          </w:p>
          <w:p>
            <w:pPr>
              <w:pStyle w:val="TableParagraph"/>
              <w:tabs>
                <w:tab w:pos="3710" w:val="left" w:leader="none"/>
              </w:tabs>
              <w:spacing w:line="200" w:lineRule="exact"/>
              <w:ind w:left="92"/>
              <w:rPr>
                <w:sz w:val="18"/>
              </w:rPr>
            </w:pPr>
            <w:r>
              <w:rPr>
                <w:color w:val="105C84"/>
                <w:sz w:val="18"/>
              </w:rPr>
              <w:t>educating</w:t>
            </w:r>
            <w:r>
              <w:rPr>
                <w:color w:val="105C84"/>
                <w:spacing w:val="13"/>
                <w:sz w:val="18"/>
              </w:rPr>
              <w:t> </w:t>
            </w:r>
            <w:r>
              <w:rPr>
                <w:color w:val="105C84"/>
                <w:spacing w:val="-2"/>
                <w:sz w:val="18"/>
              </w:rPr>
              <w:t>providers</w:t>
            </w:r>
            <w:r>
              <w:rPr>
                <w:color w:val="105C84"/>
                <w:sz w:val="18"/>
              </w:rPr>
              <w:tab/>
            </w:r>
            <w:r>
              <w:rPr>
                <w:color w:val="105C84"/>
                <w:spacing w:val="-2"/>
                <w:sz w:val="18"/>
              </w:rPr>
              <w:t>share</w:t>
            </w:r>
            <w:r>
              <w:rPr>
                <w:color w:val="105C84"/>
                <w:spacing w:val="-7"/>
                <w:sz w:val="18"/>
              </w:rPr>
              <w:t> </w:t>
            </w:r>
            <w:r>
              <w:rPr>
                <w:color w:val="105C84"/>
                <w:spacing w:val="-2"/>
                <w:sz w:val="18"/>
              </w:rPr>
              <w:t>with</w:t>
            </w:r>
            <w:r>
              <w:rPr>
                <w:color w:val="105C84"/>
                <w:spacing w:val="-8"/>
                <w:sz w:val="18"/>
              </w:rPr>
              <w:t> </w:t>
            </w:r>
            <w:r>
              <w:rPr>
                <w:color w:val="105C84"/>
                <w:spacing w:val="-2"/>
                <w:sz w:val="18"/>
              </w:rPr>
              <w:t>service</w:t>
            </w:r>
            <w:r>
              <w:rPr>
                <w:color w:val="105C84"/>
                <w:spacing w:val="-7"/>
                <w:sz w:val="18"/>
              </w:rPr>
              <w:t> </w:t>
            </w:r>
            <w:r>
              <w:rPr>
                <w:color w:val="105C84"/>
                <w:spacing w:val="-2"/>
                <w:sz w:val="18"/>
              </w:rPr>
              <w:t>provider</w:t>
            </w:r>
          </w:p>
          <w:p>
            <w:pPr>
              <w:pStyle w:val="TableParagraph"/>
              <w:tabs>
                <w:tab w:pos="3710" w:val="left" w:leader="none"/>
              </w:tabs>
              <w:spacing w:line="200" w:lineRule="exact"/>
              <w:ind w:left="92"/>
              <w:rPr>
                <w:sz w:val="18"/>
              </w:rPr>
            </w:pPr>
            <w:r>
              <w:rPr>
                <w:color w:val="105C84"/>
                <w:sz w:val="18"/>
              </w:rPr>
              <w:t>and</w:t>
            </w:r>
            <w:r>
              <w:rPr>
                <w:color w:val="105C84"/>
                <w:spacing w:val="-1"/>
                <w:sz w:val="18"/>
              </w:rPr>
              <w:t> </w:t>
            </w:r>
            <w:r>
              <w:rPr>
                <w:color w:val="105C84"/>
                <w:spacing w:val="-2"/>
                <w:sz w:val="18"/>
              </w:rPr>
              <w:t>health/human</w:t>
            </w:r>
            <w:r>
              <w:rPr>
                <w:color w:val="105C84"/>
                <w:sz w:val="18"/>
              </w:rPr>
              <w:tab/>
              <w:t>agencies</w:t>
            </w:r>
            <w:r>
              <w:rPr>
                <w:color w:val="105C84"/>
                <w:spacing w:val="-11"/>
                <w:sz w:val="18"/>
              </w:rPr>
              <w:t> </w:t>
            </w:r>
            <w:r>
              <w:rPr>
                <w:color w:val="105C84"/>
                <w:sz w:val="18"/>
              </w:rPr>
              <w:t>serving</w:t>
            </w:r>
            <w:r>
              <w:rPr>
                <w:color w:val="105C84"/>
                <w:spacing w:val="-11"/>
                <w:sz w:val="18"/>
              </w:rPr>
              <w:t> </w:t>
            </w:r>
            <w:r>
              <w:rPr>
                <w:color w:val="105C84"/>
                <w:sz w:val="18"/>
              </w:rPr>
              <w:t>low</w:t>
            </w:r>
            <w:r>
              <w:rPr>
                <w:color w:val="105C84"/>
                <w:spacing w:val="-11"/>
                <w:sz w:val="18"/>
              </w:rPr>
              <w:t> </w:t>
            </w:r>
            <w:r>
              <w:rPr>
                <w:color w:val="105C84"/>
                <w:spacing w:val="-5"/>
                <w:sz w:val="18"/>
              </w:rPr>
              <w:t>SES</w:t>
            </w:r>
          </w:p>
          <w:p>
            <w:pPr>
              <w:pStyle w:val="TableParagraph"/>
              <w:tabs>
                <w:tab w:pos="3710" w:val="left" w:leader="none"/>
              </w:tabs>
              <w:spacing w:line="200" w:lineRule="exact"/>
              <w:ind w:left="92"/>
              <w:rPr>
                <w:sz w:val="18"/>
              </w:rPr>
            </w:pPr>
            <w:r>
              <w:rPr>
                <w:color w:val="105C84"/>
                <w:sz w:val="18"/>
              </w:rPr>
              <w:t>service</w:t>
            </w:r>
            <w:r>
              <w:rPr>
                <w:color w:val="105C84"/>
                <w:spacing w:val="-12"/>
                <w:sz w:val="18"/>
              </w:rPr>
              <w:t> </w:t>
            </w:r>
            <w:r>
              <w:rPr>
                <w:color w:val="105C84"/>
                <w:sz w:val="18"/>
              </w:rPr>
              <w:t>entities</w:t>
            </w:r>
            <w:r>
              <w:rPr>
                <w:color w:val="105C84"/>
                <w:spacing w:val="-11"/>
                <w:sz w:val="18"/>
              </w:rPr>
              <w:t> </w:t>
            </w:r>
            <w:r>
              <w:rPr>
                <w:color w:val="105C84"/>
                <w:spacing w:val="-5"/>
                <w:sz w:val="18"/>
              </w:rPr>
              <w:t>on</w:t>
            </w:r>
            <w:r>
              <w:rPr>
                <w:color w:val="105C84"/>
                <w:sz w:val="18"/>
              </w:rPr>
              <w:tab/>
              <w:t>mothers</w:t>
            </w:r>
            <w:r>
              <w:rPr>
                <w:color w:val="105C84"/>
                <w:spacing w:val="2"/>
                <w:sz w:val="18"/>
              </w:rPr>
              <w:t> </w:t>
            </w:r>
            <w:r>
              <w:rPr>
                <w:color w:val="105C84"/>
                <w:sz w:val="18"/>
              </w:rPr>
              <w:t>involved</w:t>
            </w:r>
            <w:r>
              <w:rPr>
                <w:color w:val="105C84"/>
                <w:spacing w:val="2"/>
                <w:sz w:val="18"/>
              </w:rPr>
              <w:t> </w:t>
            </w:r>
            <w:r>
              <w:rPr>
                <w:color w:val="105C84"/>
                <w:sz w:val="18"/>
              </w:rPr>
              <w:t>with</w:t>
            </w:r>
            <w:r>
              <w:rPr>
                <w:color w:val="105C84"/>
                <w:spacing w:val="2"/>
                <w:sz w:val="18"/>
              </w:rPr>
              <w:t> </w:t>
            </w:r>
            <w:r>
              <w:rPr>
                <w:color w:val="105C84"/>
                <w:spacing w:val="-4"/>
                <w:sz w:val="18"/>
              </w:rPr>
              <w:t>Head</w:t>
            </w:r>
          </w:p>
          <w:p>
            <w:pPr>
              <w:pStyle w:val="TableParagraph"/>
              <w:tabs>
                <w:tab w:pos="3710" w:val="left" w:leader="none"/>
              </w:tabs>
              <w:spacing w:line="200" w:lineRule="exact"/>
              <w:ind w:left="92"/>
              <w:rPr>
                <w:sz w:val="18"/>
              </w:rPr>
            </w:pPr>
            <w:r>
              <w:rPr>
                <w:color w:val="105C84"/>
                <w:spacing w:val="-5"/>
                <w:sz w:val="18"/>
              </w:rPr>
              <w:t>TFO</w:t>
            </w:r>
            <w:r>
              <w:rPr>
                <w:color w:val="105C84"/>
                <w:sz w:val="18"/>
              </w:rPr>
              <w:tab/>
              <w:t>Start</w:t>
            </w:r>
            <w:r>
              <w:rPr>
                <w:color w:val="105C84"/>
                <w:spacing w:val="-3"/>
                <w:sz w:val="18"/>
              </w:rPr>
              <w:t> </w:t>
            </w:r>
            <w:r>
              <w:rPr>
                <w:color w:val="105C84"/>
                <w:sz w:val="18"/>
              </w:rPr>
              <w:t>type</w:t>
            </w:r>
            <w:r>
              <w:rPr>
                <w:color w:val="105C84"/>
                <w:spacing w:val="-3"/>
                <w:sz w:val="18"/>
              </w:rPr>
              <w:t> </w:t>
            </w:r>
            <w:r>
              <w:rPr>
                <w:color w:val="105C84"/>
                <w:sz w:val="18"/>
              </w:rPr>
              <w:t>programs,</w:t>
            </w:r>
            <w:r>
              <w:rPr>
                <w:color w:val="105C84"/>
                <w:spacing w:val="-3"/>
                <w:sz w:val="18"/>
              </w:rPr>
              <w:t> </w:t>
            </w:r>
            <w:r>
              <w:rPr>
                <w:color w:val="105C84"/>
                <w:sz w:val="18"/>
              </w:rPr>
              <w:t>and</w:t>
            </w:r>
            <w:r>
              <w:rPr>
                <w:color w:val="105C84"/>
                <w:spacing w:val="-3"/>
                <w:sz w:val="18"/>
              </w:rPr>
              <w:t> </w:t>
            </w:r>
            <w:r>
              <w:rPr>
                <w:color w:val="105C84"/>
                <w:spacing w:val="-5"/>
                <w:sz w:val="18"/>
              </w:rPr>
              <w:t>to</w:t>
            </w:r>
          </w:p>
          <w:p>
            <w:pPr>
              <w:pStyle w:val="TableParagraph"/>
              <w:tabs>
                <w:tab w:pos="3710" w:val="left" w:leader="none"/>
              </w:tabs>
              <w:spacing w:line="148" w:lineRule="auto" w:before="27"/>
              <w:ind w:left="92"/>
              <w:rPr>
                <w:sz w:val="18"/>
              </w:rPr>
            </w:pPr>
            <w:r>
              <w:rPr>
                <w:color w:val="105C84"/>
                <w:spacing w:val="-10"/>
                <w:position w:val="-8"/>
                <w:sz w:val="18"/>
              </w:rPr>
              <w:t>Year</w:t>
            </w:r>
            <w:r>
              <w:rPr>
                <w:color w:val="105C84"/>
                <w:spacing w:val="-1"/>
                <w:position w:val="-8"/>
                <w:sz w:val="18"/>
              </w:rPr>
              <w:t> </w:t>
            </w:r>
            <w:r>
              <w:rPr>
                <w:color w:val="105C84"/>
                <w:spacing w:val="-10"/>
                <w:position w:val="-8"/>
                <w:sz w:val="18"/>
              </w:rPr>
              <w:t>2:</w:t>
            </w:r>
            <w:r>
              <w:rPr>
                <w:color w:val="105C84"/>
                <w:position w:val="-8"/>
                <w:sz w:val="18"/>
              </w:rPr>
              <w:t> </w:t>
            </w:r>
            <w:r>
              <w:rPr>
                <w:color w:val="105C84"/>
                <w:spacing w:val="-10"/>
                <w:position w:val="-8"/>
                <w:sz w:val="18"/>
              </w:rPr>
              <w:t>Number</w:t>
            </w:r>
            <w:r>
              <w:rPr>
                <w:color w:val="105C84"/>
                <w:position w:val="-8"/>
                <w:sz w:val="18"/>
              </w:rPr>
              <w:tab/>
            </w:r>
            <w:r>
              <w:rPr>
                <w:color w:val="105C84"/>
                <w:spacing w:val="-2"/>
                <w:sz w:val="18"/>
              </w:rPr>
              <w:t>Newark</w:t>
            </w:r>
            <w:r>
              <w:rPr>
                <w:color w:val="105C84"/>
                <w:spacing w:val="-8"/>
                <w:sz w:val="18"/>
              </w:rPr>
              <w:t> </w:t>
            </w:r>
            <w:r>
              <w:rPr>
                <w:color w:val="105C84"/>
                <w:spacing w:val="-2"/>
                <w:sz w:val="18"/>
              </w:rPr>
              <w:t>Wayne</w:t>
            </w:r>
            <w:r>
              <w:rPr>
                <w:color w:val="105C84"/>
                <w:spacing w:val="-7"/>
                <w:sz w:val="18"/>
              </w:rPr>
              <w:t> </w:t>
            </w:r>
            <w:r>
              <w:rPr>
                <w:color w:val="105C84"/>
                <w:spacing w:val="-2"/>
                <w:sz w:val="18"/>
              </w:rPr>
              <w:t>Community</w:t>
            </w:r>
          </w:p>
          <w:p>
            <w:pPr>
              <w:pStyle w:val="TableParagraph"/>
              <w:tabs>
                <w:tab w:pos="3710" w:val="left" w:leader="none"/>
              </w:tabs>
              <w:spacing w:line="148" w:lineRule="auto"/>
              <w:ind w:left="92"/>
              <w:rPr>
                <w:sz w:val="18"/>
              </w:rPr>
            </w:pPr>
            <w:r>
              <w:rPr>
                <w:color w:val="105C84"/>
                <w:position w:val="-8"/>
                <w:sz w:val="18"/>
              </w:rPr>
              <w:t>of</w:t>
            </w:r>
            <w:r>
              <w:rPr>
                <w:color w:val="105C84"/>
                <w:spacing w:val="5"/>
                <w:position w:val="-8"/>
                <w:sz w:val="18"/>
              </w:rPr>
              <w:t> </w:t>
            </w:r>
            <w:r>
              <w:rPr>
                <w:color w:val="105C84"/>
                <w:spacing w:val="-2"/>
                <w:position w:val="-8"/>
                <w:sz w:val="18"/>
              </w:rPr>
              <w:t>agencies</w:t>
            </w:r>
            <w:r>
              <w:rPr>
                <w:color w:val="105C84"/>
                <w:position w:val="-8"/>
                <w:sz w:val="18"/>
              </w:rPr>
              <w:tab/>
            </w:r>
            <w:r>
              <w:rPr>
                <w:color w:val="105C84"/>
                <w:sz w:val="18"/>
              </w:rPr>
              <w:t>Hospital</w:t>
            </w:r>
            <w:r>
              <w:rPr>
                <w:color w:val="105C84"/>
                <w:spacing w:val="-10"/>
                <w:sz w:val="18"/>
              </w:rPr>
              <w:t> </w:t>
            </w:r>
            <w:r>
              <w:rPr>
                <w:color w:val="105C84"/>
                <w:sz w:val="18"/>
              </w:rPr>
              <w:t>(NWCH)</w:t>
            </w:r>
            <w:r>
              <w:rPr>
                <w:color w:val="105C84"/>
                <w:spacing w:val="-10"/>
                <w:sz w:val="18"/>
              </w:rPr>
              <w:t> </w:t>
            </w:r>
            <w:r>
              <w:rPr>
                <w:color w:val="105C84"/>
                <w:sz w:val="18"/>
              </w:rPr>
              <w:t>to</w:t>
            </w:r>
            <w:r>
              <w:rPr>
                <w:color w:val="105C84"/>
                <w:spacing w:val="-10"/>
                <w:sz w:val="18"/>
              </w:rPr>
              <w:t> </w:t>
            </w:r>
            <w:r>
              <w:rPr>
                <w:color w:val="105C84"/>
                <w:sz w:val="18"/>
              </w:rPr>
              <w:t>share</w:t>
            </w:r>
            <w:r>
              <w:rPr>
                <w:color w:val="105C84"/>
                <w:spacing w:val="-10"/>
                <w:sz w:val="18"/>
              </w:rPr>
              <w:t> </w:t>
            </w:r>
            <w:r>
              <w:rPr>
                <w:color w:val="105C84"/>
                <w:spacing w:val="-5"/>
                <w:sz w:val="18"/>
              </w:rPr>
              <w:t>in</w:t>
            </w:r>
          </w:p>
          <w:p>
            <w:pPr>
              <w:pStyle w:val="TableParagraph"/>
              <w:tabs>
                <w:tab w:pos="3710" w:val="left" w:leader="none"/>
              </w:tabs>
              <w:spacing w:line="148" w:lineRule="auto"/>
              <w:ind w:left="92"/>
              <w:rPr>
                <w:sz w:val="18"/>
              </w:rPr>
            </w:pPr>
            <w:r>
              <w:rPr>
                <w:color w:val="105C84"/>
                <w:position w:val="-8"/>
                <w:sz w:val="18"/>
              </w:rPr>
              <w:t>providing</w:t>
            </w:r>
            <w:r>
              <w:rPr>
                <w:color w:val="105C84"/>
                <w:spacing w:val="26"/>
                <w:position w:val="-8"/>
                <w:sz w:val="18"/>
              </w:rPr>
              <w:t> </w:t>
            </w:r>
            <w:r>
              <w:rPr>
                <w:color w:val="105C84"/>
                <w:spacing w:val="-2"/>
                <w:position w:val="-8"/>
                <w:sz w:val="18"/>
              </w:rPr>
              <w:t>letters</w:t>
            </w:r>
            <w:r>
              <w:rPr>
                <w:color w:val="105C84"/>
                <w:position w:val="-8"/>
                <w:sz w:val="18"/>
              </w:rPr>
              <w:tab/>
            </w:r>
            <w:r>
              <w:rPr>
                <w:color w:val="105C84"/>
                <w:sz w:val="18"/>
              </w:rPr>
              <w:t>communications</w:t>
            </w:r>
            <w:r>
              <w:rPr>
                <w:color w:val="105C84"/>
                <w:spacing w:val="5"/>
                <w:sz w:val="18"/>
              </w:rPr>
              <w:t> </w:t>
            </w:r>
            <w:r>
              <w:rPr>
                <w:color w:val="105C84"/>
                <w:sz w:val="18"/>
              </w:rPr>
              <w:t>to</w:t>
            </w:r>
            <w:r>
              <w:rPr>
                <w:color w:val="105C84"/>
                <w:spacing w:val="6"/>
                <w:sz w:val="18"/>
              </w:rPr>
              <w:t> </w:t>
            </w:r>
            <w:r>
              <w:rPr>
                <w:color w:val="105C84"/>
                <w:spacing w:val="-2"/>
                <w:sz w:val="18"/>
              </w:rPr>
              <w:t>health</w:t>
            </w:r>
          </w:p>
          <w:p>
            <w:pPr>
              <w:pStyle w:val="TableParagraph"/>
              <w:tabs>
                <w:tab w:pos="3710" w:val="left" w:leader="none"/>
              </w:tabs>
              <w:spacing w:line="170" w:lineRule="auto"/>
              <w:ind w:left="92"/>
              <w:rPr>
                <w:sz w:val="18"/>
              </w:rPr>
            </w:pPr>
            <w:r>
              <w:rPr>
                <w:color w:val="105C84"/>
                <w:position w:val="-8"/>
                <w:sz w:val="18"/>
              </w:rPr>
              <w:t>of</w:t>
            </w:r>
            <w:r>
              <w:rPr>
                <w:color w:val="105C84"/>
                <w:spacing w:val="9"/>
                <w:position w:val="-8"/>
                <w:sz w:val="18"/>
              </w:rPr>
              <w:t> </w:t>
            </w:r>
            <w:r>
              <w:rPr>
                <w:color w:val="105C84"/>
                <w:position w:val="-8"/>
                <w:sz w:val="18"/>
              </w:rPr>
              <w:t>support</w:t>
            </w:r>
            <w:r>
              <w:rPr>
                <w:color w:val="105C84"/>
                <w:spacing w:val="10"/>
                <w:position w:val="-8"/>
                <w:sz w:val="18"/>
              </w:rPr>
              <w:t> </w:t>
            </w:r>
            <w:r>
              <w:rPr>
                <w:color w:val="105C84"/>
                <w:spacing w:val="-2"/>
                <w:position w:val="-8"/>
                <w:sz w:val="18"/>
              </w:rPr>
              <w:t>(goal</w:t>
            </w:r>
            <w:r>
              <w:rPr>
                <w:color w:val="105C84"/>
                <w:position w:val="-8"/>
                <w:sz w:val="18"/>
              </w:rPr>
              <w:tab/>
            </w:r>
            <w:r>
              <w:rPr>
                <w:color w:val="105C84"/>
                <w:sz w:val="18"/>
              </w:rPr>
              <w:t>care</w:t>
            </w:r>
            <w:r>
              <w:rPr>
                <w:color w:val="105C84"/>
                <w:spacing w:val="-10"/>
                <w:sz w:val="18"/>
              </w:rPr>
              <w:t> </w:t>
            </w:r>
            <w:r>
              <w:rPr>
                <w:color w:val="105C84"/>
                <w:sz w:val="18"/>
              </w:rPr>
              <w:t>providers,</w:t>
            </w:r>
            <w:r>
              <w:rPr>
                <w:color w:val="105C84"/>
                <w:spacing w:val="-7"/>
                <w:sz w:val="18"/>
              </w:rPr>
              <w:t> </w:t>
            </w:r>
            <w:r>
              <w:rPr>
                <w:color w:val="105C84"/>
                <w:sz w:val="18"/>
              </w:rPr>
              <w:t>within</w:t>
            </w:r>
            <w:r>
              <w:rPr>
                <w:color w:val="105C84"/>
                <w:spacing w:val="-8"/>
                <w:sz w:val="18"/>
              </w:rPr>
              <w:t> </w:t>
            </w:r>
            <w:r>
              <w:rPr>
                <w:color w:val="105C84"/>
                <w:sz w:val="18"/>
              </w:rPr>
              <w:t>a</w:t>
            </w:r>
            <w:r>
              <w:rPr>
                <w:color w:val="105C84"/>
                <w:spacing w:val="-7"/>
                <w:sz w:val="18"/>
              </w:rPr>
              <w:t> </w:t>
            </w:r>
            <w:r>
              <w:rPr>
                <w:color w:val="105C84"/>
                <w:spacing w:val="-4"/>
                <w:sz w:val="18"/>
              </w:rPr>
              <w:t>year</w:t>
            </w:r>
          </w:p>
          <w:p>
            <w:pPr>
              <w:pStyle w:val="TableParagraph"/>
              <w:spacing w:line="232" w:lineRule="auto"/>
              <w:ind w:left="92" w:right="4382"/>
              <w:rPr>
                <w:sz w:val="18"/>
              </w:rPr>
            </w:pPr>
            <w:r>
              <w:rPr>
                <w:color w:val="105C84"/>
                <w:sz w:val="18"/>
              </w:rPr>
              <w:t>of 2+); Number of instances where </w:t>
            </w:r>
            <w:r>
              <w:rPr>
                <w:color w:val="105C84"/>
                <w:spacing w:val="-4"/>
                <w:sz w:val="18"/>
              </w:rPr>
              <w:t>technical</w:t>
            </w:r>
            <w:r>
              <w:rPr>
                <w:color w:val="105C84"/>
                <w:spacing w:val="-6"/>
                <w:sz w:val="18"/>
              </w:rPr>
              <w:t> </w:t>
            </w:r>
            <w:r>
              <w:rPr>
                <w:color w:val="105C84"/>
                <w:spacing w:val="-4"/>
                <w:sz w:val="18"/>
              </w:rPr>
              <w:t>assistance </w:t>
            </w:r>
            <w:r>
              <w:rPr>
                <w:color w:val="105C84"/>
                <w:sz w:val="18"/>
              </w:rPr>
              <w:t>was provided (goal 1+); Number of local level decision makers reached (goal 4+); Number or percent of decision makers reached who expressed support for TFO (goal 2+)</w:t>
            </w:r>
          </w:p>
        </w:tc>
        <w:tc>
          <w:tcPr>
            <w:tcW w:w="2188" w:type="dxa"/>
          </w:tcPr>
          <w:p>
            <w:pPr>
              <w:pStyle w:val="TableParagraph"/>
              <w:spacing w:line="232" w:lineRule="auto" w:before="98"/>
              <w:ind w:left="93"/>
              <w:rPr>
                <w:sz w:val="18"/>
              </w:rPr>
            </w:pPr>
            <w:r>
              <w:rPr>
                <w:color w:val="105C84"/>
                <w:sz w:val="18"/>
              </w:rPr>
              <w:t>Promote tobacco-free outdoor</w:t>
            </w:r>
            <w:r>
              <w:rPr>
                <w:color w:val="105C84"/>
                <w:spacing w:val="-5"/>
                <w:sz w:val="18"/>
              </w:rPr>
              <w:t> </w:t>
            </w:r>
            <w:r>
              <w:rPr>
                <w:color w:val="105C84"/>
                <w:sz w:val="18"/>
              </w:rPr>
              <w:t>spaces</w:t>
            </w:r>
            <w:r>
              <w:rPr>
                <w:color w:val="105C84"/>
                <w:spacing w:val="-5"/>
                <w:sz w:val="18"/>
              </w:rPr>
              <w:t> </w:t>
            </w:r>
            <w:r>
              <w:rPr>
                <w:color w:val="105C84"/>
                <w:sz w:val="18"/>
              </w:rPr>
              <w:t>to</w:t>
            </w:r>
            <w:r>
              <w:rPr>
                <w:color w:val="105C84"/>
                <w:spacing w:val="-5"/>
                <w:sz w:val="18"/>
              </w:rPr>
              <w:t> </w:t>
            </w:r>
            <w:r>
              <w:rPr>
                <w:color w:val="105C84"/>
                <w:sz w:val="18"/>
              </w:rPr>
              <w:t>local decision makers</w:t>
            </w:r>
          </w:p>
          <w:p>
            <w:pPr>
              <w:pStyle w:val="TableParagraph"/>
              <w:spacing w:line="232" w:lineRule="auto" w:before="87"/>
              <w:ind w:left="93" w:right="178"/>
              <w:rPr>
                <w:sz w:val="18"/>
              </w:rPr>
            </w:pPr>
            <w:r>
              <w:rPr>
                <w:color w:val="105C84"/>
                <w:sz w:val="18"/>
              </w:rPr>
              <w:t>Public Health and partners will support TACFL’s initiatives to present to local level decision</w:t>
            </w:r>
            <w:r>
              <w:rPr>
                <w:color w:val="105C84"/>
                <w:spacing w:val="-13"/>
                <w:sz w:val="18"/>
              </w:rPr>
              <w:t> </w:t>
            </w:r>
            <w:r>
              <w:rPr>
                <w:color w:val="105C84"/>
                <w:sz w:val="18"/>
              </w:rPr>
              <w:t>makers</w:t>
            </w:r>
            <w:r>
              <w:rPr>
                <w:color w:val="105C84"/>
                <w:spacing w:val="-12"/>
                <w:sz w:val="18"/>
              </w:rPr>
              <w:t> </w:t>
            </w:r>
            <w:r>
              <w:rPr>
                <w:color w:val="105C84"/>
                <w:sz w:val="18"/>
              </w:rPr>
              <w:t>at</w:t>
            </w:r>
            <w:r>
              <w:rPr>
                <w:color w:val="105C84"/>
                <w:spacing w:val="-13"/>
                <w:sz w:val="18"/>
              </w:rPr>
              <w:t> </w:t>
            </w:r>
            <w:r>
              <w:rPr>
                <w:color w:val="105C84"/>
                <w:sz w:val="18"/>
              </w:rPr>
              <w:t>least once on the benefits of Tobacco-Free Outdoor (TFO) public spaces, targeting low SES </w:t>
            </w:r>
            <w:r>
              <w:rPr>
                <w:color w:val="105C84"/>
                <w:spacing w:val="-2"/>
                <w:sz w:val="18"/>
              </w:rPr>
              <w:t>communities</w:t>
            </w:r>
          </w:p>
          <w:p>
            <w:pPr>
              <w:pStyle w:val="TableParagraph"/>
              <w:spacing w:line="232" w:lineRule="auto" w:before="82"/>
              <w:ind w:left="93" w:right="264"/>
              <w:rPr>
                <w:sz w:val="18"/>
              </w:rPr>
            </w:pPr>
            <w:r>
              <w:rPr>
                <w:color w:val="105C84"/>
                <w:sz w:val="18"/>
              </w:rPr>
              <w:t>This may include letters of support,</w:t>
            </w:r>
            <w:r>
              <w:rPr>
                <w:color w:val="105C84"/>
                <w:spacing w:val="40"/>
                <w:sz w:val="18"/>
              </w:rPr>
              <w:t> </w:t>
            </w:r>
            <w:r>
              <w:rPr>
                <w:color w:val="105C84"/>
                <w:sz w:val="18"/>
              </w:rPr>
              <w:t>other</w:t>
            </w:r>
            <w:r>
              <w:rPr>
                <w:color w:val="105C84"/>
                <w:spacing w:val="-13"/>
                <w:sz w:val="18"/>
              </w:rPr>
              <w:t> </w:t>
            </w:r>
            <w:r>
              <w:rPr>
                <w:color w:val="105C84"/>
                <w:sz w:val="18"/>
              </w:rPr>
              <w:t>correspondence, compiling data in support of TFO, or</w:t>
            </w:r>
          </w:p>
          <w:p>
            <w:pPr>
              <w:pStyle w:val="TableParagraph"/>
              <w:spacing w:line="232" w:lineRule="auto"/>
              <w:ind w:left="93" w:right="327"/>
              <w:rPr>
                <w:sz w:val="18"/>
              </w:rPr>
            </w:pPr>
            <w:r>
              <w:rPr>
                <w:color w:val="105C84"/>
                <w:sz w:val="18"/>
              </w:rPr>
              <w:t>in-person</w:t>
            </w:r>
            <w:r>
              <w:rPr>
                <w:color w:val="105C84"/>
                <w:spacing w:val="-13"/>
                <w:sz w:val="18"/>
              </w:rPr>
              <w:t> </w:t>
            </w:r>
            <w:r>
              <w:rPr>
                <w:color w:val="105C84"/>
                <w:sz w:val="18"/>
              </w:rPr>
              <w:t>attendance with TACFL at their </w:t>
            </w:r>
            <w:r>
              <w:rPr>
                <w:color w:val="105C84"/>
                <w:spacing w:val="-2"/>
                <w:sz w:val="18"/>
              </w:rPr>
              <w:t>presentation</w:t>
            </w:r>
          </w:p>
        </w:tc>
        <w:tc>
          <w:tcPr>
            <w:tcW w:w="2433" w:type="dxa"/>
          </w:tcPr>
          <w:p>
            <w:pPr>
              <w:pStyle w:val="TableParagraph"/>
              <w:rPr>
                <w:rFonts w:ascii="Times New Roman"/>
                <w:sz w:val="18"/>
              </w:rPr>
            </w:pPr>
          </w:p>
        </w:tc>
        <w:tc>
          <w:tcPr>
            <w:tcW w:w="1497" w:type="dxa"/>
          </w:tcPr>
          <w:p>
            <w:pPr>
              <w:pStyle w:val="TableParagraph"/>
              <w:spacing w:line="232" w:lineRule="auto" w:before="97"/>
              <w:ind w:left="94"/>
              <w:rPr>
                <w:sz w:val="18"/>
              </w:rPr>
            </w:pPr>
            <w:r>
              <w:rPr>
                <w:color w:val="105C84"/>
                <w:spacing w:val="-2"/>
                <w:sz w:val="18"/>
              </w:rPr>
              <w:t>Community-based organizations</w:t>
            </w:r>
          </w:p>
        </w:tc>
        <w:tc>
          <w:tcPr>
            <w:tcW w:w="1607" w:type="dxa"/>
          </w:tcPr>
          <w:p>
            <w:pPr>
              <w:pStyle w:val="TableParagraph"/>
              <w:spacing w:line="232" w:lineRule="auto" w:before="97"/>
              <w:ind w:left="95" w:right="110"/>
              <w:rPr>
                <w:sz w:val="18"/>
              </w:rPr>
            </w:pPr>
            <w:r>
              <w:rPr>
                <w:color w:val="105C84"/>
                <w:sz w:val="18"/>
              </w:rPr>
              <w:t>For</w:t>
            </w:r>
            <w:r>
              <w:rPr>
                <w:color w:val="105C84"/>
                <w:spacing w:val="-15"/>
                <w:sz w:val="18"/>
              </w:rPr>
              <w:t> </w:t>
            </w:r>
            <w:r>
              <w:rPr>
                <w:color w:val="105C84"/>
                <w:sz w:val="18"/>
              </w:rPr>
              <w:t>partner</w:t>
            </w:r>
            <w:r>
              <w:rPr>
                <w:color w:val="105C84"/>
                <w:spacing w:val="-12"/>
                <w:sz w:val="18"/>
              </w:rPr>
              <w:t> </w:t>
            </w:r>
            <w:r>
              <w:rPr>
                <w:color w:val="105C84"/>
                <w:sz w:val="18"/>
              </w:rPr>
              <w:t>roles, see projected year 1 and 2 </w:t>
            </w:r>
            <w:r>
              <w:rPr>
                <w:color w:val="105C84"/>
                <w:spacing w:val="-2"/>
                <w:sz w:val="18"/>
              </w:rPr>
              <w:t>columns</w:t>
            </w:r>
          </w:p>
          <w:p>
            <w:pPr>
              <w:pStyle w:val="TableParagraph"/>
              <w:spacing w:line="232" w:lineRule="auto" w:before="87"/>
              <w:ind w:left="95" w:right="110"/>
              <w:rPr>
                <w:sz w:val="18"/>
              </w:rPr>
            </w:pPr>
            <w:r>
              <w:rPr>
                <w:color w:val="105C84"/>
                <w:spacing w:val="-2"/>
                <w:sz w:val="18"/>
              </w:rPr>
              <w:t>Resources: </w:t>
            </w:r>
            <w:r>
              <w:rPr>
                <w:color w:val="105C84"/>
                <w:sz w:val="18"/>
              </w:rPr>
              <w:t>toolkits,</w:t>
            </w:r>
            <w:r>
              <w:rPr>
                <w:color w:val="105C84"/>
                <w:spacing w:val="-2"/>
                <w:sz w:val="18"/>
              </w:rPr>
              <w:t> </w:t>
            </w:r>
            <w:r>
              <w:rPr>
                <w:color w:val="105C84"/>
                <w:sz w:val="18"/>
              </w:rPr>
              <w:t>letters</w:t>
            </w:r>
            <w:r>
              <w:rPr>
                <w:color w:val="105C84"/>
                <w:spacing w:val="-2"/>
                <w:sz w:val="18"/>
              </w:rPr>
              <w:t> </w:t>
            </w:r>
            <w:r>
              <w:rPr>
                <w:color w:val="105C84"/>
                <w:sz w:val="18"/>
              </w:rPr>
              <w:t>of support, data</w:t>
            </w:r>
          </w:p>
        </w:tc>
      </w:tr>
    </w:tbl>
    <w:p>
      <w:pPr>
        <w:pStyle w:val="BodyText"/>
        <w:spacing w:before="293"/>
        <w:rPr>
          <w:b/>
          <w:sz w:val="26"/>
        </w:rPr>
      </w:pPr>
    </w:p>
    <w:p>
      <w:pPr>
        <w:tabs>
          <w:tab w:pos="23047" w:val="left" w:leader="none"/>
        </w:tabs>
        <w:spacing w:before="0"/>
        <w:ind w:left="0" w:right="0" w:firstLine="0"/>
        <w:jc w:val="left"/>
        <w:rPr>
          <w:b/>
          <w:sz w:val="26"/>
        </w:rPr>
      </w:pPr>
      <w:r>
        <w:rPr>
          <w:position w:val="-4"/>
        </w:rPr>
        <w:drawing>
          <wp:inline distT="0" distB="0" distL="0" distR="0">
            <wp:extent cx="568172" cy="184683"/>
            <wp:effectExtent l="0" t="0" r="0" b="0"/>
            <wp:docPr id="2036" name="Image 2036"/>
            <wp:cNvGraphicFramePr>
              <a:graphicFrameLocks/>
            </wp:cNvGraphicFramePr>
            <a:graphic>
              <a:graphicData uri="http://schemas.openxmlformats.org/drawingml/2006/picture">
                <pic:pic>
                  <pic:nvPicPr>
                    <pic:cNvPr id="2036" name="Image 2036"/>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13"/>
          <w:sz w:val="20"/>
        </w:rPr>
        <w:t> </w:t>
      </w:r>
      <w:r>
        <w:rPr>
          <w:b/>
          <w:color w:val="939598"/>
          <w:w w:val="105"/>
          <w:sz w:val="26"/>
        </w:rPr>
        <w:t>217</w:t>
      </w:r>
      <w:r>
        <w:rPr>
          <w:b/>
          <w:color w:val="939598"/>
          <w:sz w:val="26"/>
        </w:rPr>
        <w:tab/>
      </w:r>
      <w:r>
        <w:rPr>
          <w:b/>
          <w:color w:val="939598"/>
          <w:spacing w:val="-5"/>
          <w:w w:val="105"/>
          <w:sz w:val="26"/>
        </w:rPr>
        <w:t>218</w:t>
      </w:r>
    </w:p>
    <w:p>
      <w:pPr>
        <w:spacing w:after="0"/>
        <w:jc w:val="left"/>
        <w:rPr>
          <w:b/>
          <w:sz w:val="26"/>
        </w:rPr>
        <w:sectPr>
          <w:headerReference w:type="default" r:id="rId264"/>
          <w:pgSz w:w="24480" w:h="15840" w:orient="landscape"/>
          <w:pgMar w:header="0" w:footer="0" w:top="860" w:bottom="0" w:left="0" w:right="720"/>
        </w:sectPr>
      </w:pPr>
    </w:p>
    <w:p>
      <w:pPr>
        <w:spacing w:before="609"/>
        <w:ind w:left="1089" w:right="0" w:firstLine="0"/>
        <w:jc w:val="left"/>
        <w:rPr>
          <w:sz w:val="54"/>
        </w:rPr>
      </w:pPr>
      <w:r>
        <w:rPr>
          <w:sz w:val="54"/>
        </w:rPr>
        <w:drawing>
          <wp:anchor distT="0" distB="0" distL="0" distR="0" allowOverlap="1" layoutInCell="1" locked="0" behindDoc="0" simplePos="0" relativeHeight="16033792">
            <wp:simplePos x="0" y="0"/>
            <wp:positionH relativeFrom="page">
              <wp:posOffset>14299183</wp:posOffset>
            </wp:positionH>
            <wp:positionV relativeFrom="paragraph">
              <wp:posOffset>345947</wp:posOffset>
            </wp:positionV>
            <wp:extent cx="620268" cy="568578"/>
            <wp:effectExtent l="0" t="0" r="0" b="0"/>
            <wp:wrapNone/>
            <wp:docPr id="2037" name="Image 2037"/>
            <wp:cNvGraphicFramePr>
              <a:graphicFrameLocks/>
            </wp:cNvGraphicFramePr>
            <a:graphic>
              <a:graphicData uri="http://schemas.openxmlformats.org/drawingml/2006/picture">
                <pic:pic>
                  <pic:nvPicPr>
                    <pic:cNvPr id="2037" name="Image 2037"/>
                    <pic:cNvPicPr/>
                  </pic:nvPicPr>
                  <pic:blipFill>
                    <a:blip r:embed="rId265" cstate="print"/>
                    <a:stretch>
                      <a:fillRect/>
                    </a:stretch>
                  </pic:blipFill>
                  <pic:spPr>
                    <a:xfrm>
                      <a:off x="0" y="0"/>
                      <a:ext cx="620268" cy="568578"/>
                    </a:xfrm>
                    <a:prstGeom prst="rect">
                      <a:avLst/>
                    </a:prstGeom>
                  </pic:spPr>
                </pic:pic>
              </a:graphicData>
            </a:graphic>
          </wp:anchor>
        </w:drawing>
      </w:r>
      <w:r>
        <w:rPr>
          <w:sz w:val="54"/>
        </w:rPr>
        <w:drawing>
          <wp:anchor distT="0" distB="0" distL="0" distR="0" allowOverlap="1" layoutInCell="1" locked="0" behindDoc="0" simplePos="0" relativeHeight="16034304">
            <wp:simplePos x="0" y="0"/>
            <wp:positionH relativeFrom="page">
              <wp:posOffset>14981556</wp:posOffset>
            </wp:positionH>
            <wp:positionV relativeFrom="page">
              <wp:posOffset>9668103</wp:posOffset>
            </wp:positionV>
            <wp:extent cx="563245" cy="184683"/>
            <wp:effectExtent l="0" t="0" r="0" b="0"/>
            <wp:wrapNone/>
            <wp:docPr id="2038" name="Image 2038"/>
            <wp:cNvGraphicFramePr>
              <a:graphicFrameLocks/>
            </wp:cNvGraphicFramePr>
            <a:graphic>
              <a:graphicData uri="http://schemas.openxmlformats.org/drawingml/2006/picture">
                <pic:pic>
                  <pic:nvPicPr>
                    <pic:cNvPr id="2038" name="Image 2038"/>
                    <pic:cNvPicPr/>
                  </pic:nvPicPr>
                  <pic:blipFill>
                    <a:blip r:embed="rId38" cstate="print"/>
                    <a:stretch>
                      <a:fillRect/>
                    </a:stretch>
                  </pic:blipFill>
                  <pic:spPr>
                    <a:xfrm>
                      <a:off x="0" y="0"/>
                      <a:ext cx="563245" cy="184683"/>
                    </a:xfrm>
                    <a:prstGeom prst="rect">
                      <a:avLst/>
                    </a:prstGeom>
                  </pic:spPr>
                </pic:pic>
              </a:graphicData>
            </a:graphic>
          </wp:anchor>
        </w:drawing>
      </w:r>
      <w:r>
        <w:rPr>
          <w:sz w:val="54"/>
        </w:rPr>
        <w:drawing>
          <wp:anchor distT="0" distB="0" distL="0" distR="0" allowOverlap="1" layoutInCell="1" locked="0" behindDoc="0" simplePos="0" relativeHeight="16034816">
            <wp:simplePos x="0" y="0"/>
            <wp:positionH relativeFrom="page">
              <wp:posOffset>13372084</wp:posOffset>
            </wp:positionH>
            <wp:positionV relativeFrom="paragraph">
              <wp:posOffset>365759</wp:posOffset>
            </wp:positionV>
            <wp:extent cx="728345" cy="366522"/>
            <wp:effectExtent l="0" t="0" r="0" b="0"/>
            <wp:wrapNone/>
            <wp:docPr id="2039" name="Image 2039"/>
            <wp:cNvGraphicFramePr>
              <a:graphicFrameLocks/>
            </wp:cNvGraphicFramePr>
            <a:graphic>
              <a:graphicData uri="http://schemas.openxmlformats.org/drawingml/2006/picture">
                <pic:pic>
                  <pic:nvPicPr>
                    <pic:cNvPr id="2039" name="Image 2039"/>
                    <pic:cNvPicPr/>
                  </pic:nvPicPr>
                  <pic:blipFill>
                    <a:blip r:embed="rId266" cstate="print"/>
                    <a:stretch>
                      <a:fillRect/>
                    </a:stretch>
                  </pic:blipFill>
                  <pic:spPr>
                    <a:xfrm>
                      <a:off x="0" y="0"/>
                      <a:ext cx="728345" cy="366522"/>
                    </a:xfrm>
                    <a:prstGeom prst="rect">
                      <a:avLst/>
                    </a:prstGeom>
                  </pic:spPr>
                </pic:pic>
              </a:graphicData>
            </a:graphic>
          </wp:anchor>
        </w:drawing>
      </w:r>
      <w:r>
        <w:rPr>
          <w:color w:val="636466"/>
          <w:sz w:val="54"/>
        </w:rPr>
        <w:t>Wayne</w:t>
      </w:r>
      <w:r>
        <w:rPr>
          <w:color w:val="636466"/>
          <w:spacing w:val="37"/>
          <w:sz w:val="54"/>
        </w:rPr>
        <w:t> </w:t>
      </w:r>
      <w:r>
        <w:rPr>
          <w:color w:val="636466"/>
          <w:sz w:val="54"/>
        </w:rPr>
        <w:t>County</w:t>
      </w:r>
      <w:r>
        <w:rPr>
          <w:color w:val="636466"/>
          <w:spacing w:val="38"/>
          <w:sz w:val="54"/>
        </w:rPr>
        <w:t> </w:t>
      </w:r>
      <w:r>
        <w:rPr>
          <w:color w:val="636466"/>
          <w:sz w:val="54"/>
        </w:rPr>
        <w:t>Appendix</w:t>
      </w:r>
      <w:r>
        <w:rPr>
          <w:color w:val="636466"/>
          <w:spacing w:val="38"/>
          <w:sz w:val="54"/>
        </w:rPr>
        <w:t> </w:t>
      </w:r>
      <w:r>
        <w:rPr>
          <w:color w:val="636466"/>
          <w:spacing w:val="-10"/>
          <w:sz w:val="54"/>
        </w:rPr>
        <w:t>G</w:t>
      </w:r>
    </w:p>
    <w:p>
      <w:pPr>
        <w:spacing w:before="236"/>
        <w:ind w:left="1089" w:right="0" w:firstLine="0"/>
        <w:jc w:val="left"/>
        <w:rPr>
          <w:b/>
          <w:sz w:val="32"/>
        </w:rPr>
      </w:pPr>
      <w:r>
        <w:rPr>
          <w:b/>
          <w:color w:val="82BF6A"/>
          <w:spacing w:val="-6"/>
          <w:sz w:val="32"/>
        </w:rPr>
        <w:t>PRIORITY:</w:t>
      </w:r>
      <w:r>
        <w:rPr>
          <w:b/>
          <w:color w:val="82BF6A"/>
          <w:spacing w:val="-13"/>
          <w:sz w:val="32"/>
        </w:rPr>
        <w:t> </w:t>
      </w:r>
      <w:r>
        <w:rPr>
          <w:b/>
          <w:color w:val="82BF6A"/>
          <w:spacing w:val="-6"/>
          <w:sz w:val="32"/>
        </w:rPr>
        <w:t>PREVENT</w:t>
      </w:r>
      <w:r>
        <w:rPr>
          <w:b/>
          <w:color w:val="82BF6A"/>
          <w:spacing w:val="-13"/>
          <w:sz w:val="32"/>
        </w:rPr>
        <w:t> </w:t>
      </w:r>
      <w:r>
        <w:rPr>
          <w:b/>
          <w:color w:val="82BF6A"/>
          <w:spacing w:val="-6"/>
          <w:sz w:val="32"/>
        </w:rPr>
        <w:t>CHRONIC</w:t>
      </w:r>
      <w:r>
        <w:rPr>
          <w:b/>
          <w:color w:val="82BF6A"/>
          <w:spacing w:val="-13"/>
          <w:sz w:val="32"/>
        </w:rPr>
        <w:t> </w:t>
      </w:r>
      <w:r>
        <w:rPr>
          <w:b/>
          <w:color w:val="82BF6A"/>
          <w:spacing w:val="-6"/>
          <w:sz w:val="32"/>
        </w:rPr>
        <w:t>DISEASES</w:t>
      </w:r>
    </w:p>
    <w:p>
      <w:pPr>
        <w:pStyle w:val="BodyText"/>
        <w:spacing w:before="162"/>
        <w:rPr>
          <w:b/>
          <w:sz w:val="20"/>
        </w:rPr>
      </w:pPr>
    </w:p>
    <w:tbl>
      <w:tblPr>
        <w:tblW w:w="0" w:type="auto"/>
        <w:jc w:val="left"/>
        <w:tblInd w:w="1099"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1180"/>
        <w:gridCol w:w="1267"/>
        <w:gridCol w:w="1440"/>
        <w:gridCol w:w="1411"/>
        <w:gridCol w:w="1065"/>
        <w:gridCol w:w="1900"/>
        <w:gridCol w:w="6155"/>
        <w:gridCol w:w="2836"/>
        <w:gridCol w:w="2188"/>
        <w:gridCol w:w="1497"/>
        <w:gridCol w:w="1413"/>
      </w:tblGrid>
      <w:tr>
        <w:trPr>
          <w:trHeight w:val="730" w:hRule="atLeast"/>
        </w:trPr>
        <w:tc>
          <w:tcPr>
            <w:tcW w:w="1180" w:type="dxa"/>
            <w:tcBorders>
              <w:right w:val="single" w:sz="4" w:space="0" w:color="FFFFFF"/>
            </w:tcBorders>
            <w:shd w:val="clear" w:color="auto" w:fill="A7A9AC"/>
          </w:tcPr>
          <w:p>
            <w:pPr>
              <w:pStyle w:val="TableParagraph"/>
              <w:spacing w:before="79"/>
              <w:rPr>
                <w:b/>
                <w:sz w:val="18"/>
              </w:rPr>
            </w:pPr>
          </w:p>
          <w:p>
            <w:pPr>
              <w:pStyle w:val="TableParagraph"/>
              <w:ind w:left="80"/>
              <w:rPr>
                <w:b/>
                <w:sz w:val="18"/>
              </w:rPr>
            </w:pPr>
            <w:r>
              <w:rPr>
                <w:b/>
                <w:color w:val="FFFFFF"/>
                <w:spacing w:val="-2"/>
                <w:sz w:val="18"/>
              </w:rPr>
              <w:t>Priority</w:t>
            </w:r>
          </w:p>
        </w:tc>
        <w:tc>
          <w:tcPr>
            <w:tcW w:w="1267" w:type="dxa"/>
            <w:tcBorders>
              <w:left w:val="single" w:sz="4" w:space="0" w:color="FFFFFF"/>
              <w:right w:val="single" w:sz="4" w:space="0" w:color="FFFFFF"/>
            </w:tcBorders>
            <w:shd w:val="clear" w:color="auto" w:fill="A7A9AC"/>
          </w:tcPr>
          <w:p>
            <w:pPr>
              <w:pStyle w:val="TableParagraph"/>
              <w:spacing w:before="79"/>
              <w:rPr>
                <w:b/>
                <w:sz w:val="18"/>
              </w:rPr>
            </w:pPr>
          </w:p>
          <w:p>
            <w:pPr>
              <w:pStyle w:val="TableParagraph"/>
              <w:ind w:left="80"/>
              <w:rPr>
                <w:b/>
                <w:sz w:val="18"/>
              </w:rPr>
            </w:pPr>
            <w:r>
              <w:rPr>
                <w:b/>
                <w:color w:val="FFFFFF"/>
                <w:w w:val="90"/>
                <w:sz w:val="18"/>
              </w:rPr>
              <w:t>Focus</w:t>
            </w:r>
            <w:r>
              <w:rPr>
                <w:b/>
                <w:color w:val="FFFFFF"/>
                <w:spacing w:val="8"/>
                <w:sz w:val="18"/>
              </w:rPr>
              <w:t> </w:t>
            </w:r>
            <w:r>
              <w:rPr>
                <w:b/>
                <w:color w:val="FFFFFF"/>
                <w:spacing w:val="-4"/>
                <w:sz w:val="18"/>
              </w:rPr>
              <w:t>Area</w:t>
            </w:r>
          </w:p>
        </w:tc>
        <w:tc>
          <w:tcPr>
            <w:tcW w:w="1440" w:type="dxa"/>
            <w:tcBorders>
              <w:left w:val="single" w:sz="4" w:space="0" w:color="FFFFFF"/>
              <w:right w:val="single" w:sz="4" w:space="0" w:color="FFFFFF"/>
            </w:tcBorders>
            <w:shd w:val="clear" w:color="auto" w:fill="A7A9AC"/>
          </w:tcPr>
          <w:p>
            <w:pPr>
              <w:pStyle w:val="TableParagraph"/>
              <w:spacing w:line="232" w:lineRule="auto" w:before="191"/>
              <w:ind w:left="80" w:right="410"/>
              <w:rPr>
                <w:b/>
                <w:sz w:val="18"/>
              </w:rPr>
            </w:pPr>
            <w:r>
              <w:rPr>
                <w:b/>
                <w:color w:val="FFFFFF"/>
                <w:spacing w:val="-6"/>
                <w:sz w:val="18"/>
              </w:rPr>
              <w:t>Goal</w:t>
            </w:r>
            <w:r>
              <w:rPr>
                <w:b/>
                <w:color w:val="FFFFFF"/>
                <w:spacing w:val="-7"/>
                <w:sz w:val="18"/>
              </w:rPr>
              <w:t> </w:t>
            </w:r>
            <w:r>
              <w:rPr>
                <w:b/>
                <w:color w:val="FFFFFF"/>
                <w:spacing w:val="-6"/>
                <w:sz w:val="18"/>
              </w:rPr>
              <w:t>Focus </w:t>
            </w:r>
            <w:r>
              <w:rPr>
                <w:b/>
                <w:color w:val="FFFFFF"/>
                <w:spacing w:val="-4"/>
                <w:sz w:val="18"/>
              </w:rPr>
              <w:t>Area</w:t>
            </w:r>
          </w:p>
        </w:tc>
        <w:tc>
          <w:tcPr>
            <w:tcW w:w="1411" w:type="dxa"/>
            <w:tcBorders>
              <w:left w:val="single" w:sz="4" w:space="0" w:color="FFFFFF"/>
              <w:right w:val="single" w:sz="4" w:space="0" w:color="FFFFFF"/>
            </w:tcBorders>
            <w:shd w:val="clear" w:color="auto" w:fill="A7A9AC"/>
          </w:tcPr>
          <w:p>
            <w:pPr>
              <w:pStyle w:val="TableParagraph"/>
              <w:spacing w:before="79"/>
              <w:rPr>
                <w:b/>
                <w:sz w:val="18"/>
              </w:rPr>
            </w:pPr>
          </w:p>
          <w:p>
            <w:pPr>
              <w:pStyle w:val="TableParagraph"/>
              <w:ind w:left="80"/>
              <w:rPr>
                <w:b/>
                <w:sz w:val="18"/>
              </w:rPr>
            </w:pPr>
            <w:r>
              <w:rPr>
                <w:b/>
                <w:color w:val="FFFFFF"/>
                <w:spacing w:val="-2"/>
                <w:sz w:val="18"/>
              </w:rPr>
              <w:t>Objectives</w:t>
            </w:r>
          </w:p>
        </w:tc>
        <w:tc>
          <w:tcPr>
            <w:tcW w:w="1065" w:type="dxa"/>
            <w:tcBorders>
              <w:left w:val="single" w:sz="4" w:space="0" w:color="FFFFFF"/>
              <w:right w:val="single" w:sz="4" w:space="0" w:color="FFFFFF"/>
            </w:tcBorders>
            <w:shd w:val="clear" w:color="auto" w:fill="A7A9AC"/>
          </w:tcPr>
          <w:p>
            <w:pPr>
              <w:pStyle w:val="TableParagraph"/>
              <w:spacing w:before="79"/>
              <w:rPr>
                <w:b/>
                <w:sz w:val="18"/>
              </w:rPr>
            </w:pPr>
          </w:p>
          <w:p>
            <w:pPr>
              <w:pStyle w:val="TableParagraph"/>
              <w:ind w:left="80"/>
              <w:rPr>
                <w:b/>
                <w:sz w:val="18"/>
              </w:rPr>
            </w:pPr>
            <w:r>
              <w:rPr>
                <w:b/>
                <w:color w:val="FFFFFF"/>
                <w:spacing w:val="-2"/>
                <w:sz w:val="18"/>
              </w:rPr>
              <w:t>Disparities</w:t>
            </w:r>
          </w:p>
        </w:tc>
        <w:tc>
          <w:tcPr>
            <w:tcW w:w="1900" w:type="dxa"/>
            <w:tcBorders>
              <w:left w:val="single" w:sz="4" w:space="0" w:color="FFFFFF"/>
              <w:right w:val="single" w:sz="4" w:space="0" w:color="FFFFFF"/>
            </w:tcBorders>
            <w:shd w:val="clear" w:color="auto" w:fill="A7A9AC"/>
          </w:tcPr>
          <w:p>
            <w:pPr>
              <w:pStyle w:val="TableParagraph"/>
              <w:spacing w:before="79"/>
              <w:rPr>
                <w:b/>
                <w:sz w:val="18"/>
              </w:rPr>
            </w:pPr>
          </w:p>
          <w:p>
            <w:pPr>
              <w:pStyle w:val="TableParagraph"/>
              <w:ind w:left="81"/>
              <w:rPr>
                <w:b/>
                <w:sz w:val="18"/>
              </w:rPr>
            </w:pPr>
            <w:r>
              <w:rPr>
                <w:b/>
                <w:color w:val="FFFFFF"/>
                <w:spacing w:val="-2"/>
                <w:sz w:val="18"/>
              </w:rPr>
              <w:t>Interventions</w:t>
            </w:r>
          </w:p>
        </w:tc>
        <w:tc>
          <w:tcPr>
            <w:tcW w:w="6155" w:type="dxa"/>
            <w:tcBorders>
              <w:left w:val="single" w:sz="4" w:space="0" w:color="FFFFFF"/>
              <w:right w:val="single" w:sz="4" w:space="0" w:color="FFFFFF"/>
            </w:tcBorders>
            <w:shd w:val="clear" w:color="auto" w:fill="A7A9AC"/>
          </w:tcPr>
          <w:p>
            <w:pPr>
              <w:pStyle w:val="TableParagraph"/>
              <w:spacing w:before="3"/>
              <w:rPr>
                <w:b/>
                <w:sz w:val="18"/>
              </w:rPr>
            </w:pPr>
          </w:p>
          <w:p>
            <w:pPr>
              <w:pStyle w:val="TableParagraph"/>
              <w:tabs>
                <w:tab w:pos="3962" w:val="left" w:leader="none"/>
              </w:tabs>
              <w:spacing w:line="156" w:lineRule="auto"/>
              <w:ind w:left="3962" w:right="74" w:hanging="3870"/>
              <w:rPr>
                <w:b/>
                <w:sz w:val="18"/>
              </w:rPr>
            </w:pPr>
            <w:r>
              <w:rPr>
                <w:b/>
                <w:color w:val="FFFFFF"/>
                <w:position w:val="-9"/>
                <w:sz w:val="18"/>
              </w:rPr>
              <w:t>Family of Measures</w:t>
              <w:tab/>
            </w:r>
            <w:r>
              <w:rPr>
                <w:b/>
                <w:color w:val="FFFFFF"/>
                <w:sz w:val="18"/>
              </w:rPr>
              <w:t>Projected</w:t>
            </w:r>
            <w:r>
              <w:rPr>
                <w:b/>
                <w:color w:val="FFFFFF"/>
                <w:spacing w:val="-15"/>
                <w:sz w:val="18"/>
              </w:rPr>
              <w:t> </w:t>
            </w:r>
            <w:r>
              <w:rPr>
                <w:b/>
                <w:color w:val="FFFFFF"/>
                <w:sz w:val="18"/>
              </w:rPr>
              <w:t>(or</w:t>
            </w:r>
            <w:r>
              <w:rPr>
                <w:b/>
                <w:color w:val="FFFFFF"/>
                <w:spacing w:val="-12"/>
                <w:sz w:val="18"/>
              </w:rPr>
              <w:t> </w:t>
            </w:r>
            <w:r>
              <w:rPr>
                <w:b/>
                <w:color w:val="FFFFFF"/>
                <w:sz w:val="18"/>
              </w:rPr>
              <w:t>completed) Year 1 Intervention</w:t>
            </w:r>
          </w:p>
        </w:tc>
        <w:tc>
          <w:tcPr>
            <w:tcW w:w="2836" w:type="dxa"/>
            <w:tcBorders>
              <w:left w:val="single" w:sz="4" w:space="0" w:color="FFFFFF"/>
              <w:right w:val="single" w:sz="4" w:space="0" w:color="FFFFFF"/>
            </w:tcBorders>
            <w:shd w:val="clear" w:color="auto" w:fill="A7A9AC"/>
          </w:tcPr>
          <w:p>
            <w:pPr>
              <w:pStyle w:val="TableParagraph"/>
              <w:spacing w:before="78"/>
              <w:rPr>
                <w:b/>
                <w:sz w:val="18"/>
              </w:rPr>
            </w:pPr>
          </w:p>
          <w:p>
            <w:pPr>
              <w:pStyle w:val="TableParagraph"/>
              <w:spacing w:before="1"/>
              <w:ind w:left="83"/>
              <w:rPr>
                <w:b/>
                <w:sz w:val="18"/>
              </w:rPr>
            </w:pPr>
            <w:r>
              <w:rPr>
                <w:b/>
                <w:color w:val="FFFFFF"/>
                <w:spacing w:val="-2"/>
                <w:sz w:val="18"/>
              </w:rPr>
              <w:t>Projected</w:t>
            </w:r>
            <w:r>
              <w:rPr>
                <w:b/>
                <w:color w:val="FFFFFF"/>
                <w:spacing w:val="-6"/>
                <w:sz w:val="18"/>
              </w:rPr>
              <w:t> </w:t>
            </w:r>
            <w:r>
              <w:rPr>
                <w:b/>
                <w:color w:val="FFFFFF"/>
                <w:spacing w:val="-2"/>
                <w:sz w:val="18"/>
              </w:rPr>
              <w:t>Year</w:t>
            </w:r>
            <w:r>
              <w:rPr>
                <w:b/>
                <w:color w:val="FFFFFF"/>
                <w:spacing w:val="-5"/>
                <w:sz w:val="18"/>
              </w:rPr>
              <w:t> </w:t>
            </w:r>
            <w:r>
              <w:rPr>
                <w:b/>
                <w:color w:val="FFFFFF"/>
                <w:spacing w:val="-12"/>
                <w:sz w:val="18"/>
              </w:rPr>
              <w:t>2</w:t>
            </w:r>
          </w:p>
        </w:tc>
        <w:tc>
          <w:tcPr>
            <w:tcW w:w="2188" w:type="dxa"/>
            <w:tcBorders>
              <w:left w:val="single" w:sz="4" w:space="0" w:color="FFFFFF"/>
              <w:right w:val="single" w:sz="4" w:space="0" w:color="FFFFFF"/>
            </w:tcBorders>
            <w:shd w:val="clear" w:color="auto" w:fill="A7A9AC"/>
          </w:tcPr>
          <w:p>
            <w:pPr>
              <w:pStyle w:val="TableParagraph"/>
              <w:spacing w:line="232" w:lineRule="auto" w:before="190"/>
              <w:ind w:left="84"/>
              <w:rPr>
                <w:b/>
                <w:sz w:val="18"/>
              </w:rPr>
            </w:pPr>
            <w:r>
              <w:rPr>
                <w:b/>
                <w:color w:val="FFFFFF"/>
                <w:spacing w:val="-2"/>
                <w:sz w:val="18"/>
              </w:rPr>
              <w:t>Projected</w:t>
            </w:r>
            <w:r>
              <w:rPr>
                <w:b/>
                <w:color w:val="FFFFFF"/>
                <w:spacing w:val="-13"/>
                <w:sz w:val="18"/>
              </w:rPr>
              <w:t> </w:t>
            </w:r>
            <w:r>
              <w:rPr>
                <w:b/>
                <w:color w:val="FFFFFF"/>
                <w:spacing w:val="-2"/>
                <w:sz w:val="18"/>
              </w:rPr>
              <w:t>Year</w:t>
            </w:r>
            <w:r>
              <w:rPr>
                <w:b/>
                <w:color w:val="FFFFFF"/>
                <w:spacing w:val="-10"/>
                <w:sz w:val="18"/>
              </w:rPr>
              <w:t> </w:t>
            </w:r>
            <w:r>
              <w:rPr>
                <w:b/>
                <w:color w:val="FFFFFF"/>
                <w:spacing w:val="-2"/>
                <w:sz w:val="18"/>
              </w:rPr>
              <w:t>3 Interventions</w:t>
            </w:r>
          </w:p>
        </w:tc>
        <w:tc>
          <w:tcPr>
            <w:tcW w:w="1497" w:type="dxa"/>
            <w:tcBorders>
              <w:left w:val="single" w:sz="4" w:space="0" w:color="FFFFFF"/>
            </w:tcBorders>
            <w:shd w:val="clear" w:color="auto" w:fill="A7A9AC"/>
          </w:tcPr>
          <w:p>
            <w:pPr>
              <w:pStyle w:val="TableParagraph"/>
              <w:spacing w:line="232" w:lineRule="auto" w:before="190"/>
              <w:ind w:left="84"/>
              <w:rPr>
                <w:b/>
                <w:sz w:val="18"/>
              </w:rPr>
            </w:pPr>
            <w:r>
              <w:rPr>
                <w:b/>
                <w:color w:val="FFFFFF"/>
                <w:spacing w:val="-2"/>
                <w:sz w:val="18"/>
              </w:rPr>
              <w:t>Implementation Partner</w:t>
            </w:r>
          </w:p>
        </w:tc>
        <w:tc>
          <w:tcPr>
            <w:tcW w:w="1413" w:type="dxa"/>
            <w:shd w:val="clear" w:color="auto" w:fill="A7A9AC"/>
          </w:tcPr>
          <w:p>
            <w:pPr>
              <w:pStyle w:val="TableParagraph"/>
              <w:spacing w:line="232" w:lineRule="auto" w:before="190"/>
              <w:ind w:left="85" w:right="72"/>
              <w:rPr>
                <w:b/>
                <w:sz w:val="18"/>
              </w:rPr>
            </w:pPr>
            <w:r>
              <w:rPr>
                <w:b/>
                <w:color w:val="FFFFFF"/>
                <w:spacing w:val="-4"/>
                <w:sz w:val="18"/>
              </w:rPr>
              <w:t>Partner</w:t>
            </w:r>
            <w:r>
              <w:rPr>
                <w:b/>
                <w:color w:val="FFFFFF"/>
                <w:spacing w:val="-9"/>
                <w:sz w:val="18"/>
              </w:rPr>
              <w:t> </w:t>
            </w:r>
            <w:r>
              <w:rPr>
                <w:b/>
                <w:color w:val="FFFFFF"/>
                <w:spacing w:val="-4"/>
                <w:sz w:val="18"/>
              </w:rPr>
              <w:t>Role(s) </w:t>
            </w:r>
            <w:r>
              <w:rPr>
                <w:b/>
                <w:color w:val="FFFFFF"/>
                <w:sz w:val="18"/>
              </w:rPr>
              <w:t>and</w:t>
            </w:r>
            <w:r>
              <w:rPr>
                <w:b/>
                <w:color w:val="FFFFFF"/>
                <w:spacing w:val="-7"/>
                <w:sz w:val="18"/>
              </w:rPr>
              <w:t> </w:t>
            </w:r>
            <w:r>
              <w:rPr>
                <w:b/>
                <w:color w:val="FFFFFF"/>
                <w:spacing w:val="-8"/>
                <w:sz w:val="18"/>
              </w:rPr>
              <w:t>Resources</w:t>
            </w:r>
          </w:p>
        </w:tc>
      </w:tr>
      <w:tr>
        <w:trPr>
          <w:trHeight w:val="5227" w:hRule="atLeast"/>
        </w:trPr>
        <w:tc>
          <w:tcPr>
            <w:tcW w:w="1180" w:type="dxa"/>
            <w:vMerge w:val="restart"/>
            <w:shd w:val="clear" w:color="auto" w:fill="E6E7E8"/>
          </w:tcPr>
          <w:p>
            <w:pPr>
              <w:pStyle w:val="TableParagraph"/>
              <w:spacing w:line="232" w:lineRule="auto" w:before="100"/>
              <w:ind w:left="89" w:right="363"/>
              <w:jc w:val="both"/>
              <w:rPr>
                <w:sz w:val="18"/>
              </w:rPr>
            </w:pPr>
            <w:r>
              <w:rPr>
                <w:color w:val="105C84"/>
                <w:spacing w:val="-2"/>
                <w:sz w:val="18"/>
              </w:rPr>
              <w:t>Prevent Chronic </w:t>
            </w:r>
            <w:r>
              <w:rPr>
                <w:color w:val="105C84"/>
                <w:spacing w:val="-6"/>
                <w:sz w:val="18"/>
              </w:rPr>
              <w:t>Diseases</w:t>
            </w:r>
          </w:p>
        </w:tc>
        <w:tc>
          <w:tcPr>
            <w:tcW w:w="1267" w:type="dxa"/>
            <w:vMerge w:val="restart"/>
          </w:tcPr>
          <w:p>
            <w:pPr>
              <w:pStyle w:val="TableParagraph"/>
              <w:spacing w:line="232" w:lineRule="auto" w:before="100"/>
              <w:ind w:left="90" w:right="274"/>
              <w:jc w:val="both"/>
              <w:rPr>
                <w:sz w:val="18"/>
              </w:rPr>
            </w:pPr>
            <w:r>
              <w:rPr>
                <w:color w:val="105C84"/>
                <w:spacing w:val="-4"/>
                <w:sz w:val="18"/>
              </w:rPr>
              <w:t>Focus</w:t>
            </w:r>
            <w:r>
              <w:rPr>
                <w:color w:val="105C84"/>
                <w:spacing w:val="-9"/>
                <w:sz w:val="18"/>
              </w:rPr>
              <w:t> </w:t>
            </w:r>
            <w:r>
              <w:rPr>
                <w:color w:val="105C84"/>
                <w:spacing w:val="-4"/>
                <w:sz w:val="18"/>
              </w:rPr>
              <w:t>Area </w:t>
            </w:r>
            <w:r>
              <w:rPr>
                <w:color w:val="105C84"/>
                <w:sz w:val="18"/>
              </w:rPr>
              <w:t>3:</w:t>
            </w:r>
            <w:r>
              <w:rPr>
                <w:color w:val="105C84"/>
                <w:spacing w:val="-13"/>
                <w:sz w:val="18"/>
              </w:rPr>
              <w:t> </w:t>
            </w:r>
            <w:r>
              <w:rPr>
                <w:color w:val="105C84"/>
                <w:sz w:val="18"/>
              </w:rPr>
              <w:t>Tobacco </w:t>
            </w:r>
            <w:r>
              <w:rPr>
                <w:color w:val="105C84"/>
                <w:spacing w:val="-2"/>
                <w:sz w:val="18"/>
              </w:rPr>
              <w:t>prevention</w:t>
            </w:r>
          </w:p>
        </w:tc>
        <w:tc>
          <w:tcPr>
            <w:tcW w:w="1440" w:type="dxa"/>
          </w:tcPr>
          <w:p>
            <w:pPr>
              <w:pStyle w:val="TableParagraph"/>
              <w:spacing w:line="232" w:lineRule="auto" w:before="100"/>
              <w:ind w:left="90" w:right="359"/>
              <w:rPr>
                <w:sz w:val="18"/>
              </w:rPr>
            </w:pPr>
            <w:r>
              <w:rPr>
                <w:color w:val="105C84"/>
                <w:sz w:val="18"/>
              </w:rPr>
              <w:t>Goal 3.1: </w:t>
            </w:r>
            <w:r>
              <w:rPr>
                <w:color w:val="105C84"/>
                <w:spacing w:val="-2"/>
                <w:sz w:val="18"/>
              </w:rPr>
              <w:t>Prevent </w:t>
            </w:r>
            <w:r>
              <w:rPr>
                <w:color w:val="105C84"/>
                <w:sz w:val="18"/>
              </w:rPr>
              <w:t>initiation of tobacco</w:t>
            </w:r>
            <w:r>
              <w:rPr>
                <w:color w:val="105C84"/>
                <w:spacing w:val="14"/>
                <w:sz w:val="18"/>
              </w:rPr>
              <w:t> </w:t>
            </w:r>
            <w:r>
              <w:rPr>
                <w:color w:val="105C84"/>
                <w:spacing w:val="-8"/>
                <w:sz w:val="18"/>
              </w:rPr>
              <w:t>use</w:t>
            </w:r>
          </w:p>
        </w:tc>
        <w:tc>
          <w:tcPr>
            <w:tcW w:w="1411" w:type="dxa"/>
          </w:tcPr>
          <w:p>
            <w:pPr>
              <w:pStyle w:val="TableParagraph"/>
              <w:numPr>
                <w:ilvl w:val="2"/>
                <w:numId w:val="71"/>
              </w:numPr>
              <w:tabs>
                <w:tab w:pos="510" w:val="left" w:leader="none"/>
              </w:tabs>
              <w:spacing w:line="232" w:lineRule="auto" w:before="100" w:after="0"/>
              <w:ind w:left="90" w:right="111" w:firstLine="0"/>
              <w:jc w:val="left"/>
              <w:rPr>
                <w:sz w:val="18"/>
              </w:rPr>
            </w:pPr>
            <w:r>
              <w:rPr>
                <w:color w:val="105C84"/>
                <w:spacing w:val="-2"/>
                <w:sz w:val="18"/>
              </w:rPr>
              <w:t>Decrease </w:t>
            </w:r>
            <w:r>
              <w:rPr>
                <w:color w:val="105C84"/>
                <w:sz w:val="18"/>
              </w:rPr>
              <w:t>the</w:t>
            </w:r>
            <w:r>
              <w:rPr>
                <w:color w:val="105C84"/>
                <w:spacing w:val="-13"/>
                <w:sz w:val="18"/>
              </w:rPr>
              <w:t> </w:t>
            </w:r>
            <w:r>
              <w:rPr>
                <w:color w:val="105C84"/>
                <w:sz w:val="18"/>
              </w:rPr>
              <w:t>prevalence of</w:t>
            </w:r>
            <w:r>
              <w:rPr>
                <w:color w:val="105C84"/>
                <w:spacing w:val="-1"/>
                <w:sz w:val="18"/>
              </w:rPr>
              <w:t> </w:t>
            </w:r>
            <w:r>
              <w:rPr>
                <w:color w:val="105C84"/>
                <w:sz w:val="18"/>
              </w:rPr>
              <w:t>combustible cigarette use by high school </w:t>
            </w:r>
            <w:r>
              <w:rPr>
                <w:color w:val="105C84"/>
                <w:spacing w:val="-2"/>
                <w:sz w:val="18"/>
              </w:rPr>
              <w:t>students;</w:t>
            </w:r>
          </w:p>
          <w:p>
            <w:pPr>
              <w:pStyle w:val="TableParagraph"/>
              <w:numPr>
                <w:ilvl w:val="2"/>
                <w:numId w:val="71"/>
              </w:numPr>
              <w:tabs>
                <w:tab w:pos="510" w:val="left" w:leader="none"/>
              </w:tabs>
              <w:spacing w:line="232" w:lineRule="auto" w:before="86" w:after="0"/>
              <w:ind w:left="90" w:right="127" w:firstLine="0"/>
              <w:jc w:val="left"/>
              <w:rPr>
                <w:sz w:val="18"/>
              </w:rPr>
            </w:pPr>
            <w:r>
              <w:rPr>
                <w:color w:val="105C84"/>
                <w:spacing w:val="-4"/>
                <w:sz w:val="18"/>
              </w:rPr>
              <w:t>Decrease </w:t>
            </w:r>
            <w:r>
              <w:rPr>
                <w:color w:val="105C84"/>
                <w:sz w:val="18"/>
              </w:rPr>
              <w:t>the</w:t>
            </w:r>
            <w:r>
              <w:rPr>
                <w:color w:val="105C84"/>
                <w:spacing w:val="-13"/>
                <w:sz w:val="18"/>
              </w:rPr>
              <w:t> </w:t>
            </w:r>
            <w:r>
              <w:rPr>
                <w:color w:val="105C84"/>
                <w:sz w:val="18"/>
              </w:rPr>
              <w:t>prevalence of vaping product use</w:t>
            </w:r>
            <w:r>
              <w:rPr>
                <w:color w:val="105C84"/>
                <w:spacing w:val="80"/>
                <w:sz w:val="18"/>
              </w:rPr>
              <w:t> </w:t>
            </w:r>
            <w:r>
              <w:rPr>
                <w:color w:val="105C84"/>
                <w:sz w:val="18"/>
              </w:rPr>
              <w:t>by</w:t>
            </w:r>
            <w:r>
              <w:rPr>
                <w:color w:val="105C84"/>
                <w:spacing w:val="-4"/>
                <w:sz w:val="18"/>
              </w:rPr>
              <w:t> </w:t>
            </w:r>
            <w:r>
              <w:rPr>
                <w:color w:val="105C84"/>
                <w:sz w:val="18"/>
              </w:rPr>
              <w:t>high</w:t>
            </w:r>
            <w:r>
              <w:rPr>
                <w:color w:val="105C84"/>
                <w:spacing w:val="-4"/>
                <w:sz w:val="18"/>
              </w:rPr>
              <w:t> </w:t>
            </w:r>
            <w:r>
              <w:rPr>
                <w:color w:val="105C84"/>
                <w:sz w:val="18"/>
              </w:rPr>
              <w:t>school </w:t>
            </w:r>
            <w:r>
              <w:rPr>
                <w:color w:val="105C84"/>
                <w:spacing w:val="-2"/>
                <w:sz w:val="18"/>
              </w:rPr>
              <w:t>students</w:t>
            </w:r>
          </w:p>
        </w:tc>
        <w:tc>
          <w:tcPr>
            <w:tcW w:w="1065" w:type="dxa"/>
          </w:tcPr>
          <w:p>
            <w:pPr>
              <w:pStyle w:val="TableParagraph"/>
              <w:spacing w:before="95"/>
              <w:ind w:left="90"/>
              <w:rPr>
                <w:sz w:val="18"/>
              </w:rPr>
            </w:pPr>
            <w:r>
              <w:rPr>
                <w:color w:val="105C84"/>
                <w:sz w:val="18"/>
              </w:rPr>
              <w:t>Low</w:t>
            </w:r>
            <w:r>
              <w:rPr>
                <w:color w:val="105C84"/>
                <w:spacing w:val="-11"/>
                <w:sz w:val="18"/>
              </w:rPr>
              <w:t> </w:t>
            </w:r>
            <w:r>
              <w:rPr>
                <w:color w:val="105C84"/>
                <w:spacing w:val="-5"/>
                <w:sz w:val="18"/>
              </w:rPr>
              <w:t>SES</w:t>
            </w:r>
          </w:p>
        </w:tc>
        <w:tc>
          <w:tcPr>
            <w:tcW w:w="1900" w:type="dxa"/>
          </w:tcPr>
          <w:p>
            <w:pPr>
              <w:pStyle w:val="TableParagraph"/>
              <w:spacing w:line="203" w:lineRule="exact" w:before="95"/>
              <w:ind w:left="91"/>
              <w:rPr>
                <w:sz w:val="18"/>
              </w:rPr>
            </w:pPr>
            <w:r>
              <w:rPr>
                <w:color w:val="105C84"/>
                <w:spacing w:val="-2"/>
                <w:sz w:val="18"/>
              </w:rPr>
              <w:t>Intervention</w:t>
            </w:r>
          </w:p>
          <w:p>
            <w:pPr>
              <w:pStyle w:val="TableParagraph"/>
              <w:spacing w:line="232" w:lineRule="auto" w:before="2"/>
              <w:ind w:left="91" w:right="238"/>
              <w:rPr>
                <w:sz w:val="18"/>
              </w:rPr>
            </w:pPr>
            <w:r>
              <w:rPr>
                <w:color w:val="105C84"/>
                <w:sz w:val="18"/>
              </w:rPr>
              <w:t>3.1.2: Use media and health communications</w:t>
            </w:r>
            <w:r>
              <w:rPr>
                <w:color w:val="105C84"/>
                <w:spacing w:val="-13"/>
                <w:sz w:val="18"/>
              </w:rPr>
              <w:t> </w:t>
            </w:r>
            <w:r>
              <w:rPr>
                <w:color w:val="105C84"/>
                <w:sz w:val="18"/>
              </w:rPr>
              <w:t>to</w:t>
            </w:r>
          </w:p>
          <w:p>
            <w:pPr>
              <w:pStyle w:val="TableParagraph"/>
              <w:spacing w:line="232" w:lineRule="auto"/>
              <w:ind w:left="91"/>
              <w:rPr>
                <w:sz w:val="18"/>
              </w:rPr>
            </w:pPr>
            <w:r>
              <w:rPr>
                <w:color w:val="105C84"/>
                <w:sz w:val="18"/>
              </w:rPr>
              <w:t>highlight the </w:t>
            </w:r>
            <w:r>
              <w:rPr>
                <w:color w:val="105C84"/>
                <w:sz w:val="18"/>
              </w:rPr>
              <w:t>dangers of tobacco, promote effective tobacco control policies and reshape</w:t>
            </w:r>
            <w:r>
              <w:rPr>
                <w:color w:val="105C84"/>
                <w:spacing w:val="-15"/>
                <w:sz w:val="18"/>
              </w:rPr>
              <w:t> </w:t>
            </w:r>
            <w:r>
              <w:rPr>
                <w:color w:val="105C84"/>
                <w:sz w:val="18"/>
              </w:rPr>
              <w:t>social</w:t>
            </w:r>
            <w:r>
              <w:rPr>
                <w:color w:val="105C84"/>
                <w:spacing w:val="-12"/>
                <w:sz w:val="18"/>
              </w:rPr>
              <w:t> </w:t>
            </w:r>
            <w:r>
              <w:rPr>
                <w:color w:val="105C84"/>
                <w:sz w:val="18"/>
              </w:rPr>
              <w:t>norms</w:t>
            </w:r>
          </w:p>
        </w:tc>
        <w:tc>
          <w:tcPr>
            <w:tcW w:w="6155" w:type="dxa"/>
          </w:tcPr>
          <w:p>
            <w:pPr>
              <w:pStyle w:val="TableParagraph"/>
              <w:tabs>
                <w:tab w:pos="3962" w:val="left" w:leader="none"/>
              </w:tabs>
              <w:spacing w:line="203" w:lineRule="exact" w:before="95"/>
              <w:ind w:left="92"/>
              <w:rPr>
                <w:sz w:val="18"/>
              </w:rPr>
            </w:pPr>
            <w:r>
              <w:rPr>
                <w:color w:val="105C84"/>
                <w:sz w:val="18"/>
              </w:rPr>
              <w:t>Metrics/Goals</w:t>
            </w:r>
            <w:r>
              <w:rPr>
                <w:color w:val="105C84"/>
                <w:spacing w:val="2"/>
                <w:sz w:val="18"/>
              </w:rPr>
              <w:t> </w:t>
            </w:r>
            <w:r>
              <w:rPr>
                <w:color w:val="105C84"/>
                <w:sz w:val="18"/>
              </w:rPr>
              <w:t>by</w:t>
            </w:r>
            <w:r>
              <w:rPr>
                <w:color w:val="105C84"/>
                <w:spacing w:val="2"/>
                <w:sz w:val="18"/>
              </w:rPr>
              <w:t> </w:t>
            </w:r>
            <w:r>
              <w:rPr>
                <w:color w:val="105C84"/>
                <w:spacing w:val="-4"/>
                <w:sz w:val="18"/>
              </w:rPr>
              <w:t>Year</w:t>
            </w:r>
            <w:r>
              <w:rPr>
                <w:color w:val="105C84"/>
                <w:sz w:val="18"/>
              </w:rPr>
              <w:tab/>
            </w:r>
            <w:r>
              <w:rPr>
                <w:color w:val="105C84"/>
                <w:spacing w:val="-5"/>
                <w:sz w:val="18"/>
              </w:rPr>
              <w:t>Increase</w:t>
            </w:r>
            <w:r>
              <w:rPr>
                <w:color w:val="105C84"/>
                <w:spacing w:val="-1"/>
                <w:sz w:val="18"/>
              </w:rPr>
              <w:t> </w:t>
            </w:r>
            <w:r>
              <w:rPr>
                <w:color w:val="105C84"/>
                <w:spacing w:val="-2"/>
                <w:sz w:val="18"/>
              </w:rPr>
              <w:t>tobacco</w:t>
            </w:r>
          </w:p>
          <w:p>
            <w:pPr>
              <w:pStyle w:val="TableParagraph"/>
              <w:tabs>
                <w:tab w:pos="3962" w:val="left" w:leader="none"/>
              </w:tabs>
              <w:spacing w:line="148" w:lineRule="auto" w:before="26"/>
              <w:ind w:left="92"/>
              <w:rPr>
                <w:sz w:val="18"/>
              </w:rPr>
            </w:pPr>
            <w:r>
              <w:rPr>
                <w:color w:val="105C84"/>
                <w:spacing w:val="-4"/>
                <w:position w:val="-8"/>
                <w:sz w:val="18"/>
              </w:rPr>
              <w:t>Year</w:t>
            </w:r>
            <w:r>
              <w:rPr>
                <w:color w:val="105C84"/>
                <w:spacing w:val="-6"/>
                <w:position w:val="-8"/>
                <w:sz w:val="18"/>
              </w:rPr>
              <w:t> </w:t>
            </w:r>
            <w:r>
              <w:rPr>
                <w:color w:val="105C84"/>
                <w:spacing w:val="-4"/>
                <w:position w:val="-8"/>
                <w:sz w:val="18"/>
              </w:rPr>
              <w:t>1:</w:t>
            </w:r>
            <w:r>
              <w:rPr>
                <w:color w:val="105C84"/>
                <w:spacing w:val="-5"/>
                <w:position w:val="-8"/>
                <w:sz w:val="18"/>
              </w:rPr>
              <w:t> </w:t>
            </w:r>
            <w:r>
              <w:rPr>
                <w:color w:val="105C84"/>
                <w:spacing w:val="-4"/>
                <w:position w:val="-8"/>
                <w:sz w:val="18"/>
              </w:rPr>
              <w:t>No</w:t>
            </w:r>
            <w:r>
              <w:rPr>
                <w:color w:val="105C84"/>
                <w:spacing w:val="-6"/>
                <w:position w:val="-8"/>
                <w:sz w:val="18"/>
              </w:rPr>
              <w:t> </w:t>
            </w:r>
            <w:r>
              <w:rPr>
                <w:color w:val="105C84"/>
                <w:spacing w:val="-4"/>
                <w:position w:val="-8"/>
                <w:sz w:val="18"/>
              </w:rPr>
              <w:t>target,</w:t>
            </w:r>
            <w:r>
              <w:rPr>
                <w:color w:val="105C84"/>
                <w:position w:val="-8"/>
                <w:sz w:val="18"/>
              </w:rPr>
              <w:tab/>
            </w:r>
            <w:r>
              <w:rPr>
                <w:color w:val="105C84"/>
                <w:spacing w:val="-2"/>
                <w:sz w:val="18"/>
              </w:rPr>
              <w:t>cessation</w:t>
            </w:r>
            <w:r>
              <w:rPr>
                <w:color w:val="105C84"/>
                <w:spacing w:val="-8"/>
                <w:sz w:val="18"/>
              </w:rPr>
              <w:t> </w:t>
            </w:r>
            <w:r>
              <w:rPr>
                <w:color w:val="105C84"/>
                <w:spacing w:val="-2"/>
                <w:sz w:val="18"/>
              </w:rPr>
              <w:t>referrals</w:t>
            </w:r>
          </w:p>
          <w:p>
            <w:pPr>
              <w:pStyle w:val="TableParagraph"/>
              <w:tabs>
                <w:tab w:pos="3962" w:val="left" w:leader="none"/>
              </w:tabs>
              <w:spacing w:line="148" w:lineRule="auto"/>
              <w:ind w:left="92"/>
              <w:rPr>
                <w:sz w:val="18"/>
              </w:rPr>
            </w:pPr>
            <w:r>
              <w:rPr>
                <w:color w:val="105C84"/>
                <w:position w:val="-8"/>
                <w:sz w:val="18"/>
              </w:rPr>
              <w:t>pending</w:t>
            </w:r>
            <w:r>
              <w:rPr>
                <w:color w:val="105C84"/>
                <w:spacing w:val="24"/>
                <w:position w:val="-8"/>
                <w:sz w:val="18"/>
              </w:rPr>
              <w:t> </w:t>
            </w:r>
            <w:r>
              <w:rPr>
                <w:color w:val="105C84"/>
                <w:spacing w:val="-4"/>
                <w:position w:val="-8"/>
                <w:sz w:val="18"/>
              </w:rPr>
              <w:t>data</w:t>
            </w:r>
            <w:r>
              <w:rPr>
                <w:color w:val="105C84"/>
                <w:position w:val="-8"/>
                <w:sz w:val="18"/>
              </w:rPr>
              <w:tab/>
            </w:r>
            <w:r>
              <w:rPr>
                <w:color w:val="105C84"/>
                <w:sz w:val="18"/>
              </w:rPr>
              <w:t>through</w:t>
            </w:r>
            <w:r>
              <w:rPr>
                <w:color w:val="105C84"/>
                <w:spacing w:val="15"/>
                <w:sz w:val="18"/>
              </w:rPr>
              <w:t> </w:t>
            </w:r>
            <w:r>
              <w:rPr>
                <w:color w:val="105C84"/>
                <w:spacing w:val="-2"/>
                <w:sz w:val="18"/>
              </w:rPr>
              <w:t>communication</w:t>
            </w:r>
          </w:p>
          <w:p>
            <w:pPr>
              <w:pStyle w:val="TableParagraph"/>
              <w:spacing w:line="145" w:lineRule="exact"/>
              <w:ind w:left="3962"/>
              <w:rPr>
                <w:sz w:val="18"/>
              </w:rPr>
            </w:pPr>
            <w:r>
              <w:rPr>
                <w:color w:val="105C84"/>
                <w:sz w:val="18"/>
              </w:rPr>
              <w:t>with health</w:t>
            </w:r>
            <w:r>
              <w:rPr>
                <w:color w:val="105C84"/>
                <w:spacing w:val="1"/>
                <w:sz w:val="18"/>
              </w:rPr>
              <w:t> </w:t>
            </w:r>
            <w:r>
              <w:rPr>
                <w:color w:val="105C84"/>
                <w:spacing w:val="-2"/>
                <w:sz w:val="18"/>
              </w:rPr>
              <w:t>providers</w:t>
            </w:r>
          </w:p>
          <w:p>
            <w:pPr>
              <w:pStyle w:val="TableParagraph"/>
              <w:spacing w:line="145" w:lineRule="exact"/>
              <w:ind w:left="92"/>
              <w:rPr>
                <w:sz w:val="18"/>
              </w:rPr>
            </w:pPr>
            <w:r>
              <w:rPr>
                <w:color w:val="105C84"/>
                <w:spacing w:val="-2"/>
                <w:sz w:val="18"/>
              </w:rPr>
              <w:t>Year</w:t>
            </w:r>
            <w:r>
              <w:rPr>
                <w:color w:val="105C84"/>
                <w:spacing w:val="-7"/>
                <w:sz w:val="18"/>
              </w:rPr>
              <w:t> </w:t>
            </w:r>
            <w:r>
              <w:rPr>
                <w:color w:val="105C84"/>
                <w:spacing w:val="-2"/>
                <w:sz w:val="18"/>
              </w:rPr>
              <w:t>2:</w:t>
            </w:r>
            <w:r>
              <w:rPr>
                <w:color w:val="105C84"/>
                <w:spacing w:val="-7"/>
                <w:sz w:val="18"/>
              </w:rPr>
              <w:t> </w:t>
            </w:r>
            <w:r>
              <w:rPr>
                <w:color w:val="105C84"/>
                <w:spacing w:val="-2"/>
                <w:sz w:val="18"/>
              </w:rPr>
              <w:t>Number</w:t>
            </w:r>
            <w:r>
              <w:rPr>
                <w:color w:val="105C84"/>
                <w:spacing w:val="-7"/>
                <w:sz w:val="18"/>
              </w:rPr>
              <w:t> </w:t>
            </w:r>
            <w:r>
              <w:rPr>
                <w:color w:val="105C84"/>
                <w:spacing w:val="-5"/>
                <w:sz w:val="18"/>
              </w:rPr>
              <w:t>of</w:t>
            </w:r>
          </w:p>
          <w:p>
            <w:pPr>
              <w:pStyle w:val="TableParagraph"/>
              <w:tabs>
                <w:tab w:pos="3962" w:val="left" w:leader="none"/>
              </w:tabs>
              <w:spacing w:line="148" w:lineRule="auto"/>
              <w:ind w:left="92"/>
              <w:rPr>
                <w:sz w:val="18"/>
              </w:rPr>
            </w:pPr>
            <w:r>
              <w:rPr>
                <w:color w:val="105C84"/>
                <w:spacing w:val="-2"/>
                <w:position w:val="-8"/>
                <w:sz w:val="18"/>
              </w:rPr>
              <w:t>referrals</w:t>
            </w:r>
            <w:r>
              <w:rPr>
                <w:color w:val="105C84"/>
                <w:spacing w:val="-1"/>
                <w:position w:val="-8"/>
                <w:sz w:val="18"/>
              </w:rPr>
              <w:t> </w:t>
            </w:r>
            <w:r>
              <w:rPr>
                <w:color w:val="105C84"/>
                <w:spacing w:val="-2"/>
                <w:position w:val="-8"/>
                <w:sz w:val="18"/>
              </w:rPr>
              <w:t>made</w:t>
            </w:r>
            <w:r>
              <w:rPr>
                <w:color w:val="105C84"/>
                <w:position w:val="-8"/>
                <w:sz w:val="18"/>
              </w:rPr>
              <w:t> </w:t>
            </w:r>
            <w:r>
              <w:rPr>
                <w:color w:val="105C84"/>
                <w:spacing w:val="-5"/>
                <w:position w:val="-8"/>
                <w:sz w:val="18"/>
              </w:rPr>
              <w:t>to</w:t>
            </w:r>
            <w:r>
              <w:rPr>
                <w:color w:val="105C84"/>
                <w:position w:val="-8"/>
                <w:sz w:val="18"/>
              </w:rPr>
              <w:tab/>
            </w:r>
            <w:r>
              <w:rPr>
                <w:color w:val="105C84"/>
                <w:sz w:val="18"/>
              </w:rPr>
              <w:t>NWCH</w:t>
            </w:r>
            <w:r>
              <w:rPr>
                <w:color w:val="105C84"/>
                <w:spacing w:val="6"/>
                <w:sz w:val="18"/>
              </w:rPr>
              <w:t> </w:t>
            </w:r>
            <w:r>
              <w:rPr>
                <w:color w:val="105C84"/>
                <w:sz w:val="18"/>
              </w:rPr>
              <w:t>to</w:t>
            </w:r>
            <w:r>
              <w:rPr>
                <w:color w:val="105C84"/>
                <w:spacing w:val="7"/>
                <w:sz w:val="18"/>
              </w:rPr>
              <w:t> </w:t>
            </w:r>
            <w:r>
              <w:rPr>
                <w:color w:val="105C84"/>
                <w:sz w:val="18"/>
              </w:rPr>
              <w:t>continue</w:t>
            </w:r>
            <w:r>
              <w:rPr>
                <w:color w:val="105C84"/>
                <w:spacing w:val="7"/>
                <w:sz w:val="18"/>
              </w:rPr>
              <w:t> </w:t>
            </w:r>
            <w:r>
              <w:rPr>
                <w:color w:val="105C84"/>
                <w:spacing w:val="-5"/>
                <w:sz w:val="18"/>
              </w:rPr>
              <w:t>to</w:t>
            </w:r>
          </w:p>
          <w:p>
            <w:pPr>
              <w:pStyle w:val="TableParagraph"/>
              <w:tabs>
                <w:tab w:pos="3962" w:val="left" w:leader="none"/>
              </w:tabs>
              <w:spacing w:line="148" w:lineRule="auto"/>
              <w:ind w:left="92"/>
              <w:rPr>
                <w:sz w:val="18"/>
              </w:rPr>
            </w:pPr>
            <w:r>
              <w:rPr>
                <w:color w:val="105C84"/>
                <w:spacing w:val="-4"/>
                <w:position w:val="-8"/>
                <w:sz w:val="18"/>
              </w:rPr>
              <w:t>CDSM</w:t>
            </w:r>
            <w:r>
              <w:rPr>
                <w:color w:val="105C84"/>
                <w:position w:val="-8"/>
                <w:sz w:val="18"/>
              </w:rPr>
              <w:t> </w:t>
            </w:r>
            <w:r>
              <w:rPr>
                <w:color w:val="105C84"/>
                <w:spacing w:val="-4"/>
                <w:position w:val="-8"/>
                <w:sz w:val="18"/>
              </w:rPr>
              <w:t>courses</w:t>
            </w:r>
            <w:r>
              <w:rPr>
                <w:color w:val="105C84"/>
                <w:position w:val="-8"/>
                <w:sz w:val="18"/>
              </w:rPr>
              <w:t> </w:t>
            </w:r>
            <w:r>
              <w:rPr>
                <w:color w:val="105C84"/>
                <w:spacing w:val="-4"/>
                <w:position w:val="-8"/>
                <w:sz w:val="18"/>
              </w:rPr>
              <w:t>using</w:t>
            </w:r>
            <w:r>
              <w:rPr>
                <w:color w:val="105C84"/>
                <w:position w:val="-8"/>
                <w:sz w:val="18"/>
              </w:rPr>
              <w:tab/>
            </w:r>
            <w:r>
              <w:rPr>
                <w:color w:val="105C84"/>
                <w:sz w:val="18"/>
              </w:rPr>
              <w:t>encourage</w:t>
            </w:r>
            <w:r>
              <w:rPr>
                <w:color w:val="105C84"/>
                <w:spacing w:val="-4"/>
                <w:sz w:val="18"/>
              </w:rPr>
              <w:t> </w:t>
            </w:r>
            <w:r>
              <w:rPr>
                <w:color w:val="105C84"/>
                <w:spacing w:val="-2"/>
                <w:sz w:val="18"/>
              </w:rPr>
              <w:t>providers</w:t>
            </w:r>
          </w:p>
          <w:p>
            <w:pPr>
              <w:pStyle w:val="TableParagraph"/>
              <w:tabs>
                <w:tab w:pos="3962" w:val="left" w:leader="none"/>
              </w:tabs>
              <w:spacing w:line="148" w:lineRule="auto"/>
              <w:ind w:left="92"/>
              <w:rPr>
                <w:sz w:val="18"/>
              </w:rPr>
            </w:pPr>
            <w:r>
              <w:rPr>
                <w:color w:val="105C84"/>
                <w:spacing w:val="-2"/>
                <w:position w:val="-8"/>
                <w:sz w:val="18"/>
              </w:rPr>
              <w:t>the</w:t>
            </w:r>
            <w:r>
              <w:rPr>
                <w:color w:val="105C84"/>
                <w:spacing w:val="-11"/>
                <w:position w:val="-8"/>
                <w:sz w:val="18"/>
              </w:rPr>
              <w:t> </w:t>
            </w:r>
            <w:r>
              <w:rPr>
                <w:color w:val="105C84"/>
                <w:spacing w:val="-2"/>
                <w:position w:val="-8"/>
                <w:sz w:val="18"/>
              </w:rPr>
              <w:t>Rx</w:t>
            </w:r>
            <w:r>
              <w:rPr>
                <w:color w:val="105C84"/>
                <w:spacing w:val="-10"/>
                <w:position w:val="-8"/>
                <w:sz w:val="18"/>
              </w:rPr>
              <w:t> </w:t>
            </w:r>
            <w:r>
              <w:rPr>
                <w:color w:val="105C84"/>
                <w:spacing w:val="-2"/>
                <w:position w:val="-8"/>
                <w:sz w:val="18"/>
              </w:rPr>
              <w:t>pad</w:t>
            </w:r>
            <w:r>
              <w:rPr>
                <w:color w:val="105C84"/>
                <w:spacing w:val="-10"/>
                <w:position w:val="-8"/>
                <w:sz w:val="18"/>
              </w:rPr>
              <w:t> </w:t>
            </w:r>
            <w:r>
              <w:rPr>
                <w:color w:val="105C84"/>
                <w:spacing w:val="-2"/>
                <w:position w:val="-8"/>
                <w:sz w:val="18"/>
              </w:rPr>
              <w:t>(2020</w:t>
            </w:r>
            <w:r>
              <w:rPr>
                <w:color w:val="105C84"/>
                <w:spacing w:val="-10"/>
                <w:position w:val="-8"/>
                <w:sz w:val="18"/>
              </w:rPr>
              <w:t> </w:t>
            </w:r>
            <w:r>
              <w:rPr>
                <w:color w:val="105C84"/>
                <w:spacing w:val="-2"/>
                <w:position w:val="-8"/>
                <w:sz w:val="18"/>
              </w:rPr>
              <w:t>goal:</w:t>
            </w:r>
            <w:r>
              <w:rPr>
                <w:color w:val="105C84"/>
                <w:position w:val="-8"/>
                <w:sz w:val="18"/>
              </w:rPr>
              <w:tab/>
            </w:r>
            <w:r>
              <w:rPr>
                <w:color w:val="105C84"/>
                <w:sz w:val="18"/>
              </w:rPr>
              <w:t>to</w:t>
            </w:r>
            <w:r>
              <w:rPr>
                <w:color w:val="105C84"/>
                <w:spacing w:val="-2"/>
                <w:sz w:val="18"/>
              </w:rPr>
              <w:t> </w:t>
            </w:r>
            <w:r>
              <w:rPr>
                <w:color w:val="105C84"/>
                <w:sz w:val="18"/>
              </w:rPr>
              <w:t>consistently</w:t>
            </w:r>
            <w:r>
              <w:rPr>
                <w:color w:val="105C84"/>
                <w:spacing w:val="-2"/>
                <w:sz w:val="18"/>
              </w:rPr>
              <w:t> refer</w:t>
            </w:r>
          </w:p>
          <w:p>
            <w:pPr>
              <w:pStyle w:val="TableParagraph"/>
              <w:tabs>
                <w:tab w:pos="3962" w:val="left" w:leader="none"/>
              </w:tabs>
              <w:spacing w:line="148" w:lineRule="auto"/>
              <w:ind w:left="92"/>
              <w:rPr>
                <w:sz w:val="18"/>
              </w:rPr>
            </w:pPr>
            <w:r>
              <w:rPr>
                <w:color w:val="105C84"/>
                <w:spacing w:val="-8"/>
                <w:position w:val="-8"/>
                <w:sz w:val="18"/>
              </w:rPr>
              <w:t>100</w:t>
            </w:r>
            <w:r>
              <w:rPr>
                <w:color w:val="105C84"/>
                <w:spacing w:val="-2"/>
                <w:position w:val="-8"/>
                <w:sz w:val="18"/>
              </w:rPr>
              <w:t> referrals)</w:t>
            </w:r>
            <w:r>
              <w:rPr>
                <w:color w:val="105C84"/>
                <w:position w:val="-8"/>
                <w:sz w:val="18"/>
              </w:rPr>
              <w:tab/>
            </w:r>
            <w:r>
              <w:rPr>
                <w:color w:val="105C84"/>
                <w:sz w:val="18"/>
              </w:rPr>
              <w:t>smoking patients </w:t>
            </w:r>
            <w:r>
              <w:rPr>
                <w:color w:val="105C84"/>
                <w:spacing w:val="-5"/>
                <w:sz w:val="18"/>
              </w:rPr>
              <w:t>to</w:t>
            </w:r>
          </w:p>
          <w:p>
            <w:pPr>
              <w:pStyle w:val="TableParagraph"/>
              <w:spacing w:line="145" w:lineRule="exact"/>
              <w:ind w:left="3962"/>
              <w:rPr>
                <w:sz w:val="18"/>
              </w:rPr>
            </w:pPr>
            <w:r>
              <w:rPr>
                <w:color w:val="105C84"/>
                <w:sz w:val="18"/>
              </w:rPr>
              <w:t>evidence-based</w:t>
            </w:r>
            <w:r>
              <w:rPr>
                <w:color w:val="105C84"/>
                <w:spacing w:val="-4"/>
                <w:sz w:val="18"/>
              </w:rPr>
              <w:t> </w:t>
            </w:r>
            <w:r>
              <w:rPr>
                <w:color w:val="105C84"/>
                <w:spacing w:val="-2"/>
                <w:sz w:val="18"/>
              </w:rPr>
              <w:t>tobacco</w:t>
            </w:r>
          </w:p>
          <w:p>
            <w:pPr>
              <w:pStyle w:val="TableParagraph"/>
              <w:tabs>
                <w:tab w:pos="3962" w:val="left" w:leader="none"/>
              </w:tabs>
              <w:spacing w:line="200" w:lineRule="exact"/>
              <w:ind w:left="92"/>
              <w:rPr>
                <w:sz w:val="18"/>
              </w:rPr>
            </w:pPr>
            <w:r>
              <w:rPr>
                <w:color w:val="105C84"/>
                <w:position w:val="2"/>
                <w:sz w:val="18"/>
              </w:rPr>
              <w:t>Minutes</w:t>
            </w:r>
            <w:r>
              <w:rPr>
                <w:color w:val="105C84"/>
                <w:spacing w:val="2"/>
                <w:position w:val="2"/>
                <w:sz w:val="18"/>
              </w:rPr>
              <w:t> </w:t>
            </w:r>
            <w:r>
              <w:rPr>
                <w:color w:val="105C84"/>
                <w:spacing w:val="-2"/>
                <w:position w:val="2"/>
                <w:sz w:val="18"/>
              </w:rPr>
              <w:t>showing</w:t>
            </w:r>
            <w:r>
              <w:rPr>
                <w:color w:val="105C84"/>
                <w:position w:val="2"/>
                <w:sz w:val="18"/>
              </w:rPr>
              <w:tab/>
            </w:r>
            <w:r>
              <w:rPr>
                <w:color w:val="105C84"/>
                <w:spacing w:val="-2"/>
                <w:sz w:val="18"/>
              </w:rPr>
              <w:t>cessation</w:t>
            </w:r>
            <w:r>
              <w:rPr>
                <w:color w:val="105C84"/>
                <w:spacing w:val="2"/>
                <w:sz w:val="18"/>
              </w:rPr>
              <w:t> </w:t>
            </w:r>
            <w:r>
              <w:rPr>
                <w:color w:val="105C84"/>
                <w:spacing w:val="-2"/>
                <w:sz w:val="18"/>
              </w:rPr>
              <w:t>programs,</w:t>
            </w:r>
            <w:r>
              <w:rPr>
                <w:color w:val="105C84"/>
                <w:spacing w:val="3"/>
                <w:sz w:val="18"/>
              </w:rPr>
              <w:t> </w:t>
            </w:r>
            <w:r>
              <w:rPr>
                <w:color w:val="105C84"/>
                <w:spacing w:val="-4"/>
                <w:sz w:val="18"/>
              </w:rPr>
              <w:t>such</w:t>
            </w:r>
          </w:p>
          <w:p>
            <w:pPr>
              <w:pStyle w:val="TableParagraph"/>
              <w:tabs>
                <w:tab w:pos="3962" w:val="left" w:leader="none"/>
              </w:tabs>
              <w:spacing w:line="200" w:lineRule="exact"/>
              <w:ind w:left="92"/>
              <w:rPr>
                <w:sz w:val="18"/>
              </w:rPr>
            </w:pPr>
            <w:r>
              <w:rPr>
                <w:color w:val="105C84"/>
                <w:spacing w:val="-2"/>
                <w:position w:val="2"/>
                <w:sz w:val="18"/>
              </w:rPr>
              <w:t>discussion of</w:t>
            </w:r>
            <w:r>
              <w:rPr>
                <w:color w:val="105C84"/>
                <w:spacing w:val="-1"/>
                <w:position w:val="2"/>
                <w:sz w:val="18"/>
              </w:rPr>
              <w:t> </w:t>
            </w:r>
            <w:r>
              <w:rPr>
                <w:color w:val="105C84"/>
                <w:spacing w:val="-2"/>
                <w:position w:val="2"/>
                <w:sz w:val="18"/>
              </w:rPr>
              <w:t>barriers</w:t>
            </w:r>
            <w:r>
              <w:rPr>
                <w:color w:val="105C84"/>
                <w:position w:val="2"/>
                <w:sz w:val="18"/>
              </w:rPr>
              <w:tab/>
            </w:r>
            <w:r>
              <w:rPr>
                <w:color w:val="105C84"/>
                <w:spacing w:val="-4"/>
                <w:sz w:val="18"/>
              </w:rPr>
              <w:t>as</w:t>
            </w:r>
            <w:r>
              <w:rPr>
                <w:color w:val="105C84"/>
                <w:sz w:val="18"/>
              </w:rPr>
              <w:t> </w:t>
            </w:r>
            <w:r>
              <w:rPr>
                <w:color w:val="105C84"/>
                <w:spacing w:val="-4"/>
                <w:sz w:val="18"/>
              </w:rPr>
              <w:t>Public</w:t>
            </w:r>
            <w:r>
              <w:rPr>
                <w:color w:val="105C84"/>
                <w:sz w:val="18"/>
              </w:rPr>
              <w:t> </w:t>
            </w:r>
            <w:r>
              <w:rPr>
                <w:color w:val="105C84"/>
                <w:spacing w:val="-4"/>
                <w:sz w:val="18"/>
              </w:rPr>
              <w:t>Health’s</w:t>
            </w:r>
            <w:r>
              <w:rPr>
                <w:color w:val="105C84"/>
                <w:sz w:val="18"/>
              </w:rPr>
              <w:t> </w:t>
            </w:r>
            <w:r>
              <w:rPr>
                <w:color w:val="105C84"/>
                <w:spacing w:val="-4"/>
                <w:sz w:val="18"/>
              </w:rPr>
              <w:t>tobacco</w:t>
            </w:r>
          </w:p>
          <w:p>
            <w:pPr>
              <w:pStyle w:val="TableParagraph"/>
              <w:tabs>
                <w:tab w:pos="3962" w:val="left" w:leader="none"/>
              </w:tabs>
              <w:spacing w:line="200" w:lineRule="exact"/>
              <w:ind w:left="92"/>
              <w:rPr>
                <w:sz w:val="18"/>
              </w:rPr>
            </w:pPr>
            <w:r>
              <w:rPr>
                <w:color w:val="105C84"/>
                <w:position w:val="2"/>
                <w:sz w:val="18"/>
              </w:rPr>
              <w:t>for</w:t>
            </w:r>
            <w:r>
              <w:rPr>
                <w:color w:val="105C84"/>
                <w:spacing w:val="-4"/>
                <w:position w:val="2"/>
                <w:sz w:val="18"/>
              </w:rPr>
              <w:t> </w:t>
            </w:r>
            <w:r>
              <w:rPr>
                <w:color w:val="105C84"/>
                <w:position w:val="2"/>
                <w:sz w:val="18"/>
              </w:rPr>
              <w:t>practices</w:t>
            </w:r>
            <w:r>
              <w:rPr>
                <w:color w:val="105C84"/>
                <w:spacing w:val="-4"/>
                <w:position w:val="2"/>
                <w:sz w:val="18"/>
              </w:rPr>
              <w:t> </w:t>
            </w:r>
            <w:r>
              <w:rPr>
                <w:color w:val="105C84"/>
                <w:spacing w:val="-2"/>
                <w:position w:val="2"/>
                <w:sz w:val="18"/>
              </w:rPr>
              <w:t>which</w:t>
            </w:r>
            <w:r>
              <w:rPr>
                <w:color w:val="105C84"/>
                <w:position w:val="2"/>
                <w:sz w:val="18"/>
              </w:rPr>
              <w:tab/>
            </w:r>
            <w:r>
              <w:rPr>
                <w:color w:val="105C84"/>
                <w:sz w:val="18"/>
              </w:rPr>
              <w:t>cessation</w:t>
            </w:r>
            <w:r>
              <w:rPr>
                <w:color w:val="105C84"/>
                <w:spacing w:val="-7"/>
                <w:sz w:val="18"/>
              </w:rPr>
              <w:t> </w:t>
            </w:r>
            <w:r>
              <w:rPr>
                <w:color w:val="105C84"/>
                <w:sz w:val="18"/>
              </w:rPr>
              <w:t>program</w:t>
            </w:r>
            <w:r>
              <w:rPr>
                <w:color w:val="105C84"/>
                <w:spacing w:val="-7"/>
                <w:sz w:val="18"/>
              </w:rPr>
              <w:t> </w:t>
            </w:r>
            <w:r>
              <w:rPr>
                <w:color w:val="105C84"/>
                <w:spacing w:val="-5"/>
                <w:sz w:val="18"/>
              </w:rPr>
              <w:t>and</w:t>
            </w:r>
          </w:p>
          <w:p>
            <w:pPr>
              <w:pStyle w:val="TableParagraph"/>
              <w:tabs>
                <w:tab w:pos="3962" w:val="left" w:leader="none"/>
              </w:tabs>
              <w:spacing w:line="200" w:lineRule="exact"/>
              <w:ind w:left="92"/>
              <w:rPr>
                <w:sz w:val="18"/>
              </w:rPr>
            </w:pPr>
            <w:r>
              <w:rPr>
                <w:color w:val="105C84"/>
                <w:position w:val="2"/>
                <w:sz w:val="18"/>
              </w:rPr>
              <w:t>do</w:t>
            </w:r>
            <w:r>
              <w:rPr>
                <w:color w:val="105C84"/>
                <w:spacing w:val="2"/>
                <w:position w:val="2"/>
                <w:sz w:val="18"/>
              </w:rPr>
              <w:t> </w:t>
            </w:r>
            <w:r>
              <w:rPr>
                <w:color w:val="105C84"/>
                <w:position w:val="2"/>
                <w:sz w:val="18"/>
              </w:rPr>
              <w:t>not</w:t>
            </w:r>
            <w:r>
              <w:rPr>
                <w:color w:val="105C84"/>
                <w:spacing w:val="2"/>
                <w:position w:val="2"/>
                <w:sz w:val="18"/>
              </w:rPr>
              <w:t> </w:t>
            </w:r>
            <w:r>
              <w:rPr>
                <w:color w:val="105C84"/>
                <w:position w:val="2"/>
                <w:sz w:val="18"/>
              </w:rPr>
              <w:t>use</w:t>
            </w:r>
            <w:r>
              <w:rPr>
                <w:color w:val="105C84"/>
                <w:spacing w:val="2"/>
                <w:position w:val="2"/>
                <w:sz w:val="18"/>
              </w:rPr>
              <w:t> </w:t>
            </w:r>
            <w:r>
              <w:rPr>
                <w:color w:val="105C84"/>
                <w:position w:val="2"/>
                <w:sz w:val="18"/>
              </w:rPr>
              <w:t>the</w:t>
            </w:r>
            <w:r>
              <w:rPr>
                <w:color w:val="105C84"/>
                <w:spacing w:val="2"/>
                <w:position w:val="2"/>
                <w:sz w:val="18"/>
              </w:rPr>
              <w:t> </w:t>
            </w:r>
            <w:r>
              <w:rPr>
                <w:color w:val="105C84"/>
                <w:spacing w:val="-5"/>
                <w:position w:val="2"/>
                <w:sz w:val="18"/>
              </w:rPr>
              <w:t>Rx</w:t>
            </w:r>
            <w:r>
              <w:rPr>
                <w:color w:val="105C84"/>
                <w:position w:val="2"/>
                <w:sz w:val="18"/>
              </w:rPr>
              <w:tab/>
            </w:r>
            <w:r>
              <w:rPr>
                <w:color w:val="105C84"/>
                <w:sz w:val="18"/>
              </w:rPr>
              <w:t>Baby</w:t>
            </w:r>
            <w:r>
              <w:rPr>
                <w:color w:val="105C84"/>
                <w:spacing w:val="-9"/>
                <w:sz w:val="18"/>
              </w:rPr>
              <w:t> </w:t>
            </w:r>
            <w:r>
              <w:rPr>
                <w:color w:val="105C84"/>
                <w:sz w:val="18"/>
              </w:rPr>
              <w:t>&amp;</w:t>
            </w:r>
            <w:r>
              <w:rPr>
                <w:color w:val="105C84"/>
                <w:spacing w:val="-9"/>
                <w:sz w:val="18"/>
              </w:rPr>
              <w:t> </w:t>
            </w:r>
            <w:r>
              <w:rPr>
                <w:color w:val="105C84"/>
                <w:sz w:val="18"/>
              </w:rPr>
              <w:t>Me</w:t>
            </w:r>
            <w:r>
              <w:rPr>
                <w:color w:val="105C84"/>
                <w:spacing w:val="-8"/>
                <w:sz w:val="18"/>
              </w:rPr>
              <w:t> </w:t>
            </w:r>
            <w:r>
              <w:rPr>
                <w:color w:val="105C84"/>
                <w:sz w:val="18"/>
              </w:rPr>
              <w:t>Tobacco</w:t>
            </w:r>
            <w:r>
              <w:rPr>
                <w:color w:val="105C84"/>
                <w:spacing w:val="-9"/>
                <w:sz w:val="18"/>
              </w:rPr>
              <w:t> </w:t>
            </w:r>
            <w:r>
              <w:rPr>
                <w:color w:val="105C84"/>
                <w:spacing w:val="-2"/>
                <w:sz w:val="18"/>
              </w:rPr>
              <w:t>Free,</w:t>
            </w:r>
          </w:p>
          <w:p>
            <w:pPr>
              <w:pStyle w:val="TableParagraph"/>
              <w:tabs>
                <w:tab w:pos="3962" w:val="left" w:leader="none"/>
              </w:tabs>
              <w:spacing w:line="200" w:lineRule="exact"/>
              <w:ind w:left="92"/>
              <w:rPr>
                <w:sz w:val="18"/>
              </w:rPr>
            </w:pPr>
            <w:r>
              <w:rPr>
                <w:color w:val="105C84"/>
                <w:position w:val="2"/>
                <w:sz w:val="18"/>
              </w:rPr>
              <w:t>pad</w:t>
            </w:r>
            <w:r>
              <w:rPr>
                <w:color w:val="105C84"/>
                <w:spacing w:val="2"/>
                <w:position w:val="2"/>
                <w:sz w:val="18"/>
              </w:rPr>
              <w:t> </w:t>
            </w:r>
            <w:r>
              <w:rPr>
                <w:color w:val="105C84"/>
                <w:position w:val="2"/>
                <w:sz w:val="18"/>
              </w:rPr>
              <w:t>or</w:t>
            </w:r>
            <w:r>
              <w:rPr>
                <w:color w:val="105C84"/>
                <w:spacing w:val="3"/>
                <w:position w:val="2"/>
                <w:sz w:val="18"/>
              </w:rPr>
              <w:t> </w:t>
            </w:r>
            <w:r>
              <w:rPr>
                <w:color w:val="105C84"/>
                <w:position w:val="2"/>
                <w:sz w:val="18"/>
              </w:rPr>
              <w:t>do</w:t>
            </w:r>
            <w:r>
              <w:rPr>
                <w:color w:val="105C84"/>
                <w:spacing w:val="3"/>
                <w:position w:val="2"/>
                <w:sz w:val="18"/>
              </w:rPr>
              <w:t> </w:t>
            </w:r>
            <w:r>
              <w:rPr>
                <w:color w:val="105C84"/>
                <w:position w:val="2"/>
                <w:sz w:val="18"/>
              </w:rPr>
              <w:t>not</w:t>
            </w:r>
            <w:r>
              <w:rPr>
                <w:color w:val="105C84"/>
                <w:spacing w:val="3"/>
                <w:position w:val="2"/>
                <w:sz w:val="18"/>
              </w:rPr>
              <w:t> </w:t>
            </w:r>
            <w:r>
              <w:rPr>
                <w:color w:val="105C84"/>
                <w:position w:val="2"/>
                <w:sz w:val="18"/>
              </w:rPr>
              <w:t>use</w:t>
            </w:r>
            <w:r>
              <w:rPr>
                <w:color w:val="105C84"/>
                <w:spacing w:val="3"/>
                <w:position w:val="2"/>
                <w:sz w:val="18"/>
              </w:rPr>
              <w:t> </w:t>
            </w:r>
            <w:r>
              <w:rPr>
                <w:color w:val="105C84"/>
                <w:spacing w:val="-5"/>
                <w:position w:val="2"/>
                <w:sz w:val="18"/>
              </w:rPr>
              <w:t>it</w:t>
            </w:r>
            <w:r>
              <w:rPr>
                <w:color w:val="105C84"/>
                <w:position w:val="2"/>
                <w:sz w:val="18"/>
              </w:rPr>
              <w:tab/>
            </w:r>
            <w:r>
              <w:rPr>
                <w:color w:val="105C84"/>
                <w:sz w:val="18"/>
              </w:rPr>
              <w:t>available</w:t>
            </w:r>
            <w:r>
              <w:rPr>
                <w:color w:val="105C84"/>
                <w:spacing w:val="-2"/>
                <w:sz w:val="18"/>
              </w:rPr>
              <w:t> </w:t>
            </w:r>
            <w:r>
              <w:rPr>
                <w:color w:val="105C84"/>
                <w:sz w:val="18"/>
              </w:rPr>
              <w:t>through</w:t>
            </w:r>
            <w:r>
              <w:rPr>
                <w:color w:val="105C84"/>
                <w:spacing w:val="-1"/>
                <w:sz w:val="18"/>
              </w:rPr>
              <w:t> </w:t>
            </w:r>
            <w:r>
              <w:rPr>
                <w:color w:val="105C84"/>
                <w:spacing w:val="-4"/>
                <w:sz w:val="18"/>
              </w:rPr>
              <w:t>both</w:t>
            </w:r>
          </w:p>
          <w:p>
            <w:pPr>
              <w:pStyle w:val="TableParagraph"/>
              <w:tabs>
                <w:tab w:pos="3962" w:val="left" w:leader="none"/>
              </w:tabs>
              <w:spacing w:line="213" w:lineRule="exact"/>
              <w:ind w:left="92"/>
              <w:rPr>
                <w:sz w:val="18"/>
              </w:rPr>
            </w:pPr>
            <w:r>
              <w:rPr>
                <w:color w:val="105C84"/>
                <w:spacing w:val="-2"/>
                <w:position w:val="2"/>
                <w:sz w:val="18"/>
              </w:rPr>
              <w:t>consistently</w:t>
            </w:r>
            <w:r>
              <w:rPr>
                <w:color w:val="105C84"/>
                <w:position w:val="2"/>
                <w:sz w:val="18"/>
              </w:rPr>
              <w:tab/>
            </w:r>
            <w:r>
              <w:rPr>
                <w:color w:val="105C84"/>
                <w:sz w:val="18"/>
              </w:rPr>
              <w:t>NWCH</w:t>
            </w:r>
            <w:r>
              <w:rPr>
                <w:color w:val="105C84"/>
                <w:spacing w:val="-4"/>
                <w:sz w:val="18"/>
              </w:rPr>
              <w:t> </w:t>
            </w:r>
            <w:r>
              <w:rPr>
                <w:color w:val="105C84"/>
                <w:sz w:val="18"/>
              </w:rPr>
              <w:t>and</w:t>
            </w:r>
            <w:r>
              <w:rPr>
                <w:color w:val="105C84"/>
                <w:spacing w:val="-4"/>
                <w:sz w:val="18"/>
              </w:rPr>
              <w:t> </w:t>
            </w:r>
            <w:r>
              <w:rPr>
                <w:color w:val="105C84"/>
                <w:sz w:val="18"/>
              </w:rPr>
              <w:t>Public</w:t>
            </w:r>
            <w:r>
              <w:rPr>
                <w:color w:val="105C84"/>
                <w:spacing w:val="-4"/>
                <w:sz w:val="18"/>
              </w:rPr>
              <w:t> </w:t>
            </w:r>
            <w:r>
              <w:rPr>
                <w:color w:val="105C84"/>
                <w:spacing w:val="-2"/>
                <w:sz w:val="18"/>
              </w:rPr>
              <w:t>Health</w:t>
            </w:r>
          </w:p>
          <w:p>
            <w:pPr>
              <w:pStyle w:val="TableParagraph"/>
              <w:spacing w:line="232" w:lineRule="auto"/>
              <w:ind w:left="92" w:right="4132"/>
              <w:rPr>
                <w:sz w:val="18"/>
              </w:rPr>
            </w:pPr>
            <w:r>
              <w:rPr>
                <w:color w:val="105C84"/>
                <w:sz w:val="18"/>
              </w:rPr>
              <w:t>Year 3: Number of provider offices in NWCH's network consistently using the Rx pad (target TBD pending</w:t>
            </w:r>
            <w:r>
              <w:rPr>
                <w:color w:val="105C84"/>
                <w:spacing w:val="-15"/>
                <w:sz w:val="18"/>
              </w:rPr>
              <w:t> </w:t>
            </w:r>
            <w:r>
              <w:rPr>
                <w:color w:val="105C84"/>
                <w:sz w:val="18"/>
              </w:rPr>
              <w:t>2020</w:t>
            </w:r>
            <w:r>
              <w:rPr>
                <w:color w:val="105C84"/>
                <w:spacing w:val="-12"/>
                <w:sz w:val="18"/>
              </w:rPr>
              <w:t> </w:t>
            </w:r>
            <w:r>
              <w:rPr>
                <w:color w:val="105C84"/>
                <w:sz w:val="18"/>
              </w:rPr>
              <w:t>findings)</w:t>
            </w:r>
          </w:p>
          <w:p>
            <w:pPr>
              <w:pStyle w:val="TableParagraph"/>
              <w:spacing w:line="232" w:lineRule="auto" w:before="62"/>
              <w:ind w:left="92" w:right="4528"/>
              <w:rPr>
                <w:sz w:val="18"/>
              </w:rPr>
            </w:pPr>
            <w:r>
              <w:rPr>
                <w:color w:val="105C84"/>
                <w:sz w:val="18"/>
              </w:rPr>
              <w:t>Minutes like those described</w:t>
            </w:r>
            <w:r>
              <w:rPr>
                <w:color w:val="105C84"/>
                <w:spacing w:val="-12"/>
                <w:sz w:val="18"/>
              </w:rPr>
              <w:t> </w:t>
            </w:r>
            <w:r>
              <w:rPr>
                <w:color w:val="105C84"/>
                <w:sz w:val="18"/>
              </w:rPr>
              <w:t>in</w:t>
            </w:r>
            <w:r>
              <w:rPr>
                <w:color w:val="105C84"/>
                <w:spacing w:val="-12"/>
                <w:sz w:val="18"/>
              </w:rPr>
              <w:t> </w:t>
            </w:r>
            <w:r>
              <w:rPr>
                <w:color w:val="105C84"/>
                <w:sz w:val="18"/>
              </w:rPr>
              <w:t>Year</w:t>
            </w:r>
            <w:r>
              <w:rPr>
                <w:color w:val="105C84"/>
                <w:spacing w:val="-12"/>
                <w:sz w:val="18"/>
              </w:rPr>
              <w:t> </w:t>
            </w:r>
            <w:r>
              <w:rPr>
                <w:color w:val="105C84"/>
                <w:spacing w:val="-10"/>
                <w:sz w:val="18"/>
              </w:rPr>
              <w:t>2</w:t>
            </w:r>
          </w:p>
        </w:tc>
        <w:tc>
          <w:tcPr>
            <w:tcW w:w="2836" w:type="dxa"/>
          </w:tcPr>
          <w:p>
            <w:pPr>
              <w:pStyle w:val="TableParagraph"/>
              <w:spacing w:line="232" w:lineRule="auto" w:before="99"/>
              <w:ind w:left="93"/>
              <w:rPr>
                <w:sz w:val="18"/>
              </w:rPr>
            </w:pPr>
            <w:r>
              <w:rPr>
                <w:color w:val="105C84"/>
                <w:sz w:val="18"/>
              </w:rPr>
              <w:t>Increase tobacco cessation referrals</w:t>
            </w:r>
            <w:r>
              <w:rPr>
                <w:color w:val="105C84"/>
                <w:spacing w:val="-8"/>
                <w:sz w:val="18"/>
              </w:rPr>
              <w:t> </w:t>
            </w:r>
            <w:r>
              <w:rPr>
                <w:color w:val="105C84"/>
                <w:sz w:val="18"/>
              </w:rPr>
              <w:t>through</w:t>
            </w:r>
            <w:r>
              <w:rPr>
                <w:color w:val="105C84"/>
                <w:spacing w:val="-8"/>
                <w:sz w:val="18"/>
              </w:rPr>
              <w:t> </w:t>
            </w:r>
            <w:r>
              <w:rPr>
                <w:color w:val="105C84"/>
                <w:sz w:val="18"/>
              </w:rPr>
              <w:t>communication with health providers</w:t>
            </w:r>
          </w:p>
          <w:p>
            <w:pPr>
              <w:pStyle w:val="TableParagraph"/>
              <w:spacing w:line="232" w:lineRule="auto" w:before="88"/>
              <w:ind w:left="93" w:right="128" w:firstLine="46"/>
              <w:rPr>
                <w:sz w:val="18"/>
              </w:rPr>
            </w:pPr>
            <w:r>
              <w:rPr>
                <w:color w:val="105C84"/>
                <w:w w:val="105"/>
                <w:sz w:val="18"/>
              </w:rPr>
              <w:t>NWCH and CTFFL, with the support</w:t>
            </w:r>
            <w:r>
              <w:rPr>
                <w:color w:val="105C84"/>
                <w:spacing w:val="-1"/>
                <w:w w:val="105"/>
                <w:sz w:val="18"/>
              </w:rPr>
              <w:t> </w:t>
            </w:r>
            <w:r>
              <w:rPr>
                <w:color w:val="105C84"/>
                <w:w w:val="105"/>
                <w:sz w:val="18"/>
              </w:rPr>
              <w:t>of</w:t>
            </w:r>
            <w:r>
              <w:rPr>
                <w:color w:val="105C84"/>
                <w:spacing w:val="-1"/>
                <w:w w:val="105"/>
                <w:sz w:val="18"/>
              </w:rPr>
              <w:t> </w:t>
            </w:r>
            <w:r>
              <w:rPr>
                <w:color w:val="105C84"/>
                <w:w w:val="105"/>
                <w:sz w:val="18"/>
              </w:rPr>
              <w:t>WHIP,</w:t>
            </w:r>
            <w:r>
              <w:rPr>
                <w:color w:val="105C84"/>
                <w:spacing w:val="-1"/>
                <w:w w:val="105"/>
                <w:sz w:val="18"/>
              </w:rPr>
              <w:t> </w:t>
            </w:r>
            <w:r>
              <w:rPr>
                <w:color w:val="105C84"/>
                <w:w w:val="105"/>
                <w:sz w:val="18"/>
              </w:rPr>
              <w:t>will</w:t>
            </w:r>
            <w:r>
              <w:rPr>
                <w:color w:val="105C84"/>
                <w:spacing w:val="-1"/>
                <w:w w:val="105"/>
                <w:sz w:val="18"/>
              </w:rPr>
              <w:t> </w:t>
            </w:r>
            <w:r>
              <w:rPr>
                <w:color w:val="105C84"/>
                <w:w w:val="105"/>
                <w:sz w:val="18"/>
              </w:rPr>
              <w:t>create</w:t>
            </w:r>
            <w:r>
              <w:rPr>
                <w:color w:val="105C84"/>
                <w:spacing w:val="-1"/>
                <w:w w:val="105"/>
                <w:sz w:val="18"/>
              </w:rPr>
              <w:t> </w:t>
            </w:r>
            <w:r>
              <w:rPr>
                <w:color w:val="105C84"/>
                <w:w w:val="105"/>
                <w:sz w:val="18"/>
              </w:rPr>
              <w:t>a “prescription</w:t>
            </w:r>
            <w:r>
              <w:rPr>
                <w:color w:val="105C84"/>
                <w:spacing w:val="-14"/>
                <w:w w:val="105"/>
                <w:sz w:val="18"/>
              </w:rPr>
              <w:t> </w:t>
            </w:r>
            <w:r>
              <w:rPr>
                <w:color w:val="105C84"/>
                <w:w w:val="105"/>
                <w:sz w:val="18"/>
              </w:rPr>
              <w:t>pad”</w:t>
            </w:r>
            <w:r>
              <w:rPr>
                <w:color w:val="105C84"/>
                <w:spacing w:val="-13"/>
                <w:w w:val="105"/>
                <w:sz w:val="18"/>
              </w:rPr>
              <w:t> </w:t>
            </w:r>
            <w:r>
              <w:rPr>
                <w:color w:val="105C84"/>
                <w:w w:val="105"/>
                <w:sz w:val="18"/>
              </w:rPr>
              <w:t>for</w:t>
            </w:r>
            <w:r>
              <w:rPr>
                <w:color w:val="105C84"/>
                <w:spacing w:val="-13"/>
                <w:w w:val="105"/>
                <w:sz w:val="18"/>
              </w:rPr>
              <w:t> </w:t>
            </w:r>
            <w:r>
              <w:rPr>
                <w:color w:val="105C84"/>
                <w:w w:val="105"/>
                <w:sz w:val="18"/>
              </w:rPr>
              <w:t>providers to use with their smoking patients who are interested in </w:t>
            </w:r>
            <w:r>
              <w:rPr>
                <w:color w:val="105C84"/>
                <w:spacing w:val="-2"/>
                <w:w w:val="105"/>
                <w:sz w:val="18"/>
              </w:rPr>
              <w:t>quitting</w:t>
            </w:r>
          </w:p>
          <w:p>
            <w:pPr>
              <w:pStyle w:val="TableParagraph"/>
              <w:spacing w:line="232" w:lineRule="auto" w:before="85"/>
              <w:ind w:left="93"/>
              <w:rPr>
                <w:sz w:val="18"/>
              </w:rPr>
            </w:pPr>
            <w:r>
              <w:rPr>
                <w:color w:val="105C84"/>
                <w:sz w:val="18"/>
              </w:rPr>
              <w:t>This may be part of the same prescription pad in </w:t>
            </w:r>
            <w:r>
              <w:rPr>
                <w:color w:val="105C84"/>
                <w:sz w:val="18"/>
              </w:rPr>
              <w:t>Intervention</w:t>
            </w:r>
          </w:p>
          <w:p>
            <w:pPr>
              <w:pStyle w:val="TableParagraph"/>
              <w:spacing w:line="232" w:lineRule="auto"/>
              <w:ind w:left="93" w:right="323"/>
              <w:rPr>
                <w:sz w:val="18"/>
              </w:rPr>
            </w:pPr>
            <w:r>
              <w:rPr>
                <w:color w:val="105C84"/>
                <w:sz w:val="18"/>
              </w:rPr>
              <w:t>1.1.5</w:t>
            </w:r>
            <w:r>
              <w:rPr>
                <w:color w:val="105C84"/>
                <w:spacing w:val="-15"/>
                <w:sz w:val="18"/>
              </w:rPr>
              <w:t> </w:t>
            </w:r>
            <w:r>
              <w:rPr>
                <w:color w:val="105C84"/>
                <w:sz w:val="18"/>
              </w:rPr>
              <w:t>for</w:t>
            </w:r>
            <w:r>
              <w:rPr>
                <w:color w:val="105C84"/>
                <w:spacing w:val="-12"/>
                <w:sz w:val="18"/>
              </w:rPr>
              <w:t> </w:t>
            </w:r>
            <w:r>
              <w:rPr>
                <w:color w:val="105C84"/>
                <w:sz w:val="18"/>
              </w:rPr>
              <w:t>increasing</w:t>
            </w:r>
            <w:r>
              <w:rPr>
                <w:color w:val="105C84"/>
                <w:spacing w:val="-13"/>
                <w:sz w:val="18"/>
              </w:rPr>
              <w:t> </w:t>
            </w:r>
            <w:r>
              <w:rPr>
                <w:color w:val="105C84"/>
                <w:sz w:val="18"/>
              </w:rPr>
              <w:t>referrals</w:t>
            </w:r>
            <w:r>
              <w:rPr>
                <w:color w:val="105C84"/>
                <w:spacing w:val="-12"/>
                <w:sz w:val="18"/>
              </w:rPr>
              <w:t> </w:t>
            </w:r>
            <w:r>
              <w:rPr>
                <w:color w:val="105C84"/>
                <w:sz w:val="18"/>
              </w:rPr>
              <w:t>to</w:t>
            </w:r>
            <w:r>
              <w:rPr>
                <w:color w:val="105C84"/>
                <w:sz w:val="18"/>
              </w:rPr>
              <w:t> CDSM courses</w:t>
            </w:r>
          </w:p>
          <w:p>
            <w:pPr>
              <w:pStyle w:val="TableParagraph"/>
              <w:spacing w:line="232" w:lineRule="auto" w:before="87"/>
              <w:ind w:left="93"/>
              <w:rPr>
                <w:sz w:val="18"/>
              </w:rPr>
            </w:pPr>
            <w:r>
              <w:rPr>
                <w:color w:val="105C84"/>
                <w:w w:val="105"/>
                <w:sz w:val="18"/>
              </w:rPr>
              <w:t>The prescription pad is a small sheet distributed to providers’ </w:t>
            </w:r>
            <w:r>
              <w:rPr>
                <w:color w:val="105C84"/>
                <w:sz w:val="18"/>
              </w:rPr>
              <w:t>offices</w:t>
            </w:r>
            <w:r>
              <w:rPr>
                <w:color w:val="105C84"/>
                <w:spacing w:val="-15"/>
                <w:sz w:val="18"/>
              </w:rPr>
              <w:t> </w:t>
            </w:r>
            <w:r>
              <w:rPr>
                <w:color w:val="105C84"/>
                <w:sz w:val="18"/>
              </w:rPr>
              <w:t>which</w:t>
            </w:r>
            <w:r>
              <w:rPr>
                <w:color w:val="105C84"/>
                <w:spacing w:val="-12"/>
                <w:sz w:val="18"/>
              </w:rPr>
              <w:t> </w:t>
            </w:r>
            <w:r>
              <w:rPr>
                <w:color w:val="105C84"/>
                <w:sz w:val="18"/>
              </w:rPr>
              <w:t>makes</w:t>
            </w:r>
            <w:r>
              <w:rPr>
                <w:color w:val="105C84"/>
                <w:spacing w:val="-13"/>
                <w:sz w:val="18"/>
              </w:rPr>
              <w:t> </w:t>
            </w:r>
            <w:r>
              <w:rPr>
                <w:color w:val="105C84"/>
                <w:sz w:val="18"/>
              </w:rPr>
              <w:t>it</w:t>
            </w:r>
            <w:r>
              <w:rPr>
                <w:color w:val="105C84"/>
                <w:spacing w:val="-12"/>
                <w:sz w:val="18"/>
              </w:rPr>
              <w:t> </w:t>
            </w:r>
            <w:r>
              <w:rPr>
                <w:color w:val="105C84"/>
                <w:sz w:val="18"/>
              </w:rPr>
              <w:t>convenient </w:t>
            </w:r>
            <w:r>
              <w:rPr>
                <w:color w:val="105C84"/>
                <w:w w:val="105"/>
                <w:sz w:val="18"/>
              </w:rPr>
              <w:t>for them to check off the appropriate</w:t>
            </w:r>
            <w:r>
              <w:rPr>
                <w:color w:val="105C84"/>
                <w:spacing w:val="-5"/>
                <w:w w:val="105"/>
                <w:sz w:val="18"/>
              </w:rPr>
              <w:t> </w:t>
            </w:r>
            <w:r>
              <w:rPr>
                <w:color w:val="105C84"/>
                <w:w w:val="105"/>
                <w:sz w:val="18"/>
              </w:rPr>
              <w:t>program(s)</w:t>
            </w:r>
            <w:r>
              <w:rPr>
                <w:color w:val="105C84"/>
                <w:spacing w:val="-5"/>
                <w:w w:val="105"/>
                <w:sz w:val="18"/>
              </w:rPr>
              <w:t> </w:t>
            </w:r>
            <w:r>
              <w:rPr>
                <w:color w:val="105C84"/>
                <w:w w:val="105"/>
                <w:sz w:val="18"/>
              </w:rPr>
              <w:t>for</w:t>
            </w:r>
            <w:r>
              <w:rPr>
                <w:color w:val="105C84"/>
                <w:spacing w:val="-5"/>
                <w:w w:val="105"/>
                <w:sz w:val="18"/>
              </w:rPr>
              <w:t> </w:t>
            </w:r>
            <w:r>
              <w:rPr>
                <w:color w:val="105C84"/>
                <w:w w:val="105"/>
                <w:sz w:val="18"/>
              </w:rPr>
              <w:t>their patient, fill in their information (including consent to share it), and then fax the form to the appropriate agency so that the agency with the service can reach out to the patient directly</w:t>
            </w:r>
          </w:p>
        </w:tc>
        <w:tc>
          <w:tcPr>
            <w:tcW w:w="2188" w:type="dxa"/>
          </w:tcPr>
          <w:p>
            <w:pPr>
              <w:pStyle w:val="TableParagraph"/>
              <w:spacing w:line="203" w:lineRule="exact" w:before="94"/>
              <w:ind w:left="93"/>
              <w:rPr>
                <w:sz w:val="18"/>
              </w:rPr>
            </w:pPr>
            <w:r>
              <w:rPr>
                <w:color w:val="105C84"/>
                <w:spacing w:val="-4"/>
                <w:sz w:val="18"/>
              </w:rPr>
              <w:t>NWCH, CTTFL,</w:t>
            </w:r>
            <w:r>
              <w:rPr>
                <w:color w:val="105C84"/>
                <w:spacing w:val="-3"/>
                <w:sz w:val="18"/>
              </w:rPr>
              <w:t> </w:t>
            </w:r>
            <w:r>
              <w:rPr>
                <w:color w:val="105C84"/>
                <w:spacing w:val="-5"/>
                <w:sz w:val="18"/>
              </w:rPr>
              <w:t>and</w:t>
            </w:r>
          </w:p>
          <w:p>
            <w:pPr>
              <w:pStyle w:val="TableParagraph"/>
              <w:spacing w:line="232" w:lineRule="auto" w:before="1"/>
              <w:ind w:left="93"/>
              <w:rPr>
                <w:sz w:val="18"/>
              </w:rPr>
            </w:pPr>
            <w:r>
              <w:rPr>
                <w:color w:val="105C84"/>
                <w:w w:val="105"/>
                <w:sz w:val="18"/>
              </w:rPr>
              <w:t>WHIP agencies with access to health care providers to continue promoting</w:t>
            </w:r>
            <w:r>
              <w:rPr>
                <w:color w:val="105C84"/>
                <w:spacing w:val="-1"/>
                <w:w w:val="105"/>
                <w:sz w:val="18"/>
              </w:rPr>
              <w:t> </w:t>
            </w:r>
            <w:r>
              <w:rPr>
                <w:color w:val="105C84"/>
                <w:w w:val="105"/>
                <w:sz w:val="18"/>
              </w:rPr>
              <w:t>the “prescription</w:t>
            </w:r>
            <w:r>
              <w:rPr>
                <w:color w:val="105C84"/>
                <w:spacing w:val="-14"/>
                <w:w w:val="105"/>
                <w:sz w:val="18"/>
              </w:rPr>
              <w:t> </w:t>
            </w:r>
            <w:r>
              <w:rPr>
                <w:color w:val="105C84"/>
                <w:w w:val="105"/>
                <w:sz w:val="18"/>
              </w:rPr>
              <w:t>pad”;</w:t>
            </w:r>
            <w:r>
              <w:rPr>
                <w:color w:val="105C84"/>
                <w:spacing w:val="-13"/>
                <w:w w:val="105"/>
                <w:sz w:val="18"/>
              </w:rPr>
              <w:t> </w:t>
            </w:r>
            <w:r>
              <w:rPr>
                <w:color w:val="105C84"/>
                <w:w w:val="105"/>
                <w:sz w:val="18"/>
              </w:rPr>
              <w:t>and address barriers to its use identified in 2020</w:t>
            </w:r>
          </w:p>
          <w:p>
            <w:pPr>
              <w:pStyle w:val="TableParagraph"/>
              <w:spacing w:line="232" w:lineRule="auto" w:before="85"/>
              <w:ind w:left="93" w:right="514"/>
              <w:rPr>
                <w:sz w:val="18"/>
              </w:rPr>
            </w:pPr>
            <w:r>
              <w:rPr>
                <w:color w:val="105C84"/>
                <w:sz w:val="18"/>
              </w:rPr>
              <w:t>The prescription pad</w:t>
            </w:r>
            <w:r>
              <w:rPr>
                <w:color w:val="105C84"/>
                <w:spacing w:val="-15"/>
                <w:sz w:val="18"/>
              </w:rPr>
              <w:t> </w:t>
            </w:r>
            <w:r>
              <w:rPr>
                <w:color w:val="105C84"/>
                <w:sz w:val="18"/>
              </w:rPr>
              <w:t>is</w:t>
            </w:r>
            <w:r>
              <w:rPr>
                <w:color w:val="105C84"/>
                <w:spacing w:val="-12"/>
                <w:sz w:val="18"/>
              </w:rPr>
              <w:t> </w:t>
            </w:r>
            <w:r>
              <w:rPr>
                <w:color w:val="105C84"/>
                <w:sz w:val="18"/>
              </w:rPr>
              <w:t>a</w:t>
            </w:r>
            <w:r>
              <w:rPr>
                <w:color w:val="105C84"/>
                <w:spacing w:val="-13"/>
                <w:sz w:val="18"/>
              </w:rPr>
              <w:t> </w:t>
            </w:r>
            <w:r>
              <w:rPr>
                <w:color w:val="105C84"/>
                <w:sz w:val="18"/>
              </w:rPr>
              <w:t>small</w:t>
            </w:r>
            <w:r>
              <w:rPr>
                <w:color w:val="105C84"/>
                <w:spacing w:val="-12"/>
                <w:sz w:val="18"/>
              </w:rPr>
              <w:t> </w:t>
            </w:r>
            <w:r>
              <w:rPr>
                <w:color w:val="105C84"/>
                <w:sz w:val="18"/>
              </w:rPr>
              <w:t>sheet</w:t>
            </w:r>
          </w:p>
          <w:p>
            <w:pPr>
              <w:pStyle w:val="TableParagraph"/>
              <w:spacing w:line="232" w:lineRule="auto"/>
              <w:ind w:left="93"/>
              <w:rPr>
                <w:sz w:val="18"/>
              </w:rPr>
            </w:pPr>
            <w:r>
              <w:rPr>
                <w:color w:val="105C84"/>
                <w:w w:val="105"/>
                <w:sz w:val="18"/>
              </w:rPr>
              <w:t>distributed to providers’ offices which makes it convenient for them to </w:t>
            </w:r>
            <w:r>
              <w:rPr>
                <w:color w:val="105C84"/>
                <w:sz w:val="18"/>
              </w:rPr>
              <w:t>check</w:t>
            </w:r>
            <w:r>
              <w:rPr>
                <w:color w:val="105C84"/>
                <w:spacing w:val="-4"/>
                <w:sz w:val="18"/>
              </w:rPr>
              <w:t> </w:t>
            </w:r>
            <w:r>
              <w:rPr>
                <w:color w:val="105C84"/>
                <w:sz w:val="18"/>
              </w:rPr>
              <w:t>off</w:t>
            </w:r>
            <w:r>
              <w:rPr>
                <w:color w:val="105C84"/>
                <w:spacing w:val="-4"/>
                <w:sz w:val="18"/>
              </w:rPr>
              <w:t> </w:t>
            </w:r>
            <w:r>
              <w:rPr>
                <w:color w:val="105C84"/>
                <w:sz w:val="18"/>
              </w:rPr>
              <w:t>the</w:t>
            </w:r>
            <w:r>
              <w:rPr>
                <w:color w:val="105C84"/>
                <w:spacing w:val="-4"/>
                <w:sz w:val="18"/>
              </w:rPr>
              <w:t> </w:t>
            </w:r>
            <w:r>
              <w:rPr>
                <w:color w:val="105C84"/>
                <w:sz w:val="18"/>
              </w:rPr>
              <w:t>appropriate </w:t>
            </w:r>
            <w:r>
              <w:rPr>
                <w:color w:val="105C84"/>
                <w:w w:val="105"/>
                <w:sz w:val="18"/>
              </w:rPr>
              <w:t>program(s) for their patient, fill in their information</w:t>
            </w:r>
            <w:r>
              <w:rPr>
                <w:color w:val="105C84"/>
                <w:spacing w:val="-1"/>
                <w:w w:val="105"/>
                <w:sz w:val="18"/>
              </w:rPr>
              <w:t> </w:t>
            </w:r>
            <w:r>
              <w:rPr>
                <w:color w:val="105C84"/>
                <w:w w:val="105"/>
                <w:sz w:val="18"/>
              </w:rPr>
              <w:t>(including consent</w:t>
            </w:r>
            <w:r>
              <w:rPr>
                <w:color w:val="105C84"/>
                <w:spacing w:val="-14"/>
                <w:w w:val="105"/>
                <w:sz w:val="18"/>
              </w:rPr>
              <w:t> </w:t>
            </w:r>
            <w:r>
              <w:rPr>
                <w:color w:val="105C84"/>
                <w:w w:val="105"/>
                <w:sz w:val="18"/>
              </w:rPr>
              <w:t>to</w:t>
            </w:r>
            <w:r>
              <w:rPr>
                <w:color w:val="105C84"/>
                <w:spacing w:val="-13"/>
                <w:w w:val="105"/>
                <w:sz w:val="18"/>
              </w:rPr>
              <w:t> </w:t>
            </w:r>
            <w:r>
              <w:rPr>
                <w:color w:val="105C84"/>
                <w:w w:val="105"/>
                <w:sz w:val="18"/>
              </w:rPr>
              <w:t>share</w:t>
            </w:r>
            <w:r>
              <w:rPr>
                <w:color w:val="105C84"/>
                <w:spacing w:val="-13"/>
                <w:w w:val="105"/>
                <w:sz w:val="18"/>
              </w:rPr>
              <w:t> </w:t>
            </w:r>
            <w:r>
              <w:rPr>
                <w:color w:val="105C84"/>
                <w:w w:val="105"/>
                <w:sz w:val="18"/>
              </w:rPr>
              <w:t>it),</w:t>
            </w:r>
            <w:r>
              <w:rPr>
                <w:color w:val="105C84"/>
                <w:spacing w:val="-13"/>
                <w:w w:val="105"/>
                <w:sz w:val="18"/>
              </w:rPr>
              <w:t> </w:t>
            </w:r>
            <w:r>
              <w:rPr>
                <w:color w:val="105C84"/>
                <w:w w:val="105"/>
                <w:sz w:val="18"/>
              </w:rPr>
              <w:t>and then fax the form to the appropriate agency so that</w:t>
            </w:r>
            <w:r>
              <w:rPr>
                <w:color w:val="105C84"/>
                <w:spacing w:val="-7"/>
                <w:w w:val="105"/>
                <w:sz w:val="18"/>
              </w:rPr>
              <w:t> </w:t>
            </w:r>
            <w:r>
              <w:rPr>
                <w:color w:val="105C84"/>
                <w:w w:val="105"/>
                <w:sz w:val="18"/>
              </w:rPr>
              <w:t>the</w:t>
            </w:r>
            <w:r>
              <w:rPr>
                <w:color w:val="105C84"/>
                <w:spacing w:val="-7"/>
                <w:w w:val="105"/>
                <w:sz w:val="18"/>
              </w:rPr>
              <w:t> </w:t>
            </w:r>
            <w:r>
              <w:rPr>
                <w:color w:val="105C84"/>
                <w:w w:val="105"/>
                <w:sz w:val="18"/>
              </w:rPr>
              <w:t>agency</w:t>
            </w:r>
            <w:r>
              <w:rPr>
                <w:color w:val="105C84"/>
                <w:spacing w:val="-7"/>
                <w:w w:val="105"/>
                <w:sz w:val="18"/>
              </w:rPr>
              <w:t> </w:t>
            </w:r>
            <w:r>
              <w:rPr>
                <w:color w:val="105C84"/>
                <w:w w:val="105"/>
                <w:sz w:val="18"/>
              </w:rPr>
              <w:t>with</w:t>
            </w:r>
            <w:r>
              <w:rPr>
                <w:color w:val="105C84"/>
                <w:spacing w:val="-7"/>
                <w:w w:val="105"/>
                <w:sz w:val="18"/>
              </w:rPr>
              <w:t> </w:t>
            </w:r>
            <w:r>
              <w:rPr>
                <w:color w:val="105C84"/>
                <w:w w:val="105"/>
                <w:sz w:val="18"/>
              </w:rPr>
              <w:t>the service</w:t>
            </w:r>
            <w:r>
              <w:rPr>
                <w:color w:val="105C84"/>
                <w:spacing w:val="-9"/>
                <w:w w:val="105"/>
                <w:sz w:val="18"/>
              </w:rPr>
              <w:t> </w:t>
            </w:r>
            <w:r>
              <w:rPr>
                <w:color w:val="105C84"/>
                <w:w w:val="105"/>
                <w:sz w:val="18"/>
              </w:rPr>
              <w:t>can</w:t>
            </w:r>
            <w:r>
              <w:rPr>
                <w:color w:val="105C84"/>
                <w:spacing w:val="-9"/>
                <w:w w:val="105"/>
                <w:sz w:val="18"/>
              </w:rPr>
              <w:t> </w:t>
            </w:r>
            <w:r>
              <w:rPr>
                <w:color w:val="105C84"/>
                <w:w w:val="105"/>
                <w:sz w:val="18"/>
              </w:rPr>
              <w:t>reach</w:t>
            </w:r>
            <w:r>
              <w:rPr>
                <w:color w:val="105C84"/>
                <w:spacing w:val="-9"/>
                <w:w w:val="105"/>
                <w:sz w:val="18"/>
              </w:rPr>
              <w:t> </w:t>
            </w:r>
            <w:r>
              <w:rPr>
                <w:color w:val="105C84"/>
                <w:w w:val="105"/>
                <w:sz w:val="18"/>
              </w:rPr>
              <w:t>out</w:t>
            </w:r>
            <w:r>
              <w:rPr>
                <w:color w:val="105C84"/>
                <w:spacing w:val="-9"/>
                <w:w w:val="105"/>
                <w:sz w:val="18"/>
              </w:rPr>
              <w:t> </w:t>
            </w:r>
            <w:r>
              <w:rPr>
                <w:color w:val="105C84"/>
                <w:w w:val="105"/>
                <w:sz w:val="18"/>
              </w:rPr>
              <w:t>to the patient directly</w:t>
            </w:r>
          </w:p>
        </w:tc>
        <w:tc>
          <w:tcPr>
            <w:tcW w:w="1497" w:type="dxa"/>
          </w:tcPr>
          <w:p>
            <w:pPr>
              <w:pStyle w:val="TableParagraph"/>
              <w:spacing w:before="93"/>
              <w:ind w:left="94"/>
              <w:rPr>
                <w:sz w:val="18"/>
              </w:rPr>
            </w:pPr>
            <w:r>
              <w:rPr>
                <w:color w:val="105C84"/>
                <w:spacing w:val="-2"/>
                <w:sz w:val="18"/>
              </w:rPr>
              <w:t>Hospital</w:t>
            </w:r>
          </w:p>
        </w:tc>
        <w:tc>
          <w:tcPr>
            <w:tcW w:w="1413" w:type="dxa"/>
          </w:tcPr>
          <w:p>
            <w:pPr>
              <w:pStyle w:val="TableParagraph"/>
              <w:spacing w:line="232" w:lineRule="auto" w:before="98"/>
              <w:ind w:left="95" w:right="72"/>
              <w:rPr>
                <w:sz w:val="18"/>
              </w:rPr>
            </w:pPr>
            <w:r>
              <w:rPr>
                <w:color w:val="105C84"/>
                <w:sz w:val="18"/>
              </w:rPr>
              <w:t>For partner roles, see projected</w:t>
            </w:r>
            <w:r>
              <w:rPr>
                <w:color w:val="105C84"/>
                <w:spacing w:val="-13"/>
                <w:sz w:val="18"/>
              </w:rPr>
              <w:t> </w:t>
            </w:r>
            <w:r>
              <w:rPr>
                <w:color w:val="105C84"/>
                <w:sz w:val="18"/>
              </w:rPr>
              <w:t>year </w:t>
            </w:r>
            <w:r>
              <w:rPr>
                <w:color w:val="105C84"/>
                <w:spacing w:val="-2"/>
                <w:sz w:val="18"/>
              </w:rPr>
              <w:t>columns</w:t>
            </w:r>
          </w:p>
          <w:p>
            <w:pPr>
              <w:pStyle w:val="TableParagraph"/>
              <w:spacing w:line="232" w:lineRule="auto" w:before="87"/>
              <w:ind w:left="95" w:right="72"/>
              <w:rPr>
                <w:sz w:val="18"/>
              </w:rPr>
            </w:pPr>
            <w:r>
              <w:rPr>
                <w:color w:val="105C84"/>
                <w:spacing w:val="-2"/>
                <w:sz w:val="18"/>
              </w:rPr>
              <w:t>Resources: coordination, </w:t>
            </w:r>
            <w:r>
              <w:rPr>
                <w:color w:val="105C84"/>
                <w:sz w:val="18"/>
              </w:rPr>
              <w:t>access to </w:t>
            </w:r>
            <w:r>
              <w:rPr>
                <w:color w:val="105C84"/>
                <w:spacing w:val="-2"/>
                <w:sz w:val="18"/>
              </w:rPr>
              <w:t>providers, prescription </w:t>
            </w:r>
            <w:r>
              <w:rPr>
                <w:color w:val="105C84"/>
                <w:spacing w:val="-4"/>
                <w:sz w:val="18"/>
              </w:rPr>
              <w:t>pads</w:t>
            </w:r>
          </w:p>
        </w:tc>
      </w:tr>
      <w:tr>
        <w:trPr>
          <w:trHeight w:val="5730" w:hRule="atLeast"/>
        </w:trPr>
        <w:tc>
          <w:tcPr>
            <w:tcW w:w="1180" w:type="dxa"/>
            <w:vMerge/>
            <w:tcBorders>
              <w:top w:val="nil"/>
            </w:tcBorders>
            <w:shd w:val="clear" w:color="auto" w:fill="E6E7E8"/>
          </w:tcPr>
          <w:p>
            <w:pPr>
              <w:rPr>
                <w:sz w:val="2"/>
                <w:szCs w:val="2"/>
              </w:rPr>
            </w:pPr>
          </w:p>
        </w:tc>
        <w:tc>
          <w:tcPr>
            <w:tcW w:w="1267" w:type="dxa"/>
            <w:vMerge/>
            <w:tcBorders>
              <w:top w:val="nil"/>
            </w:tcBorders>
          </w:tcPr>
          <w:p>
            <w:pPr>
              <w:rPr>
                <w:sz w:val="2"/>
                <w:szCs w:val="2"/>
              </w:rPr>
            </w:pPr>
          </w:p>
        </w:tc>
        <w:tc>
          <w:tcPr>
            <w:tcW w:w="1440" w:type="dxa"/>
          </w:tcPr>
          <w:p>
            <w:pPr>
              <w:pStyle w:val="TableParagraph"/>
              <w:spacing w:line="232" w:lineRule="auto" w:before="98"/>
              <w:ind w:left="90" w:right="362"/>
              <w:rPr>
                <w:sz w:val="18"/>
              </w:rPr>
            </w:pPr>
            <w:r>
              <w:rPr>
                <w:color w:val="105C84"/>
                <w:sz w:val="18"/>
              </w:rPr>
              <w:t>Goal 3.2: </w:t>
            </w:r>
            <w:r>
              <w:rPr>
                <w:color w:val="105C84"/>
                <w:spacing w:val="-2"/>
                <w:sz w:val="18"/>
              </w:rPr>
              <w:t>Promote </w:t>
            </w:r>
            <w:r>
              <w:rPr>
                <w:color w:val="105C84"/>
                <w:sz w:val="18"/>
              </w:rPr>
              <w:t>tobacco</w:t>
            </w:r>
            <w:r>
              <w:rPr>
                <w:color w:val="105C84"/>
                <w:spacing w:val="-13"/>
                <w:sz w:val="18"/>
              </w:rPr>
              <w:t> </w:t>
            </w:r>
            <w:r>
              <w:rPr>
                <w:color w:val="105C84"/>
                <w:sz w:val="18"/>
              </w:rPr>
              <w:t>use </w:t>
            </w:r>
            <w:r>
              <w:rPr>
                <w:color w:val="105C84"/>
                <w:spacing w:val="-2"/>
                <w:sz w:val="18"/>
              </w:rPr>
              <w:t>cessation</w:t>
            </w:r>
          </w:p>
        </w:tc>
        <w:tc>
          <w:tcPr>
            <w:tcW w:w="1411" w:type="dxa"/>
          </w:tcPr>
          <w:p>
            <w:pPr>
              <w:pStyle w:val="TableParagraph"/>
              <w:spacing w:line="232" w:lineRule="auto" w:before="98"/>
              <w:ind w:left="90" w:right="210"/>
              <w:rPr>
                <w:sz w:val="18"/>
              </w:rPr>
            </w:pPr>
            <w:r>
              <w:rPr>
                <w:color w:val="105C84"/>
                <w:spacing w:val="-6"/>
                <w:sz w:val="18"/>
              </w:rPr>
              <w:t>3.2.8</w:t>
            </w:r>
            <w:r>
              <w:rPr>
                <w:color w:val="105C84"/>
                <w:spacing w:val="-7"/>
                <w:sz w:val="18"/>
              </w:rPr>
              <w:t> </w:t>
            </w:r>
            <w:r>
              <w:rPr>
                <w:color w:val="105C84"/>
                <w:spacing w:val="-6"/>
                <w:sz w:val="18"/>
              </w:rPr>
              <w:t>Increas</w:t>
            </w:r>
            <w:r>
              <w:rPr>
                <w:color w:val="105C84"/>
                <w:spacing w:val="-6"/>
                <w:sz w:val="18"/>
              </w:rPr>
              <w:t>e</w:t>
            </w:r>
            <w:r>
              <w:rPr>
                <w:color w:val="105C84"/>
                <w:spacing w:val="-6"/>
                <w:sz w:val="18"/>
              </w:rPr>
              <w:t> </w:t>
            </w:r>
            <w:r>
              <w:rPr>
                <w:color w:val="105C84"/>
                <w:sz w:val="18"/>
              </w:rPr>
              <w:t>the</w:t>
            </w:r>
            <w:r>
              <w:rPr>
                <w:color w:val="105C84"/>
                <w:spacing w:val="-6"/>
                <w:sz w:val="18"/>
              </w:rPr>
              <w:t> </w:t>
            </w:r>
            <w:r>
              <w:rPr>
                <w:color w:val="105C84"/>
                <w:sz w:val="18"/>
              </w:rPr>
              <w:t>utilization</w:t>
            </w:r>
            <w:r>
              <w:rPr>
                <w:color w:val="105C84"/>
                <w:sz w:val="18"/>
              </w:rPr>
              <w:t> of smoking </w:t>
            </w:r>
            <w:r>
              <w:rPr>
                <w:color w:val="105C84"/>
                <w:spacing w:val="-2"/>
                <w:sz w:val="18"/>
              </w:rPr>
              <w:t>cessation benefits (counseling and/or medications) among smokers </w:t>
            </w:r>
            <w:r>
              <w:rPr>
                <w:color w:val="105C84"/>
                <w:sz w:val="18"/>
              </w:rPr>
              <w:t>enrolled in any</w:t>
            </w:r>
            <w:r>
              <w:rPr>
                <w:color w:val="105C84"/>
                <w:spacing w:val="-13"/>
                <w:sz w:val="18"/>
              </w:rPr>
              <w:t> </w:t>
            </w:r>
            <w:r>
              <w:rPr>
                <w:color w:val="105C84"/>
                <w:sz w:val="18"/>
              </w:rPr>
              <w:t>Medicaid </w:t>
            </w:r>
            <w:r>
              <w:rPr>
                <w:color w:val="105C84"/>
                <w:spacing w:val="-2"/>
                <w:sz w:val="18"/>
              </w:rPr>
              <w:t>program</w:t>
            </w:r>
          </w:p>
        </w:tc>
        <w:tc>
          <w:tcPr>
            <w:tcW w:w="1065" w:type="dxa"/>
          </w:tcPr>
          <w:p>
            <w:pPr>
              <w:pStyle w:val="TableParagraph"/>
              <w:rPr>
                <w:rFonts w:ascii="Times New Roman"/>
                <w:sz w:val="18"/>
              </w:rPr>
            </w:pPr>
          </w:p>
        </w:tc>
        <w:tc>
          <w:tcPr>
            <w:tcW w:w="1900" w:type="dxa"/>
          </w:tcPr>
          <w:p>
            <w:pPr>
              <w:pStyle w:val="TableParagraph"/>
              <w:spacing w:line="203" w:lineRule="exact" w:before="93"/>
              <w:ind w:left="91"/>
              <w:rPr>
                <w:sz w:val="18"/>
              </w:rPr>
            </w:pPr>
            <w:r>
              <w:rPr>
                <w:color w:val="105C84"/>
                <w:spacing w:val="-2"/>
                <w:sz w:val="18"/>
              </w:rPr>
              <w:t>Intervention</w:t>
            </w:r>
          </w:p>
          <w:p>
            <w:pPr>
              <w:pStyle w:val="TableParagraph"/>
              <w:spacing w:line="232" w:lineRule="auto" w:before="2"/>
              <w:ind w:left="91" w:right="445"/>
              <w:rPr>
                <w:sz w:val="18"/>
              </w:rPr>
            </w:pPr>
            <w:r>
              <w:rPr>
                <w:color w:val="105C84"/>
                <w:sz w:val="18"/>
              </w:rPr>
              <w:t>3.2.3:</w:t>
            </w:r>
            <w:r>
              <w:rPr>
                <w:color w:val="105C84"/>
                <w:spacing w:val="-15"/>
                <w:sz w:val="18"/>
              </w:rPr>
              <w:t> </w:t>
            </w:r>
            <w:r>
              <w:rPr>
                <w:color w:val="105C84"/>
                <w:sz w:val="18"/>
              </w:rPr>
              <w:t>Use</w:t>
            </w:r>
            <w:r>
              <w:rPr>
                <w:color w:val="105C84"/>
                <w:spacing w:val="-12"/>
                <w:sz w:val="18"/>
              </w:rPr>
              <w:t> </w:t>
            </w:r>
            <w:r>
              <w:rPr>
                <w:color w:val="105C84"/>
                <w:sz w:val="18"/>
              </w:rPr>
              <w:t>health </w:t>
            </w:r>
            <w:r>
              <w:rPr>
                <w:color w:val="105C84"/>
                <w:spacing w:val="-2"/>
                <w:sz w:val="18"/>
              </w:rPr>
              <w:t>communications </w:t>
            </w:r>
            <w:r>
              <w:rPr>
                <w:color w:val="105C84"/>
                <w:sz w:val="18"/>
              </w:rPr>
              <w:t>targeting health care</w:t>
            </w:r>
            <w:r>
              <w:rPr>
                <w:color w:val="105C84"/>
                <w:spacing w:val="-15"/>
                <w:sz w:val="18"/>
              </w:rPr>
              <w:t> </w:t>
            </w:r>
            <w:r>
              <w:rPr>
                <w:color w:val="105C84"/>
                <w:sz w:val="18"/>
              </w:rPr>
              <w:t>providers</w:t>
            </w:r>
            <w:r>
              <w:rPr>
                <w:color w:val="105C84"/>
                <w:spacing w:val="-12"/>
                <w:sz w:val="18"/>
              </w:rPr>
              <w:t> </w:t>
            </w:r>
            <w:r>
              <w:rPr>
                <w:color w:val="105C84"/>
                <w:sz w:val="18"/>
              </w:rPr>
              <w:t>to</w:t>
            </w:r>
            <w:r>
              <w:rPr>
                <w:color w:val="105C84"/>
                <w:sz w:val="18"/>
              </w:rPr>
              <w:t> encourage their involvement in their patients' quit attempts encouraging</w:t>
            </w:r>
            <w:r>
              <w:rPr>
                <w:color w:val="105C84"/>
                <w:spacing w:val="-13"/>
                <w:sz w:val="18"/>
              </w:rPr>
              <w:t> </w:t>
            </w:r>
            <w:r>
              <w:rPr>
                <w:color w:val="105C84"/>
                <w:sz w:val="18"/>
              </w:rPr>
              <w:t>use</w:t>
            </w:r>
          </w:p>
          <w:p>
            <w:pPr>
              <w:pStyle w:val="TableParagraph"/>
              <w:spacing w:line="232" w:lineRule="auto"/>
              <w:ind w:left="91" w:right="261"/>
              <w:rPr>
                <w:sz w:val="18"/>
              </w:rPr>
            </w:pPr>
            <w:r>
              <w:rPr>
                <w:color w:val="105C84"/>
                <w:sz w:val="18"/>
              </w:rPr>
              <w:t>of evidence-based quitting,</w:t>
            </w:r>
            <w:r>
              <w:rPr>
                <w:color w:val="105C84"/>
                <w:spacing w:val="-9"/>
                <w:sz w:val="18"/>
              </w:rPr>
              <w:t> </w:t>
            </w:r>
            <w:r>
              <w:rPr>
                <w:color w:val="105C84"/>
                <w:sz w:val="18"/>
              </w:rPr>
              <w:t>increasing awareness of available</w:t>
            </w:r>
            <w:r>
              <w:rPr>
                <w:color w:val="105C84"/>
                <w:spacing w:val="-13"/>
                <w:sz w:val="18"/>
              </w:rPr>
              <w:t> </w:t>
            </w:r>
            <w:r>
              <w:rPr>
                <w:color w:val="105C84"/>
                <w:sz w:val="18"/>
              </w:rPr>
              <w:t>cessation benefits</w:t>
            </w:r>
            <w:r>
              <w:rPr>
                <w:color w:val="105C84"/>
                <w:spacing w:val="-13"/>
                <w:sz w:val="18"/>
              </w:rPr>
              <w:t> </w:t>
            </w:r>
            <w:r>
              <w:rPr>
                <w:color w:val="105C84"/>
                <w:sz w:val="18"/>
              </w:rPr>
              <w:t>(especially medicaid), and removing barriers to treatment</w:t>
            </w:r>
          </w:p>
        </w:tc>
        <w:tc>
          <w:tcPr>
            <w:tcW w:w="6155" w:type="dxa"/>
          </w:tcPr>
          <w:p>
            <w:pPr>
              <w:pStyle w:val="TableParagraph"/>
              <w:tabs>
                <w:tab w:pos="3962" w:val="left" w:leader="none"/>
              </w:tabs>
              <w:spacing w:line="203" w:lineRule="exact" w:before="93"/>
              <w:ind w:left="92"/>
              <w:rPr>
                <w:sz w:val="18"/>
              </w:rPr>
            </w:pPr>
            <w:r>
              <w:rPr>
                <w:color w:val="105C84"/>
                <w:sz w:val="18"/>
              </w:rPr>
              <w:t>Metrics/Goals</w:t>
            </w:r>
            <w:r>
              <w:rPr>
                <w:color w:val="105C84"/>
                <w:spacing w:val="7"/>
                <w:sz w:val="18"/>
              </w:rPr>
              <w:t> </w:t>
            </w:r>
            <w:r>
              <w:rPr>
                <w:color w:val="105C84"/>
                <w:spacing w:val="-5"/>
                <w:sz w:val="18"/>
              </w:rPr>
              <w:t>for</w:t>
            </w:r>
            <w:r>
              <w:rPr>
                <w:color w:val="105C84"/>
                <w:sz w:val="18"/>
              </w:rPr>
              <w:tab/>
              <w:t>Continue</w:t>
            </w:r>
            <w:r>
              <w:rPr>
                <w:color w:val="105C84"/>
                <w:spacing w:val="9"/>
                <w:sz w:val="18"/>
              </w:rPr>
              <w:t> </w:t>
            </w:r>
            <w:r>
              <w:rPr>
                <w:color w:val="105C84"/>
                <w:sz w:val="18"/>
              </w:rPr>
              <w:t>to</w:t>
            </w:r>
            <w:r>
              <w:rPr>
                <w:color w:val="105C84"/>
                <w:spacing w:val="10"/>
                <w:sz w:val="18"/>
              </w:rPr>
              <w:t> </w:t>
            </w:r>
            <w:r>
              <w:rPr>
                <w:color w:val="105C84"/>
                <w:spacing w:val="-2"/>
                <w:sz w:val="18"/>
              </w:rPr>
              <w:t>promote</w:t>
            </w:r>
          </w:p>
          <w:p>
            <w:pPr>
              <w:pStyle w:val="TableParagraph"/>
              <w:tabs>
                <w:tab w:pos="3962" w:val="left" w:leader="none"/>
              </w:tabs>
              <w:spacing w:line="200" w:lineRule="exact"/>
              <w:ind w:left="92"/>
              <w:rPr>
                <w:sz w:val="18"/>
              </w:rPr>
            </w:pPr>
            <w:r>
              <w:rPr>
                <w:color w:val="105C84"/>
                <w:spacing w:val="-6"/>
                <w:sz w:val="18"/>
              </w:rPr>
              <w:t>Each</w:t>
            </w:r>
            <w:r>
              <w:rPr>
                <w:color w:val="105C84"/>
                <w:spacing w:val="-5"/>
                <w:sz w:val="18"/>
              </w:rPr>
              <w:t> </w:t>
            </w:r>
            <w:r>
              <w:rPr>
                <w:color w:val="105C84"/>
                <w:spacing w:val="-2"/>
                <w:sz w:val="18"/>
              </w:rPr>
              <w:t>Year:</w:t>
            </w:r>
            <w:r>
              <w:rPr>
                <w:color w:val="105C84"/>
                <w:sz w:val="18"/>
              </w:rPr>
              <w:tab/>
              <w:t>tobacco</w:t>
            </w:r>
            <w:r>
              <w:rPr>
                <w:color w:val="105C84"/>
                <w:spacing w:val="14"/>
                <w:sz w:val="18"/>
              </w:rPr>
              <w:t> </w:t>
            </w:r>
            <w:r>
              <w:rPr>
                <w:color w:val="105C84"/>
                <w:spacing w:val="-2"/>
                <w:sz w:val="18"/>
              </w:rPr>
              <w:t>cessation</w:t>
            </w:r>
          </w:p>
          <w:p>
            <w:pPr>
              <w:pStyle w:val="TableParagraph"/>
              <w:tabs>
                <w:tab w:pos="3962" w:val="left" w:leader="none"/>
              </w:tabs>
              <w:spacing w:line="148" w:lineRule="auto" w:before="26"/>
              <w:ind w:left="92"/>
              <w:rPr>
                <w:sz w:val="18"/>
              </w:rPr>
            </w:pPr>
            <w:r>
              <w:rPr>
                <w:color w:val="105C84"/>
                <w:position w:val="-8"/>
                <w:sz w:val="18"/>
              </w:rPr>
              <w:t>Number</w:t>
            </w:r>
            <w:r>
              <w:rPr>
                <w:color w:val="105C84"/>
                <w:spacing w:val="13"/>
                <w:position w:val="-8"/>
                <w:sz w:val="18"/>
              </w:rPr>
              <w:t> </w:t>
            </w:r>
            <w:r>
              <w:rPr>
                <w:color w:val="105C84"/>
                <w:position w:val="-8"/>
                <w:sz w:val="18"/>
              </w:rPr>
              <w:t>of</w:t>
            </w:r>
            <w:r>
              <w:rPr>
                <w:color w:val="105C84"/>
                <w:spacing w:val="13"/>
                <w:position w:val="-8"/>
                <w:sz w:val="18"/>
              </w:rPr>
              <w:t> </w:t>
            </w:r>
            <w:r>
              <w:rPr>
                <w:color w:val="105C84"/>
                <w:position w:val="-8"/>
                <w:sz w:val="18"/>
              </w:rPr>
              <w:t>Quit</w:t>
            </w:r>
            <w:r>
              <w:rPr>
                <w:color w:val="105C84"/>
                <w:spacing w:val="13"/>
                <w:position w:val="-8"/>
                <w:sz w:val="18"/>
              </w:rPr>
              <w:t> </w:t>
            </w:r>
            <w:r>
              <w:rPr>
                <w:color w:val="105C84"/>
                <w:spacing w:val="-4"/>
                <w:position w:val="-8"/>
                <w:sz w:val="18"/>
              </w:rPr>
              <w:t>Line</w:t>
            </w:r>
            <w:r>
              <w:rPr>
                <w:color w:val="105C84"/>
                <w:position w:val="-8"/>
                <w:sz w:val="18"/>
              </w:rPr>
              <w:tab/>
            </w:r>
            <w:r>
              <w:rPr>
                <w:color w:val="105C84"/>
                <w:sz w:val="18"/>
              </w:rPr>
              <w:t>referrals</w:t>
            </w:r>
            <w:r>
              <w:rPr>
                <w:color w:val="105C84"/>
                <w:spacing w:val="-6"/>
                <w:sz w:val="18"/>
              </w:rPr>
              <w:t> </w:t>
            </w:r>
            <w:r>
              <w:rPr>
                <w:color w:val="105C84"/>
                <w:sz w:val="18"/>
              </w:rPr>
              <w:t>to</w:t>
            </w:r>
            <w:r>
              <w:rPr>
                <w:color w:val="105C84"/>
                <w:spacing w:val="-5"/>
                <w:sz w:val="18"/>
              </w:rPr>
              <w:t> </w:t>
            </w:r>
            <w:r>
              <w:rPr>
                <w:color w:val="105C84"/>
                <w:sz w:val="18"/>
              </w:rPr>
              <w:t>health</w:t>
            </w:r>
            <w:r>
              <w:rPr>
                <w:color w:val="105C84"/>
                <w:spacing w:val="-5"/>
                <w:sz w:val="18"/>
              </w:rPr>
              <w:t> </w:t>
            </w:r>
            <w:r>
              <w:rPr>
                <w:color w:val="105C84"/>
                <w:spacing w:val="-4"/>
                <w:sz w:val="18"/>
              </w:rPr>
              <w:t>care</w:t>
            </w:r>
          </w:p>
          <w:p>
            <w:pPr>
              <w:pStyle w:val="TableParagraph"/>
              <w:tabs>
                <w:tab w:pos="3962" w:val="left" w:leader="none"/>
              </w:tabs>
              <w:spacing w:line="148" w:lineRule="auto"/>
              <w:ind w:left="92"/>
              <w:rPr>
                <w:sz w:val="18"/>
              </w:rPr>
            </w:pPr>
            <w:r>
              <w:rPr>
                <w:color w:val="105C84"/>
                <w:position w:val="-8"/>
                <w:sz w:val="18"/>
              </w:rPr>
              <w:t>callers</w:t>
            </w:r>
            <w:r>
              <w:rPr>
                <w:color w:val="105C84"/>
                <w:spacing w:val="-12"/>
                <w:position w:val="-8"/>
                <w:sz w:val="18"/>
              </w:rPr>
              <w:t> </w:t>
            </w:r>
            <w:r>
              <w:rPr>
                <w:color w:val="105C84"/>
                <w:position w:val="-8"/>
                <w:sz w:val="18"/>
              </w:rPr>
              <w:t>who</w:t>
            </w:r>
            <w:r>
              <w:rPr>
                <w:color w:val="105C84"/>
                <w:spacing w:val="-12"/>
                <w:position w:val="-8"/>
                <w:sz w:val="18"/>
              </w:rPr>
              <w:t> </w:t>
            </w:r>
            <w:r>
              <w:rPr>
                <w:color w:val="105C84"/>
                <w:spacing w:val="-2"/>
                <w:position w:val="-8"/>
                <w:sz w:val="18"/>
              </w:rPr>
              <w:t>heard</w:t>
            </w:r>
            <w:r>
              <w:rPr>
                <w:color w:val="105C84"/>
                <w:position w:val="-8"/>
                <w:sz w:val="18"/>
              </w:rPr>
              <w:tab/>
            </w:r>
            <w:r>
              <w:rPr>
                <w:color w:val="105C84"/>
                <w:sz w:val="18"/>
              </w:rPr>
              <w:t>providers</w:t>
            </w:r>
            <w:r>
              <w:rPr>
                <w:color w:val="105C84"/>
                <w:spacing w:val="-11"/>
                <w:sz w:val="18"/>
              </w:rPr>
              <w:t> </w:t>
            </w:r>
            <w:r>
              <w:rPr>
                <w:color w:val="105C84"/>
                <w:sz w:val="18"/>
              </w:rPr>
              <w:t>to</w:t>
            </w:r>
            <w:r>
              <w:rPr>
                <w:color w:val="105C84"/>
                <w:spacing w:val="-9"/>
                <w:sz w:val="18"/>
              </w:rPr>
              <w:t> </w:t>
            </w:r>
            <w:r>
              <w:rPr>
                <w:color w:val="105C84"/>
                <w:sz w:val="18"/>
              </w:rPr>
              <w:t>increase</w:t>
            </w:r>
            <w:r>
              <w:rPr>
                <w:color w:val="105C84"/>
                <w:spacing w:val="-8"/>
                <w:sz w:val="18"/>
              </w:rPr>
              <w:t> </w:t>
            </w:r>
            <w:r>
              <w:rPr>
                <w:color w:val="105C84"/>
                <w:spacing w:val="-5"/>
                <w:sz w:val="18"/>
              </w:rPr>
              <w:t>the</w:t>
            </w:r>
          </w:p>
          <w:p>
            <w:pPr>
              <w:pStyle w:val="TableParagraph"/>
              <w:tabs>
                <w:tab w:pos="3962" w:val="left" w:leader="none"/>
              </w:tabs>
              <w:spacing w:line="148" w:lineRule="auto"/>
              <w:ind w:left="92"/>
              <w:rPr>
                <w:sz w:val="18"/>
              </w:rPr>
            </w:pPr>
            <w:r>
              <w:rPr>
                <w:color w:val="105C84"/>
                <w:position w:val="-8"/>
                <w:sz w:val="18"/>
              </w:rPr>
              <w:t>about</w:t>
            </w:r>
            <w:r>
              <w:rPr>
                <w:color w:val="105C84"/>
                <w:spacing w:val="12"/>
                <w:position w:val="-8"/>
                <w:sz w:val="18"/>
              </w:rPr>
              <w:t> </w:t>
            </w:r>
            <w:r>
              <w:rPr>
                <w:color w:val="105C84"/>
                <w:position w:val="-8"/>
                <w:sz w:val="18"/>
              </w:rPr>
              <w:t>the</w:t>
            </w:r>
            <w:r>
              <w:rPr>
                <w:color w:val="105C84"/>
                <w:spacing w:val="12"/>
                <w:position w:val="-8"/>
                <w:sz w:val="18"/>
              </w:rPr>
              <w:t> </w:t>
            </w:r>
            <w:r>
              <w:rPr>
                <w:color w:val="105C84"/>
                <w:position w:val="-8"/>
                <w:sz w:val="18"/>
              </w:rPr>
              <w:t>Quit</w:t>
            </w:r>
            <w:r>
              <w:rPr>
                <w:color w:val="105C84"/>
                <w:spacing w:val="12"/>
                <w:position w:val="-8"/>
                <w:sz w:val="18"/>
              </w:rPr>
              <w:t> </w:t>
            </w:r>
            <w:r>
              <w:rPr>
                <w:color w:val="105C84"/>
                <w:spacing w:val="-4"/>
                <w:position w:val="-8"/>
                <w:sz w:val="18"/>
              </w:rPr>
              <w:t>Line</w:t>
            </w:r>
            <w:r>
              <w:rPr>
                <w:color w:val="105C84"/>
                <w:position w:val="-8"/>
                <w:sz w:val="18"/>
              </w:rPr>
              <w:tab/>
            </w:r>
            <w:r>
              <w:rPr>
                <w:color w:val="105C84"/>
                <w:sz w:val="18"/>
              </w:rPr>
              <w:t>number</w:t>
            </w:r>
            <w:r>
              <w:rPr>
                <w:color w:val="105C84"/>
                <w:spacing w:val="-2"/>
                <w:sz w:val="18"/>
              </w:rPr>
              <w:t> </w:t>
            </w:r>
            <w:r>
              <w:rPr>
                <w:color w:val="105C84"/>
                <w:sz w:val="18"/>
              </w:rPr>
              <w:t>of</w:t>
            </w:r>
            <w:r>
              <w:rPr>
                <w:color w:val="105C84"/>
                <w:spacing w:val="-1"/>
                <w:sz w:val="18"/>
              </w:rPr>
              <w:t> </w:t>
            </w:r>
            <w:r>
              <w:rPr>
                <w:color w:val="105C84"/>
                <w:sz w:val="18"/>
              </w:rPr>
              <w:t>persons</w:t>
            </w:r>
            <w:r>
              <w:rPr>
                <w:color w:val="105C84"/>
                <w:spacing w:val="-1"/>
                <w:sz w:val="18"/>
              </w:rPr>
              <w:t> </w:t>
            </w:r>
            <w:r>
              <w:rPr>
                <w:color w:val="105C84"/>
                <w:spacing w:val="-5"/>
                <w:sz w:val="18"/>
              </w:rPr>
              <w:t>who</w:t>
            </w:r>
          </w:p>
          <w:p>
            <w:pPr>
              <w:pStyle w:val="TableParagraph"/>
              <w:tabs>
                <w:tab w:pos="3962" w:val="left" w:leader="none"/>
              </w:tabs>
              <w:spacing w:line="148" w:lineRule="auto"/>
              <w:ind w:left="92"/>
              <w:rPr>
                <w:sz w:val="18"/>
              </w:rPr>
            </w:pPr>
            <w:r>
              <w:rPr>
                <w:color w:val="105C84"/>
                <w:position w:val="-8"/>
                <w:sz w:val="18"/>
              </w:rPr>
              <w:t>from</w:t>
            </w:r>
            <w:r>
              <w:rPr>
                <w:color w:val="105C84"/>
                <w:spacing w:val="6"/>
                <w:position w:val="-8"/>
                <w:sz w:val="18"/>
              </w:rPr>
              <w:t> </w:t>
            </w:r>
            <w:r>
              <w:rPr>
                <w:color w:val="105C84"/>
                <w:position w:val="-8"/>
                <w:sz w:val="18"/>
              </w:rPr>
              <w:t>their</w:t>
            </w:r>
            <w:r>
              <w:rPr>
                <w:color w:val="105C84"/>
                <w:spacing w:val="6"/>
                <w:position w:val="-8"/>
                <w:sz w:val="18"/>
              </w:rPr>
              <w:t> </w:t>
            </w:r>
            <w:r>
              <w:rPr>
                <w:color w:val="105C84"/>
                <w:spacing w:val="-2"/>
                <w:position w:val="-8"/>
                <w:sz w:val="18"/>
              </w:rPr>
              <w:t>provider;</w:t>
            </w:r>
            <w:r>
              <w:rPr>
                <w:color w:val="105C84"/>
                <w:position w:val="-8"/>
                <w:sz w:val="18"/>
              </w:rPr>
              <w:tab/>
            </w:r>
            <w:r>
              <w:rPr>
                <w:color w:val="105C84"/>
                <w:sz w:val="18"/>
              </w:rPr>
              <w:t>are</w:t>
            </w:r>
            <w:r>
              <w:rPr>
                <w:color w:val="105C84"/>
                <w:spacing w:val="2"/>
                <w:sz w:val="18"/>
              </w:rPr>
              <w:t> </w:t>
            </w:r>
            <w:r>
              <w:rPr>
                <w:color w:val="105C84"/>
                <w:sz w:val="18"/>
              </w:rPr>
              <w:t>connected</w:t>
            </w:r>
            <w:r>
              <w:rPr>
                <w:color w:val="105C84"/>
                <w:spacing w:val="3"/>
                <w:sz w:val="18"/>
              </w:rPr>
              <w:t> </w:t>
            </w:r>
            <w:r>
              <w:rPr>
                <w:color w:val="105C84"/>
                <w:sz w:val="18"/>
              </w:rPr>
              <w:t>to</w:t>
            </w:r>
            <w:r>
              <w:rPr>
                <w:color w:val="105C84"/>
                <w:spacing w:val="3"/>
                <w:sz w:val="18"/>
              </w:rPr>
              <w:t> </w:t>
            </w:r>
            <w:r>
              <w:rPr>
                <w:color w:val="105C84"/>
                <w:spacing w:val="-2"/>
                <w:sz w:val="18"/>
              </w:rPr>
              <w:t>quitting</w:t>
            </w:r>
          </w:p>
          <w:p>
            <w:pPr>
              <w:pStyle w:val="TableParagraph"/>
              <w:tabs>
                <w:tab w:pos="3962" w:val="left" w:leader="none"/>
              </w:tabs>
              <w:spacing w:line="148" w:lineRule="auto"/>
              <w:ind w:left="92"/>
              <w:rPr>
                <w:sz w:val="18"/>
              </w:rPr>
            </w:pPr>
            <w:r>
              <w:rPr>
                <w:color w:val="105C84"/>
                <w:position w:val="-8"/>
                <w:sz w:val="18"/>
              </w:rPr>
              <w:t>Number</w:t>
            </w:r>
            <w:r>
              <w:rPr>
                <w:color w:val="105C84"/>
                <w:spacing w:val="13"/>
                <w:position w:val="-8"/>
                <w:sz w:val="18"/>
              </w:rPr>
              <w:t> </w:t>
            </w:r>
            <w:r>
              <w:rPr>
                <w:color w:val="105C84"/>
                <w:position w:val="-8"/>
                <w:sz w:val="18"/>
              </w:rPr>
              <w:t>of</w:t>
            </w:r>
            <w:r>
              <w:rPr>
                <w:color w:val="105C84"/>
                <w:spacing w:val="13"/>
                <w:position w:val="-8"/>
                <w:sz w:val="18"/>
              </w:rPr>
              <w:t> </w:t>
            </w:r>
            <w:r>
              <w:rPr>
                <w:color w:val="105C84"/>
                <w:position w:val="-8"/>
                <w:sz w:val="18"/>
              </w:rPr>
              <w:t>Quit</w:t>
            </w:r>
            <w:r>
              <w:rPr>
                <w:color w:val="105C84"/>
                <w:spacing w:val="13"/>
                <w:position w:val="-8"/>
                <w:sz w:val="18"/>
              </w:rPr>
              <w:t> </w:t>
            </w:r>
            <w:r>
              <w:rPr>
                <w:color w:val="105C84"/>
                <w:spacing w:val="-4"/>
                <w:position w:val="-8"/>
                <w:sz w:val="18"/>
              </w:rPr>
              <w:t>Line</w:t>
            </w:r>
            <w:r>
              <w:rPr>
                <w:color w:val="105C84"/>
                <w:position w:val="-8"/>
                <w:sz w:val="18"/>
              </w:rPr>
              <w:tab/>
            </w:r>
            <w:r>
              <w:rPr>
                <w:color w:val="105C84"/>
                <w:sz w:val="18"/>
              </w:rPr>
              <w:t>resources</w:t>
            </w:r>
            <w:r>
              <w:rPr>
                <w:color w:val="105C84"/>
                <w:spacing w:val="-11"/>
                <w:sz w:val="18"/>
              </w:rPr>
              <w:t> </w:t>
            </w:r>
            <w:r>
              <w:rPr>
                <w:color w:val="105C84"/>
                <w:sz w:val="18"/>
              </w:rPr>
              <w:t>through</w:t>
            </w:r>
            <w:r>
              <w:rPr>
                <w:color w:val="105C84"/>
                <w:spacing w:val="-11"/>
                <w:sz w:val="18"/>
              </w:rPr>
              <w:t> </w:t>
            </w:r>
            <w:r>
              <w:rPr>
                <w:color w:val="105C84"/>
                <w:spacing w:val="-2"/>
                <w:sz w:val="18"/>
              </w:rPr>
              <w:t>their</w:t>
            </w:r>
          </w:p>
          <w:p>
            <w:pPr>
              <w:pStyle w:val="TableParagraph"/>
              <w:tabs>
                <w:tab w:pos="3962" w:val="left" w:leader="none"/>
              </w:tabs>
              <w:spacing w:line="246" w:lineRule="exact"/>
              <w:ind w:left="92"/>
              <w:rPr>
                <w:position w:val="9"/>
                <w:sz w:val="18"/>
              </w:rPr>
            </w:pPr>
            <w:r>
              <w:rPr>
                <w:color w:val="105C84"/>
                <w:sz w:val="18"/>
              </w:rPr>
              <w:t>callers</w:t>
            </w:r>
            <w:r>
              <w:rPr>
                <w:color w:val="105C84"/>
                <w:spacing w:val="-10"/>
                <w:sz w:val="18"/>
              </w:rPr>
              <w:t> </w:t>
            </w:r>
            <w:r>
              <w:rPr>
                <w:color w:val="105C84"/>
                <w:sz w:val="18"/>
              </w:rPr>
              <w:t>with</w:t>
            </w:r>
            <w:r>
              <w:rPr>
                <w:color w:val="105C84"/>
                <w:spacing w:val="-9"/>
                <w:sz w:val="18"/>
              </w:rPr>
              <w:t> </w:t>
            </w:r>
            <w:r>
              <w:rPr>
                <w:color w:val="105C84"/>
                <w:spacing w:val="-2"/>
                <w:sz w:val="18"/>
              </w:rPr>
              <w:t>Medicaid,</w:t>
            </w:r>
            <w:r>
              <w:rPr>
                <w:color w:val="105C84"/>
                <w:sz w:val="18"/>
              </w:rPr>
              <w:tab/>
            </w:r>
            <w:r>
              <w:rPr>
                <w:color w:val="105C84"/>
                <w:position w:val="9"/>
                <w:sz w:val="18"/>
              </w:rPr>
              <w:t>health</w:t>
            </w:r>
            <w:r>
              <w:rPr>
                <w:color w:val="105C84"/>
                <w:spacing w:val="-12"/>
                <w:position w:val="9"/>
                <w:sz w:val="18"/>
              </w:rPr>
              <w:t> </w:t>
            </w:r>
            <w:r>
              <w:rPr>
                <w:color w:val="105C84"/>
                <w:position w:val="9"/>
                <w:sz w:val="18"/>
              </w:rPr>
              <w:t>care</w:t>
            </w:r>
            <w:r>
              <w:rPr>
                <w:color w:val="105C84"/>
                <w:spacing w:val="-12"/>
                <w:position w:val="9"/>
                <w:sz w:val="18"/>
              </w:rPr>
              <w:t> </w:t>
            </w:r>
            <w:r>
              <w:rPr>
                <w:color w:val="105C84"/>
                <w:spacing w:val="-2"/>
                <w:position w:val="9"/>
                <w:sz w:val="18"/>
              </w:rPr>
              <w:t>provider.</w:t>
            </w:r>
          </w:p>
          <w:p>
            <w:pPr>
              <w:pStyle w:val="TableParagraph"/>
              <w:tabs>
                <w:tab w:pos="3962" w:val="left" w:leader="none"/>
              </w:tabs>
              <w:spacing w:line="200" w:lineRule="exact"/>
              <w:ind w:left="92"/>
              <w:rPr>
                <w:sz w:val="18"/>
              </w:rPr>
            </w:pPr>
            <w:r>
              <w:rPr>
                <w:color w:val="105C84"/>
                <w:sz w:val="18"/>
              </w:rPr>
              <w:t>number</w:t>
            </w:r>
            <w:r>
              <w:rPr>
                <w:color w:val="105C84"/>
                <w:spacing w:val="6"/>
                <w:sz w:val="18"/>
              </w:rPr>
              <w:t> </w:t>
            </w:r>
            <w:r>
              <w:rPr>
                <w:color w:val="105C84"/>
                <w:sz w:val="18"/>
              </w:rPr>
              <w:t>of</w:t>
            </w:r>
            <w:r>
              <w:rPr>
                <w:color w:val="105C84"/>
                <w:spacing w:val="7"/>
                <w:sz w:val="18"/>
              </w:rPr>
              <w:t> </w:t>
            </w:r>
            <w:r>
              <w:rPr>
                <w:color w:val="105C84"/>
                <w:spacing w:val="-2"/>
                <w:sz w:val="18"/>
              </w:rPr>
              <w:t>referrals</w:t>
            </w:r>
            <w:r>
              <w:rPr>
                <w:color w:val="105C84"/>
                <w:sz w:val="18"/>
              </w:rPr>
              <w:tab/>
              <w:t>NWCH</w:t>
            </w:r>
            <w:r>
              <w:rPr>
                <w:color w:val="105C84"/>
                <w:spacing w:val="6"/>
                <w:sz w:val="18"/>
              </w:rPr>
              <w:t> </w:t>
            </w:r>
            <w:r>
              <w:rPr>
                <w:color w:val="105C84"/>
                <w:sz w:val="18"/>
              </w:rPr>
              <w:t>to</w:t>
            </w:r>
            <w:r>
              <w:rPr>
                <w:color w:val="105C84"/>
                <w:spacing w:val="7"/>
                <w:sz w:val="18"/>
              </w:rPr>
              <w:t> </w:t>
            </w:r>
            <w:r>
              <w:rPr>
                <w:color w:val="105C84"/>
                <w:sz w:val="18"/>
              </w:rPr>
              <w:t>continue</w:t>
            </w:r>
            <w:r>
              <w:rPr>
                <w:color w:val="105C84"/>
                <w:spacing w:val="7"/>
                <w:sz w:val="18"/>
              </w:rPr>
              <w:t> </w:t>
            </w:r>
            <w:r>
              <w:rPr>
                <w:color w:val="105C84"/>
                <w:spacing w:val="-5"/>
                <w:sz w:val="18"/>
              </w:rPr>
              <w:t>to</w:t>
            </w:r>
          </w:p>
          <w:p>
            <w:pPr>
              <w:pStyle w:val="TableParagraph"/>
              <w:tabs>
                <w:tab w:pos="3962" w:val="left" w:leader="none"/>
              </w:tabs>
              <w:spacing w:line="200" w:lineRule="exact"/>
              <w:ind w:left="92"/>
              <w:rPr>
                <w:sz w:val="18"/>
              </w:rPr>
            </w:pPr>
            <w:r>
              <w:rPr>
                <w:color w:val="105C84"/>
                <w:sz w:val="18"/>
              </w:rPr>
              <w:t>to Public </w:t>
            </w:r>
            <w:r>
              <w:rPr>
                <w:color w:val="105C84"/>
                <w:spacing w:val="-2"/>
                <w:sz w:val="18"/>
              </w:rPr>
              <w:t>Health’s</w:t>
            </w:r>
            <w:r>
              <w:rPr>
                <w:color w:val="105C84"/>
                <w:sz w:val="18"/>
              </w:rPr>
              <w:tab/>
              <w:t>encourage</w:t>
            </w:r>
            <w:r>
              <w:rPr>
                <w:color w:val="105C84"/>
                <w:spacing w:val="2"/>
                <w:sz w:val="18"/>
              </w:rPr>
              <w:t> </w:t>
            </w:r>
            <w:r>
              <w:rPr>
                <w:color w:val="105C84"/>
                <w:sz w:val="18"/>
              </w:rPr>
              <w:t>their</w:t>
            </w:r>
            <w:r>
              <w:rPr>
                <w:color w:val="105C84"/>
                <w:spacing w:val="2"/>
                <w:sz w:val="18"/>
              </w:rPr>
              <w:t> </w:t>
            </w:r>
            <w:r>
              <w:rPr>
                <w:color w:val="105C84"/>
                <w:spacing w:val="-2"/>
                <w:sz w:val="18"/>
              </w:rPr>
              <w:t>network</w:t>
            </w:r>
          </w:p>
          <w:p>
            <w:pPr>
              <w:pStyle w:val="TableParagraph"/>
              <w:tabs>
                <w:tab w:pos="3962" w:val="left" w:leader="none"/>
              </w:tabs>
              <w:spacing w:line="200" w:lineRule="exact"/>
              <w:ind w:left="92"/>
              <w:rPr>
                <w:sz w:val="18"/>
              </w:rPr>
            </w:pPr>
            <w:r>
              <w:rPr>
                <w:color w:val="105C84"/>
                <w:sz w:val="18"/>
              </w:rPr>
              <w:t>tobacco</w:t>
            </w:r>
            <w:r>
              <w:rPr>
                <w:color w:val="105C84"/>
                <w:spacing w:val="14"/>
                <w:sz w:val="18"/>
              </w:rPr>
              <w:t> </w:t>
            </w:r>
            <w:r>
              <w:rPr>
                <w:color w:val="105C84"/>
                <w:spacing w:val="-2"/>
                <w:sz w:val="18"/>
              </w:rPr>
              <w:t>cessation</w:t>
            </w:r>
            <w:r>
              <w:rPr>
                <w:color w:val="105C84"/>
                <w:sz w:val="18"/>
              </w:rPr>
              <w:tab/>
              <w:t>of</w:t>
            </w:r>
            <w:r>
              <w:rPr>
                <w:color w:val="105C84"/>
                <w:spacing w:val="4"/>
                <w:sz w:val="18"/>
              </w:rPr>
              <w:t> </w:t>
            </w:r>
            <w:r>
              <w:rPr>
                <w:color w:val="105C84"/>
                <w:sz w:val="18"/>
              </w:rPr>
              <w:t>providers</w:t>
            </w:r>
            <w:r>
              <w:rPr>
                <w:color w:val="105C84"/>
                <w:spacing w:val="4"/>
                <w:sz w:val="18"/>
              </w:rPr>
              <w:t> </w:t>
            </w:r>
            <w:r>
              <w:rPr>
                <w:color w:val="105C84"/>
                <w:sz w:val="18"/>
              </w:rPr>
              <w:t>to</w:t>
            </w:r>
            <w:r>
              <w:rPr>
                <w:color w:val="105C84"/>
                <w:spacing w:val="5"/>
                <w:sz w:val="18"/>
              </w:rPr>
              <w:t> </w:t>
            </w:r>
            <w:r>
              <w:rPr>
                <w:color w:val="105C84"/>
                <w:spacing w:val="-2"/>
                <w:sz w:val="18"/>
              </w:rPr>
              <w:t>connect</w:t>
            </w:r>
          </w:p>
          <w:p>
            <w:pPr>
              <w:pStyle w:val="TableParagraph"/>
              <w:tabs>
                <w:tab w:pos="3962" w:val="left" w:leader="none"/>
              </w:tabs>
              <w:spacing w:line="200" w:lineRule="exact"/>
              <w:ind w:left="92"/>
              <w:rPr>
                <w:sz w:val="18"/>
              </w:rPr>
            </w:pPr>
            <w:r>
              <w:rPr>
                <w:color w:val="105C84"/>
                <w:sz w:val="18"/>
              </w:rPr>
              <w:t>program</w:t>
            </w:r>
            <w:r>
              <w:rPr>
                <w:color w:val="105C84"/>
                <w:spacing w:val="11"/>
                <w:sz w:val="18"/>
              </w:rPr>
              <w:t> </w:t>
            </w:r>
            <w:r>
              <w:rPr>
                <w:color w:val="105C84"/>
                <w:spacing w:val="-2"/>
                <w:sz w:val="18"/>
              </w:rPr>
              <w:t>resulting</w:t>
            </w:r>
            <w:r>
              <w:rPr>
                <w:color w:val="105C84"/>
                <w:sz w:val="18"/>
              </w:rPr>
              <w:tab/>
              <w:t>their</w:t>
            </w:r>
            <w:r>
              <w:rPr>
                <w:color w:val="105C84"/>
                <w:spacing w:val="2"/>
                <w:sz w:val="18"/>
              </w:rPr>
              <w:t> </w:t>
            </w:r>
            <w:r>
              <w:rPr>
                <w:color w:val="105C84"/>
                <w:sz w:val="18"/>
              </w:rPr>
              <w:t>smoking</w:t>
            </w:r>
            <w:r>
              <w:rPr>
                <w:color w:val="105C84"/>
                <w:spacing w:val="2"/>
                <w:sz w:val="18"/>
              </w:rPr>
              <w:t> </w:t>
            </w:r>
            <w:r>
              <w:rPr>
                <w:color w:val="105C84"/>
                <w:spacing w:val="-2"/>
                <w:sz w:val="18"/>
              </w:rPr>
              <w:t>patients</w:t>
            </w:r>
          </w:p>
          <w:p>
            <w:pPr>
              <w:pStyle w:val="TableParagraph"/>
              <w:tabs>
                <w:tab w:pos="3962" w:val="left" w:leader="none"/>
              </w:tabs>
              <w:spacing w:line="200" w:lineRule="exact"/>
              <w:ind w:left="92"/>
              <w:rPr>
                <w:sz w:val="18"/>
              </w:rPr>
            </w:pPr>
            <w:r>
              <w:rPr>
                <w:color w:val="105C84"/>
                <w:sz w:val="18"/>
              </w:rPr>
              <w:t>from</w:t>
            </w:r>
            <w:r>
              <w:rPr>
                <w:color w:val="105C84"/>
                <w:spacing w:val="-4"/>
                <w:sz w:val="18"/>
              </w:rPr>
              <w:t> </w:t>
            </w:r>
            <w:r>
              <w:rPr>
                <w:color w:val="105C84"/>
                <w:sz w:val="18"/>
              </w:rPr>
              <w:t>a</w:t>
            </w:r>
            <w:r>
              <w:rPr>
                <w:color w:val="105C84"/>
                <w:spacing w:val="-3"/>
                <w:sz w:val="18"/>
              </w:rPr>
              <w:t> </w:t>
            </w:r>
            <w:r>
              <w:rPr>
                <w:color w:val="105C84"/>
                <w:spacing w:val="-2"/>
                <w:sz w:val="18"/>
              </w:rPr>
              <w:t>provider</w:t>
            </w:r>
            <w:r>
              <w:rPr>
                <w:color w:val="105C84"/>
                <w:sz w:val="18"/>
              </w:rPr>
              <w:tab/>
              <w:t>to</w:t>
            </w:r>
            <w:r>
              <w:rPr>
                <w:color w:val="105C84"/>
                <w:spacing w:val="5"/>
                <w:sz w:val="18"/>
              </w:rPr>
              <w:t> </w:t>
            </w:r>
            <w:r>
              <w:rPr>
                <w:color w:val="105C84"/>
                <w:sz w:val="18"/>
              </w:rPr>
              <w:t>the</w:t>
            </w:r>
            <w:r>
              <w:rPr>
                <w:color w:val="105C84"/>
                <w:spacing w:val="5"/>
                <w:sz w:val="18"/>
              </w:rPr>
              <w:t> </w:t>
            </w:r>
            <w:r>
              <w:rPr>
                <w:color w:val="105C84"/>
                <w:sz w:val="18"/>
              </w:rPr>
              <w:t>Quit</w:t>
            </w:r>
            <w:r>
              <w:rPr>
                <w:color w:val="105C84"/>
                <w:spacing w:val="5"/>
                <w:sz w:val="18"/>
              </w:rPr>
              <w:t> </w:t>
            </w:r>
            <w:r>
              <w:rPr>
                <w:color w:val="105C84"/>
                <w:sz w:val="18"/>
              </w:rPr>
              <w:t>Line</w:t>
            </w:r>
            <w:r>
              <w:rPr>
                <w:color w:val="105C84"/>
                <w:spacing w:val="5"/>
                <w:sz w:val="18"/>
              </w:rPr>
              <w:t> </w:t>
            </w:r>
            <w:r>
              <w:rPr>
                <w:color w:val="105C84"/>
                <w:spacing w:val="-2"/>
                <w:sz w:val="18"/>
              </w:rPr>
              <w:t>(Opt-</w:t>
            </w:r>
          </w:p>
          <w:p>
            <w:pPr>
              <w:pStyle w:val="TableParagraph"/>
              <w:tabs>
                <w:tab w:pos="3962" w:val="left" w:leader="none"/>
              </w:tabs>
              <w:spacing w:line="200" w:lineRule="exact"/>
              <w:ind w:left="92"/>
              <w:rPr>
                <w:sz w:val="18"/>
              </w:rPr>
            </w:pPr>
            <w:r>
              <w:rPr>
                <w:color w:val="105C84"/>
                <w:spacing w:val="-2"/>
                <w:sz w:val="18"/>
              </w:rPr>
              <w:t>recommendation;</w:t>
            </w:r>
            <w:r>
              <w:rPr>
                <w:color w:val="105C84"/>
                <w:sz w:val="18"/>
              </w:rPr>
              <w:tab/>
              <w:t>to-Quit), Baby &amp;</w:t>
            </w:r>
            <w:r>
              <w:rPr>
                <w:color w:val="105C84"/>
                <w:spacing w:val="1"/>
                <w:sz w:val="18"/>
              </w:rPr>
              <w:t> </w:t>
            </w:r>
            <w:r>
              <w:rPr>
                <w:color w:val="105C84"/>
                <w:spacing w:val="-5"/>
                <w:sz w:val="18"/>
              </w:rPr>
              <w:t>Me</w:t>
            </w:r>
          </w:p>
          <w:p>
            <w:pPr>
              <w:pStyle w:val="TableParagraph"/>
              <w:tabs>
                <w:tab w:pos="3962" w:val="left" w:leader="none"/>
              </w:tabs>
              <w:spacing w:line="200" w:lineRule="exact"/>
              <w:ind w:left="92"/>
              <w:rPr>
                <w:sz w:val="18"/>
              </w:rPr>
            </w:pPr>
            <w:r>
              <w:rPr>
                <w:color w:val="105C84"/>
                <w:sz w:val="18"/>
              </w:rPr>
              <w:t>Number</w:t>
            </w:r>
            <w:r>
              <w:rPr>
                <w:color w:val="105C84"/>
                <w:spacing w:val="-2"/>
                <w:sz w:val="18"/>
              </w:rPr>
              <w:t> </w:t>
            </w:r>
            <w:r>
              <w:rPr>
                <w:color w:val="105C84"/>
                <w:sz w:val="18"/>
              </w:rPr>
              <w:t>of</w:t>
            </w:r>
            <w:r>
              <w:rPr>
                <w:color w:val="105C84"/>
                <w:spacing w:val="-2"/>
                <w:sz w:val="18"/>
              </w:rPr>
              <w:t> </w:t>
            </w:r>
            <w:r>
              <w:rPr>
                <w:color w:val="105C84"/>
                <w:sz w:val="18"/>
              </w:rPr>
              <w:t>referrals</w:t>
            </w:r>
            <w:r>
              <w:rPr>
                <w:color w:val="105C84"/>
                <w:spacing w:val="-2"/>
                <w:sz w:val="18"/>
              </w:rPr>
              <w:t> </w:t>
            </w:r>
            <w:r>
              <w:rPr>
                <w:color w:val="105C84"/>
                <w:spacing w:val="-5"/>
                <w:sz w:val="18"/>
              </w:rPr>
              <w:t>to</w:t>
            </w:r>
            <w:r>
              <w:rPr>
                <w:color w:val="105C84"/>
                <w:sz w:val="18"/>
              </w:rPr>
              <w:tab/>
            </w:r>
            <w:r>
              <w:rPr>
                <w:color w:val="105C84"/>
                <w:spacing w:val="-4"/>
                <w:sz w:val="18"/>
              </w:rPr>
              <w:t>Tobacco</w:t>
            </w:r>
            <w:r>
              <w:rPr>
                <w:color w:val="105C84"/>
                <w:spacing w:val="-2"/>
                <w:sz w:val="18"/>
              </w:rPr>
              <w:t> </w:t>
            </w:r>
            <w:r>
              <w:rPr>
                <w:color w:val="105C84"/>
                <w:spacing w:val="-4"/>
                <w:sz w:val="18"/>
              </w:rPr>
              <w:t>Free</w:t>
            </w:r>
            <w:r>
              <w:rPr>
                <w:color w:val="105C84"/>
                <w:spacing w:val="-1"/>
                <w:sz w:val="18"/>
              </w:rPr>
              <w:t> </w:t>
            </w:r>
            <w:r>
              <w:rPr>
                <w:color w:val="105C84"/>
                <w:spacing w:val="-4"/>
                <w:sz w:val="18"/>
              </w:rPr>
              <w:t>(available</w:t>
            </w:r>
          </w:p>
          <w:p>
            <w:pPr>
              <w:pStyle w:val="TableParagraph"/>
              <w:tabs>
                <w:tab w:pos="3962" w:val="left" w:leader="none"/>
              </w:tabs>
              <w:spacing w:line="200" w:lineRule="exact"/>
              <w:ind w:left="92"/>
              <w:rPr>
                <w:sz w:val="18"/>
              </w:rPr>
            </w:pPr>
            <w:r>
              <w:rPr>
                <w:color w:val="105C84"/>
                <w:sz w:val="18"/>
              </w:rPr>
              <w:t>Baby</w:t>
            </w:r>
            <w:r>
              <w:rPr>
                <w:color w:val="105C84"/>
                <w:spacing w:val="-3"/>
                <w:sz w:val="18"/>
              </w:rPr>
              <w:t> </w:t>
            </w:r>
            <w:r>
              <w:rPr>
                <w:color w:val="105C84"/>
                <w:sz w:val="18"/>
              </w:rPr>
              <w:t>&amp;</w:t>
            </w:r>
            <w:r>
              <w:rPr>
                <w:color w:val="105C84"/>
                <w:spacing w:val="-3"/>
                <w:sz w:val="18"/>
              </w:rPr>
              <w:t> </w:t>
            </w:r>
            <w:r>
              <w:rPr>
                <w:color w:val="105C84"/>
                <w:sz w:val="18"/>
              </w:rPr>
              <w:t>Me</w:t>
            </w:r>
            <w:r>
              <w:rPr>
                <w:color w:val="105C84"/>
                <w:spacing w:val="-3"/>
                <w:sz w:val="18"/>
              </w:rPr>
              <w:t> </w:t>
            </w:r>
            <w:r>
              <w:rPr>
                <w:color w:val="105C84"/>
                <w:spacing w:val="-2"/>
                <w:sz w:val="18"/>
              </w:rPr>
              <w:t>Tobacco</w:t>
            </w:r>
            <w:r>
              <w:rPr>
                <w:color w:val="105C84"/>
                <w:sz w:val="18"/>
              </w:rPr>
              <w:tab/>
              <w:t>through</w:t>
            </w:r>
            <w:r>
              <w:rPr>
                <w:color w:val="105C84"/>
                <w:spacing w:val="8"/>
                <w:sz w:val="18"/>
              </w:rPr>
              <w:t> </w:t>
            </w:r>
            <w:r>
              <w:rPr>
                <w:color w:val="105C84"/>
                <w:sz w:val="18"/>
              </w:rPr>
              <w:t>NWCH</w:t>
            </w:r>
            <w:r>
              <w:rPr>
                <w:color w:val="105C84"/>
                <w:spacing w:val="9"/>
                <w:sz w:val="18"/>
              </w:rPr>
              <w:t> </w:t>
            </w:r>
            <w:r>
              <w:rPr>
                <w:color w:val="105C84"/>
                <w:spacing w:val="-5"/>
                <w:sz w:val="18"/>
              </w:rPr>
              <w:t>and</w:t>
            </w:r>
          </w:p>
          <w:p>
            <w:pPr>
              <w:pStyle w:val="TableParagraph"/>
              <w:tabs>
                <w:tab w:pos="3962" w:val="left" w:leader="none"/>
              </w:tabs>
              <w:spacing w:line="200" w:lineRule="exact"/>
              <w:ind w:left="92"/>
              <w:rPr>
                <w:sz w:val="18"/>
              </w:rPr>
            </w:pPr>
            <w:r>
              <w:rPr>
                <w:color w:val="105C84"/>
                <w:spacing w:val="-4"/>
                <w:sz w:val="18"/>
              </w:rPr>
              <w:t>Free</w:t>
            </w:r>
            <w:r>
              <w:rPr>
                <w:color w:val="105C84"/>
                <w:spacing w:val="-5"/>
                <w:sz w:val="18"/>
              </w:rPr>
              <w:t> </w:t>
            </w:r>
            <w:r>
              <w:rPr>
                <w:color w:val="105C84"/>
                <w:spacing w:val="-2"/>
                <w:sz w:val="18"/>
              </w:rPr>
              <w:t>resulting</w:t>
            </w:r>
            <w:r>
              <w:rPr>
                <w:color w:val="105C84"/>
                <w:sz w:val="18"/>
              </w:rPr>
              <w:tab/>
            </w:r>
            <w:r>
              <w:rPr>
                <w:color w:val="105C84"/>
                <w:spacing w:val="-2"/>
                <w:sz w:val="18"/>
              </w:rPr>
              <w:t>Public</w:t>
            </w:r>
            <w:r>
              <w:rPr>
                <w:color w:val="105C84"/>
                <w:sz w:val="18"/>
              </w:rPr>
              <w:t> </w:t>
            </w:r>
            <w:r>
              <w:rPr>
                <w:color w:val="105C84"/>
                <w:spacing w:val="-2"/>
                <w:sz w:val="18"/>
              </w:rPr>
              <w:t>Health),</w:t>
            </w:r>
            <w:r>
              <w:rPr>
                <w:color w:val="105C84"/>
                <w:sz w:val="18"/>
              </w:rPr>
              <w:t> </w:t>
            </w:r>
            <w:r>
              <w:rPr>
                <w:color w:val="105C84"/>
                <w:spacing w:val="-5"/>
                <w:sz w:val="18"/>
              </w:rPr>
              <w:t>and</w:t>
            </w:r>
          </w:p>
          <w:p>
            <w:pPr>
              <w:pStyle w:val="TableParagraph"/>
              <w:tabs>
                <w:tab w:pos="3962" w:val="left" w:leader="none"/>
              </w:tabs>
              <w:spacing w:line="200" w:lineRule="exact"/>
              <w:ind w:left="92"/>
              <w:rPr>
                <w:sz w:val="18"/>
              </w:rPr>
            </w:pPr>
            <w:r>
              <w:rPr>
                <w:color w:val="105C84"/>
                <w:sz w:val="18"/>
              </w:rPr>
              <w:t>from</w:t>
            </w:r>
            <w:r>
              <w:rPr>
                <w:color w:val="105C84"/>
                <w:spacing w:val="-4"/>
                <w:sz w:val="18"/>
              </w:rPr>
              <w:t> </w:t>
            </w:r>
            <w:r>
              <w:rPr>
                <w:color w:val="105C84"/>
                <w:sz w:val="18"/>
              </w:rPr>
              <w:t>a</w:t>
            </w:r>
            <w:r>
              <w:rPr>
                <w:color w:val="105C84"/>
                <w:spacing w:val="-3"/>
                <w:sz w:val="18"/>
              </w:rPr>
              <w:t> </w:t>
            </w:r>
            <w:r>
              <w:rPr>
                <w:color w:val="105C84"/>
                <w:spacing w:val="-2"/>
                <w:sz w:val="18"/>
              </w:rPr>
              <w:t>provider</w:t>
            </w:r>
            <w:r>
              <w:rPr>
                <w:color w:val="105C84"/>
                <w:sz w:val="18"/>
              </w:rPr>
              <w:tab/>
            </w:r>
            <w:r>
              <w:rPr>
                <w:color w:val="105C84"/>
                <w:spacing w:val="-2"/>
                <w:sz w:val="18"/>
              </w:rPr>
              <w:t>Public</w:t>
            </w:r>
            <w:r>
              <w:rPr>
                <w:color w:val="105C84"/>
                <w:spacing w:val="-6"/>
                <w:sz w:val="18"/>
              </w:rPr>
              <w:t> </w:t>
            </w:r>
            <w:r>
              <w:rPr>
                <w:color w:val="105C84"/>
                <w:spacing w:val="-2"/>
                <w:sz w:val="18"/>
              </w:rPr>
              <w:t>Health’s</w:t>
            </w:r>
            <w:r>
              <w:rPr>
                <w:color w:val="105C84"/>
                <w:spacing w:val="-5"/>
                <w:sz w:val="18"/>
              </w:rPr>
              <w:t> </w:t>
            </w:r>
            <w:r>
              <w:rPr>
                <w:color w:val="105C84"/>
                <w:spacing w:val="-2"/>
                <w:sz w:val="18"/>
              </w:rPr>
              <w:t>tobacco</w:t>
            </w:r>
          </w:p>
          <w:p>
            <w:pPr>
              <w:pStyle w:val="TableParagraph"/>
              <w:tabs>
                <w:tab w:pos="3962" w:val="left" w:leader="none"/>
              </w:tabs>
              <w:spacing w:line="203" w:lineRule="exact"/>
              <w:ind w:left="92"/>
              <w:rPr>
                <w:sz w:val="18"/>
              </w:rPr>
            </w:pPr>
            <w:r>
              <w:rPr>
                <w:color w:val="105C84"/>
                <w:spacing w:val="-2"/>
                <w:sz w:val="18"/>
              </w:rPr>
              <w:t>recommendation;</w:t>
            </w:r>
            <w:r>
              <w:rPr>
                <w:color w:val="105C84"/>
                <w:sz w:val="18"/>
              </w:rPr>
              <w:tab/>
            </w:r>
            <w:r>
              <w:rPr>
                <w:color w:val="105C84"/>
                <w:spacing w:val="-2"/>
                <w:sz w:val="18"/>
              </w:rPr>
              <w:t>cessation</w:t>
            </w:r>
            <w:r>
              <w:rPr>
                <w:color w:val="105C84"/>
                <w:spacing w:val="-8"/>
                <w:sz w:val="18"/>
              </w:rPr>
              <w:t> </w:t>
            </w:r>
            <w:r>
              <w:rPr>
                <w:color w:val="105C84"/>
                <w:spacing w:val="-2"/>
                <w:sz w:val="18"/>
              </w:rPr>
              <w:t>program</w:t>
            </w:r>
          </w:p>
          <w:p>
            <w:pPr>
              <w:pStyle w:val="TableParagraph"/>
              <w:tabs>
                <w:tab w:pos="3962" w:val="left" w:leader="none"/>
              </w:tabs>
              <w:spacing w:line="203" w:lineRule="exact" w:before="10"/>
              <w:ind w:left="92"/>
              <w:rPr>
                <w:sz w:val="18"/>
              </w:rPr>
            </w:pPr>
            <w:r>
              <w:rPr>
                <w:color w:val="105C84"/>
                <w:sz w:val="18"/>
              </w:rPr>
              <w:t>Note:</w:t>
            </w:r>
            <w:r>
              <w:rPr>
                <w:color w:val="105C84"/>
                <w:spacing w:val="-4"/>
                <w:sz w:val="18"/>
              </w:rPr>
              <w:t> </w:t>
            </w:r>
            <w:r>
              <w:rPr>
                <w:color w:val="105C84"/>
                <w:sz w:val="18"/>
              </w:rPr>
              <w:t>Baseline</w:t>
            </w:r>
            <w:r>
              <w:rPr>
                <w:color w:val="105C84"/>
                <w:spacing w:val="-4"/>
                <w:sz w:val="18"/>
              </w:rPr>
              <w:t> </w:t>
            </w:r>
            <w:r>
              <w:rPr>
                <w:color w:val="105C84"/>
                <w:sz w:val="18"/>
              </w:rPr>
              <w:t>data</w:t>
            </w:r>
            <w:r>
              <w:rPr>
                <w:color w:val="105C84"/>
                <w:spacing w:val="-4"/>
                <w:sz w:val="18"/>
              </w:rPr>
              <w:t> will</w:t>
            </w:r>
            <w:r>
              <w:rPr>
                <w:color w:val="105C84"/>
                <w:sz w:val="18"/>
              </w:rPr>
              <w:tab/>
              <w:t>CTFFL</w:t>
            </w:r>
            <w:r>
              <w:rPr>
                <w:color w:val="105C84"/>
                <w:spacing w:val="-11"/>
                <w:sz w:val="18"/>
              </w:rPr>
              <w:t> </w:t>
            </w:r>
            <w:r>
              <w:rPr>
                <w:color w:val="105C84"/>
                <w:sz w:val="18"/>
              </w:rPr>
              <w:t>to</w:t>
            </w:r>
            <w:r>
              <w:rPr>
                <w:color w:val="105C84"/>
                <w:spacing w:val="-10"/>
                <w:sz w:val="18"/>
              </w:rPr>
              <w:t> </w:t>
            </w:r>
            <w:r>
              <w:rPr>
                <w:color w:val="105C84"/>
                <w:sz w:val="18"/>
              </w:rPr>
              <w:t>continue</w:t>
            </w:r>
            <w:r>
              <w:rPr>
                <w:color w:val="105C84"/>
                <w:spacing w:val="-10"/>
                <w:sz w:val="18"/>
              </w:rPr>
              <w:t> </w:t>
            </w:r>
            <w:r>
              <w:rPr>
                <w:color w:val="105C84"/>
                <w:spacing w:val="-5"/>
                <w:sz w:val="18"/>
              </w:rPr>
              <w:t>to</w:t>
            </w:r>
          </w:p>
          <w:p>
            <w:pPr>
              <w:pStyle w:val="TableParagraph"/>
              <w:tabs>
                <w:tab w:pos="3962" w:val="left" w:leader="none"/>
              </w:tabs>
              <w:spacing w:line="232" w:lineRule="auto" w:before="1"/>
              <w:ind w:left="3962" w:right="226" w:hanging="3870"/>
              <w:rPr>
                <w:sz w:val="18"/>
              </w:rPr>
            </w:pPr>
            <w:r>
              <w:rPr>
                <w:color w:val="105C84"/>
                <w:sz w:val="18"/>
              </w:rPr>
              <w:t>be available soon</w:t>
              <w:tab/>
              <w:t>encourage health and mental health providers to connect their </w:t>
            </w:r>
            <w:r>
              <w:rPr>
                <w:color w:val="105C84"/>
                <w:sz w:val="18"/>
              </w:rPr>
              <w:t>patients to the Quit Line and available cessation </w:t>
            </w:r>
            <w:r>
              <w:rPr>
                <w:color w:val="105C84"/>
                <w:spacing w:val="-2"/>
                <w:sz w:val="18"/>
              </w:rPr>
              <w:t>services</w:t>
            </w:r>
          </w:p>
        </w:tc>
        <w:tc>
          <w:tcPr>
            <w:tcW w:w="2836" w:type="dxa"/>
          </w:tcPr>
          <w:p>
            <w:pPr>
              <w:pStyle w:val="TableParagraph"/>
              <w:spacing w:line="232" w:lineRule="auto" w:before="97"/>
              <w:ind w:left="93"/>
              <w:rPr>
                <w:sz w:val="18"/>
              </w:rPr>
            </w:pPr>
            <w:r>
              <w:rPr>
                <w:color w:val="105C84"/>
                <w:sz w:val="18"/>
              </w:rPr>
              <w:t>Continue to promote tobacco cessation</w:t>
            </w:r>
            <w:r>
              <w:rPr>
                <w:color w:val="105C84"/>
                <w:spacing w:val="-2"/>
                <w:sz w:val="18"/>
              </w:rPr>
              <w:t> </w:t>
            </w:r>
            <w:r>
              <w:rPr>
                <w:color w:val="105C84"/>
                <w:sz w:val="18"/>
              </w:rPr>
              <w:t>referrals</w:t>
            </w:r>
            <w:r>
              <w:rPr>
                <w:color w:val="105C84"/>
                <w:spacing w:val="-2"/>
                <w:sz w:val="18"/>
              </w:rPr>
              <w:t> </w:t>
            </w:r>
            <w:r>
              <w:rPr>
                <w:color w:val="105C84"/>
                <w:sz w:val="18"/>
              </w:rPr>
              <w:t>to</w:t>
            </w:r>
            <w:r>
              <w:rPr>
                <w:color w:val="105C84"/>
                <w:spacing w:val="-2"/>
                <w:sz w:val="18"/>
              </w:rPr>
              <w:t> </w:t>
            </w:r>
            <w:r>
              <w:rPr>
                <w:color w:val="105C84"/>
                <w:sz w:val="18"/>
              </w:rPr>
              <w:t>health</w:t>
            </w:r>
            <w:r>
              <w:rPr>
                <w:color w:val="105C84"/>
                <w:spacing w:val="-2"/>
                <w:sz w:val="18"/>
              </w:rPr>
              <w:t> </w:t>
            </w:r>
            <w:r>
              <w:rPr>
                <w:color w:val="105C84"/>
                <w:sz w:val="18"/>
              </w:rPr>
              <w:t>care providers</w:t>
            </w:r>
            <w:r>
              <w:rPr>
                <w:color w:val="105C84"/>
                <w:spacing w:val="-7"/>
                <w:sz w:val="18"/>
              </w:rPr>
              <w:t> </w:t>
            </w:r>
            <w:r>
              <w:rPr>
                <w:color w:val="105C84"/>
                <w:sz w:val="18"/>
              </w:rPr>
              <w:t>to</w:t>
            </w:r>
            <w:r>
              <w:rPr>
                <w:color w:val="105C84"/>
                <w:spacing w:val="-7"/>
                <w:sz w:val="18"/>
              </w:rPr>
              <w:t> </w:t>
            </w:r>
            <w:r>
              <w:rPr>
                <w:color w:val="105C84"/>
                <w:sz w:val="18"/>
              </w:rPr>
              <w:t>increase</w:t>
            </w:r>
            <w:r>
              <w:rPr>
                <w:color w:val="105C84"/>
                <w:spacing w:val="-7"/>
                <w:sz w:val="18"/>
              </w:rPr>
              <w:t> </w:t>
            </w:r>
            <w:r>
              <w:rPr>
                <w:color w:val="105C84"/>
                <w:sz w:val="18"/>
              </w:rPr>
              <w:t>the</w:t>
            </w:r>
            <w:r>
              <w:rPr>
                <w:color w:val="105C84"/>
                <w:spacing w:val="-7"/>
                <w:sz w:val="18"/>
              </w:rPr>
              <w:t> </w:t>
            </w:r>
            <w:r>
              <w:rPr>
                <w:color w:val="105C84"/>
                <w:sz w:val="18"/>
              </w:rPr>
              <w:t>number of</w:t>
            </w:r>
            <w:r>
              <w:rPr>
                <w:color w:val="105C84"/>
                <w:spacing w:val="-2"/>
                <w:sz w:val="18"/>
              </w:rPr>
              <w:t> </w:t>
            </w:r>
            <w:r>
              <w:rPr>
                <w:color w:val="105C84"/>
                <w:sz w:val="18"/>
              </w:rPr>
              <w:t>persons</w:t>
            </w:r>
            <w:r>
              <w:rPr>
                <w:color w:val="105C84"/>
                <w:spacing w:val="-2"/>
                <w:sz w:val="18"/>
              </w:rPr>
              <w:t> </w:t>
            </w:r>
            <w:r>
              <w:rPr>
                <w:color w:val="105C84"/>
                <w:sz w:val="18"/>
              </w:rPr>
              <w:t>who</w:t>
            </w:r>
            <w:r>
              <w:rPr>
                <w:color w:val="105C84"/>
                <w:spacing w:val="-2"/>
                <w:sz w:val="18"/>
              </w:rPr>
              <w:t> </w:t>
            </w:r>
            <w:r>
              <w:rPr>
                <w:color w:val="105C84"/>
                <w:sz w:val="18"/>
              </w:rPr>
              <w:t>are</w:t>
            </w:r>
            <w:r>
              <w:rPr>
                <w:color w:val="105C84"/>
                <w:spacing w:val="-2"/>
                <w:sz w:val="18"/>
              </w:rPr>
              <w:t> </w:t>
            </w:r>
            <w:r>
              <w:rPr>
                <w:color w:val="105C84"/>
                <w:sz w:val="18"/>
              </w:rPr>
              <w:t>connected</w:t>
            </w:r>
            <w:r>
              <w:rPr>
                <w:color w:val="105C84"/>
                <w:spacing w:val="-2"/>
                <w:sz w:val="18"/>
              </w:rPr>
              <w:t> </w:t>
            </w:r>
            <w:r>
              <w:rPr>
                <w:color w:val="105C84"/>
                <w:sz w:val="18"/>
              </w:rPr>
              <w:t>to quitting resources through their health care provider.</w:t>
            </w:r>
          </w:p>
          <w:p>
            <w:pPr>
              <w:pStyle w:val="TableParagraph"/>
              <w:spacing w:line="232" w:lineRule="auto" w:before="85"/>
              <w:ind w:left="93" w:right="121"/>
              <w:rPr>
                <w:sz w:val="18"/>
              </w:rPr>
            </w:pPr>
            <w:r>
              <w:rPr>
                <w:color w:val="105C84"/>
                <w:sz w:val="18"/>
              </w:rPr>
              <w:t>NWCH to continue to </w:t>
            </w:r>
            <w:r>
              <w:rPr>
                <w:color w:val="105C84"/>
                <w:sz w:val="18"/>
              </w:rPr>
              <w:t>encourage their network of providers to connect their smoking patients</w:t>
            </w:r>
            <w:r>
              <w:rPr>
                <w:color w:val="105C84"/>
                <w:spacing w:val="80"/>
                <w:sz w:val="18"/>
              </w:rPr>
              <w:t> </w:t>
            </w:r>
            <w:r>
              <w:rPr>
                <w:color w:val="105C84"/>
                <w:sz w:val="18"/>
              </w:rPr>
              <w:t>to the Quit Line (Opt-to-Quit), Baby &amp; Me Tobacco Free (available through NWCH</w:t>
            </w:r>
          </w:p>
          <w:p>
            <w:pPr>
              <w:pStyle w:val="TableParagraph"/>
              <w:spacing w:line="232" w:lineRule="auto"/>
              <w:ind w:left="93"/>
              <w:rPr>
                <w:sz w:val="18"/>
              </w:rPr>
            </w:pPr>
            <w:r>
              <w:rPr>
                <w:color w:val="105C84"/>
                <w:sz w:val="18"/>
              </w:rPr>
              <w:t>and</w:t>
            </w:r>
            <w:r>
              <w:rPr>
                <w:color w:val="105C84"/>
                <w:spacing w:val="-15"/>
                <w:sz w:val="18"/>
              </w:rPr>
              <w:t> </w:t>
            </w:r>
            <w:r>
              <w:rPr>
                <w:color w:val="105C84"/>
                <w:sz w:val="18"/>
              </w:rPr>
              <w:t>Public</w:t>
            </w:r>
            <w:r>
              <w:rPr>
                <w:color w:val="105C84"/>
                <w:spacing w:val="-12"/>
                <w:sz w:val="18"/>
              </w:rPr>
              <w:t> </w:t>
            </w:r>
            <w:r>
              <w:rPr>
                <w:color w:val="105C84"/>
                <w:sz w:val="18"/>
              </w:rPr>
              <w:t>Health),</w:t>
            </w:r>
            <w:r>
              <w:rPr>
                <w:color w:val="105C84"/>
                <w:spacing w:val="-13"/>
                <w:sz w:val="18"/>
              </w:rPr>
              <w:t> </w:t>
            </w:r>
            <w:r>
              <w:rPr>
                <w:color w:val="105C84"/>
                <w:sz w:val="18"/>
              </w:rPr>
              <w:t>and</w:t>
            </w:r>
            <w:r>
              <w:rPr>
                <w:color w:val="105C84"/>
                <w:spacing w:val="-12"/>
                <w:sz w:val="18"/>
              </w:rPr>
              <w:t> </w:t>
            </w:r>
            <w:r>
              <w:rPr>
                <w:color w:val="105C84"/>
                <w:sz w:val="18"/>
              </w:rPr>
              <w:t>Public Health’s tobacco cessation </w:t>
            </w:r>
            <w:r>
              <w:rPr>
                <w:color w:val="105C84"/>
                <w:spacing w:val="-2"/>
                <w:sz w:val="18"/>
              </w:rPr>
              <w:t>program.</w:t>
            </w:r>
          </w:p>
          <w:p>
            <w:pPr>
              <w:pStyle w:val="TableParagraph"/>
              <w:spacing w:line="232" w:lineRule="auto" w:before="83"/>
              <w:ind w:left="93" w:right="128"/>
              <w:rPr>
                <w:sz w:val="18"/>
              </w:rPr>
            </w:pPr>
            <w:r>
              <w:rPr>
                <w:color w:val="105C84"/>
                <w:sz w:val="18"/>
              </w:rPr>
              <w:t>CTFFL</w:t>
            </w:r>
            <w:r>
              <w:rPr>
                <w:color w:val="105C84"/>
                <w:spacing w:val="-9"/>
                <w:sz w:val="18"/>
              </w:rPr>
              <w:t> </w:t>
            </w:r>
            <w:r>
              <w:rPr>
                <w:color w:val="105C84"/>
                <w:sz w:val="18"/>
              </w:rPr>
              <w:t>to</w:t>
            </w:r>
            <w:r>
              <w:rPr>
                <w:color w:val="105C84"/>
                <w:spacing w:val="-9"/>
                <w:sz w:val="18"/>
              </w:rPr>
              <w:t> </w:t>
            </w:r>
            <w:r>
              <w:rPr>
                <w:color w:val="105C84"/>
                <w:sz w:val="18"/>
              </w:rPr>
              <w:t>continue</w:t>
            </w:r>
            <w:r>
              <w:rPr>
                <w:color w:val="105C84"/>
                <w:spacing w:val="-9"/>
                <w:sz w:val="18"/>
              </w:rPr>
              <w:t> </w:t>
            </w:r>
            <w:r>
              <w:rPr>
                <w:color w:val="105C84"/>
                <w:sz w:val="18"/>
              </w:rPr>
              <w:t>to</w:t>
            </w:r>
            <w:r>
              <w:rPr>
                <w:color w:val="105C84"/>
                <w:spacing w:val="-9"/>
                <w:sz w:val="18"/>
              </w:rPr>
              <w:t> </w:t>
            </w:r>
            <w:r>
              <w:rPr>
                <w:color w:val="105C84"/>
                <w:sz w:val="18"/>
              </w:rPr>
              <w:t>encourage health and mental health providers to connect their patients to the Quit Line and available cessation services</w:t>
            </w:r>
          </w:p>
        </w:tc>
        <w:tc>
          <w:tcPr>
            <w:tcW w:w="2188" w:type="dxa"/>
          </w:tcPr>
          <w:p>
            <w:pPr>
              <w:pStyle w:val="TableParagraph"/>
              <w:spacing w:line="232" w:lineRule="auto" w:before="96"/>
              <w:ind w:left="93" w:right="196"/>
              <w:rPr>
                <w:sz w:val="18"/>
              </w:rPr>
            </w:pPr>
            <w:r>
              <w:rPr>
                <w:color w:val="105C84"/>
                <w:sz w:val="18"/>
              </w:rPr>
              <w:t>Continue to promote tobacco cessation referrals</w:t>
            </w:r>
            <w:r>
              <w:rPr>
                <w:color w:val="105C84"/>
                <w:spacing w:val="-8"/>
                <w:sz w:val="18"/>
              </w:rPr>
              <w:t> </w:t>
            </w:r>
            <w:r>
              <w:rPr>
                <w:color w:val="105C84"/>
                <w:sz w:val="18"/>
              </w:rPr>
              <w:t>to</w:t>
            </w:r>
            <w:r>
              <w:rPr>
                <w:color w:val="105C84"/>
                <w:spacing w:val="-8"/>
                <w:sz w:val="18"/>
              </w:rPr>
              <w:t> </w:t>
            </w:r>
            <w:r>
              <w:rPr>
                <w:color w:val="105C84"/>
                <w:sz w:val="18"/>
              </w:rPr>
              <w:t>health</w:t>
            </w:r>
            <w:r>
              <w:rPr>
                <w:color w:val="105C84"/>
                <w:spacing w:val="-8"/>
                <w:sz w:val="18"/>
              </w:rPr>
              <w:t> </w:t>
            </w:r>
            <w:r>
              <w:rPr>
                <w:color w:val="105C84"/>
                <w:sz w:val="18"/>
              </w:rPr>
              <w:t>care providers to increase the</w:t>
            </w:r>
            <w:r>
              <w:rPr>
                <w:color w:val="105C84"/>
                <w:spacing w:val="-8"/>
                <w:sz w:val="18"/>
              </w:rPr>
              <w:t> </w:t>
            </w:r>
            <w:r>
              <w:rPr>
                <w:color w:val="105C84"/>
                <w:sz w:val="18"/>
              </w:rPr>
              <w:t>number</w:t>
            </w:r>
            <w:r>
              <w:rPr>
                <w:color w:val="105C84"/>
                <w:spacing w:val="-8"/>
                <w:sz w:val="18"/>
              </w:rPr>
              <w:t> </w:t>
            </w:r>
            <w:r>
              <w:rPr>
                <w:color w:val="105C84"/>
                <w:sz w:val="18"/>
              </w:rPr>
              <w:t>of</w:t>
            </w:r>
            <w:r>
              <w:rPr>
                <w:color w:val="105C84"/>
                <w:spacing w:val="-8"/>
                <w:sz w:val="18"/>
              </w:rPr>
              <w:t> </w:t>
            </w:r>
            <w:r>
              <w:rPr>
                <w:color w:val="105C84"/>
                <w:sz w:val="18"/>
              </w:rPr>
              <w:t>persons who are connected</w:t>
            </w:r>
          </w:p>
          <w:p>
            <w:pPr>
              <w:pStyle w:val="TableParagraph"/>
              <w:spacing w:line="232" w:lineRule="auto"/>
              <w:ind w:left="93"/>
              <w:rPr>
                <w:sz w:val="18"/>
              </w:rPr>
            </w:pPr>
            <w:r>
              <w:rPr>
                <w:color w:val="105C84"/>
                <w:w w:val="105"/>
                <w:sz w:val="18"/>
              </w:rPr>
              <w:t>to quitting resources </w:t>
            </w:r>
            <w:r>
              <w:rPr>
                <w:color w:val="105C84"/>
                <w:sz w:val="18"/>
              </w:rPr>
              <w:t>through</w:t>
            </w:r>
            <w:r>
              <w:rPr>
                <w:color w:val="105C84"/>
                <w:spacing w:val="-6"/>
                <w:sz w:val="18"/>
              </w:rPr>
              <w:t> </w:t>
            </w:r>
            <w:r>
              <w:rPr>
                <w:color w:val="105C84"/>
                <w:sz w:val="18"/>
              </w:rPr>
              <w:t>their</w:t>
            </w:r>
            <w:r>
              <w:rPr>
                <w:color w:val="105C84"/>
                <w:spacing w:val="-6"/>
                <w:sz w:val="18"/>
              </w:rPr>
              <w:t> </w:t>
            </w:r>
            <w:r>
              <w:rPr>
                <w:color w:val="105C84"/>
                <w:sz w:val="18"/>
              </w:rPr>
              <w:t>health</w:t>
            </w:r>
            <w:r>
              <w:rPr>
                <w:color w:val="105C84"/>
                <w:spacing w:val="-6"/>
                <w:sz w:val="18"/>
              </w:rPr>
              <w:t> </w:t>
            </w:r>
            <w:r>
              <w:rPr>
                <w:color w:val="105C84"/>
                <w:sz w:val="18"/>
              </w:rPr>
              <w:t>care </w:t>
            </w:r>
            <w:r>
              <w:rPr>
                <w:color w:val="105C84"/>
                <w:spacing w:val="-2"/>
                <w:w w:val="105"/>
                <w:sz w:val="18"/>
              </w:rPr>
              <w:t>provider.</w:t>
            </w:r>
          </w:p>
          <w:p>
            <w:pPr>
              <w:pStyle w:val="TableParagraph"/>
              <w:spacing w:line="232" w:lineRule="auto" w:before="83"/>
              <w:ind w:left="93" w:right="147"/>
              <w:rPr>
                <w:sz w:val="18"/>
              </w:rPr>
            </w:pPr>
            <w:r>
              <w:rPr>
                <w:color w:val="105C84"/>
                <w:sz w:val="18"/>
              </w:rPr>
              <w:t>NWCH to continue to encourage</w:t>
            </w:r>
            <w:r>
              <w:rPr>
                <w:color w:val="105C84"/>
                <w:spacing w:val="-7"/>
                <w:sz w:val="18"/>
              </w:rPr>
              <w:t> </w:t>
            </w:r>
            <w:r>
              <w:rPr>
                <w:color w:val="105C84"/>
                <w:sz w:val="18"/>
              </w:rPr>
              <w:t>their</w:t>
            </w:r>
            <w:r>
              <w:rPr>
                <w:color w:val="105C84"/>
                <w:spacing w:val="-7"/>
                <w:sz w:val="18"/>
              </w:rPr>
              <w:t> </w:t>
            </w:r>
            <w:r>
              <w:rPr>
                <w:color w:val="105C84"/>
                <w:sz w:val="18"/>
              </w:rPr>
              <w:t>network of providers to connect their smoking patients</w:t>
            </w:r>
            <w:r>
              <w:rPr>
                <w:color w:val="105C84"/>
                <w:spacing w:val="80"/>
                <w:sz w:val="18"/>
              </w:rPr>
              <w:t> </w:t>
            </w:r>
            <w:r>
              <w:rPr>
                <w:color w:val="105C84"/>
                <w:sz w:val="18"/>
              </w:rPr>
              <w:t>to the Quit Line (Opt-</w:t>
            </w:r>
          </w:p>
          <w:p>
            <w:pPr>
              <w:pStyle w:val="TableParagraph"/>
              <w:spacing w:line="232" w:lineRule="auto"/>
              <w:ind w:left="93" w:right="199"/>
              <w:rPr>
                <w:sz w:val="18"/>
              </w:rPr>
            </w:pPr>
            <w:r>
              <w:rPr>
                <w:color w:val="105C84"/>
                <w:sz w:val="18"/>
              </w:rPr>
              <w:t>to-Quit), Baby &amp; Me </w:t>
            </w:r>
            <w:r>
              <w:rPr>
                <w:color w:val="105C84"/>
                <w:spacing w:val="-2"/>
                <w:sz w:val="18"/>
              </w:rPr>
              <w:t>Tobacco</w:t>
            </w:r>
            <w:r>
              <w:rPr>
                <w:color w:val="105C84"/>
                <w:spacing w:val="-13"/>
                <w:sz w:val="18"/>
              </w:rPr>
              <w:t> </w:t>
            </w:r>
            <w:r>
              <w:rPr>
                <w:color w:val="105C84"/>
                <w:spacing w:val="-2"/>
                <w:sz w:val="18"/>
              </w:rPr>
              <w:t>Free</w:t>
            </w:r>
            <w:r>
              <w:rPr>
                <w:color w:val="105C84"/>
                <w:spacing w:val="-10"/>
                <w:sz w:val="18"/>
              </w:rPr>
              <w:t> </w:t>
            </w:r>
            <w:r>
              <w:rPr>
                <w:color w:val="105C84"/>
                <w:spacing w:val="-2"/>
                <w:sz w:val="18"/>
              </w:rPr>
              <w:t>(available </w:t>
            </w:r>
            <w:r>
              <w:rPr>
                <w:color w:val="105C84"/>
                <w:sz w:val="18"/>
              </w:rPr>
              <w:t>through NWCH and Public Health), and Public</w:t>
            </w:r>
            <w:r>
              <w:rPr>
                <w:color w:val="105C84"/>
                <w:spacing w:val="-15"/>
                <w:sz w:val="18"/>
              </w:rPr>
              <w:t> </w:t>
            </w:r>
            <w:r>
              <w:rPr>
                <w:color w:val="105C84"/>
                <w:sz w:val="18"/>
              </w:rPr>
              <w:t>Health’s</w:t>
            </w:r>
            <w:r>
              <w:rPr>
                <w:color w:val="105C84"/>
                <w:spacing w:val="-12"/>
                <w:sz w:val="18"/>
              </w:rPr>
              <w:t> </w:t>
            </w:r>
            <w:r>
              <w:rPr>
                <w:color w:val="105C84"/>
                <w:sz w:val="18"/>
              </w:rPr>
              <w:t>tobacco cessation program.</w:t>
            </w:r>
          </w:p>
          <w:p>
            <w:pPr>
              <w:pStyle w:val="TableParagraph"/>
              <w:spacing w:line="232" w:lineRule="auto" w:before="82"/>
              <w:ind w:left="93" w:right="90"/>
              <w:rPr>
                <w:sz w:val="18"/>
              </w:rPr>
            </w:pPr>
            <w:r>
              <w:rPr>
                <w:color w:val="105C84"/>
                <w:sz w:val="18"/>
              </w:rPr>
              <w:t>CTFFL to continue to encourage health and mental health providers to connect their </w:t>
            </w:r>
            <w:r>
              <w:rPr>
                <w:color w:val="105C84"/>
                <w:sz w:val="18"/>
              </w:rPr>
              <w:t>patients to the Quit Line and available cessation </w:t>
            </w:r>
            <w:r>
              <w:rPr>
                <w:color w:val="105C84"/>
                <w:spacing w:val="-2"/>
                <w:sz w:val="18"/>
              </w:rPr>
              <w:t>services</w:t>
            </w:r>
          </w:p>
        </w:tc>
        <w:tc>
          <w:tcPr>
            <w:tcW w:w="1497" w:type="dxa"/>
          </w:tcPr>
          <w:p>
            <w:pPr>
              <w:pStyle w:val="TableParagraph"/>
              <w:spacing w:before="91"/>
              <w:ind w:left="94"/>
              <w:rPr>
                <w:sz w:val="18"/>
              </w:rPr>
            </w:pPr>
            <w:r>
              <w:rPr>
                <w:color w:val="105C84"/>
                <w:spacing w:val="-2"/>
                <w:sz w:val="18"/>
              </w:rPr>
              <w:t>Hospital</w:t>
            </w:r>
          </w:p>
        </w:tc>
        <w:tc>
          <w:tcPr>
            <w:tcW w:w="1413" w:type="dxa"/>
          </w:tcPr>
          <w:p>
            <w:pPr>
              <w:pStyle w:val="TableParagraph"/>
              <w:spacing w:line="232" w:lineRule="auto" w:before="96"/>
              <w:ind w:left="95" w:right="72"/>
              <w:rPr>
                <w:sz w:val="18"/>
              </w:rPr>
            </w:pPr>
            <w:r>
              <w:rPr>
                <w:color w:val="105C84"/>
                <w:sz w:val="18"/>
              </w:rPr>
              <w:t>For partner roles, see projected</w:t>
            </w:r>
            <w:r>
              <w:rPr>
                <w:color w:val="105C84"/>
                <w:spacing w:val="-13"/>
                <w:sz w:val="18"/>
              </w:rPr>
              <w:t> </w:t>
            </w:r>
            <w:r>
              <w:rPr>
                <w:color w:val="105C84"/>
                <w:sz w:val="18"/>
              </w:rPr>
              <w:t>year </w:t>
            </w:r>
            <w:r>
              <w:rPr>
                <w:color w:val="105C84"/>
                <w:spacing w:val="-2"/>
                <w:sz w:val="18"/>
              </w:rPr>
              <w:t>columns</w:t>
            </w:r>
          </w:p>
          <w:p>
            <w:pPr>
              <w:pStyle w:val="TableParagraph"/>
              <w:spacing w:line="232" w:lineRule="auto" w:before="87"/>
              <w:ind w:left="95" w:right="72"/>
              <w:rPr>
                <w:sz w:val="18"/>
              </w:rPr>
            </w:pPr>
            <w:r>
              <w:rPr>
                <w:color w:val="105C84"/>
                <w:spacing w:val="-2"/>
                <w:sz w:val="18"/>
              </w:rPr>
              <w:t>Resources: </w:t>
            </w:r>
            <w:r>
              <w:rPr>
                <w:color w:val="105C84"/>
                <w:sz w:val="18"/>
              </w:rPr>
              <w:t>Baseline data on how many </w:t>
            </w:r>
            <w:r>
              <w:rPr>
                <w:color w:val="105C84"/>
                <w:spacing w:val="-2"/>
                <w:sz w:val="18"/>
              </w:rPr>
              <w:t>providers consistently </w:t>
            </w:r>
            <w:r>
              <w:rPr>
                <w:color w:val="105C84"/>
                <w:sz w:val="18"/>
              </w:rPr>
              <w:t>refer smoking patients to </w:t>
            </w:r>
            <w:r>
              <w:rPr>
                <w:color w:val="105C84"/>
                <w:spacing w:val="-2"/>
                <w:sz w:val="18"/>
              </w:rPr>
              <w:t>resources,</w:t>
            </w:r>
            <w:r>
              <w:rPr>
                <w:color w:val="105C84"/>
                <w:spacing w:val="-11"/>
                <w:sz w:val="18"/>
              </w:rPr>
              <w:t> </w:t>
            </w:r>
            <w:r>
              <w:rPr>
                <w:color w:val="105C84"/>
                <w:spacing w:val="-2"/>
                <w:sz w:val="18"/>
              </w:rPr>
              <w:t>Quit </w:t>
            </w:r>
            <w:r>
              <w:rPr>
                <w:color w:val="105C84"/>
                <w:sz w:val="18"/>
              </w:rPr>
              <w:t>Line reports provided by </w:t>
            </w:r>
            <w:r>
              <w:rPr>
                <w:color w:val="105C84"/>
                <w:spacing w:val="-2"/>
                <w:sz w:val="18"/>
              </w:rPr>
              <w:t>CTFFL</w:t>
            </w:r>
          </w:p>
        </w:tc>
      </w:tr>
    </w:tbl>
    <w:p>
      <w:pPr>
        <w:pStyle w:val="BodyText"/>
        <w:spacing w:before="106"/>
        <w:rPr>
          <w:b/>
          <w:sz w:val="26"/>
        </w:rPr>
      </w:pPr>
    </w:p>
    <w:p>
      <w:pPr>
        <w:tabs>
          <w:tab w:pos="23047" w:val="left" w:leader="none"/>
        </w:tabs>
        <w:spacing w:before="0"/>
        <w:ind w:left="0" w:right="0" w:firstLine="0"/>
        <w:jc w:val="left"/>
        <w:rPr>
          <w:b/>
          <w:sz w:val="26"/>
        </w:rPr>
      </w:pPr>
      <w:r>
        <w:rPr>
          <w:position w:val="-4"/>
        </w:rPr>
        <w:drawing>
          <wp:inline distT="0" distB="0" distL="0" distR="0">
            <wp:extent cx="568172" cy="184683"/>
            <wp:effectExtent l="0" t="0" r="0" b="0"/>
            <wp:docPr id="2040" name="Image 2040"/>
            <wp:cNvGraphicFramePr>
              <a:graphicFrameLocks/>
            </wp:cNvGraphicFramePr>
            <a:graphic>
              <a:graphicData uri="http://schemas.openxmlformats.org/drawingml/2006/picture">
                <pic:pic>
                  <pic:nvPicPr>
                    <pic:cNvPr id="2040" name="Image 2040"/>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13"/>
          <w:sz w:val="20"/>
        </w:rPr>
        <w:t> </w:t>
      </w:r>
      <w:r>
        <w:rPr>
          <w:b/>
          <w:color w:val="939598"/>
          <w:w w:val="105"/>
          <w:sz w:val="26"/>
        </w:rPr>
        <w:t>219</w:t>
      </w:r>
      <w:r>
        <w:rPr>
          <w:b/>
          <w:color w:val="939598"/>
          <w:sz w:val="26"/>
        </w:rPr>
        <w:tab/>
      </w:r>
      <w:r>
        <w:rPr>
          <w:b/>
          <w:color w:val="939598"/>
          <w:spacing w:val="-5"/>
          <w:w w:val="105"/>
          <w:sz w:val="26"/>
        </w:rPr>
        <w:t>220</w:t>
      </w:r>
    </w:p>
    <w:p>
      <w:pPr>
        <w:spacing w:after="0"/>
        <w:jc w:val="left"/>
        <w:rPr>
          <w:b/>
          <w:sz w:val="26"/>
        </w:rPr>
        <w:sectPr>
          <w:pgSz w:w="24480" w:h="15840" w:orient="landscape"/>
          <w:pgMar w:header="0" w:footer="0" w:top="860" w:bottom="0" w:left="0" w:right="720"/>
        </w:sectPr>
      </w:pPr>
    </w:p>
    <w:p>
      <w:pPr>
        <w:spacing w:before="609"/>
        <w:ind w:left="1089" w:right="0" w:firstLine="0"/>
        <w:jc w:val="left"/>
        <w:rPr>
          <w:sz w:val="54"/>
        </w:rPr>
      </w:pPr>
      <w:r>
        <w:rPr>
          <w:sz w:val="54"/>
        </w:rPr>
        <w:drawing>
          <wp:anchor distT="0" distB="0" distL="0" distR="0" allowOverlap="1" layoutInCell="1" locked="0" behindDoc="0" simplePos="0" relativeHeight="16035328">
            <wp:simplePos x="0" y="0"/>
            <wp:positionH relativeFrom="page">
              <wp:posOffset>14299183</wp:posOffset>
            </wp:positionH>
            <wp:positionV relativeFrom="paragraph">
              <wp:posOffset>345947</wp:posOffset>
            </wp:positionV>
            <wp:extent cx="620268" cy="568578"/>
            <wp:effectExtent l="0" t="0" r="0" b="0"/>
            <wp:wrapNone/>
            <wp:docPr id="2041" name="Image 2041"/>
            <wp:cNvGraphicFramePr>
              <a:graphicFrameLocks/>
            </wp:cNvGraphicFramePr>
            <a:graphic>
              <a:graphicData uri="http://schemas.openxmlformats.org/drawingml/2006/picture">
                <pic:pic>
                  <pic:nvPicPr>
                    <pic:cNvPr id="2041" name="Image 2041"/>
                    <pic:cNvPicPr/>
                  </pic:nvPicPr>
                  <pic:blipFill>
                    <a:blip r:embed="rId265" cstate="print"/>
                    <a:stretch>
                      <a:fillRect/>
                    </a:stretch>
                  </pic:blipFill>
                  <pic:spPr>
                    <a:xfrm>
                      <a:off x="0" y="0"/>
                      <a:ext cx="620268" cy="568578"/>
                    </a:xfrm>
                    <a:prstGeom prst="rect">
                      <a:avLst/>
                    </a:prstGeom>
                  </pic:spPr>
                </pic:pic>
              </a:graphicData>
            </a:graphic>
          </wp:anchor>
        </w:drawing>
      </w:r>
      <w:r>
        <w:rPr>
          <w:sz w:val="54"/>
        </w:rPr>
        <w:drawing>
          <wp:anchor distT="0" distB="0" distL="0" distR="0" allowOverlap="1" layoutInCell="1" locked="0" behindDoc="0" simplePos="0" relativeHeight="16035840">
            <wp:simplePos x="0" y="0"/>
            <wp:positionH relativeFrom="page">
              <wp:posOffset>14981556</wp:posOffset>
            </wp:positionH>
            <wp:positionV relativeFrom="page">
              <wp:posOffset>9668103</wp:posOffset>
            </wp:positionV>
            <wp:extent cx="563245" cy="184683"/>
            <wp:effectExtent l="0" t="0" r="0" b="0"/>
            <wp:wrapNone/>
            <wp:docPr id="2042" name="Image 2042"/>
            <wp:cNvGraphicFramePr>
              <a:graphicFrameLocks/>
            </wp:cNvGraphicFramePr>
            <a:graphic>
              <a:graphicData uri="http://schemas.openxmlformats.org/drawingml/2006/picture">
                <pic:pic>
                  <pic:nvPicPr>
                    <pic:cNvPr id="2042" name="Image 2042"/>
                    <pic:cNvPicPr/>
                  </pic:nvPicPr>
                  <pic:blipFill>
                    <a:blip r:embed="rId38" cstate="print"/>
                    <a:stretch>
                      <a:fillRect/>
                    </a:stretch>
                  </pic:blipFill>
                  <pic:spPr>
                    <a:xfrm>
                      <a:off x="0" y="0"/>
                      <a:ext cx="563245" cy="184683"/>
                    </a:xfrm>
                    <a:prstGeom prst="rect">
                      <a:avLst/>
                    </a:prstGeom>
                  </pic:spPr>
                </pic:pic>
              </a:graphicData>
            </a:graphic>
          </wp:anchor>
        </w:drawing>
      </w:r>
      <w:r>
        <w:rPr>
          <w:sz w:val="54"/>
        </w:rPr>
        <w:drawing>
          <wp:anchor distT="0" distB="0" distL="0" distR="0" allowOverlap="1" layoutInCell="1" locked="0" behindDoc="0" simplePos="0" relativeHeight="16036352">
            <wp:simplePos x="0" y="0"/>
            <wp:positionH relativeFrom="page">
              <wp:posOffset>13372084</wp:posOffset>
            </wp:positionH>
            <wp:positionV relativeFrom="paragraph">
              <wp:posOffset>365759</wp:posOffset>
            </wp:positionV>
            <wp:extent cx="728345" cy="366522"/>
            <wp:effectExtent l="0" t="0" r="0" b="0"/>
            <wp:wrapNone/>
            <wp:docPr id="2043" name="Image 2043"/>
            <wp:cNvGraphicFramePr>
              <a:graphicFrameLocks/>
            </wp:cNvGraphicFramePr>
            <a:graphic>
              <a:graphicData uri="http://schemas.openxmlformats.org/drawingml/2006/picture">
                <pic:pic>
                  <pic:nvPicPr>
                    <pic:cNvPr id="2043" name="Image 2043"/>
                    <pic:cNvPicPr/>
                  </pic:nvPicPr>
                  <pic:blipFill>
                    <a:blip r:embed="rId266" cstate="print"/>
                    <a:stretch>
                      <a:fillRect/>
                    </a:stretch>
                  </pic:blipFill>
                  <pic:spPr>
                    <a:xfrm>
                      <a:off x="0" y="0"/>
                      <a:ext cx="728345" cy="366522"/>
                    </a:xfrm>
                    <a:prstGeom prst="rect">
                      <a:avLst/>
                    </a:prstGeom>
                  </pic:spPr>
                </pic:pic>
              </a:graphicData>
            </a:graphic>
          </wp:anchor>
        </w:drawing>
      </w:r>
      <w:r>
        <w:rPr>
          <w:color w:val="636466"/>
          <w:sz w:val="54"/>
        </w:rPr>
        <w:t>Wayne</w:t>
      </w:r>
      <w:r>
        <w:rPr>
          <w:color w:val="636466"/>
          <w:spacing w:val="37"/>
          <w:sz w:val="54"/>
        </w:rPr>
        <w:t> </w:t>
      </w:r>
      <w:r>
        <w:rPr>
          <w:color w:val="636466"/>
          <w:sz w:val="54"/>
        </w:rPr>
        <w:t>County</w:t>
      </w:r>
      <w:r>
        <w:rPr>
          <w:color w:val="636466"/>
          <w:spacing w:val="38"/>
          <w:sz w:val="54"/>
        </w:rPr>
        <w:t> </w:t>
      </w:r>
      <w:r>
        <w:rPr>
          <w:color w:val="636466"/>
          <w:sz w:val="54"/>
        </w:rPr>
        <w:t>Appendix</w:t>
      </w:r>
      <w:r>
        <w:rPr>
          <w:color w:val="636466"/>
          <w:spacing w:val="38"/>
          <w:sz w:val="54"/>
        </w:rPr>
        <w:t> </w:t>
      </w:r>
      <w:r>
        <w:rPr>
          <w:color w:val="636466"/>
          <w:spacing w:val="-10"/>
          <w:sz w:val="54"/>
        </w:rPr>
        <w:t>G</w:t>
      </w:r>
    </w:p>
    <w:p>
      <w:pPr>
        <w:spacing w:before="236"/>
        <w:ind w:left="1089" w:right="0" w:firstLine="0"/>
        <w:jc w:val="left"/>
        <w:rPr>
          <w:b/>
          <w:sz w:val="32"/>
        </w:rPr>
      </w:pPr>
      <w:r>
        <w:rPr>
          <w:b/>
          <w:color w:val="82BF6A"/>
          <w:spacing w:val="-6"/>
          <w:sz w:val="32"/>
        </w:rPr>
        <w:t>PRIORITY:</w:t>
      </w:r>
      <w:r>
        <w:rPr>
          <w:b/>
          <w:color w:val="82BF6A"/>
          <w:spacing w:val="-13"/>
          <w:sz w:val="32"/>
        </w:rPr>
        <w:t> </w:t>
      </w:r>
      <w:r>
        <w:rPr>
          <w:b/>
          <w:color w:val="82BF6A"/>
          <w:spacing w:val="-6"/>
          <w:sz w:val="32"/>
        </w:rPr>
        <w:t>PREVENT</w:t>
      </w:r>
      <w:r>
        <w:rPr>
          <w:b/>
          <w:color w:val="82BF6A"/>
          <w:spacing w:val="-13"/>
          <w:sz w:val="32"/>
        </w:rPr>
        <w:t> </w:t>
      </w:r>
      <w:r>
        <w:rPr>
          <w:b/>
          <w:color w:val="82BF6A"/>
          <w:spacing w:val="-6"/>
          <w:sz w:val="32"/>
        </w:rPr>
        <w:t>CHRONIC</w:t>
      </w:r>
      <w:r>
        <w:rPr>
          <w:b/>
          <w:color w:val="82BF6A"/>
          <w:spacing w:val="-13"/>
          <w:sz w:val="32"/>
        </w:rPr>
        <w:t> </w:t>
      </w:r>
      <w:r>
        <w:rPr>
          <w:b/>
          <w:color w:val="82BF6A"/>
          <w:spacing w:val="-6"/>
          <w:sz w:val="32"/>
        </w:rPr>
        <w:t>DISEASES</w:t>
      </w:r>
    </w:p>
    <w:p>
      <w:pPr>
        <w:pStyle w:val="BodyText"/>
        <w:spacing w:before="162"/>
        <w:rPr>
          <w:b/>
          <w:sz w:val="20"/>
        </w:rPr>
      </w:pPr>
    </w:p>
    <w:tbl>
      <w:tblPr>
        <w:tblW w:w="0" w:type="auto"/>
        <w:jc w:val="left"/>
        <w:tblInd w:w="1099"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1036"/>
        <w:gridCol w:w="1267"/>
        <w:gridCol w:w="1440"/>
        <w:gridCol w:w="1411"/>
        <w:gridCol w:w="1065"/>
        <w:gridCol w:w="1900"/>
        <w:gridCol w:w="6299"/>
        <w:gridCol w:w="2836"/>
        <w:gridCol w:w="2008"/>
        <w:gridCol w:w="1497"/>
        <w:gridCol w:w="1550"/>
      </w:tblGrid>
      <w:tr>
        <w:trPr>
          <w:trHeight w:val="730" w:hRule="atLeast"/>
        </w:trPr>
        <w:tc>
          <w:tcPr>
            <w:tcW w:w="1036" w:type="dxa"/>
            <w:tcBorders>
              <w:right w:val="single" w:sz="4" w:space="0" w:color="FFFFFF"/>
            </w:tcBorders>
            <w:shd w:val="clear" w:color="auto" w:fill="A7A9AC"/>
          </w:tcPr>
          <w:p>
            <w:pPr>
              <w:pStyle w:val="TableParagraph"/>
              <w:spacing w:before="79"/>
              <w:rPr>
                <w:b/>
                <w:sz w:val="18"/>
              </w:rPr>
            </w:pPr>
          </w:p>
          <w:p>
            <w:pPr>
              <w:pStyle w:val="TableParagraph"/>
              <w:ind w:left="79"/>
              <w:rPr>
                <w:b/>
                <w:sz w:val="18"/>
              </w:rPr>
            </w:pPr>
            <w:r>
              <w:rPr>
                <w:b/>
                <w:color w:val="FFFFFF"/>
                <w:spacing w:val="-2"/>
                <w:sz w:val="18"/>
              </w:rPr>
              <w:t>Priority</w:t>
            </w:r>
          </w:p>
        </w:tc>
        <w:tc>
          <w:tcPr>
            <w:tcW w:w="1267" w:type="dxa"/>
            <w:tcBorders>
              <w:left w:val="single" w:sz="4" w:space="0" w:color="FFFFFF"/>
              <w:right w:val="single" w:sz="4" w:space="0" w:color="FFFFFF"/>
            </w:tcBorders>
            <w:shd w:val="clear" w:color="auto" w:fill="A7A9AC"/>
          </w:tcPr>
          <w:p>
            <w:pPr>
              <w:pStyle w:val="TableParagraph"/>
              <w:spacing w:before="79"/>
              <w:rPr>
                <w:b/>
                <w:sz w:val="18"/>
              </w:rPr>
            </w:pPr>
          </w:p>
          <w:p>
            <w:pPr>
              <w:pStyle w:val="TableParagraph"/>
              <w:ind w:left="80"/>
              <w:rPr>
                <w:b/>
                <w:sz w:val="18"/>
              </w:rPr>
            </w:pPr>
            <w:r>
              <w:rPr>
                <w:b/>
                <w:color w:val="FFFFFF"/>
                <w:w w:val="90"/>
                <w:sz w:val="18"/>
              </w:rPr>
              <w:t>Focus</w:t>
            </w:r>
            <w:r>
              <w:rPr>
                <w:b/>
                <w:color w:val="FFFFFF"/>
                <w:spacing w:val="8"/>
                <w:sz w:val="18"/>
              </w:rPr>
              <w:t> </w:t>
            </w:r>
            <w:r>
              <w:rPr>
                <w:b/>
                <w:color w:val="FFFFFF"/>
                <w:spacing w:val="-4"/>
                <w:sz w:val="18"/>
              </w:rPr>
              <w:t>Area</w:t>
            </w:r>
          </w:p>
        </w:tc>
        <w:tc>
          <w:tcPr>
            <w:tcW w:w="1440" w:type="dxa"/>
            <w:tcBorders>
              <w:left w:val="single" w:sz="4" w:space="0" w:color="FFFFFF"/>
              <w:right w:val="single" w:sz="4" w:space="0" w:color="FFFFFF"/>
            </w:tcBorders>
            <w:shd w:val="clear" w:color="auto" w:fill="A7A9AC"/>
          </w:tcPr>
          <w:p>
            <w:pPr>
              <w:pStyle w:val="TableParagraph"/>
              <w:spacing w:line="232" w:lineRule="auto" w:before="191"/>
              <w:ind w:left="80" w:right="410"/>
              <w:rPr>
                <w:b/>
                <w:sz w:val="18"/>
              </w:rPr>
            </w:pPr>
            <w:r>
              <w:rPr>
                <w:b/>
                <w:color w:val="FFFFFF"/>
                <w:spacing w:val="-6"/>
                <w:sz w:val="18"/>
              </w:rPr>
              <w:t>Goal</w:t>
            </w:r>
            <w:r>
              <w:rPr>
                <w:b/>
                <w:color w:val="FFFFFF"/>
                <w:spacing w:val="-7"/>
                <w:sz w:val="18"/>
              </w:rPr>
              <w:t> </w:t>
            </w:r>
            <w:r>
              <w:rPr>
                <w:b/>
                <w:color w:val="FFFFFF"/>
                <w:spacing w:val="-6"/>
                <w:sz w:val="18"/>
              </w:rPr>
              <w:t>Focus </w:t>
            </w:r>
            <w:r>
              <w:rPr>
                <w:b/>
                <w:color w:val="FFFFFF"/>
                <w:spacing w:val="-4"/>
                <w:sz w:val="18"/>
              </w:rPr>
              <w:t>Area</w:t>
            </w:r>
          </w:p>
        </w:tc>
        <w:tc>
          <w:tcPr>
            <w:tcW w:w="1411" w:type="dxa"/>
            <w:tcBorders>
              <w:left w:val="single" w:sz="4" w:space="0" w:color="FFFFFF"/>
              <w:right w:val="single" w:sz="4" w:space="0" w:color="FFFFFF"/>
            </w:tcBorders>
            <w:shd w:val="clear" w:color="auto" w:fill="A7A9AC"/>
          </w:tcPr>
          <w:p>
            <w:pPr>
              <w:pStyle w:val="TableParagraph"/>
              <w:spacing w:before="79"/>
              <w:rPr>
                <w:b/>
                <w:sz w:val="18"/>
              </w:rPr>
            </w:pPr>
          </w:p>
          <w:p>
            <w:pPr>
              <w:pStyle w:val="TableParagraph"/>
              <w:ind w:left="80"/>
              <w:rPr>
                <w:b/>
                <w:sz w:val="18"/>
              </w:rPr>
            </w:pPr>
            <w:r>
              <w:rPr>
                <w:b/>
                <w:color w:val="FFFFFF"/>
                <w:spacing w:val="-2"/>
                <w:sz w:val="18"/>
              </w:rPr>
              <w:t>Objectives</w:t>
            </w:r>
          </w:p>
        </w:tc>
        <w:tc>
          <w:tcPr>
            <w:tcW w:w="1065" w:type="dxa"/>
            <w:tcBorders>
              <w:left w:val="single" w:sz="4" w:space="0" w:color="FFFFFF"/>
              <w:right w:val="single" w:sz="4" w:space="0" w:color="FFFFFF"/>
            </w:tcBorders>
            <w:shd w:val="clear" w:color="auto" w:fill="A7A9AC"/>
          </w:tcPr>
          <w:p>
            <w:pPr>
              <w:pStyle w:val="TableParagraph"/>
              <w:spacing w:before="79"/>
              <w:rPr>
                <w:b/>
                <w:sz w:val="18"/>
              </w:rPr>
            </w:pPr>
          </w:p>
          <w:p>
            <w:pPr>
              <w:pStyle w:val="TableParagraph"/>
              <w:ind w:left="80"/>
              <w:rPr>
                <w:b/>
                <w:sz w:val="18"/>
              </w:rPr>
            </w:pPr>
            <w:r>
              <w:rPr>
                <w:b/>
                <w:color w:val="FFFFFF"/>
                <w:spacing w:val="-2"/>
                <w:sz w:val="18"/>
              </w:rPr>
              <w:t>Disparities</w:t>
            </w:r>
          </w:p>
        </w:tc>
        <w:tc>
          <w:tcPr>
            <w:tcW w:w="1900" w:type="dxa"/>
            <w:tcBorders>
              <w:left w:val="single" w:sz="4" w:space="0" w:color="FFFFFF"/>
              <w:right w:val="single" w:sz="4" w:space="0" w:color="FFFFFF"/>
            </w:tcBorders>
            <w:shd w:val="clear" w:color="auto" w:fill="A7A9AC"/>
          </w:tcPr>
          <w:p>
            <w:pPr>
              <w:pStyle w:val="TableParagraph"/>
              <w:spacing w:before="79"/>
              <w:rPr>
                <w:b/>
                <w:sz w:val="18"/>
              </w:rPr>
            </w:pPr>
          </w:p>
          <w:p>
            <w:pPr>
              <w:pStyle w:val="TableParagraph"/>
              <w:ind w:left="81"/>
              <w:rPr>
                <w:b/>
                <w:sz w:val="18"/>
              </w:rPr>
            </w:pPr>
            <w:r>
              <w:rPr>
                <w:b/>
                <w:color w:val="FFFFFF"/>
                <w:spacing w:val="-2"/>
                <w:sz w:val="18"/>
              </w:rPr>
              <w:t>Interventions</w:t>
            </w:r>
          </w:p>
        </w:tc>
        <w:tc>
          <w:tcPr>
            <w:tcW w:w="6299" w:type="dxa"/>
            <w:tcBorders>
              <w:left w:val="single" w:sz="4" w:space="0" w:color="FFFFFF"/>
              <w:right w:val="single" w:sz="4" w:space="0" w:color="FFFFFF"/>
            </w:tcBorders>
            <w:shd w:val="clear" w:color="auto" w:fill="A7A9AC"/>
          </w:tcPr>
          <w:p>
            <w:pPr>
              <w:pStyle w:val="TableParagraph"/>
              <w:spacing w:before="3"/>
              <w:rPr>
                <w:b/>
                <w:sz w:val="18"/>
              </w:rPr>
            </w:pPr>
          </w:p>
          <w:p>
            <w:pPr>
              <w:pStyle w:val="TableParagraph"/>
              <w:tabs>
                <w:tab w:pos="4106" w:val="left" w:leader="none"/>
              </w:tabs>
              <w:spacing w:line="156" w:lineRule="auto"/>
              <w:ind w:left="4106" w:right="74" w:hanging="4014"/>
              <w:rPr>
                <w:b/>
                <w:sz w:val="18"/>
              </w:rPr>
            </w:pPr>
            <w:r>
              <w:rPr>
                <w:b/>
                <w:color w:val="FFFFFF"/>
                <w:position w:val="-9"/>
                <w:sz w:val="18"/>
              </w:rPr>
              <w:t>Family of Measures</w:t>
              <w:tab/>
            </w:r>
            <w:r>
              <w:rPr>
                <w:b/>
                <w:color w:val="FFFFFF"/>
                <w:sz w:val="18"/>
              </w:rPr>
              <w:t>Projected</w:t>
            </w:r>
            <w:r>
              <w:rPr>
                <w:b/>
                <w:color w:val="FFFFFF"/>
                <w:spacing w:val="-15"/>
                <w:sz w:val="18"/>
              </w:rPr>
              <w:t> </w:t>
            </w:r>
            <w:r>
              <w:rPr>
                <w:b/>
                <w:color w:val="FFFFFF"/>
                <w:sz w:val="18"/>
              </w:rPr>
              <w:t>(or</w:t>
            </w:r>
            <w:r>
              <w:rPr>
                <w:b/>
                <w:color w:val="FFFFFF"/>
                <w:spacing w:val="-12"/>
                <w:sz w:val="18"/>
              </w:rPr>
              <w:t> </w:t>
            </w:r>
            <w:r>
              <w:rPr>
                <w:b/>
                <w:color w:val="FFFFFF"/>
                <w:sz w:val="18"/>
              </w:rPr>
              <w:t>completed) Year 1 Intervention</w:t>
            </w:r>
          </w:p>
        </w:tc>
        <w:tc>
          <w:tcPr>
            <w:tcW w:w="2836" w:type="dxa"/>
            <w:tcBorders>
              <w:left w:val="single" w:sz="4" w:space="0" w:color="FFFFFF"/>
              <w:right w:val="single" w:sz="4" w:space="0" w:color="FFFFFF"/>
            </w:tcBorders>
            <w:shd w:val="clear" w:color="auto" w:fill="A7A9AC"/>
          </w:tcPr>
          <w:p>
            <w:pPr>
              <w:pStyle w:val="TableParagraph"/>
              <w:spacing w:before="78"/>
              <w:rPr>
                <w:b/>
                <w:sz w:val="18"/>
              </w:rPr>
            </w:pPr>
          </w:p>
          <w:p>
            <w:pPr>
              <w:pStyle w:val="TableParagraph"/>
              <w:spacing w:before="1"/>
              <w:ind w:left="83"/>
              <w:rPr>
                <w:b/>
                <w:sz w:val="18"/>
              </w:rPr>
            </w:pPr>
            <w:r>
              <w:rPr>
                <w:b/>
                <w:color w:val="FFFFFF"/>
                <w:spacing w:val="-2"/>
                <w:sz w:val="18"/>
              </w:rPr>
              <w:t>Projected</w:t>
            </w:r>
            <w:r>
              <w:rPr>
                <w:b/>
                <w:color w:val="FFFFFF"/>
                <w:spacing w:val="-6"/>
                <w:sz w:val="18"/>
              </w:rPr>
              <w:t> </w:t>
            </w:r>
            <w:r>
              <w:rPr>
                <w:b/>
                <w:color w:val="FFFFFF"/>
                <w:spacing w:val="-2"/>
                <w:sz w:val="18"/>
              </w:rPr>
              <w:t>Year</w:t>
            </w:r>
            <w:r>
              <w:rPr>
                <w:b/>
                <w:color w:val="FFFFFF"/>
                <w:spacing w:val="-5"/>
                <w:sz w:val="18"/>
              </w:rPr>
              <w:t> </w:t>
            </w:r>
            <w:r>
              <w:rPr>
                <w:b/>
                <w:color w:val="FFFFFF"/>
                <w:spacing w:val="-12"/>
                <w:sz w:val="18"/>
              </w:rPr>
              <w:t>2</w:t>
            </w:r>
          </w:p>
        </w:tc>
        <w:tc>
          <w:tcPr>
            <w:tcW w:w="2008" w:type="dxa"/>
            <w:tcBorders>
              <w:left w:val="single" w:sz="4" w:space="0" w:color="FFFFFF"/>
              <w:right w:val="single" w:sz="4" w:space="0" w:color="FFFFFF"/>
            </w:tcBorders>
            <w:shd w:val="clear" w:color="auto" w:fill="A7A9AC"/>
          </w:tcPr>
          <w:p>
            <w:pPr>
              <w:pStyle w:val="TableParagraph"/>
              <w:spacing w:line="232" w:lineRule="auto" w:before="190"/>
              <w:ind w:left="84" w:right="324"/>
              <w:rPr>
                <w:b/>
                <w:sz w:val="18"/>
              </w:rPr>
            </w:pPr>
            <w:r>
              <w:rPr>
                <w:b/>
                <w:color w:val="FFFFFF"/>
                <w:spacing w:val="-2"/>
                <w:sz w:val="18"/>
              </w:rPr>
              <w:t>Projected</w:t>
            </w:r>
            <w:r>
              <w:rPr>
                <w:b/>
                <w:color w:val="FFFFFF"/>
                <w:spacing w:val="-13"/>
                <w:sz w:val="18"/>
              </w:rPr>
              <w:t> </w:t>
            </w:r>
            <w:r>
              <w:rPr>
                <w:b/>
                <w:color w:val="FFFFFF"/>
                <w:spacing w:val="-2"/>
                <w:sz w:val="18"/>
              </w:rPr>
              <w:t>Year</w:t>
            </w:r>
            <w:r>
              <w:rPr>
                <w:b/>
                <w:color w:val="FFFFFF"/>
                <w:spacing w:val="-10"/>
                <w:sz w:val="18"/>
              </w:rPr>
              <w:t> </w:t>
            </w:r>
            <w:r>
              <w:rPr>
                <w:b/>
                <w:color w:val="FFFFFF"/>
                <w:spacing w:val="-2"/>
                <w:sz w:val="18"/>
              </w:rPr>
              <w:t>3 Interventions</w:t>
            </w:r>
          </w:p>
        </w:tc>
        <w:tc>
          <w:tcPr>
            <w:tcW w:w="1497" w:type="dxa"/>
            <w:tcBorders>
              <w:left w:val="single" w:sz="4" w:space="0" w:color="FFFFFF"/>
            </w:tcBorders>
            <w:shd w:val="clear" w:color="auto" w:fill="A7A9AC"/>
          </w:tcPr>
          <w:p>
            <w:pPr>
              <w:pStyle w:val="TableParagraph"/>
              <w:spacing w:line="232" w:lineRule="auto" w:before="190"/>
              <w:ind w:left="84"/>
              <w:rPr>
                <w:b/>
                <w:sz w:val="18"/>
              </w:rPr>
            </w:pPr>
            <w:r>
              <w:rPr>
                <w:b/>
                <w:color w:val="FFFFFF"/>
                <w:spacing w:val="-2"/>
                <w:sz w:val="18"/>
              </w:rPr>
              <w:t>Implementation Partner</w:t>
            </w:r>
          </w:p>
        </w:tc>
        <w:tc>
          <w:tcPr>
            <w:tcW w:w="1550" w:type="dxa"/>
            <w:shd w:val="clear" w:color="auto" w:fill="A7A9AC"/>
          </w:tcPr>
          <w:p>
            <w:pPr>
              <w:pStyle w:val="TableParagraph"/>
              <w:spacing w:line="232" w:lineRule="auto" w:before="190"/>
              <w:ind w:left="85" w:right="209"/>
              <w:rPr>
                <w:b/>
                <w:sz w:val="18"/>
              </w:rPr>
            </w:pPr>
            <w:r>
              <w:rPr>
                <w:b/>
                <w:color w:val="FFFFFF"/>
                <w:spacing w:val="-4"/>
                <w:sz w:val="18"/>
              </w:rPr>
              <w:t>Partner</w:t>
            </w:r>
            <w:r>
              <w:rPr>
                <w:b/>
                <w:color w:val="FFFFFF"/>
                <w:spacing w:val="-9"/>
                <w:sz w:val="18"/>
              </w:rPr>
              <w:t> </w:t>
            </w:r>
            <w:r>
              <w:rPr>
                <w:b/>
                <w:color w:val="FFFFFF"/>
                <w:spacing w:val="-4"/>
                <w:sz w:val="18"/>
              </w:rPr>
              <w:t>Role(s) </w:t>
            </w:r>
            <w:r>
              <w:rPr>
                <w:b/>
                <w:color w:val="FFFFFF"/>
                <w:sz w:val="18"/>
              </w:rPr>
              <w:t>and</w:t>
            </w:r>
            <w:r>
              <w:rPr>
                <w:b/>
                <w:color w:val="FFFFFF"/>
                <w:spacing w:val="-7"/>
                <w:sz w:val="18"/>
              </w:rPr>
              <w:t> </w:t>
            </w:r>
            <w:r>
              <w:rPr>
                <w:b/>
                <w:color w:val="FFFFFF"/>
                <w:spacing w:val="-8"/>
                <w:sz w:val="18"/>
              </w:rPr>
              <w:t>Resources</w:t>
            </w:r>
          </w:p>
        </w:tc>
      </w:tr>
      <w:tr>
        <w:trPr>
          <w:trHeight w:val="3152" w:hRule="atLeast"/>
        </w:trPr>
        <w:tc>
          <w:tcPr>
            <w:tcW w:w="1036" w:type="dxa"/>
            <w:vMerge w:val="restart"/>
            <w:shd w:val="clear" w:color="auto" w:fill="E6E7E8"/>
          </w:tcPr>
          <w:p>
            <w:pPr>
              <w:pStyle w:val="TableParagraph"/>
              <w:spacing w:line="232" w:lineRule="auto" w:before="100"/>
              <w:ind w:left="89" w:right="219"/>
              <w:jc w:val="both"/>
              <w:rPr>
                <w:sz w:val="18"/>
              </w:rPr>
            </w:pPr>
            <w:r>
              <w:rPr>
                <w:color w:val="105C84"/>
                <w:spacing w:val="-2"/>
                <w:sz w:val="18"/>
              </w:rPr>
              <w:t>Prevent Chronic </w:t>
            </w:r>
            <w:r>
              <w:rPr>
                <w:color w:val="105C84"/>
                <w:spacing w:val="-6"/>
                <w:sz w:val="18"/>
              </w:rPr>
              <w:t>Diseases</w:t>
            </w:r>
          </w:p>
        </w:tc>
        <w:tc>
          <w:tcPr>
            <w:tcW w:w="1267" w:type="dxa"/>
            <w:vMerge w:val="restart"/>
          </w:tcPr>
          <w:p>
            <w:pPr>
              <w:pStyle w:val="TableParagraph"/>
              <w:spacing w:line="232" w:lineRule="auto" w:before="100"/>
              <w:ind w:left="90" w:right="274"/>
              <w:jc w:val="both"/>
              <w:rPr>
                <w:sz w:val="18"/>
              </w:rPr>
            </w:pPr>
            <w:r>
              <w:rPr>
                <w:color w:val="105C84"/>
                <w:spacing w:val="-4"/>
                <w:sz w:val="18"/>
              </w:rPr>
              <w:t>Focus</w:t>
            </w:r>
            <w:r>
              <w:rPr>
                <w:color w:val="105C84"/>
                <w:spacing w:val="-9"/>
                <w:sz w:val="18"/>
              </w:rPr>
              <w:t> </w:t>
            </w:r>
            <w:r>
              <w:rPr>
                <w:color w:val="105C84"/>
                <w:spacing w:val="-4"/>
                <w:sz w:val="18"/>
              </w:rPr>
              <w:t>Area </w:t>
            </w:r>
            <w:r>
              <w:rPr>
                <w:color w:val="105C84"/>
                <w:sz w:val="18"/>
              </w:rPr>
              <w:t>3:</w:t>
            </w:r>
            <w:r>
              <w:rPr>
                <w:color w:val="105C84"/>
                <w:spacing w:val="-13"/>
                <w:sz w:val="18"/>
              </w:rPr>
              <w:t> </w:t>
            </w:r>
            <w:r>
              <w:rPr>
                <w:color w:val="105C84"/>
                <w:sz w:val="18"/>
              </w:rPr>
              <w:t>Tobacco </w:t>
            </w:r>
            <w:r>
              <w:rPr>
                <w:color w:val="105C84"/>
                <w:spacing w:val="-2"/>
                <w:sz w:val="18"/>
              </w:rPr>
              <w:t>prevention</w:t>
            </w:r>
          </w:p>
        </w:tc>
        <w:tc>
          <w:tcPr>
            <w:tcW w:w="1440" w:type="dxa"/>
            <w:vMerge w:val="restart"/>
          </w:tcPr>
          <w:p>
            <w:pPr>
              <w:pStyle w:val="TableParagraph"/>
              <w:spacing w:line="232" w:lineRule="auto" w:before="100"/>
              <w:ind w:left="90"/>
              <w:rPr>
                <w:sz w:val="18"/>
              </w:rPr>
            </w:pPr>
            <w:r>
              <w:rPr>
                <w:color w:val="105C84"/>
                <w:sz w:val="18"/>
              </w:rPr>
              <w:t>Goal 3.3: </w:t>
            </w:r>
            <w:r>
              <w:rPr>
                <w:color w:val="105C84"/>
                <w:spacing w:val="-2"/>
                <w:sz w:val="18"/>
              </w:rPr>
              <w:t>Eliminate </w:t>
            </w:r>
            <w:r>
              <w:rPr>
                <w:color w:val="105C84"/>
                <w:sz w:val="18"/>
              </w:rPr>
              <w:t>exposure to </w:t>
            </w:r>
            <w:r>
              <w:rPr>
                <w:color w:val="105C84"/>
                <w:spacing w:val="-2"/>
                <w:sz w:val="18"/>
              </w:rPr>
              <w:t>secondhand smoke</w:t>
            </w:r>
          </w:p>
        </w:tc>
        <w:tc>
          <w:tcPr>
            <w:tcW w:w="1411" w:type="dxa"/>
            <w:vMerge w:val="restart"/>
          </w:tcPr>
          <w:p>
            <w:pPr>
              <w:pStyle w:val="TableParagraph"/>
              <w:spacing w:line="232" w:lineRule="auto" w:before="100"/>
              <w:ind w:left="90" w:right="84"/>
              <w:rPr>
                <w:sz w:val="18"/>
              </w:rPr>
            </w:pPr>
            <w:r>
              <w:rPr>
                <w:color w:val="105C84"/>
                <w:sz w:val="18"/>
              </w:rPr>
              <w:t>3.3.1</w:t>
            </w:r>
            <w:r>
              <w:rPr>
                <w:color w:val="105C84"/>
                <w:spacing w:val="-13"/>
                <w:sz w:val="18"/>
              </w:rPr>
              <w:t> </w:t>
            </w:r>
            <w:r>
              <w:rPr>
                <w:color w:val="105C84"/>
                <w:sz w:val="18"/>
              </w:rPr>
              <w:t>Decrease the</w:t>
            </w:r>
            <w:r>
              <w:rPr>
                <w:color w:val="105C84"/>
                <w:spacing w:val="-13"/>
                <w:sz w:val="18"/>
              </w:rPr>
              <w:t> </w:t>
            </w:r>
            <w:r>
              <w:rPr>
                <w:color w:val="105C84"/>
                <w:sz w:val="18"/>
              </w:rPr>
              <w:t>percentage</w:t>
            </w:r>
            <w:r>
              <w:rPr>
                <w:color w:val="105C84"/>
                <w:sz w:val="18"/>
              </w:rPr>
              <w:t> of adults (non-smokers)</w:t>
            </w:r>
            <w:r>
              <w:rPr>
                <w:color w:val="105C84"/>
                <w:spacing w:val="-13"/>
                <w:sz w:val="18"/>
              </w:rPr>
              <w:t> </w:t>
            </w:r>
            <w:r>
              <w:rPr>
                <w:color w:val="105C84"/>
                <w:sz w:val="18"/>
              </w:rPr>
              <w:t>living in multi-unit housing who were exposed to secondhand smoke in their </w:t>
            </w:r>
            <w:r>
              <w:rPr>
                <w:color w:val="105C84"/>
                <w:spacing w:val="-2"/>
                <w:sz w:val="18"/>
              </w:rPr>
              <w:t>homes</w:t>
            </w:r>
          </w:p>
        </w:tc>
        <w:tc>
          <w:tcPr>
            <w:tcW w:w="1065" w:type="dxa"/>
            <w:vMerge w:val="restart"/>
          </w:tcPr>
          <w:p>
            <w:pPr>
              <w:pStyle w:val="TableParagraph"/>
              <w:spacing w:before="95"/>
              <w:ind w:left="90"/>
              <w:rPr>
                <w:sz w:val="18"/>
              </w:rPr>
            </w:pPr>
            <w:r>
              <w:rPr>
                <w:color w:val="105C84"/>
                <w:sz w:val="18"/>
              </w:rPr>
              <w:t>Low</w:t>
            </w:r>
            <w:r>
              <w:rPr>
                <w:color w:val="105C84"/>
                <w:spacing w:val="-11"/>
                <w:sz w:val="18"/>
              </w:rPr>
              <w:t> </w:t>
            </w:r>
            <w:r>
              <w:rPr>
                <w:color w:val="105C84"/>
                <w:spacing w:val="-5"/>
                <w:sz w:val="18"/>
              </w:rPr>
              <w:t>SES</w:t>
            </w:r>
          </w:p>
        </w:tc>
        <w:tc>
          <w:tcPr>
            <w:tcW w:w="1900" w:type="dxa"/>
            <w:vMerge w:val="restart"/>
          </w:tcPr>
          <w:p>
            <w:pPr>
              <w:pStyle w:val="TableParagraph"/>
              <w:spacing w:line="232" w:lineRule="auto" w:before="100"/>
              <w:ind w:left="91" w:right="168"/>
              <w:rPr>
                <w:sz w:val="18"/>
              </w:rPr>
            </w:pPr>
            <w:r>
              <w:rPr>
                <w:color w:val="105C84"/>
                <w:sz w:val="18"/>
              </w:rPr>
              <w:t>Intervention 3.3.1: Promote</w:t>
            </w:r>
            <w:r>
              <w:rPr>
                <w:color w:val="105C84"/>
                <w:spacing w:val="-13"/>
                <w:sz w:val="18"/>
              </w:rPr>
              <w:t> </w:t>
            </w:r>
            <w:r>
              <w:rPr>
                <w:color w:val="105C84"/>
                <w:sz w:val="18"/>
              </w:rPr>
              <w:t>smoke-</w:t>
            </w:r>
            <w:r>
              <w:rPr>
                <w:color w:val="105C84"/>
                <w:sz w:val="18"/>
              </w:rPr>
              <w:t>free and aerosal-free (from electronic vapor products) policies</w:t>
            </w:r>
            <w:r>
              <w:rPr>
                <w:color w:val="105C84"/>
                <w:spacing w:val="28"/>
                <w:sz w:val="18"/>
              </w:rPr>
              <w:t> </w:t>
            </w:r>
            <w:r>
              <w:rPr>
                <w:color w:val="105C84"/>
                <w:sz w:val="18"/>
              </w:rPr>
              <w:t>in</w:t>
            </w:r>
            <w:r>
              <w:rPr>
                <w:color w:val="105C84"/>
                <w:spacing w:val="80"/>
                <w:sz w:val="18"/>
              </w:rPr>
              <w:t> </w:t>
            </w:r>
            <w:r>
              <w:rPr>
                <w:color w:val="105C84"/>
                <w:sz w:val="18"/>
              </w:rPr>
              <w:t>multi-unit housing, including apartment </w:t>
            </w:r>
            <w:r>
              <w:rPr>
                <w:color w:val="105C84"/>
                <w:spacing w:val="-2"/>
                <w:sz w:val="18"/>
              </w:rPr>
              <w:t>complexes, </w:t>
            </w:r>
            <w:r>
              <w:rPr>
                <w:color w:val="105C84"/>
                <w:sz w:val="18"/>
              </w:rPr>
              <w:t>condominiums and co-ops, especially among those that house low-SES </w:t>
            </w:r>
            <w:r>
              <w:rPr>
                <w:color w:val="105C84"/>
                <w:spacing w:val="-2"/>
                <w:sz w:val="18"/>
              </w:rPr>
              <w:t>residents</w:t>
            </w:r>
          </w:p>
        </w:tc>
        <w:tc>
          <w:tcPr>
            <w:tcW w:w="6299" w:type="dxa"/>
          </w:tcPr>
          <w:p>
            <w:pPr>
              <w:pStyle w:val="TableParagraph"/>
              <w:tabs>
                <w:tab w:pos="4106" w:val="left" w:leader="none"/>
              </w:tabs>
              <w:spacing w:line="203" w:lineRule="exact" w:before="95"/>
              <w:ind w:left="92"/>
              <w:rPr>
                <w:sz w:val="18"/>
              </w:rPr>
            </w:pPr>
            <w:r>
              <w:rPr>
                <w:color w:val="105C84"/>
                <w:sz w:val="18"/>
              </w:rPr>
              <w:t>Metrics/Goals</w:t>
            </w:r>
            <w:r>
              <w:rPr>
                <w:color w:val="105C84"/>
                <w:spacing w:val="5"/>
                <w:sz w:val="18"/>
              </w:rPr>
              <w:t> </w:t>
            </w:r>
            <w:r>
              <w:rPr>
                <w:color w:val="105C84"/>
                <w:sz w:val="18"/>
              </w:rPr>
              <w:t>for</w:t>
            </w:r>
            <w:r>
              <w:rPr>
                <w:color w:val="105C84"/>
                <w:spacing w:val="6"/>
                <w:sz w:val="18"/>
              </w:rPr>
              <w:t> </w:t>
            </w:r>
            <w:r>
              <w:rPr>
                <w:color w:val="105C84"/>
                <w:spacing w:val="-4"/>
                <w:sz w:val="18"/>
              </w:rPr>
              <w:t>Each</w:t>
            </w:r>
            <w:r>
              <w:rPr>
                <w:color w:val="105C84"/>
                <w:sz w:val="18"/>
              </w:rPr>
              <w:tab/>
            </w:r>
            <w:r>
              <w:rPr>
                <w:color w:val="105C84"/>
                <w:spacing w:val="-2"/>
                <w:sz w:val="18"/>
              </w:rPr>
              <w:t>Share unified messages</w:t>
            </w:r>
          </w:p>
          <w:p>
            <w:pPr>
              <w:pStyle w:val="TableParagraph"/>
              <w:tabs>
                <w:tab w:pos="4106" w:val="left" w:leader="none"/>
              </w:tabs>
              <w:spacing w:line="200" w:lineRule="exact"/>
              <w:ind w:left="92"/>
              <w:rPr>
                <w:sz w:val="18"/>
              </w:rPr>
            </w:pPr>
            <w:r>
              <w:rPr>
                <w:color w:val="105C84"/>
                <w:spacing w:val="-2"/>
                <w:sz w:val="18"/>
              </w:rPr>
              <w:t>Year:</w:t>
            </w:r>
            <w:r>
              <w:rPr>
                <w:color w:val="105C84"/>
                <w:sz w:val="18"/>
              </w:rPr>
              <w:tab/>
              <w:t>around</w:t>
            </w:r>
            <w:r>
              <w:rPr>
                <w:color w:val="105C84"/>
                <w:spacing w:val="-6"/>
                <w:sz w:val="18"/>
              </w:rPr>
              <w:t> </w:t>
            </w:r>
            <w:r>
              <w:rPr>
                <w:color w:val="105C84"/>
                <w:sz w:val="18"/>
              </w:rPr>
              <w:t>smoke-</w:t>
            </w:r>
            <w:r>
              <w:rPr>
                <w:color w:val="105C84"/>
                <w:spacing w:val="-4"/>
                <w:sz w:val="18"/>
              </w:rPr>
              <w:t>free</w:t>
            </w:r>
          </w:p>
          <w:p>
            <w:pPr>
              <w:pStyle w:val="TableParagraph"/>
              <w:tabs>
                <w:tab w:pos="4106" w:val="left" w:leader="none"/>
              </w:tabs>
              <w:spacing w:line="290" w:lineRule="exact"/>
              <w:ind w:left="92"/>
              <w:rPr>
                <w:position w:val="9"/>
                <w:sz w:val="18"/>
              </w:rPr>
            </w:pPr>
            <w:r>
              <w:rPr>
                <w:color w:val="105C84"/>
                <w:w w:val="105"/>
                <w:sz w:val="18"/>
              </w:rPr>
              <w:t>1+</w:t>
            </w:r>
            <w:r>
              <w:rPr>
                <w:color w:val="105C84"/>
                <w:spacing w:val="-7"/>
                <w:w w:val="105"/>
                <w:sz w:val="18"/>
              </w:rPr>
              <w:t> </w:t>
            </w:r>
            <w:r>
              <w:rPr>
                <w:color w:val="105C84"/>
                <w:w w:val="105"/>
                <w:sz w:val="18"/>
              </w:rPr>
              <w:t>letter</w:t>
            </w:r>
            <w:r>
              <w:rPr>
                <w:color w:val="105C84"/>
                <w:spacing w:val="-6"/>
                <w:w w:val="105"/>
                <w:sz w:val="18"/>
              </w:rPr>
              <w:t> </w:t>
            </w:r>
            <w:r>
              <w:rPr>
                <w:color w:val="105C84"/>
                <w:w w:val="105"/>
                <w:sz w:val="18"/>
              </w:rPr>
              <w:t>to</w:t>
            </w:r>
            <w:r>
              <w:rPr>
                <w:color w:val="105C84"/>
                <w:spacing w:val="-6"/>
                <w:w w:val="105"/>
                <w:sz w:val="18"/>
              </w:rPr>
              <w:t> </w:t>
            </w:r>
            <w:r>
              <w:rPr>
                <w:color w:val="105C84"/>
                <w:w w:val="105"/>
                <w:sz w:val="18"/>
              </w:rPr>
              <w:t>the</w:t>
            </w:r>
            <w:r>
              <w:rPr>
                <w:color w:val="105C84"/>
                <w:spacing w:val="-6"/>
                <w:w w:val="105"/>
                <w:sz w:val="18"/>
              </w:rPr>
              <w:t> </w:t>
            </w:r>
            <w:r>
              <w:rPr>
                <w:color w:val="105C84"/>
                <w:spacing w:val="-2"/>
                <w:w w:val="105"/>
                <w:sz w:val="18"/>
              </w:rPr>
              <w:t>editor;</w:t>
            </w:r>
            <w:r>
              <w:rPr>
                <w:color w:val="105C84"/>
                <w:sz w:val="18"/>
              </w:rPr>
              <w:tab/>
            </w:r>
            <w:r>
              <w:rPr>
                <w:color w:val="105C84"/>
                <w:spacing w:val="-2"/>
                <w:w w:val="105"/>
                <w:position w:val="9"/>
                <w:sz w:val="18"/>
              </w:rPr>
              <w:t>housing</w:t>
            </w:r>
          </w:p>
          <w:p>
            <w:pPr>
              <w:pStyle w:val="TableParagraph"/>
              <w:tabs>
                <w:tab w:pos="4106" w:val="left" w:leader="none"/>
              </w:tabs>
              <w:spacing w:line="200" w:lineRule="exact"/>
              <w:ind w:left="92"/>
              <w:rPr>
                <w:sz w:val="18"/>
              </w:rPr>
            </w:pPr>
            <w:r>
              <w:rPr>
                <w:color w:val="105C84"/>
                <w:sz w:val="18"/>
              </w:rPr>
              <w:t>1+ local</w:t>
            </w:r>
            <w:r>
              <w:rPr>
                <w:color w:val="105C84"/>
                <w:spacing w:val="1"/>
                <w:sz w:val="18"/>
              </w:rPr>
              <w:t> </w:t>
            </w:r>
            <w:r>
              <w:rPr>
                <w:color w:val="105C84"/>
                <w:sz w:val="18"/>
              </w:rPr>
              <w:t>media</w:t>
            </w:r>
            <w:r>
              <w:rPr>
                <w:color w:val="105C84"/>
                <w:spacing w:val="1"/>
                <w:sz w:val="18"/>
              </w:rPr>
              <w:t> </w:t>
            </w:r>
            <w:r>
              <w:rPr>
                <w:color w:val="105C84"/>
                <w:spacing w:val="-2"/>
                <w:sz w:val="18"/>
              </w:rPr>
              <w:t>articles</w:t>
            </w:r>
            <w:r>
              <w:rPr>
                <w:color w:val="105C84"/>
                <w:sz w:val="18"/>
              </w:rPr>
              <w:tab/>
            </w:r>
            <w:r>
              <w:rPr>
                <w:color w:val="105C84"/>
                <w:spacing w:val="-4"/>
                <w:sz w:val="18"/>
              </w:rPr>
              <w:t>TACFL</w:t>
            </w:r>
            <w:r>
              <w:rPr>
                <w:color w:val="105C84"/>
                <w:spacing w:val="-6"/>
                <w:sz w:val="18"/>
              </w:rPr>
              <w:t> </w:t>
            </w:r>
            <w:r>
              <w:rPr>
                <w:color w:val="105C84"/>
                <w:spacing w:val="-4"/>
                <w:sz w:val="18"/>
              </w:rPr>
              <w:t>will</w:t>
            </w:r>
            <w:r>
              <w:rPr>
                <w:color w:val="105C84"/>
                <w:spacing w:val="-5"/>
                <w:sz w:val="18"/>
              </w:rPr>
              <w:t> </w:t>
            </w:r>
            <w:r>
              <w:rPr>
                <w:color w:val="105C84"/>
                <w:spacing w:val="-4"/>
                <w:sz w:val="18"/>
              </w:rPr>
              <w:t>produce</w:t>
            </w:r>
          </w:p>
          <w:p>
            <w:pPr>
              <w:pStyle w:val="TableParagraph"/>
              <w:tabs>
                <w:tab w:pos="4106" w:val="left" w:leader="none"/>
              </w:tabs>
              <w:spacing w:line="232" w:lineRule="auto" w:before="2"/>
              <w:ind w:left="4106" w:right="123" w:hanging="4014"/>
              <w:rPr>
                <w:sz w:val="18"/>
              </w:rPr>
            </w:pPr>
            <w:r>
              <w:rPr>
                <w:color w:val="105C84"/>
                <w:sz w:val="18"/>
              </w:rPr>
              <w:t>on smoke-free housing</w:t>
              <w:tab/>
              <w:t>messages</w:t>
            </w:r>
            <w:r>
              <w:rPr>
                <w:color w:val="105C84"/>
                <w:spacing w:val="-15"/>
                <w:sz w:val="18"/>
              </w:rPr>
              <w:t> </w:t>
            </w:r>
            <w:r>
              <w:rPr>
                <w:color w:val="105C84"/>
                <w:sz w:val="18"/>
              </w:rPr>
              <w:t>around</w:t>
            </w:r>
            <w:r>
              <w:rPr>
                <w:color w:val="105C84"/>
                <w:spacing w:val="-12"/>
                <w:sz w:val="18"/>
              </w:rPr>
              <w:t> </w:t>
            </w:r>
            <w:r>
              <w:rPr>
                <w:color w:val="105C84"/>
                <w:sz w:val="18"/>
              </w:rPr>
              <w:t>smoke-free</w:t>
            </w:r>
            <w:r>
              <w:rPr>
                <w:color w:val="105C84"/>
                <w:spacing w:val="-8"/>
                <w:sz w:val="18"/>
              </w:rPr>
              <w:t> </w:t>
            </w:r>
            <w:r>
              <w:rPr>
                <w:color w:val="105C84"/>
                <w:sz w:val="18"/>
              </w:rPr>
              <w:t>housing</w:t>
            </w:r>
            <w:r>
              <w:rPr>
                <w:color w:val="105C84"/>
                <w:spacing w:val="-8"/>
                <w:sz w:val="18"/>
              </w:rPr>
              <w:t> </w:t>
            </w:r>
            <w:r>
              <w:rPr>
                <w:color w:val="105C84"/>
                <w:sz w:val="18"/>
              </w:rPr>
              <w:t>which</w:t>
            </w:r>
            <w:r>
              <w:rPr>
                <w:color w:val="105C84"/>
                <w:spacing w:val="-8"/>
                <w:sz w:val="18"/>
              </w:rPr>
              <w:t> </w:t>
            </w:r>
            <w:r>
              <w:rPr>
                <w:color w:val="105C84"/>
                <w:sz w:val="18"/>
              </w:rPr>
              <w:t>will</w:t>
            </w:r>
            <w:r>
              <w:rPr>
                <w:color w:val="105C84"/>
                <w:spacing w:val="-8"/>
                <w:sz w:val="18"/>
              </w:rPr>
              <w:t> </w:t>
            </w:r>
            <w:r>
              <w:rPr>
                <w:color w:val="105C84"/>
                <w:sz w:val="18"/>
              </w:rPr>
              <w:t>be shared by Public Health and partners</w:t>
            </w:r>
          </w:p>
        </w:tc>
        <w:tc>
          <w:tcPr>
            <w:tcW w:w="2836" w:type="dxa"/>
          </w:tcPr>
          <w:p>
            <w:pPr>
              <w:pStyle w:val="TableParagraph"/>
              <w:spacing w:line="232" w:lineRule="auto" w:before="100"/>
              <w:ind w:left="93" w:right="239"/>
              <w:rPr>
                <w:sz w:val="18"/>
              </w:rPr>
            </w:pPr>
            <w:r>
              <w:rPr>
                <w:color w:val="105C84"/>
                <w:spacing w:val="-2"/>
                <w:sz w:val="18"/>
              </w:rPr>
              <w:t>Share</w:t>
            </w:r>
            <w:r>
              <w:rPr>
                <w:color w:val="105C84"/>
                <w:spacing w:val="-11"/>
                <w:sz w:val="18"/>
              </w:rPr>
              <w:t> </w:t>
            </w:r>
            <w:r>
              <w:rPr>
                <w:color w:val="105C84"/>
                <w:spacing w:val="-2"/>
                <w:sz w:val="18"/>
              </w:rPr>
              <w:t>unified</w:t>
            </w:r>
            <w:r>
              <w:rPr>
                <w:color w:val="105C84"/>
                <w:spacing w:val="-10"/>
                <w:sz w:val="18"/>
              </w:rPr>
              <w:t> </w:t>
            </w:r>
            <w:r>
              <w:rPr>
                <w:color w:val="105C84"/>
                <w:spacing w:val="-2"/>
                <w:sz w:val="18"/>
              </w:rPr>
              <w:t>messages</w:t>
            </w:r>
            <w:r>
              <w:rPr>
                <w:color w:val="105C84"/>
                <w:spacing w:val="-11"/>
                <w:sz w:val="18"/>
              </w:rPr>
              <w:t> </w:t>
            </w:r>
            <w:r>
              <w:rPr>
                <w:color w:val="105C84"/>
                <w:spacing w:val="-2"/>
                <w:sz w:val="18"/>
              </w:rPr>
              <w:t>around </w:t>
            </w:r>
            <w:r>
              <w:rPr>
                <w:color w:val="105C84"/>
                <w:sz w:val="18"/>
              </w:rPr>
              <w:t>smoke-free housing</w:t>
            </w:r>
          </w:p>
          <w:p>
            <w:pPr>
              <w:pStyle w:val="TableParagraph"/>
              <w:spacing w:line="232" w:lineRule="auto" w:before="88"/>
              <w:ind w:left="93" w:right="128"/>
              <w:rPr>
                <w:sz w:val="18"/>
              </w:rPr>
            </w:pPr>
            <w:r>
              <w:rPr>
                <w:color w:val="105C84"/>
                <w:spacing w:val="-2"/>
                <w:sz w:val="18"/>
              </w:rPr>
              <w:t>TACFL</w:t>
            </w:r>
            <w:r>
              <w:rPr>
                <w:color w:val="105C84"/>
                <w:spacing w:val="-11"/>
                <w:sz w:val="18"/>
              </w:rPr>
              <w:t> </w:t>
            </w:r>
            <w:r>
              <w:rPr>
                <w:color w:val="105C84"/>
                <w:spacing w:val="-2"/>
                <w:sz w:val="18"/>
              </w:rPr>
              <w:t>will</w:t>
            </w:r>
            <w:r>
              <w:rPr>
                <w:color w:val="105C84"/>
                <w:spacing w:val="-10"/>
                <w:sz w:val="18"/>
              </w:rPr>
              <w:t> </w:t>
            </w:r>
            <w:r>
              <w:rPr>
                <w:color w:val="105C84"/>
                <w:spacing w:val="-2"/>
                <w:sz w:val="18"/>
              </w:rPr>
              <w:t>produce</w:t>
            </w:r>
            <w:r>
              <w:rPr>
                <w:color w:val="105C84"/>
                <w:spacing w:val="-11"/>
                <w:sz w:val="18"/>
              </w:rPr>
              <w:t> </w:t>
            </w:r>
            <w:r>
              <w:rPr>
                <w:color w:val="105C84"/>
                <w:spacing w:val="-2"/>
                <w:sz w:val="18"/>
              </w:rPr>
              <w:t>messages </w:t>
            </w:r>
            <w:r>
              <w:rPr>
                <w:color w:val="105C84"/>
                <w:sz w:val="18"/>
              </w:rPr>
              <w:t>around smoke-free housing which</w:t>
            </w:r>
            <w:r>
              <w:rPr>
                <w:color w:val="105C84"/>
                <w:spacing w:val="-9"/>
                <w:sz w:val="18"/>
              </w:rPr>
              <w:t> </w:t>
            </w:r>
            <w:r>
              <w:rPr>
                <w:color w:val="105C84"/>
                <w:sz w:val="18"/>
              </w:rPr>
              <w:t>will</w:t>
            </w:r>
            <w:r>
              <w:rPr>
                <w:color w:val="105C84"/>
                <w:spacing w:val="-9"/>
                <w:sz w:val="18"/>
              </w:rPr>
              <w:t> </w:t>
            </w:r>
            <w:r>
              <w:rPr>
                <w:color w:val="105C84"/>
                <w:sz w:val="18"/>
              </w:rPr>
              <w:t>be</w:t>
            </w:r>
            <w:r>
              <w:rPr>
                <w:color w:val="105C84"/>
                <w:spacing w:val="-9"/>
                <w:sz w:val="18"/>
              </w:rPr>
              <w:t> </w:t>
            </w:r>
            <w:r>
              <w:rPr>
                <w:color w:val="105C84"/>
                <w:sz w:val="18"/>
              </w:rPr>
              <w:t>shared</w:t>
            </w:r>
            <w:r>
              <w:rPr>
                <w:color w:val="105C84"/>
                <w:spacing w:val="-9"/>
                <w:sz w:val="18"/>
              </w:rPr>
              <w:t> </w:t>
            </w:r>
            <w:r>
              <w:rPr>
                <w:color w:val="105C84"/>
                <w:sz w:val="18"/>
              </w:rPr>
              <w:t>by</w:t>
            </w:r>
            <w:r>
              <w:rPr>
                <w:color w:val="105C84"/>
                <w:spacing w:val="-9"/>
                <w:sz w:val="18"/>
              </w:rPr>
              <w:t> </w:t>
            </w:r>
            <w:r>
              <w:rPr>
                <w:color w:val="105C84"/>
                <w:sz w:val="18"/>
              </w:rPr>
              <w:t>Public Health and partners</w:t>
            </w:r>
          </w:p>
        </w:tc>
        <w:tc>
          <w:tcPr>
            <w:tcW w:w="2008" w:type="dxa"/>
          </w:tcPr>
          <w:p>
            <w:pPr>
              <w:pStyle w:val="TableParagraph"/>
              <w:spacing w:line="232" w:lineRule="auto" w:before="100"/>
              <w:ind w:left="93" w:right="324"/>
              <w:rPr>
                <w:sz w:val="18"/>
              </w:rPr>
            </w:pPr>
            <w:r>
              <w:rPr>
                <w:color w:val="105C84"/>
                <w:sz w:val="18"/>
              </w:rPr>
              <w:t>Share unified messages around </w:t>
            </w:r>
            <w:r>
              <w:rPr>
                <w:color w:val="105C84"/>
                <w:spacing w:val="-2"/>
                <w:sz w:val="18"/>
              </w:rPr>
              <w:t>smoke-free</w:t>
            </w:r>
            <w:r>
              <w:rPr>
                <w:color w:val="105C84"/>
                <w:spacing w:val="1"/>
                <w:sz w:val="18"/>
              </w:rPr>
              <w:t> </w:t>
            </w:r>
            <w:r>
              <w:rPr>
                <w:color w:val="105C84"/>
                <w:spacing w:val="-2"/>
                <w:sz w:val="18"/>
              </w:rPr>
              <w:t>housing</w:t>
            </w:r>
          </w:p>
          <w:p>
            <w:pPr>
              <w:pStyle w:val="TableParagraph"/>
              <w:spacing w:line="232" w:lineRule="auto" w:before="87"/>
              <w:ind w:left="93" w:right="251"/>
              <w:rPr>
                <w:sz w:val="18"/>
              </w:rPr>
            </w:pPr>
            <w:r>
              <w:rPr>
                <w:color w:val="105C84"/>
                <w:sz w:val="18"/>
              </w:rPr>
              <w:t>TACFL will produce messages around smoke-free housing which will be shared by</w:t>
            </w:r>
            <w:r>
              <w:rPr>
                <w:color w:val="105C84"/>
                <w:spacing w:val="-13"/>
                <w:sz w:val="18"/>
              </w:rPr>
              <w:t> </w:t>
            </w:r>
            <w:r>
              <w:rPr>
                <w:color w:val="105C84"/>
                <w:sz w:val="18"/>
              </w:rPr>
              <w:t>Public</w:t>
            </w:r>
            <w:r>
              <w:rPr>
                <w:color w:val="105C84"/>
                <w:spacing w:val="-12"/>
                <w:sz w:val="18"/>
              </w:rPr>
              <w:t> </w:t>
            </w:r>
            <w:r>
              <w:rPr>
                <w:color w:val="105C84"/>
                <w:sz w:val="18"/>
              </w:rPr>
              <w:t>Health</w:t>
            </w:r>
            <w:r>
              <w:rPr>
                <w:color w:val="105C84"/>
                <w:spacing w:val="-13"/>
                <w:sz w:val="18"/>
              </w:rPr>
              <w:t> </w:t>
            </w:r>
            <w:r>
              <w:rPr>
                <w:color w:val="105C84"/>
                <w:sz w:val="18"/>
              </w:rPr>
              <w:t>and </w:t>
            </w:r>
            <w:r>
              <w:rPr>
                <w:color w:val="105C84"/>
                <w:spacing w:val="-2"/>
                <w:sz w:val="18"/>
              </w:rPr>
              <w:t>partners</w:t>
            </w:r>
          </w:p>
        </w:tc>
        <w:tc>
          <w:tcPr>
            <w:tcW w:w="1497" w:type="dxa"/>
          </w:tcPr>
          <w:p>
            <w:pPr>
              <w:pStyle w:val="TableParagraph"/>
              <w:spacing w:line="232" w:lineRule="auto" w:before="100"/>
              <w:ind w:left="94"/>
              <w:rPr>
                <w:sz w:val="18"/>
              </w:rPr>
            </w:pPr>
            <w:r>
              <w:rPr>
                <w:color w:val="105C84"/>
                <w:spacing w:val="-2"/>
                <w:sz w:val="18"/>
              </w:rPr>
              <w:t>Community-based organizations</w:t>
            </w:r>
          </w:p>
        </w:tc>
        <w:tc>
          <w:tcPr>
            <w:tcW w:w="1550" w:type="dxa"/>
          </w:tcPr>
          <w:p>
            <w:pPr>
              <w:pStyle w:val="TableParagraph"/>
              <w:spacing w:line="232" w:lineRule="auto" w:before="100"/>
              <w:ind w:left="95" w:right="71"/>
              <w:rPr>
                <w:sz w:val="18"/>
              </w:rPr>
            </w:pPr>
            <w:r>
              <w:rPr>
                <w:color w:val="105C84"/>
                <w:sz w:val="18"/>
              </w:rPr>
              <w:t>For</w:t>
            </w:r>
            <w:r>
              <w:rPr>
                <w:color w:val="105C84"/>
                <w:spacing w:val="-15"/>
                <w:sz w:val="18"/>
              </w:rPr>
              <w:t> </w:t>
            </w:r>
            <w:r>
              <w:rPr>
                <w:color w:val="105C84"/>
                <w:sz w:val="18"/>
              </w:rPr>
              <w:t>partner</w:t>
            </w:r>
            <w:r>
              <w:rPr>
                <w:color w:val="105C84"/>
                <w:spacing w:val="-12"/>
                <w:sz w:val="18"/>
              </w:rPr>
              <w:t> </w:t>
            </w:r>
            <w:r>
              <w:rPr>
                <w:color w:val="105C84"/>
                <w:sz w:val="18"/>
              </w:rPr>
              <w:t>roles, see projected year columns</w:t>
            </w:r>
          </w:p>
          <w:p>
            <w:pPr>
              <w:pStyle w:val="TableParagraph"/>
              <w:spacing w:line="232" w:lineRule="auto" w:before="87"/>
              <w:ind w:left="95"/>
              <w:rPr>
                <w:sz w:val="18"/>
              </w:rPr>
            </w:pPr>
            <w:r>
              <w:rPr>
                <w:color w:val="105C84"/>
                <w:spacing w:val="-2"/>
                <w:w w:val="90"/>
                <w:sz w:val="18"/>
              </w:rPr>
              <w:t>Resources: </w:t>
            </w:r>
            <w:r>
              <w:rPr>
                <w:color w:val="105C84"/>
                <w:spacing w:val="-2"/>
                <w:sz w:val="18"/>
              </w:rPr>
              <w:t>messages</w:t>
            </w:r>
          </w:p>
        </w:tc>
      </w:tr>
      <w:tr>
        <w:trPr>
          <w:trHeight w:val="4530" w:hRule="atLeast"/>
        </w:trPr>
        <w:tc>
          <w:tcPr>
            <w:tcW w:w="1036" w:type="dxa"/>
            <w:vMerge/>
            <w:tcBorders>
              <w:top w:val="nil"/>
            </w:tcBorders>
            <w:shd w:val="clear" w:color="auto" w:fill="E6E7E8"/>
          </w:tcPr>
          <w:p>
            <w:pPr>
              <w:rPr>
                <w:sz w:val="2"/>
                <w:szCs w:val="2"/>
              </w:rPr>
            </w:pPr>
          </w:p>
        </w:tc>
        <w:tc>
          <w:tcPr>
            <w:tcW w:w="1267" w:type="dxa"/>
            <w:vMerge/>
            <w:tcBorders>
              <w:top w:val="nil"/>
            </w:tcBorders>
          </w:tcPr>
          <w:p>
            <w:pPr>
              <w:rPr>
                <w:sz w:val="2"/>
                <w:szCs w:val="2"/>
              </w:rPr>
            </w:pPr>
          </w:p>
        </w:tc>
        <w:tc>
          <w:tcPr>
            <w:tcW w:w="1440" w:type="dxa"/>
            <w:vMerge/>
            <w:tcBorders>
              <w:top w:val="nil"/>
            </w:tcBorders>
          </w:tcPr>
          <w:p>
            <w:pPr>
              <w:rPr>
                <w:sz w:val="2"/>
                <w:szCs w:val="2"/>
              </w:rPr>
            </w:pPr>
          </w:p>
        </w:tc>
        <w:tc>
          <w:tcPr>
            <w:tcW w:w="1411" w:type="dxa"/>
            <w:vMerge/>
            <w:tcBorders>
              <w:top w:val="nil"/>
            </w:tcBorders>
          </w:tcPr>
          <w:p>
            <w:pPr>
              <w:rPr>
                <w:sz w:val="2"/>
                <w:szCs w:val="2"/>
              </w:rPr>
            </w:pPr>
          </w:p>
        </w:tc>
        <w:tc>
          <w:tcPr>
            <w:tcW w:w="1065" w:type="dxa"/>
            <w:vMerge/>
            <w:tcBorders>
              <w:top w:val="nil"/>
            </w:tcBorders>
          </w:tcPr>
          <w:p>
            <w:pPr>
              <w:rPr>
                <w:sz w:val="2"/>
                <w:szCs w:val="2"/>
              </w:rPr>
            </w:pPr>
          </w:p>
        </w:tc>
        <w:tc>
          <w:tcPr>
            <w:tcW w:w="1900" w:type="dxa"/>
            <w:vMerge/>
            <w:tcBorders>
              <w:top w:val="nil"/>
            </w:tcBorders>
          </w:tcPr>
          <w:p>
            <w:pPr>
              <w:rPr>
                <w:sz w:val="2"/>
                <w:szCs w:val="2"/>
              </w:rPr>
            </w:pPr>
          </w:p>
        </w:tc>
        <w:tc>
          <w:tcPr>
            <w:tcW w:w="6299" w:type="dxa"/>
          </w:tcPr>
          <w:p>
            <w:pPr>
              <w:pStyle w:val="TableParagraph"/>
              <w:tabs>
                <w:tab w:pos="4106" w:val="left" w:leader="none"/>
              </w:tabs>
              <w:spacing w:line="203" w:lineRule="exact" w:before="94"/>
              <w:ind w:left="92"/>
              <w:rPr>
                <w:sz w:val="18"/>
              </w:rPr>
            </w:pPr>
            <w:r>
              <w:rPr>
                <w:color w:val="105C84"/>
                <w:sz w:val="18"/>
              </w:rPr>
              <w:t>Metrics/Goals</w:t>
            </w:r>
            <w:r>
              <w:rPr>
                <w:color w:val="105C84"/>
                <w:spacing w:val="2"/>
                <w:sz w:val="18"/>
              </w:rPr>
              <w:t> </w:t>
            </w:r>
            <w:r>
              <w:rPr>
                <w:color w:val="105C84"/>
                <w:sz w:val="18"/>
              </w:rPr>
              <w:t>by</w:t>
            </w:r>
            <w:r>
              <w:rPr>
                <w:color w:val="105C84"/>
                <w:spacing w:val="2"/>
                <w:sz w:val="18"/>
              </w:rPr>
              <w:t> </w:t>
            </w:r>
            <w:r>
              <w:rPr>
                <w:color w:val="105C84"/>
                <w:spacing w:val="-2"/>
                <w:sz w:val="18"/>
              </w:rPr>
              <w:t>Year:</w:t>
            </w:r>
            <w:r>
              <w:rPr>
                <w:color w:val="105C84"/>
                <w:sz w:val="18"/>
              </w:rPr>
              <w:tab/>
              <w:t>Compile</w:t>
            </w:r>
            <w:r>
              <w:rPr>
                <w:color w:val="105C84"/>
                <w:spacing w:val="20"/>
                <w:sz w:val="18"/>
              </w:rPr>
              <w:t> </w:t>
            </w:r>
            <w:r>
              <w:rPr>
                <w:color w:val="105C84"/>
                <w:sz w:val="18"/>
              </w:rPr>
              <w:t>information</w:t>
            </w:r>
            <w:r>
              <w:rPr>
                <w:color w:val="105C84"/>
                <w:spacing w:val="20"/>
                <w:sz w:val="18"/>
              </w:rPr>
              <w:t> </w:t>
            </w:r>
            <w:r>
              <w:rPr>
                <w:color w:val="105C84"/>
                <w:spacing w:val="-5"/>
                <w:sz w:val="18"/>
              </w:rPr>
              <w:t>and</w:t>
            </w:r>
          </w:p>
          <w:p>
            <w:pPr>
              <w:pStyle w:val="TableParagraph"/>
              <w:tabs>
                <w:tab w:pos="4106" w:val="left" w:leader="none"/>
              </w:tabs>
              <w:spacing w:line="148" w:lineRule="auto" w:before="27"/>
              <w:ind w:left="92"/>
              <w:rPr>
                <w:sz w:val="18"/>
              </w:rPr>
            </w:pPr>
            <w:r>
              <w:rPr>
                <w:color w:val="105C84"/>
                <w:spacing w:val="-4"/>
                <w:position w:val="-8"/>
                <w:sz w:val="18"/>
              </w:rPr>
              <w:t>Year</w:t>
            </w:r>
            <w:r>
              <w:rPr>
                <w:color w:val="105C84"/>
                <w:spacing w:val="-8"/>
                <w:position w:val="-8"/>
                <w:sz w:val="18"/>
              </w:rPr>
              <w:t> </w:t>
            </w:r>
            <w:r>
              <w:rPr>
                <w:color w:val="105C84"/>
                <w:spacing w:val="-4"/>
                <w:position w:val="-8"/>
                <w:sz w:val="18"/>
              </w:rPr>
              <w:t>1:</w:t>
            </w:r>
            <w:r>
              <w:rPr>
                <w:color w:val="105C84"/>
                <w:spacing w:val="-8"/>
                <w:position w:val="-8"/>
                <w:sz w:val="18"/>
              </w:rPr>
              <w:t> </w:t>
            </w:r>
            <w:r>
              <w:rPr>
                <w:color w:val="105C84"/>
                <w:spacing w:val="-4"/>
                <w:position w:val="-8"/>
                <w:sz w:val="18"/>
              </w:rPr>
              <w:t>1+</w:t>
            </w:r>
            <w:r>
              <w:rPr>
                <w:color w:val="105C84"/>
                <w:spacing w:val="-8"/>
                <w:position w:val="-8"/>
                <w:sz w:val="18"/>
              </w:rPr>
              <w:t> </w:t>
            </w:r>
            <w:r>
              <w:rPr>
                <w:color w:val="105C84"/>
                <w:spacing w:val="-4"/>
                <w:position w:val="-8"/>
                <w:sz w:val="18"/>
              </w:rPr>
              <w:t>housing</w:t>
            </w:r>
            <w:r>
              <w:rPr>
                <w:color w:val="105C84"/>
                <w:position w:val="-8"/>
                <w:sz w:val="18"/>
              </w:rPr>
              <w:tab/>
            </w:r>
            <w:r>
              <w:rPr>
                <w:color w:val="105C84"/>
                <w:sz w:val="18"/>
              </w:rPr>
              <w:t>prepare</w:t>
            </w:r>
            <w:r>
              <w:rPr>
                <w:color w:val="105C84"/>
                <w:spacing w:val="-11"/>
                <w:sz w:val="18"/>
              </w:rPr>
              <w:t> </w:t>
            </w:r>
            <w:r>
              <w:rPr>
                <w:color w:val="105C84"/>
                <w:sz w:val="18"/>
              </w:rPr>
              <w:t>to</w:t>
            </w:r>
            <w:r>
              <w:rPr>
                <w:color w:val="105C84"/>
                <w:spacing w:val="-11"/>
                <w:sz w:val="18"/>
              </w:rPr>
              <w:t> </w:t>
            </w:r>
            <w:r>
              <w:rPr>
                <w:color w:val="105C84"/>
                <w:sz w:val="18"/>
              </w:rPr>
              <w:t>assist</w:t>
            </w:r>
            <w:r>
              <w:rPr>
                <w:color w:val="105C84"/>
                <w:spacing w:val="-10"/>
                <w:sz w:val="18"/>
              </w:rPr>
              <w:t> </w:t>
            </w:r>
            <w:r>
              <w:rPr>
                <w:color w:val="105C84"/>
                <w:spacing w:val="-2"/>
                <w:sz w:val="18"/>
              </w:rPr>
              <w:t>housing</w:t>
            </w:r>
          </w:p>
          <w:p>
            <w:pPr>
              <w:pStyle w:val="TableParagraph"/>
              <w:tabs>
                <w:tab w:pos="4106" w:val="left" w:leader="none"/>
              </w:tabs>
              <w:spacing w:line="148" w:lineRule="auto"/>
              <w:ind w:left="92"/>
              <w:rPr>
                <w:sz w:val="18"/>
              </w:rPr>
            </w:pPr>
            <w:r>
              <w:rPr>
                <w:color w:val="105C84"/>
                <w:position w:val="-8"/>
                <w:sz w:val="18"/>
              </w:rPr>
              <w:t>entity</w:t>
            </w:r>
            <w:r>
              <w:rPr>
                <w:color w:val="105C84"/>
                <w:spacing w:val="5"/>
                <w:position w:val="-8"/>
                <w:sz w:val="18"/>
              </w:rPr>
              <w:t> </w:t>
            </w:r>
            <w:r>
              <w:rPr>
                <w:color w:val="105C84"/>
                <w:position w:val="-8"/>
                <w:sz w:val="18"/>
              </w:rPr>
              <w:t>without</w:t>
            </w:r>
            <w:r>
              <w:rPr>
                <w:color w:val="105C84"/>
                <w:spacing w:val="6"/>
                <w:position w:val="-8"/>
                <w:sz w:val="18"/>
              </w:rPr>
              <w:t> </w:t>
            </w:r>
            <w:r>
              <w:rPr>
                <w:color w:val="105C84"/>
                <w:position w:val="-8"/>
                <w:sz w:val="18"/>
              </w:rPr>
              <w:t>a</w:t>
            </w:r>
            <w:r>
              <w:rPr>
                <w:color w:val="105C84"/>
                <w:spacing w:val="5"/>
                <w:position w:val="-8"/>
                <w:sz w:val="18"/>
              </w:rPr>
              <w:t> </w:t>
            </w:r>
            <w:r>
              <w:rPr>
                <w:color w:val="105C84"/>
                <w:spacing w:val="-2"/>
                <w:position w:val="-8"/>
                <w:sz w:val="18"/>
              </w:rPr>
              <w:t>smoke-</w:t>
            </w:r>
            <w:r>
              <w:rPr>
                <w:color w:val="105C84"/>
                <w:position w:val="-8"/>
                <w:sz w:val="18"/>
              </w:rPr>
              <w:tab/>
            </w:r>
            <w:r>
              <w:rPr>
                <w:color w:val="105C84"/>
                <w:sz w:val="18"/>
              </w:rPr>
              <w:t>units</w:t>
            </w:r>
            <w:r>
              <w:rPr>
                <w:color w:val="105C84"/>
                <w:spacing w:val="-4"/>
                <w:sz w:val="18"/>
              </w:rPr>
              <w:t> </w:t>
            </w:r>
            <w:r>
              <w:rPr>
                <w:color w:val="105C84"/>
                <w:sz w:val="18"/>
              </w:rPr>
              <w:t>with</w:t>
            </w:r>
            <w:r>
              <w:rPr>
                <w:color w:val="105C84"/>
                <w:spacing w:val="-2"/>
                <w:sz w:val="18"/>
              </w:rPr>
              <w:t> implementing</w:t>
            </w:r>
          </w:p>
          <w:p>
            <w:pPr>
              <w:pStyle w:val="TableParagraph"/>
              <w:tabs>
                <w:tab w:pos="4106" w:val="left" w:leader="none"/>
              </w:tabs>
              <w:spacing w:line="148" w:lineRule="auto"/>
              <w:ind w:left="92"/>
              <w:rPr>
                <w:sz w:val="18"/>
              </w:rPr>
            </w:pPr>
            <w:r>
              <w:rPr>
                <w:color w:val="105C84"/>
                <w:position w:val="-8"/>
                <w:sz w:val="18"/>
              </w:rPr>
              <w:t>free</w:t>
            </w:r>
            <w:r>
              <w:rPr>
                <w:color w:val="105C84"/>
                <w:spacing w:val="-1"/>
                <w:position w:val="-8"/>
                <w:sz w:val="18"/>
              </w:rPr>
              <w:t> </w:t>
            </w:r>
            <w:r>
              <w:rPr>
                <w:color w:val="105C84"/>
                <w:position w:val="-8"/>
                <w:sz w:val="18"/>
              </w:rPr>
              <w:t>policy</w:t>
            </w:r>
            <w:r>
              <w:rPr>
                <w:color w:val="105C84"/>
                <w:spacing w:val="-1"/>
                <w:position w:val="-8"/>
                <w:sz w:val="18"/>
              </w:rPr>
              <w:t> </w:t>
            </w:r>
            <w:r>
              <w:rPr>
                <w:color w:val="105C84"/>
                <w:spacing w:val="-2"/>
                <w:position w:val="-8"/>
                <w:sz w:val="18"/>
              </w:rPr>
              <w:t>surveyed</w:t>
            </w:r>
            <w:r>
              <w:rPr>
                <w:color w:val="105C84"/>
                <w:position w:val="-8"/>
                <w:sz w:val="18"/>
              </w:rPr>
              <w:tab/>
            </w:r>
            <w:r>
              <w:rPr>
                <w:color w:val="105C84"/>
                <w:sz w:val="18"/>
              </w:rPr>
              <w:t>and/or</w:t>
            </w:r>
            <w:r>
              <w:rPr>
                <w:color w:val="105C84"/>
                <w:spacing w:val="28"/>
                <w:sz w:val="18"/>
              </w:rPr>
              <w:t> </w:t>
            </w:r>
            <w:r>
              <w:rPr>
                <w:color w:val="105C84"/>
                <w:sz w:val="18"/>
              </w:rPr>
              <w:t>upholding</w:t>
            </w:r>
            <w:r>
              <w:rPr>
                <w:color w:val="105C84"/>
                <w:spacing w:val="28"/>
                <w:sz w:val="18"/>
              </w:rPr>
              <w:t> </w:t>
            </w:r>
            <w:r>
              <w:rPr>
                <w:color w:val="105C84"/>
                <w:spacing w:val="-2"/>
                <w:sz w:val="18"/>
              </w:rPr>
              <w:t>smoke-</w:t>
            </w:r>
          </w:p>
          <w:p>
            <w:pPr>
              <w:pStyle w:val="TableParagraph"/>
              <w:tabs>
                <w:tab w:pos="4106" w:val="left" w:leader="none"/>
              </w:tabs>
              <w:spacing w:line="246" w:lineRule="exact"/>
              <w:ind w:left="92"/>
              <w:rPr>
                <w:position w:val="9"/>
                <w:sz w:val="18"/>
              </w:rPr>
            </w:pPr>
            <w:r>
              <w:rPr>
                <w:color w:val="105C84"/>
                <w:sz w:val="18"/>
              </w:rPr>
              <w:t>(include</w:t>
            </w:r>
            <w:r>
              <w:rPr>
                <w:color w:val="105C84"/>
                <w:spacing w:val="-2"/>
                <w:sz w:val="18"/>
              </w:rPr>
              <w:t> </w:t>
            </w:r>
            <w:r>
              <w:rPr>
                <w:color w:val="105C84"/>
                <w:sz w:val="18"/>
              </w:rPr>
              <w:t>number</w:t>
            </w:r>
            <w:r>
              <w:rPr>
                <w:color w:val="105C84"/>
                <w:spacing w:val="-1"/>
                <w:sz w:val="18"/>
              </w:rPr>
              <w:t> </w:t>
            </w:r>
            <w:r>
              <w:rPr>
                <w:color w:val="105C84"/>
                <w:spacing w:val="-5"/>
                <w:sz w:val="18"/>
              </w:rPr>
              <w:t>of</w:t>
            </w:r>
            <w:r>
              <w:rPr>
                <w:color w:val="105C84"/>
                <w:sz w:val="18"/>
              </w:rPr>
              <w:tab/>
            </w:r>
            <w:r>
              <w:rPr>
                <w:color w:val="105C84"/>
                <w:position w:val="9"/>
                <w:sz w:val="18"/>
              </w:rPr>
              <w:t>free</w:t>
            </w:r>
            <w:r>
              <w:rPr>
                <w:color w:val="105C84"/>
                <w:spacing w:val="-8"/>
                <w:position w:val="9"/>
                <w:sz w:val="18"/>
              </w:rPr>
              <w:t> </w:t>
            </w:r>
            <w:r>
              <w:rPr>
                <w:color w:val="105C84"/>
                <w:spacing w:val="-2"/>
                <w:position w:val="9"/>
                <w:sz w:val="18"/>
              </w:rPr>
              <w:t>policies</w:t>
            </w:r>
          </w:p>
          <w:p>
            <w:pPr>
              <w:pStyle w:val="TableParagraph"/>
              <w:tabs>
                <w:tab w:pos="4106" w:val="left" w:leader="none"/>
              </w:tabs>
              <w:spacing w:line="200" w:lineRule="exact"/>
              <w:ind w:left="92"/>
              <w:rPr>
                <w:sz w:val="18"/>
              </w:rPr>
            </w:pPr>
            <w:r>
              <w:rPr>
                <w:color w:val="105C84"/>
                <w:sz w:val="18"/>
              </w:rPr>
              <w:t>units);</w:t>
            </w:r>
            <w:r>
              <w:rPr>
                <w:color w:val="105C84"/>
                <w:spacing w:val="-6"/>
                <w:sz w:val="18"/>
              </w:rPr>
              <w:t> </w:t>
            </w:r>
            <w:r>
              <w:rPr>
                <w:color w:val="105C84"/>
                <w:sz w:val="18"/>
              </w:rPr>
              <w:t>1+</w:t>
            </w:r>
            <w:r>
              <w:rPr>
                <w:color w:val="105C84"/>
                <w:spacing w:val="-6"/>
                <w:sz w:val="18"/>
              </w:rPr>
              <w:t> </w:t>
            </w:r>
            <w:r>
              <w:rPr>
                <w:color w:val="105C84"/>
                <w:sz w:val="18"/>
              </w:rPr>
              <w:t>housing</w:t>
            </w:r>
            <w:r>
              <w:rPr>
                <w:color w:val="105C84"/>
                <w:spacing w:val="-6"/>
                <w:sz w:val="18"/>
              </w:rPr>
              <w:t> </w:t>
            </w:r>
            <w:r>
              <w:rPr>
                <w:color w:val="105C84"/>
                <w:spacing w:val="-2"/>
                <w:sz w:val="18"/>
              </w:rPr>
              <w:t>entity</w:t>
            </w:r>
            <w:r>
              <w:rPr>
                <w:color w:val="105C84"/>
                <w:sz w:val="18"/>
              </w:rPr>
              <w:tab/>
            </w:r>
            <w:r>
              <w:rPr>
                <w:color w:val="105C84"/>
                <w:spacing w:val="-4"/>
                <w:sz w:val="18"/>
              </w:rPr>
              <w:t>TACFL</w:t>
            </w:r>
            <w:r>
              <w:rPr>
                <w:color w:val="105C84"/>
                <w:spacing w:val="-2"/>
                <w:sz w:val="18"/>
              </w:rPr>
              <w:t> </w:t>
            </w:r>
            <w:r>
              <w:rPr>
                <w:color w:val="105C84"/>
                <w:spacing w:val="-4"/>
                <w:sz w:val="18"/>
              </w:rPr>
              <w:t>and</w:t>
            </w:r>
            <w:r>
              <w:rPr>
                <w:color w:val="105C84"/>
                <w:spacing w:val="-2"/>
                <w:sz w:val="18"/>
              </w:rPr>
              <w:t> </w:t>
            </w:r>
            <w:r>
              <w:rPr>
                <w:color w:val="105C84"/>
                <w:spacing w:val="-4"/>
                <w:sz w:val="18"/>
              </w:rPr>
              <w:t>Public</w:t>
            </w:r>
            <w:r>
              <w:rPr>
                <w:color w:val="105C84"/>
                <w:spacing w:val="-2"/>
                <w:sz w:val="18"/>
              </w:rPr>
              <w:t> </w:t>
            </w:r>
            <w:r>
              <w:rPr>
                <w:color w:val="105C84"/>
                <w:spacing w:val="-4"/>
                <w:sz w:val="18"/>
              </w:rPr>
              <w:t>Health</w:t>
            </w:r>
          </w:p>
          <w:p>
            <w:pPr>
              <w:pStyle w:val="TableParagraph"/>
              <w:tabs>
                <w:tab w:pos="4106" w:val="left" w:leader="none"/>
              </w:tabs>
              <w:spacing w:line="200" w:lineRule="exact"/>
              <w:ind w:left="92"/>
              <w:rPr>
                <w:sz w:val="18"/>
              </w:rPr>
            </w:pPr>
            <w:r>
              <w:rPr>
                <w:color w:val="105C84"/>
                <w:sz w:val="18"/>
              </w:rPr>
              <w:t>with</w:t>
            </w:r>
            <w:r>
              <w:rPr>
                <w:color w:val="105C84"/>
                <w:spacing w:val="4"/>
                <w:sz w:val="18"/>
              </w:rPr>
              <w:t> </w:t>
            </w:r>
            <w:r>
              <w:rPr>
                <w:color w:val="105C84"/>
                <w:sz w:val="18"/>
              </w:rPr>
              <w:t>existing</w:t>
            </w:r>
            <w:r>
              <w:rPr>
                <w:color w:val="105C84"/>
                <w:spacing w:val="4"/>
                <w:sz w:val="18"/>
              </w:rPr>
              <w:t> </w:t>
            </w:r>
            <w:r>
              <w:rPr>
                <w:color w:val="105C84"/>
                <w:spacing w:val="-2"/>
                <w:sz w:val="18"/>
              </w:rPr>
              <w:t>smoke-</w:t>
            </w:r>
            <w:r>
              <w:rPr>
                <w:color w:val="105C84"/>
                <w:sz w:val="18"/>
              </w:rPr>
              <w:tab/>
              <w:t>will</w:t>
            </w:r>
            <w:r>
              <w:rPr>
                <w:color w:val="105C84"/>
                <w:spacing w:val="1"/>
                <w:sz w:val="18"/>
              </w:rPr>
              <w:t> </w:t>
            </w:r>
            <w:r>
              <w:rPr>
                <w:color w:val="105C84"/>
                <w:spacing w:val="-2"/>
                <w:sz w:val="18"/>
              </w:rPr>
              <w:t>collaboratively</w:t>
            </w:r>
          </w:p>
          <w:p>
            <w:pPr>
              <w:pStyle w:val="TableParagraph"/>
              <w:tabs>
                <w:tab w:pos="4106" w:val="left" w:leader="none"/>
              </w:tabs>
              <w:spacing w:line="200" w:lineRule="exact"/>
              <w:ind w:left="92"/>
              <w:rPr>
                <w:sz w:val="18"/>
              </w:rPr>
            </w:pPr>
            <w:r>
              <w:rPr>
                <w:color w:val="105C84"/>
                <w:sz w:val="18"/>
              </w:rPr>
              <w:t>free</w:t>
            </w:r>
            <w:r>
              <w:rPr>
                <w:color w:val="105C84"/>
                <w:spacing w:val="-2"/>
                <w:sz w:val="18"/>
              </w:rPr>
              <w:t> </w:t>
            </w:r>
            <w:r>
              <w:rPr>
                <w:color w:val="105C84"/>
                <w:sz w:val="18"/>
              </w:rPr>
              <w:t>policies</w:t>
            </w:r>
            <w:r>
              <w:rPr>
                <w:color w:val="105C84"/>
                <w:spacing w:val="-2"/>
                <w:sz w:val="18"/>
              </w:rPr>
              <w:t> surveyed</w:t>
            </w:r>
            <w:r>
              <w:rPr>
                <w:color w:val="105C84"/>
                <w:sz w:val="18"/>
              </w:rPr>
              <w:tab/>
            </w:r>
            <w:r>
              <w:rPr>
                <w:color w:val="105C84"/>
                <w:spacing w:val="-2"/>
                <w:sz w:val="18"/>
              </w:rPr>
              <w:t>survey</w:t>
            </w:r>
            <w:r>
              <w:rPr>
                <w:color w:val="105C84"/>
                <w:spacing w:val="-10"/>
                <w:sz w:val="18"/>
              </w:rPr>
              <w:t> </w:t>
            </w:r>
            <w:r>
              <w:rPr>
                <w:color w:val="105C84"/>
                <w:spacing w:val="-2"/>
                <w:sz w:val="18"/>
              </w:rPr>
              <w:t>tenants</w:t>
            </w:r>
            <w:r>
              <w:rPr>
                <w:color w:val="105C84"/>
                <w:spacing w:val="-10"/>
                <w:sz w:val="18"/>
              </w:rPr>
              <w:t> </w:t>
            </w:r>
            <w:r>
              <w:rPr>
                <w:color w:val="105C84"/>
                <w:spacing w:val="-5"/>
                <w:sz w:val="18"/>
              </w:rPr>
              <w:t>and</w:t>
            </w:r>
          </w:p>
          <w:p>
            <w:pPr>
              <w:pStyle w:val="TableParagraph"/>
              <w:tabs>
                <w:tab w:pos="4106" w:val="left" w:leader="none"/>
              </w:tabs>
              <w:spacing w:line="200" w:lineRule="exact"/>
              <w:ind w:left="92"/>
              <w:rPr>
                <w:sz w:val="18"/>
              </w:rPr>
            </w:pPr>
            <w:r>
              <w:rPr>
                <w:color w:val="105C84"/>
                <w:sz w:val="18"/>
              </w:rPr>
              <w:t>(include number</w:t>
            </w:r>
            <w:r>
              <w:rPr>
                <w:color w:val="105C84"/>
                <w:spacing w:val="1"/>
                <w:sz w:val="18"/>
              </w:rPr>
              <w:t> </w:t>
            </w:r>
            <w:r>
              <w:rPr>
                <w:color w:val="105C84"/>
                <w:sz w:val="18"/>
              </w:rPr>
              <w:t>of</w:t>
            </w:r>
            <w:r>
              <w:rPr>
                <w:color w:val="105C84"/>
                <w:spacing w:val="1"/>
                <w:sz w:val="18"/>
              </w:rPr>
              <w:t> </w:t>
            </w:r>
            <w:r>
              <w:rPr>
                <w:color w:val="105C84"/>
                <w:spacing w:val="-2"/>
                <w:sz w:val="18"/>
              </w:rPr>
              <w:t>units)</w:t>
            </w:r>
            <w:r>
              <w:rPr>
                <w:color w:val="105C84"/>
                <w:sz w:val="18"/>
              </w:rPr>
              <w:tab/>
              <w:t>landlords in </w:t>
            </w:r>
            <w:r>
              <w:rPr>
                <w:color w:val="105C84"/>
                <w:spacing w:val="-2"/>
                <w:sz w:val="18"/>
              </w:rPr>
              <w:t>housing</w:t>
            </w:r>
          </w:p>
          <w:p>
            <w:pPr>
              <w:pStyle w:val="TableParagraph"/>
              <w:tabs>
                <w:tab w:pos="4106" w:val="left" w:leader="none"/>
              </w:tabs>
              <w:spacing w:line="148" w:lineRule="auto"/>
              <w:ind w:left="92"/>
              <w:rPr>
                <w:sz w:val="18"/>
              </w:rPr>
            </w:pPr>
            <w:r>
              <w:rPr>
                <w:color w:val="105C84"/>
                <w:spacing w:val="-4"/>
                <w:position w:val="-8"/>
                <w:sz w:val="18"/>
              </w:rPr>
              <w:t>Year</w:t>
            </w:r>
            <w:r>
              <w:rPr>
                <w:color w:val="105C84"/>
                <w:spacing w:val="-8"/>
                <w:position w:val="-8"/>
                <w:sz w:val="18"/>
              </w:rPr>
              <w:t> </w:t>
            </w:r>
            <w:r>
              <w:rPr>
                <w:color w:val="105C84"/>
                <w:spacing w:val="-4"/>
                <w:position w:val="-8"/>
                <w:sz w:val="18"/>
              </w:rPr>
              <w:t>2:</w:t>
            </w:r>
            <w:r>
              <w:rPr>
                <w:color w:val="105C84"/>
                <w:spacing w:val="-8"/>
                <w:position w:val="-8"/>
                <w:sz w:val="18"/>
              </w:rPr>
              <w:t> </w:t>
            </w:r>
            <w:r>
              <w:rPr>
                <w:color w:val="105C84"/>
                <w:spacing w:val="-4"/>
                <w:position w:val="-8"/>
                <w:sz w:val="18"/>
              </w:rPr>
              <w:t>1+</w:t>
            </w:r>
            <w:r>
              <w:rPr>
                <w:color w:val="105C84"/>
                <w:spacing w:val="-8"/>
                <w:position w:val="-8"/>
                <w:sz w:val="18"/>
              </w:rPr>
              <w:t> </w:t>
            </w:r>
            <w:r>
              <w:rPr>
                <w:color w:val="105C84"/>
                <w:spacing w:val="-4"/>
                <w:position w:val="-8"/>
                <w:sz w:val="18"/>
              </w:rPr>
              <w:t>housing</w:t>
            </w:r>
            <w:r>
              <w:rPr>
                <w:color w:val="105C84"/>
                <w:position w:val="-8"/>
                <w:sz w:val="18"/>
              </w:rPr>
              <w:tab/>
            </w:r>
            <w:r>
              <w:rPr>
                <w:color w:val="105C84"/>
                <w:sz w:val="18"/>
              </w:rPr>
              <w:t>units</w:t>
            </w:r>
            <w:r>
              <w:rPr>
                <w:color w:val="105C84"/>
                <w:spacing w:val="2"/>
                <w:sz w:val="18"/>
              </w:rPr>
              <w:t> </w:t>
            </w:r>
            <w:r>
              <w:rPr>
                <w:color w:val="105C84"/>
                <w:sz w:val="18"/>
              </w:rPr>
              <w:t>without</w:t>
            </w:r>
            <w:r>
              <w:rPr>
                <w:color w:val="105C84"/>
                <w:spacing w:val="3"/>
                <w:sz w:val="18"/>
              </w:rPr>
              <w:t> </w:t>
            </w:r>
            <w:r>
              <w:rPr>
                <w:color w:val="105C84"/>
                <w:sz w:val="18"/>
              </w:rPr>
              <w:t>smoke-</w:t>
            </w:r>
            <w:r>
              <w:rPr>
                <w:color w:val="105C84"/>
                <w:spacing w:val="-4"/>
                <w:sz w:val="18"/>
              </w:rPr>
              <w:t>free</w:t>
            </w:r>
          </w:p>
          <w:p>
            <w:pPr>
              <w:pStyle w:val="TableParagraph"/>
              <w:tabs>
                <w:tab w:pos="4106" w:val="left" w:leader="none"/>
              </w:tabs>
              <w:spacing w:line="148" w:lineRule="auto"/>
              <w:ind w:left="92"/>
              <w:rPr>
                <w:sz w:val="18"/>
              </w:rPr>
            </w:pPr>
            <w:r>
              <w:rPr>
                <w:color w:val="105C84"/>
                <w:position w:val="-8"/>
                <w:sz w:val="18"/>
              </w:rPr>
              <w:t>entity</w:t>
            </w:r>
            <w:r>
              <w:rPr>
                <w:color w:val="105C84"/>
                <w:spacing w:val="-11"/>
                <w:position w:val="-8"/>
                <w:sz w:val="18"/>
              </w:rPr>
              <w:t> </w:t>
            </w:r>
            <w:r>
              <w:rPr>
                <w:color w:val="105C84"/>
                <w:position w:val="-8"/>
                <w:sz w:val="18"/>
              </w:rPr>
              <w:t>assisted</w:t>
            </w:r>
            <w:r>
              <w:rPr>
                <w:color w:val="105C84"/>
                <w:spacing w:val="-11"/>
                <w:position w:val="-8"/>
                <w:sz w:val="18"/>
              </w:rPr>
              <w:t> </w:t>
            </w:r>
            <w:r>
              <w:rPr>
                <w:color w:val="105C84"/>
                <w:spacing w:val="-4"/>
                <w:position w:val="-8"/>
                <w:sz w:val="18"/>
              </w:rPr>
              <w:t>with</w:t>
            </w:r>
            <w:r>
              <w:rPr>
                <w:color w:val="105C84"/>
                <w:position w:val="-8"/>
                <w:sz w:val="18"/>
              </w:rPr>
              <w:tab/>
            </w:r>
            <w:r>
              <w:rPr>
                <w:color w:val="105C84"/>
                <w:sz w:val="18"/>
              </w:rPr>
              <w:t>policies</w:t>
            </w:r>
            <w:r>
              <w:rPr>
                <w:color w:val="105C84"/>
                <w:spacing w:val="2"/>
                <w:sz w:val="18"/>
              </w:rPr>
              <w:t> </w:t>
            </w:r>
            <w:r>
              <w:rPr>
                <w:color w:val="105C84"/>
                <w:sz w:val="18"/>
              </w:rPr>
              <w:t>to</w:t>
            </w:r>
            <w:r>
              <w:rPr>
                <w:color w:val="105C84"/>
                <w:spacing w:val="3"/>
                <w:sz w:val="18"/>
              </w:rPr>
              <w:t> </w:t>
            </w:r>
            <w:r>
              <w:rPr>
                <w:color w:val="105C84"/>
                <w:sz w:val="18"/>
              </w:rPr>
              <w:t>learn</w:t>
            </w:r>
            <w:r>
              <w:rPr>
                <w:color w:val="105C84"/>
                <w:spacing w:val="3"/>
                <w:sz w:val="18"/>
              </w:rPr>
              <w:t> </w:t>
            </w:r>
            <w:r>
              <w:rPr>
                <w:color w:val="105C84"/>
                <w:spacing w:val="-2"/>
                <w:sz w:val="18"/>
              </w:rPr>
              <w:t>barriers</w:t>
            </w:r>
          </w:p>
          <w:p>
            <w:pPr>
              <w:pStyle w:val="TableParagraph"/>
              <w:tabs>
                <w:tab w:pos="4106" w:val="left" w:leader="none"/>
              </w:tabs>
              <w:spacing w:line="148" w:lineRule="auto"/>
              <w:ind w:left="92"/>
              <w:rPr>
                <w:sz w:val="18"/>
              </w:rPr>
            </w:pPr>
            <w:r>
              <w:rPr>
                <w:color w:val="105C84"/>
                <w:position w:val="-8"/>
                <w:sz w:val="18"/>
              </w:rPr>
              <w:t>implementation</w:t>
            </w:r>
            <w:r>
              <w:rPr>
                <w:color w:val="105C84"/>
                <w:spacing w:val="35"/>
                <w:position w:val="-8"/>
                <w:sz w:val="18"/>
              </w:rPr>
              <w:t> </w:t>
            </w:r>
            <w:r>
              <w:rPr>
                <w:color w:val="105C84"/>
                <w:spacing w:val="-5"/>
                <w:position w:val="-8"/>
                <w:sz w:val="18"/>
              </w:rPr>
              <w:t>of</w:t>
            </w:r>
            <w:r>
              <w:rPr>
                <w:color w:val="105C84"/>
                <w:position w:val="-8"/>
                <w:sz w:val="18"/>
              </w:rPr>
              <w:tab/>
            </w:r>
            <w:r>
              <w:rPr>
                <w:color w:val="105C84"/>
                <w:sz w:val="18"/>
              </w:rPr>
              <w:t>to</w:t>
            </w:r>
            <w:r>
              <w:rPr>
                <w:color w:val="105C84"/>
                <w:spacing w:val="22"/>
                <w:sz w:val="18"/>
              </w:rPr>
              <w:t> </w:t>
            </w:r>
            <w:r>
              <w:rPr>
                <w:color w:val="105C84"/>
                <w:sz w:val="18"/>
              </w:rPr>
              <w:t>implementing</w:t>
            </w:r>
            <w:r>
              <w:rPr>
                <w:color w:val="105C84"/>
                <w:spacing w:val="23"/>
                <w:sz w:val="18"/>
              </w:rPr>
              <w:t> </w:t>
            </w:r>
            <w:r>
              <w:rPr>
                <w:color w:val="105C84"/>
                <w:spacing w:val="-4"/>
                <w:sz w:val="18"/>
              </w:rPr>
              <w:t>such</w:t>
            </w:r>
          </w:p>
          <w:p>
            <w:pPr>
              <w:pStyle w:val="TableParagraph"/>
              <w:tabs>
                <w:tab w:pos="4106" w:val="left" w:leader="none"/>
              </w:tabs>
              <w:spacing w:line="246" w:lineRule="exact"/>
              <w:ind w:left="92"/>
              <w:rPr>
                <w:position w:val="9"/>
                <w:sz w:val="18"/>
              </w:rPr>
            </w:pPr>
            <w:r>
              <w:rPr>
                <w:color w:val="105C84"/>
                <w:spacing w:val="-2"/>
                <w:sz w:val="18"/>
              </w:rPr>
              <w:t>smoke-free</w:t>
            </w:r>
            <w:r>
              <w:rPr>
                <w:color w:val="105C84"/>
                <w:spacing w:val="1"/>
                <w:sz w:val="18"/>
              </w:rPr>
              <w:t> </w:t>
            </w:r>
            <w:r>
              <w:rPr>
                <w:color w:val="105C84"/>
                <w:spacing w:val="-2"/>
                <w:sz w:val="18"/>
              </w:rPr>
              <w:t>policies</w:t>
            </w:r>
            <w:r>
              <w:rPr>
                <w:color w:val="105C84"/>
                <w:sz w:val="18"/>
              </w:rPr>
              <w:tab/>
            </w:r>
            <w:r>
              <w:rPr>
                <w:color w:val="105C84"/>
                <w:spacing w:val="-2"/>
                <w:position w:val="9"/>
                <w:sz w:val="18"/>
              </w:rPr>
              <w:t>policies</w:t>
            </w:r>
          </w:p>
          <w:p>
            <w:pPr>
              <w:pStyle w:val="TableParagraph"/>
              <w:tabs>
                <w:tab w:pos="4106" w:val="left" w:leader="none"/>
              </w:tabs>
              <w:spacing w:line="200" w:lineRule="exact"/>
              <w:ind w:left="92"/>
              <w:rPr>
                <w:sz w:val="18"/>
              </w:rPr>
            </w:pPr>
            <w:r>
              <w:rPr>
                <w:color w:val="105C84"/>
                <w:sz w:val="18"/>
              </w:rPr>
              <w:t>(including</w:t>
            </w:r>
            <w:r>
              <w:rPr>
                <w:color w:val="105C84"/>
                <w:spacing w:val="2"/>
                <w:sz w:val="18"/>
              </w:rPr>
              <w:t> </w:t>
            </w:r>
            <w:r>
              <w:rPr>
                <w:color w:val="105C84"/>
                <w:spacing w:val="-2"/>
                <w:sz w:val="18"/>
              </w:rPr>
              <w:t>number</w:t>
            </w:r>
            <w:r>
              <w:rPr>
                <w:color w:val="105C84"/>
                <w:sz w:val="18"/>
              </w:rPr>
              <w:tab/>
            </w:r>
            <w:r>
              <w:rPr>
                <w:color w:val="105C84"/>
                <w:spacing w:val="-4"/>
                <w:sz w:val="18"/>
              </w:rPr>
              <w:t>TACFL</w:t>
            </w:r>
            <w:r>
              <w:rPr>
                <w:color w:val="105C84"/>
                <w:spacing w:val="-2"/>
                <w:sz w:val="18"/>
              </w:rPr>
              <w:t> </w:t>
            </w:r>
            <w:r>
              <w:rPr>
                <w:color w:val="105C84"/>
                <w:spacing w:val="-4"/>
                <w:sz w:val="18"/>
              </w:rPr>
              <w:t>and</w:t>
            </w:r>
            <w:r>
              <w:rPr>
                <w:color w:val="105C84"/>
                <w:spacing w:val="-2"/>
                <w:sz w:val="18"/>
              </w:rPr>
              <w:t> </w:t>
            </w:r>
            <w:r>
              <w:rPr>
                <w:color w:val="105C84"/>
                <w:spacing w:val="-4"/>
                <w:sz w:val="18"/>
              </w:rPr>
              <w:t>Public</w:t>
            </w:r>
            <w:r>
              <w:rPr>
                <w:color w:val="105C84"/>
                <w:spacing w:val="-2"/>
                <w:sz w:val="18"/>
              </w:rPr>
              <w:t> </w:t>
            </w:r>
            <w:r>
              <w:rPr>
                <w:color w:val="105C84"/>
                <w:spacing w:val="-4"/>
                <w:sz w:val="18"/>
              </w:rPr>
              <w:t>Health</w:t>
            </w:r>
          </w:p>
          <w:p>
            <w:pPr>
              <w:pStyle w:val="TableParagraph"/>
              <w:tabs>
                <w:tab w:pos="4106" w:val="left" w:leader="none"/>
              </w:tabs>
              <w:spacing w:line="200" w:lineRule="exact"/>
              <w:ind w:left="92"/>
              <w:rPr>
                <w:sz w:val="18"/>
              </w:rPr>
            </w:pPr>
            <w:r>
              <w:rPr>
                <w:color w:val="105C84"/>
                <w:sz w:val="18"/>
              </w:rPr>
              <w:t>of</w:t>
            </w:r>
            <w:r>
              <w:rPr>
                <w:color w:val="105C84"/>
                <w:spacing w:val="-2"/>
                <w:sz w:val="18"/>
              </w:rPr>
              <w:t> </w:t>
            </w:r>
            <w:r>
              <w:rPr>
                <w:color w:val="105C84"/>
                <w:sz w:val="18"/>
              </w:rPr>
              <w:t>units);</w:t>
            </w:r>
            <w:r>
              <w:rPr>
                <w:color w:val="105C84"/>
                <w:spacing w:val="-1"/>
                <w:sz w:val="18"/>
              </w:rPr>
              <w:t> </w:t>
            </w:r>
            <w:r>
              <w:rPr>
                <w:color w:val="105C84"/>
                <w:sz w:val="18"/>
              </w:rPr>
              <w:t>Number</w:t>
            </w:r>
            <w:r>
              <w:rPr>
                <w:color w:val="105C84"/>
                <w:spacing w:val="-1"/>
                <w:sz w:val="18"/>
              </w:rPr>
              <w:t> </w:t>
            </w:r>
            <w:r>
              <w:rPr>
                <w:color w:val="105C84"/>
                <w:spacing w:val="-5"/>
                <w:sz w:val="18"/>
              </w:rPr>
              <w:t>of</w:t>
            </w:r>
            <w:r>
              <w:rPr>
                <w:color w:val="105C84"/>
                <w:sz w:val="18"/>
              </w:rPr>
              <w:tab/>
              <w:t>will</w:t>
            </w:r>
            <w:r>
              <w:rPr>
                <w:color w:val="105C84"/>
                <w:spacing w:val="2"/>
                <w:sz w:val="18"/>
              </w:rPr>
              <w:t> </w:t>
            </w:r>
            <w:r>
              <w:rPr>
                <w:color w:val="105C84"/>
                <w:sz w:val="18"/>
              </w:rPr>
              <w:t>collaboratively</w:t>
            </w:r>
            <w:r>
              <w:rPr>
                <w:color w:val="105C84"/>
                <w:spacing w:val="3"/>
                <w:sz w:val="18"/>
              </w:rPr>
              <w:t> </w:t>
            </w:r>
            <w:r>
              <w:rPr>
                <w:color w:val="105C84"/>
                <w:spacing w:val="-2"/>
                <w:sz w:val="18"/>
              </w:rPr>
              <w:t>survey</w:t>
            </w:r>
          </w:p>
          <w:p>
            <w:pPr>
              <w:pStyle w:val="TableParagraph"/>
              <w:tabs>
                <w:tab w:pos="4106" w:val="left" w:leader="none"/>
              </w:tabs>
              <w:spacing w:line="200" w:lineRule="exact"/>
              <w:ind w:left="92"/>
              <w:rPr>
                <w:sz w:val="18"/>
              </w:rPr>
            </w:pPr>
            <w:r>
              <w:rPr>
                <w:color w:val="105C84"/>
                <w:sz w:val="18"/>
              </w:rPr>
              <w:t>housing</w:t>
            </w:r>
            <w:r>
              <w:rPr>
                <w:color w:val="105C84"/>
                <w:spacing w:val="3"/>
                <w:sz w:val="18"/>
              </w:rPr>
              <w:t> </w:t>
            </w:r>
            <w:r>
              <w:rPr>
                <w:color w:val="105C84"/>
                <w:sz w:val="18"/>
              </w:rPr>
              <w:t>entities</w:t>
            </w:r>
            <w:r>
              <w:rPr>
                <w:color w:val="105C84"/>
                <w:spacing w:val="3"/>
                <w:sz w:val="18"/>
              </w:rPr>
              <w:t> </w:t>
            </w:r>
            <w:r>
              <w:rPr>
                <w:color w:val="105C84"/>
                <w:spacing w:val="-2"/>
                <w:sz w:val="18"/>
              </w:rPr>
              <w:t>assisted</w:t>
            </w:r>
            <w:r>
              <w:rPr>
                <w:color w:val="105C84"/>
                <w:sz w:val="18"/>
              </w:rPr>
              <w:tab/>
              <w:t>tenants</w:t>
            </w:r>
            <w:r>
              <w:rPr>
                <w:color w:val="105C84"/>
                <w:spacing w:val="-4"/>
                <w:sz w:val="18"/>
              </w:rPr>
              <w:t> </w:t>
            </w:r>
            <w:r>
              <w:rPr>
                <w:color w:val="105C84"/>
                <w:sz w:val="18"/>
              </w:rPr>
              <w:t>and</w:t>
            </w:r>
            <w:r>
              <w:rPr>
                <w:color w:val="105C84"/>
                <w:spacing w:val="-3"/>
                <w:sz w:val="18"/>
              </w:rPr>
              <w:t> </w:t>
            </w:r>
            <w:r>
              <w:rPr>
                <w:color w:val="105C84"/>
                <w:sz w:val="18"/>
              </w:rPr>
              <w:t>landlords</w:t>
            </w:r>
            <w:r>
              <w:rPr>
                <w:color w:val="105C84"/>
                <w:spacing w:val="-3"/>
                <w:sz w:val="18"/>
              </w:rPr>
              <w:t> </w:t>
            </w:r>
            <w:r>
              <w:rPr>
                <w:color w:val="105C84"/>
                <w:spacing w:val="-5"/>
                <w:sz w:val="18"/>
              </w:rPr>
              <w:t>in</w:t>
            </w:r>
          </w:p>
          <w:p>
            <w:pPr>
              <w:pStyle w:val="TableParagraph"/>
              <w:tabs>
                <w:tab w:pos="4106" w:val="left" w:leader="none"/>
              </w:tabs>
              <w:spacing w:line="200" w:lineRule="exact"/>
              <w:ind w:left="92"/>
              <w:rPr>
                <w:sz w:val="18"/>
              </w:rPr>
            </w:pPr>
            <w:r>
              <w:rPr>
                <w:color w:val="105C84"/>
                <w:sz w:val="18"/>
              </w:rPr>
              <w:t>with</w:t>
            </w:r>
            <w:r>
              <w:rPr>
                <w:color w:val="105C84"/>
                <w:spacing w:val="19"/>
                <w:sz w:val="18"/>
              </w:rPr>
              <w:t> </w:t>
            </w:r>
            <w:r>
              <w:rPr>
                <w:color w:val="105C84"/>
                <w:sz w:val="18"/>
              </w:rPr>
              <w:t>upholding</w:t>
            </w:r>
            <w:r>
              <w:rPr>
                <w:color w:val="105C84"/>
                <w:spacing w:val="19"/>
                <w:sz w:val="18"/>
              </w:rPr>
              <w:t> </w:t>
            </w:r>
            <w:r>
              <w:rPr>
                <w:color w:val="105C84"/>
                <w:spacing w:val="-2"/>
                <w:sz w:val="18"/>
              </w:rPr>
              <w:t>existing</w:t>
            </w:r>
            <w:r>
              <w:rPr>
                <w:color w:val="105C84"/>
                <w:sz w:val="18"/>
              </w:rPr>
              <w:tab/>
              <w:t>housing</w:t>
            </w:r>
            <w:r>
              <w:rPr>
                <w:color w:val="105C84"/>
                <w:spacing w:val="-1"/>
                <w:sz w:val="18"/>
              </w:rPr>
              <w:t> </w:t>
            </w:r>
            <w:r>
              <w:rPr>
                <w:color w:val="105C84"/>
                <w:sz w:val="18"/>
              </w:rPr>
              <w:t>units</w:t>
            </w:r>
            <w:r>
              <w:rPr>
                <w:color w:val="105C84"/>
                <w:spacing w:val="-1"/>
                <w:sz w:val="18"/>
              </w:rPr>
              <w:t> </w:t>
            </w:r>
            <w:r>
              <w:rPr>
                <w:color w:val="105C84"/>
                <w:sz w:val="18"/>
              </w:rPr>
              <w:t>with </w:t>
            </w:r>
            <w:r>
              <w:rPr>
                <w:color w:val="105C84"/>
                <w:spacing w:val="-2"/>
                <w:sz w:val="18"/>
              </w:rPr>
              <w:t>smoke-</w:t>
            </w:r>
          </w:p>
          <w:p>
            <w:pPr>
              <w:pStyle w:val="TableParagraph"/>
              <w:tabs>
                <w:tab w:pos="4106" w:val="left" w:leader="none"/>
              </w:tabs>
              <w:spacing w:line="200" w:lineRule="exact"/>
              <w:ind w:left="92"/>
              <w:rPr>
                <w:sz w:val="18"/>
              </w:rPr>
            </w:pPr>
            <w:r>
              <w:rPr>
                <w:color w:val="105C84"/>
                <w:spacing w:val="-2"/>
                <w:sz w:val="18"/>
              </w:rPr>
              <w:t>smoke-free</w:t>
            </w:r>
            <w:r>
              <w:rPr>
                <w:color w:val="105C84"/>
                <w:spacing w:val="1"/>
                <w:sz w:val="18"/>
              </w:rPr>
              <w:t> </w:t>
            </w:r>
            <w:r>
              <w:rPr>
                <w:color w:val="105C84"/>
                <w:spacing w:val="-2"/>
                <w:sz w:val="18"/>
              </w:rPr>
              <w:t>policies</w:t>
            </w:r>
            <w:r>
              <w:rPr>
                <w:color w:val="105C84"/>
                <w:sz w:val="18"/>
              </w:rPr>
              <w:tab/>
              <w:t>free</w:t>
            </w:r>
            <w:r>
              <w:rPr>
                <w:color w:val="105C84"/>
                <w:spacing w:val="3"/>
                <w:sz w:val="18"/>
              </w:rPr>
              <w:t> </w:t>
            </w:r>
            <w:r>
              <w:rPr>
                <w:color w:val="105C84"/>
                <w:sz w:val="18"/>
              </w:rPr>
              <w:t>policies</w:t>
            </w:r>
            <w:r>
              <w:rPr>
                <w:color w:val="105C84"/>
                <w:spacing w:val="3"/>
                <w:sz w:val="18"/>
              </w:rPr>
              <w:t> </w:t>
            </w:r>
            <w:r>
              <w:rPr>
                <w:color w:val="105C84"/>
                <w:sz w:val="18"/>
              </w:rPr>
              <w:t>to</w:t>
            </w:r>
            <w:r>
              <w:rPr>
                <w:color w:val="105C84"/>
                <w:spacing w:val="3"/>
                <w:sz w:val="18"/>
              </w:rPr>
              <w:t> </w:t>
            </w:r>
            <w:r>
              <w:rPr>
                <w:color w:val="105C84"/>
                <w:spacing w:val="-2"/>
                <w:sz w:val="18"/>
              </w:rPr>
              <w:t>identify</w:t>
            </w:r>
          </w:p>
          <w:p>
            <w:pPr>
              <w:pStyle w:val="TableParagraph"/>
              <w:tabs>
                <w:tab w:pos="4106" w:val="left" w:leader="none"/>
              </w:tabs>
              <w:spacing w:line="200" w:lineRule="exact"/>
              <w:ind w:left="92"/>
              <w:rPr>
                <w:sz w:val="18"/>
              </w:rPr>
            </w:pPr>
            <w:r>
              <w:rPr>
                <w:color w:val="105C84"/>
                <w:sz w:val="18"/>
              </w:rPr>
              <w:t>(including</w:t>
            </w:r>
            <w:r>
              <w:rPr>
                <w:color w:val="105C84"/>
                <w:spacing w:val="5"/>
                <w:sz w:val="18"/>
              </w:rPr>
              <w:t> </w:t>
            </w:r>
            <w:r>
              <w:rPr>
                <w:color w:val="105C84"/>
                <w:sz w:val="18"/>
              </w:rPr>
              <w:t>number</w:t>
            </w:r>
            <w:r>
              <w:rPr>
                <w:color w:val="105C84"/>
                <w:spacing w:val="5"/>
                <w:sz w:val="18"/>
              </w:rPr>
              <w:t> </w:t>
            </w:r>
            <w:r>
              <w:rPr>
                <w:color w:val="105C84"/>
                <w:spacing w:val="-5"/>
                <w:sz w:val="18"/>
              </w:rPr>
              <w:t>of</w:t>
            </w:r>
            <w:r>
              <w:rPr>
                <w:color w:val="105C84"/>
                <w:sz w:val="18"/>
              </w:rPr>
              <w:tab/>
              <w:t>strengths</w:t>
            </w:r>
            <w:r>
              <w:rPr>
                <w:color w:val="105C84"/>
                <w:spacing w:val="-6"/>
                <w:sz w:val="18"/>
              </w:rPr>
              <w:t> </w:t>
            </w:r>
            <w:r>
              <w:rPr>
                <w:color w:val="105C84"/>
                <w:sz w:val="18"/>
              </w:rPr>
              <w:t>and</w:t>
            </w:r>
            <w:r>
              <w:rPr>
                <w:color w:val="105C84"/>
                <w:spacing w:val="-5"/>
                <w:sz w:val="18"/>
              </w:rPr>
              <w:t> </w:t>
            </w:r>
            <w:r>
              <w:rPr>
                <w:color w:val="105C84"/>
                <w:spacing w:val="-2"/>
                <w:sz w:val="18"/>
              </w:rPr>
              <w:t>challenges</w:t>
            </w:r>
          </w:p>
          <w:p>
            <w:pPr>
              <w:pStyle w:val="TableParagraph"/>
              <w:tabs>
                <w:tab w:pos="4106" w:val="left" w:leader="none"/>
              </w:tabs>
              <w:spacing w:line="200" w:lineRule="exact"/>
              <w:ind w:left="92"/>
              <w:rPr>
                <w:sz w:val="18"/>
              </w:rPr>
            </w:pPr>
            <w:r>
              <w:rPr>
                <w:color w:val="105C84"/>
                <w:spacing w:val="-2"/>
                <w:sz w:val="18"/>
              </w:rPr>
              <w:t>units)</w:t>
            </w:r>
            <w:r>
              <w:rPr>
                <w:color w:val="105C84"/>
                <w:sz w:val="18"/>
              </w:rPr>
              <w:tab/>
              <w:t>in</w:t>
            </w:r>
            <w:r>
              <w:rPr>
                <w:color w:val="105C84"/>
                <w:spacing w:val="13"/>
                <w:sz w:val="18"/>
              </w:rPr>
              <w:t> </w:t>
            </w:r>
            <w:r>
              <w:rPr>
                <w:color w:val="105C84"/>
                <w:sz w:val="18"/>
              </w:rPr>
              <w:t>upholding</w:t>
            </w:r>
            <w:r>
              <w:rPr>
                <w:color w:val="105C84"/>
                <w:spacing w:val="14"/>
                <w:sz w:val="18"/>
              </w:rPr>
              <w:t> </w:t>
            </w:r>
            <w:r>
              <w:rPr>
                <w:color w:val="105C84"/>
                <w:sz w:val="18"/>
              </w:rPr>
              <w:t>smoke-</w:t>
            </w:r>
            <w:r>
              <w:rPr>
                <w:color w:val="105C84"/>
                <w:spacing w:val="-4"/>
                <w:sz w:val="18"/>
              </w:rPr>
              <w:t>free</w:t>
            </w:r>
          </w:p>
          <w:p>
            <w:pPr>
              <w:pStyle w:val="TableParagraph"/>
              <w:spacing w:line="203" w:lineRule="exact"/>
              <w:ind w:left="4106"/>
              <w:rPr>
                <w:sz w:val="18"/>
              </w:rPr>
            </w:pPr>
            <w:r>
              <w:rPr>
                <w:color w:val="105C84"/>
                <w:spacing w:val="-2"/>
                <w:sz w:val="18"/>
              </w:rPr>
              <w:t>policies</w:t>
            </w:r>
          </w:p>
        </w:tc>
        <w:tc>
          <w:tcPr>
            <w:tcW w:w="2836" w:type="dxa"/>
          </w:tcPr>
          <w:p>
            <w:pPr>
              <w:pStyle w:val="TableParagraph"/>
              <w:spacing w:line="232" w:lineRule="auto" w:before="99"/>
              <w:ind w:left="93" w:right="159"/>
              <w:rPr>
                <w:sz w:val="18"/>
              </w:rPr>
            </w:pPr>
            <w:r>
              <w:rPr>
                <w:color w:val="105C84"/>
                <w:sz w:val="18"/>
              </w:rPr>
              <w:t>Assist housing units in implementing and/or </w:t>
            </w:r>
            <w:r>
              <w:rPr>
                <w:color w:val="105C84"/>
                <w:sz w:val="18"/>
              </w:rPr>
              <w:t>upholding smoke-free policies.</w:t>
            </w:r>
          </w:p>
          <w:p>
            <w:pPr>
              <w:pStyle w:val="TableParagraph"/>
              <w:spacing w:line="232" w:lineRule="auto" w:before="87"/>
              <w:ind w:left="93" w:right="301"/>
              <w:rPr>
                <w:sz w:val="18"/>
              </w:rPr>
            </w:pPr>
            <w:r>
              <w:rPr>
                <w:color w:val="105C84"/>
                <w:sz w:val="18"/>
              </w:rPr>
              <w:t>TACFL and Public Health to collaboratively assist housing units in implementing new smoke-free policies and/or upholding existing smoke-</w:t>
            </w:r>
            <w:r>
              <w:rPr>
                <w:color w:val="105C84"/>
                <w:sz w:val="18"/>
              </w:rPr>
              <w:t>free </w:t>
            </w:r>
            <w:r>
              <w:rPr>
                <w:color w:val="105C84"/>
                <w:spacing w:val="-2"/>
                <w:sz w:val="18"/>
              </w:rPr>
              <w:t>policies</w:t>
            </w:r>
          </w:p>
        </w:tc>
        <w:tc>
          <w:tcPr>
            <w:tcW w:w="2008" w:type="dxa"/>
          </w:tcPr>
          <w:p>
            <w:pPr>
              <w:pStyle w:val="TableParagraph"/>
              <w:rPr>
                <w:rFonts w:ascii="Times New Roman"/>
                <w:sz w:val="18"/>
              </w:rPr>
            </w:pPr>
          </w:p>
        </w:tc>
        <w:tc>
          <w:tcPr>
            <w:tcW w:w="1497" w:type="dxa"/>
          </w:tcPr>
          <w:p>
            <w:pPr>
              <w:pStyle w:val="TableParagraph"/>
              <w:spacing w:line="232" w:lineRule="auto" w:before="99"/>
              <w:ind w:left="94"/>
              <w:rPr>
                <w:sz w:val="18"/>
              </w:rPr>
            </w:pPr>
            <w:r>
              <w:rPr>
                <w:color w:val="105C84"/>
                <w:spacing w:val="-2"/>
                <w:sz w:val="18"/>
              </w:rPr>
              <w:t>Community-based organizations</w:t>
            </w:r>
          </w:p>
        </w:tc>
        <w:tc>
          <w:tcPr>
            <w:tcW w:w="1550" w:type="dxa"/>
          </w:tcPr>
          <w:p>
            <w:pPr>
              <w:pStyle w:val="TableParagraph"/>
              <w:spacing w:line="232" w:lineRule="auto" w:before="99"/>
              <w:ind w:left="95" w:right="71"/>
              <w:rPr>
                <w:sz w:val="18"/>
              </w:rPr>
            </w:pPr>
            <w:r>
              <w:rPr>
                <w:color w:val="105C84"/>
                <w:sz w:val="18"/>
              </w:rPr>
              <w:t>For</w:t>
            </w:r>
            <w:r>
              <w:rPr>
                <w:color w:val="105C84"/>
                <w:spacing w:val="-15"/>
                <w:sz w:val="18"/>
              </w:rPr>
              <w:t> </w:t>
            </w:r>
            <w:r>
              <w:rPr>
                <w:color w:val="105C84"/>
                <w:sz w:val="18"/>
              </w:rPr>
              <w:t>partner</w:t>
            </w:r>
            <w:r>
              <w:rPr>
                <w:color w:val="105C84"/>
                <w:spacing w:val="-12"/>
                <w:sz w:val="18"/>
              </w:rPr>
              <w:t> </w:t>
            </w:r>
            <w:r>
              <w:rPr>
                <w:color w:val="105C84"/>
                <w:sz w:val="18"/>
              </w:rPr>
              <w:t>roles, see projected year 1 and 2 </w:t>
            </w:r>
            <w:r>
              <w:rPr>
                <w:color w:val="105C84"/>
                <w:spacing w:val="-2"/>
                <w:sz w:val="18"/>
              </w:rPr>
              <w:t>columns</w:t>
            </w:r>
          </w:p>
          <w:p>
            <w:pPr>
              <w:pStyle w:val="TableParagraph"/>
              <w:spacing w:line="232" w:lineRule="auto" w:before="86"/>
              <w:ind w:left="95"/>
              <w:rPr>
                <w:sz w:val="18"/>
              </w:rPr>
            </w:pPr>
            <w:r>
              <w:rPr>
                <w:color w:val="105C84"/>
                <w:spacing w:val="-2"/>
                <w:sz w:val="18"/>
              </w:rPr>
              <w:t>Resources: </w:t>
            </w:r>
            <w:r>
              <w:rPr>
                <w:color w:val="105C84"/>
                <w:sz w:val="18"/>
              </w:rPr>
              <w:t>surveys, policy </w:t>
            </w:r>
            <w:r>
              <w:rPr>
                <w:color w:val="105C84"/>
                <w:spacing w:val="-2"/>
                <w:sz w:val="18"/>
              </w:rPr>
              <w:t>development </w:t>
            </w:r>
            <w:r>
              <w:rPr>
                <w:color w:val="105C84"/>
                <w:spacing w:val="-4"/>
                <w:sz w:val="18"/>
              </w:rPr>
              <w:t>guidance</w:t>
            </w:r>
            <w:r>
              <w:rPr>
                <w:color w:val="105C84"/>
                <w:spacing w:val="-9"/>
                <w:sz w:val="18"/>
              </w:rPr>
              <w:t> </w:t>
            </w:r>
            <w:r>
              <w:rPr>
                <w:color w:val="105C84"/>
                <w:spacing w:val="-4"/>
                <w:sz w:val="18"/>
              </w:rPr>
              <w:t>(TACFL </w:t>
            </w:r>
            <w:r>
              <w:rPr>
                <w:color w:val="105C84"/>
                <w:spacing w:val="-2"/>
                <w:sz w:val="18"/>
              </w:rPr>
              <w:t>resources)</w:t>
            </w:r>
          </w:p>
        </w:tc>
      </w:tr>
    </w:tbl>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92"/>
        <w:rPr>
          <w:b/>
          <w:sz w:val="26"/>
        </w:rPr>
      </w:pPr>
    </w:p>
    <w:p>
      <w:pPr>
        <w:tabs>
          <w:tab w:pos="23047" w:val="left" w:leader="none"/>
        </w:tabs>
        <w:spacing w:before="1"/>
        <w:ind w:left="0" w:right="0" w:firstLine="0"/>
        <w:jc w:val="left"/>
        <w:rPr>
          <w:b/>
          <w:sz w:val="26"/>
        </w:rPr>
      </w:pPr>
      <w:r>
        <w:rPr>
          <w:position w:val="-4"/>
        </w:rPr>
        <w:drawing>
          <wp:inline distT="0" distB="0" distL="0" distR="0">
            <wp:extent cx="568172" cy="184683"/>
            <wp:effectExtent l="0" t="0" r="0" b="0"/>
            <wp:docPr id="2044" name="Image 2044"/>
            <wp:cNvGraphicFramePr>
              <a:graphicFrameLocks/>
            </wp:cNvGraphicFramePr>
            <a:graphic>
              <a:graphicData uri="http://schemas.openxmlformats.org/drawingml/2006/picture">
                <pic:pic>
                  <pic:nvPicPr>
                    <pic:cNvPr id="2044" name="Image 2044"/>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13"/>
          <w:sz w:val="20"/>
        </w:rPr>
        <w:t> </w:t>
      </w:r>
      <w:r>
        <w:rPr>
          <w:b/>
          <w:color w:val="939598"/>
          <w:w w:val="105"/>
          <w:sz w:val="26"/>
        </w:rPr>
        <w:t>221</w:t>
      </w:r>
      <w:r>
        <w:rPr>
          <w:b/>
          <w:color w:val="939598"/>
          <w:sz w:val="26"/>
        </w:rPr>
        <w:tab/>
      </w:r>
      <w:r>
        <w:rPr>
          <w:b/>
          <w:color w:val="939598"/>
          <w:spacing w:val="-5"/>
          <w:w w:val="105"/>
          <w:sz w:val="26"/>
        </w:rPr>
        <w:t>222</w:t>
      </w:r>
    </w:p>
    <w:p>
      <w:pPr>
        <w:spacing w:after="0"/>
        <w:jc w:val="left"/>
        <w:rPr>
          <w:b/>
          <w:sz w:val="26"/>
        </w:rPr>
        <w:sectPr>
          <w:pgSz w:w="24480" w:h="15840" w:orient="landscape"/>
          <w:pgMar w:header="0" w:footer="0" w:top="860" w:bottom="0" w:left="0" w:right="720"/>
        </w:sectPr>
      </w:pPr>
    </w:p>
    <w:p>
      <w:pPr>
        <w:spacing w:before="609"/>
        <w:ind w:left="1089" w:right="0" w:firstLine="0"/>
        <w:jc w:val="left"/>
        <w:rPr>
          <w:sz w:val="54"/>
        </w:rPr>
      </w:pPr>
      <w:r>
        <w:rPr>
          <w:sz w:val="54"/>
        </w:rPr>
        <w:drawing>
          <wp:anchor distT="0" distB="0" distL="0" distR="0" allowOverlap="1" layoutInCell="1" locked="0" behindDoc="0" simplePos="0" relativeHeight="16036864">
            <wp:simplePos x="0" y="0"/>
            <wp:positionH relativeFrom="page">
              <wp:posOffset>14299183</wp:posOffset>
            </wp:positionH>
            <wp:positionV relativeFrom="paragraph">
              <wp:posOffset>345947</wp:posOffset>
            </wp:positionV>
            <wp:extent cx="620268" cy="568578"/>
            <wp:effectExtent l="0" t="0" r="0" b="0"/>
            <wp:wrapNone/>
            <wp:docPr id="2045" name="Image 2045"/>
            <wp:cNvGraphicFramePr>
              <a:graphicFrameLocks/>
            </wp:cNvGraphicFramePr>
            <a:graphic>
              <a:graphicData uri="http://schemas.openxmlformats.org/drawingml/2006/picture">
                <pic:pic>
                  <pic:nvPicPr>
                    <pic:cNvPr id="2045" name="Image 2045"/>
                    <pic:cNvPicPr/>
                  </pic:nvPicPr>
                  <pic:blipFill>
                    <a:blip r:embed="rId265" cstate="print"/>
                    <a:stretch>
                      <a:fillRect/>
                    </a:stretch>
                  </pic:blipFill>
                  <pic:spPr>
                    <a:xfrm>
                      <a:off x="0" y="0"/>
                      <a:ext cx="620268" cy="568578"/>
                    </a:xfrm>
                    <a:prstGeom prst="rect">
                      <a:avLst/>
                    </a:prstGeom>
                  </pic:spPr>
                </pic:pic>
              </a:graphicData>
            </a:graphic>
          </wp:anchor>
        </w:drawing>
      </w:r>
      <w:r>
        <w:rPr>
          <w:sz w:val="54"/>
        </w:rPr>
        <w:drawing>
          <wp:anchor distT="0" distB="0" distL="0" distR="0" allowOverlap="1" layoutInCell="1" locked="0" behindDoc="0" simplePos="0" relativeHeight="16037376">
            <wp:simplePos x="0" y="0"/>
            <wp:positionH relativeFrom="page">
              <wp:posOffset>14981556</wp:posOffset>
            </wp:positionH>
            <wp:positionV relativeFrom="page">
              <wp:posOffset>9668103</wp:posOffset>
            </wp:positionV>
            <wp:extent cx="563245" cy="184683"/>
            <wp:effectExtent l="0" t="0" r="0" b="0"/>
            <wp:wrapNone/>
            <wp:docPr id="2046" name="Image 2046"/>
            <wp:cNvGraphicFramePr>
              <a:graphicFrameLocks/>
            </wp:cNvGraphicFramePr>
            <a:graphic>
              <a:graphicData uri="http://schemas.openxmlformats.org/drawingml/2006/picture">
                <pic:pic>
                  <pic:nvPicPr>
                    <pic:cNvPr id="2046" name="Image 2046"/>
                    <pic:cNvPicPr/>
                  </pic:nvPicPr>
                  <pic:blipFill>
                    <a:blip r:embed="rId38" cstate="print"/>
                    <a:stretch>
                      <a:fillRect/>
                    </a:stretch>
                  </pic:blipFill>
                  <pic:spPr>
                    <a:xfrm>
                      <a:off x="0" y="0"/>
                      <a:ext cx="563245" cy="184683"/>
                    </a:xfrm>
                    <a:prstGeom prst="rect">
                      <a:avLst/>
                    </a:prstGeom>
                  </pic:spPr>
                </pic:pic>
              </a:graphicData>
            </a:graphic>
          </wp:anchor>
        </w:drawing>
      </w:r>
      <w:r>
        <w:rPr>
          <w:sz w:val="54"/>
        </w:rPr>
        <w:drawing>
          <wp:anchor distT="0" distB="0" distL="0" distR="0" allowOverlap="1" layoutInCell="1" locked="0" behindDoc="0" simplePos="0" relativeHeight="16037888">
            <wp:simplePos x="0" y="0"/>
            <wp:positionH relativeFrom="page">
              <wp:posOffset>13372084</wp:posOffset>
            </wp:positionH>
            <wp:positionV relativeFrom="paragraph">
              <wp:posOffset>365759</wp:posOffset>
            </wp:positionV>
            <wp:extent cx="728345" cy="366522"/>
            <wp:effectExtent l="0" t="0" r="0" b="0"/>
            <wp:wrapNone/>
            <wp:docPr id="2047" name="Image 2047"/>
            <wp:cNvGraphicFramePr>
              <a:graphicFrameLocks/>
            </wp:cNvGraphicFramePr>
            <a:graphic>
              <a:graphicData uri="http://schemas.openxmlformats.org/drawingml/2006/picture">
                <pic:pic>
                  <pic:nvPicPr>
                    <pic:cNvPr id="2047" name="Image 2047"/>
                    <pic:cNvPicPr/>
                  </pic:nvPicPr>
                  <pic:blipFill>
                    <a:blip r:embed="rId266" cstate="print"/>
                    <a:stretch>
                      <a:fillRect/>
                    </a:stretch>
                  </pic:blipFill>
                  <pic:spPr>
                    <a:xfrm>
                      <a:off x="0" y="0"/>
                      <a:ext cx="728345" cy="366522"/>
                    </a:xfrm>
                    <a:prstGeom prst="rect">
                      <a:avLst/>
                    </a:prstGeom>
                  </pic:spPr>
                </pic:pic>
              </a:graphicData>
            </a:graphic>
          </wp:anchor>
        </w:drawing>
      </w:r>
      <w:r>
        <w:rPr>
          <w:color w:val="636466"/>
          <w:sz w:val="54"/>
        </w:rPr>
        <w:t>Wayne</w:t>
      </w:r>
      <w:r>
        <w:rPr>
          <w:color w:val="636466"/>
          <w:spacing w:val="37"/>
          <w:sz w:val="54"/>
        </w:rPr>
        <w:t> </w:t>
      </w:r>
      <w:r>
        <w:rPr>
          <w:color w:val="636466"/>
          <w:sz w:val="54"/>
        </w:rPr>
        <w:t>County</w:t>
      </w:r>
      <w:r>
        <w:rPr>
          <w:color w:val="636466"/>
          <w:spacing w:val="38"/>
          <w:sz w:val="54"/>
        </w:rPr>
        <w:t> </w:t>
      </w:r>
      <w:r>
        <w:rPr>
          <w:color w:val="636466"/>
          <w:sz w:val="54"/>
        </w:rPr>
        <w:t>Appendix</w:t>
      </w:r>
      <w:r>
        <w:rPr>
          <w:color w:val="636466"/>
          <w:spacing w:val="38"/>
          <w:sz w:val="54"/>
        </w:rPr>
        <w:t> </w:t>
      </w:r>
      <w:r>
        <w:rPr>
          <w:color w:val="636466"/>
          <w:spacing w:val="-10"/>
          <w:sz w:val="54"/>
        </w:rPr>
        <w:t>G</w:t>
      </w:r>
    </w:p>
    <w:p>
      <w:pPr>
        <w:spacing w:before="236"/>
        <w:ind w:left="1089" w:right="0" w:firstLine="0"/>
        <w:jc w:val="left"/>
        <w:rPr>
          <w:b/>
          <w:sz w:val="32"/>
        </w:rPr>
      </w:pPr>
      <w:r>
        <w:rPr>
          <w:b/>
          <w:color w:val="82BF6A"/>
          <w:spacing w:val="-6"/>
          <w:sz w:val="32"/>
        </w:rPr>
        <w:t>PRIORITY:</w:t>
      </w:r>
      <w:r>
        <w:rPr>
          <w:b/>
          <w:color w:val="82BF6A"/>
          <w:spacing w:val="-13"/>
          <w:sz w:val="32"/>
        </w:rPr>
        <w:t> </w:t>
      </w:r>
      <w:r>
        <w:rPr>
          <w:b/>
          <w:color w:val="82BF6A"/>
          <w:spacing w:val="-6"/>
          <w:sz w:val="32"/>
        </w:rPr>
        <w:t>PREVENT</w:t>
      </w:r>
      <w:r>
        <w:rPr>
          <w:b/>
          <w:color w:val="82BF6A"/>
          <w:spacing w:val="-13"/>
          <w:sz w:val="32"/>
        </w:rPr>
        <w:t> </w:t>
      </w:r>
      <w:r>
        <w:rPr>
          <w:b/>
          <w:color w:val="82BF6A"/>
          <w:spacing w:val="-6"/>
          <w:sz w:val="32"/>
        </w:rPr>
        <w:t>CHRONIC</w:t>
      </w:r>
      <w:r>
        <w:rPr>
          <w:b/>
          <w:color w:val="82BF6A"/>
          <w:spacing w:val="-13"/>
          <w:sz w:val="32"/>
        </w:rPr>
        <w:t> </w:t>
      </w:r>
      <w:r>
        <w:rPr>
          <w:b/>
          <w:color w:val="82BF6A"/>
          <w:spacing w:val="-6"/>
          <w:sz w:val="32"/>
        </w:rPr>
        <w:t>DISEASES</w:t>
      </w:r>
    </w:p>
    <w:p>
      <w:pPr>
        <w:pStyle w:val="BodyText"/>
        <w:spacing w:before="162"/>
        <w:rPr>
          <w:b/>
          <w:sz w:val="20"/>
        </w:rPr>
      </w:pPr>
    </w:p>
    <w:tbl>
      <w:tblPr>
        <w:tblW w:w="0" w:type="auto"/>
        <w:jc w:val="left"/>
        <w:tblInd w:w="1099"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979"/>
        <w:gridCol w:w="1267"/>
        <w:gridCol w:w="979"/>
        <w:gridCol w:w="1598"/>
        <w:gridCol w:w="1454"/>
        <w:gridCol w:w="2030"/>
        <w:gridCol w:w="2931"/>
        <w:gridCol w:w="3203"/>
        <w:gridCol w:w="2836"/>
        <w:gridCol w:w="2188"/>
        <w:gridCol w:w="1497"/>
        <w:gridCol w:w="1413"/>
      </w:tblGrid>
      <w:tr>
        <w:trPr>
          <w:trHeight w:val="930" w:hRule="atLeast"/>
        </w:trPr>
        <w:tc>
          <w:tcPr>
            <w:tcW w:w="979" w:type="dxa"/>
            <w:tcBorders>
              <w:right w:val="single" w:sz="4" w:space="0" w:color="FFFFFF"/>
            </w:tcBorders>
            <w:shd w:val="clear" w:color="auto" w:fill="A7A9AC"/>
          </w:tcPr>
          <w:p>
            <w:pPr>
              <w:pStyle w:val="TableParagraph"/>
              <w:spacing w:before="179"/>
              <w:rPr>
                <w:b/>
                <w:sz w:val="18"/>
              </w:rPr>
            </w:pPr>
          </w:p>
          <w:p>
            <w:pPr>
              <w:pStyle w:val="TableParagraph"/>
              <w:ind w:left="79"/>
              <w:rPr>
                <w:b/>
                <w:sz w:val="18"/>
              </w:rPr>
            </w:pPr>
            <w:r>
              <w:rPr>
                <w:b/>
                <w:color w:val="FFFFFF"/>
                <w:spacing w:val="-2"/>
                <w:sz w:val="18"/>
              </w:rPr>
              <w:t>Priority</w:t>
            </w:r>
          </w:p>
        </w:tc>
        <w:tc>
          <w:tcPr>
            <w:tcW w:w="1267" w:type="dxa"/>
            <w:tcBorders>
              <w:left w:val="single" w:sz="4" w:space="0" w:color="FFFFFF"/>
              <w:right w:val="single" w:sz="4" w:space="0" w:color="FFFFFF"/>
            </w:tcBorders>
            <w:shd w:val="clear" w:color="auto" w:fill="A7A9AC"/>
          </w:tcPr>
          <w:p>
            <w:pPr>
              <w:pStyle w:val="TableParagraph"/>
              <w:spacing w:before="179"/>
              <w:rPr>
                <w:b/>
                <w:sz w:val="18"/>
              </w:rPr>
            </w:pPr>
          </w:p>
          <w:p>
            <w:pPr>
              <w:pStyle w:val="TableParagraph"/>
              <w:ind w:left="79"/>
              <w:rPr>
                <w:b/>
                <w:sz w:val="18"/>
              </w:rPr>
            </w:pPr>
            <w:r>
              <w:rPr>
                <w:b/>
                <w:color w:val="FFFFFF"/>
                <w:w w:val="90"/>
                <w:sz w:val="18"/>
              </w:rPr>
              <w:t>Focus</w:t>
            </w:r>
            <w:r>
              <w:rPr>
                <w:b/>
                <w:color w:val="FFFFFF"/>
                <w:spacing w:val="8"/>
                <w:sz w:val="18"/>
              </w:rPr>
              <w:t> </w:t>
            </w:r>
            <w:r>
              <w:rPr>
                <w:b/>
                <w:color w:val="FFFFFF"/>
                <w:spacing w:val="-4"/>
                <w:sz w:val="18"/>
              </w:rPr>
              <w:t>Area</w:t>
            </w:r>
          </w:p>
        </w:tc>
        <w:tc>
          <w:tcPr>
            <w:tcW w:w="979" w:type="dxa"/>
            <w:tcBorders>
              <w:left w:val="single" w:sz="4" w:space="0" w:color="FFFFFF"/>
              <w:right w:val="single" w:sz="4" w:space="0" w:color="FFFFFF"/>
            </w:tcBorders>
            <w:shd w:val="clear" w:color="auto" w:fill="A7A9AC"/>
          </w:tcPr>
          <w:p>
            <w:pPr>
              <w:pStyle w:val="TableParagraph"/>
              <w:spacing w:line="232" w:lineRule="auto" w:before="191"/>
              <w:ind w:left="80" w:right="67"/>
              <w:rPr>
                <w:b/>
                <w:sz w:val="18"/>
              </w:rPr>
            </w:pPr>
            <w:r>
              <w:rPr>
                <w:b/>
                <w:color w:val="FFFFFF"/>
                <w:spacing w:val="-4"/>
                <w:sz w:val="18"/>
              </w:rPr>
              <w:t>Goal </w:t>
            </w:r>
            <w:r>
              <w:rPr>
                <w:b/>
                <w:color w:val="FFFFFF"/>
                <w:spacing w:val="-4"/>
                <w:w w:val="90"/>
                <w:sz w:val="18"/>
              </w:rPr>
              <w:t>Focus </w:t>
            </w:r>
            <w:r>
              <w:rPr>
                <w:b/>
                <w:color w:val="FFFFFF"/>
                <w:spacing w:val="-4"/>
                <w:sz w:val="18"/>
              </w:rPr>
              <w:t>Area</w:t>
            </w:r>
          </w:p>
        </w:tc>
        <w:tc>
          <w:tcPr>
            <w:tcW w:w="1598" w:type="dxa"/>
            <w:tcBorders>
              <w:left w:val="single" w:sz="4" w:space="0" w:color="FFFFFF"/>
              <w:right w:val="single" w:sz="4" w:space="0" w:color="FFFFFF"/>
            </w:tcBorders>
            <w:shd w:val="clear" w:color="auto" w:fill="A7A9AC"/>
          </w:tcPr>
          <w:p>
            <w:pPr>
              <w:pStyle w:val="TableParagraph"/>
              <w:spacing w:before="179"/>
              <w:rPr>
                <w:b/>
                <w:sz w:val="18"/>
              </w:rPr>
            </w:pPr>
          </w:p>
          <w:p>
            <w:pPr>
              <w:pStyle w:val="TableParagraph"/>
              <w:ind w:left="80"/>
              <w:rPr>
                <w:b/>
                <w:sz w:val="18"/>
              </w:rPr>
            </w:pPr>
            <w:r>
              <w:rPr>
                <w:b/>
                <w:color w:val="FFFFFF"/>
                <w:spacing w:val="-2"/>
                <w:sz w:val="18"/>
              </w:rPr>
              <w:t>Objectives</w:t>
            </w:r>
          </w:p>
        </w:tc>
        <w:tc>
          <w:tcPr>
            <w:tcW w:w="1454" w:type="dxa"/>
            <w:tcBorders>
              <w:left w:val="single" w:sz="4" w:space="0" w:color="FFFFFF"/>
              <w:right w:val="single" w:sz="4" w:space="0" w:color="FFFFFF"/>
            </w:tcBorders>
            <w:shd w:val="clear" w:color="auto" w:fill="A7A9AC"/>
          </w:tcPr>
          <w:p>
            <w:pPr>
              <w:pStyle w:val="TableParagraph"/>
              <w:spacing w:before="179"/>
              <w:rPr>
                <w:b/>
                <w:sz w:val="18"/>
              </w:rPr>
            </w:pPr>
          </w:p>
          <w:p>
            <w:pPr>
              <w:pStyle w:val="TableParagraph"/>
              <w:ind w:left="80"/>
              <w:rPr>
                <w:b/>
                <w:sz w:val="18"/>
              </w:rPr>
            </w:pPr>
            <w:r>
              <w:rPr>
                <w:b/>
                <w:color w:val="FFFFFF"/>
                <w:spacing w:val="-2"/>
                <w:sz w:val="18"/>
              </w:rPr>
              <w:t>Disparities</w:t>
            </w:r>
          </w:p>
        </w:tc>
        <w:tc>
          <w:tcPr>
            <w:tcW w:w="2030" w:type="dxa"/>
            <w:tcBorders>
              <w:left w:val="single" w:sz="4" w:space="0" w:color="FFFFFF"/>
              <w:right w:val="single" w:sz="4" w:space="0" w:color="FFFFFF"/>
            </w:tcBorders>
            <w:shd w:val="clear" w:color="auto" w:fill="A7A9AC"/>
          </w:tcPr>
          <w:p>
            <w:pPr>
              <w:pStyle w:val="TableParagraph"/>
              <w:spacing w:before="179"/>
              <w:rPr>
                <w:b/>
                <w:sz w:val="18"/>
              </w:rPr>
            </w:pPr>
          </w:p>
          <w:p>
            <w:pPr>
              <w:pStyle w:val="TableParagraph"/>
              <w:ind w:left="81"/>
              <w:rPr>
                <w:b/>
                <w:sz w:val="18"/>
              </w:rPr>
            </w:pPr>
            <w:r>
              <w:rPr>
                <w:b/>
                <w:color w:val="FFFFFF"/>
                <w:spacing w:val="-2"/>
                <w:sz w:val="18"/>
              </w:rPr>
              <w:t>Interventions</w:t>
            </w:r>
          </w:p>
        </w:tc>
        <w:tc>
          <w:tcPr>
            <w:tcW w:w="2931" w:type="dxa"/>
            <w:tcBorders>
              <w:left w:val="single" w:sz="4" w:space="0" w:color="FFFFFF"/>
              <w:right w:val="nil"/>
            </w:tcBorders>
            <w:shd w:val="clear" w:color="auto" w:fill="A7A9AC"/>
          </w:tcPr>
          <w:p>
            <w:pPr>
              <w:pStyle w:val="TableParagraph"/>
              <w:spacing w:before="179"/>
              <w:rPr>
                <w:b/>
                <w:sz w:val="18"/>
              </w:rPr>
            </w:pPr>
          </w:p>
          <w:p>
            <w:pPr>
              <w:pStyle w:val="TableParagraph"/>
              <w:ind w:left="91"/>
              <w:rPr>
                <w:b/>
                <w:sz w:val="18"/>
              </w:rPr>
            </w:pPr>
            <w:r>
              <w:rPr>
                <w:b/>
                <w:color w:val="FFFFFF"/>
                <w:sz w:val="18"/>
              </w:rPr>
              <w:t>Family</w:t>
            </w:r>
            <w:r>
              <w:rPr>
                <w:b/>
                <w:color w:val="FFFFFF"/>
                <w:spacing w:val="-11"/>
                <w:sz w:val="18"/>
              </w:rPr>
              <w:t> </w:t>
            </w:r>
            <w:r>
              <w:rPr>
                <w:b/>
                <w:color w:val="FFFFFF"/>
                <w:sz w:val="18"/>
              </w:rPr>
              <w:t>of</w:t>
            </w:r>
            <w:r>
              <w:rPr>
                <w:b/>
                <w:color w:val="FFFFFF"/>
                <w:spacing w:val="-10"/>
                <w:sz w:val="18"/>
              </w:rPr>
              <w:t> </w:t>
            </w:r>
            <w:r>
              <w:rPr>
                <w:b/>
                <w:color w:val="FFFFFF"/>
                <w:spacing w:val="-2"/>
                <w:sz w:val="18"/>
              </w:rPr>
              <w:t>Measures</w:t>
            </w:r>
          </w:p>
        </w:tc>
        <w:tc>
          <w:tcPr>
            <w:tcW w:w="3203" w:type="dxa"/>
            <w:tcBorders>
              <w:left w:val="nil"/>
              <w:right w:val="single" w:sz="4" w:space="0" w:color="FFFFFF"/>
            </w:tcBorders>
            <w:shd w:val="clear" w:color="auto" w:fill="A7A9AC"/>
          </w:tcPr>
          <w:p>
            <w:pPr>
              <w:pStyle w:val="TableParagraph"/>
              <w:spacing w:before="84"/>
              <w:rPr>
                <w:b/>
                <w:sz w:val="18"/>
              </w:rPr>
            </w:pPr>
          </w:p>
          <w:p>
            <w:pPr>
              <w:pStyle w:val="TableParagraph"/>
              <w:spacing w:line="232" w:lineRule="auto"/>
              <w:ind w:left="1013" w:right="71"/>
              <w:rPr>
                <w:b/>
                <w:sz w:val="18"/>
              </w:rPr>
            </w:pPr>
            <w:r>
              <w:rPr>
                <w:b/>
                <w:color w:val="FFFFFF"/>
                <w:sz w:val="18"/>
              </w:rPr>
              <w:t>Projected</w:t>
            </w:r>
            <w:r>
              <w:rPr>
                <w:b/>
                <w:color w:val="FFFFFF"/>
                <w:spacing w:val="-15"/>
                <w:sz w:val="18"/>
              </w:rPr>
              <w:t> </w:t>
            </w:r>
            <w:r>
              <w:rPr>
                <w:b/>
                <w:color w:val="FFFFFF"/>
                <w:sz w:val="18"/>
              </w:rPr>
              <w:t>(or</w:t>
            </w:r>
            <w:r>
              <w:rPr>
                <w:b/>
                <w:color w:val="FFFFFF"/>
                <w:spacing w:val="-12"/>
                <w:sz w:val="18"/>
              </w:rPr>
              <w:t> </w:t>
            </w:r>
            <w:r>
              <w:rPr>
                <w:b/>
                <w:color w:val="FFFFFF"/>
                <w:sz w:val="18"/>
              </w:rPr>
              <w:t>completed) Year 1 Intervention</w:t>
            </w:r>
          </w:p>
        </w:tc>
        <w:tc>
          <w:tcPr>
            <w:tcW w:w="2836" w:type="dxa"/>
            <w:tcBorders>
              <w:left w:val="single" w:sz="4" w:space="0" w:color="FFFFFF"/>
              <w:right w:val="single" w:sz="4" w:space="0" w:color="FFFFFF"/>
            </w:tcBorders>
            <w:shd w:val="clear" w:color="auto" w:fill="A7A9AC"/>
          </w:tcPr>
          <w:p>
            <w:pPr>
              <w:pStyle w:val="TableParagraph"/>
              <w:spacing w:before="179"/>
              <w:rPr>
                <w:b/>
                <w:sz w:val="18"/>
              </w:rPr>
            </w:pPr>
          </w:p>
          <w:p>
            <w:pPr>
              <w:pStyle w:val="TableParagraph"/>
              <w:ind w:left="81"/>
              <w:rPr>
                <w:b/>
                <w:sz w:val="18"/>
              </w:rPr>
            </w:pPr>
            <w:r>
              <w:rPr>
                <w:b/>
                <w:color w:val="FFFFFF"/>
                <w:spacing w:val="-2"/>
                <w:sz w:val="18"/>
              </w:rPr>
              <w:t>Projected</w:t>
            </w:r>
            <w:r>
              <w:rPr>
                <w:b/>
                <w:color w:val="FFFFFF"/>
                <w:spacing w:val="-6"/>
                <w:sz w:val="18"/>
              </w:rPr>
              <w:t> </w:t>
            </w:r>
            <w:r>
              <w:rPr>
                <w:b/>
                <w:color w:val="FFFFFF"/>
                <w:spacing w:val="-2"/>
                <w:sz w:val="18"/>
              </w:rPr>
              <w:t>Year</w:t>
            </w:r>
            <w:r>
              <w:rPr>
                <w:b/>
                <w:color w:val="FFFFFF"/>
                <w:spacing w:val="-5"/>
                <w:sz w:val="18"/>
              </w:rPr>
              <w:t> </w:t>
            </w:r>
            <w:r>
              <w:rPr>
                <w:b/>
                <w:color w:val="FFFFFF"/>
                <w:spacing w:val="-12"/>
                <w:sz w:val="18"/>
              </w:rPr>
              <w:t>2</w:t>
            </w:r>
          </w:p>
        </w:tc>
        <w:tc>
          <w:tcPr>
            <w:tcW w:w="2188" w:type="dxa"/>
            <w:tcBorders>
              <w:left w:val="single" w:sz="4" w:space="0" w:color="FFFFFF"/>
              <w:right w:val="single" w:sz="4" w:space="0" w:color="FFFFFF"/>
            </w:tcBorders>
            <w:shd w:val="clear" w:color="auto" w:fill="A7A9AC"/>
          </w:tcPr>
          <w:p>
            <w:pPr>
              <w:pStyle w:val="TableParagraph"/>
              <w:spacing w:before="83"/>
              <w:rPr>
                <w:b/>
                <w:sz w:val="18"/>
              </w:rPr>
            </w:pPr>
          </w:p>
          <w:p>
            <w:pPr>
              <w:pStyle w:val="TableParagraph"/>
              <w:spacing w:line="232" w:lineRule="auto" w:before="1"/>
              <w:ind w:left="82"/>
              <w:rPr>
                <w:b/>
                <w:sz w:val="18"/>
              </w:rPr>
            </w:pPr>
            <w:r>
              <w:rPr>
                <w:b/>
                <w:color w:val="FFFFFF"/>
                <w:spacing w:val="-2"/>
                <w:sz w:val="18"/>
              </w:rPr>
              <w:t>Projected</w:t>
            </w:r>
            <w:r>
              <w:rPr>
                <w:b/>
                <w:color w:val="FFFFFF"/>
                <w:spacing w:val="-13"/>
                <w:sz w:val="18"/>
              </w:rPr>
              <w:t> </w:t>
            </w:r>
            <w:r>
              <w:rPr>
                <w:b/>
                <w:color w:val="FFFFFF"/>
                <w:spacing w:val="-2"/>
                <w:sz w:val="18"/>
              </w:rPr>
              <w:t>Year</w:t>
            </w:r>
            <w:r>
              <w:rPr>
                <w:b/>
                <w:color w:val="FFFFFF"/>
                <w:spacing w:val="-10"/>
                <w:sz w:val="18"/>
              </w:rPr>
              <w:t> </w:t>
            </w:r>
            <w:r>
              <w:rPr>
                <w:b/>
                <w:color w:val="FFFFFF"/>
                <w:spacing w:val="-2"/>
                <w:sz w:val="18"/>
              </w:rPr>
              <w:t>3 Interventions</w:t>
            </w:r>
          </w:p>
        </w:tc>
        <w:tc>
          <w:tcPr>
            <w:tcW w:w="1497" w:type="dxa"/>
            <w:tcBorders>
              <w:left w:val="single" w:sz="4" w:space="0" w:color="FFFFFF"/>
            </w:tcBorders>
            <w:shd w:val="clear" w:color="auto" w:fill="A7A9AC"/>
          </w:tcPr>
          <w:p>
            <w:pPr>
              <w:pStyle w:val="TableParagraph"/>
              <w:spacing w:before="83"/>
              <w:rPr>
                <w:b/>
                <w:sz w:val="18"/>
              </w:rPr>
            </w:pPr>
          </w:p>
          <w:p>
            <w:pPr>
              <w:pStyle w:val="TableParagraph"/>
              <w:spacing w:line="232" w:lineRule="auto" w:before="1"/>
              <w:ind w:left="83"/>
              <w:rPr>
                <w:b/>
                <w:sz w:val="18"/>
              </w:rPr>
            </w:pPr>
            <w:r>
              <w:rPr>
                <w:b/>
                <w:color w:val="FFFFFF"/>
                <w:spacing w:val="-2"/>
                <w:sz w:val="18"/>
              </w:rPr>
              <w:t>Implementation Partner</w:t>
            </w:r>
          </w:p>
        </w:tc>
        <w:tc>
          <w:tcPr>
            <w:tcW w:w="1413" w:type="dxa"/>
            <w:shd w:val="clear" w:color="auto" w:fill="A7A9AC"/>
          </w:tcPr>
          <w:p>
            <w:pPr>
              <w:pStyle w:val="TableParagraph"/>
              <w:spacing w:before="83"/>
              <w:rPr>
                <w:b/>
                <w:sz w:val="18"/>
              </w:rPr>
            </w:pPr>
          </w:p>
          <w:p>
            <w:pPr>
              <w:pStyle w:val="TableParagraph"/>
              <w:spacing w:line="232" w:lineRule="auto" w:before="1"/>
              <w:ind w:left="84" w:right="73"/>
              <w:rPr>
                <w:b/>
                <w:sz w:val="18"/>
              </w:rPr>
            </w:pPr>
            <w:r>
              <w:rPr>
                <w:b/>
                <w:color w:val="FFFFFF"/>
                <w:spacing w:val="-4"/>
                <w:sz w:val="18"/>
              </w:rPr>
              <w:t>Partner</w:t>
            </w:r>
            <w:r>
              <w:rPr>
                <w:b/>
                <w:color w:val="FFFFFF"/>
                <w:spacing w:val="-9"/>
                <w:sz w:val="18"/>
              </w:rPr>
              <w:t> </w:t>
            </w:r>
            <w:r>
              <w:rPr>
                <w:b/>
                <w:color w:val="FFFFFF"/>
                <w:spacing w:val="-4"/>
                <w:sz w:val="18"/>
              </w:rPr>
              <w:t>Role(s) </w:t>
            </w:r>
            <w:r>
              <w:rPr>
                <w:b/>
                <w:color w:val="FFFFFF"/>
                <w:sz w:val="18"/>
              </w:rPr>
              <w:t>and</w:t>
            </w:r>
            <w:r>
              <w:rPr>
                <w:b/>
                <w:color w:val="FFFFFF"/>
                <w:spacing w:val="-7"/>
                <w:sz w:val="18"/>
              </w:rPr>
              <w:t> </w:t>
            </w:r>
            <w:r>
              <w:rPr>
                <w:b/>
                <w:color w:val="FFFFFF"/>
                <w:spacing w:val="-8"/>
                <w:sz w:val="18"/>
              </w:rPr>
              <w:t>Resources</w:t>
            </w:r>
          </w:p>
        </w:tc>
      </w:tr>
      <w:tr>
        <w:trPr>
          <w:trHeight w:val="2255" w:hRule="atLeast"/>
        </w:trPr>
        <w:tc>
          <w:tcPr>
            <w:tcW w:w="979" w:type="dxa"/>
            <w:vMerge w:val="restart"/>
            <w:tcBorders>
              <w:bottom w:val="nil"/>
            </w:tcBorders>
            <w:shd w:val="clear" w:color="auto" w:fill="E6E7E8"/>
          </w:tcPr>
          <w:p>
            <w:pPr>
              <w:pStyle w:val="TableParagraph"/>
              <w:spacing w:line="232" w:lineRule="auto" w:before="101"/>
              <w:ind w:left="89" w:right="162"/>
              <w:jc w:val="both"/>
              <w:rPr>
                <w:sz w:val="18"/>
              </w:rPr>
            </w:pPr>
            <w:r>
              <w:rPr>
                <w:color w:val="105C84"/>
                <w:spacing w:val="-2"/>
                <w:sz w:val="18"/>
              </w:rPr>
              <w:t>Prevent Chronic </w:t>
            </w:r>
            <w:r>
              <w:rPr>
                <w:color w:val="105C84"/>
                <w:spacing w:val="-6"/>
                <w:sz w:val="18"/>
              </w:rPr>
              <w:t>Diseases</w:t>
            </w:r>
          </w:p>
        </w:tc>
        <w:tc>
          <w:tcPr>
            <w:tcW w:w="1267" w:type="dxa"/>
            <w:vMerge w:val="restart"/>
            <w:tcBorders>
              <w:bottom w:val="nil"/>
            </w:tcBorders>
          </w:tcPr>
          <w:p>
            <w:pPr>
              <w:pStyle w:val="TableParagraph"/>
              <w:spacing w:line="232" w:lineRule="auto" w:before="101"/>
              <w:ind w:left="89" w:right="101"/>
              <w:rPr>
                <w:sz w:val="18"/>
              </w:rPr>
            </w:pPr>
            <w:r>
              <w:rPr>
                <w:color w:val="105C84"/>
                <w:sz w:val="18"/>
              </w:rPr>
              <w:t>Focus Area 4:</w:t>
            </w:r>
            <w:r>
              <w:rPr>
                <w:color w:val="105C84"/>
                <w:spacing w:val="-13"/>
                <w:sz w:val="18"/>
              </w:rPr>
              <w:t> </w:t>
            </w:r>
            <w:r>
              <w:rPr>
                <w:color w:val="105C84"/>
                <w:sz w:val="18"/>
              </w:rPr>
              <w:t>Preventive care and </w:t>
            </w:r>
            <w:r>
              <w:rPr>
                <w:color w:val="105C84"/>
                <w:spacing w:val="-2"/>
                <w:sz w:val="18"/>
              </w:rPr>
              <w:t>management</w:t>
            </w:r>
          </w:p>
        </w:tc>
        <w:tc>
          <w:tcPr>
            <w:tcW w:w="979" w:type="dxa"/>
            <w:vMerge w:val="restart"/>
            <w:tcBorders>
              <w:bottom w:val="nil"/>
            </w:tcBorders>
          </w:tcPr>
          <w:p>
            <w:pPr>
              <w:pStyle w:val="TableParagraph"/>
              <w:spacing w:line="232" w:lineRule="auto" w:before="101"/>
              <w:ind w:left="89" w:right="103"/>
              <w:rPr>
                <w:sz w:val="18"/>
              </w:rPr>
            </w:pPr>
            <w:r>
              <w:rPr>
                <w:color w:val="105C84"/>
                <w:sz w:val="18"/>
              </w:rPr>
              <w:t>Goal 4.1: </w:t>
            </w:r>
            <w:r>
              <w:rPr>
                <w:color w:val="105C84"/>
                <w:spacing w:val="-2"/>
                <w:sz w:val="18"/>
              </w:rPr>
              <w:t>Increase cancer screening rates</w:t>
            </w:r>
          </w:p>
        </w:tc>
        <w:tc>
          <w:tcPr>
            <w:tcW w:w="1598" w:type="dxa"/>
            <w:vMerge w:val="restart"/>
          </w:tcPr>
          <w:p>
            <w:pPr>
              <w:pStyle w:val="TableParagraph"/>
              <w:spacing w:line="232" w:lineRule="auto" w:before="101"/>
              <w:ind w:left="90" w:right="69"/>
              <w:rPr>
                <w:sz w:val="18"/>
              </w:rPr>
            </w:pPr>
            <w:r>
              <w:rPr>
                <w:color w:val="105C84"/>
                <w:spacing w:val="-2"/>
                <w:sz w:val="18"/>
              </w:rPr>
              <w:t>4.1.1</w:t>
            </w:r>
            <w:r>
              <w:rPr>
                <w:color w:val="105C84"/>
                <w:spacing w:val="-13"/>
                <w:sz w:val="18"/>
              </w:rPr>
              <w:t> </w:t>
            </w:r>
            <w:r>
              <w:rPr>
                <w:color w:val="105C84"/>
                <w:spacing w:val="-2"/>
                <w:sz w:val="18"/>
              </w:rPr>
              <w:t>Increase</w:t>
            </w:r>
            <w:r>
              <w:rPr>
                <w:color w:val="105C84"/>
                <w:spacing w:val="-10"/>
                <w:sz w:val="18"/>
              </w:rPr>
              <w:t> </w:t>
            </w:r>
            <w:r>
              <w:rPr>
                <w:color w:val="105C84"/>
                <w:spacing w:val="-2"/>
                <w:sz w:val="18"/>
              </w:rPr>
              <w:t>the </w:t>
            </w:r>
            <w:r>
              <w:rPr>
                <w:color w:val="105C84"/>
                <w:sz w:val="18"/>
              </w:rPr>
              <w:t>percentage of women with an annual</w:t>
            </w:r>
            <w:r>
              <w:rPr>
                <w:color w:val="105C84"/>
                <w:spacing w:val="-13"/>
                <w:sz w:val="18"/>
              </w:rPr>
              <w:t> </w:t>
            </w:r>
            <w:r>
              <w:rPr>
                <w:color w:val="105C84"/>
                <w:sz w:val="18"/>
              </w:rPr>
              <w:t>household</w:t>
            </w:r>
            <w:r>
              <w:rPr>
                <w:color w:val="105C84"/>
                <w:sz w:val="18"/>
              </w:rPr>
              <w:t> income less than</w:t>
            </w:r>
          </w:p>
          <w:p>
            <w:pPr>
              <w:pStyle w:val="TableParagraph"/>
              <w:spacing w:line="232" w:lineRule="auto"/>
              <w:ind w:left="90" w:right="69"/>
              <w:rPr>
                <w:sz w:val="18"/>
              </w:rPr>
            </w:pPr>
            <w:r>
              <w:rPr>
                <w:color w:val="105C84"/>
                <w:sz w:val="18"/>
              </w:rPr>
              <w:t>$25,000 who receive a breast cancer screening based on the most recent guidelines; 4.1.2 Increase the percentage of women with an annual</w:t>
            </w:r>
            <w:r>
              <w:rPr>
                <w:color w:val="105C84"/>
                <w:spacing w:val="-13"/>
                <w:sz w:val="18"/>
              </w:rPr>
              <w:t> </w:t>
            </w:r>
            <w:r>
              <w:rPr>
                <w:color w:val="105C84"/>
                <w:sz w:val="18"/>
              </w:rPr>
              <w:t>household income less than</w:t>
            </w:r>
          </w:p>
          <w:p>
            <w:pPr>
              <w:pStyle w:val="TableParagraph"/>
              <w:spacing w:line="232" w:lineRule="auto"/>
              <w:ind w:left="90" w:right="87"/>
              <w:rPr>
                <w:sz w:val="18"/>
              </w:rPr>
            </w:pPr>
            <w:r>
              <w:rPr>
                <w:color w:val="105C84"/>
                <w:sz w:val="18"/>
              </w:rPr>
              <w:t>$25,000 who </w:t>
            </w:r>
            <w:r>
              <w:rPr>
                <w:color w:val="105C84"/>
                <w:spacing w:val="-2"/>
                <w:sz w:val="18"/>
              </w:rPr>
              <w:t>receive</w:t>
            </w:r>
            <w:r>
              <w:rPr>
                <w:color w:val="105C84"/>
                <w:spacing w:val="-13"/>
                <w:sz w:val="18"/>
              </w:rPr>
              <w:t> </w:t>
            </w:r>
            <w:r>
              <w:rPr>
                <w:color w:val="105C84"/>
                <w:spacing w:val="-2"/>
                <w:sz w:val="18"/>
              </w:rPr>
              <w:t>a</w:t>
            </w:r>
            <w:r>
              <w:rPr>
                <w:color w:val="105C84"/>
                <w:spacing w:val="-10"/>
                <w:sz w:val="18"/>
              </w:rPr>
              <w:t> </w:t>
            </w:r>
            <w:r>
              <w:rPr>
                <w:color w:val="105C84"/>
                <w:spacing w:val="-2"/>
                <w:sz w:val="18"/>
              </w:rPr>
              <w:t>cervical cancer</w:t>
            </w:r>
            <w:r>
              <w:rPr>
                <w:color w:val="105C84"/>
                <w:spacing w:val="-11"/>
                <w:sz w:val="18"/>
              </w:rPr>
              <w:t> </w:t>
            </w:r>
            <w:r>
              <w:rPr>
                <w:color w:val="105C84"/>
                <w:spacing w:val="-2"/>
                <w:sz w:val="18"/>
              </w:rPr>
              <w:t>screening </w:t>
            </w:r>
            <w:r>
              <w:rPr>
                <w:color w:val="105C84"/>
                <w:sz w:val="18"/>
              </w:rPr>
              <w:t>based on the most recent </w:t>
            </w:r>
            <w:r>
              <w:rPr>
                <w:color w:val="105C84"/>
                <w:spacing w:val="-2"/>
                <w:sz w:val="18"/>
              </w:rPr>
              <w:t>guidelines;</w:t>
            </w:r>
          </w:p>
          <w:p>
            <w:pPr>
              <w:pStyle w:val="TableParagraph"/>
              <w:spacing w:line="232" w:lineRule="auto"/>
              <w:ind w:left="90" w:right="126"/>
              <w:rPr>
                <w:sz w:val="18"/>
              </w:rPr>
            </w:pPr>
            <w:r>
              <w:rPr>
                <w:color w:val="105C84"/>
                <w:sz w:val="18"/>
              </w:rPr>
              <w:t>4.1.5 Increase</w:t>
            </w:r>
            <w:r>
              <w:rPr>
                <w:color w:val="105C84"/>
                <w:sz w:val="18"/>
              </w:rPr>
              <w:t> the percentage</w:t>
            </w:r>
            <w:r>
              <w:rPr>
                <w:color w:val="105C84"/>
                <w:spacing w:val="40"/>
                <w:sz w:val="18"/>
              </w:rPr>
              <w:t> </w:t>
            </w:r>
            <w:r>
              <w:rPr>
                <w:color w:val="105C84"/>
                <w:sz w:val="18"/>
              </w:rPr>
              <w:t>of adults who receive a colorectal</w:t>
            </w:r>
            <w:r>
              <w:rPr>
                <w:color w:val="105C84"/>
                <w:spacing w:val="-13"/>
                <w:sz w:val="18"/>
              </w:rPr>
              <w:t> </w:t>
            </w:r>
            <w:r>
              <w:rPr>
                <w:color w:val="105C84"/>
                <w:sz w:val="18"/>
              </w:rPr>
              <w:t>cancer screening based on the most recent</w:t>
            </w:r>
            <w:r>
              <w:rPr>
                <w:color w:val="105C84"/>
                <w:spacing w:val="-13"/>
                <w:sz w:val="18"/>
              </w:rPr>
              <w:t> </w:t>
            </w:r>
            <w:r>
              <w:rPr>
                <w:color w:val="105C84"/>
                <w:sz w:val="18"/>
              </w:rPr>
              <w:t>guidelines</w:t>
            </w:r>
          </w:p>
        </w:tc>
        <w:tc>
          <w:tcPr>
            <w:tcW w:w="1454" w:type="dxa"/>
          </w:tcPr>
          <w:p>
            <w:pPr>
              <w:pStyle w:val="TableParagraph"/>
              <w:spacing w:line="232" w:lineRule="auto" w:before="100"/>
              <w:ind w:left="90"/>
              <w:rPr>
                <w:sz w:val="18"/>
              </w:rPr>
            </w:pPr>
            <w:r>
              <w:rPr>
                <w:color w:val="105C84"/>
                <w:spacing w:val="-2"/>
                <w:sz w:val="18"/>
              </w:rPr>
              <w:t>Uninsured</w:t>
            </w:r>
            <w:r>
              <w:rPr>
                <w:color w:val="105C84"/>
                <w:spacing w:val="-11"/>
                <w:sz w:val="18"/>
              </w:rPr>
              <w:t> </w:t>
            </w:r>
            <w:r>
              <w:rPr>
                <w:color w:val="105C84"/>
                <w:spacing w:val="-2"/>
                <w:sz w:val="18"/>
              </w:rPr>
              <w:t>and underinsured</w:t>
            </w:r>
          </w:p>
        </w:tc>
        <w:tc>
          <w:tcPr>
            <w:tcW w:w="2030" w:type="dxa"/>
          </w:tcPr>
          <w:p>
            <w:pPr>
              <w:pStyle w:val="TableParagraph"/>
              <w:spacing w:line="232" w:lineRule="auto" w:before="100"/>
              <w:ind w:left="90" w:right="239"/>
              <w:rPr>
                <w:sz w:val="18"/>
              </w:rPr>
            </w:pPr>
            <w:r>
              <w:rPr>
                <w:color w:val="105C84"/>
                <w:sz w:val="18"/>
              </w:rPr>
              <w:t>Intervention 4.1.3: Use small media such as videos, printed materials </w:t>
            </w:r>
            <w:r>
              <w:rPr>
                <w:color w:val="105C84"/>
                <w:spacing w:val="-2"/>
                <w:sz w:val="18"/>
              </w:rPr>
              <w:t>(letters,</w:t>
            </w:r>
            <w:r>
              <w:rPr>
                <w:color w:val="105C84"/>
                <w:spacing w:val="-11"/>
                <w:sz w:val="18"/>
              </w:rPr>
              <w:t> </w:t>
            </w:r>
            <w:r>
              <w:rPr>
                <w:color w:val="105C84"/>
                <w:spacing w:val="-2"/>
                <w:sz w:val="18"/>
              </w:rPr>
              <w:t>brochures,</w:t>
            </w:r>
          </w:p>
          <w:p>
            <w:pPr>
              <w:pStyle w:val="TableParagraph"/>
              <w:spacing w:line="232" w:lineRule="auto"/>
              <w:ind w:left="90" w:right="75"/>
              <w:rPr>
                <w:sz w:val="18"/>
              </w:rPr>
            </w:pPr>
            <w:r>
              <w:rPr>
                <w:color w:val="105C84"/>
                <w:sz w:val="18"/>
              </w:rPr>
              <w:t>newsletters)</w:t>
            </w:r>
            <w:r>
              <w:rPr>
                <w:color w:val="105C84"/>
                <w:spacing w:val="-15"/>
                <w:sz w:val="18"/>
              </w:rPr>
              <w:t> </w:t>
            </w:r>
            <w:r>
              <w:rPr>
                <w:color w:val="105C84"/>
                <w:sz w:val="18"/>
              </w:rPr>
              <w:t>and</w:t>
            </w:r>
            <w:r>
              <w:rPr>
                <w:color w:val="105C84"/>
                <w:spacing w:val="-12"/>
                <w:sz w:val="18"/>
              </w:rPr>
              <w:t> </w:t>
            </w:r>
            <w:r>
              <w:rPr>
                <w:color w:val="105C84"/>
                <w:sz w:val="18"/>
              </w:rPr>
              <w:t>health communications to build</w:t>
            </w:r>
            <w:r>
              <w:rPr>
                <w:color w:val="105C84"/>
                <w:spacing w:val="-7"/>
                <w:sz w:val="18"/>
              </w:rPr>
              <w:t> </w:t>
            </w:r>
            <w:r>
              <w:rPr>
                <w:color w:val="105C84"/>
                <w:sz w:val="18"/>
              </w:rPr>
              <w:t>public</w:t>
            </w:r>
            <w:r>
              <w:rPr>
                <w:color w:val="105C84"/>
                <w:spacing w:val="-7"/>
                <w:sz w:val="18"/>
              </w:rPr>
              <w:t> </w:t>
            </w:r>
            <w:r>
              <w:rPr>
                <w:color w:val="105C84"/>
                <w:sz w:val="18"/>
              </w:rPr>
              <w:t>awareness and demand</w:t>
            </w:r>
          </w:p>
        </w:tc>
        <w:tc>
          <w:tcPr>
            <w:tcW w:w="2931" w:type="dxa"/>
            <w:tcBorders>
              <w:right w:val="nil"/>
            </w:tcBorders>
          </w:tcPr>
          <w:p>
            <w:pPr>
              <w:pStyle w:val="TableParagraph"/>
              <w:spacing w:before="95"/>
              <w:ind w:left="91"/>
              <w:rPr>
                <w:sz w:val="18"/>
              </w:rPr>
            </w:pPr>
            <w:r>
              <w:rPr>
                <w:color w:val="105C84"/>
                <w:sz w:val="18"/>
              </w:rPr>
              <w:t>Metrics/Goals</w:t>
            </w:r>
            <w:r>
              <w:rPr>
                <w:color w:val="105C84"/>
                <w:spacing w:val="2"/>
                <w:sz w:val="18"/>
              </w:rPr>
              <w:t> </w:t>
            </w:r>
            <w:r>
              <w:rPr>
                <w:color w:val="105C84"/>
                <w:sz w:val="18"/>
              </w:rPr>
              <w:t>by</w:t>
            </w:r>
            <w:r>
              <w:rPr>
                <w:color w:val="105C84"/>
                <w:spacing w:val="2"/>
                <w:sz w:val="18"/>
              </w:rPr>
              <w:t> </w:t>
            </w:r>
            <w:r>
              <w:rPr>
                <w:color w:val="105C84"/>
                <w:spacing w:val="-2"/>
                <w:sz w:val="18"/>
              </w:rPr>
              <w:t>Year:</w:t>
            </w:r>
          </w:p>
          <w:p>
            <w:pPr>
              <w:pStyle w:val="TableParagraph"/>
              <w:spacing w:line="232" w:lineRule="auto" w:before="88"/>
              <w:ind w:left="91" w:right="1008"/>
              <w:rPr>
                <w:sz w:val="18"/>
              </w:rPr>
            </w:pPr>
            <w:r>
              <w:rPr>
                <w:color w:val="105C84"/>
                <w:spacing w:val="-2"/>
                <w:sz w:val="18"/>
              </w:rPr>
              <w:t>Year</w:t>
            </w:r>
            <w:r>
              <w:rPr>
                <w:color w:val="105C84"/>
                <w:spacing w:val="-11"/>
                <w:sz w:val="18"/>
              </w:rPr>
              <w:t> </w:t>
            </w:r>
            <w:r>
              <w:rPr>
                <w:color w:val="105C84"/>
                <w:spacing w:val="-2"/>
                <w:sz w:val="18"/>
              </w:rPr>
              <w:t>1:</w:t>
            </w:r>
            <w:r>
              <w:rPr>
                <w:color w:val="105C84"/>
                <w:spacing w:val="-10"/>
                <w:sz w:val="18"/>
              </w:rPr>
              <w:t> </w:t>
            </w:r>
            <w:r>
              <w:rPr>
                <w:color w:val="105C84"/>
                <w:spacing w:val="-2"/>
                <w:sz w:val="18"/>
              </w:rPr>
              <w:t>1+</w:t>
            </w:r>
            <w:r>
              <w:rPr>
                <w:color w:val="105C84"/>
                <w:spacing w:val="-11"/>
                <w:sz w:val="18"/>
              </w:rPr>
              <w:t> </w:t>
            </w:r>
            <w:r>
              <w:rPr>
                <w:color w:val="105C84"/>
                <w:spacing w:val="-2"/>
                <w:sz w:val="18"/>
              </w:rPr>
              <w:t>unified message</w:t>
            </w:r>
          </w:p>
          <w:p>
            <w:pPr>
              <w:pStyle w:val="TableParagraph"/>
              <w:spacing w:line="232" w:lineRule="auto" w:before="88"/>
              <w:ind w:left="91" w:right="1008"/>
              <w:rPr>
                <w:sz w:val="18"/>
              </w:rPr>
            </w:pPr>
            <w:r>
              <w:rPr>
                <w:color w:val="105C84"/>
                <w:sz w:val="18"/>
              </w:rPr>
              <w:t>Year 2: 1+ unified message per awareness month; 1+ unified message per public screening</w:t>
            </w:r>
            <w:r>
              <w:rPr>
                <w:color w:val="105C84"/>
                <w:spacing w:val="1"/>
                <w:sz w:val="18"/>
              </w:rPr>
              <w:t> </w:t>
            </w:r>
            <w:r>
              <w:rPr>
                <w:color w:val="105C84"/>
                <w:spacing w:val="-2"/>
                <w:sz w:val="18"/>
              </w:rPr>
              <w:t>event</w:t>
            </w:r>
          </w:p>
          <w:p>
            <w:pPr>
              <w:pStyle w:val="TableParagraph"/>
              <w:spacing w:before="81"/>
              <w:ind w:left="91"/>
              <w:rPr>
                <w:sz w:val="18"/>
              </w:rPr>
            </w:pPr>
            <w:r>
              <w:rPr>
                <w:color w:val="105C84"/>
                <w:spacing w:val="-10"/>
                <w:sz w:val="18"/>
              </w:rPr>
              <w:t>Year</w:t>
            </w:r>
            <w:r>
              <w:rPr>
                <w:color w:val="105C84"/>
                <w:spacing w:val="1"/>
                <w:sz w:val="18"/>
              </w:rPr>
              <w:t> </w:t>
            </w:r>
            <w:r>
              <w:rPr>
                <w:color w:val="105C84"/>
                <w:spacing w:val="-10"/>
                <w:sz w:val="18"/>
              </w:rPr>
              <w:t>3:</w:t>
            </w:r>
            <w:r>
              <w:rPr>
                <w:color w:val="105C84"/>
                <w:spacing w:val="2"/>
                <w:sz w:val="18"/>
              </w:rPr>
              <w:t> </w:t>
            </w:r>
            <w:r>
              <w:rPr>
                <w:color w:val="105C84"/>
                <w:spacing w:val="-10"/>
                <w:sz w:val="18"/>
              </w:rPr>
              <w:t>same</w:t>
            </w:r>
            <w:r>
              <w:rPr>
                <w:color w:val="105C84"/>
                <w:spacing w:val="1"/>
                <w:sz w:val="18"/>
              </w:rPr>
              <w:t> </w:t>
            </w:r>
            <w:r>
              <w:rPr>
                <w:color w:val="105C84"/>
                <w:spacing w:val="-10"/>
                <w:sz w:val="18"/>
              </w:rPr>
              <w:t>as</w:t>
            </w:r>
            <w:r>
              <w:rPr>
                <w:color w:val="105C84"/>
                <w:spacing w:val="2"/>
                <w:sz w:val="18"/>
              </w:rPr>
              <w:t> </w:t>
            </w:r>
            <w:r>
              <w:rPr>
                <w:color w:val="105C84"/>
                <w:spacing w:val="-10"/>
                <w:sz w:val="18"/>
              </w:rPr>
              <w:t>Year</w:t>
            </w:r>
            <w:r>
              <w:rPr>
                <w:color w:val="105C84"/>
                <w:spacing w:val="1"/>
                <w:sz w:val="18"/>
              </w:rPr>
              <w:t> </w:t>
            </w:r>
            <w:r>
              <w:rPr>
                <w:color w:val="105C84"/>
                <w:spacing w:val="-10"/>
                <w:sz w:val="18"/>
              </w:rPr>
              <w:t>2</w:t>
            </w:r>
          </w:p>
        </w:tc>
        <w:tc>
          <w:tcPr>
            <w:tcW w:w="3203" w:type="dxa"/>
            <w:tcBorders>
              <w:left w:val="nil"/>
            </w:tcBorders>
          </w:tcPr>
          <w:p>
            <w:pPr>
              <w:pStyle w:val="TableParagraph"/>
              <w:spacing w:line="232" w:lineRule="auto" w:before="100"/>
              <w:ind w:left="1013" w:right="233"/>
              <w:rPr>
                <w:sz w:val="18"/>
              </w:rPr>
            </w:pPr>
            <w:r>
              <w:rPr>
                <w:color w:val="105C84"/>
                <w:sz w:val="18"/>
              </w:rPr>
              <w:t>Use unified messaging to promote awareness and</w:t>
            </w:r>
            <w:r>
              <w:rPr>
                <w:color w:val="105C84"/>
                <w:spacing w:val="-7"/>
                <w:sz w:val="18"/>
              </w:rPr>
              <w:t> </w:t>
            </w:r>
            <w:r>
              <w:rPr>
                <w:color w:val="105C84"/>
                <w:sz w:val="18"/>
              </w:rPr>
              <w:t>utilization</w:t>
            </w:r>
            <w:r>
              <w:rPr>
                <w:color w:val="105C84"/>
                <w:spacing w:val="-7"/>
                <w:sz w:val="18"/>
              </w:rPr>
              <w:t> </w:t>
            </w:r>
            <w:r>
              <w:rPr>
                <w:color w:val="105C84"/>
                <w:sz w:val="18"/>
              </w:rPr>
              <w:t>of</w:t>
            </w:r>
            <w:r>
              <w:rPr>
                <w:color w:val="105C84"/>
                <w:spacing w:val="-7"/>
                <w:sz w:val="18"/>
              </w:rPr>
              <w:t> </w:t>
            </w:r>
            <w:r>
              <w:rPr>
                <w:color w:val="105C84"/>
                <w:sz w:val="18"/>
              </w:rPr>
              <w:t>breast, cervical, and colorectal</w:t>
            </w:r>
          </w:p>
          <w:p>
            <w:pPr>
              <w:pStyle w:val="TableParagraph"/>
              <w:spacing w:line="232" w:lineRule="auto"/>
              <w:ind w:left="1013" w:right="70"/>
              <w:rPr>
                <w:sz w:val="18"/>
              </w:rPr>
            </w:pPr>
            <w:r>
              <w:rPr>
                <w:color w:val="105C84"/>
                <w:sz w:val="18"/>
              </w:rPr>
              <w:t>cancer</w:t>
            </w:r>
            <w:r>
              <w:rPr>
                <w:color w:val="105C84"/>
                <w:spacing w:val="-15"/>
                <w:sz w:val="18"/>
              </w:rPr>
              <w:t> </w:t>
            </w:r>
            <w:r>
              <w:rPr>
                <w:color w:val="105C84"/>
                <w:sz w:val="18"/>
              </w:rPr>
              <w:t>screenings</w:t>
            </w:r>
            <w:r>
              <w:rPr>
                <w:color w:val="105C84"/>
                <w:spacing w:val="-12"/>
                <w:sz w:val="18"/>
              </w:rPr>
              <w:t> </w:t>
            </w:r>
            <w:r>
              <w:rPr>
                <w:color w:val="105C84"/>
                <w:sz w:val="18"/>
              </w:rPr>
              <w:t>through cancer services program (for the uninsured and </w:t>
            </w:r>
            <w:r>
              <w:rPr>
                <w:color w:val="105C84"/>
                <w:spacing w:val="-2"/>
                <w:sz w:val="18"/>
              </w:rPr>
              <w:t>underinsured)</w:t>
            </w:r>
          </w:p>
        </w:tc>
        <w:tc>
          <w:tcPr>
            <w:tcW w:w="2836" w:type="dxa"/>
          </w:tcPr>
          <w:p>
            <w:pPr>
              <w:pStyle w:val="TableParagraph"/>
              <w:spacing w:line="232" w:lineRule="auto" w:before="100"/>
              <w:ind w:left="91" w:right="128"/>
              <w:rPr>
                <w:sz w:val="18"/>
              </w:rPr>
            </w:pPr>
            <w:r>
              <w:rPr>
                <w:color w:val="105C84"/>
                <w:sz w:val="18"/>
              </w:rPr>
              <w:t>Use unified messaging to promote awareness and utilization of breast, cervical,</w:t>
            </w:r>
            <w:r>
              <w:rPr>
                <w:color w:val="105C84"/>
                <w:spacing w:val="40"/>
                <w:sz w:val="18"/>
              </w:rPr>
              <w:t> </w:t>
            </w:r>
            <w:r>
              <w:rPr>
                <w:color w:val="105C84"/>
                <w:sz w:val="18"/>
              </w:rPr>
              <w:t>and</w:t>
            </w:r>
            <w:r>
              <w:rPr>
                <w:color w:val="105C84"/>
                <w:spacing w:val="-13"/>
                <w:sz w:val="18"/>
              </w:rPr>
              <w:t> </w:t>
            </w:r>
            <w:r>
              <w:rPr>
                <w:color w:val="105C84"/>
                <w:sz w:val="18"/>
              </w:rPr>
              <w:t>colorectal</w:t>
            </w:r>
            <w:r>
              <w:rPr>
                <w:color w:val="105C84"/>
                <w:spacing w:val="-12"/>
                <w:sz w:val="18"/>
              </w:rPr>
              <w:t> </w:t>
            </w:r>
            <w:r>
              <w:rPr>
                <w:color w:val="105C84"/>
                <w:sz w:val="18"/>
              </w:rPr>
              <w:t>cancer</w:t>
            </w:r>
            <w:r>
              <w:rPr>
                <w:color w:val="105C84"/>
                <w:spacing w:val="-13"/>
                <w:sz w:val="18"/>
              </w:rPr>
              <w:t> </w:t>
            </w:r>
            <w:r>
              <w:rPr>
                <w:color w:val="105C84"/>
                <w:sz w:val="18"/>
              </w:rPr>
              <w:t>screenings through cancer services</w:t>
            </w:r>
            <w:r>
              <w:rPr>
                <w:color w:val="105C84"/>
                <w:spacing w:val="40"/>
                <w:sz w:val="18"/>
              </w:rPr>
              <w:t> </w:t>
            </w:r>
            <w:r>
              <w:rPr>
                <w:color w:val="105C84"/>
                <w:sz w:val="18"/>
              </w:rPr>
              <w:t>program</w:t>
            </w:r>
            <w:r>
              <w:rPr>
                <w:color w:val="105C84"/>
                <w:spacing w:val="40"/>
                <w:sz w:val="18"/>
              </w:rPr>
              <w:t> </w:t>
            </w:r>
            <w:r>
              <w:rPr>
                <w:color w:val="105C84"/>
                <w:sz w:val="18"/>
              </w:rPr>
              <w:t>(for the uninsured and </w:t>
            </w:r>
            <w:r>
              <w:rPr>
                <w:color w:val="105C84"/>
                <w:spacing w:val="-2"/>
                <w:sz w:val="18"/>
              </w:rPr>
              <w:t>underinsured)</w:t>
            </w:r>
          </w:p>
        </w:tc>
        <w:tc>
          <w:tcPr>
            <w:tcW w:w="2188" w:type="dxa"/>
          </w:tcPr>
          <w:p>
            <w:pPr>
              <w:pStyle w:val="TableParagraph"/>
              <w:spacing w:line="232" w:lineRule="auto" w:before="99"/>
              <w:ind w:left="92" w:right="272"/>
              <w:rPr>
                <w:sz w:val="18"/>
              </w:rPr>
            </w:pPr>
            <w:r>
              <w:rPr>
                <w:color w:val="105C84"/>
                <w:sz w:val="18"/>
              </w:rPr>
              <w:t>Use</w:t>
            </w:r>
            <w:r>
              <w:rPr>
                <w:color w:val="105C84"/>
                <w:spacing w:val="-15"/>
                <w:sz w:val="18"/>
              </w:rPr>
              <w:t> </w:t>
            </w:r>
            <w:r>
              <w:rPr>
                <w:color w:val="105C84"/>
                <w:sz w:val="18"/>
              </w:rPr>
              <w:t>unified</w:t>
            </w:r>
            <w:r>
              <w:rPr>
                <w:color w:val="105C84"/>
                <w:spacing w:val="-12"/>
                <w:sz w:val="18"/>
              </w:rPr>
              <w:t> </w:t>
            </w:r>
            <w:r>
              <w:rPr>
                <w:color w:val="105C84"/>
                <w:sz w:val="18"/>
              </w:rPr>
              <w:t>messaging to</w:t>
            </w:r>
            <w:r>
              <w:rPr>
                <w:color w:val="105C84"/>
                <w:spacing w:val="-8"/>
                <w:sz w:val="18"/>
              </w:rPr>
              <w:t> </w:t>
            </w:r>
            <w:r>
              <w:rPr>
                <w:color w:val="105C84"/>
                <w:sz w:val="18"/>
              </w:rPr>
              <w:t>promote</w:t>
            </w:r>
            <w:r>
              <w:rPr>
                <w:color w:val="105C84"/>
                <w:spacing w:val="-8"/>
                <w:sz w:val="18"/>
              </w:rPr>
              <w:t> </w:t>
            </w:r>
            <w:r>
              <w:rPr>
                <w:color w:val="105C84"/>
                <w:sz w:val="18"/>
              </w:rPr>
              <w:t>awareness and utilization of breast, cervical, and colorectal cancer screenings through</w:t>
            </w:r>
          </w:p>
          <w:p>
            <w:pPr>
              <w:pStyle w:val="TableParagraph"/>
              <w:spacing w:line="232" w:lineRule="auto"/>
              <w:ind w:left="92"/>
              <w:rPr>
                <w:sz w:val="18"/>
              </w:rPr>
            </w:pPr>
            <w:r>
              <w:rPr>
                <w:color w:val="105C84"/>
                <w:spacing w:val="-2"/>
                <w:sz w:val="18"/>
              </w:rPr>
              <w:t>cancer</w:t>
            </w:r>
            <w:r>
              <w:rPr>
                <w:color w:val="105C84"/>
                <w:spacing w:val="-13"/>
                <w:sz w:val="18"/>
              </w:rPr>
              <w:t> </w:t>
            </w:r>
            <w:r>
              <w:rPr>
                <w:color w:val="105C84"/>
                <w:spacing w:val="-2"/>
                <w:sz w:val="18"/>
              </w:rPr>
              <w:t>services</w:t>
            </w:r>
            <w:r>
              <w:rPr>
                <w:color w:val="105C84"/>
                <w:spacing w:val="-10"/>
                <w:sz w:val="18"/>
              </w:rPr>
              <w:t> </w:t>
            </w:r>
            <w:r>
              <w:rPr>
                <w:color w:val="105C84"/>
                <w:spacing w:val="-2"/>
                <w:sz w:val="18"/>
              </w:rPr>
              <w:t>program </w:t>
            </w:r>
            <w:r>
              <w:rPr>
                <w:color w:val="105C84"/>
                <w:sz w:val="18"/>
              </w:rPr>
              <w:t>(for the uninsured and </w:t>
            </w:r>
            <w:r>
              <w:rPr>
                <w:color w:val="105C84"/>
                <w:spacing w:val="-2"/>
                <w:sz w:val="18"/>
              </w:rPr>
              <w:t>underinsured)</w:t>
            </w:r>
          </w:p>
        </w:tc>
        <w:tc>
          <w:tcPr>
            <w:tcW w:w="1497" w:type="dxa"/>
          </w:tcPr>
          <w:p>
            <w:pPr>
              <w:pStyle w:val="TableParagraph"/>
              <w:spacing w:line="232" w:lineRule="auto" w:before="99"/>
              <w:ind w:left="93"/>
              <w:rPr>
                <w:sz w:val="18"/>
              </w:rPr>
            </w:pPr>
            <w:r>
              <w:rPr>
                <w:color w:val="105C84"/>
                <w:spacing w:val="-2"/>
                <w:sz w:val="18"/>
              </w:rPr>
              <w:t>Community-based organizations</w:t>
            </w:r>
          </w:p>
        </w:tc>
        <w:tc>
          <w:tcPr>
            <w:tcW w:w="1413" w:type="dxa"/>
          </w:tcPr>
          <w:p>
            <w:pPr>
              <w:pStyle w:val="TableParagraph"/>
              <w:spacing w:line="232" w:lineRule="auto" w:before="99"/>
              <w:ind w:left="93" w:right="72"/>
              <w:rPr>
                <w:sz w:val="18"/>
              </w:rPr>
            </w:pPr>
            <w:r>
              <w:rPr>
                <w:color w:val="105C84"/>
                <w:sz w:val="18"/>
              </w:rPr>
              <w:t>For partner roles, see projected</w:t>
            </w:r>
            <w:r>
              <w:rPr>
                <w:color w:val="105C84"/>
                <w:spacing w:val="-13"/>
                <w:sz w:val="18"/>
              </w:rPr>
              <w:t> </w:t>
            </w:r>
            <w:r>
              <w:rPr>
                <w:color w:val="105C84"/>
                <w:sz w:val="18"/>
              </w:rPr>
              <w:t>year </w:t>
            </w:r>
            <w:r>
              <w:rPr>
                <w:color w:val="105C84"/>
                <w:spacing w:val="-2"/>
                <w:sz w:val="18"/>
              </w:rPr>
              <w:t>columns</w:t>
            </w:r>
          </w:p>
          <w:p>
            <w:pPr>
              <w:pStyle w:val="TableParagraph"/>
              <w:spacing w:line="232" w:lineRule="auto" w:before="87"/>
              <w:ind w:left="93" w:right="72"/>
              <w:rPr>
                <w:sz w:val="18"/>
              </w:rPr>
            </w:pPr>
            <w:r>
              <w:rPr>
                <w:color w:val="105C84"/>
                <w:spacing w:val="-2"/>
                <w:sz w:val="18"/>
              </w:rPr>
              <w:t>Resources: </w:t>
            </w:r>
            <w:r>
              <w:rPr>
                <w:color w:val="105C84"/>
                <w:spacing w:val="-4"/>
                <w:sz w:val="18"/>
              </w:rPr>
              <w:t>messages</w:t>
            </w:r>
            <w:r>
              <w:rPr>
                <w:color w:val="105C84"/>
                <w:spacing w:val="-9"/>
                <w:sz w:val="18"/>
              </w:rPr>
              <w:t> </w:t>
            </w:r>
            <w:r>
              <w:rPr>
                <w:color w:val="105C84"/>
                <w:spacing w:val="-4"/>
                <w:sz w:val="18"/>
              </w:rPr>
              <w:t>and </w:t>
            </w:r>
            <w:r>
              <w:rPr>
                <w:color w:val="105C84"/>
                <w:spacing w:val="-2"/>
                <w:sz w:val="18"/>
              </w:rPr>
              <w:t>promotional materials</w:t>
            </w:r>
          </w:p>
        </w:tc>
      </w:tr>
      <w:tr>
        <w:trPr>
          <w:trHeight w:val="4020" w:hRule="atLeast"/>
        </w:trPr>
        <w:tc>
          <w:tcPr>
            <w:tcW w:w="979" w:type="dxa"/>
            <w:vMerge/>
            <w:tcBorders>
              <w:top w:val="nil"/>
              <w:bottom w:val="nil"/>
            </w:tcBorders>
            <w:shd w:val="clear" w:color="auto" w:fill="E6E7E8"/>
          </w:tcPr>
          <w:p>
            <w:pPr>
              <w:rPr>
                <w:sz w:val="2"/>
                <w:szCs w:val="2"/>
              </w:rPr>
            </w:pPr>
          </w:p>
        </w:tc>
        <w:tc>
          <w:tcPr>
            <w:tcW w:w="1267" w:type="dxa"/>
            <w:vMerge/>
            <w:tcBorders>
              <w:top w:val="nil"/>
              <w:bottom w:val="nil"/>
            </w:tcBorders>
          </w:tcPr>
          <w:p>
            <w:pPr>
              <w:rPr>
                <w:sz w:val="2"/>
                <w:szCs w:val="2"/>
              </w:rPr>
            </w:pPr>
          </w:p>
        </w:tc>
        <w:tc>
          <w:tcPr>
            <w:tcW w:w="979" w:type="dxa"/>
            <w:vMerge/>
            <w:tcBorders>
              <w:top w:val="nil"/>
              <w:bottom w:val="nil"/>
            </w:tcBorders>
          </w:tcPr>
          <w:p>
            <w:pPr>
              <w:rPr>
                <w:sz w:val="2"/>
                <w:szCs w:val="2"/>
              </w:rPr>
            </w:pPr>
          </w:p>
        </w:tc>
        <w:tc>
          <w:tcPr>
            <w:tcW w:w="1598" w:type="dxa"/>
            <w:vMerge/>
            <w:tcBorders>
              <w:top w:val="nil"/>
            </w:tcBorders>
          </w:tcPr>
          <w:p>
            <w:pPr>
              <w:rPr>
                <w:sz w:val="2"/>
                <w:szCs w:val="2"/>
              </w:rPr>
            </w:pPr>
          </w:p>
        </w:tc>
        <w:tc>
          <w:tcPr>
            <w:tcW w:w="1454" w:type="dxa"/>
          </w:tcPr>
          <w:p>
            <w:pPr>
              <w:pStyle w:val="TableParagraph"/>
              <w:rPr>
                <w:rFonts w:ascii="Times New Roman"/>
                <w:sz w:val="18"/>
              </w:rPr>
            </w:pPr>
          </w:p>
        </w:tc>
        <w:tc>
          <w:tcPr>
            <w:tcW w:w="2030" w:type="dxa"/>
          </w:tcPr>
          <w:p>
            <w:pPr>
              <w:pStyle w:val="TableParagraph"/>
              <w:spacing w:line="232" w:lineRule="auto" w:before="99"/>
              <w:ind w:left="90" w:right="239"/>
              <w:rPr>
                <w:sz w:val="18"/>
              </w:rPr>
            </w:pPr>
            <w:r>
              <w:rPr>
                <w:color w:val="105C84"/>
                <w:sz w:val="18"/>
              </w:rPr>
              <w:t>Intervention 4.1.3: Use small media such as videos, printed materials </w:t>
            </w:r>
            <w:r>
              <w:rPr>
                <w:color w:val="105C84"/>
                <w:spacing w:val="-2"/>
                <w:sz w:val="18"/>
              </w:rPr>
              <w:t>(letters,</w:t>
            </w:r>
            <w:r>
              <w:rPr>
                <w:color w:val="105C84"/>
                <w:spacing w:val="-11"/>
                <w:sz w:val="18"/>
              </w:rPr>
              <w:t> </w:t>
            </w:r>
            <w:r>
              <w:rPr>
                <w:color w:val="105C84"/>
                <w:spacing w:val="-2"/>
                <w:sz w:val="18"/>
              </w:rPr>
              <w:t>brochures,</w:t>
            </w:r>
          </w:p>
          <w:p>
            <w:pPr>
              <w:pStyle w:val="TableParagraph"/>
              <w:spacing w:line="232" w:lineRule="auto"/>
              <w:ind w:left="90" w:right="75"/>
              <w:rPr>
                <w:sz w:val="18"/>
              </w:rPr>
            </w:pPr>
            <w:r>
              <w:rPr>
                <w:color w:val="105C84"/>
                <w:sz w:val="18"/>
              </w:rPr>
              <w:t>newsletters)</w:t>
            </w:r>
            <w:r>
              <w:rPr>
                <w:color w:val="105C84"/>
                <w:spacing w:val="-15"/>
                <w:sz w:val="18"/>
              </w:rPr>
              <w:t> </w:t>
            </w:r>
            <w:r>
              <w:rPr>
                <w:color w:val="105C84"/>
                <w:sz w:val="18"/>
              </w:rPr>
              <w:t>and</w:t>
            </w:r>
            <w:r>
              <w:rPr>
                <w:color w:val="105C84"/>
                <w:spacing w:val="-12"/>
                <w:sz w:val="18"/>
              </w:rPr>
              <w:t> </w:t>
            </w:r>
            <w:r>
              <w:rPr>
                <w:color w:val="105C84"/>
                <w:sz w:val="18"/>
              </w:rPr>
              <w:t>health communications to build</w:t>
            </w:r>
            <w:r>
              <w:rPr>
                <w:color w:val="105C84"/>
                <w:spacing w:val="-7"/>
                <w:sz w:val="18"/>
              </w:rPr>
              <w:t> </w:t>
            </w:r>
            <w:r>
              <w:rPr>
                <w:color w:val="105C84"/>
                <w:sz w:val="18"/>
              </w:rPr>
              <w:t>public</w:t>
            </w:r>
            <w:r>
              <w:rPr>
                <w:color w:val="105C84"/>
                <w:spacing w:val="-7"/>
                <w:sz w:val="18"/>
              </w:rPr>
              <w:t> </w:t>
            </w:r>
            <w:r>
              <w:rPr>
                <w:color w:val="105C84"/>
                <w:sz w:val="18"/>
              </w:rPr>
              <w:t>awareness and demand</w:t>
            </w:r>
          </w:p>
        </w:tc>
        <w:tc>
          <w:tcPr>
            <w:tcW w:w="2931" w:type="dxa"/>
            <w:tcBorders>
              <w:right w:val="nil"/>
            </w:tcBorders>
          </w:tcPr>
          <w:p>
            <w:pPr>
              <w:pStyle w:val="TableParagraph"/>
              <w:spacing w:line="290" w:lineRule="atLeast" w:before="11"/>
              <w:ind w:left="91" w:right="1008"/>
              <w:rPr>
                <w:sz w:val="18"/>
              </w:rPr>
            </w:pPr>
            <w:r>
              <w:rPr>
                <w:color w:val="105C84"/>
                <w:spacing w:val="-2"/>
                <w:sz w:val="18"/>
              </w:rPr>
              <w:t>Metrics/Goals</w:t>
            </w:r>
            <w:r>
              <w:rPr>
                <w:color w:val="105C84"/>
                <w:spacing w:val="-13"/>
                <w:sz w:val="18"/>
              </w:rPr>
              <w:t> </w:t>
            </w:r>
            <w:r>
              <w:rPr>
                <w:color w:val="105C84"/>
                <w:spacing w:val="-2"/>
                <w:sz w:val="18"/>
              </w:rPr>
              <w:t>by</w:t>
            </w:r>
            <w:r>
              <w:rPr>
                <w:color w:val="105C84"/>
                <w:spacing w:val="-10"/>
                <w:sz w:val="18"/>
              </w:rPr>
              <w:t> </w:t>
            </w:r>
            <w:r>
              <w:rPr>
                <w:color w:val="105C84"/>
                <w:spacing w:val="-2"/>
                <w:sz w:val="18"/>
              </w:rPr>
              <w:t>Year: </w:t>
            </w:r>
            <w:r>
              <w:rPr>
                <w:color w:val="105C84"/>
                <w:sz w:val="18"/>
              </w:rPr>
              <w:t>Year 1: Increase</w:t>
            </w:r>
          </w:p>
          <w:p>
            <w:pPr>
              <w:pStyle w:val="TableParagraph"/>
              <w:spacing w:line="232" w:lineRule="auto"/>
              <w:ind w:left="91" w:right="1008"/>
              <w:rPr>
                <w:sz w:val="18"/>
              </w:rPr>
            </w:pPr>
            <w:r>
              <w:rPr>
                <w:color w:val="105C84"/>
                <w:sz w:val="18"/>
              </w:rPr>
              <w:t>participation 10% by end of 2020; January-June baseline=288 </w:t>
            </w:r>
            <w:r>
              <w:rPr>
                <w:color w:val="105C84"/>
                <w:spacing w:val="-2"/>
                <w:sz w:val="18"/>
              </w:rPr>
              <w:t>patients</w:t>
            </w:r>
            <w:r>
              <w:rPr>
                <w:color w:val="105C84"/>
                <w:spacing w:val="-6"/>
                <w:sz w:val="18"/>
              </w:rPr>
              <w:t> </w:t>
            </w:r>
            <w:r>
              <w:rPr>
                <w:color w:val="105C84"/>
                <w:spacing w:val="-2"/>
                <w:sz w:val="18"/>
              </w:rPr>
              <w:t>(155</w:t>
            </w:r>
            <w:r>
              <w:rPr>
                <w:color w:val="105C84"/>
                <w:spacing w:val="-6"/>
                <w:sz w:val="18"/>
              </w:rPr>
              <w:t> </w:t>
            </w:r>
            <w:r>
              <w:rPr>
                <w:color w:val="105C84"/>
                <w:spacing w:val="-2"/>
                <w:sz w:val="18"/>
              </w:rPr>
              <w:t>program,</w:t>
            </w:r>
          </w:p>
          <w:p>
            <w:pPr>
              <w:pStyle w:val="TableParagraph"/>
              <w:spacing w:line="232" w:lineRule="auto"/>
              <w:ind w:left="91" w:right="1008"/>
              <w:rPr>
                <w:sz w:val="18"/>
              </w:rPr>
            </w:pPr>
            <w:r>
              <w:rPr>
                <w:color w:val="105C84"/>
                <w:sz w:val="18"/>
              </w:rPr>
              <w:t>133</w:t>
            </w:r>
            <w:r>
              <w:rPr>
                <w:color w:val="105C84"/>
                <w:spacing w:val="-15"/>
                <w:sz w:val="18"/>
              </w:rPr>
              <w:t> </w:t>
            </w:r>
            <w:r>
              <w:rPr>
                <w:color w:val="105C84"/>
                <w:sz w:val="18"/>
              </w:rPr>
              <w:t>non-program);</w:t>
            </w:r>
            <w:r>
              <w:rPr>
                <w:color w:val="105C84"/>
                <w:spacing w:val="-12"/>
                <w:sz w:val="18"/>
              </w:rPr>
              <w:t> </w:t>
            </w:r>
            <w:r>
              <w:rPr>
                <w:color w:val="105C84"/>
                <w:sz w:val="18"/>
              </w:rPr>
              <w:t>4+</w:t>
            </w:r>
            <w:r>
              <w:rPr>
                <w:color w:val="105C84"/>
                <w:sz w:val="18"/>
              </w:rPr>
              <w:t> unified messages</w:t>
            </w:r>
          </w:p>
          <w:p>
            <w:pPr>
              <w:pStyle w:val="TableParagraph"/>
              <w:spacing w:line="203" w:lineRule="exact" w:before="78"/>
              <w:ind w:left="91"/>
              <w:rPr>
                <w:sz w:val="18"/>
              </w:rPr>
            </w:pPr>
            <w:r>
              <w:rPr>
                <w:color w:val="105C84"/>
                <w:spacing w:val="-10"/>
                <w:sz w:val="18"/>
              </w:rPr>
              <w:t>Year</w:t>
            </w:r>
            <w:r>
              <w:rPr>
                <w:color w:val="105C84"/>
                <w:spacing w:val="-1"/>
                <w:sz w:val="18"/>
              </w:rPr>
              <w:t> </w:t>
            </w:r>
            <w:r>
              <w:rPr>
                <w:color w:val="105C84"/>
                <w:spacing w:val="-10"/>
                <w:sz w:val="18"/>
              </w:rPr>
              <w:t>2:</w:t>
            </w:r>
            <w:r>
              <w:rPr>
                <w:color w:val="105C84"/>
                <w:sz w:val="18"/>
              </w:rPr>
              <w:t> </w:t>
            </w:r>
            <w:r>
              <w:rPr>
                <w:color w:val="105C84"/>
                <w:spacing w:val="-10"/>
                <w:sz w:val="18"/>
              </w:rPr>
              <w:t>Increase</w:t>
            </w:r>
          </w:p>
          <w:p>
            <w:pPr>
              <w:pStyle w:val="TableParagraph"/>
              <w:spacing w:line="232" w:lineRule="auto" w:before="2"/>
              <w:ind w:left="91" w:right="1200"/>
              <w:rPr>
                <w:sz w:val="18"/>
              </w:rPr>
            </w:pPr>
            <w:r>
              <w:rPr>
                <w:color w:val="105C84"/>
                <w:sz w:val="18"/>
              </w:rPr>
              <w:t>participation</w:t>
            </w:r>
            <w:r>
              <w:rPr>
                <w:color w:val="105C84"/>
                <w:spacing w:val="-15"/>
                <w:sz w:val="18"/>
              </w:rPr>
              <w:t> </w:t>
            </w:r>
            <w:r>
              <w:rPr>
                <w:color w:val="105C84"/>
                <w:sz w:val="18"/>
              </w:rPr>
              <w:t>by</w:t>
            </w:r>
            <w:r>
              <w:rPr>
                <w:color w:val="105C84"/>
                <w:spacing w:val="-12"/>
                <w:sz w:val="18"/>
              </w:rPr>
              <w:t> </w:t>
            </w:r>
            <w:r>
              <w:rPr>
                <w:color w:val="105C84"/>
                <w:sz w:val="18"/>
              </w:rPr>
              <w:t>10% from January-June baseline</w:t>
            </w:r>
            <w:r>
              <w:rPr>
                <w:color w:val="105C84"/>
                <w:spacing w:val="-15"/>
                <w:sz w:val="18"/>
              </w:rPr>
              <w:t> </w:t>
            </w:r>
            <w:r>
              <w:rPr>
                <w:color w:val="105C84"/>
                <w:sz w:val="18"/>
              </w:rPr>
              <w:t>data</w:t>
            </w:r>
            <w:r>
              <w:rPr>
                <w:color w:val="105C84"/>
                <w:spacing w:val="-12"/>
                <w:sz w:val="18"/>
              </w:rPr>
              <w:t> </w:t>
            </w:r>
            <w:r>
              <w:rPr>
                <w:color w:val="105C84"/>
                <w:sz w:val="18"/>
              </w:rPr>
              <w:t>shown above; 4+ unified </w:t>
            </w:r>
            <w:r>
              <w:rPr>
                <w:color w:val="105C84"/>
                <w:spacing w:val="-2"/>
                <w:sz w:val="18"/>
              </w:rPr>
              <w:t>messages</w:t>
            </w:r>
          </w:p>
          <w:p>
            <w:pPr>
              <w:pStyle w:val="TableParagraph"/>
              <w:spacing w:line="232" w:lineRule="auto" w:before="86"/>
              <w:ind w:left="91" w:right="1008"/>
              <w:rPr>
                <w:sz w:val="18"/>
              </w:rPr>
            </w:pPr>
            <w:r>
              <w:rPr>
                <w:color w:val="105C84"/>
                <w:sz w:val="18"/>
              </w:rPr>
              <w:t>Year 3: Increase participation, set </w:t>
            </w:r>
            <w:r>
              <w:rPr>
                <w:color w:val="105C84"/>
                <w:sz w:val="18"/>
              </w:rPr>
              <w:t>goal based on 2020 data; 4+ unified messages</w:t>
            </w:r>
          </w:p>
        </w:tc>
        <w:tc>
          <w:tcPr>
            <w:tcW w:w="3203" w:type="dxa"/>
            <w:tcBorders>
              <w:left w:val="nil"/>
            </w:tcBorders>
          </w:tcPr>
          <w:p>
            <w:pPr>
              <w:pStyle w:val="TableParagraph"/>
              <w:spacing w:line="232" w:lineRule="auto" w:before="99"/>
              <w:ind w:left="1013" w:right="378"/>
              <w:jc w:val="both"/>
              <w:rPr>
                <w:sz w:val="18"/>
              </w:rPr>
            </w:pPr>
            <w:r>
              <w:rPr>
                <w:color w:val="105C84"/>
                <w:sz w:val="18"/>
              </w:rPr>
              <w:t>Use</w:t>
            </w:r>
            <w:r>
              <w:rPr>
                <w:color w:val="105C84"/>
                <w:spacing w:val="-15"/>
                <w:sz w:val="18"/>
              </w:rPr>
              <w:t> </w:t>
            </w:r>
            <w:r>
              <w:rPr>
                <w:color w:val="105C84"/>
                <w:sz w:val="18"/>
              </w:rPr>
              <w:t>unified</w:t>
            </w:r>
            <w:r>
              <w:rPr>
                <w:color w:val="105C84"/>
                <w:spacing w:val="-12"/>
                <w:sz w:val="18"/>
              </w:rPr>
              <w:t> </w:t>
            </w:r>
            <w:r>
              <w:rPr>
                <w:color w:val="105C84"/>
                <w:sz w:val="18"/>
              </w:rPr>
              <w:t>messaging to</w:t>
            </w:r>
            <w:r>
              <w:rPr>
                <w:color w:val="105C84"/>
                <w:spacing w:val="-8"/>
                <w:sz w:val="18"/>
              </w:rPr>
              <w:t> </w:t>
            </w:r>
            <w:r>
              <w:rPr>
                <w:color w:val="105C84"/>
                <w:sz w:val="18"/>
              </w:rPr>
              <w:t>promote</w:t>
            </w:r>
            <w:r>
              <w:rPr>
                <w:color w:val="105C84"/>
                <w:spacing w:val="-8"/>
                <w:sz w:val="18"/>
              </w:rPr>
              <w:t> </w:t>
            </w:r>
            <w:r>
              <w:rPr>
                <w:color w:val="105C84"/>
                <w:sz w:val="18"/>
              </w:rPr>
              <w:t>awareness and utilization of lung</w:t>
            </w:r>
          </w:p>
          <w:p>
            <w:pPr>
              <w:pStyle w:val="TableParagraph"/>
              <w:spacing w:line="232" w:lineRule="auto"/>
              <w:ind w:left="1013" w:right="153"/>
              <w:rPr>
                <w:sz w:val="18"/>
              </w:rPr>
            </w:pPr>
            <w:r>
              <w:rPr>
                <w:color w:val="105C84"/>
                <w:spacing w:val="-2"/>
                <w:sz w:val="18"/>
              </w:rPr>
              <w:t>cancer</w:t>
            </w:r>
            <w:r>
              <w:rPr>
                <w:color w:val="105C84"/>
                <w:spacing w:val="-13"/>
                <w:sz w:val="18"/>
              </w:rPr>
              <w:t> </w:t>
            </w:r>
            <w:r>
              <w:rPr>
                <w:color w:val="105C84"/>
                <w:spacing w:val="-2"/>
                <w:sz w:val="18"/>
              </w:rPr>
              <w:t>screening</w:t>
            </w:r>
            <w:r>
              <w:rPr>
                <w:color w:val="105C84"/>
                <w:spacing w:val="-10"/>
                <w:sz w:val="18"/>
              </w:rPr>
              <w:t> </w:t>
            </w:r>
            <w:r>
              <w:rPr>
                <w:color w:val="105C84"/>
                <w:spacing w:val="-2"/>
                <w:sz w:val="18"/>
              </w:rPr>
              <w:t>services </w:t>
            </w:r>
            <w:r>
              <w:rPr>
                <w:color w:val="105C84"/>
                <w:sz w:val="18"/>
              </w:rPr>
              <w:t>available at NWCH</w:t>
            </w:r>
          </w:p>
          <w:p>
            <w:pPr>
              <w:pStyle w:val="TableParagraph"/>
              <w:spacing w:line="232" w:lineRule="auto" w:before="86"/>
              <w:ind w:left="1013" w:right="71"/>
              <w:rPr>
                <w:sz w:val="18"/>
              </w:rPr>
            </w:pPr>
            <w:r>
              <w:rPr>
                <w:color w:val="105C84"/>
                <w:sz w:val="18"/>
              </w:rPr>
              <w:t>Note: Some messages may</w:t>
            </w:r>
            <w:r>
              <w:rPr>
                <w:color w:val="105C84"/>
                <w:spacing w:val="-8"/>
                <w:sz w:val="18"/>
              </w:rPr>
              <w:t> </w:t>
            </w:r>
            <w:r>
              <w:rPr>
                <w:color w:val="105C84"/>
                <w:sz w:val="18"/>
              </w:rPr>
              <w:t>overlap</w:t>
            </w:r>
            <w:r>
              <w:rPr>
                <w:color w:val="105C84"/>
                <w:spacing w:val="-8"/>
                <w:sz w:val="18"/>
              </w:rPr>
              <w:t> </w:t>
            </w:r>
            <w:r>
              <w:rPr>
                <w:color w:val="105C84"/>
                <w:sz w:val="18"/>
              </w:rPr>
              <w:t>with</w:t>
            </w:r>
            <w:r>
              <w:rPr>
                <w:color w:val="105C84"/>
                <w:spacing w:val="-8"/>
                <w:sz w:val="18"/>
              </w:rPr>
              <w:t> </w:t>
            </w:r>
            <w:r>
              <w:rPr>
                <w:color w:val="105C84"/>
                <w:sz w:val="18"/>
              </w:rPr>
              <w:t>unified messages for tobacco/ vaping prevention/ </w:t>
            </w:r>
            <w:r>
              <w:rPr>
                <w:color w:val="105C84"/>
                <w:spacing w:val="-2"/>
                <w:sz w:val="18"/>
              </w:rPr>
              <w:t>cessation</w:t>
            </w:r>
          </w:p>
        </w:tc>
        <w:tc>
          <w:tcPr>
            <w:tcW w:w="2836" w:type="dxa"/>
          </w:tcPr>
          <w:p>
            <w:pPr>
              <w:pStyle w:val="TableParagraph"/>
              <w:spacing w:line="232" w:lineRule="auto" w:before="99"/>
              <w:ind w:left="91" w:right="128"/>
              <w:rPr>
                <w:sz w:val="18"/>
              </w:rPr>
            </w:pPr>
            <w:r>
              <w:rPr>
                <w:color w:val="105C84"/>
                <w:sz w:val="18"/>
              </w:rPr>
              <w:t>Use unified messaging to promote awareness and utilization of lung cancer </w:t>
            </w:r>
            <w:r>
              <w:rPr>
                <w:color w:val="105C84"/>
                <w:spacing w:val="-2"/>
                <w:sz w:val="18"/>
              </w:rPr>
              <w:t>screening</w:t>
            </w:r>
            <w:r>
              <w:rPr>
                <w:color w:val="105C84"/>
                <w:spacing w:val="-11"/>
                <w:sz w:val="18"/>
              </w:rPr>
              <w:t> </w:t>
            </w:r>
            <w:r>
              <w:rPr>
                <w:color w:val="105C84"/>
                <w:spacing w:val="-2"/>
                <w:sz w:val="18"/>
              </w:rPr>
              <w:t>services</w:t>
            </w:r>
            <w:r>
              <w:rPr>
                <w:color w:val="105C84"/>
                <w:spacing w:val="-10"/>
                <w:sz w:val="18"/>
              </w:rPr>
              <w:t> </w:t>
            </w:r>
            <w:r>
              <w:rPr>
                <w:color w:val="105C84"/>
                <w:spacing w:val="-2"/>
                <w:sz w:val="18"/>
              </w:rPr>
              <w:t>available</w:t>
            </w:r>
            <w:r>
              <w:rPr>
                <w:color w:val="105C84"/>
                <w:spacing w:val="-11"/>
                <w:sz w:val="18"/>
              </w:rPr>
              <w:t> </w:t>
            </w:r>
            <w:r>
              <w:rPr>
                <w:color w:val="105C84"/>
                <w:spacing w:val="-2"/>
                <w:sz w:val="18"/>
              </w:rPr>
              <w:t>at </w:t>
            </w:r>
            <w:r>
              <w:rPr>
                <w:color w:val="105C84"/>
                <w:spacing w:val="-4"/>
                <w:sz w:val="18"/>
              </w:rPr>
              <w:t>NWCH</w:t>
            </w:r>
          </w:p>
          <w:p>
            <w:pPr>
              <w:pStyle w:val="TableParagraph"/>
              <w:spacing w:line="232" w:lineRule="auto" w:before="86"/>
              <w:ind w:left="91" w:right="239"/>
              <w:rPr>
                <w:sz w:val="18"/>
              </w:rPr>
            </w:pPr>
            <w:r>
              <w:rPr>
                <w:color w:val="105C84"/>
                <w:sz w:val="18"/>
              </w:rPr>
              <w:t>Note: Some messages may overlap with unified messages for tobacco/vaping </w:t>
            </w:r>
            <w:r>
              <w:rPr>
                <w:color w:val="105C84"/>
                <w:sz w:val="18"/>
              </w:rPr>
              <w:t>prevention/ </w:t>
            </w:r>
            <w:r>
              <w:rPr>
                <w:color w:val="105C84"/>
                <w:spacing w:val="-2"/>
                <w:sz w:val="18"/>
              </w:rPr>
              <w:t>cessation</w:t>
            </w:r>
          </w:p>
        </w:tc>
        <w:tc>
          <w:tcPr>
            <w:tcW w:w="2188" w:type="dxa"/>
          </w:tcPr>
          <w:p>
            <w:pPr>
              <w:pStyle w:val="TableParagraph"/>
              <w:spacing w:line="232" w:lineRule="auto" w:before="98"/>
              <w:ind w:left="92" w:right="272"/>
              <w:rPr>
                <w:sz w:val="18"/>
              </w:rPr>
            </w:pPr>
            <w:r>
              <w:rPr>
                <w:color w:val="105C84"/>
                <w:sz w:val="18"/>
              </w:rPr>
              <w:t>Use</w:t>
            </w:r>
            <w:r>
              <w:rPr>
                <w:color w:val="105C84"/>
                <w:spacing w:val="-15"/>
                <w:sz w:val="18"/>
              </w:rPr>
              <w:t> </w:t>
            </w:r>
            <w:r>
              <w:rPr>
                <w:color w:val="105C84"/>
                <w:sz w:val="18"/>
              </w:rPr>
              <w:t>unified</w:t>
            </w:r>
            <w:r>
              <w:rPr>
                <w:color w:val="105C84"/>
                <w:spacing w:val="-12"/>
                <w:sz w:val="18"/>
              </w:rPr>
              <w:t> </w:t>
            </w:r>
            <w:r>
              <w:rPr>
                <w:color w:val="105C84"/>
                <w:sz w:val="18"/>
              </w:rPr>
              <w:t>messaging to</w:t>
            </w:r>
            <w:r>
              <w:rPr>
                <w:color w:val="105C84"/>
                <w:spacing w:val="-8"/>
                <w:sz w:val="18"/>
              </w:rPr>
              <w:t> </w:t>
            </w:r>
            <w:r>
              <w:rPr>
                <w:color w:val="105C84"/>
                <w:sz w:val="18"/>
              </w:rPr>
              <w:t>promote</w:t>
            </w:r>
            <w:r>
              <w:rPr>
                <w:color w:val="105C84"/>
                <w:spacing w:val="-8"/>
                <w:sz w:val="18"/>
              </w:rPr>
              <w:t> </w:t>
            </w:r>
            <w:r>
              <w:rPr>
                <w:color w:val="105C84"/>
                <w:sz w:val="18"/>
              </w:rPr>
              <w:t>awareness and utilization of lung cancer screening services available at </w:t>
            </w:r>
            <w:r>
              <w:rPr>
                <w:color w:val="105C84"/>
                <w:spacing w:val="-4"/>
                <w:sz w:val="18"/>
              </w:rPr>
              <w:t>NWCH</w:t>
            </w:r>
          </w:p>
          <w:p>
            <w:pPr>
              <w:pStyle w:val="TableParagraph"/>
              <w:spacing w:line="232" w:lineRule="auto" w:before="86"/>
              <w:ind w:left="92"/>
              <w:rPr>
                <w:sz w:val="18"/>
              </w:rPr>
            </w:pPr>
            <w:r>
              <w:rPr>
                <w:color w:val="105C84"/>
                <w:sz w:val="18"/>
              </w:rPr>
              <w:t>Note: Some messages may</w:t>
            </w:r>
            <w:r>
              <w:rPr>
                <w:color w:val="105C84"/>
                <w:spacing w:val="-9"/>
                <w:sz w:val="18"/>
              </w:rPr>
              <w:t> </w:t>
            </w:r>
            <w:r>
              <w:rPr>
                <w:color w:val="105C84"/>
                <w:sz w:val="18"/>
              </w:rPr>
              <w:t>overlap</w:t>
            </w:r>
            <w:r>
              <w:rPr>
                <w:color w:val="105C84"/>
                <w:spacing w:val="-9"/>
                <w:sz w:val="18"/>
              </w:rPr>
              <w:t> </w:t>
            </w:r>
            <w:r>
              <w:rPr>
                <w:color w:val="105C84"/>
                <w:sz w:val="18"/>
              </w:rPr>
              <w:t>with</w:t>
            </w:r>
            <w:r>
              <w:rPr>
                <w:color w:val="105C84"/>
                <w:spacing w:val="-9"/>
                <w:sz w:val="18"/>
              </w:rPr>
              <w:t> </w:t>
            </w:r>
            <w:r>
              <w:rPr>
                <w:color w:val="105C84"/>
                <w:sz w:val="18"/>
              </w:rPr>
              <w:t>unified messages for tobacco/ vaping prevention/ </w:t>
            </w:r>
            <w:r>
              <w:rPr>
                <w:color w:val="105C84"/>
                <w:spacing w:val="-2"/>
                <w:sz w:val="18"/>
              </w:rPr>
              <w:t>cessation</w:t>
            </w:r>
          </w:p>
        </w:tc>
        <w:tc>
          <w:tcPr>
            <w:tcW w:w="1497" w:type="dxa"/>
          </w:tcPr>
          <w:p>
            <w:pPr>
              <w:pStyle w:val="TableParagraph"/>
              <w:spacing w:before="93"/>
              <w:ind w:left="93"/>
              <w:rPr>
                <w:sz w:val="18"/>
              </w:rPr>
            </w:pPr>
            <w:r>
              <w:rPr>
                <w:color w:val="105C84"/>
                <w:spacing w:val="-2"/>
                <w:sz w:val="18"/>
              </w:rPr>
              <w:t>Hospital</w:t>
            </w:r>
          </w:p>
        </w:tc>
        <w:tc>
          <w:tcPr>
            <w:tcW w:w="1413" w:type="dxa"/>
          </w:tcPr>
          <w:p>
            <w:pPr>
              <w:pStyle w:val="TableParagraph"/>
              <w:spacing w:line="232" w:lineRule="auto" w:before="98"/>
              <w:ind w:left="93" w:right="72"/>
              <w:rPr>
                <w:sz w:val="18"/>
              </w:rPr>
            </w:pPr>
            <w:r>
              <w:rPr>
                <w:color w:val="105C84"/>
                <w:sz w:val="18"/>
              </w:rPr>
              <w:t>For partner roles, see projected</w:t>
            </w:r>
            <w:r>
              <w:rPr>
                <w:color w:val="105C84"/>
                <w:spacing w:val="-13"/>
                <w:sz w:val="18"/>
              </w:rPr>
              <w:t> </w:t>
            </w:r>
            <w:r>
              <w:rPr>
                <w:color w:val="105C84"/>
                <w:sz w:val="18"/>
              </w:rPr>
              <w:t>year </w:t>
            </w:r>
            <w:r>
              <w:rPr>
                <w:color w:val="105C84"/>
                <w:spacing w:val="-2"/>
                <w:sz w:val="18"/>
              </w:rPr>
              <w:t>columns</w:t>
            </w:r>
          </w:p>
          <w:p>
            <w:pPr>
              <w:pStyle w:val="TableParagraph"/>
              <w:spacing w:line="232" w:lineRule="auto" w:before="87"/>
              <w:ind w:left="93" w:right="72"/>
              <w:rPr>
                <w:sz w:val="18"/>
              </w:rPr>
            </w:pPr>
            <w:r>
              <w:rPr>
                <w:color w:val="105C84"/>
                <w:spacing w:val="-2"/>
                <w:sz w:val="18"/>
              </w:rPr>
              <w:t>Resources: </w:t>
            </w:r>
            <w:r>
              <w:rPr>
                <w:color w:val="105C84"/>
                <w:spacing w:val="-4"/>
                <w:sz w:val="18"/>
              </w:rPr>
              <w:t>messages</w:t>
            </w:r>
            <w:r>
              <w:rPr>
                <w:color w:val="105C84"/>
                <w:spacing w:val="-9"/>
                <w:sz w:val="18"/>
              </w:rPr>
              <w:t> </w:t>
            </w:r>
            <w:r>
              <w:rPr>
                <w:color w:val="105C84"/>
                <w:spacing w:val="-4"/>
                <w:sz w:val="18"/>
              </w:rPr>
              <w:t>and </w:t>
            </w:r>
            <w:r>
              <w:rPr>
                <w:color w:val="105C84"/>
                <w:spacing w:val="-2"/>
                <w:sz w:val="18"/>
              </w:rPr>
              <w:t>promotional materials</w:t>
            </w:r>
          </w:p>
        </w:tc>
      </w:tr>
      <w:tr>
        <w:trPr>
          <w:trHeight w:val="4350" w:hRule="atLeast"/>
        </w:trPr>
        <w:tc>
          <w:tcPr>
            <w:tcW w:w="979" w:type="dxa"/>
            <w:tcBorders>
              <w:top w:val="nil"/>
            </w:tcBorders>
            <w:shd w:val="clear" w:color="auto" w:fill="E6E7E8"/>
          </w:tcPr>
          <w:p>
            <w:pPr>
              <w:pStyle w:val="TableParagraph"/>
              <w:rPr>
                <w:rFonts w:ascii="Times New Roman"/>
                <w:sz w:val="18"/>
              </w:rPr>
            </w:pPr>
          </w:p>
        </w:tc>
        <w:tc>
          <w:tcPr>
            <w:tcW w:w="1267" w:type="dxa"/>
            <w:tcBorders>
              <w:top w:val="nil"/>
            </w:tcBorders>
          </w:tcPr>
          <w:p>
            <w:pPr>
              <w:pStyle w:val="TableParagraph"/>
              <w:rPr>
                <w:rFonts w:ascii="Times New Roman"/>
                <w:sz w:val="18"/>
              </w:rPr>
            </w:pPr>
          </w:p>
        </w:tc>
        <w:tc>
          <w:tcPr>
            <w:tcW w:w="979" w:type="dxa"/>
            <w:tcBorders>
              <w:top w:val="nil"/>
            </w:tcBorders>
          </w:tcPr>
          <w:p>
            <w:pPr>
              <w:pStyle w:val="TableParagraph"/>
              <w:rPr>
                <w:rFonts w:ascii="Times New Roman"/>
                <w:sz w:val="18"/>
              </w:rPr>
            </w:pPr>
          </w:p>
        </w:tc>
        <w:tc>
          <w:tcPr>
            <w:tcW w:w="1598" w:type="dxa"/>
          </w:tcPr>
          <w:p>
            <w:pPr>
              <w:pStyle w:val="TableParagraph"/>
              <w:spacing w:line="232" w:lineRule="auto" w:before="98"/>
              <w:ind w:left="90" w:right="69"/>
              <w:rPr>
                <w:sz w:val="18"/>
              </w:rPr>
            </w:pPr>
            <w:r>
              <w:rPr>
                <w:color w:val="105C84"/>
                <w:spacing w:val="-2"/>
                <w:sz w:val="18"/>
              </w:rPr>
              <w:t>4.1.1</w:t>
            </w:r>
            <w:r>
              <w:rPr>
                <w:color w:val="105C84"/>
                <w:spacing w:val="-13"/>
                <w:sz w:val="18"/>
              </w:rPr>
              <w:t> </w:t>
            </w:r>
            <w:r>
              <w:rPr>
                <w:color w:val="105C84"/>
                <w:spacing w:val="-2"/>
                <w:sz w:val="18"/>
              </w:rPr>
              <w:t>Increase</w:t>
            </w:r>
            <w:r>
              <w:rPr>
                <w:color w:val="105C84"/>
                <w:spacing w:val="-10"/>
                <w:sz w:val="18"/>
              </w:rPr>
              <w:t> </w:t>
            </w:r>
            <w:r>
              <w:rPr>
                <w:color w:val="105C84"/>
                <w:spacing w:val="-2"/>
                <w:sz w:val="18"/>
              </w:rPr>
              <w:t>the </w:t>
            </w:r>
            <w:r>
              <w:rPr>
                <w:color w:val="105C84"/>
                <w:sz w:val="18"/>
              </w:rPr>
              <w:t>percentage of women with an annual</w:t>
            </w:r>
            <w:r>
              <w:rPr>
                <w:color w:val="105C84"/>
                <w:spacing w:val="-13"/>
                <w:sz w:val="18"/>
              </w:rPr>
              <w:t> </w:t>
            </w:r>
            <w:r>
              <w:rPr>
                <w:color w:val="105C84"/>
                <w:sz w:val="18"/>
              </w:rPr>
              <w:t>household</w:t>
            </w:r>
            <w:r>
              <w:rPr>
                <w:color w:val="105C84"/>
                <w:sz w:val="18"/>
              </w:rPr>
              <w:t> income less than</w:t>
            </w:r>
          </w:p>
          <w:p>
            <w:pPr>
              <w:pStyle w:val="TableParagraph"/>
              <w:spacing w:line="232" w:lineRule="auto"/>
              <w:ind w:left="90" w:right="87"/>
              <w:rPr>
                <w:sz w:val="18"/>
              </w:rPr>
            </w:pPr>
            <w:r>
              <w:rPr>
                <w:color w:val="105C84"/>
                <w:sz w:val="18"/>
              </w:rPr>
              <w:t>$25,000 who receive a breast </w:t>
            </w:r>
            <w:r>
              <w:rPr>
                <w:color w:val="105C84"/>
                <w:spacing w:val="-2"/>
                <w:sz w:val="18"/>
              </w:rPr>
              <w:t>cancer</w:t>
            </w:r>
            <w:r>
              <w:rPr>
                <w:color w:val="105C84"/>
                <w:spacing w:val="-11"/>
                <w:sz w:val="18"/>
              </w:rPr>
              <w:t> </w:t>
            </w:r>
            <w:r>
              <w:rPr>
                <w:color w:val="105C84"/>
                <w:spacing w:val="-2"/>
                <w:sz w:val="18"/>
              </w:rPr>
              <w:t>screening </w:t>
            </w:r>
            <w:r>
              <w:rPr>
                <w:color w:val="105C84"/>
                <w:sz w:val="18"/>
              </w:rPr>
              <w:t>based on the most recent </w:t>
            </w:r>
            <w:r>
              <w:rPr>
                <w:color w:val="105C84"/>
                <w:spacing w:val="-2"/>
                <w:sz w:val="18"/>
              </w:rPr>
              <w:t>guidelines</w:t>
            </w:r>
          </w:p>
        </w:tc>
        <w:tc>
          <w:tcPr>
            <w:tcW w:w="1454" w:type="dxa"/>
          </w:tcPr>
          <w:p>
            <w:pPr>
              <w:pStyle w:val="TableParagraph"/>
              <w:spacing w:before="93"/>
              <w:ind w:left="90"/>
              <w:rPr>
                <w:sz w:val="18"/>
              </w:rPr>
            </w:pPr>
            <w:r>
              <w:rPr>
                <w:color w:val="105C84"/>
                <w:spacing w:val="-2"/>
                <w:sz w:val="18"/>
              </w:rPr>
              <w:t>Transportation</w:t>
            </w:r>
          </w:p>
        </w:tc>
        <w:tc>
          <w:tcPr>
            <w:tcW w:w="2030" w:type="dxa"/>
          </w:tcPr>
          <w:p>
            <w:pPr>
              <w:pStyle w:val="TableParagraph"/>
              <w:spacing w:line="232" w:lineRule="auto" w:before="98"/>
              <w:ind w:left="90" w:right="75"/>
              <w:rPr>
                <w:sz w:val="18"/>
              </w:rPr>
            </w:pPr>
            <w:r>
              <w:rPr>
                <w:color w:val="105C84"/>
                <w:sz w:val="18"/>
              </w:rPr>
              <w:t>Intervention 4.1.5: Remove structural barriers to cancer screening such as providing flexible clinical</w:t>
            </w:r>
            <w:r>
              <w:rPr>
                <w:color w:val="105C84"/>
                <w:spacing w:val="-15"/>
                <w:sz w:val="18"/>
              </w:rPr>
              <w:t> </w:t>
            </w:r>
            <w:r>
              <w:rPr>
                <w:color w:val="105C84"/>
                <w:sz w:val="18"/>
              </w:rPr>
              <w:t>hours,</w:t>
            </w:r>
            <w:r>
              <w:rPr>
                <w:color w:val="105C84"/>
                <w:spacing w:val="-12"/>
                <w:sz w:val="18"/>
              </w:rPr>
              <w:t> </w:t>
            </w:r>
            <w:r>
              <w:rPr>
                <w:color w:val="105C84"/>
                <w:sz w:val="18"/>
              </w:rPr>
              <w:t>offering cancer screening</w:t>
            </w:r>
          </w:p>
          <w:p>
            <w:pPr>
              <w:pStyle w:val="TableParagraph"/>
              <w:spacing w:line="232" w:lineRule="auto"/>
              <w:ind w:left="90" w:right="239"/>
              <w:rPr>
                <w:sz w:val="18"/>
              </w:rPr>
            </w:pPr>
            <w:r>
              <w:rPr>
                <w:color w:val="105C84"/>
                <w:sz w:val="18"/>
              </w:rPr>
              <w:t>in non-clinical settings</w:t>
            </w:r>
            <w:r>
              <w:rPr>
                <w:color w:val="105C84"/>
                <w:spacing w:val="-13"/>
                <w:sz w:val="18"/>
              </w:rPr>
              <w:t> </w:t>
            </w:r>
            <w:r>
              <w:rPr>
                <w:color w:val="105C84"/>
                <w:sz w:val="18"/>
              </w:rPr>
              <w:t>(mobile</w:t>
            </w:r>
          </w:p>
          <w:p>
            <w:pPr>
              <w:pStyle w:val="TableParagraph"/>
              <w:spacing w:line="232" w:lineRule="auto"/>
              <w:ind w:left="90" w:right="154"/>
              <w:rPr>
                <w:sz w:val="18"/>
              </w:rPr>
            </w:pPr>
            <w:r>
              <w:rPr>
                <w:color w:val="105C84"/>
                <w:spacing w:val="-2"/>
                <w:sz w:val="18"/>
              </w:rPr>
              <w:t>mammography</w:t>
            </w:r>
            <w:r>
              <w:rPr>
                <w:color w:val="105C84"/>
                <w:spacing w:val="-11"/>
                <w:sz w:val="18"/>
              </w:rPr>
              <w:t> </w:t>
            </w:r>
            <w:r>
              <w:rPr>
                <w:color w:val="105C84"/>
                <w:spacing w:val="-2"/>
                <w:sz w:val="18"/>
              </w:rPr>
              <w:t>Vvans, </w:t>
            </w:r>
            <w:r>
              <w:rPr>
                <w:color w:val="105C84"/>
                <w:sz w:val="18"/>
              </w:rPr>
              <w:t>flu clinics), offering</w:t>
            </w:r>
          </w:p>
          <w:p>
            <w:pPr>
              <w:pStyle w:val="TableParagraph"/>
              <w:spacing w:line="232" w:lineRule="auto"/>
              <w:ind w:left="90"/>
              <w:rPr>
                <w:sz w:val="18"/>
              </w:rPr>
            </w:pPr>
            <w:r>
              <w:rPr>
                <w:color w:val="105C84"/>
                <w:sz w:val="18"/>
              </w:rPr>
              <w:t>on-site translation, transportation, patient navigation and other administrative</w:t>
            </w:r>
            <w:r>
              <w:rPr>
                <w:color w:val="105C84"/>
                <w:spacing w:val="-10"/>
                <w:sz w:val="18"/>
              </w:rPr>
              <w:t> </w:t>
            </w:r>
            <w:r>
              <w:rPr>
                <w:color w:val="105C84"/>
                <w:sz w:val="18"/>
              </w:rPr>
              <w:t>services and working with employers to provide employees with paid leave or the option to use</w:t>
            </w:r>
            <w:r>
              <w:rPr>
                <w:color w:val="105C84"/>
                <w:spacing w:val="-13"/>
                <w:sz w:val="18"/>
              </w:rPr>
              <w:t> </w:t>
            </w:r>
            <w:r>
              <w:rPr>
                <w:color w:val="105C84"/>
                <w:sz w:val="18"/>
              </w:rPr>
              <w:t>flex</w:t>
            </w:r>
            <w:r>
              <w:rPr>
                <w:color w:val="105C84"/>
                <w:spacing w:val="-12"/>
                <w:sz w:val="18"/>
              </w:rPr>
              <w:t> </w:t>
            </w:r>
            <w:r>
              <w:rPr>
                <w:color w:val="105C84"/>
                <w:sz w:val="18"/>
              </w:rPr>
              <w:t>time</w:t>
            </w:r>
            <w:r>
              <w:rPr>
                <w:color w:val="105C84"/>
                <w:spacing w:val="-13"/>
                <w:sz w:val="18"/>
              </w:rPr>
              <w:t> </w:t>
            </w:r>
            <w:r>
              <w:rPr>
                <w:color w:val="105C84"/>
                <w:sz w:val="18"/>
              </w:rPr>
              <w:t>for</w:t>
            </w:r>
            <w:r>
              <w:rPr>
                <w:color w:val="105C84"/>
                <w:spacing w:val="-12"/>
                <w:sz w:val="18"/>
              </w:rPr>
              <w:t> </w:t>
            </w:r>
            <w:r>
              <w:rPr>
                <w:color w:val="105C84"/>
                <w:sz w:val="18"/>
              </w:rPr>
              <w:t>cancer </w:t>
            </w:r>
            <w:r>
              <w:rPr>
                <w:color w:val="105C84"/>
                <w:spacing w:val="-2"/>
                <w:sz w:val="18"/>
              </w:rPr>
              <w:t>screenings</w:t>
            </w:r>
          </w:p>
        </w:tc>
        <w:tc>
          <w:tcPr>
            <w:tcW w:w="2931" w:type="dxa"/>
            <w:tcBorders>
              <w:right w:val="nil"/>
            </w:tcBorders>
          </w:tcPr>
          <w:p>
            <w:pPr>
              <w:pStyle w:val="TableParagraph"/>
              <w:spacing w:before="92"/>
              <w:ind w:left="91"/>
              <w:rPr>
                <w:sz w:val="18"/>
              </w:rPr>
            </w:pPr>
            <w:r>
              <w:rPr>
                <w:color w:val="105C84"/>
                <w:sz w:val="18"/>
              </w:rPr>
              <w:t>Metrics/Goals</w:t>
            </w:r>
            <w:r>
              <w:rPr>
                <w:color w:val="105C84"/>
                <w:spacing w:val="2"/>
                <w:sz w:val="18"/>
              </w:rPr>
              <w:t> </w:t>
            </w:r>
            <w:r>
              <w:rPr>
                <w:color w:val="105C84"/>
                <w:sz w:val="18"/>
              </w:rPr>
              <w:t>by</w:t>
            </w:r>
            <w:r>
              <w:rPr>
                <w:color w:val="105C84"/>
                <w:spacing w:val="2"/>
                <w:sz w:val="18"/>
              </w:rPr>
              <w:t> </w:t>
            </w:r>
            <w:r>
              <w:rPr>
                <w:color w:val="105C84"/>
                <w:spacing w:val="-2"/>
                <w:sz w:val="18"/>
              </w:rPr>
              <w:t>Year:</w:t>
            </w:r>
          </w:p>
          <w:p>
            <w:pPr>
              <w:pStyle w:val="TableParagraph"/>
              <w:spacing w:line="232" w:lineRule="auto" w:before="88"/>
              <w:ind w:left="91" w:right="1008"/>
              <w:rPr>
                <w:sz w:val="18"/>
              </w:rPr>
            </w:pPr>
            <w:r>
              <w:rPr>
                <w:color w:val="105C84"/>
                <w:sz w:val="18"/>
              </w:rPr>
              <w:t>Year 1: 1+ unified message promoting Mobile </w:t>
            </w:r>
            <w:r>
              <w:rPr>
                <w:color w:val="105C84"/>
                <w:sz w:val="18"/>
              </w:rPr>
              <w:t>Mammography unit; 1+ unified message per public Mobile Mammo screening event with openings left</w:t>
            </w:r>
          </w:p>
          <w:p>
            <w:pPr>
              <w:pStyle w:val="TableParagraph"/>
              <w:spacing w:line="232" w:lineRule="auto" w:before="84"/>
              <w:ind w:left="91" w:right="1200"/>
              <w:rPr>
                <w:sz w:val="18"/>
              </w:rPr>
            </w:pPr>
            <w:r>
              <w:rPr>
                <w:color w:val="105C84"/>
                <w:spacing w:val="-2"/>
                <w:sz w:val="18"/>
              </w:rPr>
              <w:t>Years</w:t>
            </w:r>
            <w:r>
              <w:rPr>
                <w:color w:val="105C84"/>
                <w:spacing w:val="-11"/>
                <w:sz w:val="18"/>
              </w:rPr>
              <w:t> </w:t>
            </w:r>
            <w:r>
              <w:rPr>
                <w:color w:val="105C84"/>
                <w:spacing w:val="-2"/>
                <w:sz w:val="18"/>
              </w:rPr>
              <w:t>2</w:t>
            </w:r>
            <w:r>
              <w:rPr>
                <w:color w:val="105C84"/>
                <w:spacing w:val="-10"/>
                <w:sz w:val="18"/>
              </w:rPr>
              <w:t> </w:t>
            </w:r>
            <w:r>
              <w:rPr>
                <w:color w:val="105C84"/>
                <w:spacing w:val="-2"/>
                <w:sz w:val="18"/>
              </w:rPr>
              <w:t>&amp;</w:t>
            </w:r>
            <w:r>
              <w:rPr>
                <w:color w:val="105C84"/>
                <w:spacing w:val="-11"/>
                <w:sz w:val="18"/>
              </w:rPr>
              <w:t> </w:t>
            </w:r>
            <w:r>
              <w:rPr>
                <w:color w:val="105C84"/>
                <w:spacing w:val="-2"/>
                <w:sz w:val="18"/>
              </w:rPr>
              <w:t>3</w:t>
            </w:r>
            <w:r>
              <w:rPr>
                <w:color w:val="105C84"/>
                <w:spacing w:val="-10"/>
                <w:sz w:val="18"/>
              </w:rPr>
              <w:t> </w:t>
            </w:r>
            <w:r>
              <w:rPr>
                <w:color w:val="105C84"/>
                <w:spacing w:val="-2"/>
                <w:sz w:val="18"/>
              </w:rPr>
              <w:t>each:</w:t>
            </w:r>
            <w:r>
              <w:rPr>
                <w:color w:val="105C84"/>
                <w:spacing w:val="-11"/>
                <w:sz w:val="18"/>
              </w:rPr>
              <w:t> </w:t>
            </w:r>
            <w:r>
              <w:rPr>
                <w:color w:val="105C84"/>
                <w:spacing w:val="-2"/>
                <w:sz w:val="18"/>
              </w:rPr>
              <w:t>2+ </w:t>
            </w:r>
            <w:r>
              <w:rPr>
                <w:color w:val="105C84"/>
                <w:sz w:val="18"/>
              </w:rPr>
              <w:t>unified messages promoting Mobile Mammography</w:t>
            </w:r>
            <w:r>
              <w:rPr>
                <w:color w:val="105C84"/>
                <w:spacing w:val="-7"/>
                <w:sz w:val="18"/>
              </w:rPr>
              <w:t> </w:t>
            </w:r>
            <w:r>
              <w:rPr>
                <w:color w:val="105C84"/>
                <w:sz w:val="18"/>
              </w:rPr>
              <w:t>unit; 1+ unified message per public Mobile Mammo screening </w:t>
            </w:r>
            <w:r>
              <w:rPr>
                <w:color w:val="105C84"/>
                <w:spacing w:val="-2"/>
                <w:sz w:val="18"/>
              </w:rPr>
              <w:t>event</w:t>
            </w:r>
          </w:p>
        </w:tc>
        <w:tc>
          <w:tcPr>
            <w:tcW w:w="3203" w:type="dxa"/>
            <w:tcBorders>
              <w:left w:val="nil"/>
            </w:tcBorders>
          </w:tcPr>
          <w:p>
            <w:pPr>
              <w:pStyle w:val="TableParagraph"/>
              <w:spacing w:line="232" w:lineRule="auto" w:before="97"/>
              <w:ind w:left="1013" w:right="153"/>
              <w:rPr>
                <w:sz w:val="18"/>
              </w:rPr>
            </w:pPr>
            <w:r>
              <w:rPr>
                <w:color w:val="105C84"/>
                <w:sz w:val="18"/>
              </w:rPr>
              <w:t>Increase access to mammography by coordinating with RRH’s Mobile Mammography unit</w:t>
            </w:r>
            <w:r>
              <w:rPr>
                <w:color w:val="105C84"/>
                <w:spacing w:val="-12"/>
                <w:sz w:val="18"/>
              </w:rPr>
              <w:t> </w:t>
            </w:r>
            <w:r>
              <w:rPr>
                <w:color w:val="105C84"/>
                <w:sz w:val="18"/>
              </w:rPr>
              <w:t>and</w:t>
            </w:r>
            <w:r>
              <w:rPr>
                <w:color w:val="105C84"/>
                <w:spacing w:val="-12"/>
                <w:sz w:val="18"/>
              </w:rPr>
              <w:t> </w:t>
            </w:r>
            <w:r>
              <w:rPr>
                <w:color w:val="105C84"/>
                <w:sz w:val="18"/>
              </w:rPr>
              <w:t>Cancer</w:t>
            </w:r>
            <w:r>
              <w:rPr>
                <w:color w:val="105C84"/>
                <w:spacing w:val="-12"/>
                <w:sz w:val="18"/>
              </w:rPr>
              <w:t> </w:t>
            </w:r>
            <w:r>
              <w:rPr>
                <w:color w:val="105C84"/>
                <w:sz w:val="18"/>
              </w:rPr>
              <w:t>Services Program to schedule screening events and promote them via </w:t>
            </w:r>
            <w:r>
              <w:rPr>
                <w:color w:val="105C84"/>
                <w:sz w:val="18"/>
              </w:rPr>
              <w:t>unified </w:t>
            </w:r>
            <w:r>
              <w:rPr>
                <w:color w:val="105C84"/>
                <w:spacing w:val="-2"/>
                <w:sz w:val="18"/>
              </w:rPr>
              <w:t>messaging</w:t>
            </w:r>
          </w:p>
          <w:p>
            <w:pPr>
              <w:pStyle w:val="TableParagraph"/>
              <w:spacing w:line="232" w:lineRule="auto" w:before="83"/>
              <w:ind w:left="1013" w:right="77"/>
              <w:rPr>
                <w:sz w:val="18"/>
              </w:rPr>
            </w:pPr>
            <w:r>
              <w:rPr>
                <w:color w:val="105C84"/>
                <w:sz w:val="18"/>
              </w:rPr>
              <w:t>Promote to the</w:t>
            </w:r>
            <w:r>
              <w:rPr>
                <w:color w:val="105C84"/>
                <w:spacing w:val="80"/>
                <w:sz w:val="18"/>
              </w:rPr>
              <w:t> </w:t>
            </w:r>
            <w:r>
              <w:rPr>
                <w:color w:val="105C84"/>
                <w:sz w:val="18"/>
              </w:rPr>
              <w:t>community and worksites to generate awareness of and</w:t>
            </w:r>
            <w:r>
              <w:rPr>
                <w:color w:val="105C84"/>
                <w:spacing w:val="-8"/>
                <w:sz w:val="18"/>
              </w:rPr>
              <w:t> </w:t>
            </w:r>
            <w:r>
              <w:rPr>
                <w:color w:val="105C84"/>
                <w:sz w:val="18"/>
              </w:rPr>
              <w:t>demand</w:t>
            </w:r>
            <w:r>
              <w:rPr>
                <w:color w:val="105C84"/>
                <w:spacing w:val="-8"/>
                <w:sz w:val="18"/>
              </w:rPr>
              <w:t> </w:t>
            </w:r>
            <w:r>
              <w:rPr>
                <w:color w:val="105C84"/>
                <w:sz w:val="18"/>
              </w:rPr>
              <w:t>for</w:t>
            </w:r>
            <w:r>
              <w:rPr>
                <w:color w:val="105C84"/>
                <w:spacing w:val="-8"/>
                <w:sz w:val="18"/>
              </w:rPr>
              <w:t> </w:t>
            </w:r>
            <w:r>
              <w:rPr>
                <w:color w:val="105C84"/>
                <w:sz w:val="18"/>
              </w:rPr>
              <w:t>screening </w:t>
            </w:r>
            <w:r>
              <w:rPr>
                <w:color w:val="105C84"/>
                <w:spacing w:val="-2"/>
                <w:sz w:val="18"/>
              </w:rPr>
              <w:t>events</w:t>
            </w:r>
          </w:p>
        </w:tc>
        <w:tc>
          <w:tcPr>
            <w:tcW w:w="2836" w:type="dxa"/>
          </w:tcPr>
          <w:p>
            <w:pPr>
              <w:pStyle w:val="TableParagraph"/>
              <w:spacing w:line="232" w:lineRule="auto" w:before="97"/>
              <w:ind w:left="91" w:right="234"/>
              <w:rPr>
                <w:sz w:val="18"/>
              </w:rPr>
            </w:pPr>
            <w:r>
              <w:rPr>
                <w:color w:val="105C84"/>
                <w:sz w:val="18"/>
              </w:rPr>
              <w:t>Increase access to mammography</w:t>
            </w:r>
            <w:r>
              <w:rPr>
                <w:color w:val="105C84"/>
                <w:spacing w:val="13"/>
                <w:sz w:val="18"/>
              </w:rPr>
              <w:t> </w:t>
            </w:r>
            <w:r>
              <w:rPr>
                <w:color w:val="105C84"/>
                <w:sz w:val="18"/>
              </w:rPr>
              <w:t>by</w:t>
            </w:r>
            <w:r>
              <w:rPr>
                <w:color w:val="105C84"/>
                <w:spacing w:val="80"/>
                <w:w w:val="150"/>
                <w:sz w:val="18"/>
              </w:rPr>
              <w:t> </w:t>
            </w:r>
            <w:r>
              <w:rPr>
                <w:color w:val="105C84"/>
                <w:spacing w:val="-2"/>
                <w:sz w:val="18"/>
              </w:rPr>
              <w:t>coordinating</w:t>
            </w:r>
            <w:r>
              <w:rPr>
                <w:color w:val="105C84"/>
                <w:spacing w:val="-3"/>
                <w:sz w:val="18"/>
              </w:rPr>
              <w:t> </w:t>
            </w:r>
            <w:r>
              <w:rPr>
                <w:color w:val="105C84"/>
                <w:spacing w:val="-2"/>
                <w:sz w:val="18"/>
              </w:rPr>
              <w:t>with</w:t>
            </w:r>
            <w:r>
              <w:rPr>
                <w:color w:val="105C84"/>
                <w:spacing w:val="-3"/>
                <w:sz w:val="18"/>
              </w:rPr>
              <w:t> </w:t>
            </w:r>
            <w:r>
              <w:rPr>
                <w:color w:val="105C84"/>
                <w:spacing w:val="-2"/>
                <w:sz w:val="18"/>
              </w:rPr>
              <w:t>RRH’s</w:t>
            </w:r>
            <w:r>
              <w:rPr>
                <w:color w:val="105C84"/>
                <w:spacing w:val="-3"/>
                <w:sz w:val="18"/>
              </w:rPr>
              <w:t> </w:t>
            </w:r>
            <w:r>
              <w:rPr>
                <w:color w:val="105C84"/>
                <w:spacing w:val="-2"/>
                <w:sz w:val="18"/>
              </w:rPr>
              <w:t>Mobile</w:t>
            </w:r>
          </w:p>
          <w:p>
            <w:pPr>
              <w:pStyle w:val="TableParagraph"/>
              <w:spacing w:line="232" w:lineRule="auto"/>
              <w:ind w:left="91"/>
              <w:rPr>
                <w:sz w:val="18"/>
              </w:rPr>
            </w:pPr>
            <w:r>
              <w:rPr>
                <w:color w:val="105C84"/>
                <w:sz w:val="18"/>
              </w:rPr>
              <w:t>Mammography</w:t>
            </w:r>
            <w:r>
              <w:rPr>
                <w:color w:val="105C84"/>
                <w:spacing w:val="-7"/>
                <w:sz w:val="18"/>
              </w:rPr>
              <w:t> </w:t>
            </w:r>
            <w:r>
              <w:rPr>
                <w:color w:val="105C84"/>
                <w:sz w:val="18"/>
              </w:rPr>
              <w:t>unit</w:t>
            </w:r>
            <w:r>
              <w:rPr>
                <w:color w:val="105C84"/>
                <w:spacing w:val="-7"/>
                <w:sz w:val="18"/>
              </w:rPr>
              <w:t> </w:t>
            </w:r>
            <w:r>
              <w:rPr>
                <w:color w:val="105C84"/>
                <w:sz w:val="18"/>
              </w:rPr>
              <w:t>and</w:t>
            </w:r>
            <w:r>
              <w:rPr>
                <w:color w:val="105C84"/>
                <w:spacing w:val="-7"/>
                <w:sz w:val="18"/>
              </w:rPr>
              <w:t> </w:t>
            </w:r>
            <w:r>
              <w:rPr>
                <w:color w:val="105C84"/>
                <w:sz w:val="18"/>
              </w:rPr>
              <w:t>Cancer Services Program to schedule screening events and promote them via unified messaging.</w:t>
            </w:r>
          </w:p>
          <w:p>
            <w:pPr>
              <w:pStyle w:val="TableParagraph"/>
              <w:spacing w:line="232" w:lineRule="auto"/>
              <w:ind w:left="91" w:right="128"/>
              <w:rPr>
                <w:sz w:val="18"/>
              </w:rPr>
            </w:pPr>
            <w:r>
              <w:rPr>
                <w:color w:val="105C84"/>
                <w:sz w:val="18"/>
              </w:rPr>
              <w:t>Promote to the community and </w:t>
            </w:r>
            <w:r>
              <w:rPr>
                <w:color w:val="105C84"/>
                <w:spacing w:val="-2"/>
                <w:sz w:val="18"/>
              </w:rPr>
              <w:t>worksites</w:t>
            </w:r>
            <w:r>
              <w:rPr>
                <w:color w:val="105C84"/>
                <w:spacing w:val="-7"/>
                <w:sz w:val="18"/>
              </w:rPr>
              <w:t> </w:t>
            </w:r>
            <w:r>
              <w:rPr>
                <w:color w:val="105C84"/>
                <w:spacing w:val="-2"/>
                <w:sz w:val="18"/>
              </w:rPr>
              <w:t>to</w:t>
            </w:r>
            <w:r>
              <w:rPr>
                <w:color w:val="105C84"/>
                <w:spacing w:val="-7"/>
                <w:sz w:val="18"/>
              </w:rPr>
              <w:t> </w:t>
            </w:r>
            <w:r>
              <w:rPr>
                <w:color w:val="105C84"/>
                <w:spacing w:val="-2"/>
                <w:sz w:val="18"/>
              </w:rPr>
              <w:t>generate</w:t>
            </w:r>
            <w:r>
              <w:rPr>
                <w:color w:val="105C84"/>
                <w:spacing w:val="-7"/>
                <w:sz w:val="18"/>
              </w:rPr>
              <w:t> </w:t>
            </w:r>
            <w:r>
              <w:rPr>
                <w:color w:val="105C84"/>
                <w:spacing w:val="-2"/>
                <w:sz w:val="18"/>
              </w:rPr>
              <w:t>awareness </w:t>
            </w:r>
            <w:r>
              <w:rPr>
                <w:color w:val="105C84"/>
                <w:sz w:val="18"/>
              </w:rPr>
              <w:t>of and demand for screening </w:t>
            </w:r>
            <w:r>
              <w:rPr>
                <w:color w:val="105C84"/>
                <w:spacing w:val="-2"/>
                <w:sz w:val="18"/>
              </w:rPr>
              <w:t>events</w:t>
            </w:r>
          </w:p>
        </w:tc>
        <w:tc>
          <w:tcPr>
            <w:tcW w:w="2188" w:type="dxa"/>
          </w:tcPr>
          <w:p>
            <w:pPr>
              <w:pStyle w:val="TableParagraph"/>
              <w:spacing w:line="232" w:lineRule="auto" w:before="97"/>
              <w:ind w:left="92" w:right="35"/>
              <w:rPr>
                <w:sz w:val="18"/>
              </w:rPr>
            </w:pPr>
            <w:r>
              <w:rPr>
                <w:color w:val="105C84"/>
                <w:sz w:val="18"/>
              </w:rPr>
              <w:t>Increase access to mammography by coordinating with RRH’s Mobile Mammography unit</w:t>
            </w:r>
            <w:r>
              <w:rPr>
                <w:color w:val="105C84"/>
                <w:spacing w:val="-13"/>
                <w:sz w:val="18"/>
              </w:rPr>
              <w:t> </w:t>
            </w:r>
            <w:r>
              <w:rPr>
                <w:color w:val="105C84"/>
                <w:sz w:val="18"/>
              </w:rPr>
              <w:t>and</w:t>
            </w:r>
            <w:r>
              <w:rPr>
                <w:color w:val="105C84"/>
                <w:spacing w:val="-12"/>
                <w:sz w:val="18"/>
              </w:rPr>
              <w:t> </w:t>
            </w:r>
            <w:r>
              <w:rPr>
                <w:color w:val="105C84"/>
                <w:sz w:val="18"/>
              </w:rPr>
              <w:t>Cancer</w:t>
            </w:r>
            <w:r>
              <w:rPr>
                <w:color w:val="105C84"/>
                <w:spacing w:val="-13"/>
                <w:sz w:val="18"/>
              </w:rPr>
              <w:t> </w:t>
            </w:r>
            <w:r>
              <w:rPr>
                <w:color w:val="105C84"/>
                <w:sz w:val="18"/>
              </w:rPr>
              <w:t>Services Program to schedule screening events and promote them via </w:t>
            </w:r>
            <w:r>
              <w:rPr>
                <w:color w:val="105C84"/>
                <w:sz w:val="18"/>
              </w:rPr>
              <w:t>unified messaging. Promote</w:t>
            </w:r>
          </w:p>
          <w:p>
            <w:pPr>
              <w:pStyle w:val="TableParagraph"/>
              <w:spacing w:line="232" w:lineRule="auto"/>
              <w:ind w:left="92" w:right="90"/>
              <w:rPr>
                <w:sz w:val="18"/>
              </w:rPr>
            </w:pPr>
            <w:r>
              <w:rPr>
                <w:color w:val="105C84"/>
                <w:sz w:val="18"/>
              </w:rPr>
              <w:t>to</w:t>
            </w:r>
            <w:r>
              <w:rPr>
                <w:color w:val="105C84"/>
                <w:spacing w:val="-1"/>
                <w:sz w:val="18"/>
              </w:rPr>
              <w:t> </w:t>
            </w:r>
            <w:r>
              <w:rPr>
                <w:color w:val="105C84"/>
                <w:sz w:val="18"/>
              </w:rPr>
              <w:t>the</w:t>
            </w:r>
            <w:r>
              <w:rPr>
                <w:color w:val="105C84"/>
                <w:spacing w:val="-1"/>
                <w:sz w:val="18"/>
              </w:rPr>
              <w:t> </w:t>
            </w:r>
            <w:r>
              <w:rPr>
                <w:color w:val="105C84"/>
                <w:sz w:val="18"/>
              </w:rPr>
              <w:t>community</w:t>
            </w:r>
            <w:r>
              <w:rPr>
                <w:color w:val="105C84"/>
                <w:spacing w:val="-1"/>
                <w:sz w:val="18"/>
              </w:rPr>
              <w:t> </w:t>
            </w:r>
            <w:r>
              <w:rPr>
                <w:color w:val="105C84"/>
                <w:sz w:val="18"/>
              </w:rPr>
              <w:t>and worksites to generate awareness of and demand</w:t>
            </w:r>
            <w:r>
              <w:rPr>
                <w:color w:val="105C84"/>
                <w:spacing w:val="-11"/>
                <w:sz w:val="18"/>
              </w:rPr>
              <w:t> </w:t>
            </w:r>
            <w:r>
              <w:rPr>
                <w:color w:val="105C84"/>
                <w:sz w:val="18"/>
              </w:rPr>
              <w:t>for</w:t>
            </w:r>
            <w:r>
              <w:rPr>
                <w:color w:val="105C84"/>
                <w:spacing w:val="-11"/>
                <w:sz w:val="18"/>
              </w:rPr>
              <w:t> </w:t>
            </w:r>
            <w:r>
              <w:rPr>
                <w:color w:val="105C84"/>
                <w:sz w:val="18"/>
              </w:rPr>
              <w:t>screening </w:t>
            </w:r>
            <w:r>
              <w:rPr>
                <w:color w:val="105C84"/>
                <w:spacing w:val="-2"/>
                <w:sz w:val="18"/>
              </w:rPr>
              <w:t>events</w:t>
            </w:r>
          </w:p>
        </w:tc>
        <w:tc>
          <w:tcPr>
            <w:tcW w:w="1497" w:type="dxa"/>
          </w:tcPr>
          <w:p>
            <w:pPr>
              <w:pStyle w:val="TableParagraph"/>
              <w:spacing w:before="91"/>
              <w:ind w:left="93"/>
              <w:rPr>
                <w:sz w:val="18"/>
              </w:rPr>
            </w:pPr>
            <w:r>
              <w:rPr>
                <w:color w:val="105C84"/>
                <w:spacing w:val="-2"/>
                <w:sz w:val="18"/>
              </w:rPr>
              <w:t>Hospital</w:t>
            </w:r>
          </w:p>
        </w:tc>
        <w:tc>
          <w:tcPr>
            <w:tcW w:w="1413" w:type="dxa"/>
          </w:tcPr>
          <w:p>
            <w:pPr>
              <w:pStyle w:val="TableParagraph"/>
              <w:spacing w:line="232" w:lineRule="auto" w:before="97"/>
              <w:ind w:left="93" w:right="72"/>
              <w:rPr>
                <w:sz w:val="18"/>
              </w:rPr>
            </w:pPr>
            <w:r>
              <w:rPr>
                <w:color w:val="105C84"/>
                <w:sz w:val="18"/>
              </w:rPr>
              <w:t>For partner roles, see projected</w:t>
            </w:r>
            <w:r>
              <w:rPr>
                <w:color w:val="105C84"/>
                <w:spacing w:val="-13"/>
                <w:sz w:val="18"/>
              </w:rPr>
              <w:t> </w:t>
            </w:r>
            <w:r>
              <w:rPr>
                <w:color w:val="105C84"/>
                <w:sz w:val="18"/>
              </w:rPr>
              <w:t>year </w:t>
            </w:r>
            <w:r>
              <w:rPr>
                <w:color w:val="105C84"/>
                <w:spacing w:val="-2"/>
                <w:sz w:val="18"/>
              </w:rPr>
              <w:t>columns</w:t>
            </w:r>
          </w:p>
          <w:p>
            <w:pPr>
              <w:pStyle w:val="TableParagraph"/>
              <w:spacing w:line="232" w:lineRule="auto" w:before="86"/>
              <w:ind w:left="93" w:right="97"/>
              <w:rPr>
                <w:sz w:val="18"/>
              </w:rPr>
            </w:pPr>
            <w:r>
              <w:rPr>
                <w:color w:val="105C84"/>
                <w:spacing w:val="-2"/>
                <w:sz w:val="18"/>
              </w:rPr>
              <w:t>Resources: availability, </w:t>
            </w:r>
            <w:r>
              <w:rPr>
                <w:color w:val="105C84"/>
                <w:spacing w:val="-4"/>
                <w:sz w:val="18"/>
              </w:rPr>
              <w:t>messages</w:t>
            </w:r>
            <w:r>
              <w:rPr>
                <w:color w:val="105C84"/>
                <w:spacing w:val="-9"/>
                <w:sz w:val="18"/>
              </w:rPr>
              <w:t> </w:t>
            </w:r>
            <w:r>
              <w:rPr>
                <w:color w:val="105C84"/>
                <w:spacing w:val="-4"/>
                <w:sz w:val="18"/>
              </w:rPr>
              <w:t>and </w:t>
            </w:r>
            <w:r>
              <w:rPr>
                <w:color w:val="105C84"/>
                <w:spacing w:val="-2"/>
                <w:sz w:val="18"/>
              </w:rPr>
              <w:t>promotional materials, relationships </w:t>
            </w:r>
            <w:r>
              <w:rPr>
                <w:color w:val="105C84"/>
                <w:spacing w:val="-4"/>
                <w:sz w:val="18"/>
              </w:rPr>
              <w:t>with </w:t>
            </w:r>
            <w:r>
              <w:rPr>
                <w:color w:val="105C84"/>
                <w:spacing w:val="-2"/>
                <w:sz w:val="18"/>
              </w:rPr>
              <w:t>businesses/ networks</w:t>
            </w:r>
          </w:p>
        </w:tc>
      </w:tr>
    </w:tbl>
    <w:p>
      <w:pPr>
        <w:pStyle w:val="BodyText"/>
        <w:spacing w:before="228"/>
        <w:rPr>
          <w:b/>
          <w:sz w:val="26"/>
        </w:rPr>
      </w:pPr>
    </w:p>
    <w:p>
      <w:pPr>
        <w:tabs>
          <w:tab w:pos="23047" w:val="left" w:leader="none"/>
        </w:tabs>
        <w:spacing w:before="0"/>
        <w:ind w:left="0" w:right="0" w:firstLine="0"/>
        <w:jc w:val="left"/>
        <w:rPr>
          <w:b/>
          <w:sz w:val="26"/>
        </w:rPr>
      </w:pPr>
      <w:r>
        <w:rPr>
          <w:position w:val="-4"/>
        </w:rPr>
        <w:drawing>
          <wp:inline distT="0" distB="0" distL="0" distR="0">
            <wp:extent cx="568172" cy="184683"/>
            <wp:effectExtent l="0" t="0" r="0" b="0"/>
            <wp:docPr id="2048" name="Image 2048"/>
            <wp:cNvGraphicFramePr>
              <a:graphicFrameLocks/>
            </wp:cNvGraphicFramePr>
            <a:graphic>
              <a:graphicData uri="http://schemas.openxmlformats.org/drawingml/2006/picture">
                <pic:pic>
                  <pic:nvPicPr>
                    <pic:cNvPr id="2048" name="Image 2048"/>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13"/>
          <w:sz w:val="20"/>
        </w:rPr>
        <w:t> </w:t>
      </w:r>
      <w:r>
        <w:rPr>
          <w:b/>
          <w:color w:val="939598"/>
          <w:w w:val="105"/>
          <w:sz w:val="26"/>
        </w:rPr>
        <w:t>223</w:t>
      </w:r>
      <w:r>
        <w:rPr>
          <w:b/>
          <w:color w:val="939598"/>
          <w:sz w:val="26"/>
        </w:rPr>
        <w:tab/>
      </w:r>
      <w:r>
        <w:rPr>
          <w:b/>
          <w:color w:val="939598"/>
          <w:spacing w:val="-5"/>
          <w:w w:val="105"/>
          <w:sz w:val="26"/>
        </w:rPr>
        <w:t>224</w:t>
      </w:r>
    </w:p>
    <w:p>
      <w:pPr>
        <w:spacing w:after="0"/>
        <w:jc w:val="left"/>
        <w:rPr>
          <w:b/>
          <w:sz w:val="26"/>
        </w:rPr>
        <w:sectPr>
          <w:pgSz w:w="24480" w:h="15840" w:orient="landscape"/>
          <w:pgMar w:header="0" w:footer="0" w:top="860" w:bottom="0" w:left="0" w:right="720"/>
        </w:sectPr>
      </w:pPr>
    </w:p>
    <w:p>
      <w:pPr>
        <w:spacing w:before="609"/>
        <w:ind w:left="1089" w:right="0" w:firstLine="0"/>
        <w:jc w:val="left"/>
        <w:rPr>
          <w:sz w:val="54"/>
        </w:rPr>
      </w:pPr>
      <w:r>
        <w:rPr>
          <w:sz w:val="54"/>
        </w:rPr>
        <w:drawing>
          <wp:anchor distT="0" distB="0" distL="0" distR="0" allowOverlap="1" layoutInCell="1" locked="0" behindDoc="0" simplePos="0" relativeHeight="16038400">
            <wp:simplePos x="0" y="0"/>
            <wp:positionH relativeFrom="page">
              <wp:posOffset>14299183</wp:posOffset>
            </wp:positionH>
            <wp:positionV relativeFrom="paragraph">
              <wp:posOffset>345947</wp:posOffset>
            </wp:positionV>
            <wp:extent cx="620268" cy="568578"/>
            <wp:effectExtent l="0" t="0" r="0" b="0"/>
            <wp:wrapNone/>
            <wp:docPr id="2049" name="Image 2049"/>
            <wp:cNvGraphicFramePr>
              <a:graphicFrameLocks/>
            </wp:cNvGraphicFramePr>
            <a:graphic>
              <a:graphicData uri="http://schemas.openxmlformats.org/drawingml/2006/picture">
                <pic:pic>
                  <pic:nvPicPr>
                    <pic:cNvPr id="2049" name="Image 2049"/>
                    <pic:cNvPicPr/>
                  </pic:nvPicPr>
                  <pic:blipFill>
                    <a:blip r:embed="rId265" cstate="print"/>
                    <a:stretch>
                      <a:fillRect/>
                    </a:stretch>
                  </pic:blipFill>
                  <pic:spPr>
                    <a:xfrm>
                      <a:off x="0" y="0"/>
                      <a:ext cx="620268" cy="568578"/>
                    </a:xfrm>
                    <a:prstGeom prst="rect">
                      <a:avLst/>
                    </a:prstGeom>
                  </pic:spPr>
                </pic:pic>
              </a:graphicData>
            </a:graphic>
          </wp:anchor>
        </w:drawing>
      </w:r>
      <w:r>
        <w:rPr>
          <w:sz w:val="54"/>
        </w:rPr>
        <w:drawing>
          <wp:anchor distT="0" distB="0" distL="0" distR="0" allowOverlap="1" layoutInCell="1" locked="0" behindDoc="0" simplePos="0" relativeHeight="16038912">
            <wp:simplePos x="0" y="0"/>
            <wp:positionH relativeFrom="page">
              <wp:posOffset>14981556</wp:posOffset>
            </wp:positionH>
            <wp:positionV relativeFrom="page">
              <wp:posOffset>9668103</wp:posOffset>
            </wp:positionV>
            <wp:extent cx="563245" cy="184683"/>
            <wp:effectExtent l="0" t="0" r="0" b="0"/>
            <wp:wrapNone/>
            <wp:docPr id="2050" name="Image 2050"/>
            <wp:cNvGraphicFramePr>
              <a:graphicFrameLocks/>
            </wp:cNvGraphicFramePr>
            <a:graphic>
              <a:graphicData uri="http://schemas.openxmlformats.org/drawingml/2006/picture">
                <pic:pic>
                  <pic:nvPicPr>
                    <pic:cNvPr id="2050" name="Image 2050"/>
                    <pic:cNvPicPr/>
                  </pic:nvPicPr>
                  <pic:blipFill>
                    <a:blip r:embed="rId38" cstate="print"/>
                    <a:stretch>
                      <a:fillRect/>
                    </a:stretch>
                  </pic:blipFill>
                  <pic:spPr>
                    <a:xfrm>
                      <a:off x="0" y="0"/>
                      <a:ext cx="563245" cy="184683"/>
                    </a:xfrm>
                    <a:prstGeom prst="rect">
                      <a:avLst/>
                    </a:prstGeom>
                  </pic:spPr>
                </pic:pic>
              </a:graphicData>
            </a:graphic>
          </wp:anchor>
        </w:drawing>
      </w:r>
      <w:r>
        <w:rPr>
          <w:sz w:val="54"/>
        </w:rPr>
        <w:drawing>
          <wp:anchor distT="0" distB="0" distL="0" distR="0" allowOverlap="1" layoutInCell="1" locked="0" behindDoc="0" simplePos="0" relativeHeight="16039424">
            <wp:simplePos x="0" y="0"/>
            <wp:positionH relativeFrom="page">
              <wp:posOffset>13372084</wp:posOffset>
            </wp:positionH>
            <wp:positionV relativeFrom="paragraph">
              <wp:posOffset>365759</wp:posOffset>
            </wp:positionV>
            <wp:extent cx="728345" cy="366522"/>
            <wp:effectExtent l="0" t="0" r="0" b="0"/>
            <wp:wrapNone/>
            <wp:docPr id="2051" name="Image 2051"/>
            <wp:cNvGraphicFramePr>
              <a:graphicFrameLocks/>
            </wp:cNvGraphicFramePr>
            <a:graphic>
              <a:graphicData uri="http://schemas.openxmlformats.org/drawingml/2006/picture">
                <pic:pic>
                  <pic:nvPicPr>
                    <pic:cNvPr id="2051" name="Image 2051"/>
                    <pic:cNvPicPr/>
                  </pic:nvPicPr>
                  <pic:blipFill>
                    <a:blip r:embed="rId266" cstate="print"/>
                    <a:stretch>
                      <a:fillRect/>
                    </a:stretch>
                  </pic:blipFill>
                  <pic:spPr>
                    <a:xfrm>
                      <a:off x="0" y="0"/>
                      <a:ext cx="728345" cy="366522"/>
                    </a:xfrm>
                    <a:prstGeom prst="rect">
                      <a:avLst/>
                    </a:prstGeom>
                  </pic:spPr>
                </pic:pic>
              </a:graphicData>
            </a:graphic>
          </wp:anchor>
        </w:drawing>
      </w:r>
      <w:r>
        <w:rPr>
          <w:color w:val="636466"/>
          <w:sz w:val="54"/>
        </w:rPr>
        <w:t>Wayne</w:t>
      </w:r>
      <w:r>
        <w:rPr>
          <w:color w:val="636466"/>
          <w:spacing w:val="37"/>
          <w:sz w:val="54"/>
        </w:rPr>
        <w:t> </w:t>
      </w:r>
      <w:r>
        <w:rPr>
          <w:color w:val="636466"/>
          <w:sz w:val="54"/>
        </w:rPr>
        <w:t>County</w:t>
      </w:r>
      <w:r>
        <w:rPr>
          <w:color w:val="636466"/>
          <w:spacing w:val="38"/>
          <w:sz w:val="54"/>
        </w:rPr>
        <w:t> </w:t>
      </w:r>
      <w:r>
        <w:rPr>
          <w:color w:val="636466"/>
          <w:sz w:val="54"/>
        </w:rPr>
        <w:t>Appendix</w:t>
      </w:r>
      <w:r>
        <w:rPr>
          <w:color w:val="636466"/>
          <w:spacing w:val="38"/>
          <w:sz w:val="54"/>
        </w:rPr>
        <w:t> </w:t>
      </w:r>
      <w:r>
        <w:rPr>
          <w:color w:val="636466"/>
          <w:spacing w:val="-10"/>
          <w:sz w:val="54"/>
        </w:rPr>
        <w:t>G</w:t>
      </w:r>
    </w:p>
    <w:p>
      <w:pPr>
        <w:spacing w:line="247" w:lineRule="auto" w:before="236"/>
        <w:ind w:left="1089" w:right="13013" w:firstLine="0"/>
        <w:jc w:val="left"/>
        <w:rPr>
          <w:b/>
          <w:sz w:val="32"/>
        </w:rPr>
      </w:pPr>
      <w:r>
        <w:rPr>
          <w:b/>
          <w:color w:val="82BF6A"/>
          <w:spacing w:val="-4"/>
          <w:sz w:val="32"/>
        </w:rPr>
        <w:t>PRIORITY:</w:t>
      </w:r>
      <w:r>
        <w:rPr>
          <w:b/>
          <w:color w:val="82BF6A"/>
          <w:spacing w:val="-19"/>
          <w:sz w:val="32"/>
        </w:rPr>
        <w:t> </w:t>
      </w:r>
      <w:r>
        <w:rPr>
          <w:b/>
          <w:color w:val="82BF6A"/>
          <w:spacing w:val="-4"/>
          <w:sz w:val="32"/>
        </w:rPr>
        <w:t>PROMOTE</w:t>
      </w:r>
      <w:r>
        <w:rPr>
          <w:b/>
          <w:color w:val="82BF6A"/>
          <w:spacing w:val="-18"/>
          <w:sz w:val="32"/>
        </w:rPr>
        <w:t> </w:t>
      </w:r>
      <w:r>
        <w:rPr>
          <w:b/>
          <w:color w:val="82BF6A"/>
          <w:spacing w:val="-4"/>
          <w:sz w:val="32"/>
        </w:rPr>
        <w:t>WELL-BEING</w:t>
      </w:r>
      <w:r>
        <w:rPr>
          <w:b/>
          <w:color w:val="82BF6A"/>
          <w:spacing w:val="-18"/>
          <w:sz w:val="32"/>
        </w:rPr>
        <w:t> </w:t>
      </w:r>
      <w:r>
        <w:rPr>
          <w:b/>
          <w:color w:val="82BF6A"/>
          <w:spacing w:val="-4"/>
          <w:sz w:val="32"/>
        </w:rPr>
        <w:t>AND</w:t>
      </w:r>
      <w:r>
        <w:rPr>
          <w:b/>
          <w:color w:val="82BF6A"/>
          <w:spacing w:val="-18"/>
          <w:sz w:val="32"/>
        </w:rPr>
        <w:t> </w:t>
      </w:r>
      <w:r>
        <w:rPr>
          <w:b/>
          <w:color w:val="82BF6A"/>
          <w:spacing w:val="-4"/>
          <w:sz w:val="32"/>
        </w:rPr>
        <w:t>PREVENT</w:t>
      </w:r>
      <w:r>
        <w:rPr>
          <w:b/>
          <w:color w:val="82BF6A"/>
          <w:spacing w:val="-19"/>
          <w:sz w:val="32"/>
        </w:rPr>
        <w:t> </w:t>
      </w:r>
      <w:r>
        <w:rPr>
          <w:b/>
          <w:color w:val="82BF6A"/>
          <w:spacing w:val="-4"/>
          <w:sz w:val="32"/>
        </w:rPr>
        <w:t>MENTAL </w:t>
      </w:r>
      <w:r>
        <w:rPr>
          <w:b/>
          <w:color w:val="82BF6A"/>
          <w:sz w:val="32"/>
        </w:rPr>
        <w:t>AND</w:t>
      </w:r>
      <w:r>
        <w:rPr>
          <w:b/>
          <w:color w:val="82BF6A"/>
          <w:spacing w:val="-22"/>
          <w:sz w:val="32"/>
        </w:rPr>
        <w:t> </w:t>
      </w:r>
      <w:r>
        <w:rPr>
          <w:b/>
          <w:color w:val="82BF6A"/>
          <w:sz w:val="32"/>
        </w:rPr>
        <w:t>SUBSTANCE</w:t>
      </w:r>
      <w:r>
        <w:rPr>
          <w:b/>
          <w:color w:val="82BF6A"/>
          <w:spacing w:val="-22"/>
          <w:sz w:val="32"/>
        </w:rPr>
        <w:t> </w:t>
      </w:r>
      <w:r>
        <w:rPr>
          <w:b/>
          <w:color w:val="82BF6A"/>
          <w:sz w:val="32"/>
        </w:rPr>
        <w:t>USE</w:t>
      </w:r>
      <w:r>
        <w:rPr>
          <w:b/>
          <w:color w:val="82BF6A"/>
          <w:spacing w:val="-22"/>
          <w:sz w:val="32"/>
        </w:rPr>
        <w:t> </w:t>
      </w:r>
      <w:r>
        <w:rPr>
          <w:b/>
          <w:color w:val="82BF6A"/>
          <w:sz w:val="32"/>
        </w:rPr>
        <w:t>DISORDERS</w:t>
      </w:r>
    </w:p>
    <w:p>
      <w:pPr>
        <w:pStyle w:val="BodyText"/>
        <w:spacing w:before="152"/>
        <w:rPr>
          <w:b/>
          <w:sz w:val="20"/>
        </w:rPr>
      </w:pPr>
    </w:p>
    <w:tbl>
      <w:tblPr>
        <w:tblW w:w="0" w:type="auto"/>
        <w:jc w:val="left"/>
        <w:tblInd w:w="1099"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1425"/>
        <w:gridCol w:w="1137"/>
        <w:gridCol w:w="1267"/>
        <w:gridCol w:w="1325"/>
        <w:gridCol w:w="1066"/>
        <w:gridCol w:w="1440"/>
        <w:gridCol w:w="7776"/>
        <w:gridCol w:w="1901"/>
        <w:gridCol w:w="2009"/>
        <w:gridCol w:w="1498"/>
        <w:gridCol w:w="1500"/>
      </w:tblGrid>
      <w:tr>
        <w:trPr>
          <w:trHeight w:val="730" w:hRule="atLeast"/>
        </w:trPr>
        <w:tc>
          <w:tcPr>
            <w:tcW w:w="1425" w:type="dxa"/>
            <w:tcBorders>
              <w:right w:val="single" w:sz="4" w:space="0" w:color="FFFFFF"/>
            </w:tcBorders>
            <w:shd w:val="clear" w:color="auto" w:fill="A7A9AC"/>
          </w:tcPr>
          <w:p>
            <w:pPr>
              <w:pStyle w:val="TableParagraph"/>
              <w:spacing w:before="79"/>
              <w:rPr>
                <w:b/>
                <w:sz w:val="18"/>
              </w:rPr>
            </w:pPr>
          </w:p>
          <w:p>
            <w:pPr>
              <w:pStyle w:val="TableParagraph"/>
              <w:ind w:left="80"/>
              <w:rPr>
                <w:b/>
                <w:sz w:val="18"/>
              </w:rPr>
            </w:pPr>
            <w:r>
              <w:rPr>
                <w:b/>
                <w:color w:val="FFFFFF"/>
                <w:spacing w:val="-2"/>
                <w:sz w:val="18"/>
              </w:rPr>
              <w:t>Priority</w:t>
            </w:r>
          </w:p>
        </w:tc>
        <w:tc>
          <w:tcPr>
            <w:tcW w:w="1137" w:type="dxa"/>
            <w:tcBorders>
              <w:left w:val="single" w:sz="4" w:space="0" w:color="FFFFFF"/>
              <w:right w:val="single" w:sz="4" w:space="0" w:color="FFFFFF"/>
            </w:tcBorders>
            <w:shd w:val="clear" w:color="auto" w:fill="A7A9AC"/>
          </w:tcPr>
          <w:p>
            <w:pPr>
              <w:pStyle w:val="TableParagraph"/>
              <w:spacing w:before="79"/>
              <w:rPr>
                <w:b/>
                <w:sz w:val="18"/>
              </w:rPr>
            </w:pPr>
          </w:p>
          <w:p>
            <w:pPr>
              <w:pStyle w:val="TableParagraph"/>
              <w:ind w:left="80"/>
              <w:rPr>
                <w:b/>
                <w:sz w:val="18"/>
              </w:rPr>
            </w:pPr>
            <w:r>
              <w:rPr>
                <w:b/>
                <w:color w:val="FFFFFF"/>
                <w:w w:val="90"/>
                <w:sz w:val="18"/>
              </w:rPr>
              <w:t>Focus</w:t>
            </w:r>
            <w:r>
              <w:rPr>
                <w:b/>
                <w:color w:val="FFFFFF"/>
                <w:spacing w:val="8"/>
                <w:sz w:val="18"/>
              </w:rPr>
              <w:t> </w:t>
            </w:r>
            <w:r>
              <w:rPr>
                <w:b/>
                <w:color w:val="FFFFFF"/>
                <w:spacing w:val="-4"/>
                <w:sz w:val="18"/>
              </w:rPr>
              <w:t>Area</w:t>
            </w:r>
          </w:p>
        </w:tc>
        <w:tc>
          <w:tcPr>
            <w:tcW w:w="1267" w:type="dxa"/>
            <w:tcBorders>
              <w:left w:val="single" w:sz="4" w:space="0" w:color="FFFFFF"/>
              <w:right w:val="single" w:sz="4" w:space="0" w:color="FFFFFF"/>
            </w:tcBorders>
            <w:shd w:val="clear" w:color="auto" w:fill="A7A9AC"/>
          </w:tcPr>
          <w:p>
            <w:pPr>
              <w:pStyle w:val="TableParagraph"/>
              <w:spacing w:line="232" w:lineRule="auto" w:before="191"/>
              <w:ind w:left="80" w:right="237"/>
              <w:rPr>
                <w:b/>
                <w:sz w:val="18"/>
              </w:rPr>
            </w:pPr>
            <w:r>
              <w:rPr>
                <w:b/>
                <w:color w:val="FFFFFF"/>
                <w:spacing w:val="-6"/>
                <w:sz w:val="18"/>
              </w:rPr>
              <w:t>Goal</w:t>
            </w:r>
            <w:r>
              <w:rPr>
                <w:b/>
                <w:color w:val="FFFFFF"/>
                <w:spacing w:val="-7"/>
                <w:sz w:val="18"/>
              </w:rPr>
              <w:t> </w:t>
            </w:r>
            <w:r>
              <w:rPr>
                <w:b/>
                <w:color w:val="FFFFFF"/>
                <w:spacing w:val="-6"/>
                <w:sz w:val="18"/>
              </w:rPr>
              <w:t>Focus </w:t>
            </w:r>
            <w:r>
              <w:rPr>
                <w:b/>
                <w:color w:val="FFFFFF"/>
                <w:spacing w:val="-4"/>
                <w:sz w:val="18"/>
              </w:rPr>
              <w:t>Area</w:t>
            </w:r>
          </w:p>
        </w:tc>
        <w:tc>
          <w:tcPr>
            <w:tcW w:w="1325" w:type="dxa"/>
            <w:tcBorders>
              <w:left w:val="single" w:sz="4" w:space="0" w:color="FFFFFF"/>
              <w:right w:val="single" w:sz="4" w:space="0" w:color="FFFFFF"/>
            </w:tcBorders>
            <w:shd w:val="clear" w:color="auto" w:fill="A7A9AC"/>
          </w:tcPr>
          <w:p>
            <w:pPr>
              <w:pStyle w:val="TableParagraph"/>
              <w:spacing w:before="79"/>
              <w:rPr>
                <w:b/>
                <w:sz w:val="18"/>
              </w:rPr>
            </w:pPr>
          </w:p>
          <w:p>
            <w:pPr>
              <w:pStyle w:val="TableParagraph"/>
              <w:ind w:left="81"/>
              <w:rPr>
                <w:b/>
                <w:sz w:val="18"/>
              </w:rPr>
            </w:pPr>
            <w:r>
              <w:rPr>
                <w:b/>
                <w:color w:val="FFFFFF"/>
                <w:spacing w:val="-2"/>
                <w:sz w:val="18"/>
              </w:rPr>
              <w:t>Objectives</w:t>
            </w:r>
          </w:p>
        </w:tc>
        <w:tc>
          <w:tcPr>
            <w:tcW w:w="1066" w:type="dxa"/>
            <w:tcBorders>
              <w:left w:val="single" w:sz="4" w:space="0" w:color="FFFFFF"/>
              <w:right w:val="single" w:sz="4" w:space="0" w:color="FFFFFF"/>
            </w:tcBorders>
            <w:shd w:val="clear" w:color="auto" w:fill="A7A9AC"/>
          </w:tcPr>
          <w:p>
            <w:pPr>
              <w:pStyle w:val="TableParagraph"/>
              <w:spacing w:before="79"/>
              <w:rPr>
                <w:b/>
                <w:sz w:val="18"/>
              </w:rPr>
            </w:pPr>
          </w:p>
          <w:p>
            <w:pPr>
              <w:pStyle w:val="TableParagraph"/>
              <w:ind w:left="80"/>
              <w:rPr>
                <w:b/>
                <w:sz w:val="18"/>
              </w:rPr>
            </w:pPr>
            <w:r>
              <w:rPr>
                <w:b/>
                <w:color w:val="FFFFFF"/>
                <w:spacing w:val="-2"/>
                <w:sz w:val="18"/>
              </w:rPr>
              <w:t>Disparities</w:t>
            </w:r>
          </w:p>
        </w:tc>
        <w:tc>
          <w:tcPr>
            <w:tcW w:w="1440" w:type="dxa"/>
            <w:tcBorders>
              <w:left w:val="single" w:sz="4" w:space="0" w:color="FFFFFF"/>
              <w:right w:val="single" w:sz="4" w:space="0" w:color="FFFFFF"/>
            </w:tcBorders>
            <w:shd w:val="clear" w:color="auto" w:fill="A7A9AC"/>
          </w:tcPr>
          <w:p>
            <w:pPr>
              <w:pStyle w:val="TableParagraph"/>
              <w:spacing w:before="79"/>
              <w:rPr>
                <w:b/>
                <w:sz w:val="18"/>
              </w:rPr>
            </w:pPr>
          </w:p>
          <w:p>
            <w:pPr>
              <w:pStyle w:val="TableParagraph"/>
              <w:ind w:left="80"/>
              <w:rPr>
                <w:b/>
                <w:sz w:val="18"/>
              </w:rPr>
            </w:pPr>
            <w:r>
              <w:rPr>
                <w:b/>
                <w:color w:val="FFFFFF"/>
                <w:spacing w:val="-2"/>
                <w:sz w:val="18"/>
              </w:rPr>
              <w:t>Interventions</w:t>
            </w:r>
          </w:p>
        </w:tc>
        <w:tc>
          <w:tcPr>
            <w:tcW w:w="7776" w:type="dxa"/>
            <w:tcBorders>
              <w:left w:val="single" w:sz="4" w:space="0" w:color="FFFFFF"/>
              <w:right w:val="single" w:sz="4" w:space="0" w:color="FFFFFF"/>
            </w:tcBorders>
            <w:shd w:val="clear" w:color="auto" w:fill="A7A9AC"/>
          </w:tcPr>
          <w:p>
            <w:pPr>
              <w:pStyle w:val="TableParagraph"/>
              <w:spacing w:before="3"/>
              <w:rPr>
                <w:b/>
                <w:sz w:val="18"/>
              </w:rPr>
            </w:pPr>
          </w:p>
          <w:p>
            <w:pPr>
              <w:pStyle w:val="TableParagraph"/>
              <w:tabs>
                <w:tab w:pos="4565" w:val="left" w:leader="none"/>
              </w:tabs>
              <w:spacing w:line="156" w:lineRule="auto"/>
              <w:ind w:left="4565" w:right="1092" w:hanging="4475"/>
              <w:rPr>
                <w:b/>
                <w:sz w:val="18"/>
              </w:rPr>
            </w:pPr>
            <w:r>
              <w:rPr>
                <w:b/>
                <w:color w:val="FFFFFF"/>
                <w:position w:val="-9"/>
                <w:sz w:val="18"/>
              </w:rPr>
              <w:t>Family of Measures</w:t>
              <w:tab/>
            </w:r>
            <w:r>
              <w:rPr>
                <w:b/>
                <w:color w:val="FFFFFF"/>
                <w:sz w:val="18"/>
              </w:rPr>
              <w:t>Projected</w:t>
            </w:r>
            <w:r>
              <w:rPr>
                <w:b/>
                <w:color w:val="FFFFFF"/>
                <w:spacing w:val="-15"/>
                <w:sz w:val="18"/>
              </w:rPr>
              <w:t> </w:t>
            </w:r>
            <w:r>
              <w:rPr>
                <w:b/>
                <w:color w:val="FFFFFF"/>
                <w:sz w:val="18"/>
              </w:rPr>
              <w:t>(or</w:t>
            </w:r>
            <w:r>
              <w:rPr>
                <w:b/>
                <w:color w:val="FFFFFF"/>
                <w:spacing w:val="-12"/>
                <w:sz w:val="18"/>
              </w:rPr>
              <w:t> </w:t>
            </w:r>
            <w:r>
              <w:rPr>
                <w:b/>
                <w:color w:val="FFFFFF"/>
                <w:sz w:val="18"/>
              </w:rPr>
              <w:t>completed) Year 1 Intervention</w:t>
            </w:r>
          </w:p>
        </w:tc>
        <w:tc>
          <w:tcPr>
            <w:tcW w:w="1901" w:type="dxa"/>
            <w:tcBorders>
              <w:left w:val="single" w:sz="4" w:space="0" w:color="FFFFFF"/>
              <w:right w:val="single" w:sz="4" w:space="0" w:color="FFFFFF"/>
            </w:tcBorders>
            <w:shd w:val="clear" w:color="auto" w:fill="A7A9AC"/>
          </w:tcPr>
          <w:p>
            <w:pPr>
              <w:pStyle w:val="TableParagraph"/>
              <w:spacing w:before="78"/>
              <w:rPr>
                <w:b/>
                <w:sz w:val="18"/>
              </w:rPr>
            </w:pPr>
          </w:p>
          <w:p>
            <w:pPr>
              <w:pStyle w:val="TableParagraph"/>
              <w:spacing w:before="1"/>
              <w:ind w:left="80"/>
              <w:rPr>
                <w:b/>
                <w:sz w:val="18"/>
              </w:rPr>
            </w:pPr>
            <w:r>
              <w:rPr>
                <w:b/>
                <w:color w:val="FFFFFF"/>
                <w:spacing w:val="-2"/>
                <w:sz w:val="18"/>
              </w:rPr>
              <w:t>Projected</w:t>
            </w:r>
            <w:r>
              <w:rPr>
                <w:b/>
                <w:color w:val="FFFFFF"/>
                <w:spacing w:val="-6"/>
                <w:sz w:val="18"/>
              </w:rPr>
              <w:t> </w:t>
            </w:r>
            <w:r>
              <w:rPr>
                <w:b/>
                <w:color w:val="FFFFFF"/>
                <w:spacing w:val="-2"/>
                <w:sz w:val="18"/>
              </w:rPr>
              <w:t>Year</w:t>
            </w:r>
            <w:r>
              <w:rPr>
                <w:b/>
                <w:color w:val="FFFFFF"/>
                <w:spacing w:val="-5"/>
                <w:sz w:val="18"/>
              </w:rPr>
              <w:t> </w:t>
            </w:r>
            <w:r>
              <w:rPr>
                <w:b/>
                <w:color w:val="FFFFFF"/>
                <w:spacing w:val="-12"/>
                <w:sz w:val="18"/>
              </w:rPr>
              <w:t>2</w:t>
            </w:r>
          </w:p>
        </w:tc>
        <w:tc>
          <w:tcPr>
            <w:tcW w:w="2009" w:type="dxa"/>
            <w:tcBorders>
              <w:left w:val="single" w:sz="4" w:space="0" w:color="FFFFFF"/>
              <w:right w:val="single" w:sz="4" w:space="0" w:color="FFFFFF"/>
            </w:tcBorders>
            <w:shd w:val="clear" w:color="auto" w:fill="A7A9AC"/>
          </w:tcPr>
          <w:p>
            <w:pPr>
              <w:pStyle w:val="TableParagraph"/>
              <w:spacing w:line="232" w:lineRule="auto" w:before="190"/>
              <w:ind w:left="80" w:right="296"/>
              <w:rPr>
                <w:b/>
                <w:sz w:val="18"/>
              </w:rPr>
            </w:pPr>
            <w:r>
              <w:rPr>
                <w:b/>
                <w:color w:val="FFFFFF"/>
                <w:spacing w:val="-2"/>
                <w:sz w:val="18"/>
              </w:rPr>
              <w:t>Projected</w:t>
            </w:r>
            <w:r>
              <w:rPr>
                <w:b/>
                <w:color w:val="FFFFFF"/>
                <w:spacing w:val="-13"/>
                <w:sz w:val="18"/>
              </w:rPr>
              <w:t> </w:t>
            </w:r>
            <w:r>
              <w:rPr>
                <w:b/>
                <w:color w:val="FFFFFF"/>
                <w:spacing w:val="-2"/>
                <w:sz w:val="18"/>
              </w:rPr>
              <w:t>Year</w:t>
            </w:r>
            <w:r>
              <w:rPr>
                <w:b/>
                <w:color w:val="FFFFFF"/>
                <w:spacing w:val="-10"/>
                <w:sz w:val="18"/>
              </w:rPr>
              <w:t> </w:t>
            </w:r>
            <w:r>
              <w:rPr>
                <w:b/>
                <w:color w:val="FFFFFF"/>
                <w:spacing w:val="-2"/>
                <w:sz w:val="18"/>
              </w:rPr>
              <w:t>3 Interventions</w:t>
            </w:r>
          </w:p>
        </w:tc>
        <w:tc>
          <w:tcPr>
            <w:tcW w:w="1498" w:type="dxa"/>
            <w:tcBorders>
              <w:left w:val="single" w:sz="4" w:space="0" w:color="FFFFFF"/>
            </w:tcBorders>
            <w:shd w:val="clear" w:color="auto" w:fill="A7A9AC"/>
          </w:tcPr>
          <w:p>
            <w:pPr>
              <w:pStyle w:val="TableParagraph"/>
              <w:spacing w:line="232" w:lineRule="auto" w:before="190"/>
              <w:ind w:left="80"/>
              <w:rPr>
                <w:b/>
                <w:sz w:val="18"/>
              </w:rPr>
            </w:pPr>
            <w:r>
              <w:rPr>
                <w:b/>
                <w:color w:val="FFFFFF"/>
                <w:spacing w:val="-2"/>
                <w:sz w:val="18"/>
              </w:rPr>
              <w:t>Implementation Partner</w:t>
            </w:r>
          </w:p>
        </w:tc>
        <w:tc>
          <w:tcPr>
            <w:tcW w:w="1500" w:type="dxa"/>
            <w:shd w:val="clear" w:color="auto" w:fill="A7A9AC"/>
          </w:tcPr>
          <w:p>
            <w:pPr>
              <w:pStyle w:val="TableParagraph"/>
              <w:spacing w:line="232" w:lineRule="auto" w:before="190"/>
              <w:ind w:left="79" w:right="165"/>
              <w:rPr>
                <w:b/>
                <w:sz w:val="18"/>
              </w:rPr>
            </w:pPr>
            <w:r>
              <w:rPr>
                <w:b/>
                <w:color w:val="FFFFFF"/>
                <w:spacing w:val="-4"/>
                <w:sz w:val="18"/>
              </w:rPr>
              <w:t>Partner</w:t>
            </w:r>
            <w:r>
              <w:rPr>
                <w:b/>
                <w:color w:val="FFFFFF"/>
                <w:spacing w:val="-9"/>
                <w:sz w:val="18"/>
              </w:rPr>
              <w:t> </w:t>
            </w:r>
            <w:r>
              <w:rPr>
                <w:b/>
                <w:color w:val="FFFFFF"/>
                <w:spacing w:val="-4"/>
                <w:sz w:val="18"/>
              </w:rPr>
              <w:t>Role(s) </w:t>
            </w:r>
            <w:r>
              <w:rPr>
                <w:b/>
                <w:color w:val="FFFFFF"/>
                <w:sz w:val="18"/>
              </w:rPr>
              <w:t>and</w:t>
            </w:r>
            <w:r>
              <w:rPr>
                <w:b/>
                <w:color w:val="FFFFFF"/>
                <w:spacing w:val="-7"/>
                <w:sz w:val="18"/>
              </w:rPr>
              <w:t> Resources</w:t>
            </w:r>
          </w:p>
        </w:tc>
      </w:tr>
      <w:tr>
        <w:trPr>
          <w:trHeight w:val="5020" w:hRule="atLeast"/>
        </w:trPr>
        <w:tc>
          <w:tcPr>
            <w:tcW w:w="1425" w:type="dxa"/>
            <w:vMerge w:val="restart"/>
            <w:shd w:val="clear" w:color="auto" w:fill="E6E7E8"/>
          </w:tcPr>
          <w:p>
            <w:pPr>
              <w:pStyle w:val="TableParagraph"/>
              <w:spacing w:line="232" w:lineRule="auto" w:before="100"/>
              <w:ind w:left="89" w:right="332"/>
              <w:rPr>
                <w:sz w:val="18"/>
              </w:rPr>
            </w:pPr>
            <w:r>
              <w:rPr>
                <w:color w:val="105C84"/>
                <w:spacing w:val="-2"/>
                <w:sz w:val="18"/>
              </w:rPr>
              <w:t>Promote Well-Being </w:t>
            </w:r>
            <w:r>
              <w:rPr>
                <w:color w:val="105C84"/>
                <w:sz w:val="18"/>
              </w:rPr>
              <w:t>and</w:t>
            </w:r>
            <w:r>
              <w:rPr>
                <w:color w:val="105C84"/>
                <w:spacing w:val="-13"/>
                <w:sz w:val="18"/>
              </w:rPr>
              <w:t> </w:t>
            </w:r>
            <w:r>
              <w:rPr>
                <w:color w:val="105C84"/>
                <w:sz w:val="18"/>
              </w:rPr>
              <w:t>Prevent Mental and</w:t>
            </w:r>
          </w:p>
          <w:p>
            <w:pPr>
              <w:pStyle w:val="TableParagraph"/>
              <w:spacing w:line="232" w:lineRule="auto"/>
              <w:ind w:left="89"/>
              <w:rPr>
                <w:sz w:val="18"/>
              </w:rPr>
            </w:pPr>
            <w:r>
              <w:rPr>
                <w:color w:val="105C84"/>
                <w:spacing w:val="-2"/>
                <w:sz w:val="18"/>
              </w:rPr>
              <w:t>Substance</w:t>
            </w:r>
            <w:r>
              <w:rPr>
                <w:color w:val="105C84"/>
                <w:spacing w:val="-11"/>
                <w:sz w:val="18"/>
              </w:rPr>
              <w:t> </w:t>
            </w:r>
            <w:r>
              <w:rPr>
                <w:color w:val="105C84"/>
                <w:spacing w:val="-2"/>
                <w:sz w:val="18"/>
              </w:rPr>
              <w:t>Use Disorders</w:t>
            </w:r>
          </w:p>
        </w:tc>
        <w:tc>
          <w:tcPr>
            <w:tcW w:w="1137" w:type="dxa"/>
            <w:vMerge w:val="restart"/>
          </w:tcPr>
          <w:p>
            <w:pPr>
              <w:pStyle w:val="TableParagraph"/>
              <w:spacing w:line="232" w:lineRule="auto" w:before="100"/>
              <w:ind w:left="90" w:right="144"/>
              <w:jc w:val="both"/>
              <w:rPr>
                <w:sz w:val="18"/>
              </w:rPr>
            </w:pPr>
            <w:r>
              <w:rPr>
                <w:color w:val="105C84"/>
                <w:spacing w:val="-4"/>
                <w:sz w:val="18"/>
              </w:rPr>
              <w:t>Focus</w:t>
            </w:r>
            <w:r>
              <w:rPr>
                <w:color w:val="105C84"/>
                <w:spacing w:val="-9"/>
                <w:sz w:val="18"/>
              </w:rPr>
              <w:t> </w:t>
            </w:r>
            <w:r>
              <w:rPr>
                <w:color w:val="105C84"/>
                <w:spacing w:val="-4"/>
                <w:sz w:val="18"/>
              </w:rPr>
              <w:t>Area </w:t>
            </w:r>
            <w:r>
              <w:rPr>
                <w:color w:val="105C84"/>
                <w:sz w:val="18"/>
              </w:rPr>
              <w:t>1:</w:t>
            </w:r>
            <w:r>
              <w:rPr>
                <w:color w:val="105C84"/>
                <w:spacing w:val="-13"/>
                <w:sz w:val="18"/>
              </w:rPr>
              <w:t> </w:t>
            </w:r>
            <w:r>
              <w:rPr>
                <w:color w:val="105C84"/>
                <w:sz w:val="18"/>
              </w:rPr>
              <w:t>Promote </w:t>
            </w:r>
            <w:r>
              <w:rPr>
                <w:color w:val="105C84"/>
                <w:spacing w:val="-2"/>
                <w:sz w:val="18"/>
              </w:rPr>
              <w:t>Well-Being</w:t>
            </w:r>
          </w:p>
        </w:tc>
        <w:tc>
          <w:tcPr>
            <w:tcW w:w="1267" w:type="dxa"/>
            <w:vMerge w:val="restart"/>
          </w:tcPr>
          <w:p>
            <w:pPr>
              <w:pStyle w:val="TableParagraph"/>
              <w:spacing w:line="232" w:lineRule="auto" w:before="100"/>
              <w:ind w:left="90" w:right="86"/>
              <w:rPr>
                <w:sz w:val="18"/>
              </w:rPr>
            </w:pPr>
            <w:r>
              <w:rPr>
                <w:color w:val="105C84"/>
                <w:w w:val="105"/>
                <w:sz w:val="18"/>
              </w:rPr>
              <w:t>Goal</w:t>
            </w:r>
            <w:r>
              <w:rPr>
                <w:color w:val="105C84"/>
                <w:spacing w:val="-1"/>
                <w:w w:val="105"/>
                <w:sz w:val="18"/>
              </w:rPr>
              <w:t> </w:t>
            </w:r>
            <w:r>
              <w:rPr>
                <w:color w:val="105C84"/>
                <w:w w:val="105"/>
                <w:sz w:val="18"/>
              </w:rPr>
              <w:t>1.1: </w:t>
            </w:r>
            <w:r>
              <w:rPr>
                <w:color w:val="105C84"/>
                <w:spacing w:val="-2"/>
                <w:w w:val="105"/>
                <w:sz w:val="18"/>
              </w:rPr>
              <w:t>Strengthen </w:t>
            </w:r>
            <w:r>
              <w:rPr>
                <w:color w:val="105C84"/>
                <w:spacing w:val="-2"/>
                <w:sz w:val="18"/>
              </w:rPr>
              <w:t>opportunities </w:t>
            </w:r>
            <w:r>
              <w:rPr>
                <w:color w:val="105C84"/>
                <w:w w:val="105"/>
                <w:sz w:val="18"/>
              </w:rPr>
              <w:t>to</w:t>
            </w:r>
            <w:r>
              <w:rPr>
                <w:color w:val="105C84"/>
                <w:spacing w:val="-6"/>
                <w:w w:val="105"/>
                <w:sz w:val="18"/>
              </w:rPr>
              <w:t> </w:t>
            </w:r>
            <w:r>
              <w:rPr>
                <w:color w:val="105C84"/>
                <w:w w:val="105"/>
                <w:sz w:val="18"/>
              </w:rPr>
              <w:t>build</w:t>
            </w:r>
            <w:r>
              <w:rPr>
                <w:color w:val="105C84"/>
                <w:spacing w:val="-6"/>
                <w:w w:val="105"/>
                <w:sz w:val="18"/>
              </w:rPr>
              <w:t> </w:t>
            </w:r>
            <w:r>
              <w:rPr>
                <w:color w:val="105C84"/>
                <w:w w:val="105"/>
                <w:sz w:val="18"/>
              </w:rPr>
              <w:t>well-being</w:t>
            </w:r>
            <w:r>
              <w:rPr>
                <w:color w:val="105C84"/>
                <w:spacing w:val="-1"/>
                <w:w w:val="105"/>
                <w:sz w:val="18"/>
              </w:rPr>
              <w:t> </w:t>
            </w:r>
            <w:r>
              <w:rPr>
                <w:color w:val="105C84"/>
                <w:w w:val="105"/>
                <w:sz w:val="18"/>
              </w:rPr>
              <w:t>and </w:t>
            </w:r>
            <w:r>
              <w:rPr>
                <w:color w:val="105C84"/>
                <w:spacing w:val="-2"/>
                <w:w w:val="105"/>
                <w:sz w:val="18"/>
              </w:rPr>
              <w:t>resilience </w:t>
            </w:r>
            <w:r>
              <w:rPr>
                <w:color w:val="105C84"/>
                <w:w w:val="105"/>
                <w:sz w:val="18"/>
              </w:rPr>
              <w:t>across</w:t>
            </w:r>
            <w:r>
              <w:rPr>
                <w:color w:val="105C84"/>
                <w:spacing w:val="-1"/>
                <w:w w:val="105"/>
                <w:sz w:val="18"/>
              </w:rPr>
              <w:t> </w:t>
            </w:r>
            <w:r>
              <w:rPr>
                <w:color w:val="105C84"/>
                <w:w w:val="105"/>
                <w:sz w:val="18"/>
              </w:rPr>
              <w:t>the </w:t>
            </w:r>
            <w:r>
              <w:rPr>
                <w:color w:val="105C84"/>
                <w:spacing w:val="-2"/>
                <w:w w:val="105"/>
                <w:sz w:val="18"/>
              </w:rPr>
              <w:t>lifespan</w:t>
            </w:r>
          </w:p>
        </w:tc>
        <w:tc>
          <w:tcPr>
            <w:tcW w:w="1325" w:type="dxa"/>
            <w:vMerge w:val="restart"/>
          </w:tcPr>
          <w:p>
            <w:pPr>
              <w:pStyle w:val="TableParagraph"/>
              <w:spacing w:line="232" w:lineRule="auto" w:before="100"/>
              <w:ind w:left="90" w:right="84"/>
              <w:rPr>
                <w:sz w:val="18"/>
              </w:rPr>
            </w:pPr>
            <w:r>
              <w:rPr>
                <w:color w:val="105C84"/>
                <w:spacing w:val="-6"/>
                <w:sz w:val="18"/>
              </w:rPr>
              <w:t>1.1.1</w:t>
            </w:r>
            <w:r>
              <w:rPr>
                <w:color w:val="105C84"/>
                <w:spacing w:val="-7"/>
                <w:sz w:val="18"/>
              </w:rPr>
              <w:t> </w:t>
            </w:r>
            <w:r>
              <w:rPr>
                <w:color w:val="105C84"/>
                <w:spacing w:val="-6"/>
                <w:sz w:val="18"/>
              </w:rPr>
              <w:t>Increas</w:t>
            </w:r>
            <w:r>
              <w:rPr>
                <w:color w:val="105C84"/>
                <w:spacing w:val="-6"/>
                <w:sz w:val="18"/>
              </w:rPr>
              <w:t>e</w:t>
            </w:r>
            <w:r>
              <w:rPr>
                <w:color w:val="105C84"/>
                <w:spacing w:val="-6"/>
                <w:sz w:val="18"/>
              </w:rPr>
              <w:t> </w:t>
            </w:r>
            <w:r>
              <w:rPr>
                <w:color w:val="105C84"/>
                <w:spacing w:val="-2"/>
                <w:sz w:val="18"/>
              </w:rPr>
              <w:t>Wayne County's Opportunity </w:t>
            </w:r>
            <w:r>
              <w:rPr>
                <w:color w:val="105C84"/>
                <w:sz w:val="18"/>
              </w:rPr>
              <w:t>Index Score;</w:t>
            </w:r>
          </w:p>
          <w:p>
            <w:pPr>
              <w:pStyle w:val="TableParagraph"/>
              <w:spacing w:line="232" w:lineRule="auto"/>
              <w:ind w:left="90" w:right="84"/>
              <w:rPr>
                <w:sz w:val="18"/>
              </w:rPr>
            </w:pPr>
            <w:r>
              <w:rPr>
                <w:color w:val="105C84"/>
                <w:sz w:val="18"/>
              </w:rPr>
              <w:t>1.1.3 Reduce the</w:t>
            </w:r>
            <w:r>
              <w:rPr>
                <w:color w:val="105C84"/>
                <w:spacing w:val="-5"/>
                <w:sz w:val="18"/>
              </w:rPr>
              <w:t> </w:t>
            </w:r>
            <w:r>
              <w:rPr>
                <w:color w:val="105C84"/>
                <w:sz w:val="18"/>
              </w:rPr>
              <w:t>number</w:t>
            </w:r>
            <w:r>
              <w:rPr>
                <w:color w:val="105C84"/>
                <w:spacing w:val="-5"/>
                <w:sz w:val="18"/>
              </w:rPr>
              <w:t> </w:t>
            </w:r>
            <w:r>
              <w:rPr>
                <w:color w:val="105C84"/>
                <w:sz w:val="18"/>
              </w:rPr>
              <w:t>of</w:t>
            </w:r>
            <w:r>
              <w:rPr>
                <w:color w:val="105C84"/>
                <w:sz w:val="18"/>
              </w:rPr>
              <w:t> youth grades 9-12 who</w:t>
            </w:r>
          </w:p>
          <w:p>
            <w:pPr>
              <w:pStyle w:val="TableParagraph"/>
              <w:spacing w:line="232" w:lineRule="auto"/>
              <w:ind w:left="90"/>
              <w:rPr>
                <w:sz w:val="18"/>
              </w:rPr>
            </w:pPr>
            <w:r>
              <w:rPr>
                <w:color w:val="105C84"/>
                <w:sz w:val="18"/>
              </w:rPr>
              <w:t>felt</w:t>
            </w:r>
            <w:r>
              <w:rPr>
                <w:color w:val="105C84"/>
                <w:spacing w:val="-15"/>
                <w:sz w:val="18"/>
              </w:rPr>
              <w:t> </w:t>
            </w:r>
            <w:r>
              <w:rPr>
                <w:color w:val="105C84"/>
                <w:sz w:val="18"/>
              </w:rPr>
              <w:t>sad</w:t>
            </w:r>
            <w:r>
              <w:rPr>
                <w:color w:val="105C84"/>
                <w:spacing w:val="-12"/>
                <w:sz w:val="18"/>
              </w:rPr>
              <w:t> </w:t>
            </w:r>
            <w:r>
              <w:rPr>
                <w:color w:val="105C84"/>
                <w:sz w:val="18"/>
              </w:rPr>
              <w:t>or </w:t>
            </w:r>
            <w:r>
              <w:rPr>
                <w:color w:val="105C84"/>
                <w:spacing w:val="-2"/>
                <w:sz w:val="18"/>
              </w:rPr>
              <w:t>hopeless</w:t>
            </w:r>
          </w:p>
        </w:tc>
        <w:tc>
          <w:tcPr>
            <w:tcW w:w="1066" w:type="dxa"/>
            <w:vMerge w:val="restart"/>
          </w:tcPr>
          <w:p>
            <w:pPr>
              <w:pStyle w:val="TableParagraph"/>
              <w:spacing w:line="232" w:lineRule="auto" w:before="100"/>
              <w:ind w:left="90"/>
              <w:rPr>
                <w:sz w:val="18"/>
              </w:rPr>
            </w:pPr>
            <w:r>
              <w:rPr>
                <w:color w:val="105C84"/>
                <w:sz w:val="18"/>
              </w:rPr>
              <w:t>Low SES </w:t>
            </w:r>
            <w:r>
              <w:rPr>
                <w:color w:val="105C84"/>
                <w:spacing w:val="-2"/>
                <w:sz w:val="18"/>
              </w:rPr>
              <w:t>families (food </w:t>
            </w:r>
            <w:r>
              <w:rPr>
                <w:color w:val="105C84"/>
                <w:spacing w:val="-4"/>
                <w:sz w:val="18"/>
              </w:rPr>
              <w:t>insecurity)</w:t>
            </w:r>
          </w:p>
        </w:tc>
        <w:tc>
          <w:tcPr>
            <w:tcW w:w="1440" w:type="dxa"/>
            <w:vMerge w:val="restart"/>
          </w:tcPr>
          <w:p>
            <w:pPr>
              <w:pStyle w:val="TableParagraph"/>
              <w:spacing w:line="203" w:lineRule="exact" w:before="95"/>
              <w:ind w:left="90"/>
              <w:rPr>
                <w:sz w:val="18"/>
              </w:rPr>
            </w:pPr>
            <w:r>
              <w:rPr>
                <w:color w:val="105C84"/>
                <w:spacing w:val="-2"/>
                <w:sz w:val="18"/>
              </w:rPr>
              <w:t>Intervention</w:t>
            </w:r>
          </w:p>
          <w:p>
            <w:pPr>
              <w:pStyle w:val="TableParagraph"/>
              <w:spacing w:line="232" w:lineRule="auto" w:before="1"/>
              <w:ind w:left="90" w:right="59"/>
              <w:rPr>
                <w:sz w:val="18"/>
              </w:rPr>
            </w:pPr>
            <w:r>
              <w:rPr>
                <w:color w:val="105C84"/>
                <w:sz w:val="18"/>
              </w:rPr>
              <w:t>1.1.3: create and sustain </w:t>
            </w:r>
            <w:r>
              <w:rPr>
                <w:color w:val="105C84"/>
                <w:spacing w:val="-2"/>
                <w:sz w:val="18"/>
              </w:rPr>
              <w:t>inclusive, </w:t>
            </w:r>
            <w:r>
              <w:rPr>
                <w:color w:val="105C84"/>
                <w:sz w:val="18"/>
              </w:rPr>
              <w:t>healthy public spaces: ensure space for </w:t>
            </w:r>
            <w:r>
              <w:rPr>
                <w:color w:val="105C84"/>
                <w:spacing w:val="-4"/>
                <w:sz w:val="18"/>
              </w:rPr>
              <w:t>physical</w:t>
            </w:r>
            <w:r>
              <w:rPr>
                <w:color w:val="105C84"/>
                <w:spacing w:val="-12"/>
                <w:sz w:val="18"/>
              </w:rPr>
              <w:t> </w:t>
            </w:r>
            <w:r>
              <w:rPr>
                <w:color w:val="105C84"/>
                <w:spacing w:val="-4"/>
                <w:sz w:val="18"/>
              </w:rPr>
              <w:t>activity</w:t>
            </w:r>
            <w:r>
              <w:rPr>
                <w:color w:val="105C84"/>
                <w:spacing w:val="-4"/>
                <w:sz w:val="18"/>
              </w:rPr>
              <w:t>,</w:t>
            </w:r>
            <w:r>
              <w:rPr>
                <w:color w:val="105C84"/>
                <w:spacing w:val="-4"/>
                <w:sz w:val="18"/>
              </w:rPr>
              <w:t> </w:t>
            </w:r>
            <w:r>
              <w:rPr>
                <w:color w:val="105C84"/>
                <w:sz w:val="18"/>
              </w:rPr>
              <w:t>food access, sleep;</w:t>
            </w:r>
            <w:r>
              <w:rPr>
                <w:color w:val="105C84"/>
                <w:spacing w:val="-4"/>
                <w:sz w:val="18"/>
              </w:rPr>
              <w:t> </w:t>
            </w:r>
            <w:r>
              <w:rPr>
                <w:color w:val="105C84"/>
                <w:sz w:val="18"/>
              </w:rPr>
              <w:t>civic</w:t>
            </w:r>
            <w:r>
              <w:rPr>
                <w:color w:val="105C84"/>
                <w:spacing w:val="-4"/>
                <w:sz w:val="18"/>
              </w:rPr>
              <w:t> </w:t>
            </w:r>
            <w:r>
              <w:rPr>
                <w:color w:val="105C84"/>
                <w:sz w:val="18"/>
              </w:rPr>
              <w:t>and </w:t>
            </w:r>
            <w:r>
              <w:rPr>
                <w:color w:val="105C84"/>
                <w:spacing w:val="-2"/>
                <w:sz w:val="18"/>
              </w:rPr>
              <w:t>community engagement </w:t>
            </w:r>
            <w:r>
              <w:rPr>
                <w:color w:val="105C84"/>
                <w:sz w:val="18"/>
              </w:rPr>
              <w:t>across the </w:t>
            </w:r>
            <w:r>
              <w:rPr>
                <w:color w:val="105C84"/>
                <w:spacing w:val="-2"/>
                <w:sz w:val="18"/>
              </w:rPr>
              <w:t>lifespan</w:t>
            </w:r>
          </w:p>
        </w:tc>
        <w:tc>
          <w:tcPr>
            <w:tcW w:w="7776" w:type="dxa"/>
          </w:tcPr>
          <w:p>
            <w:pPr>
              <w:pStyle w:val="TableParagraph"/>
              <w:tabs>
                <w:tab w:pos="4565" w:val="left" w:leader="none"/>
              </w:tabs>
              <w:spacing w:line="203" w:lineRule="exact" w:before="95"/>
              <w:ind w:left="90"/>
              <w:rPr>
                <w:sz w:val="18"/>
              </w:rPr>
            </w:pPr>
            <w:r>
              <w:rPr>
                <w:color w:val="105C84"/>
                <w:sz w:val="18"/>
              </w:rPr>
              <w:t>Metrics/Goals</w:t>
            </w:r>
            <w:r>
              <w:rPr>
                <w:color w:val="105C84"/>
                <w:spacing w:val="2"/>
                <w:sz w:val="18"/>
              </w:rPr>
              <w:t> </w:t>
            </w:r>
            <w:r>
              <w:rPr>
                <w:color w:val="105C84"/>
                <w:sz w:val="18"/>
              </w:rPr>
              <w:t>by</w:t>
            </w:r>
            <w:r>
              <w:rPr>
                <w:color w:val="105C84"/>
                <w:spacing w:val="2"/>
                <w:sz w:val="18"/>
              </w:rPr>
              <w:t> </w:t>
            </w:r>
            <w:r>
              <w:rPr>
                <w:color w:val="105C84"/>
                <w:spacing w:val="-2"/>
                <w:sz w:val="18"/>
              </w:rPr>
              <w:t>Year:</w:t>
            </w:r>
            <w:r>
              <w:rPr>
                <w:color w:val="105C84"/>
                <w:sz w:val="18"/>
              </w:rPr>
              <w:tab/>
              <w:t>Promote</w:t>
            </w:r>
            <w:r>
              <w:rPr>
                <w:color w:val="105C84"/>
                <w:spacing w:val="1"/>
                <w:sz w:val="18"/>
              </w:rPr>
              <w:t> </w:t>
            </w:r>
            <w:r>
              <w:rPr>
                <w:color w:val="105C84"/>
                <w:sz w:val="18"/>
              </w:rPr>
              <w:t>food</w:t>
            </w:r>
            <w:r>
              <w:rPr>
                <w:color w:val="105C84"/>
                <w:spacing w:val="1"/>
                <w:sz w:val="18"/>
              </w:rPr>
              <w:t> </w:t>
            </w:r>
            <w:r>
              <w:rPr>
                <w:color w:val="105C84"/>
                <w:sz w:val="18"/>
              </w:rPr>
              <w:t>security</w:t>
            </w:r>
            <w:r>
              <w:rPr>
                <w:color w:val="105C84"/>
                <w:spacing w:val="1"/>
                <w:sz w:val="18"/>
              </w:rPr>
              <w:t> </w:t>
            </w:r>
            <w:r>
              <w:rPr>
                <w:color w:val="105C84"/>
                <w:sz w:val="18"/>
              </w:rPr>
              <w:t>for</w:t>
            </w:r>
            <w:r>
              <w:rPr>
                <w:color w:val="105C84"/>
                <w:spacing w:val="1"/>
                <w:sz w:val="18"/>
              </w:rPr>
              <w:t> </w:t>
            </w:r>
            <w:r>
              <w:rPr>
                <w:color w:val="105C84"/>
                <w:sz w:val="18"/>
              </w:rPr>
              <w:t>children</w:t>
            </w:r>
            <w:r>
              <w:rPr>
                <w:color w:val="105C84"/>
                <w:spacing w:val="2"/>
                <w:sz w:val="18"/>
              </w:rPr>
              <w:t> </w:t>
            </w:r>
            <w:r>
              <w:rPr>
                <w:color w:val="105C84"/>
                <w:spacing w:val="-5"/>
                <w:sz w:val="18"/>
              </w:rPr>
              <w:t>and</w:t>
            </w:r>
          </w:p>
          <w:p>
            <w:pPr>
              <w:pStyle w:val="TableParagraph"/>
              <w:tabs>
                <w:tab w:pos="4565" w:val="left" w:leader="none"/>
              </w:tabs>
              <w:spacing w:line="232" w:lineRule="auto"/>
              <w:ind w:left="90"/>
              <w:rPr>
                <w:sz w:val="18"/>
              </w:rPr>
            </w:pPr>
            <w:r>
              <w:rPr>
                <w:color w:val="105C84"/>
                <w:spacing w:val="-2"/>
                <w:position w:val="-8"/>
                <w:sz w:val="18"/>
              </w:rPr>
              <w:t>Year</w:t>
            </w:r>
            <w:r>
              <w:rPr>
                <w:color w:val="105C84"/>
                <w:spacing w:val="-10"/>
                <w:position w:val="-8"/>
                <w:sz w:val="18"/>
              </w:rPr>
              <w:t> </w:t>
            </w:r>
            <w:r>
              <w:rPr>
                <w:color w:val="105C84"/>
                <w:spacing w:val="-2"/>
                <w:position w:val="-8"/>
                <w:sz w:val="18"/>
              </w:rPr>
              <w:t>1:</w:t>
            </w:r>
            <w:r>
              <w:rPr>
                <w:color w:val="105C84"/>
                <w:spacing w:val="-10"/>
                <w:position w:val="-8"/>
                <w:sz w:val="18"/>
              </w:rPr>
              <w:t> </w:t>
            </w:r>
            <w:r>
              <w:rPr>
                <w:color w:val="105C84"/>
                <w:spacing w:val="-2"/>
                <w:position w:val="-8"/>
                <w:sz w:val="18"/>
              </w:rPr>
              <w:t>successful</w:t>
            </w:r>
            <w:r>
              <w:rPr>
                <w:color w:val="105C84"/>
                <w:spacing w:val="-10"/>
                <w:position w:val="-8"/>
                <w:sz w:val="18"/>
              </w:rPr>
              <w:t> </w:t>
            </w:r>
            <w:r>
              <w:rPr>
                <w:color w:val="105C84"/>
                <w:spacing w:val="-2"/>
                <w:position w:val="-8"/>
                <w:sz w:val="18"/>
              </w:rPr>
              <w:t>creation</w:t>
            </w:r>
            <w:r>
              <w:rPr>
                <w:color w:val="105C84"/>
                <w:spacing w:val="-10"/>
                <w:position w:val="-8"/>
                <w:sz w:val="18"/>
              </w:rPr>
              <w:t> </w:t>
            </w:r>
            <w:r>
              <w:rPr>
                <w:color w:val="105C84"/>
                <w:spacing w:val="-2"/>
                <w:position w:val="-8"/>
                <w:sz w:val="18"/>
              </w:rPr>
              <w:t>of</w:t>
            </w:r>
            <w:r>
              <w:rPr>
                <w:color w:val="105C84"/>
                <w:spacing w:val="-10"/>
                <w:position w:val="-8"/>
                <w:sz w:val="18"/>
              </w:rPr>
              <w:t> a</w:t>
            </w:r>
            <w:r>
              <w:rPr>
                <w:color w:val="105C84"/>
                <w:position w:val="-8"/>
                <w:sz w:val="18"/>
              </w:rPr>
              <w:tab/>
            </w:r>
            <w:r>
              <w:rPr>
                <w:color w:val="105C84"/>
                <w:sz w:val="18"/>
              </w:rPr>
              <w:t>their</w:t>
            </w:r>
            <w:r>
              <w:rPr>
                <w:color w:val="105C84"/>
                <w:spacing w:val="4"/>
                <w:sz w:val="18"/>
              </w:rPr>
              <w:t> </w:t>
            </w:r>
            <w:r>
              <w:rPr>
                <w:color w:val="105C84"/>
                <w:sz w:val="18"/>
              </w:rPr>
              <w:t>families</w:t>
            </w:r>
            <w:r>
              <w:rPr>
                <w:color w:val="105C84"/>
                <w:spacing w:val="4"/>
                <w:sz w:val="18"/>
              </w:rPr>
              <w:t> </w:t>
            </w:r>
            <w:r>
              <w:rPr>
                <w:color w:val="105C84"/>
                <w:sz w:val="18"/>
              </w:rPr>
              <w:t>through</w:t>
            </w:r>
            <w:r>
              <w:rPr>
                <w:color w:val="105C84"/>
                <w:spacing w:val="4"/>
                <w:sz w:val="18"/>
              </w:rPr>
              <w:t> </w:t>
            </w:r>
            <w:r>
              <w:rPr>
                <w:color w:val="105C84"/>
                <w:sz w:val="18"/>
              </w:rPr>
              <w:t>the</w:t>
            </w:r>
            <w:r>
              <w:rPr>
                <w:color w:val="105C84"/>
                <w:spacing w:val="4"/>
                <w:sz w:val="18"/>
              </w:rPr>
              <w:t> </w:t>
            </w:r>
            <w:r>
              <w:rPr>
                <w:color w:val="105C84"/>
                <w:spacing w:val="-2"/>
                <w:sz w:val="18"/>
              </w:rPr>
              <w:t>schools</w:t>
            </w:r>
          </w:p>
          <w:p>
            <w:pPr>
              <w:pStyle w:val="TableParagraph"/>
              <w:tabs>
                <w:tab w:pos="4565" w:val="left" w:leader="none"/>
              </w:tabs>
              <w:spacing w:line="200" w:lineRule="exact"/>
              <w:ind w:left="90"/>
              <w:rPr>
                <w:sz w:val="18"/>
              </w:rPr>
            </w:pPr>
            <w:r>
              <w:rPr>
                <w:color w:val="105C84"/>
                <w:sz w:val="18"/>
              </w:rPr>
              <w:t>pantry</w:t>
            </w:r>
            <w:r>
              <w:rPr>
                <w:color w:val="105C84"/>
                <w:spacing w:val="13"/>
                <w:sz w:val="18"/>
              </w:rPr>
              <w:t> </w:t>
            </w:r>
            <w:r>
              <w:rPr>
                <w:color w:val="105C84"/>
                <w:sz w:val="18"/>
              </w:rPr>
              <w:t>toolkit</w:t>
            </w:r>
            <w:r>
              <w:rPr>
                <w:color w:val="105C84"/>
                <w:spacing w:val="13"/>
                <w:sz w:val="18"/>
              </w:rPr>
              <w:t> </w:t>
            </w:r>
            <w:r>
              <w:rPr>
                <w:color w:val="105C84"/>
                <w:sz w:val="18"/>
              </w:rPr>
              <w:t>within</w:t>
            </w:r>
            <w:r>
              <w:rPr>
                <w:color w:val="105C84"/>
                <w:spacing w:val="13"/>
                <w:sz w:val="18"/>
              </w:rPr>
              <w:t> </w:t>
            </w:r>
            <w:r>
              <w:rPr>
                <w:color w:val="105C84"/>
                <w:spacing w:val="-4"/>
                <w:sz w:val="18"/>
              </w:rPr>
              <w:t>2019</w:t>
            </w:r>
            <w:r>
              <w:rPr>
                <w:color w:val="105C84"/>
                <w:sz w:val="18"/>
              </w:rPr>
              <w:tab/>
            </w:r>
            <w:r>
              <w:rPr>
                <w:color w:val="105C84"/>
                <w:spacing w:val="-2"/>
                <w:sz w:val="18"/>
              </w:rPr>
              <w:t>Assist</w:t>
            </w:r>
            <w:r>
              <w:rPr>
                <w:color w:val="105C84"/>
                <w:spacing w:val="-3"/>
                <w:sz w:val="18"/>
              </w:rPr>
              <w:t> </w:t>
            </w:r>
            <w:r>
              <w:rPr>
                <w:color w:val="105C84"/>
                <w:spacing w:val="-2"/>
                <w:sz w:val="18"/>
              </w:rPr>
              <w:t>Community</w:t>
            </w:r>
            <w:r>
              <w:rPr>
                <w:color w:val="105C84"/>
                <w:spacing w:val="-3"/>
                <w:sz w:val="18"/>
              </w:rPr>
              <w:t> </w:t>
            </w:r>
            <w:r>
              <w:rPr>
                <w:color w:val="105C84"/>
                <w:spacing w:val="-2"/>
                <w:sz w:val="18"/>
              </w:rPr>
              <w:t>Schools</w:t>
            </w:r>
            <w:r>
              <w:rPr>
                <w:color w:val="105C84"/>
                <w:spacing w:val="-3"/>
                <w:sz w:val="18"/>
              </w:rPr>
              <w:t> </w:t>
            </w:r>
            <w:r>
              <w:rPr>
                <w:color w:val="105C84"/>
                <w:spacing w:val="-2"/>
                <w:sz w:val="18"/>
              </w:rPr>
              <w:t>Director,</w:t>
            </w:r>
          </w:p>
          <w:p>
            <w:pPr>
              <w:pStyle w:val="TableParagraph"/>
              <w:tabs>
                <w:tab w:pos="4565" w:val="left" w:leader="none"/>
              </w:tabs>
              <w:spacing w:line="148" w:lineRule="auto" w:before="25"/>
              <w:ind w:left="90"/>
              <w:rPr>
                <w:sz w:val="18"/>
              </w:rPr>
            </w:pPr>
            <w:r>
              <w:rPr>
                <w:color w:val="105C84"/>
                <w:position w:val="-8"/>
                <w:sz w:val="18"/>
              </w:rPr>
              <w:t>Year</w:t>
            </w:r>
            <w:r>
              <w:rPr>
                <w:color w:val="105C84"/>
                <w:spacing w:val="-11"/>
                <w:position w:val="-8"/>
                <w:sz w:val="18"/>
              </w:rPr>
              <w:t> </w:t>
            </w:r>
            <w:r>
              <w:rPr>
                <w:color w:val="105C84"/>
                <w:position w:val="-8"/>
                <w:sz w:val="18"/>
              </w:rPr>
              <w:t>2:</w:t>
            </w:r>
            <w:r>
              <w:rPr>
                <w:color w:val="105C84"/>
                <w:spacing w:val="-11"/>
                <w:position w:val="-8"/>
                <w:sz w:val="18"/>
              </w:rPr>
              <w:t> </w:t>
            </w:r>
            <w:r>
              <w:rPr>
                <w:color w:val="105C84"/>
                <w:position w:val="-8"/>
                <w:sz w:val="18"/>
              </w:rPr>
              <w:t>4+</w:t>
            </w:r>
            <w:r>
              <w:rPr>
                <w:color w:val="105C84"/>
                <w:spacing w:val="-11"/>
                <w:position w:val="-8"/>
                <w:sz w:val="18"/>
              </w:rPr>
              <w:t> </w:t>
            </w:r>
            <w:r>
              <w:rPr>
                <w:color w:val="105C84"/>
                <w:position w:val="-8"/>
                <w:sz w:val="18"/>
              </w:rPr>
              <w:t>unified</w:t>
            </w:r>
            <w:r>
              <w:rPr>
                <w:color w:val="105C84"/>
                <w:spacing w:val="-11"/>
                <w:position w:val="-8"/>
                <w:sz w:val="18"/>
              </w:rPr>
              <w:t> </w:t>
            </w:r>
            <w:r>
              <w:rPr>
                <w:color w:val="105C84"/>
                <w:spacing w:val="-2"/>
                <w:position w:val="-8"/>
                <w:sz w:val="18"/>
              </w:rPr>
              <w:t>messages,</w:t>
            </w:r>
            <w:r>
              <w:rPr>
                <w:color w:val="105C84"/>
                <w:position w:val="-8"/>
                <w:sz w:val="18"/>
              </w:rPr>
              <w:tab/>
            </w:r>
            <w:r>
              <w:rPr>
                <w:color w:val="105C84"/>
                <w:sz w:val="18"/>
              </w:rPr>
              <w:t>serving</w:t>
            </w:r>
            <w:r>
              <w:rPr>
                <w:color w:val="105C84"/>
                <w:spacing w:val="-10"/>
                <w:sz w:val="18"/>
              </w:rPr>
              <w:t> </w:t>
            </w:r>
            <w:r>
              <w:rPr>
                <w:color w:val="105C84"/>
                <w:sz w:val="18"/>
              </w:rPr>
              <w:t>4</w:t>
            </w:r>
            <w:r>
              <w:rPr>
                <w:color w:val="105C84"/>
                <w:spacing w:val="-10"/>
                <w:sz w:val="18"/>
              </w:rPr>
              <w:t> </w:t>
            </w:r>
            <w:r>
              <w:rPr>
                <w:color w:val="105C84"/>
                <w:sz w:val="18"/>
              </w:rPr>
              <w:t>districts</w:t>
            </w:r>
            <w:r>
              <w:rPr>
                <w:color w:val="105C84"/>
                <w:spacing w:val="-10"/>
                <w:sz w:val="18"/>
              </w:rPr>
              <w:t> </w:t>
            </w:r>
            <w:r>
              <w:rPr>
                <w:color w:val="105C84"/>
                <w:sz w:val="18"/>
              </w:rPr>
              <w:t>(Sodus,</w:t>
            </w:r>
            <w:r>
              <w:rPr>
                <w:color w:val="105C84"/>
                <w:spacing w:val="-10"/>
                <w:sz w:val="18"/>
              </w:rPr>
              <w:t> </w:t>
            </w:r>
            <w:r>
              <w:rPr>
                <w:color w:val="105C84"/>
                <w:sz w:val="18"/>
              </w:rPr>
              <w:t>North</w:t>
            </w:r>
            <w:r>
              <w:rPr>
                <w:color w:val="105C84"/>
                <w:spacing w:val="-10"/>
                <w:sz w:val="18"/>
              </w:rPr>
              <w:t> </w:t>
            </w:r>
            <w:r>
              <w:rPr>
                <w:color w:val="105C84"/>
                <w:spacing w:val="-2"/>
                <w:sz w:val="18"/>
              </w:rPr>
              <w:t>Rose-</w:t>
            </w:r>
          </w:p>
          <w:p>
            <w:pPr>
              <w:pStyle w:val="TableParagraph"/>
              <w:tabs>
                <w:tab w:pos="4565" w:val="left" w:leader="none"/>
              </w:tabs>
              <w:spacing w:line="148" w:lineRule="auto"/>
              <w:ind w:left="90"/>
              <w:rPr>
                <w:sz w:val="18"/>
              </w:rPr>
            </w:pPr>
            <w:r>
              <w:rPr>
                <w:color w:val="105C84"/>
                <w:position w:val="-8"/>
                <w:sz w:val="18"/>
              </w:rPr>
              <w:t>letters</w:t>
            </w:r>
            <w:r>
              <w:rPr>
                <w:color w:val="105C84"/>
                <w:spacing w:val="-2"/>
                <w:position w:val="-8"/>
                <w:sz w:val="18"/>
              </w:rPr>
              <w:t> </w:t>
            </w:r>
            <w:r>
              <w:rPr>
                <w:color w:val="105C84"/>
                <w:position w:val="-8"/>
                <w:sz w:val="18"/>
              </w:rPr>
              <w:t>of</w:t>
            </w:r>
            <w:r>
              <w:rPr>
                <w:color w:val="105C84"/>
                <w:spacing w:val="-1"/>
                <w:position w:val="-8"/>
                <w:sz w:val="18"/>
              </w:rPr>
              <w:t> </w:t>
            </w:r>
            <w:r>
              <w:rPr>
                <w:color w:val="105C84"/>
                <w:position w:val="-8"/>
                <w:sz w:val="18"/>
              </w:rPr>
              <w:t>support</w:t>
            </w:r>
            <w:r>
              <w:rPr>
                <w:color w:val="105C84"/>
                <w:spacing w:val="-1"/>
                <w:position w:val="-8"/>
                <w:sz w:val="18"/>
              </w:rPr>
              <w:t> </w:t>
            </w:r>
            <w:r>
              <w:rPr>
                <w:color w:val="105C84"/>
                <w:position w:val="-8"/>
                <w:sz w:val="18"/>
              </w:rPr>
              <w:t>as</w:t>
            </w:r>
            <w:r>
              <w:rPr>
                <w:color w:val="105C84"/>
                <w:spacing w:val="-1"/>
                <w:position w:val="-8"/>
                <w:sz w:val="18"/>
              </w:rPr>
              <w:t> </w:t>
            </w:r>
            <w:r>
              <w:rPr>
                <w:color w:val="105C84"/>
                <w:spacing w:val="-2"/>
                <w:position w:val="-8"/>
                <w:sz w:val="18"/>
              </w:rPr>
              <w:t>requested</w:t>
            </w:r>
            <w:r>
              <w:rPr>
                <w:color w:val="105C84"/>
                <w:position w:val="-8"/>
                <w:sz w:val="18"/>
              </w:rPr>
              <w:tab/>
            </w:r>
            <w:r>
              <w:rPr>
                <w:color w:val="105C84"/>
                <w:spacing w:val="-4"/>
                <w:sz w:val="18"/>
              </w:rPr>
              <w:t>Wolcott,</w:t>
            </w:r>
            <w:r>
              <w:rPr>
                <w:color w:val="105C84"/>
                <w:spacing w:val="8"/>
                <w:sz w:val="18"/>
              </w:rPr>
              <w:t> </w:t>
            </w:r>
            <w:r>
              <w:rPr>
                <w:color w:val="105C84"/>
                <w:spacing w:val="-4"/>
                <w:sz w:val="18"/>
              </w:rPr>
              <w:t>Lyons,</w:t>
            </w:r>
            <w:r>
              <w:rPr>
                <w:color w:val="105C84"/>
                <w:spacing w:val="9"/>
                <w:sz w:val="18"/>
              </w:rPr>
              <w:t> </w:t>
            </w:r>
            <w:r>
              <w:rPr>
                <w:color w:val="105C84"/>
                <w:spacing w:val="-4"/>
                <w:sz w:val="18"/>
              </w:rPr>
              <w:t>Clyde-Savannah),</w:t>
            </w:r>
            <w:r>
              <w:rPr>
                <w:color w:val="105C84"/>
                <w:spacing w:val="8"/>
                <w:sz w:val="18"/>
              </w:rPr>
              <w:t> </w:t>
            </w:r>
            <w:r>
              <w:rPr>
                <w:color w:val="105C84"/>
                <w:spacing w:val="-5"/>
                <w:sz w:val="18"/>
              </w:rPr>
              <w:t>in</w:t>
            </w:r>
          </w:p>
          <w:p>
            <w:pPr>
              <w:pStyle w:val="TableParagraph"/>
              <w:spacing w:line="145" w:lineRule="exact"/>
              <w:ind w:right="367"/>
              <w:jc w:val="right"/>
              <w:rPr>
                <w:sz w:val="18"/>
              </w:rPr>
            </w:pPr>
            <w:r>
              <w:rPr>
                <w:color w:val="105C84"/>
                <w:sz w:val="18"/>
              </w:rPr>
              <w:t>making</w:t>
            </w:r>
            <w:r>
              <w:rPr>
                <w:color w:val="105C84"/>
                <w:spacing w:val="5"/>
                <w:sz w:val="18"/>
              </w:rPr>
              <w:t> </w:t>
            </w:r>
            <w:r>
              <w:rPr>
                <w:color w:val="105C84"/>
                <w:sz w:val="18"/>
              </w:rPr>
              <w:t>the</w:t>
            </w:r>
            <w:r>
              <w:rPr>
                <w:color w:val="105C84"/>
                <w:spacing w:val="5"/>
                <w:sz w:val="18"/>
              </w:rPr>
              <w:t> </w:t>
            </w:r>
            <w:r>
              <w:rPr>
                <w:color w:val="105C84"/>
                <w:sz w:val="18"/>
              </w:rPr>
              <w:t>impact</w:t>
            </w:r>
            <w:r>
              <w:rPr>
                <w:color w:val="105C84"/>
                <w:spacing w:val="5"/>
                <w:sz w:val="18"/>
              </w:rPr>
              <w:t> </w:t>
            </w:r>
            <w:r>
              <w:rPr>
                <w:color w:val="105C84"/>
                <w:sz w:val="18"/>
              </w:rPr>
              <w:t>of</w:t>
            </w:r>
            <w:r>
              <w:rPr>
                <w:color w:val="105C84"/>
                <w:spacing w:val="5"/>
                <w:sz w:val="18"/>
              </w:rPr>
              <w:t> </w:t>
            </w:r>
            <w:r>
              <w:rPr>
                <w:color w:val="105C84"/>
                <w:sz w:val="18"/>
              </w:rPr>
              <w:t>the</w:t>
            </w:r>
            <w:r>
              <w:rPr>
                <w:color w:val="105C84"/>
                <w:spacing w:val="5"/>
                <w:sz w:val="18"/>
              </w:rPr>
              <w:t> </w:t>
            </w:r>
            <w:r>
              <w:rPr>
                <w:color w:val="105C84"/>
                <w:spacing w:val="-2"/>
                <w:sz w:val="18"/>
              </w:rPr>
              <w:t>evidence-</w:t>
            </w:r>
          </w:p>
          <w:p>
            <w:pPr>
              <w:pStyle w:val="TableParagraph"/>
              <w:tabs>
                <w:tab w:pos="4474" w:val="left" w:leader="none"/>
              </w:tabs>
              <w:spacing w:line="200" w:lineRule="exact"/>
              <w:ind w:right="330"/>
              <w:jc w:val="right"/>
              <w:rPr>
                <w:sz w:val="18"/>
              </w:rPr>
            </w:pPr>
            <w:r>
              <w:rPr>
                <w:color w:val="105C84"/>
                <w:position w:val="2"/>
                <w:sz w:val="18"/>
              </w:rPr>
              <w:t>Year</w:t>
            </w:r>
            <w:r>
              <w:rPr>
                <w:color w:val="105C84"/>
                <w:spacing w:val="-11"/>
                <w:position w:val="2"/>
                <w:sz w:val="18"/>
              </w:rPr>
              <w:t> </w:t>
            </w:r>
            <w:r>
              <w:rPr>
                <w:color w:val="105C84"/>
                <w:position w:val="2"/>
                <w:sz w:val="18"/>
              </w:rPr>
              <w:t>3:</w:t>
            </w:r>
            <w:r>
              <w:rPr>
                <w:color w:val="105C84"/>
                <w:spacing w:val="-11"/>
                <w:position w:val="2"/>
                <w:sz w:val="18"/>
              </w:rPr>
              <w:t> </w:t>
            </w:r>
            <w:r>
              <w:rPr>
                <w:color w:val="105C84"/>
                <w:position w:val="2"/>
                <w:sz w:val="18"/>
              </w:rPr>
              <w:t>4+</w:t>
            </w:r>
            <w:r>
              <w:rPr>
                <w:color w:val="105C84"/>
                <w:spacing w:val="-11"/>
                <w:position w:val="2"/>
                <w:sz w:val="18"/>
              </w:rPr>
              <w:t> </w:t>
            </w:r>
            <w:r>
              <w:rPr>
                <w:color w:val="105C84"/>
                <w:position w:val="2"/>
                <w:sz w:val="18"/>
              </w:rPr>
              <w:t>unified</w:t>
            </w:r>
            <w:r>
              <w:rPr>
                <w:color w:val="105C84"/>
                <w:spacing w:val="-11"/>
                <w:position w:val="2"/>
                <w:sz w:val="18"/>
              </w:rPr>
              <w:t> </w:t>
            </w:r>
            <w:r>
              <w:rPr>
                <w:color w:val="105C84"/>
                <w:spacing w:val="-2"/>
                <w:position w:val="2"/>
                <w:sz w:val="18"/>
              </w:rPr>
              <w:t>messages,</w:t>
            </w:r>
            <w:r>
              <w:rPr>
                <w:color w:val="105C84"/>
                <w:position w:val="2"/>
                <w:sz w:val="18"/>
              </w:rPr>
              <w:tab/>
            </w:r>
            <w:r>
              <w:rPr>
                <w:color w:val="105C84"/>
                <w:sz w:val="18"/>
              </w:rPr>
              <w:t>based</w:t>
            </w:r>
            <w:r>
              <w:rPr>
                <w:color w:val="105C84"/>
                <w:spacing w:val="-12"/>
                <w:sz w:val="18"/>
              </w:rPr>
              <w:t> </w:t>
            </w:r>
            <w:r>
              <w:rPr>
                <w:color w:val="105C84"/>
                <w:sz w:val="18"/>
              </w:rPr>
              <w:t>Community</w:t>
            </w:r>
            <w:r>
              <w:rPr>
                <w:color w:val="105C84"/>
                <w:spacing w:val="-11"/>
                <w:sz w:val="18"/>
              </w:rPr>
              <w:t> </w:t>
            </w:r>
            <w:r>
              <w:rPr>
                <w:color w:val="105C84"/>
                <w:sz w:val="18"/>
              </w:rPr>
              <w:t>Schools</w:t>
            </w:r>
            <w:r>
              <w:rPr>
                <w:color w:val="105C84"/>
                <w:spacing w:val="-11"/>
                <w:sz w:val="18"/>
              </w:rPr>
              <w:t> </w:t>
            </w:r>
            <w:r>
              <w:rPr>
                <w:color w:val="105C84"/>
                <w:spacing w:val="-2"/>
                <w:sz w:val="18"/>
              </w:rPr>
              <w:t>program</w:t>
            </w:r>
          </w:p>
          <w:p>
            <w:pPr>
              <w:pStyle w:val="TableParagraph"/>
              <w:tabs>
                <w:tab w:pos="4565" w:val="left" w:leader="none"/>
              </w:tabs>
              <w:spacing w:line="232" w:lineRule="auto"/>
              <w:ind w:left="4565" w:right="234" w:hanging="4475"/>
              <w:rPr>
                <w:sz w:val="18"/>
              </w:rPr>
            </w:pPr>
            <w:r>
              <w:rPr>
                <w:color w:val="105C84"/>
                <w:position w:val="2"/>
                <w:sz w:val="18"/>
              </w:rPr>
              <w:t>letters of support as requested</w:t>
              <w:tab/>
            </w:r>
            <w:r>
              <w:rPr>
                <w:color w:val="105C84"/>
                <w:sz w:val="18"/>
              </w:rPr>
              <w:t>sustainable beyond the grant period and replicable in other Wayne</w:t>
            </w:r>
            <w:r>
              <w:rPr>
                <w:color w:val="105C84"/>
                <w:spacing w:val="40"/>
                <w:sz w:val="18"/>
              </w:rPr>
              <w:t> </w:t>
            </w:r>
            <w:r>
              <w:rPr>
                <w:color w:val="105C84"/>
                <w:sz w:val="18"/>
              </w:rPr>
              <w:t>County</w:t>
            </w:r>
            <w:r>
              <w:rPr>
                <w:color w:val="105C84"/>
                <w:spacing w:val="-11"/>
                <w:sz w:val="18"/>
              </w:rPr>
              <w:t> </w:t>
            </w:r>
            <w:r>
              <w:rPr>
                <w:color w:val="105C84"/>
                <w:sz w:val="18"/>
              </w:rPr>
              <w:t>school</w:t>
            </w:r>
            <w:r>
              <w:rPr>
                <w:color w:val="105C84"/>
                <w:spacing w:val="-11"/>
                <w:sz w:val="18"/>
              </w:rPr>
              <w:t> </w:t>
            </w:r>
            <w:r>
              <w:rPr>
                <w:color w:val="105C84"/>
                <w:sz w:val="18"/>
              </w:rPr>
              <w:t>districts</w:t>
            </w:r>
            <w:r>
              <w:rPr>
                <w:color w:val="105C84"/>
                <w:spacing w:val="-11"/>
                <w:sz w:val="18"/>
              </w:rPr>
              <w:t> </w:t>
            </w:r>
            <w:r>
              <w:rPr>
                <w:color w:val="105C84"/>
                <w:sz w:val="18"/>
              </w:rPr>
              <w:t>by</w:t>
            </w:r>
            <w:r>
              <w:rPr>
                <w:color w:val="105C84"/>
                <w:spacing w:val="-11"/>
                <w:sz w:val="18"/>
              </w:rPr>
              <w:t> </w:t>
            </w:r>
            <w:r>
              <w:rPr>
                <w:color w:val="105C84"/>
                <w:sz w:val="18"/>
              </w:rPr>
              <w:t>assisting</w:t>
            </w:r>
            <w:r>
              <w:rPr>
                <w:color w:val="105C84"/>
                <w:spacing w:val="-11"/>
                <w:sz w:val="18"/>
              </w:rPr>
              <w:t> </w:t>
            </w:r>
            <w:r>
              <w:rPr>
                <w:color w:val="105C84"/>
                <w:sz w:val="18"/>
              </w:rPr>
              <w:t>in developing a food pantry toolkit to create a path for schools to improve food security for students</w:t>
            </w:r>
          </w:p>
          <w:p>
            <w:pPr>
              <w:pStyle w:val="TableParagraph"/>
              <w:spacing w:line="232" w:lineRule="auto" w:before="58"/>
              <w:ind w:left="4565" w:right="234"/>
              <w:rPr>
                <w:sz w:val="18"/>
              </w:rPr>
            </w:pPr>
            <w:r>
              <w:rPr>
                <w:color w:val="105C84"/>
                <w:sz w:val="18"/>
              </w:rPr>
              <w:t>WHIP agencies (including Public Health, Aging &amp; Youth, CCE, Wayne CAP, school districts) to assist with promotion of food drives to stock </w:t>
            </w:r>
            <w:r>
              <w:rPr>
                <w:color w:val="105C84"/>
                <w:sz w:val="18"/>
              </w:rPr>
              <w:t>the pantry as requested</w:t>
            </w:r>
          </w:p>
          <w:p>
            <w:pPr>
              <w:pStyle w:val="TableParagraph"/>
              <w:spacing w:line="232" w:lineRule="auto" w:before="86"/>
              <w:ind w:left="4565" w:right="102"/>
              <w:rPr>
                <w:sz w:val="18"/>
              </w:rPr>
            </w:pPr>
            <w:r>
              <w:rPr>
                <w:color w:val="105C84"/>
                <w:w w:val="105"/>
                <w:sz w:val="18"/>
              </w:rPr>
              <w:t>Note: Multiple types of unified messages may be appropriate to go home in student backpacks; school </w:t>
            </w:r>
            <w:r>
              <w:rPr>
                <w:color w:val="105C84"/>
                <w:sz w:val="18"/>
              </w:rPr>
              <w:t>food pantries may eventually serve as referral</w:t>
            </w:r>
            <w:r>
              <w:rPr>
                <w:color w:val="105C84"/>
                <w:spacing w:val="-13"/>
                <w:sz w:val="18"/>
              </w:rPr>
              <w:t> </w:t>
            </w:r>
            <w:r>
              <w:rPr>
                <w:color w:val="105C84"/>
                <w:sz w:val="18"/>
              </w:rPr>
              <w:t>access</w:t>
            </w:r>
            <w:r>
              <w:rPr>
                <w:color w:val="105C84"/>
                <w:spacing w:val="-12"/>
                <w:sz w:val="18"/>
              </w:rPr>
              <w:t> </w:t>
            </w:r>
            <w:r>
              <w:rPr>
                <w:color w:val="105C84"/>
                <w:sz w:val="18"/>
              </w:rPr>
              <w:t>points</w:t>
            </w:r>
            <w:r>
              <w:rPr>
                <w:color w:val="105C84"/>
                <w:spacing w:val="-13"/>
                <w:sz w:val="18"/>
              </w:rPr>
              <w:t> </w:t>
            </w:r>
            <w:r>
              <w:rPr>
                <w:color w:val="105C84"/>
                <w:sz w:val="18"/>
              </w:rPr>
              <w:t>for</w:t>
            </w:r>
            <w:r>
              <w:rPr>
                <w:color w:val="105C84"/>
                <w:spacing w:val="-12"/>
                <w:sz w:val="18"/>
              </w:rPr>
              <w:t> </w:t>
            </w:r>
            <w:r>
              <w:rPr>
                <w:color w:val="105C84"/>
                <w:sz w:val="18"/>
              </w:rPr>
              <w:t>other</w:t>
            </w:r>
            <w:r>
              <w:rPr>
                <w:color w:val="105C84"/>
                <w:spacing w:val="-13"/>
                <w:sz w:val="18"/>
              </w:rPr>
              <w:t> </w:t>
            </w:r>
            <w:r>
              <w:rPr>
                <w:color w:val="105C84"/>
                <w:sz w:val="18"/>
              </w:rPr>
              <w:t>services</w:t>
            </w:r>
          </w:p>
        </w:tc>
        <w:tc>
          <w:tcPr>
            <w:tcW w:w="1901" w:type="dxa"/>
          </w:tcPr>
          <w:p>
            <w:pPr>
              <w:pStyle w:val="TableParagraph"/>
              <w:spacing w:line="232" w:lineRule="auto" w:before="99"/>
              <w:ind w:left="90" w:right="187"/>
              <w:rPr>
                <w:sz w:val="18"/>
              </w:rPr>
            </w:pPr>
            <w:r>
              <w:rPr>
                <w:color w:val="105C84"/>
                <w:sz w:val="18"/>
              </w:rPr>
              <w:t>Continue</w:t>
            </w:r>
            <w:r>
              <w:rPr>
                <w:color w:val="105C84"/>
                <w:spacing w:val="2"/>
                <w:sz w:val="18"/>
              </w:rPr>
              <w:t> </w:t>
            </w:r>
            <w:r>
              <w:rPr>
                <w:color w:val="105C84"/>
                <w:sz w:val="18"/>
              </w:rPr>
              <w:t>to</w:t>
            </w:r>
            <w:r>
              <w:rPr>
                <w:color w:val="105C84"/>
                <w:spacing w:val="80"/>
                <w:w w:val="150"/>
                <w:sz w:val="18"/>
              </w:rPr>
              <w:t> </w:t>
            </w:r>
            <w:r>
              <w:rPr>
                <w:color w:val="105C84"/>
                <w:sz w:val="18"/>
              </w:rPr>
              <w:t>support</w:t>
            </w:r>
            <w:r>
              <w:rPr>
                <w:color w:val="105C84"/>
                <w:spacing w:val="-4"/>
                <w:sz w:val="18"/>
              </w:rPr>
              <w:t> </w:t>
            </w:r>
            <w:r>
              <w:rPr>
                <w:color w:val="105C84"/>
                <w:sz w:val="18"/>
              </w:rPr>
              <w:t>elements</w:t>
            </w:r>
            <w:r>
              <w:rPr>
                <w:color w:val="105C84"/>
                <w:spacing w:val="-4"/>
                <w:sz w:val="18"/>
              </w:rPr>
              <w:t> </w:t>
            </w:r>
            <w:r>
              <w:rPr>
                <w:color w:val="105C84"/>
                <w:sz w:val="18"/>
              </w:rPr>
              <w:t>of community schools which address</w:t>
            </w:r>
          </w:p>
          <w:p>
            <w:pPr>
              <w:pStyle w:val="TableParagraph"/>
              <w:spacing w:line="232" w:lineRule="auto"/>
              <w:ind w:left="90" w:right="154"/>
              <w:rPr>
                <w:sz w:val="18"/>
              </w:rPr>
            </w:pPr>
            <w:r>
              <w:rPr>
                <w:color w:val="105C84"/>
                <w:sz w:val="18"/>
              </w:rPr>
              <w:t>food insecurity by providing unified messaging around food drives and letters of support </w:t>
            </w:r>
            <w:r>
              <w:rPr>
                <w:color w:val="105C84"/>
                <w:sz w:val="18"/>
              </w:rPr>
              <w:t>for continued funding, as applicable</w:t>
            </w:r>
          </w:p>
          <w:p>
            <w:pPr>
              <w:pStyle w:val="TableParagraph"/>
              <w:spacing w:line="232" w:lineRule="auto" w:before="81"/>
              <w:ind w:left="90"/>
              <w:rPr>
                <w:sz w:val="18"/>
              </w:rPr>
            </w:pPr>
            <w:r>
              <w:rPr>
                <w:color w:val="105C84"/>
                <w:sz w:val="18"/>
              </w:rPr>
              <w:t>At least 4 unified messages</w:t>
            </w:r>
            <w:r>
              <w:rPr>
                <w:color w:val="105C84"/>
                <w:spacing w:val="-12"/>
                <w:sz w:val="18"/>
              </w:rPr>
              <w:t> </w:t>
            </w:r>
            <w:r>
              <w:rPr>
                <w:color w:val="105C84"/>
                <w:sz w:val="18"/>
              </w:rPr>
              <w:t>per</w:t>
            </w:r>
            <w:r>
              <w:rPr>
                <w:color w:val="105C84"/>
                <w:spacing w:val="-12"/>
                <w:sz w:val="18"/>
              </w:rPr>
              <w:t> </w:t>
            </w:r>
            <w:r>
              <w:rPr>
                <w:color w:val="105C84"/>
                <w:sz w:val="18"/>
              </w:rPr>
              <w:t>year, letters</w:t>
            </w:r>
            <w:r>
              <w:rPr>
                <w:color w:val="105C84"/>
                <w:spacing w:val="-10"/>
                <w:sz w:val="18"/>
              </w:rPr>
              <w:t> </w:t>
            </w:r>
            <w:r>
              <w:rPr>
                <w:color w:val="105C84"/>
                <w:sz w:val="18"/>
              </w:rPr>
              <w:t>of</w:t>
            </w:r>
            <w:r>
              <w:rPr>
                <w:color w:val="105C84"/>
                <w:spacing w:val="-8"/>
                <w:sz w:val="18"/>
              </w:rPr>
              <w:t> </w:t>
            </w:r>
            <w:r>
              <w:rPr>
                <w:color w:val="105C84"/>
                <w:sz w:val="18"/>
              </w:rPr>
              <w:t>support</w:t>
            </w:r>
            <w:r>
              <w:rPr>
                <w:color w:val="105C84"/>
                <w:spacing w:val="-8"/>
                <w:sz w:val="18"/>
              </w:rPr>
              <w:t> </w:t>
            </w:r>
            <w:r>
              <w:rPr>
                <w:color w:val="105C84"/>
                <w:sz w:val="18"/>
              </w:rPr>
              <w:t>as </w:t>
            </w:r>
            <w:r>
              <w:rPr>
                <w:color w:val="105C84"/>
                <w:spacing w:val="-2"/>
                <w:sz w:val="18"/>
              </w:rPr>
              <w:t>requested</w:t>
            </w:r>
          </w:p>
          <w:p>
            <w:pPr>
              <w:pStyle w:val="TableParagraph"/>
              <w:spacing w:line="232" w:lineRule="auto" w:before="87"/>
              <w:ind w:left="90" w:right="73"/>
              <w:rPr>
                <w:sz w:val="18"/>
              </w:rPr>
            </w:pPr>
            <w:r>
              <w:rPr>
                <w:color w:val="105C84"/>
                <w:sz w:val="18"/>
              </w:rPr>
              <w:t>Agencies: Public Health, Aging &amp; </w:t>
            </w:r>
            <w:r>
              <w:rPr>
                <w:color w:val="105C84"/>
                <w:spacing w:val="-4"/>
                <w:sz w:val="18"/>
              </w:rPr>
              <w:t>Youth,</w:t>
            </w:r>
            <w:r>
              <w:rPr>
                <w:color w:val="105C84"/>
                <w:spacing w:val="-11"/>
                <w:sz w:val="18"/>
              </w:rPr>
              <w:t> </w:t>
            </w:r>
            <w:r>
              <w:rPr>
                <w:color w:val="105C84"/>
                <w:spacing w:val="-4"/>
                <w:sz w:val="18"/>
              </w:rPr>
              <w:t>WCRHN,</w:t>
            </w:r>
            <w:r>
              <w:rPr>
                <w:color w:val="105C84"/>
                <w:spacing w:val="-8"/>
                <w:sz w:val="18"/>
              </w:rPr>
              <w:t> </w:t>
            </w:r>
            <w:r>
              <w:rPr>
                <w:color w:val="105C84"/>
                <w:spacing w:val="-4"/>
                <w:sz w:val="18"/>
              </w:rPr>
              <w:t>CCE,</w:t>
            </w:r>
          </w:p>
          <w:p>
            <w:pPr>
              <w:pStyle w:val="TableParagraph"/>
              <w:spacing w:line="232" w:lineRule="auto"/>
              <w:ind w:left="90" w:right="141"/>
              <w:rPr>
                <w:sz w:val="18"/>
              </w:rPr>
            </w:pPr>
            <w:r>
              <w:rPr>
                <w:color w:val="105C84"/>
                <w:sz w:val="18"/>
              </w:rPr>
              <w:t>participating school </w:t>
            </w:r>
            <w:r>
              <w:rPr>
                <w:color w:val="105C84"/>
                <w:spacing w:val="-2"/>
                <w:sz w:val="18"/>
              </w:rPr>
              <w:t>districts, Wayne</w:t>
            </w:r>
            <w:r>
              <w:rPr>
                <w:color w:val="105C84"/>
                <w:spacing w:val="-1"/>
                <w:sz w:val="18"/>
              </w:rPr>
              <w:t> </w:t>
            </w:r>
            <w:r>
              <w:rPr>
                <w:color w:val="105C84"/>
                <w:spacing w:val="-6"/>
                <w:sz w:val="18"/>
              </w:rPr>
              <w:t>CAP</w:t>
            </w:r>
          </w:p>
        </w:tc>
        <w:tc>
          <w:tcPr>
            <w:tcW w:w="2009" w:type="dxa"/>
          </w:tcPr>
          <w:p>
            <w:pPr>
              <w:pStyle w:val="TableParagraph"/>
              <w:spacing w:line="232" w:lineRule="auto" w:before="99"/>
              <w:ind w:left="90" w:right="296"/>
              <w:rPr>
                <w:sz w:val="18"/>
              </w:rPr>
            </w:pPr>
            <w:r>
              <w:rPr>
                <w:color w:val="105C84"/>
                <w:sz w:val="18"/>
              </w:rPr>
              <w:t>Continue</w:t>
            </w:r>
            <w:r>
              <w:rPr>
                <w:color w:val="105C84"/>
                <w:spacing w:val="1"/>
                <w:sz w:val="18"/>
              </w:rPr>
              <w:t> </w:t>
            </w:r>
            <w:r>
              <w:rPr>
                <w:color w:val="105C84"/>
                <w:sz w:val="18"/>
              </w:rPr>
              <w:t>to</w:t>
            </w:r>
            <w:r>
              <w:rPr>
                <w:color w:val="105C84"/>
                <w:spacing w:val="80"/>
                <w:w w:val="150"/>
                <w:sz w:val="18"/>
              </w:rPr>
              <w:t> </w:t>
            </w:r>
            <w:r>
              <w:rPr>
                <w:color w:val="105C84"/>
                <w:sz w:val="18"/>
              </w:rPr>
              <w:t>support</w:t>
            </w:r>
            <w:r>
              <w:rPr>
                <w:color w:val="105C84"/>
                <w:spacing w:val="-5"/>
                <w:sz w:val="18"/>
              </w:rPr>
              <w:t> </w:t>
            </w:r>
            <w:r>
              <w:rPr>
                <w:color w:val="105C84"/>
                <w:sz w:val="18"/>
              </w:rPr>
              <w:t>elements</w:t>
            </w:r>
            <w:r>
              <w:rPr>
                <w:color w:val="105C84"/>
                <w:spacing w:val="-5"/>
                <w:sz w:val="18"/>
              </w:rPr>
              <w:t> </w:t>
            </w:r>
            <w:r>
              <w:rPr>
                <w:color w:val="105C84"/>
                <w:sz w:val="18"/>
              </w:rPr>
              <w:t>of community schools which address food</w:t>
            </w:r>
          </w:p>
          <w:p>
            <w:pPr>
              <w:pStyle w:val="TableParagraph"/>
              <w:spacing w:line="232" w:lineRule="auto"/>
              <w:ind w:left="90" w:right="48"/>
              <w:rPr>
                <w:sz w:val="18"/>
              </w:rPr>
            </w:pPr>
            <w:r>
              <w:rPr>
                <w:color w:val="105C84"/>
                <w:sz w:val="18"/>
              </w:rPr>
              <w:t>insecurity,</w:t>
            </w:r>
            <w:r>
              <w:rPr>
                <w:color w:val="105C84"/>
                <w:spacing w:val="-15"/>
                <w:sz w:val="18"/>
              </w:rPr>
              <w:t> </w:t>
            </w:r>
            <w:r>
              <w:rPr>
                <w:color w:val="105C84"/>
                <w:sz w:val="18"/>
              </w:rPr>
              <w:t>by</w:t>
            </w:r>
            <w:r>
              <w:rPr>
                <w:color w:val="105C84"/>
                <w:spacing w:val="-12"/>
                <w:sz w:val="18"/>
              </w:rPr>
              <w:t> </w:t>
            </w:r>
            <w:r>
              <w:rPr>
                <w:color w:val="105C84"/>
                <w:sz w:val="18"/>
              </w:rPr>
              <w:t>providing </w:t>
            </w:r>
            <w:r>
              <w:rPr>
                <w:color w:val="105C84"/>
                <w:w w:val="105"/>
                <w:sz w:val="18"/>
              </w:rPr>
              <w:t>unified</w:t>
            </w:r>
            <w:r>
              <w:rPr>
                <w:color w:val="105C84"/>
                <w:spacing w:val="-1"/>
                <w:w w:val="105"/>
                <w:sz w:val="18"/>
              </w:rPr>
              <w:t> </w:t>
            </w:r>
            <w:r>
              <w:rPr>
                <w:color w:val="105C84"/>
                <w:w w:val="105"/>
                <w:sz w:val="18"/>
              </w:rPr>
              <w:t>messaging around food drives and letters of support for</w:t>
            </w:r>
            <w:r>
              <w:rPr>
                <w:color w:val="105C84"/>
                <w:spacing w:val="-14"/>
                <w:w w:val="105"/>
                <w:sz w:val="18"/>
              </w:rPr>
              <w:t> </w:t>
            </w:r>
            <w:r>
              <w:rPr>
                <w:color w:val="105C84"/>
                <w:w w:val="105"/>
                <w:sz w:val="18"/>
              </w:rPr>
              <w:t>continued</w:t>
            </w:r>
            <w:r>
              <w:rPr>
                <w:color w:val="105C84"/>
                <w:spacing w:val="-13"/>
                <w:w w:val="105"/>
                <w:sz w:val="18"/>
              </w:rPr>
              <w:t> </w:t>
            </w:r>
            <w:r>
              <w:rPr>
                <w:color w:val="105C84"/>
                <w:w w:val="105"/>
                <w:sz w:val="18"/>
              </w:rPr>
              <w:t>funding, as</w:t>
            </w:r>
            <w:r>
              <w:rPr>
                <w:color w:val="105C84"/>
                <w:spacing w:val="-1"/>
                <w:w w:val="105"/>
                <w:sz w:val="18"/>
              </w:rPr>
              <w:t> </w:t>
            </w:r>
            <w:r>
              <w:rPr>
                <w:color w:val="105C84"/>
                <w:w w:val="105"/>
                <w:sz w:val="18"/>
              </w:rPr>
              <w:t>applicable</w:t>
            </w:r>
          </w:p>
          <w:p>
            <w:pPr>
              <w:pStyle w:val="TableParagraph"/>
              <w:spacing w:line="232" w:lineRule="auto" w:before="82"/>
              <w:ind w:left="90" w:right="296"/>
              <w:rPr>
                <w:sz w:val="18"/>
              </w:rPr>
            </w:pPr>
            <w:r>
              <w:rPr>
                <w:color w:val="105C84"/>
                <w:sz w:val="18"/>
              </w:rPr>
              <w:t>At least 4 unified messages</w:t>
            </w:r>
            <w:r>
              <w:rPr>
                <w:color w:val="105C84"/>
                <w:spacing w:val="-12"/>
                <w:sz w:val="18"/>
              </w:rPr>
              <w:t> </w:t>
            </w:r>
            <w:r>
              <w:rPr>
                <w:color w:val="105C84"/>
                <w:sz w:val="18"/>
              </w:rPr>
              <w:t>per</w:t>
            </w:r>
            <w:r>
              <w:rPr>
                <w:color w:val="105C84"/>
                <w:spacing w:val="-12"/>
                <w:sz w:val="18"/>
              </w:rPr>
              <w:t> </w:t>
            </w:r>
            <w:r>
              <w:rPr>
                <w:color w:val="105C84"/>
                <w:sz w:val="18"/>
              </w:rPr>
              <w:t>year, letters</w:t>
            </w:r>
            <w:r>
              <w:rPr>
                <w:color w:val="105C84"/>
                <w:spacing w:val="-10"/>
                <w:sz w:val="18"/>
              </w:rPr>
              <w:t> </w:t>
            </w:r>
            <w:r>
              <w:rPr>
                <w:color w:val="105C84"/>
                <w:sz w:val="18"/>
              </w:rPr>
              <w:t>of</w:t>
            </w:r>
            <w:r>
              <w:rPr>
                <w:color w:val="105C84"/>
                <w:spacing w:val="-8"/>
                <w:sz w:val="18"/>
              </w:rPr>
              <w:t> </w:t>
            </w:r>
            <w:r>
              <w:rPr>
                <w:color w:val="105C84"/>
                <w:sz w:val="18"/>
              </w:rPr>
              <w:t>support</w:t>
            </w:r>
            <w:r>
              <w:rPr>
                <w:color w:val="105C84"/>
                <w:spacing w:val="-8"/>
                <w:sz w:val="18"/>
              </w:rPr>
              <w:t> </w:t>
            </w:r>
            <w:r>
              <w:rPr>
                <w:color w:val="105C84"/>
                <w:sz w:val="18"/>
              </w:rPr>
              <w:t>as </w:t>
            </w:r>
            <w:r>
              <w:rPr>
                <w:color w:val="105C84"/>
                <w:spacing w:val="-2"/>
                <w:sz w:val="18"/>
              </w:rPr>
              <w:t>requested</w:t>
            </w:r>
          </w:p>
          <w:p>
            <w:pPr>
              <w:pStyle w:val="TableParagraph"/>
              <w:spacing w:line="232" w:lineRule="auto" w:before="87"/>
              <w:ind w:left="90" w:right="393"/>
              <w:rPr>
                <w:sz w:val="18"/>
              </w:rPr>
            </w:pPr>
            <w:r>
              <w:rPr>
                <w:color w:val="105C84"/>
                <w:spacing w:val="-2"/>
                <w:sz w:val="18"/>
              </w:rPr>
              <w:t>Agencies:</w:t>
            </w:r>
            <w:r>
              <w:rPr>
                <w:color w:val="105C84"/>
                <w:spacing w:val="-11"/>
                <w:sz w:val="18"/>
              </w:rPr>
              <w:t> </w:t>
            </w:r>
            <w:r>
              <w:rPr>
                <w:color w:val="105C84"/>
                <w:spacing w:val="-2"/>
                <w:sz w:val="18"/>
              </w:rPr>
              <w:t>Schools, </w:t>
            </w:r>
            <w:r>
              <w:rPr>
                <w:color w:val="105C84"/>
                <w:sz w:val="18"/>
              </w:rPr>
              <w:t>Public Health, WCRHN, Aging &amp; </w:t>
            </w:r>
            <w:r>
              <w:rPr>
                <w:color w:val="105C84"/>
                <w:spacing w:val="-6"/>
                <w:sz w:val="18"/>
              </w:rPr>
              <w:t>Youth,</w:t>
            </w:r>
            <w:r>
              <w:rPr>
                <w:color w:val="105C84"/>
                <w:spacing w:val="-9"/>
                <w:sz w:val="18"/>
              </w:rPr>
              <w:t> </w:t>
            </w:r>
            <w:r>
              <w:rPr>
                <w:color w:val="105C84"/>
                <w:spacing w:val="-6"/>
                <w:sz w:val="18"/>
              </w:rPr>
              <w:t>Wayne CAP, </w:t>
            </w:r>
            <w:r>
              <w:rPr>
                <w:color w:val="105C84"/>
                <w:spacing w:val="-4"/>
                <w:sz w:val="18"/>
              </w:rPr>
              <w:t>CCE</w:t>
            </w:r>
          </w:p>
        </w:tc>
        <w:tc>
          <w:tcPr>
            <w:tcW w:w="1498" w:type="dxa"/>
          </w:tcPr>
          <w:p>
            <w:pPr>
              <w:pStyle w:val="TableParagraph"/>
              <w:spacing w:before="93"/>
              <w:ind w:left="89"/>
              <w:rPr>
                <w:sz w:val="18"/>
              </w:rPr>
            </w:pPr>
            <w:r>
              <w:rPr>
                <w:color w:val="105C84"/>
                <w:spacing w:val="-8"/>
                <w:sz w:val="18"/>
              </w:rPr>
              <w:t>K-12</w:t>
            </w:r>
            <w:r>
              <w:rPr>
                <w:color w:val="105C84"/>
                <w:spacing w:val="1"/>
                <w:sz w:val="18"/>
              </w:rPr>
              <w:t> </w:t>
            </w:r>
            <w:r>
              <w:rPr>
                <w:color w:val="105C84"/>
                <w:spacing w:val="-8"/>
                <w:sz w:val="18"/>
              </w:rPr>
              <w:t>School</w:t>
            </w:r>
          </w:p>
        </w:tc>
        <w:tc>
          <w:tcPr>
            <w:tcW w:w="1500" w:type="dxa"/>
          </w:tcPr>
          <w:p>
            <w:pPr>
              <w:pStyle w:val="TableParagraph"/>
              <w:spacing w:line="232" w:lineRule="auto" w:before="98"/>
              <w:ind w:left="89" w:right="165"/>
              <w:rPr>
                <w:sz w:val="18"/>
              </w:rPr>
            </w:pPr>
            <w:r>
              <w:rPr>
                <w:color w:val="105C84"/>
                <w:sz w:val="18"/>
              </w:rPr>
              <w:t>For partner roles, see projected</w:t>
            </w:r>
            <w:r>
              <w:rPr>
                <w:color w:val="105C84"/>
                <w:spacing w:val="-13"/>
                <w:sz w:val="18"/>
              </w:rPr>
              <w:t> </w:t>
            </w:r>
            <w:r>
              <w:rPr>
                <w:color w:val="105C84"/>
                <w:sz w:val="18"/>
              </w:rPr>
              <w:t>year </w:t>
            </w:r>
            <w:r>
              <w:rPr>
                <w:color w:val="105C84"/>
                <w:spacing w:val="-2"/>
                <w:sz w:val="18"/>
              </w:rPr>
              <w:t>columns</w:t>
            </w:r>
          </w:p>
          <w:p>
            <w:pPr>
              <w:pStyle w:val="TableParagraph"/>
              <w:spacing w:line="232" w:lineRule="auto" w:before="87"/>
              <w:ind w:left="89" w:right="165"/>
              <w:rPr>
                <w:sz w:val="18"/>
              </w:rPr>
            </w:pPr>
            <w:r>
              <w:rPr>
                <w:color w:val="105C84"/>
                <w:spacing w:val="-2"/>
                <w:sz w:val="18"/>
              </w:rPr>
              <w:t>Resources: </w:t>
            </w:r>
            <w:r>
              <w:rPr>
                <w:color w:val="105C84"/>
                <w:sz w:val="18"/>
              </w:rPr>
              <w:t>toolkit, </w:t>
            </w:r>
            <w:r>
              <w:rPr>
                <w:color w:val="105C84"/>
                <w:sz w:val="18"/>
              </w:rPr>
              <w:t>unified </w:t>
            </w:r>
            <w:r>
              <w:rPr>
                <w:color w:val="105C84"/>
                <w:spacing w:val="-2"/>
                <w:sz w:val="18"/>
              </w:rPr>
              <w:t>messages, </w:t>
            </w:r>
            <w:r>
              <w:rPr>
                <w:color w:val="105C84"/>
                <w:sz w:val="18"/>
              </w:rPr>
              <w:t>letters of </w:t>
            </w:r>
            <w:r>
              <w:rPr>
                <w:color w:val="105C84"/>
                <w:spacing w:val="-2"/>
                <w:sz w:val="18"/>
              </w:rPr>
              <w:t>support</w:t>
            </w:r>
          </w:p>
        </w:tc>
      </w:tr>
      <w:tr>
        <w:trPr>
          <w:trHeight w:val="5820" w:hRule="atLeast"/>
        </w:trPr>
        <w:tc>
          <w:tcPr>
            <w:tcW w:w="1425" w:type="dxa"/>
            <w:vMerge/>
            <w:tcBorders>
              <w:top w:val="nil"/>
            </w:tcBorders>
            <w:shd w:val="clear" w:color="auto" w:fill="E6E7E8"/>
          </w:tcPr>
          <w:p>
            <w:pPr>
              <w:rPr>
                <w:sz w:val="2"/>
                <w:szCs w:val="2"/>
              </w:rPr>
            </w:pPr>
          </w:p>
        </w:tc>
        <w:tc>
          <w:tcPr>
            <w:tcW w:w="1137" w:type="dxa"/>
            <w:vMerge/>
            <w:tcBorders>
              <w:top w:val="nil"/>
            </w:tcBorders>
          </w:tcPr>
          <w:p>
            <w:pPr>
              <w:rPr>
                <w:sz w:val="2"/>
                <w:szCs w:val="2"/>
              </w:rPr>
            </w:pPr>
          </w:p>
        </w:tc>
        <w:tc>
          <w:tcPr>
            <w:tcW w:w="1267" w:type="dxa"/>
            <w:vMerge/>
            <w:tcBorders>
              <w:top w:val="nil"/>
            </w:tcBorders>
          </w:tcPr>
          <w:p>
            <w:pPr>
              <w:rPr>
                <w:sz w:val="2"/>
                <w:szCs w:val="2"/>
              </w:rPr>
            </w:pPr>
          </w:p>
        </w:tc>
        <w:tc>
          <w:tcPr>
            <w:tcW w:w="1325" w:type="dxa"/>
            <w:vMerge/>
            <w:tcBorders>
              <w:top w:val="nil"/>
            </w:tcBorders>
          </w:tcPr>
          <w:p>
            <w:pPr>
              <w:rPr>
                <w:sz w:val="2"/>
                <w:szCs w:val="2"/>
              </w:rPr>
            </w:pPr>
          </w:p>
        </w:tc>
        <w:tc>
          <w:tcPr>
            <w:tcW w:w="1066" w:type="dxa"/>
            <w:vMerge/>
            <w:tcBorders>
              <w:top w:val="nil"/>
            </w:tcBorders>
          </w:tcPr>
          <w:p>
            <w:pPr>
              <w:rPr>
                <w:sz w:val="2"/>
                <w:szCs w:val="2"/>
              </w:rPr>
            </w:pPr>
          </w:p>
        </w:tc>
        <w:tc>
          <w:tcPr>
            <w:tcW w:w="1440" w:type="dxa"/>
            <w:vMerge/>
            <w:tcBorders>
              <w:top w:val="nil"/>
            </w:tcBorders>
          </w:tcPr>
          <w:p>
            <w:pPr>
              <w:rPr>
                <w:sz w:val="2"/>
                <w:szCs w:val="2"/>
              </w:rPr>
            </w:pPr>
          </w:p>
        </w:tc>
        <w:tc>
          <w:tcPr>
            <w:tcW w:w="7776" w:type="dxa"/>
          </w:tcPr>
          <w:p>
            <w:pPr>
              <w:pStyle w:val="TableParagraph"/>
              <w:tabs>
                <w:tab w:pos="4565" w:val="left" w:leader="none"/>
              </w:tabs>
              <w:spacing w:line="203" w:lineRule="exact" w:before="93"/>
              <w:ind w:left="90"/>
              <w:rPr>
                <w:sz w:val="18"/>
              </w:rPr>
            </w:pPr>
            <w:r>
              <w:rPr>
                <w:color w:val="105C84"/>
                <w:sz w:val="18"/>
              </w:rPr>
              <w:t>Metrics/Goals</w:t>
            </w:r>
            <w:r>
              <w:rPr>
                <w:color w:val="105C84"/>
                <w:spacing w:val="2"/>
                <w:sz w:val="18"/>
              </w:rPr>
              <w:t> </w:t>
            </w:r>
            <w:r>
              <w:rPr>
                <w:color w:val="105C84"/>
                <w:sz w:val="18"/>
              </w:rPr>
              <w:t>by</w:t>
            </w:r>
            <w:r>
              <w:rPr>
                <w:color w:val="105C84"/>
                <w:spacing w:val="2"/>
                <w:sz w:val="18"/>
              </w:rPr>
              <w:t> </w:t>
            </w:r>
            <w:r>
              <w:rPr>
                <w:color w:val="105C84"/>
                <w:spacing w:val="-2"/>
                <w:sz w:val="18"/>
              </w:rPr>
              <w:t>Year:</w:t>
            </w:r>
            <w:r>
              <w:rPr>
                <w:color w:val="105C84"/>
                <w:sz w:val="18"/>
              </w:rPr>
              <w:tab/>
              <w:t>Implement</w:t>
            </w:r>
            <w:r>
              <w:rPr>
                <w:color w:val="105C84"/>
                <w:spacing w:val="29"/>
                <w:sz w:val="18"/>
              </w:rPr>
              <w:t> </w:t>
            </w:r>
            <w:r>
              <w:rPr>
                <w:color w:val="105C84"/>
                <w:sz w:val="18"/>
              </w:rPr>
              <w:t>evidence-</w:t>
            </w:r>
            <w:r>
              <w:rPr>
                <w:color w:val="105C84"/>
                <w:spacing w:val="-2"/>
                <w:sz w:val="18"/>
              </w:rPr>
              <w:t>based/promising</w:t>
            </w:r>
          </w:p>
          <w:p>
            <w:pPr>
              <w:pStyle w:val="TableParagraph"/>
              <w:tabs>
                <w:tab w:pos="4565" w:val="left" w:leader="none"/>
              </w:tabs>
              <w:spacing w:line="148" w:lineRule="auto" w:before="27"/>
              <w:ind w:left="90"/>
              <w:rPr>
                <w:sz w:val="18"/>
              </w:rPr>
            </w:pPr>
            <w:r>
              <w:rPr>
                <w:color w:val="105C84"/>
                <w:spacing w:val="-2"/>
                <w:position w:val="-8"/>
                <w:sz w:val="18"/>
              </w:rPr>
              <w:t>Year</w:t>
            </w:r>
            <w:r>
              <w:rPr>
                <w:color w:val="105C84"/>
                <w:spacing w:val="-7"/>
                <w:position w:val="-8"/>
                <w:sz w:val="18"/>
              </w:rPr>
              <w:t> </w:t>
            </w:r>
            <w:r>
              <w:rPr>
                <w:color w:val="105C84"/>
                <w:spacing w:val="-2"/>
                <w:position w:val="-8"/>
                <w:sz w:val="18"/>
              </w:rPr>
              <w:t>1:</w:t>
            </w:r>
            <w:r>
              <w:rPr>
                <w:color w:val="105C84"/>
                <w:spacing w:val="-7"/>
                <w:position w:val="-8"/>
                <w:sz w:val="18"/>
              </w:rPr>
              <w:t> </w:t>
            </w:r>
            <w:r>
              <w:rPr>
                <w:color w:val="105C84"/>
                <w:spacing w:val="-2"/>
                <w:position w:val="-8"/>
                <w:sz w:val="18"/>
              </w:rPr>
              <w:t>1</w:t>
            </w:r>
            <w:r>
              <w:rPr>
                <w:color w:val="105C84"/>
                <w:spacing w:val="-6"/>
                <w:position w:val="-8"/>
                <w:sz w:val="18"/>
              </w:rPr>
              <w:t> </w:t>
            </w:r>
            <w:r>
              <w:rPr>
                <w:color w:val="105C84"/>
                <w:spacing w:val="-2"/>
                <w:position w:val="-8"/>
                <w:sz w:val="18"/>
              </w:rPr>
              <w:t>plan,</w:t>
            </w:r>
            <w:r>
              <w:rPr>
                <w:color w:val="105C84"/>
                <w:spacing w:val="-7"/>
                <w:position w:val="-8"/>
                <w:sz w:val="18"/>
              </w:rPr>
              <w:t> </w:t>
            </w:r>
            <w:r>
              <w:rPr>
                <w:color w:val="105C84"/>
                <w:spacing w:val="-2"/>
                <w:position w:val="-8"/>
                <w:sz w:val="18"/>
              </w:rPr>
              <w:t>formal</w:t>
            </w:r>
            <w:r>
              <w:rPr>
                <w:color w:val="105C84"/>
                <w:spacing w:val="-7"/>
                <w:position w:val="-8"/>
                <w:sz w:val="18"/>
              </w:rPr>
              <w:t> </w:t>
            </w:r>
            <w:r>
              <w:rPr>
                <w:color w:val="105C84"/>
                <w:spacing w:val="-5"/>
                <w:position w:val="-8"/>
                <w:sz w:val="18"/>
              </w:rPr>
              <w:t>or</w:t>
            </w:r>
            <w:r>
              <w:rPr>
                <w:color w:val="105C84"/>
                <w:position w:val="-8"/>
                <w:sz w:val="18"/>
              </w:rPr>
              <w:tab/>
            </w:r>
            <w:r>
              <w:rPr>
                <w:color w:val="105C84"/>
                <w:sz w:val="18"/>
              </w:rPr>
              <w:t>practice</w:t>
            </w:r>
            <w:r>
              <w:rPr>
                <w:color w:val="105C84"/>
                <w:spacing w:val="-1"/>
                <w:sz w:val="18"/>
              </w:rPr>
              <w:t> </w:t>
            </w:r>
            <w:r>
              <w:rPr>
                <w:color w:val="105C84"/>
                <w:sz w:val="18"/>
              </w:rPr>
              <w:t>solution</w:t>
            </w:r>
            <w:r>
              <w:rPr>
                <w:color w:val="105C84"/>
                <w:spacing w:val="-1"/>
                <w:sz w:val="18"/>
              </w:rPr>
              <w:t> </w:t>
            </w:r>
            <w:r>
              <w:rPr>
                <w:color w:val="105C84"/>
                <w:sz w:val="18"/>
              </w:rPr>
              <w:t>to ensure</w:t>
            </w:r>
            <w:r>
              <w:rPr>
                <w:color w:val="105C84"/>
                <w:spacing w:val="-1"/>
                <w:sz w:val="18"/>
              </w:rPr>
              <w:t> </w:t>
            </w:r>
            <w:r>
              <w:rPr>
                <w:color w:val="105C84"/>
                <w:sz w:val="18"/>
              </w:rPr>
              <w:t>school </w:t>
            </w:r>
            <w:r>
              <w:rPr>
                <w:color w:val="105C84"/>
                <w:spacing w:val="-4"/>
                <w:sz w:val="18"/>
              </w:rPr>
              <w:t>food</w:t>
            </w:r>
          </w:p>
          <w:p>
            <w:pPr>
              <w:pStyle w:val="TableParagraph"/>
              <w:tabs>
                <w:tab w:pos="4565" w:val="left" w:leader="none"/>
              </w:tabs>
              <w:spacing w:line="148" w:lineRule="auto"/>
              <w:ind w:left="90"/>
              <w:rPr>
                <w:sz w:val="18"/>
              </w:rPr>
            </w:pPr>
            <w:r>
              <w:rPr>
                <w:color w:val="105C84"/>
                <w:position w:val="-8"/>
                <w:sz w:val="18"/>
              </w:rPr>
              <w:t>informal,</w:t>
            </w:r>
            <w:r>
              <w:rPr>
                <w:color w:val="105C84"/>
                <w:spacing w:val="-1"/>
                <w:position w:val="-8"/>
                <w:sz w:val="18"/>
              </w:rPr>
              <w:t> </w:t>
            </w:r>
            <w:r>
              <w:rPr>
                <w:color w:val="105C84"/>
                <w:position w:val="-8"/>
                <w:sz w:val="18"/>
              </w:rPr>
              <w:t>showing</w:t>
            </w:r>
            <w:r>
              <w:rPr>
                <w:color w:val="105C84"/>
                <w:spacing w:val="-1"/>
                <w:position w:val="-8"/>
                <w:sz w:val="18"/>
              </w:rPr>
              <w:t> </w:t>
            </w:r>
            <w:r>
              <w:rPr>
                <w:color w:val="105C84"/>
                <w:spacing w:val="-5"/>
                <w:position w:val="-8"/>
                <w:sz w:val="18"/>
              </w:rPr>
              <w:t>how</w:t>
            </w:r>
            <w:r>
              <w:rPr>
                <w:color w:val="105C84"/>
                <w:position w:val="-8"/>
                <w:sz w:val="18"/>
              </w:rPr>
              <w:tab/>
            </w:r>
            <w:r>
              <w:rPr>
                <w:color w:val="105C84"/>
                <w:sz w:val="18"/>
              </w:rPr>
              <w:t>pantries</w:t>
            </w:r>
            <w:r>
              <w:rPr>
                <w:color w:val="105C84"/>
                <w:spacing w:val="-6"/>
                <w:sz w:val="18"/>
              </w:rPr>
              <w:t> </w:t>
            </w:r>
            <w:r>
              <w:rPr>
                <w:color w:val="105C84"/>
                <w:sz w:val="18"/>
              </w:rPr>
              <w:t>are</w:t>
            </w:r>
            <w:r>
              <w:rPr>
                <w:color w:val="105C84"/>
                <w:spacing w:val="-4"/>
                <w:sz w:val="18"/>
              </w:rPr>
              <w:t> </w:t>
            </w:r>
            <w:r>
              <w:rPr>
                <w:color w:val="105C84"/>
                <w:sz w:val="18"/>
              </w:rPr>
              <w:t>stocked</w:t>
            </w:r>
            <w:r>
              <w:rPr>
                <w:color w:val="105C84"/>
                <w:spacing w:val="-4"/>
                <w:sz w:val="18"/>
              </w:rPr>
              <w:t> </w:t>
            </w:r>
            <w:r>
              <w:rPr>
                <w:color w:val="105C84"/>
                <w:sz w:val="18"/>
              </w:rPr>
              <w:t>with</w:t>
            </w:r>
            <w:r>
              <w:rPr>
                <w:color w:val="105C84"/>
                <w:spacing w:val="-3"/>
                <w:sz w:val="18"/>
              </w:rPr>
              <w:t> </w:t>
            </w:r>
            <w:r>
              <w:rPr>
                <w:color w:val="105C84"/>
                <w:spacing w:val="-2"/>
                <w:sz w:val="18"/>
              </w:rPr>
              <w:t>nutritional</w:t>
            </w:r>
          </w:p>
          <w:p>
            <w:pPr>
              <w:pStyle w:val="TableParagraph"/>
              <w:tabs>
                <w:tab w:pos="4565" w:val="left" w:leader="none"/>
              </w:tabs>
              <w:spacing w:line="246" w:lineRule="exact"/>
              <w:ind w:left="90"/>
              <w:rPr>
                <w:position w:val="9"/>
                <w:sz w:val="18"/>
              </w:rPr>
            </w:pPr>
            <w:r>
              <w:rPr>
                <w:color w:val="105C84"/>
                <w:sz w:val="18"/>
              </w:rPr>
              <w:t>agencies</w:t>
            </w:r>
            <w:r>
              <w:rPr>
                <w:color w:val="105C84"/>
                <w:spacing w:val="-1"/>
                <w:sz w:val="18"/>
              </w:rPr>
              <w:t> </w:t>
            </w:r>
            <w:r>
              <w:rPr>
                <w:color w:val="105C84"/>
                <w:sz w:val="18"/>
              </w:rPr>
              <w:t>will roll out</w:t>
            </w:r>
            <w:r>
              <w:rPr>
                <w:color w:val="105C84"/>
                <w:spacing w:val="-1"/>
                <w:sz w:val="18"/>
              </w:rPr>
              <w:t> </w:t>
            </w:r>
            <w:r>
              <w:rPr>
                <w:color w:val="105C84"/>
                <w:spacing w:val="-4"/>
                <w:sz w:val="18"/>
              </w:rPr>
              <w:t>this</w:t>
            </w:r>
            <w:r>
              <w:rPr>
                <w:color w:val="105C84"/>
                <w:sz w:val="18"/>
              </w:rPr>
              <w:tab/>
            </w:r>
            <w:r>
              <w:rPr>
                <w:color w:val="105C84"/>
                <w:spacing w:val="-2"/>
                <w:position w:val="9"/>
                <w:sz w:val="18"/>
              </w:rPr>
              <w:t>foods</w:t>
            </w:r>
          </w:p>
          <w:p>
            <w:pPr>
              <w:pStyle w:val="TableParagraph"/>
              <w:tabs>
                <w:tab w:pos="4565" w:val="left" w:leader="none"/>
              </w:tabs>
              <w:spacing w:line="200" w:lineRule="exact"/>
              <w:ind w:left="90"/>
              <w:rPr>
                <w:sz w:val="18"/>
              </w:rPr>
            </w:pPr>
            <w:r>
              <w:rPr>
                <w:color w:val="105C84"/>
                <w:sz w:val="18"/>
              </w:rPr>
              <w:t>initiative;</w:t>
            </w:r>
            <w:r>
              <w:rPr>
                <w:color w:val="105C84"/>
                <w:spacing w:val="6"/>
                <w:sz w:val="18"/>
              </w:rPr>
              <w:t> </w:t>
            </w:r>
            <w:r>
              <w:rPr>
                <w:color w:val="105C84"/>
                <w:sz w:val="18"/>
              </w:rPr>
              <w:t>1+</w:t>
            </w:r>
            <w:r>
              <w:rPr>
                <w:color w:val="105C84"/>
                <w:spacing w:val="6"/>
                <w:sz w:val="18"/>
              </w:rPr>
              <w:t> </w:t>
            </w:r>
            <w:r>
              <w:rPr>
                <w:color w:val="105C84"/>
                <w:sz w:val="18"/>
              </w:rPr>
              <w:t>community</w:t>
            </w:r>
            <w:r>
              <w:rPr>
                <w:color w:val="105C84"/>
                <w:spacing w:val="6"/>
                <w:sz w:val="18"/>
              </w:rPr>
              <w:t> </w:t>
            </w:r>
            <w:r>
              <w:rPr>
                <w:color w:val="105C84"/>
                <w:spacing w:val="-4"/>
                <w:sz w:val="18"/>
              </w:rPr>
              <w:t>with</w:t>
            </w:r>
            <w:r>
              <w:rPr>
                <w:color w:val="105C84"/>
                <w:sz w:val="18"/>
              </w:rPr>
              <w:tab/>
              <w:t>Public</w:t>
            </w:r>
            <w:r>
              <w:rPr>
                <w:color w:val="105C84"/>
                <w:spacing w:val="-5"/>
                <w:sz w:val="18"/>
              </w:rPr>
              <w:t> </w:t>
            </w:r>
            <w:r>
              <w:rPr>
                <w:color w:val="105C84"/>
                <w:sz w:val="18"/>
              </w:rPr>
              <w:t>Health</w:t>
            </w:r>
            <w:r>
              <w:rPr>
                <w:color w:val="105C84"/>
                <w:spacing w:val="-5"/>
                <w:sz w:val="18"/>
              </w:rPr>
              <w:t> </w:t>
            </w:r>
            <w:r>
              <w:rPr>
                <w:color w:val="105C84"/>
                <w:sz w:val="18"/>
              </w:rPr>
              <w:t>is</w:t>
            </w:r>
            <w:r>
              <w:rPr>
                <w:color w:val="105C84"/>
                <w:spacing w:val="-5"/>
                <w:sz w:val="18"/>
              </w:rPr>
              <w:t> </w:t>
            </w:r>
            <w:r>
              <w:rPr>
                <w:color w:val="105C84"/>
                <w:sz w:val="18"/>
              </w:rPr>
              <w:t>seeking</w:t>
            </w:r>
            <w:r>
              <w:rPr>
                <w:color w:val="105C84"/>
                <w:spacing w:val="-5"/>
                <w:sz w:val="18"/>
              </w:rPr>
              <w:t> </w:t>
            </w:r>
            <w:r>
              <w:rPr>
                <w:color w:val="105C84"/>
                <w:sz w:val="18"/>
              </w:rPr>
              <w:t>to</w:t>
            </w:r>
            <w:r>
              <w:rPr>
                <w:color w:val="105C84"/>
                <w:spacing w:val="-4"/>
                <w:sz w:val="18"/>
              </w:rPr>
              <w:t> </w:t>
            </w:r>
            <w:r>
              <w:rPr>
                <w:color w:val="105C84"/>
                <w:spacing w:val="-2"/>
                <w:sz w:val="18"/>
              </w:rPr>
              <w:t>implement</w:t>
            </w:r>
          </w:p>
          <w:p>
            <w:pPr>
              <w:pStyle w:val="TableParagraph"/>
              <w:tabs>
                <w:tab w:pos="4565" w:val="left" w:leader="none"/>
              </w:tabs>
              <w:spacing w:line="200" w:lineRule="exact"/>
              <w:ind w:left="90"/>
              <w:rPr>
                <w:sz w:val="18"/>
              </w:rPr>
            </w:pPr>
            <w:r>
              <w:rPr>
                <w:color w:val="105C84"/>
                <w:sz w:val="18"/>
              </w:rPr>
              <w:t>a</w:t>
            </w:r>
            <w:r>
              <w:rPr>
                <w:color w:val="105C84"/>
                <w:spacing w:val="-10"/>
                <w:sz w:val="18"/>
              </w:rPr>
              <w:t> </w:t>
            </w:r>
            <w:r>
              <w:rPr>
                <w:color w:val="105C84"/>
                <w:sz w:val="18"/>
              </w:rPr>
              <w:t>school</w:t>
            </w:r>
            <w:r>
              <w:rPr>
                <w:color w:val="105C84"/>
                <w:spacing w:val="-8"/>
                <w:sz w:val="18"/>
              </w:rPr>
              <w:t> </w:t>
            </w:r>
            <w:r>
              <w:rPr>
                <w:color w:val="105C84"/>
                <w:sz w:val="18"/>
              </w:rPr>
              <w:t>receiving</w:t>
            </w:r>
            <w:r>
              <w:rPr>
                <w:color w:val="105C84"/>
                <w:spacing w:val="-7"/>
                <w:sz w:val="18"/>
              </w:rPr>
              <w:t> </w:t>
            </w:r>
            <w:r>
              <w:rPr>
                <w:color w:val="105C84"/>
                <w:spacing w:val="-2"/>
                <w:sz w:val="18"/>
              </w:rPr>
              <w:t>nutritious</w:t>
            </w:r>
            <w:r>
              <w:rPr>
                <w:color w:val="105C84"/>
                <w:sz w:val="18"/>
              </w:rPr>
              <w:tab/>
              <w:t>Nourish</w:t>
            </w:r>
            <w:r>
              <w:rPr>
                <w:color w:val="105C84"/>
                <w:spacing w:val="-7"/>
                <w:sz w:val="18"/>
              </w:rPr>
              <w:t> </w:t>
            </w:r>
            <w:r>
              <w:rPr>
                <w:color w:val="105C84"/>
                <w:sz w:val="18"/>
              </w:rPr>
              <w:t>Your</w:t>
            </w:r>
            <w:r>
              <w:rPr>
                <w:color w:val="105C84"/>
                <w:spacing w:val="-7"/>
                <w:sz w:val="18"/>
              </w:rPr>
              <w:t> </w:t>
            </w:r>
            <w:r>
              <w:rPr>
                <w:color w:val="105C84"/>
                <w:sz w:val="18"/>
              </w:rPr>
              <w:t>Neighbor</w:t>
            </w:r>
            <w:r>
              <w:rPr>
                <w:color w:val="105C84"/>
                <w:spacing w:val="-7"/>
                <w:sz w:val="18"/>
              </w:rPr>
              <w:t> </w:t>
            </w:r>
            <w:r>
              <w:rPr>
                <w:color w:val="105C84"/>
                <w:sz w:val="18"/>
              </w:rPr>
              <w:t>(NYN)</w:t>
            </w:r>
            <w:r>
              <w:rPr>
                <w:color w:val="105C84"/>
                <w:spacing w:val="-6"/>
                <w:sz w:val="18"/>
              </w:rPr>
              <w:t> </w:t>
            </w:r>
            <w:r>
              <w:rPr>
                <w:color w:val="105C84"/>
                <w:spacing w:val="-5"/>
                <w:sz w:val="18"/>
              </w:rPr>
              <w:t>or</w:t>
            </w:r>
          </w:p>
          <w:p>
            <w:pPr>
              <w:pStyle w:val="TableParagraph"/>
              <w:tabs>
                <w:tab w:pos="4565" w:val="left" w:leader="none"/>
              </w:tabs>
              <w:spacing w:line="200" w:lineRule="exact"/>
              <w:ind w:left="90"/>
              <w:rPr>
                <w:sz w:val="18"/>
              </w:rPr>
            </w:pPr>
            <w:r>
              <w:rPr>
                <w:color w:val="105C84"/>
                <w:sz w:val="18"/>
              </w:rPr>
              <w:t>donations</w:t>
            </w:r>
            <w:r>
              <w:rPr>
                <w:color w:val="105C84"/>
                <w:spacing w:val="-8"/>
                <w:sz w:val="18"/>
              </w:rPr>
              <w:t> </w:t>
            </w:r>
            <w:r>
              <w:rPr>
                <w:color w:val="105C84"/>
                <w:sz w:val="18"/>
              </w:rPr>
              <w:t>as</w:t>
            </w:r>
            <w:r>
              <w:rPr>
                <w:color w:val="105C84"/>
                <w:spacing w:val="-7"/>
                <w:sz w:val="18"/>
              </w:rPr>
              <w:t> </w:t>
            </w:r>
            <w:r>
              <w:rPr>
                <w:color w:val="105C84"/>
                <w:sz w:val="18"/>
              </w:rPr>
              <w:t>a</w:t>
            </w:r>
            <w:r>
              <w:rPr>
                <w:color w:val="105C84"/>
                <w:spacing w:val="-7"/>
                <w:sz w:val="18"/>
              </w:rPr>
              <w:t> </w:t>
            </w:r>
            <w:r>
              <w:rPr>
                <w:color w:val="105C84"/>
                <w:sz w:val="18"/>
              </w:rPr>
              <w:t>result</w:t>
            </w:r>
            <w:r>
              <w:rPr>
                <w:color w:val="105C84"/>
                <w:spacing w:val="-7"/>
                <w:sz w:val="18"/>
              </w:rPr>
              <w:t> </w:t>
            </w:r>
            <w:r>
              <w:rPr>
                <w:color w:val="105C84"/>
                <w:sz w:val="18"/>
              </w:rPr>
              <w:t>of</w:t>
            </w:r>
            <w:r>
              <w:rPr>
                <w:color w:val="105C84"/>
                <w:spacing w:val="-7"/>
                <w:sz w:val="18"/>
              </w:rPr>
              <w:t> </w:t>
            </w:r>
            <w:r>
              <w:rPr>
                <w:color w:val="105C84"/>
                <w:spacing w:val="-4"/>
                <w:sz w:val="18"/>
              </w:rPr>
              <w:t>NYN/</w:t>
            </w:r>
            <w:r>
              <w:rPr>
                <w:color w:val="105C84"/>
                <w:sz w:val="18"/>
              </w:rPr>
              <w:tab/>
              <w:t>a similar</w:t>
            </w:r>
            <w:r>
              <w:rPr>
                <w:color w:val="105C84"/>
                <w:spacing w:val="1"/>
                <w:sz w:val="18"/>
              </w:rPr>
              <w:t> </w:t>
            </w:r>
            <w:r>
              <w:rPr>
                <w:color w:val="105C84"/>
                <w:sz w:val="18"/>
              </w:rPr>
              <w:t>initiative to</w:t>
            </w:r>
            <w:r>
              <w:rPr>
                <w:color w:val="105C84"/>
                <w:spacing w:val="1"/>
                <w:sz w:val="18"/>
              </w:rPr>
              <w:t> </w:t>
            </w:r>
            <w:r>
              <w:rPr>
                <w:color w:val="105C84"/>
                <w:sz w:val="18"/>
              </w:rPr>
              <w:t>solicit </w:t>
            </w:r>
            <w:r>
              <w:rPr>
                <w:color w:val="105C84"/>
                <w:spacing w:val="-2"/>
                <w:sz w:val="18"/>
              </w:rPr>
              <w:t>healthy</w:t>
            </w:r>
          </w:p>
          <w:p>
            <w:pPr>
              <w:pStyle w:val="TableParagraph"/>
              <w:tabs>
                <w:tab w:pos="4565" w:val="left" w:leader="none"/>
              </w:tabs>
              <w:spacing w:line="200" w:lineRule="exact"/>
              <w:ind w:left="90"/>
              <w:rPr>
                <w:sz w:val="18"/>
              </w:rPr>
            </w:pPr>
            <w:r>
              <w:rPr>
                <w:color w:val="105C84"/>
                <w:sz w:val="18"/>
              </w:rPr>
              <w:t>similar</w:t>
            </w:r>
            <w:r>
              <w:rPr>
                <w:color w:val="105C84"/>
                <w:spacing w:val="-6"/>
                <w:sz w:val="18"/>
              </w:rPr>
              <w:t> </w:t>
            </w:r>
            <w:r>
              <w:rPr>
                <w:color w:val="105C84"/>
                <w:sz w:val="18"/>
              </w:rPr>
              <w:t>initiative;</w:t>
            </w:r>
            <w:r>
              <w:rPr>
                <w:color w:val="105C84"/>
                <w:spacing w:val="-5"/>
                <w:sz w:val="18"/>
              </w:rPr>
              <w:t> </w:t>
            </w:r>
            <w:r>
              <w:rPr>
                <w:color w:val="105C84"/>
                <w:sz w:val="18"/>
              </w:rPr>
              <w:t>baseline</w:t>
            </w:r>
            <w:r>
              <w:rPr>
                <w:color w:val="105C84"/>
                <w:spacing w:val="-5"/>
                <w:sz w:val="18"/>
              </w:rPr>
              <w:t> of</w:t>
            </w:r>
            <w:r>
              <w:rPr>
                <w:color w:val="105C84"/>
                <w:sz w:val="18"/>
              </w:rPr>
              <w:tab/>
              <w:t>food</w:t>
            </w:r>
            <w:r>
              <w:rPr>
                <w:color w:val="105C84"/>
                <w:spacing w:val="8"/>
                <w:sz w:val="18"/>
              </w:rPr>
              <w:t> </w:t>
            </w:r>
            <w:r>
              <w:rPr>
                <w:color w:val="105C84"/>
                <w:sz w:val="18"/>
              </w:rPr>
              <w:t>donations</w:t>
            </w:r>
            <w:r>
              <w:rPr>
                <w:color w:val="105C84"/>
                <w:spacing w:val="9"/>
                <w:sz w:val="18"/>
              </w:rPr>
              <w:t> </w:t>
            </w:r>
            <w:r>
              <w:rPr>
                <w:color w:val="105C84"/>
                <w:sz w:val="18"/>
              </w:rPr>
              <w:t>from</w:t>
            </w:r>
            <w:r>
              <w:rPr>
                <w:color w:val="105C84"/>
                <w:spacing w:val="9"/>
                <w:sz w:val="18"/>
              </w:rPr>
              <w:t> </w:t>
            </w:r>
            <w:r>
              <w:rPr>
                <w:color w:val="105C84"/>
                <w:sz w:val="18"/>
              </w:rPr>
              <w:t>the</w:t>
            </w:r>
            <w:r>
              <w:rPr>
                <w:color w:val="105C84"/>
                <w:spacing w:val="9"/>
                <w:sz w:val="18"/>
              </w:rPr>
              <w:t> </w:t>
            </w:r>
            <w:r>
              <w:rPr>
                <w:color w:val="105C84"/>
                <w:spacing w:val="-2"/>
                <w:sz w:val="18"/>
              </w:rPr>
              <w:t>community</w:t>
            </w:r>
          </w:p>
          <w:p>
            <w:pPr>
              <w:pStyle w:val="TableParagraph"/>
              <w:tabs>
                <w:tab w:pos="4565" w:val="left" w:leader="none"/>
              </w:tabs>
              <w:spacing w:line="200" w:lineRule="exact"/>
              <w:ind w:left="90"/>
              <w:rPr>
                <w:sz w:val="18"/>
              </w:rPr>
            </w:pPr>
            <w:r>
              <w:rPr>
                <w:color w:val="105C84"/>
                <w:sz w:val="18"/>
              </w:rPr>
              <w:t>need established for </w:t>
            </w:r>
            <w:r>
              <w:rPr>
                <w:color w:val="105C84"/>
                <w:spacing w:val="-4"/>
                <w:sz w:val="18"/>
              </w:rPr>
              <w:t>each</w:t>
            </w:r>
            <w:r>
              <w:rPr>
                <w:color w:val="105C84"/>
                <w:sz w:val="18"/>
              </w:rPr>
              <w:tab/>
              <w:t>while</w:t>
            </w:r>
            <w:r>
              <w:rPr>
                <w:color w:val="105C84"/>
                <w:spacing w:val="-10"/>
                <w:sz w:val="18"/>
              </w:rPr>
              <w:t> </w:t>
            </w:r>
            <w:r>
              <w:rPr>
                <w:color w:val="105C84"/>
                <w:sz w:val="18"/>
              </w:rPr>
              <w:t>simultaneously</w:t>
            </w:r>
            <w:r>
              <w:rPr>
                <w:color w:val="105C84"/>
                <w:spacing w:val="-10"/>
                <w:sz w:val="18"/>
              </w:rPr>
              <w:t> </w:t>
            </w:r>
            <w:r>
              <w:rPr>
                <w:color w:val="105C84"/>
                <w:spacing w:val="-2"/>
                <w:sz w:val="18"/>
              </w:rPr>
              <w:t>educating</w:t>
            </w:r>
          </w:p>
          <w:p>
            <w:pPr>
              <w:pStyle w:val="TableParagraph"/>
              <w:tabs>
                <w:tab w:pos="4565" w:val="left" w:leader="none"/>
              </w:tabs>
              <w:spacing w:line="200" w:lineRule="exact"/>
              <w:ind w:left="90"/>
              <w:rPr>
                <w:sz w:val="18"/>
              </w:rPr>
            </w:pPr>
            <w:r>
              <w:rPr>
                <w:color w:val="105C84"/>
                <w:sz w:val="18"/>
              </w:rPr>
              <w:t>of</w:t>
            </w:r>
            <w:r>
              <w:rPr>
                <w:color w:val="105C84"/>
                <w:spacing w:val="-5"/>
                <w:sz w:val="18"/>
              </w:rPr>
              <w:t> </w:t>
            </w:r>
            <w:r>
              <w:rPr>
                <w:color w:val="105C84"/>
                <w:sz w:val="18"/>
              </w:rPr>
              <w:t>the</w:t>
            </w:r>
            <w:r>
              <w:rPr>
                <w:color w:val="105C84"/>
                <w:spacing w:val="-4"/>
                <w:sz w:val="18"/>
              </w:rPr>
              <w:t> </w:t>
            </w:r>
            <w:r>
              <w:rPr>
                <w:color w:val="105C84"/>
                <w:sz w:val="18"/>
              </w:rPr>
              <w:t>4</w:t>
            </w:r>
            <w:r>
              <w:rPr>
                <w:color w:val="105C84"/>
                <w:spacing w:val="-4"/>
                <w:sz w:val="18"/>
              </w:rPr>
              <w:t> </w:t>
            </w:r>
            <w:r>
              <w:rPr>
                <w:color w:val="105C84"/>
                <w:sz w:val="18"/>
              </w:rPr>
              <w:t>schools</w:t>
            </w:r>
            <w:r>
              <w:rPr>
                <w:color w:val="105C84"/>
                <w:spacing w:val="-4"/>
                <w:sz w:val="18"/>
              </w:rPr>
              <w:t> </w:t>
            </w:r>
            <w:r>
              <w:rPr>
                <w:color w:val="105C84"/>
                <w:sz w:val="18"/>
              </w:rPr>
              <w:t>with</w:t>
            </w:r>
            <w:r>
              <w:rPr>
                <w:color w:val="105C84"/>
                <w:spacing w:val="-5"/>
                <w:sz w:val="18"/>
              </w:rPr>
              <w:t> </w:t>
            </w:r>
            <w:r>
              <w:rPr>
                <w:color w:val="105C84"/>
                <w:spacing w:val="-4"/>
                <w:sz w:val="18"/>
              </w:rPr>
              <w:t>food</w:t>
            </w:r>
            <w:r>
              <w:rPr>
                <w:color w:val="105C84"/>
                <w:sz w:val="18"/>
              </w:rPr>
              <w:tab/>
              <w:t>county</w:t>
            </w:r>
            <w:r>
              <w:rPr>
                <w:color w:val="105C84"/>
                <w:spacing w:val="5"/>
                <w:sz w:val="18"/>
              </w:rPr>
              <w:t> </w:t>
            </w:r>
            <w:r>
              <w:rPr>
                <w:color w:val="105C84"/>
                <w:sz w:val="18"/>
              </w:rPr>
              <w:t>residents</w:t>
            </w:r>
            <w:r>
              <w:rPr>
                <w:color w:val="105C84"/>
                <w:spacing w:val="6"/>
                <w:sz w:val="18"/>
              </w:rPr>
              <w:t> </w:t>
            </w:r>
            <w:r>
              <w:rPr>
                <w:color w:val="105C84"/>
                <w:sz w:val="18"/>
              </w:rPr>
              <w:t>about</w:t>
            </w:r>
            <w:r>
              <w:rPr>
                <w:color w:val="105C84"/>
                <w:spacing w:val="5"/>
                <w:sz w:val="18"/>
              </w:rPr>
              <w:t> </w:t>
            </w:r>
            <w:r>
              <w:rPr>
                <w:color w:val="105C84"/>
                <w:sz w:val="18"/>
              </w:rPr>
              <w:t>nutrition,</w:t>
            </w:r>
            <w:r>
              <w:rPr>
                <w:color w:val="105C84"/>
                <w:spacing w:val="6"/>
                <w:sz w:val="18"/>
              </w:rPr>
              <w:t> </w:t>
            </w:r>
            <w:r>
              <w:rPr>
                <w:color w:val="105C84"/>
                <w:spacing w:val="-5"/>
                <w:sz w:val="18"/>
              </w:rPr>
              <w:t>in</w:t>
            </w:r>
          </w:p>
          <w:p>
            <w:pPr>
              <w:pStyle w:val="TableParagraph"/>
              <w:tabs>
                <w:tab w:pos="4565" w:val="left" w:leader="none"/>
              </w:tabs>
              <w:spacing w:line="200" w:lineRule="exact"/>
              <w:ind w:left="90"/>
              <w:rPr>
                <w:sz w:val="18"/>
              </w:rPr>
            </w:pPr>
            <w:r>
              <w:rPr>
                <w:color w:val="105C84"/>
                <w:spacing w:val="-2"/>
                <w:sz w:val="18"/>
              </w:rPr>
              <w:t>pantries</w:t>
            </w:r>
            <w:r>
              <w:rPr>
                <w:color w:val="105C84"/>
                <w:sz w:val="18"/>
              </w:rPr>
              <w:tab/>
              <w:t>collaboration</w:t>
            </w:r>
            <w:r>
              <w:rPr>
                <w:color w:val="105C84"/>
                <w:spacing w:val="-1"/>
                <w:sz w:val="18"/>
              </w:rPr>
              <w:t> </w:t>
            </w:r>
            <w:r>
              <w:rPr>
                <w:color w:val="105C84"/>
                <w:sz w:val="18"/>
              </w:rPr>
              <w:t>with:</w:t>
            </w:r>
            <w:r>
              <w:rPr>
                <w:color w:val="105C84"/>
                <w:spacing w:val="-1"/>
                <w:sz w:val="18"/>
              </w:rPr>
              <w:t> </w:t>
            </w:r>
            <w:r>
              <w:rPr>
                <w:color w:val="105C84"/>
                <w:sz w:val="18"/>
              </w:rPr>
              <w:t>schools,</w:t>
            </w:r>
            <w:r>
              <w:rPr>
                <w:color w:val="105C84"/>
                <w:spacing w:val="-1"/>
                <w:sz w:val="18"/>
              </w:rPr>
              <w:t> </w:t>
            </w:r>
            <w:r>
              <w:rPr>
                <w:color w:val="105C84"/>
                <w:spacing w:val="-4"/>
                <w:sz w:val="18"/>
              </w:rPr>
              <w:t>CCE/</w:t>
            </w:r>
          </w:p>
          <w:p>
            <w:pPr>
              <w:pStyle w:val="TableParagraph"/>
              <w:tabs>
                <w:tab w:pos="4565" w:val="left" w:leader="none"/>
              </w:tabs>
              <w:spacing w:line="232" w:lineRule="auto"/>
              <w:ind w:left="90" w:right="1463"/>
              <w:rPr>
                <w:sz w:val="18"/>
              </w:rPr>
            </w:pPr>
            <w:r>
              <w:rPr>
                <w:color w:val="105C84"/>
                <w:sz w:val="18"/>
              </w:rPr>
              <w:t>Year 2: 4+ communities with</w:t>
              <w:tab/>
            </w:r>
            <w:r>
              <w:rPr>
                <w:color w:val="105C84"/>
                <w:spacing w:val="-8"/>
                <w:position w:val="9"/>
                <w:sz w:val="18"/>
              </w:rPr>
              <w:t>FLESNY,</w:t>
            </w:r>
            <w:r>
              <w:rPr>
                <w:color w:val="105C84"/>
                <w:spacing w:val="-7"/>
                <w:position w:val="9"/>
                <w:sz w:val="18"/>
              </w:rPr>
              <w:t> </w:t>
            </w:r>
            <w:r>
              <w:rPr>
                <w:color w:val="105C84"/>
                <w:spacing w:val="-8"/>
                <w:position w:val="9"/>
                <w:sz w:val="18"/>
              </w:rPr>
              <w:t>and</w:t>
            </w:r>
            <w:r>
              <w:rPr>
                <w:color w:val="105C84"/>
                <w:spacing w:val="-4"/>
                <w:position w:val="9"/>
                <w:sz w:val="18"/>
              </w:rPr>
              <w:t> </w:t>
            </w:r>
            <w:r>
              <w:rPr>
                <w:color w:val="105C84"/>
                <w:spacing w:val="-8"/>
                <w:position w:val="9"/>
                <w:sz w:val="18"/>
              </w:rPr>
              <w:t>WCRHN </w:t>
            </w:r>
            <w:r>
              <w:rPr>
                <w:color w:val="105C84"/>
                <w:sz w:val="18"/>
              </w:rPr>
              <w:t>a school receiving nutritious</w:t>
            </w:r>
          </w:p>
          <w:p>
            <w:pPr>
              <w:pStyle w:val="TableParagraph"/>
              <w:spacing w:line="232" w:lineRule="auto"/>
              <w:ind w:left="90" w:right="4848"/>
              <w:rPr>
                <w:sz w:val="18"/>
              </w:rPr>
            </w:pPr>
            <w:r>
              <w:rPr>
                <w:color w:val="105C84"/>
                <w:sz w:val="18"/>
              </w:rPr>
              <w:t>donations as a result of NYN/ </w:t>
            </w:r>
            <w:r>
              <w:rPr>
                <w:color w:val="105C84"/>
                <w:spacing w:val="-2"/>
                <w:sz w:val="18"/>
              </w:rPr>
              <w:t>similar</w:t>
            </w:r>
            <w:r>
              <w:rPr>
                <w:color w:val="105C84"/>
                <w:spacing w:val="-5"/>
                <w:sz w:val="18"/>
              </w:rPr>
              <w:t> </w:t>
            </w:r>
            <w:r>
              <w:rPr>
                <w:color w:val="105C84"/>
                <w:spacing w:val="-2"/>
                <w:sz w:val="18"/>
              </w:rPr>
              <w:t>initiative;</w:t>
            </w:r>
            <w:r>
              <w:rPr>
                <w:color w:val="105C84"/>
                <w:spacing w:val="-5"/>
                <w:sz w:val="18"/>
              </w:rPr>
              <w:t> </w:t>
            </w:r>
            <w:r>
              <w:rPr>
                <w:color w:val="105C84"/>
                <w:spacing w:val="-2"/>
                <w:sz w:val="18"/>
              </w:rPr>
              <w:t>assessment</w:t>
            </w:r>
            <w:r>
              <w:rPr>
                <w:color w:val="105C84"/>
                <w:spacing w:val="-5"/>
                <w:sz w:val="18"/>
              </w:rPr>
              <w:t> </w:t>
            </w:r>
            <w:r>
              <w:rPr>
                <w:color w:val="105C84"/>
                <w:spacing w:val="-2"/>
                <w:sz w:val="18"/>
              </w:rPr>
              <w:t>of pantry</w:t>
            </w:r>
            <w:r>
              <w:rPr>
                <w:color w:val="105C84"/>
                <w:sz w:val="18"/>
              </w:rPr>
              <w:t> </w:t>
            </w:r>
            <w:r>
              <w:rPr>
                <w:color w:val="105C84"/>
                <w:spacing w:val="-2"/>
                <w:sz w:val="18"/>
              </w:rPr>
              <w:t>inventories</w:t>
            </w:r>
            <w:r>
              <w:rPr>
                <w:color w:val="105C84"/>
                <w:spacing w:val="1"/>
                <w:sz w:val="18"/>
              </w:rPr>
              <w:t> </w:t>
            </w:r>
            <w:r>
              <w:rPr>
                <w:color w:val="105C84"/>
                <w:spacing w:val="-2"/>
                <w:sz w:val="18"/>
              </w:rPr>
              <w:t>versus</w:t>
            </w:r>
            <w:r>
              <w:rPr>
                <w:color w:val="105C84"/>
                <w:sz w:val="18"/>
              </w:rPr>
              <w:t> </w:t>
            </w:r>
            <w:r>
              <w:rPr>
                <w:color w:val="105C84"/>
                <w:spacing w:val="-4"/>
                <w:sz w:val="18"/>
              </w:rPr>
              <w:t>need</w:t>
            </w:r>
          </w:p>
          <w:p>
            <w:pPr>
              <w:pStyle w:val="TableParagraph"/>
              <w:spacing w:line="232" w:lineRule="auto" w:before="69"/>
              <w:ind w:left="90" w:right="5334"/>
              <w:rPr>
                <w:sz w:val="18"/>
              </w:rPr>
            </w:pPr>
            <w:r>
              <w:rPr>
                <w:color w:val="105C84"/>
                <w:sz w:val="18"/>
              </w:rPr>
              <w:t>Year 3: 4+ communities with a school receiving nutritious donations</w:t>
            </w:r>
            <w:r>
              <w:rPr>
                <w:color w:val="105C84"/>
                <w:spacing w:val="-8"/>
                <w:sz w:val="18"/>
              </w:rPr>
              <w:t> </w:t>
            </w:r>
            <w:r>
              <w:rPr>
                <w:color w:val="105C84"/>
                <w:sz w:val="18"/>
              </w:rPr>
              <w:t>as</w:t>
            </w:r>
            <w:r>
              <w:rPr>
                <w:color w:val="105C84"/>
                <w:spacing w:val="-8"/>
                <w:sz w:val="18"/>
              </w:rPr>
              <w:t> </w:t>
            </w:r>
            <w:r>
              <w:rPr>
                <w:color w:val="105C84"/>
                <w:sz w:val="18"/>
              </w:rPr>
              <w:t>a</w:t>
            </w:r>
            <w:r>
              <w:rPr>
                <w:color w:val="105C84"/>
                <w:spacing w:val="-8"/>
                <w:sz w:val="18"/>
              </w:rPr>
              <w:t> </w:t>
            </w:r>
            <w:r>
              <w:rPr>
                <w:color w:val="105C84"/>
                <w:sz w:val="18"/>
              </w:rPr>
              <w:t>result</w:t>
            </w:r>
            <w:r>
              <w:rPr>
                <w:color w:val="105C84"/>
                <w:spacing w:val="-8"/>
                <w:sz w:val="18"/>
              </w:rPr>
              <w:t> </w:t>
            </w:r>
            <w:r>
              <w:rPr>
                <w:color w:val="105C84"/>
                <w:sz w:val="18"/>
              </w:rPr>
              <w:t>of</w:t>
            </w:r>
            <w:r>
              <w:rPr>
                <w:color w:val="105C84"/>
                <w:spacing w:val="-8"/>
                <w:sz w:val="18"/>
              </w:rPr>
              <w:t> </w:t>
            </w:r>
            <w:r>
              <w:rPr>
                <w:color w:val="105C84"/>
                <w:sz w:val="18"/>
              </w:rPr>
              <w:t>NYN/ similar initiative; 100% of pantries receiving 100% of the donations needed to</w:t>
            </w:r>
            <w:r>
              <w:rPr>
                <w:color w:val="105C84"/>
                <w:spacing w:val="40"/>
                <w:sz w:val="18"/>
              </w:rPr>
              <w:t> </w:t>
            </w:r>
            <w:r>
              <w:rPr>
                <w:color w:val="105C84"/>
                <w:sz w:val="18"/>
              </w:rPr>
              <w:t>meet needs of students and their families; 1 plan, formal or informal, showing how agencies will roll out this </w:t>
            </w:r>
            <w:r>
              <w:rPr>
                <w:color w:val="105C84"/>
                <w:spacing w:val="-2"/>
                <w:sz w:val="18"/>
              </w:rPr>
              <w:t>initiative</w:t>
            </w:r>
          </w:p>
        </w:tc>
        <w:tc>
          <w:tcPr>
            <w:tcW w:w="1901" w:type="dxa"/>
          </w:tcPr>
          <w:p>
            <w:pPr>
              <w:pStyle w:val="TableParagraph"/>
              <w:spacing w:line="232" w:lineRule="auto" w:before="98"/>
              <w:ind w:left="90" w:right="73"/>
              <w:rPr>
                <w:sz w:val="18"/>
              </w:rPr>
            </w:pPr>
            <w:r>
              <w:rPr>
                <w:color w:val="105C84"/>
                <w:sz w:val="18"/>
              </w:rPr>
              <w:t>Continue to: Implement</w:t>
            </w:r>
            <w:r>
              <w:rPr>
                <w:color w:val="105C84"/>
                <w:spacing w:val="-13"/>
                <w:sz w:val="18"/>
              </w:rPr>
              <w:t> </w:t>
            </w:r>
            <w:r>
              <w:rPr>
                <w:color w:val="105C84"/>
                <w:sz w:val="18"/>
              </w:rPr>
              <w:t>evidence-</w:t>
            </w:r>
            <w:r>
              <w:rPr>
                <w:color w:val="105C84"/>
                <w:spacing w:val="-2"/>
                <w:sz w:val="18"/>
              </w:rPr>
              <w:t>based/promising </w:t>
            </w:r>
            <w:r>
              <w:rPr>
                <w:color w:val="105C84"/>
                <w:sz w:val="18"/>
              </w:rPr>
              <w:t>practice solution to ensure school food pantries are stocked with nutritional foods</w:t>
            </w:r>
          </w:p>
          <w:p>
            <w:pPr>
              <w:pStyle w:val="TableParagraph"/>
              <w:spacing w:line="232" w:lineRule="auto" w:before="84"/>
              <w:ind w:left="90" w:right="510"/>
              <w:rPr>
                <w:sz w:val="18"/>
              </w:rPr>
            </w:pPr>
            <w:r>
              <w:rPr>
                <w:color w:val="105C84"/>
                <w:sz w:val="18"/>
              </w:rPr>
              <w:t>Public Health will</w:t>
            </w:r>
            <w:r>
              <w:rPr>
                <w:color w:val="105C84"/>
                <w:spacing w:val="-2"/>
                <w:sz w:val="18"/>
              </w:rPr>
              <w:t> </w:t>
            </w:r>
            <w:r>
              <w:rPr>
                <w:color w:val="105C84"/>
                <w:sz w:val="18"/>
              </w:rPr>
              <w:t>continue</w:t>
            </w:r>
            <w:r>
              <w:rPr>
                <w:color w:val="105C84"/>
                <w:spacing w:val="-2"/>
                <w:sz w:val="18"/>
              </w:rPr>
              <w:t> </w:t>
            </w:r>
            <w:r>
              <w:rPr>
                <w:color w:val="105C84"/>
                <w:sz w:val="18"/>
              </w:rPr>
              <w:t>to</w:t>
            </w:r>
          </w:p>
          <w:p>
            <w:pPr>
              <w:pStyle w:val="TableParagraph"/>
              <w:spacing w:line="232" w:lineRule="auto"/>
              <w:ind w:left="90" w:right="104"/>
              <w:rPr>
                <w:sz w:val="18"/>
              </w:rPr>
            </w:pPr>
            <w:r>
              <w:rPr>
                <w:color w:val="105C84"/>
                <w:sz w:val="18"/>
              </w:rPr>
              <w:t>implement Nourish Your</w:t>
            </w:r>
            <w:r>
              <w:rPr>
                <w:color w:val="105C84"/>
                <w:spacing w:val="-15"/>
                <w:sz w:val="18"/>
              </w:rPr>
              <w:t> </w:t>
            </w:r>
            <w:r>
              <w:rPr>
                <w:color w:val="105C84"/>
                <w:sz w:val="18"/>
              </w:rPr>
              <w:t>Neighbor</w:t>
            </w:r>
            <w:r>
              <w:rPr>
                <w:color w:val="105C84"/>
                <w:spacing w:val="-12"/>
                <w:sz w:val="18"/>
              </w:rPr>
              <w:t> </w:t>
            </w:r>
            <w:r>
              <w:rPr>
                <w:color w:val="105C84"/>
                <w:sz w:val="18"/>
              </w:rPr>
              <w:t>(NYN) or a similar initiative to solicit healthy</w:t>
            </w:r>
            <w:r>
              <w:rPr>
                <w:color w:val="105C84"/>
                <w:spacing w:val="80"/>
                <w:sz w:val="18"/>
              </w:rPr>
              <w:t> </w:t>
            </w:r>
            <w:r>
              <w:rPr>
                <w:color w:val="105C84"/>
                <w:sz w:val="18"/>
              </w:rPr>
              <w:t>food donations</w:t>
            </w:r>
          </w:p>
          <w:p>
            <w:pPr>
              <w:pStyle w:val="TableParagraph"/>
              <w:spacing w:line="232" w:lineRule="auto"/>
              <w:ind w:left="90" w:right="154"/>
              <w:rPr>
                <w:sz w:val="18"/>
              </w:rPr>
            </w:pPr>
            <w:r>
              <w:rPr>
                <w:color w:val="105C84"/>
                <w:sz w:val="18"/>
              </w:rPr>
              <w:t>from the community </w:t>
            </w:r>
            <w:r>
              <w:rPr>
                <w:color w:val="105C84"/>
                <w:spacing w:val="-2"/>
                <w:sz w:val="18"/>
              </w:rPr>
              <w:t>while</w:t>
            </w:r>
            <w:r>
              <w:rPr>
                <w:color w:val="105C84"/>
                <w:spacing w:val="-10"/>
                <w:sz w:val="18"/>
              </w:rPr>
              <w:t> </w:t>
            </w:r>
            <w:r>
              <w:rPr>
                <w:color w:val="105C84"/>
                <w:spacing w:val="-2"/>
                <w:sz w:val="18"/>
              </w:rPr>
              <w:t>simultaneously </w:t>
            </w:r>
            <w:r>
              <w:rPr>
                <w:color w:val="105C84"/>
                <w:sz w:val="18"/>
              </w:rPr>
              <w:t>educating county residents about nutrition, in collaboration with: schools, CCE/ FLESNY, and </w:t>
            </w:r>
            <w:r>
              <w:rPr>
                <w:color w:val="105C84"/>
                <w:spacing w:val="-2"/>
                <w:sz w:val="18"/>
              </w:rPr>
              <w:t>WCRHN</w:t>
            </w:r>
          </w:p>
        </w:tc>
        <w:tc>
          <w:tcPr>
            <w:tcW w:w="2009" w:type="dxa"/>
          </w:tcPr>
          <w:p>
            <w:pPr>
              <w:pStyle w:val="TableParagraph"/>
              <w:spacing w:line="232" w:lineRule="auto" w:before="97"/>
              <w:ind w:left="90" w:right="119"/>
              <w:rPr>
                <w:sz w:val="18"/>
              </w:rPr>
            </w:pPr>
            <w:r>
              <w:rPr>
                <w:color w:val="105C84"/>
                <w:sz w:val="18"/>
              </w:rPr>
              <w:t>Continue to: Implement</w:t>
            </w:r>
            <w:r>
              <w:rPr>
                <w:color w:val="105C84"/>
                <w:spacing w:val="-13"/>
                <w:sz w:val="18"/>
              </w:rPr>
              <w:t> </w:t>
            </w:r>
            <w:r>
              <w:rPr>
                <w:color w:val="105C84"/>
                <w:sz w:val="18"/>
              </w:rPr>
              <w:t>evidence-</w:t>
            </w:r>
            <w:r>
              <w:rPr>
                <w:color w:val="105C84"/>
                <w:spacing w:val="-2"/>
                <w:sz w:val="18"/>
              </w:rPr>
              <w:t>based/promising </w:t>
            </w:r>
            <w:r>
              <w:rPr>
                <w:color w:val="105C84"/>
                <w:sz w:val="18"/>
              </w:rPr>
              <w:t>practice solution to ensure school food pantries are stocked with nutritional foods</w:t>
            </w:r>
          </w:p>
          <w:p>
            <w:pPr>
              <w:pStyle w:val="TableParagraph"/>
              <w:spacing w:line="232" w:lineRule="auto" w:before="85"/>
              <w:ind w:left="90" w:right="692"/>
              <w:rPr>
                <w:sz w:val="18"/>
              </w:rPr>
            </w:pPr>
            <w:r>
              <w:rPr>
                <w:color w:val="105C84"/>
                <w:sz w:val="18"/>
              </w:rPr>
              <w:t>Public Health will</w:t>
            </w:r>
            <w:r>
              <w:rPr>
                <w:color w:val="105C84"/>
                <w:spacing w:val="-2"/>
                <w:sz w:val="18"/>
              </w:rPr>
              <w:t> </w:t>
            </w:r>
            <w:r>
              <w:rPr>
                <w:color w:val="105C84"/>
                <w:sz w:val="18"/>
              </w:rPr>
              <w:t>continue</w:t>
            </w:r>
            <w:r>
              <w:rPr>
                <w:color w:val="105C84"/>
                <w:spacing w:val="-2"/>
                <w:sz w:val="18"/>
              </w:rPr>
              <w:t> </w:t>
            </w:r>
            <w:r>
              <w:rPr>
                <w:color w:val="105C84"/>
                <w:sz w:val="18"/>
              </w:rPr>
              <w:t>to</w:t>
            </w:r>
          </w:p>
          <w:p>
            <w:pPr>
              <w:pStyle w:val="TableParagraph"/>
              <w:spacing w:line="232" w:lineRule="auto"/>
              <w:ind w:left="90" w:right="212"/>
              <w:rPr>
                <w:sz w:val="18"/>
              </w:rPr>
            </w:pPr>
            <w:r>
              <w:rPr>
                <w:color w:val="105C84"/>
                <w:sz w:val="18"/>
              </w:rPr>
              <w:t>implement Nourish Your</w:t>
            </w:r>
            <w:r>
              <w:rPr>
                <w:color w:val="105C84"/>
                <w:spacing w:val="-15"/>
                <w:sz w:val="18"/>
              </w:rPr>
              <w:t> </w:t>
            </w:r>
            <w:r>
              <w:rPr>
                <w:color w:val="105C84"/>
                <w:sz w:val="18"/>
              </w:rPr>
              <w:t>Neighbor</w:t>
            </w:r>
            <w:r>
              <w:rPr>
                <w:color w:val="105C84"/>
                <w:spacing w:val="-12"/>
                <w:sz w:val="18"/>
              </w:rPr>
              <w:t> </w:t>
            </w:r>
            <w:r>
              <w:rPr>
                <w:color w:val="105C84"/>
                <w:sz w:val="18"/>
              </w:rPr>
              <w:t>(NYN) or a similar initiative to solicit healthy</w:t>
            </w:r>
            <w:r>
              <w:rPr>
                <w:color w:val="105C84"/>
                <w:spacing w:val="80"/>
                <w:sz w:val="18"/>
              </w:rPr>
              <w:t> </w:t>
            </w:r>
            <w:r>
              <w:rPr>
                <w:color w:val="105C84"/>
                <w:sz w:val="18"/>
              </w:rPr>
              <w:t>food donations</w:t>
            </w:r>
          </w:p>
          <w:p>
            <w:pPr>
              <w:pStyle w:val="TableParagraph"/>
              <w:spacing w:line="232" w:lineRule="auto"/>
              <w:ind w:left="90" w:right="119"/>
              <w:rPr>
                <w:sz w:val="18"/>
              </w:rPr>
            </w:pPr>
            <w:r>
              <w:rPr>
                <w:color w:val="105C84"/>
                <w:sz w:val="18"/>
              </w:rPr>
              <w:t>from the community while simultaneously educating county residents about nutrition, in collaboration with: </w:t>
            </w:r>
            <w:r>
              <w:rPr>
                <w:color w:val="105C84"/>
                <w:spacing w:val="-6"/>
                <w:sz w:val="18"/>
              </w:rPr>
              <w:t>schools,</w:t>
            </w:r>
            <w:r>
              <w:rPr>
                <w:color w:val="105C84"/>
                <w:spacing w:val="-7"/>
                <w:sz w:val="18"/>
              </w:rPr>
              <w:t> </w:t>
            </w:r>
            <w:r>
              <w:rPr>
                <w:color w:val="105C84"/>
                <w:spacing w:val="-6"/>
                <w:sz w:val="18"/>
              </w:rPr>
              <w:t>CCE/FLESNY, </w:t>
            </w:r>
            <w:r>
              <w:rPr>
                <w:color w:val="105C84"/>
                <w:sz w:val="18"/>
              </w:rPr>
              <w:t>and WCRHN</w:t>
            </w:r>
          </w:p>
        </w:tc>
        <w:tc>
          <w:tcPr>
            <w:tcW w:w="1498" w:type="dxa"/>
          </w:tcPr>
          <w:p>
            <w:pPr>
              <w:pStyle w:val="TableParagraph"/>
              <w:spacing w:line="232" w:lineRule="auto" w:before="97"/>
              <w:ind w:left="89"/>
              <w:rPr>
                <w:sz w:val="18"/>
              </w:rPr>
            </w:pPr>
            <w:r>
              <w:rPr>
                <w:color w:val="105C84"/>
                <w:spacing w:val="-2"/>
                <w:sz w:val="18"/>
              </w:rPr>
              <w:t>Community-based organizations</w:t>
            </w:r>
          </w:p>
        </w:tc>
        <w:tc>
          <w:tcPr>
            <w:tcW w:w="1500" w:type="dxa"/>
          </w:tcPr>
          <w:p>
            <w:pPr>
              <w:pStyle w:val="TableParagraph"/>
              <w:spacing w:line="232" w:lineRule="auto" w:before="97"/>
              <w:ind w:left="89" w:right="165"/>
              <w:rPr>
                <w:sz w:val="18"/>
              </w:rPr>
            </w:pPr>
            <w:r>
              <w:rPr>
                <w:color w:val="105C84"/>
                <w:sz w:val="18"/>
              </w:rPr>
              <w:t>For partner roles, see projected</w:t>
            </w:r>
            <w:r>
              <w:rPr>
                <w:color w:val="105C84"/>
                <w:spacing w:val="-13"/>
                <w:sz w:val="18"/>
              </w:rPr>
              <w:t> </w:t>
            </w:r>
            <w:r>
              <w:rPr>
                <w:color w:val="105C84"/>
                <w:sz w:val="18"/>
              </w:rPr>
              <w:t>year </w:t>
            </w:r>
            <w:r>
              <w:rPr>
                <w:color w:val="105C84"/>
                <w:spacing w:val="-2"/>
                <w:sz w:val="18"/>
              </w:rPr>
              <w:t>columns</w:t>
            </w:r>
          </w:p>
          <w:p>
            <w:pPr>
              <w:pStyle w:val="TableParagraph"/>
              <w:spacing w:line="232" w:lineRule="auto" w:before="87"/>
              <w:ind w:left="89" w:right="165"/>
              <w:rPr>
                <w:sz w:val="18"/>
              </w:rPr>
            </w:pPr>
            <w:r>
              <w:rPr>
                <w:color w:val="105C84"/>
                <w:spacing w:val="-2"/>
                <w:sz w:val="18"/>
              </w:rPr>
              <w:t>Resources: </w:t>
            </w:r>
            <w:r>
              <w:rPr>
                <w:color w:val="105C84"/>
                <w:sz w:val="18"/>
              </w:rPr>
              <w:t>NYN</w:t>
            </w:r>
            <w:r>
              <w:rPr>
                <w:color w:val="105C84"/>
                <w:spacing w:val="-15"/>
                <w:sz w:val="18"/>
              </w:rPr>
              <w:t> </w:t>
            </w:r>
            <w:r>
              <w:rPr>
                <w:color w:val="105C84"/>
                <w:sz w:val="18"/>
              </w:rPr>
              <w:t>or</w:t>
            </w:r>
            <w:r>
              <w:rPr>
                <w:color w:val="105C84"/>
                <w:spacing w:val="-12"/>
                <w:sz w:val="18"/>
              </w:rPr>
              <w:t> </w:t>
            </w:r>
            <w:r>
              <w:rPr>
                <w:color w:val="105C84"/>
                <w:sz w:val="18"/>
              </w:rPr>
              <w:t>similar </w:t>
            </w:r>
            <w:r>
              <w:rPr>
                <w:color w:val="105C84"/>
                <w:spacing w:val="-2"/>
                <w:sz w:val="18"/>
              </w:rPr>
              <w:t>framework, advertising budget/ promotional</w:t>
            </w:r>
          </w:p>
          <w:p>
            <w:pPr>
              <w:pStyle w:val="TableParagraph"/>
              <w:spacing w:line="232" w:lineRule="auto"/>
              <w:ind w:left="89" w:right="80"/>
              <w:rPr>
                <w:sz w:val="18"/>
              </w:rPr>
            </w:pPr>
            <w:r>
              <w:rPr>
                <w:color w:val="105C84"/>
                <w:spacing w:val="-2"/>
                <w:sz w:val="18"/>
              </w:rPr>
              <w:t>resources/media coverage, supplies</w:t>
            </w:r>
            <w:r>
              <w:rPr>
                <w:color w:val="105C84"/>
                <w:spacing w:val="80"/>
                <w:w w:val="150"/>
                <w:sz w:val="18"/>
              </w:rPr>
              <w:t> </w:t>
            </w:r>
            <w:r>
              <w:rPr>
                <w:color w:val="105C84"/>
                <w:spacing w:val="-2"/>
                <w:sz w:val="18"/>
              </w:rPr>
              <w:t>budget,</w:t>
            </w:r>
          </w:p>
          <w:p>
            <w:pPr>
              <w:pStyle w:val="TableParagraph"/>
              <w:spacing w:line="232" w:lineRule="auto"/>
              <w:ind w:left="89" w:right="165"/>
              <w:rPr>
                <w:sz w:val="18"/>
              </w:rPr>
            </w:pPr>
            <w:r>
              <w:rPr>
                <w:color w:val="105C84"/>
                <w:sz w:val="18"/>
              </w:rPr>
              <w:t>WHIP agency staff and/or volunteer</w:t>
            </w:r>
            <w:r>
              <w:rPr>
                <w:color w:val="105C84"/>
                <w:spacing w:val="-11"/>
                <w:sz w:val="18"/>
              </w:rPr>
              <w:t> </w:t>
            </w:r>
            <w:r>
              <w:rPr>
                <w:color w:val="105C84"/>
                <w:sz w:val="18"/>
              </w:rPr>
              <w:t>time</w:t>
            </w:r>
          </w:p>
        </w:tc>
      </w:tr>
    </w:tbl>
    <w:p>
      <w:pPr>
        <w:tabs>
          <w:tab w:pos="23047" w:val="left" w:leader="none"/>
        </w:tabs>
        <w:spacing w:before="142"/>
        <w:ind w:left="0" w:right="0" w:firstLine="0"/>
        <w:jc w:val="left"/>
        <w:rPr>
          <w:b/>
          <w:sz w:val="26"/>
        </w:rPr>
      </w:pPr>
      <w:r>
        <w:rPr>
          <w:position w:val="-4"/>
        </w:rPr>
        <w:drawing>
          <wp:inline distT="0" distB="0" distL="0" distR="0">
            <wp:extent cx="568172" cy="184683"/>
            <wp:effectExtent l="0" t="0" r="0" b="0"/>
            <wp:docPr id="2052" name="Image 2052"/>
            <wp:cNvGraphicFramePr>
              <a:graphicFrameLocks/>
            </wp:cNvGraphicFramePr>
            <a:graphic>
              <a:graphicData uri="http://schemas.openxmlformats.org/drawingml/2006/picture">
                <pic:pic>
                  <pic:nvPicPr>
                    <pic:cNvPr id="2052" name="Image 2052"/>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13"/>
          <w:sz w:val="20"/>
        </w:rPr>
        <w:t> </w:t>
      </w:r>
      <w:r>
        <w:rPr>
          <w:b/>
          <w:color w:val="939598"/>
          <w:w w:val="105"/>
          <w:sz w:val="26"/>
        </w:rPr>
        <w:t>225</w:t>
      </w:r>
      <w:r>
        <w:rPr>
          <w:b/>
          <w:color w:val="939598"/>
          <w:sz w:val="26"/>
        </w:rPr>
        <w:tab/>
      </w:r>
      <w:r>
        <w:rPr>
          <w:b/>
          <w:color w:val="939598"/>
          <w:spacing w:val="-5"/>
          <w:w w:val="105"/>
          <w:sz w:val="26"/>
        </w:rPr>
        <w:t>226</w:t>
      </w:r>
    </w:p>
    <w:p>
      <w:pPr>
        <w:spacing w:after="0"/>
        <w:jc w:val="left"/>
        <w:rPr>
          <w:b/>
          <w:sz w:val="26"/>
        </w:rPr>
        <w:sectPr>
          <w:pgSz w:w="24480" w:h="15840" w:orient="landscape"/>
          <w:pgMar w:header="0" w:footer="0" w:top="860" w:bottom="0" w:left="0" w:right="720"/>
        </w:sectPr>
      </w:pPr>
    </w:p>
    <w:p>
      <w:pPr>
        <w:spacing w:before="609"/>
        <w:ind w:left="1089" w:right="0" w:firstLine="0"/>
        <w:jc w:val="left"/>
        <w:rPr>
          <w:sz w:val="54"/>
        </w:rPr>
      </w:pPr>
      <w:r>
        <w:rPr>
          <w:sz w:val="54"/>
        </w:rPr>
        <w:drawing>
          <wp:anchor distT="0" distB="0" distL="0" distR="0" allowOverlap="1" layoutInCell="1" locked="0" behindDoc="0" simplePos="0" relativeHeight="16039936">
            <wp:simplePos x="0" y="0"/>
            <wp:positionH relativeFrom="page">
              <wp:posOffset>14299183</wp:posOffset>
            </wp:positionH>
            <wp:positionV relativeFrom="paragraph">
              <wp:posOffset>345947</wp:posOffset>
            </wp:positionV>
            <wp:extent cx="620268" cy="568578"/>
            <wp:effectExtent l="0" t="0" r="0" b="0"/>
            <wp:wrapNone/>
            <wp:docPr id="2053" name="Image 2053"/>
            <wp:cNvGraphicFramePr>
              <a:graphicFrameLocks/>
            </wp:cNvGraphicFramePr>
            <a:graphic>
              <a:graphicData uri="http://schemas.openxmlformats.org/drawingml/2006/picture">
                <pic:pic>
                  <pic:nvPicPr>
                    <pic:cNvPr id="2053" name="Image 2053"/>
                    <pic:cNvPicPr/>
                  </pic:nvPicPr>
                  <pic:blipFill>
                    <a:blip r:embed="rId265" cstate="print"/>
                    <a:stretch>
                      <a:fillRect/>
                    </a:stretch>
                  </pic:blipFill>
                  <pic:spPr>
                    <a:xfrm>
                      <a:off x="0" y="0"/>
                      <a:ext cx="620268" cy="568578"/>
                    </a:xfrm>
                    <a:prstGeom prst="rect">
                      <a:avLst/>
                    </a:prstGeom>
                  </pic:spPr>
                </pic:pic>
              </a:graphicData>
            </a:graphic>
          </wp:anchor>
        </w:drawing>
      </w:r>
      <w:r>
        <w:rPr>
          <w:sz w:val="54"/>
        </w:rPr>
        <w:drawing>
          <wp:anchor distT="0" distB="0" distL="0" distR="0" allowOverlap="1" layoutInCell="1" locked="0" behindDoc="0" simplePos="0" relativeHeight="16040448">
            <wp:simplePos x="0" y="0"/>
            <wp:positionH relativeFrom="page">
              <wp:posOffset>14981556</wp:posOffset>
            </wp:positionH>
            <wp:positionV relativeFrom="page">
              <wp:posOffset>9668103</wp:posOffset>
            </wp:positionV>
            <wp:extent cx="563245" cy="184683"/>
            <wp:effectExtent l="0" t="0" r="0" b="0"/>
            <wp:wrapNone/>
            <wp:docPr id="2054" name="Image 2054"/>
            <wp:cNvGraphicFramePr>
              <a:graphicFrameLocks/>
            </wp:cNvGraphicFramePr>
            <a:graphic>
              <a:graphicData uri="http://schemas.openxmlformats.org/drawingml/2006/picture">
                <pic:pic>
                  <pic:nvPicPr>
                    <pic:cNvPr id="2054" name="Image 2054"/>
                    <pic:cNvPicPr/>
                  </pic:nvPicPr>
                  <pic:blipFill>
                    <a:blip r:embed="rId38" cstate="print"/>
                    <a:stretch>
                      <a:fillRect/>
                    </a:stretch>
                  </pic:blipFill>
                  <pic:spPr>
                    <a:xfrm>
                      <a:off x="0" y="0"/>
                      <a:ext cx="563245" cy="184683"/>
                    </a:xfrm>
                    <a:prstGeom prst="rect">
                      <a:avLst/>
                    </a:prstGeom>
                  </pic:spPr>
                </pic:pic>
              </a:graphicData>
            </a:graphic>
          </wp:anchor>
        </w:drawing>
      </w:r>
      <w:r>
        <w:rPr>
          <w:sz w:val="54"/>
        </w:rPr>
        <w:drawing>
          <wp:anchor distT="0" distB="0" distL="0" distR="0" allowOverlap="1" layoutInCell="1" locked="0" behindDoc="0" simplePos="0" relativeHeight="16040960">
            <wp:simplePos x="0" y="0"/>
            <wp:positionH relativeFrom="page">
              <wp:posOffset>13372084</wp:posOffset>
            </wp:positionH>
            <wp:positionV relativeFrom="paragraph">
              <wp:posOffset>365759</wp:posOffset>
            </wp:positionV>
            <wp:extent cx="728345" cy="366522"/>
            <wp:effectExtent l="0" t="0" r="0" b="0"/>
            <wp:wrapNone/>
            <wp:docPr id="2055" name="Image 2055"/>
            <wp:cNvGraphicFramePr>
              <a:graphicFrameLocks/>
            </wp:cNvGraphicFramePr>
            <a:graphic>
              <a:graphicData uri="http://schemas.openxmlformats.org/drawingml/2006/picture">
                <pic:pic>
                  <pic:nvPicPr>
                    <pic:cNvPr id="2055" name="Image 2055"/>
                    <pic:cNvPicPr/>
                  </pic:nvPicPr>
                  <pic:blipFill>
                    <a:blip r:embed="rId266" cstate="print"/>
                    <a:stretch>
                      <a:fillRect/>
                    </a:stretch>
                  </pic:blipFill>
                  <pic:spPr>
                    <a:xfrm>
                      <a:off x="0" y="0"/>
                      <a:ext cx="728345" cy="366522"/>
                    </a:xfrm>
                    <a:prstGeom prst="rect">
                      <a:avLst/>
                    </a:prstGeom>
                  </pic:spPr>
                </pic:pic>
              </a:graphicData>
            </a:graphic>
          </wp:anchor>
        </w:drawing>
      </w:r>
      <w:r>
        <w:rPr>
          <w:color w:val="636466"/>
          <w:sz w:val="54"/>
        </w:rPr>
        <w:t>Wayne</w:t>
      </w:r>
      <w:r>
        <w:rPr>
          <w:color w:val="636466"/>
          <w:spacing w:val="37"/>
          <w:sz w:val="54"/>
        </w:rPr>
        <w:t> </w:t>
      </w:r>
      <w:r>
        <w:rPr>
          <w:color w:val="636466"/>
          <w:sz w:val="54"/>
        </w:rPr>
        <w:t>County</w:t>
      </w:r>
      <w:r>
        <w:rPr>
          <w:color w:val="636466"/>
          <w:spacing w:val="38"/>
          <w:sz w:val="54"/>
        </w:rPr>
        <w:t> </w:t>
      </w:r>
      <w:r>
        <w:rPr>
          <w:color w:val="636466"/>
          <w:sz w:val="54"/>
        </w:rPr>
        <w:t>Appendix</w:t>
      </w:r>
      <w:r>
        <w:rPr>
          <w:color w:val="636466"/>
          <w:spacing w:val="38"/>
          <w:sz w:val="54"/>
        </w:rPr>
        <w:t> </w:t>
      </w:r>
      <w:r>
        <w:rPr>
          <w:color w:val="636466"/>
          <w:spacing w:val="-10"/>
          <w:sz w:val="54"/>
        </w:rPr>
        <w:t>G</w:t>
      </w:r>
    </w:p>
    <w:p>
      <w:pPr>
        <w:spacing w:line="247" w:lineRule="auto" w:before="236"/>
        <w:ind w:left="1089" w:right="13013" w:firstLine="0"/>
        <w:jc w:val="left"/>
        <w:rPr>
          <w:b/>
          <w:sz w:val="32"/>
        </w:rPr>
      </w:pPr>
      <w:r>
        <w:rPr>
          <w:b/>
          <w:color w:val="82BF6A"/>
          <w:spacing w:val="-4"/>
          <w:sz w:val="32"/>
        </w:rPr>
        <w:t>PRIORITY:</w:t>
      </w:r>
      <w:r>
        <w:rPr>
          <w:b/>
          <w:color w:val="82BF6A"/>
          <w:spacing w:val="-19"/>
          <w:sz w:val="32"/>
        </w:rPr>
        <w:t> </w:t>
      </w:r>
      <w:r>
        <w:rPr>
          <w:b/>
          <w:color w:val="82BF6A"/>
          <w:spacing w:val="-4"/>
          <w:sz w:val="32"/>
        </w:rPr>
        <w:t>PROMOTE</w:t>
      </w:r>
      <w:r>
        <w:rPr>
          <w:b/>
          <w:color w:val="82BF6A"/>
          <w:spacing w:val="-18"/>
          <w:sz w:val="32"/>
        </w:rPr>
        <w:t> </w:t>
      </w:r>
      <w:r>
        <w:rPr>
          <w:b/>
          <w:color w:val="82BF6A"/>
          <w:spacing w:val="-4"/>
          <w:sz w:val="32"/>
        </w:rPr>
        <w:t>WELL-BEING</w:t>
      </w:r>
      <w:r>
        <w:rPr>
          <w:b/>
          <w:color w:val="82BF6A"/>
          <w:spacing w:val="-18"/>
          <w:sz w:val="32"/>
        </w:rPr>
        <w:t> </w:t>
      </w:r>
      <w:r>
        <w:rPr>
          <w:b/>
          <w:color w:val="82BF6A"/>
          <w:spacing w:val="-4"/>
          <w:sz w:val="32"/>
        </w:rPr>
        <w:t>AND</w:t>
      </w:r>
      <w:r>
        <w:rPr>
          <w:b/>
          <w:color w:val="82BF6A"/>
          <w:spacing w:val="-18"/>
          <w:sz w:val="32"/>
        </w:rPr>
        <w:t> </w:t>
      </w:r>
      <w:r>
        <w:rPr>
          <w:b/>
          <w:color w:val="82BF6A"/>
          <w:spacing w:val="-4"/>
          <w:sz w:val="32"/>
        </w:rPr>
        <w:t>PREVENT</w:t>
      </w:r>
      <w:r>
        <w:rPr>
          <w:b/>
          <w:color w:val="82BF6A"/>
          <w:spacing w:val="-19"/>
          <w:sz w:val="32"/>
        </w:rPr>
        <w:t> </w:t>
      </w:r>
      <w:r>
        <w:rPr>
          <w:b/>
          <w:color w:val="82BF6A"/>
          <w:spacing w:val="-4"/>
          <w:sz w:val="32"/>
        </w:rPr>
        <w:t>MENTAL </w:t>
      </w:r>
      <w:r>
        <w:rPr>
          <w:b/>
          <w:color w:val="82BF6A"/>
          <w:sz w:val="32"/>
        </w:rPr>
        <w:t>AND</w:t>
      </w:r>
      <w:r>
        <w:rPr>
          <w:b/>
          <w:color w:val="82BF6A"/>
          <w:spacing w:val="-22"/>
          <w:sz w:val="32"/>
        </w:rPr>
        <w:t> </w:t>
      </w:r>
      <w:r>
        <w:rPr>
          <w:b/>
          <w:color w:val="82BF6A"/>
          <w:sz w:val="32"/>
        </w:rPr>
        <w:t>SUBSTANCE</w:t>
      </w:r>
      <w:r>
        <w:rPr>
          <w:b/>
          <w:color w:val="82BF6A"/>
          <w:spacing w:val="-22"/>
          <w:sz w:val="32"/>
        </w:rPr>
        <w:t> </w:t>
      </w:r>
      <w:r>
        <w:rPr>
          <w:b/>
          <w:color w:val="82BF6A"/>
          <w:sz w:val="32"/>
        </w:rPr>
        <w:t>USE</w:t>
      </w:r>
      <w:r>
        <w:rPr>
          <w:b/>
          <w:color w:val="82BF6A"/>
          <w:spacing w:val="-22"/>
          <w:sz w:val="32"/>
        </w:rPr>
        <w:t> </w:t>
      </w:r>
      <w:r>
        <w:rPr>
          <w:b/>
          <w:color w:val="82BF6A"/>
          <w:sz w:val="32"/>
        </w:rPr>
        <w:t>DISORDERS</w:t>
      </w:r>
    </w:p>
    <w:p>
      <w:pPr>
        <w:pStyle w:val="BodyText"/>
        <w:spacing w:before="152"/>
        <w:rPr>
          <w:b/>
          <w:sz w:val="20"/>
        </w:rPr>
      </w:pPr>
    </w:p>
    <w:tbl>
      <w:tblPr>
        <w:tblW w:w="0" w:type="auto"/>
        <w:jc w:val="left"/>
        <w:tblInd w:w="1099"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1425"/>
        <w:gridCol w:w="1281"/>
        <w:gridCol w:w="1267"/>
        <w:gridCol w:w="1325"/>
        <w:gridCol w:w="1066"/>
        <w:gridCol w:w="1440"/>
        <w:gridCol w:w="6970"/>
        <w:gridCol w:w="2823"/>
        <w:gridCol w:w="1685"/>
        <w:gridCol w:w="1498"/>
        <w:gridCol w:w="1551"/>
      </w:tblGrid>
      <w:tr>
        <w:trPr>
          <w:trHeight w:val="730" w:hRule="atLeast"/>
        </w:trPr>
        <w:tc>
          <w:tcPr>
            <w:tcW w:w="1425" w:type="dxa"/>
            <w:tcBorders>
              <w:right w:val="single" w:sz="4" w:space="0" w:color="FFFFFF"/>
            </w:tcBorders>
            <w:shd w:val="clear" w:color="auto" w:fill="A7A9AC"/>
          </w:tcPr>
          <w:p>
            <w:pPr>
              <w:pStyle w:val="TableParagraph"/>
              <w:spacing w:before="79"/>
              <w:rPr>
                <w:b/>
                <w:sz w:val="18"/>
              </w:rPr>
            </w:pPr>
          </w:p>
          <w:p>
            <w:pPr>
              <w:pStyle w:val="TableParagraph"/>
              <w:ind w:left="79"/>
              <w:rPr>
                <w:b/>
                <w:sz w:val="18"/>
              </w:rPr>
            </w:pPr>
            <w:r>
              <w:rPr>
                <w:b/>
                <w:color w:val="FFFFFF"/>
                <w:spacing w:val="-2"/>
                <w:sz w:val="18"/>
              </w:rPr>
              <w:t>Priority</w:t>
            </w:r>
          </w:p>
        </w:tc>
        <w:tc>
          <w:tcPr>
            <w:tcW w:w="1281" w:type="dxa"/>
            <w:tcBorders>
              <w:left w:val="single" w:sz="4" w:space="0" w:color="FFFFFF"/>
              <w:right w:val="single" w:sz="4" w:space="0" w:color="FFFFFF"/>
            </w:tcBorders>
            <w:shd w:val="clear" w:color="auto" w:fill="A7A9AC"/>
          </w:tcPr>
          <w:p>
            <w:pPr>
              <w:pStyle w:val="TableParagraph"/>
              <w:spacing w:before="79"/>
              <w:rPr>
                <w:b/>
                <w:sz w:val="18"/>
              </w:rPr>
            </w:pPr>
          </w:p>
          <w:p>
            <w:pPr>
              <w:pStyle w:val="TableParagraph"/>
              <w:ind w:left="80"/>
              <w:rPr>
                <w:b/>
                <w:sz w:val="18"/>
              </w:rPr>
            </w:pPr>
            <w:r>
              <w:rPr>
                <w:b/>
                <w:color w:val="FFFFFF"/>
                <w:w w:val="90"/>
                <w:sz w:val="18"/>
              </w:rPr>
              <w:t>Focus</w:t>
            </w:r>
            <w:r>
              <w:rPr>
                <w:b/>
                <w:color w:val="FFFFFF"/>
                <w:spacing w:val="8"/>
                <w:sz w:val="18"/>
              </w:rPr>
              <w:t> </w:t>
            </w:r>
            <w:r>
              <w:rPr>
                <w:b/>
                <w:color w:val="FFFFFF"/>
                <w:spacing w:val="-4"/>
                <w:sz w:val="18"/>
              </w:rPr>
              <w:t>Area</w:t>
            </w:r>
          </w:p>
        </w:tc>
        <w:tc>
          <w:tcPr>
            <w:tcW w:w="1267" w:type="dxa"/>
            <w:tcBorders>
              <w:left w:val="single" w:sz="4" w:space="0" w:color="FFFFFF"/>
              <w:right w:val="single" w:sz="4" w:space="0" w:color="FFFFFF"/>
            </w:tcBorders>
            <w:shd w:val="clear" w:color="auto" w:fill="A7A9AC"/>
          </w:tcPr>
          <w:p>
            <w:pPr>
              <w:pStyle w:val="TableParagraph"/>
              <w:spacing w:line="232" w:lineRule="auto" w:before="191"/>
              <w:ind w:left="80" w:right="237"/>
              <w:rPr>
                <w:b/>
                <w:sz w:val="18"/>
              </w:rPr>
            </w:pPr>
            <w:r>
              <w:rPr>
                <w:b/>
                <w:color w:val="FFFFFF"/>
                <w:spacing w:val="-6"/>
                <w:sz w:val="18"/>
              </w:rPr>
              <w:t>Goal</w:t>
            </w:r>
            <w:r>
              <w:rPr>
                <w:b/>
                <w:color w:val="FFFFFF"/>
                <w:spacing w:val="-7"/>
                <w:sz w:val="18"/>
              </w:rPr>
              <w:t> </w:t>
            </w:r>
            <w:r>
              <w:rPr>
                <w:b/>
                <w:color w:val="FFFFFF"/>
                <w:spacing w:val="-6"/>
                <w:sz w:val="18"/>
              </w:rPr>
              <w:t>Focus </w:t>
            </w:r>
            <w:r>
              <w:rPr>
                <w:b/>
                <w:color w:val="FFFFFF"/>
                <w:spacing w:val="-4"/>
                <w:sz w:val="18"/>
              </w:rPr>
              <w:t>Area</w:t>
            </w:r>
          </w:p>
        </w:tc>
        <w:tc>
          <w:tcPr>
            <w:tcW w:w="1325" w:type="dxa"/>
            <w:tcBorders>
              <w:left w:val="single" w:sz="4" w:space="0" w:color="FFFFFF"/>
              <w:right w:val="single" w:sz="4" w:space="0" w:color="FFFFFF"/>
            </w:tcBorders>
            <w:shd w:val="clear" w:color="auto" w:fill="A7A9AC"/>
          </w:tcPr>
          <w:p>
            <w:pPr>
              <w:pStyle w:val="TableParagraph"/>
              <w:spacing w:before="79"/>
              <w:rPr>
                <w:b/>
                <w:sz w:val="18"/>
              </w:rPr>
            </w:pPr>
          </w:p>
          <w:p>
            <w:pPr>
              <w:pStyle w:val="TableParagraph"/>
              <w:ind w:left="81"/>
              <w:rPr>
                <w:b/>
                <w:sz w:val="18"/>
              </w:rPr>
            </w:pPr>
            <w:r>
              <w:rPr>
                <w:b/>
                <w:color w:val="FFFFFF"/>
                <w:spacing w:val="-2"/>
                <w:sz w:val="18"/>
              </w:rPr>
              <w:t>Objectives</w:t>
            </w:r>
          </w:p>
        </w:tc>
        <w:tc>
          <w:tcPr>
            <w:tcW w:w="1066" w:type="dxa"/>
            <w:tcBorders>
              <w:left w:val="single" w:sz="4" w:space="0" w:color="FFFFFF"/>
              <w:right w:val="single" w:sz="4" w:space="0" w:color="FFFFFF"/>
            </w:tcBorders>
            <w:shd w:val="clear" w:color="auto" w:fill="A7A9AC"/>
          </w:tcPr>
          <w:p>
            <w:pPr>
              <w:pStyle w:val="TableParagraph"/>
              <w:spacing w:before="79"/>
              <w:rPr>
                <w:b/>
                <w:sz w:val="18"/>
              </w:rPr>
            </w:pPr>
          </w:p>
          <w:p>
            <w:pPr>
              <w:pStyle w:val="TableParagraph"/>
              <w:ind w:left="80"/>
              <w:rPr>
                <w:b/>
                <w:sz w:val="18"/>
              </w:rPr>
            </w:pPr>
            <w:r>
              <w:rPr>
                <w:b/>
                <w:color w:val="FFFFFF"/>
                <w:spacing w:val="-2"/>
                <w:sz w:val="18"/>
              </w:rPr>
              <w:t>Disparities</w:t>
            </w:r>
          </w:p>
        </w:tc>
        <w:tc>
          <w:tcPr>
            <w:tcW w:w="1440" w:type="dxa"/>
            <w:tcBorders>
              <w:left w:val="single" w:sz="4" w:space="0" w:color="FFFFFF"/>
              <w:right w:val="single" w:sz="4" w:space="0" w:color="FFFFFF"/>
            </w:tcBorders>
            <w:shd w:val="clear" w:color="auto" w:fill="A7A9AC"/>
          </w:tcPr>
          <w:p>
            <w:pPr>
              <w:pStyle w:val="TableParagraph"/>
              <w:spacing w:before="79"/>
              <w:rPr>
                <w:b/>
                <w:sz w:val="18"/>
              </w:rPr>
            </w:pPr>
          </w:p>
          <w:p>
            <w:pPr>
              <w:pStyle w:val="TableParagraph"/>
              <w:ind w:left="80"/>
              <w:rPr>
                <w:b/>
                <w:sz w:val="18"/>
              </w:rPr>
            </w:pPr>
            <w:r>
              <w:rPr>
                <w:b/>
                <w:color w:val="FFFFFF"/>
                <w:spacing w:val="-2"/>
                <w:sz w:val="18"/>
              </w:rPr>
              <w:t>Interventions</w:t>
            </w:r>
          </w:p>
        </w:tc>
        <w:tc>
          <w:tcPr>
            <w:tcW w:w="6970" w:type="dxa"/>
            <w:tcBorders>
              <w:left w:val="single" w:sz="4" w:space="0" w:color="FFFFFF"/>
              <w:right w:val="single" w:sz="4" w:space="0" w:color="FFFFFF"/>
            </w:tcBorders>
            <w:shd w:val="clear" w:color="auto" w:fill="A7A9AC"/>
          </w:tcPr>
          <w:p>
            <w:pPr>
              <w:pStyle w:val="TableParagraph"/>
              <w:spacing w:before="3"/>
              <w:rPr>
                <w:b/>
                <w:sz w:val="18"/>
              </w:rPr>
            </w:pPr>
          </w:p>
          <w:p>
            <w:pPr>
              <w:pStyle w:val="TableParagraph"/>
              <w:tabs>
                <w:tab w:pos="4428" w:val="left" w:leader="none"/>
              </w:tabs>
              <w:spacing w:line="156" w:lineRule="auto"/>
              <w:ind w:left="4428" w:right="422" w:hanging="4338"/>
              <w:rPr>
                <w:b/>
                <w:sz w:val="18"/>
              </w:rPr>
            </w:pPr>
            <w:r>
              <w:rPr>
                <w:b/>
                <w:color w:val="FFFFFF"/>
                <w:position w:val="-9"/>
                <w:sz w:val="18"/>
              </w:rPr>
              <w:t>Family of Measures</w:t>
              <w:tab/>
            </w:r>
            <w:r>
              <w:rPr>
                <w:b/>
                <w:color w:val="FFFFFF"/>
                <w:sz w:val="18"/>
              </w:rPr>
              <w:t>Projected</w:t>
            </w:r>
            <w:r>
              <w:rPr>
                <w:b/>
                <w:color w:val="FFFFFF"/>
                <w:spacing w:val="-15"/>
                <w:sz w:val="18"/>
              </w:rPr>
              <w:t> </w:t>
            </w:r>
            <w:r>
              <w:rPr>
                <w:b/>
                <w:color w:val="FFFFFF"/>
                <w:sz w:val="18"/>
              </w:rPr>
              <w:t>(or</w:t>
            </w:r>
            <w:r>
              <w:rPr>
                <w:b/>
                <w:color w:val="FFFFFF"/>
                <w:spacing w:val="-12"/>
                <w:sz w:val="18"/>
              </w:rPr>
              <w:t> </w:t>
            </w:r>
            <w:r>
              <w:rPr>
                <w:b/>
                <w:color w:val="FFFFFF"/>
                <w:sz w:val="18"/>
              </w:rPr>
              <w:t>completed) Year 1 Intervention</w:t>
            </w:r>
          </w:p>
        </w:tc>
        <w:tc>
          <w:tcPr>
            <w:tcW w:w="2823" w:type="dxa"/>
            <w:tcBorders>
              <w:left w:val="single" w:sz="4" w:space="0" w:color="FFFFFF"/>
              <w:right w:val="single" w:sz="4" w:space="0" w:color="FFFFFF"/>
            </w:tcBorders>
            <w:shd w:val="clear" w:color="auto" w:fill="A7A9AC"/>
          </w:tcPr>
          <w:p>
            <w:pPr>
              <w:pStyle w:val="TableParagraph"/>
              <w:spacing w:before="78"/>
              <w:rPr>
                <w:b/>
                <w:sz w:val="18"/>
              </w:rPr>
            </w:pPr>
          </w:p>
          <w:p>
            <w:pPr>
              <w:pStyle w:val="TableParagraph"/>
              <w:spacing w:before="1"/>
              <w:ind w:left="80"/>
              <w:rPr>
                <w:b/>
                <w:sz w:val="18"/>
              </w:rPr>
            </w:pPr>
            <w:r>
              <w:rPr>
                <w:b/>
                <w:color w:val="FFFFFF"/>
                <w:spacing w:val="-2"/>
                <w:sz w:val="18"/>
              </w:rPr>
              <w:t>Projected</w:t>
            </w:r>
            <w:r>
              <w:rPr>
                <w:b/>
                <w:color w:val="FFFFFF"/>
                <w:spacing w:val="-6"/>
                <w:sz w:val="18"/>
              </w:rPr>
              <w:t> </w:t>
            </w:r>
            <w:r>
              <w:rPr>
                <w:b/>
                <w:color w:val="FFFFFF"/>
                <w:spacing w:val="-2"/>
                <w:sz w:val="18"/>
              </w:rPr>
              <w:t>Year</w:t>
            </w:r>
            <w:r>
              <w:rPr>
                <w:b/>
                <w:color w:val="FFFFFF"/>
                <w:spacing w:val="-5"/>
                <w:sz w:val="18"/>
              </w:rPr>
              <w:t> </w:t>
            </w:r>
            <w:r>
              <w:rPr>
                <w:b/>
                <w:color w:val="FFFFFF"/>
                <w:spacing w:val="-12"/>
                <w:sz w:val="18"/>
              </w:rPr>
              <w:t>2</w:t>
            </w:r>
          </w:p>
        </w:tc>
        <w:tc>
          <w:tcPr>
            <w:tcW w:w="1685" w:type="dxa"/>
            <w:tcBorders>
              <w:left w:val="single" w:sz="4" w:space="0" w:color="FFFFFF"/>
              <w:right w:val="single" w:sz="4" w:space="0" w:color="FFFFFF"/>
            </w:tcBorders>
            <w:shd w:val="clear" w:color="auto" w:fill="A7A9AC"/>
          </w:tcPr>
          <w:p>
            <w:pPr>
              <w:pStyle w:val="TableParagraph"/>
              <w:spacing w:line="232" w:lineRule="auto" w:before="190"/>
              <w:ind w:left="79"/>
              <w:rPr>
                <w:b/>
                <w:sz w:val="18"/>
              </w:rPr>
            </w:pPr>
            <w:r>
              <w:rPr>
                <w:b/>
                <w:color w:val="FFFFFF"/>
                <w:spacing w:val="-2"/>
                <w:sz w:val="18"/>
              </w:rPr>
              <w:t>Projected</w:t>
            </w:r>
            <w:r>
              <w:rPr>
                <w:b/>
                <w:color w:val="FFFFFF"/>
                <w:spacing w:val="-13"/>
                <w:sz w:val="18"/>
              </w:rPr>
              <w:t> </w:t>
            </w:r>
            <w:r>
              <w:rPr>
                <w:b/>
                <w:color w:val="FFFFFF"/>
                <w:spacing w:val="-2"/>
                <w:sz w:val="18"/>
              </w:rPr>
              <w:t>Year</w:t>
            </w:r>
            <w:r>
              <w:rPr>
                <w:b/>
                <w:color w:val="FFFFFF"/>
                <w:spacing w:val="-10"/>
                <w:sz w:val="18"/>
              </w:rPr>
              <w:t> </w:t>
            </w:r>
            <w:r>
              <w:rPr>
                <w:b/>
                <w:color w:val="FFFFFF"/>
                <w:spacing w:val="-2"/>
                <w:sz w:val="18"/>
              </w:rPr>
              <w:t>3 Interventions</w:t>
            </w:r>
          </w:p>
        </w:tc>
        <w:tc>
          <w:tcPr>
            <w:tcW w:w="1498" w:type="dxa"/>
            <w:tcBorders>
              <w:left w:val="single" w:sz="4" w:space="0" w:color="FFFFFF"/>
            </w:tcBorders>
            <w:shd w:val="clear" w:color="auto" w:fill="A7A9AC"/>
          </w:tcPr>
          <w:p>
            <w:pPr>
              <w:pStyle w:val="TableParagraph"/>
              <w:spacing w:line="232" w:lineRule="auto" w:before="190"/>
              <w:ind w:left="79"/>
              <w:rPr>
                <w:b/>
                <w:sz w:val="18"/>
              </w:rPr>
            </w:pPr>
            <w:r>
              <w:rPr>
                <w:b/>
                <w:color w:val="FFFFFF"/>
                <w:spacing w:val="-2"/>
                <w:sz w:val="18"/>
              </w:rPr>
              <w:t>Implementation Partner</w:t>
            </w:r>
          </w:p>
        </w:tc>
        <w:tc>
          <w:tcPr>
            <w:tcW w:w="1551" w:type="dxa"/>
            <w:shd w:val="clear" w:color="auto" w:fill="A7A9AC"/>
          </w:tcPr>
          <w:p>
            <w:pPr>
              <w:pStyle w:val="TableParagraph"/>
              <w:spacing w:line="232" w:lineRule="auto" w:before="190"/>
              <w:ind w:left="78" w:right="217"/>
              <w:rPr>
                <w:b/>
                <w:sz w:val="18"/>
              </w:rPr>
            </w:pPr>
            <w:r>
              <w:rPr>
                <w:b/>
                <w:color w:val="FFFFFF"/>
                <w:spacing w:val="-4"/>
                <w:sz w:val="18"/>
              </w:rPr>
              <w:t>Partner</w:t>
            </w:r>
            <w:r>
              <w:rPr>
                <w:b/>
                <w:color w:val="FFFFFF"/>
                <w:spacing w:val="-9"/>
                <w:sz w:val="18"/>
              </w:rPr>
              <w:t> </w:t>
            </w:r>
            <w:r>
              <w:rPr>
                <w:b/>
                <w:color w:val="FFFFFF"/>
                <w:spacing w:val="-4"/>
                <w:sz w:val="18"/>
              </w:rPr>
              <w:t>Role(s) </w:t>
            </w:r>
            <w:r>
              <w:rPr>
                <w:b/>
                <w:color w:val="FFFFFF"/>
                <w:sz w:val="18"/>
              </w:rPr>
              <w:t>and</w:t>
            </w:r>
            <w:r>
              <w:rPr>
                <w:b/>
                <w:color w:val="FFFFFF"/>
                <w:spacing w:val="-7"/>
                <w:sz w:val="18"/>
              </w:rPr>
              <w:t> Resources</w:t>
            </w:r>
          </w:p>
        </w:tc>
      </w:tr>
      <w:tr>
        <w:trPr>
          <w:trHeight w:val="4130" w:hRule="atLeast"/>
        </w:trPr>
        <w:tc>
          <w:tcPr>
            <w:tcW w:w="1425" w:type="dxa"/>
            <w:vMerge w:val="restart"/>
            <w:shd w:val="clear" w:color="auto" w:fill="E6E7E8"/>
          </w:tcPr>
          <w:p>
            <w:pPr>
              <w:pStyle w:val="TableParagraph"/>
              <w:spacing w:line="232" w:lineRule="auto" w:before="100"/>
              <w:ind w:left="89" w:right="332"/>
              <w:rPr>
                <w:sz w:val="18"/>
              </w:rPr>
            </w:pPr>
            <w:r>
              <w:rPr>
                <w:color w:val="105C84"/>
                <w:spacing w:val="-2"/>
                <w:sz w:val="18"/>
              </w:rPr>
              <w:t>Promote Well-Being </w:t>
            </w:r>
            <w:r>
              <w:rPr>
                <w:color w:val="105C84"/>
                <w:sz w:val="18"/>
              </w:rPr>
              <w:t>and</w:t>
            </w:r>
            <w:r>
              <w:rPr>
                <w:color w:val="105C84"/>
                <w:spacing w:val="-13"/>
                <w:sz w:val="18"/>
              </w:rPr>
              <w:t> </w:t>
            </w:r>
            <w:r>
              <w:rPr>
                <w:color w:val="105C84"/>
                <w:sz w:val="18"/>
              </w:rPr>
              <w:t>Prevent Mental and</w:t>
            </w:r>
          </w:p>
          <w:p>
            <w:pPr>
              <w:pStyle w:val="TableParagraph"/>
              <w:spacing w:line="232" w:lineRule="auto"/>
              <w:ind w:left="89"/>
              <w:rPr>
                <w:sz w:val="18"/>
              </w:rPr>
            </w:pPr>
            <w:r>
              <w:rPr>
                <w:color w:val="105C84"/>
                <w:spacing w:val="-2"/>
                <w:sz w:val="18"/>
              </w:rPr>
              <w:t>Substance</w:t>
            </w:r>
            <w:r>
              <w:rPr>
                <w:color w:val="105C84"/>
                <w:spacing w:val="-11"/>
                <w:sz w:val="18"/>
              </w:rPr>
              <w:t> </w:t>
            </w:r>
            <w:r>
              <w:rPr>
                <w:color w:val="105C84"/>
                <w:spacing w:val="-2"/>
                <w:sz w:val="18"/>
              </w:rPr>
              <w:t>Use Disorders</w:t>
            </w:r>
          </w:p>
        </w:tc>
        <w:tc>
          <w:tcPr>
            <w:tcW w:w="1281" w:type="dxa"/>
            <w:vMerge w:val="restart"/>
          </w:tcPr>
          <w:p>
            <w:pPr>
              <w:pStyle w:val="TableParagraph"/>
              <w:spacing w:line="232" w:lineRule="auto" w:before="100"/>
              <w:ind w:left="90" w:right="101"/>
              <w:rPr>
                <w:sz w:val="18"/>
              </w:rPr>
            </w:pPr>
            <w:r>
              <w:rPr>
                <w:color w:val="105C84"/>
                <w:spacing w:val="-4"/>
                <w:sz w:val="18"/>
              </w:rPr>
              <w:t>Focus</w:t>
            </w:r>
            <w:r>
              <w:rPr>
                <w:color w:val="105C84"/>
                <w:spacing w:val="-11"/>
                <w:sz w:val="18"/>
              </w:rPr>
              <w:t> </w:t>
            </w:r>
            <w:r>
              <w:rPr>
                <w:color w:val="105C84"/>
                <w:spacing w:val="-4"/>
                <w:sz w:val="18"/>
              </w:rPr>
              <w:t>Area</w:t>
            </w:r>
            <w:r>
              <w:rPr>
                <w:color w:val="105C84"/>
                <w:spacing w:val="-8"/>
                <w:sz w:val="18"/>
              </w:rPr>
              <w:t> </w:t>
            </w:r>
            <w:r>
              <w:rPr>
                <w:color w:val="105C84"/>
                <w:spacing w:val="-4"/>
                <w:sz w:val="18"/>
              </w:rPr>
              <w:t>1: </w:t>
            </w:r>
            <w:r>
              <w:rPr>
                <w:color w:val="105C84"/>
                <w:spacing w:val="-2"/>
                <w:sz w:val="18"/>
              </w:rPr>
              <w:t>Promote</w:t>
            </w:r>
            <w:r>
              <w:rPr>
                <w:color w:val="105C84"/>
                <w:spacing w:val="40"/>
                <w:sz w:val="18"/>
              </w:rPr>
              <w:t> </w:t>
            </w:r>
            <w:r>
              <w:rPr>
                <w:color w:val="105C84"/>
                <w:spacing w:val="-2"/>
                <w:sz w:val="18"/>
              </w:rPr>
              <w:t>Well-Being</w:t>
            </w:r>
          </w:p>
        </w:tc>
        <w:tc>
          <w:tcPr>
            <w:tcW w:w="1267" w:type="dxa"/>
            <w:vMerge w:val="restart"/>
          </w:tcPr>
          <w:p>
            <w:pPr>
              <w:pStyle w:val="TableParagraph"/>
              <w:spacing w:line="232" w:lineRule="auto" w:before="100"/>
              <w:ind w:left="90" w:right="86"/>
              <w:rPr>
                <w:sz w:val="18"/>
              </w:rPr>
            </w:pPr>
            <w:r>
              <w:rPr>
                <w:color w:val="105C84"/>
                <w:w w:val="105"/>
                <w:sz w:val="18"/>
              </w:rPr>
              <w:t>Goal</w:t>
            </w:r>
            <w:r>
              <w:rPr>
                <w:color w:val="105C84"/>
                <w:spacing w:val="-1"/>
                <w:w w:val="105"/>
                <w:sz w:val="18"/>
              </w:rPr>
              <w:t> </w:t>
            </w:r>
            <w:r>
              <w:rPr>
                <w:color w:val="105C84"/>
                <w:w w:val="105"/>
                <w:sz w:val="18"/>
              </w:rPr>
              <w:t>1.1: </w:t>
            </w:r>
            <w:r>
              <w:rPr>
                <w:color w:val="105C84"/>
                <w:spacing w:val="-2"/>
                <w:w w:val="105"/>
                <w:sz w:val="18"/>
              </w:rPr>
              <w:t>Strengthen </w:t>
            </w:r>
            <w:r>
              <w:rPr>
                <w:color w:val="105C84"/>
                <w:spacing w:val="-2"/>
                <w:sz w:val="18"/>
              </w:rPr>
              <w:t>opportunities </w:t>
            </w:r>
            <w:r>
              <w:rPr>
                <w:color w:val="105C84"/>
                <w:w w:val="105"/>
                <w:sz w:val="18"/>
              </w:rPr>
              <w:t>to</w:t>
            </w:r>
            <w:r>
              <w:rPr>
                <w:color w:val="105C84"/>
                <w:spacing w:val="-6"/>
                <w:w w:val="105"/>
                <w:sz w:val="18"/>
              </w:rPr>
              <w:t> </w:t>
            </w:r>
            <w:r>
              <w:rPr>
                <w:color w:val="105C84"/>
                <w:w w:val="105"/>
                <w:sz w:val="18"/>
              </w:rPr>
              <w:t>build</w:t>
            </w:r>
            <w:r>
              <w:rPr>
                <w:color w:val="105C84"/>
                <w:spacing w:val="-6"/>
                <w:w w:val="105"/>
                <w:sz w:val="18"/>
              </w:rPr>
              <w:t> </w:t>
            </w:r>
            <w:r>
              <w:rPr>
                <w:color w:val="105C84"/>
                <w:w w:val="105"/>
                <w:sz w:val="18"/>
              </w:rPr>
              <w:t>well-being</w:t>
            </w:r>
            <w:r>
              <w:rPr>
                <w:color w:val="105C84"/>
                <w:spacing w:val="-1"/>
                <w:w w:val="105"/>
                <w:sz w:val="18"/>
              </w:rPr>
              <w:t> </w:t>
            </w:r>
            <w:r>
              <w:rPr>
                <w:color w:val="105C84"/>
                <w:w w:val="105"/>
                <w:sz w:val="18"/>
              </w:rPr>
              <w:t>and </w:t>
            </w:r>
            <w:r>
              <w:rPr>
                <w:color w:val="105C84"/>
                <w:spacing w:val="-2"/>
                <w:w w:val="105"/>
                <w:sz w:val="18"/>
              </w:rPr>
              <w:t>resilience </w:t>
            </w:r>
            <w:r>
              <w:rPr>
                <w:color w:val="105C84"/>
                <w:w w:val="105"/>
                <w:sz w:val="18"/>
              </w:rPr>
              <w:t>across</w:t>
            </w:r>
            <w:r>
              <w:rPr>
                <w:color w:val="105C84"/>
                <w:spacing w:val="-1"/>
                <w:w w:val="105"/>
                <w:sz w:val="18"/>
              </w:rPr>
              <w:t> </w:t>
            </w:r>
            <w:r>
              <w:rPr>
                <w:color w:val="105C84"/>
                <w:w w:val="105"/>
                <w:sz w:val="18"/>
              </w:rPr>
              <w:t>the </w:t>
            </w:r>
            <w:r>
              <w:rPr>
                <w:color w:val="105C84"/>
                <w:spacing w:val="-2"/>
                <w:w w:val="105"/>
                <w:sz w:val="18"/>
              </w:rPr>
              <w:t>lifespan</w:t>
            </w:r>
          </w:p>
        </w:tc>
        <w:tc>
          <w:tcPr>
            <w:tcW w:w="1325" w:type="dxa"/>
            <w:vMerge w:val="restart"/>
          </w:tcPr>
          <w:p>
            <w:pPr>
              <w:pStyle w:val="TableParagraph"/>
              <w:spacing w:line="232" w:lineRule="auto" w:before="100"/>
              <w:ind w:left="90" w:right="84"/>
              <w:rPr>
                <w:sz w:val="18"/>
              </w:rPr>
            </w:pPr>
            <w:r>
              <w:rPr>
                <w:color w:val="105C84"/>
                <w:spacing w:val="-6"/>
                <w:sz w:val="18"/>
              </w:rPr>
              <w:t>1.1.1</w:t>
            </w:r>
            <w:r>
              <w:rPr>
                <w:color w:val="105C84"/>
                <w:spacing w:val="-7"/>
                <w:sz w:val="18"/>
              </w:rPr>
              <w:t> </w:t>
            </w:r>
            <w:r>
              <w:rPr>
                <w:color w:val="105C84"/>
                <w:spacing w:val="-6"/>
                <w:sz w:val="18"/>
              </w:rPr>
              <w:t>Increas</w:t>
            </w:r>
            <w:r>
              <w:rPr>
                <w:color w:val="105C84"/>
                <w:spacing w:val="-6"/>
                <w:sz w:val="18"/>
              </w:rPr>
              <w:t>e</w:t>
            </w:r>
            <w:r>
              <w:rPr>
                <w:color w:val="105C84"/>
                <w:spacing w:val="-6"/>
                <w:sz w:val="18"/>
              </w:rPr>
              <w:t> </w:t>
            </w:r>
            <w:r>
              <w:rPr>
                <w:color w:val="105C84"/>
                <w:spacing w:val="-2"/>
                <w:sz w:val="18"/>
              </w:rPr>
              <w:t>Wayne County's Opportunity </w:t>
            </w:r>
            <w:r>
              <w:rPr>
                <w:color w:val="105C84"/>
                <w:sz w:val="18"/>
              </w:rPr>
              <w:t>Index Score;</w:t>
            </w:r>
          </w:p>
          <w:p>
            <w:pPr>
              <w:pStyle w:val="TableParagraph"/>
              <w:spacing w:line="232" w:lineRule="auto"/>
              <w:ind w:left="90" w:right="84"/>
              <w:rPr>
                <w:sz w:val="18"/>
              </w:rPr>
            </w:pPr>
            <w:r>
              <w:rPr>
                <w:color w:val="105C84"/>
                <w:sz w:val="18"/>
              </w:rPr>
              <w:t>1.1.3 Reduce the</w:t>
            </w:r>
            <w:r>
              <w:rPr>
                <w:color w:val="105C84"/>
                <w:spacing w:val="-5"/>
                <w:sz w:val="18"/>
              </w:rPr>
              <w:t> </w:t>
            </w:r>
            <w:r>
              <w:rPr>
                <w:color w:val="105C84"/>
                <w:sz w:val="18"/>
              </w:rPr>
              <w:t>number</w:t>
            </w:r>
            <w:r>
              <w:rPr>
                <w:color w:val="105C84"/>
                <w:spacing w:val="-5"/>
                <w:sz w:val="18"/>
              </w:rPr>
              <w:t> </w:t>
            </w:r>
            <w:r>
              <w:rPr>
                <w:color w:val="105C84"/>
                <w:sz w:val="18"/>
              </w:rPr>
              <w:t>of</w:t>
            </w:r>
            <w:r>
              <w:rPr>
                <w:color w:val="105C84"/>
                <w:sz w:val="18"/>
              </w:rPr>
              <w:t> youth grades 9-12 who</w:t>
            </w:r>
          </w:p>
          <w:p>
            <w:pPr>
              <w:pStyle w:val="TableParagraph"/>
              <w:spacing w:line="232" w:lineRule="auto"/>
              <w:ind w:left="90" w:right="84"/>
              <w:rPr>
                <w:sz w:val="18"/>
              </w:rPr>
            </w:pPr>
            <w:r>
              <w:rPr>
                <w:color w:val="105C84"/>
                <w:sz w:val="18"/>
              </w:rPr>
              <w:t>felt</w:t>
            </w:r>
            <w:r>
              <w:rPr>
                <w:color w:val="105C84"/>
                <w:spacing w:val="-15"/>
                <w:sz w:val="18"/>
              </w:rPr>
              <w:t> </w:t>
            </w:r>
            <w:r>
              <w:rPr>
                <w:color w:val="105C84"/>
                <w:sz w:val="18"/>
              </w:rPr>
              <w:t>sad</w:t>
            </w:r>
            <w:r>
              <w:rPr>
                <w:color w:val="105C84"/>
                <w:spacing w:val="-12"/>
                <w:sz w:val="18"/>
              </w:rPr>
              <w:t> </w:t>
            </w:r>
            <w:r>
              <w:rPr>
                <w:color w:val="105C84"/>
                <w:sz w:val="18"/>
              </w:rPr>
              <w:t>or </w:t>
            </w:r>
            <w:r>
              <w:rPr>
                <w:color w:val="105C84"/>
                <w:spacing w:val="-2"/>
                <w:sz w:val="18"/>
              </w:rPr>
              <w:t>hopeless</w:t>
            </w:r>
          </w:p>
        </w:tc>
        <w:tc>
          <w:tcPr>
            <w:tcW w:w="1066" w:type="dxa"/>
            <w:vMerge w:val="restart"/>
          </w:tcPr>
          <w:p>
            <w:pPr>
              <w:pStyle w:val="TableParagraph"/>
              <w:spacing w:line="232" w:lineRule="auto" w:before="100"/>
              <w:ind w:left="90"/>
              <w:rPr>
                <w:sz w:val="18"/>
              </w:rPr>
            </w:pPr>
            <w:r>
              <w:rPr>
                <w:color w:val="105C84"/>
                <w:sz w:val="18"/>
              </w:rPr>
              <w:t>Low SES </w:t>
            </w:r>
            <w:r>
              <w:rPr>
                <w:color w:val="105C84"/>
                <w:spacing w:val="-2"/>
                <w:sz w:val="18"/>
              </w:rPr>
              <w:t>families (food </w:t>
            </w:r>
            <w:r>
              <w:rPr>
                <w:color w:val="105C84"/>
                <w:spacing w:val="-4"/>
                <w:sz w:val="18"/>
              </w:rPr>
              <w:t>insecurity)</w:t>
            </w:r>
          </w:p>
        </w:tc>
        <w:tc>
          <w:tcPr>
            <w:tcW w:w="1440" w:type="dxa"/>
            <w:vMerge w:val="restart"/>
          </w:tcPr>
          <w:p>
            <w:pPr>
              <w:pStyle w:val="TableParagraph"/>
              <w:spacing w:line="203" w:lineRule="exact" w:before="95"/>
              <w:ind w:left="90"/>
              <w:rPr>
                <w:sz w:val="18"/>
              </w:rPr>
            </w:pPr>
            <w:r>
              <w:rPr>
                <w:color w:val="105C84"/>
                <w:spacing w:val="-2"/>
                <w:sz w:val="18"/>
              </w:rPr>
              <w:t>Intervention</w:t>
            </w:r>
          </w:p>
          <w:p>
            <w:pPr>
              <w:pStyle w:val="TableParagraph"/>
              <w:spacing w:line="232" w:lineRule="auto" w:before="1"/>
              <w:ind w:left="90" w:right="59"/>
              <w:rPr>
                <w:sz w:val="18"/>
              </w:rPr>
            </w:pPr>
            <w:r>
              <w:rPr>
                <w:color w:val="105C84"/>
                <w:sz w:val="18"/>
              </w:rPr>
              <w:t>1.1.3: create and sustain </w:t>
            </w:r>
            <w:r>
              <w:rPr>
                <w:color w:val="105C84"/>
                <w:spacing w:val="-2"/>
                <w:sz w:val="18"/>
              </w:rPr>
              <w:t>inclusive, </w:t>
            </w:r>
            <w:r>
              <w:rPr>
                <w:color w:val="105C84"/>
                <w:sz w:val="18"/>
              </w:rPr>
              <w:t>healthy public spaces: ensure space for </w:t>
            </w:r>
            <w:r>
              <w:rPr>
                <w:color w:val="105C84"/>
                <w:spacing w:val="-4"/>
                <w:sz w:val="18"/>
              </w:rPr>
              <w:t>physical</w:t>
            </w:r>
            <w:r>
              <w:rPr>
                <w:color w:val="105C84"/>
                <w:spacing w:val="-12"/>
                <w:sz w:val="18"/>
              </w:rPr>
              <w:t> </w:t>
            </w:r>
            <w:r>
              <w:rPr>
                <w:color w:val="105C84"/>
                <w:spacing w:val="-4"/>
                <w:sz w:val="18"/>
              </w:rPr>
              <w:t>activity</w:t>
            </w:r>
            <w:r>
              <w:rPr>
                <w:color w:val="105C84"/>
                <w:spacing w:val="-4"/>
                <w:sz w:val="18"/>
              </w:rPr>
              <w:t>,</w:t>
            </w:r>
            <w:r>
              <w:rPr>
                <w:color w:val="105C84"/>
                <w:spacing w:val="-4"/>
                <w:sz w:val="18"/>
              </w:rPr>
              <w:t> </w:t>
            </w:r>
            <w:r>
              <w:rPr>
                <w:color w:val="105C84"/>
                <w:sz w:val="18"/>
              </w:rPr>
              <w:t>food access, sleep;</w:t>
            </w:r>
            <w:r>
              <w:rPr>
                <w:color w:val="105C84"/>
                <w:spacing w:val="-4"/>
                <w:sz w:val="18"/>
              </w:rPr>
              <w:t> </w:t>
            </w:r>
            <w:r>
              <w:rPr>
                <w:color w:val="105C84"/>
                <w:sz w:val="18"/>
              </w:rPr>
              <w:t>civic</w:t>
            </w:r>
            <w:r>
              <w:rPr>
                <w:color w:val="105C84"/>
                <w:spacing w:val="-4"/>
                <w:sz w:val="18"/>
              </w:rPr>
              <w:t> </w:t>
            </w:r>
            <w:r>
              <w:rPr>
                <w:color w:val="105C84"/>
                <w:sz w:val="18"/>
              </w:rPr>
              <w:t>and </w:t>
            </w:r>
            <w:r>
              <w:rPr>
                <w:color w:val="105C84"/>
                <w:spacing w:val="-2"/>
                <w:sz w:val="18"/>
              </w:rPr>
              <w:t>community engagement </w:t>
            </w:r>
            <w:r>
              <w:rPr>
                <w:color w:val="105C84"/>
                <w:sz w:val="18"/>
              </w:rPr>
              <w:t>across the </w:t>
            </w:r>
            <w:r>
              <w:rPr>
                <w:color w:val="105C84"/>
                <w:spacing w:val="-2"/>
                <w:sz w:val="18"/>
              </w:rPr>
              <w:t>lifespan</w:t>
            </w:r>
          </w:p>
        </w:tc>
        <w:tc>
          <w:tcPr>
            <w:tcW w:w="6970" w:type="dxa"/>
          </w:tcPr>
          <w:p>
            <w:pPr>
              <w:pStyle w:val="TableParagraph"/>
              <w:tabs>
                <w:tab w:pos="4428" w:val="left" w:leader="none"/>
              </w:tabs>
              <w:spacing w:line="203" w:lineRule="exact" w:before="95"/>
              <w:ind w:left="90"/>
              <w:rPr>
                <w:sz w:val="18"/>
              </w:rPr>
            </w:pPr>
            <w:r>
              <w:rPr>
                <w:color w:val="105C84"/>
                <w:sz w:val="18"/>
              </w:rPr>
              <w:t>50</w:t>
            </w:r>
            <w:r>
              <w:rPr>
                <w:color w:val="105C84"/>
                <w:spacing w:val="-5"/>
                <w:sz w:val="18"/>
              </w:rPr>
              <w:t> </w:t>
            </w:r>
            <w:r>
              <w:rPr>
                <w:color w:val="105C84"/>
                <w:sz w:val="18"/>
              </w:rPr>
              <w:t>participants</w:t>
            </w:r>
            <w:r>
              <w:rPr>
                <w:color w:val="105C84"/>
                <w:spacing w:val="-5"/>
                <w:sz w:val="18"/>
              </w:rPr>
              <w:t> </w:t>
            </w:r>
            <w:r>
              <w:rPr>
                <w:color w:val="105C84"/>
                <w:spacing w:val="-2"/>
                <w:sz w:val="18"/>
              </w:rPr>
              <w:t>completing</w:t>
            </w:r>
            <w:r>
              <w:rPr>
                <w:color w:val="105C84"/>
                <w:sz w:val="18"/>
              </w:rPr>
              <w:tab/>
            </w:r>
            <w:r>
              <w:rPr>
                <w:color w:val="105C84"/>
                <w:spacing w:val="-4"/>
                <w:sz w:val="18"/>
              </w:rPr>
              <w:t>Rochester</w:t>
            </w:r>
            <w:r>
              <w:rPr>
                <w:color w:val="105C84"/>
                <w:spacing w:val="7"/>
                <w:sz w:val="18"/>
              </w:rPr>
              <w:t> </w:t>
            </w:r>
            <w:r>
              <w:rPr>
                <w:color w:val="105C84"/>
                <w:spacing w:val="-2"/>
                <w:sz w:val="18"/>
              </w:rPr>
              <w:t>Regional</w:t>
            </w:r>
          </w:p>
          <w:p>
            <w:pPr>
              <w:pStyle w:val="TableParagraph"/>
              <w:tabs>
                <w:tab w:pos="4428" w:val="left" w:leader="none"/>
              </w:tabs>
              <w:spacing w:line="200" w:lineRule="exact"/>
              <w:ind w:left="90"/>
              <w:rPr>
                <w:sz w:val="18"/>
              </w:rPr>
            </w:pPr>
            <w:r>
              <w:rPr>
                <w:color w:val="105C84"/>
                <w:spacing w:val="-2"/>
                <w:sz w:val="18"/>
              </w:rPr>
              <w:t>program</w:t>
            </w:r>
            <w:r>
              <w:rPr>
                <w:color w:val="105C84"/>
                <w:sz w:val="18"/>
              </w:rPr>
              <w:tab/>
              <w:t>Health</w:t>
            </w:r>
            <w:r>
              <w:rPr>
                <w:color w:val="105C84"/>
                <w:spacing w:val="5"/>
                <w:sz w:val="18"/>
              </w:rPr>
              <w:t> </w:t>
            </w:r>
            <w:r>
              <w:rPr>
                <w:color w:val="105C84"/>
                <w:sz w:val="18"/>
              </w:rPr>
              <w:t>(NWCH)</w:t>
            </w:r>
            <w:r>
              <w:rPr>
                <w:color w:val="105C84"/>
                <w:spacing w:val="6"/>
                <w:sz w:val="18"/>
              </w:rPr>
              <w:t> </w:t>
            </w:r>
            <w:r>
              <w:rPr>
                <w:color w:val="105C84"/>
                <w:sz w:val="18"/>
              </w:rPr>
              <w:t>piloting</w:t>
            </w:r>
            <w:r>
              <w:rPr>
                <w:color w:val="105C84"/>
                <w:spacing w:val="6"/>
                <w:sz w:val="18"/>
              </w:rPr>
              <w:t> </w:t>
            </w:r>
            <w:r>
              <w:rPr>
                <w:color w:val="105C84"/>
                <w:spacing w:val="-10"/>
                <w:sz w:val="18"/>
              </w:rPr>
              <w:t>a</w:t>
            </w:r>
          </w:p>
          <w:p>
            <w:pPr>
              <w:pStyle w:val="TableParagraph"/>
              <w:spacing w:line="232" w:lineRule="auto" w:before="1"/>
              <w:ind w:left="4428" w:right="172"/>
              <w:rPr>
                <w:sz w:val="18"/>
              </w:rPr>
            </w:pPr>
            <w:r>
              <w:rPr>
                <w:color w:val="105C84"/>
                <w:sz w:val="18"/>
              </w:rPr>
              <w:t>prescription food program with foodlink as of July 1, </w:t>
            </w:r>
            <w:r>
              <w:rPr>
                <w:color w:val="105C84"/>
                <w:spacing w:val="-2"/>
                <w:sz w:val="18"/>
              </w:rPr>
              <w:t>serving</w:t>
            </w:r>
            <w:r>
              <w:rPr>
                <w:color w:val="105C84"/>
                <w:spacing w:val="-8"/>
                <w:sz w:val="18"/>
              </w:rPr>
              <w:t> </w:t>
            </w:r>
            <w:r>
              <w:rPr>
                <w:color w:val="105C84"/>
                <w:spacing w:val="-2"/>
                <w:sz w:val="18"/>
              </w:rPr>
              <w:t>patients</w:t>
            </w:r>
            <w:r>
              <w:rPr>
                <w:color w:val="105C84"/>
                <w:spacing w:val="-8"/>
                <w:sz w:val="18"/>
              </w:rPr>
              <w:t> </w:t>
            </w:r>
            <w:r>
              <w:rPr>
                <w:color w:val="105C84"/>
                <w:spacing w:val="-2"/>
                <w:sz w:val="18"/>
              </w:rPr>
              <w:t>at</w:t>
            </w:r>
            <w:r>
              <w:rPr>
                <w:color w:val="105C84"/>
                <w:spacing w:val="-8"/>
                <w:sz w:val="18"/>
              </w:rPr>
              <w:t> </w:t>
            </w:r>
            <w:r>
              <w:rPr>
                <w:color w:val="105C84"/>
                <w:spacing w:val="-2"/>
                <w:sz w:val="18"/>
              </w:rPr>
              <w:t>Canal</w:t>
            </w:r>
            <w:r>
              <w:rPr>
                <w:color w:val="105C84"/>
                <w:spacing w:val="-8"/>
                <w:sz w:val="18"/>
              </w:rPr>
              <w:t> </w:t>
            </w:r>
            <w:r>
              <w:rPr>
                <w:color w:val="105C84"/>
                <w:spacing w:val="-2"/>
                <w:sz w:val="18"/>
              </w:rPr>
              <w:t>Park </w:t>
            </w:r>
            <w:r>
              <w:rPr>
                <w:color w:val="105C84"/>
                <w:sz w:val="18"/>
              </w:rPr>
              <w:t>Family Medicine (Macedon), Newark Internal Medicine, Sodus</w:t>
            </w:r>
            <w:r>
              <w:rPr>
                <w:color w:val="105C84"/>
                <w:spacing w:val="-4"/>
                <w:sz w:val="18"/>
              </w:rPr>
              <w:t> </w:t>
            </w:r>
            <w:r>
              <w:rPr>
                <w:color w:val="105C84"/>
                <w:sz w:val="18"/>
              </w:rPr>
              <w:t>Internal</w:t>
            </w:r>
            <w:r>
              <w:rPr>
                <w:color w:val="105C84"/>
                <w:spacing w:val="-4"/>
                <w:sz w:val="18"/>
              </w:rPr>
              <w:t> </w:t>
            </w:r>
            <w:r>
              <w:rPr>
                <w:color w:val="105C84"/>
                <w:sz w:val="18"/>
              </w:rPr>
              <w:t>Medicine,</w:t>
            </w:r>
            <w:r>
              <w:rPr>
                <w:color w:val="105C84"/>
                <w:spacing w:val="-4"/>
                <w:sz w:val="18"/>
              </w:rPr>
              <w:t> </w:t>
            </w:r>
            <w:r>
              <w:rPr>
                <w:color w:val="105C84"/>
                <w:sz w:val="18"/>
              </w:rPr>
              <w:t>and ElderOne (Newark)</w:t>
            </w:r>
          </w:p>
          <w:p>
            <w:pPr>
              <w:pStyle w:val="TableParagraph"/>
              <w:spacing w:line="232" w:lineRule="auto" w:before="85"/>
              <w:ind w:left="4428" w:right="320"/>
              <w:rPr>
                <w:sz w:val="18"/>
              </w:rPr>
            </w:pPr>
            <w:r>
              <w:rPr>
                <w:color w:val="105C84"/>
                <w:sz w:val="18"/>
              </w:rPr>
              <w:t>Patients</w:t>
            </w:r>
            <w:r>
              <w:rPr>
                <w:color w:val="105C84"/>
                <w:spacing w:val="-4"/>
                <w:sz w:val="18"/>
              </w:rPr>
              <w:t> </w:t>
            </w:r>
            <w:r>
              <w:rPr>
                <w:color w:val="105C84"/>
                <w:sz w:val="18"/>
              </w:rPr>
              <w:t>will</w:t>
            </w:r>
            <w:r>
              <w:rPr>
                <w:color w:val="105C84"/>
                <w:spacing w:val="-4"/>
                <w:sz w:val="18"/>
              </w:rPr>
              <w:t> </w:t>
            </w:r>
            <w:r>
              <w:rPr>
                <w:color w:val="105C84"/>
                <w:sz w:val="18"/>
              </w:rPr>
              <w:t>be</w:t>
            </w:r>
            <w:r>
              <w:rPr>
                <w:color w:val="105C84"/>
                <w:spacing w:val="-4"/>
                <w:sz w:val="18"/>
              </w:rPr>
              <w:t> </w:t>
            </w:r>
            <w:r>
              <w:rPr>
                <w:color w:val="105C84"/>
                <w:sz w:val="18"/>
              </w:rPr>
              <w:t>given</w:t>
            </w:r>
            <w:r>
              <w:rPr>
                <w:color w:val="105C84"/>
                <w:spacing w:val="-4"/>
                <w:sz w:val="18"/>
              </w:rPr>
              <w:t> </w:t>
            </w:r>
            <w:r>
              <w:rPr>
                <w:color w:val="105C84"/>
                <w:sz w:val="18"/>
              </w:rPr>
              <w:t>$30/ month</w:t>
            </w:r>
            <w:r>
              <w:rPr>
                <w:color w:val="105C84"/>
                <w:spacing w:val="-9"/>
                <w:sz w:val="18"/>
              </w:rPr>
              <w:t> </w:t>
            </w:r>
            <w:r>
              <w:rPr>
                <w:color w:val="105C84"/>
                <w:sz w:val="18"/>
              </w:rPr>
              <w:t>to</w:t>
            </w:r>
            <w:r>
              <w:rPr>
                <w:color w:val="105C84"/>
                <w:spacing w:val="-9"/>
                <w:sz w:val="18"/>
              </w:rPr>
              <w:t> </w:t>
            </w:r>
            <w:r>
              <w:rPr>
                <w:color w:val="105C84"/>
                <w:sz w:val="18"/>
              </w:rPr>
              <w:t>use</w:t>
            </w:r>
            <w:r>
              <w:rPr>
                <w:color w:val="105C84"/>
                <w:spacing w:val="-9"/>
                <w:sz w:val="18"/>
              </w:rPr>
              <w:t> </w:t>
            </w:r>
            <w:r>
              <w:rPr>
                <w:color w:val="105C84"/>
                <w:sz w:val="18"/>
              </w:rPr>
              <w:t>at</w:t>
            </w:r>
            <w:r>
              <w:rPr>
                <w:color w:val="105C84"/>
                <w:spacing w:val="-9"/>
                <w:sz w:val="18"/>
              </w:rPr>
              <w:t> </w:t>
            </w:r>
            <w:r>
              <w:rPr>
                <w:color w:val="105C84"/>
                <w:sz w:val="18"/>
              </w:rPr>
              <w:t>Foodlink’s mobile unit to purchase fresh</w:t>
            </w:r>
            <w:r>
              <w:rPr>
                <w:color w:val="105C84"/>
                <w:spacing w:val="-2"/>
                <w:sz w:val="18"/>
              </w:rPr>
              <w:t> </w:t>
            </w:r>
            <w:r>
              <w:rPr>
                <w:color w:val="105C84"/>
                <w:sz w:val="18"/>
              </w:rPr>
              <w:t>fruit</w:t>
            </w:r>
            <w:r>
              <w:rPr>
                <w:color w:val="105C84"/>
                <w:spacing w:val="-2"/>
                <w:sz w:val="18"/>
              </w:rPr>
              <w:t> </w:t>
            </w:r>
            <w:r>
              <w:rPr>
                <w:color w:val="105C84"/>
                <w:sz w:val="18"/>
              </w:rPr>
              <w:t>and</w:t>
            </w:r>
            <w:r>
              <w:rPr>
                <w:color w:val="105C84"/>
                <w:spacing w:val="-2"/>
                <w:sz w:val="18"/>
              </w:rPr>
              <w:t> </w:t>
            </w:r>
            <w:r>
              <w:rPr>
                <w:color w:val="105C84"/>
                <w:sz w:val="18"/>
              </w:rPr>
              <w:t>vegetables. Education to the patients will be provided by Care Managers</w:t>
            </w:r>
            <w:r>
              <w:rPr>
                <w:color w:val="105C84"/>
                <w:spacing w:val="-2"/>
                <w:sz w:val="18"/>
              </w:rPr>
              <w:t> </w:t>
            </w:r>
            <w:r>
              <w:rPr>
                <w:color w:val="105C84"/>
                <w:sz w:val="18"/>
              </w:rPr>
              <w:t>at</w:t>
            </w:r>
            <w:r>
              <w:rPr>
                <w:color w:val="105C84"/>
                <w:spacing w:val="-2"/>
                <w:sz w:val="18"/>
              </w:rPr>
              <w:t> </w:t>
            </w:r>
            <w:r>
              <w:rPr>
                <w:color w:val="105C84"/>
                <w:sz w:val="18"/>
              </w:rPr>
              <w:t>the</w:t>
            </w:r>
            <w:r>
              <w:rPr>
                <w:color w:val="105C84"/>
                <w:spacing w:val="-2"/>
                <w:sz w:val="18"/>
              </w:rPr>
              <w:t> </w:t>
            </w:r>
            <w:r>
              <w:rPr>
                <w:color w:val="105C84"/>
                <w:sz w:val="18"/>
              </w:rPr>
              <w:t>practices</w:t>
            </w:r>
          </w:p>
          <w:p>
            <w:pPr>
              <w:pStyle w:val="TableParagraph"/>
              <w:spacing w:line="232" w:lineRule="auto" w:before="84"/>
              <w:ind w:left="4428"/>
              <w:rPr>
                <w:sz w:val="18"/>
              </w:rPr>
            </w:pPr>
            <w:r>
              <w:rPr>
                <w:color w:val="105C84"/>
                <w:sz w:val="18"/>
              </w:rPr>
              <w:t>CCE/FLESNY to do demonstrations</w:t>
            </w:r>
            <w:r>
              <w:rPr>
                <w:color w:val="105C84"/>
                <w:spacing w:val="-2"/>
                <w:sz w:val="18"/>
              </w:rPr>
              <w:t> </w:t>
            </w:r>
            <w:r>
              <w:rPr>
                <w:color w:val="105C84"/>
                <w:sz w:val="18"/>
              </w:rPr>
              <w:t>and</w:t>
            </w:r>
            <w:r>
              <w:rPr>
                <w:color w:val="105C84"/>
                <w:spacing w:val="-2"/>
                <w:sz w:val="18"/>
              </w:rPr>
              <w:t> </w:t>
            </w:r>
            <w:r>
              <w:rPr>
                <w:color w:val="105C84"/>
                <w:sz w:val="18"/>
              </w:rPr>
              <w:t>education at</w:t>
            </w:r>
            <w:r>
              <w:rPr>
                <w:color w:val="105C84"/>
                <w:spacing w:val="-9"/>
                <w:sz w:val="18"/>
              </w:rPr>
              <w:t> </w:t>
            </w:r>
            <w:r>
              <w:rPr>
                <w:color w:val="105C84"/>
                <w:sz w:val="18"/>
              </w:rPr>
              <w:t>sites</w:t>
            </w:r>
            <w:r>
              <w:rPr>
                <w:color w:val="105C84"/>
                <w:spacing w:val="-8"/>
                <w:sz w:val="18"/>
              </w:rPr>
              <w:t> </w:t>
            </w:r>
            <w:r>
              <w:rPr>
                <w:color w:val="105C84"/>
                <w:sz w:val="18"/>
              </w:rPr>
              <w:t>when</w:t>
            </w:r>
            <w:r>
              <w:rPr>
                <w:color w:val="105C84"/>
                <w:spacing w:val="-8"/>
                <w:sz w:val="18"/>
              </w:rPr>
              <w:t> </w:t>
            </w:r>
            <w:r>
              <w:rPr>
                <w:color w:val="105C84"/>
                <w:sz w:val="18"/>
              </w:rPr>
              <w:t>FoodLink</w:t>
            </w:r>
            <w:r>
              <w:rPr>
                <w:color w:val="105C84"/>
                <w:spacing w:val="-8"/>
                <w:sz w:val="18"/>
              </w:rPr>
              <w:t> </w:t>
            </w:r>
            <w:r>
              <w:rPr>
                <w:color w:val="105C84"/>
                <w:spacing w:val="-2"/>
                <w:sz w:val="18"/>
              </w:rPr>
              <w:t>comes.</w:t>
            </w:r>
          </w:p>
        </w:tc>
        <w:tc>
          <w:tcPr>
            <w:tcW w:w="2823" w:type="dxa"/>
          </w:tcPr>
          <w:p>
            <w:pPr>
              <w:pStyle w:val="TableParagraph"/>
              <w:spacing w:line="232" w:lineRule="auto" w:before="99"/>
              <w:ind w:left="89"/>
              <w:rPr>
                <w:sz w:val="18"/>
              </w:rPr>
            </w:pPr>
            <w:r>
              <w:rPr>
                <w:color w:val="105C84"/>
                <w:sz w:val="18"/>
              </w:rPr>
              <w:t>Rochester Regional Health (NWCH) piloting a prescription food program with foodlink as of July 1, serving patients at Canal </w:t>
            </w:r>
            <w:r>
              <w:rPr>
                <w:color w:val="105C84"/>
                <w:spacing w:val="-2"/>
                <w:sz w:val="18"/>
              </w:rPr>
              <w:t>Park</w:t>
            </w:r>
            <w:r>
              <w:rPr>
                <w:color w:val="105C84"/>
                <w:spacing w:val="-7"/>
                <w:sz w:val="18"/>
              </w:rPr>
              <w:t> </w:t>
            </w:r>
            <w:r>
              <w:rPr>
                <w:color w:val="105C84"/>
                <w:spacing w:val="-2"/>
                <w:sz w:val="18"/>
              </w:rPr>
              <w:t>Family</w:t>
            </w:r>
            <w:r>
              <w:rPr>
                <w:color w:val="105C84"/>
                <w:spacing w:val="-7"/>
                <w:sz w:val="18"/>
              </w:rPr>
              <w:t> </w:t>
            </w:r>
            <w:r>
              <w:rPr>
                <w:color w:val="105C84"/>
                <w:spacing w:val="-2"/>
                <w:sz w:val="18"/>
              </w:rPr>
              <w:t>Medicine</w:t>
            </w:r>
            <w:r>
              <w:rPr>
                <w:color w:val="105C84"/>
                <w:spacing w:val="-7"/>
                <w:sz w:val="18"/>
              </w:rPr>
              <w:t> </w:t>
            </w:r>
            <w:r>
              <w:rPr>
                <w:color w:val="105C84"/>
                <w:spacing w:val="-2"/>
                <w:sz w:val="18"/>
              </w:rPr>
              <w:t>(Macedon), </w:t>
            </w:r>
            <w:r>
              <w:rPr>
                <w:color w:val="105C84"/>
                <w:sz w:val="18"/>
              </w:rPr>
              <w:t>Newark</w:t>
            </w:r>
            <w:r>
              <w:rPr>
                <w:color w:val="105C84"/>
                <w:spacing w:val="-13"/>
                <w:sz w:val="18"/>
              </w:rPr>
              <w:t> </w:t>
            </w:r>
            <w:r>
              <w:rPr>
                <w:color w:val="105C84"/>
                <w:sz w:val="18"/>
              </w:rPr>
              <w:t>Internal</w:t>
            </w:r>
            <w:r>
              <w:rPr>
                <w:color w:val="105C84"/>
                <w:spacing w:val="-12"/>
                <w:sz w:val="18"/>
              </w:rPr>
              <w:t> </w:t>
            </w:r>
            <w:r>
              <w:rPr>
                <w:color w:val="105C84"/>
                <w:sz w:val="18"/>
              </w:rPr>
              <w:t>Medicine,</w:t>
            </w:r>
            <w:r>
              <w:rPr>
                <w:color w:val="105C84"/>
                <w:spacing w:val="-13"/>
                <w:sz w:val="18"/>
              </w:rPr>
              <w:t> </w:t>
            </w:r>
            <w:r>
              <w:rPr>
                <w:color w:val="105C84"/>
                <w:sz w:val="18"/>
              </w:rPr>
              <w:t>Sodus Internal Medicine, and ElderOne </w:t>
            </w:r>
            <w:r>
              <w:rPr>
                <w:color w:val="105C84"/>
                <w:spacing w:val="-2"/>
                <w:sz w:val="18"/>
              </w:rPr>
              <w:t>(Newark)</w:t>
            </w:r>
          </w:p>
          <w:p>
            <w:pPr>
              <w:pStyle w:val="TableParagraph"/>
              <w:spacing w:line="232" w:lineRule="auto" w:before="84"/>
              <w:ind w:left="89" w:right="61"/>
              <w:rPr>
                <w:sz w:val="18"/>
              </w:rPr>
            </w:pPr>
            <w:r>
              <w:rPr>
                <w:color w:val="105C84"/>
                <w:sz w:val="18"/>
              </w:rPr>
              <w:t>Patients</w:t>
            </w:r>
            <w:r>
              <w:rPr>
                <w:color w:val="105C84"/>
                <w:spacing w:val="-6"/>
                <w:sz w:val="18"/>
              </w:rPr>
              <w:t> </w:t>
            </w:r>
            <w:r>
              <w:rPr>
                <w:color w:val="105C84"/>
                <w:sz w:val="18"/>
              </w:rPr>
              <w:t>will</w:t>
            </w:r>
            <w:r>
              <w:rPr>
                <w:color w:val="105C84"/>
                <w:spacing w:val="-6"/>
                <w:sz w:val="18"/>
              </w:rPr>
              <w:t> </w:t>
            </w:r>
            <w:r>
              <w:rPr>
                <w:color w:val="105C84"/>
                <w:sz w:val="18"/>
              </w:rPr>
              <w:t>be</w:t>
            </w:r>
            <w:r>
              <w:rPr>
                <w:color w:val="105C84"/>
                <w:spacing w:val="-6"/>
                <w:sz w:val="18"/>
              </w:rPr>
              <w:t> </w:t>
            </w:r>
            <w:r>
              <w:rPr>
                <w:color w:val="105C84"/>
                <w:sz w:val="18"/>
              </w:rPr>
              <w:t>given</w:t>
            </w:r>
            <w:r>
              <w:rPr>
                <w:color w:val="105C84"/>
                <w:spacing w:val="-6"/>
                <w:sz w:val="18"/>
              </w:rPr>
              <w:t> </w:t>
            </w:r>
            <w:r>
              <w:rPr>
                <w:color w:val="105C84"/>
                <w:sz w:val="18"/>
              </w:rPr>
              <w:t>$30/month to use at Foodlink’s mobile</w:t>
            </w:r>
          </w:p>
          <w:p>
            <w:pPr>
              <w:pStyle w:val="TableParagraph"/>
              <w:spacing w:line="232" w:lineRule="auto"/>
              <w:ind w:left="89"/>
              <w:rPr>
                <w:sz w:val="18"/>
              </w:rPr>
            </w:pPr>
            <w:r>
              <w:rPr>
                <w:color w:val="105C84"/>
                <w:sz w:val="18"/>
              </w:rPr>
              <w:t>unit</w:t>
            </w:r>
            <w:r>
              <w:rPr>
                <w:color w:val="105C84"/>
                <w:spacing w:val="-7"/>
                <w:sz w:val="18"/>
              </w:rPr>
              <w:t> </w:t>
            </w:r>
            <w:r>
              <w:rPr>
                <w:color w:val="105C84"/>
                <w:sz w:val="18"/>
              </w:rPr>
              <w:t>to</w:t>
            </w:r>
            <w:r>
              <w:rPr>
                <w:color w:val="105C84"/>
                <w:spacing w:val="-7"/>
                <w:sz w:val="18"/>
              </w:rPr>
              <w:t> </w:t>
            </w:r>
            <w:r>
              <w:rPr>
                <w:color w:val="105C84"/>
                <w:sz w:val="18"/>
              </w:rPr>
              <w:t>purchase</w:t>
            </w:r>
            <w:r>
              <w:rPr>
                <w:color w:val="105C84"/>
                <w:spacing w:val="-7"/>
                <w:sz w:val="18"/>
              </w:rPr>
              <w:t> </w:t>
            </w:r>
            <w:r>
              <w:rPr>
                <w:color w:val="105C84"/>
                <w:sz w:val="18"/>
              </w:rPr>
              <w:t>fresh</w:t>
            </w:r>
            <w:r>
              <w:rPr>
                <w:color w:val="105C84"/>
                <w:spacing w:val="-7"/>
                <w:sz w:val="18"/>
              </w:rPr>
              <w:t> </w:t>
            </w:r>
            <w:r>
              <w:rPr>
                <w:color w:val="105C84"/>
                <w:sz w:val="18"/>
              </w:rPr>
              <w:t>fruit</w:t>
            </w:r>
            <w:r>
              <w:rPr>
                <w:color w:val="105C84"/>
                <w:spacing w:val="-7"/>
                <w:sz w:val="18"/>
              </w:rPr>
              <w:t> </w:t>
            </w:r>
            <w:r>
              <w:rPr>
                <w:color w:val="105C84"/>
                <w:sz w:val="18"/>
              </w:rPr>
              <w:t>and </w:t>
            </w:r>
            <w:r>
              <w:rPr>
                <w:color w:val="105C84"/>
                <w:spacing w:val="-2"/>
                <w:sz w:val="18"/>
              </w:rPr>
              <w:t>vegetables</w:t>
            </w:r>
          </w:p>
          <w:p>
            <w:pPr>
              <w:pStyle w:val="TableParagraph"/>
              <w:spacing w:line="232" w:lineRule="auto" w:before="87"/>
              <w:ind w:left="89" w:right="222"/>
              <w:rPr>
                <w:sz w:val="18"/>
              </w:rPr>
            </w:pPr>
            <w:r>
              <w:rPr>
                <w:color w:val="105C84"/>
                <w:sz w:val="18"/>
              </w:rPr>
              <w:t>Education to the patients will</w:t>
            </w:r>
            <w:r>
              <w:rPr>
                <w:color w:val="105C84"/>
                <w:spacing w:val="40"/>
                <w:sz w:val="18"/>
              </w:rPr>
              <w:t> </w:t>
            </w:r>
            <w:r>
              <w:rPr>
                <w:color w:val="105C84"/>
                <w:sz w:val="18"/>
              </w:rPr>
              <w:t>be provided by Care Managers at the practices. CCE/FLESNY to do demonstrations and education at sites when </w:t>
            </w:r>
            <w:r>
              <w:rPr>
                <w:color w:val="105C84"/>
                <w:spacing w:val="-2"/>
                <w:sz w:val="18"/>
              </w:rPr>
              <w:t>FoodLink</w:t>
            </w:r>
            <w:r>
              <w:rPr>
                <w:color w:val="105C84"/>
                <w:spacing w:val="-13"/>
                <w:sz w:val="18"/>
              </w:rPr>
              <w:t> </w:t>
            </w:r>
            <w:r>
              <w:rPr>
                <w:color w:val="105C84"/>
                <w:spacing w:val="-2"/>
                <w:sz w:val="18"/>
              </w:rPr>
              <w:t>comes.</w:t>
            </w:r>
            <w:r>
              <w:rPr>
                <w:color w:val="105C84"/>
                <w:spacing w:val="-10"/>
                <w:sz w:val="18"/>
              </w:rPr>
              <w:t> </w:t>
            </w:r>
            <w:r>
              <w:rPr>
                <w:color w:val="105C84"/>
                <w:spacing w:val="-2"/>
                <w:sz w:val="18"/>
              </w:rPr>
              <w:t>Ends</w:t>
            </w:r>
            <w:r>
              <w:rPr>
                <w:color w:val="105C84"/>
                <w:spacing w:val="-11"/>
                <w:sz w:val="18"/>
              </w:rPr>
              <w:t> </w:t>
            </w:r>
            <w:r>
              <w:rPr>
                <w:color w:val="105C84"/>
                <w:spacing w:val="-2"/>
                <w:sz w:val="18"/>
              </w:rPr>
              <w:t>June</w:t>
            </w:r>
            <w:r>
              <w:rPr>
                <w:color w:val="105C84"/>
                <w:spacing w:val="-10"/>
                <w:sz w:val="18"/>
              </w:rPr>
              <w:t> </w:t>
            </w:r>
            <w:r>
              <w:rPr>
                <w:color w:val="105C84"/>
                <w:spacing w:val="-2"/>
                <w:sz w:val="18"/>
              </w:rPr>
              <w:t>30, </w:t>
            </w:r>
            <w:r>
              <w:rPr>
                <w:color w:val="105C84"/>
                <w:spacing w:val="-4"/>
                <w:sz w:val="18"/>
              </w:rPr>
              <w:t>2020</w:t>
            </w:r>
          </w:p>
        </w:tc>
        <w:tc>
          <w:tcPr>
            <w:tcW w:w="1685" w:type="dxa"/>
          </w:tcPr>
          <w:p>
            <w:pPr>
              <w:pStyle w:val="TableParagraph"/>
              <w:rPr>
                <w:rFonts w:ascii="Times New Roman"/>
                <w:sz w:val="18"/>
              </w:rPr>
            </w:pPr>
          </w:p>
        </w:tc>
        <w:tc>
          <w:tcPr>
            <w:tcW w:w="1498" w:type="dxa"/>
          </w:tcPr>
          <w:p>
            <w:pPr>
              <w:pStyle w:val="TableParagraph"/>
              <w:spacing w:before="94"/>
              <w:ind w:left="89"/>
              <w:rPr>
                <w:sz w:val="18"/>
              </w:rPr>
            </w:pPr>
            <w:r>
              <w:rPr>
                <w:color w:val="105C84"/>
                <w:spacing w:val="-2"/>
                <w:sz w:val="18"/>
              </w:rPr>
              <w:t>Hospital</w:t>
            </w:r>
          </w:p>
        </w:tc>
        <w:tc>
          <w:tcPr>
            <w:tcW w:w="1551" w:type="dxa"/>
          </w:tcPr>
          <w:p>
            <w:pPr>
              <w:pStyle w:val="TableParagraph"/>
              <w:spacing w:line="232" w:lineRule="auto" w:before="99"/>
              <w:ind w:left="88" w:right="42"/>
              <w:rPr>
                <w:sz w:val="18"/>
              </w:rPr>
            </w:pPr>
            <w:r>
              <w:rPr>
                <w:color w:val="105C84"/>
                <w:sz w:val="18"/>
              </w:rPr>
              <w:t>For</w:t>
            </w:r>
            <w:r>
              <w:rPr>
                <w:color w:val="105C84"/>
                <w:spacing w:val="-15"/>
                <w:sz w:val="18"/>
              </w:rPr>
              <w:t> </w:t>
            </w:r>
            <w:r>
              <w:rPr>
                <w:color w:val="105C84"/>
                <w:sz w:val="18"/>
              </w:rPr>
              <w:t>partner</w:t>
            </w:r>
            <w:r>
              <w:rPr>
                <w:color w:val="105C84"/>
                <w:spacing w:val="-12"/>
                <w:sz w:val="18"/>
              </w:rPr>
              <w:t> </w:t>
            </w:r>
            <w:r>
              <w:rPr>
                <w:color w:val="105C84"/>
                <w:sz w:val="18"/>
              </w:rPr>
              <w:t>roles, see projected year 1 and 2 </w:t>
            </w:r>
            <w:r>
              <w:rPr>
                <w:color w:val="105C84"/>
                <w:spacing w:val="-2"/>
                <w:sz w:val="18"/>
              </w:rPr>
              <w:t>columns</w:t>
            </w:r>
          </w:p>
          <w:p>
            <w:pPr>
              <w:pStyle w:val="TableParagraph"/>
              <w:spacing w:line="232" w:lineRule="auto" w:before="87"/>
              <w:ind w:left="88" w:right="582"/>
              <w:rPr>
                <w:sz w:val="18"/>
              </w:rPr>
            </w:pPr>
            <w:r>
              <w:rPr>
                <w:color w:val="105C84"/>
                <w:spacing w:val="-6"/>
                <w:sz w:val="18"/>
              </w:rPr>
              <w:t>Resources: </w:t>
            </w:r>
            <w:r>
              <w:rPr>
                <w:color w:val="105C84"/>
                <w:spacing w:val="-2"/>
                <w:sz w:val="18"/>
              </w:rPr>
              <w:t>funding</w:t>
            </w:r>
          </w:p>
        </w:tc>
      </w:tr>
      <w:tr>
        <w:trPr>
          <w:trHeight w:val="6174" w:hRule="atLeast"/>
        </w:trPr>
        <w:tc>
          <w:tcPr>
            <w:tcW w:w="1425" w:type="dxa"/>
            <w:vMerge/>
            <w:tcBorders>
              <w:top w:val="nil"/>
            </w:tcBorders>
            <w:shd w:val="clear" w:color="auto" w:fill="E6E7E8"/>
          </w:tcPr>
          <w:p>
            <w:pPr>
              <w:rPr>
                <w:sz w:val="2"/>
                <w:szCs w:val="2"/>
              </w:rPr>
            </w:pPr>
          </w:p>
        </w:tc>
        <w:tc>
          <w:tcPr>
            <w:tcW w:w="1281" w:type="dxa"/>
            <w:vMerge/>
            <w:tcBorders>
              <w:top w:val="nil"/>
            </w:tcBorders>
          </w:tcPr>
          <w:p>
            <w:pPr>
              <w:rPr>
                <w:sz w:val="2"/>
                <w:szCs w:val="2"/>
              </w:rPr>
            </w:pPr>
          </w:p>
        </w:tc>
        <w:tc>
          <w:tcPr>
            <w:tcW w:w="1267" w:type="dxa"/>
            <w:vMerge/>
            <w:tcBorders>
              <w:top w:val="nil"/>
            </w:tcBorders>
          </w:tcPr>
          <w:p>
            <w:pPr>
              <w:rPr>
                <w:sz w:val="2"/>
                <w:szCs w:val="2"/>
              </w:rPr>
            </w:pPr>
          </w:p>
        </w:tc>
        <w:tc>
          <w:tcPr>
            <w:tcW w:w="1325" w:type="dxa"/>
            <w:vMerge/>
            <w:tcBorders>
              <w:top w:val="nil"/>
            </w:tcBorders>
          </w:tcPr>
          <w:p>
            <w:pPr>
              <w:rPr>
                <w:sz w:val="2"/>
                <w:szCs w:val="2"/>
              </w:rPr>
            </w:pPr>
          </w:p>
        </w:tc>
        <w:tc>
          <w:tcPr>
            <w:tcW w:w="1066" w:type="dxa"/>
            <w:vMerge/>
            <w:tcBorders>
              <w:top w:val="nil"/>
            </w:tcBorders>
          </w:tcPr>
          <w:p>
            <w:pPr>
              <w:rPr>
                <w:sz w:val="2"/>
                <w:szCs w:val="2"/>
              </w:rPr>
            </w:pPr>
          </w:p>
        </w:tc>
        <w:tc>
          <w:tcPr>
            <w:tcW w:w="1440" w:type="dxa"/>
            <w:vMerge/>
            <w:tcBorders>
              <w:top w:val="nil"/>
            </w:tcBorders>
          </w:tcPr>
          <w:p>
            <w:pPr>
              <w:rPr>
                <w:sz w:val="2"/>
                <w:szCs w:val="2"/>
              </w:rPr>
            </w:pPr>
          </w:p>
        </w:tc>
        <w:tc>
          <w:tcPr>
            <w:tcW w:w="6970" w:type="dxa"/>
          </w:tcPr>
          <w:p>
            <w:pPr>
              <w:pStyle w:val="TableParagraph"/>
              <w:spacing w:before="94"/>
              <w:ind w:left="90"/>
              <w:rPr>
                <w:sz w:val="18"/>
              </w:rPr>
            </w:pPr>
            <w:r>
              <w:rPr>
                <w:color w:val="105C84"/>
                <w:sz w:val="18"/>
              </w:rPr>
              <w:t>Metrics/Goals</w:t>
            </w:r>
            <w:r>
              <w:rPr>
                <w:color w:val="105C84"/>
                <w:spacing w:val="2"/>
                <w:sz w:val="18"/>
              </w:rPr>
              <w:t> </w:t>
            </w:r>
            <w:r>
              <w:rPr>
                <w:color w:val="105C84"/>
                <w:sz w:val="18"/>
              </w:rPr>
              <w:t>by</w:t>
            </w:r>
            <w:r>
              <w:rPr>
                <w:color w:val="105C84"/>
                <w:spacing w:val="2"/>
                <w:sz w:val="18"/>
              </w:rPr>
              <w:t> </w:t>
            </w:r>
            <w:r>
              <w:rPr>
                <w:color w:val="105C84"/>
                <w:spacing w:val="-2"/>
                <w:sz w:val="18"/>
              </w:rPr>
              <w:t>Year:</w:t>
            </w:r>
          </w:p>
          <w:p>
            <w:pPr>
              <w:pStyle w:val="TableParagraph"/>
              <w:spacing w:line="232" w:lineRule="auto" w:before="88"/>
              <w:ind w:left="90" w:right="4686"/>
              <w:rPr>
                <w:sz w:val="18"/>
              </w:rPr>
            </w:pPr>
            <w:r>
              <w:rPr>
                <w:color w:val="105C84"/>
                <w:w w:val="105"/>
                <w:sz w:val="18"/>
              </w:rPr>
              <w:t>Year 2: 1 unified letter (or form</w:t>
            </w:r>
            <w:r>
              <w:rPr>
                <w:color w:val="105C84"/>
                <w:spacing w:val="-14"/>
                <w:w w:val="105"/>
                <w:sz w:val="18"/>
              </w:rPr>
              <w:t> </w:t>
            </w:r>
            <w:r>
              <w:rPr>
                <w:color w:val="105C84"/>
                <w:w w:val="105"/>
                <w:sz w:val="18"/>
              </w:rPr>
              <w:t>letter</w:t>
            </w:r>
            <w:r>
              <w:rPr>
                <w:color w:val="105C84"/>
                <w:spacing w:val="-13"/>
                <w:w w:val="105"/>
                <w:sz w:val="18"/>
              </w:rPr>
              <w:t> </w:t>
            </w:r>
            <w:r>
              <w:rPr>
                <w:color w:val="105C84"/>
                <w:w w:val="105"/>
                <w:sz w:val="18"/>
              </w:rPr>
              <w:t>sent</w:t>
            </w:r>
            <w:r>
              <w:rPr>
                <w:color w:val="105C84"/>
                <w:spacing w:val="-13"/>
                <w:w w:val="105"/>
                <w:sz w:val="18"/>
              </w:rPr>
              <w:t> </w:t>
            </w:r>
            <w:r>
              <w:rPr>
                <w:color w:val="105C84"/>
                <w:w w:val="105"/>
                <w:sz w:val="18"/>
              </w:rPr>
              <w:t>by</w:t>
            </w:r>
            <w:r>
              <w:rPr>
                <w:color w:val="105C84"/>
                <w:spacing w:val="-13"/>
                <w:w w:val="105"/>
                <w:sz w:val="18"/>
              </w:rPr>
              <w:t> </w:t>
            </w:r>
            <w:r>
              <w:rPr>
                <w:color w:val="105C84"/>
                <w:w w:val="105"/>
                <w:sz w:val="18"/>
              </w:rPr>
              <w:t>multiple agencies) sent to each district not participating in </w:t>
            </w:r>
            <w:r>
              <w:rPr>
                <w:color w:val="105C84"/>
                <w:spacing w:val="-2"/>
                <w:sz w:val="18"/>
              </w:rPr>
              <w:t>CATCH</w:t>
            </w:r>
            <w:r>
              <w:rPr>
                <w:color w:val="105C84"/>
                <w:spacing w:val="-13"/>
                <w:sz w:val="18"/>
              </w:rPr>
              <w:t> </w:t>
            </w:r>
            <w:r>
              <w:rPr>
                <w:color w:val="105C84"/>
                <w:spacing w:val="-2"/>
                <w:sz w:val="18"/>
              </w:rPr>
              <w:t>within</w:t>
            </w:r>
            <w:r>
              <w:rPr>
                <w:color w:val="105C84"/>
                <w:spacing w:val="-10"/>
                <w:sz w:val="18"/>
              </w:rPr>
              <w:t> </w:t>
            </w:r>
            <w:r>
              <w:rPr>
                <w:color w:val="105C84"/>
                <w:spacing w:val="-2"/>
                <w:sz w:val="18"/>
              </w:rPr>
              <w:t>2020</w:t>
            </w:r>
            <w:r>
              <w:rPr>
                <w:color w:val="105C84"/>
                <w:spacing w:val="-11"/>
                <w:sz w:val="18"/>
              </w:rPr>
              <w:t> </w:t>
            </w:r>
            <w:r>
              <w:rPr>
                <w:color w:val="105C84"/>
                <w:spacing w:val="-2"/>
                <w:sz w:val="18"/>
              </w:rPr>
              <w:t>(likely</w:t>
            </w:r>
            <w:r>
              <w:rPr>
                <w:color w:val="105C84"/>
                <w:spacing w:val="-10"/>
                <w:sz w:val="18"/>
              </w:rPr>
              <w:t> </w:t>
            </w:r>
            <w:r>
              <w:rPr>
                <w:color w:val="105C84"/>
                <w:spacing w:val="-2"/>
                <w:sz w:val="18"/>
              </w:rPr>
              <w:t>9 </w:t>
            </w:r>
            <w:r>
              <w:rPr>
                <w:color w:val="105C84"/>
                <w:w w:val="105"/>
                <w:sz w:val="18"/>
              </w:rPr>
              <w:t>districts); a compilation of any barriers identified by </w:t>
            </w:r>
            <w:r>
              <w:rPr>
                <w:color w:val="105C84"/>
                <w:sz w:val="18"/>
              </w:rPr>
              <w:t>schools</w:t>
            </w:r>
            <w:r>
              <w:rPr>
                <w:color w:val="105C84"/>
                <w:spacing w:val="-10"/>
                <w:sz w:val="18"/>
              </w:rPr>
              <w:t> </w:t>
            </w:r>
            <w:r>
              <w:rPr>
                <w:color w:val="105C84"/>
                <w:sz w:val="18"/>
              </w:rPr>
              <w:t>as</w:t>
            </w:r>
            <w:r>
              <w:rPr>
                <w:color w:val="105C84"/>
                <w:spacing w:val="-10"/>
                <w:sz w:val="18"/>
              </w:rPr>
              <w:t> </w:t>
            </w:r>
            <w:r>
              <w:rPr>
                <w:color w:val="105C84"/>
                <w:sz w:val="18"/>
              </w:rPr>
              <w:t>a</w:t>
            </w:r>
            <w:r>
              <w:rPr>
                <w:color w:val="105C84"/>
                <w:spacing w:val="-10"/>
                <w:sz w:val="18"/>
              </w:rPr>
              <w:t> </w:t>
            </w:r>
            <w:r>
              <w:rPr>
                <w:color w:val="105C84"/>
                <w:sz w:val="18"/>
              </w:rPr>
              <w:t>result</w:t>
            </w:r>
            <w:r>
              <w:rPr>
                <w:color w:val="105C84"/>
                <w:spacing w:val="-10"/>
                <w:sz w:val="18"/>
              </w:rPr>
              <w:t> </w:t>
            </w:r>
            <w:r>
              <w:rPr>
                <w:color w:val="105C84"/>
                <w:sz w:val="18"/>
              </w:rPr>
              <w:t>of</w:t>
            </w:r>
            <w:r>
              <w:rPr>
                <w:color w:val="105C84"/>
                <w:spacing w:val="-10"/>
                <w:sz w:val="18"/>
              </w:rPr>
              <w:t> </w:t>
            </w:r>
            <w:r>
              <w:rPr>
                <w:color w:val="105C84"/>
                <w:sz w:val="18"/>
              </w:rPr>
              <w:t>these letters;</w:t>
            </w:r>
            <w:r>
              <w:rPr>
                <w:color w:val="105C84"/>
                <w:spacing w:val="-2"/>
                <w:sz w:val="18"/>
              </w:rPr>
              <w:t> </w:t>
            </w:r>
            <w:r>
              <w:rPr>
                <w:color w:val="105C84"/>
                <w:sz w:val="18"/>
              </w:rPr>
              <w:t>2</w:t>
            </w:r>
            <w:r>
              <w:rPr>
                <w:color w:val="105C84"/>
                <w:spacing w:val="-2"/>
                <w:sz w:val="18"/>
              </w:rPr>
              <w:t> </w:t>
            </w:r>
            <w:r>
              <w:rPr>
                <w:color w:val="105C84"/>
                <w:sz w:val="18"/>
              </w:rPr>
              <w:t>unified</w:t>
            </w:r>
            <w:r>
              <w:rPr>
                <w:color w:val="105C84"/>
                <w:spacing w:val="-2"/>
                <w:sz w:val="18"/>
              </w:rPr>
              <w:t> </w:t>
            </w:r>
            <w:r>
              <w:rPr>
                <w:color w:val="105C84"/>
                <w:sz w:val="18"/>
              </w:rPr>
              <w:t>messages</w:t>
            </w:r>
          </w:p>
          <w:p>
            <w:pPr>
              <w:pStyle w:val="TableParagraph"/>
              <w:spacing w:line="232" w:lineRule="auto" w:before="83"/>
              <w:ind w:left="90" w:right="4686"/>
              <w:rPr>
                <w:sz w:val="18"/>
              </w:rPr>
            </w:pPr>
            <w:r>
              <w:rPr>
                <w:color w:val="105C84"/>
                <w:w w:val="105"/>
                <w:sz w:val="18"/>
              </w:rPr>
              <w:t>Year</w:t>
            </w:r>
            <w:r>
              <w:rPr>
                <w:color w:val="105C84"/>
                <w:spacing w:val="-1"/>
                <w:w w:val="105"/>
                <w:sz w:val="18"/>
              </w:rPr>
              <w:t> </w:t>
            </w:r>
            <w:r>
              <w:rPr>
                <w:color w:val="105C84"/>
                <w:w w:val="105"/>
                <w:sz w:val="18"/>
              </w:rPr>
              <w:t>3:</w:t>
            </w:r>
            <w:r>
              <w:rPr>
                <w:color w:val="105C84"/>
                <w:spacing w:val="-1"/>
                <w:w w:val="105"/>
                <w:sz w:val="18"/>
              </w:rPr>
              <w:t> </w:t>
            </w:r>
            <w:r>
              <w:rPr>
                <w:color w:val="105C84"/>
                <w:w w:val="105"/>
                <w:sz w:val="18"/>
              </w:rPr>
              <w:t>1</w:t>
            </w:r>
            <w:r>
              <w:rPr>
                <w:color w:val="105C84"/>
                <w:spacing w:val="-1"/>
                <w:w w:val="105"/>
                <w:sz w:val="18"/>
              </w:rPr>
              <w:t> </w:t>
            </w:r>
            <w:r>
              <w:rPr>
                <w:color w:val="105C84"/>
                <w:w w:val="105"/>
                <w:sz w:val="18"/>
              </w:rPr>
              <w:t>unified</w:t>
            </w:r>
            <w:r>
              <w:rPr>
                <w:color w:val="105C84"/>
                <w:spacing w:val="-1"/>
                <w:w w:val="105"/>
                <w:sz w:val="18"/>
              </w:rPr>
              <w:t> </w:t>
            </w:r>
            <w:r>
              <w:rPr>
                <w:color w:val="105C84"/>
                <w:w w:val="105"/>
                <w:sz w:val="18"/>
              </w:rPr>
              <w:t>letter</w:t>
            </w:r>
            <w:r>
              <w:rPr>
                <w:color w:val="105C84"/>
                <w:spacing w:val="-1"/>
                <w:w w:val="105"/>
                <w:sz w:val="18"/>
              </w:rPr>
              <w:t> </w:t>
            </w:r>
            <w:r>
              <w:rPr>
                <w:color w:val="105C84"/>
                <w:w w:val="105"/>
                <w:sz w:val="18"/>
              </w:rPr>
              <w:t>(or </w:t>
            </w:r>
            <w:r>
              <w:rPr>
                <w:color w:val="105C84"/>
                <w:spacing w:val="-2"/>
                <w:w w:val="105"/>
                <w:sz w:val="18"/>
              </w:rPr>
              <w:t>form</w:t>
            </w:r>
            <w:r>
              <w:rPr>
                <w:color w:val="105C84"/>
                <w:spacing w:val="-10"/>
                <w:w w:val="105"/>
                <w:sz w:val="18"/>
              </w:rPr>
              <w:t> </w:t>
            </w:r>
            <w:r>
              <w:rPr>
                <w:color w:val="105C84"/>
                <w:spacing w:val="-2"/>
                <w:w w:val="105"/>
                <w:sz w:val="18"/>
              </w:rPr>
              <w:t>letter</w:t>
            </w:r>
            <w:r>
              <w:rPr>
                <w:color w:val="105C84"/>
                <w:spacing w:val="-10"/>
                <w:w w:val="105"/>
                <w:sz w:val="18"/>
              </w:rPr>
              <w:t> </w:t>
            </w:r>
            <w:r>
              <w:rPr>
                <w:color w:val="105C84"/>
                <w:spacing w:val="-2"/>
                <w:w w:val="105"/>
                <w:sz w:val="18"/>
              </w:rPr>
              <w:t>sent</w:t>
            </w:r>
            <w:r>
              <w:rPr>
                <w:color w:val="105C84"/>
                <w:spacing w:val="-10"/>
                <w:w w:val="105"/>
                <w:sz w:val="18"/>
              </w:rPr>
              <w:t> </w:t>
            </w:r>
            <w:r>
              <w:rPr>
                <w:color w:val="105C84"/>
                <w:spacing w:val="-2"/>
                <w:w w:val="105"/>
                <w:sz w:val="18"/>
              </w:rPr>
              <w:t>by</w:t>
            </w:r>
            <w:r>
              <w:rPr>
                <w:color w:val="105C84"/>
                <w:spacing w:val="-10"/>
                <w:w w:val="105"/>
                <w:sz w:val="18"/>
              </w:rPr>
              <w:t> </w:t>
            </w:r>
            <w:r>
              <w:rPr>
                <w:color w:val="105C84"/>
                <w:spacing w:val="-2"/>
                <w:w w:val="105"/>
                <w:sz w:val="18"/>
              </w:rPr>
              <w:t>multiple </w:t>
            </w:r>
            <w:r>
              <w:rPr>
                <w:color w:val="105C84"/>
                <w:w w:val="105"/>
                <w:sz w:val="18"/>
              </w:rPr>
              <w:t>agencies) sent to each district not participating</w:t>
            </w:r>
          </w:p>
          <w:p>
            <w:pPr>
              <w:pStyle w:val="TableParagraph"/>
              <w:spacing w:line="232" w:lineRule="auto"/>
              <w:ind w:left="90" w:right="4658"/>
              <w:rPr>
                <w:sz w:val="18"/>
              </w:rPr>
            </w:pPr>
            <w:r>
              <w:rPr>
                <w:color w:val="105C84"/>
                <w:sz w:val="18"/>
              </w:rPr>
              <w:t>in CATCH within 2021 (number of districts TBD); discussion about school-identified</w:t>
            </w:r>
            <w:r>
              <w:rPr>
                <w:color w:val="105C84"/>
                <w:spacing w:val="-7"/>
                <w:sz w:val="18"/>
              </w:rPr>
              <w:t> </w:t>
            </w:r>
            <w:r>
              <w:rPr>
                <w:color w:val="105C84"/>
                <w:sz w:val="18"/>
              </w:rPr>
              <w:t>barriers</w:t>
            </w:r>
            <w:r>
              <w:rPr>
                <w:color w:val="105C84"/>
                <w:spacing w:val="-7"/>
                <w:sz w:val="18"/>
              </w:rPr>
              <w:t> </w:t>
            </w:r>
            <w:r>
              <w:rPr>
                <w:color w:val="105C84"/>
                <w:sz w:val="18"/>
              </w:rPr>
              <w:t>and</w:t>
            </w:r>
            <w:r>
              <w:rPr>
                <w:color w:val="105C84"/>
                <w:spacing w:val="-7"/>
                <w:sz w:val="18"/>
              </w:rPr>
              <w:t> </w:t>
            </w:r>
            <w:r>
              <w:rPr>
                <w:color w:val="105C84"/>
                <w:sz w:val="18"/>
              </w:rPr>
              <w:t>plans to address them recorded</w:t>
            </w:r>
            <w:r>
              <w:rPr>
                <w:color w:val="105C84"/>
                <w:spacing w:val="40"/>
                <w:sz w:val="18"/>
              </w:rPr>
              <w:t> </w:t>
            </w:r>
            <w:r>
              <w:rPr>
                <w:color w:val="105C84"/>
                <w:sz w:val="18"/>
              </w:rPr>
              <w:t>in</w:t>
            </w:r>
            <w:r>
              <w:rPr>
                <w:color w:val="105C84"/>
                <w:spacing w:val="-9"/>
                <w:sz w:val="18"/>
              </w:rPr>
              <w:t> </w:t>
            </w:r>
            <w:r>
              <w:rPr>
                <w:color w:val="105C84"/>
                <w:sz w:val="18"/>
              </w:rPr>
              <w:t>WHIP</w:t>
            </w:r>
            <w:r>
              <w:rPr>
                <w:color w:val="105C84"/>
                <w:spacing w:val="-9"/>
                <w:sz w:val="18"/>
              </w:rPr>
              <w:t> </w:t>
            </w:r>
            <w:r>
              <w:rPr>
                <w:color w:val="105C84"/>
                <w:sz w:val="18"/>
              </w:rPr>
              <w:t>minutes;</w:t>
            </w:r>
            <w:r>
              <w:rPr>
                <w:color w:val="105C84"/>
                <w:spacing w:val="-9"/>
                <w:sz w:val="18"/>
              </w:rPr>
              <w:t> </w:t>
            </w:r>
            <w:r>
              <w:rPr>
                <w:color w:val="105C84"/>
                <w:sz w:val="18"/>
              </w:rPr>
              <w:t>2+</w:t>
            </w:r>
            <w:r>
              <w:rPr>
                <w:color w:val="105C84"/>
                <w:spacing w:val="-9"/>
                <w:sz w:val="18"/>
              </w:rPr>
              <w:t> </w:t>
            </w:r>
            <w:r>
              <w:rPr>
                <w:color w:val="105C84"/>
                <w:sz w:val="18"/>
              </w:rPr>
              <w:t>unified </w:t>
            </w:r>
            <w:r>
              <w:rPr>
                <w:color w:val="105C84"/>
                <w:spacing w:val="-2"/>
                <w:sz w:val="18"/>
              </w:rPr>
              <w:t>messages</w:t>
            </w:r>
          </w:p>
        </w:tc>
        <w:tc>
          <w:tcPr>
            <w:tcW w:w="2823" w:type="dxa"/>
          </w:tcPr>
          <w:p>
            <w:pPr>
              <w:pStyle w:val="TableParagraph"/>
              <w:spacing w:line="232" w:lineRule="auto" w:before="98"/>
              <w:ind w:left="89" w:right="164"/>
              <w:rPr>
                <w:sz w:val="18"/>
              </w:rPr>
            </w:pPr>
            <w:r>
              <w:rPr>
                <w:color w:val="105C84"/>
                <w:sz w:val="18"/>
              </w:rPr>
              <w:t>Support</w:t>
            </w:r>
            <w:r>
              <w:rPr>
                <w:color w:val="105C84"/>
                <w:spacing w:val="-5"/>
                <w:sz w:val="18"/>
              </w:rPr>
              <w:t> </w:t>
            </w:r>
            <w:r>
              <w:rPr>
                <w:color w:val="105C84"/>
                <w:sz w:val="18"/>
              </w:rPr>
              <w:t>CCE</w:t>
            </w:r>
            <w:r>
              <w:rPr>
                <w:color w:val="105C84"/>
                <w:spacing w:val="-5"/>
                <w:sz w:val="18"/>
              </w:rPr>
              <w:t> </w:t>
            </w:r>
            <w:r>
              <w:rPr>
                <w:color w:val="105C84"/>
                <w:sz w:val="18"/>
              </w:rPr>
              <w:t>in</w:t>
            </w:r>
            <w:r>
              <w:rPr>
                <w:color w:val="105C84"/>
                <w:spacing w:val="-5"/>
                <w:sz w:val="18"/>
              </w:rPr>
              <w:t> </w:t>
            </w:r>
            <w:r>
              <w:rPr>
                <w:color w:val="105C84"/>
                <w:sz w:val="18"/>
              </w:rPr>
              <w:t>their</w:t>
            </w:r>
            <w:r>
              <w:rPr>
                <w:color w:val="105C84"/>
                <w:spacing w:val="-5"/>
                <w:sz w:val="18"/>
              </w:rPr>
              <w:t> </w:t>
            </w:r>
            <w:r>
              <w:rPr>
                <w:color w:val="105C84"/>
                <w:sz w:val="18"/>
              </w:rPr>
              <w:t>2020</w:t>
            </w:r>
            <w:r>
              <w:rPr>
                <w:color w:val="105C84"/>
                <w:spacing w:val="-5"/>
                <w:sz w:val="18"/>
              </w:rPr>
              <w:t> </w:t>
            </w:r>
            <w:r>
              <w:rPr>
                <w:color w:val="105C84"/>
                <w:sz w:val="18"/>
              </w:rPr>
              <w:t>goal to train one new elementary or middle</w:t>
            </w:r>
            <w:r>
              <w:rPr>
                <w:color w:val="105C84"/>
                <w:spacing w:val="-9"/>
                <w:sz w:val="18"/>
              </w:rPr>
              <w:t> </w:t>
            </w:r>
            <w:r>
              <w:rPr>
                <w:color w:val="105C84"/>
                <w:sz w:val="18"/>
              </w:rPr>
              <w:t>school</w:t>
            </w:r>
            <w:r>
              <w:rPr>
                <w:color w:val="105C84"/>
                <w:spacing w:val="-9"/>
                <w:sz w:val="18"/>
              </w:rPr>
              <w:t> </w:t>
            </w:r>
            <w:r>
              <w:rPr>
                <w:color w:val="105C84"/>
                <w:sz w:val="18"/>
              </w:rPr>
              <w:t>with</w:t>
            </w:r>
            <w:r>
              <w:rPr>
                <w:color w:val="105C84"/>
                <w:spacing w:val="-9"/>
                <w:sz w:val="18"/>
              </w:rPr>
              <w:t> </w:t>
            </w:r>
            <w:r>
              <w:rPr>
                <w:color w:val="105C84"/>
                <w:sz w:val="18"/>
              </w:rPr>
              <w:t>at</w:t>
            </w:r>
            <w:r>
              <w:rPr>
                <w:color w:val="105C84"/>
                <w:spacing w:val="-9"/>
                <w:sz w:val="18"/>
              </w:rPr>
              <w:t> </w:t>
            </w:r>
            <w:r>
              <w:rPr>
                <w:color w:val="105C84"/>
                <w:sz w:val="18"/>
              </w:rPr>
              <w:t>least</w:t>
            </w:r>
            <w:r>
              <w:rPr>
                <w:color w:val="105C84"/>
                <w:spacing w:val="-9"/>
                <w:sz w:val="18"/>
              </w:rPr>
              <w:t> </w:t>
            </w:r>
            <w:r>
              <w:rPr>
                <w:color w:val="105C84"/>
                <w:sz w:val="18"/>
              </w:rPr>
              <w:t>50% of students qualifying for free/ reduced meals in CATCH</w:t>
            </w:r>
          </w:p>
          <w:p>
            <w:pPr>
              <w:pStyle w:val="TableParagraph"/>
              <w:spacing w:line="232" w:lineRule="auto" w:before="87"/>
              <w:ind w:left="89" w:right="85"/>
              <w:rPr>
                <w:sz w:val="18"/>
              </w:rPr>
            </w:pPr>
            <w:r>
              <w:rPr>
                <w:color w:val="105C84"/>
                <w:sz w:val="18"/>
              </w:rPr>
              <w:t>Promote the effectiveness of the evidence-based physical activity </w:t>
            </w:r>
            <w:r>
              <w:rPr>
                <w:color w:val="105C84"/>
                <w:w w:val="105"/>
                <w:sz w:val="18"/>
              </w:rPr>
              <w:t>program, CATCH, to increase </w:t>
            </w:r>
            <w:r>
              <w:rPr>
                <w:color w:val="105C84"/>
                <w:spacing w:val="-2"/>
                <w:w w:val="105"/>
                <w:sz w:val="18"/>
              </w:rPr>
              <w:t>demand</w:t>
            </w:r>
            <w:r>
              <w:rPr>
                <w:color w:val="105C84"/>
                <w:spacing w:val="-12"/>
                <w:w w:val="105"/>
                <w:sz w:val="18"/>
              </w:rPr>
              <w:t> </w:t>
            </w:r>
            <w:r>
              <w:rPr>
                <w:color w:val="105C84"/>
                <w:spacing w:val="-2"/>
                <w:w w:val="105"/>
                <w:sz w:val="18"/>
              </w:rPr>
              <w:t>for</w:t>
            </w:r>
            <w:r>
              <w:rPr>
                <w:color w:val="105C84"/>
                <w:spacing w:val="-11"/>
                <w:w w:val="105"/>
                <w:sz w:val="18"/>
              </w:rPr>
              <w:t> </w:t>
            </w:r>
            <w:r>
              <w:rPr>
                <w:color w:val="105C84"/>
                <w:spacing w:val="-2"/>
                <w:w w:val="105"/>
                <w:sz w:val="18"/>
              </w:rPr>
              <w:t>the</w:t>
            </w:r>
            <w:r>
              <w:rPr>
                <w:color w:val="105C84"/>
                <w:spacing w:val="-11"/>
                <w:w w:val="105"/>
                <w:sz w:val="18"/>
              </w:rPr>
              <w:t> </w:t>
            </w:r>
            <w:r>
              <w:rPr>
                <w:color w:val="105C84"/>
                <w:spacing w:val="-2"/>
                <w:w w:val="105"/>
                <w:sz w:val="18"/>
              </w:rPr>
              <w:t>program</w:t>
            </w:r>
            <w:r>
              <w:rPr>
                <w:color w:val="105C84"/>
                <w:spacing w:val="-11"/>
                <w:w w:val="105"/>
                <w:sz w:val="18"/>
              </w:rPr>
              <w:t> </w:t>
            </w:r>
            <w:r>
              <w:rPr>
                <w:color w:val="105C84"/>
                <w:spacing w:val="-2"/>
                <w:w w:val="105"/>
                <w:sz w:val="18"/>
              </w:rPr>
              <w:t>beyond </w:t>
            </w:r>
            <w:r>
              <w:rPr>
                <w:color w:val="105C84"/>
                <w:sz w:val="18"/>
              </w:rPr>
              <w:t>the 2 school districts which have </w:t>
            </w:r>
            <w:r>
              <w:rPr>
                <w:color w:val="105C84"/>
                <w:w w:val="105"/>
                <w:sz w:val="18"/>
              </w:rPr>
              <w:t>already implemented it with targeted, unified messaging to school district decision-makers and the public</w:t>
            </w:r>
          </w:p>
          <w:p>
            <w:pPr>
              <w:pStyle w:val="TableParagraph"/>
              <w:spacing w:line="232" w:lineRule="auto" w:before="82"/>
              <w:ind w:left="89" w:right="164"/>
              <w:rPr>
                <w:sz w:val="18"/>
              </w:rPr>
            </w:pPr>
            <w:r>
              <w:rPr>
                <w:color w:val="105C84"/>
                <w:sz w:val="18"/>
              </w:rPr>
              <w:t>At least one unified letter to schools within the year and at least</w:t>
            </w:r>
            <w:r>
              <w:rPr>
                <w:color w:val="105C84"/>
                <w:spacing w:val="-15"/>
                <w:sz w:val="18"/>
              </w:rPr>
              <w:t> </w:t>
            </w:r>
            <w:r>
              <w:rPr>
                <w:color w:val="105C84"/>
                <w:sz w:val="18"/>
              </w:rPr>
              <w:t>2</w:t>
            </w:r>
            <w:r>
              <w:rPr>
                <w:color w:val="105C84"/>
                <w:spacing w:val="-12"/>
                <w:sz w:val="18"/>
              </w:rPr>
              <w:t> </w:t>
            </w:r>
            <w:r>
              <w:rPr>
                <w:color w:val="105C84"/>
                <w:sz w:val="18"/>
              </w:rPr>
              <w:t>unified</w:t>
            </w:r>
            <w:r>
              <w:rPr>
                <w:color w:val="105C84"/>
                <w:spacing w:val="-13"/>
                <w:sz w:val="18"/>
              </w:rPr>
              <w:t> </w:t>
            </w:r>
            <w:r>
              <w:rPr>
                <w:color w:val="105C84"/>
                <w:sz w:val="18"/>
              </w:rPr>
              <w:t>messages</w:t>
            </w:r>
            <w:r>
              <w:rPr>
                <w:color w:val="105C84"/>
                <w:spacing w:val="-12"/>
                <w:sz w:val="18"/>
              </w:rPr>
              <w:t> </w:t>
            </w:r>
            <w:r>
              <w:rPr>
                <w:color w:val="105C84"/>
                <w:sz w:val="18"/>
              </w:rPr>
              <w:t>around the effectiveness of CATCH</w:t>
            </w:r>
          </w:p>
          <w:p>
            <w:pPr>
              <w:pStyle w:val="TableParagraph"/>
              <w:spacing w:line="232" w:lineRule="auto"/>
              <w:ind w:left="89"/>
              <w:rPr>
                <w:sz w:val="18"/>
              </w:rPr>
            </w:pPr>
            <w:r>
              <w:rPr>
                <w:color w:val="105C84"/>
                <w:w w:val="105"/>
                <w:sz w:val="18"/>
              </w:rPr>
              <w:t>to the public per year. Gather </w:t>
            </w:r>
            <w:r>
              <w:rPr>
                <w:color w:val="105C84"/>
                <w:sz w:val="18"/>
              </w:rPr>
              <w:t>data</w:t>
            </w:r>
            <w:r>
              <w:rPr>
                <w:color w:val="105C84"/>
                <w:spacing w:val="-9"/>
                <w:sz w:val="18"/>
              </w:rPr>
              <w:t> </w:t>
            </w:r>
            <w:r>
              <w:rPr>
                <w:color w:val="105C84"/>
                <w:sz w:val="18"/>
              </w:rPr>
              <w:t>on</w:t>
            </w:r>
            <w:r>
              <w:rPr>
                <w:color w:val="105C84"/>
                <w:spacing w:val="-9"/>
                <w:sz w:val="18"/>
              </w:rPr>
              <w:t> </w:t>
            </w:r>
            <w:r>
              <w:rPr>
                <w:color w:val="105C84"/>
                <w:sz w:val="18"/>
              </w:rPr>
              <w:t>any</w:t>
            </w:r>
            <w:r>
              <w:rPr>
                <w:color w:val="105C84"/>
                <w:spacing w:val="-9"/>
                <w:sz w:val="18"/>
              </w:rPr>
              <w:t> </w:t>
            </w:r>
            <w:r>
              <w:rPr>
                <w:color w:val="105C84"/>
                <w:sz w:val="18"/>
              </w:rPr>
              <w:t>barriers</w:t>
            </w:r>
            <w:r>
              <w:rPr>
                <w:color w:val="105C84"/>
                <w:spacing w:val="-9"/>
                <w:sz w:val="18"/>
              </w:rPr>
              <w:t> </w:t>
            </w:r>
            <w:r>
              <w:rPr>
                <w:color w:val="105C84"/>
                <w:sz w:val="18"/>
              </w:rPr>
              <w:t>preventing </w:t>
            </w:r>
            <w:r>
              <w:rPr>
                <w:color w:val="105C84"/>
                <w:w w:val="105"/>
                <w:sz w:val="18"/>
              </w:rPr>
              <w:t>schools from adopting this </w:t>
            </w:r>
            <w:r>
              <w:rPr>
                <w:color w:val="105C84"/>
                <w:spacing w:val="-2"/>
                <w:w w:val="105"/>
                <w:sz w:val="18"/>
              </w:rPr>
              <w:t>curriculum</w:t>
            </w:r>
          </w:p>
          <w:p>
            <w:pPr>
              <w:pStyle w:val="TableParagraph"/>
              <w:spacing w:line="232" w:lineRule="auto" w:before="84"/>
              <w:ind w:left="89"/>
              <w:rPr>
                <w:sz w:val="18"/>
              </w:rPr>
            </w:pPr>
            <w:r>
              <w:rPr>
                <w:color w:val="105C84"/>
                <w:sz w:val="18"/>
              </w:rPr>
              <w:t>Agencies: CCE, participating school</w:t>
            </w:r>
            <w:r>
              <w:rPr>
                <w:color w:val="105C84"/>
                <w:spacing w:val="-13"/>
                <w:sz w:val="18"/>
              </w:rPr>
              <w:t> </w:t>
            </w:r>
            <w:r>
              <w:rPr>
                <w:color w:val="105C84"/>
                <w:sz w:val="18"/>
              </w:rPr>
              <w:t>districts,</w:t>
            </w:r>
            <w:r>
              <w:rPr>
                <w:color w:val="105C84"/>
                <w:spacing w:val="-12"/>
                <w:sz w:val="18"/>
              </w:rPr>
              <w:t> </w:t>
            </w:r>
            <w:r>
              <w:rPr>
                <w:color w:val="105C84"/>
                <w:sz w:val="18"/>
              </w:rPr>
              <w:t>Public</w:t>
            </w:r>
            <w:r>
              <w:rPr>
                <w:color w:val="105C84"/>
                <w:spacing w:val="-13"/>
                <w:sz w:val="18"/>
              </w:rPr>
              <w:t> </w:t>
            </w:r>
            <w:r>
              <w:rPr>
                <w:color w:val="105C84"/>
                <w:sz w:val="18"/>
              </w:rPr>
              <w:t>Health, agencies sharing unified </w:t>
            </w:r>
            <w:r>
              <w:rPr>
                <w:color w:val="105C84"/>
                <w:spacing w:val="-2"/>
                <w:sz w:val="18"/>
              </w:rPr>
              <w:t>messages</w:t>
            </w:r>
          </w:p>
        </w:tc>
        <w:tc>
          <w:tcPr>
            <w:tcW w:w="1685" w:type="dxa"/>
          </w:tcPr>
          <w:p>
            <w:pPr>
              <w:pStyle w:val="TableParagraph"/>
              <w:spacing w:line="232" w:lineRule="auto" w:before="98"/>
              <w:ind w:left="89" w:right="253"/>
              <w:rPr>
                <w:sz w:val="18"/>
              </w:rPr>
            </w:pPr>
            <w:r>
              <w:rPr>
                <w:color w:val="105C84"/>
                <w:sz w:val="18"/>
              </w:rPr>
              <w:t>Continue to promote the effectiveness of CATCH through targeted, </w:t>
            </w:r>
            <w:r>
              <w:rPr>
                <w:color w:val="105C84"/>
                <w:sz w:val="18"/>
              </w:rPr>
              <w:t>unified messaging to school district </w:t>
            </w:r>
            <w:r>
              <w:rPr>
                <w:color w:val="105C84"/>
                <w:spacing w:val="-2"/>
                <w:sz w:val="18"/>
              </w:rPr>
              <w:t>decision-makers </w:t>
            </w:r>
            <w:r>
              <w:rPr>
                <w:color w:val="105C84"/>
                <w:sz w:val="18"/>
              </w:rPr>
              <w:t>and the public, and attempt</w:t>
            </w:r>
          </w:p>
          <w:p>
            <w:pPr>
              <w:pStyle w:val="TableParagraph"/>
              <w:spacing w:line="232" w:lineRule="auto"/>
              <w:ind w:left="89" w:right="443"/>
              <w:rPr>
                <w:sz w:val="18"/>
              </w:rPr>
            </w:pPr>
            <w:r>
              <w:rPr>
                <w:color w:val="105C84"/>
                <w:sz w:val="18"/>
              </w:rPr>
              <w:t>to address</w:t>
            </w:r>
            <w:r>
              <w:rPr>
                <w:color w:val="105C84"/>
                <w:spacing w:val="40"/>
                <w:sz w:val="18"/>
              </w:rPr>
              <w:t> </w:t>
            </w:r>
            <w:r>
              <w:rPr>
                <w:color w:val="105C84"/>
                <w:sz w:val="18"/>
              </w:rPr>
              <w:t>any</w:t>
            </w:r>
            <w:r>
              <w:rPr>
                <w:color w:val="105C84"/>
                <w:spacing w:val="-15"/>
                <w:sz w:val="18"/>
              </w:rPr>
              <w:t> </w:t>
            </w:r>
            <w:r>
              <w:rPr>
                <w:color w:val="105C84"/>
                <w:sz w:val="18"/>
              </w:rPr>
              <w:t>barriers</w:t>
            </w:r>
            <w:r>
              <w:rPr>
                <w:color w:val="105C84"/>
                <w:spacing w:val="-12"/>
                <w:sz w:val="18"/>
              </w:rPr>
              <w:t> </w:t>
            </w:r>
            <w:r>
              <w:rPr>
                <w:color w:val="105C84"/>
                <w:sz w:val="18"/>
              </w:rPr>
              <w:t>to</w:t>
            </w:r>
          </w:p>
          <w:p>
            <w:pPr>
              <w:pStyle w:val="TableParagraph"/>
              <w:spacing w:line="232" w:lineRule="auto"/>
              <w:ind w:left="89" w:right="242"/>
              <w:rPr>
                <w:sz w:val="18"/>
              </w:rPr>
            </w:pPr>
            <w:r>
              <w:rPr>
                <w:color w:val="105C84"/>
                <w:spacing w:val="-2"/>
                <w:sz w:val="18"/>
              </w:rPr>
              <w:t>implementation </w:t>
            </w:r>
            <w:r>
              <w:rPr>
                <w:color w:val="105C84"/>
                <w:sz w:val="18"/>
              </w:rPr>
              <w:t>which</w:t>
            </w:r>
            <w:r>
              <w:rPr>
                <w:color w:val="105C84"/>
                <w:spacing w:val="-15"/>
                <w:sz w:val="18"/>
              </w:rPr>
              <w:t> </w:t>
            </w:r>
            <w:r>
              <w:rPr>
                <w:color w:val="105C84"/>
                <w:sz w:val="18"/>
              </w:rPr>
              <w:t>have</w:t>
            </w:r>
            <w:r>
              <w:rPr>
                <w:color w:val="105C84"/>
                <w:spacing w:val="-12"/>
                <w:sz w:val="18"/>
              </w:rPr>
              <w:t> </w:t>
            </w:r>
            <w:r>
              <w:rPr>
                <w:color w:val="105C84"/>
                <w:sz w:val="18"/>
              </w:rPr>
              <w:t>been identified by the school districts</w:t>
            </w:r>
          </w:p>
          <w:p>
            <w:pPr>
              <w:pStyle w:val="TableParagraph"/>
              <w:spacing w:line="232" w:lineRule="auto" w:before="77"/>
              <w:ind w:left="89" w:right="182"/>
              <w:rPr>
                <w:sz w:val="18"/>
              </w:rPr>
            </w:pPr>
            <w:r>
              <w:rPr>
                <w:color w:val="105C84"/>
                <w:sz w:val="18"/>
              </w:rPr>
              <w:t>At least one unified letter to schools within</w:t>
            </w:r>
            <w:r>
              <w:rPr>
                <w:color w:val="105C84"/>
                <w:spacing w:val="40"/>
                <w:sz w:val="18"/>
              </w:rPr>
              <w:t> </w:t>
            </w:r>
            <w:r>
              <w:rPr>
                <w:color w:val="105C84"/>
                <w:sz w:val="18"/>
              </w:rPr>
              <w:t>the year and at least 2 unified </w:t>
            </w:r>
            <w:r>
              <w:rPr>
                <w:color w:val="105C84"/>
                <w:spacing w:val="-2"/>
                <w:sz w:val="18"/>
              </w:rPr>
              <w:t>messages</w:t>
            </w:r>
            <w:r>
              <w:rPr>
                <w:color w:val="105C84"/>
                <w:spacing w:val="-11"/>
                <w:sz w:val="18"/>
              </w:rPr>
              <w:t> </w:t>
            </w:r>
            <w:r>
              <w:rPr>
                <w:color w:val="105C84"/>
                <w:spacing w:val="-2"/>
                <w:sz w:val="18"/>
              </w:rPr>
              <w:t>around </w:t>
            </w:r>
            <w:r>
              <w:rPr>
                <w:color w:val="105C84"/>
                <w:sz w:val="18"/>
              </w:rPr>
              <w:t>the effectiveness of CATCH to the public per year</w:t>
            </w:r>
          </w:p>
          <w:p>
            <w:pPr>
              <w:pStyle w:val="TableParagraph"/>
              <w:spacing w:line="232" w:lineRule="auto" w:before="83"/>
              <w:ind w:left="89" w:right="253"/>
              <w:rPr>
                <w:sz w:val="18"/>
              </w:rPr>
            </w:pPr>
            <w:r>
              <w:rPr>
                <w:color w:val="105C84"/>
                <w:spacing w:val="-2"/>
                <w:sz w:val="18"/>
              </w:rPr>
              <w:t>Agencies:</w:t>
            </w:r>
            <w:r>
              <w:rPr>
                <w:color w:val="105C84"/>
                <w:spacing w:val="-11"/>
                <w:sz w:val="18"/>
              </w:rPr>
              <w:t> </w:t>
            </w:r>
            <w:r>
              <w:rPr>
                <w:color w:val="105C84"/>
                <w:spacing w:val="-2"/>
                <w:sz w:val="18"/>
              </w:rPr>
              <w:t>Public </w:t>
            </w:r>
            <w:r>
              <w:rPr>
                <w:color w:val="105C84"/>
                <w:sz w:val="18"/>
              </w:rPr>
              <w:t>Health, CCE, </w:t>
            </w:r>
            <w:r>
              <w:rPr>
                <w:color w:val="105C84"/>
                <w:spacing w:val="-2"/>
                <w:sz w:val="18"/>
              </w:rPr>
              <w:t>participating </w:t>
            </w:r>
            <w:r>
              <w:rPr>
                <w:color w:val="105C84"/>
                <w:sz w:val="18"/>
              </w:rPr>
              <w:t>school districts</w:t>
            </w:r>
          </w:p>
        </w:tc>
        <w:tc>
          <w:tcPr>
            <w:tcW w:w="1498" w:type="dxa"/>
          </w:tcPr>
          <w:p>
            <w:pPr>
              <w:pStyle w:val="TableParagraph"/>
              <w:spacing w:line="232" w:lineRule="auto" w:before="97"/>
              <w:ind w:left="89"/>
              <w:rPr>
                <w:sz w:val="18"/>
              </w:rPr>
            </w:pPr>
            <w:r>
              <w:rPr>
                <w:color w:val="105C84"/>
                <w:spacing w:val="-2"/>
                <w:sz w:val="18"/>
              </w:rPr>
              <w:t>Community-based organizations</w:t>
            </w:r>
          </w:p>
        </w:tc>
        <w:tc>
          <w:tcPr>
            <w:tcW w:w="1551" w:type="dxa"/>
          </w:tcPr>
          <w:p>
            <w:pPr>
              <w:pStyle w:val="TableParagraph"/>
              <w:spacing w:line="232" w:lineRule="auto" w:before="97"/>
              <w:ind w:left="88" w:right="42"/>
              <w:rPr>
                <w:sz w:val="18"/>
              </w:rPr>
            </w:pPr>
            <w:r>
              <w:rPr>
                <w:color w:val="105C84"/>
                <w:sz w:val="18"/>
              </w:rPr>
              <w:t>For</w:t>
            </w:r>
            <w:r>
              <w:rPr>
                <w:color w:val="105C84"/>
                <w:spacing w:val="-15"/>
                <w:sz w:val="18"/>
              </w:rPr>
              <w:t> </w:t>
            </w:r>
            <w:r>
              <w:rPr>
                <w:color w:val="105C84"/>
                <w:sz w:val="18"/>
              </w:rPr>
              <w:t>partner</w:t>
            </w:r>
            <w:r>
              <w:rPr>
                <w:color w:val="105C84"/>
                <w:spacing w:val="-12"/>
                <w:sz w:val="18"/>
              </w:rPr>
              <w:t> </w:t>
            </w:r>
            <w:r>
              <w:rPr>
                <w:color w:val="105C84"/>
                <w:sz w:val="18"/>
              </w:rPr>
              <w:t>roles, see projected year columns</w:t>
            </w:r>
          </w:p>
          <w:p>
            <w:pPr>
              <w:pStyle w:val="TableParagraph"/>
              <w:spacing w:line="232" w:lineRule="auto" w:before="88"/>
              <w:ind w:left="88" w:right="290"/>
              <w:rPr>
                <w:sz w:val="18"/>
              </w:rPr>
            </w:pPr>
            <w:r>
              <w:rPr>
                <w:color w:val="105C84"/>
                <w:spacing w:val="-2"/>
                <w:sz w:val="18"/>
              </w:rPr>
              <w:t>Resources: personnel, </w:t>
            </w:r>
            <w:r>
              <w:rPr>
                <w:color w:val="105C84"/>
                <w:sz w:val="18"/>
              </w:rPr>
              <w:t>time,</w:t>
            </w:r>
            <w:r>
              <w:rPr>
                <w:color w:val="105C84"/>
                <w:spacing w:val="-11"/>
                <w:sz w:val="18"/>
              </w:rPr>
              <w:t> </w:t>
            </w:r>
            <w:r>
              <w:rPr>
                <w:color w:val="105C84"/>
                <w:sz w:val="18"/>
              </w:rPr>
              <w:t>unified </w:t>
            </w:r>
            <w:r>
              <w:rPr>
                <w:color w:val="105C84"/>
                <w:spacing w:val="-2"/>
                <w:sz w:val="18"/>
              </w:rPr>
              <w:t>messages</w:t>
            </w:r>
          </w:p>
        </w:tc>
      </w:tr>
    </w:tbl>
    <w:p>
      <w:pPr>
        <w:pStyle w:val="BodyText"/>
        <w:rPr>
          <w:b/>
          <w:sz w:val="26"/>
        </w:rPr>
      </w:pPr>
    </w:p>
    <w:p>
      <w:pPr>
        <w:pStyle w:val="BodyText"/>
        <w:spacing w:before="80"/>
        <w:rPr>
          <w:b/>
          <w:sz w:val="26"/>
        </w:rPr>
      </w:pPr>
    </w:p>
    <w:p>
      <w:pPr>
        <w:tabs>
          <w:tab w:pos="23047" w:val="left" w:leader="none"/>
        </w:tabs>
        <w:spacing w:before="0"/>
        <w:ind w:left="0" w:right="0" w:firstLine="0"/>
        <w:jc w:val="left"/>
        <w:rPr>
          <w:b/>
          <w:sz w:val="26"/>
        </w:rPr>
      </w:pPr>
      <w:r>
        <w:rPr>
          <w:position w:val="-4"/>
        </w:rPr>
        <w:drawing>
          <wp:inline distT="0" distB="0" distL="0" distR="0">
            <wp:extent cx="568172" cy="184683"/>
            <wp:effectExtent l="0" t="0" r="0" b="0"/>
            <wp:docPr id="2056" name="Image 2056"/>
            <wp:cNvGraphicFramePr>
              <a:graphicFrameLocks/>
            </wp:cNvGraphicFramePr>
            <a:graphic>
              <a:graphicData uri="http://schemas.openxmlformats.org/drawingml/2006/picture">
                <pic:pic>
                  <pic:nvPicPr>
                    <pic:cNvPr id="2056" name="Image 2056"/>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13"/>
          <w:sz w:val="20"/>
        </w:rPr>
        <w:t> </w:t>
      </w:r>
      <w:r>
        <w:rPr>
          <w:b/>
          <w:color w:val="939598"/>
          <w:w w:val="105"/>
          <w:sz w:val="26"/>
        </w:rPr>
        <w:t>227</w:t>
      </w:r>
      <w:r>
        <w:rPr>
          <w:b/>
          <w:color w:val="939598"/>
          <w:sz w:val="26"/>
        </w:rPr>
        <w:tab/>
      </w:r>
      <w:r>
        <w:rPr>
          <w:b/>
          <w:color w:val="939598"/>
          <w:spacing w:val="-5"/>
          <w:w w:val="105"/>
          <w:sz w:val="26"/>
        </w:rPr>
        <w:t>228</w:t>
      </w:r>
    </w:p>
    <w:p>
      <w:pPr>
        <w:spacing w:after="0"/>
        <w:jc w:val="left"/>
        <w:rPr>
          <w:b/>
          <w:sz w:val="26"/>
        </w:rPr>
        <w:sectPr>
          <w:pgSz w:w="24480" w:h="15840" w:orient="landscape"/>
          <w:pgMar w:header="0" w:footer="0" w:top="860" w:bottom="0" w:left="0" w:right="720"/>
        </w:sectPr>
      </w:pPr>
    </w:p>
    <w:p>
      <w:pPr>
        <w:spacing w:before="609"/>
        <w:ind w:left="1089" w:right="0" w:firstLine="0"/>
        <w:jc w:val="left"/>
        <w:rPr>
          <w:sz w:val="54"/>
        </w:rPr>
      </w:pPr>
      <w:r>
        <w:rPr>
          <w:sz w:val="54"/>
        </w:rPr>
        <w:drawing>
          <wp:anchor distT="0" distB="0" distL="0" distR="0" allowOverlap="1" layoutInCell="1" locked="0" behindDoc="0" simplePos="0" relativeHeight="16041472">
            <wp:simplePos x="0" y="0"/>
            <wp:positionH relativeFrom="page">
              <wp:posOffset>14299183</wp:posOffset>
            </wp:positionH>
            <wp:positionV relativeFrom="paragraph">
              <wp:posOffset>345947</wp:posOffset>
            </wp:positionV>
            <wp:extent cx="620268" cy="568578"/>
            <wp:effectExtent l="0" t="0" r="0" b="0"/>
            <wp:wrapNone/>
            <wp:docPr id="2057" name="Image 2057"/>
            <wp:cNvGraphicFramePr>
              <a:graphicFrameLocks/>
            </wp:cNvGraphicFramePr>
            <a:graphic>
              <a:graphicData uri="http://schemas.openxmlformats.org/drawingml/2006/picture">
                <pic:pic>
                  <pic:nvPicPr>
                    <pic:cNvPr id="2057" name="Image 2057"/>
                    <pic:cNvPicPr/>
                  </pic:nvPicPr>
                  <pic:blipFill>
                    <a:blip r:embed="rId265" cstate="print"/>
                    <a:stretch>
                      <a:fillRect/>
                    </a:stretch>
                  </pic:blipFill>
                  <pic:spPr>
                    <a:xfrm>
                      <a:off x="0" y="0"/>
                      <a:ext cx="620268" cy="568578"/>
                    </a:xfrm>
                    <a:prstGeom prst="rect">
                      <a:avLst/>
                    </a:prstGeom>
                  </pic:spPr>
                </pic:pic>
              </a:graphicData>
            </a:graphic>
          </wp:anchor>
        </w:drawing>
      </w:r>
      <w:r>
        <w:rPr>
          <w:sz w:val="54"/>
        </w:rPr>
        <w:drawing>
          <wp:anchor distT="0" distB="0" distL="0" distR="0" allowOverlap="1" layoutInCell="1" locked="0" behindDoc="0" simplePos="0" relativeHeight="16041984">
            <wp:simplePos x="0" y="0"/>
            <wp:positionH relativeFrom="page">
              <wp:posOffset>14981556</wp:posOffset>
            </wp:positionH>
            <wp:positionV relativeFrom="page">
              <wp:posOffset>9668103</wp:posOffset>
            </wp:positionV>
            <wp:extent cx="563245" cy="184683"/>
            <wp:effectExtent l="0" t="0" r="0" b="0"/>
            <wp:wrapNone/>
            <wp:docPr id="2058" name="Image 2058"/>
            <wp:cNvGraphicFramePr>
              <a:graphicFrameLocks/>
            </wp:cNvGraphicFramePr>
            <a:graphic>
              <a:graphicData uri="http://schemas.openxmlformats.org/drawingml/2006/picture">
                <pic:pic>
                  <pic:nvPicPr>
                    <pic:cNvPr id="2058" name="Image 2058"/>
                    <pic:cNvPicPr/>
                  </pic:nvPicPr>
                  <pic:blipFill>
                    <a:blip r:embed="rId38" cstate="print"/>
                    <a:stretch>
                      <a:fillRect/>
                    </a:stretch>
                  </pic:blipFill>
                  <pic:spPr>
                    <a:xfrm>
                      <a:off x="0" y="0"/>
                      <a:ext cx="563245" cy="184683"/>
                    </a:xfrm>
                    <a:prstGeom prst="rect">
                      <a:avLst/>
                    </a:prstGeom>
                  </pic:spPr>
                </pic:pic>
              </a:graphicData>
            </a:graphic>
          </wp:anchor>
        </w:drawing>
      </w:r>
      <w:r>
        <w:rPr>
          <w:sz w:val="54"/>
        </w:rPr>
        <w:drawing>
          <wp:anchor distT="0" distB="0" distL="0" distR="0" allowOverlap="1" layoutInCell="1" locked="0" behindDoc="0" simplePos="0" relativeHeight="16042496">
            <wp:simplePos x="0" y="0"/>
            <wp:positionH relativeFrom="page">
              <wp:posOffset>13372084</wp:posOffset>
            </wp:positionH>
            <wp:positionV relativeFrom="paragraph">
              <wp:posOffset>365759</wp:posOffset>
            </wp:positionV>
            <wp:extent cx="728345" cy="366522"/>
            <wp:effectExtent l="0" t="0" r="0" b="0"/>
            <wp:wrapNone/>
            <wp:docPr id="2059" name="Image 2059"/>
            <wp:cNvGraphicFramePr>
              <a:graphicFrameLocks/>
            </wp:cNvGraphicFramePr>
            <a:graphic>
              <a:graphicData uri="http://schemas.openxmlformats.org/drawingml/2006/picture">
                <pic:pic>
                  <pic:nvPicPr>
                    <pic:cNvPr id="2059" name="Image 2059"/>
                    <pic:cNvPicPr/>
                  </pic:nvPicPr>
                  <pic:blipFill>
                    <a:blip r:embed="rId266" cstate="print"/>
                    <a:stretch>
                      <a:fillRect/>
                    </a:stretch>
                  </pic:blipFill>
                  <pic:spPr>
                    <a:xfrm>
                      <a:off x="0" y="0"/>
                      <a:ext cx="728345" cy="366522"/>
                    </a:xfrm>
                    <a:prstGeom prst="rect">
                      <a:avLst/>
                    </a:prstGeom>
                  </pic:spPr>
                </pic:pic>
              </a:graphicData>
            </a:graphic>
          </wp:anchor>
        </w:drawing>
      </w:r>
      <w:r>
        <w:rPr>
          <w:color w:val="636466"/>
          <w:sz w:val="54"/>
        </w:rPr>
        <w:t>Wayne</w:t>
      </w:r>
      <w:r>
        <w:rPr>
          <w:color w:val="636466"/>
          <w:spacing w:val="37"/>
          <w:sz w:val="54"/>
        </w:rPr>
        <w:t> </w:t>
      </w:r>
      <w:r>
        <w:rPr>
          <w:color w:val="636466"/>
          <w:sz w:val="54"/>
        </w:rPr>
        <w:t>County</w:t>
      </w:r>
      <w:r>
        <w:rPr>
          <w:color w:val="636466"/>
          <w:spacing w:val="38"/>
          <w:sz w:val="54"/>
        </w:rPr>
        <w:t> </w:t>
      </w:r>
      <w:r>
        <w:rPr>
          <w:color w:val="636466"/>
          <w:sz w:val="54"/>
        </w:rPr>
        <w:t>Appendix</w:t>
      </w:r>
      <w:r>
        <w:rPr>
          <w:color w:val="636466"/>
          <w:spacing w:val="38"/>
          <w:sz w:val="54"/>
        </w:rPr>
        <w:t> </w:t>
      </w:r>
      <w:r>
        <w:rPr>
          <w:color w:val="636466"/>
          <w:spacing w:val="-10"/>
          <w:sz w:val="54"/>
        </w:rPr>
        <w:t>G</w:t>
      </w:r>
    </w:p>
    <w:p>
      <w:pPr>
        <w:spacing w:line="247" w:lineRule="auto" w:before="236"/>
        <w:ind w:left="1089" w:right="13013" w:firstLine="0"/>
        <w:jc w:val="left"/>
        <w:rPr>
          <w:b/>
          <w:sz w:val="32"/>
        </w:rPr>
      </w:pPr>
      <w:r>
        <w:rPr>
          <w:b/>
          <w:color w:val="82BF6A"/>
          <w:spacing w:val="-4"/>
          <w:sz w:val="32"/>
        </w:rPr>
        <w:t>PRIORITY:</w:t>
      </w:r>
      <w:r>
        <w:rPr>
          <w:b/>
          <w:color w:val="82BF6A"/>
          <w:spacing w:val="-19"/>
          <w:sz w:val="32"/>
        </w:rPr>
        <w:t> </w:t>
      </w:r>
      <w:r>
        <w:rPr>
          <w:b/>
          <w:color w:val="82BF6A"/>
          <w:spacing w:val="-4"/>
          <w:sz w:val="32"/>
        </w:rPr>
        <w:t>PROMOTE</w:t>
      </w:r>
      <w:r>
        <w:rPr>
          <w:b/>
          <w:color w:val="82BF6A"/>
          <w:spacing w:val="-18"/>
          <w:sz w:val="32"/>
        </w:rPr>
        <w:t> </w:t>
      </w:r>
      <w:r>
        <w:rPr>
          <w:b/>
          <w:color w:val="82BF6A"/>
          <w:spacing w:val="-4"/>
          <w:sz w:val="32"/>
        </w:rPr>
        <w:t>WELL-BEING</w:t>
      </w:r>
      <w:r>
        <w:rPr>
          <w:b/>
          <w:color w:val="82BF6A"/>
          <w:spacing w:val="-18"/>
          <w:sz w:val="32"/>
        </w:rPr>
        <w:t> </w:t>
      </w:r>
      <w:r>
        <w:rPr>
          <w:b/>
          <w:color w:val="82BF6A"/>
          <w:spacing w:val="-4"/>
          <w:sz w:val="32"/>
        </w:rPr>
        <w:t>AND</w:t>
      </w:r>
      <w:r>
        <w:rPr>
          <w:b/>
          <w:color w:val="82BF6A"/>
          <w:spacing w:val="-18"/>
          <w:sz w:val="32"/>
        </w:rPr>
        <w:t> </w:t>
      </w:r>
      <w:r>
        <w:rPr>
          <w:b/>
          <w:color w:val="82BF6A"/>
          <w:spacing w:val="-4"/>
          <w:sz w:val="32"/>
        </w:rPr>
        <w:t>PREVENT</w:t>
      </w:r>
      <w:r>
        <w:rPr>
          <w:b/>
          <w:color w:val="82BF6A"/>
          <w:spacing w:val="-19"/>
          <w:sz w:val="32"/>
        </w:rPr>
        <w:t> </w:t>
      </w:r>
      <w:r>
        <w:rPr>
          <w:b/>
          <w:color w:val="82BF6A"/>
          <w:spacing w:val="-4"/>
          <w:sz w:val="32"/>
        </w:rPr>
        <w:t>MENTAL </w:t>
      </w:r>
      <w:r>
        <w:rPr>
          <w:b/>
          <w:color w:val="82BF6A"/>
          <w:sz w:val="32"/>
        </w:rPr>
        <w:t>AND</w:t>
      </w:r>
      <w:r>
        <w:rPr>
          <w:b/>
          <w:color w:val="82BF6A"/>
          <w:spacing w:val="-22"/>
          <w:sz w:val="32"/>
        </w:rPr>
        <w:t> </w:t>
      </w:r>
      <w:r>
        <w:rPr>
          <w:b/>
          <w:color w:val="82BF6A"/>
          <w:sz w:val="32"/>
        </w:rPr>
        <w:t>SUBSTANCE</w:t>
      </w:r>
      <w:r>
        <w:rPr>
          <w:b/>
          <w:color w:val="82BF6A"/>
          <w:spacing w:val="-22"/>
          <w:sz w:val="32"/>
        </w:rPr>
        <w:t> </w:t>
      </w:r>
      <w:r>
        <w:rPr>
          <w:b/>
          <w:color w:val="82BF6A"/>
          <w:sz w:val="32"/>
        </w:rPr>
        <w:t>USE</w:t>
      </w:r>
      <w:r>
        <w:rPr>
          <w:b/>
          <w:color w:val="82BF6A"/>
          <w:spacing w:val="-22"/>
          <w:sz w:val="32"/>
        </w:rPr>
        <w:t> </w:t>
      </w:r>
      <w:r>
        <w:rPr>
          <w:b/>
          <w:color w:val="82BF6A"/>
          <w:sz w:val="32"/>
        </w:rPr>
        <w:t>DISORDERS</w:t>
      </w:r>
    </w:p>
    <w:p>
      <w:pPr>
        <w:pStyle w:val="BodyText"/>
        <w:spacing w:before="152"/>
        <w:rPr>
          <w:b/>
          <w:sz w:val="20"/>
        </w:rPr>
      </w:pPr>
    </w:p>
    <w:tbl>
      <w:tblPr>
        <w:tblW w:w="0" w:type="auto"/>
        <w:jc w:val="left"/>
        <w:tblInd w:w="1099"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1180"/>
        <w:gridCol w:w="1281"/>
        <w:gridCol w:w="1267"/>
        <w:gridCol w:w="1325"/>
        <w:gridCol w:w="1167"/>
        <w:gridCol w:w="2377"/>
        <w:gridCol w:w="2550"/>
        <w:gridCol w:w="3623"/>
        <w:gridCol w:w="2824"/>
        <w:gridCol w:w="1686"/>
        <w:gridCol w:w="1499"/>
        <w:gridCol w:w="1552"/>
      </w:tblGrid>
      <w:tr>
        <w:trPr>
          <w:trHeight w:val="730" w:hRule="atLeast"/>
        </w:trPr>
        <w:tc>
          <w:tcPr>
            <w:tcW w:w="1180" w:type="dxa"/>
            <w:tcBorders>
              <w:right w:val="single" w:sz="4" w:space="0" w:color="FFFFFF"/>
            </w:tcBorders>
            <w:shd w:val="clear" w:color="auto" w:fill="A7A9AC"/>
          </w:tcPr>
          <w:p>
            <w:pPr>
              <w:pStyle w:val="TableParagraph"/>
              <w:spacing w:before="79"/>
              <w:rPr>
                <w:b/>
                <w:sz w:val="18"/>
              </w:rPr>
            </w:pPr>
          </w:p>
          <w:p>
            <w:pPr>
              <w:pStyle w:val="TableParagraph"/>
              <w:ind w:left="80"/>
              <w:rPr>
                <w:b/>
                <w:sz w:val="18"/>
              </w:rPr>
            </w:pPr>
            <w:r>
              <w:rPr>
                <w:b/>
                <w:color w:val="FFFFFF"/>
                <w:spacing w:val="-2"/>
                <w:sz w:val="18"/>
              </w:rPr>
              <w:t>Priority</w:t>
            </w:r>
          </w:p>
        </w:tc>
        <w:tc>
          <w:tcPr>
            <w:tcW w:w="1281" w:type="dxa"/>
            <w:tcBorders>
              <w:left w:val="single" w:sz="4" w:space="0" w:color="FFFFFF"/>
              <w:right w:val="single" w:sz="4" w:space="0" w:color="FFFFFF"/>
            </w:tcBorders>
            <w:shd w:val="clear" w:color="auto" w:fill="A7A9AC"/>
          </w:tcPr>
          <w:p>
            <w:pPr>
              <w:pStyle w:val="TableParagraph"/>
              <w:spacing w:before="79"/>
              <w:rPr>
                <w:b/>
                <w:sz w:val="18"/>
              </w:rPr>
            </w:pPr>
          </w:p>
          <w:p>
            <w:pPr>
              <w:pStyle w:val="TableParagraph"/>
              <w:ind w:left="80"/>
              <w:rPr>
                <w:b/>
                <w:sz w:val="18"/>
              </w:rPr>
            </w:pPr>
            <w:r>
              <w:rPr>
                <w:b/>
                <w:color w:val="FFFFFF"/>
                <w:w w:val="90"/>
                <w:sz w:val="18"/>
              </w:rPr>
              <w:t>Focus</w:t>
            </w:r>
            <w:r>
              <w:rPr>
                <w:b/>
                <w:color w:val="FFFFFF"/>
                <w:spacing w:val="8"/>
                <w:sz w:val="18"/>
              </w:rPr>
              <w:t> </w:t>
            </w:r>
            <w:r>
              <w:rPr>
                <w:b/>
                <w:color w:val="FFFFFF"/>
                <w:spacing w:val="-4"/>
                <w:sz w:val="18"/>
              </w:rPr>
              <w:t>Area</w:t>
            </w:r>
          </w:p>
        </w:tc>
        <w:tc>
          <w:tcPr>
            <w:tcW w:w="1267" w:type="dxa"/>
            <w:tcBorders>
              <w:left w:val="single" w:sz="4" w:space="0" w:color="FFFFFF"/>
              <w:right w:val="single" w:sz="4" w:space="0" w:color="FFFFFF"/>
            </w:tcBorders>
            <w:shd w:val="clear" w:color="auto" w:fill="A7A9AC"/>
          </w:tcPr>
          <w:p>
            <w:pPr>
              <w:pStyle w:val="TableParagraph"/>
              <w:spacing w:line="232" w:lineRule="auto" w:before="191"/>
              <w:ind w:left="81" w:right="236"/>
              <w:rPr>
                <w:b/>
                <w:sz w:val="18"/>
              </w:rPr>
            </w:pPr>
            <w:r>
              <w:rPr>
                <w:b/>
                <w:color w:val="FFFFFF"/>
                <w:spacing w:val="-6"/>
                <w:sz w:val="18"/>
              </w:rPr>
              <w:t>Goal</w:t>
            </w:r>
            <w:r>
              <w:rPr>
                <w:b/>
                <w:color w:val="FFFFFF"/>
                <w:spacing w:val="-7"/>
                <w:sz w:val="18"/>
              </w:rPr>
              <w:t> </w:t>
            </w:r>
            <w:r>
              <w:rPr>
                <w:b/>
                <w:color w:val="FFFFFF"/>
                <w:spacing w:val="-6"/>
                <w:sz w:val="18"/>
              </w:rPr>
              <w:t>Focus </w:t>
            </w:r>
            <w:r>
              <w:rPr>
                <w:b/>
                <w:color w:val="FFFFFF"/>
                <w:spacing w:val="-4"/>
                <w:sz w:val="18"/>
              </w:rPr>
              <w:t>Area</w:t>
            </w:r>
          </w:p>
        </w:tc>
        <w:tc>
          <w:tcPr>
            <w:tcW w:w="1325" w:type="dxa"/>
            <w:tcBorders>
              <w:left w:val="single" w:sz="4" w:space="0" w:color="FFFFFF"/>
              <w:right w:val="single" w:sz="4" w:space="0" w:color="FFFFFF"/>
            </w:tcBorders>
            <w:shd w:val="clear" w:color="auto" w:fill="A7A9AC"/>
          </w:tcPr>
          <w:p>
            <w:pPr>
              <w:pStyle w:val="TableParagraph"/>
              <w:spacing w:before="79"/>
              <w:rPr>
                <w:b/>
                <w:sz w:val="18"/>
              </w:rPr>
            </w:pPr>
          </w:p>
          <w:p>
            <w:pPr>
              <w:pStyle w:val="TableParagraph"/>
              <w:ind w:left="81"/>
              <w:rPr>
                <w:b/>
                <w:sz w:val="18"/>
              </w:rPr>
            </w:pPr>
            <w:r>
              <w:rPr>
                <w:b/>
                <w:color w:val="FFFFFF"/>
                <w:spacing w:val="-2"/>
                <w:sz w:val="18"/>
              </w:rPr>
              <w:t>Objectives</w:t>
            </w:r>
          </w:p>
        </w:tc>
        <w:tc>
          <w:tcPr>
            <w:tcW w:w="1167" w:type="dxa"/>
            <w:tcBorders>
              <w:left w:val="single" w:sz="4" w:space="0" w:color="FFFFFF"/>
              <w:right w:val="single" w:sz="4" w:space="0" w:color="FFFFFF"/>
            </w:tcBorders>
            <w:shd w:val="clear" w:color="auto" w:fill="A7A9AC"/>
          </w:tcPr>
          <w:p>
            <w:pPr>
              <w:pStyle w:val="TableParagraph"/>
              <w:spacing w:before="79"/>
              <w:rPr>
                <w:b/>
                <w:sz w:val="18"/>
              </w:rPr>
            </w:pPr>
          </w:p>
          <w:p>
            <w:pPr>
              <w:pStyle w:val="TableParagraph"/>
              <w:ind w:left="81"/>
              <w:rPr>
                <w:b/>
                <w:sz w:val="18"/>
              </w:rPr>
            </w:pPr>
            <w:r>
              <w:rPr>
                <w:b/>
                <w:color w:val="FFFFFF"/>
                <w:spacing w:val="-2"/>
                <w:sz w:val="18"/>
              </w:rPr>
              <w:t>Disparities</w:t>
            </w:r>
          </w:p>
        </w:tc>
        <w:tc>
          <w:tcPr>
            <w:tcW w:w="2377" w:type="dxa"/>
            <w:tcBorders>
              <w:left w:val="single" w:sz="4" w:space="0" w:color="FFFFFF"/>
              <w:right w:val="single" w:sz="4" w:space="0" w:color="FFFFFF"/>
            </w:tcBorders>
            <w:shd w:val="clear" w:color="auto" w:fill="A7A9AC"/>
          </w:tcPr>
          <w:p>
            <w:pPr>
              <w:pStyle w:val="TableParagraph"/>
              <w:spacing w:before="79"/>
              <w:rPr>
                <w:b/>
                <w:sz w:val="18"/>
              </w:rPr>
            </w:pPr>
          </w:p>
          <w:p>
            <w:pPr>
              <w:pStyle w:val="TableParagraph"/>
              <w:ind w:left="80"/>
              <w:rPr>
                <w:b/>
                <w:sz w:val="18"/>
              </w:rPr>
            </w:pPr>
            <w:r>
              <w:rPr>
                <w:b/>
                <w:color w:val="FFFFFF"/>
                <w:spacing w:val="-2"/>
                <w:sz w:val="18"/>
              </w:rPr>
              <w:t>Interventions</w:t>
            </w:r>
          </w:p>
        </w:tc>
        <w:tc>
          <w:tcPr>
            <w:tcW w:w="6173" w:type="dxa"/>
            <w:gridSpan w:val="2"/>
            <w:tcBorders>
              <w:left w:val="single" w:sz="4" w:space="0" w:color="FFFFFF"/>
              <w:right w:val="single" w:sz="4" w:space="0" w:color="FFFFFF"/>
            </w:tcBorders>
            <w:shd w:val="clear" w:color="auto" w:fill="A7A9AC"/>
          </w:tcPr>
          <w:p>
            <w:pPr>
              <w:pStyle w:val="TableParagraph"/>
              <w:tabs>
                <w:tab w:pos="3628" w:val="left" w:leader="none"/>
              </w:tabs>
              <w:spacing w:line="203" w:lineRule="exact" w:before="186"/>
              <w:ind w:left="89"/>
              <w:rPr>
                <w:b/>
                <w:sz w:val="18"/>
              </w:rPr>
            </w:pPr>
            <w:r>
              <w:rPr>
                <w:b/>
                <w:color w:val="FFFFFF"/>
                <w:spacing w:val="-4"/>
                <w:sz w:val="18"/>
              </w:rPr>
              <w:t>Family</w:t>
            </w:r>
            <w:r>
              <w:rPr>
                <w:b/>
                <w:color w:val="FFFFFF"/>
                <w:spacing w:val="-2"/>
                <w:sz w:val="18"/>
              </w:rPr>
              <w:t> </w:t>
            </w:r>
            <w:r>
              <w:rPr>
                <w:b/>
                <w:color w:val="FFFFFF"/>
                <w:spacing w:val="-5"/>
                <w:sz w:val="18"/>
              </w:rPr>
              <w:t>of</w:t>
            </w:r>
            <w:r>
              <w:rPr>
                <w:b/>
                <w:color w:val="FFFFFF"/>
                <w:sz w:val="18"/>
              </w:rPr>
              <w:tab/>
              <w:t>Projected</w:t>
            </w:r>
            <w:r>
              <w:rPr>
                <w:b/>
                <w:color w:val="FFFFFF"/>
                <w:spacing w:val="-9"/>
                <w:sz w:val="18"/>
              </w:rPr>
              <w:t> </w:t>
            </w:r>
            <w:r>
              <w:rPr>
                <w:b/>
                <w:color w:val="FFFFFF"/>
                <w:sz w:val="18"/>
              </w:rPr>
              <w:t>(or</w:t>
            </w:r>
            <w:r>
              <w:rPr>
                <w:b/>
                <w:color w:val="FFFFFF"/>
                <w:spacing w:val="-8"/>
                <w:sz w:val="18"/>
              </w:rPr>
              <w:t> </w:t>
            </w:r>
            <w:r>
              <w:rPr>
                <w:b/>
                <w:color w:val="FFFFFF"/>
                <w:spacing w:val="-2"/>
                <w:sz w:val="18"/>
              </w:rPr>
              <w:t>completed)</w:t>
            </w:r>
          </w:p>
          <w:p>
            <w:pPr>
              <w:pStyle w:val="TableParagraph"/>
              <w:tabs>
                <w:tab w:pos="3628" w:val="left" w:leader="none"/>
              </w:tabs>
              <w:spacing w:line="203" w:lineRule="exact"/>
              <w:ind w:left="89"/>
              <w:rPr>
                <w:b/>
                <w:sz w:val="18"/>
              </w:rPr>
            </w:pPr>
            <w:r>
              <w:rPr>
                <w:b/>
                <w:color w:val="FFFFFF"/>
                <w:spacing w:val="-2"/>
                <w:sz w:val="18"/>
              </w:rPr>
              <w:t>Measures</w:t>
            </w:r>
            <w:r>
              <w:rPr>
                <w:b/>
                <w:color w:val="FFFFFF"/>
                <w:sz w:val="18"/>
              </w:rPr>
              <w:tab/>
              <w:t>Year</w:t>
            </w:r>
            <w:r>
              <w:rPr>
                <w:b/>
                <w:color w:val="FFFFFF"/>
                <w:spacing w:val="-8"/>
                <w:sz w:val="18"/>
              </w:rPr>
              <w:t> </w:t>
            </w:r>
            <w:r>
              <w:rPr>
                <w:b/>
                <w:color w:val="FFFFFF"/>
                <w:sz w:val="18"/>
              </w:rPr>
              <w:t>1</w:t>
            </w:r>
            <w:r>
              <w:rPr>
                <w:b/>
                <w:color w:val="FFFFFF"/>
                <w:spacing w:val="-7"/>
                <w:sz w:val="18"/>
              </w:rPr>
              <w:t> </w:t>
            </w:r>
            <w:r>
              <w:rPr>
                <w:b/>
                <w:color w:val="FFFFFF"/>
                <w:spacing w:val="-2"/>
                <w:sz w:val="18"/>
              </w:rPr>
              <w:t>Intervention</w:t>
            </w:r>
          </w:p>
        </w:tc>
        <w:tc>
          <w:tcPr>
            <w:tcW w:w="2824" w:type="dxa"/>
            <w:tcBorders>
              <w:left w:val="single" w:sz="4" w:space="0" w:color="FFFFFF"/>
              <w:right w:val="single" w:sz="4" w:space="0" w:color="FFFFFF"/>
            </w:tcBorders>
            <w:shd w:val="clear" w:color="auto" w:fill="A7A9AC"/>
          </w:tcPr>
          <w:p>
            <w:pPr>
              <w:pStyle w:val="TableParagraph"/>
              <w:spacing w:before="78"/>
              <w:rPr>
                <w:b/>
                <w:sz w:val="18"/>
              </w:rPr>
            </w:pPr>
          </w:p>
          <w:p>
            <w:pPr>
              <w:pStyle w:val="TableParagraph"/>
              <w:spacing w:before="1"/>
              <w:ind w:left="76"/>
              <w:rPr>
                <w:b/>
                <w:sz w:val="18"/>
              </w:rPr>
            </w:pPr>
            <w:r>
              <w:rPr>
                <w:b/>
                <w:color w:val="FFFFFF"/>
                <w:spacing w:val="-2"/>
                <w:sz w:val="18"/>
              </w:rPr>
              <w:t>Projected</w:t>
            </w:r>
            <w:r>
              <w:rPr>
                <w:b/>
                <w:color w:val="FFFFFF"/>
                <w:spacing w:val="-6"/>
                <w:sz w:val="18"/>
              </w:rPr>
              <w:t> </w:t>
            </w:r>
            <w:r>
              <w:rPr>
                <w:b/>
                <w:color w:val="FFFFFF"/>
                <w:spacing w:val="-2"/>
                <w:sz w:val="18"/>
              </w:rPr>
              <w:t>Year</w:t>
            </w:r>
            <w:r>
              <w:rPr>
                <w:b/>
                <w:color w:val="FFFFFF"/>
                <w:spacing w:val="-5"/>
                <w:sz w:val="18"/>
              </w:rPr>
              <w:t> </w:t>
            </w:r>
            <w:r>
              <w:rPr>
                <w:b/>
                <w:color w:val="FFFFFF"/>
                <w:spacing w:val="-12"/>
                <w:sz w:val="18"/>
              </w:rPr>
              <w:t>2</w:t>
            </w:r>
          </w:p>
        </w:tc>
        <w:tc>
          <w:tcPr>
            <w:tcW w:w="1686" w:type="dxa"/>
            <w:tcBorders>
              <w:left w:val="single" w:sz="4" w:space="0" w:color="FFFFFF"/>
              <w:right w:val="single" w:sz="4" w:space="0" w:color="FFFFFF"/>
            </w:tcBorders>
            <w:shd w:val="clear" w:color="auto" w:fill="A7A9AC"/>
          </w:tcPr>
          <w:p>
            <w:pPr>
              <w:pStyle w:val="TableParagraph"/>
              <w:spacing w:line="232" w:lineRule="auto" w:before="190"/>
              <w:ind w:left="75" w:right="108"/>
              <w:rPr>
                <w:b/>
                <w:sz w:val="18"/>
              </w:rPr>
            </w:pPr>
            <w:r>
              <w:rPr>
                <w:b/>
                <w:color w:val="FFFFFF"/>
                <w:spacing w:val="-2"/>
                <w:sz w:val="18"/>
              </w:rPr>
              <w:t>Projected</w:t>
            </w:r>
            <w:r>
              <w:rPr>
                <w:b/>
                <w:color w:val="FFFFFF"/>
                <w:spacing w:val="-13"/>
                <w:sz w:val="18"/>
              </w:rPr>
              <w:t> </w:t>
            </w:r>
            <w:r>
              <w:rPr>
                <w:b/>
                <w:color w:val="FFFFFF"/>
                <w:spacing w:val="-2"/>
                <w:sz w:val="18"/>
              </w:rPr>
              <w:t>Year</w:t>
            </w:r>
            <w:r>
              <w:rPr>
                <w:b/>
                <w:color w:val="FFFFFF"/>
                <w:spacing w:val="-10"/>
                <w:sz w:val="18"/>
              </w:rPr>
              <w:t> </w:t>
            </w:r>
            <w:r>
              <w:rPr>
                <w:b/>
                <w:color w:val="FFFFFF"/>
                <w:spacing w:val="-2"/>
                <w:sz w:val="18"/>
              </w:rPr>
              <w:t>3 Interventions</w:t>
            </w:r>
          </w:p>
        </w:tc>
        <w:tc>
          <w:tcPr>
            <w:tcW w:w="1499" w:type="dxa"/>
            <w:tcBorders>
              <w:left w:val="single" w:sz="4" w:space="0" w:color="FFFFFF"/>
            </w:tcBorders>
            <w:shd w:val="clear" w:color="auto" w:fill="A7A9AC"/>
          </w:tcPr>
          <w:p>
            <w:pPr>
              <w:pStyle w:val="TableParagraph"/>
              <w:spacing w:line="232" w:lineRule="auto" w:before="190"/>
              <w:ind w:left="74"/>
              <w:rPr>
                <w:b/>
                <w:sz w:val="18"/>
              </w:rPr>
            </w:pPr>
            <w:r>
              <w:rPr>
                <w:b/>
                <w:color w:val="FFFFFF"/>
                <w:spacing w:val="-2"/>
                <w:sz w:val="18"/>
              </w:rPr>
              <w:t>Implementation Partner</w:t>
            </w:r>
          </w:p>
        </w:tc>
        <w:tc>
          <w:tcPr>
            <w:tcW w:w="1552" w:type="dxa"/>
            <w:shd w:val="clear" w:color="auto" w:fill="A7A9AC"/>
          </w:tcPr>
          <w:p>
            <w:pPr>
              <w:pStyle w:val="TableParagraph"/>
              <w:spacing w:line="232" w:lineRule="auto" w:before="190"/>
              <w:ind w:left="72" w:right="224"/>
              <w:rPr>
                <w:b/>
                <w:sz w:val="18"/>
              </w:rPr>
            </w:pPr>
            <w:r>
              <w:rPr>
                <w:b/>
                <w:color w:val="FFFFFF"/>
                <w:spacing w:val="-4"/>
                <w:sz w:val="18"/>
              </w:rPr>
              <w:t>Partner</w:t>
            </w:r>
            <w:r>
              <w:rPr>
                <w:b/>
                <w:color w:val="FFFFFF"/>
                <w:spacing w:val="-9"/>
                <w:sz w:val="18"/>
              </w:rPr>
              <w:t> </w:t>
            </w:r>
            <w:r>
              <w:rPr>
                <w:b/>
                <w:color w:val="FFFFFF"/>
                <w:spacing w:val="-4"/>
                <w:sz w:val="18"/>
              </w:rPr>
              <w:t>Role(s) </w:t>
            </w:r>
            <w:r>
              <w:rPr>
                <w:b/>
                <w:color w:val="FFFFFF"/>
                <w:sz w:val="18"/>
              </w:rPr>
              <w:t>and</w:t>
            </w:r>
            <w:r>
              <w:rPr>
                <w:b/>
                <w:color w:val="FFFFFF"/>
                <w:spacing w:val="-7"/>
                <w:sz w:val="18"/>
              </w:rPr>
              <w:t> Resources</w:t>
            </w:r>
          </w:p>
        </w:tc>
      </w:tr>
      <w:tr>
        <w:trPr>
          <w:trHeight w:val="3130" w:hRule="atLeast"/>
        </w:trPr>
        <w:tc>
          <w:tcPr>
            <w:tcW w:w="1180" w:type="dxa"/>
            <w:vMerge w:val="restart"/>
            <w:shd w:val="clear" w:color="auto" w:fill="E6E7E8"/>
          </w:tcPr>
          <w:p>
            <w:pPr>
              <w:pStyle w:val="TableParagraph"/>
              <w:spacing w:line="232" w:lineRule="auto" w:before="100"/>
              <w:ind w:left="89" w:right="87"/>
              <w:rPr>
                <w:sz w:val="18"/>
              </w:rPr>
            </w:pPr>
            <w:r>
              <w:rPr>
                <w:color w:val="105C84"/>
                <w:spacing w:val="-2"/>
                <w:sz w:val="18"/>
              </w:rPr>
              <w:t>Promote Well-Being </w:t>
            </w:r>
            <w:r>
              <w:rPr>
                <w:color w:val="105C84"/>
                <w:sz w:val="18"/>
              </w:rPr>
              <w:t>and</w:t>
            </w:r>
            <w:r>
              <w:rPr>
                <w:color w:val="105C84"/>
                <w:spacing w:val="-13"/>
                <w:sz w:val="18"/>
              </w:rPr>
              <w:t> </w:t>
            </w:r>
            <w:r>
              <w:rPr>
                <w:color w:val="105C84"/>
                <w:sz w:val="18"/>
              </w:rPr>
              <w:t>Prevent Mental and </w:t>
            </w:r>
            <w:r>
              <w:rPr>
                <w:color w:val="105C84"/>
                <w:spacing w:val="-2"/>
                <w:sz w:val="18"/>
              </w:rPr>
              <w:t>Substance </w:t>
            </w:r>
            <w:r>
              <w:rPr>
                <w:color w:val="105C84"/>
                <w:spacing w:val="-4"/>
                <w:sz w:val="18"/>
              </w:rPr>
              <w:t>Use </w:t>
            </w:r>
            <w:r>
              <w:rPr>
                <w:color w:val="105C84"/>
                <w:spacing w:val="-2"/>
                <w:sz w:val="18"/>
              </w:rPr>
              <w:t>Disorders</w:t>
            </w:r>
          </w:p>
        </w:tc>
        <w:tc>
          <w:tcPr>
            <w:tcW w:w="1281" w:type="dxa"/>
            <w:vMerge w:val="restart"/>
          </w:tcPr>
          <w:p>
            <w:pPr>
              <w:pStyle w:val="TableParagraph"/>
              <w:spacing w:line="232" w:lineRule="auto" w:before="100"/>
              <w:ind w:left="90" w:right="288"/>
              <w:jc w:val="both"/>
              <w:rPr>
                <w:sz w:val="18"/>
              </w:rPr>
            </w:pPr>
            <w:r>
              <w:rPr>
                <w:color w:val="105C84"/>
                <w:spacing w:val="-4"/>
                <w:sz w:val="18"/>
              </w:rPr>
              <w:t>Focus</w:t>
            </w:r>
            <w:r>
              <w:rPr>
                <w:color w:val="105C84"/>
                <w:spacing w:val="-9"/>
                <w:sz w:val="18"/>
              </w:rPr>
              <w:t> </w:t>
            </w:r>
            <w:r>
              <w:rPr>
                <w:color w:val="105C84"/>
                <w:spacing w:val="-4"/>
                <w:sz w:val="18"/>
              </w:rPr>
              <w:t>Area </w:t>
            </w:r>
            <w:r>
              <w:rPr>
                <w:color w:val="105C84"/>
                <w:sz w:val="18"/>
              </w:rPr>
              <w:t>1:</w:t>
            </w:r>
            <w:r>
              <w:rPr>
                <w:color w:val="105C84"/>
                <w:spacing w:val="-13"/>
                <w:sz w:val="18"/>
              </w:rPr>
              <w:t> </w:t>
            </w:r>
            <w:r>
              <w:rPr>
                <w:color w:val="105C84"/>
                <w:sz w:val="18"/>
              </w:rPr>
              <w:t>Promote </w:t>
            </w:r>
            <w:r>
              <w:rPr>
                <w:color w:val="105C84"/>
                <w:spacing w:val="-2"/>
                <w:sz w:val="18"/>
              </w:rPr>
              <w:t>Well-Being</w:t>
            </w:r>
          </w:p>
        </w:tc>
        <w:tc>
          <w:tcPr>
            <w:tcW w:w="1267" w:type="dxa"/>
            <w:vMerge w:val="restart"/>
          </w:tcPr>
          <w:p>
            <w:pPr>
              <w:pStyle w:val="TableParagraph"/>
              <w:spacing w:line="232" w:lineRule="auto" w:before="100"/>
              <w:ind w:left="90" w:right="86"/>
              <w:rPr>
                <w:sz w:val="18"/>
              </w:rPr>
            </w:pPr>
            <w:r>
              <w:rPr>
                <w:color w:val="105C84"/>
                <w:w w:val="105"/>
                <w:sz w:val="18"/>
              </w:rPr>
              <w:t>Goal</w:t>
            </w:r>
            <w:r>
              <w:rPr>
                <w:color w:val="105C84"/>
                <w:spacing w:val="-1"/>
                <w:w w:val="105"/>
                <w:sz w:val="18"/>
              </w:rPr>
              <w:t> </w:t>
            </w:r>
            <w:r>
              <w:rPr>
                <w:color w:val="105C84"/>
                <w:w w:val="105"/>
                <w:sz w:val="18"/>
              </w:rPr>
              <w:t>1.1: </w:t>
            </w:r>
            <w:r>
              <w:rPr>
                <w:color w:val="105C84"/>
                <w:spacing w:val="-2"/>
                <w:w w:val="105"/>
                <w:sz w:val="18"/>
              </w:rPr>
              <w:t>Strengthen </w:t>
            </w:r>
            <w:r>
              <w:rPr>
                <w:color w:val="105C84"/>
                <w:spacing w:val="-2"/>
                <w:sz w:val="18"/>
              </w:rPr>
              <w:t>opportunities </w:t>
            </w:r>
            <w:r>
              <w:rPr>
                <w:color w:val="105C84"/>
                <w:w w:val="105"/>
                <w:sz w:val="18"/>
              </w:rPr>
              <w:t>to</w:t>
            </w:r>
            <w:r>
              <w:rPr>
                <w:color w:val="105C84"/>
                <w:spacing w:val="-5"/>
                <w:w w:val="105"/>
                <w:sz w:val="18"/>
              </w:rPr>
              <w:t> </w:t>
            </w:r>
            <w:r>
              <w:rPr>
                <w:color w:val="105C84"/>
                <w:w w:val="105"/>
                <w:sz w:val="18"/>
              </w:rPr>
              <w:t>build</w:t>
            </w:r>
            <w:r>
              <w:rPr>
                <w:color w:val="105C84"/>
                <w:spacing w:val="-5"/>
                <w:w w:val="105"/>
                <w:sz w:val="18"/>
              </w:rPr>
              <w:t> </w:t>
            </w:r>
            <w:r>
              <w:rPr>
                <w:color w:val="105C84"/>
                <w:w w:val="105"/>
                <w:sz w:val="18"/>
              </w:rPr>
              <w:t>well-being</w:t>
            </w:r>
            <w:r>
              <w:rPr>
                <w:color w:val="105C84"/>
                <w:spacing w:val="-1"/>
                <w:w w:val="105"/>
                <w:sz w:val="18"/>
              </w:rPr>
              <w:t> </w:t>
            </w:r>
            <w:r>
              <w:rPr>
                <w:color w:val="105C84"/>
                <w:w w:val="105"/>
                <w:sz w:val="18"/>
              </w:rPr>
              <w:t>and </w:t>
            </w:r>
            <w:r>
              <w:rPr>
                <w:color w:val="105C84"/>
                <w:spacing w:val="-2"/>
                <w:w w:val="105"/>
                <w:sz w:val="18"/>
              </w:rPr>
              <w:t>resilience </w:t>
            </w:r>
            <w:r>
              <w:rPr>
                <w:color w:val="105C84"/>
                <w:w w:val="105"/>
                <w:sz w:val="18"/>
              </w:rPr>
              <w:t>across</w:t>
            </w:r>
            <w:r>
              <w:rPr>
                <w:color w:val="105C84"/>
                <w:spacing w:val="-1"/>
                <w:w w:val="105"/>
                <w:sz w:val="18"/>
              </w:rPr>
              <w:t> </w:t>
            </w:r>
            <w:r>
              <w:rPr>
                <w:color w:val="105C84"/>
                <w:w w:val="105"/>
                <w:sz w:val="18"/>
              </w:rPr>
              <w:t>the </w:t>
            </w:r>
            <w:r>
              <w:rPr>
                <w:color w:val="105C84"/>
                <w:spacing w:val="-2"/>
                <w:w w:val="105"/>
                <w:sz w:val="18"/>
              </w:rPr>
              <w:t>lifespan</w:t>
            </w:r>
          </w:p>
        </w:tc>
        <w:tc>
          <w:tcPr>
            <w:tcW w:w="1325" w:type="dxa"/>
          </w:tcPr>
          <w:p>
            <w:pPr>
              <w:pStyle w:val="TableParagraph"/>
              <w:spacing w:line="232" w:lineRule="auto" w:before="100"/>
              <w:ind w:left="91" w:right="84"/>
              <w:rPr>
                <w:sz w:val="18"/>
              </w:rPr>
            </w:pPr>
            <w:r>
              <w:rPr>
                <w:color w:val="105C84"/>
                <w:spacing w:val="-6"/>
                <w:sz w:val="18"/>
              </w:rPr>
              <w:t>1.1.1</w:t>
            </w:r>
            <w:r>
              <w:rPr>
                <w:color w:val="105C84"/>
                <w:spacing w:val="-7"/>
                <w:sz w:val="18"/>
              </w:rPr>
              <w:t> </w:t>
            </w:r>
            <w:r>
              <w:rPr>
                <w:color w:val="105C84"/>
                <w:spacing w:val="-6"/>
                <w:sz w:val="18"/>
              </w:rPr>
              <w:t>Increas</w:t>
            </w:r>
            <w:r>
              <w:rPr>
                <w:color w:val="105C84"/>
                <w:spacing w:val="-6"/>
                <w:sz w:val="18"/>
              </w:rPr>
              <w:t>e</w:t>
            </w:r>
            <w:r>
              <w:rPr>
                <w:color w:val="105C84"/>
                <w:spacing w:val="-6"/>
                <w:sz w:val="18"/>
              </w:rPr>
              <w:t> </w:t>
            </w:r>
            <w:r>
              <w:rPr>
                <w:color w:val="105C84"/>
                <w:spacing w:val="-2"/>
                <w:sz w:val="18"/>
              </w:rPr>
              <w:t>Wayne County's Opportunity </w:t>
            </w:r>
            <w:r>
              <w:rPr>
                <w:color w:val="105C84"/>
                <w:sz w:val="18"/>
              </w:rPr>
              <w:t>Index Score;</w:t>
            </w:r>
          </w:p>
          <w:p>
            <w:pPr>
              <w:pStyle w:val="TableParagraph"/>
              <w:spacing w:line="232" w:lineRule="auto"/>
              <w:ind w:left="91" w:right="84"/>
              <w:rPr>
                <w:sz w:val="18"/>
              </w:rPr>
            </w:pPr>
            <w:r>
              <w:rPr>
                <w:color w:val="105C84"/>
                <w:sz w:val="18"/>
              </w:rPr>
              <w:t>1.1.3 Reduce the</w:t>
            </w:r>
            <w:r>
              <w:rPr>
                <w:color w:val="105C84"/>
                <w:spacing w:val="-6"/>
                <w:sz w:val="18"/>
              </w:rPr>
              <w:t> </w:t>
            </w:r>
            <w:r>
              <w:rPr>
                <w:color w:val="105C84"/>
                <w:sz w:val="18"/>
              </w:rPr>
              <w:t>number</w:t>
            </w:r>
            <w:r>
              <w:rPr>
                <w:color w:val="105C84"/>
                <w:spacing w:val="-6"/>
                <w:sz w:val="18"/>
              </w:rPr>
              <w:t> </w:t>
            </w:r>
            <w:r>
              <w:rPr>
                <w:color w:val="105C84"/>
                <w:sz w:val="18"/>
              </w:rPr>
              <w:t>of</w:t>
            </w:r>
            <w:r>
              <w:rPr>
                <w:color w:val="105C84"/>
                <w:sz w:val="18"/>
              </w:rPr>
              <w:t> youth grades 9-12 who</w:t>
            </w:r>
          </w:p>
          <w:p>
            <w:pPr>
              <w:pStyle w:val="TableParagraph"/>
              <w:spacing w:line="232" w:lineRule="auto"/>
              <w:ind w:left="91"/>
              <w:rPr>
                <w:sz w:val="18"/>
              </w:rPr>
            </w:pPr>
            <w:r>
              <w:rPr>
                <w:color w:val="105C84"/>
                <w:sz w:val="18"/>
              </w:rPr>
              <w:t>felt</w:t>
            </w:r>
            <w:r>
              <w:rPr>
                <w:color w:val="105C84"/>
                <w:spacing w:val="-15"/>
                <w:sz w:val="18"/>
              </w:rPr>
              <w:t> </w:t>
            </w:r>
            <w:r>
              <w:rPr>
                <w:color w:val="105C84"/>
                <w:sz w:val="18"/>
              </w:rPr>
              <w:t>sad</w:t>
            </w:r>
            <w:r>
              <w:rPr>
                <w:color w:val="105C84"/>
                <w:spacing w:val="-12"/>
                <w:sz w:val="18"/>
              </w:rPr>
              <w:t> </w:t>
            </w:r>
            <w:r>
              <w:rPr>
                <w:color w:val="105C84"/>
                <w:sz w:val="18"/>
              </w:rPr>
              <w:t>or </w:t>
            </w:r>
            <w:r>
              <w:rPr>
                <w:color w:val="105C84"/>
                <w:spacing w:val="-2"/>
                <w:sz w:val="18"/>
              </w:rPr>
              <w:t>hopeless</w:t>
            </w:r>
          </w:p>
        </w:tc>
        <w:tc>
          <w:tcPr>
            <w:tcW w:w="1167" w:type="dxa"/>
          </w:tcPr>
          <w:p>
            <w:pPr>
              <w:pStyle w:val="TableParagraph"/>
              <w:spacing w:line="232" w:lineRule="auto" w:before="100"/>
              <w:ind w:left="90" w:right="92"/>
              <w:rPr>
                <w:sz w:val="18"/>
              </w:rPr>
            </w:pPr>
            <w:r>
              <w:rPr>
                <w:color w:val="105C84"/>
                <w:sz w:val="18"/>
              </w:rPr>
              <w:t>Low SES </w:t>
            </w:r>
            <w:r>
              <w:rPr>
                <w:color w:val="105C84"/>
                <w:spacing w:val="-2"/>
                <w:sz w:val="18"/>
              </w:rPr>
              <w:t>families (food </w:t>
            </w:r>
            <w:r>
              <w:rPr>
                <w:color w:val="105C84"/>
                <w:spacing w:val="-4"/>
                <w:sz w:val="18"/>
              </w:rPr>
              <w:t>insecurity)</w:t>
            </w:r>
          </w:p>
        </w:tc>
        <w:tc>
          <w:tcPr>
            <w:tcW w:w="2377" w:type="dxa"/>
          </w:tcPr>
          <w:p>
            <w:pPr>
              <w:pStyle w:val="TableParagraph"/>
              <w:spacing w:line="232" w:lineRule="auto" w:before="100"/>
              <w:ind w:left="90" w:right="105"/>
              <w:rPr>
                <w:sz w:val="18"/>
              </w:rPr>
            </w:pPr>
            <w:r>
              <w:rPr>
                <w:color w:val="105C84"/>
                <w:sz w:val="18"/>
              </w:rPr>
              <w:t>Intervention 1.1.3: create and sustain inclusive, healthy public spaces: ensure space for physical </w:t>
            </w:r>
            <w:r>
              <w:rPr>
                <w:color w:val="105C84"/>
                <w:spacing w:val="-2"/>
                <w:sz w:val="18"/>
              </w:rPr>
              <w:t>activity,</w:t>
            </w:r>
            <w:r>
              <w:rPr>
                <w:color w:val="105C84"/>
                <w:spacing w:val="-11"/>
                <w:sz w:val="18"/>
              </w:rPr>
              <w:t> </w:t>
            </w:r>
            <w:r>
              <w:rPr>
                <w:color w:val="105C84"/>
                <w:spacing w:val="-2"/>
                <w:sz w:val="18"/>
              </w:rPr>
              <w:t>food</w:t>
            </w:r>
            <w:r>
              <w:rPr>
                <w:color w:val="105C84"/>
                <w:spacing w:val="-10"/>
                <w:sz w:val="18"/>
              </w:rPr>
              <w:t> </w:t>
            </w:r>
            <w:r>
              <w:rPr>
                <w:color w:val="105C84"/>
                <w:spacing w:val="-2"/>
                <w:sz w:val="18"/>
              </w:rPr>
              <w:t>access,</w:t>
            </w:r>
            <w:r>
              <w:rPr>
                <w:color w:val="105C84"/>
                <w:spacing w:val="-11"/>
                <w:sz w:val="18"/>
              </w:rPr>
              <w:t> </w:t>
            </w:r>
            <w:r>
              <w:rPr>
                <w:color w:val="105C84"/>
                <w:spacing w:val="-2"/>
                <w:sz w:val="18"/>
              </w:rPr>
              <w:t>sleep; </w:t>
            </w:r>
            <w:r>
              <w:rPr>
                <w:color w:val="105C84"/>
                <w:sz w:val="18"/>
              </w:rPr>
              <w:t>civic and community engagement across the </w:t>
            </w:r>
            <w:r>
              <w:rPr>
                <w:color w:val="105C84"/>
                <w:spacing w:val="-2"/>
                <w:sz w:val="18"/>
              </w:rPr>
              <w:t>lifespan</w:t>
            </w:r>
          </w:p>
        </w:tc>
        <w:tc>
          <w:tcPr>
            <w:tcW w:w="6173" w:type="dxa"/>
            <w:gridSpan w:val="2"/>
          </w:tcPr>
          <w:p>
            <w:pPr>
              <w:pStyle w:val="TableParagraph"/>
              <w:spacing w:line="232" w:lineRule="auto" w:before="100"/>
              <w:ind w:left="89" w:right="4533"/>
              <w:rPr>
                <w:sz w:val="18"/>
              </w:rPr>
            </w:pPr>
            <w:r>
              <w:rPr>
                <w:color w:val="105C84"/>
                <w:sz w:val="18"/>
              </w:rPr>
              <w:t>60%+ redemption rate of Rx vouchers, number of vouchers distributed per </w:t>
            </w:r>
            <w:r>
              <w:rPr>
                <w:color w:val="105C84"/>
                <w:sz w:val="18"/>
              </w:rPr>
              <w:t>site</w:t>
            </w:r>
          </w:p>
        </w:tc>
        <w:tc>
          <w:tcPr>
            <w:tcW w:w="2824" w:type="dxa"/>
          </w:tcPr>
          <w:p>
            <w:pPr>
              <w:pStyle w:val="TableParagraph"/>
              <w:spacing w:line="232" w:lineRule="auto" w:before="100"/>
              <w:ind w:left="86"/>
              <w:rPr>
                <w:sz w:val="18"/>
              </w:rPr>
            </w:pPr>
            <w:r>
              <w:rPr>
                <w:color w:val="105C84"/>
                <w:w w:val="105"/>
                <w:sz w:val="18"/>
              </w:rPr>
              <w:t>Improve access to nutritional foods through the fruit &amp; </w:t>
            </w:r>
            <w:r>
              <w:rPr>
                <w:color w:val="105C84"/>
                <w:sz w:val="18"/>
              </w:rPr>
              <w:t>vegetable prescription </w:t>
            </w:r>
            <w:r>
              <w:rPr>
                <w:color w:val="105C84"/>
                <w:sz w:val="18"/>
              </w:rPr>
              <w:t>program</w:t>
            </w:r>
          </w:p>
          <w:p>
            <w:pPr>
              <w:pStyle w:val="TableParagraph"/>
              <w:spacing w:line="232" w:lineRule="auto" w:before="87"/>
              <w:ind w:left="86" w:right="96"/>
              <w:rPr>
                <w:sz w:val="18"/>
              </w:rPr>
            </w:pPr>
            <w:r>
              <w:rPr>
                <w:color w:val="105C84"/>
                <w:sz w:val="18"/>
              </w:rPr>
              <w:t>FLESNY collaborating with Finger</w:t>
            </w:r>
            <w:r>
              <w:rPr>
                <w:color w:val="105C84"/>
                <w:spacing w:val="-13"/>
                <w:sz w:val="18"/>
              </w:rPr>
              <w:t> </w:t>
            </w:r>
            <w:r>
              <w:rPr>
                <w:color w:val="105C84"/>
                <w:sz w:val="18"/>
              </w:rPr>
              <w:t>Lakes</w:t>
            </w:r>
            <w:r>
              <w:rPr>
                <w:color w:val="105C84"/>
                <w:spacing w:val="-12"/>
                <w:sz w:val="18"/>
              </w:rPr>
              <w:t> </w:t>
            </w:r>
            <w:r>
              <w:rPr>
                <w:color w:val="105C84"/>
                <w:sz w:val="18"/>
              </w:rPr>
              <w:t>Community</w:t>
            </w:r>
            <w:r>
              <w:rPr>
                <w:color w:val="105C84"/>
                <w:spacing w:val="-13"/>
                <w:sz w:val="18"/>
              </w:rPr>
              <w:t> </w:t>
            </w:r>
            <w:r>
              <w:rPr>
                <w:color w:val="105C84"/>
                <w:sz w:val="18"/>
              </w:rPr>
              <w:t>Health (FLCH, a network of FQHCs)</w:t>
            </w:r>
          </w:p>
          <w:p>
            <w:pPr>
              <w:pStyle w:val="TableParagraph"/>
              <w:spacing w:line="232" w:lineRule="auto"/>
              <w:ind w:left="86" w:right="350"/>
              <w:rPr>
                <w:sz w:val="18"/>
              </w:rPr>
            </w:pPr>
            <w:r>
              <w:rPr>
                <w:color w:val="105C84"/>
                <w:sz w:val="18"/>
              </w:rPr>
              <w:t>to provide Fruit &amp; Vegetable Prescription</w:t>
            </w:r>
            <w:r>
              <w:rPr>
                <w:color w:val="105C84"/>
                <w:spacing w:val="-15"/>
                <w:sz w:val="18"/>
              </w:rPr>
              <w:t> </w:t>
            </w:r>
            <w:r>
              <w:rPr>
                <w:color w:val="105C84"/>
                <w:sz w:val="18"/>
              </w:rPr>
              <w:t>Program</w:t>
            </w:r>
            <w:r>
              <w:rPr>
                <w:color w:val="105C84"/>
                <w:spacing w:val="-12"/>
                <w:sz w:val="18"/>
              </w:rPr>
              <w:t> </w:t>
            </w:r>
            <w:r>
              <w:rPr>
                <w:color w:val="105C84"/>
                <w:sz w:val="18"/>
              </w:rPr>
              <w:t>through 2 sites</w:t>
            </w:r>
          </w:p>
          <w:p>
            <w:pPr>
              <w:pStyle w:val="TableParagraph"/>
              <w:spacing w:line="232" w:lineRule="auto" w:before="86"/>
              <w:ind w:left="86" w:right="459"/>
              <w:rPr>
                <w:sz w:val="18"/>
              </w:rPr>
            </w:pPr>
            <w:r>
              <w:rPr>
                <w:color w:val="105C84"/>
                <w:w w:val="105"/>
                <w:sz w:val="18"/>
              </w:rPr>
              <w:t>The pilot of this program </w:t>
            </w:r>
            <w:r>
              <w:rPr>
                <w:color w:val="105C84"/>
                <w:sz w:val="18"/>
              </w:rPr>
              <w:t>produced promising results. Providers</w:t>
            </w:r>
            <w:r>
              <w:rPr>
                <w:color w:val="105C84"/>
                <w:spacing w:val="-15"/>
                <w:sz w:val="18"/>
              </w:rPr>
              <w:t> </w:t>
            </w:r>
            <w:r>
              <w:rPr>
                <w:color w:val="105C84"/>
                <w:sz w:val="18"/>
              </w:rPr>
              <w:t>at</w:t>
            </w:r>
            <w:r>
              <w:rPr>
                <w:color w:val="105C84"/>
                <w:spacing w:val="-12"/>
                <w:sz w:val="18"/>
              </w:rPr>
              <w:t> </w:t>
            </w:r>
            <w:r>
              <w:rPr>
                <w:color w:val="105C84"/>
                <w:sz w:val="18"/>
              </w:rPr>
              <w:t>these</w:t>
            </w:r>
            <w:r>
              <w:rPr>
                <w:color w:val="105C84"/>
                <w:spacing w:val="-13"/>
                <w:sz w:val="18"/>
              </w:rPr>
              <w:t> </w:t>
            </w:r>
            <w:r>
              <w:rPr>
                <w:color w:val="105C84"/>
                <w:sz w:val="18"/>
              </w:rPr>
              <w:t>sites</w:t>
            </w:r>
            <w:r>
              <w:rPr>
                <w:color w:val="105C84"/>
                <w:spacing w:val="-12"/>
                <w:sz w:val="18"/>
              </w:rPr>
              <w:t> </w:t>
            </w:r>
            <w:r>
              <w:rPr>
                <w:color w:val="105C84"/>
                <w:sz w:val="18"/>
              </w:rPr>
              <w:t>write </w:t>
            </w:r>
            <w:r>
              <w:rPr>
                <w:color w:val="105C84"/>
                <w:w w:val="105"/>
                <w:sz w:val="18"/>
              </w:rPr>
              <w:t>produce “prescriptions” to qualifying</w:t>
            </w:r>
            <w:r>
              <w:rPr>
                <w:color w:val="105C84"/>
                <w:spacing w:val="-1"/>
                <w:w w:val="105"/>
                <w:sz w:val="18"/>
              </w:rPr>
              <w:t> </w:t>
            </w:r>
            <w:r>
              <w:rPr>
                <w:color w:val="105C84"/>
                <w:w w:val="105"/>
                <w:sz w:val="18"/>
              </w:rPr>
              <w:t>patients</w:t>
            </w:r>
          </w:p>
        </w:tc>
        <w:tc>
          <w:tcPr>
            <w:tcW w:w="1686" w:type="dxa"/>
          </w:tcPr>
          <w:p>
            <w:pPr>
              <w:pStyle w:val="TableParagraph"/>
              <w:rPr>
                <w:rFonts w:ascii="Times New Roman"/>
                <w:sz w:val="18"/>
              </w:rPr>
            </w:pPr>
          </w:p>
        </w:tc>
        <w:tc>
          <w:tcPr>
            <w:tcW w:w="1499" w:type="dxa"/>
          </w:tcPr>
          <w:p>
            <w:pPr>
              <w:pStyle w:val="TableParagraph"/>
              <w:spacing w:line="232" w:lineRule="auto" w:before="100"/>
              <w:ind w:left="83"/>
              <w:rPr>
                <w:sz w:val="18"/>
              </w:rPr>
            </w:pPr>
            <w:r>
              <w:rPr>
                <w:color w:val="105C84"/>
                <w:spacing w:val="-2"/>
                <w:sz w:val="18"/>
              </w:rPr>
              <w:t>Community-based organizations</w:t>
            </w:r>
          </w:p>
        </w:tc>
        <w:tc>
          <w:tcPr>
            <w:tcW w:w="1552" w:type="dxa"/>
          </w:tcPr>
          <w:p>
            <w:pPr>
              <w:pStyle w:val="TableParagraph"/>
              <w:spacing w:line="232" w:lineRule="auto" w:before="100"/>
              <w:ind w:left="82" w:right="86"/>
              <w:rPr>
                <w:sz w:val="18"/>
              </w:rPr>
            </w:pPr>
            <w:r>
              <w:rPr>
                <w:color w:val="105C84"/>
                <w:sz w:val="18"/>
              </w:rPr>
              <w:t>For</w:t>
            </w:r>
            <w:r>
              <w:rPr>
                <w:color w:val="105C84"/>
                <w:spacing w:val="-15"/>
                <w:sz w:val="18"/>
              </w:rPr>
              <w:t> </w:t>
            </w:r>
            <w:r>
              <w:rPr>
                <w:color w:val="105C84"/>
                <w:sz w:val="18"/>
              </w:rPr>
              <w:t>partner</w:t>
            </w:r>
            <w:r>
              <w:rPr>
                <w:color w:val="105C84"/>
                <w:spacing w:val="-12"/>
                <w:sz w:val="18"/>
              </w:rPr>
              <w:t> </w:t>
            </w:r>
            <w:r>
              <w:rPr>
                <w:color w:val="105C84"/>
                <w:sz w:val="18"/>
              </w:rPr>
              <w:t>roles, see column projected year 1</w:t>
            </w:r>
          </w:p>
          <w:p>
            <w:pPr>
              <w:pStyle w:val="TableParagraph"/>
              <w:spacing w:line="232" w:lineRule="auto" w:before="87"/>
              <w:ind w:left="82" w:right="124"/>
              <w:rPr>
                <w:sz w:val="18"/>
              </w:rPr>
            </w:pPr>
            <w:r>
              <w:rPr>
                <w:color w:val="105C84"/>
                <w:spacing w:val="-2"/>
                <w:sz w:val="18"/>
              </w:rPr>
              <w:t>Resources: funding, vouchers, participating retailers</w:t>
            </w:r>
            <w:r>
              <w:rPr>
                <w:color w:val="105C84"/>
                <w:spacing w:val="-11"/>
                <w:sz w:val="18"/>
              </w:rPr>
              <w:t> </w:t>
            </w:r>
            <w:r>
              <w:rPr>
                <w:color w:val="105C84"/>
                <w:spacing w:val="-2"/>
                <w:sz w:val="18"/>
              </w:rPr>
              <w:t>(farmers market)</w:t>
            </w:r>
          </w:p>
        </w:tc>
      </w:tr>
      <w:tr>
        <w:trPr>
          <w:trHeight w:val="3750" w:hRule="atLeast"/>
        </w:trPr>
        <w:tc>
          <w:tcPr>
            <w:tcW w:w="1180" w:type="dxa"/>
            <w:vMerge/>
            <w:tcBorders>
              <w:top w:val="nil"/>
            </w:tcBorders>
            <w:shd w:val="clear" w:color="auto" w:fill="E6E7E8"/>
          </w:tcPr>
          <w:p>
            <w:pPr>
              <w:rPr>
                <w:sz w:val="2"/>
                <w:szCs w:val="2"/>
              </w:rPr>
            </w:pPr>
          </w:p>
        </w:tc>
        <w:tc>
          <w:tcPr>
            <w:tcW w:w="1281" w:type="dxa"/>
            <w:vMerge/>
            <w:tcBorders>
              <w:top w:val="nil"/>
            </w:tcBorders>
          </w:tcPr>
          <w:p>
            <w:pPr>
              <w:rPr>
                <w:sz w:val="2"/>
                <w:szCs w:val="2"/>
              </w:rPr>
            </w:pPr>
          </w:p>
        </w:tc>
        <w:tc>
          <w:tcPr>
            <w:tcW w:w="1267" w:type="dxa"/>
            <w:vMerge/>
            <w:tcBorders>
              <w:top w:val="nil"/>
            </w:tcBorders>
          </w:tcPr>
          <w:p>
            <w:pPr>
              <w:rPr>
                <w:sz w:val="2"/>
                <w:szCs w:val="2"/>
              </w:rPr>
            </w:pPr>
          </w:p>
        </w:tc>
        <w:tc>
          <w:tcPr>
            <w:tcW w:w="1325" w:type="dxa"/>
            <w:vMerge w:val="restart"/>
          </w:tcPr>
          <w:p>
            <w:pPr>
              <w:pStyle w:val="TableParagraph"/>
              <w:spacing w:line="203" w:lineRule="exact" w:before="94"/>
              <w:ind w:left="91"/>
              <w:rPr>
                <w:sz w:val="18"/>
              </w:rPr>
            </w:pPr>
            <w:r>
              <w:rPr>
                <w:color w:val="105C84"/>
                <w:spacing w:val="-2"/>
                <w:sz w:val="18"/>
              </w:rPr>
              <w:t>1.1.1</w:t>
            </w:r>
          </w:p>
          <w:p>
            <w:pPr>
              <w:pStyle w:val="TableParagraph"/>
              <w:spacing w:line="232" w:lineRule="auto" w:before="2"/>
              <w:ind w:left="91" w:right="238"/>
              <w:rPr>
                <w:sz w:val="18"/>
              </w:rPr>
            </w:pPr>
            <w:r>
              <w:rPr>
                <w:color w:val="105C84"/>
                <w:spacing w:val="-2"/>
                <w:sz w:val="18"/>
              </w:rPr>
              <w:t>(Modified </w:t>
            </w:r>
            <w:r>
              <w:rPr>
                <w:color w:val="105C84"/>
                <w:sz w:val="18"/>
              </w:rPr>
              <w:t>from State to County) </w:t>
            </w:r>
            <w:r>
              <w:rPr>
                <w:color w:val="105C84"/>
                <w:spacing w:val="-2"/>
                <w:sz w:val="18"/>
              </w:rPr>
              <w:t>Increase Wayne County’s Opportunity </w:t>
            </w:r>
            <w:r>
              <w:rPr>
                <w:color w:val="105C84"/>
                <w:sz w:val="18"/>
              </w:rPr>
              <w:t>Index</w:t>
            </w:r>
            <w:r>
              <w:rPr>
                <w:color w:val="105C84"/>
                <w:spacing w:val="-13"/>
                <w:sz w:val="18"/>
              </w:rPr>
              <w:t> </w:t>
            </w:r>
            <w:r>
              <w:rPr>
                <w:color w:val="105C84"/>
                <w:sz w:val="18"/>
              </w:rPr>
              <w:t>Score</w:t>
            </w:r>
          </w:p>
        </w:tc>
        <w:tc>
          <w:tcPr>
            <w:tcW w:w="1167" w:type="dxa"/>
            <w:vMerge w:val="restart"/>
          </w:tcPr>
          <w:p>
            <w:pPr>
              <w:pStyle w:val="TableParagraph"/>
              <w:rPr>
                <w:rFonts w:ascii="Times New Roman"/>
                <w:sz w:val="18"/>
              </w:rPr>
            </w:pPr>
          </w:p>
        </w:tc>
        <w:tc>
          <w:tcPr>
            <w:tcW w:w="2377" w:type="dxa"/>
            <w:vMerge w:val="restart"/>
          </w:tcPr>
          <w:p>
            <w:pPr>
              <w:pStyle w:val="TableParagraph"/>
              <w:spacing w:line="232" w:lineRule="auto" w:before="99"/>
              <w:ind w:left="90"/>
              <w:rPr>
                <w:sz w:val="18"/>
              </w:rPr>
            </w:pPr>
            <w:r>
              <w:rPr>
                <w:color w:val="105C84"/>
                <w:sz w:val="18"/>
              </w:rPr>
              <w:t>Intervention</w:t>
            </w:r>
            <w:r>
              <w:rPr>
                <w:color w:val="105C84"/>
                <w:spacing w:val="-15"/>
                <w:sz w:val="18"/>
              </w:rPr>
              <w:t> </w:t>
            </w:r>
            <w:r>
              <w:rPr>
                <w:color w:val="105C84"/>
                <w:sz w:val="18"/>
              </w:rPr>
              <w:t>1.1.4:</w:t>
            </w:r>
            <w:r>
              <w:rPr>
                <w:color w:val="105C84"/>
                <w:spacing w:val="-12"/>
                <w:sz w:val="18"/>
              </w:rPr>
              <w:t> </w:t>
            </w:r>
            <w:r>
              <w:rPr>
                <w:color w:val="105C84"/>
                <w:sz w:val="18"/>
              </w:rPr>
              <w:t>integrate social and emotional approaches across the </w:t>
            </w:r>
            <w:r>
              <w:rPr>
                <w:color w:val="105C84"/>
                <w:spacing w:val="-2"/>
                <w:sz w:val="18"/>
              </w:rPr>
              <w:t>lifespan</w:t>
            </w:r>
          </w:p>
          <w:p>
            <w:pPr>
              <w:pStyle w:val="TableParagraph"/>
              <w:spacing w:line="232" w:lineRule="auto" w:before="87"/>
              <w:ind w:left="90" w:right="105"/>
              <w:rPr>
                <w:sz w:val="18"/>
              </w:rPr>
            </w:pPr>
            <w:r>
              <w:rPr>
                <w:color w:val="105C84"/>
                <w:sz w:val="18"/>
              </w:rPr>
              <w:t>Support programs that establish caring and trusting</w:t>
            </w:r>
            <w:r>
              <w:rPr>
                <w:color w:val="105C84"/>
                <w:spacing w:val="-8"/>
                <w:sz w:val="18"/>
              </w:rPr>
              <w:t> </w:t>
            </w:r>
            <w:r>
              <w:rPr>
                <w:color w:val="105C84"/>
                <w:sz w:val="18"/>
              </w:rPr>
              <w:t>relationships</w:t>
            </w:r>
            <w:r>
              <w:rPr>
                <w:color w:val="105C84"/>
                <w:spacing w:val="-8"/>
                <w:sz w:val="18"/>
              </w:rPr>
              <w:t> </w:t>
            </w:r>
            <w:r>
              <w:rPr>
                <w:color w:val="105C84"/>
                <w:sz w:val="18"/>
              </w:rPr>
              <w:t>with older people</w:t>
            </w:r>
          </w:p>
          <w:p>
            <w:pPr>
              <w:pStyle w:val="TableParagraph"/>
              <w:spacing w:line="232" w:lineRule="auto" w:before="87"/>
              <w:ind w:left="90" w:right="843"/>
              <w:jc w:val="both"/>
              <w:rPr>
                <w:sz w:val="18"/>
              </w:rPr>
            </w:pPr>
            <w:r>
              <w:rPr>
                <w:color w:val="105C84"/>
                <w:sz w:val="18"/>
              </w:rPr>
              <w:t>Examples</w:t>
            </w:r>
            <w:r>
              <w:rPr>
                <w:color w:val="105C84"/>
                <w:spacing w:val="-13"/>
                <w:sz w:val="18"/>
              </w:rPr>
              <w:t> </w:t>
            </w:r>
            <w:r>
              <w:rPr>
                <w:color w:val="105C84"/>
                <w:sz w:val="18"/>
              </w:rPr>
              <w:t>include the</w:t>
            </w:r>
            <w:r>
              <w:rPr>
                <w:color w:val="105C84"/>
                <w:spacing w:val="-4"/>
                <w:sz w:val="18"/>
              </w:rPr>
              <w:t> </w:t>
            </w:r>
            <w:r>
              <w:rPr>
                <w:color w:val="105C84"/>
                <w:sz w:val="18"/>
              </w:rPr>
              <w:t>village</w:t>
            </w:r>
            <w:r>
              <w:rPr>
                <w:color w:val="105C84"/>
                <w:spacing w:val="-4"/>
                <w:sz w:val="18"/>
              </w:rPr>
              <w:t> </w:t>
            </w:r>
            <w:r>
              <w:rPr>
                <w:color w:val="105C84"/>
                <w:sz w:val="18"/>
              </w:rPr>
              <w:t>model, </w:t>
            </w:r>
            <w:r>
              <w:rPr>
                <w:color w:val="105C84"/>
                <w:spacing w:val="-2"/>
                <w:sz w:val="18"/>
              </w:rPr>
              <w:t>intergenerational</w:t>
            </w:r>
          </w:p>
          <w:p>
            <w:pPr>
              <w:pStyle w:val="TableParagraph"/>
              <w:spacing w:line="232" w:lineRule="auto"/>
              <w:ind w:left="90" w:right="193"/>
              <w:rPr>
                <w:sz w:val="18"/>
              </w:rPr>
            </w:pPr>
            <w:r>
              <w:rPr>
                <w:color w:val="105C84"/>
                <w:sz w:val="18"/>
              </w:rPr>
              <w:t>community, integrating social</w:t>
            </w:r>
            <w:r>
              <w:rPr>
                <w:color w:val="105C84"/>
                <w:spacing w:val="-9"/>
                <w:sz w:val="18"/>
              </w:rPr>
              <w:t> </w:t>
            </w:r>
            <w:r>
              <w:rPr>
                <w:color w:val="105C84"/>
                <w:sz w:val="18"/>
              </w:rPr>
              <w:t>emotional</w:t>
            </w:r>
            <w:r>
              <w:rPr>
                <w:color w:val="105C84"/>
                <w:spacing w:val="-9"/>
                <w:sz w:val="18"/>
              </w:rPr>
              <w:t> </w:t>
            </w:r>
            <w:r>
              <w:rPr>
                <w:color w:val="105C84"/>
                <w:sz w:val="18"/>
              </w:rPr>
              <w:t>learning in schools, community schools, parenting </w:t>
            </w:r>
            <w:r>
              <w:rPr>
                <w:color w:val="105C84"/>
                <w:spacing w:val="-2"/>
                <w:sz w:val="18"/>
              </w:rPr>
              <w:t>education</w:t>
            </w:r>
          </w:p>
        </w:tc>
        <w:tc>
          <w:tcPr>
            <w:tcW w:w="2550" w:type="dxa"/>
            <w:vMerge w:val="restart"/>
            <w:tcBorders>
              <w:right w:val="nil"/>
            </w:tcBorders>
          </w:tcPr>
          <w:p>
            <w:pPr>
              <w:pStyle w:val="TableParagraph"/>
              <w:spacing w:line="232" w:lineRule="auto" w:before="99"/>
              <w:ind w:left="89" w:right="966"/>
              <w:rPr>
                <w:sz w:val="18"/>
              </w:rPr>
            </w:pPr>
            <w:r>
              <w:rPr>
                <w:color w:val="105C84"/>
                <w:sz w:val="18"/>
              </w:rPr>
              <w:t>2+ unified </w:t>
            </w:r>
            <w:r>
              <w:rPr>
                <w:color w:val="105C84"/>
                <w:spacing w:val="-2"/>
                <w:sz w:val="18"/>
              </w:rPr>
              <w:t>messages</w:t>
            </w:r>
            <w:r>
              <w:rPr>
                <w:color w:val="105C84"/>
                <w:spacing w:val="-13"/>
                <w:sz w:val="18"/>
              </w:rPr>
              <w:t> </w:t>
            </w:r>
            <w:r>
              <w:rPr>
                <w:color w:val="105C84"/>
                <w:spacing w:val="-2"/>
                <w:sz w:val="18"/>
              </w:rPr>
              <w:t>per</w:t>
            </w:r>
            <w:r>
              <w:rPr>
                <w:color w:val="105C84"/>
                <w:spacing w:val="-10"/>
                <w:sz w:val="18"/>
              </w:rPr>
              <w:t> </w:t>
            </w:r>
            <w:r>
              <w:rPr>
                <w:color w:val="105C84"/>
                <w:spacing w:val="-2"/>
                <w:sz w:val="18"/>
              </w:rPr>
              <w:t>year</w:t>
            </w:r>
          </w:p>
        </w:tc>
        <w:tc>
          <w:tcPr>
            <w:tcW w:w="3623" w:type="dxa"/>
            <w:tcBorders>
              <w:left w:val="nil"/>
            </w:tcBorders>
          </w:tcPr>
          <w:p>
            <w:pPr>
              <w:pStyle w:val="TableParagraph"/>
              <w:spacing w:line="232" w:lineRule="auto" w:before="99"/>
              <w:ind w:left="1083" w:right="133"/>
              <w:rPr>
                <w:sz w:val="18"/>
              </w:rPr>
            </w:pPr>
            <w:r>
              <w:rPr>
                <w:color w:val="105C84"/>
                <w:sz w:val="18"/>
              </w:rPr>
              <w:t>Promote the impact of LifeSkills (evidence-based middle school curriculum </w:t>
            </w:r>
            <w:r>
              <w:rPr>
                <w:color w:val="105C84"/>
                <w:spacing w:val="-2"/>
                <w:sz w:val="18"/>
              </w:rPr>
              <w:t>reducing</w:t>
            </w:r>
            <w:r>
              <w:rPr>
                <w:color w:val="105C84"/>
                <w:spacing w:val="-7"/>
                <w:sz w:val="18"/>
              </w:rPr>
              <w:t> </w:t>
            </w:r>
            <w:r>
              <w:rPr>
                <w:color w:val="105C84"/>
                <w:spacing w:val="-2"/>
                <w:sz w:val="18"/>
              </w:rPr>
              <w:t>substance</w:t>
            </w:r>
            <w:r>
              <w:rPr>
                <w:color w:val="105C84"/>
                <w:spacing w:val="-7"/>
                <w:sz w:val="18"/>
              </w:rPr>
              <w:t> </w:t>
            </w:r>
            <w:r>
              <w:rPr>
                <w:color w:val="105C84"/>
                <w:spacing w:val="-2"/>
                <w:sz w:val="18"/>
              </w:rPr>
              <w:t>abuse</w:t>
            </w:r>
            <w:r>
              <w:rPr>
                <w:color w:val="105C84"/>
                <w:spacing w:val="-7"/>
                <w:sz w:val="18"/>
              </w:rPr>
              <w:t> </w:t>
            </w:r>
            <w:r>
              <w:rPr>
                <w:color w:val="105C84"/>
                <w:spacing w:val="-2"/>
                <w:sz w:val="18"/>
              </w:rPr>
              <w:t>risk </w:t>
            </w:r>
            <w:r>
              <w:rPr>
                <w:color w:val="105C84"/>
                <w:sz w:val="18"/>
              </w:rPr>
              <w:t>and</w:t>
            </w:r>
            <w:r>
              <w:rPr>
                <w:color w:val="105C84"/>
                <w:spacing w:val="-3"/>
                <w:sz w:val="18"/>
              </w:rPr>
              <w:t> </w:t>
            </w:r>
            <w:r>
              <w:rPr>
                <w:color w:val="105C84"/>
                <w:sz w:val="18"/>
              </w:rPr>
              <w:t>suicide</w:t>
            </w:r>
            <w:r>
              <w:rPr>
                <w:color w:val="105C84"/>
                <w:spacing w:val="-3"/>
                <w:sz w:val="18"/>
              </w:rPr>
              <w:t> </w:t>
            </w:r>
            <w:r>
              <w:rPr>
                <w:color w:val="105C84"/>
                <w:sz w:val="18"/>
              </w:rPr>
              <w:t>risk)</w:t>
            </w:r>
            <w:r>
              <w:rPr>
                <w:color w:val="105C84"/>
                <w:spacing w:val="-3"/>
                <w:sz w:val="18"/>
              </w:rPr>
              <w:t> </w:t>
            </w:r>
            <w:r>
              <w:rPr>
                <w:color w:val="105C84"/>
                <w:sz w:val="18"/>
              </w:rPr>
              <w:t>in</w:t>
            </w:r>
            <w:r>
              <w:rPr>
                <w:color w:val="105C84"/>
                <w:spacing w:val="-3"/>
                <w:sz w:val="18"/>
              </w:rPr>
              <w:t> </w:t>
            </w:r>
            <w:r>
              <w:rPr>
                <w:color w:val="105C84"/>
                <w:sz w:val="18"/>
              </w:rPr>
              <w:t>the</w:t>
            </w:r>
            <w:r>
              <w:rPr>
                <w:color w:val="105C84"/>
                <w:spacing w:val="-3"/>
                <w:sz w:val="18"/>
              </w:rPr>
              <w:t> </w:t>
            </w:r>
            <w:r>
              <w:rPr>
                <w:color w:val="105C84"/>
                <w:sz w:val="18"/>
              </w:rPr>
              <w:t>eleven school districts to increase awareness of and support for the program through unified messaging at least twice within the year</w:t>
            </w:r>
          </w:p>
        </w:tc>
        <w:tc>
          <w:tcPr>
            <w:tcW w:w="2824" w:type="dxa"/>
          </w:tcPr>
          <w:p>
            <w:pPr>
              <w:pStyle w:val="TableParagraph"/>
              <w:spacing w:line="232" w:lineRule="auto" w:before="99"/>
              <w:ind w:left="86" w:right="204"/>
              <w:rPr>
                <w:sz w:val="18"/>
              </w:rPr>
            </w:pPr>
            <w:r>
              <w:rPr>
                <w:color w:val="105C84"/>
                <w:sz w:val="18"/>
              </w:rPr>
              <w:t>Promote</w:t>
            </w:r>
            <w:r>
              <w:rPr>
                <w:color w:val="105C84"/>
                <w:spacing w:val="-10"/>
                <w:sz w:val="18"/>
              </w:rPr>
              <w:t> </w:t>
            </w:r>
            <w:r>
              <w:rPr>
                <w:color w:val="105C84"/>
                <w:sz w:val="18"/>
              </w:rPr>
              <w:t>the</w:t>
            </w:r>
            <w:r>
              <w:rPr>
                <w:color w:val="105C84"/>
                <w:spacing w:val="-10"/>
                <w:sz w:val="18"/>
              </w:rPr>
              <w:t> </w:t>
            </w:r>
            <w:r>
              <w:rPr>
                <w:color w:val="105C84"/>
                <w:sz w:val="18"/>
              </w:rPr>
              <w:t>impact</w:t>
            </w:r>
            <w:r>
              <w:rPr>
                <w:color w:val="105C84"/>
                <w:spacing w:val="-10"/>
                <w:sz w:val="18"/>
              </w:rPr>
              <w:t> </w:t>
            </w:r>
            <w:r>
              <w:rPr>
                <w:color w:val="105C84"/>
                <w:sz w:val="18"/>
              </w:rPr>
              <w:t>of</w:t>
            </w:r>
            <w:r>
              <w:rPr>
                <w:color w:val="105C84"/>
                <w:spacing w:val="-10"/>
                <w:sz w:val="18"/>
              </w:rPr>
              <w:t> </w:t>
            </w:r>
            <w:r>
              <w:rPr>
                <w:color w:val="105C84"/>
                <w:sz w:val="18"/>
              </w:rPr>
              <w:t>LifeSkills (evidence-based middle school curriculum reducing substance abuse risk and suicide risk)</w:t>
            </w:r>
          </w:p>
          <w:p>
            <w:pPr>
              <w:pStyle w:val="TableParagraph"/>
              <w:spacing w:line="232" w:lineRule="auto"/>
              <w:ind w:left="86" w:right="350"/>
              <w:rPr>
                <w:sz w:val="18"/>
              </w:rPr>
            </w:pPr>
            <w:r>
              <w:rPr>
                <w:color w:val="105C84"/>
                <w:sz w:val="18"/>
              </w:rPr>
              <w:t>in the eleven school districts </w:t>
            </w:r>
            <w:r>
              <w:rPr>
                <w:color w:val="105C84"/>
                <w:spacing w:val="-2"/>
                <w:sz w:val="18"/>
              </w:rPr>
              <w:t>to</w:t>
            </w:r>
            <w:r>
              <w:rPr>
                <w:color w:val="105C84"/>
                <w:spacing w:val="-8"/>
                <w:sz w:val="18"/>
              </w:rPr>
              <w:t> </w:t>
            </w:r>
            <w:r>
              <w:rPr>
                <w:color w:val="105C84"/>
                <w:spacing w:val="-2"/>
                <w:sz w:val="18"/>
              </w:rPr>
              <w:t>increase</w:t>
            </w:r>
            <w:r>
              <w:rPr>
                <w:color w:val="105C84"/>
                <w:spacing w:val="-8"/>
                <w:sz w:val="18"/>
              </w:rPr>
              <w:t> </w:t>
            </w:r>
            <w:r>
              <w:rPr>
                <w:color w:val="105C84"/>
                <w:spacing w:val="-2"/>
                <w:sz w:val="18"/>
              </w:rPr>
              <w:t>awareness</w:t>
            </w:r>
            <w:r>
              <w:rPr>
                <w:color w:val="105C84"/>
                <w:spacing w:val="-8"/>
                <w:sz w:val="18"/>
              </w:rPr>
              <w:t> </w:t>
            </w:r>
            <w:r>
              <w:rPr>
                <w:color w:val="105C84"/>
                <w:spacing w:val="-2"/>
                <w:sz w:val="18"/>
              </w:rPr>
              <w:t>of</w:t>
            </w:r>
            <w:r>
              <w:rPr>
                <w:color w:val="105C84"/>
                <w:spacing w:val="-8"/>
                <w:sz w:val="18"/>
              </w:rPr>
              <w:t> </w:t>
            </w:r>
            <w:r>
              <w:rPr>
                <w:color w:val="105C84"/>
                <w:spacing w:val="-5"/>
                <w:sz w:val="18"/>
              </w:rPr>
              <w:t>and</w:t>
            </w:r>
          </w:p>
          <w:p>
            <w:pPr>
              <w:pStyle w:val="TableParagraph"/>
              <w:spacing w:line="232" w:lineRule="auto"/>
              <w:ind w:left="86"/>
              <w:rPr>
                <w:sz w:val="18"/>
              </w:rPr>
            </w:pPr>
            <w:r>
              <w:rPr>
                <w:color w:val="105C84"/>
                <w:sz w:val="18"/>
              </w:rPr>
              <w:t>support for the program </w:t>
            </w:r>
            <w:r>
              <w:rPr>
                <w:color w:val="105C84"/>
                <w:sz w:val="18"/>
              </w:rPr>
              <w:t>through unified messaging at least twice within the year</w:t>
            </w:r>
          </w:p>
        </w:tc>
        <w:tc>
          <w:tcPr>
            <w:tcW w:w="1686" w:type="dxa"/>
          </w:tcPr>
          <w:p>
            <w:pPr>
              <w:pStyle w:val="TableParagraph"/>
              <w:spacing w:line="232" w:lineRule="auto" w:before="99"/>
              <w:ind w:left="85" w:right="108"/>
              <w:rPr>
                <w:sz w:val="18"/>
              </w:rPr>
            </w:pPr>
            <w:r>
              <w:rPr>
                <w:color w:val="105C84"/>
                <w:sz w:val="18"/>
              </w:rPr>
              <w:t>Promote the impact</w:t>
            </w:r>
            <w:r>
              <w:rPr>
                <w:color w:val="105C84"/>
                <w:spacing w:val="-15"/>
                <w:sz w:val="18"/>
              </w:rPr>
              <w:t> </w:t>
            </w:r>
            <w:r>
              <w:rPr>
                <w:color w:val="105C84"/>
                <w:sz w:val="18"/>
              </w:rPr>
              <w:t>of</w:t>
            </w:r>
            <w:r>
              <w:rPr>
                <w:color w:val="105C84"/>
                <w:spacing w:val="-12"/>
                <w:sz w:val="18"/>
              </w:rPr>
              <w:t> </w:t>
            </w:r>
            <w:r>
              <w:rPr>
                <w:color w:val="105C84"/>
                <w:sz w:val="18"/>
              </w:rPr>
              <w:t>LifeSkills </w:t>
            </w:r>
            <w:r>
              <w:rPr>
                <w:color w:val="105C84"/>
                <w:spacing w:val="-2"/>
                <w:sz w:val="18"/>
              </w:rPr>
              <w:t>(evidence-based </w:t>
            </w:r>
            <w:r>
              <w:rPr>
                <w:color w:val="105C84"/>
                <w:sz w:val="18"/>
              </w:rPr>
              <w:t>middle school </w:t>
            </w:r>
            <w:r>
              <w:rPr>
                <w:color w:val="105C84"/>
                <w:spacing w:val="-2"/>
                <w:sz w:val="18"/>
              </w:rPr>
              <w:t>curriculum reducing </w:t>
            </w:r>
            <w:r>
              <w:rPr>
                <w:color w:val="105C84"/>
                <w:sz w:val="18"/>
              </w:rPr>
              <w:t>substance abuse risk and suicide risk) in the eleven school districts</w:t>
            </w:r>
          </w:p>
          <w:p>
            <w:pPr>
              <w:pStyle w:val="TableParagraph"/>
              <w:spacing w:line="232" w:lineRule="auto"/>
              <w:ind w:left="85" w:right="110"/>
              <w:rPr>
                <w:sz w:val="18"/>
              </w:rPr>
            </w:pPr>
            <w:r>
              <w:rPr>
                <w:color w:val="105C84"/>
                <w:sz w:val="18"/>
              </w:rPr>
              <w:t>to increase awareness</w:t>
            </w:r>
            <w:r>
              <w:rPr>
                <w:color w:val="105C84"/>
                <w:spacing w:val="-1"/>
                <w:sz w:val="18"/>
              </w:rPr>
              <w:t> </w:t>
            </w:r>
            <w:r>
              <w:rPr>
                <w:color w:val="105C84"/>
                <w:sz w:val="18"/>
              </w:rPr>
              <w:t>of</w:t>
            </w:r>
            <w:r>
              <w:rPr>
                <w:color w:val="105C84"/>
                <w:spacing w:val="-1"/>
                <w:sz w:val="18"/>
              </w:rPr>
              <w:t> </w:t>
            </w:r>
            <w:r>
              <w:rPr>
                <w:color w:val="105C84"/>
                <w:sz w:val="18"/>
              </w:rPr>
              <w:t>and support for the program through unified</w:t>
            </w:r>
            <w:r>
              <w:rPr>
                <w:color w:val="105C84"/>
                <w:spacing w:val="-13"/>
                <w:sz w:val="18"/>
              </w:rPr>
              <w:t> </w:t>
            </w:r>
            <w:r>
              <w:rPr>
                <w:color w:val="105C84"/>
                <w:sz w:val="18"/>
              </w:rPr>
              <w:t>messaging at least twice within the year</w:t>
            </w:r>
          </w:p>
        </w:tc>
        <w:tc>
          <w:tcPr>
            <w:tcW w:w="1499" w:type="dxa"/>
          </w:tcPr>
          <w:p>
            <w:pPr>
              <w:pStyle w:val="TableParagraph"/>
              <w:spacing w:before="93"/>
              <w:ind w:left="83"/>
              <w:rPr>
                <w:sz w:val="18"/>
              </w:rPr>
            </w:pPr>
            <w:r>
              <w:rPr>
                <w:color w:val="105C84"/>
                <w:spacing w:val="-8"/>
                <w:sz w:val="18"/>
              </w:rPr>
              <w:t>K-12</w:t>
            </w:r>
            <w:r>
              <w:rPr>
                <w:color w:val="105C84"/>
                <w:spacing w:val="1"/>
                <w:sz w:val="18"/>
              </w:rPr>
              <w:t> </w:t>
            </w:r>
            <w:r>
              <w:rPr>
                <w:color w:val="105C84"/>
                <w:spacing w:val="-8"/>
                <w:sz w:val="18"/>
              </w:rPr>
              <w:t>School</w:t>
            </w:r>
          </w:p>
        </w:tc>
        <w:tc>
          <w:tcPr>
            <w:tcW w:w="1552" w:type="dxa"/>
          </w:tcPr>
          <w:p>
            <w:pPr>
              <w:pStyle w:val="TableParagraph"/>
              <w:spacing w:line="232" w:lineRule="auto" w:before="98"/>
              <w:ind w:left="82" w:right="86"/>
              <w:rPr>
                <w:sz w:val="18"/>
              </w:rPr>
            </w:pPr>
            <w:r>
              <w:rPr>
                <w:color w:val="105C84"/>
                <w:sz w:val="18"/>
              </w:rPr>
              <w:t>For</w:t>
            </w:r>
            <w:r>
              <w:rPr>
                <w:color w:val="105C84"/>
                <w:spacing w:val="-15"/>
                <w:sz w:val="18"/>
              </w:rPr>
              <w:t> </w:t>
            </w:r>
            <w:r>
              <w:rPr>
                <w:color w:val="105C84"/>
                <w:sz w:val="18"/>
              </w:rPr>
              <w:t>partner</w:t>
            </w:r>
            <w:r>
              <w:rPr>
                <w:color w:val="105C84"/>
                <w:spacing w:val="-12"/>
                <w:sz w:val="18"/>
              </w:rPr>
              <w:t> </w:t>
            </w:r>
            <w:r>
              <w:rPr>
                <w:color w:val="105C84"/>
                <w:sz w:val="18"/>
              </w:rPr>
              <w:t>roles, see projected year columns</w:t>
            </w:r>
          </w:p>
          <w:p>
            <w:pPr>
              <w:pStyle w:val="TableParagraph"/>
              <w:spacing w:line="232" w:lineRule="auto" w:before="88"/>
              <w:ind w:left="82" w:right="224"/>
              <w:rPr>
                <w:sz w:val="18"/>
              </w:rPr>
            </w:pPr>
            <w:r>
              <w:rPr>
                <w:color w:val="105C84"/>
                <w:spacing w:val="-2"/>
                <w:w w:val="90"/>
                <w:sz w:val="18"/>
              </w:rPr>
              <w:t>Resources: </w:t>
            </w:r>
            <w:r>
              <w:rPr>
                <w:color w:val="105C84"/>
                <w:spacing w:val="-2"/>
                <w:sz w:val="18"/>
              </w:rPr>
              <w:t>unified messages</w:t>
            </w:r>
          </w:p>
        </w:tc>
      </w:tr>
      <w:tr>
        <w:trPr>
          <w:trHeight w:val="3530" w:hRule="atLeast"/>
        </w:trPr>
        <w:tc>
          <w:tcPr>
            <w:tcW w:w="1180" w:type="dxa"/>
            <w:vMerge/>
            <w:tcBorders>
              <w:top w:val="nil"/>
            </w:tcBorders>
            <w:shd w:val="clear" w:color="auto" w:fill="E6E7E8"/>
          </w:tcPr>
          <w:p>
            <w:pPr>
              <w:rPr>
                <w:sz w:val="2"/>
                <w:szCs w:val="2"/>
              </w:rPr>
            </w:pPr>
          </w:p>
        </w:tc>
        <w:tc>
          <w:tcPr>
            <w:tcW w:w="1281" w:type="dxa"/>
            <w:vMerge/>
            <w:tcBorders>
              <w:top w:val="nil"/>
            </w:tcBorders>
          </w:tcPr>
          <w:p>
            <w:pPr>
              <w:rPr>
                <w:sz w:val="2"/>
                <w:szCs w:val="2"/>
              </w:rPr>
            </w:pPr>
          </w:p>
        </w:tc>
        <w:tc>
          <w:tcPr>
            <w:tcW w:w="1267" w:type="dxa"/>
            <w:vMerge/>
            <w:tcBorders>
              <w:top w:val="nil"/>
            </w:tcBorders>
          </w:tcPr>
          <w:p>
            <w:pPr>
              <w:rPr>
                <w:sz w:val="2"/>
                <w:szCs w:val="2"/>
              </w:rPr>
            </w:pPr>
          </w:p>
        </w:tc>
        <w:tc>
          <w:tcPr>
            <w:tcW w:w="1325" w:type="dxa"/>
            <w:vMerge/>
            <w:tcBorders>
              <w:top w:val="nil"/>
            </w:tcBorders>
          </w:tcPr>
          <w:p>
            <w:pPr>
              <w:rPr>
                <w:sz w:val="2"/>
                <w:szCs w:val="2"/>
              </w:rPr>
            </w:pPr>
          </w:p>
        </w:tc>
        <w:tc>
          <w:tcPr>
            <w:tcW w:w="1167" w:type="dxa"/>
            <w:vMerge/>
            <w:tcBorders>
              <w:top w:val="nil"/>
            </w:tcBorders>
          </w:tcPr>
          <w:p>
            <w:pPr>
              <w:rPr>
                <w:sz w:val="2"/>
                <w:szCs w:val="2"/>
              </w:rPr>
            </w:pPr>
          </w:p>
        </w:tc>
        <w:tc>
          <w:tcPr>
            <w:tcW w:w="2377" w:type="dxa"/>
            <w:vMerge/>
            <w:tcBorders>
              <w:top w:val="nil"/>
            </w:tcBorders>
          </w:tcPr>
          <w:p>
            <w:pPr>
              <w:rPr>
                <w:sz w:val="2"/>
                <w:szCs w:val="2"/>
              </w:rPr>
            </w:pPr>
          </w:p>
        </w:tc>
        <w:tc>
          <w:tcPr>
            <w:tcW w:w="2550" w:type="dxa"/>
            <w:vMerge/>
            <w:tcBorders>
              <w:top w:val="nil"/>
              <w:right w:val="nil"/>
            </w:tcBorders>
          </w:tcPr>
          <w:p>
            <w:pPr>
              <w:rPr>
                <w:sz w:val="2"/>
                <w:szCs w:val="2"/>
              </w:rPr>
            </w:pPr>
          </w:p>
        </w:tc>
        <w:tc>
          <w:tcPr>
            <w:tcW w:w="3623" w:type="dxa"/>
            <w:tcBorders>
              <w:left w:val="nil"/>
            </w:tcBorders>
          </w:tcPr>
          <w:p>
            <w:pPr>
              <w:pStyle w:val="TableParagraph"/>
              <w:spacing w:line="232" w:lineRule="auto" w:before="98"/>
              <w:ind w:left="1083" w:right="253"/>
              <w:rPr>
                <w:sz w:val="18"/>
              </w:rPr>
            </w:pPr>
            <w:r>
              <w:rPr>
                <w:color w:val="105C84"/>
                <w:sz w:val="18"/>
              </w:rPr>
              <w:t>Promote the impact of Community</w:t>
            </w:r>
            <w:r>
              <w:rPr>
                <w:color w:val="105C84"/>
                <w:spacing w:val="-6"/>
                <w:sz w:val="18"/>
              </w:rPr>
              <w:t> </w:t>
            </w:r>
            <w:r>
              <w:rPr>
                <w:color w:val="105C84"/>
                <w:sz w:val="18"/>
              </w:rPr>
              <w:t>Schools</w:t>
            </w:r>
            <w:r>
              <w:rPr>
                <w:color w:val="105C84"/>
                <w:spacing w:val="-6"/>
                <w:sz w:val="18"/>
              </w:rPr>
              <w:t> </w:t>
            </w:r>
            <w:r>
              <w:rPr>
                <w:color w:val="105C84"/>
                <w:sz w:val="18"/>
              </w:rPr>
              <w:t>in</w:t>
            </w:r>
            <w:r>
              <w:rPr>
                <w:color w:val="105C84"/>
                <w:spacing w:val="-6"/>
                <w:sz w:val="18"/>
              </w:rPr>
              <w:t> </w:t>
            </w:r>
            <w:r>
              <w:rPr>
                <w:color w:val="105C84"/>
                <w:sz w:val="18"/>
              </w:rPr>
              <w:t>the</w:t>
            </w:r>
            <w:r>
              <w:rPr>
                <w:color w:val="105C84"/>
                <w:spacing w:val="-6"/>
                <w:sz w:val="18"/>
              </w:rPr>
              <w:t> </w:t>
            </w:r>
            <w:r>
              <w:rPr>
                <w:color w:val="105C84"/>
                <w:sz w:val="18"/>
              </w:rPr>
              <w:t>4 Community</w:t>
            </w:r>
            <w:r>
              <w:rPr>
                <w:color w:val="105C84"/>
                <w:spacing w:val="-15"/>
                <w:sz w:val="18"/>
              </w:rPr>
              <w:t> </w:t>
            </w:r>
            <w:r>
              <w:rPr>
                <w:color w:val="105C84"/>
                <w:sz w:val="18"/>
              </w:rPr>
              <w:t>Schools</w:t>
            </w:r>
            <w:r>
              <w:rPr>
                <w:color w:val="105C84"/>
                <w:spacing w:val="-12"/>
                <w:sz w:val="18"/>
              </w:rPr>
              <w:t> </w:t>
            </w:r>
            <w:r>
              <w:rPr>
                <w:color w:val="105C84"/>
                <w:sz w:val="18"/>
              </w:rPr>
              <w:t>districts to increase awareness of and support for Community Schools through unified messaging at least twice within the year</w:t>
            </w:r>
          </w:p>
        </w:tc>
        <w:tc>
          <w:tcPr>
            <w:tcW w:w="2824" w:type="dxa"/>
          </w:tcPr>
          <w:p>
            <w:pPr>
              <w:pStyle w:val="TableParagraph"/>
              <w:spacing w:line="232" w:lineRule="auto" w:before="98"/>
              <w:ind w:left="86" w:right="350"/>
              <w:rPr>
                <w:sz w:val="18"/>
              </w:rPr>
            </w:pPr>
            <w:r>
              <w:rPr>
                <w:color w:val="105C84"/>
                <w:sz w:val="18"/>
              </w:rPr>
              <w:t>Promote the impact of Community Schools in the 4 Community Schools districts </w:t>
            </w:r>
            <w:r>
              <w:rPr>
                <w:color w:val="105C84"/>
                <w:spacing w:val="-2"/>
                <w:sz w:val="18"/>
              </w:rPr>
              <w:t>to</w:t>
            </w:r>
            <w:r>
              <w:rPr>
                <w:color w:val="105C84"/>
                <w:spacing w:val="-8"/>
                <w:sz w:val="18"/>
              </w:rPr>
              <w:t> </w:t>
            </w:r>
            <w:r>
              <w:rPr>
                <w:color w:val="105C84"/>
                <w:spacing w:val="-2"/>
                <w:sz w:val="18"/>
              </w:rPr>
              <w:t>increase</w:t>
            </w:r>
            <w:r>
              <w:rPr>
                <w:color w:val="105C84"/>
                <w:spacing w:val="-8"/>
                <w:sz w:val="18"/>
              </w:rPr>
              <w:t> </w:t>
            </w:r>
            <w:r>
              <w:rPr>
                <w:color w:val="105C84"/>
                <w:spacing w:val="-2"/>
                <w:sz w:val="18"/>
              </w:rPr>
              <w:t>awareness</w:t>
            </w:r>
            <w:r>
              <w:rPr>
                <w:color w:val="105C84"/>
                <w:spacing w:val="-8"/>
                <w:sz w:val="18"/>
              </w:rPr>
              <w:t> </w:t>
            </w:r>
            <w:r>
              <w:rPr>
                <w:color w:val="105C84"/>
                <w:spacing w:val="-2"/>
                <w:sz w:val="18"/>
              </w:rPr>
              <w:t>of</w:t>
            </w:r>
            <w:r>
              <w:rPr>
                <w:color w:val="105C84"/>
                <w:spacing w:val="-8"/>
                <w:sz w:val="18"/>
              </w:rPr>
              <w:t> </w:t>
            </w:r>
            <w:r>
              <w:rPr>
                <w:color w:val="105C84"/>
                <w:spacing w:val="-5"/>
                <w:sz w:val="18"/>
              </w:rPr>
              <w:t>and</w:t>
            </w:r>
          </w:p>
          <w:p>
            <w:pPr>
              <w:pStyle w:val="TableParagraph"/>
              <w:spacing w:line="232" w:lineRule="auto"/>
              <w:ind w:left="86" w:right="96"/>
              <w:rPr>
                <w:sz w:val="18"/>
              </w:rPr>
            </w:pPr>
            <w:r>
              <w:rPr>
                <w:color w:val="105C84"/>
                <w:sz w:val="18"/>
              </w:rPr>
              <w:t>support</w:t>
            </w:r>
            <w:r>
              <w:rPr>
                <w:color w:val="105C84"/>
                <w:spacing w:val="-6"/>
                <w:sz w:val="18"/>
              </w:rPr>
              <w:t> </w:t>
            </w:r>
            <w:r>
              <w:rPr>
                <w:color w:val="105C84"/>
                <w:sz w:val="18"/>
              </w:rPr>
              <w:t>for</w:t>
            </w:r>
            <w:r>
              <w:rPr>
                <w:color w:val="105C84"/>
                <w:spacing w:val="-6"/>
                <w:sz w:val="18"/>
              </w:rPr>
              <w:t> </w:t>
            </w:r>
            <w:r>
              <w:rPr>
                <w:color w:val="105C84"/>
                <w:sz w:val="18"/>
              </w:rPr>
              <w:t>Community</w:t>
            </w:r>
            <w:r>
              <w:rPr>
                <w:color w:val="105C84"/>
                <w:spacing w:val="-6"/>
                <w:sz w:val="18"/>
              </w:rPr>
              <w:t> </w:t>
            </w:r>
            <w:r>
              <w:rPr>
                <w:color w:val="105C84"/>
                <w:sz w:val="18"/>
              </w:rPr>
              <w:t>Schools through unified messaging at least twice within the year</w:t>
            </w:r>
          </w:p>
        </w:tc>
        <w:tc>
          <w:tcPr>
            <w:tcW w:w="1686" w:type="dxa"/>
          </w:tcPr>
          <w:p>
            <w:pPr>
              <w:pStyle w:val="TableParagraph"/>
              <w:spacing w:line="232" w:lineRule="auto" w:before="98"/>
              <w:ind w:left="85" w:right="467"/>
              <w:rPr>
                <w:sz w:val="18"/>
              </w:rPr>
            </w:pPr>
            <w:r>
              <w:rPr>
                <w:color w:val="105C84"/>
                <w:sz w:val="18"/>
              </w:rPr>
              <w:t>Promote the impact of </w:t>
            </w:r>
            <w:r>
              <w:rPr>
                <w:color w:val="105C84"/>
                <w:spacing w:val="-2"/>
                <w:sz w:val="18"/>
              </w:rPr>
              <w:t>Community </w:t>
            </w:r>
            <w:r>
              <w:rPr>
                <w:color w:val="105C84"/>
                <w:sz w:val="18"/>
              </w:rPr>
              <w:t>Schools</w:t>
            </w:r>
            <w:r>
              <w:rPr>
                <w:color w:val="105C84"/>
                <w:spacing w:val="-15"/>
                <w:sz w:val="18"/>
              </w:rPr>
              <w:t> </w:t>
            </w:r>
            <w:r>
              <w:rPr>
                <w:color w:val="105C84"/>
                <w:sz w:val="18"/>
              </w:rPr>
              <w:t>in</w:t>
            </w:r>
            <w:r>
              <w:rPr>
                <w:color w:val="105C84"/>
                <w:spacing w:val="-12"/>
                <w:sz w:val="18"/>
              </w:rPr>
              <w:t> </w:t>
            </w:r>
            <w:r>
              <w:rPr>
                <w:color w:val="105C84"/>
                <w:sz w:val="18"/>
              </w:rPr>
              <w:t>the 4</w:t>
            </w:r>
            <w:r>
              <w:rPr>
                <w:color w:val="105C84"/>
                <w:spacing w:val="-13"/>
                <w:sz w:val="18"/>
              </w:rPr>
              <w:t> </w:t>
            </w:r>
            <w:r>
              <w:rPr>
                <w:color w:val="105C84"/>
                <w:spacing w:val="-2"/>
                <w:sz w:val="18"/>
              </w:rPr>
              <w:t>Community</w:t>
            </w:r>
          </w:p>
          <w:p>
            <w:pPr>
              <w:pStyle w:val="TableParagraph"/>
              <w:spacing w:line="232" w:lineRule="auto"/>
              <w:ind w:left="85" w:right="240"/>
              <w:rPr>
                <w:sz w:val="18"/>
              </w:rPr>
            </w:pPr>
            <w:r>
              <w:rPr>
                <w:color w:val="105C84"/>
                <w:spacing w:val="-2"/>
                <w:sz w:val="18"/>
              </w:rPr>
              <w:t>Schools</w:t>
            </w:r>
            <w:r>
              <w:rPr>
                <w:color w:val="105C84"/>
                <w:spacing w:val="-11"/>
                <w:sz w:val="18"/>
              </w:rPr>
              <w:t> </w:t>
            </w:r>
            <w:r>
              <w:rPr>
                <w:color w:val="105C84"/>
                <w:spacing w:val="-2"/>
                <w:sz w:val="18"/>
              </w:rPr>
              <w:t>districts </w:t>
            </w:r>
            <w:r>
              <w:rPr>
                <w:color w:val="105C84"/>
                <w:sz w:val="18"/>
              </w:rPr>
              <w:t>to increase awareness of and support</w:t>
            </w:r>
          </w:p>
          <w:p>
            <w:pPr>
              <w:pStyle w:val="TableParagraph"/>
              <w:spacing w:line="232" w:lineRule="auto"/>
              <w:ind w:left="85" w:right="110"/>
              <w:rPr>
                <w:sz w:val="18"/>
              </w:rPr>
            </w:pPr>
            <w:r>
              <w:rPr>
                <w:color w:val="105C84"/>
                <w:sz w:val="18"/>
              </w:rPr>
              <w:t>for Community Schools through unified</w:t>
            </w:r>
            <w:r>
              <w:rPr>
                <w:color w:val="105C84"/>
                <w:spacing w:val="-13"/>
                <w:sz w:val="18"/>
              </w:rPr>
              <w:t> </w:t>
            </w:r>
            <w:r>
              <w:rPr>
                <w:color w:val="105C84"/>
                <w:sz w:val="18"/>
              </w:rPr>
              <w:t>messaging at least twice within the year</w:t>
            </w:r>
          </w:p>
        </w:tc>
        <w:tc>
          <w:tcPr>
            <w:tcW w:w="1499" w:type="dxa"/>
          </w:tcPr>
          <w:p>
            <w:pPr>
              <w:pStyle w:val="TableParagraph"/>
              <w:spacing w:before="92"/>
              <w:ind w:left="83"/>
              <w:rPr>
                <w:sz w:val="18"/>
              </w:rPr>
            </w:pPr>
            <w:r>
              <w:rPr>
                <w:color w:val="105C84"/>
                <w:spacing w:val="-8"/>
                <w:sz w:val="18"/>
              </w:rPr>
              <w:t>K-12</w:t>
            </w:r>
            <w:r>
              <w:rPr>
                <w:color w:val="105C84"/>
                <w:spacing w:val="1"/>
                <w:sz w:val="18"/>
              </w:rPr>
              <w:t> </w:t>
            </w:r>
            <w:r>
              <w:rPr>
                <w:color w:val="105C84"/>
                <w:spacing w:val="-8"/>
                <w:sz w:val="18"/>
              </w:rPr>
              <w:t>School</w:t>
            </w:r>
          </w:p>
        </w:tc>
        <w:tc>
          <w:tcPr>
            <w:tcW w:w="1552" w:type="dxa"/>
          </w:tcPr>
          <w:p>
            <w:pPr>
              <w:pStyle w:val="TableParagraph"/>
              <w:spacing w:line="232" w:lineRule="auto" w:before="98"/>
              <w:ind w:left="82" w:right="86"/>
              <w:rPr>
                <w:sz w:val="18"/>
              </w:rPr>
            </w:pPr>
            <w:r>
              <w:rPr>
                <w:color w:val="105C84"/>
                <w:sz w:val="18"/>
              </w:rPr>
              <w:t>For</w:t>
            </w:r>
            <w:r>
              <w:rPr>
                <w:color w:val="105C84"/>
                <w:spacing w:val="-15"/>
                <w:sz w:val="18"/>
              </w:rPr>
              <w:t> </w:t>
            </w:r>
            <w:r>
              <w:rPr>
                <w:color w:val="105C84"/>
                <w:sz w:val="18"/>
              </w:rPr>
              <w:t>partner</w:t>
            </w:r>
            <w:r>
              <w:rPr>
                <w:color w:val="105C84"/>
                <w:spacing w:val="-12"/>
                <w:sz w:val="18"/>
              </w:rPr>
              <w:t> </w:t>
            </w:r>
            <w:r>
              <w:rPr>
                <w:color w:val="105C84"/>
                <w:sz w:val="18"/>
              </w:rPr>
              <w:t>roles, see projected year columns</w:t>
            </w:r>
          </w:p>
          <w:p>
            <w:pPr>
              <w:pStyle w:val="TableParagraph"/>
              <w:spacing w:line="232" w:lineRule="auto" w:before="87"/>
              <w:ind w:left="82" w:right="224"/>
              <w:rPr>
                <w:sz w:val="18"/>
              </w:rPr>
            </w:pPr>
            <w:r>
              <w:rPr>
                <w:color w:val="105C84"/>
                <w:spacing w:val="-2"/>
                <w:w w:val="90"/>
                <w:sz w:val="18"/>
              </w:rPr>
              <w:t>Resources: </w:t>
            </w:r>
            <w:r>
              <w:rPr>
                <w:color w:val="105C84"/>
                <w:spacing w:val="-2"/>
                <w:sz w:val="18"/>
              </w:rPr>
              <w:t>unified messages</w:t>
            </w:r>
          </w:p>
        </w:tc>
      </w:tr>
    </w:tbl>
    <w:p>
      <w:pPr>
        <w:pStyle w:val="BodyText"/>
        <w:spacing w:before="263"/>
        <w:rPr>
          <w:b/>
          <w:sz w:val="26"/>
        </w:rPr>
      </w:pPr>
    </w:p>
    <w:p>
      <w:pPr>
        <w:tabs>
          <w:tab w:pos="23047" w:val="left" w:leader="none"/>
        </w:tabs>
        <w:spacing w:before="0"/>
        <w:ind w:left="0" w:right="0" w:firstLine="0"/>
        <w:jc w:val="left"/>
        <w:rPr>
          <w:b/>
          <w:sz w:val="26"/>
        </w:rPr>
      </w:pPr>
      <w:r>
        <w:rPr>
          <w:position w:val="-4"/>
        </w:rPr>
        <w:drawing>
          <wp:inline distT="0" distB="0" distL="0" distR="0">
            <wp:extent cx="568172" cy="184683"/>
            <wp:effectExtent l="0" t="0" r="0" b="0"/>
            <wp:docPr id="2060" name="Image 2060"/>
            <wp:cNvGraphicFramePr>
              <a:graphicFrameLocks/>
            </wp:cNvGraphicFramePr>
            <a:graphic>
              <a:graphicData uri="http://schemas.openxmlformats.org/drawingml/2006/picture">
                <pic:pic>
                  <pic:nvPicPr>
                    <pic:cNvPr id="2060" name="Image 2060"/>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13"/>
          <w:sz w:val="20"/>
        </w:rPr>
        <w:t> </w:t>
      </w:r>
      <w:r>
        <w:rPr>
          <w:b/>
          <w:color w:val="939598"/>
          <w:w w:val="105"/>
          <w:sz w:val="26"/>
        </w:rPr>
        <w:t>229</w:t>
      </w:r>
      <w:r>
        <w:rPr>
          <w:b/>
          <w:color w:val="939598"/>
          <w:sz w:val="26"/>
        </w:rPr>
        <w:tab/>
      </w:r>
      <w:r>
        <w:rPr>
          <w:b/>
          <w:color w:val="939598"/>
          <w:spacing w:val="-5"/>
          <w:w w:val="105"/>
          <w:sz w:val="26"/>
        </w:rPr>
        <w:t>230</w:t>
      </w:r>
    </w:p>
    <w:p>
      <w:pPr>
        <w:spacing w:after="0"/>
        <w:jc w:val="left"/>
        <w:rPr>
          <w:b/>
          <w:sz w:val="26"/>
        </w:rPr>
        <w:sectPr>
          <w:pgSz w:w="24480" w:h="15840" w:orient="landscape"/>
          <w:pgMar w:header="0" w:footer="0" w:top="860" w:bottom="0" w:left="0" w:right="720"/>
        </w:sectPr>
      </w:pPr>
    </w:p>
    <w:p>
      <w:pPr>
        <w:spacing w:before="609"/>
        <w:ind w:left="1089" w:right="0" w:firstLine="0"/>
        <w:jc w:val="left"/>
        <w:rPr>
          <w:sz w:val="54"/>
        </w:rPr>
      </w:pPr>
      <w:r>
        <w:rPr>
          <w:sz w:val="54"/>
        </w:rPr>
        <w:drawing>
          <wp:anchor distT="0" distB="0" distL="0" distR="0" allowOverlap="1" layoutInCell="1" locked="0" behindDoc="0" simplePos="0" relativeHeight="16043008">
            <wp:simplePos x="0" y="0"/>
            <wp:positionH relativeFrom="page">
              <wp:posOffset>14299183</wp:posOffset>
            </wp:positionH>
            <wp:positionV relativeFrom="paragraph">
              <wp:posOffset>345947</wp:posOffset>
            </wp:positionV>
            <wp:extent cx="620268" cy="568578"/>
            <wp:effectExtent l="0" t="0" r="0" b="0"/>
            <wp:wrapNone/>
            <wp:docPr id="2061" name="Image 2061"/>
            <wp:cNvGraphicFramePr>
              <a:graphicFrameLocks/>
            </wp:cNvGraphicFramePr>
            <a:graphic>
              <a:graphicData uri="http://schemas.openxmlformats.org/drawingml/2006/picture">
                <pic:pic>
                  <pic:nvPicPr>
                    <pic:cNvPr id="2061" name="Image 2061"/>
                    <pic:cNvPicPr/>
                  </pic:nvPicPr>
                  <pic:blipFill>
                    <a:blip r:embed="rId265" cstate="print"/>
                    <a:stretch>
                      <a:fillRect/>
                    </a:stretch>
                  </pic:blipFill>
                  <pic:spPr>
                    <a:xfrm>
                      <a:off x="0" y="0"/>
                      <a:ext cx="620268" cy="568578"/>
                    </a:xfrm>
                    <a:prstGeom prst="rect">
                      <a:avLst/>
                    </a:prstGeom>
                  </pic:spPr>
                </pic:pic>
              </a:graphicData>
            </a:graphic>
          </wp:anchor>
        </w:drawing>
      </w:r>
      <w:r>
        <w:rPr>
          <w:sz w:val="54"/>
        </w:rPr>
        <w:drawing>
          <wp:anchor distT="0" distB="0" distL="0" distR="0" allowOverlap="1" layoutInCell="1" locked="0" behindDoc="0" simplePos="0" relativeHeight="16043520">
            <wp:simplePos x="0" y="0"/>
            <wp:positionH relativeFrom="page">
              <wp:posOffset>14981556</wp:posOffset>
            </wp:positionH>
            <wp:positionV relativeFrom="page">
              <wp:posOffset>9668103</wp:posOffset>
            </wp:positionV>
            <wp:extent cx="563245" cy="184683"/>
            <wp:effectExtent l="0" t="0" r="0" b="0"/>
            <wp:wrapNone/>
            <wp:docPr id="2062" name="Image 2062"/>
            <wp:cNvGraphicFramePr>
              <a:graphicFrameLocks/>
            </wp:cNvGraphicFramePr>
            <a:graphic>
              <a:graphicData uri="http://schemas.openxmlformats.org/drawingml/2006/picture">
                <pic:pic>
                  <pic:nvPicPr>
                    <pic:cNvPr id="2062" name="Image 2062"/>
                    <pic:cNvPicPr/>
                  </pic:nvPicPr>
                  <pic:blipFill>
                    <a:blip r:embed="rId38" cstate="print"/>
                    <a:stretch>
                      <a:fillRect/>
                    </a:stretch>
                  </pic:blipFill>
                  <pic:spPr>
                    <a:xfrm>
                      <a:off x="0" y="0"/>
                      <a:ext cx="563245" cy="184683"/>
                    </a:xfrm>
                    <a:prstGeom prst="rect">
                      <a:avLst/>
                    </a:prstGeom>
                  </pic:spPr>
                </pic:pic>
              </a:graphicData>
            </a:graphic>
          </wp:anchor>
        </w:drawing>
      </w:r>
      <w:r>
        <w:rPr>
          <w:sz w:val="54"/>
        </w:rPr>
        <w:drawing>
          <wp:anchor distT="0" distB="0" distL="0" distR="0" allowOverlap="1" layoutInCell="1" locked="0" behindDoc="0" simplePos="0" relativeHeight="16044032">
            <wp:simplePos x="0" y="0"/>
            <wp:positionH relativeFrom="page">
              <wp:posOffset>13372084</wp:posOffset>
            </wp:positionH>
            <wp:positionV relativeFrom="paragraph">
              <wp:posOffset>365759</wp:posOffset>
            </wp:positionV>
            <wp:extent cx="728345" cy="366522"/>
            <wp:effectExtent l="0" t="0" r="0" b="0"/>
            <wp:wrapNone/>
            <wp:docPr id="2063" name="Image 2063"/>
            <wp:cNvGraphicFramePr>
              <a:graphicFrameLocks/>
            </wp:cNvGraphicFramePr>
            <a:graphic>
              <a:graphicData uri="http://schemas.openxmlformats.org/drawingml/2006/picture">
                <pic:pic>
                  <pic:nvPicPr>
                    <pic:cNvPr id="2063" name="Image 2063"/>
                    <pic:cNvPicPr/>
                  </pic:nvPicPr>
                  <pic:blipFill>
                    <a:blip r:embed="rId266" cstate="print"/>
                    <a:stretch>
                      <a:fillRect/>
                    </a:stretch>
                  </pic:blipFill>
                  <pic:spPr>
                    <a:xfrm>
                      <a:off x="0" y="0"/>
                      <a:ext cx="728345" cy="366522"/>
                    </a:xfrm>
                    <a:prstGeom prst="rect">
                      <a:avLst/>
                    </a:prstGeom>
                  </pic:spPr>
                </pic:pic>
              </a:graphicData>
            </a:graphic>
          </wp:anchor>
        </w:drawing>
      </w:r>
      <w:r>
        <w:rPr>
          <w:color w:val="636466"/>
          <w:sz w:val="54"/>
        </w:rPr>
        <w:t>Wayne</w:t>
      </w:r>
      <w:r>
        <w:rPr>
          <w:color w:val="636466"/>
          <w:spacing w:val="37"/>
          <w:sz w:val="54"/>
        </w:rPr>
        <w:t> </w:t>
      </w:r>
      <w:r>
        <w:rPr>
          <w:color w:val="636466"/>
          <w:sz w:val="54"/>
        </w:rPr>
        <w:t>County</w:t>
      </w:r>
      <w:r>
        <w:rPr>
          <w:color w:val="636466"/>
          <w:spacing w:val="38"/>
          <w:sz w:val="54"/>
        </w:rPr>
        <w:t> </w:t>
      </w:r>
      <w:r>
        <w:rPr>
          <w:color w:val="636466"/>
          <w:sz w:val="54"/>
        </w:rPr>
        <w:t>Appendix</w:t>
      </w:r>
      <w:r>
        <w:rPr>
          <w:color w:val="636466"/>
          <w:spacing w:val="38"/>
          <w:sz w:val="54"/>
        </w:rPr>
        <w:t> </w:t>
      </w:r>
      <w:r>
        <w:rPr>
          <w:color w:val="636466"/>
          <w:spacing w:val="-10"/>
          <w:sz w:val="54"/>
        </w:rPr>
        <w:t>G</w:t>
      </w:r>
    </w:p>
    <w:p>
      <w:pPr>
        <w:spacing w:line="247" w:lineRule="auto" w:before="236"/>
        <w:ind w:left="1089" w:right="13013" w:firstLine="0"/>
        <w:jc w:val="left"/>
        <w:rPr>
          <w:b/>
          <w:sz w:val="32"/>
        </w:rPr>
      </w:pPr>
      <w:r>
        <w:rPr>
          <w:b/>
          <w:color w:val="82BF6A"/>
          <w:spacing w:val="-4"/>
          <w:sz w:val="32"/>
        </w:rPr>
        <w:t>PRIORITY:</w:t>
      </w:r>
      <w:r>
        <w:rPr>
          <w:b/>
          <w:color w:val="82BF6A"/>
          <w:spacing w:val="-19"/>
          <w:sz w:val="32"/>
        </w:rPr>
        <w:t> </w:t>
      </w:r>
      <w:r>
        <w:rPr>
          <w:b/>
          <w:color w:val="82BF6A"/>
          <w:spacing w:val="-4"/>
          <w:sz w:val="32"/>
        </w:rPr>
        <w:t>PROMOTE</w:t>
      </w:r>
      <w:r>
        <w:rPr>
          <w:b/>
          <w:color w:val="82BF6A"/>
          <w:spacing w:val="-18"/>
          <w:sz w:val="32"/>
        </w:rPr>
        <w:t> </w:t>
      </w:r>
      <w:r>
        <w:rPr>
          <w:b/>
          <w:color w:val="82BF6A"/>
          <w:spacing w:val="-4"/>
          <w:sz w:val="32"/>
        </w:rPr>
        <w:t>WELL-BEING</w:t>
      </w:r>
      <w:r>
        <w:rPr>
          <w:b/>
          <w:color w:val="82BF6A"/>
          <w:spacing w:val="-18"/>
          <w:sz w:val="32"/>
        </w:rPr>
        <w:t> </w:t>
      </w:r>
      <w:r>
        <w:rPr>
          <w:b/>
          <w:color w:val="82BF6A"/>
          <w:spacing w:val="-4"/>
          <w:sz w:val="32"/>
        </w:rPr>
        <w:t>AND</w:t>
      </w:r>
      <w:r>
        <w:rPr>
          <w:b/>
          <w:color w:val="82BF6A"/>
          <w:spacing w:val="-18"/>
          <w:sz w:val="32"/>
        </w:rPr>
        <w:t> </w:t>
      </w:r>
      <w:r>
        <w:rPr>
          <w:b/>
          <w:color w:val="82BF6A"/>
          <w:spacing w:val="-4"/>
          <w:sz w:val="32"/>
        </w:rPr>
        <w:t>PREVENT</w:t>
      </w:r>
      <w:r>
        <w:rPr>
          <w:b/>
          <w:color w:val="82BF6A"/>
          <w:spacing w:val="-19"/>
          <w:sz w:val="32"/>
        </w:rPr>
        <w:t> </w:t>
      </w:r>
      <w:r>
        <w:rPr>
          <w:b/>
          <w:color w:val="82BF6A"/>
          <w:spacing w:val="-4"/>
          <w:sz w:val="32"/>
        </w:rPr>
        <w:t>MENTAL </w:t>
      </w:r>
      <w:r>
        <w:rPr>
          <w:b/>
          <w:color w:val="82BF6A"/>
          <w:sz w:val="32"/>
        </w:rPr>
        <w:t>AND</w:t>
      </w:r>
      <w:r>
        <w:rPr>
          <w:b/>
          <w:color w:val="82BF6A"/>
          <w:spacing w:val="-22"/>
          <w:sz w:val="32"/>
        </w:rPr>
        <w:t> </w:t>
      </w:r>
      <w:r>
        <w:rPr>
          <w:b/>
          <w:color w:val="82BF6A"/>
          <w:sz w:val="32"/>
        </w:rPr>
        <w:t>SUBSTANCE</w:t>
      </w:r>
      <w:r>
        <w:rPr>
          <w:b/>
          <w:color w:val="82BF6A"/>
          <w:spacing w:val="-22"/>
          <w:sz w:val="32"/>
        </w:rPr>
        <w:t> </w:t>
      </w:r>
      <w:r>
        <w:rPr>
          <w:b/>
          <w:color w:val="82BF6A"/>
          <w:sz w:val="32"/>
        </w:rPr>
        <w:t>USE</w:t>
      </w:r>
      <w:r>
        <w:rPr>
          <w:b/>
          <w:color w:val="82BF6A"/>
          <w:spacing w:val="-22"/>
          <w:sz w:val="32"/>
        </w:rPr>
        <w:t> </w:t>
      </w:r>
      <w:r>
        <w:rPr>
          <w:b/>
          <w:color w:val="82BF6A"/>
          <w:sz w:val="32"/>
        </w:rPr>
        <w:t>DISORDERS</w:t>
      </w:r>
    </w:p>
    <w:p>
      <w:pPr>
        <w:pStyle w:val="BodyText"/>
        <w:spacing w:before="152"/>
        <w:rPr>
          <w:b/>
          <w:sz w:val="20"/>
        </w:rPr>
      </w:pPr>
    </w:p>
    <w:tbl>
      <w:tblPr>
        <w:tblW w:w="0" w:type="auto"/>
        <w:jc w:val="left"/>
        <w:tblInd w:w="1099"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1180"/>
        <w:gridCol w:w="1152"/>
        <w:gridCol w:w="1267"/>
        <w:gridCol w:w="1224"/>
        <w:gridCol w:w="1066"/>
        <w:gridCol w:w="2088"/>
        <w:gridCol w:w="6790"/>
        <w:gridCol w:w="2218"/>
        <w:gridCol w:w="2254"/>
        <w:gridCol w:w="1498"/>
        <w:gridCol w:w="1551"/>
      </w:tblGrid>
      <w:tr>
        <w:trPr>
          <w:trHeight w:val="730" w:hRule="atLeast"/>
        </w:trPr>
        <w:tc>
          <w:tcPr>
            <w:tcW w:w="1180" w:type="dxa"/>
            <w:tcBorders>
              <w:right w:val="single" w:sz="4" w:space="0" w:color="FFFFFF"/>
            </w:tcBorders>
            <w:shd w:val="clear" w:color="auto" w:fill="A7A9AC"/>
          </w:tcPr>
          <w:p>
            <w:pPr>
              <w:pStyle w:val="TableParagraph"/>
              <w:spacing w:before="79"/>
              <w:rPr>
                <w:b/>
                <w:sz w:val="18"/>
              </w:rPr>
            </w:pPr>
          </w:p>
          <w:p>
            <w:pPr>
              <w:pStyle w:val="TableParagraph"/>
              <w:ind w:left="80"/>
              <w:rPr>
                <w:b/>
                <w:sz w:val="18"/>
              </w:rPr>
            </w:pPr>
            <w:r>
              <w:rPr>
                <w:b/>
                <w:color w:val="FFFFFF"/>
                <w:spacing w:val="-2"/>
                <w:sz w:val="18"/>
              </w:rPr>
              <w:t>Priority</w:t>
            </w:r>
          </w:p>
        </w:tc>
        <w:tc>
          <w:tcPr>
            <w:tcW w:w="1152" w:type="dxa"/>
            <w:tcBorders>
              <w:left w:val="single" w:sz="4" w:space="0" w:color="FFFFFF"/>
              <w:right w:val="single" w:sz="4" w:space="0" w:color="FFFFFF"/>
            </w:tcBorders>
            <w:shd w:val="clear" w:color="auto" w:fill="A7A9AC"/>
          </w:tcPr>
          <w:p>
            <w:pPr>
              <w:pStyle w:val="TableParagraph"/>
              <w:spacing w:before="79"/>
              <w:rPr>
                <w:b/>
                <w:sz w:val="18"/>
              </w:rPr>
            </w:pPr>
          </w:p>
          <w:p>
            <w:pPr>
              <w:pStyle w:val="TableParagraph"/>
              <w:ind w:left="80"/>
              <w:rPr>
                <w:b/>
                <w:sz w:val="18"/>
              </w:rPr>
            </w:pPr>
            <w:r>
              <w:rPr>
                <w:b/>
                <w:color w:val="FFFFFF"/>
                <w:w w:val="90"/>
                <w:sz w:val="18"/>
              </w:rPr>
              <w:t>Focus</w:t>
            </w:r>
            <w:r>
              <w:rPr>
                <w:b/>
                <w:color w:val="FFFFFF"/>
                <w:spacing w:val="8"/>
                <w:sz w:val="18"/>
              </w:rPr>
              <w:t> </w:t>
            </w:r>
            <w:r>
              <w:rPr>
                <w:b/>
                <w:color w:val="FFFFFF"/>
                <w:spacing w:val="-4"/>
                <w:sz w:val="18"/>
              </w:rPr>
              <w:t>Area</w:t>
            </w:r>
          </w:p>
        </w:tc>
        <w:tc>
          <w:tcPr>
            <w:tcW w:w="1267" w:type="dxa"/>
            <w:tcBorders>
              <w:left w:val="single" w:sz="4" w:space="0" w:color="FFFFFF"/>
              <w:right w:val="single" w:sz="4" w:space="0" w:color="FFFFFF"/>
            </w:tcBorders>
            <w:shd w:val="clear" w:color="auto" w:fill="A7A9AC"/>
          </w:tcPr>
          <w:p>
            <w:pPr>
              <w:pStyle w:val="TableParagraph"/>
              <w:spacing w:line="232" w:lineRule="auto" w:before="191"/>
              <w:ind w:left="80" w:right="237"/>
              <w:rPr>
                <w:b/>
                <w:sz w:val="18"/>
              </w:rPr>
            </w:pPr>
            <w:r>
              <w:rPr>
                <w:b/>
                <w:color w:val="FFFFFF"/>
                <w:spacing w:val="-6"/>
                <w:sz w:val="18"/>
              </w:rPr>
              <w:t>Goal</w:t>
            </w:r>
            <w:r>
              <w:rPr>
                <w:b/>
                <w:color w:val="FFFFFF"/>
                <w:spacing w:val="-7"/>
                <w:sz w:val="18"/>
              </w:rPr>
              <w:t> </w:t>
            </w:r>
            <w:r>
              <w:rPr>
                <w:b/>
                <w:color w:val="FFFFFF"/>
                <w:spacing w:val="-6"/>
                <w:sz w:val="18"/>
              </w:rPr>
              <w:t>Focus </w:t>
            </w:r>
            <w:r>
              <w:rPr>
                <w:b/>
                <w:color w:val="FFFFFF"/>
                <w:spacing w:val="-4"/>
                <w:sz w:val="18"/>
              </w:rPr>
              <w:t>Area</w:t>
            </w:r>
          </w:p>
        </w:tc>
        <w:tc>
          <w:tcPr>
            <w:tcW w:w="1224" w:type="dxa"/>
            <w:tcBorders>
              <w:left w:val="single" w:sz="4" w:space="0" w:color="FFFFFF"/>
              <w:right w:val="single" w:sz="4" w:space="0" w:color="FFFFFF"/>
            </w:tcBorders>
            <w:shd w:val="clear" w:color="auto" w:fill="A7A9AC"/>
          </w:tcPr>
          <w:p>
            <w:pPr>
              <w:pStyle w:val="TableParagraph"/>
              <w:spacing w:before="79"/>
              <w:rPr>
                <w:b/>
                <w:sz w:val="18"/>
              </w:rPr>
            </w:pPr>
          </w:p>
          <w:p>
            <w:pPr>
              <w:pStyle w:val="TableParagraph"/>
              <w:ind w:left="80"/>
              <w:rPr>
                <w:b/>
                <w:sz w:val="18"/>
              </w:rPr>
            </w:pPr>
            <w:r>
              <w:rPr>
                <w:b/>
                <w:color w:val="FFFFFF"/>
                <w:spacing w:val="-2"/>
                <w:sz w:val="18"/>
              </w:rPr>
              <w:t>Objectives</w:t>
            </w:r>
          </w:p>
        </w:tc>
        <w:tc>
          <w:tcPr>
            <w:tcW w:w="1066" w:type="dxa"/>
            <w:tcBorders>
              <w:left w:val="single" w:sz="4" w:space="0" w:color="FFFFFF"/>
              <w:right w:val="single" w:sz="4" w:space="0" w:color="FFFFFF"/>
            </w:tcBorders>
            <w:shd w:val="clear" w:color="auto" w:fill="A7A9AC"/>
          </w:tcPr>
          <w:p>
            <w:pPr>
              <w:pStyle w:val="TableParagraph"/>
              <w:spacing w:before="79"/>
              <w:rPr>
                <w:b/>
                <w:sz w:val="18"/>
              </w:rPr>
            </w:pPr>
          </w:p>
          <w:p>
            <w:pPr>
              <w:pStyle w:val="TableParagraph"/>
              <w:ind w:left="80"/>
              <w:rPr>
                <w:b/>
                <w:sz w:val="18"/>
              </w:rPr>
            </w:pPr>
            <w:r>
              <w:rPr>
                <w:b/>
                <w:color w:val="FFFFFF"/>
                <w:spacing w:val="-2"/>
                <w:sz w:val="18"/>
              </w:rPr>
              <w:t>Disparities</w:t>
            </w:r>
          </w:p>
        </w:tc>
        <w:tc>
          <w:tcPr>
            <w:tcW w:w="2088" w:type="dxa"/>
            <w:tcBorders>
              <w:left w:val="single" w:sz="4" w:space="0" w:color="FFFFFF"/>
              <w:right w:val="single" w:sz="4" w:space="0" w:color="FFFFFF"/>
            </w:tcBorders>
            <w:shd w:val="clear" w:color="auto" w:fill="A7A9AC"/>
          </w:tcPr>
          <w:p>
            <w:pPr>
              <w:pStyle w:val="TableParagraph"/>
              <w:spacing w:before="79"/>
              <w:rPr>
                <w:b/>
                <w:sz w:val="18"/>
              </w:rPr>
            </w:pPr>
          </w:p>
          <w:p>
            <w:pPr>
              <w:pStyle w:val="TableParagraph"/>
              <w:ind w:left="80"/>
              <w:rPr>
                <w:b/>
                <w:sz w:val="18"/>
              </w:rPr>
            </w:pPr>
            <w:r>
              <w:rPr>
                <w:b/>
                <w:color w:val="FFFFFF"/>
                <w:spacing w:val="-2"/>
                <w:sz w:val="18"/>
              </w:rPr>
              <w:t>Interventions</w:t>
            </w:r>
          </w:p>
        </w:tc>
        <w:tc>
          <w:tcPr>
            <w:tcW w:w="6790" w:type="dxa"/>
            <w:tcBorders>
              <w:left w:val="single" w:sz="4" w:space="0" w:color="FFFFFF"/>
              <w:right w:val="single" w:sz="4" w:space="0" w:color="FFFFFF"/>
            </w:tcBorders>
            <w:shd w:val="clear" w:color="auto" w:fill="A7A9AC"/>
          </w:tcPr>
          <w:p>
            <w:pPr>
              <w:pStyle w:val="TableParagraph"/>
              <w:spacing w:before="3"/>
              <w:rPr>
                <w:b/>
                <w:sz w:val="18"/>
              </w:rPr>
            </w:pPr>
          </w:p>
          <w:p>
            <w:pPr>
              <w:pStyle w:val="TableParagraph"/>
              <w:tabs>
                <w:tab w:pos="4248" w:val="left" w:leader="none"/>
              </w:tabs>
              <w:spacing w:line="156" w:lineRule="auto"/>
              <w:ind w:left="4248" w:right="423" w:hanging="4158"/>
              <w:rPr>
                <w:b/>
                <w:sz w:val="18"/>
              </w:rPr>
            </w:pPr>
            <w:r>
              <w:rPr>
                <w:b/>
                <w:color w:val="FFFFFF"/>
                <w:position w:val="-9"/>
                <w:sz w:val="18"/>
              </w:rPr>
              <w:t>Family of Measures</w:t>
              <w:tab/>
            </w:r>
            <w:r>
              <w:rPr>
                <w:b/>
                <w:color w:val="FFFFFF"/>
                <w:sz w:val="18"/>
              </w:rPr>
              <w:t>Projected</w:t>
            </w:r>
            <w:r>
              <w:rPr>
                <w:b/>
                <w:color w:val="FFFFFF"/>
                <w:spacing w:val="-15"/>
                <w:sz w:val="18"/>
              </w:rPr>
              <w:t> </w:t>
            </w:r>
            <w:r>
              <w:rPr>
                <w:b/>
                <w:color w:val="FFFFFF"/>
                <w:sz w:val="18"/>
              </w:rPr>
              <w:t>(or</w:t>
            </w:r>
            <w:r>
              <w:rPr>
                <w:b/>
                <w:color w:val="FFFFFF"/>
                <w:spacing w:val="-12"/>
                <w:sz w:val="18"/>
              </w:rPr>
              <w:t> </w:t>
            </w:r>
            <w:r>
              <w:rPr>
                <w:b/>
                <w:color w:val="FFFFFF"/>
                <w:sz w:val="18"/>
              </w:rPr>
              <w:t>completed) Year 1 Intervention</w:t>
            </w:r>
          </w:p>
        </w:tc>
        <w:tc>
          <w:tcPr>
            <w:tcW w:w="2218" w:type="dxa"/>
            <w:tcBorders>
              <w:left w:val="single" w:sz="4" w:space="0" w:color="FFFFFF"/>
              <w:right w:val="single" w:sz="4" w:space="0" w:color="FFFFFF"/>
            </w:tcBorders>
            <w:shd w:val="clear" w:color="auto" w:fill="A7A9AC"/>
          </w:tcPr>
          <w:p>
            <w:pPr>
              <w:pStyle w:val="TableParagraph"/>
              <w:spacing w:before="78"/>
              <w:rPr>
                <w:b/>
                <w:sz w:val="18"/>
              </w:rPr>
            </w:pPr>
          </w:p>
          <w:p>
            <w:pPr>
              <w:pStyle w:val="TableParagraph"/>
              <w:spacing w:before="1"/>
              <w:ind w:left="79"/>
              <w:rPr>
                <w:b/>
                <w:sz w:val="18"/>
              </w:rPr>
            </w:pPr>
            <w:r>
              <w:rPr>
                <w:b/>
                <w:color w:val="FFFFFF"/>
                <w:spacing w:val="-2"/>
                <w:sz w:val="18"/>
              </w:rPr>
              <w:t>Projected</w:t>
            </w:r>
            <w:r>
              <w:rPr>
                <w:b/>
                <w:color w:val="FFFFFF"/>
                <w:spacing w:val="-6"/>
                <w:sz w:val="18"/>
              </w:rPr>
              <w:t> </w:t>
            </w:r>
            <w:r>
              <w:rPr>
                <w:b/>
                <w:color w:val="FFFFFF"/>
                <w:spacing w:val="-2"/>
                <w:sz w:val="18"/>
              </w:rPr>
              <w:t>Year</w:t>
            </w:r>
            <w:r>
              <w:rPr>
                <w:b/>
                <w:color w:val="FFFFFF"/>
                <w:spacing w:val="-5"/>
                <w:sz w:val="18"/>
              </w:rPr>
              <w:t> </w:t>
            </w:r>
            <w:r>
              <w:rPr>
                <w:b/>
                <w:color w:val="FFFFFF"/>
                <w:spacing w:val="-12"/>
                <w:sz w:val="18"/>
              </w:rPr>
              <w:t>2</w:t>
            </w:r>
          </w:p>
        </w:tc>
        <w:tc>
          <w:tcPr>
            <w:tcW w:w="2254" w:type="dxa"/>
            <w:tcBorders>
              <w:left w:val="single" w:sz="4" w:space="0" w:color="FFFFFF"/>
              <w:right w:val="single" w:sz="4" w:space="0" w:color="FFFFFF"/>
            </w:tcBorders>
            <w:shd w:val="clear" w:color="auto" w:fill="A7A9AC"/>
          </w:tcPr>
          <w:p>
            <w:pPr>
              <w:pStyle w:val="TableParagraph"/>
              <w:spacing w:line="232" w:lineRule="auto" w:before="190"/>
              <w:ind w:left="79" w:right="376"/>
              <w:rPr>
                <w:b/>
                <w:sz w:val="18"/>
              </w:rPr>
            </w:pPr>
            <w:r>
              <w:rPr>
                <w:b/>
                <w:color w:val="FFFFFF"/>
                <w:spacing w:val="-2"/>
                <w:sz w:val="18"/>
              </w:rPr>
              <w:t>Projected</w:t>
            </w:r>
            <w:r>
              <w:rPr>
                <w:b/>
                <w:color w:val="FFFFFF"/>
                <w:spacing w:val="-13"/>
                <w:sz w:val="18"/>
              </w:rPr>
              <w:t> </w:t>
            </w:r>
            <w:r>
              <w:rPr>
                <w:b/>
                <w:color w:val="FFFFFF"/>
                <w:spacing w:val="-2"/>
                <w:sz w:val="18"/>
              </w:rPr>
              <w:t>Year</w:t>
            </w:r>
            <w:r>
              <w:rPr>
                <w:b/>
                <w:color w:val="FFFFFF"/>
                <w:spacing w:val="-10"/>
                <w:sz w:val="18"/>
              </w:rPr>
              <w:t> </w:t>
            </w:r>
            <w:r>
              <w:rPr>
                <w:b/>
                <w:color w:val="FFFFFF"/>
                <w:spacing w:val="-2"/>
                <w:sz w:val="18"/>
              </w:rPr>
              <w:t>3 Interventions</w:t>
            </w:r>
          </w:p>
        </w:tc>
        <w:tc>
          <w:tcPr>
            <w:tcW w:w="1498" w:type="dxa"/>
            <w:tcBorders>
              <w:left w:val="single" w:sz="4" w:space="0" w:color="FFFFFF"/>
            </w:tcBorders>
            <w:shd w:val="clear" w:color="auto" w:fill="A7A9AC"/>
          </w:tcPr>
          <w:p>
            <w:pPr>
              <w:pStyle w:val="TableParagraph"/>
              <w:spacing w:line="232" w:lineRule="auto" w:before="190"/>
              <w:ind w:left="79"/>
              <w:rPr>
                <w:b/>
                <w:sz w:val="18"/>
              </w:rPr>
            </w:pPr>
            <w:r>
              <w:rPr>
                <w:b/>
                <w:color w:val="FFFFFF"/>
                <w:spacing w:val="-2"/>
                <w:sz w:val="18"/>
              </w:rPr>
              <w:t>Implementation Partner</w:t>
            </w:r>
          </w:p>
        </w:tc>
        <w:tc>
          <w:tcPr>
            <w:tcW w:w="1551" w:type="dxa"/>
            <w:shd w:val="clear" w:color="auto" w:fill="A7A9AC"/>
          </w:tcPr>
          <w:p>
            <w:pPr>
              <w:pStyle w:val="TableParagraph"/>
              <w:spacing w:line="232" w:lineRule="auto" w:before="190"/>
              <w:ind w:left="78" w:right="217"/>
              <w:rPr>
                <w:b/>
                <w:sz w:val="18"/>
              </w:rPr>
            </w:pPr>
            <w:r>
              <w:rPr>
                <w:b/>
                <w:color w:val="FFFFFF"/>
                <w:spacing w:val="-4"/>
                <w:sz w:val="18"/>
              </w:rPr>
              <w:t>Partner</w:t>
            </w:r>
            <w:r>
              <w:rPr>
                <w:b/>
                <w:color w:val="FFFFFF"/>
                <w:spacing w:val="-9"/>
                <w:sz w:val="18"/>
              </w:rPr>
              <w:t> </w:t>
            </w:r>
            <w:r>
              <w:rPr>
                <w:b/>
                <w:color w:val="FFFFFF"/>
                <w:spacing w:val="-4"/>
                <w:sz w:val="18"/>
              </w:rPr>
              <w:t>Role(s) </w:t>
            </w:r>
            <w:r>
              <w:rPr>
                <w:b/>
                <w:color w:val="FFFFFF"/>
                <w:sz w:val="18"/>
              </w:rPr>
              <w:t>and</w:t>
            </w:r>
            <w:r>
              <w:rPr>
                <w:b/>
                <w:color w:val="FFFFFF"/>
                <w:spacing w:val="-7"/>
                <w:sz w:val="18"/>
              </w:rPr>
              <w:t> Resources</w:t>
            </w:r>
          </w:p>
        </w:tc>
      </w:tr>
      <w:tr>
        <w:trPr>
          <w:trHeight w:val="2456" w:hRule="atLeast"/>
        </w:trPr>
        <w:tc>
          <w:tcPr>
            <w:tcW w:w="1180" w:type="dxa"/>
            <w:vMerge w:val="restart"/>
            <w:shd w:val="clear" w:color="auto" w:fill="E6E7E8"/>
          </w:tcPr>
          <w:p>
            <w:pPr>
              <w:pStyle w:val="TableParagraph"/>
              <w:spacing w:line="232" w:lineRule="auto" w:before="100"/>
              <w:ind w:left="89" w:right="87"/>
              <w:rPr>
                <w:sz w:val="18"/>
              </w:rPr>
            </w:pPr>
            <w:r>
              <w:rPr>
                <w:color w:val="105C84"/>
                <w:spacing w:val="-2"/>
                <w:sz w:val="18"/>
              </w:rPr>
              <w:t>Promote Well-Being </w:t>
            </w:r>
            <w:r>
              <w:rPr>
                <w:color w:val="105C84"/>
                <w:sz w:val="18"/>
              </w:rPr>
              <w:t>and</w:t>
            </w:r>
            <w:r>
              <w:rPr>
                <w:color w:val="105C84"/>
                <w:spacing w:val="-13"/>
                <w:sz w:val="18"/>
              </w:rPr>
              <w:t> </w:t>
            </w:r>
            <w:r>
              <w:rPr>
                <w:color w:val="105C84"/>
                <w:sz w:val="18"/>
              </w:rPr>
              <w:t>Prevent Mental and </w:t>
            </w:r>
            <w:r>
              <w:rPr>
                <w:color w:val="105C84"/>
                <w:spacing w:val="-2"/>
                <w:sz w:val="18"/>
              </w:rPr>
              <w:t>Substance </w:t>
            </w:r>
            <w:r>
              <w:rPr>
                <w:color w:val="105C84"/>
                <w:spacing w:val="-4"/>
                <w:sz w:val="18"/>
              </w:rPr>
              <w:t>Use </w:t>
            </w:r>
            <w:r>
              <w:rPr>
                <w:color w:val="105C84"/>
                <w:spacing w:val="-2"/>
                <w:sz w:val="18"/>
              </w:rPr>
              <w:t>Disorders</w:t>
            </w:r>
          </w:p>
        </w:tc>
        <w:tc>
          <w:tcPr>
            <w:tcW w:w="1152" w:type="dxa"/>
            <w:vMerge w:val="restart"/>
          </w:tcPr>
          <w:p>
            <w:pPr>
              <w:pStyle w:val="TableParagraph"/>
              <w:spacing w:line="232" w:lineRule="auto" w:before="100"/>
              <w:ind w:left="90" w:right="159"/>
              <w:jc w:val="both"/>
              <w:rPr>
                <w:sz w:val="18"/>
              </w:rPr>
            </w:pPr>
            <w:r>
              <w:rPr>
                <w:color w:val="105C84"/>
                <w:spacing w:val="-4"/>
                <w:sz w:val="18"/>
              </w:rPr>
              <w:t>Focus</w:t>
            </w:r>
            <w:r>
              <w:rPr>
                <w:color w:val="105C84"/>
                <w:spacing w:val="-9"/>
                <w:sz w:val="18"/>
              </w:rPr>
              <w:t> </w:t>
            </w:r>
            <w:r>
              <w:rPr>
                <w:color w:val="105C84"/>
                <w:spacing w:val="-4"/>
                <w:sz w:val="18"/>
              </w:rPr>
              <w:t>Area </w:t>
            </w:r>
            <w:r>
              <w:rPr>
                <w:color w:val="105C84"/>
                <w:sz w:val="18"/>
              </w:rPr>
              <w:t>1:</w:t>
            </w:r>
            <w:r>
              <w:rPr>
                <w:color w:val="105C84"/>
                <w:spacing w:val="-13"/>
                <w:sz w:val="18"/>
              </w:rPr>
              <w:t> </w:t>
            </w:r>
            <w:r>
              <w:rPr>
                <w:color w:val="105C84"/>
                <w:sz w:val="18"/>
              </w:rPr>
              <w:t>Promote </w:t>
            </w:r>
            <w:r>
              <w:rPr>
                <w:color w:val="105C84"/>
                <w:spacing w:val="-2"/>
                <w:sz w:val="18"/>
              </w:rPr>
              <w:t>Well-Being</w:t>
            </w:r>
          </w:p>
        </w:tc>
        <w:tc>
          <w:tcPr>
            <w:tcW w:w="1267" w:type="dxa"/>
            <w:vMerge w:val="restart"/>
          </w:tcPr>
          <w:p>
            <w:pPr>
              <w:pStyle w:val="TableParagraph"/>
              <w:spacing w:line="232" w:lineRule="auto" w:before="100"/>
              <w:ind w:left="90" w:right="86"/>
              <w:rPr>
                <w:sz w:val="18"/>
              </w:rPr>
            </w:pPr>
            <w:r>
              <w:rPr>
                <w:color w:val="105C84"/>
                <w:w w:val="105"/>
                <w:sz w:val="18"/>
              </w:rPr>
              <w:t>Goal</w:t>
            </w:r>
            <w:r>
              <w:rPr>
                <w:color w:val="105C84"/>
                <w:spacing w:val="-1"/>
                <w:w w:val="105"/>
                <w:sz w:val="18"/>
              </w:rPr>
              <w:t> </w:t>
            </w:r>
            <w:r>
              <w:rPr>
                <w:color w:val="105C84"/>
                <w:w w:val="105"/>
                <w:sz w:val="18"/>
              </w:rPr>
              <w:t>1.1: </w:t>
            </w:r>
            <w:r>
              <w:rPr>
                <w:color w:val="105C84"/>
                <w:spacing w:val="-2"/>
                <w:w w:val="105"/>
                <w:sz w:val="18"/>
              </w:rPr>
              <w:t>Strengthen </w:t>
            </w:r>
            <w:r>
              <w:rPr>
                <w:color w:val="105C84"/>
                <w:spacing w:val="-2"/>
                <w:sz w:val="18"/>
              </w:rPr>
              <w:t>opportunities </w:t>
            </w:r>
            <w:r>
              <w:rPr>
                <w:color w:val="105C84"/>
                <w:w w:val="105"/>
                <w:sz w:val="18"/>
              </w:rPr>
              <w:t>to</w:t>
            </w:r>
            <w:r>
              <w:rPr>
                <w:color w:val="105C84"/>
                <w:spacing w:val="-6"/>
                <w:w w:val="105"/>
                <w:sz w:val="18"/>
              </w:rPr>
              <w:t> </w:t>
            </w:r>
            <w:r>
              <w:rPr>
                <w:color w:val="105C84"/>
                <w:w w:val="105"/>
                <w:sz w:val="18"/>
              </w:rPr>
              <w:t>build</w:t>
            </w:r>
            <w:r>
              <w:rPr>
                <w:color w:val="105C84"/>
                <w:spacing w:val="-6"/>
                <w:w w:val="105"/>
                <w:sz w:val="18"/>
              </w:rPr>
              <w:t> </w:t>
            </w:r>
            <w:r>
              <w:rPr>
                <w:color w:val="105C84"/>
                <w:w w:val="105"/>
                <w:sz w:val="18"/>
              </w:rPr>
              <w:t>well-being</w:t>
            </w:r>
            <w:r>
              <w:rPr>
                <w:color w:val="105C84"/>
                <w:spacing w:val="-1"/>
                <w:w w:val="105"/>
                <w:sz w:val="18"/>
              </w:rPr>
              <w:t> </w:t>
            </w:r>
            <w:r>
              <w:rPr>
                <w:color w:val="105C84"/>
                <w:w w:val="105"/>
                <w:sz w:val="18"/>
              </w:rPr>
              <w:t>and </w:t>
            </w:r>
            <w:r>
              <w:rPr>
                <w:color w:val="105C84"/>
                <w:spacing w:val="-2"/>
                <w:w w:val="105"/>
                <w:sz w:val="18"/>
              </w:rPr>
              <w:t>resilience </w:t>
            </w:r>
            <w:r>
              <w:rPr>
                <w:color w:val="105C84"/>
                <w:w w:val="105"/>
                <w:sz w:val="18"/>
              </w:rPr>
              <w:t>across</w:t>
            </w:r>
            <w:r>
              <w:rPr>
                <w:color w:val="105C84"/>
                <w:spacing w:val="-1"/>
                <w:w w:val="105"/>
                <w:sz w:val="18"/>
              </w:rPr>
              <w:t> </w:t>
            </w:r>
            <w:r>
              <w:rPr>
                <w:color w:val="105C84"/>
                <w:w w:val="105"/>
                <w:sz w:val="18"/>
              </w:rPr>
              <w:t>the </w:t>
            </w:r>
            <w:r>
              <w:rPr>
                <w:color w:val="105C84"/>
                <w:spacing w:val="-2"/>
                <w:w w:val="105"/>
                <w:sz w:val="18"/>
              </w:rPr>
              <w:t>lifespan</w:t>
            </w:r>
          </w:p>
        </w:tc>
        <w:tc>
          <w:tcPr>
            <w:tcW w:w="1224" w:type="dxa"/>
            <w:vMerge w:val="restart"/>
          </w:tcPr>
          <w:p>
            <w:pPr>
              <w:pStyle w:val="TableParagraph"/>
              <w:spacing w:line="203" w:lineRule="exact" w:before="95"/>
              <w:ind w:left="90"/>
              <w:rPr>
                <w:sz w:val="18"/>
              </w:rPr>
            </w:pPr>
            <w:r>
              <w:rPr>
                <w:color w:val="105C84"/>
                <w:spacing w:val="-2"/>
                <w:sz w:val="18"/>
              </w:rPr>
              <w:t>1.1.1</w:t>
            </w:r>
          </w:p>
          <w:p>
            <w:pPr>
              <w:pStyle w:val="TableParagraph"/>
              <w:spacing w:line="232" w:lineRule="auto" w:before="2"/>
              <w:ind w:left="90" w:right="137"/>
              <w:rPr>
                <w:sz w:val="18"/>
              </w:rPr>
            </w:pPr>
            <w:r>
              <w:rPr>
                <w:color w:val="105C84"/>
                <w:spacing w:val="-2"/>
                <w:sz w:val="18"/>
              </w:rPr>
              <w:t>(Modified </w:t>
            </w:r>
            <w:r>
              <w:rPr>
                <w:color w:val="105C84"/>
                <w:sz w:val="18"/>
              </w:rPr>
              <w:t>from State to County) </w:t>
            </w:r>
            <w:r>
              <w:rPr>
                <w:color w:val="105C84"/>
                <w:spacing w:val="-2"/>
                <w:sz w:val="18"/>
              </w:rPr>
              <w:t>Increase Wayne County’s Opportunity </w:t>
            </w:r>
            <w:r>
              <w:rPr>
                <w:color w:val="105C84"/>
                <w:sz w:val="18"/>
              </w:rPr>
              <w:t>Index</w:t>
            </w:r>
            <w:r>
              <w:rPr>
                <w:color w:val="105C84"/>
                <w:spacing w:val="-13"/>
                <w:sz w:val="18"/>
              </w:rPr>
              <w:t> </w:t>
            </w:r>
            <w:r>
              <w:rPr>
                <w:color w:val="105C84"/>
                <w:sz w:val="18"/>
              </w:rPr>
              <w:t>Score</w:t>
            </w:r>
          </w:p>
        </w:tc>
        <w:tc>
          <w:tcPr>
            <w:tcW w:w="1066" w:type="dxa"/>
            <w:vMerge w:val="restart"/>
          </w:tcPr>
          <w:p>
            <w:pPr>
              <w:pStyle w:val="TableParagraph"/>
              <w:spacing w:line="232" w:lineRule="auto" w:before="100"/>
              <w:ind w:left="90"/>
              <w:rPr>
                <w:sz w:val="18"/>
              </w:rPr>
            </w:pPr>
            <w:r>
              <w:rPr>
                <w:color w:val="105C84"/>
                <w:sz w:val="18"/>
              </w:rPr>
              <w:t>Low SES </w:t>
            </w:r>
            <w:r>
              <w:rPr>
                <w:color w:val="105C84"/>
                <w:spacing w:val="-2"/>
                <w:sz w:val="18"/>
              </w:rPr>
              <w:t>families (food </w:t>
            </w:r>
            <w:r>
              <w:rPr>
                <w:color w:val="105C84"/>
                <w:spacing w:val="-4"/>
                <w:sz w:val="18"/>
              </w:rPr>
              <w:t>insecurity)</w:t>
            </w:r>
          </w:p>
        </w:tc>
        <w:tc>
          <w:tcPr>
            <w:tcW w:w="2088" w:type="dxa"/>
            <w:vMerge w:val="restart"/>
          </w:tcPr>
          <w:p>
            <w:pPr>
              <w:pStyle w:val="TableParagraph"/>
              <w:spacing w:line="232" w:lineRule="auto" w:before="100"/>
              <w:ind w:left="90"/>
              <w:rPr>
                <w:sz w:val="18"/>
              </w:rPr>
            </w:pPr>
            <w:r>
              <w:rPr>
                <w:color w:val="105C84"/>
                <w:sz w:val="18"/>
              </w:rPr>
              <w:t>Intervention 1.1.4: integrate social and emotional</w:t>
            </w:r>
            <w:r>
              <w:rPr>
                <w:color w:val="105C84"/>
                <w:spacing w:val="-13"/>
                <w:sz w:val="18"/>
              </w:rPr>
              <w:t> </w:t>
            </w:r>
            <w:r>
              <w:rPr>
                <w:color w:val="105C84"/>
                <w:sz w:val="18"/>
              </w:rPr>
              <w:t>approaches across the lifespan</w:t>
            </w:r>
          </w:p>
          <w:p>
            <w:pPr>
              <w:pStyle w:val="TableParagraph"/>
              <w:spacing w:line="232" w:lineRule="auto" w:before="87"/>
              <w:ind w:left="90" w:right="76"/>
              <w:rPr>
                <w:sz w:val="18"/>
              </w:rPr>
            </w:pPr>
            <w:r>
              <w:rPr>
                <w:color w:val="105C84"/>
                <w:sz w:val="18"/>
              </w:rPr>
              <w:t>Support</w:t>
            </w:r>
            <w:r>
              <w:rPr>
                <w:color w:val="105C84"/>
                <w:spacing w:val="-4"/>
                <w:sz w:val="18"/>
              </w:rPr>
              <w:t> </w:t>
            </w:r>
            <w:r>
              <w:rPr>
                <w:color w:val="105C84"/>
                <w:sz w:val="18"/>
              </w:rPr>
              <w:t>programs</w:t>
            </w:r>
            <w:r>
              <w:rPr>
                <w:color w:val="105C84"/>
                <w:spacing w:val="-4"/>
                <w:sz w:val="18"/>
              </w:rPr>
              <w:t> </w:t>
            </w:r>
            <w:r>
              <w:rPr>
                <w:color w:val="105C84"/>
                <w:sz w:val="18"/>
              </w:rPr>
              <w:t>that establish caring and trusting relationships with older people</w:t>
            </w:r>
          </w:p>
          <w:p>
            <w:pPr>
              <w:pStyle w:val="TableParagraph"/>
              <w:spacing w:line="232" w:lineRule="auto" w:before="87"/>
              <w:ind w:left="90" w:right="555"/>
              <w:jc w:val="both"/>
              <w:rPr>
                <w:sz w:val="18"/>
              </w:rPr>
            </w:pPr>
            <w:r>
              <w:rPr>
                <w:color w:val="105C84"/>
                <w:sz w:val="18"/>
              </w:rPr>
              <w:t>Examples</w:t>
            </w:r>
            <w:r>
              <w:rPr>
                <w:color w:val="105C84"/>
                <w:spacing w:val="-13"/>
                <w:sz w:val="18"/>
              </w:rPr>
              <w:t> </w:t>
            </w:r>
            <w:r>
              <w:rPr>
                <w:color w:val="105C84"/>
                <w:sz w:val="18"/>
              </w:rPr>
              <w:t>include the</w:t>
            </w:r>
            <w:r>
              <w:rPr>
                <w:color w:val="105C84"/>
                <w:spacing w:val="-6"/>
                <w:sz w:val="18"/>
              </w:rPr>
              <w:t> </w:t>
            </w:r>
            <w:r>
              <w:rPr>
                <w:color w:val="105C84"/>
                <w:sz w:val="18"/>
              </w:rPr>
              <w:t>village</w:t>
            </w:r>
            <w:r>
              <w:rPr>
                <w:color w:val="105C84"/>
                <w:spacing w:val="-4"/>
                <w:sz w:val="18"/>
              </w:rPr>
              <w:t> </w:t>
            </w:r>
            <w:r>
              <w:rPr>
                <w:color w:val="105C84"/>
                <w:sz w:val="18"/>
              </w:rPr>
              <w:t>model, </w:t>
            </w:r>
            <w:r>
              <w:rPr>
                <w:color w:val="105C84"/>
                <w:spacing w:val="-2"/>
                <w:sz w:val="18"/>
              </w:rPr>
              <w:t>intergenerational</w:t>
            </w:r>
          </w:p>
          <w:p>
            <w:pPr>
              <w:pStyle w:val="TableParagraph"/>
              <w:spacing w:line="232" w:lineRule="auto"/>
              <w:ind w:left="90" w:right="76"/>
              <w:rPr>
                <w:sz w:val="18"/>
              </w:rPr>
            </w:pPr>
            <w:r>
              <w:rPr>
                <w:color w:val="105C84"/>
                <w:sz w:val="18"/>
              </w:rPr>
              <w:t>community,</w:t>
            </w:r>
            <w:r>
              <w:rPr>
                <w:color w:val="105C84"/>
                <w:spacing w:val="-5"/>
                <w:sz w:val="18"/>
              </w:rPr>
              <w:t> </w:t>
            </w:r>
            <w:r>
              <w:rPr>
                <w:color w:val="105C84"/>
                <w:sz w:val="18"/>
              </w:rPr>
              <w:t>integrating social emotional learning in schools, community schools, parenting education</w:t>
            </w:r>
          </w:p>
        </w:tc>
        <w:tc>
          <w:tcPr>
            <w:tcW w:w="6790" w:type="dxa"/>
          </w:tcPr>
          <w:p>
            <w:pPr>
              <w:pStyle w:val="TableParagraph"/>
              <w:tabs>
                <w:tab w:pos="4248" w:val="left" w:leader="none"/>
              </w:tabs>
              <w:spacing w:line="203" w:lineRule="exact" w:before="95"/>
              <w:ind w:left="90"/>
              <w:rPr>
                <w:sz w:val="18"/>
              </w:rPr>
            </w:pPr>
            <w:r>
              <w:rPr>
                <w:color w:val="105C84"/>
                <w:sz w:val="18"/>
              </w:rPr>
              <w:t>Assistance</w:t>
            </w:r>
            <w:r>
              <w:rPr>
                <w:color w:val="105C84"/>
                <w:spacing w:val="-8"/>
                <w:sz w:val="18"/>
              </w:rPr>
              <w:t> </w:t>
            </w:r>
            <w:r>
              <w:rPr>
                <w:color w:val="105C84"/>
                <w:sz w:val="18"/>
              </w:rPr>
              <w:t>provided</w:t>
            </w:r>
            <w:r>
              <w:rPr>
                <w:color w:val="105C84"/>
                <w:spacing w:val="-8"/>
                <w:sz w:val="18"/>
              </w:rPr>
              <w:t> </w:t>
            </w:r>
            <w:r>
              <w:rPr>
                <w:color w:val="105C84"/>
                <w:spacing w:val="-5"/>
                <w:sz w:val="18"/>
              </w:rPr>
              <w:t>as</w:t>
            </w:r>
            <w:r>
              <w:rPr>
                <w:color w:val="105C84"/>
                <w:sz w:val="18"/>
              </w:rPr>
              <w:tab/>
              <w:t>Appropriate</w:t>
            </w:r>
            <w:r>
              <w:rPr>
                <w:color w:val="105C84"/>
                <w:spacing w:val="13"/>
                <w:sz w:val="18"/>
              </w:rPr>
              <w:t> </w:t>
            </w:r>
            <w:r>
              <w:rPr>
                <w:color w:val="105C84"/>
                <w:sz w:val="18"/>
              </w:rPr>
              <w:t>partners</w:t>
            </w:r>
            <w:r>
              <w:rPr>
                <w:color w:val="105C84"/>
                <w:spacing w:val="13"/>
                <w:sz w:val="18"/>
              </w:rPr>
              <w:t> </w:t>
            </w:r>
            <w:r>
              <w:rPr>
                <w:color w:val="105C84"/>
                <w:spacing w:val="-5"/>
                <w:sz w:val="18"/>
              </w:rPr>
              <w:t>to</w:t>
            </w:r>
          </w:p>
          <w:p>
            <w:pPr>
              <w:pStyle w:val="TableParagraph"/>
              <w:tabs>
                <w:tab w:pos="4248" w:val="left" w:leader="none"/>
              </w:tabs>
              <w:spacing w:line="200" w:lineRule="exact"/>
              <w:ind w:left="90"/>
              <w:rPr>
                <w:sz w:val="18"/>
              </w:rPr>
            </w:pPr>
            <w:r>
              <w:rPr>
                <w:color w:val="105C84"/>
                <w:spacing w:val="-2"/>
                <w:sz w:val="18"/>
              </w:rPr>
              <w:t>requested</w:t>
            </w:r>
            <w:r>
              <w:rPr>
                <w:color w:val="105C84"/>
                <w:sz w:val="18"/>
              </w:rPr>
              <w:tab/>
              <w:t>provide</w:t>
            </w:r>
            <w:r>
              <w:rPr>
                <w:color w:val="105C84"/>
                <w:spacing w:val="6"/>
                <w:sz w:val="18"/>
              </w:rPr>
              <w:t> </w:t>
            </w:r>
            <w:r>
              <w:rPr>
                <w:color w:val="105C84"/>
                <w:sz w:val="18"/>
              </w:rPr>
              <w:t>letters</w:t>
            </w:r>
            <w:r>
              <w:rPr>
                <w:color w:val="105C84"/>
                <w:spacing w:val="7"/>
                <w:sz w:val="18"/>
              </w:rPr>
              <w:t> </w:t>
            </w:r>
            <w:r>
              <w:rPr>
                <w:color w:val="105C84"/>
                <w:sz w:val="18"/>
              </w:rPr>
              <w:t>of</w:t>
            </w:r>
            <w:r>
              <w:rPr>
                <w:color w:val="105C84"/>
                <w:spacing w:val="7"/>
                <w:sz w:val="18"/>
              </w:rPr>
              <w:t> </w:t>
            </w:r>
            <w:r>
              <w:rPr>
                <w:color w:val="105C84"/>
                <w:spacing w:val="-2"/>
                <w:sz w:val="18"/>
              </w:rPr>
              <w:t>support</w:t>
            </w:r>
          </w:p>
          <w:p>
            <w:pPr>
              <w:pStyle w:val="TableParagraph"/>
              <w:spacing w:line="232" w:lineRule="auto" w:before="1"/>
              <w:ind w:left="4248" w:right="230"/>
              <w:rPr>
                <w:sz w:val="18"/>
              </w:rPr>
            </w:pPr>
            <w:r>
              <w:rPr>
                <w:color w:val="105C84"/>
                <w:sz w:val="18"/>
              </w:rPr>
              <w:t>and/or technical assistance to optimize likelihood of continued funding for Community Schools and/or LifeSkills,</w:t>
            </w:r>
            <w:r>
              <w:rPr>
                <w:color w:val="105C84"/>
                <w:spacing w:val="-13"/>
                <w:sz w:val="18"/>
              </w:rPr>
              <w:t> </w:t>
            </w:r>
            <w:r>
              <w:rPr>
                <w:color w:val="105C84"/>
                <w:sz w:val="18"/>
              </w:rPr>
              <w:t>or</w:t>
            </w:r>
            <w:r>
              <w:rPr>
                <w:color w:val="105C84"/>
                <w:spacing w:val="-12"/>
                <w:sz w:val="18"/>
              </w:rPr>
              <w:t> </w:t>
            </w:r>
            <w:r>
              <w:rPr>
                <w:color w:val="105C84"/>
                <w:sz w:val="18"/>
              </w:rPr>
              <w:t>other</w:t>
            </w:r>
            <w:r>
              <w:rPr>
                <w:color w:val="105C84"/>
                <w:spacing w:val="-13"/>
                <w:sz w:val="18"/>
              </w:rPr>
              <w:t> </w:t>
            </w:r>
            <w:r>
              <w:rPr>
                <w:color w:val="105C84"/>
                <w:sz w:val="18"/>
              </w:rPr>
              <w:t>evidence-based programming, as requested by program </w:t>
            </w:r>
            <w:r>
              <w:rPr>
                <w:color w:val="105C84"/>
                <w:spacing w:val="-2"/>
                <w:sz w:val="18"/>
              </w:rPr>
              <w:t>director(s)</w:t>
            </w:r>
          </w:p>
        </w:tc>
        <w:tc>
          <w:tcPr>
            <w:tcW w:w="2218" w:type="dxa"/>
          </w:tcPr>
          <w:p>
            <w:pPr>
              <w:pStyle w:val="TableParagraph"/>
              <w:spacing w:line="232" w:lineRule="auto" w:before="99"/>
              <w:ind w:left="89" w:right="388"/>
              <w:rPr>
                <w:sz w:val="18"/>
              </w:rPr>
            </w:pPr>
            <w:r>
              <w:rPr>
                <w:color w:val="105C84"/>
                <w:sz w:val="18"/>
              </w:rPr>
              <w:t>Appropriate </w:t>
            </w:r>
            <w:r>
              <w:rPr>
                <w:color w:val="105C84"/>
                <w:sz w:val="18"/>
              </w:rPr>
              <w:t>partners </w:t>
            </w:r>
            <w:r>
              <w:rPr>
                <w:color w:val="105C84"/>
                <w:w w:val="105"/>
                <w:sz w:val="18"/>
              </w:rPr>
              <w:t>to provide letters of</w:t>
            </w:r>
          </w:p>
          <w:p>
            <w:pPr>
              <w:pStyle w:val="TableParagraph"/>
              <w:spacing w:line="232" w:lineRule="auto"/>
              <w:ind w:left="89" w:right="117"/>
              <w:rPr>
                <w:sz w:val="18"/>
              </w:rPr>
            </w:pPr>
            <w:r>
              <w:rPr>
                <w:color w:val="105C84"/>
                <w:sz w:val="18"/>
              </w:rPr>
              <w:t>support and/or technical assistance to optimize likelihood of continued funding for Community </w:t>
            </w:r>
            <w:r>
              <w:rPr>
                <w:color w:val="105C84"/>
                <w:spacing w:val="-2"/>
                <w:sz w:val="18"/>
              </w:rPr>
              <w:t>Schools</w:t>
            </w:r>
            <w:r>
              <w:rPr>
                <w:color w:val="105C84"/>
                <w:spacing w:val="-13"/>
                <w:sz w:val="18"/>
              </w:rPr>
              <w:t> </w:t>
            </w:r>
            <w:r>
              <w:rPr>
                <w:color w:val="105C84"/>
                <w:spacing w:val="-2"/>
                <w:sz w:val="18"/>
              </w:rPr>
              <w:t>and/or</w:t>
            </w:r>
            <w:r>
              <w:rPr>
                <w:color w:val="105C84"/>
                <w:spacing w:val="-10"/>
                <w:sz w:val="18"/>
              </w:rPr>
              <w:t> </w:t>
            </w:r>
            <w:r>
              <w:rPr>
                <w:color w:val="105C84"/>
                <w:spacing w:val="-2"/>
                <w:sz w:val="18"/>
              </w:rPr>
              <w:t>LifeSkills, </w:t>
            </w:r>
            <w:r>
              <w:rPr>
                <w:color w:val="105C84"/>
                <w:sz w:val="18"/>
              </w:rPr>
              <w:t>or other</w:t>
            </w:r>
            <w:r>
              <w:rPr>
                <w:color w:val="105C84"/>
                <w:spacing w:val="80"/>
                <w:sz w:val="18"/>
              </w:rPr>
              <w:t> </w:t>
            </w:r>
            <w:r>
              <w:rPr>
                <w:color w:val="105C84"/>
                <w:sz w:val="18"/>
              </w:rPr>
              <w:t>evidence-based programming, as requested by program director(s). (My mistake)</w:t>
            </w:r>
          </w:p>
        </w:tc>
        <w:tc>
          <w:tcPr>
            <w:tcW w:w="2254" w:type="dxa"/>
          </w:tcPr>
          <w:p>
            <w:pPr>
              <w:pStyle w:val="TableParagraph"/>
              <w:spacing w:line="232" w:lineRule="auto" w:before="99"/>
              <w:ind w:left="89" w:right="376"/>
              <w:rPr>
                <w:sz w:val="18"/>
              </w:rPr>
            </w:pPr>
            <w:r>
              <w:rPr>
                <w:color w:val="105C84"/>
                <w:sz w:val="18"/>
              </w:rPr>
              <w:t>Appropriate </w:t>
            </w:r>
            <w:r>
              <w:rPr>
                <w:color w:val="105C84"/>
                <w:sz w:val="18"/>
              </w:rPr>
              <w:t>partners </w:t>
            </w:r>
            <w:r>
              <w:rPr>
                <w:color w:val="105C84"/>
                <w:w w:val="105"/>
                <w:sz w:val="18"/>
              </w:rPr>
              <w:t>to provide letters of</w:t>
            </w:r>
          </w:p>
          <w:p>
            <w:pPr>
              <w:pStyle w:val="TableParagraph"/>
              <w:spacing w:line="232" w:lineRule="auto"/>
              <w:ind w:left="89" w:right="153"/>
              <w:rPr>
                <w:sz w:val="18"/>
              </w:rPr>
            </w:pPr>
            <w:r>
              <w:rPr>
                <w:color w:val="105C84"/>
                <w:sz w:val="18"/>
              </w:rPr>
              <w:t>support and/or technical assistance to optimize likelihood of continued funding for Community </w:t>
            </w:r>
            <w:r>
              <w:rPr>
                <w:color w:val="105C84"/>
                <w:spacing w:val="-2"/>
                <w:sz w:val="18"/>
              </w:rPr>
              <w:t>Schools</w:t>
            </w:r>
            <w:r>
              <w:rPr>
                <w:color w:val="105C84"/>
                <w:spacing w:val="-13"/>
                <w:sz w:val="18"/>
              </w:rPr>
              <w:t> </w:t>
            </w:r>
            <w:r>
              <w:rPr>
                <w:color w:val="105C84"/>
                <w:spacing w:val="-2"/>
                <w:sz w:val="18"/>
              </w:rPr>
              <w:t>and/or</w:t>
            </w:r>
            <w:r>
              <w:rPr>
                <w:color w:val="105C84"/>
                <w:spacing w:val="-10"/>
                <w:sz w:val="18"/>
              </w:rPr>
              <w:t> </w:t>
            </w:r>
            <w:r>
              <w:rPr>
                <w:color w:val="105C84"/>
                <w:spacing w:val="-2"/>
                <w:sz w:val="18"/>
              </w:rPr>
              <w:t>LifeSkills, </w:t>
            </w:r>
            <w:r>
              <w:rPr>
                <w:color w:val="105C84"/>
                <w:sz w:val="18"/>
              </w:rPr>
              <w:t>or other</w:t>
            </w:r>
            <w:r>
              <w:rPr>
                <w:color w:val="105C84"/>
                <w:spacing w:val="80"/>
                <w:sz w:val="18"/>
              </w:rPr>
              <w:t> </w:t>
            </w:r>
            <w:r>
              <w:rPr>
                <w:color w:val="105C84"/>
                <w:sz w:val="18"/>
              </w:rPr>
              <w:t>evidence-based programming, as requested by program director(s).</w:t>
            </w:r>
            <w:r>
              <w:rPr>
                <w:color w:val="105C84"/>
                <w:spacing w:val="-1"/>
                <w:sz w:val="18"/>
              </w:rPr>
              <w:t> </w:t>
            </w:r>
            <w:r>
              <w:rPr>
                <w:color w:val="105C84"/>
                <w:sz w:val="18"/>
              </w:rPr>
              <w:t>(My</w:t>
            </w:r>
            <w:r>
              <w:rPr>
                <w:color w:val="105C84"/>
                <w:spacing w:val="-1"/>
                <w:sz w:val="18"/>
              </w:rPr>
              <w:t> </w:t>
            </w:r>
            <w:r>
              <w:rPr>
                <w:color w:val="105C84"/>
                <w:sz w:val="18"/>
              </w:rPr>
              <w:t>mistake)</w:t>
            </w:r>
          </w:p>
        </w:tc>
        <w:tc>
          <w:tcPr>
            <w:tcW w:w="1498" w:type="dxa"/>
          </w:tcPr>
          <w:p>
            <w:pPr>
              <w:pStyle w:val="TableParagraph"/>
              <w:spacing w:before="94"/>
              <w:ind w:left="88"/>
              <w:rPr>
                <w:sz w:val="18"/>
              </w:rPr>
            </w:pPr>
            <w:r>
              <w:rPr>
                <w:color w:val="105C84"/>
                <w:spacing w:val="-8"/>
                <w:sz w:val="18"/>
              </w:rPr>
              <w:t>K-12</w:t>
            </w:r>
            <w:r>
              <w:rPr>
                <w:color w:val="105C84"/>
                <w:spacing w:val="1"/>
                <w:sz w:val="18"/>
              </w:rPr>
              <w:t> </w:t>
            </w:r>
            <w:r>
              <w:rPr>
                <w:color w:val="105C84"/>
                <w:spacing w:val="-8"/>
                <w:sz w:val="18"/>
              </w:rPr>
              <w:t>School</w:t>
            </w:r>
          </w:p>
        </w:tc>
        <w:tc>
          <w:tcPr>
            <w:tcW w:w="1551" w:type="dxa"/>
          </w:tcPr>
          <w:p>
            <w:pPr>
              <w:pStyle w:val="TableParagraph"/>
              <w:spacing w:line="232" w:lineRule="auto" w:before="99"/>
              <w:ind w:left="88" w:right="79"/>
              <w:rPr>
                <w:sz w:val="18"/>
              </w:rPr>
            </w:pPr>
            <w:r>
              <w:rPr>
                <w:color w:val="105C84"/>
                <w:sz w:val="18"/>
              </w:rPr>
              <w:t>For</w:t>
            </w:r>
            <w:r>
              <w:rPr>
                <w:color w:val="105C84"/>
                <w:spacing w:val="-15"/>
                <w:sz w:val="18"/>
              </w:rPr>
              <w:t> </w:t>
            </w:r>
            <w:r>
              <w:rPr>
                <w:color w:val="105C84"/>
                <w:sz w:val="18"/>
              </w:rPr>
              <w:t>partner</w:t>
            </w:r>
            <w:r>
              <w:rPr>
                <w:color w:val="105C84"/>
                <w:spacing w:val="-12"/>
                <w:sz w:val="18"/>
              </w:rPr>
              <w:t> </w:t>
            </w:r>
            <w:r>
              <w:rPr>
                <w:color w:val="105C84"/>
                <w:sz w:val="18"/>
              </w:rPr>
              <w:t>roles, see projected year columns</w:t>
            </w:r>
          </w:p>
          <w:p>
            <w:pPr>
              <w:pStyle w:val="TableParagraph"/>
              <w:spacing w:line="232" w:lineRule="auto" w:before="88"/>
              <w:ind w:left="88" w:right="79"/>
              <w:rPr>
                <w:sz w:val="18"/>
              </w:rPr>
            </w:pPr>
            <w:r>
              <w:rPr>
                <w:color w:val="105C84"/>
                <w:spacing w:val="-2"/>
                <w:sz w:val="18"/>
              </w:rPr>
              <w:t>Resources: collaboration</w:t>
            </w:r>
          </w:p>
        </w:tc>
      </w:tr>
      <w:tr>
        <w:trPr>
          <w:trHeight w:val="6310" w:hRule="atLeast"/>
        </w:trPr>
        <w:tc>
          <w:tcPr>
            <w:tcW w:w="1180" w:type="dxa"/>
            <w:vMerge/>
            <w:tcBorders>
              <w:top w:val="nil"/>
            </w:tcBorders>
            <w:shd w:val="clear" w:color="auto" w:fill="E6E7E8"/>
          </w:tcPr>
          <w:p>
            <w:pPr>
              <w:rPr>
                <w:sz w:val="2"/>
                <w:szCs w:val="2"/>
              </w:rPr>
            </w:pPr>
          </w:p>
        </w:tc>
        <w:tc>
          <w:tcPr>
            <w:tcW w:w="1152" w:type="dxa"/>
            <w:vMerge/>
            <w:tcBorders>
              <w:top w:val="nil"/>
            </w:tcBorders>
          </w:tcPr>
          <w:p>
            <w:pPr>
              <w:rPr>
                <w:sz w:val="2"/>
                <w:szCs w:val="2"/>
              </w:rPr>
            </w:pPr>
          </w:p>
        </w:tc>
        <w:tc>
          <w:tcPr>
            <w:tcW w:w="1267" w:type="dxa"/>
            <w:vMerge/>
            <w:tcBorders>
              <w:top w:val="nil"/>
            </w:tcBorders>
          </w:tcPr>
          <w:p>
            <w:pPr>
              <w:rPr>
                <w:sz w:val="2"/>
                <w:szCs w:val="2"/>
              </w:rPr>
            </w:pPr>
          </w:p>
        </w:tc>
        <w:tc>
          <w:tcPr>
            <w:tcW w:w="1224" w:type="dxa"/>
            <w:vMerge/>
            <w:tcBorders>
              <w:top w:val="nil"/>
            </w:tcBorders>
          </w:tcPr>
          <w:p>
            <w:pPr>
              <w:rPr>
                <w:sz w:val="2"/>
                <w:szCs w:val="2"/>
              </w:rPr>
            </w:pPr>
          </w:p>
        </w:tc>
        <w:tc>
          <w:tcPr>
            <w:tcW w:w="1066" w:type="dxa"/>
            <w:vMerge/>
            <w:tcBorders>
              <w:top w:val="nil"/>
            </w:tcBorders>
          </w:tcPr>
          <w:p>
            <w:pPr>
              <w:rPr>
                <w:sz w:val="2"/>
                <w:szCs w:val="2"/>
              </w:rPr>
            </w:pPr>
          </w:p>
        </w:tc>
        <w:tc>
          <w:tcPr>
            <w:tcW w:w="2088" w:type="dxa"/>
            <w:vMerge/>
            <w:tcBorders>
              <w:top w:val="nil"/>
            </w:tcBorders>
          </w:tcPr>
          <w:p>
            <w:pPr>
              <w:rPr>
                <w:sz w:val="2"/>
                <w:szCs w:val="2"/>
              </w:rPr>
            </w:pPr>
          </w:p>
        </w:tc>
        <w:tc>
          <w:tcPr>
            <w:tcW w:w="6790" w:type="dxa"/>
          </w:tcPr>
          <w:p>
            <w:pPr>
              <w:pStyle w:val="TableParagraph"/>
              <w:tabs>
                <w:tab w:pos="4248" w:val="left" w:leader="none"/>
              </w:tabs>
              <w:spacing w:line="203" w:lineRule="exact" w:before="94"/>
              <w:ind w:left="90"/>
              <w:rPr>
                <w:sz w:val="18"/>
              </w:rPr>
            </w:pPr>
            <w:r>
              <w:rPr>
                <w:color w:val="105C84"/>
                <w:sz w:val="18"/>
              </w:rPr>
              <w:t>Metrics/Goals</w:t>
            </w:r>
            <w:r>
              <w:rPr>
                <w:color w:val="105C84"/>
                <w:spacing w:val="2"/>
                <w:sz w:val="18"/>
              </w:rPr>
              <w:t> </w:t>
            </w:r>
            <w:r>
              <w:rPr>
                <w:color w:val="105C84"/>
                <w:sz w:val="18"/>
              </w:rPr>
              <w:t>by</w:t>
            </w:r>
            <w:r>
              <w:rPr>
                <w:color w:val="105C84"/>
                <w:spacing w:val="2"/>
                <w:sz w:val="18"/>
              </w:rPr>
              <w:t> </w:t>
            </w:r>
            <w:r>
              <w:rPr>
                <w:color w:val="105C84"/>
                <w:spacing w:val="-2"/>
                <w:sz w:val="18"/>
              </w:rPr>
              <w:t>Year:</w:t>
            </w:r>
            <w:r>
              <w:rPr>
                <w:color w:val="105C84"/>
                <w:sz w:val="18"/>
              </w:rPr>
              <w:tab/>
              <w:t>Implement</w:t>
            </w:r>
            <w:r>
              <w:rPr>
                <w:color w:val="105C84"/>
                <w:spacing w:val="39"/>
                <w:sz w:val="18"/>
              </w:rPr>
              <w:t> </w:t>
            </w:r>
            <w:r>
              <w:rPr>
                <w:color w:val="105C84"/>
                <w:sz w:val="18"/>
              </w:rPr>
              <w:t>Not-on-</w:t>
            </w:r>
            <w:r>
              <w:rPr>
                <w:color w:val="105C84"/>
                <w:spacing w:val="-2"/>
                <w:sz w:val="18"/>
              </w:rPr>
              <w:t>Tobacco</w:t>
            </w:r>
          </w:p>
          <w:p>
            <w:pPr>
              <w:pStyle w:val="TableParagraph"/>
              <w:tabs>
                <w:tab w:pos="4248" w:val="left" w:leader="none"/>
              </w:tabs>
              <w:spacing w:line="148" w:lineRule="auto" w:before="26"/>
              <w:ind w:left="90"/>
              <w:rPr>
                <w:sz w:val="18"/>
              </w:rPr>
            </w:pPr>
            <w:r>
              <w:rPr>
                <w:color w:val="105C84"/>
                <w:spacing w:val="-10"/>
                <w:position w:val="-8"/>
                <w:sz w:val="18"/>
              </w:rPr>
              <w:t>Year</w:t>
            </w:r>
            <w:r>
              <w:rPr>
                <w:color w:val="105C84"/>
                <w:spacing w:val="-1"/>
                <w:position w:val="-8"/>
                <w:sz w:val="18"/>
              </w:rPr>
              <w:t> </w:t>
            </w:r>
            <w:r>
              <w:rPr>
                <w:color w:val="105C84"/>
                <w:spacing w:val="-10"/>
                <w:position w:val="-8"/>
                <w:sz w:val="18"/>
              </w:rPr>
              <w:t>1:</w:t>
            </w:r>
            <w:r>
              <w:rPr>
                <w:color w:val="105C84"/>
                <w:position w:val="-8"/>
                <w:sz w:val="18"/>
              </w:rPr>
              <w:t> </w:t>
            </w:r>
            <w:r>
              <w:rPr>
                <w:color w:val="105C84"/>
                <w:spacing w:val="-10"/>
                <w:position w:val="-8"/>
                <w:sz w:val="18"/>
              </w:rPr>
              <w:t>percentage</w:t>
            </w:r>
            <w:r>
              <w:rPr>
                <w:color w:val="105C84"/>
                <w:position w:val="-8"/>
                <w:sz w:val="18"/>
              </w:rPr>
              <w:tab/>
            </w:r>
            <w:r>
              <w:rPr>
                <w:color w:val="105C84"/>
                <w:spacing w:val="-2"/>
                <w:sz w:val="18"/>
              </w:rPr>
              <w:t>(N-O-T)</w:t>
            </w:r>
            <w:r>
              <w:rPr>
                <w:color w:val="105C84"/>
                <w:spacing w:val="-9"/>
                <w:sz w:val="18"/>
              </w:rPr>
              <w:t> </w:t>
            </w:r>
            <w:r>
              <w:rPr>
                <w:color w:val="105C84"/>
                <w:spacing w:val="-2"/>
                <w:sz w:val="18"/>
              </w:rPr>
              <w:t>and</w:t>
            </w:r>
            <w:r>
              <w:rPr>
                <w:color w:val="105C84"/>
                <w:spacing w:val="-8"/>
                <w:sz w:val="18"/>
              </w:rPr>
              <w:t> </w:t>
            </w:r>
            <w:r>
              <w:rPr>
                <w:color w:val="105C84"/>
                <w:spacing w:val="-2"/>
                <w:sz w:val="18"/>
              </w:rPr>
              <w:t>INDEPTH</w:t>
            </w:r>
            <w:r>
              <w:rPr>
                <w:color w:val="105C84"/>
                <w:spacing w:val="-9"/>
                <w:sz w:val="18"/>
              </w:rPr>
              <w:t> </w:t>
            </w:r>
            <w:r>
              <w:rPr>
                <w:color w:val="105C84"/>
                <w:spacing w:val="-5"/>
                <w:sz w:val="18"/>
              </w:rPr>
              <w:t>in</w:t>
            </w:r>
          </w:p>
          <w:p>
            <w:pPr>
              <w:pStyle w:val="TableParagraph"/>
              <w:tabs>
                <w:tab w:pos="4248" w:val="left" w:leader="none"/>
              </w:tabs>
              <w:spacing w:line="148" w:lineRule="auto"/>
              <w:ind w:left="90"/>
              <w:rPr>
                <w:sz w:val="18"/>
              </w:rPr>
            </w:pPr>
            <w:r>
              <w:rPr>
                <w:color w:val="105C84"/>
                <w:position w:val="-8"/>
                <w:sz w:val="18"/>
              </w:rPr>
              <w:t>of school</w:t>
            </w:r>
            <w:r>
              <w:rPr>
                <w:color w:val="105C84"/>
                <w:spacing w:val="1"/>
                <w:position w:val="-8"/>
                <w:sz w:val="18"/>
              </w:rPr>
              <w:t> </w:t>
            </w:r>
            <w:r>
              <w:rPr>
                <w:color w:val="105C84"/>
                <w:spacing w:val="-2"/>
                <w:position w:val="-8"/>
                <w:sz w:val="18"/>
              </w:rPr>
              <w:t>districts</w:t>
            </w:r>
            <w:r>
              <w:rPr>
                <w:color w:val="105C84"/>
                <w:position w:val="-8"/>
                <w:sz w:val="18"/>
              </w:rPr>
              <w:tab/>
            </w:r>
            <w:r>
              <w:rPr>
                <w:color w:val="105C84"/>
                <w:sz w:val="18"/>
              </w:rPr>
              <w:t>schools</w:t>
            </w:r>
            <w:r>
              <w:rPr>
                <w:color w:val="105C84"/>
                <w:spacing w:val="-2"/>
                <w:sz w:val="18"/>
              </w:rPr>
              <w:t> </w:t>
            </w:r>
            <w:r>
              <w:rPr>
                <w:color w:val="105C84"/>
                <w:sz w:val="18"/>
              </w:rPr>
              <w:t>to</w:t>
            </w:r>
            <w:r>
              <w:rPr>
                <w:color w:val="105C84"/>
                <w:spacing w:val="-1"/>
                <w:sz w:val="18"/>
              </w:rPr>
              <w:t> </w:t>
            </w:r>
            <w:r>
              <w:rPr>
                <w:color w:val="105C84"/>
                <w:sz w:val="18"/>
              </w:rPr>
              <w:t>improve</w:t>
            </w:r>
            <w:r>
              <w:rPr>
                <w:color w:val="105C84"/>
                <w:spacing w:val="-1"/>
                <w:sz w:val="18"/>
              </w:rPr>
              <w:t> </w:t>
            </w:r>
            <w:r>
              <w:rPr>
                <w:color w:val="105C84"/>
                <w:spacing w:val="-2"/>
                <w:sz w:val="18"/>
              </w:rPr>
              <w:t>student</w:t>
            </w:r>
          </w:p>
          <w:p>
            <w:pPr>
              <w:pStyle w:val="TableParagraph"/>
              <w:tabs>
                <w:tab w:pos="4248" w:val="left" w:leader="none"/>
              </w:tabs>
              <w:spacing w:line="201" w:lineRule="exact"/>
              <w:ind w:left="90"/>
              <w:rPr>
                <w:position w:val="9"/>
                <w:sz w:val="18"/>
              </w:rPr>
            </w:pPr>
            <w:r>
              <w:rPr>
                <w:color w:val="105C84"/>
                <w:sz w:val="18"/>
              </w:rPr>
              <w:t>participating</w:t>
            </w:r>
            <w:r>
              <w:rPr>
                <w:color w:val="105C84"/>
                <w:spacing w:val="12"/>
                <w:sz w:val="18"/>
              </w:rPr>
              <w:t> </w:t>
            </w:r>
            <w:r>
              <w:rPr>
                <w:color w:val="105C84"/>
                <w:sz w:val="18"/>
              </w:rPr>
              <w:t>(ideal</w:t>
            </w:r>
            <w:r>
              <w:rPr>
                <w:color w:val="105C84"/>
                <w:spacing w:val="12"/>
                <w:sz w:val="18"/>
              </w:rPr>
              <w:t> </w:t>
            </w:r>
            <w:r>
              <w:rPr>
                <w:color w:val="105C84"/>
                <w:spacing w:val="-2"/>
                <w:sz w:val="18"/>
              </w:rPr>
              <w:t>100%,</w:t>
            </w:r>
            <w:r>
              <w:rPr>
                <w:color w:val="105C84"/>
                <w:sz w:val="18"/>
              </w:rPr>
              <w:tab/>
            </w:r>
            <w:r>
              <w:rPr>
                <w:color w:val="105C84"/>
                <w:spacing w:val="-2"/>
                <w:position w:val="9"/>
                <w:sz w:val="18"/>
              </w:rPr>
              <w:t>access</w:t>
            </w:r>
            <w:r>
              <w:rPr>
                <w:color w:val="105C84"/>
                <w:spacing w:val="-11"/>
                <w:position w:val="9"/>
                <w:sz w:val="18"/>
              </w:rPr>
              <w:t> </w:t>
            </w:r>
            <w:r>
              <w:rPr>
                <w:color w:val="105C84"/>
                <w:spacing w:val="-2"/>
                <w:position w:val="9"/>
                <w:sz w:val="18"/>
              </w:rPr>
              <w:t>to</w:t>
            </w:r>
            <w:r>
              <w:rPr>
                <w:color w:val="105C84"/>
                <w:spacing w:val="-10"/>
                <w:position w:val="9"/>
                <w:sz w:val="18"/>
              </w:rPr>
              <w:t> </w:t>
            </w:r>
            <w:r>
              <w:rPr>
                <w:color w:val="105C84"/>
                <w:spacing w:val="-2"/>
                <w:position w:val="9"/>
                <w:sz w:val="18"/>
              </w:rPr>
              <w:t>tobacco/vaping</w:t>
            </w:r>
          </w:p>
          <w:p>
            <w:pPr>
              <w:pStyle w:val="TableParagraph"/>
              <w:tabs>
                <w:tab w:pos="4248" w:val="left" w:leader="none"/>
              </w:tabs>
              <w:spacing w:line="245" w:lineRule="exact"/>
              <w:ind w:left="90"/>
              <w:rPr>
                <w:position w:val="9"/>
                <w:sz w:val="18"/>
              </w:rPr>
            </w:pPr>
            <w:r>
              <w:rPr>
                <w:color w:val="105C84"/>
                <w:sz w:val="18"/>
              </w:rPr>
              <w:t>but</w:t>
            </w:r>
            <w:r>
              <w:rPr>
                <w:color w:val="105C84"/>
                <w:spacing w:val="-1"/>
                <w:sz w:val="18"/>
              </w:rPr>
              <w:t> </w:t>
            </w:r>
            <w:r>
              <w:rPr>
                <w:color w:val="105C84"/>
                <w:sz w:val="18"/>
              </w:rPr>
              <w:t>initial 8 of 11 </w:t>
            </w:r>
            <w:r>
              <w:rPr>
                <w:color w:val="105C84"/>
                <w:spacing w:val="-2"/>
                <w:sz w:val="18"/>
              </w:rPr>
              <w:t>districts</w:t>
            </w:r>
            <w:r>
              <w:rPr>
                <w:color w:val="105C84"/>
                <w:sz w:val="18"/>
              </w:rPr>
              <w:tab/>
            </w:r>
            <w:r>
              <w:rPr>
                <w:color w:val="105C84"/>
                <w:spacing w:val="-2"/>
                <w:position w:val="9"/>
                <w:sz w:val="18"/>
              </w:rPr>
              <w:t>cessation</w:t>
            </w:r>
          </w:p>
          <w:p>
            <w:pPr>
              <w:pStyle w:val="TableParagraph"/>
              <w:tabs>
                <w:tab w:pos="4248" w:val="left" w:leader="none"/>
              </w:tabs>
              <w:spacing w:line="200" w:lineRule="exact"/>
              <w:ind w:left="90"/>
              <w:rPr>
                <w:sz w:val="18"/>
              </w:rPr>
            </w:pPr>
            <w:r>
              <w:rPr>
                <w:color w:val="105C84"/>
                <w:spacing w:val="-2"/>
                <w:sz w:val="18"/>
              </w:rPr>
              <w:t>(~73%))</w:t>
            </w:r>
            <w:r>
              <w:rPr>
                <w:color w:val="105C84"/>
                <w:sz w:val="18"/>
              </w:rPr>
              <w:tab/>
              <w:t>Public</w:t>
            </w:r>
            <w:r>
              <w:rPr>
                <w:color w:val="105C84"/>
                <w:spacing w:val="-5"/>
                <w:sz w:val="18"/>
              </w:rPr>
              <w:t> </w:t>
            </w:r>
            <w:r>
              <w:rPr>
                <w:color w:val="105C84"/>
                <w:sz w:val="18"/>
              </w:rPr>
              <w:t>Health</w:t>
            </w:r>
            <w:r>
              <w:rPr>
                <w:color w:val="105C84"/>
                <w:spacing w:val="-4"/>
                <w:sz w:val="18"/>
              </w:rPr>
              <w:t> </w:t>
            </w:r>
            <w:r>
              <w:rPr>
                <w:color w:val="105C84"/>
                <w:sz w:val="18"/>
              </w:rPr>
              <w:t>and</w:t>
            </w:r>
            <w:r>
              <w:rPr>
                <w:color w:val="105C84"/>
                <w:spacing w:val="-4"/>
                <w:sz w:val="18"/>
              </w:rPr>
              <w:t> </w:t>
            </w:r>
            <w:r>
              <w:rPr>
                <w:color w:val="105C84"/>
                <w:spacing w:val="-2"/>
                <w:sz w:val="18"/>
              </w:rPr>
              <w:t>school</w:t>
            </w:r>
          </w:p>
          <w:p>
            <w:pPr>
              <w:pStyle w:val="TableParagraph"/>
              <w:tabs>
                <w:tab w:pos="4248" w:val="left" w:leader="none"/>
              </w:tabs>
              <w:spacing w:line="148" w:lineRule="auto" w:before="8"/>
              <w:ind w:left="90"/>
              <w:rPr>
                <w:sz w:val="18"/>
              </w:rPr>
            </w:pPr>
            <w:r>
              <w:rPr>
                <w:color w:val="105C84"/>
                <w:spacing w:val="-8"/>
                <w:position w:val="-8"/>
                <w:sz w:val="18"/>
              </w:rPr>
              <w:t>Years</w:t>
            </w:r>
            <w:r>
              <w:rPr>
                <w:color w:val="105C84"/>
                <w:spacing w:val="-1"/>
                <w:position w:val="-8"/>
                <w:sz w:val="18"/>
              </w:rPr>
              <w:t> </w:t>
            </w:r>
            <w:r>
              <w:rPr>
                <w:color w:val="105C84"/>
                <w:spacing w:val="-8"/>
                <w:position w:val="-8"/>
                <w:sz w:val="18"/>
              </w:rPr>
              <w:t>2</w:t>
            </w:r>
            <w:r>
              <w:rPr>
                <w:color w:val="105C84"/>
                <w:spacing w:val="-1"/>
                <w:position w:val="-8"/>
                <w:sz w:val="18"/>
              </w:rPr>
              <w:t> </w:t>
            </w:r>
            <w:r>
              <w:rPr>
                <w:color w:val="105C84"/>
                <w:spacing w:val="-8"/>
                <w:position w:val="-8"/>
                <w:sz w:val="18"/>
              </w:rPr>
              <w:t>&amp;</w:t>
            </w:r>
            <w:r>
              <w:rPr>
                <w:color w:val="105C84"/>
                <w:spacing w:val="-1"/>
                <w:position w:val="-8"/>
                <w:sz w:val="18"/>
              </w:rPr>
              <w:t> </w:t>
            </w:r>
            <w:r>
              <w:rPr>
                <w:color w:val="105C84"/>
                <w:spacing w:val="-8"/>
                <w:position w:val="-8"/>
                <w:sz w:val="18"/>
              </w:rPr>
              <w:t>3</w:t>
            </w:r>
            <w:r>
              <w:rPr>
                <w:color w:val="105C84"/>
                <w:spacing w:val="-1"/>
                <w:position w:val="-8"/>
                <w:sz w:val="18"/>
              </w:rPr>
              <w:t> </w:t>
            </w:r>
            <w:r>
              <w:rPr>
                <w:color w:val="105C84"/>
                <w:spacing w:val="-8"/>
                <w:position w:val="-8"/>
                <w:sz w:val="18"/>
              </w:rPr>
              <w:t>each:</w:t>
            </w:r>
            <w:r>
              <w:rPr>
                <w:color w:val="105C84"/>
                <w:spacing w:val="-1"/>
                <w:position w:val="-8"/>
                <w:sz w:val="18"/>
              </w:rPr>
              <w:t> </w:t>
            </w:r>
            <w:r>
              <w:rPr>
                <w:color w:val="105C84"/>
                <w:spacing w:val="-8"/>
                <w:position w:val="-8"/>
                <w:sz w:val="18"/>
              </w:rPr>
              <w:t>100%</w:t>
            </w:r>
            <w:r>
              <w:rPr>
                <w:color w:val="105C84"/>
                <w:spacing w:val="-1"/>
                <w:position w:val="-8"/>
                <w:sz w:val="18"/>
              </w:rPr>
              <w:t> </w:t>
            </w:r>
            <w:r>
              <w:rPr>
                <w:color w:val="105C84"/>
                <w:spacing w:val="-8"/>
                <w:position w:val="-8"/>
                <w:sz w:val="18"/>
              </w:rPr>
              <w:t>of</w:t>
            </w:r>
            <w:r>
              <w:rPr>
                <w:color w:val="105C84"/>
                <w:position w:val="-8"/>
                <w:sz w:val="18"/>
              </w:rPr>
              <w:tab/>
            </w:r>
            <w:r>
              <w:rPr>
                <w:color w:val="105C84"/>
                <w:sz w:val="18"/>
              </w:rPr>
              <w:t>districts</w:t>
            </w:r>
            <w:r>
              <w:rPr>
                <w:color w:val="105C84"/>
                <w:spacing w:val="-1"/>
                <w:sz w:val="18"/>
              </w:rPr>
              <w:t> </w:t>
            </w:r>
            <w:r>
              <w:rPr>
                <w:color w:val="105C84"/>
                <w:sz w:val="18"/>
              </w:rPr>
              <w:t>will</w:t>
            </w:r>
            <w:r>
              <w:rPr>
                <w:color w:val="105C84"/>
                <w:spacing w:val="-1"/>
                <w:sz w:val="18"/>
              </w:rPr>
              <w:t> </w:t>
            </w:r>
            <w:r>
              <w:rPr>
                <w:color w:val="105C84"/>
                <w:sz w:val="18"/>
              </w:rPr>
              <w:t>receive</w:t>
            </w:r>
            <w:r>
              <w:rPr>
                <w:color w:val="105C84"/>
                <w:spacing w:val="-1"/>
                <w:sz w:val="18"/>
              </w:rPr>
              <w:t> </w:t>
            </w:r>
            <w:r>
              <w:rPr>
                <w:color w:val="105C84"/>
                <w:sz w:val="18"/>
              </w:rPr>
              <w:t>training</w:t>
            </w:r>
            <w:r>
              <w:rPr>
                <w:color w:val="105C84"/>
                <w:spacing w:val="-1"/>
                <w:sz w:val="18"/>
              </w:rPr>
              <w:t> </w:t>
            </w:r>
            <w:r>
              <w:rPr>
                <w:color w:val="105C84"/>
                <w:spacing w:val="-5"/>
                <w:sz w:val="18"/>
              </w:rPr>
              <w:t>on</w:t>
            </w:r>
          </w:p>
          <w:p>
            <w:pPr>
              <w:pStyle w:val="TableParagraph"/>
              <w:tabs>
                <w:tab w:pos="4248" w:val="left" w:leader="none"/>
              </w:tabs>
              <w:spacing w:line="200" w:lineRule="exact"/>
              <w:ind w:left="90"/>
              <w:rPr>
                <w:position w:val="9"/>
                <w:sz w:val="18"/>
              </w:rPr>
            </w:pPr>
            <w:r>
              <w:rPr>
                <w:color w:val="105C84"/>
                <w:sz w:val="18"/>
              </w:rPr>
              <w:t>trained</w:t>
            </w:r>
            <w:r>
              <w:rPr>
                <w:color w:val="105C84"/>
                <w:spacing w:val="-8"/>
                <w:sz w:val="18"/>
              </w:rPr>
              <w:t> </w:t>
            </w:r>
            <w:r>
              <w:rPr>
                <w:color w:val="105C84"/>
                <w:sz w:val="18"/>
              </w:rPr>
              <w:t>schools</w:t>
            </w:r>
            <w:r>
              <w:rPr>
                <w:color w:val="105C84"/>
                <w:spacing w:val="-8"/>
                <w:sz w:val="18"/>
              </w:rPr>
              <w:t> </w:t>
            </w:r>
            <w:r>
              <w:rPr>
                <w:color w:val="105C84"/>
                <w:spacing w:val="-2"/>
                <w:sz w:val="18"/>
              </w:rPr>
              <w:t>successfully</w:t>
            </w:r>
            <w:r>
              <w:rPr>
                <w:color w:val="105C84"/>
                <w:sz w:val="18"/>
              </w:rPr>
              <w:tab/>
            </w:r>
            <w:r>
              <w:rPr>
                <w:color w:val="105C84"/>
                <w:position w:val="9"/>
                <w:sz w:val="18"/>
              </w:rPr>
              <w:t>August</w:t>
            </w:r>
            <w:r>
              <w:rPr>
                <w:color w:val="105C84"/>
                <w:spacing w:val="1"/>
                <w:position w:val="9"/>
                <w:sz w:val="18"/>
              </w:rPr>
              <w:t> </w:t>
            </w:r>
            <w:r>
              <w:rPr>
                <w:color w:val="105C84"/>
                <w:position w:val="9"/>
                <w:sz w:val="18"/>
              </w:rPr>
              <w:t>27th</w:t>
            </w:r>
            <w:r>
              <w:rPr>
                <w:color w:val="105C84"/>
                <w:spacing w:val="1"/>
                <w:position w:val="9"/>
                <w:sz w:val="18"/>
              </w:rPr>
              <w:t> </w:t>
            </w:r>
            <w:r>
              <w:rPr>
                <w:color w:val="105C84"/>
                <w:position w:val="9"/>
                <w:sz w:val="18"/>
              </w:rPr>
              <w:t>allowing</w:t>
            </w:r>
            <w:r>
              <w:rPr>
                <w:color w:val="105C84"/>
                <w:spacing w:val="1"/>
                <w:position w:val="9"/>
                <w:sz w:val="18"/>
              </w:rPr>
              <w:t> </w:t>
            </w:r>
            <w:r>
              <w:rPr>
                <w:color w:val="105C84"/>
                <w:position w:val="9"/>
                <w:sz w:val="18"/>
              </w:rPr>
              <w:t>them</w:t>
            </w:r>
            <w:r>
              <w:rPr>
                <w:color w:val="105C84"/>
                <w:spacing w:val="1"/>
                <w:position w:val="9"/>
                <w:sz w:val="18"/>
              </w:rPr>
              <w:t> </w:t>
            </w:r>
            <w:r>
              <w:rPr>
                <w:color w:val="105C84"/>
                <w:spacing w:val="-5"/>
                <w:position w:val="9"/>
                <w:sz w:val="18"/>
              </w:rPr>
              <w:t>to</w:t>
            </w:r>
          </w:p>
          <w:p>
            <w:pPr>
              <w:pStyle w:val="TableParagraph"/>
              <w:tabs>
                <w:tab w:pos="4248" w:val="left" w:leader="none"/>
              </w:tabs>
              <w:spacing w:line="148" w:lineRule="auto"/>
              <w:ind w:left="90"/>
              <w:rPr>
                <w:sz w:val="18"/>
              </w:rPr>
            </w:pPr>
            <w:r>
              <w:rPr>
                <w:color w:val="105C84"/>
                <w:position w:val="-8"/>
                <w:sz w:val="18"/>
              </w:rPr>
              <w:t>implement</w:t>
            </w:r>
            <w:r>
              <w:rPr>
                <w:color w:val="105C84"/>
                <w:spacing w:val="28"/>
                <w:position w:val="-8"/>
                <w:sz w:val="18"/>
              </w:rPr>
              <w:t> </w:t>
            </w:r>
            <w:r>
              <w:rPr>
                <w:color w:val="105C84"/>
                <w:position w:val="-8"/>
                <w:sz w:val="18"/>
              </w:rPr>
              <w:t>N-O-</w:t>
            </w:r>
            <w:r>
              <w:rPr>
                <w:color w:val="105C84"/>
                <w:spacing w:val="-10"/>
                <w:position w:val="-8"/>
                <w:sz w:val="18"/>
              </w:rPr>
              <w:t>T</w:t>
            </w:r>
            <w:r>
              <w:rPr>
                <w:color w:val="105C84"/>
                <w:position w:val="-8"/>
                <w:sz w:val="18"/>
              </w:rPr>
              <w:tab/>
            </w:r>
            <w:r>
              <w:rPr>
                <w:color w:val="105C84"/>
                <w:sz w:val="18"/>
              </w:rPr>
              <w:t>implement</w:t>
            </w:r>
            <w:r>
              <w:rPr>
                <w:color w:val="105C84"/>
                <w:spacing w:val="4"/>
                <w:sz w:val="18"/>
              </w:rPr>
              <w:t> </w:t>
            </w:r>
            <w:r>
              <w:rPr>
                <w:color w:val="105C84"/>
                <w:sz w:val="18"/>
              </w:rPr>
              <w:t>an</w:t>
            </w:r>
            <w:r>
              <w:rPr>
                <w:color w:val="105C84"/>
                <w:spacing w:val="4"/>
                <w:sz w:val="18"/>
              </w:rPr>
              <w:t> </w:t>
            </w:r>
            <w:r>
              <w:rPr>
                <w:color w:val="105C84"/>
                <w:sz w:val="18"/>
              </w:rPr>
              <w:t>evidence-</w:t>
            </w:r>
            <w:r>
              <w:rPr>
                <w:color w:val="105C84"/>
                <w:spacing w:val="-2"/>
                <w:sz w:val="18"/>
              </w:rPr>
              <w:t>based</w:t>
            </w:r>
          </w:p>
          <w:p>
            <w:pPr>
              <w:pStyle w:val="TableParagraph"/>
              <w:spacing w:line="145" w:lineRule="exact"/>
              <w:ind w:left="4248"/>
              <w:rPr>
                <w:sz w:val="18"/>
              </w:rPr>
            </w:pPr>
            <w:r>
              <w:rPr>
                <w:color w:val="105C84"/>
                <w:sz w:val="18"/>
              </w:rPr>
              <w:t>program,</w:t>
            </w:r>
            <w:r>
              <w:rPr>
                <w:color w:val="105C84"/>
                <w:spacing w:val="2"/>
                <w:sz w:val="18"/>
              </w:rPr>
              <w:t> </w:t>
            </w:r>
            <w:r>
              <w:rPr>
                <w:color w:val="105C84"/>
                <w:sz w:val="18"/>
              </w:rPr>
              <w:t>N-O-T</w:t>
            </w:r>
            <w:r>
              <w:rPr>
                <w:color w:val="105C84"/>
                <w:spacing w:val="2"/>
                <w:sz w:val="18"/>
              </w:rPr>
              <w:t> </w:t>
            </w:r>
            <w:r>
              <w:rPr>
                <w:color w:val="105C84"/>
                <w:sz w:val="18"/>
              </w:rPr>
              <w:t>and</w:t>
            </w:r>
            <w:r>
              <w:rPr>
                <w:color w:val="105C84"/>
                <w:spacing w:val="2"/>
                <w:sz w:val="18"/>
              </w:rPr>
              <w:t> </w:t>
            </w:r>
            <w:r>
              <w:rPr>
                <w:color w:val="105C84"/>
                <w:spacing w:val="-2"/>
                <w:sz w:val="18"/>
              </w:rPr>
              <w:t>INDEPTH</w:t>
            </w:r>
          </w:p>
          <w:p>
            <w:pPr>
              <w:pStyle w:val="TableParagraph"/>
              <w:tabs>
                <w:tab w:pos="4248" w:val="left" w:leader="none"/>
              </w:tabs>
              <w:spacing w:line="200" w:lineRule="exact"/>
              <w:ind w:left="90"/>
              <w:rPr>
                <w:sz w:val="18"/>
              </w:rPr>
            </w:pPr>
            <w:r>
              <w:rPr>
                <w:color w:val="105C84"/>
                <w:position w:val="2"/>
                <w:sz w:val="18"/>
              </w:rPr>
              <w:t>If</w:t>
            </w:r>
            <w:r>
              <w:rPr>
                <w:color w:val="105C84"/>
                <w:spacing w:val="5"/>
                <w:position w:val="2"/>
                <w:sz w:val="18"/>
              </w:rPr>
              <w:t> </w:t>
            </w:r>
            <w:r>
              <w:rPr>
                <w:color w:val="105C84"/>
                <w:position w:val="2"/>
                <w:sz w:val="18"/>
              </w:rPr>
              <w:t>not,</w:t>
            </w:r>
            <w:r>
              <w:rPr>
                <w:color w:val="105C84"/>
                <w:spacing w:val="6"/>
                <w:position w:val="2"/>
                <w:sz w:val="18"/>
              </w:rPr>
              <w:t> </w:t>
            </w:r>
            <w:r>
              <w:rPr>
                <w:color w:val="105C84"/>
                <w:position w:val="2"/>
                <w:sz w:val="18"/>
              </w:rPr>
              <w:t>identify</w:t>
            </w:r>
            <w:r>
              <w:rPr>
                <w:color w:val="105C84"/>
                <w:spacing w:val="6"/>
                <w:position w:val="2"/>
                <w:sz w:val="18"/>
              </w:rPr>
              <w:t> </w:t>
            </w:r>
            <w:r>
              <w:rPr>
                <w:color w:val="105C84"/>
                <w:spacing w:val="-2"/>
                <w:position w:val="2"/>
                <w:sz w:val="18"/>
              </w:rPr>
              <w:t>barriers</w:t>
            </w:r>
            <w:r>
              <w:rPr>
                <w:color w:val="105C84"/>
                <w:position w:val="2"/>
                <w:sz w:val="18"/>
              </w:rPr>
              <w:tab/>
            </w:r>
            <w:r>
              <w:rPr>
                <w:color w:val="105C84"/>
                <w:sz w:val="18"/>
              </w:rPr>
              <w:t>in</w:t>
            </w:r>
            <w:r>
              <w:rPr>
                <w:color w:val="105C84"/>
                <w:spacing w:val="-1"/>
                <w:sz w:val="18"/>
              </w:rPr>
              <w:t> </w:t>
            </w:r>
            <w:r>
              <w:rPr>
                <w:color w:val="105C84"/>
                <w:sz w:val="18"/>
              </w:rPr>
              <w:t>the schools to</w:t>
            </w:r>
            <w:r>
              <w:rPr>
                <w:color w:val="105C84"/>
                <w:spacing w:val="-1"/>
                <w:sz w:val="18"/>
              </w:rPr>
              <w:t> </w:t>
            </w:r>
            <w:r>
              <w:rPr>
                <w:color w:val="105C84"/>
                <w:sz w:val="18"/>
              </w:rPr>
              <w:t>help </w:t>
            </w:r>
            <w:r>
              <w:rPr>
                <w:color w:val="105C84"/>
                <w:spacing w:val="-2"/>
                <w:sz w:val="18"/>
              </w:rPr>
              <w:t>students</w:t>
            </w:r>
          </w:p>
          <w:p>
            <w:pPr>
              <w:pStyle w:val="TableParagraph"/>
              <w:tabs>
                <w:tab w:pos="4248" w:val="left" w:leader="none"/>
              </w:tabs>
              <w:spacing w:line="200" w:lineRule="exact"/>
              <w:ind w:left="90"/>
              <w:rPr>
                <w:sz w:val="18"/>
              </w:rPr>
            </w:pPr>
            <w:r>
              <w:rPr>
                <w:color w:val="105C84"/>
                <w:spacing w:val="-4"/>
                <w:position w:val="2"/>
                <w:sz w:val="18"/>
              </w:rPr>
              <w:t>100%</w:t>
            </w:r>
            <w:r>
              <w:rPr>
                <w:color w:val="105C84"/>
                <w:spacing w:val="-3"/>
                <w:position w:val="2"/>
                <w:sz w:val="18"/>
              </w:rPr>
              <w:t> </w:t>
            </w:r>
            <w:r>
              <w:rPr>
                <w:color w:val="105C84"/>
                <w:spacing w:val="-4"/>
                <w:position w:val="2"/>
                <w:sz w:val="18"/>
              </w:rPr>
              <w:t>of</w:t>
            </w:r>
            <w:r>
              <w:rPr>
                <w:color w:val="105C84"/>
                <w:spacing w:val="-2"/>
                <w:position w:val="2"/>
                <w:sz w:val="18"/>
              </w:rPr>
              <w:t> </w:t>
            </w:r>
            <w:r>
              <w:rPr>
                <w:color w:val="105C84"/>
                <w:spacing w:val="-4"/>
                <w:position w:val="2"/>
                <w:sz w:val="18"/>
              </w:rPr>
              <w:t>schools</w:t>
            </w:r>
            <w:r>
              <w:rPr>
                <w:color w:val="105C84"/>
                <w:spacing w:val="-2"/>
                <w:position w:val="2"/>
                <w:sz w:val="18"/>
              </w:rPr>
              <w:t> </w:t>
            </w:r>
            <w:r>
              <w:rPr>
                <w:color w:val="105C84"/>
                <w:spacing w:val="-4"/>
                <w:position w:val="2"/>
                <w:sz w:val="18"/>
              </w:rPr>
              <w:t>without</w:t>
            </w:r>
            <w:r>
              <w:rPr>
                <w:color w:val="105C84"/>
                <w:position w:val="2"/>
                <w:sz w:val="18"/>
              </w:rPr>
              <w:tab/>
            </w:r>
            <w:r>
              <w:rPr>
                <w:color w:val="105C84"/>
                <w:sz w:val="18"/>
              </w:rPr>
              <w:t>stop</w:t>
            </w:r>
            <w:r>
              <w:rPr>
                <w:color w:val="105C84"/>
                <w:spacing w:val="6"/>
                <w:sz w:val="18"/>
              </w:rPr>
              <w:t> </w:t>
            </w:r>
            <w:r>
              <w:rPr>
                <w:color w:val="105C84"/>
                <w:spacing w:val="-2"/>
                <w:sz w:val="18"/>
              </w:rPr>
              <w:t>smoking/vaping</w:t>
            </w:r>
          </w:p>
          <w:p>
            <w:pPr>
              <w:pStyle w:val="TableParagraph"/>
              <w:tabs>
                <w:tab w:pos="4248" w:val="left" w:leader="none"/>
              </w:tabs>
              <w:spacing w:line="144" w:lineRule="auto"/>
              <w:ind w:left="90"/>
              <w:rPr>
                <w:position w:val="-10"/>
                <w:sz w:val="18"/>
              </w:rPr>
            </w:pPr>
            <w:r>
              <w:rPr>
                <w:color w:val="105C84"/>
                <w:spacing w:val="-5"/>
                <w:sz w:val="18"/>
              </w:rPr>
              <w:t>successful</w:t>
            </w:r>
            <w:r>
              <w:rPr>
                <w:color w:val="105C84"/>
                <w:spacing w:val="3"/>
                <w:sz w:val="18"/>
              </w:rPr>
              <w:t> </w:t>
            </w:r>
            <w:r>
              <w:rPr>
                <w:color w:val="105C84"/>
                <w:spacing w:val="-2"/>
                <w:sz w:val="18"/>
              </w:rPr>
              <w:t>implementation;</w:t>
            </w:r>
            <w:r>
              <w:rPr>
                <w:color w:val="105C84"/>
                <w:sz w:val="18"/>
              </w:rPr>
              <w:tab/>
            </w:r>
            <w:r>
              <w:rPr>
                <w:color w:val="105C84"/>
                <w:position w:val="-10"/>
                <w:sz w:val="18"/>
              </w:rPr>
              <w:t>Per</w:t>
            </w:r>
            <w:r>
              <w:rPr>
                <w:color w:val="105C84"/>
                <w:spacing w:val="-10"/>
                <w:position w:val="-10"/>
                <w:sz w:val="18"/>
              </w:rPr>
              <w:t> </w:t>
            </w:r>
            <w:r>
              <w:rPr>
                <w:color w:val="105C84"/>
                <w:position w:val="-10"/>
                <w:sz w:val="18"/>
              </w:rPr>
              <w:t>the</w:t>
            </w:r>
            <w:r>
              <w:rPr>
                <w:color w:val="105C84"/>
                <w:spacing w:val="-10"/>
                <w:position w:val="-10"/>
                <w:sz w:val="18"/>
              </w:rPr>
              <w:t> </w:t>
            </w:r>
            <w:r>
              <w:rPr>
                <w:color w:val="105C84"/>
                <w:position w:val="-10"/>
                <w:sz w:val="18"/>
              </w:rPr>
              <w:t>American</w:t>
            </w:r>
            <w:r>
              <w:rPr>
                <w:color w:val="105C84"/>
                <w:spacing w:val="-9"/>
                <w:position w:val="-10"/>
                <w:sz w:val="18"/>
              </w:rPr>
              <w:t> </w:t>
            </w:r>
            <w:r>
              <w:rPr>
                <w:color w:val="105C84"/>
                <w:spacing w:val="-4"/>
                <w:position w:val="-10"/>
                <w:sz w:val="18"/>
              </w:rPr>
              <w:t>Lung</w:t>
            </w:r>
          </w:p>
          <w:p>
            <w:pPr>
              <w:pStyle w:val="TableParagraph"/>
              <w:tabs>
                <w:tab w:pos="4248" w:val="left" w:leader="none"/>
              </w:tabs>
              <w:spacing w:line="200" w:lineRule="exact"/>
              <w:ind w:left="90"/>
              <w:rPr>
                <w:sz w:val="18"/>
              </w:rPr>
            </w:pPr>
            <w:r>
              <w:rPr>
                <w:color w:val="105C84"/>
                <w:spacing w:val="-2"/>
                <w:position w:val="11"/>
                <w:sz w:val="18"/>
              </w:rPr>
              <w:t>WHIP</w:t>
            </w:r>
            <w:r>
              <w:rPr>
                <w:color w:val="105C84"/>
                <w:spacing w:val="-5"/>
                <w:position w:val="11"/>
                <w:sz w:val="18"/>
              </w:rPr>
              <w:t> </w:t>
            </w:r>
            <w:r>
              <w:rPr>
                <w:color w:val="105C84"/>
                <w:spacing w:val="-2"/>
                <w:position w:val="11"/>
                <w:sz w:val="18"/>
              </w:rPr>
              <w:t>minutes</w:t>
            </w:r>
            <w:r>
              <w:rPr>
                <w:color w:val="105C84"/>
                <w:spacing w:val="-5"/>
                <w:position w:val="11"/>
                <w:sz w:val="18"/>
              </w:rPr>
              <w:t> </w:t>
            </w:r>
            <w:r>
              <w:rPr>
                <w:color w:val="105C84"/>
                <w:spacing w:val="-2"/>
                <w:position w:val="11"/>
                <w:sz w:val="18"/>
              </w:rPr>
              <w:t>showing</w:t>
            </w:r>
            <w:r>
              <w:rPr>
                <w:color w:val="105C84"/>
                <w:position w:val="11"/>
                <w:sz w:val="18"/>
              </w:rPr>
              <w:tab/>
            </w:r>
            <w:r>
              <w:rPr>
                <w:color w:val="105C84"/>
                <w:sz w:val="18"/>
              </w:rPr>
              <w:t>Association,</w:t>
            </w:r>
            <w:r>
              <w:rPr>
                <w:color w:val="105C84"/>
                <w:spacing w:val="-9"/>
                <w:sz w:val="18"/>
              </w:rPr>
              <w:t> </w:t>
            </w:r>
            <w:r>
              <w:rPr>
                <w:color w:val="105C84"/>
                <w:sz w:val="18"/>
              </w:rPr>
              <w:t>it</w:t>
            </w:r>
            <w:r>
              <w:rPr>
                <w:color w:val="105C84"/>
                <w:spacing w:val="-6"/>
                <w:sz w:val="18"/>
              </w:rPr>
              <w:t> </w:t>
            </w:r>
            <w:r>
              <w:rPr>
                <w:color w:val="105C84"/>
                <w:sz w:val="18"/>
              </w:rPr>
              <w:t>is</w:t>
            </w:r>
            <w:r>
              <w:rPr>
                <w:color w:val="105C84"/>
                <w:spacing w:val="-7"/>
                <w:sz w:val="18"/>
              </w:rPr>
              <w:t> </w:t>
            </w:r>
            <w:r>
              <w:rPr>
                <w:color w:val="105C84"/>
                <w:sz w:val="18"/>
              </w:rPr>
              <w:t>much</w:t>
            </w:r>
            <w:r>
              <w:rPr>
                <w:color w:val="105C84"/>
                <w:spacing w:val="-6"/>
                <w:sz w:val="18"/>
              </w:rPr>
              <w:t> </w:t>
            </w:r>
            <w:r>
              <w:rPr>
                <w:color w:val="105C84"/>
                <w:spacing w:val="-4"/>
                <w:sz w:val="18"/>
              </w:rPr>
              <w:t>more</w:t>
            </w:r>
          </w:p>
          <w:p>
            <w:pPr>
              <w:pStyle w:val="TableParagraph"/>
              <w:tabs>
                <w:tab w:pos="4248" w:val="left" w:leader="none"/>
              </w:tabs>
              <w:spacing w:line="200" w:lineRule="exact"/>
              <w:ind w:left="90"/>
              <w:rPr>
                <w:sz w:val="18"/>
              </w:rPr>
            </w:pPr>
            <w:r>
              <w:rPr>
                <w:color w:val="105C84"/>
                <w:spacing w:val="-2"/>
                <w:position w:val="11"/>
                <w:sz w:val="18"/>
              </w:rPr>
              <w:t>discussion of</w:t>
            </w:r>
            <w:r>
              <w:rPr>
                <w:color w:val="105C84"/>
                <w:spacing w:val="-1"/>
                <w:position w:val="11"/>
                <w:sz w:val="18"/>
              </w:rPr>
              <w:t> </w:t>
            </w:r>
            <w:r>
              <w:rPr>
                <w:color w:val="105C84"/>
                <w:spacing w:val="-2"/>
                <w:position w:val="11"/>
                <w:sz w:val="18"/>
              </w:rPr>
              <w:t>potential</w:t>
            </w:r>
            <w:r>
              <w:rPr>
                <w:color w:val="105C84"/>
                <w:position w:val="11"/>
                <w:sz w:val="18"/>
              </w:rPr>
              <w:tab/>
            </w:r>
            <w:r>
              <w:rPr>
                <w:color w:val="105C84"/>
                <w:spacing w:val="-2"/>
                <w:sz w:val="18"/>
              </w:rPr>
              <w:t>expansive</w:t>
            </w:r>
            <w:r>
              <w:rPr>
                <w:color w:val="105C84"/>
                <w:spacing w:val="-5"/>
                <w:sz w:val="18"/>
              </w:rPr>
              <w:t> </w:t>
            </w:r>
            <w:r>
              <w:rPr>
                <w:color w:val="105C84"/>
                <w:spacing w:val="-2"/>
                <w:sz w:val="18"/>
              </w:rPr>
              <w:t>than</w:t>
            </w:r>
            <w:r>
              <w:rPr>
                <w:color w:val="105C84"/>
                <w:spacing w:val="-4"/>
                <w:sz w:val="18"/>
              </w:rPr>
              <w:t> </w:t>
            </w:r>
            <w:r>
              <w:rPr>
                <w:color w:val="105C84"/>
                <w:spacing w:val="-2"/>
                <w:sz w:val="18"/>
              </w:rPr>
              <w:t>cessation</w:t>
            </w:r>
            <w:r>
              <w:rPr>
                <w:color w:val="105C84"/>
                <w:spacing w:val="-5"/>
                <w:sz w:val="18"/>
              </w:rPr>
              <w:t> </w:t>
            </w:r>
            <w:r>
              <w:rPr>
                <w:color w:val="105C84"/>
                <w:spacing w:val="-10"/>
                <w:sz w:val="18"/>
              </w:rPr>
              <w:t>–</w:t>
            </w:r>
          </w:p>
          <w:p>
            <w:pPr>
              <w:pStyle w:val="TableParagraph"/>
              <w:tabs>
                <w:tab w:pos="4248" w:val="left" w:leader="none"/>
              </w:tabs>
              <w:spacing w:line="200" w:lineRule="exact"/>
              <w:ind w:left="90"/>
              <w:rPr>
                <w:sz w:val="18"/>
              </w:rPr>
            </w:pPr>
            <w:r>
              <w:rPr>
                <w:color w:val="105C84"/>
                <w:position w:val="11"/>
                <w:sz w:val="18"/>
              </w:rPr>
              <w:t>funding</w:t>
            </w:r>
            <w:r>
              <w:rPr>
                <w:color w:val="105C84"/>
                <w:spacing w:val="-3"/>
                <w:position w:val="11"/>
                <w:sz w:val="18"/>
              </w:rPr>
              <w:t> </w:t>
            </w:r>
            <w:r>
              <w:rPr>
                <w:color w:val="105C84"/>
                <w:position w:val="11"/>
                <w:sz w:val="18"/>
              </w:rPr>
              <w:t>sources</w:t>
            </w:r>
            <w:r>
              <w:rPr>
                <w:color w:val="105C84"/>
                <w:spacing w:val="-3"/>
                <w:position w:val="11"/>
                <w:sz w:val="18"/>
              </w:rPr>
              <w:t> </w:t>
            </w:r>
            <w:r>
              <w:rPr>
                <w:color w:val="105C84"/>
                <w:position w:val="11"/>
                <w:sz w:val="18"/>
              </w:rPr>
              <w:t>for</w:t>
            </w:r>
            <w:r>
              <w:rPr>
                <w:color w:val="105C84"/>
                <w:spacing w:val="-3"/>
                <w:position w:val="11"/>
                <w:sz w:val="18"/>
              </w:rPr>
              <w:t> </w:t>
            </w:r>
            <w:r>
              <w:rPr>
                <w:color w:val="105C84"/>
                <w:spacing w:val="-5"/>
                <w:position w:val="11"/>
                <w:sz w:val="18"/>
              </w:rPr>
              <w:t>an</w:t>
            </w:r>
            <w:r>
              <w:rPr>
                <w:color w:val="105C84"/>
                <w:position w:val="11"/>
                <w:sz w:val="18"/>
              </w:rPr>
              <w:tab/>
            </w:r>
            <w:r>
              <w:rPr>
                <w:color w:val="105C84"/>
                <w:sz w:val="18"/>
              </w:rPr>
              <w:t>covering</w:t>
            </w:r>
            <w:r>
              <w:rPr>
                <w:color w:val="105C84"/>
                <w:spacing w:val="-2"/>
                <w:sz w:val="18"/>
              </w:rPr>
              <w:t> </w:t>
            </w:r>
            <w:r>
              <w:rPr>
                <w:color w:val="105C84"/>
                <w:sz w:val="18"/>
              </w:rPr>
              <w:t>lifestyle</w:t>
            </w:r>
            <w:r>
              <w:rPr>
                <w:color w:val="105C84"/>
                <w:spacing w:val="-2"/>
                <w:sz w:val="18"/>
              </w:rPr>
              <w:t> behaviors</w:t>
            </w:r>
          </w:p>
          <w:p>
            <w:pPr>
              <w:pStyle w:val="TableParagraph"/>
              <w:tabs>
                <w:tab w:pos="4248" w:val="left" w:leader="none"/>
              </w:tabs>
              <w:spacing w:line="144" w:lineRule="auto"/>
              <w:ind w:left="90"/>
              <w:rPr>
                <w:position w:val="-10"/>
                <w:sz w:val="18"/>
              </w:rPr>
            </w:pPr>
            <w:r>
              <w:rPr>
                <w:color w:val="105C84"/>
                <w:sz w:val="18"/>
              </w:rPr>
              <w:t>additional</w:t>
            </w:r>
            <w:r>
              <w:rPr>
                <w:color w:val="105C84"/>
                <w:spacing w:val="16"/>
                <w:sz w:val="18"/>
              </w:rPr>
              <w:t> </w:t>
            </w:r>
            <w:r>
              <w:rPr>
                <w:color w:val="105C84"/>
                <w:sz w:val="18"/>
              </w:rPr>
              <w:t>training,</w:t>
            </w:r>
            <w:r>
              <w:rPr>
                <w:color w:val="105C84"/>
                <w:spacing w:val="17"/>
                <w:sz w:val="18"/>
              </w:rPr>
              <w:t> </w:t>
            </w:r>
            <w:r>
              <w:rPr>
                <w:color w:val="105C84"/>
                <w:spacing w:val="-5"/>
                <w:sz w:val="18"/>
              </w:rPr>
              <w:t>if</w:t>
            </w:r>
            <w:r>
              <w:rPr>
                <w:color w:val="105C84"/>
                <w:sz w:val="18"/>
              </w:rPr>
              <w:tab/>
            </w:r>
            <w:r>
              <w:rPr>
                <w:color w:val="105C84"/>
                <w:position w:val="-10"/>
                <w:sz w:val="18"/>
              </w:rPr>
              <w:t>in</w:t>
            </w:r>
            <w:r>
              <w:rPr>
                <w:color w:val="105C84"/>
                <w:spacing w:val="-11"/>
                <w:position w:val="-10"/>
                <w:sz w:val="18"/>
              </w:rPr>
              <w:t> </w:t>
            </w:r>
            <w:r>
              <w:rPr>
                <w:color w:val="105C84"/>
                <w:position w:val="-10"/>
                <w:sz w:val="18"/>
              </w:rPr>
              <w:t>physical</w:t>
            </w:r>
            <w:r>
              <w:rPr>
                <w:color w:val="105C84"/>
                <w:spacing w:val="-10"/>
                <w:position w:val="-10"/>
                <w:sz w:val="18"/>
              </w:rPr>
              <w:t> </w:t>
            </w:r>
            <w:r>
              <w:rPr>
                <w:color w:val="105C84"/>
                <w:position w:val="-10"/>
                <w:sz w:val="18"/>
              </w:rPr>
              <w:t>activity</w:t>
            </w:r>
            <w:r>
              <w:rPr>
                <w:color w:val="105C84"/>
                <w:spacing w:val="-11"/>
                <w:position w:val="-10"/>
                <w:sz w:val="18"/>
              </w:rPr>
              <w:t> </w:t>
            </w:r>
            <w:r>
              <w:rPr>
                <w:color w:val="105C84"/>
                <w:spacing w:val="-5"/>
                <w:position w:val="-10"/>
                <w:sz w:val="18"/>
              </w:rPr>
              <w:t>and</w:t>
            </w:r>
          </w:p>
          <w:p>
            <w:pPr>
              <w:pStyle w:val="TableParagraph"/>
              <w:tabs>
                <w:tab w:pos="4248" w:val="left" w:leader="none"/>
              </w:tabs>
              <w:spacing w:line="200" w:lineRule="exact"/>
              <w:ind w:left="90"/>
              <w:rPr>
                <w:sz w:val="18"/>
              </w:rPr>
            </w:pPr>
            <w:r>
              <w:rPr>
                <w:color w:val="105C84"/>
                <w:position w:val="11"/>
                <w:sz w:val="18"/>
              </w:rPr>
              <w:t>needed;</w:t>
            </w:r>
            <w:r>
              <w:rPr>
                <w:color w:val="105C84"/>
                <w:spacing w:val="9"/>
                <w:position w:val="11"/>
                <w:sz w:val="18"/>
              </w:rPr>
              <w:t> </w:t>
            </w:r>
            <w:r>
              <w:rPr>
                <w:color w:val="105C84"/>
                <w:spacing w:val="-2"/>
                <w:position w:val="11"/>
                <w:sz w:val="18"/>
              </w:rPr>
              <w:t>Percentage</w:t>
            </w:r>
            <w:r>
              <w:rPr>
                <w:color w:val="105C84"/>
                <w:position w:val="11"/>
                <w:sz w:val="18"/>
              </w:rPr>
              <w:tab/>
            </w:r>
            <w:r>
              <w:rPr>
                <w:color w:val="105C84"/>
                <w:sz w:val="18"/>
              </w:rPr>
              <w:t>nutrition,</w:t>
            </w:r>
            <w:r>
              <w:rPr>
                <w:color w:val="105C84"/>
                <w:spacing w:val="11"/>
                <w:sz w:val="18"/>
              </w:rPr>
              <w:t> </w:t>
            </w:r>
            <w:r>
              <w:rPr>
                <w:color w:val="105C84"/>
                <w:sz w:val="18"/>
              </w:rPr>
              <w:t>self-control,</w:t>
            </w:r>
            <w:r>
              <w:rPr>
                <w:color w:val="105C84"/>
                <w:spacing w:val="12"/>
                <w:sz w:val="18"/>
              </w:rPr>
              <w:t> </w:t>
            </w:r>
            <w:r>
              <w:rPr>
                <w:color w:val="105C84"/>
                <w:spacing w:val="-2"/>
                <w:sz w:val="18"/>
              </w:rPr>
              <w:t>stress</w:t>
            </w:r>
          </w:p>
          <w:p>
            <w:pPr>
              <w:pStyle w:val="TableParagraph"/>
              <w:tabs>
                <w:tab w:pos="4248" w:val="left" w:leader="none"/>
              </w:tabs>
              <w:spacing w:line="200" w:lineRule="exact"/>
              <w:ind w:left="90"/>
              <w:rPr>
                <w:sz w:val="18"/>
              </w:rPr>
            </w:pPr>
            <w:r>
              <w:rPr>
                <w:color w:val="105C84"/>
                <w:position w:val="11"/>
                <w:sz w:val="18"/>
              </w:rPr>
              <w:t>of</w:t>
            </w:r>
            <w:r>
              <w:rPr>
                <w:color w:val="105C84"/>
                <w:spacing w:val="5"/>
                <w:position w:val="11"/>
                <w:sz w:val="18"/>
              </w:rPr>
              <w:t> </w:t>
            </w:r>
            <w:r>
              <w:rPr>
                <w:color w:val="105C84"/>
                <w:position w:val="11"/>
                <w:sz w:val="18"/>
              </w:rPr>
              <w:t>N-O-T</w:t>
            </w:r>
            <w:r>
              <w:rPr>
                <w:color w:val="105C84"/>
                <w:spacing w:val="6"/>
                <w:position w:val="11"/>
                <w:sz w:val="18"/>
              </w:rPr>
              <w:t> </w:t>
            </w:r>
            <w:r>
              <w:rPr>
                <w:color w:val="105C84"/>
                <w:spacing w:val="-2"/>
                <w:position w:val="11"/>
                <w:sz w:val="18"/>
              </w:rPr>
              <w:t>facilitators</w:t>
            </w:r>
            <w:r>
              <w:rPr>
                <w:color w:val="105C84"/>
                <w:position w:val="11"/>
                <w:sz w:val="18"/>
              </w:rPr>
              <w:tab/>
            </w:r>
            <w:r>
              <w:rPr>
                <w:color w:val="105C84"/>
                <w:sz w:val="18"/>
              </w:rPr>
              <w:t>management</w:t>
            </w:r>
            <w:r>
              <w:rPr>
                <w:color w:val="105C84"/>
                <w:spacing w:val="2"/>
                <w:sz w:val="18"/>
              </w:rPr>
              <w:t> </w:t>
            </w:r>
            <w:r>
              <w:rPr>
                <w:color w:val="105C84"/>
                <w:sz w:val="18"/>
              </w:rPr>
              <w:t>and</w:t>
            </w:r>
            <w:r>
              <w:rPr>
                <w:color w:val="105C84"/>
                <w:spacing w:val="3"/>
                <w:sz w:val="18"/>
              </w:rPr>
              <w:t> </w:t>
            </w:r>
            <w:r>
              <w:rPr>
                <w:color w:val="105C84"/>
                <w:spacing w:val="-2"/>
                <w:sz w:val="18"/>
              </w:rPr>
              <w:t>decision-</w:t>
            </w:r>
          </w:p>
          <w:p>
            <w:pPr>
              <w:pStyle w:val="TableParagraph"/>
              <w:tabs>
                <w:tab w:pos="4248" w:val="left" w:leader="none"/>
              </w:tabs>
              <w:spacing w:line="144" w:lineRule="auto"/>
              <w:ind w:left="90"/>
              <w:rPr>
                <w:position w:val="-10"/>
                <w:sz w:val="18"/>
              </w:rPr>
            </w:pPr>
            <w:r>
              <w:rPr>
                <w:color w:val="105C84"/>
                <w:sz w:val="18"/>
              </w:rPr>
              <w:t>saying</w:t>
            </w:r>
            <w:r>
              <w:rPr>
                <w:color w:val="105C84"/>
                <w:spacing w:val="-11"/>
                <w:sz w:val="18"/>
              </w:rPr>
              <w:t> </w:t>
            </w:r>
            <w:r>
              <w:rPr>
                <w:color w:val="105C84"/>
                <w:sz w:val="18"/>
              </w:rPr>
              <w:t>they</w:t>
            </w:r>
            <w:r>
              <w:rPr>
                <w:color w:val="105C84"/>
                <w:spacing w:val="-10"/>
                <w:sz w:val="18"/>
              </w:rPr>
              <w:t> </w:t>
            </w:r>
            <w:r>
              <w:rPr>
                <w:color w:val="105C84"/>
                <w:sz w:val="18"/>
              </w:rPr>
              <w:t>are</w:t>
            </w:r>
            <w:r>
              <w:rPr>
                <w:color w:val="105C84"/>
                <w:spacing w:val="-10"/>
                <w:sz w:val="18"/>
              </w:rPr>
              <w:t> </w:t>
            </w:r>
            <w:r>
              <w:rPr>
                <w:color w:val="105C84"/>
                <w:sz w:val="18"/>
              </w:rPr>
              <w:t>able</w:t>
            </w:r>
            <w:r>
              <w:rPr>
                <w:color w:val="105C84"/>
                <w:spacing w:val="-10"/>
                <w:sz w:val="18"/>
              </w:rPr>
              <w:t> </w:t>
            </w:r>
            <w:r>
              <w:rPr>
                <w:color w:val="105C84"/>
                <w:spacing w:val="-5"/>
                <w:sz w:val="18"/>
              </w:rPr>
              <w:t>to</w:t>
            </w:r>
            <w:r>
              <w:rPr>
                <w:color w:val="105C84"/>
                <w:sz w:val="18"/>
              </w:rPr>
              <w:tab/>
            </w:r>
            <w:r>
              <w:rPr>
                <w:color w:val="105C84"/>
                <w:spacing w:val="-2"/>
                <w:position w:val="-10"/>
                <w:sz w:val="18"/>
              </w:rPr>
              <w:t>making</w:t>
            </w:r>
          </w:p>
          <w:p>
            <w:pPr>
              <w:pStyle w:val="TableParagraph"/>
              <w:spacing w:line="144" w:lineRule="exact"/>
              <w:ind w:left="90"/>
              <w:rPr>
                <w:sz w:val="18"/>
              </w:rPr>
            </w:pPr>
            <w:r>
              <w:rPr>
                <w:color w:val="105C84"/>
                <w:sz w:val="18"/>
              </w:rPr>
              <w:t>accommodate</w:t>
            </w:r>
            <w:r>
              <w:rPr>
                <w:color w:val="105C84"/>
                <w:spacing w:val="1"/>
                <w:sz w:val="18"/>
              </w:rPr>
              <w:t> </w:t>
            </w:r>
            <w:r>
              <w:rPr>
                <w:color w:val="105C84"/>
                <w:sz w:val="18"/>
              </w:rPr>
              <w:t>all</w:t>
            </w:r>
            <w:r>
              <w:rPr>
                <w:color w:val="105C84"/>
                <w:spacing w:val="1"/>
                <w:sz w:val="18"/>
              </w:rPr>
              <w:t> </w:t>
            </w:r>
            <w:r>
              <w:rPr>
                <w:color w:val="105C84"/>
                <w:spacing w:val="-2"/>
                <w:sz w:val="18"/>
              </w:rPr>
              <w:t>students</w:t>
            </w:r>
          </w:p>
          <w:p>
            <w:pPr>
              <w:pStyle w:val="TableParagraph"/>
              <w:spacing w:line="232" w:lineRule="auto"/>
              <w:ind w:left="90" w:right="4528"/>
              <w:rPr>
                <w:sz w:val="18"/>
              </w:rPr>
            </w:pPr>
            <w:r>
              <w:rPr>
                <w:color w:val="105C84"/>
                <w:sz w:val="18"/>
              </w:rPr>
              <w:t>interested</w:t>
            </w:r>
            <w:r>
              <w:rPr>
                <w:color w:val="105C84"/>
                <w:spacing w:val="-1"/>
                <w:sz w:val="18"/>
              </w:rPr>
              <w:t> </w:t>
            </w:r>
            <w:r>
              <w:rPr>
                <w:color w:val="105C84"/>
                <w:sz w:val="18"/>
              </w:rPr>
              <w:t>in</w:t>
            </w:r>
            <w:r>
              <w:rPr>
                <w:color w:val="105C84"/>
                <w:spacing w:val="-1"/>
                <w:sz w:val="18"/>
              </w:rPr>
              <w:t> </w:t>
            </w:r>
            <w:r>
              <w:rPr>
                <w:color w:val="105C84"/>
                <w:sz w:val="18"/>
              </w:rPr>
              <w:t>the</w:t>
            </w:r>
            <w:r>
              <w:rPr>
                <w:color w:val="105C84"/>
                <w:spacing w:val="-1"/>
                <w:sz w:val="18"/>
              </w:rPr>
              <w:t> </w:t>
            </w:r>
            <w:r>
              <w:rPr>
                <w:color w:val="105C84"/>
                <w:sz w:val="18"/>
              </w:rPr>
              <w:t>program, number of students enrolled in the academic year per district</w:t>
            </w:r>
          </w:p>
          <w:p>
            <w:pPr>
              <w:pStyle w:val="TableParagraph"/>
              <w:spacing w:line="232" w:lineRule="auto" w:before="10"/>
              <w:ind w:left="90" w:right="4648"/>
              <w:rPr>
                <w:sz w:val="18"/>
              </w:rPr>
            </w:pPr>
            <w:r>
              <w:rPr>
                <w:color w:val="105C84"/>
                <w:sz w:val="18"/>
              </w:rPr>
              <w:t>Target:</w:t>
            </w:r>
            <w:r>
              <w:rPr>
                <w:color w:val="105C84"/>
                <w:spacing w:val="-15"/>
                <w:sz w:val="18"/>
              </w:rPr>
              <w:t> </w:t>
            </w:r>
            <w:r>
              <w:rPr>
                <w:color w:val="105C84"/>
                <w:sz w:val="18"/>
              </w:rPr>
              <w:t>100%.</w:t>
            </w:r>
            <w:r>
              <w:rPr>
                <w:color w:val="105C84"/>
                <w:spacing w:val="-12"/>
                <w:sz w:val="18"/>
              </w:rPr>
              <w:t> </w:t>
            </w:r>
            <w:r>
              <w:rPr>
                <w:color w:val="105C84"/>
                <w:sz w:val="18"/>
              </w:rPr>
              <w:t>If</w:t>
            </w:r>
            <w:r>
              <w:rPr>
                <w:color w:val="105C84"/>
                <w:spacing w:val="-13"/>
                <w:sz w:val="18"/>
              </w:rPr>
              <w:t> </w:t>
            </w:r>
            <w:r>
              <w:rPr>
                <w:color w:val="105C84"/>
                <w:sz w:val="18"/>
              </w:rPr>
              <w:t>less</w:t>
            </w:r>
            <w:r>
              <w:rPr>
                <w:color w:val="105C84"/>
                <w:spacing w:val="-12"/>
                <w:sz w:val="18"/>
              </w:rPr>
              <w:t> </w:t>
            </w:r>
            <w:r>
              <w:rPr>
                <w:color w:val="105C84"/>
                <w:sz w:val="18"/>
              </w:rPr>
              <w:t>than 100%,</w:t>
            </w:r>
            <w:r>
              <w:rPr>
                <w:color w:val="105C84"/>
                <w:spacing w:val="-13"/>
                <w:sz w:val="18"/>
              </w:rPr>
              <w:t> </w:t>
            </w:r>
            <w:r>
              <w:rPr>
                <w:color w:val="105C84"/>
                <w:sz w:val="18"/>
              </w:rPr>
              <w:t>identify</w:t>
            </w:r>
            <w:r>
              <w:rPr>
                <w:color w:val="105C84"/>
                <w:spacing w:val="-12"/>
                <w:sz w:val="18"/>
              </w:rPr>
              <w:t> </w:t>
            </w:r>
            <w:r>
              <w:rPr>
                <w:color w:val="105C84"/>
                <w:sz w:val="18"/>
              </w:rPr>
              <w:t>barriers</w:t>
            </w:r>
            <w:r>
              <w:rPr>
                <w:color w:val="105C84"/>
                <w:spacing w:val="-13"/>
                <w:sz w:val="18"/>
              </w:rPr>
              <w:t> </w:t>
            </w:r>
            <w:r>
              <w:rPr>
                <w:color w:val="105C84"/>
                <w:sz w:val="18"/>
              </w:rPr>
              <w:t>for 100% of schools unable to accommodate all interested students</w:t>
            </w:r>
          </w:p>
        </w:tc>
        <w:tc>
          <w:tcPr>
            <w:tcW w:w="2218" w:type="dxa"/>
          </w:tcPr>
          <w:p>
            <w:pPr>
              <w:pStyle w:val="TableParagraph"/>
              <w:spacing w:line="232" w:lineRule="auto" w:before="98"/>
              <w:ind w:left="89" w:right="388"/>
              <w:rPr>
                <w:sz w:val="18"/>
              </w:rPr>
            </w:pPr>
            <w:r>
              <w:rPr>
                <w:color w:val="105C84"/>
                <w:w w:val="105"/>
                <w:sz w:val="18"/>
              </w:rPr>
              <w:t>Promote</w:t>
            </w:r>
            <w:r>
              <w:rPr>
                <w:color w:val="105C84"/>
                <w:spacing w:val="-1"/>
                <w:w w:val="105"/>
                <w:sz w:val="18"/>
              </w:rPr>
              <w:t> </w:t>
            </w:r>
            <w:r>
              <w:rPr>
                <w:color w:val="105C84"/>
                <w:w w:val="105"/>
                <w:sz w:val="18"/>
              </w:rPr>
              <w:t>N-O-T </w:t>
            </w:r>
            <w:r>
              <w:rPr>
                <w:color w:val="105C84"/>
                <w:sz w:val="18"/>
              </w:rPr>
              <w:t>within</w:t>
            </w:r>
            <w:r>
              <w:rPr>
                <w:color w:val="105C84"/>
                <w:spacing w:val="-12"/>
                <w:sz w:val="18"/>
              </w:rPr>
              <w:t> </w:t>
            </w:r>
            <w:r>
              <w:rPr>
                <w:color w:val="105C84"/>
                <w:sz w:val="18"/>
              </w:rPr>
              <w:t>the</w:t>
            </w:r>
            <w:r>
              <w:rPr>
                <w:color w:val="105C84"/>
                <w:spacing w:val="-12"/>
                <w:sz w:val="18"/>
              </w:rPr>
              <w:t> </w:t>
            </w:r>
            <w:r>
              <w:rPr>
                <w:color w:val="105C84"/>
                <w:sz w:val="18"/>
              </w:rPr>
              <w:t>schools</w:t>
            </w:r>
            <w:r>
              <w:rPr>
                <w:color w:val="105C84"/>
                <w:spacing w:val="-12"/>
                <w:sz w:val="18"/>
              </w:rPr>
              <w:t> </w:t>
            </w:r>
            <w:r>
              <w:rPr>
                <w:color w:val="105C84"/>
                <w:sz w:val="18"/>
              </w:rPr>
              <w:t>by </w:t>
            </w:r>
            <w:r>
              <w:rPr>
                <w:color w:val="105C84"/>
                <w:w w:val="105"/>
                <w:sz w:val="18"/>
              </w:rPr>
              <w:t>distributing</w:t>
            </w:r>
            <w:r>
              <w:rPr>
                <w:color w:val="105C84"/>
                <w:spacing w:val="-1"/>
                <w:w w:val="105"/>
                <w:sz w:val="18"/>
              </w:rPr>
              <w:t> </w:t>
            </w:r>
            <w:r>
              <w:rPr>
                <w:color w:val="105C84"/>
                <w:w w:val="105"/>
                <w:sz w:val="18"/>
              </w:rPr>
              <w:t>unified </w:t>
            </w:r>
            <w:r>
              <w:rPr>
                <w:color w:val="105C84"/>
                <w:spacing w:val="-2"/>
                <w:sz w:val="18"/>
              </w:rPr>
              <w:t>messages</w:t>
            </w:r>
            <w:r>
              <w:rPr>
                <w:color w:val="105C84"/>
                <w:spacing w:val="-11"/>
                <w:sz w:val="18"/>
              </w:rPr>
              <w:t> </w:t>
            </w:r>
            <w:r>
              <w:rPr>
                <w:color w:val="105C84"/>
                <w:spacing w:val="-2"/>
                <w:sz w:val="18"/>
              </w:rPr>
              <w:t>increasing</w:t>
            </w:r>
          </w:p>
          <w:p>
            <w:pPr>
              <w:pStyle w:val="TableParagraph"/>
              <w:spacing w:line="232" w:lineRule="auto"/>
              <w:ind w:left="89"/>
              <w:rPr>
                <w:sz w:val="18"/>
              </w:rPr>
            </w:pPr>
            <w:r>
              <w:rPr>
                <w:color w:val="105C84"/>
                <w:spacing w:val="-2"/>
                <w:sz w:val="18"/>
              </w:rPr>
              <w:t>family</w:t>
            </w:r>
            <w:r>
              <w:rPr>
                <w:color w:val="105C84"/>
                <w:spacing w:val="-11"/>
                <w:sz w:val="18"/>
              </w:rPr>
              <w:t> </w:t>
            </w:r>
            <w:r>
              <w:rPr>
                <w:color w:val="105C84"/>
                <w:spacing w:val="-2"/>
                <w:sz w:val="18"/>
              </w:rPr>
              <w:t>awareness</w:t>
            </w:r>
            <w:r>
              <w:rPr>
                <w:color w:val="105C84"/>
                <w:spacing w:val="-10"/>
                <w:sz w:val="18"/>
              </w:rPr>
              <w:t> </w:t>
            </w:r>
            <w:r>
              <w:rPr>
                <w:color w:val="105C84"/>
                <w:spacing w:val="-2"/>
                <w:sz w:val="18"/>
              </w:rPr>
              <w:t>of</w:t>
            </w:r>
            <w:r>
              <w:rPr>
                <w:color w:val="105C84"/>
                <w:spacing w:val="-11"/>
                <w:sz w:val="18"/>
              </w:rPr>
              <w:t> </w:t>
            </w:r>
            <w:r>
              <w:rPr>
                <w:color w:val="105C84"/>
                <w:spacing w:val="-2"/>
                <w:sz w:val="18"/>
              </w:rPr>
              <w:t>and </w:t>
            </w:r>
            <w:r>
              <w:rPr>
                <w:color w:val="105C84"/>
                <w:sz w:val="18"/>
              </w:rPr>
              <w:t>demand</w:t>
            </w:r>
            <w:r>
              <w:rPr>
                <w:color w:val="105C84"/>
                <w:spacing w:val="2"/>
                <w:sz w:val="18"/>
              </w:rPr>
              <w:t> </w:t>
            </w:r>
            <w:r>
              <w:rPr>
                <w:color w:val="105C84"/>
                <w:sz w:val="18"/>
              </w:rPr>
              <w:t>for</w:t>
            </w:r>
            <w:r>
              <w:rPr>
                <w:color w:val="105C84"/>
                <w:spacing w:val="2"/>
                <w:sz w:val="18"/>
              </w:rPr>
              <w:t> </w:t>
            </w:r>
            <w:r>
              <w:rPr>
                <w:color w:val="105C84"/>
                <w:sz w:val="18"/>
              </w:rPr>
              <w:t>this</w:t>
            </w:r>
            <w:r>
              <w:rPr>
                <w:color w:val="105C84"/>
                <w:spacing w:val="3"/>
                <w:sz w:val="18"/>
              </w:rPr>
              <w:t> </w:t>
            </w:r>
            <w:r>
              <w:rPr>
                <w:color w:val="105C84"/>
                <w:spacing w:val="-2"/>
                <w:sz w:val="18"/>
              </w:rPr>
              <w:t>service</w:t>
            </w:r>
          </w:p>
          <w:p>
            <w:pPr>
              <w:pStyle w:val="TableParagraph"/>
              <w:spacing w:line="232" w:lineRule="auto" w:before="85"/>
              <w:ind w:left="89" w:right="178"/>
              <w:rPr>
                <w:sz w:val="18"/>
              </w:rPr>
            </w:pPr>
            <w:r>
              <w:rPr>
                <w:color w:val="105C84"/>
                <w:sz w:val="18"/>
              </w:rPr>
              <w:t>Evaluate</w:t>
            </w:r>
            <w:r>
              <w:rPr>
                <w:color w:val="105C84"/>
                <w:spacing w:val="-13"/>
                <w:sz w:val="18"/>
              </w:rPr>
              <w:t> </w:t>
            </w:r>
            <w:r>
              <w:rPr>
                <w:color w:val="105C84"/>
                <w:sz w:val="18"/>
              </w:rPr>
              <w:t>reach</w:t>
            </w:r>
            <w:r>
              <w:rPr>
                <w:color w:val="105C84"/>
                <w:spacing w:val="-12"/>
                <w:sz w:val="18"/>
              </w:rPr>
              <w:t> </w:t>
            </w:r>
            <w:r>
              <w:rPr>
                <w:color w:val="105C84"/>
                <w:sz w:val="18"/>
              </w:rPr>
              <w:t>of</w:t>
            </w:r>
            <w:r>
              <w:rPr>
                <w:color w:val="105C84"/>
                <w:spacing w:val="-13"/>
                <w:sz w:val="18"/>
              </w:rPr>
              <w:t> </w:t>
            </w:r>
            <w:r>
              <w:rPr>
                <w:color w:val="105C84"/>
                <w:sz w:val="18"/>
              </w:rPr>
              <w:t>N-O-</w:t>
            </w:r>
            <w:r>
              <w:rPr>
                <w:color w:val="105C84"/>
                <w:sz w:val="18"/>
              </w:rPr>
              <w:t>T in the schools and possible funding for more districts to have staff trained in N-O-T</w:t>
            </w:r>
          </w:p>
        </w:tc>
        <w:tc>
          <w:tcPr>
            <w:tcW w:w="2254" w:type="dxa"/>
          </w:tcPr>
          <w:p>
            <w:pPr>
              <w:pStyle w:val="TableParagraph"/>
              <w:spacing w:line="232" w:lineRule="auto" w:before="98"/>
              <w:ind w:left="89" w:right="424"/>
              <w:rPr>
                <w:sz w:val="18"/>
              </w:rPr>
            </w:pPr>
            <w:r>
              <w:rPr>
                <w:color w:val="105C84"/>
                <w:w w:val="105"/>
                <w:sz w:val="18"/>
              </w:rPr>
              <w:t>Promote</w:t>
            </w:r>
            <w:r>
              <w:rPr>
                <w:color w:val="105C84"/>
                <w:spacing w:val="-1"/>
                <w:w w:val="105"/>
                <w:sz w:val="18"/>
              </w:rPr>
              <w:t> </w:t>
            </w:r>
            <w:r>
              <w:rPr>
                <w:color w:val="105C84"/>
                <w:w w:val="105"/>
                <w:sz w:val="18"/>
              </w:rPr>
              <w:t>N-O-T </w:t>
            </w:r>
            <w:r>
              <w:rPr>
                <w:color w:val="105C84"/>
                <w:sz w:val="18"/>
              </w:rPr>
              <w:t>within</w:t>
            </w:r>
            <w:r>
              <w:rPr>
                <w:color w:val="105C84"/>
                <w:spacing w:val="-12"/>
                <w:sz w:val="18"/>
              </w:rPr>
              <w:t> </w:t>
            </w:r>
            <w:r>
              <w:rPr>
                <w:color w:val="105C84"/>
                <w:sz w:val="18"/>
              </w:rPr>
              <w:t>the</w:t>
            </w:r>
            <w:r>
              <w:rPr>
                <w:color w:val="105C84"/>
                <w:spacing w:val="-12"/>
                <w:sz w:val="18"/>
              </w:rPr>
              <w:t> </w:t>
            </w:r>
            <w:r>
              <w:rPr>
                <w:color w:val="105C84"/>
                <w:sz w:val="18"/>
              </w:rPr>
              <w:t>schools</w:t>
            </w:r>
            <w:r>
              <w:rPr>
                <w:color w:val="105C84"/>
                <w:spacing w:val="-12"/>
                <w:sz w:val="18"/>
              </w:rPr>
              <w:t> </w:t>
            </w:r>
            <w:r>
              <w:rPr>
                <w:color w:val="105C84"/>
                <w:sz w:val="18"/>
              </w:rPr>
              <w:t>by </w:t>
            </w:r>
            <w:r>
              <w:rPr>
                <w:color w:val="105C84"/>
                <w:w w:val="105"/>
                <w:sz w:val="18"/>
              </w:rPr>
              <w:t>distributing</w:t>
            </w:r>
            <w:r>
              <w:rPr>
                <w:color w:val="105C84"/>
                <w:spacing w:val="-1"/>
                <w:w w:val="105"/>
                <w:sz w:val="18"/>
              </w:rPr>
              <w:t> </w:t>
            </w:r>
            <w:r>
              <w:rPr>
                <w:color w:val="105C84"/>
                <w:w w:val="105"/>
                <w:sz w:val="18"/>
              </w:rPr>
              <w:t>unified </w:t>
            </w:r>
            <w:r>
              <w:rPr>
                <w:color w:val="105C84"/>
                <w:spacing w:val="-2"/>
                <w:sz w:val="18"/>
              </w:rPr>
              <w:t>messages</w:t>
            </w:r>
            <w:r>
              <w:rPr>
                <w:color w:val="105C84"/>
                <w:spacing w:val="-11"/>
                <w:sz w:val="18"/>
              </w:rPr>
              <w:t> </w:t>
            </w:r>
            <w:r>
              <w:rPr>
                <w:color w:val="105C84"/>
                <w:spacing w:val="-2"/>
                <w:sz w:val="18"/>
              </w:rPr>
              <w:t>increasing</w:t>
            </w:r>
          </w:p>
          <w:p>
            <w:pPr>
              <w:pStyle w:val="TableParagraph"/>
              <w:spacing w:line="232" w:lineRule="auto"/>
              <w:ind w:left="89" w:right="84"/>
              <w:rPr>
                <w:sz w:val="18"/>
              </w:rPr>
            </w:pPr>
            <w:r>
              <w:rPr>
                <w:color w:val="105C84"/>
                <w:sz w:val="18"/>
              </w:rPr>
              <w:t>family awareness of and demand for this service. Evaluate reach of N-O-T in the schools and possible funding for </w:t>
            </w:r>
            <w:r>
              <w:rPr>
                <w:color w:val="105C84"/>
                <w:sz w:val="18"/>
              </w:rPr>
              <w:t>more districts to have staff trained in N-O-T</w:t>
            </w:r>
          </w:p>
        </w:tc>
        <w:tc>
          <w:tcPr>
            <w:tcW w:w="1498" w:type="dxa"/>
          </w:tcPr>
          <w:p>
            <w:pPr>
              <w:pStyle w:val="TableParagraph"/>
              <w:spacing w:line="232" w:lineRule="auto" w:before="98"/>
              <w:ind w:left="88"/>
              <w:rPr>
                <w:sz w:val="18"/>
              </w:rPr>
            </w:pPr>
            <w:r>
              <w:rPr>
                <w:color w:val="105C84"/>
                <w:spacing w:val="-2"/>
                <w:sz w:val="18"/>
              </w:rPr>
              <w:t>Community-based organizations</w:t>
            </w:r>
          </w:p>
        </w:tc>
        <w:tc>
          <w:tcPr>
            <w:tcW w:w="1551" w:type="dxa"/>
          </w:tcPr>
          <w:p>
            <w:pPr>
              <w:pStyle w:val="TableParagraph"/>
              <w:spacing w:line="232" w:lineRule="auto" w:before="98"/>
              <w:ind w:left="88" w:right="79"/>
              <w:rPr>
                <w:sz w:val="18"/>
              </w:rPr>
            </w:pPr>
            <w:r>
              <w:rPr>
                <w:color w:val="105C84"/>
                <w:sz w:val="18"/>
              </w:rPr>
              <w:t>For</w:t>
            </w:r>
            <w:r>
              <w:rPr>
                <w:color w:val="105C84"/>
                <w:spacing w:val="-15"/>
                <w:sz w:val="18"/>
              </w:rPr>
              <w:t> </w:t>
            </w:r>
            <w:r>
              <w:rPr>
                <w:color w:val="105C84"/>
                <w:sz w:val="18"/>
              </w:rPr>
              <w:t>partner</w:t>
            </w:r>
            <w:r>
              <w:rPr>
                <w:color w:val="105C84"/>
                <w:spacing w:val="-12"/>
                <w:sz w:val="18"/>
              </w:rPr>
              <w:t> </w:t>
            </w:r>
            <w:r>
              <w:rPr>
                <w:color w:val="105C84"/>
                <w:sz w:val="18"/>
              </w:rPr>
              <w:t>roles, see projected year columns</w:t>
            </w:r>
          </w:p>
          <w:p>
            <w:pPr>
              <w:pStyle w:val="TableParagraph"/>
              <w:spacing w:line="232" w:lineRule="auto" w:before="87"/>
              <w:ind w:left="88" w:right="79"/>
              <w:rPr>
                <w:sz w:val="18"/>
              </w:rPr>
            </w:pPr>
            <w:r>
              <w:rPr>
                <w:color w:val="105C84"/>
                <w:spacing w:val="-2"/>
                <w:sz w:val="18"/>
              </w:rPr>
              <w:t>Resources: </w:t>
            </w:r>
            <w:r>
              <w:rPr>
                <w:color w:val="105C84"/>
                <w:sz w:val="18"/>
              </w:rPr>
              <w:t>funding,</w:t>
            </w:r>
            <w:r>
              <w:rPr>
                <w:color w:val="105C84"/>
                <w:spacing w:val="-13"/>
                <w:sz w:val="18"/>
              </w:rPr>
              <w:t> </w:t>
            </w:r>
            <w:r>
              <w:rPr>
                <w:color w:val="105C84"/>
                <w:sz w:val="18"/>
              </w:rPr>
              <w:t>school staff time</w:t>
            </w:r>
          </w:p>
        </w:tc>
      </w:tr>
    </w:tbl>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123"/>
        <w:rPr>
          <w:b/>
          <w:sz w:val="26"/>
        </w:rPr>
      </w:pPr>
    </w:p>
    <w:p>
      <w:pPr>
        <w:tabs>
          <w:tab w:pos="23047" w:val="left" w:leader="none"/>
        </w:tabs>
        <w:spacing w:before="0"/>
        <w:ind w:left="0" w:right="0" w:firstLine="0"/>
        <w:jc w:val="left"/>
        <w:rPr>
          <w:b/>
          <w:sz w:val="26"/>
        </w:rPr>
      </w:pPr>
      <w:r>
        <w:rPr>
          <w:position w:val="-4"/>
        </w:rPr>
        <w:drawing>
          <wp:inline distT="0" distB="0" distL="0" distR="0">
            <wp:extent cx="568172" cy="184683"/>
            <wp:effectExtent l="0" t="0" r="0" b="0"/>
            <wp:docPr id="2064" name="Image 2064"/>
            <wp:cNvGraphicFramePr>
              <a:graphicFrameLocks/>
            </wp:cNvGraphicFramePr>
            <a:graphic>
              <a:graphicData uri="http://schemas.openxmlformats.org/drawingml/2006/picture">
                <pic:pic>
                  <pic:nvPicPr>
                    <pic:cNvPr id="2064" name="Image 2064"/>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13"/>
          <w:sz w:val="20"/>
        </w:rPr>
        <w:t> </w:t>
      </w:r>
      <w:r>
        <w:rPr>
          <w:b/>
          <w:color w:val="939598"/>
          <w:w w:val="105"/>
          <w:sz w:val="26"/>
        </w:rPr>
        <w:t>231</w:t>
      </w:r>
      <w:r>
        <w:rPr>
          <w:b/>
          <w:color w:val="939598"/>
          <w:sz w:val="26"/>
        </w:rPr>
        <w:tab/>
      </w:r>
      <w:r>
        <w:rPr>
          <w:b/>
          <w:color w:val="939598"/>
          <w:spacing w:val="-5"/>
          <w:w w:val="105"/>
          <w:sz w:val="26"/>
        </w:rPr>
        <w:t>232</w:t>
      </w:r>
    </w:p>
    <w:p>
      <w:pPr>
        <w:spacing w:after="0"/>
        <w:jc w:val="left"/>
        <w:rPr>
          <w:b/>
          <w:sz w:val="26"/>
        </w:rPr>
        <w:sectPr>
          <w:pgSz w:w="24480" w:h="15840" w:orient="landscape"/>
          <w:pgMar w:header="0" w:footer="0" w:top="860" w:bottom="0" w:left="0" w:right="720"/>
        </w:sectPr>
      </w:pPr>
    </w:p>
    <w:p>
      <w:pPr>
        <w:spacing w:before="609"/>
        <w:ind w:left="1089" w:right="0" w:firstLine="0"/>
        <w:jc w:val="left"/>
        <w:rPr>
          <w:sz w:val="54"/>
        </w:rPr>
      </w:pPr>
      <w:r>
        <w:rPr>
          <w:sz w:val="54"/>
        </w:rPr>
        <w:drawing>
          <wp:anchor distT="0" distB="0" distL="0" distR="0" allowOverlap="1" layoutInCell="1" locked="0" behindDoc="0" simplePos="0" relativeHeight="16044544">
            <wp:simplePos x="0" y="0"/>
            <wp:positionH relativeFrom="page">
              <wp:posOffset>14299183</wp:posOffset>
            </wp:positionH>
            <wp:positionV relativeFrom="paragraph">
              <wp:posOffset>345947</wp:posOffset>
            </wp:positionV>
            <wp:extent cx="620268" cy="568578"/>
            <wp:effectExtent l="0" t="0" r="0" b="0"/>
            <wp:wrapNone/>
            <wp:docPr id="2065" name="Image 2065"/>
            <wp:cNvGraphicFramePr>
              <a:graphicFrameLocks/>
            </wp:cNvGraphicFramePr>
            <a:graphic>
              <a:graphicData uri="http://schemas.openxmlformats.org/drawingml/2006/picture">
                <pic:pic>
                  <pic:nvPicPr>
                    <pic:cNvPr id="2065" name="Image 2065"/>
                    <pic:cNvPicPr/>
                  </pic:nvPicPr>
                  <pic:blipFill>
                    <a:blip r:embed="rId265" cstate="print"/>
                    <a:stretch>
                      <a:fillRect/>
                    </a:stretch>
                  </pic:blipFill>
                  <pic:spPr>
                    <a:xfrm>
                      <a:off x="0" y="0"/>
                      <a:ext cx="620268" cy="568578"/>
                    </a:xfrm>
                    <a:prstGeom prst="rect">
                      <a:avLst/>
                    </a:prstGeom>
                  </pic:spPr>
                </pic:pic>
              </a:graphicData>
            </a:graphic>
          </wp:anchor>
        </w:drawing>
      </w:r>
      <w:r>
        <w:rPr>
          <w:sz w:val="54"/>
        </w:rPr>
        <w:drawing>
          <wp:anchor distT="0" distB="0" distL="0" distR="0" allowOverlap="1" layoutInCell="1" locked="0" behindDoc="0" simplePos="0" relativeHeight="16045056">
            <wp:simplePos x="0" y="0"/>
            <wp:positionH relativeFrom="page">
              <wp:posOffset>14981556</wp:posOffset>
            </wp:positionH>
            <wp:positionV relativeFrom="page">
              <wp:posOffset>9668103</wp:posOffset>
            </wp:positionV>
            <wp:extent cx="563245" cy="184683"/>
            <wp:effectExtent l="0" t="0" r="0" b="0"/>
            <wp:wrapNone/>
            <wp:docPr id="2066" name="Image 2066"/>
            <wp:cNvGraphicFramePr>
              <a:graphicFrameLocks/>
            </wp:cNvGraphicFramePr>
            <a:graphic>
              <a:graphicData uri="http://schemas.openxmlformats.org/drawingml/2006/picture">
                <pic:pic>
                  <pic:nvPicPr>
                    <pic:cNvPr id="2066" name="Image 2066"/>
                    <pic:cNvPicPr/>
                  </pic:nvPicPr>
                  <pic:blipFill>
                    <a:blip r:embed="rId38" cstate="print"/>
                    <a:stretch>
                      <a:fillRect/>
                    </a:stretch>
                  </pic:blipFill>
                  <pic:spPr>
                    <a:xfrm>
                      <a:off x="0" y="0"/>
                      <a:ext cx="563245" cy="184683"/>
                    </a:xfrm>
                    <a:prstGeom prst="rect">
                      <a:avLst/>
                    </a:prstGeom>
                  </pic:spPr>
                </pic:pic>
              </a:graphicData>
            </a:graphic>
          </wp:anchor>
        </w:drawing>
      </w:r>
      <w:r>
        <w:rPr>
          <w:sz w:val="54"/>
        </w:rPr>
        <w:drawing>
          <wp:anchor distT="0" distB="0" distL="0" distR="0" allowOverlap="1" layoutInCell="1" locked="0" behindDoc="0" simplePos="0" relativeHeight="16045568">
            <wp:simplePos x="0" y="0"/>
            <wp:positionH relativeFrom="page">
              <wp:posOffset>13372084</wp:posOffset>
            </wp:positionH>
            <wp:positionV relativeFrom="paragraph">
              <wp:posOffset>365759</wp:posOffset>
            </wp:positionV>
            <wp:extent cx="728345" cy="366522"/>
            <wp:effectExtent l="0" t="0" r="0" b="0"/>
            <wp:wrapNone/>
            <wp:docPr id="2067" name="Image 2067"/>
            <wp:cNvGraphicFramePr>
              <a:graphicFrameLocks/>
            </wp:cNvGraphicFramePr>
            <a:graphic>
              <a:graphicData uri="http://schemas.openxmlformats.org/drawingml/2006/picture">
                <pic:pic>
                  <pic:nvPicPr>
                    <pic:cNvPr id="2067" name="Image 2067"/>
                    <pic:cNvPicPr/>
                  </pic:nvPicPr>
                  <pic:blipFill>
                    <a:blip r:embed="rId266" cstate="print"/>
                    <a:stretch>
                      <a:fillRect/>
                    </a:stretch>
                  </pic:blipFill>
                  <pic:spPr>
                    <a:xfrm>
                      <a:off x="0" y="0"/>
                      <a:ext cx="728345" cy="366522"/>
                    </a:xfrm>
                    <a:prstGeom prst="rect">
                      <a:avLst/>
                    </a:prstGeom>
                  </pic:spPr>
                </pic:pic>
              </a:graphicData>
            </a:graphic>
          </wp:anchor>
        </w:drawing>
      </w:r>
      <w:r>
        <w:rPr>
          <w:color w:val="636466"/>
          <w:sz w:val="54"/>
        </w:rPr>
        <w:t>Wayne</w:t>
      </w:r>
      <w:r>
        <w:rPr>
          <w:color w:val="636466"/>
          <w:spacing w:val="37"/>
          <w:sz w:val="54"/>
        </w:rPr>
        <w:t> </w:t>
      </w:r>
      <w:r>
        <w:rPr>
          <w:color w:val="636466"/>
          <w:sz w:val="54"/>
        </w:rPr>
        <w:t>County</w:t>
      </w:r>
      <w:r>
        <w:rPr>
          <w:color w:val="636466"/>
          <w:spacing w:val="38"/>
          <w:sz w:val="54"/>
        </w:rPr>
        <w:t> </w:t>
      </w:r>
      <w:r>
        <w:rPr>
          <w:color w:val="636466"/>
          <w:sz w:val="54"/>
        </w:rPr>
        <w:t>Appendix</w:t>
      </w:r>
      <w:r>
        <w:rPr>
          <w:color w:val="636466"/>
          <w:spacing w:val="38"/>
          <w:sz w:val="54"/>
        </w:rPr>
        <w:t> </w:t>
      </w:r>
      <w:r>
        <w:rPr>
          <w:color w:val="636466"/>
          <w:spacing w:val="-10"/>
          <w:sz w:val="54"/>
        </w:rPr>
        <w:t>G</w:t>
      </w:r>
    </w:p>
    <w:p>
      <w:pPr>
        <w:spacing w:line="247" w:lineRule="auto" w:before="236"/>
        <w:ind w:left="1089" w:right="13013" w:firstLine="0"/>
        <w:jc w:val="left"/>
        <w:rPr>
          <w:b/>
          <w:sz w:val="32"/>
        </w:rPr>
      </w:pPr>
      <w:r>
        <w:rPr>
          <w:b/>
          <w:color w:val="82BF6A"/>
          <w:spacing w:val="-4"/>
          <w:sz w:val="32"/>
        </w:rPr>
        <w:t>PRIORITY:</w:t>
      </w:r>
      <w:r>
        <w:rPr>
          <w:b/>
          <w:color w:val="82BF6A"/>
          <w:spacing w:val="-19"/>
          <w:sz w:val="32"/>
        </w:rPr>
        <w:t> </w:t>
      </w:r>
      <w:r>
        <w:rPr>
          <w:b/>
          <w:color w:val="82BF6A"/>
          <w:spacing w:val="-4"/>
          <w:sz w:val="32"/>
        </w:rPr>
        <w:t>PROMOTE</w:t>
      </w:r>
      <w:r>
        <w:rPr>
          <w:b/>
          <w:color w:val="82BF6A"/>
          <w:spacing w:val="-18"/>
          <w:sz w:val="32"/>
        </w:rPr>
        <w:t> </w:t>
      </w:r>
      <w:r>
        <w:rPr>
          <w:b/>
          <w:color w:val="82BF6A"/>
          <w:spacing w:val="-4"/>
          <w:sz w:val="32"/>
        </w:rPr>
        <w:t>WELL-BEING</w:t>
      </w:r>
      <w:r>
        <w:rPr>
          <w:b/>
          <w:color w:val="82BF6A"/>
          <w:spacing w:val="-18"/>
          <w:sz w:val="32"/>
        </w:rPr>
        <w:t> </w:t>
      </w:r>
      <w:r>
        <w:rPr>
          <w:b/>
          <w:color w:val="82BF6A"/>
          <w:spacing w:val="-4"/>
          <w:sz w:val="32"/>
        </w:rPr>
        <w:t>AND</w:t>
      </w:r>
      <w:r>
        <w:rPr>
          <w:b/>
          <w:color w:val="82BF6A"/>
          <w:spacing w:val="-18"/>
          <w:sz w:val="32"/>
        </w:rPr>
        <w:t> </w:t>
      </w:r>
      <w:r>
        <w:rPr>
          <w:b/>
          <w:color w:val="82BF6A"/>
          <w:spacing w:val="-4"/>
          <w:sz w:val="32"/>
        </w:rPr>
        <w:t>PREVENT</w:t>
      </w:r>
      <w:r>
        <w:rPr>
          <w:b/>
          <w:color w:val="82BF6A"/>
          <w:spacing w:val="-19"/>
          <w:sz w:val="32"/>
        </w:rPr>
        <w:t> </w:t>
      </w:r>
      <w:r>
        <w:rPr>
          <w:b/>
          <w:color w:val="82BF6A"/>
          <w:spacing w:val="-4"/>
          <w:sz w:val="32"/>
        </w:rPr>
        <w:t>MENTAL </w:t>
      </w:r>
      <w:r>
        <w:rPr>
          <w:b/>
          <w:color w:val="82BF6A"/>
          <w:sz w:val="32"/>
        </w:rPr>
        <w:t>AND</w:t>
      </w:r>
      <w:r>
        <w:rPr>
          <w:b/>
          <w:color w:val="82BF6A"/>
          <w:spacing w:val="-22"/>
          <w:sz w:val="32"/>
        </w:rPr>
        <w:t> </w:t>
      </w:r>
      <w:r>
        <w:rPr>
          <w:b/>
          <w:color w:val="82BF6A"/>
          <w:sz w:val="32"/>
        </w:rPr>
        <w:t>SUBSTANCE</w:t>
      </w:r>
      <w:r>
        <w:rPr>
          <w:b/>
          <w:color w:val="82BF6A"/>
          <w:spacing w:val="-22"/>
          <w:sz w:val="32"/>
        </w:rPr>
        <w:t> </w:t>
      </w:r>
      <w:r>
        <w:rPr>
          <w:b/>
          <w:color w:val="82BF6A"/>
          <w:sz w:val="32"/>
        </w:rPr>
        <w:t>USE</w:t>
      </w:r>
      <w:r>
        <w:rPr>
          <w:b/>
          <w:color w:val="82BF6A"/>
          <w:spacing w:val="-22"/>
          <w:sz w:val="32"/>
        </w:rPr>
        <w:t> </w:t>
      </w:r>
      <w:r>
        <w:rPr>
          <w:b/>
          <w:color w:val="82BF6A"/>
          <w:sz w:val="32"/>
        </w:rPr>
        <w:t>DISORDERS</w:t>
      </w:r>
    </w:p>
    <w:p>
      <w:pPr>
        <w:pStyle w:val="BodyText"/>
        <w:spacing w:before="152"/>
        <w:rPr>
          <w:b/>
          <w:sz w:val="20"/>
        </w:rPr>
      </w:pPr>
    </w:p>
    <w:tbl>
      <w:tblPr>
        <w:tblW w:w="0" w:type="auto"/>
        <w:jc w:val="left"/>
        <w:tblInd w:w="1099"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1180"/>
        <w:gridCol w:w="1267"/>
        <w:gridCol w:w="1267"/>
        <w:gridCol w:w="1296"/>
        <w:gridCol w:w="1354"/>
        <w:gridCol w:w="1887"/>
        <w:gridCol w:w="6718"/>
        <w:gridCol w:w="2218"/>
        <w:gridCol w:w="2052"/>
        <w:gridCol w:w="1498"/>
        <w:gridCol w:w="1551"/>
      </w:tblGrid>
      <w:tr>
        <w:trPr>
          <w:trHeight w:val="730" w:hRule="atLeast"/>
        </w:trPr>
        <w:tc>
          <w:tcPr>
            <w:tcW w:w="1180" w:type="dxa"/>
            <w:tcBorders>
              <w:right w:val="single" w:sz="4" w:space="0" w:color="FFFFFF"/>
            </w:tcBorders>
            <w:shd w:val="clear" w:color="auto" w:fill="A7A9AC"/>
          </w:tcPr>
          <w:p>
            <w:pPr>
              <w:pStyle w:val="TableParagraph"/>
              <w:spacing w:before="79"/>
              <w:rPr>
                <w:b/>
                <w:sz w:val="18"/>
              </w:rPr>
            </w:pPr>
          </w:p>
          <w:p>
            <w:pPr>
              <w:pStyle w:val="TableParagraph"/>
              <w:ind w:left="80"/>
              <w:rPr>
                <w:b/>
                <w:sz w:val="18"/>
              </w:rPr>
            </w:pPr>
            <w:r>
              <w:rPr>
                <w:b/>
                <w:color w:val="FFFFFF"/>
                <w:spacing w:val="-2"/>
                <w:sz w:val="18"/>
              </w:rPr>
              <w:t>Priority</w:t>
            </w:r>
          </w:p>
        </w:tc>
        <w:tc>
          <w:tcPr>
            <w:tcW w:w="1267" w:type="dxa"/>
            <w:tcBorders>
              <w:left w:val="single" w:sz="4" w:space="0" w:color="FFFFFF"/>
              <w:right w:val="single" w:sz="4" w:space="0" w:color="FFFFFF"/>
            </w:tcBorders>
            <w:shd w:val="clear" w:color="auto" w:fill="A7A9AC"/>
          </w:tcPr>
          <w:p>
            <w:pPr>
              <w:pStyle w:val="TableParagraph"/>
              <w:spacing w:before="79"/>
              <w:rPr>
                <w:b/>
                <w:sz w:val="18"/>
              </w:rPr>
            </w:pPr>
          </w:p>
          <w:p>
            <w:pPr>
              <w:pStyle w:val="TableParagraph"/>
              <w:ind w:left="80"/>
              <w:rPr>
                <w:b/>
                <w:sz w:val="18"/>
              </w:rPr>
            </w:pPr>
            <w:r>
              <w:rPr>
                <w:b/>
                <w:color w:val="FFFFFF"/>
                <w:w w:val="90"/>
                <w:sz w:val="18"/>
              </w:rPr>
              <w:t>Focus</w:t>
            </w:r>
            <w:r>
              <w:rPr>
                <w:b/>
                <w:color w:val="FFFFFF"/>
                <w:spacing w:val="8"/>
                <w:sz w:val="18"/>
              </w:rPr>
              <w:t> </w:t>
            </w:r>
            <w:r>
              <w:rPr>
                <w:b/>
                <w:color w:val="FFFFFF"/>
                <w:spacing w:val="-4"/>
                <w:sz w:val="18"/>
              </w:rPr>
              <w:t>Area</w:t>
            </w:r>
          </w:p>
        </w:tc>
        <w:tc>
          <w:tcPr>
            <w:tcW w:w="1267" w:type="dxa"/>
            <w:tcBorders>
              <w:left w:val="single" w:sz="4" w:space="0" w:color="FFFFFF"/>
              <w:right w:val="single" w:sz="4" w:space="0" w:color="FFFFFF"/>
            </w:tcBorders>
            <w:shd w:val="clear" w:color="auto" w:fill="A7A9AC"/>
          </w:tcPr>
          <w:p>
            <w:pPr>
              <w:pStyle w:val="TableParagraph"/>
              <w:spacing w:line="232" w:lineRule="auto" w:before="191"/>
              <w:ind w:left="80" w:right="237"/>
              <w:rPr>
                <w:b/>
                <w:sz w:val="18"/>
              </w:rPr>
            </w:pPr>
            <w:r>
              <w:rPr>
                <w:b/>
                <w:color w:val="FFFFFF"/>
                <w:spacing w:val="-6"/>
                <w:sz w:val="18"/>
              </w:rPr>
              <w:t>Goal</w:t>
            </w:r>
            <w:r>
              <w:rPr>
                <w:b/>
                <w:color w:val="FFFFFF"/>
                <w:spacing w:val="-7"/>
                <w:sz w:val="18"/>
              </w:rPr>
              <w:t> </w:t>
            </w:r>
            <w:r>
              <w:rPr>
                <w:b/>
                <w:color w:val="FFFFFF"/>
                <w:spacing w:val="-6"/>
                <w:sz w:val="18"/>
              </w:rPr>
              <w:t>Focus </w:t>
            </w:r>
            <w:r>
              <w:rPr>
                <w:b/>
                <w:color w:val="FFFFFF"/>
                <w:spacing w:val="-4"/>
                <w:sz w:val="18"/>
              </w:rPr>
              <w:t>Area</w:t>
            </w:r>
          </w:p>
        </w:tc>
        <w:tc>
          <w:tcPr>
            <w:tcW w:w="1296" w:type="dxa"/>
            <w:tcBorders>
              <w:left w:val="single" w:sz="4" w:space="0" w:color="FFFFFF"/>
              <w:right w:val="single" w:sz="4" w:space="0" w:color="FFFFFF"/>
            </w:tcBorders>
            <w:shd w:val="clear" w:color="auto" w:fill="A7A9AC"/>
          </w:tcPr>
          <w:p>
            <w:pPr>
              <w:pStyle w:val="TableParagraph"/>
              <w:spacing w:before="79"/>
              <w:rPr>
                <w:b/>
                <w:sz w:val="18"/>
              </w:rPr>
            </w:pPr>
          </w:p>
          <w:p>
            <w:pPr>
              <w:pStyle w:val="TableParagraph"/>
              <w:ind w:left="80"/>
              <w:rPr>
                <w:b/>
                <w:sz w:val="18"/>
              </w:rPr>
            </w:pPr>
            <w:r>
              <w:rPr>
                <w:b/>
                <w:color w:val="FFFFFF"/>
                <w:spacing w:val="-2"/>
                <w:sz w:val="18"/>
              </w:rPr>
              <w:t>Objectives</w:t>
            </w:r>
          </w:p>
        </w:tc>
        <w:tc>
          <w:tcPr>
            <w:tcW w:w="1354" w:type="dxa"/>
            <w:tcBorders>
              <w:left w:val="single" w:sz="4" w:space="0" w:color="FFFFFF"/>
              <w:right w:val="single" w:sz="4" w:space="0" w:color="FFFFFF"/>
            </w:tcBorders>
            <w:shd w:val="clear" w:color="auto" w:fill="A7A9AC"/>
          </w:tcPr>
          <w:p>
            <w:pPr>
              <w:pStyle w:val="TableParagraph"/>
              <w:spacing w:before="79"/>
              <w:rPr>
                <w:b/>
                <w:sz w:val="18"/>
              </w:rPr>
            </w:pPr>
          </w:p>
          <w:p>
            <w:pPr>
              <w:pStyle w:val="TableParagraph"/>
              <w:ind w:left="80"/>
              <w:rPr>
                <w:b/>
                <w:sz w:val="18"/>
              </w:rPr>
            </w:pPr>
            <w:r>
              <w:rPr>
                <w:b/>
                <w:color w:val="FFFFFF"/>
                <w:spacing w:val="-2"/>
                <w:sz w:val="18"/>
              </w:rPr>
              <w:t>Disparities</w:t>
            </w:r>
          </w:p>
        </w:tc>
        <w:tc>
          <w:tcPr>
            <w:tcW w:w="1887" w:type="dxa"/>
            <w:tcBorders>
              <w:left w:val="single" w:sz="4" w:space="0" w:color="FFFFFF"/>
              <w:right w:val="single" w:sz="4" w:space="0" w:color="FFFFFF"/>
            </w:tcBorders>
            <w:shd w:val="clear" w:color="auto" w:fill="A7A9AC"/>
          </w:tcPr>
          <w:p>
            <w:pPr>
              <w:pStyle w:val="TableParagraph"/>
              <w:spacing w:before="79"/>
              <w:rPr>
                <w:b/>
                <w:sz w:val="18"/>
              </w:rPr>
            </w:pPr>
          </w:p>
          <w:p>
            <w:pPr>
              <w:pStyle w:val="TableParagraph"/>
              <w:ind w:left="80"/>
              <w:rPr>
                <w:b/>
                <w:sz w:val="18"/>
              </w:rPr>
            </w:pPr>
            <w:r>
              <w:rPr>
                <w:b/>
                <w:color w:val="FFFFFF"/>
                <w:spacing w:val="-2"/>
                <w:sz w:val="18"/>
              </w:rPr>
              <w:t>Interventions</w:t>
            </w:r>
          </w:p>
        </w:tc>
        <w:tc>
          <w:tcPr>
            <w:tcW w:w="6718" w:type="dxa"/>
            <w:tcBorders>
              <w:left w:val="single" w:sz="4" w:space="0" w:color="FFFFFF"/>
              <w:right w:val="single" w:sz="4" w:space="0" w:color="FFFFFF"/>
            </w:tcBorders>
            <w:shd w:val="clear" w:color="auto" w:fill="A7A9AC"/>
          </w:tcPr>
          <w:p>
            <w:pPr>
              <w:pStyle w:val="TableParagraph"/>
              <w:spacing w:before="3"/>
              <w:rPr>
                <w:b/>
                <w:sz w:val="18"/>
              </w:rPr>
            </w:pPr>
          </w:p>
          <w:p>
            <w:pPr>
              <w:pStyle w:val="TableParagraph"/>
              <w:tabs>
                <w:tab w:pos="3974" w:val="left" w:leader="none"/>
              </w:tabs>
              <w:spacing w:line="156" w:lineRule="auto"/>
              <w:ind w:left="3974" w:right="625" w:hanging="3885"/>
              <w:rPr>
                <w:b/>
                <w:sz w:val="18"/>
              </w:rPr>
            </w:pPr>
            <w:r>
              <w:rPr>
                <w:b/>
                <w:color w:val="FFFFFF"/>
                <w:position w:val="-9"/>
                <w:sz w:val="18"/>
              </w:rPr>
              <w:t>Family of Measures</w:t>
              <w:tab/>
            </w:r>
            <w:r>
              <w:rPr>
                <w:b/>
                <w:color w:val="FFFFFF"/>
                <w:sz w:val="18"/>
              </w:rPr>
              <w:t>Projected</w:t>
            </w:r>
            <w:r>
              <w:rPr>
                <w:b/>
                <w:color w:val="FFFFFF"/>
                <w:spacing w:val="-15"/>
                <w:sz w:val="18"/>
              </w:rPr>
              <w:t> </w:t>
            </w:r>
            <w:r>
              <w:rPr>
                <w:b/>
                <w:color w:val="FFFFFF"/>
                <w:sz w:val="18"/>
              </w:rPr>
              <w:t>(or</w:t>
            </w:r>
            <w:r>
              <w:rPr>
                <w:b/>
                <w:color w:val="FFFFFF"/>
                <w:spacing w:val="-12"/>
                <w:sz w:val="18"/>
              </w:rPr>
              <w:t> </w:t>
            </w:r>
            <w:r>
              <w:rPr>
                <w:b/>
                <w:color w:val="FFFFFF"/>
                <w:sz w:val="18"/>
              </w:rPr>
              <w:t>completed) Year 1 Intervention</w:t>
            </w:r>
          </w:p>
        </w:tc>
        <w:tc>
          <w:tcPr>
            <w:tcW w:w="2218" w:type="dxa"/>
            <w:tcBorders>
              <w:left w:val="single" w:sz="4" w:space="0" w:color="FFFFFF"/>
              <w:right w:val="single" w:sz="4" w:space="0" w:color="FFFFFF"/>
            </w:tcBorders>
            <w:shd w:val="clear" w:color="auto" w:fill="A7A9AC"/>
          </w:tcPr>
          <w:p>
            <w:pPr>
              <w:pStyle w:val="TableParagraph"/>
              <w:spacing w:before="78"/>
              <w:rPr>
                <w:b/>
                <w:sz w:val="18"/>
              </w:rPr>
            </w:pPr>
          </w:p>
          <w:p>
            <w:pPr>
              <w:pStyle w:val="TableParagraph"/>
              <w:spacing w:before="1"/>
              <w:ind w:left="79"/>
              <w:rPr>
                <w:b/>
                <w:sz w:val="18"/>
              </w:rPr>
            </w:pPr>
            <w:r>
              <w:rPr>
                <w:b/>
                <w:color w:val="FFFFFF"/>
                <w:spacing w:val="-2"/>
                <w:sz w:val="18"/>
              </w:rPr>
              <w:t>Projected</w:t>
            </w:r>
            <w:r>
              <w:rPr>
                <w:b/>
                <w:color w:val="FFFFFF"/>
                <w:spacing w:val="-6"/>
                <w:sz w:val="18"/>
              </w:rPr>
              <w:t> </w:t>
            </w:r>
            <w:r>
              <w:rPr>
                <w:b/>
                <w:color w:val="FFFFFF"/>
                <w:spacing w:val="-2"/>
                <w:sz w:val="18"/>
              </w:rPr>
              <w:t>Year</w:t>
            </w:r>
            <w:r>
              <w:rPr>
                <w:b/>
                <w:color w:val="FFFFFF"/>
                <w:spacing w:val="-5"/>
                <w:sz w:val="18"/>
              </w:rPr>
              <w:t> </w:t>
            </w:r>
            <w:r>
              <w:rPr>
                <w:b/>
                <w:color w:val="FFFFFF"/>
                <w:spacing w:val="-12"/>
                <w:sz w:val="18"/>
              </w:rPr>
              <w:t>2</w:t>
            </w:r>
          </w:p>
        </w:tc>
        <w:tc>
          <w:tcPr>
            <w:tcW w:w="2052" w:type="dxa"/>
            <w:tcBorders>
              <w:left w:val="single" w:sz="4" w:space="0" w:color="FFFFFF"/>
              <w:right w:val="single" w:sz="4" w:space="0" w:color="FFFFFF"/>
            </w:tcBorders>
            <w:shd w:val="clear" w:color="auto" w:fill="A7A9AC"/>
          </w:tcPr>
          <w:p>
            <w:pPr>
              <w:pStyle w:val="TableParagraph"/>
              <w:spacing w:line="232" w:lineRule="auto" w:before="190"/>
              <w:ind w:left="79" w:right="42"/>
              <w:rPr>
                <w:b/>
                <w:sz w:val="18"/>
              </w:rPr>
            </w:pPr>
            <w:r>
              <w:rPr>
                <w:b/>
                <w:color w:val="FFFFFF"/>
                <w:spacing w:val="-2"/>
                <w:sz w:val="18"/>
              </w:rPr>
              <w:t>Projected</w:t>
            </w:r>
            <w:r>
              <w:rPr>
                <w:b/>
                <w:color w:val="FFFFFF"/>
                <w:spacing w:val="-13"/>
                <w:sz w:val="18"/>
              </w:rPr>
              <w:t> </w:t>
            </w:r>
            <w:r>
              <w:rPr>
                <w:b/>
                <w:color w:val="FFFFFF"/>
                <w:spacing w:val="-2"/>
                <w:sz w:val="18"/>
              </w:rPr>
              <w:t>Year</w:t>
            </w:r>
            <w:r>
              <w:rPr>
                <w:b/>
                <w:color w:val="FFFFFF"/>
                <w:spacing w:val="-10"/>
                <w:sz w:val="18"/>
              </w:rPr>
              <w:t> </w:t>
            </w:r>
            <w:r>
              <w:rPr>
                <w:b/>
                <w:color w:val="FFFFFF"/>
                <w:spacing w:val="-2"/>
                <w:sz w:val="18"/>
              </w:rPr>
              <w:t>3 Interventions</w:t>
            </w:r>
          </w:p>
        </w:tc>
        <w:tc>
          <w:tcPr>
            <w:tcW w:w="1498" w:type="dxa"/>
            <w:tcBorders>
              <w:left w:val="single" w:sz="4" w:space="0" w:color="FFFFFF"/>
            </w:tcBorders>
            <w:shd w:val="clear" w:color="auto" w:fill="A7A9AC"/>
          </w:tcPr>
          <w:p>
            <w:pPr>
              <w:pStyle w:val="TableParagraph"/>
              <w:spacing w:line="232" w:lineRule="auto" w:before="190"/>
              <w:ind w:left="79"/>
              <w:rPr>
                <w:b/>
                <w:sz w:val="18"/>
              </w:rPr>
            </w:pPr>
            <w:r>
              <w:rPr>
                <w:b/>
                <w:color w:val="FFFFFF"/>
                <w:spacing w:val="-2"/>
                <w:sz w:val="18"/>
              </w:rPr>
              <w:t>Implementation Partner</w:t>
            </w:r>
          </w:p>
        </w:tc>
        <w:tc>
          <w:tcPr>
            <w:tcW w:w="1551" w:type="dxa"/>
            <w:shd w:val="clear" w:color="auto" w:fill="A7A9AC"/>
          </w:tcPr>
          <w:p>
            <w:pPr>
              <w:pStyle w:val="TableParagraph"/>
              <w:spacing w:line="232" w:lineRule="auto" w:before="190"/>
              <w:ind w:left="78" w:right="217"/>
              <w:rPr>
                <w:b/>
                <w:sz w:val="18"/>
              </w:rPr>
            </w:pPr>
            <w:r>
              <w:rPr>
                <w:b/>
                <w:color w:val="FFFFFF"/>
                <w:spacing w:val="-4"/>
                <w:sz w:val="18"/>
              </w:rPr>
              <w:t>Partner</w:t>
            </w:r>
            <w:r>
              <w:rPr>
                <w:b/>
                <w:color w:val="FFFFFF"/>
                <w:spacing w:val="-9"/>
                <w:sz w:val="18"/>
              </w:rPr>
              <w:t> </w:t>
            </w:r>
            <w:r>
              <w:rPr>
                <w:b/>
                <w:color w:val="FFFFFF"/>
                <w:spacing w:val="-4"/>
                <w:sz w:val="18"/>
              </w:rPr>
              <w:t>Role(s) </w:t>
            </w:r>
            <w:r>
              <w:rPr>
                <w:b/>
                <w:color w:val="FFFFFF"/>
                <w:sz w:val="18"/>
              </w:rPr>
              <w:t>and</w:t>
            </w:r>
            <w:r>
              <w:rPr>
                <w:b/>
                <w:color w:val="FFFFFF"/>
                <w:spacing w:val="-7"/>
                <w:sz w:val="18"/>
              </w:rPr>
              <w:t> Resources</w:t>
            </w:r>
          </w:p>
        </w:tc>
      </w:tr>
      <w:tr>
        <w:trPr>
          <w:trHeight w:val="2840" w:hRule="atLeast"/>
        </w:trPr>
        <w:tc>
          <w:tcPr>
            <w:tcW w:w="1180" w:type="dxa"/>
            <w:vMerge w:val="restart"/>
            <w:shd w:val="clear" w:color="auto" w:fill="E6E7E8"/>
          </w:tcPr>
          <w:p>
            <w:pPr>
              <w:pStyle w:val="TableParagraph"/>
              <w:spacing w:line="232" w:lineRule="auto" w:before="100"/>
              <w:ind w:left="89" w:right="87"/>
              <w:rPr>
                <w:sz w:val="18"/>
              </w:rPr>
            </w:pPr>
            <w:r>
              <w:rPr>
                <w:color w:val="105C84"/>
                <w:spacing w:val="-2"/>
                <w:sz w:val="18"/>
              </w:rPr>
              <w:t>Promote Well-Being </w:t>
            </w:r>
            <w:r>
              <w:rPr>
                <w:color w:val="105C84"/>
                <w:sz w:val="18"/>
              </w:rPr>
              <w:t>and</w:t>
            </w:r>
            <w:r>
              <w:rPr>
                <w:color w:val="105C84"/>
                <w:spacing w:val="-13"/>
                <w:sz w:val="18"/>
              </w:rPr>
              <w:t> </w:t>
            </w:r>
            <w:r>
              <w:rPr>
                <w:color w:val="105C84"/>
                <w:sz w:val="18"/>
              </w:rPr>
              <w:t>Prevent Mental and </w:t>
            </w:r>
            <w:r>
              <w:rPr>
                <w:color w:val="105C84"/>
                <w:spacing w:val="-2"/>
                <w:sz w:val="18"/>
              </w:rPr>
              <w:t>Substance </w:t>
            </w:r>
            <w:r>
              <w:rPr>
                <w:color w:val="105C84"/>
                <w:spacing w:val="-4"/>
                <w:sz w:val="18"/>
              </w:rPr>
              <w:t>Use </w:t>
            </w:r>
            <w:r>
              <w:rPr>
                <w:color w:val="105C84"/>
                <w:spacing w:val="-2"/>
                <w:sz w:val="18"/>
              </w:rPr>
              <w:t>Disorders</w:t>
            </w:r>
          </w:p>
        </w:tc>
        <w:tc>
          <w:tcPr>
            <w:tcW w:w="1267" w:type="dxa"/>
            <w:vMerge w:val="restart"/>
          </w:tcPr>
          <w:p>
            <w:pPr>
              <w:pStyle w:val="TableParagraph"/>
              <w:spacing w:line="232" w:lineRule="auto" w:before="100"/>
              <w:ind w:left="90" w:right="86"/>
              <w:rPr>
                <w:sz w:val="18"/>
              </w:rPr>
            </w:pPr>
            <w:r>
              <w:rPr>
                <w:color w:val="105C84"/>
                <w:spacing w:val="-4"/>
                <w:sz w:val="18"/>
              </w:rPr>
              <w:t>Focus</w:t>
            </w:r>
            <w:r>
              <w:rPr>
                <w:color w:val="105C84"/>
                <w:spacing w:val="-11"/>
                <w:sz w:val="18"/>
              </w:rPr>
              <w:t> </w:t>
            </w:r>
            <w:r>
              <w:rPr>
                <w:color w:val="105C84"/>
                <w:spacing w:val="-4"/>
                <w:sz w:val="18"/>
              </w:rPr>
              <w:t>Area</w:t>
            </w:r>
            <w:r>
              <w:rPr>
                <w:color w:val="105C84"/>
                <w:spacing w:val="-8"/>
                <w:sz w:val="18"/>
              </w:rPr>
              <w:t> </w:t>
            </w:r>
            <w:r>
              <w:rPr>
                <w:color w:val="105C84"/>
                <w:spacing w:val="-4"/>
                <w:sz w:val="18"/>
              </w:rPr>
              <w:t>1: </w:t>
            </w:r>
            <w:r>
              <w:rPr>
                <w:color w:val="105C84"/>
                <w:spacing w:val="-2"/>
                <w:sz w:val="18"/>
              </w:rPr>
              <w:t>Promote</w:t>
            </w:r>
            <w:r>
              <w:rPr>
                <w:color w:val="105C84"/>
                <w:spacing w:val="40"/>
                <w:sz w:val="18"/>
              </w:rPr>
              <w:t> </w:t>
            </w:r>
            <w:r>
              <w:rPr>
                <w:color w:val="105C84"/>
                <w:spacing w:val="-2"/>
                <w:sz w:val="18"/>
              </w:rPr>
              <w:t>Well-Being</w:t>
            </w:r>
          </w:p>
        </w:tc>
        <w:tc>
          <w:tcPr>
            <w:tcW w:w="1267" w:type="dxa"/>
            <w:vMerge w:val="restart"/>
          </w:tcPr>
          <w:p>
            <w:pPr>
              <w:pStyle w:val="TableParagraph"/>
              <w:spacing w:line="232" w:lineRule="auto" w:before="100"/>
              <w:ind w:left="90" w:right="86"/>
              <w:rPr>
                <w:sz w:val="18"/>
              </w:rPr>
            </w:pPr>
            <w:r>
              <w:rPr>
                <w:color w:val="105C84"/>
                <w:w w:val="105"/>
                <w:sz w:val="18"/>
              </w:rPr>
              <w:t>Goal</w:t>
            </w:r>
            <w:r>
              <w:rPr>
                <w:color w:val="105C84"/>
                <w:spacing w:val="-1"/>
                <w:w w:val="105"/>
                <w:sz w:val="18"/>
              </w:rPr>
              <w:t> </w:t>
            </w:r>
            <w:r>
              <w:rPr>
                <w:color w:val="105C84"/>
                <w:w w:val="105"/>
                <w:sz w:val="18"/>
              </w:rPr>
              <w:t>1.1: </w:t>
            </w:r>
            <w:r>
              <w:rPr>
                <w:color w:val="105C84"/>
                <w:spacing w:val="-2"/>
                <w:w w:val="105"/>
                <w:sz w:val="18"/>
              </w:rPr>
              <w:t>Strengthen </w:t>
            </w:r>
            <w:r>
              <w:rPr>
                <w:color w:val="105C84"/>
                <w:spacing w:val="-2"/>
                <w:sz w:val="18"/>
              </w:rPr>
              <w:t>opportunities </w:t>
            </w:r>
            <w:r>
              <w:rPr>
                <w:color w:val="105C84"/>
                <w:w w:val="105"/>
                <w:sz w:val="18"/>
              </w:rPr>
              <w:t>to</w:t>
            </w:r>
            <w:r>
              <w:rPr>
                <w:color w:val="105C84"/>
                <w:spacing w:val="-6"/>
                <w:w w:val="105"/>
                <w:sz w:val="18"/>
              </w:rPr>
              <w:t> </w:t>
            </w:r>
            <w:r>
              <w:rPr>
                <w:color w:val="105C84"/>
                <w:w w:val="105"/>
                <w:sz w:val="18"/>
              </w:rPr>
              <w:t>build</w:t>
            </w:r>
            <w:r>
              <w:rPr>
                <w:color w:val="105C84"/>
                <w:spacing w:val="-6"/>
                <w:w w:val="105"/>
                <w:sz w:val="18"/>
              </w:rPr>
              <w:t> </w:t>
            </w:r>
            <w:r>
              <w:rPr>
                <w:color w:val="105C84"/>
                <w:w w:val="105"/>
                <w:sz w:val="18"/>
              </w:rPr>
              <w:t>well-being</w:t>
            </w:r>
            <w:r>
              <w:rPr>
                <w:color w:val="105C84"/>
                <w:spacing w:val="-1"/>
                <w:w w:val="105"/>
                <w:sz w:val="18"/>
              </w:rPr>
              <w:t> </w:t>
            </w:r>
            <w:r>
              <w:rPr>
                <w:color w:val="105C84"/>
                <w:w w:val="105"/>
                <w:sz w:val="18"/>
              </w:rPr>
              <w:t>and </w:t>
            </w:r>
            <w:r>
              <w:rPr>
                <w:color w:val="105C84"/>
                <w:spacing w:val="-2"/>
                <w:w w:val="105"/>
                <w:sz w:val="18"/>
              </w:rPr>
              <w:t>resilience </w:t>
            </w:r>
            <w:r>
              <w:rPr>
                <w:color w:val="105C84"/>
                <w:w w:val="105"/>
                <w:sz w:val="18"/>
              </w:rPr>
              <w:t>across</w:t>
            </w:r>
            <w:r>
              <w:rPr>
                <w:color w:val="105C84"/>
                <w:spacing w:val="-1"/>
                <w:w w:val="105"/>
                <w:sz w:val="18"/>
              </w:rPr>
              <w:t> </w:t>
            </w:r>
            <w:r>
              <w:rPr>
                <w:color w:val="105C84"/>
                <w:w w:val="105"/>
                <w:sz w:val="18"/>
              </w:rPr>
              <w:t>the </w:t>
            </w:r>
            <w:r>
              <w:rPr>
                <w:color w:val="105C84"/>
                <w:spacing w:val="-2"/>
                <w:w w:val="105"/>
                <w:sz w:val="18"/>
              </w:rPr>
              <w:t>lifespan</w:t>
            </w:r>
          </w:p>
        </w:tc>
        <w:tc>
          <w:tcPr>
            <w:tcW w:w="1296" w:type="dxa"/>
            <w:vMerge w:val="restart"/>
          </w:tcPr>
          <w:p>
            <w:pPr>
              <w:pStyle w:val="TableParagraph"/>
              <w:spacing w:line="203" w:lineRule="exact" w:before="95"/>
              <w:ind w:left="90"/>
              <w:rPr>
                <w:sz w:val="18"/>
              </w:rPr>
            </w:pPr>
            <w:r>
              <w:rPr>
                <w:color w:val="105C84"/>
                <w:spacing w:val="-2"/>
                <w:sz w:val="18"/>
              </w:rPr>
              <w:t>1.1.2.1</w:t>
            </w:r>
          </w:p>
          <w:p>
            <w:pPr>
              <w:pStyle w:val="TableParagraph"/>
              <w:spacing w:line="232" w:lineRule="auto" w:before="2"/>
              <w:ind w:left="90" w:right="99"/>
              <w:rPr>
                <w:sz w:val="18"/>
              </w:rPr>
            </w:pPr>
            <w:r>
              <w:rPr>
                <w:color w:val="105C84"/>
                <w:sz w:val="18"/>
              </w:rPr>
              <w:t>Reduce the </w:t>
            </w:r>
            <w:r>
              <w:rPr>
                <w:color w:val="105C84"/>
                <w:spacing w:val="-2"/>
                <w:sz w:val="18"/>
              </w:rPr>
              <w:t>percentage</w:t>
            </w:r>
            <w:r>
              <w:rPr>
                <w:color w:val="105C84"/>
                <w:spacing w:val="80"/>
                <w:sz w:val="18"/>
              </w:rPr>
              <w:t> </w:t>
            </w:r>
            <w:r>
              <w:rPr>
                <w:color w:val="105C84"/>
                <w:sz w:val="18"/>
              </w:rPr>
              <w:t>of adults 65+ New Yorkers reporting 14 or more days with poor mental</w:t>
            </w:r>
            <w:r>
              <w:rPr>
                <w:color w:val="105C84"/>
                <w:spacing w:val="-13"/>
                <w:sz w:val="18"/>
              </w:rPr>
              <w:t> </w:t>
            </w:r>
            <w:r>
              <w:rPr>
                <w:color w:val="105C84"/>
                <w:sz w:val="18"/>
              </w:rPr>
              <w:t>health in the last </w:t>
            </w:r>
            <w:r>
              <w:rPr>
                <w:color w:val="105C84"/>
                <w:spacing w:val="-2"/>
                <w:sz w:val="18"/>
              </w:rPr>
              <w:t>month</w:t>
            </w:r>
          </w:p>
        </w:tc>
        <w:tc>
          <w:tcPr>
            <w:tcW w:w="1354" w:type="dxa"/>
          </w:tcPr>
          <w:p>
            <w:pPr>
              <w:pStyle w:val="TableParagraph"/>
              <w:rPr>
                <w:rFonts w:ascii="Times New Roman"/>
                <w:sz w:val="18"/>
              </w:rPr>
            </w:pPr>
          </w:p>
        </w:tc>
        <w:tc>
          <w:tcPr>
            <w:tcW w:w="1887" w:type="dxa"/>
            <w:vMerge w:val="restart"/>
          </w:tcPr>
          <w:p>
            <w:pPr>
              <w:pStyle w:val="TableParagraph"/>
              <w:spacing w:line="232" w:lineRule="auto" w:before="100"/>
              <w:ind w:left="90" w:right="243"/>
              <w:rPr>
                <w:sz w:val="18"/>
              </w:rPr>
            </w:pPr>
            <w:r>
              <w:rPr>
                <w:color w:val="105C84"/>
                <w:sz w:val="18"/>
              </w:rPr>
              <w:t>Intervention 1.1.5: Enable resilience for people living with</w:t>
            </w:r>
            <w:r>
              <w:rPr>
                <w:color w:val="105C84"/>
                <w:spacing w:val="-15"/>
                <w:sz w:val="18"/>
              </w:rPr>
              <w:t> </w:t>
            </w:r>
            <w:r>
              <w:rPr>
                <w:color w:val="105C84"/>
                <w:sz w:val="18"/>
              </w:rPr>
              <w:t>chronic</w:t>
            </w:r>
            <w:r>
              <w:rPr>
                <w:color w:val="105C84"/>
                <w:spacing w:val="-12"/>
                <w:sz w:val="18"/>
              </w:rPr>
              <w:t> </w:t>
            </w:r>
            <w:r>
              <w:rPr>
                <w:color w:val="105C84"/>
                <w:sz w:val="18"/>
              </w:rPr>
              <w:t>illness: </w:t>
            </w:r>
            <w:r>
              <w:rPr>
                <w:color w:val="105C84"/>
                <w:spacing w:val="-2"/>
                <w:sz w:val="18"/>
              </w:rPr>
              <w:t>strengthening protective</w:t>
            </w:r>
          </w:p>
          <w:p>
            <w:pPr>
              <w:pStyle w:val="TableParagraph"/>
              <w:spacing w:line="232" w:lineRule="auto"/>
              <w:ind w:left="90" w:right="80"/>
              <w:rPr>
                <w:sz w:val="18"/>
              </w:rPr>
            </w:pPr>
            <w:r>
              <w:rPr>
                <w:color w:val="105C84"/>
                <w:sz w:val="18"/>
              </w:rPr>
              <w:t>factors include independence,</w:t>
            </w:r>
            <w:r>
              <w:rPr>
                <w:color w:val="105C84"/>
                <w:spacing w:val="-13"/>
                <w:sz w:val="18"/>
              </w:rPr>
              <w:t> </w:t>
            </w:r>
            <w:r>
              <w:rPr>
                <w:color w:val="105C84"/>
                <w:sz w:val="18"/>
              </w:rPr>
              <w:t>social support, positive explanatory styles, self-care, self-esteem,</w:t>
            </w:r>
            <w:r>
              <w:rPr>
                <w:color w:val="105C84"/>
                <w:spacing w:val="-13"/>
                <w:sz w:val="18"/>
              </w:rPr>
              <w:t> </w:t>
            </w:r>
            <w:r>
              <w:rPr>
                <w:color w:val="105C84"/>
                <w:sz w:val="18"/>
              </w:rPr>
              <w:t>and</w:t>
            </w:r>
            <w:r>
              <w:rPr>
                <w:color w:val="105C84"/>
                <w:spacing w:val="-12"/>
                <w:sz w:val="18"/>
              </w:rPr>
              <w:t> </w:t>
            </w:r>
            <w:r>
              <w:rPr>
                <w:color w:val="105C84"/>
                <w:sz w:val="18"/>
              </w:rPr>
              <w:t>reduced </w:t>
            </w:r>
            <w:r>
              <w:rPr>
                <w:color w:val="105C84"/>
                <w:spacing w:val="-2"/>
                <w:sz w:val="18"/>
              </w:rPr>
              <w:t>anxiety</w:t>
            </w:r>
          </w:p>
        </w:tc>
        <w:tc>
          <w:tcPr>
            <w:tcW w:w="6718" w:type="dxa"/>
          </w:tcPr>
          <w:p>
            <w:pPr>
              <w:pStyle w:val="TableParagraph"/>
              <w:tabs>
                <w:tab w:pos="3974" w:val="left" w:leader="none"/>
              </w:tabs>
              <w:spacing w:line="203" w:lineRule="exact" w:before="95"/>
              <w:ind w:left="89"/>
              <w:rPr>
                <w:sz w:val="18"/>
              </w:rPr>
            </w:pPr>
            <w:r>
              <w:rPr>
                <w:color w:val="105C84"/>
                <w:spacing w:val="-2"/>
                <w:sz w:val="18"/>
              </w:rPr>
              <w:t>WHIP</w:t>
            </w:r>
            <w:r>
              <w:rPr>
                <w:color w:val="105C84"/>
                <w:spacing w:val="-5"/>
                <w:sz w:val="18"/>
              </w:rPr>
              <w:t> </w:t>
            </w:r>
            <w:r>
              <w:rPr>
                <w:color w:val="105C84"/>
                <w:spacing w:val="-2"/>
                <w:sz w:val="18"/>
              </w:rPr>
              <w:t>minutes</w:t>
            </w:r>
            <w:r>
              <w:rPr>
                <w:color w:val="105C84"/>
                <w:spacing w:val="-5"/>
                <w:sz w:val="18"/>
              </w:rPr>
              <w:t> </w:t>
            </w:r>
            <w:r>
              <w:rPr>
                <w:color w:val="105C84"/>
                <w:spacing w:val="-2"/>
                <w:sz w:val="18"/>
              </w:rPr>
              <w:t>showing</w:t>
            </w:r>
            <w:r>
              <w:rPr>
                <w:color w:val="105C84"/>
                <w:sz w:val="18"/>
              </w:rPr>
              <w:tab/>
            </w:r>
            <w:r>
              <w:rPr>
                <w:color w:val="105C84"/>
                <w:spacing w:val="-2"/>
                <w:sz w:val="18"/>
              </w:rPr>
              <w:t>Re-evaluate</w:t>
            </w:r>
            <w:r>
              <w:rPr>
                <w:color w:val="105C84"/>
                <w:spacing w:val="-10"/>
                <w:sz w:val="18"/>
              </w:rPr>
              <w:t> </w:t>
            </w:r>
            <w:r>
              <w:rPr>
                <w:color w:val="105C84"/>
                <w:spacing w:val="-2"/>
                <w:sz w:val="18"/>
              </w:rPr>
              <w:t>previously</w:t>
            </w:r>
            <w:r>
              <w:rPr>
                <w:color w:val="105C84"/>
                <w:spacing w:val="-9"/>
                <w:sz w:val="18"/>
              </w:rPr>
              <w:t> </w:t>
            </w:r>
            <w:r>
              <w:rPr>
                <w:color w:val="105C84"/>
                <w:spacing w:val="-2"/>
                <w:sz w:val="18"/>
              </w:rPr>
              <w:t>identified</w:t>
            </w:r>
          </w:p>
          <w:p>
            <w:pPr>
              <w:pStyle w:val="TableParagraph"/>
              <w:tabs>
                <w:tab w:pos="3974" w:val="left" w:leader="none"/>
              </w:tabs>
              <w:spacing w:line="200" w:lineRule="exact"/>
              <w:ind w:left="89"/>
              <w:rPr>
                <w:sz w:val="18"/>
              </w:rPr>
            </w:pPr>
            <w:r>
              <w:rPr>
                <w:color w:val="105C84"/>
                <w:sz w:val="18"/>
              </w:rPr>
              <w:t>compilation</w:t>
            </w:r>
            <w:r>
              <w:rPr>
                <w:color w:val="105C84"/>
                <w:spacing w:val="15"/>
                <w:sz w:val="18"/>
              </w:rPr>
              <w:t> </w:t>
            </w:r>
            <w:r>
              <w:rPr>
                <w:color w:val="105C84"/>
                <w:sz w:val="18"/>
              </w:rPr>
              <w:t>of</w:t>
            </w:r>
            <w:r>
              <w:rPr>
                <w:color w:val="105C84"/>
                <w:spacing w:val="15"/>
                <w:sz w:val="18"/>
              </w:rPr>
              <w:t> </w:t>
            </w:r>
            <w:r>
              <w:rPr>
                <w:color w:val="105C84"/>
                <w:spacing w:val="-2"/>
                <w:sz w:val="18"/>
              </w:rPr>
              <w:t>barriers</w:t>
            </w:r>
            <w:r>
              <w:rPr>
                <w:color w:val="105C84"/>
                <w:sz w:val="18"/>
              </w:rPr>
              <w:tab/>
              <w:t>barriers</w:t>
            </w:r>
            <w:r>
              <w:rPr>
                <w:color w:val="105C84"/>
                <w:spacing w:val="10"/>
                <w:sz w:val="18"/>
              </w:rPr>
              <w:t> </w:t>
            </w:r>
            <w:r>
              <w:rPr>
                <w:color w:val="105C84"/>
                <w:sz w:val="18"/>
              </w:rPr>
              <w:t>to</w:t>
            </w:r>
            <w:r>
              <w:rPr>
                <w:color w:val="105C84"/>
                <w:spacing w:val="10"/>
                <w:sz w:val="18"/>
              </w:rPr>
              <w:t> </w:t>
            </w:r>
            <w:r>
              <w:rPr>
                <w:color w:val="105C84"/>
                <w:sz w:val="18"/>
              </w:rPr>
              <w:t>implementation</w:t>
            </w:r>
            <w:r>
              <w:rPr>
                <w:color w:val="105C84"/>
                <w:spacing w:val="11"/>
                <w:sz w:val="18"/>
              </w:rPr>
              <w:t> </w:t>
            </w:r>
            <w:r>
              <w:rPr>
                <w:color w:val="105C84"/>
                <w:spacing w:val="-5"/>
                <w:sz w:val="18"/>
              </w:rPr>
              <w:t>of</w:t>
            </w:r>
          </w:p>
          <w:p>
            <w:pPr>
              <w:pStyle w:val="TableParagraph"/>
              <w:tabs>
                <w:tab w:pos="3974" w:val="left" w:leader="none"/>
              </w:tabs>
              <w:spacing w:line="232" w:lineRule="auto" w:before="1"/>
              <w:ind w:left="3974" w:right="124" w:hanging="3885"/>
              <w:rPr>
                <w:sz w:val="18"/>
              </w:rPr>
            </w:pPr>
            <w:r>
              <w:rPr>
                <w:color w:val="105C84"/>
                <w:sz w:val="18"/>
              </w:rPr>
              <w:t>and plans to address</w:t>
              <w:tab/>
              <w:t>certain chronic disease self-management programs to see which</w:t>
            </w:r>
            <w:r>
              <w:rPr>
                <w:color w:val="105C84"/>
                <w:spacing w:val="-9"/>
                <w:sz w:val="18"/>
              </w:rPr>
              <w:t> </w:t>
            </w:r>
            <w:r>
              <w:rPr>
                <w:color w:val="105C84"/>
                <w:sz w:val="18"/>
              </w:rPr>
              <w:t>are</w:t>
            </w:r>
            <w:r>
              <w:rPr>
                <w:color w:val="105C84"/>
                <w:spacing w:val="-9"/>
                <w:sz w:val="18"/>
              </w:rPr>
              <w:t> </w:t>
            </w:r>
            <w:r>
              <w:rPr>
                <w:color w:val="105C84"/>
                <w:sz w:val="18"/>
              </w:rPr>
              <w:t>still</w:t>
            </w:r>
            <w:r>
              <w:rPr>
                <w:color w:val="105C84"/>
                <w:spacing w:val="-9"/>
                <w:sz w:val="18"/>
              </w:rPr>
              <w:t> </w:t>
            </w:r>
            <w:r>
              <w:rPr>
                <w:color w:val="105C84"/>
                <w:sz w:val="18"/>
              </w:rPr>
              <w:t>in</w:t>
            </w:r>
            <w:r>
              <w:rPr>
                <w:color w:val="105C84"/>
                <w:spacing w:val="-9"/>
                <w:sz w:val="18"/>
              </w:rPr>
              <w:t> </w:t>
            </w:r>
            <w:r>
              <w:rPr>
                <w:color w:val="105C84"/>
                <w:sz w:val="18"/>
              </w:rPr>
              <w:t>effect</w:t>
            </w:r>
            <w:r>
              <w:rPr>
                <w:color w:val="105C84"/>
                <w:spacing w:val="-9"/>
                <w:sz w:val="18"/>
              </w:rPr>
              <w:t> </w:t>
            </w:r>
            <w:r>
              <w:rPr>
                <w:color w:val="105C84"/>
                <w:sz w:val="18"/>
              </w:rPr>
              <w:t>and</w:t>
            </w:r>
            <w:r>
              <w:rPr>
                <w:color w:val="105C84"/>
                <w:spacing w:val="-9"/>
                <w:sz w:val="18"/>
              </w:rPr>
              <w:t> </w:t>
            </w:r>
            <w:r>
              <w:rPr>
                <w:color w:val="105C84"/>
                <w:sz w:val="18"/>
              </w:rPr>
              <w:t>which are resolved; update 2020 work under this initiative to address those barriers to extent possible</w:t>
            </w:r>
          </w:p>
          <w:p>
            <w:pPr>
              <w:pStyle w:val="TableParagraph"/>
              <w:spacing w:line="232" w:lineRule="auto" w:before="85"/>
              <w:ind w:left="3974" w:right="257"/>
              <w:jc w:val="both"/>
              <w:rPr>
                <w:sz w:val="18"/>
              </w:rPr>
            </w:pPr>
            <w:r>
              <w:rPr>
                <w:color w:val="105C84"/>
                <w:sz w:val="18"/>
              </w:rPr>
              <w:t>Agencies:</w:t>
            </w:r>
            <w:r>
              <w:rPr>
                <w:color w:val="105C84"/>
                <w:spacing w:val="-9"/>
                <w:sz w:val="18"/>
              </w:rPr>
              <w:t> </w:t>
            </w:r>
            <w:r>
              <w:rPr>
                <w:color w:val="105C84"/>
                <w:sz w:val="18"/>
              </w:rPr>
              <w:t>Public</w:t>
            </w:r>
            <w:r>
              <w:rPr>
                <w:color w:val="105C84"/>
                <w:spacing w:val="-9"/>
                <w:sz w:val="18"/>
              </w:rPr>
              <w:t> </w:t>
            </w:r>
            <w:r>
              <w:rPr>
                <w:color w:val="105C84"/>
                <w:sz w:val="18"/>
              </w:rPr>
              <w:t>Health,</w:t>
            </w:r>
            <w:r>
              <w:rPr>
                <w:color w:val="105C84"/>
                <w:spacing w:val="-9"/>
                <w:sz w:val="18"/>
              </w:rPr>
              <w:t> </w:t>
            </w:r>
            <w:r>
              <w:rPr>
                <w:color w:val="105C84"/>
                <w:sz w:val="18"/>
              </w:rPr>
              <w:t>Aging </w:t>
            </w:r>
            <w:r>
              <w:rPr>
                <w:color w:val="105C84"/>
                <w:spacing w:val="-4"/>
                <w:sz w:val="18"/>
              </w:rPr>
              <w:t>&amp;</w:t>
            </w:r>
            <w:r>
              <w:rPr>
                <w:color w:val="105C84"/>
                <w:spacing w:val="-11"/>
                <w:sz w:val="18"/>
              </w:rPr>
              <w:t> </w:t>
            </w:r>
            <w:r>
              <w:rPr>
                <w:color w:val="105C84"/>
                <w:spacing w:val="-4"/>
                <w:sz w:val="18"/>
              </w:rPr>
              <w:t>Youth,</w:t>
            </w:r>
            <w:r>
              <w:rPr>
                <w:color w:val="105C84"/>
                <w:spacing w:val="-8"/>
                <w:sz w:val="18"/>
              </w:rPr>
              <w:t> </w:t>
            </w:r>
            <w:r>
              <w:rPr>
                <w:color w:val="105C84"/>
                <w:spacing w:val="-4"/>
                <w:sz w:val="18"/>
              </w:rPr>
              <w:t>Wayne</w:t>
            </w:r>
            <w:r>
              <w:rPr>
                <w:color w:val="105C84"/>
                <w:spacing w:val="-9"/>
                <w:sz w:val="18"/>
              </w:rPr>
              <w:t> </w:t>
            </w:r>
            <w:r>
              <w:rPr>
                <w:color w:val="105C84"/>
                <w:spacing w:val="-4"/>
                <w:sz w:val="18"/>
              </w:rPr>
              <w:t>CAP,</w:t>
            </w:r>
            <w:r>
              <w:rPr>
                <w:color w:val="105C84"/>
                <w:spacing w:val="-8"/>
                <w:sz w:val="18"/>
              </w:rPr>
              <w:t> </w:t>
            </w:r>
            <w:r>
              <w:rPr>
                <w:color w:val="105C84"/>
                <w:spacing w:val="-4"/>
                <w:sz w:val="18"/>
              </w:rPr>
              <w:t>WCRHN, </w:t>
            </w:r>
            <w:r>
              <w:rPr>
                <w:color w:val="105C84"/>
                <w:sz w:val="18"/>
              </w:rPr>
              <w:t>FLCH,</w:t>
            </w:r>
            <w:r>
              <w:rPr>
                <w:color w:val="105C84"/>
                <w:spacing w:val="-12"/>
                <w:sz w:val="18"/>
              </w:rPr>
              <w:t> </w:t>
            </w:r>
            <w:r>
              <w:rPr>
                <w:color w:val="105C84"/>
                <w:sz w:val="18"/>
              </w:rPr>
              <w:t>any</w:t>
            </w:r>
            <w:r>
              <w:rPr>
                <w:color w:val="105C84"/>
                <w:spacing w:val="-12"/>
                <w:sz w:val="18"/>
              </w:rPr>
              <w:t> </w:t>
            </w:r>
            <w:r>
              <w:rPr>
                <w:color w:val="105C84"/>
                <w:sz w:val="18"/>
              </w:rPr>
              <w:t>agency</w:t>
            </w:r>
            <w:r>
              <w:rPr>
                <w:color w:val="105C84"/>
                <w:spacing w:val="-12"/>
                <w:sz w:val="18"/>
              </w:rPr>
              <w:t> </w:t>
            </w:r>
            <w:r>
              <w:rPr>
                <w:color w:val="105C84"/>
                <w:sz w:val="18"/>
              </w:rPr>
              <w:t>offering</w:t>
            </w:r>
            <w:r>
              <w:rPr>
                <w:color w:val="105C84"/>
                <w:spacing w:val="-12"/>
                <w:sz w:val="18"/>
              </w:rPr>
              <w:t> </w:t>
            </w:r>
            <w:r>
              <w:rPr>
                <w:color w:val="105C84"/>
                <w:sz w:val="18"/>
              </w:rPr>
              <w:t>any type</w:t>
            </w:r>
            <w:r>
              <w:rPr>
                <w:color w:val="105C84"/>
                <w:spacing w:val="-2"/>
                <w:sz w:val="18"/>
              </w:rPr>
              <w:t> </w:t>
            </w:r>
            <w:r>
              <w:rPr>
                <w:color w:val="105C84"/>
                <w:sz w:val="18"/>
              </w:rPr>
              <w:t>of</w:t>
            </w:r>
            <w:r>
              <w:rPr>
                <w:color w:val="105C84"/>
                <w:spacing w:val="-2"/>
                <w:sz w:val="18"/>
              </w:rPr>
              <w:t> </w:t>
            </w:r>
            <w:r>
              <w:rPr>
                <w:color w:val="105C84"/>
                <w:sz w:val="18"/>
              </w:rPr>
              <w:t>evidence-based</w:t>
            </w:r>
            <w:r>
              <w:rPr>
                <w:color w:val="105C84"/>
                <w:spacing w:val="-2"/>
                <w:sz w:val="18"/>
              </w:rPr>
              <w:t> </w:t>
            </w:r>
            <w:r>
              <w:rPr>
                <w:color w:val="105C84"/>
                <w:sz w:val="18"/>
              </w:rPr>
              <w:t>CDSM </w:t>
            </w:r>
            <w:r>
              <w:rPr>
                <w:color w:val="105C84"/>
                <w:spacing w:val="-2"/>
                <w:sz w:val="18"/>
              </w:rPr>
              <w:t>course</w:t>
            </w:r>
          </w:p>
        </w:tc>
        <w:tc>
          <w:tcPr>
            <w:tcW w:w="2218" w:type="dxa"/>
          </w:tcPr>
          <w:p>
            <w:pPr>
              <w:pStyle w:val="TableParagraph"/>
              <w:rPr>
                <w:rFonts w:ascii="Times New Roman"/>
                <w:sz w:val="18"/>
              </w:rPr>
            </w:pPr>
          </w:p>
        </w:tc>
        <w:tc>
          <w:tcPr>
            <w:tcW w:w="2052" w:type="dxa"/>
          </w:tcPr>
          <w:p>
            <w:pPr>
              <w:pStyle w:val="TableParagraph"/>
              <w:rPr>
                <w:rFonts w:ascii="Times New Roman"/>
                <w:sz w:val="18"/>
              </w:rPr>
            </w:pPr>
          </w:p>
        </w:tc>
        <w:tc>
          <w:tcPr>
            <w:tcW w:w="1498" w:type="dxa"/>
          </w:tcPr>
          <w:p>
            <w:pPr>
              <w:pStyle w:val="TableParagraph"/>
              <w:spacing w:line="232" w:lineRule="auto" w:before="100"/>
              <w:ind w:left="88"/>
              <w:rPr>
                <w:sz w:val="18"/>
              </w:rPr>
            </w:pPr>
            <w:r>
              <w:rPr>
                <w:color w:val="105C84"/>
                <w:spacing w:val="-2"/>
                <w:sz w:val="18"/>
              </w:rPr>
              <w:t>Community-based organizations</w:t>
            </w:r>
          </w:p>
        </w:tc>
        <w:tc>
          <w:tcPr>
            <w:tcW w:w="1551" w:type="dxa"/>
          </w:tcPr>
          <w:p>
            <w:pPr>
              <w:pStyle w:val="TableParagraph"/>
              <w:spacing w:line="232" w:lineRule="auto" w:before="100"/>
              <w:ind w:left="88" w:right="79"/>
              <w:rPr>
                <w:sz w:val="18"/>
              </w:rPr>
            </w:pPr>
            <w:r>
              <w:rPr>
                <w:color w:val="105C84"/>
                <w:sz w:val="18"/>
              </w:rPr>
              <w:t>For</w:t>
            </w:r>
            <w:r>
              <w:rPr>
                <w:color w:val="105C84"/>
                <w:spacing w:val="-15"/>
                <w:sz w:val="18"/>
              </w:rPr>
              <w:t> </w:t>
            </w:r>
            <w:r>
              <w:rPr>
                <w:color w:val="105C84"/>
                <w:sz w:val="18"/>
              </w:rPr>
              <w:t>partner</w:t>
            </w:r>
            <w:r>
              <w:rPr>
                <w:color w:val="105C84"/>
                <w:spacing w:val="-12"/>
                <w:sz w:val="18"/>
              </w:rPr>
              <w:t> </w:t>
            </w:r>
            <w:r>
              <w:rPr>
                <w:color w:val="105C84"/>
                <w:sz w:val="18"/>
              </w:rPr>
              <w:t>roles, see projected year columns</w:t>
            </w:r>
          </w:p>
          <w:p>
            <w:pPr>
              <w:pStyle w:val="TableParagraph"/>
              <w:spacing w:line="232" w:lineRule="auto" w:before="87"/>
              <w:ind w:left="88" w:right="79"/>
              <w:rPr>
                <w:sz w:val="18"/>
              </w:rPr>
            </w:pPr>
            <w:r>
              <w:rPr>
                <w:color w:val="105C84"/>
                <w:spacing w:val="-2"/>
                <w:sz w:val="18"/>
              </w:rPr>
              <w:t>Resources: collaboration</w:t>
            </w:r>
          </w:p>
        </w:tc>
      </w:tr>
      <w:tr>
        <w:trPr>
          <w:trHeight w:val="3430" w:hRule="atLeast"/>
        </w:trPr>
        <w:tc>
          <w:tcPr>
            <w:tcW w:w="1180" w:type="dxa"/>
            <w:vMerge/>
            <w:tcBorders>
              <w:top w:val="nil"/>
            </w:tcBorders>
            <w:shd w:val="clear" w:color="auto" w:fill="E6E7E8"/>
          </w:tcPr>
          <w:p>
            <w:pPr>
              <w:rPr>
                <w:sz w:val="2"/>
                <w:szCs w:val="2"/>
              </w:rPr>
            </w:pPr>
          </w:p>
        </w:tc>
        <w:tc>
          <w:tcPr>
            <w:tcW w:w="1267" w:type="dxa"/>
            <w:vMerge/>
            <w:tcBorders>
              <w:top w:val="nil"/>
            </w:tcBorders>
          </w:tcPr>
          <w:p>
            <w:pPr>
              <w:rPr>
                <w:sz w:val="2"/>
                <w:szCs w:val="2"/>
              </w:rPr>
            </w:pPr>
          </w:p>
        </w:tc>
        <w:tc>
          <w:tcPr>
            <w:tcW w:w="1267" w:type="dxa"/>
            <w:vMerge/>
            <w:tcBorders>
              <w:top w:val="nil"/>
            </w:tcBorders>
          </w:tcPr>
          <w:p>
            <w:pPr>
              <w:rPr>
                <w:sz w:val="2"/>
                <w:szCs w:val="2"/>
              </w:rPr>
            </w:pPr>
          </w:p>
        </w:tc>
        <w:tc>
          <w:tcPr>
            <w:tcW w:w="1296" w:type="dxa"/>
            <w:vMerge/>
            <w:tcBorders>
              <w:top w:val="nil"/>
            </w:tcBorders>
          </w:tcPr>
          <w:p>
            <w:pPr>
              <w:rPr>
                <w:sz w:val="2"/>
                <w:szCs w:val="2"/>
              </w:rPr>
            </w:pPr>
          </w:p>
        </w:tc>
        <w:tc>
          <w:tcPr>
            <w:tcW w:w="1354" w:type="dxa"/>
          </w:tcPr>
          <w:p>
            <w:pPr>
              <w:pStyle w:val="TableParagraph"/>
              <w:spacing w:before="94"/>
              <w:ind w:left="90"/>
              <w:rPr>
                <w:sz w:val="18"/>
              </w:rPr>
            </w:pPr>
            <w:r>
              <w:rPr>
                <w:color w:val="105C84"/>
                <w:spacing w:val="-2"/>
                <w:sz w:val="18"/>
              </w:rPr>
              <w:t>Transportation</w:t>
            </w:r>
          </w:p>
        </w:tc>
        <w:tc>
          <w:tcPr>
            <w:tcW w:w="1887" w:type="dxa"/>
            <w:vMerge/>
            <w:tcBorders>
              <w:top w:val="nil"/>
            </w:tcBorders>
          </w:tcPr>
          <w:p>
            <w:pPr>
              <w:rPr>
                <w:sz w:val="2"/>
                <w:szCs w:val="2"/>
              </w:rPr>
            </w:pPr>
          </w:p>
        </w:tc>
        <w:tc>
          <w:tcPr>
            <w:tcW w:w="6718" w:type="dxa"/>
          </w:tcPr>
          <w:p>
            <w:pPr>
              <w:pStyle w:val="TableParagraph"/>
              <w:tabs>
                <w:tab w:pos="3974" w:val="left" w:leader="none"/>
              </w:tabs>
              <w:spacing w:line="203" w:lineRule="exact" w:before="94"/>
              <w:ind w:left="89"/>
              <w:rPr>
                <w:sz w:val="18"/>
              </w:rPr>
            </w:pPr>
            <w:r>
              <w:rPr>
                <w:color w:val="105C84"/>
                <w:sz w:val="18"/>
              </w:rPr>
              <w:t>Metrics/Goals</w:t>
            </w:r>
            <w:r>
              <w:rPr>
                <w:color w:val="105C84"/>
                <w:spacing w:val="2"/>
                <w:sz w:val="18"/>
              </w:rPr>
              <w:t> </w:t>
            </w:r>
            <w:r>
              <w:rPr>
                <w:color w:val="105C84"/>
                <w:sz w:val="18"/>
              </w:rPr>
              <w:t>by</w:t>
            </w:r>
            <w:r>
              <w:rPr>
                <w:color w:val="105C84"/>
                <w:spacing w:val="2"/>
                <w:sz w:val="18"/>
              </w:rPr>
              <w:t> </w:t>
            </w:r>
            <w:r>
              <w:rPr>
                <w:color w:val="105C84"/>
                <w:spacing w:val="-2"/>
                <w:sz w:val="18"/>
              </w:rPr>
              <w:t>Year:</w:t>
            </w:r>
            <w:r>
              <w:rPr>
                <w:color w:val="105C84"/>
                <w:sz w:val="18"/>
              </w:rPr>
              <w:tab/>
              <w:t>Begin</w:t>
            </w:r>
            <w:r>
              <w:rPr>
                <w:color w:val="105C84"/>
                <w:spacing w:val="7"/>
                <w:sz w:val="18"/>
              </w:rPr>
              <w:t> </w:t>
            </w:r>
            <w:r>
              <w:rPr>
                <w:color w:val="105C84"/>
                <w:sz w:val="18"/>
              </w:rPr>
              <w:t>developing</w:t>
            </w:r>
            <w:r>
              <w:rPr>
                <w:color w:val="105C84"/>
                <w:spacing w:val="7"/>
                <w:sz w:val="18"/>
              </w:rPr>
              <w:t> </w:t>
            </w:r>
            <w:r>
              <w:rPr>
                <w:color w:val="105C84"/>
                <w:sz w:val="18"/>
              </w:rPr>
              <w:t>a</w:t>
            </w:r>
            <w:r>
              <w:rPr>
                <w:color w:val="105C84"/>
                <w:spacing w:val="8"/>
                <w:sz w:val="18"/>
              </w:rPr>
              <w:t> </w:t>
            </w:r>
            <w:r>
              <w:rPr>
                <w:color w:val="105C84"/>
                <w:sz w:val="18"/>
              </w:rPr>
              <w:t>directory</w:t>
            </w:r>
            <w:r>
              <w:rPr>
                <w:color w:val="105C84"/>
                <w:spacing w:val="7"/>
                <w:sz w:val="18"/>
              </w:rPr>
              <w:t> </w:t>
            </w:r>
            <w:r>
              <w:rPr>
                <w:color w:val="105C84"/>
                <w:spacing w:val="-5"/>
                <w:sz w:val="18"/>
              </w:rPr>
              <w:t>of</w:t>
            </w:r>
          </w:p>
          <w:p>
            <w:pPr>
              <w:pStyle w:val="TableParagraph"/>
              <w:tabs>
                <w:tab w:pos="3974" w:val="left" w:leader="none"/>
              </w:tabs>
              <w:spacing w:line="148" w:lineRule="auto" w:before="27"/>
              <w:ind w:left="89"/>
              <w:rPr>
                <w:sz w:val="18"/>
              </w:rPr>
            </w:pPr>
            <w:r>
              <w:rPr>
                <w:color w:val="105C84"/>
                <w:position w:val="-8"/>
                <w:sz w:val="18"/>
              </w:rPr>
              <w:t>Year</w:t>
            </w:r>
            <w:r>
              <w:rPr>
                <w:color w:val="105C84"/>
                <w:spacing w:val="-13"/>
                <w:position w:val="-8"/>
                <w:sz w:val="18"/>
              </w:rPr>
              <w:t> </w:t>
            </w:r>
            <w:r>
              <w:rPr>
                <w:color w:val="105C84"/>
                <w:position w:val="-8"/>
                <w:sz w:val="18"/>
              </w:rPr>
              <w:t>1:</w:t>
            </w:r>
            <w:r>
              <w:rPr>
                <w:color w:val="105C84"/>
                <w:spacing w:val="-12"/>
                <w:position w:val="-8"/>
                <w:sz w:val="18"/>
              </w:rPr>
              <w:t> </w:t>
            </w:r>
            <w:r>
              <w:rPr>
                <w:color w:val="105C84"/>
                <w:position w:val="-8"/>
                <w:sz w:val="18"/>
              </w:rPr>
              <w:t>draft</w:t>
            </w:r>
            <w:r>
              <w:rPr>
                <w:color w:val="105C84"/>
                <w:spacing w:val="-12"/>
                <w:position w:val="-8"/>
                <w:sz w:val="18"/>
              </w:rPr>
              <w:t> </w:t>
            </w:r>
            <w:r>
              <w:rPr>
                <w:color w:val="105C84"/>
                <w:position w:val="-8"/>
                <w:sz w:val="18"/>
              </w:rPr>
              <w:t>of</w:t>
            </w:r>
            <w:r>
              <w:rPr>
                <w:color w:val="105C84"/>
                <w:spacing w:val="-12"/>
                <w:position w:val="-8"/>
                <w:sz w:val="18"/>
              </w:rPr>
              <w:t> </w:t>
            </w:r>
            <w:r>
              <w:rPr>
                <w:color w:val="105C84"/>
                <w:spacing w:val="-2"/>
                <w:position w:val="-8"/>
                <w:sz w:val="18"/>
              </w:rPr>
              <w:t>directory</w:t>
            </w:r>
            <w:r>
              <w:rPr>
                <w:color w:val="105C84"/>
                <w:position w:val="-8"/>
                <w:sz w:val="18"/>
              </w:rPr>
              <w:tab/>
            </w:r>
            <w:r>
              <w:rPr>
                <w:color w:val="105C84"/>
                <w:spacing w:val="-4"/>
                <w:sz w:val="18"/>
              </w:rPr>
              <w:t>wellness</w:t>
            </w:r>
            <w:r>
              <w:rPr>
                <w:color w:val="105C84"/>
                <w:spacing w:val="-1"/>
                <w:sz w:val="18"/>
              </w:rPr>
              <w:t> </w:t>
            </w:r>
            <w:r>
              <w:rPr>
                <w:color w:val="105C84"/>
                <w:spacing w:val="-4"/>
                <w:sz w:val="18"/>
              </w:rPr>
              <w:t>classes</w:t>
            </w:r>
            <w:r>
              <w:rPr>
                <w:color w:val="105C84"/>
                <w:spacing w:val="-1"/>
                <w:sz w:val="18"/>
              </w:rPr>
              <w:t> </w:t>
            </w:r>
            <w:r>
              <w:rPr>
                <w:color w:val="105C84"/>
                <w:spacing w:val="-4"/>
                <w:sz w:val="18"/>
              </w:rPr>
              <w:t>so</w:t>
            </w:r>
            <w:r>
              <w:rPr>
                <w:color w:val="105C84"/>
                <w:spacing w:val="-1"/>
                <w:sz w:val="18"/>
              </w:rPr>
              <w:t> </w:t>
            </w:r>
            <w:r>
              <w:rPr>
                <w:color w:val="105C84"/>
                <w:spacing w:val="-4"/>
                <w:sz w:val="18"/>
              </w:rPr>
              <w:t>that</w:t>
            </w:r>
            <w:r>
              <w:rPr>
                <w:color w:val="105C84"/>
                <w:spacing w:val="-1"/>
                <w:sz w:val="18"/>
              </w:rPr>
              <w:t> </w:t>
            </w:r>
            <w:r>
              <w:rPr>
                <w:color w:val="105C84"/>
                <w:spacing w:val="-4"/>
                <w:sz w:val="18"/>
              </w:rPr>
              <w:t>Wayne</w:t>
            </w:r>
          </w:p>
          <w:p>
            <w:pPr>
              <w:pStyle w:val="TableParagraph"/>
              <w:tabs>
                <w:tab w:pos="3974" w:val="left" w:leader="none"/>
              </w:tabs>
              <w:spacing w:line="148" w:lineRule="auto"/>
              <w:ind w:left="89"/>
              <w:rPr>
                <w:sz w:val="18"/>
              </w:rPr>
            </w:pPr>
            <w:r>
              <w:rPr>
                <w:color w:val="105C84"/>
                <w:spacing w:val="-6"/>
                <w:position w:val="-8"/>
                <w:sz w:val="18"/>
              </w:rPr>
              <w:t>Years 2</w:t>
            </w:r>
            <w:r>
              <w:rPr>
                <w:color w:val="105C84"/>
                <w:spacing w:val="-5"/>
                <w:position w:val="-8"/>
                <w:sz w:val="18"/>
              </w:rPr>
              <w:t> </w:t>
            </w:r>
            <w:r>
              <w:rPr>
                <w:color w:val="105C84"/>
                <w:spacing w:val="-6"/>
                <w:position w:val="-8"/>
                <w:sz w:val="18"/>
              </w:rPr>
              <w:t>and 3</w:t>
            </w:r>
            <w:r>
              <w:rPr>
                <w:color w:val="105C84"/>
                <w:spacing w:val="-5"/>
                <w:position w:val="-8"/>
                <w:sz w:val="18"/>
              </w:rPr>
              <w:t> </w:t>
            </w:r>
            <w:r>
              <w:rPr>
                <w:color w:val="105C84"/>
                <w:spacing w:val="-6"/>
                <w:position w:val="-8"/>
                <w:sz w:val="18"/>
              </w:rPr>
              <w:t>each:</w:t>
            </w:r>
            <w:r>
              <w:rPr>
                <w:color w:val="105C84"/>
                <w:position w:val="-8"/>
                <w:sz w:val="18"/>
              </w:rPr>
              <w:tab/>
            </w:r>
            <w:r>
              <w:rPr>
                <w:color w:val="105C84"/>
                <w:sz w:val="18"/>
              </w:rPr>
              <w:t>County</w:t>
            </w:r>
            <w:r>
              <w:rPr>
                <w:color w:val="105C84"/>
                <w:spacing w:val="-5"/>
                <w:sz w:val="18"/>
              </w:rPr>
              <w:t> </w:t>
            </w:r>
            <w:r>
              <w:rPr>
                <w:color w:val="105C84"/>
                <w:sz w:val="18"/>
              </w:rPr>
              <w:t>residents</w:t>
            </w:r>
            <w:r>
              <w:rPr>
                <w:color w:val="105C84"/>
                <w:spacing w:val="-5"/>
                <w:sz w:val="18"/>
              </w:rPr>
              <w:t> </w:t>
            </w:r>
            <w:r>
              <w:rPr>
                <w:color w:val="105C84"/>
                <w:sz w:val="18"/>
              </w:rPr>
              <w:t>and</w:t>
            </w:r>
            <w:r>
              <w:rPr>
                <w:color w:val="105C84"/>
                <w:spacing w:val="-4"/>
                <w:sz w:val="18"/>
              </w:rPr>
              <w:t> </w:t>
            </w:r>
            <w:r>
              <w:rPr>
                <w:color w:val="105C84"/>
                <w:spacing w:val="-2"/>
                <w:sz w:val="18"/>
              </w:rPr>
              <w:t>their</w:t>
            </w:r>
          </w:p>
          <w:p>
            <w:pPr>
              <w:pStyle w:val="TableParagraph"/>
              <w:tabs>
                <w:tab w:pos="3974" w:val="left" w:leader="none"/>
              </w:tabs>
              <w:spacing w:line="148" w:lineRule="auto"/>
              <w:ind w:left="89"/>
              <w:rPr>
                <w:sz w:val="18"/>
              </w:rPr>
            </w:pPr>
            <w:r>
              <w:rPr>
                <w:color w:val="105C84"/>
                <w:position w:val="-8"/>
                <w:sz w:val="18"/>
              </w:rPr>
              <w:t>quarterly</w:t>
            </w:r>
            <w:r>
              <w:rPr>
                <w:color w:val="105C84"/>
                <w:spacing w:val="3"/>
                <w:position w:val="-8"/>
                <w:sz w:val="18"/>
              </w:rPr>
              <w:t> </w:t>
            </w:r>
            <w:r>
              <w:rPr>
                <w:color w:val="105C84"/>
                <w:spacing w:val="-2"/>
                <w:position w:val="-8"/>
                <w:sz w:val="18"/>
              </w:rPr>
              <w:t>emails</w:t>
            </w:r>
            <w:r>
              <w:rPr>
                <w:color w:val="105C84"/>
                <w:position w:val="-8"/>
                <w:sz w:val="18"/>
              </w:rPr>
              <w:tab/>
            </w:r>
            <w:r>
              <w:rPr>
                <w:color w:val="105C84"/>
                <w:sz w:val="18"/>
              </w:rPr>
              <w:t>health</w:t>
            </w:r>
            <w:r>
              <w:rPr>
                <w:color w:val="105C84"/>
                <w:spacing w:val="-12"/>
                <w:sz w:val="18"/>
              </w:rPr>
              <w:t> </w:t>
            </w:r>
            <w:r>
              <w:rPr>
                <w:color w:val="105C84"/>
                <w:sz w:val="18"/>
              </w:rPr>
              <w:t>care</w:t>
            </w:r>
            <w:r>
              <w:rPr>
                <w:color w:val="105C84"/>
                <w:spacing w:val="-12"/>
                <w:sz w:val="18"/>
              </w:rPr>
              <w:t> </w:t>
            </w:r>
            <w:r>
              <w:rPr>
                <w:color w:val="105C84"/>
                <w:sz w:val="18"/>
              </w:rPr>
              <w:t>providers</w:t>
            </w:r>
            <w:r>
              <w:rPr>
                <w:color w:val="105C84"/>
                <w:spacing w:val="-12"/>
                <w:sz w:val="18"/>
              </w:rPr>
              <w:t> </w:t>
            </w:r>
            <w:r>
              <w:rPr>
                <w:color w:val="105C84"/>
                <w:sz w:val="18"/>
              </w:rPr>
              <w:t>have</w:t>
            </w:r>
            <w:r>
              <w:rPr>
                <w:color w:val="105C84"/>
                <w:spacing w:val="-12"/>
                <w:sz w:val="18"/>
              </w:rPr>
              <w:t> </w:t>
            </w:r>
            <w:r>
              <w:rPr>
                <w:color w:val="105C84"/>
                <w:spacing w:val="-10"/>
                <w:sz w:val="18"/>
              </w:rPr>
              <w:t>a</w:t>
            </w:r>
          </w:p>
          <w:p>
            <w:pPr>
              <w:pStyle w:val="TableParagraph"/>
              <w:tabs>
                <w:tab w:pos="3974" w:val="left" w:leader="none"/>
              </w:tabs>
              <w:spacing w:line="148" w:lineRule="auto"/>
              <w:ind w:left="89"/>
              <w:rPr>
                <w:sz w:val="18"/>
              </w:rPr>
            </w:pPr>
            <w:r>
              <w:rPr>
                <w:color w:val="105C84"/>
                <w:position w:val="-8"/>
                <w:sz w:val="18"/>
              </w:rPr>
              <w:t>to</w:t>
            </w:r>
            <w:r>
              <w:rPr>
                <w:color w:val="105C84"/>
                <w:spacing w:val="24"/>
                <w:position w:val="-8"/>
                <w:sz w:val="18"/>
              </w:rPr>
              <w:t> </w:t>
            </w:r>
            <w:r>
              <w:rPr>
                <w:color w:val="105C84"/>
                <w:position w:val="-8"/>
                <w:sz w:val="18"/>
              </w:rPr>
              <w:t>distribution</w:t>
            </w:r>
            <w:r>
              <w:rPr>
                <w:color w:val="105C84"/>
                <w:spacing w:val="24"/>
                <w:position w:val="-8"/>
                <w:sz w:val="18"/>
              </w:rPr>
              <w:t> </w:t>
            </w:r>
            <w:r>
              <w:rPr>
                <w:color w:val="105C84"/>
                <w:spacing w:val="-5"/>
                <w:position w:val="-8"/>
                <w:sz w:val="18"/>
              </w:rPr>
              <w:t>of</w:t>
            </w:r>
            <w:r>
              <w:rPr>
                <w:color w:val="105C84"/>
                <w:position w:val="-8"/>
                <w:sz w:val="18"/>
              </w:rPr>
              <w:tab/>
            </w:r>
            <w:r>
              <w:rPr>
                <w:color w:val="105C84"/>
                <w:sz w:val="18"/>
              </w:rPr>
              <w:t>comprehensive</w:t>
            </w:r>
            <w:r>
              <w:rPr>
                <w:color w:val="105C84"/>
                <w:spacing w:val="-5"/>
                <w:sz w:val="18"/>
              </w:rPr>
              <w:t> </w:t>
            </w:r>
            <w:r>
              <w:rPr>
                <w:color w:val="105C84"/>
                <w:sz w:val="18"/>
              </w:rPr>
              <w:t>list</w:t>
            </w:r>
            <w:r>
              <w:rPr>
                <w:color w:val="105C84"/>
                <w:spacing w:val="-4"/>
                <w:sz w:val="18"/>
              </w:rPr>
              <w:t> </w:t>
            </w:r>
            <w:r>
              <w:rPr>
                <w:color w:val="105C84"/>
                <w:sz w:val="18"/>
              </w:rPr>
              <w:t>of</w:t>
            </w:r>
            <w:r>
              <w:rPr>
                <w:color w:val="105C84"/>
                <w:spacing w:val="-4"/>
                <w:sz w:val="18"/>
              </w:rPr>
              <w:t> </w:t>
            </w:r>
            <w:r>
              <w:rPr>
                <w:color w:val="105C84"/>
                <w:spacing w:val="-2"/>
                <w:sz w:val="18"/>
              </w:rPr>
              <w:t>everything</w:t>
            </w:r>
          </w:p>
          <w:p>
            <w:pPr>
              <w:pStyle w:val="TableParagraph"/>
              <w:tabs>
                <w:tab w:pos="3974" w:val="left" w:leader="none"/>
              </w:tabs>
              <w:spacing w:line="245" w:lineRule="exact"/>
              <w:ind w:left="89"/>
              <w:rPr>
                <w:position w:val="9"/>
                <w:sz w:val="18"/>
              </w:rPr>
            </w:pPr>
            <w:r>
              <w:rPr>
                <w:color w:val="105C84"/>
                <w:sz w:val="18"/>
              </w:rPr>
              <w:t>providers</w:t>
            </w:r>
            <w:r>
              <w:rPr>
                <w:color w:val="105C84"/>
                <w:spacing w:val="-5"/>
                <w:sz w:val="18"/>
              </w:rPr>
              <w:t> </w:t>
            </w:r>
            <w:r>
              <w:rPr>
                <w:color w:val="105C84"/>
                <w:spacing w:val="-2"/>
                <w:sz w:val="18"/>
              </w:rPr>
              <w:t>promoting</w:t>
            </w:r>
            <w:r>
              <w:rPr>
                <w:color w:val="105C84"/>
                <w:sz w:val="18"/>
              </w:rPr>
              <w:tab/>
            </w:r>
            <w:r>
              <w:rPr>
                <w:color w:val="105C84"/>
                <w:position w:val="9"/>
                <w:sz w:val="18"/>
              </w:rPr>
              <w:t>available</w:t>
            </w:r>
            <w:r>
              <w:rPr>
                <w:color w:val="105C84"/>
                <w:spacing w:val="-3"/>
                <w:position w:val="9"/>
                <w:sz w:val="18"/>
              </w:rPr>
              <w:t> </w:t>
            </w:r>
            <w:r>
              <w:rPr>
                <w:color w:val="105C84"/>
                <w:position w:val="9"/>
                <w:sz w:val="18"/>
              </w:rPr>
              <w:t>to</w:t>
            </w:r>
            <w:r>
              <w:rPr>
                <w:color w:val="105C84"/>
                <w:spacing w:val="-3"/>
                <w:position w:val="9"/>
                <w:sz w:val="18"/>
              </w:rPr>
              <w:t> </w:t>
            </w:r>
            <w:r>
              <w:rPr>
                <w:color w:val="105C84"/>
                <w:spacing w:val="-4"/>
                <w:position w:val="9"/>
                <w:sz w:val="18"/>
              </w:rPr>
              <w:t>them</w:t>
            </w:r>
          </w:p>
          <w:p>
            <w:pPr>
              <w:pStyle w:val="TableParagraph"/>
              <w:tabs>
                <w:tab w:pos="3974" w:val="left" w:leader="none"/>
              </w:tabs>
              <w:spacing w:line="200" w:lineRule="exact"/>
              <w:ind w:left="89"/>
              <w:rPr>
                <w:sz w:val="18"/>
              </w:rPr>
            </w:pPr>
            <w:r>
              <w:rPr>
                <w:color w:val="105C84"/>
                <w:sz w:val="18"/>
              </w:rPr>
              <w:t>the</w:t>
            </w:r>
            <w:r>
              <w:rPr>
                <w:color w:val="105C84"/>
                <w:spacing w:val="3"/>
                <w:sz w:val="18"/>
              </w:rPr>
              <w:t> </w:t>
            </w:r>
            <w:r>
              <w:rPr>
                <w:color w:val="105C84"/>
                <w:sz w:val="18"/>
              </w:rPr>
              <w:t>directory;</w:t>
            </w:r>
            <w:r>
              <w:rPr>
                <w:color w:val="105C84"/>
                <w:spacing w:val="4"/>
                <w:sz w:val="18"/>
              </w:rPr>
              <w:t> </w:t>
            </w:r>
            <w:r>
              <w:rPr>
                <w:color w:val="105C84"/>
                <w:spacing w:val="-5"/>
                <w:sz w:val="18"/>
              </w:rPr>
              <w:t>4+</w:t>
            </w:r>
            <w:r>
              <w:rPr>
                <w:color w:val="105C84"/>
                <w:sz w:val="18"/>
              </w:rPr>
              <w:tab/>
              <w:t>This</w:t>
            </w:r>
            <w:r>
              <w:rPr>
                <w:color w:val="105C84"/>
                <w:spacing w:val="-4"/>
                <w:sz w:val="18"/>
              </w:rPr>
              <w:t> </w:t>
            </w:r>
            <w:r>
              <w:rPr>
                <w:color w:val="105C84"/>
                <w:sz w:val="18"/>
              </w:rPr>
              <w:t>directory</w:t>
            </w:r>
            <w:r>
              <w:rPr>
                <w:color w:val="105C84"/>
                <w:spacing w:val="-4"/>
                <w:sz w:val="18"/>
              </w:rPr>
              <w:t> </w:t>
            </w:r>
            <w:r>
              <w:rPr>
                <w:color w:val="105C84"/>
                <w:sz w:val="18"/>
              </w:rPr>
              <w:t>will</w:t>
            </w:r>
            <w:r>
              <w:rPr>
                <w:color w:val="105C84"/>
                <w:spacing w:val="-3"/>
                <w:sz w:val="18"/>
              </w:rPr>
              <w:t> </w:t>
            </w:r>
            <w:r>
              <w:rPr>
                <w:color w:val="105C84"/>
                <w:spacing w:val="-2"/>
                <w:sz w:val="18"/>
              </w:rPr>
              <w:t>include</w:t>
            </w:r>
          </w:p>
          <w:p>
            <w:pPr>
              <w:pStyle w:val="TableParagraph"/>
              <w:tabs>
                <w:tab w:pos="3974" w:val="left" w:leader="none"/>
              </w:tabs>
              <w:spacing w:line="200" w:lineRule="exact"/>
              <w:ind w:left="89"/>
              <w:rPr>
                <w:sz w:val="18"/>
              </w:rPr>
            </w:pPr>
            <w:r>
              <w:rPr>
                <w:color w:val="105C84"/>
                <w:spacing w:val="-2"/>
                <w:sz w:val="18"/>
              </w:rPr>
              <w:t>unified messages </w:t>
            </w:r>
            <w:r>
              <w:rPr>
                <w:color w:val="105C84"/>
                <w:spacing w:val="-5"/>
                <w:sz w:val="18"/>
              </w:rPr>
              <w:t>per</w:t>
            </w:r>
            <w:r>
              <w:rPr>
                <w:color w:val="105C84"/>
                <w:sz w:val="18"/>
              </w:rPr>
              <w:tab/>
            </w:r>
            <w:r>
              <w:rPr>
                <w:color w:val="105C84"/>
                <w:spacing w:val="-4"/>
                <w:sz w:val="18"/>
              </w:rPr>
              <w:t>courses</w:t>
            </w:r>
            <w:r>
              <w:rPr>
                <w:color w:val="105C84"/>
                <w:spacing w:val="-2"/>
                <w:sz w:val="18"/>
              </w:rPr>
              <w:t> </w:t>
            </w:r>
            <w:r>
              <w:rPr>
                <w:color w:val="105C84"/>
                <w:spacing w:val="-4"/>
                <w:sz w:val="18"/>
              </w:rPr>
              <w:t>such</w:t>
            </w:r>
            <w:r>
              <w:rPr>
                <w:color w:val="105C84"/>
                <w:spacing w:val="-2"/>
                <w:sz w:val="18"/>
              </w:rPr>
              <w:t> </w:t>
            </w:r>
            <w:r>
              <w:rPr>
                <w:color w:val="105C84"/>
                <w:spacing w:val="-4"/>
                <w:sz w:val="18"/>
              </w:rPr>
              <w:t>as</w:t>
            </w:r>
            <w:r>
              <w:rPr>
                <w:color w:val="105C84"/>
                <w:spacing w:val="-2"/>
                <w:sz w:val="18"/>
              </w:rPr>
              <w:t> </w:t>
            </w:r>
            <w:r>
              <w:rPr>
                <w:color w:val="105C84"/>
                <w:spacing w:val="-4"/>
                <w:sz w:val="18"/>
              </w:rPr>
              <w:t>Chronic</w:t>
            </w:r>
            <w:r>
              <w:rPr>
                <w:color w:val="105C84"/>
                <w:spacing w:val="-2"/>
                <w:sz w:val="18"/>
              </w:rPr>
              <w:t> </w:t>
            </w:r>
            <w:r>
              <w:rPr>
                <w:color w:val="105C84"/>
                <w:spacing w:val="-4"/>
                <w:sz w:val="18"/>
              </w:rPr>
              <w:t>Disease</w:t>
            </w:r>
          </w:p>
          <w:p>
            <w:pPr>
              <w:pStyle w:val="TableParagraph"/>
              <w:tabs>
                <w:tab w:pos="3974" w:val="left" w:leader="none"/>
              </w:tabs>
              <w:spacing w:line="200" w:lineRule="exact"/>
              <w:ind w:left="89"/>
              <w:rPr>
                <w:sz w:val="18"/>
              </w:rPr>
            </w:pPr>
            <w:r>
              <w:rPr>
                <w:color w:val="105C84"/>
                <w:spacing w:val="-4"/>
                <w:sz w:val="18"/>
              </w:rPr>
              <w:t>year</w:t>
            </w:r>
            <w:r>
              <w:rPr>
                <w:color w:val="105C84"/>
                <w:sz w:val="18"/>
              </w:rPr>
              <w:tab/>
              <w:t>Self-Management,</w:t>
            </w:r>
            <w:r>
              <w:rPr>
                <w:color w:val="105C84"/>
                <w:spacing w:val="-11"/>
                <w:sz w:val="18"/>
              </w:rPr>
              <w:t> </w:t>
            </w:r>
            <w:r>
              <w:rPr>
                <w:color w:val="105C84"/>
                <w:spacing w:val="-2"/>
                <w:sz w:val="18"/>
              </w:rPr>
              <w:t>National</w:t>
            </w:r>
          </w:p>
          <w:p>
            <w:pPr>
              <w:pStyle w:val="TableParagraph"/>
              <w:spacing w:line="232" w:lineRule="auto"/>
              <w:ind w:left="3974" w:right="329"/>
              <w:rPr>
                <w:sz w:val="18"/>
              </w:rPr>
            </w:pPr>
            <w:r>
              <w:rPr>
                <w:color w:val="105C84"/>
                <w:sz w:val="18"/>
              </w:rPr>
              <w:t>Diabetes</w:t>
            </w:r>
            <w:r>
              <w:rPr>
                <w:color w:val="105C84"/>
                <w:spacing w:val="-15"/>
                <w:sz w:val="18"/>
              </w:rPr>
              <w:t> </w:t>
            </w:r>
            <w:r>
              <w:rPr>
                <w:color w:val="105C84"/>
                <w:sz w:val="18"/>
              </w:rPr>
              <w:t>Prevention</w:t>
            </w:r>
            <w:r>
              <w:rPr>
                <w:color w:val="105C84"/>
                <w:spacing w:val="-12"/>
                <w:sz w:val="18"/>
              </w:rPr>
              <w:t> </w:t>
            </w:r>
            <w:r>
              <w:rPr>
                <w:color w:val="105C84"/>
                <w:sz w:val="18"/>
              </w:rPr>
              <w:t>Program, and more</w:t>
            </w:r>
          </w:p>
          <w:p>
            <w:pPr>
              <w:pStyle w:val="TableParagraph"/>
              <w:spacing w:before="30"/>
              <w:ind w:left="3974"/>
              <w:rPr>
                <w:sz w:val="18"/>
              </w:rPr>
            </w:pPr>
            <w:r>
              <w:rPr>
                <w:color w:val="105C84"/>
                <w:sz w:val="18"/>
              </w:rPr>
              <w:t>Agencies:</w:t>
            </w:r>
            <w:r>
              <w:rPr>
                <w:color w:val="105C84"/>
                <w:spacing w:val="-12"/>
                <w:sz w:val="18"/>
              </w:rPr>
              <w:t> </w:t>
            </w:r>
            <w:r>
              <w:rPr>
                <w:color w:val="105C84"/>
                <w:spacing w:val="-5"/>
                <w:sz w:val="18"/>
              </w:rPr>
              <w:t>all</w:t>
            </w:r>
          </w:p>
          <w:p>
            <w:pPr>
              <w:pStyle w:val="TableParagraph"/>
              <w:spacing w:line="232" w:lineRule="auto" w:before="88"/>
              <w:ind w:left="3974" w:right="124"/>
              <w:rPr>
                <w:sz w:val="18"/>
              </w:rPr>
            </w:pPr>
            <w:r>
              <w:rPr>
                <w:color w:val="105C84"/>
                <w:spacing w:val="-2"/>
                <w:sz w:val="18"/>
              </w:rPr>
              <w:t>Note:</w:t>
            </w:r>
            <w:r>
              <w:rPr>
                <w:color w:val="105C84"/>
                <w:spacing w:val="-9"/>
                <w:sz w:val="18"/>
              </w:rPr>
              <w:t> </w:t>
            </w:r>
            <w:r>
              <w:rPr>
                <w:color w:val="105C84"/>
                <w:spacing w:val="-2"/>
                <w:sz w:val="18"/>
              </w:rPr>
              <w:t>WCRHN</w:t>
            </w:r>
            <w:r>
              <w:rPr>
                <w:color w:val="105C84"/>
                <w:spacing w:val="-9"/>
                <w:sz w:val="18"/>
              </w:rPr>
              <w:t> </w:t>
            </w:r>
            <w:r>
              <w:rPr>
                <w:color w:val="105C84"/>
                <w:spacing w:val="-2"/>
                <w:sz w:val="18"/>
              </w:rPr>
              <w:t>has</w:t>
            </w:r>
            <w:r>
              <w:rPr>
                <w:color w:val="105C84"/>
                <w:spacing w:val="-9"/>
                <w:sz w:val="18"/>
              </w:rPr>
              <w:t> </w:t>
            </w:r>
            <w:r>
              <w:rPr>
                <w:color w:val="105C84"/>
                <w:spacing w:val="-2"/>
                <w:sz w:val="18"/>
              </w:rPr>
              <w:t>a</w:t>
            </w:r>
            <w:r>
              <w:rPr>
                <w:color w:val="105C84"/>
                <w:spacing w:val="-9"/>
                <w:sz w:val="18"/>
              </w:rPr>
              <w:t> </w:t>
            </w:r>
            <w:r>
              <w:rPr>
                <w:color w:val="105C84"/>
                <w:spacing w:val="-2"/>
                <w:sz w:val="18"/>
              </w:rPr>
              <w:t>similar</w:t>
            </w:r>
            <w:r>
              <w:rPr>
                <w:color w:val="105C84"/>
                <w:spacing w:val="-9"/>
                <w:sz w:val="18"/>
              </w:rPr>
              <w:t> </w:t>
            </w:r>
            <w:r>
              <w:rPr>
                <w:color w:val="105C84"/>
                <w:spacing w:val="-2"/>
                <w:sz w:val="18"/>
              </w:rPr>
              <w:t>task </w:t>
            </w:r>
            <w:r>
              <w:rPr>
                <w:color w:val="105C84"/>
                <w:sz w:val="18"/>
              </w:rPr>
              <w:t>in their work plan</w:t>
            </w:r>
          </w:p>
        </w:tc>
        <w:tc>
          <w:tcPr>
            <w:tcW w:w="2218" w:type="dxa"/>
          </w:tcPr>
          <w:p>
            <w:pPr>
              <w:pStyle w:val="TableParagraph"/>
              <w:spacing w:line="232" w:lineRule="auto" w:before="99"/>
              <w:ind w:left="89" w:right="178"/>
              <w:rPr>
                <w:sz w:val="18"/>
              </w:rPr>
            </w:pPr>
            <w:r>
              <w:rPr>
                <w:color w:val="105C84"/>
                <w:sz w:val="18"/>
              </w:rPr>
              <w:t>Complete the </w:t>
            </w:r>
            <w:r>
              <w:rPr>
                <w:color w:val="105C84"/>
                <w:sz w:val="18"/>
              </w:rPr>
              <w:t>directory of wellness classes, including at-home classes, and promote</w:t>
            </w:r>
          </w:p>
          <w:p>
            <w:pPr>
              <w:pStyle w:val="TableParagraph"/>
              <w:spacing w:line="232" w:lineRule="auto"/>
              <w:ind w:left="89" w:right="79"/>
              <w:rPr>
                <w:sz w:val="18"/>
              </w:rPr>
            </w:pPr>
            <w:r>
              <w:rPr>
                <w:color w:val="105C84"/>
                <w:w w:val="105"/>
                <w:sz w:val="18"/>
              </w:rPr>
              <w:t>it to the public and health care providers to increase Wayne county participation in chronic </w:t>
            </w:r>
            <w:r>
              <w:rPr>
                <w:color w:val="105C84"/>
                <w:spacing w:val="-2"/>
                <w:sz w:val="18"/>
              </w:rPr>
              <w:t>disease</w:t>
            </w:r>
            <w:r>
              <w:rPr>
                <w:color w:val="105C84"/>
                <w:spacing w:val="-11"/>
                <w:sz w:val="18"/>
              </w:rPr>
              <w:t> </w:t>
            </w:r>
            <w:r>
              <w:rPr>
                <w:color w:val="105C84"/>
                <w:spacing w:val="-2"/>
                <w:sz w:val="18"/>
              </w:rPr>
              <w:t>self-</w:t>
            </w:r>
            <w:r>
              <w:rPr>
                <w:color w:val="105C84"/>
                <w:spacing w:val="-2"/>
                <w:sz w:val="18"/>
              </w:rPr>
              <w:t>management </w:t>
            </w:r>
            <w:r>
              <w:rPr>
                <w:color w:val="105C84"/>
                <w:spacing w:val="-2"/>
                <w:w w:val="105"/>
                <w:sz w:val="18"/>
              </w:rPr>
              <w:t>programs</w:t>
            </w:r>
          </w:p>
        </w:tc>
        <w:tc>
          <w:tcPr>
            <w:tcW w:w="2052" w:type="dxa"/>
          </w:tcPr>
          <w:p>
            <w:pPr>
              <w:pStyle w:val="TableParagraph"/>
              <w:spacing w:line="232" w:lineRule="auto" w:before="99"/>
              <w:ind w:left="88" w:right="42"/>
              <w:rPr>
                <w:sz w:val="18"/>
              </w:rPr>
            </w:pPr>
            <w:r>
              <w:rPr>
                <w:color w:val="105C84"/>
                <w:sz w:val="18"/>
              </w:rPr>
              <w:t>Continue to boost awareness of the </w:t>
            </w:r>
            <w:r>
              <w:rPr>
                <w:color w:val="105C84"/>
                <w:spacing w:val="-2"/>
                <w:sz w:val="18"/>
              </w:rPr>
              <w:t>wellness</w:t>
            </w:r>
            <w:r>
              <w:rPr>
                <w:color w:val="105C84"/>
                <w:spacing w:val="-13"/>
                <w:sz w:val="18"/>
              </w:rPr>
              <w:t> </w:t>
            </w:r>
            <w:r>
              <w:rPr>
                <w:color w:val="105C84"/>
                <w:spacing w:val="-2"/>
                <w:sz w:val="18"/>
              </w:rPr>
              <w:t>class</w:t>
            </w:r>
            <w:r>
              <w:rPr>
                <w:color w:val="105C84"/>
                <w:spacing w:val="-10"/>
                <w:sz w:val="18"/>
              </w:rPr>
              <w:t> </w:t>
            </w:r>
            <w:r>
              <w:rPr>
                <w:color w:val="105C84"/>
                <w:spacing w:val="-2"/>
                <w:sz w:val="18"/>
              </w:rPr>
              <w:t>directory </w:t>
            </w:r>
            <w:r>
              <w:rPr>
                <w:color w:val="105C84"/>
                <w:sz w:val="18"/>
              </w:rPr>
              <w:t>among the public and providers through unified messaging.</w:t>
            </w:r>
          </w:p>
          <w:p>
            <w:pPr>
              <w:pStyle w:val="TableParagraph"/>
              <w:spacing w:line="232" w:lineRule="auto"/>
              <w:ind w:left="88" w:right="212"/>
              <w:rPr>
                <w:sz w:val="18"/>
              </w:rPr>
            </w:pPr>
            <w:r>
              <w:rPr>
                <w:color w:val="105C84"/>
                <w:spacing w:val="-4"/>
                <w:sz w:val="18"/>
              </w:rPr>
              <w:t>Increase</w:t>
            </w:r>
            <w:r>
              <w:rPr>
                <w:color w:val="105C84"/>
                <w:spacing w:val="-11"/>
                <w:sz w:val="18"/>
              </w:rPr>
              <w:t> </w:t>
            </w:r>
            <w:r>
              <w:rPr>
                <w:color w:val="105C84"/>
                <w:spacing w:val="-4"/>
                <w:sz w:val="18"/>
              </w:rPr>
              <w:t>awareness</w:t>
            </w:r>
            <w:r>
              <w:rPr>
                <w:color w:val="105C84"/>
                <w:spacing w:val="-8"/>
                <w:sz w:val="18"/>
              </w:rPr>
              <w:t> </w:t>
            </w:r>
            <w:r>
              <w:rPr>
                <w:color w:val="105C84"/>
                <w:spacing w:val="-4"/>
                <w:sz w:val="18"/>
              </w:rPr>
              <w:t>of </w:t>
            </w:r>
            <w:r>
              <w:rPr>
                <w:color w:val="105C84"/>
                <w:sz w:val="18"/>
              </w:rPr>
              <w:t>any chronic disease </w:t>
            </w:r>
            <w:r>
              <w:rPr>
                <w:color w:val="105C84"/>
                <w:spacing w:val="-2"/>
                <w:sz w:val="18"/>
              </w:rPr>
              <w:t>self-management </w:t>
            </w:r>
            <w:r>
              <w:rPr>
                <w:color w:val="105C84"/>
                <w:sz w:val="18"/>
              </w:rPr>
              <w:t>programs which are </w:t>
            </w:r>
            <w:r>
              <w:rPr>
                <w:color w:val="105C84"/>
                <w:spacing w:val="-2"/>
                <w:sz w:val="18"/>
              </w:rPr>
              <w:t>covered</w:t>
            </w:r>
            <w:r>
              <w:rPr>
                <w:color w:val="105C84"/>
                <w:spacing w:val="-13"/>
                <w:sz w:val="18"/>
              </w:rPr>
              <w:t> </w:t>
            </w:r>
            <w:r>
              <w:rPr>
                <w:color w:val="105C84"/>
                <w:spacing w:val="-2"/>
                <w:sz w:val="18"/>
              </w:rPr>
              <w:t>by</w:t>
            </w:r>
            <w:r>
              <w:rPr>
                <w:color w:val="105C84"/>
                <w:spacing w:val="-10"/>
                <w:sz w:val="18"/>
              </w:rPr>
              <w:t> </w:t>
            </w:r>
            <w:r>
              <w:rPr>
                <w:color w:val="105C84"/>
                <w:spacing w:val="-2"/>
                <w:sz w:val="18"/>
              </w:rPr>
              <w:t>insurance.</w:t>
            </w:r>
          </w:p>
        </w:tc>
        <w:tc>
          <w:tcPr>
            <w:tcW w:w="1498" w:type="dxa"/>
          </w:tcPr>
          <w:p>
            <w:pPr>
              <w:pStyle w:val="TableParagraph"/>
              <w:spacing w:line="232" w:lineRule="auto" w:before="99"/>
              <w:ind w:left="88"/>
              <w:rPr>
                <w:sz w:val="18"/>
              </w:rPr>
            </w:pPr>
            <w:r>
              <w:rPr>
                <w:color w:val="105C84"/>
                <w:spacing w:val="-2"/>
                <w:sz w:val="18"/>
              </w:rPr>
              <w:t>Community-based organizations</w:t>
            </w:r>
          </w:p>
        </w:tc>
        <w:tc>
          <w:tcPr>
            <w:tcW w:w="1551" w:type="dxa"/>
          </w:tcPr>
          <w:p>
            <w:pPr>
              <w:pStyle w:val="TableParagraph"/>
              <w:spacing w:line="232" w:lineRule="auto" w:before="99"/>
              <w:ind w:left="88" w:right="79"/>
              <w:rPr>
                <w:sz w:val="18"/>
              </w:rPr>
            </w:pPr>
            <w:r>
              <w:rPr>
                <w:color w:val="105C84"/>
                <w:sz w:val="18"/>
              </w:rPr>
              <w:t>For</w:t>
            </w:r>
            <w:r>
              <w:rPr>
                <w:color w:val="105C84"/>
                <w:spacing w:val="-15"/>
                <w:sz w:val="18"/>
              </w:rPr>
              <w:t> </w:t>
            </w:r>
            <w:r>
              <w:rPr>
                <w:color w:val="105C84"/>
                <w:sz w:val="18"/>
              </w:rPr>
              <w:t>partner</w:t>
            </w:r>
            <w:r>
              <w:rPr>
                <w:color w:val="105C84"/>
                <w:spacing w:val="-12"/>
                <w:sz w:val="18"/>
              </w:rPr>
              <w:t> </w:t>
            </w:r>
            <w:r>
              <w:rPr>
                <w:color w:val="105C84"/>
                <w:sz w:val="18"/>
              </w:rPr>
              <w:t>roles, see projected year columns</w:t>
            </w:r>
          </w:p>
          <w:p>
            <w:pPr>
              <w:pStyle w:val="TableParagraph"/>
              <w:spacing w:line="232" w:lineRule="auto" w:before="87"/>
              <w:ind w:left="88" w:right="290"/>
              <w:rPr>
                <w:sz w:val="18"/>
              </w:rPr>
            </w:pPr>
            <w:r>
              <w:rPr>
                <w:color w:val="105C84"/>
                <w:spacing w:val="-2"/>
                <w:sz w:val="18"/>
              </w:rPr>
              <w:t>Resources: unified messages, distribution </w:t>
            </w:r>
            <w:r>
              <w:rPr>
                <w:color w:val="105C84"/>
                <w:spacing w:val="-4"/>
                <w:sz w:val="18"/>
              </w:rPr>
              <w:t>lists,</w:t>
            </w:r>
            <w:r>
              <w:rPr>
                <w:color w:val="105C84"/>
                <w:spacing w:val="-9"/>
                <w:sz w:val="18"/>
              </w:rPr>
              <w:t> </w:t>
            </w:r>
            <w:r>
              <w:rPr>
                <w:color w:val="105C84"/>
                <w:spacing w:val="-4"/>
                <w:sz w:val="18"/>
              </w:rPr>
              <w:t>insurance </w:t>
            </w:r>
            <w:r>
              <w:rPr>
                <w:color w:val="105C84"/>
                <w:spacing w:val="-2"/>
                <w:sz w:val="18"/>
              </w:rPr>
              <w:t>information</w:t>
            </w:r>
          </w:p>
        </w:tc>
      </w:tr>
    </w:tbl>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227"/>
        <w:rPr>
          <w:b/>
          <w:sz w:val="26"/>
        </w:rPr>
      </w:pPr>
    </w:p>
    <w:p>
      <w:pPr>
        <w:tabs>
          <w:tab w:pos="23047" w:val="left" w:leader="none"/>
        </w:tabs>
        <w:spacing w:before="1"/>
        <w:ind w:left="0" w:right="0" w:firstLine="0"/>
        <w:jc w:val="left"/>
        <w:rPr>
          <w:b/>
          <w:sz w:val="26"/>
        </w:rPr>
      </w:pPr>
      <w:r>
        <w:rPr>
          <w:position w:val="-4"/>
        </w:rPr>
        <w:drawing>
          <wp:inline distT="0" distB="0" distL="0" distR="0">
            <wp:extent cx="568172" cy="184683"/>
            <wp:effectExtent l="0" t="0" r="0" b="0"/>
            <wp:docPr id="2068" name="Image 2068"/>
            <wp:cNvGraphicFramePr>
              <a:graphicFrameLocks/>
            </wp:cNvGraphicFramePr>
            <a:graphic>
              <a:graphicData uri="http://schemas.openxmlformats.org/drawingml/2006/picture">
                <pic:pic>
                  <pic:nvPicPr>
                    <pic:cNvPr id="2068" name="Image 2068"/>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13"/>
          <w:sz w:val="20"/>
        </w:rPr>
        <w:t> </w:t>
      </w:r>
      <w:r>
        <w:rPr>
          <w:b/>
          <w:color w:val="939598"/>
          <w:w w:val="105"/>
          <w:sz w:val="26"/>
        </w:rPr>
        <w:t>233</w:t>
      </w:r>
      <w:r>
        <w:rPr>
          <w:b/>
          <w:color w:val="939598"/>
          <w:sz w:val="26"/>
        </w:rPr>
        <w:tab/>
      </w:r>
      <w:r>
        <w:rPr>
          <w:b/>
          <w:color w:val="939598"/>
          <w:spacing w:val="-5"/>
          <w:w w:val="105"/>
          <w:sz w:val="26"/>
        </w:rPr>
        <w:t>234</w:t>
      </w:r>
    </w:p>
    <w:p>
      <w:pPr>
        <w:spacing w:after="0"/>
        <w:jc w:val="left"/>
        <w:rPr>
          <w:b/>
          <w:sz w:val="26"/>
        </w:rPr>
        <w:sectPr>
          <w:pgSz w:w="24480" w:h="15840" w:orient="landscape"/>
          <w:pgMar w:header="0" w:footer="0" w:top="860" w:bottom="0" w:left="0" w:right="720"/>
        </w:sectPr>
      </w:pPr>
    </w:p>
    <w:p>
      <w:pPr>
        <w:spacing w:before="609"/>
        <w:ind w:left="1089" w:right="0" w:firstLine="0"/>
        <w:jc w:val="left"/>
        <w:rPr>
          <w:sz w:val="54"/>
        </w:rPr>
      </w:pPr>
      <w:r>
        <w:rPr>
          <w:sz w:val="54"/>
        </w:rPr>
        <w:drawing>
          <wp:anchor distT="0" distB="0" distL="0" distR="0" allowOverlap="1" layoutInCell="1" locked="0" behindDoc="0" simplePos="0" relativeHeight="16046080">
            <wp:simplePos x="0" y="0"/>
            <wp:positionH relativeFrom="page">
              <wp:posOffset>14299183</wp:posOffset>
            </wp:positionH>
            <wp:positionV relativeFrom="paragraph">
              <wp:posOffset>345947</wp:posOffset>
            </wp:positionV>
            <wp:extent cx="620268" cy="568578"/>
            <wp:effectExtent l="0" t="0" r="0" b="0"/>
            <wp:wrapNone/>
            <wp:docPr id="2069" name="Image 2069"/>
            <wp:cNvGraphicFramePr>
              <a:graphicFrameLocks/>
            </wp:cNvGraphicFramePr>
            <a:graphic>
              <a:graphicData uri="http://schemas.openxmlformats.org/drawingml/2006/picture">
                <pic:pic>
                  <pic:nvPicPr>
                    <pic:cNvPr id="2069" name="Image 2069"/>
                    <pic:cNvPicPr/>
                  </pic:nvPicPr>
                  <pic:blipFill>
                    <a:blip r:embed="rId265" cstate="print"/>
                    <a:stretch>
                      <a:fillRect/>
                    </a:stretch>
                  </pic:blipFill>
                  <pic:spPr>
                    <a:xfrm>
                      <a:off x="0" y="0"/>
                      <a:ext cx="620268" cy="568578"/>
                    </a:xfrm>
                    <a:prstGeom prst="rect">
                      <a:avLst/>
                    </a:prstGeom>
                  </pic:spPr>
                </pic:pic>
              </a:graphicData>
            </a:graphic>
          </wp:anchor>
        </w:drawing>
      </w:r>
      <w:r>
        <w:rPr>
          <w:sz w:val="54"/>
        </w:rPr>
        <w:drawing>
          <wp:anchor distT="0" distB="0" distL="0" distR="0" allowOverlap="1" layoutInCell="1" locked="0" behindDoc="0" simplePos="0" relativeHeight="16046592">
            <wp:simplePos x="0" y="0"/>
            <wp:positionH relativeFrom="page">
              <wp:posOffset>14981556</wp:posOffset>
            </wp:positionH>
            <wp:positionV relativeFrom="page">
              <wp:posOffset>9668103</wp:posOffset>
            </wp:positionV>
            <wp:extent cx="563245" cy="184683"/>
            <wp:effectExtent l="0" t="0" r="0" b="0"/>
            <wp:wrapNone/>
            <wp:docPr id="2070" name="Image 2070"/>
            <wp:cNvGraphicFramePr>
              <a:graphicFrameLocks/>
            </wp:cNvGraphicFramePr>
            <a:graphic>
              <a:graphicData uri="http://schemas.openxmlformats.org/drawingml/2006/picture">
                <pic:pic>
                  <pic:nvPicPr>
                    <pic:cNvPr id="2070" name="Image 2070"/>
                    <pic:cNvPicPr/>
                  </pic:nvPicPr>
                  <pic:blipFill>
                    <a:blip r:embed="rId38" cstate="print"/>
                    <a:stretch>
                      <a:fillRect/>
                    </a:stretch>
                  </pic:blipFill>
                  <pic:spPr>
                    <a:xfrm>
                      <a:off x="0" y="0"/>
                      <a:ext cx="563245" cy="184683"/>
                    </a:xfrm>
                    <a:prstGeom prst="rect">
                      <a:avLst/>
                    </a:prstGeom>
                  </pic:spPr>
                </pic:pic>
              </a:graphicData>
            </a:graphic>
          </wp:anchor>
        </w:drawing>
      </w:r>
      <w:r>
        <w:rPr>
          <w:sz w:val="54"/>
        </w:rPr>
        <w:drawing>
          <wp:anchor distT="0" distB="0" distL="0" distR="0" allowOverlap="1" layoutInCell="1" locked="0" behindDoc="0" simplePos="0" relativeHeight="16047104">
            <wp:simplePos x="0" y="0"/>
            <wp:positionH relativeFrom="page">
              <wp:posOffset>13372084</wp:posOffset>
            </wp:positionH>
            <wp:positionV relativeFrom="paragraph">
              <wp:posOffset>365759</wp:posOffset>
            </wp:positionV>
            <wp:extent cx="728345" cy="366522"/>
            <wp:effectExtent l="0" t="0" r="0" b="0"/>
            <wp:wrapNone/>
            <wp:docPr id="2071" name="Image 2071"/>
            <wp:cNvGraphicFramePr>
              <a:graphicFrameLocks/>
            </wp:cNvGraphicFramePr>
            <a:graphic>
              <a:graphicData uri="http://schemas.openxmlformats.org/drawingml/2006/picture">
                <pic:pic>
                  <pic:nvPicPr>
                    <pic:cNvPr id="2071" name="Image 2071"/>
                    <pic:cNvPicPr/>
                  </pic:nvPicPr>
                  <pic:blipFill>
                    <a:blip r:embed="rId266" cstate="print"/>
                    <a:stretch>
                      <a:fillRect/>
                    </a:stretch>
                  </pic:blipFill>
                  <pic:spPr>
                    <a:xfrm>
                      <a:off x="0" y="0"/>
                      <a:ext cx="728345" cy="366522"/>
                    </a:xfrm>
                    <a:prstGeom prst="rect">
                      <a:avLst/>
                    </a:prstGeom>
                  </pic:spPr>
                </pic:pic>
              </a:graphicData>
            </a:graphic>
          </wp:anchor>
        </w:drawing>
      </w:r>
      <w:r>
        <w:rPr>
          <w:color w:val="636466"/>
          <w:sz w:val="54"/>
        </w:rPr>
        <w:t>Wayne</w:t>
      </w:r>
      <w:r>
        <w:rPr>
          <w:color w:val="636466"/>
          <w:spacing w:val="37"/>
          <w:sz w:val="54"/>
        </w:rPr>
        <w:t> </w:t>
      </w:r>
      <w:r>
        <w:rPr>
          <w:color w:val="636466"/>
          <w:sz w:val="54"/>
        </w:rPr>
        <w:t>County</w:t>
      </w:r>
      <w:r>
        <w:rPr>
          <w:color w:val="636466"/>
          <w:spacing w:val="38"/>
          <w:sz w:val="54"/>
        </w:rPr>
        <w:t> </w:t>
      </w:r>
      <w:r>
        <w:rPr>
          <w:color w:val="636466"/>
          <w:sz w:val="54"/>
        </w:rPr>
        <w:t>Appendix</w:t>
      </w:r>
      <w:r>
        <w:rPr>
          <w:color w:val="636466"/>
          <w:spacing w:val="38"/>
          <w:sz w:val="54"/>
        </w:rPr>
        <w:t> </w:t>
      </w:r>
      <w:r>
        <w:rPr>
          <w:color w:val="636466"/>
          <w:spacing w:val="-10"/>
          <w:sz w:val="54"/>
        </w:rPr>
        <w:t>G</w:t>
      </w:r>
    </w:p>
    <w:p>
      <w:pPr>
        <w:spacing w:line="247" w:lineRule="auto" w:before="236"/>
        <w:ind w:left="1089" w:right="13013" w:firstLine="0"/>
        <w:jc w:val="left"/>
        <w:rPr>
          <w:b/>
          <w:sz w:val="32"/>
        </w:rPr>
      </w:pPr>
      <w:r>
        <w:rPr>
          <w:b/>
          <w:color w:val="82BF6A"/>
          <w:spacing w:val="-4"/>
          <w:sz w:val="32"/>
        </w:rPr>
        <w:t>PRIORITY:</w:t>
      </w:r>
      <w:r>
        <w:rPr>
          <w:b/>
          <w:color w:val="82BF6A"/>
          <w:spacing w:val="-19"/>
          <w:sz w:val="32"/>
        </w:rPr>
        <w:t> </w:t>
      </w:r>
      <w:r>
        <w:rPr>
          <w:b/>
          <w:color w:val="82BF6A"/>
          <w:spacing w:val="-4"/>
          <w:sz w:val="32"/>
        </w:rPr>
        <w:t>PROMOTE</w:t>
      </w:r>
      <w:r>
        <w:rPr>
          <w:b/>
          <w:color w:val="82BF6A"/>
          <w:spacing w:val="-18"/>
          <w:sz w:val="32"/>
        </w:rPr>
        <w:t> </w:t>
      </w:r>
      <w:r>
        <w:rPr>
          <w:b/>
          <w:color w:val="82BF6A"/>
          <w:spacing w:val="-4"/>
          <w:sz w:val="32"/>
        </w:rPr>
        <w:t>WELL-BEING</w:t>
      </w:r>
      <w:r>
        <w:rPr>
          <w:b/>
          <w:color w:val="82BF6A"/>
          <w:spacing w:val="-18"/>
          <w:sz w:val="32"/>
        </w:rPr>
        <w:t> </w:t>
      </w:r>
      <w:r>
        <w:rPr>
          <w:b/>
          <w:color w:val="82BF6A"/>
          <w:spacing w:val="-4"/>
          <w:sz w:val="32"/>
        </w:rPr>
        <w:t>AND</w:t>
      </w:r>
      <w:r>
        <w:rPr>
          <w:b/>
          <w:color w:val="82BF6A"/>
          <w:spacing w:val="-18"/>
          <w:sz w:val="32"/>
        </w:rPr>
        <w:t> </w:t>
      </w:r>
      <w:r>
        <w:rPr>
          <w:b/>
          <w:color w:val="82BF6A"/>
          <w:spacing w:val="-4"/>
          <w:sz w:val="32"/>
        </w:rPr>
        <w:t>PREVENT</w:t>
      </w:r>
      <w:r>
        <w:rPr>
          <w:b/>
          <w:color w:val="82BF6A"/>
          <w:spacing w:val="-19"/>
          <w:sz w:val="32"/>
        </w:rPr>
        <w:t> </w:t>
      </w:r>
      <w:r>
        <w:rPr>
          <w:b/>
          <w:color w:val="82BF6A"/>
          <w:spacing w:val="-4"/>
          <w:sz w:val="32"/>
        </w:rPr>
        <w:t>MENTAL </w:t>
      </w:r>
      <w:r>
        <w:rPr>
          <w:b/>
          <w:color w:val="82BF6A"/>
          <w:sz w:val="32"/>
        </w:rPr>
        <w:t>AND</w:t>
      </w:r>
      <w:r>
        <w:rPr>
          <w:b/>
          <w:color w:val="82BF6A"/>
          <w:spacing w:val="-22"/>
          <w:sz w:val="32"/>
        </w:rPr>
        <w:t> </w:t>
      </w:r>
      <w:r>
        <w:rPr>
          <w:b/>
          <w:color w:val="82BF6A"/>
          <w:sz w:val="32"/>
        </w:rPr>
        <w:t>SUBSTANCE</w:t>
      </w:r>
      <w:r>
        <w:rPr>
          <w:b/>
          <w:color w:val="82BF6A"/>
          <w:spacing w:val="-22"/>
          <w:sz w:val="32"/>
        </w:rPr>
        <w:t> </w:t>
      </w:r>
      <w:r>
        <w:rPr>
          <w:b/>
          <w:color w:val="82BF6A"/>
          <w:sz w:val="32"/>
        </w:rPr>
        <w:t>USE</w:t>
      </w:r>
      <w:r>
        <w:rPr>
          <w:b/>
          <w:color w:val="82BF6A"/>
          <w:spacing w:val="-22"/>
          <w:sz w:val="32"/>
        </w:rPr>
        <w:t> </w:t>
      </w:r>
      <w:r>
        <w:rPr>
          <w:b/>
          <w:color w:val="82BF6A"/>
          <w:sz w:val="32"/>
        </w:rPr>
        <w:t>DISORDERS</w:t>
      </w:r>
    </w:p>
    <w:p>
      <w:pPr>
        <w:pStyle w:val="BodyText"/>
        <w:spacing w:before="152"/>
        <w:rPr>
          <w:b/>
          <w:sz w:val="20"/>
        </w:rPr>
      </w:pPr>
    </w:p>
    <w:tbl>
      <w:tblPr>
        <w:tblW w:w="0" w:type="auto"/>
        <w:jc w:val="left"/>
        <w:tblInd w:w="1099"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1180"/>
        <w:gridCol w:w="1267"/>
        <w:gridCol w:w="1267"/>
        <w:gridCol w:w="1325"/>
        <w:gridCol w:w="1354"/>
        <w:gridCol w:w="1469"/>
        <w:gridCol w:w="6538"/>
        <w:gridCol w:w="2621"/>
        <w:gridCol w:w="2477"/>
        <w:gridCol w:w="1498"/>
        <w:gridCol w:w="1320"/>
      </w:tblGrid>
      <w:tr>
        <w:trPr>
          <w:trHeight w:val="930" w:hRule="atLeast"/>
        </w:trPr>
        <w:tc>
          <w:tcPr>
            <w:tcW w:w="1180" w:type="dxa"/>
            <w:tcBorders>
              <w:right w:val="single" w:sz="4" w:space="0" w:color="FFFFFF"/>
            </w:tcBorders>
            <w:shd w:val="clear" w:color="auto" w:fill="A7A9AC"/>
          </w:tcPr>
          <w:p>
            <w:pPr>
              <w:pStyle w:val="TableParagraph"/>
              <w:spacing w:before="179"/>
              <w:rPr>
                <w:b/>
                <w:sz w:val="18"/>
              </w:rPr>
            </w:pPr>
          </w:p>
          <w:p>
            <w:pPr>
              <w:pStyle w:val="TableParagraph"/>
              <w:ind w:left="79"/>
              <w:rPr>
                <w:b/>
                <w:sz w:val="18"/>
              </w:rPr>
            </w:pPr>
            <w:r>
              <w:rPr>
                <w:b/>
                <w:color w:val="FFFFFF"/>
                <w:spacing w:val="-2"/>
                <w:sz w:val="18"/>
              </w:rPr>
              <w:t>Priority</w:t>
            </w:r>
          </w:p>
        </w:tc>
        <w:tc>
          <w:tcPr>
            <w:tcW w:w="1267" w:type="dxa"/>
            <w:tcBorders>
              <w:left w:val="single" w:sz="4" w:space="0" w:color="FFFFFF"/>
              <w:right w:val="single" w:sz="4" w:space="0" w:color="FFFFFF"/>
            </w:tcBorders>
            <w:shd w:val="clear" w:color="auto" w:fill="A7A9AC"/>
          </w:tcPr>
          <w:p>
            <w:pPr>
              <w:pStyle w:val="TableParagraph"/>
              <w:spacing w:before="179"/>
              <w:rPr>
                <w:b/>
                <w:sz w:val="18"/>
              </w:rPr>
            </w:pPr>
          </w:p>
          <w:p>
            <w:pPr>
              <w:pStyle w:val="TableParagraph"/>
              <w:ind w:left="80"/>
              <w:rPr>
                <w:b/>
                <w:sz w:val="18"/>
              </w:rPr>
            </w:pPr>
            <w:r>
              <w:rPr>
                <w:b/>
                <w:color w:val="FFFFFF"/>
                <w:w w:val="90"/>
                <w:sz w:val="18"/>
              </w:rPr>
              <w:t>Focus</w:t>
            </w:r>
            <w:r>
              <w:rPr>
                <w:b/>
                <w:color w:val="FFFFFF"/>
                <w:spacing w:val="8"/>
                <w:sz w:val="18"/>
              </w:rPr>
              <w:t> </w:t>
            </w:r>
            <w:r>
              <w:rPr>
                <w:b/>
                <w:color w:val="FFFFFF"/>
                <w:spacing w:val="-4"/>
                <w:sz w:val="18"/>
              </w:rPr>
              <w:t>Area</w:t>
            </w:r>
          </w:p>
        </w:tc>
        <w:tc>
          <w:tcPr>
            <w:tcW w:w="1267" w:type="dxa"/>
            <w:tcBorders>
              <w:left w:val="single" w:sz="4" w:space="0" w:color="FFFFFF"/>
              <w:right w:val="single" w:sz="4" w:space="0" w:color="FFFFFF"/>
            </w:tcBorders>
            <w:shd w:val="clear" w:color="auto" w:fill="A7A9AC"/>
          </w:tcPr>
          <w:p>
            <w:pPr>
              <w:pStyle w:val="TableParagraph"/>
              <w:spacing w:before="84"/>
              <w:rPr>
                <w:b/>
                <w:sz w:val="18"/>
              </w:rPr>
            </w:pPr>
          </w:p>
          <w:p>
            <w:pPr>
              <w:pStyle w:val="TableParagraph"/>
              <w:spacing w:line="232" w:lineRule="auto"/>
              <w:ind w:left="80" w:right="237"/>
              <w:rPr>
                <w:b/>
                <w:sz w:val="18"/>
              </w:rPr>
            </w:pPr>
            <w:r>
              <w:rPr>
                <w:b/>
                <w:color w:val="FFFFFF"/>
                <w:spacing w:val="-6"/>
                <w:sz w:val="18"/>
              </w:rPr>
              <w:t>Goal</w:t>
            </w:r>
            <w:r>
              <w:rPr>
                <w:b/>
                <w:color w:val="FFFFFF"/>
                <w:spacing w:val="-7"/>
                <w:sz w:val="18"/>
              </w:rPr>
              <w:t> </w:t>
            </w:r>
            <w:r>
              <w:rPr>
                <w:b/>
                <w:color w:val="FFFFFF"/>
                <w:spacing w:val="-6"/>
                <w:sz w:val="18"/>
              </w:rPr>
              <w:t>Focus </w:t>
            </w:r>
            <w:r>
              <w:rPr>
                <w:b/>
                <w:color w:val="FFFFFF"/>
                <w:spacing w:val="-4"/>
                <w:sz w:val="18"/>
              </w:rPr>
              <w:t>Area</w:t>
            </w:r>
          </w:p>
        </w:tc>
        <w:tc>
          <w:tcPr>
            <w:tcW w:w="1325" w:type="dxa"/>
            <w:tcBorders>
              <w:left w:val="single" w:sz="4" w:space="0" w:color="FFFFFF"/>
              <w:right w:val="single" w:sz="4" w:space="0" w:color="FFFFFF"/>
            </w:tcBorders>
            <w:shd w:val="clear" w:color="auto" w:fill="A7A9AC"/>
          </w:tcPr>
          <w:p>
            <w:pPr>
              <w:pStyle w:val="TableParagraph"/>
              <w:spacing w:before="179"/>
              <w:rPr>
                <w:b/>
                <w:sz w:val="18"/>
              </w:rPr>
            </w:pPr>
          </w:p>
          <w:p>
            <w:pPr>
              <w:pStyle w:val="TableParagraph"/>
              <w:ind w:left="80"/>
              <w:rPr>
                <w:b/>
                <w:sz w:val="18"/>
              </w:rPr>
            </w:pPr>
            <w:r>
              <w:rPr>
                <w:b/>
                <w:color w:val="FFFFFF"/>
                <w:spacing w:val="-2"/>
                <w:sz w:val="18"/>
              </w:rPr>
              <w:t>Objectives</w:t>
            </w:r>
          </w:p>
        </w:tc>
        <w:tc>
          <w:tcPr>
            <w:tcW w:w="1354" w:type="dxa"/>
            <w:tcBorders>
              <w:left w:val="single" w:sz="4" w:space="0" w:color="FFFFFF"/>
              <w:right w:val="single" w:sz="4" w:space="0" w:color="FFFFFF"/>
            </w:tcBorders>
            <w:shd w:val="clear" w:color="auto" w:fill="A7A9AC"/>
          </w:tcPr>
          <w:p>
            <w:pPr>
              <w:pStyle w:val="TableParagraph"/>
              <w:spacing w:before="179"/>
              <w:rPr>
                <w:b/>
                <w:sz w:val="18"/>
              </w:rPr>
            </w:pPr>
          </w:p>
          <w:p>
            <w:pPr>
              <w:pStyle w:val="TableParagraph"/>
              <w:ind w:left="80"/>
              <w:rPr>
                <w:b/>
                <w:sz w:val="18"/>
              </w:rPr>
            </w:pPr>
            <w:r>
              <w:rPr>
                <w:b/>
                <w:color w:val="FFFFFF"/>
                <w:spacing w:val="-2"/>
                <w:sz w:val="18"/>
              </w:rPr>
              <w:t>Disparities</w:t>
            </w:r>
          </w:p>
        </w:tc>
        <w:tc>
          <w:tcPr>
            <w:tcW w:w="1469" w:type="dxa"/>
            <w:tcBorders>
              <w:left w:val="single" w:sz="4" w:space="0" w:color="FFFFFF"/>
              <w:right w:val="single" w:sz="4" w:space="0" w:color="FFFFFF"/>
            </w:tcBorders>
            <w:shd w:val="clear" w:color="auto" w:fill="A7A9AC"/>
          </w:tcPr>
          <w:p>
            <w:pPr>
              <w:pStyle w:val="TableParagraph"/>
              <w:spacing w:before="179"/>
              <w:rPr>
                <w:b/>
                <w:sz w:val="18"/>
              </w:rPr>
            </w:pPr>
          </w:p>
          <w:p>
            <w:pPr>
              <w:pStyle w:val="TableParagraph"/>
              <w:ind w:left="80"/>
              <w:rPr>
                <w:b/>
                <w:sz w:val="18"/>
              </w:rPr>
            </w:pPr>
            <w:r>
              <w:rPr>
                <w:b/>
                <w:color w:val="FFFFFF"/>
                <w:spacing w:val="-2"/>
                <w:sz w:val="18"/>
              </w:rPr>
              <w:t>Interventions</w:t>
            </w:r>
          </w:p>
        </w:tc>
        <w:tc>
          <w:tcPr>
            <w:tcW w:w="6538" w:type="dxa"/>
            <w:tcBorders>
              <w:left w:val="single" w:sz="4" w:space="0" w:color="FFFFFF"/>
              <w:right w:val="single" w:sz="4" w:space="0" w:color="FFFFFF"/>
            </w:tcBorders>
            <w:shd w:val="clear" w:color="auto" w:fill="A7A9AC"/>
          </w:tcPr>
          <w:p>
            <w:pPr>
              <w:pStyle w:val="TableParagraph"/>
              <w:spacing w:line="203" w:lineRule="exact" w:before="186"/>
              <w:ind w:left="4370"/>
              <w:rPr>
                <w:b/>
                <w:sz w:val="18"/>
              </w:rPr>
            </w:pPr>
            <w:r>
              <w:rPr>
                <w:b/>
                <w:color w:val="FFFFFF"/>
                <w:sz w:val="18"/>
              </w:rPr>
              <w:t>Projected</w:t>
            </w:r>
            <w:r>
              <w:rPr>
                <w:b/>
                <w:color w:val="FFFFFF"/>
                <w:spacing w:val="-13"/>
                <w:sz w:val="18"/>
              </w:rPr>
              <w:t> </w:t>
            </w:r>
            <w:r>
              <w:rPr>
                <w:b/>
                <w:color w:val="FFFFFF"/>
                <w:spacing w:val="-5"/>
                <w:sz w:val="18"/>
              </w:rPr>
              <w:t>(or</w:t>
            </w:r>
          </w:p>
          <w:p>
            <w:pPr>
              <w:pStyle w:val="TableParagraph"/>
              <w:tabs>
                <w:tab w:pos="4370" w:val="left" w:leader="none"/>
              </w:tabs>
              <w:spacing w:line="200" w:lineRule="exact"/>
              <w:ind w:left="90"/>
              <w:rPr>
                <w:b/>
                <w:sz w:val="18"/>
              </w:rPr>
            </w:pPr>
            <w:r>
              <w:rPr>
                <w:b/>
                <w:color w:val="FFFFFF"/>
                <w:sz w:val="18"/>
              </w:rPr>
              <w:t>Family</w:t>
            </w:r>
            <w:r>
              <w:rPr>
                <w:b/>
                <w:color w:val="FFFFFF"/>
                <w:spacing w:val="-11"/>
                <w:sz w:val="18"/>
              </w:rPr>
              <w:t> </w:t>
            </w:r>
            <w:r>
              <w:rPr>
                <w:b/>
                <w:color w:val="FFFFFF"/>
                <w:sz w:val="18"/>
              </w:rPr>
              <w:t>of</w:t>
            </w:r>
            <w:r>
              <w:rPr>
                <w:b/>
                <w:color w:val="FFFFFF"/>
                <w:spacing w:val="-10"/>
                <w:sz w:val="18"/>
              </w:rPr>
              <w:t> </w:t>
            </w:r>
            <w:r>
              <w:rPr>
                <w:b/>
                <w:color w:val="FFFFFF"/>
                <w:spacing w:val="-2"/>
                <w:sz w:val="18"/>
              </w:rPr>
              <w:t>Measures</w:t>
            </w:r>
            <w:r>
              <w:rPr>
                <w:b/>
                <w:color w:val="FFFFFF"/>
                <w:sz w:val="18"/>
              </w:rPr>
              <w:tab/>
            </w:r>
            <w:r>
              <w:rPr>
                <w:b/>
                <w:color w:val="FFFFFF"/>
                <w:spacing w:val="-2"/>
                <w:sz w:val="18"/>
              </w:rPr>
              <w:t>completed)</w:t>
            </w:r>
          </w:p>
          <w:p>
            <w:pPr>
              <w:pStyle w:val="TableParagraph"/>
              <w:spacing w:line="203" w:lineRule="exact"/>
              <w:ind w:left="4370"/>
              <w:rPr>
                <w:b/>
                <w:sz w:val="18"/>
              </w:rPr>
            </w:pPr>
            <w:r>
              <w:rPr>
                <w:b/>
                <w:color w:val="FFFFFF"/>
                <w:sz w:val="18"/>
              </w:rPr>
              <w:t>Year</w:t>
            </w:r>
            <w:r>
              <w:rPr>
                <w:b/>
                <w:color w:val="FFFFFF"/>
                <w:spacing w:val="-8"/>
                <w:sz w:val="18"/>
              </w:rPr>
              <w:t> </w:t>
            </w:r>
            <w:r>
              <w:rPr>
                <w:b/>
                <w:color w:val="FFFFFF"/>
                <w:sz w:val="18"/>
              </w:rPr>
              <w:t>1</w:t>
            </w:r>
            <w:r>
              <w:rPr>
                <w:b/>
                <w:color w:val="FFFFFF"/>
                <w:spacing w:val="-7"/>
                <w:sz w:val="18"/>
              </w:rPr>
              <w:t> </w:t>
            </w:r>
            <w:r>
              <w:rPr>
                <w:b/>
                <w:color w:val="FFFFFF"/>
                <w:spacing w:val="-2"/>
                <w:sz w:val="18"/>
              </w:rPr>
              <w:t>Intervention</w:t>
            </w:r>
          </w:p>
        </w:tc>
        <w:tc>
          <w:tcPr>
            <w:tcW w:w="2621" w:type="dxa"/>
            <w:tcBorders>
              <w:left w:val="single" w:sz="4" w:space="0" w:color="FFFFFF"/>
              <w:right w:val="single" w:sz="4" w:space="0" w:color="FFFFFF"/>
            </w:tcBorders>
            <w:shd w:val="clear" w:color="auto" w:fill="A7A9AC"/>
          </w:tcPr>
          <w:p>
            <w:pPr>
              <w:pStyle w:val="TableParagraph"/>
              <w:spacing w:before="179"/>
              <w:rPr>
                <w:b/>
                <w:sz w:val="18"/>
              </w:rPr>
            </w:pPr>
          </w:p>
          <w:p>
            <w:pPr>
              <w:pStyle w:val="TableParagraph"/>
              <w:ind w:left="79"/>
              <w:rPr>
                <w:b/>
                <w:sz w:val="18"/>
              </w:rPr>
            </w:pPr>
            <w:r>
              <w:rPr>
                <w:b/>
                <w:color w:val="FFFFFF"/>
                <w:spacing w:val="-2"/>
                <w:sz w:val="18"/>
              </w:rPr>
              <w:t>Projected</w:t>
            </w:r>
            <w:r>
              <w:rPr>
                <w:b/>
                <w:color w:val="FFFFFF"/>
                <w:spacing w:val="-6"/>
                <w:sz w:val="18"/>
              </w:rPr>
              <w:t> </w:t>
            </w:r>
            <w:r>
              <w:rPr>
                <w:b/>
                <w:color w:val="FFFFFF"/>
                <w:spacing w:val="-2"/>
                <w:sz w:val="18"/>
              </w:rPr>
              <w:t>Year</w:t>
            </w:r>
            <w:r>
              <w:rPr>
                <w:b/>
                <w:color w:val="FFFFFF"/>
                <w:spacing w:val="-5"/>
                <w:sz w:val="18"/>
              </w:rPr>
              <w:t> </w:t>
            </w:r>
            <w:r>
              <w:rPr>
                <w:b/>
                <w:color w:val="FFFFFF"/>
                <w:spacing w:val="-12"/>
                <w:sz w:val="18"/>
              </w:rPr>
              <w:t>2</w:t>
            </w:r>
          </w:p>
        </w:tc>
        <w:tc>
          <w:tcPr>
            <w:tcW w:w="2477" w:type="dxa"/>
            <w:tcBorders>
              <w:left w:val="single" w:sz="4" w:space="0" w:color="FFFFFF"/>
              <w:right w:val="single" w:sz="4" w:space="0" w:color="FFFFFF"/>
            </w:tcBorders>
            <w:shd w:val="clear" w:color="auto" w:fill="A7A9AC"/>
          </w:tcPr>
          <w:p>
            <w:pPr>
              <w:pStyle w:val="TableParagraph"/>
              <w:spacing w:before="83"/>
              <w:rPr>
                <w:b/>
                <w:sz w:val="18"/>
              </w:rPr>
            </w:pPr>
          </w:p>
          <w:p>
            <w:pPr>
              <w:pStyle w:val="TableParagraph"/>
              <w:spacing w:line="232" w:lineRule="auto" w:before="1"/>
              <w:ind w:left="79"/>
              <w:rPr>
                <w:b/>
                <w:sz w:val="18"/>
              </w:rPr>
            </w:pPr>
            <w:r>
              <w:rPr>
                <w:b/>
                <w:color w:val="FFFFFF"/>
                <w:spacing w:val="-2"/>
                <w:sz w:val="18"/>
              </w:rPr>
              <w:t>Projected</w:t>
            </w:r>
            <w:r>
              <w:rPr>
                <w:b/>
                <w:color w:val="FFFFFF"/>
                <w:spacing w:val="-13"/>
                <w:sz w:val="18"/>
              </w:rPr>
              <w:t> </w:t>
            </w:r>
            <w:r>
              <w:rPr>
                <w:b/>
                <w:color w:val="FFFFFF"/>
                <w:spacing w:val="-2"/>
                <w:sz w:val="18"/>
              </w:rPr>
              <w:t>Year</w:t>
            </w:r>
            <w:r>
              <w:rPr>
                <w:b/>
                <w:color w:val="FFFFFF"/>
                <w:spacing w:val="-10"/>
                <w:sz w:val="18"/>
              </w:rPr>
              <w:t> </w:t>
            </w:r>
            <w:r>
              <w:rPr>
                <w:b/>
                <w:color w:val="FFFFFF"/>
                <w:spacing w:val="-2"/>
                <w:sz w:val="18"/>
              </w:rPr>
              <w:t>3 Interventions</w:t>
            </w:r>
          </w:p>
        </w:tc>
        <w:tc>
          <w:tcPr>
            <w:tcW w:w="1498" w:type="dxa"/>
            <w:tcBorders>
              <w:left w:val="single" w:sz="4" w:space="0" w:color="FFFFFF"/>
            </w:tcBorders>
            <w:shd w:val="clear" w:color="auto" w:fill="A7A9AC"/>
          </w:tcPr>
          <w:p>
            <w:pPr>
              <w:pStyle w:val="TableParagraph"/>
              <w:spacing w:before="83"/>
              <w:rPr>
                <w:b/>
                <w:sz w:val="18"/>
              </w:rPr>
            </w:pPr>
          </w:p>
          <w:p>
            <w:pPr>
              <w:pStyle w:val="TableParagraph"/>
              <w:spacing w:line="232" w:lineRule="auto" w:before="1"/>
              <w:ind w:left="79"/>
              <w:rPr>
                <w:b/>
                <w:sz w:val="18"/>
              </w:rPr>
            </w:pPr>
            <w:r>
              <w:rPr>
                <w:b/>
                <w:color w:val="FFFFFF"/>
                <w:spacing w:val="-2"/>
                <w:sz w:val="18"/>
              </w:rPr>
              <w:t>Implementation Partner</w:t>
            </w:r>
          </w:p>
        </w:tc>
        <w:tc>
          <w:tcPr>
            <w:tcW w:w="1320" w:type="dxa"/>
            <w:shd w:val="clear" w:color="auto" w:fill="A7A9AC"/>
          </w:tcPr>
          <w:p>
            <w:pPr>
              <w:pStyle w:val="TableParagraph"/>
              <w:spacing w:line="232" w:lineRule="auto" w:before="191"/>
              <w:ind w:left="78" w:right="298"/>
              <w:rPr>
                <w:b/>
                <w:sz w:val="18"/>
              </w:rPr>
            </w:pPr>
            <w:r>
              <w:rPr>
                <w:b/>
                <w:color w:val="FFFFFF"/>
                <w:spacing w:val="-2"/>
                <w:sz w:val="18"/>
              </w:rPr>
              <w:t>Partner </w:t>
            </w:r>
            <w:r>
              <w:rPr>
                <w:b/>
                <w:color w:val="FFFFFF"/>
                <w:spacing w:val="-6"/>
                <w:sz w:val="18"/>
              </w:rPr>
              <w:t>Role(s)</w:t>
            </w:r>
            <w:r>
              <w:rPr>
                <w:b/>
                <w:color w:val="FFFFFF"/>
                <w:spacing w:val="-7"/>
                <w:sz w:val="18"/>
              </w:rPr>
              <w:t> </w:t>
            </w:r>
            <w:r>
              <w:rPr>
                <w:b/>
                <w:color w:val="FFFFFF"/>
                <w:spacing w:val="-6"/>
                <w:sz w:val="18"/>
              </w:rPr>
              <w:t>and </w:t>
            </w:r>
            <w:r>
              <w:rPr>
                <w:b/>
                <w:color w:val="FFFFFF"/>
                <w:spacing w:val="-2"/>
                <w:sz w:val="18"/>
              </w:rPr>
              <w:t>Resources</w:t>
            </w:r>
          </w:p>
        </w:tc>
      </w:tr>
      <w:tr>
        <w:trPr>
          <w:trHeight w:val="7620" w:hRule="atLeast"/>
        </w:trPr>
        <w:tc>
          <w:tcPr>
            <w:tcW w:w="1180" w:type="dxa"/>
            <w:shd w:val="clear" w:color="auto" w:fill="E6E7E8"/>
          </w:tcPr>
          <w:p>
            <w:pPr>
              <w:pStyle w:val="TableParagraph"/>
              <w:spacing w:line="232" w:lineRule="auto" w:before="101"/>
              <w:ind w:left="89" w:right="87"/>
              <w:rPr>
                <w:sz w:val="18"/>
              </w:rPr>
            </w:pPr>
            <w:r>
              <w:rPr>
                <w:color w:val="105C84"/>
                <w:spacing w:val="-2"/>
                <w:sz w:val="18"/>
              </w:rPr>
              <w:t>Promote Well-Being </w:t>
            </w:r>
            <w:r>
              <w:rPr>
                <w:color w:val="105C84"/>
                <w:sz w:val="18"/>
              </w:rPr>
              <w:t>and</w:t>
            </w:r>
            <w:r>
              <w:rPr>
                <w:color w:val="105C84"/>
                <w:spacing w:val="-13"/>
                <w:sz w:val="18"/>
              </w:rPr>
              <w:t> </w:t>
            </w:r>
            <w:r>
              <w:rPr>
                <w:color w:val="105C84"/>
                <w:sz w:val="18"/>
              </w:rPr>
              <w:t>Prevent Mental and </w:t>
            </w:r>
            <w:r>
              <w:rPr>
                <w:color w:val="105C84"/>
                <w:spacing w:val="-2"/>
                <w:sz w:val="18"/>
              </w:rPr>
              <w:t>Substance </w:t>
            </w:r>
            <w:r>
              <w:rPr>
                <w:color w:val="105C84"/>
                <w:spacing w:val="-4"/>
                <w:sz w:val="18"/>
              </w:rPr>
              <w:t>Use </w:t>
            </w:r>
            <w:r>
              <w:rPr>
                <w:color w:val="105C84"/>
                <w:spacing w:val="-2"/>
                <w:sz w:val="18"/>
              </w:rPr>
              <w:t>Disorders</w:t>
            </w:r>
          </w:p>
        </w:tc>
        <w:tc>
          <w:tcPr>
            <w:tcW w:w="1267" w:type="dxa"/>
          </w:tcPr>
          <w:p>
            <w:pPr>
              <w:pStyle w:val="TableParagraph"/>
              <w:spacing w:line="232" w:lineRule="auto" w:before="100"/>
              <w:ind w:left="90" w:right="86"/>
              <w:rPr>
                <w:sz w:val="18"/>
              </w:rPr>
            </w:pPr>
            <w:r>
              <w:rPr>
                <w:color w:val="105C84"/>
                <w:spacing w:val="-4"/>
                <w:sz w:val="18"/>
              </w:rPr>
              <w:t>Focus</w:t>
            </w:r>
            <w:r>
              <w:rPr>
                <w:color w:val="105C84"/>
                <w:spacing w:val="-11"/>
                <w:sz w:val="18"/>
              </w:rPr>
              <w:t> </w:t>
            </w:r>
            <w:r>
              <w:rPr>
                <w:color w:val="105C84"/>
                <w:spacing w:val="-4"/>
                <w:sz w:val="18"/>
              </w:rPr>
              <w:t>Area</w:t>
            </w:r>
            <w:r>
              <w:rPr>
                <w:color w:val="105C84"/>
                <w:spacing w:val="-8"/>
                <w:sz w:val="18"/>
              </w:rPr>
              <w:t> </w:t>
            </w:r>
            <w:r>
              <w:rPr>
                <w:color w:val="105C84"/>
                <w:spacing w:val="-4"/>
                <w:sz w:val="18"/>
              </w:rPr>
              <w:t>1: </w:t>
            </w:r>
            <w:r>
              <w:rPr>
                <w:color w:val="105C84"/>
                <w:spacing w:val="-2"/>
                <w:sz w:val="18"/>
              </w:rPr>
              <w:t>Promote</w:t>
            </w:r>
            <w:r>
              <w:rPr>
                <w:color w:val="105C84"/>
                <w:spacing w:val="40"/>
                <w:sz w:val="18"/>
              </w:rPr>
              <w:t> </w:t>
            </w:r>
            <w:r>
              <w:rPr>
                <w:color w:val="105C84"/>
                <w:spacing w:val="-2"/>
                <w:sz w:val="18"/>
              </w:rPr>
              <w:t>Well-Being</w:t>
            </w:r>
          </w:p>
        </w:tc>
        <w:tc>
          <w:tcPr>
            <w:tcW w:w="1267" w:type="dxa"/>
          </w:tcPr>
          <w:p>
            <w:pPr>
              <w:pStyle w:val="TableParagraph"/>
              <w:spacing w:line="232" w:lineRule="auto" w:before="100"/>
              <w:ind w:left="90" w:right="86"/>
              <w:rPr>
                <w:sz w:val="18"/>
              </w:rPr>
            </w:pPr>
            <w:r>
              <w:rPr>
                <w:color w:val="105C84"/>
                <w:w w:val="105"/>
                <w:sz w:val="18"/>
              </w:rPr>
              <w:t>Goal</w:t>
            </w:r>
            <w:r>
              <w:rPr>
                <w:color w:val="105C84"/>
                <w:spacing w:val="-1"/>
                <w:w w:val="105"/>
                <w:sz w:val="18"/>
              </w:rPr>
              <w:t> </w:t>
            </w:r>
            <w:r>
              <w:rPr>
                <w:color w:val="105C84"/>
                <w:w w:val="105"/>
                <w:sz w:val="18"/>
              </w:rPr>
              <w:t>1.1: </w:t>
            </w:r>
            <w:r>
              <w:rPr>
                <w:color w:val="105C84"/>
                <w:spacing w:val="-2"/>
                <w:w w:val="105"/>
                <w:sz w:val="18"/>
              </w:rPr>
              <w:t>Strengthen </w:t>
            </w:r>
            <w:r>
              <w:rPr>
                <w:color w:val="105C84"/>
                <w:spacing w:val="-2"/>
                <w:sz w:val="18"/>
              </w:rPr>
              <w:t>opportunities </w:t>
            </w:r>
            <w:r>
              <w:rPr>
                <w:color w:val="105C84"/>
                <w:w w:val="105"/>
                <w:sz w:val="18"/>
              </w:rPr>
              <w:t>to</w:t>
            </w:r>
            <w:r>
              <w:rPr>
                <w:color w:val="105C84"/>
                <w:spacing w:val="-6"/>
                <w:w w:val="105"/>
                <w:sz w:val="18"/>
              </w:rPr>
              <w:t> </w:t>
            </w:r>
            <w:r>
              <w:rPr>
                <w:color w:val="105C84"/>
                <w:w w:val="105"/>
                <w:sz w:val="18"/>
              </w:rPr>
              <w:t>build</w:t>
            </w:r>
            <w:r>
              <w:rPr>
                <w:color w:val="105C84"/>
                <w:spacing w:val="-6"/>
                <w:w w:val="105"/>
                <w:sz w:val="18"/>
              </w:rPr>
              <w:t> </w:t>
            </w:r>
            <w:r>
              <w:rPr>
                <w:color w:val="105C84"/>
                <w:w w:val="105"/>
                <w:sz w:val="18"/>
              </w:rPr>
              <w:t>well-being</w:t>
            </w:r>
            <w:r>
              <w:rPr>
                <w:color w:val="105C84"/>
                <w:spacing w:val="-1"/>
                <w:w w:val="105"/>
                <w:sz w:val="18"/>
              </w:rPr>
              <w:t> </w:t>
            </w:r>
            <w:r>
              <w:rPr>
                <w:color w:val="105C84"/>
                <w:w w:val="105"/>
                <w:sz w:val="18"/>
              </w:rPr>
              <w:t>and </w:t>
            </w:r>
            <w:r>
              <w:rPr>
                <w:color w:val="105C84"/>
                <w:spacing w:val="-2"/>
                <w:w w:val="105"/>
                <w:sz w:val="18"/>
              </w:rPr>
              <w:t>resilience </w:t>
            </w:r>
            <w:r>
              <w:rPr>
                <w:color w:val="105C84"/>
                <w:w w:val="105"/>
                <w:sz w:val="18"/>
              </w:rPr>
              <w:t>across</w:t>
            </w:r>
            <w:r>
              <w:rPr>
                <w:color w:val="105C84"/>
                <w:spacing w:val="-1"/>
                <w:w w:val="105"/>
                <w:sz w:val="18"/>
              </w:rPr>
              <w:t> </w:t>
            </w:r>
            <w:r>
              <w:rPr>
                <w:color w:val="105C84"/>
                <w:w w:val="105"/>
                <w:sz w:val="18"/>
              </w:rPr>
              <w:t>the </w:t>
            </w:r>
            <w:r>
              <w:rPr>
                <w:color w:val="105C84"/>
                <w:spacing w:val="-2"/>
                <w:w w:val="105"/>
                <w:sz w:val="18"/>
              </w:rPr>
              <w:t>lifespan</w:t>
            </w:r>
          </w:p>
        </w:tc>
        <w:tc>
          <w:tcPr>
            <w:tcW w:w="1325" w:type="dxa"/>
          </w:tcPr>
          <w:p>
            <w:pPr>
              <w:pStyle w:val="TableParagraph"/>
              <w:spacing w:line="203" w:lineRule="exact" w:before="95"/>
              <w:ind w:left="90"/>
              <w:rPr>
                <w:sz w:val="18"/>
              </w:rPr>
            </w:pPr>
            <w:r>
              <w:rPr>
                <w:color w:val="105C84"/>
                <w:spacing w:val="-2"/>
                <w:sz w:val="18"/>
              </w:rPr>
              <w:t>1.1.2.1</w:t>
            </w:r>
          </w:p>
          <w:p>
            <w:pPr>
              <w:pStyle w:val="TableParagraph"/>
              <w:spacing w:line="232" w:lineRule="auto" w:before="2"/>
              <w:ind w:left="90" w:right="128"/>
              <w:rPr>
                <w:sz w:val="18"/>
              </w:rPr>
            </w:pPr>
            <w:r>
              <w:rPr>
                <w:color w:val="105C84"/>
                <w:sz w:val="18"/>
              </w:rPr>
              <w:t>Reduce the </w:t>
            </w:r>
            <w:r>
              <w:rPr>
                <w:color w:val="105C84"/>
                <w:spacing w:val="-2"/>
                <w:sz w:val="18"/>
              </w:rPr>
              <w:t>percentage</w:t>
            </w:r>
            <w:r>
              <w:rPr>
                <w:color w:val="105C84"/>
                <w:spacing w:val="80"/>
                <w:sz w:val="18"/>
              </w:rPr>
              <w:t> </w:t>
            </w:r>
            <w:r>
              <w:rPr>
                <w:color w:val="105C84"/>
                <w:sz w:val="18"/>
              </w:rPr>
              <w:t>of adults 65+ New Yorkers reporting 14 or more days with poor mental</w:t>
            </w:r>
            <w:r>
              <w:rPr>
                <w:color w:val="105C84"/>
                <w:spacing w:val="-13"/>
                <w:sz w:val="18"/>
              </w:rPr>
              <w:t> </w:t>
            </w:r>
            <w:r>
              <w:rPr>
                <w:color w:val="105C84"/>
                <w:sz w:val="18"/>
              </w:rPr>
              <w:t>health in the last </w:t>
            </w:r>
            <w:r>
              <w:rPr>
                <w:color w:val="105C84"/>
                <w:spacing w:val="-2"/>
                <w:sz w:val="18"/>
              </w:rPr>
              <w:t>month</w:t>
            </w:r>
          </w:p>
        </w:tc>
        <w:tc>
          <w:tcPr>
            <w:tcW w:w="1354" w:type="dxa"/>
          </w:tcPr>
          <w:p>
            <w:pPr>
              <w:pStyle w:val="TableParagraph"/>
              <w:spacing w:before="95"/>
              <w:ind w:left="90"/>
              <w:rPr>
                <w:sz w:val="18"/>
              </w:rPr>
            </w:pPr>
            <w:r>
              <w:rPr>
                <w:color w:val="105C84"/>
                <w:spacing w:val="-2"/>
                <w:sz w:val="18"/>
              </w:rPr>
              <w:t>Transportation</w:t>
            </w:r>
          </w:p>
        </w:tc>
        <w:tc>
          <w:tcPr>
            <w:tcW w:w="1469" w:type="dxa"/>
          </w:tcPr>
          <w:p>
            <w:pPr>
              <w:pStyle w:val="TableParagraph"/>
              <w:spacing w:line="203" w:lineRule="exact" w:before="95"/>
              <w:ind w:left="90"/>
              <w:rPr>
                <w:sz w:val="18"/>
              </w:rPr>
            </w:pPr>
            <w:r>
              <w:rPr>
                <w:color w:val="105C84"/>
                <w:spacing w:val="-2"/>
                <w:sz w:val="18"/>
              </w:rPr>
              <w:t>Intervention</w:t>
            </w:r>
          </w:p>
          <w:p>
            <w:pPr>
              <w:pStyle w:val="TableParagraph"/>
              <w:spacing w:line="232" w:lineRule="auto" w:before="2"/>
              <w:ind w:left="90"/>
              <w:rPr>
                <w:sz w:val="18"/>
              </w:rPr>
            </w:pPr>
            <w:r>
              <w:rPr>
                <w:color w:val="105C84"/>
                <w:spacing w:val="-4"/>
                <w:sz w:val="18"/>
              </w:rPr>
              <w:t>1.1.5:</w:t>
            </w:r>
            <w:r>
              <w:rPr>
                <w:color w:val="105C84"/>
                <w:spacing w:val="-9"/>
                <w:sz w:val="18"/>
              </w:rPr>
              <w:t> </w:t>
            </w:r>
            <w:r>
              <w:rPr>
                <w:color w:val="105C84"/>
                <w:spacing w:val="-4"/>
                <w:sz w:val="18"/>
              </w:rPr>
              <w:t>Enabl</w:t>
            </w:r>
            <w:r>
              <w:rPr>
                <w:color w:val="105C84"/>
                <w:spacing w:val="-4"/>
                <w:sz w:val="18"/>
              </w:rPr>
              <w:t>e</w:t>
            </w:r>
            <w:r>
              <w:rPr>
                <w:color w:val="105C84"/>
                <w:spacing w:val="-4"/>
                <w:sz w:val="18"/>
              </w:rPr>
              <w:t> </w:t>
            </w:r>
            <w:r>
              <w:rPr>
                <w:color w:val="105C84"/>
                <w:spacing w:val="-2"/>
                <w:sz w:val="18"/>
              </w:rPr>
              <w:t>resilience</w:t>
            </w:r>
          </w:p>
          <w:p>
            <w:pPr>
              <w:pStyle w:val="TableParagraph"/>
              <w:spacing w:line="232" w:lineRule="auto"/>
              <w:ind w:left="90" w:right="116"/>
              <w:rPr>
                <w:sz w:val="18"/>
              </w:rPr>
            </w:pPr>
            <w:r>
              <w:rPr>
                <w:color w:val="105C84"/>
                <w:sz w:val="18"/>
              </w:rPr>
              <w:t>for people</w:t>
            </w:r>
            <w:r>
              <w:rPr>
                <w:color w:val="105C84"/>
                <w:spacing w:val="40"/>
                <w:sz w:val="18"/>
              </w:rPr>
              <w:t> </w:t>
            </w:r>
            <w:r>
              <w:rPr>
                <w:color w:val="105C84"/>
                <w:sz w:val="18"/>
              </w:rPr>
              <w:t>living with chronic illness: </w:t>
            </w:r>
            <w:r>
              <w:rPr>
                <w:color w:val="105C84"/>
                <w:spacing w:val="-2"/>
                <w:sz w:val="18"/>
              </w:rPr>
              <w:t>strengthening protective </w:t>
            </w:r>
            <w:r>
              <w:rPr>
                <w:color w:val="105C84"/>
                <w:sz w:val="18"/>
              </w:rPr>
              <w:t>factors include </w:t>
            </w:r>
            <w:r>
              <w:rPr>
                <w:color w:val="105C84"/>
                <w:spacing w:val="-2"/>
                <w:sz w:val="18"/>
              </w:rPr>
              <w:t>independence, </w:t>
            </w:r>
            <w:r>
              <w:rPr>
                <w:color w:val="105C84"/>
                <w:sz w:val="18"/>
              </w:rPr>
              <w:t>social support, </w:t>
            </w:r>
            <w:r>
              <w:rPr>
                <w:color w:val="105C84"/>
                <w:spacing w:val="-2"/>
                <w:sz w:val="18"/>
              </w:rPr>
              <w:t>positive explanatory </w:t>
            </w:r>
            <w:r>
              <w:rPr>
                <w:color w:val="105C84"/>
                <w:spacing w:val="-4"/>
                <w:sz w:val="18"/>
              </w:rPr>
              <w:t>styles,</w:t>
            </w:r>
            <w:r>
              <w:rPr>
                <w:color w:val="105C84"/>
                <w:spacing w:val="-9"/>
                <w:sz w:val="18"/>
              </w:rPr>
              <w:t> </w:t>
            </w:r>
            <w:r>
              <w:rPr>
                <w:color w:val="105C84"/>
                <w:spacing w:val="-4"/>
                <w:sz w:val="18"/>
              </w:rPr>
              <w:t>self-</w:t>
            </w:r>
            <w:r>
              <w:rPr>
                <w:color w:val="105C84"/>
                <w:spacing w:val="-4"/>
                <w:sz w:val="18"/>
              </w:rPr>
              <w:t>care, </w:t>
            </w:r>
            <w:r>
              <w:rPr>
                <w:color w:val="105C84"/>
                <w:spacing w:val="-2"/>
                <w:sz w:val="18"/>
              </w:rPr>
              <w:t>self-esteem, </w:t>
            </w:r>
            <w:r>
              <w:rPr>
                <w:color w:val="105C84"/>
                <w:sz w:val="18"/>
              </w:rPr>
              <w:t>and reduced </w:t>
            </w:r>
            <w:r>
              <w:rPr>
                <w:color w:val="105C84"/>
                <w:spacing w:val="-2"/>
                <w:sz w:val="18"/>
              </w:rPr>
              <w:t>anxiety</w:t>
            </w:r>
          </w:p>
        </w:tc>
        <w:tc>
          <w:tcPr>
            <w:tcW w:w="6538" w:type="dxa"/>
          </w:tcPr>
          <w:p>
            <w:pPr>
              <w:pStyle w:val="TableParagraph"/>
              <w:tabs>
                <w:tab w:pos="4370" w:val="left" w:leader="none"/>
              </w:tabs>
              <w:spacing w:line="203" w:lineRule="exact" w:before="95"/>
              <w:ind w:left="89"/>
              <w:rPr>
                <w:sz w:val="18"/>
              </w:rPr>
            </w:pPr>
            <w:r>
              <w:rPr>
                <w:color w:val="105C84"/>
                <w:sz w:val="18"/>
              </w:rPr>
              <w:t>Metrics/Goals</w:t>
            </w:r>
            <w:r>
              <w:rPr>
                <w:color w:val="105C84"/>
                <w:spacing w:val="2"/>
                <w:sz w:val="18"/>
              </w:rPr>
              <w:t> </w:t>
            </w:r>
            <w:r>
              <w:rPr>
                <w:color w:val="105C84"/>
                <w:sz w:val="18"/>
              </w:rPr>
              <w:t>by</w:t>
            </w:r>
            <w:r>
              <w:rPr>
                <w:color w:val="105C84"/>
                <w:spacing w:val="2"/>
                <w:sz w:val="18"/>
              </w:rPr>
              <w:t> </w:t>
            </w:r>
            <w:r>
              <w:rPr>
                <w:color w:val="105C84"/>
                <w:spacing w:val="-2"/>
                <w:sz w:val="18"/>
              </w:rPr>
              <w:t>Year:</w:t>
            </w:r>
            <w:r>
              <w:rPr>
                <w:color w:val="105C84"/>
                <w:sz w:val="18"/>
              </w:rPr>
              <w:tab/>
              <w:t>Use</w:t>
            </w:r>
            <w:r>
              <w:rPr>
                <w:color w:val="105C84"/>
                <w:spacing w:val="-8"/>
                <w:sz w:val="18"/>
              </w:rPr>
              <w:t> </w:t>
            </w:r>
            <w:r>
              <w:rPr>
                <w:color w:val="105C84"/>
                <w:sz w:val="18"/>
              </w:rPr>
              <w:t>unified</w:t>
            </w:r>
            <w:r>
              <w:rPr>
                <w:color w:val="105C84"/>
                <w:spacing w:val="-7"/>
                <w:sz w:val="18"/>
              </w:rPr>
              <w:t> </w:t>
            </w:r>
            <w:r>
              <w:rPr>
                <w:color w:val="105C84"/>
                <w:spacing w:val="-2"/>
                <w:sz w:val="18"/>
              </w:rPr>
              <w:t>messaging</w:t>
            </w:r>
          </w:p>
          <w:p>
            <w:pPr>
              <w:pStyle w:val="TableParagraph"/>
              <w:tabs>
                <w:tab w:pos="4370" w:val="left" w:leader="none"/>
              </w:tabs>
              <w:spacing w:line="245" w:lineRule="exact"/>
              <w:ind w:left="89"/>
              <w:rPr>
                <w:position w:val="9"/>
                <w:sz w:val="18"/>
              </w:rPr>
            </w:pPr>
            <w:r>
              <w:rPr>
                <w:color w:val="105C84"/>
                <w:spacing w:val="-4"/>
                <w:sz w:val="18"/>
              </w:rPr>
              <w:t>Year</w:t>
            </w:r>
            <w:r>
              <w:rPr>
                <w:color w:val="105C84"/>
                <w:spacing w:val="-6"/>
                <w:sz w:val="18"/>
              </w:rPr>
              <w:t> </w:t>
            </w:r>
            <w:r>
              <w:rPr>
                <w:color w:val="105C84"/>
                <w:spacing w:val="-4"/>
                <w:sz w:val="18"/>
              </w:rPr>
              <w:t>1:</w:t>
            </w:r>
            <w:r>
              <w:rPr>
                <w:color w:val="105C84"/>
                <w:spacing w:val="-6"/>
                <w:sz w:val="18"/>
              </w:rPr>
              <w:t> </w:t>
            </w:r>
            <w:r>
              <w:rPr>
                <w:color w:val="105C84"/>
                <w:spacing w:val="-4"/>
                <w:sz w:val="18"/>
              </w:rPr>
              <w:t>Wayne</w:t>
            </w:r>
            <w:r>
              <w:rPr>
                <w:color w:val="105C84"/>
                <w:spacing w:val="-6"/>
                <w:sz w:val="18"/>
              </w:rPr>
              <w:t> </w:t>
            </w:r>
            <w:r>
              <w:rPr>
                <w:color w:val="105C84"/>
                <w:spacing w:val="-4"/>
                <w:sz w:val="18"/>
              </w:rPr>
              <w:t>CAP</w:t>
            </w:r>
            <w:r>
              <w:rPr>
                <w:color w:val="105C84"/>
                <w:spacing w:val="-6"/>
                <w:sz w:val="18"/>
              </w:rPr>
              <w:t> </w:t>
            </w:r>
            <w:r>
              <w:rPr>
                <w:color w:val="105C84"/>
                <w:spacing w:val="-4"/>
                <w:sz w:val="18"/>
              </w:rPr>
              <w:t>goal:</w:t>
            </w:r>
            <w:r>
              <w:rPr>
                <w:color w:val="105C84"/>
                <w:spacing w:val="-6"/>
                <w:sz w:val="18"/>
              </w:rPr>
              <w:t> </w:t>
            </w:r>
            <w:r>
              <w:rPr>
                <w:color w:val="105C84"/>
                <w:spacing w:val="-5"/>
                <w:sz w:val="18"/>
              </w:rPr>
              <w:t>100</w:t>
            </w:r>
            <w:r>
              <w:rPr>
                <w:color w:val="105C84"/>
                <w:sz w:val="18"/>
              </w:rPr>
              <w:tab/>
            </w:r>
            <w:r>
              <w:rPr>
                <w:color w:val="105C84"/>
                <w:position w:val="9"/>
                <w:sz w:val="18"/>
              </w:rPr>
              <w:t>to</w:t>
            </w:r>
            <w:r>
              <w:rPr>
                <w:color w:val="105C84"/>
                <w:spacing w:val="19"/>
                <w:position w:val="9"/>
                <w:sz w:val="18"/>
              </w:rPr>
              <w:t> </w:t>
            </w:r>
            <w:r>
              <w:rPr>
                <w:color w:val="105C84"/>
                <w:position w:val="9"/>
                <w:sz w:val="18"/>
              </w:rPr>
              <w:t>promote</w:t>
            </w:r>
            <w:r>
              <w:rPr>
                <w:color w:val="105C84"/>
                <w:spacing w:val="20"/>
                <w:position w:val="9"/>
                <w:sz w:val="18"/>
              </w:rPr>
              <w:t> </w:t>
            </w:r>
            <w:r>
              <w:rPr>
                <w:color w:val="105C84"/>
                <w:spacing w:val="-2"/>
                <w:position w:val="9"/>
                <w:sz w:val="18"/>
              </w:rPr>
              <w:t>upcoming</w:t>
            </w:r>
          </w:p>
          <w:p>
            <w:pPr>
              <w:pStyle w:val="TableParagraph"/>
              <w:tabs>
                <w:tab w:pos="4370" w:val="left" w:leader="none"/>
              </w:tabs>
              <w:spacing w:line="200" w:lineRule="exact"/>
              <w:ind w:left="89"/>
              <w:rPr>
                <w:position w:val="9"/>
                <w:sz w:val="18"/>
              </w:rPr>
            </w:pPr>
            <w:r>
              <w:rPr>
                <w:color w:val="105C84"/>
                <w:sz w:val="18"/>
              </w:rPr>
              <w:t>people</w:t>
            </w:r>
            <w:r>
              <w:rPr>
                <w:color w:val="105C84"/>
                <w:spacing w:val="28"/>
                <w:sz w:val="18"/>
              </w:rPr>
              <w:t> </w:t>
            </w:r>
            <w:r>
              <w:rPr>
                <w:color w:val="105C84"/>
                <w:sz w:val="18"/>
              </w:rPr>
              <w:t>completing</w:t>
            </w:r>
            <w:r>
              <w:rPr>
                <w:color w:val="105C84"/>
                <w:spacing w:val="28"/>
                <w:sz w:val="18"/>
              </w:rPr>
              <w:t> </w:t>
            </w:r>
            <w:r>
              <w:rPr>
                <w:color w:val="105C84"/>
                <w:spacing w:val="-2"/>
                <w:sz w:val="18"/>
              </w:rPr>
              <w:t>course</w:t>
            </w:r>
            <w:r>
              <w:rPr>
                <w:color w:val="105C84"/>
                <w:sz w:val="18"/>
              </w:rPr>
              <w:tab/>
            </w:r>
            <w:r>
              <w:rPr>
                <w:color w:val="105C84"/>
                <w:spacing w:val="-2"/>
                <w:position w:val="9"/>
                <w:sz w:val="18"/>
              </w:rPr>
              <w:t>chronic</w:t>
            </w:r>
            <w:r>
              <w:rPr>
                <w:color w:val="105C84"/>
                <w:spacing w:val="-4"/>
                <w:position w:val="9"/>
                <w:sz w:val="18"/>
              </w:rPr>
              <w:t> </w:t>
            </w:r>
            <w:r>
              <w:rPr>
                <w:color w:val="105C84"/>
                <w:spacing w:val="-2"/>
                <w:position w:val="9"/>
                <w:sz w:val="18"/>
              </w:rPr>
              <w:t>disease</w:t>
            </w:r>
            <w:r>
              <w:rPr>
                <w:color w:val="105C84"/>
                <w:spacing w:val="-4"/>
                <w:position w:val="9"/>
                <w:sz w:val="18"/>
              </w:rPr>
              <w:t> </w:t>
            </w:r>
            <w:r>
              <w:rPr>
                <w:color w:val="105C84"/>
                <w:spacing w:val="-2"/>
                <w:position w:val="9"/>
                <w:sz w:val="18"/>
              </w:rPr>
              <w:t>self-</w:t>
            </w:r>
          </w:p>
          <w:p>
            <w:pPr>
              <w:pStyle w:val="TableParagraph"/>
              <w:tabs>
                <w:tab w:pos="4370" w:val="left" w:leader="none"/>
              </w:tabs>
              <w:spacing w:line="200" w:lineRule="exact"/>
              <w:ind w:left="89"/>
              <w:rPr>
                <w:position w:val="9"/>
                <w:sz w:val="18"/>
              </w:rPr>
            </w:pPr>
            <w:r>
              <w:rPr>
                <w:color w:val="105C84"/>
                <w:sz w:val="18"/>
              </w:rPr>
              <w:t>per</w:t>
            </w:r>
            <w:r>
              <w:rPr>
                <w:color w:val="105C84"/>
                <w:spacing w:val="-4"/>
                <w:sz w:val="18"/>
              </w:rPr>
              <w:t> </w:t>
            </w:r>
            <w:r>
              <w:rPr>
                <w:color w:val="105C84"/>
                <w:sz w:val="18"/>
              </w:rPr>
              <w:t>year;</w:t>
            </w:r>
            <w:r>
              <w:rPr>
                <w:color w:val="105C84"/>
                <w:spacing w:val="-3"/>
                <w:sz w:val="18"/>
              </w:rPr>
              <w:t> </w:t>
            </w:r>
            <w:r>
              <w:rPr>
                <w:color w:val="105C84"/>
                <w:sz w:val="18"/>
              </w:rPr>
              <w:t>1+</w:t>
            </w:r>
            <w:r>
              <w:rPr>
                <w:color w:val="105C84"/>
                <w:spacing w:val="-3"/>
                <w:sz w:val="18"/>
              </w:rPr>
              <w:t> </w:t>
            </w:r>
            <w:r>
              <w:rPr>
                <w:color w:val="105C84"/>
                <w:sz w:val="18"/>
              </w:rPr>
              <w:t>unified</w:t>
            </w:r>
            <w:r>
              <w:rPr>
                <w:color w:val="105C84"/>
                <w:spacing w:val="-3"/>
                <w:sz w:val="18"/>
              </w:rPr>
              <w:t> </w:t>
            </w:r>
            <w:r>
              <w:rPr>
                <w:color w:val="105C84"/>
                <w:spacing w:val="-2"/>
                <w:sz w:val="18"/>
              </w:rPr>
              <w:t>message</w:t>
            </w:r>
            <w:r>
              <w:rPr>
                <w:color w:val="105C84"/>
                <w:sz w:val="18"/>
              </w:rPr>
              <w:tab/>
            </w:r>
            <w:r>
              <w:rPr>
                <w:color w:val="105C84"/>
                <w:position w:val="9"/>
                <w:sz w:val="18"/>
              </w:rPr>
              <w:t>management</w:t>
            </w:r>
            <w:r>
              <w:rPr>
                <w:color w:val="105C84"/>
                <w:spacing w:val="6"/>
                <w:position w:val="9"/>
                <w:sz w:val="18"/>
              </w:rPr>
              <w:t> </w:t>
            </w:r>
            <w:r>
              <w:rPr>
                <w:color w:val="105C84"/>
                <w:spacing w:val="-2"/>
                <w:position w:val="9"/>
                <w:sz w:val="18"/>
              </w:rPr>
              <w:t>programs,</w:t>
            </w:r>
          </w:p>
          <w:p>
            <w:pPr>
              <w:pStyle w:val="TableParagraph"/>
              <w:tabs>
                <w:tab w:pos="4370" w:val="left" w:leader="none"/>
              </w:tabs>
              <w:spacing w:line="200" w:lineRule="exact"/>
              <w:ind w:left="89"/>
              <w:rPr>
                <w:position w:val="9"/>
                <w:sz w:val="18"/>
              </w:rPr>
            </w:pPr>
            <w:r>
              <w:rPr>
                <w:color w:val="105C84"/>
                <w:sz w:val="18"/>
              </w:rPr>
              <w:t>within</w:t>
            </w:r>
            <w:r>
              <w:rPr>
                <w:color w:val="105C84"/>
                <w:spacing w:val="1"/>
                <w:sz w:val="18"/>
              </w:rPr>
              <w:t> </w:t>
            </w:r>
            <w:r>
              <w:rPr>
                <w:color w:val="105C84"/>
                <w:sz w:val="18"/>
              </w:rPr>
              <w:t>2019,</w:t>
            </w:r>
            <w:r>
              <w:rPr>
                <w:color w:val="105C84"/>
                <w:spacing w:val="1"/>
                <w:sz w:val="18"/>
              </w:rPr>
              <w:t> </w:t>
            </w:r>
            <w:r>
              <w:rPr>
                <w:color w:val="105C84"/>
                <w:sz w:val="18"/>
              </w:rPr>
              <w:t>depending</w:t>
            </w:r>
            <w:r>
              <w:rPr>
                <w:color w:val="105C84"/>
                <w:spacing w:val="1"/>
                <w:sz w:val="18"/>
              </w:rPr>
              <w:t> </w:t>
            </w:r>
            <w:r>
              <w:rPr>
                <w:color w:val="105C84"/>
                <w:spacing w:val="-5"/>
                <w:sz w:val="18"/>
              </w:rPr>
              <w:t>on</w:t>
            </w:r>
            <w:r>
              <w:rPr>
                <w:color w:val="105C84"/>
                <w:sz w:val="18"/>
              </w:rPr>
              <w:tab/>
            </w:r>
            <w:r>
              <w:rPr>
                <w:color w:val="105C84"/>
                <w:spacing w:val="-2"/>
                <w:position w:val="9"/>
                <w:sz w:val="18"/>
              </w:rPr>
              <w:t>especially</w:t>
            </w:r>
            <w:r>
              <w:rPr>
                <w:color w:val="105C84"/>
                <w:spacing w:val="8"/>
                <w:position w:val="9"/>
                <w:sz w:val="18"/>
              </w:rPr>
              <w:t> </w:t>
            </w:r>
            <w:r>
              <w:rPr>
                <w:color w:val="105C84"/>
                <w:spacing w:val="-2"/>
                <w:position w:val="9"/>
                <w:sz w:val="18"/>
              </w:rPr>
              <w:t>home-based</w:t>
            </w:r>
          </w:p>
          <w:p>
            <w:pPr>
              <w:pStyle w:val="TableParagraph"/>
              <w:tabs>
                <w:tab w:pos="4370" w:val="left" w:leader="none"/>
              </w:tabs>
              <w:spacing w:line="200" w:lineRule="exact"/>
              <w:ind w:left="89"/>
              <w:rPr>
                <w:position w:val="9"/>
                <w:sz w:val="18"/>
              </w:rPr>
            </w:pPr>
            <w:r>
              <w:rPr>
                <w:color w:val="105C84"/>
                <w:sz w:val="18"/>
              </w:rPr>
              <w:t>course</w:t>
            </w:r>
            <w:r>
              <w:rPr>
                <w:color w:val="105C84"/>
                <w:spacing w:val="-14"/>
                <w:sz w:val="18"/>
              </w:rPr>
              <w:t> </w:t>
            </w:r>
            <w:r>
              <w:rPr>
                <w:color w:val="105C84"/>
                <w:sz w:val="18"/>
              </w:rPr>
              <w:t>availability;</w:t>
            </w:r>
            <w:r>
              <w:rPr>
                <w:color w:val="105C84"/>
                <w:spacing w:val="-11"/>
                <w:sz w:val="18"/>
              </w:rPr>
              <w:t> </w:t>
            </w:r>
            <w:r>
              <w:rPr>
                <w:color w:val="105C84"/>
                <w:spacing w:val="-2"/>
                <w:sz w:val="18"/>
              </w:rPr>
              <w:t>Aging</w:t>
            </w:r>
            <w:r>
              <w:rPr>
                <w:color w:val="105C84"/>
                <w:sz w:val="18"/>
              </w:rPr>
              <w:tab/>
            </w:r>
            <w:r>
              <w:rPr>
                <w:color w:val="105C84"/>
                <w:position w:val="9"/>
                <w:sz w:val="18"/>
              </w:rPr>
              <w:t>and</w:t>
            </w:r>
            <w:r>
              <w:rPr>
                <w:color w:val="105C84"/>
                <w:spacing w:val="-3"/>
                <w:position w:val="9"/>
                <w:sz w:val="18"/>
              </w:rPr>
              <w:t> </w:t>
            </w:r>
            <w:r>
              <w:rPr>
                <w:color w:val="105C84"/>
                <w:position w:val="9"/>
                <w:sz w:val="18"/>
              </w:rPr>
              <w:t>work</w:t>
            </w:r>
            <w:r>
              <w:rPr>
                <w:color w:val="105C84"/>
                <w:spacing w:val="-3"/>
                <w:position w:val="9"/>
                <w:sz w:val="18"/>
              </w:rPr>
              <w:t> </w:t>
            </w:r>
            <w:r>
              <w:rPr>
                <w:color w:val="105C84"/>
                <w:position w:val="9"/>
                <w:sz w:val="18"/>
              </w:rPr>
              <w:t>place</w:t>
            </w:r>
            <w:r>
              <w:rPr>
                <w:color w:val="105C84"/>
                <w:spacing w:val="-3"/>
                <w:position w:val="9"/>
                <w:sz w:val="18"/>
              </w:rPr>
              <w:t> </w:t>
            </w:r>
            <w:r>
              <w:rPr>
                <w:color w:val="105C84"/>
                <w:spacing w:val="-2"/>
                <w:position w:val="9"/>
                <w:sz w:val="18"/>
              </w:rPr>
              <w:t>programs</w:t>
            </w:r>
          </w:p>
          <w:p>
            <w:pPr>
              <w:pStyle w:val="TableParagraph"/>
              <w:tabs>
                <w:tab w:pos="4370" w:val="left" w:leader="none"/>
              </w:tabs>
              <w:spacing w:line="200" w:lineRule="exact"/>
              <w:ind w:left="89"/>
              <w:rPr>
                <w:position w:val="9"/>
                <w:sz w:val="18"/>
              </w:rPr>
            </w:pPr>
            <w:r>
              <w:rPr>
                <w:color w:val="105C84"/>
                <w:sz w:val="18"/>
              </w:rPr>
              <w:t>&amp;</w:t>
            </w:r>
            <w:r>
              <w:rPr>
                <w:color w:val="105C84"/>
                <w:spacing w:val="-1"/>
                <w:sz w:val="18"/>
              </w:rPr>
              <w:t> </w:t>
            </w:r>
            <w:r>
              <w:rPr>
                <w:color w:val="105C84"/>
                <w:sz w:val="18"/>
              </w:rPr>
              <w:t>Youth to collect </w:t>
            </w:r>
            <w:r>
              <w:rPr>
                <w:color w:val="105C84"/>
                <w:spacing w:val="-4"/>
                <w:sz w:val="18"/>
              </w:rPr>
              <w:t>data</w:t>
            </w:r>
            <w:r>
              <w:rPr>
                <w:color w:val="105C84"/>
                <w:sz w:val="18"/>
              </w:rPr>
              <w:tab/>
            </w:r>
            <w:r>
              <w:rPr>
                <w:color w:val="105C84"/>
                <w:position w:val="9"/>
                <w:sz w:val="18"/>
              </w:rPr>
              <w:t>which</w:t>
            </w:r>
            <w:r>
              <w:rPr>
                <w:color w:val="105C84"/>
                <w:spacing w:val="-9"/>
                <w:position w:val="9"/>
                <w:sz w:val="18"/>
              </w:rPr>
              <w:t> </w:t>
            </w:r>
            <w:r>
              <w:rPr>
                <w:color w:val="105C84"/>
                <w:position w:val="9"/>
                <w:sz w:val="18"/>
              </w:rPr>
              <w:t>alleviate</w:t>
            </w:r>
            <w:r>
              <w:rPr>
                <w:color w:val="105C84"/>
                <w:spacing w:val="-8"/>
                <w:position w:val="9"/>
                <w:sz w:val="18"/>
              </w:rPr>
              <w:t> </w:t>
            </w:r>
            <w:r>
              <w:rPr>
                <w:color w:val="105C84"/>
                <w:spacing w:val="-5"/>
                <w:position w:val="9"/>
                <w:sz w:val="18"/>
              </w:rPr>
              <w:t>the</w:t>
            </w:r>
          </w:p>
          <w:p>
            <w:pPr>
              <w:pStyle w:val="TableParagraph"/>
              <w:tabs>
                <w:tab w:pos="4370" w:val="left" w:leader="none"/>
              </w:tabs>
              <w:spacing w:line="148" w:lineRule="auto"/>
              <w:ind w:left="89"/>
              <w:rPr>
                <w:sz w:val="18"/>
              </w:rPr>
            </w:pPr>
            <w:r>
              <w:rPr>
                <w:color w:val="105C84"/>
                <w:position w:val="-8"/>
                <w:sz w:val="18"/>
              </w:rPr>
              <w:t>on</w:t>
            </w:r>
            <w:r>
              <w:rPr>
                <w:color w:val="105C84"/>
                <w:spacing w:val="-5"/>
                <w:position w:val="-8"/>
                <w:sz w:val="18"/>
              </w:rPr>
              <w:t> </w:t>
            </w:r>
            <w:r>
              <w:rPr>
                <w:color w:val="105C84"/>
                <w:position w:val="-8"/>
                <w:sz w:val="18"/>
              </w:rPr>
              <w:t>how</w:t>
            </w:r>
            <w:r>
              <w:rPr>
                <w:color w:val="105C84"/>
                <w:spacing w:val="-5"/>
                <w:position w:val="-8"/>
                <w:sz w:val="18"/>
              </w:rPr>
              <w:t> </w:t>
            </w:r>
            <w:r>
              <w:rPr>
                <w:color w:val="105C84"/>
                <w:position w:val="-8"/>
                <w:sz w:val="18"/>
              </w:rPr>
              <w:t>registrants</w:t>
            </w:r>
            <w:r>
              <w:rPr>
                <w:color w:val="105C84"/>
                <w:spacing w:val="-5"/>
                <w:position w:val="-8"/>
                <w:sz w:val="18"/>
              </w:rPr>
              <w:t> </w:t>
            </w:r>
            <w:r>
              <w:rPr>
                <w:color w:val="105C84"/>
                <w:spacing w:val="-4"/>
                <w:position w:val="-8"/>
                <w:sz w:val="18"/>
              </w:rPr>
              <w:t>heard</w:t>
            </w:r>
            <w:r>
              <w:rPr>
                <w:color w:val="105C84"/>
                <w:position w:val="-8"/>
                <w:sz w:val="18"/>
              </w:rPr>
              <w:tab/>
            </w:r>
            <w:r>
              <w:rPr>
                <w:color w:val="105C84"/>
                <w:sz w:val="18"/>
              </w:rPr>
              <w:t>transportation</w:t>
            </w:r>
            <w:r>
              <w:rPr>
                <w:color w:val="105C84"/>
                <w:spacing w:val="22"/>
                <w:sz w:val="18"/>
              </w:rPr>
              <w:t> </w:t>
            </w:r>
            <w:r>
              <w:rPr>
                <w:color w:val="105C84"/>
                <w:spacing w:val="-2"/>
                <w:sz w:val="18"/>
              </w:rPr>
              <w:t>barrier</w:t>
            </w:r>
          </w:p>
          <w:p>
            <w:pPr>
              <w:pStyle w:val="TableParagraph"/>
              <w:tabs>
                <w:tab w:pos="4370" w:val="left" w:leader="none"/>
              </w:tabs>
              <w:spacing w:line="201" w:lineRule="exact"/>
              <w:ind w:left="89"/>
              <w:rPr>
                <w:position w:val="9"/>
                <w:sz w:val="18"/>
              </w:rPr>
            </w:pPr>
            <w:r>
              <w:rPr>
                <w:color w:val="105C84"/>
                <w:sz w:val="18"/>
              </w:rPr>
              <w:t>about</w:t>
            </w:r>
            <w:r>
              <w:rPr>
                <w:color w:val="105C84"/>
                <w:spacing w:val="-12"/>
                <w:sz w:val="18"/>
              </w:rPr>
              <w:t> </w:t>
            </w:r>
            <w:r>
              <w:rPr>
                <w:color w:val="105C84"/>
                <w:sz w:val="18"/>
              </w:rPr>
              <w:t>program(s);</w:t>
            </w:r>
            <w:r>
              <w:rPr>
                <w:color w:val="105C84"/>
                <w:spacing w:val="-11"/>
                <w:sz w:val="18"/>
              </w:rPr>
              <w:t> </w:t>
            </w:r>
            <w:r>
              <w:rPr>
                <w:color w:val="105C84"/>
                <w:sz w:val="18"/>
              </w:rPr>
              <w:t>use</w:t>
            </w:r>
            <w:r>
              <w:rPr>
                <w:color w:val="105C84"/>
                <w:spacing w:val="-11"/>
                <w:sz w:val="18"/>
              </w:rPr>
              <w:t> </w:t>
            </w:r>
            <w:r>
              <w:rPr>
                <w:color w:val="105C84"/>
                <w:spacing w:val="-5"/>
                <w:sz w:val="18"/>
              </w:rPr>
              <w:t>to</w:t>
            </w:r>
            <w:r>
              <w:rPr>
                <w:color w:val="105C84"/>
                <w:sz w:val="18"/>
              </w:rPr>
              <w:tab/>
            </w:r>
            <w:r>
              <w:rPr>
                <w:color w:val="105C84"/>
                <w:position w:val="9"/>
                <w:sz w:val="18"/>
              </w:rPr>
              <w:t>experienced</w:t>
            </w:r>
            <w:r>
              <w:rPr>
                <w:color w:val="105C84"/>
                <w:spacing w:val="1"/>
                <w:position w:val="9"/>
                <w:sz w:val="18"/>
              </w:rPr>
              <w:t> </w:t>
            </w:r>
            <w:r>
              <w:rPr>
                <w:color w:val="105C84"/>
                <w:position w:val="9"/>
                <w:sz w:val="18"/>
              </w:rPr>
              <w:t>by</w:t>
            </w:r>
            <w:r>
              <w:rPr>
                <w:color w:val="105C84"/>
                <w:spacing w:val="2"/>
                <w:position w:val="9"/>
                <w:sz w:val="18"/>
              </w:rPr>
              <w:t> </w:t>
            </w:r>
            <w:r>
              <w:rPr>
                <w:color w:val="105C84"/>
                <w:spacing w:val="-4"/>
                <w:position w:val="9"/>
                <w:sz w:val="18"/>
              </w:rPr>
              <w:t>many</w:t>
            </w:r>
          </w:p>
          <w:p>
            <w:pPr>
              <w:pStyle w:val="TableParagraph"/>
              <w:tabs>
                <w:tab w:pos="4370" w:val="left" w:leader="none"/>
              </w:tabs>
              <w:spacing w:line="245" w:lineRule="exact"/>
              <w:ind w:left="89"/>
              <w:rPr>
                <w:position w:val="9"/>
                <w:sz w:val="18"/>
              </w:rPr>
            </w:pPr>
            <w:r>
              <w:rPr>
                <w:color w:val="105C84"/>
                <w:spacing w:val="-2"/>
                <w:sz w:val="18"/>
              </w:rPr>
              <w:t>evaluate effectiveness</w:t>
            </w:r>
            <w:r>
              <w:rPr>
                <w:color w:val="105C84"/>
                <w:spacing w:val="-1"/>
                <w:sz w:val="18"/>
              </w:rPr>
              <w:t> </w:t>
            </w:r>
            <w:r>
              <w:rPr>
                <w:color w:val="105C84"/>
                <w:spacing w:val="-5"/>
                <w:sz w:val="18"/>
              </w:rPr>
              <w:t>of</w:t>
            </w:r>
            <w:r>
              <w:rPr>
                <w:color w:val="105C84"/>
                <w:sz w:val="18"/>
              </w:rPr>
              <w:tab/>
            </w:r>
            <w:r>
              <w:rPr>
                <w:color w:val="105C84"/>
                <w:position w:val="9"/>
                <w:sz w:val="18"/>
              </w:rPr>
              <w:t>Wayne</w:t>
            </w:r>
            <w:r>
              <w:rPr>
                <w:color w:val="105C84"/>
                <w:spacing w:val="-13"/>
                <w:position w:val="9"/>
                <w:sz w:val="18"/>
              </w:rPr>
              <w:t> </w:t>
            </w:r>
            <w:r>
              <w:rPr>
                <w:color w:val="105C84"/>
                <w:position w:val="9"/>
                <w:sz w:val="18"/>
              </w:rPr>
              <w:t>County</w:t>
            </w:r>
            <w:r>
              <w:rPr>
                <w:color w:val="105C84"/>
                <w:spacing w:val="-12"/>
                <w:position w:val="9"/>
                <w:sz w:val="18"/>
              </w:rPr>
              <w:t> </w:t>
            </w:r>
            <w:r>
              <w:rPr>
                <w:color w:val="105C84"/>
                <w:spacing w:val="-2"/>
                <w:position w:val="9"/>
                <w:sz w:val="18"/>
              </w:rPr>
              <w:t>residents</w:t>
            </w:r>
          </w:p>
          <w:p>
            <w:pPr>
              <w:pStyle w:val="TableParagraph"/>
              <w:tabs>
                <w:tab w:pos="4370" w:val="left" w:leader="none"/>
              </w:tabs>
              <w:spacing w:line="200" w:lineRule="exact"/>
              <w:ind w:left="89"/>
              <w:rPr>
                <w:sz w:val="18"/>
              </w:rPr>
            </w:pPr>
            <w:r>
              <w:rPr>
                <w:color w:val="105C84"/>
                <w:sz w:val="18"/>
              </w:rPr>
              <w:t>unified</w:t>
            </w:r>
            <w:r>
              <w:rPr>
                <w:color w:val="105C84"/>
                <w:spacing w:val="-6"/>
                <w:sz w:val="18"/>
              </w:rPr>
              <w:t> </w:t>
            </w:r>
            <w:r>
              <w:rPr>
                <w:color w:val="105C84"/>
                <w:sz w:val="18"/>
              </w:rPr>
              <w:t>messaging;</w:t>
            </w:r>
            <w:r>
              <w:rPr>
                <w:color w:val="105C84"/>
                <w:spacing w:val="-5"/>
                <w:sz w:val="18"/>
              </w:rPr>
              <w:t> </w:t>
            </w:r>
            <w:r>
              <w:rPr>
                <w:color w:val="105C84"/>
                <w:spacing w:val="-2"/>
                <w:sz w:val="18"/>
              </w:rPr>
              <w:t>Percent</w:t>
            </w:r>
            <w:r>
              <w:rPr>
                <w:color w:val="105C84"/>
                <w:sz w:val="18"/>
              </w:rPr>
              <w:tab/>
              <w:t>At</w:t>
            </w:r>
            <w:r>
              <w:rPr>
                <w:color w:val="105C84"/>
                <w:spacing w:val="-1"/>
                <w:sz w:val="18"/>
              </w:rPr>
              <w:t> </w:t>
            </w:r>
            <w:r>
              <w:rPr>
                <w:color w:val="105C84"/>
                <w:sz w:val="18"/>
              </w:rPr>
              <w:t>least once within </w:t>
            </w:r>
            <w:r>
              <w:rPr>
                <w:color w:val="105C84"/>
                <w:spacing w:val="-5"/>
                <w:sz w:val="18"/>
              </w:rPr>
              <w:t>the</w:t>
            </w:r>
          </w:p>
          <w:p>
            <w:pPr>
              <w:pStyle w:val="TableParagraph"/>
              <w:tabs>
                <w:tab w:pos="4370" w:val="left" w:leader="none"/>
              </w:tabs>
              <w:spacing w:line="200" w:lineRule="exact"/>
              <w:ind w:left="89"/>
              <w:rPr>
                <w:sz w:val="18"/>
              </w:rPr>
            </w:pPr>
            <w:r>
              <w:rPr>
                <w:color w:val="105C84"/>
                <w:sz w:val="18"/>
              </w:rPr>
              <w:t>of</w:t>
            </w:r>
            <w:r>
              <w:rPr>
                <w:color w:val="105C84"/>
                <w:spacing w:val="-7"/>
                <w:sz w:val="18"/>
              </w:rPr>
              <w:t> </w:t>
            </w:r>
            <w:r>
              <w:rPr>
                <w:color w:val="105C84"/>
                <w:sz w:val="18"/>
              </w:rPr>
              <w:t>classes</w:t>
            </w:r>
            <w:r>
              <w:rPr>
                <w:color w:val="105C84"/>
                <w:spacing w:val="-6"/>
                <w:sz w:val="18"/>
              </w:rPr>
              <w:t> </w:t>
            </w:r>
            <w:r>
              <w:rPr>
                <w:color w:val="105C84"/>
                <w:sz w:val="18"/>
              </w:rPr>
              <w:t>hitting</w:t>
            </w:r>
            <w:r>
              <w:rPr>
                <w:color w:val="105C84"/>
                <w:spacing w:val="-6"/>
                <w:sz w:val="18"/>
              </w:rPr>
              <w:t> </w:t>
            </w:r>
            <w:r>
              <w:rPr>
                <w:color w:val="105C84"/>
                <w:spacing w:val="-2"/>
                <w:sz w:val="18"/>
              </w:rPr>
              <w:t>their</w:t>
            </w:r>
            <w:r>
              <w:rPr>
                <w:color w:val="105C84"/>
                <w:sz w:val="18"/>
              </w:rPr>
              <w:tab/>
            </w:r>
            <w:r>
              <w:rPr>
                <w:color w:val="105C84"/>
                <w:spacing w:val="-6"/>
                <w:sz w:val="18"/>
              </w:rPr>
              <w:t>year.</w:t>
            </w:r>
            <w:r>
              <w:rPr>
                <w:color w:val="105C84"/>
                <w:spacing w:val="-4"/>
                <w:sz w:val="18"/>
              </w:rPr>
              <w:t> </w:t>
            </w:r>
            <w:r>
              <w:rPr>
                <w:color w:val="105C84"/>
                <w:spacing w:val="-6"/>
                <w:sz w:val="18"/>
              </w:rPr>
              <w:t>In</w:t>
            </w:r>
            <w:r>
              <w:rPr>
                <w:color w:val="105C84"/>
                <w:spacing w:val="-4"/>
                <w:sz w:val="18"/>
              </w:rPr>
              <w:t> </w:t>
            </w:r>
            <w:r>
              <w:rPr>
                <w:color w:val="105C84"/>
                <w:spacing w:val="-6"/>
                <w:sz w:val="18"/>
              </w:rPr>
              <w:t>2019,</w:t>
            </w:r>
            <w:r>
              <w:rPr>
                <w:color w:val="105C84"/>
                <w:spacing w:val="-3"/>
                <w:sz w:val="18"/>
              </w:rPr>
              <w:t> </w:t>
            </w:r>
            <w:r>
              <w:rPr>
                <w:color w:val="105C84"/>
                <w:spacing w:val="-6"/>
                <w:sz w:val="18"/>
              </w:rPr>
              <w:t>WHIP</w:t>
            </w:r>
            <w:r>
              <w:rPr>
                <w:color w:val="105C84"/>
                <w:spacing w:val="-4"/>
                <w:sz w:val="18"/>
              </w:rPr>
              <w:t> </w:t>
            </w:r>
            <w:r>
              <w:rPr>
                <w:color w:val="105C84"/>
                <w:spacing w:val="-6"/>
                <w:sz w:val="18"/>
              </w:rPr>
              <w:t>can,</w:t>
            </w:r>
          </w:p>
          <w:p>
            <w:pPr>
              <w:pStyle w:val="TableParagraph"/>
              <w:tabs>
                <w:tab w:pos="4370" w:val="left" w:leader="none"/>
              </w:tabs>
              <w:spacing w:line="200" w:lineRule="exact"/>
              <w:ind w:left="89"/>
              <w:rPr>
                <w:sz w:val="18"/>
              </w:rPr>
            </w:pPr>
            <w:r>
              <w:rPr>
                <w:color w:val="105C84"/>
                <w:sz w:val="18"/>
              </w:rPr>
              <w:t>attendance</w:t>
            </w:r>
            <w:r>
              <w:rPr>
                <w:color w:val="105C84"/>
                <w:spacing w:val="1"/>
                <w:sz w:val="18"/>
              </w:rPr>
              <w:t> </w:t>
            </w:r>
            <w:r>
              <w:rPr>
                <w:color w:val="105C84"/>
                <w:sz w:val="18"/>
              </w:rPr>
              <w:t>goal</w:t>
            </w:r>
            <w:r>
              <w:rPr>
                <w:color w:val="105C84"/>
                <w:spacing w:val="1"/>
                <w:sz w:val="18"/>
              </w:rPr>
              <w:t> </w:t>
            </w:r>
            <w:r>
              <w:rPr>
                <w:color w:val="105C84"/>
                <w:sz w:val="18"/>
              </w:rPr>
              <w:t>(for</w:t>
            </w:r>
            <w:r>
              <w:rPr>
                <w:color w:val="105C84"/>
                <w:spacing w:val="1"/>
                <w:sz w:val="18"/>
              </w:rPr>
              <w:t> </w:t>
            </w:r>
            <w:r>
              <w:rPr>
                <w:color w:val="105C84"/>
                <w:spacing w:val="-2"/>
                <w:sz w:val="18"/>
              </w:rPr>
              <w:t>CDSMP</w:t>
            </w:r>
            <w:r>
              <w:rPr>
                <w:color w:val="105C84"/>
                <w:sz w:val="18"/>
              </w:rPr>
              <w:tab/>
              <w:t>at</w:t>
            </w:r>
            <w:r>
              <w:rPr>
                <w:color w:val="105C84"/>
                <w:spacing w:val="-3"/>
                <w:sz w:val="18"/>
              </w:rPr>
              <w:t> </w:t>
            </w:r>
            <w:r>
              <w:rPr>
                <w:color w:val="105C84"/>
                <w:sz w:val="18"/>
              </w:rPr>
              <w:t>a</w:t>
            </w:r>
            <w:r>
              <w:rPr>
                <w:color w:val="105C84"/>
                <w:spacing w:val="-3"/>
                <w:sz w:val="18"/>
              </w:rPr>
              <w:t> </w:t>
            </w:r>
            <w:r>
              <w:rPr>
                <w:color w:val="105C84"/>
                <w:sz w:val="18"/>
              </w:rPr>
              <w:t>minimum,</w:t>
            </w:r>
            <w:r>
              <w:rPr>
                <w:color w:val="105C84"/>
                <w:spacing w:val="-3"/>
                <w:sz w:val="18"/>
              </w:rPr>
              <w:t> </w:t>
            </w:r>
            <w:r>
              <w:rPr>
                <w:color w:val="105C84"/>
                <w:spacing w:val="-2"/>
                <w:sz w:val="18"/>
              </w:rPr>
              <w:t>promote</w:t>
            </w:r>
          </w:p>
          <w:p>
            <w:pPr>
              <w:pStyle w:val="TableParagraph"/>
              <w:tabs>
                <w:tab w:pos="4370" w:val="left" w:leader="none"/>
              </w:tabs>
              <w:spacing w:line="200" w:lineRule="exact"/>
              <w:ind w:left="89"/>
              <w:rPr>
                <w:sz w:val="18"/>
              </w:rPr>
            </w:pPr>
            <w:r>
              <w:rPr>
                <w:color w:val="105C84"/>
                <w:spacing w:val="-8"/>
                <w:sz w:val="18"/>
              </w:rPr>
              <w:t>via</w:t>
            </w:r>
            <w:r>
              <w:rPr>
                <w:color w:val="105C84"/>
                <w:spacing w:val="-4"/>
                <w:sz w:val="18"/>
              </w:rPr>
              <w:t> </w:t>
            </w:r>
            <w:r>
              <w:rPr>
                <w:color w:val="105C84"/>
                <w:spacing w:val="-8"/>
                <w:sz w:val="18"/>
              </w:rPr>
              <w:t>WCAP,</w:t>
            </w:r>
            <w:r>
              <w:rPr>
                <w:color w:val="105C84"/>
                <w:spacing w:val="-3"/>
                <w:sz w:val="18"/>
              </w:rPr>
              <w:t> </w:t>
            </w:r>
            <w:r>
              <w:rPr>
                <w:color w:val="105C84"/>
                <w:spacing w:val="-8"/>
                <w:sz w:val="18"/>
              </w:rPr>
              <w:t>A&amp;Y,</w:t>
            </w:r>
            <w:r>
              <w:rPr>
                <w:color w:val="105C84"/>
                <w:spacing w:val="-3"/>
                <w:sz w:val="18"/>
              </w:rPr>
              <w:t> </w:t>
            </w:r>
            <w:r>
              <w:rPr>
                <w:color w:val="105C84"/>
                <w:spacing w:val="-8"/>
                <w:sz w:val="18"/>
              </w:rPr>
              <w:t>8</w:t>
            </w:r>
            <w:r>
              <w:rPr>
                <w:color w:val="105C84"/>
                <w:spacing w:val="-3"/>
                <w:sz w:val="18"/>
              </w:rPr>
              <w:t> </w:t>
            </w:r>
            <w:r>
              <w:rPr>
                <w:color w:val="105C84"/>
                <w:spacing w:val="-8"/>
                <w:sz w:val="18"/>
              </w:rPr>
              <w:t>persons</w:t>
            </w:r>
            <w:r>
              <w:rPr>
                <w:color w:val="105C84"/>
                <w:sz w:val="18"/>
              </w:rPr>
              <w:tab/>
              <w:t>the</w:t>
            </w:r>
            <w:r>
              <w:rPr>
                <w:color w:val="105C84"/>
                <w:spacing w:val="-10"/>
                <w:sz w:val="18"/>
              </w:rPr>
              <w:t> </w:t>
            </w:r>
            <w:r>
              <w:rPr>
                <w:color w:val="105C84"/>
                <w:sz w:val="18"/>
              </w:rPr>
              <w:t>remaining</w:t>
            </w:r>
            <w:r>
              <w:rPr>
                <w:color w:val="105C84"/>
                <w:spacing w:val="-10"/>
                <w:sz w:val="18"/>
              </w:rPr>
              <w:t> </w:t>
            </w:r>
            <w:r>
              <w:rPr>
                <w:color w:val="105C84"/>
                <w:sz w:val="18"/>
              </w:rPr>
              <w:t>2019</w:t>
            </w:r>
            <w:r>
              <w:rPr>
                <w:color w:val="105C84"/>
                <w:spacing w:val="-10"/>
                <w:sz w:val="18"/>
              </w:rPr>
              <w:t> </w:t>
            </w:r>
            <w:r>
              <w:rPr>
                <w:color w:val="105C84"/>
                <w:spacing w:val="-2"/>
                <w:sz w:val="18"/>
              </w:rPr>
              <w:t>Aging</w:t>
            </w:r>
          </w:p>
          <w:p>
            <w:pPr>
              <w:pStyle w:val="TableParagraph"/>
              <w:tabs>
                <w:tab w:pos="4370" w:val="left" w:leader="none"/>
              </w:tabs>
              <w:spacing w:line="200" w:lineRule="exact"/>
              <w:ind w:left="89"/>
              <w:rPr>
                <w:sz w:val="18"/>
              </w:rPr>
            </w:pPr>
            <w:r>
              <w:rPr>
                <w:color w:val="105C84"/>
                <w:sz w:val="18"/>
              </w:rPr>
              <w:t>per</w:t>
            </w:r>
            <w:r>
              <w:rPr>
                <w:color w:val="105C84"/>
                <w:spacing w:val="3"/>
                <w:sz w:val="18"/>
              </w:rPr>
              <w:t> </w:t>
            </w:r>
            <w:r>
              <w:rPr>
                <w:color w:val="105C84"/>
                <w:spacing w:val="-2"/>
                <w:sz w:val="18"/>
              </w:rPr>
              <w:t>class)</w:t>
            </w:r>
            <w:r>
              <w:rPr>
                <w:color w:val="105C84"/>
                <w:sz w:val="18"/>
              </w:rPr>
              <w:tab/>
              <w:t>&amp;</w:t>
            </w:r>
            <w:r>
              <w:rPr>
                <w:color w:val="105C84"/>
                <w:spacing w:val="-13"/>
                <w:sz w:val="18"/>
              </w:rPr>
              <w:t> </w:t>
            </w:r>
            <w:r>
              <w:rPr>
                <w:color w:val="105C84"/>
                <w:sz w:val="18"/>
              </w:rPr>
              <w:t>Youth</w:t>
            </w:r>
            <w:r>
              <w:rPr>
                <w:color w:val="105C84"/>
                <w:spacing w:val="-12"/>
                <w:sz w:val="18"/>
              </w:rPr>
              <w:t> </w:t>
            </w:r>
            <w:r>
              <w:rPr>
                <w:color w:val="105C84"/>
                <w:sz w:val="18"/>
              </w:rPr>
              <w:t>and</w:t>
            </w:r>
            <w:r>
              <w:rPr>
                <w:color w:val="105C84"/>
                <w:spacing w:val="-13"/>
                <w:sz w:val="18"/>
              </w:rPr>
              <w:t> </w:t>
            </w:r>
            <w:r>
              <w:rPr>
                <w:color w:val="105C84"/>
                <w:sz w:val="18"/>
              </w:rPr>
              <w:t>Wayne</w:t>
            </w:r>
            <w:r>
              <w:rPr>
                <w:color w:val="105C84"/>
                <w:spacing w:val="-12"/>
                <w:sz w:val="18"/>
              </w:rPr>
              <w:t> </w:t>
            </w:r>
            <w:r>
              <w:rPr>
                <w:color w:val="105C84"/>
                <w:spacing w:val="-5"/>
                <w:sz w:val="18"/>
              </w:rPr>
              <w:t>CAP</w:t>
            </w:r>
          </w:p>
          <w:p>
            <w:pPr>
              <w:pStyle w:val="TableParagraph"/>
              <w:tabs>
                <w:tab w:pos="4370" w:val="left" w:leader="none"/>
              </w:tabs>
              <w:spacing w:line="245" w:lineRule="exact"/>
              <w:ind w:left="89"/>
              <w:rPr>
                <w:position w:val="9"/>
                <w:sz w:val="18"/>
              </w:rPr>
            </w:pPr>
            <w:r>
              <w:rPr>
                <w:color w:val="105C84"/>
                <w:spacing w:val="-4"/>
                <w:sz w:val="18"/>
              </w:rPr>
              <w:t>Year</w:t>
            </w:r>
            <w:r>
              <w:rPr>
                <w:color w:val="105C84"/>
                <w:spacing w:val="-3"/>
                <w:sz w:val="18"/>
              </w:rPr>
              <w:t> </w:t>
            </w:r>
            <w:r>
              <w:rPr>
                <w:color w:val="105C84"/>
                <w:spacing w:val="-4"/>
                <w:sz w:val="18"/>
              </w:rPr>
              <w:t>2:</w:t>
            </w:r>
            <w:r>
              <w:rPr>
                <w:color w:val="105C84"/>
                <w:spacing w:val="-2"/>
                <w:sz w:val="18"/>
              </w:rPr>
              <w:t> </w:t>
            </w:r>
            <w:r>
              <w:rPr>
                <w:color w:val="105C84"/>
                <w:spacing w:val="-4"/>
                <w:sz w:val="18"/>
              </w:rPr>
              <w:t>Unified</w:t>
            </w:r>
            <w:r>
              <w:rPr>
                <w:color w:val="105C84"/>
                <w:spacing w:val="-2"/>
                <w:sz w:val="18"/>
              </w:rPr>
              <w:t> </w:t>
            </w:r>
            <w:r>
              <w:rPr>
                <w:color w:val="105C84"/>
                <w:spacing w:val="-4"/>
                <w:sz w:val="18"/>
              </w:rPr>
              <w:t>messaging</w:t>
            </w:r>
            <w:r>
              <w:rPr>
                <w:color w:val="105C84"/>
                <w:sz w:val="18"/>
              </w:rPr>
              <w:tab/>
            </w:r>
            <w:r>
              <w:rPr>
                <w:color w:val="105C84"/>
                <w:spacing w:val="-4"/>
                <w:position w:val="9"/>
                <w:sz w:val="18"/>
              </w:rPr>
              <w:t>CDSMP</w:t>
            </w:r>
            <w:r>
              <w:rPr>
                <w:color w:val="105C84"/>
                <w:spacing w:val="-7"/>
                <w:position w:val="9"/>
                <w:sz w:val="18"/>
              </w:rPr>
              <w:t> </w:t>
            </w:r>
            <w:r>
              <w:rPr>
                <w:color w:val="105C84"/>
                <w:spacing w:val="-4"/>
                <w:position w:val="9"/>
                <w:sz w:val="18"/>
              </w:rPr>
              <w:t>class.</w:t>
            </w:r>
            <w:r>
              <w:rPr>
                <w:color w:val="105C84"/>
                <w:spacing w:val="-6"/>
                <w:position w:val="9"/>
                <w:sz w:val="18"/>
              </w:rPr>
              <w:t> </w:t>
            </w:r>
            <w:r>
              <w:rPr>
                <w:color w:val="105C84"/>
                <w:spacing w:val="-4"/>
                <w:position w:val="9"/>
                <w:sz w:val="18"/>
              </w:rPr>
              <w:t>One</w:t>
            </w:r>
            <w:r>
              <w:rPr>
                <w:color w:val="105C84"/>
                <w:spacing w:val="-6"/>
                <w:position w:val="9"/>
                <w:sz w:val="18"/>
              </w:rPr>
              <w:t> </w:t>
            </w:r>
            <w:r>
              <w:rPr>
                <w:color w:val="105C84"/>
                <w:spacing w:val="-5"/>
                <w:position w:val="9"/>
                <w:sz w:val="18"/>
              </w:rPr>
              <w:t>has</w:t>
            </w:r>
          </w:p>
          <w:p>
            <w:pPr>
              <w:pStyle w:val="TableParagraph"/>
              <w:tabs>
                <w:tab w:pos="4370" w:val="left" w:leader="none"/>
              </w:tabs>
              <w:spacing w:line="200" w:lineRule="exact"/>
              <w:ind w:left="89"/>
              <w:rPr>
                <w:position w:val="9"/>
                <w:sz w:val="18"/>
              </w:rPr>
            </w:pPr>
            <w:r>
              <w:rPr>
                <w:color w:val="105C84"/>
                <w:sz w:val="18"/>
              </w:rPr>
              <w:t>to</w:t>
            </w:r>
            <w:r>
              <w:rPr>
                <w:color w:val="105C84"/>
                <w:spacing w:val="6"/>
                <w:sz w:val="18"/>
              </w:rPr>
              <w:t> </w:t>
            </w:r>
            <w:r>
              <w:rPr>
                <w:color w:val="105C84"/>
                <w:sz w:val="18"/>
              </w:rPr>
              <w:t>public</w:t>
            </w:r>
            <w:r>
              <w:rPr>
                <w:color w:val="105C84"/>
                <w:spacing w:val="7"/>
                <w:sz w:val="18"/>
              </w:rPr>
              <w:t> </w:t>
            </w:r>
            <w:r>
              <w:rPr>
                <w:color w:val="105C84"/>
                <w:sz w:val="18"/>
              </w:rPr>
              <w:t>4+</w:t>
            </w:r>
            <w:r>
              <w:rPr>
                <w:color w:val="105C84"/>
                <w:spacing w:val="7"/>
                <w:sz w:val="18"/>
              </w:rPr>
              <w:t> </w:t>
            </w:r>
            <w:r>
              <w:rPr>
                <w:color w:val="105C84"/>
                <w:sz w:val="18"/>
              </w:rPr>
              <w:t>times</w:t>
            </w:r>
            <w:r>
              <w:rPr>
                <w:color w:val="105C84"/>
                <w:spacing w:val="6"/>
                <w:sz w:val="18"/>
              </w:rPr>
              <w:t> </w:t>
            </w:r>
            <w:r>
              <w:rPr>
                <w:color w:val="105C84"/>
                <w:sz w:val="18"/>
              </w:rPr>
              <w:t>per</w:t>
            </w:r>
            <w:r>
              <w:rPr>
                <w:color w:val="105C84"/>
                <w:spacing w:val="7"/>
                <w:sz w:val="18"/>
              </w:rPr>
              <w:t> </w:t>
            </w:r>
            <w:r>
              <w:rPr>
                <w:color w:val="105C84"/>
                <w:spacing w:val="-2"/>
                <w:sz w:val="18"/>
              </w:rPr>
              <w:t>year;</w:t>
            </w:r>
            <w:r>
              <w:rPr>
                <w:color w:val="105C84"/>
                <w:sz w:val="18"/>
              </w:rPr>
              <w:tab/>
            </w:r>
            <w:r>
              <w:rPr>
                <w:color w:val="105C84"/>
                <w:position w:val="9"/>
                <w:sz w:val="18"/>
              </w:rPr>
              <w:t>already</w:t>
            </w:r>
            <w:r>
              <w:rPr>
                <w:color w:val="105C84"/>
                <w:spacing w:val="-12"/>
                <w:position w:val="9"/>
                <w:sz w:val="18"/>
              </w:rPr>
              <w:t> </w:t>
            </w:r>
            <w:r>
              <w:rPr>
                <w:color w:val="105C84"/>
                <w:position w:val="9"/>
                <w:sz w:val="18"/>
              </w:rPr>
              <w:t>occurred,</w:t>
            </w:r>
            <w:r>
              <w:rPr>
                <w:color w:val="105C84"/>
                <w:spacing w:val="-12"/>
                <w:position w:val="9"/>
                <w:sz w:val="18"/>
              </w:rPr>
              <w:t> </w:t>
            </w:r>
            <w:r>
              <w:rPr>
                <w:color w:val="105C84"/>
                <w:spacing w:val="-2"/>
                <w:position w:val="9"/>
                <w:sz w:val="18"/>
              </w:rPr>
              <w:t>taught</w:t>
            </w:r>
          </w:p>
          <w:p>
            <w:pPr>
              <w:pStyle w:val="TableParagraph"/>
              <w:tabs>
                <w:tab w:pos="4370" w:val="left" w:leader="none"/>
              </w:tabs>
              <w:spacing w:line="200" w:lineRule="exact"/>
              <w:ind w:left="89"/>
              <w:rPr>
                <w:position w:val="9"/>
                <w:sz w:val="18"/>
              </w:rPr>
            </w:pPr>
            <w:r>
              <w:rPr>
                <w:color w:val="105C84"/>
                <w:spacing w:val="-4"/>
                <w:sz w:val="18"/>
              </w:rPr>
              <w:t>Percent</w:t>
            </w:r>
            <w:r>
              <w:rPr>
                <w:color w:val="105C84"/>
                <w:spacing w:val="-2"/>
                <w:sz w:val="18"/>
              </w:rPr>
              <w:t> </w:t>
            </w:r>
            <w:r>
              <w:rPr>
                <w:color w:val="105C84"/>
                <w:spacing w:val="-4"/>
                <w:sz w:val="18"/>
              </w:rPr>
              <w:t>of</w:t>
            </w:r>
            <w:r>
              <w:rPr>
                <w:color w:val="105C84"/>
                <w:spacing w:val="-1"/>
                <w:sz w:val="18"/>
              </w:rPr>
              <w:t> </w:t>
            </w:r>
            <w:r>
              <w:rPr>
                <w:color w:val="105C84"/>
                <w:spacing w:val="-4"/>
                <w:sz w:val="18"/>
              </w:rPr>
              <w:t>classes</w:t>
            </w:r>
            <w:r>
              <w:rPr>
                <w:color w:val="105C84"/>
                <w:spacing w:val="-2"/>
                <w:sz w:val="18"/>
              </w:rPr>
              <w:t> </w:t>
            </w:r>
            <w:r>
              <w:rPr>
                <w:color w:val="105C84"/>
                <w:spacing w:val="-4"/>
                <w:sz w:val="18"/>
              </w:rPr>
              <w:t>hitting</w:t>
            </w:r>
            <w:r>
              <w:rPr>
                <w:color w:val="105C84"/>
                <w:sz w:val="18"/>
              </w:rPr>
              <w:tab/>
            </w:r>
            <w:r>
              <w:rPr>
                <w:color w:val="105C84"/>
                <w:position w:val="9"/>
                <w:sz w:val="18"/>
              </w:rPr>
              <w:t>by</w:t>
            </w:r>
            <w:r>
              <w:rPr>
                <w:color w:val="105C84"/>
                <w:spacing w:val="9"/>
                <w:position w:val="9"/>
                <w:sz w:val="18"/>
              </w:rPr>
              <w:t> </w:t>
            </w:r>
            <w:r>
              <w:rPr>
                <w:color w:val="105C84"/>
                <w:position w:val="9"/>
                <w:sz w:val="18"/>
              </w:rPr>
              <w:t>both</w:t>
            </w:r>
            <w:r>
              <w:rPr>
                <w:color w:val="105C84"/>
                <w:spacing w:val="10"/>
                <w:position w:val="9"/>
                <w:sz w:val="18"/>
              </w:rPr>
              <w:t> </w:t>
            </w:r>
            <w:r>
              <w:rPr>
                <w:color w:val="105C84"/>
                <w:position w:val="9"/>
                <w:sz w:val="18"/>
              </w:rPr>
              <w:t>Aging</w:t>
            </w:r>
            <w:r>
              <w:rPr>
                <w:color w:val="105C84"/>
                <w:spacing w:val="10"/>
                <w:position w:val="9"/>
                <w:sz w:val="18"/>
              </w:rPr>
              <w:t> </w:t>
            </w:r>
            <w:r>
              <w:rPr>
                <w:color w:val="105C84"/>
                <w:position w:val="9"/>
                <w:sz w:val="18"/>
              </w:rPr>
              <w:t>&amp;</w:t>
            </w:r>
            <w:r>
              <w:rPr>
                <w:color w:val="105C84"/>
                <w:spacing w:val="9"/>
                <w:position w:val="9"/>
                <w:sz w:val="18"/>
              </w:rPr>
              <w:t> </w:t>
            </w:r>
            <w:r>
              <w:rPr>
                <w:color w:val="105C84"/>
                <w:spacing w:val="-2"/>
                <w:position w:val="9"/>
                <w:sz w:val="18"/>
              </w:rPr>
              <w:t>Youth</w:t>
            </w:r>
          </w:p>
          <w:p>
            <w:pPr>
              <w:pStyle w:val="TableParagraph"/>
              <w:tabs>
                <w:tab w:pos="4370" w:val="left" w:leader="none"/>
              </w:tabs>
              <w:spacing w:line="245" w:lineRule="exact"/>
              <w:ind w:left="89"/>
              <w:rPr>
                <w:position w:val="9"/>
                <w:sz w:val="18"/>
              </w:rPr>
            </w:pPr>
            <w:r>
              <w:rPr>
                <w:color w:val="105C84"/>
                <w:sz w:val="18"/>
              </w:rPr>
              <w:t>their</w:t>
            </w:r>
            <w:r>
              <w:rPr>
                <w:color w:val="105C84"/>
                <w:spacing w:val="7"/>
                <w:sz w:val="18"/>
              </w:rPr>
              <w:t> </w:t>
            </w:r>
            <w:r>
              <w:rPr>
                <w:color w:val="105C84"/>
                <w:sz w:val="18"/>
              </w:rPr>
              <w:t>attendance</w:t>
            </w:r>
            <w:r>
              <w:rPr>
                <w:color w:val="105C84"/>
                <w:spacing w:val="7"/>
                <w:sz w:val="18"/>
              </w:rPr>
              <w:t> </w:t>
            </w:r>
            <w:r>
              <w:rPr>
                <w:color w:val="105C84"/>
                <w:sz w:val="18"/>
              </w:rPr>
              <w:t>goal</w:t>
            </w:r>
            <w:r>
              <w:rPr>
                <w:color w:val="105C84"/>
                <w:spacing w:val="7"/>
                <w:sz w:val="18"/>
              </w:rPr>
              <w:t> </w:t>
            </w:r>
            <w:r>
              <w:rPr>
                <w:color w:val="105C84"/>
                <w:spacing w:val="-4"/>
                <w:sz w:val="18"/>
              </w:rPr>
              <w:t>(for</w:t>
            </w:r>
            <w:r>
              <w:rPr>
                <w:color w:val="105C84"/>
                <w:sz w:val="18"/>
              </w:rPr>
              <w:tab/>
            </w:r>
            <w:r>
              <w:rPr>
                <w:color w:val="105C84"/>
                <w:spacing w:val="-2"/>
                <w:position w:val="9"/>
                <w:sz w:val="18"/>
              </w:rPr>
              <w:t>and</w:t>
            </w:r>
            <w:r>
              <w:rPr>
                <w:color w:val="105C84"/>
                <w:spacing w:val="-6"/>
                <w:position w:val="9"/>
                <w:sz w:val="18"/>
              </w:rPr>
              <w:t> </w:t>
            </w:r>
            <w:r>
              <w:rPr>
                <w:color w:val="105C84"/>
                <w:spacing w:val="-2"/>
                <w:position w:val="9"/>
                <w:sz w:val="18"/>
              </w:rPr>
              <w:t>Wayne</w:t>
            </w:r>
            <w:r>
              <w:rPr>
                <w:color w:val="105C84"/>
                <w:spacing w:val="-6"/>
                <w:position w:val="9"/>
                <w:sz w:val="18"/>
              </w:rPr>
              <w:t> </w:t>
            </w:r>
            <w:r>
              <w:rPr>
                <w:color w:val="105C84"/>
                <w:spacing w:val="-5"/>
                <w:position w:val="9"/>
                <w:sz w:val="18"/>
              </w:rPr>
              <w:t>CAP</w:t>
            </w:r>
          </w:p>
          <w:p>
            <w:pPr>
              <w:pStyle w:val="TableParagraph"/>
              <w:spacing w:line="232" w:lineRule="auto"/>
              <w:ind w:left="89" w:right="4207"/>
              <w:rPr>
                <w:sz w:val="18"/>
              </w:rPr>
            </w:pPr>
            <w:r>
              <w:rPr>
                <w:color w:val="105C84"/>
                <w:sz w:val="18"/>
              </w:rPr>
              <w:t>CDSMP</w:t>
            </w:r>
            <w:r>
              <w:rPr>
                <w:color w:val="105C84"/>
                <w:spacing w:val="-7"/>
                <w:sz w:val="18"/>
              </w:rPr>
              <w:t> </w:t>
            </w:r>
            <w:r>
              <w:rPr>
                <w:color w:val="105C84"/>
                <w:sz w:val="18"/>
              </w:rPr>
              <w:t>via</w:t>
            </w:r>
            <w:r>
              <w:rPr>
                <w:color w:val="105C84"/>
                <w:spacing w:val="-7"/>
                <w:sz w:val="18"/>
              </w:rPr>
              <w:t> </w:t>
            </w:r>
            <w:r>
              <w:rPr>
                <w:color w:val="105C84"/>
                <w:sz w:val="18"/>
              </w:rPr>
              <w:t>A&amp;Y,</w:t>
            </w:r>
            <w:r>
              <w:rPr>
                <w:color w:val="105C84"/>
                <w:spacing w:val="-7"/>
                <w:sz w:val="18"/>
              </w:rPr>
              <w:t> </w:t>
            </w:r>
            <w:r>
              <w:rPr>
                <w:color w:val="105C84"/>
                <w:sz w:val="18"/>
              </w:rPr>
              <w:t>8</w:t>
            </w:r>
            <w:r>
              <w:rPr>
                <w:color w:val="105C84"/>
                <w:spacing w:val="-7"/>
                <w:sz w:val="18"/>
              </w:rPr>
              <w:t> </w:t>
            </w:r>
            <w:r>
              <w:rPr>
                <w:color w:val="105C84"/>
                <w:sz w:val="18"/>
              </w:rPr>
              <w:t>persons </w:t>
            </w:r>
            <w:r>
              <w:rPr>
                <w:color w:val="105C84"/>
                <w:spacing w:val="-2"/>
                <w:sz w:val="18"/>
              </w:rPr>
              <w:t>per</w:t>
            </w:r>
            <w:r>
              <w:rPr>
                <w:color w:val="105C84"/>
                <w:spacing w:val="-13"/>
                <w:sz w:val="18"/>
              </w:rPr>
              <w:t> </w:t>
            </w:r>
            <w:r>
              <w:rPr>
                <w:color w:val="105C84"/>
                <w:spacing w:val="-2"/>
                <w:sz w:val="18"/>
              </w:rPr>
              <w:t>class);</w:t>
            </w:r>
            <w:r>
              <w:rPr>
                <w:color w:val="105C84"/>
                <w:spacing w:val="-10"/>
                <w:sz w:val="18"/>
              </w:rPr>
              <w:t> </w:t>
            </w:r>
            <w:r>
              <w:rPr>
                <w:color w:val="105C84"/>
                <w:spacing w:val="-2"/>
                <w:sz w:val="18"/>
              </w:rPr>
              <w:t>Wayne</w:t>
            </w:r>
            <w:r>
              <w:rPr>
                <w:color w:val="105C84"/>
                <w:spacing w:val="-11"/>
                <w:sz w:val="18"/>
              </w:rPr>
              <w:t> </w:t>
            </w:r>
            <w:r>
              <w:rPr>
                <w:color w:val="105C84"/>
                <w:spacing w:val="-2"/>
                <w:sz w:val="18"/>
              </w:rPr>
              <w:t>CAP</w:t>
            </w:r>
            <w:r>
              <w:rPr>
                <w:color w:val="105C84"/>
                <w:spacing w:val="-10"/>
                <w:sz w:val="18"/>
              </w:rPr>
              <w:t> </w:t>
            </w:r>
            <w:r>
              <w:rPr>
                <w:color w:val="105C84"/>
                <w:spacing w:val="-2"/>
                <w:sz w:val="18"/>
              </w:rPr>
              <w:t>goal: </w:t>
            </w:r>
            <w:r>
              <w:rPr>
                <w:color w:val="105C84"/>
                <w:sz w:val="18"/>
              </w:rPr>
              <w:t>100 people completing course per year; Aging &amp; Youth to collect data on</w:t>
            </w:r>
            <w:r>
              <w:rPr>
                <w:color w:val="105C84"/>
                <w:spacing w:val="40"/>
                <w:sz w:val="18"/>
              </w:rPr>
              <w:t> </w:t>
            </w:r>
            <w:r>
              <w:rPr>
                <w:color w:val="105C84"/>
                <w:sz w:val="18"/>
              </w:rPr>
              <w:t>how</w:t>
            </w:r>
            <w:r>
              <w:rPr>
                <w:color w:val="105C84"/>
                <w:spacing w:val="-9"/>
                <w:sz w:val="18"/>
              </w:rPr>
              <w:t> </w:t>
            </w:r>
            <w:r>
              <w:rPr>
                <w:color w:val="105C84"/>
                <w:sz w:val="18"/>
              </w:rPr>
              <w:t>registrants</w:t>
            </w:r>
            <w:r>
              <w:rPr>
                <w:color w:val="105C84"/>
                <w:spacing w:val="-9"/>
                <w:sz w:val="18"/>
              </w:rPr>
              <w:t> </w:t>
            </w:r>
            <w:r>
              <w:rPr>
                <w:color w:val="105C84"/>
                <w:sz w:val="18"/>
              </w:rPr>
              <w:t>heard</w:t>
            </w:r>
            <w:r>
              <w:rPr>
                <w:color w:val="105C84"/>
                <w:spacing w:val="-9"/>
                <w:sz w:val="18"/>
              </w:rPr>
              <w:t> </w:t>
            </w:r>
            <w:r>
              <w:rPr>
                <w:color w:val="105C84"/>
                <w:sz w:val="18"/>
              </w:rPr>
              <w:t>about program(s) and use it to evaluate effectiveness of unified messaging</w:t>
            </w:r>
          </w:p>
          <w:p>
            <w:pPr>
              <w:pStyle w:val="TableParagraph"/>
              <w:spacing w:line="232" w:lineRule="auto" w:before="65"/>
              <w:ind w:left="89" w:right="4208"/>
              <w:rPr>
                <w:sz w:val="18"/>
              </w:rPr>
            </w:pPr>
            <w:r>
              <w:rPr>
                <w:color w:val="105C84"/>
                <w:sz w:val="18"/>
              </w:rPr>
              <w:t>Year 3: Unified messaging to public 4+ times per year; Percent of classes hitting their attendance goal (for CDSMP</w:t>
            </w:r>
            <w:r>
              <w:rPr>
                <w:color w:val="105C84"/>
                <w:spacing w:val="-12"/>
                <w:sz w:val="18"/>
              </w:rPr>
              <w:t> </w:t>
            </w:r>
            <w:r>
              <w:rPr>
                <w:color w:val="105C84"/>
                <w:sz w:val="18"/>
              </w:rPr>
              <w:t>via</w:t>
            </w:r>
            <w:r>
              <w:rPr>
                <w:color w:val="105C84"/>
                <w:spacing w:val="-12"/>
                <w:sz w:val="18"/>
              </w:rPr>
              <w:t> </w:t>
            </w:r>
            <w:r>
              <w:rPr>
                <w:color w:val="105C84"/>
                <w:sz w:val="18"/>
              </w:rPr>
              <w:t>A&amp;Y,</w:t>
            </w:r>
            <w:r>
              <w:rPr>
                <w:color w:val="105C84"/>
                <w:spacing w:val="-12"/>
                <w:sz w:val="18"/>
              </w:rPr>
              <w:t> </w:t>
            </w:r>
            <w:r>
              <w:rPr>
                <w:color w:val="105C84"/>
                <w:sz w:val="18"/>
              </w:rPr>
              <w:t>8</w:t>
            </w:r>
            <w:r>
              <w:rPr>
                <w:color w:val="105C84"/>
                <w:spacing w:val="-12"/>
                <w:sz w:val="18"/>
              </w:rPr>
              <w:t> </w:t>
            </w:r>
            <w:r>
              <w:rPr>
                <w:color w:val="105C84"/>
                <w:sz w:val="18"/>
              </w:rPr>
              <w:t>persons </w:t>
            </w:r>
            <w:r>
              <w:rPr>
                <w:color w:val="105C84"/>
                <w:spacing w:val="-2"/>
                <w:sz w:val="18"/>
              </w:rPr>
              <w:t>per</w:t>
            </w:r>
            <w:r>
              <w:rPr>
                <w:color w:val="105C84"/>
                <w:spacing w:val="-13"/>
                <w:sz w:val="18"/>
              </w:rPr>
              <w:t> </w:t>
            </w:r>
            <w:r>
              <w:rPr>
                <w:color w:val="105C84"/>
                <w:spacing w:val="-2"/>
                <w:sz w:val="18"/>
              </w:rPr>
              <w:t>class);</w:t>
            </w:r>
            <w:r>
              <w:rPr>
                <w:color w:val="105C84"/>
                <w:spacing w:val="-10"/>
                <w:sz w:val="18"/>
              </w:rPr>
              <w:t> </w:t>
            </w:r>
            <w:r>
              <w:rPr>
                <w:color w:val="105C84"/>
                <w:spacing w:val="-2"/>
                <w:sz w:val="18"/>
              </w:rPr>
              <w:t>Wayne</w:t>
            </w:r>
            <w:r>
              <w:rPr>
                <w:color w:val="105C84"/>
                <w:spacing w:val="-11"/>
                <w:sz w:val="18"/>
              </w:rPr>
              <w:t> </w:t>
            </w:r>
            <w:r>
              <w:rPr>
                <w:color w:val="105C84"/>
                <w:spacing w:val="-2"/>
                <w:sz w:val="18"/>
              </w:rPr>
              <w:t>CAP</w:t>
            </w:r>
            <w:r>
              <w:rPr>
                <w:color w:val="105C84"/>
                <w:spacing w:val="-10"/>
                <w:sz w:val="18"/>
              </w:rPr>
              <w:t> </w:t>
            </w:r>
            <w:r>
              <w:rPr>
                <w:color w:val="105C84"/>
                <w:spacing w:val="-2"/>
                <w:sz w:val="18"/>
              </w:rPr>
              <w:t>goal: </w:t>
            </w:r>
            <w:r>
              <w:rPr>
                <w:color w:val="105C84"/>
                <w:sz w:val="18"/>
              </w:rPr>
              <w:t>100 people completing course per year</w:t>
            </w:r>
          </w:p>
        </w:tc>
        <w:tc>
          <w:tcPr>
            <w:tcW w:w="2621" w:type="dxa"/>
          </w:tcPr>
          <w:p>
            <w:pPr>
              <w:pStyle w:val="TableParagraph"/>
              <w:spacing w:line="232" w:lineRule="auto" w:before="99"/>
              <w:ind w:left="89" w:right="70"/>
              <w:rPr>
                <w:sz w:val="18"/>
              </w:rPr>
            </w:pPr>
            <w:r>
              <w:rPr>
                <w:color w:val="105C84"/>
                <w:sz w:val="18"/>
              </w:rPr>
              <w:t>Use unified messaging to promote upcoming chronic disease self-management programs, especially home-based programs which alleviate the transportation barrier</w:t>
            </w:r>
            <w:r>
              <w:rPr>
                <w:color w:val="105C84"/>
                <w:spacing w:val="-11"/>
                <w:sz w:val="18"/>
              </w:rPr>
              <w:t> </w:t>
            </w:r>
            <w:r>
              <w:rPr>
                <w:color w:val="105C84"/>
                <w:sz w:val="18"/>
              </w:rPr>
              <w:t>experienced</w:t>
            </w:r>
            <w:r>
              <w:rPr>
                <w:color w:val="105C84"/>
                <w:spacing w:val="-11"/>
                <w:sz w:val="18"/>
              </w:rPr>
              <w:t> </w:t>
            </w:r>
            <w:r>
              <w:rPr>
                <w:color w:val="105C84"/>
                <w:sz w:val="18"/>
              </w:rPr>
              <w:t>by</w:t>
            </w:r>
            <w:r>
              <w:rPr>
                <w:color w:val="105C84"/>
                <w:spacing w:val="-11"/>
                <w:sz w:val="18"/>
              </w:rPr>
              <w:t> </w:t>
            </w:r>
            <w:r>
              <w:rPr>
                <w:color w:val="105C84"/>
                <w:sz w:val="18"/>
              </w:rPr>
              <w:t>many Wayne County residents</w:t>
            </w:r>
          </w:p>
          <w:p>
            <w:pPr>
              <w:pStyle w:val="TableParagraph"/>
              <w:spacing w:line="232" w:lineRule="auto" w:before="83"/>
              <w:ind w:left="89" w:right="70"/>
              <w:rPr>
                <w:sz w:val="18"/>
              </w:rPr>
            </w:pPr>
            <w:r>
              <w:rPr>
                <w:color w:val="105C84"/>
                <w:sz w:val="18"/>
              </w:rPr>
              <w:t>4+ times per year, depending </w:t>
            </w:r>
            <w:r>
              <w:rPr>
                <w:color w:val="105C84"/>
                <w:spacing w:val="-4"/>
                <w:sz w:val="18"/>
              </w:rPr>
              <w:t>on</w:t>
            </w:r>
            <w:r>
              <w:rPr>
                <w:color w:val="105C84"/>
                <w:spacing w:val="-8"/>
                <w:sz w:val="18"/>
              </w:rPr>
              <w:t> </w:t>
            </w:r>
            <w:r>
              <w:rPr>
                <w:color w:val="105C84"/>
                <w:spacing w:val="-4"/>
                <w:sz w:val="18"/>
              </w:rPr>
              <w:t>courses.</w:t>
            </w:r>
            <w:r>
              <w:rPr>
                <w:color w:val="105C84"/>
                <w:spacing w:val="-8"/>
                <w:sz w:val="18"/>
              </w:rPr>
              <w:t> </w:t>
            </w:r>
            <w:r>
              <w:rPr>
                <w:color w:val="105C84"/>
                <w:spacing w:val="-4"/>
                <w:sz w:val="18"/>
              </w:rPr>
              <w:t>In</w:t>
            </w:r>
            <w:r>
              <w:rPr>
                <w:color w:val="105C84"/>
                <w:spacing w:val="-8"/>
                <w:sz w:val="18"/>
              </w:rPr>
              <w:t> </w:t>
            </w:r>
            <w:r>
              <w:rPr>
                <w:color w:val="105C84"/>
                <w:spacing w:val="-4"/>
                <w:sz w:val="18"/>
              </w:rPr>
              <w:t>2020,</w:t>
            </w:r>
            <w:r>
              <w:rPr>
                <w:color w:val="105C84"/>
                <w:spacing w:val="-8"/>
                <w:sz w:val="18"/>
              </w:rPr>
              <w:t> </w:t>
            </w:r>
            <w:r>
              <w:rPr>
                <w:color w:val="105C84"/>
                <w:spacing w:val="-4"/>
                <w:sz w:val="18"/>
              </w:rPr>
              <w:t>WHIP</w:t>
            </w:r>
            <w:r>
              <w:rPr>
                <w:color w:val="105C84"/>
                <w:spacing w:val="-8"/>
                <w:sz w:val="18"/>
              </w:rPr>
              <w:t> </w:t>
            </w:r>
            <w:r>
              <w:rPr>
                <w:color w:val="105C84"/>
                <w:spacing w:val="-4"/>
                <w:sz w:val="18"/>
              </w:rPr>
              <w:t>can, </w:t>
            </w:r>
            <w:r>
              <w:rPr>
                <w:color w:val="105C84"/>
                <w:sz w:val="18"/>
              </w:rPr>
              <w:t>at a minimum, promote Aging &amp; Youth’s 2 CDSMP classes</w:t>
            </w:r>
          </w:p>
        </w:tc>
        <w:tc>
          <w:tcPr>
            <w:tcW w:w="2477" w:type="dxa"/>
          </w:tcPr>
          <w:p>
            <w:pPr>
              <w:pStyle w:val="TableParagraph"/>
              <w:spacing w:line="232" w:lineRule="auto" w:before="98"/>
              <w:ind w:left="89"/>
              <w:rPr>
                <w:sz w:val="18"/>
              </w:rPr>
            </w:pPr>
            <w:r>
              <w:rPr>
                <w:color w:val="105C84"/>
                <w:sz w:val="18"/>
              </w:rPr>
              <w:t>Use unified messaging to promote upcoming chronic disease self-management programs, especially home-based programs which alleviate the transportation barrier</w:t>
            </w:r>
            <w:r>
              <w:rPr>
                <w:color w:val="105C84"/>
                <w:spacing w:val="-11"/>
                <w:sz w:val="18"/>
              </w:rPr>
              <w:t> </w:t>
            </w:r>
            <w:r>
              <w:rPr>
                <w:color w:val="105C84"/>
                <w:sz w:val="18"/>
              </w:rPr>
              <w:t>experienced</w:t>
            </w:r>
            <w:r>
              <w:rPr>
                <w:color w:val="105C84"/>
                <w:spacing w:val="-11"/>
                <w:sz w:val="18"/>
              </w:rPr>
              <w:t> </w:t>
            </w:r>
            <w:r>
              <w:rPr>
                <w:color w:val="105C84"/>
                <w:sz w:val="18"/>
              </w:rPr>
              <w:t>by</w:t>
            </w:r>
            <w:r>
              <w:rPr>
                <w:color w:val="105C84"/>
                <w:spacing w:val="-11"/>
                <w:sz w:val="18"/>
              </w:rPr>
              <w:t> </w:t>
            </w:r>
            <w:r>
              <w:rPr>
                <w:color w:val="105C84"/>
                <w:sz w:val="18"/>
              </w:rPr>
              <w:t>many Wayne County residents</w:t>
            </w:r>
          </w:p>
          <w:p>
            <w:pPr>
              <w:pStyle w:val="TableParagraph"/>
              <w:spacing w:line="232" w:lineRule="auto" w:before="84"/>
              <w:ind w:left="89" w:right="336"/>
              <w:rPr>
                <w:sz w:val="18"/>
              </w:rPr>
            </w:pPr>
            <w:r>
              <w:rPr>
                <w:color w:val="105C84"/>
                <w:sz w:val="18"/>
              </w:rPr>
              <w:t>4+ times per year, depending</w:t>
            </w:r>
            <w:r>
              <w:rPr>
                <w:color w:val="105C84"/>
                <w:spacing w:val="17"/>
                <w:sz w:val="18"/>
              </w:rPr>
              <w:t> </w:t>
            </w:r>
            <w:r>
              <w:rPr>
                <w:color w:val="105C84"/>
                <w:sz w:val="18"/>
              </w:rPr>
              <w:t>on</w:t>
            </w:r>
            <w:r>
              <w:rPr>
                <w:color w:val="105C84"/>
                <w:spacing w:val="17"/>
                <w:sz w:val="18"/>
              </w:rPr>
              <w:t> </w:t>
            </w:r>
            <w:r>
              <w:rPr>
                <w:color w:val="105C84"/>
                <w:spacing w:val="-5"/>
                <w:sz w:val="18"/>
              </w:rPr>
              <w:t>courses.</w:t>
            </w:r>
          </w:p>
          <w:p>
            <w:pPr>
              <w:pStyle w:val="TableParagraph"/>
              <w:spacing w:line="232" w:lineRule="auto"/>
              <w:ind w:left="89"/>
              <w:rPr>
                <w:sz w:val="18"/>
              </w:rPr>
            </w:pPr>
            <w:r>
              <w:rPr>
                <w:color w:val="105C84"/>
                <w:sz w:val="18"/>
              </w:rPr>
              <w:t>In 2021, WHIP can, at a minimum, promote Aging </w:t>
            </w:r>
            <w:r>
              <w:rPr>
                <w:color w:val="105C84"/>
                <w:sz w:val="18"/>
              </w:rPr>
              <w:t>&amp; Youth’s 2 CDSMP classes</w:t>
            </w:r>
          </w:p>
        </w:tc>
        <w:tc>
          <w:tcPr>
            <w:tcW w:w="1498" w:type="dxa"/>
          </w:tcPr>
          <w:p>
            <w:pPr>
              <w:pStyle w:val="TableParagraph"/>
              <w:spacing w:line="232" w:lineRule="auto" w:before="98"/>
              <w:ind w:left="89"/>
              <w:rPr>
                <w:sz w:val="18"/>
              </w:rPr>
            </w:pPr>
            <w:r>
              <w:rPr>
                <w:color w:val="105C84"/>
                <w:spacing w:val="-2"/>
                <w:sz w:val="18"/>
              </w:rPr>
              <w:t>Community-based organizations</w:t>
            </w:r>
          </w:p>
        </w:tc>
        <w:tc>
          <w:tcPr>
            <w:tcW w:w="1320" w:type="dxa"/>
          </w:tcPr>
          <w:p>
            <w:pPr>
              <w:pStyle w:val="TableParagraph"/>
              <w:spacing w:line="232" w:lineRule="auto" w:before="98"/>
              <w:ind w:left="88" w:right="164"/>
              <w:rPr>
                <w:sz w:val="18"/>
              </w:rPr>
            </w:pPr>
            <w:r>
              <w:rPr>
                <w:color w:val="105C84"/>
                <w:sz w:val="18"/>
              </w:rPr>
              <w:t>For partner roles, see </w:t>
            </w:r>
            <w:r>
              <w:rPr>
                <w:color w:val="105C84"/>
                <w:spacing w:val="-2"/>
                <w:sz w:val="18"/>
              </w:rPr>
              <w:t>projected year</w:t>
            </w:r>
            <w:r>
              <w:rPr>
                <w:color w:val="105C84"/>
                <w:spacing w:val="-11"/>
                <w:sz w:val="18"/>
              </w:rPr>
              <w:t> </w:t>
            </w:r>
            <w:r>
              <w:rPr>
                <w:color w:val="105C84"/>
                <w:spacing w:val="-2"/>
                <w:sz w:val="18"/>
              </w:rPr>
              <w:t>columns</w:t>
            </w:r>
          </w:p>
          <w:p>
            <w:pPr>
              <w:pStyle w:val="TableParagraph"/>
              <w:spacing w:line="232" w:lineRule="auto" w:before="87"/>
              <w:ind w:left="88" w:right="351"/>
              <w:rPr>
                <w:sz w:val="18"/>
              </w:rPr>
            </w:pPr>
            <w:r>
              <w:rPr>
                <w:color w:val="105C84"/>
                <w:spacing w:val="-6"/>
                <w:sz w:val="18"/>
              </w:rPr>
              <w:t>Resources: </w:t>
            </w:r>
            <w:r>
              <w:rPr>
                <w:color w:val="105C84"/>
                <w:spacing w:val="-2"/>
                <w:sz w:val="18"/>
              </w:rPr>
              <w:t>unified messages</w:t>
            </w:r>
          </w:p>
        </w:tc>
      </w:tr>
    </w:tbl>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182"/>
        <w:rPr>
          <w:b/>
          <w:sz w:val="26"/>
        </w:rPr>
      </w:pPr>
    </w:p>
    <w:p>
      <w:pPr>
        <w:tabs>
          <w:tab w:pos="23047" w:val="left" w:leader="none"/>
        </w:tabs>
        <w:spacing w:before="0"/>
        <w:ind w:left="0" w:right="0" w:firstLine="0"/>
        <w:jc w:val="left"/>
        <w:rPr>
          <w:b/>
          <w:sz w:val="26"/>
        </w:rPr>
      </w:pPr>
      <w:r>
        <w:rPr>
          <w:position w:val="-4"/>
        </w:rPr>
        <w:drawing>
          <wp:inline distT="0" distB="0" distL="0" distR="0">
            <wp:extent cx="568172" cy="184683"/>
            <wp:effectExtent l="0" t="0" r="0" b="0"/>
            <wp:docPr id="2072" name="Image 2072"/>
            <wp:cNvGraphicFramePr>
              <a:graphicFrameLocks/>
            </wp:cNvGraphicFramePr>
            <a:graphic>
              <a:graphicData uri="http://schemas.openxmlformats.org/drawingml/2006/picture">
                <pic:pic>
                  <pic:nvPicPr>
                    <pic:cNvPr id="2072" name="Image 2072"/>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13"/>
          <w:sz w:val="20"/>
        </w:rPr>
        <w:t> </w:t>
      </w:r>
      <w:r>
        <w:rPr>
          <w:b/>
          <w:color w:val="939598"/>
          <w:w w:val="105"/>
          <w:sz w:val="26"/>
        </w:rPr>
        <w:t>235</w:t>
      </w:r>
      <w:r>
        <w:rPr>
          <w:b/>
          <w:color w:val="939598"/>
          <w:sz w:val="26"/>
        </w:rPr>
        <w:tab/>
      </w:r>
      <w:r>
        <w:rPr>
          <w:b/>
          <w:color w:val="939598"/>
          <w:spacing w:val="-5"/>
          <w:w w:val="105"/>
          <w:sz w:val="26"/>
        </w:rPr>
        <w:t>236</w:t>
      </w:r>
    </w:p>
    <w:p>
      <w:pPr>
        <w:spacing w:after="0"/>
        <w:jc w:val="left"/>
        <w:rPr>
          <w:b/>
          <w:sz w:val="26"/>
        </w:rPr>
        <w:sectPr>
          <w:pgSz w:w="24480" w:h="15840" w:orient="landscape"/>
          <w:pgMar w:header="0" w:footer="0" w:top="860" w:bottom="0" w:left="0" w:right="720"/>
        </w:sectPr>
      </w:pPr>
    </w:p>
    <w:p>
      <w:pPr>
        <w:spacing w:before="609"/>
        <w:ind w:left="1089" w:right="0" w:firstLine="0"/>
        <w:jc w:val="left"/>
        <w:rPr>
          <w:sz w:val="54"/>
        </w:rPr>
      </w:pPr>
      <w:r>
        <w:rPr>
          <w:sz w:val="54"/>
        </w:rPr>
        <w:drawing>
          <wp:anchor distT="0" distB="0" distL="0" distR="0" allowOverlap="1" layoutInCell="1" locked="0" behindDoc="0" simplePos="0" relativeHeight="16047616">
            <wp:simplePos x="0" y="0"/>
            <wp:positionH relativeFrom="page">
              <wp:posOffset>14299183</wp:posOffset>
            </wp:positionH>
            <wp:positionV relativeFrom="paragraph">
              <wp:posOffset>345947</wp:posOffset>
            </wp:positionV>
            <wp:extent cx="620268" cy="568578"/>
            <wp:effectExtent l="0" t="0" r="0" b="0"/>
            <wp:wrapNone/>
            <wp:docPr id="2073" name="Image 2073"/>
            <wp:cNvGraphicFramePr>
              <a:graphicFrameLocks/>
            </wp:cNvGraphicFramePr>
            <a:graphic>
              <a:graphicData uri="http://schemas.openxmlformats.org/drawingml/2006/picture">
                <pic:pic>
                  <pic:nvPicPr>
                    <pic:cNvPr id="2073" name="Image 2073"/>
                    <pic:cNvPicPr/>
                  </pic:nvPicPr>
                  <pic:blipFill>
                    <a:blip r:embed="rId265" cstate="print"/>
                    <a:stretch>
                      <a:fillRect/>
                    </a:stretch>
                  </pic:blipFill>
                  <pic:spPr>
                    <a:xfrm>
                      <a:off x="0" y="0"/>
                      <a:ext cx="620268" cy="568578"/>
                    </a:xfrm>
                    <a:prstGeom prst="rect">
                      <a:avLst/>
                    </a:prstGeom>
                  </pic:spPr>
                </pic:pic>
              </a:graphicData>
            </a:graphic>
          </wp:anchor>
        </w:drawing>
      </w:r>
      <w:r>
        <w:rPr>
          <w:sz w:val="54"/>
        </w:rPr>
        <w:drawing>
          <wp:anchor distT="0" distB="0" distL="0" distR="0" allowOverlap="1" layoutInCell="1" locked="0" behindDoc="0" simplePos="0" relativeHeight="16048128">
            <wp:simplePos x="0" y="0"/>
            <wp:positionH relativeFrom="page">
              <wp:posOffset>14981556</wp:posOffset>
            </wp:positionH>
            <wp:positionV relativeFrom="page">
              <wp:posOffset>9668103</wp:posOffset>
            </wp:positionV>
            <wp:extent cx="563245" cy="184683"/>
            <wp:effectExtent l="0" t="0" r="0" b="0"/>
            <wp:wrapNone/>
            <wp:docPr id="2074" name="Image 2074"/>
            <wp:cNvGraphicFramePr>
              <a:graphicFrameLocks/>
            </wp:cNvGraphicFramePr>
            <a:graphic>
              <a:graphicData uri="http://schemas.openxmlformats.org/drawingml/2006/picture">
                <pic:pic>
                  <pic:nvPicPr>
                    <pic:cNvPr id="2074" name="Image 2074"/>
                    <pic:cNvPicPr/>
                  </pic:nvPicPr>
                  <pic:blipFill>
                    <a:blip r:embed="rId38" cstate="print"/>
                    <a:stretch>
                      <a:fillRect/>
                    </a:stretch>
                  </pic:blipFill>
                  <pic:spPr>
                    <a:xfrm>
                      <a:off x="0" y="0"/>
                      <a:ext cx="563245" cy="184683"/>
                    </a:xfrm>
                    <a:prstGeom prst="rect">
                      <a:avLst/>
                    </a:prstGeom>
                  </pic:spPr>
                </pic:pic>
              </a:graphicData>
            </a:graphic>
          </wp:anchor>
        </w:drawing>
      </w:r>
      <w:r>
        <w:rPr>
          <w:sz w:val="54"/>
        </w:rPr>
        <w:drawing>
          <wp:anchor distT="0" distB="0" distL="0" distR="0" allowOverlap="1" layoutInCell="1" locked="0" behindDoc="0" simplePos="0" relativeHeight="16048640">
            <wp:simplePos x="0" y="0"/>
            <wp:positionH relativeFrom="page">
              <wp:posOffset>13372084</wp:posOffset>
            </wp:positionH>
            <wp:positionV relativeFrom="paragraph">
              <wp:posOffset>365759</wp:posOffset>
            </wp:positionV>
            <wp:extent cx="728345" cy="366522"/>
            <wp:effectExtent l="0" t="0" r="0" b="0"/>
            <wp:wrapNone/>
            <wp:docPr id="2075" name="Image 2075"/>
            <wp:cNvGraphicFramePr>
              <a:graphicFrameLocks/>
            </wp:cNvGraphicFramePr>
            <a:graphic>
              <a:graphicData uri="http://schemas.openxmlformats.org/drawingml/2006/picture">
                <pic:pic>
                  <pic:nvPicPr>
                    <pic:cNvPr id="2075" name="Image 2075"/>
                    <pic:cNvPicPr/>
                  </pic:nvPicPr>
                  <pic:blipFill>
                    <a:blip r:embed="rId266" cstate="print"/>
                    <a:stretch>
                      <a:fillRect/>
                    </a:stretch>
                  </pic:blipFill>
                  <pic:spPr>
                    <a:xfrm>
                      <a:off x="0" y="0"/>
                      <a:ext cx="728345" cy="366522"/>
                    </a:xfrm>
                    <a:prstGeom prst="rect">
                      <a:avLst/>
                    </a:prstGeom>
                  </pic:spPr>
                </pic:pic>
              </a:graphicData>
            </a:graphic>
          </wp:anchor>
        </w:drawing>
      </w:r>
      <w:r>
        <w:rPr>
          <w:color w:val="636466"/>
          <w:sz w:val="54"/>
        </w:rPr>
        <w:t>Wayne</w:t>
      </w:r>
      <w:r>
        <w:rPr>
          <w:color w:val="636466"/>
          <w:spacing w:val="37"/>
          <w:sz w:val="54"/>
        </w:rPr>
        <w:t> </w:t>
      </w:r>
      <w:r>
        <w:rPr>
          <w:color w:val="636466"/>
          <w:sz w:val="54"/>
        </w:rPr>
        <w:t>County</w:t>
      </w:r>
      <w:r>
        <w:rPr>
          <w:color w:val="636466"/>
          <w:spacing w:val="38"/>
          <w:sz w:val="54"/>
        </w:rPr>
        <w:t> </w:t>
      </w:r>
      <w:r>
        <w:rPr>
          <w:color w:val="636466"/>
          <w:sz w:val="54"/>
        </w:rPr>
        <w:t>Appendix</w:t>
      </w:r>
      <w:r>
        <w:rPr>
          <w:color w:val="636466"/>
          <w:spacing w:val="38"/>
          <w:sz w:val="54"/>
        </w:rPr>
        <w:t> </w:t>
      </w:r>
      <w:r>
        <w:rPr>
          <w:color w:val="636466"/>
          <w:spacing w:val="-10"/>
          <w:sz w:val="54"/>
        </w:rPr>
        <w:t>G</w:t>
      </w:r>
    </w:p>
    <w:p>
      <w:pPr>
        <w:spacing w:line="247" w:lineRule="auto" w:before="236"/>
        <w:ind w:left="1089" w:right="13013" w:firstLine="0"/>
        <w:jc w:val="left"/>
        <w:rPr>
          <w:b/>
          <w:sz w:val="32"/>
        </w:rPr>
      </w:pPr>
      <w:r>
        <w:rPr>
          <w:b/>
          <w:color w:val="82BF6A"/>
          <w:spacing w:val="-4"/>
          <w:sz w:val="32"/>
        </w:rPr>
        <w:t>PRIORITY:</w:t>
      </w:r>
      <w:r>
        <w:rPr>
          <w:b/>
          <w:color w:val="82BF6A"/>
          <w:spacing w:val="-19"/>
          <w:sz w:val="32"/>
        </w:rPr>
        <w:t> </w:t>
      </w:r>
      <w:r>
        <w:rPr>
          <w:b/>
          <w:color w:val="82BF6A"/>
          <w:spacing w:val="-4"/>
          <w:sz w:val="32"/>
        </w:rPr>
        <w:t>PROMOTE</w:t>
      </w:r>
      <w:r>
        <w:rPr>
          <w:b/>
          <w:color w:val="82BF6A"/>
          <w:spacing w:val="-18"/>
          <w:sz w:val="32"/>
        </w:rPr>
        <w:t> </w:t>
      </w:r>
      <w:r>
        <w:rPr>
          <w:b/>
          <w:color w:val="82BF6A"/>
          <w:spacing w:val="-4"/>
          <w:sz w:val="32"/>
        </w:rPr>
        <w:t>WELL-BEING</w:t>
      </w:r>
      <w:r>
        <w:rPr>
          <w:b/>
          <w:color w:val="82BF6A"/>
          <w:spacing w:val="-18"/>
          <w:sz w:val="32"/>
        </w:rPr>
        <w:t> </w:t>
      </w:r>
      <w:r>
        <w:rPr>
          <w:b/>
          <w:color w:val="82BF6A"/>
          <w:spacing w:val="-4"/>
          <w:sz w:val="32"/>
        </w:rPr>
        <w:t>AND</w:t>
      </w:r>
      <w:r>
        <w:rPr>
          <w:b/>
          <w:color w:val="82BF6A"/>
          <w:spacing w:val="-18"/>
          <w:sz w:val="32"/>
        </w:rPr>
        <w:t> </w:t>
      </w:r>
      <w:r>
        <w:rPr>
          <w:b/>
          <w:color w:val="82BF6A"/>
          <w:spacing w:val="-4"/>
          <w:sz w:val="32"/>
        </w:rPr>
        <w:t>PREVENT</w:t>
      </w:r>
      <w:r>
        <w:rPr>
          <w:b/>
          <w:color w:val="82BF6A"/>
          <w:spacing w:val="-19"/>
          <w:sz w:val="32"/>
        </w:rPr>
        <w:t> </w:t>
      </w:r>
      <w:r>
        <w:rPr>
          <w:b/>
          <w:color w:val="82BF6A"/>
          <w:spacing w:val="-4"/>
          <w:sz w:val="32"/>
        </w:rPr>
        <w:t>MENTAL </w:t>
      </w:r>
      <w:r>
        <w:rPr>
          <w:b/>
          <w:color w:val="82BF6A"/>
          <w:sz w:val="32"/>
        </w:rPr>
        <w:t>AND</w:t>
      </w:r>
      <w:r>
        <w:rPr>
          <w:b/>
          <w:color w:val="82BF6A"/>
          <w:spacing w:val="-22"/>
          <w:sz w:val="32"/>
        </w:rPr>
        <w:t> </w:t>
      </w:r>
      <w:r>
        <w:rPr>
          <w:b/>
          <w:color w:val="82BF6A"/>
          <w:sz w:val="32"/>
        </w:rPr>
        <w:t>SUBSTANCE</w:t>
      </w:r>
      <w:r>
        <w:rPr>
          <w:b/>
          <w:color w:val="82BF6A"/>
          <w:spacing w:val="-22"/>
          <w:sz w:val="32"/>
        </w:rPr>
        <w:t> </w:t>
      </w:r>
      <w:r>
        <w:rPr>
          <w:b/>
          <w:color w:val="82BF6A"/>
          <w:sz w:val="32"/>
        </w:rPr>
        <w:t>USE</w:t>
      </w:r>
      <w:r>
        <w:rPr>
          <w:b/>
          <w:color w:val="82BF6A"/>
          <w:spacing w:val="-22"/>
          <w:sz w:val="32"/>
        </w:rPr>
        <w:t> </w:t>
      </w:r>
      <w:r>
        <w:rPr>
          <w:b/>
          <w:color w:val="82BF6A"/>
          <w:sz w:val="32"/>
        </w:rPr>
        <w:t>DISORDERS</w:t>
      </w:r>
    </w:p>
    <w:p>
      <w:pPr>
        <w:pStyle w:val="BodyText"/>
        <w:spacing w:before="152"/>
        <w:rPr>
          <w:b/>
          <w:sz w:val="20"/>
        </w:rPr>
      </w:pPr>
    </w:p>
    <w:tbl>
      <w:tblPr>
        <w:tblW w:w="0" w:type="auto"/>
        <w:jc w:val="left"/>
        <w:tblInd w:w="1099"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1180"/>
        <w:gridCol w:w="1296"/>
        <w:gridCol w:w="1267"/>
        <w:gridCol w:w="1325"/>
        <w:gridCol w:w="1354"/>
        <w:gridCol w:w="1930"/>
        <w:gridCol w:w="6452"/>
        <w:gridCol w:w="2190"/>
        <w:gridCol w:w="2478"/>
        <w:gridCol w:w="1499"/>
        <w:gridCol w:w="1321"/>
      </w:tblGrid>
      <w:tr>
        <w:trPr>
          <w:trHeight w:val="930" w:hRule="atLeast"/>
        </w:trPr>
        <w:tc>
          <w:tcPr>
            <w:tcW w:w="1180" w:type="dxa"/>
            <w:tcBorders>
              <w:right w:val="single" w:sz="4" w:space="0" w:color="FFFFFF"/>
            </w:tcBorders>
            <w:shd w:val="clear" w:color="auto" w:fill="A7A9AC"/>
          </w:tcPr>
          <w:p>
            <w:pPr>
              <w:pStyle w:val="TableParagraph"/>
              <w:spacing w:before="179"/>
              <w:rPr>
                <w:b/>
                <w:sz w:val="18"/>
              </w:rPr>
            </w:pPr>
          </w:p>
          <w:p>
            <w:pPr>
              <w:pStyle w:val="TableParagraph"/>
              <w:ind w:left="79"/>
              <w:rPr>
                <w:b/>
                <w:sz w:val="18"/>
              </w:rPr>
            </w:pPr>
            <w:r>
              <w:rPr>
                <w:b/>
                <w:color w:val="FFFFFF"/>
                <w:spacing w:val="-2"/>
                <w:sz w:val="18"/>
              </w:rPr>
              <w:t>Priority</w:t>
            </w:r>
          </w:p>
        </w:tc>
        <w:tc>
          <w:tcPr>
            <w:tcW w:w="1296" w:type="dxa"/>
            <w:tcBorders>
              <w:left w:val="single" w:sz="4" w:space="0" w:color="FFFFFF"/>
              <w:right w:val="single" w:sz="4" w:space="0" w:color="FFFFFF"/>
            </w:tcBorders>
            <w:shd w:val="clear" w:color="auto" w:fill="A7A9AC"/>
          </w:tcPr>
          <w:p>
            <w:pPr>
              <w:pStyle w:val="TableParagraph"/>
              <w:spacing w:before="179"/>
              <w:rPr>
                <w:b/>
                <w:sz w:val="18"/>
              </w:rPr>
            </w:pPr>
          </w:p>
          <w:p>
            <w:pPr>
              <w:pStyle w:val="TableParagraph"/>
              <w:ind w:left="80"/>
              <w:rPr>
                <w:b/>
                <w:sz w:val="18"/>
              </w:rPr>
            </w:pPr>
            <w:r>
              <w:rPr>
                <w:b/>
                <w:color w:val="FFFFFF"/>
                <w:w w:val="90"/>
                <w:sz w:val="18"/>
              </w:rPr>
              <w:t>Focus</w:t>
            </w:r>
            <w:r>
              <w:rPr>
                <w:b/>
                <w:color w:val="FFFFFF"/>
                <w:spacing w:val="8"/>
                <w:sz w:val="18"/>
              </w:rPr>
              <w:t> </w:t>
            </w:r>
            <w:r>
              <w:rPr>
                <w:b/>
                <w:color w:val="FFFFFF"/>
                <w:spacing w:val="-4"/>
                <w:sz w:val="18"/>
              </w:rPr>
              <w:t>Area</w:t>
            </w:r>
          </w:p>
        </w:tc>
        <w:tc>
          <w:tcPr>
            <w:tcW w:w="1267" w:type="dxa"/>
            <w:tcBorders>
              <w:left w:val="single" w:sz="4" w:space="0" w:color="FFFFFF"/>
              <w:right w:val="single" w:sz="4" w:space="0" w:color="FFFFFF"/>
            </w:tcBorders>
            <w:shd w:val="clear" w:color="auto" w:fill="A7A9AC"/>
          </w:tcPr>
          <w:p>
            <w:pPr>
              <w:pStyle w:val="TableParagraph"/>
              <w:spacing w:before="84"/>
              <w:rPr>
                <w:b/>
                <w:sz w:val="18"/>
              </w:rPr>
            </w:pPr>
          </w:p>
          <w:p>
            <w:pPr>
              <w:pStyle w:val="TableParagraph"/>
              <w:spacing w:line="232" w:lineRule="auto"/>
              <w:ind w:left="80" w:right="237"/>
              <w:rPr>
                <w:b/>
                <w:sz w:val="18"/>
              </w:rPr>
            </w:pPr>
            <w:r>
              <w:rPr>
                <w:b/>
                <w:color w:val="FFFFFF"/>
                <w:spacing w:val="-6"/>
                <w:sz w:val="18"/>
              </w:rPr>
              <w:t>Goal</w:t>
            </w:r>
            <w:r>
              <w:rPr>
                <w:b/>
                <w:color w:val="FFFFFF"/>
                <w:spacing w:val="-7"/>
                <w:sz w:val="18"/>
              </w:rPr>
              <w:t> </w:t>
            </w:r>
            <w:r>
              <w:rPr>
                <w:b/>
                <w:color w:val="FFFFFF"/>
                <w:spacing w:val="-6"/>
                <w:sz w:val="18"/>
              </w:rPr>
              <w:t>Focus </w:t>
            </w:r>
            <w:r>
              <w:rPr>
                <w:b/>
                <w:color w:val="FFFFFF"/>
                <w:spacing w:val="-4"/>
                <w:sz w:val="18"/>
              </w:rPr>
              <w:t>Area</w:t>
            </w:r>
          </w:p>
        </w:tc>
        <w:tc>
          <w:tcPr>
            <w:tcW w:w="1325" w:type="dxa"/>
            <w:tcBorders>
              <w:left w:val="single" w:sz="4" w:space="0" w:color="FFFFFF"/>
              <w:right w:val="single" w:sz="4" w:space="0" w:color="FFFFFF"/>
            </w:tcBorders>
            <w:shd w:val="clear" w:color="auto" w:fill="A7A9AC"/>
          </w:tcPr>
          <w:p>
            <w:pPr>
              <w:pStyle w:val="TableParagraph"/>
              <w:spacing w:before="179"/>
              <w:rPr>
                <w:b/>
                <w:sz w:val="18"/>
              </w:rPr>
            </w:pPr>
          </w:p>
          <w:p>
            <w:pPr>
              <w:pStyle w:val="TableParagraph"/>
              <w:ind w:left="80"/>
              <w:rPr>
                <w:b/>
                <w:sz w:val="18"/>
              </w:rPr>
            </w:pPr>
            <w:r>
              <w:rPr>
                <w:b/>
                <w:color w:val="FFFFFF"/>
                <w:spacing w:val="-2"/>
                <w:sz w:val="18"/>
              </w:rPr>
              <w:t>Objectives</w:t>
            </w:r>
          </w:p>
        </w:tc>
        <w:tc>
          <w:tcPr>
            <w:tcW w:w="1354" w:type="dxa"/>
            <w:tcBorders>
              <w:left w:val="single" w:sz="4" w:space="0" w:color="FFFFFF"/>
              <w:right w:val="single" w:sz="4" w:space="0" w:color="FFFFFF"/>
            </w:tcBorders>
            <w:shd w:val="clear" w:color="auto" w:fill="A7A9AC"/>
          </w:tcPr>
          <w:p>
            <w:pPr>
              <w:pStyle w:val="TableParagraph"/>
              <w:spacing w:before="179"/>
              <w:rPr>
                <w:b/>
                <w:sz w:val="18"/>
              </w:rPr>
            </w:pPr>
          </w:p>
          <w:p>
            <w:pPr>
              <w:pStyle w:val="TableParagraph"/>
              <w:ind w:left="80"/>
              <w:rPr>
                <w:b/>
                <w:sz w:val="18"/>
              </w:rPr>
            </w:pPr>
            <w:r>
              <w:rPr>
                <w:b/>
                <w:color w:val="FFFFFF"/>
                <w:spacing w:val="-2"/>
                <w:sz w:val="18"/>
              </w:rPr>
              <w:t>Disparities</w:t>
            </w:r>
          </w:p>
        </w:tc>
        <w:tc>
          <w:tcPr>
            <w:tcW w:w="1930" w:type="dxa"/>
            <w:tcBorders>
              <w:left w:val="single" w:sz="4" w:space="0" w:color="FFFFFF"/>
              <w:right w:val="single" w:sz="4" w:space="0" w:color="FFFFFF"/>
            </w:tcBorders>
            <w:shd w:val="clear" w:color="auto" w:fill="A7A9AC"/>
          </w:tcPr>
          <w:p>
            <w:pPr>
              <w:pStyle w:val="TableParagraph"/>
              <w:spacing w:before="179"/>
              <w:rPr>
                <w:b/>
                <w:sz w:val="18"/>
              </w:rPr>
            </w:pPr>
          </w:p>
          <w:p>
            <w:pPr>
              <w:pStyle w:val="TableParagraph"/>
              <w:ind w:left="80"/>
              <w:rPr>
                <w:b/>
                <w:sz w:val="18"/>
              </w:rPr>
            </w:pPr>
            <w:r>
              <w:rPr>
                <w:b/>
                <w:color w:val="FFFFFF"/>
                <w:spacing w:val="-2"/>
                <w:sz w:val="18"/>
              </w:rPr>
              <w:t>Interventions</w:t>
            </w:r>
          </w:p>
        </w:tc>
        <w:tc>
          <w:tcPr>
            <w:tcW w:w="6452" w:type="dxa"/>
            <w:tcBorders>
              <w:left w:val="single" w:sz="4" w:space="0" w:color="FFFFFF"/>
              <w:right w:val="single" w:sz="4" w:space="0" w:color="FFFFFF"/>
            </w:tcBorders>
            <w:shd w:val="clear" w:color="auto" w:fill="A7A9AC"/>
          </w:tcPr>
          <w:p>
            <w:pPr>
              <w:pStyle w:val="TableParagraph"/>
              <w:spacing w:before="103"/>
              <w:rPr>
                <w:b/>
                <w:sz w:val="18"/>
              </w:rPr>
            </w:pPr>
          </w:p>
          <w:p>
            <w:pPr>
              <w:pStyle w:val="TableParagraph"/>
              <w:tabs>
                <w:tab w:pos="3880" w:val="left" w:leader="none"/>
              </w:tabs>
              <w:spacing w:line="156" w:lineRule="auto"/>
              <w:ind w:left="3880" w:right="452" w:hanging="3791"/>
              <w:rPr>
                <w:b/>
                <w:sz w:val="18"/>
              </w:rPr>
            </w:pPr>
            <w:r>
              <w:rPr>
                <w:b/>
                <w:color w:val="FFFFFF"/>
                <w:position w:val="-9"/>
                <w:sz w:val="18"/>
              </w:rPr>
              <w:t>Family of Measures</w:t>
              <w:tab/>
            </w:r>
            <w:r>
              <w:rPr>
                <w:b/>
                <w:color w:val="FFFFFF"/>
                <w:sz w:val="18"/>
              </w:rPr>
              <w:t>Projected</w:t>
            </w:r>
            <w:r>
              <w:rPr>
                <w:b/>
                <w:color w:val="FFFFFF"/>
                <w:spacing w:val="-15"/>
                <w:sz w:val="18"/>
              </w:rPr>
              <w:t> </w:t>
            </w:r>
            <w:r>
              <w:rPr>
                <w:b/>
                <w:color w:val="FFFFFF"/>
                <w:sz w:val="18"/>
              </w:rPr>
              <w:t>(or</w:t>
            </w:r>
            <w:r>
              <w:rPr>
                <w:b/>
                <w:color w:val="FFFFFF"/>
                <w:spacing w:val="-12"/>
                <w:sz w:val="18"/>
              </w:rPr>
              <w:t> </w:t>
            </w:r>
            <w:r>
              <w:rPr>
                <w:b/>
                <w:color w:val="FFFFFF"/>
                <w:sz w:val="18"/>
              </w:rPr>
              <w:t>completed) Year 1 Intervention</w:t>
            </w:r>
          </w:p>
        </w:tc>
        <w:tc>
          <w:tcPr>
            <w:tcW w:w="2190" w:type="dxa"/>
            <w:tcBorders>
              <w:left w:val="single" w:sz="4" w:space="0" w:color="FFFFFF"/>
              <w:right w:val="single" w:sz="4" w:space="0" w:color="FFFFFF"/>
            </w:tcBorders>
            <w:shd w:val="clear" w:color="auto" w:fill="A7A9AC"/>
          </w:tcPr>
          <w:p>
            <w:pPr>
              <w:pStyle w:val="TableParagraph"/>
              <w:spacing w:before="178"/>
              <w:rPr>
                <w:b/>
                <w:sz w:val="18"/>
              </w:rPr>
            </w:pPr>
          </w:p>
          <w:p>
            <w:pPr>
              <w:pStyle w:val="TableParagraph"/>
              <w:spacing w:before="1"/>
              <w:ind w:left="78"/>
              <w:rPr>
                <w:b/>
                <w:sz w:val="18"/>
              </w:rPr>
            </w:pPr>
            <w:r>
              <w:rPr>
                <w:b/>
                <w:color w:val="FFFFFF"/>
                <w:spacing w:val="-2"/>
                <w:sz w:val="18"/>
              </w:rPr>
              <w:t>Projected</w:t>
            </w:r>
            <w:r>
              <w:rPr>
                <w:b/>
                <w:color w:val="FFFFFF"/>
                <w:spacing w:val="-6"/>
                <w:sz w:val="18"/>
              </w:rPr>
              <w:t> </w:t>
            </w:r>
            <w:r>
              <w:rPr>
                <w:b/>
                <w:color w:val="FFFFFF"/>
                <w:spacing w:val="-2"/>
                <w:sz w:val="18"/>
              </w:rPr>
              <w:t>Year</w:t>
            </w:r>
            <w:r>
              <w:rPr>
                <w:b/>
                <w:color w:val="FFFFFF"/>
                <w:spacing w:val="-5"/>
                <w:sz w:val="18"/>
              </w:rPr>
              <w:t> </w:t>
            </w:r>
            <w:r>
              <w:rPr>
                <w:b/>
                <w:color w:val="FFFFFF"/>
                <w:spacing w:val="-12"/>
                <w:sz w:val="18"/>
              </w:rPr>
              <w:t>2</w:t>
            </w:r>
          </w:p>
        </w:tc>
        <w:tc>
          <w:tcPr>
            <w:tcW w:w="2478" w:type="dxa"/>
            <w:tcBorders>
              <w:left w:val="single" w:sz="4" w:space="0" w:color="FFFFFF"/>
              <w:right w:val="single" w:sz="4" w:space="0" w:color="FFFFFF"/>
            </w:tcBorders>
            <w:shd w:val="clear" w:color="auto" w:fill="A7A9AC"/>
          </w:tcPr>
          <w:p>
            <w:pPr>
              <w:pStyle w:val="TableParagraph"/>
              <w:spacing w:before="83"/>
              <w:rPr>
                <w:b/>
                <w:sz w:val="18"/>
              </w:rPr>
            </w:pPr>
          </w:p>
          <w:p>
            <w:pPr>
              <w:pStyle w:val="TableParagraph"/>
              <w:spacing w:line="232" w:lineRule="auto" w:before="1"/>
              <w:ind w:left="77"/>
              <w:rPr>
                <w:b/>
                <w:sz w:val="18"/>
              </w:rPr>
            </w:pPr>
            <w:r>
              <w:rPr>
                <w:b/>
                <w:color w:val="FFFFFF"/>
                <w:spacing w:val="-2"/>
                <w:sz w:val="18"/>
              </w:rPr>
              <w:t>Projected</w:t>
            </w:r>
            <w:r>
              <w:rPr>
                <w:b/>
                <w:color w:val="FFFFFF"/>
                <w:spacing w:val="-13"/>
                <w:sz w:val="18"/>
              </w:rPr>
              <w:t> </w:t>
            </w:r>
            <w:r>
              <w:rPr>
                <w:b/>
                <w:color w:val="FFFFFF"/>
                <w:spacing w:val="-2"/>
                <w:sz w:val="18"/>
              </w:rPr>
              <w:t>Year</w:t>
            </w:r>
            <w:r>
              <w:rPr>
                <w:b/>
                <w:color w:val="FFFFFF"/>
                <w:spacing w:val="-10"/>
                <w:sz w:val="18"/>
              </w:rPr>
              <w:t> </w:t>
            </w:r>
            <w:r>
              <w:rPr>
                <w:b/>
                <w:color w:val="FFFFFF"/>
                <w:spacing w:val="-2"/>
                <w:sz w:val="18"/>
              </w:rPr>
              <w:t>3 Interventions</w:t>
            </w:r>
          </w:p>
        </w:tc>
        <w:tc>
          <w:tcPr>
            <w:tcW w:w="1499" w:type="dxa"/>
            <w:tcBorders>
              <w:left w:val="single" w:sz="4" w:space="0" w:color="FFFFFF"/>
            </w:tcBorders>
            <w:shd w:val="clear" w:color="auto" w:fill="A7A9AC"/>
          </w:tcPr>
          <w:p>
            <w:pPr>
              <w:pStyle w:val="TableParagraph"/>
              <w:spacing w:before="83"/>
              <w:rPr>
                <w:b/>
                <w:sz w:val="18"/>
              </w:rPr>
            </w:pPr>
          </w:p>
          <w:p>
            <w:pPr>
              <w:pStyle w:val="TableParagraph"/>
              <w:spacing w:line="232" w:lineRule="auto" w:before="1"/>
              <w:ind w:left="76"/>
              <w:rPr>
                <w:b/>
                <w:sz w:val="18"/>
              </w:rPr>
            </w:pPr>
            <w:r>
              <w:rPr>
                <w:b/>
                <w:color w:val="FFFFFF"/>
                <w:spacing w:val="-2"/>
                <w:sz w:val="18"/>
              </w:rPr>
              <w:t>Implementation Partner</w:t>
            </w:r>
          </w:p>
        </w:tc>
        <w:tc>
          <w:tcPr>
            <w:tcW w:w="1321" w:type="dxa"/>
            <w:shd w:val="clear" w:color="auto" w:fill="A7A9AC"/>
          </w:tcPr>
          <w:p>
            <w:pPr>
              <w:pStyle w:val="TableParagraph"/>
              <w:spacing w:line="232" w:lineRule="auto" w:before="190"/>
              <w:ind w:left="75" w:right="302"/>
              <w:rPr>
                <w:b/>
                <w:sz w:val="18"/>
              </w:rPr>
            </w:pPr>
            <w:r>
              <w:rPr>
                <w:b/>
                <w:color w:val="FFFFFF"/>
                <w:spacing w:val="-2"/>
                <w:sz w:val="18"/>
              </w:rPr>
              <w:t>Partner </w:t>
            </w:r>
            <w:r>
              <w:rPr>
                <w:b/>
                <w:color w:val="FFFFFF"/>
                <w:spacing w:val="-6"/>
                <w:sz w:val="18"/>
              </w:rPr>
              <w:t>Role(s)</w:t>
            </w:r>
            <w:r>
              <w:rPr>
                <w:b/>
                <w:color w:val="FFFFFF"/>
                <w:spacing w:val="-7"/>
                <w:sz w:val="18"/>
              </w:rPr>
              <w:t> </w:t>
            </w:r>
            <w:r>
              <w:rPr>
                <w:b/>
                <w:color w:val="FFFFFF"/>
                <w:spacing w:val="-6"/>
                <w:sz w:val="18"/>
              </w:rPr>
              <w:t>and </w:t>
            </w:r>
            <w:r>
              <w:rPr>
                <w:b/>
                <w:color w:val="FFFFFF"/>
                <w:spacing w:val="-2"/>
                <w:sz w:val="18"/>
              </w:rPr>
              <w:t>Resources</w:t>
            </w:r>
          </w:p>
        </w:tc>
      </w:tr>
      <w:tr>
        <w:trPr>
          <w:trHeight w:val="5130" w:hRule="atLeast"/>
        </w:trPr>
        <w:tc>
          <w:tcPr>
            <w:tcW w:w="1180" w:type="dxa"/>
            <w:vMerge w:val="restart"/>
            <w:shd w:val="clear" w:color="auto" w:fill="E6E7E8"/>
          </w:tcPr>
          <w:p>
            <w:pPr>
              <w:pStyle w:val="TableParagraph"/>
              <w:spacing w:line="232" w:lineRule="auto" w:before="100"/>
              <w:ind w:left="89" w:right="87"/>
              <w:rPr>
                <w:sz w:val="18"/>
              </w:rPr>
            </w:pPr>
            <w:r>
              <w:rPr>
                <w:color w:val="105C84"/>
                <w:spacing w:val="-2"/>
                <w:sz w:val="18"/>
              </w:rPr>
              <w:t>Promote Well-Being </w:t>
            </w:r>
            <w:r>
              <w:rPr>
                <w:color w:val="105C84"/>
                <w:sz w:val="18"/>
              </w:rPr>
              <w:t>and</w:t>
            </w:r>
            <w:r>
              <w:rPr>
                <w:color w:val="105C84"/>
                <w:spacing w:val="-13"/>
                <w:sz w:val="18"/>
              </w:rPr>
              <w:t> </w:t>
            </w:r>
            <w:r>
              <w:rPr>
                <w:color w:val="105C84"/>
                <w:sz w:val="18"/>
              </w:rPr>
              <w:t>Prevent Mental and </w:t>
            </w:r>
            <w:r>
              <w:rPr>
                <w:color w:val="105C84"/>
                <w:spacing w:val="-2"/>
                <w:sz w:val="18"/>
              </w:rPr>
              <w:t>Substance </w:t>
            </w:r>
            <w:r>
              <w:rPr>
                <w:color w:val="105C84"/>
                <w:spacing w:val="-4"/>
                <w:sz w:val="18"/>
              </w:rPr>
              <w:t>Use </w:t>
            </w:r>
            <w:r>
              <w:rPr>
                <w:color w:val="105C84"/>
                <w:spacing w:val="-2"/>
                <w:sz w:val="18"/>
              </w:rPr>
              <w:t>Disorders</w:t>
            </w:r>
          </w:p>
        </w:tc>
        <w:tc>
          <w:tcPr>
            <w:tcW w:w="1296" w:type="dxa"/>
          </w:tcPr>
          <w:p>
            <w:pPr>
              <w:pStyle w:val="TableParagraph"/>
              <w:spacing w:line="232" w:lineRule="auto" w:before="100"/>
              <w:ind w:left="90" w:right="115"/>
              <w:rPr>
                <w:sz w:val="18"/>
              </w:rPr>
            </w:pPr>
            <w:r>
              <w:rPr>
                <w:color w:val="105C84"/>
                <w:spacing w:val="-4"/>
                <w:sz w:val="18"/>
              </w:rPr>
              <w:t>Focus</w:t>
            </w:r>
            <w:r>
              <w:rPr>
                <w:color w:val="105C84"/>
                <w:spacing w:val="-11"/>
                <w:sz w:val="18"/>
              </w:rPr>
              <w:t> </w:t>
            </w:r>
            <w:r>
              <w:rPr>
                <w:color w:val="105C84"/>
                <w:spacing w:val="-4"/>
                <w:sz w:val="18"/>
              </w:rPr>
              <w:t>Area</w:t>
            </w:r>
            <w:r>
              <w:rPr>
                <w:color w:val="105C84"/>
                <w:spacing w:val="-8"/>
                <w:sz w:val="18"/>
              </w:rPr>
              <w:t> </w:t>
            </w:r>
            <w:r>
              <w:rPr>
                <w:color w:val="105C84"/>
                <w:spacing w:val="-4"/>
                <w:sz w:val="18"/>
              </w:rPr>
              <w:t>1: </w:t>
            </w:r>
            <w:r>
              <w:rPr>
                <w:color w:val="105C84"/>
                <w:spacing w:val="-2"/>
                <w:sz w:val="18"/>
              </w:rPr>
              <w:t>Promote</w:t>
            </w:r>
            <w:r>
              <w:rPr>
                <w:color w:val="105C84"/>
                <w:spacing w:val="40"/>
                <w:sz w:val="18"/>
              </w:rPr>
              <w:t> </w:t>
            </w:r>
            <w:r>
              <w:rPr>
                <w:color w:val="105C84"/>
                <w:spacing w:val="-2"/>
                <w:sz w:val="18"/>
              </w:rPr>
              <w:t>Well-Being</w:t>
            </w:r>
          </w:p>
        </w:tc>
        <w:tc>
          <w:tcPr>
            <w:tcW w:w="1267" w:type="dxa"/>
          </w:tcPr>
          <w:p>
            <w:pPr>
              <w:pStyle w:val="TableParagraph"/>
              <w:spacing w:line="232" w:lineRule="auto" w:before="100"/>
              <w:ind w:left="90" w:right="86"/>
              <w:rPr>
                <w:sz w:val="18"/>
              </w:rPr>
            </w:pPr>
            <w:r>
              <w:rPr>
                <w:color w:val="105C84"/>
                <w:w w:val="105"/>
                <w:sz w:val="18"/>
              </w:rPr>
              <w:t>Goal</w:t>
            </w:r>
            <w:r>
              <w:rPr>
                <w:color w:val="105C84"/>
                <w:spacing w:val="-1"/>
                <w:w w:val="105"/>
                <w:sz w:val="18"/>
              </w:rPr>
              <w:t> </w:t>
            </w:r>
            <w:r>
              <w:rPr>
                <w:color w:val="105C84"/>
                <w:w w:val="105"/>
                <w:sz w:val="18"/>
              </w:rPr>
              <w:t>1.1: </w:t>
            </w:r>
            <w:r>
              <w:rPr>
                <w:color w:val="105C84"/>
                <w:spacing w:val="-2"/>
                <w:w w:val="105"/>
                <w:sz w:val="18"/>
              </w:rPr>
              <w:t>Strengthen </w:t>
            </w:r>
            <w:r>
              <w:rPr>
                <w:color w:val="105C84"/>
                <w:spacing w:val="-2"/>
                <w:sz w:val="18"/>
              </w:rPr>
              <w:t>opportunities </w:t>
            </w:r>
            <w:r>
              <w:rPr>
                <w:color w:val="105C84"/>
                <w:w w:val="105"/>
                <w:sz w:val="18"/>
              </w:rPr>
              <w:t>to</w:t>
            </w:r>
            <w:r>
              <w:rPr>
                <w:color w:val="105C84"/>
                <w:spacing w:val="-6"/>
                <w:w w:val="105"/>
                <w:sz w:val="18"/>
              </w:rPr>
              <w:t> </w:t>
            </w:r>
            <w:r>
              <w:rPr>
                <w:color w:val="105C84"/>
                <w:w w:val="105"/>
                <w:sz w:val="18"/>
              </w:rPr>
              <w:t>build</w:t>
            </w:r>
            <w:r>
              <w:rPr>
                <w:color w:val="105C84"/>
                <w:spacing w:val="-6"/>
                <w:w w:val="105"/>
                <w:sz w:val="18"/>
              </w:rPr>
              <w:t> </w:t>
            </w:r>
            <w:r>
              <w:rPr>
                <w:color w:val="105C84"/>
                <w:w w:val="105"/>
                <w:sz w:val="18"/>
              </w:rPr>
              <w:t>well-being</w:t>
            </w:r>
            <w:r>
              <w:rPr>
                <w:color w:val="105C84"/>
                <w:spacing w:val="-1"/>
                <w:w w:val="105"/>
                <w:sz w:val="18"/>
              </w:rPr>
              <w:t> </w:t>
            </w:r>
            <w:r>
              <w:rPr>
                <w:color w:val="105C84"/>
                <w:w w:val="105"/>
                <w:sz w:val="18"/>
              </w:rPr>
              <w:t>and </w:t>
            </w:r>
            <w:r>
              <w:rPr>
                <w:color w:val="105C84"/>
                <w:spacing w:val="-2"/>
                <w:w w:val="105"/>
                <w:sz w:val="18"/>
              </w:rPr>
              <w:t>resilience </w:t>
            </w:r>
            <w:r>
              <w:rPr>
                <w:color w:val="105C84"/>
                <w:w w:val="105"/>
                <w:sz w:val="18"/>
              </w:rPr>
              <w:t>across</w:t>
            </w:r>
            <w:r>
              <w:rPr>
                <w:color w:val="105C84"/>
                <w:spacing w:val="-1"/>
                <w:w w:val="105"/>
                <w:sz w:val="18"/>
              </w:rPr>
              <w:t> </w:t>
            </w:r>
            <w:r>
              <w:rPr>
                <w:color w:val="105C84"/>
                <w:w w:val="105"/>
                <w:sz w:val="18"/>
              </w:rPr>
              <w:t>the </w:t>
            </w:r>
            <w:r>
              <w:rPr>
                <w:color w:val="105C84"/>
                <w:spacing w:val="-2"/>
                <w:w w:val="105"/>
                <w:sz w:val="18"/>
              </w:rPr>
              <w:t>lifespan</w:t>
            </w:r>
          </w:p>
        </w:tc>
        <w:tc>
          <w:tcPr>
            <w:tcW w:w="1325" w:type="dxa"/>
          </w:tcPr>
          <w:p>
            <w:pPr>
              <w:pStyle w:val="TableParagraph"/>
              <w:spacing w:line="203" w:lineRule="exact" w:before="95"/>
              <w:ind w:left="90"/>
              <w:rPr>
                <w:sz w:val="18"/>
              </w:rPr>
            </w:pPr>
            <w:r>
              <w:rPr>
                <w:color w:val="105C84"/>
                <w:spacing w:val="-2"/>
                <w:sz w:val="18"/>
              </w:rPr>
              <w:t>1.1.2.1</w:t>
            </w:r>
          </w:p>
          <w:p>
            <w:pPr>
              <w:pStyle w:val="TableParagraph"/>
              <w:spacing w:line="232" w:lineRule="auto" w:before="2"/>
              <w:ind w:left="90" w:right="128"/>
              <w:rPr>
                <w:sz w:val="18"/>
              </w:rPr>
            </w:pPr>
            <w:r>
              <w:rPr>
                <w:color w:val="105C84"/>
                <w:sz w:val="18"/>
              </w:rPr>
              <w:t>Reduce the </w:t>
            </w:r>
            <w:r>
              <w:rPr>
                <w:color w:val="105C84"/>
                <w:spacing w:val="-2"/>
                <w:sz w:val="18"/>
              </w:rPr>
              <w:t>percentage</w:t>
            </w:r>
            <w:r>
              <w:rPr>
                <w:color w:val="105C84"/>
                <w:spacing w:val="80"/>
                <w:sz w:val="18"/>
              </w:rPr>
              <w:t> </w:t>
            </w:r>
            <w:r>
              <w:rPr>
                <w:color w:val="105C84"/>
                <w:sz w:val="18"/>
              </w:rPr>
              <w:t>of adults 65+ New Yorkers reporting 14 or more days with poor mental</w:t>
            </w:r>
            <w:r>
              <w:rPr>
                <w:color w:val="105C84"/>
                <w:spacing w:val="-13"/>
                <w:sz w:val="18"/>
              </w:rPr>
              <w:t> </w:t>
            </w:r>
            <w:r>
              <w:rPr>
                <w:color w:val="105C84"/>
                <w:sz w:val="18"/>
              </w:rPr>
              <w:t>health in the last </w:t>
            </w:r>
            <w:r>
              <w:rPr>
                <w:color w:val="105C84"/>
                <w:spacing w:val="-2"/>
                <w:sz w:val="18"/>
              </w:rPr>
              <w:t>month</w:t>
            </w:r>
          </w:p>
        </w:tc>
        <w:tc>
          <w:tcPr>
            <w:tcW w:w="1354" w:type="dxa"/>
          </w:tcPr>
          <w:p>
            <w:pPr>
              <w:pStyle w:val="TableParagraph"/>
              <w:spacing w:before="95"/>
              <w:ind w:left="90"/>
              <w:rPr>
                <w:sz w:val="18"/>
              </w:rPr>
            </w:pPr>
            <w:r>
              <w:rPr>
                <w:color w:val="105C84"/>
                <w:spacing w:val="-2"/>
                <w:sz w:val="18"/>
              </w:rPr>
              <w:t>Transportation</w:t>
            </w:r>
          </w:p>
        </w:tc>
        <w:tc>
          <w:tcPr>
            <w:tcW w:w="1930" w:type="dxa"/>
          </w:tcPr>
          <w:p>
            <w:pPr>
              <w:pStyle w:val="TableParagraph"/>
              <w:spacing w:line="232" w:lineRule="auto" w:before="100"/>
              <w:ind w:left="89" w:right="287"/>
              <w:rPr>
                <w:sz w:val="18"/>
              </w:rPr>
            </w:pPr>
            <w:r>
              <w:rPr>
                <w:color w:val="105C84"/>
                <w:sz w:val="18"/>
              </w:rPr>
              <w:t>Intervention 1.1.5: Enable resilience for people living with</w:t>
            </w:r>
            <w:r>
              <w:rPr>
                <w:color w:val="105C84"/>
                <w:spacing w:val="-15"/>
                <w:sz w:val="18"/>
              </w:rPr>
              <w:t> </w:t>
            </w:r>
            <w:r>
              <w:rPr>
                <w:color w:val="105C84"/>
                <w:sz w:val="18"/>
              </w:rPr>
              <w:t>chronic</w:t>
            </w:r>
            <w:r>
              <w:rPr>
                <w:color w:val="105C84"/>
                <w:spacing w:val="-12"/>
                <w:sz w:val="18"/>
              </w:rPr>
              <w:t> </w:t>
            </w:r>
            <w:r>
              <w:rPr>
                <w:color w:val="105C84"/>
                <w:sz w:val="18"/>
              </w:rPr>
              <w:t>illness: </w:t>
            </w:r>
            <w:r>
              <w:rPr>
                <w:color w:val="105C84"/>
                <w:spacing w:val="-2"/>
                <w:sz w:val="18"/>
              </w:rPr>
              <w:t>strengthening protective</w:t>
            </w:r>
          </w:p>
          <w:p>
            <w:pPr>
              <w:pStyle w:val="TableParagraph"/>
              <w:spacing w:line="232" w:lineRule="auto"/>
              <w:ind w:left="89" w:right="93"/>
              <w:rPr>
                <w:sz w:val="18"/>
              </w:rPr>
            </w:pPr>
            <w:r>
              <w:rPr>
                <w:color w:val="105C84"/>
                <w:sz w:val="18"/>
              </w:rPr>
              <w:t>factors include independence, social support, positive explanatory styles, </w:t>
            </w:r>
            <w:r>
              <w:rPr>
                <w:color w:val="105C84"/>
                <w:spacing w:val="-2"/>
                <w:sz w:val="18"/>
              </w:rPr>
              <w:t>self-care,</w:t>
            </w:r>
            <w:r>
              <w:rPr>
                <w:color w:val="105C84"/>
                <w:spacing w:val="-11"/>
                <w:sz w:val="18"/>
              </w:rPr>
              <w:t> </w:t>
            </w:r>
            <w:r>
              <w:rPr>
                <w:color w:val="105C84"/>
                <w:spacing w:val="-2"/>
                <w:sz w:val="18"/>
              </w:rPr>
              <w:t>self-</w:t>
            </w:r>
            <w:r>
              <w:rPr>
                <w:color w:val="105C84"/>
                <w:spacing w:val="-2"/>
                <w:sz w:val="18"/>
              </w:rPr>
              <w:t>esteem, </w:t>
            </w:r>
            <w:r>
              <w:rPr>
                <w:color w:val="105C84"/>
                <w:sz w:val="18"/>
              </w:rPr>
              <w:t>and reduced anxiety</w:t>
            </w:r>
          </w:p>
        </w:tc>
        <w:tc>
          <w:tcPr>
            <w:tcW w:w="6452" w:type="dxa"/>
          </w:tcPr>
          <w:p>
            <w:pPr>
              <w:pStyle w:val="TableParagraph"/>
              <w:spacing w:line="232" w:lineRule="auto" w:before="100"/>
              <w:ind w:left="89" w:right="4385"/>
              <w:rPr>
                <w:sz w:val="18"/>
              </w:rPr>
            </w:pPr>
            <w:r>
              <w:rPr>
                <w:color w:val="105C84"/>
                <w:sz w:val="18"/>
              </w:rPr>
              <w:t>Number of provider offices in NWCH’s network consistently using</w:t>
            </w:r>
            <w:r>
              <w:rPr>
                <w:color w:val="105C84"/>
                <w:spacing w:val="-6"/>
                <w:sz w:val="18"/>
              </w:rPr>
              <w:t> </w:t>
            </w:r>
            <w:r>
              <w:rPr>
                <w:color w:val="105C84"/>
                <w:sz w:val="18"/>
              </w:rPr>
              <w:t>the</w:t>
            </w:r>
            <w:r>
              <w:rPr>
                <w:color w:val="105C84"/>
                <w:spacing w:val="-6"/>
                <w:sz w:val="18"/>
              </w:rPr>
              <w:t> </w:t>
            </w:r>
            <w:r>
              <w:rPr>
                <w:color w:val="105C84"/>
                <w:sz w:val="18"/>
              </w:rPr>
              <w:t>prescription </w:t>
            </w:r>
            <w:r>
              <w:rPr>
                <w:color w:val="105C84"/>
                <w:spacing w:val="-4"/>
                <w:sz w:val="18"/>
              </w:rPr>
              <w:t>pad</w:t>
            </w:r>
          </w:p>
          <w:p>
            <w:pPr>
              <w:pStyle w:val="TableParagraph"/>
              <w:spacing w:before="78"/>
              <w:rPr>
                <w:b/>
                <w:sz w:val="18"/>
              </w:rPr>
            </w:pPr>
          </w:p>
          <w:p>
            <w:pPr>
              <w:pStyle w:val="TableParagraph"/>
              <w:spacing w:line="232" w:lineRule="auto" w:before="1"/>
              <w:ind w:left="89" w:right="4673"/>
              <w:rPr>
                <w:sz w:val="18"/>
              </w:rPr>
            </w:pPr>
            <w:r>
              <w:rPr>
                <w:color w:val="105C84"/>
                <w:sz w:val="18"/>
              </w:rPr>
              <w:t>Minutes showing </w:t>
            </w:r>
            <w:r>
              <w:rPr>
                <w:color w:val="105C84"/>
                <w:spacing w:val="-2"/>
                <w:sz w:val="18"/>
              </w:rPr>
              <w:t>discussion</w:t>
            </w:r>
            <w:r>
              <w:rPr>
                <w:color w:val="105C84"/>
                <w:spacing w:val="-11"/>
                <w:sz w:val="18"/>
              </w:rPr>
              <w:t> </w:t>
            </w:r>
            <w:r>
              <w:rPr>
                <w:color w:val="105C84"/>
                <w:spacing w:val="-2"/>
                <w:sz w:val="18"/>
              </w:rPr>
              <w:t>of</w:t>
            </w:r>
            <w:r>
              <w:rPr>
                <w:color w:val="105C84"/>
                <w:spacing w:val="-10"/>
                <w:sz w:val="18"/>
              </w:rPr>
              <w:t> </w:t>
            </w:r>
            <w:r>
              <w:rPr>
                <w:color w:val="105C84"/>
                <w:spacing w:val="-2"/>
                <w:sz w:val="18"/>
              </w:rPr>
              <w:t>barriers </w:t>
            </w:r>
            <w:r>
              <w:rPr>
                <w:color w:val="105C84"/>
                <w:sz w:val="18"/>
              </w:rPr>
              <w:t>for practices which do not use the prescription pad</w:t>
            </w:r>
          </w:p>
          <w:p>
            <w:pPr>
              <w:pStyle w:val="TableParagraph"/>
              <w:spacing w:line="232" w:lineRule="auto"/>
              <w:ind w:left="89" w:right="4385"/>
              <w:rPr>
                <w:sz w:val="18"/>
              </w:rPr>
            </w:pPr>
            <w:r>
              <w:rPr>
                <w:color w:val="105C84"/>
                <w:sz w:val="18"/>
              </w:rPr>
              <w:t>or</w:t>
            </w:r>
            <w:r>
              <w:rPr>
                <w:color w:val="105C84"/>
                <w:spacing w:val="-3"/>
                <w:sz w:val="18"/>
              </w:rPr>
              <w:t> </w:t>
            </w:r>
            <w:r>
              <w:rPr>
                <w:color w:val="105C84"/>
                <w:sz w:val="18"/>
              </w:rPr>
              <w:t>do</w:t>
            </w:r>
            <w:r>
              <w:rPr>
                <w:color w:val="105C84"/>
                <w:spacing w:val="-3"/>
                <w:sz w:val="18"/>
              </w:rPr>
              <w:t> </w:t>
            </w:r>
            <w:r>
              <w:rPr>
                <w:color w:val="105C84"/>
                <w:sz w:val="18"/>
              </w:rPr>
              <w:t>not</w:t>
            </w:r>
            <w:r>
              <w:rPr>
                <w:color w:val="105C84"/>
                <w:spacing w:val="-3"/>
                <w:sz w:val="18"/>
              </w:rPr>
              <w:t> </w:t>
            </w:r>
            <w:r>
              <w:rPr>
                <w:color w:val="105C84"/>
                <w:sz w:val="18"/>
              </w:rPr>
              <w:t>use</w:t>
            </w:r>
            <w:r>
              <w:rPr>
                <w:color w:val="105C84"/>
                <w:spacing w:val="-3"/>
                <w:sz w:val="18"/>
              </w:rPr>
              <w:t> </w:t>
            </w:r>
            <w:r>
              <w:rPr>
                <w:color w:val="105C84"/>
                <w:sz w:val="18"/>
              </w:rPr>
              <w:t>it </w:t>
            </w:r>
            <w:r>
              <w:rPr>
                <w:color w:val="105C84"/>
                <w:spacing w:val="-2"/>
                <w:sz w:val="18"/>
              </w:rPr>
              <w:t>consistently</w:t>
            </w:r>
          </w:p>
        </w:tc>
        <w:tc>
          <w:tcPr>
            <w:tcW w:w="2190" w:type="dxa"/>
          </w:tcPr>
          <w:p>
            <w:pPr>
              <w:pStyle w:val="TableParagraph"/>
              <w:spacing w:line="232" w:lineRule="auto" w:before="99"/>
              <w:ind w:left="88" w:right="91"/>
              <w:rPr>
                <w:sz w:val="18"/>
              </w:rPr>
            </w:pPr>
            <w:r>
              <w:rPr>
                <w:color w:val="105C84"/>
                <w:sz w:val="18"/>
              </w:rPr>
              <w:t>Increase provider </w:t>
            </w:r>
            <w:r>
              <w:rPr>
                <w:color w:val="105C84"/>
                <w:spacing w:val="-2"/>
                <w:sz w:val="18"/>
              </w:rPr>
              <w:t>referrals</w:t>
            </w:r>
            <w:r>
              <w:rPr>
                <w:color w:val="105C84"/>
                <w:spacing w:val="-10"/>
                <w:sz w:val="18"/>
              </w:rPr>
              <w:t> </w:t>
            </w:r>
            <w:r>
              <w:rPr>
                <w:color w:val="105C84"/>
                <w:spacing w:val="-2"/>
                <w:sz w:val="18"/>
              </w:rPr>
              <w:t>to</w:t>
            </w:r>
            <w:r>
              <w:rPr>
                <w:color w:val="105C84"/>
                <w:spacing w:val="-10"/>
                <w:sz w:val="18"/>
              </w:rPr>
              <w:t> </w:t>
            </w:r>
            <w:r>
              <w:rPr>
                <w:color w:val="105C84"/>
                <w:spacing w:val="-2"/>
                <w:sz w:val="18"/>
              </w:rPr>
              <w:t>cdsm</w:t>
            </w:r>
            <w:r>
              <w:rPr>
                <w:color w:val="105C84"/>
                <w:spacing w:val="-10"/>
                <w:sz w:val="18"/>
              </w:rPr>
              <w:t> </w:t>
            </w:r>
            <w:r>
              <w:rPr>
                <w:color w:val="105C84"/>
                <w:spacing w:val="-2"/>
                <w:sz w:val="18"/>
              </w:rPr>
              <w:t>courses </w:t>
            </w:r>
            <w:r>
              <w:rPr>
                <w:color w:val="105C84"/>
                <w:sz w:val="18"/>
              </w:rPr>
              <w:t>throughout the county</w:t>
            </w:r>
          </w:p>
          <w:p>
            <w:pPr>
              <w:pStyle w:val="TableParagraph"/>
              <w:spacing w:line="232" w:lineRule="auto" w:before="88"/>
              <w:ind w:left="88" w:right="164"/>
              <w:rPr>
                <w:sz w:val="18"/>
              </w:rPr>
            </w:pPr>
            <w:r>
              <w:rPr>
                <w:color w:val="105C84"/>
                <w:w w:val="101"/>
                <w:sz w:val="18"/>
              </w:rPr>
              <w:t>NWCH</w:t>
            </w:r>
            <w:r>
              <w:rPr>
                <w:color w:val="105C84"/>
                <w:spacing w:val="-4"/>
                <w:sz w:val="18"/>
              </w:rPr>
              <w:t> </w:t>
            </w:r>
            <w:r>
              <w:rPr>
                <w:color w:val="105C84"/>
                <w:w w:val="111"/>
                <w:sz w:val="18"/>
              </w:rPr>
              <w:t>to</w:t>
            </w:r>
            <w:r>
              <w:rPr>
                <w:color w:val="105C84"/>
                <w:spacing w:val="-4"/>
                <w:sz w:val="18"/>
              </w:rPr>
              <w:t> </w:t>
            </w:r>
            <w:r>
              <w:rPr>
                <w:color w:val="105C84"/>
                <w:w w:val="102"/>
                <w:sz w:val="18"/>
              </w:rPr>
              <w:t>col</w:t>
            </w:r>
            <w:r>
              <w:rPr>
                <w:color w:val="105C84"/>
                <w:w w:val="102"/>
                <w:sz w:val="18"/>
              </w:rPr>
              <w:t>laborate </w:t>
            </w:r>
            <w:r>
              <w:rPr>
                <w:color w:val="105C84"/>
                <w:w w:val="104"/>
                <w:sz w:val="18"/>
              </w:rPr>
              <w:t>wit</w:t>
            </w:r>
            <w:r>
              <w:rPr>
                <w:color w:val="105C84"/>
                <w:w w:val="99"/>
                <w:sz w:val="18"/>
              </w:rPr>
              <w:t>h</w:t>
            </w:r>
            <w:r>
              <w:rPr>
                <w:color w:val="105C84"/>
                <w:spacing w:val="-4"/>
                <w:sz w:val="18"/>
              </w:rPr>
              <w:t> </w:t>
            </w:r>
            <w:r>
              <w:rPr>
                <w:color w:val="105C84"/>
                <w:w w:val="97"/>
                <w:sz w:val="18"/>
              </w:rPr>
              <w:t>al</w:t>
            </w:r>
            <w:r>
              <w:rPr>
                <w:color w:val="105C84"/>
                <w:w w:val="108"/>
                <w:sz w:val="18"/>
              </w:rPr>
              <w:t>l</w:t>
            </w:r>
            <w:r>
              <w:rPr>
                <w:color w:val="105C84"/>
                <w:spacing w:val="-4"/>
                <w:sz w:val="18"/>
              </w:rPr>
              <w:t> </w:t>
            </w:r>
            <w:r>
              <w:rPr>
                <w:color w:val="105C84"/>
                <w:w w:val="95"/>
                <w:sz w:val="18"/>
              </w:rPr>
              <w:t>WHIP</w:t>
            </w:r>
            <w:r>
              <w:rPr>
                <w:color w:val="105C84"/>
                <w:spacing w:val="-4"/>
                <w:sz w:val="18"/>
              </w:rPr>
              <w:t> </w:t>
            </w:r>
            <w:r>
              <w:rPr>
                <w:color w:val="105C84"/>
                <w:w w:val="98"/>
                <w:sz w:val="18"/>
              </w:rPr>
              <w:t>agencies </w:t>
            </w:r>
            <w:r>
              <w:rPr>
                <w:color w:val="105C84"/>
                <w:w w:val="106"/>
                <w:sz w:val="18"/>
              </w:rPr>
              <w:t>o</w:t>
            </w:r>
            <w:r>
              <w:rPr>
                <w:color w:val="105C84"/>
                <w:spacing w:val="-4"/>
                <w:w w:val="106"/>
                <w:sz w:val="18"/>
              </w:rPr>
              <w:t>f</w:t>
            </w:r>
            <w:r>
              <w:rPr>
                <w:color w:val="105C84"/>
                <w:w w:val="103"/>
                <w:sz w:val="18"/>
              </w:rPr>
              <w:t>fering</w:t>
            </w:r>
            <w:r>
              <w:rPr>
                <w:color w:val="105C84"/>
                <w:spacing w:val="-4"/>
                <w:sz w:val="18"/>
              </w:rPr>
              <w:t> </w:t>
            </w:r>
            <w:r>
              <w:rPr>
                <w:color w:val="105C84"/>
                <w:w w:val="100"/>
                <w:sz w:val="18"/>
              </w:rPr>
              <w:t>evidence-</w:t>
            </w:r>
            <w:r>
              <w:rPr>
                <w:color w:val="105C84"/>
                <w:w w:val="99"/>
                <w:sz w:val="18"/>
              </w:rPr>
              <w:t>based</w:t>
            </w:r>
            <w:r>
              <w:rPr>
                <w:color w:val="105C84"/>
                <w:spacing w:val="-4"/>
                <w:sz w:val="18"/>
              </w:rPr>
              <w:t> </w:t>
            </w:r>
            <w:r>
              <w:rPr>
                <w:color w:val="105C84"/>
                <w:w w:val="98"/>
                <w:sz w:val="18"/>
              </w:rPr>
              <w:t>CDSM</w:t>
            </w:r>
            <w:r>
              <w:rPr>
                <w:color w:val="105C84"/>
                <w:spacing w:val="-4"/>
                <w:sz w:val="18"/>
              </w:rPr>
              <w:t> </w:t>
            </w:r>
            <w:r>
              <w:rPr>
                <w:color w:val="105C84"/>
                <w:w w:val="96"/>
                <w:sz w:val="18"/>
              </w:rPr>
              <w:t>courses</w:t>
            </w:r>
            <w:r>
              <w:rPr>
                <w:color w:val="105C84"/>
                <w:spacing w:val="-4"/>
                <w:sz w:val="18"/>
              </w:rPr>
              <w:t> </w:t>
            </w:r>
            <w:r>
              <w:rPr>
                <w:color w:val="105C84"/>
                <w:spacing w:val="-8"/>
                <w:w w:val="111"/>
                <w:sz w:val="18"/>
              </w:rPr>
              <w:t>to</w:t>
            </w:r>
          </w:p>
          <w:p>
            <w:pPr>
              <w:pStyle w:val="TableParagraph"/>
              <w:spacing w:line="232" w:lineRule="auto"/>
              <w:ind w:left="88"/>
              <w:rPr>
                <w:sz w:val="18"/>
              </w:rPr>
            </w:pPr>
            <w:r>
              <w:rPr>
                <w:color w:val="105C84"/>
                <w:sz w:val="18"/>
              </w:rPr>
              <w:t>revamp</w:t>
            </w:r>
            <w:r>
              <w:rPr>
                <w:color w:val="105C84"/>
                <w:spacing w:val="-2"/>
                <w:sz w:val="18"/>
              </w:rPr>
              <w:t> </w:t>
            </w:r>
            <w:r>
              <w:rPr>
                <w:color w:val="105C84"/>
                <w:sz w:val="18"/>
              </w:rPr>
              <w:t>and</w:t>
            </w:r>
            <w:r>
              <w:rPr>
                <w:color w:val="105C84"/>
                <w:spacing w:val="-2"/>
                <w:sz w:val="18"/>
              </w:rPr>
              <w:t> </w:t>
            </w:r>
            <w:r>
              <w:rPr>
                <w:color w:val="105C84"/>
                <w:sz w:val="18"/>
              </w:rPr>
              <w:t>promote</w:t>
            </w:r>
            <w:r>
              <w:rPr>
                <w:color w:val="105C84"/>
                <w:spacing w:val="-2"/>
                <w:sz w:val="18"/>
              </w:rPr>
              <w:t> </w:t>
            </w:r>
            <w:r>
              <w:rPr>
                <w:color w:val="105C84"/>
                <w:sz w:val="18"/>
              </w:rPr>
              <w:t>the </w:t>
            </w:r>
            <w:r>
              <w:rPr>
                <w:color w:val="105C84"/>
                <w:w w:val="105"/>
                <w:sz w:val="18"/>
              </w:rPr>
              <w:t>“prescription</w:t>
            </w:r>
            <w:r>
              <w:rPr>
                <w:color w:val="105C84"/>
                <w:spacing w:val="-1"/>
                <w:w w:val="105"/>
                <w:sz w:val="18"/>
              </w:rPr>
              <w:t> </w:t>
            </w:r>
            <w:r>
              <w:rPr>
                <w:color w:val="105C84"/>
                <w:w w:val="105"/>
                <w:sz w:val="18"/>
              </w:rPr>
              <w:t>pad”</w:t>
            </w:r>
          </w:p>
          <w:p>
            <w:pPr>
              <w:pStyle w:val="TableParagraph"/>
              <w:spacing w:line="232" w:lineRule="auto" w:before="85"/>
              <w:ind w:left="88" w:right="521"/>
              <w:rPr>
                <w:sz w:val="18"/>
              </w:rPr>
            </w:pPr>
            <w:r>
              <w:rPr>
                <w:color w:val="105C84"/>
                <w:sz w:val="18"/>
              </w:rPr>
              <w:t>The prescription pad</w:t>
            </w:r>
            <w:r>
              <w:rPr>
                <w:color w:val="105C84"/>
                <w:spacing w:val="-15"/>
                <w:sz w:val="18"/>
              </w:rPr>
              <w:t> </w:t>
            </w:r>
            <w:r>
              <w:rPr>
                <w:color w:val="105C84"/>
                <w:sz w:val="18"/>
              </w:rPr>
              <w:t>is</w:t>
            </w:r>
            <w:r>
              <w:rPr>
                <w:color w:val="105C84"/>
                <w:spacing w:val="-12"/>
                <w:sz w:val="18"/>
              </w:rPr>
              <w:t> </w:t>
            </w:r>
            <w:r>
              <w:rPr>
                <w:color w:val="105C84"/>
                <w:sz w:val="18"/>
              </w:rPr>
              <w:t>a</w:t>
            </w:r>
            <w:r>
              <w:rPr>
                <w:color w:val="105C84"/>
                <w:spacing w:val="-13"/>
                <w:sz w:val="18"/>
              </w:rPr>
              <w:t> </w:t>
            </w:r>
            <w:r>
              <w:rPr>
                <w:color w:val="105C84"/>
                <w:sz w:val="18"/>
              </w:rPr>
              <w:t>small</w:t>
            </w:r>
            <w:r>
              <w:rPr>
                <w:color w:val="105C84"/>
                <w:spacing w:val="-12"/>
                <w:sz w:val="18"/>
              </w:rPr>
              <w:t> </w:t>
            </w:r>
            <w:r>
              <w:rPr>
                <w:color w:val="105C84"/>
                <w:sz w:val="18"/>
              </w:rPr>
              <w:t>sheet</w:t>
            </w:r>
          </w:p>
          <w:p>
            <w:pPr>
              <w:pStyle w:val="TableParagraph"/>
              <w:spacing w:line="232" w:lineRule="auto"/>
              <w:ind w:left="88"/>
              <w:rPr>
                <w:sz w:val="18"/>
              </w:rPr>
            </w:pPr>
            <w:r>
              <w:rPr>
                <w:color w:val="105C84"/>
                <w:w w:val="105"/>
                <w:sz w:val="18"/>
              </w:rPr>
              <w:t>distributed to providers’ offices which makes it convenient for them to </w:t>
            </w:r>
            <w:r>
              <w:rPr>
                <w:color w:val="105C84"/>
                <w:sz w:val="18"/>
              </w:rPr>
              <w:t>check</w:t>
            </w:r>
            <w:r>
              <w:rPr>
                <w:color w:val="105C84"/>
                <w:spacing w:val="-4"/>
                <w:sz w:val="18"/>
              </w:rPr>
              <w:t> </w:t>
            </w:r>
            <w:r>
              <w:rPr>
                <w:color w:val="105C84"/>
                <w:sz w:val="18"/>
              </w:rPr>
              <w:t>off</w:t>
            </w:r>
            <w:r>
              <w:rPr>
                <w:color w:val="105C84"/>
                <w:spacing w:val="-4"/>
                <w:sz w:val="18"/>
              </w:rPr>
              <w:t> </w:t>
            </w:r>
            <w:r>
              <w:rPr>
                <w:color w:val="105C84"/>
                <w:sz w:val="18"/>
              </w:rPr>
              <w:t>the</w:t>
            </w:r>
            <w:r>
              <w:rPr>
                <w:color w:val="105C84"/>
                <w:spacing w:val="-4"/>
                <w:sz w:val="18"/>
              </w:rPr>
              <w:t> </w:t>
            </w:r>
            <w:r>
              <w:rPr>
                <w:color w:val="105C84"/>
                <w:sz w:val="18"/>
              </w:rPr>
              <w:t>appropriate </w:t>
            </w:r>
            <w:r>
              <w:rPr>
                <w:color w:val="105C84"/>
                <w:w w:val="105"/>
                <w:sz w:val="18"/>
              </w:rPr>
              <w:t>program(s) for their patient, fill in their information</w:t>
            </w:r>
            <w:r>
              <w:rPr>
                <w:color w:val="105C84"/>
                <w:spacing w:val="-1"/>
                <w:w w:val="105"/>
                <w:sz w:val="18"/>
              </w:rPr>
              <w:t> </w:t>
            </w:r>
            <w:r>
              <w:rPr>
                <w:color w:val="105C84"/>
                <w:w w:val="105"/>
                <w:sz w:val="18"/>
              </w:rPr>
              <w:t>(including consent</w:t>
            </w:r>
            <w:r>
              <w:rPr>
                <w:color w:val="105C84"/>
                <w:spacing w:val="-14"/>
                <w:w w:val="105"/>
                <w:sz w:val="18"/>
              </w:rPr>
              <w:t> </w:t>
            </w:r>
            <w:r>
              <w:rPr>
                <w:color w:val="105C84"/>
                <w:w w:val="105"/>
                <w:sz w:val="18"/>
              </w:rPr>
              <w:t>to</w:t>
            </w:r>
            <w:r>
              <w:rPr>
                <w:color w:val="105C84"/>
                <w:spacing w:val="-13"/>
                <w:w w:val="105"/>
                <w:sz w:val="18"/>
              </w:rPr>
              <w:t> </w:t>
            </w:r>
            <w:r>
              <w:rPr>
                <w:color w:val="105C84"/>
                <w:w w:val="105"/>
                <w:sz w:val="18"/>
              </w:rPr>
              <w:t>share</w:t>
            </w:r>
            <w:r>
              <w:rPr>
                <w:color w:val="105C84"/>
                <w:spacing w:val="-13"/>
                <w:w w:val="105"/>
                <w:sz w:val="18"/>
              </w:rPr>
              <w:t> </w:t>
            </w:r>
            <w:r>
              <w:rPr>
                <w:color w:val="105C84"/>
                <w:w w:val="105"/>
                <w:sz w:val="18"/>
              </w:rPr>
              <w:t>it),</w:t>
            </w:r>
            <w:r>
              <w:rPr>
                <w:color w:val="105C84"/>
                <w:spacing w:val="-13"/>
                <w:w w:val="105"/>
                <w:sz w:val="18"/>
              </w:rPr>
              <w:t> </w:t>
            </w:r>
            <w:r>
              <w:rPr>
                <w:color w:val="105C84"/>
                <w:w w:val="105"/>
                <w:sz w:val="18"/>
              </w:rPr>
              <w:t>and then fax the form to the appropriate agency so that</w:t>
            </w:r>
            <w:r>
              <w:rPr>
                <w:color w:val="105C84"/>
                <w:spacing w:val="-7"/>
                <w:w w:val="105"/>
                <w:sz w:val="18"/>
              </w:rPr>
              <w:t> </w:t>
            </w:r>
            <w:r>
              <w:rPr>
                <w:color w:val="105C84"/>
                <w:w w:val="105"/>
                <w:sz w:val="18"/>
              </w:rPr>
              <w:t>the</w:t>
            </w:r>
            <w:r>
              <w:rPr>
                <w:color w:val="105C84"/>
                <w:spacing w:val="-7"/>
                <w:w w:val="105"/>
                <w:sz w:val="18"/>
              </w:rPr>
              <w:t> </w:t>
            </w:r>
            <w:r>
              <w:rPr>
                <w:color w:val="105C84"/>
                <w:w w:val="105"/>
                <w:sz w:val="18"/>
              </w:rPr>
              <w:t>agency</w:t>
            </w:r>
            <w:r>
              <w:rPr>
                <w:color w:val="105C84"/>
                <w:spacing w:val="-7"/>
                <w:w w:val="105"/>
                <w:sz w:val="18"/>
              </w:rPr>
              <w:t> </w:t>
            </w:r>
            <w:r>
              <w:rPr>
                <w:color w:val="105C84"/>
                <w:w w:val="105"/>
                <w:sz w:val="18"/>
              </w:rPr>
              <w:t>with</w:t>
            </w:r>
            <w:r>
              <w:rPr>
                <w:color w:val="105C84"/>
                <w:spacing w:val="-7"/>
                <w:w w:val="105"/>
                <w:sz w:val="18"/>
              </w:rPr>
              <w:t> </w:t>
            </w:r>
            <w:r>
              <w:rPr>
                <w:color w:val="105C84"/>
                <w:w w:val="105"/>
                <w:sz w:val="18"/>
              </w:rPr>
              <w:t>the service</w:t>
            </w:r>
            <w:r>
              <w:rPr>
                <w:color w:val="105C84"/>
                <w:spacing w:val="-9"/>
                <w:w w:val="105"/>
                <w:sz w:val="18"/>
              </w:rPr>
              <w:t> </w:t>
            </w:r>
            <w:r>
              <w:rPr>
                <w:color w:val="105C84"/>
                <w:w w:val="105"/>
                <w:sz w:val="18"/>
              </w:rPr>
              <w:t>can</w:t>
            </w:r>
            <w:r>
              <w:rPr>
                <w:color w:val="105C84"/>
                <w:spacing w:val="-9"/>
                <w:w w:val="105"/>
                <w:sz w:val="18"/>
              </w:rPr>
              <w:t> </w:t>
            </w:r>
            <w:r>
              <w:rPr>
                <w:color w:val="105C84"/>
                <w:w w:val="105"/>
                <w:sz w:val="18"/>
              </w:rPr>
              <w:t>reach</w:t>
            </w:r>
            <w:r>
              <w:rPr>
                <w:color w:val="105C84"/>
                <w:spacing w:val="-9"/>
                <w:w w:val="105"/>
                <w:sz w:val="18"/>
              </w:rPr>
              <w:t> </w:t>
            </w:r>
            <w:r>
              <w:rPr>
                <w:color w:val="105C84"/>
                <w:w w:val="105"/>
                <w:sz w:val="18"/>
              </w:rPr>
              <w:t>out</w:t>
            </w:r>
            <w:r>
              <w:rPr>
                <w:color w:val="105C84"/>
                <w:spacing w:val="-9"/>
                <w:w w:val="105"/>
                <w:sz w:val="18"/>
              </w:rPr>
              <w:t> </w:t>
            </w:r>
            <w:r>
              <w:rPr>
                <w:color w:val="105C84"/>
                <w:w w:val="105"/>
                <w:sz w:val="18"/>
              </w:rPr>
              <w:t>to the patient directly</w:t>
            </w:r>
          </w:p>
        </w:tc>
        <w:tc>
          <w:tcPr>
            <w:tcW w:w="2478" w:type="dxa"/>
          </w:tcPr>
          <w:p>
            <w:pPr>
              <w:pStyle w:val="TableParagraph"/>
              <w:spacing w:line="232" w:lineRule="auto" w:before="99"/>
              <w:ind w:left="87" w:right="136"/>
              <w:rPr>
                <w:sz w:val="18"/>
              </w:rPr>
            </w:pPr>
            <w:r>
              <w:rPr>
                <w:color w:val="105C84"/>
                <w:sz w:val="18"/>
              </w:rPr>
              <w:t>Increase provider referrals to</w:t>
            </w:r>
            <w:r>
              <w:rPr>
                <w:color w:val="105C84"/>
                <w:spacing w:val="-6"/>
                <w:sz w:val="18"/>
              </w:rPr>
              <w:t> </w:t>
            </w:r>
            <w:r>
              <w:rPr>
                <w:color w:val="105C84"/>
                <w:sz w:val="18"/>
              </w:rPr>
              <w:t>cdsm</w:t>
            </w:r>
            <w:r>
              <w:rPr>
                <w:color w:val="105C84"/>
                <w:spacing w:val="-6"/>
                <w:sz w:val="18"/>
              </w:rPr>
              <w:t> </w:t>
            </w:r>
            <w:r>
              <w:rPr>
                <w:color w:val="105C84"/>
                <w:sz w:val="18"/>
              </w:rPr>
              <w:t>courses</w:t>
            </w:r>
            <w:r>
              <w:rPr>
                <w:color w:val="105C84"/>
                <w:spacing w:val="-6"/>
                <w:sz w:val="18"/>
              </w:rPr>
              <w:t> </w:t>
            </w:r>
            <w:r>
              <w:rPr>
                <w:color w:val="105C84"/>
                <w:sz w:val="18"/>
              </w:rPr>
              <w:t>throughout the county</w:t>
            </w:r>
          </w:p>
          <w:p>
            <w:pPr>
              <w:pStyle w:val="TableParagraph"/>
              <w:spacing w:line="232" w:lineRule="auto" w:before="88"/>
              <w:ind w:left="87" w:right="390"/>
              <w:rPr>
                <w:sz w:val="18"/>
              </w:rPr>
            </w:pPr>
            <w:r>
              <w:rPr>
                <w:color w:val="105C84"/>
                <w:sz w:val="18"/>
              </w:rPr>
              <w:t>NWCH to collaborate with all WHIP agencies offering</w:t>
            </w:r>
            <w:r>
              <w:rPr>
                <w:color w:val="105C84"/>
                <w:spacing w:val="-13"/>
                <w:sz w:val="18"/>
              </w:rPr>
              <w:t> </w:t>
            </w:r>
            <w:r>
              <w:rPr>
                <w:color w:val="105C84"/>
                <w:sz w:val="18"/>
              </w:rPr>
              <w:t>evidence-</w:t>
            </w:r>
            <w:r>
              <w:rPr>
                <w:color w:val="105C84"/>
                <w:sz w:val="18"/>
              </w:rPr>
              <w:t>based</w:t>
            </w:r>
          </w:p>
          <w:p>
            <w:pPr>
              <w:pStyle w:val="TableParagraph"/>
              <w:spacing w:line="232" w:lineRule="auto"/>
              <w:ind w:left="87" w:right="120"/>
              <w:rPr>
                <w:sz w:val="18"/>
              </w:rPr>
            </w:pPr>
            <w:r>
              <w:rPr>
                <w:color w:val="105C84"/>
                <w:w w:val="105"/>
                <w:sz w:val="18"/>
              </w:rPr>
              <w:t>CDSM</w:t>
            </w:r>
            <w:r>
              <w:rPr>
                <w:color w:val="105C84"/>
                <w:spacing w:val="-13"/>
                <w:w w:val="105"/>
                <w:sz w:val="18"/>
              </w:rPr>
              <w:t> </w:t>
            </w:r>
            <w:r>
              <w:rPr>
                <w:color w:val="105C84"/>
                <w:w w:val="105"/>
                <w:sz w:val="18"/>
              </w:rPr>
              <w:t>courses</w:t>
            </w:r>
            <w:r>
              <w:rPr>
                <w:color w:val="105C84"/>
                <w:spacing w:val="-13"/>
                <w:w w:val="105"/>
                <w:sz w:val="18"/>
              </w:rPr>
              <w:t> </w:t>
            </w:r>
            <w:r>
              <w:rPr>
                <w:color w:val="105C84"/>
                <w:w w:val="105"/>
                <w:sz w:val="18"/>
              </w:rPr>
              <w:t>to</w:t>
            </w:r>
            <w:r>
              <w:rPr>
                <w:color w:val="105C84"/>
                <w:spacing w:val="-13"/>
                <w:w w:val="105"/>
                <w:sz w:val="18"/>
              </w:rPr>
              <w:t> </w:t>
            </w:r>
            <w:r>
              <w:rPr>
                <w:color w:val="105C84"/>
                <w:w w:val="105"/>
                <w:sz w:val="18"/>
              </w:rPr>
              <w:t>continue promoting</w:t>
            </w:r>
            <w:r>
              <w:rPr>
                <w:color w:val="105C84"/>
                <w:spacing w:val="-14"/>
                <w:w w:val="105"/>
                <w:sz w:val="18"/>
              </w:rPr>
              <w:t> </w:t>
            </w:r>
            <w:r>
              <w:rPr>
                <w:color w:val="105C84"/>
                <w:w w:val="105"/>
                <w:sz w:val="18"/>
              </w:rPr>
              <w:t>the</w:t>
            </w:r>
            <w:r>
              <w:rPr>
                <w:color w:val="105C84"/>
                <w:spacing w:val="-13"/>
                <w:w w:val="105"/>
                <w:sz w:val="18"/>
              </w:rPr>
              <w:t> </w:t>
            </w:r>
            <w:r>
              <w:rPr>
                <w:color w:val="105C84"/>
                <w:w w:val="105"/>
                <w:sz w:val="18"/>
              </w:rPr>
              <w:t>“prescription pad”;</w:t>
            </w:r>
            <w:r>
              <w:rPr>
                <w:color w:val="105C84"/>
                <w:spacing w:val="-2"/>
                <w:w w:val="105"/>
                <w:sz w:val="18"/>
              </w:rPr>
              <w:t> </w:t>
            </w:r>
            <w:r>
              <w:rPr>
                <w:color w:val="105C84"/>
                <w:w w:val="105"/>
                <w:sz w:val="18"/>
              </w:rPr>
              <w:t>and</w:t>
            </w:r>
            <w:r>
              <w:rPr>
                <w:color w:val="105C84"/>
                <w:spacing w:val="-2"/>
                <w:w w:val="105"/>
                <w:sz w:val="18"/>
              </w:rPr>
              <w:t> </w:t>
            </w:r>
            <w:r>
              <w:rPr>
                <w:color w:val="105C84"/>
                <w:w w:val="105"/>
                <w:sz w:val="18"/>
              </w:rPr>
              <w:t>address</w:t>
            </w:r>
            <w:r>
              <w:rPr>
                <w:color w:val="105C84"/>
                <w:spacing w:val="-2"/>
                <w:w w:val="105"/>
                <w:sz w:val="18"/>
              </w:rPr>
              <w:t> </w:t>
            </w:r>
            <w:r>
              <w:rPr>
                <w:color w:val="105C84"/>
                <w:w w:val="105"/>
                <w:sz w:val="18"/>
              </w:rPr>
              <w:t>barriers to</w:t>
            </w:r>
            <w:r>
              <w:rPr>
                <w:color w:val="105C84"/>
                <w:spacing w:val="-6"/>
                <w:w w:val="105"/>
                <w:sz w:val="18"/>
              </w:rPr>
              <w:t> </w:t>
            </w:r>
            <w:r>
              <w:rPr>
                <w:color w:val="105C84"/>
                <w:w w:val="105"/>
                <w:sz w:val="18"/>
              </w:rPr>
              <w:t>its</w:t>
            </w:r>
            <w:r>
              <w:rPr>
                <w:color w:val="105C84"/>
                <w:spacing w:val="-6"/>
                <w:w w:val="105"/>
                <w:sz w:val="18"/>
              </w:rPr>
              <w:t> </w:t>
            </w:r>
            <w:r>
              <w:rPr>
                <w:color w:val="105C84"/>
                <w:w w:val="105"/>
                <w:sz w:val="18"/>
              </w:rPr>
              <w:t>use</w:t>
            </w:r>
            <w:r>
              <w:rPr>
                <w:color w:val="105C84"/>
                <w:spacing w:val="-6"/>
                <w:w w:val="105"/>
                <w:sz w:val="18"/>
              </w:rPr>
              <w:t> </w:t>
            </w:r>
            <w:r>
              <w:rPr>
                <w:color w:val="105C84"/>
                <w:w w:val="105"/>
                <w:sz w:val="18"/>
              </w:rPr>
              <w:t>identified</w:t>
            </w:r>
            <w:r>
              <w:rPr>
                <w:color w:val="105C84"/>
                <w:spacing w:val="-6"/>
                <w:w w:val="105"/>
                <w:sz w:val="18"/>
              </w:rPr>
              <w:t> </w:t>
            </w:r>
            <w:r>
              <w:rPr>
                <w:color w:val="105C84"/>
                <w:w w:val="105"/>
                <w:sz w:val="18"/>
              </w:rPr>
              <w:t>in</w:t>
            </w:r>
            <w:r>
              <w:rPr>
                <w:color w:val="105C84"/>
                <w:spacing w:val="-6"/>
                <w:w w:val="105"/>
                <w:sz w:val="18"/>
              </w:rPr>
              <w:t> </w:t>
            </w:r>
            <w:r>
              <w:rPr>
                <w:color w:val="105C84"/>
                <w:w w:val="105"/>
                <w:sz w:val="18"/>
              </w:rPr>
              <w:t>2020</w:t>
            </w:r>
          </w:p>
          <w:p>
            <w:pPr>
              <w:pStyle w:val="TableParagraph"/>
              <w:spacing w:line="232" w:lineRule="auto" w:before="84"/>
              <w:ind w:left="87" w:right="163"/>
              <w:rPr>
                <w:sz w:val="18"/>
              </w:rPr>
            </w:pPr>
            <w:r>
              <w:rPr>
                <w:color w:val="105C84"/>
                <w:sz w:val="18"/>
              </w:rPr>
              <w:t>The prescription pad is a small</w:t>
            </w:r>
            <w:r>
              <w:rPr>
                <w:color w:val="105C84"/>
                <w:spacing w:val="-1"/>
                <w:sz w:val="18"/>
              </w:rPr>
              <w:t> </w:t>
            </w:r>
            <w:r>
              <w:rPr>
                <w:color w:val="105C84"/>
                <w:sz w:val="18"/>
              </w:rPr>
              <w:t>sheet</w:t>
            </w:r>
            <w:r>
              <w:rPr>
                <w:color w:val="105C84"/>
                <w:spacing w:val="-1"/>
                <w:sz w:val="18"/>
              </w:rPr>
              <w:t> </w:t>
            </w:r>
            <w:r>
              <w:rPr>
                <w:color w:val="105C84"/>
                <w:sz w:val="18"/>
              </w:rPr>
              <w:t>distributed</w:t>
            </w:r>
            <w:r>
              <w:rPr>
                <w:color w:val="105C84"/>
                <w:spacing w:val="-1"/>
                <w:sz w:val="18"/>
              </w:rPr>
              <w:t> </w:t>
            </w:r>
            <w:r>
              <w:rPr>
                <w:color w:val="105C84"/>
                <w:sz w:val="18"/>
              </w:rPr>
              <w:t>to providers’ offices which makes it convenient for them to check off the appropriate program(s)</w:t>
            </w:r>
          </w:p>
          <w:p>
            <w:pPr>
              <w:pStyle w:val="TableParagraph"/>
              <w:spacing w:line="232" w:lineRule="auto"/>
              <w:ind w:left="87" w:right="163"/>
              <w:rPr>
                <w:sz w:val="18"/>
              </w:rPr>
            </w:pPr>
            <w:r>
              <w:rPr>
                <w:color w:val="105C84"/>
                <w:w w:val="105"/>
                <w:sz w:val="18"/>
              </w:rPr>
              <w:t>for their patient, fill in their information</w:t>
            </w:r>
            <w:r>
              <w:rPr>
                <w:color w:val="105C84"/>
                <w:spacing w:val="-1"/>
                <w:w w:val="105"/>
                <w:sz w:val="18"/>
              </w:rPr>
              <w:t> </w:t>
            </w:r>
            <w:r>
              <w:rPr>
                <w:color w:val="105C84"/>
                <w:w w:val="105"/>
                <w:sz w:val="18"/>
              </w:rPr>
              <w:t>(including consent to share it), and then fax the form to the appropriate</w:t>
            </w:r>
            <w:r>
              <w:rPr>
                <w:color w:val="105C84"/>
                <w:spacing w:val="-14"/>
                <w:w w:val="105"/>
                <w:sz w:val="18"/>
              </w:rPr>
              <w:t> </w:t>
            </w:r>
            <w:r>
              <w:rPr>
                <w:color w:val="105C84"/>
                <w:w w:val="105"/>
                <w:sz w:val="18"/>
              </w:rPr>
              <w:t>agency</w:t>
            </w:r>
            <w:r>
              <w:rPr>
                <w:color w:val="105C84"/>
                <w:spacing w:val="-13"/>
                <w:w w:val="105"/>
                <w:sz w:val="18"/>
              </w:rPr>
              <w:t> </w:t>
            </w:r>
            <w:r>
              <w:rPr>
                <w:color w:val="105C84"/>
                <w:w w:val="105"/>
                <w:sz w:val="18"/>
              </w:rPr>
              <w:t>so</w:t>
            </w:r>
            <w:r>
              <w:rPr>
                <w:color w:val="105C84"/>
                <w:spacing w:val="-13"/>
                <w:w w:val="105"/>
                <w:sz w:val="18"/>
              </w:rPr>
              <w:t> </w:t>
            </w:r>
            <w:r>
              <w:rPr>
                <w:color w:val="105C84"/>
                <w:w w:val="105"/>
                <w:sz w:val="18"/>
              </w:rPr>
              <w:t>that </w:t>
            </w:r>
            <w:r>
              <w:rPr>
                <w:color w:val="105C84"/>
                <w:sz w:val="18"/>
              </w:rPr>
              <w:t>the agency with the service </w:t>
            </w:r>
            <w:r>
              <w:rPr>
                <w:color w:val="105C84"/>
                <w:spacing w:val="-2"/>
                <w:w w:val="105"/>
                <w:sz w:val="18"/>
              </w:rPr>
              <w:t>can</w:t>
            </w:r>
            <w:r>
              <w:rPr>
                <w:color w:val="105C84"/>
                <w:spacing w:val="-12"/>
                <w:w w:val="105"/>
                <w:sz w:val="18"/>
              </w:rPr>
              <w:t> </w:t>
            </w:r>
            <w:r>
              <w:rPr>
                <w:color w:val="105C84"/>
                <w:spacing w:val="-2"/>
                <w:w w:val="105"/>
                <w:sz w:val="18"/>
              </w:rPr>
              <w:t>reach</w:t>
            </w:r>
            <w:r>
              <w:rPr>
                <w:color w:val="105C84"/>
                <w:spacing w:val="-11"/>
                <w:w w:val="105"/>
                <w:sz w:val="18"/>
              </w:rPr>
              <w:t> </w:t>
            </w:r>
            <w:r>
              <w:rPr>
                <w:color w:val="105C84"/>
                <w:spacing w:val="-2"/>
                <w:w w:val="105"/>
                <w:sz w:val="18"/>
              </w:rPr>
              <w:t>out</w:t>
            </w:r>
            <w:r>
              <w:rPr>
                <w:color w:val="105C84"/>
                <w:spacing w:val="-11"/>
                <w:w w:val="105"/>
                <w:sz w:val="18"/>
              </w:rPr>
              <w:t> </w:t>
            </w:r>
            <w:r>
              <w:rPr>
                <w:color w:val="105C84"/>
                <w:spacing w:val="-2"/>
                <w:w w:val="105"/>
                <w:sz w:val="18"/>
              </w:rPr>
              <w:t>to</w:t>
            </w:r>
            <w:r>
              <w:rPr>
                <w:color w:val="105C84"/>
                <w:spacing w:val="-11"/>
                <w:w w:val="105"/>
                <w:sz w:val="18"/>
              </w:rPr>
              <w:t> </w:t>
            </w:r>
            <w:r>
              <w:rPr>
                <w:color w:val="105C84"/>
                <w:spacing w:val="-2"/>
                <w:w w:val="105"/>
                <w:sz w:val="18"/>
              </w:rPr>
              <w:t>the</w:t>
            </w:r>
            <w:r>
              <w:rPr>
                <w:color w:val="105C84"/>
                <w:spacing w:val="-11"/>
                <w:w w:val="105"/>
                <w:sz w:val="18"/>
              </w:rPr>
              <w:t> </w:t>
            </w:r>
            <w:r>
              <w:rPr>
                <w:color w:val="105C84"/>
                <w:spacing w:val="-2"/>
                <w:w w:val="105"/>
                <w:sz w:val="18"/>
              </w:rPr>
              <w:t>patient directly</w:t>
            </w:r>
          </w:p>
        </w:tc>
        <w:tc>
          <w:tcPr>
            <w:tcW w:w="1499" w:type="dxa"/>
          </w:tcPr>
          <w:p>
            <w:pPr>
              <w:pStyle w:val="TableParagraph"/>
              <w:spacing w:before="93"/>
              <w:ind w:left="86"/>
              <w:rPr>
                <w:sz w:val="18"/>
              </w:rPr>
            </w:pPr>
            <w:r>
              <w:rPr>
                <w:color w:val="105C84"/>
                <w:spacing w:val="-2"/>
                <w:sz w:val="18"/>
              </w:rPr>
              <w:t>Hospital</w:t>
            </w:r>
          </w:p>
        </w:tc>
        <w:tc>
          <w:tcPr>
            <w:tcW w:w="1321" w:type="dxa"/>
          </w:tcPr>
          <w:p>
            <w:pPr>
              <w:pStyle w:val="TableParagraph"/>
              <w:spacing w:line="232" w:lineRule="auto" w:before="98"/>
              <w:ind w:left="84" w:right="182"/>
              <w:rPr>
                <w:sz w:val="18"/>
              </w:rPr>
            </w:pPr>
            <w:r>
              <w:rPr>
                <w:color w:val="105C84"/>
                <w:sz w:val="18"/>
              </w:rPr>
              <w:t>For partner roles, see </w:t>
            </w:r>
            <w:r>
              <w:rPr>
                <w:color w:val="105C84"/>
                <w:spacing w:val="-2"/>
                <w:sz w:val="18"/>
              </w:rPr>
              <w:t>projected year</w:t>
            </w:r>
            <w:r>
              <w:rPr>
                <w:color w:val="105C84"/>
                <w:spacing w:val="-11"/>
                <w:sz w:val="18"/>
              </w:rPr>
              <w:t> </w:t>
            </w:r>
            <w:r>
              <w:rPr>
                <w:color w:val="105C84"/>
                <w:spacing w:val="-2"/>
                <w:sz w:val="18"/>
              </w:rPr>
              <w:t>2</w:t>
            </w:r>
            <w:r>
              <w:rPr>
                <w:color w:val="105C84"/>
                <w:spacing w:val="-10"/>
                <w:sz w:val="18"/>
              </w:rPr>
              <w:t> </w:t>
            </w:r>
            <w:r>
              <w:rPr>
                <w:color w:val="105C84"/>
                <w:spacing w:val="-2"/>
                <w:sz w:val="18"/>
              </w:rPr>
              <w:t>and</w:t>
            </w:r>
            <w:r>
              <w:rPr>
                <w:color w:val="105C84"/>
                <w:spacing w:val="-11"/>
                <w:sz w:val="18"/>
              </w:rPr>
              <w:t> </w:t>
            </w:r>
            <w:r>
              <w:rPr>
                <w:color w:val="105C84"/>
                <w:spacing w:val="-2"/>
                <w:sz w:val="18"/>
              </w:rPr>
              <w:t>3 columns</w:t>
            </w:r>
          </w:p>
          <w:p>
            <w:pPr>
              <w:pStyle w:val="TableParagraph"/>
              <w:spacing w:line="232" w:lineRule="auto" w:before="86"/>
              <w:ind w:left="84" w:right="159"/>
              <w:rPr>
                <w:sz w:val="18"/>
              </w:rPr>
            </w:pPr>
            <w:r>
              <w:rPr>
                <w:color w:val="105C84"/>
                <w:spacing w:val="-2"/>
                <w:sz w:val="18"/>
              </w:rPr>
              <w:t>Resources: coordination, </w:t>
            </w:r>
            <w:r>
              <w:rPr>
                <w:color w:val="105C84"/>
                <w:sz w:val="18"/>
              </w:rPr>
              <w:t>access to providers,</w:t>
            </w:r>
            <w:r>
              <w:rPr>
                <w:color w:val="105C84"/>
                <w:spacing w:val="-13"/>
                <w:sz w:val="18"/>
              </w:rPr>
              <w:t> </w:t>
            </w:r>
            <w:r>
              <w:rPr>
                <w:color w:val="105C84"/>
                <w:sz w:val="18"/>
              </w:rPr>
              <w:t>Rx </w:t>
            </w:r>
            <w:r>
              <w:rPr>
                <w:color w:val="105C84"/>
                <w:spacing w:val="-4"/>
                <w:sz w:val="18"/>
              </w:rPr>
              <w:t>pads</w:t>
            </w:r>
          </w:p>
        </w:tc>
      </w:tr>
      <w:tr>
        <w:trPr>
          <w:trHeight w:val="4820" w:hRule="atLeast"/>
        </w:trPr>
        <w:tc>
          <w:tcPr>
            <w:tcW w:w="1180" w:type="dxa"/>
            <w:vMerge/>
            <w:tcBorders>
              <w:top w:val="nil"/>
            </w:tcBorders>
            <w:shd w:val="clear" w:color="auto" w:fill="E6E7E8"/>
          </w:tcPr>
          <w:p>
            <w:pPr>
              <w:rPr>
                <w:sz w:val="2"/>
                <w:szCs w:val="2"/>
              </w:rPr>
            </w:pPr>
          </w:p>
        </w:tc>
        <w:tc>
          <w:tcPr>
            <w:tcW w:w="1296" w:type="dxa"/>
          </w:tcPr>
          <w:p>
            <w:pPr>
              <w:pStyle w:val="TableParagraph"/>
              <w:spacing w:line="232" w:lineRule="auto" w:before="98"/>
              <w:ind w:left="90" w:right="82"/>
              <w:rPr>
                <w:sz w:val="18"/>
              </w:rPr>
            </w:pPr>
            <w:r>
              <w:rPr>
                <w:color w:val="105C84"/>
                <w:sz w:val="18"/>
              </w:rPr>
              <w:t>Focus</w:t>
            </w:r>
            <w:r>
              <w:rPr>
                <w:color w:val="105C84"/>
                <w:spacing w:val="-15"/>
                <w:sz w:val="18"/>
              </w:rPr>
              <w:t> </w:t>
            </w:r>
            <w:r>
              <w:rPr>
                <w:color w:val="105C84"/>
                <w:sz w:val="18"/>
              </w:rPr>
              <w:t>Area</w:t>
            </w:r>
            <w:r>
              <w:rPr>
                <w:color w:val="105C84"/>
                <w:spacing w:val="-12"/>
                <w:sz w:val="18"/>
              </w:rPr>
              <w:t> </w:t>
            </w:r>
            <w:r>
              <w:rPr>
                <w:color w:val="105C84"/>
                <w:sz w:val="18"/>
              </w:rPr>
              <w:t>2: Mental and </w:t>
            </w:r>
            <w:r>
              <w:rPr>
                <w:color w:val="105C84"/>
                <w:spacing w:val="-2"/>
                <w:sz w:val="18"/>
              </w:rPr>
              <w:t>Substance </w:t>
            </w:r>
            <w:r>
              <w:rPr>
                <w:color w:val="105C84"/>
                <w:spacing w:val="-4"/>
                <w:sz w:val="18"/>
              </w:rPr>
              <w:t>Use</w:t>
            </w:r>
            <w:r>
              <w:rPr>
                <w:color w:val="105C84"/>
                <w:spacing w:val="-9"/>
                <w:sz w:val="18"/>
              </w:rPr>
              <w:t> </w:t>
            </w:r>
            <w:r>
              <w:rPr>
                <w:color w:val="105C84"/>
                <w:spacing w:val="-4"/>
                <w:sz w:val="18"/>
              </w:rPr>
              <w:t>Disorders </w:t>
            </w:r>
            <w:r>
              <w:rPr>
                <w:color w:val="105C84"/>
                <w:spacing w:val="-2"/>
                <w:sz w:val="18"/>
              </w:rPr>
              <w:t>Prevention</w:t>
            </w:r>
          </w:p>
        </w:tc>
        <w:tc>
          <w:tcPr>
            <w:tcW w:w="1267" w:type="dxa"/>
          </w:tcPr>
          <w:p>
            <w:pPr>
              <w:pStyle w:val="TableParagraph"/>
              <w:spacing w:line="232" w:lineRule="auto" w:before="98"/>
              <w:ind w:left="90" w:right="198"/>
              <w:rPr>
                <w:sz w:val="18"/>
              </w:rPr>
            </w:pPr>
            <w:r>
              <w:rPr>
                <w:color w:val="105C84"/>
                <w:sz w:val="18"/>
              </w:rPr>
              <w:t>Goal 2.3: </w:t>
            </w:r>
            <w:r>
              <w:rPr>
                <w:color w:val="105C84"/>
                <w:spacing w:val="-2"/>
                <w:sz w:val="18"/>
              </w:rPr>
              <w:t>Prevent</w:t>
            </w:r>
            <w:r>
              <w:rPr>
                <w:color w:val="105C84"/>
                <w:spacing w:val="-11"/>
                <w:sz w:val="18"/>
              </w:rPr>
              <w:t> </w:t>
            </w:r>
            <w:r>
              <w:rPr>
                <w:color w:val="105C84"/>
                <w:spacing w:val="-2"/>
                <w:sz w:val="18"/>
              </w:rPr>
              <w:t>and address adverse childhood experiences (ACES)</w:t>
            </w:r>
          </w:p>
        </w:tc>
        <w:tc>
          <w:tcPr>
            <w:tcW w:w="1325" w:type="dxa"/>
          </w:tcPr>
          <w:p>
            <w:pPr>
              <w:pStyle w:val="TableParagraph"/>
              <w:spacing w:line="232" w:lineRule="auto" w:before="98"/>
              <w:ind w:left="90" w:right="128"/>
              <w:rPr>
                <w:sz w:val="18"/>
              </w:rPr>
            </w:pPr>
            <w:r>
              <w:rPr>
                <w:color w:val="105C84"/>
                <w:spacing w:val="-6"/>
                <w:sz w:val="18"/>
              </w:rPr>
              <w:t>2.3.3</w:t>
            </w:r>
            <w:r>
              <w:rPr>
                <w:color w:val="105C84"/>
                <w:spacing w:val="-7"/>
                <w:sz w:val="18"/>
              </w:rPr>
              <w:t> </w:t>
            </w:r>
            <w:r>
              <w:rPr>
                <w:color w:val="105C84"/>
                <w:spacing w:val="-6"/>
                <w:sz w:val="18"/>
              </w:rPr>
              <w:t>Increas</w:t>
            </w:r>
            <w:r>
              <w:rPr>
                <w:color w:val="105C84"/>
                <w:spacing w:val="-6"/>
                <w:sz w:val="18"/>
              </w:rPr>
              <w:t>e</w:t>
            </w:r>
            <w:r>
              <w:rPr>
                <w:color w:val="105C84"/>
                <w:spacing w:val="-6"/>
                <w:sz w:val="18"/>
              </w:rPr>
              <w:t> </w:t>
            </w:r>
            <w:r>
              <w:rPr>
                <w:color w:val="105C84"/>
                <w:spacing w:val="-2"/>
                <w:sz w:val="18"/>
              </w:rPr>
              <w:t>communities </w:t>
            </w:r>
            <w:r>
              <w:rPr>
                <w:color w:val="105C84"/>
                <w:sz w:val="18"/>
              </w:rPr>
              <w:t>reached by </w:t>
            </w:r>
            <w:r>
              <w:rPr>
                <w:color w:val="105C84"/>
                <w:spacing w:val="-2"/>
                <w:sz w:val="18"/>
              </w:rPr>
              <w:t>opportunities </w:t>
            </w:r>
            <w:r>
              <w:rPr>
                <w:color w:val="105C84"/>
                <w:sz w:val="18"/>
              </w:rPr>
              <w:t>to build </w:t>
            </w:r>
            <w:r>
              <w:rPr>
                <w:color w:val="105C84"/>
                <w:spacing w:val="-2"/>
                <w:sz w:val="18"/>
              </w:rPr>
              <w:t>resilience</w:t>
            </w:r>
          </w:p>
        </w:tc>
        <w:tc>
          <w:tcPr>
            <w:tcW w:w="1354" w:type="dxa"/>
          </w:tcPr>
          <w:p>
            <w:pPr>
              <w:pStyle w:val="TableParagraph"/>
              <w:rPr>
                <w:rFonts w:ascii="Times New Roman"/>
                <w:sz w:val="18"/>
              </w:rPr>
            </w:pPr>
          </w:p>
        </w:tc>
        <w:tc>
          <w:tcPr>
            <w:tcW w:w="1930" w:type="dxa"/>
          </w:tcPr>
          <w:p>
            <w:pPr>
              <w:pStyle w:val="TableParagraph"/>
              <w:spacing w:line="232" w:lineRule="auto" w:before="98"/>
              <w:ind w:left="89" w:right="287"/>
              <w:rPr>
                <w:sz w:val="18"/>
              </w:rPr>
            </w:pPr>
            <w:r>
              <w:rPr>
                <w:color w:val="105C84"/>
                <w:sz w:val="18"/>
              </w:rPr>
              <w:t>Intervention 2.3.3: grow resilient </w:t>
            </w:r>
            <w:r>
              <w:rPr>
                <w:color w:val="105C84"/>
                <w:spacing w:val="-2"/>
                <w:sz w:val="18"/>
              </w:rPr>
              <w:t>communities </w:t>
            </w:r>
            <w:r>
              <w:rPr>
                <w:color w:val="105C84"/>
                <w:sz w:val="18"/>
              </w:rPr>
              <w:t>through</w:t>
            </w:r>
            <w:r>
              <w:rPr>
                <w:color w:val="105C84"/>
                <w:spacing w:val="-1"/>
                <w:sz w:val="18"/>
              </w:rPr>
              <w:t> </w:t>
            </w:r>
            <w:r>
              <w:rPr>
                <w:color w:val="105C84"/>
                <w:sz w:val="18"/>
              </w:rPr>
              <w:t>education, </w:t>
            </w:r>
            <w:r>
              <w:rPr>
                <w:color w:val="105C84"/>
                <w:spacing w:val="-2"/>
                <w:sz w:val="18"/>
              </w:rPr>
              <w:t>engagement, activation/ </w:t>
            </w:r>
            <w:r>
              <w:rPr>
                <w:color w:val="105C84"/>
                <w:sz w:val="18"/>
              </w:rPr>
              <w:t>mobilization and </w:t>
            </w:r>
            <w:r>
              <w:rPr>
                <w:color w:val="105C84"/>
                <w:spacing w:val="-2"/>
                <w:sz w:val="18"/>
              </w:rPr>
              <w:t>celebration</w:t>
            </w:r>
          </w:p>
        </w:tc>
        <w:tc>
          <w:tcPr>
            <w:tcW w:w="6452" w:type="dxa"/>
          </w:tcPr>
          <w:p>
            <w:pPr>
              <w:pStyle w:val="TableParagraph"/>
              <w:tabs>
                <w:tab w:pos="3880" w:val="left" w:leader="none"/>
              </w:tabs>
              <w:spacing w:line="203" w:lineRule="exact" w:before="93"/>
              <w:ind w:left="89"/>
              <w:rPr>
                <w:sz w:val="18"/>
              </w:rPr>
            </w:pPr>
            <w:r>
              <w:rPr>
                <w:color w:val="105C84"/>
                <w:spacing w:val="-4"/>
                <w:sz w:val="18"/>
              </w:rPr>
              <w:t>Assistance</w:t>
            </w:r>
            <w:r>
              <w:rPr>
                <w:color w:val="105C84"/>
                <w:spacing w:val="1"/>
                <w:sz w:val="18"/>
              </w:rPr>
              <w:t> </w:t>
            </w:r>
            <w:r>
              <w:rPr>
                <w:color w:val="105C84"/>
                <w:spacing w:val="-2"/>
                <w:sz w:val="18"/>
              </w:rPr>
              <w:t>provided,</w:t>
            </w:r>
            <w:r>
              <w:rPr>
                <w:color w:val="105C84"/>
                <w:sz w:val="18"/>
              </w:rPr>
              <w:tab/>
              <w:t>Public</w:t>
            </w:r>
            <w:r>
              <w:rPr>
                <w:color w:val="105C84"/>
                <w:spacing w:val="-7"/>
                <w:sz w:val="18"/>
              </w:rPr>
              <w:t> </w:t>
            </w:r>
            <w:r>
              <w:rPr>
                <w:color w:val="105C84"/>
                <w:sz w:val="18"/>
              </w:rPr>
              <w:t>health</w:t>
            </w:r>
            <w:r>
              <w:rPr>
                <w:color w:val="105C84"/>
                <w:spacing w:val="-7"/>
                <w:sz w:val="18"/>
              </w:rPr>
              <w:t> </w:t>
            </w:r>
            <w:r>
              <w:rPr>
                <w:color w:val="105C84"/>
                <w:sz w:val="18"/>
              </w:rPr>
              <w:t>and</w:t>
            </w:r>
            <w:r>
              <w:rPr>
                <w:color w:val="105C84"/>
                <w:spacing w:val="-6"/>
                <w:sz w:val="18"/>
              </w:rPr>
              <w:t> </w:t>
            </w:r>
            <w:r>
              <w:rPr>
                <w:color w:val="105C84"/>
                <w:sz w:val="18"/>
              </w:rPr>
              <w:t>partners</w:t>
            </w:r>
            <w:r>
              <w:rPr>
                <w:color w:val="105C84"/>
                <w:spacing w:val="-7"/>
                <w:sz w:val="18"/>
              </w:rPr>
              <w:t> </w:t>
            </w:r>
            <w:r>
              <w:rPr>
                <w:color w:val="105C84"/>
                <w:spacing w:val="-5"/>
                <w:sz w:val="18"/>
              </w:rPr>
              <w:t>to</w:t>
            </w:r>
          </w:p>
          <w:p>
            <w:pPr>
              <w:pStyle w:val="TableParagraph"/>
              <w:tabs>
                <w:tab w:pos="3880" w:val="left" w:leader="none"/>
              </w:tabs>
              <w:spacing w:line="232" w:lineRule="auto" w:before="1"/>
              <w:ind w:left="3880" w:right="170" w:hanging="3791"/>
              <w:rPr>
                <w:sz w:val="18"/>
              </w:rPr>
            </w:pPr>
            <w:r>
              <w:rPr>
                <w:color w:val="105C84"/>
                <w:sz w:val="18"/>
              </w:rPr>
              <w:t>funding awarded</w:t>
              <w:tab/>
              <w:t>support school application </w:t>
            </w:r>
            <w:r>
              <w:rPr>
                <w:color w:val="105C84"/>
                <w:sz w:val="18"/>
              </w:rPr>
              <w:t>for a tier 3 wrap and renew grant impacting children in 5th-8th </w:t>
            </w:r>
            <w:r>
              <w:rPr>
                <w:color w:val="105C84"/>
                <w:spacing w:val="-2"/>
                <w:sz w:val="18"/>
              </w:rPr>
              <w:t>grade</w:t>
            </w:r>
          </w:p>
          <w:p>
            <w:pPr>
              <w:pStyle w:val="TableParagraph"/>
              <w:spacing w:line="232" w:lineRule="auto" w:before="87"/>
              <w:ind w:left="3880" w:right="131"/>
              <w:rPr>
                <w:sz w:val="18"/>
              </w:rPr>
            </w:pPr>
            <w:r>
              <w:rPr>
                <w:color w:val="105C84"/>
                <w:sz w:val="18"/>
              </w:rPr>
              <w:t>RENEW focuses specifically</w:t>
            </w:r>
            <w:r>
              <w:rPr>
                <w:color w:val="105C84"/>
                <w:sz w:val="18"/>
              </w:rPr>
              <w:t> on increasing effective school engagement, employment, post-secondary</w:t>
            </w:r>
            <w:r>
              <w:rPr>
                <w:color w:val="105C84"/>
                <w:spacing w:val="-11"/>
                <w:sz w:val="18"/>
              </w:rPr>
              <w:t> </w:t>
            </w:r>
            <w:r>
              <w:rPr>
                <w:color w:val="105C84"/>
                <w:sz w:val="18"/>
              </w:rPr>
              <w:t>education</w:t>
            </w:r>
            <w:r>
              <w:rPr>
                <w:color w:val="105C84"/>
                <w:spacing w:val="-11"/>
                <w:sz w:val="18"/>
              </w:rPr>
              <w:t> </w:t>
            </w:r>
            <w:r>
              <w:rPr>
                <w:color w:val="105C84"/>
                <w:sz w:val="18"/>
              </w:rPr>
              <w:t>and high school completion</w:t>
            </w:r>
          </w:p>
          <w:p>
            <w:pPr>
              <w:pStyle w:val="TableParagraph"/>
              <w:spacing w:line="232" w:lineRule="auto" w:before="86"/>
              <w:ind w:left="3880" w:right="170"/>
              <w:rPr>
                <w:sz w:val="18"/>
              </w:rPr>
            </w:pPr>
            <w:r>
              <w:rPr>
                <w:color w:val="105C84"/>
                <w:sz w:val="18"/>
              </w:rPr>
              <w:t>RENEW</w:t>
            </w:r>
            <w:r>
              <w:rPr>
                <w:color w:val="105C84"/>
                <w:spacing w:val="-1"/>
                <w:sz w:val="18"/>
              </w:rPr>
              <w:t> </w:t>
            </w:r>
            <w:r>
              <w:rPr>
                <w:color w:val="105C84"/>
                <w:sz w:val="18"/>
              </w:rPr>
              <w:t>has</w:t>
            </w:r>
            <w:r>
              <w:rPr>
                <w:color w:val="105C84"/>
                <w:spacing w:val="-1"/>
                <w:sz w:val="18"/>
              </w:rPr>
              <w:t> </w:t>
            </w:r>
            <w:r>
              <w:rPr>
                <w:color w:val="105C84"/>
                <w:sz w:val="18"/>
              </w:rPr>
              <w:t>shown</w:t>
            </w:r>
            <w:r>
              <w:rPr>
                <w:color w:val="105C84"/>
                <w:spacing w:val="-1"/>
                <w:sz w:val="18"/>
              </w:rPr>
              <w:t> </w:t>
            </w:r>
            <w:r>
              <w:rPr>
                <w:color w:val="105C84"/>
                <w:sz w:val="18"/>
              </w:rPr>
              <w:t>success in reducing school dropout and school push out, while increasing high school participation and </w:t>
            </w:r>
            <w:r>
              <w:rPr>
                <w:color w:val="105C84"/>
                <w:sz w:val="18"/>
              </w:rPr>
              <w:t>completion for students with emotional and behavioral challenges–</w:t>
            </w:r>
            <w:r>
              <w:rPr>
                <w:color w:val="105C84"/>
                <w:spacing w:val="-2"/>
                <w:sz w:val="18"/>
              </w:rPr>
              <w:t>midwestpbis.org</w:t>
            </w:r>
          </w:p>
          <w:p>
            <w:pPr>
              <w:pStyle w:val="TableParagraph"/>
              <w:spacing w:line="232" w:lineRule="auto" w:before="84"/>
              <w:ind w:left="3880" w:right="271"/>
              <w:rPr>
                <w:sz w:val="18"/>
              </w:rPr>
            </w:pPr>
            <w:r>
              <w:rPr>
                <w:color w:val="105C84"/>
                <w:sz w:val="18"/>
              </w:rPr>
              <w:t>Support</w:t>
            </w:r>
            <w:r>
              <w:rPr>
                <w:color w:val="105C84"/>
                <w:spacing w:val="-7"/>
                <w:sz w:val="18"/>
              </w:rPr>
              <w:t> </w:t>
            </w:r>
            <w:r>
              <w:rPr>
                <w:color w:val="105C84"/>
                <w:sz w:val="18"/>
              </w:rPr>
              <w:t>may</w:t>
            </w:r>
            <w:r>
              <w:rPr>
                <w:color w:val="105C84"/>
                <w:spacing w:val="-7"/>
                <w:sz w:val="18"/>
              </w:rPr>
              <w:t> </w:t>
            </w:r>
            <w:r>
              <w:rPr>
                <w:color w:val="105C84"/>
                <w:sz w:val="18"/>
              </w:rPr>
              <w:t>include</w:t>
            </w:r>
            <w:r>
              <w:rPr>
                <w:color w:val="105C84"/>
                <w:spacing w:val="-7"/>
                <w:sz w:val="18"/>
              </w:rPr>
              <w:t> </w:t>
            </w:r>
            <w:r>
              <w:rPr>
                <w:color w:val="105C84"/>
                <w:sz w:val="18"/>
              </w:rPr>
              <w:t>letters of support and/or technical assistance on the grant </w:t>
            </w:r>
            <w:r>
              <w:rPr>
                <w:color w:val="105C84"/>
                <w:spacing w:val="-2"/>
                <w:sz w:val="18"/>
              </w:rPr>
              <w:t>application</w:t>
            </w:r>
          </w:p>
        </w:tc>
        <w:tc>
          <w:tcPr>
            <w:tcW w:w="2190" w:type="dxa"/>
          </w:tcPr>
          <w:p>
            <w:pPr>
              <w:pStyle w:val="TableParagraph"/>
              <w:rPr>
                <w:rFonts w:ascii="Times New Roman"/>
                <w:sz w:val="18"/>
              </w:rPr>
            </w:pPr>
          </w:p>
        </w:tc>
        <w:tc>
          <w:tcPr>
            <w:tcW w:w="2478" w:type="dxa"/>
          </w:tcPr>
          <w:p>
            <w:pPr>
              <w:pStyle w:val="TableParagraph"/>
              <w:rPr>
                <w:rFonts w:ascii="Times New Roman"/>
                <w:sz w:val="18"/>
              </w:rPr>
            </w:pPr>
          </w:p>
        </w:tc>
        <w:tc>
          <w:tcPr>
            <w:tcW w:w="1499" w:type="dxa"/>
          </w:tcPr>
          <w:p>
            <w:pPr>
              <w:pStyle w:val="TableParagraph"/>
              <w:spacing w:before="92"/>
              <w:ind w:left="86"/>
              <w:rPr>
                <w:sz w:val="18"/>
              </w:rPr>
            </w:pPr>
            <w:r>
              <w:rPr>
                <w:color w:val="105C84"/>
                <w:spacing w:val="-8"/>
                <w:sz w:val="18"/>
              </w:rPr>
              <w:t>K-12</w:t>
            </w:r>
            <w:r>
              <w:rPr>
                <w:color w:val="105C84"/>
                <w:spacing w:val="1"/>
                <w:sz w:val="18"/>
              </w:rPr>
              <w:t> </w:t>
            </w:r>
            <w:r>
              <w:rPr>
                <w:color w:val="105C84"/>
                <w:spacing w:val="-8"/>
                <w:sz w:val="18"/>
              </w:rPr>
              <w:t>School</w:t>
            </w:r>
          </w:p>
        </w:tc>
        <w:tc>
          <w:tcPr>
            <w:tcW w:w="1321" w:type="dxa"/>
          </w:tcPr>
          <w:p>
            <w:pPr>
              <w:pStyle w:val="TableParagraph"/>
              <w:spacing w:line="232" w:lineRule="auto" w:before="97"/>
              <w:ind w:left="84" w:right="109"/>
              <w:rPr>
                <w:sz w:val="18"/>
              </w:rPr>
            </w:pPr>
            <w:r>
              <w:rPr>
                <w:color w:val="105C84"/>
                <w:sz w:val="18"/>
              </w:rPr>
              <w:t>For partner roles, see </w:t>
            </w:r>
            <w:r>
              <w:rPr>
                <w:color w:val="105C84"/>
                <w:spacing w:val="-2"/>
                <w:sz w:val="18"/>
              </w:rPr>
              <w:t>projected</w:t>
            </w:r>
            <w:r>
              <w:rPr>
                <w:color w:val="105C84"/>
                <w:spacing w:val="40"/>
                <w:sz w:val="18"/>
              </w:rPr>
              <w:t> </w:t>
            </w:r>
            <w:r>
              <w:rPr>
                <w:color w:val="105C84"/>
                <w:sz w:val="18"/>
              </w:rPr>
              <w:t>year</w:t>
            </w:r>
            <w:r>
              <w:rPr>
                <w:color w:val="105C84"/>
                <w:spacing w:val="-15"/>
                <w:sz w:val="18"/>
              </w:rPr>
              <w:t> </w:t>
            </w:r>
            <w:r>
              <w:rPr>
                <w:color w:val="105C84"/>
                <w:sz w:val="18"/>
              </w:rPr>
              <w:t>1</w:t>
            </w:r>
            <w:r>
              <w:rPr>
                <w:color w:val="105C84"/>
                <w:spacing w:val="-12"/>
                <w:sz w:val="18"/>
              </w:rPr>
              <w:t> </w:t>
            </w:r>
            <w:r>
              <w:rPr>
                <w:color w:val="105C84"/>
                <w:sz w:val="18"/>
              </w:rPr>
              <w:t>column</w:t>
            </w:r>
          </w:p>
          <w:p>
            <w:pPr>
              <w:pStyle w:val="TableParagraph"/>
              <w:spacing w:line="232" w:lineRule="auto" w:before="87"/>
              <w:ind w:left="84" w:right="109"/>
              <w:rPr>
                <w:sz w:val="18"/>
              </w:rPr>
            </w:pPr>
            <w:r>
              <w:rPr>
                <w:color w:val="105C84"/>
                <w:spacing w:val="-2"/>
                <w:sz w:val="18"/>
              </w:rPr>
              <w:t>Resources: collaboration, </w:t>
            </w:r>
            <w:r>
              <w:rPr>
                <w:color w:val="105C84"/>
                <w:spacing w:val="-4"/>
                <w:sz w:val="18"/>
              </w:rPr>
              <w:t>data</w:t>
            </w:r>
          </w:p>
        </w:tc>
      </w:tr>
    </w:tbl>
    <w:p>
      <w:pPr>
        <w:pStyle w:val="BodyText"/>
        <w:rPr>
          <w:b/>
          <w:sz w:val="26"/>
        </w:rPr>
      </w:pPr>
    </w:p>
    <w:p>
      <w:pPr>
        <w:pStyle w:val="BodyText"/>
        <w:spacing w:before="234"/>
        <w:rPr>
          <w:b/>
          <w:sz w:val="26"/>
        </w:rPr>
      </w:pPr>
    </w:p>
    <w:p>
      <w:pPr>
        <w:tabs>
          <w:tab w:pos="23047" w:val="left" w:leader="none"/>
        </w:tabs>
        <w:spacing w:before="0"/>
        <w:ind w:left="0" w:right="0" w:firstLine="0"/>
        <w:jc w:val="left"/>
        <w:rPr>
          <w:b/>
          <w:sz w:val="26"/>
        </w:rPr>
      </w:pPr>
      <w:r>
        <w:rPr>
          <w:position w:val="-4"/>
        </w:rPr>
        <w:drawing>
          <wp:inline distT="0" distB="0" distL="0" distR="0">
            <wp:extent cx="568172" cy="184683"/>
            <wp:effectExtent l="0" t="0" r="0" b="0"/>
            <wp:docPr id="2076" name="Image 2076"/>
            <wp:cNvGraphicFramePr>
              <a:graphicFrameLocks/>
            </wp:cNvGraphicFramePr>
            <a:graphic>
              <a:graphicData uri="http://schemas.openxmlformats.org/drawingml/2006/picture">
                <pic:pic>
                  <pic:nvPicPr>
                    <pic:cNvPr id="2076" name="Image 2076"/>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13"/>
          <w:sz w:val="20"/>
        </w:rPr>
        <w:t> </w:t>
      </w:r>
      <w:r>
        <w:rPr>
          <w:b/>
          <w:color w:val="939598"/>
          <w:w w:val="105"/>
          <w:sz w:val="26"/>
        </w:rPr>
        <w:t>237</w:t>
      </w:r>
      <w:r>
        <w:rPr>
          <w:b/>
          <w:color w:val="939598"/>
          <w:sz w:val="26"/>
        </w:rPr>
        <w:tab/>
      </w:r>
      <w:r>
        <w:rPr>
          <w:b/>
          <w:color w:val="939598"/>
          <w:spacing w:val="-5"/>
          <w:w w:val="105"/>
          <w:sz w:val="26"/>
        </w:rPr>
        <w:t>238</w:t>
      </w:r>
    </w:p>
    <w:p>
      <w:pPr>
        <w:spacing w:after="0"/>
        <w:jc w:val="left"/>
        <w:rPr>
          <w:b/>
          <w:sz w:val="26"/>
        </w:rPr>
        <w:sectPr>
          <w:pgSz w:w="24480" w:h="15840" w:orient="landscape"/>
          <w:pgMar w:header="0" w:footer="0" w:top="860" w:bottom="0" w:left="0" w:right="720"/>
        </w:sectPr>
      </w:pPr>
    </w:p>
    <w:p>
      <w:pPr>
        <w:spacing w:before="609"/>
        <w:ind w:left="1089" w:right="0" w:firstLine="0"/>
        <w:jc w:val="left"/>
        <w:rPr>
          <w:sz w:val="54"/>
        </w:rPr>
      </w:pPr>
      <w:r>
        <w:rPr>
          <w:sz w:val="54"/>
        </w:rPr>
        <w:drawing>
          <wp:anchor distT="0" distB="0" distL="0" distR="0" allowOverlap="1" layoutInCell="1" locked="0" behindDoc="0" simplePos="0" relativeHeight="16049152">
            <wp:simplePos x="0" y="0"/>
            <wp:positionH relativeFrom="page">
              <wp:posOffset>14299183</wp:posOffset>
            </wp:positionH>
            <wp:positionV relativeFrom="paragraph">
              <wp:posOffset>345947</wp:posOffset>
            </wp:positionV>
            <wp:extent cx="620268" cy="568578"/>
            <wp:effectExtent l="0" t="0" r="0" b="0"/>
            <wp:wrapNone/>
            <wp:docPr id="2077" name="Image 2077"/>
            <wp:cNvGraphicFramePr>
              <a:graphicFrameLocks/>
            </wp:cNvGraphicFramePr>
            <a:graphic>
              <a:graphicData uri="http://schemas.openxmlformats.org/drawingml/2006/picture">
                <pic:pic>
                  <pic:nvPicPr>
                    <pic:cNvPr id="2077" name="Image 2077"/>
                    <pic:cNvPicPr/>
                  </pic:nvPicPr>
                  <pic:blipFill>
                    <a:blip r:embed="rId265" cstate="print"/>
                    <a:stretch>
                      <a:fillRect/>
                    </a:stretch>
                  </pic:blipFill>
                  <pic:spPr>
                    <a:xfrm>
                      <a:off x="0" y="0"/>
                      <a:ext cx="620268" cy="568578"/>
                    </a:xfrm>
                    <a:prstGeom prst="rect">
                      <a:avLst/>
                    </a:prstGeom>
                  </pic:spPr>
                </pic:pic>
              </a:graphicData>
            </a:graphic>
          </wp:anchor>
        </w:drawing>
      </w:r>
      <w:r>
        <w:rPr>
          <w:sz w:val="54"/>
        </w:rPr>
        <w:drawing>
          <wp:anchor distT="0" distB="0" distL="0" distR="0" allowOverlap="1" layoutInCell="1" locked="0" behindDoc="0" simplePos="0" relativeHeight="16049664">
            <wp:simplePos x="0" y="0"/>
            <wp:positionH relativeFrom="page">
              <wp:posOffset>14981556</wp:posOffset>
            </wp:positionH>
            <wp:positionV relativeFrom="page">
              <wp:posOffset>9668103</wp:posOffset>
            </wp:positionV>
            <wp:extent cx="563245" cy="184683"/>
            <wp:effectExtent l="0" t="0" r="0" b="0"/>
            <wp:wrapNone/>
            <wp:docPr id="2078" name="Image 2078"/>
            <wp:cNvGraphicFramePr>
              <a:graphicFrameLocks/>
            </wp:cNvGraphicFramePr>
            <a:graphic>
              <a:graphicData uri="http://schemas.openxmlformats.org/drawingml/2006/picture">
                <pic:pic>
                  <pic:nvPicPr>
                    <pic:cNvPr id="2078" name="Image 2078"/>
                    <pic:cNvPicPr/>
                  </pic:nvPicPr>
                  <pic:blipFill>
                    <a:blip r:embed="rId38" cstate="print"/>
                    <a:stretch>
                      <a:fillRect/>
                    </a:stretch>
                  </pic:blipFill>
                  <pic:spPr>
                    <a:xfrm>
                      <a:off x="0" y="0"/>
                      <a:ext cx="563245" cy="184683"/>
                    </a:xfrm>
                    <a:prstGeom prst="rect">
                      <a:avLst/>
                    </a:prstGeom>
                  </pic:spPr>
                </pic:pic>
              </a:graphicData>
            </a:graphic>
          </wp:anchor>
        </w:drawing>
      </w:r>
      <w:r>
        <w:rPr>
          <w:sz w:val="54"/>
        </w:rPr>
        <w:drawing>
          <wp:anchor distT="0" distB="0" distL="0" distR="0" allowOverlap="1" layoutInCell="1" locked="0" behindDoc="0" simplePos="0" relativeHeight="16050176">
            <wp:simplePos x="0" y="0"/>
            <wp:positionH relativeFrom="page">
              <wp:posOffset>13372084</wp:posOffset>
            </wp:positionH>
            <wp:positionV relativeFrom="paragraph">
              <wp:posOffset>365759</wp:posOffset>
            </wp:positionV>
            <wp:extent cx="728345" cy="366522"/>
            <wp:effectExtent l="0" t="0" r="0" b="0"/>
            <wp:wrapNone/>
            <wp:docPr id="2079" name="Image 2079"/>
            <wp:cNvGraphicFramePr>
              <a:graphicFrameLocks/>
            </wp:cNvGraphicFramePr>
            <a:graphic>
              <a:graphicData uri="http://schemas.openxmlformats.org/drawingml/2006/picture">
                <pic:pic>
                  <pic:nvPicPr>
                    <pic:cNvPr id="2079" name="Image 2079"/>
                    <pic:cNvPicPr/>
                  </pic:nvPicPr>
                  <pic:blipFill>
                    <a:blip r:embed="rId266" cstate="print"/>
                    <a:stretch>
                      <a:fillRect/>
                    </a:stretch>
                  </pic:blipFill>
                  <pic:spPr>
                    <a:xfrm>
                      <a:off x="0" y="0"/>
                      <a:ext cx="728345" cy="366522"/>
                    </a:xfrm>
                    <a:prstGeom prst="rect">
                      <a:avLst/>
                    </a:prstGeom>
                  </pic:spPr>
                </pic:pic>
              </a:graphicData>
            </a:graphic>
          </wp:anchor>
        </w:drawing>
      </w:r>
      <w:r>
        <w:rPr>
          <w:color w:val="636466"/>
          <w:sz w:val="54"/>
        </w:rPr>
        <w:t>Wayne</w:t>
      </w:r>
      <w:r>
        <w:rPr>
          <w:color w:val="636466"/>
          <w:spacing w:val="37"/>
          <w:sz w:val="54"/>
        </w:rPr>
        <w:t> </w:t>
      </w:r>
      <w:r>
        <w:rPr>
          <w:color w:val="636466"/>
          <w:sz w:val="54"/>
        </w:rPr>
        <w:t>County</w:t>
      </w:r>
      <w:r>
        <w:rPr>
          <w:color w:val="636466"/>
          <w:spacing w:val="38"/>
          <w:sz w:val="54"/>
        </w:rPr>
        <w:t> </w:t>
      </w:r>
      <w:r>
        <w:rPr>
          <w:color w:val="636466"/>
          <w:sz w:val="54"/>
        </w:rPr>
        <w:t>Appendix</w:t>
      </w:r>
      <w:r>
        <w:rPr>
          <w:color w:val="636466"/>
          <w:spacing w:val="38"/>
          <w:sz w:val="54"/>
        </w:rPr>
        <w:t> </w:t>
      </w:r>
      <w:r>
        <w:rPr>
          <w:color w:val="636466"/>
          <w:spacing w:val="-10"/>
          <w:sz w:val="54"/>
        </w:rPr>
        <w:t>G</w:t>
      </w:r>
    </w:p>
    <w:p>
      <w:pPr>
        <w:spacing w:line="247" w:lineRule="auto" w:before="236"/>
        <w:ind w:left="1089" w:right="13013" w:firstLine="0"/>
        <w:jc w:val="left"/>
        <w:rPr>
          <w:b/>
          <w:sz w:val="32"/>
        </w:rPr>
      </w:pPr>
      <w:r>
        <w:rPr>
          <w:b/>
          <w:color w:val="82BF6A"/>
          <w:spacing w:val="-4"/>
          <w:sz w:val="32"/>
        </w:rPr>
        <w:t>PRIORITY:</w:t>
      </w:r>
      <w:r>
        <w:rPr>
          <w:b/>
          <w:color w:val="82BF6A"/>
          <w:spacing w:val="-19"/>
          <w:sz w:val="32"/>
        </w:rPr>
        <w:t> </w:t>
      </w:r>
      <w:r>
        <w:rPr>
          <w:b/>
          <w:color w:val="82BF6A"/>
          <w:spacing w:val="-4"/>
          <w:sz w:val="32"/>
        </w:rPr>
        <w:t>PROMOTE</w:t>
      </w:r>
      <w:r>
        <w:rPr>
          <w:b/>
          <w:color w:val="82BF6A"/>
          <w:spacing w:val="-18"/>
          <w:sz w:val="32"/>
        </w:rPr>
        <w:t> </w:t>
      </w:r>
      <w:r>
        <w:rPr>
          <w:b/>
          <w:color w:val="82BF6A"/>
          <w:spacing w:val="-4"/>
          <w:sz w:val="32"/>
        </w:rPr>
        <w:t>WELL-BEING</w:t>
      </w:r>
      <w:r>
        <w:rPr>
          <w:b/>
          <w:color w:val="82BF6A"/>
          <w:spacing w:val="-18"/>
          <w:sz w:val="32"/>
        </w:rPr>
        <w:t> </w:t>
      </w:r>
      <w:r>
        <w:rPr>
          <w:b/>
          <w:color w:val="82BF6A"/>
          <w:spacing w:val="-4"/>
          <w:sz w:val="32"/>
        </w:rPr>
        <w:t>AND</w:t>
      </w:r>
      <w:r>
        <w:rPr>
          <w:b/>
          <w:color w:val="82BF6A"/>
          <w:spacing w:val="-18"/>
          <w:sz w:val="32"/>
        </w:rPr>
        <w:t> </w:t>
      </w:r>
      <w:r>
        <w:rPr>
          <w:b/>
          <w:color w:val="82BF6A"/>
          <w:spacing w:val="-4"/>
          <w:sz w:val="32"/>
        </w:rPr>
        <w:t>PREVENT</w:t>
      </w:r>
      <w:r>
        <w:rPr>
          <w:b/>
          <w:color w:val="82BF6A"/>
          <w:spacing w:val="-19"/>
          <w:sz w:val="32"/>
        </w:rPr>
        <w:t> </w:t>
      </w:r>
      <w:r>
        <w:rPr>
          <w:b/>
          <w:color w:val="82BF6A"/>
          <w:spacing w:val="-4"/>
          <w:sz w:val="32"/>
        </w:rPr>
        <w:t>MENTAL </w:t>
      </w:r>
      <w:r>
        <w:rPr>
          <w:b/>
          <w:color w:val="82BF6A"/>
          <w:sz w:val="32"/>
        </w:rPr>
        <w:t>AND</w:t>
      </w:r>
      <w:r>
        <w:rPr>
          <w:b/>
          <w:color w:val="82BF6A"/>
          <w:spacing w:val="-22"/>
          <w:sz w:val="32"/>
        </w:rPr>
        <w:t> </w:t>
      </w:r>
      <w:r>
        <w:rPr>
          <w:b/>
          <w:color w:val="82BF6A"/>
          <w:sz w:val="32"/>
        </w:rPr>
        <w:t>SUBSTANCE</w:t>
      </w:r>
      <w:r>
        <w:rPr>
          <w:b/>
          <w:color w:val="82BF6A"/>
          <w:spacing w:val="-22"/>
          <w:sz w:val="32"/>
        </w:rPr>
        <w:t> </w:t>
      </w:r>
      <w:r>
        <w:rPr>
          <w:b/>
          <w:color w:val="82BF6A"/>
          <w:sz w:val="32"/>
        </w:rPr>
        <w:t>USE</w:t>
      </w:r>
      <w:r>
        <w:rPr>
          <w:b/>
          <w:color w:val="82BF6A"/>
          <w:spacing w:val="-22"/>
          <w:sz w:val="32"/>
        </w:rPr>
        <w:t> </w:t>
      </w:r>
      <w:r>
        <w:rPr>
          <w:b/>
          <w:color w:val="82BF6A"/>
          <w:sz w:val="32"/>
        </w:rPr>
        <w:t>DISORDERS</w:t>
      </w:r>
    </w:p>
    <w:p>
      <w:pPr>
        <w:pStyle w:val="BodyText"/>
        <w:spacing w:before="152"/>
        <w:rPr>
          <w:b/>
          <w:sz w:val="20"/>
        </w:rPr>
      </w:pPr>
    </w:p>
    <w:tbl>
      <w:tblPr>
        <w:tblW w:w="0" w:type="auto"/>
        <w:jc w:val="left"/>
        <w:tblInd w:w="1099"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1180"/>
        <w:gridCol w:w="1296"/>
        <w:gridCol w:w="1267"/>
        <w:gridCol w:w="1325"/>
        <w:gridCol w:w="1354"/>
        <w:gridCol w:w="1700"/>
        <w:gridCol w:w="6366"/>
        <w:gridCol w:w="2190"/>
        <w:gridCol w:w="2478"/>
        <w:gridCol w:w="1499"/>
        <w:gridCol w:w="1552"/>
      </w:tblGrid>
      <w:tr>
        <w:trPr>
          <w:trHeight w:val="730" w:hRule="atLeast"/>
        </w:trPr>
        <w:tc>
          <w:tcPr>
            <w:tcW w:w="1180" w:type="dxa"/>
            <w:tcBorders>
              <w:right w:val="single" w:sz="4" w:space="0" w:color="FFFFFF"/>
            </w:tcBorders>
            <w:shd w:val="clear" w:color="auto" w:fill="A7A9AC"/>
          </w:tcPr>
          <w:p>
            <w:pPr>
              <w:pStyle w:val="TableParagraph"/>
              <w:spacing w:before="79"/>
              <w:rPr>
                <w:b/>
                <w:sz w:val="18"/>
              </w:rPr>
            </w:pPr>
          </w:p>
          <w:p>
            <w:pPr>
              <w:pStyle w:val="TableParagraph"/>
              <w:ind w:left="79"/>
              <w:rPr>
                <w:b/>
                <w:sz w:val="18"/>
              </w:rPr>
            </w:pPr>
            <w:r>
              <w:rPr>
                <w:b/>
                <w:color w:val="FFFFFF"/>
                <w:spacing w:val="-2"/>
                <w:sz w:val="18"/>
              </w:rPr>
              <w:t>Priority</w:t>
            </w:r>
          </w:p>
        </w:tc>
        <w:tc>
          <w:tcPr>
            <w:tcW w:w="1296" w:type="dxa"/>
            <w:tcBorders>
              <w:left w:val="single" w:sz="4" w:space="0" w:color="FFFFFF"/>
              <w:right w:val="single" w:sz="4" w:space="0" w:color="FFFFFF"/>
            </w:tcBorders>
            <w:shd w:val="clear" w:color="auto" w:fill="A7A9AC"/>
          </w:tcPr>
          <w:p>
            <w:pPr>
              <w:pStyle w:val="TableParagraph"/>
              <w:spacing w:before="79"/>
              <w:rPr>
                <w:b/>
                <w:sz w:val="18"/>
              </w:rPr>
            </w:pPr>
          </w:p>
          <w:p>
            <w:pPr>
              <w:pStyle w:val="TableParagraph"/>
              <w:ind w:left="80"/>
              <w:rPr>
                <w:b/>
                <w:sz w:val="18"/>
              </w:rPr>
            </w:pPr>
            <w:r>
              <w:rPr>
                <w:b/>
                <w:color w:val="FFFFFF"/>
                <w:w w:val="90"/>
                <w:sz w:val="18"/>
              </w:rPr>
              <w:t>Focus</w:t>
            </w:r>
            <w:r>
              <w:rPr>
                <w:b/>
                <w:color w:val="FFFFFF"/>
                <w:spacing w:val="8"/>
                <w:sz w:val="18"/>
              </w:rPr>
              <w:t> </w:t>
            </w:r>
            <w:r>
              <w:rPr>
                <w:b/>
                <w:color w:val="FFFFFF"/>
                <w:spacing w:val="-4"/>
                <w:sz w:val="18"/>
              </w:rPr>
              <w:t>Area</w:t>
            </w:r>
          </w:p>
        </w:tc>
        <w:tc>
          <w:tcPr>
            <w:tcW w:w="1267" w:type="dxa"/>
            <w:tcBorders>
              <w:left w:val="single" w:sz="4" w:space="0" w:color="FFFFFF"/>
              <w:right w:val="single" w:sz="4" w:space="0" w:color="FFFFFF"/>
            </w:tcBorders>
            <w:shd w:val="clear" w:color="auto" w:fill="A7A9AC"/>
          </w:tcPr>
          <w:p>
            <w:pPr>
              <w:pStyle w:val="TableParagraph"/>
              <w:spacing w:line="232" w:lineRule="auto" w:before="191"/>
              <w:ind w:left="80" w:right="237"/>
              <w:rPr>
                <w:b/>
                <w:sz w:val="18"/>
              </w:rPr>
            </w:pPr>
            <w:r>
              <w:rPr>
                <w:b/>
                <w:color w:val="FFFFFF"/>
                <w:spacing w:val="-6"/>
                <w:sz w:val="18"/>
              </w:rPr>
              <w:t>Goal</w:t>
            </w:r>
            <w:r>
              <w:rPr>
                <w:b/>
                <w:color w:val="FFFFFF"/>
                <w:spacing w:val="-7"/>
                <w:sz w:val="18"/>
              </w:rPr>
              <w:t> </w:t>
            </w:r>
            <w:r>
              <w:rPr>
                <w:b/>
                <w:color w:val="FFFFFF"/>
                <w:spacing w:val="-6"/>
                <w:sz w:val="18"/>
              </w:rPr>
              <w:t>Focus </w:t>
            </w:r>
            <w:r>
              <w:rPr>
                <w:b/>
                <w:color w:val="FFFFFF"/>
                <w:spacing w:val="-4"/>
                <w:sz w:val="18"/>
              </w:rPr>
              <w:t>Area</w:t>
            </w:r>
          </w:p>
        </w:tc>
        <w:tc>
          <w:tcPr>
            <w:tcW w:w="1325" w:type="dxa"/>
            <w:tcBorders>
              <w:left w:val="single" w:sz="4" w:space="0" w:color="FFFFFF"/>
              <w:right w:val="single" w:sz="4" w:space="0" w:color="FFFFFF"/>
            </w:tcBorders>
            <w:shd w:val="clear" w:color="auto" w:fill="A7A9AC"/>
          </w:tcPr>
          <w:p>
            <w:pPr>
              <w:pStyle w:val="TableParagraph"/>
              <w:spacing w:before="79"/>
              <w:rPr>
                <w:b/>
                <w:sz w:val="18"/>
              </w:rPr>
            </w:pPr>
          </w:p>
          <w:p>
            <w:pPr>
              <w:pStyle w:val="TableParagraph"/>
              <w:ind w:left="80"/>
              <w:rPr>
                <w:b/>
                <w:sz w:val="18"/>
              </w:rPr>
            </w:pPr>
            <w:r>
              <w:rPr>
                <w:b/>
                <w:color w:val="FFFFFF"/>
                <w:spacing w:val="-2"/>
                <w:sz w:val="18"/>
              </w:rPr>
              <w:t>Objectives</w:t>
            </w:r>
          </w:p>
        </w:tc>
        <w:tc>
          <w:tcPr>
            <w:tcW w:w="1354" w:type="dxa"/>
            <w:tcBorders>
              <w:left w:val="single" w:sz="4" w:space="0" w:color="FFFFFF"/>
              <w:right w:val="single" w:sz="4" w:space="0" w:color="FFFFFF"/>
            </w:tcBorders>
            <w:shd w:val="clear" w:color="auto" w:fill="A7A9AC"/>
          </w:tcPr>
          <w:p>
            <w:pPr>
              <w:pStyle w:val="TableParagraph"/>
              <w:spacing w:before="79"/>
              <w:rPr>
                <w:b/>
                <w:sz w:val="18"/>
              </w:rPr>
            </w:pPr>
          </w:p>
          <w:p>
            <w:pPr>
              <w:pStyle w:val="TableParagraph"/>
              <w:ind w:left="80"/>
              <w:rPr>
                <w:b/>
                <w:sz w:val="18"/>
              </w:rPr>
            </w:pPr>
            <w:r>
              <w:rPr>
                <w:b/>
                <w:color w:val="FFFFFF"/>
                <w:spacing w:val="-2"/>
                <w:sz w:val="18"/>
              </w:rPr>
              <w:t>Disparities</w:t>
            </w:r>
          </w:p>
        </w:tc>
        <w:tc>
          <w:tcPr>
            <w:tcW w:w="1700" w:type="dxa"/>
            <w:tcBorders>
              <w:left w:val="single" w:sz="4" w:space="0" w:color="FFFFFF"/>
              <w:right w:val="single" w:sz="4" w:space="0" w:color="FFFFFF"/>
            </w:tcBorders>
            <w:shd w:val="clear" w:color="auto" w:fill="A7A9AC"/>
          </w:tcPr>
          <w:p>
            <w:pPr>
              <w:pStyle w:val="TableParagraph"/>
              <w:spacing w:before="79"/>
              <w:rPr>
                <w:b/>
                <w:sz w:val="18"/>
              </w:rPr>
            </w:pPr>
          </w:p>
          <w:p>
            <w:pPr>
              <w:pStyle w:val="TableParagraph"/>
              <w:ind w:left="80"/>
              <w:rPr>
                <w:b/>
                <w:sz w:val="18"/>
              </w:rPr>
            </w:pPr>
            <w:r>
              <w:rPr>
                <w:b/>
                <w:color w:val="FFFFFF"/>
                <w:spacing w:val="-2"/>
                <w:sz w:val="18"/>
              </w:rPr>
              <w:t>Interventions</w:t>
            </w:r>
          </w:p>
        </w:tc>
        <w:tc>
          <w:tcPr>
            <w:tcW w:w="6366" w:type="dxa"/>
            <w:tcBorders>
              <w:left w:val="single" w:sz="4" w:space="0" w:color="FFFFFF"/>
              <w:right w:val="single" w:sz="4" w:space="0" w:color="FFFFFF"/>
            </w:tcBorders>
            <w:shd w:val="clear" w:color="auto" w:fill="A7A9AC"/>
          </w:tcPr>
          <w:p>
            <w:pPr>
              <w:pStyle w:val="TableParagraph"/>
              <w:spacing w:before="3"/>
              <w:rPr>
                <w:b/>
                <w:sz w:val="18"/>
              </w:rPr>
            </w:pPr>
          </w:p>
          <w:p>
            <w:pPr>
              <w:pStyle w:val="TableParagraph"/>
              <w:tabs>
                <w:tab w:pos="4110" w:val="left" w:leader="none"/>
              </w:tabs>
              <w:spacing w:line="156" w:lineRule="auto"/>
              <w:ind w:left="4110" w:right="136" w:hanging="4022"/>
              <w:rPr>
                <w:b/>
                <w:sz w:val="18"/>
              </w:rPr>
            </w:pPr>
            <w:r>
              <w:rPr>
                <w:b/>
                <w:color w:val="FFFFFF"/>
                <w:position w:val="-9"/>
                <w:sz w:val="18"/>
              </w:rPr>
              <w:t>Family of Measures</w:t>
              <w:tab/>
            </w:r>
            <w:r>
              <w:rPr>
                <w:b/>
                <w:color w:val="FFFFFF"/>
                <w:sz w:val="18"/>
              </w:rPr>
              <w:t>Projected</w:t>
            </w:r>
            <w:r>
              <w:rPr>
                <w:b/>
                <w:color w:val="FFFFFF"/>
                <w:spacing w:val="-15"/>
                <w:sz w:val="18"/>
              </w:rPr>
              <w:t> </w:t>
            </w:r>
            <w:r>
              <w:rPr>
                <w:b/>
                <w:color w:val="FFFFFF"/>
                <w:sz w:val="18"/>
              </w:rPr>
              <w:t>(or</w:t>
            </w:r>
            <w:r>
              <w:rPr>
                <w:b/>
                <w:color w:val="FFFFFF"/>
                <w:spacing w:val="-12"/>
                <w:sz w:val="18"/>
              </w:rPr>
              <w:t> </w:t>
            </w:r>
            <w:r>
              <w:rPr>
                <w:b/>
                <w:color w:val="FFFFFF"/>
                <w:sz w:val="18"/>
              </w:rPr>
              <w:t>completed) Year 1 Intervention</w:t>
            </w:r>
          </w:p>
        </w:tc>
        <w:tc>
          <w:tcPr>
            <w:tcW w:w="2190" w:type="dxa"/>
            <w:tcBorders>
              <w:left w:val="single" w:sz="4" w:space="0" w:color="FFFFFF"/>
              <w:right w:val="single" w:sz="4" w:space="0" w:color="FFFFFF"/>
            </w:tcBorders>
            <w:shd w:val="clear" w:color="auto" w:fill="A7A9AC"/>
          </w:tcPr>
          <w:p>
            <w:pPr>
              <w:pStyle w:val="TableParagraph"/>
              <w:spacing w:before="78"/>
              <w:rPr>
                <w:b/>
                <w:sz w:val="18"/>
              </w:rPr>
            </w:pPr>
          </w:p>
          <w:p>
            <w:pPr>
              <w:pStyle w:val="TableParagraph"/>
              <w:spacing w:before="1"/>
              <w:ind w:left="78"/>
              <w:rPr>
                <w:b/>
                <w:sz w:val="18"/>
              </w:rPr>
            </w:pPr>
            <w:r>
              <w:rPr>
                <w:b/>
                <w:color w:val="FFFFFF"/>
                <w:spacing w:val="-2"/>
                <w:sz w:val="18"/>
              </w:rPr>
              <w:t>Projected</w:t>
            </w:r>
            <w:r>
              <w:rPr>
                <w:b/>
                <w:color w:val="FFFFFF"/>
                <w:spacing w:val="-6"/>
                <w:sz w:val="18"/>
              </w:rPr>
              <w:t> </w:t>
            </w:r>
            <w:r>
              <w:rPr>
                <w:b/>
                <w:color w:val="FFFFFF"/>
                <w:spacing w:val="-2"/>
                <w:sz w:val="18"/>
              </w:rPr>
              <w:t>Year</w:t>
            </w:r>
            <w:r>
              <w:rPr>
                <w:b/>
                <w:color w:val="FFFFFF"/>
                <w:spacing w:val="-5"/>
                <w:sz w:val="18"/>
              </w:rPr>
              <w:t> </w:t>
            </w:r>
            <w:r>
              <w:rPr>
                <w:b/>
                <w:color w:val="FFFFFF"/>
                <w:spacing w:val="-12"/>
                <w:sz w:val="18"/>
              </w:rPr>
              <w:t>2</w:t>
            </w:r>
          </w:p>
        </w:tc>
        <w:tc>
          <w:tcPr>
            <w:tcW w:w="2478" w:type="dxa"/>
            <w:tcBorders>
              <w:left w:val="single" w:sz="4" w:space="0" w:color="FFFFFF"/>
              <w:right w:val="single" w:sz="4" w:space="0" w:color="FFFFFF"/>
            </w:tcBorders>
            <w:shd w:val="clear" w:color="auto" w:fill="A7A9AC"/>
          </w:tcPr>
          <w:p>
            <w:pPr>
              <w:pStyle w:val="TableParagraph"/>
              <w:spacing w:line="232" w:lineRule="auto" w:before="190"/>
              <w:ind w:left="76"/>
              <w:rPr>
                <w:b/>
                <w:sz w:val="18"/>
              </w:rPr>
            </w:pPr>
            <w:r>
              <w:rPr>
                <w:b/>
                <w:color w:val="FFFFFF"/>
                <w:spacing w:val="-2"/>
                <w:sz w:val="18"/>
              </w:rPr>
              <w:t>Projected</w:t>
            </w:r>
            <w:r>
              <w:rPr>
                <w:b/>
                <w:color w:val="FFFFFF"/>
                <w:spacing w:val="-13"/>
                <w:sz w:val="18"/>
              </w:rPr>
              <w:t> </w:t>
            </w:r>
            <w:r>
              <w:rPr>
                <w:b/>
                <w:color w:val="FFFFFF"/>
                <w:spacing w:val="-2"/>
                <w:sz w:val="18"/>
              </w:rPr>
              <w:t>Year</w:t>
            </w:r>
            <w:r>
              <w:rPr>
                <w:b/>
                <w:color w:val="FFFFFF"/>
                <w:spacing w:val="-10"/>
                <w:sz w:val="18"/>
              </w:rPr>
              <w:t> </w:t>
            </w:r>
            <w:r>
              <w:rPr>
                <w:b/>
                <w:color w:val="FFFFFF"/>
                <w:spacing w:val="-2"/>
                <w:sz w:val="18"/>
              </w:rPr>
              <w:t>3 Interventions</w:t>
            </w:r>
          </w:p>
        </w:tc>
        <w:tc>
          <w:tcPr>
            <w:tcW w:w="1499" w:type="dxa"/>
            <w:tcBorders>
              <w:left w:val="single" w:sz="4" w:space="0" w:color="FFFFFF"/>
            </w:tcBorders>
            <w:shd w:val="clear" w:color="auto" w:fill="A7A9AC"/>
          </w:tcPr>
          <w:p>
            <w:pPr>
              <w:pStyle w:val="TableParagraph"/>
              <w:spacing w:line="232" w:lineRule="auto" w:before="190"/>
              <w:ind w:left="75"/>
              <w:rPr>
                <w:b/>
                <w:sz w:val="18"/>
              </w:rPr>
            </w:pPr>
            <w:r>
              <w:rPr>
                <w:b/>
                <w:color w:val="FFFFFF"/>
                <w:spacing w:val="-2"/>
                <w:sz w:val="18"/>
              </w:rPr>
              <w:t>Implementation Partner</w:t>
            </w:r>
          </w:p>
        </w:tc>
        <w:tc>
          <w:tcPr>
            <w:tcW w:w="1552" w:type="dxa"/>
            <w:shd w:val="clear" w:color="auto" w:fill="A7A9AC"/>
          </w:tcPr>
          <w:p>
            <w:pPr>
              <w:pStyle w:val="TableParagraph"/>
              <w:spacing w:line="232" w:lineRule="auto" w:before="190"/>
              <w:ind w:left="74" w:right="222"/>
              <w:rPr>
                <w:b/>
                <w:sz w:val="18"/>
              </w:rPr>
            </w:pPr>
            <w:r>
              <w:rPr>
                <w:b/>
                <w:color w:val="FFFFFF"/>
                <w:spacing w:val="-4"/>
                <w:sz w:val="18"/>
              </w:rPr>
              <w:t>Partner</w:t>
            </w:r>
            <w:r>
              <w:rPr>
                <w:b/>
                <w:color w:val="FFFFFF"/>
                <w:spacing w:val="-9"/>
                <w:sz w:val="18"/>
              </w:rPr>
              <w:t> </w:t>
            </w:r>
            <w:r>
              <w:rPr>
                <w:b/>
                <w:color w:val="FFFFFF"/>
                <w:spacing w:val="-4"/>
                <w:sz w:val="18"/>
              </w:rPr>
              <w:t>Role(s) </w:t>
            </w:r>
            <w:r>
              <w:rPr>
                <w:b/>
                <w:color w:val="FFFFFF"/>
                <w:sz w:val="18"/>
              </w:rPr>
              <w:t>and</w:t>
            </w:r>
            <w:r>
              <w:rPr>
                <w:b/>
                <w:color w:val="FFFFFF"/>
                <w:spacing w:val="-7"/>
                <w:sz w:val="18"/>
              </w:rPr>
              <w:t> </w:t>
            </w:r>
            <w:r>
              <w:rPr>
                <w:b/>
                <w:color w:val="FFFFFF"/>
                <w:spacing w:val="-8"/>
                <w:sz w:val="18"/>
              </w:rPr>
              <w:t>Resources</w:t>
            </w:r>
          </w:p>
        </w:tc>
      </w:tr>
      <w:tr>
        <w:trPr>
          <w:trHeight w:val="2111" w:hRule="atLeast"/>
        </w:trPr>
        <w:tc>
          <w:tcPr>
            <w:tcW w:w="1180" w:type="dxa"/>
            <w:vMerge w:val="restart"/>
            <w:shd w:val="clear" w:color="auto" w:fill="E6E7E8"/>
          </w:tcPr>
          <w:p>
            <w:pPr>
              <w:pStyle w:val="TableParagraph"/>
              <w:spacing w:line="232" w:lineRule="auto" w:before="100"/>
              <w:ind w:left="89" w:right="87"/>
              <w:rPr>
                <w:sz w:val="18"/>
              </w:rPr>
            </w:pPr>
            <w:r>
              <w:rPr>
                <w:color w:val="105C84"/>
                <w:spacing w:val="-2"/>
                <w:sz w:val="18"/>
              </w:rPr>
              <w:t>Promote Well-Being </w:t>
            </w:r>
            <w:r>
              <w:rPr>
                <w:color w:val="105C84"/>
                <w:sz w:val="18"/>
              </w:rPr>
              <w:t>and</w:t>
            </w:r>
            <w:r>
              <w:rPr>
                <w:color w:val="105C84"/>
                <w:spacing w:val="-13"/>
                <w:sz w:val="18"/>
              </w:rPr>
              <w:t> </w:t>
            </w:r>
            <w:r>
              <w:rPr>
                <w:color w:val="105C84"/>
                <w:sz w:val="18"/>
              </w:rPr>
              <w:t>Prevent Mental and </w:t>
            </w:r>
            <w:r>
              <w:rPr>
                <w:color w:val="105C84"/>
                <w:spacing w:val="-2"/>
                <w:sz w:val="18"/>
              </w:rPr>
              <w:t>Substance </w:t>
            </w:r>
            <w:r>
              <w:rPr>
                <w:color w:val="105C84"/>
                <w:spacing w:val="-4"/>
                <w:sz w:val="18"/>
              </w:rPr>
              <w:t>Use </w:t>
            </w:r>
            <w:r>
              <w:rPr>
                <w:color w:val="105C84"/>
                <w:spacing w:val="-2"/>
                <w:sz w:val="18"/>
              </w:rPr>
              <w:t>Disorders</w:t>
            </w:r>
          </w:p>
        </w:tc>
        <w:tc>
          <w:tcPr>
            <w:tcW w:w="1296" w:type="dxa"/>
            <w:vMerge w:val="restart"/>
          </w:tcPr>
          <w:p>
            <w:pPr>
              <w:pStyle w:val="TableParagraph"/>
              <w:spacing w:line="232" w:lineRule="auto" w:before="100"/>
              <w:ind w:left="90" w:right="82"/>
              <w:rPr>
                <w:sz w:val="18"/>
              </w:rPr>
            </w:pPr>
            <w:r>
              <w:rPr>
                <w:color w:val="105C84"/>
                <w:sz w:val="18"/>
              </w:rPr>
              <w:t>Focus</w:t>
            </w:r>
            <w:r>
              <w:rPr>
                <w:color w:val="105C84"/>
                <w:spacing w:val="-15"/>
                <w:sz w:val="18"/>
              </w:rPr>
              <w:t> </w:t>
            </w:r>
            <w:r>
              <w:rPr>
                <w:color w:val="105C84"/>
                <w:sz w:val="18"/>
              </w:rPr>
              <w:t>Area</w:t>
            </w:r>
            <w:r>
              <w:rPr>
                <w:color w:val="105C84"/>
                <w:spacing w:val="-12"/>
                <w:sz w:val="18"/>
              </w:rPr>
              <w:t> </w:t>
            </w:r>
            <w:r>
              <w:rPr>
                <w:color w:val="105C84"/>
                <w:sz w:val="18"/>
              </w:rPr>
              <w:t>2: Mental and </w:t>
            </w:r>
            <w:r>
              <w:rPr>
                <w:color w:val="105C84"/>
                <w:spacing w:val="-2"/>
                <w:sz w:val="18"/>
              </w:rPr>
              <w:t>Substance </w:t>
            </w:r>
            <w:r>
              <w:rPr>
                <w:color w:val="105C84"/>
                <w:spacing w:val="-4"/>
                <w:sz w:val="18"/>
              </w:rPr>
              <w:t>Use</w:t>
            </w:r>
            <w:r>
              <w:rPr>
                <w:color w:val="105C84"/>
                <w:spacing w:val="-9"/>
                <w:sz w:val="18"/>
              </w:rPr>
              <w:t> </w:t>
            </w:r>
            <w:r>
              <w:rPr>
                <w:color w:val="105C84"/>
                <w:spacing w:val="-4"/>
                <w:sz w:val="18"/>
              </w:rPr>
              <w:t>Disorders </w:t>
            </w:r>
            <w:r>
              <w:rPr>
                <w:color w:val="105C84"/>
                <w:spacing w:val="-2"/>
                <w:sz w:val="18"/>
              </w:rPr>
              <w:t>Prevention</w:t>
            </w:r>
          </w:p>
        </w:tc>
        <w:tc>
          <w:tcPr>
            <w:tcW w:w="1267" w:type="dxa"/>
            <w:vMerge w:val="restart"/>
          </w:tcPr>
          <w:p>
            <w:pPr>
              <w:pStyle w:val="TableParagraph"/>
              <w:spacing w:line="232" w:lineRule="auto" w:before="100"/>
              <w:ind w:left="90" w:right="198"/>
              <w:rPr>
                <w:sz w:val="18"/>
              </w:rPr>
            </w:pPr>
            <w:r>
              <w:rPr>
                <w:color w:val="105C84"/>
                <w:sz w:val="18"/>
              </w:rPr>
              <w:t>Goal 2.3: </w:t>
            </w:r>
            <w:r>
              <w:rPr>
                <w:color w:val="105C84"/>
                <w:spacing w:val="-2"/>
                <w:sz w:val="18"/>
              </w:rPr>
              <w:t>Prevent</w:t>
            </w:r>
            <w:r>
              <w:rPr>
                <w:color w:val="105C84"/>
                <w:spacing w:val="-11"/>
                <w:sz w:val="18"/>
              </w:rPr>
              <w:t> </w:t>
            </w:r>
            <w:r>
              <w:rPr>
                <w:color w:val="105C84"/>
                <w:spacing w:val="-2"/>
                <w:sz w:val="18"/>
              </w:rPr>
              <w:t>and address adverse childhood experiences (ACES)</w:t>
            </w:r>
          </w:p>
        </w:tc>
        <w:tc>
          <w:tcPr>
            <w:tcW w:w="1325" w:type="dxa"/>
            <w:vMerge w:val="restart"/>
          </w:tcPr>
          <w:p>
            <w:pPr>
              <w:pStyle w:val="TableParagraph"/>
              <w:spacing w:line="232" w:lineRule="auto" w:before="100"/>
              <w:ind w:left="90" w:right="128"/>
              <w:rPr>
                <w:sz w:val="18"/>
              </w:rPr>
            </w:pPr>
            <w:r>
              <w:rPr>
                <w:color w:val="105C84"/>
                <w:spacing w:val="-6"/>
                <w:sz w:val="18"/>
              </w:rPr>
              <w:t>2.3.3</w:t>
            </w:r>
            <w:r>
              <w:rPr>
                <w:color w:val="105C84"/>
                <w:spacing w:val="-7"/>
                <w:sz w:val="18"/>
              </w:rPr>
              <w:t> </w:t>
            </w:r>
            <w:r>
              <w:rPr>
                <w:color w:val="105C84"/>
                <w:spacing w:val="-6"/>
                <w:sz w:val="18"/>
              </w:rPr>
              <w:t>Increas</w:t>
            </w:r>
            <w:r>
              <w:rPr>
                <w:color w:val="105C84"/>
                <w:spacing w:val="-6"/>
                <w:sz w:val="18"/>
              </w:rPr>
              <w:t>e</w:t>
            </w:r>
            <w:r>
              <w:rPr>
                <w:color w:val="105C84"/>
                <w:spacing w:val="-6"/>
                <w:sz w:val="18"/>
              </w:rPr>
              <w:t> </w:t>
            </w:r>
            <w:r>
              <w:rPr>
                <w:color w:val="105C84"/>
                <w:spacing w:val="-2"/>
                <w:sz w:val="18"/>
              </w:rPr>
              <w:t>communities </w:t>
            </w:r>
            <w:r>
              <w:rPr>
                <w:color w:val="105C84"/>
                <w:sz w:val="18"/>
              </w:rPr>
              <w:t>reached by </w:t>
            </w:r>
            <w:r>
              <w:rPr>
                <w:color w:val="105C84"/>
                <w:spacing w:val="-2"/>
                <w:sz w:val="18"/>
              </w:rPr>
              <w:t>opportunities </w:t>
            </w:r>
            <w:r>
              <w:rPr>
                <w:color w:val="105C84"/>
                <w:sz w:val="18"/>
              </w:rPr>
              <w:t>to build </w:t>
            </w:r>
            <w:r>
              <w:rPr>
                <w:color w:val="105C84"/>
                <w:spacing w:val="-2"/>
                <w:sz w:val="18"/>
              </w:rPr>
              <w:t>resilience</w:t>
            </w:r>
          </w:p>
        </w:tc>
        <w:tc>
          <w:tcPr>
            <w:tcW w:w="1354" w:type="dxa"/>
            <w:vMerge w:val="restart"/>
          </w:tcPr>
          <w:p>
            <w:pPr>
              <w:pStyle w:val="TableParagraph"/>
              <w:rPr>
                <w:rFonts w:ascii="Times New Roman"/>
                <w:sz w:val="18"/>
              </w:rPr>
            </w:pPr>
          </w:p>
        </w:tc>
        <w:tc>
          <w:tcPr>
            <w:tcW w:w="1700" w:type="dxa"/>
            <w:vMerge w:val="restart"/>
          </w:tcPr>
          <w:p>
            <w:pPr>
              <w:pStyle w:val="TableParagraph"/>
              <w:spacing w:line="232" w:lineRule="auto" w:before="100"/>
              <w:ind w:left="89" w:right="22"/>
              <w:rPr>
                <w:sz w:val="18"/>
              </w:rPr>
            </w:pPr>
            <w:r>
              <w:rPr>
                <w:color w:val="105C84"/>
                <w:sz w:val="18"/>
              </w:rPr>
              <w:t>Intervention 2.3.3: grow resilient </w:t>
            </w:r>
            <w:r>
              <w:rPr>
                <w:color w:val="105C84"/>
                <w:spacing w:val="-2"/>
                <w:sz w:val="18"/>
              </w:rPr>
              <w:t>communities </w:t>
            </w:r>
            <w:r>
              <w:rPr>
                <w:color w:val="105C84"/>
                <w:sz w:val="18"/>
              </w:rPr>
              <w:t>through</w:t>
            </w:r>
            <w:r>
              <w:rPr>
                <w:color w:val="105C84"/>
                <w:spacing w:val="-13"/>
                <w:sz w:val="18"/>
              </w:rPr>
              <w:t> </w:t>
            </w:r>
            <w:r>
              <w:rPr>
                <w:color w:val="105C84"/>
                <w:sz w:val="18"/>
              </w:rPr>
              <w:t>education, </w:t>
            </w:r>
            <w:r>
              <w:rPr>
                <w:color w:val="105C84"/>
                <w:spacing w:val="-2"/>
                <w:sz w:val="18"/>
              </w:rPr>
              <w:t>engagement, activation/ </w:t>
            </w:r>
            <w:r>
              <w:rPr>
                <w:color w:val="105C84"/>
                <w:sz w:val="18"/>
              </w:rPr>
              <w:t>mobilization and </w:t>
            </w:r>
            <w:r>
              <w:rPr>
                <w:color w:val="105C84"/>
                <w:spacing w:val="-2"/>
                <w:sz w:val="18"/>
              </w:rPr>
              <w:t>celebration</w:t>
            </w:r>
          </w:p>
        </w:tc>
        <w:tc>
          <w:tcPr>
            <w:tcW w:w="6366" w:type="dxa"/>
          </w:tcPr>
          <w:p>
            <w:pPr>
              <w:pStyle w:val="TableParagraph"/>
              <w:spacing w:line="232" w:lineRule="auto" w:before="100"/>
              <w:ind w:left="89" w:right="4354"/>
              <w:rPr>
                <w:sz w:val="18"/>
              </w:rPr>
            </w:pPr>
            <w:r>
              <w:rPr>
                <w:color w:val="105C84"/>
                <w:sz w:val="18"/>
              </w:rPr>
              <w:t>4+</w:t>
            </w:r>
            <w:r>
              <w:rPr>
                <w:color w:val="105C84"/>
                <w:spacing w:val="-13"/>
                <w:sz w:val="18"/>
              </w:rPr>
              <w:t> </w:t>
            </w:r>
            <w:r>
              <w:rPr>
                <w:color w:val="105C84"/>
                <w:sz w:val="18"/>
              </w:rPr>
              <w:t>unified</w:t>
            </w:r>
            <w:r>
              <w:rPr>
                <w:color w:val="105C84"/>
                <w:spacing w:val="-12"/>
                <w:sz w:val="18"/>
              </w:rPr>
              <w:t> </w:t>
            </w:r>
            <w:r>
              <w:rPr>
                <w:color w:val="105C84"/>
                <w:sz w:val="18"/>
              </w:rPr>
              <w:t>messages</w:t>
            </w:r>
            <w:r>
              <w:rPr>
                <w:color w:val="105C84"/>
                <w:spacing w:val="-13"/>
                <w:sz w:val="18"/>
              </w:rPr>
              <w:t> </w:t>
            </w:r>
            <w:r>
              <w:rPr>
                <w:color w:val="105C84"/>
                <w:sz w:val="18"/>
              </w:rPr>
              <w:t>in both 2020 and 2021</w:t>
            </w:r>
          </w:p>
        </w:tc>
        <w:tc>
          <w:tcPr>
            <w:tcW w:w="2190" w:type="dxa"/>
          </w:tcPr>
          <w:p>
            <w:pPr>
              <w:pStyle w:val="TableParagraph"/>
              <w:spacing w:line="232" w:lineRule="auto" w:before="100"/>
              <w:ind w:left="87" w:right="91"/>
              <w:rPr>
                <w:sz w:val="18"/>
              </w:rPr>
            </w:pPr>
            <w:r>
              <w:rPr>
                <w:color w:val="105C84"/>
                <w:sz w:val="18"/>
              </w:rPr>
              <w:t>Increase public awareness of and support for trauma-informed care in the schools</w:t>
            </w:r>
            <w:r>
              <w:rPr>
                <w:color w:val="105C84"/>
                <w:spacing w:val="-1"/>
                <w:sz w:val="18"/>
              </w:rPr>
              <w:t> </w:t>
            </w:r>
            <w:r>
              <w:rPr>
                <w:color w:val="105C84"/>
                <w:sz w:val="18"/>
              </w:rPr>
              <w:t>by</w:t>
            </w:r>
            <w:r>
              <w:rPr>
                <w:color w:val="105C84"/>
                <w:spacing w:val="-1"/>
                <w:sz w:val="18"/>
              </w:rPr>
              <w:t> </w:t>
            </w:r>
            <w:r>
              <w:rPr>
                <w:color w:val="105C84"/>
                <w:sz w:val="18"/>
              </w:rPr>
              <w:t>highlighting effectiveness of Community Schools, 4 unified messages per </w:t>
            </w:r>
            <w:r>
              <w:rPr>
                <w:color w:val="105C84"/>
                <w:spacing w:val="-4"/>
                <w:sz w:val="18"/>
              </w:rPr>
              <w:t>year</w:t>
            </w:r>
          </w:p>
        </w:tc>
        <w:tc>
          <w:tcPr>
            <w:tcW w:w="2478" w:type="dxa"/>
          </w:tcPr>
          <w:p>
            <w:pPr>
              <w:pStyle w:val="TableParagraph"/>
              <w:spacing w:line="232" w:lineRule="auto" w:before="100"/>
              <w:ind w:left="86" w:right="120"/>
              <w:rPr>
                <w:sz w:val="18"/>
              </w:rPr>
            </w:pPr>
            <w:r>
              <w:rPr>
                <w:color w:val="105C84"/>
                <w:sz w:val="18"/>
              </w:rPr>
              <w:t>Increase public awareness of and support for trauma-informed</w:t>
            </w:r>
            <w:r>
              <w:rPr>
                <w:color w:val="105C84"/>
                <w:spacing w:val="-1"/>
                <w:sz w:val="18"/>
              </w:rPr>
              <w:t> </w:t>
            </w:r>
            <w:r>
              <w:rPr>
                <w:color w:val="105C84"/>
                <w:sz w:val="18"/>
              </w:rPr>
              <w:t>care</w:t>
            </w:r>
            <w:r>
              <w:rPr>
                <w:color w:val="105C84"/>
                <w:spacing w:val="-1"/>
                <w:sz w:val="18"/>
              </w:rPr>
              <w:t> </w:t>
            </w:r>
            <w:r>
              <w:rPr>
                <w:color w:val="105C84"/>
                <w:sz w:val="18"/>
              </w:rPr>
              <w:t>in the</w:t>
            </w:r>
            <w:r>
              <w:rPr>
                <w:color w:val="105C84"/>
                <w:spacing w:val="-1"/>
                <w:sz w:val="18"/>
              </w:rPr>
              <w:t> </w:t>
            </w:r>
            <w:r>
              <w:rPr>
                <w:color w:val="105C84"/>
                <w:spacing w:val="-2"/>
                <w:sz w:val="18"/>
              </w:rPr>
              <w:t>schools</w:t>
            </w:r>
          </w:p>
          <w:p>
            <w:pPr>
              <w:pStyle w:val="TableParagraph"/>
              <w:spacing w:line="232" w:lineRule="auto"/>
              <w:ind w:left="86" w:right="86"/>
              <w:rPr>
                <w:sz w:val="18"/>
              </w:rPr>
            </w:pPr>
            <w:r>
              <w:rPr>
                <w:color w:val="105C84"/>
                <w:sz w:val="18"/>
              </w:rPr>
              <w:t>by</w:t>
            </w:r>
            <w:r>
              <w:rPr>
                <w:color w:val="105C84"/>
                <w:spacing w:val="-4"/>
                <w:sz w:val="18"/>
              </w:rPr>
              <w:t> </w:t>
            </w:r>
            <w:r>
              <w:rPr>
                <w:color w:val="105C84"/>
                <w:sz w:val="18"/>
              </w:rPr>
              <w:t>highlighting</w:t>
            </w:r>
            <w:r>
              <w:rPr>
                <w:color w:val="105C84"/>
                <w:spacing w:val="-4"/>
                <w:sz w:val="18"/>
              </w:rPr>
              <w:t> </w:t>
            </w:r>
            <w:r>
              <w:rPr>
                <w:color w:val="105C84"/>
                <w:sz w:val="18"/>
              </w:rPr>
              <w:t>effectiveness of Community Schools, 4 unified messages per year</w:t>
            </w:r>
          </w:p>
        </w:tc>
        <w:tc>
          <w:tcPr>
            <w:tcW w:w="1499" w:type="dxa"/>
          </w:tcPr>
          <w:p>
            <w:pPr>
              <w:pStyle w:val="TableParagraph"/>
              <w:spacing w:before="94"/>
              <w:ind w:left="85"/>
              <w:rPr>
                <w:sz w:val="18"/>
              </w:rPr>
            </w:pPr>
            <w:r>
              <w:rPr>
                <w:color w:val="105C84"/>
                <w:spacing w:val="-8"/>
                <w:sz w:val="18"/>
              </w:rPr>
              <w:t>K-12</w:t>
            </w:r>
            <w:r>
              <w:rPr>
                <w:color w:val="105C84"/>
                <w:spacing w:val="1"/>
                <w:sz w:val="18"/>
              </w:rPr>
              <w:t> </w:t>
            </w:r>
            <w:r>
              <w:rPr>
                <w:color w:val="105C84"/>
                <w:spacing w:val="-8"/>
                <w:sz w:val="18"/>
              </w:rPr>
              <w:t>School</w:t>
            </w:r>
          </w:p>
        </w:tc>
        <w:tc>
          <w:tcPr>
            <w:tcW w:w="1552" w:type="dxa"/>
          </w:tcPr>
          <w:p>
            <w:pPr>
              <w:pStyle w:val="TableParagraph"/>
              <w:spacing w:line="232" w:lineRule="auto" w:before="99"/>
              <w:ind w:left="84" w:right="84"/>
              <w:rPr>
                <w:sz w:val="18"/>
              </w:rPr>
            </w:pPr>
            <w:r>
              <w:rPr>
                <w:color w:val="105C84"/>
                <w:sz w:val="18"/>
              </w:rPr>
              <w:t>For</w:t>
            </w:r>
            <w:r>
              <w:rPr>
                <w:color w:val="105C84"/>
                <w:spacing w:val="-15"/>
                <w:sz w:val="18"/>
              </w:rPr>
              <w:t> </w:t>
            </w:r>
            <w:r>
              <w:rPr>
                <w:color w:val="105C84"/>
                <w:sz w:val="18"/>
              </w:rPr>
              <w:t>partner</w:t>
            </w:r>
            <w:r>
              <w:rPr>
                <w:color w:val="105C84"/>
                <w:spacing w:val="-12"/>
                <w:sz w:val="18"/>
              </w:rPr>
              <w:t> </w:t>
            </w:r>
            <w:r>
              <w:rPr>
                <w:color w:val="105C84"/>
                <w:sz w:val="18"/>
              </w:rPr>
              <w:t>roles, see projected year 2 and 3 </w:t>
            </w:r>
            <w:r>
              <w:rPr>
                <w:color w:val="105C84"/>
                <w:spacing w:val="-2"/>
                <w:sz w:val="18"/>
              </w:rPr>
              <w:t>columns</w:t>
            </w:r>
          </w:p>
          <w:p>
            <w:pPr>
              <w:pStyle w:val="TableParagraph"/>
              <w:spacing w:line="232" w:lineRule="auto" w:before="87"/>
              <w:ind w:left="84" w:right="224"/>
              <w:rPr>
                <w:sz w:val="18"/>
              </w:rPr>
            </w:pPr>
            <w:r>
              <w:rPr>
                <w:color w:val="105C84"/>
                <w:spacing w:val="-2"/>
                <w:w w:val="90"/>
                <w:sz w:val="18"/>
              </w:rPr>
              <w:t>Resources: </w:t>
            </w:r>
            <w:r>
              <w:rPr>
                <w:color w:val="105C84"/>
                <w:spacing w:val="-2"/>
                <w:sz w:val="18"/>
              </w:rPr>
              <w:t>unified messages</w:t>
            </w:r>
          </w:p>
        </w:tc>
      </w:tr>
      <w:tr>
        <w:trPr>
          <w:trHeight w:val="2150" w:hRule="atLeast"/>
        </w:trPr>
        <w:tc>
          <w:tcPr>
            <w:tcW w:w="1180" w:type="dxa"/>
            <w:vMerge/>
            <w:tcBorders>
              <w:top w:val="nil"/>
            </w:tcBorders>
            <w:shd w:val="clear" w:color="auto" w:fill="E6E7E8"/>
          </w:tcPr>
          <w:p>
            <w:pPr>
              <w:rPr>
                <w:sz w:val="2"/>
                <w:szCs w:val="2"/>
              </w:rPr>
            </w:pPr>
          </w:p>
        </w:tc>
        <w:tc>
          <w:tcPr>
            <w:tcW w:w="1296" w:type="dxa"/>
            <w:vMerge/>
            <w:tcBorders>
              <w:top w:val="nil"/>
            </w:tcBorders>
          </w:tcPr>
          <w:p>
            <w:pPr>
              <w:rPr>
                <w:sz w:val="2"/>
                <w:szCs w:val="2"/>
              </w:rPr>
            </w:pPr>
          </w:p>
        </w:tc>
        <w:tc>
          <w:tcPr>
            <w:tcW w:w="1267" w:type="dxa"/>
            <w:vMerge/>
            <w:tcBorders>
              <w:top w:val="nil"/>
            </w:tcBorders>
          </w:tcPr>
          <w:p>
            <w:pPr>
              <w:rPr>
                <w:sz w:val="2"/>
                <w:szCs w:val="2"/>
              </w:rPr>
            </w:pPr>
          </w:p>
        </w:tc>
        <w:tc>
          <w:tcPr>
            <w:tcW w:w="1325" w:type="dxa"/>
            <w:vMerge/>
            <w:tcBorders>
              <w:top w:val="nil"/>
            </w:tcBorders>
          </w:tcPr>
          <w:p>
            <w:pPr>
              <w:rPr>
                <w:sz w:val="2"/>
                <w:szCs w:val="2"/>
              </w:rPr>
            </w:pPr>
          </w:p>
        </w:tc>
        <w:tc>
          <w:tcPr>
            <w:tcW w:w="1354" w:type="dxa"/>
            <w:vMerge/>
            <w:tcBorders>
              <w:top w:val="nil"/>
            </w:tcBorders>
          </w:tcPr>
          <w:p>
            <w:pPr>
              <w:rPr>
                <w:sz w:val="2"/>
                <w:szCs w:val="2"/>
              </w:rPr>
            </w:pPr>
          </w:p>
        </w:tc>
        <w:tc>
          <w:tcPr>
            <w:tcW w:w="1700" w:type="dxa"/>
            <w:vMerge/>
            <w:tcBorders>
              <w:top w:val="nil"/>
            </w:tcBorders>
          </w:tcPr>
          <w:p>
            <w:pPr>
              <w:rPr>
                <w:sz w:val="2"/>
                <w:szCs w:val="2"/>
              </w:rPr>
            </w:pPr>
          </w:p>
        </w:tc>
        <w:tc>
          <w:tcPr>
            <w:tcW w:w="6366" w:type="dxa"/>
          </w:tcPr>
          <w:p>
            <w:pPr>
              <w:pStyle w:val="TableParagraph"/>
              <w:spacing w:line="232" w:lineRule="auto" w:before="99"/>
              <w:ind w:left="89" w:right="4354"/>
              <w:rPr>
                <w:sz w:val="18"/>
              </w:rPr>
            </w:pPr>
            <w:r>
              <w:rPr>
                <w:color w:val="105C84"/>
                <w:spacing w:val="-2"/>
                <w:sz w:val="18"/>
              </w:rPr>
              <w:t>WHIP</w:t>
            </w:r>
            <w:r>
              <w:rPr>
                <w:color w:val="105C84"/>
                <w:spacing w:val="-13"/>
                <w:sz w:val="18"/>
              </w:rPr>
              <w:t> </w:t>
            </w:r>
            <w:r>
              <w:rPr>
                <w:color w:val="105C84"/>
                <w:spacing w:val="-2"/>
                <w:sz w:val="18"/>
              </w:rPr>
              <w:t>minutes</w:t>
            </w:r>
            <w:r>
              <w:rPr>
                <w:color w:val="105C84"/>
                <w:spacing w:val="-10"/>
                <w:sz w:val="18"/>
              </w:rPr>
              <w:t> </w:t>
            </w:r>
            <w:r>
              <w:rPr>
                <w:color w:val="105C84"/>
                <w:spacing w:val="-2"/>
                <w:sz w:val="18"/>
              </w:rPr>
              <w:t>showing discussion of</w:t>
            </w:r>
            <w:r>
              <w:rPr>
                <w:color w:val="105C84"/>
                <w:spacing w:val="-1"/>
                <w:sz w:val="18"/>
              </w:rPr>
              <w:t> </w:t>
            </w:r>
            <w:r>
              <w:rPr>
                <w:color w:val="105C84"/>
                <w:spacing w:val="-2"/>
                <w:sz w:val="18"/>
              </w:rPr>
              <w:t>initiatives</w:t>
            </w:r>
          </w:p>
        </w:tc>
        <w:tc>
          <w:tcPr>
            <w:tcW w:w="2190" w:type="dxa"/>
          </w:tcPr>
          <w:p>
            <w:pPr>
              <w:pStyle w:val="TableParagraph"/>
              <w:spacing w:line="232" w:lineRule="auto" w:before="99"/>
              <w:ind w:left="87" w:right="135"/>
              <w:rPr>
                <w:sz w:val="18"/>
              </w:rPr>
            </w:pPr>
            <w:r>
              <w:rPr>
                <w:color w:val="105C84"/>
                <w:sz w:val="18"/>
              </w:rPr>
              <w:t>Continue to support evidence-based or promising practice trauma-informed care in the</w:t>
            </w:r>
            <w:r>
              <w:rPr>
                <w:color w:val="105C84"/>
                <w:spacing w:val="-5"/>
                <w:sz w:val="18"/>
              </w:rPr>
              <w:t> </w:t>
            </w:r>
            <w:r>
              <w:rPr>
                <w:color w:val="105C84"/>
                <w:sz w:val="18"/>
              </w:rPr>
              <w:t>schools</w:t>
            </w:r>
            <w:r>
              <w:rPr>
                <w:color w:val="105C84"/>
                <w:spacing w:val="-5"/>
                <w:sz w:val="18"/>
              </w:rPr>
              <w:t> </w:t>
            </w:r>
            <w:r>
              <w:rPr>
                <w:color w:val="105C84"/>
                <w:sz w:val="18"/>
              </w:rPr>
              <w:t>by</w:t>
            </w:r>
            <w:r>
              <w:rPr>
                <w:color w:val="105C84"/>
                <w:spacing w:val="-5"/>
                <w:sz w:val="18"/>
              </w:rPr>
              <w:t> </w:t>
            </w:r>
            <w:r>
              <w:rPr>
                <w:color w:val="105C84"/>
                <w:sz w:val="18"/>
              </w:rPr>
              <w:t>providing letters of support and/</w:t>
            </w:r>
            <w:r>
              <w:rPr>
                <w:color w:val="105C84"/>
                <w:spacing w:val="80"/>
                <w:sz w:val="18"/>
              </w:rPr>
              <w:t> </w:t>
            </w:r>
            <w:r>
              <w:rPr>
                <w:color w:val="105C84"/>
                <w:sz w:val="18"/>
              </w:rPr>
              <w:t>or technical assistance for funding applications, such as helping to map </w:t>
            </w:r>
            <w:r>
              <w:rPr>
                <w:color w:val="105C84"/>
                <w:spacing w:val="-2"/>
                <w:sz w:val="18"/>
              </w:rPr>
              <w:t>programs</w:t>
            </w:r>
          </w:p>
        </w:tc>
        <w:tc>
          <w:tcPr>
            <w:tcW w:w="2478" w:type="dxa"/>
          </w:tcPr>
          <w:p>
            <w:pPr>
              <w:pStyle w:val="TableParagraph"/>
              <w:spacing w:line="232" w:lineRule="auto" w:before="99"/>
              <w:ind w:left="86" w:right="86"/>
              <w:rPr>
                <w:sz w:val="18"/>
              </w:rPr>
            </w:pPr>
            <w:r>
              <w:rPr>
                <w:color w:val="105C84"/>
                <w:sz w:val="18"/>
              </w:rPr>
              <w:t>Continue to support evidence-based or</w:t>
            </w:r>
            <w:r>
              <w:rPr>
                <w:color w:val="105C84"/>
                <w:spacing w:val="40"/>
                <w:sz w:val="18"/>
              </w:rPr>
              <w:t> </w:t>
            </w:r>
            <w:r>
              <w:rPr>
                <w:color w:val="105C84"/>
                <w:sz w:val="18"/>
              </w:rPr>
              <w:t>promising practice trauma-informed care in the schools by providing letters of support and/or technical assistance for funding applications,</w:t>
            </w:r>
            <w:r>
              <w:rPr>
                <w:color w:val="105C84"/>
                <w:spacing w:val="-13"/>
                <w:sz w:val="18"/>
              </w:rPr>
              <w:t> </w:t>
            </w:r>
            <w:r>
              <w:rPr>
                <w:color w:val="105C84"/>
                <w:sz w:val="18"/>
              </w:rPr>
              <w:t>such</w:t>
            </w:r>
            <w:r>
              <w:rPr>
                <w:color w:val="105C84"/>
                <w:spacing w:val="-12"/>
                <w:sz w:val="18"/>
              </w:rPr>
              <w:t> </w:t>
            </w:r>
            <w:r>
              <w:rPr>
                <w:color w:val="105C84"/>
                <w:sz w:val="18"/>
              </w:rPr>
              <w:t>as</w:t>
            </w:r>
            <w:r>
              <w:rPr>
                <w:color w:val="105C84"/>
                <w:spacing w:val="-13"/>
                <w:sz w:val="18"/>
              </w:rPr>
              <w:t> </w:t>
            </w:r>
            <w:r>
              <w:rPr>
                <w:color w:val="105C84"/>
                <w:sz w:val="18"/>
              </w:rPr>
              <w:t>helping to map programs</w:t>
            </w:r>
          </w:p>
        </w:tc>
        <w:tc>
          <w:tcPr>
            <w:tcW w:w="1499" w:type="dxa"/>
          </w:tcPr>
          <w:p>
            <w:pPr>
              <w:pStyle w:val="TableParagraph"/>
              <w:spacing w:before="94"/>
              <w:ind w:left="85"/>
              <w:rPr>
                <w:sz w:val="18"/>
              </w:rPr>
            </w:pPr>
            <w:r>
              <w:rPr>
                <w:color w:val="105C84"/>
                <w:spacing w:val="-8"/>
                <w:sz w:val="18"/>
              </w:rPr>
              <w:t>K-12</w:t>
            </w:r>
            <w:r>
              <w:rPr>
                <w:color w:val="105C84"/>
                <w:spacing w:val="1"/>
                <w:sz w:val="18"/>
              </w:rPr>
              <w:t> </w:t>
            </w:r>
            <w:r>
              <w:rPr>
                <w:color w:val="105C84"/>
                <w:spacing w:val="-8"/>
                <w:sz w:val="18"/>
              </w:rPr>
              <w:t>School</w:t>
            </w:r>
          </w:p>
        </w:tc>
        <w:tc>
          <w:tcPr>
            <w:tcW w:w="1552" w:type="dxa"/>
          </w:tcPr>
          <w:p>
            <w:pPr>
              <w:pStyle w:val="TableParagraph"/>
              <w:spacing w:line="232" w:lineRule="auto" w:before="99"/>
              <w:ind w:left="84" w:right="84"/>
              <w:rPr>
                <w:sz w:val="18"/>
              </w:rPr>
            </w:pPr>
            <w:r>
              <w:rPr>
                <w:color w:val="105C84"/>
                <w:sz w:val="18"/>
              </w:rPr>
              <w:t>For</w:t>
            </w:r>
            <w:r>
              <w:rPr>
                <w:color w:val="105C84"/>
                <w:spacing w:val="-15"/>
                <w:sz w:val="18"/>
              </w:rPr>
              <w:t> </w:t>
            </w:r>
            <w:r>
              <w:rPr>
                <w:color w:val="105C84"/>
                <w:sz w:val="18"/>
              </w:rPr>
              <w:t>partner</w:t>
            </w:r>
            <w:r>
              <w:rPr>
                <w:color w:val="105C84"/>
                <w:spacing w:val="-12"/>
                <w:sz w:val="18"/>
              </w:rPr>
              <w:t> </w:t>
            </w:r>
            <w:r>
              <w:rPr>
                <w:color w:val="105C84"/>
                <w:sz w:val="18"/>
              </w:rPr>
              <w:t>roles, see projected year 2 and 3 </w:t>
            </w:r>
            <w:r>
              <w:rPr>
                <w:color w:val="105C84"/>
                <w:spacing w:val="-2"/>
                <w:sz w:val="18"/>
              </w:rPr>
              <w:t>columns</w:t>
            </w:r>
          </w:p>
          <w:p>
            <w:pPr>
              <w:pStyle w:val="TableParagraph"/>
              <w:spacing w:line="232" w:lineRule="auto" w:before="87"/>
              <w:ind w:left="84" w:right="224"/>
              <w:rPr>
                <w:sz w:val="18"/>
              </w:rPr>
            </w:pPr>
            <w:r>
              <w:rPr>
                <w:color w:val="105C84"/>
                <w:spacing w:val="-2"/>
                <w:sz w:val="18"/>
              </w:rPr>
              <w:t>Resources: information</w:t>
            </w:r>
          </w:p>
        </w:tc>
      </w:tr>
      <w:tr>
        <w:trPr>
          <w:trHeight w:val="1750" w:hRule="atLeast"/>
        </w:trPr>
        <w:tc>
          <w:tcPr>
            <w:tcW w:w="1180" w:type="dxa"/>
            <w:vMerge/>
            <w:tcBorders>
              <w:top w:val="nil"/>
            </w:tcBorders>
            <w:shd w:val="clear" w:color="auto" w:fill="E6E7E8"/>
          </w:tcPr>
          <w:p>
            <w:pPr>
              <w:rPr>
                <w:sz w:val="2"/>
                <w:szCs w:val="2"/>
              </w:rPr>
            </w:pPr>
          </w:p>
        </w:tc>
        <w:tc>
          <w:tcPr>
            <w:tcW w:w="1296" w:type="dxa"/>
            <w:vMerge/>
            <w:tcBorders>
              <w:top w:val="nil"/>
            </w:tcBorders>
          </w:tcPr>
          <w:p>
            <w:pPr>
              <w:rPr>
                <w:sz w:val="2"/>
                <w:szCs w:val="2"/>
              </w:rPr>
            </w:pPr>
          </w:p>
        </w:tc>
        <w:tc>
          <w:tcPr>
            <w:tcW w:w="1267" w:type="dxa"/>
            <w:vMerge/>
            <w:tcBorders>
              <w:top w:val="nil"/>
            </w:tcBorders>
          </w:tcPr>
          <w:p>
            <w:pPr>
              <w:rPr>
                <w:sz w:val="2"/>
                <w:szCs w:val="2"/>
              </w:rPr>
            </w:pPr>
          </w:p>
        </w:tc>
        <w:tc>
          <w:tcPr>
            <w:tcW w:w="1325" w:type="dxa"/>
            <w:vMerge/>
            <w:tcBorders>
              <w:top w:val="nil"/>
            </w:tcBorders>
          </w:tcPr>
          <w:p>
            <w:pPr>
              <w:rPr>
                <w:sz w:val="2"/>
                <w:szCs w:val="2"/>
              </w:rPr>
            </w:pPr>
          </w:p>
        </w:tc>
        <w:tc>
          <w:tcPr>
            <w:tcW w:w="1354" w:type="dxa"/>
            <w:vMerge/>
            <w:tcBorders>
              <w:top w:val="nil"/>
            </w:tcBorders>
          </w:tcPr>
          <w:p>
            <w:pPr>
              <w:rPr>
                <w:sz w:val="2"/>
                <w:szCs w:val="2"/>
              </w:rPr>
            </w:pPr>
          </w:p>
        </w:tc>
        <w:tc>
          <w:tcPr>
            <w:tcW w:w="1700" w:type="dxa"/>
            <w:vMerge/>
            <w:tcBorders>
              <w:top w:val="nil"/>
            </w:tcBorders>
          </w:tcPr>
          <w:p>
            <w:pPr>
              <w:rPr>
                <w:sz w:val="2"/>
                <w:szCs w:val="2"/>
              </w:rPr>
            </w:pPr>
          </w:p>
        </w:tc>
        <w:tc>
          <w:tcPr>
            <w:tcW w:w="6366" w:type="dxa"/>
          </w:tcPr>
          <w:p>
            <w:pPr>
              <w:pStyle w:val="TableParagraph"/>
              <w:spacing w:line="232" w:lineRule="auto" w:before="99"/>
              <w:ind w:left="89" w:right="4354"/>
              <w:rPr>
                <w:sz w:val="18"/>
              </w:rPr>
            </w:pPr>
            <w:r>
              <w:rPr>
                <w:color w:val="105C84"/>
                <w:sz w:val="18"/>
              </w:rPr>
              <w:t>WHIP</w:t>
            </w:r>
            <w:r>
              <w:rPr>
                <w:color w:val="105C84"/>
                <w:spacing w:val="-13"/>
                <w:sz w:val="18"/>
              </w:rPr>
              <w:t> </w:t>
            </w:r>
            <w:r>
              <w:rPr>
                <w:color w:val="105C84"/>
                <w:sz w:val="18"/>
              </w:rPr>
              <w:t>minutes</w:t>
            </w:r>
            <w:r>
              <w:rPr>
                <w:color w:val="105C84"/>
                <w:spacing w:val="-12"/>
                <w:sz w:val="18"/>
              </w:rPr>
              <w:t> </w:t>
            </w:r>
            <w:r>
              <w:rPr>
                <w:color w:val="105C84"/>
                <w:sz w:val="18"/>
              </w:rPr>
              <w:t>or</w:t>
            </w:r>
            <w:r>
              <w:rPr>
                <w:color w:val="105C84"/>
                <w:spacing w:val="-13"/>
                <w:sz w:val="18"/>
              </w:rPr>
              <w:t> </w:t>
            </w:r>
            <w:r>
              <w:rPr>
                <w:color w:val="105C84"/>
                <w:sz w:val="18"/>
              </w:rPr>
              <w:t>emails showing discussion of </w:t>
            </w:r>
            <w:r>
              <w:rPr>
                <w:color w:val="105C84"/>
                <w:spacing w:val="-2"/>
                <w:sz w:val="18"/>
              </w:rPr>
              <w:t>opportunities</w:t>
            </w:r>
          </w:p>
        </w:tc>
        <w:tc>
          <w:tcPr>
            <w:tcW w:w="2190" w:type="dxa"/>
          </w:tcPr>
          <w:p>
            <w:pPr>
              <w:pStyle w:val="TableParagraph"/>
              <w:spacing w:line="232" w:lineRule="auto" w:before="99"/>
              <w:ind w:left="87" w:right="212"/>
              <w:rPr>
                <w:sz w:val="18"/>
              </w:rPr>
            </w:pPr>
            <w:r>
              <w:rPr>
                <w:color w:val="105C84"/>
                <w:w w:val="105"/>
                <w:sz w:val="18"/>
              </w:rPr>
              <w:t>Identify</w:t>
            </w:r>
            <w:r>
              <w:rPr>
                <w:color w:val="105C84"/>
                <w:spacing w:val="-1"/>
                <w:w w:val="105"/>
                <w:sz w:val="18"/>
              </w:rPr>
              <w:t> </w:t>
            </w:r>
            <w:r>
              <w:rPr>
                <w:color w:val="105C84"/>
                <w:w w:val="105"/>
                <w:sz w:val="18"/>
              </w:rPr>
              <w:t>opportunities to increase public awareness of and demand</w:t>
            </w:r>
            <w:r>
              <w:rPr>
                <w:color w:val="105C84"/>
                <w:spacing w:val="-5"/>
                <w:w w:val="105"/>
                <w:sz w:val="18"/>
              </w:rPr>
              <w:t> </w:t>
            </w:r>
            <w:r>
              <w:rPr>
                <w:color w:val="105C84"/>
                <w:w w:val="105"/>
                <w:sz w:val="18"/>
              </w:rPr>
              <w:t>for</w:t>
            </w:r>
            <w:r>
              <w:rPr>
                <w:color w:val="105C84"/>
                <w:spacing w:val="-5"/>
                <w:w w:val="105"/>
                <w:sz w:val="18"/>
              </w:rPr>
              <w:t> </w:t>
            </w:r>
            <w:r>
              <w:rPr>
                <w:color w:val="105C84"/>
                <w:w w:val="105"/>
                <w:sz w:val="18"/>
              </w:rPr>
              <w:t>resilience initiatives,</w:t>
            </w:r>
            <w:r>
              <w:rPr>
                <w:color w:val="105C84"/>
                <w:spacing w:val="-14"/>
                <w:w w:val="105"/>
                <w:sz w:val="18"/>
              </w:rPr>
              <w:t> </w:t>
            </w:r>
            <w:r>
              <w:rPr>
                <w:color w:val="105C84"/>
                <w:w w:val="105"/>
                <w:sz w:val="18"/>
              </w:rPr>
              <w:t>such</w:t>
            </w:r>
            <w:r>
              <w:rPr>
                <w:color w:val="105C84"/>
                <w:spacing w:val="-13"/>
                <w:w w:val="105"/>
                <w:sz w:val="18"/>
              </w:rPr>
              <w:t> </w:t>
            </w:r>
            <w:r>
              <w:rPr>
                <w:color w:val="105C84"/>
                <w:w w:val="105"/>
                <w:sz w:val="18"/>
              </w:rPr>
              <w:t>as</w:t>
            </w:r>
            <w:r>
              <w:rPr>
                <w:color w:val="105C84"/>
                <w:spacing w:val="-13"/>
                <w:w w:val="105"/>
                <w:sz w:val="18"/>
              </w:rPr>
              <w:t> </w:t>
            </w:r>
            <w:r>
              <w:rPr>
                <w:color w:val="105C84"/>
                <w:w w:val="105"/>
                <w:sz w:val="18"/>
              </w:rPr>
              <w:t>the </w:t>
            </w:r>
            <w:r>
              <w:rPr>
                <w:color w:val="105C84"/>
                <w:spacing w:val="-4"/>
                <w:sz w:val="18"/>
              </w:rPr>
              <w:t>Finger</w:t>
            </w:r>
            <w:r>
              <w:rPr>
                <w:color w:val="105C84"/>
                <w:spacing w:val="-11"/>
                <w:sz w:val="18"/>
              </w:rPr>
              <w:t> </w:t>
            </w:r>
            <w:r>
              <w:rPr>
                <w:color w:val="105C84"/>
                <w:spacing w:val="-4"/>
                <w:sz w:val="18"/>
              </w:rPr>
              <w:t>Lakes</w:t>
            </w:r>
            <w:r>
              <w:rPr>
                <w:color w:val="105C84"/>
                <w:spacing w:val="-8"/>
                <w:sz w:val="18"/>
              </w:rPr>
              <w:t> </w:t>
            </w:r>
            <w:r>
              <w:rPr>
                <w:color w:val="105C84"/>
                <w:spacing w:val="-4"/>
                <w:sz w:val="18"/>
              </w:rPr>
              <w:t>Resiliency </w:t>
            </w:r>
            <w:r>
              <w:rPr>
                <w:color w:val="105C84"/>
                <w:w w:val="105"/>
                <w:sz w:val="18"/>
              </w:rPr>
              <w:t>Network, within the overall</w:t>
            </w:r>
            <w:r>
              <w:rPr>
                <w:color w:val="105C84"/>
                <w:spacing w:val="-1"/>
                <w:w w:val="105"/>
                <w:sz w:val="18"/>
              </w:rPr>
              <w:t> </w:t>
            </w:r>
            <w:r>
              <w:rPr>
                <w:color w:val="105C84"/>
                <w:w w:val="105"/>
                <w:sz w:val="18"/>
              </w:rPr>
              <w:t>community</w:t>
            </w:r>
          </w:p>
        </w:tc>
        <w:tc>
          <w:tcPr>
            <w:tcW w:w="2478" w:type="dxa"/>
          </w:tcPr>
          <w:p>
            <w:pPr>
              <w:pStyle w:val="TableParagraph"/>
              <w:spacing w:line="232" w:lineRule="auto" w:before="99"/>
              <w:ind w:left="86" w:right="78"/>
              <w:rPr>
                <w:sz w:val="18"/>
              </w:rPr>
            </w:pPr>
            <w:r>
              <w:rPr>
                <w:color w:val="105C84"/>
                <w:w w:val="105"/>
                <w:sz w:val="18"/>
              </w:rPr>
              <w:t>Identify opportunities to </w:t>
            </w:r>
            <w:r>
              <w:rPr>
                <w:color w:val="105C84"/>
                <w:sz w:val="18"/>
              </w:rPr>
              <w:t>increase</w:t>
            </w:r>
            <w:r>
              <w:rPr>
                <w:color w:val="105C84"/>
                <w:spacing w:val="-13"/>
                <w:sz w:val="18"/>
              </w:rPr>
              <w:t> </w:t>
            </w:r>
            <w:r>
              <w:rPr>
                <w:color w:val="105C84"/>
                <w:sz w:val="18"/>
              </w:rPr>
              <w:t>public</w:t>
            </w:r>
            <w:r>
              <w:rPr>
                <w:color w:val="105C84"/>
                <w:spacing w:val="-12"/>
                <w:sz w:val="18"/>
              </w:rPr>
              <w:t> </w:t>
            </w:r>
            <w:r>
              <w:rPr>
                <w:color w:val="105C84"/>
                <w:sz w:val="18"/>
              </w:rPr>
              <w:t>awareness</w:t>
            </w:r>
            <w:r>
              <w:rPr>
                <w:color w:val="105C84"/>
                <w:spacing w:val="-13"/>
                <w:sz w:val="18"/>
              </w:rPr>
              <w:t> </w:t>
            </w:r>
            <w:r>
              <w:rPr>
                <w:color w:val="105C84"/>
                <w:sz w:val="18"/>
              </w:rPr>
              <w:t>of </w:t>
            </w:r>
            <w:r>
              <w:rPr>
                <w:color w:val="105C84"/>
                <w:w w:val="105"/>
                <w:sz w:val="18"/>
              </w:rPr>
              <w:t>and demand for resilience </w:t>
            </w:r>
            <w:r>
              <w:rPr>
                <w:color w:val="105C84"/>
                <w:sz w:val="18"/>
              </w:rPr>
              <w:t>initiatives,</w:t>
            </w:r>
            <w:r>
              <w:rPr>
                <w:color w:val="105C84"/>
                <w:spacing w:val="-15"/>
                <w:sz w:val="18"/>
              </w:rPr>
              <w:t> </w:t>
            </w:r>
            <w:r>
              <w:rPr>
                <w:color w:val="105C84"/>
                <w:sz w:val="18"/>
              </w:rPr>
              <w:t>such</w:t>
            </w:r>
            <w:r>
              <w:rPr>
                <w:color w:val="105C84"/>
                <w:spacing w:val="-12"/>
                <w:sz w:val="18"/>
              </w:rPr>
              <w:t> </w:t>
            </w:r>
            <w:r>
              <w:rPr>
                <w:color w:val="105C84"/>
                <w:sz w:val="18"/>
              </w:rPr>
              <w:t>as</w:t>
            </w:r>
            <w:r>
              <w:rPr>
                <w:color w:val="105C84"/>
                <w:spacing w:val="-13"/>
                <w:sz w:val="18"/>
              </w:rPr>
              <w:t> </w:t>
            </w:r>
            <w:r>
              <w:rPr>
                <w:color w:val="105C84"/>
                <w:sz w:val="18"/>
              </w:rPr>
              <w:t>the</w:t>
            </w:r>
            <w:r>
              <w:rPr>
                <w:color w:val="105C84"/>
                <w:spacing w:val="-12"/>
                <w:sz w:val="18"/>
              </w:rPr>
              <w:t> </w:t>
            </w:r>
            <w:r>
              <w:rPr>
                <w:color w:val="105C84"/>
                <w:sz w:val="18"/>
              </w:rPr>
              <w:t>Finger </w:t>
            </w:r>
            <w:r>
              <w:rPr>
                <w:color w:val="105C84"/>
                <w:w w:val="105"/>
                <w:sz w:val="18"/>
              </w:rPr>
              <w:t>Lakes</w:t>
            </w:r>
            <w:r>
              <w:rPr>
                <w:color w:val="105C84"/>
                <w:spacing w:val="-4"/>
                <w:w w:val="105"/>
                <w:sz w:val="18"/>
              </w:rPr>
              <w:t> </w:t>
            </w:r>
            <w:r>
              <w:rPr>
                <w:color w:val="105C84"/>
                <w:w w:val="105"/>
                <w:sz w:val="18"/>
              </w:rPr>
              <w:t>Resiliency</w:t>
            </w:r>
            <w:r>
              <w:rPr>
                <w:color w:val="105C84"/>
                <w:spacing w:val="-4"/>
                <w:w w:val="105"/>
                <w:sz w:val="18"/>
              </w:rPr>
              <w:t> </w:t>
            </w:r>
            <w:r>
              <w:rPr>
                <w:color w:val="105C84"/>
                <w:w w:val="105"/>
                <w:sz w:val="18"/>
              </w:rPr>
              <w:t>Network, </w:t>
            </w:r>
            <w:r>
              <w:rPr>
                <w:color w:val="105C84"/>
                <w:sz w:val="18"/>
              </w:rPr>
              <w:t>within</w:t>
            </w:r>
            <w:r>
              <w:rPr>
                <w:color w:val="105C84"/>
                <w:spacing w:val="-3"/>
                <w:sz w:val="18"/>
              </w:rPr>
              <w:t> </w:t>
            </w:r>
            <w:r>
              <w:rPr>
                <w:color w:val="105C84"/>
                <w:sz w:val="18"/>
              </w:rPr>
              <w:t>the</w:t>
            </w:r>
            <w:r>
              <w:rPr>
                <w:color w:val="105C84"/>
                <w:spacing w:val="-3"/>
                <w:sz w:val="18"/>
              </w:rPr>
              <w:t> </w:t>
            </w:r>
            <w:r>
              <w:rPr>
                <w:color w:val="105C84"/>
                <w:sz w:val="18"/>
              </w:rPr>
              <w:t>overall</w:t>
            </w:r>
            <w:r>
              <w:rPr>
                <w:color w:val="105C84"/>
                <w:spacing w:val="-3"/>
                <w:sz w:val="18"/>
              </w:rPr>
              <w:t> </w:t>
            </w:r>
            <w:r>
              <w:rPr>
                <w:color w:val="105C84"/>
                <w:sz w:val="18"/>
              </w:rPr>
              <w:t>community</w:t>
            </w:r>
          </w:p>
        </w:tc>
        <w:tc>
          <w:tcPr>
            <w:tcW w:w="1499" w:type="dxa"/>
          </w:tcPr>
          <w:p>
            <w:pPr>
              <w:pStyle w:val="TableParagraph"/>
              <w:spacing w:line="232" w:lineRule="auto" w:before="98"/>
              <w:ind w:left="85"/>
              <w:rPr>
                <w:sz w:val="18"/>
              </w:rPr>
            </w:pPr>
            <w:r>
              <w:rPr>
                <w:color w:val="105C84"/>
                <w:spacing w:val="-2"/>
                <w:sz w:val="18"/>
              </w:rPr>
              <w:t>Community-based organizations</w:t>
            </w:r>
          </w:p>
        </w:tc>
        <w:tc>
          <w:tcPr>
            <w:tcW w:w="1552" w:type="dxa"/>
          </w:tcPr>
          <w:p>
            <w:pPr>
              <w:pStyle w:val="TableParagraph"/>
              <w:spacing w:line="232" w:lineRule="auto" w:before="98"/>
              <w:ind w:left="84" w:right="84"/>
              <w:rPr>
                <w:sz w:val="18"/>
              </w:rPr>
            </w:pPr>
            <w:r>
              <w:rPr>
                <w:color w:val="105C84"/>
                <w:sz w:val="18"/>
              </w:rPr>
              <w:t>For</w:t>
            </w:r>
            <w:r>
              <w:rPr>
                <w:color w:val="105C84"/>
                <w:spacing w:val="-15"/>
                <w:sz w:val="18"/>
              </w:rPr>
              <w:t> </w:t>
            </w:r>
            <w:r>
              <w:rPr>
                <w:color w:val="105C84"/>
                <w:sz w:val="18"/>
              </w:rPr>
              <w:t>partner</w:t>
            </w:r>
            <w:r>
              <w:rPr>
                <w:color w:val="105C84"/>
                <w:spacing w:val="-12"/>
                <w:sz w:val="18"/>
              </w:rPr>
              <w:t> </w:t>
            </w:r>
            <w:r>
              <w:rPr>
                <w:color w:val="105C84"/>
                <w:sz w:val="18"/>
              </w:rPr>
              <w:t>roles, see projected year 2 and 3 </w:t>
            </w:r>
            <w:r>
              <w:rPr>
                <w:color w:val="105C84"/>
                <w:spacing w:val="-2"/>
                <w:sz w:val="18"/>
              </w:rPr>
              <w:t>columns</w:t>
            </w:r>
          </w:p>
          <w:p>
            <w:pPr>
              <w:pStyle w:val="TableParagraph"/>
              <w:spacing w:line="232" w:lineRule="auto" w:before="87"/>
              <w:ind w:left="84" w:right="224"/>
              <w:rPr>
                <w:sz w:val="18"/>
              </w:rPr>
            </w:pPr>
            <w:r>
              <w:rPr>
                <w:color w:val="105C84"/>
                <w:spacing w:val="-2"/>
                <w:sz w:val="18"/>
              </w:rPr>
              <w:t>Resources: information</w:t>
            </w:r>
          </w:p>
        </w:tc>
      </w:tr>
      <w:tr>
        <w:trPr>
          <w:trHeight w:val="1730" w:hRule="atLeast"/>
        </w:trPr>
        <w:tc>
          <w:tcPr>
            <w:tcW w:w="1180" w:type="dxa"/>
            <w:vMerge/>
            <w:tcBorders>
              <w:top w:val="nil"/>
            </w:tcBorders>
            <w:shd w:val="clear" w:color="auto" w:fill="E6E7E8"/>
          </w:tcPr>
          <w:p>
            <w:pPr>
              <w:rPr>
                <w:sz w:val="2"/>
                <w:szCs w:val="2"/>
              </w:rPr>
            </w:pPr>
          </w:p>
        </w:tc>
        <w:tc>
          <w:tcPr>
            <w:tcW w:w="1296" w:type="dxa"/>
            <w:vMerge/>
            <w:tcBorders>
              <w:top w:val="nil"/>
            </w:tcBorders>
          </w:tcPr>
          <w:p>
            <w:pPr>
              <w:rPr>
                <w:sz w:val="2"/>
                <w:szCs w:val="2"/>
              </w:rPr>
            </w:pPr>
          </w:p>
        </w:tc>
        <w:tc>
          <w:tcPr>
            <w:tcW w:w="1267" w:type="dxa"/>
            <w:vMerge/>
            <w:tcBorders>
              <w:top w:val="nil"/>
            </w:tcBorders>
          </w:tcPr>
          <w:p>
            <w:pPr>
              <w:rPr>
                <w:sz w:val="2"/>
                <w:szCs w:val="2"/>
              </w:rPr>
            </w:pPr>
          </w:p>
        </w:tc>
        <w:tc>
          <w:tcPr>
            <w:tcW w:w="1325" w:type="dxa"/>
            <w:vMerge/>
            <w:tcBorders>
              <w:top w:val="nil"/>
            </w:tcBorders>
          </w:tcPr>
          <w:p>
            <w:pPr>
              <w:rPr>
                <w:sz w:val="2"/>
                <w:szCs w:val="2"/>
              </w:rPr>
            </w:pPr>
          </w:p>
        </w:tc>
        <w:tc>
          <w:tcPr>
            <w:tcW w:w="1354" w:type="dxa"/>
            <w:vMerge/>
            <w:tcBorders>
              <w:top w:val="nil"/>
            </w:tcBorders>
          </w:tcPr>
          <w:p>
            <w:pPr>
              <w:rPr>
                <w:sz w:val="2"/>
                <w:szCs w:val="2"/>
              </w:rPr>
            </w:pPr>
          </w:p>
        </w:tc>
        <w:tc>
          <w:tcPr>
            <w:tcW w:w="1700" w:type="dxa"/>
            <w:vMerge/>
            <w:tcBorders>
              <w:top w:val="nil"/>
            </w:tcBorders>
          </w:tcPr>
          <w:p>
            <w:pPr>
              <w:rPr>
                <w:sz w:val="2"/>
                <w:szCs w:val="2"/>
              </w:rPr>
            </w:pPr>
          </w:p>
        </w:tc>
        <w:tc>
          <w:tcPr>
            <w:tcW w:w="6366" w:type="dxa"/>
          </w:tcPr>
          <w:p>
            <w:pPr>
              <w:pStyle w:val="TableParagraph"/>
              <w:spacing w:line="232" w:lineRule="auto" w:before="98"/>
              <w:ind w:left="89" w:right="4354"/>
              <w:rPr>
                <w:sz w:val="18"/>
              </w:rPr>
            </w:pPr>
            <w:r>
              <w:rPr>
                <w:color w:val="105C84"/>
                <w:sz w:val="18"/>
              </w:rPr>
              <w:t>2+</w:t>
            </w:r>
            <w:r>
              <w:rPr>
                <w:color w:val="105C84"/>
                <w:spacing w:val="-13"/>
                <w:sz w:val="18"/>
              </w:rPr>
              <w:t> </w:t>
            </w:r>
            <w:r>
              <w:rPr>
                <w:color w:val="105C84"/>
                <w:sz w:val="18"/>
              </w:rPr>
              <w:t>unified</w:t>
            </w:r>
            <w:r>
              <w:rPr>
                <w:color w:val="105C84"/>
                <w:spacing w:val="-12"/>
                <w:sz w:val="18"/>
              </w:rPr>
              <w:t> </w:t>
            </w:r>
            <w:r>
              <w:rPr>
                <w:color w:val="105C84"/>
                <w:sz w:val="18"/>
              </w:rPr>
              <w:t>messages</w:t>
            </w:r>
            <w:r>
              <w:rPr>
                <w:color w:val="105C84"/>
                <w:spacing w:val="-13"/>
                <w:sz w:val="18"/>
              </w:rPr>
              <w:t> </w:t>
            </w:r>
            <w:r>
              <w:rPr>
                <w:color w:val="105C84"/>
                <w:sz w:val="18"/>
              </w:rPr>
              <w:t>in both 2020 and 2021</w:t>
            </w:r>
          </w:p>
        </w:tc>
        <w:tc>
          <w:tcPr>
            <w:tcW w:w="2190" w:type="dxa"/>
          </w:tcPr>
          <w:p>
            <w:pPr>
              <w:pStyle w:val="TableParagraph"/>
              <w:spacing w:line="232" w:lineRule="auto" w:before="98"/>
              <w:ind w:left="87" w:right="212"/>
              <w:rPr>
                <w:sz w:val="18"/>
              </w:rPr>
            </w:pPr>
            <w:r>
              <w:rPr>
                <w:color w:val="105C84"/>
                <w:sz w:val="18"/>
              </w:rPr>
              <w:t>Increase provider and community awareness of mental health’s mobile response team(s)</w:t>
            </w:r>
            <w:r>
              <w:rPr>
                <w:color w:val="105C84"/>
                <w:spacing w:val="-15"/>
                <w:sz w:val="18"/>
              </w:rPr>
              <w:t> </w:t>
            </w:r>
            <w:r>
              <w:rPr>
                <w:color w:val="105C84"/>
                <w:sz w:val="18"/>
              </w:rPr>
              <w:t>through</w:t>
            </w:r>
            <w:r>
              <w:rPr>
                <w:color w:val="105C84"/>
                <w:spacing w:val="-12"/>
                <w:sz w:val="18"/>
              </w:rPr>
              <w:t> </w:t>
            </w:r>
            <w:r>
              <w:rPr>
                <w:color w:val="105C84"/>
                <w:sz w:val="18"/>
              </w:rPr>
              <w:t>unified </w:t>
            </w:r>
            <w:r>
              <w:rPr>
                <w:color w:val="105C84"/>
                <w:spacing w:val="-2"/>
                <w:sz w:val="18"/>
              </w:rPr>
              <w:t>messaging</w:t>
            </w:r>
          </w:p>
        </w:tc>
        <w:tc>
          <w:tcPr>
            <w:tcW w:w="2478" w:type="dxa"/>
          </w:tcPr>
          <w:p>
            <w:pPr>
              <w:pStyle w:val="TableParagraph"/>
              <w:spacing w:line="232" w:lineRule="auto" w:before="98"/>
              <w:ind w:left="86"/>
              <w:rPr>
                <w:sz w:val="18"/>
              </w:rPr>
            </w:pPr>
            <w:r>
              <w:rPr>
                <w:color w:val="105C84"/>
                <w:sz w:val="18"/>
              </w:rPr>
              <w:t>Increase provider and community awareness of mental health’s mobile </w:t>
            </w:r>
            <w:r>
              <w:rPr>
                <w:color w:val="105C84"/>
                <w:spacing w:val="-2"/>
                <w:sz w:val="18"/>
              </w:rPr>
              <w:t>response</w:t>
            </w:r>
            <w:r>
              <w:rPr>
                <w:color w:val="105C84"/>
                <w:spacing w:val="-13"/>
                <w:sz w:val="18"/>
              </w:rPr>
              <w:t> </w:t>
            </w:r>
            <w:r>
              <w:rPr>
                <w:color w:val="105C84"/>
                <w:spacing w:val="-2"/>
                <w:sz w:val="18"/>
              </w:rPr>
              <w:t>team(s)</w:t>
            </w:r>
            <w:r>
              <w:rPr>
                <w:color w:val="105C84"/>
                <w:spacing w:val="-10"/>
                <w:sz w:val="18"/>
              </w:rPr>
              <w:t> </w:t>
            </w:r>
            <w:r>
              <w:rPr>
                <w:color w:val="105C84"/>
                <w:spacing w:val="-2"/>
                <w:sz w:val="18"/>
              </w:rPr>
              <w:t>through </w:t>
            </w:r>
            <w:r>
              <w:rPr>
                <w:color w:val="105C84"/>
                <w:sz w:val="18"/>
              </w:rPr>
              <w:t>unified messaging</w:t>
            </w:r>
          </w:p>
        </w:tc>
        <w:tc>
          <w:tcPr>
            <w:tcW w:w="1499" w:type="dxa"/>
          </w:tcPr>
          <w:p>
            <w:pPr>
              <w:pStyle w:val="TableParagraph"/>
              <w:spacing w:line="232" w:lineRule="auto" w:before="98"/>
              <w:ind w:left="85" w:right="120"/>
              <w:rPr>
                <w:sz w:val="18"/>
              </w:rPr>
            </w:pPr>
            <w:r>
              <w:rPr>
                <w:color w:val="105C84"/>
                <w:spacing w:val="-2"/>
                <w:sz w:val="18"/>
              </w:rPr>
              <w:t>Local governmental </w:t>
            </w:r>
            <w:r>
              <w:rPr>
                <w:color w:val="105C84"/>
                <w:spacing w:val="-4"/>
                <w:sz w:val="18"/>
              </w:rPr>
              <w:t>unit</w:t>
            </w:r>
          </w:p>
        </w:tc>
        <w:tc>
          <w:tcPr>
            <w:tcW w:w="1552" w:type="dxa"/>
          </w:tcPr>
          <w:p>
            <w:pPr>
              <w:pStyle w:val="TableParagraph"/>
              <w:spacing w:line="232" w:lineRule="auto" w:before="98"/>
              <w:ind w:left="84" w:right="84"/>
              <w:rPr>
                <w:sz w:val="18"/>
              </w:rPr>
            </w:pPr>
            <w:r>
              <w:rPr>
                <w:color w:val="105C84"/>
                <w:sz w:val="18"/>
              </w:rPr>
              <w:t>For</w:t>
            </w:r>
            <w:r>
              <w:rPr>
                <w:color w:val="105C84"/>
                <w:spacing w:val="-15"/>
                <w:sz w:val="18"/>
              </w:rPr>
              <w:t> </w:t>
            </w:r>
            <w:r>
              <w:rPr>
                <w:color w:val="105C84"/>
                <w:sz w:val="18"/>
              </w:rPr>
              <w:t>partner</w:t>
            </w:r>
            <w:r>
              <w:rPr>
                <w:color w:val="105C84"/>
                <w:spacing w:val="-12"/>
                <w:sz w:val="18"/>
              </w:rPr>
              <w:t> </w:t>
            </w:r>
            <w:r>
              <w:rPr>
                <w:color w:val="105C84"/>
                <w:sz w:val="18"/>
              </w:rPr>
              <w:t>roles, see projected year 2 and 3 </w:t>
            </w:r>
            <w:r>
              <w:rPr>
                <w:color w:val="105C84"/>
                <w:spacing w:val="-2"/>
                <w:sz w:val="18"/>
              </w:rPr>
              <w:t>columns</w:t>
            </w:r>
          </w:p>
          <w:p>
            <w:pPr>
              <w:pStyle w:val="TableParagraph"/>
              <w:spacing w:line="232" w:lineRule="auto" w:before="87"/>
              <w:ind w:left="84" w:right="224"/>
              <w:rPr>
                <w:sz w:val="18"/>
              </w:rPr>
            </w:pPr>
            <w:r>
              <w:rPr>
                <w:color w:val="105C84"/>
                <w:spacing w:val="-2"/>
                <w:w w:val="90"/>
                <w:sz w:val="18"/>
              </w:rPr>
              <w:t>Resources: </w:t>
            </w:r>
            <w:r>
              <w:rPr>
                <w:color w:val="105C84"/>
                <w:spacing w:val="-2"/>
                <w:sz w:val="18"/>
              </w:rPr>
              <w:t>unified messages</w:t>
            </w:r>
          </w:p>
        </w:tc>
      </w:tr>
      <w:tr>
        <w:trPr>
          <w:trHeight w:val="2129" w:hRule="atLeast"/>
        </w:trPr>
        <w:tc>
          <w:tcPr>
            <w:tcW w:w="1180" w:type="dxa"/>
            <w:vMerge/>
            <w:tcBorders>
              <w:top w:val="nil"/>
            </w:tcBorders>
            <w:shd w:val="clear" w:color="auto" w:fill="E6E7E8"/>
          </w:tcPr>
          <w:p>
            <w:pPr>
              <w:rPr>
                <w:sz w:val="2"/>
                <w:szCs w:val="2"/>
              </w:rPr>
            </w:pPr>
          </w:p>
        </w:tc>
        <w:tc>
          <w:tcPr>
            <w:tcW w:w="1296" w:type="dxa"/>
            <w:vMerge/>
            <w:tcBorders>
              <w:top w:val="nil"/>
            </w:tcBorders>
          </w:tcPr>
          <w:p>
            <w:pPr>
              <w:rPr>
                <w:sz w:val="2"/>
                <w:szCs w:val="2"/>
              </w:rPr>
            </w:pPr>
          </w:p>
        </w:tc>
        <w:tc>
          <w:tcPr>
            <w:tcW w:w="1267" w:type="dxa"/>
            <w:vMerge/>
            <w:tcBorders>
              <w:top w:val="nil"/>
            </w:tcBorders>
          </w:tcPr>
          <w:p>
            <w:pPr>
              <w:rPr>
                <w:sz w:val="2"/>
                <w:szCs w:val="2"/>
              </w:rPr>
            </w:pPr>
          </w:p>
        </w:tc>
        <w:tc>
          <w:tcPr>
            <w:tcW w:w="1325" w:type="dxa"/>
            <w:vMerge/>
            <w:tcBorders>
              <w:top w:val="nil"/>
            </w:tcBorders>
          </w:tcPr>
          <w:p>
            <w:pPr>
              <w:rPr>
                <w:sz w:val="2"/>
                <w:szCs w:val="2"/>
              </w:rPr>
            </w:pPr>
          </w:p>
        </w:tc>
        <w:tc>
          <w:tcPr>
            <w:tcW w:w="1354" w:type="dxa"/>
            <w:vMerge/>
            <w:tcBorders>
              <w:top w:val="nil"/>
            </w:tcBorders>
          </w:tcPr>
          <w:p>
            <w:pPr>
              <w:rPr>
                <w:sz w:val="2"/>
                <w:szCs w:val="2"/>
              </w:rPr>
            </w:pPr>
          </w:p>
        </w:tc>
        <w:tc>
          <w:tcPr>
            <w:tcW w:w="1700" w:type="dxa"/>
            <w:vMerge/>
            <w:tcBorders>
              <w:top w:val="nil"/>
            </w:tcBorders>
          </w:tcPr>
          <w:p>
            <w:pPr>
              <w:rPr>
                <w:sz w:val="2"/>
                <w:szCs w:val="2"/>
              </w:rPr>
            </w:pPr>
          </w:p>
        </w:tc>
        <w:tc>
          <w:tcPr>
            <w:tcW w:w="6366" w:type="dxa"/>
          </w:tcPr>
          <w:p>
            <w:pPr>
              <w:pStyle w:val="TableParagraph"/>
              <w:spacing w:line="232" w:lineRule="auto" w:before="98"/>
              <w:ind w:left="89" w:right="4354"/>
              <w:rPr>
                <w:sz w:val="18"/>
              </w:rPr>
            </w:pPr>
            <w:r>
              <w:rPr>
                <w:color w:val="105C84"/>
                <w:sz w:val="18"/>
              </w:rPr>
              <w:t>1+</w:t>
            </w:r>
            <w:r>
              <w:rPr>
                <w:color w:val="105C84"/>
                <w:spacing w:val="-11"/>
                <w:sz w:val="18"/>
              </w:rPr>
              <w:t> </w:t>
            </w:r>
            <w:r>
              <w:rPr>
                <w:color w:val="105C84"/>
                <w:sz w:val="18"/>
              </w:rPr>
              <w:t>unified</w:t>
            </w:r>
            <w:r>
              <w:rPr>
                <w:color w:val="105C84"/>
                <w:spacing w:val="-11"/>
                <w:sz w:val="18"/>
              </w:rPr>
              <w:t> </w:t>
            </w:r>
            <w:r>
              <w:rPr>
                <w:color w:val="105C84"/>
                <w:sz w:val="18"/>
              </w:rPr>
              <w:t>message</w:t>
            </w:r>
            <w:r>
              <w:rPr>
                <w:color w:val="105C84"/>
                <w:spacing w:val="-11"/>
                <w:sz w:val="18"/>
              </w:rPr>
              <w:t> </w:t>
            </w:r>
            <w:r>
              <w:rPr>
                <w:color w:val="105C84"/>
                <w:sz w:val="18"/>
              </w:rPr>
              <w:t>per course offered</w:t>
            </w:r>
          </w:p>
        </w:tc>
        <w:tc>
          <w:tcPr>
            <w:tcW w:w="2190" w:type="dxa"/>
          </w:tcPr>
          <w:p>
            <w:pPr>
              <w:pStyle w:val="TableParagraph"/>
              <w:spacing w:line="232" w:lineRule="auto" w:before="98"/>
              <w:ind w:left="87" w:right="164"/>
              <w:rPr>
                <w:sz w:val="18"/>
              </w:rPr>
            </w:pPr>
            <w:r>
              <w:rPr>
                <w:color w:val="105C84"/>
                <w:sz w:val="18"/>
              </w:rPr>
              <w:t>Use unified messaging to promote aging &amp; </w:t>
            </w:r>
            <w:r>
              <w:rPr>
                <w:color w:val="105C84"/>
                <w:spacing w:val="-2"/>
                <w:sz w:val="18"/>
              </w:rPr>
              <w:t>youth’s</w:t>
            </w:r>
            <w:r>
              <w:rPr>
                <w:color w:val="105C84"/>
                <w:spacing w:val="-11"/>
                <w:sz w:val="18"/>
              </w:rPr>
              <w:t> </w:t>
            </w:r>
            <w:r>
              <w:rPr>
                <w:color w:val="105C84"/>
                <w:spacing w:val="-2"/>
                <w:sz w:val="18"/>
              </w:rPr>
              <w:t>evidence-</w:t>
            </w:r>
            <w:r>
              <w:rPr>
                <w:color w:val="105C84"/>
                <w:spacing w:val="-2"/>
                <w:sz w:val="18"/>
              </w:rPr>
              <w:t>based </w:t>
            </w:r>
            <w:r>
              <w:rPr>
                <w:color w:val="105C84"/>
                <w:sz w:val="18"/>
              </w:rPr>
              <w:t>powerful tools for caregivers course</w:t>
            </w:r>
          </w:p>
        </w:tc>
        <w:tc>
          <w:tcPr>
            <w:tcW w:w="2478" w:type="dxa"/>
          </w:tcPr>
          <w:p>
            <w:pPr>
              <w:pStyle w:val="TableParagraph"/>
              <w:spacing w:line="232" w:lineRule="auto" w:before="98"/>
              <w:ind w:left="86" w:right="284"/>
              <w:jc w:val="both"/>
              <w:rPr>
                <w:sz w:val="18"/>
              </w:rPr>
            </w:pPr>
            <w:r>
              <w:rPr>
                <w:color w:val="105C84"/>
                <w:sz w:val="18"/>
              </w:rPr>
              <w:t>Use unified messaging to promote aging &amp; youth’s evidence-based powerful tools</w:t>
            </w:r>
            <w:r>
              <w:rPr>
                <w:color w:val="105C84"/>
                <w:spacing w:val="-7"/>
                <w:sz w:val="18"/>
              </w:rPr>
              <w:t> </w:t>
            </w:r>
            <w:r>
              <w:rPr>
                <w:color w:val="105C84"/>
                <w:sz w:val="18"/>
              </w:rPr>
              <w:t>for</w:t>
            </w:r>
            <w:r>
              <w:rPr>
                <w:color w:val="105C84"/>
                <w:spacing w:val="-7"/>
                <w:sz w:val="18"/>
              </w:rPr>
              <w:t> </w:t>
            </w:r>
            <w:r>
              <w:rPr>
                <w:color w:val="105C84"/>
                <w:sz w:val="18"/>
              </w:rPr>
              <w:t>caregivers</w:t>
            </w:r>
            <w:r>
              <w:rPr>
                <w:color w:val="105C84"/>
                <w:spacing w:val="-7"/>
                <w:sz w:val="18"/>
              </w:rPr>
              <w:t> </w:t>
            </w:r>
            <w:r>
              <w:rPr>
                <w:color w:val="105C84"/>
                <w:spacing w:val="-2"/>
                <w:sz w:val="18"/>
              </w:rPr>
              <w:t>course</w:t>
            </w:r>
          </w:p>
        </w:tc>
        <w:tc>
          <w:tcPr>
            <w:tcW w:w="1499" w:type="dxa"/>
          </w:tcPr>
          <w:p>
            <w:pPr>
              <w:pStyle w:val="TableParagraph"/>
              <w:spacing w:line="232" w:lineRule="auto" w:before="98"/>
              <w:ind w:left="85"/>
              <w:rPr>
                <w:sz w:val="18"/>
              </w:rPr>
            </w:pPr>
            <w:r>
              <w:rPr>
                <w:color w:val="105C84"/>
                <w:spacing w:val="-2"/>
                <w:w w:val="105"/>
                <w:sz w:val="18"/>
              </w:rPr>
              <w:t>Office</w:t>
            </w:r>
            <w:r>
              <w:rPr>
                <w:color w:val="105C84"/>
                <w:spacing w:val="-12"/>
                <w:w w:val="105"/>
                <w:sz w:val="18"/>
              </w:rPr>
              <w:t> </w:t>
            </w:r>
            <w:r>
              <w:rPr>
                <w:color w:val="105C84"/>
                <w:spacing w:val="-2"/>
                <w:w w:val="105"/>
                <w:sz w:val="18"/>
              </w:rPr>
              <w:t>for</w:t>
            </w:r>
            <w:r>
              <w:rPr>
                <w:color w:val="105C84"/>
                <w:spacing w:val="-11"/>
                <w:w w:val="105"/>
                <w:sz w:val="18"/>
              </w:rPr>
              <w:t> </w:t>
            </w:r>
            <w:r>
              <w:rPr>
                <w:color w:val="105C84"/>
                <w:spacing w:val="-2"/>
                <w:w w:val="105"/>
                <w:sz w:val="18"/>
              </w:rPr>
              <w:t>the Aging</w:t>
            </w:r>
          </w:p>
        </w:tc>
        <w:tc>
          <w:tcPr>
            <w:tcW w:w="1552" w:type="dxa"/>
          </w:tcPr>
          <w:p>
            <w:pPr>
              <w:pStyle w:val="TableParagraph"/>
              <w:spacing w:line="232" w:lineRule="auto" w:before="98"/>
              <w:ind w:left="84" w:right="84"/>
              <w:rPr>
                <w:sz w:val="18"/>
              </w:rPr>
            </w:pPr>
            <w:r>
              <w:rPr>
                <w:color w:val="105C84"/>
                <w:sz w:val="18"/>
              </w:rPr>
              <w:t>For</w:t>
            </w:r>
            <w:r>
              <w:rPr>
                <w:color w:val="105C84"/>
                <w:spacing w:val="-15"/>
                <w:sz w:val="18"/>
              </w:rPr>
              <w:t> </w:t>
            </w:r>
            <w:r>
              <w:rPr>
                <w:color w:val="105C84"/>
                <w:sz w:val="18"/>
              </w:rPr>
              <w:t>partner</w:t>
            </w:r>
            <w:r>
              <w:rPr>
                <w:color w:val="105C84"/>
                <w:spacing w:val="-12"/>
                <w:sz w:val="18"/>
              </w:rPr>
              <w:t> </w:t>
            </w:r>
            <w:r>
              <w:rPr>
                <w:color w:val="105C84"/>
                <w:sz w:val="18"/>
              </w:rPr>
              <w:t>roles, see projected year 2 and 3 </w:t>
            </w:r>
            <w:r>
              <w:rPr>
                <w:color w:val="105C84"/>
                <w:spacing w:val="-2"/>
                <w:sz w:val="18"/>
              </w:rPr>
              <w:t>columns</w:t>
            </w:r>
          </w:p>
          <w:p>
            <w:pPr>
              <w:pStyle w:val="TableParagraph"/>
              <w:spacing w:line="232" w:lineRule="auto" w:before="87"/>
              <w:ind w:left="84" w:right="224"/>
              <w:rPr>
                <w:sz w:val="18"/>
              </w:rPr>
            </w:pPr>
            <w:r>
              <w:rPr>
                <w:color w:val="105C84"/>
                <w:spacing w:val="-2"/>
                <w:sz w:val="18"/>
              </w:rPr>
              <w:t>Resources: unified messages, promotional materials</w:t>
            </w:r>
          </w:p>
        </w:tc>
      </w:tr>
    </w:tbl>
    <w:p>
      <w:pPr>
        <w:pStyle w:val="BodyText"/>
        <w:rPr>
          <w:b/>
          <w:sz w:val="26"/>
        </w:rPr>
      </w:pPr>
    </w:p>
    <w:p>
      <w:pPr>
        <w:pStyle w:val="BodyText"/>
        <w:rPr>
          <w:b/>
          <w:sz w:val="26"/>
        </w:rPr>
      </w:pPr>
    </w:p>
    <w:p>
      <w:pPr>
        <w:pStyle w:val="BodyText"/>
        <w:spacing w:before="185"/>
        <w:rPr>
          <w:b/>
          <w:sz w:val="26"/>
        </w:rPr>
      </w:pPr>
    </w:p>
    <w:p>
      <w:pPr>
        <w:tabs>
          <w:tab w:pos="23047" w:val="left" w:leader="none"/>
        </w:tabs>
        <w:spacing w:before="0"/>
        <w:ind w:left="0" w:right="0" w:firstLine="0"/>
        <w:jc w:val="left"/>
        <w:rPr>
          <w:b/>
          <w:sz w:val="26"/>
        </w:rPr>
      </w:pPr>
      <w:r>
        <w:rPr>
          <w:position w:val="-4"/>
        </w:rPr>
        <w:drawing>
          <wp:inline distT="0" distB="0" distL="0" distR="0">
            <wp:extent cx="568172" cy="184683"/>
            <wp:effectExtent l="0" t="0" r="0" b="0"/>
            <wp:docPr id="2080" name="Image 2080"/>
            <wp:cNvGraphicFramePr>
              <a:graphicFrameLocks/>
            </wp:cNvGraphicFramePr>
            <a:graphic>
              <a:graphicData uri="http://schemas.openxmlformats.org/drawingml/2006/picture">
                <pic:pic>
                  <pic:nvPicPr>
                    <pic:cNvPr id="2080" name="Image 2080"/>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13"/>
          <w:sz w:val="20"/>
        </w:rPr>
        <w:t> </w:t>
      </w:r>
      <w:r>
        <w:rPr>
          <w:b/>
          <w:color w:val="939598"/>
          <w:w w:val="105"/>
          <w:sz w:val="26"/>
        </w:rPr>
        <w:t>239</w:t>
      </w:r>
      <w:r>
        <w:rPr>
          <w:b/>
          <w:color w:val="939598"/>
          <w:sz w:val="26"/>
        </w:rPr>
        <w:tab/>
      </w:r>
      <w:r>
        <w:rPr>
          <w:b/>
          <w:color w:val="939598"/>
          <w:spacing w:val="-5"/>
          <w:w w:val="105"/>
          <w:sz w:val="26"/>
        </w:rPr>
        <w:t>240</w:t>
      </w:r>
    </w:p>
    <w:p>
      <w:pPr>
        <w:spacing w:after="0"/>
        <w:jc w:val="left"/>
        <w:rPr>
          <w:b/>
          <w:sz w:val="26"/>
        </w:rPr>
        <w:sectPr>
          <w:pgSz w:w="24480" w:h="15840" w:orient="landscape"/>
          <w:pgMar w:header="0" w:footer="0" w:top="860" w:bottom="0" w:left="0" w:right="720"/>
        </w:sectPr>
      </w:pPr>
    </w:p>
    <w:p>
      <w:pPr>
        <w:pStyle w:val="Heading2"/>
        <w:spacing w:before="609"/>
      </w:pPr>
      <w:r>
        <w:rPr/>
        <w:drawing>
          <wp:anchor distT="0" distB="0" distL="0" distR="0" allowOverlap="1" layoutInCell="1" locked="0" behindDoc="0" simplePos="0" relativeHeight="16050688">
            <wp:simplePos x="0" y="0"/>
            <wp:positionH relativeFrom="page">
              <wp:posOffset>14292898</wp:posOffset>
            </wp:positionH>
            <wp:positionV relativeFrom="paragraph">
              <wp:posOffset>347471</wp:posOffset>
            </wp:positionV>
            <wp:extent cx="620077" cy="580072"/>
            <wp:effectExtent l="0" t="0" r="0" b="0"/>
            <wp:wrapNone/>
            <wp:docPr id="2086" name="Image 2086"/>
            <wp:cNvGraphicFramePr>
              <a:graphicFrameLocks/>
            </wp:cNvGraphicFramePr>
            <a:graphic>
              <a:graphicData uri="http://schemas.openxmlformats.org/drawingml/2006/picture">
                <pic:pic>
                  <pic:nvPicPr>
                    <pic:cNvPr id="2086" name="Image 2086"/>
                    <pic:cNvPicPr/>
                  </pic:nvPicPr>
                  <pic:blipFill>
                    <a:blip r:embed="rId268" cstate="print"/>
                    <a:stretch>
                      <a:fillRect/>
                    </a:stretch>
                  </pic:blipFill>
                  <pic:spPr>
                    <a:xfrm>
                      <a:off x="0" y="0"/>
                      <a:ext cx="620077" cy="580072"/>
                    </a:xfrm>
                    <a:prstGeom prst="rect">
                      <a:avLst/>
                    </a:prstGeom>
                  </pic:spPr>
                </pic:pic>
              </a:graphicData>
            </a:graphic>
          </wp:anchor>
        </w:drawing>
      </w:r>
      <w:r>
        <w:rPr/>
        <w:drawing>
          <wp:anchor distT="0" distB="0" distL="0" distR="0" allowOverlap="1" layoutInCell="1" locked="0" behindDoc="0" simplePos="0" relativeHeight="16051200">
            <wp:simplePos x="0" y="0"/>
            <wp:positionH relativeFrom="page">
              <wp:posOffset>14981556</wp:posOffset>
            </wp:positionH>
            <wp:positionV relativeFrom="page">
              <wp:posOffset>9668103</wp:posOffset>
            </wp:positionV>
            <wp:extent cx="563245" cy="184683"/>
            <wp:effectExtent l="0" t="0" r="0" b="0"/>
            <wp:wrapNone/>
            <wp:docPr id="2087" name="Image 2087"/>
            <wp:cNvGraphicFramePr>
              <a:graphicFrameLocks/>
            </wp:cNvGraphicFramePr>
            <a:graphic>
              <a:graphicData uri="http://schemas.openxmlformats.org/drawingml/2006/picture">
                <pic:pic>
                  <pic:nvPicPr>
                    <pic:cNvPr id="2087" name="Image 2087"/>
                    <pic:cNvPicPr/>
                  </pic:nvPicPr>
                  <pic:blipFill>
                    <a:blip r:embed="rId38" cstate="print"/>
                    <a:stretch>
                      <a:fillRect/>
                    </a:stretch>
                  </pic:blipFill>
                  <pic:spPr>
                    <a:xfrm>
                      <a:off x="0" y="0"/>
                      <a:ext cx="563245" cy="184683"/>
                    </a:xfrm>
                    <a:prstGeom prst="rect">
                      <a:avLst/>
                    </a:prstGeom>
                  </pic:spPr>
                </pic:pic>
              </a:graphicData>
            </a:graphic>
          </wp:anchor>
        </w:drawing>
      </w:r>
      <w:r>
        <w:rPr/>
        <w:drawing>
          <wp:anchor distT="0" distB="0" distL="0" distR="0" allowOverlap="1" layoutInCell="1" locked="0" behindDoc="0" simplePos="0" relativeHeight="16051712">
            <wp:simplePos x="0" y="0"/>
            <wp:positionH relativeFrom="page">
              <wp:posOffset>13547852</wp:posOffset>
            </wp:positionH>
            <wp:positionV relativeFrom="paragraph">
              <wp:posOffset>354583</wp:posOffset>
            </wp:positionV>
            <wp:extent cx="610869" cy="494804"/>
            <wp:effectExtent l="0" t="0" r="0" b="0"/>
            <wp:wrapNone/>
            <wp:docPr id="2088" name="Image 2088"/>
            <wp:cNvGraphicFramePr>
              <a:graphicFrameLocks/>
            </wp:cNvGraphicFramePr>
            <a:graphic>
              <a:graphicData uri="http://schemas.openxmlformats.org/drawingml/2006/picture">
                <pic:pic>
                  <pic:nvPicPr>
                    <pic:cNvPr id="2088" name="Image 2088"/>
                    <pic:cNvPicPr/>
                  </pic:nvPicPr>
                  <pic:blipFill>
                    <a:blip r:embed="rId269" cstate="print"/>
                    <a:stretch>
                      <a:fillRect/>
                    </a:stretch>
                  </pic:blipFill>
                  <pic:spPr>
                    <a:xfrm>
                      <a:off x="0" y="0"/>
                      <a:ext cx="610869" cy="494804"/>
                    </a:xfrm>
                    <a:prstGeom prst="rect">
                      <a:avLst/>
                    </a:prstGeom>
                  </pic:spPr>
                </pic:pic>
              </a:graphicData>
            </a:graphic>
          </wp:anchor>
        </w:drawing>
      </w:r>
      <w:r>
        <w:rPr/>
        <w:drawing>
          <wp:anchor distT="0" distB="0" distL="0" distR="0" allowOverlap="1" layoutInCell="1" locked="0" behindDoc="0" simplePos="0" relativeHeight="16052224">
            <wp:simplePos x="0" y="0"/>
            <wp:positionH relativeFrom="page">
              <wp:posOffset>12242292</wp:posOffset>
            </wp:positionH>
            <wp:positionV relativeFrom="paragraph">
              <wp:posOffset>309372</wp:posOffset>
            </wp:positionV>
            <wp:extent cx="1141336" cy="338581"/>
            <wp:effectExtent l="0" t="0" r="0" b="0"/>
            <wp:wrapNone/>
            <wp:docPr id="2089" name="Image 2089"/>
            <wp:cNvGraphicFramePr>
              <a:graphicFrameLocks/>
            </wp:cNvGraphicFramePr>
            <a:graphic>
              <a:graphicData uri="http://schemas.openxmlformats.org/drawingml/2006/picture">
                <pic:pic>
                  <pic:nvPicPr>
                    <pic:cNvPr id="2089" name="Image 2089"/>
                    <pic:cNvPicPr/>
                  </pic:nvPicPr>
                  <pic:blipFill>
                    <a:blip r:embed="rId270" cstate="print"/>
                    <a:stretch>
                      <a:fillRect/>
                    </a:stretch>
                  </pic:blipFill>
                  <pic:spPr>
                    <a:xfrm>
                      <a:off x="0" y="0"/>
                      <a:ext cx="1141336" cy="338581"/>
                    </a:xfrm>
                    <a:prstGeom prst="rect">
                      <a:avLst/>
                    </a:prstGeom>
                  </pic:spPr>
                </pic:pic>
              </a:graphicData>
            </a:graphic>
          </wp:anchor>
        </w:drawing>
      </w:r>
      <w:bookmarkStart w:name="_TOC_250000" w:id="19"/>
      <w:r>
        <w:rPr>
          <w:color w:val="636466"/>
        </w:rPr>
        <w:t>Yates</w:t>
      </w:r>
      <w:r>
        <w:rPr>
          <w:color w:val="636466"/>
          <w:spacing w:val="24"/>
        </w:rPr>
        <w:t> </w:t>
      </w:r>
      <w:r>
        <w:rPr>
          <w:color w:val="636466"/>
        </w:rPr>
        <w:t>County</w:t>
      </w:r>
      <w:r>
        <w:rPr>
          <w:color w:val="636466"/>
          <w:spacing w:val="25"/>
        </w:rPr>
        <w:t> </w:t>
      </w:r>
      <w:r>
        <w:rPr>
          <w:color w:val="636466"/>
        </w:rPr>
        <w:t>Appendix</w:t>
      </w:r>
      <w:r>
        <w:rPr>
          <w:color w:val="636466"/>
          <w:spacing w:val="25"/>
        </w:rPr>
        <w:t> </w:t>
      </w:r>
      <w:bookmarkEnd w:id="19"/>
      <w:r>
        <w:rPr>
          <w:color w:val="636466"/>
          <w:spacing w:val="-10"/>
        </w:rPr>
        <w:t>H</w:t>
      </w:r>
    </w:p>
    <w:p>
      <w:pPr>
        <w:pStyle w:val="Heading3"/>
        <w:spacing w:before="236"/>
      </w:pPr>
      <w:r>
        <w:rPr>
          <w:color w:val="82BF6A"/>
          <w:spacing w:val="-6"/>
        </w:rPr>
        <w:t>PRIORITY:</w:t>
      </w:r>
      <w:r>
        <w:rPr>
          <w:color w:val="82BF6A"/>
          <w:spacing w:val="-13"/>
        </w:rPr>
        <w:t> </w:t>
      </w:r>
      <w:r>
        <w:rPr>
          <w:color w:val="82BF6A"/>
          <w:spacing w:val="-6"/>
        </w:rPr>
        <w:t>PREVENT</w:t>
      </w:r>
      <w:r>
        <w:rPr>
          <w:color w:val="82BF6A"/>
          <w:spacing w:val="-13"/>
        </w:rPr>
        <w:t> </w:t>
      </w:r>
      <w:r>
        <w:rPr>
          <w:color w:val="82BF6A"/>
          <w:spacing w:val="-6"/>
        </w:rPr>
        <w:t>CHRONIC</w:t>
      </w:r>
      <w:r>
        <w:rPr>
          <w:color w:val="82BF6A"/>
          <w:spacing w:val="-13"/>
        </w:rPr>
        <w:t> </w:t>
      </w:r>
      <w:r>
        <w:rPr>
          <w:color w:val="82BF6A"/>
          <w:spacing w:val="-6"/>
        </w:rPr>
        <w:t>DISEASES</w:t>
      </w:r>
    </w:p>
    <w:p>
      <w:pPr>
        <w:pStyle w:val="BodyText"/>
        <w:spacing w:before="162"/>
        <w:rPr>
          <w:b/>
          <w:sz w:val="20"/>
        </w:rPr>
      </w:pPr>
    </w:p>
    <w:tbl>
      <w:tblPr>
        <w:tblW w:w="0" w:type="auto"/>
        <w:jc w:val="left"/>
        <w:tblInd w:w="1099"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1180"/>
        <w:gridCol w:w="1267"/>
        <w:gridCol w:w="1267"/>
        <w:gridCol w:w="1728"/>
        <w:gridCol w:w="1066"/>
        <w:gridCol w:w="1930"/>
        <w:gridCol w:w="2761"/>
        <w:gridCol w:w="3287"/>
        <w:gridCol w:w="2794"/>
        <w:gridCol w:w="2074"/>
        <w:gridCol w:w="1498"/>
        <w:gridCol w:w="1493"/>
      </w:tblGrid>
      <w:tr>
        <w:trPr>
          <w:trHeight w:val="730" w:hRule="atLeast"/>
        </w:trPr>
        <w:tc>
          <w:tcPr>
            <w:tcW w:w="1180" w:type="dxa"/>
            <w:tcBorders>
              <w:right w:val="single" w:sz="4" w:space="0" w:color="FFFFFF"/>
            </w:tcBorders>
            <w:shd w:val="clear" w:color="auto" w:fill="A7A9AC"/>
          </w:tcPr>
          <w:p>
            <w:pPr>
              <w:pStyle w:val="TableParagraph"/>
              <w:spacing w:before="79"/>
              <w:rPr>
                <w:b/>
                <w:sz w:val="18"/>
              </w:rPr>
            </w:pPr>
          </w:p>
          <w:p>
            <w:pPr>
              <w:pStyle w:val="TableParagraph"/>
              <w:ind w:left="80"/>
              <w:rPr>
                <w:b/>
                <w:sz w:val="18"/>
              </w:rPr>
            </w:pPr>
            <w:r>
              <w:rPr>
                <w:b/>
                <w:color w:val="FFFFFF"/>
                <w:spacing w:val="-2"/>
                <w:sz w:val="18"/>
              </w:rPr>
              <w:t>Priority</w:t>
            </w:r>
          </w:p>
        </w:tc>
        <w:tc>
          <w:tcPr>
            <w:tcW w:w="1267" w:type="dxa"/>
            <w:tcBorders>
              <w:left w:val="single" w:sz="4" w:space="0" w:color="FFFFFF"/>
              <w:right w:val="single" w:sz="4" w:space="0" w:color="FFFFFF"/>
            </w:tcBorders>
            <w:shd w:val="clear" w:color="auto" w:fill="A7A9AC"/>
          </w:tcPr>
          <w:p>
            <w:pPr>
              <w:pStyle w:val="TableParagraph"/>
              <w:spacing w:before="79"/>
              <w:rPr>
                <w:b/>
                <w:sz w:val="18"/>
              </w:rPr>
            </w:pPr>
          </w:p>
          <w:p>
            <w:pPr>
              <w:pStyle w:val="TableParagraph"/>
              <w:ind w:left="80"/>
              <w:rPr>
                <w:b/>
                <w:sz w:val="18"/>
              </w:rPr>
            </w:pPr>
            <w:r>
              <w:rPr>
                <w:b/>
                <w:color w:val="FFFFFF"/>
                <w:w w:val="90"/>
                <w:sz w:val="18"/>
              </w:rPr>
              <w:t>Focus</w:t>
            </w:r>
            <w:r>
              <w:rPr>
                <w:b/>
                <w:color w:val="FFFFFF"/>
                <w:spacing w:val="8"/>
                <w:sz w:val="18"/>
              </w:rPr>
              <w:t> </w:t>
            </w:r>
            <w:r>
              <w:rPr>
                <w:b/>
                <w:color w:val="FFFFFF"/>
                <w:spacing w:val="-4"/>
                <w:sz w:val="18"/>
              </w:rPr>
              <w:t>Area</w:t>
            </w:r>
          </w:p>
        </w:tc>
        <w:tc>
          <w:tcPr>
            <w:tcW w:w="1267" w:type="dxa"/>
            <w:tcBorders>
              <w:left w:val="single" w:sz="4" w:space="0" w:color="FFFFFF"/>
              <w:right w:val="single" w:sz="4" w:space="0" w:color="FFFFFF"/>
            </w:tcBorders>
            <w:shd w:val="clear" w:color="auto" w:fill="A7A9AC"/>
          </w:tcPr>
          <w:p>
            <w:pPr>
              <w:pStyle w:val="TableParagraph"/>
              <w:spacing w:line="232" w:lineRule="auto" w:before="191"/>
              <w:ind w:left="80" w:right="237"/>
              <w:rPr>
                <w:b/>
                <w:sz w:val="18"/>
              </w:rPr>
            </w:pPr>
            <w:r>
              <w:rPr>
                <w:b/>
                <w:color w:val="FFFFFF"/>
                <w:spacing w:val="-6"/>
                <w:sz w:val="18"/>
              </w:rPr>
              <w:t>Goal</w:t>
            </w:r>
            <w:r>
              <w:rPr>
                <w:b/>
                <w:color w:val="FFFFFF"/>
                <w:spacing w:val="-7"/>
                <w:sz w:val="18"/>
              </w:rPr>
              <w:t> </w:t>
            </w:r>
            <w:r>
              <w:rPr>
                <w:b/>
                <w:color w:val="FFFFFF"/>
                <w:spacing w:val="-6"/>
                <w:sz w:val="18"/>
              </w:rPr>
              <w:t>Focus </w:t>
            </w:r>
            <w:r>
              <w:rPr>
                <w:b/>
                <w:color w:val="FFFFFF"/>
                <w:spacing w:val="-4"/>
                <w:sz w:val="18"/>
              </w:rPr>
              <w:t>Area</w:t>
            </w:r>
          </w:p>
        </w:tc>
        <w:tc>
          <w:tcPr>
            <w:tcW w:w="1728" w:type="dxa"/>
            <w:tcBorders>
              <w:left w:val="single" w:sz="4" w:space="0" w:color="FFFFFF"/>
              <w:right w:val="single" w:sz="4" w:space="0" w:color="FFFFFF"/>
            </w:tcBorders>
            <w:shd w:val="clear" w:color="auto" w:fill="A7A9AC"/>
          </w:tcPr>
          <w:p>
            <w:pPr>
              <w:pStyle w:val="TableParagraph"/>
              <w:spacing w:before="79"/>
              <w:rPr>
                <w:b/>
                <w:sz w:val="18"/>
              </w:rPr>
            </w:pPr>
          </w:p>
          <w:p>
            <w:pPr>
              <w:pStyle w:val="TableParagraph"/>
              <w:ind w:left="80"/>
              <w:rPr>
                <w:b/>
                <w:sz w:val="18"/>
              </w:rPr>
            </w:pPr>
            <w:r>
              <w:rPr>
                <w:b/>
                <w:color w:val="FFFFFF"/>
                <w:spacing w:val="-2"/>
                <w:sz w:val="18"/>
              </w:rPr>
              <w:t>Objectives</w:t>
            </w:r>
          </w:p>
        </w:tc>
        <w:tc>
          <w:tcPr>
            <w:tcW w:w="1066" w:type="dxa"/>
            <w:tcBorders>
              <w:left w:val="single" w:sz="4" w:space="0" w:color="FFFFFF"/>
              <w:right w:val="single" w:sz="4" w:space="0" w:color="FFFFFF"/>
            </w:tcBorders>
            <w:shd w:val="clear" w:color="auto" w:fill="A7A9AC"/>
          </w:tcPr>
          <w:p>
            <w:pPr>
              <w:pStyle w:val="TableParagraph"/>
              <w:spacing w:before="79"/>
              <w:rPr>
                <w:b/>
                <w:sz w:val="18"/>
              </w:rPr>
            </w:pPr>
          </w:p>
          <w:p>
            <w:pPr>
              <w:pStyle w:val="TableParagraph"/>
              <w:ind w:left="80"/>
              <w:rPr>
                <w:b/>
                <w:sz w:val="18"/>
              </w:rPr>
            </w:pPr>
            <w:r>
              <w:rPr>
                <w:b/>
                <w:color w:val="FFFFFF"/>
                <w:spacing w:val="-2"/>
                <w:sz w:val="18"/>
              </w:rPr>
              <w:t>Disparities</w:t>
            </w:r>
          </w:p>
        </w:tc>
        <w:tc>
          <w:tcPr>
            <w:tcW w:w="1930" w:type="dxa"/>
            <w:tcBorders>
              <w:left w:val="single" w:sz="4" w:space="0" w:color="FFFFFF"/>
              <w:right w:val="single" w:sz="4" w:space="0" w:color="FFFFFF"/>
            </w:tcBorders>
            <w:shd w:val="clear" w:color="auto" w:fill="A7A9AC"/>
          </w:tcPr>
          <w:p>
            <w:pPr>
              <w:pStyle w:val="TableParagraph"/>
              <w:spacing w:before="79"/>
              <w:rPr>
                <w:b/>
                <w:sz w:val="18"/>
              </w:rPr>
            </w:pPr>
          </w:p>
          <w:p>
            <w:pPr>
              <w:pStyle w:val="TableParagraph"/>
              <w:ind w:left="80"/>
              <w:rPr>
                <w:b/>
                <w:sz w:val="18"/>
              </w:rPr>
            </w:pPr>
            <w:r>
              <w:rPr>
                <w:b/>
                <w:color w:val="FFFFFF"/>
                <w:spacing w:val="-2"/>
                <w:sz w:val="18"/>
              </w:rPr>
              <w:t>Interventions</w:t>
            </w:r>
          </w:p>
        </w:tc>
        <w:tc>
          <w:tcPr>
            <w:tcW w:w="2761" w:type="dxa"/>
            <w:tcBorders>
              <w:left w:val="single" w:sz="4" w:space="0" w:color="FFFFFF"/>
              <w:right w:val="nil"/>
            </w:tcBorders>
            <w:shd w:val="clear" w:color="auto" w:fill="A7A9AC"/>
          </w:tcPr>
          <w:p>
            <w:pPr>
              <w:pStyle w:val="TableParagraph"/>
              <w:spacing w:before="79"/>
              <w:rPr>
                <w:b/>
                <w:sz w:val="18"/>
              </w:rPr>
            </w:pPr>
          </w:p>
          <w:p>
            <w:pPr>
              <w:pStyle w:val="TableParagraph"/>
              <w:ind w:left="90"/>
              <w:rPr>
                <w:b/>
                <w:sz w:val="18"/>
              </w:rPr>
            </w:pPr>
            <w:r>
              <w:rPr>
                <w:b/>
                <w:color w:val="FFFFFF"/>
                <w:sz w:val="18"/>
              </w:rPr>
              <w:t>Family</w:t>
            </w:r>
            <w:r>
              <w:rPr>
                <w:b/>
                <w:color w:val="FFFFFF"/>
                <w:spacing w:val="-11"/>
                <w:sz w:val="18"/>
              </w:rPr>
              <w:t> </w:t>
            </w:r>
            <w:r>
              <w:rPr>
                <w:b/>
                <w:color w:val="FFFFFF"/>
                <w:sz w:val="18"/>
              </w:rPr>
              <w:t>of</w:t>
            </w:r>
            <w:r>
              <w:rPr>
                <w:b/>
                <w:color w:val="FFFFFF"/>
                <w:spacing w:val="-10"/>
                <w:sz w:val="18"/>
              </w:rPr>
              <w:t> </w:t>
            </w:r>
            <w:r>
              <w:rPr>
                <w:b/>
                <w:color w:val="FFFFFF"/>
                <w:spacing w:val="-2"/>
                <w:sz w:val="18"/>
              </w:rPr>
              <w:t>Measures</w:t>
            </w:r>
          </w:p>
        </w:tc>
        <w:tc>
          <w:tcPr>
            <w:tcW w:w="3287" w:type="dxa"/>
            <w:tcBorders>
              <w:left w:val="nil"/>
              <w:right w:val="single" w:sz="4" w:space="0" w:color="FFFFFF"/>
            </w:tcBorders>
            <w:shd w:val="clear" w:color="auto" w:fill="A7A9AC"/>
          </w:tcPr>
          <w:p>
            <w:pPr>
              <w:pStyle w:val="TableParagraph"/>
              <w:spacing w:line="232" w:lineRule="auto" w:before="191"/>
              <w:ind w:left="1038" w:right="130"/>
              <w:rPr>
                <w:b/>
                <w:sz w:val="18"/>
              </w:rPr>
            </w:pPr>
            <w:r>
              <w:rPr>
                <w:b/>
                <w:color w:val="FFFFFF"/>
                <w:sz w:val="18"/>
              </w:rPr>
              <w:t>Projected</w:t>
            </w:r>
            <w:r>
              <w:rPr>
                <w:b/>
                <w:color w:val="FFFFFF"/>
                <w:spacing w:val="-15"/>
                <w:sz w:val="18"/>
              </w:rPr>
              <w:t> </w:t>
            </w:r>
            <w:r>
              <w:rPr>
                <w:b/>
                <w:color w:val="FFFFFF"/>
                <w:sz w:val="18"/>
              </w:rPr>
              <w:t>(or</w:t>
            </w:r>
            <w:r>
              <w:rPr>
                <w:b/>
                <w:color w:val="FFFFFF"/>
                <w:spacing w:val="-12"/>
                <w:sz w:val="18"/>
              </w:rPr>
              <w:t> </w:t>
            </w:r>
            <w:r>
              <w:rPr>
                <w:b/>
                <w:color w:val="FFFFFF"/>
                <w:sz w:val="18"/>
              </w:rPr>
              <w:t>completed) Year 1 Intervention</w:t>
            </w:r>
          </w:p>
        </w:tc>
        <w:tc>
          <w:tcPr>
            <w:tcW w:w="2794" w:type="dxa"/>
            <w:tcBorders>
              <w:left w:val="single" w:sz="4" w:space="0" w:color="FFFFFF"/>
              <w:right w:val="single" w:sz="4" w:space="0" w:color="FFFFFF"/>
            </w:tcBorders>
            <w:shd w:val="clear" w:color="auto" w:fill="A7A9AC"/>
          </w:tcPr>
          <w:p>
            <w:pPr>
              <w:pStyle w:val="TableParagraph"/>
              <w:spacing w:before="78"/>
              <w:rPr>
                <w:b/>
                <w:sz w:val="18"/>
              </w:rPr>
            </w:pPr>
          </w:p>
          <w:p>
            <w:pPr>
              <w:pStyle w:val="TableParagraph"/>
              <w:spacing w:before="1"/>
              <w:ind w:left="80"/>
              <w:rPr>
                <w:b/>
                <w:sz w:val="18"/>
              </w:rPr>
            </w:pPr>
            <w:r>
              <w:rPr>
                <w:b/>
                <w:color w:val="FFFFFF"/>
                <w:spacing w:val="-2"/>
                <w:sz w:val="18"/>
              </w:rPr>
              <w:t>Projected</w:t>
            </w:r>
            <w:r>
              <w:rPr>
                <w:b/>
                <w:color w:val="FFFFFF"/>
                <w:spacing w:val="-6"/>
                <w:sz w:val="18"/>
              </w:rPr>
              <w:t> </w:t>
            </w:r>
            <w:r>
              <w:rPr>
                <w:b/>
                <w:color w:val="FFFFFF"/>
                <w:spacing w:val="-2"/>
                <w:sz w:val="18"/>
              </w:rPr>
              <w:t>Year</w:t>
            </w:r>
            <w:r>
              <w:rPr>
                <w:b/>
                <w:color w:val="FFFFFF"/>
                <w:spacing w:val="-5"/>
                <w:sz w:val="18"/>
              </w:rPr>
              <w:t> </w:t>
            </w:r>
            <w:r>
              <w:rPr>
                <w:b/>
                <w:color w:val="FFFFFF"/>
                <w:spacing w:val="-12"/>
                <w:sz w:val="18"/>
              </w:rPr>
              <w:t>2</w:t>
            </w:r>
          </w:p>
        </w:tc>
        <w:tc>
          <w:tcPr>
            <w:tcW w:w="2074" w:type="dxa"/>
            <w:tcBorders>
              <w:left w:val="single" w:sz="4" w:space="0" w:color="FFFFFF"/>
              <w:right w:val="single" w:sz="4" w:space="0" w:color="FFFFFF"/>
            </w:tcBorders>
            <w:shd w:val="clear" w:color="auto" w:fill="A7A9AC"/>
          </w:tcPr>
          <w:p>
            <w:pPr>
              <w:pStyle w:val="TableParagraph"/>
              <w:spacing w:line="232" w:lineRule="auto" w:before="190"/>
              <w:ind w:left="79" w:right="592"/>
              <w:rPr>
                <w:b/>
                <w:sz w:val="18"/>
              </w:rPr>
            </w:pPr>
            <w:r>
              <w:rPr>
                <w:b/>
                <w:color w:val="FFFFFF"/>
                <w:spacing w:val="-2"/>
                <w:sz w:val="18"/>
              </w:rPr>
              <w:t>Projected</w:t>
            </w:r>
            <w:r>
              <w:rPr>
                <w:b/>
                <w:color w:val="FFFFFF"/>
                <w:spacing w:val="-13"/>
                <w:sz w:val="18"/>
              </w:rPr>
              <w:t> </w:t>
            </w:r>
            <w:r>
              <w:rPr>
                <w:b/>
                <w:color w:val="FFFFFF"/>
                <w:spacing w:val="-2"/>
                <w:sz w:val="18"/>
              </w:rPr>
              <w:t>Year</w:t>
            </w:r>
            <w:r>
              <w:rPr>
                <w:b/>
                <w:color w:val="FFFFFF"/>
                <w:spacing w:val="-10"/>
                <w:sz w:val="18"/>
              </w:rPr>
              <w:t> </w:t>
            </w:r>
            <w:r>
              <w:rPr>
                <w:b/>
                <w:color w:val="FFFFFF"/>
                <w:spacing w:val="-2"/>
                <w:sz w:val="18"/>
              </w:rPr>
              <w:t>3 Interventions</w:t>
            </w:r>
          </w:p>
        </w:tc>
        <w:tc>
          <w:tcPr>
            <w:tcW w:w="1498" w:type="dxa"/>
            <w:tcBorders>
              <w:left w:val="single" w:sz="4" w:space="0" w:color="FFFFFF"/>
            </w:tcBorders>
            <w:shd w:val="clear" w:color="auto" w:fill="A7A9AC"/>
          </w:tcPr>
          <w:p>
            <w:pPr>
              <w:pStyle w:val="TableParagraph"/>
              <w:spacing w:line="232" w:lineRule="auto" w:before="190"/>
              <w:ind w:left="79"/>
              <w:rPr>
                <w:b/>
                <w:sz w:val="18"/>
              </w:rPr>
            </w:pPr>
            <w:r>
              <w:rPr>
                <w:b/>
                <w:color w:val="FFFFFF"/>
                <w:spacing w:val="-2"/>
                <w:sz w:val="18"/>
              </w:rPr>
              <w:t>Implementation Partner</w:t>
            </w:r>
          </w:p>
        </w:tc>
        <w:tc>
          <w:tcPr>
            <w:tcW w:w="1493" w:type="dxa"/>
            <w:shd w:val="clear" w:color="auto" w:fill="A7A9AC"/>
          </w:tcPr>
          <w:p>
            <w:pPr>
              <w:pStyle w:val="TableParagraph"/>
              <w:spacing w:line="232" w:lineRule="auto" w:before="190"/>
              <w:ind w:left="78" w:right="159"/>
              <w:rPr>
                <w:b/>
                <w:sz w:val="18"/>
              </w:rPr>
            </w:pPr>
            <w:r>
              <w:rPr>
                <w:b/>
                <w:color w:val="FFFFFF"/>
                <w:spacing w:val="-4"/>
                <w:sz w:val="18"/>
              </w:rPr>
              <w:t>Partner</w:t>
            </w:r>
            <w:r>
              <w:rPr>
                <w:b/>
                <w:color w:val="FFFFFF"/>
                <w:spacing w:val="-9"/>
                <w:sz w:val="18"/>
              </w:rPr>
              <w:t> </w:t>
            </w:r>
            <w:r>
              <w:rPr>
                <w:b/>
                <w:color w:val="FFFFFF"/>
                <w:spacing w:val="-4"/>
                <w:sz w:val="18"/>
              </w:rPr>
              <w:t>Role(s) </w:t>
            </w:r>
            <w:r>
              <w:rPr>
                <w:b/>
                <w:color w:val="FFFFFF"/>
                <w:sz w:val="18"/>
              </w:rPr>
              <w:t>and</w:t>
            </w:r>
            <w:r>
              <w:rPr>
                <w:b/>
                <w:color w:val="FFFFFF"/>
                <w:spacing w:val="-7"/>
                <w:sz w:val="18"/>
              </w:rPr>
              <w:t> Resources</w:t>
            </w:r>
          </w:p>
        </w:tc>
      </w:tr>
      <w:tr>
        <w:trPr>
          <w:trHeight w:val="2930" w:hRule="atLeast"/>
        </w:trPr>
        <w:tc>
          <w:tcPr>
            <w:tcW w:w="1180" w:type="dxa"/>
            <w:vMerge w:val="restart"/>
            <w:shd w:val="clear" w:color="auto" w:fill="E6E7E8"/>
          </w:tcPr>
          <w:p>
            <w:pPr>
              <w:pStyle w:val="TableParagraph"/>
              <w:spacing w:line="232" w:lineRule="auto" w:before="100"/>
              <w:ind w:left="89" w:right="363"/>
              <w:jc w:val="both"/>
              <w:rPr>
                <w:sz w:val="18"/>
              </w:rPr>
            </w:pPr>
            <w:r>
              <w:rPr>
                <w:color w:val="105C84"/>
                <w:spacing w:val="-2"/>
                <w:sz w:val="18"/>
              </w:rPr>
              <w:t>Prevent Chronic </w:t>
            </w:r>
            <w:r>
              <w:rPr>
                <w:color w:val="105C84"/>
                <w:spacing w:val="-6"/>
                <w:sz w:val="18"/>
              </w:rPr>
              <w:t>Diseases</w:t>
            </w:r>
          </w:p>
        </w:tc>
        <w:tc>
          <w:tcPr>
            <w:tcW w:w="1267" w:type="dxa"/>
            <w:vMerge w:val="restart"/>
          </w:tcPr>
          <w:p>
            <w:pPr>
              <w:pStyle w:val="TableParagraph"/>
              <w:spacing w:line="232" w:lineRule="auto" w:before="100"/>
              <w:ind w:left="90" w:right="86"/>
              <w:rPr>
                <w:sz w:val="18"/>
              </w:rPr>
            </w:pPr>
            <w:r>
              <w:rPr>
                <w:color w:val="105C84"/>
                <w:spacing w:val="-4"/>
                <w:sz w:val="18"/>
              </w:rPr>
              <w:t>Focus</w:t>
            </w:r>
            <w:r>
              <w:rPr>
                <w:color w:val="105C84"/>
                <w:spacing w:val="-11"/>
                <w:sz w:val="18"/>
              </w:rPr>
              <w:t> </w:t>
            </w:r>
            <w:r>
              <w:rPr>
                <w:color w:val="105C84"/>
                <w:spacing w:val="-4"/>
                <w:sz w:val="18"/>
              </w:rPr>
              <w:t>Area</w:t>
            </w:r>
            <w:r>
              <w:rPr>
                <w:color w:val="105C84"/>
                <w:spacing w:val="-8"/>
                <w:sz w:val="18"/>
              </w:rPr>
              <w:t> </w:t>
            </w:r>
            <w:r>
              <w:rPr>
                <w:color w:val="105C84"/>
                <w:spacing w:val="-4"/>
                <w:sz w:val="18"/>
              </w:rPr>
              <w:t>4: </w:t>
            </w:r>
            <w:r>
              <w:rPr>
                <w:color w:val="105C84"/>
                <w:spacing w:val="-2"/>
                <w:sz w:val="18"/>
              </w:rPr>
              <w:t>Preventive </w:t>
            </w:r>
            <w:r>
              <w:rPr>
                <w:color w:val="105C84"/>
                <w:sz w:val="18"/>
              </w:rPr>
              <w:t>care and </w:t>
            </w:r>
            <w:r>
              <w:rPr>
                <w:color w:val="105C84"/>
                <w:spacing w:val="-2"/>
                <w:sz w:val="18"/>
              </w:rPr>
              <w:t>management</w:t>
            </w:r>
          </w:p>
        </w:tc>
        <w:tc>
          <w:tcPr>
            <w:tcW w:w="1267" w:type="dxa"/>
            <w:vMerge w:val="restart"/>
          </w:tcPr>
          <w:p>
            <w:pPr>
              <w:pStyle w:val="TableParagraph"/>
              <w:spacing w:line="232" w:lineRule="auto" w:before="100"/>
              <w:ind w:left="90" w:right="384"/>
              <w:rPr>
                <w:sz w:val="18"/>
              </w:rPr>
            </w:pPr>
            <w:r>
              <w:rPr>
                <w:color w:val="105C84"/>
                <w:sz w:val="18"/>
              </w:rPr>
              <w:t>Goal 4.1: </w:t>
            </w:r>
            <w:r>
              <w:rPr>
                <w:color w:val="105C84"/>
                <w:spacing w:val="-2"/>
                <w:sz w:val="18"/>
              </w:rPr>
              <w:t>Increase cancer screening rates</w:t>
            </w:r>
          </w:p>
        </w:tc>
        <w:tc>
          <w:tcPr>
            <w:tcW w:w="1728" w:type="dxa"/>
            <w:vMerge w:val="restart"/>
          </w:tcPr>
          <w:p>
            <w:pPr>
              <w:pStyle w:val="TableParagraph"/>
              <w:spacing w:line="232" w:lineRule="auto" w:before="100"/>
              <w:ind w:left="90" w:right="199"/>
              <w:rPr>
                <w:sz w:val="18"/>
              </w:rPr>
            </w:pPr>
            <w:r>
              <w:rPr>
                <w:color w:val="105C84"/>
                <w:spacing w:val="-2"/>
                <w:sz w:val="18"/>
              </w:rPr>
              <w:t>4.1.1</w:t>
            </w:r>
            <w:r>
              <w:rPr>
                <w:color w:val="105C84"/>
                <w:spacing w:val="-13"/>
                <w:sz w:val="18"/>
              </w:rPr>
              <w:t> </w:t>
            </w:r>
            <w:r>
              <w:rPr>
                <w:color w:val="105C84"/>
                <w:spacing w:val="-2"/>
                <w:sz w:val="18"/>
              </w:rPr>
              <w:t>Increase</w:t>
            </w:r>
            <w:r>
              <w:rPr>
                <w:color w:val="105C84"/>
                <w:spacing w:val="-10"/>
                <w:sz w:val="18"/>
              </w:rPr>
              <w:t> </w:t>
            </w:r>
            <w:r>
              <w:rPr>
                <w:color w:val="105C84"/>
                <w:spacing w:val="-2"/>
                <w:sz w:val="18"/>
              </w:rPr>
              <w:t>the </w:t>
            </w:r>
            <w:r>
              <w:rPr>
                <w:color w:val="105C84"/>
                <w:sz w:val="18"/>
              </w:rPr>
              <w:t>percentage of women with an annual</w:t>
            </w:r>
            <w:r>
              <w:rPr>
                <w:color w:val="105C84"/>
                <w:spacing w:val="-13"/>
                <w:sz w:val="18"/>
              </w:rPr>
              <w:t> </w:t>
            </w:r>
            <w:r>
              <w:rPr>
                <w:color w:val="105C84"/>
                <w:sz w:val="18"/>
              </w:rPr>
              <w:t>household</w:t>
            </w:r>
            <w:r>
              <w:rPr>
                <w:color w:val="105C84"/>
                <w:sz w:val="18"/>
              </w:rPr>
              <w:t> income less</w:t>
            </w:r>
          </w:p>
          <w:p>
            <w:pPr>
              <w:pStyle w:val="TableParagraph"/>
              <w:spacing w:line="232" w:lineRule="auto"/>
              <w:ind w:left="90" w:right="527"/>
              <w:rPr>
                <w:sz w:val="18"/>
              </w:rPr>
            </w:pPr>
            <w:r>
              <w:rPr>
                <w:color w:val="105C84"/>
                <w:sz w:val="18"/>
              </w:rPr>
              <w:t>than $25,000 who</w:t>
            </w:r>
            <w:r>
              <w:rPr>
                <w:color w:val="105C84"/>
                <w:spacing w:val="-10"/>
                <w:sz w:val="18"/>
              </w:rPr>
              <w:t> </w:t>
            </w:r>
            <w:r>
              <w:rPr>
                <w:color w:val="105C84"/>
                <w:sz w:val="18"/>
              </w:rPr>
              <w:t>receive</w:t>
            </w:r>
            <w:r>
              <w:rPr>
                <w:color w:val="105C84"/>
                <w:spacing w:val="-10"/>
                <w:sz w:val="18"/>
              </w:rPr>
              <w:t> </w:t>
            </w:r>
            <w:r>
              <w:rPr>
                <w:color w:val="105C84"/>
                <w:spacing w:val="-10"/>
                <w:sz w:val="18"/>
              </w:rPr>
              <w:t>a</w:t>
            </w:r>
          </w:p>
          <w:p>
            <w:pPr>
              <w:pStyle w:val="TableParagraph"/>
              <w:spacing w:line="197" w:lineRule="exact"/>
              <w:ind w:left="90"/>
              <w:rPr>
                <w:sz w:val="18"/>
              </w:rPr>
            </w:pPr>
            <w:r>
              <w:rPr>
                <w:color w:val="105C84"/>
                <w:w w:val="90"/>
                <w:sz w:val="18"/>
              </w:rPr>
              <w:t>BREAST</w:t>
            </w:r>
            <w:r>
              <w:rPr>
                <w:color w:val="105C84"/>
                <w:spacing w:val="-6"/>
                <w:sz w:val="18"/>
              </w:rPr>
              <w:t> </w:t>
            </w:r>
            <w:r>
              <w:rPr>
                <w:color w:val="105C84"/>
                <w:spacing w:val="-2"/>
                <w:sz w:val="18"/>
              </w:rPr>
              <w:t>CANCER</w:t>
            </w:r>
          </w:p>
          <w:p>
            <w:pPr>
              <w:pStyle w:val="TableParagraph"/>
              <w:spacing w:line="232" w:lineRule="auto"/>
              <w:ind w:left="90"/>
              <w:rPr>
                <w:sz w:val="18"/>
              </w:rPr>
            </w:pPr>
            <w:r>
              <w:rPr>
                <w:color w:val="105C84"/>
                <w:spacing w:val="-6"/>
                <w:sz w:val="18"/>
              </w:rPr>
              <w:t>SCREENING</w:t>
            </w:r>
            <w:r>
              <w:rPr>
                <w:color w:val="105C84"/>
                <w:spacing w:val="-7"/>
                <w:sz w:val="18"/>
              </w:rPr>
              <w:t> </w:t>
            </w:r>
            <w:r>
              <w:rPr>
                <w:color w:val="105C84"/>
                <w:spacing w:val="-6"/>
                <w:sz w:val="18"/>
              </w:rPr>
              <w:t>based </w:t>
            </w:r>
            <w:r>
              <w:rPr>
                <w:color w:val="105C84"/>
                <w:sz w:val="18"/>
              </w:rPr>
              <w:t>on most recent </w:t>
            </w:r>
            <w:r>
              <w:rPr>
                <w:color w:val="105C84"/>
                <w:spacing w:val="-2"/>
                <w:sz w:val="18"/>
              </w:rPr>
              <w:t>guidelines</w:t>
            </w:r>
          </w:p>
        </w:tc>
        <w:tc>
          <w:tcPr>
            <w:tcW w:w="1066" w:type="dxa"/>
            <w:vMerge w:val="restart"/>
          </w:tcPr>
          <w:p>
            <w:pPr>
              <w:pStyle w:val="TableParagraph"/>
              <w:spacing w:line="203" w:lineRule="exact" w:before="95"/>
              <w:ind w:left="90"/>
              <w:rPr>
                <w:sz w:val="18"/>
              </w:rPr>
            </w:pPr>
            <w:r>
              <w:rPr>
                <w:color w:val="105C84"/>
                <w:sz w:val="18"/>
              </w:rPr>
              <w:t>Low</w:t>
            </w:r>
            <w:r>
              <w:rPr>
                <w:color w:val="105C84"/>
                <w:spacing w:val="-11"/>
                <w:sz w:val="18"/>
              </w:rPr>
              <w:t> </w:t>
            </w:r>
            <w:r>
              <w:rPr>
                <w:color w:val="105C84"/>
                <w:spacing w:val="-4"/>
                <w:sz w:val="18"/>
              </w:rPr>
              <w:t>SES,</w:t>
            </w:r>
          </w:p>
          <w:p>
            <w:pPr>
              <w:pStyle w:val="TableParagraph"/>
              <w:spacing w:line="232" w:lineRule="auto" w:before="2"/>
              <w:ind w:left="90" w:right="376"/>
              <w:rPr>
                <w:sz w:val="18"/>
              </w:rPr>
            </w:pPr>
            <w:r>
              <w:rPr>
                <w:color w:val="105C84"/>
                <w:sz w:val="18"/>
              </w:rPr>
              <w:t>un or </w:t>
            </w:r>
            <w:r>
              <w:rPr>
                <w:color w:val="105C84"/>
                <w:spacing w:val="-2"/>
                <w:sz w:val="18"/>
              </w:rPr>
              <w:t>under-insured</w:t>
            </w:r>
          </w:p>
        </w:tc>
        <w:tc>
          <w:tcPr>
            <w:tcW w:w="1930" w:type="dxa"/>
          </w:tcPr>
          <w:p>
            <w:pPr>
              <w:pStyle w:val="TableParagraph"/>
              <w:spacing w:line="232" w:lineRule="auto" w:before="100"/>
              <w:ind w:left="90" w:right="86"/>
              <w:rPr>
                <w:sz w:val="18"/>
              </w:rPr>
            </w:pPr>
            <w:r>
              <w:rPr>
                <w:color w:val="105C84"/>
                <w:sz w:val="18"/>
              </w:rPr>
              <w:t>4.1.1 Work with</w:t>
            </w:r>
            <w:r>
              <w:rPr>
                <w:color w:val="105C84"/>
                <w:spacing w:val="40"/>
                <w:sz w:val="18"/>
              </w:rPr>
              <w:t> </w:t>
            </w:r>
            <w:r>
              <w:rPr>
                <w:color w:val="105C84"/>
                <w:sz w:val="18"/>
              </w:rPr>
              <w:t>health</w:t>
            </w:r>
            <w:r>
              <w:rPr>
                <w:color w:val="105C84"/>
                <w:spacing w:val="-15"/>
                <w:sz w:val="18"/>
              </w:rPr>
              <w:t> </w:t>
            </w:r>
            <w:r>
              <w:rPr>
                <w:color w:val="105C84"/>
                <w:sz w:val="18"/>
              </w:rPr>
              <w:t>care</w:t>
            </w:r>
            <w:r>
              <w:rPr>
                <w:color w:val="105C84"/>
                <w:spacing w:val="-12"/>
                <w:sz w:val="18"/>
              </w:rPr>
              <w:t> </w:t>
            </w:r>
            <w:r>
              <w:rPr>
                <w:color w:val="105C84"/>
                <w:sz w:val="18"/>
              </w:rPr>
              <w:t>providers/</w:t>
            </w:r>
            <w:r>
              <w:rPr>
                <w:color w:val="105C84"/>
                <w:sz w:val="18"/>
              </w:rPr>
              <w:t> clinics to put</w:t>
            </w:r>
          </w:p>
          <w:p>
            <w:pPr>
              <w:pStyle w:val="TableParagraph"/>
              <w:spacing w:line="232" w:lineRule="auto"/>
              <w:ind w:left="90" w:right="192"/>
              <w:rPr>
                <w:sz w:val="18"/>
              </w:rPr>
            </w:pPr>
            <w:r>
              <w:rPr>
                <w:color w:val="105C84"/>
                <w:sz w:val="18"/>
              </w:rPr>
              <w:t>systems in place for patient and </w:t>
            </w:r>
            <w:r>
              <w:rPr>
                <w:color w:val="105C84"/>
                <w:sz w:val="18"/>
              </w:rPr>
              <w:t>provider screening</w:t>
            </w:r>
            <w:r>
              <w:rPr>
                <w:color w:val="105C84"/>
                <w:spacing w:val="-13"/>
                <w:sz w:val="18"/>
              </w:rPr>
              <w:t> </w:t>
            </w:r>
            <w:r>
              <w:rPr>
                <w:color w:val="105C84"/>
                <w:sz w:val="18"/>
              </w:rPr>
              <w:t>reminders (letter, postcards, emails, recorded phone messages, electronic health </w:t>
            </w:r>
            <w:r>
              <w:rPr>
                <w:color w:val="105C84"/>
                <w:spacing w:val="-6"/>
                <w:sz w:val="18"/>
              </w:rPr>
              <w:t>records</w:t>
            </w:r>
            <w:r>
              <w:rPr>
                <w:color w:val="105C84"/>
                <w:spacing w:val="-9"/>
                <w:sz w:val="18"/>
              </w:rPr>
              <w:t> </w:t>
            </w:r>
            <w:r>
              <w:rPr>
                <w:color w:val="105C84"/>
                <w:spacing w:val="-6"/>
                <w:sz w:val="18"/>
              </w:rPr>
              <w:t>(EHRs) alerts</w:t>
            </w:r>
          </w:p>
        </w:tc>
        <w:tc>
          <w:tcPr>
            <w:tcW w:w="2761" w:type="dxa"/>
            <w:tcBorders>
              <w:right w:val="nil"/>
            </w:tcBorders>
          </w:tcPr>
          <w:p>
            <w:pPr>
              <w:pStyle w:val="TableParagraph"/>
              <w:spacing w:line="232" w:lineRule="auto" w:before="100"/>
              <w:ind w:left="89" w:right="1239"/>
              <w:rPr>
                <w:sz w:val="18"/>
              </w:rPr>
            </w:pPr>
            <w:r>
              <w:rPr>
                <w:color w:val="105C84"/>
                <w:sz w:val="18"/>
              </w:rPr>
              <w:t>Number</w:t>
            </w:r>
            <w:r>
              <w:rPr>
                <w:color w:val="105C84"/>
                <w:spacing w:val="-2"/>
                <w:sz w:val="18"/>
              </w:rPr>
              <w:t> </w:t>
            </w:r>
            <w:r>
              <w:rPr>
                <w:color w:val="105C84"/>
                <w:sz w:val="18"/>
              </w:rPr>
              <w:t>of</w:t>
            </w:r>
            <w:r>
              <w:rPr>
                <w:color w:val="105C84"/>
                <w:spacing w:val="-2"/>
                <w:sz w:val="18"/>
              </w:rPr>
              <w:t> </w:t>
            </w:r>
            <w:r>
              <w:rPr>
                <w:color w:val="105C84"/>
                <w:sz w:val="18"/>
              </w:rPr>
              <w:t>health systems that implement or improve provider and patient reminder</w:t>
            </w:r>
            <w:r>
              <w:rPr>
                <w:color w:val="105C84"/>
                <w:spacing w:val="-13"/>
                <w:sz w:val="18"/>
              </w:rPr>
              <w:t> </w:t>
            </w:r>
            <w:r>
              <w:rPr>
                <w:color w:val="105C84"/>
                <w:sz w:val="18"/>
              </w:rPr>
              <w:t>systems</w:t>
            </w:r>
          </w:p>
        </w:tc>
        <w:tc>
          <w:tcPr>
            <w:tcW w:w="3287" w:type="dxa"/>
            <w:tcBorders>
              <w:left w:val="nil"/>
            </w:tcBorders>
          </w:tcPr>
          <w:p>
            <w:pPr>
              <w:pStyle w:val="TableParagraph"/>
              <w:spacing w:line="232" w:lineRule="auto" w:before="100"/>
              <w:ind w:left="1038" w:right="100"/>
              <w:rPr>
                <w:sz w:val="18"/>
              </w:rPr>
            </w:pPr>
            <w:r>
              <w:rPr>
                <w:color w:val="105C84"/>
                <w:sz w:val="18"/>
              </w:rPr>
              <w:t>Report on mammography screening</w:t>
            </w:r>
            <w:r>
              <w:rPr>
                <w:color w:val="105C84"/>
                <w:spacing w:val="-15"/>
                <w:sz w:val="18"/>
              </w:rPr>
              <w:t> </w:t>
            </w:r>
            <w:r>
              <w:rPr>
                <w:color w:val="105C84"/>
                <w:sz w:val="18"/>
              </w:rPr>
              <w:t>referral</w:t>
            </w:r>
            <w:r>
              <w:rPr>
                <w:color w:val="105C84"/>
                <w:spacing w:val="-12"/>
                <w:sz w:val="18"/>
              </w:rPr>
              <w:t> </w:t>
            </w:r>
            <w:r>
              <w:rPr>
                <w:color w:val="105C84"/>
                <w:sz w:val="18"/>
              </w:rPr>
              <w:t>numbers for Yates County from primary care practices</w:t>
            </w:r>
          </w:p>
          <w:p>
            <w:pPr>
              <w:pStyle w:val="TableParagraph"/>
              <w:spacing w:line="232" w:lineRule="auto" w:before="87"/>
              <w:ind w:left="1038" w:right="130"/>
              <w:rPr>
                <w:sz w:val="18"/>
              </w:rPr>
            </w:pPr>
            <w:r>
              <w:rPr>
                <w:color w:val="105C84"/>
                <w:sz w:val="18"/>
              </w:rPr>
              <w:t>Provide</w:t>
            </w:r>
            <w:r>
              <w:rPr>
                <w:color w:val="105C84"/>
                <w:spacing w:val="-13"/>
                <w:sz w:val="18"/>
              </w:rPr>
              <w:t> </w:t>
            </w:r>
            <w:r>
              <w:rPr>
                <w:color w:val="105C84"/>
                <w:sz w:val="18"/>
              </w:rPr>
              <w:t>mammography raw numbers for each service year</w:t>
            </w:r>
          </w:p>
          <w:p>
            <w:pPr>
              <w:pStyle w:val="TableParagraph"/>
              <w:spacing w:line="232" w:lineRule="auto" w:before="87"/>
              <w:ind w:left="1038" w:right="670"/>
              <w:rPr>
                <w:sz w:val="18"/>
              </w:rPr>
            </w:pPr>
            <w:r>
              <w:rPr>
                <w:color w:val="105C84"/>
                <w:sz w:val="18"/>
              </w:rPr>
              <w:t>Provide estimates of demographics </w:t>
            </w:r>
            <w:r>
              <w:rPr>
                <w:color w:val="105C84"/>
                <w:sz w:val="18"/>
              </w:rPr>
              <w:t>to</w:t>
            </w:r>
          </w:p>
          <w:p>
            <w:pPr>
              <w:pStyle w:val="TableParagraph"/>
              <w:spacing w:line="232" w:lineRule="auto"/>
              <w:ind w:left="1038" w:right="130"/>
              <w:rPr>
                <w:sz w:val="18"/>
              </w:rPr>
            </w:pPr>
            <w:r>
              <w:rPr>
                <w:color w:val="105C84"/>
                <w:sz w:val="18"/>
              </w:rPr>
              <w:t>determine</w:t>
            </w:r>
            <w:r>
              <w:rPr>
                <w:color w:val="105C84"/>
                <w:spacing w:val="-1"/>
                <w:sz w:val="18"/>
              </w:rPr>
              <w:t> </w:t>
            </w:r>
            <w:r>
              <w:rPr>
                <w:color w:val="105C84"/>
                <w:sz w:val="18"/>
              </w:rPr>
              <w:t>those</w:t>
            </w:r>
            <w:r>
              <w:rPr>
                <w:color w:val="105C84"/>
                <w:spacing w:val="-1"/>
                <w:sz w:val="18"/>
              </w:rPr>
              <w:t> </w:t>
            </w:r>
            <w:r>
              <w:rPr>
                <w:color w:val="105C84"/>
                <w:sz w:val="18"/>
              </w:rPr>
              <w:t>of</w:t>
            </w:r>
            <w:r>
              <w:rPr>
                <w:color w:val="105C84"/>
                <w:spacing w:val="-1"/>
                <w:sz w:val="18"/>
              </w:rPr>
              <w:t> </w:t>
            </w:r>
            <w:r>
              <w:rPr>
                <w:color w:val="105C84"/>
                <w:sz w:val="18"/>
              </w:rPr>
              <w:t>low </w:t>
            </w:r>
            <w:r>
              <w:rPr>
                <w:color w:val="105C84"/>
                <w:spacing w:val="-4"/>
                <w:sz w:val="18"/>
              </w:rPr>
              <w:t>SES</w:t>
            </w:r>
          </w:p>
        </w:tc>
        <w:tc>
          <w:tcPr>
            <w:tcW w:w="2794" w:type="dxa"/>
          </w:tcPr>
          <w:p>
            <w:pPr>
              <w:pStyle w:val="TableParagraph"/>
              <w:spacing w:line="232" w:lineRule="auto" w:before="100"/>
              <w:ind w:left="89"/>
              <w:rPr>
                <w:sz w:val="18"/>
              </w:rPr>
            </w:pPr>
            <w:r>
              <w:rPr>
                <w:color w:val="105C84"/>
                <w:sz w:val="18"/>
              </w:rPr>
              <w:t>Report on mammography screening referral numbers for </w:t>
            </w:r>
            <w:r>
              <w:rPr>
                <w:color w:val="105C84"/>
                <w:spacing w:val="-2"/>
                <w:sz w:val="18"/>
              </w:rPr>
              <w:t>Yates</w:t>
            </w:r>
            <w:r>
              <w:rPr>
                <w:color w:val="105C84"/>
                <w:spacing w:val="-9"/>
                <w:sz w:val="18"/>
              </w:rPr>
              <w:t> </w:t>
            </w:r>
            <w:r>
              <w:rPr>
                <w:color w:val="105C84"/>
                <w:spacing w:val="-2"/>
                <w:sz w:val="18"/>
              </w:rPr>
              <w:t>County</w:t>
            </w:r>
            <w:r>
              <w:rPr>
                <w:color w:val="105C84"/>
                <w:spacing w:val="-9"/>
                <w:sz w:val="18"/>
              </w:rPr>
              <w:t> </w:t>
            </w:r>
            <w:r>
              <w:rPr>
                <w:color w:val="105C84"/>
                <w:spacing w:val="-2"/>
                <w:sz w:val="18"/>
              </w:rPr>
              <w:t>from</w:t>
            </w:r>
            <w:r>
              <w:rPr>
                <w:color w:val="105C84"/>
                <w:spacing w:val="-9"/>
                <w:sz w:val="18"/>
              </w:rPr>
              <w:t> </w:t>
            </w:r>
            <w:r>
              <w:rPr>
                <w:color w:val="105C84"/>
                <w:spacing w:val="-2"/>
                <w:sz w:val="18"/>
              </w:rPr>
              <w:t>primary</w:t>
            </w:r>
            <w:r>
              <w:rPr>
                <w:color w:val="105C84"/>
                <w:spacing w:val="-9"/>
                <w:sz w:val="18"/>
              </w:rPr>
              <w:t> </w:t>
            </w:r>
            <w:r>
              <w:rPr>
                <w:color w:val="105C84"/>
                <w:spacing w:val="-2"/>
                <w:sz w:val="18"/>
              </w:rPr>
              <w:t>care practices</w:t>
            </w:r>
          </w:p>
          <w:p>
            <w:pPr>
              <w:pStyle w:val="TableParagraph"/>
              <w:spacing w:line="232" w:lineRule="auto" w:before="87"/>
              <w:ind w:left="89"/>
              <w:rPr>
                <w:sz w:val="18"/>
              </w:rPr>
            </w:pPr>
            <w:r>
              <w:rPr>
                <w:color w:val="105C84"/>
                <w:sz w:val="18"/>
              </w:rPr>
              <w:t>Provide mammography raw </w:t>
            </w:r>
            <w:r>
              <w:rPr>
                <w:color w:val="105C84"/>
                <w:spacing w:val="-2"/>
                <w:sz w:val="18"/>
              </w:rPr>
              <w:t>numbers</w:t>
            </w:r>
            <w:r>
              <w:rPr>
                <w:color w:val="105C84"/>
                <w:spacing w:val="-9"/>
                <w:sz w:val="18"/>
              </w:rPr>
              <w:t> </w:t>
            </w:r>
            <w:r>
              <w:rPr>
                <w:color w:val="105C84"/>
                <w:spacing w:val="-2"/>
                <w:sz w:val="18"/>
              </w:rPr>
              <w:t>for</w:t>
            </w:r>
            <w:r>
              <w:rPr>
                <w:color w:val="105C84"/>
                <w:spacing w:val="-9"/>
                <w:sz w:val="18"/>
              </w:rPr>
              <w:t> </w:t>
            </w:r>
            <w:r>
              <w:rPr>
                <w:color w:val="105C84"/>
                <w:spacing w:val="-2"/>
                <w:sz w:val="18"/>
              </w:rPr>
              <w:t>each</w:t>
            </w:r>
            <w:r>
              <w:rPr>
                <w:color w:val="105C84"/>
                <w:spacing w:val="-9"/>
                <w:sz w:val="18"/>
              </w:rPr>
              <w:t> </w:t>
            </w:r>
            <w:r>
              <w:rPr>
                <w:color w:val="105C84"/>
                <w:spacing w:val="-2"/>
                <w:sz w:val="18"/>
              </w:rPr>
              <w:t>service</w:t>
            </w:r>
            <w:r>
              <w:rPr>
                <w:color w:val="105C84"/>
                <w:spacing w:val="-9"/>
                <w:sz w:val="18"/>
              </w:rPr>
              <w:t> </w:t>
            </w:r>
            <w:r>
              <w:rPr>
                <w:color w:val="105C84"/>
                <w:spacing w:val="-2"/>
                <w:sz w:val="18"/>
              </w:rPr>
              <w:t>year</w:t>
            </w:r>
          </w:p>
          <w:p>
            <w:pPr>
              <w:pStyle w:val="TableParagraph"/>
              <w:spacing w:line="232" w:lineRule="auto" w:before="88"/>
              <w:ind w:left="89" w:right="95"/>
              <w:rPr>
                <w:sz w:val="18"/>
              </w:rPr>
            </w:pPr>
            <w:r>
              <w:rPr>
                <w:color w:val="105C84"/>
                <w:sz w:val="18"/>
              </w:rPr>
              <w:t>Provide estimates of demographics to </w:t>
            </w:r>
            <w:r>
              <w:rPr>
                <w:color w:val="105C84"/>
                <w:sz w:val="18"/>
              </w:rPr>
              <w:t>determine those of low SES</w:t>
            </w:r>
          </w:p>
        </w:tc>
        <w:tc>
          <w:tcPr>
            <w:tcW w:w="2074" w:type="dxa"/>
          </w:tcPr>
          <w:p>
            <w:pPr>
              <w:pStyle w:val="TableParagraph"/>
              <w:spacing w:line="232" w:lineRule="auto" w:before="100"/>
              <w:ind w:left="89" w:right="38"/>
              <w:rPr>
                <w:sz w:val="18"/>
              </w:rPr>
            </w:pPr>
            <w:r>
              <w:rPr>
                <w:color w:val="105C84"/>
                <w:sz w:val="18"/>
              </w:rPr>
              <w:t>Report on </w:t>
            </w:r>
            <w:r>
              <w:rPr>
                <w:color w:val="105C84"/>
                <w:spacing w:val="-2"/>
                <w:sz w:val="18"/>
              </w:rPr>
              <w:t>mammography </w:t>
            </w:r>
            <w:r>
              <w:rPr>
                <w:color w:val="105C84"/>
                <w:sz w:val="18"/>
              </w:rPr>
              <w:t>screening referral numbers for Yates County</w:t>
            </w:r>
            <w:r>
              <w:rPr>
                <w:color w:val="105C84"/>
                <w:spacing w:val="-12"/>
                <w:sz w:val="18"/>
              </w:rPr>
              <w:t> </w:t>
            </w:r>
            <w:r>
              <w:rPr>
                <w:color w:val="105C84"/>
                <w:sz w:val="18"/>
              </w:rPr>
              <w:t>from</w:t>
            </w:r>
            <w:r>
              <w:rPr>
                <w:color w:val="105C84"/>
                <w:spacing w:val="-12"/>
                <w:sz w:val="18"/>
              </w:rPr>
              <w:t> </w:t>
            </w:r>
            <w:r>
              <w:rPr>
                <w:color w:val="105C84"/>
                <w:sz w:val="18"/>
              </w:rPr>
              <w:t>primary care practices</w:t>
            </w:r>
          </w:p>
          <w:p>
            <w:pPr>
              <w:pStyle w:val="TableParagraph"/>
              <w:spacing w:line="232" w:lineRule="auto" w:before="85"/>
              <w:ind w:left="89" w:right="38"/>
              <w:rPr>
                <w:sz w:val="18"/>
              </w:rPr>
            </w:pPr>
            <w:r>
              <w:rPr>
                <w:color w:val="105C84"/>
                <w:sz w:val="18"/>
              </w:rPr>
              <w:t>Provide</w:t>
            </w:r>
            <w:r>
              <w:rPr>
                <w:color w:val="105C84"/>
                <w:spacing w:val="-13"/>
                <w:sz w:val="18"/>
              </w:rPr>
              <w:t> </w:t>
            </w:r>
            <w:r>
              <w:rPr>
                <w:color w:val="105C84"/>
                <w:sz w:val="18"/>
              </w:rPr>
              <w:t>mammography raw numbers for each service year</w:t>
            </w:r>
          </w:p>
          <w:p>
            <w:pPr>
              <w:pStyle w:val="TableParagraph"/>
              <w:spacing w:line="232" w:lineRule="auto" w:before="87"/>
              <w:ind w:left="89" w:right="401"/>
              <w:rPr>
                <w:sz w:val="18"/>
              </w:rPr>
            </w:pPr>
            <w:r>
              <w:rPr>
                <w:color w:val="105C84"/>
                <w:sz w:val="18"/>
              </w:rPr>
              <w:t>Provide estimates of demographics </w:t>
            </w:r>
            <w:r>
              <w:rPr>
                <w:color w:val="105C84"/>
                <w:sz w:val="18"/>
              </w:rPr>
              <w:t>to</w:t>
            </w:r>
          </w:p>
          <w:p>
            <w:pPr>
              <w:pStyle w:val="TableParagraph"/>
              <w:spacing w:line="232" w:lineRule="auto"/>
              <w:ind w:left="89" w:right="38"/>
              <w:rPr>
                <w:sz w:val="18"/>
              </w:rPr>
            </w:pPr>
            <w:r>
              <w:rPr>
                <w:color w:val="105C84"/>
                <w:sz w:val="18"/>
              </w:rPr>
              <w:t>determine</w:t>
            </w:r>
            <w:r>
              <w:rPr>
                <w:color w:val="105C84"/>
                <w:spacing w:val="-1"/>
                <w:sz w:val="18"/>
              </w:rPr>
              <w:t> </w:t>
            </w:r>
            <w:r>
              <w:rPr>
                <w:color w:val="105C84"/>
                <w:sz w:val="18"/>
              </w:rPr>
              <w:t>those</w:t>
            </w:r>
            <w:r>
              <w:rPr>
                <w:color w:val="105C84"/>
                <w:spacing w:val="-1"/>
                <w:sz w:val="18"/>
              </w:rPr>
              <w:t> </w:t>
            </w:r>
            <w:r>
              <w:rPr>
                <w:color w:val="105C84"/>
                <w:sz w:val="18"/>
              </w:rPr>
              <w:t>of</w:t>
            </w:r>
            <w:r>
              <w:rPr>
                <w:color w:val="105C84"/>
                <w:spacing w:val="-1"/>
                <w:sz w:val="18"/>
              </w:rPr>
              <w:t> </w:t>
            </w:r>
            <w:r>
              <w:rPr>
                <w:color w:val="105C84"/>
                <w:sz w:val="18"/>
              </w:rPr>
              <w:t>low </w:t>
            </w:r>
            <w:r>
              <w:rPr>
                <w:color w:val="105C84"/>
                <w:spacing w:val="-4"/>
                <w:sz w:val="18"/>
              </w:rPr>
              <w:t>SES</w:t>
            </w:r>
          </w:p>
        </w:tc>
        <w:tc>
          <w:tcPr>
            <w:tcW w:w="1498" w:type="dxa"/>
          </w:tcPr>
          <w:p>
            <w:pPr>
              <w:pStyle w:val="TableParagraph"/>
              <w:spacing w:before="94"/>
              <w:ind w:left="89"/>
              <w:rPr>
                <w:sz w:val="18"/>
              </w:rPr>
            </w:pPr>
            <w:r>
              <w:rPr>
                <w:color w:val="105C84"/>
                <w:spacing w:val="-2"/>
                <w:sz w:val="18"/>
              </w:rPr>
              <w:t>Hospital</w:t>
            </w:r>
          </w:p>
        </w:tc>
        <w:tc>
          <w:tcPr>
            <w:tcW w:w="1493" w:type="dxa"/>
          </w:tcPr>
          <w:p>
            <w:pPr>
              <w:pStyle w:val="TableParagraph"/>
              <w:spacing w:line="232" w:lineRule="auto" w:before="99"/>
              <w:ind w:left="88" w:right="134"/>
              <w:rPr>
                <w:sz w:val="18"/>
              </w:rPr>
            </w:pPr>
            <w:r>
              <w:rPr>
                <w:color w:val="105C84"/>
                <w:sz w:val="18"/>
              </w:rPr>
              <w:t>Finger Lakes Health (FLH) will utilize EHR (EMR) to make patient</w:t>
            </w:r>
            <w:r>
              <w:rPr>
                <w:color w:val="105C84"/>
                <w:spacing w:val="-13"/>
                <w:sz w:val="18"/>
              </w:rPr>
              <w:t> </w:t>
            </w:r>
            <w:r>
              <w:rPr>
                <w:color w:val="105C84"/>
                <w:sz w:val="18"/>
              </w:rPr>
              <w:t>referrals for screenings as appropriate</w:t>
            </w:r>
          </w:p>
          <w:p>
            <w:pPr>
              <w:pStyle w:val="TableParagraph"/>
              <w:spacing w:line="232" w:lineRule="auto" w:before="85"/>
              <w:ind w:left="88" w:firstLine="46"/>
              <w:rPr>
                <w:sz w:val="18"/>
              </w:rPr>
            </w:pPr>
            <w:r>
              <w:rPr>
                <w:color w:val="105C84"/>
                <w:sz w:val="18"/>
              </w:rPr>
              <w:t>Staff</w:t>
            </w:r>
            <w:r>
              <w:rPr>
                <w:color w:val="105C84"/>
                <w:spacing w:val="-13"/>
                <w:sz w:val="18"/>
              </w:rPr>
              <w:t> </w:t>
            </w:r>
            <w:r>
              <w:rPr>
                <w:color w:val="105C84"/>
                <w:sz w:val="18"/>
              </w:rPr>
              <w:t>time</w:t>
            </w:r>
            <w:r>
              <w:rPr>
                <w:color w:val="105C84"/>
                <w:spacing w:val="-12"/>
                <w:sz w:val="18"/>
              </w:rPr>
              <w:t> </w:t>
            </w:r>
            <w:r>
              <w:rPr>
                <w:color w:val="105C84"/>
                <w:sz w:val="18"/>
              </w:rPr>
              <w:t>of</w:t>
            </w:r>
            <w:r>
              <w:rPr>
                <w:color w:val="105C84"/>
                <w:spacing w:val="-13"/>
                <w:sz w:val="18"/>
              </w:rPr>
              <w:t> </w:t>
            </w:r>
            <w:r>
              <w:rPr>
                <w:color w:val="105C84"/>
                <w:sz w:val="18"/>
              </w:rPr>
              <w:t>.15 </w:t>
            </w:r>
            <w:r>
              <w:rPr>
                <w:color w:val="105C84"/>
                <w:w w:val="105"/>
                <w:sz w:val="18"/>
              </w:rPr>
              <w:t>FTE to collect and</w:t>
            </w:r>
            <w:r>
              <w:rPr>
                <w:color w:val="105C84"/>
                <w:spacing w:val="-1"/>
                <w:w w:val="105"/>
                <w:sz w:val="18"/>
              </w:rPr>
              <w:t> </w:t>
            </w:r>
            <w:r>
              <w:rPr>
                <w:color w:val="105C84"/>
                <w:w w:val="105"/>
                <w:sz w:val="18"/>
              </w:rPr>
              <w:t>report aggregate</w:t>
            </w:r>
            <w:r>
              <w:rPr>
                <w:color w:val="105C84"/>
                <w:spacing w:val="-14"/>
                <w:w w:val="105"/>
                <w:sz w:val="18"/>
              </w:rPr>
              <w:t> </w:t>
            </w:r>
            <w:r>
              <w:rPr>
                <w:color w:val="105C84"/>
                <w:w w:val="105"/>
                <w:sz w:val="18"/>
              </w:rPr>
              <w:t>data</w:t>
            </w:r>
          </w:p>
        </w:tc>
      </w:tr>
      <w:tr>
        <w:trPr>
          <w:trHeight w:val="4330" w:hRule="atLeast"/>
        </w:trPr>
        <w:tc>
          <w:tcPr>
            <w:tcW w:w="1180" w:type="dxa"/>
            <w:vMerge/>
            <w:tcBorders>
              <w:top w:val="nil"/>
            </w:tcBorders>
            <w:shd w:val="clear" w:color="auto" w:fill="E6E7E8"/>
          </w:tcPr>
          <w:p>
            <w:pPr>
              <w:rPr>
                <w:sz w:val="2"/>
                <w:szCs w:val="2"/>
              </w:rPr>
            </w:pPr>
          </w:p>
        </w:tc>
        <w:tc>
          <w:tcPr>
            <w:tcW w:w="1267" w:type="dxa"/>
            <w:vMerge/>
            <w:tcBorders>
              <w:top w:val="nil"/>
            </w:tcBorders>
          </w:tcPr>
          <w:p>
            <w:pPr>
              <w:rPr>
                <w:sz w:val="2"/>
                <w:szCs w:val="2"/>
              </w:rPr>
            </w:pPr>
          </w:p>
        </w:tc>
        <w:tc>
          <w:tcPr>
            <w:tcW w:w="1267" w:type="dxa"/>
            <w:vMerge/>
            <w:tcBorders>
              <w:top w:val="nil"/>
            </w:tcBorders>
          </w:tcPr>
          <w:p>
            <w:pPr>
              <w:rPr>
                <w:sz w:val="2"/>
                <w:szCs w:val="2"/>
              </w:rPr>
            </w:pPr>
          </w:p>
        </w:tc>
        <w:tc>
          <w:tcPr>
            <w:tcW w:w="1728" w:type="dxa"/>
            <w:vMerge/>
            <w:tcBorders>
              <w:top w:val="nil"/>
            </w:tcBorders>
          </w:tcPr>
          <w:p>
            <w:pPr>
              <w:rPr>
                <w:sz w:val="2"/>
                <w:szCs w:val="2"/>
              </w:rPr>
            </w:pPr>
          </w:p>
        </w:tc>
        <w:tc>
          <w:tcPr>
            <w:tcW w:w="1066" w:type="dxa"/>
            <w:vMerge/>
            <w:tcBorders>
              <w:top w:val="nil"/>
            </w:tcBorders>
          </w:tcPr>
          <w:p>
            <w:pPr>
              <w:rPr>
                <w:sz w:val="2"/>
                <w:szCs w:val="2"/>
              </w:rPr>
            </w:pPr>
          </w:p>
        </w:tc>
        <w:tc>
          <w:tcPr>
            <w:tcW w:w="1930" w:type="dxa"/>
          </w:tcPr>
          <w:p>
            <w:pPr>
              <w:pStyle w:val="TableParagraph"/>
              <w:spacing w:line="232" w:lineRule="auto" w:before="99"/>
              <w:ind w:left="90" w:right="302"/>
              <w:rPr>
                <w:sz w:val="18"/>
              </w:rPr>
            </w:pPr>
            <w:r>
              <w:rPr>
                <w:color w:val="105C84"/>
                <w:sz w:val="18"/>
              </w:rPr>
              <w:t>4.1.2</w:t>
            </w:r>
            <w:r>
              <w:rPr>
                <w:color w:val="105C84"/>
                <w:spacing w:val="-15"/>
                <w:sz w:val="18"/>
              </w:rPr>
              <w:t> </w:t>
            </w:r>
            <w:r>
              <w:rPr>
                <w:color w:val="105C84"/>
                <w:sz w:val="18"/>
              </w:rPr>
              <w:t>Conduct</w:t>
            </w:r>
            <w:r>
              <w:rPr>
                <w:color w:val="105C84"/>
                <w:spacing w:val="-12"/>
                <w:sz w:val="18"/>
              </w:rPr>
              <w:t> </w:t>
            </w:r>
            <w:r>
              <w:rPr>
                <w:color w:val="105C84"/>
                <w:sz w:val="18"/>
              </w:rPr>
              <w:t>one-</w:t>
            </w:r>
            <w:r>
              <w:rPr>
                <w:color w:val="105C84"/>
                <w:sz w:val="18"/>
              </w:rPr>
              <w:t>on-one (by phone or in person) and group education</w:t>
            </w:r>
          </w:p>
          <w:p>
            <w:pPr>
              <w:pStyle w:val="TableParagraph"/>
              <w:spacing w:line="232" w:lineRule="auto"/>
              <w:ind w:left="90"/>
              <w:rPr>
                <w:sz w:val="18"/>
              </w:rPr>
            </w:pPr>
            <w:r>
              <w:rPr>
                <w:color w:val="105C84"/>
                <w:sz w:val="18"/>
              </w:rPr>
              <w:t>(presentation</w:t>
            </w:r>
            <w:r>
              <w:rPr>
                <w:color w:val="105C84"/>
                <w:spacing w:val="-10"/>
                <w:sz w:val="18"/>
              </w:rPr>
              <w:t> </w:t>
            </w:r>
            <w:r>
              <w:rPr>
                <w:color w:val="105C84"/>
                <w:sz w:val="18"/>
              </w:rPr>
              <w:t>or</w:t>
            </w:r>
            <w:r>
              <w:rPr>
                <w:color w:val="105C84"/>
                <w:spacing w:val="-10"/>
                <w:sz w:val="18"/>
              </w:rPr>
              <w:t> </w:t>
            </w:r>
            <w:r>
              <w:rPr>
                <w:color w:val="105C84"/>
                <w:sz w:val="18"/>
              </w:rPr>
              <w:t>other interactive session</w:t>
            </w:r>
          </w:p>
          <w:p>
            <w:pPr>
              <w:pStyle w:val="TableParagraph"/>
              <w:spacing w:line="232" w:lineRule="auto"/>
              <w:ind w:left="90"/>
              <w:rPr>
                <w:sz w:val="18"/>
              </w:rPr>
            </w:pPr>
            <w:r>
              <w:rPr>
                <w:color w:val="105C84"/>
                <w:sz w:val="18"/>
              </w:rPr>
              <w:t>in a church, home, senior</w:t>
            </w:r>
            <w:r>
              <w:rPr>
                <w:color w:val="105C84"/>
                <w:spacing w:val="-7"/>
                <w:sz w:val="18"/>
              </w:rPr>
              <w:t> </w:t>
            </w:r>
            <w:r>
              <w:rPr>
                <w:color w:val="105C84"/>
                <w:sz w:val="18"/>
              </w:rPr>
              <w:t>center</w:t>
            </w:r>
            <w:r>
              <w:rPr>
                <w:color w:val="105C84"/>
                <w:spacing w:val="-7"/>
                <w:sz w:val="18"/>
              </w:rPr>
              <w:t> </w:t>
            </w:r>
            <w:r>
              <w:rPr>
                <w:color w:val="105C84"/>
                <w:sz w:val="18"/>
              </w:rPr>
              <w:t>or</w:t>
            </w:r>
            <w:r>
              <w:rPr>
                <w:color w:val="105C84"/>
                <w:spacing w:val="-7"/>
                <w:sz w:val="18"/>
              </w:rPr>
              <w:t> </w:t>
            </w:r>
            <w:r>
              <w:rPr>
                <w:color w:val="105C84"/>
                <w:sz w:val="18"/>
              </w:rPr>
              <w:t>other </w:t>
            </w:r>
            <w:r>
              <w:rPr>
                <w:color w:val="105C84"/>
                <w:spacing w:val="-2"/>
                <w:sz w:val="18"/>
              </w:rPr>
              <w:t>setting)</w:t>
            </w:r>
          </w:p>
        </w:tc>
        <w:tc>
          <w:tcPr>
            <w:tcW w:w="2761" w:type="dxa"/>
            <w:tcBorders>
              <w:right w:val="nil"/>
            </w:tcBorders>
          </w:tcPr>
          <w:p>
            <w:pPr>
              <w:pStyle w:val="TableParagraph"/>
              <w:spacing w:line="232" w:lineRule="auto" w:before="99"/>
              <w:ind w:left="89" w:right="1119"/>
              <w:rPr>
                <w:sz w:val="18"/>
              </w:rPr>
            </w:pPr>
            <w:r>
              <w:rPr>
                <w:color w:val="105C84"/>
                <w:sz w:val="18"/>
              </w:rPr>
              <w:t>Number of individuals</w:t>
            </w:r>
            <w:r>
              <w:rPr>
                <w:color w:val="105C84"/>
                <w:spacing w:val="-13"/>
                <w:sz w:val="18"/>
              </w:rPr>
              <w:t> </w:t>
            </w:r>
            <w:r>
              <w:rPr>
                <w:color w:val="105C84"/>
                <w:sz w:val="18"/>
              </w:rPr>
              <w:t>reached through education</w:t>
            </w:r>
          </w:p>
          <w:p>
            <w:pPr>
              <w:pStyle w:val="TableParagraph"/>
              <w:spacing w:line="232" w:lineRule="auto" w:before="88"/>
              <w:ind w:left="89" w:right="1203"/>
              <w:rPr>
                <w:sz w:val="18"/>
              </w:rPr>
            </w:pPr>
            <w:r>
              <w:rPr>
                <w:color w:val="105C84"/>
                <w:sz w:val="18"/>
              </w:rPr>
              <w:t>Change in knowledge &amp; awareness of need for cancer </w:t>
            </w:r>
            <w:r>
              <w:rPr>
                <w:color w:val="105C84"/>
                <w:spacing w:val="-2"/>
                <w:sz w:val="18"/>
              </w:rPr>
              <w:t>screenings</w:t>
            </w:r>
            <w:r>
              <w:rPr>
                <w:color w:val="105C84"/>
                <w:spacing w:val="-11"/>
                <w:sz w:val="18"/>
              </w:rPr>
              <w:t> </w:t>
            </w:r>
            <w:r>
              <w:rPr>
                <w:color w:val="105C84"/>
                <w:spacing w:val="-2"/>
                <w:sz w:val="18"/>
              </w:rPr>
              <w:t>among </w:t>
            </w:r>
            <w:r>
              <w:rPr>
                <w:color w:val="105C84"/>
                <w:sz w:val="18"/>
              </w:rPr>
              <w:t>groups reached</w:t>
            </w:r>
          </w:p>
        </w:tc>
        <w:tc>
          <w:tcPr>
            <w:tcW w:w="3287" w:type="dxa"/>
            <w:tcBorders>
              <w:left w:val="nil"/>
            </w:tcBorders>
          </w:tcPr>
          <w:p>
            <w:pPr>
              <w:pStyle w:val="TableParagraph"/>
              <w:spacing w:line="232" w:lineRule="auto" w:before="99"/>
              <w:ind w:left="1038" w:right="130"/>
              <w:rPr>
                <w:sz w:val="18"/>
              </w:rPr>
            </w:pPr>
            <w:r>
              <w:rPr>
                <w:color w:val="105C84"/>
                <w:w w:val="105"/>
                <w:sz w:val="18"/>
              </w:rPr>
              <w:t>Met with uninsured Mennonite</w:t>
            </w:r>
            <w:r>
              <w:rPr>
                <w:color w:val="105C84"/>
                <w:spacing w:val="-1"/>
                <w:w w:val="105"/>
                <w:sz w:val="18"/>
              </w:rPr>
              <w:t> </w:t>
            </w:r>
            <w:r>
              <w:rPr>
                <w:color w:val="105C84"/>
                <w:w w:val="105"/>
                <w:sz w:val="18"/>
              </w:rPr>
              <w:t>women </w:t>
            </w:r>
            <w:r>
              <w:rPr>
                <w:color w:val="105C84"/>
                <w:sz w:val="18"/>
              </w:rPr>
              <w:t>promoting </w:t>
            </w:r>
            <w:r>
              <w:rPr>
                <w:color w:val="105C84"/>
                <w:sz w:val="18"/>
              </w:rPr>
              <w:t>mammograms </w:t>
            </w:r>
            <w:r>
              <w:rPr>
                <w:color w:val="105C84"/>
                <w:w w:val="105"/>
                <w:sz w:val="18"/>
              </w:rPr>
              <w:t>through the Mobile Mammography</w:t>
            </w:r>
            <w:r>
              <w:rPr>
                <w:color w:val="105C84"/>
                <w:spacing w:val="-1"/>
                <w:w w:val="105"/>
                <w:sz w:val="18"/>
              </w:rPr>
              <w:t> </w:t>
            </w:r>
            <w:r>
              <w:rPr>
                <w:color w:val="105C84"/>
                <w:w w:val="105"/>
                <w:sz w:val="18"/>
              </w:rPr>
              <w:t>unit</w:t>
            </w:r>
          </w:p>
          <w:p>
            <w:pPr>
              <w:pStyle w:val="TableParagraph"/>
              <w:spacing w:line="232" w:lineRule="auto" w:before="86"/>
              <w:ind w:left="1038" w:right="107" w:firstLine="46"/>
              <w:jc w:val="both"/>
              <w:rPr>
                <w:sz w:val="18"/>
              </w:rPr>
            </w:pPr>
            <w:r>
              <w:rPr>
                <w:color w:val="105C84"/>
                <w:sz w:val="18"/>
              </w:rPr>
              <w:t>Arranged 2 "Sister's Day" events</w:t>
            </w:r>
            <w:r>
              <w:rPr>
                <w:color w:val="105C84"/>
                <w:spacing w:val="-13"/>
                <w:sz w:val="18"/>
              </w:rPr>
              <w:t> </w:t>
            </w:r>
            <w:r>
              <w:rPr>
                <w:color w:val="105C84"/>
                <w:sz w:val="18"/>
              </w:rPr>
              <w:t>targeting</w:t>
            </w:r>
            <w:r>
              <w:rPr>
                <w:color w:val="105C84"/>
                <w:spacing w:val="-12"/>
                <w:sz w:val="18"/>
              </w:rPr>
              <w:t> </w:t>
            </w:r>
            <w:r>
              <w:rPr>
                <w:color w:val="105C84"/>
                <w:sz w:val="18"/>
              </w:rPr>
              <w:t>uninsured Mennonite women</w:t>
            </w:r>
          </w:p>
          <w:p>
            <w:pPr>
              <w:pStyle w:val="TableParagraph"/>
              <w:spacing w:line="232" w:lineRule="auto" w:before="87"/>
              <w:ind w:left="1038" w:right="130"/>
              <w:rPr>
                <w:sz w:val="18"/>
              </w:rPr>
            </w:pPr>
            <w:r>
              <w:rPr>
                <w:color w:val="105C84"/>
                <w:sz w:val="18"/>
              </w:rPr>
              <w:t>Surveyed local employers (targeting</w:t>
            </w:r>
            <w:r>
              <w:rPr>
                <w:color w:val="105C84"/>
                <w:spacing w:val="-2"/>
                <w:sz w:val="18"/>
              </w:rPr>
              <w:t> </w:t>
            </w:r>
            <w:r>
              <w:rPr>
                <w:color w:val="105C84"/>
                <w:sz w:val="18"/>
              </w:rPr>
              <w:t>women</w:t>
            </w:r>
            <w:r>
              <w:rPr>
                <w:color w:val="105C84"/>
                <w:spacing w:val="-2"/>
                <w:sz w:val="18"/>
              </w:rPr>
              <w:t> </w:t>
            </w:r>
            <w:r>
              <w:rPr>
                <w:color w:val="105C84"/>
                <w:sz w:val="18"/>
              </w:rPr>
              <w:t>of</w:t>
            </w:r>
            <w:r>
              <w:rPr>
                <w:color w:val="105C84"/>
                <w:spacing w:val="-2"/>
                <w:sz w:val="18"/>
              </w:rPr>
              <w:t> </w:t>
            </w:r>
            <w:r>
              <w:rPr>
                <w:color w:val="105C84"/>
                <w:sz w:val="18"/>
              </w:rPr>
              <w:t>lower </w:t>
            </w:r>
            <w:r>
              <w:rPr>
                <w:color w:val="105C84"/>
                <w:w w:val="90"/>
                <w:sz w:val="18"/>
              </w:rPr>
              <w:t>SES)</w:t>
            </w:r>
            <w:r>
              <w:rPr>
                <w:color w:val="105C84"/>
                <w:spacing w:val="4"/>
                <w:sz w:val="18"/>
              </w:rPr>
              <w:t> </w:t>
            </w:r>
            <w:r>
              <w:rPr>
                <w:color w:val="105C84"/>
                <w:w w:val="90"/>
                <w:sz w:val="18"/>
              </w:rPr>
              <w:t>re:</w:t>
            </w:r>
            <w:r>
              <w:rPr>
                <w:color w:val="105C84"/>
                <w:spacing w:val="4"/>
                <w:sz w:val="18"/>
              </w:rPr>
              <w:t> </w:t>
            </w:r>
            <w:r>
              <w:rPr>
                <w:color w:val="105C84"/>
                <w:w w:val="90"/>
                <w:sz w:val="18"/>
              </w:rPr>
              <w:t>cancer</w:t>
            </w:r>
            <w:r>
              <w:rPr>
                <w:color w:val="105C84"/>
                <w:spacing w:val="5"/>
                <w:sz w:val="18"/>
              </w:rPr>
              <w:t> </w:t>
            </w:r>
            <w:r>
              <w:rPr>
                <w:color w:val="105C84"/>
                <w:spacing w:val="-2"/>
                <w:w w:val="90"/>
                <w:sz w:val="18"/>
              </w:rPr>
              <w:t>screenings</w:t>
            </w:r>
          </w:p>
          <w:p>
            <w:pPr>
              <w:pStyle w:val="TableParagraph"/>
              <w:spacing w:line="232" w:lineRule="auto"/>
              <w:ind w:left="1038" w:right="130"/>
              <w:rPr>
                <w:sz w:val="18"/>
              </w:rPr>
            </w:pPr>
            <w:r>
              <w:rPr>
                <w:color w:val="105C84"/>
                <w:sz w:val="18"/>
              </w:rPr>
              <w:t>-</w:t>
            </w:r>
            <w:r>
              <w:rPr>
                <w:color w:val="105C84"/>
                <w:spacing w:val="-13"/>
                <w:sz w:val="18"/>
              </w:rPr>
              <w:t> </w:t>
            </w:r>
            <w:r>
              <w:rPr>
                <w:color w:val="105C84"/>
                <w:sz w:val="18"/>
              </w:rPr>
              <w:t>insurance</w:t>
            </w:r>
            <w:r>
              <w:rPr>
                <w:color w:val="105C84"/>
                <w:spacing w:val="-12"/>
                <w:sz w:val="18"/>
              </w:rPr>
              <w:t> </w:t>
            </w:r>
            <w:r>
              <w:rPr>
                <w:color w:val="105C84"/>
                <w:sz w:val="18"/>
              </w:rPr>
              <w:t>coverage</w:t>
            </w:r>
            <w:r>
              <w:rPr>
                <w:color w:val="105C84"/>
                <w:spacing w:val="-13"/>
                <w:sz w:val="18"/>
              </w:rPr>
              <w:t> </w:t>
            </w:r>
            <w:r>
              <w:rPr>
                <w:color w:val="105C84"/>
                <w:sz w:val="18"/>
              </w:rPr>
              <w:t>for</w:t>
            </w:r>
            <w:r>
              <w:rPr>
                <w:color w:val="105C84"/>
                <w:sz w:val="18"/>
              </w:rPr>
              <w:t> screenings, policies in place for paid time off/ flexing etc.</w:t>
            </w:r>
          </w:p>
        </w:tc>
        <w:tc>
          <w:tcPr>
            <w:tcW w:w="2794" w:type="dxa"/>
          </w:tcPr>
          <w:p>
            <w:pPr>
              <w:pStyle w:val="TableParagraph"/>
              <w:spacing w:line="232" w:lineRule="auto" w:before="98"/>
              <w:ind w:left="89" w:right="95"/>
              <w:rPr>
                <w:sz w:val="18"/>
              </w:rPr>
            </w:pPr>
            <w:r>
              <w:rPr>
                <w:color w:val="105C84"/>
                <w:sz w:val="18"/>
              </w:rPr>
              <w:t>YCPH will conduct 1 presentation about the importance of mammograms targeting</w:t>
            </w:r>
            <w:r>
              <w:rPr>
                <w:color w:val="105C84"/>
                <w:spacing w:val="-8"/>
                <w:sz w:val="18"/>
              </w:rPr>
              <w:t> </w:t>
            </w:r>
            <w:r>
              <w:rPr>
                <w:color w:val="105C84"/>
                <w:sz w:val="18"/>
              </w:rPr>
              <w:t>women</w:t>
            </w:r>
            <w:r>
              <w:rPr>
                <w:color w:val="105C84"/>
                <w:spacing w:val="-8"/>
                <w:sz w:val="18"/>
              </w:rPr>
              <w:t> </w:t>
            </w:r>
            <w:r>
              <w:rPr>
                <w:color w:val="105C84"/>
                <w:sz w:val="18"/>
              </w:rPr>
              <w:t>of</w:t>
            </w:r>
            <w:r>
              <w:rPr>
                <w:color w:val="105C84"/>
                <w:spacing w:val="-8"/>
                <w:sz w:val="18"/>
              </w:rPr>
              <w:t> </w:t>
            </w:r>
            <w:r>
              <w:rPr>
                <w:color w:val="105C84"/>
                <w:sz w:val="18"/>
              </w:rPr>
              <w:t>lower</w:t>
            </w:r>
            <w:r>
              <w:rPr>
                <w:color w:val="105C84"/>
                <w:spacing w:val="-8"/>
                <w:sz w:val="18"/>
              </w:rPr>
              <w:t> </w:t>
            </w:r>
            <w:r>
              <w:rPr>
                <w:color w:val="105C84"/>
                <w:sz w:val="18"/>
              </w:rPr>
              <w:t>SES/ </w:t>
            </w:r>
            <w:r>
              <w:rPr>
                <w:color w:val="105C84"/>
                <w:spacing w:val="-2"/>
                <w:sz w:val="18"/>
              </w:rPr>
              <w:t>uninsured</w:t>
            </w:r>
          </w:p>
          <w:p>
            <w:pPr>
              <w:pStyle w:val="TableParagraph"/>
              <w:spacing w:line="232" w:lineRule="auto" w:before="86"/>
              <w:ind w:left="89" w:right="95"/>
              <w:rPr>
                <w:sz w:val="18"/>
              </w:rPr>
            </w:pPr>
            <w:r>
              <w:rPr>
                <w:color w:val="105C84"/>
                <w:sz w:val="18"/>
              </w:rPr>
              <w:t>YCPH</w:t>
            </w:r>
            <w:r>
              <w:rPr>
                <w:color w:val="105C84"/>
                <w:spacing w:val="-10"/>
                <w:sz w:val="18"/>
              </w:rPr>
              <w:t> </w:t>
            </w:r>
            <w:r>
              <w:rPr>
                <w:color w:val="105C84"/>
                <w:sz w:val="18"/>
              </w:rPr>
              <w:t>will</w:t>
            </w:r>
            <w:r>
              <w:rPr>
                <w:color w:val="105C84"/>
                <w:spacing w:val="-10"/>
                <w:sz w:val="18"/>
              </w:rPr>
              <w:t> </w:t>
            </w:r>
            <w:r>
              <w:rPr>
                <w:color w:val="105C84"/>
                <w:sz w:val="18"/>
              </w:rPr>
              <w:t>reach</w:t>
            </w:r>
            <w:r>
              <w:rPr>
                <w:color w:val="105C84"/>
                <w:spacing w:val="-10"/>
                <w:sz w:val="18"/>
              </w:rPr>
              <w:t> </w:t>
            </w:r>
            <w:r>
              <w:rPr>
                <w:color w:val="105C84"/>
                <w:sz w:val="18"/>
              </w:rPr>
              <w:t>out</w:t>
            </w:r>
            <w:r>
              <w:rPr>
                <w:color w:val="105C84"/>
                <w:spacing w:val="-10"/>
                <w:sz w:val="18"/>
              </w:rPr>
              <w:t> </w:t>
            </w:r>
            <w:r>
              <w:rPr>
                <w:color w:val="105C84"/>
                <w:sz w:val="18"/>
              </w:rPr>
              <w:t>to</w:t>
            </w:r>
            <w:r>
              <w:rPr>
                <w:color w:val="105C84"/>
                <w:spacing w:val="-10"/>
                <w:sz w:val="18"/>
              </w:rPr>
              <w:t> </w:t>
            </w:r>
            <w:r>
              <w:rPr>
                <w:color w:val="105C84"/>
                <w:sz w:val="18"/>
              </w:rPr>
              <w:t>the</w:t>
            </w:r>
            <w:r>
              <w:rPr>
                <w:color w:val="105C84"/>
                <w:spacing w:val="-10"/>
                <w:sz w:val="18"/>
              </w:rPr>
              <w:t> </w:t>
            </w:r>
            <w:r>
              <w:rPr>
                <w:color w:val="105C84"/>
                <w:sz w:val="18"/>
              </w:rPr>
              <w:t>Yates County Chamber of Commerce to discuss best practices when targeting employers about importance</w:t>
            </w:r>
            <w:r>
              <w:rPr>
                <w:color w:val="105C84"/>
                <w:spacing w:val="-1"/>
                <w:sz w:val="18"/>
              </w:rPr>
              <w:t> </w:t>
            </w:r>
            <w:r>
              <w:rPr>
                <w:color w:val="105C84"/>
                <w:sz w:val="18"/>
              </w:rPr>
              <w:t>of cancer</w:t>
            </w:r>
            <w:r>
              <w:rPr>
                <w:color w:val="105C84"/>
                <w:spacing w:val="-1"/>
                <w:sz w:val="18"/>
              </w:rPr>
              <w:t> </w:t>
            </w:r>
            <w:r>
              <w:rPr>
                <w:color w:val="105C84"/>
                <w:spacing w:val="-2"/>
                <w:sz w:val="18"/>
              </w:rPr>
              <w:t>screenings</w:t>
            </w:r>
          </w:p>
          <w:p>
            <w:pPr>
              <w:pStyle w:val="TableParagraph"/>
              <w:spacing w:line="232" w:lineRule="auto" w:before="86"/>
              <w:ind w:left="89" w:right="111"/>
              <w:rPr>
                <w:sz w:val="18"/>
              </w:rPr>
            </w:pPr>
            <w:r>
              <w:rPr>
                <w:color w:val="105C84"/>
                <w:sz w:val="18"/>
              </w:rPr>
              <w:t>YCPH</w:t>
            </w:r>
            <w:r>
              <w:rPr>
                <w:color w:val="105C84"/>
                <w:spacing w:val="-15"/>
                <w:sz w:val="18"/>
              </w:rPr>
              <w:t> </w:t>
            </w:r>
            <w:r>
              <w:rPr>
                <w:color w:val="105C84"/>
                <w:sz w:val="18"/>
              </w:rPr>
              <w:t>will</w:t>
            </w:r>
            <w:r>
              <w:rPr>
                <w:color w:val="105C84"/>
                <w:spacing w:val="-12"/>
                <w:sz w:val="18"/>
              </w:rPr>
              <w:t> </w:t>
            </w:r>
            <w:r>
              <w:rPr>
                <w:color w:val="105C84"/>
                <w:sz w:val="18"/>
              </w:rPr>
              <w:t>identify</w:t>
            </w:r>
            <w:r>
              <w:rPr>
                <w:color w:val="105C84"/>
                <w:spacing w:val="-13"/>
                <w:sz w:val="18"/>
              </w:rPr>
              <w:t> </w:t>
            </w:r>
            <w:r>
              <w:rPr>
                <w:color w:val="105C84"/>
                <w:sz w:val="18"/>
              </w:rPr>
              <w:t>1-2</w:t>
            </w:r>
            <w:r>
              <w:rPr>
                <w:color w:val="105C84"/>
                <w:spacing w:val="-12"/>
                <w:sz w:val="18"/>
              </w:rPr>
              <w:t> </w:t>
            </w:r>
            <w:r>
              <w:rPr>
                <w:color w:val="105C84"/>
                <w:sz w:val="18"/>
              </w:rPr>
              <w:t>employers that employ women of lower SES re: the importance of mammograms &amp; policies to improve access to screenings</w:t>
            </w:r>
          </w:p>
          <w:p>
            <w:pPr>
              <w:pStyle w:val="TableParagraph"/>
              <w:spacing w:line="232" w:lineRule="auto" w:before="87"/>
              <w:ind w:left="89" w:right="95"/>
              <w:rPr>
                <w:sz w:val="18"/>
              </w:rPr>
            </w:pPr>
            <w:r>
              <w:rPr>
                <w:color w:val="105C84"/>
                <w:sz w:val="18"/>
              </w:rPr>
              <w:t>YCPH</w:t>
            </w:r>
            <w:r>
              <w:rPr>
                <w:color w:val="105C84"/>
                <w:spacing w:val="-13"/>
                <w:sz w:val="18"/>
              </w:rPr>
              <w:t> </w:t>
            </w:r>
            <w:r>
              <w:rPr>
                <w:color w:val="105C84"/>
                <w:sz w:val="18"/>
              </w:rPr>
              <w:t>will</w:t>
            </w:r>
            <w:r>
              <w:rPr>
                <w:color w:val="105C84"/>
                <w:spacing w:val="-12"/>
                <w:sz w:val="18"/>
              </w:rPr>
              <w:t> </w:t>
            </w:r>
            <w:r>
              <w:rPr>
                <w:color w:val="105C84"/>
                <w:sz w:val="18"/>
              </w:rPr>
              <w:t>reach</w:t>
            </w:r>
            <w:r>
              <w:rPr>
                <w:color w:val="105C84"/>
                <w:spacing w:val="-13"/>
                <w:sz w:val="18"/>
              </w:rPr>
              <w:t> </w:t>
            </w:r>
            <w:r>
              <w:rPr>
                <w:color w:val="105C84"/>
                <w:sz w:val="18"/>
              </w:rPr>
              <w:t>out</w:t>
            </w:r>
            <w:r>
              <w:rPr>
                <w:color w:val="105C84"/>
                <w:spacing w:val="-12"/>
                <w:sz w:val="18"/>
              </w:rPr>
              <w:t> </w:t>
            </w:r>
            <w:r>
              <w:rPr>
                <w:color w:val="105C84"/>
                <w:sz w:val="18"/>
              </w:rPr>
              <w:t>to</w:t>
            </w:r>
            <w:r>
              <w:rPr>
                <w:color w:val="105C84"/>
                <w:spacing w:val="-13"/>
                <w:sz w:val="18"/>
              </w:rPr>
              <w:t> </w:t>
            </w:r>
            <w:r>
              <w:rPr>
                <w:color w:val="105C84"/>
                <w:sz w:val="18"/>
              </w:rPr>
              <w:t>members </w:t>
            </w:r>
            <w:r>
              <w:rPr>
                <w:color w:val="105C84"/>
                <w:w w:val="105"/>
                <w:sz w:val="18"/>
              </w:rPr>
              <w:t>of the Mennonite Community</w:t>
            </w:r>
          </w:p>
          <w:p>
            <w:pPr>
              <w:pStyle w:val="TableParagraph"/>
              <w:spacing w:line="232" w:lineRule="auto"/>
              <w:ind w:left="89"/>
              <w:rPr>
                <w:sz w:val="18"/>
              </w:rPr>
            </w:pPr>
            <w:r>
              <w:rPr>
                <w:color w:val="105C84"/>
                <w:sz w:val="18"/>
              </w:rPr>
              <w:t>to arrange additional Mobile Mammography</w:t>
            </w:r>
            <w:r>
              <w:rPr>
                <w:color w:val="105C84"/>
                <w:spacing w:val="-15"/>
                <w:sz w:val="18"/>
              </w:rPr>
              <w:t> </w:t>
            </w:r>
            <w:r>
              <w:rPr>
                <w:color w:val="105C84"/>
                <w:sz w:val="18"/>
              </w:rPr>
              <w:t>screening</w:t>
            </w:r>
            <w:r>
              <w:rPr>
                <w:color w:val="105C84"/>
                <w:spacing w:val="-12"/>
                <w:sz w:val="18"/>
              </w:rPr>
              <w:t> </w:t>
            </w:r>
            <w:r>
              <w:rPr>
                <w:color w:val="105C84"/>
                <w:sz w:val="18"/>
              </w:rPr>
              <w:t>events</w:t>
            </w:r>
          </w:p>
        </w:tc>
        <w:tc>
          <w:tcPr>
            <w:tcW w:w="2074" w:type="dxa"/>
          </w:tcPr>
          <w:p>
            <w:pPr>
              <w:pStyle w:val="TableParagraph"/>
              <w:spacing w:line="232" w:lineRule="auto" w:before="98"/>
              <w:ind w:left="89" w:right="362"/>
              <w:rPr>
                <w:sz w:val="18"/>
              </w:rPr>
            </w:pPr>
            <w:r>
              <w:rPr>
                <w:color w:val="105C84"/>
                <w:sz w:val="18"/>
              </w:rPr>
              <w:t>YCPH</w:t>
            </w:r>
            <w:r>
              <w:rPr>
                <w:color w:val="105C84"/>
                <w:spacing w:val="-13"/>
                <w:sz w:val="18"/>
              </w:rPr>
              <w:t> </w:t>
            </w:r>
            <w:r>
              <w:rPr>
                <w:color w:val="105C84"/>
                <w:sz w:val="18"/>
              </w:rPr>
              <w:t>will</w:t>
            </w:r>
            <w:r>
              <w:rPr>
                <w:color w:val="105C84"/>
                <w:spacing w:val="-12"/>
                <w:sz w:val="18"/>
              </w:rPr>
              <w:t> </w:t>
            </w:r>
            <w:r>
              <w:rPr>
                <w:color w:val="105C84"/>
                <w:sz w:val="18"/>
              </w:rPr>
              <w:t>conduct</w:t>
            </w:r>
            <w:r>
              <w:rPr>
                <w:color w:val="105C84"/>
                <w:spacing w:val="-13"/>
                <w:sz w:val="18"/>
              </w:rPr>
              <w:t> </w:t>
            </w:r>
            <w:r>
              <w:rPr>
                <w:color w:val="105C84"/>
                <w:sz w:val="18"/>
              </w:rPr>
              <w:t>1 presentation about the importance</w:t>
            </w:r>
          </w:p>
          <w:p>
            <w:pPr>
              <w:pStyle w:val="TableParagraph"/>
              <w:spacing w:line="232" w:lineRule="auto"/>
              <w:ind w:left="89" w:right="38"/>
              <w:rPr>
                <w:sz w:val="18"/>
              </w:rPr>
            </w:pPr>
            <w:r>
              <w:rPr>
                <w:color w:val="105C84"/>
                <w:sz w:val="18"/>
              </w:rPr>
              <w:t>of mammograms targeting women of lower </w:t>
            </w:r>
            <w:r>
              <w:rPr>
                <w:color w:val="105C84"/>
                <w:spacing w:val="-5"/>
                <w:sz w:val="18"/>
              </w:rPr>
              <w:t>SES/uninsured</w:t>
            </w:r>
          </w:p>
          <w:p>
            <w:pPr>
              <w:pStyle w:val="TableParagraph"/>
              <w:spacing w:line="232" w:lineRule="auto" w:before="85"/>
              <w:ind w:left="89" w:right="114"/>
              <w:rPr>
                <w:sz w:val="18"/>
              </w:rPr>
            </w:pPr>
            <w:r>
              <w:rPr>
                <w:color w:val="105C84"/>
                <w:sz w:val="18"/>
              </w:rPr>
              <w:t>YCPH will target 1-2 employers</w:t>
            </w:r>
            <w:r>
              <w:rPr>
                <w:color w:val="105C84"/>
                <w:spacing w:val="-5"/>
                <w:sz w:val="18"/>
              </w:rPr>
              <w:t> </w:t>
            </w:r>
            <w:r>
              <w:rPr>
                <w:color w:val="105C84"/>
                <w:sz w:val="18"/>
              </w:rPr>
              <w:t>that</w:t>
            </w:r>
            <w:r>
              <w:rPr>
                <w:color w:val="105C84"/>
                <w:spacing w:val="-6"/>
                <w:sz w:val="18"/>
              </w:rPr>
              <w:t> </w:t>
            </w:r>
            <w:r>
              <w:rPr>
                <w:color w:val="105C84"/>
                <w:sz w:val="18"/>
              </w:rPr>
              <w:t>employ women of lower SES re: the importance</w:t>
            </w:r>
          </w:p>
          <w:p>
            <w:pPr>
              <w:pStyle w:val="TableParagraph"/>
              <w:spacing w:line="232" w:lineRule="auto"/>
              <w:ind w:left="89" w:right="333"/>
              <w:rPr>
                <w:sz w:val="18"/>
              </w:rPr>
            </w:pPr>
            <w:r>
              <w:rPr>
                <w:color w:val="105C84"/>
                <w:sz w:val="18"/>
              </w:rPr>
              <w:t>of mammograms &amp; policies to improve </w:t>
            </w:r>
            <w:r>
              <w:rPr>
                <w:color w:val="105C84"/>
                <w:spacing w:val="-2"/>
                <w:sz w:val="18"/>
              </w:rPr>
              <w:t>access</w:t>
            </w:r>
            <w:r>
              <w:rPr>
                <w:color w:val="105C84"/>
                <w:spacing w:val="-13"/>
                <w:sz w:val="18"/>
              </w:rPr>
              <w:t> </w:t>
            </w:r>
            <w:r>
              <w:rPr>
                <w:color w:val="105C84"/>
                <w:spacing w:val="-2"/>
                <w:sz w:val="18"/>
              </w:rPr>
              <w:t>to</w:t>
            </w:r>
            <w:r>
              <w:rPr>
                <w:color w:val="105C84"/>
                <w:spacing w:val="-10"/>
                <w:sz w:val="18"/>
              </w:rPr>
              <w:t> </w:t>
            </w:r>
            <w:r>
              <w:rPr>
                <w:color w:val="105C84"/>
                <w:spacing w:val="-2"/>
                <w:sz w:val="18"/>
              </w:rPr>
              <w:t>screenings</w:t>
            </w:r>
          </w:p>
          <w:p>
            <w:pPr>
              <w:pStyle w:val="TableParagraph"/>
              <w:spacing w:line="232" w:lineRule="auto" w:before="85"/>
              <w:ind w:left="89" w:right="438"/>
              <w:rPr>
                <w:sz w:val="18"/>
              </w:rPr>
            </w:pPr>
            <w:r>
              <w:rPr>
                <w:color w:val="105C84"/>
                <w:sz w:val="18"/>
              </w:rPr>
              <w:t>YCPH will reach out</w:t>
            </w:r>
            <w:r>
              <w:rPr>
                <w:color w:val="105C84"/>
                <w:spacing w:val="-13"/>
                <w:sz w:val="18"/>
              </w:rPr>
              <w:t> </w:t>
            </w:r>
            <w:r>
              <w:rPr>
                <w:color w:val="105C84"/>
                <w:sz w:val="18"/>
              </w:rPr>
              <w:t>to</w:t>
            </w:r>
            <w:r>
              <w:rPr>
                <w:color w:val="105C84"/>
                <w:spacing w:val="-12"/>
                <w:sz w:val="18"/>
              </w:rPr>
              <w:t> </w:t>
            </w:r>
            <w:r>
              <w:rPr>
                <w:color w:val="105C84"/>
                <w:sz w:val="18"/>
              </w:rPr>
              <w:t>Finger</w:t>
            </w:r>
            <w:r>
              <w:rPr>
                <w:color w:val="105C84"/>
                <w:spacing w:val="-13"/>
                <w:sz w:val="18"/>
              </w:rPr>
              <w:t> </w:t>
            </w:r>
            <w:r>
              <w:rPr>
                <w:color w:val="105C84"/>
                <w:sz w:val="18"/>
              </w:rPr>
              <w:t>Lakes Community Health &amp; Cancer Services</w:t>
            </w:r>
          </w:p>
          <w:p>
            <w:pPr>
              <w:pStyle w:val="TableParagraph"/>
              <w:spacing w:line="232" w:lineRule="auto"/>
              <w:ind w:left="89" w:right="38"/>
              <w:rPr>
                <w:sz w:val="18"/>
              </w:rPr>
            </w:pPr>
            <w:r>
              <w:rPr>
                <w:color w:val="105C84"/>
                <w:sz w:val="18"/>
              </w:rPr>
              <w:t>Program to address mammograms</w:t>
            </w:r>
            <w:r>
              <w:rPr>
                <w:color w:val="105C84"/>
                <w:spacing w:val="-15"/>
                <w:sz w:val="18"/>
              </w:rPr>
              <w:t> </w:t>
            </w:r>
            <w:r>
              <w:rPr>
                <w:color w:val="105C84"/>
                <w:sz w:val="18"/>
              </w:rPr>
              <w:t>in</w:t>
            </w:r>
            <w:r>
              <w:rPr>
                <w:color w:val="105C84"/>
                <w:spacing w:val="-12"/>
                <w:sz w:val="18"/>
              </w:rPr>
              <w:t> </w:t>
            </w:r>
            <w:r>
              <w:rPr>
                <w:color w:val="105C84"/>
                <w:sz w:val="18"/>
              </w:rPr>
              <w:t>the migrant population</w:t>
            </w:r>
          </w:p>
        </w:tc>
        <w:tc>
          <w:tcPr>
            <w:tcW w:w="1498" w:type="dxa"/>
          </w:tcPr>
          <w:p>
            <w:pPr>
              <w:pStyle w:val="TableParagraph"/>
              <w:spacing w:line="232" w:lineRule="auto" w:before="98"/>
              <w:ind w:left="89"/>
              <w:rPr>
                <w:sz w:val="18"/>
              </w:rPr>
            </w:pPr>
            <w:r>
              <w:rPr>
                <w:color w:val="105C84"/>
                <w:spacing w:val="-2"/>
                <w:sz w:val="18"/>
              </w:rPr>
              <w:t>Local</w:t>
            </w:r>
            <w:r>
              <w:rPr>
                <w:color w:val="105C84"/>
                <w:spacing w:val="-11"/>
                <w:sz w:val="18"/>
              </w:rPr>
              <w:t> </w:t>
            </w:r>
            <w:r>
              <w:rPr>
                <w:color w:val="105C84"/>
                <w:spacing w:val="-2"/>
                <w:sz w:val="18"/>
              </w:rPr>
              <w:t>health department</w:t>
            </w:r>
          </w:p>
        </w:tc>
        <w:tc>
          <w:tcPr>
            <w:tcW w:w="1493" w:type="dxa"/>
          </w:tcPr>
          <w:p>
            <w:pPr>
              <w:pStyle w:val="TableParagraph"/>
              <w:spacing w:line="232" w:lineRule="auto" w:before="98"/>
              <w:ind w:left="88" w:right="327"/>
              <w:rPr>
                <w:sz w:val="18"/>
              </w:rPr>
            </w:pPr>
            <w:r>
              <w:rPr>
                <w:color w:val="105C84"/>
                <w:spacing w:val="-2"/>
                <w:sz w:val="18"/>
              </w:rPr>
              <w:t>Yates</w:t>
            </w:r>
            <w:r>
              <w:rPr>
                <w:color w:val="105C84"/>
                <w:spacing w:val="-11"/>
                <w:sz w:val="18"/>
              </w:rPr>
              <w:t> </w:t>
            </w:r>
            <w:r>
              <w:rPr>
                <w:color w:val="105C84"/>
                <w:spacing w:val="-2"/>
                <w:sz w:val="18"/>
              </w:rPr>
              <w:t>County Public</w:t>
            </w:r>
            <w:r>
              <w:rPr>
                <w:color w:val="105C84"/>
                <w:spacing w:val="-1"/>
                <w:sz w:val="18"/>
              </w:rPr>
              <w:t> </w:t>
            </w:r>
            <w:r>
              <w:rPr>
                <w:color w:val="105C84"/>
                <w:spacing w:val="-2"/>
                <w:sz w:val="18"/>
              </w:rPr>
              <w:t>Health</w:t>
            </w:r>
          </w:p>
          <w:p>
            <w:pPr>
              <w:pStyle w:val="TableParagraph"/>
              <w:spacing w:line="200" w:lineRule="exact"/>
              <w:ind w:left="88"/>
              <w:rPr>
                <w:sz w:val="18"/>
              </w:rPr>
            </w:pPr>
            <w:r>
              <w:rPr>
                <w:color w:val="105C84"/>
                <w:spacing w:val="-5"/>
                <w:sz w:val="18"/>
              </w:rPr>
              <w:t>0.1</w:t>
            </w:r>
            <w:r>
              <w:rPr>
                <w:color w:val="105C84"/>
                <w:spacing w:val="-7"/>
                <w:sz w:val="18"/>
              </w:rPr>
              <w:t> </w:t>
            </w:r>
            <w:r>
              <w:rPr>
                <w:color w:val="105C84"/>
                <w:spacing w:val="-5"/>
                <w:sz w:val="18"/>
              </w:rPr>
              <w:t>FTE</w:t>
            </w:r>
          </w:p>
        </w:tc>
      </w:tr>
      <w:tr>
        <w:trPr>
          <w:trHeight w:val="3730" w:hRule="atLeast"/>
        </w:trPr>
        <w:tc>
          <w:tcPr>
            <w:tcW w:w="1180" w:type="dxa"/>
            <w:vMerge/>
            <w:tcBorders>
              <w:top w:val="nil"/>
            </w:tcBorders>
            <w:shd w:val="clear" w:color="auto" w:fill="E6E7E8"/>
          </w:tcPr>
          <w:p>
            <w:pPr>
              <w:rPr>
                <w:sz w:val="2"/>
                <w:szCs w:val="2"/>
              </w:rPr>
            </w:pPr>
          </w:p>
        </w:tc>
        <w:tc>
          <w:tcPr>
            <w:tcW w:w="1267" w:type="dxa"/>
            <w:vMerge/>
            <w:tcBorders>
              <w:top w:val="nil"/>
            </w:tcBorders>
          </w:tcPr>
          <w:p>
            <w:pPr>
              <w:rPr>
                <w:sz w:val="2"/>
                <w:szCs w:val="2"/>
              </w:rPr>
            </w:pPr>
          </w:p>
        </w:tc>
        <w:tc>
          <w:tcPr>
            <w:tcW w:w="1267" w:type="dxa"/>
            <w:vMerge/>
            <w:tcBorders>
              <w:top w:val="nil"/>
            </w:tcBorders>
          </w:tcPr>
          <w:p>
            <w:pPr>
              <w:rPr>
                <w:sz w:val="2"/>
                <w:szCs w:val="2"/>
              </w:rPr>
            </w:pPr>
          </w:p>
        </w:tc>
        <w:tc>
          <w:tcPr>
            <w:tcW w:w="1728" w:type="dxa"/>
            <w:vMerge/>
            <w:tcBorders>
              <w:top w:val="nil"/>
            </w:tcBorders>
          </w:tcPr>
          <w:p>
            <w:pPr>
              <w:rPr>
                <w:sz w:val="2"/>
                <w:szCs w:val="2"/>
              </w:rPr>
            </w:pPr>
          </w:p>
        </w:tc>
        <w:tc>
          <w:tcPr>
            <w:tcW w:w="1066" w:type="dxa"/>
            <w:vMerge/>
            <w:tcBorders>
              <w:top w:val="nil"/>
            </w:tcBorders>
          </w:tcPr>
          <w:p>
            <w:pPr>
              <w:rPr>
                <w:sz w:val="2"/>
                <w:szCs w:val="2"/>
              </w:rPr>
            </w:pPr>
          </w:p>
        </w:tc>
        <w:tc>
          <w:tcPr>
            <w:tcW w:w="1930" w:type="dxa"/>
          </w:tcPr>
          <w:p>
            <w:pPr>
              <w:pStyle w:val="TableParagraph"/>
              <w:spacing w:line="232" w:lineRule="auto" w:before="98"/>
              <w:ind w:left="90" w:right="97"/>
              <w:rPr>
                <w:sz w:val="18"/>
              </w:rPr>
            </w:pPr>
            <w:r>
              <w:rPr>
                <w:color w:val="105C84"/>
                <w:spacing w:val="-2"/>
                <w:sz w:val="18"/>
              </w:rPr>
              <w:t>4.1.3</w:t>
            </w:r>
            <w:r>
              <w:rPr>
                <w:color w:val="105C84"/>
                <w:spacing w:val="-11"/>
                <w:sz w:val="18"/>
              </w:rPr>
              <w:t> </w:t>
            </w:r>
            <w:r>
              <w:rPr>
                <w:color w:val="105C84"/>
                <w:spacing w:val="-2"/>
                <w:sz w:val="18"/>
              </w:rPr>
              <w:t>Use</w:t>
            </w:r>
            <w:r>
              <w:rPr>
                <w:color w:val="105C84"/>
                <w:spacing w:val="-10"/>
                <w:sz w:val="18"/>
              </w:rPr>
              <w:t> </w:t>
            </w:r>
            <w:r>
              <w:rPr>
                <w:color w:val="105C84"/>
                <w:spacing w:val="-2"/>
                <w:sz w:val="18"/>
              </w:rPr>
              <w:t>small</w:t>
            </w:r>
            <w:r>
              <w:rPr>
                <w:color w:val="105C84"/>
                <w:spacing w:val="-11"/>
                <w:sz w:val="18"/>
              </w:rPr>
              <w:t> </w:t>
            </w:r>
            <w:r>
              <w:rPr>
                <w:color w:val="105C84"/>
                <w:spacing w:val="-2"/>
                <w:sz w:val="18"/>
              </w:rPr>
              <w:t>medi</w:t>
            </w:r>
            <w:r>
              <w:rPr>
                <w:color w:val="105C84"/>
                <w:spacing w:val="-2"/>
                <w:sz w:val="18"/>
              </w:rPr>
              <w:t>a</w:t>
            </w:r>
            <w:r>
              <w:rPr>
                <w:color w:val="105C84"/>
                <w:spacing w:val="-2"/>
                <w:sz w:val="18"/>
              </w:rPr>
              <w:t> </w:t>
            </w:r>
            <w:r>
              <w:rPr>
                <w:color w:val="105C84"/>
                <w:sz w:val="18"/>
              </w:rPr>
              <w:t>such as videos, printed materials (letters, brochures, and newsletters)</w:t>
            </w:r>
          </w:p>
          <w:p>
            <w:pPr>
              <w:pStyle w:val="TableParagraph"/>
              <w:spacing w:line="232" w:lineRule="auto"/>
              <w:ind w:left="90" w:right="427"/>
              <w:rPr>
                <w:sz w:val="18"/>
              </w:rPr>
            </w:pPr>
            <w:r>
              <w:rPr>
                <w:color w:val="105C84"/>
                <w:sz w:val="18"/>
              </w:rPr>
              <w:t>and health </w:t>
            </w:r>
            <w:r>
              <w:rPr>
                <w:color w:val="105C84"/>
                <w:spacing w:val="-2"/>
                <w:sz w:val="18"/>
              </w:rPr>
              <w:t>communications </w:t>
            </w:r>
            <w:r>
              <w:rPr>
                <w:color w:val="105C84"/>
                <w:sz w:val="18"/>
              </w:rPr>
              <w:t>to build public</w:t>
            </w:r>
          </w:p>
          <w:p>
            <w:pPr>
              <w:pStyle w:val="TableParagraph"/>
              <w:spacing w:line="200" w:lineRule="exact"/>
              <w:ind w:left="90"/>
              <w:rPr>
                <w:sz w:val="18"/>
              </w:rPr>
            </w:pPr>
            <w:r>
              <w:rPr>
                <w:color w:val="105C84"/>
                <w:spacing w:val="-4"/>
                <w:sz w:val="18"/>
              </w:rPr>
              <w:t>awareness</w:t>
            </w:r>
            <w:r>
              <w:rPr>
                <w:color w:val="105C84"/>
                <w:spacing w:val="-8"/>
                <w:sz w:val="18"/>
              </w:rPr>
              <w:t> </w:t>
            </w:r>
            <w:r>
              <w:rPr>
                <w:color w:val="105C84"/>
                <w:spacing w:val="-4"/>
                <w:sz w:val="18"/>
              </w:rPr>
              <w:t>&amp;</w:t>
            </w:r>
            <w:r>
              <w:rPr>
                <w:color w:val="105C84"/>
                <w:spacing w:val="-7"/>
                <w:sz w:val="18"/>
              </w:rPr>
              <w:t> </w:t>
            </w:r>
            <w:r>
              <w:rPr>
                <w:color w:val="105C84"/>
                <w:spacing w:val="-4"/>
                <w:sz w:val="18"/>
              </w:rPr>
              <w:t>demand</w:t>
            </w:r>
          </w:p>
        </w:tc>
        <w:tc>
          <w:tcPr>
            <w:tcW w:w="2761" w:type="dxa"/>
            <w:tcBorders>
              <w:right w:val="nil"/>
            </w:tcBorders>
          </w:tcPr>
          <w:p>
            <w:pPr>
              <w:pStyle w:val="TableParagraph"/>
              <w:spacing w:line="203" w:lineRule="exact" w:before="92"/>
              <w:ind w:left="89"/>
              <w:rPr>
                <w:sz w:val="18"/>
              </w:rPr>
            </w:pPr>
            <w:r>
              <w:rPr>
                <w:color w:val="105C84"/>
                <w:w w:val="105"/>
                <w:sz w:val="18"/>
              </w:rPr>
              <w:t>Number</w:t>
            </w:r>
            <w:r>
              <w:rPr>
                <w:color w:val="105C84"/>
                <w:spacing w:val="-13"/>
                <w:w w:val="105"/>
                <w:sz w:val="18"/>
              </w:rPr>
              <w:t> </w:t>
            </w:r>
            <w:r>
              <w:rPr>
                <w:color w:val="105C84"/>
                <w:w w:val="105"/>
                <w:sz w:val="18"/>
              </w:rPr>
              <w:t>&amp;</w:t>
            </w:r>
            <w:r>
              <w:rPr>
                <w:color w:val="105C84"/>
                <w:spacing w:val="-13"/>
                <w:w w:val="105"/>
                <w:sz w:val="18"/>
              </w:rPr>
              <w:t> </w:t>
            </w:r>
            <w:r>
              <w:rPr>
                <w:color w:val="105C84"/>
                <w:spacing w:val="-4"/>
                <w:w w:val="105"/>
                <w:sz w:val="18"/>
              </w:rPr>
              <w:t>type</w:t>
            </w:r>
          </w:p>
          <w:p>
            <w:pPr>
              <w:pStyle w:val="TableParagraph"/>
              <w:spacing w:line="232" w:lineRule="auto" w:before="2"/>
              <w:ind w:left="89" w:right="1119"/>
              <w:rPr>
                <w:sz w:val="18"/>
              </w:rPr>
            </w:pPr>
            <w:r>
              <w:rPr>
                <w:color w:val="105C84"/>
                <w:sz w:val="18"/>
              </w:rPr>
              <w:t>of</w:t>
            </w:r>
            <w:r>
              <w:rPr>
                <w:color w:val="105C84"/>
                <w:spacing w:val="-15"/>
                <w:sz w:val="18"/>
              </w:rPr>
              <w:t> </w:t>
            </w:r>
            <w:r>
              <w:rPr>
                <w:color w:val="105C84"/>
                <w:sz w:val="18"/>
              </w:rPr>
              <w:t>locations</w:t>
            </w:r>
            <w:r>
              <w:rPr>
                <w:color w:val="105C84"/>
                <w:spacing w:val="-12"/>
                <w:sz w:val="18"/>
              </w:rPr>
              <w:t> </w:t>
            </w:r>
            <w:r>
              <w:rPr>
                <w:color w:val="105C84"/>
                <w:sz w:val="18"/>
              </w:rPr>
              <w:t>where materials were </w:t>
            </w:r>
            <w:r>
              <w:rPr>
                <w:color w:val="105C84"/>
                <w:spacing w:val="-2"/>
                <w:sz w:val="18"/>
              </w:rPr>
              <w:t>distributed</w:t>
            </w:r>
          </w:p>
          <w:p>
            <w:pPr>
              <w:pStyle w:val="TableParagraph"/>
              <w:spacing w:line="232" w:lineRule="auto" w:before="88"/>
              <w:ind w:left="89" w:right="1203"/>
              <w:rPr>
                <w:sz w:val="18"/>
              </w:rPr>
            </w:pPr>
            <w:r>
              <w:rPr>
                <w:color w:val="105C84"/>
                <w:sz w:val="18"/>
              </w:rPr>
              <w:t>Change in knowledge &amp; awareness of need for cancer </w:t>
            </w:r>
            <w:r>
              <w:rPr>
                <w:color w:val="105C84"/>
                <w:spacing w:val="-2"/>
                <w:sz w:val="18"/>
              </w:rPr>
              <w:t>screenings</w:t>
            </w:r>
            <w:r>
              <w:rPr>
                <w:color w:val="105C84"/>
                <w:spacing w:val="-11"/>
                <w:sz w:val="18"/>
              </w:rPr>
              <w:t> </w:t>
            </w:r>
            <w:r>
              <w:rPr>
                <w:color w:val="105C84"/>
                <w:spacing w:val="-2"/>
                <w:sz w:val="18"/>
              </w:rPr>
              <w:t>among </w:t>
            </w:r>
            <w:r>
              <w:rPr>
                <w:color w:val="105C84"/>
                <w:sz w:val="18"/>
              </w:rPr>
              <w:t>groups reached</w:t>
            </w:r>
          </w:p>
          <w:p>
            <w:pPr>
              <w:pStyle w:val="TableParagraph"/>
              <w:spacing w:line="232" w:lineRule="auto"/>
              <w:ind w:left="89" w:right="11"/>
              <w:rPr>
                <w:sz w:val="18"/>
              </w:rPr>
            </w:pPr>
            <w:r>
              <w:rPr>
                <w:color w:val="105C84"/>
                <w:sz w:val="18"/>
              </w:rPr>
              <w:t>through</w:t>
            </w:r>
            <w:r>
              <w:rPr>
                <w:color w:val="105C84"/>
                <w:spacing w:val="-10"/>
                <w:sz w:val="18"/>
              </w:rPr>
              <w:t> </w:t>
            </w:r>
            <w:r>
              <w:rPr>
                <w:color w:val="105C84"/>
                <w:sz w:val="18"/>
              </w:rPr>
              <w:t>small</w:t>
            </w:r>
            <w:r>
              <w:rPr>
                <w:color w:val="105C84"/>
                <w:spacing w:val="-10"/>
                <w:sz w:val="18"/>
              </w:rPr>
              <w:t> </w:t>
            </w:r>
            <w:r>
              <w:rPr>
                <w:color w:val="105C84"/>
                <w:sz w:val="18"/>
              </w:rPr>
              <w:t>media </w:t>
            </w:r>
            <w:r>
              <w:rPr>
                <w:color w:val="105C84"/>
                <w:spacing w:val="-2"/>
                <w:sz w:val="18"/>
              </w:rPr>
              <w:t>dissemination</w:t>
            </w:r>
          </w:p>
        </w:tc>
        <w:tc>
          <w:tcPr>
            <w:tcW w:w="3287" w:type="dxa"/>
            <w:tcBorders>
              <w:left w:val="nil"/>
            </w:tcBorders>
          </w:tcPr>
          <w:p>
            <w:pPr>
              <w:pStyle w:val="TableParagraph"/>
              <w:spacing w:line="232" w:lineRule="auto" w:before="97"/>
              <w:ind w:left="1038" w:right="130"/>
              <w:rPr>
                <w:sz w:val="18"/>
              </w:rPr>
            </w:pPr>
            <w:r>
              <w:rPr>
                <w:color w:val="105C84"/>
                <w:w w:val="105"/>
                <w:sz w:val="18"/>
              </w:rPr>
              <w:t>FLH developed &amp; </w:t>
            </w:r>
            <w:r>
              <w:rPr>
                <w:color w:val="105C84"/>
                <w:spacing w:val="-2"/>
                <w:w w:val="105"/>
                <w:sz w:val="18"/>
              </w:rPr>
              <w:t>distributed</w:t>
            </w:r>
            <w:r>
              <w:rPr>
                <w:color w:val="105C84"/>
                <w:spacing w:val="-8"/>
                <w:w w:val="105"/>
                <w:sz w:val="18"/>
              </w:rPr>
              <w:t> </w:t>
            </w:r>
            <w:r>
              <w:rPr>
                <w:color w:val="105C84"/>
                <w:spacing w:val="-2"/>
                <w:w w:val="105"/>
                <w:sz w:val="18"/>
              </w:rPr>
              <w:t>flyer</w:t>
            </w:r>
            <w:r>
              <w:rPr>
                <w:color w:val="105C84"/>
                <w:spacing w:val="-8"/>
                <w:w w:val="105"/>
                <w:sz w:val="18"/>
              </w:rPr>
              <w:t> </w:t>
            </w:r>
            <w:r>
              <w:rPr>
                <w:color w:val="105C84"/>
                <w:spacing w:val="-2"/>
                <w:w w:val="105"/>
                <w:sz w:val="18"/>
              </w:rPr>
              <w:t>outlining </w:t>
            </w:r>
            <w:r>
              <w:rPr>
                <w:color w:val="105C84"/>
                <w:w w:val="105"/>
                <w:sz w:val="18"/>
              </w:rPr>
              <w:t>screenings</w:t>
            </w:r>
            <w:r>
              <w:rPr>
                <w:color w:val="105C84"/>
                <w:spacing w:val="-1"/>
                <w:w w:val="105"/>
                <w:sz w:val="18"/>
              </w:rPr>
              <w:t> </w:t>
            </w:r>
            <w:r>
              <w:rPr>
                <w:color w:val="105C84"/>
                <w:w w:val="105"/>
                <w:sz w:val="18"/>
              </w:rPr>
              <w:t>performed</w:t>
            </w:r>
          </w:p>
          <w:p>
            <w:pPr>
              <w:pStyle w:val="TableParagraph"/>
              <w:spacing w:line="200" w:lineRule="exact"/>
              <w:ind w:left="1038"/>
              <w:rPr>
                <w:sz w:val="18"/>
              </w:rPr>
            </w:pPr>
            <w:r>
              <w:rPr>
                <w:color w:val="105C84"/>
                <w:sz w:val="18"/>
              </w:rPr>
              <w:t>by</w:t>
            </w:r>
            <w:r>
              <w:rPr>
                <w:color w:val="105C84"/>
                <w:spacing w:val="-3"/>
                <w:sz w:val="18"/>
              </w:rPr>
              <w:t> </w:t>
            </w:r>
            <w:r>
              <w:rPr>
                <w:color w:val="105C84"/>
                <w:spacing w:val="-5"/>
                <w:sz w:val="18"/>
              </w:rPr>
              <w:t>FLH</w:t>
            </w:r>
          </w:p>
          <w:p>
            <w:pPr>
              <w:pStyle w:val="TableParagraph"/>
              <w:spacing w:line="232" w:lineRule="auto" w:before="88"/>
              <w:ind w:left="1038"/>
              <w:rPr>
                <w:sz w:val="18"/>
              </w:rPr>
            </w:pPr>
            <w:r>
              <w:rPr>
                <w:color w:val="105C84"/>
                <w:sz w:val="18"/>
              </w:rPr>
              <w:t>FLH</w:t>
            </w:r>
            <w:r>
              <w:rPr>
                <w:color w:val="105C84"/>
                <w:spacing w:val="-11"/>
                <w:sz w:val="18"/>
              </w:rPr>
              <w:t> </w:t>
            </w:r>
            <w:r>
              <w:rPr>
                <w:color w:val="105C84"/>
                <w:sz w:val="18"/>
              </w:rPr>
              <w:t>developed</w:t>
            </w:r>
            <w:r>
              <w:rPr>
                <w:color w:val="105C84"/>
                <w:spacing w:val="-11"/>
                <w:sz w:val="18"/>
              </w:rPr>
              <w:t> </w:t>
            </w:r>
            <w:r>
              <w:rPr>
                <w:color w:val="105C84"/>
                <w:sz w:val="18"/>
              </w:rPr>
              <w:t>advertising their new "Walk-In" screening mammography offered once a month, starting</w:t>
            </w:r>
            <w:r>
              <w:rPr>
                <w:color w:val="105C84"/>
                <w:spacing w:val="-3"/>
                <w:sz w:val="18"/>
              </w:rPr>
              <w:t> </w:t>
            </w:r>
            <w:r>
              <w:rPr>
                <w:color w:val="105C84"/>
                <w:sz w:val="18"/>
              </w:rPr>
              <w:t>in</w:t>
            </w:r>
            <w:r>
              <w:rPr>
                <w:color w:val="105C84"/>
                <w:spacing w:val="-3"/>
                <w:sz w:val="18"/>
              </w:rPr>
              <w:t> </w:t>
            </w:r>
            <w:r>
              <w:rPr>
                <w:color w:val="105C84"/>
                <w:sz w:val="18"/>
              </w:rPr>
              <w:t>October</w:t>
            </w:r>
            <w:r>
              <w:rPr>
                <w:color w:val="105C84"/>
                <w:spacing w:val="-3"/>
                <w:sz w:val="18"/>
              </w:rPr>
              <w:t> </w:t>
            </w:r>
            <w:r>
              <w:rPr>
                <w:color w:val="105C84"/>
                <w:sz w:val="18"/>
              </w:rPr>
              <w:t>in</w:t>
            </w:r>
            <w:r>
              <w:rPr>
                <w:color w:val="105C84"/>
                <w:spacing w:val="-3"/>
                <w:sz w:val="18"/>
              </w:rPr>
              <w:t> </w:t>
            </w:r>
            <w:r>
              <w:rPr>
                <w:color w:val="105C84"/>
                <w:sz w:val="18"/>
              </w:rPr>
              <w:t>Penn Yan &amp; Geneva locations</w:t>
            </w:r>
          </w:p>
          <w:p>
            <w:pPr>
              <w:pStyle w:val="TableParagraph"/>
              <w:spacing w:line="232" w:lineRule="auto" w:before="86"/>
              <w:ind w:left="1038" w:right="130"/>
              <w:rPr>
                <w:sz w:val="18"/>
              </w:rPr>
            </w:pPr>
            <w:r>
              <w:rPr>
                <w:color w:val="105C84"/>
                <w:sz w:val="18"/>
              </w:rPr>
              <w:t>FLH</w:t>
            </w:r>
            <w:r>
              <w:rPr>
                <w:color w:val="105C84"/>
                <w:spacing w:val="-8"/>
                <w:sz w:val="18"/>
              </w:rPr>
              <w:t> </w:t>
            </w:r>
            <w:r>
              <w:rPr>
                <w:color w:val="105C84"/>
                <w:sz w:val="18"/>
              </w:rPr>
              <w:t>advertised,</w:t>
            </w:r>
            <w:r>
              <w:rPr>
                <w:color w:val="105C84"/>
                <w:spacing w:val="-8"/>
                <w:sz w:val="18"/>
              </w:rPr>
              <w:t> </w:t>
            </w:r>
            <w:r>
              <w:rPr>
                <w:color w:val="105C84"/>
                <w:sz w:val="18"/>
              </w:rPr>
              <w:t>promoted &amp; held ribbon cutting ceremony for new 3D mammography</w:t>
            </w:r>
            <w:r>
              <w:rPr>
                <w:color w:val="105C84"/>
                <w:spacing w:val="-15"/>
                <w:sz w:val="18"/>
              </w:rPr>
              <w:t> </w:t>
            </w:r>
            <w:r>
              <w:rPr>
                <w:color w:val="105C84"/>
                <w:sz w:val="18"/>
              </w:rPr>
              <w:t>at</w:t>
            </w:r>
            <w:r>
              <w:rPr>
                <w:color w:val="105C84"/>
                <w:spacing w:val="-12"/>
                <w:sz w:val="18"/>
              </w:rPr>
              <w:t> </w:t>
            </w:r>
            <w:r>
              <w:rPr>
                <w:color w:val="105C84"/>
                <w:sz w:val="18"/>
              </w:rPr>
              <w:t>Soldiers &amp; Sailors Hospital during October (Breast Cancer Awareness month)</w:t>
            </w:r>
          </w:p>
        </w:tc>
        <w:tc>
          <w:tcPr>
            <w:tcW w:w="2794" w:type="dxa"/>
          </w:tcPr>
          <w:p>
            <w:pPr>
              <w:pStyle w:val="TableParagraph"/>
              <w:spacing w:line="232" w:lineRule="auto" w:before="97"/>
              <w:ind w:left="89"/>
              <w:rPr>
                <w:sz w:val="18"/>
              </w:rPr>
            </w:pPr>
            <w:r>
              <w:rPr>
                <w:color w:val="105C84"/>
                <w:sz w:val="18"/>
              </w:rPr>
              <w:t>FLH</w:t>
            </w:r>
            <w:r>
              <w:rPr>
                <w:color w:val="105C84"/>
                <w:spacing w:val="-12"/>
                <w:sz w:val="18"/>
              </w:rPr>
              <w:t> </w:t>
            </w:r>
            <w:r>
              <w:rPr>
                <w:color w:val="105C84"/>
                <w:sz w:val="18"/>
              </w:rPr>
              <w:t>will</w:t>
            </w:r>
            <w:r>
              <w:rPr>
                <w:color w:val="105C84"/>
                <w:spacing w:val="-12"/>
                <w:sz w:val="18"/>
              </w:rPr>
              <w:t> </w:t>
            </w:r>
            <w:r>
              <w:rPr>
                <w:color w:val="105C84"/>
                <w:sz w:val="18"/>
              </w:rPr>
              <w:t>promote</w:t>
            </w:r>
            <w:r>
              <w:rPr>
                <w:color w:val="105C84"/>
                <w:spacing w:val="-12"/>
                <w:sz w:val="18"/>
              </w:rPr>
              <w:t> </w:t>
            </w:r>
            <w:r>
              <w:rPr>
                <w:color w:val="105C84"/>
                <w:sz w:val="18"/>
              </w:rPr>
              <w:t>breast</w:t>
            </w:r>
            <w:r>
              <w:rPr>
                <w:color w:val="105C84"/>
                <w:spacing w:val="-12"/>
                <w:sz w:val="18"/>
              </w:rPr>
              <w:t> </w:t>
            </w:r>
            <w:r>
              <w:rPr>
                <w:color w:val="105C84"/>
                <w:sz w:val="18"/>
              </w:rPr>
              <w:t>cancer screenings and guidelines via newspaper, radio, Facebook, website, "Thrive" magazine</w:t>
            </w:r>
          </w:p>
        </w:tc>
        <w:tc>
          <w:tcPr>
            <w:tcW w:w="2074" w:type="dxa"/>
          </w:tcPr>
          <w:p>
            <w:pPr>
              <w:pStyle w:val="TableParagraph"/>
              <w:spacing w:line="232" w:lineRule="auto" w:before="97"/>
              <w:ind w:left="89" w:right="417"/>
              <w:rPr>
                <w:sz w:val="18"/>
              </w:rPr>
            </w:pPr>
            <w:r>
              <w:rPr>
                <w:color w:val="105C84"/>
                <w:sz w:val="18"/>
              </w:rPr>
              <w:t>FLH will promote breast cancer screenings and guidelines via newspaper, radio, Facebook,</w:t>
            </w:r>
            <w:r>
              <w:rPr>
                <w:color w:val="105C84"/>
                <w:spacing w:val="-13"/>
                <w:sz w:val="18"/>
              </w:rPr>
              <w:t> </w:t>
            </w:r>
            <w:r>
              <w:rPr>
                <w:color w:val="105C84"/>
                <w:sz w:val="18"/>
              </w:rPr>
              <w:t>website, "Thrive"</w:t>
            </w:r>
            <w:r>
              <w:rPr>
                <w:color w:val="105C84"/>
                <w:spacing w:val="39"/>
                <w:sz w:val="18"/>
              </w:rPr>
              <w:t> </w:t>
            </w:r>
            <w:r>
              <w:rPr>
                <w:color w:val="105C84"/>
                <w:spacing w:val="-2"/>
                <w:sz w:val="18"/>
              </w:rPr>
              <w:t>magazine</w:t>
            </w:r>
          </w:p>
        </w:tc>
        <w:tc>
          <w:tcPr>
            <w:tcW w:w="1498" w:type="dxa"/>
          </w:tcPr>
          <w:p>
            <w:pPr>
              <w:pStyle w:val="TableParagraph"/>
              <w:spacing w:before="92"/>
              <w:ind w:left="89"/>
              <w:rPr>
                <w:sz w:val="18"/>
              </w:rPr>
            </w:pPr>
            <w:r>
              <w:rPr>
                <w:color w:val="105C84"/>
                <w:spacing w:val="-2"/>
                <w:sz w:val="18"/>
              </w:rPr>
              <w:t>Hospital</w:t>
            </w:r>
          </w:p>
        </w:tc>
        <w:tc>
          <w:tcPr>
            <w:tcW w:w="1493" w:type="dxa"/>
          </w:tcPr>
          <w:p>
            <w:pPr>
              <w:pStyle w:val="TableParagraph"/>
              <w:spacing w:line="232" w:lineRule="auto" w:before="97"/>
              <w:ind w:left="88" w:right="84"/>
              <w:rPr>
                <w:sz w:val="18"/>
              </w:rPr>
            </w:pPr>
            <w:r>
              <w:rPr>
                <w:color w:val="105C84"/>
                <w:sz w:val="18"/>
              </w:rPr>
              <w:t>Finger Lakes Health (FLH ) will</w:t>
            </w:r>
            <w:r>
              <w:rPr>
                <w:color w:val="105C84"/>
                <w:spacing w:val="-7"/>
                <w:sz w:val="18"/>
              </w:rPr>
              <w:t> </w:t>
            </w:r>
            <w:r>
              <w:rPr>
                <w:color w:val="105C84"/>
                <w:sz w:val="18"/>
              </w:rPr>
              <w:t>utilize</w:t>
            </w:r>
            <w:r>
              <w:rPr>
                <w:color w:val="105C84"/>
                <w:spacing w:val="-7"/>
                <w:sz w:val="18"/>
              </w:rPr>
              <w:t> </w:t>
            </w:r>
            <w:r>
              <w:rPr>
                <w:color w:val="105C84"/>
                <w:sz w:val="18"/>
              </w:rPr>
              <w:t>direct mail and other </w:t>
            </w:r>
            <w:r>
              <w:rPr>
                <w:color w:val="105C84"/>
                <w:spacing w:val="-2"/>
                <w:sz w:val="18"/>
              </w:rPr>
              <w:t>promotional vehicles</w:t>
            </w:r>
          </w:p>
          <w:p>
            <w:pPr>
              <w:pStyle w:val="TableParagraph"/>
              <w:spacing w:line="232" w:lineRule="auto" w:before="85"/>
              <w:ind w:left="88" w:right="159"/>
              <w:rPr>
                <w:sz w:val="18"/>
              </w:rPr>
            </w:pPr>
            <w:r>
              <w:rPr>
                <w:color w:val="105C84"/>
                <w:sz w:val="18"/>
              </w:rPr>
              <w:t>$5,000 is estimated for </w:t>
            </w:r>
            <w:r>
              <w:rPr>
                <w:color w:val="105C84"/>
                <w:spacing w:val="-2"/>
                <w:sz w:val="18"/>
              </w:rPr>
              <w:t>development </w:t>
            </w:r>
            <w:r>
              <w:rPr>
                <w:color w:val="105C84"/>
                <w:sz w:val="18"/>
              </w:rPr>
              <w:t>and</w:t>
            </w:r>
            <w:r>
              <w:rPr>
                <w:color w:val="105C84"/>
                <w:spacing w:val="-7"/>
                <w:sz w:val="18"/>
              </w:rPr>
              <w:t> </w:t>
            </w:r>
            <w:r>
              <w:rPr>
                <w:color w:val="105C84"/>
                <w:sz w:val="18"/>
              </w:rPr>
              <w:t>mailing</w:t>
            </w:r>
            <w:r>
              <w:rPr>
                <w:color w:val="105C84"/>
                <w:spacing w:val="-7"/>
                <w:sz w:val="18"/>
              </w:rPr>
              <w:t> </w:t>
            </w:r>
            <w:r>
              <w:rPr>
                <w:color w:val="105C84"/>
                <w:sz w:val="18"/>
              </w:rPr>
              <w:t>of </w:t>
            </w:r>
            <w:r>
              <w:rPr>
                <w:color w:val="105C84"/>
                <w:spacing w:val="-2"/>
                <w:sz w:val="18"/>
              </w:rPr>
              <w:t>educational materials</w:t>
            </w:r>
          </w:p>
          <w:p>
            <w:pPr>
              <w:pStyle w:val="TableParagraph"/>
              <w:spacing w:before="80"/>
              <w:ind w:left="88"/>
              <w:rPr>
                <w:sz w:val="18"/>
              </w:rPr>
            </w:pPr>
            <w:r>
              <w:rPr>
                <w:color w:val="105C84"/>
                <w:spacing w:val="-5"/>
                <w:sz w:val="18"/>
              </w:rPr>
              <w:t>0.2</w:t>
            </w:r>
            <w:r>
              <w:rPr>
                <w:color w:val="105C84"/>
                <w:spacing w:val="-7"/>
                <w:sz w:val="18"/>
              </w:rPr>
              <w:t> </w:t>
            </w:r>
            <w:r>
              <w:rPr>
                <w:color w:val="105C84"/>
                <w:spacing w:val="-5"/>
                <w:sz w:val="18"/>
              </w:rPr>
              <w:t>FTE</w:t>
            </w:r>
          </w:p>
        </w:tc>
      </w:tr>
    </w:tbl>
    <w:p>
      <w:pPr>
        <w:pStyle w:val="BodyText"/>
        <w:spacing w:before="63"/>
        <w:rPr>
          <w:b/>
          <w:sz w:val="26"/>
        </w:rPr>
      </w:pPr>
    </w:p>
    <w:p>
      <w:pPr>
        <w:tabs>
          <w:tab w:pos="23047" w:val="left" w:leader="none"/>
        </w:tabs>
        <w:spacing w:before="0"/>
        <w:ind w:left="0" w:right="0" w:firstLine="0"/>
        <w:jc w:val="left"/>
        <w:rPr>
          <w:b/>
          <w:sz w:val="26"/>
        </w:rPr>
      </w:pPr>
      <w:r>
        <w:rPr>
          <w:position w:val="-4"/>
        </w:rPr>
        <w:drawing>
          <wp:inline distT="0" distB="0" distL="0" distR="0">
            <wp:extent cx="568172" cy="184683"/>
            <wp:effectExtent l="0" t="0" r="0" b="0"/>
            <wp:docPr id="2090" name="Image 2090"/>
            <wp:cNvGraphicFramePr>
              <a:graphicFrameLocks/>
            </wp:cNvGraphicFramePr>
            <a:graphic>
              <a:graphicData uri="http://schemas.openxmlformats.org/drawingml/2006/picture">
                <pic:pic>
                  <pic:nvPicPr>
                    <pic:cNvPr id="2090" name="Image 2090"/>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13"/>
          <w:sz w:val="20"/>
        </w:rPr>
        <w:t> </w:t>
      </w:r>
      <w:r>
        <w:rPr>
          <w:b/>
          <w:color w:val="939598"/>
          <w:w w:val="105"/>
          <w:sz w:val="26"/>
        </w:rPr>
        <w:t>241</w:t>
      </w:r>
      <w:r>
        <w:rPr>
          <w:b/>
          <w:color w:val="939598"/>
          <w:sz w:val="26"/>
        </w:rPr>
        <w:tab/>
      </w:r>
      <w:r>
        <w:rPr>
          <w:b/>
          <w:color w:val="939598"/>
          <w:spacing w:val="-5"/>
          <w:w w:val="105"/>
          <w:sz w:val="26"/>
        </w:rPr>
        <w:t>242</w:t>
      </w:r>
    </w:p>
    <w:p>
      <w:pPr>
        <w:spacing w:after="0"/>
        <w:jc w:val="left"/>
        <w:rPr>
          <w:b/>
          <w:sz w:val="26"/>
        </w:rPr>
        <w:sectPr>
          <w:headerReference w:type="default" r:id="rId267"/>
          <w:pgSz w:w="24480" w:h="15840" w:orient="landscape"/>
          <w:pgMar w:header="0" w:footer="0" w:top="860" w:bottom="0" w:left="0" w:right="720"/>
        </w:sectPr>
      </w:pPr>
    </w:p>
    <w:p>
      <w:pPr>
        <w:spacing w:before="609"/>
        <w:ind w:left="1089" w:right="0" w:firstLine="0"/>
        <w:jc w:val="left"/>
        <w:rPr>
          <w:sz w:val="54"/>
        </w:rPr>
      </w:pPr>
      <w:r>
        <w:rPr>
          <w:sz w:val="54"/>
        </w:rPr>
        <w:drawing>
          <wp:anchor distT="0" distB="0" distL="0" distR="0" allowOverlap="1" layoutInCell="1" locked="0" behindDoc="0" simplePos="0" relativeHeight="16052736">
            <wp:simplePos x="0" y="0"/>
            <wp:positionH relativeFrom="page">
              <wp:posOffset>14292898</wp:posOffset>
            </wp:positionH>
            <wp:positionV relativeFrom="paragraph">
              <wp:posOffset>347471</wp:posOffset>
            </wp:positionV>
            <wp:extent cx="620077" cy="580072"/>
            <wp:effectExtent l="0" t="0" r="0" b="0"/>
            <wp:wrapNone/>
            <wp:docPr id="2091" name="Image 2091"/>
            <wp:cNvGraphicFramePr>
              <a:graphicFrameLocks/>
            </wp:cNvGraphicFramePr>
            <a:graphic>
              <a:graphicData uri="http://schemas.openxmlformats.org/drawingml/2006/picture">
                <pic:pic>
                  <pic:nvPicPr>
                    <pic:cNvPr id="2091" name="Image 2091"/>
                    <pic:cNvPicPr/>
                  </pic:nvPicPr>
                  <pic:blipFill>
                    <a:blip r:embed="rId268" cstate="print"/>
                    <a:stretch>
                      <a:fillRect/>
                    </a:stretch>
                  </pic:blipFill>
                  <pic:spPr>
                    <a:xfrm>
                      <a:off x="0" y="0"/>
                      <a:ext cx="620077" cy="580072"/>
                    </a:xfrm>
                    <a:prstGeom prst="rect">
                      <a:avLst/>
                    </a:prstGeom>
                  </pic:spPr>
                </pic:pic>
              </a:graphicData>
            </a:graphic>
          </wp:anchor>
        </w:drawing>
      </w:r>
      <w:r>
        <w:rPr>
          <w:sz w:val="54"/>
        </w:rPr>
        <w:drawing>
          <wp:anchor distT="0" distB="0" distL="0" distR="0" allowOverlap="1" layoutInCell="1" locked="0" behindDoc="0" simplePos="0" relativeHeight="16053248">
            <wp:simplePos x="0" y="0"/>
            <wp:positionH relativeFrom="page">
              <wp:posOffset>14981556</wp:posOffset>
            </wp:positionH>
            <wp:positionV relativeFrom="page">
              <wp:posOffset>9668103</wp:posOffset>
            </wp:positionV>
            <wp:extent cx="563245" cy="184683"/>
            <wp:effectExtent l="0" t="0" r="0" b="0"/>
            <wp:wrapNone/>
            <wp:docPr id="2092" name="Image 2092"/>
            <wp:cNvGraphicFramePr>
              <a:graphicFrameLocks/>
            </wp:cNvGraphicFramePr>
            <a:graphic>
              <a:graphicData uri="http://schemas.openxmlformats.org/drawingml/2006/picture">
                <pic:pic>
                  <pic:nvPicPr>
                    <pic:cNvPr id="2092" name="Image 2092"/>
                    <pic:cNvPicPr/>
                  </pic:nvPicPr>
                  <pic:blipFill>
                    <a:blip r:embed="rId38" cstate="print"/>
                    <a:stretch>
                      <a:fillRect/>
                    </a:stretch>
                  </pic:blipFill>
                  <pic:spPr>
                    <a:xfrm>
                      <a:off x="0" y="0"/>
                      <a:ext cx="563245" cy="184683"/>
                    </a:xfrm>
                    <a:prstGeom prst="rect">
                      <a:avLst/>
                    </a:prstGeom>
                  </pic:spPr>
                </pic:pic>
              </a:graphicData>
            </a:graphic>
          </wp:anchor>
        </w:drawing>
      </w:r>
      <w:r>
        <w:rPr>
          <w:sz w:val="54"/>
        </w:rPr>
        <w:drawing>
          <wp:anchor distT="0" distB="0" distL="0" distR="0" allowOverlap="1" layoutInCell="1" locked="0" behindDoc="0" simplePos="0" relativeHeight="16053760">
            <wp:simplePos x="0" y="0"/>
            <wp:positionH relativeFrom="page">
              <wp:posOffset>13547852</wp:posOffset>
            </wp:positionH>
            <wp:positionV relativeFrom="paragraph">
              <wp:posOffset>354583</wp:posOffset>
            </wp:positionV>
            <wp:extent cx="610869" cy="494804"/>
            <wp:effectExtent l="0" t="0" r="0" b="0"/>
            <wp:wrapNone/>
            <wp:docPr id="2093" name="Image 2093"/>
            <wp:cNvGraphicFramePr>
              <a:graphicFrameLocks/>
            </wp:cNvGraphicFramePr>
            <a:graphic>
              <a:graphicData uri="http://schemas.openxmlformats.org/drawingml/2006/picture">
                <pic:pic>
                  <pic:nvPicPr>
                    <pic:cNvPr id="2093" name="Image 2093"/>
                    <pic:cNvPicPr/>
                  </pic:nvPicPr>
                  <pic:blipFill>
                    <a:blip r:embed="rId269" cstate="print"/>
                    <a:stretch>
                      <a:fillRect/>
                    </a:stretch>
                  </pic:blipFill>
                  <pic:spPr>
                    <a:xfrm>
                      <a:off x="0" y="0"/>
                      <a:ext cx="610869" cy="494804"/>
                    </a:xfrm>
                    <a:prstGeom prst="rect">
                      <a:avLst/>
                    </a:prstGeom>
                  </pic:spPr>
                </pic:pic>
              </a:graphicData>
            </a:graphic>
          </wp:anchor>
        </w:drawing>
      </w:r>
      <w:r>
        <w:rPr>
          <w:sz w:val="54"/>
        </w:rPr>
        <w:drawing>
          <wp:anchor distT="0" distB="0" distL="0" distR="0" allowOverlap="1" layoutInCell="1" locked="0" behindDoc="0" simplePos="0" relativeHeight="16054272">
            <wp:simplePos x="0" y="0"/>
            <wp:positionH relativeFrom="page">
              <wp:posOffset>12242292</wp:posOffset>
            </wp:positionH>
            <wp:positionV relativeFrom="paragraph">
              <wp:posOffset>309372</wp:posOffset>
            </wp:positionV>
            <wp:extent cx="1141336" cy="338581"/>
            <wp:effectExtent l="0" t="0" r="0" b="0"/>
            <wp:wrapNone/>
            <wp:docPr id="2094" name="Image 2094"/>
            <wp:cNvGraphicFramePr>
              <a:graphicFrameLocks/>
            </wp:cNvGraphicFramePr>
            <a:graphic>
              <a:graphicData uri="http://schemas.openxmlformats.org/drawingml/2006/picture">
                <pic:pic>
                  <pic:nvPicPr>
                    <pic:cNvPr id="2094" name="Image 2094"/>
                    <pic:cNvPicPr/>
                  </pic:nvPicPr>
                  <pic:blipFill>
                    <a:blip r:embed="rId270" cstate="print"/>
                    <a:stretch>
                      <a:fillRect/>
                    </a:stretch>
                  </pic:blipFill>
                  <pic:spPr>
                    <a:xfrm>
                      <a:off x="0" y="0"/>
                      <a:ext cx="1141336" cy="338581"/>
                    </a:xfrm>
                    <a:prstGeom prst="rect">
                      <a:avLst/>
                    </a:prstGeom>
                  </pic:spPr>
                </pic:pic>
              </a:graphicData>
            </a:graphic>
          </wp:anchor>
        </w:drawing>
      </w:r>
      <w:r>
        <w:rPr>
          <w:color w:val="636466"/>
          <w:sz w:val="54"/>
        </w:rPr>
        <w:t>Yates</w:t>
      </w:r>
      <w:r>
        <w:rPr>
          <w:color w:val="636466"/>
          <w:spacing w:val="24"/>
          <w:sz w:val="54"/>
        </w:rPr>
        <w:t> </w:t>
      </w:r>
      <w:r>
        <w:rPr>
          <w:color w:val="636466"/>
          <w:sz w:val="54"/>
        </w:rPr>
        <w:t>County</w:t>
      </w:r>
      <w:r>
        <w:rPr>
          <w:color w:val="636466"/>
          <w:spacing w:val="25"/>
          <w:sz w:val="54"/>
        </w:rPr>
        <w:t> </w:t>
      </w:r>
      <w:r>
        <w:rPr>
          <w:color w:val="636466"/>
          <w:sz w:val="54"/>
        </w:rPr>
        <w:t>Appendix</w:t>
      </w:r>
      <w:r>
        <w:rPr>
          <w:color w:val="636466"/>
          <w:spacing w:val="25"/>
          <w:sz w:val="54"/>
        </w:rPr>
        <w:t> </w:t>
      </w:r>
      <w:r>
        <w:rPr>
          <w:color w:val="636466"/>
          <w:spacing w:val="-10"/>
          <w:sz w:val="54"/>
        </w:rPr>
        <w:t>H</w:t>
      </w:r>
    </w:p>
    <w:p>
      <w:pPr>
        <w:spacing w:before="236"/>
        <w:ind w:left="1089" w:right="0" w:firstLine="0"/>
        <w:jc w:val="left"/>
        <w:rPr>
          <w:b/>
          <w:sz w:val="32"/>
        </w:rPr>
      </w:pPr>
      <w:r>
        <w:rPr>
          <w:b/>
          <w:color w:val="82BF6A"/>
          <w:spacing w:val="-6"/>
          <w:sz w:val="32"/>
        </w:rPr>
        <w:t>PRIORITY:</w:t>
      </w:r>
      <w:r>
        <w:rPr>
          <w:b/>
          <w:color w:val="82BF6A"/>
          <w:spacing w:val="-13"/>
          <w:sz w:val="32"/>
        </w:rPr>
        <w:t> </w:t>
      </w:r>
      <w:r>
        <w:rPr>
          <w:b/>
          <w:color w:val="82BF6A"/>
          <w:spacing w:val="-6"/>
          <w:sz w:val="32"/>
        </w:rPr>
        <w:t>PREVENT</w:t>
      </w:r>
      <w:r>
        <w:rPr>
          <w:b/>
          <w:color w:val="82BF6A"/>
          <w:spacing w:val="-13"/>
          <w:sz w:val="32"/>
        </w:rPr>
        <w:t> </w:t>
      </w:r>
      <w:r>
        <w:rPr>
          <w:b/>
          <w:color w:val="82BF6A"/>
          <w:spacing w:val="-6"/>
          <w:sz w:val="32"/>
        </w:rPr>
        <w:t>CHRONIC</w:t>
      </w:r>
      <w:r>
        <w:rPr>
          <w:b/>
          <w:color w:val="82BF6A"/>
          <w:spacing w:val="-13"/>
          <w:sz w:val="32"/>
        </w:rPr>
        <w:t> </w:t>
      </w:r>
      <w:r>
        <w:rPr>
          <w:b/>
          <w:color w:val="82BF6A"/>
          <w:spacing w:val="-6"/>
          <w:sz w:val="32"/>
        </w:rPr>
        <w:t>DISEASES</w:t>
      </w:r>
    </w:p>
    <w:p>
      <w:pPr>
        <w:pStyle w:val="BodyText"/>
        <w:spacing w:before="162"/>
        <w:rPr>
          <w:b/>
          <w:sz w:val="20"/>
        </w:rPr>
      </w:pPr>
    </w:p>
    <w:tbl>
      <w:tblPr>
        <w:tblW w:w="0" w:type="auto"/>
        <w:jc w:val="left"/>
        <w:tblInd w:w="1099"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1180"/>
        <w:gridCol w:w="1267"/>
        <w:gridCol w:w="1137"/>
        <w:gridCol w:w="1727"/>
        <w:gridCol w:w="1122"/>
        <w:gridCol w:w="1928"/>
        <w:gridCol w:w="2778"/>
        <w:gridCol w:w="3304"/>
        <w:gridCol w:w="2361"/>
        <w:gridCol w:w="2390"/>
        <w:gridCol w:w="1519"/>
        <w:gridCol w:w="1600"/>
      </w:tblGrid>
      <w:tr>
        <w:trPr>
          <w:trHeight w:val="730" w:hRule="atLeast"/>
        </w:trPr>
        <w:tc>
          <w:tcPr>
            <w:tcW w:w="1180" w:type="dxa"/>
            <w:tcBorders>
              <w:right w:val="single" w:sz="4" w:space="0" w:color="FFFFFF"/>
            </w:tcBorders>
            <w:shd w:val="clear" w:color="auto" w:fill="A7A9AC"/>
          </w:tcPr>
          <w:p>
            <w:pPr>
              <w:pStyle w:val="TableParagraph"/>
              <w:spacing w:before="79"/>
              <w:rPr>
                <w:b/>
                <w:sz w:val="18"/>
              </w:rPr>
            </w:pPr>
          </w:p>
          <w:p>
            <w:pPr>
              <w:pStyle w:val="TableParagraph"/>
              <w:ind w:left="80"/>
              <w:rPr>
                <w:b/>
                <w:sz w:val="18"/>
              </w:rPr>
            </w:pPr>
            <w:r>
              <w:rPr>
                <w:b/>
                <w:color w:val="FFFFFF"/>
                <w:spacing w:val="-2"/>
                <w:sz w:val="18"/>
              </w:rPr>
              <w:t>Priority</w:t>
            </w:r>
          </w:p>
        </w:tc>
        <w:tc>
          <w:tcPr>
            <w:tcW w:w="1267" w:type="dxa"/>
            <w:tcBorders>
              <w:left w:val="single" w:sz="4" w:space="0" w:color="FFFFFF"/>
              <w:right w:val="single" w:sz="4" w:space="0" w:color="FFFFFF"/>
            </w:tcBorders>
            <w:shd w:val="clear" w:color="auto" w:fill="A7A9AC"/>
          </w:tcPr>
          <w:p>
            <w:pPr>
              <w:pStyle w:val="TableParagraph"/>
              <w:spacing w:before="79"/>
              <w:rPr>
                <w:b/>
                <w:sz w:val="18"/>
              </w:rPr>
            </w:pPr>
          </w:p>
          <w:p>
            <w:pPr>
              <w:pStyle w:val="TableParagraph"/>
              <w:ind w:left="80"/>
              <w:rPr>
                <w:b/>
                <w:sz w:val="18"/>
              </w:rPr>
            </w:pPr>
            <w:r>
              <w:rPr>
                <w:b/>
                <w:color w:val="FFFFFF"/>
                <w:w w:val="90"/>
                <w:sz w:val="18"/>
              </w:rPr>
              <w:t>Focus</w:t>
            </w:r>
            <w:r>
              <w:rPr>
                <w:b/>
                <w:color w:val="FFFFFF"/>
                <w:spacing w:val="8"/>
                <w:sz w:val="18"/>
              </w:rPr>
              <w:t> </w:t>
            </w:r>
            <w:r>
              <w:rPr>
                <w:b/>
                <w:color w:val="FFFFFF"/>
                <w:spacing w:val="-4"/>
                <w:sz w:val="18"/>
              </w:rPr>
              <w:t>Area</w:t>
            </w:r>
          </w:p>
        </w:tc>
        <w:tc>
          <w:tcPr>
            <w:tcW w:w="1137" w:type="dxa"/>
            <w:tcBorders>
              <w:left w:val="single" w:sz="4" w:space="0" w:color="FFFFFF"/>
              <w:right w:val="single" w:sz="4" w:space="0" w:color="FFFFFF"/>
            </w:tcBorders>
            <w:shd w:val="clear" w:color="auto" w:fill="A7A9AC"/>
          </w:tcPr>
          <w:p>
            <w:pPr>
              <w:pStyle w:val="TableParagraph"/>
              <w:spacing w:line="232" w:lineRule="auto" w:before="191"/>
              <w:ind w:left="80" w:right="107"/>
              <w:rPr>
                <w:b/>
                <w:sz w:val="18"/>
              </w:rPr>
            </w:pPr>
            <w:r>
              <w:rPr>
                <w:b/>
                <w:color w:val="FFFFFF"/>
                <w:spacing w:val="-6"/>
                <w:sz w:val="18"/>
              </w:rPr>
              <w:t>Goal</w:t>
            </w:r>
            <w:r>
              <w:rPr>
                <w:b/>
                <w:color w:val="FFFFFF"/>
                <w:spacing w:val="-7"/>
                <w:sz w:val="18"/>
              </w:rPr>
              <w:t> </w:t>
            </w:r>
            <w:r>
              <w:rPr>
                <w:b/>
                <w:color w:val="FFFFFF"/>
                <w:spacing w:val="-6"/>
                <w:sz w:val="18"/>
              </w:rPr>
              <w:t>Focus </w:t>
            </w:r>
            <w:r>
              <w:rPr>
                <w:b/>
                <w:color w:val="FFFFFF"/>
                <w:spacing w:val="-4"/>
                <w:sz w:val="18"/>
              </w:rPr>
              <w:t>Area</w:t>
            </w:r>
          </w:p>
        </w:tc>
        <w:tc>
          <w:tcPr>
            <w:tcW w:w="1727" w:type="dxa"/>
            <w:tcBorders>
              <w:left w:val="single" w:sz="4" w:space="0" w:color="FFFFFF"/>
              <w:right w:val="single" w:sz="4" w:space="0" w:color="FFFFFF"/>
            </w:tcBorders>
            <w:shd w:val="clear" w:color="auto" w:fill="A7A9AC"/>
          </w:tcPr>
          <w:p>
            <w:pPr>
              <w:pStyle w:val="TableParagraph"/>
              <w:spacing w:before="79"/>
              <w:rPr>
                <w:b/>
                <w:sz w:val="18"/>
              </w:rPr>
            </w:pPr>
          </w:p>
          <w:p>
            <w:pPr>
              <w:pStyle w:val="TableParagraph"/>
              <w:ind w:left="81"/>
              <w:rPr>
                <w:b/>
                <w:sz w:val="18"/>
              </w:rPr>
            </w:pPr>
            <w:r>
              <w:rPr>
                <w:b/>
                <w:color w:val="FFFFFF"/>
                <w:spacing w:val="-2"/>
                <w:sz w:val="18"/>
              </w:rPr>
              <w:t>Objectives</w:t>
            </w:r>
          </w:p>
        </w:tc>
        <w:tc>
          <w:tcPr>
            <w:tcW w:w="1122" w:type="dxa"/>
            <w:tcBorders>
              <w:left w:val="single" w:sz="4" w:space="0" w:color="FFFFFF"/>
              <w:right w:val="single" w:sz="4" w:space="0" w:color="FFFFFF"/>
            </w:tcBorders>
            <w:shd w:val="clear" w:color="auto" w:fill="A7A9AC"/>
          </w:tcPr>
          <w:p>
            <w:pPr>
              <w:pStyle w:val="TableParagraph"/>
              <w:spacing w:before="79"/>
              <w:rPr>
                <w:b/>
                <w:sz w:val="18"/>
              </w:rPr>
            </w:pPr>
          </w:p>
          <w:p>
            <w:pPr>
              <w:pStyle w:val="TableParagraph"/>
              <w:ind w:left="82"/>
              <w:rPr>
                <w:b/>
                <w:sz w:val="18"/>
              </w:rPr>
            </w:pPr>
            <w:r>
              <w:rPr>
                <w:b/>
                <w:color w:val="FFFFFF"/>
                <w:spacing w:val="-2"/>
                <w:sz w:val="18"/>
              </w:rPr>
              <w:t>Disparities</w:t>
            </w:r>
          </w:p>
        </w:tc>
        <w:tc>
          <w:tcPr>
            <w:tcW w:w="1928" w:type="dxa"/>
            <w:tcBorders>
              <w:left w:val="single" w:sz="4" w:space="0" w:color="FFFFFF"/>
              <w:right w:val="single" w:sz="4" w:space="0" w:color="FFFFFF"/>
            </w:tcBorders>
            <w:shd w:val="clear" w:color="auto" w:fill="A7A9AC"/>
          </w:tcPr>
          <w:p>
            <w:pPr>
              <w:pStyle w:val="TableParagraph"/>
              <w:spacing w:before="79"/>
              <w:rPr>
                <w:b/>
                <w:sz w:val="18"/>
              </w:rPr>
            </w:pPr>
          </w:p>
          <w:p>
            <w:pPr>
              <w:pStyle w:val="TableParagraph"/>
              <w:ind w:left="83"/>
              <w:rPr>
                <w:b/>
                <w:sz w:val="18"/>
              </w:rPr>
            </w:pPr>
            <w:r>
              <w:rPr>
                <w:b/>
                <w:color w:val="FFFFFF"/>
                <w:spacing w:val="-2"/>
                <w:sz w:val="18"/>
              </w:rPr>
              <w:t>Interventions</w:t>
            </w:r>
          </w:p>
        </w:tc>
        <w:tc>
          <w:tcPr>
            <w:tcW w:w="6082" w:type="dxa"/>
            <w:gridSpan w:val="2"/>
            <w:tcBorders>
              <w:left w:val="single" w:sz="4" w:space="0" w:color="FFFFFF"/>
              <w:right w:val="single" w:sz="4" w:space="0" w:color="FFFFFF"/>
            </w:tcBorders>
            <w:shd w:val="clear" w:color="auto" w:fill="A7A9AC"/>
          </w:tcPr>
          <w:p>
            <w:pPr>
              <w:pStyle w:val="TableParagraph"/>
              <w:spacing w:before="3"/>
              <w:rPr>
                <w:b/>
                <w:sz w:val="18"/>
              </w:rPr>
            </w:pPr>
          </w:p>
          <w:p>
            <w:pPr>
              <w:pStyle w:val="TableParagraph"/>
              <w:tabs>
                <w:tab w:pos="3871" w:val="left" w:leader="none"/>
              </w:tabs>
              <w:spacing w:line="156" w:lineRule="auto"/>
              <w:ind w:left="3871" w:right="91" w:hanging="3777"/>
              <w:rPr>
                <w:b/>
                <w:sz w:val="18"/>
              </w:rPr>
            </w:pPr>
            <w:r>
              <w:rPr>
                <w:b/>
                <w:color w:val="FFFFFF"/>
                <w:position w:val="-9"/>
                <w:sz w:val="18"/>
              </w:rPr>
              <w:t>Family of Measures</w:t>
              <w:tab/>
            </w:r>
            <w:r>
              <w:rPr>
                <w:b/>
                <w:color w:val="FFFFFF"/>
                <w:sz w:val="18"/>
              </w:rPr>
              <w:t>Projected</w:t>
            </w:r>
            <w:r>
              <w:rPr>
                <w:b/>
                <w:color w:val="FFFFFF"/>
                <w:spacing w:val="-15"/>
                <w:sz w:val="18"/>
              </w:rPr>
              <w:t> </w:t>
            </w:r>
            <w:r>
              <w:rPr>
                <w:b/>
                <w:color w:val="FFFFFF"/>
                <w:sz w:val="18"/>
              </w:rPr>
              <w:t>(or</w:t>
            </w:r>
            <w:r>
              <w:rPr>
                <w:b/>
                <w:color w:val="FFFFFF"/>
                <w:spacing w:val="-12"/>
                <w:sz w:val="18"/>
              </w:rPr>
              <w:t> </w:t>
            </w:r>
            <w:r>
              <w:rPr>
                <w:b/>
                <w:color w:val="FFFFFF"/>
                <w:sz w:val="18"/>
              </w:rPr>
              <w:t>completed) Year 1 Intervention</w:t>
            </w:r>
          </w:p>
        </w:tc>
        <w:tc>
          <w:tcPr>
            <w:tcW w:w="2361" w:type="dxa"/>
            <w:tcBorders>
              <w:left w:val="single" w:sz="4" w:space="0" w:color="FFFFFF"/>
              <w:right w:val="single" w:sz="4" w:space="0" w:color="FFFFFF"/>
            </w:tcBorders>
            <w:shd w:val="clear" w:color="auto" w:fill="A7A9AC"/>
          </w:tcPr>
          <w:p>
            <w:pPr>
              <w:pStyle w:val="TableParagraph"/>
              <w:spacing w:before="78"/>
              <w:rPr>
                <w:b/>
                <w:sz w:val="18"/>
              </w:rPr>
            </w:pPr>
          </w:p>
          <w:p>
            <w:pPr>
              <w:pStyle w:val="TableParagraph"/>
              <w:spacing w:before="1"/>
              <w:ind w:left="87"/>
              <w:rPr>
                <w:b/>
                <w:sz w:val="18"/>
              </w:rPr>
            </w:pPr>
            <w:r>
              <w:rPr>
                <w:b/>
                <w:color w:val="FFFFFF"/>
                <w:spacing w:val="-2"/>
                <w:sz w:val="18"/>
              </w:rPr>
              <w:t>Projected</w:t>
            </w:r>
            <w:r>
              <w:rPr>
                <w:b/>
                <w:color w:val="FFFFFF"/>
                <w:spacing w:val="-6"/>
                <w:sz w:val="18"/>
              </w:rPr>
              <w:t> </w:t>
            </w:r>
            <w:r>
              <w:rPr>
                <w:b/>
                <w:color w:val="FFFFFF"/>
                <w:spacing w:val="-2"/>
                <w:sz w:val="18"/>
              </w:rPr>
              <w:t>Year</w:t>
            </w:r>
            <w:r>
              <w:rPr>
                <w:b/>
                <w:color w:val="FFFFFF"/>
                <w:spacing w:val="-5"/>
                <w:sz w:val="18"/>
              </w:rPr>
              <w:t> </w:t>
            </w:r>
            <w:r>
              <w:rPr>
                <w:b/>
                <w:color w:val="FFFFFF"/>
                <w:spacing w:val="-12"/>
                <w:sz w:val="18"/>
              </w:rPr>
              <w:t>2</w:t>
            </w:r>
          </w:p>
        </w:tc>
        <w:tc>
          <w:tcPr>
            <w:tcW w:w="2390" w:type="dxa"/>
            <w:tcBorders>
              <w:left w:val="single" w:sz="4" w:space="0" w:color="FFFFFF"/>
              <w:right w:val="single" w:sz="4" w:space="0" w:color="FFFFFF"/>
            </w:tcBorders>
            <w:shd w:val="clear" w:color="auto" w:fill="A7A9AC"/>
          </w:tcPr>
          <w:p>
            <w:pPr>
              <w:pStyle w:val="TableParagraph"/>
              <w:spacing w:line="232" w:lineRule="auto" w:before="190"/>
              <w:ind w:left="87" w:right="385"/>
              <w:rPr>
                <w:b/>
                <w:sz w:val="18"/>
              </w:rPr>
            </w:pPr>
            <w:r>
              <w:rPr>
                <w:b/>
                <w:color w:val="FFFFFF"/>
                <w:spacing w:val="-2"/>
                <w:sz w:val="18"/>
              </w:rPr>
              <w:t>Projected</w:t>
            </w:r>
            <w:r>
              <w:rPr>
                <w:b/>
                <w:color w:val="FFFFFF"/>
                <w:spacing w:val="-13"/>
                <w:sz w:val="18"/>
              </w:rPr>
              <w:t> </w:t>
            </w:r>
            <w:r>
              <w:rPr>
                <w:b/>
                <w:color w:val="FFFFFF"/>
                <w:spacing w:val="-2"/>
                <w:sz w:val="18"/>
              </w:rPr>
              <w:t>Year</w:t>
            </w:r>
            <w:r>
              <w:rPr>
                <w:b/>
                <w:color w:val="FFFFFF"/>
                <w:spacing w:val="-10"/>
                <w:sz w:val="18"/>
              </w:rPr>
              <w:t> </w:t>
            </w:r>
            <w:r>
              <w:rPr>
                <w:b/>
                <w:color w:val="FFFFFF"/>
                <w:spacing w:val="-2"/>
                <w:sz w:val="18"/>
              </w:rPr>
              <w:t>3 Interventions</w:t>
            </w:r>
          </w:p>
        </w:tc>
        <w:tc>
          <w:tcPr>
            <w:tcW w:w="1519" w:type="dxa"/>
            <w:tcBorders>
              <w:left w:val="single" w:sz="4" w:space="0" w:color="FFFFFF"/>
            </w:tcBorders>
            <w:shd w:val="clear" w:color="auto" w:fill="A7A9AC"/>
          </w:tcPr>
          <w:p>
            <w:pPr>
              <w:pStyle w:val="TableParagraph"/>
              <w:spacing w:line="232" w:lineRule="auto" w:before="190"/>
              <w:ind w:left="88"/>
              <w:rPr>
                <w:b/>
                <w:sz w:val="18"/>
              </w:rPr>
            </w:pPr>
            <w:r>
              <w:rPr>
                <w:b/>
                <w:color w:val="FFFFFF"/>
                <w:spacing w:val="-2"/>
                <w:sz w:val="18"/>
              </w:rPr>
              <w:t>Implementation Partner</w:t>
            </w:r>
          </w:p>
        </w:tc>
        <w:tc>
          <w:tcPr>
            <w:tcW w:w="1600" w:type="dxa"/>
            <w:shd w:val="clear" w:color="auto" w:fill="A7A9AC"/>
          </w:tcPr>
          <w:p>
            <w:pPr>
              <w:pStyle w:val="TableParagraph"/>
              <w:spacing w:line="232" w:lineRule="auto" w:before="190"/>
              <w:ind w:left="88" w:right="256"/>
              <w:rPr>
                <w:b/>
                <w:sz w:val="18"/>
              </w:rPr>
            </w:pPr>
            <w:r>
              <w:rPr>
                <w:b/>
                <w:color w:val="FFFFFF"/>
                <w:spacing w:val="-4"/>
                <w:sz w:val="18"/>
              </w:rPr>
              <w:t>Partner</w:t>
            </w:r>
            <w:r>
              <w:rPr>
                <w:b/>
                <w:color w:val="FFFFFF"/>
                <w:spacing w:val="-9"/>
                <w:sz w:val="18"/>
              </w:rPr>
              <w:t> </w:t>
            </w:r>
            <w:r>
              <w:rPr>
                <w:b/>
                <w:color w:val="FFFFFF"/>
                <w:spacing w:val="-4"/>
                <w:sz w:val="18"/>
              </w:rPr>
              <w:t>Role(s) </w:t>
            </w:r>
            <w:r>
              <w:rPr>
                <w:b/>
                <w:color w:val="FFFFFF"/>
                <w:sz w:val="18"/>
              </w:rPr>
              <w:t>and</w:t>
            </w:r>
            <w:r>
              <w:rPr>
                <w:b/>
                <w:color w:val="FFFFFF"/>
                <w:spacing w:val="-7"/>
                <w:sz w:val="18"/>
              </w:rPr>
              <w:t> </w:t>
            </w:r>
            <w:r>
              <w:rPr>
                <w:b/>
                <w:color w:val="FFFFFF"/>
                <w:spacing w:val="-8"/>
                <w:sz w:val="18"/>
              </w:rPr>
              <w:t>Resources</w:t>
            </w:r>
          </w:p>
        </w:tc>
      </w:tr>
      <w:tr>
        <w:trPr>
          <w:trHeight w:val="4363" w:hRule="atLeast"/>
        </w:trPr>
        <w:tc>
          <w:tcPr>
            <w:tcW w:w="1180" w:type="dxa"/>
            <w:vMerge w:val="restart"/>
            <w:shd w:val="clear" w:color="auto" w:fill="E6E7E8"/>
          </w:tcPr>
          <w:p>
            <w:pPr>
              <w:pStyle w:val="TableParagraph"/>
              <w:spacing w:line="232" w:lineRule="auto" w:before="100"/>
              <w:ind w:left="89" w:right="363"/>
              <w:jc w:val="both"/>
              <w:rPr>
                <w:sz w:val="18"/>
              </w:rPr>
            </w:pPr>
            <w:r>
              <w:rPr>
                <w:color w:val="105C84"/>
                <w:spacing w:val="-2"/>
                <w:sz w:val="18"/>
              </w:rPr>
              <w:t>Prevent Chronic </w:t>
            </w:r>
            <w:r>
              <w:rPr>
                <w:color w:val="105C84"/>
                <w:spacing w:val="-6"/>
                <w:sz w:val="18"/>
              </w:rPr>
              <w:t>Diseases</w:t>
            </w:r>
          </w:p>
        </w:tc>
        <w:tc>
          <w:tcPr>
            <w:tcW w:w="1267" w:type="dxa"/>
            <w:vMerge w:val="restart"/>
          </w:tcPr>
          <w:p>
            <w:pPr>
              <w:pStyle w:val="TableParagraph"/>
              <w:spacing w:line="232" w:lineRule="auto" w:before="100"/>
              <w:ind w:left="90" w:right="100"/>
              <w:rPr>
                <w:sz w:val="18"/>
              </w:rPr>
            </w:pPr>
            <w:r>
              <w:rPr>
                <w:color w:val="105C84"/>
                <w:sz w:val="18"/>
              </w:rPr>
              <w:t>Focus Area 4:</w:t>
            </w:r>
            <w:r>
              <w:rPr>
                <w:color w:val="105C84"/>
                <w:spacing w:val="-13"/>
                <w:sz w:val="18"/>
              </w:rPr>
              <w:t> </w:t>
            </w:r>
            <w:r>
              <w:rPr>
                <w:color w:val="105C84"/>
                <w:sz w:val="18"/>
              </w:rPr>
              <w:t>Preventive care and </w:t>
            </w:r>
            <w:r>
              <w:rPr>
                <w:color w:val="105C84"/>
                <w:spacing w:val="-2"/>
                <w:sz w:val="18"/>
              </w:rPr>
              <w:t>management</w:t>
            </w:r>
          </w:p>
        </w:tc>
        <w:tc>
          <w:tcPr>
            <w:tcW w:w="1137" w:type="dxa"/>
            <w:vMerge w:val="restart"/>
          </w:tcPr>
          <w:p>
            <w:pPr>
              <w:pStyle w:val="TableParagraph"/>
              <w:spacing w:line="232" w:lineRule="auto" w:before="100"/>
              <w:ind w:left="90" w:right="254"/>
              <w:rPr>
                <w:sz w:val="18"/>
              </w:rPr>
            </w:pPr>
            <w:r>
              <w:rPr>
                <w:color w:val="105C84"/>
                <w:sz w:val="18"/>
              </w:rPr>
              <w:t>Goal 4.1 </w:t>
            </w:r>
            <w:r>
              <w:rPr>
                <w:color w:val="105C84"/>
                <w:spacing w:val="-2"/>
                <w:sz w:val="18"/>
              </w:rPr>
              <w:t>Increase cancer screening rates</w:t>
            </w:r>
          </w:p>
        </w:tc>
        <w:tc>
          <w:tcPr>
            <w:tcW w:w="1727" w:type="dxa"/>
            <w:vMerge w:val="restart"/>
          </w:tcPr>
          <w:p>
            <w:pPr>
              <w:pStyle w:val="TableParagraph"/>
              <w:spacing w:line="232" w:lineRule="auto" w:before="100"/>
              <w:ind w:left="91" w:right="197"/>
              <w:rPr>
                <w:sz w:val="18"/>
              </w:rPr>
            </w:pPr>
            <w:r>
              <w:rPr>
                <w:color w:val="105C84"/>
                <w:spacing w:val="-2"/>
                <w:sz w:val="18"/>
              </w:rPr>
              <w:t>4.1.1</w:t>
            </w:r>
            <w:r>
              <w:rPr>
                <w:color w:val="105C84"/>
                <w:spacing w:val="-13"/>
                <w:sz w:val="18"/>
              </w:rPr>
              <w:t> </w:t>
            </w:r>
            <w:r>
              <w:rPr>
                <w:color w:val="105C84"/>
                <w:spacing w:val="-2"/>
                <w:sz w:val="18"/>
              </w:rPr>
              <w:t>Increase</w:t>
            </w:r>
            <w:r>
              <w:rPr>
                <w:color w:val="105C84"/>
                <w:spacing w:val="-10"/>
                <w:sz w:val="18"/>
              </w:rPr>
              <w:t> </w:t>
            </w:r>
            <w:r>
              <w:rPr>
                <w:color w:val="105C84"/>
                <w:spacing w:val="-2"/>
                <w:sz w:val="18"/>
              </w:rPr>
              <w:t>the </w:t>
            </w:r>
            <w:r>
              <w:rPr>
                <w:color w:val="105C84"/>
                <w:sz w:val="18"/>
              </w:rPr>
              <w:t>percentage of women with an annual</w:t>
            </w:r>
            <w:r>
              <w:rPr>
                <w:color w:val="105C84"/>
                <w:spacing w:val="-13"/>
                <w:sz w:val="18"/>
              </w:rPr>
              <w:t> </w:t>
            </w:r>
            <w:r>
              <w:rPr>
                <w:color w:val="105C84"/>
                <w:sz w:val="18"/>
              </w:rPr>
              <w:t>household</w:t>
            </w:r>
            <w:r>
              <w:rPr>
                <w:color w:val="105C84"/>
                <w:sz w:val="18"/>
              </w:rPr>
              <w:t> income less</w:t>
            </w:r>
          </w:p>
          <w:p>
            <w:pPr>
              <w:pStyle w:val="TableParagraph"/>
              <w:spacing w:line="232" w:lineRule="auto"/>
              <w:ind w:left="91" w:right="525"/>
              <w:rPr>
                <w:sz w:val="18"/>
              </w:rPr>
            </w:pPr>
            <w:r>
              <w:rPr>
                <w:color w:val="105C84"/>
                <w:sz w:val="18"/>
              </w:rPr>
              <w:t>than $25,000 who</w:t>
            </w:r>
            <w:r>
              <w:rPr>
                <w:color w:val="105C84"/>
                <w:spacing w:val="-10"/>
                <w:sz w:val="18"/>
              </w:rPr>
              <w:t> </w:t>
            </w:r>
            <w:r>
              <w:rPr>
                <w:color w:val="105C84"/>
                <w:sz w:val="18"/>
              </w:rPr>
              <w:t>receive</w:t>
            </w:r>
            <w:r>
              <w:rPr>
                <w:color w:val="105C84"/>
                <w:spacing w:val="-10"/>
                <w:sz w:val="18"/>
              </w:rPr>
              <w:t> </w:t>
            </w:r>
            <w:r>
              <w:rPr>
                <w:color w:val="105C84"/>
                <w:spacing w:val="-10"/>
                <w:sz w:val="18"/>
              </w:rPr>
              <w:t>a</w:t>
            </w:r>
          </w:p>
          <w:p>
            <w:pPr>
              <w:pStyle w:val="TableParagraph"/>
              <w:spacing w:line="197" w:lineRule="exact"/>
              <w:ind w:left="91"/>
              <w:rPr>
                <w:sz w:val="18"/>
              </w:rPr>
            </w:pPr>
            <w:r>
              <w:rPr>
                <w:color w:val="105C84"/>
                <w:w w:val="90"/>
                <w:sz w:val="18"/>
              </w:rPr>
              <w:t>BREAST</w:t>
            </w:r>
            <w:r>
              <w:rPr>
                <w:color w:val="105C84"/>
                <w:spacing w:val="-6"/>
                <w:sz w:val="18"/>
              </w:rPr>
              <w:t> </w:t>
            </w:r>
            <w:r>
              <w:rPr>
                <w:color w:val="105C84"/>
                <w:spacing w:val="-2"/>
                <w:sz w:val="18"/>
              </w:rPr>
              <w:t>CANCER</w:t>
            </w:r>
          </w:p>
          <w:p>
            <w:pPr>
              <w:pStyle w:val="TableParagraph"/>
              <w:spacing w:line="232" w:lineRule="auto"/>
              <w:ind w:left="91"/>
              <w:rPr>
                <w:sz w:val="18"/>
              </w:rPr>
            </w:pPr>
            <w:r>
              <w:rPr>
                <w:color w:val="105C84"/>
                <w:spacing w:val="-6"/>
                <w:sz w:val="18"/>
              </w:rPr>
              <w:t>SCREENING</w:t>
            </w:r>
            <w:r>
              <w:rPr>
                <w:color w:val="105C84"/>
                <w:spacing w:val="-7"/>
                <w:sz w:val="18"/>
              </w:rPr>
              <w:t> </w:t>
            </w:r>
            <w:r>
              <w:rPr>
                <w:color w:val="105C84"/>
                <w:spacing w:val="-6"/>
                <w:sz w:val="18"/>
              </w:rPr>
              <w:t>based </w:t>
            </w:r>
            <w:r>
              <w:rPr>
                <w:color w:val="105C84"/>
                <w:sz w:val="18"/>
              </w:rPr>
              <w:t>on most recent </w:t>
            </w:r>
            <w:r>
              <w:rPr>
                <w:color w:val="105C84"/>
                <w:spacing w:val="-2"/>
                <w:sz w:val="18"/>
              </w:rPr>
              <w:t>guidelines</w:t>
            </w:r>
          </w:p>
        </w:tc>
        <w:tc>
          <w:tcPr>
            <w:tcW w:w="1122" w:type="dxa"/>
            <w:vMerge w:val="restart"/>
          </w:tcPr>
          <w:p>
            <w:pPr>
              <w:pStyle w:val="TableParagraph"/>
              <w:spacing w:line="203" w:lineRule="exact" w:before="95"/>
              <w:ind w:left="92"/>
              <w:rPr>
                <w:sz w:val="18"/>
              </w:rPr>
            </w:pPr>
            <w:r>
              <w:rPr>
                <w:color w:val="105C84"/>
                <w:sz w:val="18"/>
              </w:rPr>
              <w:t>Low</w:t>
            </w:r>
            <w:r>
              <w:rPr>
                <w:color w:val="105C84"/>
                <w:spacing w:val="-11"/>
                <w:sz w:val="18"/>
              </w:rPr>
              <w:t> </w:t>
            </w:r>
            <w:r>
              <w:rPr>
                <w:color w:val="105C84"/>
                <w:spacing w:val="-4"/>
                <w:sz w:val="18"/>
              </w:rPr>
              <w:t>SES,</w:t>
            </w:r>
          </w:p>
          <w:p>
            <w:pPr>
              <w:pStyle w:val="TableParagraph"/>
              <w:spacing w:line="232" w:lineRule="auto" w:before="2"/>
              <w:ind w:left="92" w:right="431"/>
              <w:rPr>
                <w:sz w:val="18"/>
              </w:rPr>
            </w:pPr>
            <w:r>
              <w:rPr>
                <w:color w:val="105C84"/>
                <w:sz w:val="18"/>
              </w:rPr>
              <w:t>un or </w:t>
            </w:r>
            <w:r>
              <w:rPr>
                <w:color w:val="105C84"/>
                <w:spacing w:val="-2"/>
                <w:sz w:val="18"/>
              </w:rPr>
              <w:t>under-insured</w:t>
            </w:r>
          </w:p>
        </w:tc>
        <w:tc>
          <w:tcPr>
            <w:tcW w:w="1928" w:type="dxa"/>
            <w:vMerge w:val="restart"/>
          </w:tcPr>
          <w:p>
            <w:pPr>
              <w:pStyle w:val="TableParagraph"/>
              <w:spacing w:line="232" w:lineRule="auto" w:before="100"/>
              <w:ind w:left="93" w:right="92"/>
              <w:rPr>
                <w:sz w:val="18"/>
              </w:rPr>
            </w:pPr>
            <w:r>
              <w:rPr>
                <w:color w:val="105C84"/>
                <w:spacing w:val="-2"/>
                <w:sz w:val="18"/>
              </w:rPr>
              <w:t>4.1.3</w:t>
            </w:r>
            <w:r>
              <w:rPr>
                <w:color w:val="105C84"/>
                <w:spacing w:val="-11"/>
                <w:sz w:val="18"/>
              </w:rPr>
              <w:t> </w:t>
            </w:r>
            <w:r>
              <w:rPr>
                <w:color w:val="105C84"/>
                <w:spacing w:val="-2"/>
                <w:sz w:val="18"/>
              </w:rPr>
              <w:t>Use</w:t>
            </w:r>
            <w:r>
              <w:rPr>
                <w:color w:val="105C84"/>
                <w:spacing w:val="-10"/>
                <w:sz w:val="18"/>
              </w:rPr>
              <w:t> </w:t>
            </w:r>
            <w:r>
              <w:rPr>
                <w:color w:val="105C84"/>
                <w:spacing w:val="-2"/>
                <w:sz w:val="18"/>
              </w:rPr>
              <w:t>small</w:t>
            </w:r>
            <w:r>
              <w:rPr>
                <w:color w:val="105C84"/>
                <w:spacing w:val="-11"/>
                <w:sz w:val="18"/>
              </w:rPr>
              <w:t> </w:t>
            </w:r>
            <w:r>
              <w:rPr>
                <w:color w:val="105C84"/>
                <w:spacing w:val="-2"/>
                <w:sz w:val="18"/>
              </w:rPr>
              <w:t>medi</w:t>
            </w:r>
            <w:r>
              <w:rPr>
                <w:color w:val="105C84"/>
                <w:spacing w:val="-2"/>
                <w:sz w:val="18"/>
              </w:rPr>
              <w:t>a</w:t>
            </w:r>
            <w:r>
              <w:rPr>
                <w:color w:val="105C84"/>
                <w:spacing w:val="-2"/>
                <w:sz w:val="18"/>
              </w:rPr>
              <w:t> </w:t>
            </w:r>
            <w:r>
              <w:rPr>
                <w:color w:val="105C84"/>
                <w:sz w:val="18"/>
              </w:rPr>
              <w:t>such as videos, printed materials (letters, brochures, and newsletters)</w:t>
            </w:r>
          </w:p>
          <w:p>
            <w:pPr>
              <w:pStyle w:val="TableParagraph"/>
              <w:spacing w:line="232" w:lineRule="auto"/>
              <w:ind w:left="93" w:right="422"/>
              <w:rPr>
                <w:sz w:val="18"/>
              </w:rPr>
            </w:pPr>
            <w:r>
              <w:rPr>
                <w:color w:val="105C84"/>
                <w:sz w:val="18"/>
              </w:rPr>
              <w:t>and health </w:t>
            </w:r>
            <w:r>
              <w:rPr>
                <w:color w:val="105C84"/>
                <w:spacing w:val="-2"/>
                <w:sz w:val="18"/>
              </w:rPr>
              <w:t>communications </w:t>
            </w:r>
            <w:r>
              <w:rPr>
                <w:color w:val="105C84"/>
                <w:sz w:val="18"/>
              </w:rPr>
              <w:t>to build public</w:t>
            </w:r>
          </w:p>
          <w:p>
            <w:pPr>
              <w:pStyle w:val="TableParagraph"/>
              <w:spacing w:line="200" w:lineRule="exact"/>
              <w:ind w:left="93"/>
              <w:rPr>
                <w:sz w:val="18"/>
              </w:rPr>
            </w:pPr>
            <w:r>
              <w:rPr>
                <w:color w:val="105C84"/>
                <w:spacing w:val="-4"/>
                <w:sz w:val="18"/>
              </w:rPr>
              <w:t>awareness</w:t>
            </w:r>
            <w:r>
              <w:rPr>
                <w:color w:val="105C84"/>
                <w:spacing w:val="-8"/>
                <w:sz w:val="18"/>
              </w:rPr>
              <w:t> </w:t>
            </w:r>
            <w:r>
              <w:rPr>
                <w:color w:val="105C84"/>
                <w:spacing w:val="-4"/>
                <w:sz w:val="18"/>
              </w:rPr>
              <w:t>&amp;</w:t>
            </w:r>
            <w:r>
              <w:rPr>
                <w:color w:val="105C84"/>
                <w:spacing w:val="-7"/>
                <w:sz w:val="18"/>
              </w:rPr>
              <w:t> </w:t>
            </w:r>
            <w:r>
              <w:rPr>
                <w:color w:val="105C84"/>
                <w:spacing w:val="-4"/>
                <w:sz w:val="18"/>
              </w:rPr>
              <w:t>demand</w:t>
            </w:r>
          </w:p>
        </w:tc>
        <w:tc>
          <w:tcPr>
            <w:tcW w:w="2778" w:type="dxa"/>
            <w:vMerge w:val="restart"/>
            <w:tcBorders>
              <w:right w:val="nil"/>
            </w:tcBorders>
          </w:tcPr>
          <w:p>
            <w:pPr>
              <w:pStyle w:val="TableParagraph"/>
              <w:spacing w:line="232" w:lineRule="auto" w:before="100"/>
              <w:ind w:left="94" w:right="1215"/>
              <w:rPr>
                <w:sz w:val="18"/>
              </w:rPr>
            </w:pPr>
            <w:r>
              <w:rPr>
                <w:color w:val="105C84"/>
                <w:sz w:val="18"/>
              </w:rPr>
              <w:t>Number &amp; type </w:t>
            </w:r>
            <w:r>
              <w:rPr>
                <w:color w:val="105C84"/>
                <w:sz w:val="18"/>
              </w:rPr>
              <w:t>of locations where materials were </w:t>
            </w:r>
            <w:r>
              <w:rPr>
                <w:color w:val="105C84"/>
                <w:spacing w:val="-2"/>
                <w:sz w:val="18"/>
              </w:rPr>
              <w:t>distributed</w:t>
            </w:r>
          </w:p>
          <w:p>
            <w:pPr>
              <w:pStyle w:val="TableParagraph"/>
              <w:spacing w:line="232" w:lineRule="auto" w:before="87"/>
              <w:ind w:left="94" w:right="1215"/>
              <w:rPr>
                <w:sz w:val="18"/>
              </w:rPr>
            </w:pPr>
            <w:r>
              <w:rPr>
                <w:color w:val="105C84"/>
                <w:sz w:val="18"/>
              </w:rPr>
              <w:t>Change in knowledge &amp; awareness of need for cancer </w:t>
            </w:r>
            <w:r>
              <w:rPr>
                <w:color w:val="105C84"/>
                <w:spacing w:val="-2"/>
                <w:sz w:val="18"/>
              </w:rPr>
              <w:t>screenings</w:t>
            </w:r>
            <w:r>
              <w:rPr>
                <w:color w:val="105C84"/>
                <w:spacing w:val="-11"/>
                <w:sz w:val="18"/>
              </w:rPr>
              <w:t> </w:t>
            </w:r>
            <w:r>
              <w:rPr>
                <w:color w:val="105C84"/>
                <w:spacing w:val="-2"/>
                <w:sz w:val="18"/>
              </w:rPr>
              <w:t>among </w:t>
            </w:r>
            <w:r>
              <w:rPr>
                <w:color w:val="105C84"/>
                <w:sz w:val="18"/>
              </w:rPr>
              <w:t>groups reached</w:t>
            </w:r>
          </w:p>
          <w:p>
            <w:pPr>
              <w:pStyle w:val="TableParagraph"/>
              <w:spacing w:line="232" w:lineRule="auto"/>
              <w:ind w:left="94" w:right="23"/>
              <w:rPr>
                <w:sz w:val="18"/>
              </w:rPr>
            </w:pPr>
            <w:r>
              <w:rPr>
                <w:color w:val="105C84"/>
                <w:sz w:val="18"/>
              </w:rPr>
              <w:t>through</w:t>
            </w:r>
            <w:r>
              <w:rPr>
                <w:color w:val="105C84"/>
                <w:spacing w:val="-10"/>
                <w:sz w:val="18"/>
              </w:rPr>
              <w:t> </w:t>
            </w:r>
            <w:r>
              <w:rPr>
                <w:color w:val="105C84"/>
                <w:sz w:val="18"/>
              </w:rPr>
              <w:t>small</w:t>
            </w:r>
            <w:r>
              <w:rPr>
                <w:color w:val="105C84"/>
                <w:spacing w:val="-10"/>
                <w:sz w:val="18"/>
              </w:rPr>
              <w:t> </w:t>
            </w:r>
            <w:r>
              <w:rPr>
                <w:color w:val="105C84"/>
                <w:sz w:val="18"/>
              </w:rPr>
              <w:t>media </w:t>
            </w:r>
            <w:r>
              <w:rPr>
                <w:color w:val="105C84"/>
                <w:spacing w:val="-2"/>
                <w:sz w:val="18"/>
              </w:rPr>
              <w:t>dissemination</w:t>
            </w:r>
          </w:p>
        </w:tc>
        <w:tc>
          <w:tcPr>
            <w:tcW w:w="3304" w:type="dxa"/>
            <w:tcBorders>
              <w:left w:val="nil"/>
            </w:tcBorders>
          </w:tcPr>
          <w:p>
            <w:pPr>
              <w:pStyle w:val="TableParagraph"/>
              <w:spacing w:line="232" w:lineRule="auto" w:before="100"/>
              <w:ind w:left="1098" w:right="50"/>
              <w:rPr>
                <w:sz w:val="18"/>
              </w:rPr>
            </w:pPr>
            <w:r>
              <w:rPr>
                <w:color w:val="105C84"/>
                <w:sz w:val="18"/>
              </w:rPr>
              <w:t>YCPH promoted mammograms offered through FLH &amp; Mobile Mammography at Yates Community Center and Mosaic</w:t>
            </w:r>
            <w:r>
              <w:rPr>
                <w:color w:val="105C84"/>
                <w:spacing w:val="-13"/>
                <w:sz w:val="18"/>
              </w:rPr>
              <w:t> </w:t>
            </w:r>
            <w:r>
              <w:rPr>
                <w:color w:val="105C84"/>
                <w:sz w:val="18"/>
              </w:rPr>
              <w:t>Health</w:t>
            </w:r>
            <w:r>
              <w:rPr>
                <w:color w:val="105C84"/>
                <w:spacing w:val="-12"/>
                <w:sz w:val="18"/>
              </w:rPr>
              <w:t> </w:t>
            </w:r>
            <w:r>
              <w:rPr>
                <w:color w:val="105C84"/>
                <w:sz w:val="18"/>
              </w:rPr>
              <w:t>via</w:t>
            </w:r>
            <w:r>
              <w:rPr>
                <w:color w:val="105C84"/>
                <w:spacing w:val="-13"/>
                <w:sz w:val="18"/>
              </w:rPr>
              <w:t> </w:t>
            </w:r>
            <w:r>
              <w:rPr>
                <w:color w:val="105C84"/>
                <w:sz w:val="18"/>
              </w:rPr>
              <w:t>website, Facebook &amp; posting of </w:t>
            </w:r>
            <w:r>
              <w:rPr>
                <w:color w:val="105C84"/>
                <w:spacing w:val="-2"/>
                <w:sz w:val="18"/>
              </w:rPr>
              <w:t>flyers</w:t>
            </w:r>
          </w:p>
          <w:p>
            <w:pPr>
              <w:pStyle w:val="TableParagraph"/>
              <w:spacing w:line="232" w:lineRule="auto" w:before="84"/>
              <w:ind w:left="1098" w:right="50"/>
              <w:rPr>
                <w:sz w:val="18"/>
              </w:rPr>
            </w:pPr>
            <w:r>
              <w:rPr>
                <w:color w:val="105C84"/>
                <w:sz w:val="18"/>
              </w:rPr>
              <w:t>YCPH organized &amp; promoted a mobile mammography</w:t>
            </w:r>
            <w:r>
              <w:rPr>
                <w:color w:val="105C84"/>
                <w:spacing w:val="-11"/>
                <w:sz w:val="18"/>
              </w:rPr>
              <w:t> </w:t>
            </w:r>
            <w:r>
              <w:rPr>
                <w:color w:val="105C84"/>
                <w:sz w:val="18"/>
              </w:rPr>
              <w:t>event</w:t>
            </w:r>
            <w:r>
              <w:rPr>
                <w:color w:val="105C84"/>
                <w:spacing w:val="-11"/>
                <w:sz w:val="18"/>
              </w:rPr>
              <w:t> </w:t>
            </w:r>
            <w:r>
              <w:rPr>
                <w:color w:val="105C84"/>
                <w:sz w:val="18"/>
              </w:rPr>
              <w:t>in Benton geared toward uninsured Mennonite women (15 women received screening </w:t>
            </w:r>
            <w:r>
              <w:rPr>
                <w:color w:val="105C84"/>
                <w:spacing w:val="-2"/>
                <w:sz w:val="18"/>
              </w:rPr>
              <w:t>mammograms)</w:t>
            </w:r>
          </w:p>
          <w:p>
            <w:pPr>
              <w:pStyle w:val="TableParagraph"/>
              <w:spacing w:line="232" w:lineRule="auto" w:before="83"/>
              <w:ind w:left="1098" w:right="50"/>
              <w:rPr>
                <w:sz w:val="18"/>
              </w:rPr>
            </w:pPr>
            <w:r>
              <w:rPr>
                <w:color w:val="105C84"/>
                <w:sz w:val="18"/>
              </w:rPr>
              <w:t>A</w:t>
            </w:r>
            <w:r>
              <w:rPr>
                <w:color w:val="105C84"/>
                <w:spacing w:val="-15"/>
                <w:sz w:val="18"/>
              </w:rPr>
              <w:t> </w:t>
            </w:r>
            <w:r>
              <w:rPr>
                <w:color w:val="105C84"/>
                <w:sz w:val="18"/>
              </w:rPr>
              <w:t>second</w:t>
            </w:r>
            <w:r>
              <w:rPr>
                <w:color w:val="105C84"/>
                <w:spacing w:val="-12"/>
                <w:sz w:val="18"/>
              </w:rPr>
              <w:t> </w:t>
            </w:r>
            <w:r>
              <w:rPr>
                <w:color w:val="105C84"/>
                <w:sz w:val="18"/>
              </w:rPr>
              <w:t>event</w:t>
            </w:r>
            <w:r>
              <w:rPr>
                <w:color w:val="105C84"/>
                <w:spacing w:val="-13"/>
                <w:sz w:val="18"/>
              </w:rPr>
              <w:t> </w:t>
            </w:r>
            <w:r>
              <w:rPr>
                <w:color w:val="105C84"/>
                <w:sz w:val="18"/>
              </w:rPr>
              <w:t>has</w:t>
            </w:r>
            <w:r>
              <w:rPr>
                <w:color w:val="105C84"/>
                <w:spacing w:val="-12"/>
                <w:sz w:val="18"/>
              </w:rPr>
              <w:t> </w:t>
            </w:r>
            <w:r>
              <w:rPr>
                <w:color w:val="105C84"/>
                <w:sz w:val="18"/>
              </w:rPr>
              <w:t>been planned, organized &amp; promoted by YCPH for </w:t>
            </w:r>
            <w:r>
              <w:rPr>
                <w:color w:val="105C84"/>
                <w:spacing w:val="-2"/>
                <w:sz w:val="18"/>
              </w:rPr>
              <w:t>11/6/19</w:t>
            </w:r>
          </w:p>
        </w:tc>
        <w:tc>
          <w:tcPr>
            <w:tcW w:w="2361" w:type="dxa"/>
          </w:tcPr>
          <w:p>
            <w:pPr>
              <w:pStyle w:val="TableParagraph"/>
              <w:spacing w:line="232" w:lineRule="auto" w:before="100"/>
              <w:ind w:left="96" w:right="130"/>
              <w:rPr>
                <w:sz w:val="18"/>
              </w:rPr>
            </w:pPr>
            <w:r>
              <w:rPr>
                <w:color w:val="105C84"/>
                <w:sz w:val="18"/>
              </w:rPr>
              <w:t>YCPH will promote FLH mammogram screening, </w:t>
            </w:r>
            <w:r>
              <w:rPr>
                <w:color w:val="105C84"/>
                <w:spacing w:val="-2"/>
                <w:sz w:val="18"/>
              </w:rPr>
              <w:t>Rochester</w:t>
            </w:r>
            <w:r>
              <w:rPr>
                <w:color w:val="105C84"/>
                <w:spacing w:val="-11"/>
                <w:sz w:val="18"/>
              </w:rPr>
              <w:t> </w:t>
            </w:r>
            <w:r>
              <w:rPr>
                <w:color w:val="105C84"/>
                <w:spacing w:val="-2"/>
                <w:sz w:val="18"/>
              </w:rPr>
              <w:t>Regional</w:t>
            </w:r>
            <w:r>
              <w:rPr>
                <w:color w:val="105C84"/>
                <w:spacing w:val="-10"/>
                <w:sz w:val="18"/>
              </w:rPr>
              <w:t> </w:t>
            </w:r>
            <w:r>
              <w:rPr>
                <w:color w:val="105C84"/>
                <w:spacing w:val="-2"/>
                <w:sz w:val="18"/>
              </w:rPr>
              <w:t>Health </w:t>
            </w:r>
            <w:r>
              <w:rPr>
                <w:color w:val="105C84"/>
                <w:sz w:val="18"/>
              </w:rPr>
              <w:t>Mobile Mammography unit, targeting low SES &amp; </w:t>
            </w:r>
            <w:r>
              <w:rPr>
                <w:color w:val="105C84"/>
                <w:spacing w:val="-2"/>
                <w:sz w:val="18"/>
              </w:rPr>
              <w:t>uninsured</w:t>
            </w:r>
          </w:p>
          <w:p>
            <w:pPr>
              <w:pStyle w:val="TableParagraph"/>
              <w:spacing w:line="232" w:lineRule="auto" w:before="85"/>
              <w:ind w:left="96"/>
              <w:rPr>
                <w:sz w:val="18"/>
              </w:rPr>
            </w:pPr>
            <w:r>
              <w:rPr>
                <w:color w:val="105C84"/>
                <w:spacing w:val="-2"/>
                <w:sz w:val="18"/>
              </w:rPr>
              <w:t>YCPH</w:t>
            </w:r>
            <w:r>
              <w:rPr>
                <w:color w:val="105C84"/>
                <w:spacing w:val="-11"/>
                <w:sz w:val="18"/>
              </w:rPr>
              <w:t> </w:t>
            </w:r>
            <w:r>
              <w:rPr>
                <w:color w:val="105C84"/>
                <w:spacing w:val="-2"/>
                <w:sz w:val="18"/>
              </w:rPr>
              <w:t>will</w:t>
            </w:r>
            <w:r>
              <w:rPr>
                <w:color w:val="105C84"/>
                <w:spacing w:val="-10"/>
                <w:sz w:val="18"/>
              </w:rPr>
              <w:t> </w:t>
            </w:r>
            <w:r>
              <w:rPr>
                <w:color w:val="105C84"/>
                <w:spacing w:val="-2"/>
                <w:sz w:val="18"/>
              </w:rPr>
              <w:t>work</w:t>
            </w:r>
            <w:r>
              <w:rPr>
                <w:color w:val="105C84"/>
                <w:spacing w:val="-11"/>
                <w:sz w:val="18"/>
              </w:rPr>
              <w:t> </w:t>
            </w:r>
            <w:r>
              <w:rPr>
                <w:color w:val="105C84"/>
                <w:spacing w:val="-2"/>
                <w:sz w:val="18"/>
              </w:rPr>
              <w:t>with</w:t>
            </w:r>
            <w:r>
              <w:rPr>
                <w:color w:val="105C84"/>
                <w:spacing w:val="-10"/>
                <w:sz w:val="18"/>
              </w:rPr>
              <w:t> </w:t>
            </w:r>
            <w:r>
              <w:rPr>
                <w:color w:val="105C84"/>
                <w:spacing w:val="-2"/>
                <w:sz w:val="18"/>
              </w:rPr>
              <w:t>Cancer </w:t>
            </w:r>
            <w:r>
              <w:rPr>
                <w:color w:val="105C84"/>
                <w:sz w:val="18"/>
              </w:rPr>
              <w:t>Services Program (CSP)</w:t>
            </w:r>
          </w:p>
          <w:p>
            <w:pPr>
              <w:pStyle w:val="TableParagraph"/>
              <w:spacing w:line="232" w:lineRule="auto"/>
              <w:ind w:left="96"/>
              <w:rPr>
                <w:sz w:val="18"/>
              </w:rPr>
            </w:pPr>
            <w:r>
              <w:rPr>
                <w:color w:val="105C84"/>
                <w:sz w:val="18"/>
              </w:rPr>
              <w:t>to promote mammogram screenings</w:t>
            </w:r>
            <w:r>
              <w:rPr>
                <w:color w:val="105C84"/>
                <w:spacing w:val="-8"/>
                <w:sz w:val="18"/>
              </w:rPr>
              <w:t> </w:t>
            </w:r>
            <w:r>
              <w:rPr>
                <w:color w:val="105C84"/>
                <w:sz w:val="18"/>
              </w:rPr>
              <w:t>for</w:t>
            </w:r>
            <w:r>
              <w:rPr>
                <w:color w:val="105C84"/>
                <w:spacing w:val="-8"/>
                <w:sz w:val="18"/>
              </w:rPr>
              <w:t> </w:t>
            </w:r>
            <w:r>
              <w:rPr>
                <w:color w:val="105C84"/>
                <w:sz w:val="18"/>
              </w:rPr>
              <w:t>low</w:t>
            </w:r>
            <w:r>
              <w:rPr>
                <w:color w:val="105C84"/>
                <w:spacing w:val="-8"/>
                <w:sz w:val="18"/>
              </w:rPr>
              <w:t> </w:t>
            </w:r>
            <w:r>
              <w:rPr>
                <w:color w:val="105C84"/>
                <w:sz w:val="18"/>
              </w:rPr>
              <w:t>income/ uninsured women</w:t>
            </w:r>
          </w:p>
          <w:p>
            <w:pPr>
              <w:pStyle w:val="TableParagraph"/>
              <w:spacing w:line="232" w:lineRule="auto" w:before="86"/>
              <w:ind w:left="96" w:right="434"/>
              <w:rPr>
                <w:sz w:val="18"/>
              </w:rPr>
            </w:pPr>
            <w:r>
              <w:rPr>
                <w:color w:val="105C84"/>
                <w:sz w:val="18"/>
              </w:rPr>
              <w:t>YCPH will organize and promote 1 </w:t>
            </w:r>
            <w:r>
              <w:rPr>
                <w:color w:val="105C84"/>
                <w:sz w:val="18"/>
              </w:rPr>
              <w:t>Mobile Mammography event</w:t>
            </w:r>
          </w:p>
          <w:p>
            <w:pPr>
              <w:pStyle w:val="TableParagraph"/>
              <w:spacing w:line="232" w:lineRule="auto"/>
              <w:ind w:left="96" w:right="213"/>
              <w:rPr>
                <w:sz w:val="18"/>
              </w:rPr>
            </w:pPr>
            <w:r>
              <w:rPr>
                <w:color w:val="105C84"/>
                <w:sz w:val="18"/>
              </w:rPr>
              <w:t>targeting</w:t>
            </w:r>
            <w:r>
              <w:rPr>
                <w:color w:val="105C84"/>
                <w:spacing w:val="-6"/>
                <w:sz w:val="18"/>
              </w:rPr>
              <w:t> </w:t>
            </w:r>
            <w:r>
              <w:rPr>
                <w:color w:val="105C84"/>
                <w:sz w:val="18"/>
              </w:rPr>
              <w:t>uninsured,</w:t>
            </w:r>
            <w:r>
              <w:rPr>
                <w:color w:val="105C84"/>
                <w:spacing w:val="-6"/>
                <w:sz w:val="18"/>
              </w:rPr>
              <w:t> </w:t>
            </w:r>
            <w:r>
              <w:rPr>
                <w:color w:val="105C84"/>
                <w:sz w:val="18"/>
              </w:rPr>
              <w:t>low SES women</w:t>
            </w:r>
          </w:p>
        </w:tc>
        <w:tc>
          <w:tcPr>
            <w:tcW w:w="2390" w:type="dxa"/>
          </w:tcPr>
          <w:p>
            <w:pPr>
              <w:pStyle w:val="TableParagraph"/>
              <w:spacing w:line="232" w:lineRule="auto" w:before="99"/>
              <w:ind w:left="97" w:right="160"/>
              <w:rPr>
                <w:sz w:val="18"/>
              </w:rPr>
            </w:pPr>
            <w:r>
              <w:rPr>
                <w:color w:val="105C84"/>
                <w:sz w:val="18"/>
              </w:rPr>
              <w:t>YCPH will promote FLH mammogram screening, </w:t>
            </w:r>
            <w:r>
              <w:rPr>
                <w:color w:val="105C84"/>
                <w:spacing w:val="-2"/>
                <w:sz w:val="18"/>
              </w:rPr>
              <w:t>Rochester</w:t>
            </w:r>
            <w:r>
              <w:rPr>
                <w:color w:val="105C84"/>
                <w:spacing w:val="-13"/>
                <w:sz w:val="18"/>
              </w:rPr>
              <w:t> </w:t>
            </w:r>
            <w:r>
              <w:rPr>
                <w:color w:val="105C84"/>
                <w:spacing w:val="-2"/>
                <w:sz w:val="18"/>
              </w:rPr>
              <w:t>Regional</w:t>
            </w:r>
            <w:r>
              <w:rPr>
                <w:color w:val="105C84"/>
                <w:spacing w:val="-10"/>
                <w:sz w:val="18"/>
              </w:rPr>
              <w:t> </w:t>
            </w:r>
            <w:r>
              <w:rPr>
                <w:color w:val="105C84"/>
                <w:spacing w:val="-2"/>
                <w:sz w:val="18"/>
              </w:rPr>
              <w:t>Health </w:t>
            </w:r>
            <w:r>
              <w:rPr>
                <w:color w:val="105C84"/>
                <w:sz w:val="18"/>
              </w:rPr>
              <w:t>Mobile Mammography unit, targeting low SES &amp; </w:t>
            </w:r>
            <w:r>
              <w:rPr>
                <w:color w:val="105C84"/>
                <w:spacing w:val="-2"/>
                <w:sz w:val="18"/>
              </w:rPr>
              <w:t>uninsured</w:t>
            </w:r>
          </w:p>
          <w:p>
            <w:pPr>
              <w:pStyle w:val="TableParagraph"/>
              <w:spacing w:line="232" w:lineRule="auto" w:before="85"/>
              <w:ind w:left="97"/>
              <w:rPr>
                <w:sz w:val="18"/>
              </w:rPr>
            </w:pPr>
            <w:r>
              <w:rPr>
                <w:color w:val="105C84"/>
                <w:spacing w:val="-2"/>
                <w:sz w:val="18"/>
              </w:rPr>
              <w:t>YCPH</w:t>
            </w:r>
            <w:r>
              <w:rPr>
                <w:color w:val="105C84"/>
                <w:spacing w:val="-10"/>
                <w:sz w:val="18"/>
              </w:rPr>
              <w:t> </w:t>
            </w:r>
            <w:r>
              <w:rPr>
                <w:color w:val="105C84"/>
                <w:spacing w:val="-2"/>
                <w:sz w:val="18"/>
              </w:rPr>
              <w:t>will</w:t>
            </w:r>
            <w:r>
              <w:rPr>
                <w:color w:val="105C84"/>
                <w:spacing w:val="-10"/>
                <w:sz w:val="18"/>
              </w:rPr>
              <w:t> </w:t>
            </w:r>
            <w:r>
              <w:rPr>
                <w:color w:val="105C84"/>
                <w:spacing w:val="-2"/>
                <w:sz w:val="18"/>
              </w:rPr>
              <w:t>work</w:t>
            </w:r>
            <w:r>
              <w:rPr>
                <w:color w:val="105C84"/>
                <w:spacing w:val="-10"/>
                <w:sz w:val="18"/>
              </w:rPr>
              <w:t> </w:t>
            </w:r>
            <w:r>
              <w:rPr>
                <w:color w:val="105C84"/>
                <w:spacing w:val="-2"/>
                <w:sz w:val="18"/>
              </w:rPr>
              <w:t>with</w:t>
            </w:r>
            <w:r>
              <w:rPr>
                <w:color w:val="105C84"/>
                <w:spacing w:val="-10"/>
                <w:sz w:val="18"/>
              </w:rPr>
              <w:t> </w:t>
            </w:r>
            <w:r>
              <w:rPr>
                <w:color w:val="105C84"/>
                <w:spacing w:val="-2"/>
                <w:sz w:val="18"/>
              </w:rPr>
              <w:t>Cancer </w:t>
            </w:r>
            <w:r>
              <w:rPr>
                <w:color w:val="105C84"/>
                <w:sz w:val="18"/>
              </w:rPr>
              <w:t>Services Program (CSP)</w:t>
            </w:r>
          </w:p>
          <w:p>
            <w:pPr>
              <w:pStyle w:val="TableParagraph"/>
              <w:spacing w:line="232" w:lineRule="auto"/>
              <w:ind w:left="97"/>
              <w:rPr>
                <w:sz w:val="18"/>
              </w:rPr>
            </w:pPr>
            <w:r>
              <w:rPr>
                <w:color w:val="105C84"/>
                <w:sz w:val="18"/>
              </w:rPr>
              <w:t>to promote mammogram screenings</w:t>
            </w:r>
            <w:r>
              <w:rPr>
                <w:color w:val="105C84"/>
                <w:spacing w:val="-9"/>
                <w:sz w:val="18"/>
              </w:rPr>
              <w:t> </w:t>
            </w:r>
            <w:r>
              <w:rPr>
                <w:color w:val="105C84"/>
                <w:sz w:val="18"/>
              </w:rPr>
              <w:t>for</w:t>
            </w:r>
            <w:r>
              <w:rPr>
                <w:color w:val="105C84"/>
                <w:spacing w:val="-9"/>
                <w:sz w:val="18"/>
              </w:rPr>
              <w:t> </w:t>
            </w:r>
            <w:r>
              <w:rPr>
                <w:color w:val="105C84"/>
                <w:sz w:val="18"/>
              </w:rPr>
              <w:t>low</w:t>
            </w:r>
            <w:r>
              <w:rPr>
                <w:color w:val="105C84"/>
                <w:spacing w:val="-9"/>
                <w:sz w:val="18"/>
              </w:rPr>
              <w:t> </w:t>
            </w:r>
            <w:r>
              <w:rPr>
                <w:color w:val="105C84"/>
                <w:sz w:val="18"/>
              </w:rPr>
              <w:t>income/ uninsured women.</w:t>
            </w:r>
          </w:p>
          <w:p>
            <w:pPr>
              <w:pStyle w:val="TableParagraph"/>
              <w:spacing w:line="232" w:lineRule="auto"/>
              <w:ind w:left="97" w:right="462"/>
              <w:rPr>
                <w:sz w:val="18"/>
              </w:rPr>
            </w:pPr>
            <w:r>
              <w:rPr>
                <w:color w:val="105C84"/>
                <w:sz w:val="18"/>
              </w:rPr>
              <w:t>YCPH will organize and promote 1 </w:t>
            </w:r>
            <w:r>
              <w:rPr>
                <w:color w:val="105C84"/>
                <w:sz w:val="18"/>
              </w:rPr>
              <w:t>Mobile Mammography event</w:t>
            </w:r>
          </w:p>
          <w:p>
            <w:pPr>
              <w:pStyle w:val="TableParagraph"/>
              <w:spacing w:line="232" w:lineRule="auto"/>
              <w:ind w:left="97" w:right="87"/>
              <w:rPr>
                <w:sz w:val="18"/>
              </w:rPr>
            </w:pPr>
            <w:r>
              <w:rPr>
                <w:color w:val="105C84"/>
                <w:sz w:val="18"/>
              </w:rPr>
              <w:t>targeting</w:t>
            </w:r>
            <w:r>
              <w:rPr>
                <w:color w:val="105C84"/>
                <w:spacing w:val="-6"/>
                <w:sz w:val="18"/>
              </w:rPr>
              <w:t> </w:t>
            </w:r>
            <w:r>
              <w:rPr>
                <w:color w:val="105C84"/>
                <w:sz w:val="18"/>
              </w:rPr>
              <w:t>uninsured,</w:t>
            </w:r>
            <w:r>
              <w:rPr>
                <w:color w:val="105C84"/>
                <w:spacing w:val="-6"/>
                <w:sz w:val="18"/>
              </w:rPr>
              <w:t> </w:t>
            </w:r>
            <w:r>
              <w:rPr>
                <w:color w:val="105C84"/>
                <w:sz w:val="18"/>
              </w:rPr>
              <w:t>low SES women</w:t>
            </w:r>
          </w:p>
        </w:tc>
        <w:tc>
          <w:tcPr>
            <w:tcW w:w="1519" w:type="dxa"/>
          </w:tcPr>
          <w:p>
            <w:pPr>
              <w:pStyle w:val="TableParagraph"/>
              <w:spacing w:line="232" w:lineRule="auto" w:before="99"/>
              <w:ind w:left="97"/>
              <w:rPr>
                <w:sz w:val="18"/>
              </w:rPr>
            </w:pPr>
            <w:r>
              <w:rPr>
                <w:color w:val="105C84"/>
                <w:spacing w:val="-2"/>
                <w:sz w:val="18"/>
              </w:rPr>
              <w:t>Local</w:t>
            </w:r>
            <w:r>
              <w:rPr>
                <w:color w:val="105C84"/>
                <w:spacing w:val="-11"/>
                <w:sz w:val="18"/>
              </w:rPr>
              <w:t> </w:t>
            </w:r>
            <w:r>
              <w:rPr>
                <w:color w:val="105C84"/>
                <w:spacing w:val="-2"/>
                <w:sz w:val="18"/>
              </w:rPr>
              <w:t>health department</w:t>
            </w:r>
          </w:p>
        </w:tc>
        <w:tc>
          <w:tcPr>
            <w:tcW w:w="1600" w:type="dxa"/>
          </w:tcPr>
          <w:p>
            <w:pPr>
              <w:pStyle w:val="TableParagraph"/>
              <w:spacing w:line="232" w:lineRule="auto" w:before="99"/>
              <w:ind w:left="98" w:right="424"/>
              <w:rPr>
                <w:sz w:val="18"/>
              </w:rPr>
            </w:pPr>
            <w:r>
              <w:rPr>
                <w:color w:val="105C84"/>
                <w:spacing w:val="-2"/>
                <w:sz w:val="18"/>
              </w:rPr>
              <w:t>Yates</w:t>
            </w:r>
            <w:r>
              <w:rPr>
                <w:color w:val="105C84"/>
                <w:spacing w:val="-11"/>
                <w:sz w:val="18"/>
              </w:rPr>
              <w:t> </w:t>
            </w:r>
            <w:r>
              <w:rPr>
                <w:color w:val="105C84"/>
                <w:spacing w:val="-2"/>
                <w:sz w:val="18"/>
              </w:rPr>
              <w:t>County Public</w:t>
            </w:r>
            <w:r>
              <w:rPr>
                <w:color w:val="105C84"/>
                <w:spacing w:val="-1"/>
                <w:sz w:val="18"/>
              </w:rPr>
              <w:t> </w:t>
            </w:r>
            <w:r>
              <w:rPr>
                <w:color w:val="105C84"/>
                <w:spacing w:val="-2"/>
                <w:sz w:val="18"/>
              </w:rPr>
              <w:t>Health</w:t>
            </w:r>
          </w:p>
          <w:p>
            <w:pPr>
              <w:pStyle w:val="TableParagraph"/>
              <w:spacing w:line="197" w:lineRule="exact"/>
              <w:ind w:left="98"/>
              <w:rPr>
                <w:sz w:val="18"/>
              </w:rPr>
            </w:pPr>
            <w:r>
              <w:rPr>
                <w:color w:val="105C84"/>
                <w:spacing w:val="-5"/>
                <w:sz w:val="18"/>
              </w:rPr>
              <w:t>0.1</w:t>
            </w:r>
            <w:r>
              <w:rPr>
                <w:color w:val="105C84"/>
                <w:spacing w:val="-7"/>
                <w:sz w:val="18"/>
              </w:rPr>
              <w:t> </w:t>
            </w:r>
            <w:r>
              <w:rPr>
                <w:color w:val="105C84"/>
                <w:spacing w:val="-5"/>
                <w:sz w:val="18"/>
              </w:rPr>
              <w:t>FTE</w:t>
            </w:r>
          </w:p>
          <w:p>
            <w:pPr>
              <w:pStyle w:val="TableParagraph"/>
              <w:spacing w:line="232" w:lineRule="auto" w:before="1"/>
              <w:ind w:left="98"/>
              <w:rPr>
                <w:sz w:val="18"/>
              </w:rPr>
            </w:pPr>
            <w:r>
              <w:rPr>
                <w:color w:val="105C84"/>
                <w:sz w:val="18"/>
              </w:rPr>
              <w:t>$500-$1000</w:t>
            </w:r>
            <w:r>
              <w:rPr>
                <w:color w:val="105C84"/>
                <w:spacing w:val="-13"/>
                <w:sz w:val="18"/>
              </w:rPr>
              <w:t> </w:t>
            </w:r>
            <w:r>
              <w:rPr>
                <w:color w:val="105C84"/>
                <w:sz w:val="18"/>
              </w:rPr>
              <w:t>total for ALL cancer screening</w:t>
            </w:r>
            <w:r>
              <w:rPr>
                <w:color w:val="105C84"/>
                <w:spacing w:val="-1"/>
                <w:sz w:val="18"/>
              </w:rPr>
              <w:t> </w:t>
            </w:r>
            <w:r>
              <w:rPr>
                <w:color w:val="105C84"/>
                <w:sz w:val="18"/>
              </w:rPr>
              <w:t>media </w:t>
            </w:r>
            <w:r>
              <w:rPr>
                <w:color w:val="105C84"/>
                <w:spacing w:val="-2"/>
                <w:sz w:val="18"/>
              </w:rPr>
              <w:t>communications.</w:t>
            </w:r>
          </w:p>
        </w:tc>
      </w:tr>
      <w:tr>
        <w:trPr>
          <w:trHeight w:val="3440" w:hRule="atLeast"/>
        </w:trPr>
        <w:tc>
          <w:tcPr>
            <w:tcW w:w="1180" w:type="dxa"/>
            <w:vMerge/>
            <w:tcBorders>
              <w:top w:val="nil"/>
            </w:tcBorders>
            <w:shd w:val="clear" w:color="auto" w:fill="E6E7E8"/>
          </w:tcPr>
          <w:p>
            <w:pPr>
              <w:rPr>
                <w:sz w:val="2"/>
                <w:szCs w:val="2"/>
              </w:rPr>
            </w:pPr>
          </w:p>
        </w:tc>
        <w:tc>
          <w:tcPr>
            <w:tcW w:w="1267" w:type="dxa"/>
            <w:vMerge/>
            <w:tcBorders>
              <w:top w:val="nil"/>
            </w:tcBorders>
          </w:tcPr>
          <w:p>
            <w:pPr>
              <w:rPr>
                <w:sz w:val="2"/>
                <w:szCs w:val="2"/>
              </w:rPr>
            </w:pPr>
          </w:p>
        </w:tc>
        <w:tc>
          <w:tcPr>
            <w:tcW w:w="1137" w:type="dxa"/>
            <w:vMerge/>
            <w:tcBorders>
              <w:top w:val="nil"/>
            </w:tcBorders>
          </w:tcPr>
          <w:p>
            <w:pPr>
              <w:rPr>
                <w:sz w:val="2"/>
                <w:szCs w:val="2"/>
              </w:rPr>
            </w:pPr>
          </w:p>
        </w:tc>
        <w:tc>
          <w:tcPr>
            <w:tcW w:w="1727" w:type="dxa"/>
            <w:vMerge/>
            <w:tcBorders>
              <w:top w:val="nil"/>
            </w:tcBorders>
          </w:tcPr>
          <w:p>
            <w:pPr>
              <w:rPr>
                <w:sz w:val="2"/>
                <w:szCs w:val="2"/>
              </w:rPr>
            </w:pPr>
          </w:p>
        </w:tc>
        <w:tc>
          <w:tcPr>
            <w:tcW w:w="1122" w:type="dxa"/>
            <w:vMerge/>
            <w:tcBorders>
              <w:top w:val="nil"/>
            </w:tcBorders>
          </w:tcPr>
          <w:p>
            <w:pPr>
              <w:rPr>
                <w:sz w:val="2"/>
                <w:szCs w:val="2"/>
              </w:rPr>
            </w:pPr>
          </w:p>
        </w:tc>
        <w:tc>
          <w:tcPr>
            <w:tcW w:w="1928" w:type="dxa"/>
            <w:vMerge/>
            <w:tcBorders>
              <w:top w:val="nil"/>
            </w:tcBorders>
          </w:tcPr>
          <w:p>
            <w:pPr>
              <w:rPr>
                <w:sz w:val="2"/>
                <w:szCs w:val="2"/>
              </w:rPr>
            </w:pPr>
          </w:p>
        </w:tc>
        <w:tc>
          <w:tcPr>
            <w:tcW w:w="2778" w:type="dxa"/>
            <w:vMerge/>
            <w:tcBorders>
              <w:top w:val="nil"/>
              <w:right w:val="nil"/>
            </w:tcBorders>
          </w:tcPr>
          <w:p>
            <w:pPr>
              <w:rPr>
                <w:sz w:val="2"/>
                <w:szCs w:val="2"/>
              </w:rPr>
            </w:pPr>
          </w:p>
        </w:tc>
        <w:tc>
          <w:tcPr>
            <w:tcW w:w="3304" w:type="dxa"/>
            <w:tcBorders>
              <w:left w:val="nil"/>
            </w:tcBorders>
          </w:tcPr>
          <w:p>
            <w:pPr>
              <w:pStyle w:val="TableParagraph"/>
              <w:spacing w:line="232" w:lineRule="auto" w:before="99"/>
              <w:ind w:left="1098" w:right="226"/>
              <w:rPr>
                <w:sz w:val="18"/>
              </w:rPr>
            </w:pPr>
            <w:r>
              <w:rPr>
                <w:color w:val="105C84"/>
                <w:sz w:val="18"/>
              </w:rPr>
              <w:t>Our Town Rocks (OTR) has visited all Dundee business</w:t>
            </w:r>
            <w:r>
              <w:rPr>
                <w:color w:val="105C84"/>
                <w:spacing w:val="-15"/>
                <w:sz w:val="18"/>
              </w:rPr>
              <w:t> </w:t>
            </w:r>
            <w:r>
              <w:rPr>
                <w:color w:val="105C84"/>
                <w:sz w:val="18"/>
              </w:rPr>
              <w:t>encouraging</w:t>
            </w:r>
            <w:r>
              <w:rPr>
                <w:color w:val="105C84"/>
                <w:spacing w:val="-12"/>
                <w:sz w:val="18"/>
              </w:rPr>
              <w:t> </w:t>
            </w:r>
            <w:r>
              <w:rPr>
                <w:color w:val="105C84"/>
                <w:sz w:val="18"/>
              </w:rPr>
              <w:t>all to go PINK in October and display the breast cancer screening flyer</w:t>
            </w:r>
          </w:p>
          <w:p>
            <w:pPr>
              <w:pStyle w:val="TableParagraph"/>
              <w:spacing w:line="232" w:lineRule="auto" w:before="85"/>
              <w:ind w:left="1098" w:right="122"/>
              <w:rPr>
                <w:sz w:val="18"/>
              </w:rPr>
            </w:pPr>
            <w:r>
              <w:rPr>
                <w:color w:val="105C84"/>
                <w:sz w:val="18"/>
              </w:rPr>
              <w:t>OTR promoted all free and walk-in screening opportunities in the area via</w:t>
            </w:r>
            <w:r>
              <w:rPr>
                <w:color w:val="105C84"/>
                <w:spacing w:val="-15"/>
                <w:sz w:val="18"/>
              </w:rPr>
              <w:t> </w:t>
            </w:r>
            <w:r>
              <w:rPr>
                <w:color w:val="105C84"/>
                <w:sz w:val="18"/>
              </w:rPr>
              <w:t>flyers</w:t>
            </w:r>
            <w:r>
              <w:rPr>
                <w:color w:val="105C84"/>
                <w:spacing w:val="-12"/>
                <w:sz w:val="18"/>
              </w:rPr>
              <w:t> </w:t>
            </w:r>
            <w:r>
              <w:rPr>
                <w:color w:val="105C84"/>
                <w:sz w:val="18"/>
              </w:rPr>
              <w:t>and</w:t>
            </w:r>
            <w:r>
              <w:rPr>
                <w:color w:val="105C84"/>
                <w:spacing w:val="-13"/>
                <w:sz w:val="18"/>
              </w:rPr>
              <w:t> </w:t>
            </w:r>
            <w:r>
              <w:rPr>
                <w:color w:val="105C84"/>
                <w:sz w:val="18"/>
              </w:rPr>
              <w:t>social</w:t>
            </w:r>
            <w:r>
              <w:rPr>
                <w:color w:val="105C84"/>
                <w:spacing w:val="-12"/>
                <w:sz w:val="18"/>
              </w:rPr>
              <w:t> </w:t>
            </w:r>
            <w:r>
              <w:rPr>
                <w:color w:val="105C84"/>
                <w:sz w:val="18"/>
              </w:rPr>
              <w:t>media </w:t>
            </w:r>
            <w:r>
              <w:rPr>
                <w:color w:val="105C84"/>
                <w:spacing w:val="-2"/>
                <w:sz w:val="18"/>
              </w:rPr>
              <w:t>platforms</w:t>
            </w:r>
          </w:p>
        </w:tc>
        <w:tc>
          <w:tcPr>
            <w:tcW w:w="2361" w:type="dxa"/>
          </w:tcPr>
          <w:p>
            <w:pPr>
              <w:pStyle w:val="TableParagraph"/>
              <w:spacing w:line="232" w:lineRule="auto" w:before="99"/>
              <w:ind w:left="96" w:right="178"/>
              <w:rPr>
                <w:sz w:val="18"/>
              </w:rPr>
            </w:pPr>
            <w:r>
              <w:rPr>
                <w:color w:val="105C84"/>
                <w:sz w:val="18"/>
              </w:rPr>
              <w:t>OTR,</w:t>
            </w:r>
            <w:r>
              <w:rPr>
                <w:color w:val="105C84"/>
                <w:spacing w:val="-8"/>
                <w:sz w:val="18"/>
              </w:rPr>
              <w:t> </w:t>
            </w:r>
            <w:r>
              <w:rPr>
                <w:color w:val="105C84"/>
                <w:sz w:val="18"/>
              </w:rPr>
              <w:t>in</w:t>
            </w:r>
            <w:r>
              <w:rPr>
                <w:color w:val="105C84"/>
                <w:spacing w:val="-8"/>
                <w:sz w:val="18"/>
              </w:rPr>
              <w:t> </w:t>
            </w:r>
            <w:r>
              <w:rPr>
                <w:color w:val="105C84"/>
                <w:sz w:val="18"/>
              </w:rPr>
              <w:t>collaboration</w:t>
            </w:r>
            <w:r>
              <w:rPr>
                <w:color w:val="105C84"/>
                <w:spacing w:val="-8"/>
                <w:sz w:val="18"/>
              </w:rPr>
              <w:t> </w:t>
            </w:r>
            <w:r>
              <w:rPr>
                <w:color w:val="105C84"/>
                <w:sz w:val="18"/>
              </w:rPr>
              <w:t>with 4 Dundee beauty salons</w:t>
            </w:r>
            <w:r>
              <w:rPr>
                <w:color w:val="105C84"/>
                <w:spacing w:val="40"/>
                <w:sz w:val="18"/>
              </w:rPr>
              <w:t> </w:t>
            </w:r>
            <w:r>
              <w:rPr>
                <w:color w:val="105C84"/>
                <w:sz w:val="18"/>
              </w:rPr>
              <w:t>&amp; Dundee Pharmacy</w:t>
            </w:r>
          </w:p>
          <w:p>
            <w:pPr>
              <w:pStyle w:val="TableParagraph"/>
              <w:spacing w:line="232" w:lineRule="auto"/>
              <w:ind w:left="96"/>
              <w:rPr>
                <w:sz w:val="18"/>
              </w:rPr>
            </w:pPr>
            <w:r>
              <w:rPr>
                <w:color w:val="105C84"/>
                <w:sz w:val="18"/>
              </w:rPr>
              <w:t>are planning a Breast/ Colon/Prostate Screening Services awareness campaign</w:t>
            </w:r>
            <w:r>
              <w:rPr>
                <w:color w:val="105C84"/>
                <w:spacing w:val="-10"/>
                <w:sz w:val="18"/>
              </w:rPr>
              <w:t> </w:t>
            </w:r>
            <w:r>
              <w:rPr>
                <w:color w:val="105C84"/>
                <w:sz w:val="18"/>
              </w:rPr>
              <w:t>utilizing</w:t>
            </w:r>
            <w:r>
              <w:rPr>
                <w:color w:val="105C84"/>
                <w:spacing w:val="-10"/>
                <w:sz w:val="18"/>
              </w:rPr>
              <w:t> </w:t>
            </w:r>
            <w:r>
              <w:rPr>
                <w:color w:val="105C84"/>
                <w:sz w:val="18"/>
              </w:rPr>
              <w:t>flyers</w:t>
            </w:r>
            <w:r>
              <w:rPr>
                <w:color w:val="105C84"/>
                <w:spacing w:val="-10"/>
                <w:sz w:val="18"/>
              </w:rPr>
              <w:t> </w:t>
            </w:r>
            <w:r>
              <w:rPr>
                <w:color w:val="105C84"/>
                <w:sz w:val="18"/>
              </w:rPr>
              <w:t>&amp; social media</w:t>
            </w:r>
          </w:p>
          <w:p>
            <w:pPr>
              <w:pStyle w:val="TableParagraph"/>
              <w:spacing w:line="232" w:lineRule="auto" w:before="83"/>
              <w:ind w:left="96" w:right="434"/>
              <w:rPr>
                <w:sz w:val="18"/>
              </w:rPr>
            </w:pPr>
            <w:r>
              <w:rPr>
                <w:color w:val="105C84"/>
                <w:spacing w:val="-2"/>
                <w:sz w:val="18"/>
              </w:rPr>
              <w:t>OTR</w:t>
            </w:r>
            <w:r>
              <w:rPr>
                <w:color w:val="105C84"/>
                <w:spacing w:val="-11"/>
                <w:sz w:val="18"/>
              </w:rPr>
              <w:t> </w:t>
            </w:r>
            <w:r>
              <w:rPr>
                <w:color w:val="105C84"/>
                <w:spacing w:val="-2"/>
                <w:sz w:val="18"/>
              </w:rPr>
              <w:t>working</w:t>
            </w:r>
            <w:r>
              <w:rPr>
                <w:color w:val="105C84"/>
                <w:spacing w:val="-10"/>
                <w:sz w:val="18"/>
              </w:rPr>
              <w:t> </w:t>
            </w:r>
            <w:r>
              <w:rPr>
                <w:color w:val="105C84"/>
                <w:spacing w:val="-2"/>
                <w:sz w:val="18"/>
              </w:rPr>
              <w:t>with</w:t>
            </w:r>
            <w:r>
              <w:rPr>
                <w:color w:val="105C84"/>
                <w:spacing w:val="-11"/>
                <w:sz w:val="18"/>
              </w:rPr>
              <w:t> </w:t>
            </w:r>
            <w:r>
              <w:rPr>
                <w:color w:val="105C84"/>
                <w:spacing w:val="-2"/>
                <w:sz w:val="18"/>
              </w:rPr>
              <w:t>CSP </w:t>
            </w:r>
            <w:r>
              <w:rPr>
                <w:color w:val="105C84"/>
                <w:sz w:val="18"/>
              </w:rPr>
              <w:t>to have the Mobile Mammography unit</w:t>
            </w:r>
          </w:p>
          <w:p>
            <w:pPr>
              <w:pStyle w:val="TableParagraph"/>
              <w:spacing w:line="232" w:lineRule="auto"/>
              <w:ind w:left="96" w:right="213"/>
              <w:rPr>
                <w:sz w:val="18"/>
              </w:rPr>
            </w:pPr>
            <w:r>
              <w:rPr>
                <w:color w:val="105C84"/>
                <w:sz w:val="18"/>
              </w:rPr>
              <w:t>at the Annual AMBA blood</w:t>
            </w:r>
            <w:r>
              <w:rPr>
                <w:color w:val="105C84"/>
                <w:spacing w:val="-3"/>
                <w:sz w:val="18"/>
              </w:rPr>
              <w:t> </w:t>
            </w:r>
            <w:r>
              <w:rPr>
                <w:color w:val="105C84"/>
                <w:sz w:val="18"/>
              </w:rPr>
              <w:t>drive</w:t>
            </w:r>
            <w:r>
              <w:rPr>
                <w:color w:val="105C84"/>
                <w:spacing w:val="-3"/>
                <w:sz w:val="18"/>
              </w:rPr>
              <w:t> </w:t>
            </w:r>
            <w:r>
              <w:rPr>
                <w:color w:val="105C84"/>
                <w:sz w:val="18"/>
              </w:rPr>
              <w:t>in</w:t>
            </w:r>
            <w:r>
              <w:rPr>
                <w:color w:val="105C84"/>
                <w:spacing w:val="-3"/>
                <w:sz w:val="18"/>
              </w:rPr>
              <w:t> </w:t>
            </w:r>
            <w:r>
              <w:rPr>
                <w:color w:val="105C84"/>
                <w:sz w:val="18"/>
              </w:rPr>
              <w:t>June</w:t>
            </w:r>
            <w:r>
              <w:rPr>
                <w:color w:val="105C84"/>
                <w:spacing w:val="-3"/>
                <w:sz w:val="18"/>
              </w:rPr>
              <w:t> </w:t>
            </w:r>
            <w:r>
              <w:rPr>
                <w:color w:val="105C84"/>
                <w:sz w:val="18"/>
              </w:rPr>
              <w:t>'20.</w:t>
            </w:r>
          </w:p>
          <w:p>
            <w:pPr>
              <w:pStyle w:val="TableParagraph"/>
              <w:spacing w:line="232" w:lineRule="auto"/>
              <w:ind w:left="96"/>
              <w:rPr>
                <w:sz w:val="18"/>
              </w:rPr>
            </w:pPr>
            <w:r>
              <w:rPr>
                <w:color w:val="105C84"/>
                <w:spacing w:val="-2"/>
                <w:sz w:val="18"/>
              </w:rPr>
              <w:t>OTR</w:t>
            </w:r>
            <w:r>
              <w:rPr>
                <w:color w:val="105C84"/>
                <w:spacing w:val="-10"/>
                <w:sz w:val="18"/>
              </w:rPr>
              <w:t> </w:t>
            </w:r>
            <w:r>
              <w:rPr>
                <w:color w:val="105C84"/>
                <w:spacing w:val="-2"/>
                <w:sz w:val="18"/>
              </w:rPr>
              <w:t>is</w:t>
            </w:r>
            <w:r>
              <w:rPr>
                <w:color w:val="105C84"/>
                <w:spacing w:val="-10"/>
                <w:sz w:val="18"/>
              </w:rPr>
              <w:t> </w:t>
            </w:r>
            <w:r>
              <w:rPr>
                <w:color w:val="105C84"/>
                <w:spacing w:val="-2"/>
                <w:sz w:val="18"/>
              </w:rPr>
              <w:t>partnering</w:t>
            </w:r>
            <w:r>
              <w:rPr>
                <w:color w:val="105C84"/>
                <w:spacing w:val="-10"/>
                <w:sz w:val="18"/>
              </w:rPr>
              <w:t> </w:t>
            </w:r>
            <w:r>
              <w:rPr>
                <w:color w:val="105C84"/>
                <w:spacing w:val="-2"/>
                <w:sz w:val="18"/>
              </w:rPr>
              <w:t>with</w:t>
            </w:r>
            <w:r>
              <w:rPr>
                <w:color w:val="105C84"/>
                <w:spacing w:val="-10"/>
                <w:sz w:val="18"/>
              </w:rPr>
              <w:t> </w:t>
            </w:r>
            <w:r>
              <w:rPr>
                <w:color w:val="105C84"/>
                <w:spacing w:val="-2"/>
                <w:sz w:val="18"/>
              </w:rPr>
              <w:t>CSP </w:t>
            </w:r>
            <w:r>
              <w:rPr>
                <w:color w:val="105C84"/>
                <w:sz w:val="18"/>
              </w:rPr>
              <w:t>Breast Cancer Screening Campaign</w:t>
            </w:r>
            <w:r>
              <w:rPr>
                <w:color w:val="105C84"/>
                <w:spacing w:val="-8"/>
                <w:sz w:val="18"/>
              </w:rPr>
              <w:t> </w:t>
            </w:r>
            <w:r>
              <w:rPr>
                <w:color w:val="105C84"/>
                <w:sz w:val="18"/>
              </w:rPr>
              <w:t>in</w:t>
            </w:r>
            <w:r>
              <w:rPr>
                <w:color w:val="105C84"/>
                <w:spacing w:val="-8"/>
                <w:sz w:val="18"/>
              </w:rPr>
              <w:t> </w:t>
            </w:r>
            <w:r>
              <w:rPr>
                <w:color w:val="105C84"/>
                <w:sz w:val="18"/>
              </w:rPr>
              <w:t>October</w:t>
            </w:r>
            <w:r>
              <w:rPr>
                <w:color w:val="105C84"/>
                <w:spacing w:val="-8"/>
                <w:sz w:val="18"/>
              </w:rPr>
              <w:t> </w:t>
            </w:r>
            <w:r>
              <w:rPr>
                <w:color w:val="105C84"/>
                <w:sz w:val="18"/>
              </w:rPr>
              <w:t>2020</w:t>
            </w:r>
          </w:p>
        </w:tc>
        <w:tc>
          <w:tcPr>
            <w:tcW w:w="2390" w:type="dxa"/>
          </w:tcPr>
          <w:p>
            <w:pPr>
              <w:pStyle w:val="TableParagraph"/>
              <w:spacing w:line="232" w:lineRule="auto" w:before="98"/>
              <w:ind w:left="97"/>
              <w:rPr>
                <w:sz w:val="18"/>
              </w:rPr>
            </w:pPr>
            <w:r>
              <w:rPr>
                <w:color w:val="105C84"/>
                <w:sz w:val="18"/>
              </w:rPr>
              <w:t>OTR</w:t>
            </w:r>
            <w:r>
              <w:rPr>
                <w:color w:val="105C84"/>
                <w:spacing w:val="-2"/>
                <w:sz w:val="18"/>
              </w:rPr>
              <w:t> </w:t>
            </w:r>
            <w:r>
              <w:rPr>
                <w:color w:val="105C84"/>
                <w:sz w:val="18"/>
              </w:rPr>
              <w:t>will</w:t>
            </w:r>
            <w:r>
              <w:rPr>
                <w:color w:val="105C84"/>
                <w:spacing w:val="-2"/>
                <w:sz w:val="18"/>
              </w:rPr>
              <w:t> </w:t>
            </w:r>
            <w:r>
              <w:rPr>
                <w:color w:val="105C84"/>
                <w:sz w:val="18"/>
              </w:rPr>
              <w:t>continue</w:t>
            </w:r>
            <w:r>
              <w:rPr>
                <w:color w:val="105C84"/>
                <w:spacing w:val="-2"/>
                <w:sz w:val="18"/>
              </w:rPr>
              <w:t> </w:t>
            </w:r>
            <w:r>
              <w:rPr>
                <w:color w:val="105C84"/>
                <w:sz w:val="18"/>
              </w:rPr>
              <w:t>to</w:t>
            </w:r>
            <w:r>
              <w:rPr>
                <w:color w:val="105C84"/>
                <w:spacing w:val="-2"/>
                <w:sz w:val="18"/>
              </w:rPr>
              <w:t> </w:t>
            </w:r>
            <w:r>
              <w:rPr>
                <w:color w:val="105C84"/>
                <w:sz w:val="18"/>
              </w:rPr>
              <w:t>build upon cancer screening initiatives that proved </w:t>
            </w:r>
            <w:r>
              <w:rPr>
                <w:color w:val="105C84"/>
                <w:spacing w:val="-2"/>
                <w:sz w:val="18"/>
              </w:rPr>
              <w:t>successful</w:t>
            </w:r>
          </w:p>
        </w:tc>
        <w:tc>
          <w:tcPr>
            <w:tcW w:w="1519" w:type="dxa"/>
          </w:tcPr>
          <w:p>
            <w:pPr>
              <w:pStyle w:val="TableParagraph"/>
              <w:spacing w:line="232" w:lineRule="auto" w:before="98"/>
              <w:ind w:left="97" w:right="1"/>
              <w:rPr>
                <w:sz w:val="18"/>
              </w:rPr>
            </w:pPr>
            <w:r>
              <w:rPr>
                <w:color w:val="105C84"/>
                <w:spacing w:val="-2"/>
                <w:sz w:val="18"/>
              </w:rPr>
              <w:t>Community-based organizations</w:t>
            </w:r>
          </w:p>
        </w:tc>
        <w:tc>
          <w:tcPr>
            <w:tcW w:w="1600" w:type="dxa"/>
          </w:tcPr>
          <w:p>
            <w:pPr>
              <w:pStyle w:val="TableParagraph"/>
              <w:rPr>
                <w:rFonts w:ascii="Times New Roman"/>
                <w:sz w:val="18"/>
              </w:rPr>
            </w:pPr>
          </w:p>
        </w:tc>
      </w:tr>
    </w:tbl>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270"/>
        <w:rPr>
          <w:b/>
          <w:sz w:val="26"/>
        </w:rPr>
      </w:pPr>
    </w:p>
    <w:p>
      <w:pPr>
        <w:tabs>
          <w:tab w:pos="23047" w:val="left" w:leader="none"/>
        </w:tabs>
        <w:spacing w:before="1"/>
        <w:ind w:left="0" w:right="0" w:firstLine="0"/>
        <w:jc w:val="left"/>
        <w:rPr>
          <w:b/>
          <w:sz w:val="26"/>
        </w:rPr>
      </w:pPr>
      <w:r>
        <w:rPr>
          <w:position w:val="-4"/>
        </w:rPr>
        <w:drawing>
          <wp:inline distT="0" distB="0" distL="0" distR="0">
            <wp:extent cx="568172" cy="184683"/>
            <wp:effectExtent l="0" t="0" r="0" b="0"/>
            <wp:docPr id="2095" name="Image 2095"/>
            <wp:cNvGraphicFramePr>
              <a:graphicFrameLocks/>
            </wp:cNvGraphicFramePr>
            <a:graphic>
              <a:graphicData uri="http://schemas.openxmlformats.org/drawingml/2006/picture">
                <pic:pic>
                  <pic:nvPicPr>
                    <pic:cNvPr id="2095" name="Image 2095"/>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13"/>
          <w:sz w:val="20"/>
        </w:rPr>
        <w:t> </w:t>
      </w:r>
      <w:r>
        <w:rPr>
          <w:b/>
          <w:color w:val="939598"/>
          <w:w w:val="105"/>
          <w:sz w:val="26"/>
        </w:rPr>
        <w:t>243</w:t>
      </w:r>
      <w:r>
        <w:rPr>
          <w:b/>
          <w:color w:val="939598"/>
          <w:sz w:val="26"/>
        </w:rPr>
        <w:tab/>
      </w:r>
      <w:r>
        <w:rPr>
          <w:b/>
          <w:color w:val="939598"/>
          <w:spacing w:val="-5"/>
          <w:w w:val="105"/>
          <w:sz w:val="26"/>
        </w:rPr>
        <w:t>244</w:t>
      </w:r>
    </w:p>
    <w:p>
      <w:pPr>
        <w:spacing w:after="0"/>
        <w:jc w:val="left"/>
        <w:rPr>
          <w:b/>
          <w:sz w:val="26"/>
        </w:rPr>
        <w:sectPr>
          <w:pgSz w:w="24480" w:h="15840" w:orient="landscape"/>
          <w:pgMar w:header="0" w:footer="0" w:top="860" w:bottom="0" w:left="0" w:right="720"/>
        </w:sectPr>
      </w:pPr>
    </w:p>
    <w:p>
      <w:pPr>
        <w:spacing w:before="609"/>
        <w:ind w:left="1089" w:right="0" w:firstLine="0"/>
        <w:jc w:val="left"/>
        <w:rPr>
          <w:sz w:val="54"/>
        </w:rPr>
      </w:pPr>
      <w:r>
        <w:rPr>
          <w:sz w:val="54"/>
        </w:rPr>
        <w:drawing>
          <wp:anchor distT="0" distB="0" distL="0" distR="0" allowOverlap="1" layoutInCell="1" locked="0" behindDoc="0" simplePos="0" relativeHeight="16054784">
            <wp:simplePos x="0" y="0"/>
            <wp:positionH relativeFrom="page">
              <wp:posOffset>14292898</wp:posOffset>
            </wp:positionH>
            <wp:positionV relativeFrom="paragraph">
              <wp:posOffset>347471</wp:posOffset>
            </wp:positionV>
            <wp:extent cx="620077" cy="580072"/>
            <wp:effectExtent l="0" t="0" r="0" b="0"/>
            <wp:wrapNone/>
            <wp:docPr id="2096" name="Image 2096"/>
            <wp:cNvGraphicFramePr>
              <a:graphicFrameLocks/>
            </wp:cNvGraphicFramePr>
            <a:graphic>
              <a:graphicData uri="http://schemas.openxmlformats.org/drawingml/2006/picture">
                <pic:pic>
                  <pic:nvPicPr>
                    <pic:cNvPr id="2096" name="Image 2096"/>
                    <pic:cNvPicPr/>
                  </pic:nvPicPr>
                  <pic:blipFill>
                    <a:blip r:embed="rId268" cstate="print"/>
                    <a:stretch>
                      <a:fillRect/>
                    </a:stretch>
                  </pic:blipFill>
                  <pic:spPr>
                    <a:xfrm>
                      <a:off x="0" y="0"/>
                      <a:ext cx="620077" cy="580072"/>
                    </a:xfrm>
                    <a:prstGeom prst="rect">
                      <a:avLst/>
                    </a:prstGeom>
                  </pic:spPr>
                </pic:pic>
              </a:graphicData>
            </a:graphic>
          </wp:anchor>
        </w:drawing>
      </w:r>
      <w:r>
        <w:rPr>
          <w:sz w:val="54"/>
        </w:rPr>
        <w:drawing>
          <wp:anchor distT="0" distB="0" distL="0" distR="0" allowOverlap="1" layoutInCell="1" locked="0" behindDoc="0" simplePos="0" relativeHeight="16055296">
            <wp:simplePos x="0" y="0"/>
            <wp:positionH relativeFrom="page">
              <wp:posOffset>14981556</wp:posOffset>
            </wp:positionH>
            <wp:positionV relativeFrom="page">
              <wp:posOffset>9668103</wp:posOffset>
            </wp:positionV>
            <wp:extent cx="563245" cy="184683"/>
            <wp:effectExtent l="0" t="0" r="0" b="0"/>
            <wp:wrapNone/>
            <wp:docPr id="2097" name="Image 2097"/>
            <wp:cNvGraphicFramePr>
              <a:graphicFrameLocks/>
            </wp:cNvGraphicFramePr>
            <a:graphic>
              <a:graphicData uri="http://schemas.openxmlformats.org/drawingml/2006/picture">
                <pic:pic>
                  <pic:nvPicPr>
                    <pic:cNvPr id="2097" name="Image 2097"/>
                    <pic:cNvPicPr/>
                  </pic:nvPicPr>
                  <pic:blipFill>
                    <a:blip r:embed="rId38" cstate="print"/>
                    <a:stretch>
                      <a:fillRect/>
                    </a:stretch>
                  </pic:blipFill>
                  <pic:spPr>
                    <a:xfrm>
                      <a:off x="0" y="0"/>
                      <a:ext cx="563245" cy="184683"/>
                    </a:xfrm>
                    <a:prstGeom prst="rect">
                      <a:avLst/>
                    </a:prstGeom>
                  </pic:spPr>
                </pic:pic>
              </a:graphicData>
            </a:graphic>
          </wp:anchor>
        </w:drawing>
      </w:r>
      <w:r>
        <w:rPr>
          <w:sz w:val="54"/>
        </w:rPr>
        <w:drawing>
          <wp:anchor distT="0" distB="0" distL="0" distR="0" allowOverlap="1" layoutInCell="1" locked="0" behindDoc="0" simplePos="0" relativeHeight="16055808">
            <wp:simplePos x="0" y="0"/>
            <wp:positionH relativeFrom="page">
              <wp:posOffset>13547852</wp:posOffset>
            </wp:positionH>
            <wp:positionV relativeFrom="paragraph">
              <wp:posOffset>354583</wp:posOffset>
            </wp:positionV>
            <wp:extent cx="610869" cy="494804"/>
            <wp:effectExtent l="0" t="0" r="0" b="0"/>
            <wp:wrapNone/>
            <wp:docPr id="2098" name="Image 2098"/>
            <wp:cNvGraphicFramePr>
              <a:graphicFrameLocks/>
            </wp:cNvGraphicFramePr>
            <a:graphic>
              <a:graphicData uri="http://schemas.openxmlformats.org/drawingml/2006/picture">
                <pic:pic>
                  <pic:nvPicPr>
                    <pic:cNvPr id="2098" name="Image 2098"/>
                    <pic:cNvPicPr/>
                  </pic:nvPicPr>
                  <pic:blipFill>
                    <a:blip r:embed="rId269" cstate="print"/>
                    <a:stretch>
                      <a:fillRect/>
                    </a:stretch>
                  </pic:blipFill>
                  <pic:spPr>
                    <a:xfrm>
                      <a:off x="0" y="0"/>
                      <a:ext cx="610869" cy="494804"/>
                    </a:xfrm>
                    <a:prstGeom prst="rect">
                      <a:avLst/>
                    </a:prstGeom>
                  </pic:spPr>
                </pic:pic>
              </a:graphicData>
            </a:graphic>
          </wp:anchor>
        </w:drawing>
      </w:r>
      <w:r>
        <w:rPr>
          <w:sz w:val="54"/>
        </w:rPr>
        <w:drawing>
          <wp:anchor distT="0" distB="0" distL="0" distR="0" allowOverlap="1" layoutInCell="1" locked="0" behindDoc="0" simplePos="0" relativeHeight="16056320">
            <wp:simplePos x="0" y="0"/>
            <wp:positionH relativeFrom="page">
              <wp:posOffset>12242292</wp:posOffset>
            </wp:positionH>
            <wp:positionV relativeFrom="paragraph">
              <wp:posOffset>309372</wp:posOffset>
            </wp:positionV>
            <wp:extent cx="1141336" cy="338581"/>
            <wp:effectExtent l="0" t="0" r="0" b="0"/>
            <wp:wrapNone/>
            <wp:docPr id="2099" name="Image 2099"/>
            <wp:cNvGraphicFramePr>
              <a:graphicFrameLocks/>
            </wp:cNvGraphicFramePr>
            <a:graphic>
              <a:graphicData uri="http://schemas.openxmlformats.org/drawingml/2006/picture">
                <pic:pic>
                  <pic:nvPicPr>
                    <pic:cNvPr id="2099" name="Image 2099"/>
                    <pic:cNvPicPr/>
                  </pic:nvPicPr>
                  <pic:blipFill>
                    <a:blip r:embed="rId270" cstate="print"/>
                    <a:stretch>
                      <a:fillRect/>
                    </a:stretch>
                  </pic:blipFill>
                  <pic:spPr>
                    <a:xfrm>
                      <a:off x="0" y="0"/>
                      <a:ext cx="1141336" cy="338581"/>
                    </a:xfrm>
                    <a:prstGeom prst="rect">
                      <a:avLst/>
                    </a:prstGeom>
                  </pic:spPr>
                </pic:pic>
              </a:graphicData>
            </a:graphic>
          </wp:anchor>
        </w:drawing>
      </w:r>
      <w:r>
        <w:rPr>
          <w:color w:val="636466"/>
          <w:sz w:val="54"/>
        </w:rPr>
        <w:t>Yates</w:t>
      </w:r>
      <w:r>
        <w:rPr>
          <w:color w:val="636466"/>
          <w:spacing w:val="24"/>
          <w:sz w:val="54"/>
        </w:rPr>
        <w:t> </w:t>
      </w:r>
      <w:r>
        <w:rPr>
          <w:color w:val="636466"/>
          <w:sz w:val="54"/>
        </w:rPr>
        <w:t>County</w:t>
      </w:r>
      <w:r>
        <w:rPr>
          <w:color w:val="636466"/>
          <w:spacing w:val="25"/>
          <w:sz w:val="54"/>
        </w:rPr>
        <w:t> </w:t>
      </w:r>
      <w:r>
        <w:rPr>
          <w:color w:val="636466"/>
          <w:sz w:val="54"/>
        </w:rPr>
        <w:t>Appendix</w:t>
      </w:r>
      <w:r>
        <w:rPr>
          <w:color w:val="636466"/>
          <w:spacing w:val="25"/>
          <w:sz w:val="54"/>
        </w:rPr>
        <w:t> </w:t>
      </w:r>
      <w:r>
        <w:rPr>
          <w:color w:val="636466"/>
          <w:spacing w:val="-10"/>
          <w:sz w:val="54"/>
        </w:rPr>
        <w:t>H</w:t>
      </w:r>
    </w:p>
    <w:p>
      <w:pPr>
        <w:spacing w:before="236"/>
        <w:ind w:left="1089" w:right="0" w:firstLine="0"/>
        <w:jc w:val="left"/>
        <w:rPr>
          <w:b/>
          <w:sz w:val="32"/>
        </w:rPr>
      </w:pPr>
      <w:r>
        <w:rPr>
          <w:b/>
          <w:color w:val="82BF6A"/>
          <w:spacing w:val="-6"/>
          <w:sz w:val="32"/>
        </w:rPr>
        <w:t>PRIORITY:</w:t>
      </w:r>
      <w:r>
        <w:rPr>
          <w:b/>
          <w:color w:val="82BF6A"/>
          <w:spacing w:val="-13"/>
          <w:sz w:val="32"/>
        </w:rPr>
        <w:t> </w:t>
      </w:r>
      <w:r>
        <w:rPr>
          <w:b/>
          <w:color w:val="82BF6A"/>
          <w:spacing w:val="-6"/>
          <w:sz w:val="32"/>
        </w:rPr>
        <w:t>PREVENT</w:t>
      </w:r>
      <w:r>
        <w:rPr>
          <w:b/>
          <w:color w:val="82BF6A"/>
          <w:spacing w:val="-13"/>
          <w:sz w:val="32"/>
        </w:rPr>
        <w:t> </w:t>
      </w:r>
      <w:r>
        <w:rPr>
          <w:b/>
          <w:color w:val="82BF6A"/>
          <w:spacing w:val="-6"/>
          <w:sz w:val="32"/>
        </w:rPr>
        <w:t>CHRONIC</w:t>
      </w:r>
      <w:r>
        <w:rPr>
          <w:b/>
          <w:color w:val="82BF6A"/>
          <w:spacing w:val="-13"/>
          <w:sz w:val="32"/>
        </w:rPr>
        <w:t> </w:t>
      </w:r>
      <w:r>
        <w:rPr>
          <w:b/>
          <w:color w:val="82BF6A"/>
          <w:spacing w:val="-6"/>
          <w:sz w:val="32"/>
        </w:rPr>
        <w:t>DISEASES</w:t>
      </w:r>
    </w:p>
    <w:p>
      <w:pPr>
        <w:pStyle w:val="BodyText"/>
        <w:spacing w:before="162"/>
        <w:rPr>
          <w:b/>
          <w:sz w:val="20"/>
        </w:rPr>
      </w:pPr>
    </w:p>
    <w:tbl>
      <w:tblPr>
        <w:tblW w:w="0" w:type="auto"/>
        <w:jc w:val="left"/>
        <w:tblInd w:w="1099"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1180"/>
        <w:gridCol w:w="1267"/>
        <w:gridCol w:w="1267"/>
        <w:gridCol w:w="1728"/>
        <w:gridCol w:w="1066"/>
        <w:gridCol w:w="1930"/>
        <w:gridCol w:w="2715"/>
        <w:gridCol w:w="2297"/>
        <w:gridCol w:w="2967"/>
        <w:gridCol w:w="2830"/>
        <w:gridCol w:w="1498"/>
        <w:gridCol w:w="1551"/>
      </w:tblGrid>
      <w:tr>
        <w:trPr>
          <w:trHeight w:val="1130" w:hRule="atLeast"/>
        </w:trPr>
        <w:tc>
          <w:tcPr>
            <w:tcW w:w="1180" w:type="dxa"/>
            <w:tcBorders>
              <w:right w:val="single" w:sz="4" w:space="0" w:color="FFFFFF"/>
            </w:tcBorders>
            <w:shd w:val="clear" w:color="auto" w:fill="A7A9AC"/>
          </w:tcPr>
          <w:p>
            <w:pPr>
              <w:pStyle w:val="TableParagraph"/>
              <w:rPr>
                <w:b/>
                <w:sz w:val="18"/>
              </w:rPr>
            </w:pPr>
          </w:p>
          <w:p>
            <w:pPr>
              <w:pStyle w:val="TableParagraph"/>
              <w:spacing w:before="72"/>
              <w:rPr>
                <w:b/>
                <w:sz w:val="18"/>
              </w:rPr>
            </w:pPr>
          </w:p>
          <w:p>
            <w:pPr>
              <w:pStyle w:val="TableParagraph"/>
              <w:ind w:left="79"/>
              <w:rPr>
                <w:b/>
                <w:sz w:val="18"/>
              </w:rPr>
            </w:pPr>
            <w:r>
              <w:rPr>
                <w:b/>
                <w:color w:val="FFFFFF"/>
                <w:spacing w:val="-2"/>
                <w:sz w:val="18"/>
              </w:rPr>
              <w:t>Priority</w:t>
            </w:r>
          </w:p>
        </w:tc>
        <w:tc>
          <w:tcPr>
            <w:tcW w:w="1267" w:type="dxa"/>
            <w:tcBorders>
              <w:left w:val="single" w:sz="4" w:space="0" w:color="FFFFFF"/>
              <w:right w:val="single" w:sz="4" w:space="0" w:color="FFFFFF"/>
            </w:tcBorders>
            <w:shd w:val="clear" w:color="auto" w:fill="A7A9AC"/>
          </w:tcPr>
          <w:p>
            <w:pPr>
              <w:pStyle w:val="TableParagraph"/>
              <w:rPr>
                <w:b/>
                <w:sz w:val="18"/>
              </w:rPr>
            </w:pPr>
          </w:p>
          <w:p>
            <w:pPr>
              <w:pStyle w:val="TableParagraph"/>
              <w:spacing w:before="72"/>
              <w:rPr>
                <w:b/>
                <w:sz w:val="18"/>
              </w:rPr>
            </w:pPr>
          </w:p>
          <w:p>
            <w:pPr>
              <w:pStyle w:val="TableParagraph"/>
              <w:ind w:left="80"/>
              <w:rPr>
                <w:b/>
                <w:sz w:val="18"/>
              </w:rPr>
            </w:pPr>
            <w:r>
              <w:rPr>
                <w:b/>
                <w:color w:val="FFFFFF"/>
                <w:w w:val="90"/>
                <w:sz w:val="18"/>
              </w:rPr>
              <w:t>Focus</w:t>
            </w:r>
            <w:r>
              <w:rPr>
                <w:b/>
                <w:color w:val="FFFFFF"/>
                <w:spacing w:val="8"/>
                <w:sz w:val="18"/>
              </w:rPr>
              <w:t> </w:t>
            </w:r>
            <w:r>
              <w:rPr>
                <w:b/>
                <w:color w:val="FFFFFF"/>
                <w:spacing w:val="-4"/>
                <w:sz w:val="18"/>
              </w:rPr>
              <w:t>Area</w:t>
            </w:r>
          </w:p>
        </w:tc>
        <w:tc>
          <w:tcPr>
            <w:tcW w:w="1267" w:type="dxa"/>
            <w:tcBorders>
              <w:left w:val="single" w:sz="4" w:space="0" w:color="FFFFFF"/>
              <w:right w:val="single" w:sz="4" w:space="0" w:color="FFFFFF"/>
            </w:tcBorders>
            <w:shd w:val="clear" w:color="auto" w:fill="A7A9AC"/>
          </w:tcPr>
          <w:p>
            <w:pPr>
              <w:pStyle w:val="TableParagraph"/>
              <w:spacing w:before="184"/>
              <w:rPr>
                <w:b/>
                <w:sz w:val="18"/>
              </w:rPr>
            </w:pPr>
          </w:p>
          <w:p>
            <w:pPr>
              <w:pStyle w:val="TableParagraph"/>
              <w:spacing w:line="232" w:lineRule="auto"/>
              <w:ind w:left="80" w:right="237"/>
              <w:rPr>
                <w:b/>
                <w:sz w:val="18"/>
              </w:rPr>
            </w:pPr>
            <w:r>
              <w:rPr>
                <w:b/>
                <w:color w:val="FFFFFF"/>
                <w:spacing w:val="-6"/>
                <w:sz w:val="18"/>
              </w:rPr>
              <w:t>Goal</w:t>
            </w:r>
            <w:r>
              <w:rPr>
                <w:b/>
                <w:color w:val="FFFFFF"/>
                <w:spacing w:val="-7"/>
                <w:sz w:val="18"/>
              </w:rPr>
              <w:t> </w:t>
            </w:r>
            <w:r>
              <w:rPr>
                <w:b/>
                <w:color w:val="FFFFFF"/>
                <w:spacing w:val="-6"/>
                <w:sz w:val="18"/>
              </w:rPr>
              <w:t>Focus </w:t>
            </w:r>
            <w:r>
              <w:rPr>
                <w:b/>
                <w:color w:val="FFFFFF"/>
                <w:spacing w:val="-4"/>
                <w:sz w:val="18"/>
              </w:rPr>
              <w:t>Area</w:t>
            </w:r>
          </w:p>
        </w:tc>
        <w:tc>
          <w:tcPr>
            <w:tcW w:w="1728" w:type="dxa"/>
            <w:tcBorders>
              <w:left w:val="single" w:sz="4" w:space="0" w:color="FFFFFF"/>
              <w:right w:val="single" w:sz="4" w:space="0" w:color="FFFFFF"/>
            </w:tcBorders>
            <w:shd w:val="clear" w:color="auto" w:fill="A7A9AC"/>
          </w:tcPr>
          <w:p>
            <w:pPr>
              <w:pStyle w:val="TableParagraph"/>
              <w:rPr>
                <w:b/>
                <w:sz w:val="18"/>
              </w:rPr>
            </w:pPr>
          </w:p>
          <w:p>
            <w:pPr>
              <w:pStyle w:val="TableParagraph"/>
              <w:spacing w:before="72"/>
              <w:rPr>
                <w:b/>
                <w:sz w:val="18"/>
              </w:rPr>
            </w:pPr>
          </w:p>
          <w:p>
            <w:pPr>
              <w:pStyle w:val="TableParagraph"/>
              <w:ind w:left="80"/>
              <w:rPr>
                <w:b/>
                <w:sz w:val="18"/>
              </w:rPr>
            </w:pPr>
            <w:r>
              <w:rPr>
                <w:b/>
                <w:color w:val="FFFFFF"/>
                <w:spacing w:val="-2"/>
                <w:sz w:val="18"/>
              </w:rPr>
              <w:t>Objectives</w:t>
            </w:r>
          </w:p>
        </w:tc>
        <w:tc>
          <w:tcPr>
            <w:tcW w:w="1066" w:type="dxa"/>
            <w:tcBorders>
              <w:left w:val="single" w:sz="4" w:space="0" w:color="FFFFFF"/>
              <w:right w:val="single" w:sz="4" w:space="0" w:color="FFFFFF"/>
            </w:tcBorders>
            <w:shd w:val="clear" w:color="auto" w:fill="A7A9AC"/>
          </w:tcPr>
          <w:p>
            <w:pPr>
              <w:pStyle w:val="TableParagraph"/>
              <w:rPr>
                <w:b/>
                <w:sz w:val="18"/>
              </w:rPr>
            </w:pPr>
          </w:p>
          <w:p>
            <w:pPr>
              <w:pStyle w:val="TableParagraph"/>
              <w:spacing w:before="72"/>
              <w:rPr>
                <w:b/>
                <w:sz w:val="18"/>
              </w:rPr>
            </w:pPr>
          </w:p>
          <w:p>
            <w:pPr>
              <w:pStyle w:val="TableParagraph"/>
              <w:ind w:left="80"/>
              <w:rPr>
                <w:b/>
                <w:sz w:val="18"/>
              </w:rPr>
            </w:pPr>
            <w:r>
              <w:rPr>
                <w:b/>
                <w:color w:val="FFFFFF"/>
                <w:spacing w:val="-2"/>
                <w:sz w:val="18"/>
              </w:rPr>
              <w:t>Disparities</w:t>
            </w:r>
          </w:p>
        </w:tc>
        <w:tc>
          <w:tcPr>
            <w:tcW w:w="1930" w:type="dxa"/>
            <w:tcBorders>
              <w:left w:val="single" w:sz="4" w:space="0" w:color="FFFFFF"/>
              <w:right w:val="single" w:sz="4" w:space="0" w:color="FFFFFF"/>
            </w:tcBorders>
            <w:shd w:val="clear" w:color="auto" w:fill="A7A9AC"/>
          </w:tcPr>
          <w:p>
            <w:pPr>
              <w:pStyle w:val="TableParagraph"/>
              <w:rPr>
                <w:b/>
                <w:sz w:val="18"/>
              </w:rPr>
            </w:pPr>
          </w:p>
          <w:p>
            <w:pPr>
              <w:pStyle w:val="TableParagraph"/>
              <w:spacing w:before="72"/>
              <w:rPr>
                <w:b/>
                <w:sz w:val="18"/>
              </w:rPr>
            </w:pPr>
          </w:p>
          <w:p>
            <w:pPr>
              <w:pStyle w:val="TableParagraph"/>
              <w:ind w:left="80"/>
              <w:rPr>
                <w:b/>
                <w:sz w:val="18"/>
              </w:rPr>
            </w:pPr>
            <w:r>
              <w:rPr>
                <w:b/>
                <w:color w:val="FFFFFF"/>
                <w:spacing w:val="-2"/>
                <w:sz w:val="18"/>
              </w:rPr>
              <w:t>Interventions</w:t>
            </w:r>
          </w:p>
        </w:tc>
        <w:tc>
          <w:tcPr>
            <w:tcW w:w="5012" w:type="dxa"/>
            <w:gridSpan w:val="2"/>
            <w:tcBorders>
              <w:left w:val="single" w:sz="4" w:space="0" w:color="FFFFFF"/>
              <w:right w:val="single" w:sz="4" w:space="0" w:color="FFFFFF"/>
            </w:tcBorders>
            <w:shd w:val="clear" w:color="auto" w:fill="A7A9AC"/>
          </w:tcPr>
          <w:p>
            <w:pPr>
              <w:pStyle w:val="TableParagraph"/>
              <w:spacing w:line="204" w:lineRule="exact" w:before="186"/>
              <w:ind w:left="3801"/>
              <w:rPr>
                <w:b/>
                <w:sz w:val="18"/>
              </w:rPr>
            </w:pPr>
            <w:r>
              <w:rPr>
                <w:b/>
                <w:color w:val="FFFFFF"/>
                <w:sz w:val="18"/>
              </w:rPr>
              <w:t>Projected</w:t>
            </w:r>
            <w:r>
              <w:rPr>
                <w:b/>
                <w:color w:val="FFFFFF"/>
                <w:spacing w:val="-13"/>
                <w:sz w:val="18"/>
              </w:rPr>
              <w:t> </w:t>
            </w:r>
            <w:r>
              <w:rPr>
                <w:b/>
                <w:color w:val="FFFFFF"/>
                <w:spacing w:val="-5"/>
                <w:sz w:val="18"/>
              </w:rPr>
              <w:t>(or</w:t>
            </w:r>
          </w:p>
          <w:p>
            <w:pPr>
              <w:pStyle w:val="TableParagraph"/>
              <w:tabs>
                <w:tab w:pos="3801" w:val="left" w:leader="none"/>
              </w:tabs>
              <w:spacing w:line="115" w:lineRule="auto" w:before="84"/>
              <w:ind w:left="3801" w:right="241" w:hanging="3712"/>
              <w:rPr>
                <w:b/>
                <w:sz w:val="18"/>
              </w:rPr>
            </w:pPr>
            <w:r>
              <w:rPr>
                <w:b/>
                <w:color w:val="FFFFFF"/>
                <w:sz w:val="18"/>
              </w:rPr>
              <w:t>Family of Measures</w:t>
              <w:tab/>
            </w:r>
            <w:r>
              <w:rPr>
                <w:b/>
                <w:color w:val="FFFFFF"/>
                <w:spacing w:val="-2"/>
                <w:position w:val="10"/>
                <w:sz w:val="18"/>
              </w:rPr>
              <w:t>completed) </w:t>
            </w:r>
            <w:r>
              <w:rPr>
                <w:b/>
                <w:color w:val="FFFFFF"/>
                <w:sz w:val="18"/>
              </w:rPr>
              <w:t>Year 1</w:t>
            </w:r>
          </w:p>
          <w:p>
            <w:pPr>
              <w:pStyle w:val="TableParagraph"/>
              <w:spacing w:before="13"/>
              <w:ind w:left="3801"/>
              <w:rPr>
                <w:b/>
                <w:sz w:val="18"/>
              </w:rPr>
            </w:pPr>
            <w:r>
              <w:rPr>
                <w:b/>
                <w:color w:val="FFFFFF"/>
                <w:spacing w:val="-2"/>
                <w:sz w:val="18"/>
              </w:rPr>
              <w:t>Intervention</w:t>
            </w:r>
          </w:p>
        </w:tc>
        <w:tc>
          <w:tcPr>
            <w:tcW w:w="2967" w:type="dxa"/>
            <w:tcBorders>
              <w:left w:val="single" w:sz="4" w:space="0" w:color="FFFFFF"/>
              <w:right w:val="single" w:sz="4" w:space="0" w:color="FFFFFF"/>
            </w:tcBorders>
            <w:shd w:val="clear" w:color="auto" w:fill="A7A9AC"/>
          </w:tcPr>
          <w:p>
            <w:pPr>
              <w:pStyle w:val="TableParagraph"/>
              <w:rPr>
                <w:b/>
                <w:sz w:val="18"/>
              </w:rPr>
            </w:pPr>
          </w:p>
          <w:p>
            <w:pPr>
              <w:pStyle w:val="TableParagraph"/>
              <w:spacing w:before="71"/>
              <w:rPr>
                <w:b/>
                <w:sz w:val="18"/>
              </w:rPr>
            </w:pPr>
          </w:p>
          <w:p>
            <w:pPr>
              <w:pStyle w:val="TableParagraph"/>
              <w:spacing w:before="1"/>
              <w:ind w:left="79"/>
              <w:rPr>
                <w:b/>
                <w:sz w:val="18"/>
              </w:rPr>
            </w:pPr>
            <w:r>
              <w:rPr>
                <w:b/>
                <w:color w:val="FFFFFF"/>
                <w:spacing w:val="-2"/>
                <w:sz w:val="18"/>
              </w:rPr>
              <w:t>Projected</w:t>
            </w:r>
            <w:r>
              <w:rPr>
                <w:b/>
                <w:color w:val="FFFFFF"/>
                <w:spacing w:val="-6"/>
                <w:sz w:val="18"/>
              </w:rPr>
              <w:t> </w:t>
            </w:r>
            <w:r>
              <w:rPr>
                <w:b/>
                <w:color w:val="FFFFFF"/>
                <w:spacing w:val="-2"/>
                <w:sz w:val="18"/>
              </w:rPr>
              <w:t>Year</w:t>
            </w:r>
            <w:r>
              <w:rPr>
                <w:b/>
                <w:color w:val="FFFFFF"/>
                <w:spacing w:val="-5"/>
                <w:sz w:val="18"/>
              </w:rPr>
              <w:t> </w:t>
            </w:r>
            <w:r>
              <w:rPr>
                <w:b/>
                <w:color w:val="FFFFFF"/>
                <w:spacing w:val="-12"/>
                <w:sz w:val="18"/>
              </w:rPr>
              <w:t>2</w:t>
            </w:r>
          </w:p>
        </w:tc>
        <w:tc>
          <w:tcPr>
            <w:tcW w:w="2830" w:type="dxa"/>
            <w:tcBorders>
              <w:left w:val="single" w:sz="4" w:space="0" w:color="FFFFFF"/>
              <w:right w:val="single" w:sz="4" w:space="0" w:color="FFFFFF"/>
            </w:tcBorders>
            <w:shd w:val="clear" w:color="auto" w:fill="A7A9AC"/>
          </w:tcPr>
          <w:p>
            <w:pPr>
              <w:pStyle w:val="TableParagraph"/>
              <w:rPr>
                <w:b/>
                <w:sz w:val="18"/>
              </w:rPr>
            </w:pPr>
          </w:p>
          <w:p>
            <w:pPr>
              <w:pStyle w:val="TableParagraph"/>
              <w:spacing w:before="71"/>
              <w:rPr>
                <w:b/>
                <w:sz w:val="18"/>
              </w:rPr>
            </w:pPr>
          </w:p>
          <w:p>
            <w:pPr>
              <w:pStyle w:val="TableParagraph"/>
              <w:spacing w:before="1"/>
              <w:ind w:left="78"/>
              <w:rPr>
                <w:b/>
                <w:sz w:val="18"/>
              </w:rPr>
            </w:pPr>
            <w:r>
              <w:rPr>
                <w:b/>
                <w:color w:val="FFFFFF"/>
                <w:sz w:val="18"/>
              </w:rPr>
              <w:t>Projected</w:t>
            </w:r>
            <w:r>
              <w:rPr>
                <w:b/>
                <w:color w:val="FFFFFF"/>
                <w:spacing w:val="-10"/>
                <w:sz w:val="18"/>
              </w:rPr>
              <w:t> </w:t>
            </w:r>
            <w:r>
              <w:rPr>
                <w:b/>
                <w:color w:val="FFFFFF"/>
                <w:sz w:val="18"/>
              </w:rPr>
              <w:t>Year</w:t>
            </w:r>
            <w:r>
              <w:rPr>
                <w:b/>
                <w:color w:val="FFFFFF"/>
                <w:spacing w:val="-9"/>
                <w:sz w:val="18"/>
              </w:rPr>
              <w:t> </w:t>
            </w:r>
            <w:r>
              <w:rPr>
                <w:b/>
                <w:color w:val="FFFFFF"/>
                <w:sz w:val="18"/>
              </w:rPr>
              <w:t>3</w:t>
            </w:r>
            <w:r>
              <w:rPr>
                <w:b/>
                <w:color w:val="FFFFFF"/>
                <w:spacing w:val="-9"/>
                <w:sz w:val="18"/>
              </w:rPr>
              <w:t> </w:t>
            </w:r>
            <w:r>
              <w:rPr>
                <w:b/>
                <w:color w:val="FFFFFF"/>
                <w:spacing w:val="-2"/>
                <w:sz w:val="18"/>
              </w:rPr>
              <w:t>Interventions</w:t>
            </w:r>
          </w:p>
        </w:tc>
        <w:tc>
          <w:tcPr>
            <w:tcW w:w="1498" w:type="dxa"/>
            <w:tcBorders>
              <w:left w:val="single" w:sz="4" w:space="0" w:color="FFFFFF"/>
            </w:tcBorders>
            <w:shd w:val="clear" w:color="auto" w:fill="A7A9AC"/>
          </w:tcPr>
          <w:p>
            <w:pPr>
              <w:pStyle w:val="TableParagraph"/>
              <w:spacing w:before="183"/>
              <w:rPr>
                <w:b/>
                <w:sz w:val="18"/>
              </w:rPr>
            </w:pPr>
          </w:p>
          <w:p>
            <w:pPr>
              <w:pStyle w:val="TableParagraph"/>
              <w:spacing w:line="232" w:lineRule="auto" w:before="1"/>
              <w:ind w:left="78"/>
              <w:rPr>
                <w:b/>
                <w:sz w:val="18"/>
              </w:rPr>
            </w:pPr>
            <w:r>
              <w:rPr>
                <w:b/>
                <w:color w:val="FFFFFF"/>
                <w:spacing w:val="-2"/>
                <w:sz w:val="18"/>
              </w:rPr>
              <w:t>Implementation Partner</w:t>
            </w:r>
          </w:p>
        </w:tc>
        <w:tc>
          <w:tcPr>
            <w:tcW w:w="1551" w:type="dxa"/>
            <w:shd w:val="clear" w:color="auto" w:fill="A7A9AC"/>
          </w:tcPr>
          <w:p>
            <w:pPr>
              <w:pStyle w:val="TableParagraph"/>
              <w:spacing w:before="183"/>
              <w:rPr>
                <w:b/>
                <w:sz w:val="18"/>
              </w:rPr>
            </w:pPr>
          </w:p>
          <w:p>
            <w:pPr>
              <w:pStyle w:val="TableParagraph"/>
              <w:spacing w:line="232" w:lineRule="auto" w:before="1"/>
              <w:ind w:left="77" w:right="218"/>
              <w:rPr>
                <w:b/>
                <w:sz w:val="18"/>
              </w:rPr>
            </w:pPr>
            <w:r>
              <w:rPr>
                <w:b/>
                <w:color w:val="FFFFFF"/>
                <w:spacing w:val="-4"/>
                <w:sz w:val="18"/>
              </w:rPr>
              <w:t>Partner</w:t>
            </w:r>
            <w:r>
              <w:rPr>
                <w:b/>
                <w:color w:val="FFFFFF"/>
                <w:spacing w:val="-9"/>
                <w:sz w:val="18"/>
              </w:rPr>
              <w:t> </w:t>
            </w:r>
            <w:r>
              <w:rPr>
                <w:b/>
                <w:color w:val="FFFFFF"/>
                <w:spacing w:val="-4"/>
                <w:sz w:val="18"/>
              </w:rPr>
              <w:t>Role(s) </w:t>
            </w:r>
            <w:r>
              <w:rPr>
                <w:b/>
                <w:color w:val="FFFFFF"/>
                <w:sz w:val="18"/>
              </w:rPr>
              <w:t>and</w:t>
            </w:r>
            <w:r>
              <w:rPr>
                <w:b/>
                <w:color w:val="FFFFFF"/>
                <w:spacing w:val="-7"/>
                <w:sz w:val="18"/>
              </w:rPr>
              <w:t> Resources</w:t>
            </w:r>
          </w:p>
        </w:tc>
      </w:tr>
      <w:tr>
        <w:trPr>
          <w:trHeight w:val="3550" w:hRule="atLeast"/>
        </w:trPr>
        <w:tc>
          <w:tcPr>
            <w:tcW w:w="1180" w:type="dxa"/>
            <w:vMerge w:val="restart"/>
            <w:shd w:val="clear" w:color="auto" w:fill="E6E7E8"/>
          </w:tcPr>
          <w:p>
            <w:pPr>
              <w:pStyle w:val="TableParagraph"/>
              <w:spacing w:line="232" w:lineRule="auto" w:before="100"/>
              <w:ind w:left="89" w:right="363"/>
              <w:jc w:val="both"/>
              <w:rPr>
                <w:sz w:val="18"/>
              </w:rPr>
            </w:pPr>
            <w:r>
              <w:rPr>
                <w:color w:val="105C84"/>
                <w:spacing w:val="-2"/>
                <w:sz w:val="18"/>
              </w:rPr>
              <w:t>Prevent Chronic </w:t>
            </w:r>
            <w:r>
              <w:rPr>
                <w:color w:val="105C84"/>
                <w:spacing w:val="-6"/>
                <w:sz w:val="18"/>
              </w:rPr>
              <w:t>Diseases</w:t>
            </w:r>
          </w:p>
        </w:tc>
        <w:tc>
          <w:tcPr>
            <w:tcW w:w="1267" w:type="dxa"/>
            <w:vMerge w:val="restart"/>
          </w:tcPr>
          <w:p>
            <w:pPr>
              <w:pStyle w:val="TableParagraph"/>
              <w:spacing w:line="232" w:lineRule="auto" w:before="100"/>
              <w:ind w:left="90" w:right="100"/>
              <w:rPr>
                <w:sz w:val="18"/>
              </w:rPr>
            </w:pPr>
            <w:r>
              <w:rPr>
                <w:color w:val="105C84"/>
                <w:sz w:val="18"/>
              </w:rPr>
              <w:t>Focus Area 4:</w:t>
            </w:r>
            <w:r>
              <w:rPr>
                <w:color w:val="105C84"/>
                <w:spacing w:val="-13"/>
                <w:sz w:val="18"/>
              </w:rPr>
              <w:t> </w:t>
            </w:r>
            <w:r>
              <w:rPr>
                <w:color w:val="105C84"/>
                <w:sz w:val="18"/>
              </w:rPr>
              <w:t>Preventive care and </w:t>
            </w:r>
            <w:r>
              <w:rPr>
                <w:color w:val="105C84"/>
                <w:spacing w:val="-2"/>
                <w:sz w:val="18"/>
              </w:rPr>
              <w:t>management</w:t>
            </w:r>
          </w:p>
        </w:tc>
        <w:tc>
          <w:tcPr>
            <w:tcW w:w="1267" w:type="dxa"/>
            <w:vMerge w:val="restart"/>
          </w:tcPr>
          <w:p>
            <w:pPr>
              <w:pStyle w:val="TableParagraph"/>
              <w:spacing w:line="232" w:lineRule="auto" w:before="100"/>
              <w:ind w:left="90" w:right="384"/>
              <w:rPr>
                <w:sz w:val="18"/>
              </w:rPr>
            </w:pPr>
            <w:r>
              <w:rPr>
                <w:color w:val="105C84"/>
                <w:sz w:val="18"/>
              </w:rPr>
              <w:t>Goal 4.1 </w:t>
            </w:r>
            <w:r>
              <w:rPr>
                <w:color w:val="105C84"/>
                <w:spacing w:val="-2"/>
                <w:sz w:val="18"/>
              </w:rPr>
              <w:t>Increase cancer screening rates</w:t>
            </w:r>
          </w:p>
        </w:tc>
        <w:tc>
          <w:tcPr>
            <w:tcW w:w="1728" w:type="dxa"/>
            <w:vMerge w:val="restart"/>
          </w:tcPr>
          <w:p>
            <w:pPr>
              <w:pStyle w:val="TableParagraph"/>
              <w:spacing w:line="232" w:lineRule="auto" w:before="100"/>
              <w:ind w:left="90" w:right="199"/>
              <w:rPr>
                <w:sz w:val="18"/>
              </w:rPr>
            </w:pPr>
            <w:r>
              <w:rPr>
                <w:color w:val="105C84"/>
                <w:spacing w:val="-2"/>
                <w:sz w:val="18"/>
              </w:rPr>
              <w:t>4.1.2</w:t>
            </w:r>
            <w:r>
              <w:rPr>
                <w:color w:val="105C84"/>
                <w:spacing w:val="-13"/>
                <w:sz w:val="18"/>
              </w:rPr>
              <w:t> </w:t>
            </w:r>
            <w:r>
              <w:rPr>
                <w:color w:val="105C84"/>
                <w:spacing w:val="-2"/>
                <w:sz w:val="18"/>
              </w:rPr>
              <w:t>Increase</w:t>
            </w:r>
            <w:r>
              <w:rPr>
                <w:color w:val="105C84"/>
                <w:spacing w:val="-10"/>
                <w:sz w:val="18"/>
              </w:rPr>
              <w:t> </w:t>
            </w:r>
            <w:r>
              <w:rPr>
                <w:color w:val="105C84"/>
                <w:spacing w:val="-2"/>
                <w:sz w:val="18"/>
              </w:rPr>
              <w:t>the </w:t>
            </w:r>
            <w:r>
              <w:rPr>
                <w:color w:val="105C84"/>
                <w:sz w:val="18"/>
              </w:rPr>
              <w:t>percentage of women with an annual</w:t>
            </w:r>
            <w:r>
              <w:rPr>
                <w:color w:val="105C84"/>
                <w:spacing w:val="-13"/>
                <w:sz w:val="18"/>
              </w:rPr>
              <w:t> </w:t>
            </w:r>
            <w:r>
              <w:rPr>
                <w:color w:val="105C84"/>
                <w:sz w:val="18"/>
              </w:rPr>
              <w:t>household</w:t>
            </w:r>
            <w:r>
              <w:rPr>
                <w:color w:val="105C84"/>
                <w:sz w:val="18"/>
              </w:rPr>
              <w:t> income less</w:t>
            </w:r>
          </w:p>
          <w:p>
            <w:pPr>
              <w:pStyle w:val="TableParagraph"/>
              <w:spacing w:line="232" w:lineRule="auto"/>
              <w:ind w:left="90" w:right="610"/>
              <w:rPr>
                <w:sz w:val="18"/>
              </w:rPr>
            </w:pPr>
            <w:r>
              <w:rPr>
                <w:color w:val="105C84"/>
                <w:spacing w:val="-4"/>
                <w:sz w:val="18"/>
              </w:rPr>
              <w:t>than</w:t>
            </w:r>
            <w:r>
              <w:rPr>
                <w:color w:val="105C84"/>
                <w:spacing w:val="-9"/>
                <w:sz w:val="18"/>
              </w:rPr>
              <w:t> </w:t>
            </w:r>
            <w:r>
              <w:rPr>
                <w:color w:val="105C84"/>
                <w:spacing w:val="-4"/>
                <w:sz w:val="18"/>
              </w:rPr>
              <w:t>$25,000 </w:t>
            </w:r>
            <w:r>
              <w:rPr>
                <w:color w:val="105C84"/>
                <w:sz w:val="18"/>
              </w:rPr>
              <w:t>who receive </w:t>
            </w:r>
            <w:r>
              <w:rPr>
                <w:color w:val="105C84"/>
                <w:spacing w:val="-6"/>
                <w:sz w:val="18"/>
              </w:rPr>
              <w:t>a</w:t>
            </w:r>
            <w:r>
              <w:rPr>
                <w:color w:val="105C84"/>
                <w:spacing w:val="-7"/>
                <w:sz w:val="18"/>
              </w:rPr>
              <w:t> </w:t>
            </w:r>
            <w:r>
              <w:rPr>
                <w:color w:val="105C84"/>
                <w:spacing w:val="-6"/>
                <w:sz w:val="18"/>
              </w:rPr>
              <w:t>CERVICAL </w:t>
            </w:r>
            <w:r>
              <w:rPr>
                <w:color w:val="105C84"/>
                <w:spacing w:val="-2"/>
                <w:sz w:val="18"/>
              </w:rPr>
              <w:t>CANCER</w:t>
            </w:r>
          </w:p>
          <w:p>
            <w:pPr>
              <w:pStyle w:val="TableParagraph"/>
              <w:spacing w:line="232" w:lineRule="auto"/>
              <w:ind w:left="90"/>
              <w:rPr>
                <w:sz w:val="18"/>
              </w:rPr>
            </w:pPr>
            <w:r>
              <w:rPr>
                <w:color w:val="105C84"/>
                <w:spacing w:val="-6"/>
                <w:sz w:val="18"/>
              </w:rPr>
              <w:t>SCREENING</w:t>
            </w:r>
            <w:r>
              <w:rPr>
                <w:color w:val="105C84"/>
                <w:spacing w:val="-7"/>
                <w:sz w:val="18"/>
              </w:rPr>
              <w:t> </w:t>
            </w:r>
            <w:r>
              <w:rPr>
                <w:color w:val="105C84"/>
                <w:spacing w:val="-6"/>
                <w:sz w:val="18"/>
              </w:rPr>
              <w:t>based </w:t>
            </w:r>
            <w:r>
              <w:rPr>
                <w:color w:val="105C84"/>
                <w:sz w:val="18"/>
              </w:rPr>
              <w:t>on most recent </w:t>
            </w:r>
            <w:r>
              <w:rPr>
                <w:color w:val="105C84"/>
                <w:spacing w:val="-2"/>
                <w:sz w:val="18"/>
              </w:rPr>
              <w:t>guidelines</w:t>
            </w:r>
          </w:p>
        </w:tc>
        <w:tc>
          <w:tcPr>
            <w:tcW w:w="1066" w:type="dxa"/>
            <w:vMerge w:val="restart"/>
          </w:tcPr>
          <w:p>
            <w:pPr>
              <w:pStyle w:val="TableParagraph"/>
              <w:spacing w:line="203" w:lineRule="exact" w:before="95"/>
              <w:ind w:left="90"/>
              <w:rPr>
                <w:sz w:val="18"/>
              </w:rPr>
            </w:pPr>
            <w:r>
              <w:rPr>
                <w:color w:val="105C84"/>
                <w:sz w:val="18"/>
              </w:rPr>
              <w:t>Low</w:t>
            </w:r>
            <w:r>
              <w:rPr>
                <w:color w:val="105C84"/>
                <w:spacing w:val="-11"/>
                <w:sz w:val="18"/>
              </w:rPr>
              <w:t> </w:t>
            </w:r>
            <w:r>
              <w:rPr>
                <w:color w:val="105C84"/>
                <w:spacing w:val="-4"/>
                <w:sz w:val="18"/>
              </w:rPr>
              <w:t>SES,</w:t>
            </w:r>
          </w:p>
          <w:p>
            <w:pPr>
              <w:pStyle w:val="TableParagraph"/>
              <w:spacing w:line="232" w:lineRule="auto" w:before="2"/>
              <w:ind w:left="90" w:right="376"/>
              <w:rPr>
                <w:sz w:val="18"/>
              </w:rPr>
            </w:pPr>
            <w:r>
              <w:rPr>
                <w:color w:val="105C84"/>
                <w:sz w:val="18"/>
              </w:rPr>
              <w:t>un or </w:t>
            </w:r>
            <w:r>
              <w:rPr>
                <w:color w:val="105C84"/>
                <w:spacing w:val="-2"/>
                <w:sz w:val="18"/>
              </w:rPr>
              <w:t>under-insured</w:t>
            </w:r>
          </w:p>
        </w:tc>
        <w:tc>
          <w:tcPr>
            <w:tcW w:w="1930" w:type="dxa"/>
            <w:vMerge w:val="restart"/>
          </w:tcPr>
          <w:p>
            <w:pPr>
              <w:pStyle w:val="TableParagraph"/>
              <w:spacing w:line="232" w:lineRule="auto" w:before="100"/>
              <w:ind w:left="90" w:right="97"/>
              <w:rPr>
                <w:sz w:val="18"/>
              </w:rPr>
            </w:pPr>
            <w:r>
              <w:rPr>
                <w:color w:val="105C84"/>
                <w:spacing w:val="-2"/>
                <w:sz w:val="18"/>
              </w:rPr>
              <w:t>4.1.3</w:t>
            </w:r>
            <w:r>
              <w:rPr>
                <w:color w:val="105C84"/>
                <w:spacing w:val="-11"/>
                <w:sz w:val="18"/>
              </w:rPr>
              <w:t> </w:t>
            </w:r>
            <w:r>
              <w:rPr>
                <w:color w:val="105C84"/>
                <w:spacing w:val="-2"/>
                <w:sz w:val="18"/>
              </w:rPr>
              <w:t>Use</w:t>
            </w:r>
            <w:r>
              <w:rPr>
                <w:color w:val="105C84"/>
                <w:spacing w:val="-10"/>
                <w:sz w:val="18"/>
              </w:rPr>
              <w:t> </w:t>
            </w:r>
            <w:r>
              <w:rPr>
                <w:color w:val="105C84"/>
                <w:spacing w:val="-2"/>
                <w:sz w:val="18"/>
              </w:rPr>
              <w:t>small</w:t>
            </w:r>
            <w:r>
              <w:rPr>
                <w:color w:val="105C84"/>
                <w:spacing w:val="-11"/>
                <w:sz w:val="18"/>
              </w:rPr>
              <w:t> </w:t>
            </w:r>
            <w:r>
              <w:rPr>
                <w:color w:val="105C84"/>
                <w:spacing w:val="-2"/>
                <w:sz w:val="18"/>
              </w:rPr>
              <w:t>medi</w:t>
            </w:r>
            <w:r>
              <w:rPr>
                <w:color w:val="105C84"/>
                <w:spacing w:val="-2"/>
                <w:sz w:val="18"/>
              </w:rPr>
              <w:t>a</w:t>
            </w:r>
            <w:r>
              <w:rPr>
                <w:color w:val="105C84"/>
                <w:spacing w:val="-2"/>
                <w:sz w:val="18"/>
              </w:rPr>
              <w:t> </w:t>
            </w:r>
            <w:r>
              <w:rPr>
                <w:color w:val="105C84"/>
                <w:sz w:val="18"/>
              </w:rPr>
              <w:t>such as videos, printed materials (letters, brochures, and newsletters)</w:t>
            </w:r>
          </w:p>
          <w:p>
            <w:pPr>
              <w:pStyle w:val="TableParagraph"/>
              <w:spacing w:line="232" w:lineRule="auto"/>
              <w:ind w:left="90" w:right="427"/>
              <w:rPr>
                <w:sz w:val="18"/>
              </w:rPr>
            </w:pPr>
            <w:r>
              <w:rPr>
                <w:color w:val="105C84"/>
                <w:sz w:val="18"/>
              </w:rPr>
              <w:t>and health </w:t>
            </w:r>
            <w:r>
              <w:rPr>
                <w:color w:val="105C84"/>
                <w:spacing w:val="-2"/>
                <w:sz w:val="18"/>
              </w:rPr>
              <w:t>communications </w:t>
            </w:r>
            <w:r>
              <w:rPr>
                <w:color w:val="105C84"/>
                <w:sz w:val="18"/>
              </w:rPr>
              <w:t>to build public</w:t>
            </w:r>
          </w:p>
          <w:p>
            <w:pPr>
              <w:pStyle w:val="TableParagraph"/>
              <w:spacing w:line="200" w:lineRule="exact"/>
              <w:ind w:left="90"/>
              <w:rPr>
                <w:sz w:val="18"/>
              </w:rPr>
            </w:pPr>
            <w:r>
              <w:rPr>
                <w:color w:val="105C84"/>
                <w:spacing w:val="-4"/>
                <w:sz w:val="18"/>
              </w:rPr>
              <w:t>awareness</w:t>
            </w:r>
            <w:r>
              <w:rPr>
                <w:color w:val="105C84"/>
                <w:spacing w:val="-8"/>
                <w:sz w:val="18"/>
              </w:rPr>
              <w:t> </w:t>
            </w:r>
            <w:r>
              <w:rPr>
                <w:color w:val="105C84"/>
                <w:spacing w:val="-4"/>
                <w:sz w:val="18"/>
              </w:rPr>
              <w:t>&amp;</w:t>
            </w:r>
            <w:r>
              <w:rPr>
                <w:color w:val="105C84"/>
                <w:spacing w:val="-7"/>
                <w:sz w:val="18"/>
              </w:rPr>
              <w:t> </w:t>
            </w:r>
            <w:r>
              <w:rPr>
                <w:color w:val="105C84"/>
                <w:spacing w:val="-4"/>
                <w:sz w:val="18"/>
              </w:rPr>
              <w:t>demand</w:t>
            </w:r>
          </w:p>
        </w:tc>
        <w:tc>
          <w:tcPr>
            <w:tcW w:w="2715" w:type="dxa"/>
            <w:vMerge w:val="restart"/>
            <w:tcBorders>
              <w:right w:val="nil"/>
            </w:tcBorders>
          </w:tcPr>
          <w:p>
            <w:pPr>
              <w:pStyle w:val="TableParagraph"/>
              <w:spacing w:line="232" w:lineRule="auto" w:before="100"/>
              <w:ind w:left="89" w:right="1258"/>
              <w:rPr>
                <w:sz w:val="18"/>
              </w:rPr>
            </w:pPr>
            <w:r>
              <w:rPr>
                <w:color w:val="105C84"/>
                <w:w w:val="105"/>
                <w:sz w:val="18"/>
              </w:rPr>
              <w:t>Number &amp; type of</w:t>
            </w:r>
            <w:r>
              <w:rPr>
                <w:color w:val="105C84"/>
                <w:spacing w:val="-1"/>
                <w:w w:val="105"/>
                <w:sz w:val="18"/>
              </w:rPr>
              <w:t> </w:t>
            </w:r>
            <w:r>
              <w:rPr>
                <w:color w:val="105C84"/>
                <w:w w:val="105"/>
                <w:sz w:val="18"/>
              </w:rPr>
              <w:t>locations where</w:t>
            </w:r>
            <w:r>
              <w:rPr>
                <w:color w:val="105C84"/>
                <w:spacing w:val="-14"/>
                <w:w w:val="105"/>
                <w:sz w:val="18"/>
              </w:rPr>
              <w:t> </w:t>
            </w:r>
            <w:r>
              <w:rPr>
                <w:color w:val="105C84"/>
                <w:w w:val="105"/>
                <w:sz w:val="18"/>
              </w:rPr>
              <w:t>materials </w:t>
            </w:r>
            <w:r>
              <w:rPr>
                <w:color w:val="105C84"/>
                <w:spacing w:val="-2"/>
                <w:w w:val="105"/>
                <w:sz w:val="18"/>
              </w:rPr>
              <w:t>were</w:t>
            </w:r>
            <w:r>
              <w:rPr>
                <w:color w:val="105C84"/>
                <w:spacing w:val="-12"/>
                <w:w w:val="105"/>
                <w:sz w:val="18"/>
              </w:rPr>
              <w:t> </w:t>
            </w:r>
            <w:r>
              <w:rPr>
                <w:color w:val="105C84"/>
                <w:spacing w:val="-2"/>
                <w:w w:val="105"/>
                <w:sz w:val="18"/>
              </w:rPr>
              <w:t>distributed. </w:t>
            </w:r>
            <w:r>
              <w:rPr>
                <w:color w:val="105C84"/>
                <w:w w:val="105"/>
                <w:sz w:val="18"/>
              </w:rPr>
              <w:t>Change</w:t>
            </w:r>
            <w:r>
              <w:rPr>
                <w:color w:val="105C84"/>
                <w:spacing w:val="-1"/>
                <w:w w:val="105"/>
                <w:sz w:val="18"/>
              </w:rPr>
              <w:t> </w:t>
            </w:r>
            <w:r>
              <w:rPr>
                <w:color w:val="105C84"/>
                <w:w w:val="105"/>
                <w:sz w:val="18"/>
              </w:rPr>
              <w:t>in knowledge</w:t>
            </w:r>
            <w:r>
              <w:rPr>
                <w:color w:val="105C84"/>
                <w:spacing w:val="-1"/>
                <w:w w:val="105"/>
                <w:sz w:val="18"/>
              </w:rPr>
              <w:t> </w:t>
            </w:r>
            <w:r>
              <w:rPr>
                <w:color w:val="105C84"/>
                <w:w w:val="105"/>
                <w:sz w:val="18"/>
              </w:rPr>
              <w:t>&amp; awareness</w:t>
            </w:r>
            <w:r>
              <w:rPr>
                <w:color w:val="105C84"/>
                <w:spacing w:val="-1"/>
                <w:w w:val="105"/>
                <w:sz w:val="18"/>
              </w:rPr>
              <w:t> </w:t>
            </w:r>
            <w:r>
              <w:rPr>
                <w:color w:val="105C84"/>
                <w:w w:val="105"/>
                <w:sz w:val="18"/>
              </w:rPr>
              <w:t>of need for cancer</w:t>
            </w:r>
          </w:p>
          <w:p>
            <w:pPr>
              <w:pStyle w:val="TableParagraph"/>
              <w:spacing w:line="232" w:lineRule="auto"/>
              <w:ind w:left="89" w:right="779"/>
              <w:rPr>
                <w:sz w:val="18"/>
              </w:rPr>
            </w:pPr>
            <w:r>
              <w:rPr>
                <w:color w:val="105C84"/>
                <w:sz w:val="18"/>
              </w:rPr>
              <w:t>screenings among groups reached through</w:t>
            </w:r>
            <w:r>
              <w:rPr>
                <w:color w:val="105C84"/>
                <w:spacing w:val="-10"/>
                <w:sz w:val="18"/>
              </w:rPr>
              <w:t> </w:t>
            </w:r>
            <w:r>
              <w:rPr>
                <w:color w:val="105C84"/>
                <w:sz w:val="18"/>
              </w:rPr>
              <w:t>small</w:t>
            </w:r>
            <w:r>
              <w:rPr>
                <w:color w:val="105C84"/>
                <w:spacing w:val="-10"/>
                <w:sz w:val="18"/>
              </w:rPr>
              <w:t> </w:t>
            </w:r>
            <w:r>
              <w:rPr>
                <w:color w:val="105C84"/>
                <w:sz w:val="18"/>
              </w:rPr>
              <w:t>media </w:t>
            </w:r>
            <w:r>
              <w:rPr>
                <w:color w:val="105C84"/>
                <w:spacing w:val="-2"/>
                <w:sz w:val="18"/>
              </w:rPr>
              <w:t>dissemination.</w:t>
            </w:r>
          </w:p>
        </w:tc>
        <w:tc>
          <w:tcPr>
            <w:tcW w:w="2297" w:type="dxa"/>
            <w:tcBorders>
              <w:left w:val="nil"/>
            </w:tcBorders>
          </w:tcPr>
          <w:p>
            <w:pPr>
              <w:pStyle w:val="TableParagraph"/>
              <w:spacing w:line="232" w:lineRule="auto" w:before="100"/>
              <w:ind w:left="1091" w:right="344"/>
              <w:rPr>
                <w:sz w:val="18"/>
              </w:rPr>
            </w:pPr>
            <w:r>
              <w:rPr>
                <w:color w:val="105C84"/>
                <w:spacing w:val="-2"/>
                <w:sz w:val="18"/>
              </w:rPr>
              <w:t>Promoted Cervical Cancer </w:t>
            </w:r>
            <w:r>
              <w:rPr>
                <w:color w:val="105C84"/>
                <w:spacing w:val="-6"/>
                <w:sz w:val="18"/>
              </w:rPr>
              <w:t>Awareness </w:t>
            </w:r>
            <w:r>
              <w:rPr>
                <w:color w:val="105C84"/>
                <w:sz w:val="18"/>
              </w:rPr>
              <w:t>month on </w:t>
            </w:r>
            <w:r>
              <w:rPr>
                <w:color w:val="105C84"/>
                <w:spacing w:val="-2"/>
                <w:sz w:val="18"/>
              </w:rPr>
              <w:t>Facebook.</w:t>
            </w:r>
          </w:p>
        </w:tc>
        <w:tc>
          <w:tcPr>
            <w:tcW w:w="2967" w:type="dxa"/>
            <w:vMerge w:val="restart"/>
          </w:tcPr>
          <w:p>
            <w:pPr>
              <w:pStyle w:val="TableParagraph"/>
              <w:spacing w:line="232" w:lineRule="auto" w:before="100"/>
              <w:ind w:left="89" w:right="116"/>
              <w:rPr>
                <w:sz w:val="18"/>
              </w:rPr>
            </w:pPr>
            <w:r>
              <w:rPr>
                <w:color w:val="105C84"/>
                <w:sz w:val="18"/>
              </w:rPr>
              <w:t>YCPH will set up a display at 2 community locations that are visible</w:t>
            </w:r>
            <w:r>
              <w:rPr>
                <w:color w:val="105C84"/>
                <w:spacing w:val="-13"/>
                <w:sz w:val="18"/>
              </w:rPr>
              <w:t> </w:t>
            </w:r>
            <w:r>
              <w:rPr>
                <w:color w:val="105C84"/>
                <w:sz w:val="18"/>
              </w:rPr>
              <w:t>to</w:t>
            </w:r>
            <w:r>
              <w:rPr>
                <w:color w:val="105C84"/>
                <w:spacing w:val="-12"/>
                <w:sz w:val="18"/>
              </w:rPr>
              <w:t> </w:t>
            </w:r>
            <w:r>
              <w:rPr>
                <w:color w:val="105C84"/>
                <w:sz w:val="18"/>
              </w:rPr>
              <w:t>women</w:t>
            </w:r>
            <w:r>
              <w:rPr>
                <w:color w:val="105C84"/>
                <w:spacing w:val="-13"/>
                <w:sz w:val="18"/>
              </w:rPr>
              <w:t> </w:t>
            </w:r>
            <w:r>
              <w:rPr>
                <w:color w:val="105C84"/>
                <w:sz w:val="18"/>
              </w:rPr>
              <w:t>of</w:t>
            </w:r>
            <w:r>
              <w:rPr>
                <w:color w:val="105C84"/>
                <w:spacing w:val="-12"/>
                <w:sz w:val="18"/>
              </w:rPr>
              <w:t> </w:t>
            </w:r>
            <w:r>
              <w:rPr>
                <w:color w:val="105C84"/>
                <w:sz w:val="18"/>
              </w:rPr>
              <w:t>lower</w:t>
            </w:r>
            <w:r>
              <w:rPr>
                <w:color w:val="105C84"/>
                <w:spacing w:val="-13"/>
                <w:sz w:val="18"/>
              </w:rPr>
              <w:t> </w:t>
            </w:r>
            <w:r>
              <w:rPr>
                <w:color w:val="105C84"/>
                <w:sz w:val="18"/>
              </w:rPr>
              <w:t>SES</w:t>
            </w:r>
            <w:r>
              <w:rPr>
                <w:color w:val="105C84"/>
                <w:spacing w:val="-13"/>
                <w:sz w:val="18"/>
              </w:rPr>
              <w:t> </w:t>
            </w:r>
            <w:r>
              <w:rPr>
                <w:color w:val="105C84"/>
                <w:sz w:val="18"/>
              </w:rPr>
              <w:t>(i.e. County Office Building, library, food pantries, etc.)</w:t>
            </w:r>
          </w:p>
          <w:p>
            <w:pPr>
              <w:pStyle w:val="TableParagraph"/>
              <w:spacing w:line="232" w:lineRule="auto" w:before="86"/>
              <w:ind w:left="89" w:right="718"/>
              <w:rPr>
                <w:sz w:val="18"/>
              </w:rPr>
            </w:pPr>
            <w:r>
              <w:rPr>
                <w:color w:val="105C84"/>
                <w:sz w:val="18"/>
              </w:rPr>
              <w:t>YCPH will promote</w:t>
            </w:r>
            <w:r>
              <w:rPr>
                <w:color w:val="105C84"/>
                <w:spacing w:val="40"/>
                <w:sz w:val="18"/>
              </w:rPr>
              <w:t> </w:t>
            </w:r>
            <w:r>
              <w:rPr>
                <w:color w:val="105C84"/>
                <w:spacing w:val="-4"/>
                <w:sz w:val="18"/>
              </w:rPr>
              <w:t>Cervical</w:t>
            </w:r>
            <w:r>
              <w:rPr>
                <w:color w:val="105C84"/>
                <w:spacing w:val="-11"/>
                <w:sz w:val="18"/>
              </w:rPr>
              <w:t> </w:t>
            </w:r>
            <w:r>
              <w:rPr>
                <w:color w:val="105C84"/>
                <w:spacing w:val="-4"/>
                <w:sz w:val="18"/>
              </w:rPr>
              <w:t>Cancer</w:t>
            </w:r>
            <w:r>
              <w:rPr>
                <w:color w:val="105C84"/>
                <w:spacing w:val="-8"/>
                <w:sz w:val="18"/>
              </w:rPr>
              <w:t> </w:t>
            </w:r>
            <w:r>
              <w:rPr>
                <w:color w:val="105C84"/>
                <w:spacing w:val="-4"/>
                <w:sz w:val="18"/>
              </w:rPr>
              <w:t>Awareness </w:t>
            </w:r>
            <w:r>
              <w:rPr>
                <w:color w:val="105C84"/>
                <w:sz w:val="18"/>
              </w:rPr>
              <w:t>moth (Jan) on website, Facebook,</w:t>
            </w:r>
            <w:r>
              <w:rPr>
                <w:color w:val="105C84"/>
                <w:spacing w:val="-15"/>
                <w:sz w:val="18"/>
              </w:rPr>
              <w:t> </w:t>
            </w:r>
            <w:r>
              <w:rPr>
                <w:color w:val="105C84"/>
                <w:sz w:val="18"/>
              </w:rPr>
              <w:t>newspaper,</w:t>
            </w:r>
            <w:r>
              <w:rPr>
                <w:color w:val="105C84"/>
                <w:spacing w:val="-12"/>
                <w:sz w:val="18"/>
              </w:rPr>
              <w:t> </w:t>
            </w:r>
            <w:r>
              <w:rPr>
                <w:color w:val="105C84"/>
                <w:sz w:val="18"/>
              </w:rPr>
              <w:t>etc.</w:t>
            </w:r>
          </w:p>
          <w:p>
            <w:pPr>
              <w:pStyle w:val="TableParagraph"/>
              <w:spacing w:line="232" w:lineRule="auto"/>
              <w:ind w:left="89" w:right="116"/>
              <w:rPr>
                <w:sz w:val="18"/>
              </w:rPr>
            </w:pPr>
            <w:r>
              <w:rPr>
                <w:color w:val="105C84"/>
                <w:sz w:val="18"/>
              </w:rPr>
              <w:t>YCPH will outreach to Finger Lakes Sexual Health Coalition to promote</w:t>
            </w:r>
            <w:r>
              <w:rPr>
                <w:color w:val="105C84"/>
                <w:spacing w:val="-6"/>
                <w:sz w:val="18"/>
              </w:rPr>
              <w:t> </w:t>
            </w:r>
            <w:r>
              <w:rPr>
                <w:color w:val="105C84"/>
                <w:sz w:val="18"/>
              </w:rPr>
              <w:t>cervical</w:t>
            </w:r>
            <w:r>
              <w:rPr>
                <w:color w:val="105C84"/>
                <w:spacing w:val="-5"/>
                <w:sz w:val="18"/>
              </w:rPr>
              <w:t> </w:t>
            </w:r>
            <w:r>
              <w:rPr>
                <w:color w:val="105C84"/>
                <w:sz w:val="18"/>
              </w:rPr>
              <w:t>cancer</w:t>
            </w:r>
            <w:r>
              <w:rPr>
                <w:color w:val="105C84"/>
                <w:spacing w:val="-5"/>
                <w:sz w:val="18"/>
              </w:rPr>
              <w:t> </w:t>
            </w:r>
            <w:r>
              <w:rPr>
                <w:color w:val="105C84"/>
                <w:spacing w:val="-2"/>
                <w:sz w:val="18"/>
              </w:rPr>
              <w:t>screening</w:t>
            </w:r>
          </w:p>
          <w:p>
            <w:pPr>
              <w:pStyle w:val="TableParagraph"/>
              <w:spacing w:line="232" w:lineRule="auto" w:before="84"/>
              <w:ind w:left="89"/>
              <w:rPr>
                <w:sz w:val="18"/>
              </w:rPr>
            </w:pPr>
            <w:r>
              <w:rPr>
                <w:color w:val="105C84"/>
                <w:spacing w:val="-2"/>
                <w:sz w:val="18"/>
              </w:rPr>
              <w:t>YCPH</w:t>
            </w:r>
            <w:r>
              <w:rPr>
                <w:color w:val="105C84"/>
                <w:spacing w:val="-8"/>
                <w:sz w:val="18"/>
              </w:rPr>
              <w:t> </w:t>
            </w:r>
            <w:r>
              <w:rPr>
                <w:color w:val="105C84"/>
                <w:spacing w:val="-2"/>
                <w:sz w:val="18"/>
              </w:rPr>
              <w:t>will</w:t>
            </w:r>
            <w:r>
              <w:rPr>
                <w:color w:val="105C84"/>
                <w:spacing w:val="-8"/>
                <w:sz w:val="18"/>
              </w:rPr>
              <w:t> </w:t>
            </w:r>
            <w:r>
              <w:rPr>
                <w:color w:val="105C84"/>
                <w:spacing w:val="-2"/>
                <w:sz w:val="18"/>
              </w:rPr>
              <w:t>outreach</w:t>
            </w:r>
            <w:r>
              <w:rPr>
                <w:color w:val="105C84"/>
                <w:spacing w:val="-8"/>
                <w:sz w:val="18"/>
              </w:rPr>
              <w:t> </w:t>
            </w:r>
            <w:r>
              <w:rPr>
                <w:color w:val="105C84"/>
                <w:spacing w:val="-2"/>
                <w:sz w:val="18"/>
              </w:rPr>
              <w:t>to</w:t>
            </w:r>
            <w:r>
              <w:rPr>
                <w:color w:val="105C84"/>
                <w:spacing w:val="-8"/>
                <w:sz w:val="18"/>
              </w:rPr>
              <w:t> </w:t>
            </w:r>
            <w:r>
              <w:rPr>
                <w:color w:val="105C84"/>
                <w:spacing w:val="-2"/>
                <w:sz w:val="18"/>
              </w:rPr>
              <w:t>Finger</w:t>
            </w:r>
            <w:r>
              <w:rPr>
                <w:color w:val="105C84"/>
                <w:spacing w:val="-8"/>
                <w:sz w:val="18"/>
              </w:rPr>
              <w:t> </w:t>
            </w:r>
            <w:r>
              <w:rPr>
                <w:color w:val="105C84"/>
                <w:spacing w:val="-2"/>
                <w:sz w:val="18"/>
              </w:rPr>
              <w:t>Lakes </w:t>
            </w:r>
            <w:r>
              <w:rPr>
                <w:color w:val="105C84"/>
                <w:sz w:val="18"/>
              </w:rPr>
              <w:t>Community Health to promote cervical cancer screening among low SES, un or underinsured and migrant population</w:t>
            </w:r>
          </w:p>
        </w:tc>
        <w:tc>
          <w:tcPr>
            <w:tcW w:w="2830" w:type="dxa"/>
            <w:vMerge w:val="restart"/>
          </w:tcPr>
          <w:p>
            <w:pPr>
              <w:pStyle w:val="TableParagraph"/>
              <w:spacing w:line="232" w:lineRule="auto" w:before="99"/>
              <w:ind w:left="88" w:right="279"/>
              <w:rPr>
                <w:sz w:val="18"/>
              </w:rPr>
            </w:pPr>
            <w:r>
              <w:rPr>
                <w:color w:val="105C84"/>
                <w:sz w:val="18"/>
              </w:rPr>
              <w:t>YCPH</w:t>
            </w:r>
            <w:r>
              <w:rPr>
                <w:color w:val="105C84"/>
                <w:spacing w:val="-13"/>
                <w:sz w:val="18"/>
              </w:rPr>
              <w:t> </w:t>
            </w:r>
            <w:r>
              <w:rPr>
                <w:color w:val="105C84"/>
                <w:sz w:val="18"/>
              </w:rPr>
              <w:t>will</w:t>
            </w:r>
            <w:r>
              <w:rPr>
                <w:color w:val="105C84"/>
                <w:spacing w:val="-12"/>
                <w:sz w:val="18"/>
              </w:rPr>
              <w:t> </w:t>
            </w:r>
            <w:r>
              <w:rPr>
                <w:color w:val="105C84"/>
                <w:sz w:val="18"/>
              </w:rPr>
              <w:t>set</w:t>
            </w:r>
            <w:r>
              <w:rPr>
                <w:color w:val="105C84"/>
                <w:spacing w:val="-13"/>
                <w:sz w:val="18"/>
              </w:rPr>
              <w:t> </w:t>
            </w:r>
            <w:r>
              <w:rPr>
                <w:color w:val="105C84"/>
                <w:sz w:val="18"/>
              </w:rPr>
              <w:t>up</w:t>
            </w:r>
            <w:r>
              <w:rPr>
                <w:color w:val="105C84"/>
                <w:spacing w:val="-12"/>
                <w:sz w:val="18"/>
              </w:rPr>
              <w:t> </w:t>
            </w:r>
            <w:r>
              <w:rPr>
                <w:color w:val="105C84"/>
                <w:sz w:val="18"/>
              </w:rPr>
              <w:t>a</w:t>
            </w:r>
            <w:r>
              <w:rPr>
                <w:color w:val="105C84"/>
                <w:spacing w:val="-13"/>
                <w:sz w:val="18"/>
              </w:rPr>
              <w:t> </w:t>
            </w:r>
            <w:r>
              <w:rPr>
                <w:color w:val="105C84"/>
                <w:sz w:val="18"/>
              </w:rPr>
              <w:t>display</w:t>
            </w:r>
            <w:r>
              <w:rPr>
                <w:color w:val="105C84"/>
                <w:spacing w:val="-13"/>
                <w:sz w:val="18"/>
              </w:rPr>
              <w:t> </w:t>
            </w:r>
            <w:r>
              <w:rPr>
                <w:color w:val="105C84"/>
                <w:sz w:val="18"/>
              </w:rPr>
              <w:t>at</w:t>
            </w:r>
            <w:r>
              <w:rPr>
                <w:color w:val="105C84"/>
                <w:spacing w:val="-12"/>
                <w:sz w:val="18"/>
              </w:rPr>
              <w:t> </w:t>
            </w:r>
            <w:r>
              <w:rPr>
                <w:color w:val="105C84"/>
                <w:sz w:val="18"/>
              </w:rPr>
              <w:t>2 community locations that are visible</w:t>
            </w:r>
            <w:r>
              <w:rPr>
                <w:color w:val="105C84"/>
                <w:spacing w:val="-13"/>
                <w:sz w:val="18"/>
              </w:rPr>
              <w:t> </w:t>
            </w:r>
            <w:r>
              <w:rPr>
                <w:color w:val="105C84"/>
                <w:sz w:val="18"/>
              </w:rPr>
              <w:t>to</w:t>
            </w:r>
            <w:r>
              <w:rPr>
                <w:color w:val="105C84"/>
                <w:spacing w:val="-12"/>
                <w:sz w:val="18"/>
              </w:rPr>
              <w:t> </w:t>
            </w:r>
            <w:r>
              <w:rPr>
                <w:color w:val="105C84"/>
                <w:sz w:val="18"/>
              </w:rPr>
              <w:t>women</w:t>
            </w:r>
            <w:r>
              <w:rPr>
                <w:color w:val="105C84"/>
                <w:spacing w:val="-13"/>
                <w:sz w:val="18"/>
              </w:rPr>
              <w:t> </w:t>
            </w:r>
            <w:r>
              <w:rPr>
                <w:color w:val="105C84"/>
                <w:sz w:val="18"/>
              </w:rPr>
              <w:t>of</w:t>
            </w:r>
            <w:r>
              <w:rPr>
                <w:color w:val="105C84"/>
                <w:spacing w:val="-12"/>
                <w:sz w:val="18"/>
              </w:rPr>
              <w:t> </w:t>
            </w:r>
            <w:r>
              <w:rPr>
                <w:color w:val="105C84"/>
                <w:sz w:val="18"/>
              </w:rPr>
              <w:t>lower</w:t>
            </w:r>
            <w:r>
              <w:rPr>
                <w:color w:val="105C84"/>
                <w:spacing w:val="-13"/>
                <w:sz w:val="18"/>
              </w:rPr>
              <w:t> </w:t>
            </w:r>
            <w:r>
              <w:rPr>
                <w:color w:val="105C84"/>
                <w:sz w:val="18"/>
              </w:rPr>
              <w:t>SES (i.e. County Office Building, library, food pantries, etc.)</w:t>
            </w:r>
          </w:p>
          <w:p>
            <w:pPr>
              <w:pStyle w:val="TableParagraph"/>
              <w:spacing w:line="232" w:lineRule="auto" w:before="86"/>
              <w:ind w:left="88" w:right="582"/>
              <w:rPr>
                <w:sz w:val="18"/>
              </w:rPr>
            </w:pPr>
            <w:r>
              <w:rPr>
                <w:color w:val="105C84"/>
                <w:sz w:val="18"/>
              </w:rPr>
              <w:t>YCPH will promote</w:t>
            </w:r>
            <w:r>
              <w:rPr>
                <w:color w:val="105C84"/>
                <w:spacing w:val="40"/>
                <w:sz w:val="18"/>
              </w:rPr>
              <w:t> </w:t>
            </w:r>
            <w:r>
              <w:rPr>
                <w:color w:val="105C84"/>
                <w:spacing w:val="-4"/>
                <w:sz w:val="18"/>
              </w:rPr>
              <w:t>Cervical</w:t>
            </w:r>
            <w:r>
              <w:rPr>
                <w:color w:val="105C84"/>
                <w:spacing w:val="-11"/>
                <w:sz w:val="18"/>
              </w:rPr>
              <w:t> </w:t>
            </w:r>
            <w:r>
              <w:rPr>
                <w:color w:val="105C84"/>
                <w:spacing w:val="-4"/>
                <w:sz w:val="18"/>
              </w:rPr>
              <w:t>Cancer</w:t>
            </w:r>
            <w:r>
              <w:rPr>
                <w:color w:val="105C84"/>
                <w:spacing w:val="-8"/>
                <w:sz w:val="18"/>
              </w:rPr>
              <w:t> </w:t>
            </w:r>
            <w:r>
              <w:rPr>
                <w:color w:val="105C84"/>
                <w:spacing w:val="-4"/>
                <w:sz w:val="18"/>
              </w:rPr>
              <w:t>Awareness </w:t>
            </w:r>
            <w:r>
              <w:rPr>
                <w:color w:val="105C84"/>
                <w:sz w:val="18"/>
              </w:rPr>
              <w:t>moth (Jan) on website, Facebook,</w:t>
            </w:r>
            <w:r>
              <w:rPr>
                <w:color w:val="105C84"/>
                <w:spacing w:val="-15"/>
                <w:sz w:val="18"/>
              </w:rPr>
              <w:t> </w:t>
            </w:r>
            <w:r>
              <w:rPr>
                <w:color w:val="105C84"/>
                <w:sz w:val="18"/>
              </w:rPr>
              <w:t>newspaper,</w:t>
            </w:r>
            <w:r>
              <w:rPr>
                <w:color w:val="105C84"/>
                <w:spacing w:val="-12"/>
                <w:sz w:val="18"/>
              </w:rPr>
              <w:t> </w:t>
            </w:r>
            <w:r>
              <w:rPr>
                <w:color w:val="105C84"/>
                <w:sz w:val="18"/>
              </w:rPr>
              <w:t>etc.</w:t>
            </w:r>
          </w:p>
          <w:p>
            <w:pPr>
              <w:pStyle w:val="TableParagraph"/>
              <w:spacing w:line="232" w:lineRule="auto"/>
              <w:ind w:left="88" w:right="279"/>
              <w:rPr>
                <w:sz w:val="18"/>
              </w:rPr>
            </w:pPr>
            <w:r>
              <w:rPr>
                <w:color w:val="105C84"/>
                <w:sz w:val="18"/>
              </w:rPr>
              <w:t>YCPH will outreach to Finger </w:t>
            </w:r>
            <w:r>
              <w:rPr>
                <w:color w:val="105C84"/>
                <w:spacing w:val="-2"/>
                <w:sz w:val="18"/>
              </w:rPr>
              <w:t>Lakes</w:t>
            </w:r>
            <w:r>
              <w:rPr>
                <w:color w:val="105C84"/>
                <w:spacing w:val="-9"/>
                <w:sz w:val="18"/>
              </w:rPr>
              <w:t> </w:t>
            </w:r>
            <w:r>
              <w:rPr>
                <w:color w:val="105C84"/>
                <w:spacing w:val="-2"/>
                <w:sz w:val="18"/>
              </w:rPr>
              <w:t>Sexual</w:t>
            </w:r>
            <w:r>
              <w:rPr>
                <w:color w:val="105C84"/>
                <w:spacing w:val="-9"/>
                <w:sz w:val="18"/>
              </w:rPr>
              <w:t> </w:t>
            </w:r>
            <w:r>
              <w:rPr>
                <w:color w:val="105C84"/>
                <w:spacing w:val="-2"/>
                <w:sz w:val="18"/>
              </w:rPr>
              <w:t>Health</w:t>
            </w:r>
            <w:r>
              <w:rPr>
                <w:color w:val="105C84"/>
                <w:spacing w:val="-9"/>
                <w:sz w:val="18"/>
              </w:rPr>
              <w:t> </w:t>
            </w:r>
            <w:r>
              <w:rPr>
                <w:color w:val="105C84"/>
                <w:spacing w:val="-2"/>
                <w:sz w:val="18"/>
              </w:rPr>
              <w:t>Coalition </w:t>
            </w:r>
            <w:r>
              <w:rPr>
                <w:color w:val="105C84"/>
                <w:sz w:val="18"/>
              </w:rPr>
              <w:t>to promote cervical cancer </w:t>
            </w:r>
            <w:r>
              <w:rPr>
                <w:color w:val="105C84"/>
                <w:spacing w:val="-2"/>
                <w:sz w:val="18"/>
              </w:rPr>
              <w:t>screening</w:t>
            </w:r>
          </w:p>
          <w:p>
            <w:pPr>
              <w:pStyle w:val="TableParagraph"/>
              <w:spacing w:line="232" w:lineRule="auto" w:before="84"/>
              <w:ind w:left="88" w:right="279"/>
              <w:rPr>
                <w:sz w:val="18"/>
              </w:rPr>
            </w:pPr>
            <w:r>
              <w:rPr>
                <w:color w:val="105C84"/>
                <w:sz w:val="18"/>
              </w:rPr>
              <w:t>YCPH</w:t>
            </w:r>
            <w:r>
              <w:rPr>
                <w:color w:val="105C84"/>
                <w:spacing w:val="-15"/>
                <w:sz w:val="18"/>
              </w:rPr>
              <w:t> </w:t>
            </w:r>
            <w:r>
              <w:rPr>
                <w:color w:val="105C84"/>
                <w:sz w:val="18"/>
              </w:rPr>
              <w:t>will</w:t>
            </w:r>
            <w:r>
              <w:rPr>
                <w:color w:val="105C84"/>
                <w:spacing w:val="-12"/>
                <w:sz w:val="18"/>
              </w:rPr>
              <w:t> </w:t>
            </w:r>
            <w:r>
              <w:rPr>
                <w:color w:val="105C84"/>
                <w:sz w:val="18"/>
              </w:rPr>
              <w:t>outreach</w:t>
            </w:r>
            <w:r>
              <w:rPr>
                <w:color w:val="105C84"/>
                <w:spacing w:val="-13"/>
                <w:sz w:val="18"/>
              </w:rPr>
              <w:t> </w:t>
            </w:r>
            <w:r>
              <w:rPr>
                <w:color w:val="105C84"/>
                <w:sz w:val="18"/>
              </w:rPr>
              <w:t>to</w:t>
            </w:r>
            <w:r>
              <w:rPr>
                <w:color w:val="105C84"/>
                <w:spacing w:val="-12"/>
                <w:sz w:val="18"/>
              </w:rPr>
              <w:t> </w:t>
            </w:r>
            <w:r>
              <w:rPr>
                <w:color w:val="105C84"/>
                <w:sz w:val="18"/>
              </w:rPr>
              <w:t>Finger Lakes Community Health</w:t>
            </w:r>
          </w:p>
          <w:p>
            <w:pPr>
              <w:pStyle w:val="TableParagraph"/>
              <w:spacing w:line="232" w:lineRule="auto"/>
              <w:ind w:left="88" w:right="279"/>
              <w:rPr>
                <w:sz w:val="18"/>
              </w:rPr>
            </w:pPr>
            <w:r>
              <w:rPr>
                <w:color w:val="105C84"/>
                <w:sz w:val="18"/>
              </w:rPr>
              <w:t>to promote cervical cancer </w:t>
            </w:r>
            <w:r>
              <w:rPr>
                <w:color w:val="105C84"/>
                <w:spacing w:val="-2"/>
                <w:sz w:val="18"/>
              </w:rPr>
              <w:t>screening</w:t>
            </w:r>
            <w:r>
              <w:rPr>
                <w:color w:val="105C84"/>
                <w:spacing w:val="-13"/>
                <w:sz w:val="18"/>
              </w:rPr>
              <w:t> </w:t>
            </w:r>
            <w:r>
              <w:rPr>
                <w:color w:val="105C84"/>
                <w:spacing w:val="-2"/>
                <w:sz w:val="18"/>
              </w:rPr>
              <w:t>among</w:t>
            </w:r>
            <w:r>
              <w:rPr>
                <w:color w:val="105C84"/>
                <w:spacing w:val="-10"/>
                <w:sz w:val="18"/>
              </w:rPr>
              <w:t> </w:t>
            </w:r>
            <w:r>
              <w:rPr>
                <w:color w:val="105C84"/>
                <w:spacing w:val="-2"/>
                <w:sz w:val="18"/>
              </w:rPr>
              <w:t>low</w:t>
            </w:r>
            <w:r>
              <w:rPr>
                <w:color w:val="105C84"/>
                <w:spacing w:val="-11"/>
                <w:sz w:val="18"/>
              </w:rPr>
              <w:t> </w:t>
            </w:r>
            <w:r>
              <w:rPr>
                <w:color w:val="105C84"/>
                <w:spacing w:val="-2"/>
                <w:sz w:val="18"/>
              </w:rPr>
              <w:t>SES,</w:t>
            </w:r>
            <w:r>
              <w:rPr>
                <w:color w:val="105C84"/>
                <w:spacing w:val="-10"/>
                <w:sz w:val="18"/>
              </w:rPr>
              <w:t> </w:t>
            </w:r>
            <w:r>
              <w:rPr>
                <w:color w:val="105C84"/>
                <w:spacing w:val="-2"/>
                <w:sz w:val="18"/>
              </w:rPr>
              <w:t>un </w:t>
            </w:r>
            <w:r>
              <w:rPr>
                <w:color w:val="105C84"/>
                <w:sz w:val="18"/>
              </w:rPr>
              <w:t>or underinsured and migrant </w:t>
            </w:r>
            <w:r>
              <w:rPr>
                <w:color w:val="105C84"/>
                <w:spacing w:val="-2"/>
                <w:sz w:val="18"/>
              </w:rPr>
              <w:t>population</w:t>
            </w:r>
          </w:p>
        </w:tc>
        <w:tc>
          <w:tcPr>
            <w:tcW w:w="1498" w:type="dxa"/>
          </w:tcPr>
          <w:p>
            <w:pPr>
              <w:pStyle w:val="TableParagraph"/>
              <w:spacing w:line="232" w:lineRule="auto" w:before="99"/>
              <w:ind w:left="88"/>
              <w:rPr>
                <w:sz w:val="18"/>
              </w:rPr>
            </w:pPr>
            <w:r>
              <w:rPr>
                <w:color w:val="105C84"/>
                <w:spacing w:val="-2"/>
                <w:sz w:val="18"/>
              </w:rPr>
              <w:t>Local</w:t>
            </w:r>
            <w:r>
              <w:rPr>
                <w:color w:val="105C84"/>
                <w:spacing w:val="-11"/>
                <w:sz w:val="18"/>
              </w:rPr>
              <w:t> </w:t>
            </w:r>
            <w:r>
              <w:rPr>
                <w:color w:val="105C84"/>
                <w:spacing w:val="-2"/>
                <w:sz w:val="18"/>
              </w:rPr>
              <w:t>health department</w:t>
            </w:r>
          </w:p>
        </w:tc>
        <w:tc>
          <w:tcPr>
            <w:tcW w:w="1551" w:type="dxa"/>
            <w:vMerge w:val="restart"/>
          </w:tcPr>
          <w:p>
            <w:pPr>
              <w:pStyle w:val="TableParagraph"/>
              <w:spacing w:line="232" w:lineRule="auto" w:before="99"/>
              <w:ind w:left="87" w:right="386"/>
              <w:rPr>
                <w:sz w:val="18"/>
              </w:rPr>
            </w:pPr>
            <w:r>
              <w:rPr>
                <w:color w:val="105C84"/>
                <w:spacing w:val="-2"/>
                <w:sz w:val="18"/>
              </w:rPr>
              <w:t>Yates</w:t>
            </w:r>
            <w:r>
              <w:rPr>
                <w:color w:val="105C84"/>
                <w:spacing w:val="-11"/>
                <w:sz w:val="18"/>
              </w:rPr>
              <w:t> </w:t>
            </w:r>
            <w:r>
              <w:rPr>
                <w:color w:val="105C84"/>
                <w:spacing w:val="-2"/>
                <w:sz w:val="18"/>
              </w:rPr>
              <w:t>County Public</w:t>
            </w:r>
            <w:r>
              <w:rPr>
                <w:color w:val="105C84"/>
                <w:spacing w:val="-1"/>
                <w:sz w:val="18"/>
              </w:rPr>
              <w:t> </w:t>
            </w:r>
            <w:r>
              <w:rPr>
                <w:color w:val="105C84"/>
                <w:spacing w:val="-2"/>
                <w:sz w:val="18"/>
              </w:rPr>
              <w:t>Health</w:t>
            </w:r>
          </w:p>
          <w:p>
            <w:pPr>
              <w:pStyle w:val="TableParagraph"/>
              <w:spacing w:line="197" w:lineRule="exact"/>
              <w:ind w:left="87"/>
              <w:rPr>
                <w:sz w:val="18"/>
              </w:rPr>
            </w:pPr>
            <w:r>
              <w:rPr>
                <w:color w:val="105C84"/>
                <w:spacing w:val="-5"/>
                <w:sz w:val="18"/>
              </w:rPr>
              <w:t>0.1</w:t>
            </w:r>
            <w:r>
              <w:rPr>
                <w:color w:val="105C84"/>
                <w:spacing w:val="-7"/>
                <w:sz w:val="18"/>
              </w:rPr>
              <w:t> </w:t>
            </w:r>
            <w:r>
              <w:rPr>
                <w:color w:val="105C84"/>
                <w:spacing w:val="-5"/>
                <w:sz w:val="18"/>
              </w:rPr>
              <w:t>FTE</w:t>
            </w:r>
          </w:p>
          <w:p>
            <w:pPr>
              <w:pStyle w:val="TableParagraph"/>
              <w:spacing w:line="232" w:lineRule="auto" w:before="2"/>
              <w:ind w:left="87" w:right="123"/>
              <w:rPr>
                <w:sz w:val="18"/>
              </w:rPr>
            </w:pPr>
            <w:r>
              <w:rPr>
                <w:color w:val="105C84"/>
                <w:spacing w:val="-2"/>
                <w:sz w:val="18"/>
              </w:rPr>
              <w:t>$500-$1000</w:t>
            </w:r>
            <w:r>
              <w:rPr>
                <w:color w:val="105C84"/>
                <w:spacing w:val="-11"/>
                <w:sz w:val="18"/>
              </w:rPr>
              <w:t> </w:t>
            </w:r>
            <w:r>
              <w:rPr>
                <w:color w:val="105C84"/>
                <w:spacing w:val="-2"/>
                <w:sz w:val="18"/>
              </w:rPr>
              <w:t>total </w:t>
            </w:r>
            <w:r>
              <w:rPr>
                <w:color w:val="105C84"/>
                <w:sz w:val="18"/>
              </w:rPr>
              <w:t>for ALL cancer screening</w:t>
            </w:r>
            <w:r>
              <w:rPr>
                <w:color w:val="105C84"/>
                <w:spacing w:val="-13"/>
                <w:sz w:val="18"/>
              </w:rPr>
              <w:t> </w:t>
            </w:r>
            <w:r>
              <w:rPr>
                <w:color w:val="105C84"/>
                <w:sz w:val="18"/>
              </w:rPr>
              <w:t>media </w:t>
            </w:r>
            <w:r>
              <w:rPr>
                <w:color w:val="105C84"/>
                <w:spacing w:val="-2"/>
                <w:sz w:val="18"/>
              </w:rPr>
              <w:t>communications</w:t>
            </w:r>
          </w:p>
        </w:tc>
      </w:tr>
      <w:tr>
        <w:trPr>
          <w:trHeight w:val="2730" w:hRule="atLeast"/>
        </w:trPr>
        <w:tc>
          <w:tcPr>
            <w:tcW w:w="1180" w:type="dxa"/>
            <w:vMerge/>
            <w:tcBorders>
              <w:top w:val="nil"/>
            </w:tcBorders>
            <w:shd w:val="clear" w:color="auto" w:fill="E6E7E8"/>
          </w:tcPr>
          <w:p>
            <w:pPr>
              <w:rPr>
                <w:sz w:val="2"/>
                <w:szCs w:val="2"/>
              </w:rPr>
            </w:pPr>
          </w:p>
        </w:tc>
        <w:tc>
          <w:tcPr>
            <w:tcW w:w="1267" w:type="dxa"/>
            <w:vMerge/>
            <w:tcBorders>
              <w:top w:val="nil"/>
            </w:tcBorders>
          </w:tcPr>
          <w:p>
            <w:pPr>
              <w:rPr>
                <w:sz w:val="2"/>
                <w:szCs w:val="2"/>
              </w:rPr>
            </w:pPr>
          </w:p>
        </w:tc>
        <w:tc>
          <w:tcPr>
            <w:tcW w:w="1267" w:type="dxa"/>
            <w:vMerge/>
            <w:tcBorders>
              <w:top w:val="nil"/>
            </w:tcBorders>
          </w:tcPr>
          <w:p>
            <w:pPr>
              <w:rPr>
                <w:sz w:val="2"/>
                <w:szCs w:val="2"/>
              </w:rPr>
            </w:pPr>
          </w:p>
        </w:tc>
        <w:tc>
          <w:tcPr>
            <w:tcW w:w="1728" w:type="dxa"/>
            <w:vMerge/>
            <w:tcBorders>
              <w:top w:val="nil"/>
            </w:tcBorders>
          </w:tcPr>
          <w:p>
            <w:pPr>
              <w:rPr>
                <w:sz w:val="2"/>
                <w:szCs w:val="2"/>
              </w:rPr>
            </w:pPr>
          </w:p>
        </w:tc>
        <w:tc>
          <w:tcPr>
            <w:tcW w:w="1066" w:type="dxa"/>
            <w:vMerge/>
            <w:tcBorders>
              <w:top w:val="nil"/>
            </w:tcBorders>
          </w:tcPr>
          <w:p>
            <w:pPr>
              <w:rPr>
                <w:sz w:val="2"/>
                <w:szCs w:val="2"/>
              </w:rPr>
            </w:pPr>
          </w:p>
        </w:tc>
        <w:tc>
          <w:tcPr>
            <w:tcW w:w="1930" w:type="dxa"/>
            <w:vMerge/>
            <w:tcBorders>
              <w:top w:val="nil"/>
            </w:tcBorders>
          </w:tcPr>
          <w:p>
            <w:pPr>
              <w:rPr>
                <w:sz w:val="2"/>
                <w:szCs w:val="2"/>
              </w:rPr>
            </w:pPr>
          </w:p>
        </w:tc>
        <w:tc>
          <w:tcPr>
            <w:tcW w:w="2715" w:type="dxa"/>
            <w:vMerge/>
            <w:tcBorders>
              <w:top w:val="nil"/>
              <w:right w:val="nil"/>
            </w:tcBorders>
          </w:tcPr>
          <w:p>
            <w:pPr>
              <w:rPr>
                <w:sz w:val="2"/>
                <w:szCs w:val="2"/>
              </w:rPr>
            </w:pPr>
          </w:p>
        </w:tc>
        <w:tc>
          <w:tcPr>
            <w:tcW w:w="2297" w:type="dxa"/>
            <w:tcBorders>
              <w:left w:val="nil"/>
            </w:tcBorders>
          </w:tcPr>
          <w:p>
            <w:pPr>
              <w:pStyle w:val="TableParagraph"/>
              <w:spacing w:line="232" w:lineRule="auto" w:before="99"/>
              <w:ind w:left="1091" w:right="344"/>
              <w:rPr>
                <w:sz w:val="18"/>
              </w:rPr>
            </w:pPr>
            <w:r>
              <w:rPr>
                <w:color w:val="105C84"/>
                <w:spacing w:val="-2"/>
                <w:sz w:val="18"/>
              </w:rPr>
              <w:t>Promoted Cervical Cancer </w:t>
            </w:r>
            <w:r>
              <w:rPr>
                <w:color w:val="105C84"/>
                <w:spacing w:val="-6"/>
                <w:sz w:val="18"/>
              </w:rPr>
              <w:t>Awareness </w:t>
            </w:r>
            <w:r>
              <w:rPr>
                <w:color w:val="105C84"/>
                <w:sz w:val="18"/>
              </w:rPr>
              <w:t>month on </w:t>
            </w:r>
            <w:r>
              <w:rPr>
                <w:color w:val="105C84"/>
                <w:spacing w:val="-2"/>
                <w:sz w:val="18"/>
              </w:rPr>
              <w:t>Facebook.</w:t>
            </w:r>
          </w:p>
        </w:tc>
        <w:tc>
          <w:tcPr>
            <w:tcW w:w="2967" w:type="dxa"/>
            <w:vMerge/>
            <w:tcBorders>
              <w:top w:val="nil"/>
            </w:tcBorders>
          </w:tcPr>
          <w:p>
            <w:pPr>
              <w:rPr>
                <w:sz w:val="2"/>
                <w:szCs w:val="2"/>
              </w:rPr>
            </w:pPr>
          </w:p>
        </w:tc>
        <w:tc>
          <w:tcPr>
            <w:tcW w:w="2830" w:type="dxa"/>
            <w:vMerge/>
            <w:tcBorders>
              <w:top w:val="nil"/>
            </w:tcBorders>
          </w:tcPr>
          <w:p>
            <w:pPr>
              <w:rPr>
                <w:sz w:val="2"/>
                <w:szCs w:val="2"/>
              </w:rPr>
            </w:pPr>
          </w:p>
        </w:tc>
        <w:tc>
          <w:tcPr>
            <w:tcW w:w="1498" w:type="dxa"/>
          </w:tcPr>
          <w:p>
            <w:pPr>
              <w:pStyle w:val="TableParagraph"/>
              <w:spacing w:line="232" w:lineRule="auto" w:before="99"/>
              <w:ind w:left="88"/>
              <w:rPr>
                <w:sz w:val="18"/>
              </w:rPr>
            </w:pPr>
            <w:r>
              <w:rPr>
                <w:color w:val="105C84"/>
                <w:spacing w:val="-2"/>
                <w:sz w:val="18"/>
              </w:rPr>
              <w:t>Local</w:t>
            </w:r>
            <w:r>
              <w:rPr>
                <w:color w:val="105C84"/>
                <w:spacing w:val="-11"/>
                <w:sz w:val="18"/>
              </w:rPr>
              <w:t> </w:t>
            </w:r>
            <w:r>
              <w:rPr>
                <w:color w:val="105C84"/>
                <w:spacing w:val="-2"/>
                <w:sz w:val="18"/>
              </w:rPr>
              <w:t>health department</w:t>
            </w:r>
          </w:p>
        </w:tc>
        <w:tc>
          <w:tcPr>
            <w:tcW w:w="1551" w:type="dxa"/>
            <w:vMerge/>
            <w:tcBorders>
              <w:top w:val="nil"/>
            </w:tcBorders>
          </w:tcPr>
          <w:p>
            <w:pPr>
              <w:rPr>
                <w:sz w:val="2"/>
                <w:szCs w:val="2"/>
              </w:rPr>
            </w:pPr>
          </w:p>
        </w:tc>
      </w:tr>
    </w:tbl>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197"/>
        <w:rPr>
          <w:b/>
          <w:sz w:val="26"/>
        </w:rPr>
      </w:pPr>
    </w:p>
    <w:p>
      <w:pPr>
        <w:tabs>
          <w:tab w:pos="23047" w:val="left" w:leader="none"/>
        </w:tabs>
        <w:spacing w:before="1"/>
        <w:ind w:left="0" w:right="0" w:firstLine="0"/>
        <w:jc w:val="left"/>
        <w:rPr>
          <w:b/>
          <w:sz w:val="26"/>
        </w:rPr>
      </w:pPr>
      <w:r>
        <w:rPr>
          <w:position w:val="-4"/>
        </w:rPr>
        <w:drawing>
          <wp:inline distT="0" distB="0" distL="0" distR="0">
            <wp:extent cx="568172" cy="184683"/>
            <wp:effectExtent l="0" t="0" r="0" b="0"/>
            <wp:docPr id="2100" name="Image 2100"/>
            <wp:cNvGraphicFramePr>
              <a:graphicFrameLocks/>
            </wp:cNvGraphicFramePr>
            <a:graphic>
              <a:graphicData uri="http://schemas.openxmlformats.org/drawingml/2006/picture">
                <pic:pic>
                  <pic:nvPicPr>
                    <pic:cNvPr id="2100" name="Image 2100"/>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13"/>
          <w:sz w:val="20"/>
        </w:rPr>
        <w:t> </w:t>
      </w:r>
      <w:r>
        <w:rPr>
          <w:b/>
          <w:color w:val="939598"/>
          <w:w w:val="105"/>
          <w:sz w:val="26"/>
        </w:rPr>
        <w:t>245</w:t>
      </w:r>
      <w:r>
        <w:rPr>
          <w:b/>
          <w:color w:val="939598"/>
          <w:sz w:val="26"/>
        </w:rPr>
        <w:tab/>
      </w:r>
      <w:r>
        <w:rPr>
          <w:b/>
          <w:color w:val="939598"/>
          <w:spacing w:val="-5"/>
          <w:w w:val="105"/>
          <w:sz w:val="26"/>
        </w:rPr>
        <w:t>246</w:t>
      </w:r>
    </w:p>
    <w:p>
      <w:pPr>
        <w:spacing w:after="0"/>
        <w:jc w:val="left"/>
        <w:rPr>
          <w:b/>
          <w:sz w:val="26"/>
        </w:rPr>
        <w:sectPr>
          <w:pgSz w:w="24480" w:h="15840" w:orient="landscape"/>
          <w:pgMar w:header="0" w:footer="0" w:top="860" w:bottom="0" w:left="0" w:right="720"/>
        </w:sectPr>
      </w:pPr>
    </w:p>
    <w:p>
      <w:pPr>
        <w:spacing w:before="609"/>
        <w:ind w:left="1089" w:right="0" w:firstLine="0"/>
        <w:jc w:val="left"/>
        <w:rPr>
          <w:sz w:val="54"/>
        </w:rPr>
      </w:pPr>
      <w:r>
        <w:rPr>
          <w:sz w:val="54"/>
        </w:rPr>
        <w:drawing>
          <wp:anchor distT="0" distB="0" distL="0" distR="0" allowOverlap="1" layoutInCell="1" locked="0" behindDoc="0" simplePos="0" relativeHeight="16056832">
            <wp:simplePos x="0" y="0"/>
            <wp:positionH relativeFrom="page">
              <wp:posOffset>14292898</wp:posOffset>
            </wp:positionH>
            <wp:positionV relativeFrom="paragraph">
              <wp:posOffset>347471</wp:posOffset>
            </wp:positionV>
            <wp:extent cx="620077" cy="580072"/>
            <wp:effectExtent l="0" t="0" r="0" b="0"/>
            <wp:wrapNone/>
            <wp:docPr id="2101" name="Image 2101"/>
            <wp:cNvGraphicFramePr>
              <a:graphicFrameLocks/>
            </wp:cNvGraphicFramePr>
            <a:graphic>
              <a:graphicData uri="http://schemas.openxmlformats.org/drawingml/2006/picture">
                <pic:pic>
                  <pic:nvPicPr>
                    <pic:cNvPr id="2101" name="Image 2101"/>
                    <pic:cNvPicPr/>
                  </pic:nvPicPr>
                  <pic:blipFill>
                    <a:blip r:embed="rId268" cstate="print"/>
                    <a:stretch>
                      <a:fillRect/>
                    </a:stretch>
                  </pic:blipFill>
                  <pic:spPr>
                    <a:xfrm>
                      <a:off x="0" y="0"/>
                      <a:ext cx="620077" cy="580072"/>
                    </a:xfrm>
                    <a:prstGeom prst="rect">
                      <a:avLst/>
                    </a:prstGeom>
                  </pic:spPr>
                </pic:pic>
              </a:graphicData>
            </a:graphic>
          </wp:anchor>
        </w:drawing>
      </w:r>
      <w:r>
        <w:rPr>
          <w:sz w:val="54"/>
        </w:rPr>
        <w:drawing>
          <wp:anchor distT="0" distB="0" distL="0" distR="0" allowOverlap="1" layoutInCell="1" locked="0" behindDoc="0" simplePos="0" relativeHeight="16057344">
            <wp:simplePos x="0" y="0"/>
            <wp:positionH relativeFrom="page">
              <wp:posOffset>14981556</wp:posOffset>
            </wp:positionH>
            <wp:positionV relativeFrom="page">
              <wp:posOffset>9668103</wp:posOffset>
            </wp:positionV>
            <wp:extent cx="563245" cy="184683"/>
            <wp:effectExtent l="0" t="0" r="0" b="0"/>
            <wp:wrapNone/>
            <wp:docPr id="2102" name="Image 2102"/>
            <wp:cNvGraphicFramePr>
              <a:graphicFrameLocks/>
            </wp:cNvGraphicFramePr>
            <a:graphic>
              <a:graphicData uri="http://schemas.openxmlformats.org/drawingml/2006/picture">
                <pic:pic>
                  <pic:nvPicPr>
                    <pic:cNvPr id="2102" name="Image 2102"/>
                    <pic:cNvPicPr/>
                  </pic:nvPicPr>
                  <pic:blipFill>
                    <a:blip r:embed="rId38" cstate="print"/>
                    <a:stretch>
                      <a:fillRect/>
                    </a:stretch>
                  </pic:blipFill>
                  <pic:spPr>
                    <a:xfrm>
                      <a:off x="0" y="0"/>
                      <a:ext cx="563245" cy="184683"/>
                    </a:xfrm>
                    <a:prstGeom prst="rect">
                      <a:avLst/>
                    </a:prstGeom>
                  </pic:spPr>
                </pic:pic>
              </a:graphicData>
            </a:graphic>
          </wp:anchor>
        </w:drawing>
      </w:r>
      <w:r>
        <w:rPr>
          <w:sz w:val="54"/>
        </w:rPr>
        <w:drawing>
          <wp:anchor distT="0" distB="0" distL="0" distR="0" allowOverlap="1" layoutInCell="1" locked="0" behindDoc="0" simplePos="0" relativeHeight="16057856">
            <wp:simplePos x="0" y="0"/>
            <wp:positionH relativeFrom="page">
              <wp:posOffset>13547852</wp:posOffset>
            </wp:positionH>
            <wp:positionV relativeFrom="paragraph">
              <wp:posOffset>354583</wp:posOffset>
            </wp:positionV>
            <wp:extent cx="610869" cy="494804"/>
            <wp:effectExtent l="0" t="0" r="0" b="0"/>
            <wp:wrapNone/>
            <wp:docPr id="2103" name="Image 2103"/>
            <wp:cNvGraphicFramePr>
              <a:graphicFrameLocks/>
            </wp:cNvGraphicFramePr>
            <a:graphic>
              <a:graphicData uri="http://schemas.openxmlformats.org/drawingml/2006/picture">
                <pic:pic>
                  <pic:nvPicPr>
                    <pic:cNvPr id="2103" name="Image 2103"/>
                    <pic:cNvPicPr/>
                  </pic:nvPicPr>
                  <pic:blipFill>
                    <a:blip r:embed="rId269" cstate="print"/>
                    <a:stretch>
                      <a:fillRect/>
                    </a:stretch>
                  </pic:blipFill>
                  <pic:spPr>
                    <a:xfrm>
                      <a:off x="0" y="0"/>
                      <a:ext cx="610869" cy="494804"/>
                    </a:xfrm>
                    <a:prstGeom prst="rect">
                      <a:avLst/>
                    </a:prstGeom>
                  </pic:spPr>
                </pic:pic>
              </a:graphicData>
            </a:graphic>
          </wp:anchor>
        </w:drawing>
      </w:r>
      <w:r>
        <w:rPr>
          <w:sz w:val="54"/>
        </w:rPr>
        <w:drawing>
          <wp:anchor distT="0" distB="0" distL="0" distR="0" allowOverlap="1" layoutInCell="1" locked="0" behindDoc="0" simplePos="0" relativeHeight="16058368">
            <wp:simplePos x="0" y="0"/>
            <wp:positionH relativeFrom="page">
              <wp:posOffset>12242292</wp:posOffset>
            </wp:positionH>
            <wp:positionV relativeFrom="paragraph">
              <wp:posOffset>309372</wp:posOffset>
            </wp:positionV>
            <wp:extent cx="1141336" cy="338581"/>
            <wp:effectExtent l="0" t="0" r="0" b="0"/>
            <wp:wrapNone/>
            <wp:docPr id="2104" name="Image 2104"/>
            <wp:cNvGraphicFramePr>
              <a:graphicFrameLocks/>
            </wp:cNvGraphicFramePr>
            <a:graphic>
              <a:graphicData uri="http://schemas.openxmlformats.org/drawingml/2006/picture">
                <pic:pic>
                  <pic:nvPicPr>
                    <pic:cNvPr id="2104" name="Image 2104"/>
                    <pic:cNvPicPr/>
                  </pic:nvPicPr>
                  <pic:blipFill>
                    <a:blip r:embed="rId270" cstate="print"/>
                    <a:stretch>
                      <a:fillRect/>
                    </a:stretch>
                  </pic:blipFill>
                  <pic:spPr>
                    <a:xfrm>
                      <a:off x="0" y="0"/>
                      <a:ext cx="1141336" cy="338581"/>
                    </a:xfrm>
                    <a:prstGeom prst="rect">
                      <a:avLst/>
                    </a:prstGeom>
                  </pic:spPr>
                </pic:pic>
              </a:graphicData>
            </a:graphic>
          </wp:anchor>
        </w:drawing>
      </w:r>
      <w:r>
        <w:rPr>
          <w:color w:val="636466"/>
          <w:sz w:val="54"/>
        </w:rPr>
        <w:t>Yates</w:t>
      </w:r>
      <w:r>
        <w:rPr>
          <w:color w:val="636466"/>
          <w:spacing w:val="24"/>
          <w:sz w:val="54"/>
        </w:rPr>
        <w:t> </w:t>
      </w:r>
      <w:r>
        <w:rPr>
          <w:color w:val="636466"/>
          <w:sz w:val="54"/>
        </w:rPr>
        <w:t>County</w:t>
      </w:r>
      <w:r>
        <w:rPr>
          <w:color w:val="636466"/>
          <w:spacing w:val="25"/>
          <w:sz w:val="54"/>
        </w:rPr>
        <w:t> </w:t>
      </w:r>
      <w:r>
        <w:rPr>
          <w:color w:val="636466"/>
          <w:sz w:val="54"/>
        </w:rPr>
        <w:t>Appendix</w:t>
      </w:r>
      <w:r>
        <w:rPr>
          <w:color w:val="636466"/>
          <w:spacing w:val="25"/>
          <w:sz w:val="54"/>
        </w:rPr>
        <w:t> </w:t>
      </w:r>
      <w:r>
        <w:rPr>
          <w:color w:val="636466"/>
          <w:spacing w:val="-10"/>
          <w:sz w:val="54"/>
        </w:rPr>
        <w:t>H</w:t>
      </w:r>
    </w:p>
    <w:p>
      <w:pPr>
        <w:spacing w:before="236"/>
        <w:ind w:left="1089" w:right="0" w:firstLine="0"/>
        <w:jc w:val="left"/>
        <w:rPr>
          <w:b/>
          <w:sz w:val="32"/>
        </w:rPr>
      </w:pPr>
      <w:r>
        <w:rPr>
          <w:b/>
          <w:color w:val="82BF6A"/>
          <w:spacing w:val="-6"/>
          <w:sz w:val="32"/>
        </w:rPr>
        <w:t>PRIORITY:</w:t>
      </w:r>
      <w:r>
        <w:rPr>
          <w:b/>
          <w:color w:val="82BF6A"/>
          <w:spacing w:val="-13"/>
          <w:sz w:val="32"/>
        </w:rPr>
        <w:t> </w:t>
      </w:r>
      <w:r>
        <w:rPr>
          <w:b/>
          <w:color w:val="82BF6A"/>
          <w:spacing w:val="-6"/>
          <w:sz w:val="32"/>
        </w:rPr>
        <w:t>PREVENT</w:t>
      </w:r>
      <w:r>
        <w:rPr>
          <w:b/>
          <w:color w:val="82BF6A"/>
          <w:spacing w:val="-13"/>
          <w:sz w:val="32"/>
        </w:rPr>
        <w:t> </w:t>
      </w:r>
      <w:r>
        <w:rPr>
          <w:b/>
          <w:color w:val="82BF6A"/>
          <w:spacing w:val="-6"/>
          <w:sz w:val="32"/>
        </w:rPr>
        <w:t>CHRONIC</w:t>
      </w:r>
      <w:r>
        <w:rPr>
          <w:b/>
          <w:color w:val="82BF6A"/>
          <w:spacing w:val="-13"/>
          <w:sz w:val="32"/>
        </w:rPr>
        <w:t> </w:t>
      </w:r>
      <w:r>
        <w:rPr>
          <w:b/>
          <w:color w:val="82BF6A"/>
          <w:spacing w:val="-6"/>
          <w:sz w:val="32"/>
        </w:rPr>
        <w:t>DISEASES</w:t>
      </w:r>
    </w:p>
    <w:p>
      <w:pPr>
        <w:pStyle w:val="BodyText"/>
        <w:spacing w:before="162"/>
        <w:rPr>
          <w:b/>
          <w:sz w:val="20"/>
        </w:rPr>
      </w:pPr>
    </w:p>
    <w:tbl>
      <w:tblPr>
        <w:tblW w:w="0" w:type="auto"/>
        <w:jc w:val="left"/>
        <w:tblInd w:w="1099"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1180"/>
        <w:gridCol w:w="1324"/>
        <w:gridCol w:w="1266"/>
        <w:gridCol w:w="1727"/>
        <w:gridCol w:w="1065"/>
        <w:gridCol w:w="1929"/>
        <w:gridCol w:w="5349"/>
        <w:gridCol w:w="2570"/>
        <w:gridCol w:w="2908"/>
        <w:gridCol w:w="1497"/>
        <w:gridCol w:w="1492"/>
      </w:tblGrid>
      <w:tr>
        <w:trPr>
          <w:trHeight w:val="1130" w:hRule="atLeast"/>
        </w:trPr>
        <w:tc>
          <w:tcPr>
            <w:tcW w:w="1180" w:type="dxa"/>
            <w:tcBorders>
              <w:right w:val="single" w:sz="4" w:space="0" w:color="FFFFFF"/>
            </w:tcBorders>
            <w:shd w:val="clear" w:color="auto" w:fill="A7A9AC"/>
          </w:tcPr>
          <w:p>
            <w:pPr>
              <w:pStyle w:val="TableParagraph"/>
              <w:rPr>
                <w:b/>
                <w:sz w:val="18"/>
              </w:rPr>
            </w:pPr>
          </w:p>
          <w:p>
            <w:pPr>
              <w:pStyle w:val="TableParagraph"/>
              <w:spacing w:before="72"/>
              <w:rPr>
                <w:b/>
                <w:sz w:val="18"/>
              </w:rPr>
            </w:pPr>
          </w:p>
          <w:p>
            <w:pPr>
              <w:pStyle w:val="TableParagraph"/>
              <w:ind w:left="79"/>
              <w:rPr>
                <w:b/>
                <w:sz w:val="18"/>
              </w:rPr>
            </w:pPr>
            <w:r>
              <w:rPr>
                <w:b/>
                <w:color w:val="FFFFFF"/>
                <w:spacing w:val="-2"/>
                <w:sz w:val="18"/>
              </w:rPr>
              <w:t>Priority</w:t>
            </w:r>
          </w:p>
        </w:tc>
        <w:tc>
          <w:tcPr>
            <w:tcW w:w="1324" w:type="dxa"/>
            <w:tcBorders>
              <w:left w:val="single" w:sz="4" w:space="0" w:color="FFFFFF"/>
              <w:right w:val="single" w:sz="4" w:space="0" w:color="FFFFFF"/>
            </w:tcBorders>
            <w:shd w:val="clear" w:color="auto" w:fill="A7A9AC"/>
          </w:tcPr>
          <w:p>
            <w:pPr>
              <w:pStyle w:val="TableParagraph"/>
              <w:rPr>
                <w:b/>
                <w:sz w:val="18"/>
              </w:rPr>
            </w:pPr>
          </w:p>
          <w:p>
            <w:pPr>
              <w:pStyle w:val="TableParagraph"/>
              <w:spacing w:before="72"/>
              <w:rPr>
                <w:b/>
                <w:sz w:val="18"/>
              </w:rPr>
            </w:pPr>
          </w:p>
          <w:p>
            <w:pPr>
              <w:pStyle w:val="TableParagraph"/>
              <w:ind w:left="80"/>
              <w:rPr>
                <w:b/>
                <w:sz w:val="18"/>
              </w:rPr>
            </w:pPr>
            <w:r>
              <w:rPr>
                <w:b/>
                <w:color w:val="FFFFFF"/>
                <w:w w:val="90"/>
                <w:sz w:val="18"/>
              </w:rPr>
              <w:t>Focus</w:t>
            </w:r>
            <w:r>
              <w:rPr>
                <w:b/>
                <w:color w:val="FFFFFF"/>
                <w:spacing w:val="8"/>
                <w:sz w:val="18"/>
              </w:rPr>
              <w:t> </w:t>
            </w:r>
            <w:r>
              <w:rPr>
                <w:b/>
                <w:color w:val="FFFFFF"/>
                <w:spacing w:val="-4"/>
                <w:sz w:val="18"/>
              </w:rPr>
              <w:t>Area</w:t>
            </w:r>
          </w:p>
        </w:tc>
        <w:tc>
          <w:tcPr>
            <w:tcW w:w="1266" w:type="dxa"/>
            <w:tcBorders>
              <w:left w:val="single" w:sz="4" w:space="0" w:color="FFFFFF"/>
              <w:right w:val="single" w:sz="4" w:space="0" w:color="FFFFFF"/>
            </w:tcBorders>
            <w:shd w:val="clear" w:color="auto" w:fill="A7A9AC"/>
          </w:tcPr>
          <w:p>
            <w:pPr>
              <w:pStyle w:val="TableParagraph"/>
              <w:spacing w:before="184"/>
              <w:rPr>
                <w:b/>
                <w:sz w:val="18"/>
              </w:rPr>
            </w:pPr>
          </w:p>
          <w:p>
            <w:pPr>
              <w:pStyle w:val="TableParagraph"/>
              <w:spacing w:line="232" w:lineRule="auto"/>
              <w:ind w:left="81" w:right="235"/>
              <w:rPr>
                <w:b/>
                <w:sz w:val="18"/>
              </w:rPr>
            </w:pPr>
            <w:r>
              <w:rPr>
                <w:b/>
                <w:color w:val="FFFFFF"/>
                <w:spacing w:val="-6"/>
                <w:sz w:val="18"/>
              </w:rPr>
              <w:t>Goal</w:t>
            </w:r>
            <w:r>
              <w:rPr>
                <w:b/>
                <w:color w:val="FFFFFF"/>
                <w:spacing w:val="-7"/>
                <w:sz w:val="18"/>
              </w:rPr>
              <w:t> </w:t>
            </w:r>
            <w:r>
              <w:rPr>
                <w:b/>
                <w:color w:val="FFFFFF"/>
                <w:spacing w:val="-6"/>
                <w:sz w:val="18"/>
              </w:rPr>
              <w:t>Focus </w:t>
            </w:r>
            <w:r>
              <w:rPr>
                <w:b/>
                <w:color w:val="FFFFFF"/>
                <w:spacing w:val="-4"/>
                <w:sz w:val="18"/>
              </w:rPr>
              <w:t>Area</w:t>
            </w:r>
          </w:p>
        </w:tc>
        <w:tc>
          <w:tcPr>
            <w:tcW w:w="1727" w:type="dxa"/>
            <w:tcBorders>
              <w:left w:val="single" w:sz="4" w:space="0" w:color="FFFFFF"/>
              <w:right w:val="single" w:sz="4" w:space="0" w:color="FFFFFF"/>
            </w:tcBorders>
            <w:shd w:val="clear" w:color="auto" w:fill="A7A9AC"/>
          </w:tcPr>
          <w:p>
            <w:pPr>
              <w:pStyle w:val="TableParagraph"/>
              <w:rPr>
                <w:b/>
                <w:sz w:val="18"/>
              </w:rPr>
            </w:pPr>
          </w:p>
          <w:p>
            <w:pPr>
              <w:pStyle w:val="TableParagraph"/>
              <w:spacing w:before="72"/>
              <w:rPr>
                <w:b/>
                <w:sz w:val="18"/>
              </w:rPr>
            </w:pPr>
          </w:p>
          <w:p>
            <w:pPr>
              <w:pStyle w:val="TableParagraph"/>
              <w:ind w:left="82"/>
              <w:rPr>
                <w:b/>
                <w:sz w:val="18"/>
              </w:rPr>
            </w:pPr>
            <w:r>
              <w:rPr>
                <w:b/>
                <w:color w:val="FFFFFF"/>
                <w:spacing w:val="-2"/>
                <w:sz w:val="18"/>
              </w:rPr>
              <w:t>Objectives</w:t>
            </w:r>
          </w:p>
        </w:tc>
        <w:tc>
          <w:tcPr>
            <w:tcW w:w="1065" w:type="dxa"/>
            <w:tcBorders>
              <w:left w:val="single" w:sz="4" w:space="0" w:color="FFFFFF"/>
              <w:right w:val="single" w:sz="4" w:space="0" w:color="FFFFFF"/>
            </w:tcBorders>
            <w:shd w:val="clear" w:color="auto" w:fill="A7A9AC"/>
          </w:tcPr>
          <w:p>
            <w:pPr>
              <w:pStyle w:val="TableParagraph"/>
              <w:rPr>
                <w:b/>
                <w:sz w:val="18"/>
              </w:rPr>
            </w:pPr>
          </w:p>
          <w:p>
            <w:pPr>
              <w:pStyle w:val="TableParagraph"/>
              <w:spacing w:before="72"/>
              <w:rPr>
                <w:b/>
                <w:sz w:val="18"/>
              </w:rPr>
            </w:pPr>
          </w:p>
          <w:p>
            <w:pPr>
              <w:pStyle w:val="TableParagraph"/>
              <w:ind w:left="83"/>
              <w:rPr>
                <w:b/>
                <w:sz w:val="18"/>
              </w:rPr>
            </w:pPr>
            <w:r>
              <w:rPr>
                <w:b/>
                <w:color w:val="FFFFFF"/>
                <w:spacing w:val="-2"/>
                <w:sz w:val="18"/>
              </w:rPr>
              <w:t>Disparities</w:t>
            </w:r>
          </w:p>
        </w:tc>
        <w:tc>
          <w:tcPr>
            <w:tcW w:w="1929" w:type="dxa"/>
            <w:tcBorders>
              <w:left w:val="single" w:sz="4" w:space="0" w:color="FFFFFF"/>
              <w:right w:val="single" w:sz="4" w:space="0" w:color="FFFFFF"/>
            </w:tcBorders>
            <w:shd w:val="clear" w:color="auto" w:fill="A7A9AC"/>
          </w:tcPr>
          <w:p>
            <w:pPr>
              <w:pStyle w:val="TableParagraph"/>
              <w:rPr>
                <w:b/>
                <w:sz w:val="18"/>
              </w:rPr>
            </w:pPr>
          </w:p>
          <w:p>
            <w:pPr>
              <w:pStyle w:val="TableParagraph"/>
              <w:spacing w:before="72"/>
              <w:rPr>
                <w:b/>
                <w:sz w:val="18"/>
              </w:rPr>
            </w:pPr>
          </w:p>
          <w:p>
            <w:pPr>
              <w:pStyle w:val="TableParagraph"/>
              <w:ind w:left="84"/>
              <w:rPr>
                <w:b/>
                <w:sz w:val="18"/>
              </w:rPr>
            </w:pPr>
            <w:r>
              <w:rPr>
                <w:b/>
                <w:color w:val="FFFFFF"/>
                <w:spacing w:val="-2"/>
                <w:sz w:val="18"/>
              </w:rPr>
              <w:t>Interventions</w:t>
            </w:r>
          </w:p>
        </w:tc>
        <w:tc>
          <w:tcPr>
            <w:tcW w:w="5349" w:type="dxa"/>
            <w:tcBorders>
              <w:left w:val="single" w:sz="4" w:space="0" w:color="FFFFFF"/>
              <w:right w:val="single" w:sz="4" w:space="0" w:color="FFFFFF"/>
            </w:tcBorders>
            <w:shd w:val="clear" w:color="auto" w:fill="A7A9AC"/>
          </w:tcPr>
          <w:p>
            <w:pPr>
              <w:pStyle w:val="TableParagraph"/>
              <w:spacing w:line="203" w:lineRule="exact" w:before="186"/>
              <w:ind w:left="3748"/>
              <w:rPr>
                <w:b/>
                <w:sz w:val="18"/>
              </w:rPr>
            </w:pPr>
            <w:r>
              <w:rPr>
                <w:b/>
                <w:color w:val="FFFFFF"/>
                <w:sz w:val="18"/>
              </w:rPr>
              <w:t>Projected</w:t>
            </w:r>
            <w:r>
              <w:rPr>
                <w:b/>
                <w:color w:val="FFFFFF"/>
                <w:spacing w:val="-13"/>
                <w:sz w:val="18"/>
              </w:rPr>
              <w:t> </w:t>
            </w:r>
            <w:r>
              <w:rPr>
                <w:b/>
                <w:color w:val="FFFFFF"/>
                <w:spacing w:val="-5"/>
                <w:sz w:val="18"/>
              </w:rPr>
              <w:t>(or</w:t>
            </w:r>
          </w:p>
          <w:p>
            <w:pPr>
              <w:pStyle w:val="TableParagraph"/>
              <w:tabs>
                <w:tab w:pos="3748" w:val="left" w:leader="none"/>
              </w:tabs>
              <w:spacing w:line="200" w:lineRule="exact"/>
              <w:ind w:left="94"/>
              <w:rPr>
                <w:b/>
                <w:sz w:val="18"/>
              </w:rPr>
            </w:pPr>
            <w:r>
              <w:rPr>
                <w:b/>
                <w:color w:val="FFFFFF"/>
                <w:spacing w:val="-4"/>
                <w:sz w:val="18"/>
              </w:rPr>
              <w:t>Family</w:t>
            </w:r>
            <w:r>
              <w:rPr>
                <w:b/>
                <w:color w:val="FFFFFF"/>
                <w:spacing w:val="-2"/>
                <w:sz w:val="18"/>
              </w:rPr>
              <w:t> </w:t>
            </w:r>
            <w:r>
              <w:rPr>
                <w:b/>
                <w:color w:val="FFFFFF"/>
                <w:spacing w:val="-5"/>
                <w:sz w:val="18"/>
              </w:rPr>
              <w:t>of</w:t>
            </w:r>
            <w:r>
              <w:rPr>
                <w:b/>
                <w:color w:val="FFFFFF"/>
                <w:sz w:val="18"/>
              </w:rPr>
              <w:tab/>
            </w:r>
            <w:r>
              <w:rPr>
                <w:b/>
                <w:color w:val="FFFFFF"/>
                <w:spacing w:val="-2"/>
                <w:sz w:val="18"/>
              </w:rPr>
              <w:t>completed)</w:t>
            </w:r>
          </w:p>
          <w:p>
            <w:pPr>
              <w:pStyle w:val="TableParagraph"/>
              <w:tabs>
                <w:tab w:pos="3748" w:val="left" w:leader="none"/>
              </w:tabs>
              <w:spacing w:line="200" w:lineRule="exact"/>
              <w:ind w:left="94"/>
              <w:rPr>
                <w:b/>
                <w:sz w:val="18"/>
              </w:rPr>
            </w:pPr>
            <w:r>
              <w:rPr>
                <w:b/>
                <w:color w:val="FFFFFF"/>
                <w:spacing w:val="-2"/>
                <w:sz w:val="18"/>
              </w:rPr>
              <w:t>Measures</w:t>
            </w:r>
            <w:r>
              <w:rPr>
                <w:b/>
                <w:color w:val="FFFFFF"/>
                <w:sz w:val="18"/>
              </w:rPr>
              <w:tab/>
            </w:r>
            <w:r>
              <w:rPr>
                <w:b/>
                <w:color w:val="FFFFFF"/>
                <w:spacing w:val="-4"/>
                <w:sz w:val="18"/>
              </w:rPr>
              <w:t>Year</w:t>
            </w:r>
            <w:r>
              <w:rPr>
                <w:b/>
                <w:color w:val="FFFFFF"/>
                <w:spacing w:val="-8"/>
                <w:sz w:val="18"/>
              </w:rPr>
              <w:t> </w:t>
            </w:r>
            <w:r>
              <w:rPr>
                <w:b/>
                <w:color w:val="FFFFFF"/>
                <w:spacing w:val="-10"/>
                <w:sz w:val="18"/>
              </w:rPr>
              <w:t>1</w:t>
            </w:r>
          </w:p>
          <w:p>
            <w:pPr>
              <w:pStyle w:val="TableParagraph"/>
              <w:spacing w:line="203" w:lineRule="exact"/>
              <w:ind w:left="3748"/>
              <w:rPr>
                <w:b/>
                <w:sz w:val="18"/>
              </w:rPr>
            </w:pPr>
            <w:r>
              <w:rPr>
                <w:b/>
                <w:color w:val="FFFFFF"/>
                <w:spacing w:val="-2"/>
                <w:sz w:val="18"/>
              </w:rPr>
              <w:t>Intervention</w:t>
            </w:r>
          </w:p>
        </w:tc>
        <w:tc>
          <w:tcPr>
            <w:tcW w:w="2570" w:type="dxa"/>
            <w:tcBorders>
              <w:left w:val="single" w:sz="4" w:space="0" w:color="FFFFFF"/>
              <w:right w:val="single" w:sz="4" w:space="0" w:color="FFFFFF"/>
            </w:tcBorders>
            <w:shd w:val="clear" w:color="auto" w:fill="A7A9AC"/>
          </w:tcPr>
          <w:p>
            <w:pPr>
              <w:pStyle w:val="TableParagraph"/>
              <w:rPr>
                <w:b/>
                <w:sz w:val="18"/>
              </w:rPr>
            </w:pPr>
          </w:p>
          <w:p>
            <w:pPr>
              <w:pStyle w:val="TableParagraph"/>
              <w:spacing w:before="71"/>
              <w:rPr>
                <w:b/>
                <w:sz w:val="18"/>
              </w:rPr>
            </w:pPr>
          </w:p>
          <w:p>
            <w:pPr>
              <w:pStyle w:val="TableParagraph"/>
              <w:spacing w:before="1"/>
              <w:ind w:left="85"/>
              <w:rPr>
                <w:b/>
                <w:sz w:val="18"/>
              </w:rPr>
            </w:pPr>
            <w:r>
              <w:rPr>
                <w:b/>
                <w:color w:val="FFFFFF"/>
                <w:spacing w:val="-2"/>
                <w:sz w:val="18"/>
              </w:rPr>
              <w:t>Projected</w:t>
            </w:r>
            <w:r>
              <w:rPr>
                <w:b/>
                <w:color w:val="FFFFFF"/>
                <w:spacing w:val="-6"/>
                <w:sz w:val="18"/>
              </w:rPr>
              <w:t> </w:t>
            </w:r>
            <w:r>
              <w:rPr>
                <w:b/>
                <w:color w:val="FFFFFF"/>
                <w:spacing w:val="-2"/>
                <w:sz w:val="18"/>
              </w:rPr>
              <w:t>Year</w:t>
            </w:r>
            <w:r>
              <w:rPr>
                <w:b/>
                <w:color w:val="FFFFFF"/>
                <w:spacing w:val="-5"/>
                <w:sz w:val="18"/>
              </w:rPr>
              <w:t> </w:t>
            </w:r>
            <w:r>
              <w:rPr>
                <w:b/>
                <w:color w:val="FFFFFF"/>
                <w:spacing w:val="-12"/>
                <w:sz w:val="18"/>
              </w:rPr>
              <w:t>2</w:t>
            </w:r>
          </w:p>
        </w:tc>
        <w:tc>
          <w:tcPr>
            <w:tcW w:w="2908" w:type="dxa"/>
            <w:tcBorders>
              <w:left w:val="single" w:sz="4" w:space="0" w:color="FFFFFF"/>
              <w:right w:val="single" w:sz="4" w:space="0" w:color="FFFFFF"/>
            </w:tcBorders>
            <w:shd w:val="clear" w:color="auto" w:fill="A7A9AC"/>
          </w:tcPr>
          <w:p>
            <w:pPr>
              <w:pStyle w:val="TableParagraph"/>
              <w:rPr>
                <w:b/>
                <w:sz w:val="18"/>
              </w:rPr>
            </w:pPr>
          </w:p>
          <w:p>
            <w:pPr>
              <w:pStyle w:val="TableParagraph"/>
              <w:spacing w:before="71"/>
              <w:rPr>
                <w:b/>
                <w:sz w:val="18"/>
              </w:rPr>
            </w:pPr>
          </w:p>
          <w:p>
            <w:pPr>
              <w:pStyle w:val="TableParagraph"/>
              <w:spacing w:before="1"/>
              <w:ind w:left="85"/>
              <w:rPr>
                <w:b/>
                <w:sz w:val="18"/>
              </w:rPr>
            </w:pPr>
            <w:r>
              <w:rPr>
                <w:b/>
                <w:color w:val="FFFFFF"/>
                <w:sz w:val="18"/>
              </w:rPr>
              <w:t>Projected</w:t>
            </w:r>
            <w:r>
              <w:rPr>
                <w:b/>
                <w:color w:val="FFFFFF"/>
                <w:spacing w:val="-10"/>
                <w:sz w:val="18"/>
              </w:rPr>
              <w:t> </w:t>
            </w:r>
            <w:r>
              <w:rPr>
                <w:b/>
                <w:color w:val="FFFFFF"/>
                <w:sz w:val="18"/>
              </w:rPr>
              <w:t>Year</w:t>
            </w:r>
            <w:r>
              <w:rPr>
                <w:b/>
                <w:color w:val="FFFFFF"/>
                <w:spacing w:val="-9"/>
                <w:sz w:val="18"/>
              </w:rPr>
              <w:t> </w:t>
            </w:r>
            <w:r>
              <w:rPr>
                <w:b/>
                <w:color w:val="FFFFFF"/>
                <w:sz w:val="18"/>
              </w:rPr>
              <w:t>3</w:t>
            </w:r>
            <w:r>
              <w:rPr>
                <w:b/>
                <w:color w:val="FFFFFF"/>
                <w:spacing w:val="-9"/>
                <w:sz w:val="18"/>
              </w:rPr>
              <w:t> </w:t>
            </w:r>
            <w:r>
              <w:rPr>
                <w:b/>
                <w:color w:val="FFFFFF"/>
                <w:spacing w:val="-2"/>
                <w:sz w:val="18"/>
              </w:rPr>
              <w:t>Interventions</w:t>
            </w:r>
          </w:p>
        </w:tc>
        <w:tc>
          <w:tcPr>
            <w:tcW w:w="1497" w:type="dxa"/>
            <w:tcBorders>
              <w:left w:val="single" w:sz="4" w:space="0" w:color="FFFFFF"/>
            </w:tcBorders>
            <w:shd w:val="clear" w:color="auto" w:fill="A7A9AC"/>
          </w:tcPr>
          <w:p>
            <w:pPr>
              <w:pStyle w:val="TableParagraph"/>
              <w:spacing w:before="183"/>
              <w:rPr>
                <w:b/>
                <w:sz w:val="18"/>
              </w:rPr>
            </w:pPr>
          </w:p>
          <w:p>
            <w:pPr>
              <w:pStyle w:val="TableParagraph"/>
              <w:spacing w:line="232" w:lineRule="auto" w:before="1"/>
              <w:ind w:left="86"/>
              <w:rPr>
                <w:b/>
                <w:sz w:val="18"/>
              </w:rPr>
            </w:pPr>
            <w:r>
              <w:rPr>
                <w:b/>
                <w:color w:val="FFFFFF"/>
                <w:spacing w:val="-2"/>
                <w:sz w:val="18"/>
              </w:rPr>
              <w:t>Implementation Partner</w:t>
            </w:r>
          </w:p>
        </w:tc>
        <w:tc>
          <w:tcPr>
            <w:tcW w:w="1492" w:type="dxa"/>
            <w:shd w:val="clear" w:color="auto" w:fill="A7A9AC"/>
          </w:tcPr>
          <w:p>
            <w:pPr>
              <w:pStyle w:val="TableParagraph"/>
              <w:spacing w:before="183"/>
              <w:rPr>
                <w:b/>
                <w:sz w:val="18"/>
              </w:rPr>
            </w:pPr>
          </w:p>
          <w:p>
            <w:pPr>
              <w:pStyle w:val="TableParagraph"/>
              <w:spacing w:line="232" w:lineRule="auto" w:before="1"/>
              <w:ind w:left="87" w:right="149"/>
              <w:rPr>
                <w:b/>
                <w:sz w:val="18"/>
              </w:rPr>
            </w:pPr>
            <w:r>
              <w:rPr>
                <w:b/>
                <w:color w:val="FFFFFF"/>
                <w:spacing w:val="-4"/>
                <w:sz w:val="18"/>
              </w:rPr>
              <w:t>Partner</w:t>
            </w:r>
            <w:r>
              <w:rPr>
                <w:b/>
                <w:color w:val="FFFFFF"/>
                <w:spacing w:val="-9"/>
                <w:sz w:val="18"/>
              </w:rPr>
              <w:t> </w:t>
            </w:r>
            <w:r>
              <w:rPr>
                <w:b/>
                <w:color w:val="FFFFFF"/>
                <w:spacing w:val="-4"/>
                <w:sz w:val="18"/>
              </w:rPr>
              <w:t>Role(s) </w:t>
            </w:r>
            <w:r>
              <w:rPr>
                <w:b/>
                <w:color w:val="FFFFFF"/>
                <w:sz w:val="18"/>
              </w:rPr>
              <w:t>and</w:t>
            </w:r>
            <w:r>
              <w:rPr>
                <w:b/>
                <w:color w:val="FFFFFF"/>
                <w:spacing w:val="-7"/>
                <w:sz w:val="18"/>
              </w:rPr>
              <w:t> </w:t>
            </w:r>
            <w:r>
              <w:rPr>
                <w:b/>
                <w:color w:val="FFFFFF"/>
                <w:spacing w:val="-8"/>
                <w:sz w:val="18"/>
              </w:rPr>
              <w:t>Resources</w:t>
            </w:r>
          </w:p>
        </w:tc>
      </w:tr>
      <w:tr>
        <w:trPr>
          <w:trHeight w:val="3550" w:hRule="atLeast"/>
        </w:trPr>
        <w:tc>
          <w:tcPr>
            <w:tcW w:w="1180" w:type="dxa"/>
            <w:vMerge w:val="restart"/>
            <w:shd w:val="clear" w:color="auto" w:fill="E6E7E8"/>
          </w:tcPr>
          <w:p>
            <w:pPr>
              <w:pStyle w:val="TableParagraph"/>
              <w:spacing w:line="232" w:lineRule="auto" w:before="100"/>
              <w:ind w:left="89" w:right="363"/>
              <w:jc w:val="both"/>
              <w:rPr>
                <w:sz w:val="18"/>
              </w:rPr>
            </w:pPr>
            <w:r>
              <w:rPr>
                <w:color w:val="105C84"/>
                <w:spacing w:val="-2"/>
                <w:sz w:val="18"/>
              </w:rPr>
              <w:t>Prevent Chronic </w:t>
            </w:r>
            <w:r>
              <w:rPr>
                <w:color w:val="105C84"/>
                <w:spacing w:val="-6"/>
                <w:sz w:val="18"/>
              </w:rPr>
              <w:t>Diseases</w:t>
            </w:r>
          </w:p>
        </w:tc>
        <w:tc>
          <w:tcPr>
            <w:tcW w:w="1324" w:type="dxa"/>
            <w:vMerge w:val="restart"/>
          </w:tcPr>
          <w:p>
            <w:pPr>
              <w:pStyle w:val="TableParagraph"/>
              <w:spacing w:before="95"/>
              <w:ind w:left="90"/>
              <w:rPr>
                <w:sz w:val="18"/>
              </w:rPr>
            </w:pPr>
            <w:r>
              <w:rPr>
                <w:color w:val="105C84"/>
                <w:spacing w:val="-4"/>
                <w:sz w:val="18"/>
              </w:rPr>
              <w:t>Focus Area</w:t>
            </w:r>
            <w:r>
              <w:rPr>
                <w:color w:val="105C84"/>
                <w:spacing w:val="-3"/>
                <w:sz w:val="18"/>
              </w:rPr>
              <w:t> </w:t>
            </w:r>
            <w:r>
              <w:rPr>
                <w:color w:val="105C84"/>
                <w:spacing w:val="-5"/>
                <w:sz w:val="18"/>
              </w:rPr>
              <w:t>4:</w:t>
            </w:r>
          </w:p>
          <w:p>
            <w:pPr>
              <w:pStyle w:val="TableParagraph"/>
              <w:spacing w:line="232" w:lineRule="auto" w:before="88"/>
              <w:ind w:left="90" w:right="139"/>
              <w:rPr>
                <w:sz w:val="18"/>
              </w:rPr>
            </w:pPr>
            <w:r>
              <w:rPr>
                <w:color w:val="105C84"/>
                <w:spacing w:val="-2"/>
                <w:sz w:val="18"/>
              </w:rPr>
              <w:t>Preventive </w:t>
            </w:r>
            <w:r>
              <w:rPr>
                <w:color w:val="105C84"/>
                <w:sz w:val="18"/>
              </w:rPr>
              <w:t>care and </w:t>
            </w:r>
            <w:r>
              <w:rPr>
                <w:color w:val="105C84"/>
                <w:spacing w:val="-2"/>
                <w:sz w:val="18"/>
              </w:rPr>
              <w:t>management</w:t>
            </w:r>
          </w:p>
        </w:tc>
        <w:tc>
          <w:tcPr>
            <w:tcW w:w="1266" w:type="dxa"/>
            <w:vMerge w:val="restart"/>
          </w:tcPr>
          <w:p>
            <w:pPr>
              <w:pStyle w:val="TableParagraph"/>
              <w:spacing w:line="232" w:lineRule="auto" w:before="100"/>
              <w:ind w:left="91" w:right="382"/>
              <w:rPr>
                <w:sz w:val="18"/>
              </w:rPr>
            </w:pPr>
            <w:r>
              <w:rPr>
                <w:color w:val="105C84"/>
                <w:sz w:val="18"/>
              </w:rPr>
              <w:t>Goal 4.1 </w:t>
            </w:r>
            <w:r>
              <w:rPr>
                <w:color w:val="105C84"/>
                <w:spacing w:val="-2"/>
                <w:sz w:val="18"/>
              </w:rPr>
              <w:t>Increase cancer screening rates</w:t>
            </w:r>
          </w:p>
        </w:tc>
        <w:tc>
          <w:tcPr>
            <w:tcW w:w="1727" w:type="dxa"/>
            <w:vMerge w:val="restart"/>
          </w:tcPr>
          <w:p>
            <w:pPr>
              <w:pStyle w:val="TableParagraph"/>
              <w:spacing w:line="232" w:lineRule="auto" w:before="100"/>
              <w:ind w:left="92" w:right="81"/>
              <w:rPr>
                <w:sz w:val="18"/>
              </w:rPr>
            </w:pPr>
            <w:r>
              <w:rPr>
                <w:color w:val="105C84"/>
                <w:sz w:val="18"/>
              </w:rPr>
              <w:t>4.1.4 Increase the percentage of adults</w:t>
            </w:r>
            <w:r>
              <w:rPr>
                <w:color w:val="105C84"/>
                <w:spacing w:val="-15"/>
                <w:sz w:val="18"/>
              </w:rPr>
              <w:t> </w:t>
            </w:r>
            <w:r>
              <w:rPr>
                <w:color w:val="105C84"/>
                <w:sz w:val="18"/>
              </w:rPr>
              <w:t>who</w:t>
            </w:r>
            <w:r>
              <w:rPr>
                <w:color w:val="105C84"/>
                <w:spacing w:val="-12"/>
                <w:sz w:val="18"/>
              </w:rPr>
              <w:t> </w:t>
            </w:r>
            <w:r>
              <w:rPr>
                <w:color w:val="105C84"/>
                <w:sz w:val="18"/>
              </w:rPr>
              <w:t>receive</w:t>
            </w:r>
            <w:r>
              <w:rPr>
                <w:color w:val="105C84"/>
                <w:sz w:val="18"/>
              </w:rPr>
              <w:t> a COLORECTAL </w:t>
            </w:r>
            <w:r>
              <w:rPr>
                <w:color w:val="105C84"/>
                <w:spacing w:val="-2"/>
                <w:sz w:val="18"/>
              </w:rPr>
              <w:t>CANCER</w:t>
            </w:r>
          </w:p>
          <w:p>
            <w:pPr>
              <w:pStyle w:val="TableParagraph"/>
              <w:spacing w:line="232" w:lineRule="auto"/>
              <w:ind w:left="92"/>
              <w:rPr>
                <w:sz w:val="18"/>
              </w:rPr>
            </w:pPr>
            <w:r>
              <w:rPr>
                <w:color w:val="105C84"/>
                <w:spacing w:val="-6"/>
                <w:sz w:val="18"/>
              </w:rPr>
              <w:t>SCREENING</w:t>
            </w:r>
            <w:r>
              <w:rPr>
                <w:color w:val="105C84"/>
                <w:spacing w:val="-7"/>
                <w:sz w:val="18"/>
              </w:rPr>
              <w:t> </w:t>
            </w:r>
            <w:r>
              <w:rPr>
                <w:color w:val="105C84"/>
                <w:spacing w:val="-6"/>
                <w:sz w:val="18"/>
              </w:rPr>
              <w:t>based </w:t>
            </w:r>
            <w:r>
              <w:rPr>
                <w:color w:val="105C84"/>
                <w:sz w:val="18"/>
              </w:rPr>
              <w:t>on the most recent guidelines (adults with an annual household income less than $25,000)</w:t>
            </w:r>
          </w:p>
        </w:tc>
        <w:tc>
          <w:tcPr>
            <w:tcW w:w="1065" w:type="dxa"/>
            <w:vMerge w:val="restart"/>
          </w:tcPr>
          <w:p>
            <w:pPr>
              <w:pStyle w:val="TableParagraph"/>
              <w:spacing w:line="203" w:lineRule="exact" w:before="95"/>
              <w:ind w:left="93"/>
              <w:rPr>
                <w:sz w:val="18"/>
              </w:rPr>
            </w:pPr>
            <w:r>
              <w:rPr>
                <w:color w:val="105C84"/>
                <w:sz w:val="18"/>
              </w:rPr>
              <w:t>Low</w:t>
            </w:r>
            <w:r>
              <w:rPr>
                <w:color w:val="105C84"/>
                <w:spacing w:val="-11"/>
                <w:sz w:val="18"/>
              </w:rPr>
              <w:t> </w:t>
            </w:r>
            <w:r>
              <w:rPr>
                <w:color w:val="105C84"/>
                <w:spacing w:val="-4"/>
                <w:sz w:val="18"/>
              </w:rPr>
              <w:t>SES,</w:t>
            </w:r>
          </w:p>
          <w:p>
            <w:pPr>
              <w:pStyle w:val="TableParagraph"/>
              <w:spacing w:line="232" w:lineRule="auto" w:before="2"/>
              <w:ind w:left="93" w:right="372"/>
              <w:rPr>
                <w:sz w:val="18"/>
              </w:rPr>
            </w:pPr>
            <w:r>
              <w:rPr>
                <w:color w:val="105C84"/>
                <w:sz w:val="18"/>
              </w:rPr>
              <w:t>un or </w:t>
            </w:r>
            <w:r>
              <w:rPr>
                <w:color w:val="105C84"/>
                <w:spacing w:val="-2"/>
                <w:sz w:val="18"/>
              </w:rPr>
              <w:t>under-insured</w:t>
            </w:r>
          </w:p>
        </w:tc>
        <w:tc>
          <w:tcPr>
            <w:tcW w:w="1929" w:type="dxa"/>
          </w:tcPr>
          <w:p>
            <w:pPr>
              <w:pStyle w:val="TableParagraph"/>
              <w:spacing w:line="232" w:lineRule="auto" w:before="100"/>
              <w:ind w:left="93" w:right="82"/>
              <w:rPr>
                <w:sz w:val="18"/>
              </w:rPr>
            </w:pPr>
            <w:r>
              <w:rPr>
                <w:color w:val="105C84"/>
                <w:sz w:val="18"/>
              </w:rPr>
              <w:t>4.1.1 Work with</w:t>
            </w:r>
            <w:r>
              <w:rPr>
                <w:color w:val="105C84"/>
                <w:spacing w:val="40"/>
                <w:sz w:val="18"/>
              </w:rPr>
              <w:t> </w:t>
            </w:r>
            <w:r>
              <w:rPr>
                <w:color w:val="105C84"/>
                <w:sz w:val="18"/>
              </w:rPr>
              <w:t>health</w:t>
            </w:r>
            <w:r>
              <w:rPr>
                <w:color w:val="105C84"/>
                <w:spacing w:val="-15"/>
                <w:sz w:val="18"/>
              </w:rPr>
              <w:t> </w:t>
            </w:r>
            <w:r>
              <w:rPr>
                <w:color w:val="105C84"/>
                <w:sz w:val="18"/>
              </w:rPr>
              <w:t>care</w:t>
            </w:r>
            <w:r>
              <w:rPr>
                <w:color w:val="105C84"/>
                <w:spacing w:val="-12"/>
                <w:sz w:val="18"/>
              </w:rPr>
              <w:t> </w:t>
            </w:r>
            <w:r>
              <w:rPr>
                <w:color w:val="105C84"/>
                <w:sz w:val="18"/>
              </w:rPr>
              <w:t>providers/</w:t>
            </w:r>
            <w:r>
              <w:rPr>
                <w:color w:val="105C84"/>
                <w:sz w:val="18"/>
              </w:rPr>
              <w:t> clinics to put</w:t>
            </w:r>
          </w:p>
          <w:p>
            <w:pPr>
              <w:pStyle w:val="TableParagraph"/>
              <w:spacing w:line="232" w:lineRule="auto"/>
              <w:ind w:left="93" w:right="154"/>
              <w:rPr>
                <w:sz w:val="18"/>
              </w:rPr>
            </w:pPr>
            <w:r>
              <w:rPr>
                <w:color w:val="105C84"/>
                <w:sz w:val="18"/>
              </w:rPr>
              <w:t>systems in place for patient and </w:t>
            </w:r>
            <w:r>
              <w:rPr>
                <w:color w:val="105C84"/>
                <w:sz w:val="18"/>
              </w:rPr>
              <w:t>provider screening</w:t>
            </w:r>
            <w:r>
              <w:rPr>
                <w:color w:val="105C84"/>
                <w:spacing w:val="-13"/>
                <w:sz w:val="18"/>
              </w:rPr>
              <w:t> </w:t>
            </w:r>
            <w:r>
              <w:rPr>
                <w:color w:val="105C84"/>
                <w:sz w:val="18"/>
              </w:rPr>
              <w:t>reminders (letter, postcards, emails, recorded phone messages, electronic health </w:t>
            </w:r>
            <w:r>
              <w:rPr>
                <w:color w:val="105C84"/>
                <w:spacing w:val="-6"/>
                <w:sz w:val="18"/>
              </w:rPr>
              <w:t>records</w:t>
            </w:r>
            <w:r>
              <w:rPr>
                <w:color w:val="105C84"/>
                <w:spacing w:val="-9"/>
                <w:sz w:val="18"/>
              </w:rPr>
              <w:t> </w:t>
            </w:r>
            <w:r>
              <w:rPr>
                <w:color w:val="105C84"/>
                <w:spacing w:val="-6"/>
                <w:sz w:val="18"/>
              </w:rPr>
              <w:t>(EHRs) alerts</w:t>
            </w:r>
          </w:p>
        </w:tc>
        <w:tc>
          <w:tcPr>
            <w:tcW w:w="5349" w:type="dxa"/>
          </w:tcPr>
          <w:p>
            <w:pPr>
              <w:pStyle w:val="TableParagraph"/>
              <w:tabs>
                <w:tab w:pos="3748" w:val="left" w:leader="none"/>
              </w:tabs>
              <w:spacing w:line="203" w:lineRule="exact" w:before="95"/>
              <w:ind w:left="94"/>
              <w:rPr>
                <w:sz w:val="18"/>
              </w:rPr>
            </w:pPr>
            <w:r>
              <w:rPr>
                <w:color w:val="105C84"/>
                <w:sz w:val="18"/>
              </w:rPr>
              <w:t>Number</w:t>
            </w:r>
            <w:r>
              <w:rPr>
                <w:color w:val="105C84"/>
                <w:spacing w:val="10"/>
                <w:sz w:val="18"/>
              </w:rPr>
              <w:t> </w:t>
            </w:r>
            <w:r>
              <w:rPr>
                <w:color w:val="105C84"/>
                <w:sz w:val="18"/>
              </w:rPr>
              <w:t>of</w:t>
            </w:r>
            <w:r>
              <w:rPr>
                <w:color w:val="105C84"/>
                <w:spacing w:val="10"/>
                <w:sz w:val="18"/>
              </w:rPr>
              <w:t> </w:t>
            </w:r>
            <w:r>
              <w:rPr>
                <w:color w:val="105C84"/>
                <w:spacing w:val="-2"/>
                <w:sz w:val="18"/>
              </w:rPr>
              <w:t>health</w:t>
            </w:r>
            <w:r>
              <w:rPr>
                <w:color w:val="105C84"/>
                <w:sz w:val="18"/>
              </w:rPr>
              <w:tab/>
              <w:t>Report</w:t>
            </w:r>
            <w:r>
              <w:rPr>
                <w:color w:val="105C84"/>
                <w:spacing w:val="-4"/>
                <w:sz w:val="18"/>
              </w:rPr>
              <w:t> </w:t>
            </w:r>
            <w:r>
              <w:rPr>
                <w:color w:val="105C84"/>
                <w:spacing w:val="-5"/>
                <w:sz w:val="18"/>
              </w:rPr>
              <w:t>on</w:t>
            </w:r>
          </w:p>
          <w:p>
            <w:pPr>
              <w:pStyle w:val="TableParagraph"/>
              <w:tabs>
                <w:tab w:pos="3748" w:val="left" w:leader="none"/>
              </w:tabs>
              <w:spacing w:line="200" w:lineRule="exact"/>
              <w:ind w:left="94"/>
              <w:rPr>
                <w:sz w:val="18"/>
              </w:rPr>
            </w:pPr>
            <w:r>
              <w:rPr>
                <w:color w:val="105C84"/>
                <w:spacing w:val="-6"/>
                <w:sz w:val="18"/>
              </w:rPr>
              <w:t>systems</w:t>
            </w:r>
            <w:r>
              <w:rPr>
                <w:color w:val="105C84"/>
                <w:spacing w:val="-2"/>
                <w:sz w:val="18"/>
              </w:rPr>
              <w:t> </w:t>
            </w:r>
            <w:r>
              <w:rPr>
                <w:color w:val="105C84"/>
                <w:spacing w:val="-4"/>
                <w:sz w:val="18"/>
              </w:rPr>
              <w:t>that</w:t>
            </w:r>
            <w:r>
              <w:rPr>
                <w:color w:val="105C84"/>
                <w:sz w:val="18"/>
              </w:rPr>
              <w:tab/>
            </w:r>
            <w:r>
              <w:rPr>
                <w:color w:val="105C84"/>
                <w:spacing w:val="-2"/>
                <w:sz w:val="18"/>
              </w:rPr>
              <w:t>colonoscopy,</w:t>
            </w:r>
          </w:p>
          <w:p>
            <w:pPr>
              <w:pStyle w:val="TableParagraph"/>
              <w:tabs>
                <w:tab w:pos="3748" w:val="left" w:leader="none"/>
              </w:tabs>
              <w:spacing w:line="200" w:lineRule="exact"/>
              <w:ind w:left="94"/>
              <w:rPr>
                <w:sz w:val="18"/>
              </w:rPr>
            </w:pPr>
            <w:r>
              <w:rPr>
                <w:color w:val="105C84"/>
                <w:sz w:val="18"/>
              </w:rPr>
              <w:t>implement</w:t>
            </w:r>
            <w:r>
              <w:rPr>
                <w:color w:val="105C84"/>
                <w:spacing w:val="20"/>
                <w:sz w:val="18"/>
              </w:rPr>
              <w:t> </w:t>
            </w:r>
            <w:r>
              <w:rPr>
                <w:color w:val="105C84"/>
                <w:spacing w:val="-5"/>
                <w:sz w:val="18"/>
              </w:rPr>
              <w:t>or</w:t>
            </w:r>
            <w:r>
              <w:rPr>
                <w:color w:val="105C84"/>
                <w:sz w:val="18"/>
              </w:rPr>
              <w:tab/>
              <w:t>colon</w:t>
            </w:r>
            <w:r>
              <w:rPr>
                <w:color w:val="105C84"/>
                <w:spacing w:val="8"/>
                <w:sz w:val="18"/>
              </w:rPr>
              <w:t> </w:t>
            </w:r>
            <w:r>
              <w:rPr>
                <w:color w:val="105C84"/>
                <w:spacing w:val="-2"/>
                <w:sz w:val="18"/>
              </w:rPr>
              <w:t>cancer</w:t>
            </w:r>
          </w:p>
          <w:p>
            <w:pPr>
              <w:pStyle w:val="TableParagraph"/>
              <w:tabs>
                <w:tab w:pos="3748" w:val="left" w:leader="none"/>
              </w:tabs>
              <w:spacing w:line="200" w:lineRule="exact"/>
              <w:ind w:left="94"/>
              <w:rPr>
                <w:sz w:val="18"/>
              </w:rPr>
            </w:pPr>
            <w:r>
              <w:rPr>
                <w:color w:val="105C84"/>
                <w:sz w:val="18"/>
              </w:rPr>
              <w:t>improve</w:t>
            </w:r>
            <w:r>
              <w:rPr>
                <w:color w:val="105C84"/>
                <w:spacing w:val="4"/>
                <w:sz w:val="18"/>
              </w:rPr>
              <w:t> </w:t>
            </w:r>
            <w:r>
              <w:rPr>
                <w:color w:val="105C84"/>
                <w:spacing w:val="-2"/>
                <w:sz w:val="18"/>
              </w:rPr>
              <w:t>provider</w:t>
            </w:r>
            <w:r>
              <w:rPr>
                <w:color w:val="105C84"/>
                <w:sz w:val="18"/>
              </w:rPr>
              <w:tab/>
            </w:r>
            <w:r>
              <w:rPr>
                <w:color w:val="105C84"/>
                <w:spacing w:val="-2"/>
                <w:sz w:val="18"/>
              </w:rPr>
              <w:t>screening</w:t>
            </w:r>
            <w:r>
              <w:rPr>
                <w:color w:val="105C84"/>
                <w:spacing w:val="4"/>
                <w:sz w:val="18"/>
              </w:rPr>
              <w:t> </w:t>
            </w:r>
            <w:r>
              <w:rPr>
                <w:color w:val="105C84"/>
                <w:spacing w:val="-2"/>
                <w:sz w:val="18"/>
              </w:rPr>
              <w:t>referral</w:t>
            </w:r>
          </w:p>
          <w:p>
            <w:pPr>
              <w:pStyle w:val="TableParagraph"/>
              <w:tabs>
                <w:tab w:pos="3748" w:val="left" w:leader="none"/>
              </w:tabs>
              <w:spacing w:line="200" w:lineRule="exact"/>
              <w:ind w:left="94"/>
              <w:rPr>
                <w:sz w:val="18"/>
              </w:rPr>
            </w:pPr>
            <w:r>
              <w:rPr>
                <w:color w:val="105C84"/>
                <w:sz w:val="18"/>
              </w:rPr>
              <w:t>and</w:t>
            </w:r>
            <w:r>
              <w:rPr>
                <w:color w:val="105C84"/>
                <w:spacing w:val="-1"/>
                <w:sz w:val="18"/>
              </w:rPr>
              <w:t> </w:t>
            </w:r>
            <w:r>
              <w:rPr>
                <w:color w:val="105C84"/>
                <w:spacing w:val="-2"/>
                <w:sz w:val="18"/>
              </w:rPr>
              <w:t>patient</w:t>
            </w:r>
            <w:r>
              <w:rPr>
                <w:color w:val="105C84"/>
                <w:sz w:val="18"/>
              </w:rPr>
              <w:tab/>
              <w:t>numbers</w:t>
            </w:r>
            <w:r>
              <w:rPr>
                <w:color w:val="105C84"/>
                <w:spacing w:val="-13"/>
                <w:sz w:val="18"/>
              </w:rPr>
              <w:t> </w:t>
            </w:r>
            <w:r>
              <w:rPr>
                <w:color w:val="105C84"/>
                <w:spacing w:val="-5"/>
                <w:sz w:val="18"/>
              </w:rPr>
              <w:t>for</w:t>
            </w:r>
          </w:p>
          <w:p>
            <w:pPr>
              <w:pStyle w:val="TableParagraph"/>
              <w:tabs>
                <w:tab w:pos="3748" w:val="left" w:leader="none"/>
              </w:tabs>
              <w:spacing w:line="232" w:lineRule="auto" w:before="2"/>
              <w:ind w:left="3748" w:right="184" w:hanging="3654"/>
              <w:rPr>
                <w:sz w:val="18"/>
              </w:rPr>
            </w:pPr>
            <w:r>
              <w:rPr>
                <w:color w:val="105C84"/>
                <w:sz w:val="18"/>
              </w:rPr>
              <w:t>reminder systems</w:t>
              <w:tab/>
              <w:t>Yates County from</w:t>
            </w:r>
            <w:r>
              <w:rPr>
                <w:color w:val="105C84"/>
                <w:spacing w:val="-15"/>
                <w:sz w:val="18"/>
              </w:rPr>
              <w:t> </w:t>
            </w:r>
            <w:r>
              <w:rPr>
                <w:color w:val="105C84"/>
                <w:sz w:val="18"/>
              </w:rPr>
              <w:t>primary</w:t>
            </w:r>
            <w:r>
              <w:rPr>
                <w:color w:val="105C84"/>
                <w:spacing w:val="-12"/>
                <w:sz w:val="18"/>
              </w:rPr>
              <w:t> </w:t>
            </w:r>
            <w:r>
              <w:rPr>
                <w:color w:val="105C84"/>
                <w:sz w:val="18"/>
              </w:rPr>
              <w:t>care </w:t>
            </w:r>
            <w:r>
              <w:rPr>
                <w:color w:val="105C84"/>
                <w:spacing w:val="-2"/>
                <w:sz w:val="18"/>
              </w:rPr>
              <w:t>practices</w:t>
            </w:r>
          </w:p>
          <w:p>
            <w:pPr>
              <w:pStyle w:val="TableParagraph"/>
              <w:spacing w:line="232" w:lineRule="auto" w:before="87"/>
              <w:ind w:left="3748" w:right="170"/>
              <w:rPr>
                <w:sz w:val="18"/>
              </w:rPr>
            </w:pPr>
            <w:r>
              <w:rPr>
                <w:color w:val="105C84"/>
                <w:sz w:val="18"/>
              </w:rPr>
              <w:t>Provide colon cancer screening raw numbers for </w:t>
            </w:r>
            <w:r>
              <w:rPr>
                <w:color w:val="105C84"/>
                <w:spacing w:val="-4"/>
                <w:sz w:val="18"/>
              </w:rPr>
              <w:t>each</w:t>
            </w:r>
            <w:r>
              <w:rPr>
                <w:color w:val="105C84"/>
                <w:spacing w:val="-11"/>
                <w:sz w:val="18"/>
              </w:rPr>
              <w:t> </w:t>
            </w:r>
            <w:r>
              <w:rPr>
                <w:color w:val="105C84"/>
                <w:spacing w:val="-4"/>
                <w:sz w:val="18"/>
              </w:rPr>
              <w:t>service</w:t>
            </w:r>
            <w:r>
              <w:rPr>
                <w:color w:val="105C84"/>
                <w:spacing w:val="-8"/>
                <w:sz w:val="18"/>
              </w:rPr>
              <w:t> </w:t>
            </w:r>
            <w:r>
              <w:rPr>
                <w:color w:val="105C84"/>
                <w:spacing w:val="-4"/>
                <w:sz w:val="18"/>
              </w:rPr>
              <w:t>year. </w:t>
            </w:r>
            <w:r>
              <w:rPr>
                <w:color w:val="105C84"/>
                <w:spacing w:val="-2"/>
                <w:sz w:val="18"/>
              </w:rPr>
              <w:t>Provide</w:t>
            </w:r>
            <w:r>
              <w:rPr>
                <w:color w:val="105C84"/>
                <w:spacing w:val="-11"/>
                <w:sz w:val="18"/>
              </w:rPr>
              <w:t> </w:t>
            </w:r>
            <w:r>
              <w:rPr>
                <w:color w:val="105C84"/>
                <w:spacing w:val="-2"/>
                <w:sz w:val="18"/>
              </w:rPr>
              <w:t>estimates </w:t>
            </w:r>
            <w:r>
              <w:rPr>
                <w:color w:val="105C84"/>
                <w:sz w:val="18"/>
              </w:rPr>
              <w:t>of demographics to determine those of low SES</w:t>
            </w:r>
          </w:p>
        </w:tc>
        <w:tc>
          <w:tcPr>
            <w:tcW w:w="2570" w:type="dxa"/>
          </w:tcPr>
          <w:p>
            <w:pPr>
              <w:pStyle w:val="TableParagraph"/>
              <w:spacing w:line="232" w:lineRule="auto" w:before="100"/>
              <w:ind w:left="95" w:right="78"/>
              <w:rPr>
                <w:sz w:val="18"/>
              </w:rPr>
            </w:pPr>
            <w:r>
              <w:rPr>
                <w:color w:val="105C84"/>
                <w:sz w:val="18"/>
              </w:rPr>
              <w:t>Report</w:t>
            </w:r>
            <w:r>
              <w:rPr>
                <w:color w:val="105C84"/>
                <w:spacing w:val="-10"/>
                <w:sz w:val="18"/>
              </w:rPr>
              <w:t> </w:t>
            </w:r>
            <w:r>
              <w:rPr>
                <w:color w:val="105C84"/>
                <w:sz w:val="18"/>
              </w:rPr>
              <w:t>on</w:t>
            </w:r>
            <w:r>
              <w:rPr>
                <w:color w:val="105C84"/>
                <w:spacing w:val="-10"/>
                <w:sz w:val="18"/>
              </w:rPr>
              <w:t> </w:t>
            </w:r>
            <w:r>
              <w:rPr>
                <w:color w:val="105C84"/>
                <w:sz w:val="18"/>
              </w:rPr>
              <w:t>colonoscopy,</w:t>
            </w:r>
            <w:r>
              <w:rPr>
                <w:color w:val="105C84"/>
                <w:spacing w:val="-10"/>
                <w:sz w:val="18"/>
              </w:rPr>
              <w:t> </w:t>
            </w:r>
            <w:r>
              <w:rPr>
                <w:color w:val="105C84"/>
                <w:sz w:val="18"/>
              </w:rPr>
              <w:t>colon cancer screening referral numbers for Yates County from primary care practices</w:t>
            </w:r>
          </w:p>
          <w:p>
            <w:pPr>
              <w:pStyle w:val="TableParagraph"/>
              <w:spacing w:line="232" w:lineRule="auto" w:before="86"/>
              <w:ind w:left="95" w:right="78"/>
              <w:rPr>
                <w:sz w:val="18"/>
              </w:rPr>
            </w:pPr>
            <w:r>
              <w:rPr>
                <w:color w:val="105C84"/>
                <w:sz w:val="18"/>
              </w:rPr>
              <w:t>Provide colon cancer screening</w:t>
            </w:r>
            <w:r>
              <w:rPr>
                <w:color w:val="105C84"/>
                <w:spacing w:val="-13"/>
                <w:sz w:val="18"/>
              </w:rPr>
              <w:t> </w:t>
            </w:r>
            <w:r>
              <w:rPr>
                <w:color w:val="105C84"/>
                <w:sz w:val="18"/>
              </w:rPr>
              <w:t>raw</w:t>
            </w:r>
            <w:r>
              <w:rPr>
                <w:color w:val="105C84"/>
                <w:spacing w:val="-12"/>
                <w:sz w:val="18"/>
              </w:rPr>
              <w:t> </w:t>
            </w:r>
            <w:r>
              <w:rPr>
                <w:color w:val="105C84"/>
                <w:sz w:val="18"/>
              </w:rPr>
              <w:t>numbers</w:t>
            </w:r>
            <w:r>
              <w:rPr>
                <w:color w:val="105C84"/>
                <w:spacing w:val="-13"/>
                <w:sz w:val="18"/>
              </w:rPr>
              <w:t> </w:t>
            </w:r>
            <w:r>
              <w:rPr>
                <w:color w:val="105C84"/>
                <w:sz w:val="18"/>
              </w:rPr>
              <w:t>for each service year</w:t>
            </w:r>
          </w:p>
          <w:p>
            <w:pPr>
              <w:pStyle w:val="TableParagraph"/>
              <w:spacing w:line="232" w:lineRule="auto" w:before="88"/>
              <w:ind w:left="95"/>
              <w:rPr>
                <w:sz w:val="18"/>
              </w:rPr>
            </w:pPr>
            <w:r>
              <w:rPr>
                <w:color w:val="105C84"/>
                <w:sz w:val="18"/>
              </w:rPr>
              <w:t>Provide estimates of demographics to </w:t>
            </w:r>
            <w:r>
              <w:rPr>
                <w:color w:val="105C84"/>
                <w:sz w:val="18"/>
              </w:rPr>
              <w:t>determine those of low SES</w:t>
            </w:r>
          </w:p>
        </w:tc>
        <w:tc>
          <w:tcPr>
            <w:tcW w:w="2908" w:type="dxa"/>
          </w:tcPr>
          <w:p>
            <w:pPr>
              <w:pStyle w:val="TableParagraph"/>
              <w:spacing w:line="232" w:lineRule="auto" w:before="99"/>
              <w:ind w:left="95" w:right="83"/>
              <w:rPr>
                <w:sz w:val="18"/>
              </w:rPr>
            </w:pPr>
            <w:r>
              <w:rPr>
                <w:color w:val="105C84"/>
                <w:sz w:val="18"/>
              </w:rPr>
              <w:t>Report on colonoscopy, colon </w:t>
            </w:r>
            <w:r>
              <w:rPr>
                <w:color w:val="105C84"/>
                <w:spacing w:val="-2"/>
                <w:sz w:val="18"/>
              </w:rPr>
              <w:t>cancer</w:t>
            </w:r>
            <w:r>
              <w:rPr>
                <w:color w:val="105C84"/>
                <w:spacing w:val="-4"/>
                <w:sz w:val="18"/>
              </w:rPr>
              <w:t> </w:t>
            </w:r>
            <w:r>
              <w:rPr>
                <w:color w:val="105C84"/>
                <w:spacing w:val="-2"/>
                <w:sz w:val="18"/>
              </w:rPr>
              <w:t>screening</w:t>
            </w:r>
            <w:r>
              <w:rPr>
                <w:color w:val="105C84"/>
                <w:spacing w:val="-4"/>
                <w:sz w:val="18"/>
              </w:rPr>
              <w:t> </w:t>
            </w:r>
            <w:r>
              <w:rPr>
                <w:color w:val="105C84"/>
                <w:spacing w:val="-2"/>
                <w:sz w:val="18"/>
              </w:rPr>
              <w:t>referral</w:t>
            </w:r>
            <w:r>
              <w:rPr>
                <w:color w:val="105C84"/>
                <w:spacing w:val="-4"/>
                <w:sz w:val="18"/>
              </w:rPr>
              <w:t> </w:t>
            </w:r>
            <w:r>
              <w:rPr>
                <w:color w:val="105C84"/>
                <w:spacing w:val="-2"/>
                <w:sz w:val="18"/>
              </w:rPr>
              <w:t>numbers </w:t>
            </w:r>
            <w:r>
              <w:rPr>
                <w:color w:val="105C84"/>
                <w:sz w:val="18"/>
              </w:rPr>
              <w:t>for Yates County from primary care practices</w:t>
            </w:r>
          </w:p>
          <w:p>
            <w:pPr>
              <w:pStyle w:val="TableParagraph"/>
              <w:spacing w:line="232" w:lineRule="auto" w:before="87"/>
              <w:ind w:left="95" w:right="61"/>
              <w:rPr>
                <w:sz w:val="18"/>
              </w:rPr>
            </w:pPr>
            <w:r>
              <w:rPr>
                <w:color w:val="105C84"/>
                <w:sz w:val="18"/>
              </w:rPr>
              <w:t>Provide colon cancer screening </w:t>
            </w:r>
            <w:r>
              <w:rPr>
                <w:color w:val="105C84"/>
                <w:spacing w:val="-2"/>
                <w:sz w:val="18"/>
              </w:rPr>
              <w:t>raw</w:t>
            </w:r>
            <w:r>
              <w:rPr>
                <w:color w:val="105C84"/>
                <w:spacing w:val="-11"/>
                <w:sz w:val="18"/>
              </w:rPr>
              <w:t> </w:t>
            </w:r>
            <w:r>
              <w:rPr>
                <w:color w:val="105C84"/>
                <w:spacing w:val="-2"/>
                <w:sz w:val="18"/>
              </w:rPr>
              <w:t>numbers</w:t>
            </w:r>
            <w:r>
              <w:rPr>
                <w:color w:val="105C84"/>
                <w:spacing w:val="-10"/>
                <w:sz w:val="18"/>
              </w:rPr>
              <w:t> </w:t>
            </w:r>
            <w:r>
              <w:rPr>
                <w:color w:val="105C84"/>
                <w:spacing w:val="-2"/>
                <w:sz w:val="18"/>
              </w:rPr>
              <w:t>for</w:t>
            </w:r>
            <w:r>
              <w:rPr>
                <w:color w:val="105C84"/>
                <w:spacing w:val="-11"/>
                <w:sz w:val="18"/>
              </w:rPr>
              <w:t> </w:t>
            </w:r>
            <w:r>
              <w:rPr>
                <w:color w:val="105C84"/>
                <w:spacing w:val="-2"/>
                <w:sz w:val="18"/>
              </w:rPr>
              <w:t>each</w:t>
            </w:r>
            <w:r>
              <w:rPr>
                <w:color w:val="105C84"/>
                <w:spacing w:val="-10"/>
                <w:sz w:val="18"/>
              </w:rPr>
              <w:t> </w:t>
            </w:r>
            <w:r>
              <w:rPr>
                <w:color w:val="105C84"/>
                <w:spacing w:val="-2"/>
                <w:sz w:val="18"/>
              </w:rPr>
              <w:t>service</w:t>
            </w:r>
            <w:r>
              <w:rPr>
                <w:color w:val="105C84"/>
                <w:spacing w:val="-11"/>
                <w:sz w:val="18"/>
              </w:rPr>
              <w:t> </w:t>
            </w:r>
            <w:r>
              <w:rPr>
                <w:color w:val="105C84"/>
                <w:spacing w:val="-2"/>
                <w:sz w:val="18"/>
              </w:rPr>
              <w:t>year. </w:t>
            </w:r>
            <w:r>
              <w:rPr>
                <w:color w:val="105C84"/>
                <w:sz w:val="18"/>
              </w:rPr>
              <w:t>Provide estimates of demographics to determine those of low SES</w:t>
            </w:r>
          </w:p>
        </w:tc>
        <w:tc>
          <w:tcPr>
            <w:tcW w:w="1497" w:type="dxa"/>
          </w:tcPr>
          <w:p>
            <w:pPr>
              <w:pStyle w:val="TableParagraph"/>
              <w:spacing w:before="94"/>
              <w:ind w:left="96"/>
              <w:rPr>
                <w:sz w:val="18"/>
              </w:rPr>
            </w:pPr>
            <w:r>
              <w:rPr>
                <w:color w:val="105C84"/>
                <w:spacing w:val="-2"/>
                <w:sz w:val="18"/>
              </w:rPr>
              <w:t>Hospital</w:t>
            </w:r>
          </w:p>
        </w:tc>
        <w:tc>
          <w:tcPr>
            <w:tcW w:w="1492" w:type="dxa"/>
          </w:tcPr>
          <w:p>
            <w:pPr>
              <w:pStyle w:val="TableParagraph"/>
              <w:spacing w:line="232" w:lineRule="auto" w:before="99"/>
              <w:ind w:left="96" w:right="125"/>
              <w:rPr>
                <w:sz w:val="18"/>
              </w:rPr>
            </w:pPr>
            <w:r>
              <w:rPr>
                <w:color w:val="105C84"/>
                <w:sz w:val="18"/>
              </w:rPr>
              <w:t>Finger Lakes Health (FLH) will utilize EHR (EMR) to make patient</w:t>
            </w:r>
            <w:r>
              <w:rPr>
                <w:color w:val="105C84"/>
                <w:spacing w:val="-13"/>
                <w:sz w:val="18"/>
              </w:rPr>
              <w:t> </w:t>
            </w:r>
            <w:r>
              <w:rPr>
                <w:color w:val="105C84"/>
                <w:sz w:val="18"/>
              </w:rPr>
              <w:t>referrals for screenings as appropriate</w:t>
            </w:r>
          </w:p>
          <w:p>
            <w:pPr>
              <w:pStyle w:val="TableParagraph"/>
              <w:spacing w:line="232" w:lineRule="auto" w:before="85"/>
              <w:ind w:left="96" w:right="125"/>
              <w:rPr>
                <w:sz w:val="18"/>
              </w:rPr>
            </w:pPr>
            <w:r>
              <w:rPr>
                <w:color w:val="105C84"/>
                <w:sz w:val="18"/>
              </w:rPr>
              <w:t>Staff</w:t>
            </w:r>
            <w:r>
              <w:rPr>
                <w:color w:val="105C84"/>
                <w:spacing w:val="-13"/>
                <w:sz w:val="18"/>
              </w:rPr>
              <w:t> </w:t>
            </w:r>
            <w:r>
              <w:rPr>
                <w:color w:val="105C84"/>
                <w:sz w:val="18"/>
              </w:rPr>
              <w:t>time</w:t>
            </w:r>
            <w:r>
              <w:rPr>
                <w:color w:val="105C84"/>
                <w:spacing w:val="-12"/>
                <w:sz w:val="18"/>
              </w:rPr>
              <w:t> </w:t>
            </w:r>
            <w:r>
              <w:rPr>
                <w:color w:val="105C84"/>
                <w:sz w:val="18"/>
              </w:rPr>
              <w:t>of</w:t>
            </w:r>
            <w:r>
              <w:rPr>
                <w:color w:val="105C84"/>
                <w:spacing w:val="-13"/>
                <w:sz w:val="18"/>
              </w:rPr>
              <w:t> </w:t>
            </w:r>
            <w:r>
              <w:rPr>
                <w:color w:val="105C84"/>
                <w:sz w:val="18"/>
              </w:rPr>
              <w:t>.15 </w:t>
            </w:r>
            <w:r>
              <w:rPr>
                <w:color w:val="105C84"/>
                <w:w w:val="105"/>
                <w:sz w:val="18"/>
              </w:rPr>
              <w:t>FTE to collect and</w:t>
            </w:r>
            <w:r>
              <w:rPr>
                <w:color w:val="105C84"/>
                <w:spacing w:val="-1"/>
                <w:w w:val="105"/>
                <w:sz w:val="18"/>
              </w:rPr>
              <w:t> </w:t>
            </w:r>
            <w:r>
              <w:rPr>
                <w:color w:val="105C84"/>
                <w:w w:val="105"/>
                <w:sz w:val="18"/>
              </w:rPr>
              <w:t>report </w:t>
            </w:r>
            <w:r>
              <w:rPr>
                <w:color w:val="105C84"/>
                <w:sz w:val="18"/>
              </w:rPr>
              <w:t>aggregate data</w:t>
            </w:r>
          </w:p>
        </w:tc>
      </w:tr>
      <w:tr>
        <w:trPr>
          <w:trHeight w:val="4820" w:hRule="atLeast"/>
        </w:trPr>
        <w:tc>
          <w:tcPr>
            <w:tcW w:w="1180" w:type="dxa"/>
            <w:vMerge/>
            <w:tcBorders>
              <w:top w:val="nil"/>
            </w:tcBorders>
            <w:shd w:val="clear" w:color="auto" w:fill="E6E7E8"/>
          </w:tcPr>
          <w:p>
            <w:pPr>
              <w:rPr>
                <w:sz w:val="2"/>
                <w:szCs w:val="2"/>
              </w:rPr>
            </w:pPr>
          </w:p>
        </w:tc>
        <w:tc>
          <w:tcPr>
            <w:tcW w:w="1324" w:type="dxa"/>
            <w:vMerge/>
            <w:tcBorders>
              <w:top w:val="nil"/>
            </w:tcBorders>
          </w:tcPr>
          <w:p>
            <w:pPr>
              <w:rPr>
                <w:sz w:val="2"/>
                <w:szCs w:val="2"/>
              </w:rPr>
            </w:pPr>
          </w:p>
        </w:tc>
        <w:tc>
          <w:tcPr>
            <w:tcW w:w="1266" w:type="dxa"/>
            <w:vMerge/>
            <w:tcBorders>
              <w:top w:val="nil"/>
            </w:tcBorders>
          </w:tcPr>
          <w:p>
            <w:pPr>
              <w:rPr>
                <w:sz w:val="2"/>
                <w:szCs w:val="2"/>
              </w:rPr>
            </w:pPr>
          </w:p>
        </w:tc>
        <w:tc>
          <w:tcPr>
            <w:tcW w:w="1727" w:type="dxa"/>
            <w:vMerge/>
            <w:tcBorders>
              <w:top w:val="nil"/>
            </w:tcBorders>
          </w:tcPr>
          <w:p>
            <w:pPr>
              <w:rPr>
                <w:sz w:val="2"/>
                <w:szCs w:val="2"/>
              </w:rPr>
            </w:pPr>
          </w:p>
        </w:tc>
        <w:tc>
          <w:tcPr>
            <w:tcW w:w="1065" w:type="dxa"/>
            <w:vMerge/>
            <w:tcBorders>
              <w:top w:val="nil"/>
            </w:tcBorders>
          </w:tcPr>
          <w:p>
            <w:pPr>
              <w:rPr>
                <w:sz w:val="2"/>
                <w:szCs w:val="2"/>
              </w:rPr>
            </w:pPr>
          </w:p>
        </w:tc>
        <w:tc>
          <w:tcPr>
            <w:tcW w:w="1929" w:type="dxa"/>
          </w:tcPr>
          <w:p>
            <w:pPr>
              <w:pStyle w:val="TableParagraph"/>
              <w:spacing w:line="232" w:lineRule="auto" w:before="99"/>
              <w:ind w:left="93" w:right="297"/>
              <w:rPr>
                <w:sz w:val="18"/>
              </w:rPr>
            </w:pPr>
            <w:r>
              <w:rPr>
                <w:color w:val="105C84"/>
                <w:sz w:val="18"/>
              </w:rPr>
              <w:t>4.1.2</w:t>
            </w:r>
            <w:r>
              <w:rPr>
                <w:color w:val="105C84"/>
                <w:spacing w:val="-15"/>
                <w:sz w:val="18"/>
              </w:rPr>
              <w:t> </w:t>
            </w:r>
            <w:r>
              <w:rPr>
                <w:color w:val="105C84"/>
                <w:sz w:val="18"/>
              </w:rPr>
              <w:t>Conduct</w:t>
            </w:r>
            <w:r>
              <w:rPr>
                <w:color w:val="105C84"/>
                <w:spacing w:val="-12"/>
                <w:sz w:val="18"/>
              </w:rPr>
              <w:t> </w:t>
            </w:r>
            <w:r>
              <w:rPr>
                <w:color w:val="105C84"/>
                <w:sz w:val="18"/>
              </w:rPr>
              <w:t>one-</w:t>
            </w:r>
            <w:r>
              <w:rPr>
                <w:color w:val="105C84"/>
                <w:sz w:val="18"/>
              </w:rPr>
              <w:t>on-one (by phone or in person) and group education</w:t>
            </w:r>
          </w:p>
          <w:p>
            <w:pPr>
              <w:pStyle w:val="TableParagraph"/>
              <w:spacing w:line="232" w:lineRule="auto"/>
              <w:ind w:left="93"/>
              <w:rPr>
                <w:sz w:val="18"/>
              </w:rPr>
            </w:pPr>
            <w:r>
              <w:rPr>
                <w:color w:val="105C84"/>
                <w:sz w:val="18"/>
              </w:rPr>
              <w:t>(presentation</w:t>
            </w:r>
            <w:r>
              <w:rPr>
                <w:color w:val="105C84"/>
                <w:spacing w:val="-9"/>
                <w:sz w:val="18"/>
              </w:rPr>
              <w:t> </w:t>
            </w:r>
            <w:r>
              <w:rPr>
                <w:color w:val="105C84"/>
                <w:sz w:val="18"/>
              </w:rPr>
              <w:t>or</w:t>
            </w:r>
            <w:r>
              <w:rPr>
                <w:color w:val="105C84"/>
                <w:spacing w:val="-9"/>
                <w:sz w:val="18"/>
              </w:rPr>
              <w:t> </w:t>
            </w:r>
            <w:r>
              <w:rPr>
                <w:color w:val="105C84"/>
                <w:sz w:val="18"/>
              </w:rPr>
              <w:t>other interactive session</w:t>
            </w:r>
          </w:p>
          <w:p>
            <w:pPr>
              <w:pStyle w:val="TableParagraph"/>
              <w:spacing w:line="232" w:lineRule="auto"/>
              <w:ind w:left="93"/>
              <w:rPr>
                <w:sz w:val="18"/>
              </w:rPr>
            </w:pPr>
            <w:r>
              <w:rPr>
                <w:color w:val="105C84"/>
                <w:sz w:val="18"/>
              </w:rPr>
              <w:t>in a church, home, senior</w:t>
            </w:r>
            <w:r>
              <w:rPr>
                <w:color w:val="105C84"/>
                <w:spacing w:val="-7"/>
                <w:sz w:val="18"/>
              </w:rPr>
              <w:t> </w:t>
            </w:r>
            <w:r>
              <w:rPr>
                <w:color w:val="105C84"/>
                <w:sz w:val="18"/>
              </w:rPr>
              <w:t>center</w:t>
            </w:r>
            <w:r>
              <w:rPr>
                <w:color w:val="105C84"/>
                <w:spacing w:val="-7"/>
                <w:sz w:val="18"/>
              </w:rPr>
              <w:t> </w:t>
            </w:r>
            <w:r>
              <w:rPr>
                <w:color w:val="105C84"/>
                <w:sz w:val="18"/>
              </w:rPr>
              <w:t>or</w:t>
            </w:r>
            <w:r>
              <w:rPr>
                <w:color w:val="105C84"/>
                <w:spacing w:val="-7"/>
                <w:sz w:val="18"/>
              </w:rPr>
              <w:t> </w:t>
            </w:r>
            <w:r>
              <w:rPr>
                <w:color w:val="105C84"/>
                <w:sz w:val="18"/>
              </w:rPr>
              <w:t>other </w:t>
            </w:r>
            <w:r>
              <w:rPr>
                <w:color w:val="105C84"/>
                <w:spacing w:val="-2"/>
                <w:sz w:val="18"/>
              </w:rPr>
              <w:t>setting)</w:t>
            </w:r>
          </w:p>
        </w:tc>
        <w:tc>
          <w:tcPr>
            <w:tcW w:w="5349" w:type="dxa"/>
          </w:tcPr>
          <w:p>
            <w:pPr>
              <w:pStyle w:val="TableParagraph"/>
              <w:tabs>
                <w:tab w:pos="3748" w:val="left" w:leader="none"/>
              </w:tabs>
              <w:spacing w:line="203" w:lineRule="exact" w:before="94"/>
              <w:ind w:left="94"/>
              <w:rPr>
                <w:sz w:val="18"/>
              </w:rPr>
            </w:pPr>
            <w:r>
              <w:rPr>
                <w:color w:val="105C84"/>
                <w:sz w:val="18"/>
              </w:rPr>
              <w:t>Number</w:t>
            </w:r>
            <w:r>
              <w:rPr>
                <w:color w:val="105C84"/>
                <w:spacing w:val="15"/>
                <w:sz w:val="18"/>
              </w:rPr>
              <w:t> </w:t>
            </w:r>
            <w:r>
              <w:rPr>
                <w:color w:val="105C84"/>
                <w:spacing w:val="-5"/>
                <w:sz w:val="18"/>
              </w:rPr>
              <w:t>of</w:t>
            </w:r>
            <w:r>
              <w:rPr>
                <w:color w:val="105C84"/>
                <w:sz w:val="18"/>
              </w:rPr>
              <w:tab/>
            </w:r>
            <w:r>
              <w:rPr>
                <w:color w:val="105C84"/>
                <w:w w:val="90"/>
                <w:sz w:val="18"/>
              </w:rPr>
              <w:t>YCPH</w:t>
            </w:r>
            <w:r>
              <w:rPr>
                <w:color w:val="105C84"/>
                <w:spacing w:val="6"/>
                <w:sz w:val="18"/>
              </w:rPr>
              <w:t> </w:t>
            </w:r>
            <w:r>
              <w:rPr>
                <w:color w:val="105C84"/>
                <w:spacing w:val="-2"/>
                <w:sz w:val="18"/>
              </w:rPr>
              <w:t>conducted</w:t>
            </w:r>
          </w:p>
          <w:p>
            <w:pPr>
              <w:pStyle w:val="TableParagraph"/>
              <w:tabs>
                <w:tab w:pos="3748" w:val="left" w:leader="none"/>
              </w:tabs>
              <w:spacing w:line="200" w:lineRule="exact"/>
              <w:ind w:left="94"/>
              <w:rPr>
                <w:sz w:val="18"/>
              </w:rPr>
            </w:pPr>
            <w:r>
              <w:rPr>
                <w:color w:val="105C84"/>
                <w:sz w:val="18"/>
              </w:rPr>
              <w:t>individuals</w:t>
            </w:r>
            <w:r>
              <w:rPr>
                <w:color w:val="105C84"/>
                <w:spacing w:val="-4"/>
                <w:sz w:val="18"/>
              </w:rPr>
              <w:t> </w:t>
            </w:r>
            <w:r>
              <w:rPr>
                <w:color w:val="105C84"/>
                <w:spacing w:val="-2"/>
                <w:sz w:val="18"/>
              </w:rPr>
              <w:t>reached</w:t>
            </w:r>
            <w:r>
              <w:rPr>
                <w:color w:val="105C84"/>
                <w:sz w:val="18"/>
              </w:rPr>
              <w:tab/>
              <w:t>one-on-</w:t>
            </w:r>
            <w:r>
              <w:rPr>
                <w:color w:val="105C84"/>
                <w:spacing w:val="-5"/>
                <w:sz w:val="18"/>
              </w:rPr>
              <w:t>one</w:t>
            </w:r>
          </w:p>
          <w:p>
            <w:pPr>
              <w:pStyle w:val="TableParagraph"/>
              <w:tabs>
                <w:tab w:pos="3748" w:val="left" w:leader="none"/>
              </w:tabs>
              <w:spacing w:line="200" w:lineRule="exact"/>
              <w:ind w:left="94"/>
              <w:rPr>
                <w:sz w:val="18"/>
              </w:rPr>
            </w:pPr>
            <w:r>
              <w:rPr>
                <w:color w:val="105C84"/>
                <w:sz w:val="18"/>
              </w:rPr>
              <w:t>through</w:t>
            </w:r>
            <w:r>
              <w:rPr>
                <w:color w:val="105C84"/>
                <w:spacing w:val="15"/>
                <w:sz w:val="18"/>
              </w:rPr>
              <w:t> </w:t>
            </w:r>
            <w:r>
              <w:rPr>
                <w:color w:val="105C84"/>
                <w:spacing w:val="-2"/>
                <w:sz w:val="18"/>
              </w:rPr>
              <w:t>education</w:t>
            </w:r>
            <w:r>
              <w:rPr>
                <w:color w:val="105C84"/>
                <w:sz w:val="18"/>
              </w:rPr>
              <w:tab/>
              <w:t>presentations</w:t>
            </w:r>
            <w:r>
              <w:rPr>
                <w:color w:val="105C84"/>
                <w:spacing w:val="-11"/>
                <w:sz w:val="18"/>
              </w:rPr>
              <w:t> </w:t>
            </w:r>
            <w:r>
              <w:rPr>
                <w:color w:val="105C84"/>
                <w:spacing w:val="-5"/>
                <w:sz w:val="18"/>
              </w:rPr>
              <w:t>to</w:t>
            </w:r>
          </w:p>
          <w:p>
            <w:pPr>
              <w:pStyle w:val="TableParagraph"/>
              <w:tabs>
                <w:tab w:pos="3748" w:val="left" w:leader="none"/>
              </w:tabs>
              <w:spacing w:line="148" w:lineRule="auto" w:before="26"/>
              <w:ind w:left="94"/>
              <w:rPr>
                <w:sz w:val="18"/>
              </w:rPr>
            </w:pPr>
            <w:r>
              <w:rPr>
                <w:color w:val="105C84"/>
                <w:position w:val="-8"/>
                <w:sz w:val="18"/>
              </w:rPr>
              <w:t>Change</w:t>
            </w:r>
            <w:r>
              <w:rPr>
                <w:color w:val="105C84"/>
                <w:spacing w:val="-11"/>
                <w:position w:val="-8"/>
                <w:sz w:val="18"/>
              </w:rPr>
              <w:t> </w:t>
            </w:r>
            <w:r>
              <w:rPr>
                <w:color w:val="105C84"/>
                <w:spacing w:val="-5"/>
                <w:position w:val="-8"/>
                <w:sz w:val="18"/>
              </w:rPr>
              <w:t>in</w:t>
            </w:r>
            <w:r>
              <w:rPr>
                <w:color w:val="105C84"/>
                <w:position w:val="-8"/>
                <w:sz w:val="18"/>
              </w:rPr>
              <w:tab/>
            </w:r>
            <w:r>
              <w:rPr>
                <w:color w:val="105C84"/>
                <w:sz w:val="18"/>
              </w:rPr>
              <w:t>Mennonites</w:t>
            </w:r>
            <w:r>
              <w:rPr>
                <w:color w:val="105C84"/>
                <w:spacing w:val="5"/>
                <w:sz w:val="18"/>
              </w:rPr>
              <w:t> </w:t>
            </w:r>
            <w:r>
              <w:rPr>
                <w:color w:val="105C84"/>
                <w:spacing w:val="-5"/>
                <w:sz w:val="18"/>
              </w:rPr>
              <w:t>re:</w:t>
            </w:r>
          </w:p>
          <w:p>
            <w:pPr>
              <w:pStyle w:val="TableParagraph"/>
              <w:tabs>
                <w:tab w:pos="3748" w:val="left" w:leader="none"/>
              </w:tabs>
              <w:spacing w:line="148" w:lineRule="auto"/>
              <w:ind w:left="94"/>
              <w:rPr>
                <w:sz w:val="18"/>
              </w:rPr>
            </w:pPr>
            <w:r>
              <w:rPr>
                <w:color w:val="105C84"/>
                <w:position w:val="-8"/>
                <w:sz w:val="18"/>
              </w:rPr>
              <w:t>knowledge</w:t>
            </w:r>
            <w:r>
              <w:rPr>
                <w:color w:val="105C84"/>
                <w:spacing w:val="13"/>
                <w:position w:val="-8"/>
                <w:sz w:val="18"/>
              </w:rPr>
              <w:t> </w:t>
            </w:r>
            <w:r>
              <w:rPr>
                <w:color w:val="105C84"/>
                <w:spacing w:val="-10"/>
                <w:position w:val="-8"/>
                <w:sz w:val="18"/>
              </w:rPr>
              <w:t>&amp;</w:t>
            </w:r>
            <w:r>
              <w:rPr>
                <w:color w:val="105C84"/>
                <w:position w:val="-8"/>
                <w:sz w:val="18"/>
              </w:rPr>
              <w:tab/>
            </w:r>
            <w:r>
              <w:rPr>
                <w:color w:val="105C84"/>
                <w:sz w:val="18"/>
              </w:rPr>
              <w:t>the</w:t>
            </w:r>
            <w:r>
              <w:rPr>
                <w:color w:val="105C84"/>
                <w:spacing w:val="8"/>
                <w:sz w:val="18"/>
              </w:rPr>
              <w:t> </w:t>
            </w:r>
            <w:r>
              <w:rPr>
                <w:color w:val="105C84"/>
                <w:sz w:val="18"/>
              </w:rPr>
              <w:t>importance</w:t>
            </w:r>
            <w:r>
              <w:rPr>
                <w:color w:val="105C84"/>
                <w:spacing w:val="9"/>
                <w:sz w:val="18"/>
              </w:rPr>
              <w:t> </w:t>
            </w:r>
            <w:r>
              <w:rPr>
                <w:color w:val="105C84"/>
                <w:spacing w:val="-7"/>
                <w:sz w:val="18"/>
              </w:rPr>
              <w:t>of</w:t>
            </w:r>
          </w:p>
          <w:p>
            <w:pPr>
              <w:pStyle w:val="TableParagraph"/>
              <w:tabs>
                <w:tab w:pos="3748" w:val="left" w:leader="none"/>
              </w:tabs>
              <w:spacing w:line="148" w:lineRule="auto"/>
              <w:ind w:left="94"/>
              <w:rPr>
                <w:sz w:val="18"/>
              </w:rPr>
            </w:pPr>
            <w:r>
              <w:rPr>
                <w:color w:val="105C84"/>
                <w:spacing w:val="-6"/>
                <w:position w:val="-8"/>
                <w:sz w:val="18"/>
              </w:rPr>
              <w:t>awareness</w:t>
            </w:r>
            <w:r>
              <w:rPr>
                <w:color w:val="105C84"/>
                <w:spacing w:val="-3"/>
                <w:position w:val="-8"/>
                <w:sz w:val="18"/>
              </w:rPr>
              <w:t> </w:t>
            </w:r>
            <w:r>
              <w:rPr>
                <w:color w:val="105C84"/>
                <w:spacing w:val="-5"/>
                <w:position w:val="-8"/>
                <w:sz w:val="18"/>
              </w:rPr>
              <w:t>of</w:t>
            </w:r>
            <w:r>
              <w:rPr>
                <w:color w:val="105C84"/>
                <w:position w:val="-8"/>
                <w:sz w:val="18"/>
              </w:rPr>
              <w:tab/>
            </w:r>
            <w:r>
              <w:rPr>
                <w:color w:val="105C84"/>
                <w:sz w:val="18"/>
              </w:rPr>
              <w:t>colorectal</w:t>
            </w:r>
            <w:r>
              <w:rPr>
                <w:color w:val="105C84"/>
                <w:spacing w:val="3"/>
                <w:sz w:val="18"/>
              </w:rPr>
              <w:t> </w:t>
            </w:r>
            <w:r>
              <w:rPr>
                <w:color w:val="105C84"/>
                <w:spacing w:val="-2"/>
                <w:sz w:val="18"/>
              </w:rPr>
              <w:t>cancer</w:t>
            </w:r>
          </w:p>
          <w:p>
            <w:pPr>
              <w:pStyle w:val="TableParagraph"/>
              <w:tabs>
                <w:tab w:pos="3748" w:val="left" w:leader="none"/>
              </w:tabs>
              <w:spacing w:line="245" w:lineRule="exact"/>
              <w:ind w:left="94"/>
              <w:rPr>
                <w:position w:val="9"/>
                <w:sz w:val="18"/>
              </w:rPr>
            </w:pPr>
            <w:r>
              <w:rPr>
                <w:color w:val="105C84"/>
                <w:sz w:val="18"/>
              </w:rPr>
              <w:t>need</w:t>
            </w:r>
            <w:r>
              <w:rPr>
                <w:color w:val="105C84"/>
                <w:spacing w:val="4"/>
                <w:sz w:val="18"/>
              </w:rPr>
              <w:t> </w:t>
            </w:r>
            <w:r>
              <w:rPr>
                <w:color w:val="105C84"/>
                <w:sz w:val="18"/>
              </w:rPr>
              <w:t>for</w:t>
            </w:r>
            <w:r>
              <w:rPr>
                <w:color w:val="105C84"/>
                <w:spacing w:val="4"/>
                <w:sz w:val="18"/>
              </w:rPr>
              <w:t> </w:t>
            </w:r>
            <w:r>
              <w:rPr>
                <w:color w:val="105C84"/>
                <w:spacing w:val="-2"/>
                <w:sz w:val="18"/>
              </w:rPr>
              <w:t>cancer</w:t>
            </w:r>
            <w:r>
              <w:rPr>
                <w:color w:val="105C84"/>
                <w:sz w:val="18"/>
              </w:rPr>
              <w:tab/>
            </w:r>
            <w:r>
              <w:rPr>
                <w:color w:val="105C84"/>
                <w:spacing w:val="-2"/>
                <w:position w:val="9"/>
                <w:sz w:val="18"/>
              </w:rPr>
              <w:t>screening</w:t>
            </w:r>
          </w:p>
          <w:p>
            <w:pPr>
              <w:pStyle w:val="TableParagraph"/>
              <w:tabs>
                <w:tab w:pos="3748" w:val="left" w:leader="none"/>
              </w:tabs>
              <w:spacing w:line="200" w:lineRule="exact"/>
              <w:ind w:left="94"/>
              <w:rPr>
                <w:sz w:val="18"/>
              </w:rPr>
            </w:pPr>
            <w:r>
              <w:rPr>
                <w:color w:val="105C84"/>
                <w:spacing w:val="-4"/>
                <w:sz w:val="18"/>
              </w:rPr>
              <w:t>screenings</w:t>
            </w:r>
            <w:r>
              <w:rPr>
                <w:color w:val="105C84"/>
                <w:spacing w:val="8"/>
                <w:sz w:val="18"/>
              </w:rPr>
              <w:t> </w:t>
            </w:r>
            <w:r>
              <w:rPr>
                <w:color w:val="105C84"/>
                <w:spacing w:val="-2"/>
                <w:sz w:val="18"/>
              </w:rPr>
              <w:t>among</w:t>
            </w:r>
            <w:r>
              <w:rPr>
                <w:color w:val="105C84"/>
                <w:sz w:val="18"/>
              </w:rPr>
              <w:tab/>
              <w:t>As</w:t>
            </w:r>
            <w:r>
              <w:rPr>
                <w:color w:val="105C84"/>
                <w:spacing w:val="-13"/>
                <w:sz w:val="18"/>
              </w:rPr>
              <w:t> </w:t>
            </w:r>
            <w:r>
              <w:rPr>
                <w:color w:val="105C84"/>
                <w:sz w:val="18"/>
              </w:rPr>
              <w:t>a</w:t>
            </w:r>
            <w:r>
              <w:rPr>
                <w:color w:val="105C84"/>
                <w:spacing w:val="-12"/>
                <w:sz w:val="18"/>
              </w:rPr>
              <w:t> </w:t>
            </w:r>
            <w:r>
              <w:rPr>
                <w:color w:val="105C84"/>
                <w:sz w:val="18"/>
              </w:rPr>
              <w:t>result</w:t>
            </w:r>
            <w:r>
              <w:rPr>
                <w:color w:val="105C84"/>
                <w:spacing w:val="-12"/>
                <w:sz w:val="18"/>
              </w:rPr>
              <w:t> </w:t>
            </w:r>
            <w:r>
              <w:rPr>
                <w:color w:val="105C84"/>
                <w:sz w:val="18"/>
              </w:rPr>
              <w:t>5</w:t>
            </w:r>
            <w:r>
              <w:rPr>
                <w:color w:val="105C84"/>
                <w:spacing w:val="-12"/>
                <w:sz w:val="18"/>
              </w:rPr>
              <w:t> </w:t>
            </w:r>
            <w:r>
              <w:rPr>
                <w:color w:val="105C84"/>
                <w:spacing w:val="-5"/>
                <w:sz w:val="18"/>
              </w:rPr>
              <w:t>FIT</w:t>
            </w:r>
          </w:p>
          <w:p>
            <w:pPr>
              <w:pStyle w:val="TableParagraph"/>
              <w:tabs>
                <w:tab w:pos="3748" w:val="left" w:leader="none"/>
              </w:tabs>
              <w:spacing w:line="200" w:lineRule="exact"/>
              <w:ind w:left="94"/>
              <w:rPr>
                <w:sz w:val="18"/>
              </w:rPr>
            </w:pPr>
            <w:r>
              <w:rPr>
                <w:color w:val="105C84"/>
                <w:sz w:val="18"/>
              </w:rPr>
              <w:t>groups</w:t>
            </w:r>
            <w:r>
              <w:rPr>
                <w:color w:val="105C84"/>
                <w:spacing w:val="1"/>
                <w:sz w:val="18"/>
              </w:rPr>
              <w:t> </w:t>
            </w:r>
            <w:r>
              <w:rPr>
                <w:color w:val="105C84"/>
                <w:spacing w:val="-2"/>
                <w:sz w:val="18"/>
              </w:rPr>
              <w:t>reached</w:t>
            </w:r>
            <w:r>
              <w:rPr>
                <w:color w:val="105C84"/>
                <w:sz w:val="18"/>
              </w:rPr>
              <w:tab/>
            </w:r>
            <w:r>
              <w:rPr>
                <w:color w:val="105C84"/>
                <w:spacing w:val="-2"/>
                <w:sz w:val="18"/>
              </w:rPr>
              <w:t>screening</w:t>
            </w:r>
            <w:r>
              <w:rPr>
                <w:color w:val="105C84"/>
                <w:spacing w:val="4"/>
                <w:sz w:val="18"/>
              </w:rPr>
              <w:t> </w:t>
            </w:r>
            <w:r>
              <w:rPr>
                <w:color w:val="105C84"/>
                <w:spacing w:val="-4"/>
                <w:sz w:val="18"/>
              </w:rPr>
              <w:t>kits</w:t>
            </w:r>
          </w:p>
          <w:p>
            <w:pPr>
              <w:pStyle w:val="TableParagraph"/>
              <w:spacing w:line="232" w:lineRule="auto"/>
              <w:ind w:left="3748" w:right="278"/>
              <w:rPr>
                <w:sz w:val="18"/>
              </w:rPr>
            </w:pPr>
            <w:r>
              <w:rPr>
                <w:color w:val="105C84"/>
                <w:spacing w:val="-2"/>
                <w:w w:val="105"/>
                <w:sz w:val="18"/>
              </w:rPr>
              <w:t>were</w:t>
            </w:r>
            <w:r>
              <w:rPr>
                <w:color w:val="105C84"/>
                <w:spacing w:val="-12"/>
                <w:w w:val="105"/>
                <w:sz w:val="18"/>
              </w:rPr>
              <w:t> </w:t>
            </w:r>
            <w:r>
              <w:rPr>
                <w:color w:val="105C84"/>
                <w:spacing w:val="-2"/>
                <w:w w:val="105"/>
                <w:sz w:val="18"/>
              </w:rPr>
              <w:t>distributed </w:t>
            </w:r>
            <w:r>
              <w:rPr>
                <w:color w:val="105C84"/>
                <w:w w:val="105"/>
                <w:sz w:val="18"/>
              </w:rPr>
              <w:t>to</w:t>
            </w:r>
            <w:r>
              <w:rPr>
                <w:color w:val="105C84"/>
                <w:spacing w:val="-1"/>
                <w:w w:val="105"/>
                <w:sz w:val="18"/>
              </w:rPr>
              <w:t> </w:t>
            </w:r>
            <w:r>
              <w:rPr>
                <w:color w:val="105C84"/>
                <w:w w:val="105"/>
                <w:sz w:val="18"/>
              </w:rPr>
              <w:t>uninsured </w:t>
            </w:r>
            <w:r>
              <w:rPr>
                <w:color w:val="105C84"/>
                <w:spacing w:val="-2"/>
                <w:w w:val="105"/>
                <w:sz w:val="18"/>
              </w:rPr>
              <w:t>individuals</w:t>
            </w:r>
          </w:p>
        </w:tc>
        <w:tc>
          <w:tcPr>
            <w:tcW w:w="2570" w:type="dxa"/>
          </w:tcPr>
          <w:p>
            <w:pPr>
              <w:pStyle w:val="TableParagraph"/>
              <w:spacing w:line="232" w:lineRule="auto" w:before="99"/>
              <w:ind w:left="95" w:right="78"/>
              <w:rPr>
                <w:sz w:val="18"/>
              </w:rPr>
            </w:pPr>
            <w:r>
              <w:rPr>
                <w:color w:val="105C84"/>
                <w:sz w:val="18"/>
              </w:rPr>
              <w:t>YCPH will conduct 1 presentation about the importance of colorectal cancer</w:t>
            </w:r>
            <w:r>
              <w:rPr>
                <w:color w:val="105C84"/>
                <w:spacing w:val="-15"/>
                <w:sz w:val="18"/>
              </w:rPr>
              <w:t> </w:t>
            </w:r>
            <w:r>
              <w:rPr>
                <w:color w:val="105C84"/>
                <w:sz w:val="18"/>
              </w:rPr>
              <w:t>screening</w:t>
            </w:r>
            <w:r>
              <w:rPr>
                <w:color w:val="105C84"/>
                <w:spacing w:val="-12"/>
                <w:sz w:val="18"/>
              </w:rPr>
              <w:t> </w:t>
            </w:r>
            <w:r>
              <w:rPr>
                <w:color w:val="105C84"/>
                <w:sz w:val="18"/>
              </w:rPr>
              <w:t>targeting individuals of lower SES/ </w:t>
            </w:r>
            <w:r>
              <w:rPr>
                <w:color w:val="105C84"/>
                <w:spacing w:val="-2"/>
                <w:sz w:val="18"/>
              </w:rPr>
              <w:t>uninsured</w:t>
            </w:r>
          </w:p>
          <w:p>
            <w:pPr>
              <w:pStyle w:val="TableParagraph"/>
              <w:spacing w:line="232" w:lineRule="auto" w:before="85"/>
              <w:ind w:left="95" w:right="78"/>
              <w:rPr>
                <w:sz w:val="18"/>
              </w:rPr>
            </w:pPr>
            <w:r>
              <w:rPr>
                <w:color w:val="105C84"/>
                <w:sz w:val="18"/>
              </w:rPr>
              <w:t>YCPH will target 1 employer that employs lower SES individuals re: the importance of</w:t>
            </w:r>
            <w:r>
              <w:rPr>
                <w:color w:val="105C84"/>
                <w:spacing w:val="-13"/>
                <w:sz w:val="18"/>
              </w:rPr>
              <w:t> </w:t>
            </w:r>
            <w:r>
              <w:rPr>
                <w:color w:val="105C84"/>
                <w:sz w:val="18"/>
              </w:rPr>
              <w:t>colorectal</w:t>
            </w:r>
            <w:r>
              <w:rPr>
                <w:color w:val="105C84"/>
                <w:spacing w:val="-12"/>
                <w:sz w:val="18"/>
              </w:rPr>
              <w:t> </w:t>
            </w:r>
            <w:r>
              <w:rPr>
                <w:color w:val="105C84"/>
                <w:sz w:val="18"/>
              </w:rPr>
              <w:t>cancer</w:t>
            </w:r>
            <w:r>
              <w:rPr>
                <w:color w:val="105C84"/>
                <w:spacing w:val="-13"/>
                <w:sz w:val="18"/>
              </w:rPr>
              <w:t> </w:t>
            </w:r>
            <w:r>
              <w:rPr>
                <w:color w:val="105C84"/>
                <w:sz w:val="18"/>
              </w:rPr>
              <w:t>screening and policies to improve </w:t>
            </w:r>
            <w:r>
              <w:rPr>
                <w:color w:val="105C84"/>
                <w:spacing w:val="-2"/>
                <w:sz w:val="18"/>
              </w:rPr>
              <w:t>access</w:t>
            </w:r>
          </w:p>
          <w:p>
            <w:pPr>
              <w:pStyle w:val="TableParagraph"/>
              <w:spacing w:line="232" w:lineRule="auto" w:before="85"/>
              <w:ind w:left="95" w:right="78"/>
              <w:rPr>
                <w:sz w:val="18"/>
              </w:rPr>
            </w:pPr>
            <w:r>
              <w:rPr>
                <w:color w:val="105C84"/>
                <w:w w:val="105"/>
                <w:sz w:val="18"/>
              </w:rPr>
              <w:t>YCPH, in partnership with </w:t>
            </w:r>
            <w:r>
              <w:rPr>
                <w:color w:val="105C84"/>
                <w:sz w:val="18"/>
              </w:rPr>
              <w:t>CSP will </w:t>
            </w:r>
            <w:r>
              <w:rPr>
                <w:color w:val="105C84"/>
                <w:sz w:val="18"/>
              </w:rPr>
              <w:t>promote/distribute FIT</w:t>
            </w:r>
            <w:r>
              <w:rPr>
                <w:color w:val="105C84"/>
                <w:spacing w:val="-9"/>
                <w:sz w:val="18"/>
              </w:rPr>
              <w:t> </w:t>
            </w:r>
            <w:r>
              <w:rPr>
                <w:color w:val="105C84"/>
                <w:sz w:val="18"/>
              </w:rPr>
              <w:t>screening</w:t>
            </w:r>
            <w:r>
              <w:rPr>
                <w:color w:val="105C84"/>
                <w:spacing w:val="-9"/>
                <w:sz w:val="18"/>
              </w:rPr>
              <w:t> </w:t>
            </w:r>
            <w:r>
              <w:rPr>
                <w:color w:val="105C84"/>
                <w:sz w:val="18"/>
              </w:rPr>
              <w:t>kits</w:t>
            </w:r>
            <w:r>
              <w:rPr>
                <w:color w:val="105C84"/>
                <w:spacing w:val="-9"/>
                <w:sz w:val="18"/>
              </w:rPr>
              <w:t> </w:t>
            </w:r>
            <w:r>
              <w:rPr>
                <w:color w:val="105C84"/>
                <w:sz w:val="18"/>
              </w:rPr>
              <w:t>at</w:t>
            </w:r>
            <w:r>
              <w:rPr>
                <w:color w:val="105C84"/>
                <w:spacing w:val="-9"/>
                <w:sz w:val="18"/>
              </w:rPr>
              <w:t> </w:t>
            </w:r>
            <w:r>
              <w:rPr>
                <w:color w:val="105C84"/>
                <w:sz w:val="18"/>
              </w:rPr>
              <w:t>Mobile </w:t>
            </w:r>
            <w:r>
              <w:rPr>
                <w:color w:val="105C84"/>
                <w:spacing w:val="-2"/>
                <w:w w:val="105"/>
                <w:sz w:val="18"/>
              </w:rPr>
              <w:t>Mammography</w:t>
            </w:r>
          </w:p>
          <w:p>
            <w:pPr>
              <w:pStyle w:val="TableParagraph"/>
              <w:spacing w:line="199" w:lineRule="exact"/>
              <w:ind w:left="95"/>
              <w:rPr>
                <w:sz w:val="18"/>
              </w:rPr>
            </w:pPr>
            <w:r>
              <w:rPr>
                <w:color w:val="105C84"/>
                <w:spacing w:val="-2"/>
                <w:sz w:val="18"/>
              </w:rPr>
              <w:t>events</w:t>
            </w:r>
          </w:p>
          <w:p>
            <w:pPr>
              <w:pStyle w:val="TableParagraph"/>
              <w:spacing w:line="232" w:lineRule="auto" w:before="88"/>
              <w:ind w:left="95" w:right="171"/>
              <w:jc w:val="both"/>
              <w:rPr>
                <w:sz w:val="18"/>
              </w:rPr>
            </w:pPr>
            <w:r>
              <w:rPr>
                <w:color w:val="105C84"/>
                <w:sz w:val="18"/>
              </w:rPr>
              <w:t>YCPH</w:t>
            </w:r>
            <w:r>
              <w:rPr>
                <w:color w:val="105C84"/>
                <w:spacing w:val="-15"/>
                <w:sz w:val="18"/>
              </w:rPr>
              <w:t> </w:t>
            </w:r>
            <w:r>
              <w:rPr>
                <w:color w:val="105C84"/>
                <w:sz w:val="18"/>
              </w:rPr>
              <w:t>will</w:t>
            </w:r>
            <w:r>
              <w:rPr>
                <w:color w:val="105C84"/>
                <w:spacing w:val="-12"/>
                <w:sz w:val="18"/>
              </w:rPr>
              <w:t> </w:t>
            </w:r>
            <w:r>
              <w:rPr>
                <w:color w:val="105C84"/>
                <w:sz w:val="18"/>
              </w:rPr>
              <w:t>outreach</w:t>
            </w:r>
            <w:r>
              <w:rPr>
                <w:color w:val="105C84"/>
                <w:spacing w:val="-13"/>
                <w:sz w:val="18"/>
              </w:rPr>
              <w:t> </w:t>
            </w:r>
            <w:r>
              <w:rPr>
                <w:color w:val="105C84"/>
                <w:sz w:val="18"/>
              </w:rPr>
              <w:t>to</w:t>
            </w:r>
            <w:r>
              <w:rPr>
                <w:color w:val="105C84"/>
                <w:spacing w:val="-12"/>
                <w:sz w:val="18"/>
              </w:rPr>
              <w:t> </w:t>
            </w:r>
            <w:r>
              <w:rPr>
                <w:color w:val="105C84"/>
                <w:sz w:val="18"/>
              </w:rPr>
              <w:t>Finger Lakes Community Health</w:t>
            </w:r>
          </w:p>
          <w:p>
            <w:pPr>
              <w:pStyle w:val="TableParagraph"/>
              <w:spacing w:line="232" w:lineRule="auto"/>
              <w:ind w:left="95" w:right="265"/>
              <w:jc w:val="both"/>
              <w:rPr>
                <w:sz w:val="18"/>
              </w:rPr>
            </w:pPr>
            <w:r>
              <w:rPr>
                <w:color w:val="105C84"/>
                <w:sz w:val="18"/>
              </w:rPr>
              <w:t>to</w:t>
            </w:r>
            <w:r>
              <w:rPr>
                <w:color w:val="105C84"/>
                <w:spacing w:val="-8"/>
                <w:sz w:val="18"/>
              </w:rPr>
              <w:t> </w:t>
            </w:r>
            <w:r>
              <w:rPr>
                <w:color w:val="105C84"/>
                <w:sz w:val="18"/>
              </w:rPr>
              <w:t>promote</w:t>
            </w:r>
            <w:r>
              <w:rPr>
                <w:color w:val="105C84"/>
                <w:spacing w:val="-8"/>
                <w:sz w:val="18"/>
              </w:rPr>
              <w:t> </w:t>
            </w:r>
            <w:r>
              <w:rPr>
                <w:color w:val="105C84"/>
                <w:sz w:val="18"/>
              </w:rPr>
              <w:t>CSP</w:t>
            </w:r>
            <w:r>
              <w:rPr>
                <w:color w:val="105C84"/>
                <w:spacing w:val="-8"/>
                <w:sz w:val="18"/>
              </w:rPr>
              <w:t> </w:t>
            </w:r>
            <w:r>
              <w:rPr>
                <w:color w:val="105C84"/>
                <w:sz w:val="18"/>
              </w:rPr>
              <w:t>services</w:t>
            </w:r>
            <w:r>
              <w:rPr>
                <w:color w:val="105C84"/>
                <w:spacing w:val="-8"/>
                <w:sz w:val="18"/>
              </w:rPr>
              <w:t> </w:t>
            </w:r>
            <w:r>
              <w:rPr>
                <w:color w:val="105C84"/>
                <w:sz w:val="18"/>
              </w:rPr>
              <w:t>to migrant population &amp; </w:t>
            </w:r>
            <w:r>
              <w:rPr>
                <w:color w:val="105C84"/>
                <w:sz w:val="18"/>
              </w:rPr>
              <w:t>lower SES individuals</w:t>
            </w:r>
          </w:p>
        </w:tc>
        <w:tc>
          <w:tcPr>
            <w:tcW w:w="2908" w:type="dxa"/>
          </w:tcPr>
          <w:p>
            <w:pPr>
              <w:pStyle w:val="TableParagraph"/>
              <w:spacing w:line="232" w:lineRule="auto" w:before="98"/>
              <w:ind w:left="95" w:right="142"/>
              <w:rPr>
                <w:sz w:val="18"/>
              </w:rPr>
            </w:pPr>
            <w:r>
              <w:rPr>
                <w:color w:val="105C84"/>
                <w:sz w:val="18"/>
              </w:rPr>
              <w:t>YCPH</w:t>
            </w:r>
            <w:r>
              <w:rPr>
                <w:color w:val="105C84"/>
                <w:spacing w:val="-15"/>
                <w:sz w:val="18"/>
              </w:rPr>
              <w:t> </w:t>
            </w:r>
            <w:r>
              <w:rPr>
                <w:color w:val="105C84"/>
                <w:sz w:val="18"/>
              </w:rPr>
              <w:t>will</w:t>
            </w:r>
            <w:r>
              <w:rPr>
                <w:color w:val="105C84"/>
                <w:spacing w:val="-12"/>
                <w:sz w:val="18"/>
              </w:rPr>
              <w:t> </w:t>
            </w:r>
            <w:r>
              <w:rPr>
                <w:color w:val="105C84"/>
                <w:sz w:val="18"/>
              </w:rPr>
              <w:t>conduct</w:t>
            </w:r>
            <w:r>
              <w:rPr>
                <w:color w:val="105C84"/>
                <w:spacing w:val="-13"/>
                <w:sz w:val="18"/>
              </w:rPr>
              <w:t> </w:t>
            </w:r>
            <w:r>
              <w:rPr>
                <w:color w:val="105C84"/>
                <w:sz w:val="18"/>
              </w:rPr>
              <w:t>1</w:t>
            </w:r>
            <w:r>
              <w:rPr>
                <w:color w:val="105C84"/>
                <w:spacing w:val="-12"/>
                <w:sz w:val="18"/>
              </w:rPr>
              <w:t> </w:t>
            </w:r>
            <w:r>
              <w:rPr>
                <w:color w:val="105C84"/>
                <w:sz w:val="18"/>
              </w:rPr>
              <w:t>presentation about the importance of colorectal cancer screening targeting individuals of lower </w:t>
            </w:r>
            <w:r>
              <w:rPr>
                <w:color w:val="105C84"/>
                <w:spacing w:val="-2"/>
                <w:sz w:val="18"/>
              </w:rPr>
              <w:t>SES/uninsured</w:t>
            </w:r>
          </w:p>
          <w:p>
            <w:pPr>
              <w:pStyle w:val="TableParagraph"/>
              <w:spacing w:line="232" w:lineRule="auto" w:before="86"/>
              <w:ind w:left="95" w:right="161"/>
              <w:rPr>
                <w:sz w:val="18"/>
              </w:rPr>
            </w:pPr>
            <w:r>
              <w:rPr>
                <w:color w:val="105C84"/>
                <w:sz w:val="18"/>
              </w:rPr>
              <w:t>YCPH</w:t>
            </w:r>
            <w:r>
              <w:rPr>
                <w:color w:val="105C84"/>
                <w:spacing w:val="-9"/>
                <w:sz w:val="18"/>
              </w:rPr>
              <w:t> </w:t>
            </w:r>
            <w:r>
              <w:rPr>
                <w:color w:val="105C84"/>
                <w:sz w:val="18"/>
              </w:rPr>
              <w:t>will</w:t>
            </w:r>
            <w:r>
              <w:rPr>
                <w:color w:val="105C84"/>
                <w:spacing w:val="-9"/>
                <w:sz w:val="18"/>
              </w:rPr>
              <w:t> </w:t>
            </w:r>
            <w:r>
              <w:rPr>
                <w:color w:val="105C84"/>
                <w:sz w:val="18"/>
              </w:rPr>
              <w:t>target</w:t>
            </w:r>
            <w:r>
              <w:rPr>
                <w:color w:val="105C84"/>
                <w:spacing w:val="-9"/>
                <w:sz w:val="18"/>
              </w:rPr>
              <w:t> </w:t>
            </w:r>
            <w:r>
              <w:rPr>
                <w:color w:val="105C84"/>
                <w:sz w:val="18"/>
              </w:rPr>
              <w:t>1</w:t>
            </w:r>
            <w:r>
              <w:rPr>
                <w:color w:val="105C84"/>
                <w:spacing w:val="-9"/>
                <w:sz w:val="18"/>
              </w:rPr>
              <w:t> </w:t>
            </w:r>
            <w:r>
              <w:rPr>
                <w:color w:val="105C84"/>
                <w:sz w:val="18"/>
              </w:rPr>
              <w:t>employer</w:t>
            </w:r>
            <w:r>
              <w:rPr>
                <w:color w:val="105C84"/>
                <w:spacing w:val="-9"/>
                <w:sz w:val="18"/>
              </w:rPr>
              <w:t> </w:t>
            </w:r>
            <w:r>
              <w:rPr>
                <w:color w:val="105C84"/>
                <w:sz w:val="18"/>
              </w:rPr>
              <w:t>that employs lower SES individuals re: the importance of colorectal cancer</w:t>
            </w:r>
            <w:r>
              <w:rPr>
                <w:color w:val="105C84"/>
                <w:spacing w:val="-3"/>
                <w:sz w:val="18"/>
              </w:rPr>
              <w:t> </w:t>
            </w:r>
            <w:r>
              <w:rPr>
                <w:color w:val="105C84"/>
                <w:sz w:val="18"/>
              </w:rPr>
              <w:t>screening</w:t>
            </w:r>
            <w:r>
              <w:rPr>
                <w:color w:val="105C84"/>
                <w:spacing w:val="-3"/>
                <w:sz w:val="18"/>
              </w:rPr>
              <w:t> </w:t>
            </w:r>
            <w:r>
              <w:rPr>
                <w:color w:val="105C84"/>
                <w:sz w:val="18"/>
              </w:rPr>
              <w:t>and</w:t>
            </w:r>
            <w:r>
              <w:rPr>
                <w:color w:val="105C84"/>
                <w:spacing w:val="-3"/>
                <w:sz w:val="18"/>
              </w:rPr>
              <w:t> </w:t>
            </w:r>
            <w:r>
              <w:rPr>
                <w:color w:val="105C84"/>
                <w:sz w:val="18"/>
              </w:rPr>
              <w:t>policies</w:t>
            </w:r>
            <w:r>
              <w:rPr>
                <w:color w:val="105C84"/>
                <w:spacing w:val="-3"/>
                <w:sz w:val="18"/>
              </w:rPr>
              <w:t> </w:t>
            </w:r>
            <w:r>
              <w:rPr>
                <w:color w:val="105C84"/>
                <w:sz w:val="18"/>
              </w:rPr>
              <w:t>to improve access</w:t>
            </w:r>
          </w:p>
          <w:p>
            <w:pPr>
              <w:pStyle w:val="TableParagraph"/>
              <w:spacing w:line="232" w:lineRule="auto" w:before="86"/>
              <w:ind w:left="95"/>
              <w:rPr>
                <w:sz w:val="18"/>
              </w:rPr>
            </w:pPr>
            <w:r>
              <w:rPr>
                <w:color w:val="105C84"/>
                <w:spacing w:val="-2"/>
                <w:sz w:val="18"/>
              </w:rPr>
              <w:t>YCPH,</w:t>
            </w:r>
            <w:r>
              <w:rPr>
                <w:color w:val="105C84"/>
                <w:spacing w:val="-9"/>
                <w:sz w:val="18"/>
              </w:rPr>
              <w:t> </w:t>
            </w:r>
            <w:r>
              <w:rPr>
                <w:color w:val="105C84"/>
                <w:spacing w:val="-2"/>
                <w:sz w:val="18"/>
              </w:rPr>
              <w:t>in</w:t>
            </w:r>
            <w:r>
              <w:rPr>
                <w:color w:val="105C84"/>
                <w:spacing w:val="-9"/>
                <w:sz w:val="18"/>
              </w:rPr>
              <w:t> </w:t>
            </w:r>
            <w:r>
              <w:rPr>
                <w:color w:val="105C84"/>
                <w:spacing w:val="-2"/>
                <w:sz w:val="18"/>
              </w:rPr>
              <w:t>partnership</w:t>
            </w:r>
            <w:r>
              <w:rPr>
                <w:color w:val="105C84"/>
                <w:spacing w:val="-9"/>
                <w:sz w:val="18"/>
              </w:rPr>
              <w:t> </w:t>
            </w:r>
            <w:r>
              <w:rPr>
                <w:color w:val="105C84"/>
                <w:spacing w:val="-2"/>
                <w:sz w:val="18"/>
              </w:rPr>
              <w:t>with</w:t>
            </w:r>
            <w:r>
              <w:rPr>
                <w:color w:val="105C84"/>
                <w:spacing w:val="-9"/>
                <w:sz w:val="18"/>
              </w:rPr>
              <w:t> </w:t>
            </w:r>
            <w:r>
              <w:rPr>
                <w:color w:val="105C84"/>
                <w:spacing w:val="-2"/>
                <w:sz w:val="18"/>
              </w:rPr>
              <w:t>CSP</w:t>
            </w:r>
            <w:r>
              <w:rPr>
                <w:color w:val="105C84"/>
                <w:spacing w:val="-9"/>
                <w:sz w:val="18"/>
              </w:rPr>
              <w:t> </w:t>
            </w:r>
            <w:r>
              <w:rPr>
                <w:color w:val="105C84"/>
                <w:spacing w:val="-2"/>
                <w:sz w:val="18"/>
              </w:rPr>
              <w:t>will </w:t>
            </w:r>
            <w:r>
              <w:rPr>
                <w:color w:val="105C84"/>
                <w:w w:val="105"/>
                <w:sz w:val="18"/>
              </w:rPr>
              <w:t>promote/distribute</w:t>
            </w:r>
            <w:r>
              <w:rPr>
                <w:color w:val="105C84"/>
                <w:spacing w:val="-14"/>
                <w:w w:val="105"/>
                <w:sz w:val="18"/>
              </w:rPr>
              <w:t> </w:t>
            </w:r>
            <w:r>
              <w:rPr>
                <w:color w:val="105C84"/>
                <w:w w:val="105"/>
                <w:sz w:val="18"/>
              </w:rPr>
              <w:t>FIT</w:t>
            </w:r>
            <w:r>
              <w:rPr>
                <w:color w:val="105C84"/>
                <w:spacing w:val="-13"/>
                <w:w w:val="105"/>
                <w:sz w:val="18"/>
              </w:rPr>
              <w:t> </w:t>
            </w:r>
            <w:r>
              <w:rPr>
                <w:color w:val="105C84"/>
                <w:w w:val="105"/>
                <w:sz w:val="18"/>
              </w:rPr>
              <w:t>screening kits at Mobile Mammography </w:t>
            </w:r>
            <w:r>
              <w:rPr>
                <w:color w:val="105C84"/>
                <w:spacing w:val="-2"/>
                <w:w w:val="105"/>
                <w:sz w:val="18"/>
              </w:rPr>
              <w:t>events</w:t>
            </w:r>
          </w:p>
          <w:p>
            <w:pPr>
              <w:pStyle w:val="TableParagraph"/>
              <w:spacing w:line="232" w:lineRule="auto" w:before="87"/>
              <w:ind w:left="95" w:right="83"/>
              <w:rPr>
                <w:sz w:val="18"/>
              </w:rPr>
            </w:pPr>
            <w:r>
              <w:rPr>
                <w:color w:val="105C84"/>
                <w:sz w:val="18"/>
              </w:rPr>
              <w:t>YCPH</w:t>
            </w:r>
            <w:r>
              <w:rPr>
                <w:color w:val="105C84"/>
                <w:spacing w:val="-15"/>
                <w:sz w:val="18"/>
              </w:rPr>
              <w:t> </w:t>
            </w:r>
            <w:r>
              <w:rPr>
                <w:color w:val="105C84"/>
                <w:sz w:val="18"/>
              </w:rPr>
              <w:t>will</w:t>
            </w:r>
            <w:r>
              <w:rPr>
                <w:color w:val="105C84"/>
                <w:spacing w:val="-12"/>
                <w:sz w:val="18"/>
              </w:rPr>
              <w:t> </w:t>
            </w:r>
            <w:r>
              <w:rPr>
                <w:color w:val="105C84"/>
                <w:sz w:val="18"/>
              </w:rPr>
              <w:t>outreach</w:t>
            </w:r>
            <w:r>
              <w:rPr>
                <w:color w:val="105C84"/>
                <w:spacing w:val="-13"/>
                <w:sz w:val="18"/>
              </w:rPr>
              <w:t> </w:t>
            </w:r>
            <w:r>
              <w:rPr>
                <w:color w:val="105C84"/>
                <w:sz w:val="18"/>
              </w:rPr>
              <w:t>to</w:t>
            </w:r>
            <w:r>
              <w:rPr>
                <w:color w:val="105C84"/>
                <w:spacing w:val="-12"/>
                <w:sz w:val="18"/>
              </w:rPr>
              <w:t> </w:t>
            </w:r>
            <w:r>
              <w:rPr>
                <w:color w:val="105C84"/>
                <w:sz w:val="18"/>
              </w:rPr>
              <w:t>Finger Lakes Community Health</w:t>
            </w:r>
          </w:p>
          <w:p>
            <w:pPr>
              <w:pStyle w:val="TableParagraph"/>
              <w:spacing w:line="232" w:lineRule="auto"/>
              <w:ind w:left="95" w:right="83"/>
              <w:rPr>
                <w:sz w:val="18"/>
              </w:rPr>
            </w:pPr>
            <w:r>
              <w:rPr>
                <w:color w:val="105C84"/>
                <w:sz w:val="18"/>
              </w:rPr>
              <w:t>to promote CSP services to migrant</w:t>
            </w:r>
            <w:r>
              <w:rPr>
                <w:color w:val="105C84"/>
                <w:spacing w:val="-7"/>
                <w:sz w:val="18"/>
              </w:rPr>
              <w:t> </w:t>
            </w:r>
            <w:r>
              <w:rPr>
                <w:color w:val="105C84"/>
                <w:sz w:val="18"/>
              </w:rPr>
              <w:t>population</w:t>
            </w:r>
            <w:r>
              <w:rPr>
                <w:color w:val="105C84"/>
                <w:spacing w:val="-7"/>
                <w:sz w:val="18"/>
              </w:rPr>
              <w:t> </w:t>
            </w:r>
            <w:r>
              <w:rPr>
                <w:color w:val="105C84"/>
                <w:sz w:val="18"/>
              </w:rPr>
              <w:t>&amp;</w:t>
            </w:r>
            <w:r>
              <w:rPr>
                <w:color w:val="105C84"/>
                <w:spacing w:val="-7"/>
                <w:sz w:val="18"/>
              </w:rPr>
              <w:t> </w:t>
            </w:r>
            <w:r>
              <w:rPr>
                <w:color w:val="105C84"/>
                <w:sz w:val="18"/>
              </w:rPr>
              <w:t>lower</w:t>
            </w:r>
            <w:r>
              <w:rPr>
                <w:color w:val="105C84"/>
                <w:spacing w:val="-7"/>
                <w:sz w:val="18"/>
              </w:rPr>
              <w:t> </w:t>
            </w:r>
            <w:r>
              <w:rPr>
                <w:color w:val="105C84"/>
                <w:sz w:val="18"/>
              </w:rPr>
              <w:t>SES </w:t>
            </w:r>
            <w:r>
              <w:rPr>
                <w:color w:val="105C84"/>
                <w:spacing w:val="-2"/>
                <w:sz w:val="18"/>
              </w:rPr>
              <w:t>individuals</w:t>
            </w:r>
          </w:p>
        </w:tc>
        <w:tc>
          <w:tcPr>
            <w:tcW w:w="1497" w:type="dxa"/>
          </w:tcPr>
          <w:p>
            <w:pPr>
              <w:pStyle w:val="TableParagraph"/>
              <w:spacing w:line="232" w:lineRule="auto" w:before="98"/>
              <w:ind w:left="96"/>
              <w:rPr>
                <w:sz w:val="18"/>
              </w:rPr>
            </w:pPr>
            <w:r>
              <w:rPr>
                <w:color w:val="105C84"/>
                <w:spacing w:val="-2"/>
                <w:sz w:val="18"/>
              </w:rPr>
              <w:t>Local</w:t>
            </w:r>
            <w:r>
              <w:rPr>
                <w:color w:val="105C84"/>
                <w:spacing w:val="-11"/>
                <w:sz w:val="18"/>
              </w:rPr>
              <w:t> </w:t>
            </w:r>
            <w:r>
              <w:rPr>
                <w:color w:val="105C84"/>
                <w:spacing w:val="-2"/>
                <w:sz w:val="18"/>
              </w:rPr>
              <w:t>health department</w:t>
            </w:r>
          </w:p>
        </w:tc>
        <w:tc>
          <w:tcPr>
            <w:tcW w:w="1492" w:type="dxa"/>
          </w:tcPr>
          <w:p>
            <w:pPr>
              <w:pStyle w:val="TableParagraph"/>
              <w:spacing w:line="232" w:lineRule="auto" w:before="98"/>
              <w:ind w:left="96" w:right="318"/>
              <w:rPr>
                <w:sz w:val="18"/>
              </w:rPr>
            </w:pPr>
            <w:r>
              <w:rPr>
                <w:color w:val="105C84"/>
                <w:spacing w:val="-2"/>
                <w:sz w:val="18"/>
              </w:rPr>
              <w:t>Yates</w:t>
            </w:r>
            <w:r>
              <w:rPr>
                <w:color w:val="105C84"/>
                <w:spacing w:val="-11"/>
                <w:sz w:val="18"/>
              </w:rPr>
              <w:t> </w:t>
            </w:r>
            <w:r>
              <w:rPr>
                <w:color w:val="105C84"/>
                <w:spacing w:val="-2"/>
                <w:sz w:val="18"/>
              </w:rPr>
              <w:t>County Public</w:t>
            </w:r>
            <w:r>
              <w:rPr>
                <w:color w:val="105C84"/>
                <w:spacing w:val="-1"/>
                <w:sz w:val="18"/>
              </w:rPr>
              <w:t> </w:t>
            </w:r>
            <w:r>
              <w:rPr>
                <w:color w:val="105C84"/>
                <w:spacing w:val="-2"/>
                <w:sz w:val="18"/>
              </w:rPr>
              <w:t>Health</w:t>
            </w:r>
          </w:p>
          <w:p>
            <w:pPr>
              <w:pStyle w:val="TableParagraph"/>
              <w:spacing w:line="200" w:lineRule="exact"/>
              <w:ind w:left="96"/>
              <w:rPr>
                <w:sz w:val="18"/>
              </w:rPr>
            </w:pPr>
            <w:r>
              <w:rPr>
                <w:color w:val="105C84"/>
                <w:spacing w:val="-5"/>
                <w:sz w:val="18"/>
              </w:rPr>
              <w:t>0.1</w:t>
            </w:r>
            <w:r>
              <w:rPr>
                <w:color w:val="105C84"/>
                <w:spacing w:val="-7"/>
                <w:sz w:val="18"/>
              </w:rPr>
              <w:t> </w:t>
            </w:r>
            <w:r>
              <w:rPr>
                <w:color w:val="105C84"/>
                <w:spacing w:val="-5"/>
                <w:sz w:val="18"/>
              </w:rPr>
              <w:t>FTE</w:t>
            </w:r>
          </w:p>
        </w:tc>
      </w:tr>
    </w:tbl>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200"/>
        <w:rPr>
          <w:b/>
          <w:sz w:val="26"/>
        </w:rPr>
      </w:pPr>
    </w:p>
    <w:p>
      <w:pPr>
        <w:tabs>
          <w:tab w:pos="23047" w:val="left" w:leader="none"/>
        </w:tabs>
        <w:spacing w:before="0"/>
        <w:ind w:left="0" w:right="0" w:firstLine="0"/>
        <w:jc w:val="left"/>
        <w:rPr>
          <w:b/>
          <w:sz w:val="26"/>
        </w:rPr>
      </w:pPr>
      <w:r>
        <w:rPr>
          <w:position w:val="-4"/>
        </w:rPr>
        <w:drawing>
          <wp:inline distT="0" distB="0" distL="0" distR="0">
            <wp:extent cx="568172" cy="184683"/>
            <wp:effectExtent l="0" t="0" r="0" b="0"/>
            <wp:docPr id="2105" name="Image 2105"/>
            <wp:cNvGraphicFramePr>
              <a:graphicFrameLocks/>
            </wp:cNvGraphicFramePr>
            <a:graphic>
              <a:graphicData uri="http://schemas.openxmlformats.org/drawingml/2006/picture">
                <pic:pic>
                  <pic:nvPicPr>
                    <pic:cNvPr id="2105" name="Image 2105"/>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13"/>
          <w:sz w:val="20"/>
        </w:rPr>
        <w:t> </w:t>
      </w:r>
      <w:r>
        <w:rPr>
          <w:b/>
          <w:color w:val="939598"/>
          <w:w w:val="105"/>
          <w:sz w:val="26"/>
        </w:rPr>
        <w:t>247</w:t>
      </w:r>
      <w:r>
        <w:rPr>
          <w:b/>
          <w:color w:val="939598"/>
          <w:sz w:val="26"/>
        </w:rPr>
        <w:tab/>
      </w:r>
      <w:r>
        <w:rPr>
          <w:b/>
          <w:color w:val="939598"/>
          <w:spacing w:val="-5"/>
          <w:w w:val="105"/>
          <w:sz w:val="26"/>
        </w:rPr>
        <w:t>248</w:t>
      </w:r>
    </w:p>
    <w:p>
      <w:pPr>
        <w:spacing w:after="0"/>
        <w:jc w:val="left"/>
        <w:rPr>
          <w:b/>
          <w:sz w:val="26"/>
        </w:rPr>
        <w:sectPr>
          <w:pgSz w:w="24480" w:h="15840" w:orient="landscape"/>
          <w:pgMar w:header="0" w:footer="0" w:top="860" w:bottom="0" w:left="0" w:right="720"/>
        </w:sectPr>
      </w:pPr>
    </w:p>
    <w:p>
      <w:pPr>
        <w:spacing w:before="609"/>
        <w:ind w:left="1089" w:right="0" w:firstLine="0"/>
        <w:jc w:val="left"/>
        <w:rPr>
          <w:sz w:val="54"/>
        </w:rPr>
      </w:pPr>
      <w:r>
        <w:rPr>
          <w:sz w:val="54"/>
        </w:rPr>
        <w:drawing>
          <wp:anchor distT="0" distB="0" distL="0" distR="0" allowOverlap="1" layoutInCell="1" locked="0" behindDoc="0" simplePos="0" relativeHeight="16058880">
            <wp:simplePos x="0" y="0"/>
            <wp:positionH relativeFrom="page">
              <wp:posOffset>14292898</wp:posOffset>
            </wp:positionH>
            <wp:positionV relativeFrom="paragraph">
              <wp:posOffset>347471</wp:posOffset>
            </wp:positionV>
            <wp:extent cx="620077" cy="580072"/>
            <wp:effectExtent l="0" t="0" r="0" b="0"/>
            <wp:wrapNone/>
            <wp:docPr id="2106" name="Image 2106"/>
            <wp:cNvGraphicFramePr>
              <a:graphicFrameLocks/>
            </wp:cNvGraphicFramePr>
            <a:graphic>
              <a:graphicData uri="http://schemas.openxmlformats.org/drawingml/2006/picture">
                <pic:pic>
                  <pic:nvPicPr>
                    <pic:cNvPr id="2106" name="Image 2106"/>
                    <pic:cNvPicPr/>
                  </pic:nvPicPr>
                  <pic:blipFill>
                    <a:blip r:embed="rId268" cstate="print"/>
                    <a:stretch>
                      <a:fillRect/>
                    </a:stretch>
                  </pic:blipFill>
                  <pic:spPr>
                    <a:xfrm>
                      <a:off x="0" y="0"/>
                      <a:ext cx="620077" cy="580072"/>
                    </a:xfrm>
                    <a:prstGeom prst="rect">
                      <a:avLst/>
                    </a:prstGeom>
                  </pic:spPr>
                </pic:pic>
              </a:graphicData>
            </a:graphic>
          </wp:anchor>
        </w:drawing>
      </w:r>
      <w:r>
        <w:rPr>
          <w:sz w:val="54"/>
        </w:rPr>
        <w:drawing>
          <wp:anchor distT="0" distB="0" distL="0" distR="0" allowOverlap="1" layoutInCell="1" locked="0" behindDoc="0" simplePos="0" relativeHeight="16059392">
            <wp:simplePos x="0" y="0"/>
            <wp:positionH relativeFrom="page">
              <wp:posOffset>14981556</wp:posOffset>
            </wp:positionH>
            <wp:positionV relativeFrom="page">
              <wp:posOffset>9668103</wp:posOffset>
            </wp:positionV>
            <wp:extent cx="563245" cy="184683"/>
            <wp:effectExtent l="0" t="0" r="0" b="0"/>
            <wp:wrapNone/>
            <wp:docPr id="2107" name="Image 2107"/>
            <wp:cNvGraphicFramePr>
              <a:graphicFrameLocks/>
            </wp:cNvGraphicFramePr>
            <a:graphic>
              <a:graphicData uri="http://schemas.openxmlformats.org/drawingml/2006/picture">
                <pic:pic>
                  <pic:nvPicPr>
                    <pic:cNvPr id="2107" name="Image 2107"/>
                    <pic:cNvPicPr/>
                  </pic:nvPicPr>
                  <pic:blipFill>
                    <a:blip r:embed="rId38" cstate="print"/>
                    <a:stretch>
                      <a:fillRect/>
                    </a:stretch>
                  </pic:blipFill>
                  <pic:spPr>
                    <a:xfrm>
                      <a:off x="0" y="0"/>
                      <a:ext cx="563245" cy="184683"/>
                    </a:xfrm>
                    <a:prstGeom prst="rect">
                      <a:avLst/>
                    </a:prstGeom>
                  </pic:spPr>
                </pic:pic>
              </a:graphicData>
            </a:graphic>
          </wp:anchor>
        </w:drawing>
      </w:r>
      <w:r>
        <w:rPr>
          <w:sz w:val="54"/>
        </w:rPr>
        <w:drawing>
          <wp:anchor distT="0" distB="0" distL="0" distR="0" allowOverlap="1" layoutInCell="1" locked="0" behindDoc="0" simplePos="0" relativeHeight="16059904">
            <wp:simplePos x="0" y="0"/>
            <wp:positionH relativeFrom="page">
              <wp:posOffset>13547852</wp:posOffset>
            </wp:positionH>
            <wp:positionV relativeFrom="paragraph">
              <wp:posOffset>354583</wp:posOffset>
            </wp:positionV>
            <wp:extent cx="610869" cy="494804"/>
            <wp:effectExtent l="0" t="0" r="0" b="0"/>
            <wp:wrapNone/>
            <wp:docPr id="2108" name="Image 2108"/>
            <wp:cNvGraphicFramePr>
              <a:graphicFrameLocks/>
            </wp:cNvGraphicFramePr>
            <a:graphic>
              <a:graphicData uri="http://schemas.openxmlformats.org/drawingml/2006/picture">
                <pic:pic>
                  <pic:nvPicPr>
                    <pic:cNvPr id="2108" name="Image 2108"/>
                    <pic:cNvPicPr/>
                  </pic:nvPicPr>
                  <pic:blipFill>
                    <a:blip r:embed="rId269" cstate="print"/>
                    <a:stretch>
                      <a:fillRect/>
                    </a:stretch>
                  </pic:blipFill>
                  <pic:spPr>
                    <a:xfrm>
                      <a:off x="0" y="0"/>
                      <a:ext cx="610869" cy="494804"/>
                    </a:xfrm>
                    <a:prstGeom prst="rect">
                      <a:avLst/>
                    </a:prstGeom>
                  </pic:spPr>
                </pic:pic>
              </a:graphicData>
            </a:graphic>
          </wp:anchor>
        </w:drawing>
      </w:r>
      <w:r>
        <w:rPr>
          <w:sz w:val="54"/>
        </w:rPr>
        <w:drawing>
          <wp:anchor distT="0" distB="0" distL="0" distR="0" allowOverlap="1" layoutInCell="1" locked="0" behindDoc="0" simplePos="0" relativeHeight="16060416">
            <wp:simplePos x="0" y="0"/>
            <wp:positionH relativeFrom="page">
              <wp:posOffset>12242292</wp:posOffset>
            </wp:positionH>
            <wp:positionV relativeFrom="paragraph">
              <wp:posOffset>309372</wp:posOffset>
            </wp:positionV>
            <wp:extent cx="1141336" cy="338581"/>
            <wp:effectExtent l="0" t="0" r="0" b="0"/>
            <wp:wrapNone/>
            <wp:docPr id="2109" name="Image 2109"/>
            <wp:cNvGraphicFramePr>
              <a:graphicFrameLocks/>
            </wp:cNvGraphicFramePr>
            <a:graphic>
              <a:graphicData uri="http://schemas.openxmlformats.org/drawingml/2006/picture">
                <pic:pic>
                  <pic:nvPicPr>
                    <pic:cNvPr id="2109" name="Image 2109"/>
                    <pic:cNvPicPr/>
                  </pic:nvPicPr>
                  <pic:blipFill>
                    <a:blip r:embed="rId270" cstate="print"/>
                    <a:stretch>
                      <a:fillRect/>
                    </a:stretch>
                  </pic:blipFill>
                  <pic:spPr>
                    <a:xfrm>
                      <a:off x="0" y="0"/>
                      <a:ext cx="1141336" cy="338581"/>
                    </a:xfrm>
                    <a:prstGeom prst="rect">
                      <a:avLst/>
                    </a:prstGeom>
                  </pic:spPr>
                </pic:pic>
              </a:graphicData>
            </a:graphic>
          </wp:anchor>
        </w:drawing>
      </w:r>
      <w:r>
        <w:rPr>
          <w:color w:val="636466"/>
          <w:sz w:val="54"/>
        </w:rPr>
        <w:t>Yates</w:t>
      </w:r>
      <w:r>
        <w:rPr>
          <w:color w:val="636466"/>
          <w:spacing w:val="24"/>
          <w:sz w:val="54"/>
        </w:rPr>
        <w:t> </w:t>
      </w:r>
      <w:r>
        <w:rPr>
          <w:color w:val="636466"/>
          <w:sz w:val="54"/>
        </w:rPr>
        <w:t>County</w:t>
      </w:r>
      <w:r>
        <w:rPr>
          <w:color w:val="636466"/>
          <w:spacing w:val="25"/>
          <w:sz w:val="54"/>
        </w:rPr>
        <w:t> </w:t>
      </w:r>
      <w:r>
        <w:rPr>
          <w:color w:val="636466"/>
          <w:sz w:val="54"/>
        </w:rPr>
        <w:t>Appendix</w:t>
      </w:r>
      <w:r>
        <w:rPr>
          <w:color w:val="636466"/>
          <w:spacing w:val="25"/>
          <w:sz w:val="54"/>
        </w:rPr>
        <w:t> </w:t>
      </w:r>
      <w:r>
        <w:rPr>
          <w:color w:val="636466"/>
          <w:spacing w:val="-10"/>
          <w:sz w:val="54"/>
        </w:rPr>
        <w:t>H</w:t>
      </w:r>
    </w:p>
    <w:p>
      <w:pPr>
        <w:spacing w:before="236"/>
        <w:ind w:left="1089" w:right="0" w:firstLine="0"/>
        <w:jc w:val="left"/>
        <w:rPr>
          <w:b/>
          <w:sz w:val="32"/>
        </w:rPr>
      </w:pPr>
      <w:r>
        <w:rPr>
          <w:b/>
          <w:color w:val="82BF6A"/>
          <w:spacing w:val="-6"/>
          <w:sz w:val="32"/>
        </w:rPr>
        <w:t>PRIORITY:</w:t>
      </w:r>
      <w:r>
        <w:rPr>
          <w:b/>
          <w:color w:val="82BF6A"/>
          <w:spacing w:val="-13"/>
          <w:sz w:val="32"/>
        </w:rPr>
        <w:t> </w:t>
      </w:r>
      <w:r>
        <w:rPr>
          <w:b/>
          <w:color w:val="82BF6A"/>
          <w:spacing w:val="-6"/>
          <w:sz w:val="32"/>
        </w:rPr>
        <w:t>PREVENT</w:t>
      </w:r>
      <w:r>
        <w:rPr>
          <w:b/>
          <w:color w:val="82BF6A"/>
          <w:spacing w:val="-13"/>
          <w:sz w:val="32"/>
        </w:rPr>
        <w:t> </w:t>
      </w:r>
      <w:r>
        <w:rPr>
          <w:b/>
          <w:color w:val="82BF6A"/>
          <w:spacing w:val="-6"/>
          <w:sz w:val="32"/>
        </w:rPr>
        <w:t>CHRONIC</w:t>
      </w:r>
      <w:r>
        <w:rPr>
          <w:b/>
          <w:color w:val="82BF6A"/>
          <w:spacing w:val="-13"/>
          <w:sz w:val="32"/>
        </w:rPr>
        <w:t> </w:t>
      </w:r>
      <w:r>
        <w:rPr>
          <w:b/>
          <w:color w:val="82BF6A"/>
          <w:spacing w:val="-6"/>
          <w:sz w:val="32"/>
        </w:rPr>
        <w:t>DISEASES</w:t>
      </w:r>
    </w:p>
    <w:p>
      <w:pPr>
        <w:pStyle w:val="BodyText"/>
        <w:spacing w:before="162"/>
        <w:rPr>
          <w:b/>
          <w:sz w:val="20"/>
        </w:rPr>
      </w:pPr>
    </w:p>
    <w:tbl>
      <w:tblPr>
        <w:tblW w:w="0" w:type="auto"/>
        <w:jc w:val="left"/>
        <w:tblInd w:w="1099"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1180"/>
        <w:gridCol w:w="1324"/>
        <w:gridCol w:w="1266"/>
        <w:gridCol w:w="1727"/>
        <w:gridCol w:w="1065"/>
        <w:gridCol w:w="1929"/>
        <w:gridCol w:w="2656"/>
        <w:gridCol w:w="3131"/>
        <w:gridCol w:w="2361"/>
        <w:gridCol w:w="2707"/>
        <w:gridCol w:w="1497"/>
        <w:gridCol w:w="1492"/>
      </w:tblGrid>
      <w:tr>
        <w:trPr>
          <w:trHeight w:val="930" w:hRule="atLeast"/>
        </w:trPr>
        <w:tc>
          <w:tcPr>
            <w:tcW w:w="1180" w:type="dxa"/>
            <w:tcBorders>
              <w:right w:val="single" w:sz="4" w:space="0" w:color="FFFFFF"/>
            </w:tcBorders>
            <w:shd w:val="clear" w:color="auto" w:fill="A7A9AC"/>
          </w:tcPr>
          <w:p>
            <w:pPr>
              <w:pStyle w:val="TableParagraph"/>
              <w:spacing w:before="179"/>
              <w:rPr>
                <w:b/>
                <w:sz w:val="18"/>
              </w:rPr>
            </w:pPr>
          </w:p>
          <w:p>
            <w:pPr>
              <w:pStyle w:val="TableParagraph"/>
              <w:ind w:left="80"/>
              <w:rPr>
                <w:b/>
                <w:sz w:val="18"/>
              </w:rPr>
            </w:pPr>
            <w:r>
              <w:rPr>
                <w:b/>
                <w:color w:val="FFFFFF"/>
                <w:spacing w:val="-2"/>
                <w:sz w:val="18"/>
              </w:rPr>
              <w:t>Priority</w:t>
            </w:r>
          </w:p>
        </w:tc>
        <w:tc>
          <w:tcPr>
            <w:tcW w:w="1324" w:type="dxa"/>
            <w:tcBorders>
              <w:left w:val="single" w:sz="4" w:space="0" w:color="FFFFFF"/>
              <w:right w:val="single" w:sz="4" w:space="0" w:color="FFFFFF"/>
            </w:tcBorders>
            <w:shd w:val="clear" w:color="auto" w:fill="A7A9AC"/>
          </w:tcPr>
          <w:p>
            <w:pPr>
              <w:pStyle w:val="TableParagraph"/>
              <w:spacing w:before="179"/>
              <w:rPr>
                <w:b/>
                <w:sz w:val="18"/>
              </w:rPr>
            </w:pPr>
          </w:p>
          <w:p>
            <w:pPr>
              <w:pStyle w:val="TableParagraph"/>
              <w:ind w:left="80"/>
              <w:rPr>
                <w:b/>
                <w:sz w:val="18"/>
              </w:rPr>
            </w:pPr>
            <w:r>
              <w:rPr>
                <w:b/>
                <w:color w:val="FFFFFF"/>
                <w:w w:val="90"/>
                <w:sz w:val="18"/>
              </w:rPr>
              <w:t>Focus</w:t>
            </w:r>
            <w:r>
              <w:rPr>
                <w:b/>
                <w:color w:val="FFFFFF"/>
                <w:spacing w:val="8"/>
                <w:sz w:val="18"/>
              </w:rPr>
              <w:t> </w:t>
            </w:r>
            <w:r>
              <w:rPr>
                <w:b/>
                <w:color w:val="FFFFFF"/>
                <w:spacing w:val="-4"/>
                <w:sz w:val="18"/>
              </w:rPr>
              <w:t>Area</w:t>
            </w:r>
          </w:p>
        </w:tc>
        <w:tc>
          <w:tcPr>
            <w:tcW w:w="1266" w:type="dxa"/>
            <w:tcBorders>
              <w:left w:val="single" w:sz="4" w:space="0" w:color="FFFFFF"/>
              <w:right w:val="single" w:sz="4" w:space="0" w:color="FFFFFF"/>
            </w:tcBorders>
            <w:shd w:val="clear" w:color="auto" w:fill="A7A9AC"/>
          </w:tcPr>
          <w:p>
            <w:pPr>
              <w:pStyle w:val="TableParagraph"/>
              <w:spacing w:before="84"/>
              <w:rPr>
                <w:b/>
                <w:sz w:val="18"/>
              </w:rPr>
            </w:pPr>
          </w:p>
          <w:p>
            <w:pPr>
              <w:pStyle w:val="TableParagraph"/>
              <w:spacing w:line="232" w:lineRule="auto"/>
              <w:ind w:left="81" w:right="235"/>
              <w:rPr>
                <w:b/>
                <w:sz w:val="18"/>
              </w:rPr>
            </w:pPr>
            <w:r>
              <w:rPr>
                <w:b/>
                <w:color w:val="FFFFFF"/>
                <w:spacing w:val="-6"/>
                <w:sz w:val="18"/>
              </w:rPr>
              <w:t>Goal</w:t>
            </w:r>
            <w:r>
              <w:rPr>
                <w:b/>
                <w:color w:val="FFFFFF"/>
                <w:spacing w:val="-7"/>
                <w:sz w:val="18"/>
              </w:rPr>
              <w:t> </w:t>
            </w:r>
            <w:r>
              <w:rPr>
                <w:b/>
                <w:color w:val="FFFFFF"/>
                <w:spacing w:val="-6"/>
                <w:sz w:val="18"/>
              </w:rPr>
              <w:t>Focus </w:t>
            </w:r>
            <w:r>
              <w:rPr>
                <w:b/>
                <w:color w:val="FFFFFF"/>
                <w:spacing w:val="-4"/>
                <w:sz w:val="18"/>
              </w:rPr>
              <w:t>Area</w:t>
            </w:r>
          </w:p>
        </w:tc>
        <w:tc>
          <w:tcPr>
            <w:tcW w:w="1727" w:type="dxa"/>
            <w:tcBorders>
              <w:left w:val="single" w:sz="4" w:space="0" w:color="FFFFFF"/>
              <w:right w:val="single" w:sz="4" w:space="0" w:color="FFFFFF"/>
            </w:tcBorders>
            <w:shd w:val="clear" w:color="auto" w:fill="A7A9AC"/>
          </w:tcPr>
          <w:p>
            <w:pPr>
              <w:pStyle w:val="TableParagraph"/>
              <w:spacing w:before="179"/>
              <w:rPr>
                <w:b/>
                <w:sz w:val="18"/>
              </w:rPr>
            </w:pPr>
          </w:p>
          <w:p>
            <w:pPr>
              <w:pStyle w:val="TableParagraph"/>
              <w:ind w:left="82"/>
              <w:rPr>
                <w:b/>
                <w:sz w:val="18"/>
              </w:rPr>
            </w:pPr>
            <w:r>
              <w:rPr>
                <w:b/>
                <w:color w:val="FFFFFF"/>
                <w:spacing w:val="-2"/>
                <w:sz w:val="18"/>
              </w:rPr>
              <w:t>Objectives</w:t>
            </w:r>
          </w:p>
        </w:tc>
        <w:tc>
          <w:tcPr>
            <w:tcW w:w="1065" w:type="dxa"/>
            <w:tcBorders>
              <w:left w:val="single" w:sz="4" w:space="0" w:color="FFFFFF"/>
              <w:right w:val="single" w:sz="4" w:space="0" w:color="FFFFFF"/>
            </w:tcBorders>
            <w:shd w:val="clear" w:color="auto" w:fill="A7A9AC"/>
          </w:tcPr>
          <w:p>
            <w:pPr>
              <w:pStyle w:val="TableParagraph"/>
              <w:spacing w:before="179"/>
              <w:rPr>
                <w:b/>
                <w:sz w:val="18"/>
              </w:rPr>
            </w:pPr>
          </w:p>
          <w:p>
            <w:pPr>
              <w:pStyle w:val="TableParagraph"/>
              <w:ind w:left="83"/>
              <w:rPr>
                <w:b/>
                <w:sz w:val="18"/>
              </w:rPr>
            </w:pPr>
            <w:r>
              <w:rPr>
                <w:b/>
                <w:color w:val="FFFFFF"/>
                <w:spacing w:val="-2"/>
                <w:sz w:val="18"/>
              </w:rPr>
              <w:t>Disparities</w:t>
            </w:r>
          </w:p>
        </w:tc>
        <w:tc>
          <w:tcPr>
            <w:tcW w:w="1929" w:type="dxa"/>
            <w:tcBorders>
              <w:left w:val="single" w:sz="4" w:space="0" w:color="FFFFFF"/>
              <w:right w:val="single" w:sz="4" w:space="0" w:color="FFFFFF"/>
            </w:tcBorders>
            <w:shd w:val="clear" w:color="auto" w:fill="A7A9AC"/>
          </w:tcPr>
          <w:p>
            <w:pPr>
              <w:pStyle w:val="TableParagraph"/>
              <w:spacing w:before="179"/>
              <w:rPr>
                <w:b/>
                <w:sz w:val="18"/>
              </w:rPr>
            </w:pPr>
          </w:p>
          <w:p>
            <w:pPr>
              <w:pStyle w:val="TableParagraph"/>
              <w:ind w:left="84"/>
              <w:rPr>
                <w:b/>
                <w:sz w:val="18"/>
              </w:rPr>
            </w:pPr>
            <w:r>
              <w:rPr>
                <w:b/>
                <w:color w:val="FFFFFF"/>
                <w:spacing w:val="-2"/>
                <w:sz w:val="18"/>
              </w:rPr>
              <w:t>Interventions</w:t>
            </w:r>
          </w:p>
        </w:tc>
        <w:tc>
          <w:tcPr>
            <w:tcW w:w="5787" w:type="dxa"/>
            <w:gridSpan w:val="2"/>
            <w:tcBorders>
              <w:left w:val="single" w:sz="4" w:space="0" w:color="FFFFFF"/>
              <w:right w:val="single" w:sz="4" w:space="0" w:color="FFFFFF"/>
            </w:tcBorders>
            <w:shd w:val="clear" w:color="auto" w:fill="A7A9AC"/>
          </w:tcPr>
          <w:p>
            <w:pPr>
              <w:pStyle w:val="TableParagraph"/>
              <w:spacing w:before="5"/>
              <w:rPr>
                <w:b/>
                <w:sz w:val="18"/>
              </w:rPr>
            </w:pPr>
          </w:p>
          <w:p>
            <w:pPr>
              <w:pStyle w:val="TableParagraph"/>
              <w:tabs>
                <w:tab w:pos="3748" w:val="left" w:leader="none"/>
              </w:tabs>
              <w:spacing w:line="146" w:lineRule="auto"/>
              <w:ind w:left="94"/>
              <w:rPr>
                <w:b/>
                <w:sz w:val="18"/>
              </w:rPr>
            </w:pPr>
            <w:r>
              <w:rPr>
                <w:b/>
                <w:color w:val="FFFFFF"/>
                <w:spacing w:val="-4"/>
                <w:position w:val="-9"/>
                <w:sz w:val="18"/>
              </w:rPr>
              <w:t>Family</w:t>
            </w:r>
            <w:r>
              <w:rPr>
                <w:b/>
                <w:color w:val="FFFFFF"/>
                <w:spacing w:val="-2"/>
                <w:position w:val="-9"/>
                <w:sz w:val="18"/>
              </w:rPr>
              <w:t> </w:t>
            </w:r>
            <w:r>
              <w:rPr>
                <w:b/>
                <w:color w:val="FFFFFF"/>
                <w:spacing w:val="-5"/>
                <w:position w:val="-9"/>
                <w:sz w:val="18"/>
              </w:rPr>
              <w:t>of</w:t>
            </w:r>
            <w:r>
              <w:rPr>
                <w:b/>
                <w:color w:val="FFFFFF"/>
                <w:position w:val="-9"/>
                <w:sz w:val="18"/>
              </w:rPr>
              <w:tab/>
            </w:r>
            <w:r>
              <w:rPr>
                <w:b/>
                <w:color w:val="FFFFFF"/>
                <w:sz w:val="18"/>
              </w:rPr>
              <w:t>Projected</w:t>
            </w:r>
            <w:r>
              <w:rPr>
                <w:b/>
                <w:color w:val="FFFFFF"/>
                <w:spacing w:val="-13"/>
                <w:sz w:val="18"/>
              </w:rPr>
              <w:t> </w:t>
            </w:r>
            <w:r>
              <w:rPr>
                <w:b/>
                <w:color w:val="FFFFFF"/>
                <w:spacing w:val="-5"/>
                <w:sz w:val="18"/>
              </w:rPr>
              <w:t>(or</w:t>
            </w:r>
          </w:p>
          <w:p>
            <w:pPr>
              <w:pStyle w:val="TableParagraph"/>
              <w:tabs>
                <w:tab w:pos="3748" w:val="left" w:leader="none"/>
              </w:tabs>
              <w:spacing w:line="146" w:lineRule="auto"/>
              <w:ind w:left="94"/>
              <w:rPr>
                <w:b/>
                <w:sz w:val="18"/>
              </w:rPr>
            </w:pPr>
            <w:r>
              <w:rPr>
                <w:b/>
                <w:color w:val="FFFFFF"/>
                <w:spacing w:val="-2"/>
                <w:position w:val="-9"/>
                <w:sz w:val="18"/>
              </w:rPr>
              <w:t>Measures</w:t>
            </w:r>
            <w:r>
              <w:rPr>
                <w:b/>
                <w:color w:val="FFFFFF"/>
                <w:position w:val="-9"/>
                <w:sz w:val="18"/>
              </w:rPr>
              <w:tab/>
            </w:r>
            <w:r>
              <w:rPr>
                <w:b/>
                <w:color w:val="FFFFFF"/>
                <w:spacing w:val="-2"/>
                <w:sz w:val="18"/>
              </w:rPr>
              <w:t>completed)</w:t>
            </w:r>
          </w:p>
          <w:p>
            <w:pPr>
              <w:pStyle w:val="TableParagraph"/>
              <w:spacing w:line="154" w:lineRule="exact"/>
              <w:ind w:left="3748"/>
              <w:rPr>
                <w:b/>
                <w:sz w:val="18"/>
              </w:rPr>
            </w:pPr>
            <w:r>
              <w:rPr>
                <w:b/>
                <w:color w:val="FFFFFF"/>
                <w:sz w:val="18"/>
              </w:rPr>
              <w:t>Year</w:t>
            </w:r>
            <w:r>
              <w:rPr>
                <w:b/>
                <w:color w:val="FFFFFF"/>
                <w:spacing w:val="-8"/>
                <w:sz w:val="18"/>
              </w:rPr>
              <w:t> </w:t>
            </w:r>
            <w:r>
              <w:rPr>
                <w:b/>
                <w:color w:val="FFFFFF"/>
                <w:sz w:val="18"/>
              </w:rPr>
              <w:t>1</w:t>
            </w:r>
            <w:r>
              <w:rPr>
                <w:b/>
                <w:color w:val="FFFFFF"/>
                <w:spacing w:val="-7"/>
                <w:sz w:val="18"/>
              </w:rPr>
              <w:t> </w:t>
            </w:r>
            <w:r>
              <w:rPr>
                <w:b/>
                <w:color w:val="FFFFFF"/>
                <w:spacing w:val="-2"/>
                <w:sz w:val="18"/>
              </w:rPr>
              <w:t>Intervention</w:t>
            </w:r>
          </w:p>
        </w:tc>
        <w:tc>
          <w:tcPr>
            <w:tcW w:w="2361" w:type="dxa"/>
            <w:tcBorders>
              <w:left w:val="single" w:sz="4" w:space="0" w:color="FFFFFF"/>
              <w:right w:val="single" w:sz="4" w:space="0" w:color="FFFFFF"/>
            </w:tcBorders>
            <w:shd w:val="clear" w:color="auto" w:fill="A7A9AC"/>
          </w:tcPr>
          <w:p>
            <w:pPr>
              <w:pStyle w:val="TableParagraph"/>
              <w:spacing w:before="178"/>
              <w:rPr>
                <w:b/>
                <w:sz w:val="18"/>
              </w:rPr>
            </w:pPr>
          </w:p>
          <w:p>
            <w:pPr>
              <w:pStyle w:val="TableParagraph"/>
              <w:spacing w:before="1"/>
              <w:ind w:left="86"/>
              <w:rPr>
                <w:b/>
                <w:sz w:val="18"/>
              </w:rPr>
            </w:pPr>
            <w:r>
              <w:rPr>
                <w:b/>
                <w:color w:val="FFFFFF"/>
                <w:spacing w:val="-2"/>
                <w:sz w:val="18"/>
              </w:rPr>
              <w:t>Projected</w:t>
            </w:r>
            <w:r>
              <w:rPr>
                <w:b/>
                <w:color w:val="FFFFFF"/>
                <w:spacing w:val="-6"/>
                <w:sz w:val="18"/>
              </w:rPr>
              <w:t> </w:t>
            </w:r>
            <w:r>
              <w:rPr>
                <w:b/>
                <w:color w:val="FFFFFF"/>
                <w:spacing w:val="-2"/>
                <w:sz w:val="18"/>
              </w:rPr>
              <w:t>Year</w:t>
            </w:r>
            <w:r>
              <w:rPr>
                <w:b/>
                <w:color w:val="FFFFFF"/>
                <w:spacing w:val="-5"/>
                <w:sz w:val="18"/>
              </w:rPr>
              <w:t> </w:t>
            </w:r>
            <w:r>
              <w:rPr>
                <w:b/>
                <w:color w:val="FFFFFF"/>
                <w:spacing w:val="-12"/>
                <w:sz w:val="18"/>
              </w:rPr>
              <w:t>2</w:t>
            </w:r>
          </w:p>
        </w:tc>
        <w:tc>
          <w:tcPr>
            <w:tcW w:w="2707" w:type="dxa"/>
            <w:tcBorders>
              <w:left w:val="single" w:sz="4" w:space="0" w:color="FFFFFF"/>
              <w:right w:val="single" w:sz="4" w:space="0" w:color="FFFFFF"/>
            </w:tcBorders>
            <w:shd w:val="clear" w:color="auto" w:fill="A7A9AC"/>
          </w:tcPr>
          <w:p>
            <w:pPr>
              <w:pStyle w:val="TableParagraph"/>
              <w:spacing w:before="178"/>
              <w:rPr>
                <w:b/>
                <w:sz w:val="18"/>
              </w:rPr>
            </w:pPr>
          </w:p>
          <w:p>
            <w:pPr>
              <w:pStyle w:val="TableParagraph"/>
              <w:spacing w:before="1"/>
              <w:ind w:left="87"/>
              <w:rPr>
                <w:b/>
                <w:sz w:val="18"/>
              </w:rPr>
            </w:pPr>
            <w:r>
              <w:rPr>
                <w:b/>
                <w:color w:val="FFFFFF"/>
                <w:sz w:val="18"/>
              </w:rPr>
              <w:t>Projected</w:t>
            </w:r>
            <w:r>
              <w:rPr>
                <w:b/>
                <w:color w:val="FFFFFF"/>
                <w:spacing w:val="-11"/>
                <w:sz w:val="18"/>
              </w:rPr>
              <w:t> </w:t>
            </w:r>
            <w:r>
              <w:rPr>
                <w:b/>
                <w:color w:val="FFFFFF"/>
                <w:sz w:val="18"/>
              </w:rPr>
              <w:t>Year</w:t>
            </w:r>
            <w:r>
              <w:rPr>
                <w:b/>
                <w:color w:val="FFFFFF"/>
                <w:spacing w:val="-10"/>
                <w:sz w:val="18"/>
              </w:rPr>
              <w:t> </w:t>
            </w:r>
            <w:r>
              <w:rPr>
                <w:b/>
                <w:color w:val="FFFFFF"/>
                <w:sz w:val="18"/>
              </w:rPr>
              <w:t>3</w:t>
            </w:r>
            <w:r>
              <w:rPr>
                <w:b/>
                <w:color w:val="FFFFFF"/>
                <w:spacing w:val="-10"/>
                <w:sz w:val="18"/>
              </w:rPr>
              <w:t> </w:t>
            </w:r>
            <w:r>
              <w:rPr>
                <w:b/>
                <w:color w:val="FFFFFF"/>
                <w:spacing w:val="-2"/>
                <w:sz w:val="18"/>
              </w:rPr>
              <w:t>Interventions</w:t>
            </w:r>
          </w:p>
        </w:tc>
        <w:tc>
          <w:tcPr>
            <w:tcW w:w="1497" w:type="dxa"/>
            <w:tcBorders>
              <w:left w:val="single" w:sz="4" w:space="0" w:color="FFFFFF"/>
            </w:tcBorders>
            <w:shd w:val="clear" w:color="auto" w:fill="A7A9AC"/>
          </w:tcPr>
          <w:p>
            <w:pPr>
              <w:pStyle w:val="TableParagraph"/>
              <w:spacing w:before="83"/>
              <w:rPr>
                <w:b/>
                <w:sz w:val="18"/>
              </w:rPr>
            </w:pPr>
          </w:p>
          <w:p>
            <w:pPr>
              <w:pStyle w:val="TableParagraph"/>
              <w:spacing w:line="232" w:lineRule="auto" w:before="1"/>
              <w:ind w:left="87"/>
              <w:rPr>
                <w:b/>
                <w:sz w:val="18"/>
              </w:rPr>
            </w:pPr>
            <w:r>
              <w:rPr>
                <w:b/>
                <w:color w:val="FFFFFF"/>
                <w:spacing w:val="-2"/>
                <w:sz w:val="18"/>
              </w:rPr>
              <w:t>Implementation Partner</w:t>
            </w:r>
          </w:p>
        </w:tc>
        <w:tc>
          <w:tcPr>
            <w:tcW w:w="1492" w:type="dxa"/>
            <w:shd w:val="clear" w:color="auto" w:fill="A7A9AC"/>
          </w:tcPr>
          <w:p>
            <w:pPr>
              <w:pStyle w:val="TableParagraph"/>
              <w:spacing w:before="83"/>
              <w:rPr>
                <w:b/>
                <w:sz w:val="18"/>
              </w:rPr>
            </w:pPr>
          </w:p>
          <w:p>
            <w:pPr>
              <w:pStyle w:val="TableParagraph"/>
              <w:spacing w:line="232" w:lineRule="auto" w:before="1"/>
              <w:ind w:left="87" w:right="149"/>
              <w:rPr>
                <w:b/>
                <w:sz w:val="18"/>
              </w:rPr>
            </w:pPr>
            <w:r>
              <w:rPr>
                <w:b/>
                <w:color w:val="FFFFFF"/>
                <w:spacing w:val="-4"/>
                <w:sz w:val="18"/>
              </w:rPr>
              <w:t>Partner</w:t>
            </w:r>
            <w:r>
              <w:rPr>
                <w:b/>
                <w:color w:val="FFFFFF"/>
                <w:spacing w:val="-9"/>
                <w:sz w:val="18"/>
              </w:rPr>
              <w:t> </w:t>
            </w:r>
            <w:r>
              <w:rPr>
                <w:b/>
                <w:color w:val="FFFFFF"/>
                <w:spacing w:val="-4"/>
                <w:sz w:val="18"/>
              </w:rPr>
              <w:t>Role(s) </w:t>
            </w:r>
            <w:r>
              <w:rPr>
                <w:b/>
                <w:color w:val="FFFFFF"/>
                <w:sz w:val="18"/>
              </w:rPr>
              <w:t>and</w:t>
            </w:r>
            <w:r>
              <w:rPr>
                <w:b/>
                <w:color w:val="FFFFFF"/>
                <w:spacing w:val="-7"/>
                <w:sz w:val="18"/>
              </w:rPr>
              <w:t> Resources</w:t>
            </w:r>
          </w:p>
        </w:tc>
      </w:tr>
      <w:tr>
        <w:trPr>
          <w:trHeight w:val="3550" w:hRule="atLeast"/>
        </w:trPr>
        <w:tc>
          <w:tcPr>
            <w:tcW w:w="1180" w:type="dxa"/>
            <w:vMerge w:val="restart"/>
            <w:shd w:val="clear" w:color="auto" w:fill="E6E7E8"/>
          </w:tcPr>
          <w:p>
            <w:pPr>
              <w:pStyle w:val="TableParagraph"/>
              <w:spacing w:line="232" w:lineRule="auto" w:before="101"/>
              <w:ind w:left="89" w:right="363"/>
              <w:jc w:val="both"/>
              <w:rPr>
                <w:sz w:val="18"/>
              </w:rPr>
            </w:pPr>
            <w:r>
              <w:rPr>
                <w:color w:val="105C84"/>
                <w:spacing w:val="-2"/>
                <w:sz w:val="18"/>
              </w:rPr>
              <w:t>Prevent Chronic </w:t>
            </w:r>
            <w:r>
              <w:rPr>
                <w:color w:val="105C84"/>
                <w:spacing w:val="-6"/>
                <w:sz w:val="18"/>
              </w:rPr>
              <w:t>Diseases</w:t>
            </w:r>
          </w:p>
        </w:tc>
        <w:tc>
          <w:tcPr>
            <w:tcW w:w="1324" w:type="dxa"/>
            <w:vMerge w:val="restart"/>
          </w:tcPr>
          <w:p>
            <w:pPr>
              <w:pStyle w:val="TableParagraph"/>
              <w:spacing w:line="232" w:lineRule="auto" w:before="101"/>
              <w:ind w:left="90" w:right="139"/>
              <w:rPr>
                <w:sz w:val="18"/>
              </w:rPr>
            </w:pPr>
            <w:r>
              <w:rPr>
                <w:color w:val="105C84"/>
                <w:spacing w:val="-4"/>
                <w:sz w:val="18"/>
              </w:rPr>
              <w:t>Focus</w:t>
            </w:r>
            <w:r>
              <w:rPr>
                <w:color w:val="105C84"/>
                <w:spacing w:val="-11"/>
                <w:sz w:val="18"/>
              </w:rPr>
              <w:t> </w:t>
            </w:r>
            <w:r>
              <w:rPr>
                <w:color w:val="105C84"/>
                <w:spacing w:val="-4"/>
                <w:sz w:val="18"/>
              </w:rPr>
              <w:t>Area</w:t>
            </w:r>
            <w:r>
              <w:rPr>
                <w:color w:val="105C84"/>
                <w:spacing w:val="-8"/>
                <w:sz w:val="18"/>
              </w:rPr>
              <w:t> </w:t>
            </w:r>
            <w:r>
              <w:rPr>
                <w:color w:val="105C84"/>
                <w:spacing w:val="-4"/>
                <w:sz w:val="18"/>
              </w:rPr>
              <w:t>4: </w:t>
            </w:r>
            <w:r>
              <w:rPr>
                <w:color w:val="105C84"/>
                <w:spacing w:val="-2"/>
                <w:sz w:val="18"/>
              </w:rPr>
              <w:t>Preventive </w:t>
            </w:r>
            <w:r>
              <w:rPr>
                <w:color w:val="105C84"/>
                <w:sz w:val="18"/>
              </w:rPr>
              <w:t>care and </w:t>
            </w:r>
            <w:r>
              <w:rPr>
                <w:color w:val="105C84"/>
                <w:spacing w:val="-2"/>
                <w:sz w:val="18"/>
              </w:rPr>
              <w:t>management</w:t>
            </w:r>
          </w:p>
        </w:tc>
        <w:tc>
          <w:tcPr>
            <w:tcW w:w="1266" w:type="dxa"/>
            <w:vMerge w:val="restart"/>
          </w:tcPr>
          <w:p>
            <w:pPr>
              <w:pStyle w:val="TableParagraph"/>
              <w:spacing w:line="232" w:lineRule="auto" w:before="101"/>
              <w:ind w:left="91" w:right="382"/>
              <w:rPr>
                <w:sz w:val="18"/>
              </w:rPr>
            </w:pPr>
            <w:r>
              <w:rPr>
                <w:color w:val="105C84"/>
                <w:sz w:val="18"/>
              </w:rPr>
              <w:t>Goal 4.1: </w:t>
            </w:r>
            <w:r>
              <w:rPr>
                <w:color w:val="105C84"/>
                <w:spacing w:val="-2"/>
                <w:sz w:val="18"/>
              </w:rPr>
              <w:t>Increase cancer screening rates</w:t>
            </w:r>
          </w:p>
        </w:tc>
        <w:tc>
          <w:tcPr>
            <w:tcW w:w="1727" w:type="dxa"/>
            <w:vMerge w:val="restart"/>
          </w:tcPr>
          <w:p>
            <w:pPr>
              <w:pStyle w:val="TableParagraph"/>
              <w:spacing w:line="232" w:lineRule="auto" w:before="101"/>
              <w:ind w:left="92" w:right="81"/>
              <w:rPr>
                <w:sz w:val="18"/>
              </w:rPr>
            </w:pPr>
            <w:r>
              <w:rPr>
                <w:color w:val="105C84"/>
                <w:sz w:val="18"/>
              </w:rPr>
              <w:t>4.1.4 Increase the percentage of adults</w:t>
            </w:r>
            <w:r>
              <w:rPr>
                <w:color w:val="105C84"/>
                <w:spacing w:val="-15"/>
                <w:sz w:val="18"/>
              </w:rPr>
              <w:t> </w:t>
            </w:r>
            <w:r>
              <w:rPr>
                <w:color w:val="105C84"/>
                <w:sz w:val="18"/>
              </w:rPr>
              <w:t>who</w:t>
            </w:r>
            <w:r>
              <w:rPr>
                <w:color w:val="105C84"/>
                <w:spacing w:val="-12"/>
                <w:sz w:val="18"/>
              </w:rPr>
              <w:t> </w:t>
            </w:r>
            <w:r>
              <w:rPr>
                <w:color w:val="105C84"/>
                <w:sz w:val="18"/>
              </w:rPr>
              <w:t>receive</w:t>
            </w:r>
            <w:r>
              <w:rPr>
                <w:color w:val="105C84"/>
                <w:sz w:val="18"/>
              </w:rPr>
              <w:t> a COLORECTAL </w:t>
            </w:r>
            <w:r>
              <w:rPr>
                <w:color w:val="105C84"/>
                <w:spacing w:val="-2"/>
                <w:sz w:val="18"/>
              </w:rPr>
              <w:t>CANCER</w:t>
            </w:r>
          </w:p>
          <w:p>
            <w:pPr>
              <w:pStyle w:val="TableParagraph"/>
              <w:spacing w:line="232" w:lineRule="auto"/>
              <w:ind w:left="92"/>
              <w:rPr>
                <w:sz w:val="18"/>
              </w:rPr>
            </w:pPr>
            <w:r>
              <w:rPr>
                <w:color w:val="105C84"/>
                <w:spacing w:val="-6"/>
                <w:sz w:val="18"/>
              </w:rPr>
              <w:t>SCREENING</w:t>
            </w:r>
            <w:r>
              <w:rPr>
                <w:color w:val="105C84"/>
                <w:spacing w:val="-7"/>
                <w:sz w:val="18"/>
              </w:rPr>
              <w:t> </w:t>
            </w:r>
            <w:r>
              <w:rPr>
                <w:color w:val="105C84"/>
                <w:spacing w:val="-6"/>
                <w:sz w:val="18"/>
              </w:rPr>
              <w:t>based </w:t>
            </w:r>
            <w:r>
              <w:rPr>
                <w:color w:val="105C84"/>
                <w:sz w:val="18"/>
              </w:rPr>
              <w:t>on the most recent guidelines (adults with an annual household income less than $25,000)</w:t>
            </w:r>
          </w:p>
        </w:tc>
        <w:tc>
          <w:tcPr>
            <w:tcW w:w="1065" w:type="dxa"/>
            <w:vMerge w:val="restart"/>
          </w:tcPr>
          <w:p>
            <w:pPr>
              <w:pStyle w:val="TableParagraph"/>
              <w:spacing w:line="203" w:lineRule="exact" w:before="95"/>
              <w:ind w:left="93"/>
              <w:rPr>
                <w:sz w:val="18"/>
              </w:rPr>
            </w:pPr>
            <w:r>
              <w:rPr>
                <w:color w:val="105C84"/>
                <w:sz w:val="18"/>
              </w:rPr>
              <w:t>Low</w:t>
            </w:r>
            <w:r>
              <w:rPr>
                <w:color w:val="105C84"/>
                <w:spacing w:val="-11"/>
                <w:sz w:val="18"/>
              </w:rPr>
              <w:t> </w:t>
            </w:r>
            <w:r>
              <w:rPr>
                <w:color w:val="105C84"/>
                <w:spacing w:val="-4"/>
                <w:sz w:val="18"/>
              </w:rPr>
              <w:t>SES,</w:t>
            </w:r>
          </w:p>
          <w:p>
            <w:pPr>
              <w:pStyle w:val="TableParagraph"/>
              <w:spacing w:line="232" w:lineRule="auto" w:before="2"/>
              <w:ind w:left="93" w:right="372"/>
              <w:rPr>
                <w:sz w:val="18"/>
              </w:rPr>
            </w:pPr>
            <w:r>
              <w:rPr>
                <w:color w:val="105C84"/>
                <w:sz w:val="18"/>
              </w:rPr>
              <w:t>un or </w:t>
            </w:r>
            <w:r>
              <w:rPr>
                <w:color w:val="105C84"/>
                <w:spacing w:val="-2"/>
                <w:sz w:val="18"/>
              </w:rPr>
              <w:t>under-insured</w:t>
            </w:r>
          </w:p>
        </w:tc>
        <w:tc>
          <w:tcPr>
            <w:tcW w:w="1929" w:type="dxa"/>
            <w:vMerge w:val="restart"/>
          </w:tcPr>
          <w:p>
            <w:pPr>
              <w:pStyle w:val="TableParagraph"/>
              <w:spacing w:line="232" w:lineRule="auto" w:before="100"/>
              <w:ind w:left="93" w:right="93"/>
              <w:rPr>
                <w:sz w:val="18"/>
              </w:rPr>
            </w:pPr>
            <w:r>
              <w:rPr>
                <w:color w:val="105C84"/>
                <w:spacing w:val="-2"/>
                <w:sz w:val="18"/>
              </w:rPr>
              <w:t>4.1.3</w:t>
            </w:r>
            <w:r>
              <w:rPr>
                <w:color w:val="105C84"/>
                <w:spacing w:val="-11"/>
                <w:sz w:val="18"/>
              </w:rPr>
              <w:t> </w:t>
            </w:r>
            <w:r>
              <w:rPr>
                <w:color w:val="105C84"/>
                <w:spacing w:val="-2"/>
                <w:sz w:val="18"/>
              </w:rPr>
              <w:t>Use</w:t>
            </w:r>
            <w:r>
              <w:rPr>
                <w:color w:val="105C84"/>
                <w:spacing w:val="-10"/>
                <w:sz w:val="18"/>
              </w:rPr>
              <w:t> </w:t>
            </w:r>
            <w:r>
              <w:rPr>
                <w:color w:val="105C84"/>
                <w:spacing w:val="-2"/>
                <w:sz w:val="18"/>
              </w:rPr>
              <w:t>small</w:t>
            </w:r>
            <w:r>
              <w:rPr>
                <w:color w:val="105C84"/>
                <w:spacing w:val="-11"/>
                <w:sz w:val="18"/>
              </w:rPr>
              <w:t> </w:t>
            </w:r>
            <w:r>
              <w:rPr>
                <w:color w:val="105C84"/>
                <w:spacing w:val="-2"/>
                <w:sz w:val="18"/>
              </w:rPr>
              <w:t>medi</w:t>
            </w:r>
            <w:r>
              <w:rPr>
                <w:color w:val="105C84"/>
                <w:spacing w:val="-2"/>
                <w:sz w:val="18"/>
              </w:rPr>
              <w:t>a</w:t>
            </w:r>
            <w:r>
              <w:rPr>
                <w:color w:val="105C84"/>
                <w:spacing w:val="-2"/>
                <w:sz w:val="18"/>
              </w:rPr>
              <w:t> </w:t>
            </w:r>
            <w:r>
              <w:rPr>
                <w:color w:val="105C84"/>
                <w:sz w:val="18"/>
              </w:rPr>
              <w:t>such as videos, printed materials (letters, brochures, and newsletters)</w:t>
            </w:r>
          </w:p>
          <w:p>
            <w:pPr>
              <w:pStyle w:val="TableParagraph"/>
              <w:spacing w:line="232" w:lineRule="auto"/>
              <w:ind w:left="93" w:right="423"/>
              <w:rPr>
                <w:sz w:val="18"/>
              </w:rPr>
            </w:pPr>
            <w:r>
              <w:rPr>
                <w:color w:val="105C84"/>
                <w:sz w:val="18"/>
              </w:rPr>
              <w:t>and health </w:t>
            </w:r>
            <w:r>
              <w:rPr>
                <w:color w:val="105C84"/>
                <w:spacing w:val="-2"/>
                <w:sz w:val="18"/>
              </w:rPr>
              <w:t>communications </w:t>
            </w:r>
            <w:r>
              <w:rPr>
                <w:color w:val="105C84"/>
                <w:sz w:val="18"/>
              </w:rPr>
              <w:t>to build public</w:t>
            </w:r>
          </w:p>
          <w:p>
            <w:pPr>
              <w:pStyle w:val="TableParagraph"/>
              <w:spacing w:line="200" w:lineRule="exact"/>
              <w:ind w:left="93"/>
              <w:rPr>
                <w:sz w:val="18"/>
              </w:rPr>
            </w:pPr>
            <w:r>
              <w:rPr>
                <w:color w:val="105C84"/>
                <w:spacing w:val="-4"/>
                <w:sz w:val="18"/>
              </w:rPr>
              <w:t>awareness</w:t>
            </w:r>
            <w:r>
              <w:rPr>
                <w:color w:val="105C84"/>
                <w:spacing w:val="-8"/>
                <w:sz w:val="18"/>
              </w:rPr>
              <w:t> </w:t>
            </w:r>
            <w:r>
              <w:rPr>
                <w:color w:val="105C84"/>
                <w:spacing w:val="-4"/>
                <w:sz w:val="18"/>
              </w:rPr>
              <w:t>&amp;</w:t>
            </w:r>
            <w:r>
              <w:rPr>
                <w:color w:val="105C84"/>
                <w:spacing w:val="-7"/>
                <w:sz w:val="18"/>
              </w:rPr>
              <w:t> </w:t>
            </w:r>
            <w:r>
              <w:rPr>
                <w:color w:val="105C84"/>
                <w:spacing w:val="-4"/>
                <w:sz w:val="18"/>
              </w:rPr>
              <w:t>demand</w:t>
            </w:r>
          </w:p>
        </w:tc>
        <w:tc>
          <w:tcPr>
            <w:tcW w:w="2656" w:type="dxa"/>
            <w:vMerge w:val="restart"/>
            <w:tcBorders>
              <w:right w:val="nil"/>
            </w:tcBorders>
          </w:tcPr>
          <w:p>
            <w:pPr>
              <w:pStyle w:val="TableParagraph"/>
              <w:spacing w:line="232" w:lineRule="auto" w:before="100"/>
              <w:ind w:left="94" w:right="806"/>
              <w:rPr>
                <w:sz w:val="18"/>
              </w:rPr>
            </w:pPr>
            <w:r>
              <w:rPr>
                <w:color w:val="105C84"/>
                <w:sz w:val="18"/>
              </w:rPr>
              <w:t>Number &amp; type </w:t>
            </w:r>
            <w:r>
              <w:rPr>
                <w:color w:val="105C84"/>
                <w:sz w:val="18"/>
              </w:rPr>
              <w:t>of locations where materials were </w:t>
            </w:r>
            <w:r>
              <w:rPr>
                <w:color w:val="105C84"/>
                <w:spacing w:val="-2"/>
                <w:sz w:val="18"/>
              </w:rPr>
              <w:t>distributed</w:t>
            </w:r>
          </w:p>
          <w:p>
            <w:pPr>
              <w:pStyle w:val="TableParagraph"/>
              <w:spacing w:line="232" w:lineRule="auto" w:before="87"/>
              <w:ind w:left="94" w:right="1176"/>
              <w:rPr>
                <w:sz w:val="18"/>
              </w:rPr>
            </w:pPr>
            <w:r>
              <w:rPr>
                <w:color w:val="105C84"/>
                <w:sz w:val="18"/>
              </w:rPr>
              <w:t>Change in knowledge &amp; awareness of need for cancer </w:t>
            </w:r>
            <w:r>
              <w:rPr>
                <w:color w:val="105C84"/>
                <w:spacing w:val="-2"/>
                <w:sz w:val="18"/>
              </w:rPr>
              <w:t>screenings </w:t>
            </w:r>
            <w:r>
              <w:rPr>
                <w:color w:val="105C84"/>
                <w:sz w:val="18"/>
              </w:rPr>
              <w:t>among groups reached</w:t>
            </w:r>
            <w:r>
              <w:rPr>
                <w:color w:val="105C84"/>
                <w:spacing w:val="-13"/>
                <w:sz w:val="18"/>
              </w:rPr>
              <w:t> </w:t>
            </w:r>
            <w:r>
              <w:rPr>
                <w:color w:val="105C84"/>
                <w:sz w:val="18"/>
              </w:rPr>
              <w:t>through small media </w:t>
            </w:r>
            <w:r>
              <w:rPr>
                <w:color w:val="105C84"/>
                <w:spacing w:val="-2"/>
                <w:sz w:val="18"/>
              </w:rPr>
              <w:t>dissemination</w:t>
            </w:r>
          </w:p>
        </w:tc>
        <w:tc>
          <w:tcPr>
            <w:tcW w:w="3131" w:type="dxa"/>
            <w:tcBorders>
              <w:left w:val="nil"/>
            </w:tcBorders>
          </w:tcPr>
          <w:p>
            <w:pPr>
              <w:pStyle w:val="TableParagraph"/>
              <w:spacing w:line="232" w:lineRule="auto" w:before="100"/>
              <w:ind w:left="1097" w:right="42"/>
              <w:rPr>
                <w:sz w:val="18"/>
              </w:rPr>
            </w:pPr>
            <w:r>
              <w:rPr>
                <w:color w:val="105C84"/>
                <w:sz w:val="18"/>
              </w:rPr>
              <w:t>FLH developed flyer outlining screenings performed by FLH and distributed</w:t>
            </w:r>
            <w:r>
              <w:rPr>
                <w:color w:val="105C84"/>
                <w:spacing w:val="-5"/>
                <w:sz w:val="18"/>
              </w:rPr>
              <w:t> </w:t>
            </w:r>
            <w:r>
              <w:rPr>
                <w:color w:val="105C84"/>
                <w:sz w:val="18"/>
              </w:rPr>
              <w:t>via</w:t>
            </w:r>
            <w:r>
              <w:rPr>
                <w:color w:val="105C84"/>
                <w:spacing w:val="-5"/>
                <w:sz w:val="18"/>
              </w:rPr>
              <w:t> </w:t>
            </w:r>
            <w:r>
              <w:rPr>
                <w:color w:val="105C84"/>
                <w:sz w:val="18"/>
              </w:rPr>
              <w:t>website, </w:t>
            </w:r>
            <w:r>
              <w:rPr>
                <w:color w:val="105C84"/>
                <w:spacing w:val="-2"/>
                <w:sz w:val="18"/>
              </w:rPr>
              <w:t>Facebook</w:t>
            </w:r>
          </w:p>
          <w:p>
            <w:pPr>
              <w:pStyle w:val="TableParagraph"/>
              <w:spacing w:line="232" w:lineRule="auto" w:before="86"/>
              <w:ind w:left="1097" w:right="42"/>
              <w:rPr>
                <w:sz w:val="18"/>
              </w:rPr>
            </w:pPr>
            <w:r>
              <w:rPr>
                <w:color w:val="105C84"/>
                <w:sz w:val="18"/>
              </w:rPr>
              <w:t>Advertised</w:t>
            </w:r>
            <w:r>
              <w:rPr>
                <w:color w:val="105C84"/>
                <w:spacing w:val="-15"/>
                <w:sz w:val="18"/>
              </w:rPr>
              <w:t> </w:t>
            </w:r>
            <w:r>
              <w:rPr>
                <w:color w:val="105C84"/>
                <w:sz w:val="18"/>
              </w:rPr>
              <w:t>colon</w:t>
            </w:r>
            <w:r>
              <w:rPr>
                <w:color w:val="105C84"/>
                <w:spacing w:val="-12"/>
                <w:sz w:val="18"/>
              </w:rPr>
              <w:t> </w:t>
            </w:r>
            <w:r>
              <w:rPr>
                <w:color w:val="105C84"/>
                <w:sz w:val="18"/>
              </w:rPr>
              <w:t>cancer screening availability in "Thrive" magazine</w:t>
            </w:r>
          </w:p>
        </w:tc>
        <w:tc>
          <w:tcPr>
            <w:tcW w:w="2361" w:type="dxa"/>
          </w:tcPr>
          <w:p>
            <w:pPr>
              <w:pStyle w:val="TableParagraph"/>
              <w:spacing w:line="232" w:lineRule="auto" w:before="100"/>
              <w:ind w:left="96"/>
              <w:rPr>
                <w:sz w:val="18"/>
              </w:rPr>
            </w:pPr>
            <w:r>
              <w:rPr>
                <w:color w:val="105C84"/>
                <w:sz w:val="18"/>
              </w:rPr>
              <w:t>FLH</w:t>
            </w:r>
            <w:r>
              <w:rPr>
                <w:color w:val="105C84"/>
                <w:spacing w:val="-9"/>
                <w:sz w:val="18"/>
              </w:rPr>
              <w:t> </w:t>
            </w:r>
            <w:r>
              <w:rPr>
                <w:color w:val="105C84"/>
                <w:sz w:val="18"/>
              </w:rPr>
              <w:t>will</w:t>
            </w:r>
            <w:r>
              <w:rPr>
                <w:color w:val="105C84"/>
                <w:spacing w:val="-9"/>
                <w:sz w:val="18"/>
              </w:rPr>
              <w:t> </w:t>
            </w:r>
            <w:r>
              <w:rPr>
                <w:color w:val="105C84"/>
                <w:sz w:val="18"/>
              </w:rPr>
              <w:t>promote</w:t>
            </w:r>
            <w:r>
              <w:rPr>
                <w:color w:val="105C84"/>
                <w:spacing w:val="-9"/>
                <w:sz w:val="18"/>
              </w:rPr>
              <w:t> </w:t>
            </w:r>
            <w:r>
              <w:rPr>
                <w:color w:val="105C84"/>
                <w:sz w:val="18"/>
              </w:rPr>
              <w:t>colorectal cancer screenings and guidelines via newspaper, radio, Facebook, Website, "Thrive" magazine</w:t>
            </w:r>
          </w:p>
        </w:tc>
        <w:tc>
          <w:tcPr>
            <w:tcW w:w="2707" w:type="dxa"/>
          </w:tcPr>
          <w:p>
            <w:pPr>
              <w:pStyle w:val="TableParagraph"/>
              <w:spacing w:line="232" w:lineRule="auto" w:before="100"/>
              <w:ind w:left="96" w:right="203"/>
              <w:rPr>
                <w:sz w:val="18"/>
              </w:rPr>
            </w:pPr>
            <w:r>
              <w:rPr>
                <w:color w:val="105C84"/>
                <w:sz w:val="18"/>
              </w:rPr>
              <w:t>FLH</w:t>
            </w:r>
            <w:r>
              <w:rPr>
                <w:color w:val="105C84"/>
                <w:spacing w:val="-5"/>
                <w:sz w:val="18"/>
              </w:rPr>
              <w:t> </w:t>
            </w:r>
            <w:r>
              <w:rPr>
                <w:color w:val="105C84"/>
                <w:sz w:val="18"/>
              </w:rPr>
              <w:t>will</w:t>
            </w:r>
            <w:r>
              <w:rPr>
                <w:color w:val="105C84"/>
                <w:spacing w:val="-5"/>
                <w:sz w:val="18"/>
              </w:rPr>
              <w:t> </w:t>
            </w:r>
            <w:r>
              <w:rPr>
                <w:color w:val="105C84"/>
                <w:sz w:val="18"/>
              </w:rPr>
              <w:t>promote</w:t>
            </w:r>
            <w:r>
              <w:rPr>
                <w:color w:val="105C84"/>
                <w:spacing w:val="-5"/>
                <w:sz w:val="18"/>
              </w:rPr>
              <w:t> </w:t>
            </w:r>
            <w:r>
              <w:rPr>
                <w:color w:val="105C84"/>
                <w:sz w:val="18"/>
              </w:rPr>
              <w:t>colorectal cancer screenings and guidelines via newspaper, radio, Facebook, Website, "Thrive" magazine</w:t>
            </w:r>
          </w:p>
        </w:tc>
        <w:tc>
          <w:tcPr>
            <w:tcW w:w="1497" w:type="dxa"/>
          </w:tcPr>
          <w:p>
            <w:pPr>
              <w:pStyle w:val="TableParagraph"/>
              <w:spacing w:before="95"/>
              <w:ind w:left="97"/>
              <w:rPr>
                <w:sz w:val="18"/>
              </w:rPr>
            </w:pPr>
            <w:r>
              <w:rPr>
                <w:color w:val="105C84"/>
                <w:spacing w:val="-2"/>
                <w:sz w:val="18"/>
              </w:rPr>
              <w:t>Hospital</w:t>
            </w:r>
          </w:p>
        </w:tc>
        <w:tc>
          <w:tcPr>
            <w:tcW w:w="1492" w:type="dxa"/>
          </w:tcPr>
          <w:p>
            <w:pPr>
              <w:pStyle w:val="TableParagraph"/>
              <w:spacing w:line="232" w:lineRule="auto" w:before="100"/>
              <w:ind w:left="97" w:right="374"/>
              <w:rPr>
                <w:sz w:val="18"/>
              </w:rPr>
            </w:pPr>
            <w:r>
              <w:rPr>
                <w:color w:val="105C84"/>
                <w:spacing w:val="-4"/>
                <w:sz w:val="18"/>
              </w:rPr>
              <w:t>Finger</w:t>
            </w:r>
            <w:r>
              <w:rPr>
                <w:color w:val="105C84"/>
                <w:spacing w:val="-9"/>
                <w:sz w:val="18"/>
              </w:rPr>
              <w:t> </w:t>
            </w:r>
            <w:r>
              <w:rPr>
                <w:color w:val="105C84"/>
                <w:spacing w:val="-4"/>
                <w:sz w:val="18"/>
              </w:rPr>
              <w:t>Lakes </w:t>
            </w:r>
            <w:r>
              <w:rPr>
                <w:color w:val="105C84"/>
                <w:sz w:val="18"/>
              </w:rPr>
              <w:t>Health </w:t>
            </w:r>
            <w:r>
              <w:rPr>
                <w:color w:val="105C84"/>
                <w:spacing w:val="-8"/>
                <w:sz w:val="18"/>
              </w:rPr>
              <w:t>(FLH)</w:t>
            </w:r>
          </w:p>
          <w:p>
            <w:pPr>
              <w:pStyle w:val="TableParagraph"/>
              <w:spacing w:line="232" w:lineRule="auto" w:before="88"/>
              <w:ind w:left="97"/>
              <w:rPr>
                <w:sz w:val="18"/>
              </w:rPr>
            </w:pPr>
            <w:r>
              <w:rPr>
                <w:color w:val="105C84"/>
                <w:spacing w:val="-2"/>
                <w:sz w:val="18"/>
              </w:rPr>
              <w:t>Resources </w:t>
            </w:r>
            <w:r>
              <w:rPr>
                <w:color w:val="105C84"/>
                <w:sz w:val="18"/>
              </w:rPr>
              <w:t>estimated</w:t>
            </w:r>
            <w:r>
              <w:rPr>
                <w:color w:val="105C84"/>
                <w:spacing w:val="9"/>
                <w:sz w:val="18"/>
              </w:rPr>
              <w:t> </w:t>
            </w:r>
            <w:r>
              <w:rPr>
                <w:color w:val="105C84"/>
                <w:sz w:val="18"/>
              </w:rPr>
              <w:t>to</w:t>
            </w:r>
            <w:r>
              <w:rPr>
                <w:color w:val="105C84"/>
                <w:spacing w:val="10"/>
                <w:sz w:val="18"/>
              </w:rPr>
              <w:t> </w:t>
            </w:r>
            <w:r>
              <w:rPr>
                <w:color w:val="105C84"/>
                <w:spacing w:val="-5"/>
                <w:sz w:val="18"/>
              </w:rPr>
              <w:t>be</w:t>
            </w:r>
          </w:p>
          <w:p>
            <w:pPr>
              <w:pStyle w:val="TableParagraph"/>
              <w:spacing w:line="232" w:lineRule="auto"/>
              <w:ind w:left="97" w:right="91"/>
              <w:rPr>
                <w:sz w:val="18"/>
              </w:rPr>
            </w:pPr>
            <w:r>
              <w:rPr>
                <w:color w:val="105C84"/>
                <w:sz w:val="18"/>
              </w:rPr>
              <w:t>$3,000</w:t>
            </w:r>
            <w:r>
              <w:rPr>
                <w:color w:val="105C84"/>
                <w:spacing w:val="-15"/>
                <w:sz w:val="18"/>
              </w:rPr>
              <w:t> </w:t>
            </w:r>
            <w:r>
              <w:rPr>
                <w:color w:val="105C84"/>
                <w:sz w:val="18"/>
              </w:rPr>
              <w:t>for</w:t>
            </w:r>
            <w:r>
              <w:rPr>
                <w:color w:val="105C84"/>
                <w:spacing w:val="-12"/>
                <w:sz w:val="18"/>
              </w:rPr>
              <w:t> </w:t>
            </w:r>
            <w:r>
              <w:rPr>
                <w:color w:val="105C84"/>
                <w:sz w:val="18"/>
              </w:rPr>
              <w:t>direct mail and other </w:t>
            </w:r>
            <w:r>
              <w:rPr>
                <w:color w:val="105C84"/>
                <w:spacing w:val="-2"/>
                <w:sz w:val="18"/>
              </w:rPr>
              <w:t>communication vehicles</w:t>
            </w:r>
          </w:p>
        </w:tc>
      </w:tr>
      <w:tr>
        <w:trPr>
          <w:trHeight w:val="4620" w:hRule="atLeast"/>
        </w:trPr>
        <w:tc>
          <w:tcPr>
            <w:tcW w:w="1180" w:type="dxa"/>
            <w:vMerge/>
            <w:tcBorders>
              <w:top w:val="nil"/>
            </w:tcBorders>
            <w:shd w:val="clear" w:color="auto" w:fill="E6E7E8"/>
          </w:tcPr>
          <w:p>
            <w:pPr>
              <w:rPr>
                <w:sz w:val="2"/>
                <w:szCs w:val="2"/>
              </w:rPr>
            </w:pPr>
          </w:p>
        </w:tc>
        <w:tc>
          <w:tcPr>
            <w:tcW w:w="1324" w:type="dxa"/>
            <w:vMerge/>
            <w:tcBorders>
              <w:top w:val="nil"/>
            </w:tcBorders>
          </w:tcPr>
          <w:p>
            <w:pPr>
              <w:rPr>
                <w:sz w:val="2"/>
                <w:szCs w:val="2"/>
              </w:rPr>
            </w:pPr>
          </w:p>
        </w:tc>
        <w:tc>
          <w:tcPr>
            <w:tcW w:w="1266" w:type="dxa"/>
            <w:vMerge/>
            <w:tcBorders>
              <w:top w:val="nil"/>
            </w:tcBorders>
          </w:tcPr>
          <w:p>
            <w:pPr>
              <w:rPr>
                <w:sz w:val="2"/>
                <w:szCs w:val="2"/>
              </w:rPr>
            </w:pPr>
          </w:p>
        </w:tc>
        <w:tc>
          <w:tcPr>
            <w:tcW w:w="1727" w:type="dxa"/>
            <w:vMerge/>
            <w:tcBorders>
              <w:top w:val="nil"/>
            </w:tcBorders>
          </w:tcPr>
          <w:p>
            <w:pPr>
              <w:rPr>
                <w:sz w:val="2"/>
                <w:szCs w:val="2"/>
              </w:rPr>
            </w:pPr>
          </w:p>
        </w:tc>
        <w:tc>
          <w:tcPr>
            <w:tcW w:w="1065" w:type="dxa"/>
            <w:vMerge/>
            <w:tcBorders>
              <w:top w:val="nil"/>
            </w:tcBorders>
          </w:tcPr>
          <w:p>
            <w:pPr>
              <w:rPr>
                <w:sz w:val="2"/>
                <w:szCs w:val="2"/>
              </w:rPr>
            </w:pPr>
          </w:p>
        </w:tc>
        <w:tc>
          <w:tcPr>
            <w:tcW w:w="1929" w:type="dxa"/>
            <w:vMerge/>
            <w:tcBorders>
              <w:top w:val="nil"/>
            </w:tcBorders>
          </w:tcPr>
          <w:p>
            <w:pPr>
              <w:rPr>
                <w:sz w:val="2"/>
                <w:szCs w:val="2"/>
              </w:rPr>
            </w:pPr>
          </w:p>
        </w:tc>
        <w:tc>
          <w:tcPr>
            <w:tcW w:w="2656" w:type="dxa"/>
            <w:vMerge/>
            <w:tcBorders>
              <w:top w:val="nil"/>
              <w:right w:val="nil"/>
            </w:tcBorders>
          </w:tcPr>
          <w:p>
            <w:pPr>
              <w:rPr>
                <w:sz w:val="2"/>
                <w:szCs w:val="2"/>
              </w:rPr>
            </w:pPr>
          </w:p>
        </w:tc>
        <w:tc>
          <w:tcPr>
            <w:tcW w:w="3131" w:type="dxa"/>
            <w:tcBorders>
              <w:left w:val="nil"/>
            </w:tcBorders>
          </w:tcPr>
          <w:p>
            <w:pPr>
              <w:pStyle w:val="TableParagraph"/>
              <w:spacing w:line="232" w:lineRule="auto" w:before="100"/>
              <w:ind w:left="1097" w:right="42"/>
              <w:rPr>
                <w:sz w:val="18"/>
              </w:rPr>
            </w:pPr>
            <w:r>
              <w:rPr>
                <w:color w:val="105C84"/>
                <w:sz w:val="18"/>
              </w:rPr>
              <w:t>YCPH promoted colorectal cancer screenings</w:t>
            </w:r>
            <w:r>
              <w:rPr>
                <w:color w:val="105C84"/>
                <w:spacing w:val="-15"/>
                <w:sz w:val="18"/>
              </w:rPr>
              <w:t> </w:t>
            </w:r>
            <w:r>
              <w:rPr>
                <w:color w:val="105C84"/>
                <w:sz w:val="18"/>
              </w:rPr>
              <w:t>offered</w:t>
            </w:r>
            <w:r>
              <w:rPr>
                <w:color w:val="105C84"/>
                <w:spacing w:val="-12"/>
                <w:sz w:val="18"/>
              </w:rPr>
              <w:t> </w:t>
            </w:r>
            <w:r>
              <w:rPr>
                <w:color w:val="105C84"/>
                <w:sz w:val="18"/>
              </w:rPr>
              <w:t>by FLH via website and </w:t>
            </w:r>
            <w:r>
              <w:rPr>
                <w:color w:val="105C84"/>
                <w:spacing w:val="-2"/>
                <w:sz w:val="18"/>
              </w:rPr>
              <w:t>Facebook</w:t>
            </w:r>
          </w:p>
          <w:p>
            <w:pPr>
              <w:pStyle w:val="TableParagraph"/>
              <w:spacing w:line="232" w:lineRule="auto" w:before="86"/>
              <w:ind w:left="1097" w:right="708"/>
              <w:rPr>
                <w:sz w:val="18"/>
              </w:rPr>
            </w:pPr>
            <w:r>
              <w:rPr>
                <w:color w:val="105C84"/>
                <w:sz w:val="18"/>
              </w:rPr>
              <w:t>YCPH provided a</w:t>
            </w:r>
            <w:r>
              <w:rPr>
                <w:color w:val="105C84"/>
                <w:spacing w:val="-13"/>
                <w:sz w:val="18"/>
              </w:rPr>
              <w:t> </w:t>
            </w:r>
            <w:r>
              <w:rPr>
                <w:color w:val="105C84"/>
                <w:spacing w:val="-2"/>
                <w:sz w:val="18"/>
              </w:rPr>
              <w:t>display/written</w:t>
            </w:r>
          </w:p>
          <w:p>
            <w:pPr>
              <w:pStyle w:val="TableParagraph"/>
              <w:spacing w:line="232" w:lineRule="auto"/>
              <w:ind w:left="1097" w:right="42"/>
              <w:rPr>
                <w:sz w:val="18"/>
              </w:rPr>
            </w:pPr>
            <w:r>
              <w:rPr>
                <w:color w:val="105C84"/>
                <w:sz w:val="18"/>
              </w:rPr>
              <w:t>material at a mobile mammography</w:t>
            </w:r>
            <w:r>
              <w:rPr>
                <w:color w:val="105C84"/>
                <w:spacing w:val="-3"/>
                <w:sz w:val="18"/>
              </w:rPr>
              <w:t> </w:t>
            </w:r>
            <w:r>
              <w:rPr>
                <w:color w:val="105C84"/>
                <w:sz w:val="18"/>
              </w:rPr>
              <w:t>event</w:t>
            </w:r>
            <w:r>
              <w:rPr>
                <w:color w:val="105C84"/>
                <w:spacing w:val="-3"/>
                <w:sz w:val="18"/>
              </w:rPr>
              <w:t> </w:t>
            </w:r>
            <w:r>
              <w:rPr>
                <w:color w:val="105C84"/>
                <w:sz w:val="18"/>
              </w:rPr>
              <w:t>&amp; partnered with CSP to distribute</w:t>
            </w:r>
            <w:r>
              <w:rPr>
                <w:color w:val="105C84"/>
                <w:spacing w:val="-1"/>
                <w:sz w:val="18"/>
              </w:rPr>
              <w:t> </w:t>
            </w:r>
            <w:r>
              <w:rPr>
                <w:color w:val="105C84"/>
                <w:sz w:val="18"/>
              </w:rPr>
              <w:t>5</w:t>
            </w:r>
            <w:r>
              <w:rPr>
                <w:color w:val="105C84"/>
                <w:spacing w:val="-1"/>
                <w:sz w:val="18"/>
              </w:rPr>
              <w:t> </w:t>
            </w:r>
            <w:r>
              <w:rPr>
                <w:color w:val="105C84"/>
                <w:sz w:val="18"/>
              </w:rPr>
              <w:t>FIT</w:t>
            </w:r>
            <w:r>
              <w:rPr>
                <w:color w:val="105C84"/>
                <w:spacing w:val="-1"/>
                <w:sz w:val="18"/>
              </w:rPr>
              <w:t> </w:t>
            </w:r>
            <w:r>
              <w:rPr>
                <w:color w:val="105C84"/>
                <w:sz w:val="18"/>
              </w:rPr>
              <w:t>test</w:t>
            </w:r>
            <w:r>
              <w:rPr>
                <w:color w:val="105C84"/>
                <w:spacing w:val="-1"/>
                <w:sz w:val="18"/>
              </w:rPr>
              <w:t> </w:t>
            </w:r>
            <w:r>
              <w:rPr>
                <w:color w:val="105C84"/>
                <w:sz w:val="18"/>
              </w:rPr>
              <w:t>kits to uninsured </w:t>
            </w:r>
            <w:r>
              <w:rPr>
                <w:color w:val="105C84"/>
                <w:spacing w:val="-2"/>
                <w:sz w:val="18"/>
              </w:rPr>
              <w:t>individuals</w:t>
            </w:r>
          </w:p>
        </w:tc>
        <w:tc>
          <w:tcPr>
            <w:tcW w:w="2361" w:type="dxa"/>
          </w:tcPr>
          <w:p>
            <w:pPr>
              <w:pStyle w:val="TableParagraph"/>
              <w:spacing w:line="232" w:lineRule="auto" w:before="100"/>
              <w:ind w:left="96" w:right="43"/>
              <w:rPr>
                <w:sz w:val="18"/>
              </w:rPr>
            </w:pPr>
            <w:r>
              <w:rPr>
                <w:color w:val="105C84"/>
                <w:sz w:val="18"/>
              </w:rPr>
              <w:t>YCPH will set up a display at</w:t>
            </w:r>
            <w:r>
              <w:rPr>
                <w:color w:val="105C84"/>
                <w:spacing w:val="-12"/>
                <w:sz w:val="18"/>
              </w:rPr>
              <w:t> </w:t>
            </w:r>
            <w:r>
              <w:rPr>
                <w:color w:val="105C84"/>
                <w:sz w:val="18"/>
              </w:rPr>
              <w:t>1-2</w:t>
            </w:r>
            <w:r>
              <w:rPr>
                <w:color w:val="105C84"/>
                <w:spacing w:val="-12"/>
                <w:sz w:val="18"/>
              </w:rPr>
              <w:t> </w:t>
            </w:r>
            <w:r>
              <w:rPr>
                <w:color w:val="105C84"/>
                <w:sz w:val="18"/>
              </w:rPr>
              <w:t>community</w:t>
            </w:r>
            <w:r>
              <w:rPr>
                <w:color w:val="105C84"/>
                <w:spacing w:val="-12"/>
                <w:sz w:val="18"/>
              </w:rPr>
              <w:t> </w:t>
            </w:r>
            <w:r>
              <w:rPr>
                <w:color w:val="105C84"/>
                <w:sz w:val="18"/>
              </w:rPr>
              <w:t>locations that are visible to men/ women of lower SES (i.e. County Office Building, library, food pantries etc.) re: the importance of colorectal screening</w:t>
            </w:r>
          </w:p>
          <w:p>
            <w:pPr>
              <w:pStyle w:val="TableParagraph"/>
              <w:spacing w:line="232" w:lineRule="auto" w:before="83"/>
              <w:ind w:left="96" w:right="213"/>
              <w:rPr>
                <w:sz w:val="18"/>
              </w:rPr>
            </w:pPr>
            <w:r>
              <w:rPr>
                <w:color w:val="105C84"/>
                <w:sz w:val="18"/>
              </w:rPr>
              <w:t>YCPH will promote colorectal screenings offered</w:t>
            </w:r>
            <w:r>
              <w:rPr>
                <w:color w:val="105C84"/>
                <w:spacing w:val="-4"/>
                <w:sz w:val="18"/>
              </w:rPr>
              <w:t> </w:t>
            </w:r>
            <w:r>
              <w:rPr>
                <w:color w:val="105C84"/>
                <w:sz w:val="18"/>
              </w:rPr>
              <w:t>by</w:t>
            </w:r>
            <w:r>
              <w:rPr>
                <w:color w:val="105C84"/>
                <w:spacing w:val="-4"/>
                <w:sz w:val="18"/>
              </w:rPr>
              <w:t> </w:t>
            </w:r>
            <w:r>
              <w:rPr>
                <w:color w:val="105C84"/>
                <w:sz w:val="18"/>
              </w:rPr>
              <w:t>FLH</w:t>
            </w:r>
            <w:r>
              <w:rPr>
                <w:color w:val="105C84"/>
                <w:spacing w:val="-4"/>
                <w:sz w:val="18"/>
              </w:rPr>
              <w:t> </w:t>
            </w:r>
            <w:r>
              <w:rPr>
                <w:color w:val="105C84"/>
                <w:sz w:val="18"/>
              </w:rPr>
              <w:t>and</w:t>
            </w:r>
            <w:r>
              <w:rPr>
                <w:color w:val="105C84"/>
                <w:spacing w:val="-4"/>
                <w:sz w:val="18"/>
              </w:rPr>
              <w:t> </w:t>
            </w:r>
            <w:r>
              <w:rPr>
                <w:color w:val="105C84"/>
                <w:sz w:val="18"/>
              </w:rPr>
              <w:t>area hospitals</w:t>
            </w:r>
            <w:r>
              <w:rPr>
                <w:color w:val="105C84"/>
                <w:spacing w:val="-11"/>
                <w:sz w:val="18"/>
              </w:rPr>
              <w:t> </w:t>
            </w:r>
            <w:r>
              <w:rPr>
                <w:color w:val="105C84"/>
                <w:sz w:val="18"/>
              </w:rPr>
              <w:t>on</w:t>
            </w:r>
            <w:r>
              <w:rPr>
                <w:color w:val="105C84"/>
                <w:spacing w:val="-11"/>
                <w:sz w:val="18"/>
              </w:rPr>
              <w:t> </w:t>
            </w:r>
            <w:r>
              <w:rPr>
                <w:color w:val="105C84"/>
                <w:sz w:val="18"/>
              </w:rPr>
              <w:t>website</w:t>
            </w:r>
            <w:r>
              <w:rPr>
                <w:color w:val="105C84"/>
                <w:spacing w:val="-11"/>
                <w:sz w:val="18"/>
              </w:rPr>
              <w:t> </w:t>
            </w:r>
            <w:r>
              <w:rPr>
                <w:color w:val="105C84"/>
                <w:sz w:val="18"/>
              </w:rPr>
              <w:t>and </w:t>
            </w:r>
            <w:r>
              <w:rPr>
                <w:color w:val="105C84"/>
                <w:spacing w:val="-2"/>
                <w:sz w:val="18"/>
              </w:rPr>
              <w:t>Facebook</w:t>
            </w:r>
          </w:p>
          <w:p>
            <w:pPr>
              <w:pStyle w:val="TableParagraph"/>
              <w:spacing w:line="232" w:lineRule="auto" w:before="86"/>
              <w:ind w:left="96" w:right="43"/>
              <w:rPr>
                <w:sz w:val="18"/>
              </w:rPr>
            </w:pPr>
            <w:r>
              <w:rPr>
                <w:color w:val="105C84"/>
                <w:spacing w:val="-2"/>
                <w:sz w:val="18"/>
              </w:rPr>
              <w:t>YCPH</w:t>
            </w:r>
            <w:r>
              <w:rPr>
                <w:color w:val="105C84"/>
                <w:spacing w:val="-13"/>
                <w:sz w:val="18"/>
              </w:rPr>
              <w:t> </w:t>
            </w:r>
            <w:r>
              <w:rPr>
                <w:color w:val="105C84"/>
                <w:spacing w:val="-2"/>
                <w:sz w:val="18"/>
              </w:rPr>
              <w:t>will</w:t>
            </w:r>
            <w:r>
              <w:rPr>
                <w:color w:val="105C84"/>
                <w:spacing w:val="-10"/>
                <w:sz w:val="18"/>
              </w:rPr>
              <w:t> </w:t>
            </w:r>
            <w:r>
              <w:rPr>
                <w:color w:val="105C84"/>
                <w:spacing w:val="-2"/>
                <w:sz w:val="18"/>
              </w:rPr>
              <w:t>partner</w:t>
            </w:r>
            <w:r>
              <w:rPr>
                <w:color w:val="105C84"/>
                <w:spacing w:val="-11"/>
                <w:sz w:val="18"/>
              </w:rPr>
              <w:t> </w:t>
            </w:r>
            <w:r>
              <w:rPr>
                <w:color w:val="105C84"/>
                <w:spacing w:val="-2"/>
                <w:sz w:val="18"/>
              </w:rPr>
              <w:t>with</w:t>
            </w:r>
            <w:r>
              <w:rPr>
                <w:color w:val="105C84"/>
                <w:spacing w:val="-10"/>
                <w:sz w:val="18"/>
              </w:rPr>
              <w:t> </w:t>
            </w:r>
            <w:r>
              <w:rPr>
                <w:color w:val="105C84"/>
                <w:spacing w:val="-2"/>
                <w:sz w:val="18"/>
              </w:rPr>
              <w:t>CSP </w:t>
            </w:r>
            <w:r>
              <w:rPr>
                <w:color w:val="105C84"/>
                <w:sz w:val="18"/>
              </w:rPr>
              <w:t>to promote their services/ funding for colorectal </w:t>
            </w:r>
            <w:r>
              <w:rPr>
                <w:color w:val="105C84"/>
                <w:spacing w:val="-2"/>
                <w:sz w:val="18"/>
              </w:rPr>
              <w:t>screening</w:t>
            </w:r>
          </w:p>
          <w:p>
            <w:pPr>
              <w:pStyle w:val="TableParagraph"/>
              <w:spacing w:line="232" w:lineRule="auto" w:before="87"/>
              <w:ind w:left="96" w:right="43"/>
              <w:rPr>
                <w:sz w:val="18"/>
              </w:rPr>
            </w:pPr>
            <w:r>
              <w:rPr>
                <w:color w:val="105C84"/>
                <w:sz w:val="18"/>
              </w:rPr>
              <w:t>YCPH will promote colorectal cancer screenings</w:t>
            </w:r>
            <w:r>
              <w:rPr>
                <w:color w:val="105C84"/>
                <w:spacing w:val="-13"/>
                <w:sz w:val="18"/>
              </w:rPr>
              <w:t> </w:t>
            </w:r>
            <w:r>
              <w:rPr>
                <w:color w:val="105C84"/>
                <w:sz w:val="18"/>
              </w:rPr>
              <w:t>via</w:t>
            </w:r>
            <w:r>
              <w:rPr>
                <w:color w:val="105C84"/>
                <w:spacing w:val="-12"/>
                <w:sz w:val="18"/>
              </w:rPr>
              <w:t> </w:t>
            </w:r>
            <w:r>
              <w:rPr>
                <w:color w:val="105C84"/>
                <w:sz w:val="18"/>
              </w:rPr>
              <w:t>paid</w:t>
            </w:r>
            <w:r>
              <w:rPr>
                <w:color w:val="105C84"/>
                <w:spacing w:val="-13"/>
                <w:sz w:val="18"/>
              </w:rPr>
              <w:t> </w:t>
            </w:r>
            <w:r>
              <w:rPr>
                <w:color w:val="105C84"/>
                <w:sz w:val="18"/>
              </w:rPr>
              <w:t>media, website, Facebook</w:t>
            </w:r>
          </w:p>
        </w:tc>
        <w:tc>
          <w:tcPr>
            <w:tcW w:w="2707" w:type="dxa"/>
          </w:tcPr>
          <w:p>
            <w:pPr>
              <w:pStyle w:val="TableParagraph"/>
              <w:spacing w:line="232" w:lineRule="auto" w:before="99"/>
              <w:ind w:left="96" w:right="203"/>
              <w:rPr>
                <w:sz w:val="18"/>
              </w:rPr>
            </w:pPr>
            <w:r>
              <w:rPr>
                <w:color w:val="105C84"/>
                <w:sz w:val="18"/>
              </w:rPr>
              <w:t>YCPH will set up a display at 1-2 community locations that are visible to men/women of lower SES (i.e. County Office Building,</w:t>
            </w:r>
            <w:r>
              <w:rPr>
                <w:color w:val="105C84"/>
                <w:spacing w:val="-5"/>
                <w:sz w:val="18"/>
              </w:rPr>
              <w:t> </w:t>
            </w:r>
            <w:r>
              <w:rPr>
                <w:color w:val="105C84"/>
                <w:sz w:val="18"/>
              </w:rPr>
              <w:t>library,</w:t>
            </w:r>
            <w:r>
              <w:rPr>
                <w:color w:val="105C84"/>
                <w:spacing w:val="-5"/>
                <w:sz w:val="18"/>
              </w:rPr>
              <w:t> </w:t>
            </w:r>
            <w:r>
              <w:rPr>
                <w:color w:val="105C84"/>
                <w:sz w:val="18"/>
              </w:rPr>
              <w:t>food</w:t>
            </w:r>
            <w:r>
              <w:rPr>
                <w:color w:val="105C84"/>
                <w:spacing w:val="-5"/>
                <w:sz w:val="18"/>
              </w:rPr>
              <w:t> </w:t>
            </w:r>
            <w:r>
              <w:rPr>
                <w:color w:val="105C84"/>
                <w:sz w:val="18"/>
              </w:rPr>
              <w:t>pantries etc.) re: the importance of colorectal screening</w:t>
            </w:r>
          </w:p>
          <w:p>
            <w:pPr>
              <w:pStyle w:val="TableParagraph"/>
              <w:spacing w:line="232" w:lineRule="auto" w:before="85"/>
              <w:ind w:left="96"/>
              <w:rPr>
                <w:sz w:val="18"/>
              </w:rPr>
            </w:pPr>
            <w:r>
              <w:rPr>
                <w:color w:val="105C84"/>
                <w:sz w:val="18"/>
              </w:rPr>
              <w:t>YCPH will promote colorectal screenings</w:t>
            </w:r>
            <w:r>
              <w:rPr>
                <w:color w:val="105C84"/>
                <w:spacing w:val="-15"/>
                <w:sz w:val="18"/>
              </w:rPr>
              <w:t> </w:t>
            </w:r>
            <w:r>
              <w:rPr>
                <w:color w:val="105C84"/>
                <w:sz w:val="18"/>
              </w:rPr>
              <w:t>offered</w:t>
            </w:r>
            <w:r>
              <w:rPr>
                <w:color w:val="105C84"/>
                <w:spacing w:val="-12"/>
                <w:sz w:val="18"/>
              </w:rPr>
              <w:t> </w:t>
            </w:r>
            <w:r>
              <w:rPr>
                <w:color w:val="105C84"/>
                <w:sz w:val="18"/>
              </w:rPr>
              <w:t>by</w:t>
            </w:r>
            <w:r>
              <w:rPr>
                <w:color w:val="105C84"/>
                <w:spacing w:val="-13"/>
                <w:sz w:val="18"/>
              </w:rPr>
              <w:t> </w:t>
            </w:r>
            <w:r>
              <w:rPr>
                <w:color w:val="105C84"/>
                <w:sz w:val="18"/>
              </w:rPr>
              <w:t>FLH</w:t>
            </w:r>
            <w:r>
              <w:rPr>
                <w:color w:val="105C84"/>
                <w:spacing w:val="-12"/>
                <w:sz w:val="18"/>
              </w:rPr>
              <w:t> </w:t>
            </w:r>
            <w:r>
              <w:rPr>
                <w:color w:val="105C84"/>
                <w:sz w:val="18"/>
              </w:rPr>
              <w:t>and area hospitals on website and </w:t>
            </w:r>
            <w:r>
              <w:rPr>
                <w:color w:val="105C84"/>
                <w:spacing w:val="-2"/>
                <w:sz w:val="18"/>
              </w:rPr>
              <w:t>Facebook</w:t>
            </w:r>
          </w:p>
          <w:p>
            <w:pPr>
              <w:pStyle w:val="TableParagraph"/>
              <w:spacing w:line="232" w:lineRule="auto" w:before="86"/>
              <w:ind w:left="96"/>
              <w:rPr>
                <w:sz w:val="18"/>
              </w:rPr>
            </w:pPr>
            <w:r>
              <w:rPr>
                <w:color w:val="105C84"/>
                <w:sz w:val="18"/>
              </w:rPr>
              <w:t>YCPH will partner with CSP to promote their </w:t>
            </w:r>
            <w:r>
              <w:rPr>
                <w:color w:val="105C84"/>
                <w:sz w:val="18"/>
              </w:rPr>
              <w:t>services/funding for colorectal screening</w:t>
            </w:r>
          </w:p>
          <w:p>
            <w:pPr>
              <w:pStyle w:val="TableParagraph"/>
              <w:spacing w:line="232" w:lineRule="auto" w:before="88"/>
              <w:ind w:left="96"/>
              <w:rPr>
                <w:sz w:val="18"/>
              </w:rPr>
            </w:pPr>
            <w:r>
              <w:rPr>
                <w:color w:val="105C84"/>
                <w:sz w:val="18"/>
              </w:rPr>
              <w:t>YCPH</w:t>
            </w:r>
            <w:r>
              <w:rPr>
                <w:color w:val="105C84"/>
                <w:spacing w:val="-10"/>
                <w:sz w:val="18"/>
              </w:rPr>
              <w:t> </w:t>
            </w:r>
            <w:r>
              <w:rPr>
                <w:color w:val="105C84"/>
                <w:sz w:val="18"/>
              </w:rPr>
              <w:t>will</w:t>
            </w:r>
            <w:r>
              <w:rPr>
                <w:color w:val="105C84"/>
                <w:spacing w:val="-10"/>
                <w:sz w:val="18"/>
              </w:rPr>
              <w:t> </w:t>
            </w:r>
            <w:r>
              <w:rPr>
                <w:color w:val="105C84"/>
                <w:sz w:val="18"/>
              </w:rPr>
              <w:t>promote</w:t>
            </w:r>
            <w:r>
              <w:rPr>
                <w:color w:val="105C84"/>
                <w:spacing w:val="-10"/>
                <w:sz w:val="18"/>
              </w:rPr>
              <w:t> </w:t>
            </w:r>
            <w:r>
              <w:rPr>
                <w:color w:val="105C84"/>
                <w:sz w:val="18"/>
              </w:rPr>
              <w:t>colorectal cancer screenings via paid media, website, Facebook</w:t>
            </w:r>
          </w:p>
        </w:tc>
        <w:tc>
          <w:tcPr>
            <w:tcW w:w="1497" w:type="dxa"/>
          </w:tcPr>
          <w:p>
            <w:pPr>
              <w:pStyle w:val="TableParagraph"/>
              <w:spacing w:line="232" w:lineRule="auto" w:before="99"/>
              <w:ind w:left="97"/>
              <w:rPr>
                <w:sz w:val="18"/>
              </w:rPr>
            </w:pPr>
            <w:r>
              <w:rPr>
                <w:color w:val="105C84"/>
                <w:spacing w:val="-2"/>
                <w:sz w:val="18"/>
              </w:rPr>
              <w:t>Local</w:t>
            </w:r>
            <w:r>
              <w:rPr>
                <w:color w:val="105C84"/>
                <w:spacing w:val="-11"/>
                <w:sz w:val="18"/>
              </w:rPr>
              <w:t> </w:t>
            </w:r>
            <w:r>
              <w:rPr>
                <w:color w:val="105C84"/>
                <w:spacing w:val="-2"/>
                <w:sz w:val="18"/>
              </w:rPr>
              <w:t>health department</w:t>
            </w:r>
          </w:p>
        </w:tc>
        <w:tc>
          <w:tcPr>
            <w:tcW w:w="1492" w:type="dxa"/>
          </w:tcPr>
          <w:p>
            <w:pPr>
              <w:pStyle w:val="TableParagraph"/>
              <w:spacing w:line="232" w:lineRule="auto" w:before="99"/>
              <w:ind w:left="97" w:right="317"/>
              <w:rPr>
                <w:sz w:val="18"/>
              </w:rPr>
            </w:pPr>
            <w:r>
              <w:rPr>
                <w:color w:val="105C84"/>
                <w:spacing w:val="-2"/>
                <w:sz w:val="18"/>
              </w:rPr>
              <w:t>Yates</w:t>
            </w:r>
            <w:r>
              <w:rPr>
                <w:color w:val="105C84"/>
                <w:spacing w:val="-11"/>
                <w:sz w:val="18"/>
              </w:rPr>
              <w:t> </w:t>
            </w:r>
            <w:r>
              <w:rPr>
                <w:color w:val="105C84"/>
                <w:spacing w:val="-2"/>
                <w:sz w:val="18"/>
              </w:rPr>
              <w:t>County Public</w:t>
            </w:r>
            <w:r>
              <w:rPr>
                <w:color w:val="105C84"/>
                <w:spacing w:val="-1"/>
                <w:sz w:val="18"/>
              </w:rPr>
              <w:t> </w:t>
            </w:r>
            <w:r>
              <w:rPr>
                <w:color w:val="105C84"/>
                <w:spacing w:val="-2"/>
                <w:sz w:val="18"/>
              </w:rPr>
              <w:t>Health</w:t>
            </w:r>
          </w:p>
          <w:p>
            <w:pPr>
              <w:pStyle w:val="TableParagraph"/>
              <w:spacing w:line="197" w:lineRule="exact"/>
              <w:ind w:left="97"/>
              <w:rPr>
                <w:sz w:val="18"/>
              </w:rPr>
            </w:pPr>
            <w:r>
              <w:rPr>
                <w:color w:val="105C84"/>
                <w:spacing w:val="-5"/>
                <w:sz w:val="18"/>
              </w:rPr>
              <w:t>0.1</w:t>
            </w:r>
            <w:r>
              <w:rPr>
                <w:color w:val="105C84"/>
                <w:spacing w:val="-7"/>
                <w:sz w:val="18"/>
              </w:rPr>
              <w:t> </w:t>
            </w:r>
            <w:r>
              <w:rPr>
                <w:color w:val="105C84"/>
                <w:spacing w:val="-5"/>
                <w:sz w:val="18"/>
              </w:rPr>
              <w:t>FTE</w:t>
            </w:r>
          </w:p>
          <w:p>
            <w:pPr>
              <w:pStyle w:val="TableParagraph"/>
              <w:spacing w:line="232" w:lineRule="auto" w:before="1"/>
              <w:ind w:left="97"/>
              <w:rPr>
                <w:sz w:val="18"/>
              </w:rPr>
            </w:pPr>
            <w:r>
              <w:rPr>
                <w:color w:val="105C84"/>
                <w:spacing w:val="-4"/>
                <w:sz w:val="18"/>
              </w:rPr>
              <w:t>$500-$1000</w:t>
            </w:r>
            <w:r>
              <w:rPr>
                <w:color w:val="105C84"/>
                <w:spacing w:val="-9"/>
                <w:sz w:val="18"/>
              </w:rPr>
              <w:t> </w:t>
            </w:r>
            <w:r>
              <w:rPr>
                <w:color w:val="105C84"/>
                <w:spacing w:val="-4"/>
                <w:sz w:val="18"/>
              </w:rPr>
              <w:t>total </w:t>
            </w:r>
            <w:r>
              <w:rPr>
                <w:color w:val="105C84"/>
                <w:sz w:val="18"/>
              </w:rPr>
              <w:t>for ALL cancer </w:t>
            </w:r>
            <w:r>
              <w:rPr>
                <w:color w:val="105C84"/>
                <w:spacing w:val="-2"/>
                <w:sz w:val="18"/>
              </w:rPr>
              <w:t>screening</w:t>
            </w:r>
            <w:r>
              <w:rPr>
                <w:color w:val="105C84"/>
                <w:spacing w:val="-12"/>
                <w:sz w:val="18"/>
              </w:rPr>
              <w:t> </w:t>
            </w:r>
            <w:r>
              <w:rPr>
                <w:color w:val="105C84"/>
                <w:spacing w:val="-2"/>
                <w:sz w:val="18"/>
              </w:rPr>
              <w:t>media communications</w:t>
            </w:r>
          </w:p>
        </w:tc>
      </w:tr>
    </w:tbl>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2"/>
        <w:rPr>
          <w:b/>
          <w:sz w:val="26"/>
        </w:rPr>
      </w:pPr>
    </w:p>
    <w:p>
      <w:pPr>
        <w:tabs>
          <w:tab w:pos="23047" w:val="left" w:leader="none"/>
        </w:tabs>
        <w:spacing w:before="0"/>
        <w:ind w:left="0" w:right="0" w:firstLine="0"/>
        <w:jc w:val="left"/>
        <w:rPr>
          <w:b/>
          <w:sz w:val="26"/>
        </w:rPr>
      </w:pPr>
      <w:r>
        <w:rPr>
          <w:position w:val="-4"/>
        </w:rPr>
        <w:drawing>
          <wp:inline distT="0" distB="0" distL="0" distR="0">
            <wp:extent cx="568172" cy="184683"/>
            <wp:effectExtent l="0" t="0" r="0" b="0"/>
            <wp:docPr id="2110" name="Image 2110"/>
            <wp:cNvGraphicFramePr>
              <a:graphicFrameLocks/>
            </wp:cNvGraphicFramePr>
            <a:graphic>
              <a:graphicData uri="http://schemas.openxmlformats.org/drawingml/2006/picture">
                <pic:pic>
                  <pic:nvPicPr>
                    <pic:cNvPr id="2110" name="Image 2110"/>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13"/>
          <w:sz w:val="20"/>
        </w:rPr>
        <w:t> </w:t>
      </w:r>
      <w:r>
        <w:rPr>
          <w:b/>
          <w:color w:val="939598"/>
          <w:w w:val="105"/>
          <w:sz w:val="26"/>
        </w:rPr>
        <w:t>249</w:t>
      </w:r>
      <w:r>
        <w:rPr>
          <w:b/>
          <w:color w:val="939598"/>
          <w:sz w:val="26"/>
        </w:rPr>
        <w:tab/>
      </w:r>
      <w:r>
        <w:rPr>
          <w:b/>
          <w:color w:val="939598"/>
          <w:spacing w:val="-5"/>
          <w:w w:val="105"/>
          <w:sz w:val="26"/>
        </w:rPr>
        <w:t>250</w:t>
      </w:r>
    </w:p>
    <w:p>
      <w:pPr>
        <w:spacing w:after="0"/>
        <w:jc w:val="left"/>
        <w:rPr>
          <w:b/>
          <w:sz w:val="26"/>
        </w:rPr>
        <w:sectPr>
          <w:pgSz w:w="24480" w:h="15840" w:orient="landscape"/>
          <w:pgMar w:header="0" w:footer="0" w:top="860" w:bottom="0" w:left="0" w:right="720"/>
        </w:sectPr>
      </w:pPr>
    </w:p>
    <w:p>
      <w:pPr>
        <w:spacing w:before="609"/>
        <w:ind w:left="1089" w:right="0" w:firstLine="0"/>
        <w:jc w:val="left"/>
        <w:rPr>
          <w:sz w:val="54"/>
        </w:rPr>
      </w:pPr>
      <w:r>
        <w:rPr>
          <w:sz w:val="54"/>
        </w:rPr>
        <w:drawing>
          <wp:anchor distT="0" distB="0" distL="0" distR="0" allowOverlap="1" layoutInCell="1" locked="0" behindDoc="0" simplePos="0" relativeHeight="16060928">
            <wp:simplePos x="0" y="0"/>
            <wp:positionH relativeFrom="page">
              <wp:posOffset>14292898</wp:posOffset>
            </wp:positionH>
            <wp:positionV relativeFrom="paragraph">
              <wp:posOffset>347471</wp:posOffset>
            </wp:positionV>
            <wp:extent cx="620077" cy="580072"/>
            <wp:effectExtent l="0" t="0" r="0" b="0"/>
            <wp:wrapNone/>
            <wp:docPr id="2111" name="Image 2111"/>
            <wp:cNvGraphicFramePr>
              <a:graphicFrameLocks/>
            </wp:cNvGraphicFramePr>
            <a:graphic>
              <a:graphicData uri="http://schemas.openxmlformats.org/drawingml/2006/picture">
                <pic:pic>
                  <pic:nvPicPr>
                    <pic:cNvPr id="2111" name="Image 2111"/>
                    <pic:cNvPicPr/>
                  </pic:nvPicPr>
                  <pic:blipFill>
                    <a:blip r:embed="rId268" cstate="print"/>
                    <a:stretch>
                      <a:fillRect/>
                    </a:stretch>
                  </pic:blipFill>
                  <pic:spPr>
                    <a:xfrm>
                      <a:off x="0" y="0"/>
                      <a:ext cx="620077" cy="580072"/>
                    </a:xfrm>
                    <a:prstGeom prst="rect">
                      <a:avLst/>
                    </a:prstGeom>
                  </pic:spPr>
                </pic:pic>
              </a:graphicData>
            </a:graphic>
          </wp:anchor>
        </w:drawing>
      </w:r>
      <w:r>
        <w:rPr>
          <w:sz w:val="54"/>
        </w:rPr>
        <w:drawing>
          <wp:anchor distT="0" distB="0" distL="0" distR="0" allowOverlap="1" layoutInCell="1" locked="0" behindDoc="0" simplePos="0" relativeHeight="16061440">
            <wp:simplePos x="0" y="0"/>
            <wp:positionH relativeFrom="page">
              <wp:posOffset>14981556</wp:posOffset>
            </wp:positionH>
            <wp:positionV relativeFrom="page">
              <wp:posOffset>9668103</wp:posOffset>
            </wp:positionV>
            <wp:extent cx="563245" cy="184683"/>
            <wp:effectExtent l="0" t="0" r="0" b="0"/>
            <wp:wrapNone/>
            <wp:docPr id="2112" name="Image 2112"/>
            <wp:cNvGraphicFramePr>
              <a:graphicFrameLocks/>
            </wp:cNvGraphicFramePr>
            <a:graphic>
              <a:graphicData uri="http://schemas.openxmlformats.org/drawingml/2006/picture">
                <pic:pic>
                  <pic:nvPicPr>
                    <pic:cNvPr id="2112" name="Image 2112"/>
                    <pic:cNvPicPr/>
                  </pic:nvPicPr>
                  <pic:blipFill>
                    <a:blip r:embed="rId38" cstate="print"/>
                    <a:stretch>
                      <a:fillRect/>
                    </a:stretch>
                  </pic:blipFill>
                  <pic:spPr>
                    <a:xfrm>
                      <a:off x="0" y="0"/>
                      <a:ext cx="563245" cy="184683"/>
                    </a:xfrm>
                    <a:prstGeom prst="rect">
                      <a:avLst/>
                    </a:prstGeom>
                  </pic:spPr>
                </pic:pic>
              </a:graphicData>
            </a:graphic>
          </wp:anchor>
        </w:drawing>
      </w:r>
      <w:r>
        <w:rPr>
          <w:sz w:val="54"/>
        </w:rPr>
        <w:drawing>
          <wp:anchor distT="0" distB="0" distL="0" distR="0" allowOverlap="1" layoutInCell="1" locked="0" behindDoc="0" simplePos="0" relativeHeight="16061952">
            <wp:simplePos x="0" y="0"/>
            <wp:positionH relativeFrom="page">
              <wp:posOffset>13547852</wp:posOffset>
            </wp:positionH>
            <wp:positionV relativeFrom="paragraph">
              <wp:posOffset>354583</wp:posOffset>
            </wp:positionV>
            <wp:extent cx="610869" cy="494804"/>
            <wp:effectExtent l="0" t="0" r="0" b="0"/>
            <wp:wrapNone/>
            <wp:docPr id="2113" name="Image 2113"/>
            <wp:cNvGraphicFramePr>
              <a:graphicFrameLocks/>
            </wp:cNvGraphicFramePr>
            <a:graphic>
              <a:graphicData uri="http://schemas.openxmlformats.org/drawingml/2006/picture">
                <pic:pic>
                  <pic:nvPicPr>
                    <pic:cNvPr id="2113" name="Image 2113"/>
                    <pic:cNvPicPr/>
                  </pic:nvPicPr>
                  <pic:blipFill>
                    <a:blip r:embed="rId269" cstate="print"/>
                    <a:stretch>
                      <a:fillRect/>
                    </a:stretch>
                  </pic:blipFill>
                  <pic:spPr>
                    <a:xfrm>
                      <a:off x="0" y="0"/>
                      <a:ext cx="610869" cy="494804"/>
                    </a:xfrm>
                    <a:prstGeom prst="rect">
                      <a:avLst/>
                    </a:prstGeom>
                  </pic:spPr>
                </pic:pic>
              </a:graphicData>
            </a:graphic>
          </wp:anchor>
        </w:drawing>
      </w:r>
      <w:r>
        <w:rPr>
          <w:sz w:val="54"/>
        </w:rPr>
        <w:drawing>
          <wp:anchor distT="0" distB="0" distL="0" distR="0" allowOverlap="1" layoutInCell="1" locked="0" behindDoc="0" simplePos="0" relativeHeight="16062464">
            <wp:simplePos x="0" y="0"/>
            <wp:positionH relativeFrom="page">
              <wp:posOffset>12242292</wp:posOffset>
            </wp:positionH>
            <wp:positionV relativeFrom="paragraph">
              <wp:posOffset>309372</wp:posOffset>
            </wp:positionV>
            <wp:extent cx="1141336" cy="338581"/>
            <wp:effectExtent l="0" t="0" r="0" b="0"/>
            <wp:wrapNone/>
            <wp:docPr id="2114" name="Image 2114"/>
            <wp:cNvGraphicFramePr>
              <a:graphicFrameLocks/>
            </wp:cNvGraphicFramePr>
            <a:graphic>
              <a:graphicData uri="http://schemas.openxmlformats.org/drawingml/2006/picture">
                <pic:pic>
                  <pic:nvPicPr>
                    <pic:cNvPr id="2114" name="Image 2114"/>
                    <pic:cNvPicPr/>
                  </pic:nvPicPr>
                  <pic:blipFill>
                    <a:blip r:embed="rId270" cstate="print"/>
                    <a:stretch>
                      <a:fillRect/>
                    </a:stretch>
                  </pic:blipFill>
                  <pic:spPr>
                    <a:xfrm>
                      <a:off x="0" y="0"/>
                      <a:ext cx="1141336" cy="338581"/>
                    </a:xfrm>
                    <a:prstGeom prst="rect">
                      <a:avLst/>
                    </a:prstGeom>
                  </pic:spPr>
                </pic:pic>
              </a:graphicData>
            </a:graphic>
          </wp:anchor>
        </w:drawing>
      </w:r>
      <w:r>
        <w:rPr>
          <w:color w:val="636466"/>
          <w:sz w:val="54"/>
        </w:rPr>
        <w:t>Yates</w:t>
      </w:r>
      <w:r>
        <w:rPr>
          <w:color w:val="636466"/>
          <w:spacing w:val="24"/>
          <w:sz w:val="54"/>
        </w:rPr>
        <w:t> </w:t>
      </w:r>
      <w:r>
        <w:rPr>
          <w:color w:val="636466"/>
          <w:sz w:val="54"/>
        </w:rPr>
        <w:t>County</w:t>
      </w:r>
      <w:r>
        <w:rPr>
          <w:color w:val="636466"/>
          <w:spacing w:val="25"/>
          <w:sz w:val="54"/>
        </w:rPr>
        <w:t> </w:t>
      </w:r>
      <w:r>
        <w:rPr>
          <w:color w:val="636466"/>
          <w:sz w:val="54"/>
        </w:rPr>
        <w:t>Appendix</w:t>
      </w:r>
      <w:r>
        <w:rPr>
          <w:color w:val="636466"/>
          <w:spacing w:val="25"/>
          <w:sz w:val="54"/>
        </w:rPr>
        <w:t> </w:t>
      </w:r>
      <w:r>
        <w:rPr>
          <w:color w:val="636466"/>
          <w:spacing w:val="-10"/>
          <w:sz w:val="54"/>
        </w:rPr>
        <w:t>H</w:t>
      </w:r>
    </w:p>
    <w:p>
      <w:pPr>
        <w:spacing w:line="247" w:lineRule="auto" w:before="236"/>
        <w:ind w:left="1089" w:right="13013" w:firstLine="0"/>
        <w:jc w:val="left"/>
        <w:rPr>
          <w:b/>
          <w:sz w:val="32"/>
        </w:rPr>
      </w:pPr>
      <w:r>
        <w:rPr>
          <w:b/>
          <w:color w:val="82BF6A"/>
          <w:spacing w:val="-4"/>
          <w:sz w:val="32"/>
        </w:rPr>
        <w:t>PRIORITY:</w:t>
      </w:r>
      <w:r>
        <w:rPr>
          <w:b/>
          <w:color w:val="82BF6A"/>
          <w:spacing w:val="-19"/>
          <w:sz w:val="32"/>
        </w:rPr>
        <w:t> </w:t>
      </w:r>
      <w:r>
        <w:rPr>
          <w:b/>
          <w:color w:val="82BF6A"/>
          <w:spacing w:val="-4"/>
          <w:sz w:val="32"/>
        </w:rPr>
        <w:t>PROMOTE</w:t>
      </w:r>
      <w:r>
        <w:rPr>
          <w:b/>
          <w:color w:val="82BF6A"/>
          <w:spacing w:val="-18"/>
          <w:sz w:val="32"/>
        </w:rPr>
        <w:t> </w:t>
      </w:r>
      <w:r>
        <w:rPr>
          <w:b/>
          <w:color w:val="82BF6A"/>
          <w:spacing w:val="-4"/>
          <w:sz w:val="32"/>
        </w:rPr>
        <w:t>WELL-BEING</w:t>
      </w:r>
      <w:r>
        <w:rPr>
          <w:b/>
          <w:color w:val="82BF6A"/>
          <w:spacing w:val="-18"/>
          <w:sz w:val="32"/>
        </w:rPr>
        <w:t> </w:t>
      </w:r>
      <w:r>
        <w:rPr>
          <w:b/>
          <w:color w:val="82BF6A"/>
          <w:spacing w:val="-4"/>
          <w:sz w:val="32"/>
        </w:rPr>
        <w:t>AND</w:t>
      </w:r>
      <w:r>
        <w:rPr>
          <w:b/>
          <w:color w:val="82BF6A"/>
          <w:spacing w:val="-18"/>
          <w:sz w:val="32"/>
        </w:rPr>
        <w:t> </w:t>
      </w:r>
      <w:r>
        <w:rPr>
          <w:b/>
          <w:color w:val="82BF6A"/>
          <w:spacing w:val="-4"/>
          <w:sz w:val="32"/>
        </w:rPr>
        <w:t>PREVENT</w:t>
      </w:r>
      <w:r>
        <w:rPr>
          <w:b/>
          <w:color w:val="82BF6A"/>
          <w:spacing w:val="-19"/>
          <w:sz w:val="32"/>
        </w:rPr>
        <w:t> </w:t>
      </w:r>
      <w:r>
        <w:rPr>
          <w:b/>
          <w:color w:val="82BF6A"/>
          <w:spacing w:val="-4"/>
          <w:sz w:val="32"/>
        </w:rPr>
        <w:t>MENTAL </w:t>
      </w:r>
      <w:r>
        <w:rPr>
          <w:b/>
          <w:color w:val="82BF6A"/>
          <w:sz w:val="32"/>
        </w:rPr>
        <w:t>AND</w:t>
      </w:r>
      <w:r>
        <w:rPr>
          <w:b/>
          <w:color w:val="82BF6A"/>
          <w:spacing w:val="-22"/>
          <w:sz w:val="32"/>
        </w:rPr>
        <w:t> </w:t>
      </w:r>
      <w:r>
        <w:rPr>
          <w:b/>
          <w:color w:val="82BF6A"/>
          <w:sz w:val="32"/>
        </w:rPr>
        <w:t>SUBSTANCE</w:t>
      </w:r>
      <w:r>
        <w:rPr>
          <w:b/>
          <w:color w:val="82BF6A"/>
          <w:spacing w:val="-22"/>
          <w:sz w:val="32"/>
        </w:rPr>
        <w:t> </w:t>
      </w:r>
      <w:r>
        <w:rPr>
          <w:b/>
          <w:color w:val="82BF6A"/>
          <w:sz w:val="32"/>
        </w:rPr>
        <w:t>USE</w:t>
      </w:r>
      <w:r>
        <w:rPr>
          <w:b/>
          <w:color w:val="82BF6A"/>
          <w:spacing w:val="-22"/>
          <w:sz w:val="32"/>
        </w:rPr>
        <w:t> </w:t>
      </w:r>
      <w:r>
        <w:rPr>
          <w:b/>
          <w:color w:val="82BF6A"/>
          <w:sz w:val="32"/>
        </w:rPr>
        <w:t>DISORDERS</w:t>
      </w:r>
    </w:p>
    <w:p>
      <w:pPr>
        <w:pStyle w:val="BodyText"/>
        <w:spacing w:before="152"/>
        <w:rPr>
          <w:b/>
          <w:sz w:val="20"/>
        </w:rPr>
      </w:pPr>
    </w:p>
    <w:tbl>
      <w:tblPr>
        <w:tblW w:w="0" w:type="auto"/>
        <w:jc w:val="left"/>
        <w:tblInd w:w="1099"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1180"/>
        <w:gridCol w:w="1324"/>
        <w:gridCol w:w="1266"/>
        <w:gridCol w:w="1727"/>
        <w:gridCol w:w="1065"/>
        <w:gridCol w:w="1929"/>
        <w:gridCol w:w="2656"/>
        <w:gridCol w:w="3794"/>
        <w:gridCol w:w="2217"/>
        <w:gridCol w:w="2275"/>
        <w:gridCol w:w="1497"/>
        <w:gridCol w:w="1406"/>
      </w:tblGrid>
      <w:tr>
        <w:trPr>
          <w:trHeight w:val="730" w:hRule="atLeast"/>
        </w:trPr>
        <w:tc>
          <w:tcPr>
            <w:tcW w:w="1180" w:type="dxa"/>
            <w:tcBorders>
              <w:right w:val="single" w:sz="4" w:space="0" w:color="FFFFFF"/>
            </w:tcBorders>
            <w:shd w:val="clear" w:color="auto" w:fill="A7A9AC"/>
          </w:tcPr>
          <w:p>
            <w:pPr>
              <w:pStyle w:val="TableParagraph"/>
              <w:spacing w:before="79"/>
              <w:rPr>
                <w:b/>
                <w:sz w:val="18"/>
              </w:rPr>
            </w:pPr>
          </w:p>
          <w:p>
            <w:pPr>
              <w:pStyle w:val="TableParagraph"/>
              <w:ind w:left="80"/>
              <w:rPr>
                <w:b/>
                <w:sz w:val="18"/>
              </w:rPr>
            </w:pPr>
            <w:r>
              <w:rPr>
                <w:b/>
                <w:color w:val="FFFFFF"/>
                <w:spacing w:val="-2"/>
                <w:sz w:val="18"/>
              </w:rPr>
              <w:t>Priority</w:t>
            </w:r>
          </w:p>
        </w:tc>
        <w:tc>
          <w:tcPr>
            <w:tcW w:w="1324" w:type="dxa"/>
            <w:tcBorders>
              <w:left w:val="single" w:sz="4" w:space="0" w:color="FFFFFF"/>
              <w:right w:val="single" w:sz="4" w:space="0" w:color="FFFFFF"/>
            </w:tcBorders>
            <w:shd w:val="clear" w:color="auto" w:fill="A7A9AC"/>
          </w:tcPr>
          <w:p>
            <w:pPr>
              <w:pStyle w:val="TableParagraph"/>
              <w:spacing w:before="79"/>
              <w:rPr>
                <w:b/>
                <w:sz w:val="18"/>
              </w:rPr>
            </w:pPr>
          </w:p>
          <w:p>
            <w:pPr>
              <w:pStyle w:val="TableParagraph"/>
              <w:ind w:left="80"/>
              <w:rPr>
                <w:b/>
                <w:sz w:val="18"/>
              </w:rPr>
            </w:pPr>
            <w:r>
              <w:rPr>
                <w:b/>
                <w:color w:val="FFFFFF"/>
                <w:w w:val="90"/>
                <w:sz w:val="18"/>
              </w:rPr>
              <w:t>Focus</w:t>
            </w:r>
            <w:r>
              <w:rPr>
                <w:b/>
                <w:color w:val="FFFFFF"/>
                <w:spacing w:val="8"/>
                <w:sz w:val="18"/>
              </w:rPr>
              <w:t> </w:t>
            </w:r>
            <w:r>
              <w:rPr>
                <w:b/>
                <w:color w:val="FFFFFF"/>
                <w:spacing w:val="-4"/>
                <w:sz w:val="18"/>
              </w:rPr>
              <w:t>Area</w:t>
            </w:r>
          </w:p>
        </w:tc>
        <w:tc>
          <w:tcPr>
            <w:tcW w:w="1266" w:type="dxa"/>
            <w:tcBorders>
              <w:left w:val="single" w:sz="4" w:space="0" w:color="FFFFFF"/>
              <w:right w:val="single" w:sz="4" w:space="0" w:color="FFFFFF"/>
            </w:tcBorders>
            <w:shd w:val="clear" w:color="auto" w:fill="A7A9AC"/>
          </w:tcPr>
          <w:p>
            <w:pPr>
              <w:pStyle w:val="TableParagraph"/>
              <w:spacing w:line="232" w:lineRule="auto" w:before="191"/>
              <w:ind w:left="81" w:right="235"/>
              <w:rPr>
                <w:b/>
                <w:sz w:val="18"/>
              </w:rPr>
            </w:pPr>
            <w:r>
              <w:rPr>
                <w:b/>
                <w:color w:val="FFFFFF"/>
                <w:spacing w:val="-6"/>
                <w:sz w:val="18"/>
              </w:rPr>
              <w:t>Goal</w:t>
            </w:r>
            <w:r>
              <w:rPr>
                <w:b/>
                <w:color w:val="FFFFFF"/>
                <w:spacing w:val="-7"/>
                <w:sz w:val="18"/>
              </w:rPr>
              <w:t> </w:t>
            </w:r>
            <w:r>
              <w:rPr>
                <w:b/>
                <w:color w:val="FFFFFF"/>
                <w:spacing w:val="-6"/>
                <w:sz w:val="18"/>
              </w:rPr>
              <w:t>Focus </w:t>
            </w:r>
            <w:r>
              <w:rPr>
                <w:b/>
                <w:color w:val="FFFFFF"/>
                <w:spacing w:val="-4"/>
                <w:sz w:val="18"/>
              </w:rPr>
              <w:t>Area</w:t>
            </w:r>
          </w:p>
        </w:tc>
        <w:tc>
          <w:tcPr>
            <w:tcW w:w="1727" w:type="dxa"/>
            <w:tcBorders>
              <w:left w:val="single" w:sz="4" w:space="0" w:color="FFFFFF"/>
              <w:right w:val="single" w:sz="4" w:space="0" w:color="FFFFFF"/>
            </w:tcBorders>
            <w:shd w:val="clear" w:color="auto" w:fill="A7A9AC"/>
          </w:tcPr>
          <w:p>
            <w:pPr>
              <w:pStyle w:val="TableParagraph"/>
              <w:spacing w:before="79"/>
              <w:rPr>
                <w:b/>
                <w:sz w:val="18"/>
              </w:rPr>
            </w:pPr>
          </w:p>
          <w:p>
            <w:pPr>
              <w:pStyle w:val="TableParagraph"/>
              <w:ind w:left="82"/>
              <w:rPr>
                <w:b/>
                <w:sz w:val="18"/>
              </w:rPr>
            </w:pPr>
            <w:r>
              <w:rPr>
                <w:b/>
                <w:color w:val="FFFFFF"/>
                <w:spacing w:val="-2"/>
                <w:sz w:val="18"/>
              </w:rPr>
              <w:t>Objectives</w:t>
            </w:r>
          </w:p>
        </w:tc>
        <w:tc>
          <w:tcPr>
            <w:tcW w:w="1065" w:type="dxa"/>
            <w:tcBorders>
              <w:left w:val="single" w:sz="4" w:space="0" w:color="FFFFFF"/>
              <w:right w:val="single" w:sz="4" w:space="0" w:color="FFFFFF"/>
            </w:tcBorders>
            <w:shd w:val="clear" w:color="auto" w:fill="A7A9AC"/>
          </w:tcPr>
          <w:p>
            <w:pPr>
              <w:pStyle w:val="TableParagraph"/>
              <w:spacing w:before="79"/>
              <w:rPr>
                <w:b/>
                <w:sz w:val="18"/>
              </w:rPr>
            </w:pPr>
          </w:p>
          <w:p>
            <w:pPr>
              <w:pStyle w:val="TableParagraph"/>
              <w:ind w:left="83"/>
              <w:rPr>
                <w:b/>
                <w:sz w:val="18"/>
              </w:rPr>
            </w:pPr>
            <w:r>
              <w:rPr>
                <w:b/>
                <w:color w:val="FFFFFF"/>
                <w:spacing w:val="-2"/>
                <w:sz w:val="18"/>
              </w:rPr>
              <w:t>Disparities</w:t>
            </w:r>
          </w:p>
        </w:tc>
        <w:tc>
          <w:tcPr>
            <w:tcW w:w="1929" w:type="dxa"/>
            <w:tcBorders>
              <w:left w:val="single" w:sz="4" w:space="0" w:color="FFFFFF"/>
              <w:right w:val="single" w:sz="4" w:space="0" w:color="FFFFFF"/>
            </w:tcBorders>
            <w:shd w:val="clear" w:color="auto" w:fill="A7A9AC"/>
          </w:tcPr>
          <w:p>
            <w:pPr>
              <w:pStyle w:val="TableParagraph"/>
              <w:spacing w:before="79"/>
              <w:rPr>
                <w:b/>
                <w:sz w:val="18"/>
              </w:rPr>
            </w:pPr>
          </w:p>
          <w:p>
            <w:pPr>
              <w:pStyle w:val="TableParagraph"/>
              <w:ind w:left="84"/>
              <w:rPr>
                <w:b/>
                <w:sz w:val="18"/>
              </w:rPr>
            </w:pPr>
            <w:r>
              <w:rPr>
                <w:b/>
                <w:color w:val="FFFFFF"/>
                <w:spacing w:val="-2"/>
                <w:sz w:val="18"/>
              </w:rPr>
              <w:t>Interventions</w:t>
            </w:r>
          </w:p>
        </w:tc>
        <w:tc>
          <w:tcPr>
            <w:tcW w:w="6450" w:type="dxa"/>
            <w:gridSpan w:val="2"/>
            <w:tcBorders>
              <w:left w:val="single" w:sz="4" w:space="0" w:color="FFFFFF"/>
              <w:right w:val="single" w:sz="4" w:space="0" w:color="FFFFFF"/>
            </w:tcBorders>
            <w:shd w:val="clear" w:color="auto" w:fill="A7A9AC"/>
          </w:tcPr>
          <w:p>
            <w:pPr>
              <w:pStyle w:val="TableParagraph"/>
              <w:tabs>
                <w:tab w:pos="3748" w:val="left" w:leader="none"/>
              </w:tabs>
              <w:spacing w:line="203" w:lineRule="exact" w:before="186"/>
              <w:ind w:left="94"/>
              <w:rPr>
                <w:b/>
                <w:sz w:val="18"/>
              </w:rPr>
            </w:pPr>
            <w:r>
              <w:rPr>
                <w:b/>
                <w:color w:val="FFFFFF"/>
                <w:spacing w:val="-4"/>
                <w:sz w:val="18"/>
              </w:rPr>
              <w:t>Family</w:t>
            </w:r>
            <w:r>
              <w:rPr>
                <w:b/>
                <w:color w:val="FFFFFF"/>
                <w:spacing w:val="-2"/>
                <w:sz w:val="18"/>
              </w:rPr>
              <w:t> </w:t>
            </w:r>
            <w:r>
              <w:rPr>
                <w:b/>
                <w:color w:val="FFFFFF"/>
                <w:spacing w:val="-5"/>
                <w:sz w:val="18"/>
              </w:rPr>
              <w:t>of</w:t>
            </w:r>
            <w:r>
              <w:rPr>
                <w:b/>
                <w:color w:val="FFFFFF"/>
                <w:sz w:val="18"/>
              </w:rPr>
              <w:tab/>
              <w:t>Projected</w:t>
            </w:r>
            <w:r>
              <w:rPr>
                <w:b/>
                <w:color w:val="FFFFFF"/>
                <w:spacing w:val="-9"/>
                <w:sz w:val="18"/>
              </w:rPr>
              <w:t> </w:t>
            </w:r>
            <w:r>
              <w:rPr>
                <w:b/>
                <w:color w:val="FFFFFF"/>
                <w:sz w:val="18"/>
              </w:rPr>
              <w:t>(or</w:t>
            </w:r>
            <w:r>
              <w:rPr>
                <w:b/>
                <w:color w:val="FFFFFF"/>
                <w:spacing w:val="-8"/>
                <w:sz w:val="18"/>
              </w:rPr>
              <w:t> </w:t>
            </w:r>
            <w:r>
              <w:rPr>
                <w:b/>
                <w:color w:val="FFFFFF"/>
                <w:spacing w:val="-2"/>
                <w:sz w:val="18"/>
              </w:rPr>
              <w:t>completed)</w:t>
            </w:r>
          </w:p>
          <w:p>
            <w:pPr>
              <w:pStyle w:val="TableParagraph"/>
              <w:tabs>
                <w:tab w:pos="3748" w:val="left" w:leader="none"/>
              </w:tabs>
              <w:spacing w:line="203" w:lineRule="exact"/>
              <w:ind w:left="94"/>
              <w:rPr>
                <w:b/>
                <w:sz w:val="18"/>
              </w:rPr>
            </w:pPr>
            <w:r>
              <w:rPr>
                <w:b/>
                <w:color w:val="FFFFFF"/>
                <w:spacing w:val="-2"/>
                <w:sz w:val="18"/>
              </w:rPr>
              <w:t>Measures</w:t>
            </w:r>
            <w:r>
              <w:rPr>
                <w:b/>
                <w:color w:val="FFFFFF"/>
                <w:sz w:val="18"/>
              </w:rPr>
              <w:tab/>
              <w:t>Year</w:t>
            </w:r>
            <w:r>
              <w:rPr>
                <w:b/>
                <w:color w:val="FFFFFF"/>
                <w:spacing w:val="-8"/>
                <w:sz w:val="18"/>
              </w:rPr>
              <w:t> </w:t>
            </w:r>
            <w:r>
              <w:rPr>
                <w:b/>
                <w:color w:val="FFFFFF"/>
                <w:sz w:val="18"/>
              </w:rPr>
              <w:t>1</w:t>
            </w:r>
            <w:r>
              <w:rPr>
                <w:b/>
                <w:color w:val="FFFFFF"/>
                <w:spacing w:val="-7"/>
                <w:sz w:val="18"/>
              </w:rPr>
              <w:t> </w:t>
            </w:r>
            <w:r>
              <w:rPr>
                <w:b/>
                <w:color w:val="FFFFFF"/>
                <w:spacing w:val="-2"/>
                <w:sz w:val="18"/>
              </w:rPr>
              <w:t>Intervention</w:t>
            </w:r>
          </w:p>
        </w:tc>
        <w:tc>
          <w:tcPr>
            <w:tcW w:w="2217" w:type="dxa"/>
            <w:tcBorders>
              <w:left w:val="single" w:sz="4" w:space="0" w:color="FFFFFF"/>
              <w:right w:val="single" w:sz="4" w:space="0" w:color="FFFFFF"/>
            </w:tcBorders>
            <w:shd w:val="clear" w:color="auto" w:fill="A7A9AC"/>
          </w:tcPr>
          <w:p>
            <w:pPr>
              <w:pStyle w:val="TableParagraph"/>
              <w:spacing w:before="78"/>
              <w:rPr>
                <w:b/>
                <w:sz w:val="18"/>
              </w:rPr>
            </w:pPr>
          </w:p>
          <w:p>
            <w:pPr>
              <w:pStyle w:val="TableParagraph"/>
              <w:spacing w:before="1"/>
              <w:ind w:left="85"/>
              <w:rPr>
                <w:b/>
                <w:sz w:val="18"/>
              </w:rPr>
            </w:pPr>
            <w:r>
              <w:rPr>
                <w:b/>
                <w:color w:val="FFFFFF"/>
                <w:spacing w:val="-2"/>
                <w:sz w:val="18"/>
              </w:rPr>
              <w:t>Projected</w:t>
            </w:r>
            <w:r>
              <w:rPr>
                <w:b/>
                <w:color w:val="FFFFFF"/>
                <w:spacing w:val="-6"/>
                <w:sz w:val="18"/>
              </w:rPr>
              <w:t> </w:t>
            </w:r>
            <w:r>
              <w:rPr>
                <w:b/>
                <w:color w:val="FFFFFF"/>
                <w:spacing w:val="-2"/>
                <w:sz w:val="18"/>
              </w:rPr>
              <w:t>Year</w:t>
            </w:r>
            <w:r>
              <w:rPr>
                <w:b/>
                <w:color w:val="FFFFFF"/>
                <w:spacing w:val="-5"/>
                <w:sz w:val="18"/>
              </w:rPr>
              <w:t> </w:t>
            </w:r>
            <w:r>
              <w:rPr>
                <w:b/>
                <w:color w:val="FFFFFF"/>
                <w:spacing w:val="-12"/>
                <w:sz w:val="18"/>
              </w:rPr>
              <w:t>2</w:t>
            </w:r>
          </w:p>
        </w:tc>
        <w:tc>
          <w:tcPr>
            <w:tcW w:w="2275" w:type="dxa"/>
            <w:tcBorders>
              <w:left w:val="single" w:sz="4" w:space="0" w:color="FFFFFF"/>
              <w:right w:val="single" w:sz="4" w:space="0" w:color="FFFFFF"/>
            </w:tcBorders>
            <w:shd w:val="clear" w:color="auto" w:fill="A7A9AC"/>
          </w:tcPr>
          <w:p>
            <w:pPr>
              <w:pStyle w:val="TableParagraph"/>
              <w:spacing w:line="232" w:lineRule="auto" w:before="190"/>
              <w:ind w:left="86" w:right="184"/>
              <w:rPr>
                <w:b/>
                <w:sz w:val="18"/>
              </w:rPr>
            </w:pPr>
            <w:r>
              <w:rPr>
                <w:b/>
                <w:color w:val="FFFFFF"/>
                <w:spacing w:val="-2"/>
                <w:sz w:val="18"/>
              </w:rPr>
              <w:t>Projected</w:t>
            </w:r>
            <w:r>
              <w:rPr>
                <w:b/>
                <w:color w:val="FFFFFF"/>
                <w:spacing w:val="-13"/>
                <w:sz w:val="18"/>
              </w:rPr>
              <w:t> </w:t>
            </w:r>
            <w:r>
              <w:rPr>
                <w:b/>
                <w:color w:val="FFFFFF"/>
                <w:spacing w:val="-2"/>
                <w:sz w:val="18"/>
              </w:rPr>
              <w:t>Year</w:t>
            </w:r>
            <w:r>
              <w:rPr>
                <w:b/>
                <w:color w:val="FFFFFF"/>
                <w:spacing w:val="-10"/>
                <w:sz w:val="18"/>
              </w:rPr>
              <w:t> </w:t>
            </w:r>
            <w:r>
              <w:rPr>
                <w:b/>
                <w:color w:val="FFFFFF"/>
                <w:spacing w:val="-2"/>
                <w:sz w:val="18"/>
              </w:rPr>
              <w:t>3 Interventions</w:t>
            </w:r>
          </w:p>
        </w:tc>
        <w:tc>
          <w:tcPr>
            <w:tcW w:w="1497" w:type="dxa"/>
            <w:tcBorders>
              <w:left w:val="single" w:sz="4" w:space="0" w:color="FFFFFF"/>
            </w:tcBorders>
            <w:shd w:val="clear" w:color="auto" w:fill="A7A9AC"/>
          </w:tcPr>
          <w:p>
            <w:pPr>
              <w:pStyle w:val="TableParagraph"/>
              <w:spacing w:line="232" w:lineRule="auto" w:before="190"/>
              <w:ind w:left="86"/>
              <w:rPr>
                <w:b/>
                <w:sz w:val="18"/>
              </w:rPr>
            </w:pPr>
            <w:r>
              <w:rPr>
                <w:b/>
                <w:color w:val="FFFFFF"/>
                <w:spacing w:val="-2"/>
                <w:sz w:val="18"/>
              </w:rPr>
              <w:t>Implementation Partner</w:t>
            </w:r>
          </w:p>
        </w:tc>
        <w:tc>
          <w:tcPr>
            <w:tcW w:w="1406" w:type="dxa"/>
            <w:shd w:val="clear" w:color="auto" w:fill="A7A9AC"/>
          </w:tcPr>
          <w:p>
            <w:pPr>
              <w:pStyle w:val="TableParagraph"/>
              <w:spacing w:line="232" w:lineRule="auto" w:before="190"/>
              <w:ind w:left="87" w:right="63"/>
              <w:rPr>
                <w:b/>
                <w:sz w:val="18"/>
              </w:rPr>
            </w:pPr>
            <w:r>
              <w:rPr>
                <w:b/>
                <w:color w:val="FFFFFF"/>
                <w:spacing w:val="-4"/>
                <w:sz w:val="18"/>
              </w:rPr>
              <w:t>Partner</w:t>
            </w:r>
            <w:r>
              <w:rPr>
                <w:b/>
                <w:color w:val="FFFFFF"/>
                <w:spacing w:val="-9"/>
                <w:sz w:val="18"/>
              </w:rPr>
              <w:t> </w:t>
            </w:r>
            <w:r>
              <w:rPr>
                <w:b/>
                <w:color w:val="FFFFFF"/>
                <w:spacing w:val="-4"/>
                <w:sz w:val="18"/>
              </w:rPr>
              <w:t>Role(s) </w:t>
            </w:r>
            <w:r>
              <w:rPr>
                <w:b/>
                <w:color w:val="FFFFFF"/>
                <w:sz w:val="18"/>
              </w:rPr>
              <w:t>and</w:t>
            </w:r>
            <w:r>
              <w:rPr>
                <w:b/>
                <w:color w:val="FFFFFF"/>
                <w:spacing w:val="-7"/>
                <w:sz w:val="18"/>
              </w:rPr>
              <w:t> </w:t>
            </w:r>
            <w:r>
              <w:rPr>
                <w:b/>
                <w:color w:val="FFFFFF"/>
                <w:spacing w:val="-8"/>
                <w:sz w:val="18"/>
              </w:rPr>
              <w:t>Resources</w:t>
            </w:r>
          </w:p>
        </w:tc>
      </w:tr>
      <w:tr>
        <w:trPr>
          <w:trHeight w:val="4930" w:hRule="atLeast"/>
        </w:trPr>
        <w:tc>
          <w:tcPr>
            <w:tcW w:w="1180" w:type="dxa"/>
            <w:vMerge w:val="restart"/>
            <w:shd w:val="clear" w:color="auto" w:fill="E6E7E8"/>
          </w:tcPr>
          <w:p>
            <w:pPr>
              <w:pStyle w:val="TableParagraph"/>
              <w:spacing w:line="232" w:lineRule="auto" w:before="100"/>
              <w:ind w:left="89" w:right="87"/>
              <w:rPr>
                <w:sz w:val="18"/>
              </w:rPr>
            </w:pPr>
            <w:r>
              <w:rPr>
                <w:color w:val="105C84"/>
                <w:spacing w:val="-2"/>
                <w:sz w:val="18"/>
              </w:rPr>
              <w:t>Promote Well-Being </w:t>
            </w:r>
            <w:r>
              <w:rPr>
                <w:color w:val="105C84"/>
                <w:sz w:val="18"/>
              </w:rPr>
              <w:t>and</w:t>
            </w:r>
            <w:r>
              <w:rPr>
                <w:color w:val="105C84"/>
                <w:spacing w:val="-13"/>
                <w:sz w:val="18"/>
              </w:rPr>
              <w:t> </w:t>
            </w:r>
            <w:r>
              <w:rPr>
                <w:color w:val="105C84"/>
                <w:sz w:val="18"/>
              </w:rPr>
              <w:t>Prevent Mental and </w:t>
            </w:r>
            <w:r>
              <w:rPr>
                <w:color w:val="105C84"/>
                <w:spacing w:val="-2"/>
                <w:sz w:val="18"/>
              </w:rPr>
              <w:t>Substance </w:t>
            </w:r>
            <w:r>
              <w:rPr>
                <w:color w:val="105C84"/>
                <w:spacing w:val="-4"/>
                <w:sz w:val="18"/>
              </w:rPr>
              <w:t>Use </w:t>
            </w:r>
            <w:r>
              <w:rPr>
                <w:color w:val="105C84"/>
                <w:spacing w:val="-2"/>
                <w:sz w:val="18"/>
              </w:rPr>
              <w:t>Disorders</w:t>
            </w:r>
          </w:p>
        </w:tc>
        <w:tc>
          <w:tcPr>
            <w:tcW w:w="1324" w:type="dxa"/>
            <w:vMerge w:val="restart"/>
          </w:tcPr>
          <w:p>
            <w:pPr>
              <w:pStyle w:val="TableParagraph"/>
              <w:spacing w:line="232" w:lineRule="auto" w:before="100"/>
              <w:ind w:left="90" w:right="139"/>
              <w:rPr>
                <w:sz w:val="18"/>
              </w:rPr>
            </w:pPr>
            <w:r>
              <w:rPr>
                <w:color w:val="105C84"/>
                <w:spacing w:val="-4"/>
                <w:sz w:val="18"/>
              </w:rPr>
              <w:t>Focus</w:t>
            </w:r>
            <w:r>
              <w:rPr>
                <w:color w:val="105C84"/>
                <w:spacing w:val="-11"/>
                <w:sz w:val="18"/>
              </w:rPr>
              <w:t> </w:t>
            </w:r>
            <w:r>
              <w:rPr>
                <w:color w:val="105C84"/>
                <w:spacing w:val="-4"/>
                <w:sz w:val="18"/>
              </w:rPr>
              <w:t>Area</w:t>
            </w:r>
            <w:r>
              <w:rPr>
                <w:color w:val="105C84"/>
                <w:spacing w:val="-8"/>
                <w:sz w:val="18"/>
              </w:rPr>
              <w:t> </w:t>
            </w:r>
            <w:r>
              <w:rPr>
                <w:color w:val="105C84"/>
                <w:spacing w:val="-4"/>
                <w:sz w:val="18"/>
              </w:rPr>
              <w:t>2 </w:t>
            </w:r>
            <w:r>
              <w:rPr>
                <w:color w:val="105C84"/>
                <w:spacing w:val="-2"/>
                <w:sz w:val="18"/>
              </w:rPr>
              <w:t>Prevent </w:t>
            </w:r>
            <w:r>
              <w:rPr>
                <w:color w:val="105C84"/>
                <w:sz w:val="18"/>
              </w:rPr>
              <w:t>Mental and </w:t>
            </w:r>
            <w:r>
              <w:rPr>
                <w:color w:val="105C84"/>
                <w:spacing w:val="-2"/>
                <w:sz w:val="18"/>
              </w:rPr>
              <w:t>Substance </w:t>
            </w:r>
            <w:r>
              <w:rPr>
                <w:color w:val="105C84"/>
                <w:spacing w:val="-4"/>
                <w:sz w:val="18"/>
              </w:rPr>
              <w:t>User </w:t>
            </w:r>
            <w:r>
              <w:rPr>
                <w:color w:val="105C84"/>
                <w:spacing w:val="-2"/>
                <w:sz w:val="18"/>
              </w:rPr>
              <w:t>Disorders</w:t>
            </w:r>
          </w:p>
        </w:tc>
        <w:tc>
          <w:tcPr>
            <w:tcW w:w="1266" w:type="dxa"/>
            <w:vMerge w:val="restart"/>
          </w:tcPr>
          <w:p>
            <w:pPr>
              <w:pStyle w:val="TableParagraph"/>
              <w:spacing w:line="232" w:lineRule="auto" w:before="100"/>
              <w:ind w:left="91" w:right="420"/>
              <w:rPr>
                <w:sz w:val="18"/>
              </w:rPr>
            </w:pPr>
            <w:r>
              <w:rPr>
                <w:color w:val="105C84"/>
                <w:sz w:val="18"/>
              </w:rPr>
              <w:t>Goal 2.2 </w:t>
            </w:r>
            <w:r>
              <w:rPr>
                <w:color w:val="105C84"/>
                <w:spacing w:val="-2"/>
                <w:sz w:val="18"/>
              </w:rPr>
              <w:t>Prevent opioid overdose deaths</w:t>
            </w:r>
          </w:p>
        </w:tc>
        <w:tc>
          <w:tcPr>
            <w:tcW w:w="1727" w:type="dxa"/>
            <w:vMerge w:val="restart"/>
          </w:tcPr>
          <w:p>
            <w:pPr>
              <w:pStyle w:val="TableParagraph"/>
              <w:spacing w:line="232" w:lineRule="auto" w:before="100"/>
              <w:ind w:left="92" w:right="290"/>
              <w:rPr>
                <w:sz w:val="18"/>
              </w:rPr>
            </w:pPr>
            <w:r>
              <w:rPr>
                <w:color w:val="105C84"/>
                <w:spacing w:val="-2"/>
                <w:sz w:val="18"/>
              </w:rPr>
              <w:t>2.2.1</w:t>
            </w:r>
            <w:r>
              <w:rPr>
                <w:color w:val="105C84"/>
                <w:spacing w:val="-13"/>
                <w:sz w:val="18"/>
              </w:rPr>
              <w:t> </w:t>
            </w:r>
            <w:r>
              <w:rPr>
                <w:color w:val="105C84"/>
                <w:spacing w:val="-2"/>
                <w:sz w:val="18"/>
              </w:rPr>
              <w:t>Reduce</w:t>
            </w:r>
            <w:r>
              <w:rPr>
                <w:color w:val="105C84"/>
                <w:spacing w:val="-10"/>
                <w:sz w:val="18"/>
              </w:rPr>
              <w:t> </w:t>
            </w:r>
            <w:r>
              <w:rPr>
                <w:color w:val="105C84"/>
                <w:spacing w:val="-2"/>
                <w:sz w:val="18"/>
              </w:rPr>
              <w:t>th</w:t>
            </w:r>
            <w:r>
              <w:rPr>
                <w:color w:val="105C84"/>
                <w:spacing w:val="-2"/>
                <w:sz w:val="18"/>
              </w:rPr>
              <w:t>e</w:t>
            </w:r>
            <w:r>
              <w:rPr>
                <w:color w:val="105C84"/>
                <w:spacing w:val="-2"/>
                <w:sz w:val="18"/>
              </w:rPr>
              <w:t> age-adjusted </w:t>
            </w:r>
            <w:r>
              <w:rPr>
                <w:color w:val="105C84"/>
                <w:sz w:val="18"/>
              </w:rPr>
              <w:t>overdose</w:t>
            </w:r>
            <w:r>
              <w:rPr>
                <w:color w:val="105C84"/>
                <w:spacing w:val="-13"/>
                <w:sz w:val="18"/>
              </w:rPr>
              <w:t> </w:t>
            </w:r>
            <w:r>
              <w:rPr>
                <w:color w:val="105C84"/>
                <w:sz w:val="18"/>
              </w:rPr>
              <w:t>deaths</w:t>
            </w:r>
            <w:r>
              <w:rPr>
                <w:color w:val="105C84"/>
                <w:sz w:val="18"/>
              </w:rPr>
              <w:t> involving any opioid by 7% to</w:t>
            </w:r>
          </w:p>
          <w:p>
            <w:pPr>
              <w:pStyle w:val="TableParagraph"/>
              <w:spacing w:line="194" w:lineRule="exact"/>
              <w:ind w:left="92"/>
              <w:rPr>
                <w:sz w:val="18"/>
              </w:rPr>
            </w:pPr>
            <w:r>
              <w:rPr>
                <w:color w:val="105C84"/>
                <w:sz w:val="18"/>
              </w:rPr>
              <w:t>14.0</w:t>
            </w:r>
            <w:r>
              <w:rPr>
                <w:color w:val="105C84"/>
                <w:spacing w:val="-13"/>
                <w:sz w:val="18"/>
              </w:rPr>
              <w:t> </w:t>
            </w:r>
            <w:r>
              <w:rPr>
                <w:color w:val="105C84"/>
                <w:sz w:val="18"/>
              </w:rPr>
              <w:t>per</w:t>
            </w:r>
            <w:r>
              <w:rPr>
                <w:color w:val="105C84"/>
                <w:spacing w:val="-12"/>
                <w:sz w:val="18"/>
              </w:rPr>
              <w:t> </w:t>
            </w:r>
            <w:r>
              <w:rPr>
                <w:color w:val="105C84"/>
                <w:spacing w:val="-2"/>
                <w:sz w:val="18"/>
              </w:rPr>
              <w:t>100,000</w:t>
            </w:r>
          </w:p>
          <w:p>
            <w:pPr>
              <w:pStyle w:val="TableParagraph"/>
              <w:spacing w:line="203" w:lineRule="exact"/>
              <w:ind w:left="92"/>
              <w:rPr>
                <w:sz w:val="18"/>
              </w:rPr>
            </w:pPr>
            <w:r>
              <w:rPr>
                <w:color w:val="105C84"/>
                <w:spacing w:val="-2"/>
                <w:w w:val="105"/>
                <w:sz w:val="18"/>
              </w:rPr>
              <w:t>population</w:t>
            </w:r>
          </w:p>
        </w:tc>
        <w:tc>
          <w:tcPr>
            <w:tcW w:w="1065" w:type="dxa"/>
          </w:tcPr>
          <w:p>
            <w:pPr>
              <w:pStyle w:val="TableParagraph"/>
              <w:rPr>
                <w:rFonts w:ascii="Times New Roman"/>
                <w:sz w:val="18"/>
              </w:rPr>
            </w:pPr>
          </w:p>
        </w:tc>
        <w:tc>
          <w:tcPr>
            <w:tcW w:w="1929" w:type="dxa"/>
          </w:tcPr>
          <w:p>
            <w:pPr>
              <w:pStyle w:val="TableParagraph"/>
              <w:spacing w:line="232" w:lineRule="auto" w:before="100"/>
              <w:ind w:left="93" w:right="205"/>
              <w:rPr>
                <w:sz w:val="18"/>
              </w:rPr>
            </w:pPr>
            <w:r>
              <w:rPr>
                <w:color w:val="105C84"/>
                <w:sz w:val="18"/>
              </w:rPr>
              <w:t>2.2.2 Increase availability of/ access to overdose </w:t>
            </w:r>
            <w:r>
              <w:rPr>
                <w:color w:val="105C84"/>
                <w:spacing w:val="-2"/>
                <w:sz w:val="18"/>
              </w:rPr>
              <w:t>(Nalaxone)</w:t>
            </w:r>
            <w:r>
              <w:rPr>
                <w:color w:val="105C84"/>
                <w:spacing w:val="-11"/>
                <w:sz w:val="18"/>
              </w:rPr>
              <w:t> </w:t>
            </w:r>
            <w:r>
              <w:rPr>
                <w:color w:val="105C84"/>
                <w:spacing w:val="-2"/>
                <w:sz w:val="18"/>
              </w:rPr>
              <w:t>training</w:t>
            </w:r>
            <w:r>
              <w:rPr>
                <w:color w:val="105C84"/>
                <w:spacing w:val="-2"/>
                <w:sz w:val="18"/>
              </w:rPr>
              <w:t>s</w:t>
            </w:r>
            <w:r>
              <w:rPr>
                <w:color w:val="105C84"/>
                <w:spacing w:val="-2"/>
                <w:sz w:val="18"/>
              </w:rPr>
              <w:t> </w:t>
            </w:r>
            <w:r>
              <w:rPr>
                <w:color w:val="105C84"/>
                <w:sz w:val="18"/>
              </w:rPr>
              <w:t>to prescribers, pharmacists and </w:t>
            </w:r>
            <w:r>
              <w:rPr>
                <w:color w:val="105C84"/>
                <w:spacing w:val="-2"/>
                <w:sz w:val="18"/>
              </w:rPr>
              <w:t>consumers</w:t>
            </w:r>
          </w:p>
        </w:tc>
        <w:tc>
          <w:tcPr>
            <w:tcW w:w="6450" w:type="dxa"/>
            <w:gridSpan w:val="2"/>
          </w:tcPr>
          <w:p>
            <w:pPr>
              <w:pStyle w:val="TableParagraph"/>
              <w:tabs>
                <w:tab w:pos="3748" w:val="left" w:leader="none"/>
              </w:tabs>
              <w:spacing w:line="203" w:lineRule="exact" w:before="95"/>
              <w:ind w:left="94"/>
              <w:rPr>
                <w:sz w:val="18"/>
              </w:rPr>
            </w:pPr>
            <w:r>
              <w:rPr>
                <w:color w:val="105C84"/>
                <w:sz w:val="18"/>
              </w:rPr>
              <w:t>Number</w:t>
            </w:r>
            <w:r>
              <w:rPr>
                <w:color w:val="105C84"/>
                <w:spacing w:val="15"/>
                <w:sz w:val="18"/>
              </w:rPr>
              <w:t> </w:t>
            </w:r>
            <w:r>
              <w:rPr>
                <w:color w:val="105C84"/>
                <w:spacing w:val="-5"/>
                <w:sz w:val="18"/>
              </w:rPr>
              <w:t>of</w:t>
            </w:r>
            <w:r>
              <w:rPr>
                <w:color w:val="105C84"/>
                <w:sz w:val="18"/>
              </w:rPr>
              <w:tab/>
              <w:t>YCPH</w:t>
            </w:r>
            <w:r>
              <w:rPr>
                <w:color w:val="105C84"/>
                <w:spacing w:val="-8"/>
                <w:sz w:val="18"/>
              </w:rPr>
              <w:t> </w:t>
            </w:r>
            <w:r>
              <w:rPr>
                <w:color w:val="105C84"/>
                <w:sz w:val="18"/>
              </w:rPr>
              <w:t>conducted</w:t>
            </w:r>
            <w:r>
              <w:rPr>
                <w:color w:val="105C84"/>
                <w:spacing w:val="-7"/>
                <w:sz w:val="18"/>
              </w:rPr>
              <w:t> </w:t>
            </w:r>
            <w:r>
              <w:rPr>
                <w:color w:val="105C84"/>
                <w:sz w:val="18"/>
              </w:rPr>
              <w:t>one</w:t>
            </w:r>
            <w:r>
              <w:rPr>
                <w:color w:val="105C84"/>
                <w:spacing w:val="-7"/>
                <w:sz w:val="18"/>
              </w:rPr>
              <w:t> </w:t>
            </w:r>
            <w:r>
              <w:rPr>
                <w:color w:val="105C84"/>
                <w:spacing w:val="-2"/>
                <w:sz w:val="18"/>
              </w:rPr>
              <w:t>Naloxone</w:t>
            </w:r>
          </w:p>
          <w:p>
            <w:pPr>
              <w:pStyle w:val="TableParagraph"/>
              <w:tabs>
                <w:tab w:pos="3748" w:val="left" w:leader="none"/>
              </w:tabs>
              <w:spacing w:line="200" w:lineRule="exact"/>
              <w:ind w:left="94"/>
              <w:rPr>
                <w:sz w:val="18"/>
              </w:rPr>
            </w:pPr>
            <w:r>
              <w:rPr>
                <w:color w:val="105C84"/>
                <w:sz w:val="18"/>
              </w:rPr>
              <w:t>Naloxone</w:t>
            </w:r>
            <w:r>
              <w:rPr>
                <w:color w:val="105C84"/>
                <w:spacing w:val="11"/>
                <w:sz w:val="18"/>
              </w:rPr>
              <w:t> </w:t>
            </w:r>
            <w:r>
              <w:rPr>
                <w:color w:val="105C84"/>
                <w:spacing w:val="-2"/>
                <w:sz w:val="18"/>
              </w:rPr>
              <w:t>trainings</w:t>
            </w:r>
            <w:r>
              <w:rPr>
                <w:color w:val="105C84"/>
                <w:sz w:val="18"/>
              </w:rPr>
              <w:tab/>
              <w:t>trained</w:t>
            </w:r>
            <w:r>
              <w:rPr>
                <w:color w:val="105C84"/>
                <w:spacing w:val="-9"/>
                <w:sz w:val="18"/>
              </w:rPr>
              <w:t> </w:t>
            </w:r>
            <w:r>
              <w:rPr>
                <w:color w:val="105C84"/>
                <w:sz w:val="18"/>
              </w:rPr>
              <w:t>to</w:t>
            </w:r>
            <w:r>
              <w:rPr>
                <w:color w:val="105C84"/>
                <w:spacing w:val="-9"/>
                <w:sz w:val="18"/>
              </w:rPr>
              <w:t> </w:t>
            </w:r>
            <w:r>
              <w:rPr>
                <w:color w:val="105C84"/>
                <w:sz w:val="18"/>
              </w:rPr>
              <w:t>CCSI</w:t>
            </w:r>
            <w:r>
              <w:rPr>
                <w:color w:val="105C84"/>
                <w:spacing w:val="-9"/>
                <w:sz w:val="18"/>
              </w:rPr>
              <w:t> </w:t>
            </w:r>
            <w:r>
              <w:rPr>
                <w:color w:val="105C84"/>
                <w:sz w:val="18"/>
              </w:rPr>
              <w:t>(Tier</w:t>
            </w:r>
            <w:r>
              <w:rPr>
                <w:color w:val="105C84"/>
                <w:spacing w:val="-9"/>
                <w:sz w:val="18"/>
              </w:rPr>
              <w:t> </w:t>
            </w:r>
            <w:r>
              <w:rPr>
                <w:color w:val="105C84"/>
                <w:sz w:val="18"/>
              </w:rPr>
              <w:t>1)</w:t>
            </w:r>
            <w:r>
              <w:rPr>
                <w:color w:val="105C84"/>
                <w:spacing w:val="-9"/>
                <w:sz w:val="18"/>
              </w:rPr>
              <w:t> </w:t>
            </w:r>
            <w:r>
              <w:rPr>
                <w:color w:val="105C84"/>
                <w:sz w:val="18"/>
              </w:rPr>
              <w:t>with</w:t>
            </w:r>
            <w:r>
              <w:rPr>
                <w:color w:val="105C84"/>
                <w:spacing w:val="-9"/>
                <w:sz w:val="18"/>
              </w:rPr>
              <w:t> </w:t>
            </w:r>
            <w:r>
              <w:rPr>
                <w:color w:val="105C84"/>
                <w:spacing w:val="-5"/>
                <w:sz w:val="18"/>
              </w:rPr>
              <w:t>13</w:t>
            </w:r>
          </w:p>
          <w:p>
            <w:pPr>
              <w:pStyle w:val="TableParagraph"/>
              <w:tabs>
                <w:tab w:pos="3748" w:val="left" w:leader="none"/>
              </w:tabs>
              <w:spacing w:line="203" w:lineRule="exact"/>
              <w:ind w:left="94"/>
              <w:rPr>
                <w:sz w:val="18"/>
              </w:rPr>
            </w:pPr>
            <w:r>
              <w:rPr>
                <w:color w:val="105C84"/>
                <w:spacing w:val="-2"/>
                <w:w w:val="105"/>
                <w:sz w:val="18"/>
              </w:rPr>
              <w:t>completed</w:t>
            </w:r>
            <w:r>
              <w:rPr>
                <w:color w:val="105C84"/>
                <w:sz w:val="18"/>
              </w:rPr>
              <w:tab/>
            </w:r>
            <w:r>
              <w:rPr>
                <w:color w:val="105C84"/>
                <w:spacing w:val="-2"/>
                <w:w w:val="105"/>
                <w:sz w:val="18"/>
              </w:rPr>
              <w:t>participants</w:t>
            </w:r>
          </w:p>
          <w:p>
            <w:pPr>
              <w:pStyle w:val="TableParagraph"/>
              <w:tabs>
                <w:tab w:pos="3748" w:val="left" w:leader="none"/>
              </w:tabs>
              <w:spacing w:line="203" w:lineRule="exact" w:before="83"/>
              <w:ind w:left="94"/>
              <w:rPr>
                <w:sz w:val="18"/>
              </w:rPr>
            </w:pPr>
            <w:r>
              <w:rPr>
                <w:color w:val="105C84"/>
                <w:sz w:val="18"/>
              </w:rPr>
              <w:t>Number</w:t>
            </w:r>
            <w:r>
              <w:rPr>
                <w:color w:val="105C84"/>
                <w:spacing w:val="15"/>
                <w:sz w:val="18"/>
              </w:rPr>
              <w:t> </w:t>
            </w:r>
            <w:r>
              <w:rPr>
                <w:color w:val="105C84"/>
                <w:spacing w:val="-5"/>
                <w:sz w:val="18"/>
              </w:rPr>
              <w:t>of</w:t>
            </w:r>
            <w:r>
              <w:rPr>
                <w:color w:val="105C84"/>
                <w:sz w:val="18"/>
              </w:rPr>
              <w:tab/>
            </w:r>
            <w:r>
              <w:rPr>
                <w:color w:val="105C84"/>
                <w:spacing w:val="-2"/>
                <w:sz w:val="18"/>
              </w:rPr>
              <w:t>YCPH</w:t>
            </w:r>
            <w:r>
              <w:rPr>
                <w:color w:val="105C84"/>
                <w:spacing w:val="-1"/>
                <w:sz w:val="18"/>
              </w:rPr>
              <w:t> </w:t>
            </w:r>
            <w:r>
              <w:rPr>
                <w:color w:val="105C84"/>
                <w:spacing w:val="-2"/>
                <w:sz w:val="18"/>
              </w:rPr>
              <w:t>will</w:t>
            </w:r>
            <w:r>
              <w:rPr>
                <w:color w:val="105C84"/>
                <w:spacing w:val="-1"/>
                <w:sz w:val="18"/>
              </w:rPr>
              <w:t> </w:t>
            </w:r>
            <w:r>
              <w:rPr>
                <w:color w:val="105C84"/>
                <w:spacing w:val="-2"/>
                <w:sz w:val="18"/>
              </w:rPr>
              <w:t>investigate</w:t>
            </w:r>
            <w:r>
              <w:rPr>
                <w:color w:val="105C84"/>
                <w:spacing w:val="-1"/>
                <w:sz w:val="18"/>
              </w:rPr>
              <w:t> </w:t>
            </w:r>
            <w:r>
              <w:rPr>
                <w:color w:val="105C84"/>
                <w:spacing w:val="-5"/>
                <w:sz w:val="18"/>
              </w:rPr>
              <w:t>w/</w:t>
            </w:r>
          </w:p>
          <w:p>
            <w:pPr>
              <w:pStyle w:val="TableParagraph"/>
              <w:tabs>
                <w:tab w:pos="3748" w:val="left" w:leader="none"/>
              </w:tabs>
              <w:spacing w:line="200" w:lineRule="exact"/>
              <w:ind w:left="94"/>
              <w:rPr>
                <w:sz w:val="18"/>
              </w:rPr>
            </w:pPr>
            <w:r>
              <w:rPr>
                <w:color w:val="105C84"/>
                <w:sz w:val="18"/>
              </w:rPr>
              <w:t>individuals</w:t>
            </w:r>
            <w:r>
              <w:rPr>
                <w:color w:val="105C84"/>
                <w:spacing w:val="-4"/>
                <w:sz w:val="18"/>
              </w:rPr>
              <w:t> </w:t>
            </w:r>
            <w:r>
              <w:rPr>
                <w:color w:val="105C84"/>
                <w:spacing w:val="-2"/>
                <w:sz w:val="18"/>
              </w:rPr>
              <w:t>trained</w:t>
            </w:r>
            <w:r>
              <w:rPr>
                <w:color w:val="105C84"/>
                <w:sz w:val="18"/>
              </w:rPr>
              <w:tab/>
              <w:t>Common</w:t>
            </w:r>
            <w:r>
              <w:rPr>
                <w:color w:val="105C84"/>
                <w:spacing w:val="6"/>
                <w:sz w:val="18"/>
              </w:rPr>
              <w:t> </w:t>
            </w:r>
            <w:r>
              <w:rPr>
                <w:color w:val="105C84"/>
                <w:sz w:val="18"/>
              </w:rPr>
              <w:t>Ground</w:t>
            </w:r>
            <w:r>
              <w:rPr>
                <w:color w:val="105C84"/>
                <w:spacing w:val="6"/>
                <w:sz w:val="18"/>
              </w:rPr>
              <w:t> </w:t>
            </w:r>
            <w:r>
              <w:rPr>
                <w:color w:val="105C84"/>
                <w:sz w:val="18"/>
              </w:rPr>
              <w:t>Health</w:t>
            </w:r>
            <w:r>
              <w:rPr>
                <w:color w:val="105C84"/>
                <w:spacing w:val="7"/>
                <w:sz w:val="18"/>
              </w:rPr>
              <w:t> </w:t>
            </w:r>
            <w:r>
              <w:rPr>
                <w:color w:val="105C84"/>
                <w:spacing w:val="-5"/>
                <w:sz w:val="18"/>
              </w:rPr>
              <w:t>if</w:t>
            </w:r>
          </w:p>
          <w:p>
            <w:pPr>
              <w:pStyle w:val="TableParagraph"/>
              <w:tabs>
                <w:tab w:pos="3748" w:val="left" w:leader="none"/>
              </w:tabs>
              <w:spacing w:line="200" w:lineRule="exact"/>
              <w:ind w:left="94"/>
              <w:rPr>
                <w:sz w:val="18"/>
              </w:rPr>
            </w:pPr>
            <w:r>
              <w:rPr>
                <w:color w:val="105C84"/>
                <w:sz w:val="18"/>
              </w:rPr>
              <w:t>in</w:t>
            </w:r>
            <w:r>
              <w:rPr>
                <w:color w:val="105C84"/>
                <w:spacing w:val="-2"/>
                <w:sz w:val="18"/>
              </w:rPr>
              <w:t> Naloxone</w:t>
            </w:r>
            <w:r>
              <w:rPr>
                <w:color w:val="105C84"/>
                <w:sz w:val="18"/>
              </w:rPr>
              <w:tab/>
            </w:r>
            <w:r>
              <w:rPr>
                <w:color w:val="105C84"/>
                <w:spacing w:val="-2"/>
                <w:sz w:val="18"/>
              </w:rPr>
              <w:t>claims</w:t>
            </w:r>
            <w:r>
              <w:rPr>
                <w:color w:val="105C84"/>
                <w:spacing w:val="-3"/>
                <w:sz w:val="18"/>
              </w:rPr>
              <w:t> </w:t>
            </w:r>
            <w:r>
              <w:rPr>
                <w:color w:val="105C84"/>
                <w:spacing w:val="-2"/>
                <w:sz w:val="18"/>
              </w:rPr>
              <w:t>data</w:t>
            </w:r>
            <w:r>
              <w:rPr>
                <w:color w:val="105C84"/>
                <w:spacing w:val="-3"/>
                <w:sz w:val="18"/>
              </w:rPr>
              <w:t> </w:t>
            </w:r>
            <w:r>
              <w:rPr>
                <w:color w:val="105C84"/>
                <w:spacing w:val="-2"/>
                <w:sz w:val="18"/>
              </w:rPr>
              <w:t>is available</w:t>
            </w:r>
            <w:r>
              <w:rPr>
                <w:color w:val="105C84"/>
                <w:spacing w:val="-3"/>
                <w:sz w:val="18"/>
              </w:rPr>
              <w:t> </w:t>
            </w:r>
            <w:r>
              <w:rPr>
                <w:color w:val="105C84"/>
                <w:spacing w:val="-5"/>
                <w:sz w:val="18"/>
              </w:rPr>
              <w:t>for</w:t>
            </w:r>
          </w:p>
          <w:p>
            <w:pPr>
              <w:pStyle w:val="TableParagraph"/>
              <w:tabs>
                <w:tab w:pos="3748" w:val="left" w:leader="none"/>
              </w:tabs>
              <w:spacing w:line="200" w:lineRule="exact"/>
              <w:ind w:left="94"/>
              <w:rPr>
                <w:sz w:val="18"/>
              </w:rPr>
            </w:pPr>
            <w:r>
              <w:rPr>
                <w:color w:val="105C84"/>
                <w:spacing w:val="-2"/>
                <w:sz w:val="18"/>
              </w:rPr>
              <w:t>administrations</w:t>
            </w:r>
            <w:r>
              <w:rPr>
                <w:color w:val="105C84"/>
                <w:sz w:val="18"/>
              </w:rPr>
              <w:tab/>
            </w:r>
            <w:r>
              <w:rPr>
                <w:color w:val="105C84"/>
                <w:spacing w:val="-4"/>
                <w:sz w:val="18"/>
              </w:rPr>
              <w:t>N-CAP usage at Yates</w:t>
            </w:r>
            <w:r>
              <w:rPr>
                <w:color w:val="105C84"/>
                <w:spacing w:val="-3"/>
                <w:sz w:val="18"/>
              </w:rPr>
              <w:t> </w:t>
            </w:r>
            <w:r>
              <w:rPr>
                <w:color w:val="105C84"/>
                <w:spacing w:val="-4"/>
                <w:sz w:val="18"/>
              </w:rPr>
              <w:t>County</w:t>
            </w:r>
          </w:p>
          <w:p>
            <w:pPr>
              <w:pStyle w:val="TableParagraph"/>
              <w:tabs>
                <w:tab w:pos="3748" w:val="left" w:leader="none"/>
              </w:tabs>
              <w:spacing w:line="235" w:lineRule="auto"/>
              <w:ind w:left="94" w:right="712"/>
              <w:rPr>
                <w:sz w:val="18"/>
              </w:rPr>
            </w:pPr>
            <w:r>
              <w:rPr>
                <w:color w:val="105C84"/>
                <w:position w:val="-8"/>
                <w:sz w:val="18"/>
              </w:rPr>
              <w:t>Number of</w:t>
              <w:tab/>
            </w:r>
            <w:r>
              <w:rPr>
                <w:color w:val="105C84"/>
                <w:sz w:val="18"/>
              </w:rPr>
              <w:t>participating</w:t>
            </w:r>
            <w:r>
              <w:rPr>
                <w:color w:val="105C84"/>
                <w:spacing w:val="-12"/>
                <w:sz w:val="18"/>
              </w:rPr>
              <w:t> </w:t>
            </w:r>
            <w:r>
              <w:rPr>
                <w:color w:val="105C84"/>
                <w:sz w:val="18"/>
              </w:rPr>
              <w:t>pharmacies </w:t>
            </w:r>
            <w:r>
              <w:rPr>
                <w:color w:val="105C84"/>
                <w:spacing w:val="-2"/>
                <w:sz w:val="18"/>
              </w:rPr>
              <w:t>pharmacies</w:t>
            </w:r>
          </w:p>
          <w:p>
            <w:pPr>
              <w:pStyle w:val="TableParagraph"/>
              <w:spacing w:line="232" w:lineRule="auto"/>
              <w:ind w:left="94" w:right="4631"/>
              <w:rPr>
                <w:sz w:val="18"/>
              </w:rPr>
            </w:pPr>
            <w:r>
              <w:rPr>
                <w:color w:val="105C84"/>
                <w:spacing w:val="-2"/>
                <w:sz w:val="18"/>
              </w:rPr>
              <w:t>contacted/surveyed </w:t>
            </w:r>
            <w:r>
              <w:rPr>
                <w:color w:val="105C84"/>
                <w:sz w:val="18"/>
              </w:rPr>
              <w:t>re: N-CAP</w:t>
            </w:r>
          </w:p>
          <w:p>
            <w:pPr>
              <w:pStyle w:val="TableParagraph"/>
              <w:spacing w:line="232" w:lineRule="auto" w:before="84"/>
              <w:ind w:left="94" w:right="5212"/>
              <w:rPr>
                <w:sz w:val="18"/>
              </w:rPr>
            </w:pPr>
            <w:r>
              <w:rPr>
                <w:color w:val="105C84"/>
                <w:sz w:val="18"/>
              </w:rPr>
              <w:t>Number of </w:t>
            </w:r>
            <w:r>
              <w:rPr>
                <w:color w:val="105C84"/>
                <w:spacing w:val="-2"/>
                <w:sz w:val="18"/>
              </w:rPr>
              <w:t>educational outreaches</w:t>
            </w:r>
            <w:r>
              <w:rPr>
                <w:color w:val="105C84"/>
                <w:spacing w:val="-11"/>
                <w:sz w:val="18"/>
              </w:rPr>
              <w:t> </w:t>
            </w:r>
            <w:r>
              <w:rPr>
                <w:color w:val="105C84"/>
                <w:spacing w:val="-2"/>
                <w:sz w:val="18"/>
              </w:rPr>
              <w:t>re: </w:t>
            </w:r>
            <w:r>
              <w:rPr>
                <w:color w:val="105C84"/>
                <w:spacing w:val="-4"/>
                <w:sz w:val="18"/>
              </w:rPr>
              <w:t>N-CAP</w:t>
            </w:r>
          </w:p>
        </w:tc>
        <w:tc>
          <w:tcPr>
            <w:tcW w:w="2217" w:type="dxa"/>
          </w:tcPr>
          <w:p>
            <w:pPr>
              <w:pStyle w:val="TableParagraph"/>
              <w:spacing w:line="232" w:lineRule="auto" w:before="99"/>
              <w:ind w:left="95" w:right="428"/>
              <w:rPr>
                <w:sz w:val="18"/>
              </w:rPr>
            </w:pPr>
            <w:r>
              <w:rPr>
                <w:color w:val="105C84"/>
                <w:sz w:val="18"/>
              </w:rPr>
              <w:t>YCPH</w:t>
            </w:r>
            <w:r>
              <w:rPr>
                <w:color w:val="105C84"/>
                <w:spacing w:val="-13"/>
                <w:sz w:val="18"/>
              </w:rPr>
              <w:t> </w:t>
            </w:r>
            <w:r>
              <w:rPr>
                <w:color w:val="105C84"/>
                <w:sz w:val="18"/>
              </w:rPr>
              <w:t>will</w:t>
            </w:r>
            <w:r>
              <w:rPr>
                <w:color w:val="105C84"/>
                <w:spacing w:val="-12"/>
                <w:sz w:val="18"/>
              </w:rPr>
              <w:t> </w:t>
            </w:r>
            <w:r>
              <w:rPr>
                <w:color w:val="105C84"/>
                <w:sz w:val="18"/>
              </w:rPr>
              <w:t>promote</w:t>
            </w:r>
            <w:r>
              <w:rPr>
                <w:color w:val="105C84"/>
                <w:spacing w:val="-13"/>
                <w:sz w:val="18"/>
              </w:rPr>
              <w:t> </w:t>
            </w:r>
            <w:r>
              <w:rPr>
                <w:color w:val="105C84"/>
                <w:sz w:val="18"/>
              </w:rPr>
              <w:t>&amp; conduct 2 Naloxone trainings per year (i.e. Keuka College, law</w:t>
            </w:r>
            <w:r>
              <w:rPr>
                <w:color w:val="105C84"/>
                <w:spacing w:val="-15"/>
                <w:sz w:val="18"/>
              </w:rPr>
              <w:t> </w:t>
            </w:r>
            <w:r>
              <w:rPr>
                <w:color w:val="105C84"/>
                <w:sz w:val="18"/>
              </w:rPr>
              <w:t>enforcement,</w:t>
            </w:r>
            <w:r>
              <w:rPr>
                <w:color w:val="105C84"/>
                <w:spacing w:val="-12"/>
                <w:sz w:val="18"/>
              </w:rPr>
              <w:t> </w:t>
            </w:r>
            <w:r>
              <w:rPr>
                <w:color w:val="105C84"/>
                <w:sz w:val="18"/>
              </w:rPr>
              <w:t>fire</w:t>
            </w:r>
          </w:p>
          <w:p>
            <w:pPr>
              <w:pStyle w:val="TableParagraph"/>
              <w:spacing w:line="232" w:lineRule="auto"/>
              <w:ind w:left="95"/>
              <w:rPr>
                <w:sz w:val="18"/>
              </w:rPr>
            </w:pPr>
            <w:r>
              <w:rPr>
                <w:color w:val="105C84"/>
                <w:sz w:val="18"/>
              </w:rPr>
              <w:t>department,</w:t>
            </w:r>
            <w:r>
              <w:rPr>
                <w:color w:val="105C84"/>
                <w:spacing w:val="-13"/>
                <w:sz w:val="18"/>
              </w:rPr>
              <w:t> </w:t>
            </w:r>
            <w:r>
              <w:rPr>
                <w:color w:val="105C84"/>
                <w:sz w:val="18"/>
              </w:rPr>
              <w:t>uninsured, </w:t>
            </w:r>
            <w:r>
              <w:rPr>
                <w:color w:val="105C84"/>
                <w:spacing w:val="-2"/>
                <w:sz w:val="18"/>
              </w:rPr>
              <w:t>etc.)</w:t>
            </w:r>
          </w:p>
          <w:p>
            <w:pPr>
              <w:pStyle w:val="TableParagraph"/>
              <w:spacing w:line="232" w:lineRule="auto" w:before="85"/>
              <w:ind w:left="95"/>
              <w:rPr>
                <w:sz w:val="18"/>
              </w:rPr>
            </w:pPr>
            <w:r>
              <w:rPr>
                <w:color w:val="105C84"/>
                <w:sz w:val="18"/>
              </w:rPr>
              <w:t>YCPH will explore other community agencies providing</w:t>
            </w:r>
            <w:r>
              <w:rPr>
                <w:color w:val="105C84"/>
                <w:spacing w:val="40"/>
                <w:sz w:val="18"/>
              </w:rPr>
              <w:t> </w:t>
            </w:r>
            <w:r>
              <w:rPr>
                <w:color w:val="105C84"/>
                <w:sz w:val="18"/>
              </w:rPr>
              <w:t>Naloxone </w:t>
            </w:r>
            <w:r>
              <w:rPr>
                <w:color w:val="105C84"/>
                <w:spacing w:val="-2"/>
                <w:sz w:val="18"/>
              </w:rPr>
              <w:t>trainings</w:t>
            </w:r>
            <w:r>
              <w:rPr>
                <w:color w:val="105C84"/>
                <w:spacing w:val="-11"/>
                <w:sz w:val="18"/>
              </w:rPr>
              <w:t> </w:t>
            </w:r>
            <w:r>
              <w:rPr>
                <w:color w:val="105C84"/>
                <w:spacing w:val="-2"/>
                <w:sz w:val="18"/>
              </w:rPr>
              <w:t>in</w:t>
            </w:r>
            <w:r>
              <w:rPr>
                <w:color w:val="105C84"/>
                <w:spacing w:val="-10"/>
                <w:sz w:val="18"/>
              </w:rPr>
              <w:t> </w:t>
            </w:r>
            <w:r>
              <w:rPr>
                <w:color w:val="105C84"/>
                <w:spacing w:val="-2"/>
                <w:sz w:val="18"/>
              </w:rPr>
              <w:t>Yates</w:t>
            </w:r>
            <w:r>
              <w:rPr>
                <w:color w:val="105C84"/>
                <w:spacing w:val="-11"/>
                <w:sz w:val="18"/>
              </w:rPr>
              <w:t> </w:t>
            </w:r>
            <w:r>
              <w:rPr>
                <w:color w:val="105C84"/>
                <w:spacing w:val="-2"/>
                <w:sz w:val="18"/>
              </w:rPr>
              <w:t>County </w:t>
            </w:r>
            <w:r>
              <w:rPr>
                <w:color w:val="105C84"/>
                <w:sz w:val="18"/>
              </w:rPr>
              <w:t>and promote those trainings via website &amp; </w:t>
            </w:r>
            <w:r>
              <w:rPr>
                <w:color w:val="105C84"/>
                <w:spacing w:val="-2"/>
                <w:sz w:val="18"/>
              </w:rPr>
              <w:t>Facebook</w:t>
            </w:r>
          </w:p>
          <w:p>
            <w:pPr>
              <w:pStyle w:val="TableParagraph"/>
              <w:spacing w:line="232" w:lineRule="auto" w:before="84"/>
              <w:ind w:left="95" w:right="118"/>
              <w:rPr>
                <w:sz w:val="18"/>
              </w:rPr>
            </w:pPr>
            <w:r>
              <w:rPr>
                <w:color w:val="105C84"/>
                <w:sz w:val="18"/>
              </w:rPr>
              <w:t>YCPH will survey local pharmacies re: N-CAP. YCPH will increase public awareness about N-CAP</w:t>
            </w:r>
            <w:r>
              <w:rPr>
                <w:color w:val="105C84"/>
                <w:spacing w:val="-13"/>
                <w:sz w:val="18"/>
              </w:rPr>
              <w:t> </w:t>
            </w:r>
            <w:r>
              <w:rPr>
                <w:color w:val="105C84"/>
                <w:sz w:val="18"/>
              </w:rPr>
              <w:t>(in</w:t>
            </w:r>
            <w:r>
              <w:rPr>
                <w:color w:val="105C84"/>
                <w:spacing w:val="-12"/>
                <w:sz w:val="18"/>
              </w:rPr>
              <w:t> </w:t>
            </w:r>
            <w:r>
              <w:rPr>
                <w:color w:val="105C84"/>
                <w:sz w:val="18"/>
              </w:rPr>
              <w:t>partnership</w:t>
            </w:r>
            <w:r>
              <w:rPr>
                <w:color w:val="105C84"/>
                <w:spacing w:val="-13"/>
                <w:sz w:val="18"/>
              </w:rPr>
              <w:t> </w:t>
            </w:r>
            <w:r>
              <w:rPr>
                <w:color w:val="105C84"/>
                <w:sz w:val="18"/>
              </w:rPr>
              <w:t>w/ Yates Substance Abuse Coalition (YSAC) via website, Facebook paid </w:t>
            </w:r>
            <w:r>
              <w:rPr>
                <w:color w:val="105C84"/>
                <w:spacing w:val="-4"/>
                <w:sz w:val="18"/>
              </w:rPr>
              <w:t>media</w:t>
            </w:r>
          </w:p>
        </w:tc>
        <w:tc>
          <w:tcPr>
            <w:tcW w:w="2275" w:type="dxa"/>
          </w:tcPr>
          <w:p>
            <w:pPr>
              <w:pStyle w:val="TableParagraph"/>
              <w:spacing w:line="232" w:lineRule="auto" w:before="99"/>
              <w:ind w:left="96" w:right="485"/>
              <w:rPr>
                <w:sz w:val="18"/>
              </w:rPr>
            </w:pPr>
            <w:r>
              <w:rPr>
                <w:color w:val="105C84"/>
                <w:sz w:val="18"/>
              </w:rPr>
              <w:t>YCPH</w:t>
            </w:r>
            <w:r>
              <w:rPr>
                <w:color w:val="105C84"/>
                <w:spacing w:val="-13"/>
                <w:sz w:val="18"/>
              </w:rPr>
              <w:t> </w:t>
            </w:r>
            <w:r>
              <w:rPr>
                <w:color w:val="105C84"/>
                <w:sz w:val="18"/>
              </w:rPr>
              <w:t>will</w:t>
            </w:r>
            <w:r>
              <w:rPr>
                <w:color w:val="105C84"/>
                <w:spacing w:val="-12"/>
                <w:sz w:val="18"/>
              </w:rPr>
              <w:t> </w:t>
            </w:r>
            <w:r>
              <w:rPr>
                <w:color w:val="105C84"/>
                <w:sz w:val="18"/>
              </w:rPr>
              <w:t>promote</w:t>
            </w:r>
            <w:r>
              <w:rPr>
                <w:color w:val="105C84"/>
                <w:spacing w:val="-13"/>
                <w:sz w:val="18"/>
              </w:rPr>
              <w:t> </w:t>
            </w:r>
            <w:r>
              <w:rPr>
                <w:color w:val="105C84"/>
                <w:sz w:val="18"/>
              </w:rPr>
              <w:t>&amp; conduct 2 Naloxone trainings per year (i.e. Keuka College, law</w:t>
            </w:r>
            <w:r>
              <w:rPr>
                <w:color w:val="105C84"/>
                <w:spacing w:val="-15"/>
                <w:sz w:val="18"/>
              </w:rPr>
              <w:t> </w:t>
            </w:r>
            <w:r>
              <w:rPr>
                <w:color w:val="105C84"/>
                <w:sz w:val="18"/>
              </w:rPr>
              <w:t>enforcement,</w:t>
            </w:r>
            <w:r>
              <w:rPr>
                <w:color w:val="105C84"/>
                <w:spacing w:val="-12"/>
                <w:sz w:val="18"/>
              </w:rPr>
              <w:t> </w:t>
            </w:r>
            <w:r>
              <w:rPr>
                <w:color w:val="105C84"/>
                <w:sz w:val="18"/>
              </w:rPr>
              <w:t>fire</w:t>
            </w:r>
          </w:p>
          <w:p>
            <w:pPr>
              <w:pStyle w:val="TableParagraph"/>
              <w:spacing w:line="232" w:lineRule="auto"/>
              <w:ind w:left="96" w:right="184"/>
              <w:rPr>
                <w:sz w:val="18"/>
              </w:rPr>
            </w:pPr>
            <w:r>
              <w:rPr>
                <w:color w:val="105C84"/>
                <w:sz w:val="18"/>
              </w:rPr>
              <w:t>department,</w:t>
            </w:r>
            <w:r>
              <w:rPr>
                <w:color w:val="105C84"/>
                <w:spacing w:val="-13"/>
                <w:sz w:val="18"/>
              </w:rPr>
              <w:t> </w:t>
            </w:r>
            <w:r>
              <w:rPr>
                <w:color w:val="105C84"/>
                <w:sz w:val="18"/>
              </w:rPr>
              <w:t>uninsured, </w:t>
            </w:r>
            <w:r>
              <w:rPr>
                <w:color w:val="105C84"/>
                <w:spacing w:val="-2"/>
                <w:sz w:val="18"/>
              </w:rPr>
              <w:t>etc.)</w:t>
            </w:r>
          </w:p>
          <w:p>
            <w:pPr>
              <w:pStyle w:val="TableParagraph"/>
              <w:spacing w:line="232" w:lineRule="auto" w:before="84"/>
              <w:ind w:left="96" w:right="184"/>
              <w:rPr>
                <w:sz w:val="18"/>
              </w:rPr>
            </w:pPr>
            <w:r>
              <w:rPr>
                <w:color w:val="105C84"/>
                <w:sz w:val="18"/>
              </w:rPr>
              <w:t>YCPH will explore other community agencies providing</w:t>
            </w:r>
            <w:r>
              <w:rPr>
                <w:color w:val="105C84"/>
                <w:spacing w:val="40"/>
                <w:sz w:val="18"/>
              </w:rPr>
              <w:t> </w:t>
            </w:r>
            <w:r>
              <w:rPr>
                <w:color w:val="105C84"/>
                <w:sz w:val="18"/>
              </w:rPr>
              <w:t>Naloxone </w:t>
            </w:r>
            <w:r>
              <w:rPr>
                <w:color w:val="105C84"/>
                <w:spacing w:val="-2"/>
                <w:sz w:val="18"/>
              </w:rPr>
              <w:t>trainings</w:t>
            </w:r>
            <w:r>
              <w:rPr>
                <w:color w:val="105C84"/>
                <w:spacing w:val="-11"/>
                <w:sz w:val="18"/>
              </w:rPr>
              <w:t> </w:t>
            </w:r>
            <w:r>
              <w:rPr>
                <w:color w:val="105C84"/>
                <w:spacing w:val="-2"/>
                <w:sz w:val="18"/>
              </w:rPr>
              <w:t>in</w:t>
            </w:r>
            <w:r>
              <w:rPr>
                <w:color w:val="105C84"/>
                <w:spacing w:val="-10"/>
                <w:sz w:val="18"/>
              </w:rPr>
              <w:t> </w:t>
            </w:r>
            <w:r>
              <w:rPr>
                <w:color w:val="105C84"/>
                <w:spacing w:val="-2"/>
                <w:sz w:val="18"/>
              </w:rPr>
              <w:t>Yates</w:t>
            </w:r>
            <w:r>
              <w:rPr>
                <w:color w:val="105C84"/>
                <w:spacing w:val="-11"/>
                <w:sz w:val="18"/>
              </w:rPr>
              <w:t> </w:t>
            </w:r>
            <w:r>
              <w:rPr>
                <w:color w:val="105C84"/>
                <w:spacing w:val="-2"/>
                <w:sz w:val="18"/>
              </w:rPr>
              <w:t>County </w:t>
            </w:r>
            <w:r>
              <w:rPr>
                <w:color w:val="105C84"/>
                <w:sz w:val="18"/>
              </w:rPr>
              <w:t>and promote those trainings via website &amp; </w:t>
            </w:r>
            <w:r>
              <w:rPr>
                <w:color w:val="105C84"/>
                <w:spacing w:val="-2"/>
                <w:sz w:val="18"/>
              </w:rPr>
              <w:t>Facebook</w:t>
            </w:r>
          </w:p>
          <w:p>
            <w:pPr>
              <w:pStyle w:val="TableParagraph"/>
              <w:spacing w:line="232" w:lineRule="auto" w:before="85"/>
              <w:ind w:left="96" w:right="176"/>
              <w:rPr>
                <w:sz w:val="18"/>
              </w:rPr>
            </w:pPr>
            <w:r>
              <w:rPr>
                <w:color w:val="105C84"/>
                <w:sz w:val="18"/>
              </w:rPr>
              <w:t>YCPH will survey local pharmacies re: N-CAP. YCPH will increase public awareness about N-CAP</w:t>
            </w:r>
            <w:r>
              <w:rPr>
                <w:color w:val="105C84"/>
                <w:spacing w:val="-13"/>
                <w:sz w:val="18"/>
              </w:rPr>
              <w:t> </w:t>
            </w:r>
            <w:r>
              <w:rPr>
                <w:color w:val="105C84"/>
                <w:sz w:val="18"/>
              </w:rPr>
              <w:t>(in</w:t>
            </w:r>
            <w:r>
              <w:rPr>
                <w:color w:val="105C84"/>
                <w:spacing w:val="-12"/>
                <w:sz w:val="18"/>
              </w:rPr>
              <w:t> </w:t>
            </w:r>
            <w:r>
              <w:rPr>
                <w:color w:val="105C84"/>
                <w:sz w:val="18"/>
              </w:rPr>
              <w:t>partnership</w:t>
            </w:r>
            <w:r>
              <w:rPr>
                <w:color w:val="105C84"/>
                <w:spacing w:val="-13"/>
                <w:sz w:val="18"/>
              </w:rPr>
              <w:t> </w:t>
            </w:r>
            <w:r>
              <w:rPr>
                <w:color w:val="105C84"/>
                <w:sz w:val="18"/>
              </w:rPr>
              <w:t>w/ Yates Substance Abuse Coalition (YSAC) via website, Facebook paid </w:t>
            </w:r>
            <w:r>
              <w:rPr>
                <w:color w:val="105C84"/>
                <w:spacing w:val="-4"/>
                <w:sz w:val="18"/>
              </w:rPr>
              <w:t>media</w:t>
            </w:r>
          </w:p>
        </w:tc>
        <w:tc>
          <w:tcPr>
            <w:tcW w:w="1497" w:type="dxa"/>
          </w:tcPr>
          <w:p>
            <w:pPr>
              <w:pStyle w:val="TableParagraph"/>
              <w:spacing w:line="232" w:lineRule="auto" w:before="98"/>
              <w:ind w:left="96"/>
              <w:rPr>
                <w:sz w:val="18"/>
              </w:rPr>
            </w:pPr>
            <w:r>
              <w:rPr>
                <w:color w:val="105C84"/>
                <w:spacing w:val="-2"/>
                <w:sz w:val="18"/>
              </w:rPr>
              <w:t>Local</w:t>
            </w:r>
            <w:r>
              <w:rPr>
                <w:color w:val="105C84"/>
                <w:spacing w:val="-11"/>
                <w:sz w:val="18"/>
              </w:rPr>
              <w:t> </w:t>
            </w:r>
            <w:r>
              <w:rPr>
                <w:color w:val="105C84"/>
                <w:spacing w:val="-2"/>
                <w:sz w:val="18"/>
              </w:rPr>
              <w:t>health department</w:t>
            </w:r>
          </w:p>
        </w:tc>
        <w:tc>
          <w:tcPr>
            <w:tcW w:w="1406" w:type="dxa"/>
          </w:tcPr>
          <w:p>
            <w:pPr>
              <w:pStyle w:val="TableParagraph"/>
              <w:spacing w:line="232" w:lineRule="auto" w:before="98"/>
              <w:ind w:left="97" w:right="236"/>
              <w:jc w:val="both"/>
              <w:rPr>
                <w:sz w:val="18"/>
              </w:rPr>
            </w:pPr>
            <w:r>
              <w:rPr>
                <w:color w:val="105C84"/>
                <w:spacing w:val="-2"/>
                <w:sz w:val="18"/>
              </w:rPr>
              <w:t>Yates</w:t>
            </w:r>
            <w:r>
              <w:rPr>
                <w:color w:val="105C84"/>
                <w:spacing w:val="-11"/>
                <w:sz w:val="18"/>
              </w:rPr>
              <w:t> </w:t>
            </w:r>
            <w:r>
              <w:rPr>
                <w:color w:val="105C84"/>
                <w:spacing w:val="-2"/>
                <w:sz w:val="18"/>
              </w:rPr>
              <w:t>County </w:t>
            </w:r>
            <w:r>
              <w:rPr>
                <w:color w:val="105C84"/>
                <w:sz w:val="18"/>
              </w:rPr>
              <w:t>Public</w:t>
            </w:r>
            <w:r>
              <w:rPr>
                <w:color w:val="105C84"/>
                <w:spacing w:val="-13"/>
                <w:sz w:val="18"/>
              </w:rPr>
              <w:t> </w:t>
            </w:r>
            <w:r>
              <w:rPr>
                <w:color w:val="105C84"/>
                <w:sz w:val="18"/>
              </w:rPr>
              <w:t>Health </w:t>
            </w:r>
            <w:r>
              <w:rPr>
                <w:color w:val="105C84"/>
                <w:spacing w:val="-6"/>
                <w:sz w:val="18"/>
              </w:rPr>
              <w:t>(YCPH)</w:t>
            </w:r>
            <w:r>
              <w:rPr>
                <w:color w:val="105C84"/>
                <w:spacing w:val="-7"/>
                <w:sz w:val="18"/>
              </w:rPr>
              <w:t> </w:t>
            </w:r>
            <w:r>
              <w:rPr>
                <w:color w:val="105C84"/>
                <w:spacing w:val="-6"/>
                <w:sz w:val="18"/>
              </w:rPr>
              <w:t>0.025 </w:t>
            </w:r>
            <w:r>
              <w:rPr>
                <w:color w:val="105C84"/>
                <w:spacing w:val="-4"/>
                <w:sz w:val="18"/>
              </w:rPr>
              <w:t>FTE</w:t>
            </w:r>
          </w:p>
        </w:tc>
      </w:tr>
      <w:tr>
        <w:trPr>
          <w:trHeight w:val="4510" w:hRule="atLeast"/>
        </w:trPr>
        <w:tc>
          <w:tcPr>
            <w:tcW w:w="1180" w:type="dxa"/>
            <w:vMerge/>
            <w:tcBorders>
              <w:top w:val="nil"/>
            </w:tcBorders>
            <w:shd w:val="clear" w:color="auto" w:fill="E6E7E8"/>
          </w:tcPr>
          <w:p>
            <w:pPr>
              <w:rPr>
                <w:sz w:val="2"/>
                <w:szCs w:val="2"/>
              </w:rPr>
            </w:pPr>
          </w:p>
        </w:tc>
        <w:tc>
          <w:tcPr>
            <w:tcW w:w="1324" w:type="dxa"/>
            <w:vMerge/>
            <w:tcBorders>
              <w:top w:val="nil"/>
            </w:tcBorders>
          </w:tcPr>
          <w:p>
            <w:pPr>
              <w:rPr>
                <w:sz w:val="2"/>
                <w:szCs w:val="2"/>
              </w:rPr>
            </w:pPr>
          </w:p>
        </w:tc>
        <w:tc>
          <w:tcPr>
            <w:tcW w:w="1266" w:type="dxa"/>
            <w:vMerge/>
            <w:tcBorders>
              <w:top w:val="nil"/>
            </w:tcBorders>
          </w:tcPr>
          <w:p>
            <w:pPr>
              <w:rPr>
                <w:sz w:val="2"/>
                <w:szCs w:val="2"/>
              </w:rPr>
            </w:pPr>
          </w:p>
        </w:tc>
        <w:tc>
          <w:tcPr>
            <w:tcW w:w="1727" w:type="dxa"/>
            <w:vMerge/>
            <w:tcBorders>
              <w:top w:val="nil"/>
            </w:tcBorders>
          </w:tcPr>
          <w:p>
            <w:pPr>
              <w:rPr>
                <w:sz w:val="2"/>
                <w:szCs w:val="2"/>
              </w:rPr>
            </w:pPr>
          </w:p>
        </w:tc>
        <w:tc>
          <w:tcPr>
            <w:tcW w:w="1065" w:type="dxa"/>
            <w:vMerge w:val="restart"/>
          </w:tcPr>
          <w:p>
            <w:pPr>
              <w:pStyle w:val="TableParagraph"/>
              <w:rPr>
                <w:rFonts w:ascii="Times New Roman"/>
                <w:sz w:val="18"/>
              </w:rPr>
            </w:pPr>
          </w:p>
        </w:tc>
        <w:tc>
          <w:tcPr>
            <w:tcW w:w="1929" w:type="dxa"/>
            <w:vMerge w:val="restart"/>
          </w:tcPr>
          <w:p>
            <w:pPr>
              <w:pStyle w:val="TableParagraph"/>
              <w:spacing w:line="232" w:lineRule="auto" w:before="98"/>
              <w:ind w:left="93" w:right="253"/>
              <w:rPr>
                <w:sz w:val="18"/>
              </w:rPr>
            </w:pPr>
            <w:r>
              <w:rPr>
                <w:color w:val="105C84"/>
                <w:sz w:val="18"/>
              </w:rPr>
              <w:t>Local Effort: Received research grant through </w:t>
            </w:r>
            <w:r>
              <w:rPr>
                <w:color w:val="105C84"/>
                <w:spacing w:val="-2"/>
                <w:sz w:val="18"/>
              </w:rPr>
              <w:t>Columbia</w:t>
            </w:r>
            <w:r>
              <w:rPr>
                <w:color w:val="105C84"/>
                <w:spacing w:val="40"/>
                <w:sz w:val="18"/>
              </w:rPr>
              <w:t> </w:t>
            </w:r>
            <w:r>
              <w:rPr>
                <w:color w:val="105C84"/>
                <w:spacing w:val="-2"/>
                <w:sz w:val="18"/>
              </w:rPr>
              <w:t>University:</w:t>
            </w:r>
            <w:r>
              <w:rPr>
                <w:color w:val="105C84"/>
                <w:spacing w:val="-8"/>
                <w:sz w:val="18"/>
              </w:rPr>
              <w:t> </w:t>
            </w:r>
            <w:r>
              <w:rPr>
                <w:color w:val="105C84"/>
                <w:spacing w:val="-2"/>
                <w:sz w:val="18"/>
              </w:rPr>
              <w:t>HEALing</w:t>
            </w:r>
          </w:p>
          <w:p>
            <w:pPr>
              <w:pStyle w:val="TableParagraph"/>
              <w:spacing w:line="232" w:lineRule="auto"/>
              <w:ind w:left="93" w:right="154"/>
              <w:rPr>
                <w:sz w:val="18"/>
              </w:rPr>
            </w:pPr>
            <w:r>
              <w:rPr>
                <w:color w:val="105C84"/>
                <w:sz w:val="18"/>
              </w:rPr>
              <w:t>Communities</w:t>
            </w:r>
            <w:r>
              <w:rPr>
                <w:color w:val="105C84"/>
                <w:spacing w:val="-5"/>
                <w:sz w:val="18"/>
              </w:rPr>
              <w:t> </w:t>
            </w:r>
            <w:r>
              <w:rPr>
                <w:color w:val="105C84"/>
                <w:sz w:val="18"/>
              </w:rPr>
              <w:t>-</w:t>
            </w:r>
            <w:r>
              <w:rPr>
                <w:color w:val="105C84"/>
                <w:spacing w:val="-5"/>
                <w:sz w:val="18"/>
              </w:rPr>
              <w:t> </w:t>
            </w:r>
            <w:r>
              <w:rPr>
                <w:color w:val="105C84"/>
                <w:sz w:val="18"/>
              </w:rPr>
              <w:t>effort to reduce opioid deaths by 40% over 3 years</w:t>
            </w:r>
          </w:p>
        </w:tc>
        <w:tc>
          <w:tcPr>
            <w:tcW w:w="2656" w:type="dxa"/>
            <w:vMerge w:val="restart"/>
            <w:tcBorders>
              <w:right w:val="nil"/>
            </w:tcBorders>
          </w:tcPr>
          <w:p>
            <w:pPr>
              <w:pStyle w:val="TableParagraph"/>
              <w:spacing w:line="232" w:lineRule="auto" w:before="98"/>
              <w:ind w:left="94" w:right="970"/>
              <w:rPr>
                <w:sz w:val="18"/>
              </w:rPr>
            </w:pPr>
            <w:r>
              <w:rPr>
                <w:color w:val="105C84"/>
                <w:sz w:val="18"/>
              </w:rPr>
              <w:t>Number of</w:t>
            </w:r>
            <w:r>
              <w:rPr>
                <w:color w:val="105C84"/>
                <w:spacing w:val="40"/>
                <w:sz w:val="18"/>
              </w:rPr>
              <w:t> </w:t>
            </w:r>
            <w:r>
              <w:rPr>
                <w:color w:val="105C84"/>
                <w:sz w:val="18"/>
              </w:rPr>
              <w:t>meetings held. Number and types of</w:t>
            </w:r>
            <w:r>
              <w:rPr>
                <w:color w:val="105C84"/>
                <w:spacing w:val="-3"/>
                <w:sz w:val="18"/>
              </w:rPr>
              <w:t> </w:t>
            </w:r>
            <w:r>
              <w:rPr>
                <w:color w:val="105C84"/>
                <w:sz w:val="18"/>
              </w:rPr>
              <w:t>partners</w:t>
            </w:r>
            <w:r>
              <w:rPr>
                <w:color w:val="105C84"/>
                <w:spacing w:val="-3"/>
                <w:sz w:val="18"/>
              </w:rPr>
              <w:t> </w:t>
            </w:r>
            <w:r>
              <w:rPr>
                <w:color w:val="105C84"/>
                <w:spacing w:val="-2"/>
                <w:sz w:val="18"/>
              </w:rPr>
              <w:t>involved</w:t>
            </w:r>
          </w:p>
          <w:p>
            <w:pPr>
              <w:pStyle w:val="TableParagraph"/>
              <w:spacing w:line="232" w:lineRule="auto" w:before="87"/>
              <w:ind w:left="94" w:right="806"/>
              <w:rPr>
                <w:sz w:val="18"/>
              </w:rPr>
            </w:pPr>
            <w:r>
              <w:rPr>
                <w:color w:val="105C84"/>
                <w:sz w:val="18"/>
              </w:rPr>
              <w:t>Current efforts in place</w:t>
            </w:r>
            <w:r>
              <w:rPr>
                <w:color w:val="105C84"/>
                <w:spacing w:val="-15"/>
                <w:sz w:val="18"/>
              </w:rPr>
              <w:t> </w:t>
            </w:r>
            <w:r>
              <w:rPr>
                <w:color w:val="105C84"/>
                <w:sz w:val="18"/>
              </w:rPr>
              <w:t>to</w:t>
            </w:r>
            <w:r>
              <w:rPr>
                <w:color w:val="105C84"/>
                <w:spacing w:val="-12"/>
                <w:sz w:val="18"/>
              </w:rPr>
              <w:t> </w:t>
            </w:r>
            <w:r>
              <w:rPr>
                <w:color w:val="105C84"/>
                <w:sz w:val="18"/>
              </w:rPr>
              <w:t>decrease opioid use</w:t>
            </w:r>
          </w:p>
          <w:p>
            <w:pPr>
              <w:pStyle w:val="TableParagraph"/>
              <w:spacing w:line="232" w:lineRule="auto" w:before="88"/>
              <w:ind w:left="94" w:right="806"/>
              <w:rPr>
                <w:sz w:val="18"/>
              </w:rPr>
            </w:pPr>
            <w:r>
              <w:rPr>
                <w:color w:val="105C84"/>
                <w:w w:val="105"/>
                <w:sz w:val="18"/>
              </w:rPr>
              <w:t>Improvement</w:t>
            </w:r>
            <w:r>
              <w:rPr>
                <w:color w:val="105C84"/>
                <w:spacing w:val="-1"/>
                <w:w w:val="105"/>
                <w:sz w:val="18"/>
              </w:rPr>
              <w:t> </w:t>
            </w:r>
            <w:r>
              <w:rPr>
                <w:color w:val="105C84"/>
                <w:w w:val="105"/>
                <w:sz w:val="18"/>
              </w:rPr>
              <w:t>in number</w:t>
            </w:r>
            <w:r>
              <w:rPr>
                <w:color w:val="105C84"/>
                <w:spacing w:val="-14"/>
                <w:w w:val="105"/>
                <w:sz w:val="18"/>
              </w:rPr>
              <w:t> </w:t>
            </w:r>
            <w:r>
              <w:rPr>
                <w:color w:val="105C84"/>
                <w:w w:val="105"/>
                <w:sz w:val="18"/>
              </w:rPr>
              <w:t>of</w:t>
            </w:r>
            <w:r>
              <w:rPr>
                <w:color w:val="105C84"/>
                <w:spacing w:val="-13"/>
                <w:w w:val="105"/>
                <w:sz w:val="18"/>
              </w:rPr>
              <w:t> </w:t>
            </w:r>
            <w:r>
              <w:rPr>
                <w:color w:val="105C84"/>
                <w:w w:val="105"/>
                <w:sz w:val="18"/>
              </w:rPr>
              <w:t>opioid </w:t>
            </w:r>
            <w:r>
              <w:rPr>
                <w:color w:val="105C84"/>
                <w:spacing w:val="-2"/>
                <w:w w:val="105"/>
                <w:sz w:val="18"/>
              </w:rPr>
              <w:t>deaths</w:t>
            </w:r>
          </w:p>
        </w:tc>
        <w:tc>
          <w:tcPr>
            <w:tcW w:w="3794" w:type="dxa"/>
            <w:tcBorders>
              <w:left w:val="nil"/>
            </w:tcBorders>
          </w:tcPr>
          <w:p>
            <w:pPr>
              <w:pStyle w:val="TableParagraph"/>
              <w:spacing w:line="232" w:lineRule="auto" w:before="98"/>
              <w:ind w:left="1097"/>
              <w:rPr>
                <w:sz w:val="18"/>
              </w:rPr>
            </w:pPr>
            <w:r>
              <w:rPr>
                <w:color w:val="105C84"/>
                <w:sz w:val="18"/>
              </w:rPr>
              <w:t>HEALing (Help to end </w:t>
            </w:r>
            <w:r>
              <w:rPr>
                <w:color w:val="105C84"/>
                <w:sz w:val="18"/>
              </w:rPr>
              <w:t>Addiction Long Term) Community grant awarded through Columbia </w:t>
            </w:r>
            <w:r>
              <w:rPr>
                <w:color w:val="105C84"/>
                <w:spacing w:val="-2"/>
                <w:sz w:val="18"/>
              </w:rPr>
              <w:t>University</w:t>
            </w:r>
          </w:p>
          <w:p>
            <w:pPr>
              <w:pStyle w:val="TableParagraph"/>
              <w:spacing w:line="232" w:lineRule="auto" w:before="87"/>
              <w:ind w:left="1097"/>
              <w:rPr>
                <w:sz w:val="18"/>
              </w:rPr>
            </w:pPr>
            <w:r>
              <w:rPr>
                <w:color w:val="105C84"/>
                <w:sz w:val="18"/>
              </w:rPr>
              <w:t>Yates County Community Services</w:t>
            </w:r>
            <w:r>
              <w:rPr>
                <w:color w:val="105C84"/>
                <w:spacing w:val="-12"/>
                <w:sz w:val="18"/>
              </w:rPr>
              <w:t> </w:t>
            </w:r>
            <w:r>
              <w:rPr>
                <w:color w:val="105C84"/>
                <w:sz w:val="18"/>
              </w:rPr>
              <w:t>will</w:t>
            </w:r>
            <w:r>
              <w:rPr>
                <w:color w:val="105C84"/>
                <w:spacing w:val="-12"/>
                <w:sz w:val="18"/>
              </w:rPr>
              <w:t> </w:t>
            </w:r>
            <w:r>
              <w:rPr>
                <w:color w:val="105C84"/>
                <w:sz w:val="18"/>
              </w:rPr>
              <w:t>provide</w:t>
            </w:r>
            <w:r>
              <w:rPr>
                <w:color w:val="105C84"/>
                <w:spacing w:val="-12"/>
                <w:sz w:val="18"/>
              </w:rPr>
              <w:t> </w:t>
            </w:r>
            <w:r>
              <w:rPr>
                <w:color w:val="105C84"/>
                <w:sz w:val="18"/>
              </w:rPr>
              <w:t>oversight</w:t>
            </w:r>
            <w:r>
              <w:rPr>
                <w:color w:val="105C84"/>
                <w:spacing w:val="-12"/>
                <w:sz w:val="18"/>
              </w:rPr>
              <w:t> </w:t>
            </w:r>
            <w:r>
              <w:rPr>
                <w:color w:val="105C84"/>
                <w:sz w:val="18"/>
              </w:rPr>
              <w:t>of the grant</w:t>
            </w:r>
          </w:p>
          <w:p>
            <w:pPr>
              <w:pStyle w:val="TableParagraph"/>
              <w:spacing w:line="232" w:lineRule="auto" w:before="87"/>
              <w:ind w:left="1097" w:right="164"/>
              <w:rPr>
                <w:sz w:val="18"/>
              </w:rPr>
            </w:pPr>
            <w:r>
              <w:rPr>
                <w:color w:val="105C84"/>
                <w:sz w:val="18"/>
              </w:rPr>
              <w:t>Mtg.</w:t>
            </w:r>
            <w:r>
              <w:rPr>
                <w:color w:val="105C84"/>
                <w:spacing w:val="-4"/>
                <w:sz w:val="18"/>
              </w:rPr>
              <w:t> </w:t>
            </w:r>
            <w:r>
              <w:rPr>
                <w:color w:val="105C84"/>
                <w:sz w:val="18"/>
              </w:rPr>
              <w:t>was</w:t>
            </w:r>
            <w:r>
              <w:rPr>
                <w:color w:val="105C84"/>
                <w:spacing w:val="-4"/>
                <w:sz w:val="18"/>
              </w:rPr>
              <w:t> </w:t>
            </w:r>
            <w:r>
              <w:rPr>
                <w:color w:val="105C84"/>
                <w:sz w:val="18"/>
              </w:rPr>
              <w:t>held</w:t>
            </w:r>
            <w:r>
              <w:rPr>
                <w:color w:val="105C84"/>
                <w:spacing w:val="-4"/>
                <w:sz w:val="18"/>
              </w:rPr>
              <w:t> </w:t>
            </w:r>
            <w:r>
              <w:rPr>
                <w:color w:val="105C84"/>
                <w:sz w:val="18"/>
              </w:rPr>
              <w:t>7/30/19</w:t>
            </w:r>
            <w:r>
              <w:rPr>
                <w:color w:val="105C84"/>
                <w:spacing w:val="-4"/>
                <w:sz w:val="18"/>
              </w:rPr>
              <w:t> </w:t>
            </w:r>
            <w:r>
              <w:rPr>
                <w:color w:val="105C84"/>
                <w:sz w:val="18"/>
              </w:rPr>
              <w:t>with</w:t>
            </w:r>
            <w:r>
              <w:rPr>
                <w:color w:val="105C84"/>
                <w:spacing w:val="-4"/>
                <w:sz w:val="18"/>
              </w:rPr>
              <w:t> </w:t>
            </w:r>
            <w:r>
              <w:rPr>
                <w:color w:val="105C84"/>
                <w:sz w:val="18"/>
              </w:rPr>
              <w:t>the Columbia University research team, director of community services, DPH, Community partners to outline grant expectations &amp; initial local </w:t>
            </w:r>
            <w:r>
              <w:rPr>
                <w:color w:val="105C84"/>
                <w:spacing w:val="-2"/>
                <w:sz w:val="18"/>
              </w:rPr>
              <w:t>efforts</w:t>
            </w:r>
          </w:p>
          <w:p>
            <w:pPr>
              <w:pStyle w:val="TableParagraph"/>
              <w:spacing w:line="232" w:lineRule="auto" w:before="85"/>
              <w:ind w:left="1097" w:right="357"/>
              <w:rPr>
                <w:sz w:val="18"/>
              </w:rPr>
            </w:pPr>
            <w:r>
              <w:rPr>
                <w:color w:val="105C84"/>
                <w:sz w:val="18"/>
              </w:rPr>
              <w:t>Tour</w:t>
            </w:r>
            <w:r>
              <w:rPr>
                <w:color w:val="105C84"/>
                <w:spacing w:val="-15"/>
                <w:sz w:val="18"/>
              </w:rPr>
              <w:t> </w:t>
            </w:r>
            <w:r>
              <w:rPr>
                <w:color w:val="105C84"/>
                <w:sz w:val="18"/>
              </w:rPr>
              <w:t>of</w:t>
            </w:r>
            <w:r>
              <w:rPr>
                <w:color w:val="105C84"/>
                <w:spacing w:val="-12"/>
                <w:sz w:val="18"/>
              </w:rPr>
              <w:t> </w:t>
            </w:r>
            <w:r>
              <w:rPr>
                <w:color w:val="105C84"/>
                <w:sz w:val="18"/>
              </w:rPr>
              <w:t>jail</w:t>
            </w:r>
            <w:r>
              <w:rPr>
                <w:color w:val="105C84"/>
                <w:spacing w:val="-13"/>
                <w:sz w:val="18"/>
              </w:rPr>
              <w:t> </w:t>
            </w:r>
            <w:r>
              <w:rPr>
                <w:color w:val="105C84"/>
                <w:sz w:val="18"/>
              </w:rPr>
              <w:t>was</w:t>
            </w:r>
            <w:r>
              <w:rPr>
                <w:color w:val="105C84"/>
                <w:spacing w:val="-12"/>
                <w:sz w:val="18"/>
              </w:rPr>
              <w:t> </w:t>
            </w:r>
            <w:r>
              <w:rPr>
                <w:color w:val="105C84"/>
                <w:sz w:val="18"/>
              </w:rPr>
              <w:t>conducted </w:t>
            </w:r>
            <w:r>
              <w:rPr>
                <w:color w:val="105C84"/>
                <w:w w:val="105"/>
                <w:sz w:val="18"/>
              </w:rPr>
              <w:t>and met with treatment</w:t>
            </w:r>
          </w:p>
          <w:p>
            <w:pPr>
              <w:pStyle w:val="TableParagraph"/>
              <w:spacing w:line="232" w:lineRule="auto"/>
              <w:ind w:left="1097"/>
              <w:rPr>
                <w:sz w:val="18"/>
              </w:rPr>
            </w:pPr>
            <w:r>
              <w:rPr>
                <w:color w:val="105C84"/>
                <w:sz w:val="18"/>
              </w:rPr>
              <w:t>representatives</w:t>
            </w:r>
            <w:r>
              <w:rPr>
                <w:color w:val="105C84"/>
                <w:spacing w:val="-15"/>
                <w:sz w:val="18"/>
              </w:rPr>
              <w:t> </w:t>
            </w:r>
            <w:r>
              <w:rPr>
                <w:color w:val="105C84"/>
                <w:sz w:val="18"/>
              </w:rPr>
              <w:t>who</w:t>
            </w:r>
            <w:r>
              <w:rPr>
                <w:color w:val="105C84"/>
                <w:spacing w:val="-12"/>
                <w:sz w:val="18"/>
              </w:rPr>
              <w:t> </w:t>
            </w:r>
            <w:r>
              <w:rPr>
                <w:color w:val="105C84"/>
                <w:sz w:val="18"/>
              </w:rPr>
              <w:t>described current efforts</w:t>
            </w:r>
          </w:p>
          <w:p>
            <w:pPr>
              <w:pStyle w:val="TableParagraph"/>
              <w:spacing w:line="232" w:lineRule="auto" w:before="87"/>
              <w:ind w:left="1097" w:right="164"/>
              <w:rPr>
                <w:sz w:val="18"/>
              </w:rPr>
            </w:pPr>
            <w:r>
              <w:rPr>
                <w:color w:val="105C84"/>
                <w:sz w:val="18"/>
              </w:rPr>
              <w:t>Two</w:t>
            </w:r>
            <w:r>
              <w:rPr>
                <w:color w:val="105C84"/>
                <w:spacing w:val="-13"/>
                <w:sz w:val="18"/>
              </w:rPr>
              <w:t> </w:t>
            </w:r>
            <w:r>
              <w:rPr>
                <w:color w:val="105C84"/>
                <w:sz w:val="18"/>
              </w:rPr>
              <w:t>professional</w:t>
            </w:r>
            <w:r>
              <w:rPr>
                <w:color w:val="105C84"/>
                <w:spacing w:val="-12"/>
                <w:sz w:val="18"/>
              </w:rPr>
              <w:t> </w:t>
            </w:r>
            <w:r>
              <w:rPr>
                <w:color w:val="105C84"/>
                <w:sz w:val="18"/>
              </w:rPr>
              <w:t>positions</w:t>
            </w:r>
            <w:r>
              <w:rPr>
                <w:color w:val="105C84"/>
                <w:spacing w:val="-13"/>
                <w:sz w:val="18"/>
              </w:rPr>
              <w:t> </w:t>
            </w:r>
            <w:r>
              <w:rPr>
                <w:color w:val="105C84"/>
                <w:sz w:val="18"/>
              </w:rPr>
              <w:t>will be funded.</w:t>
            </w:r>
          </w:p>
        </w:tc>
        <w:tc>
          <w:tcPr>
            <w:tcW w:w="2217" w:type="dxa"/>
          </w:tcPr>
          <w:p>
            <w:pPr>
              <w:pStyle w:val="TableParagraph"/>
              <w:spacing w:line="232" w:lineRule="auto" w:before="98"/>
              <w:ind w:left="95" w:right="432"/>
              <w:jc w:val="both"/>
              <w:rPr>
                <w:sz w:val="18"/>
              </w:rPr>
            </w:pPr>
            <w:r>
              <w:rPr>
                <w:color w:val="105C84"/>
                <w:sz w:val="18"/>
              </w:rPr>
              <w:t>Continued work with HEALing</w:t>
            </w:r>
            <w:r>
              <w:rPr>
                <w:color w:val="105C84"/>
                <w:spacing w:val="-13"/>
                <w:sz w:val="18"/>
              </w:rPr>
              <w:t> </w:t>
            </w:r>
            <w:r>
              <w:rPr>
                <w:color w:val="105C84"/>
                <w:sz w:val="18"/>
              </w:rPr>
              <w:t>Community </w:t>
            </w:r>
            <w:r>
              <w:rPr>
                <w:color w:val="105C84"/>
                <w:spacing w:val="-2"/>
                <w:sz w:val="18"/>
              </w:rPr>
              <w:t>grant</w:t>
            </w:r>
          </w:p>
        </w:tc>
        <w:tc>
          <w:tcPr>
            <w:tcW w:w="2275" w:type="dxa"/>
          </w:tcPr>
          <w:p>
            <w:pPr>
              <w:pStyle w:val="TableParagraph"/>
              <w:spacing w:line="232" w:lineRule="auto" w:before="98"/>
              <w:ind w:left="96" w:right="489"/>
              <w:jc w:val="both"/>
              <w:rPr>
                <w:sz w:val="18"/>
              </w:rPr>
            </w:pPr>
            <w:r>
              <w:rPr>
                <w:color w:val="105C84"/>
                <w:sz w:val="18"/>
              </w:rPr>
              <w:t>Continued work with HEALing</w:t>
            </w:r>
            <w:r>
              <w:rPr>
                <w:color w:val="105C84"/>
                <w:spacing w:val="-13"/>
                <w:sz w:val="18"/>
              </w:rPr>
              <w:t> </w:t>
            </w:r>
            <w:r>
              <w:rPr>
                <w:color w:val="105C84"/>
                <w:sz w:val="18"/>
              </w:rPr>
              <w:t>Community </w:t>
            </w:r>
            <w:r>
              <w:rPr>
                <w:color w:val="105C84"/>
                <w:spacing w:val="-2"/>
                <w:sz w:val="18"/>
              </w:rPr>
              <w:t>grant</w:t>
            </w:r>
          </w:p>
        </w:tc>
        <w:tc>
          <w:tcPr>
            <w:tcW w:w="1497" w:type="dxa"/>
          </w:tcPr>
          <w:p>
            <w:pPr>
              <w:pStyle w:val="TableParagraph"/>
              <w:spacing w:line="232" w:lineRule="auto" w:before="98"/>
              <w:ind w:left="96" w:right="70"/>
              <w:rPr>
                <w:sz w:val="18"/>
              </w:rPr>
            </w:pPr>
            <w:r>
              <w:rPr>
                <w:color w:val="105C84"/>
                <w:spacing w:val="-2"/>
                <w:sz w:val="18"/>
              </w:rPr>
              <w:t>Local governmental </w:t>
            </w:r>
            <w:r>
              <w:rPr>
                <w:color w:val="105C84"/>
                <w:spacing w:val="-4"/>
                <w:sz w:val="18"/>
              </w:rPr>
              <w:t>unit</w:t>
            </w:r>
          </w:p>
        </w:tc>
        <w:tc>
          <w:tcPr>
            <w:tcW w:w="1406" w:type="dxa"/>
          </w:tcPr>
          <w:p>
            <w:pPr>
              <w:pStyle w:val="TableParagraph"/>
              <w:spacing w:line="232" w:lineRule="auto" w:before="98"/>
              <w:ind w:left="97" w:right="251"/>
              <w:rPr>
                <w:sz w:val="18"/>
              </w:rPr>
            </w:pPr>
            <w:r>
              <w:rPr>
                <w:color w:val="105C84"/>
                <w:spacing w:val="-4"/>
                <w:sz w:val="18"/>
              </w:rPr>
              <w:t>Yates</w:t>
            </w:r>
            <w:r>
              <w:rPr>
                <w:color w:val="105C84"/>
                <w:spacing w:val="-9"/>
                <w:sz w:val="18"/>
              </w:rPr>
              <w:t> </w:t>
            </w:r>
            <w:r>
              <w:rPr>
                <w:color w:val="105C84"/>
                <w:spacing w:val="-4"/>
                <w:sz w:val="18"/>
              </w:rPr>
              <w:t>County </w:t>
            </w:r>
            <w:r>
              <w:rPr>
                <w:color w:val="105C84"/>
                <w:spacing w:val="-2"/>
                <w:sz w:val="18"/>
              </w:rPr>
              <w:t>Community Services</w:t>
            </w:r>
          </w:p>
        </w:tc>
      </w:tr>
      <w:tr>
        <w:trPr>
          <w:trHeight w:val="840" w:hRule="atLeast"/>
        </w:trPr>
        <w:tc>
          <w:tcPr>
            <w:tcW w:w="1180" w:type="dxa"/>
            <w:vMerge/>
            <w:tcBorders>
              <w:top w:val="nil"/>
            </w:tcBorders>
            <w:shd w:val="clear" w:color="auto" w:fill="E6E7E8"/>
          </w:tcPr>
          <w:p>
            <w:pPr>
              <w:rPr>
                <w:sz w:val="2"/>
                <w:szCs w:val="2"/>
              </w:rPr>
            </w:pPr>
          </w:p>
        </w:tc>
        <w:tc>
          <w:tcPr>
            <w:tcW w:w="1324" w:type="dxa"/>
            <w:vMerge/>
            <w:tcBorders>
              <w:top w:val="nil"/>
            </w:tcBorders>
          </w:tcPr>
          <w:p>
            <w:pPr>
              <w:rPr>
                <w:sz w:val="2"/>
                <w:szCs w:val="2"/>
              </w:rPr>
            </w:pPr>
          </w:p>
        </w:tc>
        <w:tc>
          <w:tcPr>
            <w:tcW w:w="1266" w:type="dxa"/>
            <w:vMerge/>
            <w:tcBorders>
              <w:top w:val="nil"/>
            </w:tcBorders>
          </w:tcPr>
          <w:p>
            <w:pPr>
              <w:rPr>
                <w:sz w:val="2"/>
                <w:szCs w:val="2"/>
              </w:rPr>
            </w:pPr>
          </w:p>
        </w:tc>
        <w:tc>
          <w:tcPr>
            <w:tcW w:w="1727" w:type="dxa"/>
            <w:vMerge/>
            <w:tcBorders>
              <w:top w:val="nil"/>
            </w:tcBorders>
          </w:tcPr>
          <w:p>
            <w:pPr>
              <w:rPr>
                <w:sz w:val="2"/>
                <w:szCs w:val="2"/>
              </w:rPr>
            </w:pPr>
          </w:p>
        </w:tc>
        <w:tc>
          <w:tcPr>
            <w:tcW w:w="1065" w:type="dxa"/>
            <w:vMerge/>
            <w:tcBorders>
              <w:top w:val="nil"/>
            </w:tcBorders>
          </w:tcPr>
          <w:p>
            <w:pPr>
              <w:rPr>
                <w:sz w:val="2"/>
                <w:szCs w:val="2"/>
              </w:rPr>
            </w:pPr>
          </w:p>
        </w:tc>
        <w:tc>
          <w:tcPr>
            <w:tcW w:w="1929" w:type="dxa"/>
            <w:vMerge/>
            <w:tcBorders>
              <w:top w:val="nil"/>
            </w:tcBorders>
          </w:tcPr>
          <w:p>
            <w:pPr>
              <w:rPr>
                <w:sz w:val="2"/>
                <w:szCs w:val="2"/>
              </w:rPr>
            </w:pPr>
          </w:p>
        </w:tc>
        <w:tc>
          <w:tcPr>
            <w:tcW w:w="2656" w:type="dxa"/>
            <w:vMerge/>
            <w:tcBorders>
              <w:top w:val="nil"/>
              <w:right w:val="nil"/>
            </w:tcBorders>
          </w:tcPr>
          <w:p>
            <w:pPr>
              <w:rPr>
                <w:sz w:val="2"/>
                <w:szCs w:val="2"/>
              </w:rPr>
            </w:pPr>
          </w:p>
        </w:tc>
        <w:tc>
          <w:tcPr>
            <w:tcW w:w="3794" w:type="dxa"/>
            <w:tcBorders>
              <w:left w:val="nil"/>
            </w:tcBorders>
          </w:tcPr>
          <w:p>
            <w:pPr>
              <w:pStyle w:val="TableParagraph"/>
              <w:spacing w:line="232" w:lineRule="auto" w:before="98"/>
              <w:ind w:left="1097"/>
              <w:rPr>
                <w:sz w:val="18"/>
              </w:rPr>
            </w:pPr>
            <w:r>
              <w:rPr>
                <w:color w:val="105C84"/>
                <w:sz w:val="18"/>
              </w:rPr>
              <w:t>YCPH</w:t>
            </w:r>
            <w:r>
              <w:rPr>
                <w:color w:val="105C84"/>
                <w:spacing w:val="-7"/>
                <w:sz w:val="18"/>
              </w:rPr>
              <w:t> </w:t>
            </w:r>
            <w:r>
              <w:rPr>
                <w:color w:val="105C84"/>
                <w:sz w:val="18"/>
              </w:rPr>
              <w:t>will</w:t>
            </w:r>
            <w:r>
              <w:rPr>
                <w:color w:val="105C84"/>
                <w:spacing w:val="-7"/>
                <w:sz w:val="18"/>
              </w:rPr>
              <w:t> </w:t>
            </w:r>
            <w:r>
              <w:rPr>
                <w:color w:val="105C84"/>
                <w:sz w:val="18"/>
              </w:rPr>
              <w:t>support</w:t>
            </w:r>
            <w:r>
              <w:rPr>
                <w:color w:val="105C84"/>
                <w:spacing w:val="-7"/>
                <w:sz w:val="18"/>
              </w:rPr>
              <w:t> </w:t>
            </w:r>
            <w:r>
              <w:rPr>
                <w:color w:val="105C84"/>
                <w:sz w:val="18"/>
              </w:rPr>
              <w:t>efforts</w:t>
            </w:r>
            <w:r>
              <w:rPr>
                <w:color w:val="105C84"/>
                <w:spacing w:val="-7"/>
                <w:sz w:val="18"/>
              </w:rPr>
              <w:t> </w:t>
            </w:r>
            <w:r>
              <w:rPr>
                <w:color w:val="105C84"/>
                <w:sz w:val="18"/>
              </w:rPr>
              <w:t>for</w:t>
            </w:r>
            <w:r>
              <w:rPr>
                <w:color w:val="105C84"/>
                <w:spacing w:val="-7"/>
                <w:sz w:val="18"/>
              </w:rPr>
              <w:t> </w:t>
            </w:r>
            <w:r>
              <w:rPr>
                <w:color w:val="105C84"/>
                <w:sz w:val="18"/>
              </w:rPr>
              <w:t>the </w:t>
            </w:r>
            <w:r>
              <w:rPr>
                <w:color w:val="105C84"/>
                <w:spacing w:val="-2"/>
                <w:w w:val="105"/>
                <w:sz w:val="18"/>
              </w:rPr>
              <w:t>grant</w:t>
            </w:r>
          </w:p>
        </w:tc>
        <w:tc>
          <w:tcPr>
            <w:tcW w:w="2217" w:type="dxa"/>
          </w:tcPr>
          <w:p>
            <w:pPr>
              <w:pStyle w:val="TableParagraph"/>
              <w:spacing w:line="232" w:lineRule="auto" w:before="98"/>
              <w:ind w:left="95"/>
              <w:rPr>
                <w:sz w:val="18"/>
              </w:rPr>
            </w:pPr>
            <w:r>
              <w:rPr>
                <w:color w:val="105C84"/>
                <w:sz w:val="18"/>
              </w:rPr>
              <w:t>YCPH</w:t>
            </w:r>
            <w:r>
              <w:rPr>
                <w:color w:val="105C84"/>
                <w:spacing w:val="-13"/>
                <w:sz w:val="18"/>
              </w:rPr>
              <w:t> </w:t>
            </w:r>
            <w:r>
              <w:rPr>
                <w:color w:val="105C84"/>
                <w:sz w:val="18"/>
              </w:rPr>
              <w:t>will</w:t>
            </w:r>
            <w:r>
              <w:rPr>
                <w:color w:val="105C84"/>
                <w:spacing w:val="-12"/>
                <w:sz w:val="18"/>
              </w:rPr>
              <w:t> </w:t>
            </w:r>
            <w:r>
              <w:rPr>
                <w:color w:val="105C84"/>
                <w:sz w:val="18"/>
              </w:rPr>
              <w:t>support</w:t>
            </w:r>
            <w:r>
              <w:rPr>
                <w:color w:val="105C84"/>
                <w:spacing w:val="-13"/>
                <w:sz w:val="18"/>
              </w:rPr>
              <w:t> </w:t>
            </w:r>
            <w:r>
              <w:rPr>
                <w:color w:val="105C84"/>
                <w:sz w:val="18"/>
              </w:rPr>
              <w:t>efforts </w:t>
            </w:r>
            <w:r>
              <w:rPr>
                <w:color w:val="105C84"/>
                <w:w w:val="105"/>
                <w:sz w:val="18"/>
              </w:rPr>
              <w:t>for the grant</w:t>
            </w:r>
          </w:p>
        </w:tc>
        <w:tc>
          <w:tcPr>
            <w:tcW w:w="2275" w:type="dxa"/>
          </w:tcPr>
          <w:p>
            <w:pPr>
              <w:pStyle w:val="TableParagraph"/>
              <w:spacing w:line="232" w:lineRule="auto" w:before="98"/>
              <w:ind w:left="96" w:right="5"/>
              <w:rPr>
                <w:sz w:val="18"/>
              </w:rPr>
            </w:pPr>
            <w:r>
              <w:rPr>
                <w:color w:val="105C84"/>
                <w:sz w:val="18"/>
              </w:rPr>
              <w:t>YCPH</w:t>
            </w:r>
            <w:r>
              <w:rPr>
                <w:color w:val="105C84"/>
                <w:spacing w:val="-13"/>
                <w:sz w:val="18"/>
              </w:rPr>
              <w:t> </w:t>
            </w:r>
            <w:r>
              <w:rPr>
                <w:color w:val="105C84"/>
                <w:sz w:val="18"/>
              </w:rPr>
              <w:t>will</w:t>
            </w:r>
            <w:r>
              <w:rPr>
                <w:color w:val="105C84"/>
                <w:spacing w:val="-12"/>
                <w:sz w:val="18"/>
              </w:rPr>
              <w:t> </w:t>
            </w:r>
            <w:r>
              <w:rPr>
                <w:color w:val="105C84"/>
                <w:sz w:val="18"/>
              </w:rPr>
              <w:t>support</w:t>
            </w:r>
            <w:r>
              <w:rPr>
                <w:color w:val="105C84"/>
                <w:spacing w:val="-13"/>
                <w:sz w:val="18"/>
              </w:rPr>
              <w:t> </w:t>
            </w:r>
            <w:r>
              <w:rPr>
                <w:color w:val="105C84"/>
                <w:sz w:val="18"/>
              </w:rPr>
              <w:t>efforts </w:t>
            </w:r>
            <w:r>
              <w:rPr>
                <w:color w:val="105C84"/>
                <w:w w:val="105"/>
                <w:sz w:val="18"/>
              </w:rPr>
              <w:t>for the grant</w:t>
            </w:r>
          </w:p>
        </w:tc>
        <w:tc>
          <w:tcPr>
            <w:tcW w:w="1497" w:type="dxa"/>
          </w:tcPr>
          <w:p>
            <w:pPr>
              <w:pStyle w:val="TableParagraph"/>
              <w:spacing w:line="232" w:lineRule="auto" w:before="98"/>
              <w:ind w:left="96"/>
              <w:rPr>
                <w:sz w:val="18"/>
              </w:rPr>
            </w:pPr>
            <w:r>
              <w:rPr>
                <w:color w:val="105C84"/>
                <w:spacing w:val="-2"/>
                <w:sz w:val="18"/>
              </w:rPr>
              <w:t>Local</w:t>
            </w:r>
            <w:r>
              <w:rPr>
                <w:color w:val="105C84"/>
                <w:spacing w:val="-11"/>
                <w:sz w:val="18"/>
              </w:rPr>
              <w:t> </w:t>
            </w:r>
            <w:r>
              <w:rPr>
                <w:color w:val="105C84"/>
                <w:spacing w:val="-2"/>
                <w:sz w:val="18"/>
              </w:rPr>
              <w:t>health department</w:t>
            </w:r>
          </w:p>
        </w:tc>
        <w:tc>
          <w:tcPr>
            <w:tcW w:w="1406" w:type="dxa"/>
          </w:tcPr>
          <w:p>
            <w:pPr>
              <w:pStyle w:val="TableParagraph"/>
              <w:spacing w:line="232" w:lineRule="auto" w:before="98"/>
              <w:ind w:left="97" w:right="231"/>
              <w:rPr>
                <w:sz w:val="18"/>
              </w:rPr>
            </w:pPr>
            <w:r>
              <w:rPr>
                <w:color w:val="105C84"/>
                <w:spacing w:val="-2"/>
                <w:sz w:val="18"/>
              </w:rPr>
              <w:t>Yates</w:t>
            </w:r>
            <w:r>
              <w:rPr>
                <w:color w:val="105C84"/>
                <w:spacing w:val="-11"/>
                <w:sz w:val="18"/>
              </w:rPr>
              <w:t> </w:t>
            </w:r>
            <w:r>
              <w:rPr>
                <w:color w:val="105C84"/>
                <w:spacing w:val="-2"/>
                <w:sz w:val="18"/>
              </w:rPr>
              <w:t>County Public</w:t>
            </w:r>
            <w:r>
              <w:rPr>
                <w:color w:val="105C84"/>
                <w:spacing w:val="-1"/>
                <w:sz w:val="18"/>
              </w:rPr>
              <w:t> </w:t>
            </w:r>
            <w:r>
              <w:rPr>
                <w:color w:val="105C84"/>
                <w:spacing w:val="-2"/>
                <w:sz w:val="18"/>
              </w:rPr>
              <w:t>Health</w:t>
            </w:r>
          </w:p>
          <w:p>
            <w:pPr>
              <w:pStyle w:val="TableParagraph"/>
              <w:spacing w:line="200" w:lineRule="exact"/>
              <w:ind w:left="97"/>
              <w:rPr>
                <w:sz w:val="18"/>
              </w:rPr>
            </w:pPr>
            <w:r>
              <w:rPr>
                <w:color w:val="105C84"/>
                <w:spacing w:val="-6"/>
                <w:sz w:val="18"/>
              </w:rPr>
              <w:t>0.01</w:t>
            </w:r>
            <w:r>
              <w:rPr>
                <w:color w:val="105C84"/>
                <w:spacing w:val="-5"/>
                <w:sz w:val="18"/>
              </w:rPr>
              <w:t> FTE</w:t>
            </w:r>
          </w:p>
        </w:tc>
      </w:tr>
    </w:tbl>
    <w:p>
      <w:pPr>
        <w:pStyle w:val="BodyText"/>
        <w:rPr>
          <w:b/>
          <w:sz w:val="26"/>
        </w:rPr>
      </w:pPr>
    </w:p>
    <w:p>
      <w:pPr>
        <w:pStyle w:val="BodyText"/>
        <w:spacing w:before="94"/>
        <w:rPr>
          <w:b/>
          <w:sz w:val="26"/>
        </w:rPr>
      </w:pPr>
    </w:p>
    <w:p>
      <w:pPr>
        <w:tabs>
          <w:tab w:pos="23047" w:val="left" w:leader="none"/>
        </w:tabs>
        <w:spacing w:before="0"/>
        <w:ind w:left="0" w:right="0" w:firstLine="0"/>
        <w:jc w:val="left"/>
        <w:rPr>
          <w:b/>
          <w:sz w:val="26"/>
        </w:rPr>
      </w:pPr>
      <w:r>
        <w:rPr>
          <w:position w:val="-4"/>
        </w:rPr>
        <w:drawing>
          <wp:inline distT="0" distB="0" distL="0" distR="0">
            <wp:extent cx="568172" cy="184683"/>
            <wp:effectExtent l="0" t="0" r="0" b="0"/>
            <wp:docPr id="2115" name="Image 2115"/>
            <wp:cNvGraphicFramePr>
              <a:graphicFrameLocks/>
            </wp:cNvGraphicFramePr>
            <a:graphic>
              <a:graphicData uri="http://schemas.openxmlformats.org/drawingml/2006/picture">
                <pic:pic>
                  <pic:nvPicPr>
                    <pic:cNvPr id="2115" name="Image 2115"/>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13"/>
          <w:sz w:val="20"/>
        </w:rPr>
        <w:t> </w:t>
      </w:r>
      <w:r>
        <w:rPr>
          <w:b/>
          <w:color w:val="939598"/>
          <w:w w:val="105"/>
          <w:sz w:val="26"/>
        </w:rPr>
        <w:t>251</w:t>
      </w:r>
      <w:r>
        <w:rPr>
          <w:b/>
          <w:color w:val="939598"/>
          <w:sz w:val="26"/>
        </w:rPr>
        <w:tab/>
      </w:r>
      <w:r>
        <w:rPr>
          <w:b/>
          <w:color w:val="939598"/>
          <w:spacing w:val="-5"/>
          <w:w w:val="105"/>
          <w:sz w:val="26"/>
        </w:rPr>
        <w:t>252</w:t>
      </w:r>
    </w:p>
    <w:p>
      <w:pPr>
        <w:spacing w:after="0"/>
        <w:jc w:val="left"/>
        <w:rPr>
          <w:b/>
          <w:sz w:val="26"/>
        </w:rPr>
        <w:sectPr>
          <w:pgSz w:w="24480" w:h="15840" w:orient="landscape"/>
          <w:pgMar w:header="0" w:footer="0" w:top="860" w:bottom="0" w:left="0" w:right="720"/>
        </w:sectPr>
      </w:pPr>
    </w:p>
    <w:p>
      <w:pPr>
        <w:spacing w:before="609"/>
        <w:ind w:left="1089" w:right="0" w:firstLine="0"/>
        <w:jc w:val="left"/>
        <w:rPr>
          <w:sz w:val="54"/>
        </w:rPr>
      </w:pPr>
      <w:r>
        <w:rPr>
          <w:sz w:val="54"/>
        </w:rPr>
        <w:drawing>
          <wp:anchor distT="0" distB="0" distL="0" distR="0" allowOverlap="1" layoutInCell="1" locked="0" behindDoc="0" simplePos="0" relativeHeight="16062976">
            <wp:simplePos x="0" y="0"/>
            <wp:positionH relativeFrom="page">
              <wp:posOffset>14292898</wp:posOffset>
            </wp:positionH>
            <wp:positionV relativeFrom="paragraph">
              <wp:posOffset>347471</wp:posOffset>
            </wp:positionV>
            <wp:extent cx="620077" cy="580072"/>
            <wp:effectExtent l="0" t="0" r="0" b="0"/>
            <wp:wrapNone/>
            <wp:docPr id="2116" name="Image 2116"/>
            <wp:cNvGraphicFramePr>
              <a:graphicFrameLocks/>
            </wp:cNvGraphicFramePr>
            <a:graphic>
              <a:graphicData uri="http://schemas.openxmlformats.org/drawingml/2006/picture">
                <pic:pic>
                  <pic:nvPicPr>
                    <pic:cNvPr id="2116" name="Image 2116"/>
                    <pic:cNvPicPr/>
                  </pic:nvPicPr>
                  <pic:blipFill>
                    <a:blip r:embed="rId268" cstate="print"/>
                    <a:stretch>
                      <a:fillRect/>
                    </a:stretch>
                  </pic:blipFill>
                  <pic:spPr>
                    <a:xfrm>
                      <a:off x="0" y="0"/>
                      <a:ext cx="620077" cy="580072"/>
                    </a:xfrm>
                    <a:prstGeom prst="rect">
                      <a:avLst/>
                    </a:prstGeom>
                  </pic:spPr>
                </pic:pic>
              </a:graphicData>
            </a:graphic>
          </wp:anchor>
        </w:drawing>
      </w:r>
      <w:r>
        <w:rPr>
          <w:sz w:val="54"/>
        </w:rPr>
        <w:drawing>
          <wp:anchor distT="0" distB="0" distL="0" distR="0" allowOverlap="1" layoutInCell="1" locked="0" behindDoc="0" simplePos="0" relativeHeight="16063488">
            <wp:simplePos x="0" y="0"/>
            <wp:positionH relativeFrom="page">
              <wp:posOffset>14981556</wp:posOffset>
            </wp:positionH>
            <wp:positionV relativeFrom="page">
              <wp:posOffset>9668103</wp:posOffset>
            </wp:positionV>
            <wp:extent cx="563245" cy="184683"/>
            <wp:effectExtent l="0" t="0" r="0" b="0"/>
            <wp:wrapNone/>
            <wp:docPr id="2117" name="Image 2117"/>
            <wp:cNvGraphicFramePr>
              <a:graphicFrameLocks/>
            </wp:cNvGraphicFramePr>
            <a:graphic>
              <a:graphicData uri="http://schemas.openxmlformats.org/drawingml/2006/picture">
                <pic:pic>
                  <pic:nvPicPr>
                    <pic:cNvPr id="2117" name="Image 2117"/>
                    <pic:cNvPicPr/>
                  </pic:nvPicPr>
                  <pic:blipFill>
                    <a:blip r:embed="rId38" cstate="print"/>
                    <a:stretch>
                      <a:fillRect/>
                    </a:stretch>
                  </pic:blipFill>
                  <pic:spPr>
                    <a:xfrm>
                      <a:off x="0" y="0"/>
                      <a:ext cx="563245" cy="184683"/>
                    </a:xfrm>
                    <a:prstGeom prst="rect">
                      <a:avLst/>
                    </a:prstGeom>
                  </pic:spPr>
                </pic:pic>
              </a:graphicData>
            </a:graphic>
          </wp:anchor>
        </w:drawing>
      </w:r>
      <w:r>
        <w:rPr>
          <w:sz w:val="54"/>
        </w:rPr>
        <w:drawing>
          <wp:anchor distT="0" distB="0" distL="0" distR="0" allowOverlap="1" layoutInCell="1" locked="0" behindDoc="0" simplePos="0" relativeHeight="16064000">
            <wp:simplePos x="0" y="0"/>
            <wp:positionH relativeFrom="page">
              <wp:posOffset>13547852</wp:posOffset>
            </wp:positionH>
            <wp:positionV relativeFrom="paragraph">
              <wp:posOffset>354583</wp:posOffset>
            </wp:positionV>
            <wp:extent cx="610869" cy="494804"/>
            <wp:effectExtent l="0" t="0" r="0" b="0"/>
            <wp:wrapNone/>
            <wp:docPr id="2118" name="Image 2118"/>
            <wp:cNvGraphicFramePr>
              <a:graphicFrameLocks/>
            </wp:cNvGraphicFramePr>
            <a:graphic>
              <a:graphicData uri="http://schemas.openxmlformats.org/drawingml/2006/picture">
                <pic:pic>
                  <pic:nvPicPr>
                    <pic:cNvPr id="2118" name="Image 2118"/>
                    <pic:cNvPicPr/>
                  </pic:nvPicPr>
                  <pic:blipFill>
                    <a:blip r:embed="rId269" cstate="print"/>
                    <a:stretch>
                      <a:fillRect/>
                    </a:stretch>
                  </pic:blipFill>
                  <pic:spPr>
                    <a:xfrm>
                      <a:off x="0" y="0"/>
                      <a:ext cx="610869" cy="494804"/>
                    </a:xfrm>
                    <a:prstGeom prst="rect">
                      <a:avLst/>
                    </a:prstGeom>
                  </pic:spPr>
                </pic:pic>
              </a:graphicData>
            </a:graphic>
          </wp:anchor>
        </w:drawing>
      </w:r>
      <w:r>
        <w:rPr>
          <w:sz w:val="54"/>
        </w:rPr>
        <w:drawing>
          <wp:anchor distT="0" distB="0" distL="0" distR="0" allowOverlap="1" layoutInCell="1" locked="0" behindDoc="0" simplePos="0" relativeHeight="16064512">
            <wp:simplePos x="0" y="0"/>
            <wp:positionH relativeFrom="page">
              <wp:posOffset>12242292</wp:posOffset>
            </wp:positionH>
            <wp:positionV relativeFrom="paragraph">
              <wp:posOffset>309372</wp:posOffset>
            </wp:positionV>
            <wp:extent cx="1141336" cy="338581"/>
            <wp:effectExtent l="0" t="0" r="0" b="0"/>
            <wp:wrapNone/>
            <wp:docPr id="2119" name="Image 2119"/>
            <wp:cNvGraphicFramePr>
              <a:graphicFrameLocks/>
            </wp:cNvGraphicFramePr>
            <a:graphic>
              <a:graphicData uri="http://schemas.openxmlformats.org/drawingml/2006/picture">
                <pic:pic>
                  <pic:nvPicPr>
                    <pic:cNvPr id="2119" name="Image 2119"/>
                    <pic:cNvPicPr/>
                  </pic:nvPicPr>
                  <pic:blipFill>
                    <a:blip r:embed="rId270" cstate="print"/>
                    <a:stretch>
                      <a:fillRect/>
                    </a:stretch>
                  </pic:blipFill>
                  <pic:spPr>
                    <a:xfrm>
                      <a:off x="0" y="0"/>
                      <a:ext cx="1141336" cy="338581"/>
                    </a:xfrm>
                    <a:prstGeom prst="rect">
                      <a:avLst/>
                    </a:prstGeom>
                  </pic:spPr>
                </pic:pic>
              </a:graphicData>
            </a:graphic>
          </wp:anchor>
        </w:drawing>
      </w:r>
      <w:r>
        <w:rPr>
          <w:color w:val="636466"/>
          <w:sz w:val="54"/>
        </w:rPr>
        <w:t>Yates</w:t>
      </w:r>
      <w:r>
        <w:rPr>
          <w:color w:val="636466"/>
          <w:spacing w:val="24"/>
          <w:sz w:val="54"/>
        </w:rPr>
        <w:t> </w:t>
      </w:r>
      <w:r>
        <w:rPr>
          <w:color w:val="636466"/>
          <w:sz w:val="54"/>
        </w:rPr>
        <w:t>County</w:t>
      </w:r>
      <w:r>
        <w:rPr>
          <w:color w:val="636466"/>
          <w:spacing w:val="25"/>
          <w:sz w:val="54"/>
        </w:rPr>
        <w:t> </w:t>
      </w:r>
      <w:r>
        <w:rPr>
          <w:color w:val="636466"/>
          <w:sz w:val="54"/>
        </w:rPr>
        <w:t>Appendix</w:t>
      </w:r>
      <w:r>
        <w:rPr>
          <w:color w:val="636466"/>
          <w:spacing w:val="25"/>
          <w:sz w:val="54"/>
        </w:rPr>
        <w:t> </w:t>
      </w:r>
      <w:r>
        <w:rPr>
          <w:color w:val="636466"/>
          <w:spacing w:val="-10"/>
          <w:sz w:val="54"/>
        </w:rPr>
        <w:t>H</w:t>
      </w:r>
    </w:p>
    <w:p>
      <w:pPr>
        <w:spacing w:line="247" w:lineRule="auto" w:before="236"/>
        <w:ind w:left="1089" w:right="13013" w:firstLine="0"/>
        <w:jc w:val="left"/>
        <w:rPr>
          <w:b/>
          <w:sz w:val="32"/>
        </w:rPr>
      </w:pPr>
      <w:r>
        <w:rPr>
          <w:b/>
          <w:color w:val="82BF6A"/>
          <w:spacing w:val="-4"/>
          <w:sz w:val="32"/>
        </w:rPr>
        <w:t>PRIORITY:</w:t>
      </w:r>
      <w:r>
        <w:rPr>
          <w:b/>
          <w:color w:val="82BF6A"/>
          <w:spacing w:val="-19"/>
          <w:sz w:val="32"/>
        </w:rPr>
        <w:t> </w:t>
      </w:r>
      <w:r>
        <w:rPr>
          <w:b/>
          <w:color w:val="82BF6A"/>
          <w:spacing w:val="-4"/>
          <w:sz w:val="32"/>
        </w:rPr>
        <w:t>PROMOTE</w:t>
      </w:r>
      <w:r>
        <w:rPr>
          <w:b/>
          <w:color w:val="82BF6A"/>
          <w:spacing w:val="-18"/>
          <w:sz w:val="32"/>
        </w:rPr>
        <w:t> </w:t>
      </w:r>
      <w:r>
        <w:rPr>
          <w:b/>
          <w:color w:val="82BF6A"/>
          <w:spacing w:val="-4"/>
          <w:sz w:val="32"/>
        </w:rPr>
        <w:t>WELL-BEING</w:t>
      </w:r>
      <w:r>
        <w:rPr>
          <w:b/>
          <w:color w:val="82BF6A"/>
          <w:spacing w:val="-18"/>
          <w:sz w:val="32"/>
        </w:rPr>
        <w:t> </w:t>
      </w:r>
      <w:r>
        <w:rPr>
          <w:b/>
          <w:color w:val="82BF6A"/>
          <w:spacing w:val="-4"/>
          <w:sz w:val="32"/>
        </w:rPr>
        <w:t>AND</w:t>
      </w:r>
      <w:r>
        <w:rPr>
          <w:b/>
          <w:color w:val="82BF6A"/>
          <w:spacing w:val="-18"/>
          <w:sz w:val="32"/>
        </w:rPr>
        <w:t> </w:t>
      </w:r>
      <w:r>
        <w:rPr>
          <w:b/>
          <w:color w:val="82BF6A"/>
          <w:spacing w:val="-4"/>
          <w:sz w:val="32"/>
        </w:rPr>
        <w:t>PREVENT</w:t>
      </w:r>
      <w:r>
        <w:rPr>
          <w:b/>
          <w:color w:val="82BF6A"/>
          <w:spacing w:val="-19"/>
          <w:sz w:val="32"/>
        </w:rPr>
        <w:t> </w:t>
      </w:r>
      <w:r>
        <w:rPr>
          <w:b/>
          <w:color w:val="82BF6A"/>
          <w:spacing w:val="-4"/>
          <w:sz w:val="32"/>
        </w:rPr>
        <w:t>MENTAL </w:t>
      </w:r>
      <w:r>
        <w:rPr>
          <w:b/>
          <w:color w:val="82BF6A"/>
          <w:sz w:val="32"/>
        </w:rPr>
        <w:t>AND</w:t>
      </w:r>
      <w:r>
        <w:rPr>
          <w:b/>
          <w:color w:val="82BF6A"/>
          <w:spacing w:val="-22"/>
          <w:sz w:val="32"/>
        </w:rPr>
        <w:t> </w:t>
      </w:r>
      <w:r>
        <w:rPr>
          <w:b/>
          <w:color w:val="82BF6A"/>
          <w:sz w:val="32"/>
        </w:rPr>
        <w:t>SUBSTANCE</w:t>
      </w:r>
      <w:r>
        <w:rPr>
          <w:b/>
          <w:color w:val="82BF6A"/>
          <w:spacing w:val="-22"/>
          <w:sz w:val="32"/>
        </w:rPr>
        <w:t> </w:t>
      </w:r>
      <w:r>
        <w:rPr>
          <w:b/>
          <w:color w:val="82BF6A"/>
          <w:sz w:val="32"/>
        </w:rPr>
        <w:t>USE</w:t>
      </w:r>
      <w:r>
        <w:rPr>
          <w:b/>
          <w:color w:val="82BF6A"/>
          <w:spacing w:val="-22"/>
          <w:sz w:val="32"/>
        </w:rPr>
        <w:t> </w:t>
      </w:r>
      <w:r>
        <w:rPr>
          <w:b/>
          <w:color w:val="82BF6A"/>
          <w:sz w:val="32"/>
        </w:rPr>
        <w:t>DISORDERS</w:t>
      </w:r>
    </w:p>
    <w:p>
      <w:pPr>
        <w:pStyle w:val="BodyText"/>
        <w:spacing w:before="152"/>
        <w:rPr>
          <w:b/>
          <w:sz w:val="20"/>
        </w:rPr>
      </w:pPr>
    </w:p>
    <w:tbl>
      <w:tblPr>
        <w:tblW w:w="0" w:type="auto"/>
        <w:jc w:val="left"/>
        <w:tblInd w:w="1099"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1180"/>
        <w:gridCol w:w="1324"/>
        <w:gridCol w:w="1266"/>
        <w:gridCol w:w="1727"/>
        <w:gridCol w:w="1065"/>
        <w:gridCol w:w="1929"/>
        <w:gridCol w:w="2656"/>
        <w:gridCol w:w="3304"/>
        <w:gridCol w:w="2735"/>
        <w:gridCol w:w="2274"/>
        <w:gridCol w:w="1496"/>
        <w:gridCol w:w="1405"/>
      </w:tblGrid>
      <w:tr>
        <w:trPr>
          <w:trHeight w:val="730" w:hRule="atLeast"/>
        </w:trPr>
        <w:tc>
          <w:tcPr>
            <w:tcW w:w="1180" w:type="dxa"/>
            <w:tcBorders>
              <w:right w:val="single" w:sz="4" w:space="0" w:color="FFFFFF"/>
            </w:tcBorders>
            <w:shd w:val="clear" w:color="auto" w:fill="A7A9AC"/>
          </w:tcPr>
          <w:p>
            <w:pPr>
              <w:pStyle w:val="TableParagraph"/>
              <w:spacing w:before="79"/>
              <w:rPr>
                <w:b/>
                <w:sz w:val="18"/>
              </w:rPr>
            </w:pPr>
          </w:p>
          <w:p>
            <w:pPr>
              <w:pStyle w:val="TableParagraph"/>
              <w:ind w:left="79"/>
              <w:rPr>
                <w:b/>
                <w:sz w:val="18"/>
              </w:rPr>
            </w:pPr>
            <w:r>
              <w:rPr>
                <w:b/>
                <w:color w:val="FFFFFF"/>
                <w:spacing w:val="-2"/>
                <w:sz w:val="18"/>
              </w:rPr>
              <w:t>Priority</w:t>
            </w:r>
          </w:p>
        </w:tc>
        <w:tc>
          <w:tcPr>
            <w:tcW w:w="1324" w:type="dxa"/>
            <w:tcBorders>
              <w:left w:val="single" w:sz="4" w:space="0" w:color="FFFFFF"/>
              <w:right w:val="single" w:sz="4" w:space="0" w:color="FFFFFF"/>
            </w:tcBorders>
            <w:shd w:val="clear" w:color="auto" w:fill="A7A9AC"/>
          </w:tcPr>
          <w:p>
            <w:pPr>
              <w:pStyle w:val="TableParagraph"/>
              <w:spacing w:before="79"/>
              <w:rPr>
                <w:b/>
                <w:sz w:val="18"/>
              </w:rPr>
            </w:pPr>
          </w:p>
          <w:p>
            <w:pPr>
              <w:pStyle w:val="TableParagraph"/>
              <w:ind w:left="80"/>
              <w:rPr>
                <w:b/>
                <w:sz w:val="18"/>
              </w:rPr>
            </w:pPr>
            <w:r>
              <w:rPr>
                <w:b/>
                <w:color w:val="FFFFFF"/>
                <w:w w:val="90"/>
                <w:sz w:val="18"/>
              </w:rPr>
              <w:t>Focus</w:t>
            </w:r>
            <w:r>
              <w:rPr>
                <w:b/>
                <w:color w:val="FFFFFF"/>
                <w:spacing w:val="8"/>
                <w:sz w:val="18"/>
              </w:rPr>
              <w:t> </w:t>
            </w:r>
            <w:r>
              <w:rPr>
                <w:b/>
                <w:color w:val="FFFFFF"/>
                <w:spacing w:val="-4"/>
                <w:sz w:val="18"/>
              </w:rPr>
              <w:t>Area</w:t>
            </w:r>
          </w:p>
        </w:tc>
        <w:tc>
          <w:tcPr>
            <w:tcW w:w="1266" w:type="dxa"/>
            <w:tcBorders>
              <w:left w:val="single" w:sz="4" w:space="0" w:color="FFFFFF"/>
              <w:right w:val="single" w:sz="4" w:space="0" w:color="FFFFFF"/>
            </w:tcBorders>
            <w:shd w:val="clear" w:color="auto" w:fill="A7A9AC"/>
          </w:tcPr>
          <w:p>
            <w:pPr>
              <w:pStyle w:val="TableParagraph"/>
              <w:spacing w:line="232" w:lineRule="auto" w:before="191"/>
              <w:ind w:left="81" w:right="235"/>
              <w:rPr>
                <w:b/>
                <w:sz w:val="18"/>
              </w:rPr>
            </w:pPr>
            <w:r>
              <w:rPr>
                <w:b/>
                <w:color w:val="FFFFFF"/>
                <w:spacing w:val="-6"/>
                <w:sz w:val="18"/>
              </w:rPr>
              <w:t>Goal</w:t>
            </w:r>
            <w:r>
              <w:rPr>
                <w:b/>
                <w:color w:val="FFFFFF"/>
                <w:spacing w:val="-7"/>
                <w:sz w:val="18"/>
              </w:rPr>
              <w:t> </w:t>
            </w:r>
            <w:r>
              <w:rPr>
                <w:b/>
                <w:color w:val="FFFFFF"/>
                <w:spacing w:val="-6"/>
                <w:sz w:val="18"/>
              </w:rPr>
              <w:t>Focus </w:t>
            </w:r>
            <w:r>
              <w:rPr>
                <w:b/>
                <w:color w:val="FFFFFF"/>
                <w:spacing w:val="-4"/>
                <w:sz w:val="18"/>
              </w:rPr>
              <w:t>Area</w:t>
            </w:r>
          </w:p>
        </w:tc>
        <w:tc>
          <w:tcPr>
            <w:tcW w:w="1727" w:type="dxa"/>
            <w:tcBorders>
              <w:left w:val="single" w:sz="4" w:space="0" w:color="FFFFFF"/>
              <w:right w:val="single" w:sz="4" w:space="0" w:color="FFFFFF"/>
            </w:tcBorders>
            <w:shd w:val="clear" w:color="auto" w:fill="A7A9AC"/>
          </w:tcPr>
          <w:p>
            <w:pPr>
              <w:pStyle w:val="TableParagraph"/>
              <w:spacing w:before="79"/>
              <w:rPr>
                <w:b/>
                <w:sz w:val="18"/>
              </w:rPr>
            </w:pPr>
          </w:p>
          <w:p>
            <w:pPr>
              <w:pStyle w:val="TableParagraph"/>
              <w:ind w:left="82"/>
              <w:rPr>
                <w:b/>
                <w:sz w:val="18"/>
              </w:rPr>
            </w:pPr>
            <w:r>
              <w:rPr>
                <w:b/>
                <w:color w:val="FFFFFF"/>
                <w:spacing w:val="-2"/>
                <w:sz w:val="18"/>
              </w:rPr>
              <w:t>Objectives</w:t>
            </w:r>
          </w:p>
        </w:tc>
        <w:tc>
          <w:tcPr>
            <w:tcW w:w="1065" w:type="dxa"/>
            <w:tcBorders>
              <w:left w:val="single" w:sz="4" w:space="0" w:color="FFFFFF"/>
              <w:right w:val="single" w:sz="4" w:space="0" w:color="FFFFFF"/>
            </w:tcBorders>
            <w:shd w:val="clear" w:color="auto" w:fill="A7A9AC"/>
          </w:tcPr>
          <w:p>
            <w:pPr>
              <w:pStyle w:val="TableParagraph"/>
              <w:spacing w:before="79"/>
              <w:rPr>
                <w:b/>
                <w:sz w:val="18"/>
              </w:rPr>
            </w:pPr>
          </w:p>
          <w:p>
            <w:pPr>
              <w:pStyle w:val="TableParagraph"/>
              <w:ind w:left="83"/>
              <w:rPr>
                <w:b/>
                <w:sz w:val="18"/>
              </w:rPr>
            </w:pPr>
            <w:r>
              <w:rPr>
                <w:b/>
                <w:color w:val="FFFFFF"/>
                <w:spacing w:val="-2"/>
                <w:sz w:val="18"/>
              </w:rPr>
              <w:t>Disparities</w:t>
            </w:r>
          </w:p>
        </w:tc>
        <w:tc>
          <w:tcPr>
            <w:tcW w:w="1929" w:type="dxa"/>
            <w:tcBorders>
              <w:left w:val="single" w:sz="4" w:space="0" w:color="FFFFFF"/>
              <w:right w:val="single" w:sz="4" w:space="0" w:color="FFFFFF"/>
            </w:tcBorders>
            <w:shd w:val="clear" w:color="auto" w:fill="A7A9AC"/>
          </w:tcPr>
          <w:p>
            <w:pPr>
              <w:pStyle w:val="TableParagraph"/>
              <w:spacing w:before="79"/>
              <w:rPr>
                <w:b/>
                <w:sz w:val="18"/>
              </w:rPr>
            </w:pPr>
          </w:p>
          <w:p>
            <w:pPr>
              <w:pStyle w:val="TableParagraph"/>
              <w:ind w:left="84"/>
              <w:rPr>
                <w:b/>
                <w:sz w:val="18"/>
              </w:rPr>
            </w:pPr>
            <w:r>
              <w:rPr>
                <w:b/>
                <w:color w:val="FFFFFF"/>
                <w:spacing w:val="-2"/>
                <w:sz w:val="18"/>
              </w:rPr>
              <w:t>Interventions</w:t>
            </w:r>
          </w:p>
        </w:tc>
        <w:tc>
          <w:tcPr>
            <w:tcW w:w="5960" w:type="dxa"/>
            <w:gridSpan w:val="2"/>
            <w:tcBorders>
              <w:left w:val="single" w:sz="4" w:space="0" w:color="FFFFFF"/>
              <w:right w:val="single" w:sz="4" w:space="0" w:color="FFFFFF"/>
            </w:tcBorders>
            <w:shd w:val="clear" w:color="auto" w:fill="A7A9AC"/>
          </w:tcPr>
          <w:p>
            <w:pPr>
              <w:pStyle w:val="TableParagraph"/>
              <w:tabs>
                <w:tab w:pos="3748" w:val="left" w:leader="none"/>
              </w:tabs>
              <w:spacing w:line="203" w:lineRule="exact" w:before="186"/>
              <w:ind w:left="94"/>
              <w:rPr>
                <w:b/>
                <w:sz w:val="18"/>
              </w:rPr>
            </w:pPr>
            <w:r>
              <w:rPr>
                <w:b/>
                <w:color w:val="FFFFFF"/>
                <w:spacing w:val="-4"/>
                <w:sz w:val="18"/>
              </w:rPr>
              <w:t>Family</w:t>
            </w:r>
            <w:r>
              <w:rPr>
                <w:b/>
                <w:color w:val="FFFFFF"/>
                <w:spacing w:val="-2"/>
                <w:sz w:val="18"/>
              </w:rPr>
              <w:t> </w:t>
            </w:r>
            <w:r>
              <w:rPr>
                <w:b/>
                <w:color w:val="FFFFFF"/>
                <w:spacing w:val="-5"/>
                <w:sz w:val="18"/>
              </w:rPr>
              <w:t>of</w:t>
            </w:r>
            <w:r>
              <w:rPr>
                <w:b/>
                <w:color w:val="FFFFFF"/>
                <w:sz w:val="18"/>
              </w:rPr>
              <w:tab/>
              <w:t>Projected</w:t>
            </w:r>
            <w:r>
              <w:rPr>
                <w:b/>
                <w:color w:val="FFFFFF"/>
                <w:spacing w:val="-9"/>
                <w:sz w:val="18"/>
              </w:rPr>
              <w:t> </w:t>
            </w:r>
            <w:r>
              <w:rPr>
                <w:b/>
                <w:color w:val="FFFFFF"/>
                <w:sz w:val="18"/>
              </w:rPr>
              <w:t>(or</w:t>
            </w:r>
            <w:r>
              <w:rPr>
                <w:b/>
                <w:color w:val="FFFFFF"/>
                <w:spacing w:val="-8"/>
                <w:sz w:val="18"/>
              </w:rPr>
              <w:t> </w:t>
            </w:r>
            <w:r>
              <w:rPr>
                <w:b/>
                <w:color w:val="FFFFFF"/>
                <w:spacing w:val="-2"/>
                <w:sz w:val="18"/>
              </w:rPr>
              <w:t>completed)</w:t>
            </w:r>
          </w:p>
          <w:p>
            <w:pPr>
              <w:pStyle w:val="TableParagraph"/>
              <w:tabs>
                <w:tab w:pos="3748" w:val="left" w:leader="none"/>
              </w:tabs>
              <w:spacing w:line="203" w:lineRule="exact"/>
              <w:ind w:left="94"/>
              <w:rPr>
                <w:b/>
                <w:sz w:val="18"/>
              </w:rPr>
            </w:pPr>
            <w:r>
              <w:rPr>
                <w:b/>
                <w:color w:val="FFFFFF"/>
                <w:spacing w:val="-2"/>
                <w:sz w:val="18"/>
              </w:rPr>
              <w:t>Measures</w:t>
            </w:r>
            <w:r>
              <w:rPr>
                <w:b/>
                <w:color w:val="FFFFFF"/>
                <w:sz w:val="18"/>
              </w:rPr>
              <w:tab/>
              <w:t>Year</w:t>
            </w:r>
            <w:r>
              <w:rPr>
                <w:b/>
                <w:color w:val="FFFFFF"/>
                <w:spacing w:val="-8"/>
                <w:sz w:val="18"/>
              </w:rPr>
              <w:t> </w:t>
            </w:r>
            <w:r>
              <w:rPr>
                <w:b/>
                <w:color w:val="FFFFFF"/>
                <w:sz w:val="18"/>
              </w:rPr>
              <w:t>1</w:t>
            </w:r>
            <w:r>
              <w:rPr>
                <w:b/>
                <w:color w:val="FFFFFF"/>
                <w:spacing w:val="-7"/>
                <w:sz w:val="18"/>
              </w:rPr>
              <w:t> </w:t>
            </w:r>
            <w:r>
              <w:rPr>
                <w:b/>
                <w:color w:val="FFFFFF"/>
                <w:spacing w:val="-2"/>
                <w:sz w:val="18"/>
              </w:rPr>
              <w:t>Intervention</w:t>
            </w:r>
          </w:p>
        </w:tc>
        <w:tc>
          <w:tcPr>
            <w:tcW w:w="2735" w:type="dxa"/>
            <w:tcBorders>
              <w:left w:val="single" w:sz="4" w:space="0" w:color="FFFFFF"/>
              <w:right w:val="single" w:sz="4" w:space="0" w:color="FFFFFF"/>
            </w:tcBorders>
            <w:shd w:val="clear" w:color="auto" w:fill="A7A9AC"/>
          </w:tcPr>
          <w:p>
            <w:pPr>
              <w:pStyle w:val="TableParagraph"/>
              <w:spacing w:before="78"/>
              <w:rPr>
                <w:b/>
                <w:sz w:val="18"/>
              </w:rPr>
            </w:pPr>
          </w:p>
          <w:p>
            <w:pPr>
              <w:pStyle w:val="TableParagraph"/>
              <w:spacing w:before="1"/>
              <w:ind w:left="86"/>
              <w:rPr>
                <w:b/>
                <w:sz w:val="18"/>
              </w:rPr>
            </w:pPr>
            <w:r>
              <w:rPr>
                <w:b/>
                <w:color w:val="FFFFFF"/>
                <w:spacing w:val="-2"/>
                <w:sz w:val="18"/>
              </w:rPr>
              <w:t>Projected</w:t>
            </w:r>
            <w:r>
              <w:rPr>
                <w:b/>
                <w:color w:val="FFFFFF"/>
                <w:spacing w:val="-6"/>
                <w:sz w:val="18"/>
              </w:rPr>
              <w:t> </w:t>
            </w:r>
            <w:r>
              <w:rPr>
                <w:b/>
                <w:color w:val="FFFFFF"/>
                <w:spacing w:val="-2"/>
                <w:sz w:val="18"/>
              </w:rPr>
              <w:t>Year</w:t>
            </w:r>
            <w:r>
              <w:rPr>
                <w:b/>
                <w:color w:val="FFFFFF"/>
                <w:spacing w:val="-5"/>
                <w:sz w:val="18"/>
              </w:rPr>
              <w:t> </w:t>
            </w:r>
            <w:r>
              <w:rPr>
                <w:b/>
                <w:color w:val="FFFFFF"/>
                <w:spacing w:val="-12"/>
                <w:sz w:val="18"/>
              </w:rPr>
              <w:t>2</w:t>
            </w:r>
          </w:p>
        </w:tc>
        <w:tc>
          <w:tcPr>
            <w:tcW w:w="2274" w:type="dxa"/>
            <w:tcBorders>
              <w:left w:val="single" w:sz="4" w:space="0" w:color="FFFFFF"/>
              <w:right w:val="single" w:sz="4" w:space="0" w:color="FFFFFF"/>
            </w:tcBorders>
            <w:shd w:val="clear" w:color="auto" w:fill="A7A9AC"/>
          </w:tcPr>
          <w:p>
            <w:pPr>
              <w:pStyle w:val="TableParagraph"/>
              <w:spacing w:line="232" w:lineRule="auto" w:before="190"/>
              <w:ind w:left="87" w:right="283"/>
              <w:rPr>
                <w:b/>
                <w:sz w:val="18"/>
              </w:rPr>
            </w:pPr>
            <w:r>
              <w:rPr>
                <w:b/>
                <w:color w:val="FFFFFF"/>
                <w:spacing w:val="-2"/>
                <w:sz w:val="18"/>
              </w:rPr>
              <w:t>Projected</w:t>
            </w:r>
            <w:r>
              <w:rPr>
                <w:b/>
                <w:color w:val="FFFFFF"/>
                <w:spacing w:val="-13"/>
                <w:sz w:val="18"/>
              </w:rPr>
              <w:t> </w:t>
            </w:r>
            <w:r>
              <w:rPr>
                <w:b/>
                <w:color w:val="FFFFFF"/>
                <w:spacing w:val="-2"/>
                <w:sz w:val="18"/>
              </w:rPr>
              <w:t>Year</w:t>
            </w:r>
            <w:r>
              <w:rPr>
                <w:b/>
                <w:color w:val="FFFFFF"/>
                <w:spacing w:val="-10"/>
                <w:sz w:val="18"/>
              </w:rPr>
              <w:t> </w:t>
            </w:r>
            <w:r>
              <w:rPr>
                <w:b/>
                <w:color w:val="FFFFFF"/>
                <w:spacing w:val="-2"/>
                <w:sz w:val="18"/>
              </w:rPr>
              <w:t>3 Interventions</w:t>
            </w:r>
          </w:p>
        </w:tc>
        <w:tc>
          <w:tcPr>
            <w:tcW w:w="1496" w:type="dxa"/>
            <w:tcBorders>
              <w:left w:val="single" w:sz="4" w:space="0" w:color="FFFFFF"/>
            </w:tcBorders>
            <w:shd w:val="clear" w:color="auto" w:fill="A7A9AC"/>
          </w:tcPr>
          <w:p>
            <w:pPr>
              <w:pStyle w:val="TableParagraph"/>
              <w:spacing w:line="232" w:lineRule="auto" w:before="190"/>
              <w:ind w:left="88"/>
              <w:rPr>
                <w:b/>
                <w:sz w:val="18"/>
              </w:rPr>
            </w:pPr>
            <w:r>
              <w:rPr>
                <w:b/>
                <w:color w:val="FFFFFF"/>
                <w:spacing w:val="-2"/>
                <w:sz w:val="18"/>
              </w:rPr>
              <w:t>Implementation Partner</w:t>
            </w:r>
          </w:p>
        </w:tc>
        <w:tc>
          <w:tcPr>
            <w:tcW w:w="1405" w:type="dxa"/>
            <w:shd w:val="clear" w:color="auto" w:fill="A7A9AC"/>
          </w:tcPr>
          <w:p>
            <w:pPr>
              <w:pStyle w:val="TableParagraph"/>
              <w:spacing w:line="232" w:lineRule="auto" w:before="190"/>
              <w:ind w:left="90" w:right="59"/>
              <w:rPr>
                <w:b/>
                <w:sz w:val="18"/>
              </w:rPr>
            </w:pPr>
            <w:r>
              <w:rPr>
                <w:b/>
                <w:color w:val="FFFFFF"/>
                <w:spacing w:val="-4"/>
                <w:sz w:val="18"/>
              </w:rPr>
              <w:t>Partner</w:t>
            </w:r>
            <w:r>
              <w:rPr>
                <w:b/>
                <w:color w:val="FFFFFF"/>
                <w:spacing w:val="-9"/>
                <w:sz w:val="18"/>
              </w:rPr>
              <w:t> </w:t>
            </w:r>
            <w:r>
              <w:rPr>
                <w:b/>
                <w:color w:val="FFFFFF"/>
                <w:spacing w:val="-4"/>
                <w:sz w:val="18"/>
              </w:rPr>
              <w:t>Role(s) </w:t>
            </w:r>
            <w:r>
              <w:rPr>
                <w:b/>
                <w:color w:val="FFFFFF"/>
                <w:sz w:val="18"/>
              </w:rPr>
              <w:t>and</w:t>
            </w:r>
            <w:r>
              <w:rPr>
                <w:b/>
                <w:color w:val="FFFFFF"/>
                <w:spacing w:val="-7"/>
                <w:sz w:val="18"/>
              </w:rPr>
              <w:t> </w:t>
            </w:r>
            <w:r>
              <w:rPr>
                <w:b/>
                <w:color w:val="FFFFFF"/>
                <w:spacing w:val="-8"/>
                <w:sz w:val="18"/>
              </w:rPr>
              <w:t>Resources</w:t>
            </w:r>
          </w:p>
        </w:tc>
      </w:tr>
      <w:tr>
        <w:trPr>
          <w:trHeight w:val="2370" w:hRule="atLeast"/>
        </w:trPr>
        <w:tc>
          <w:tcPr>
            <w:tcW w:w="1180" w:type="dxa"/>
            <w:vMerge w:val="restart"/>
            <w:shd w:val="clear" w:color="auto" w:fill="E6E7E8"/>
          </w:tcPr>
          <w:p>
            <w:pPr>
              <w:pStyle w:val="TableParagraph"/>
              <w:spacing w:line="232" w:lineRule="auto" w:before="100"/>
              <w:ind w:left="89" w:right="87"/>
              <w:rPr>
                <w:sz w:val="18"/>
              </w:rPr>
            </w:pPr>
            <w:r>
              <w:rPr>
                <w:color w:val="105C84"/>
                <w:spacing w:val="-2"/>
                <w:sz w:val="18"/>
              </w:rPr>
              <w:t>Promote Well-Being </w:t>
            </w:r>
            <w:r>
              <w:rPr>
                <w:color w:val="105C84"/>
                <w:sz w:val="18"/>
              </w:rPr>
              <w:t>and</w:t>
            </w:r>
            <w:r>
              <w:rPr>
                <w:color w:val="105C84"/>
                <w:spacing w:val="-13"/>
                <w:sz w:val="18"/>
              </w:rPr>
              <w:t> </w:t>
            </w:r>
            <w:r>
              <w:rPr>
                <w:color w:val="105C84"/>
                <w:sz w:val="18"/>
              </w:rPr>
              <w:t>Prevent Mental and </w:t>
            </w:r>
            <w:r>
              <w:rPr>
                <w:color w:val="105C84"/>
                <w:spacing w:val="-2"/>
                <w:sz w:val="18"/>
              </w:rPr>
              <w:t>Substance </w:t>
            </w:r>
            <w:r>
              <w:rPr>
                <w:color w:val="105C84"/>
                <w:spacing w:val="-4"/>
                <w:sz w:val="18"/>
              </w:rPr>
              <w:t>Use </w:t>
            </w:r>
            <w:r>
              <w:rPr>
                <w:color w:val="105C84"/>
                <w:spacing w:val="-2"/>
                <w:sz w:val="18"/>
              </w:rPr>
              <w:t>Disorders</w:t>
            </w:r>
          </w:p>
        </w:tc>
        <w:tc>
          <w:tcPr>
            <w:tcW w:w="1324" w:type="dxa"/>
            <w:vMerge w:val="restart"/>
          </w:tcPr>
          <w:p>
            <w:pPr>
              <w:pStyle w:val="TableParagraph"/>
              <w:spacing w:line="232" w:lineRule="auto" w:before="100"/>
              <w:ind w:left="90" w:right="312"/>
              <w:rPr>
                <w:sz w:val="18"/>
              </w:rPr>
            </w:pPr>
            <w:r>
              <w:rPr>
                <w:color w:val="105C84"/>
                <w:spacing w:val="-2"/>
                <w:sz w:val="18"/>
              </w:rPr>
              <w:t>Focus</w:t>
            </w:r>
            <w:r>
              <w:rPr>
                <w:color w:val="105C84"/>
                <w:spacing w:val="-11"/>
                <w:sz w:val="18"/>
              </w:rPr>
              <w:t> </w:t>
            </w:r>
            <w:r>
              <w:rPr>
                <w:color w:val="105C84"/>
                <w:spacing w:val="-2"/>
                <w:sz w:val="18"/>
              </w:rPr>
              <w:t>Area </w:t>
            </w:r>
            <w:r>
              <w:rPr>
                <w:color w:val="105C84"/>
                <w:sz w:val="18"/>
              </w:rPr>
              <w:t>2: Prevent Mental</w:t>
            </w:r>
            <w:r>
              <w:rPr>
                <w:color w:val="105C84"/>
                <w:spacing w:val="-13"/>
                <w:sz w:val="18"/>
              </w:rPr>
              <w:t> </w:t>
            </w:r>
            <w:r>
              <w:rPr>
                <w:color w:val="105C84"/>
                <w:sz w:val="18"/>
              </w:rPr>
              <w:t>and </w:t>
            </w:r>
            <w:r>
              <w:rPr>
                <w:color w:val="105C84"/>
                <w:spacing w:val="-2"/>
                <w:sz w:val="18"/>
              </w:rPr>
              <w:t>Substance </w:t>
            </w:r>
            <w:r>
              <w:rPr>
                <w:color w:val="105C84"/>
                <w:spacing w:val="-4"/>
                <w:sz w:val="18"/>
              </w:rPr>
              <w:t>User </w:t>
            </w:r>
            <w:r>
              <w:rPr>
                <w:color w:val="105C84"/>
                <w:spacing w:val="-2"/>
                <w:sz w:val="18"/>
              </w:rPr>
              <w:t>Disorders</w:t>
            </w:r>
          </w:p>
        </w:tc>
        <w:tc>
          <w:tcPr>
            <w:tcW w:w="1266" w:type="dxa"/>
            <w:vMerge w:val="restart"/>
          </w:tcPr>
          <w:p>
            <w:pPr>
              <w:pStyle w:val="TableParagraph"/>
              <w:spacing w:line="232" w:lineRule="auto" w:before="100"/>
              <w:ind w:left="91" w:right="420"/>
              <w:rPr>
                <w:sz w:val="18"/>
              </w:rPr>
            </w:pPr>
            <w:r>
              <w:rPr>
                <w:color w:val="105C84"/>
                <w:sz w:val="18"/>
              </w:rPr>
              <w:t>Goal 2.2 </w:t>
            </w:r>
            <w:r>
              <w:rPr>
                <w:color w:val="105C84"/>
                <w:spacing w:val="-2"/>
                <w:sz w:val="18"/>
              </w:rPr>
              <w:t>Prevent opioid overdose deaths</w:t>
            </w:r>
          </w:p>
        </w:tc>
        <w:tc>
          <w:tcPr>
            <w:tcW w:w="1727" w:type="dxa"/>
            <w:vMerge w:val="restart"/>
          </w:tcPr>
          <w:p>
            <w:pPr>
              <w:pStyle w:val="TableParagraph"/>
              <w:spacing w:line="232" w:lineRule="auto" w:before="100"/>
              <w:ind w:left="92" w:right="290"/>
              <w:rPr>
                <w:sz w:val="18"/>
              </w:rPr>
            </w:pPr>
            <w:r>
              <w:rPr>
                <w:color w:val="105C84"/>
                <w:spacing w:val="-2"/>
                <w:sz w:val="18"/>
              </w:rPr>
              <w:t>2.2.1</w:t>
            </w:r>
            <w:r>
              <w:rPr>
                <w:color w:val="105C84"/>
                <w:spacing w:val="-13"/>
                <w:sz w:val="18"/>
              </w:rPr>
              <w:t> </w:t>
            </w:r>
            <w:r>
              <w:rPr>
                <w:color w:val="105C84"/>
                <w:spacing w:val="-2"/>
                <w:sz w:val="18"/>
              </w:rPr>
              <w:t>Reduce</w:t>
            </w:r>
            <w:r>
              <w:rPr>
                <w:color w:val="105C84"/>
                <w:spacing w:val="-10"/>
                <w:sz w:val="18"/>
              </w:rPr>
              <w:t> </w:t>
            </w:r>
            <w:r>
              <w:rPr>
                <w:color w:val="105C84"/>
                <w:spacing w:val="-2"/>
                <w:sz w:val="18"/>
              </w:rPr>
              <w:t>th</w:t>
            </w:r>
            <w:r>
              <w:rPr>
                <w:color w:val="105C84"/>
                <w:spacing w:val="-2"/>
                <w:sz w:val="18"/>
              </w:rPr>
              <w:t>e</w:t>
            </w:r>
            <w:r>
              <w:rPr>
                <w:color w:val="105C84"/>
                <w:spacing w:val="-2"/>
                <w:sz w:val="18"/>
              </w:rPr>
              <w:t> age-adjusted </w:t>
            </w:r>
            <w:r>
              <w:rPr>
                <w:color w:val="105C84"/>
                <w:sz w:val="18"/>
              </w:rPr>
              <w:t>overdose</w:t>
            </w:r>
            <w:r>
              <w:rPr>
                <w:color w:val="105C84"/>
                <w:spacing w:val="-13"/>
                <w:sz w:val="18"/>
              </w:rPr>
              <w:t> </w:t>
            </w:r>
            <w:r>
              <w:rPr>
                <w:color w:val="105C84"/>
                <w:sz w:val="18"/>
              </w:rPr>
              <w:t>deaths</w:t>
            </w:r>
            <w:r>
              <w:rPr>
                <w:color w:val="105C84"/>
                <w:sz w:val="18"/>
              </w:rPr>
              <w:t> involving any opioid by 7% to</w:t>
            </w:r>
          </w:p>
          <w:p>
            <w:pPr>
              <w:pStyle w:val="TableParagraph"/>
              <w:spacing w:line="194" w:lineRule="exact"/>
              <w:ind w:left="92"/>
              <w:rPr>
                <w:sz w:val="18"/>
              </w:rPr>
            </w:pPr>
            <w:r>
              <w:rPr>
                <w:color w:val="105C84"/>
                <w:sz w:val="18"/>
              </w:rPr>
              <w:t>14.0</w:t>
            </w:r>
            <w:r>
              <w:rPr>
                <w:color w:val="105C84"/>
                <w:spacing w:val="-13"/>
                <w:sz w:val="18"/>
              </w:rPr>
              <w:t> </w:t>
            </w:r>
            <w:r>
              <w:rPr>
                <w:color w:val="105C84"/>
                <w:sz w:val="18"/>
              </w:rPr>
              <w:t>per</w:t>
            </w:r>
            <w:r>
              <w:rPr>
                <w:color w:val="105C84"/>
                <w:spacing w:val="-12"/>
                <w:sz w:val="18"/>
              </w:rPr>
              <w:t> </w:t>
            </w:r>
            <w:r>
              <w:rPr>
                <w:color w:val="105C84"/>
                <w:spacing w:val="-2"/>
                <w:sz w:val="18"/>
              </w:rPr>
              <w:t>100,000</w:t>
            </w:r>
          </w:p>
          <w:p>
            <w:pPr>
              <w:pStyle w:val="TableParagraph"/>
              <w:spacing w:line="203" w:lineRule="exact"/>
              <w:ind w:left="92"/>
              <w:rPr>
                <w:sz w:val="18"/>
              </w:rPr>
            </w:pPr>
            <w:r>
              <w:rPr>
                <w:color w:val="105C84"/>
                <w:spacing w:val="-2"/>
                <w:w w:val="105"/>
                <w:sz w:val="18"/>
              </w:rPr>
              <w:t>population</w:t>
            </w:r>
          </w:p>
        </w:tc>
        <w:tc>
          <w:tcPr>
            <w:tcW w:w="1065" w:type="dxa"/>
            <w:vMerge w:val="restart"/>
          </w:tcPr>
          <w:p>
            <w:pPr>
              <w:pStyle w:val="TableParagraph"/>
              <w:rPr>
                <w:rFonts w:ascii="Times New Roman"/>
                <w:sz w:val="18"/>
              </w:rPr>
            </w:pPr>
          </w:p>
        </w:tc>
        <w:tc>
          <w:tcPr>
            <w:tcW w:w="1929" w:type="dxa"/>
          </w:tcPr>
          <w:p>
            <w:pPr>
              <w:pStyle w:val="TableParagraph"/>
              <w:spacing w:line="232" w:lineRule="auto" w:before="100"/>
              <w:ind w:left="93" w:right="253"/>
              <w:rPr>
                <w:sz w:val="18"/>
              </w:rPr>
            </w:pPr>
            <w:r>
              <w:rPr>
                <w:color w:val="105C84"/>
                <w:sz w:val="18"/>
              </w:rPr>
              <w:t>Local Effort: Received research grant through </w:t>
            </w:r>
            <w:r>
              <w:rPr>
                <w:color w:val="105C84"/>
                <w:spacing w:val="-2"/>
                <w:sz w:val="18"/>
              </w:rPr>
              <w:t>Columbia</w:t>
            </w:r>
            <w:r>
              <w:rPr>
                <w:color w:val="105C84"/>
                <w:spacing w:val="40"/>
                <w:sz w:val="18"/>
              </w:rPr>
              <w:t> </w:t>
            </w:r>
            <w:r>
              <w:rPr>
                <w:color w:val="105C84"/>
                <w:spacing w:val="-2"/>
                <w:sz w:val="18"/>
              </w:rPr>
              <w:t>University:</w:t>
            </w:r>
            <w:r>
              <w:rPr>
                <w:color w:val="105C84"/>
                <w:spacing w:val="-8"/>
                <w:sz w:val="18"/>
              </w:rPr>
              <w:t> </w:t>
            </w:r>
            <w:r>
              <w:rPr>
                <w:color w:val="105C84"/>
                <w:spacing w:val="-2"/>
                <w:sz w:val="18"/>
              </w:rPr>
              <w:t>HEALing</w:t>
            </w:r>
          </w:p>
          <w:p>
            <w:pPr>
              <w:pStyle w:val="TableParagraph"/>
              <w:spacing w:line="232" w:lineRule="auto"/>
              <w:ind w:left="93" w:right="154"/>
              <w:rPr>
                <w:sz w:val="18"/>
              </w:rPr>
            </w:pPr>
            <w:r>
              <w:rPr>
                <w:color w:val="105C84"/>
                <w:sz w:val="18"/>
              </w:rPr>
              <w:t>Communities</w:t>
            </w:r>
            <w:r>
              <w:rPr>
                <w:color w:val="105C84"/>
                <w:spacing w:val="-5"/>
                <w:sz w:val="18"/>
              </w:rPr>
              <w:t> </w:t>
            </w:r>
            <w:r>
              <w:rPr>
                <w:color w:val="105C84"/>
                <w:sz w:val="18"/>
              </w:rPr>
              <w:t>-</w:t>
            </w:r>
            <w:r>
              <w:rPr>
                <w:color w:val="105C84"/>
                <w:spacing w:val="-5"/>
                <w:sz w:val="18"/>
              </w:rPr>
              <w:t> </w:t>
            </w:r>
            <w:r>
              <w:rPr>
                <w:color w:val="105C84"/>
                <w:sz w:val="18"/>
              </w:rPr>
              <w:t>effort to reduce opioid deaths by 40% over 3 years</w:t>
            </w:r>
          </w:p>
        </w:tc>
        <w:tc>
          <w:tcPr>
            <w:tcW w:w="5960" w:type="dxa"/>
            <w:gridSpan w:val="2"/>
          </w:tcPr>
          <w:p>
            <w:pPr>
              <w:pStyle w:val="TableParagraph"/>
              <w:tabs>
                <w:tab w:pos="3748" w:val="left" w:leader="none"/>
              </w:tabs>
              <w:spacing w:line="203" w:lineRule="exact" w:before="95"/>
              <w:ind w:left="94"/>
              <w:rPr>
                <w:sz w:val="18"/>
              </w:rPr>
            </w:pPr>
            <w:r>
              <w:rPr>
                <w:color w:val="105C84"/>
                <w:sz w:val="18"/>
              </w:rPr>
              <w:t>Number</w:t>
            </w:r>
            <w:r>
              <w:rPr>
                <w:color w:val="105C84"/>
                <w:spacing w:val="15"/>
                <w:sz w:val="18"/>
              </w:rPr>
              <w:t> </w:t>
            </w:r>
            <w:r>
              <w:rPr>
                <w:color w:val="105C84"/>
                <w:spacing w:val="-5"/>
                <w:sz w:val="18"/>
              </w:rPr>
              <w:t>of</w:t>
            </w:r>
            <w:r>
              <w:rPr>
                <w:color w:val="105C84"/>
                <w:sz w:val="18"/>
              </w:rPr>
              <w:tab/>
            </w:r>
            <w:r>
              <w:rPr>
                <w:color w:val="105C84"/>
                <w:spacing w:val="-2"/>
                <w:sz w:val="18"/>
              </w:rPr>
              <w:t>Finger</w:t>
            </w:r>
            <w:r>
              <w:rPr>
                <w:color w:val="105C84"/>
                <w:spacing w:val="-10"/>
                <w:sz w:val="18"/>
              </w:rPr>
              <w:t> </w:t>
            </w:r>
            <w:r>
              <w:rPr>
                <w:color w:val="105C84"/>
                <w:spacing w:val="-2"/>
                <w:sz w:val="18"/>
              </w:rPr>
              <w:t>Lakes</w:t>
            </w:r>
            <w:r>
              <w:rPr>
                <w:color w:val="105C84"/>
                <w:spacing w:val="-10"/>
                <w:sz w:val="18"/>
              </w:rPr>
              <w:t> </w:t>
            </w:r>
            <w:r>
              <w:rPr>
                <w:color w:val="105C84"/>
                <w:spacing w:val="-4"/>
                <w:sz w:val="18"/>
              </w:rPr>
              <w:t>Area</w:t>
            </w:r>
          </w:p>
          <w:p>
            <w:pPr>
              <w:pStyle w:val="TableParagraph"/>
              <w:tabs>
                <w:tab w:pos="3748" w:val="left" w:leader="none"/>
              </w:tabs>
              <w:spacing w:line="200" w:lineRule="exact"/>
              <w:ind w:left="94"/>
              <w:rPr>
                <w:sz w:val="18"/>
              </w:rPr>
            </w:pPr>
            <w:r>
              <w:rPr>
                <w:color w:val="105C84"/>
                <w:sz w:val="18"/>
              </w:rPr>
              <w:t>meetings</w:t>
            </w:r>
            <w:r>
              <w:rPr>
                <w:color w:val="105C84"/>
                <w:spacing w:val="4"/>
                <w:sz w:val="18"/>
              </w:rPr>
              <w:t> </w:t>
            </w:r>
            <w:r>
              <w:rPr>
                <w:color w:val="105C84"/>
                <w:spacing w:val="-2"/>
                <w:sz w:val="18"/>
              </w:rPr>
              <w:t>held.</w:t>
            </w:r>
            <w:r>
              <w:rPr>
                <w:color w:val="105C84"/>
                <w:sz w:val="18"/>
              </w:rPr>
              <w:tab/>
              <w:t>Counseling</w:t>
            </w:r>
            <w:r>
              <w:rPr>
                <w:color w:val="105C84"/>
                <w:spacing w:val="-4"/>
                <w:sz w:val="18"/>
              </w:rPr>
              <w:t> </w:t>
            </w:r>
            <w:r>
              <w:rPr>
                <w:color w:val="105C84"/>
                <w:sz w:val="18"/>
              </w:rPr>
              <w:t>and</w:t>
            </w:r>
            <w:r>
              <w:rPr>
                <w:color w:val="105C84"/>
                <w:spacing w:val="-3"/>
                <w:sz w:val="18"/>
              </w:rPr>
              <w:t> </w:t>
            </w:r>
            <w:r>
              <w:rPr>
                <w:color w:val="105C84"/>
                <w:spacing w:val="-2"/>
                <w:sz w:val="18"/>
              </w:rPr>
              <w:t>Recovery</w:t>
            </w:r>
          </w:p>
          <w:p>
            <w:pPr>
              <w:pStyle w:val="TableParagraph"/>
              <w:tabs>
                <w:tab w:pos="3748" w:val="left" w:leader="none"/>
              </w:tabs>
              <w:spacing w:line="200" w:lineRule="exact"/>
              <w:ind w:left="94"/>
              <w:rPr>
                <w:sz w:val="18"/>
              </w:rPr>
            </w:pPr>
            <w:r>
              <w:rPr>
                <w:color w:val="105C84"/>
                <w:sz w:val="18"/>
              </w:rPr>
              <w:t>Number</w:t>
            </w:r>
            <w:r>
              <w:rPr>
                <w:color w:val="105C84"/>
                <w:spacing w:val="7"/>
                <w:sz w:val="18"/>
              </w:rPr>
              <w:t> </w:t>
            </w:r>
            <w:r>
              <w:rPr>
                <w:color w:val="105C84"/>
                <w:sz w:val="18"/>
              </w:rPr>
              <w:t>and</w:t>
            </w:r>
            <w:r>
              <w:rPr>
                <w:color w:val="105C84"/>
                <w:spacing w:val="7"/>
                <w:sz w:val="18"/>
              </w:rPr>
              <w:t> </w:t>
            </w:r>
            <w:r>
              <w:rPr>
                <w:color w:val="105C84"/>
                <w:spacing w:val="-2"/>
                <w:sz w:val="18"/>
              </w:rPr>
              <w:t>types</w:t>
            </w:r>
            <w:r>
              <w:rPr>
                <w:color w:val="105C84"/>
                <w:sz w:val="18"/>
              </w:rPr>
              <w:tab/>
            </w:r>
            <w:r>
              <w:rPr>
                <w:color w:val="105C84"/>
                <w:spacing w:val="-6"/>
                <w:sz w:val="18"/>
              </w:rPr>
              <w:t>Agency</w:t>
            </w:r>
            <w:r>
              <w:rPr>
                <w:color w:val="105C84"/>
                <w:spacing w:val="4"/>
                <w:sz w:val="18"/>
              </w:rPr>
              <w:t> </w:t>
            </w:r>
            <w:r>
              <w:rPr>
                <w:color w:val="105C84"/>
                <w:spacing w:val="-6"/>
                <w:sz w:val="18"/>
              </w:rPr>
              <w:t>(FLACRA)</w:t>
            </w:r>
            <w:r>
              <w:rPr>
                <w:color w:val="105C84"/>
                <w:spacing w:val="5"/>
                <w:sz w:val="18"/>
              </w:rPr>
              <w:t> </w:t>
            </w:r>
            <w:r>
              <w:rPr>
                <w:color w:val="105C84"/>
                <w:spacing w:val="-6"/>
                <w:sz w:val="18"/>
              </w:rPr>
              <w:t>will</w:t>
            </w:r>
          </w:p>
          <w:p>
            <w:pPr>
              <w:pStyle w:val="TableParagraph"/>
              <w:tabs>
                <w:tab w:pos="3748" w:val="left" w:leader="none"/>
              </w:tabs>
              <w:spacing w:line="200" w:lineRule="exact"/>
              <w:ind w:left="94"/>
              <w:rPr>
                <w:sz w:val="18"/>
              </w:rPr>
            </w:pPr>
            <w:r>
              <w:rPr>
                <w:color w:val="105C84"/>
                <w:sz w:val="18"/>
              </w:rPr>
              <w:t>of</w:t>
            </w:r>
            <w:r>
              <w:rPr>
                <w:color w:val="105C84"/>
                <w:spacing w:val="-3"/>
                <w:sz w:val="18"/>
              </w:rPr>
              <w:t> </w:t>
            </w:r>
            <w:r>
              <w:rPr>
                <w:color w:val="105C84"/>
                <w:sz w:val="18"/>
              </w:rPr>
              <w:t>partners</w:t>
            </w:r>
            <w:r>
              <w:rPr>
                <w:color w:val="105C84"/>
                <w:spacing w:val="-3"/>
                <w:sz w:val="18"/>
              </w:rPr>
              <w:t> </w:t>
            </w:r>
            <w:r>
              <w:rPr>
                <w:color w:val="105C84"/>
                <w:spacing w:val="-2"/>
                <w:sz w:val="18"/>
              </w:rPr>
              <w:t>involved</w:t>
            </w:r>
            <w:r>
              <w:rPr>
                <w:color w:val="105C84"/>
                <w:sz w:val="18"/>
              </w:rPr>
              <w:tab/>
              <w:t>participate</w:t>
            </w:r>
            <w:r>
              <w:rPr>
                <w:color w:val="105C84"/>
                <w:spacing w:val="11"/>
                <w:sz w:val="18"/>
              </w:rPr>
              <w:t> </w:t>
            </w:r>
            <w:r>
              <w:rPr>
                <w:color w:val="105C84"/>
                <w:sz w:val="18"/>
              </w:rPr>
              <w:t>and</w:t>
            </w:r>
            <w:r>
              <w:rPr>
                <w:color w:val="105C84"/>
                <w:spacing w:val="12"/>
                <w:sz w:val="18"/>
              </w:rPr>
              <w:t> </w:t>
            </w:r>
            <w:r>
              <w:rPr>
                <w:color w:val="105C84"/>
                <w:spacing w:val="-2"/>
                <w:sz w:val="18"/>
              </w:rPr>
              <w:t>support</w:t>
            </w:r>
          </w:p>
          <w:p>
            <w:pPr>
              <w:pStyle w:val="TableParagraph"/>
              <w:tabs>
                <w:tab w:pos="3748" w:val="left" w:leader="none"/>
              </w:tabs>
              <w:spacing w:line="235" w:lineRule="auto"/>
              <w:ind w:left="94" w:right="648"/>
              <w:rPr>
                <w:sz w:val="18"/>
              </w:rPr>
            </w:pPr>
            <w:r>
              <w:rPr>
                <w:color w:val="105C84"/>
                <w:position w:val="-8"/>
                <w:sz w:val="18"/>
              </w:rPr>
              <w:t>Current efforts in</w:t>
              <w:tab/>
            </w:r>
            <w:r>
              <w:rPr>
                <w:color w:val="105C84"/>
                <w:sz w:val="18"/>
              </w:rPr>
              <w:t>efforts</w:t>
            </w:r>
            <w:r>
              <w:rPr>
                <w:color w:val="105C84"/>
                <w:spacing w:val="-3"/>
                <w:sz w:val="18"/>
              </w:rPr>
              <w:t> </w:t>
            </w:r>
            <w:r>
              <w:rPr>
                <w:color w:val="105C84"/>
                <w:sz w:val="18"/>
              </w:rPr>
              <w:t>for</w:t>
            </w:r>
            <w:r>
              <w:rPr>
                <w:color w:val="105C84"/>
                <w:spacing w:val="-3"/>
                <w:sz w:val="18"/>
              </w:rPr>
              <w:t> </w:t>
            </w:r>
            <w:r>
              <w:rPr>
                <w:color w:val="105C84"/>
                <w:sz w:val="18"/>
              </w:rPr>
              <w:t>the</w:t>
            </w:r>
            <w:r>
              <w:rPr>
                <w:color w:val="105C84"/>
                <w:spacing w:val="-3"/>
                <w:sz w:val="18"/>
              </w:rPr>
              <w:t> </w:t>
            </w:r>
            <w:r>
              <w:rPr>
                <w:color w:val="105C84"/>
                <w:sz w:val="18"/>
              </w:rPr>
              <w:t>grant place to decrease</w:t>
            </w:r>
          </w:p>
          <w:p>
            <w:pPr>
              <w:pStyle w:val="TableParagraph"/>
              <w:spacing w:line="200" w:lineRule="exact"/>
              <w:ind w:left="94"/>
              <w:rPr>
                <w:sz w:val="18"/>
              </w:rPr>
            </w:pPr>
            <w:r>
              <w:rPr>
                <w:color w:val="105C84"/>
                <w:w w:val="105"/>
                <w:sz w:val="18"/>
              </w:rPr>
              <w:t>opioid</w:t>
            </w:r>
            <w:r>
              <w:rPr>
                <w:color w:val="105C84"/>
                <w:spacing w:val="7"/>
                <w:w w:val="105"/>
                <w:sz w:val="18"/>
              </w:rPr>
              <w:t> </w:t>
            </w:r>
            <w:r>
              <w:rPr>
                <w:color w:val="105C84"/>
                <w:spacing w:val="-5"/>
                <w:w w:val="105"/>
                <w:sz w:val="18"/>
              </w:rPr>
              <w:t>use</w:t>
            </w:r>
          </w:p>
          <w:p>
            <w:pPr>
              <w:pStyle w:val="TableParagraph"/>
              <w:spacing w:line="232" w:lineRule="auto" w:before="86"/>
              <w:ind w:left="94" w:right="3939"/>
              <w:rPr>
                <w:sz w:val="18"/>
              </w:rPr>
            </w:pPr>
            <w:r>
              <w:rPr>
                <w:color w:val="105C84"/>
                <w:w w:val="105"/>
                <w:sz w:val="18"/>
              </w:rPr>
              <w:t>Improvement</w:t>
            </w:r>
            <w:r>
              <w:rPr>
                <w:color w:val="105C84"/>
                <w:spacing w:val="-1"/>
                <w:w w:val="105"/>
                <w:sz w:val="18"/>
              </w:rPr>
              <w:t> </w:t>
            </w:r>
            <w:r>
              <w:rPr>
                <w:color w:val="105C84"/>
                <w:w w:val="105"/>
                <w:sz w:val="18"/>
              </w:rPr>
              <w:t>in number</w:t>
            </w:r>
            <w:r>
              <w:rPr>
                <w:color w:val="105C84"/>
                <w:spacing w:val="-14"/>
                <w:w w:val="105"/>
                <w:sz w:val="18"/>
              </w:rPr>
              <w:t> </w:t>
            </w:r>
            <w:r>
              <w:rPr>
                <w:color w:val="105C84"/>
                <w:w w:val="105"/>
                <w:sz w:val="18"/>
              </w:rPr>
              <w:t>of</w:t>
            </w:r>
            <w:r>
              <w:rPr>
                <w:color w:val="105C84"/>
                <w:spacing w:val="-13"/>
                <w:w w:val="105"/>
                <w:sz w:val="18"/>
              </w:rPr>
              <w:t> </w:t>
            </w:r>
            <w:r>
              <w:rPr>
                <w:color w:val="105C84"/>
                <w:w w:val="105"/>
                <w:sz w:val="18"/>
              </w:rPr>
              <w:t>opioid </w:t>
            </w:r>
            <w:r>
              <w:rPr>
                <w:color w:val="105C84"/>
                <w:spacing w:val="-2"/>
                <w:w w:val="105"/>
                <w:sz w:val="18"/>
              </w:rPr>
              <w:t>deaths</w:t>
            </w:r>
          </w:p>
        </w:tc>
        <w:tc>
          <w:tcPr>
            <w:tcW w:w="2735" w:type="dxa"/>
          </w:tcPr>
          <w:p>
            <w:pPr>
              <w:pStyle w:val="TableParagraph"/>
              <w:spacing w:line="232" w:lineRule="auto" w:before="100"/>
              <w:ind w:left="96"/>
              <w:rPr>
                <w:sz w:val="18"/>
              </w:rPr>
            </w:pPr>
            <w:r>
              <w:rPr>
                <w:color w:val="105C84"/>
                <w:sz w:val="18"/>
              </w:rPr>
              <w:t>FLACRA</w:t>
            </w:r>
            <w:r>
              <w:rPr>
                <w:color w:val="105C84"/>
                <w:spacing w:val="-13"/>
                <w:sz w:val="18"/>
              </w:rPr>
              <w:t> </w:t>
            </w:r>
            <w:r>
              <w:rPr>
                <w:color w:val="105C84"/>
                <w:sz w:val="18"/>
              </w:rPr>
              <w:t>will</w:t>
            </w:r>
            <w:r>
              <w:rPr>
                <w:color w:val="105C84"/>
                <w:spacing w:val="-12"/>
                <w:sz w:val="18"/>
              </w:rPr>
              <w:t> </w:t>
            </w:r>
            <w:r>
              <w:rPr>
                <w:color w:val="105C84"/>
                <w:sz w:val="18"/>
              </w:rPr>
              <w:t>participate</w:t>
            </w:r>
            <w:r>
              <w:rPr>
                <w:color w:val="105C84"/>
                <w:spacing w:val="-13"/>
                <w:sz w:val="18"/>
              </w:rPr>
              <w:t> </w:t>
            </w:r>
            <w:r>
              <w:rPr>
                <w:color w:val="105C84"/>
                <w:sz w:val="18"/>
              </w:rPr>
              <w:t>and support</w:t>
            </w:r>
            <w:r>
              <w:rPr>
                <w:color w:val="105C84"/>
                <w:spacing w:val="5"/>
                <w:sz w:val="18"/>
              </w:rPr>
              <w:t> </w:t>
            </w:r>
            <w:r>
              <w:rPr>
                <w:color w:val="105C84"/>
                <w:sz w:val="18"/>
              </w:rPr>
              <w:t>efforts</w:t>
            </w:r>
            <w:r>
              <w:rPr>
                <w:color w:val="105C84"/>
                <w:spacing w:val="5"/>
                <w:sz w:val="18"/>
              </w:rPr>
              <w:t> </w:t>
            </w:r>
            <w:r>
              <w:rPr>
                <w:color w:val="105C84"/>
                <w:sz w:val="18"/>
              </w:rPr>
              <w:t>for</w:t>
            </w:r>
            <w:r>
              <w:rPr>
                <w:color w:val="105C84"/>
                <w:spacing w:val="5"/>
                <w:sz w:val="18"/>
              </w:rPr>
              <w:t> </w:t>
            </w:r>
            <w:r>
              <w:rPr>
                <w:color w:val="105C84"/>
                <w:sz w:val="18"/>
              </w:rPr>
              <w:t>the</w:t>
            </w:r>
            <w:r>
              <w:rPr>
                <w:color w:val="105C84"/>
                <w:spacing w:val="5"/>
                <w:sz w:val="18"/>
              </w:rPr>
              <w:t> </w:t>
            </w:r>
            <w:r>
              <w:rPr>
                <w:color w:val="105C84"/>
                <w:spacing w:val="-2"/>
                <w:sz w:val="18"/>
              </w:rPr>
              <w:t>grant</w:t>
            </w:r>
          </w:p>
        </w:tc>
        <w:tc>
          <w:tcPr>
            <w:tcW w:w="2274" w:type="dxa"/>
          </w:tcPr>
          <w:p>
            <w:pPr>
              <w:pStyle w:val="TableParagraph"/>
              <w:spacing w:line="232" w:lineRule="auto" w:before="100"/>
              <w:ind w:left="97" w:right="283"/>
              <w:rPr>
                <w:sz w:val="18"/>
              </w:rPr>
            </w:pPr>
            <w:r>
              <w:rPr>
                <w:color w:val="105C84"/>
                <w:sz w:val="18"/>
              </w:rPr>
              <w:t>FLACRA</w:t>
            </w:r>
            <w:r>
              <w:rPr>
                <w:color w:val="105C84"/>
                <w:spacing w:val="-15"/>
                <w:sz w:val="18"/>
              </w:rPr>
              <w:t> </w:t>
            </w:r>
            <w:r>
              <w:rPr>
                <w:color w:val="105C84"/>
                <w:sz w:val="18"/>
              </w:rPr>
              <w:t>will</w:t>
            </w:r>
            <w:r>
              <w:rPr>
                <w:color w:val="105C84"/>
                <w:spacing w:val="-12"/>
                <w:sz w:val="18"/>
              </w:rPr>
              <w:t> </w:t>
            </w:r>
            <w:r>
              <w:rPr>
                <w:color w:val="105C84"/>
                <w:sz w:val="18"/>
              </w:rPr>
              <w:t>participate </w:t>
            </w:r>
            <w:r>
              <w:rPr>
                <w:color w:val="105C84"/>
                <w:w w:val="105"/>
                <w:sz w:val="18"/>
              </w:rPr>
              <w:t>and</w:t>
            </w:r>
            <w:r>
              <w:rPr>
                <w:color w:val="105C84"/>
                <w:spacing w:val="-3"/>
                <w:w w:val="105"/>
                <w:sz w:val="18"/>
              </w:rPr>
              <w:t> </w:t>
            </w:r>
            <w:r>
              <w:rPr>
                <w:color w:val="105C84"/>
                <w:w w:val="105"/>
                <w:sz w:val="18"/>
              </w:rPr>
              <w:t>support</w:t>
            </w:r>
            <w:r>
              <w:rPr>
                <w:color w:val="105C84"/>
                <w:spacing w:val="-3"/>
                <w:w w:val="105"/>
                <w:sz w:val="18"/>
              </w:rPr>
              <w:t> </w:t>
            </w:r>
            <w:r>
              <w:rPr>
                <w:color w:val="105C84"/>
                <w:w w:val="105"/>
                <w:sz w:val="18"/>
              </w:rPr>
              <w:t>efforts</w:t>
            </w:r>
            <w:r>
              <w:rPr>
                <w:color w:val="105C84"/>
                <w:spacing w:val="-3"/>
                <w:w w:val="105"/>
                <w:sz w:val="18"/>
              </w:rPr>
              <w:t> </w:t>
            </w:r>
            <w:r>
              <w:rPr>
                <w:color w:val="105C84"/>
                <w:w w:val="105"/>
                <w:sz w:val="18"/>
              </w:rPr>
              <w:t>for the</w:t>
            </w:r>
            <w:r>
              <w:rPr>
                <w:color w:val="105C84"/>
                <w:spacing w:val="-1"/>
                <w:w w:val="105"/>
                <w:sz w:val="18"/>
              </w:rPr>
              <w:t> </w:t>
            </w:r>
            <w:r>
              <w:rPr>
                <w:color w:val="105C84"/>
                <w:w w:val="105"/>
                <w:sz w:val="18"/>
              </w:rPr>
              <w:t>grant</w:t>
            </w:r>
          </w:p>
        </w:tc>
        <w:tc>
          <w:tcPr>
            <w:tcW w:w="1496" w:type="dxa"/>
          </w:tcPr>
          <w:p>
            <w:pPr>
              <w:pStyle w:val="TableParagraph"/>
              <w:spacing w:line="232" w:lineRule="auto" w:before="100"/>
              <w:ind w:left="98"/>
              <w:rPr>
                <w:sz w:val="18"/>
              </w:rPr>
            </w:pPr>
            <w:r>
              <w:rPr>
                <w:color w:val="105C84"/>
                <w:spacing w:val="-2"/>
                <w:sz w:val="18"/>
              </w:rPr>
              <w:t>Community-based organizations</w:t>
            </w:r>
          </w:p>
        </w:tc>
        <w:tc>
          <w:tcPr>
            <w:tcW w:w="1405" w:type="dxa"/>
          </w:tcPr>
          <w:p>
            <w:pPr>
              <w:pStyle w:val="TableParagraph"/>
              <w:spacing w:before="95"/>
              <w:ind w:left="99"/>
              <w:rPr>
                <w:sz w:val="18"/>
              </w:rPr>
            </w:pPr>
            <w:r>
              <w:rPr>
                <w:color w:val="105C84"/>
                <w:spacing w:val="-2"/>
                <w:sz w:val="18"/>
              </w:rPr>
              <w:t>FLACRA</w:t>
            </w:r>
          </w:p>
        </w:tc>
      </w:tr>
      <w:tr>
        <w:trPr>
          <w:trHeight w:val="3330" w:hRule="atLeast"/>
        </w:trPr>
        <w:tc>
          <w:tcPr>
            <w:tcW w:w="1180" w:type="dxa"/>
            <w:vMerge/>
            <w:tcBorders>
              <w:top w:val="nil"/>
            </w:tcBorders>
            <w:shd w:val="clear" w:color="auto" w:fill="E6E7E8"/>
          </w:tcPr>
          <w:p>
            <w:pPr>
              <w:rPr>
                <w:sz w:val="2"/>
                <w:szCs w:val="2"/>
              </w:rPr>
            </w:pPr>
          </w:p>
        </w:tc>
        <w:tc>
          <w:tcPr>
            <w:tcW w:w="1324" w:type="dxa"/>
            <w:vMerge/>
            <w:tcBorders>
              <w:top w:val="nil"/>
            </w:tcBorders>
          </w:tcPr>
          <w:p>
            <w:pPr>
              <w:rPr>
                <w:sz w:val="2"/>
                <w:szCs w:val="2"/>
              </w:rPr>
            </w:pPr>
          </w:p>
        </w:tc>
        <w:tc>
          <w:tcPr>
            <w:tcW w:w="1266" w:type="dxa"/>
            <w:vMerge/>
            <w:tcBorders>
              <w:top w:val="nil"/>
            </w:tcBorders>
          </w:tcPr>
          <w:p>
            <w:pPr>
              <w:rPr>
                <w:sz w:val="2"/>
                <w:szCs w:val="2"/>
              </w:rPr>
            </w:pPr>
          </w:p>
        </w:tc>
        <w:tc>
          <w:tcPr>
            <w:tcW w:w="1727" w:type="dxa"/>
            <w:vMerge/>
            <w:tcBorders>
              <w:top w:val="nil"/>
            </w:tcBorders>
          </w:tcPr>
          <w:p>
            <w:pPr>
              <w:rPr>
                <w:sz w:val="2"/>
                <w:szCs w:val="2"/>
              </w:rPr>
            </w:pPr>
          </w:p>
        </w:tc>
        <w:tc>
          <w:tcPr>
            <w:tcW w:w="1065" w:type="dxa"/>
            <w:vMerge/>
            <w:tcBorders>
              <w:top w:val="nil"/>
            </w:tcBorders>
          </w:tcPr>
          <w:p>
            <w:pPr>
              <w:rPr>
                <w:sz w:val="2"/>
                <w:szCs w:val="2"/>
              </w:rPr>
            </w:pPr>
          </w:p>
        </w:tc>
        <w:tc>
          <w:tcPr>
            <w:tcW w:w="1929" w:type="dxa"/>
            <w:vMerge w:val="restart"/>
          </w:tcPr>
          <w:p>
            <w:pPr>
              <w:pStyle w:val="TableParagraph"/>
              <w:spacing w:line="232" w:lineRule="auto" w:before="100"/>
              <w:ind w:left="93" w:right="95"/>
              <w:rPr>
                <w:sz w:val="18"/>
              </w:rPr>
            </w:pPr>
            <w:r>
              <w:rPr>
                <w:color w:val="105C84"/>
                <w:sz w:val="18"/>
              </w:rPr>
              <w:t>2.2.5 Establish additional </w:t>
            </w:r>
            <w:r>
              <w:rPr>
                <w:color w:val="105C84"/>
                <w:sz w:val="18"/>
              </w:rPr>
              <w:t>permanent</w:t>
            </w:r>
            <w:r>
              <w:rPr>
                <w:color w:val="105C84"/>
                <w:sz w:val="18"/>
              </w:rPr>
              <w:t> safe</w:t>
            </w:r>
            <w:r>
              <w:rPr>
                <w:color w:val="105C84"/>
                <w:spacing w:val="-13"/>
                <w:sz w:val="18"/>
              </w:rPr>
              <w:t> </w:t>
            </w:r>
            <w:r>
              <w:rPr>
                <w:color w:val="105C84"/>
                <w:sz w:val="18"/>
              </w:rPr>
              <w:t>disposal</w:t>
            </w:r>
            <w:r>
              <w:rPr>
                <w:color w:val="105C84"/>
                <w:spacing w:val="-12"/>
                <w:sz w:val="18"/>
              </w:rPr>
              <w:t> </w:t>
            </w:r>
            <w:r>
              <w:rPr>
                <w:color w:val="105C84"/>
                <w:sz w:val="18"/>
              </w:rPr>
              <w:t>sites</w:t>
            </w:r>
            <w:r>
              <w:rPr>
                <w:color w:val="105C84"/>
                <w:spacing w:val="-13"/>
                <w:sz w:val="18"/>
              </w:rPr>
              <w:t> </w:t>
            </w:r>
            <w:r>
              <w:rPr>
                <w:color w:val="105C84"/>
                <w:sz w:val="18"/>
              </w:rPr>
              <w:t>for prescription drugs and organized take back days</w:t>
            </w:r>
          </w:p>
        </w:tc>
        <w:tc>
          <w:tcPr>
            <w:tcW w:w="2656" w:type="dxa"/>
            <w:vMerge w:val="restart"/>
            <w:tcBorders>
              <w:right w:val="nil"/>
            </w:tcBorders>
          </w:tcPr>
          <w:p>
            <w:pPr>
              <w:pStyle w:val="TableParagraph"/>
              <w:spacing w:line="232" w:lineRule="auto" w:before="99"/>
              <w:ind w:left="94" w:right="960"/>
              <w:rPr>
                <w:sz w:val="18"/>
              </w:rPr>
            </w:pPr>
            <w:r>
              <w:rPr>
                <w:color w:val="105C84"/>
                <w:sz w:val="18"/>
              </w:rPr>
              <w:t>Number of </w:t>
            </w:r>
            <w:r>
              <w:rPr>
                <w:color w:val="105C84"/>
                <w:spacing w:val="-2"/>
                <w:sz w:val="18"/>
              </w:rPr>
              <w:t>additional </w:t>
            </w:r>
            <w:r>
              <w:rPr>
                <w:color w:val="105C84"/>
                <w:sz w:val="18"/>
              </w:rPr>
              <w:t>permanent safe disposal sites for prescription drugs and</w:t>
            </w:r>
            <w:r>
              <w:rPr>
                <w:color w:val="105C84"/>
                <w:spacing w:val="-15"/>
                <w:sz w:val="18"/>
              </w:rPr>
              <w:t> </w:t>
            </w:r>
            <w:r>
              <w:rPr>
                <w:color w:val="105C84"/>
                <w:sz w:val="18"/>
              </w:rPr>
              <w:t>organized</w:t>
            </w:r>
            <w:r>
              <w:rPr>
                <w:color w:val="105C84"/>
                <w:spacing w:val="-12"/>
                <w:sz w:val="18"/>
              </w:rPr>
              <w:t> </w:t>
            </w:r>
            <w:r>
              <w:rPr>
                <w:color w:val="105C84"/>
                <w:sz w:val="18"/>
              </w:rPr>
              <w:t>take-back days</w:t>
            </w:r>
          </w:p>
        </w:tc>
        <w:tc>
          <w:tcPr>
            <w:tcW w:w="3304" w:type="dxa"/>
            <w:tcBorders>
              <w:left w:val="nil"/>
            </w:tcBorders>
          </w:tcPr>
          <w:p>
            <w:pPr>
              <w:pStyle w:val="TableParagraph"/>
              <w:spacing w:line="232" w:lineRule="auto" w:before="99"/>
              <w:ind w:left="1097" w:right="473"/>
              <w:rPr>
                <w:sz w:val="18"/>
              </w:rPr>
            </w:pPr>
            <w:r>
              <w:rPr>
                <w:color w:val="105C84"/>
                <w:sz w:val="18"/>
              </w:rPr>
              <w:t>YCPH will explore all current areas of safe </w:t>
            </w:r>
            <w:r>
              <w:rPr>
                <w:color w:val="105C84"/>
                <w:spacing w:val="-2"/>
                <w:sz w:val="18"/>
              </w:rPr>
              <w:t>disposal</w:t>
            </w:r>
            <w:r>
              <w:rPr>
                <w:color w:val="105C84"/>
                <w:spacing w:val="-11"/>
                <w:sz w:val="18"/>
              </w:rPr>
              <w:t> </w:t>
            </w:r>
            <w:r>
              <w:rPr>
                <w:color w:val="105C84"/>
                <w:spacing w:val="-2"/>
                <w:sz w:val="18"/>
              </w:rPr>
              <w:t>sites</w:t>
            </w:r>
            <w:r>
              <w:rPr>
                <w:color w:val="105C84"/>
                <w:spacing w:val="-10"/>
                <w:sz w:val="18"/>
              </w:rPr>
              <w:t> </w:t>
            </w:r>
            <w:r>
              <w:rPr>
                <w:color w:val="105C84"/>
                <w:spacing w:val="-2"/>
                <w:sz w:val="18"/>
              </w:rPr>
              <w:t>in</w:t>
            </w:r>
            <w:r>
              <w:rPr>
                <w:color w:val="105C84"/>
                <w:spacing w:val="-11"/>
                <w:sz w:val="18"/>
              </w:rPr>
              <w:t> </w:t>
            </w:r>
            <w:r>
              <w:rPr>
                <w:color w:val="105C84"/>
                <w:spacing w:val="-2"/>
                <w:sz w:val="18"/>
              </w:rPr>
              <w:t>Yates </w:t>
            </w:r>
            <w:r>
              <w:rPr>
                <w:color w:val="105C84"/>
                <w:sz w:val="18"/>
              </w:rPr>
              <w:t>County and post on </w:t>
            </w:r>
            <w:r>
              <w:rPr>
                <w:color w:val="105C84"/>
                <w:spacing w:val="-2"/>
                <w:sz w:val="18"/>
              </w:rPr>
              <w:t>website</w:t>
            </w:r>
          </w:p>
          <w:p>
            <w:pPr>
              <w:pStyle w:val="TableParagraph"/>
              <w:spacing w:line="232" w:lineRule="auto" w:before="86"/>
              <w:ind w:left="1097" w:right="328"/>
              <w:rPr>
                <w:sz w:val="18"/>
              </w:rPr>
            </w:pPr>
            <w:r>
              <w:rPr>
                <w:color w:val="105C84"/>
                <w:sz w:val="18"/>
              </w:rPr>
              <w:t>YCPH promoted "Drug Take-Back Days" in April</w:t>
            </w:r>
            <w:r>
              <w:rPr>
                <w:color w:val="105C84"/>
                <w:spacing w:val="-6"/>
                <w:sz w:val="18"/>
              </w:rPr>
              <w:t> </w:t>
            </w:r>
            <w:r>
              <w:rPr>
                <w:color w:val="105C84"/>
                <w:sz w:val="18"/>
              </w:rPr>
              <w:t>and</w:t>
            </w:r>
            <w:r>
              <w:rPr>
                <w:color w:val="105C84"/>
                <w:spacing w:val="-6"/>
                <w:sz w:val="18"/>
              </w:rPr>
              <w:t> </w:t>
            </w:r>
            <w:r>
              <w:rPr>
                <w:color w:val="105C84"/>
                <w:sz w:val="18"/>
              </w:rPr>
              <w:t>October</w:t>
            </w:r>
            <w:r>
              <w:rPr>
                <w:color w:val="105C84"/>
                <w:spacing w:val="-6"/>
                <w:sz w:val="18"/>
              </w:rPr>
              <w:t> </w:t>
            </w:r>
            <w:r>
              <w:rPr>
                <w:color w:val="105C84"/>
                <w:sz w:val="18"/>
              </w:rPr>
              <w:t>2019 on website, Facebook, Weekly Surveillance, Sandwich Board &amp; Electronic sign</w:t>
            </w:r>
          </w:p>
        </w:tc>
        <w:tc>
          <w:tcPr>
            <w:tcW w:w="2735" w:type="dxa"/>
          </w:tcPr>
          <w:p>
            <w:pPr>
              <w:pStyle w:val="TableParagraph"/>
              <w:spacing w:line="232" w:lineRule="auto" w:before="99"/>
              <w:ind w:left="96" w:right="187"/>
              <w:rPr>
                <w:sz w:val="18"/>
              </w:rPr>
            </w:pPr>
            <w:r>
              <w:rPr>
                <w:color w:val="105C84"/>
                <w:sz w:val="18"/>
              </w:rPr>
              <w:t>YCPH</w:t>
            </w:r>
            <w:r>
              <w:rPr>
                <w:color w:val="105C84"/>
                <w:spacing w:val="-8"/>
                <w:sz w:val="18"/>
              </w:rPr>
              <w:t> </w:t>
            </w:r>
            <w:r>
              <w:rPr>
                <w:color w:val="105C84"/>
                <w:sz w:val="18"/>
              </w:rPr>
              <w:t>will</w:t>
            </w:r>
            <w:r>
              <w:rPr>
                <w:color w:val="105C84"/>
                <w:spacing w:val="-8"/>
                <w:sz w:val="18"/>
              </w:rPr>
              <w:t> </w:t>
            </w:r>
            <w:r>
              <w:rPr>
                <w:color w:val="105C84"/>
                <w:sz w:val="18"/>
              </w:rPr>
              <w:t>identify</w:t>
            </w:r>
            <w:r>
              <w:rPr>
                <w:color w:val="105C84"/>
                <w:spacing w:val="-8"/>
                <w:sz w:val="18"/>
              </w:rPr>
              <w:t> </w:t>
            </w:r>
            <w:r>
              <w:rPr>
                <w:color w:val="105C84"/>
                <w:sz w:val="18"/>
              </w:rPr>
              <w:t>1</w:t>
            </w:r>
            <w:r>
              <w:rPr>
                <w:color w:val="105C84"/>
                <w:spacing w:val="-8"/>
                <w:sz w:val="18"/>
              </w:rPr>
              <w:t> </w:t>
            </w:r>
            <w:r>
              <w:rPr>
                <w:color w:val="105C84"/>
                <w:sz w:val="18"/>
              </w:rPr>
              <w:t>additional area of safe disposal in the county and move toward securing a new site</w:t>
            </w:r>
          </w:p>
          <w:p>
            <w:pPr>
              <w:pStyle w:val="TableParagraph"/>
              <w:spacing w:line="232" w:lineRule="auto" w:before="87"/>
              <w:ind w:left="96" w:right="187"/>
              <w:rPr>
                <w:sz w:val="18"/>
              </w:rPr>
            </w:pPr>
            <w:r>
              <w:rPr>
                <w:color w:val="105C84"/>
                <w:sz w:val="18"/>
              </w:rPr>
              <w:t>YCPH</w:t>
            </w:r>
            <w:r>
              <w:rPr>
                <w:color w:val="105C84"/>
                <w:spacing w:val="-10"/>
                <w:sz w:val="18"/>
              </w:rPr>
              <w:t> </w:t>
            </w:r>
            <w:r>
              <w:rPr>
                <w:color w:val="105C84"/>
                <w:sz w:val="18"/>
              </w:rPr>
              <w:t>will</w:t>
            </w:r>
            <w:r>
              <w:rPr>
                <w:color w:val="105C84"/>
                <w:spacing w:val="-10"/>
                <w:sz w:val="18"/>
              </w:rPr>
              <w:t> </w:t>
            </w:r>
            <w:r>
              <w:rPr>
                <w:color w:val="105C84"/>
                <w:sz w:val="18"/>
              </w:rPr>
              <w:t>outreach</w:t>
            </w:r>
            <w:r>
              <w:rPr>
                <w:color w:val="105C84"/>
                <w:spacing w:val="-10"/>
                <w:sz w:val="18"/>
              </w:rPr>
              <w:t> </w:t>
            </w:r>
            <w:r>
              <w:rPr>
                <w:color w:val="105C84"/>
                <w:sz w:val="18"/>
              </w:rPr>
              <w:t>to</w:t>
            </w:r>
            <w:r>
              <w:rPr>
                <w:color w:val="105C84"/>
                <w:spacing w:val="-10"/>
                <w:sz w:val="18"/>
              </w:rPr>
              <w:t> </w:t>
            </w:r>
            <w:r>
              <w:rPr>
                <w:color w:val="105C84"/>
                <w:sz w:val="18"/>
              </w:rPr>
              <w:t>Ontario County Substance Abuse Partnership to identify how they were able to secure</w:t>
            </w:r>
          </w:p>
          <w:p>
            <w:pPr>
              <w:pStyle w:val="TableParagraph"/>
              <w:spacing w:line="232" w:lineRule="auto"/>
              <w:ind w:left="96"/>
              <w:rPr>
                <w:sz w:val="18"/>
              </w:rPr>
            </w:pPr>
            <w:r>
              <w:rPr>
                <w:color w:val="105C84"/>
                <w:sz w:val="18"/>
              </w:rPr>
              <w:t>safe</w:t>
            </w:r>
            <w:r>
              <w:rPr>
                <w:color w:val="105C84"/>
                <w:spacing w:val="-7"/>
                <w:sz w:val="18"/>
              </w:rPr>
              <w:t> </w:t>
            </w:r>
            <w:r>
              <w:rPr>
                <w:color w:val="105C84"/>
                <w:sz w:val="18"/>
              </w:rPr>
              <w:t>disposal</w:t>
            </w:r>
            <w:r>
              <w:rPr>
                <w:color w:val="105C84"/>
                <w:spacing w:val="-7"/>
                <w:sz w:val="18"/>
              </w:rPr>
              <w:t> </w:t>
            </w:r>
            <w:r>
              <w:rPr>
                <w:color w:val="105C84"/>
                <w:sz w:val="18"/>
              </w:rPr>
              <w:t>site/funding</w:t>
            </w:r>
            <w:r>
              <w:rPr>
                <w:color w:val="105C84"/>
                <w:spacing w:val="-7"/>
                <w:sz w:val="18"/>
              </w:rPr>
              <w:t> </w:t>
            </w:r>
            <w:r>
              <w:rPr>
                <w:color w:val="105C84"/>
                <w:sz w:val="18"/>
              </w:rPr>
              <w:t>in </w:t>
            </w:r>
            <w:r>
              <w:rPr>
                <w:color w:val="105C84"/>
                <w:spacing w:val="-2"/>
                <w:sz w:val="18"/>
              </w:rPr>
              <w:t>Rushville</w:t>
            </w:r>
          </w:p>
          <w:p>
            <w:pPr>
              <w:pStyle w:val="TableParagraph"/>
              <w:spacing w:line="232" w:lineRule="auto" w:before="85"/>
              <w:ind w:left="96"/>
              <w:rPr>
                <w:sz w:val="18"/>
              </w:rPr>
            </w:pPr>
            <w:r>
              <w:rPr>
                <w:color w:val="105C84"/>
                <w:sz w:val="18"/>
              </w:rPr>
              <w:t>YCPH</w:t>
            </w:r>
            <w:r>
              <w:rPr>
                <w:color w:val="105C84"/>
                <w:spacing w:val="-11"/>
                <w:sz w:val="18"/>
              </w:rPr>
              <w:t> </w:t>
            </w:r>
            <w:r>
              <w:rPr>
                <w:color w:val="105C84"/>
                <w:sz w:val="18"/>
              </w:rPr>
              <w:t>will</w:t>
            </w:r>
            <w:r>
              <w:rPr>
                <w:color w:val="105C84"/>
                <w:spacing w:val="-11"/>
                <w:sz w:val="18"/>
              </w:rPr>
              <w:t> </w:t>
            </w:r>
            <w:r>
              <w:rPr>
                <w:color w:val="105C84"/>
                <w:sz w:val="18"/>
              </w:rPr>
              <w:t>promote</w:t>
            </w:r>
            <w:r>
              <w:rPr>
                <w:color w:val="105C84"/>
                <w:spacing w:val="-11"/>
                <w:sz w:val="18"/>
              </w:rPr>
              <w:t> </w:t>
            </w:r>
            <w:r>
              <w:rPr>
                <w:color w:val="105C84"/>
                <w:sz w:val="18"/>
              </w:rPr>
              <w:t>"Drug</w:t>
            </w:r>
            <w:r>
              <w:rPr>
                <w:color w:val="105C84"/>
                <w:spacing w:val="-11"/>
                <w:sz w:val="18"/>
              </w:rPr>
              <w:t> </w:t>
            </w:r>
            <w:r>
              <w:rPr>
                <w:color w:val="105C84"/>
                <w:sz w:val="18"/>
              </w:rPr>
              <w:t>Take Back Days" in April &amp; October 2020 on website, Facebook, </w:t>
            </w:r>
            <w:r>
              <w:rPr>
                <w:color w:val="105C84"/>
                <w:spacing w:val="-2"/>
                <w:sz w:val="18"/>
              </w:rPr>
              <w:t>Weekly</w:t>
            </w:r>
            <w:r>
              <w:rPr>
                <w:color w:val="105C84"/>
                <w:spacing w:val="-13"/>
                <w:sz w:val="18"/>
              </w:rPr>
              <w:t> </w:t>
            </w:r>
            <w:r>
              <w:rPr>
                <w:color w:val="105C84"/>
                <w:spacing w:val="-2"/>
                <w:sz w:val="18"/>
              </w:rPr>
              <w:t>Surveillance,</w:t>
            </w:r>
            <w:r>
              <w:rPr>
                <w:color w:val="105C84"/>
                <w:spacing w:val="-10"/>
                <w:sz w:val="18"/>
              </w:rPr>
              <w:t> </w:t>
            </w:r>
            <w:r>
              <w:rPr>
                <w:color w:val="105C84"/>
                <w:spacing w:val="-2"/>
                <w:sz w:val="18"/>
              </w:rPr>
              <w:t>Sandwich </w:t>
            </w:r>
            <w:r>
              <w:rPr>
                <w:color w:val="105C84"/>
                <w:sz w:val="18"/>
              </w:rPr>
              <w:t>board &amp; Electronic sign</w:t>
            </w:r>
          </w:p>
        </w:tc>
        <w:tc>
          <w:tcPr>
            <w:tcW w:w="2274" w:type="dxa"/>
          </w:tcPr>
          <w:p>
            <w:pPr>
              <w:pStyle w:val="TableParagraph"/>
              <w:spacing w:line="232" w:lineRule="auto" w:before="99"/>
              <w:ind w:left="97"/>
              <w:rPr>
                <w:sz w:val="18"/>
              </w:rPr>
            </w:pPr>
            <w:r>
              <w:rPr>
                <w:color w:val="105C84"/>
                <w:sz w:val="18"/>
              </w:rPr>
              <w:t>YCPH will identify 1 additional area of safe disposal</w:t>
            </w:r>
            <w:r>
              <w:rPr>
                <w:color w:val="105C84"/>
                <w:spacing w:val="-7"/>
                <w:sz w:val="18"/>
              </w:rPr>
              <w:t> </w:t>
            </w:r>
            <w:r>
              <w:rPr>
                <w:color w:val="105C84"/>
                <w:sz w:val="18"/>
              </w:rPr>
              <w:t>in</w:t>
            </w:r>
            <w:r>
              <w:rPr>
                <w:color w:val="105C84"/>
                <w:spacing w:val="-7"/>
                <w:sz w:val="18"/>
              </w:rPr>
              <w:t> </w:t>
            </w:r>
            <w:r>
              <w:rPr>
                <w:color w:val="105C84"/>
                <w:sz w:val="18"/>
              </w:rPr>
              <w:t>the</w:t>
            </w:r>
            <w:r>
              <w:rPr>
                <w:color w:val="105C84"/>
                <w:spacing w:val="-7"/>
                <w:sz w:val="18"/>
              </w:rPr>
              <w:t> </w:t>
            </w:r>
            <w:r>
              <w:rPr>
                <w:color w:val="105C84"/>
                <w:sz w:val="18"/>
              </w:rPr>
              <w:t>county</w:t>
            </w:r>
            <w:r>
              <w:rPr>
                <w:color w:val="105C84"/>
                <w:spacing w:val="-7"/>
                <w:sz w:val="18"/>
              </w:rPr>
              <w:t> </w:t>
            </w:r>
            <w:r>
              <w:rPr>
                <w:color w:val="105C84"/>
                <w:sz w:val="18"/>
              </w:rPr>
              <w:t>and move toward securing a new site</w:t>
            </w:r>
          </w:p>
          <w:p>
            <w:pPr>
              <w:pStyle w:val="TableParagraph"/>
              <w:spacing w:line="232" w:lineRule="auto" w:before="86"/>
              <w:ind w:left="97" w:right="222"/>
              <w:rPr>
                <w:sz w:val="18"/>
              </w:rPr>
            </w:pPr>
            <w:r>
              <w:rPr>
                <w:color w:val="105C84"/>
                <w:sz w:val="18"/>
              </w:rPr>
              <w:t>YCPH will promote "Drug</w:t>
            </w:r>
            <w:r>
              <w:rPr>
                <w:color w:val="105C84"/>
                <w:spacing w:val="-11"/>
                <w:sz w:val="18"/>
              </w:rPr>
              <w:t> </w:t>
            </w:r>
            <w:r>
              <w:rPr>
                <w:color w:val="105C84"/>
                <w:sz w:val="18"/>
              </w:rPr>
              <w:t>Take</w:t>
            </w:r>
            <w:r>
              <w:rPr>
                <w:color w:val="105C84"/>
                <w:spacing w:val="-11"/>
                <w:sz w:val="18"/>
              </w:rPr>
              <w:t> </w:t>
            </w:r>
            <w:r>
              <w:rPr>
                <w:color w:val="105C84"/>
                <w:sz w:val="18"/>
              </w:rPr>
              <w:t>Back</w:t>
            </w:r>
            <w:r>
              <w:rPr>
                <w:color w:val="105C84"/>
                <w:spacing w:val="-11"/>
                <w:sz w:val="18"/>
              </w:rPr>
              <w:t> </w:t>
            </w:r>
            <w:r>
              <w:rPr>
                <w:color w:val="105C84"/>
                <w:sz w:val="18"/>
              </w:rPr>
              <w:t>Days" in</w:t>
            </w:r>
            <w:r>
              <w:rPr>
                <w:color w:val="105C84"/>
                <w:spacing w:val="-4"/>
                <w:sz w:val="18"/>
              </w:rPr>
              <w:t> </w:t>
            </w:r>
            <w:r>
              <w:rPr>
                <w:color w:val="105C84"/>
                <w:sz w:val="18"/>
              </w:rPr>
              <w:t>April</w:t>
            </w:r>
            <w:r>
              <w:rPr>
                <w:color w:val="105C84"/>
                <w:spacing w:val="-4"/>
                <w:sz w:val="18"/>
              </w:rPr>
              <w:t> </w:t>
            </w:r>
            <w:r>
              <w:rPr>
                <w:color w:val="105C84"/>
                <w:sz w:val="18"/>
              </w:rPr>
              <w:t>&amp;</w:t>
            </w:r>
            <w:r>
              <w:rPr>
                <w:color w:val="105C84"/>
                <w:spacing w:val="-4"/>
                <w:sz w:val="18"/>
              </w:rPr>
              <w:t> </w:t>
            </w:r>
            <w:r>
              <w:rPr>
                <w:color w:val="105C84"/>
                <w:sz w:val="18"/>
              </w:rPr>
              <w:t>October</w:t>
            </w:r>
            <w:r>
              <w:rPr>
                <w:color w:val="105C84"/>
                <w:spacing w:val="-4"/>
                <w:sz w:val="18"/>
              </w:rPr>
              <w:t> </w:t>
            </w:r>
            <w:r>
              <w:rPr>
                <w:color w:val="105C84"/>
                <w:sz w:val="18"/>
              </w:rPr>
              <w:t>2020 on website, Facebook, Weekly Surveillance, Sandwich board &amp; Electronic sign</w:t>
            </w:r>
          </w:p>
        </w:tc>
        <w:tc>
          <w:tcPr>
            <w:tcW w:w="1496" w:type="dxa"/>
          </w:tcPr>
          <w:p>
            <w:pPr>
              <w:pStyle w:val="TableParagraph"/>
              <w:spacing w:line="232" w:lineRule="auto" w:before="98"/>
              <w:ind w:left="98"/>
              <w:rPr>
                <w:sz w:val="18"/>
              </w:rPr>
            </w:pPr>
            <w:r>
              <w:rPr>
                <w:color w:val="105C84"/>
                <w:spacing w:val="-2"/>
                <w:sz w:val="18"/>
              </w:rPr>
              <w:t>Local</w:t>
            </w:r>
            <w:r>
              <w:rPr>
                <w:color w:val="105C84"/>
                <w:spacing w:val="-11"/>
                <w:sz w:val="18"/>
              </w:rPr>
              <w:t> </w:t>
            </w:r>
            <w:r>
              <w:rPr>
                <w:color w:val="105C84"/>
                <w:spacing w:val="-2"/>
                <w:sz w:val="18"/>
              </w:rPr>
              <w:t>health department</w:t>
            </w:r>
          </w:p>
        </w:tc>
        <w:tc>
          <w:tcPr>
            <w:tcW w:w="1405" w:type="dxa"/>
          </w:tcPr>
          <w:p>
            <w:pPr>
              <w:pStyle w:val="TableParagraph"/>
              <w:spacing w:line="232" w:lineRule="auto" w:before="98"/>
              <w:ind w:left="99" w:right="221"/>
              <w:jc w:val="both"/>
              <w:rPr>
                <w:sz w:val="18"/>
              </w:rPr>
            </w:pPr>
            <w:r>
              <w:rPr>
                <w:color w:val="105C84"/>
                <w:spacing w:val="-2"/>
                <w:sz w:val="18"/>
              </w:rPr>
              <w:t>Yates</w:t>
            </w:r>
            <w:r>
              <w:rPr>
                <w:color w:val="105C84"/>
                <w:spacing w:val="-11"/>
                <w:sz w:val="18"/>
              </w:rPr>
              <w:t> </w:t>
            </w:r>
            <w:r>
              <w:rPr>
                <w:color w:val="105C84"/>
                <w:spacing w:val="-2"/>
                <w:sz w:val="18"/>
              </w:rPr>
              <w:t>County </w:t>
            </w:r>
            <w:r>
              <w:rPr>
                <w:color w:val="105C84"/>
                <w:sz w:val="18"/>
              </w:rPr>
              <w:t>Public</w:t>
            </w:r>
            <w:r>
              <w:rPr>
                <w:color w:val="105C84"/>
                <w:spacing w:val="-13"/>
                <w:sz w:val="18"/>
              </w:rPr>
              <w:t> </w:t>
            </w:r>
            <w:r>
              <w:rPr>
                <w:color w:val="105C84"/>
                <w:sz w:val="18"/>
              </w:rPr>
              <w:t>Health </w:t>
            </w:r>
            <w:r>
              <w:rPr>
                <w:color w:val="105C84"/>
                <w:spacing w:val="-6"/>
                <w:sz w:val="18"/>
              </w:rPr>
              <w:t>(YCPH)</w:t>
            </w:r>
            <w:r>
              <w:rPr>
                <w:color w:val="105C84"/>
                <w:spacing w:val="-7"/>
                <w:sz w:val="18"/>
              </w:rPr>
              <w:t> </w:t>
            </w:r>
            <w:r>
              <w:rPr>
                <w:color w:val="105C84"/>
                <w:spacing w:val="-6"/>
                <w:sz w:val="18"/>
              </w:rPr>
              <w:t>0.028 </w:t>
            </w:r>
            <w:r>
              <w:rPr>
                <w:color w:val="105C84"/>
                <w:spacing w:val="-4"/>
                <w:sz w:val="18"/>
              </w:rPr>
              <w:t>FTE</w:t>
            </w:r>
          </w:p>
        </w:tc>
      </w:tr>
      <w:tr>
        <w:trPr>
          <w:trHeight w:val="1150" w:hRule="atLeast"/>
        </w:trPr>
        <w:tc>
          <w:tcPr>
            <w:tcW w:w="1180" w:type="dxa"/>
            <w:vMerge/>
            <w:tcBorders>
              <w:top w:val="nil"/>
            </w:tcBorders>
            <w:shd w:val="clear" w:color="auto" w:fill="E6E7E8"/>
          </w:tcPr>
          <w:p>
            <w:pPr>
              <w:rPr>
                <w:sz w:val="2"/>
                <w:szCs w:val="2"/>
              </w:rPr>
            </w:pPr>
          </w:p>
        </w:tc>
        <w:tc>
          <w:tcPr>
            <w:tcW w:w="1324" w:type="dxa"/>
            <w:vMerge/>
            <w:tcBorders>
              <w:top w:val="nil"/>
            </w:tcBorders>
          </w:tcPr>
          <w:p>
            <w:pPr>
              <w:rPr>
                <w:sz w:val="2"/>
                <w:szCs w:val="2"/>
              </w:rPr>
            </w:pPr>
          </w:p>
        </w:tc>
        <w:tc>
          <w:tcPr>
            <w:tcW w:w="1266" w:type="dxa"/>
            <w:vMerge/>
            <w:tcBorders>
              <w:top w:val="nil"/>
            </w:tcBorders>
          </w:tcPr>
          <w:p>
            <w:pPr>
              <w:rPr>
                <w:sz w:val="2"/>
                <w:szCs w:val="2"/>
              </w:rPr>
            </w:pPr>
          </w:p>
        </w:tc>
        <w:tc>
          <w:tcPr>
            <w:tcW w:w="1727" w:type="dxa"/>
            <w:vMerge/>
            <w:tcBorders>
              <w:top w:val="nil"/>
            </w:tcBorders>
          </w:tcPr>
          <w:p>
            <w:pPr>
              <w:rPr>
                <w:sz w:val="2"/>
                <w:szCs w:val="2"/>
              </w:rPr>
            </w:pPr>
          </w:p>
        </w:tc>
        <w:tc>
          <w:tcPr>
            <w:tcW w:w="1065" w:type="dxa"/>
            <w:vMerge/>
            <w:tcBorders>
              <w:top w:val="nil"/>
            </w:tcBorders>
          </w:tcPr>
          <w:p>
            <w:pPr>
              <w:rPr>
                <w:sz w:val="2"/>
                <w:szCs w:val="2"/>
              </w:rPr>
            </w:pPr>
          </w:p>
        </w:tc>
        <w:tc>
          <w:tcPr>
            <w:tcW w:w="1929" w:type="dxa"/>
            <w:vMerge/>
            <w:tcBorders>
              <w:top w:val="nil"/>
            </w:tcBorders>
          </w:tcPr>
          <w:p>
            <w:pPr>
              <w:rPr>
                <w:sz w:val="2"/>
                <w:szCs w:val="2"/>
              </w:rPr>
            </w:pPr>
          </w:p>
        </w:tc>
        <w:tc>
          <w:tcPr>
            <w:tcW w:w="2656" w:type="dxa"/>
            <w:vMerge/>
            <w:tcBorders>
              <w:top w:val="nil"/>
              <w:right w:val="nil"/>
            </w:tcBorders>
          </w:tcPr>
          <w:p>
            <w:pPr>
              <w:rPr>
                <w:sz w:val="2"/>
                <w:szCs w:val="2"/>
              </w:rPr>
            </w:pPr>
          </w:p>
        </w:tc>
        <w:tc>
          <w:tcPr>
            <w:tcW w:w="3304" w:type="dxa"/>
            <w:tcBorders>
              <w:left w:val="nil"/>
            </w:tcBorders>
          </w:tcPr>
          <w:p>
            <w:pPr>
              <w:pStyle w:val="TableParagraph"/>
              <w:spacing w:line="232" w:lineRule="auto" w:before="98"/>
              <w:ind w:left="1097" w:right="50"/>
              <w:rPr>
                <w:sz w:val="18"/>
              </w:rPr>
            </w:pPr>
            <w:r>
              <w:rPr>
                <w:color w:val="105C84"/>
                <w:sz w:val="18"/>
              </w:rPr>
              <w:t>Provide Dispose Rx bags to</w:t>
            </w:r>
            <w:r>
              <w:rPr>
                <w:color w:val="105C84"/>
                <w:spacing w:val="-8"/>
                <w:sz w:val="18"/>
              </w:rPr>
              <w:t> </w:t>
            </w:r>
            <w:r>
              <w:rPr>
                <w:color w:val="105C84"/>
                <w:sz w:val="18"/>
              </w:rPr>
              <w:t>key</w:t>
            </w:r>
            <w:r>
              <w:rPr>
                <w:color w:val="105C84"/>
                <w:spacing w:val="-8"/>
                <w:sz w:val="18"/>
              </w:rPr>
              <w:t> </w:t>
            </w:r>
            <w:r>
              <w:rPr>
                <w:color w:val="105C84"/>
                <w:sz w:val="18"/>
              </w:rPr>
              <w:t>community</w:t>
            </w:r>
            <w:r>
              <w:rPr>
                <w:color w:val="105C84"/>
                <w:spacing w:val="-8"/>
                <w:sz w:val="18"/>
              </w:rPr>
              <w:t> </w:t>
            </w:r>
            <w:r>
              <w:rPr>
                <w:color w:val="105C84"/>
                <w:sz w:val="18"/>
              </w:rPr>
              <w:t>partners to</w:t>
            </w:r>
            <w:r>
              <w:rPr>
                <w:color w:val="105C84"/>
                <w:spacing w:val="-13"/>
                <w:sz w:val="18"/>
              </w:rPr>
              <w:t> </w:t>
            </w:r>
            <w:r>
              <w:rPr>
                <w:color w:val="105C84"/>
                <w:sz w:val="18"/>
              </w:rPr>
              <w:t>assist</w:t>
            </w:r>
            <w:r>
              <w:rPr>
                <w:color w:val="105C84"/>
                <w:spacing w:val="-12"/>
                <w:sz w:val="18"/>
              </w:rPr>
              <w:t> </w:t>
            </w:r>
            <w:r>
              <w:rPr>
                <w:color w:val="105C84"/>
                <w:sz w:val="18"/>
              </w:rPr>
              <w:t>in</w:t>
            </w:r>
            <w:r>
              <w:rPr>
                <w:color w:val="105C84"/>
                <w:spacing w:val="-13"/>
                <w:sz w:val="18"/>
              </w:rPr>
              <w:t> </w:t>
            </w:r>
            <w:r>
              <w:rPr>
                <w:color w:val="105C84"/>
                <w:sz w:val="18"/>
              </w:rPr>
              <w:t>safe</w:t>
            </w:r>
            <w:r>
              <w:rPr>
                <w:color w:val="105C84"/>
                <w:spacing w:val="-12"/>
                <w:sz w:val="18"/>
              </w:rPr>
              <w:t> </w:t>
            </w:r>
            <w:r>
              <w:rPr>
                <w:color w:val="105C84"/>
                <w:sz w:val="18"/>
              </w:rPr>
              <w:t>disposal</w:t>
            </w:r>
            <w:r>
              <w:rPr>
                <w:color w:val="105C84"/>
                <w:spacing w:val="-13"/>
                <w:sz w:val="18"/>
              </w:rPr>
              <w:t> </w:t>
            </w:r>
            <w:r>
              <w:rPr>
                <w:color w:val="105C84"/>
                <w:sz w:val="18"/>
              </w:rPr>
              <w:t>of prescription drugs.</w:t>
            </w:r>
          </w:p>
        </w:tc>
        <w:tc>
          <w:tcPr>
            <w:tcW w:w="2735" w:type="dxa"/>
          </w:tcPr>
          <w:p>
            <w:pPr>
              <w:pStyle w:val="TableParagraph"/>
              <w:spacing w:line="232" w:lineRule="auto" w:before="98"/>
              <w:ind w:left="96" w:right="120"/>
              <w:rPr>
                <w:sz w:val="18"/>
              </w:rPr>
            </w:pPr>
            <w:r>
              <w:rPr>
                <w:color w:val="105C84"/>
                <w:sz w:val="18"/>
              </w:rPr>
              <w:t>Provide</w:t>
            </w:r>
            <w:r>
              <w:rPr>
                <w:color w:val="105C84"/>
                <w:spacing w:val="-13"/>
                <w:sz w:val="18"/>
              </w:rPr>
              <w:t> </w:t>
            </w:r>
            <w:r>
              <w:rPr>
                <w:color w:val="105C84"/>
                <w:sz w:val="18"/>
              </w:rPr>
              <w:t>Dispose</w:t>
            </w:r>
            <w:r>
              <w:rPr>
                <w:color w:val="105C84"/>
                <w:spacing w:val="-12"/>
                <w:sz w:val="18"/>
              </w:rPr>
              <w:t> </w:t>
            </w:r>
            <w:r>
              <w:rPr>
                <w:color w:val="105C84"/>
                <w:sz w:val="18"/>
              </w:rPr>
              <w:t>Rx</w:t>
            </w:r>
            <w:r>
              <w:rPr>
                <w:color w:val="105C84"/>
                <w:spacing w:val="-13"/>
                <w:sz w:val="18"/>
              </w:rPr>
              <w:t> </w:t>
            </w:r>
            <w:r>
              <w:rPr>
                <w:color w:val="105C84"/>
                <w:sz w:val="18"/>
              </w:rPr>
              <w:t>bags</w:t>
            </w:r>
            <w:r>
              <w:rPr>
                <w:color w:val="105C84"/>
                <w:spacing w:val="-12"/>
                <w:sz w:val="18"/>
              </w:rPr>
              <w:t> </w:t>
            </w:r>
            <w:r>
              <w:rPr>
                <w:color w:val="105C84"/>
                <w:sz w:val="18"/>
              </w:rPr>
              <w:t>to</w:t>
            </w:r>
            <w:r>
              <w:rPr>
                <w:color w:val="105C84"/>
                <w:spacing w:val="-13"/>
                <w:sz w:val="18"/>
              </w:rPr>
              <w:t> </w:t>
            </w:r>
            <w:r>
              <w:rPr>
                <w:color w:val="105C84"/>
                <w:sz w:val="18"/>
              </w:rPr>
              <w:t>key community partners to assist</w:t>
            </w:r>
          </w:p>
          <w:p>
            <w:pPr>
              <w:pStyle w:val="TableParagraph"/>
              <w:spacing w:line="232" w:lineRule="auto"/>
              <w:ind w:left="96"/>
              <w:rPr>
                <w:sz w:val="18"/>
              </w:rPr>
            </w:pPr>
            <w:r>
              <w:rPr>
                <w:color w:val="105C84"/>
                <w:sz w:val="18"/>
              </w:rPr>
              <w:t>in</w:t>
            </w:r>
            <w:r>
              <w:rPr>
                <w:color w:val="105C84"/>
                <w:spacing w:val="-8"/>
                <w:sz w:val="18"/>
              </w:rPr>
              <w:t> </w:t>
            </w:r>
            <w:r>
              <w:rPr>
                <w:color w:val="105C84"/>
                <w:sz w:val="18"/>
              </w:rPr>
              <w:t>safe</w:t>
            </w:r>
            <w:r>
              <w:rPr>
                <w:color w:val="105C84"/>
                <w:spacing w:val="-8"/>
                <w:sz w:val="18"/>
              </w:rPr>
              <w:t> </w:t>
            </w:r>
            <w:r>
              <w:rPr>
                <w:color w:val="105C84"/>
                <w:sz w:val="18"/>
              </w:rPr>
              <w:t>disposal</w:t>
            </w:r>
            <w:r>
              <w:rPr>
                <w:color w:val="105C84"/>
                <w:spacing w:val="-8"/>
                <w:sz w:val="18"/>
              </w:rPr>
              <w:t> </w:t>
            </w:r>
            <w:r>
              <w:rPr>
                <w:color w:val="105C84"/>
                <w:sz w:val="18"/>
              </w:rPr>
              <w:t>of</w:t>
            </w:r>
            <w:r>
              <w:rPr>
                <w:color w:val="105C84"/>
                <w:spacing w:val="-8"/>
                <w:sz w:val="18"/>
              </w:rPr>
              <w:t> </w:t>
            </w:r>
            <w:r>
              <w:rPr>
                <w:color w:val="105C84"/>
                <w:sz w:val="18"/>
              </w:rPr>
              <w:t>prescription </w:t>
            </w:r>
            <w:r>
              <w:rPr>
                <w:color w:val="105C84"/>
                <w:spacing w:val="-2"/>
                <w:sz w:val="18"/>
              </w:rPr>
              <w:t>drugs</w:t>
            </w:r>
          </w:p>
        </w:tc>
        <w:tc>
          <w:tcPr>
            <w:tcW w:w="2274" w:type="dxa"/>
          </w:tcPr>
          <w:p>
            <w:pPr>
              <w:pStyle w:val="TableParagraph"/>
              <w:spacing w:line="232" w:lineRule="auto" w:before="98"/>
              <w:ind w:left="97" w:right="222"/>
              <w:rPr>
                <w:sz w:val="18"/>
              </w:rPr>
            </w:pPr>
            <w:r>
              <w:rPr>
                <w:color w:val="105C84"/>
                <w:sz w:val="18"/>
              </w:rPr>
              <w:t>Provide Dispose Rx bags to key community </w:t>
            </w:r>
            <w:r>
              <w:rPr>
                <w:color w:val="105C84"/>
                <w:spacing w:val="-2"/>
                <w:sz w:val="18"/>
              </w:rPr>
              <w:t>partners</w:t>
            </w:r>
            <w:r>
              <w:rPr>
                <w:color w:val="105C84"/>
                <w:spacing w:val="-10"/>
                <w:sz w:val="18"/>
              </w:rPr>
              <w:t> </w:t>
            </w:r>
            <w:r>
              <w:rPr>
                <w:color w:val="105C84"/>
                <w:spacing w:val="-2"/>
                <w:sz w:val="18"/>
              </w:rPr>
              <w:t>to</w:t>
            </w:r>
            <w:r>
              <w:rPr>
                <w:color w:val="105C84"/>
                <w:spacing w:val="-10"/>
                <w:sz w:val="18"/>
              </w:rPr>
              <w:t> </w:t>
            </w:r>
            <w:r>
              <w:rPr>
                <w:color w:val="105C84"/>
                <w:spacing w:val="-2"/>
                <w:sz w:val="18"/>
              </w:rPr>
              <w:t>assist</w:t>
            </w:r>
            <w:r>
              <w:rPr>
                <w:color w:val="105C84"/>
                <w:spacing w:val="-10"/>
                <w:sz w:val="18"/>
              </w:rPr>
              <w:t> </w:t>
            </w:r>
            <w:r>
              <w:rPr>
                <w:color w:val="105C84"/>
                <w:spacing w:val="-2"/>
                <w:sz w:val="18"/>
              </w:rPr>
              <w:t>in</w:t>
            </w:r>
            <w:r>
              <w:rPr>
                <w:color w:val="105C84"/>
                <w:spacing w:val="-10"/>
                <w:sz w:val="18"/>
              </w:rPr>
              <w:t> </w:t>
            </w:r>
            <w:r>
              <w:rPr>
                <w:color w:val="105C84"/>
                <w:spacing w:val="-2"/>
                <w:sz w:val="18"/>
              </w:rPr>
              <w:t>safe </w:t>
            </w:r>
            <w:r>
              <w:rPr>
                <w:color w:val="105C84"/>
                <w:sz w:val="18"/>
              </w:rPr>
              <w:t>disposal of prescription </w:t>
            </w:r>
            <w:r>
              <w:rPr>
                <w:color w:val="105C84"/>
                <w:spacing w:val="-2"/>
                <w:sz w:val="18"/>
              </w:rPr>
              <w:t>drugs</w:t>
            </w:r>
          </w:p>
        </w:tc>
        <w:tc>
          <w:tcPr>
            <w:tcW w:w="1496" w:type="dxa"/>
          </w:tcPr>
          <w:p>
            <w:pPr>
              <w:pStyle w:val="TableParagraph"/>
              <w:spacing w:line="232" w:lineRule="auto" w:before="98"/>
              <w:ind w:left="98"/>
              <w:rPr>
                <w:sz w:val="18"/>
              </w:rPr>
            </w:pPr>
            <w:r>
              <w:rPr>
                <w:color w:val="105C84"/>
                <w:spacing w:val="-2"/>
                <w:sz w:val="18"/>
              </w:rPr>
              <w:t>Community-based organizations</w:t>
            </w:r>
          </w:p>
        </w:tc>
        <w:tc>
          <w:tcPr>
            <w:tcW w:w="1405" w:type="dxa"/>
          </w:tcPr>
          <w:p>
            <w:pPr>
              <w:pStyle w:val="TableParagraph"/>
              <w:spacing w:line="232" w:lineRule="auto" w:before="98"/>
              <w:ind w:left="99" w:right="118"/>
              <w:rPr>
                <w:sz w:val="18"/>
              </w:rPr>
            </w:pPr>
            <w:r>
              <w:rPr>
                <w:color w:val="105C84"/>
                <w:sz w:val="18"/>
              </w:rPr>
              <w:t>S2AY Rural </w:t>
            </w:r>
            <w:r>
              <w:rPr>
                <w:color w:val="105C84"/>
                <w:spacing w:val="-2"/>
                <w:sz w:val="18"/>
              </w:rPr>
              <w:t>Health</w:t>
            </w:r>
            <w:r>
              <w:rPr>
                <w:color w:val="105C84"/>
                <w:sz w:val="18"/>
              </w:rPr>
              <w:t> Network</w:t>
            </w:r>
            <w:r>
              <w:rPr>
                <w:color w:val="105C84"/>
                <w:spacing w:val="-15"/>
                <w:sz w:val="18"/>
              </w:rPr>
              <w:t> </w:t>
            </w:r>
            <w:r>
              <w:rPr>
                <w:color w:val="105C84"/>
                <w:sz w:val="18"/>
              </w:rPr>
              <w:t>5%</w:t>
            </w:r>
            <w:r>
              <w:rPr>
                <w:color w:val="105C84"/>
                <w:spacing w:val="-12"/>
                <w:sz w:val="18"/>
              </w:rPr>
              <w:t> </w:t>
            </w:r>
            <w:r>
              <w:rPr>
                <w:color w:val="105C84"/>
                <w:sz w:val="18"/>
              </w:rPr>
              <w:t>of </w:t>
            </w:r>
            <w:r>
              <w:rPr>
                <w:color w:val="105C84"/>
                <w:spacing w:val="-4"/>
                <w:sz w:val="18"/>
              </w:rPr>
              <w:t>FTE</w:t>
            </w:r>
          </w:p>
        </w:tc>
      </w:tr>
      <w:tr>
        <w:trPr>
          <w:trHeight w:val="2040" w:hRule="atLeast"/>
        </w:trPr>
        <w:tc>
          <w:tcPr>
            <w:tcW w:w="1180" w:type="dxa"/>
            <w:vMerge/>
            <w:tcBorders>
              <w:top w:val="nil"/>
            </w:tcBorders>
            <w:shd w:val="clear" w:color="auto" w:fill="E6E7E8"/>
          </w:tcPr>
          <w:p>
            <w:pPr>
              <w:rPr>
                <w:sz w:val="2"/>
                <w:szCs w:val="2"/>
              </w:rPr>
            </w:pPr>
          </w:p>
        </w:tc>
        <w:tc>
          <w:tcPr>
            <w:tcW w:w="1324" w:type="dxa"/>
            <w:vMerge/>
            <w:tcBorders>
              <w:top w:val="nil"/>
            </w:tcBorders>
          </w:tcPr>
          <w:p>
            <w:pPr>
              <w:rPr>
                <w:sz w:val="2"/>
                <w:szCs w:val="2"/>
              </w:rPr>
            </w:pPr>
          </w:p>
        </w:tc>
        <w:tc>
          <w:tcPr>
            <w:tcW w:w="1266" w:type="dxa"/>
          </w:tcPr>
          <w:p>
            <w:pPr>
              <w:pStyle w:val="TableParagraph"/>
              <w:spacing w:line="232" w:lineRule="auto" w:before="98"/>
              <w:ind w:left="91"/>
              <w:rPr>
                <w:sz w:val="18"/>
              </w:rPr>
            </w:pPr>
            <w:r>
              <w:rPr>
                <w:color w:val="105C84"/>
                <w:sz w:val="18"/>
              </w:rPr>
              <w:t>Goal 2.3 Prevent &amp; </w:t>
            </w:r>
            <w:r>
              <w:rPr>
                <w:color w:val="105C84"/>
                <w:spacing w:val="-2"/>
                <w:sz w:val="18"/>
              </w:rPr>
              <w:t>Address Adverse Childhood </w:t>
            </w:r>
            <w:r>
              <w:rPr>
                <w:color w:val="105C84"/>
                <w:spacing w:val="-4"/>
                <w:sz w:val="18"/>
              </w:rPr>
              <w:t>Experiences</w:t>
            </w:r>
          </w:p>
        </w:tc>
        <w:tc>
          <w:tcPr>
            <w:tcW w:w="1727" w:type="dxa"/>
          </w:tcPr>
          <w:p>
            <w:pPr>
              <w:pStyle w:val="TableParagraph"/>
              <w:spacing w:line="232" w:lineRule="auto" w:before="98"/>
              <w:ind w:left="92" w:right="176"/>
              <w:rPr>
                <w:sz w:val="18"/>
              </w:rPr>
            </w:pPr>
            <w:r>
              <w:rPr>
                <w:color w:val="105C84"/>
                <w:sz w:val="18"/>
              </w:rPr>
              <w:t>2.3.3 Increase </w:t>
            </w:r>
            <w:r>
              <w:rPr>
                <w:color w:val="105C84"/>
                <w:spacing w:val="-2"/>
                <w:sz w:val="18"/>
              </w:rPr>
              <w:t>communities </w:t>
            </w:r>
            <w:r>
              <w:rPr>
                <w:color w:val="105C84"/>
                <w:sz w:val="18"/>
              </w:rPr>
              <w:t>reached by opportunities to build</w:t>
            </w:r>
            <w:r>
              <w:rPr>
                <w:color w:val="105C84"/>
                <w:spacing w:val="-13"/>
                <w:sz w:val="18"/>
              </w:rPr>
              <w:t> </w:t>
            </w:r>
            <w:r>
              <w:rPr>
                <w:color w:val="105C84"/>
                <w:sz w:val="18"/>
              </w:rPr>
              <w:t>resilience</w:t>
            </w:r>
            <w:r>
              <w:rPr>
                <w:color w:val="105C84"/>
                <w:spacing w:val="-12"/>
                <w:sz w:val="18"/>
              </w:rPr>
              <w:t> </w:t>
            </w:r>
            <w:r>
              <w:rPr>
                <w:color w:val="105C84"/>
                <w:sz w:val="18"/>
              </w:rPr>
              <w:t>by</w:t>
            </w:r>
            <w:r>
              <w:rPr>
                <w:color w:val="105C84"/>
                <w:sz w:val="18"/>
              </w:rPr>
              <w:t> at least 10%</w:t>
            </w:r>
          </w:p>
        </w:tc>
        <w:tc>
          <w:tcPr>
            <w:tcW w:w="1065" w:type="dxa"/>
            <w:vMerge/>
            <w:tcBorders>
              <w:top w:val="nil"/>
            </w:tcBorders>
          </w:tcPr>
          <w:p>
            <w:pPr>
              <w:rPr>
                <w:sz w:val="2"/>
                <w:szCs w:val="2"/>
              </w:rPr>
            </w:pPr>
          </w:p>
        </w:tc>
        <w:tc>
          <w:tcPr>
            <w:tcW w:w="1929" w:type="dxa"/>
          </w:tcPr>
          <w:p>
            <w:pPr>
              <w:pStyle w:val="TableParagraph"/>
              <w:spacing w:line="232" w:lineRule="auto" w:before="98"/>
              <w:ind w:left="93" w:right="247"/>
              <w:rPr>
                <w:sz w:val="18"/>
              </w:rPr>
            </w:pPr>
            <w:r>
              <w:rPr>
                <w:color w:val="105C84"/>
                <w:spacing w:val="-2"/>
                <w:sz w:val="18"/>
              </w:rPr>
              <w:t>2.3.3</w:t>
            </w:r>
            <w:r>
              <w:rPr>
                <w:color w:val="105C84"/>
                <w:spacing w:val="-13"/>
                <w:sz w:val="18"/>
              </w:rPr>
              <w:t> </w:t>
            </w:r>
            <w:r>
              <w:rPr>
                <w:color w:val="105C84"/>
                <w:spacing w:val="-2"/>
                <w:sz w:val="18"/>
              </w:rPr>
              <w:t>Grow</w:t>
            </w:r>
            <w:r>
              <w:rPr>
                <w:color w:val="105C84"/>
                <w:spacing w:val="-10"/>
                <w:sz w:val="18"/>
              </w:rPr>
              <w:t> </w:t>
            </w:r>
            <w:r>
              <w:rPr>
                <w:color w:val="105C84"/>
                <w:spacing w:val="-2"/>
                <w:sz w:val="18"/>
              </w:rPr>
              <w:t>resilient communities </w:t>
            </w:r>
            <w:r>
              <w:rPr>
                <w:color w:val="105C84"/>
                <w:sz w:val="18"/>
              </w:rPr>
              <w:t>through</w:t>
            </w:r>
            <w:r>
              <w:rPr>
                <w:color w:val="105C84"/>
                <w:spacing w:val="-1"/>
                <w:sz w:val="18"/>
              </w:rPr>
              <w:t> </w:t>
            </w:r>
            <w:r>
              <w:rPr>
                <w:color w:val="105C84"/>
                <w:sz w:val="18"/>
              </w:rPr>
              <w:t>education,</w:t>
            </w:r>
            <w:r>
              <w:rPr>
                <w:color w:val="105C84"/>
                <w:sz w:val="18"/>
              </w:rPr>
              <w:t> </w:t>
            </w:r>
            <w:r>
              <w:rPr>
                <w:color w:val="105C84"/>
                <w:spacing w:val="-2"/>
                <w:sz w:val="18"/>
              </w:rPr>
              <w:t>engagement, activation/ </w:t>
            </w:r>
            <w:r>
              <w:rPr>
                <w:color w:val="105C84"/>
                <w:sz w:val="18"/>
              </w:rPr>
              <w:t>mobilization and </w:t>
            </w:r>
            <w:r>
              <w:rPr>
                <w:color w:val="105C84"/>
                <w:spacing w:val="-2"/>
                <w:sz w:val="18"/>
              </w:rPr>
              <w:t>celebration</w:t>
            </w:r>
          </w:p>
        </w:tc>
        <w:tc>
          <w:tcPr>
            <w:tcW w:w="5960" w:type="dxa"/>
            <w:gridSpan w:val="2"/>
          </w:tcPr>
          <w:p>
            <w:pPr>
              <w:pStyle w:val="TableParagraph"/>
              <w:tabs>
                <w:tab w:pos="3748" w:val="left" w:leader="none"/>
              </w:tabs>
              <w:spacing w:line="203" w:lineRule="exact" w:before="93"/>
              <w:ind w:left="94"/>
              <w:rPr>
                <w:sz w:val="18"/>
              </w:rPr>
            </w:pPr>
            <w:r>
              <w:rPr>
                <w:color w:val="105C84"/>
                <w:sz w:val="18"/>
              </w:rPr>
              <w:t>Number</w:t>
            </w:r>
            <w:r>
              <w:rPr>
                <w:color w:val="105C84"/>
                <w:spacing w:val="15"/>
                <w:sz w:val="18"/>
              </w:rPr>
              <w:t> </w:t>
            </w:r>
            <w:r>
              <w:rPr>
                <w:color w:val="105C84"/>
                <w:spacing w:val="-5"/>
                <w:sz w:val="18"/>
              </w:rPr>
              <w:t>of</w:t>
            </w:r>
            <w:r>
              <w:rPr>
                <w:color w:val="105C84"/>
                <w:sz w:val="18"/>
              </w:rPr>
              <w:tab/>
              <w:t>YCPH</w:t>
            </w:r>
            <w:r>
              <w:rPr>
                <w:color w:val="105C84"/>
                <w:spacing w:val="-6"/>
                <w:sz w:val="18"/>
              </w:rPr>
              <w:t> </w:t>
            </w:r>
            <w:r>
              <w:rPr>
                <w:color w:val="105C84"/>
                <w:sz w:val="18"/>
              </w:rPr>
              <w:t>promoted</w:t>
            </w:r>
            <w:r>
              <w:rPr>
                <w:color w:val="105C84"/>
                <w:spacing w:val="-6"/>
                <w:sz w:val="18"/>
              </w:rPr>
              <w:t> </w:t>
            </w:r>
            <w:r>
              <w:rPr>
                <w:color w:val="105C84"/>
                <w:sz w:val="18"/>
              </w:rPr>
              <w:t>a</w:t>
            </w:r>
            <w:r>
              <w:rPr>
                <w:color w:val="105C84"/>
                <w:spacing w:val="-6"/>
                <w:sz w:val="18"/>
              </w:rPr>
              <w:t> </w:t>
            </w:r>
            <w:r>
              <w:rPr>
                <w:color w:val="105C84"/>
                <w:spacing w:val="-4"/>
                <w:sz w:val="18"/>
              </w:rPr>
              <w:t>free</w:t>
            </w:r>
          </w:p>
          <w:p>
            <w:pPr>
              <w:pStyle w:val="TableParagraph"/>
              <w:tabs>
                <w:tab w:pos="3748" w:val="left" w:leader="none"/>
              </w:tabs>
              <w:spacing w:line="200" w:lineRule="exact"/>
              <w:ind w:left="94"/>
              <w:rPr>
                <w:sz w:val="18"/>
              </w:rPr>
            </w:pPr>
            <w:r>
              <w:rPr>
                <w:color w:val="105C84"/>
                <w:spacing w:val="-2"/>
                <w:sz w:val="18"/>
              </w:rPr>
              <w:t>community</w:t>
            </w:r>
            <w:r>
              <w:rPr>
                <w:color w:val="105C84"/>
                <w:sz w:val="18"/>
              </w:rPr>
              <w:tab/>
              <w:t>training</w:t>
            </w:r>
            <w:r>
              <w:rPr>
                <w:color w:val="105C84"/>
                <w:spacing w:val="-8"/>
                <w:sz w:val="18"/>
              </w:rPr>
              <w:t> </w:t>
            </w:r>
            <w:r>
              <w:rPr>
                <w:color w:val="105C84"/>
                <w:sz w:val="18"/>
              </w:rPr>
              <w:t>on</w:t>
            </w:r>
            <w:r>
              <w:rPr>
                <w:color w:val="105C84"/>
                <w:spacing w:val="-8"/>
                <w:sz w:val="18"/>
              </w:rPr>
              <w:t> </w:t>
            </w:r>
            <w:r>
              <w:rPr>
                <w:color w:val="105C84"/>
                <w:sz w:val="18"/>
              </w:rPr>
              <w:t>ACES</w:t>
            </w:r>
            <w:r>
              <w:rPr>
                <w:color w:val="105C84"/>
                <w:spacing w:val="-7"/>
                <w:sz w:val="18"/>
              </w:rPr>
              <w:t> </w:t>
            </w:r>
            <w:r>
              <w:rPr>
                <w:color w:val="105C84"/>
                <w:spacing w:val="-5"/>
                <w:sz w:val="18"/>
              </w:rPr>
              <w:t>on</w:t>
            </w:r>
          </w:p>
          <w:p>
            <w:pPr>
              <w:pStyle w:val="TableParagraph"/>
              <w:tabs>
                <w:tab w:pos="3748" w:val="left" w:leader="none"/>
              </w:tabs>
              <w:spacing w:line="200" w:lineRule="exact"/>
              <w:ind w:left="94"/>
              <w:rPr>
                <w:sz w:val="18"/>
              </w:rPr>
            </w:pPr>
            <w:r>
              <w:rPr>
                <w:color w:val="105C84"/>
                <w:spacing w:val="-2"/>
                <w:sz w:val="18"/>
              </w:rPr>
              <w:t>organizations/</w:t>
            </w:r>
            <w:r>
              <w:rPr>
                <w:color w:val="105C84"/>
                <w:sz w:val="18"/>
              </w:rPr>
              <w:tab/>
              <w:t>10/22/19</w:t>
            </w:r>
            <w:r>
              <w:rPr>
                <w:color w:val="105C84"/>
                <w:spacing w:val="-2"/>
                <w:sz w:val="18"/>
              </w:rPr>
              <w:t> </w:t>
            </w:r>
            <w:r>
              <w:rPr>
                <w:color w:val="105C84"/>
                <w:sz w:val="18"/>
              </w:rPr>
              <w:t>offered</w:t>
            </w:r>
            <w:r>
              <w:rPr>
                <w:color w:val="105C84"/>
                <w:spacing w:val="-2"/>
                <w:sz w:val="18"/>
              </w:rPr>
              <w:t> </w:t>
            </w:r>
            <w:r>
              <w:rPr>
                <w:color w:val="105C84"/>
                <w:sz w:val="18"/>
              </w:rPr>
              <w:t>by</w:t>
            </w:r>
            <w:r>
              <w:rPr>
                <w:color w:val="105C84"/>
                <w:spacing w:val="-2"/>
                <w:sz w:val="18"/>
              </w:rPr>
              <w:t> Family</w:t>
            </w:r>
          </w:p>
          <w:p>
            <w:pPr>
              <w:pStyle w:val="TableParagraph"/>
              <w:tabs>
                <w:tab w:pos="3748" w:val="left" w:leader="none"/>
              </w:tabs>
              <w:spacing w:line="200" w:lineRule="exact"/>
              <w:ind w:left="94"/>
              <w:rPr>
                <w:sz w:val="18"/>
              </w:rPr>
            </w:pPr>
            <w:r>
              <w:rPr>
                <w:color w:val="105C84"/>
                <w:sz w:val="18"/>
              </w:rPr>
              <w:t>members</w:t>
            </w:r>
            <w:r>
              <w:rPr>
                <w:color w:val="105C84"/>
                <w:spacing w:val="-4"/>
                <w:sz w:val="18"/>
              </w:rPr>
              <w:t> </w:t>
            </w:r>
            <w:r>
              <w:rPr>
                <w:color w:val="105C84"/>
                <w:spacing w:val="-5"/>
                <w:sz w:val="18"/>
              </w:rPr>
              <w:t>who</w:t>
            </w:r>
            <w:r>
              <w:rPr>
                <w:color w:val="105C84"/>
                <w:sz w:val="18"/>
              </w:rPr>
              <w:tab/>
            </w:r>
            <w:r>
              <w:rPr>
                <w:color w:val="105C84"/>
                <w:spacing w:val="-2"/>
                <w:sz w:val="18"/>
              </w:rPr>
              <w:t>Counseling Services of </w:t>
            </w:r>
            <w:r>
              <w:rPr>
                <w:color w:val="105C84"/>
                <w:spacing w:val="-5"/>
                <w:sz w:val="18"/>
              </w:rPr>
              <w:t>the</w:t>
            </w:r>
          </w:p>
          <w:p>
            <w:pPr>
              <w:pStyle w:val="TableParagraph"/>
              <w:tabs>
                <w:tab w:pos="3748" w:val="left" w:leader="none"/>
              </w:tabs>
              <w:spacing w:line="200" w:lineRule="exact"/>
              <w:ind w:left="94"/>
              <w:rPr>
                <w:sz w:val="18"/>
              </w:rPr>
            </w:pPr>
            <w:r>
              <w:rPr>
                <w:color w:val="105C84"/>
                <w:sz w:val="18"/>
              </w:rPr>
              <w:t>participated</w:t>
            </w:r>
            <w:r>
              <w:rPr>
                <w:color w:val="105C84"/>
                <w:spacing w:val="33"/>
                <w:sz w:val="18"/>
              </w:rPr>
              <w:t> </w:t>
            </w:r>
            <w:r>
              <w:rPr>
                <w:color w:val="105C84"/>
                <w:spacing w:val="-5"/>
                <w:sz w:val="18"/>
              </w:rPr>
              <w:t>in</w:t>
            </w:r>
            <w:r>
              <w:rPr>
                <w:color w:val="105C84"/>
                <w:sz w:val="18"/>
              </w:rPr>
              <w:tab/>
              <w:t>Finger</w:t>
            </w:r>
            <w:r>
              <w:rPr>
                <w:color w:val="105C84"/>
                <w:spacing w:val="-4"/>
                <w:sz w:val="18"/>
              </w:rPr>
              <w:t> </w:t>
            </w:r>
            <w:r>
              <w:rPr>
                <w:color w:val="105C84"/>
                <w:spacing w:val="-2"/>
                <w:sz w:val="18"/>
              </w:rPr>
              <w:t>Lakes.</w:t>
            </w:r>
          </w:p>
          <w:p>
            <w:pPr>
              <w:pStyle w:val="TableParagraph"/>
              <w:tabs>
                <w:tab w:pos="3748" w:val="left" w:leader="none"/>
              </w:tabs>
              <w:spacing w:line="232" w:lineRule="auto" w:before="1"/>
              <w:ind w:left="3748" w:right="268" w:hanging="3654"/>
              <w:rPr>
                <w:sz w:val="18"/>
              </w:rPr>
            </w:pPr>
            <w:r>
              <w:rPr>
                <w:color w:val="105C84"/>
                <w:position w:val="9"/>
                <w:sz w:val="18"/>
              </w:rPr>
              <w:t>ACE’s discussions</w:t>
              <w:tab/>
            </w:r>
            <w:r>
              <w:rPr>
                <w:color w:val="105C84"/>
                <w:sz w:val="18"/>
              </w:rPr>
              <w:t>YCPH</w:t>
            </w:r>
            <w:r>
              <w:rPr>
                <w:color w:val="105C84"/>
                <w:spacing w:val="-13"/>
                <w:sz w:val="18"/>
              </w:rPr>
              <w:t> </w:t>
            </w:r>
            <w:r>
              <w:rPr>
                <w:color w:val="105C84"/>
                <w:sz w:val="18"/>
              </w:rPr>
              <w:t>staff</w:t>
            </w:r>
            <w:r>
              <w:rPr>
                <w:color w:val="105C84"/>
                <w:spacing w:val="-12"/>
                <w:sz w:val="18"/>
              </w:rPr>
              <w:t> </w:t>
            </w:r>
            <w:r>
              <w:rPr>
                <w:color w:val="105C84"/>
                <w:sz w:val="18"/>
              </w:rPr>
              <w:t>attended</w:t>
            </w:r>
            <w:r>
              <w:rPr>
                <w:color w:val="105C84"/>
                <w:spacing w:val="-13"/>
                <w:sz w:val="18"/>
              </w:rPr>
              <w:t> </w:t>
            </w:r>
            <w:r>
              <w:rPr>
                <w:color w:val="105C84"/>
                <w:sz w:val="18"/>
              </w:rPr>
              <w:t>the </w:t>
            </w:r>
            <w:r>
              <w:rPr>
                <w:color w:val="105C84"/>
                <w:spacing w:val="-2"/>
                <w:sz w:val="18"/>
              </w:rPr>
              <w:t>training.</w:t>
            </w:r>
          </w:p>
        </w:tc>
        <w:tc>
          <w:tcPr>
            <w:tcW w:w="2735" w:type="dxa"/>
          </w:tcPr>
          <w:p>
            <w:pPr>
              <w:pStyle w:val="TableParagraph"/>
              <w:spacing w:line="232" w:lineRule="auto" w:before="97"/>
              <w:ind w:left="96" w:right="159"/>
              <w:jc w:val="both"/>
              <w:rPr>
                <w:sz w:val="18"/>
              </w:rPr>
            </w:pPr>
            <w:r>
              <w:rPr>
                <w:color w:val="105C84"/>
                <w:sz w:val="18"/>
              </w:rPr>
              <w:t>YCPH will continue to become </w:t>
            </w:r>
            <w:r>
              <w:rPr>
                <w:color w:val="105C84"/>
                <w:spacing w:val="-2"/>
                <w:sz w:val="18"/>
              </w:rPr>
              <w:t>familiar</w:t>
            </w:r>
            <w:r>
              <w:rPr>
                <w:color w:val="105C84"/>
                <w:spacing w:val="-6"/>
                <w:sz w:val="18"/>
              </w:rPr>
              <w:t> </w:t>
            </w:r>
            <w:r>
              <w:rPr>
                <w:color w:val="105C84"/>
                <w:spacing w:val="-2"/>
                <w:sz w:val="18"/>
              </w:rPr>
              <w:t>with</w:t>
            </w:r>
            <w:r>
              <w:rPr>
                <w:color w:val="105C84"/>
                <w:spacing w:val="-6"/>
                <w:sz w:val="18"/>
              </w:rPr>
              <w:t> </w:t>
            </w:r>
            <w:r>
              <w:rPr>
                <w:color w:val="105C84"/>
                <w:spacing w:val="-2"/>
                <w:sz w:val="18"/>
              </w:rPr>
              <w:t>ACE’s</w:t>
            </w:r>
            <w:r>
              <w:rPr>
                <w:color w:val="105C84"/>
                <w:spacing w:val="-6"/>
                <w:sz w:val="18"/>
              </w:rPr>
              <w:t> </w:t>
            </w:r>
            <w:r>
              <w:rPr>
                <w:color w:val="105C84"/>
                <w:spacing w:val="-2"/>
                <w:sz w:val="18"/>
              </w:rPr>
              <w:t>via</w:t>
            </w:r>
            <w:r>
              <w:rPr>
                <w:color w:val="105C84"/>
                <w:spacing w:val="-6"/>
                <w:sz w:val="18"/>
              </w:rPr>
              <w:t> </w:t>
            </w:r>
            <w:r>
              <w:rPr>
                <w:color w:val="105C84"/>
                <w:spacing w:val="-2"/>
                <w:sz w:val="18"/>
              </w:rPr>
              <w:t>trainings </w:t>
            </w:r>
            <w:r>
              <w:rPr>
                <w:color w:val="105C84"/>
                <w:sz w:val="18"/>
              </w:rPr>
              <w:t>&amp; webinars</w:t>
            </w:r>
          </w:p>
          <w:p>
            <w:pPr>
              <w:pStyle w:val="TableParagraph"/>
              <w:spacing w:line="232" w:lineRule="auto" w:before="88"/>
              <w:ind w:left="96"/>
              <w:rPr>
                <w:sz w:val="18"/>
              </w:rPr>
            </w:pPr>
            <w:r>
              <w:rPr>
                <w:color w:val="105C84"/>
                <w:sz w:val="18"/>
              </w:rPr>
              <w:t>YCPH and its partners will assemble community partners (community organizations, schools, providers, etc.) to education/address</w:t>
            </w:r>
            <w:r>
              <w:rPr>
                <w:color w:val="105C84"/>
                <w:spacing w:val="-13"/>
                <w:sz w:val="18"/>
              </w:rPr>
              <w:t> </w:t>
            </w:r>
            <w:r>
              <w:rPr>
                <w:color w:val="105C84"/>
                <w:sz w:val="18"/>
              </w:rPr>
              <w:t>ACE’s</w:t>
            </w:r>
            <w:r>
              <w:rPr>
                <w:color w:val="105C84"/>
                <w:spacing w:val="-12"/>
                <w:sz w:val="18"/>
              </w:rPr>
              <w:t> </w:t>
            </w:r>
            <w:r>
              <w:rPr>
                <w:color w:val="105C84"/>
                <w:sz w:val="18"/>
              </w:rPr>
              <w:t>in</w:t>
            </w:r>
            <w:r>
              <w:rPr>
                <w:color w:val="105C84"/>
                <w:spacing w:val="-13"/>
                <w:sz w:val="18"/>
              </w:rPr>
              <w:t> </w:t>
            </w:r>
            <w:r>
              <w:rPr>
                <w:color w:val="105C84"/>
                <w:sz w:val="18"/>
              </w:rPr>
              <w:t>the community setting</w:t>
            </w:r>
          </w:p>
        </w:tc>
        <w:tc>
          <w:tcPr>
            <w:tcW w:w="2274" w:type="dxa"/>
          </w:tcPr>
          <w:p>
            <w:pPr>
              <w:pStyle w:val="TableParagraph"/>
              <w:spacing w:line="232" w:lineRule="auto" w:before="97"/>
              <w:ind w:left="97" w:right="571"/>
              <w:jc w:val="both"/>
              <w:rPr>
                <w:sz w:val="18"/>
              </w:rPr>
            </w:pPr>
            <w:r>
              <w:rPr>
                <w:color w:val="105C84"/>
                <w:sz w:val="18"/>
              </w:rPr>
              <w:t>YCPH</w:t>
            </w:r>
            <w:r>
              <w:rPr>
                <w:color w:val="105C84"/>
                <w:spacing w:val="-13"/>
                <w:sz w:val="18"/>
              </w:rPr>
              <w:t> </w:t>
            </w:r>
            <w:r>
              <w:rPr>
                <w:color w:val="105C84"/>
                <w:sz w:val="18"/>
              </w:rPr>
              <w:t>will</w:t>
            </w:r>
            <w:r>
              <w:rPr>
                <w:color w:val="105C84"/>
                <w:spacing w:val="-12"/>
                <w:sz w:val="18"/>
              </w:rPr>
              <w:t> </w:t>
            </w:r>
            <w:r>
              <w:rPr>
                <w:color w:val="105C84"/>
                <w:sz w:val="18"/>
              </w:rPr>
              <w:t>work</w:t>
            </w:r>
            <w:r>
              <w:rPr>
                <w:color w:val="105C84"/>
                <w:spacing w:val="-13"/>
                <w:sz w:val="18"/>
              </w:rPr>
              <w:t> </w:t>
            </w:r>
            <w:r>
              <w:rPr>
                <w:color w:val="105C84"/>
                <w:sz w:val="18"/>
              </w:rPr>
              <w:t>with community</w:t>
            </w:r>
            <w:r>
              <w:rPr>
                <w:color w:val="105C84"/>
                <w:spacing w:val="-13"/>
                <w:sz w:val="18"/>
              </w:rPr>
              <w:t> </w:t>
            </w:r>
            <w:r>
              <w:rPr>
                <w:color w:val="105C84"/>
                <w:sz w:val="18"/>
              </w:rPr>
              <w:t>partners to promote resilient </w:t>
            </w:r>
            <w:r>
              <w:rPr>
                <w:color w:val="105C84"/>
                <w:spacing w:val="-2"/>
                <w:sz w:val="18"/>
              </w:rPr>
              <w:t>communities</w:t>
            </w:r>
          </w:p>
        </w:tc>
        <w:tc>
          <w:tcPr>
            <w:tcW w:w="1496" w:type="dxa"/>
          </w:tcPr>
          <w:p>
            <w:pPr>
              <w:pStyle w:val="TableParagraph"/>
              <w:spacing w:line="232" w:lineRule="auto" w:before="97"/>
              <w:ind w:left="98"/>
              <w:rPr>
                <w:sz w:val="18"/>
              </w:rPr>
            </w:pPr>
            <w:r>
              <w:rPr>
                <w:color w:val="105C84"/>
                <w:spacing w:val="-2"/>
                <w:sz w:val="18"/>
              </w:rPr>
              <w:t>Local</w:t>
            </w:r>
            <w:r>
              <w:rPr>
                <w:color w:val="105C84"/>
                <w:spacing w:val="-11"/>
                <w:sz w:val="18"/>
              </w:rPr>
              <w:t> </w:t>
            </w:r>
            <w:r>
              <w:rPr>
                <w:color w:val="105C84"/>
                <w:spacing w:val="-2"/>
                <w:sz w:val="18"/>
              </w:rPr>
              <w:t>health department</w:t>
            </w:r>
          </w:p>
        </w:tc>
        <w:tc>
          <w:tcPr>
            <w:tcW w:w="1405" w:type="dxa"/>
          </w:tcPr>
          <w:p>
            <w:pPr>
              <w:pStyle w:val="TableParagraph"/>
              <w:spacing w:line="232" w:lineRule="auto" w:before="97"/>
              <w:ind w:left="99" w:right="232"/>
              <w:jc w:val="both"/>
              <w:rPr>
                <w:sz w:val="18"/>
              </w:rPr>
            </w:pPr>
            <w:r>
              <w:rPr>
                <w:color w:val="105C84"/>
                <w:spacing w:val="-2"/>
                <w:sz w:val="18"/>
              </w:rPr>
              <w:t>Yates</w:t>
            </w:r>
            <w:r>
              <w:rPr>
                <w:color w:val="105C84"/>
                <w:spacing w:val="-11"/>
                <w:sz w:val="18"/>
              </w:rPr>
              <w:t> </w:t>
            </w:r>
            <w:r>
              <w:rPr>
                <w:color w:val="105C84"/>
                <w:spacing w:val="-2"/>
                <w:sz w:val="18"/>
              </w:rPr>
              <w:t>County </w:t>
            </w:r>
            <w:r>
              <w:rPr>
                <w:color w:val="105C84"/>
                <w:sz w:val="18"/>
              </w:rPr>
              <w:t>Public</w:t>
            </w:r>
            <w:r>
              <w:rPr>
                <w:color w:val="105C84"/>
                <w:spacing w:val="-13"/>
                <w:sz w:val="18"/>
              </w:rPr>
              <w:t> </w:t>
            </w:r>
            <w:r>
              <w:rPr>
                <w:color w:val="105C84"/>
                <w:sz w:val="18"/>
              </w:rPr>
              <w:t>Health </w:t>
            </w:r>
            <w:r>
              <w:rPr>
                <w:color w:val="105C84"/>
                <w:spacing w:val="-6"/>
                <w:sz w:val="18"/>
              </w:rPr>
              <w:t>(YCPH)</w:t>
            </w:r>
            <w:r>
              <w:rPr>
                <w:color w:val="105C84"/>
                <w:spacing w:val="-7"/>
                <w:sz w:val="18"/>
              </w:rPr>
              <w:t> </w:t>
            </w:r>
            <w:r>
              <w:rPr>
                <w:color w:val="105C84"/>
                <w:spacing w:val="-6"/>
                <w:sz w:val="18"/>
              </w:rPr>
              <w:t>0.025 </w:t>
            </w:r>
            <w:r>
              <w:rPr>
                <w:color w:val="105C84"/>
                <w:spacing w:val="-4"/>
                <w:sz w:val="18"/>
              </w:rPr>
              <w:t>FTE</w:t>
            </w:r>
          </w:p>
        </w:tc>
      </w:tr>
    </w:tbl>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278"/>
        <w:rPr>
          <w:b/>
          <w:sz w:val="26"/>
        </w:rPr>
      </w:pPr>
    </w:p>
    <w:p>
      <w:pPr>
        <w:tabs>
          <w:tab w:pos="23047" w:val="left" w:leader="none"/>
        </w:tabs>
        <w:spacing w:before="0"/>
        <w:ind w:left="0" w:right="0" w:firstLine="0"/>
        <w:jc w:val="left"/>
        <w:rPr>
          <w:b/>
          <w:sz w:val="26"/>
        </w:rPr>
      </w:pPr>
      <w:r>
        <w:rPr>
          <w:position w:val="-4"/>
        </w:rPr>
        <w:drawing>
          <wp:inline distT="0" distB="0" distL="0" distR="0">
            <wp:extent cx="568172" cy="184683"/>
            <wp:effectExtent l="0" t="0" r="0" b="0"/>
            <wp:docPr id="2120" name="Image 2120"/>
            <wp:cNvGraphicFramePr>
              <a:graphicFrameLocks/>
            </wp:cNvGraphicFramePr>
            <a:graphic>
              <a:graphicData uri="http://schemas.openxmlformats.org/drawingml/2006/picture">
                <pic:pic>
                  <pic:nvPicPr>
                    <pic:cNvPr id="2120" name="Image 2120"/>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13"/>
          <w:sz w:val="20"/>
        </w:rPr>
        <w:t> </w:t>
      </w:r>
      <w:r>
        <w:rPr>
          <w:b/>
          <w:color w:val="939598"/>
          <w:w w:val="105"/>
          <w:sz w:val="26"/>
        </w:rPr>
        <w:t>253</w:t>
      </w:r>
      <w:r>
        <w:rPr>
          <w:b/>
          <w:color w:val="939598"/>
          <w:sz w:val="26"/>
        </w:rPr>
        <w:tab/>
      </w:r>
      <w:r>
        <w:rPr>
          <w:b/>
          <w:color w:val="939598"/>
          <w:spacing w:val="-5"/>
          <w:w w:val="105"/>
          <w:sz w:val="26"/>
        </w:rPr>
        <w:t>254</w:t>
      </w:r>
    </w:p>
    <w:p>
      <w:pPr>
        <w:spacing w:after="0"/>
        <w:jc w:val="left"/>
        <w:rPr>
          <w:b/>
          <w:sz w:val="26"/>
        </w:rPr>
        <w:sectPr>
          <w:pgSz w:w="24480" w:h="15840" w:orient="landscape"/>
          <w:pgMar w:header="0" w:footer="0" w:top="860" w:bottom="0" w:left="0" w:right="720"/>
        </w:sectPr>
      </w:pPr>
    </w:p>
    <w:p>
      <w:pPr>
        <w:spacing w:before="609"/>
        <w:ind w:left="1089" w:right="0" w:firstLine="0"/>
        <w:jc w:val="left"/>
        <w:rPr>
          <w:sz w:val="54"/>
        </w:rPr>
      </w:pPr>
      <w:r>
        <w:rPr>
          <w:sz w:val="54"/>
        </w:rPr>
        <w:drawing>
          <wp:anchor distT="0" distB="0" distL="0" distR="0" allowOverlap="1" layoutInCell="1" locked="0" behindDoc="0" simplePos="0" relativeHeight="16065024">
            <wp:simplePos x="0" y="0"/>
            <wp:positionH relativeFrom="page">
              <wp:posOffset>14292898</wp:posOffset>
            </wp:positionH>
            <wp:positionV relativeFrom="paragraph">
              <wp:posOffset>347471</wp:posOffset>
            </wp:positionV>
            <wp:extent cx="620077" cy="580072"/>
            <wp:effectExtent l="0" t="0" r="0" b="0"/>
            <wp:wrapNone/>
            <wp:docPr id="2121" name="Image 2121"/>
            <wp:cNvGraphicFramePr>
              <a:graphicFrameLocks/>
            </wp:cNvGraphicFramePr>
            <a:graphic>
              <a:graphicData uri="http://schemas.openxmlformats.org/drawingml/2006/picture">
                <pic:pic>
                  <pic:nvPicPr>
                    <pic:cNvPr id="2121" name="Image 2121"/>
                    <pic:cNvPicPr/>
                  </pic:nvPicPr>
                  <pic:blipFill>
                    <a:blip r:embed="rId268" cstate="print"/>
                    <a:stretch>
                      <a:fillRect/>
                    </a:stretch>
                  </pic:blipFill>
                  <pic:spPr>
                    <a:xfrm>
                      <a:off x="0" y="0"/>
                      <a:ext cx="620077" cy="580072"/>
                    </a:xfrm>
                    <a:prstGeom prst="rect">
                      <a:avLst/>
                    </a:prstGeom>
                  </pic:spPr>
                </pic:pic>
              </a:graphicData>
            </a:graphic>
          </wp:anchor>
        </w:drawing>
      </w:r>
      <w:r>
        <w:rPr>
          <w:sz w:val="54"/>
        </w:rPr>
        <w:drawing>
          <wp:anchor distT="0" distB="0" distL="0" distR="0" allowOverlap="1" layoutInCell="1" locked="0" behindDoc="0" simplePos="0" relativeHeight="16065536">
            <wp:simplePos x="0" y="0"/>
            <wp:positionH relativeFrom="page">
              <wp:posOffset>14981556</wp:posOffset>
            </wp:positionH>
            <wp:positionV relativeFrom="page">
              <wp:posOffset>9668103</wp:posOffset>
            </wp:positionV>
            <wp:extent cx="563245" cy="184683"/>
            <wp:effectExtent l="0" t="0" r="0" b="0"/>
            <wp:wrapNone/>
            <wp:docPr id="2122" name="Image 2122"/>
            <wp:cNvGraphicFramePr>
              <a:graphicFrameLocks/>
            </wp:cNvGraphicFramePr>
            <a:graphic>
              <a:graphicData uri="http://schemas.openxmlformats.org/drawingml/2006/picture">
                <pic:pic>
                  <pic:nvPicPr>
                    <pic:cNvPr id="2122" name="Image 2122"/>
                    <pic:cNvPicPr/>
                  </pic:nvPicPr>
                  <pic:blipFill>
                    <a:blip r:embed="rId38" cstate="print"/>
                    <a:stretch>
                      <a:fillRect/>
                    </a:stretch>
                  </pic:blipFill>
                  <pic:spPr>
                    <a:xfrm>
                      <a:off x="0" y="0"/>
                      <a:ext cx="563245" cy="184683"/>
                    </a:xfrm>
                    <a:prstGeom prst="rect">
                      <a:avLst/>
                    </a:prstGeom>
                  </pic:spPr>
                </pic:pic>
              </a:graphicData>
            </a:graphic>
          </wp:anchor>
        </w:drawing>
      </w:r>
      <w:r>
        <w:rPr>
          <w:sz w:val="54"/>
        </w:rPr>
        <w:drawing>
          <wp:anchor distT="0" distB="0" distL="0" distR="0" allowOverlap="1" layoutInCell="1" locked="0" behindDoc="0" simplePos="0" relativeHeight="16066048">
            <wp:simplePos x="0" y="0"/>
            <wp:positionH relativeFrom="page">
              <wp:posOffset>13547852</wp:posOffset>
            </wp:positionH>
            <wp:positionV relativeFrom="paragraph">
              <wp:posOffset>354583</wp:posOffset>
            </wp:positionV>
            <wp:extent cx="610869" cy="494804"/>
            <wp:effectExtent l="0" t="0" r="0" b="0"/>
            <wp:wrapNone/>
            <wp:docPr id="2123" name="Image 2123"/>
            <wp:cNvGraphicFramePr>
              <a:graphicFrameLocks/>
            </wp:cNvGraphicFramePr>
            <a:graphic>
              <a:graphicData uri="http://schemas.openxmlformats.org/drawingml/2006/picture">
                <pic:pic>
                  <pic:nvPicPr>
                    <pic:cNvPr id="2123" name="Image 2123"/>
                    <pic:cNvPicPr/>
                  </pic:nvPicPr>
                  <pic:blipFill>
                    <a:blip r:embed="rId269" cstate="print"/>
                    <a:stretch>
                      <a:fillRect/>
                    </a:stretch>
                  </pic:blipFill>
                  <pic:spPr>
                    <a:xfrm>
                      <a:off x="0" y="0"/>
                      <a:ext cx="610869" cy="494804"/>
                    </a:xfrm>
                    <a:prstGeom prst="rect">
                      <a:avLst/>
                    </a:prstGeom>
                  </pic:spPr>
                </pic:pic>
              </a:graphicData>
            </a:graphic>
          </wp:anchor>
        </w:drawing>
      </w:r>
      <w:r>
        <w:rPr>
          <w:sz w:val="54"/>
        </w:rPr>
        <w:drawing>
          <wp:anchor distT="0" distB="0" distL="0" distR="0" allowOverlap="1" layoutInCell="1" locked="0" behindDoc="0" simplePos="0" relativeHeight="16066560">
            <wp:simplePos x="0" y="0"/>
            <wp:positionH relativeFrom="page">
              <wp:posOffset>12242292</wp:posOffset>
            </wp:positionH>
            <wp:positionV relativeFrom="paragraph">
              <wp:posOffset>309372</wp:posOffset>
            </wp:positionV>
            <wp:extent cx="1141336" cy="338581"/>
            <wp:effectExtent l="0" t="0" r="0" b="0"/>
            <wp:wrapNone/>
            <wp:docPr id="2124" name="Image 2124"/>
            <wp:cNvGraphicFramePr>
              <a:graphicFrameLocks/>
            </wp:cNvGraphicFramePr>
            <a:graphic>
              <a:graphicData uri="http://schemas.openxmlformats.org/drawingml/2006/picture">
                <pic:pic>
                  <pic:nvPicPr>
                    <pic:cNvPr id="2124" name="Image 2124"/>
                    <pic:cNvPicPr/>
                  </pic:nvPicPr>
                  <pic:blipFill>
                    <a:blip r:embed="rId270" cstate="print"/>
                    <a:stretch>
                      <a:fillRect/>
                    </a:stretch>
                  </pic:blipFill>
                  <pic:spPr>
                    <a:xfrm>
                      <a:off x="0" y="0"/>
                      <a:ext cx="1141336" cy="338581"/>
                    </a:xfrm>
                    <a:prstGeom prst="rect">
                      <a:avLst/>
                    </a:prstGeom>
                  </pic:spPr>
                </pic:pic>
              </a:graphicData>
            </a:graphic>
          </wp:anchor>
        </w:drawing>
      </w:r>
      <w:r>
        <w:rPr>
          <w:color w:val="636466"/>
          <w:sz w:val="54"/>
        </w:rPr>
        <w:t>Yates</w:t>
      </w:r>
      <w:r>
        <w:rPr>
          <w:color w:val="636466"/>
          <w:spacing w:val="24"/>
          <w:sz w:val="54"/>
        </w:rPr>
        <w:t> </w:t>
      </w:r>
      <w:r>
        <w:rPr>
          <w:color w:val="636466"/>
          <w:sz w:val="54"/>
        </w:rPr>
        <w:t>County</w:t>
      </w:r>
      <w:r>
        <w:rPr>
          <w:color w:val="636466"/>
          <w:spacing w:val="25"/>
          <w:sz w:val="54"/>
        </w:rPr>
        <w:t> </w:t>
      </w:r>
      <w:r>
        <w:rPr>
          <w:color w:val="636466"/>
          <w:sz w:val="54"/>
        </w:rPr>
        <w:t>Appendix</w:t>
      </w:r>
      <w:r>
        <w:rPr>
          <w:color w:val="636466"/>
          <w:spacing w:val="25"/>
          <w:sz w:val="54"/>
        </w:rPr>
        <w:t> </w:t>
      </w:r>
      <w:r>
        <w:rPr>
          <w:color w:val="636466"/>
          <w:spacing w:val="-10"/>
          <w:sz w:val="54"/>
        </w:rPr>
        <w:t>H</w:t>
      </w:r>
    </w:p>
    <w:p>
      <w:pPr>
        <w:spacing w:line="247" w:lineRule="auto" w:before="236"/>
        <w:ind w:left="1089" w:right="13013" w:firstLine="0"/>
        <w:jc w:val="left"/>
        <w:rPr>
          <w:b/>
          <w:sz w:val="32"/>
        </w:rPr>
      </w:pPr>
      <w:r>
        <w:rPr>
          <w:b/>
          <w:color w:val="82BF6A"/>
          <w:spacing w:val="-4"/>
          <w:sz w:val="32"/>
        </w:rPr>
        <w:t>PRIORITY:</w:t>
      </w:r>
      <w:r>
        <w:rPr>
          <w:b/>
          <w:color w:val="82BF6A"/>
          <w:spacing w:val="-19"/>
          <w:sz w:val="32"/>
        </w:rPr>
        <w:t> </w:t>
      </w:r>
      <w:r>
        <w:rPr>
          <w:b/>
          <w:color w:val="82BF6A"/>
          <w:spacing w:val="-4"/>
          <w:sz w:val="32"/>
        </w:rPr>
        <w:t>PROMOTE</w:t>
      </w:r>
      <w:r>
        <w:rPr>
          <w:b/>
          <w:color w:val="82BF6A"/>
          <w:spacing w:val="-18"/>
          <w:sz w:val="32"/>
        </w:rPr>
        <w:t> </w:t>
      </w:r>
      <w:r>
        <w:rPr>
          <w:b/>
          <w:color w:val="82BF6A"/>
          <w:spacing w:val="-4"/>
          <w:sz w:val="32"/>
        </w:rPr>
        <w:t>WELL-BEING</w:t>
      </w:r>
      <w:r>
        <w:rPr>
          <w:b/>
          <w:color w:val="82BF6A"/>
          <w:spacing w:val="-18"/>
          <w:sz w:val="32"/>
        </w:rPr>
        <w:t> </w:t>
      </w:r>
      <w:r>
        <w:rPr>
          <w:b/>
          <w:color w:val="82BF6A"/>
          <w:spacing w:val="-4"/>
          <w:sz w:val="32"/>
        </w:rPr>
        <w:t>AND</w:t>
      </w:r>
      <w:r>
        <w:rPr>
          <w:b/>
          <w:color w:val="82BF6A"/>
          <w:spacing w:val="-18"/>
          <w:sz w:val="32"/>
        </w:rPr>
        <w:t> </w:t>
      </w:r>
      <w:r>
        <w:rPr>
          <w:b/>
          <w:color w:val="82BF6A"/>
          <w:spacing w:val="-4"/>
          <w:sz w:val="32"/>
        </w:rPr>
        <w:t>PREVENT</w:t>
      </w:r>
      <w:r>
        <w:rPr>
          <w:b/>
          <w:color w:val="82BF6A"/>
          <w:spacing w:val="-19"/>
          <w:sz w:val="32"/>
        </w:rPr>
        <w:t> </w:t>
      </w:r>
      <w:r>
        <w:rPr>
          <w:b/>
          <w:color w:val="82BF6A"/>
          <w:spacing w:val="-4"/>
          <w:sz w:val="32"/>
        </w:rPr>
        <w:t>MENTAL </w:t>
      </w:r>
      <w:r>
        <w:rPr>
          <w:b/>
          <w:color w:val="82BF6A"/>
          <w:sz w:val="32"/>
        </w:rPr>
        <w:t>AND</w:t>
      </w:r>
      <w:r>
        <w:rPr>
          <w:b/>
          <w:color w:val="82BF6A"/>
          <w:spacing w:val="-22"/>
          <w:sz w:val="32"/>
        </w:rPr>
        <w:t> </w:t>
      </w:r>
      <w:r>
        <w:rPr>
          <w:b/>
          <w:color w:val="82BF6A"/>
          <w:sz w:val="32"/>
        </w:rPr>
        <w:t>SUBSTANCE</w:t>
      </w:r>
      <w:r>
        <w:rPr>
          <w:b/>
          <w:color w:val="82BF6A"/>
          <w:spacing w:val="-22"/>
          <w:sz w:val="32"/>
        </w:rPr>
        <w:t> </w:t>
      </w:r>
      <w:r>
        <w:rPr>
          <w:b/>
          <w:color w:val="82BF6A"/>
          <w:sz w:val="32"/>
        </w:rPr>
        <w:t>USE</w:t>
      </w:r>
      <w:r>
        <w:rPr>
          <w:b/>
          <w:color w:val="82BF6A"/>
          <w:spacing w:val="-22"/>
          <w:sz w:val="32"/>
        </w:rPr>
        <w:t> </w:t>
      </w:r>
      <w:r>
        <w:rPr>
          <w:b/>
          <w:color w:val="82BF6A"/>
          <w:sz w:val="32"/>
        </w:rPr>
        <w:t>DISORDERS</w:t>
      </w:r>
    </w:p>
    <w:p>
      <w:pPr>
        <w:pStyle w:val="BodyText"/>
        <w:spacing w:before="152"/>
        <w:rPr>
          <w:b/>
          <w:sz w:val="20"/>
        </w:rPr>
      </w:pPr>
    </w:p>
    <w:tbl>
      <w:tblPr>
        <w:tblW w:w="0" w:type="auto"/>
        <w:jc w:val="left"/>
        <w:tblInd w:w="1099"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1180"/>
        <w:gridCol w:w="1324"/>
        <w:gridCol w:w="1266"/>
        <w:gridCol w:w="1554"/>
        <w:gridCol w:w="1064"/>
        <w:gridCol w:w="2058"/>
        <w:gridCol w:w="2699"/>
        <w:gridCol w:w="4197"/>
        <w:gridCol w:w="1814"/>
        <w:gridCol w:w="2275"/>
        <w:gridCol w:w="1497"/>
        <w:gridCol w:w="1406"/>
      </w:tblGrid>
      <w:tr>
        <w:trPr>
          <w:trHeight w:val="730" w:hRule="atLeast"/>
        </w:trPr>
        <w:tc>
          <w:tcPr>
            <w:tcW w:w="1180" w:type="dxa"/>
            <w:tcBorders>
              <w:right w:val="single" w:sz="4" w:space="0" w:color="FFFFFF"/>
            </w:tcBorders>
            <w:shd w:val="clear" w:color="auto" w:fill="A7A9AC"/>
          </w:tcPr>
          <w:p>
            <w:pPr>
              <w:pStyle w:val="TableParagraph"/>
              <w:spacing w:before="79"/>
              <w:rPr>
                <w:b/>
                <w:sz w:val="18"/>
              </w:rPr>
            </w:pPr>
          </w:p>
          <w:p>
            <w:pPr>
              <w:pStyle w:val="TableParagraph"/>
              <w:ind w:left="80"/>
              <w:rPr>
                <w:b/>
                <w:sz w:val="18"/>
              </w:rPr>
            </w:pPr>
            <w:r>
              <w:rPr>
                <w:b/>
                <w:color w:val="FFFFFF"/>
                <w:spacing w:val="-2"/>
                <w:sz w:val="18"/>
              </w:rPr>
              <w:t>Priority</w:t>
            </w:r>
          </w:p>
        </w:tc>
        <w:tc>
          <w:tcPr>
            <w:tcW w:w="1324" w:type="dxa"/>
            <w:tcBorders>
              <w:left w:val="single" w:sz="4" w:space="0" w:color="FFFFFF"/>
              <w:right w:val="single" w:sz="4" w:space="0" w:color="FFFFFF"/>
            </w:tcBorders>
            <w:shd w:val="clear" w:color="auto" w:fill="A7A9AC"/>
          </w:tcPr>
          <w:p>
            <w:pPr>
              <w:pStyle w:val="TableParagraph"/>
              <w:spacing w:before="79"/>
              <w:rPr>
                <w:b/>
                <w:sz w:val="18"/>
              </w:rPr>
            </w:pPr>
          </w:p>
          <w:p>
            <w:pPr>
              <w:pStyle w:val="TableParagraph"/>
              <w:ind w:left="80"/>
              <w:rPr>
                <w:b/>
                <w:sz w:val="18"/>
              </w:rPr>
            </w:pPr>
            <w:r>
              <w:rPr>
                <w:b/>
                <w:color w:val="FFFFFF"/>
                <w:w w:val="90"/>
                <w:sz w:val="18"/>
              </w:rPr>
              <w:t>Focus</w:t>
            </w:r>
            <w:r>
              <w:rPr>
                <w:b/>
                <w:color w:val="FFFFFF"/>
                <w:spacing w:val="8"/>
                <w:sz w:val="18"/>
              </w:rPr>
              <w:t> </w:t>
            </w:r>
            <w:r>
              <w:rPr>
                <w:b/>
                <w:color w:val="FFFFFF"/>
                <w:spacing w:val="-4"/>
                <w:sz w:val="18"/>
              </w:rPr>
              <w:t>Area</w:t>
            </w:r>
          </w:p>
        </w:tc>
        <w:tc>
          <w:tcPr>
            <w:tcW w:w="1266" w:type="dxa"/>
            <w:tcBorders>
              <w:left w:val="single" w:sz="4" w:space="0" w:color="FFFFFF"/>
              <w:right w:val="single" w:sz="4" w:space="0" w:color="FFFFFF"/>
            </w:tcBorders>
            <w:shd w:val="clear" w:color="auto" w:fill="A7A9AC"/>
          </w:tcPr>
          <w:p>
            <w:pPr>
              <w:pStyle w:val="TableParagraph"/>
              <w:spacing w:line="232" w:lineRule="auto" w:before="191"/>
              <w:ind w:left="81" w:right="235"/>
              <w:rPr>
                <w:b/>
                <w:sz w:val="18"/>
              </w:rPr>
            </w:pPr>
            <w:r>
              <w:rPr>
                <w:b/>
                <w:color w:val="FFFFFF"/>
                <w:spacing w:val="-6"/>
                <w:sz w:val="18"/>
              </w:rPr>
              <w:t>Goal</w:t>
            </w:r>
            <w:r>
              <w:rPr>
                <w:b/>
                <w:color w:val="FFFFFF"/>
                <w:spacing w:val="-7"/>
                <w:sz w:val="18"/>
              </w:rPr>
              <w:t> </w:t>
            </w:r>
            <w:r>
              <w:rPr>
                <w:b/>
                <w:color w:val="FFFFFF"/>
                <w:spacing w:val="-6"/>
                <w:sz w:val="18"/>
              </w:rPr>
              <w:t>Focus </w:t>
            </w:r>
            <w:r>
              <w:rPr>
                <w:b/>
                <w:color w:val="FFFFFF"/>
                <w:spacing w:val="-4"/>
                <w:sz w:val="18"/>
              </w:rPr>
              <w:t>Area</w:t>
            </w:r>
          </w:p>
        </w:tc>
        <w:tc>
          <w:tcPr>
            <w:tcW w:w="1554" w:type="dxa"/>
            <w:tcBorders>
              <w:left w:val="single" w:sz="4" w:space="0" w:color="FFFFFF"/>
              <w:right w:val="single" w:sz="4" w:space="0" w:color="FFFFFF"/>
            </w:tcBorders>
            <w:shd w:val="clear" w:color="auto" w:fill="A7A9AC"/>
          </w:tcPr>
          <w:p>
            <w:pPr>
              <w:pStyle w:val="TableParagraph"/>
              <w:spacing w:before="79"/>
              <w:rPr>
                <w:b/>
                <w:sz w:val="18"/>
              </w:rPr>
            </w:pPr>
          </w:p>
          <w:p>
            <w:pPr>
              <w:pStyle w:val="TableParagraph"/>
              <w:ind w:left="82"/>
              <w:rPr>
                <w:b/>
                <w:sz w:val="18"/>
              </w:rPr>
            </w:pPr>
            <w:r>
              <w:rPr>
                <w:b/>
                <w:color w:val="FFFFFF"/>
                <w:spacing w:val="-2"/>
                <w:sz w:val="18"/>
              </w:rPr>
              <w:t>Objectives</w:t>
            </w:r>
          </w:p>
        </w:tc>
        <w:tc>
          <w:tcPr>
            <w:tcW w:w="1064" w:type="dxa"/>
            <w:tcBorders>
              <w:left w:val="single" w:sz="4" w:space="0" w:color="FFFFFF"/>
              <w:right w:val="single" w:sz="4" w:space="0" w:color="FFFFFF"/>
            </w:tcBorders>
            <w:shd w:val="clear" w:color="auto" w:fill="A7A9AC"/>
          </w:tcPr>
          <w:p>
            <w:pPr>
              <w:pStyle w:val="TableParagraph"/>
              <w:spacing w:before="79"/>
              <w:rPr>
                <w:b/>
                <w:sz w:val="18"/>
              </w:rPr>
            </w:pPr>
          </w:p>
          <w:p>
            <w:pPr>
              <w:pStyle w:val="TableParagraph"/>
              <w:ind w:left="83"/>
              <w:rPr>
                <w:b/>
                <w:sz w:val="18"/>
              </w:rPr>
            </w:pPr>
            <w:r>
              <w:rPr>
                <w:b/>
                <w:color w:val="FFFFFF"/>
                <w:spacing w:val="-2"/>
                <w:sz w:val="18"/>
              </w:rPr>
              <w:t>Disparities</w:t>
            </w:r>
          </w:p>
        </w:tc>
        <w:tc>
          <w:tcPr>
            <w:tcW w:w="2058" w:type="dxa"/>
            <w:tcBorders>
              <w:left w:val="single" w:sz="4" w:space="0" w:color="FFFFFF"/>
              <w:right w:val="single" w:sz="4" w:space="0" w:color="FFFFFF"/>
            </w:tcBorders>
            <w:shd w:val="clear" w:color="auto" w:fill="A7A9AC"/>
          </w:tcPr>
          <w:p>
            <w:pPr>
              <w:pStyle w:val="TableParagraph"/>
              <w:spacing w:before="79"/>
              <w:rPr>
                <w:b/>
                <w:sz w:val="18"/>
              </w:rPr>
            </w:pPr>
          </w:p>
          <w:p>
            <w:pPr>
              <w:pStyle w:val="TableParagraph"/>
              <w:ind w:left="85"/>
              <w:rPr>
                <w:b/>
                <w:sz w:val="18"/>
              </w:rPr>
            </w:pPr>
            <w:r>
              <w:rPr>
                <w:b/>
                <w:color w:val="FFFFFF"/>
                <w:spacing w:val="-2"/>
                <w:sz w:val="18"/>
              </w:rPr>
              <w:t>Interventions</w:t>
            </w:r>
          </w:p>
        </w:tc>
        <w:tc>
          <w:tcPr>
            <w:tcW w:w="2699" w:type="dxa"/>
            <w:tcBorders>
              <w:left w:val="single" w:sz="4" w:space="0" w:color="FFFFFF"/>
              <w:right w:val="nil"/>
            </w:tcBorders>
            <w:shd w:val="clear" w:color="auto" w:fill="A7A9AC"/>
          </w:tcPr>
          <w:p>
            <w:pPr>
              <w:pStyle w:val="TableParagraph"/>
              <w:spacing w:before="79"/>
              <w:rPr>
                <w:b/>
                <w:sz w:val="18"/>
              </w:rPr>
            </w:pPr>
          </w:p>
          <w:p>
            <w:pPr>
              <w:pStyle w:val="TableParagraph"/>
              <w:ind w:left="96"/>
              <w:rPr>
                <w:b/>
                <w:sz w:val="18"/>
              </w:rPr>
            </w:pPr>
            <w:r>
              <w:rPr>
                <w:b/>
                <w:color w:val="FFFFFF"/>
                <w:sz w:val="18"/>
              </w:rPr>
              <w:t>Family</w:t>
            </w:r>
            <w:r>
              <w:rPr>
                <w:b/>
                <w:color w:val="FFFFFF"/>
                <w:spacing w:val="-11"/>
                <w:sz w:val="18"/>
              </w:rPr>
              <w:t> </w:t>
            </w:r>
            <w:r>
              <w:rPr>
                <w:b/>
                <w:color w:val="FFFFFF"/>
                <w:sz w:val="18"/>
              </w:rPr>
              <w:t>of</w:t>
            </w:r>
            <w:r>
              <w:rPr>
                <w:b/>
                <w:color w:val="FFFFFF"/>
                <w:spacing w:val="-10"/>
                <w:sz w:val="18"/>
              </w:rPr>
              <w:t> </w:t>
            </w:r>
            <w:r>
              <w:rPr>
                <w:b/>
                <w:color w:val="FFFFFF"/>
                <w:spacing w:val="-2"/>
                <w:sz w:val="18"/>
              </w:rPr>
              <w:t>Measures</w:t>
            </w:r>
          </w:p>
        </w:tc>
        <w:tc>
          <w:tcPr>
            <w:tcW w:w="4197" w:type="dxa"/>
            <w:tcBorders>
              <w:left w:val="nil"/>
              <w:right w:val="single" w:sz="4" w:space="0" w:color="FFFFFF"/>
            </w:tcBorders>
            <w:shd w:val="clear" w:color="auto" w:fill="A7A9AC"/>
          </w:tcPr>
          <w:p>
            <w:pPr>
              <w:pStyle w:val="TableParagraph"/>
              <w:spacing w:line="232" w:lineRule="auto" w:before="191"/>
              <w:ind w:left="1099" w:right="979"/>
              <w:rPr>
                <w:b/>
                <w:sz w:val="18"/>
              </w:rPr>
            </w:pPr>
            <w:r>
              <w:rPr>
                <w:b/>
                <w:color w:val="FFFFFF"/>
                <w:sz w:val="18"/>
              </w:rPr>
              <w:t>Projected</w:t>
            </w:r>
            <w:r>
              <w:rPr>
                <w:b/>
                <w:color w:val="FFFFFF"/>
                <w:spacing w:val="-15"/>
                <w:sz w:val="18"/>
              </w:rPr>
              <w:t> </w:t>
            </w:r>
            <w:r>
              <w:rPr>
                <w:b/>
                <w:color w:val="FFFFFF"/>
                <w:sz w:val="18"/>
              </w:rPr>
              <w:t>(or</w:t>
            </w:r>
            <w:r>
              <w:rPr>
                <w:b/>
                <w:color w:val="FFFFFF"/>
                <w:spacing w:val="-12"/>
                <w:sz w:val="18"/>
              </w:rPr>
              <w:t> </w:t>
            </w:r>
            <w:r>
              <w:rPr>
                <w:b/>
                <w:color w:val="FFFFFF"/>
                <w:sz w:val="18"/>
              </w:rPr>
              <w:t>completed) Year 1 Intervention</w:t>
            </w:r>
          </w:p>
        </w:tc>
        <w:tc>
          <w:tcPr>
            <w:tcW w:w="1814" w:type="dxa"/>
            <w:tcBorders>
              <w:left w:val="single" w:sz="4" w:space="0" w:color="FFFFFF"/>
              <w:right w:val="single" w:sz="4" w:space="0" w:color="FFFFFF"/>
            </w:tcBorders>
            <w:shd w:val="clear" w:color="auto" w:fill="A7A9AC"/>
          </w:tcPr>
          <w:p>
            <w:pPr>
              <w:pStyle w:val="TableParagraph"/>
              <w:spacing w:before="78"/>
              <w:rPr>
                <w:b/>
                <w:sz w:val="18"/>
              </w:rPr>
            </w:pPr>
          </w:p>
          <w:p>
            <w:pPr>
              <w:pStyle w:val="TableParagraph"/>
              <w:spacing w:before="1"/>
              <w:ind w:left="88"/>
              <w:rPr>
                <w:b/>
                <w:sz w:val="18"/>
              </w:rPr>
            </w:pPr>
            <w:r>
              <w:rPr>
                <w:b/>
                <w:color w:val="FFFFFF"/>
                <w:spacing w:val="-2"/>
                <w:sz w:val="18"/>
              </w:rPr>
              <w:t>Projected</w:t>
            </w:r>
            <w:r>
              <w:rPr>
                <w:b/>
                <w:color w:val="FFFFFF"/>
                <w:spacing w:val="-6"/>
                <w:sz w:val="18"/>
              </w:rPr>
              <w:t> </w:t>
            </w:r>
            <w:r>
              <w:rPr>
                <w:b/>
                <w:color w:val="FFFFFF"/>
                <w:spacing w:val="-2"/>
                <w:sz w:val="18"/>
              </w:rPr>
              <w:t>Year</w:t>
            </w:r>
            <w:r>
              <w:rPr>
                <w:b/>
                <w:color w:val="FFFFFF"/>
                <w:spacing w:val="-5"/>
                <w:sz w:val="18"/>
              </w:rPr>
              <w:t> </w:t>
            </w:r>
            <w:r>
              <w:rPr>
                <w:b/>
                <w:color w:val="FFFFFF"/>
                <w:spacing w:val="-12"/>
                <w:sz w:val="18"/>
              </w:rPr>
              <w:t>2</w:t>
            </w:r>
          </w:p>
        </w:tc>
        <w:tc>
          <w:tcPr>
            <w:tcW w:w="2275" w:type="dxa"/>
            <w:tcBorders>
              <w:left w:val="single" w:sz="4" w:space="0" w:color="FFFFFF"/>
              <w:right w:val="single" w:sz="4" w:space="0" w:color="FFFFFF"/>
            </w:tcBorders>
            <w:shd w:val="clear" w:color="auto" w:fill="A7A9AC"/>
          </w:tcPr>
          <w:p>
            <w:pPr>
              <w:pStyle w:val="TableParagraph"/>
              <w:spacing w:line="232" w:lineRule="auto" w:before="190"/>
              <w:ind w:left="88" w:right="184"/>
              <w:rPr>
                <w:b/>
                <w:sz w:val="18"/>
              </w:rPr>
            </w:pPr>
            <w:r>
              <w:rPr>
                <w:b/>
                <w:color w:val="FFFFFF"/>
                <w:spacing w:val="-2"/>
                <w:sz w:val="18"/>
              </w:rPr>
              <w:t>Projected</w:t>
            </w:r>
            <w:r>
              <w:rPr>
                <w:b/>
                <w:color w:val="FFFFFF"/>
                <w:spacing w:val="-13"/>
                <w:sz w:val="18"/>
              </w:rPr>
              <w:t> </w:t>
            </w:r>
            <w:r>
              <w:rPr>
                <w:b/>
                <w:color w:val="FFFFFF"/>
                <w:spacing w:val="-2"/>
                <w:sz w:val="18"/>
              </w:rPr>
              <w:t>Year</w:t>
            </w:r>
            <w:r>
              <w:rPr>
                <w:b/>
                <w:color w:val="FFFFFF"/>
                <w:spacing w:val="-10"/>
                <w:sz w:val="18"/>
              </w:rPr>
              <w:t> </w:t>
            </w:r>
            <w:r>
              <w:rPr>
                <w:b/>
                <w:color w:val="FFFFFF"/>
                <w:spacing w:val="-2"/>
                <w:sz w:val="18"/>
              </w:rPr>
              <w:t>3 Interventions</w:t>
            </w:r>
          </w:p>
        </w:tc>
        <w:tc>
          <w:tcPr>
            <w:tcW w:w="1497" w:type="dxa"/>
            <w:tcBorders>
              <w:left w:val="single" w:sz="4" w:space="0" w:color="FFFFFF"/>
            </w:tcBorders>
            <w:shd w:val="clear" w:color="auto" w:fill="A7A9AC"/>
          </w:tcPr>
          <w:p>
            <w:pPr>
              <w:pStyle w:val="TableParagraph"/>
              <w:spacing w:line="232" w:lineRule="auto" w:before="190"/>
              <w:ind w:left="88"/>
              <w:rPr>
                <w:b/>
                <w:sz w:val="18"/>
              </w:rPr>
            </w:pPr>
            <w:r>
              <w:rPr>
                <w:b/>
                <w:color w:val="FFFFFF"/>
                <w:spacing w:val="-2"/>
                <w:sz w:val="18"/>
              </w:rPr>
              <w:t>Implementation Partner</w:t>
            </w:r>
          </w:p>
        </w:tc>
        <w:tc>
          <w:tcPr>
            <w:tcW w:w="1406" w:type="dxa"/>
            <w:shd w:val="clear" w:color="auto" w:fill="A7A9AC"/>
          </w:tcPr>
          <w:p>
            <w:pPr>
              <w:pStyle w:val="TableParagraph"/>
              <w:spacing w:line="232" w:lineRule="auto" w:before="190"/>
              <w:ind w:left="89" w:right="61"/>
              <w:rPr>
                <w:b/>
                <w:sz w:val="18"/>
              </w:rPr>
            </w:pPr>
            <w:r>
              <w:rPr>
                <w:b/>
                <w:color w:val="FFFFFF"/>
                <w:spacing w:val="-4"/>
                <w:sz w:val="18"/>
              </w:rPr>
              <w:t>Partner</w:t>
            </w:r>
            <w:r>
              <w:rPr>
                <w:b/>
                <w:color w:val="FFFFFF"/>
                <w:spacing w:val="-9"/>
                <w:sz w:val="18"/>
              </w:rPr>
              <w:t> </w:t>
            </w:r>
            <w:r>
              <w:rPr>
                <w:b/>
                <w:color w:val="FFFFFF"/>
                <w:spacing w:val="-4"/>
                <w:sz w:val="18"/>
              </w:rPr>
              <w:t>Role(s) </w:t>
            </w:r>
            <w:r>
              <w:rPr>
                <w:b/>
                <w:color w:val="FFFFFF"/>
                <w:sz w:val="18"/>
              </w:rPr>
              <w:t>and</w:t>
            </w:r>
            <w:r>
              <w:rPr>
                <w:b/>
                <w:color w:val="FFFFFF"/>
                <w:spacing w:val="-7"/>
                <w:sz w:val="18"/>
              </w:rPr>
              <w:t> </w:t>
            </w:r>
            <w:r>
              <w:rPr>
                <w:b/>
                <w:color w:val="FFFFFF"/>
                <w:spacing w:val="-8"/>
                <w:sz w:val="18"/>
              </w:rPr>
              <w:t>Resources</w:t>
            </w:r>
          </w:p>
        </w:tc>
      </w:tr>
      <w:tr>
        <w:trPr>
          <w:trHeight w:val="1419" w:hRule="atLeast"/>
        </w:trPr>
        <w:tc>
          <w:tcPr>
            <w:tcW w:w="1180" w:type="dxa"/>
            <w:vMerge w:val="restart"/>
            <w:tcBorders>
              <w:bottom w:val="nil"/>
            </w:tcBorders>
            <w:shd w:val="clear" w:color="auto" w:fill="E6E7E8"/>
          </w:tcPr>
          <w:p>
            <w:pPr>
              <w:pStyle w:val="TableParagraph"/>
              <w:spacing w:line="232" w:lineRule="auto" w:before="100"/>
              <w:ind w:left="89" w:right="87"/>
              <w:rPr>
                <w:sz w:val="18"/>
              </w:rPr>
            </w:pPr>
            <w:r>
              <w:rPr>
                <w:color w:val="105C84"/>
                <w:spacing w:val="-2"/>
                <w:sz w:val="18"/>
              </w:rPr>
              <w:t>Promote Well-Being </w:t>
            </w:r>
            <w:r>
              <w:rPr>
                <w:color w:val="105C84"/>
                <w:sz w:val="18"/>
              </w:rPr>
              <w:t>and</w:t>
            </w:r>
            <w:r>
              <w:rPr>
                <w:color w:val="105C84"/>
                <w:spacing w:val="-13"/>
                <w:sz w:val="18"/>
              </w:rPr>
              <w:t> </w:t>
            </w:r>
            <w:r>
              <w:rPr>
                <w:color w:val="105C84"/>
                <w:sz w:val="18"/>
              </w:rPr>
              <w:t>Prevent Mental and </w:t>
            </w:r>
            <w:r>
              <w:rPr>
                <w:color w:val="105C84"/>
                <w:spacing w:val="-2"/>
                <w:sz w:val="18"/>
              </w:rPr>
              <w:t>Substance </w:t>
            </w:r>
            <w:r>
              <w:rPr>
                <w:color w:val="105C84"/>
                <w:spacing w:val="-4"/>
                <w:sz w:val="18"/>
              </w:rPr>
              <w:t>Use </w:t>
            </w:r>
            <w:r>
              <w:rPr>
                <w:color w:val="105C84"/>
                <w:spacing w:val="-2"/>
                <w:sz w:val="18"/>
              </w:rPr>
              <w:t>Disorders</w:t>
            </w:r>
          </w:p>
        </w:tc>
        <w:tc>
          <w:tcPr>
            <w:tcW w:w="1324" w:type="dxa"/>
            <w:vMerge w:val="restart"/>
            <w:tcBorders>
              <w:bottom w:val="nil"/>
            </w:tcBorders>
          </w:tcPr>
          <w:p>
            <w:pPr>
              <w:pStyle w:val="TableParagraph"/>
              <w:spacing w:line="232" w:lineRule="auto" w:before="100"/>
              <w:ind w:left="90" w:right="139"/>
              <w:rPr>
                <w:sz w:val="18"/>
              </w:rPr>
            </w:pPr>
            <w:r>
              <w:rPr>
                <w:color w:val="105C84"/>
                <w:spacing w:val="-4"/>
                <w:sz w:val="18"/>
              </w:rPr>
              <w:t>Focus</w:t>
            </w:r>
            <w:r>
              <w:rPr>
                <w:color w:val="105C84"/>
                <w:spacing w:val="-11"/>
                <w:sz w:val="18"/>
              </w:rPr>
              <w:t> </w:t>
            </w:r>
            <w:r>
              <w:rPr>
                <w:color w:val="105C84"/>
                <w:spacing w:val="-4"/>
                <w:sz w:val="18"/>
              </w:rPr>
              <w:t>Area</w:t>
            </w:r>
            <w:r>
              <w:rPr>
                <w:color w:val="105C84"/>
                <w:spacing w:val="-8"/>
                <w:sz w:val="18"/>
              </w:rPr>
              <w:t> </w:t>
            </w:r>
            <w:r>
              <w:rPr>
                <w:color w:val="105C84"/>
                <w:spacing w:val="-4"/>
                <w:sz w:val="18"/>
              </w:rPr>
              <w:t>2: </w:t>
            </w:r>
            <w:r>
              <w:rPr>
                <w:color w:val="105C84"/>
                <w:spacing w:val="-2"/>
                <w:sz w:val="18"/>
              </w:rPr>
              <w:t>Prevent </w:t>
            </w:r>
            <w:r>
              <w:rPr>
                <w:color w:val="105C84"/>
                <w:sz w:val="18"/>
              </w:rPr>
              <w:t>Mental and </w:t>
            </w:r>
            <w:r>
              <w:rPr>
                <w:color w:val="105C84"/>
                <w:spacing w:val="-2"/>
                <w:sz w:val="18"/>
              </w:rPr>
              <w:t>Substance </w:t>
            </w:r>
            <w:r>
              <w:rPr>
                <w:color w:val="105C84"/>
                <w:spacing w:val="-4"/>
                <w:sz w:val="18"/>
              </w:rPr>
              <w:t>User </w:t>
            </w:r>
            <w:r>
              <w:rPr>
                <w:color w:val="105C84"/>
                <w:spacing w:val="-2"/>
                <w:sz w:val="18"/>
              </w:rPr>
              <w:t>Disorders</w:t>
            </w:r>
          </w:p>
        </w:tc>
        <w:tc>
          <w:tcPr>
            <w:tcW w:w="1266" w:type="dxa"/>
            <w:vMerge w:val="restart"/>
            <w:tcBorders>
              <w:bottom w:val="nil"/>
            </w:tcBorders>
          </w:tcPr>
          <w:p>
            <w:pPr>
              <w:pStyle w:val="TableParagraph"/>
              <w:spacing w:line="232" w:lineRule="auto" w:before="100"/>
              <w:ind w:left="91" w:right="441"/>
              <w:rPr>
                <w:sz w:val="18"/>
              </w:rPr>
            </w:pPr>
            <w:r>
              <w:rPr>
                <w:color w:val="105C84"/>
                <w:spacing w:val="-2"/>
                <w:sz w:val="18"/>
              </w:rPr>
              <w:t>Goal</w:t>
            </w:r>
            <w:r>
              <w:rPr>
                <w:color w:val="105C84"/>
                <w:spacing w:val="-11"/>
                <w:sz w:val="18"/>
              </w:rPr>
              <w:t> </w:t>
            </w:r>
            <w:r>
              <w:rPr>
                <w:color w:val="105C84"/>
                <w:spacing w:val="-2"/>
                <w:sz w:val="18"/>
              </w:rPr>
              <w:t>2.5: Prevent Suicides</w:t>
            </w:r>
          </w:p>
        </w:tc>
        <w:tc>
          <w:tcPr>
            <w:tcW w:w="1554" w:type="dxa"/>
          </w:tcPr>
          <w:p>
            <w:pPr>
              <w:pStyle w:val="TableParagraph"/>
              <w:spacing w:line="232" w:lineRule="auto" w:before="100"/>
              <w:ind w:left="92" w:right="139"/>
              <w:rPr>
                <w:sz w:val="18"/>
              </w:rPr>
            </w:pPr>
            <w:r>
              <w:rPr>
                <w:color w:val="105C84"/>
                <w:sz w:val="18"/>
              </w:rPr>
              <w:t>.5.2:</w:t>
            </w:r>
            <w:r>
              <w:rPr>
                <w:color w:val="105C84"/>
                <w:spacing w:val="-15"/>
                <w:sz w:val="18"/>
              </w:rPr>
              <w:t> </w:t>
            </w:r>
            <w:r>
              <w:rPr>
                <w:color w:val="105C84"/>
                <w:sz w:val="18"/>
              </w:rPr>
              <w:t>Reduce</w:t>
            </w:r>
            <w:r>
              <w:rPr>
                <w:color w:val="105C84"/>
                <w:spacing w:val="-12"/>
                <w:sz w:val="18"/>
              </w:rPr>
              <w:t> </w:t>
            </w:r>
            <w:r>
              <w:rPr>
                <w:color w:val="105C84"/>
                <w:sz w:val="18"/>
              </w:rPr>
              <w:t>the </w:t>
            </w:r>
            <w:r>
              <w:rPr>
                <w:color w:val="105C84"/>
                <w:spacing w:val="-2"/>
                <w:w w:val="105"/>
                <w:sz w:val="18"/>
              </w:rPr>
              <w:t>age-adjusted </w:t>
            </w:r>
            <w:r>
              <w:rPr>
                <w:color w:val="105C84"/>
                <w:sz w:val="18"/>
              </w:rPr>
              <w:t>suicide</w:t>
            </w:r>
            <w:r>
              <w:rPr>
                <w:color w:val="105C84"/>
                <w:spacing w:val="-13"/>
                <w:sz w:val="18"/>
              </w:rPr>
              <w:t> </w:t>
            </w:r>
            <w:r>
              <w:rPr>
                <w:color w:val="105C84"/>
                <w:sz w:val="18"/>
              </w:rPr>
              <w:t>mortality</w:t>
            </w:r>
            <w:r>
              <w:rPr>
                <w:color w:val="105C84"/>
                <w:sz w:val="18"/>
              </w:rPr>
              <w:t> rate</w:t>
            </w:r>
            <w:r>
              <w:rPr>
                <w:color w:val="105C84"/>
                <w:spacing w:val="-6"/>
                <w:sz w:val="18"/>
              </w:rPr>
              <w:t> </w:t>
            </w:r>
            <w:r>
              <w:rPr>
                <w:color w:val="105C84"/>
                <w:sz w:val="18"/>
              </w:rPr>
              <w:t>by</w:t>
            </w:r>
            <w:r>
              <w:rPr>
                <w:color w:val="105C84"/>
                <w:spacing w:val="-6"/>
                <w:sz w:val="18"/>
              </w:rPr>
              <w:t> </w:t>
            </w:r>
            <w:r>
              <w:rPr>
                <w:color w:val="105C84"/>
                <w:sz w:val="18"/>
              </w:rPr>
              <w:t>10%</w:t>
            </w:r>
            <w:r>
              <w:rPr>
                <w:color w:val="105C84"/>
                <w:spacing w:val="-6"/>
                <w:sz w:val="18"/>
              </w:rPr>
              <w:t> </w:t>
            </w:r>
            <w:r>
              <w:rPr>
                <w:color w:val="105C84"/>
                <w:sz w:val="18"/>
              </w:rPr>
              <w:t>to</w:t>
            </w:r>
            <w:r>
              <w:rPr>
                <w:color w:val="105C84"/>
                <w:spacing w:val="-6"/>
                <w:sz w:val="18"/>
              </w:rPr>
              <w:t> </w:t>
            </w:r>
            <w:r>
              <w:rPr>
                <w:color w:val="105C84"/>
                <w:spacing w:val="-10"/>
                <w:sz w:val="18"/>
              </w:rPr>
              <w:t>7</w:t>
            </w:r>
          </w:p>
          <w:p>
            <w:pPr>
              <w:pStyle w:val="TableParagraph"/>
              <w:spacing w:line="199" w:lineRule="exact"/>
              <w:ind w:left="92"/>
              <w:rPr>
                <w:sz w:val="18"/>
              </w:rPr>
            </w:pPr>
            <w:r>
              <w:rPr>
                <w:color w:val="105C84"/>
                <w:sz w:val="18"/>
              </w:rPr>
              <w:t>per</w:t>
            </w:r>
            <w:r>
              <w:rPr>
                <w:color w:val="105C84"/>
                <w:spacing w:val="3"/>
                <w:sz w:val="18"/>
              </w:rPr>
              <w:t> </w:t>
            </w:r>
            <w:r>
              <w:rPr>
                <w:color w:val="105C84"/>
                <w:spacing w:val="-2"/>
                <w:sz w:val="18"/>
              </w:rPr>
              <w:t>100,000</w:t>
            </w:r>
          </w:p>
        </w:tc>
        <w:tc>
          <w:tcPr>
            <w:tcW w:w="1064" w:type="dxa"/>
            <w:vMerge w:val="restart"/>
          </w:tcPr>
          <w:p>
            <w:pPr>
              <w:pStyle w:val="TableParagraph"/>
              <w:rPr>
                <w:rFonts w:ascii="Times New Roman"/>
                <w:sz w:val="18"/>
              </w:rPr>
            </w:pPr>
          </w:p>
        </w:tc>
        <w:tc>
          <w:tcPr>
            <w:tcW w:w="2058" w:type="dxa"/>
          </w:tcPr>
          <w:p>
            <w:pPr>
              <w:pStyle w:val="TableParagraph"/>
              <w:spacing w:line="232" w:lineRule="auto" w:before="100"/>
              <w:ind w:left="95" w:right="374"/>
              <w:rPr>
                <w:sz w:val="18"/>
              </w:rPr>
            </w:pPr>
            <w:r>
              <w:rPr>
                <w:color w:val="105C84"/>
                <w:spacing w:val="-2"/>
                <w:sz w:val="18"/>
              </w:rPr>
              <w:t>2.3.3</w:t>
            </w:r>
            <w:r>
              <w:rPr>
                <w:color w:val="105C84"/>
                <w:spacing w:val="-13"/>
                <w:sz w:val="18"/>
              </w:rPr>
              <w:t> </w:t>
            </w:r>
            <w:r>
              <w:rPr>
                <w:color w:val="105C84"/>
                <w:spacing w:val="-2"/>
                <w:sz w:val="18"/>
              </w:rPr>
              <w:t>Grow</w:t>
            </w:r>
            <w:r>
              <w:rPr>
                <w:color w:val="105C84"/>
                <w:spacing w:val="-10"/>
                <w:sz w:val="18"/>
              </w:rPr>
              <w:t> </w:t>
            </w:r>
            <w:r>
              <w:rPr>
                <w:color w:val="105C84"/>
                <w:spacing w:val="-2"/>
                <w:sz w:val="18"/>
              </w:rPr>
              <w:t>resilient communities </w:t>
            </w:r>
            <w:r>
              <w:rPr>
                <w:color w:val="105C84"/>
                <w:sz w:val="18"/>
              </w:rPr>
              <w:t>through</w:t>
            </w:r>
            <w:r>
              <w:rPr>
                <w:color w:val="105C84"/>
                <w:spacing w:val="-1"/>
                <w:sz w:val="18"/>
              </w:rPr>
              <w:t> </w:t>
            </w:r>
            <w:r>
              <w:rPr>
                <w:color w:val="105C84"/>
                <w:sz w:val="18"/>
              </w:rPr>
              <w:t>education,</w:t>
            </w:r>
            <w:r>
              <w:rPr>
                <w:color w:val="105C84"/>
                <w:sz w:val="18"/>
              </w:rPr>
              <w:t> </w:t>
            </w:r>
            <w:r>
              <w:rPr>
                <w:color w:val="105C84"/>
                <w:spacing w:val="-2"/>
                <w:sz w:val="18"/>
              </w:rPr>
              <w:t>engagement,</w:t>
            </w:r>
          </w:p>
          <w:p>
            <w:pPr>
              <w:pStyle w:val="TableParagraph"/>
              <w:spacing w:line="232" w:lineRule="auto"/>
              <w:ind w:left="95"/>
              <w:rPr>
                <w:sz w:val="18"/>
              </w:rPr>
            </w:pPr>
            <w:r>
              <w:rPr>
                <w:color w:val="105C84"/>
                <w:spacing w:val="-2"/>
                <w:sz w:val="18"/>
              </w:rPr>
              <w:t>activation/mobilization </w:t>
            </w:r>
            <w:r>
              <w:rPr>
                <w:color w:val="105C84"/>
                <w:sz w:val="18"/>
              </w:rPr>
              <w:t>and celebration</w:t>
            </w:r>
          </w:p>
        </w:tc>
        <w:tc>
          <w:tcPr>
            <w:tcW w:w="2699" w:type="dxa"/>
            <w:tcBorders>
              <w:right w:val="nil"/>
            </w:tcBorders>
          </w:tcPr>
          <w:p>
            <w:pPr>
              <w:pStyle w:val="TableParagraph"/>
              <w:spacing w:line="232" w:lineRule="auto" w:before="100"/>
              <w:ind w:left="96" w:right="1027"/>
              <w:rPr>
                <w:sz w:val="18"/>
              </w:rPr>
            </w:pPr>
            <w:r>
              <w:rPr>
                <w:color w:val="105C84"/>
                <w:sz w:val="18"/>
              </w:rPr>
              <w:t>Number of </w:t>
            </w:r>
            <w:r>
              <w:rPr>
                <w:color w:val="105C84"/>
                <w:spacing w:val="-2"/>
                <w:sz w:val="18"/>
              </w:rPr>
              <w:t>community organizations/ </w:t>
            </w:r>
            <w:r>
              <w:rPr>
                <w:color w:val="105C84"/>
                <w:sz w:val="18"/>
              </w:rPr>
              <w:t>members who participated in </w:t>
            </w:r>
            <w:r>
              <w:rPr>
                <w:color w:val="105C84"/>
                <w:spacing w:val="-6"/>
                <w:sz w:val="18"/>
              </w:rPr>
              <w:t>ACE’s</w:t>
            </w:r>
            <w:r>
              <w:rPr>
                <w:color w:val="105C84"/>
                <w:spacing w:val="-7"/>
                <w:sz w:val="18"/>
              </w:rPr>
              <w:t> </w:t>
            </w:r>
            <w:r>
              <w:rPr>
                <w:color w:val="105C84"/>
                <w:spacing w:val="-6"/>
                <w:sz w:val="18"/>
              </w:rPr>
              <w:t>discussions</w:t>
            </w:r>
          </w:p>
        </w:tc>
        <w:tc>
          <w:tcPr>
            <w:tcW w:w="4197" w:type="dxa"/>
            <w:tcBorders>
              <w:left w:val="nil"/>
            </w:tcBorders>
          </w:tcPr>
          <w:p>
            <w:pPr>
              <w:pStyle w:val="TableParagraph"/>
              <w:spacing w:line="232" w:lineRule="auto" w:before="100"/>
              <w:ind w:left="1099" w:right="368"/>
              <w:jc w:val="both"/>
              <w:rPr>
                <w:sz w:val="18"/>
              </w:rPr>
            </w:pPr>
            <w:r>
              <w:rPr>
                <w:color w:val="105C84"/>
                <w:sz w:val="18"/>
              </w:rPr>
              <w:t>Organize</w:t>
            </w:r>
            <w:r>
              <w:rPr>
                <w:color w:val="105C84"/>
                <w:spacing w:val="-4"/>
                <w:sz w:val="18"/>
              </w:rPr>
              <w:t> </w:t>
            </w:r>
            <w:r>
              <w:rPr>
                <w:color w:val="105C84"/>
                <w:sz w:val="18"/>
              </w:rPr>
              <w:t>workshop/conference</w:t>
            </w:r>
            <w:r>
              <w:rPr>
                <w:color w:val="105C84"/>
                <w:spacing w:val="-4"/>
                <w:sz w:val="18"/>
              </w:rPr>
              <w:t> </w:t>
            </w:r>
            <w:r>
              <w:rPr>
                <w:color w:val="105C84"/>
                <w:sz w:val="18"/>
              </w:rPr>
              <w:t>to educate</w:t>
            </w:r>
            <w:r>
              <w:rPr>
                <w:color w:val="105C84"/>
                <w:spacing w:val="-5"/>
                <w:sz w:val="18"/>
              </w:rPr>
              <w:t> </w:t>
            </w:r>
            <w:r>
              <w:rPr>
                <w:color w:val="105C84"/>
                <w:sz w:val="18"/>
              </w:rPr>
              <w:t>community</w:t>
            </w:r>
            <w:r>
              <w:rPr>
                <w:color w:val="105C84"/>
                <w:spacing w:val="-5"/>
                <w:sz w:val="18"/>
              </w:rPr>
              <w:t> </w:t>
            </w:r>
            <w:r>
              <w:rPr>
                <w:color w:val="105C84"/>
                <w:sz w:val="18"/>
              </w:rPr>
              <w:t>on</w:t>
            </w:r>
            <w:r>
              <w:rPr>
                <w:color w:val="105C84"/>
                <w:spacing w:val="-5"/>
                <w:sz w:val="18"/>
              </w:rPr>
              <w:t> </w:t>
            </w:r>
            <w:r>
              <w:rPr>
                <w:color w:val="105C84"/>
                <w:sz w:val="18"/>
              </w:rPr>
              <w:t>ACES</w:t>
            </w:r>
            <w:r>
              <w:rPr>
                <w:color w:val="105C84"/>
                <w:spacing w:val="-5"/>
                <w:sz w:val="18"/>
              </w:rPr>
              <w:t> </w:t>
            </w:r>
            <w:r>
              <w:rPr>
                <w:color w:val="105C84"/>
                <w:sz w:val="18"/>
              </w:rPr>
              <w:t>and </w:t>
            </w:r>
            <w:r>
              <w:rPr>
                <w:color w:val="105C84"/>
                <w:spacing w:val="-2"/>
                <w:sz w:val="18"/>
              </w:rPr>
              <w:t>resilience</w:t>
            </w:r>
          </w:p>
        </w:tc>
        <w:tc>
          <w:tcPr>
            <w:tcW w:w="1814" w:type="dxa"/>
          </w:tcPr>
          <w:p>
            <w:pPr>
              <w:pStyle w:val="TableParagraph"/>
              <w:spacing w:line="232" w:lineRule="auto" w:before="100"/>
              <w:ind w:left="97" w:right="283"/>
              <w:rPr>
                <w:sz w:val="18"/>
              </w:rPr>
            </w:pPr>
            <w:r>
              <w:rPr>
                <w:color w:val="105C84"/>
                <w:spacing w:val="-2"/>
                <w:sz w:val="18"/>
              </w:rPr>
              <w:t>Work</w:t>
            </w:r>
            <w:r>
              <w:rPr>
                <w:color w:val="105C84"/>
                <w:spacing w:val="-13"/>
                <w:sz w:val="18"/>
              </w:rPr>
              <w:t> </w:t>
            </w:r>
            <w:r>
              <w:rPr>
                <w:color w:val="105C84"/>
                <w:spacing w:val="-2"/>
                <w:sz w:val="18"/>
              </w:rPr>
              <w:t>with</w:t>
            </w:r>
            <w:r>
              <w:rPr>
                <w:color w:val="105C84"/>
                <w:spacing w:val="-10"/>
                <w:sz w:val="18"/>
              </w:rPr>
              <w:t> </w:t>
            </w:r>
            <w:r>
              <w:rPr>
                <w:color w:val="105C84"/>
                <w:spacing w:val="-2"/>
                <w:sz w:val="18"/>
              </w:rPr>
              <w:t>YCPH </w:t>
            </w:r>
            <w:r>
              <w:rPr>
                <w:color w:val="105C84"/>
                <w:sz w:val="18"/>
              </w:rPr>
              <w:t>to</w:t>
            </w:r>
            <w:r>
              <w:rPr>
                <w:color w:val="105C84"/>
                <w:spacing w:val="-15"/>
                <w:sz w:val="18"/>
              </w:rPr>
              <w:t> </w:t>
            </w:r>
            <w:r>
              <w:rPr>
                <w:color w:val="105C84"/>
                <w:sz w:val="18"/>
              </w:rPr>
              <w:t>establish</w:t>
            </w:r>
            <w:r>
              <w:rPr>
                <w:color w:val="105C84"/>
                <w:spacing w:val="-12"/>
                <w:sz w:val="18"/>
              </w:rPr>
              <w:t> </w:t>
            </w:r>
            <w:r>
              <w:rPr>
                <w:color w:val="105C84"/>
                <w:sz w:val="18"/>
              </w:rPr>
              <w:t>plan for continued </w:t>
            </w:r>
            <w:r>
              <w:rPr>
                <w:color w:val="105C84"/>
                <w:spacing w:val="-2"/>
                <w:sz w:val="18"/>
              </w:rPr>
              <w:t>community </w:t>
            </w:r>
            <w:r>
              <w:rPr>
                <w:color w:val="105C84"/>
                <w:sz w:val="18"/>
              </w:rPr>
              <w:t>engagement on </w:t>
            </w:r>
            <w:r>
              <w:rPr>
                <w:color w:val="105C84"/>
                <w:spacing w:val="-4"/>
                <w:sz w:val="18"/>
              </w:rPr>
              <w:t>ACES</w:t>
            </w:r>
          </w:p>
        </w:tc>
        <w:tc>
          <w:tcPr>
            <w:tcW w:w="2275" w:type="dxa"/>
          </w:tcPr>
          <w:p>
            <w:pPr>
              <w:pStyle w:val="TableParagraph"/>
              <w:spacing w:line="232" w:lineRule="auto" w:before="100"/>
              <w:ind w:left="98" w:right="377"/>
              <w:rPr>
                <w:sz w:val="18"/>
              </w:rPr>
            </w:pPr>
            <w:r>
              <w:rPr>
                <w:color w:val="105C84"/>
                <w:sz w:val="18"/>
              </w:rPr>
              <w:t>Work with YCPH to establish plan for continued community engagement</w:t>
            </w:r>
            <w:r>
              <w:rPr>
                <w:color w:val="105C84"/>
                <w:spacing w:val="9"/>
                <w:sz w:val="18"/>
              </w:rPr>
              <w:t> </w:t>
            </w:r>
            <w:r>
              <w:rPr>
                <w:color w:val="105C84"/>
                <w:sz w:val="18"/>
              </w:rPr>
              <w:t>on</w:t>
            </w:r>
            <w:r>
              <w:rPr>
                <w:color w:val="105C84"/>
                <w:spacing w:val="9"/>
                <w:sz w:val="18"/>
              </w:rPr>
              <w:t> </w:t>
            </w:r>
            <w:r>
              <w:rPr>
                <w:color w:val="105C84"/>
                <w:spacing w:val="-10"/>
                <w:sz w:val="18"/>
              </w:rPr>
              <w:t>ACES</w:t>
            </w:r>
          </w:p>
        </w:tc>
        <w:tc>
          <w:tcPr>
            <w:tcW w:w="1497" w:type="dxa"/>
          </w:tcPr>
          <w:p>
            <w:pPr>
              <w:pStyle w:val="TableParagraph"/>
              <w:spacing w:line="232" w:lineRule="auto" w:before="100"/>
              <w:ind w:left="98"/>
              <w:rPr>
                <w:sz w:val="18"/>
              </w:rPr>
            </w:pPr>
            <w:r>
              <w:rPr>
                <w:color w:val="105C84"/>
                <w:spacing w:val="-2"/>
                <w:sz w:val="18"/>
              </w:rPr>
              <w:t>Community-based organizations</w:t>
            </w:r>
          </w:p>
        </w:tc>
        <w:tc>
          <w:tcPr>
            <w:tcW w:w="1406" w:type="dxa"/>
          </w:tcPr>
          <w:p>
            <w:pPr>
              <w:pStyle w:val="TableParagraph"/>
              <w:spacing w:line="232" w:lineRule="auto" w:before="100"/>
              <w:ind w:left="99" w:right="319"/>
              <w:rPr>
                <w:sz w:val="18"/>
              </w:rPr>
            </w:pPr>
            <w:r>
              <w:rPr>
                <w:color w:val="105C84"/>
                <w:sz w:val="18"/>
              </w:rPr>
              <w:t>S2AY</w:t>
            </w:r>
            <w:r>
              <w:rPr>
                <w:color w:val="105C84"/>
                <w:spacing w:val="-11"/>
                <w:sz w:val="18"/>
              </w:rPr>
              <w:t> </w:t>
            </w:r>
            <w:r>
              <w:rPr>
                <w:color w:val="105C84"/>
                <w:sz w:val="18"/>
              </w:rPr>
              <w:t>Rural </w:t>
            </w:r>
            <w:r>
              <w:rPr>
                <w:color w:val="105C84"/>
                <w:spacing w:val="-2"/>
                <w:sz w:val="18"/>
              </w:rPr>
              <w:t>Health </w:t>
            </w:r>
            <w:r>
              <w:rPr>
                <w:color w:val="105C84"/>
                <w:sz w:val="18"/>
              </w:rPr>
              <w:t>Network</w:t>
            </w:r>
            <w:r>
              <w:rPr>
                <w:color w:val="105C84"/>
                <w:spacing w:val="-13"/>
                <w:sz w:val="18"/>
              </w:rPr>
              <w:t> </w:t>
            </w:r>
            <w:r>
              <w:rPr>
                <w:color w:val="105C84"/>
                <w:sz w:val="18"/>
              </w:rPr>
              <w:t>5% of FTE</w:t>
            </w:r>
          </w:p>
        </w:tc>
      </w:tr>
      <w:tr>
        <w:trPr>
          <w:trHeight w:val="3620" w:hRule="atLeast"/>
        </w:trPr>
        <w:tc>
          <w:tcPr>
            <w:tcW w:w="1180" w:type="dxa"/>
            <w:vMerge/>
            <w:tcBorders>
              <w:top w:val="nil"/>
              <w:bottom w:val="nil"/>
            </w:tcBorders>
            <w:shd w:val="clear" w:color="auto" w:fill="E6E7E8"/>
          </w:tcPr>
          <w:p>
            <w:pPr>
              <w:rPr>
                <w:sz w:val="2"/>
                <w:szCs w:val="2"/>
              </w:rPr>
            </w:pPr>
          </w:p>
        </w:tc>
        <w:tc>
          <w:tcPr>
            <w:tcW w:w="1324" w:type="dxa"/>
            <w:vMerge/>
            <w:tcBorders>
              <w:top w:val="nil"/>
              <w:bottom w:val="nil"/>
            </w:tcBorders>
          </w:tcPr>
          <w:p>
            <w:pPr>
              <w:rPr>
                <w:sz w:val="2"/>
                <w:szCs w:val="2"/>
              </w:rPr>
            </w:pPr>
          </w:p>
        </w:tc>
        <w:tc>
          <w:tcPr>
            <w:tcW w:w="1266" w:type="dxa"/>
            <w:vMerge/>
            <w:tcBorders>
              <w:top w:val="nil"/>
              <w:bottom w:val="nil"/>
            </w:tcBorders>
          </w:tcPr>
          <w:p>
            <w:pPr>
              <w:rPr>
                <w:sz w:val="2"/>
                <w:szCs w:val="2"/>
              </w:rPr>
            </w:pPr>
          </w:p>
        </w:tc>
        <w:tc>
          <w:tcPr>
            <w:tcW w:w="1554" w:type="dxa"/>
            <w:tcBorders>
              <w:bottom w:val="nil"/>
            </w:tcBorders>
          </w:tcPr>
          <w:p>
            <w:pPr>
              <w:pStyle w:val="TableParagraph"/>
              <w:spacing w:line="232" w:lineRule="auto" w:before="100"/>
              <w:ind w:left="92" w:right="74"/>
              <w:rPr>
                <w:sz w:val="18"/>
              </w:rPr>
            </w:pPr>
            <w:r>
              <w:rPr>
                <w:color w:val="105C84"/>
                <w:w w:val="105"/>
                <w:sz w:val="18"/>
              </w:rPr>
              <w:t>2.5.2:</w:t>
            </w:r>
            <w:r>
              <w:rPr>
                <w:color w:val="105C84"/>
                <w:spacing w:val="-1"/>
                <w:w w:val="105"/>
                <w:sz w:val="18"/>
              </w:rPr>
              <w:t> </w:t>
            </w:r>
            <w:r>
              <w:rPr>
                <w:color w:val="105C84"/>
                <w:w w:val="105"/>
                <w:sz w:val="18"/>
              </w:rPr>
              <w:t>Reduce </w:t>
            </w:r>
            <w:r>
              <w:rPr>
                <w:color w:val="105C84"/>
                <w:sz w:val="18"/>
              </w:rPr>
              <w:t>the</w:t>
            </w:r>
            <w:r>
              <w:rPr>
                <w:color w:val="105C84"/>
                <w:spacing w:val="-13"/>
                <w:sz w:val="18"/>
              </w:rPr>
              <w:t> </w:t>
            </w:r>
            <w:r>
              <w:rPr>
                <w:color w:val="105C84"/>
                <w:sz w:val="18"/>
              </w:rPr>
              <w:t>age-</w:t>
            </w:r>
            <w:r>
              <w:rPr>
                <w:color w:val="105C84"/>
                <w:sz w:val="18"/>
              </w:rPr>
              <w:t>adjusted</w:t>
            </w:r>
            <w:r>
              <w:rPr>
                <w:color w:val="105C84"/>
                <w:sz w:val="18"/>
              </w:rPr>
              <w:t> </w:t>
            </w:r>
            <w:r>
              <w:rPr>
                <w:color w:val="105C84"/>
                <w:w w:val="105"/>
                <w:sz w:val="18"/>
              </w:rPr>
              <w:t>suicide</w:t>
            </w:r>
            <w:r>
              <w:rPr>
                <w:color w:val="105C84"/>
                <w:spacing w:val="-14"/>
                <w:w w:val="105"/>
                <w:sz w:val="18"/>
              </w:rPr>
              <w:t> </w:t>
            </w:r>
            <w:r>
              <w:rPr>
                <w:color w:val="105C84"/>
                <w:w w:val="105"/>
                <w:sz w:val="18"/>
              </w:rPr>
              <w:t>mortality rate</w:t>
            </w:r>
            <w:r>
              <w:rPr>
                <w:color w:val="105C84"/>
                <w:spacing w:val="-13"/>
                <w:w w:val="105"/>
                <w:sz w:val="18"/>
              </w:rPr>
              <w:t> </w:t>
            </w:r>
            <w:r>
              <w:rPr>
                <w:color w:val="105C84"/>
                <w:w w:val="105"/>
                <w:sz w:val="18"/>
              </w:rPr>
              <w:t>by</w:t>
            </w:r>
            <w:r>
              <w:rPr>
                <w:color w:val="105C84"/>
                <w:spacing w:val="-13"/>
                <w:w w:val="105"/>
                <w:sz w:val="18"/>
              </w:rPr>
              <w:t> </w:t>
            </w:r>
            <w:r>
              <w:rPr>
                <w:color w:val="105C84"/>
                <w:w w:val="105"/>
                <w:sz w:val="18"/>
              </w:rPr>
              <w:t>10%</w:t>
            </w:r>
            <w:r>
              <w:rPr>
                <w:color w:val="105C84"/>
                <w:spacing w:val="-13"/>
                <w:w w:val="105"/>
                <w:sz w:val="18"/>
              </w:rPr>
              <w:t> </w:t>
            </w:r>
            <w:r>
              <w:rPr>
                <w:color w:val="105C84"/>
                <w:w w:val="105"/>
                <w:sz w:val="18"/>
              </w:rPr>
              <w:t>to</w:t>
            </w:r>
            <w:r>
              <w:rPr>
                <w:color w:val="105C84"/>
                <w:spacing w:val="-13"/>
                <w:w w:val="105"/>
                <w:sz w:val="18"/>
              </w:rPr>
              <w:t> </w:t>
            </w:r>
            <w:r>
              <w:rPr>
                <w:color w:val="105C84"/>
                <w:w w:val="105"/>
                <w:sz w:val="18"/>
              </w:rPr>
              <w:t>7</w:t>
            </w:r>
          </w:p>
          <w:p>
            <w:pPr>
              <w:pStyle w:val="TableParagraph"/>
              <w:spacing w:line="199" w:lineRule="exact"/>
              <w:ind w:left="92"/>
              <w:rPr>
                <w:sz w:val="18"/>
              </w:rPr>
            </w:pPr>
            <w:r>
              <w:rPr>
                <w:color w:val="105C84"/>
                <w:sz w:val="18"/>
              </w:rPr>
              <w:t>per</w:t>
            </w:r>
            <w:r>
              <w:rPr>
                <w:color w:val="105C84"/>
                <w:spacing w:val="3"/>
                <w:sz w:val="18"/>
              </w:rPr>
              <w:t> </w:t>
            </w:r>
            <w:r>
              <w:rPr>
                <w:color w:val="105C84"/>
                <w:spacing w:val="-2"/>
                <w:sz w:val="18"/>
              </w:rPr>
              <w:t>100,000</w:t>
            </w:r>
          </w:p>
        </w:tc>
        <w:tc>
          <w:tcPr>
            <w:tcW w:w="1064" w:type="dxa"/>
            <w:vMerge/>
            <w:tcBorders>
              <w:top w:val="nil"/>
            </w:tcBorders>
          </w:tcPr>
          <w:p>
            <w:pPr>
              <w:rPr>
                <w:sz w:val="2"/>
                <w:szCs w:val="2"/>
              </w:rPr>
            </w:pPr>
          </w:p>
        </w:tc>
        <w:tc>
          <w:tcPr>
            <w:tcW w:w="2058" w:type="dxa"/>
            <w:tcBorders>
              <w:bottom w:val="nil"/>
            </w:tcBorders>
          </w:tcPr>
          <w:p>
            <w:pPr>
              <w:pStyle w:val="TableParagraph"/>
              <w:spacing w:line="232" w:lineRule="auto" w:before="100"/>
              <w:ind w:left="95" w:right="374"/>
              <w:rPr>
                <w:sz w:val="18"/>
              </w:rPr>
            </w:pPr>
            <w:r>
              <w:rPr>
                <w:color w:val="105C84"/>
                <w:sz w:val="18"/>
              </w:rPr>
              <w:t>2.5.4 Identify &amp; support people </w:t>
            </w:r>
            <w:r>
              <w:rPr>
                <w:color w:val="105C84"/>
                <w:sz w:val="18"/>
              </w:rPr>
              <w:t>at</w:t>
            </w:r>
            <w:r>
              <w:rPr>
                <w:color w:val="105C84"/>
                <w:sz w:val="18"/>
              </w:rPr>
              <w:t> risk: Gatekeeper Training, crisis</w:t>
            </w:r>
          </w:p>
          <w:p>
            <w:pPr>
              <w:pStyle w:val="TableParagraph"/>
              <w:spacing w:line="232" w:lineRule="auto"/>
              <w:ind w:left="95" w:right="41"/>
              <w:rPr>
                <w:sz w:val="18"/>
              </w:rPr>
            </w:pPr>
            <w:r>
              <w:rPr>
                <w:color w:val="105C84"/>
                <w:sz w:val="18"/>
              </w:rPr>
              <w:t>intervention, </w:t>
            </w:r>
            <w:r>
              <w:rPr>
                <w:color w:val="105C84"/>
                <w:sz w:val="18"/>
              </w:rPr>
              <w:t>treatment for people at risk of suicide, treatment to prevent re-attempts, postvention, safe reporting and messaging about </w:t>
            </w:r>
            <w:r>
              <w:rPr>
                <w:color w:val="105C84"/>
                <w:spacing w:val="-2"/>
                <w:sz w:val="18"/>
              </w:rPr>
              <w:t>suicides</w:t>
            </w:r>
          </w:p>
        </w:tc>
        <w:tc>
          <w:tcPr>
            <w:tcW w:w="2699" w:type="dxa"/>
            <w:tcBorders>
              <w:bottom w:val="nil"/>
              <w:right w:val="nil"/>
            </w:tcBorders>
          </w:tcPr>
          <w:p>
            <w:pPr>
              <w:pStyle w:val="TableParagraph"/>
              <w:spacing w:line="232" w:lineRule="auto" w:before="99"/>
              <w:ind w:left="96" w:right="1027"/>
              <w:rPr>
                <w:sz w:val="18"/>
              </w:rPr>
            </w:pPr>
            <w:r>
              <w:rPr>
                <w:color w:val="105C84"/>
                <w:sz w:val="18"/>
              </w:rPr>
              <w:t>Number of </w:t>
            </w:r>
            <w:r>
              <w:rPr>
                <w:color w:val="105C84"/>
                <w:spacing w:val="-2"/>
                <w:sz w:val="18"/>
              </w:rPr>
              <w:t>Gatekeeper </w:t>
            </w:r>
            <w:r>
              <w:rPr>
                <w:color w:val="105C84"/>
                <w:sz w:val="18"/>
              </w:rPr>
              <w:t>Trainings Mental Health First Aid (MHFA)</w:t>
            </w:r>
            <w:r>
              <w:rPr>
                <w:color w:val="105C84"/>
                <w:spacing w:val="-11"/>
                <w:sz w:val="18"/>
              </w:rPr>
              <w:t> </w:t>
            </w:r>
            <w:r>
              <w:rPr>
                <w:color w:val="105C84"/>
                <w:sz w:val="18"/>
              </w:rPr>
              <w:t>and</w:t>
            </w:r>
            <w:r>
              <w:rPr>
                <w:color w:val="105C84"/>
                <w:spacing w:val="-11"/>
                <w:sz w:val="18"/>
              </w:rPr>
              <w:t> </w:t>
            </w:r>
            <w:r>
              <w:rPr>
                <w:color w:val="105C84"/>
                <w:sz w:val="18"/>
              </w:rPr>
              <w:t>Youth Mental</w:t>
            </w:r>
            <w:r>
              <w:rPr>
                <w:color w:val="105C84"/>
                <w:spacing w:val="-15"/>
                <w:sz w:val="18"/>
              </w:rPr>
              <w:t> </w:t>
            </w:r>
            <w:r>
              <w:rPr>
                <w:color w:val="105C84"/>
                <w:sz w:val="18"/>
              </w:rPr>
              <w:t>Health</w:t>
            </w:r>
            <w:r>
              <w:rPr>
                <w:color w:val="105C84"/>
                <w:spacing w:val="-12"/>
                <w:sz w:val="18"/>
              </w:rPr>
              <w:t> </w:t>
            </w:r>
            <w:r>
              <w:rPr>
                <w:color w:val="105C84"/>
                <w:sz w:val="18"/>
              </w:rPr>
              <w:t>First Aid (YMHFA)</w:t>
            </w:r>
          </w:p>
          <w:p>
            <w:pPr>
              <w:pStyle w:val="TableParagraph"/>
              <w:spacing w:line="232" w:lineRule="auto" w:before="85"/>
              <w:ind w:left="96" w:right="1027"/>
              <w:rPr>
                <w:sz w:val="18"/>
              </w:rPr>
            </w:pPr>
            <w:r>
              <w:rPr>
                <w:color w:val="105C84"/>
                <w:w w:val="105"/>
                <w:sz w:val="18"/>
              </w:rPr>
              <w:t>Number</w:t>
            </w:r>
            <w:r>
              <w:rPr>
                <w:color w:val="105C84"/>
                <w:spacing w:val="-1"/>
                <w:w w:val="105"/>
                <w:sz w:val="18"/>
              </w:rPr>
              <w:t> </w:t>
            </w:r>
            <w:r>
              <w:rPr>
                <w:color w:val="105C84"/>
                <w:w w:val="105"/>
                <w:sz w:val="18"/>
              </w:rPr>
              <w:t>of </w:t>
            </w:r>
            <w:r>
              <w:rPr>
                <w:color w:val="105C84"/>
                <w:sz w:val="18"/>
              </w:rPr>
              <w:t>individuals</w:t>
            </w:r>
            <w:r>
              <w:rPr>
                <w:color w:val="105C84"/>
                <w:spacing w:val="-13"/>
                <w:sz w:val="18"/>
              </w:rPr>
              <w:t> </w:t>
            </w:r>
            <w:r>
              <w:rPr>
                <w:color w:val="105C84"/>
                <w:sz w:val="18"/>
              </w:rPr>
              <w:t>trained</w:t>
            </w:r>
          </w:p>
          <w:p>
            <w:pPr>
              <w:pStyle w:val="TableParagraph"/>
              <w:spacing w:line="232" w:lineRule="auto" w:before="88"/>
              <w:ind w:left="96" w:right="1089"/>
              <w:rPr>
                <w:sz w:val="18"/>
              </w:rPr>
            </w:pPr>
            <w:r>
              <w:rPr>
                <w:color w:val="105C84"/>
                <w:sz w:val="18"/>
              </w:rPr>
              <w:t>Number of </w:t>
            </w:r>
            <w:r>
              <w:rPr>
                <w:color w:val="105C84"/>
                <w:spacing w:val="-2"/>
                <w:sz w:val="18"/>
              </w:rPr>
              <w:t>outreach/ </w:t>
            </w:r>
            <w:r>
              <w:rPr>
                <w:color w:val="105C84"/>
                <w:sz w:val="18"/>
              </w:rPr>
              <w:t>educational</w:t>
            </w:r>
            <w:r>
              <w:rPr>
                <w:color w:val="105C84"/>
                <w:spacing w:val="-13"/>
                <w:sz w:val="18"/>
              </w:rPr>
              <w:t> </w:t>
            </w:r>
            <w:r>
              <w:rPr>
                <w:color w:val="105C84"/>
                <w:sz w:val="18"/>
              </w:rPr>
              <w:t>events</w:t>
            </w:r>
          </w:p>
        </w:tc>
        <w:tc>
          <w:tcPr>
            <w:tcW w:w="4197" w:type="dxa"/>
            <w:tcBorders>
              <w:left w:val="nil"/>
            </w:tcBorders>
          </w:tcPr>
          <w:p>
            <w:pPr>
              <w:pStyle w:val="TableParagraph"/>
              <w:spacing w:before="94"/>
              <w:ind w:left="1099"/>
              <w:jc w:val="both"/>
              <w:rPr>
                <w:sz w:val="18"/>
              </w:rPr>
            </w:pPr>
            <w:r>
              <w:rPr>
                <w:color w:val="105C84"/>
                <w:sz w:val="18"/>
              </w:rPr>
              <w:t>Conduct</w:t>
            </w:r>
            <w:r>
              <w:rPr>
                <w:color w:val="105C84"/>
                <w:spacing w:val="-9"/>
                <w:sz w:val="18"/>
              </w:rPr>
              <w:t> </w:t>
            </w:r>
            <w:r>
              <w:rPr>
                <w:color w:val="105C84"/>
                <w:sz w:val="18"/>
              </w:rPr>
              <w:t>MHFA</w:t>
            </w:r>
            <w:r>
              <w:rPr>
                <w:color w:val="105C84"/>
                <w:spacing w:val="-8"/>
                <w:sz w:val="18"/>
              </w:rPr>
              <w:t> </w:t>
            </w:r>
            <w:r>
              <w:rPr>
                <w:color w:val="105C84"/>
                <w:sz w:val="18"/>
              </w:rPr>
              <w:t>&amp;</w:t>
            </w:r>
            <w:r>
              <w:rPr>
                <w:color w:val="105C84"/>
                <w:spacing w:val="-8"/>
                <w:sz w:val="18"/>
              </w:rPr>
              <w:t> </w:t>
            </w:r>
            <w:r>
              <w:rPr>
                <w:color w:val="105C84"/>
                <w:sz w:val="18"/>
              </w:rPr>
              <w:t>YMHFA</w:t>
            </w:r>
            <w:r>
              <w:rPr>
                <w:color w:val="105C84"/>
                <w:spacing w:val="-8"/>
                <w:sz w:val="18"/>
              </w:rPr>
              <w:t> </w:t>
            </w:r>
            <w:r>
              <w:rPr>
                <w:color w:val="105C84"/>
                <w:spacing w:val="-2"/>
                <w:sz w:val="18"/>
              </w:rPr>
              <w:t>trainings</w:t>
            </w:r>
          </w:p>
          <w:p>
            <w:pPr>
              <w:pStyle w:val="TableParagraph"/>
              <w:spacing w:line="232" w:lineRule="auto" w:before="88"/>
              <w:ind w:left="1099" w:right="75"/>
              <w:jc w:val="both"/>
              <w:rPr>
                <w:sz w:val="18"/>
              </w:rPr>
            </w:pPr>
            <w:r>
              <w:rPr>
                <w:color w:val="105C84"/>
                <w:sz w:val="18"/>
              </w:rPr>
              <w:t>One</w:t>
            </w:r>
            <w:r>
              <w:rPr>
                <w:color w:val="105C84"/>
                <w:spacing w:val="-13"/>
                <w:sz w:val="18"/>
              </w:rPr>
              <w:t> </w:t>
            </w:r>
            <w:r>
              <w:rPr>
                <w:color w:val="105C84"/>
                <w:sz w:val="18"/>
              </w:rPr>
              <w:t>individual</w:t>
            </w:r>
            <w:r>
              <w:rPr>
                <w:color w:val="105C84"/>
                <w:spacing w:val="-12"/>
                <w:sz w:val="18"/>
              </w:rPr>
              <w:t> </w:t>
            </w:r>
            <w:r>
              <w:rPr>
                <w:color w:val="105C84"/>
                <w:sz w:val="18"/>
              </w:rPr>
              <w:t>from</w:t>
            </w:r>
            <w:r>
              <w:rPr>
                <w:color w:val="105C84"/>
                <w:spacing w:val="-13"/>
                <w:sz w:val="18"/>
              </w:rPr>
              <w:t> </w:t>
            </w:r>
            <w:r>
              <w:rPr>
                <w:color w:val="105C84"/>
                <w:sz w:val="18"/>
              </w:rPr>
              <w:t>Yates</w:t>
            </w:r>
            <w:r>
              <w:rPr>
                <w:color w:val="105C84"/>
                <w:spacing w:val="-12"/>
                <w:sz w:val="18"/>
              </w:rPr>
              <w:t> </w:t>
            </w:r>
            <w:r>
              <w:rPr>
                <w:color w:val="105C84"/>
                <w:sz w:val="18"/>
              </w:rPr>
              <w:t>County</w:t>
            </w:r>
            <w:r>
              <w:rPr>
                <w:color w:val="105C84"/>
                <w:spacing w:val="-13"/>
                <w:sz w:val="18"/>
              </w:rPr>
              <w:t> </w:t>
            </w:r>
            <w:r>
              <w:rPr>
                <w:color w:val="105C84"/>
                <w:sz w:val="18"/>
              </w:rPr>
              <w:t>was selected to attend the Conference</w:t>
            </w:r>
          </w:p>
          <w:p>
            <w:pPr>
              <w:pStyle w:val="TableParagraph"/>
              <w:spacing w:line="232" w:lineRule="auto"/>
              <w:ind w:left="1099" w:right="319"/>
              <w:jc w:val="both"/>
              <w:rPr>
                <w:sz w:val="18"/>
              </w:rPr>
            </w:pPr>
            <w:r>
              <w:rPr>
                <w:color w:val="105C84"/>
                <w:sz w:val="18"/>
              </w:rPr>
              <w:t>of</w:t>
            </w:r>
            <w:r>
              <w:rPr>
                <w:color w:val="105C84"/>
                <w:spacing w:val="-2"/>
                <w:sz w:val="18"/>
              </w:rPr>
              <w:t> </w:t>
            </w:r>
            <w:r>
              <w:rPr>
                <w:color w:val="105C84"/>
                <w:sz w:val="18"/>
              </w:rPr>
              <w:t>Mental</w:t>
            </w:r>
            <w:r>
              <w:rPr>
                <w:color w:val="105C84"/>
                <w:spacing w:val="-2"/>
                <w:sz w:val="18"/>
              </w:rPr>
              <w:t> </w:t>
            </w:r>
            <w:r>
              <w:rPr>
                <w:color w:val="105C84"/>
                <w:sz w:val="18"/>
              </w:rPr>
              <w:t>Hygiene</w:t>
            </w:r>
            <w:r>
              <w:rPr>
                <w:color w:val="105C84"/>
                <w:spacing w:val="-2"/>
                <w:sz w:val="18"/>
              </w:rPr>
              <w:t> </w:t>
            </w:r>
            <w:r>
              <w:rPr>
                <w:color w:val="105C84"/>
                <w:sz w:val="18"/>
              </w:rPr>
              <w:t>Directors</w:t>
            </w:r>
            <w:r>
              <w:rPr>
                <w:color w:val="105C84"/>
                <w:spacing w:val="-3"/>
                <w:sz w:val="18"/>
              </w:rPr>
              <w:t> </w:t>
            </w:r>
            <w:r>
              <w:rPr>
                <w:color w:val="105C84"/>
                <w:sz w:val="18"/>
              </w:rPr>
              <w:t>Youth Mental</w:t>
            </w:r>
            <w:r>
              <w:rPr>
                <w:color w:val="105C84"/>
                <w:spacing w:val="-2"/>
                <w:sz w:val="18"/>
              </w:rPr>
              <w:t> </w:t>
            </w:r>
            <w:r>
              <w:rPr>
                <w:color w:val="105C84"/>
                <w:sz w:val="18"/>
              </w:rPr>
              <w:t>Health</w:t>
            </w:r>
            <w:r>
              <w:rPr>
                <w:color w:val="105C84"/>
                <w:spacing w:val="-2"/>
                <w:sz w:val="18"/>
              </w:rPr>
              <w:t> </w:t>
            </w:r>
            <w:r>
              <w:rPr>
                <w:color w:val="105C84"/>
                <w:sz w:val="18"/>
              </w:rPr>
              <w:t>First</w:t>
            </w:r>
            <w:r>
              <w:rPr>
                <w:color w:val="105C84"/>
                <w:spacing w:val="-2"/>
                <w:sz w:val="18"/>
              </w:rPr>
              <w:t> </w:t>
            </w:r>
            <w:r>
              <w:rPr>
                <w:color w:val="105C84"/>
                <w:sz w:val="18"/>
              </w:rPr>
              <w:t>Aide</w:t>
            </w:r>
            <w:r>
              <w:rPr>
                <w:color w:val="105C84"/>
                <w:spacing w:val="-2"/>
                <w:sz w:val="18"/>
              </w:rPr>
              <w:t> </w:t>
            </w:r>
            <w:r>
              <w:rPr>
                <w:color w:val="105C84"/>
                <w:sz w:val="18"/>
              </w:rPr>
              <w:t>“Train</w:t>
            </w:r>
            <w:r>
              <w:rPr>
                <w:color w:val="105C84"/>
                <w:spacing w:val="-2"/>
                <w:sz w:val="18"/>
              </w:rPr>
              <w:t> </w:t>
            </w:r>
            <w:r>
              <w:rPr>
                <w:color w:val="105C84"/>
                <w:sz w:val="18"/>
              </w:rPr>
              <w:t>the Trainer” in the Fall ’19</w:t>
            </w:r>
          </w:p>
          <w:p>
            <w:pPr>
              <w:pStyle w:val="TableParagraph"/>
              <w:spacing w:line="232" w:lineRule="auto" w:before="86"/>
              <w:ind w:left="1099" w:right="668"/>
              <w:rPr>
                <w:sz w:val="18"/>
              </w:rPr>
            </w:pPr>
            <w:r>
              <w:rPr>
                <w:color w:val="105C84"/>
                <w:sz w:val="18"/>
              </w:rPr>
              <w:t>Planning</w:t>
            </w:r>
            <w:r>
              <w:rPr>
                <w:color w:val="105C84"/>
                <w:spacing w:val="-9"/>
                <w:sz w:val="18"/>
              </w:rPr>
              <w:t> </w:t>
            </w:r>
            <w:r>
              <w:rPr>
                <w:color w:val="105C84"/>
                <w:sz w:val="18"/>
              </w:rPr>
              <w:t>underway</w:t>
            </w:r>
            <w:r>
              <w:rPr>
                <w:color w:val="105C84"/>
                <w:spacing w:val="-9"/>
                <w:sz w:val="18"/>
              </w:rPr>
              <w:t> </w:t>
            </w:r>
            <w:r>
              <w:rPr>
                <w:color w:val="105C84"/>
                <w:sz w:val="18"/>
              </w:rPr>
              <w:t>to</w:t>
            </w:r>
            <w:r>
              <w:rPr>
                <w:color w:val="105C84"/>
                <w:spacing w:val="-9"/>
                <w:sz w:val="18"/>
              </w:rPr>
              <w:t> </w:t>
            </w:r>
            <w:r>
              <w:rPr>
                <w:color w:val="105C84"/>
                <w:sz w:val="18"/>
              </w:rPr>
              <w:t>provide 2 or three additional YMHFA trainings during 2019 (Nov).</w:t>
            </w:r>
          </w:p>
          <w:p>
            <w:pPr>
              <w:pStyle w:val="TableParagraph"/>
              <w:spacing w:line="232" w:lineRule="auto"/>
              <w:ind w:left="1099" w:right="234"/>
              <w:rPr>
                <w:sz w:val="18"/>
              </w:rPr>
            </w:pPr>
            <w:r>
              <w:rPr>
                <w:color w:val="105C84"/>
                <w:sz w:val="18"/>
              </w:rPr>
              <w:t>Participation</w:t>
            </w:r>
            <w:r>
              <w:rPr>
                <w:color w:val="105C84"/>
                <w:spacing w:val="-13"/>
                <w:sz w:val="18"/>
              </w:rPr>
              <w:t> </w:t>
            </w:r>
            <w:r>
              <w:rPr>
                <w:color w:val="105C84"/>
                <w:sz w:val="18"/>
              </w:rPr>
              <w:t>in</w:t>
            </w:r>
            <w:r>
              <w:rPr>
                <w:color w:val="105C84"/>
                <w:spacing w:val="-12"/>
                <w:sz w:val="18"/>
              </w:rPr>
              <w:t> </w:t>
            </w:r>
            <w:r>
              <w:rPr>
                <w:color w:val="105C84"/>
                <w:sz w:val="18"/>
              </w:rPr>
              <w:t>the</w:t>
            </w:r>
            <w:r>
              <w:rPr>
                <w:color w:val="105C84"/>
                <w:spacing w:val="-13"/>
                <w:sz w:val="18"/>
              </w:rPr>
              <w:t> </w:t>
            </w:r>
            <w:r>
              <w:rPr>
                <w:color w:val="105C84"/>
                <w:sz w:val="18"/>
              </w:rPr>
              <w:t>Systems</w:t>
            </w:r>
            <w:r>
              <w:rPr>
                <w:color w:val="105C84"/>
                <w:spacing w:val="-12"/>
                <w:sz w:val="18"/>
              </w:rPr>
              <w:t> </w:t>
            </w:r>
            <w:r>
              <w:rPr>
                <w:color w:val="105C84"/>
                <w:sz w:val="18"/>
              </w:rPr>
              <w:t>of</w:t>
            </w:r>
            <w:r>
              <w:rPr>
                <w:color w:val="105C84"/>
                <w:spacing w:val="-13"/>
                <w:sz w:val="18"/>
              </w:rPr>
              <w:t> </w:t>
            </w:r>
            <w:r>
              <w:rPr>
                <w:color w:val="105C84"/>
                <w:sz w:val="18"/>
              </w:rPr>
              <w:t>Care (SOC) planning which addresses mental health issues in youth</w:t>
            </w:r>
          </w:p>
          <w:p>
            <w:pPr>
              <w:pStyle w:val="TableParagraph"/>
              <w:spacing w:line="232" w:lineRule="auto" w:before="85"/>
              <w:ind w:left="1099" w:right="64"/>
              <w:rPr>
                <w:sz w:val="18"/>
              </w:rPr>
            </w:pPr>
            <w:r>
              <w:rPr>
                <w:color w:val="105C84"/>
                <w:sz w:val="18"/>
              </w:rPr>
              <w:t>Participate in Crisis Intervention Training (CIT), a collaborative effort between</w:t>
            </w:r>
            <w:r>
              <w:rPr>
                <w:color w:val="105C84"/>
                <w:spacing w:val="-13"/>
                <w:sz w:val="18"/>
              </w:rPr>
              <w:t> </w:t>
            </w:r>
            <w:r>
              <w:rPr>
                <w:color w:val="105C84"/>
                <w:sz w:val="18"/>
              </w:rPr>
              <w:t>several</w:t>
            </w:r>
            <w:r>
              <w:rPr>
                <w:color w:val="105C84"/>
                <w:spacing w:val="-12"/>
                <w:sz w:val="18"/>
              </w:rPr>
              <w:t> </w:t>
            </w:r>
            <w:r>
              <w:rPr>
                <w:color w:val="105C84"/>
                <w:sz w:val="18"/>
              </w:rPr>
              <w:t>community</w:t>
            </w:r>
            <w:r>
              <w:rPr>
                <w:color w:val="105C84"/>
                <w:spacing w:val="-13"/>
                <w:sz w:val="18"/>
              </w:rPr>
              <w:t> </w:t>
            </w:r>
            <w:r>
              <w:rPr>
                <w:color w:val="105C84"/>
                <w:sz w:val="18"/>
              </w:rPr>
              <w:t>agencies &amp; law enforcement</w:t>
            </w:r>
          </w:p>
        </w:tc>
        <w:tc>
          <w:tcPr>
            <w:tcW w:w="1814" w:type="dxa"/>
          </w:tcPr>
          <w:p>
            <w:pPr>
              <w:pStyle w:val="TableParagraph"/>
              <w:spacing w:line="232" w:lineRule="auto" w:before="99"/>
              <w:ind w:left="97"/>
              <w:rPr>
                <w:sz w:val="18"/>
              </w:rPr>
            </w:pPr>
            <w:r>
              <w:rPr>
                <w:color w:val="105C84"/>
                <w:sz w:val="18"/>
              </w:rPr>
              <w:t>Conduct</w:t>
            </w:r>
            <w:r>
              <w:rPr>
                <w:color w:val="105C84"/>
                <w:spacing w:val="-13"/>
                <w:sz w:val="18"/>
              </w:rPr>
              <w:t> </w:t>
            </w:r>
            <w:r>
              <w:rPr>
                <w:color w:val="105C84"/>
                <w:sz w:val="18"/>
              </w:rPr>
              <w:t>MHFA</w:t>
            </w:r>
            <w:r>
              <w:rPr>
                <w:color w:val="105C84"/>
                <w:spacing w:val="-12"/>
                <w:sz w:val="18"/>
              </w:rPr>
              <w:t> </w:t>
            </w:r>
            <w:r>
              <w:rPr>
                <w:color w:val="105C84"/>
                <w:sz w:val="18"/>
              </w:rPr>
              <w:t>&amp; YMHFA training</w:t>
            </w:r>
          </w:p>
          <w:p>
            <w:pPr>
              <w:pStyle w:val="TableParagraph"/>
              <w:spacing w:line="232" w:lineRule="auto" w:before="88"/>
              <w:ind w:left="97"/>
              <w:rPr>
                <w:sz w:val="18"/>
              </w:rPr>
            </w:pPr>
            <w:r>
              <w:rPr>
                <w:color w:val="105C84"/>
                <w:sz w:val="18"/>
              </w:rPr>
              <w:t>Administer the biannual school survey regarding substance use and </w:t>
            </w:r>
            <w:r>
              <w:rPr>
                <w:color w:val="105C84"/>
                <w:spacing w:val="-2"/>
                <w:sz w:val="18"/>
              </w:rPr>
              <w:t>mental</w:t>
            </w:r>
            <w:r>
              <w:rPr>
                <w:color w:val="105C84"/>
                <w:spacing w:val="-13"/>
                <w:sz w:val="18"/>
              </w:rPr>
              <w:t> </w:t>
            </w:r>
            <w:r>
              <w:rPr>
                <w:color w:val="105C84"/>
                <w:spacing w:val="-2"/>
                <w:sz w:val="18"/>
              </w:rPr>
              <w:t>health</w:t>
            </w:r>
            <w:r>
              <w:rPr>
                <w:color w:val="105C84"/>
                <w:spacing w:val="-10"/>
                <w:sz w:val="18"/>
              </w:rPr>
              <w:t> </w:t>
            </w:r>
            <w:r>
              <w:rPr>
                <w:color w:val="105C84"/>
                <w:spacing w:val="-2"/>
                <w:sz w:val="18"/>
              </w:rPr>
              <w:t>issues</w:t>
            </w:r>
          </w:p>
          <w:p>
            <w:pPr>
              <w:pStyle w:val="TableParagraph"/>
              <w:spacing w:line="232" w:lineRule="auto" w:before="86"/>
              <w:ind w:left="97"/>
              <w:rPr>
                <w:sz w:val="18"/>
              </w:rPr>
            </w:pPr>
            <w:r>
              <w:rPr>
                <w:color w:val="105C84"/>
                <w:sz w:val="18"/>
              </w:rPr>
              <w:t>Participation in </w:t>
            </w:r>
            <w:r>
              <w:rPr>
                <w:color w:val="105C84"/>
                <w:spacing w:val="-4"/>
                <w:sz w:val="18"/>
              </w:rPr>
              <w:t>Systems</w:t>
            </w:r>
            <w:r>
              <w:rPr>
                <w:color w:val="105C84"/>
                <w:spacing w:val="-11"/>
                <w:sz w:val="18"/>
              </w:rPr>
              <w:t> </w:t>
            </w:r>
            <w:r>
              <w:rPr>
                <w:color w:val="105C84"/>
                <w:spacing w:val="-4"/>
                <w:sz w:val="18"/>
              </w:rPr>
              <w:t>of</w:t>
            </w:r>
            <w:r>
              <w:rPr>
                <w:color w:val="105C84"/>
                <w:spacing w:val="-8"/>
                <w:sz w:val="18"/>
              </w:rPr>
              <w:t> </w:t>
            </w:r>
            <w:r>
              <w:rPr>
                <w:color w:val="105C84"/>
                <w:spacing w:val="-4"/>
                <w:sz w:val="18"/>
              </w:rPr>
              <w:t>Care </w:t>
            </w:r>
            <w:r>
              <w:rPr>
                <w:color w:val="105C84"/>
                <w:spacing w:val="-2"/>
                <w:sz w:val="18"/>
              </w:rPr>
              <w:t>Planning</w:t>
            </w:r>
          </w:p>
          <w:p>
            <w:pPr>
              <w:pStyle w:val="TableParagraph"/>
              <w:spacing w:line="232" w:lineRule="auto" w:before="88"/>
              <w:ind w:left="97" w:right="152"/>
              <w:rPr>
                <w:sz w:val="18"/>
              </w:rPr>
            </w:pPr>
            <w:r>
              <w:rPr>
                <w:color w:val="105C84"/>
                <w:sz w:val="18"/>
              </w:rPr>
              <w:t>Participating in </w:t>
            </w:r>
            <w:r>
              <w:rPr>
                <w:color w:val="105C84"/>
                <w:spacing w:val="-2"/>
                <w:sz w:val="18"/>
              </w:rPr>
              <w:t>Crisis</w:t>
            </w:r>
            <w:r>
              <w:rPr>
                <w:color w:val="105C84"/>
                <w:spacing w:val="-8"/>
                <w:sz w:val="18"/>
              </w:rPr>
              <w:t> </w:t>
            </w:r>
            <w:r>
              <w:rPr>
                <w:color w:val="105C84"/>
                <w:spacing w:val="-2"/>
                <w:sz w:val="18"/>
              </w:rPr>
              <w:t>Intervention Training</w:t>
            </w:r>
          </w:p>
        </w:tc>
        <w:tc>
          <w:tcPr>
            <w:tcW w:w="2275" w:type="dxa"/>
          </w:tcPr>
          <w:p>
            <w:pPr>
              <w:pStyle w:val="TableParagraph"/>
              <w:spacing w:line="232" w:lineRule="auto" w:before="99"/>
              <w:ind w:left="98" w:right="184"/>
              <w:rPr>
                <w:sz w:val="18"/>
              </w:rPr>
            </w:pPr>
            <w:r>
              <w:rPr>
                <w:color w:val="105C84"/>
                <w:sz w:val="18"/>
              </w:rPr>
              <w:t>Conduct MHFA &amp; YMHFA trainings. </w:t>
            </w:r>
            <w:r>
              <w:rPr>
                <w:color w:val="105C84"/>
                <w:spacing w:val="-2"/>
                <w:sz w:val="18"/>
              </w:rPr>
              <w:t>Participation</w:t>
            </w:r>
            <w:r>
              <w:rPr>
                <w:color w:val="105C84"/>
                <w:spacing w:val="-13"/>
                <w:sz w:val="18"/>
              </w:rPr>
              <w:t> </w:t>
            </w:r>
            <w:r>
              <w:rPr>
                <w:color w:val="105C84"/>
                <w:spacing w:val="-2"/>
                <w:sz w:val="18"/>
              </w:rPr>
              <w:t>in</w:t>
            </w:r>
            <w:r>
              <w:rPr>
                <w:color w:val="105C84"/>
                <w:spacing w:val="-10"/>
                <w:sz w:val="18"/>
              </w:rPr>
              <w:t> </w:t>
            </w:r>
            <w:r>
              <w:rPr>
                <w:color w:val="105C84"/>
                <w:spacing w:val="-2"/>
                <w:sz w:val="18"/>
              </w:rPr>
              <w:t>Systems </w:t>
            </w:r>
            <w:r>
              <w:rPr>
                <w:color w:val="105C84"/>
                <w:sz w:val="18"/>
              </w:rPr>
              <w:t>of Care Planning</w:t>
            </w:r>
          </w:p>
          <w:p>
            <w:pPr>
              <w:pStyle w:val="TableParagraph"/>
              <w:spacing w:line="232" w:lineRule="auto" w:before="86"/>
              <w:ind w:left="98" w:right="493"/>
              <w:rPr>
                <w:sz w:val="18"/>
              </w:rPr>
            </w:pPr>
            <w:r>
              <w:rPr>
                <w:color w:val="105C84"/>
                <w:sz w:val="18"/>
              </w:rPr>
              <w:t>Participating</w:t>
            </w:r>
            <w:r>
              <w:rPr>
                <w:color w:val="105C84"/>
                <w:spacing w:val="-15"/>
                <w:sz w:val="18"/>
              </w:rPr>
              <w:t> </w:t>
            </w:r>
            <w:r>
              <w:rPr>
                <w:color w:val="105C84"/>
                <w:sz w:val="18"/>
              </w:rPr>
              <w:t>in</w:t>
            </w:r>
            <w:r>
              <w:rPr>
                <w:color w:val="105C84"/>
                <w:spacing w:val="-12"/>
                <w:sz w:val="18"/>
              </w:rPr>
              <w:t> </w:t>
            </w:r>
            <w:r>
              <w:rPr>
                <w:color w:val="105C84"/>
                <w:sz w:val="18"/>
              </w:rPr>
              <w:t>Crisis Intervention</w:t>
            </w:r>
            <w:r>
              <w:rPr>
                <w:color w:val="105C84"/>
                <w:spacing w:val="12"/>
                <w:sz w:val="18"/>
              </w:rPr>
              <w:t> </w:t>
            </w:r>
            <w:r>
              <w:rPr>
                <w:color w:val="105C84"/>
                <w:spacing w:val="-2"/>
                <w:sz w:val="18"/>
              </w:rPr>
              <w:t>Training</w:t>
            </w:r>
          </w:p>
        </w:tc>
        <w:tc>
          <w:tcPr>
            <w:tcW w:w="1497" w:type="dxa"/>
          </w:tcPr>
          <w:p>
            <w:pPr>
              <w:pStyle w:val="TableParagraph"/>
              <w:spacing w:line="232" w:lineRule="auto" w:before="98"/>
              <w:ind w:left="98" w:right="70"/>
              <w:rPr>
                <w:sz w:val="18"/>
              </w:rPr>
            </w:pPr>
            <w:r>
              <w:rPr>
                <w:color w:val="105C84"/>
                <w:spacing w:val="-2"/>
                <w:sz w:val="18"/>
              </w:rPr>
              <w:t>Local governmental </w:t>
            </w:r>
            <w:r>
              <w:rPr>
                <w:color w:val="105C84"/>
                <w:spacing w:val="-4"/>
                <w:sz w:val="18"/>
              </w:rPr>
              <w:t>unit</w:t>
            </w:r>
          </w:p>
        </w:tc>
        <w:tc>
          <w:tcPr>
            <w:tcW w:w="1406" w:type="dxa"/>
          </w:tcPr>
          <w:p>
            <w:pPr>
              <w:pStyle w:val="TableParagraph"/>
              <w:spacing w:line="232" w:lineRule="auto" w:before="98"/>
              <w:ind w:left="99" w:right="249"/>
              <w:rPr>
                <w:sz w:val="18"/>
              </w:rPr>
            </w:pPr>
            <w:r>
              <w:rPr>
                <w:color w:val="105C84"/>
                <w:spacing w:val="-4"/>
                <w:sz w:val="18"/>
              </w:rPr>
              <w:t>Yates</w:t>
            </w:r>
            <w:r>
              <w:rPr>
                <w:color w:val="105C84"/>
                <w:spacing w:val="-9"/>
                <w:sz w:val="18"/>
              </w:rPr>
              <w:t> </w:t>
            </w:r>
            <w:r>
              <w:rPr>
                <w:color w:val="105C84"/>
                <w:spacing w:val="-4"/>
                <w:sz w:val="18"/>
              </w:rPr>
              <w:t>County </w:t>
            </w:r>
            <w:r>
              <w:rPr>
                <w:color w:val="105C84"/>
                <w:spacing w:val="-2"/>
                <w:sz w:val="18"/>
              </w:rPr>
              <w:t>Community Services</w:t>
            </w:r>
          </w:p>
        </w:tc>
      </w:tr>
      <w:tr>
        <w:trPr>
          <w:trHeight w:val="2824" w:hRule="atLeast"/>
        </w:trPr>
        <w:tc>
          <w:tcPr>
            <w:tcW w:w="1180" w:type="dxa"/>
            <w:tcBorders>
              <w:top w:val="nil"/>
              <w:bottom w:val="nil"/>
            </w:tcBorders>
            <w:shd w:val="clear" w:color="auto" w:fill="E6E7E8"/>
          </w:tcPr>
          <w:p>
            <w:pPr>
              <w:pStyle w:val="TableParagraph"/>
              <w:rPr>
                <w:rFonts w:ascii="Times New Roman"/>
                <w:sz w:val="18"/>
              </w:rPr>
            </w:pPr>
          </w:p>
        </w:tc>
        <w:tc>
          <w:tcPr>
            <w:tcW w:w="1324" w:type="dxa"/>
            <w:tcBorders>
              <w:top w:val="nil"/>
              <w:bottom w:val="nil"/>
            </w:tcBorders>
          </w:tcPr>
          <w:p>
            <w:pPr>
              <w:pStyle w:val="TableParagraph"/>
              <w:rPr>
                <w:rFonts w:ascii="Times New Roman"/>
                <w:sz w:val="18"/>
              </w:rPr>
            </w:pPr>
          </w:p>
        </w:tc>
        <w:tc>
          <w:tcPr>
            <w:tcW w:w="1266" w:type="dxa"/>
            <w:tcBorders>
              <w:top w:val="nil"/>
              <w:bottom w:val="nil"/>
            </w:tcBorders>
          </w:tcPr>
          <w:p>
            <w:pPr>
              <w:pStyle w:val="TableParagraph"/>
              <w:rPr>
                <w:rFonts w:ascii="Times New Roman"/>
                <w:sz w:val="18"/>
              </w:rPr>
            </w:pPr>
          </w:p>
        </w:tc>
        <w:tc>
          <w:tcPr>
            <w:tcW w:w="1554" w:type="dxa"/>
            <w:tcBorders>
              <w:top w:val="nil"/>
              <w:bottom w:val="nil"/>
            </w:tcBorders>
          </w:tcPr>
          <w:p>
            <w:pPr>
              <w:pStyle w:val="TableParagraph"/>
              <w:rPr>
                <w:rFonts w:ascii="Times New Roman"/>
                <w:sz w:val="18"/>
              </w:rPr>
            </w:pPr>
          </w:p>
        </w:tc>
        <w:tc>
          <w:tcPr>
            <w:tcW w:w="1064" w:type="dxa"/>
            <w:vMerge/>
            <w:tcBorders>
              <w:top w:val="nil"/>
            </w:tcBorders>
          </w:tcPr>
          <w:p>
            <w:pPr>
              <w:rPr>
                <w:sz w:val="2"/>
                <w:szCs w:val="2"/>
              </w:rPr>
            </w:pPr>
          </w:p>
        </w:tc>
        <w:tc>
          <w:tcPr>
            <w:tcW w:w="2058" w:type="dxa"/>
            <w:tcBorders>
              <w:top w:val="nil"/>
              <w:bottom w:val="nil"/>
            </w:tcBorders>
          </w:tcPr>
          <w:p>
            <w:pPr>
              <w:pStyle w:val="TableParagraph"/>
              <w:rPr>
                <w:rFonts w:ascii="Times New Roman"/>
                <w:sz w:val="18"/>
              </w:rPr>
            </w:pPr>
          </w:p>
        </w:tc>
        <w:tc>
          <w:tcPr>
            <w:tcW w:w="2699" w:type="dxa"/>
            <w:tcBorders>
              <w:top w:val="nil"/>
              <w:bottom w:val="nil"/>
              <w:right w:val="nil"/>
            </w:tcBorders>
          </w:tcPr>
          <w:p>
            <w:pPr>
              <w:pStyle w:val="TableParagraph"/>
              <w:rPr>
                <w:rFonts w:ascii="Times New Roman"/>
                <w:sz w:val="18"/>
              </w:rPr>
            </w:pPr>
          </w:p>
        </w:tc>
        <w:tc>
          <w:tcPr>
            <w:tcW w:w="4197" w:type="dxa"/>
            <w:tcBorders>
              <w:left w:val="nil"/>
              <w:bottom w:val="nil"/>
            </w:tcBorders>
          </w:tcPr>
          <w:p>
            <w:pPr>
              <w:pStyle w:val="TableParagraph"/>
              <w:spacing w:line="232" w:lineRule="auto" w:before="98"/>
              <w:ind w:left="1099" w:right="234"/>
              <w:rPr>
                <w:sz w:val="18"/>
              </w:rPr>
            </w:pPr>
            <w:r>
              <w:rPr>
                <w:color w:val="105C84"/>
                <w:sz w:val="18"/>
              </w:rPr>
              <w:t>“Talk</w:t>
            </w:r>
            <w:r>
              <w:rPr>
                <w:color w:val="105C84"/>
                <w:spacing w:val="-13"/>
                <w:sz w:val="18"/>
              </w:rPr>
              <w:t> </w:t>
            </w:r>
            <w:r>
              <w:rPr>
                <w:color w:val="105C84"/>
                <w:sz w:val="18"/>
              </w:rPr>
              <w:t>Saves</w:t>
            </w:r>
            <w:r>
              <w:rPr>
                <w:color w:val="105C84"/>
                <w:spacing w:val="-12"/>
                <w:sz w:val="18"/>
              </w:rPr>
              <w:t> </w:t>
            </w:r>
            <w:r>
              <w:rPr>
                <w:color w:val="105C84"/>
                <w:sz w:val="18"/>
              </w:rPr>
              <w:t>Lives”</w:t>
            </w:r>
            <w:r>
              <w:rPr>
                <w:color w:val="105C84"/>
                <w:spacing w:val="-13"/>
                <w:sz w:val="18"/>
              </w:rPr>
              <w:t> </w:t>
            </w:r>
            <w:r>
              <w:rPr>
                <w:color w:val="105C84"/>
                <w:sz w:val="18"/>
              </w:rPr>
              <w:t>was</w:t>
            </w:r>
            <w:r>
              <w:rPr>
                <w:color w:val="105C84"/>
                <w:spacing w:val="-12"/>
                <w:sz w:val="18"/>
              </w:rPr>
              <w:t> </w:t>
            </w:r>
            <w:r>
              <w:rPr>
                <w:color w:val="105C84"/>
                <w:sz w:val="18"/>
              </w:rPr>
              <w:t>presented</w:t>
            </w:r>
            <w:r>
              <w:rPr>
                <w:color w:val="105C84"/>
                <w:spacing w:val="-13"/>
                <w:sz w:val="18"/>
              </w:rPr>
              <w:t> </w:t>
            </w:r>
            <w:r>
              <w:rPr>
                <w:color w:val="105C84"/>
                <w:sz w:val="18"/>
              </w:rPr>
              <w:t>to more than 70 community members</w:t>
            </w:r>
          </w:p>
          <w:p>
            <w:pPr>
              <w:pStyle w:val="TableParagraph"/>
              <w:spacing w:line="232" w:lineRule="auto" w:before="89"/>
              <w:ind w:left="1099" w:right="64"/>
              <w:rPr>
                <w:sz w:val="18"/>
              </w:rPr>
            </w:pPr>
            <w:r>
              <w:rPr>
                <w:color w:val="105C84"/>
                <w:sz w:val="18"/>
              </w:rPr>
              <w:t>“Train the Trainer” trained 7 community</w:t>
            </w:r>
            <w:r>
              <w:rPr>
                <w:color w:val="105C84"/>
                <w:spacing w:val="-1"/>
                <w:sz w:val="18"/>
              </w:rPr>
              <w:t> </w:t>
            </w:r>
            <w:r>
              <w:rPr>
                <w:color w:val="105C84"/>
                <w:sz w:val="18"/>
              </w:rPr>
              <w:t>members</w:t>
            </w:r>
            <w:r>
              <w:rPr>
                <w:color w:val="105C84"/>
                <w:spacing w:val="-1"/>
                <w:sz w:val="18"/>
              </w:rPr>
              <w:t> </w:t>
            </w:r>
            <w:r>
              <w:rPr>
                <w:color w:val="105C84"/>
                <w:sz w:val="18"/>
              </w:rPr>
              <w:t>to</w:t>
            </w:r>
            <w:r>
              <w:rPr>
                <w:color w:val="105C84"/>
                <w:spacing w:val="-1"/>
                <w:sz w:val="18"/>
              </w:rPr>
              <w:t> </w:t>
            </w:r>
            <w:r>
              <w:rPr>
                <w:color w:val="105C84"/>
                <w:sz w:val="18"/>
              </w:rPr>
              <w:t>be</w:t>
            </w:r>
            <w:r>
              <w:rPr>
                <w:color w:val="105C84"/>
                <w:spacing w:val="-1"/>
                <w:sz w:val="18"/>
              </w:rPr>
              <w:t> </w:t>
            </w:r>
            <w:r>
              <w:rPr>
                <w:color w:val="105C84"/>
                <w:sz w:val="18"/>
              </w:rPr>
              <w:t>“Talk Saves Lives” facilitators</w:t>
            </w:r>
          </w:p>
          <w:p>
            <w:pPr>
              <w:pStyle w:val="TableParagraph"/>
              <w:spacing w:line="232" w:lineRule="auto" w:before="87"/>
              <w:ind w:left="1099" w:right="91"/>
              <w:rPr>
                <w:sz w:val="18"/>
              </w:rPr>
            </w:pPr>
            <w:r>
              <w:rPr>
                <w:color w:val="105C84"/>
                <w:sz w:val="18"/>
              </w:rPr>
              <w:t>“It’s Real” (a mental health and suicide prevention program was presented</w:t>
            </w:r>
            <w:r>
              <w:rPr>
                <w:color w:val="105C84"/>
                <w:spacing w:val="-5"/>
                <w:sz w:val="18"/>
              </w:rPr>
              <w:t> </w:t>
            </w:r>
            <w:r>
              <w:rPr>
                <w:color w:val="105C84"/>
                <w:sz w:val="18"/>
              </w:rPr>
              <w:t>to</w:t>
            </w:r>
            <w:r>
              <w:rPr>
                <w:color w:val="105C84"/>
                <w:spacing w:val="-5"/>
                <w:sz w:val="18"/>
              </w:rPr>
              <w:t> </w:t>
            </w:r>
            <w:r>
              <w:rPr>
                <w:color w:val="105C84"/>
                <w:sz w:val="18"/>
              </w:rPr>
              <w:t>Keuka</w:t>
            </w:r>
            <w:r>
              <w:rPr>
                <w:color w:val="105C84"/>
                <w:spacing w:val="-5"/>
                <w:sz w:val="18"/>
              </w:rPr>
              <w:t> </w:t>
            </w:r>
            <w:r>
              <w:rPr>
                <w:color w:val="105C84"/>
                <w:sz w:val="18"/>
              </w:rPr>
              <w:t>College</w:t>
            </w:r>
            <w:r>
              <w:rPr>
                <w:color w:val="105C84"/>
                <w:spacing w:val="-5"/>
                <w:sz w:val="18"/>
              </w:rPr>
              <w:t> </w:t>
            </w:r>
            <w:r>
              <w:rPr>
                <w:color w:val="105C84"/>
                <w:sz w:val="18"/>
              </w:rPr>
              <w:t>students</w:t>
            </w:r>
          </w:p>
          <w:p>
            <w:pPr>
              <w:pStyle w:val="TableParagraph"/>
              <w:spacing w:line="232" w:lineRule="auto" w:before="88"/>
              <w:ind w:left="1099" w:right="112"/>
              <w:rPr>
                <w:sz w:val="18"/>
              </w:rPr>
            </w:pPr>
            <w:r>
              <w:rPr>
                <w:color w:val="105C84"/>
                <w:sz w:val="18"/>
              </w:rPr>
              <w:t>“Out of the Darkness” community walk was held on 9/29/19 with 265 participants</w:t>
            </w:r>
            <w:r>
              <w:rPr>
                <w:color w:val="105C84"/>
                <w:spacing w:val="-15"/>
                <w:sz w:val="18"/>
              </w:rPr>
              <w:t> </w:t>
            </w:r>
            <w:r>
              <w:rPr>
                <w:color w:val="105C84"/>
                <w:sz w:val="18"/>
              </w:rPr>
              <w:t>and</w:t>
            </w:r>
            <w:r>
              <w:rPr>
                <w:color w:val="105C84"/>
                <w:spacing w:val="-12"/>
                <w:sz w:val="18"/>
              </w:rPr>
              <w:t> </w:t>
            </w:r>
            <w:r>
              <w:rPr>
                <w:color w:val="105C84"/>
                <w:sz w:val="18"/>
              </w:rPr>
              <w:t>more</w:t>
            </w:r>
            <w:r>
              <w:rPr>
                <w:color w:val="105C84"/>
                <w:spacing w:val="-13"/>
                <w:sz w:val="18"/>
              </w:rPr>
              <w:t> </w:t>
            </w:r>
            <w:r>
              <w:rPr>
                <w:color w:val="105C84"/>
                <w:sz w:val="18"/>
              </w:rPr>
              <w:t>than</w:t>
            </w:r>
            <w:r>
              <w:rPr>
                <w:color w:val="105C84"/>
                <w:spacing w:val="-12"/>
                <w:sz w:val="18"/>
              </w:rPr>
              <w:t> </w:t>
            </w:r>
            <w:r>
              <w:rPr>
                <w:color w:val="105C84"/>
                <w:sz w:val="18"/>
              </w:rPr>
              <w:t>$14,000 </w:t>
            </w:r>
            <w:r>
              <w:rPr>
                <w:color w:val="105C84"/>
                <w:spacing w:val="-2"/>
                <w:sz w:val="18"/>
              </w:rPr>
              <w:t>raised</w:t>
            </w:r>
          </w:p>
        </w:tc>
        <w:tc>
          <w:tcPr>
            <w:tcW w:w="1814" w:type="dxa"/>
            <w:tcBorders>
              <w:bottom w:val="nil"/>
            </w:tcBorders>
          </w:tcPr>
          <w:p>
            <w:pPr>
              <w:pStyle w:val="TableParagraph"/>
              <w:spacing w:line="232" w:lineRule="auto" w:before="98"/>
              <w:ind w:left="97" w:right="183"/>
              <w:rPr>
                <w:sz w:val="18"/>
              </w:rPr>
            </w:pPr>
            <w:r>
              <w:rPr>
                <w:color w:val="105C84"/>
                <w:sz w:val="18"/>
              </w:rPr>
              <w:t>“Talk</w:t>
            </w:r>
            <w:r>
              <w:rPr>
                <w:color w:val="105C84"/>
                <w:spacing w:val="-15"/>
                <w:sz w:val="18"/>
              </w:rPr>
              <w:t> </w:t>
            </w:r>
            <w:r>
              <w:rPr>
                <w:color w:val="105C84"/>
                <w:sz w:val="18"/>
              </w:rPr>
              <w:t>Saves</w:t>
            </w:r>
            <w:r>
              <w:rPr>
                <w:color w:val="105C84"/>
                <w:spacing w:val="-12"/>
                <w:sz w:val="18"/>
              </w:rPr>
              <w:t> </w:t>
            </w:r>
            <w:r>
              <w:rPr>
                <w:color w:val="105C84"/>
                <w:sz w:val="18"/>
              </w:rPr>
              <w:t>Lives”, </w:t>
            </w:r>
            <w:r>
              <w:rPr>
                <w:color w:val="105C84"/>
                <w:spacing w:val="-4"/>
                <w:w w:val="105"/>
                <w:sz w:val="18"/>
              </w:rPr>
              <w:t>“Train</w:t>
            </w:r>
            <w:r>
              <w:rPr>
                <w:color w:val="105C84"/>
                <w:spacing w:val="-10"/>
                <w:w w:val="105"/>
                <w:sz w:val="18"/>
              </w:rPr>
              <w:t> </w:t>
            </w:r>
            <w:r>
              <w:rPr>
                <w:color w:val="105C84"/>
                <w:spacing w:val="-4"/>
                <w:w w:val="105"/>
                <w:sz w:val="18"/>
              </w:rPr>
              <w:t>the</w:t>
            </w:r>
            <w:r>
              <w:rPr>
                <w:color w:val="105C84"/>
                <w:spacing w:val="-9"/>
                <w:w w:val="105"/>
                <w:sz w:val="18"/>
              </w:rPr>
              <w:t> </w:t>
            </w:r>
            <w:r>
              <w:rPr>
                <w:color w:val="105C84"/>
                <w:spacing w:val="-4"/>
                <w:w w:val="105"/>
                <w:sz w:val="18"/>
              </w:rPr>
              <w:t>Trainer”, </w:t>
            </w:r>
            <w:r>
              <w:rPr>
                <w:color w:val="105C84"/>
                <w:w w:val="105"/>
                <w:sz w:val="18"/>
              </w:rPr>
              <w:t>“It Real”, “More than Sad”, “Out</w:t>
            </w:r>
          </w:p>
          <w:p>
            <w:pPr>
              <w:pStyle w:val="TableParagraph"/>
              <w:spacing w:line="232" w:lineRule="auto"/>
              <w:ind w:left="97" w:right="152"/>
              <w:rPr>
                <w:sz w:val="18"/>
              </w:rPr>
            </w:pPr>
            <w:r>
              <w:rPr>
                <w:color w:val="105C84"/>
                <w:sz w:val="18"/>
              </w:rPr>
              <w:t>of the Darkness” community walk &amp; educational </w:t>
            </w:r>
            <w:r>
              <w:rPr>
                <w:color w:val="105C84"/>
                <w:sz w:val="18"/>
              </w:rPr>
              <w:t>tabling will take place in </w:t>
            </w:r>
            <w:r>
              <w:rPr>
                <w:color w:val="105C84"/>
                <w:spacing w:val="-4"/>
                <w:sz w:val="18"/>
              </w:rPr>
              <w:t>2020</w:t>
            </w:r>
          </w:p>
          <w:p>
            <w:pPr>
              <w:pStyle w:val="TableParagraph"/>
              <w:spacing w:line="232" w:lineRule="auto" w:before="83"/>
              <w:ind w:left="97" w:right="303"/>
              <w:rPr>
                <w:sz w:val="18"/>
              </w:rPr>
            </w:pPr>
            <w:r>
              <w:rPr>
                <w:color w:val="105C84"/>
                <w:sz w:val="18"/>
              </w:rPr>
              <w:t>The Suicide Coalition</w:t>
            </w:r>
            <w:r>
              <w:rPr>
                <w:color w:val="105C84"/>
                <w:spacing w:val="-15"/>
                <w:sz w:val="18"/>
              </w:rPr>
              <w:t> </w:t>
            </w:r>
            <w:r>
              <w:rPr>
                <w:color w:val="105C84"/>
                <w:sz w:val="18"/>
              </w:rPr>
              <w:t>of</w:t>
            </w:r>
            <w:r>
              <w:rPr>
                <w:color w:val="105C84"/>
                <w:spacing w:val="-12"/>
                <w:sz w:val="18"/>
              </w:rPr>
              <w:t> </w:t>
            </w:r>
            <w:r>
              <w:rPr>
                <w:color w:val="105C84"/>
                <w:sz w:val="18"/>
              </w:rPr>
              <w:t>Yates County meets </w:t>
            </w:r>
            <w:r>
              <w:rPr>
                <w:color w:val="105C84"/>
                <w:spacing w:val="-2"/>
                <w:sz w:val="18"/>
              </w:rPr>
              <w:t>monthly</w:t>
            </w:r>
          </w:p>
        </w:tc>
        <w:tc>
          <w:tcPr>
            <w:tcW w:w="2275" w:type="dxa"/>
            <w:tcBorders>
              <w:bottom w:val="nil"/>
            </w:tcBorders>
          </w:tcPr>
          <w:p>
            <w:pPr>
              <w:pStyle w:val="TableParagraph"/>
              <w:spacing w:line="232" w:lineRule="auto" w:before="98"/>
              <w:ind w:left="98" w:right="115"/>
              <w:rPr>
                <w:sz w:val="18"/>
              </w:rPr>
            </w:pPr>
            <w:r>
              <w:rPr>
                <w:color w:val="105C84"/>
                <w:sz w:val="18"/>
              </w:rPr>
              <w:t>“Talk</w:t>
            </w:r>
            <w:r>
              <w:rPr>
                <w:color w:val="105C84"/>
                <w:spacing w:val="-8"/>
                <w:sz w:val="18"/>
              </w:rPr>
              <w:t> </w:t>
            </w:r>
            <w:r>
              <w:rPr>
                <w:color w:val="105C84"/>
                <w:sz w:val="18"/>
              </w:rPr>
              <w:t>Saves</w:t>
            </w:r>
            <w:r>
              <w:rPr>
                <w:color w:val="105C84"/>
                <w:spacing w:val="-8"/>
                <w:sz w:val="18"/>
              </w:rPr>
              <w:t> </w:t>
            </w:r>
            <w:r>
              <w:rPr>
                <w:color w:val="105C84"/>
                <w:sz w:val="18"/>
              </w:rPr>
              <w:t>Lives”,</w:t>
            </w:r>
            <w:r>
              <w:rPr>
                <w:color w:val="105C84"/>
                <w:spacing w:val="-8"/>
                <w:sz w:val="18"/>
              </w:rPr>
              <w:t> </w:t>
            </w:r>
            <w:r>
              <w:rPr>
                <w:color w:val="105C84"/>
                <w:sz w:val="18"/>
              </w:rPr>
              <w:t>“Train the Trainer”, “It Real”, “More than Sad”, “Out </w:t>
            </w:r>
            <w:r>
              <w:rPr>
                <w:color w:val="105C84"/>
                <w:sz w:val="18"/>
              </w:rPr>
              <w:t>of the</w:t>
            </w:r>
            <w:r>
              <w:rPr>
                <w:color w:val="105C84"/>
                <w:spacing w:val="-6"/>
                <w:sz w:val="18"/>
              </w:rPr>
              <w:t> </w:t>
            </w:r>
            <w:r>
              <w:rPr>
                <w:color w:val="105C84"/>
                <w:sz w:val="18"/>
              </w:rPr>
              <w:t>Darkness”</w:t>
            </w:r>
            <w:r>
              <w:rPr>
                <w:color w:val="105C84"/>
                <w:spacing w:val="-6"/>
                <w:sz w:val="18"/>
              </w:rPr>
              <w:t> </w:t>
            </w:r>
            <w:r>
              <w:rPr>
                <w:color w:val="105C84"/>
                <w:sz w:val="18"/>
              </w:rPr>
              <w:t>community walk &amp; educational</w:t>
            </w:r>
            <w:r>
              <w:rPr>
                <w:color w:val="105C84"/>
                <w:spacing w:val="40"/>
                <w:sz w:val="18"/>
              </w:rPr>
              <w:t> </w:t>
            </w:r>
            <w:r>
              <w:rPr>
                <w:color w:val="105C84"/>
                <w:sz w:val="18"/>
              </w:rPr>
              <w:t>tabling will take place in </w:t>
            </w:r>
            <w:r>
              <w:rPr>
                <w:color w:val="105C84"/>
                <w:spacing w:val="-4"/>
                <w:sz w:val="18"/>
              </w:rPr>
              <w:t>2021</w:t>
            </w:r>
          </w:p>
          <w:p>
            <w:pPr>
              <w:pStyle w:val="TableParagraph"/>
              <w:spacing w:line="232" w:lineRule="auto" w:before="84"/>
              <w:ind w:left="98" w:right="377"/>
              <w:rPr>
                <w:sz w:val="18"/>
              </w:rPr>
            </w:pPr>
            <w:r>
              <w:rPr>
                <w:color w:val="105C84"/>
                <w:sz w:val="18"/>
              </w:rPr>
              <w:t>The Suicide Coalition </w:t>
            </w:r>
            <w:r>
              <w:rPr>
                <w:color w:val="105C84"/>
                <w:spacing w:val="-2"/>
                <w:sz w:val="18"/>
              </w:rPr>
              <w:t>of</w:t>
            </w:r>
            <w:r>
              <w:rPr>
                <w:color w:val="105C84"/>
                <w:spacing w:val="-11"/>
                <w:sz w:val="18"/>
              </w:rPr>
              <w:t> </w:t>
            </w:r>
            <w:r>
              <w:rPr>
                <w:color w:val="105C84"/>
                <w:spacing w:val="-2"/>
                <w:sz w:val="18"/>
              </w:rPr>
              <w:t>Yates</w:t>
            </w:r>
            <w:r>
              <w:rPr>
                <w:color w:val="105C84"/>
                <w:spacing w:val="-10"/>
                <w:sz w:val="18"/>
              </w:rPr>
              <w:t> </w:t>
            </w:r>
            <w:r>
              <w:rPr>
                <w:color w:val="105C84"/>
                <w:spacing w:val="-2"/>
                <w:sz w:val="18"/>
              </w:rPr>
              <w:t>County</w:t>
            </w:r>
            <w:r>
              <w:rPr>
                <w:color w:val="105C84"/>
                <w:spacing w:val="-11"/>
                <w:sz w:val="18"/>
              </w:rPr>
              <w:t> </w:t>
            </w:r>
            <w:r>
              <w:rPr>
                <w:color w:val="105C84"/>
                <w:spacing w:val="-2"/>
                <w:sz w:val="18"/>
              </w:rPr>
              <w:t>meets monthly</w:t>
            </w:r>
          </w:p>
        </w:tc>
        <w:tc>
          <w:tcPr>
            <w:tcW w:w="1497" w:type="dxa"/>
            <w:tcBorders>
              <w:bottom w:val="nil"/>
            </w:tcBorders>
          </w:tcPr>
          <w:p>
            <w:pPr>
              <w:pStyle w:val="TableParagraph"/>
              <w:spacing w:line="232" w:lineRule="auto" w:before="98"/>
              <w:ind w:left="98"/>
              <w:rPr>
                <w:sz w:val="18"/>
              </w:rPr>
            </w:pPr>
            <w:r>
              <w:rPr>
                <w:color w:val="105C84"/>
                <w:spacing w:val="-2"/>
                <w:sz w:val="18"/>
              </w:rPr>
              <w:t>Community-based organizations</w:t>
            </w:r>
          </w:p>
        </w:tc>
        <w:tc>
          <w:tcPr>
            <w:tcW w:w="1406" w:type="dxa"/>
            <w:tcBorders>
              <w:bottom w:val="nil"/>
            </w:tcBorders>
          </w:tcPr>
          <w:p>
            <w:pPr>
              <w:pStyle w:val="TableParagraph"/>
              <w:spacing w:line="232" w:lineRule="auto" w:before="98"/>
              <w:ind w:left="99" w:right="249"/>
              <w:rPr>
                <w:sz w:val="18"/>
              </w:rPr>
            </w:pPr>
            <w:r>
              <w:rPr>
                <w:color w:val="105C84"/>
                <w:spacing w:val="-2"/>
                <w:sz w:val="18"/>
              </w:rPr>
              <w:t>Suicide </w:t>
            </w:r>
            <w:r>
              <w:rPr>
                <w:color w:val="105C84"/>
                <w:sz w:val="18"/>
              </w:rPr>
              <w:t>Coalition of </w:t>
            </w:r>
            <w:r>
              <w:rPr>
                <w:color w:val="105C84"/>
                <w:spacing w:val="-4"/>
                <w:sz w:val="18"/>
              </w:rPr>
              <w:t>Yates</w:t>
            </w:r>
            <w:r>
              <w:rPr>
                <w:color w:val="105C84"/>
                <w:spacing w:val="-9"/>
                <w:sz w:val="18"/>
              </w:rPr>
              <w:t> </w:t>
            </w:r>
            <w:r>
              <w:rPr>
                <w:color w:val="105C84"/>
                <w:spacing w:val="-4"/>
                <w:sz w:val="18"/>
              </w:rPr>
              <w:t>County</w:t>
            </w:r>
          </w:p>
        </w:tc>
      </w:tr>
      <w:tr>
        <w:trPr>
          <w:trHeight w:val="870" w:hRule="atLeast"/>
        </w:trPr>
        <w:tc>
          <w:tcPr>
            <w:tcW w:w="1180" w:type="dxa"/>
            <w:tcBorders>
              <w:top w:val="nil"/>
              <w:bottom w:val="nil"/>
            </w:tcBorders>
            <w:shd w:val="clear" w:color="auto" w:fill="E6E7E8"/>
          </w:tcPr>
          <w:p>
            <w:pPr>
              <w:pStyle w:val="TableParagraph"/>
              <w:rPr>
                <w:rFonts w:ascii="Times New Roman"/>
                <w:sz w:val="18"/>
              </w:rPr>
            </w:pPr>
          </w:p>
        </w:tc>
        <w:tc>
          <w:tcPr>
            <w:tcW w:w="1324" w:type="dxa"/>
            <w:tcBorders>
              <w:top w:val="nil"/>
              <w:bottom w:val="nil"/>
            </w:tcBorders>
          </w:tcPr>
          <w:p>
            <w:pPr>
              <w:pStyle w:val="TableParagraph"/>
              <w:rPr>
                <w:rFonts w:ascii="Times New Roman"/>
                <w:sz w:val="18"/>
              </w:rPr>
            </w:pPr>
          </w:p>
        </w:tc>
        <w:tc>
          <w:tcPr>
            <w:tcW w:w="1266" w:type="dxa"/>
            <w:tcBorders>
              <w:top w:val="nil"/>
              <w:bottom w:val="nil"/>
            </w:tcBorders>
          </w:tcPr>
          <w:p>
            <w:pPr>
              <w:pStyle w:val="TableParagraph"/>
              <w:rPr>
                <w:rFonts w:ascii="Times New Roman"/>
                <w:sz w:val="18"/>
              </w:rPr>
            </w:pPr>
          </w:p>
        </w:tc>
        <w:tc>
          <w:tcPr>
            <w:tcW w:w="1554" w:type="dxa"/>
            <w:tcBorders>
              <w:top w:val="nil"/>
              <w:bottom w:val="nil"/>
            </w:tcBorders>
          </w:tcPr>
          <w:p>
            <w:pPr>
              <w:pStyle w:val="TableParagraph"/>
              <w:rPr>
                <w:rFonts w:ascii="Times New Roman"/>
                <w:sz w:val="18"/>
              </w:rPr>
            </w:pPr>
          </w:p>
        </w:tc>
        <w:tc>
          <w:tcPr>
            <w:tcW w:w="1064" w:type="dxa"/>
            <w:vMerge/>
            <w:tcBorders>
              <w:top w:val="nil"/>
            </w:tcBorders>
          </w:tcPr>
          <w:p>
            <w:pPr>
              <w:rPr>
                <w:sz w:val="2"/>
                <w:szCs w:val="2"/>
              </w:rPr>
            </w:pPr>
          </w:p>
        </w:tc>
        <w:tc>
          <w:tcPr>
            <w:tcW w:w="2058" w:type="dxa"/>
            <w:tcBorders>
              <w:top w:val="nil"/>
              <w:bottom w:val="nil"/>
            </w:tcBorders>
          </w:tcPr>
          <w:p>
            <w:pPr>
              <w:pStyle w:val="TableParagraph"/>
              <w:rPr>
                <w:rFonts w:ascii="Times New Roman"/>
                <w:sz w:val="18"/>
              </w:rPr>
            </w:pPr>
          </w:p>
        </w:tc>
        <w:tc>
          <w:tcPr>
            <w:tcW w:w="2699" w:type="dxa"/>
            <w:tcBorders>
              <w:top w:val="nil"/>
              <w:bottom w:val="nil"/>
              <w:right w:val="nil"/>
            </w:tcBorders>
          </w:tcPr>
          <w:p>
            <w:pPr>
              <w:pStyle w:val="TableParagraph"/>
              <w:rPr>
                <w:rFonts w:ascii="Times New Roman"/>
                <w:sz w:val="18"/>
              </w:rPr>
            </w:pPr>
          </w:p>
        </w:tc>
        <w:tc>
          <w:tcPr>
            <w:tcW w:w="4197" w:type="dxa"/>
            <w:tcBorders>
              <w:top w:val="nil"/>
              <w:left w:val="nil"/>
              <w:bottom w:val="nil"/>
            </w:tcBorders>
          </w:tcPr>
          <w:p>
            <w:pPr>
              <w:pStyle w:val="TableParagraph"/>
              <w:spacing w:line="232" w:lineRule="auto" w:before="23"/>
              <w:ind w:left="1099" w:right="64"/>
              <w:rPr>
                <w:sz w:val="18"/>
              </w:rPr>
            </w:pPr>
            <w:r>
              <w:rPr>
                <w:color w:val="105C84"/>
                <w:sz w:val="18"/>
              </w:rPr>
              <w:t>Educational tabling, in honor of </w:t>
            </w:r>
            <w:r>
              <w:rPr>
                <w:color w:val="105C84"/>
                <w:spacing w:val="-2"/>
                <w:sz w:val="18"/>
              </w:rPr>
              <w:t>Suicide</w:t>
            </w:r>
            <w:r>
              <w:rPr>
                <w:color w:val="105C84"/>
                <w:spacing w:val="-8"/>
                <w:sz w:val="18"/>
              </w:rPr>
              <w:t> </w:t>
            </w:r>
            <w:r>
              <w:rPr>
                <w:color w:val="105C84"/>
                <w:spacing w:val="-2"/>
                <w:sz w:val="18"/>
              </w:rPr>
              <w:t>Prevention</w:t>
            </w:r>
            <w:r>
              <w:rPr>
                <w:color w:val="105C84"/>
                <w:spacing w:val="-8"/>
                <w:sz w:val="18"/>
              </w:rPr>
              <w:t> </w:t>
            </w:r>
            <w:r>
              <w:rPr>
                <w:color w:val="105C84"/>
                <w:spacing w:val="-2"/>
                <w:sz w:val="18"/>
              </w:rPr>
              <w:t>month</w:t>
            </w:r>
            <w:r>
              <w:rPr>
                <w:color w:val="105C84"/>
                <w:spacing w:val="-8"/>
                <w:sz w:val="18"/>
              </w:rPr>
              <w:t> </w:t>
            </w:r>
            <w:r>
              <w:rPr>
                <w:color w:val="105C84"/>
                <w:spacing w:val="-2"/>
                <w:sz w:val="18"/>
              </w:rPr>
              <w:t>(Sept)</w:t>
            </w:r>
            <w:r>
              <w:rPr>
                <w:color w:val="105C84"/>
                <w:spacing w:val="-8"/>
                <w:sz w:val="18"/>
              </w:rPr>
              <w:t> </w:t>
            </w:r>
            <w:r>
              <w:rPr>
                <w:color w:val="105C84"/>
                <w:spacing w:val="-2"/>
                <w:sz w:val="18"/>
              </w:rPr>
              <w:t>was </w:t>
            </w:r>
            <w:r>
              <w:rPr>
                <w:color w:val="105C84"/>
                <w:sz w:val="18"/>
              </w:rPr>
              <w:t>done at the library and in the main lobby of the County Office Building</w:t>
            </w:r>
          </w:p>
        </w:tc>
        <w:tc>
          <w:tcPr>
            <w:tcW w:w="1814" w:type="dxa"/>
            <w:tcBorders>
              <w:top w:val="nil"/>
              <w:bottom w:val="nil"/>
            </w:tcBorders>
          </w:tcPr>
          <w:p>
            <w:pPr>
              <w:pStyle w:val="TableParagraph"/>
              <w:rPr>
                <w:rFonts w:ascii="Times New Roman"/>
                <w:sz w:val="18"/>
              </w:rPr>
            </w:pPr>
          </w:p>
        </w:tc>
        <w:tc>
          <w:tcPr>
            <w:tcW w:w="2275" w:type="dxa"/>
            <w:tcBorders>
              <w:top w:val="nil"/>
              <w:bottom w:val="nil"/>
            </w:tcBorders>
          </w:tcPr>
          <w:p>
            <w:pPr>
              <w:pStyle w:val="TableParagraph"/>
              <w:rPr>
                <w:rFonts w:ascii="Times New Roman"/>
                <w:sz w:val="18"/>
              </w:rPr>
            </w:pPr>
          </w:p>
        </w:tc>
        <w:tc>
          <w:tcPr>
            <w:tcW w:w="1497" w:type="dxa"/>
            <w:tcBorders>
              <w:top w:val="nil"/>
              <w:bottom w:val="nil"/>
            </w:tcBorders>
          </w:tcPr>
          <w:p>
            <w:pPr>
              <w:pStyle w:val="TableParagraph"/>
              <w:rPr>
                <w:rFonts w:ascii="Times New Roman"/>
                <w:sz w:val="18"/>
              </w:rPr>
            </w:pPr>
          </w:p>
        </w:tc>
        <w:tc>
          <w:tcPr>
            <w:tcW w:w="1406" w:type="dxa"/>
            <w:tcBorders>
              <w:top w:val="nil"/>
              <w:bottom w:val="nil"/>
            </w:tcBorders>
          </w:tcPr>
          <w:p>
            <w:pPr>
              <w:pStyle w:val="TableParagraph"/>
              <w:rPr>
                <w:rFonts w:ascii="Times New Roman"/>
                <w:sz w:val="18"/>
              </w:rPr>
            </w:pPr>
          </w:p>
        </w:tc>
      </w:tr>
      <w:tr>
        <w:trPr>
          <w:trHeight w:val="479" w:hRule="atLeast"/>
        </w:trPr>
        <w:tc>
          <w:tcPr>
            <w:tcW w:w="1180" w:type="dxa"/>
            <w:tcBorders>
              <w:top w:val="nil"/>
              <w:bottom w:val="nil"/>
            </w:tcBorders>
            <w:shd w:val="clear" w:color="auto" w:fill="E6E7E8"/>
          </w:tcPr>
          <w:p>
            <w:pPr>
              <w:pStyle w:val="TableParagraph"/>
              <w:rPr>
                <w:rFonts w:ascii="Times New Roman"/>
                <w:sz w:val="18"/>
              </w:rPr>
            </w:pPr>
          </w:p>
        </w:tc>
        <w:tc>
          <w:tcPr>
            <w:tcW w:w="1324" w:type="dxa"/>
            <w:tcBorders>
              <w:top w:val="nil"/>
              <w:bottom w:val="nil"/>
            </w:tcBorders>
          </w:tcPr>
          <w:p>
            <w:pPr>
              <w:pStyle w:val="TableParagraph"/>
              <w:rPr>
                <w:rFonts w:ascii="Times New Roman"/>
                <w:sz w:val="18"/>
              </w:rPr>
            </w:pPr>
          </w:p>
        </w:tc>
        <w:tc>
          <w:tcPr>
            <w:tcW w:w="1266" w:type="dxa"/>
            <w:tcBorders>
              <w:top w:val="nil"/>
              <w:bottom w:val="nil"/>
            </w:tcBorders>
          </w:tcPr>
          <w:p>
            <w:pPr>
              <w:pStyle w:val="TableParagraph"/>
              <w:rPr>
                <w:rFonts w:ascii="Times New Roman"/>
                <w:sz w:val="18"/>
              </w:rPr>
            </w:pPr>
          </w:p>
        </w:tc>
        <w:tc>
          <w:tcPr>
            <w:tcW w:w="1554" w:type="dxa"/>
            <w:tcBorders>
              <w:top w:val="nil"/>
              <w:bottom w:val="nil"/>
            </w:tcBorders>
          </w:tcPr>
          <w:p>
            <w:pPr>
              <w:pStyle w:val="TableParagraph"/>
              <w:rPr>
                <w:rFonts w:ascii="Times New Roman"/>
                <w:sz w:val="18"/>
              </w:rPr>
            </w:pPr>
          </w:p>
        </w:tc>
        <w:tc>
          <w:tcPr>
            <w:tcW w:w="1064" w:type="dxa"/>
            <w:vMerge/>
            <w:tcBorders>
              <w:top w:val="nil"/>
            </w:tcBorders>
          </w:tcPr>
          <w:p>
            <w:pPr>
              <w:rPr>
                <w:sz w:val="2"/>
                <w:szCs w:val="2"/>
              </w:rPr>
            </w:pPr>
          </w:p>
        </w:tc>
        <w:tc>
          <w:tcPr>
            <w:tcW w:w="2058" w:type="dxa"/>
            <w:tcBorders>
              <w:top w:val="nil"/>
              <w:bottom w:val="nil"/>
            </w:tcBorders>
          </w:tcPr>
          <w:p>
            <w:pPr>
              <w:pStyle w:val="TableParagraph"/>
              <w:rPr>
                <w:rFonts w:ascii="Times New Roman"/>
                <w:sz w:val="18"/>
              </w:rPr>
            </w:pPr>
          </w:p>
        </w:tc>
        <w:tc>
          <w:tcPr>
            <w:tcW w:w="2699" w:type="dxa"/>
            <w:tcBorders>
              <w:top w:val="nil"/>
              <w:bottom w:val="nil"/>
              <w:right w:val="nil"/>
            </w:tcBorders>
          </w:tcPr>
          <w:p>
            <w:pPr>
              <w:pStyle w:val="TableParagraph"/>
              <w:rPr>
                <w:rFonts w:ascii="Times New Roman"/>
                <w:sz w:val="18"/>
              </w:rPr>
            </w:pPr>
          </w:p>
        </w:tc>
        <w:tc>
          <w:tcPr>
            <w:tcW w:w="4197" w:type="dxa"/>
            <w:tcBorders>
              <w:top w:val="nil"/>
              <w:left w:val="nil"/>
              <w:bottom w:val="nil"/>
            </w:tcBorders>
          </w:tcPr>
          <w:p>
            <w:pPr>
              <w:pStyle w:val="TableParagraph"/>
              <w:spacing w:line="232" w:lineRule="auto" w:before="33"/>
              <w:ind w:left="1099" w:right="64"/>
              <w:rPr>
                <w:sz w:val="18"/>
              </w:rPr>
            </w:pPr>
            <w:r>
              <w:rPr>
                <w:color w:val="105C84"/>
                <w:sz w:val="18"/>
              </w:rPr>
              <w:t>Penn</w:t>
            </w:r>
            <w:r>
              <w:rPr>
                <w:color w:val="105C84"/>
                <w:spacing w:val="-13"/>
                <w:sz w:val="18"/>
              </w:rPr>
              <w:t> </w:t>
            </w:r>
            <w:r>
              <w:rPr>
                <w:color w:val="105C84"/>
                <w:sz w:val="18"/>
              </w:rPr>
              <w:t>Yan</w:t>
            </w:r>
            <w:r>
              <w:rPr>
                <w:color w:val="105C84"/>
                <w:spacing w:val="-12"/>
                <w:sz w:val="18"/>
              </w:rPr>
              <w:t> </w:t>
            </w:r>
            <w:r>
              <w:rPr>
                <w:color w:val="105C84"/>
                <w:sz w:val="18"/>
              </w:rPr>
              <w:t>Schools</w:t>
            </w:r>
            <w:r>
              <w:rPr>
                <w:color w:val="105C84"/>
                <w:spacing w:val="-13"/>
                <w:sz w:val="18"/>
              </w:rPr>
              <w:t> </w:t>
            </w:r>
            <w:r>
              <w:rPr>
                <w:color w:val="105C84"/>
                <w:sz w:val="18"/>
              </w:rPr>
              <w:t>had</w:t>
            </w:r>
            <w:r>
              <w:rPr>
                <w:color w:val="105C84"/>
                <w:spacing w:val="-12"/>
                <w:sz w:val="18"/>
              </w:rPr>
              <w:t> </w:t>
            </w:r>
            <w:r>
              <w:rPr>
                <w:color w:val="105C84"/>
                <w:sz w:val="18"/>
              </w:rPr>
              <w:t>tabling</w:t>
            </w:r>
            <w:r>
              <w:rPr>
                <w:color w:val="105C84"/>
                <w:spacing w:val="-13"/>
                <w:sz w:val="18"/>
              </w:rPr>
              <w:t> </w:t>
            </w:r>
            <w:r>
              <w:rPr>
                <w:color w:val="105C84"/>
                <w:sz w:val="18"/>
              </w:rPr>
              <w:t>during their open house activities</w:t>
            </w:r>
          </w:p>
        </w:tc>
        <w:tc>
          <w:tcPr>
            <w:tcW w:w="1814" w:type="dxa"/>
            <w:tcBorders>
              <w:top w:val="nil"/>
              <w:bottom w:val="nil"/>
            </w:tcBorders>
          </w:tcPr>
          <w:p>
            <w:pPr>
              <w:pStyle w:val="TableParagraph"/>
              <w:rPr>
                <w:rFonts w:ascii="Times New Roman"/>
                <w:sz w:val="18"/>
              </w:rPr>
            </w:pPr>
          </w:p>
        </w:tc>
        <w:tc>
          <w:tcPr>
            <w:tcW w:w="2275" w:type="dxa"/>
            <w:tcBorders>
              <w:top w:val="nil"/>
              <w:bottom w:val="nil"/>
            </w:tcBorders>
          </w:tcPr>
          <w:p>
            <w:pPr>
              <w:pStyle w:val="TableParagraph"/>
              <w:rPr>
                <w:rFonts w:ascii="Times New Roman"/>
                <w:sz w:val="18"/>
              </w:rPr>
            </w:pPr>
          </w:p>
        </w:tc>
        <w:tc>
          <w:tcPr>
            <w:tcW w:w="1497" w:type="dxa"/>
            <w:tcBorders>
              <w:top w:val="nil"/>
              <w:bottom w:val="nil"/>
            </w:tcBorders>
          </w:tcPr>
          <w:p>
            <w:pPr>
              <w:pStyle w:val="TableParagraph"/>
              <w:rPr>
                <w:rFonts w:ascii="Times New Roman"/>
                <w:sz w:val="18"/>
              </w:rPr>
            </w:pPr>
          </w:p>
        </w:tc>
        <w:tc>
          <w:tcPr>
            <w:tcW w:w="1406" w:type="dxa"/>
            <w:tcBorders>
              <w:top w:val="nil"/>
              <w:bottom w:val="nil"/>
            </w:tcBorders>
          </w:tcPr>
          <w:p>
            <w:pPr>
              <w:pStyle w:val="TableParagraph"/>
              <w:rPr>
                <w:rFonts w:ascii="Times New Roman"/>
                <w:sz w:val="18"/>
              </w:rPr>
            </w:pPr>
          </w:p>
        </w:tc>
      </w:tr>
      <w:tr>
        <w:trPr>
          <w:trHeight w:val="479" w:hRule="atLeast"/>
        </w:trPr>
        <w:tc>
          <w:tcPr>
            <w:tcW w:w="1180" w:type="dxa"/>
            <w:tcBorders>
              <w:top w:val="nil"/>
              <w:bottom w:val="nil"/>
            </w:tcBorders>
            <w:shd w:val="clear" w:color="auto" w:fill="E6E7E8"/>
          </w:tcPr>
          <w:p>
            <w:pPr>
              <w:pStyle w:val="TableParagraph"/>
              <w:rPr>
                <w:rFonts w:ascii="Times New Roman"/>
                <w:sz w:val="18"/>
              </w:rPr>
            </w:pPr>
          </w:p>
        </w:tc>
        <w:tc>
          <w:tcPr>
            <w:tcW w:w="1324" w:type="dxa"/>
            <w:tcBorders>
              <w:top w:val="nil"/>
              <w:bottom w:val="nil"/>
            </w:tcBorders>
          </w:tcPr>
          <w:p>
            <w:pPr>
              <w:pStyle w:val="TableParagraph"/>
              <w:rPr>
                <w:rFonts w:ascii="Times New Roman"/>
                <w:sz w:val="18"/>
              </w:rPr>
            </w:pPr>
          </w:p>
        </w:tc>
        <w:tc>
          <w:tcPr>
            <w:tcW w:w="1266" w:type="dxa"/>
            <w:tcBorders>
              <w:top w:val="nil"/>
              <w:bottom w:val="nil"/>
            </w:tcBorders>
          </w:tcPr>
          <w:p>
            <w:pPr>
              <w:pStyle w:val="TableParagraph"/>
              <w:rPr>
                <w:rFonts w:ascii="Times New Roman"/>
                <w:sz w:val="18"/>
              </w:rPr>
            </w:pPr>
          </w:p>
        </w:tc>
        <w:tc>
          <w:tcPr>
            <w:tcW w:w="1554" w:type="dxa"/>
            <w:tcBorders>
              <w:top w:val="nil"/>
              <w:bottom w:val="nil"/>
            </w:tcBorders>
          </w:tcPr>
          <w:p>
            <w:pPr>
              <w:pStyle w:val="TableParagraph"/>
              <w:rPr>
                <w:rFonts w:ascii="Times New Roman"/>
                <w:sz w:val="18"/>
              </w:rPr>
            </w:pPr>
          </w:p>
        </w:tc>
        <w:tc>
          <w:tcPr>
            <w:tcW w:w="1064" w:type="dxa"/>
            <w:vMerge/>
            <w:tcBorders>
              <w:top w:val="nil"/>
            </w:tcBorders>
          </w:tcPr>
          <w:p>
            <w:pPr>
              <w:rPr>
                <w:sz w:val="2"/>
                <w:szCs w:val="2"/>
              </w:rPr>
            </w:pPr>
          </w:p>
        </w:tc>
        <w:tc>
          <w:tcPr>
            <w:tcW w:w="2058" w:type="dxa"/>
            <w:tcBorders>
              <w:top w:val="nil"/>
              <w:bottom w:val="nil"/>
            </w:tcBorders>
          </w:tcPr>
          <w:p>
            <w:pPr>
              <w:pStyle w:val="TableParagraph"/>
              <w:rPr>
                <w:rFonts w:ascii="Times New Roman"/>
                <w:sz w:val="18"/>
              </w:rPr>
            </w:pPr>
          </w:p>
        </w:tc>
        <w:tc>
          <w:tcPr>
            <w:tcW w:w="2699" w:type="dxa"/>
            <w:tcBorders>
              <w:top w:val="nil"/>
              <w:bottom w:val="nil"/>
              <w:right w:val="nil"/>
            </w:tcBorders>
          </w:tcPr>
          <w:p>
            <w:pPr>
              <w:pStyle w:val="TableParagraph"/>
              <w:rPr>
                <w:rFonts w:ascii="Times New Roman"/>
                <w:sz w:val="18"/>
              </w:rPr>
            </w:pPr>
          </w:p>
        </w:tc>
        <w:tc>
          <w:tcPr>
            <w:tcW w:w="4197" w:type="dxa"/>
            <w:tcBorders>
              <w:top w:val="nil"/>
              <w:left w:val="nil"/>
              <w:bottom w:val="nil"/>
            </w:tcBorders>
          </w:tcPr>
          <w:p>
            <w:pPr>
              <w:pStyle w:val="TableParagraph"/>
              <w:spacing w:line="232" w:lineRule="auto" w:before="33"/>
              <w:ind w:left="1099" w:right="64"/>
              <w:rPr>
                <w:sz w:val="18"/>
              </w:rPr>
            </w:pPr>
            <w:r>
              <w:rPr>
                <w:color w:val="105C84"/>
                <w:sz w:val="18"/>
              </w:rPr>
              <w:t>“Talk</w:t>
            </w:r>
            <w:r>
              <w:rPr>
                <w:color w:val="105C84"/>
                <w:spacing w:val="-13"/>
                <w:sz w:val="18"/>
              </w:rPr>
              <w:t> </w:t>
            </w:r>
            <w:r>
              <w:rPr>
                <w:color w:val="105C84"/>
                <w:sz w:val="18"/>
              </w:rPr>
              <w:t>Saves</w:t>
            </w:r>
            <w:r>
              <w:rPr>
                <w:color w:val="105C84"/>
                <w:spacing w:val="-12"/>
                <w:sz w:val="18"/>
              </w:rPr>
              <w:t> </w:t>
            </w:r>
            <w:r>
              <w:rPr>
                <w:color w:val="105C84"/>
                <w:sz w:val="18"/>
              </w:rPr>
              <w:t>Lives”</w:t>
            </w:r>
            <w:r>
              <w:rPr>
                <w:color w:val="105C84"/>
                <w:spacing w:val="-13"/>
                <w:sz w:val="18"/>
              </w:rPr>
              <w:t> </w:t>
            </w:r>
            <w:r>
              <w:rPr>
                <w:color w:val="105C84"/>
                <w:sz w:val="18"/>
              </w:rPr>
              <w:t>was</w:t>
            </w:r>
            <w:r>
              <w:rPr>
                <w:color w:val="105C84"/>
                <w:spacing w:val="-12"/>
                <w:sz w:val="18"/>
              </w:rPr>
              <w:t> </w:t>
            </w:r>
            <w:r>
              <w:rPr>
                <w:color w:val="105C84"/>
                <w:sz w:val="18"/>
              </w:rPr>
              <w:t>provided</w:t>
            </w:r>
            <w:r>
              <w:rPr>
                <w:color w:val="105C84"/>
                <w:spacing w:val="-13"/>
                <w:sz w:val="18"/>
              </w:rPr>
              <w:t> </w:t>
            </w:r>
            <w:r>
              <w:rPr>
                <w:color w:val="105C84"/>
                <w:sz w:val="18"/>
              </w:rPr>
              <w:t>at</w:t>
            </w:r>
            <w:r>
              <w:rPr>
                <w:color w:val="105C84"/>
                <w:spacing w:val="-13"/>
                <w:sz w:val="18"/>
              </w:rPr>
              <w:t> </w:t>
            </w:r>
            <w:r>
              <w:rPr>
                <w:color w:val="105C84"/>
                <w:sz w:val="18"/>
              </w:rPr>
              <w:t>2 local churches in September</w:t>
            </w:r>
          </w:p>
        </w:tc>
        <w:tc>
          <w:tcPr>
            <w:tcW w:w="1814" w:type="dxa"/>
            <w:tcBorders>
              <w:top w:val="nil"/>
              <w:bottom w:val="nil"/>
            </w:tcBorders>
          </w:tcPr>
          <w:p>
            <w:pPr>
              <w:pStyle w:val="TableParagraph"/>
              <w:rPr>
                <w:rFonts w:ascii="Times New Roman"/>
                <w:sz w:val="18"/>
              </w:rPr>
            </w:pPr>
          </w:p>
        </w:tc>
        <w:tc>
          <w:tcPr>
            <w:tcW w:w="2275" w:type="dxa"/>
            <w:tcBorders>
              <w:top w:val="nil"/>
              <w:bottom w:val="nil"/>
            </w:tcBorders>
          </w:tcPr>
          <w:p>
            <w:pPr>
              <w:pStyle w:val="TableParagraph"/>
              <w:rPr>
                <w:rFonts w:ascii="Times New Roman"/>
                <w:sz w:val="18"/>
              </w:rPr>
            </w:pPr>
          </w:p>
        </w:tc>
        <w:tc>
          <w:tcPr>
            <w:tcW w:w="1497" w:type="dxa"/>
            <w:tcBorders>
              <w:top w:val="nil"/>
              <w:bottom w:val="nil"/>
            </w:tcBorders>
          </w:tcPr>
          <w:p>
            <w:pPr>
              <w:pStyle w:val="TableParagraph"/>
              <w:rPr>
                <w:rFonts w:ascii="Times New Roman"/>
                <w:sz w:val="18"/>
              </w:rPr>
            </w:pPr>
          </w:p>
        </w:tc>
        <w:tc>
          <w:tcPr>
            <w:tcW w:w="1406" w:type="dxa"/>
            <w:tcBorders>
              <w:top w:val="nil"/>
              <w:bottom w:val="nil"/>
            </w:tcBorders>
          </w:tcPr>
          <w:p>
            <w:pPr>
              <w:pStyle w:val="TableParagraph"/>
              <w:rPr>
                <w:rFonts w:ascii="Times New Roman"/>
                <w:sz w:val="18"/>
              </w:rPr>
            </w:pPr>
          </w:p>
        </w:tc>
      </w:tr>
      <w:tr>
        <w:trPr>
          <w:trHeight w:val="485" w:hRule="atLeast"/>
        </w:trPr>
        <w:tc>
          <w:tcPr>
            <w:tcW w:w="1180" w:type="dxa"/>
            <w:tcBorders>
              <w:top w:val="nil"/>
            </w:tcBorders>
            <w:shd w:val="clear" w:color="auto" w:fill="E6E7E8"/>
          </w:tcPr>
          <w:p>
            <w:pPr>
              <w:pStyle w:val="TableParagraph"/>
              <w:rPr>
                <w:rFonts w:ascii="Times New Roman"/>
                <w:sz w:val="18"/>
              </w:rPr>
            </w:pPr>
          </w:p>
        </w:tc>
        <w:tc>
          <w:tcPr>
            <w:tcW w:w="1324" w:type="dxa"/>
            <w:tcBorders>
              <w:top w:val="nil"/>
            </w:tcBorders>
          </w:tcPr>
          <w:p>
            <w:pPr>
              <w:pStyle w:val="TableParagraph"/>
              <w:rPr>
                <w:rFonts w:ascii="Times New Roman"/>
                <w:sz w:val="18"/>
              </w:rPr>
            </w:pPr>
          </w:p>
        </w:tc>
        <w:tc>
          <w:tcPr>
            <w:tcW w:w="1266" w:type="dxa"/>
            <w:tcBorders>
              <w:top w:val="nil"/>
            </w:tcBorders>
          </w:tcPr>
          <w:p>
            <w:pPr>
              <w:pStyle w:val="TableParagraph"/>
              <w:rPr>
                <w:rFonts w:ascii="Times New Roman"/>
                <w:sz w:val="18"/>
              </w:rPr>
            </w:pPr>
          </w:p>
        </w:tc>
        <w:tc>
          <w:tcPr>
            <w:tcW w:w="1554" w:type="dxa"/>
            <w:tcBorders>
              <w:top w:val="nil"/>
            </w:tcBorders>
          </w:tcPr>
          <w:p>
            <w:pPr>
              <w:pStyle w:val="TableParagraph"/>
              <w:rPr>
                <w:rFonts w:ascii="Times New Roman"/>
                <w:sz w:val="18"/>
              </w:rPr>
            </w:pPr>
          </w:p>
        </w:tc>
        <w:tc>
          <w:tcPr>
            <w:tcW w:w="1064" w:type="dxa"/>
            <w:vMerge/>
            <w:tcBorders>
              <w:top w:val="nil"/>
            </w:tcBorders>
          </w:tcPr>
          <w:p>
            <w:pPr>
              <w:rPr>
                <w:sz w:val="2"/>
                <w:szCs w:val="2"/>
              </w:rPr>
            </w:pPr>
          </w:p>
        </w:tc>
        <w:tc>
          <w:tcPr>
            <w:tcW w:w="2058" w:type="dxa"/>
            <w:tcBorders>
              <w:top w:val="nil"/>
            </w:tcBorders>
          </w:tcPr>
          <w:p>
            <w:pPr>
              <w:pStyle w:val="TableParagraph"/>
              <w:rPr>
                <w:rFonts w:ascii="Times New Roman"/>
                <w:sz w:val="18"/>
              </w:rPr>
            </w:pPr>
          </w:p>
        </w:tc>
        <w:tc>
          <w:tcPr>
            <w:tcW w:w="2699" w:type="dxa"/>
            <w:tcBorders>
              <w:top w:val="nil"/>
              <w:right w:val="nil"/>
            </w:tcBorders>
          </w:tcPr>
          <w:p>
            <w:pPr>
              <w:pStyle w:val="TableParagraph"/>
              <w:rPr>
                <w:rFonts w:ascii="Times New Roman"/>
                <w:sz w:val="18"/>
              </w:rPr>
            </w:pPr>
          </w:p>
        </w:tc>
        <w:tc>
          <w:tcPr>
            <w:tcW w:w="4197" w:type="dxa"/>
            <w:tcBorders>
              <w:top w:val="nil"/>
              <w:left w:val="nil"/>
            </w:tcBorders>
          </w:tcPr>
          <w:p>
            <w:pPr>
              <w:pStyle w:val="TableParagraph"/>
              <w:spacing w:line="232" w:lineRule="auto" w:before="33"/>
              <w:ind w:left="1099" w:right="64"/>
              <w:rPr>
                <w:sz w:val="18"/>
              </w:rPr>
            </w:pPr>
            <w:r>
              <w:rPr>
                <w:color w:val="105C84"/>
                <w:sz w:val="18"/>
              </w:rPr>
              <w:t>The</w:t>
            </w:r>
            <w:r>
              <w:rPr>
                <w:color w:val="105C84"/>
                <w:spacing w:val="-13"/>
                <w:sz w:val="18"/>
              </w:rPr>
              <w:t> </w:t>
            </w:r>
            <w:r>
              <w:rPr>
                <w:color w:val="105C84"/>
                <w:sz w:val="18"/>
              </w:rPr>
              <w:t>Suicide</w:t>
            </w:r>
            <w:r>
              <w:rPr>
                <w:color w:val="105C84"/>
                <w:spacing w:val="-12"/>
                <w:sz w:val="18"/>
              </w:rPr>
              <w:t> </w:t>
            </w:r>
            <w:r>
              <w:rPr>
                <w:color w:val="105C84"/>
                <w:sz w:val="18"/>
              </w:rPr>
              <w:t>Coalition</w:t>
            </w:r>
            <w:r>
              <w:rPr>
                <w:color w:val="105C84"/>
                <w:spacing w:val="-13"/>
                <w:sz w:val="18"/>
              </w:rPr>
              <w:t> </w:t>
            </w:r>
            <w:r>
              <w:rPr>
                <w:color w:val="105C84"/>
                <w:sz w:val="18"/>
              </w:rPr>
              <w:t>of</w:t>
            </w:r>
            <w:r>
              <w:rPr>
                <w:color w:val="105C84"/>
                <w:spacing w:val="-12"/>
                <w:sz w:val="18"/>
              </w:rPr>
              <w:t> </w:t>
            </w:r>
            <w:r>
              <w:rPr>
                <w:color w:val="105C84"/>
                <w:sz w:val="18"/>
              </w:rPr>
              <w:t>Yates</w:t>
            </w:r>
            <w:r>
              <w:rPr>
                <w:color w:val="105C84"/>
                <w:spacing w:val="-13"/>
                <w:sz w:val="18"/>
              </w:rPr>
              <w:t> </w:t>
            </w:r>
            <w:r>
              <w:rPr>
                <w:color w:val="105C84"/>
                <w:sz w:val="18"/>
              </w:rPr>
              <w:t>County meets monthly</w:t>
            </w:r>
          </w:p>
        </w:tc>
        <w:tc>
          <w:tcPr>
            <w:tcW w:w="1814" w:type="dxa"/>
            <w:tcBorders>
              <w:top w:val="nil"/>
            </w:tcBorders>
          </w:tcPr>
          <w:p>
            <w:pPr>
              <w:pStyle w:val="TableParagraph"/>
              <w:rPr>
                <w:rFonts w:ascii="Times New Roman"/>
                <w:sz w:val="18"/>
              </w:rPr>
            </w:pPr>
          </w:p>
        </w:tc>
        <w:tc>
          <w:tcPr>
            <w:tcW w:w="2275" w:type="dxa"/>
            <w:tcBorders>
              <w:top w:val="nil"/>
            </w:tcBorders>
          </w:tcPr>
          <w:p>
            <w:pPr>
              <w:pStyle w:val="TableParagraph"/>
              <w:rPr>
                <w:rFonts w:ascii="Times New Roman"/>
                <w:sz w:val="18"/>
              </w:rPr>
            </w:pPr>
          </w:p>
        </w:tc>
        <w:tc>
          <w:tcPr>
            <w:tcW w:w="1497" w:type="dxa"/>
            <w:tcBorders>
              <w:top w:val="nil"/>
            </w:tcBorders>
          </w:tcPr>
          <w:p>
            <w:pPr>
              <w:pStyle w:val="TableParagraph"/>
              <w:rPr>
                <w:rFonts w:ascii="Times New Roman"/>
                <w:sz w:val="18"/>
              </w:rPr>
            </w:pPr>
          </w:p>
        </w:tc>
        <w:tc>
          <w:tcPr>
            <w:tcW w:w="1406" w:type="dxa"/>
            <w:tcBorders>
              <w:top w:val="nil"/>
            </w:tcBorders>
          </w:tcPr>
          <w:p>
            <w:pPr>
              <w:pStyle w:val="TableParagraph"/>
              <w:rPr>
                <w:rFonts w:ascii="Times New Roman"/>
                <w:sz w:val="18"/>
              </w:rPr>
            </w:pPr>
          </w:p>
        </w:tc>
      </w:tr>
    </w:tbl>
    <w:p>
      <w:pPr>
        <w:pStyle w:val="BodyText"/>
        <w:rPr>
          <w:b/>
          <w:sz w:val="26"/>
        </w:rPr>
      </w:pPr>
    </w:p>
    <w:p>
      <w:pPr>
        <w:pStyle w:val="BodyText"/>
        <w:spacing w:before="158"/>
        <w:rPr>
          <w:b/>
          <w:sz w:val="26"/>
        </w:rPr>
      </w:pPr>
    </w:p>
    <w:p>
      <w:pPr>
        <w:tabs>
          <w:tab w:pos="23047" w:val="left" w:leader="none"/>
        </w:tabs>
        <w:spacing w:before="0"/>
        <w:ind w:left="0" w:right="0" w:firstLine="0"/>
        <w:jc w:val="left"/>
        <w:rPr>
          <w:b/>
          <w:sz w:val="26"/>
        </w:rPr>
      </w:pPr>
      <w:r>
        <w:rPr>
          <w:position w:val="-4"/>
        </w:rPr>
        <w:drawing>
          <wp:inline distT="0" distB="0" distL="0" distR="0">
            <wp:extent cx="568172" cy="184683"/>
            <wp:effectExtent l="0" t="0" r="0" b="0"/>
            <wp:docPr id="2125" name="Image 2125"/>
            <wp:cNvGraphicFramePr>
              <a:graphicFrameLocks/>
            </wp:cNvGraphicFramePr>
            <a:graphic>
              <a:graphicData uri="http://schemas.openxmlformats.org/drawingml/2006/picture">
                <pic:pic>
                  <pic:nvPicPr>
                    <pic:cNvPr id="2125" name="Image 2125"/>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13"/>
          <w:sz w:val="20"/>
        </w:rPr>
        <w:t> </w:t>
      </w:r>
      <w:r>
        <w:rPr>
          <w:b/>
          <w:color w:val="939598"/>
          <w:w w:val="105"/>
          <w:sz w:val="26"/>
        </w:rPr>
        <w:t>255</w:t>
      </w:r>
      <w:r>
        <w:rPr>
          <w:b/>
          <w:color w:val="939598"/>
          <w:sz w:val="26"/>
        </w:rPr>
        <w:tab/>
      </w:r>
      <w:r>
        <w:rPr>
          <w:b/>
          <w:color w:val="939598"/>
          <w:spacing w:val="-5"/>
          <w:w w:val="105"/>
          <w:sz w:val="26"/>
        </w:rPr>
        <w:t>256</w:t>
      </w:r>
    </w:p>
    <w:p>
      <w:pPr>
        <w:spacing w:after="0"/>
        <w:jc w:val="left"/>
        <w:rPr>
          <w:b/>
          <w:sz w:val="26"/>
        </w:rPr>
        <w:sectPr>
          <w:pgSz w:w="24480" w:h="15840" w:orient="landscape"/>
          <w:pgMar w:header="0" w:footer="0" w:top="860" w:bottom="0" w:left="0" w:right="720"/>
        </w:sectPr>
      </w:pPr>
    </w:p>
    <w:p>
      <w:pPr>
        <w:spacing w:before="609"/>
        <w:ind w:left="1089" w:right="0" w:firstLine="0"/>
        <w:jc w:val="left"/>
        <w:rPr>
          <w:sz w:val="54"/>
        </w:rPr>
      </w:pPr>
      <w:r>
        <w:rPr>
          <w:sz w:val="54"/>
        </w:rPr>
        <w:drawing>
          <wp:anchor distT="0" distB="0" distL="0" distR="0" allowOverlap="1" layoutInCell="1" locked="0" behindDoc="0" simplePos="0" relativeHeight="16067072">
            <wp:simplePos x="0" y="0"/>
            <wp:positionH relativeFrom="page">
              <wp:posOffset>14292898</wp:posOffset>
            </wp:positionH>
            <wp:positionV relativeFrom="paragraph">
              <wp:posOffset>347471</wp:posOffset>
            </wp:positionV>
            <wp:extent cx="620077" cy="580072"/>
            <wp:effectExtent l="0" t="0" r="0" b="0"/>
            <wp:wrapNone/>
            <wp:docPr id="2126" name="Image 2126"/>
            <wp:cNvGraphicFramePr>
              <a:graphicFrameLocks/>
            </wp:cNvGraphicFramePr>
            <a:graphic>
              <a:graphicData uri="http://schemas.openxmlformats.org/drawingml/2006/picture">
                <pic:pic>
                  <pic:nvPicPr>
                    <pic:cNvPr id="2126" name="Image 2126"/>
                    <pic:cNvPicPr/>
                  </pic:nvPicPr>
                  <pic:blipFill>
                    <a:blip r:embed="rId268" cstate="print"/>
                    <a:stretch>
                      <a:fillRect/>
                    </a:stretch>
                  </pic:blipFill>
                  <pic:spPr>
                    <a:xfrm>
                      <a:off x="0" y="0"/>
                      <a:ext cx="620077" cy="580072"/>
                    </a:xfrm>
                    <a:prstGeom prst="rect">
                      <a:avLst/>
                    </a:prstGeom>
                  </pic:spPr>
                </pic:pic>
              </a:graphicData>
            </a:graphic>
          </wp:anchor>
        </w:drawing>
      </w:r>
      <w:r>
        <w:rPr>
          <w:sz w:val="54"/>
        </w:rPr>
        <w:drawing>
          <wp:anchor distT="0" distB="0" distL="0" distR="0" allowOverlap="1" layoutInCell="1" locked="0" behindDoc="0" simplePos="0" relativeHeight="16067584">
            <wp:simplePos x="0" y="0"/>
            <wp:positionH relativeFrom="page">
              <wp:posOffset>14981556</wp:posOffset>
            </wp:positionH>
            <wp:positionV relativeFrom="page">
              <wp:posOffset>9668103</wp:posOffset>
            </wp:positionV>
            <wp:extent cx="563245" cy="184683"/>
            <wp:effectExtent l="0" t="0" r="0" b="0"/>
            <wp:wrapNone/>
            <wp:docPr id="2127" name="Image 2127"/>
            <wp:cNvGraphicFramePr>
              <a:graphicFrameLocks/>
            </wp:cNvGraphicFramePr>
            <a:graphic>
              <a:graphicData uri="http://schemas.openxmlformats.org/drawingml/2006/picture">
                <pic:pic>
                  <pic:nvPicPr>
                    <pic:cNvPr id="2127" name="Image 2127"/>
                    <pic:cNvPicPr/>
                  </pic:nvPicPr>
                  <pic:blipFill>
                    <a:blip r:embed="rId38" cstate="print"/>
                    <a:stretch>
                      <a:fillRect/>
                    </a:stretch>
                  </pic:blipFill>
                  <pic:spPr>
                    <a:xfrm>
                      <a:off x="0" y="0"/>
                      <a:ext cx="563245" cy="184683"/>
                    </a:xfrm>
                    <a:prstGeom prst="rect">
                      <a:avLst/>
                    </a:prstGeom>
                  </pic:spPr>
                </pic:pic>
              </a:graphicData>
            </a:graphic>
          </wp:anchor>
        </w:drawing>
      </w:r>
      <w:r>
        <w:rPr>
          <w:sz w:val="54"/>
        </w:rPr>
        <w:drawing>
          <wp:anchor distT="0" distB="0" distL="0" distR="0" allowOverlap="1" layoutInCell="1" locked="0" behindDoc="0" simplePos="0" relativeHeight="16068096">
            <wp:simplePos x="0" y="0"/>
            <wp:positionH relativeFrom="page">
              <wp:posOffset>13547852</wp:posOffset>
            </wp:positionH>
            <wp:positionV relativeFrom="paragraph">
              <wp:posOffset>354583</wp:posOffset>
            </wp:positionV>
            <wp:extent cx="610869" cy="494804"/>
            <wp:effectExtent l="0" t="0" r="0" b="0"/>
            <wp:wrapNone/>
            <wp:docPr id="2128" name="Image 2128"/>
            <wp:cNvGraphicFramePr>
              <a:graphicFrameLocks/>
            </wp:cNvGraphicFramePr>
            <a:graphic>
              <a:graphicData uri="http://schemas.openxmlformats.org/drawingml/2006/picture">
                <pic:pic>
                  <pic:nvPicPr>
                    <pic:cNvPr id="2128" name="Image 2128"/>
                    <pic:cNvPicPr/>
                  </pic:nvPicPr>
                  <pic:blipFill>
                    <a:blip r:embed="rId269" cstate="print"/>
                    <a:stretch>
                      <a:fillRect/>
                    </a:stretch>
                  </pic:blipFill>
                  <pic:spPr>
                    <a:xfrm>
                      <a:off x="0" y="0"/>
                      <a:ext cx="610869" cy="494804"/>
                    </a:xfrm>
                    <a:prstGeom prst="rect">
                      <a:avLst/>
                    </a:prstGeom>
                  </pic:spPr>
                </pic:pic>
              </a:graphicData>
            </a:graphic>
          </wp:anchor>
        </w:drawing>
      </w:r>
      <w:r>
        <w:rPr>
          <w:sz w:val="54"/>
        </w:rPr>
        <w:drawing>
          <wp:anchor distT="0" distB="0" distL="0" distR="0" allowOverlap="1" layoutInCell="1" locked="0" behindDoc="0" simplePos="0" relativeHeight="16068608">
            <wp:simplePos x="0" y="0"/>
            <wp:positionH relativeFrom="page">
              <wp:posOffset>12242292</wp:posOffset>
            </wp:positionH>
            <wp:positionV relativeFrom="paragraph">
              <wp:posOffset>309372</wp:posOffset>
            </wp:positionV>
            <wp:extent cx="1141336" cy="338581"/>
            <wp:effectExtent l="0" t="0" r="0" b="0"/>
            <wp:wrapNone/>
            <wp:docPr id="2129" name="Image 2129"/>
            <wp:cNvGraphicFramePr>
              <a:graphicFrameLocks/>
            </wp:cNvGraphicFramePr>
            <a:graphic>
              <a:graphicData uri="http://schemas.openxmlformats.org/drawingml/2006/picture">
                <pic:pic>
                  <pic:nvPicPr>
                    <pic:cNvPr id="2129" name="Image 2129"/>
                    <pic:cNvPicPr/>
                  </pic:nvPicPr>
                  <pic:blipFill>
                    <a:blip r:embed="rId270" cstate="print"/>
                    <a:stretch>
                      <a:fillRect/>
                    </a:stretch>
                  </pic:blipFill>
                  <pic:spPr>
                    <a:xfrm>
                      <a:off x="0" y="0"/>
                      <a:ext cx="1141336" cy="338581"/>
                    </a:xfrm>
                    <a:prstGeom prst="rect">
                      <a:avLst/>
                    </a:prstGeom>
                  </pic:spPr>
                </pic:pic>
              </a:graphicData>
            </a:graphic>
          </wp:anchor>
        </w:drawing>
      </w:r>
      <w:r>
        <w:rPr>
          <w:color w:val="636466"/>
          <w:sz w:val="54"/>
        </w:rPr>
        <w:t>Yates</w:t>
      </w:r>
      <w:r>
        <w:rPr>
          <w:color w:val="636466"/>
          <w:spacing w:val="24"/>
          <w:sz w:val="54"/>
        </w:rPr>
        <w:t> </w:t>
      </w:r>
      <w:r>
        <w:rPr>
          <w:color w:val="636466"/>
          <w:sz w:val="54"/>
        </w:rPr>
        <w:t>County</w:t>
      </w:r>
      <w:r>
        <w:rPr>
          <w:color w:val="636466"/>
          <w:spacing w:val="25"/>
          <w:sz w:val="54"/>
        </w:rPr>
        <w:t> </w:t>
      </w:r>
      <w:r>
        <w:rPr>
          <w:color w:val="636466"/>
          <w:sz w:val="54"/>
        </w:rPr>
        <w:t>Appendix</w:t>
      </w:r>
      <w:r>
        <w:rPr>
          <w:color w:val="636466"/>
          <w:spacing w:val="25"/>
          <w:sz w:val="54"/>
        </w:rPr>
        <w:t> </w:t>
      </w:r>
      <w:r>
        <w:rPr>
          <w:color w:val="636466"/>
          <w:spacing w:val="-10"/>
          <w:sz w:val="54"/>
        </w:rPr>
        <w:t>H</w:t>
      </w:r>
    </w:p>
    <w:p>
      <w:pPr>
        <w:spacing w:line="247" w:lineRule="auto" w:before="236"/>
        <w:ind w:left="1089" w:right="13013" w:firstLine="0"/>
        <w:jc w:val="left"/>
        <w:rPr>
          <w:b/>
          <w:sz w:val="32"/>
        </w:rPr>
      </w:pPr>
      <w:r>
        <w:rPr>
          <w:b/>
          <w:color w:val="82BF6A"/>
          <w:spacing w:val="-4"/>
          <w:sz w:val="32"/>
        </w:rPr>
        <w:t>PRIORITY:</w:t>
      </w:r>
      <w:r>
        <w:rPr>
          <w:b/>
          <w:color w:val="82BF6A"/>
          <w:spacing w:val="-19"/>
          <w:sz w:val="32"/>
        </w:rPr>
        <w:t> </w:t>
      </w:r>
      <w:r>
        <w:rPr>
          <w:b/>
          <w:color w:val="82BF6A"/>
          <w:spacing w:val="-4"/>
          <w:sz w:val="32"/>
        </w:rPr>
        <w:t>PROMOTE</w:t>
      </w:r>
      <w:r>
        <w:rPr>
          <w:b/>
          <w:color w:val="82BF6A"/>
          <w:spacing w:val="-18"/>
          <w:sz w:val="32"/>
        </w:rPr>
        <w:t> </w:t>
      </w:r>
      <w:r>
        <w:rPr>
          <w:b/>
          <w:color w:val="82BF6A"/>
          <w:spacing w:val="-4"/>
          <w:sz w:val="32"/>
        </w:rPr>
        <w:t>WELL-BEING</w:t>
      </w:r>
      <w:r>
        <w:rPr>
          <w:b/>
          <w:color w:val="82BF6A"/>
          <w:spacing w:val="-18"/>
          <w:sz w:val="32"/>
        </w:rPr>
        <w:t> </w:t>
      </w:r>
      <w:r>
        <w:rPr>
          <w:b/>
          <w:color w:val="82BF6A"/>
          <w:spacing w:val="-4"/>
          <w:sz w:val="32"/>
        </w:rPr>
        <w:t>AND</w:t>
      </w:r>
      <w:r>
        <w:rPr>
          <w:b/>
          <w:color w:val="82BF6A"/>
          <w:spacing w:val="-18"/>
          <w:sz w:val="32"/>
        </w:rPr>
        <w:t> </w:t>
      </w:r>
      <w:r>
        <w:rPr>
          <w:b/>
          <w:color w:val="82BF6A"/>
          <w:spacing w:val="-4"/>
          <w:sz w:val="32"/>
        </w:rPr>
        <w:t>PREVENT</w:t>
      </w:r>
      <w:r>
        <w:rPr>
          <w:b/>
          <w:color w:val="82BF6A"/>
          <w:spacing w:val="-19"/>
          <w:sz w:val="32"/>
        </w:rPr>
        <w:t> </w:t>
      </w:r>
      <w:r>
        <w:rPr>
          <w:b/>
          <w:color w:val="82BF6A"/>
          <w:spacing w:val="-4"/>
          <w:sz w:val="32"/>
        </w:rPr>
        <w:t>MENTAL </w:t>
      </w:r>
      <w:r>
        <w:rPr>
          <w:b/>
          <w:color w:val="82BF6A"/>
          <w:sz w:val="32"/>
        </w:rPr>
        <w:t>AND</w:t>
      </w:r>
      <w:r>
        <w:rPr>
          <w:b/>
          <w:color w:val="82BF6A"/>
          <w:spacing w:val="-22"/>
          <w:sz w:val="32"/>
        </w:rPr>
        <w:t> </w:t>
      </w:r>
      <w:r>
        <w:rPr>
          <w:b/>
          <w:color w:val="82BF6A"/>
          <w:sz w:val="32"/>
        </w:rPr>
        <w:t>SUBSTANCE</w:t>
      </w:r>
      <w:r>
        <w:rPr>
          <w:b/>
          <w:color w:val="82BF6A"/>
          <w:spacing w:val="-22"/>
          <w:sz w:val="32"/>
        </w:rPr>
        <w:t> </w:t>
      </w:r>
      <w:r>
        <w:rPr>
          <w:b/>
          <w:color w:val="82BF6A"/>
          <w:sz w:val="32"/>
        </w:rPr>
        <w:t>USE</w:t>
      </w:r>
      <w:r>
        <w:rPr>
          <w:b/>
          <w:color w:val="82BF6A"/>
          <w:spacing w:val="-22"/>
          <w:sz w:val="32"/>
        </w:rPr>
        <w:t> </w:t>
      </w:r>
      <w:r>
        <w:rPr>
          <w:b/>
          <w:color w:val="82BF6A"/>
          <w:sz w:val="32"/>
        </w:rPr>
        <w:t>DISORDERS</w:t>
      </w:r>
    </w:p>
    <w:p>
      <w:pPr>
        <w:pStyle w:val="BodyText"/>
        <w:spacing w:before="152"/>
        <w:rPr>
          <w:b/>
          <w:sz w:val="20"/>
        </w:rPr>
      </w:pPr>
    </w:p>
    <w:tbl>
      <w:tblPr>
        <w:tblW w:w="0" w:type="auto"/>
        <w:jc w:val="left"/>
        <w:tblInd w:w="1099"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top w:w="0" w:type="dxa"/>
          <w:left w:w="0" w:type="dxa"/>
          <w:bottom w:w="0" w:type="dxa"/>
          <w:right w:w="0" w:type="dxa"/>
        </w:tblCellMar>
        <w:tblLook w:val="01E0"/>
      </w:tblPr>
      <w:tblGrid>
        <w:gridCol w:w="1180"/>
        <w:gridCol w:w="1324"/>
        <w:gridCol w:w="1266"/>
        <w:gridCol w:w="1554"/>
        <w:gridCol w:w="1064"/>
        <w:gridCol w:w="2058"/>
        <w:gridCol w:w="2699"/>
        <w:gridCol w:w="3678"/>
        <w:gridCol w:w="1813"/>
        <w:gridCol w:w="2475"/>
        <w:gridCol w:w="1496"/>
        <w:gridCol w:w="1721"/>
      </w:tblGrid>
      <w:tr>
        <w:trPr>
          <w:trHeight w:val="730" w:hRule="atLeast"/>
        </w:trPr>
        <w:tc>
          <w:tcPr>
            <w:tcW w:w="1180" w:type="dxa"/>
            <w:tcBorders>
              <w:right w:val="single" w:sz="4" w:space="0" w:color="FFFFFF"/>
            </w:tcBorders>
            <w:shd w:val="clear" w:color="auto" w:fill="A7A9AC"/>
          </w:tcPr>
          <w:p>
            <w:pPr>
              <w:pStyle w:val="TableParagraph"/>
              <w:spacing w:before="79"/>
              <w:rPr>
                <w:b/>
                <w:sz w:val="18"/>
              </w:rPr>
            </w:pPr>
          </w:p>
          <w:p>
            <w:pPr>
              <w:pStyle w:val="TableParagraph"/>
              <w:ind w:left="80"/>
              <w:rPr>
                <w:b/>
                <w:sz w:val="18"/>
              </w:rPr>
            </w:pPr>
            <w:r>
              <w:rPr>
                <w:b/>
                <w:color w:val="FFFFFF"/>
                <w:spacing w:val="-2"/>
                <w:sz w:val="18"/>
              </w:rPr>
              <w:t>Priority</w:t>
            </w:r>
          </w:p>
        </w:tc>
        <w:tc>
          <w:tcPr>
            <w:tcW w:w="1324" w:type="dxa"/>
            <w:tcBorders>
              <w:left w:val="single" w:sz="4" w:space="0" w:color="FFFFFF"/>
              <w:right w:val="single" w:sz="4" w:space="0" w:color="FFFFFF"/>
            </w:tcBorders>
            <w:shd w:val="clear" w:color="auto" w:fill="A7A9AC"/>
          </w:tcPr>
          <w:p>
            <w:pPr>
              <w:pStyle w:val="TableParagraph"/>
              <w:spacing w:before="79"/>
              <w:rPr>
                <w:b/>
                <w:sz w:val="18"/>
              </w:rPr>
            </w:pPr>
          </w:p>
          <w:p>
            <w:pPr>
              <w:pStyle w:val="TableParagraph"/>
              <w:ind w:left="80"/>
              <w:rPr>
                <w:b/>
                <w:sz w:val="18"/>
              </w:rPr>
            </w:pPr>
            <w:r>
              <w:rPr>
                <w:b/>
                <w:color w:val="FFFFFF"/>
                <w:w w:val="90"/>
                <w:sz w:val="18"/>
              </w:rPr>
              <w:t>Focus</w:t>
            </w:r>
            <w:r>
              <w:rPr>
                <w:b/>
                <w:color w:val="FFFFFF"/>
                <w:spacing w:val="8"/>
                <w:sz w:val="18"/>
              </w:rPr>
              <w:t> </w:t>
            </w:r>
            <w:r>
              <w:rPr>
                <w:b/>
                <w:color w:val="FFFFFF"/>
                <w:spacing w:val="-4"/>
                <w:sz w:val="18"/>
              </w:rPr>
              <w:t>Area</w:t>
            </w:r>
          </w:p>
        </w:tc>
        <w:tc>
          <w:tcPr>
            <w:tcW w:w="1266" w:type="dxa"/>
            <w:tcBorders>
              <w:left w:val="single" w:sz="4" w:space="0" w:color="FFFFFF"/>
              <w:right w:val="single" w:sz="4" w:space="0" w:color="FFFFFF"/>
            </w:tcBorders>
            <w:shd w:val="clear" w:color="auto" w:fill="A7A9AC"/>
          </w:tcPr>
          <w:p>
            <w:pPr>
              <w:pStyle w:val="TableParagraph"/>
              <w:spacing w:line="232" w:lineRule="auto" w:before="191"/>
              <w:ind w:left="81" w:right="235"/>
              <w:rPr>
                <w:b/>
                <w:sz w:val="18"/>
              </w:rPr>
            </w:pPr>
            <w:r>
              <w:rPr>
                <w:b/>
                <w:color w:val="FFFFFF"/>
                <w:spacing w:val="-6"/>
                <w:sz w:val="18"/>
              </w:rPr>
              <w:t>Goal</w:t>
            </w:r>
            <w:r>
              <w:rPr>
                <w:b/>
                <w:color w:val="FFFFFF"/>
                <w:spacing w:val="-7"/>
                <w:sz w:val="18"/>
              </w:rPr>
              <w:t> </w:t>
            </w:r>
            <w:r>
              <w:rPr>
                <w:b/>
                <w:color w:val="FFFFFF"/>
                <w:spacing w:val="-6"/>
                <w:sz w:val="18"/>
              </w:rPr>
              <w:t>Focus </w:t>
            </w:r>
            <w:r>
              <w:rPr>
                <w:b/>
                <w:color w:val="FFFFFF"/>
                <w:spacing w:val="-4"/>
                <w:sz w:val="18"/>
              </w:rPr>
              <w:t>Area</w:t>
            </w:r>
          </w:p>
        </w:tc>
        <w:tc>
          <w:tcPr>
            <w:tcW w:w="1554" w:type="dxa"/>
            <w:tcBorders>
              <w:left w:val="single" w:sz="4" w:space="0" w:color="FFFFFF"/>
              <w:right w:val="single" w:sz="4" w:space="0" w:color="FFFFFF"/>
            </w:tcBorders>
            <w:shd w:val="clear" w:color="auto" w:fill="A7A9AC"/>
          </w:tcPr>
          <w:p>
            <w:pPr>
              <w:pStyle w:val="TableParagraph"/>
              <w:spacing w:before="79"/>
              <w:rPr>
                <w:b/>
                <w:sz w:val="18"/>
              </w:rPr>
            </w:pPr>
          </w:p>
          <w:p>
            <w:pPr>
              <w:pStyle w:val="TableParagraph"/>
              <w:ind w:left="82"/>
              <w:rPr>
                <w:b/>
                <w:sz w:val="18"/>
              </w:rPr>
            </w:pPr>
            <w:r>
              <w:rPr>
                <w:b/>
                <w:color w:val="FFFFFF"/>
                <w:spacing w:val="-2"/>
                <w:sz w:val="18"/>
              </w:rPr>
              <w:t>Objectives</w:t>
            </w:r>
          </w:p>
        </w:tc>
        <w:tc>
          <w:tcPr>
            <w:tcW w:w="1064" w:type="dxa"/>
            <w:tcBorders>
              <w:left w:val="single" w:sz="4" w:space="0" w:color="FFFFFF"/>
              <w:right w:val="single" w:sz="4" w:space="0" w:color="FFFFFF"/>
            </w:tcBorders>
            <w:shd w:val="clear" w:color="auto" w:fill="A7A9AC"/>
          </w:tcPr>
          <w:p>
            <w:pPr>
              <w:pStyle w:val="TableParagraph"/>
              <w:spacing w:before="79"/>
              <w:rPr>
                <w:b/>
                <w:sz w:val="18"/>
              </w:rPr>
            </w:pPr>
          </w:p>
          <w:p>
            <w:pPr>
              <w:pStyle w:val="TableParagraph"/>
              <w:ind w:left="83"/>
              <w:rPr>
                <w:b/>
                <w:sz w:val="18"/>
              </w:rPr>
            </w:pPr>
            <w:r>
              <w:rPr>
                <w:b/>
                <w:color w:val="FFFFFF"/>
                <w:spacing w:val="-2"/>
                <w:sz w:val="18"/>
              </w:rPr>
              <w:t>Disparities</w:t>
            </w:r>
          </w:p>
        </w:tc>
        <w:tc>
          <w:tcPr>
            <w:tcW w:w="2058" w:type="dxa"/>
            <w:tcBorders>
              <w:left w:val="single" w:sz="4" w:space="0" w:color="FFFFFF"/>
              <w:right w:val="single" w:sz="4" w:space="0" w:color="FFFFFF"/>
            </w:tcBorders>
            <w:shd w:val="clear" w:color="auto" w:fill="A7A9AC"/>
          </w:tcPr>
          <w:p>
            <w:pPr>
              <w:pStyle w:val="TableParagraph"/>
              <w:spacing w:before="79"/>
              <w:rPr>
                <w:b/>
                <w:sz w:val="18"/>
              </w:rPr>
            </w:pPr>
          </w:p>
          <w:p>
            <w:pPr>
              <w:pStyle w:val="TableParagraph"/>
              <w:ind w:left="85"/>
              <w:rPr>
                <w:b/>
                <w:sz w:val="18"/>
              </w:rPr>
            </w:pPr>
            <w:r>
              <w:rPr>
                <w:b/>
                <w:color w:val="FFFFFF"/>
                <w:spacing w:val="-2"/>
                <w:sz w:val="18"/>
              </w:rPr>
              <w:t>Interventions</w:t>
            </w:r>
          </w:p>
        </w:tc>
        <w:tc>
          <w:tcPr>
            <w:tcW w:w="6377" w:type="dxa"/>
            <w:gridSpan w:val="2"/>
            <w:tcBorders>
              <w:left w:val="single" w:sz="4" w:space="0" w:color="FFFFFF"/>
              <w:right w:val="single" w:sz="4" w:space="0" w:color="FFFFFF"/>
            </w:tcBorders>
            <w:shd w:val="clear" w:color="auto" w:fill="A7A9AC"/>
          </w:tcPr>
          <w:p>
            <w:pPr>
              <w:pStyle w:val="TableParagraph"/>
              <w:spacing w:before="3"/>
              <w:rPr>
                <w:b/>
                <w:sz w:val="18"/>
              </w:rPr>
            </w:pPr>
          </w:p>
          <w:p>
            <w:pPr>
              <w:pStyle w:val="TableParagraph"/>
              <w:tabs>
                <w:tab w:pos="3793" w:val="left" w:leader="none"/>
              </w:tabs>
              <w:spacing w:line="156" w:lineRule="auto"/>
              <w:ind w:left="3793" w:right="464" w:hanging="3698"/>
              <w:rPr>
                <w:b/>
                <w:sz w:val="18"/>
              </w:rPr>
            </w:pPr>
            <w:r>
              <w:rPr>
                <w:b/>
                <w:color w:val="FFFFFF"/>
                <w:position w:val="-9"/>
                <w:sz w:val="18"/>
              </w:rPr>
              <w:t>Family of Measures</w:t>
              <w:tab/>
            </w:r>
            <w:r>
              <w:rPr>
                <w:b/>
                <w:color w:val="FFFFFF"/>
                <w:sz w:val="18"/>
              </w:rPr>
              <w:t>Projected</w:t>
            </w:r>
            <w:r>
              <w:rPr>
                <w:b/>
                <w:color w:val="FFFFFF"/>
                <w:spacing w:val="-15"/>
                <w:sz w:val="18"/>
              </w:rPr>
              <w:t> </w:t>
            </w:r>
            <w:r>
              <w:rPr>
                <w:b/>
                <w:color w:val="FFFFFF"/>
                <w:sz w:val="18"/>
              </w:rPr>
              <w:t>(or</w:t>
            </w:r>
            <w:r>
              <w:rPr>
                <w:b/>
                <w:color w:val="FFFFFF"/>
                <w:spacing w:val="-12"/>
                <w:sz w:val="18"/>
              </w:rPr>
              <w:t> </w:t>
            </w:r>
            <w:r>
              <w:rPr>
                <w:b/>
                <w:color w:val="FFFFFF"/>
                <w:sz w:val="18"/>
              </w:rPr>
              <w:t>completed) Year 1 Intervention</w:t>
            </w:r>
          </w:p>
        </w:tc>
        <w:tc>
          <w:tcPr>
            <w:tcW w:w="1813" w:type="dxa"/>
            <w:tcBorders>
              <w:left w:val="single" w:sz="4" w:space="0" w:color="FFFFFF"/>
              <w:right w:val="single" w:sz="4" w:space="0" w:color="FFFFFF"/>
            </w:tcBorders>
            <w:shd w:val="clear" w:color="auto" w:fill="A7A9AC"/>
          </w:tcPr>
          <w:p>
            <w:pPr>
              <w:pStyle w:val="TableParagraph"/>
              <w:spacing w:before="78"/>
              <w:rPr>
                <w:b/>
                <w:sz w:val="18"/>
              </w:rPr>
            </w:pPr>
          </w:p>
          <w:p>
            <w:pPr>
              <w:pStyle w:val="TableParagraph"/>
              <w:spacing w:before="1"/>
              <w:ind w:left="88"/>
              <w:rPr>
                <w:b/>
                <w:sz w:val="18"/>
              </w:rPr>
            </w:pPr>
            <w:r>
              <w:rPr>
                <w:b/>
                <w:color w:val="FFFFFF"/>
                <w:spacing w:val="-2"/>
                <w:sz w:val="18"/>
              </w:rPr>
              <w:t>Projected</w:t>
            </w:r>
            <w:r>
              <w:rPr>
                <w:b/>
                <w:color w:val="FFFFFF"/>
                <w:spacing w:val="-6"/>
                <w:sz w:val="18"/>
              </w:rPr>
              <w:t> </w:t>
            </w:r>
            <w:r>
              <w:rPr>
                <w:b/>
                <w:color w:val="FFFFFF"/>
                <w:spacing w:val="-2"/>
                <w:sz w:val="18"/>
              </w:rPr>
              <w:t>Year</w:t>
            </w:r>
            <w:r>
              <w:rPr>
                <w:b/>
                <w:color w:val="FFFFFF"/>
                <w:spacing w:val="-5"/>
                <w:sz w:val="18"/>
              </w:rPr>
              <w:t> </w:t>
            </w:r>
            <w:r>
              <w:rPr>
                <w:b/>
                <w:color w:val="FFFFFF"/>
                <w:spacing w:val="-12"/>
                <w:sz w:val="18"/>
              </w:rPr>
              <w:t>2</w:t>
            </w:r>
          </w:p>
        </w:tc>
        <w:tc>
          <w:tcPr>
            <w:tcW w:w="2475" w:type="dxa"/>
            <w:tcBorders>
              <w:left w:val="single" w:sz="4" w:space="0" w:color="FFFFFF"/>
              <w:right w:val="single" w:sz="4" w:space="0" w:color="FFFFFF"/>
            </w:tcBorders>
            <w:shd w:val="clear" w:color="auto" w:fill="A7A9AC"/>
          </w:tcPr>
          <w:p>
            <w:pPr>
              <w:pStyle w:val="TableParagraph"/>
              <w:spacing w:line="232" w:lineRule="auto" w:before="190"/>
              <w:ind w:left="90" w:right="393"/>
              <w:rPr>
                <w:b/>
                <w:sz w:val="18"/>
              </w:rPr>
            </w:pPr>
            <w:r>
              <w:rPr>
                <w:b/>
                <w:color w:val="FFFFFF"/>
                <w:spacing w:val="-2"/>
                <w:sz w:val="18"/>
              </w:rPr>
              <w:t>Projected</w:t>
            </w:r>
            <w:r>
              <w:rPr>
                <w:b/>
                <w:color w:val="FFFFFF"/>
                <w:spacing w:val="-13"/>
                <w:sz w:val="18"/>
              </w:rPr>
              <w:t> </w:t>
            </w:r>
            <w:r>
              <w:rPr>
                <w:b/>
                <w:color w:val="FFFFFF"/>
                <w:spacing w:val="-2"/>
                <w:sz w:val="18"/>
              </w:rPr>
              <w:t>Year</w:t>
            </w:r>
            <w:r>
              <w:rPr>
                <w:b/>
                <w:color w:val="FFFFFF"/>
                <w:spacing w:val="-10"/>
                <w:sz w:val="18"/>
              </w:rPr>
              <w:t> </w:t>
            </w:r>
            <w:r>
              <w:rPr>
                <w:b/>
                <w:color w:val="FFFFFF"/>
                <w:spacing w:val="-2"/>
                <w:sz w:val="18"/>
              </w:rPr>
              <w:t>3 Interventions</w:t>
            </w:r>
          </w:p>
        </w:tc>
        <w:tc>
          <w:tcPr>
            <w:tcW w:w="1496" w:type="dxa"/>
            <w:tcBorders>
              <w:left w:val="single" w:sz="4" w:space="0" w:color="FFFFFF"/>
            </w:tcBorders>
            <w:shd w:val="clear" w:color="auto" w:fill="A7A9AC"/>
          </w:tcPr>
          <w:p>
            <w:pPr>
              <w:pStyle w:val="TableParagraph"/>
              <w:spacing w:line="232" w:lineRule="auto" w:before="190"/>
              <w:ind w:left="91"/>
              <w:rPr>
                <w:b/>
                <w:sz w:val="18"/>
              </w:rPr>
            </w:pPr>
            <w:r>
              <w:rPr>
                <w:b/>
                <w:color w:val="FFFFFF"/>
                <w:spacing w:val="-2"/>
                <w:sz w:val="18"/>
              </w:rPr>
              <w:t>Implementation Partner</w:t>
            </w:r>
          </w:p>
        </w:tc>
        <w:tc>
          <w:tcPr>
            <w:tcW w:w="1721" w:type="dxa"/>
            <w:shd w:val="clear" w:color="auto" w:fill="A7A9AC"/>
          </w:tcPr>
          <w:p>
            <w:pPr>
              <w:pStyle w:val="TableParagraph"/>
              <w:spacing w:line="232" w:lineRule="auto" w:before="190"/>
              <w:ind w:left="93" w:right="372"/>
              <w:rPr>
                <w:b/>
                <w:sz w:val="18"/>
              </w:rPr>
            </w:pPr>
            <w:r>
              <w:rPr>
                <w:b/>
                <w:color w:val="FFFFFF"/>
                <w:spacing w:val="-4"/>
                <w:sz w:val="18"/>
              </w:rPr>
              <w:t>Partner</w:t>
            </w:r>
            <w:r>
              <w:rPr>
                <w:b/>
                <w:color w:val="FFFFFF"/>
                <w:spacing w:val="-9"/>
                <w:sz w:val="18"/>
              </w:rPr>
              <w:t> </w:t>
            </w:r>
            <w:r>
              <w:rPr>
                <w:b/>
                <w:color w:val="FFFFFF"/>
                <w:spacing w:val="-4"/>
                <w:sz w:val="18"/>
              </w:rPr>
              <w:t>Role(s) </w:t>
            </w:r>
            <w:r>
              <w:rPr>
                <w:b/>
                <w:color w:val="FFFFFF"/>
                <w:sz w:val="18"/>
              </w:rPr>
              <w:t>and</w:t>
            </w:r>
            <w:r>
              <w:rPr>
                <w:b/>
                <w:color w:val="FFFFFF"/>
                <w:spacing w:val="-7"/>
                <w:sz w:val="18"/>
              </w:rPr>
              <w:t> </w:t>
            </w:r>
            <w:r>
              <w:rPr>
                <w:b/>
                <w:color w:val="FFFFFF"/>
                <w:spacing w:val="-8"/>
                <w:sz w:val="18"/>
              </w:rPr>
              <w:t>Resources</w:t>
            </w:r>
          </w:p>
        </w:tc>
      </w:tr>
      <w:tr>
        <w:trPr>
          <w:trHeight w:val="2730" w:hRule="atLeast"/>
        </w:trPr>
        <w:tc>
          <w:tcPr>
            <w:tcW w:w="1180" w:type="dxa"/>
            <w:vMerge w:val="restart"/>
            <w:shd w:val="clear" w:color="auto" w:fill="E6E7E8"/>
          </w:tcPr>
          <w:p>
            <w:pPr>
              <w:pStyle w:val="TableParagraph"/>
              <w:spacing w:line="232" w:lineRule="auto" w:before="100"/>
              <w:ind w:left="89" w:right="87"/>
              <w:rPr>
                <w:sz w:val="18"/>
              </w:rPr>
            </w:pPr>
            <w:r>
              <w:rPr>
                <w:color w:val="105C84"/>
                <w:spacing w:val="-2"/>
                <w:sz w:val="18"/>
              </w:rPr>
              <w:t>Promote Well-Being </w:t>
            </w:r>
            <w:r>
              <w:rPr>
                <w:color w:val="105C84"/>
                <w:sz w:val="18"/>
              </w:rPr>
              <w:t>and</w:t>
            </w:r>
            <w:r>
              <w:rPr>
                <w:color w:val="105C84"/>
                <w:spacing w:val="-13"/>
                <w:sz w:val="18"/>
              </w:rPr>
              <w:t> </w:t>
            </w:r>
            <w:r>
              <w:rPr>
                <w:color w:val="105C84"/>
                <w:sz w:val="18"/>
              </w:rPr>
              <w:t>Prevent Mental and </w:t>
            </w:r>
            <w:r>
              <w:rPr>
                <w:color w:val="105C84"/>
                <w:spacing w:val="-2"/>
                <w:sz w:val="18"/>
              </w:rPr>
              <w:t>Substance </w:t>
            </w:r>
            <w:r>
              <w:rPr>
                <w:color w:val="105C84"/>
                <w:spacing w:val="-4"/>
                <w:sz w:val="18"/>
              </w:rPr>
              <w:t>Use </w:t>
            </w:r>
            <w:r>
              <w:rPr>
                <w:color w:val="105C84"/>
                <w:spacing w:val="-2"/>
                <w:sz w:val="18"/>
              </w:rPr>
              <w:t>Disorders</w:t>
            </w:r>
          </w:p>
        </w:tc>
        <w:tc>
          <w:tcPr>
            <w:tcW w:w="1324" w:type="dxa"/>
            <w:vMerge w:val="restart"/>
          </w:tcPr>
          <w:p>
            <w:pPr>
              <w:pStyle w:val="TableParagraph"/>
              <w:spacing w:line="232" w:lineRule="auto" w:before="100"/>
              <w:ind w:left="90" w:right="139"/>
              <w:rPr>
                <w:sz w:val="18"/>
              </w:rPr>
            </w:pPr>
            <w:r>
              <w:rPr>
                <w:color w:val="105C84"/>
                <w:spacing w:val="-4"/>
                <w:sz w:val="18"/>
              </w:rPr>
              <w:t>Focus</w:t>
            </w:r>
            <w:r>
              <w:rPr>
                <w:color w:val="105C84"/>
                <w:spacing w:val="-11"/>
                <w:sz w:val="18"/>
              </w:rPr>
              <w:t> </w:t>
            </w:r>
            <w:r>
              <w:rPr>
                <w:color w:val="105C84"/>
                <w:spacing w:val="-4"/>
                <w:sz w:val="18"/>
              </w:rPr>
              <w:t>Area</w:t>
            </w:r>
            <w:r>
              <w:rPr>
                <w:color w:val="105C84"/>
                <w:spacing w:val="-8"/>
                <w:sz w:val="18"/>
              </w:rPr>
              <w:t> </w:t>
            </w:r>
            <w:r>
              <w:rPr>
                <w:color w:val="105C84"/>
                <w:spacing w:val="-4"/>
                <w:sz w:val="18"/>
              </w:rPr>
              <w:t>2: </w:t>
            </w:r>
            <w:r>
              <w:rPr>
                <w:color w:val="105C84"/>
                <w:spacing w:val="-2"/>
                <w:sz w:val="18"/>
              </w:rPr>
              <w:t>Prevent </w:t>
            </w:r>
            <w:r>
              <w:rPr>
                <w:color w:val="105C84"/>
                <w:sz w:val="18"/>
              </w:rPr>
              <w:t>Mental and </w:t>
            </w:r>
            <w:r>
              <w:rPr>
                <w:color w:val="105C84"/>
                <w:spacing w:val="-2"/>
                <w:sz w:val="18"/>
              </w:rPr>
              <w:t>Substance </w:t>
            </w:r>
            <w:r>
              <w:rPr>
                <w:color w:val="105C84"/>
                <w:spacing w:val="-4"/>
                <w:sz w:val="18"/>
              </w:rPr>
              <w:t>User </w:t>
            </w:r>
            <w:r>
              <w:rPr>
                <w:color w:val="105C84"/>
                <w:spacing w:val="-2"/>
                <w:sz w:val="18"/>
              </w:rPr>
              <w:t>Disorders</w:t>
            </w:r>
          </w:p>
        </w:tc>
        <w:tc>
          <w:tcPr>
            <w:tcW w:w="1266" w:type="dxa"/>
            <w:vMerge w:val="restart"/>
          </w:tcPr>
          <w:p>
            <w:pPr>
              <w:pStyle w:val="TableParagraph"/>
              <w:spacing w:line="232" w:lineRule="auto" w:before="100"/>
              <w:ind w:left="91" w:right="441"/>
              <w:rPr>
                <w:sz w:val="18"/>
              </w:rPr>
            </w:pPr>
            <w:r>
              <w:rPr>
                <w:color w:val="105C84"/>
                <w:spacing w:val="-2"/>
                <w:sz w:val="18"/>
              </w:rPr>
              <w:t>Goal</w:t>
            </w:r>
            <w:r>
              <w:rPr>
                <w:color w:val="105C84"/>
                <w:spacing w:val="-11"/>
                <w:sz w:val="18"/>
              </w:rPr>
              <w:t> </w:t>
            </w:r>
            <w:r>
              <w:rPr>
                <w:color w:val="105C84"/>
                <w:spacing w:val="-2"/>
                <w:sz w:val="18"/>
              </w:rPr>
              <w:t>2.5: Prevent Suicides</w:t>
            </w:r>
          </w:p>
        </w:tc>
        <w:tc>
          <w:tcPr>
            <w:tcW w:w="1554" w:type="dxa"/>
            <w:vMerge w:val="restart"/>
          </w:tcPr>
          <w:p>
            <w:pPr>
              <w:pStyle w:val="TableParagraph"/>
              <w:spacing w:line="232" w:lineRule="auto" w:before="100"/>
              <w:ind w:left="92" w:right="139"/>
              <w:rPr>
                <w:sz w:val="18"/>
              </w:rPr>
            </w:pPr>
            <w:r>
              <w:rPr>
                <w:color w:val="105C84"/>
                <w:sz w:val="18"/>
              </w:rPr>
              <w:t>.5.2:</w:t>
            </w:r>
            <w:r>
              <w:rPr>
                <w:color w:val="105C84"/>
                <w:spacing w:val="-15"/>
                <w:sz w:val="18"/>
              </w:rPr>
              <w:t> </w:t>
            </w:r>
            <w:r>
              <w:rPr>
                <w:color w:val="105C84"/>
                <w:sz w:val="18"/>
              </w:rPr>
              <w:t>Reduce</w:t>
            </w:r>
            <w:r>
              <w:rPr>
                <w:color w:val="105C84"/>
                <w:spacing w:val="-12"/>
                <w:sz w:val="18"/>
              </w:rPr>
              <w:t> </w:t>
            </w:r>
            <w:r>
              <w:rPr>
                <w:color w:val="105C84"/>
                <w:sz w:val="18"/>
              </w:rPr>
              <w:t>the </w:t>
            </w:r>
            <w:r>
              <w:rPr>
                <w:color w:val="105C84"/>
                <w:spacing w:val="-2"/>
                <w:w w:val="105"/>
                <w:sz w:val="18"/>
              </w:rPr>
              <w:t>age-adjusted </w:t>
            </w:r>
            <w:r>
              <w:rPr>
                <w:color w:val="105C84"/>
                <w:sz w:val="18"/>
              </w:rPr>
              <w:t>suicide</w:t>
            </w:r>
            <w:r>
              <w:rPr>
                <w:color w:val="105C84"/>
                <w:spacing w:val="-13"/>
                <w:sz w:val="18"/>
              </w:rPr>
              <w:t> </w:t>
            </w:r>
            <w:r>
              <w:rPr>
                <w:color w:val="105C84"/>
                <w:sz w:val="18"/>
              </w:rPr>
              <w:t>mortality</w:t>
            </w:r>
            <w:r>
              <w:rPr>
                <w:color w:val="105C84"/>
                <w:sz w:val="18"/>
              </w:rPr>
              <w:t> rate</w:t>
            </w:r>
            <w:r>
              <w:rPr>
                <w:color w:val="105C84"/>
                <w:spacing w:val="-6"/>
                <w:sz w:val="18"/>
              </w:rPr>
              <w:t> </w:t>
            </w:r>
            <w:r>
              <w:rPr>
                <w:color w:val="105C84"/>
                <w:sz w:val="18"/>
              </w:rPr>
              <w:t>by</w:t>
            </w:r>
            <w:r>
              <w:rPr>
                <w:color w:val="105C84"/>
                <w:spacing w:val="-6"/>
                <w:sz w:val="18"/>
              </w:rPr>
              <w:t> </w:t>
            </w:r>
            <w:r>
              <w:rPr>
                <w:color w:val="105C84"/>
                <w:sz w:val="18"/>
              </w:rPr>
              <w:t>10%</w:t>
            </w:r>
            <w:r>
              <w:rPr>
                <w:color w:val="105C84"/>
                <w:spacing w:val="-6"/>
                <w:sz w:val="18"/>
              </w:rPr>
              <w:t> </w:t>
            </w:r>
            <w:r>
              <w:rPr>
                <w:color w:val="105C84"/>
                <w:sz w:val="18"/>
              </w:rPr>
              <w:t>to</w:t>
            </w:r>
            <w:r>
              <w:rPr>
                <w:color w:val="105C84"/>
                <w:spacing w:val="-6"/>
                <w:sz w:val="18"/>
              </w:rPr>
              <w:t> </w:t>
            </w:r>
            <w:r>
              <w:rPr>
                <w:color w:val="105C84"/>
                <w:spacing w:val="-10"/>
                <w:sz w:val="18"/>
              </w:rPr>
              <w:t>7</w:t>
            </w:r>
          </w:p>
          <w:p>
            <w:pPr>
              <w:pStyle w:val="TableParagraph"/>
              <w:spacing w:line="199" w:lineRule="exact"/>
              <w:ind w:left="92"/>
              <w:rPr>
                <w:sz w:val="18"/>
              </w:rPr>
            </w:pPr>
            <w:r>
              <w:rPr>
                <w:color w:val="105C84"/>
                <w:sz w:val="18"/>
              </w:rPr>
              <w:t>per</w:t>
            </w:r>
            <w:r>
              <w:rPr>
                <w:color w:val="105C84"/>
                <w:spacing w:val="3"/>
                <w:sz w:val="18"/>
              </w:rPr>
              <w:t> </w:t>
            </w:r>
            <w:r>
              <w:rPr>
                <w:color w:val="105C84"/>
                <w:spacing w:val="-2"/>
                <w:sz w:val="18"/>
              </w:rPr>
              <w:t>100,000</w:t>
            </w:r>
          </w:p>
        </w:tc>
        <w:tc>
          <w:tcPr>
            <w:tcW w:w="1064" w:type="dxa"/>
            <w:vMerge w:val="restart"/>
          </w:tcPr>
          <w:p>
            <w:pPr>
              <w:pStyle w:val="TableParagraph"/>
              <w:rPr>
                <w:rFonts w:ascii="Times New Roman"/>
                <w:sz w:val="18"/>
              </w:rPr>
            </w:pPr>
          </w:p>
        </w:tc>
        <w:tc>
          <w:tcPr>
            <w:tcW w:w="2058" w:type="dxa"/>
            <w:vMerge w:val="restart"/>
          </w:tcPr>
          <w:p>
            <w:pPr>
              <w:pStyle w:val="TableParagraph"/>
              <w:spacing w:line="232" w:lineRule="auto" w:before="100"/>
              <w:ind w:left="95" w:right="252"/>
              <w:rPr>
                <w:sz w:val="18"/>
              </w:rPr>
            </w:pPr>
            <w:r>
              <w:rPr>
                <w:color w:val="105C84"/>
                <w:sz w:val="18"/>
              </w:rPr>
              <w:t>2.5.4 Identify &amp; support people </w:t>
            </w:r>
            <w:r>
              <w:rPr>
                <w:color w:val="105C84"/>
                <w:sz w:val="18"/>
              </w:rPr>
              <w:t>at</w:t>
            </w:r>
            <w:r>
              <w:rPr>
                <w:color w:val="105C84"/>
                <w:sz w:val="18"/>
              </w:rPr>
              <w:t> risk: Gatekeeper Training, crisis</w:t>
            </w:r>
          </w:p>
          <w:p>
            <w:pPr>
              <w:pStyle w:val="TableParagraph"/>
              <w:spacing w:line="232" w:lineRule="auto"/>
              <w:ind w:left="95" w:right="41"/>
              <w:rPr>
                <w:sz w:val="18"/>
              </w:rPr>
            </w:pPr>
            <w:r>
              <w:rPr>
                <w:color w:val="105C84"/>
                <w:sz w:val="18"/>
              </w:rPr>
              <w:t>intervention, </w:t>
            </w:r>
            <w:r>
              <w:rPr>
                <w:color w:val="105C84"/>
                <w:sz w:val="18"/>
              </w:rPr>
              <w:t>treatment for people at risk of suicide, treatment to prevent re-attempts, postvention, safe reporting and messaging about </w:t>
            </w:r>
            <w:r>
              <w:rPr>
                <w:color w:val="105C84"/>
                <w:spacing w:val="-2"/>
                <w:sz w:val="18"/>
              </w:rPr>
              <w:t>suicides</w:t>
            </w:r>
          </w:p>
        </w:tc>
        <w:tc>
          <w:tcPr>
            <w:tcW w:w="2699" w:type="dxa"/>
            <w:vMerge w:val="restart"/>
            <w:tcBorders>
              <w:right w:val="nil"/>
            </w:tcBorders>
          </w:tcPr>
          <w:p>
            <w:pPr>
              <w:pStyle w:val="TableParagraph"/>
              <w:spacing w:line="232" w:lineRule="auto" w:before="100"/>
              <w:ind w:left="96" w:right="1027"/>
              <w:rPr>
                <w:sz w:val="18"/>
              </w:rPr>
            </w:pPr>
            <w:r>
              <w:rPr>
                <w:color w:val="105C84"/>
                <w:sz w:val="18"/>
              </w:rPr>
              <w:t>Number of </w:t>
            </w:r>
            <w:r>
              <w:rPr>
                <w:color w:val="105C84"/>
                <w:spacing w:val="-2"/>
                <w:sz w:val="18"/>
              </w:rPr>
              <w:t>Gatekeeper </w:t>
            </w:r>
            <w:r>
              <w:rPr>
                <w:color w:val="105C84"/>
                <w:spacing w:val="-4"/>
                <w:sz w:val="18"/>
              </w:rPr>
              <w:t>Trainings</w:t>
            </w:r>
            <w:r>
              <w:rPr>
                <w:color w:val="105C84"/>
                <w:spacing w:val="-11"/>
                <w:sz w:val="18"/>
              </w:rPr>
              <w:t> </w:t>
            </w:r>
            <w:r>
              <w:rPr>
                <w:color w:val="105C84"/>
                <w:spacing w:val="-4"/>
                <w:sz w:val="18"/>
              </w:rPr>
              <w:t>(MHFA</w:t>
            </w:r>
            <w:r>
              <w:rPr>
                <w:color w:val="105C84"/>
                <w:spacing w:val="-8"/>
                <w:sz w:val="18"/>
              </w:rPr>
              <w:t> </w:t>
            </w:r>
            <w:r>
              <w:rPr>
                <w:color w:val="105C84"/>
                <w:spacing w:val="-4"/>
                <w:sz w:val="18"/>
              </w:rPr>
              <w:t>&amp; </w:t>
            </w:r>
            <w:r>
              <w:rPr>
                <w:color w:val="105C84"/>
                <w:spacing w:val="-2"/>
                <w:sz w:val="18"/>
              </w:rPr>
              <w:t>YMHFA)</w:t>
            </w:r>
          </w:p>
          <w:p>
            <w:pPr>
              <w:pStyle w:val="TableParagraph"/>
              <w:spacing w:line="232" w:lineRule="auto" w:before="87"/>
              <w:ind w:left="96" w:right="1027"/>
              <w:rPr>
                <w:sz w:val="18"/>
              </w:rPr>
            </w:pPr>
            <w:r>
              <w:rPr>
                <w:color w:val="105C84"/>
                <w:w w:val="105"/>
                <w:sz w:val="18"/>
              </w:rPr>
              <w:t>Number</w:t>
            </w:r>
            <w:r>
              <w:rPr>
                <w:color w:val="105C84"/>
                <w:spacing w:val="-1"/>
                <w:w w:val="105"/>
                <w:sz w:val="18"/>
              </w:rPr>
              <w:t> </w:t>
            </w:r>
            <w:r>
              <w:rPr>
                <w:color w:val="105C84"/>
                <w:w w:val="105"/>
                <w:sz w:val="18"/>
              </w:rPr>
              <w:t>of </w:t>
            </w:r>
            <w:r>
              <w:rPr>
                <w:color w:val="105C84"/>
                <w:sz w:val="18"/>
              </w:rPr>
              <w:t>individuals</w:t>
            </w:r>
            <w:r>
              <w:rPr>
                <w:color w:val="105C84"/>
                <w:spacing w:val="-13"/>
                <w:sz w:val="18"/>
              </w:rPr>
              <w:t> </w:t>
            </w:r>
            <w:r>
              <w:rPr>
                <w:color w:val="105C84"/>
                <w:sz w:val="18"/>
              </w:rPr>
              <w:t>trained</w:t>
            </w:r>
          </w:p>
          <w:p>
            <w:pPr>
              <w:pStyle w:val="TableParagraph"/>
              <w:spacing w:line="232" w:lineRule="auto" w:before="88"/>
              <w:ind w:left="96" w:right="1089"/>
              <w:rPr>
                <w:sz w:val="18"/>
              </w:rPr>
            </w:pPr>
            <w:r>
              <w:rPr>
                <w:color w:val="105C84"/>
                <w:sz w:val="18"/>
              </w:rPr>
              <w:t>Number of </w:t>
            </w:r>
            <w:r>
              <w:rPr>
                <w:color w:val="105C84"/>
                <w:spacing w:val="-2"/>
                <w:sz w:val="18"/>
              </w:rPr>
              <w:t>outreach/ </w:t>
            </w:r>
            <w:r>
              <w:rPr>
                <w:color w:val="105C84"/>
                <w:sz w:val="18"/>
              </w:rPr>
              <w:t>educational</w:t>
            </w:r>
            <w:r>
              <w:rPr>
                <w:color w:val="105C84"/>
                <w:spacing w:val="-13"/>
                <w:sz w:val="18"/>
              </w:rPr>
              <w:t> </w:t>
            </w:r>
            <w:r>
              <w:rPr>
                <w:color w:val="105C84"/>
                <w:sz w:val="18"/>
              </w:rPr>
              <w:t>events</w:t>
            </w:r>
          </w:p>
        </w:tc>
        <w:tc>
          <w:tcPr>
            <w:tcW w:w="3678" w:type="dxa"/>
            <w:tcBorders>
              <w:left w:val="nil"/>
            </w:tcBorders>
          </w:tcPr>
          <w:p>
            <w:pPr>
              <w:pStyle w:val="TableParagraph"/>
              <w:spacing w:line="232" w:lineRule="auto" w:before="100"/>
              <w:ind w:left="1099" w:right="133"/>
              <w:jc w:val="both"/>
              <w:rPr>
                <w:sz w:val="18"/>
              </w:rPr>
            </w:pPr>
            <w:r>
              <w:rPr>
                <w:color w:val="105C84"/>
                <w:spacing w:val="-2"/>
                <w:sz w:val="18"/>
              </w:rPr>
              <w:t>YCPH</w:t>
            </w:r>
            <w:r>
              <w:rPr>
                <w:color w:val="105C84"/>
                <w:spacing w:val="-13"/>
                <w:sz w:val="18"/>
              </w:rPr>
              <w:t> </w:t>
            </w:r>
            <w:r>
              <w:rPr>
                <w:color w:val="105C84"/>
                <w:spacing w:val="-2"/>
                <w:sz w:val="18"/>
              </w:rPr>
              <w:t>attends</w:t>
            </w:r>
            <w:r>
              <w:rPr>
                <w:color w:val="105C84"/>
                <w:spacing w:val="-10"/>
                <w:sz w:val="18"/>
              </w:rPr>
              <w:t> </w:t>
            </w:r>
            <w:r>
              <w:rPr>
                <w:color w:val="105C84"/>
                <w:spacing w:val="-2"/>
                <w:sz w:val="18"/>
              </w:rPr>
              <w:t>Systems</w:t>
            </w:r>
            <w:r>
              <w:rPr>
                <w:color w:val="105C84"/>
                <w:spacing w:val="-11"/>
                <w:sz w:val="18"/>
              </w:rPr>
              <w:t> </w:t>
            </w:r>
            <w:r>
              <w:rPr>
                <w:color w:val="105C84"/>
                <w:spacing w:val="-2"/>
                <w:sz w:val="18"/>
              </w:rPr>
              <w:t>of</w:t>
            </w:r>
            <w:r>
              <w:rPr>
                <w:color w:val="105C84"/>
                <w:spacing w:val="-10"/>
                <w:sz w:val="18"/>
              </w:rPr>
              <w:t> </w:t>
            </w:r>
            <w:r>
              <w:rPr>
                <w:color w:val="105C84"/>
                <w:spacing w:val="-2"/>
                <w:sz w:val="18"/>
              </w:rPr>
              <w:t>Care </w:t>
            </w:r>
            <w:r>
              <w:rPr>
                <w:color w:val="105C84"/>
                <w:sz w:val="18"/>
              </w:rPr>
              <w:t>Planning</w:t>
            </w:r>
            <w:r>
              <w:rPr>
                <w:color w:val="105C84"/>
                <w:spacing w:val="-11"/>
                <w:sz w:val="18"/>
              </w:rPr>
              <w:t> </w:t>
            </w:r>
            <w:r>
              <w:rPr>
                <w:color w:val="105C84"/>
                <w:sz w:val="18"/>
              </w:rPr>
              <w:t>Meetings</w:t>
            </w:r>
            <w:r>
              <w:rPr>
                <w:color w:val="105C84"/>
                <w:spacing w:val="-11"/>
                <w:sz w:val="18"/>
              </w:rPr>
              <w:t> </w:t>
            </w:r>
            <w:r>
              <w:rPr>
                <w:color w:val="105C84"/>
                <w:sz w:val="18"/>
              </w:rPr>
              <w:t>and</w:t>
            </w:r>
            <w:r>
              <w:rPr>
                <w:color w:val="105C84"/>
                <w:spacing w:val="-11"/>
                <w:sz w:val="18"/>
              </w:rPr>
              <w:t> </w:t>
            </w:r>
            <w:r>
              <w:rPr>
                <w:color w:val="105C84"/>
                <w:sz w:val="18"/>
              </w:rPr>
              <w:t>assists in efforts</w:t>
            </w:r>
          </w:p>
          <w:p>
            <w:pPr>
              <w:pStyle w:val="TableParagraph"/>
              <w:spacing w:line="232" w:lineRule="auto" w:before="87"/>
              <w:ind w:left="1099" w:right="104"/>
              <w:jc w:val="both"/>
              <w:rPr>
                <w:sz w:val="18"/>
              </w:rPr>
            </w:pPr>
            <w:r>
              <w:rPr>
                <w:color w:val="105C84"/>
                <w:sz w:val="18"/>
              </w:rPr>
              <w:t>YCPH</w:t>
            </w:r>
            <w:r>
              <w:rPr>
                <w:color w:val="105C84"/>
                <w:spacing w:val="-11"/>
                <w:sz w:val="18"/>
              </w:rPr>
              <w:t> </w:t>
            </w:r>
            <w:r>
              <w:rPr>
                <w:color w:val="105C84"/>
                <w:sz w:val="18"/>
              </w:rPr>
              <w:t>will</w:t>
            </w:r>
            <w:r>
              <w:rPr>
                <w:color w:val="105C84"/>
                <w:spacing w:val="-11"/>
                <w:sz w:val="18"/>
              </w:rPr>
              <w:t> </w:t>
            </w:r>
            <w:r>
              <w:rPr>
                <w:color w:val="105C84"/>
                <w:sz w:val="18"/>
              </w:rPr>
              <w:t>promote</w:t>
            </w:r>
            <w:r>
              <w:rPr>
                <w:color w:val="105C84"/>
                <w:spacing w:val="-11"/>
                <w:sz w:val="18"/>
              </w:rPr>
              <w:t> </w:t>
            </w:r>
            <w:r>
              <w:rPr>
                <w:color w:val="105C84"/>
                <w:sz w:val="18"/>
              </w:rPr>
              <w:t>all</w:t>
            </w:r>
            <w:r>
              <w:rPr>
                <w:color w:val="105C84"/>
                <w:spacing w:val="-11"/>
                <w:sz w:val="18"/>
              </w:rPr>
              <w:t> </w:t>
            </w:r>
            <w:r>
              <w:rPr>
                <w:color w:val="105C84"/>
                <w:sz w:val="18"/>
              </w:rPr>
              <w:t>trainings &amp; events open to the public</w:t>
            </w:r>
          </w:p>
        </w:tc>
        <w:tc>
          <w:tcPr>
            <w:tcW w:w="1813" w:type="dxa"/>
          </w:tcPr>
          <w:p>
            <w:pPr>
              <w:pStyle w:val="TableParagraph"/>
              <w:spacing w:line="232" w:lineRule="auto" w:before="100"/>
              <w:ind w:left="98" w:right="217"/>
              <w:rPr>
                <w:sz w:val="18"/>
              </w:rPr>
            </w:pPr>
            <w:r>
              <w:rPr>
                <w:color w:val="105C84"/>
                <w:sz w:val="18"/>
              </w:rPr>
              <w:t>YCPH will attend Systems of Care Planning</w:t>
            </w:r>
            <w:r>
              <w:rPr>
                <w:color w:val="105C84"/>
                <w:spacing w:val="-13"/>
                <w:sz w:val="18"/>
              </w:rPr>
              <w:t> </w:t>
            </w:r>
            <w:r>
              <w:rPr>
                <w:color w:val="105C84"/>
                <w:sz w:val="18"/>
              </w:rPr>
              <w:t>meetings </w:t>
            </w:r>
            <w:r>
              <w:rPr>
                <w:color w:val="105C84"/>
                <w:spacing w:val="-2"/>
                <w:sz w:val="18"/>
              </w:rPr>
              <w:t>and</w:t>
            </w:r>
            <w:r>
              <w:rPr>
                <w:color w:val="105C84"/>
                <w:spacing w:val="-9"/>
                <w:sz w:val="18"/>
              </w:rPr>
              <w:t> </w:t>
            </w:r>
            <w:r>
              <w:rPr>
                <w:color w:val="105C84"/>
                <w:spacing w:val="-2"/>
                <w:sz w:val="18"/>
              </w:rPr>
              <w:t>assist</w:t>
            </w:r>
            <w:r>
              <w:rPr>
                <w:color w:val="105C84"/>
                <w:spacing w:val="-7"/>
                <w:sz w:val="18"/>
              </w:rPr>
              <w:t> </w:t>
            </w:r>
            <w:r>
              <w:rPr>
                <w:color w:val="105C84"/>
                <w:spacing w:val="-2"/>
                <w:sz w:val="18"/>
              </w:rPr>
              <w:t>in</w:t>
            </w:r>
            <w:r>
              <w:rPr>
                <w:color w:val="105C84"/>
                <w:spacing w:val="-7"/>
                <w:sz w:val="18"/>
              </w:rPr>
              <w:t> </w:t>
            </w:r>
            <w:r>
              <w:rPr>
                <w:color w:val="105C84"/>
                <w:spacing w:val="-2"/>
                <w:sz w:val="18"/>
              </w:rPr>
              <w:t>effort</w:t>
            </w:r>
          </w:p>
          <w:p>
            <w:pPr>
              <w:pStyle w:val="TableParagraph"/>
              <w:spacing w:line="232" w:lineRule="auto" w:before="87"/>
              <w:ind w:left="98"/>
              <w:rPr>
                <w:sz w:val="18"/>
              </w:rPr>
            </w:pPr>
            <w:r>
              <w:rPr>
                <w:color w:val="105C84"/>
                <w:sz w:val="18"/>
              </w:rPr>
              <w:t>YCPH will attend Suicide</w:t>
            </w:r>
            <w:r>
              <w:rPr>
                <w:color w:val="105C84"/>
                <w:spacing w:val="-13"/>
                <w:sz w:val="18"/>
              </w:rPr>
              <w:t> </w:t>
            </w:r>
            <w:r>
              <w:rPr>
                <w:color w:val="105C84"/>
                <w:sz w:val="18"/>
              </w:rPr>
              <w:t>Prevention Coalition meetings </w:t>
            </w:r>
            <w:r>
              <w:rPr>
                <w:color w:val="105C84"/>
                <w:spacing w:val="-2"/>
                <w:sz w:val="18"/>
              </w:rPr>
              <w:t>and</w:t>
            </w:r>
            <w:r>
              <w:rPr>
                <w:color w:val="105C84"/>
                <w:spacing w:val="-9"/>
                <w:sz w:val="18"/>
              </w:rPr>
              <w:t> </w:t>
            </w:r>
            <w:r>
              <w:rPr>
                <w:color w:val="105C84"/>
                <w:spacing w:val="-2"/>
                <w:sz w:val="18"/>
              </w:rPr>
              <w:t>assist</w:t>
            </w:r>
            <w:r>
              <w:rPr>
                <w:color w:val="105C84"/>
                <w:spacing w:val="-7"/>
                <w:sz w:val="18"/>
              </w:rPr>
              <w:t> </w:t>
            </w:r>
            <w:r>
              <w:rPr>
                <w:color w:val="105C84"/>
                <w:spacing w:val="-2"/>
                <w:sz w:val="18"/>
              </w:rPr>
              <w:t>in</w:t>
            </w:r>
            <w:r>
              <w:rPr>
                <w:color w:val="105C84"/>
                <w:spacing w:val="-7"/>
                <w:sz w:val="18"/>
              </w:rPr>
              <w:t> </w:t>
            </w:r>
            <w:r>
              <w:rPr>
                <w:color w:val="105C84"/>
                <w:spacing w:val="-2"/>
                <w:sz w:val="18"/>
              </w:rPr>
              <w:t>efforts</w:t>
            </w:r>
          </w:p>
          <w:p>
            <w:pPr>
              <w:pStyle w:val="TableParagraph"/>
              <w:spacing w:line="232" w:lineRule="auto" w:before="86"/>
              <w:ind w:left="98" w:right="114"/>
              <w:rPr>
                <w:sz w:val="18"/>
              </w:rPr>
            </w:pPr>
            <w:r>
              <w:rPr>
                <w:color w:val="105C84"/>
                <w:sz w:val="18"/>
              </w:rPr>
              <w:t>YCPH</w:t>
            </w:r>
            <w:r>
              <w:rPr>
                <w:color w:val="105C84"/>
                <w:spacing w:val="-15"/>
                <w:sz w:val="18"/>
              </w:rPr>
              <w:t> </w:t>
            </w:r>
            <w:r>
              <w:rPr>
                <w:color w:val="105C84"/>
                <w:sz w:val="18"/>
              </w:rPr>
              <w:t>will</w:t>
            </w:r>
            <w:r>
              <w:rPr>
                <w:color w:val="105C84"/>
                <w:spacing w:val="-12"/>
                <w:sz w:val="18"/>
              </w:rPr>
              <w:t> </w:t>
            </w:r>
            <w:r>
              <w:rPr>
                <w:color w:val="105C84"/>
                <w:sz w:val="18"/>
              </w:rPr>
              <w:t>promote all trainings &amp; events</w:t>
            </w:r>
            <w:r>
              <w:rPr>
                <w:color w:val="105C84"/>
                <w:spacing w:val="-4"/>
                <w:sz w:val="18"/>
              </w:rPr>
              <w:t> </w:t>
            </w:r>
            <w:r>
              <w:rPr>
                <w:color w:val="105C84"/>
                <w:sz w:val="18"/>
              </w:rPr>
              <w:t>open</w:t>
            </w:r>
            <w:r>
              <w:rPr>
                <w:color w:val="105C84"/>
                <w:spacing w:val="-4"/>
                <w:sz w:val="18"/>
              </w:rPr>
              <w:t> </w:t>
            </w:r>
            <w:r>
              <w:rPr>
                <w:color w:val="105C84"/>
                <w:sz w:val="18"/>
              </w:rPr>
              <w:t>to</w:t>
            </w:r>
            <w:r>
              <w:rPr>
                <w:color w:val="105C84"/>
                <w:spacing w:val="-4"/>
                <w:sz w:val="18"/>
              </w:rPr>
              <w:t> </w:t>
            </w:r>
            <w:r>
              <w:rPr>
                <w:color w:val="105C84"/>
                <w:sz w:val="18"/>
              </w:rPr>
              <w:t>the </w:t>
            </w:r>
            <w:r>
              <w:rPr>
                <w:color w:val="105C84"/>
                <w:spacing w:val="-2"/>
                <w:sz w:val="18"/>
              </w:rPr>
              <w:t>public</w:t>
            </w:r>
          </w:p>
        </w:tc>
        <w:tc>
          <w:tcPr>
            <w:tcW w:w="2475" w:type="dxa"/>
          </w:tcPr>
          <w:p>
            <w:pPr>
              <w:pStyle w:val="TableParagraph"/>
              <w:spacing w:line="232" w:lineRule="auto" w:before="100"/>
              <w:ind w:left="99" w:right="105"/>
              <w:jc w:val="both"/>
              <w:rPr>
                <w:sz w:val="18"/>
              </w:rPr>
            </w:pPr>
            <w:r>
              <w:rPr>
                <w:color w:val="105C84"/>
                <w:sz w:val="18"/>
              </w:rPr>
              <w:t>YCPH</w:t>
            </w:r>
            <w:r>
              <w:rPr>
                <w:color w:val="105C84"/>
                <w:spacing w:val="-15"/>
                <w:sz w:val="18"/>
              </w:rPr>
              <w:t> </w:t>
            </w:r>
            <w:r>
              <w:rPr>
                <w:color w:val="105C84"/>
                <w:sz w:val="18"/>
              </w:rPr>
              <w:t>will</w:t>
            </w:r>
            <w:r>
              <w:rPr>
                <w:color w:val="105C84"/>
                <w:spacing w:val="-12"/>
                <w:sz w:val="18"/>
              </w:rPr>
              <w:t> </w:t>
            </w:r>
            <w:r>
              <w:rPr>
                <w:color w:val="105C84"/>
                <w:sz w:val="18"/>
              </w:rPr>
              <w:t>attend</w:t>
            </w:r>
            <w:r>
              <w:rPr>
                <w:color w:val="105C84"/>
                <w:spacing w:val="-13"/>
                <w:sz w:val="18"/>
              </w:rPr>
              <w:t> </w:t>
            </w:r>
            <w:r>
              <w:rPr>
                <w:color w:val="105C84"/>
                <w:sz w:val="18"/>
              </w:rPr>
              <w:t>Systems</w:t>
            </w:r>
            <w:r>
              <w:rPr>
                <w:color w:val="105C84"/>
                <w:spacing w:val="-12"/>
                <w:sz w:val="18"/>
              </w:rPr>
              <w:t> </w:t>
            </w:r>
            <w:r>
              <w:rPr>
                <w:color w:val="105C84"/>
                <w:sz w:val="18"/>
              </w:rPr>
              <w:t>of Care</w:t>
            </w:r>
            <w:r>
              <w:rPr>
                <w:color w:val="105C84"/>
                <w:spacing w:val="-13"/>
                <w:sz w:val="18"/>
              </w:rPr>
              <w:t> </w:t>
            </w:r>
            <w:r>
              <w:rPr>
                <w:color w:val="105C84"/>
                <w:sz w:val="18"/>
              </w:rPr>
              <w:t>Planning</w:t>
            </w:r>
            <w:r>
              <w:rPr>
                <w:color w:val="105C84"/>
                <w:spacing w:val="-12"/>
                <w:sz w:val="18"/>
              </w:rPr>
              <w:t> </w:t>
            </w:r>
            <w:r>
              <w:rPr>
                <w:color w:val="105C84"/>
                <w:sz w:val="18"/>
              </w:rPr>
              <w:t>meetings</w:t>
            </w:r>
            <w:r>
              <w:rPr>
                <w:color w:val="105C84"/>
                <w:spacing w:val="-13"/>
                <w:sz w:val="18"/>
              </w:rPr>
              <w:t> </w:t>
            </w:r>
            <w:r>
              <w:rPr>
                <w:color w:val="105C84"/>
                <w:sz w:val="18"/>
              </w:rPr>
              <w:t>and assist in effort</w:t>
            </w:r>
          </w:p>
          <w:p>
            <w:pPr>
              <w:pStyle w:val="TableParagraph"/>
              <w:spacing w:line="232" w:lineRule="auto" w:before="87"/>
              <w:ind w:left="99" w:right="393"/>
              <w:rPr>
                <w:sz w:val="18"/>
              </w:rPr>
            </w:pPr>
            <w:r>
              <w:rPr>
                <w:color w:val="105C84"/>
                <w:sz w:val="18"/>
              </w:rPr>
              <w:t>YCPH</w:t>
            </w:r>
            <w:r>
              <w:rPr>
                <w:color w:val="105C84"/>
                <w:spacing w:val="-13"/>
                <w:sz w:val="18"/>
              </w:rPr>
              <w:t> </w:t>
            </w:r>
            <w:r>
              <w:rPr>
                <w:color w:val="105C84"/>
                <w:sz w:val="18"/>
              </w:rPr>
              <w:t>will</w:t>
            </w:r>
            <w:r>
              <w:rPr>
                <w:color w:val="105C84"/>
                <w:spacing w:val="-12"/>
                <w:sz w:val="18"/>
              </w:rPr>
              <w:t> </w:t>
            </w:r>
            <w:r>
              <w:rPr>
                <w:color w:val="105C84"/>
                <w:sz w:val="18"/>
              </w:rPr>
              <w:t>attend</w:t>
            </w:r>
            <w:r>
              <w:rPr>
                <w:color w:val="105C84"/>
                <w:spacing w:val="-13"/>
                <w:sz w:val="18"/>
              </w:rPr>
              <w:t> </w:t>
            </w:r>
            <w:r>
              <w:rPr>
                <w:color w:val="105C84"/>
                <w:sz w:val="18"/>
              </w:rPr>
              <w:t>Suicide Prevention Coalition meetings and assist in </w:t>
            </w:r>
            <w:r>
              <w:rPr>
                <w:color w:val="105C84"/>
                <w:spacing w:val="-2"/>
                <w:sz w:val="18"/>
              </w:rPr>
              <w:t>efforts</w:t>
            </w:r>
          </w:p>
          <w:p>
            <w:pPr>
              <w:pStyle w:val="TableParagraph"/>
              <w:spacing w:line="232" w:lineRule="auto" w:before="87"/>
              <w:ind w:left="99" w:right="70"/>
              <w:rPr>
                <w:sz w:val="18"/>
              </w:rPr>
            </w:pPr>
            <w:r>
              <w:rPr>
                <w:color w:val="105C84"/>
                <w:sz w:val="18"/>
              </w:rPr>
              <w:t>YCPH will promote all trainings</w:t>
            </w:r>
            <w:r>
              <w:rPr>
                <w:color w:val="105C84"/>
                <w:spacing w:val="-4"/>
                <w:sz w:val="18"/>
              </w:rPr>
              <w:t> </w:t>
            </w:r>
            <w:r>
              <w:rPr>
                <w:color w:val="105C84"/>
                <w:sz w:val="18"/>
              </w:rPr>
              <w:t>&amp;</w:t>
            </w:r>
            <w:r>
              <w:rPr>
                <w:color w:val="105C84"/>
                <w:spacing w:val="-4"/>
                <w:sz w:val="18"/>
              </w:rPr>
              <w:t> </w:t>
            </w:r>
            <w:r>
              <w:rPr>
                <w:color w:val="105C84"/>
                <w:sz w:val="18"/>
              </w:rPr>
              <w:t>events</w:t>
            </w:r>
            <w:r>
              <w:rPr>
                <w:color w:val="105C84"/>
                <w:spacing w:val="-4"/>
                <w:sz w:val="18"/>
              </w:rPr>
              <w:t> </w:t>
            </w:r>
            <w:r>
              <w:rPr>
                <w:color w:val="105C84"/>
                <w:sz w:val="18"/>
              </w:rPr>
              <w:t>open</w:t>
            </w:r>
            <w:r>
              <w:rPr>
                <w:color w:val="105C84"/>
                <w:spacing w:val="-4"/>
                <w:sz w:val="18"/>
              </w:rPr>
              <w:t> </w:t>
            </w:r>
            <w:r>
              <w:rPr>
                <w:color w:val="105C84"/>
                <w:sz w:val="18"/>
              </w:rPr>
              <w:t>to the public</w:t>
            </w:r>
          </w:p>
        </w:tc>
        <w:tc>
          <w:tcPr>
            <w:tcW w:w="1496" w:type="dxa"/>
          </w:tcPr>
          <w:p>
            <w:pPr>
              <w:pStyle w:val="TableParagraph"/>
              <w:spacing w:line="232" w:lineRule="auto" w:before="99"/>
              <w:ind w:left="101"/>
              <w:rPr>
                <w:sz w:val="18"/>
              </w:rPr>
            </w:pPr>
            <w:r>
              <w:rPr>
                <w:color w:val="105C84"/>
                <w:spacing w:val="-2"/>
                <w:sz w:val="18"/>
              </w:rPr>
              <w:t>Local</w:t>
            </w:r>
            <w:r>
              <w:rPr>
                <w:color w:val="105C84"/>
                <w:spacing w:val="-11"/>
                <w:sz w:val="18"/>
              </w:rPr>
              <w:t> </w:t>
            </w:r>
            <w:r>
              <w:rPr>
                <w:color w:val="105C84"/>
                <w:spacing w:val="-2"/>
                <w:sz w:val="18"/>
              </w:rPr>
              <w:t>health department</w:t>
            </w:r>
          </w:p>
        </w:tc>
        <w:tc>
          <w:tcPr>
            <w:tcW w:w="1721" w:type="dxa"/>
          </w:tcPr>
          <w:p>
            <w:pPr>
              <w:pStyle w:val="TableParagraph"/>
              <w:spacing w:line="232" w:lineRule="auto" w:before="99"/>
              <w:ind w:left="103" w:right="57"/>
              <w:rPr>
                <w:sz w:val="18"/>
              </w:rPr>
            </w:pPr>
            <w:r>
              <w:rPr>
                <w:color w:val="105C84"/>
                <w:sz w:val="18"/>
              </w:rPr>
              <w:t>Yates County Public Health </w:t>
            </w:r>
            <w:r>
              <w:rPr>
                <w:color w:val="105C84"/>
                <w:w w:val="90"/>
                <w:sz w:val="18"/>
              </w:rPr>
              <w:t>(YCPH)</w:t>
            </w:r>
            <w:r>
              <w:rPr>
                <w:color w:val="105C84"/>
                <w:spacing w:val="-8"/>
                <w:w w:val="90"/>
                <w:sz w:val="18"/>
              </w:rPr>
              <w:t> </w:t>
            </w:r>
            <w:r>
              <w:rPr>
                <w:color w:val="105C84"/>
                <w:w w:val="90"/>
                <w:sz w:val="18"/>
              </w:rPr>
              <w:t>0.035</w:t>
            </w:r>
            <w:r>
              <w:rPr>
                <w:color w:val="105C84"/>
                <w:spacing w:val="-7"/>
                <w:w w:val="90"/>
                <w:sz w:val="18"/>
              </w:rPr>
              <w:t> </w:t>
            </w:r>
            <w:r>
              <w:rPr>
                <w:color w:val="105C84"/>
                <w:w w:val="90"/>
                <w:sz w:val="18"/>
              </w:rPr>
              <w:t>FTE</w:t>
            </w:r>
          </w:p>
        </w:tc>
      </w:tr>
      <w:tr>
        <w:trPr>
          <w:trHeight w:val="2420" w:hRule="atLeast"/>
        </w:trPr>
        <w:tc>
          <w:tcPr>
            <w:tcW w:w="1180" w:type="dxa"/>
            <w:vMerge/>
            <w:tcBorders>
              <w:top w:val="nil"/>
            </w:tcBorders>
            <w:shd w:val="clear" w:color="auto" w:fill="E6E7E8"/>
          </w:tcPr>
          <w:p>
            <w:pPr>
              <w:rPr>
                <w:sz w:val="2"/>
                <w:szCs w:val="2"/>
              </w:rPr>
            </w:pPr>
          </w:p>
        </w:tc>
        <w:tc>
          <w:tcPr>
            <w:tcW w:w="1324" w:type="dxa"/>
            <w:vMerge/>
            <w:tcBorders>
              <w:top w:val="nil"/>
            </w:tcBorders>
          </w:tcPr>
          <w:p>
            <w:pPr>
              <w:rPr>
                <w:sz w:val="2"/>
                <w:szCs w:val="2"/>
              </w:rPr>
            </w:pPr>
          </w:p>
        </w:tc>
        <w:tc>
          <w:tcPr>
            <w:tcW w:w="1266" w:type="dxa"/>
            <w:vMerge/>
            <w:tcBorders>
              <w:top w:val="nil"/>
            </w:tcBorders>
          </w:tcPr>
          <w:p>
            <w:pPr>
              <w:rPr>
                <w:sz w:val="2"/>
                <w:szCs w:val="2"/>
              </w:rPr>
            </w:pPr>
          </w:p>
        </w:tc>
        <w:tc>
          <w:tcPr>
            <w:tcW w:w="1554" w:type="dxa"/>
            <w:vMerge/>
            <w:tcBorders>
              <w:top w:val="nil"/>
            </w:tcBorders>
          </w:tcPr>
          <w:p>
            <w:pPr>
              <w:rPr>
                <w:sz w:val="2"/>
                <w:szCs w:val="2"/>
              </w:rPr>
            </w:pPr>
          </w:p>
        </w:tc>
        <w:tc>
          <w:tcPr>
            <w:tcW w:w="1064" w:type="dxa"/>
            <w:vMerge/>
            <w:tcBorders>
              <w:top w:val="nil"/>
            </w:tcBorders>
          </w:tcPr>
          <w:p>
            <w:pPr>
              <w:rPr>
                <w:sz w:val="2"/>
                <w:szCs w:val="2"/>
              </w:rPr>
            </w:pPr>
          </w:p>
        </w:tc>
        <w:tc>
          <w:tcPr>
            <w:tcW w:w="2058" w:type="dxa"/>
            <w:vMerge/>
            <w:tcBorders>
              <w:top w:val="nil"/>
            </w:tcBorders>
          </w:tcPr>
          <w:p>
            <w:pPr>
              <w:rPr>
                <w:sz w:val="2"/>
                <w:szCs w:val="2"/>
              </w:rPr>
            </w:pPr>
          </w:p>
        </w:tc>
        <w:tc>
          <w:tcPr>
            <w:tcW w:w="2699" w:type="dxa"/>
            <w:vMerge/>
            <w:tcBorders>
              <w:top w:val="nil"/>
              <w:right w:val="nil"/>
            </w:tcBorders>
          </w:tcPr>
          <w:p>
            <w:pPr>
              <w:rPr>
                <w:sz w:val="2"/>
                <w:szCs w:val="2"/>
              </w:rPr>
            </w:pPr>
          </w:p>
        </w:tc>
        <w:tc>
          <w:tcPr>
            <w:tcW w:w="3678" w:type="dxa"/>
            <w:tcBorders>
              <w:left w:val="nil"/>
            </w:tcBorders>
          </w:tcPr>
          <w:p>
            <w:pPr>
              <w:pStyle w:val="TableParagraph"/>
              <w:spacing w:line="232" w:lineRule="auto" w:before="99"/>
              <w:ind w:left="1099" w:right="73"/>
              <w:rPr>
                <w:sz w:val="18"/>
              </w:rPr>
            </w:pPr>
            <w:r>
              <w:rPr>
                <w:color w:val="105C84"/>
                <w:sz w:val="18"/>
              </w:rPr>
              <w:t>FLH will attend Systems of Care</w:t>
            </w:r>
            <w:r>
              <w:rPr>
                <w:color w:val="105C84"/>
                <w:spacing w:val="-13"/>
                <w:sz w:val="18"/>
              </w:rPr>
              <w:t> </w:t>
            </w:r>
            <w:r>
              <w:rPr>
                <w:color w:val="105C84"/>
                <w:sz w:val="18"/>
              </w:rPr>
              <w:t>Planning</w:t>
            </w:r>
            <w:r>
              <w:rPr>
                <w:color w:val="105C84"/>
                <w:spacing w:val="-12"/>
                <w:sz w:val="18"/>
              </w:rPr>
              <w:t> </w:t>
            </w:r>
            <w:r>
              <w:rPr>
                <w:color w:val="105C84"/>
                <w:sz w:val="18"/>
              </w:rPr>
              <w:t>meetings</w:t>
            </w:r>
            <w:r>
              <w:rPr>
                <w:color w:val="105C84"/>
                <w:spacing w:val="-13"/>
                <w:sz w:val="18"/>
              </w:rPr>
              <w:t> </w:t>
            </w:r>
            <w:r>
              <w:rPr>
                <w:color w:val="105C84"/>
                <w:sz w:val="18"/>
              </w:rPr>
              <w:t>and assist in efforts</w:t>
            </w:r>
          </w:p>
          <w:p>
            <w:pPr>
              <w:pStyle w:val="TableParagraph"/>
              <w:spacing w:line="232" w:lineRule="auto" w:before="88"/>
              <w:ind w:left="1099" w:right="73"/>
              <w:rPr>
                <w:sz w:val="18"/>
              </w:rPr>
            </w:pPr>
            <w:r>
              <w:rPr>
                <w:color w:val="105C84"/>
                <w:sz w:val="18"/>
              </w:rPr>
              <w:t>FLH</w:t>
            </w:r>
            <w:r>
              <w:rPr>
                <w:color w:val="105C84"/>
                <w:spacing w:val="-5"/>
                <w:sz w:val="18"/>
              </w:rPr>
              <w:t> </w:t>
            </w:r>
            <w:r>
              <w:rPr>
                <w:color w:val="105C84"/>
                <w:sz w:val="18"/>
              </w:rPr>
              <w:t>will</w:t>
            </w:r>
            <w:r>
              <w:rPr>
                <w:color w:val="105C84"/>
                <w:spacing w:val="-5"/>
                <w:sz w:val="18"/>
              </w:rPr>
              <w:t> </w:t>
            </w:r>
            <w:r>
              <w:rPr>
                <w:color w:val="105C84"/>
                <w:sz w:val="18"/>
              </w:rPr>
              <w:t>promote</w:t>
            </w:r>
            <w:r>
              <w:rPr>
                <w:color w:val="105C84"/>
                <w:spacing w:val="-5"/>
                <w:sz w:val="18"/>
              </w:rPr>
              <w:t> </w:t>
            </w:r>
            <w:r>
              <w:rPr>
                <w:color w:val="105C84"/>
                <w:sz w:val="18"/>
              </w:rPr>
              <w:t>all</w:t>
            </w:r>
            <w:r>
              <w:rPr>
                <w:color w:val="105C84"/>
                <w:spacing w:val="-5"/>
                <w:sz w:val="18"/>
              </w:rPr>
              <w:t> </w:t>
            </w:r>
            <w:r>
              <w:rPr>
                <w:color w:val="105C84"/>
                <w:sz w:val="18"/>
              </w:rPr>
              <w:t>trainings</w:t>
            </w:r>
            <w:r>
              <w:rPr>
                <w:color w:val="105C84"/>
                <w:spacing w:val="-5"/>
                <w:sz w:val="18"/>
              </w:rPr>
              <w:t> </w:t>
            </w:r>
            <w:r>
              <w:rPr>
                <w:color w:val="105C84"/>
                <w:sz w:val="18"/>
              </w:rPr>
              <w:t>&amp; events open to the public</w:t>
            </w:r>
          </w:p>
        </w:tc>
        <w:tc>
          <w:tcPr>
            <w:tcW w:w="1813" w:type="dxa"/>
          </w:tcPr>
          <w:p>
            <w:pPr>
              <w:pStyle w:val="TableParagraph"/>
              <w:spacing w:line="232" w:lineRule="auto" w:before="99"/>
              <w:ind w:left="98"/>
              <w:rPr>
                <w:sz w:val="18"/>
              </w:rPr>
            </w:pPr>
            <w:r>
              <w:rPr>
                <w:color w:val="105C84"/>
                <w:sz w:val="18"/>
              </w:rPr>
              <w:t>FLH will attend Systems of Care Planning meetings and</w:t>
            </w:r>
            <w:r>
              <w:rPr>
                <w:color w:val="105C84"/>
                <w:spacing w:val="-13"/>
                <w:sz w:val="18"/>
              </w:rPr>
              <w:t> </w:t>
            </w:r>
            <w:r>
              <w:rPr>
                <w:color w:val="105C84"/>
                <w:sz w:val="18"/>
              </w:rPr>
              <w:t>assist</w:t>
            </w:r>
            <w:r>
              <w:rPr>
                <w:color w:val="105C84"/>
                <w:spacing w:val="-12"/>
                <w:sz w:val="18"/>
              </w:rPr>
              <w:t> </w:t>
            </w:r>
            <w:r>
              <w:rPr>
                <w:color w:val="105C84"/>
                <w:sz w:val="18"/>
              </w:rPr>
              <w:t>in</w:t>
            </w:r>
            <w:r>
              <w:rPr>
                <w:color w:val="105C84"/>
                <w:spacing w:val="-13"/>
                <w:sz w:val="18"/>
              </w:rPr>
              <w:t> </w:t>
            </w:r>
            <w:r>
              <w:rPr>
                <w:color w:val="105C84"/>
                <w:sz w:val="18"/>
              </w:rPr>
              <w:t>efforts. FLH</w:t>
            </w:r>
            <w:r>
              <w:rPr>
                <w:color w:val="105C84"/>
                <w:spacing w:val="-9"/>
                <w:sz w:val="18"/>
              </w:rPr>
              <w:t> </w:t>
            </w:r>
            <w:r>
              <w:rPr>
                <w:color w:val="105C84"/>
                <w:sz w:val="18"/>
              </w:rPr>
              <w:t>will</w:t>
            </w:r>
            <w:r>
              <w:rPr>
                <w:color w:val="105C84"/>
                <w:spacing w:val="-9"/>
                <w:sz w:val="18"/>
              </w:rPr>
              <w:t> </w:t>
            </w:r>
            <w:r>
              <w:rPr>
                <w:color w:val="105C84"/>
                <w:sz w:val="18"/>
              </w:rPr>
              <w:t>promote</w:t>
            </w:r>
            <w:r>
              <w:rPr>
                <w:color w:val="105C84"/>
                <w:spacing w:val="-9"/>
                <w:sz w:val="18"/>
              </w:rPr>
              <w:t> </w:t>
            </w:r>
            <w:r>
              <w:rPr>
                <w:color w:val="105C84"/>
                <w:sz w:val="18"/>
              </w:rPr>
              <w:t>all trainings &amp; events open to the public</w:t>
            </w:r>
          </w:p>
        </w:tc>
        <w:tc>
          <w:tcPr>
            <w:tcW w:w="2475" w:type="dxa"/>
          </w:tcPr>
          <w:p>
            <w:pPr>
              <w:pStyle w:val="TableParagraph"/>
              <w:spacing w:line="232" w:lineRule="auto" w:before="99"/>
              <w:ind w:left="99" w:right="70"/>
              <w:rPr>
                <w:sz w:val="18"/>
              </w:rPr>
            </w:pPr>
            <w:r>
              <w:rPr>
                <w:color w:val="105C84"/>
                <w:sz w:val="18"/>
              </w:rPr>
              <w:t>FLH will attend Systems of Care</w:t>
            </w:r>
            <w:r>
              <w:rPr>
                <w:color w:val="105C84"/>
                <w:spacing w:val="-13"/>
                <w:sz w:val="18"/>
              </w:rPr>
              <w:t> </w:t>
            </w:r>
            <w:r>
              <w:rPr>
                <w:color w:val="105C84"/>
                <w:sz w:val="18"/>
              </w:rPr>
              <w:t>Planning</w:t>
            </w:r>
            <w:r>
              <w:rPr>
                <w:color w:val="105C84"/>
                <w:spacing w:val="-12"/>
                <w:sz w:val="18"/>
              </w:rPr>
              <w:t> </w:t>
            </w:r>
            <w:r>
              <w:rPr>
                <w:color w:val="105C84"/>
                <w:sz w:val="18"/>
              </w:rPr>
              <w:t>meetings</w:t>
            </w:r>
            <w:r>
              <w:rPr>
                <w:color w:val="105C84"/>
                <w:spacing w:val="-13"/>
                <w:sz w:val="18"/>
              </w:rPr>
              <w:t> </w:t>
            </w:r>
            <w:r>
              <w:rPr>
                <w:color w:val="105C84"/>
                <w:sz w:val="18"/>
              </w:rPr>
              <w:t>and assist in efforts</w:t>
            </w:r>
          </w:p>
          <w:p>
            <w:pPr>
              <w:pStyle w:val="TableParagraph"/>
              <w:spacing w:line="232" w:lineRule="auto" w:before="88"/>
              <w:ind w:left="99" w:right="125"/>
              <w:rPr>
                <w:sz w:val="18"/>
              </w:rPr>
            </w:pPr>
            <w:r>
              <w:rPr>
                <w:color w:val="105C84"/>
                <w:sz w:val="18"/>
              </w:rPr>
              <w:t>FLH will promote all trainings</w:t>
            </w:r>
            <w:r>
              <w:rPr>
                <w:color w:val="105C84"/>
                <w:spacing w:val="-4"/>
                <w:sz w:val="18"/>
              </w:rPr>
              <w:t> </w:t>
            </w:r>
            <w:r>
              <w:rPr>
                <w:color w:val="105C84"/>
                <w:sz w:val="18"/>
              </w:rPr>
              <w:t>&amp;</w:t>
            </w:r>
            <w:r>
              <w:rPr>
                <w:color w:val="105C84"/>
                <w:spacing w:val="-4"/>
                <w:sz w:val="18"/>
              </w:rPr>
              <w:t> </w:t>
            </w:r>
            <w:r>
              <w:rPr>
                <w:color w:val="105C84"/>
                <w:sz w:val="18"/>
              </w:rPr>
              <w:t>events</w:t>
            </w:r>
            <w:r>
              <w:rPr>
                <w:color w:val="105C84"/>
                <w:spacing w:val="-4"/>
                <w:sz w:val="18"/>
              </w:rPr>
              <w:t> </w:t>
            </w:r>
            <w:r>
              <w:rPr>
                <w:color w:val="105C84"/>
                <w:sz w:val="18"/>
              </w:rPr>
              <w:t>open</w:t>
            </w:r>
            <w:r>
              <w:rPr>
                <w:color w:val="105C84"/>
                <w:spacing w:val="-4"/>
                <w:sz w:val="18"/>
              </w:rPr>
              <w:t> </w:t>
            </w:r>
            <w:r>
              <w:rPr>
                <w:color w:val="105C84"/>
                <w:sz w:val="18"/>
              </w:rPr>
              <w:t>to the public</w:t>
            </w:r>
          </w:p>
        </w:tc>
        <w:tc>
          <w:tcPr>
            <w:tcW w:w="1496" w:type="dxa"/>
          </w:tcPr>
          <w:p>
            <w:pPr>
              <w:pStyle w:val="TableParagraph"/>
              <w:spacing w:before="94"/>
              <w:ind w:left="101"/>
              <w:rPr>
                <w:sz w:val="18"/>
              </w:rPr>
            </w:pPr>
            <w:r>
              <w:rPr>
                <w:color w:val="105C84"/>
                <w:spacing w:val="-2"/>
                <w:sz w:val="18"/>
              </w:rPr>
              <w:t>Hospital</w:t>
            </w:r>
          </w:p>
        </w:tc>
        <w:tc>
          <w:tcPr>
            <w:tcW w:w="1721" w:type="dxa"/>
          </w:tcPr>
          <w:p>
            <w:pPr>
              <w:pStyle w:val="TableParagraph"/>
              <w:spacing w:line="232" w:lineRule="auto" w:before="99"/>
              <w:ind w:left="103" w:right="597"/>
              <w:rPr>
                <w:sz w:val="18"/>
              </w:rPr>
            </w:pPr>
            <w:r>
              <w:rPr>
                <w:color w:val="105C84"/>
                <w:spacing w:val="-4"/>
                <w:sz w:val="18"/>
              </w:rPr>
              <w:t>Finger</w:t>
            </w:r>
            <w:r>
              <w:rPr>
                <w:color w:val="105C84"/>
                <w:spacing w:val="-9"/>
                <w:sz w:val="18"/>
              </w:rPr>
              <w:t> </w:t>
            </w:r>
            <w:r>
              <w:rPr>
                <w:color w:val="105C84"/>
                <w:spacing w:val="-4"/>
                <w:sz w:val="18"/>
              </w:rPr>
              <w:t>Lakes </w:t>
            </w:r>
            <w:r>
              <w:rPr>
                <w:color w:val="105C84"/>
                <w:sz w:val="18"/>
              </w:rPr>
              <w:t>Health </w:t>
            </w:r>
            <w:r>
              <w:rPr>
                <w:color w:val="105C84"/>
                <w:spacing w:val="-8"/>
                <w:sz w:val="18"/>
              </w:rPr>
              <w:t>(FLH)</w:t>
            </w:r>
          </w:p>
          <w:p>
            <w:pPr>
              <w:pStyle w:val="TableParagraph"/>
              <w:spacing w:line="232" w:lineRule="auto" w:before="88"/>
              <w:ind w:left="103" w:right="57"/>
              <w:rPr>
                <w:sz w:val="18"/>
              </w:rPr>
            </w:pPr>
            <w:r>
              <w:rPr>
                <w:color w:val="105C84"/>
                <w:w w:val="105"/>
                <w:sz w:val="18"/>
              </w:rPr>
              <w:t>Vice President of Nursing &amp; other </w:t>
            </w:r>
            <w:r>
              <w:rPr>
                <w:color w:val="105C84"/>
                <w:sz w:val="18"/>
              </w:rPr>
              <w:t>staff</w:t>
            </w:r>
            <w:r>
              <w:rPr>
                <w:color w:val="105C84"/>
                <w:spacing w:val="-15"/>
                <w:sz w:val="18"/>
              </w:rPr>
              <w:t> </w:t>
            </w:r>
            <w:r>
              <w:rPr>
                <w:color w:val="105C84"/>
                <w:sz w:val="18"/>
              </w:rPr>
              <w:t>as</w:t>
            </w:r>
            <w:r>
              <w:rPr>
                <w:color w:val="105C84"/>
                <w:spacing w:val="-12"/>
                <w:sz w:val="18"/>
              </w:rPr>
              <w:t> </w:t>
            </w:r>
            <w:r>
              <w:rPr>
                <w:color w:val="105C84"/>
                <w:sz w:val="18"/>
              </w:rPr>
              <w:t>appropriate </w:t>
            </w:r>
            <w:r>
              <w:rPr>
                <w:color w:val="105C84"/>
                <w:spacing w:val="-2"/>
                <w:w w:val="105"/>
                <w:sz w:val="18"/>
              </w:rPr>
              <w:t>will</w:t>
            </w:r>
            <w:r>
              <w:rPr>
                <w:color w:val="105C84"/>
                <w:spacing w:val="-12"/>
                <w:w w:val="105"/>
                <w:sz w:val="18"/>
              </w:rPr>
              <w:t> </w:t>
            </w:r>
            <w:r>
              <w:rPr>
                <w:color w:val="105C84"/>
                <w:spacing w:val="-2"/>
                <w:w w:val="105"/>
                <w:sz w:val="18"/>
              </w:rPr>
              <w:t>attend</w:t>
            </w:r>
            <w:r>
              <w:rPr>
                <w:color w:val="105C84"/>
                <w:spacing w:val="-11"/>
                <w:w w:val="105"/>
                <w:sz w:val="18"/>
              </w:rPr>
              <w:t> </w:t>
            </w:r>
            <w:r>
              <w:rPr>
                <w:color w:val="105C84"/>
                <w:spacing w:val="-2"/>
                <w:w w:val="105"/>
                <w:sz w:val="18"/>
              </w:rPr>
              <w:t>meeting </w:t>
            </w:r>
            <w:r>
              <w:rPr>
                <w:color w:val="105C84"/>
                <w:w w:val="105"/>
                <w:sz w:val="18"/>
              </w:rPr>
              <w:t>and work as </w:t>
            </w:r>
            <w:r>
              <w:rPr>
                <w:color w:val="105C84"/>
                <w:spacing w:val="-2"/>
                <w:w w:val="105"/>
                <w:sz w:val="18"/>
              </w:rPr>
              <w:t>partner</w:t>
            </w:r>
          </w:p>
          <w:p>
            <w:pPr>
              <w:pStyle w:val="TableParagraph"/>
              <w:spacing w:line="232" w:lineRule="auto" w:before="86"/>
              <w:ind w:left="103" w:right="140"/>
              <w:rPr>
                <w:sz w:val="18"/>
              </w:rPr>
            </w:pPr>
            <w:r>
              <w:rPr>
                <w:color w:val="105C84"/>
                <w:sz w:val="18"/>
              </w:rPr>
              <w:t>0.04</w:t>
            </w:r>
            <w:r>
              <w:rPr>
                <w:color w:val="105C84"/>
                <w:spacing w:val="-13"/>
                <w:sz w:val="18"/>
              </w:rPr>
              <w:t> </w:t>
            </w:r>
            <w:r>
              <w:rPr>
                <w:color w:val="105C84"/>
                <w:sz w:val="18"/>
              </w:rPr>
              <w:t>Administrator</w:t>
            </w:r>
            <w:r>
              <w:rPr>
                <w:color w:val="105C84"/>
                <w:sz w:val="18"/>
              </w:rPr>
              <w:t> </w:t>
            </w:r>
            <w:r>
              <w:rPr>
                <w:color w:val="105C84"/>
                <w:spacing w:val="-4"/>
                <w:sz w:val="18"/>
              </w:rPr>
              <w:t>FTE</w:t>
            </w:r>
          </w:p>
        </w:tc>
      </w:tr>
    </w:tbl>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152"/>
        <w:rPr>
          <w:b/>
          <w:sz w:val="26"/>
        </w:rPr>
      </w:pPr>
    </w:p>
    <w:p>
      <w:pPr>
        <w:tabs>
          <w:tab w:pos="23047" w:val="left" w:leader="none"/>
        </w:tabs>
        <w:spacing w:before="0"/>
        <w:ind w:left="0" w:right="0" w:firstLine="0"/>
        <w:jc w:val="left"/>
        <w:rPr>
          <w:b/>
          <w:sz w:val="26"/>
        </w:rPr>
      </w:pPr>
      <w:r>
        <w:rPr>
          <w:position w:val="-4"/>
        </w:rPr>
        <w:drawing>
          <wp:inline distT="0" distB="0" distL="0" distR="0">
            <wp:extent cx="568172" cy="184683"/>
            <wp:effectExtent l="0" t="0" r="0" b="0"/>
            <wp:docPr id="2130" name="Image 2130"/>
            <wp:cNvGraphicFramePr>
              <a:graphicFrameLocks/>
            </wp:cNvGraphicFramePr>
            <a:graphic>
              <a:graphicData uri="http://schemas.openxmlformats.org/drawingml/2006/picture">
                <pic:pic>
                  <pic:nvPicPr>
                    <pic:cNvPr id="2130" name="Image 2130"/>
                    <pic:cNvPicPr/>
                  </pic:nvPicPr>
                  <pic:blipFill>
                    <a:blip r:embed="rId39" cstate="print"/>
                    <a:stretch>
                      <a:fillRect/>
                    </a:stretch>
                  </pic:blipFill>
                  <pic:spPr>
                    <a:xfrm>
                      <a:off x="0" y="0"/>
                      <a:ext cx="568172" cy="184683"/>
                    </a:xfrm>
                    <a:prstGeom prst="rect">
                      <a:avLst/>
                    </a:prstGeom>
                  </pic:spPr>
                </pic:pic>
              </a:graphicData>
            </a:graphic>
          </wp:inline>
        </w:drawing>
      </w:r>
      <w:r>
        <w:rPr>
          <w:position w:val="-4"/>
        </w:rPr>
      </w:r>
      <w:r>
        <w:rPr>
          <w:rFonts w:ascii="Times New Roman"/>
          <w:spacing w:val="-13"/>
          <w:sz w:val="20"/>
        </w:rPr>
        <w:t> </w:t>
      </w:r>
      <w:r>
        <w:rPr>
          <w:b/>
          <w:color w:val="939598"/>
          <w:w w:val="105"/>
          <w:sz w:val="26"/>
        </w:rPr>
        <w:t>257</w:t>
      </w:r>
      <w:r>
        <w:rPr>
          <w:b/>
          <w:color w:val="939598"/>
          <w:sz w:val="26"/>
        </w:rPr>
        <w:tab/>
      </w:r>
      <w:r>
        <w:rPr>
          <w:b/>
          <w:color w:val="939598"/>
          <w:spacing w:val="-5"/>
          <w:w w:val="105"/>
          <w:sz w:val="26"/>
        </w:rPr>
        <w:t>258</w:t>
      </w:r>
    </w:p>
    <w:p>
      <w:pPr>
        <w:spacing w:after="0"/>
        <w:jc w:val="left"/>
        <w:rPr>
          <w:b/>
          <w:sz w:val="26"/>
        </w:rPr>
        <w:sectPr>
          <w:pgSz w:w="24480" w:h="15840" w:orient="landscape"/>
          <w:pgMar w:header="0" w:footer="0" w:top="860" w:bottom="0" w:left="0" w:right="720"/>
        </w:sectPr>
      </w:pPr>
    </w:p>
    <w:p>
      <w:pPr>
        <w:spacing w:line="240" w:lineRule="auto"/>
        <w:ind w:left="4262" w:right="0" w:firstLine="0"/>
        <w:jc w:val="left"/>
        <w:rPr>
          <w:sz w:val="20"/>
        </w:rPr>
      </w:pPr>
      <w:r>
        <w:rPr>
          <w:sz w:val="20"/>
        </w:rPr>
        <mc:AlternateContent>
          <mc:Choice Requires="wps">
            <w:drawing>
              <wp:anchor distT="0" distB="0" distL="0" distR="0" allowOverlap="1" layoutInCell="1" locked="0" behindDoc="1" simplePos="0" relativeHeight="475298816">
                <wp:simplePos x="0" y="0"/>
                <wp:positionH relativeFrom="page">
                  <wp:posOffset>0</wp:posOffset>
                </wp:positionH>
                <wp:positionV relativeFrom="page">
                  <wp:posOffset>3200399</wp:posOffset>
                </wp:positionV>
                <wp:extent cx="7772400" cy="4572000"/>
                <wp:effectExtent l="0" t="0" r="0" b="0"/>
                <wp:wrapNone/>
                <wp:docPr id="2131" name="Group 2131"/>
                <wp:cNvGraphicFramePr>
                  <a:graphicFrameLocks/>
                </wp:cNvGraphicFramePr>
                <a:graphic>
                  <a:graphicData uri="http://schemas.microsoft.com/office/word/2010/wordprocessingGroup">
                    <wpg:wgp>
                      <wpg:cNvPr id="2131" name="Group 2131"/>
                      <wpg:cNvGrpSpPr/>
                      <wpg:grpSpPr>
                        <a:xfrm>
                          <a:off x="0" y="0"/>
                          <a:ext cx="7772400" cy="4572000"/>
                          <a:chExt cx="7772400" cy="4572000"/>
                        </a:xfrm>
                      </wpg:grpSpPr>
                      <wps:wsp>
                        <wps:cNvPr id="2132" name="Graphic 2132"/>
                        <wps:cNvSpPr/>
                        <wps:spPr>
                          <a:xfrm>
                            <a:off x="0" y="0"/>
                            <a:ext cx="7772400" cy="4572000"/>
                          </a:xfrm>
                          <a:custGeom>
                            <a:avLst/>
                            <a:gdLst/>
                            <a:ahLst/>
                            <a:cxnLst/>
                            <a:rect l="l" t="t" r="r" b="b"/>
                            <a:pathLst>
                              <a:path w="7772400" h="4572000">
                                <a:moveTo>
                                  <a:pt x="7772400" y="0"/>
                                </a:moveTo>
                                <a:lnTo>
                                  <a:pt x="0" y="0"/>
                                </a:lnTo>
                                <a:lnTo>
                                  <a:pt x="0" y="4572000"/>
                                </a:lnTo>
                                <a:lnTo>
                                  <a:pt x="7772400" y="4572000"/>
                                </a:lnTo>
                                <a:lnTo>
                                  <a:pt x="7772400" y="0"/>
                                </a:lnTo>
                                <a:close/>
                              </a:path>
                            </a:pathLst>
                          </a:custGeom>
                          <a:solidFill>
                            <a:srgbClr val="105C84"/>
                          </a:solidFill>
                        </wps:spPr>
                        <wps:bodyPr wrap="square" lIns="0" tIns="0" rIns="0" bIns="0" rtlCol="0">
                          <a:prstTxWarp prst="textNoShape">
                            <a:avLst/>
                          </a:prstTxWarp>
                          <a:noAutofit/>
                        </wps:bodyPr>
                      </wps:wsp>
                      <pic:pic>
                        <pic:nvPicPr>
                          <pic:cNvPr id="2133" name="Image 2133"/>
                          <pic:cNvPicPr/>
                        </pic:nvPicPr>
                        <pic:blipFill>
                          <a:blip r:embed="rId272" cstate="print"/>
                          <a:stretch>
                            <a:fillRect/>
                          </a:stretch>
                        </pic:blipFill>
                        <pic:spPr>
                          <a:xfrm>
                            <a:off x="0" y="0"/>
                            <a:ext cx="7494448" cy="1538211"/>
                          </a:xfrm>
                          <a:prstGeom prst="rect">
                            <a:avLst/>
                          </a:prstGeom>
                        </pic:spPr>
                      </pic:pic>
                      <wps:wsp>
                        <wps:cNvPr id="2134" name="Graphic 2134"/>
                        <wps:cNvSpPr/>
                        <wps:spPr>
                          <a:xfrm>
                            <a:off x="4761750" y="1156462"/>
                            <a:ext cx="2651760" cy="2112645"/>
                          </a:xfrm>
                          <a:custGeom>
                            <a:avLst/>
                            <a:gdLst/>
                            <a:ahLst/>
                            <a:cxnLst/>
                            <a:rect l="l" t="t" r="r" b="b"/>
                            <a:pathLst>
                              <a:path w="2651760" h="2112645">
                                <a:moveTo>
                                  <a:pt x="2651760" y="0"/>
                                </a:moveTo>
                                <a:lnTo>
                                  <a:pt x="0" y="0"/>
                                </a:lnTo>
                                <a:lnTo>
                                  <a:pt x="0" y="2112264"/>
                                </a:lnTo>
                                <a:lnTo>
                                  <a:pt x="2651760" y="2112264"/>
                                </a:lnTo>
                                <a:lnTo>
                                  <a:pt x="2651760" y="0"/>
                                </a:lnTo>
                                <a:close/>
                              </a:path>
                            </a:pathLst>
                          </a:custGeom>
                          <a:solidFill>
                            <a:srgbClr val="105C84">
                              <a:alpha val="71998"/>
                            </a:srgbClr>
                          </a:solidFill>
                        </wps:spPr>
                        <wps:bodyPr wrap="square" lIns="0" tIns="0" rIns="0" bIns="0" rtlCol="0">
                          <a:prstTxWarp prst="textNoShape">
                            <a:avLst/>
                          </a:prstTxWarp>
                          <a:noAutofit/>
                        </wps:bodyPr>
                      </wps:wsp>
                      <pic:pic>
                        <pic:nvPicPr>
                          <pic:cNvPr id="2135" name="Image 2135"/>
                          <pic:cNvPicPr/>
                        </pic:nvPicPr>
                        <pic:blipFill>
                          <a:blip r:embed="rId273" cstate="print"/>
                          <a:stretch>
                            <a:fillRect/>
                          </a:stretch>
                        </pic:blipFill>
                        <pic:spPr>
                          <a:xfrm>
                            <a:off x="4851398" y="1236975"/>
                            <a:ext cx="2445064" cy="1901692"/>
                          </a:xfrm>
                          <a:prstGeom prst="rect">
                            <a:avLst/>
                          </a:prstGeom>
                        </pic:spPr>
                      </pic:pic>
                    </wpg:wgp>
                  </a:graphicData>
                </a:graphic>
              </wp:anchor>
            </w:drawing>
          </mc:Choice>
          <mc:Fallback>
            <w:pict>
              <v:group style="position:absolute;margin-left:-.000001pt;margin-top:251.999985pt;width:612pt;height:360pt;mso-position-horizontal-relative:page;mso-position-vertical-relative:page;z-index:-28017664" id="docshapegroup1415" coordorigin="0,5040" coordsize="12240,7200">
                <v:rect style="position:absolute;left:0;top:5040;width:12240;height:7200" id="docshape1416" filled="true" fillcolor="#105c84" stroked="false">
                  <v:fill type="solid"/>
                </v:rect>
                <v:shape style="position:absolute;left:0;top:5040;width:11803;height:2423" type="#_x0000_t75" id="docshape1417" stroked="false">
                  <v:imagedata r:id="rId272" o:title=""/>
                </v:shape>
                <v:rect style="position:absolute;left:7498;top:6861;width:4176;height:3327" id="docshape1418" filled="true" fillcolor="#105c84" stroked="false">
                  <v:fill opacity="47185f" type="solid"/>
                </v:rect>
                <v:shape style="position:absolute;left:7640;top:6988;width:3851;height:2995" type="#_x0000_t75" id="docshape1419" stroked="false">
                  <v:imagedata r:id="rId273" o:title=""/>
                </v:shape>
                <w10:wrap type="none"/>
              </v:group>
            </w:pict>
          </mc:Fallback>
        </mc:AlternateContent>
      </w:r>
      <w:r>
        <w:rPr>
          <w:sz w:val="20"/>
        </w:rPr>
        <mc:AlternateContent>
          <mc:Choice Requires="wps">
            <w:drawing>
              <wp:anchor distT="0" distB="0" distL="0" distR="0" allowOverlap="1" layoutInCell="1" locked="0" behindDoc="0" simplePos="0" relativeHeight="16072704">
                <wp:simplePos x="0" y="0"/>
                <wp:positionH relativeFrom="page">
                  <wp:posOffset>5922149</wp:posOffset>
                </wp:positionH>
                <wp:positionV relativeFrom="page">
                  <wp:posOffset>861554</wp:posOffset>
                </wp:positionV>
                <wp:extent cx="1443355" cy="600710"/>
                <wp:effectExtent l="0" t="0" r="0" b="0"/>
                <wp:wrapNone/>
                <wp:docPr id="2136" name="Group 2136"/>
                <wp:cNvGraphicFramePr>
                  <a:graphicFrameLocks/>
                </wp:cNvGraphicFramePr>
                <a:graphic>
                  <a:graphicData uri="http://schemas.microsoft.com/office/word/2010/wordprocessingGroup">
                    <wpg:wgp>
                      <wpg:cNvPr id="2136" name="Group 2136"/>
                      <wpg:cNvGrpSpPr/>
                      <wpg:grpSpPr>
                        <a:xfrm>
                          <a:off x="0" y="0"/>
                          <a:ext cx="1443355" cy="600710"/>
                          <a:chExt cx="1443355" cy="600710"/>
                        </a:xfrm>
                      </wpg:grpSpPr>
                      <pic:pic>
                        <pic:nvPicPr>
                          <pic:cNvPr id="2137" name="Image 2137"/>
                          <pic:cNvPicPr/>
                        </pic:nvPicPr>
                        <pic:blipFill>
                          <a:blip r:embed="rId274" cstate="print"/>
                          <a:stretch>
                            <a:fillRect/>
                          </a:stretch>
                        </pic:blipFill>
                        <pic:spPr>
                          <a:xfrm>
                            <a:off x="0" y="0"/>
                            <a:ext cx="1442795" cy="600430"/>
                          </a:xfrm>
                          <a:prstGeom prst="rect">
                            <a:avLst/>
                          </a:prstGeom>
                        </pic:spPr>
                      </pic:pic>
                      <pic:pic>
                        <pic:nvPicPr>
                          <pic:cNvPr id="2138" name="Image 2138"/>
                          <pic:cNvPicPr/>
                        </pic:nvPicPr>
                        <pic:blipFill>
                          <a:blip r:embed="rId10" cstate="print"/>
                          <a:stretch>
                            <a:fillRect/>
                          </a:stretch>
                        </pic:blipFill>
                        <pic:spPr>
                          <a:xfrm>
                            <a:off x="505155" y="1"/>
                            <a:ext cx="210845" cy="88239"/>
                          </a:xfrm>
                          <a:prstGeom prst="rect">
                            <a:avLst/>
                          </a:prstGeom>
                        </pic:spPr>
                      </pic:pic>
                      <pic:pic>
                        <pic:nvPicPr>
                          <pic:cNvPr id="2139" name="Image 2139"/>
                          <pic:cNvPicPr/>
                        </pic:nvPicPr>
                        <pic:blipFill>
                          <a:blip r:embed="rId275" cstate="print"/>
                          <a:stretch>
                            <a:fillRect/>
                          </a:stretch>
                        </pic:blipFill>
                        <pic:spPr>
                          <a:xfrm>
                            <a:off x="715861" y="512153"/>
                            <a:ext cx="216382" cy="87744"/>
                          </a:xfrm>
                          <a:prstGeom prst="rect">
                            <a:avLst/>
                          </a:prstGeom>
                        </pic:spPr>
                      </pic:pic>
                      <pic:pic>
                        <pic:nvPicPr>
                          <pic:cNvPr id="2140" name="Image 2140"/>
                          <pic:cNvPicPr/>
                        </pic:nvPicPr>
                        <pic:blipFill>
                          <a:blip r:embed="rId276" cstate="print"/>
                          <a:stretch>
                            <a:fillRect/>
                          </a:stretch>
                        </pic:blipFill>
                        <pic:spPr>
                          <a:xfrm>
                            <a:off x="932141" y="0"/>
                            <a:ext cx="210870" cy="88239"/>
                          </a:xfrm>
                          <a:prstGeom prst="rect">
                            <a:avLst/>
                          </a:prstGeom>
                        </pic:spPr>
                      </pic:pic>
                      <pic:pic>
                        <pic:nvPicPr>
                          <pic:cNvPr id="2141" name="Image 2141"/>
                          <pic:cNvPicPr/>
                        </pic:nvPicPr>
                        <pic:blipFill>
                          <a:blip r:embed="rId277" cstate="print"/>
                          <a:stretch>
                            <a:fillRect/>
                          </a:stretch>
                        </pic:blipFill>
                        <pic:spPr>
                          <a:xfrm>
                            <a:off x="297890" y="512165"/>
                            <a:ext cx="207264" cy="87732"/>
                          </a:xfrm>
                          <a:prstGeom prst="rect">
                            <a:avLst/>
                          </a:prstGeom>
                        </pic:spPr>
                      </pic:pic>
                    </wpg:wgp>
                  </a:graphicData>
                </a:graphic>
              </wp:anchor>
            </w:drawing>
          </mc:Choice>
          <mc:Fallback>
            <w:pict>
              <v:group style="position:absolute;margin-left:466.311005pt;margin-top:67.838951pt;width:113.65pt;height:47.3pt;mso-position-horizontal-relative:page;mso-position-vertical-relative:page;z-index:16072704" id="docshapegroup1420" coordorigin="9326,1357" coordsize="2273,946">
                <v:shape style="position:absolute;left:9326;top:1356;width:2273;height:946" type="#_x0000_t75" id="docshape1421" stroked="false">
                  <v:imagedata r:id="rId274" o:title=""/>
                </v:shape>
                <v:shape style="position:absolute;left:10121;top:1356;width:333;height:139" type="#_x0000_t75" id="docshape1422" stroked="false">
                  <v:imagedata r:id="rId10" o:title=""/>
                </v:shape>
                <v:shape style="position:absolute;left:10453;top:2163;width:341;height:139" type="#_x0000_t75" id="docshape1423" stroked="false">
                  <v:imagedata r:id="rId275" o:title=""/>
                </v:shape>
                <v:shape style="position:absolute;left:10794;top:1356;width:333;height:139" type="#_x0000_t75" id="docshape1424" stroked="false">
                  <v:imagedata r:id="rId276" o:title=""/>
                </v:shape>
                <v:shape style="position:absolute;left:9795;top:2163;width:327;height:139" type="#_x0000_t75" id="docshape1425" stroked="false">
                  <v:imagedata r:id="rId277" o:title=""/>
                </v:shape>
                <w10:wrap type="none"/>
              </v:group>
            </w:pict>
          </mc:Fallback>
        </mc:AlternateContent>
      </w:r>
      <w:r>
        <w:rPr>
          <w:sz w:val="20"/>
        </w:rPr>
        <mc:AlternateContent>
          <mc:Choice Requires="wps">
            <w:drawing>
              <wp:inline distT="0" distB="0" distL="0" distR="0">
                <wp:extent cx="1389380" cy="264795"/>
                <wp:effectExtent l="0" t="0" r="0" b="1904"/>
                <wp:docPr id="2142" name="Group 2142"/>
                <wp:cNvGraphicFramePr>
                  <a:graphicFrameLocks/>
                </wp:cNvGraphicFramePr>
                <a:graphic>
                  <a:graphicData uri="http://schemas.microsoft.com/office/word/2010/wordprocessingGroup">
                    <wpg:wgp>
                      <wpg:cNvPr id="2142" name="Group 2142"/>
                      <wpg:cNvGrpSpPr/>
                      <wpg:grpSpPr>
                        <a:xfrm>
                          <a:off x="0" y="0"/>
                          <a:ext cx="1389380" cy="264795"/>
                          <a:chExt cx="1389380" cy="264795"/>
                        </a:xfrm>
                      </wpg:grpSpPr>
                      <wps:wsp>
                        <wps:cNvPr id="2143" name="Graphic 2143"/>
                        <wps:cNvSpPr/>
                        <wps:spPr>
                          <a:xfrm>
                            <a:off x="0" y="0"/>
                            <a:ext cx="226695" cy="264795"/>
                          </a:xfrm>
                          <a:custGeom>
                            <a:avLst/>
                            <a:gdLst/>
                            <a:ahLst/>
                            <a:cxnLst/>
                            <a:rect l="l" t="t" r="r" b="b"/>
                            <a:pathLst>
                              <a:path w="226695" h="264795">
                                <a:moveTo>
                                  <a:pt x="142709" y="0"/>
                                </a:moveTo>
                                <a:lnTo>
                                  <a:pt x="135623" y="0"/>
                                </a:lnTo>
                                <a:lnTo>
                                  <a:pt x="121172" y="578"/>
                                </a:lnTo>
                                <a:lnTo>
                                  <a:pt x="81305" y="9232"/>
                                </a:lnTo>
                                <a:lnTo>
                                  <a:pt x="47817" y="27581"/>
                                </a:lnTo>
                                <a:lnTo>
                                  <a:pt x="15667" y="65615"/>
                                </a:lnTo>
                                <a:lnTo>
                                  <a:pt x="2525" y="103336"/>
                                </a:lnTo>
                                <a:lnTo>
                                  <a:pt x="0" y="132092"/>
                                </a:lnTo>
                                <a:lnTo>
                                  <a:pt x="631" y="146823"/>
                                </a:lnTo>
                                <a:lnTo>
                                  <a:pt x="10109" y="186778"/>
                                </a:lnTo>
                                <a:lnTo>
                                  <a:pt x="29783" y="219422"/>
                                </a:lnTo>
                                <a:lnTo>
                                  <a:pt x="69293" y="249829"/>
                                </a:lnTo>
                                <a:lnTo>
                                  <a:pt x="107297" y="261869"/>
                                </a:lnTo>
                                <a:lnTo>
                                  <a:pt x="135623" y="264185"/>
                                </a:lnTo>
                                <a:lnTo>
                                  <a:pt x="148496" y="263517"/>
                                </a:lnTo>
                                <a:lnTo>
                                  <a:pt x="186054" y="253530"/>
                                </a:lnTo>
                                <a:lnTo>
                                  <a:pt x="218000" y="230955"/>
                                </a:lnTo>
                                <a:lnTo>
                                  <a:pt x="226517" y="220497"/>
                                </a:lnTo>
                                <a:lnTo>
                                  <a:pt x="180352" y="186067"/>
                                </a:lnTo>
                                <a:lnTo>
                                  <a:pt x="175805" y="192091"/>
                                </a:lnTo>
                                <a:lnTo>
                                  <a:pt x="170681" y="197415"/>
                                </a:lnTo>
                                <a:lnTo>
                                  <a:pt x="128536" y="213042"/>
                                </a:lnTo>
                                <a:lnTo>
                                  <a:pt x="121194" y="212664"/>
                                </a:lnTo>
                                <a:lnTo>
                                  <a:pt x="83099" y="195265"/>
                                </a:lnTo>
                                <a:lnTo>
                                  <a:pt x="60597" y="157015"/>
                                </a:lnTo>
                                <a:lnTo>
                                  <a:pt x="57505" y="132092"/>
                                </a:lnTo>
                                <a:lnTo>
                                  <a:pt x="57848" y="123545"/>
                                </a:lnTo>
                                <a:lnTo>
                                  <a:pt x="69586" y="85888"/>
                                </a:lnTo>
                                <a:lnTo>
                                  <a:pt x="101345" y="57162"/>
                                </a:lnTo>
                                <a:lnTo>
                                  <a:pt x="130301" y="51130"/>
                                </a:lnTo>
                                <a:lnTo>
                                  <a:pt x="137871" y="51465"/>
                                </a:lnTo>
                                <a:lnTo>
                                  <a:pt x="177863" y="71729"/>
                                </a:lnTo>
                                <a:lnTo>
                                  <a:pt x="220497" y="36918"/>
                                </a:lnTo>
                                <a:lnTo>
                                  <a:pt x="187972" y="11023"/>
                                </a:lnTo>
                                <a:lnTo>
                                  <a:pt x="150126" y="647"/>
                                </a:lnTo>
                                <a:lnTo>
                                  <a:pt x="142709" y="0"/>
                                </a:lnTo>
                                <a:close/>
                              </a:path>
                            </a:pathLst>
                          </a:custGeom>
                          <a:solidFill>
                            <a:srgbClr val="636466"/>
                          </a:solidFill>
                        </wps:spPr>
                        <wps:bodyPr wrap="square" lIns="0" tIns="0" rIns="0" bIns="0" rtlCol="0">
                          <a:prstTxWarp prst="textNoShape">
                            <a:avLst/>
                          </a:prstTxWarp>
                          <a:noAutofit/>
                        </wps:bodyPr>
                      </wps:wsp>
                      <pic:pic>
                        <pic:nvPicPr>
                          <pic:cNvPr id="2144" name="Image 2144"/>
                          <pic:cNvPicPr/>
                        </pic:nvPicPr>
                        <pic:blipFill>
                          <a:blip r:embed="rId278" cstate="print"/>
                          <a:stretch>
                            <a:fillRect/>
                          </a:stretch>
                        </pic:blipFill>
                        <pic:spPr>
                          <a:xfrm>
                            <a:off x="233626" y="80947"/>
                            <a:ext cx="191731" cy="181101"/>
                          </a:xfrm>
                          <a:prstGeom prst="rect">
                            <a:avLst/>
                          </a:prstGeom>
                        </pic:spPr>
                      </pic:pic>
                      <wps:wsp>
                        <wps:cNvPr id="2145" name="Graphic 2145"/>
                        <wps:cNvSpPr/>
                        <wps:spPr>
                          <a:xfrm>
                            <a:off x="439548" y="80959"/>
                            <a:ext cx="563245" cy="177165"/>
                          </a:xfrm>
                          <a:custGeom>
                            <a:avLst/>
                            <a:gdLst/>
                            <a:ahLst/>
                            <a:cxnLst/>
                            <a:rect l="l" t="t" r="r" b="b"/>
                            <a:pathLst>
                              <a:path w="563245" h="177165">
                                <a:moveTo>
                                  <a:pt x="271259" y="74942"/>
                                </a:moveTo>
                                <a:lnTo>
                                  <a:pt x="264248" y="32854"/>
                                </a:lnTo>
                                <a:lnTo>
                                  <a:pt x="233184" y="3289"/>
                                </a:lnTo>
                                <a:lnTo>
                                  <a:pt x="210197" y="0"/>
                                </a:lnTo>
                                <a:lnTo>
                                  <a:pt x="200977" y="444"/>
                                </a:lnTo>
                                <a:lnTo>
                                  <a:pt x="165709" y="16598"/>
                                </a:lnTo>
                                <a:lnTo>
                                  <a:pt x="155511" y="30873"/>
                                </a:lnTo>
                                <a:lnTo>
                                  <a:pt x="151523" y="23418"/>
                                </a:lnTo>
                                <a:lnTo>
                                  <a:pt x="119329" y="1866"/>
                                </a:lnTo>
                                <a:lnTo>
                                  <a:pt x="102247" y="0"/>
                                </a:lnTo>
                                <a:lnTo>
                                  <a:pt x="95859" y="0"/>
                                </a:lnTo>
                                <a:lnTo>
                                  <a:pt x="55841" y="21082"/>
                                </a:lnTo>
                                <a:lnTo>
                                  <a:pt x="51841" y="27698"/>
                                </a:lnTo>
                                <a:lnTo>
                                  <a:pt x="51130" y="27698"/>
                                </a:lnTo>
                                <a:lnTo>
                                  <a:pt x="51130" y="4254"/>
                                </a:lnTo>
                                <a:lnTo>
                                  <a:pt x="0" y="4254"/>
                                </a:lnTo>
                                <a:lnTo>
                                  <a:pt x="0" y="176809"/>
                                </a:lnTo>
                                <a:lnTo>
                                  <a:pt x="53238" y="176809"/>
                                </a:lnTo>
                                <a:lnTo>
                                  <a:pt x="53238" y="85217"/>
                                </a:lnTo>
                                <a:lnTo>
                                  <a:pt x="53606" y="79768"/>
                                </a:lnTo>
                                <a:lnTo>
                                  <a:pt x="78333" y="46888"/>
                                </a:lnTo>
                                <a:lnTo>
                                  <a:pt x="91363" y="46888"/>
                                </a:lnTo>
                                <a:lnTo>
                                  <a:pt x="109004" y="176809"/>
                                </a:lnTo>
                                <a:lnTo>
                                  <a:pt x="162267" y="176809"/>
                                </a:lnTo>
                                <a:lnTo>
                                  <a:pt x="162267" y="80365"/>
                                </a:lnTo>
                                <a:lnTo>
                                  <a:pt x="162788" y="75387"/>
                                </a:lnTo>
                                <a:lnTo>
                                  <a:pt x="188404" y="46888"/>
                                </a:lnTo>
                                <a:lnTo>
                                  <a:pt x="203327" y="46888"/>
                                </a:lnTo>
                                <a:lnTo>
                                  <a:pt x="209423" y="49771"/>
                                </a:lnTo>
                                <a:lnTo>
                                  <a:pt x="216293" y="61366"/>
                                </a:lnTo>
                                <a:lnTo>
                                  <a:pt x="217995" y="68300"/>
                                </a:lnTo>
                                <a:lnTo>
                                  <a:pt x="217995" y="176809"/>
                                </a:lnTo>
                                <a:lnTo>
                                  <a:pt x="271259" y="176809"/>
                                </a:lnTo>
                                <a:lnTo>
                                  <a:pt x="271259" y="74942"/>
                                </a:lnTo>
                                <a:close/>
                              </a:path>
                              <a:path w="563245" h="177165">
                                <a:moveTo>
                                  <a:pt x="563130" y="74942"/>
                                </a:moveTo>
                                <a:lnTo>
                                  <a:pt x="556107" y="32854"/>
                                </a:lnTo>
                                <a:lnTo>
                                  <a:pt x="525043" y="3289"/>
                                </a:lnTo>
                                <a:lnTo>
                                  <a:pt x="502043" y="0"/>
                                </a:lnTo>
                                <a:lnTo>
                                  <a:pt x="492836" y="444"/>
                                </a:lnTo>
                                <a:lnTo>
                                  <a:pt x="457581" y="16598"/>
                                </a:lnTo>
                                <a:lnTo>
                                  <a:pt x="447395" y="30873"/>
                                </a:lnTo>
                                <a:lnTo>
                                  <a:pt x="443395" y="23418"/>
                                </a:lnTo>
                                <a:lnTo>
                                  <a:pt x="411200" y="1866"/>
                                </a:lnTo>
                                <a:lnTo>
                                  <a:pt x="394093" y="0"/>
                                </a:lnTo>
                                <a:lnTo>
                                  <a:pt x="387731" y="0"/>
                                </a:lnTo>
                                <a:lnTo>
                                  <a:pt x="347713" y="21082"/>
                                </a:lnTo>
                                <a:lnTo>
                                  <a:pt x="343712" y="27698"/>
                                </a:lnTo>
                                <a:lnTo>
                                  <a:pt x="343001" y="27698"/>
                                </a:lnTo>
                                <a:lnTo>
                                  <a:pt x="343001" y="4254"/>
                                </a:lnTo>
                                <a:lnTo>
                                  <a:pt x="291871" y="4254"/>
                                </a:lnTo>
                                <a:lnTo>
                                  <a:pt x="291871" y="176809"/>
                                </a:lnTo>
                                <a:lnTo>
                                  <a:pt x="345109" y="176809"/>
                                </a:lnTo>
                                <a:lnTo>
                                  <a:pt x="345109" y="85217"/>
                                </a:lnTo>
                                <a:lnTo>
                                  <a:pt x="345452" y="79768"/>
                                </a:lnTo>
                                <a:lnTo>
                                  <a:pt x="370205" y="46888"/>
                                </a:lnTo>
                                <a:lnTo>
                                  <a:pt x="383222" y="46888"/>
                                </a:lnTo>
                                <a:lnTo>
                                  <a:pt x="400862" y="176809"/>
                                </a:lnTo>
                                <a:lnTo>
                                  <a:pt x="454113" y="176809"/>
                                </a:lnTo>
                                <a:lnTo>
                                  <a:pt x="454113" y="80365"/>
                                </a:lnTo>
                                <a:lnTo>
                                  <a:pt x="454660" y="75387"/>
                                </a:lnTo>
                                <a:lnTo>
                                  <a:pt x="480275" y="46888"/>
                                </a:lnTo>
                                <a:lnTo>
                                  <a:pt x="495173" y="46888"/>
                                </a:lnTo>
                                <a:lnTo>
                                  <a:pt x="501294" y="49771"/>
                                </a:lnTo>
                                <a:lnTo>
                                  <a:pt x="508139" y="61366"/>
                                </a:lnTo>
                                <a:lnTo>
                                  <a:pt x="509866" y="68300"/>
                                </a:lnTo>
                                <a:lnTo>
                                  <a:pt x="509866" y="176809"/>
                                </a:lnTo>
                                <a:lnTo>
                                  <a:pt x="563130" y="176809"/>
                                </a:lnTo>
                                <a:lnTo>
                                  <a:pt x="563130" y="74942"/>
                                </a:lnTo>
                                <a:close/>
                              </a:path>
                            </a:pathLst>
                          </a:custGeom>
                          <a:solidFill>
                            <a:srgbClr val="636466"/>
                          </a:solidFill>
                        </wps:spPr>
                        <wps:bodyPr wrap="square" lIns="0" tIns="0" rIns="0" bIns="0" rtlCol="0">
                          <a:prstTxWarp prst="textNoShape">
                            <a:avLst/>
                          </a:prstTxWarp>
                          <a:noAutofit/>
                        </wps:bodyPr>
                      </wps:wsp>
                      <pic:pic>
                        <pic:nvPicPr>
                          <pic:cNvPr id="2146" name="Image 2146"/>
                          <pic:cNvPicPr/>
                        </pic:nvPicPr>
                        <pic:blipFill>
                          <a:blip r:embed="rId279" cstate="print"/>
                          <a:stretch>
                            <a:fillRect/>
                          </a:stretch>
                        </pic:blipFill>
                        <pic:spPr>
                          <a:xfrm>
                            <a:off x="1016888" y="80947"/>
                            <a:ext cx="372076" cy="181101"/>
                          </a:xfrm>
                          <a:prstGeom prst="rect">
                            <a:avLst/>
                          </a:prstGeom>
                        </pic:spPr>
                      </pic:pic>
                    </wpg:wgp>
                  </a:graphicData>
                </a:graphic>
              </wp:inline>
            </w:drawing>
          </mc:Choice>
          <mc:Fallback>
            <w:pict>
              <v:group style="width:109.4pt;height:20.85pt;mso-position-horizontal-relative:char;mso-position-vertical-relative:line" id="docshapegroup1426" coordorigin="0,0" coordsize="2188,417">
                <v:shape style="position:absolute;left:0;top:0;width:357;height:417" id="docshape1427" coordorigin="0,0" coordsize="357,417" path="m225,0l214,0,191,1,128,15,75,43,25,103,4,163,0,208,1,231,16,294,47,346,109,393,169,412,214,416,234,415,293,399,343,364,357,347,284,293,277,303,269,311,202,336,191,335,131,308,95,247,91,208,91,195,110,135,160,90,205,81,217,81,280,113,347,58,296,17,236,1,225,0xe" filled="true" fillcolor="#636466" stroked="false">
                  <v:path arrowok="t"/>
                  <v:fill type="solid"/>
                </v:shape>
                <v:shape style="position:absolute;left:367;top:127;width:302;height:286" type="#_x0000_t75" id="docshape1428" stroked="false">
                  <v:imagedata r:id="rId278" o:title=""/>
                </v:shape>
                <v:shape style="position:absolute;left:692;top:127;width:887;height:279" id="docshape1429" coordorigin="692,127" coordsize="887,279" path="m1119,246l1119,233,1118,222,1117,210,1115,199,1112,189,1108,179,1104,170,1099,162,1092,151,1082,143,1069,137,1059,133,1048,130,1036,128,1023,127,1009,128,995,130,983,134,972,139,962,145,953,154,945,164,937,176,931,164,923,154,914,146,904,139,892,134,880,130,867,128,853,127,843,127,834,129,817,134,809,137,796,146,790,150,780,161,776,166,774,171,773,171,773,134,692,134,692,406,776,406,776,262,777,253,779,237,781,229,788,216,793,211,807,203,816,201,836,201,843,204,854,213,857,218,862,231,863,237,864,251,864,406,948,406,948,254,949,246,952,231,955,225,963,214,968,209,981,203,989,201,1012,201,1022,206,1033,224,1036,235,1036,406,1119,406,1119,246xm1579,246l1579,233,1578,222,1576,210,1574,199,1572,189,1568,179,1564,170,1559,162,1551,151,1541,143,1529,137,1519,133,1508,130,1496,128,1483,127,1468,128,1455,130,1443,134,1432,139,1422,145,1413,154,1404,164,1397,176,1390,164,1383,154,1374,146,1363,139,1352,134,1340,130,1327,128,1313,127,1303,127,1293,129,1276,134,1269,137,1255,146,1250,150,1240,161,1236,166,1233,171,1232,171,1232,134,1152,134,1152,406,1236,406,1236,262,1236,253,1238,237,1241,229,1248,216,1253,211,1266,203,1275,201,1296,201,1303,204,1313,213,1317,218,1321,231,1323,237,1323,251,1323,406,1407,406,1407,254,1408,246,1412,231,1414,225,1422,214,1427,209,1440,203,1449,201,1472,201,1482,206,1492,224,1495,235,1495,406,1579,406,1579,246xe" filled="true" fillcolor="#636466" stroked="false">
                  <v:path arrowok="t"/>
                  <v:fill type="solid"/>
                </v:shape>
                <v:shape style="position:absolute;left:1601;top:127;width:586;height:286" type="#_x0000_t75" id="docshape1430" stroked="false">
                  <v:imagedata r:id="rId279" o:title=""/>
                </v:shape>
              </v:group>
            </w:pict>
          </mc:Fallback>
        </mc:AlternateContent>
      </w:r>
      <w:r>
        <w:rPr>
          <w:sz w:val="20"/>
        </w:rPr>
      </w:r>
      <w:r>
        <w:rPr>
          <w:rFonts w:ascii="Times New Roman"/>
          <w:spacing w:val="64"/>
          <w:sz w:val="20"/>
        </w:rPr>
        <w:t> </w:t>
      </w:r>
      <w:r>
        <w:rPr>
          <w:spacing w:val="64"/>
          <w:sz w:val="20"/>
        </w:rPr>
        <mc:AlternateContent>
          <mc:Choice Requires="wps">
            <w:drawing>
              <wp:inline distT="0" distB="0" distL="0" distR="0">
                <wp:extent cx="1155065" cy="274955"/>
                <wp:effectExtent l="0" t="0" r="0" b="1270"/>
                <wp:docPr id="2147" name="Group 2147"/>
                <wp:cNvGraphicFramePr>
                  <a:graphicFrameLocks/>
                </wp:cNvGraphicFramePr>
                <a:graphic>
                  <a:graphicData uri="http://schemas.microsoft.com/office/word/2010/wordprocessingGroup">
                    <wpg:wgp>
                      <wpg:cNvPr id="2147" name="Group 2147"/>
                      <wpg:cNvGrpSpPr/>
                      <wpg:grpSpPr>
                        <a:xfrm>
                          <a:off x="0" y="0"/>
                          <a:ext cx="1155065" cy="274955"/>
                          <a:chExt cx="1155065" cy="274955"/>
                        </a:xfrm>
                      </wpg:grpSpPr>
                      <wps:wsp>
                        <wps:cNvPr id="2148" name="Graphic 2148"/>
                        <wps:cNvSpPr/>
                        <wps:spPr>
                          <a:xfrm>
                            <a:off x="0" y="10634"/>
                            <a:ext cx="241300" cy="264795"/>
                          </a:xfrm>
                          <a:custGeom>
                            <a:avLst/>
                            <a:gdLst/>
                            <a:ahLst/>
                            <a:cxnLst/>
                            <a:rect l="l" t="t" r="r" b="b"/>
                            <a:pathLst>
                              <a:path w="241300" h="264795">
                                <a:moveTo>
                                  <a:pt x="135636" y="0"/>
                                </a:moveTo>
                                <a:lnTo>
                                  <a:pt x="94027" y="5202"/>
                                </a:lnTo>
                                <a:lnTo>
                                  <a:pt x="58143" y="20472"/>
                                </a:lnTo>
                                <a:lnTo>
                                  <a:pt x="22226" y="54736"/>
                                </a:lnTo>
                                <a:lnTo>
                                  <a:pt x="5695" y="90033"/>
                                </a:lnTo>
                                <a:lnTo>
                                  <a:pt x="0" y="132092"/>
                                </a:lnTo>
                                <a:lnTo>
                                  <a:pt x="633" y="146825"/>
                                </a:lnTo>
                                <a:lnTo>
                                  <a:pt x="10121" y="186791"/>
                                </a:lnTo>
                                <a:lnTo>
                                  <a:pt x="29783" y="219433"/>
                                </a:lnTo>
                                <a:lnTo>
                                  <a:pt x="69309" y="249842"/>
                                </a:lnTo>
                                <a:lnTo>
                                  <a:pt x="107315" y="261869"/>
                                </a:lnTo>
                                <a:lnTo>
                                  <a:pt x="135636" y="264172"/>
                                </a:lnTo>
                                <a:lnTo>
                                  <a:pt x="149400" y="263819"/>
                                </a:lnTo>
                                <a:lnTo>
                                  <a:pt x="189966" y="258495"/>
                                </a:lnTo>
                                <a:lnTo>
                                  <a:pt x="228698" y="245990"/>
                                </a:lnTo>
                                <a:lnTo>
                                  <a:pt x="241084" y="240029"/>
                                </a:lnTo>
                                <a:lnTo>
                                  <a:pt x="241084" y="108661"/>
                                </a:lnTo>
                                <a:lnTo>
                                  <a:pt x="142709" y="108661"/>
                                </a:lnTo>
                                <a:lnTo>
                                  <a:pt x="142709" y="159791"/>
                                </a:lnTo>
                                <a:lnTo>
                                  <a:pt x="187845" y="159791"/>
                                </a:lnTo>
                                <a:lnTo>
                                  <a:pt x="187845" y="200609"/>
                                </a:lnTo>
                                <a:lnTo>
                                  <a:pt x="144364" y="212798"/>
                                </a:lnTo>
                                <a:lnTo>
                                  <a:pt x="135636" y="213055"/>
                                </a:lnTo>
                                <a:lnTo>
                                  <a:pt x="126970" y="212675"/>
                                </a:lnTo>
                                <a:lnTo>
                                  <a:pt x="90143" y="199791"/>
                                </a:lnTo>
                                <a:lnTo>
                                  <a:pt x="63017" y="164566"/>
                                </a:lnTo>
                                <a:lnTo>
                                  <a:pt x="57505" y="132092"/>
                                </a:lnTo>
                                <a:lnTo>
                                  <a:pt x="57850" y="123553"/>
                                </a:lnTo>
                                <a:lnTo>
                                  <a:pt x="69723" y="85888"/>
                                </a:lnTo>
                                <a:lnTo>
                                  <a:pt x="103505" y="57175"/>
                                </a:lnTo>
                                <a:lnTo>
                                  <a:pt x="135636" y="51142"/>
                                </a:lnTo>
                                <a:lnTo>
                                  <a:pt x="145840" y="51521"/>
                                </a:lnTo>
                                <a:lnTo>
                                  <a:pt x="184626" y="64636"/>
                                </a:lnTo>
                                <a:lnTo>
                                  <a:pt x="196697" y="74955"/>
                                </a:lnTo>
                                <a:lnTo>
                                  <a:pt x="235762" y="32334"/>
                                </a:lnTo>
                                <a:lnTo>
                                  <a:pt x="203514" y="11595"/>
                                </a:lnTo>
                                <a:lnTo>
                                  <a:pt x="164609" y="1827"/>
                                </a:lnTo>
                                <a:lnTo>
                                  <a:pt x="150422" y="457"/>
                                </a:lnTo>
                                <a:lnTo>
                                  <a:pt x="135636" y="0"/>
                                </a:lnTo>
                                <a:close/>
                              </a:path>
                            </a:pathLst>
                          </a:custGeom>
                          <a:solidFill>
                            <a:srgbClr val="636466"/>
                          </a:solidFill>
                        </wps:spPr>
                        <wps:bodyPr wrap="square" lIns="0" tIns="0" rIns="0" bIns="0" rtlCol="0">
                          <a:prstTxWarp prst="textNoShape">
                            <a:avLst/>
                          </a:prstTxWarp>
                          <a:noAutofit/>
                        </wps:bodyPr>
                      </wps:wsp>
                      <pic:pic>
                        <pic:nvPicPr>
                          <pic:cNvPr id="2149" name="Image 2149"/>
                          <pic:cNvPicPr/>
                        </pic:nvPicPr>
                        <pic:blipFill>
                          <a:blip r:embed="rId280" cstate="print"/>
                          <a:stretch>
                            <a:fillRect/>
                          </a:stretch>
                        </pic:blipFill>
                        <pic:spPr>
                          <a:xfrm>
                            <a:off x="273047" y="91592"/>
                            <a:ext cx="493172" cy="181101"/>
                          </a:xfrm>
                          <a:prstGeom prst="rect">
                            <a:avLst/>
                          </a:prstGeom>
                        </pic:spPr>
                      </pic:pic>
                      <pic:pic>
                        <pic:nvPicPr>
                          <pic:cNvPr id="2150" name="Image 2150"/>
                          <pic:cNvPicPr/>
                        </pic:nvPicPr>
                        <pic:blipFill>
                          <a:blip r:embed="rId281" cstate="print"/>
                          <a:stretch>
                            <a:fillRect/>
                          </a:stretch>
                        </pic:blipFill>
                        <pic:spPr>
                          <a:xfrm>
                            <a:off x="786824" y="91597"/>
                            <a:ext cx="166154" cy="176809"/>
                          </a:xfrm>
                          <a:prstGeom prst="rect">
                            <a:avLst/>
                          </a:prstGeom>
                        </pic:spPr>
                      </pic:pic>
                      <wps:wsp>
                        <wps:cNvPr id="2151" name="Graphic 2151"/>
                        <wps:cNvSpPr/>
                        <wps:spPr>
                          <a:xfrm>
                            <a:off x="967174" y="0"/>
                            <a:ext cx="187960" cy="273050"/>
                          </a:xfrm>
                          <a:custGeom>
                            <a:avLst/>
                            <a:gdLst/>
                            <a:ahLst/>
                            <a:cxnLst/>
                            <a:rect l="l" t="t" r="r" b="b"/>
                            <a:pathLst>
                              <a:path w="187960" h="273050">
                                <a:moveTo>
                                  <a:pt x="78828" y="91592"/>
                                </a:moveTo>
                                <a:lnTo>
                                  <a:pt x="38790" y="103374"/>
                                </a:lnTo>
                                <a:lnTo>
                                  <a:pt x="12150" y="133376"/>
                                </a:lnTo>
                                <a:lnTo>
                                  <a:pt x="344" y="174604"/>
                                </a:lnTo>
                                <a:lnTo>
                                  <a:pt x="0" y="183565"/>
                                </a:lnTo>
                                <a:lnTo>
                                  <a:pt x="309" y="191434"/>
                                </a:lnTo>
                                <a:lnTo>
                                  <a:pt x="376" y="193123"/>
                                </a:lnTo>
                                <a:lnTo>
                                  <a:pt x="1506" y="202285"/>
                                </a:lnTo>
                                <a:lnTo>
                                  <a:pt x="3391" y="211047"/>
                                </a:lnTo>
                                <a:lnTo>
                                  <a:pt x="5911" y="219023"/>
                                </a:lnTo>
                                <a:lnTo>
                                  <a:pt x="6032" y="219405"/>
                                </a:lnTo>
                                <a:lnTo>
                                  <a:pt x="29128" y="253250"/>
                                </a:lnTo>
                                <a:lnTo>
                                  <a:pt x="66568" y="271046"/>
                                </a:lnTo>
                                <a:lnTo>
                                  <a:pt x="84874" y="272694"/>
                                </a:lnTo>
                                <a:lnTo>
                                  <a:pt x="90766" y="272694"/>
                                </a:lnTo>
                                <a:lnTo>
                                  <a:pt x="132854" y="251904"/>
                                </a:lnTo>
                                <a:lnTo>
                                  <a:pt x="137756" y="245706"/>
                                </a:lnTo>
                                <a:lnTo>
                                  <a:pt x="187464" y="245706"/>
                                </a:lnTo>
                                <a:lnTo>
                                  <a:pt x="187464" y="225805"/>
                                </a:lnTo>
                                <a:lnTo>
                                  <a:pt x="95872" y="225805"/>
                                </a:lnTo>
                                <a:lnTo>
                                  <a:pt x="86319" y="225053"/>
                                </a:lnTo>
                                <a:lnTo>
                                  <a:pt x="56064" y="199799"/>
                                </a:lnTo>
                                <a:lnTo>
                                  <a:pt x="53276" y="182143"/>
                                </a:lnTo>
                                <a:lnTo>
                                  <a:pt x="53972" y="172851"/>
                                </a:lnTo>
                                <a:lnTo>
                                  <a:pt x="77895" y="141492"/>
                                </a:lnTo>
                                <a:lnTo>
                                  <a:pt x="95872" y="138480"/>
                                </a:lnTo>
                                <a:lnTo>
                                  <a:pt x="187464" y="138480"/>
                                </a:lnTo>
                                <a:lnTo>
                                  <a:pt x="187464" y="114325"/>
                                </a:lnTo>
                                <a:lnTo>
                                  <a:pt x="133515" y="114325"/>
                                </a:lnTo>
                                <a:lnTo>
                                  <a:pt x="128566" y="108573"/>
                                </a:lnTo>
                                <a:lnTo>
                                  <a:pt x="122980" y="103722"/>
                                </a:lnTo>
                                <a:lnTo>
                                  <a:pt x="87025" y="91915"/>
                                </a:lnTo>
                                <a:lnTo>
                                  <a:pt x="78828" y="91592"/>
                                </a:lnTo>
                                <a:close/>
                              </a:path>
                              <a:path w="187960" h="273050">
                                <a:moveTo>
                                  <a:pt x="187464" y="245706"/>
                                </a:moveTo>
                                <a:lnTo>
                                  <a:pt x="138480" y="245706"/>
                                </a:lnTo>
                                <a:lnTo>
                                  <a:pt x="138480" y="268554"/>
                                </a:lnTo>
                                <a:lnTo>
                                  <a:pt x="187464" y="268554"/>
                                </a:lnTo>
                                <a:lnTo>
                                  <a:pt x="187464" y="245706"/>
                                </a:lnTo>
                                <a:close/>
                              </a:path>
                              <a:path w="187960" h="273050">
                                <a:moveTo>
                                  <a:pt x="187464" y="138480"/>
                                </a:moveTo>
                                <a:lnTo>
                                  <a:pt x="95872" y="138480"/>
                                </a:lnTo>
                                <a:lnTo>
                                  <a:pt x="105426" y="139233"/>
                                </a:lnTo>
                                <a:lnTo>
                                  <a:pt x="113844" y="141492"/>
                                </a:lnTo>
                                <a:lnTo>
                                  <a:pt x="137782" y="172851"/>
                                </a:lnTo>
                                <a:lnTo>
                                  <a:pt x="138480" y="182143"/>
                                </a:lnTo>
                                <a:lnTo>
                                  <a:pt x="137782" y="191434"/>
                                </a:lnTo>
                                <a:lnTo>
                                  <a:pt x="113844" y="222792"/>
                                </a:lnTo>
                                <a:lnTo>
                                  <a:pt x="95872" y="225805"/>
                                </a:lnTo>
                                <a:lnTo>
                                  <a:pt x="187464" y="225805"/>
                                </a:lnTo>
                                <a:lnTo>
                                  <a:pt x="187464" y="138480"/>
                                </a:lnTo>
                                <a:close/>
                              </a:path>
                              <a:path w="187960" h="273050">
                                <a:moveTo>
                                  <a:pt x="187464" y="0"/>
                                </a:moveTo>
                                <a:lnTo>
                                  <a:pt x="134226" y="0"/>
                                </a:lnTo>
                                <a:lnTo>
                                  <a:pt x="134226" y="114325"/>
                                </a:lnTo>
                                <a:lnTo>
                                  <a:pt x="187464" y="114325"/>
                                </a:lnTo>
                                <a:lnTo>
                                  <a:pt x="187464" y="0"/>
                                </a:lnTo>
                                <a:close/>
                              </a:path>
                            </a:pathLst>
                          </a:custGeom>
                          <a:solidFill>
                            <a:srgbClr val="636466"/>
                          </a:solidFill>
                        </wps:spPr>
                        <wps:bodyPr wrap="square" lIns="0" tIns="0" rIns="0" bIns="0" rtlCol="0">
                          <a:prstTxWarp prst="textNoShape">
                            <a:avLst/>
                          </a:prstTxWarp>
                          <a:noAutofit/>
                        </wps:bodyPr>
                      </wps:wsp>
                    </wpg:wgp>
                  </a:graphicData>
                </a:graphic>
              </wp:inline>
            </w:drawing>
          </mc:Choice>
          <mc:Fallback>
            <w:pict>
              <v:group style="width:90.95pt;height:21.65pt;mso-position-horizontal-relative:char;mso-position-vertical-relative:line" id="docshapegroup1431" coordorigin="0,0" coordsize="1819,433">
                <v:shape style="position:absolute;left:0;top:16;width:380;height:417" id="docshape1432" coordorigin="0,17" coordsize="380,417" path="m214,17l148,25,92,49,35,103,9,159,0,225,1,248,16,311,47,362,109,410,169,429,214,433,235,432,299,424,360,404,380,395,380,188,225,188,225,268,296,268,296,333,227,352,214,352,200,352,142,331,99,276,91,225,91,211,110,152,163,107,214,97,230,98,291,119,310,135,371,68,320,35,259,20,237,17,214,17xe" filled="true" fillcolor="#636466" stroked="false">
                  <v:path arrowok="t"/>
                  <v:fill type="solid"/>
                </v:shape>
                <v:shape style="position:absolute;left:430;top:144;width:777;height:286" type="#_x0000_t75" id="docshape1433" stroked="false">
                  <v:imagedata r:id="rId280" o:title=""/>
                </v:shape>
                <v:shape style="position:absolute;left:1239;top:144;width:262;height:279" type="#_x0000_t75" id="docshape1434" stroked="false">
                  <v:imagedata r:id="rId281" o:title=""/>
                </v:shape>
                <v:shape style="position:absolute;left:1523;top:0;width:296;height:430" id="docshape1435" coordorigin="1523,0" coordsize="296,430" path="m1647,144l1633,145,1620,147,1607,151,1595,156,1584,163,1574,170,1565,179,1556,188,1549,199,1542,210,1537,222,1532,235,1528,247,1528,248,1525,261,1524,275,1523,287,1523,289,1524,301,1524,304,1525,319,1528,332,1532,345,1533,346,1538,358,1544,370,1551,380,1560,390,1569,399,1579,407,1590,413,1602,419,1615,424,1628,427,1642,429,1657,429,1666,429,1675,428,1693,423,1701,420,1715,411,1722,407,1732,397,1737,392,1740,387,1818,387,1818,356,1674,356,1659,354,1646,351,1634,345,1625,337,1617,326,1611,315,1608,301,1607,289,1607,287,1608,272,1611,259,1617,248,1617,247,1625,237,1634,229,1646,223,1659,219,1674,218,1818,218,1818,180,1733,180,1726,171,1717,163,1707,157,1696,152,1685,149,1673,146,1660,145,1647,144xm1818,387l1741,387,1741,423,1818,423,1818,387xm1818,218l1674,218,1689,219,1702,223,1714,229,1724,237,1731,247,1737,259,1740,272,1741,287,1740,301,1737,315,1731,326,1724,337,1714,345,1702,351,1689,354,1674,356,1818,356,1818,218xm1818,0l1734,0,1734,180,1818,180,1818,0xe" filled="true" fillcolor="#636466" stroked="false">
                  <v:path arrowok="t"/>
                  <v:fill type="solid"/>
                </v:shape>
              </v:group>
            </w:pict>
          </mc:Fallback>
        </mc:AlternateContent>
      </w:r>
      <w:r>
        <w:rPr>
          <w:spacing w:val="64"/>
          <w:sz w:val="20"/>
        </w:rPr>
      </w:r>
    </w:p>
    <w:p>
      <w:pPr>
        <w:pStyle w:val="BodyText"/>
        <w:rPr>
          <w:b/>
          <w:sz w:val="4"/>
        </w:rPr>
      </w:pPr>
      <w:r>
        <w:rPr>
          <w:b/>
          <w:sz w:val="4"/>
        </w:rPr>
        <mc:AlternateContent>
          <mc:Choice Requires="wps">
            <w:drawing>
              <wp:anchor distT="0" distB="0" distL="0" distR="0" allowOverlap="1" layoutInCell="1" locked="0" behindDoc="1" simplePos="0" relativeHeight="487929344">
                <wp:simplePos x="0" y="0"/>
                <wp:positionH relativeFrom="page">
                  <wp:posOffset>4777726</wp:posOffset>
                </wp:positionH>
                <wp:positionV relativeFrom="paragraph">
                  <wp:posOffset>44575</wp:posOffset>
                </wp:positionV>
                <wp:extent cx="1010919" cy="273050"/>
                <wp:effectExtent l="0" t="0" r="0" b="0"/>
                <wp:wrapTopAndBottom/>
                <wp:docPr id="2152" name="Group 2152"/>
                <wp:cNvGraphicFramePr>
                  <a:graphicFrameLocks/>
                </wp:cNvGraphicFramePr>
                <a:graphic>
                  <a:graphicData uri="http://schemas.microsoft.com/office/word/2010/wordprocessingGroup">
                    <wpg:wgp>
                      <wpg:cNvPr id="2152" name="Group 2152"/>
                      <wpg:cNvGrpSpPr/>
                      <wpg:grpSpPr>
                        <a:xfrm>
                          <a:off x="0" y="0"/>
                          <a:ext cx="1010919" cy="273050"/>
                          <a:chExt cx="1010919" cy="273050"/>
                        </a:xfrm>
                      </wpg:grpSpPr>
                      <wps:wsp>
                        <wps:cNvPr id="2153" name="Graphic 2153"/>
                        <wps:cNvSpPr/>
                        <wps:spPr>
                          <a:xfrm>
                            <a:off x="-11" y="17031"/>
                            <a:ext cx="207010" cy="251460"/>
                          </a:xfrm>
                          <a:custGeom>
                            <a:avLst/>
                            <a:gdLst/>
                            <a:ahLst/>
                            <a:cxnLst/>
                            <a:rect l="l" t="t" r="r" b="b"/>
                            <a:pathLst>
                              <a:path w="207010" h="251460">
                                <a:moveTo>
                                  <a:pt x="207010" y="0"/>
                                </a:moveTo>
                                <a:lnTo>
                                  <a:pt x="162267" y="0"/>
                                </a:lnTo>
                                <a:lnTo>
                                  <a:pt x="162267" y="100330"/>
                                </a:lnTo>
                                <a:lnTo>
                                  <a:pt x="44729" y="100330"/>
                                </a:lnTo>
                                <a:lnTo>
                                  <a:pt x="44729" y="0"/>
                                </a:lnTo>
                                <a:lnTo>
                                  <a:pt x="0" y="0"/>
                                </a:lnTo>
                                <a:lnTo>
                                  <a:pt x="0" y="100330"/>
                                </a:lnTo>
                                <a:lnTo>
                                  <a:pt x="0" y="140970"/>
                                </a:lnTo>
                                <a:lnTo>
                                  <a:pt x="0" y="251460"/>
                                </a:lnTo>
                                <a:lnTo>
                                  <a:pt x="44729" y="251460"/>
                                </a:lnTo>
                                <a:lnTo>
                                  <a:pt x="44729" y="140970"/>
                                </a:lnTo>
                                <a:lnTo>
                                  <a:pt x="162267" y="140970"/>
                                </a:lnTo>
                                <a:lnTo>
                                  <a:pt x="162267" y="251460"/>
                                </a:lnTo>
                                <a:lnTo>
                                  <a:pt x="207010" y="251460"/>
                                </a:lnTo>
                                <a:lnTo>
                                  <a:pt x="207010" y="140970"/>
                                </a:lnTo>
                                <a:lnTo>
                                  <a:pt x="207010" y="100330"/>
                                </a:lnTo>
                                <a:lnTo>
                                  <a:pt x="207010" y="0"/>
                                </a:lnTo>
                                <a:close/>
                              </a:path>
                            </a:pathLst>
                          </a:custGeom>
                          <a:solidFill>
                            <a:srgbClr val="115C85"/>
                          </a:solidFill>
                        </wps:spPr>
                        <wps:bodyPr wrap="square" lIns="0" tIns="0" rIns="0" bIns="0" rtlCol="0">
                          <a:prstTxWarp prst="textNoShape">
                            <a:avLst/>
                          </a:prstTxWarp>
                          <a:noAutofit/>
                        </wps:bodyPr>
                      </wps:wsp>
                      <pic:pic>
                        <pic:nvPicPr>
                          <pic:cNvPr id="2154" name="Image 2154"/>
                          <pic:cNvPicPr/>
                        </pic:nvPicPr>
                        <pic:blipFill>
                          <a:blip r:embed="rId282" cstate="print"/>
                          <a:stretch>
                            <a:fillRect/>
                          </a:stretch>
                        </pic:blipFill>
                        <pic:spPr>
                          <a:xfrm>
                            <a:off x="240376" y="93714"/>
                            <a:ext cx="346920" cy="178965"/>
                          </a:xfrm>
                          <a:prstGeom prst="rect">
                            <a:avLst/>
                          </a:prstGeom>
                        </pic:spPr>
                      </pic:pic>
                      <wps:wsp>
                        <wps:cNvPr id="2155" name="Graphic 2155"/>
                        <wps:cNvSpPr/>
                        <wps:spPr>
                          <a:xfrm>
                            <a:off x="630962" y="1"/>
                            <a:ext cx="43180" cy="268605"/>
                          </a:xfrm>
                          <a:custGeom>
                            <a:avLst/>
                            <a:gdLst/>
                            <a:ahLst/>
                            <a:cxnLst/>
                            <a:rect l="l" t="t" r="r" b="b"/>
                            <a:pathLst>
                              <a:path w="43180" h="268605">
                                <a:moveTo>
                                  <a:pt x="42608" y="0"/>
                                </a:moveTo>
                                <a:lnTo>
                                  <a:pt x="0" y="0"/>
                                </a:lnTo>
                                <a:lnTo>
                                  <a:pt x="0" y="268427"/>
                                </a:lnTo>
                                <a:lnTo>
                                  <a:pt x="42608" y="268427"/>
                                </a:lnTo>
                                <a:lnTo>
                                  <a:pt x="42608" y="0"/>
                                </a:lnTo>
                                <a:close/>
                              </a:path>
                            </a:pathLst>
                          </a:custGeom>
                          <a:solidFill>
                            <a:srgbClr val="115C85"/>
                          </a:solidFill>
                        </wps:spPr>
                        <wps:bodyPr wrap="square" lIns="0" tIns="0" rIns="0" bIns="0" rtlCol="0">
                          <a:prstTxWarp prst="textNoShape">
                            <a:avLst/>
                          </a:prstTxWarp>
                          <a:noAutofit/>
                        </wps:bodyPr>
                      </wps:wsp>
                      <pic:pic>
                        <pic:nvPicPr>
                          <pic:cNvPr id="2156" name="Image 2156"/>
                          <pic:cNvPicPr/>
                        </pic:nvPicPr>
                        <pic:blipFill>
                          <a:blip r:embed="rId283" cstate="print"/>
                          <a:stretch>
                            <a:fillRect/>
                          </a:stretch>
                        </pic:blipFill>
                        <pic:spPr>
                          <a:xfrm>
                            <a:off x="699838" y="48634"/>
                            <a:ext cx="124625" cy="224040"/>
                          </a:xfrm>
                          <a:prstGeom prst="rect">
                            <a:avLst/>
                          </a:prstGeom>
                        </pic:spPr>
                      </pic:pic>
                      <wps:wsp>
                        <wps:cNvPr id="2157" name="Graphic 2157"/>
                        <wps:cNvSpPr/>
                        <wps:spPr>
                          <a:xfrm>
                            <a:off x="855352" y="0"/>
                            <a:ext cx="155575" cy="268605"/>
                          </a:xfrm>
                          <a:custGeom>
                            <a:avLst/>
                            <a:gdLst/>
                            <a:ahLst/>
                            <a:cxnLst/>
                            <a:rect l="l" t="t" r="r" b="b"/>
                            <a:pathLst>
                              <a:path w="155575" h="268605">
                                <a:moveTo>
                                  <a:pt x="42608" y="0"/>
                                </a:moveTo>
                                <a:lnTo>
                                  <a:pt x="0" y="0"/>
                                </a:lnTo>
                                <a:lnTo>
                                  <a:pt x="0" y="268427"/>
                                </a:lnTo>
                                <a:lnTo>
                                  <a:pt x="42608" y="268427"/>
                                </a:lnTo>
                                <a:lnTo>
                                  <a:pt x="42608" y="169710"/>
                                </a:lnTo>
                                <a:lnTo>
                                  <a:pt x="43319" y="164274"/>
                                </a:lnTo>
                                <a:lnTo>
                                  <a:pt x="68580" y="133261"/>
                                </a:lnTo>
                                <a:lnTo>
                                  <a:pt x="74561" y="132080"/>
                                </a:lnTo>
                                <a:lnTo>
                                  <a:pt x="89014" y="132080"/>
                                </a:lnTo>
                                <a:lnTo>
                                  <a:pt x="112915" y="177406"/>
                                </a:lnTo>
                                <a:lnTo>
                                  <a:pt x="112915" y="268427"/>
                                </a:lnTo>
                                <a:lnTo>
                                  <a:pt x="155524" y="268427"/>
                                </a:lnTo>
                                <a:lnTo>
                                  <a:pt x="155524" y="160832"/>
                                </a:lnTo>
                                <a:lnTo>
                                  <a:pt x="155324" y="154334"/>
                                </a:lnTo>
                                <a:lnTo>
                                  <a:pt x="136702" y="108165"/>
                                </a:lnTo>
                                <a:lnTo>
                                  <a:pt x="93383" y="93726"/>
                                </a:lnTo>
                                <a:lnTo>
                                  <a:pt x="83894" y="94269"/>
                                </a:lnTo>
                                <a:lnTo>
                                  <a:pt x="46276" y="116571"/>
                                </a:lnTo>
                                <a:lnTo>
                                  <a:pt x="43319" y="121780"/>
                                </a:lnTo>
                                <a:lnTo>
                                  <a:pt x="42608" y="121780"/>
                                </a:lnTo>
                                <a:lnTo>
                                  <a:pt x="42608" y="0"/>
                                </a:lnTo>
                                <a:close/>
                              </a:path>
                            </a:pathLst>
                          </a:custGeom>
                          <a:solidFill>
                            <a:srgbClr val="115C85"/>
                          </a:solidFill>
                        </wps:spPr>
                        <wps:bodyPr wrap="square" lIns="0" tIns="0" rIns="0" bIns="0" rtlCol="0">
                          <a:prstTxWarp prst="textNoShape">
                            <a:avLst/>
                          </a:prstTxWarp>
                          <a:noAutofit/>
                        </wps:bodyPr>
                      </wps:wsp>
                    </wpg:wgp>
                  </a:graphicData>
                </a:graphic>
              </wp:anchor>
            </w:drawing>
          </mc:Choice>
          <mc:Fallback>
            <w:pict>
              <v:group style="position:absolute;margin-left:376.198914pt;margin-top:3.5099pt;width:79.6pt;height:21.5pt;mso-position-horizontal-relative:page;mso-position-vertical-relative:paragraph;z-index:-15387136;mso-wrap-distance-left:0;mso-wrap-distance-right:0" id="docshapegroup1436" coordorigin="7524,70" coordsize="1592,430">
                <v:shape style="position:absolute;left:7523;top:97;width:326;height:396" id="docshape1437" coordorigin="7524,97" coordsize="326,396" path="m7850,97l7780,97,7780,255,7594,255,7594,97,7524,97,7524,255,7524,319,7524,493,7594,493,7594,319,7780,319,7780,493,7850,493,7850,319,7850,255,7850,97xe" filled="true" fillcolor="#115c85" stroked="false">
                  <v:path arrowok="t"/>
                  <v:fill type="solid"/>
                </v:shape>
                <v:shape style="position:absolute;left:7902;top:217;width:547;height:282" type="#_x0000_t75" id="docshape1438" stroked="false">
                  <v:imagedata r:id="rId282" o:title=""/>
                </v:shape>
                <v:rect style="position:absolute;left:8517;top:70;width:68;height:423" id="docshape1439" filled="true" fillcolor="#115c85" stroked="false">
                  <v:fill type="solid"/>
                </v:rect>
                <v:shape style="position:absolute;left:8626;top:146;width:197;height:353" type="#_x0000_t75" id="docshape1440" stroked="false">
                  <v:imagedata r:id="rId283" o:title=""/>
                </v:shape>
                <v:shape style="position:absolute;left:8871;top:70;width:245;height:423" id="docshape1441" coordorigin="8871,70" coordsize="245,423" path="m8938,70l8871,70,8871,493,8938,493,8938,337,8939,329,8979,280,8988,278,9011,278,9049,350,9049,493,9116,493,9116,323,9116,313,9086,241,9018,218,9003,219,8944,254,8939,262,8938,262,8938,70xe" filled="true" fillcolor="#115c85" stroked="false">
                  <v:path arrowok="t"/>
                  <v:fill type="solid"/>
                </v:shape>
                <w10:wrap type="topAndBottom"/>
              </v:group>
            </w:pict>
          </mc:Fallback>
        </mc:AlternateContent>
      </w:r>
    </w:p>
    <w:p>
      <w:pPr>
        <w:pStyle w:val="BodyText"/>
        <w:rPr>
          <w:b/>
          <w:sz w:val="69"/>
        </w:rPr>
      </w:pPr>
    </w:p>
    <w:p>
      <w:pPr>
        <w:pStyle w:val="BodyText"/>
        <w:rPr>
          <w:b/>
          <w:sz w:val="69"/>
        </w:rPr>
      </w:pPr>
    </w:p>
    <w:p>
      <w:pPr>
        <w:pStyle w:val="BodyText"/>
        <w:rPr>
          <w:b/>
          <w:sz w:val="69"/>
        </w:rPr>
      </w:pPr>
    </w:p>
    <w:p>
      <w:pPr>
        <w:pStyle w:val="BodyText"/>
        <w:rPr>
          <w:b/>
          <w:sz w:val="69"/>
        </w:rPr>
      </w:pPr>
    </w:p>
    <w:p>
      <w:pPr>
        <w:pStyle w:val="BodyText"/>
        <w:spacing w:before="663"/>
        <w:rPr>
          <w:b/>
          <w:sz w:val="69"/>
        </w:rPr>
      </w:pPr>
    </w:p>
    <w:p>
      <w:pPr>
        <w:spacing w:line="199" w:lineRule="auto" w:before="1"/>
        <w:ind w:left="111" w:right="698" w:firstLine="0"/>
        <w:jc w:val="left"/>
        <w:rPr>
          <w:b/>
          <w:sz w:val="69"/>
        </w:rPr>
      </w:pPr>
      <w:r>
        <w:rPr>
          <w:b/>
          <w:sz w:val="69"/>
        </w:rPr>
        <w:t>ABOUT COMMON</w:t>
      </w:r>
      <w:r>
        <w:rPr>
          <w:b/>
          <w:spacing w:val="40"/>
          <w:sz w:val="69"/>
        </w:rPr>
        <w:t> </w:t>
      </w:r>
      <w:r>
        <w:rPr>
          <w:b/>
          <w:sz w:val="69"/>
        </w:rPr>
        <w:t>GROUND HEALTH</w:t>
      </w:r>
    </w:p>
    <w:p>
      <w:pPr>
        <w:pStyle w:val="BodyText"/>
        <w:spacing w:line="304" w:lineRule="auto" w:before="289"/>
        <w:ind w:left="154" w:right="3605"/>
      </w:pPr>
      <w:r>
        <w:rPr>
          <w:color w:val="FFFFFF"/>
        </w:rPr>
        <w:t>Founded in 1974, Common Ground Health is the health planning organization for the nine-county Finger Lakes region. We bring together health care, education, business, government and other sectors to find common ground on health issues. Learn more about our community tables, our data</w:t>
      </w:r>
      <w:r>
        <w:rPr>
          <w:color w:val="FFFFFF"/>
          <w:spacing w:val="40"/>
        </w:rPr>
        <w:t> </w:t>
      </w:r>
      <w:r>
        <w:rPr>
          <w:color w:val="FFFFFF"/>
        </w:rPr>
        <w:t>resources</w:t>
      </w:r>
      <w:r>
        <w:rPr>
          <w:color w:val="FFFFFF"/>
          <w:spacing w:val="40"/>
        </w:rPr>
        <w:t> </w:t>
      </w:r>
      <w:r>
        <w:rPr>
          <w:color w:val="FFFFFF"/>
        </w:rPr>
        <w:t>and</w:t>
      </w:r>
      <w:r>
        <w:rPr>
          <w:color w:val="FFFFFF"/>
          <w:spacing w:val="40"/>
        </w:rPr>
        <w:t> </w:t>
      </w:r>
      <w:r>
        <w:rPr>
          <w:color w:val="FFFFFF"/>
        </w:rPr>
        <w:t>our</w:t>
      </w:r>
      <w:r>
        <w:rPr>
          <w:color w:val="FFFFFF"/>
          <w:spacing w:val="40"/>
        </w:rPr>
        <w:t> </w:t>
      </w:r>
      <w:r>
        <w:rPr>
          <w:color w:val="FFFFFF"/>
        </w:rPr>
        <w:t>work</w:t>
      </w:r>
      <w:r>
        <w:rPr>
          <w:color w:val="FFFFFF"/>
          <w:spacing w:val="40"/>
        </w:rPr>
        <w:t> </w:t>
      </w:r>
      <w:r>
        <w:rPr>
          <w:color w:val="FFFFFF"/>
        </w:rPr>
        <w:t>improving</w:t>
      </w:r>
      <w:r>
        <w:rPr>
          <w:color w:val="FFFFFF"/>
          <w:spacing w:val="40"/>
        </w:rPr>
        <w:t> </w:t>
      </w:r>
      <w:r>
        <w:rPr>
          <w:color w:val="FFFFFF"/>
        </w:rPr>
        <w:t>population</w:t>
      </w:r>
      <w:r>
        <w:rPr>
          <w:color w:val="FFFFFF"/>
          <w:spacing w:val="40"/>
        </w:rPr>
        <w:t> </w:t>
      </w:r>
      <w:r>
        <w:rPr>
          <w:color w:val="FFFFFF"/>
        </w:rPr>
        <w:t>health at </w:t>
      </w:r>
      <w:hyperlink r:id="rId284">
        <w:r>
          <w:rPr>
            <w:color w:val="FFFFFF"/>
          </w:rPr>
          <w:t>www.CommonGroundHealth.org.</w:t>
        </w:r>
      </w:hyperlink>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4"/>
      </w:pPr>
    </w:p>
    <w:p>
      <w:pPr>
        <w:pStyle w:val="BodyText"/>
        <w:ind w:left="128"/>
      </w:pPr>
      <w:r>
        <w:rPr>
          <w:color w:val="105C84"/>
          <w:spacing w:val="-2"/>
        </w:rPr>
        <w:t>1150</w:t>
      </w:r>
      <w:r>
        <w:rPr>
          <w:color w:val="105C84"/>
          <w:spacing w:val="-6"/>
        </w:rPr>
        <w:t> </w:t>
      </w:r>
      <w:r>
        <w:rPr>
          <w:color w:val="105C84"/>
          <w:spacing w:val="-2"/>
        </w:rPr>
        <w:t>University</w:t>
      </w:r>
      <w:r>
        <w:rPr>
          <w:color w:val="105C84"/>
          <w:spacing w:val="-6"/>
        </w:rPr>
        <w:t> </w:t>
      </w:r>
      <w:r>
        <w:rPr>
          <w:color w:val="105C84"/>
          <w:spacing w:val="-2"/>
        </w:rPr>
        <w:t>Avenue</w:t>
      </w:r>
    </w:p>
    <w:p>
      <w:pPr>
        <w:pStyle w:val="BodyText"/>
        <w:spacing w:before="187"/>
        <w:ind w:left="128"/>
      </w:pPr>
      <w:r>
        <w:rPr>
          <w:color w:val="105C84"/>
        </w:rPr>
        <w:t>Rochester</w:t>
      </w:r>
      <w:r>
        <w:rPr>
          <w:color w:val="105C84"/>
          <w:spacing w:val="-11"/>
        </w:rPr>
        <w:t> </w:t>
      </w:r>
      <w:r>
        <w:rPr>
          <w:color w:val="105C84"/>
        </w:rPr>
        <w:t>NY</w:t>
      </w:r>
      <w:r>
        <w:rPr>
          <w:color w:val="105C84"/>
          <w:spacing w:val="-11"/>
        </w:rPr>
        <w:t> </w:t>
      </w:r>
      <w:r>
        <w:rPr>
          <w:color w:val="105C84"/>
          <w:spacing w:val="-2"/>
        </w:rPr>
        <w:t>14607</w:t>
      </w:r>
    </w:p>
    <w:p>
      <w:pPr>
        <w:pStyle w:val="BodyText"/>
        <w:spacing w:before="187"/>
        <w:ind w:left="128"/>
      </w:pPr>
      <w:r>
        <w:rPr>
          <w:color w:val="105C84"/>
          <w:spacing w:val="-2"/>
        </w:rPr>
        <w:t>585.224.3101</w:t>
      </w:r>
    </w:p>
    <w:p>
      <w:pPr>
        <w:pStyle w:val="BodyText"/>
        <w:spacing w:before="187"/>
        <w:ind w:left="128"/>
      </w:pPr>
      <w:r>
        <w:rPr>
          <w:color w:val="105C84"/>
          <w:spacing w:val="-2"/>
        </w:rPr>
        <w:t>CommonGroundHealth.org</w:t>
      </w:r>
    </w:p>
    <w:p>
      <w:pPr>
        <w:pStyle w:val="BodyText"/>
        <w:spacing w:before="129"/>
        <w:rPr>
          <w:sz w:val="20"/>
        </w:rPr>
      </w:pPr>
      <w:r>
        <w:rPr>
          <w:sz w:val="20"/>
        </w:rPr>
        <mc:AlternateContent>
          <mc:Choice Requires="wps">
            <w:drawing>
              <wp:anchor distT="0" distB="0" distL="0" distR="0" allowOverlap="1" layoutInCell="1" locked="0" behindDoc="1" simplePos="0" relativeHeight="487929856">
                <wp:simplePos x="0" y="0"/>
                <wp:positionH relativeFrom="page">
                  <wp:posOffset>526291</wp:posOffset>
                </wp:positionH>
                <wp:positionV relativeFrom="paragraph">
                  <wp:posOffset>243466</wp:posOffset>
                </wp:positionV>
                <wp:extent cx="276860" cy="276860"/>
                <wp:effectExtent l="0" t="0" r="0" b="0"/>
                <wp:wrapTopAndBottom/>
                <wp:docPr id="2158" name="Group 2158"/>
                <wp:cNvGraphicFramePr>
                  <a:graphicFrameLocks/>
                </wp:cNvGraphicFramePr>
                <a:graphic>
                  <a:graphicData uri="http://schemas.microsoft.com/office/word/2010/wordprocessingGroup">
                    <wpg:wgp>
                      <wpg:cNvPr id="2158" name="Group 2158"/>
                      <wpg:cNvGrpSpPr/>
                      <wpg:grpSpPr>
                        <a:xfrm>
                          <a:off x="0" y="0"/>
                          <a:ext cx="276860" cy="276860"/>
                          <a:chExt cx="276860" cy="276860"/>
                        </a:xfrm>
                      </wpg:grpSpPr>
                      <wps:wsp>
                        <wps:cNvPr id="2159" name="Graphic 2159"/>
                        <wps:cNvSpPr/>
                        <wps:spPr>
                          <a:xfrm>
                            <a:off x="4286" y="4286"/>
                            <a:ext cx="267970" cy="267970"/>
                          </a:xfrm>
                          <a:custGeom>
                            <a:avLst/>
                            <a:gdLst/>
                            <a:ahLst/>
                            <a:cxnLst/>
                            <a:rect l="l" t="t" r="r" b="b"/>
                            <a:pathLst>
                              <a:path w="267970" h="267970">
                                <a:moveTo>
                                  <a:pt x="133946" y="267893"/>
                                </a:moveTo>
                                <a:lnTo>
                                  <a:pt x="176289" y="261063"/>
                                </a:lnTo>
                                <a:lnTo>
                                  <a:pt x="213059" y="242045"/>
                                </a:lnTo>
                                <a:lnTo>
                                  <a:pt x="242053" y="213046"/>
                                </a:lnTo>
                                <a:lnTo>
                                  <a:pt x="261066" y="176273"/>
                                </a:lnTo>
                                <a:lnTo>
                                  <a:pt x="267893" y="133934"/>
                                </a:lnTo>
                                <a:lnTo>
                                  <a:pt x="261066" y="91602"/>
                                </a:lnTo>
                                <a:lnTo>
                                  <a:pt x="242053" y="54836"/>
                                </a:lnTo>
                                <a:lnTo>
                                  <a:pt x="213059" y="25842"/>
                                </a:lnTo>
                                <a:lnTo>
                                  <a:pt x="176289" y="6828"/>
                                </a:lnTo>
                                <a:lnTo>
                                  <a:pt x="133946" y="0"/>
                                </a:lnTo>
                                <a:lnTo>
                                  <a:pt x="91609" y="6828"/>
                                </a:lnTo>
                                <a:lnTo>
                                  <a:pt x="54839" y="25842"/>
                                </a:lnTo>
                                <a:lnTo>
                                  <a:pt x="25843" y="54836"/>
                                </a:lnTo>
                                <a:lnTo>
                                  <a:pt x="6828" y="91602"/>
                                </a:lnTo>
                                <a:lnTo>
                                  <a:pt x="0" y="133934"/>
                                </a:lnTo>
                                <a:lnTo>
                                  <a:pt x="6828" y="176273"/>
                                </a:lnTo>
                                <a:lnTo>
                                  <a:pt x="25843" y="213046"/>
                                </a:lnTo>
                                <a:lnTo>
                                  <a:pt x="54839" y="242045"/>
                                </a:lnTo>
                                <a:lnTo>
                                  <a:pt x="91609" y="261063"/>
                                </a:lnTo>
                                <a:lnTo>
                                  <a:pt x="133946" y="267893"/>
                                </a:lnTo>
                              </a:path>
                            </a:pathLst>
                          </a:custGeom>
                          <a:ln w="8572">
                            <a:solidFill>
                              <a:srgbClr val="105C84"/>
                            </a:solidFill>
                            <a:prstDash val="solid"/>
                          </a:ln>
                        </wps:spPr>
                        <wps:bodyPr wrap="square" lIns="0" tIns="0" rIns="0" bIns="0" rtlCol="0">
                          <a:prstTxWarp prst="textNoShape">
                            <a:avLst/>
                          </a:prstTxWarp>
                          <a:noAutofit/>
                        </wps:bodyPr>
                      </wps:wsp>
                      <pic:pic>
                        <pic:nvPicPr>
                          <pic:cNvPr id="2160" name="Image 2160"/>
                          <pic:cNvPicPr/>
                        </pic:nvPicPr>
                        <pic:blipFill>
                          <a:blip r:embed="rId285" cstate="print"/>
                          <a:stretch>
                            <a:fillRect/>
                          </a:stretch>
                        </pic:blipFill>
                        <pic:spPr>
                          <a:xfrm>
                            <a:off x="62880" y="60528"/>
                            <a:ext cx="158991" cy="146684"/>
                          </a:xfrm>
                          <a:prstGeom prst="rect">
                            <a:avLst/>
                          </a:prstGeom>
                        </pic:spPr>
                      </pic:pic>
                    </wpg:wgp>
                  </a:graphicData>
                </a:graphic>
              </wp:anchor>
            </w:drawing>
          </mc:Choice>
          <mc:Fallback>
            <w:pict>
              <v:group style="position:absolute;margin-left:41.4403pt;margin-top:19.170578pt;width:21.8pt;height:21.8pt;mso-position-horizontal-relative:page;mso-position-vertical-relative:paragraph;z-index:-15386624;mso-wrap-distance-left:0;mso-wrap-distance-right:0" id="docshapegroup1442" coordorigin="829,383" coordsize="436,436">
                <v:shape style="position:absolute;left:835;top:390;width:422;height:422" id="docshape1443" coordorigin="836,390" coordsize="422,422" path="m1046,812l1113,801,1171,771,1217,726,1247,668,1257,601,1247,534,1217,477,1171,431,1113,401,1046,390,980,401,922,431,876,477,846,534,836,601,846,668,876,726,922,771,980,801,1046,812e" filled="false" stroked="true" strokeweight=".675pt" strokecolor="#105c84">
                  <v:path arrowok="t"/>
                  <v:stroke dashstyle="solid"/>
                </v:shape>
                <v:shape style="position:absolute;left:927;top:478;width:251;height:231" type="#_x0000_t75" id="docshape1444" stroked="false">
                  <v:imagedata r:id="rId285" o:title=""/>
                </v:shape>
                <w10:wrap type="topAndBottom"/>
              </v:group>
            </w:pict>
          </mc:Fallback>
        </mc:AlternateContent>
      </w:r>
      <w:r>
        <w:rPr>
          <w:sz w:val="20"/>
        </w:rPr>
        <mc:AlternateContent>
          <mc:Choice Requires="wps">
            <w:drawing>
              <wp:anchor distT="0" distB="0" distL="0" distR="0" allowOverlap="1" layoutInCell="1" locked="0" behindDoc="1" simplePos="0" relativeHeight="487930368">
                <wp:simplePos x="0" y="0"/>
                <wp:positionH relativeFrom="page">
                  <wp:posOffset>948625</wp:posOffset>
                </wp:positionH>
                <wp:positionV relativeFrom="paragraph">
                  <wp:posOffset>248504</wp:posOffset>
                </wp:positionV>
                <wp:extent cx="276860" cy="276860"/>
                <wp:effectExtent l="0" t="0" r="0" b="0"/>
                <wp:wrapTopAndBottom/>
                <wp:docPr id="2161" name="Group 2161"/>
                <wp:cNvGraphicFramePr>
                  <a:graphicFrameLocks/>
                </wp:cNvGraphicFramePr>
                <a:graphic>
                  <a:graphicData uri="http://schemas.microsoft.com/office/word/2010/wordprocessingGroup">
                    <wpg:wgp>
                      <wpg:cNvPr id="2161" name="Group 2161"/>
                      <wpg:cNvGrpSpPr/>
                      <wpg:grpSpPr>
                        <a:xfrm>
                          <a:off x="0" y="0"/>
                          <a:ext cx="276860" cy="276860"/>
                          <a:chExt cx="276860" cy="276860"/>
                        </a:xfrm>
                      </wpg:grpSpPr>
                      <pic:pic>
                        <pic:nvPicPr>
                          <pic:cNvPr id="2162" name="Image 2162"/>
                          <pic:cNvPicPr/>
                        </pic:nvPicPr>
                        <pic:blipFill>
                          <a:blip r:embed="rId286" cstate="print"/>
                          <a:stretch>
                            <a:fillRect/>
                          </a:stretch>
                        </pic:blipFill>
                        <pic:spPr>
                          <a:xfrm>
                            <a:off x="54051" y="73056"/>
                            <a:ext cx="171789" cy="144112"/>
                          </a:xfrm>
                          <a:prstGeom prst="rect">
                            <a:avLst/>
                          </a:prstGeom>
                        </pic:spPr>
                      </pic:pic>
                      <wps:wsp>
                        <wps:cNvPr id="2163" name="Graphic 2163"/>
                        <wps:cNvSpPr/>
                        <wps:spPr>
                          <a:xfrm>
                            <a:off x="4286" y="4286"/>
                            <a:ext cx="267970" cy="267970"/>
                          </a:xfrm>
                          <a:custGeom>
                            <a:avLst/>
                            <a:gdLst/>
                            <a:ahLst/>
                            <a:cxnLst/>
                            <a:rect l="l" t="t" r="r" b="b"/>
                            <a:pathLst>
                              <a:path w="267970" h="267970">
                                <a:moveTo>
                                  <a:pt x="133946" y="267893"/>
                                </a:moveTo>
                                <a:lnTo>
                                  <a:pt x="176284" y="261065"/>
                                </a:lnTo>
                                <a:lnTo>
                                  <a:pt x="213054" y="242050"/>
                                </a:lnTo>
                                <a:lnTo>
                                  <a:pt x="242050" y="213054"/>
                                </a:lnTo>
                                <a:lnTo>
                                  <a:pt x="261065" y="176284"/>
                                </a:lnTo>
                                <a:lnTo>
                                  <a:pt x="267893" y="133946"/>
                                </a:lnTo>
                                <a:lnTo>
                                  <a:pt x="261065" y="91609"/>
                                </a:lnTo>
                                <a:lnTo>
                                  <a:pt x="242050" y="54839"/>
                                </a:lnTo>
                                <a:lnTo>
                                  <a:pt x="213054" y="25843"/>
                                </a:lnTo>
                                <a:lnTo>
                                  <a:pt x="176284" y="6828"/>
                                </a:lnTo>
                                <a:lnTo>
                                  <a:pt x="133946" y="0"/>
                                </a:lnTo>
                                <a:lnTo>
                                  <a:pt x="91609" y="6828"/>
                                </a:lnTo>
                                <a:lnTo>
                                  <a:pt x="54839" y="25843"/>
                                </a:lnTo>
                                <a:lnTo>
                                  <a:pt x="25843" y="54839"/>
                                </a:lnTo>
                                <a:lnTo>
                                  <a:pt x="6828" y="91609"/>
                                </a:lnTo>
                                <a:lnTo>
                                  <a:pt x="0" y="133946"/>
                                </a:lnTo>
                                <a:lnTo>
                                  <a:pt x="6828" y="176284"/>
                                </a:lnTo>
                                <a:lnTo>
                                  <a:pt x="25843" y="213054"/>
                                </a:lnTo>
                                <a:lnTo>
                                  <a:pt x="54839" y="242050"/>
                                </a:lnTo>
                                <a:lnTo>
                                  <a:pt x="91609" y="261065"/>
                                </a:lnTo>
                                <a:lnTo>
                                  <a:pt x="133946" y="267893"/>
                                </a:lnTo>
                              </a:path>
                            </a:pathLst>
                          </a:custGeom>
                          <a:ln w="8572">
                            <a:solidFill>
                              <a:srgbClr val="105C84"/>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4.694901pt;margin-top:19.56728pt;width:21.8pt;height:21.8pt;mso-position-horizontal-relative:page;mso-position-vertical-relative:paragraph;z-index:-15386112;mso-wrap-distance-left:0;mso-wrap-distance-right:0" id="docshapegroup1445" coordorigin="1494,391" coordsize="436,436">
                <v:shape style="position:absolute;left:1579;top:506;width:271;height:227" type="#_x0000_t75" id="docshape1446" stroked="false">
                  <v:imagedata r:id="rId286" o:title=""/>
                </v:shape>
                <v:shape style="position:absolute;left:1500;top:398;width:422;height:422" id="docshape1447" coordorigin="1501,398" coordsize="422,422" path="m1712,820l1778,809,1836,779,1882,734,1912,676,1923,609,1912,542,1882,484,1836,439,1778,409,1712,398,1645,409,1587,439,1541,484,1511,542,1501,609,1511,676,1541,734,1587,779,1645,809,1712,820e" filled="false" stroked="true" strokeweight=".675pt" strokecolor="#105c84">
                  <v:path arrowok="t"/>
                  <v:stroke dashstyle="solid"/>
                </v:shape>
                <w10:wrap type="topAndBottom"/>
              </v:group>
            </w:pict>
          </mc:Fallback>
        </mc:AlternateContent>
      </w:r>
      <w:r>
        <w:rPr>
          <w:sz w:val="20"/>
        </w:rPr>
        <mc:AlternateContent>
          <mc:Choice Requires="wps">
            <w:drawing>
              <wp:anchor distT="0" distB="0" distL="0" distR="0" allowOverlap="1" layoutInCell="1" locked="0" behindDoc="1" simplePos="0" relativeHeight="487930880">
                <wp:simplePos x="0" y="0"/>
                <wp:positionH relativeFrom="page">
                  <wp:posOffset>1380282</wp:posOffset>
                </wp:positionH>
                <wp:positionV relativeFrom="paragraph">
                  <wp:posOffset>254421</wp:posOffset>
                </wp:positionV>
                <wp:extent cx="276860" cy="276860"/>
                <wp:effectExtent l="0" t="0" r="0" b="0"/>
                <wp:wrapTopAndBottom/>
                <wp:docPr id="2164" name="Group 2164"/>
                <wp:cNvGraphicFramePr>
                  <a:graphicFrameLocks/>
                </wp:cNvGraphicFramePr>
                <a:graphic>
                  <a:graphicData uri="http://schemas.microsoft.com/office/word/2010/wordprocessingGroup">
                    <wpg:wgp>
                      <wpg:cNvPr id="2164" name="Group 2164"/>
                      <wpg:cNvGrpSpPr/>
                      <wpg:grpSpPr>
                        <a:xfrm>
                          <a:off x="0" y="0"/>
                          <a:ext cx="276860" cy="276860"/>
                          <a:chExt cx="276860" cy="276860"/>
                        </a:xfrm>
                      </wpg:grpSpPr>
                      <wps:wsp>
                        <wps:cNvPr id="2165" name="Graphic 2165"/>
                        <wps:cNvSpPr/>
                        <wps:spPr>
                          <a:xfrm>
                            <a:off x="4286" y="4286"/>
                            <a:ext cx="267970" cy="267970"/>
                          </a:xfrm>
                          <a:custGeom>
                            <a:avLst/>
                            <a:gdLst/>
                            <a:ahLst/>
                            <a:cxnLst/>
                            <a:rect l="l" t="t" r="r" b="b"/>
                            <a:pathLst>
                              <a:path w="267970" h="267970">
                                <a:moveTo>
                                  <a:pt x="133946" y="267893"/>
                                </a:moveTo>
                                <a:lnTo>
                                  <a:pt x="176286" y="261065"/>
                                </a:lnTo>
                                <a:lnTo>
                                  <a:pt x="213058" y="242050"/>
                                </a:lnTo>
                                <a:lnTo>
                                  <a:pt x="242058" y="213054"/>
                                </a:lnTo>
                                <a:lnTo>
                                  <a:pt x="261076" y="176284"/>
                                </a:lnTo>
                                <a:lnTo>
                                  <a:pt x="267906" y="133946"/>
                                </a:lnTo>
                                <a:lnTo>
                                  <a:pt x="261076" y="91609"/>
                                </a:lnTo>
                                <a:lnTo>
                                  <a:pt x="242058" y="54839"/>
                                </a:lnTo>
                                <a:lnTo>
                                  <a:pt x="213058" y="25843"/>
                                </a:lnTo>
                                <a:lnTo>
                                  <a:pt x="176286" y="6828"/>
                                </a:lnTo>
                                <a:lnTo>
                                  <a:pt x="133946" y="0"/>
                                </a:lnTo>
                                <a:lnTo>
                                  <a:pt x="91609" y="6828"/>
                                </a:lnTo>
                                <a:lnTo>
                                  <a:pt x="54839" y="25843"/>
                                </a:lnTo>
                                <a:lnTo>
                                  <a:pt x="25843" y="54839"/>
                                </a:lnTo>
                                <a:lnTo>
                                  <a:pt x="6828" y="91609"/>
                                </a:lnTo>
                                <a:lnTo>
                                  <a:pt x="0" y="133946"/>
                                </a:lnTo>
                                <a:lnTo>
                                  <a:pt x="6828" y="176284"/>
                                </a:lnTo>
                                <a:lnTo>
                                  <a:pt x="25843" y="213054"/>
                                </a:lnTo>
                                <a:lnTo>
                                  <a:pt x="54839" y="242050"/>
                                </a:lnTo>
                                <a:lnTo>
                                  <a:pt x="91609" y="261065"/>
                                </a:lnTo>
                                <a:lnTo>
                                  <a:pt x="133946" y="267893"/>
                                </a:lnTo>
                              </a:path>
                            </a:pathLst>
                          </a:custGeom>
                          <a:ln w="8572">
                            <a:solidFill>
                              <a:srgbClr val="105C84"/>
                            </a:solidFill>
                            <a:prstDash val="solid"/>
                          </a:ln>
                        </wps:spPr>
                        <wps:bodyPr wrap="square" lIns="0" tIns="0" rIns="0" bIns="0" rtlCol="0">
                          <a:prstTxWarp prst="textNoShape">
                            <a:avLst/>
                          </a:prstTxWarp>
                          <a:noAutofit/>
                        </wps:bodyPr>
                      </wps:wsp>
                      <pic:pic>
                        <pic:nvPicPr>
                          <pic:cNvPr id="2166" name="Image 2166"/>
                          <pic:cNvPicPr/>
                        </pic:nvPicPr>
                        <pic:blipFill>
                          <a:blip r:embed="rId287" cstate="print"/>
                          <a:stretch>
                            <a:fillRect/>
                          </a:stretch>
                        </pic:blipFill>
                        <pic:spPr>
                          <a:xfrm>
                            <a:off x="89159" y="47417"/>
                            <a:ext cx="98158" cy="192785"/>
                          </a:xfrm>
                          <a:prstGeom prst="rect">
                            <a:avLst/>
                          </a:prstGeom>
                        </pic:spPr>
                      </pic:pic>
                    </wpg:wgp>
                  </a:graphicData>
                </a:graphic>
              </wp:anchor>
            </w:drawing>
          </mc:Choice>
          <mc:Fallback>
            <w:pict>
              <v:group style="position:absolute;margin-left:108.683701pt;margin-top:20.033178pt;width:21.8pt;height:21.8pt;mso-position-horizontal-relative:page;mso-position-vertical-relative:paragraph;z-index:-15385600;mso-wrap-distance-left:0;mso-wrap-distance-right:0" id="docshapegroup1448" coordorigin="2174,401" coordsize="436,436">
                <v:shape style="position:absolute;left:2180;top:407;width:422;height:422" id="docshape1449" coordorigin="2180,407" coordsize="422,422" path="m2391,829l2458,819,2516,789,2562,743,2592,685,2602,618,2592,552,2562,494,2516,448,2458,418,2391,407,2325,418,2267,448,2221,494,2191,552,2180,618,2191,685,2221,743,2267,789,2325,819,2391,829e" filled="false" stroked="true" strokeweight=".675pt" strokecolor="#105c84">
                  <v:path arrowok="t"/>
                  <v:stroke dashstyle="solid"/>
                </v:shape>
                <v:shape style="position:absolute;left:2314;top:475;width:155;height:304" type="#_x0000_t75" id="docshape1450" stroked="false">
                  <v:imagedata r:id="rId287" o:title=""/>
                </v:shape>
                <w10:wrap type="topAndBottom"/>
              </v:group>
            </w:pict>
          </mc:Fallback>
        </mc:AlternateContent>
      </w:r>
    </w:p>
    <w:sectPr>
      <w:headerReference w:type="default" r:id="rId271"/>
      <w:pgSz w:w="12240" w:h="15840"/>
      <w:pgMar w:header="0" w:footer="0" w:top="1340" w:bottom="280" w:left="720" w:right="18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mbria">
    <w:altName w:val="Cambria"/>
    <w:charset w:val="0"/>
    <w:family w:val="roman"/>
    <w:pitch w:val="variable"/>
  </w:font>
  <w:font w:name="Trebuchet MS">
    <w:altName w:val="Trebuchet MS"/>
    <w:charset w:val="0"/>
    <w:family w:val="swiss"/>
    <w:pitch w:val="variable"/>
  </w:font>
  <w:font w:name="Verdana">
    <w:altName w:val="Verdana"/>
    <w:charset w:val="0"/>
    <w:family w:val="swiss"/>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4955264">
              <wp:simplePos x="0" y="0"/>
              <wp:positionH relativeFrom="page">
                <wp:posOffset>0</wp:posOffset>
              </wp:positionH>
              <wp:positionV relativeFrom="page">
                <wp:posOffset>0</wp:posOffset>
              </wp:positionV>
              <wp:extent cx="15544800" cy="548640"/>
              <wp:effectExtent l="0" t="0" r="0" b="0"/>
              <wp:wrapNone/>
              <wp:docPr id="50" name="Group 50"/>
              <wp:cNvGraphicFramePr>
                <a:graphicFrameLocks/>
              </wp:cNvGraphicFramePr>
              <a:graphic>
                <a:graphicData uri="http://schemas.microsoft.com/office/word/2010/wordprocessingGroup">
                  <wpg:wgp>
                    <wpg:cNvPr id="50" name="Group 50"/>
                    <wpg:cNvGrpSpPr/>
                    <wpg:grpSpPr>
                      <a:xfrm>
                        <a:off x="0" y="0"/>
                        <a:ext cx="15544800" cy="548640"/>
                        <a:chExt cx="15544800" cy="548640"/>
                      </a:xfrm>
                    </wpg:grpSpPr>
                    <wps:wsp>
                      <wps:cNvPr id="51" name="Graphic 51"/>
                      <wps:cNvSpPr/>
                      <wps:spPr>
                        <a:xfrm>
                          <a:off x="7708392" y="0"/>
                          <a:ext cx="7836534" cy="548640"/>
                        </a:xfrm>
                        <a:custGeom>
                          <a:avLst/>
                          <a:gdLst/>
                          <a:ahLst/>
                          <a:cxnLst/>
                          <a:rect l="l" t="t" r="r" b="b"/>
                          <a:pathLst>
                            <a:path w="7836534" h="548640">
                              <a:moveTo>
                                <a:pt x="0" y="0"/>
                              </a:moveTo>
                              <a:lnTo>
                                <a:pt x="0" y="548640"/>
                              </a:lnTo>
                              <a:lnTo>
                                <a:pt x="7836408" y="548640"/>
                              </a:lnTo>
                              <a:lnTo>
                                <a:pt x="7836408" y="0"/>
                              </a:lnTo>
                              <a:lnTo>
                                <a:pt x="0" y="0"/>
                              </a:lnTo>
                              <a:close/>
                            </a:path>
                          </a:pathLst>
                        </a:custGeom>
                        <a:solidFill>
                          <a:srgbClr val="105C84"/>
                        </a:solidFill>
                      </wps:spPr>
                      <wps:bodyPr wrap="square" lIns="0" tIns="0" rIns="0" bIns="0" rtlCol="0">
                        <a:prstTxWarp prst="textNoShape">
                          <a:avLst/>
                        </a:prstTxWarp>
                        <a:noAutofit/>
                      </wps:bodyPr>
                    </wps:wsp>
                    <pic:pic>
                      <pic:nvPicPr>
                        <pic:cNvPr id="52" name="Image 52"/>
                        <pic:cNvPicPr/>
                      </pic:nvPicPr>
                      <pic:blipFill>
                        <a:blip r:embed="rId1" cstate="print"/>
                        <a:stretch>
                          <a:fillRect/>
                        </a:stretch>
                      </pic:blipFill>
                      <pic:spPr>
                        <a:xfrm>
                          <a:off x="0" y="0"/>
                          <a:ext cx="7772400" cy="548640"/>
                        </a:xfrm>
                        <a:prstGeom prst="rect">
                          <a:avLst/>
                        </a:prstGeom>
                      </pic:spPr>
                    </pic:pic>
                  </wpg:wgp>
                </a:graphicData>
              </a:graphic>
            </wp:anchor>
          </w:drawing>
        </mc:Choice>
        <mc:Fallback>
          <w:pict>
            <v:group style="position:absolute;margin-left:0pt;margin-top:-.000015pt;width:1224pt;height:43.2pt;mso-position-horizontal-relative:page;mso-position-vertical-relative:page;z-index:-28361216" id="docshapegroup47" coordorigin="0,0" coordsize="24480,864">
              <v:rect style="position:absolute;left:12139;top:0;width:12341;height:864" id="docshape48" filled="true" fillcolor="#105c84" stroked="false">
                <v:fill type="solid"/>
              </v:rect>
              <v:shape style="position:absolute;left:0;top:0;width:12240;height:864" type="#_x0000_t75" id="docshape49" stroked="false">
                <v:imagedata r:id="rId1" o:title=""/>
              </v:shape>
              <w10:wrap type="none"/>
            </v:group>
          </w:pict>
        </mc:Fallback>
      </mc:AlternateContent>
    </w:r>
    <w:r>
      <w:rPr>
        <w:sz w:val="20"/>
      </w:rPr>
      <mc:AlternateContent>
        <mc:Choice Requires="wps">
          <w:drawing>
            <wp:anchor distT="0" distB="0" distL="0" distR="0" allowOverlap="1" layoutInCell="1" locked="0" behindDoc="1" simplePos="0" relativeHeight="474955776">
              <wp:simplePos x="0" y="0"/>
              <wp:positionH relativeFrom="page">
                <wp:posOffset>673100</wp:posOffset>
              </wp:positionH>
              <wp:positionV relativeFrom="page">
                <wp:posOffset>185420</wp:posOffset>
              </wp:positionV>
              <wp:extent cx="770255" cy="199390"/>
              <wp:effectExtent l="0" t="0" r="0" b="0"/>
              <wp:wrapNone/>
              <wp:docPr id="53" name="Textbox 53"/>
              <wp:cNvGraphicFramePr>
                <a:graphicFrameLocks/>
              </wp:cNvGraphicFramePr>
              <a:graphic>
                <a:graphicData uri="http://schemas.microsoft.com/office/word/2010/wordprocessingShape">
                  <wps:wsp>
                    <wps:cNvPr id="53" name="Textbox 53"/>
                    <wps:cNvSpPr txBox="1"/>
                    <wps:spPr>
                      <a:xfrm>
                        <a:off x="0" y="0"/>
                        <a:ext cx="770255" cy="199390"/>
                      </a:xfrm>
                      <a:prstGeom prst="rect">
                        <a:avLst/>
                      </a:prstGeom>
                    </wps:spPr>
                    <wps:txbx>
                      <w:txbxContent>
                        <w:p>
                          <w:pPr>
                            <w:spacing w:before="32"/>
                            <w:ind w:left="20" w:right="0" w:firstLine="0"/>
                            <w:jc w:val="left"/>
                            <w:rPr>
                              <w:sz w:val="20"/>
                            </w:rPr>
                          </w:pPr>
                          <w:r>
                            <w:rPr>
                              <w:color w:val="FFFFFF"/>
                              <w:sz w:val="20"/>
                            </w:rPr>
                            <w:t>Key</w:t>
                          </w:r>
                          <w:r>
                            <w:rPr>
                              <w:color w:val="FFFFFF"/>
                              <w:spacing w:val="-6"/>
                              <w:sz w:val="20"/>
                            </w:rPr>
                            <w:t> </w:t>
                          </w:r>
                          <w:r>
                            <w:rPr>
                              <w:color w:val="FFFFFF"/>
                              <w:spacing w:val="-2"/>
                              <w:sz w:val="20"/>
                            </w:rPr>
                            <w:t>Findings</w:t>
                          </w:r>
                        </w:p>
                      </w:txbxContent>
                    </wps:txbx>
                    <wps:bodyPr wrap="square" lIns="0" tIns="0" rIns="0" bIns="0" rtlCol="0">
                      <a:noAutofit/>
                    </wps:bodyPr>
                  </wps:wsp>
                </a:graphicData>
              </a:graphic>
            </wp:anchor>
          </w:drawing>
        </mc:Choice>
        <mc:Fallback>
          <w:pict>
            <v:shape style="position:absolute;margin-left:53pt;margin-top:14.6pt;width:60.65pt;height:15.7pt;mso-position-horizontal-relative:page;mso-position-vertical-relative:page;z-index:-28360704" type="#_x0000_t202" id="docshape50" filled="false" stroked="false">
              <v:textbox inset="0,0,0,0">
                <w:txbxContent>
                  <w:p>
                    <w:pPr>
                      <w:spacing w:before="32"/>
                      <w:ind w:left="20" w:right="0" w:firstLine="0"/>
                      <w:jc w:val="left"/>
                      <w:rPr>
                        <w:sz w:val="20"/>
                      </w:rPr>
                    </w:pPr>
                    <w:r>
                      <w:rPr>
                        <w:color w:val="FFFFFF"/>
                        <w:sz w:val="20"/>
                      </w:rPr>
                      <w:t>Key</w:t>
                    </w:r>
                    <w:r>
                      <w:rPr>
                        <w:color w:val="FFFFFF"/>
                        <w:spacing w:val="-6"/>
                        <w:sz w:val="20"/>
                      </w:rPr>
                      <w:t> </w:t>
                    </w:r>
                    <w:r>
                      <w:rPr>
                        <w:color w:val="FFFFFF"/>
                        <w:spacing w:val="-2"/>
                        <w:sz w:val="20"/>
                      </w:rPr>
                      <w:t>Findings</w:t>
                    </w:r>
                  </w:p>
                </w:txbxContent>
              </v:textbox>
              <w10:wrap type="none"/>
            </v:shape>
          </w:pict>
        </mc:Fallback>
      </mc:AlternateContent>
    </w:r>
    <w:r>
      <w:rPr>
        <w:sz w:val="20"/>
      </w:rPr>
      <mc:AlternateContent>
        <mc:Choice Requires="wps">
          <w:drawing>
            <wp:anchor distT="0" distB="0" distL="0" distR="0" allowOverlap="1" layoutInCell="1" locked="0" behindDoc="1" simplePos="0" relativeHeight="474956288">
              <wp:simplePos x="0" y="0"/>
              <wp:positionH relativeFrom="page">
                <wp:posOffset>10957593</wp:posOffset>
              </wp:positionH>
              <wp:positionV relativeFrom="page">
                <wp:posOffset>188468</wp:posOffset>
              </wp:positionV>
              <wp:extent cx="3917950" cy="199390"/>
              <wp:effectExtent l="0" t="0" r="0" b="0"/>
              <wp:wrapNone/>
              <wp:docPr id="54" name="Textbox 54"/>
              <wp:cNvGraphicFramePr>
                <a:graphicFrameLocks/>
              </wp:cNvGraphicFramePr>
              <a:graphic>
                <a:graphicData uri="http://schemas.microsoft.com/office/word/2010/wordprocessingShape">
                  <wps:wsp>
                    <wps:cNvPr id="54" name="Textbox 54"/>
                    <wps:cNvSpPr txBox="1"/>
                    <wps:spPr>
                      <a:xfrm>
                        <a:off x="0" y="0"/>
                        <a:ext cx="3917950" cy="199390"/>
                      </a:xfrm>
                      <a:prstGeom prst="rect">
                        <a:avLst/>
                      </a:prstGeom>
                    </wps:spPr>
                    <wps:txbx>
                      <w:txbxContent>
                        <w:p>
                          <w:pPr>
                            <w:spacing w:before="32"/>
                            <w:ind w:left="20" w:right="0" w:firstLine="0"/>
                            <w:jc w:val="left"/>
                            <w:rPr>
                              <w:sz w:val="20"/>
                            </w:rPr>
                          </w:pPr>
                          <w:r>
                            <w:rPr>
                              <w:color w:val="FFFFFF"/>
                              <w:sz w:val="20"/>
                            </w:rPr>
                            <w:t>FINGER</w:t>
                          </w:r>
                          <w:r>
                            <w:rPr>
                              <w:color w:val="FFFFFF"/>
                              <w:spacing w:val="9"/>
                              <w:sz w:val="20"/>
                            </w:rPr>
                            <w:t> </w:t>
                          </w:r>
                          <w:r>
                            <w:rPr>
                              <w:color w:val="FFFFFF"/>
                              <w:sz w:val="20"/>
                            </w:rPr>
                            <w:t>LAKES</w:t>
                          </w:r>
                          <w:r>
                            <w:rPr>
                              <w:color w:val="FFFFFF"/>
                              <w:spacing w:val="9"/>
                              <w:sz w:val="20"/>
                            </w:rPr>
                            <w:t> </w:t>
                          </w:r>
                          <w:r>
                            <w:rPr>
                              <w:color w:val="FFFFFF"/>
                              <w:sz w:val="20"/>
                            </w:rPr>
                            <w:t>REGIONAL</w:t>
                          </w:r>
                          <w:r>
                            <w:rPr>
                              <w:color w:val="FFFFFF"/>
                              <w:spacing w:val="9"/>
                              <w:sz w:val="20"/>
                            </w:rPr>
                            <w:t> </w:t>
                          </w:r>
                          <w:r>
                            <w:rPr>
                              <w:color w:val="FFFFFF"/>
                              <w:sz w:val="20"/>
                            </w:rPr>
                            <w:t>COMMUNITY</w:t>
                          </w:r>
                          <w:r>
                            <w:rPr>
                              <w:color w:val="FFFFFF"/>
                              <w:spacing w:val="10"/>
                              <w:sz w:val="20"/>
                            </w:rPr>
                            <w:t> </w:t>
                          </w:r>
                          <w:r>
                            <w:rPr>
                              <w:color w:val="FFFFFF"/>
                              <w:sz w:val="20"/>
                            </w:rPr>
                            <w:t>HEALTH</w:t>
                          </w:r>
                          <w:r>
                            <w:rPr>
                              <w:color w:val="FFFFFF"/>
                              <w:spacing w:val="9"/>
                              <w:sz w:val="20"/>
                            </w:rPr>
                            <w:t> </w:t>
                          </w:r>
                          <w:r>
                            <w:rPr>
                              <w:color w:val="FFFFFF"/>
                              <w:spacing w:val="-2"/>
                              <w:sz w:val="20"/>
                            </w:rPr>
                            <w:t>ASSESSMENT</w:t>
                          </w:r>
                        </w:p>
                      </w:txbxContent>
                    </wps:txbx>
                    <wps:bodyPr wrap="square" lIns="0" tIns="0" rIns="0" bIns="0" rtlCol="0">
                      <a:noAutofit/>
                    </wps:bodyPr>
                  </wps:wsp>
                </a:graphicData>
              </a:graphic>
            </wp:anchor>
          </w:drawing>
        </mc:Choice>
        <mc:Fallback>
          <w:pict>
            <v:shape style="position:absolute;margin-left:862.802612pt;margin-top:14.84pt;width:308.5pt;height:15.7pt;mso-position-horizontal-relative:page;mso-position-vertical-relative:page;z-index:-28360192" type="#_x0000_t202" id="docshape51" filled="false" stroked="false">
              <v:textbox inset="0,0,0,0">
                <w:txbxContent>
                  <w:p>
                    <w:pPr>
                      <w:spacing w:before="32"/>
                      <w:ind w:left="20" w:right="0" w:firstLine="0"/>
                      <w:jc w:val="left"/>
                      <w:rPr>
                        <w:sz w:val="20"/>
                      </w:rPr>
                    </w:pPr>
                    <w:r>
                      <w:rPr>
                        <w:color w:val="FFFFFF"/>
                        <w:sz w:val="20"/>
                      </w:rPr>
                      <w:t>FINGER</w:t>
                    </w:r>
                    <w:r>
                      <w:rPr>
                        <w:color w:val="FFFFFF"/>
                        <w:spacing w:val="9"/>
                        <w:sz w:val="20"/>
                      </w:rPr>
                      <w:t> </w:t>
                    </w:r>
                    <w:r>
                      <w:rPr>
                        <w:color w:val="FFFFFF"/>
                        <w:sz w:val="20"/>
                      </w:rPr>
                      <w:t>LAKES</w:t>
                    </w:r>
                    <w:r>
                      <w:rPr>
                        <w:color w:val="FFFFFF"/>
                        <w:spacing w:val="9"/>
                        <w:sz w:val="20"/>
                      </w:rPr>
                      <w:t> </w:t>
                    </w:r>
                    <w:r>
                      <w:rPr>
                        <w:color w:val="FFFFFF"/>
                        <w:sz w:val="20"/>
                      </w:rPr>
                      <w:t>REGIONAL</w:t>
                    </w:r>
                    <w:r>
                      <w:rPr>
                        <w:color w:val="FFFFFF"/>
                        <w:spacing w:val="9"/>
                        <w:sz w:val="20"/>
                      </w:rPr>
                      <w:t> </w:t>
                    </w:r>
                    <w:r>
                      <w:rPr>
                        <w:color w:val="FFFFFF"/>
                        <w:sz w:val="20"/>
                      </w:rPr>
                      <w:t>COMMUNITY</w:t>
                    </w:r>
                    <w:r>
                      <w:rPr>
                        <w:color w:val="FFFFFF"/>
                        <w:spacing w:val="10"/>
                        <w:sz w:val="20"/>
                      </w:rPr>
                      <w:t> </w:t>
                    </w:r>
                    <w:r>
                      <w:rPr>
                        <w:color w:val="FFFFFF"/>
                        <w:sz w:val="20"/>
                      </w:rPr>
                      <w:t>HEALTH</w:t>
                    </w:r>
                    <w:r>
                      <w:rPr>
                        <w:color w:val="FFFFFF"/>
                        <w:spacing w:val="9"/>
                        <w:sz w:val="20"/>
                      </w:rPr>
                      <w:t> </w:t>
                    </w:r>
                    <w:r>
                      <w:rPr>
                        <w:color w:val="FFFFFF"/>
                        <w:spacing w:val="-2"/>
                        <w:sz w:val="20"/>
                      </w:rPr>
                      <w:t>ASSESSMENT</w:t>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4969600">
              <wp:simplePos x="0" y="0"/>
              <wp:positionH relativeFrom="page">
                <wp:posOffset>0</wp:posOffset>
              </wp:positionH>
              <wp:positionV relativeFrom="page">
                <wp:posOffset>0</wp:posOffset>
              </wp:positionV>
              <wp:extent cx="15544800" cy="548640"/>
              <wp:effectExtent l="0" t="0" r="0" b="0"/>
              <wp:wrapNone/>
              <wp:docPr id="1793" name="Group 1793"/>
              <wp:cNvGraphicFramePr>
                <a:graphicFrameLocks/>
              </wp:cNvGraphicFramePr>
              <a:graphic>
                <a:graphicData uri="http://schemas.microsoft.com/office/word/2010/wordprocessingGroup">
                  <wpg:wgp>
                    <wpg:cNvPr id="1793" name="Group 1793"/>
                    <wpg:cNvGrpSpPr/>
                    <wpg:grpSpPr>
                      <a:xfrm>
                        <a:off x="0" y="0"/>
                        <a:ext cx="15544800" cy="548640"/>
                        <a:chExt cx="15544800" cy="548640"/>
                      </a:xfrm>
                    </wpg:grpSpPr>
                    <wps:wsp>
                      <wps:cNvPr id="1794" name="Graphic 1794"/>
                      <wps:cNvSpPr/>
                      <wps:spPr>
                        <a:xfrm>
                          <a:off x="0" y="0"/>
                          <a:ext cx="15544800" cy="548640"/>
                        </a:xfrm>
                        <a:custGeom>
                          <a:avLst/>
                          <a:gdLst/>
                          <a:ahLst/>
                          <a:cxnLst/>
                          <a:rect l="l" t="t" r="r" b="b"/>
                          <a:pathLst>
                            <a:path w="15544800" h="548640">
                              <a:moveTo>
                                <a:pt x="15544800" y="0"/>
                              </a:moveTo>
                              <a:lnTo>
                                <a:pt x="7781544" y="0"/>
                              </a:lnTo>
                              <a:lnTo>
                                <a:pt x="7690104" y="0"/>
                              </a:lnTo>
                              <a:lnTo>
                                <a:pt x="0" y="0"/>
                              </a:lnTo>
                              <a:lnTo>
                                <a:pt x="0" y="548640"/>
                              </a:lnTo>
                              <a:lnTo>
                                <a:pt x="7690104" y="548640"/>
                              </a:lnTo>
                              <a:lnTo>
                                <a:pt x="7781544" y="548640"/>
                              </a:lnTo>
                              <a:lnTo>
                                <a:pt x="15544800" y="548640"/>
                              </a:lnTo>
                              <a:lnTo>
                                <a:pt x="15544800" y="0"/>
                              </a:lnTo>
                              <a:close/>
                            </a:path>
                          </a:pathLst>
                        </a:custGeom>
                        <a:solidFill>
                          <a:srgbClr val="105C84"/>
                        </a:solidFill>
                      </wps:spPr>
                      <wps:bodyPr wrap="square" lIns="0" tIns="0" rIns="0" bIns="0" rtlCol="0">
                        <a:prstTxWarp prst="textNoShape">
                          <a:avLst/>
                        </a:prstTxWarp>
                        <a:noAutofit/>
                      </wps:bodyPr>
                    </wps:wsp>
                    <pic:pic>
                      <pic:nvPicPr>
                        <pic:cNvPr id="1795" name="Image 1795"/>
                        <pic:cNvPicPr/>
                      </pic:nvPicPr>
                      <pic:blipFill>
                        <a:blip r:embed="rId1" cstate="print"/>
                        <a:stretch>
                          <a:fillRect/>
                        </a:stretch>
                      </pic:blipFill>
                      <pic:spPr>
                        <a:xfrm>
                          <a:off x="0" y="0"/>
                          <a:ext cx="7710729" cy="543052"/>
                        </a:xfrm>
                        <a:prstGeom prst="rect">
                          <a:avLst/>
                        </a:prstGeom>
                      </pic:spPr>
                    </pic:pic>
                  </wpg:wgp>
                </a:graphicData>
              </a:graphic>
            </wp:anchor>
          </w:drawing>
        </mc:Choice>
        <mc:Fallback>
          <w:pict>
            <v:group style="position:absolute;margin-left:0pt;margin-top:-.000015pt;width:1224pt;height:43.2pt;mso-position-horizontal-relative:page;mso-position-vertical-relative:page;z-index:-28346880" id="docshapegroup1385" coordorigin="0,0" coordsize="24480,864">
              <v:shape style="position:absolute;left:0;top:0;width:24480;height:864" id="docshape1386" coordorigin="0,0" coordsize="24480,864" path="m24480,0l12254,0,12110,0,0,0,0,864,12110,864,12254,864,24480,864,24480,0xe" filled="true" fillcolor="#105c84" stroked="false">
                <v:path arrowok="t"/>
                <v:fill type="solid"/>
              </v:shape>
              <v:shape style="position:absolute;left:0;top:0;width:12143;height:856" type="#_x0000_t75" id="docshape1387" stroked="false">
                <v:imagedata r:id="rId1" o:title=""/>
              </v:shape>
              <w10:wrap type="none"/>
            </v:group>
          </w:pict>
        </mc:Fallback>
      </mc:AlternateContent>
    </w:r>
    <w:r>
      <w:rPr>
        <w:sz w:val="20"/>
      </w:rPr>
      <mc:AlternateContent>
        <mc:Choice Requires="wps">
          <w:drawing>
            <wp:anchor distT="0" distB="0" distL="0" distR="0" allowOverlap="1" layoutInCell="1" locked="0" behindDoc="1" simplePos="0" relativeHeight="474970112">
              <wp:simplePos x="0" y="0"/>
              <wp:positionH relativeFrom="page">
                <wp:posOffset>691387</wp:posOffset>
              </wp:positionH>
              <wp:positionV relativeFrom="page">
                <wp:posOffset>189992</wp:posOffset>
              </wp:positionV>
              <wp:extent cx="740410" cy="199390"/>
              <wp:effectExtent l="0" t="0" r="0" b="0"/>
              <wp:wrapNone/>
              <wp:docPr id="1796" name="Textbox 1796"/>
              <wp:cNvGraphicFramePr>
                <a:graphicFrameLocks/>
              </wp:cNvGraphicFramePr>
              <a:graphic>
                <a:graphicData uri="http://schemas.microsoft.com/office/word/2010/wordprocessingShape">
                  <wps:wsp>
                    <wps:cNvPr id="1796" name="Textbox 1796"/>
                    <wps:cNvSpPr txBox="1"/>
                    <wps:spPr>
                      <a:xfrm>
                        <a:off x="0" y="0"/>
                        <a:ext cx="740410" cy="199390"/>
                      </a:xfrm>
                      <a:prstGeom prst="rect">
                        <a:avLst/>
                      </a:prstGeom>
                    </wps:spPr>
                    <wps:txbx>
                      <w:txbxContent>
                        <w:p>
                          <w:pPr>
                            <w:spacing w:before="32"/>
                            <w:ind w:left="20" w:right="0" w:firstLine="0"/>
                            <w:jc w:val="left"/>
                            <w:rPr>
                              <w:b/>
                              <w:sz w:val="20"/>
                            </w:rPr>
                          </w:pPr>
                          <w:r>
                            <w:rPr>
                              <w:b/>
                              <w:color w:val="FFFFFF"/>
                              <w:sz w:val="20"/>
                            </w:rPr>
                            <w:t>Appendix</w:t>
                          </w:r>
                          <w:r>
                            <w:rPr>
                              <w:b/>
                              <w:color w:val="FFFFFF"/>
                              <w:spacing w:val="20"/>
                              <w:sz w:val="20"/>
                            </w:rPr>
                            <w:t> </w:t>
                          </w:r>
                          <w:r>
                            <w:rPr>
                              <w:b/>
                              <w:color w:val="FFFFFF"/>
                              <w:spacing w:val="-10"/>
                              <w:sz w:val="20"/>
                            </w:rPr>
                            <w:t>C</w:t>
                          </w:r>
                        </w:p>
                      </w:txbxContent>
                    </wps:txbx>
                    <wps:bodyPr wrap="square" lIns="0" tIns="0" rIns="0" bIns="0" rtlCol="0">
                      <a:noAutofit/>
                    </wps:bodyPr>
                  </wps:wsp>
                </a:graphicData>
              </a:graphic>
            </wp:anchor>
          </w:drawing>
        </mc:Choice>
        <mc:Fallback>
          <w:pict>
            <v:shape style="position:absolute;margin-left:54.439999pt;margin-top:14.96pt;width:58.3pt;height:15.7pt;mso-position-horizontal-relative:page;mso-position-vertical-relative:page;z-index:-28346368" type="#_x0000_t202" id="docshape1388" filled="false" stroked="false">
              <v:textbox inset="0,0,0,0">
                <w:txbxContent>
                  <w:p>
                    <w:pPr>
                      <w:spacing w:before="32"/>
                      <w:ind w:left="20" w:right="0" w:firstLine="0"/>
                      <w:jc w:val="left"/>
                      <w:rPr>
                        <w:b/>
                        <w:sz w:val="20"/>
                      </w:rPr>
                    </w:pPr>
                    <w:r>
                      <w:rPr>
                        <w:b/>
                        <w:color w:val="FFFFFF"/>
                        <w:sz w:val="20"/>
                      </w:rPr>
                      <w:t>Appendix</w:t>
                    </w:r>
                    <w:r>
                      <w:rPr>
                        <w:b/>
                        <w:color w:val="FFFFFF"/>
                        <w:spacing w:val="20"/>
                        <w:sz w:val="20"/>
                      </w:rPr>
                      <w:t> </w:t>
                    </w:r>
                    <w:r>
                      <w:rPr>
                        <w:b/>
                        <w:color w:val="FFFFFF"/>
                        <w:spacing w:val="-10"/>
                        <w:sz w:val="20"/>
                      </w:rPr>
                      <w:t>C</w:t>
                    </w:r>
                  </w:p>
                </w:txbxContent>
              </v:textbox>
              <w10:wrap type="none"/>
            </v:shape>
          </w:pict>
        </mc:Fallback>
      </mc:AlternateContent>
    </w:r>
    <w:r>
      <w:rPr>
        <w:sz w:val="20"/>
      </w:rPr>
      <mc:AlternateContent>
        <mc:Choice Requires="wps">
          <w:drawing>
            <wp:anchor distT="0" distB="0" distL="0" distR="0" allowOverlap="1" layoutInCell="1" locked="0" behindDoc="1" simplePos="0" relativeHeight="474970624">
              <wp:simplePos x="0" y="0"/>
              <wp:positionH relativeFrom="page">
                <wp:posOffset>10957593</wp:posOffset>
              </wp:positionH>
              <wp:positionV relativeFrom="page">
                <wp:posOffset>188468</wp:posOffset>
              </wp:positionV>
              <wp:extent cx="3917950" cy="199390"/>
              <wp:effectExtent l="0" t="0" r="0" b="0"/>
              <wp:wrapNone/>
              <wp:docPr id="1797" name="Textbox 1797"/>
              <wp:cNvGraphicFramePr>
                <a:graphicFrameLocks/>
              </wp:cNvGraphicFramePr>
              <a:graphic>
                <a:graphicData uri="http://schemas.microsoft.com/office/word/2010/wordprocessingShape">
                  <wps:wsp>
                    <wps:cNvPr id="1797" name="Textbox 1797"/>
                    <wps:cNvSpPr txBox="1"/>
                    <wps:spPr>
                      <a:xfrm>
                        <a:off x="0" y="0"/>
                        <a:ext cx="3917950" cy="199390"/>
                      </a:xfrm>
                      <a:prstGeom prst="rect">
                        <a:avLst/>
                      </a:prstGeom>
                    </wps:spPr>
                    <wps:txbx>
                      <w:txbxContent>
                        <w:p>
                          <w:pPr>
                            <w:spacing w:before="32"/>
                            <w:ind w:left="20" w:right="0" w:firstLine="0"/>
                            <w:jc w:val="left"/>
                            <w:rPr>
                              <w:sz w:val="20"/>
                            </w:rPr>
                          </w:pPr>
                          <w:r>
                            <w:rPr>
                              <w:color w:val="FFFFFF"/>
                              <w:sz w:val="20"/>
                            </w:rPr>
                            <w:t>FINGER</w:t>
                          </w:r>
                          <w:r>
                            <w:rPr>
                              <w:color w:val="FFFFFF"/>
                              <w:spacing w:val="9"/>
                              <w:sz w:val="20"/>
                            </w:rPr>
                            <w:t> </w:t>
                          </w:r>
                          <w:r>
                            <w:rPr>
                              <w:color w:val="FFFFFF"/>
                              <w:sz w:val="20"/>
                            </w:rPr>
                            <w:t>LAKES</w:t>
                          </w:r>
                          <w:r>
                            <w:rPr>
                              <w:color w:val="FFFFFF"/>
                              <w:spacing w:val="9"/>
                              <w:sz w:val="20"/>
                            </w:rPr>
                            <w:t> </w:t>
                          </w:r>
                          <w:r>
                            <w:rPr>
                              <w:color w:val="FFFFFF"/>
                              <w:sz w:val="20"/>
                            </w:rPr>
                            <w:t>REGIONAL</w:t>
                          </w:r>
                          <w:r>
                            <w:rPr>
                              <w:color w:val="FFFFFF"/>
                              <w:spacing w:val="9"/>
                              <w:sz w:val="20"/>
                            </w:rPr>
                            <w:t> </w:t>
                          </w:r>
                          <w:r>
                            <w:rPr>
                              <w:color w:val="FFFFFF"/>
                              <w:sz w:val="20"/>
                            </w:rPr>
                            <w:t>COMMUNITY</w:t>
                          </w:r>
                          <w:r>
                            <w:rPr>
                              <w:color w:val="FFFFFF"/>
                              <w:spacing w:val="10"/>
                              <w:sz w:val="20"/>
                            </w:rPr>
                            <w:t> </w:t>
                          </w:r>
                          <w:r>
                            <w:rPr>
                              <w:color w:val="FFFFFF"/>
                              <w:sz w:val="20"/>
                            </w:rPr>
                            <w:t>HEALTH</w:t>
                          </w:r>
                          <w:r>
                            <w:rPr>
                              <w:color w:val="FFFFFF"/>
                              <w:spacing w:val="9"/>
                              <w:sz w:val="20"/>
                            </w:rPr>
                            <w:t> </w:t>
                          </w:r>
                          <w:r>
                            <w:rPr>
                              <w:color w:val="FFFFFF"/>
                              <w:spacing w:val="-2"/>
                              <w:sz w:val="20"/>
                            </w:rPr>
                            <w:t>ASSESSMENT</w:t>
                          </w:r>
                        </w:p>
                      </w:txbxContent>
                    </wps:txbx>
                    <wps:bodyPr wrap="square" lIns="0" tIns="0" rIns="0" bIns="0" rtlCol="0">
                      <a:noAutofit/>
                    </wps:bodyPr>
                  </wps:wsp>
                </a:graphicData>
              </a:graphic>
            </wp:anchor>
          </w:drawing>
        </mc:Choice>
        <mc:Fallback>
          <w:pict>
            <v:shape style="position:absolute;margin-left:862.802612pt;margin-top:14.84pt;width:308.5pt;height:15.7pt;mso-position-horizontal-relative:page;mso-position-vertical-relative:page;z-index:-28345856" type="#_x0000_t202" id="docshape1389" filled="false" stroked="false">
              <v:textbox inset="0,0,0,0">
                <w:txbxContent>
                  <w:p>
                    <w:pPr>
                      <w:spacing w:before="32"/>
                      <w:ind w:left="20" w:right="0" w:firstLine="0"/>
                      <w:jc w:val="left"/>
                      <w:rPr>
                        <w:sz w:val="20"/>
                      </w:rPr>
                    </w:pPr>
                    <w:r>
                      <w:rPr>
                        <w:color w:val="FFFFFF"/>
                        <w:sz w:val="20"/>
                      </w:rPr>
                      <w:t>FINGER</w:t>
                    </w:r>
                    <w:r>
                      <w:rPr>
                        <w:color w:val="FFFFFF"/>
                        <w:spacing w:val="9"/>
                        <w:sz w:val="20"/>
                      </w:rPr>
                      <w:t> </w:t>
                    </w:r>
                    <w:r>
                      <w:rPr>
                        <w:color w:val="FFFFFF"/>
                        <w:sz w:val="20"/>
                      </w:rPr>
                      <w:t>LAKES</w:t>
                    </w:r>
                    <w:r>
                      <w:rPr>
                        <w:color w:val="FFFFFF"/>
                        <w:spacing w:val="9"/>
                        <w:sz w:val="20"/>
                      </w:rPr>
                      <w:t> </w:t>
                    </w:r>
                    <w:r>
                      <w:rPr>
                        <w:color w:val="FFFFFF"/>
                        <w:sz w:val="20"/>
                      </w:rPr>
                      <w:t>REGIONAL</w:t>
                    </w:r>
                    <w:r>
                      <w:rPr>
                        <w:color w:val="FFFFFF"/>
                        <w:spacing w:val="9"/>
                        <w:sz w:val="20"/>
                      </w:rPr>
                      <w:t> </w:t>
                    </w:r>
                    <w:r>
                      <w:rPr>
                        <w:color w:val="FFFFFF"/>
                        <w:sz w:val="20"/>
                      </w:rPr>
                      <w:t>COMMUNITY</w:t>
                    </w:r>
                    <w:r>
                      <w:rPr>
                        <w:color w:val="FFFFFF"/>
                        <w:spacing w:val="10"/>
                        <w:sz w:val="20"/>
                      </w:rPr>
                      <w:t> </w:t>
                    </w:r>
                    <w:r>
                      <w:rPr>
                        <w:color w:val="FFFFFF"/>
                        <w:sz w:val="20"/>
                      </w:rPr>
                      <w:t>HEALTH</w:t>
                    </w:r>
                    <w:r>
                      <w:rPr>
                        <w:color w:val="FFFFFF"/>
                        <w:spacing w:val="9"/>
                        <w:sz w:val="20"/>
                      </w:rPr>
                      <w:t> </w:t>
                    </w:r>
                    <w:r>
                      <w:rPr>
                        <w:color w:val="FFFFFF"/>
                        <w:spacing w:val="-2"/>
                        <w:sz w:val="20"/>
                      </w:rPr>
                      <w:t>ASSESSMENT</w:t>
                    </w:r>
                  </w:p>
                </w:txbxContent>
              </v:textbox>
              <w10:wrap type="none"/>
            </v:shape>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4971136">
              <wp:simplePos x="0" y="0"/>
              <wp:positionH relativeFrom="page">
                <wp:posOffset>0</wp:posOffset>
              </wp:positionH>
              <wp:positionV relativeFrom="page">
                <wp:posOffset>0</wp:posOffset>
              </wp:positionV>
              <wp:extent cx="15544800" cy="548640"/>
              <wp:effectExtent l="0" t="0" r="0" b="0"/>
              <wp:wrapNone/>
              <wp:docPr id="1868" name="Group 1868"/>
              <wp:cNvGraphicFramePr>
                <a:graphicFrameLocks/>
              </wp:cNvGraphicFramePr>
              <a:graphic>
                <a:graphicData uri="http://schemas.microsoft.com/office/word/2010/wordprocessingGroup">
                  <wpg:wgp>
                    <wpg:cNvPr id="1868" name="Group 1868"/>
                    <wpg:cNvGrpSpPr/>
                    <wpg:grpSpPr>
                      <a:xfrm>
                        <a:off x="0" y="0"/>
                        <a:ext cx="15544800" cy="548640"/>
                        <a:chExt cx="15544800" cy="548640"/>
                      </a:xfrm>
                    </wpg:grpSpPr>
                    <wps:wsp>
                      <wps:cNvPr id="1869" name="Graphic 1869"/>
                      <wps:cNvSpPr/>
                      <wps:spPr>
                        <a:xfrm>
                          <a:off x="7708392" y="0"/>
                          <a:ext cx="7836534" cy="548640"/>
                        </a:xfrm>
                        <a:custGeom>
                          <a:avLst/>
                          <a:gdLst/>
                          <a:ahLst/>
                          <a:cxnLst/>
                          <a:rect l="l" t="t" r="r" b="b"/>
                          <a:pathLst>
                            <a:path w="7836534" h="548640">
                              <a:moveTo>
                                <a:pt x="0" y="0"/>
                              </a:moveTo>
                              <a:lnTo>
                                <a:pt x="0" y="548640"/>
                              </a:lnTo>
                              <a:lnTo>
                                <a:pt x="7836408" y="548640"/>
                              </a:lnTo>
                              <a:lnTo>
                                <a:pt x="7836408" y="0"/>
                              </a:lnTo>
                              <a:lnTo>
                                <a:pt x="0" y="0"/>
                              </a:lnTo>
                              <a:close/>
                            </a:path>
                          </a:pathLst>
                        </a:custGeom>
                        <a:solidFill>
                          <a:srgbClr val="105C84"/>
                        </a:solidFill>
                      </wps:spPr>
                      <wps:bodyPr wrap="square" lIns="0" tIns="0" rIns="0" bIns="0" rtlCol="0">
                        <a:prstTxWarp prst="textNoShape">
                          <a:avLst/>
                        </a:prstTxWarp>
                        <a:noAutofit/>
                      </wps:bodyPr>
                    </wps:wsp>
                    <pic:pic>
                      <pic:nvPicPr>
                        <pic:cNvPr id="1870" name="Image 1870"/>
                        <pic:cNvPicPr/>
                      </pic:nvPicPr>
                      <pic:blipFill>
                        <a:blip r:embed="rId1" cstate="print"/>
                        <a:stretch>
                          <a:fillRect/>
                        </a:stretch>
                      </pic:blipFill>
                      <pic:spPr>
                        <a:xfrm>
                          <a:off x="0" y="0"/>
                          <a:ext cx="7772400" cy="548640"/>
                        </a:xfrm>
                        <a:prstGeom prst="rect">
                          <a:avLst/>
                        </a:prstGeom>
                      </pic:spPr>
                    </pic:pic>
                  </wpg:wgp>
                </a:graphicData>
              </a:graphic>
            </wp:anchor>
          </w:drawing>
        </mc:Choice>
        <mc:Fallback>
          <w:pict>
            <v:group style="position:absolute;margin-left:0pt;margin-top:-.000015pt;width:1224pt;height:43.2pt;mso-position-horizontal-relative:page;mso-position-vertical-relative:page;z-index:-28345344" id="docshapegroup1390" coordorigin="0,0" coordsize="24480,864">
              <v:rect style="position:absolute;left:12139;top:0;width:12341;height:864" id="docshape1391" filled="true" fillcolor="#105c84" stroked="false">
                <v:fill type="solid"/>
              </v:rect>
              <v:shape style="position:absolute;left:0;top:0;width:12240;height:864" type="#_x0000_t75" id="docshape1392" stroked="false">
                <v:imagedata r:id="rId1" o:title=""/>
              </v:shape>
              <w10:wrap type="none"/>
            </v:group>
          </w:pict>
        </mc:Fallback>
      </mc:AlternateContent>
    </w:r>
    <w:r>
      <w:rPr>
        <w:sz w:val="20"/>
      </w:rPr>
      <mc:AlternateContent>
        <mc:Choice Requires="wps">
          <w:drawing>
            <wp:anchor distT="0" distB="0" distL="0" distR="0" allowOverlap="1" layoutInCell="1" locked="0" behindDoc="1" simplePos="0" relativeHeight="474971648">
              <wp:simplePos x="0" y="0"/>
              <wp:positionH relativeFrom="page">
                <wp:posOffset>691387</wp:posOffset>
              </wp:positionH>
              <wp:positionV relativeFrom="page">
                <wp:posOffset>189992</wp:posOffset>
              </wp:positionV>
              <wp:extent cx="749935" cy="199390"/>
              <wp:effectExtent l="0" t="0" r="0" b="0"/>
              <wp:wrapNone/>
              <wp:docPr id="1871" name="Textbox 1871"/>
              <wp:cNvGraphicFramePr>
                <a:graphicFrameLocks/>
              </wp:cNvGraphicFramePr>
              <a:graphic>
                <a:graphicData uri="http://schemas.microsoft.com/office/word/2010/wordprocessingShape">
                  <wps:wsp>
                    <wps:cNvPr id="1871" name="Textbox 1871"/>
                    <wps:cNvSpPr txBox="1"/>
                    <wps:spPr>
                      <a:xfrm>
                        <a:off x="0" y="0"/>
                        <a:ext cx="749935" cy="199390"/>
                      </a:xfrm>
                      <a:prstGeom prst="rect">
                        <a:avLst/>
                      </a:prstGeom>
                    </wps:spPr>
                    <wps:txbx>
                      <w:txbxContent>
                        <w:p>
                          <w:pPr>
                            <w:spacing w:before="32"/>
                            <w:ind w:left="20" w:right="0" w:firstLine="0"/>
                            <w:jc w:val="left"/>
                            <w:rPr>
                              <w:b/>
                              <w:sz w:val="20"/>
                            </w:rPr>
                          </w:pPr>
                          <w:r>
                            <w:rPr>
                              <w:b/>
                              <w:color w:val="FFFFFF"/>
                              <w:sz w:val="20"/>
                            </w:rPr>
                            <w:t>Appendix</w:t>
                          </w:r>
                          <w:r>
                            <w:rPr>
                              <w:b/>
                              <w:color w:val="FFFFFF"/>
                              <w:spacing w:val="20"/>
                              <w:sz w:val="20"/>
                            </w:rPr>
                            <w:t> </w:t>
                          </w:r>
                          <w:r>
                            <w:rPr>
                              <w:b/>
                              <w:color w:val="FFFFFF"/>
                              <w:spacing w:val="-10"/>
                              <w:sz w:val="20"/>
                            </w:rPr>
                            <w:t>D</w:t>
                          </w:r>
                        </w:p>
                      </w:txbxContent>
                    </wps:txbx>
                    <wps:bodyPr wrap="square" lIns="0" tIns="0" rIns="0" bIns="0" rtlCol="0">
                      <a:noAutofit/>
                    </wps:bodyPr>
                  </wps:wsp>
                </a:graphicData>
              </a:graphic>
            </wp:anchor>
          </w:drawing>
        </mc:Choice>
        <mc:Fallback>
          <w:pict>
            <v:shape style="position:absolute;margin-left:54.439999pt;margin-top:14.96pt;width:59.05pt;height:15.7pt;mso-position-horizontal-relative:page;mso-position-vertical-relative:page;z-index:-28344832" type="#_x0000_t202" id="docshape1393" filled="false" stroked="false">
              <v:textbox inset="0,0,0,0">
                <w:txbxContent>
                  <w:p>
                    <w:pPr>
                      <w:spacing w:before="32"/>
                      <w:ind w:left="20" w:right="0" w:firstLine="0"/>
                      <w:jc w:val="left"/>
                      <w:rPr>
                        <w:b/>
                        <w:sz w:val="20"/>
                      </w:rPr>
                    </w:pPr>
                    <w:r>
                      <w:rPr>
                        <w:b/>
                        <w:color w:val="FFFFFF"/>
                        <w:sz w:val="20"/>
                      </w:rPr>
                      <w:t>Appendix</w:t>
                    </w:r>
                    <w:r>
                      <w:rPr>
                        <w:b/>
                        <w:color w:val="FFFFFF"/>
                        <w:spacing w:val="20"/>
                        <w:sz w:val="20"/>
                      </w:rPr>
                      <w:t> </w:t>
                    </w:r>
                    <w:r>
                      <w:rPr>
                        <w:b/>
                        <w:color w:val="FFFFFF"/>
                        <w:spacing w:val="-10"/>
                        <w:sz w:val="20"/>
                      </w:rPr>
                      <w:t>D</w:t>
                    </w:r>
                  </w:p>
                </w:txbxContent>
              </v:textbox>
              <w10:wrap type="none"/>
            </v:shape>
          </w:pict>
        </mc:Fallback>
      </mc:AlternateContent>
    </w:r>
    <w:r>
      <w:rPr>
        <w:sz w:val="20"/>
      </w:rPr>
      <mc:AlternateContent>
        <mc:Choice Requires="wps">
          <w:drawing>
            <wp:anchor distT="0" distB="0" distL="0" distR="0" allowOverlap="1" layoutInCell="1" locked="0" behindDoc="1" simplePos="0" relativeHeight="474972160">
              <wp:simplePos x="0" y="0"/>
              <wp:positionH relativeFrom="page">
                <wp:posOffset>10957593</wp:posOffset>
              </wp:positionH>
              <wp:positionV relativeFrom="page">
                <wp:posOffset>188468</wp:posOffset>
              </wp:positionV>
              <wp:extent cx="3917950" cy="199390"/>
              <wp:effectExtent l="0" t="0" r="0" b="0"/>
              <wp:wrapNone/>
              <wp:docPr id="1872" name="Textbox 1872"/>
              <wp:cNvGraphicFramePr>
                <a:graphicFrameLocks/>
              </wp:cNvGraphicFramePr>
              <a:graphic>
                <a:graphicData uri="http://schemas.microsoft.com/office/word/2010/wordprocessingShape">
                  <wps:wsp>
                    <wps:cNvPr id="1872" name="Textbox 1872"/>
                    <wps:cNvSpPr txBox="1"/>
                    <wps:spPr>
                      <a:xfrm>
                        <a:off x="0" y="0"/>
                        <a:ext cx="3917950" cy="199390"/>
                      </a:xfrm>
                      <a:prstGeom prst="rect">
                        <a:avLst/>
                      </a:prstGeom>
                    </wps:spPr>
                    <wps:txbx>
                      <w:txbxContent>
                        <w:p>
                          <w:pPr>
                            <w:spacing w:before="32"/>
                            <w:ind w:left="20" w:right="0" w:firstLine="0"/>
                            <w:jc w:val="left"/>
                            <w:rPr>
                              <w:sz w:val="20"/>
                            </w:rPr>
                          </w:pPr>
                          <w:r>
                            <w:rPr>
                              <w:color w:val="FFFFFF"/>
                              <w:sz w:val="20"/>
                            </w:rPr>
                            <w:t>FINGER</w:t>
                          </w:r>
                          <w:r>
                            <w:rPr>
                              <w:color w:val="FFFFFF"/>
                              <w:spacing w:val="9"/>
                              <w:sz w:val="20"/>
                            </w:rPr>
                            <w:t> </w:t>
                          </w:r>
                          <w:r>
                            <w:rPr>
                              <w:color w:val="FFFFFF"/>
                              <w:sz w:val="20"/>
                            </w:rPr>
                            <w:t>LAKES</w:t>
                          </w:r>
                          <w:r>
                            <w:rPr>
                              <w:color w:val="FFFFFF"/>
                              <w:spacing w:val="9"/>
                              <w:sz w:val="20"/>
                            </w:rPr>
                            <w:t> </w:t>
                          </w:r>
                          <w:r>
                            <w:rPr>
                              <w:color w:val="FFFFFF"/>
                              <w:sz w:val="20"/>
                            </w:rPr>
                            <w:t>REGIONAL</w:t>
                          </w:r>
                          <w:r>
                            <w:rPr>
                              <w:color w:val="FFFFFF"/>
                              <w:spacing w:val="9"/>
                              <w:sz w:val="20"/>
                            </w:rPr>
                            <w:t> </w:t>
                          </w:r>
                          <w:r>
                            <w:rPr>
                              <w:color w:val="FFFFFF"/>
                              <w:sz w:val="20"/>
                            </w:rPr>
                            <w:t>COMMUNITY</w:t>
                          </w:r>
                          <w:r>
                            <w:rPr>
                              <w:color w:val="FFFFFF"/>
                              <w:spacing w:val="10"/>
                              <w:sz w:val="20"/>
                            </w:rPr>
                            <w:t> </w:t>
                          </w:r>
                          <w:r>
                            <w:rPr>
                              <w:color w:val="FFFFFF"/>
                              <w:sz w:val="20"/>
                            </w:rPr>
                            <w:t>HEALTH</w:t>
                          </w:r>
                          <w:r>
                            <w:rPr>
                              <w:color w:val="FFFFFF"/>
                              <w:spacing w:val="9"/>
                              <w:sz w:val="20"/>
                            </w:rPr>
                            <w:t> </w:t>
                          </w:r>
                          <w:r>
                            <w:rPr>
                              <w:color w:val="FFFFFF"/>
                              <w:spacing w:val="-2"/>
                              <w:sz w:val="20"/>
                            </w:rPr>
                            <w:t>ASSESSMENT</w:t>
                          </w:r>
                        </w:p>
                      </w:txbxContent>
                    </wps:txbx>
                    <wps:bodyPr wrap="square" lIns="0" tIns="0" rIns="0" bIns="0" rtlCol="0">
                      <a:noAutofit/>
                    </wps:bodyPr>
                  </wps:wsp>
                </a:graphicData>
              </a:graphic>
            </wp:anchor>
          </w:drawing>
        </mc:Choice>
        <mc:Fallback>
          <w:pict>
            <v:shape style="position:absolute;margin-left:862.802612pt;margin-top:14.84pt;width:308.5pt;height:15.7pt;mso-position-horizontal-relative:page;mso-position-vertical-relative:page;z-index:-28344320" type="#_x0000_t202" id="docshape1394" filled="false" stroked="false">
              <v:textbox inset="0,0,0,0">
                <w:txbxContent>
                  <w:p>
                    <w:pPr>
                      <w:spacing w:before="32"/>
                      <w:ind w:left="20" w:right="0" w:firstLine="0"/>
                      <w:jc w:val="left"/>
                      <w:rPr>
                        <w:sz w:val="20"/>
                      </w:rPr>
                    </w:pPr>
                    <w:r>
                      <w:rPr>
                        <w:color w:val="FFFFFF"/>
                        <w:sz w:val="20"/>
                      </w:rPr>
                      <w:t>FINGER</w:t>
                    </w:r>
                    <w:r>
                      <w:rPr>
                        <w:color w:val="FFFFFF"/>
                        <w:spacing w:val="9"/>
                        <w:sz w:val="20"/>
                      </w:rPr>
                      <w:t> </w:t>
                    </w:r>
                    <w:r>
                      <w:rPr>
                        <w:color w:val="FFFFFF"/>
                        <w:sz w:val="20"/>
                      </w:rPr>
                      <w:t>LAKES</w:t>
                    </w:r>
                    <w:r>
                      <w:rPr>
                        <w:color w:val="FFFFFF"/>
                        <w:spacing w:val="9"/>
                        <w:sz w:val="20"/>
                      </w:rPr>
                      <w:t> </w:t>
                    </w:r>
                    <w:r>
                      <w:rPr>
                        <w:color w:val="FFFFFF"/>
                        <w:sz w:val="20"/>
                      </w:rPr>
                      <w:t>REGIONAL</w:t>
                    </w:r>
                    <w:r>
                      <w:rPr>
                        <w:color w:val="FFFFFF"/>
                        <w:spacing w:val="9"/>
                        <w:sz w:val="20"/>
                      </w:rPr>
                      <w:t> </w:t>
                    </w:r>
                    <w:r>
                      <w:rPr>
                        <w:color w:val="FFFFFF"/>
                        <w:sz w:val="20"/>
                      </w:rPr>
                      <w:t>COMMUNITY</w:t>
                    </w:r>
                    <w:r>
                      <w:rPr>
                        <w:color w:val="FFFFFF"/>
                        <w:spacing w:val="10"/>
                        <w:sz w:val="20"/>
                      </w:rPr>
                      <w:t> </w:t>
                    </w:r>
                    <w:r>
                      <w:rPr>
                        <w:color w:val="FFFFFF"/>
                        <w:sz w:val="20"/>
                      </w:rPr>
                      <w:t>HEALTH</w:t>
                    </w:r>
                    <w:r>
                      <w:rPr>
                        <w:color w:val="FFFFFF"/>
                        <w:spacing w:val="9"/>
                        <w:sz w:val="20"/>
                      </w:rPr>
                      <w:t> </w:t>
                    </w:r>
                    <w:r>
                      <w:rPr>
                        <w:color w:val="FFFFFF"/>
                        <w:spacing w:val="-2"/>
                        <w:sz w:val="20"/>
                      </w:rPr>
                      <w:t>ASSESSMENT</w:t>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4972672">
              <wp:simplePos x="0" y="0"/>
              <wp:positionH relativeFrom="page">
                <wp:posOffset>0</wp:posOffset>
              </wp:positionH>
              <wp:positionV relativeFrom="page">
                <wp:posOffset>0</wp:posOffset>
              </wp:positionV>
              <wp:extent cx="15544800" cy="548640"/>
              <wp:effectExtent l="0" t="0" r="0" b="0"/>
              <wp:wrapNone/>
              <wp:docPr id="1897" name="Group 1897"/>
              <wp:cNvGraphicFramePr>
                <a:graphicFrameLocks/>
              </wp:cNvGraphicFramePr>
              <a:graphic>
                <a:graphicData uri="http://schemas.microsoft.com/office/word/2010/wordprocessingGroup">
                  <wpg:wgp>
                    <wpg:cNvPr id="1897" name="Group 1897"/>
                    <wpg:cNvGrpSpPr/>
                    <wpg:grpSpPr>
                      <a:xfrm>
                        <a:off x="0" y="0"/>
                        <a:ext cx="15544800" cy="548640"/>
                        <a:chExt cx="15544800" cy="548640"/>
                      </a:xfrm>
                    </wpg:grpSpPr>
                    <wps:wsp>
                      <wps:cNvPr id="1898" name="Graphic 1898"/>
                      <wps:cNvSpPr/>
                      <wps:spPr>
                        <a:xfrm>
                          <a:off x="0" y="0"/>
                          <a:ext cx="15544800" cy="548640"/>
                        </a:xfrm>
                        <a:custGeom>
                          <a:avLst/>
                          <a:gdLst/>
                          <a:ahLst/>
                          <a:cxnLst/>
                          <a:rect l="l" t="t" r="r" b="b"/>
                          <a:pathLst>
                            <a:path w="15544800" h="548640">
                              <a:moveTo>
                                <a:pt x="15544800" y="0"/>
                              </a:moveTo>
                              <a:lnTo>
                                <a:pt x="7781544" y="0"/>
                              </a:lnTo>
                              <a:lnTo>
                                <a:pt x="7708392" y="0"/>
                              </a:lnTo>
                              <a:lnTo>
                                <a:pt x="0" y="0"/>
                              </a:lnTo>
                              <a:lnTo>
                                <a:pt x="0" y="548640"/>
                              </a:lnTo>
                              <a:lnTo>
                                <a:pt x="7708392" y="548640"/>
                              </a:lnTo>
                              <a:lnTo>
                                <a:pt x="7781544" y="548640"/>
                              </a:lnTo>
                              <a:lnTo>
                                <a:pt x="15544800" y="548640"/>
                              </a:lnTo>
                              <a:lnTo>
                                <a:pt x="15544800" y="0"/>
                              </a:lnTo>
                              <a:close/>
                            </a:path>
                          </a:pathLst>
                        </a:custGeom>
                        <a:solidFill>
                          <a:srgbClr val="105C84"/>
                        </a:solidFill>
                      </wps:spPr>
                      <wps:bodyPr wrap="square" lIns="0" tIns="0" rIns="0" bIns="0" rtlCol="0">
                        <a:prstTxWarp prst="textNoShape">
                          <a:avLst/>
                        </a:prstTxWarp>
                        <a:noAutofit/>
                      </wps:bodyPr>
                    </wps:wsp>
                    <pic:pic>
                      <pic:nvPicPr>
                        <pic:cNvPr id="1899" name="Image 1899"/>
                        <pic:cNvPicPr/>
                      </pic:nvPicPr>
                      <pic:blipFill>
                        <a:blip r:embed="rId1" cstate="print"/>
                        <a:stretch>
                          <a:fillRect/>
                        </a:stretch>
                      </pic:blipFill>
                      <pic:spPr>
                        <a:xfrm>
                          <a:off x="0" y="0"/>
                          <a:ext cx="7710729" cy="543052"/>
                        </a:xfrm>
                        <a:prstGeom prst="rect">
                          <a:avLst/>
                        </a:prstGeom>
                      </pic:spPr>
                    </pic:pic>
                  </wpg:wgp>
                </a:graphicData>
              </a:graphic>
            </wp:anchor>
          </w:drawing>
        </mc:Choice>
        <mc:Fallback>
          <w:pict>
            <v:group style="position:absolute;margin-left:0pt;margin-top:-.000015pt;width:1224pt;height:43.2pt;mso-position-horizontal-relative:page;mso-position-vertical-relative:page;z-index:-28343808" id="docshapegroup1395" coordorigin="0,0" coordsize="24480,864">
              <v:shape style="position:absolute;left:0;top:0;width:24480;height:864" id="docshape1396" coordorigin="0,0" coordsize="24480,864" path="m24480,0l12254,0,12139,0,0,0,0,864,12139,864,12254,864,24480,864,24480,0xe" filled="true" fillcolor="#105c84" stroked="false">
                <v:path arrowok="t"/>
                <v:fill type="solid"/>
              </v:shape>
              <v:shape style="position:absolute;left:0;top:0;width:12143;height:856" type="#_x0000_t75" id="docshape1397" stroked="false">
                <v:imagedata r:id="rId1" o:title=""/>
              </v:shape>
              <w10:wrap type="none"/>
            </v:group>
          </w:pict>
        </mc:Fallback>
      </mc:AlternateContent>
    </w:r>
    <w:r>
      <w:rPr>
        <w:sz w:val="20"/>
      </w:rPr>
      <mc:AlternateContent>
        <mc:Choice Requires="wps">
          <w:drawing>
            <wp:anchor distT="0" distB="0" distL="0" distR="0" allowOverlap="1" layoutInCell="1" locked="0" behindDoc="1" simplePos="0" relativeHeight="474973184">
              <wp:simplePos x="0" y="0"/>
              <wp:positionH relativeFrom="page">
                <wp:posOffset>691387</wp:posOffset>
              </wp:positionH>
              <wp:positionV relativeFrom="page">
                <wp:posOffset>189992</wp:posOffset>
              </wp:positionV>
              <wp:extent cx="730885" cy="199390"/>
              <wp:effectExtent l="0" t="0" r="0" b="0"/>
              <wp:wrapNone/>
              <wp:docPr id="1900" name="Textbox 1900"/>
              <wp:cNvGraphicFramePr>
                <a:graphicFrameLocks/>
              </wp:cNvGraphicFramePr>
              <a:graphic>
                <a:graphicData uri="http://schemas.microsoft.com/office/word/2010/wordprocessingShape">
                  <wps:wsp>
                    <wps:cNvPr id="1900" name="Textbox 1900"/>
                    <wps:cNvSpPr txBox="1"/>
                    <wps:spPr>
                      <a:xfrm>
                        <a:off x="0" y="0"/>
                        <a:ext cx="730885" cy="199390"/>
                      </a:xfrm>
                      <a:prstGeom prst="rect">
                        <a:avLst/>
                      </a:prstGeom>
                    </wps:spPr>
                    <wps:txbx>
                      <w:txbxContent>
                        <w:p>
                          <w:pPr>
                            <w:spacing w:before="32"/>
                            <w:ind w:left="20" w:right="0" w:firstLine="0"/>
                            <w:jc w:val="left"/>
                            <w:rPr>
                              <w:b/>
                              <w:sz w:val="20"/>
                            </w:rPr>
                          </w:pPr>
                          <w:r>
                            <w:rPr>
                              <w:b/>
                              <w:color w:val="FFFFFF"/>
                              <w:sz w:val="20"/>
                            </w:rPr>
                            <w:t>Appendix</w:t>
                          </w:r>
                          <w:r>
                            <w:rPr>
                              <w:b/>
                              <w:color w:val="FFFFFF"/>
                              <w:spacing w:val="20"/>
                              <w:sz w:val="20"/>
                            </w:rPr>
                            <w:t> </w:t>
                          </w:r>
                          <w:r>
                            <w:rPr>
                              <w:b/>
                              <w:color w:val="FFFFFF"/>
                              <w:spacing w:val="-10"/>
                              <w:sz w:val="20"/>
                            </w:rPr>
                            <w:t>E</w:t>
                          </w:r>
                        </w:p>
                      </w:txbxContent>
                    </wps:txbx>
                    <wps:bodyPr wrap="square" lIns="0" tIns="0" rIns="0" bIns="0" rtlCol="0">
                      <a:noAutofit/>
                    </wps:bodyPr>
                  </wps:wsp>
                </a:graphicData>
              </a:graphic>
            </wp:anchor>
          </w:drawing>
        </mc:Choice>
        <mc:Fallback>
          <w:pict>
            <v:shape style="position:absolute;margin-left:54.439999pt;margin-top:14.96pt;width:57.55pt;height:15.7pt;mso-position-horizontal-relative:page;mso-position-vertical-relative:page;z-index:-28343296" type="#_x0000_t202" id="docshape1398" filled="false" stroked="false">
              <v:textbox inset="0,0,0,0">
                <w:txbxContent>
                  <w:p>
                    <w:pPr>
                      <w:spacing w:before="32"/>
                      <w:ind w:left="20" w:right="0" w:firstLine="0"/>
                      <w:jc w:val="left"/>
                      <w:rPr>
                        <w:b/>
                        <w:sz w:val="20"/>
                      </w:rPr>
                    </w:pPr>
                    <w:r>
                      <w:rPr>
                        <w:b/>
                        <w:color w:val="FFFFFF"/>
                        <w:sz w:val="20"/>
                      </w:rPr>
                      <w:t>Appendix</w:t>
                    </w:r>
                    <w:r>
                      <w:rPr>
                        <w:b/>
                        <w:color w:val="FFFFFF"/>
                        <w:spacing w:val="20"/>
                        <w:sz w:val="20"/>
                      </w:rPr>
                      <w:t> </w:t>
                    </w:r>
                    <w:r>
                      <w:rPr>
                        <w:b/>
                        <w:color w:val="FFFFFF"/>
                        <w:spacing w:val="-10"/>
                        <w:sz w:val="20"/>
                      </w:rPr>
                      <w:t>E</w:t>
                    </w:r>
                  </w:p>
                </w:txbxContent>
              </v:textbox>
              <w10:wrap type="none"/>
            </v:shape>
          </w:pict>
        </mc:Fallback>
      </mc:AlternateContent>
    </w:r>
    <w:r>
      <w:rPr>
        <w:sz w:val="20"/>
      </w:rPr>
      <mc:AlternateContent>
        <mc:Choice Requires="wps">
          <w:drawing>
            <wp:anchor distT="0" distB="0" distL="0" distR="0" allowOverlap="1" layoutInCell="1" locked="0" behindDoc="1" simplePos="0" relativeHeight="474973696">
              <wp:simplePos x="0" y="0"/>
              <wp:positionH relativeFrom="page">
                <wp:posOffset>10957593</wp:posOffset>
              </wp:positionH>
              <wp:positionV relativeFrom="page">
                <wp:posOffset>188468</wp:posOffset>
              </wp:positionV>
              <wp:extent cx="3917950" cy="199390"/>
              <wp:effectExtent l="0" t="0" r="0" b="0"/>
              <wp:wrapNone/>
              <wp:docPr id="1901" name="Textbox 1901"/>
              <wp:cNvGraphicFramePr>
                <a:graphicFrameLocks/>
              </wp:cNvGraphicFramePr>
              <a:graphic>
                <a:graphicData uri="http://schemas.microsoft.com/office/word/2010/wordprocessingShape">
                  <wps:wsp>
                    <wps:cNvPr id="1901" name="Textbox 1901"/>
                    <wps:cNvSpPr txBox="1"/>
                    <wps:spPr>
                      <a:xfrm>
                        <a:off x="0" y="0"/>
                        <a:ext cx="3917950" cy="199390"/>
                      </a:xfrm>
                      <a:prstGeom prst="rect">
                        <a:avLst/>
                      </a:prstGeom>
                    </wps:spPr>
                    <wps:txbx>
                      <w:txbxContent>
                        <w:p>
                          <w:pPr>
                            <w:spacing w:before="32"/>
                            <w:ind w:left="20" w:right="0" w:firstLine="0"/>
                            <w:jc w:val="left"/>
                            <w:rPr>
                              <w:sz w:val="20"/>
                            </w:rPr>
                          </w:pPr>
                          <w:r>
                            <w:rPr>
                              <w:color w:val="FFFFFF"/>
                              <w:sz w:val="20"/>
                            </w:rPr>
                            <w:t>FINGER</w:t>
                          </w:r>
                          <w:r>
                            <w:rPr>
                              <w:color w:val="FFFFFF"/>
                              <w:spacing w:val="9"/>
                              <w:sz w:val="20"/>
                            </w:rPr>
                            <w:t> </w:t>
                          </w:r>
                          <w:r>
                            <w:rPr>
                              <w:color w:val="FFFFFF"/>
                              <w:sz w:val="20"/>
                            </w:rPr>
                            <w:t>LAKES</w:t>
                          </w:r>
                          <w:r>
                            <w:rPr>
                              <w:color w:val="FFFFFF"/>
                              <w:spacing w:val="9"/>
                              <w:sz w:val="20"/>
                            </w:rPr>
                            <w:t> </w:t>
                          </w:r>
                          <w:r>
                            <w:rPr>
                              <w:color w:val="FFFFFF"/>
                              <w:sz w:val="20"/>
                            </w:rPr>
                            <w:t>REGIONAL</w:t>
                          </w:r>
                          <w:r>
                            <w:rPr>
                              <w:color w:val="FFFFFF"/>
                              <w:spacing w:val="9"/>
                              <w:sz w:val="20"/>
                            </w:rPr>
                            <w:t> </w:t>
                          </w:r>
                          <w:r>
                            <w:rPr>
                              <w:color w:val="FFFFFF"/>
                              <w:sz w:val="20"/>
                            </w:rPr>
                            <w:t>COMMUNITY</w:t>
                          </w:r>
                          <w:r>
                            <w:rPr>
                              <w:color w:val="FFFFFF"/>
                              <w:spacing w:val="10"/>
                              <w:sz w:val="20"/>
                            </w:rPr>
                            <w:t> </w:t>
                          </w:r>
                          <w:r>
                            <w:rPr>
                              <w:color w:val="FFFFFF"/>
                              <w:sz w:val="20"/>
                            </w:rPr>
                            <w:t>HEALTH</w:t>
                          </w:r>
                          <w:r>
                            <w:rPr>
                              <w:color w:val="FFFFFF"/>
                              <w:spacing w:val="9"/>
                              <w:sz w:val="20"/>
                            </w:rPr>
                            <w:t> </w:t>
                          </w:r>
                          <w:r>
                            <w:rPr>
                              <w:color w:val="FFFFFF"/>
                              <w:spacing w:val="-2"/>
                              <w:sz w:val="20"/>
                            </w:rPr>
                            <w:t>ASSESSMENT</w:t>
                          </w:r>
                        </w:p>
                      </w:txbxContent>
                    </wps:txbx>
                    <wps:bodyPr wrap="square" lIns="0" tIns="0" rIns="0" bIns="0" rtlCol="0">
                      <a:noAutofit/>
                    </wps:bodyPr>
                  </wps:wsp>
                </a:graphicData>
              </a:graphic>
            </wp:anchor>
          </w:drawing>
        </mc:Choice>
        <mc:Fallback>
          <w:pict>
            <v:shape style="position:absolute;margin-left:862.802612pt;margin-top:14.84pt;width:308.5pt;height:15.7pt;mso-position-horizontal-relative:page;mso-position-vertical-relative:page;z-index:-28342784" type="#_x0000_t202" id="docshape1399" filled="false" stroked="false">
              <v:textbox inset="0,0,0,0">
                <w:txbxContent>
                  <w:p>
                    <w:pPr>
                      <w:spacing w:before="32"/>
                      <w:ind w:left="20" w:right="0" w:firstLine="0"/>
                      <w:jc w:val="left"/>
                      <w:rPr>
                        <w:sz w:val="20"/>
                      </w:rPr>
                    </w:pPr>
                    <w:r>
                      <w:rPr>
                        <w:color w:val="FFFFFF"/>
                        <w:sz w:val="20"/>
                      </w:rPr>
                      <w:t>FINGER</w:t>
                    </w:r>
                    <w:r>
                      <w:rPr>
                        <w:color w:val="FFFFFF"/>
                        <w:spacing w:val="9"/>
                        <w:sz w:val="20"/>
                      </w:rPr>
                      <w:t> </w:t>
                    </w:r>
                    <w:r>
                      <w:rPr>
                        <w:color w:val="FFFFFF"/>
                        <w:sz w:val="20"/>
                      </w:rPr>
                      <w:t>LAKES</w:t>
                    </w:r>
                    <w:r>
                      <w:rPr>
                        <w:color w:val="FFFFFF"/>
                        <w:spacing w:val="9"/>
                        <w:sz w:val="20"/>
                      </w:rPr>
                      <w:t> </w:t>
                    </w:r>
                    <w:r>
                      <w:rPr>
                        <w:color w:val="FFFFFF"/>
                        <w:sz w:val="20"/>
                      </w:rPr>
                      <w:t>REGIONAL</w:t>
                    </w:r>
                    <w:r>
                      <w:rPr>
                        <w:color w:val="FFFFFF"/>
                        <w:spacing w:val="9"/>
                        <w:sz w:val="20"/>
                      </w:rPr>
                      <w:t> </w:t>
                    </w:r>
                    <w:r>
                      <w:rPr>
                        <w:color w:val="FFFFFF"/>
                        <w:sz w:val="20"/>
                      </w:rPr>
                      <w:t>COMMUNITY</w:t>
                    </w:r>
                    <w:r>
                      <w:rPr>
                        <w:color w:val="FFFFFF"/>
                        <w:spacing w:val="10"/>
                        <w:sz w:val="20"/>
                      </w:rPr>
                      <w:t> </w:t>
                    </w:r>
                    <w:r>
                      <w:rPr>
                        <w:color w:val="FFFFFF"/>
                        <w:sz w:val="20"/>
                      </w:rPr>
                      <w:t>HEALTH</w:t>
                    </w:r>
                    <w:r>
                      <w:rPr>
                        <w:color w:val="FFFFFF"/>
                        <w:spacing w:val="9"/>
                        <w:sz w:val="20"/>
                      </w:rPr>
                      <w:t> </w:t>
                    </w:r>
                    <w:r>
                      <w:rPr>
                        <w:color w:val="FFFFFF"/>
                        <w:spacing w:val="-2"/>
                        <w:sz w:val="20"/>
                      </w:rPr>
                      <w:t>ASSESSMENT</w:t>
                    </w:r>
                  </w:p>
                </w:txbxContent>
              </v:textbox>
              <w10:wrap type="none"/>
            </v:shape>
          </w:pict>
        </mc:Fallback>
      </mc:AlternateContent>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4974208">
              <wp:simplePos x="0" y="0"/>
              <wp:positionH relativeFrom="page">
                <wp:posOffset>0</wp:posOffset>
              </wp:positionH>
              <wp:positionV relativeFrom="page">
                <wp:posOffset>0</wp:posOffset>
              </wp:positionV>
              <wp:extent cx="15544800" cy="548640"/>
              <wp:effectExtent l="0" t="0" r="0" b="0"/>
              <wp:wrapNone/>
              <wp:docPr id="1932" name="Group 1932"/>
              <wp:cNvGraphicFramePr>
                <a:graphicFrameLocks/>
              </wp:cNvGraphicFramePr>
              <a:graphic>
                <a:graphicData uri="http://schemas.microsoft.com/office/word/2010/wordprocessingGroup">
                  <wpg:wgp>
                    <wpg:cNvPr id="1932" name="Group 1932"/>
                    <wpg:cNvGrpSpPr/>
                    <wpg:grpSpPr>
                      <a:xfrm>
                        <a:off x="0" y="0"/>
                        <a:ext cx="15544800" cy="548640"/>
                        <a:chExt cx="15544800" cy="548640"/>
                      </a:xfrm>
                    </wpg:grpSpPr>
                    <wps:wsp>
                      <wps:cNvPr id="1933" name="Graphic 1933"/>
                      <wps:cNvSpPr/>
                      <wps:spPr>
                        <a:xfrm>
                          <a:off x="0" y="0"/>
                          <a:ext cx="15544800" cy="548640"/>
                        </a:xfrm>
                        <a:custGeom>
                          <a:avLst/>
                          <a:gdLst/>
                          <a:ahLst/>
                          <a:cxnLst/>
                          <a:rect l="l" t="t" r="r" b="b"/>
                          <a:pathLst>
                            <a:path w="15544800" h="548640">
                              <a:moveTo>
                                <a:pt x="15544800" y="0"/>
                              </a:moveTo>
                              <a:lnTo>
                                <a:pt x="7781544" y="0"/>
                              </a:lnTo>
                              <a:lnTo>
                                <a:pt x="7690104" y="0"/>
                              </a:lnTo>
                              <a:lnTo>
                                <a:pt x="0" y="0"/>
                              </a:lnTo>
                              <a:lnTo>
                                <a:pt x="0" y="548640"/>
                              </a:lnTo>
                              <a:lnTo>
                                <a:pt x="7690104" y="548640"/>
                              </a:lnTo>
                              <a:lnTo>
                                <a:pt x="7781544" y="548640"/>
                              </a:lnTo>
                              <a:lnTo>
                                <a:pt x="15544800" y="548640"/>
                              </a:lnTo>
                              <a:lnTo>
                                <a:pt x="15544800" y="0"/>
                              </a:lnTo>
                              <a:close/>
                            </a:path>
                          </a:pathLst>
                        </a:custGeom>
                        <a:solidFill>
                          <a:srgbClr val="105C84"/>
                        </a:solidFill>
                      </wps:spPr>
                      <wps:bodyPr wrap="square" lIns="0" tIns="0" rIns="0" bIns="0" rtlCol="0">
                        <a:prstTxWarp prst="textNoShape">
                          <a:avLst/>
                        </a:prstTxWarp>
                        <a:noAutofit/>
                      </wps:bodyPr>
                    </wps:wsp>
                    <pic:pic>
                      <pic:nvPicPr>
                        <pic:cNvPr id="1934" name="Image 1934"/>
                        <pic:cNvPicPr/>
                      </pic:nvPicPr>
                      <pic:blipFill>
                        <a:blip r:embed="rId1" cstate="print"/>
                        <a:stretch>
                          <a:fillRect/>
                        </a:stretch>
                      </pic:blipFill>
                      <pic:spPr>
                        <a:xfrm>
                          <a:off x="0" y="0"/>
                          <a:ext cx="7708392" cy="543052"/>
                        </a:xfrm>
                        <a:prstGeom prst="rect">
                          <a:avLst/>
                        </a:prstGeom>
                      </pic:spPr>
                    </pic:pic>
                  </wpg:wgp>
                </a:graphicData>
              </a:graphic>
            </wp:anchor>
          </w:drawing>
        </mc:Choice>
        <mc:Fallback>
          <w:pict>
            <v:group style="position:absolute;margin-left:0pt;margin-top:-.000015pt;width:1224pt;height:43.2pt;mso-position-horizontal-relative:page;mso-position-vertical-relative:page;z-index:-28342272" id="docshapegroup1400" coordorigin="0,0" coordsize="24480,864">
              <v:shape style="position:absolute;left:0;top:0;width:24480;height:864" id="docshape1401" coordorigin="0,0" coordsize="24480,864" path="m24480,0l12254,0,12110,0,0,0,0,864,12110,864,12254,864,24480,864,24480,0xe" filled="true" fillcolor="#105c84" stroked="false">
                <v:path arrowok="t"/>
                <v:fill type="solid"/>
              </v:shape>
              <v:shape style="position:absolute;left:0;top:0;width:12140;height:856" type="#_x0000_t75" id="docshape1402" stroked="false">
                <v:imagedata r:id="rId1" o:title=""/>
              </v:shape>
              <w10:wrap type="none"/>
            </v:group>
          </w:pict>
        </mc:Fallback>
      </mc:AlternateContent>
    </w:r>
    <w:r>
      <w:rPr>
        <w:sz w:val="20"/>
      </w:rPr>
      <mc:AlternateContent>
        <mc:Choice Requires="wps">
          <w:drawing>
            <wp:anchor distT="0" distB="0" distL="0" distR="0" allowOverlap="1" layoutInCell="1" locked="0" behindDoc="1" simplePos="0" relativeHeight="474974720">
              <wp:simplePos x="0" y="0"/>
              <wp:positionH relativeFrom="page">
                <wp:posOffset>691387</wp:posOffset>
              </wp:positionH>
              <wp:positionV relativeFrom="page">
                <wp:posOffset>189992</wp:posOffset>
              </wp:positionV>
              <wp:extent cx="726440" cy="199390"/>
              <wp:effectExtent l="0" t="0" r="0" b="0"/>
              <wp:wrapNone/>
              <wp:docPr id="1935" name="Textbox 1935"/>
              <wp:cNvGraphicFramePr>
                <a:graphicFrameLocks/>
              </wp:cNvGraphicFramePr>
              <a:graphic>
                <a:graphicData uri="http://schemas.microsoft.com/office/word/2010/wordprocessingShape">
                  <wps:wsp>
                    <wps:cNvPr id="1935" name="Textbox 1935"/>
                    <wps:cNvSpPr txBox="1"/>
                    <wps:spPr>
                      <a:xfrm>
                        <a:off x="0" y="0"/>
                        <a:ext cx="726440" cy="199390"/>
                      </a:xfrm>
                      <a:prstGeom prst="rect">
                        <a:avLst/>
                      </a:prstGeom>
                    </wps:spPr>
                    <wps:txbx>
                      <w:txbxContent>
                        <w:p>
                          <w:pPr>
                            <w:spacing w:before="32"/>
                            <w:ind w:left="20" w:right="0" w:firstLine="0"/>
                            <w:jc w:val="left"/>
                            <w:rPr>
                              <w:b/>
                              <w:sz w:val="20"/>
                            </w:rPr>
                          </w:pPr>
                          <w:r>
                            <w:rPr>
                              <w:b/>
                              <w:color w:val="FFFFFF"/>
                              <w:sz w:val="20"/>
                            </w:rPr>
                            <w:t>Appendix</w:t>
                          </w:r>
                          <w:r>
                            <w:rPr>
                              <w:b/>
                              <w:color w:val="FFFFFF"/>
                              <w:spacing w:val="20"/>
                              <w:sz w:val="20"/>
                            </w:rPr>
                            <w:t> </w:t>
                          </w:r>
                          <w:r>
                            <w:rPr>
                              <w:b/>
                              <w:color w:val="FFFFFF"/>
                              <w:spacing w:val="-10"/>
                              <w:sz w:val="20"/>
                            </w:rPr>
                            <w:t>F</w:t>
                          </w:r>
                        </w:p>
                      </w:txbxContent>
                    </wps:txbx>
                    <wps:bodyPr wrap="square" lIns="0" tIns="0" rIns="0" bIns="0" rtlCol="0">
                      <a:noAutofit/>
                    </wps:bodyPr>
                  </wps:wsp>
                </a:graphicData>
              </a:graphic>
            </wp:anchor>
          </w:drawing>
        </mc:Choice>
        <mc:Fallback>
          <w:pict>
            <v:shape style="position:absolute;margin-left:54.439999pt;margin-top:14.96pt;width:57.2pt;height:15.7pt;mso-position-horizontal-relative:page;mso-position-vertical-relative:page;z-index:-28341760" type="#_x0000_t202" id="docshape1403" filled="false" stroked="false">
              <v:textbox inset="0,0,0,0">
                <w:txbxContent>
                  <w:p>
                    <w:pPr>
                      <w:spacing w:before="32"/>
                      <w:ind w:left="20" w:right="0" w:firstLine="0"/>
                      <w:jc w:val="left"/>
                      <w:rPr>
                        <w:b/>
                        <w:sz w:val="20"/>
                      </w:rPr>
                    </w:pPr>
                    <w:r>
                      <w:rPr>
                        <w:b/>
                        <w:color w:val="FFFFFF"/>
                        <w:sz w:val="20"/>
                      </w:rPr>
                      <w:t>Appendix</w:t>
                    </w:r>
                    <w:r>
                      <w:rPr>
                        <w:b/>
                        <w:color w:val="FFFFFF"/>
                        <w:spacing w:val="20"/>
                        <w:sz w:val="20"/>
                      </w:rPr>
                      <w:t> </w:t>
                    </w:r>
                    <w:r>
                      <w:rPr>
                        <w:b/>
                        <w:color w:val="FFFFFF"/>
                        <w:spacing w:val="-10"/>
                        <w:sz w:val="20"/>
                      </w:rPr>
                      <w:t>F</w:t>
                    </w:r>
                  </w:p>
                </w:txbxContent>
              </v:textbox>
              <w10:wrap type="none"/>
            </v:shape>
          </w:pict>
        </mc:Fallback>
      </mc:AlternateContent>
    </w:r>
    <w:r>
      <w:rPr>
        <w:sz w:val="20"/>
      </w:rPr>
      <mc:AlternateContent>
        <mc:Choice Requires="wps">
          <w:drawing>
            <wp:anchor distT="0" distB="0" distL="0" distR="0" allowOverlap="1" layoutInCell="1" locked="0" behindDoc="1" simplePos="0" relativeHeight="474975232">
              <wp:simplePos x="0" y="0"/>
              <wp:positionH relativeFrom="page">
                <wp:posOffset>10957593</wp:posOffset>
              </wp:positionH>
              <wp:positionV relativeFrom="page">
                <wp:posOffset>188468</wp:posOffset>
              </wp:positionV>
              <wp:extent cx="3917950" cy="199390"/>
              <wp:effectExtent l="0" t="0" r="0" b="0"/>
              <wp:wrapNone/>
              <wp:docPr id="1936" name="Textbox 1936"/>
              <wp:cNvGraphicFramePr>
                <a:graphicFrameLocks/>
              </wp:cNvGraphicFramePr>
              <a:graphic>
                <a:graphicData uri="http://schemas.microsoft.com/office/word/2010/wordprocessingShape">
                  <wps:wsp>
                    <wps:cNvPr id="1936" name="Textbox 1936"/>
                    <wps:cNvSpPr txBox="1"/>
                    <wps:spPr>
                      <a:xfrm>
                        <a:off x="0" y="0"/>
                        <a:ext cx="3917950" cy="199390"/>
                      </a:xfrm>
                      <a:prstGeom prst="rect">
                        <a:avLst/>
                      </a:prstGeom>
                    </wps:spPr>
                    <wps:txbx>
                      <w:txbxContent>
                        <w:p>
                          <w:pPr>
                            <w:spacing w:before="32"/>
                            <w:ind w:left="20" w:right="0" w:firstLine="0"/>
                            <w:jc w:val="left"/>
                            <w:rPr>
                              <w:sz w:val="20"/>
                            </w:rPr>
                          </w:pPr>
                          <w:r>
                            <w:rPr>
                              <w:color w:val="FFFFFF"/>
                              <w:sz w:val="20"/>
                            </w:rPr>
                            <w:t>FINGER</w:t>
                          </w:r>
                          <w:r>
                            <w:rPr>
                              <w:color w:val="FFFFFF"/>
                              <w:spacing w:val="9"/>
                              <w:sz w:val="20"/>
                            </w:rPr>
                            <w:t> </w:t>
                          </w:r>
                          <w:r>
                            <w:rPr>
                              <w:color w:val="FFFFFF"/>
                              <w:sz w:val="20"/>
                            </w:rPr>
                            <w:t>LAKES</w:t>
                          </w:r>
                          <w:r>
                            <w:rPr>
                              <w:color w:val="FFFFFF"/>
                              <w:spacing w:val="9"/>
                              <w:sz w:val="20"/>
                            </w:rPr>
                            <w:t> </w:t>
                          </w:r>
                          <w:r>
                            <w:rPr>
                              <w:color w:val="FFFFFF"/>
                              <w:sz w:val="20"/>
                            </w:rPr>
                            <w:t>REGIONAL</w:t>
                          </w:r>
                          <w:r>
                            <w:rPr>
                              <w:color w:val="FFFFFF"/>
                              <w:spacing w:val="9"/>
                              <w:sz w:val="20"/>
                            </w:rPr>
                            <w:t> </w:t>
                          </w:r>
                          <w:r>
                            <w:rPr>
                              <w:color w:val="FFFFFF"/>
                              <w:sz w:val="20"/>
                            </w:rPr>
                            <w:t>COMMUNITY</w:t>
                          </w:r>
                          <w:r>
                            <w:rPr>
                              <w:color w:val="FFFFFF"/>
                              <w:spacing w:val="10"/>
                              <w:sz w:val="20"/>
                            </w:rPr>
                            <w:t> </w:t>
                          </w:r>
                          <w:r>
                            <w:rPr>
                              <w:color w:val="FFFFFF"/>
                              <w:sz w:val="20"/>
                            </w:rPr>
                            <w:t>HEALTH</w:t>
                          </w:r>
                          <w:r>
                            <w:rPr>
                              <w:color w:val="FFFFFF"/>
                              <w:spacing w:val="9"/>
                              <w:sz w:val="20"/>
                            </w:rPr>
                            <w:t> </w:t>
                          </w:r>
                          <w:r>
                            <w:rPr>
                              <w:color w:val="FFFFFF"/>
                              <w:spacing w:val="-2"/>
                              <w:sz w:val="20"/>
                            </w:rPr>
                            <w:t>ASSESSMENT</w:t>
                          </w:r>
                        </w:p>
                      </w:txbxContent>
                    </wps:txbx>
                    <wps:bodyPr wrap="square" lIns="0" tIns="0" rIns="0" bIns="0" rtlCol="0">
                      <a:noAutofit/>
                    </wps:bodyPr>
                  </wps:wsp>
                </a:graphicData>
              </a:graphic>
            </wp:anchor>
          </w:drawing>
        </mc:Choice>
        <mc:Fallback>
          <w:pict>
            <v:shape style="position:absolute;margin-left:862.802612pt;margin-top:14.84pt;width:308.5pt;height:15.7pt;mso-position-horizontal-relative:page;mso-position-vertical-relative:page;z-index:-28341248" type="#_x0000_t202" id="docshape1404" filled="false" stroked="false">
              <v:textbox inset="0,0,0,0">
                <w:txbxContent>
                  <w:p>
                    <w:pPr>
                      <w:spacing w:before="32"/>
                      <w:ind w:left="20" w:right="0" w:firstLine="0"/>
                      <w:jc w:val="left"/>
                      <w:rPr>
                        <w:sz w:val="20"/>
                      </w:rPr>
                    </w:pPr>
                    <w:r>
                      <w:rPr>
                        <w:color w:val="FFFFFF"/>
                        <w:sz w:val="20"/>
                      </w:rPr>
                      <w:t>FINGER</w:t>
                    </w:r>
                    <w:r>
                      <w:rPr>
                        <w:color w:val="FFFFFF"/>
                        <w:spacing w:val="9"/>
                        <w:sz w:val="20"/>
                      </w:rPr>
                      <w:t> </w:t>
                    </w:r>
                    <w:r>
                      <w:rPr>
                        <w:color w:val="FFFFFF"/>
                        <w:sz w:val="20"/>
                      </w:rPr>
                      <w:t>LAKES</w:t>
                    </w:r>
                    <w:r>
                      <w:rPr>
                        <w:color w:val="FFFFFF"/>
                        <w:spacing w:val="9"/>
                        <w:sz w:val="20"/>
                      </w:rPr>
                      <w:t> </w:t>
                    </w:r>
                    <w:r>
                      <w:rPr>
                        <w:color w:val="FFFFFF"/>
                        <w:sz w:val="20"/>
                      </w:rPr>
                      <w:t>REGIONAL</w:t>
                    </w:r>
                    <w:r>
                      <w:rPr>
                        <w:color w:val="FFFFFF"/>
                        <w:spacing w:val="9"/>
                        <w:sz w:val="20"/>
                      </w:rPr>
                      <w:t> </w:t>
                    </w:r>
                    <w:r>
                      <w:rPr>
                        <w:color w:val="FFFFFF"/>
                        <w:sz w:val="20"/>
                      </w:rPr>
                      <w:t>COMMUNITY</w:t>
                    </w:r>
                    <w:r>
                      <w:rPr>
                        <w:color w:val="FFFFFF"/>
                        <w:spacing w:val="10"/>
                        <w:sz w:val="20"/>
                      </w:rPr>
                      <w:t> </w:t>
                    </w:r>
                    <w:r>
                      <w:rPr>
                        <w:color w:val="FFFFFF"/>
                        <w:sz w:val="20"/>
                      </w:rPr>
                      <w:t>HEALTH</w:t>
                    </w:r>
                    <w:r>
                      <w:rPr>
                        <w:color w:val="FFFFFF"/>
                        <w:spacing w:val="9"/>
                        <w:sz w:val="20"/>
                      </w:rPr>
                      <w:t> </w:t>
                    </w:r>
                    <w:r>
                      <w:rPr>
                        <w:color w:val="FFFFFF"/>
                        <w:spacing w:val="-2"/>
                        <w:sz w:val="20"/>
                      </w:rPr>
                      <w:t>ASSESSMENT</w:t>
                    </w:r>
                  </w:p>
                </w:txbxContent>
              </v:textbox>
              <w10:wrap type="none"/>
            </v:shap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4975744">
              <wp:simplePos x="0" y="0"/>
              <wp:positionH relativeFrom="page">
                <wp:posOffset>0</wp:posOffset>
              </wp:positionH>
              <wp:positionV relativeFrom="page">
                <wp:posOffset>0</wp:posOffset>
              </wp:positionV>
              <wp:extent cx="15544800" cy="548640"/>
              <wp:effectExtent l="0" t="0" r="0" b="0"/>
              <wp:wrapNone/>
              <wp:docPr id="2028" name="Group 2028"/>
              <wp:cNvGraphicFramePr>
                <a:graphicFrameLocks/>
              </wp:cNvGraphicFramePr>
              <a:graphic>
                <a:graphicData uri="http://schemas.microsoft.com/office/word/2010/wordprocessingGroup">
                  <wpg:wgp>
                    <wpg:cNvPr id="2028" name="Group 2028"/>
                    <wpg:cNvGrpSpPr/>
                    <wpg:grpSpPr>
                      <a:xfrm>
                        <a:off x="0" y="0"/>
                        <a:ext cx="15544800" cy="548640"/>
                        <a:chExt cx="15544800" cy="548640"/>
                      </a:xfrm>
                    </wpg:grpSpPr>
                    <wps:wsp>
                      <wps:cNvPr id="2029" name="Graphic 2029"/>
                      <wps:cNvSpPr/>
                      <wps:spPr>
                        <a:xfrm>
                          <a:off x="0" y="0"/>
                          <a:ext cx="15544800" cy="548640"/>
                        </a:xfrm>
                        <a:custGeom>
                          <a:avLst/>
                          <a:gdLst/>
                          <a:ahLst/>
                          <a:cxnLst/>
                          <a:rect l="l" t="t" r="r" b="b"/>
                          <a:pathLst>
                            <a:path w="15544800" h="548640">
                              <a:moveTo>
                                <a:pt x="15544800" y="0"/>
                              </a:moveTo>
                              <a:lnTo>
                                <a:pt x="7781544" y="0"/>
                              </a:lnTo>
                              <a:lnTo>
                                <a:pt x="7708392" y="0"/>
                              </a:lnTo>
                              <a:lnTo>
                                <a:pt x="0" y="0"/>
                              </a:lnTo>
                              <a:lnTo>
                                <a:pt x="0" y="548640"/>
                              </a:lnTo>
                              <a:lnTo>
                                <a:pt x="7708392" y="548640"/>
                              </a:lnTo>
                              <a:lnTo>
                                <a:pt x="7781544" y="548640"/>
                              </a:lnTo>
                              <a:lnTo>
                                <a:pt x="15544800" y="548640"/>
                              </a:lnTo>
                              <a:lnTo>
                                <a:pt x="15544800" y="0"/>
                              </a:lnTo>
                              <a:close/>
                            </a:path>
                          </a:pathLst>
                        </a:custGeom>
                        <a:solidFill>
                          <a:srgbClr val="105C84"/>
                        </a:solidFill>
                      </wps:spPr>
                      <wps:bodyPr wrap="square" lIns="0" tIns="0" rIns="0" bIns="0" rtlCol="0">
                        <a:prstTxWarp prst="textNoShape">
                          <a:avLst/>
                        </a:prstTxWarp>
                        <a:noAutofit/>
                      </wps:bodyPr>
                    </wps:wsp>
                    <pic:pic>
                      <pic:nvPicPr>
                        <pic:cNvPr id="2030" name="Image 2030"/>
                        <pic:cNvPicPr/>
                      </pic:nvPicPr>
                      <pic:blipFill>
                        <a:blip r:embed="rId1" cstate="print"/>
                        <a:stretch>
                          <a:fillRect/>
                        </a:stretch>
                      </pic:blipFill>
                      <pic:spPr>
                        <a:xfrm>
                          <a:off x="0" y="0"/>
                          <a:ext cx="7708392" cy="543052"/>
                        </a:xfrm>
                        <a:prstGeom prst="rect">
                          <a:avLst/>
                        </a:prstGeom>
                      </pic:spPr>
                    </pic:pic>
                  </wpg:wgp>
                </a:graphicData>
              </a:graphic>
            </wp:anchor>
          </w:drawing>
        </mc:Choice>
        <mc:Fallback>
          <w:pict>
            <v:group style="position:absolute;margin-left:0pt;margin-top:-.000015pt;width:1224pt;height:43.2pt;mso-position-horizontal-relative:page;mso-position-vertical-relative:page;z-index:-28340736" id="docshapegroup1405" coordorigin="0,0" coordsize="24480,864">
              <v:shape style="position:absolute;left:0;top:0;width:24480;height:864" id="docshape1406" coordorigin="0,0" coordsize="24480,864" path="m24480,0l12254,0,12139,0,0,0,0,864,12139,864,12254,864,24480,864,24480,0xe" filled="true" fillcolor="#105c84" stroked="false">
                <v:path arrowok="t"/>
                <v:fill type="solid"/>
              </v:shape>
              <v:shape style="position:absolute;left:0;top:0;width:12140;height:856" type="#_x0000_t75" id="docshape1407" stroked="false">
                <v:imagedata r:id="rId1" o:title=""/>
              </v:shape>
              <w10:wrap type="none"/>
            </v:group>
          </w:pict>
        </mc:Fallback>
      </mc:AlternateContent>
    </w:r>
    <w:r>
      <w:rPr>
        <w:sz w:val="20"/>
      </w:rPr>
      <mc:AlternateContent>
        <mc:Choice Requires="wps">
          <w:drawing>
            <wp:anchor distT="0" distB="0" distL="0" distR="0" allowOverlap="1" layoutInCell="1" locked="0" behindDoc="1" simplePos="0" relativeHeight="474976256">
              <wp:simplePos x="0" y="0"/>
              <wp:positionH relativeFrom="page">
                <wp:posOffset>691387</wp:posOffset>
              </wp:positionH>
              <wp:positionV relativeFrom="page">
                <wp:posOffset>189992</wp:posOffset>
              </wp:positionV>
              <wp:extent cx="752475" cy="199390"/>
              <wp:effectExtent l="0" t="0" r="0" b="0"/>
              <wp:wrapNone/>
              <wp:docPr id="2031" name="Textbox 2031"/>
              <wp:cNvGraphicFramePr>
                <a:graphicFrameLocks/>
              </wp:cNvGraphicFramePr>
              <a:graphic>
                <a:graphicData uri="http://schemas.microsoft.com/office/word/2010/wordprocessingShape">
                  <wps:wsp>
                    <wps:cNvPr id="2031" name="Textbox 2031"/>
                    <wps:cNvSpPr txBox="1"/>
                    <wps:spPr>
                      <a:xfrm>
                        <a:off x="0" y="0"/>
                        <a:ext cx="752475" cy="199390"/>
                      </a:xfrm>
                      <a:prstGeom prst="rect">
                        <a:avLst/>
                      </a:prstGeom>
                    </wps:spPr>
                    <wps:txbx>
                      <w:txbxContent>
                        <w:p>
                          <w:pPr>
                            <w:spacing w:before="32"/>
                            <w:ind w:left="20" w:right="0" w:firstLine="0"/>
                            <w:jc w:val="left"/>
                            <w:rPr>
                              <w:b/>
                              <w:sz w:val="20"/>
                            </w:rPr>
                          </w:pPr>
                          <w:r>
                            <w:rPr>
                              <w:b/>
                              <w:color w:val="FFFFFF"/>
                              <w:sz w:val="20"/>
                            </w:rPr>
                            <w:t>Appendix</w:t>
                          </w:r>
                          <w:r>
                            <w:rPr>
                              <w:b/>
                              <w:color w:val="FFFFFF"/>
                              <w:spacing w:val="20"/>
                              <w:sz w:val="20"/>
                            </w:rPr>
                            <w:t> </w:t>
                          </w:r>
                          <w:r>
                            <w:rPr>
                              <w:b/>
                              <w:color w:val="FFFFFF"/>
                              <w:spacing w:val="-10"/>
                              <w:sz w:val="20"/>
                            </w:rPr>
                            <w:t>G</w:t>
                          </w:r>
                        </w:p>
                      </w:txbxContent>
                    </wps:txbx>
                    <wps:bodyPr wrap="square" lIns="0" tIns="0" rIns="0" bIns="0" rtlCol="0">
                      <a:noAutofit/>
                    </wps:bodyPr>
                  </wps:wsp>
                </a:graphicData>
              </a:graphic>
            </wp:anchor>
          </w:drawing>
        </mc:Choice>
        <mc:Fallback>
          <w:pict>
            <v:shape style="position:absolute;margin-left:54.439999pt;margin-top:14.96pt;width:59.25pt;height:15.7pt;mso-position-horizontal-relative:page;mso-position-vertical-relative:page;z-index:-28340224" type="#_x0000_t202" id="docshape1408" filled="false" stroked="false">
              <v:textbox inset="0,0,0,0">
                <w:txbxContent>
                  <w:p>
                    <w:pPr>
                      <w:spacing w:before="32"/>
                      <w:ind w:left="20" w:right="0" w:firstLine="0"/>
                      <w:jc w:val="left"/>
                      <w:rPr>
                        <w:b/>
                        <w:sz w:val="20"/>
                      </w:rPr>
                    </w:pPr>
                    <w:r>
                      <w:rPr>
                        <w:b/>
                        <w:color w:val="FFFFFF"/>
                        <w:sz w:val="20"/>
                      </w:rPr>
                      <w:t>Appendix</w:t>
                    </w:r>
                    <w:r>
                      <w:rPr>
                        <w:b/>
                        <w:color w:val="FFFFFF"/>
                        <w:spacing w:val="20"/>
                        <w:sz w:val="20"/>
                      </w:rPr>
                      <w:t> </w:t>
                    </w:r>
                    <w:r>
                      <w:rPr>
                        <w:b/>
                        <w:color w:val="FFFFFF"/>
                        <w:spacing w:val="-10"/>
                        <w:sz w:val="20"/>
                      </w:rPr>
                      <w:t>G</w:t>
                    </w:r>
                  </w:p>
                </w:txbxContent>
              </v:textbox>
              <w10:wrap type="none"/>
            </v:shape>
          </w:pict>
        </mc:Fallback>
      </mc:AlternateContent>
    </w:r>
    <w:r>
      <w:rPr>
        <w:sz w:val="20"/>
      </w:rPr>
      <mc:AlternateContent>
        <mc:Choice Requires="wps">
          <w:drawing>
            <wp:anchor distT="0" distB="0" distL="0" distR="0" allowOverlap="1" layoutInCell="1" locked="0" behindDoc="1" simplePos="0" relativeHeight="474976768">
              <wp:simplePos x="0" y="0"/>
              <wp:positionH relativeFrom="page">
                <wp:posOffset>10957593</wp:posOffset>
              </wp:positionH>
              <wp:positionV relativeFrom="page">
                <wp:posOffset>188468</wp:posOffset>
              </wp:positionV>
              <wp:extent cx="3917950" cy="199390"/>
              <wp:effectExtent l="0" t="0" r="0" b="0"/>
              <wp:wrapNone/>
              <wp:docPr id="2032" name="Textbox 2032"/>
              <wp:cNvGraphicFramePr>
                <a:graphicFrameLocks/>
              </wp:cNvGraphicFramePr>
              <a:graphic>
                <a:graphicData uri="http://schemas.microsoft.com/office/word/2010/wordprocessingShape">
                  <wps:wsp>
                    <wps:cNvPr id="2032" name="Textbox 2032"/>
                    <wps:cNvSpPr txBox="1"/>
                    <wps:spPr>
                      <a:xfrm>
                        <a:off x="0" y="0"/>
                        <a:ext cx="3917950" cy="199390"/>
                      </a:xfrm>
                      <a:prstGeom prst="rect">
                        <a:avLst/>
                      </a:prstGeom>
                    </wps:spPr>
                    <wps:txbx>
                      <w:txbxContent>
                        <w:p>
                          <w:pPr>
                            <w:spacing w:before="32"/>
                            <w:ind w:left="20" w:right="0" w:firstLine="0"/>
                            <w:jc w:val="left"/>
                            <w:rPr>
                              <w:sz w:val="20"/>
                            </w:rPr>
                          </w:pPr>
                          <w:r>
                            <w:rPr>
                              <w:color w:val="FFFFFF"/>
                              <w:sz w:val="20"/>
                            </w:rPr>
                            <w:t>FINGER</w:t>
                          </w:r>
                          <w:r>
                            <w:rPr>
                              <w:color w:val="FFFFFF"/>
                              <w:spacing w:val="9"/>
                              <w:sz w:val="20"/>
                            </w:rPr>
                            <w:t> </w:t>
                          </w:r>
                          <w:r>
                            <w:rPr>
                              <w:color w:val="FFFFFF"/>
                              <w:sz w:val="20"/>
                            </w:rPr>
                            <w:t>LAKES</w:t>
                          </w:r>
                          <w:r>
                            <w:rPr>
                              <w:color w:val="FFFFFF"/>
                              <w:spacing w:val="9"/>
                              <w:sz w:val="20"/>
                            </w:rPr>
                            <w:t> </w:t>
                          </w:r>
                          <w:r>
                            <w:rPr>
                              <w:color w:val="FFFFFF"/>
                              <w:sz w:val="20"/>
                            </w:rPr>
                            <w:t>REGIONAL</w:t>
                          </w:r>
                          <w:r>
                            <w:rPr>
                              <w:color w:val="FFFFFF"/>
                              <w:spacing w:val="9"/>
                              <w:sz w:val="20"/>
                            </w:rPr>
                            <w:t> </w:t>
                          </w:r>
                          <w:r>
                            <w:rPr>
                              <w:color w:val="FFFFFF"/>
                              <w:sz w:val="20"/>
                            </w:rPr>
                            <w:t>COMMUNITY</w:t>
                          </w:r>
                          <w:r>
                            <w:rPr>
                              <w:color w:val="FFFFFF"/>
                              <w:spacing w:val="10"/>
                              <w:sz w:val="20"/>
                            </w:rPr>
                            <w:t> </w:t>
                          </w:r>
                          <w:r>
                            <w:rPr>
                              <w:color w:val="FFFFFF"/>
                              <w:sz w:val="20"/>
                            </w:rPr>
                            <w:t>HEALTH</w:t>
                          </w:r>
                          <w:r>
                            <w:rPr>
                              <w:color w:val="FFFFFF"/>
                              <w:spacing w:val="9"/>
                              <w:sz w:val="20"/>
                            </w:rPr>
                            <w:t> </w:t>
                          </w:r>
                          <w:r>
                            <w:rPr>
                              <w:color w:val="FFFFFF"/>
                              <w:spacing w:val="-2"/>
                              <w:sz w:val="20"/>
                            </w:rPr>
                            <w:t>ASSESSMENT</w:t>
                          </w:r>
                        </w:p>
                      </w:txbxContent>
                    </wps:txbx>
                    <wps:bodyPr wrap="square" lIns="0" tIns="0" rIns="0" bIns="0" rtlCol="0">
                      <a:noAutofit/>
                    </wps:bodyPr>
                  </wps:wsp>
                </a:graphicData>
              </a:graphic>
            </wp:anchor>
          </w:drawing>
        </mc:Choice>
        <mc:Fallback>
          <w:pict>
            <v:shape style="position:absolute;margin-left:862.802612pt;margin-top:14.84pt;width:308.5pt;height:15.7pt;mso-position-horizontal-relative:page;mso-position-vertical-relative:page;z-index:-28339712" type="#_x0000_t202" id="docshape1409" filled="false" stroked="false">
              <v:textbox inset="0,0,0,0">
                <w:txbxContent>
                  <w:p>
                    <w:pPr>
                      <w:spacing w:before="32"/>
                      <w:ind w:left="20" w:right="0" w:firstLine="0"/>
                      <w:jc w:val="left"/>
                      <w:rPr>
                        <w:sz w:val="20"/>
                      </w:rPr>
                    </w:pPr>
                    <w:r>
                      <w:rPr>
                        <w:color w:val="FFFFFF"/>
                        <w:sz w:val="20"/>
                      </w:rPr>
                      <w:t>FINGER</w:t>
                    </w:r>
                    <w:r>
                      <w:rPr>
                        <w:color w:val="FFFFFF"/>
                        <w:spacing w:val="9"/>
                        <w:sz w:val="20"/>
                      </w:rPr>
                      <w:t> </w:t>
                    </w:r>
                    <w:r>
                      <w:rPr>
                        <w:color w:val="FFFFFF"/>
                        <w:sz w:val="20"/>
                      </w:rPr>
                      <w:t>LAKES</w:t>
                    </w:r>
                    <w:r>
                      <w:rPr>
                        <w:color w:val="FFFFFF"/>
                        <w:spacing w:val="9"/>
                        <w:sz w:val="20"/>
                      </w:rPr>
                      <w:t> </w:t>
                    </w:r>
                    <w:r>
                      <w:rPr>
                        <w:color w:val="FFFFFF"/>
                        <w:sz w:val="20"/>
                      </w:rPr>
                      <w:t>REGIONAL</w:t>
                    </w:r>
                    <w:r>
                      <w:rPr>
                        <w:color w:val="FFFFFF"/>
                        <w:spacing w:val="9"/>
                        <w:sz w:val="20"/>
                      </w:rPr>
                      <w:t> </w:t>
                    </w:r>
                    <w:r>
                      <w:rPr>
                        <w:color w:val="FFFFFF"/>
                        <w:sz w:val="20"/>
                      </w:rPr>
                      <w:t>COMMUNITY</w:t>
                    </w:r>
                    <w:r>
                      <w:rPr>
                        <w:color w:val="FFFFFF"/>
                        <w:spacing w:val="10"/>
                        <w:sz w:val="20"/>
                      </w:rPr>
                      <w:t> </w:t>
                    </w:r>
                    <w:r>
                      <w:rPr>
                        <w:color w:val="FFFFFF"/>
                        <w:sz w:val="20"/>
                      </w:rPr>
                      <w:t>HEALTH</w:t>
                    </w:r>
                    <w:r>
                      <w:rPr>
                        <w:color w:val="FFFFFF"/>
                        <w:spacing w:val="9"/>
                        <w:sz w:val="20"/>
                      </w:rPr>
                      <w:t> </w:t>
                    </w:r>
                    <w:r>
                      <w:rPr>
                        <w:color w:val="FFFFFF"/>
                        <w:spacing w:val="-2"/>
                        <w:sz w:val="20"/>
                      </w:rPr>
                      <w:t>ASSESSMENT</w:t>
                    </w:r>
                  </w:p>
                </w:txbxContent>
              </v:textbox>
              <w10:wrap type="none"/>
            </v:shape>
          </w:pict>
        </mc:Fallback>
      </mc:AlternateContent>
    </w: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4977280">
              <wp:simplePos x="0" y="0"/>
              <wp:positionH relativeFrom="page">
                <wp:posOffset>0</wp:posOffset>
              </wp:positionH>
              <wp:positionV relativeFrom="page">
                <wp:posOffset>0</wp:posOffset>
              </wp:positionV>
              <wp:extent cx="15544800" cy="548640"/>
              <wp:effectExtent l="0" t="0" r="0" b="0"/>
              <wp:wrapNone/>
              <wp:docPr id="2081" name="Group 2081"/>
              <wp:cNvGraphicFramePr>
                <a:graphicFrameLocks/>
              </wp:cNvGraphicFramePr>
              <a:graphic>
                <a:graphicData uri="http://schemas.microsoft.com/office/word/2010/wordprocessingGroup">
                  <wpg:wgp>
                    <wpg:cNvPr id="2081" name="Group 2081"/>
                    <wpg:cNvGrpSpPr/>
                    <wpg:grpSpPr>
                      <a:xfrm>
                        <a:off x="0" y="0"/>
                        <a:ext cx="15544800" cy="548640"/>
                        <a:chExt cx="15544800" cy="548640"/>
                      </a:xfrm>
                    </wpg:grpSpPr>
                    <wps:wsp>
                      <wps:cNvPr id="2082" name="Graphic 2082"/>
                      <wps:cNvSpPr/>
                      <wps:spPr>
                        <a:xfrm>
                          <a:off x="0" y="0"/>
                          <a:ext cx="15544800" cy="548640"/>
                        </a:xfrm>
                        <a:custGeom>
                          <a:avLst/>
                          <a:gdLst/>
                          <a:ahLst/>
                          <a:cxnLst/>
                          <a:rect l="l" t="t" r="r" b="b"/>
                          <a:pathLst>
                            <a:path w="15544800" h="548640">
                              <a:moveTo>
                                <a:pt x="15544800" y="0"/>
                              </a:moveTo>
                              <a:lnTo>
                                <a:pt x="7781544" y="0"/>
                              </a:lnTo>
                              <a:lnTo>
                                <a:pt x="7708392" y="0"/>
                              </a:lnTo>
                              <a:lnTo>
                                <a:pt x="0" y="0"/>
                              </a:lnTo>
                              <a:lnTo>
                                <a:pt x="0" y="548640"/>
                              </a:lnTo>
                              <a:lnTo>
                                <a:pt x="7708392" y="548640"/>
                              </a:lnTo>
                              <a:lnTo>
                                <a:pt x="7781544" y="548640"/>
                              </a:lnTo>
                              <a:lnTo>
                                <a:pt x="15544800" y="548640"/>
                              </a:lnTo>
                              <a:lnTo>
                                <a:pt x="15544800" y="0"/>
                              </a:lnTo>
                              <a:close/>
                            </a:path>
                          </a:pathLst>
                        </a:custGeom>
                        <a:solidFill>
                          <a:srgbClr val="105C84"/>
                        </a:solidFill>
                      </wps:spPr>
                      <wps:bodyPr wrap="square" lIns="0" tIns="0" rIns="0" bIns="0" rtlCol="0">
                        <a:prstTxWarp prst="textNoShape">
                          <a:avLst/>
                        </a:prstTxWarp>
                        <a:noAutofit/>
                      </wps:bodyPr>
                    </wps:wsp>
                    <pic:pic>
                      <pic:nvPicPr>
                        <pic:cNvPr id="2083" name="Image 2083"/>
                        <pic:cNvPicPr/>
                      </pic:nvPicPr>
                      <pic:blipFill>
                        <a:blip r:embed="rId1" cstate="print"/>
                        <a:stretch>
                          <a:fillRect/>
                        </a:stretch>
                      </pic:blipFill>
                      <pic:spPr>
                        <a:xfrm>
                          <a:off x="0" y="0"/>
                          <a:ext cx="7710729" cy="543052"/>
                        </a:xfrm>
                        <a:prstGeom prst="rect">
                          <a:avLst/>
                        </a:prstGeom>
                      </pic:spPr>
                    </pic:pic>
                  </wpg:wgp>
                </a:graphicData>
              </a:graphic>
            </wp:anchor>
          </w:drawing>
        </mc:Choice>
        <mc:Fallback>
          <w:pict>
            <v:group style="position:absolute;margin-left:0pt;margin-top:-.000015pt;width:1224pt;height:43.2pt;mso-position-horizontal-relative:page;mso-position-vertical-relative:page;z-index:-28339200" id="docshapegroup1410" coordorigin="0,0" coordsize="24480,864">
              <v:shape style="position:absolute;left:0;top:0;width:24480;height:864" id="docshape1411" coordorigin="0,0" coordsize="24480,864" path="m24480,0l12254,0,12139,0,0,0,0,864,12139,864,12254,864,24480,864,24480,0xe" filled="true" fillcolor="#105c84" stroked="false">
                <v:path arrowok="t"/>
                <v:fill type="solid"/>
              </v:shape>
              <v:shape style="position:absolute;left:0;top:0;width:12143;height:856" type="#_x0000_t75" id="docshape1412" stroked="false">
                <v:imagedata r:id="rId1" o:title=""/>
              </v:shape>
              <w10:wrap type="none"/>
            </v:group>
          </w:pict>
        </mc:Fallback>
      </mc:AlternateContent>
    </w:r>
    <w:r>
      <w:rPr>
        <w:sz w:val="20"/>
      </w:rPr>
      <mc:AlternateContent>
        <mc:Choice Requires="wps">
          <w:drawing>
            <wp:anchor distT="0" distB="0" distL="0" distR="0" allowOverlap="1" layoutInCell="1" locked="0" behindDoc="1" simplePos="0" relativeHeight="474977792">
              <wp:simplePos x="0" y="0"/>
              <wp:positionH relativeFrom="page">
                <wp:posOffset>691387</wp:posOffset>
              </wp:positionH>
              <wp:positionV relativeFrom="page">
                <wp:posOffset>189992</wp:posOffset>
              </wp:positionV>
              <wp:extent cx="747395" cy="199390"/>
              <wp:effectExtent l="0" t="0" r="0" b="0"/>
              <wp:wrapNone/>
              <wp:docPr id="2084" name="Textbox 2084"/>
              <wp:cNvGraphicFramePr>
                <a:graphicFrameLocks/>
              </wp:cNvGraphicFramePr>
              <a:graphic>
                <a:graphicData uri="http://schemas.microsoft.com/office/word/2010/wordprocessingShape">
                  <wps:wsp>
                    <wps:cNvPr id="2084" name="Textbox 2084"/>
                    <wps:cNvSpPr txBox="1"/>
                    <wps:spPr>
                      <a:xfrm>
                        <a:off x="0" y="0"/>
                        <a:ext cx="747395" cy="199390"/>
                      </a:xfrm>
                      <a:prstGeom prst="rect">
                        <a:avLst/>
                      </a:prstGeom>
                    </wps:spPr>
                    <wps:txbx>
                      <w:txbxContent>
                        <w:p>
                          <w:pPr>
                            <w:spacing w:before="32"/>
                            <w:ind w:left="20" w:right="0" w:firstLine="0"/>
                            <w:jc w:val="left"/>
                            <w:rPr>
                              <w:b/>
                              <w:sz w:val="20"/>
                            </w:rPr>
                          </w:pPr>
                          <w:r>
                            <w:rPr>
                              <w:b/>
                              <w:color w:val="FFFFFF"/>
                              <w:sz w:val="20"/>
                            </w:rPr>
                            <w:t>Appendix</w:t>
                          </w:r>
                          <w:r>
                            <w:rPr>
                              <w:b/>
                              <w:color w:val="FFFFFF"/>
                              <w:spacing w:val="20"/>
                              <w:sz w:val="20"/>
                            </w:rPr>
                            <w:t> </w:t>
                          </w:r>
                          <w:r>
                            <w:rPr>
                              <w:b/>
                              <w:color w:val="FFFFFF"/>
                              <w:spacing w:val="-10"/>
                              <w:sz w:val="20"/>
                            </w:rPr>
                            <w:t>H</w:t>
                          </w:r>
                        </w:p>
                      </w:txbxContent>
                    </wps:txbx>
                    <wps:bodyPr wrap="square" lIns="0" tIns="0" rIns="0" bIns="0" rtlCol="0">
                      <a:noAutofit/>
                    </wps:bodyPr>
                  </wps:wsp>
                </a:graphicData>
              </a:graphic>
            </wp:anchor>
          </w:drawing>
        </mc:Choice>
        <mc:Fallback>
          <w:pict>
            <v:shape style="position:absolute;margin-left:54.439999pt;margin-top:14.96pt;width:58.85pt;height:15.7pt;mso-position-horizontal-relative:page;mso-position-vertical-relative:page;z-index:-28338688" type="#_x0000_t202" id="docshape1413" filled="false" stroked="false">
              <v:textbox inset="0,0,0,0">
                <w:txbxContent>
                  <w:p>
                    <w:pPr>
                      <w:spacing w:before="32"/>
                      <w:ind w:left="20" w:right="0" w:firstLine="0"/>
                      <w:jc w:val="left"/>
                      <w:rPr>
                        <w:b/>
                        <w:sz w:val="20"/>
                      </w:rPr>
                    </w:pPr>
                    <w:r>
                      <w:rPr>
                        <w:b/>
                        <w:color w:val="FFFFFF"/>
                        <w:sz w:val="20"/>
                      </w:rPr>
                      <w:t>Appendix</w:t>
                    </w:r>
                    <w:r>
                      <w:rPr>
                        <w:b/>
                        <w:color w:val="FFFFFF"/>
                        <w:spacing w:val="20"/>
                        <w:sz w:val="20"/>
                      </w:rPr>
                      <w:t> </w:t>
                    </w:r>
                    <w:r>
                      <w:rPr>
                        <w:b/>
                        <w:color w:val="FFFFFF"/>
                        <w:spacing w:val="-10"/>
                        <w:sz w:val="20"/>
                      </w:rPr>
                      <w:t>H</w:t>
                    </w:r>
                  </w:p>
                </w:txbxContent>
              </v:textbox>
              <w10:wrap type="none"/>
            </v:shape>
          </w:pict>
        </mc:Fallback>
      </mc:AlternateContent>
    </w:r>
    <w:r>
      <w:rPr>
        <w:sz w:val="20"/>
      </w:rPr>
      <mc:AlternateContent>
        <mc:Choice Requires="wps">
          <w:drawing>
            <wp:anchor distT="0" distB="0" distL="0" distR="0" allowOverlap="1" layoutInCell="1" locked="0" behindDoc="1" simplePos="0" relativeHeight="474978304">
              <wp:simplePos x="0" y="0"/>
              <wp:positionH relativeFrom="page">
                <wp:posOffset>10957593</wp:posOffset>
              </wp:positionH>
              <wp:positionV relativeFrom="page">
                <wp:posOffset>188468</wp:posOffset>
              </wp:positionV>
              <wp:extent cx="3917950" cy="199390"/>
              <wp:effectExtent l="0" t="0" r="0" b="0"/>
              <wp:wrapNone/>
              <wp:docPr id="2085" name="Textbox 2085"/>
              <wp:cNvGraphicFramePr>
                <a:graphicFrameLocks/>
              </wp:cNvGraphicFramePr>
              <a:graphic>
                <a:graphicData uri="http://schemas.microsoft.com/office/word/2010/wordprocessingShape">
                  <wps:wsp>
                    <wps:cNvPr id="2085" name="Textbox 2085"/>
                    <wps:cNvSpPr txBox="1"/>
                    <wps:spPr>
                      <a:xfrm>
                        <a:off x="0" y="0"/>
                        <a:ext cx="3917950" cy="199390"/>
                      </a:xfrm>
                      <a:prstGeom prst="rect">
                        <a:avLst/>
                      </a:prstGeom>
                    </wps:spPr>
                    <wps:txbx>
                      <w:txbxContent>
                        <w:p>
                          <w:pPr>
                            <w:spacing w:before="32"/>
                            <w:ind w:left="20" w:right="0" w:firstLine="0"/>
                            <w:jc w:val="left"/>
                            <w:rPr>
                              <w:sz w:val="20"/>
                            </w:rPr>
                          </w:pPr>
                          <w:r>
                            <w:rPr>
                              <w:color w:val="FFFFFF"/>
                              <w:sz w:val="20"/>
                            </w:rPr>
                            <w:t>FINGER</w:t>
                          </w:r>
                          <w:r>
                            <w:rPr>
                              <w:color w:val="FFFFFF"/>
                              <w:spacing w:val="9"/>
                              <w:sz w:val="20"/>
                            </w:rPr>
                            <w:t> </w:t>
                          </w:r>
                          <w:r>
                            <w:rPr>
                              <w:color w:val="FFFFFF"/>
                              <w:sz w:val="20"/>
                            </w:rPr>
                            <w:t>LAKES</w:t>
                          </w:r>
                          <w:r>
                            <w:rPr>
                              <w:color w:val="FFFFFF"/>
                              <w:spacing w:val="9"/>
                              <w:sz w:val="20"/>
                            </w:rPr>
                            <w:t> </w:t>
                          </w:r>
                          <w:r>
                            <w:rPr>
                              <w:color w:val="FFFFFF"/>
                              <w:sz w:val="20"/>
                            </w:rPr>
                            <w:t>REGIONAL</w:t>
                          </w:r>
                          <w:r>
                            <w:rPr>
                              <w:color w:val="FFFFFF"/>
                              <w:spacing w:val="9"/>
                              <w:sz w:val="20"/>
                            </w:rPr>
                            <w:t> </w:t>
                          </w:r>
                          <w:r>
                            <w:rPr>
                              <w:color w:val="FFFFFF"/>
                              <w:sz w:val="20"/>
                            </w:rPr>
                            <w:t>COMMUNITY</w:t>
                          </w:r>
                          <w:r>
                            <w:rPr>
                              <w:color w:val="FFFFFF"/>
                              <w:spacing w:val="10"/>
                              <w:sz w:val="20"/>
                            </w:rPr>
                            <w:t> </w:t>
                          </w:r>
                          <w:r>
                            <w:rPr>
                              <w:color w:val="FFFFFF"/>
                              <w:sz w:val="20"/>
                            </w:rPr>
                            <w:t>HEALTH</w:t>
                          </w:r>
                          <w:r>
                            <w:rPr>
                              <w:color w:val="FFFFFF"/>
                              <w:spacing w:val="9"/>
                              <w:sz w:val="20"/>
                            </w:rPr>
                            <w:t> </w:t>
                          </w:r>
                          <w:r>
                            <w:rPr>
                              <w:color w:val="FFFFFF"/>
                              <w:spacing w:val="-2"/>
                              <w:sz w:val="20"/>
                            </w:rPr>
                            <w:t>ASSESSMENT</w:t>
                          </w:r>
                        </w:p>
                      </w:txbxContent>
                    </wps:txbx>
                    <wps:bodyPr wrap="square" lIns="0" tIns="0" rIns="0" bIns="0" rtlCol="0">
                      <a:noAutofit/>
                    </wps:bodyPr>
                  </wps:wsp>
                </a:graphicData>
              </a:graphic>
            </wp:anchor>
          </w:drawing>
        </mc:Choice>
        <mc:Fallback>
          <w:pict>
            <v:shape style="position:absolute;margin-left:862.802612pt;margin-top:14.84pt;width:308.5pt;height:15.7pt;mso-position-horizontal-relative:page;mso-position-vertical-relative:page;z-index:-28338176" type="#_x0000_t202" id="docshape1414" filled="false" stroked="false">
              <v:textbox inset="0,0,0,0">
                <w:txbxContent>
                  <w:p>
                    <w:pPr>
                      <w:spacing w:before="32"/>
                      <w:ind w:left="20" w:right="0" w:firstLine="0"/>
                      <w:jc w:val="left"/>
                      <w:rPr>
                        <w:sz w:val="20"/>
                      </w:rPr>
                    </w:pPr>
                    <w:r>
                      <w:rPr>
                        <w:color w:val="FFFFFF"/>
                        <w:sz w:val="20"/>
                      </w:rPr>
                      <w:t>FINGER</w:t>
                    </w:r>
                    <w:r>
                      <w:rPr>
                        <w:color w:val="FFFFFF"/>
                        <w:spacing w:val="9"/>
                        <w:sz w:val="20"/>
                      </w:rPr>
                      <w:t> </w:t>
                    </w:r>
                    <w:r>
                      <w:rPr>
                        <w:color w:val="FFFFFF"/>
                        <w:sz w:val="20"/>
                      </w:rPr>
                      <w:t>LAKES</w:t>
                    </w:r>
                    <w:r>
                      <w:rPr>
                        <w:color w:val="FFFFFF"/>
                        <w:spacing w:val="9"/>
                        <w:sz w:val="20"/>
                      </w:rPr>
                      <w:t> </w:t>
                    </w:r>
                    <w:r>
                      <w:rPr>
                        <w:color w:val="FFFFFF"/>
                        <w:sz w:val="20"/>
                      </w:rPr>
                      <w:t>REGIONAL</w:t>
                    </w:r>
                    <w:r>
                      <w:rPr>
                        <w:color w:val="FFFFFF"/>
                        <w:spacing w:val="9"/>
                        <w:sz w:val="20"/>
                      </w:rPr>
                      <w:t> </w:t>
                    </w:r>
                    <w:r>
                      <w:rPr>
                        <w:color w:val="FFFFFF"/>
                        <w:sz w:val="20"/>
                      </w:rPr>
                      <w:t>COMMUNITY</w:t>
                    </w:r>
                    <w:r>
                      <w:rPr>
                        <w:color w:val="FFFFFF"/>
                        <w:spacing w:val="10"/>
                        <w:sz w:val="20"/>
                      </w:rPr>
                      <w:t> </w:t>
                    </w:r>
                    <w:r>
                      <w:rPr>
                        <w:color w:val="FFFFFF"/>
                        <w:sz w:val="20"/>
                      </w:rPr>
                      <w:t>HEALTH</w:t>
                    </w:r>
                    <w:r>
                      <w:rPr>
                        <w:color w:val="FFFFFF"/>
                        <w:spacing w:val="9"/>
                        <w:sz w:val="20"/>
                      </w:rPr>
                      <w:t> </w:t>
                    </w:r>
                    <w:r>
                      <w:rPr>
                        <w:color w:val="FFFFFF"/>
                        <w:spacing w:val="-2"/>
                        <w:sz w:val="20"/>
                      </w:rPr>
                      <w:t>ASSESSMENT</w:t>
                    </w:r>
                  </w:p>
                </w:txbxContent>
              </v:textbox>
              <w10:wrap type="none"/>
            </v:shape>
          </w:pict>
        </mc:Fallback>
      </mc:AlternateContent>
    </w: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4956800">
              <wp:simplePos x="0" y="0"/>
              <wp:positionH relativeFrom="page">
                <wp:posOffset>0</wp:posOffset>
              </wp:positionH>
              <wp:positionV relativeFrom="page">
                <wp:posOffset>0</wp:posOffset>
              </wp:positionV>
              <wp:extent cx="15544800" cy="713740"/>
              <wp:effectExtent l="0" t="0" r="0" b="0"/>
              <wp:wrapNone/>
              <wp:docPr id="75" name="Group 75"/>
              <wp:cNvGraphicFramePr>
                <a:graphicFrameLocks/>
              </wp:cNvGraphicFramePr>
              <a:graphic>
                <a:graphicData uri="http://schemas.microsoft.com/office/word/2010/wordprocessingGroup">
                  <wpg:wgp>
                    <wpg:cNvPr id="75" name="Group 75"/>
                    <wpg:cNvGrpSpPr/>
                    <wpg:grpSpPr>
                      <a:xfrm>
                        <a:off x="0" y="0"/>
                        <a:ext cx="15544800" cy="713740"/>
                        <a:chExt cx="15544800" cy="713740"/>
                      </a:xfrm>
                    </wpg:grpSpPr>
                    <wps:wsp>
                      <wps:cNvPr id="76" name="Graphic 76"/>
                      <wps:cNvSpPr/>
                      <wps:spPr>
                        <a:xfrm>
                          <a:off x="7708392" y="0"/>
                          <a:ext cx="7836534" cy="548640"/>
                        </a:xfrm>
                        <a:custGeom>
                          <a:avLst/>
                          <a:gdLst/>
                          <a:ahLst/>
                          <a:cxnLst/>
                          <a:rect l="l" t="t" r="r" b="b"/>
                          <a:pathLst>
                            <a:path w="7836534" h="548640">
                              <a:moveTo>
                                <a:pt x="0" y="0"/>
                              </a:moveTo>
                              <a:lnTo>
                                <a:pt x="0" y="548640"/>
                              </a:lnTo>
                              <a:lnTo>
                                <a:pt x="7836408" y="548640"/>
                              </a:lnTo>
                              <a:lnTo>
                                <a:pt x="7836408" y="0"/>
                              </a:lnTo>
                              <a:lnTo>
                                <a:pt x="0" y="0"/>
                              </a:lnTo>
                              <a:close/>
                            </a:path>
                          </a:pathLst>
                        </a:custGeom>
                        <a:solidFill>
                          <a:srgbClr val="105C84"/>
                        </a:solidFill>
                      </wps:spPr>
                      <wps:bodyPr wrap="square" lIns="0" tIns="0" rIns="0" bIns="0" rtlCol="0">
                        <a:prstTxWarp prst="textNoShape">
                          <a:avLst/>
                        </a:prstTxWarp>
                        <a:noAutofit/>
                      </wps:bodyPr>
                    </wps:wsp>
                    <pic:pic>
                      <pic:nvPicPr>
                        <pic:cNvPr id="77" name="Image 77"/>
                        <pic:cNvPicPr/>
                      </pic:nvPicPr>
                      <pic:blipFill>
                        <a:blip r:embed="rId1" cstate="print"/>
                        <a:stretch>
                          <a:fillRect/>
                        </a:stretch>
                      </pic:blipFill>
                      <pic:spPr>
                        <a:xfrm>
                          <a:off x="0" y="0"/>
                          <a:ext cx="7772400" cy="548640"/>
                        </a:xfrm>
                        <a:prstGeom prst="rect">
                          <a:avLst/>
                        </a:prstGeom>
                      </pic:spPr>
                    </pic:pic>
                    <pic:pic>
                      <pic:nvPicPr>
                        <pic:cNvPr id="78" name="Image 78"/>
                        <pic:cNvPicPr/>
                      </pic:nvPicPr>
                      <pic:blipFill>
                        <a:blip r:embed="rId2" cstate="print"/>
                        <a:stretch>
                          <a:fillRect/>
                        </a:stretch>
                      </pic:blipFill>
                      <pic:spPr>
                        <a:xfrm>
                          <a:off x="0" y="548640"/>
                          <a:ext cx="15544799" cy="164591"/>
                        </a:xfrm>
                        <a:prstGeom prst="rect">
                          <a:avLst/>
                        </a:prstGeom>
                      </pic:spPr>
                    </pic:pic>
                  </wpg:wgp>
                </a:graphicData>
              </a:graphic>
            </wp:anchor>
          </w:drawing>
        </mc:Choice>
        <mc:Fallback>
          <w:pict>
            <v:group style="position:absolute;margin-left:.0pt;margin-top:-.000015pt;width:1224pt;height:56.2pt;mso-position-horizontal-relative:page;mso-position-vertical-relative:page;z-index:-28359680" id="docshapegroup69" coordorigin="0,0" coordsize="24480,1124">
              <v:rect style="position:absolute;left:12139;top:0;width:12341;height:864" id="docshape70" filled="true" fillcolor="#105c84" stroked="false">
                <v:fill type="solid"/>
              </v:rect>
              <v:shape style="position:absolute;left:0;top:0;width:12240;height:864" type="#_x0000_t75" id="docshape71" stroked="false">
                <v:imagedata r:id="rId1" o:title=""/>
              </v:shape>
              <v:shape style="position:absolute;left:0;top:864;width:24480;height:260" type="#_x0000_t75" id="docshape72" stroked="false">
                <v:imagedata r:id="rId2" o:title=""/>
              </v:shape>
              <w10:wrap type="none"/>
            </v:group>
          </w:pict>
        </mc:Fallback>
      </mc:AlternateContent>
    </w:r>
    <w:r>
      <w:rPr>
        <w:sz w:val="20"/>
      </w:rPr>
      <mc:AlternateContent>
        <mc:Choice Requires="wps">
          <w:drawing>
            <wp:anchor distT="0" distB="0" distL="0" distR="0" allowOverlap="1" layoutInCell="1" locked="0" behindDoc="1" simplePos="0" relativeHeight="474957312">
              <wp:simplePos x="0" y="0"/>
              <wp:positionH relativeFrom="page">
                <wp:posOffset>673100</wp:posOffset>
              </wp:positionH>
              <wp:positionV relativeFrom="page">
                <wp:posOffset>189992</wp:posOffset>
              </wp:positionV>
              <wp:extent cx="1160145" cy="199390"/>
              <wp:effectExtent l="0" t="0" r="0" b="0"/>
              <wp:wrapNone/>
              <wp:docPr id="79" name="Textbox 79"/>
              <wp:cNvGraphicFramePr>
                <a:graphicFrameLocks/>
              </wp:cNvGraphicFramePr>
              <a:graphic>
                <a:graphicData uri="http://schemas.microsoft.com/office/word/2010/wordprocessingShape">
                  <wps:wsp>
                    <wps:cNvPr id="79" name="Textbox 79"/>
                    <wps:cNvSpPr txBox="1"/>
                    <wps:spPr>
                      <a:xfrm>
                        <a:off x="0" y="0"/>
                        <a:ext cx="1160145" cy="199390"/>
                      </a:xfrm>
                      <a:prstGeom prst="rect">
                        <a:avLst/>
                      </a:prstGeom>
                    </wps:spPr>
                    <wps:txbx>
                      <w:txbxContent>
                        <w:p>
                          <w:pPr>
                            <w:spacing w:before="32"/>
                            <w:ind w:left="20" w:right="0" w:firstLine="0"/>
                            <w:jc w:val="left"/>
                            <w:rPr>
                              <w:sz w:val="20"/>
                            </w:rPr>
                          </w:pPr>
                          <w:r>
                            <w:rPr>
                              <w:color w:val="FFFFFF"/>
                              <w:sz w:val="20"/>
                            </w:rPr>
                            <w:t>Executive</w:t>
                          </w:r>
                          <w:r>
                            <w:rPr>
                              <w:color w:val="FFFFFF"/>
                              <w:spacing w:val="11"/>
                              <w:sz w:val="20"/>
                            </w:rPr>
                            <w:t> </w:t>
                          </w:r>
                          <w:r>
                            <w:rPr>
                              <w:color w:val="FFFFFF"/>
                              <w:spacing w:val="-2"/>
                              <w:sz w:val="20"/>
                            </w:rPr>
                            <w:t>Summary</w:t>
                          </w:r>
                        </w:p>
                      </w:txbxContent>
                    </wps:txbx>
                    <wps:bodyPr wrap="square" lIns="0" tIns="0" rIns="0" bIns="0" rtlCol="0">
                      <a:noAutofit/>
                    </wps:bodyPr>
                  </wps:wsp>
                </a:graphicData>
              </a:graphic>
            </wp:anchor>
          </w:drawing>
        </mc:Choice>
        <mc:Fallback>
          <w:pict>
            <v:shape style="position:absolute;margin-left:53pt;margin-top:14.96pt;width:91.35pt;height:15.7pt;mso-position-horizontal-relative:page;mso-position-vertical-relative:page;z-index:-28359168" type="#_x0000_t202" id="docshape73" filled="false" stroked="false">
              <v:textbox inset="0,0,0,0">
                <w:txbxContent>
                  <w:p>
                    <w:pPr>
                      <w:spacing w:before="32"/>
                      <w:ind w:left="20" w:right="0" w:firstLine="0"/>
                      <w:jc w:val="left"/>
                      <w:rPr>
                        <w:sz w:val="20"/>
                      </w:rPr>
                    </w:pPr>
                    <w:r>
                      <w:rPr>
                        <w:color w:val="FFFFFF"/>
                        <w:sz w:val="20"/>
                      </w:rPr>
                      <w:t>Executive</w:t>
                    </w:r>
                    <w:r>
                      <w:rPr>
                        <w:color w:val="FFFFFF"/>
                        <w:spacing w:val="11"/>
                        <w:sz w:val="20"/>
                      </w:rPr>
                      <w:t> </w:t>
                    </w:r>
                    <w:r>
                      <w:rPr>
                        <w:color w:val="FFFFFF"/>
                        <w:spacing w:val="-2"/>
                        <w:sz w:val="20"/>
                      </w:rPr>
                      <w:t>Summary</w:t>
                    </w:r>
                  </w:p>
                </w:txbxContent>
              </v:textbox>
              <w10:wrap type="none"/>
            </v:shape>
          </w:pict>
        </mc:Fallback>
      </mc:AlternateContent>
    </w:r>
    <w:r>
      <w:rPr>
        <w:sz w:val="20"/>
      </w:rPr>
      <mc:AlternateContent>
        <mc:Choice Requires="wps">
          <w:drawing>
            <wp:anchor distT="0" distB="0" distL="0" distR="0" allowOverlap="1" layoutInCell="1" locked="0" behindDoc="1" simplePos="0" relativeHeight="474957824">
              <wp:simplePos x="0" y="0"/>
              <wp:positionH relativeFrom="page">
                <wp:posOffset>10957593</wp:posOffset>
              </wp:positionH>
              <wp:positionV relativeFrom="page">
                <wp:posOffset>188468</wp:posOffset>
              </wp:positionV>
              <wp:extent cx="3917950" cy="199390"/>
              <wp:effectExtent l="0" t="0" r="0" b="0"/>
              <wp:wrapNone/>
              <wp:docPr id="80" name="Textbox 80"/>
              <wp:cNvGraphicFramePr>
                <a:graphicFrameLocks/>
              </wp:cNvGraphicFramePr>
              <a:graphic>
                <a:graphicData uri="http://schemas.microsoft.com/office/word/2010/wordprocessingShape">
                  <wps:wsp>
                    <wps:cNvPr id="80" name="Textbox 80"/>
                    <wps:cNvSpPr txBox="1"/>
                    <wps:spPr>
                      <a:xfrm>
                        <a:off x="0" y="0"/>
                        <a:ext cx="3917950" cy="199390"/>
                      </a:xfrm>
                      <a:prstGeom prst="rect">
                        <a:avLst/>
                      </a:prstGeom>
                    </wps:spPr>
                    <wps:txbx>
                      <w:txbxContent>
                        <w:p>
                          <w:pPr>
                            <w:spacing w:before="32"/>
                            <w:ind w:left="20" w:right="0" w:firstLine="0"/>
                            <w:jc w:val="left"/>
                            <w:rPr>
                              <w:sz w:val="20"/>
                            </w:rPr>
                          </w:pPr>
                          <w:r>
                            <w:rPr>
                              <w:color w:val="FFFFFF"/>
                              <w:sz w:val="20"/>
                            </w:rPr>
                            <w:t>FINGER</w:t>
                          </w:r>
                          <w:r>
                            <w:rPr>
                              <w:color w:val="FFFFFF"/>
                              <w:spacing w:val="9"/>
                              <w:sz w:val="20"/>
                            </w:rPr>
                            <w:t> </w:t>
                          </w:r>
                          <w:r>
                            <w:rPr>
                              <w:color w:val="FFFFFF"/>
                              <w:sz w:val="20"/>
                            </w:rPr>
                            <w:t>LAKES</w:t>
                          </w:r>
                          <w:r>
                            <w:rPr>
                              <w:color w:val="FFFFFF"/>
                              <w:spacing w:val="9"/>
                              <w:sz w:val="20"/>
                            </w:rPr>
                            <w:t> </w:t>
                          </w:r>
                          <w:r>
                            <w:rPr>
                              <w:color w:val="FFFFFF"/>
                              <w:sz w:val="20"/>
                            </w:rPr>
                            <w:t>REGIONAL</w:t>
                          </w:r>
                          <w:r>
                            <w:rPr>
                              <w:color w:val="FFFFFF"/>
                              <w:spacing w:val="9"/>
                              <w:sz w:val="20"/>
                            </w:rPr>
                            <w:t> </w:t>
                          </w:r>
                          <w:r>
                            <w:rPr>
                              <w:color w:val="FFFFFF"/>
                              <w:sz w:val="20"/>
                            </w:rPr>
                            <w:t>COMMUNITY</w:t>
                          </w:r>
                          <w:r>
                            <w:rPr>
                              <w:color w:val="FFFFFF"/>
                              <w:spacing w:val="10"/>
                              <w:sz w:val="20"/>
                            </w:rPr>
                            <w:t> </w:t>
                          </w:r>
                          <w:r>
                            <w:rPr>
                              <w:color w:val="FFFFFF"/>
                              <w:sz w:val="20"/>
                            </w:rPr>
                            <w:t>HEALTH</w:t>
                          </w:r>
                          <w:r>
                            <w:rPr>
                              <w:color w:val="FFFFFF"/>
                              <w:spacing w:val="9"/>
                              <w:sz w:val="20"/>
                            </w:rPr>
                            <w:t> </w:t>
                          </w:r>
                          <w:r>
                            <w:rPr>
                              <w:color w:val="FFFFFF"/>
                              <w:spacing w:val="-2"/>
                              <w:sz w:val="20"/>
                            </w:rPr>
                            <w:t>ASSESSMENT</w:t>
                          </w:r>
                        </w:p>
                      </w:txbxContent>
                    </wps:txbx>
                    <wps:bodyPr wrap="square" lIns="0" tIns="0" rIns="0" bIns="0" rtlCol="0">
                      <a:noAutofit/>
                    </wps:bodyPr>
                  </wps:wsp>
                </a:graphicData>
              </a:graphic>
            </wp:anchor>
          </w:drawing>
        </mc:Choice>
        <mc:Fallback>
          <w:pict>
            <v:shape style="position:absolute;margin-left:862.802612pt;margin-top:14.84pt;width:308.5pt;height:15.7pt;mso-position-horizontal-relative:page;mso-position-vertical-relative:page;z-index:-28358656" type="#_x0000_t202" id="docshape74" filled="false" stroked="false">
              <v:textbox inset="0,0,0,0">
                <w:txbxContent>
                  <w:p>
                    <w:pPr>
                      <w:spacing w:before="32"/>
                      <w:ind w:left="20" w:right="0" w:firstLine="0"/>
                      <w:jc w:val="left"/>
                      <w:rPr>
                        <w:sz w:val="20"/>
                      </w:rPr>
                    </w:pPr>
                    <w:r>
                      <w:rPr>
                        <w:color w:val="FFFFFF"/>
                        <w:sz w:val="20"/>
                      </w:rPr>
                      <w:t>FINGER</w:t>
                    </w:r>
                    <w:r>
                      <w:rPr>
                        <w:color w:val="FFFFFF"/>
                        <w:spacing w:val="9"/>
                        <w:sz w:val="20"/>
                      </w:rPr>
                      <w:t> </w:t>
                    </w:r>
                    <w:r>
                      <w:rPr>
                        <w:color w:val="FFFFFF"/>
                        <w:sz w:val="20"/>
                      </w:rPr>
                      <w:t>LAKES</w:t>
                    </w:r>
                    <w:r>
                      <w:rPr>
                        <w:color w:val="FFFFFF"/>
                        <w:spacing w:val="9"/>
                        <w:sz w:val="20"/>
                      </w:rPr>
                      <w:t> </w:t>
                    </w:r>
                    <w:r>
                      <w:rPr>
                        <w:color w:val="FFFFFF"/>
                        <w:sz w:val="20"/>
                      </w:rPr>
                      <w:t>REGIONAL</w:t>
                    </w:r>
                    <w:r>
                      <w:rPr>
                        <w:color w:val="FFFFFF"/>
                        <w:spacing w:val="9"/>
                        <w:sz w:val="20"/>
                      </w:rPr>
                      <w:t> </w:t>
                    </w:r>
                    <w:r>
                      <w:rPr>
                        <w:color w:val="FFFFFF"/>
                        <w:sz w:val="20"/>
                      </w:rPr>
                      <w:t>COMMUNITY</w:t>
                    </w:r>
                    <w:r>
                      <w:rPr>
                        <w:color w:val="FFFFFF"/>
                        <w:spacing w:val="10"/>
                        <w:sz w:val="20"/>
                      </w:rPr>
                      <w:t> </w:t>
                    </w:r>
                    <w:r>
                      <w:rPr>
                        <w:color w:val="FFFFFF"/>
                        <w:sz w:val="20"/>
                      </w:rPr>
                      <w:t>HEALTH</w:t>
                    </w:r>
                    <w:r>
                      <w:rPr>
                        <w:color w:val="FFFFFF"/>
                        <w:spacing w:val="9"/>
                        <w:sz w:val="20"/>
                      </w:rPr>
                      <w:t> </w:t>
                    </w:r>
                    <w:r>
                      <w:rPr>
                        <w:color w:val="FFFFFF"/>
                        <w:spacing w:val="-2"/>
                        <w:sz w:val="20"/>
                      </w:rPr>
                      <w:t>ASSESSMENT</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4958336">
              <wp:simplePos x="0" y="0"/>
              <wp:positionH relativeFrom="page">
                <wp:posOffset>0</wp:posOffset>
              </wp:positionH>
              <wp:positionV relativeFrom="page">
                <wp:posOffset>0</wp:posOffset>
              </wp:positionV>
              <wp:extent cx="15544800" cy="713740"/>
              <wp:effectExtent l="0" t="0" r="0" b="0"/>
              <wp:wrapNone/>
              <wp:docPr id="84" name="Group 84"/>
              <wp:cNvGraphicFramePr>
                <a:graphicFrameLocks/>
              </wp:cNvGraphicFramePr>
              <a:graphic>
                <a:graphicData uri="http://schemas.microsoft.com/office/word/2010/wordprocessingGroup">
                  <wpg:wgp>
                    <wpg:cNvPr id="84" name="Group 84"/>
                    <wpg:cNvGrpSpPr/>
                    <wpg:grpSpPr>
                      <a:xfrm>
                        <a:off x="0" y="0"/>
                        <a:ext cx="15544800" cy="713740"/>
                        <a:chExt cx="15544800" cy="713740"/>
                      </a:xfrm>
                    </wpg:grpSpPr>
                    <wps:wsp>
                      <wps:cNvPr id="85" name="Graphic 85"/>
                      <wps:cNvSpPr/>
                      <wps:spPr>
                        <a:xfrm>
                          <a:off x="7708392" y="0"/>
                          <a:ext cx="7836534" cy="548640"/>
                        </a:xfrm>
                        <a:custGeom>
                          <a:avLst/>
                          <a:gdLst/>
                          <a:ahLst/>
                          <a:cxnLst/>
                          <a:rect l="l" t="t" r="r" b="b"/>
                          <a:pathLst>
                            <a:path w="7836534" h="548640">
                              <a:moveTo>
                                <a:pt x="0" y="0"/>
                              </a:moveTo>
                              <a:lnTo>
                                <a:pt x="0" y="548640"/>
                              </a:lnTo>
                              <a:lnTo>
                                <a:pt x="7836408" y="548640"/>
                              </a:lnTo>
                              <a:lnTo>
                                <a:pt x="7836408" y="0"/>
                              </a:lnTo>
                              <a:lnTo>
                                <a:pt x="0" y="0"/>
                              </a:lnTo>
                              <a:close/>
                            </a:path>
                          </a:pathLst>
                        </a:custGeom>
                        <a:solidFill>
                          <a:srgbClr val="105C84"/>
                        </a:solidFill>
                      </wps:spPr>
                      <wps:bodyPr wrap="square" lIns="0" tIns="0" rIns="0" bIns="0" rtlCol="0">
                        <a:prstTxWarp prst="textNoShape">
                          <a:avLst/>
                        </a:prstTxWarp>
                        <a:noAutofit/>
                      </wps:bodyPr>
                    </wps:wsp>
                    <pic:pic>
                      <pic:nvPicPr>
                        <pic:cNvPr id="86" name="Image 86"/>
                        <pic:cNvPicPr/>
                      </pic:nvPicPr>
                      <pic:blipFill>
                        <a:blip r:embed="rId1" cstate="print"/>
                        <a:stretch>
                          <a:fillRect/>
                        </a:stretch>
                      </pic:blipFill>
                      <pic:spPr>
                        <a:xfrm>
                          <a:off x="0" y="0"/>
                          <a:ext cx="7772400" cy="548640"/>
                        </a:xfrm>
                        <a:prstGeom prst="rect">
                          <a:avLst/>
                        </a:prstGeom>
                      </pic:spPr>
                    </pic:pic>
                    <pic:pic>
                      <pic:nvPicPr>
                        <pic:cNvPr id="87" name="Image 87"/>
                        <pic:cNvPicPr/>
                      </pic:nvPicPr>
                      <pic:blipFill>
                        <a:blip r:embed="rId2" cstate="print"/>
                        <a:stretch>
                          <a:fillRect/>
                        </a:stretch>
                      </pic:blipFill>
                      <pic:spPr>
                        <a:xfrm>
                          <a:off x="7779003" y="548640"/>
                          <a:ext cx="7765795" cy="164591"/>
                        </a:xfrm>
                        <a:prstGeom prst="rect">
                          <a:avLst/>
                        </a:prstGeom>
                      </pic:spPr>
                    </pic:pic>
                  </wpg:wgp>
                </a:graphicData>
              </a:graphic>
            </wp:anchor>
          </w:drawing>
        </mc:Choice>
        <mc:Fallback>
          <w:pict>
            <v:group style="position:absolute;margin-left:0pt;margin-top:-.000015pt;width:1224pt;height:56.2pt;mso-position-horizontal-relative:page;mso-position-vertical-relative:page;z-index:-28358144" id="docshapegroup76" coordorigin="0,0" coordsize="24480,1124">
              <v:rect style="position:absolute;left:12139;top:0;width:12341;height:864" id="docshape77" filled="true" fillcolor="#105c84" stroked="false">
                <v:fill type="solid"/>
              </v:rect>
              <v:shape style="position:absolute;left:0;top:0;width:12240;height:864" type="#_x0000_t75" id="docshape78" stroked="false">
                <v:imagedata r:id="rId1" o:title=""/>
              </v:shape>
              <v:shape style="position:absolute;left:12250;top:864;width:12230;height:260" type="#_x0000_t75" id="docshape79" stroked="false">
                <v:imagedata r:id="rId2" o:title=""/>
              </v:shape>
              <w10:wrap type="none"/>
            </v:group>
          </w:pict>
        </mc:Fallback>
      </mc:AlternateContent>
    </w:r>
    <w:r>
      <w:rPr>
        <w:sz w:val="20"/>
      </w:rPr>
      <mc:AlternateContent>
        <mc:Choice Requires="wps">
          <w:drawing>
            <wp:anchor distT="0" distB="0" distL="0" distR="0" allowOverlap="1" layoutInCell="1" locked="0" behindDoc="1" simplePos="0" relativeHeight="474958848">
              <wp:simplePos x="0" y="0"/>
              <wp:positionH relativeFrom="page">
                <wp:posOffset>673100</wp:posOffset>
              </wp:positionH>
              <wp:positionV relativeFrom="page">
                <wp:posOffset>189992</wp:posOffset>
              </wp:positionV>
              <wp:extent cx="1160145" cy="199390"/>
              <wp:effectExtent l="0" t="0" r="0" b="0"/>
              <wp:wrapNone/>
              <wp:docPr id="88" name="Textbox 88"/>
              <wp:cNvGraphicFramePr>
                <a:graphicFrameLocks/>
              </wp:cNvGraphicFramePr>
              <a:graphic>
                <a:graphicData uri="http://schemas.microsoft.com/office/word/2010/wordprocessingShape">
                  <wps:wsp>
                    <wps:cNvPr id="88" name="Textbox 88"/>
                    <wps:cNvSpPr txBox="1"/>
                    <wps:spPr>
                      <a:xfrm>
                        <a:off x="0" y="0"/>
                        <a:ext cx="1160145" cy="199390"/>
                      </a:xfrm>
                      <a:prstGeom prst="rect">
                        <a:avLst/>
                      </a:prstGeom>
                    </wps:spPr>
                    <wps:txbx>
                      <w:txbxContent>
                        <w:p>
                          <w:pPr>
                            <w:spacing w:before="32"/>
                            <w:ind w:left="20" w:right="0" w:firstLine="0"/>
                            <w:jc w:val="left"/>
                            <w:rPr>
                              <w:sz w:val="20"/>
                            </w:rPr>
                          </w:pPr>
                          <w:r>
                            <w:rPr>
                              <w:color w:val="FFFFFF"/>
                              <w:sz w:val="20"/>
                            </w:rPr>
                            <w:t>Executive</w:t>
                          </w:r>
                          <w:r>
                            <w:rPr>
                              <w:color w:val="FFFFFF"/>
                              <w:spacing w:val="11"/>
                              <w:sz w:val="20"/>
                            </w:rPr>
                            <w:t> </w:t>
                          </w:r>
                          <w:r>
                            <w:rPr>
                              <w:color w:val="FFFFFF"/>
                              <w:spacing w:val="-2"/>
                              <w:sz w:val="20"/>
                            </w:rPr>
                            <w:t>Summary</w:t>
                          </w:r>
                        </w:p>
                      </w:txbxContent>
                    </wps:txbx>
                    <wps:bodyPr wrap="square" lIns="0" tIns="0" rIns="0" bIns="0" rtlCol="0">
                      <a:noAutofit/>
                    </wps:bodyPr>
                  </wps:wsp>
                </a:graphicData>
              </a:graphic>
            </wp:anchor>
          </w:drawing>
        </mc:Choice>
        <mc:Fallback>
          <w:pict>
            <v:shape style="position:absolute;margin-left:53pt;margin-top:14.96pt;width:91.35pt;height:15.7pt;mso-position-horizontal-relative:page;mso-position-vertical-relative:page;z-index:-28357632" type="#_x0000_t202" id="docshape80" filled="false" stroked="false">
              <v:textbox inset="0,0,0,0">
                <w:txbxContent>
                  <w:p>
                    <w:pPr>
                      <w:spacing w:before="32"/>
                      <w:ind w:left="20" w:right="0" w:firstLine="0"/>
                      <w:jc w:val="left"/>
                      <w:rPr>
                        <w:sz w:val="20"/>
                      </w:rPr>
                    </w:pPr>
                    <w:r>
                      <w:rPr>
                        <w:color w:val="FFFFFF"/>
                        <w:sz w:val="20"/>
                      </w:rPr>
                      <w:t>Executive</w:t>
                    </w:r>
                    <w:r>
                      <w:rPr>
                        <w:color w:val="FFFFFF"/>
                        <w:spacing w:val="11"/>
                        <w:sz w:val="20"/>
                      </w:rPr>
                      <w:t> </w:t>
                    </w:r>
                    <w:r>
                      <w:rPr>
                        <w:color w:val="FFFFFF"/>
                        <w:spacing w:val="-2"/>
                        <w:sz w:val="20"/>
                      </w:rPr>
                      <w:t>Summary</w:t>
                    </w:r>
                  </w:p>
                </w:txbxContent>
              </v:textbox>
              <w10:wrap type="none"/>
            </v:shape>
          </w:pict>
        </mc:Fallback>
      </mc:AlternateContent>
    </w:r>
    <w:r>
      <w:rPr>
        <w:sz w:val="20"/>
      </w:rPr>
      <mc:AlternateContent>
        <mc:Choice Requires="wps">
          <w:drawing>
            <wp:anchor distT="0" distB="0" distL="0" distR="0" allowOverlap="1" layoutInCell="1" locked="0" behindDoc="1" simplePos="0" relativeHeight="474959360">
              <wp:simplePos x="0" y="0"/>
              <wp:positionH relativeFrom="page">
                <wp:posOffset>8453119</wp:posOffset>
              </wp:positionH>
              <wp:positionV relativeFrom="page">
                <wp:posOffset>185420</wp:posOffset>
              </wp:positionV>
              <wp:extent cx="1834514" cy="199390"/>
              <wp:effectExtent l="0" t="0" r="0" b="0"/>
              <wp:wrapNone/>
              <wp:docPr id="89" name="Textbox 89"/>
              <wp:cNvGraphicFramePr>
                <a:graphicFrameLocks/>
              </wp:cNvGraphicFramePr>
              <a:graphic>
                <a:graphicData uri="http://schemas.microsoft.com/office/word/2010/wordprocessingShape">
                  <wps:wsp>
                    <wps:cNvPr id="89" name="Textbox 89"/>
                    <wps:cNvSpPr txBox="1"/>
                    <wps:spPr>
                      <a:xfrm>
                        <a:off x="0" y="0"/>
                        <a:ext cx="1834514" cy="199390"/>
                      </a:xfrm>
                      <a:prstGeom prst="rect">
                        <a:avLst/>
                      </a:prstGeom>
                    </wps:spPr>
                    <wps:txbx>
                      <w:txbxContent>
                        <w:p>
                          <w:pPr>
                            <w:spacing w:before="32"/>
                            <w:ind w:left="20" w:right="0" w:firstLine="0"/>
                            <w:jc w:val="left"/>
                            <w:rPr>
                              <w:sz w:val="20"/>
                            </w:rPr>
                          </w:pPr>
                          <w:r>
                            <w:rPr>
                              <w:color w:val="FFFFFF"/>
                              <w:sz w:val="20"/>
                            </w:rPr>
                            <w:t>Community</w:t>
                          </w:r>
                          <w:r>
                            <w:rPr>
                              <w:color w:val="FFFFFF"/>
                              <w:spacing w:val="31"/>
                              <w:sz w:val="20"/>
                            </w:rPr>
                            <w:t> </w:t>
                          </w:r>
                          <w:r>
                            <w:rPr>
                              <w:color w:val="FFFFFF"/>
                              <w:sz w:val="20"/>
                            </w:rPr>
                            <w:t>Health</w:t>
                          </w:r>
                          <w:r>
                            <w:rPr>
                              <w:color w:val="FFFFFF"/>
                              <w:spacing w:val="32"/>
                              <w:sz w:val="20"/>
                            </w:rPr>
                            <w:t> </w:t>
                          </w:r>
                          <w:r>
                            <w:rPr>
                              <w:color w:val="FFFFFF"/>
                              <w:spacing w:val="-2"/>
                              <w:sz w:val="20"/>
                            </w:rPr>
                            <w:t>Assessment</w:t>
                          </w:r>
                        </w:p>
                      </w:txbxContent>
                    </wps:txbx>
                    <wps:bodyPr wrap="square" lIns="0" tIns="0" rIns="0" bIns="0" rtlCol="0">
                      <a:noAutofit/>
                    </wps:bodyPr>
                  </wps:wsp>
                </a:graphicData>
              </a:graphic>
            </wp:anchor>
          </w:drawing>
        </mc:Choice>
        <mc:Fallback>
          <w:pict>
            <v:shape style="position:absolute;margin-left:665.599976pt;margin-top:14.6pt;width:144.450pt;height:15.7pt;mso-position-horizontal-relative:page;mso-position-vertical-relative:page;z-index:-28357120" type="#_x0000_t202" id="docshape81" filled="false" stroked="false">
              <v:textbox inset="0,0,0,0">
                <w:txbxContent>
                  <w:p>
                    <w:pPr>
                      <w:spacing w:before="32"/>
                      <w:ind w:left="20" w:right="0" w:firstLine="0"/>
                      <w:jc w:val="left"/>
                      <w:rPr>
                        <w:sz w:val="20"/>
                      </w:rPr>
                    </w:pPr>
                    <w:r>
                      <w:rPr>
                        <w:color w:val="FFFFFF"/>
                        <w:sz w:val="20"/>
                      </w:rPr>
                      <w:t>Community</w:t>
                    </w:r>
                    <w:r>
                      <w:rPr>
                        <w:color w:val="FFFFFF"/>
                        <w:spacing w:val="31"/>
                        <w:sz w:val="20"/>
                      </w:rPr>
                      <w:t> </w:t>
                    </w:r>
                    <w:r>
                      <w:rPr>
                        <w:color w:val="FFFFFF"/>
                        <w:sz w:val="20"/>
                      </w:rPr>
                      <w:t>Health</w:t>
                    </w:r>
                    <w:r>
                      <w:rPr>
                        <w:color w:val="FFFFFF"/>
                        <w:spacing w:val="32"/>
                        <w:sz w:val="20"/>
                      </w:rPr>
                      <w:t> </w:t>
                    </w:r>
                    <w:r>
                      <w:rPr>
                        <w:color w:val="FFFFFF"/>
                        <w:spacing w:val="-2"/>
                        <w:sz w:val="20"/>
                      </w:rPr>
                      <w:t>Assessment</w:t>
                    </w:r>
                  </w:p>
                </w:txbxContent>
              </v:textbox>
              <w10:wrap type="none"/>
            </v:shape>
          </w:pict>
        </mc:Fallback>
      </mc:AlternateContent>
    </w:r>
    <w:r>
      <w:rPr>
        <w:sz w:val="20"/>
      </w:rPr>
      <mc:AlternateContent>
        <mc:Choice Requires="wps">
          <w:drawing>
            <wp:anchor distT="0" distB="0" distL="0" distR="0" allowOverlap="1" layoutInCell="1" locked="0" behindDoc="1" simplePos="0" relativeHeight="474959872">
              <wp:simplePos x="0" y="0"/>
              <wp:positionH relativeFrom="page">
                <wp:posOffset>10957593</wp:posOffset>
              </wp:positionH>
              <wp:positionV relativeFrom="page">
                <wp:posOffset>188468</wp:posOffset>
              </wp:positionV>
              <wp:extent cx="3917950" cy="199390"/>
              <wp:effectExtent l="0" t="0" r="0" b="0"/>
              <wp:wrapNone/>
              <wp:docPr id="90" name="Textbox 90"/>
              <wp:cNvGraphicFramePr>
                <a:graphicFrameLocks/>
              </wp:cNvGraphicFramePr>
              <a:graphic>
                <a:graphicData uri="http://schemas.microsoft.com/office/word/2010/wordprocessingShape">
                  <wps:wsp>
                    <wps:cNvPr id="90" name="Textbox 90"/>
                    <wps:cNvSpPr txBox="1"/>
                    <wps:spPr>
                      <a:xfrm>
                        <a:off x="0" y="0"/>
                        <a:ext cx="3917950" cy="199390"/>
                      </a:xfrm>
                      <a:prstGeom prst="rect">
                        <a:avLst/>
                      </a:prstGeom>
                    </wps:spPr>
                    <wps:txbx>
                      <w:txbxContent>
                        <w:p>
                          <w:pPr>
                            <w:spacing w:before="32"/>
                            <w:ind w:left="20" w:right="0" w:firstLine="0"/>
                            <w:jc w:val="left"/>
                            <w:rPr>
                              <w:sz w:val="20"/>
                            </w:rPr>
                          </w:pPr>
                          <w:r>
                            <w:rPr>
                              <w:color w:val="FFFFFF"/>
                              <w:sz w:val="20"/>
                            </w:rPr>
                            <w:t>FINGER</w:t>
                          </w:r>
                          <w:r>
                            <w:rPr>
                              <w:color w:val="FFFFFF"/>
                              <w:spacing w:val="9"/>
                              <w:sz w:val="20"/>
                            </w:rPr>
                            <w:t> </w:t>
                          </w:r>
                          <w:r>
                            <w:rPr>
                              <w:color w:val="FFFFFF"/>
                              <w:sz w:val="20"/>
                            </w:rPr>
                            <w:t>LAKES</w:t>
                          </w:r>
                          <w:r>
                            <w:rPr>
                              <w:color w:val="FFFFFF"/>
                              <w:spacing w:val="9"/>
                              <w:sz w:val="20"/>
                            </w:rPr>
                            <w:t> </w:t>
                          </w:r>
                          <w:r>
                            <w:rPr>
                              <w:color w:val="FFFFFF"/>
                              <w:sz w:val="20"/>
                            </w:rPr>
                            <w:t>REGIONAL</w:t>
                          </w:r>
                          <w:r>
                            <w:rPr>
                              <w:color w:val="FFFFFF"/>
                              <w:spacing w:val="9"/>
                              <w:sz w:val="20"/>
                            </w:rPr>
                            <w:t> </w:t>
                          </w:r>
                          <w:r>
                            <w:rPr>
                              <w:color w:val="FFFFFF"/>
                              <w:sz w:val="20"/>
                            </w:rPr>
                            <w:t>COMMUNITY</w:t>
                          </w:r>
                          <w:r>
                            <w:rPr>
                              <w:color w:val="FFFFFF"/>
                              <w:spacing w:val="10"/>
                              <w:sz w:val="20"/>
                            </w:rPr>
                            <w:t> </w:t>
                          </w:r>
                          <w:r>
                            <w:rPr>
                              <w:color w:val="FFFFFF"/>
                              <w:sz w:val="20"/>
                            </w:rPr>
                            <w:t>HEALTH</w:t>
                          </w:r>
                          <w:r>
                            <w:rPr>
                              <w:color w:val="FFFFFF"/>
                              <w:spacing w:val="9"/>
                              <w:sz w:val="20"/>
                            </w:rPr>
                            <w:t> </w:t>
                          </w:r>
                          <w:r>
                            <w:rPr>
                              <w:color w:val="FFFFFF"/>
                              <w:spacing w:val="-2"/>
                              <w:sz w:val="20"/>
                            </w:rPr>
                            <w:t>ASSESSMENT</w:t>
                          </w:r>
                        </w:p>
                      </w:txbxContent>
                    </wps:txbx>
                    <wps:bodyPr wrap="square" lIns="0" tIns="0" rIns="0" bIns="0" rtlCol="0">
                      <a:noAutofit/>
                    </wps:bodyPr>
                  </wps:wsp>
                </a:graphicData>
              </a:graphic>
            </wp:anchor>
          </w:drawing>
        </mc:Choice>
        <mc:Fallback>
          <w:pict>
            <v:shape style="position:absolute;margin-left:862.802612pt;margin-top:14.84pt;width:308.5pt;height:15.7pt;mso-position-horizontal-relative:page;mso-position-vertical-relative:page;z-index:-28356608" type="#_x0000_t202" id="docshape82" filled="false" stroked="false">
              <v:textbox inset="0,0,0,0">
                <w:txbxContent>
                  <w:p>
                    <w:pPr>
                      <w:spacing w:before="32"/>
                      <w:ind w:left="20" w:right="0" w:firstLine="0"/>
                      <w:jc w:val="left"/>
                      <w:rPr>
                        <w:sz w:val="20"/>
                      </w:rPr>
                    </w:pPr>
                    <w:r>
                      <w:rPr>
                        <w:color w:val="FFFFFF"/>
                        <w:sz w:val="20"/>
                      </w:rPr>
                      <w:t>FINGER</w:t>
                    </w:r>
                    <w:r>
                      <w:rPr>
                        <w:color w:val="FFFFFF"/>
                        <w:spacing w:val="9"/>
                        <w:sz w:val="20"/>
                      </w:rPr>
                      <w:t> </w:t>
                    </w:r>
                    <w:r>
                      <w:rPr>
                        <w:color w:val="FFFFFF"/>
                        <w:sz w:val="20"/>
                      </w:rPr>
                      <w:t>LAKES</w:t>
                    </w:r>
                    <w:r>
                      <w:rPr>
                        <w:color w:val="FFFFFF"/>
                        <w:spacing w:val="9"/>
                        <w:sz w:val="20"/>
                      </w:rPr>
                      <w:t> </w:t>
                    </w:r>
                    <w:r>
                      <w:rPr>
                        <w:color w:val="FFFFFF"/>
                        <w:sz w:val="20"/>
                      </w:rPr>
                      <w:t>REGIONAL</w:t>
                    </w:r>
                    <w:r>
                      <w:rPr>
                        <w:color w:val="FFFFFF"/>
                        <w:spacing w:val="9"/>
                        <w:sz w:val="20"/>
                      </w:rPr>
                      <w:t> </w:t>
                    </w:r>
                    <w:r>
                      <w:rPr>
                        <w:color w:val="FFFFFF"/>
                        <w:sz w:val="20"/>
                      </w:rPr>
                      <w:t>COMMUNITY</w:t>
                    </w:r>
                    <w:r>
                      <w:rPr>
                        <w:color w:val="FFFFFF"/>
                        <w:spacing w:val="10"/>
                        <w:sz w:val="20"/>
                      </w:rPr>
                      <w:t> </w:t>
                    </w:r>
                    <w:r>
                      <w:rPr>
                        <w:color w:val="FFFFFF"/>
                        <w:sz w:val="20"/>
                      </w:rPr>
                      <w:t>HEALTH</w:t>
                    </w:r>
                    <w:r>
                      <w:rPr>
                        <w:color w:val="FFFFFF"/>
                        <w:spacing w:val="9"/>
                        <w:sz w:val="20"/>
                      </w:rPr>
                      <w:t> </w:t>
                    </w:r>
                    <w:r>
                      <w:rPr>
                        <w:color w:val="FFFFFF"/>
                        <w:spacing w:val="-2"/>
                        <w:sz w:val="20"/>
                      </w:rPr>
                      <w:t>ASSESSMENT</w:t>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4960384">
              <wp:simplePos x="0" y="0"/>
              <wp:positionH relativeFrom="page">
                <wp:posOffset>0</wp:posOffset>
              </wp:positionH>
              <wp:positionV relativeFrom="page">
                <wp:posOffset>0</wp:posOffset>
              </wp:positionV>
              <wp:extent cx="15544800" cy="548640"/>
              <wp:effectExtent l="0" t="0" r="0" b="0"/>
              <wp:wrapNone/>
              <wp:docPr id="94" name="Group 94"/>
              <wp:cNvGraphicFramePr>
                <a:graphicFrameLocks/>
              </wp:cNvGraphicFramePr>
              <a:graphic>
                <a:graphicData uri="http://schemas.microsoft.com/office/word/2010/wordprocessingGroup">
                  <wpg:wgp>
                    <wpg:cNvPr id="94" name="Group 94"/>
                    <wpg:cNvGrpSpPr/>
                    <wpg:grpSpPr>
                      <a:xfrm>
                        <a:off x="0" y="0"/>
                        <a:ext cx="15544800" cy="548640"/>
                        <a:chExt cx="15544800" cy="548640"/>
                      </a:xfrm>
                    </wpg:grpSpPr>
                    <wps:wsp>
                      <wps:cNvPr id="95" name="Graphic 95"/>
                      <wps:cNvSpPr/>
                      <wps:spPr>
                        <a:xfrm>
                          <a:off x="7708392" y="0"/>
                          <a:ext cx="7836534" cy="548640"/>
                        </a:xfrm>
                        <a:custGeom>
                          <a:avLst/>
                          <a:gdLst/>
                          <a:ahLst/>
                          <a:cxnLst/>
                          <a:rect l="l" t="t" r="r" b="b"/>
                          <a:pathLst>
                            <a:path w="7836534" h="548640">
                              <a:moveTo>
                                <a:pt x="0" y="0"/>
                              </a:moveTo>
                              <a:lnTo>
                                <a:pt x="0" y="548640"/>
                              </a:lnTo>
                              <a:lnTo>
                                <a:pt x="7836408" y="548640"/>
                              </a:lnTo>
                              <a:lnTo>
                                <a:pt x="7836408" y="0"/>
                              </a:lnTo>
                              <a:lnTo>
                                <a:pt x="0" y="0"/>
                              </a:lnTo>
                              <a:close/>
                            </a:path>
                          </a:pathLst>
                        </a:custGeom>
                        <a:solidFill>
                          <a:srgbClr val="105C84"/>
                        </a:solidFill>
                      </wps:spPr>
                      <wps:bodyPr wrap="square" lIns="0" tIns="0" rIns="0" bIns="0" rtlCol="0">
                        <a:prstTxWarp prst="textNoShape">
                          <a:avLst/>
                        </a:prstTxWarp>
                        <a:noAutofit/>
                      </wps:bodyPr>
                    </wps:wsp>
                    <pic:pic>
                      <pic:nvPicPr>
                        <pic:cNvPr id="96" name="Image 96"/>
                        <pic:cNvPicPr/>
                      </pic:nvPicPr>
                      <pic:blipFill>
                        <a:blip r:embed="rId1" cstate="print"/>
                        <a:stretch>
                          <a:fillRect/>
                        </a:stretch>
                      </pic:blipFill>
                      <pic:spPr>
                        <a:xfrm>
                          <a:off x="0" y="0"/>
                          <a:ext cx="7772400" cy="548640"/>
                        </a:xfrm>
                        <a:prstGeom prst="rect">
                          <a:avLst/>
                        </a:prstGeom>
                      </pic:spPr>
                    </pic:pic>
                  </wpg:wgp>
                </a:graphicData>
              </a:graphic>
            </wp:anchor>
          </w:drawing>
        </mc:Choice>
        <mc:Fallback>
          <w:pict>
            <v:group style="position:absolute;margin-left:0pt;margin-top:-.000015pt;width:1224pt;height:43.2pt;mso-position-horizontal-relative:page;mso-position-vertical-relative:page;z-index:-28356096" id="docshapegroup83" coordorigin="0,0" coordsize="24480,864">
              <v:rect style="position:absolute;left:12139;top:0;width:12341;height:864" id="docshape84" filled="true" fillcolor="#105c84" stroked="false">
                <v:fill type="solid"/>
              </v:rect>
              <v:shape style="position:absolute;left:0;top:0;width:12240;height:864" type="#_x0000_t75" id="docshape85" stroked="false">
                <v:imagedata r:id="rId1" o:title=""/>
              </v:shape>
              <w10:wrap type="none"/>
            </v:group>
          </w:pict>
        </mc:Fallback>
      </mc:AlternateContent>
    </w:r>
    <w:r>
      <w:rPr>
        <w:sz w:val="20"/>
      </w:rPr>
      <mc:AlternateContent>
        <mc:Choice Requires="wps">
          <w:drawing>
            <wp:anchor distT="0" distB="0" distL="0" distR="0" allowOverlap="1" layoutInCell="1" locked="0" behindDoc="1" simplePos="0" relativeHeight="474960896">
              <wp:simplePos x="0" y="0"/>
              <wp:positionH relativeFrom="page">
                <wp:posOffset>691387</wp:posOffset>
              </wp:positionH>
              <wp:positionV relativeFrom="page">
                <wp:posOffset>189992</wp:posOffset>
              </wp:positionV>
              <wp:extent cx="1834514" cy="199390"/>
              <wp:effectExtent l="0" t="0" r="0" b="0"/>
              <wp:wrapNone/>
              <wp:docPr id="97" name="Textbox 97"/>
              <wp:cNvGraphicFramePr>
                <a:graphicFrameLocks/>
              </wp:cNvGraphicFramePr>
              <a:graphic>
                <a:graphicData uri="http://schemas.microsoft.com/office/word/2010/wordprocessingShape">
                  <wps:wsp>
                    <wps:cNvPr id="97" name="Textbox 97"/>
                    <wps:cNvSpPr txBox="1"/>
                    <wps:spPr>
                      <a:xfrm>
                        <a:off x="0" y="0"/>
                        <a:ext cx="1834514" cy="199390"/>
                      </a:xfrm>
                      <a:prstGeom prst="rect">
                        <a:avLst/>
                      </a:prstGeom>
                    </wps:spPr>
                    <wps:txbx>
                      <w:txbxContent>
                        <w:p>
                          <w:pPr>
                            <w:spacing w:before="32"/>
                            <w:ind w:left="20" w:right="0" w:firstLine="0"/>
                            <w:jc w:val="left"/>
                            <w:rPr>
                              <w:sz w:val="20"/>
                            </w:rPr>
                          </w:pPr>
                          <w:r>
                            <w:rPr>
                              <w:color w:val="FFFFFF"/>
                              <w:sz w:val="20"/>
                            </w:rPr>
                            <w:t>Community</w:t>
                          </w:r>
                          <w:r>
                            <w:rPr>
                              <w:color w:val="FFFFFF"/>
                              <w:spacing w:val="31"/>
                              <w:sz w:val="20"/>
                            </w:rPr>
                            <w:t> </w:t>
                          </w:r>
                          <w:r>
                            <w:rPr>
                              <w:color w:val="FFFFFF"/>
                              <w:sz w:val="20"/>
                            </w:rPr>
                            <w:t>Health</w:t>
                          </w:r>
                          <w:r>
                            <w:rPr>
                              <w:color w:val="FFFFFF"/>
                              <w:spacing w:val="32"/>
                              <w:sz w:val="20"/>
                            </w:rPr>
                            <w:t> </w:t>
                          </w:r>
                          <w:r>
                            <w:rPr>
                              <w:color w:val="FFFFFF"/>
                              <w:spacing w:val="-2"/>
                              <w:sz w:val="20"/>
                            </w:rPr>
                            <w:t>Assessment</w:t>
                          </w:r>
                        </w:p>
                      </w:txbxContent>
                    </wps:txbx>
                    <wps:bodyPr wrap="square" lIns="0" tIns="0" rIns="0" bIns="0" rtlCol="0">
                      <a:noAutofit/>
                    </wps:bodyPr>
                  </wps:wsp>
                </a:graphicData>
              </a:graphic>
            </wp:anchor>
          </w:drawing>
        </mc:Choice>
        <mc:Fallback>
          <w:pict>
            <v:shape style="position:absolute;margin-left:54.439999pt;margin-top:14.96pt;width:144.450pt;height:15.7pt;mso-position-horizontal-relative:page;mso-position-vertical-relative:page;z-index:-28355584" type="#_x0000_t202" id="docshape86" filled="false" stroked="false">
              <v:textbox inset="0,0,0,0">
                <w:txbxContent>
                  <w:p>
                    <w:pPr>
                      <w:spacing w:before="32"/>
                      <w:ind w:left="20" w:right="0" w:firstLine="0"/>
                      <w:jc w:val="left"/>
                      <w:rPr>
                        <w:sz w:val="20"/>
                      </w:rPr>
                    </w:pPr>
                    <w:r>
                      <w:rPr>
                        <w:color w:val="FFFFFF"/>
                        <w:sz w:val="20"/>
                      </w:rPr>
                      <w:t>Community</w:t>
                    </w:r>
                    <w:r>
                      <w:rPr>
                        <w:color w:val="FFFFFF"/>
                        <w:spacing w:val="31"/>
                        <w:sz w:val="20"/>
                      </w:rPr>
                      <w:t> </w:t>
                    </w:r>
                    <w:r>
                      <w:rPr>
                        <w:color w:val="FFFFFF"/>
                        <w:sz w:val="20"/>
                      </w:rPr>
                      <w:t>Health</w:t>
                    </w:r>
                    <w:r>
                      <w:rPr>
                        <w:color w:val="FFFFFF"/>
                        <w:spacing w:val="32"/>
                        <w:sz w:val="20"/>
                      </w:rPr>
                      <w:t> </w:t>
                    </w:r>
                    <w:r>
                      <w:rPr>
                        <w:color w:val="FFFFFF"/>
                        <w:spacing w:val="-2"/>
                        <w:sz w:val="20"/>
                      </w:rPr>
                      <w:t>Assessment</w:t>
                    </w:r>
                  </w:p>
                </w:txbxContent>
              </v:textbox>
              <w10:wrap type="none"/>
            </v:shape>
          </w:pict>
        </mc:Fallback>
      </mc:AlternateContent>
    </w:r>
    <w:r>
      <w:rPr>
        <w:sz w:val="20"/>
      </w:rPr>
      <mc:AlternateContent>
        <mc:Choice Requires="wps">
          <w:drawing>
            <wp:anchor distT="0" distB="0" distL="0" distR="0" allowOverlap="1" layoutInCell="1" locked="0" behindDoc="1" simplePos="0" relativeHeight="474961408">
              <wp:simplePos x="0" y="0"/>
              <wp:positionH relativeFrom="page">
                <wp:posOffset>10957593</wp:posOffset>
              </wp:positionH>
              <wp:positionV relativeFrom="page">
                <wp:posOffset>188468</wp:posOffset>
              </wp:positionV>
              <wp:extent cx="3917950" cy="199390"/>
              <wp:effectExtent l="0" t="0" r="0" b="0"/>
              <wp:wrapNone/>
              <wp:docPr id="98" name="Textbox 98"/>
              <wp:cNvGraphicFramePr>
                <a:graphicFrameLocks/>
              </wp:cNvGraphicFramePr>
              <a:graphic>
                <a:graphicData uri="http://schemas.microsoft.com/office/word/2010/wordprocessingShape">
                  <wps:wsp>
                    <wps:cNvPr id="98" name="Textbox 98"/>
                    <wps:cNvSpPr txBox="1"/>
                    <wps:spPr>
                      <a:xfrm>
                        <a:off x="0" y="0"/>
                        <a:ext cx="3917950" cy="199390"/>
                      </a:xfrm>
                      <a:prstGeom prst="rect">
                        <a:avLst/>
                      </a:prstGeom>
                    </wps:spPr>
                    <wps:txbx>
                      <w:txbxContent>
                        <w:p>
                          <w:pPr>
                            <w:spacing w:before="32"/>
                            <w:ind w:left="20" w:right="0" w:firstLine="0"/>
                            <w:jc w:val="left"/>
                            <w:rPr>
                              <w:sz w:val="20"/>
                            </w:rPr>
                          </w:pPr>
                          <w:r>
                            <w:rPr>
                              <w:color w:val="FFFFFF"/>
                              <w:sz w:val="20"/>
                            </w:rPr>
                            <w:t>FINGER</w:t>
                          </w:r>
                          <w:r>
                            <w:rPr>
                              <w:color w:val="FFFFFF"/>
                              <w:spacing w:val="9"/>
                              <w:sz w:val="20"/>
                            </w:rPr>
                            <w:t> </w:t>
                          </w:r>
                          <w:r>
                            <w:rPr>
                              <w:color w:val="FFFFFF"/>
                              <w:sz w:val="20"/>
                            </w:rPr>
                            <w:t>LAKES</w:t>
                          </w:r>
                          <w:r>
                            <w:rPr>
                              <w:color w:val="FFFFFF"/>
                              <w:spacing w:val="9"/>
                              <w:sz w:val="20"/>
                            </w:rPr>
                            <w:t> </w:t>
                          </w:r>
                          <w:r>
                            <w:rPr>
                              <w:color w:val="FFFFFF"/>
                              <w:sz w:val="20"/>
                            </w:rPr>
                            <w:t>REGIONAL</w:t>
                          </w:r>
                          <w:r>
                            <w:rPr>
                              <w:color w:val="FFFFFF"/>
                              <w:spacing w:val="9"/>
                              <w:sz w:val="20"/>
                            </w:rPr>
                            <w:t> </w:t>
                          </w:r>
                          <w:r>
                            <w:rPr>
                              <w:color w:val="FFFFFF"/>
                              <w:sz w:val="20"/>
                            </w:rPr>
                            <w:t>COMMUNITY</w:t>
                          </w:r>
                          <w:r>
                            <w:rPr>
                              <w:color w:val="FFFFFF"/>
                              <w:spacing w:val="10"/>
                              <w:sz w:val="20"/>
                            </w:rPr>
                            <w:t> </w:t>
                          </w:r>
                          <w:r>
                            <w:rPr>
                              <w:color w:val="FFFFFF"/>
                              <w:sz w:val="20"/>
                            </w:rPr>
                            <w:t>HEALTH</w:t>
                          </w:r>
                          <w:r>
                            <w:rPr>
                              <w:color w:val="FFFFFF"/>
                              <w:spacing w:val="9"/>
                              <w:sz w:val="20"/>
                            </w:rPr>
                            <w:t> </w:t>
                          </w:r>
                          <w:r>
                            <w:rPr>
                              <w:color w:val="FFFFFF"/>
                              <w:spacing w:val="-2"/>
                              <w:sz w:val="20"/>
                            </w:rPr>
                            <w:t>ASSESSMENT</w:t>
                          </w:r>
                        </w:p>
                      </w:txbxContent>
                    </wps:txbx>
                    <wps:bodyPr wrap="square" lIns="0" tIns="0" rIns="0" bIns="0" rtlCol="0">
                      <a:noAutofit/>
                    </wps:bodyPr>
                  </wps:wsp>
                </a:graphicData>
              </a:graphic>
            </wp:anchor>
          </w:drawing>
        </mc:Choice>
        <mc:Fallback>
          <w:pict>
            <v:shape style="position:absolute;margin-left:862.802612pt;margin-top:14.84pt;width:308.5pt;height:15.7pt;mso-position-horizontal-relative:page;mso-position-vertical-relative:page;z-index:-28355072" type="#_x0000_t202" id="docshape87" filled="false" stroked="false">
              <v:textbox inset="0,0,0,0">
                <w:txbxContent>
                  <w:p>
                    <w:pPr>
                      <w:spacing w:before="32"/>
                      <w:ind w:left="20" w:right="0" w:firstLine="0"/>
                      <w:jc w:val="left"/>
                      <w:rPr>
                        <w:sz w:val="20"/>
                      </w:rPr>
                    </w:pPr>
                    <w:r>
                      <w:rPr>
                        <w:color w:val="FFFFFF"/>
                        <w:sz w:val="20"/>
                      </w:rPr>
                      <w:t>FINGER</w:t>
                    </w:r>
                    <w:r>
                      <w:rPr>
                        <w:color w:val="FFFFFF"/>
                        <w:spacing w:val="9"/>
                        <w:sz w:val="20"/>
                      </w:rPr>
                      <w:t> </w:t>
                    </w:r>
                    <w:r>
                      <w:rPr>
                        <w:color w:val="FFFFFF"/>
                        <w:sz w:val="20"/>
                      </w:rPr>
                      <w:t>LAKES</w:t>
                    </w:r>
                    <w:r>
                      <w:rPr>
                        <w:color w:val="FFFFFF"/>
                        <w:spacing w:val="9"/>
                        <w:sz w:val="20"/>
                      </w:rPr>
                      <w:t> </w:t>
                    </w:r>
                    <w:r>
                      <w:rPr>
                        <w:color w:val="FFFFFF"/>
                        <w:sz w:val="20"/>
                      </w:rPr>
                      <w:t>REGIONAL</w:t>
                    </w:r>
                    <w:r>
                      <w:rPr>
                        <w:color w:val="FFFFFF"/>
                        <w:spacing w:val="9"/>
                        <w:sz w:val="20"/>
                      </w:rPr>
                      <w:t> </w:t>
                    </w:r>
                    <w:r>
                      <w:rPr>
                        <w:color w:val="FFFFFF"/>
                        <w:sz w:val="20"/>
                      </w:rPr>
                      <w:t>COMMUNITY</w:t>
                    </w:r>
                    <w:r>
                      <w:rPr>
                        <w:color w:val="FFFFFF"/>
                        <w:spacing w:val="10"/>
                        <w:sz w:val="20"/>
                      </w:rPr>
                      <w:t> </w:t>
                    </w:r>
                    <w:r>
                      <w:rPr>
                        <w:color w:val="FFFFFF"/>
                        <w:sz w:val="20"/>
                      </w:rPr>
                      <w:t>HEALTH</w:t>
                    </w:r>
                    <w:r>
                      <w:rPr>
                        <w:color w:val="FFFFFF"/>
                        <w:spacing w:val="9"/>
                        <w:sz w:val="20"/>
                      </w:rPr>
                      <w:t> </w:t>
                    </w:r>
                    <w:r>
                      <w:rPr>
                        <w:color w:val="FFFFFF"/>
                        <w:spacing w:val="-2"/>
                        <w:sz w:val="20"/>
                      </w:rPr>
                      <w:t>ASSESSMENT</w:t>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4961920">
              <wp:simplePos x="0" y="0"/>
              <wp:positionH relativeFrom="page">
                <wp:posOffset>0</wp:posOffset>
              </wp:positionH>
              <wp:positionV relativeFrom="page">
                <wp:posOffset>0</wp:posOffset>
              </wp:positionV>
              <wp:extent cx="15544800" cy="548640"/>
              <wp:effectExtent l="0" t="0" r="0" b="0"/>
              <wp:wrapNone/>
              <wp:docPr id="147" name="Group 147"/>
              <wp:cNvGraphicFramePr>
                <a:graphicFrameLocks/>
              </wp:cNvGraphicFramePr>
              <a:graphic>
                <a:graphicData uri="http://schemas.microsoft.com/office/word/2010/wordprocessingGroup">
                  <wpg:wgp>
                    <wpg:cNvPr id="147" name="Group 147"/>
                    <wpg:cNvGrpSpPr/>
                    <wpg:grpSpPr>
                      <a:xfrm>
                        <a:off x="0" y="0"/>
                        <a:ext cx="15544800" cy="548640"/>
                        <a:chExt cx="15544800" cy="548640"/>
                      </a:xfrm>
                    </wpg:grpSpPr>
                    <wps:wsp>
                      <wps:cNvPr id="148" name="Graphic 148"/>
                      <wps:cNvSpPr/>
                      <wps:spPr>
                        <a:xfrm>
                          <a:off x="0" y="0"/>
                          <a:ext cx="15544800" cy="548640"/>
                        </a:xfrm>
                        <a:custGeom>
                          <a:avLst/>
                          <a:gdLst/>
                          <a:ahLst/>
                          <a:cxnLst/>
                          <a:rect l="l" t="t" r="r" b="b"/>
                          <a:pathLst>
                            <a:path w="15544800" h="548640">
                              <a:moveTo>
                                <a:pt x="15544800" y="0"/>
                              </a:moveTo>
                              <a:lnTo>
                                <a:pt x="7799832" y="0"/>
                              </a:lnTo>
                              <a:lnTo>
                                <a:pt x="7708392" y="0"/>
                              </a:lnTo>
                              <a:lnTo>
                                <a:pt x="0" y="0"/>
                              </a:lnTo>
                              <a:lnTo>
                                <a:pt x="0" y="548640"/>
                              </a:lnTo>
                              <a:lnTo>
                                <a:pt x="7708392" y="548640"/>
                              </a:lnTo>
                              <a:lnTo>
                                <a:pt x="7799832" y="548640"/>
                              </a:lnTo>
                              <a:lnTo>
                                <a:pt x="15544800" y="548640"/>
                              </a:lnTo>
                              <a:lnTo>
                                <a:pt x="15544800" y="0"/>
                              </a:lnTo>
                              <a:close/>
                            </a:path>
                          </a:pathLst>
                        </a:custGeom>
                        <a:solidFill>
                          <a:srgbClr val="105C84"/>
                        </a:solidFill>
                      </wps:spPr>
                      <wps:bodyPr wrap="square" lIns="0" tIns="0" rIns="0" bIns="0" rtlCol="0">
                        <a:prstTxWarp prst="textNoShape">
                          <a:avLst/>
                        </a:prstTxWarp>
                        <a:noAutofit/>
                      </wps:bodyPr>
                    </wps:wsp>
                    <pic:pic>
                      <pic:nvPicPr>
                        <pic:cNvPr id="149" name="Image 149"/>
                        <pic:cNvPicPr/>
                      </pic:nvPicPr>
                      <pic:blipFill>
                        <a:blip r:embed="rId1" cstate="print"/>
                        <a:stretch>
                          <a:fillRect/>
                        </a:stretch>
                      </pic:blipFill>
                      <pic:spPr>
                        <a:xfrm>
                          <a:off x="0" y="0"/>
                          <a:ext cx="7710729" cy="543052"/>
                        </a:xfrm>
                        <a:prstGeom prst="rect">
                          <a:avLst/>
                        </a:prstGeom>
                      </pic:spPr>
                    </pic:pic>
                  </wpg:wgp>
                </a:graphicData>
              </a:graphic>
            </wp:anchor>
          </w:drawing>
        </mc:Choice>
        <mc:Fallback>
          <w:pict>
            <v:group style="position:absolute;margin-left:0pt;margin-top:-.000015pt;width:1224pt;height:43.2pt;mso-position-horizontal-relative:page;mso-position-vertical-relative:page;z-index:-28354560" id="docshapegroup125" coordorigin="0,0" coordsize="24480,864">
              <v:shape style="position:absolute;left:0;top:0;width:24480;height:864" id="docshape126" coordorigin="0,0" coordsize="24480,864" path="m24480,0l12283,0,12139,0,0,0,0,864,12139,864,12283,864,24480,864,24480,0xe" filled="true" fillcolor="#105c84" stroked="false">
                <v:path arrowok="t"/>
                <v:fill type="solid"/>
              </v:shape>
              <v:shape style="position:absolute;left:0;top:0;width:12143;height:856" type="#_x0000_t75" id="docshape127" stroked="false">
                <v:imagedata r:id="rId1" o:title=""/>
              </v:shape>
              <w10:wrap type="none"/>
            </v:group>
          </w:pict>
        </mc:Fallback>
      </mc:AlternateContent>
    </w:r>
    <w:r>
      <w:rPr>
        <w:sz w:val="20"/>
      </w:rPr>
      <mc:AlternateContent>
        <mc:Choice Requires="wps">
          <w:drawing>
            <wp:anchor distT="0" distB="0" distL="0" distR="0" allowOverlap="1" layoutInCell="1" locked="0" behindDoc="1" simplePos="0" relativeHeight="474962432">
              <wp:simplePos x="0" y="0"/>
              <wp:positionH relativeFrom="page">
                <wp:posOffset>673100</wp:posOffset>
              </wp:positionH>
              <wp:positionV relativeFrom="page">
                <wp:posOffset>189992</wp:posOffset>
              </wp:positionV>
              <wp:extent cx="2393315" cy="199390"/>
              <wp:effectExtent l="0" t="0" r="0" b="0"/>
              <wp:wrapNone/>
              <wp:docPr id="150" name="Textbox 150"/>
              <wp:cNvGraphicFramePr>
                <a:graphicFrameLocks/>
              </wp:cNvGraphicFramePr>
              <a:graphic>
                <a:graphicData uri="http://schemas.microsoft.com/office/word/2010/wordprocessingShape">
                  <wps:wsp>
                    <wps:cNvPr id="150" name="Textbox 150"/>
                    <wps:cNvSpPr txBox="1"/>
                    <wps:spPr>
                      <a:xfrm>
                        <a:off x="0" y="0"/>
                        <a:ext cx="2393315" cy="199390"/>
                      </a:xfrm>
                      <a:prstGeom prst="rect">
                        <a:avLst/>
                      </a:prstGeom>
                    </wps:spPr>
                    <wps:txbx>
                      <w:txbxContent>
                        <w:p>
                          <w:pPr>
                            <w:spacing w:before="32"/>
                            <w:ind w:left="20" w:right="0" w:firstLine="0"/>
                            <w:jc w:val="left"/>
                            <w:rPr>
                              <w:sz w:val="20"/>
                            </w:rPr>
                          </w:pPr>
                          <w:r>
                            <w:rPr>
                              <w:color w:val="FFFFFF"/>
                              <w:sz w:val="20"/>
                            </w:rPr>
                            <w:t>Health</w:t>
                          </w:r>
                          <w:r>
                            <w:rPr>
                              <w:color w:val="FFFFFF"/>
                              <w:spacing w:val="9"/>
                              <w:sz w:val="20"/>
                            </w:rPr>
                            <w:t> </w:t>
                          </w:r>
                          <w:r>
                            <w:rPr>
                              <w:color w:val="FFFFFF"/>
                              <w:sz w:val="20"/>
                            </w:rPr>
                            <w:t>Assessment:</w:t>
                          </w:r>
                          <w:r>
                            <w:rPr>
                              <w:color w:val="FFFFFF"/>
                              <w:spacing w:val="10"/>
                              <w:sz w:val="20"/>
                            </w:rPr>
                            <w:t> </w:t>
                          </w:r>
                          <w:r>
                            <w:rPr>
                              <w:color w:val="FFFFFF"/>
                              <w:sz w:val="20"/>
                            </w:rPr>
                            <w:t>Eight</w:t>
                          </w:r>
                          <w:r>
                            <w:rPr>
                              <w:color w:val="FFFFFF"/>
                              <w:spacing w:val="10"/>
                              <w:sz w:val="20"/>
                            </w:rPr>
                            <w:t> </w:t>
                          </w:r>
                          <w:r>
                            <w:rPr>
                              <w:color w:val="FFFFFF"/>
                              <w:sz w:val="20"/>
                            </w:rPr>
                            <w:t>County</w:t>
                          </w:r>
                          <w:r>
                            <w:rPr>
                              <w:color w:val="FFFFFF"/>
                              <w:spacing w:val="10"/>
                              <w:sz w:val="20"/>
                            </w:rPr>
                            <w:t> </w:t>
                          </w:r>
                          <w:r>
                            <w:rPr>
                              <w:color w:val="FFFFFF"/>
                              <w:spacing w:val="-2"/>
                              <w:sz w:val="20"/>
                            </w:rPr>
                            <w:t>Region</w:t>
                          </w:r>
                        </w:p>
                      </w:txbxContent>
                    </wps:txbx>
                    <wps:bodyPr wrap="square" lIns="0" tIns="0" rIns="0" bIns="0" rtlCol="0">
                      <a:noAutofit/>
                    </wps:bodyPr>
                  </wps:wsp>
                </a:graphicData>
              </a:graphic>
            </wp:anchor>
          </w:drawing>
        </mc:Choice>
        <mc:Fallback>
          <w:pict>
            <v:shape style="position:absolute;margin-left:53pt;margin-top:14.96pt;width:188.45pt;height:15.7pt;mso-position-horizontal-relative:page;mso-position-vertical-relative:page;z-index:-28354048" type="#_x0000_t202" id="docshape128" filled="false" stroked="false">
              <v:textbox inset="0,0,0,0">
                <w:txbxContent>
                  <w:p>
                    <w:pPr>
                      <w:spacing w:before="32"/>
                      <w:ind w:left="20" w:right="0" w:firstLine="0"/>
                      <w:jc w:val="left"/>
                      <w:rPr>
                        <w:sz w:val="20"/>
                      </w:rPr>
                    </w:pPr>
                    <w:r>
                      <w:rPr>
                        <w:color w:val="FFFFFF"/>
                        <w:sz w:val="20"/>
                      </w:rPr>
                      <w:t>Health</w:t>
                    </w:r>
                    <w:r>
                      <w:rPr>
                        <w:color w:val="FFFFFF"/>
                        <w:spacing w:val="9"/>
                        <w:sz w:val="20"/>
                      </w:rPr>
                      <w:t> </w:t>
                    </w:r>
                    <w:r>
                      <w:rPr>
                        <w:color w:val="FFFFFF"/>
                        <w:sz w:val="20"/>
                      </w:rPr>
                      <w:t>Assessment:</w:t>
                    </w:r>
                    <w:r>
                      <w:rPr>
                        <w:color w:val="FFFFFF"/>
                        <w:spacing w:val="10"/>
                        <w:sz w:val="20"/>
                      </w:rPr>
                      <w:t> </w:t>
                    </w:r>
                    <w:r>
                      <w:rPr>
                        <w:color w:val="FFFFFF"/>
                        <w:sz w:val="20"/>
                      </w:rPr>
                      <w:t>Eight</w:t>
                    </w:r>
                    <w:r>
                      <w:rPr>
                        <w:color w:val="FFFFFF"/>
                        <w:spacing w:val="10"/>
                        <w:sz w:val="20"/>
                      </w:rPr>
                      <w:t> </w:t>
                    </w:r>
                    <w:r>
                      <w:rPr>
                        <w:color w:val="FFFFFF"/>
                        <w:sz w:val="20"/>
                      </w:rPr>
                      <w:t>County</w:t>
                    </w:r>
                    <w:r>
                      <w:rPr>
                        <w:color w:val="FFFFFF"/>
                        <w:spacing w:val="10"/>
                        <w:sz w:val="20"/>
                      </w:rPr>
                      <w:t> </w:t>
                    </w:r>
                    <w:r>
                      <w:rPr>
                        <w:color w:val="FFFFFF"/>
                        <w:spacing w:val="-2"/>
                        <w:sz w:val="20"/>
                      </w:rPr>
                      <w:t>Region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4962944">
              <wp:simplePos x="0" y="0"/>
              <wp:positionH relativeFrom="page">
                <wp:posOffset>10957593</wp:posOffset>
              </wp:positionH>
              <wp:positionV relativeFrom="page">
                <wp:posOffset>188468</wp:posOffset>
              </wp:positionV>
              <wp:extent cx="3917950" cy="199390"/>
              <wp:effectExtent l="0" t="0" r="0" b="0"/>
              <wp:wrapNone/>
              <wp:docPr id="151" name="Textbox 151"/>
              <wp:cNvGraphicFramePr>
                <a:graphicFrameLocks/>
              </wp:cNvGraphicFramePr>
              <a:graphic>
                <a:graphicData uri="http://schemas.microsoft.com/office/word/2010/wordprocessingShape">
                  <wps:wsp>
                    <wps:cNvPr id="151" name="Textbox 151"/>
                    <wps:cNvSpPr txBox="1"/>
                    <wps:spPr>
                      <a:xfrm>
                        <a:off x="0" y="0"/>
                        <a:ext cx="3917950" cy="199390"/>
                      </a:xfrm>
                      <a:prstGeom prst="rect">
                        <a:avLst/>
                      </a:prstGeom>
                    </wps:spPr>
                    <wps:txbx>
                      <w:txbxContent>
                        <w:p>
                          <w:pPr>
                            <w:spacing w:before="32"/>
                            <w:ind w:left="20" w:right="0" w:firstLine="0"/>
                            <w:jc w:val="left"/>
                            <w:rPr>
                              <w:sz w:val="20"/>
                            </w:rPr>
                          </w:pPr>
                          <w:r>
                            <w:rPr>
                              <w:color w:val="FFFFFF"/>
                              <w:sz w:val="20"/>
                            </w:rPr>
                            <w:t>FINGER</w:t>
                          </w:r>
                          <w:r>
                            <w:rPr>
                              <w:color w:val="FFFFFF"/>
                              <w:spacing w:val="9"/>
                              <w:sz w:val="20"/>
                            </w:rPr>
                            <w:t> </w:t>
                          </w:r>
                          <w:r>
                            <w:rPr>
                              <w:color w:val="FFFFFF"/>
                              <w:sz w:val="20"/>
                            </w:rPr>
                            <w:t>LAKES</w:t>
                          </w:r>
                          <w:r>
                            <w:rPr>
                              <w:color w:val="FFFFFF"/>
                              <w:spacing w:val="9"/>
                              <w:sz w:val="20"/>
                            </w:rPr>
                            <w:t> </w:t>
                          </w:r>
                          <w:r>
                            <w:rPr>
                              <w:color w:val="FFFFFF"/>
                              <w:sz w:val="20"/>
                            </w:rPr>
                            <w:t>REGIONAL</w:t>
                          </w:r>
                          <w:r>
                            <w:rPr>
                              <w:color w:val="FFFFFF"/>
                              <w:spacing w:val="9"/>
                              <w:sz w:val="20"/>
                            </w:rPr>
                            <w:t> </w:t>
                          </w:r>
                          <w:r>
                            <w:rPr>
                              <w:color w:val="FFFFFF"/>
                              <w:sz w:val="20"/>
                            </w:rPr>
                            <w:t>COMMUNITY</w:t>
                          </w:r>
                          <w:r>
                            <w:rPr>
                              <w:color w:val="FFFFFF"/>
                              <w:spacing w:val="10"/>
                              <w:sz w:val="20"/>
                            </w:rPr>
                            <w:t> </w:t>
                          </w:r>
                          <w:r>
                            <w:rPr>
                              <w:color w:val="FFFFFF"/>
                              <w:sz w:val="20"/>
                            </w:rPr>
                            <w:t>HEALTH</w:t>
                          </w:r>
                          <w:r>
                            <w:rPr>
                              <w:color w:val="FFFFFF"/>
                              <w:spacing w:val="9"/>
                              <w:sz w:val="20"/>
                            </w:rPr>
                            <w:t> </w:t>
                          </w:r>
                          <w:r>
                            <w:rPr>
                              <w:color w:val="FFFFFF"/>
                              <w:spacing w:val="-2"/>
                              <w:sz w:val="20"/>
                            </w:rPr>
                            <w:t>ASSESSMENT</w:t>
                          </w:r>
                        </w:p>
                      </w:txbxContent>
                    </wps:txbx>
                    <wps:bodyPr wrap="square" lIns="0" tIns="0" rIns="0" bIns="0" rtlCol="0">
                      <a:noAutofit/>
                    </wps:bodyPr>
                  </wps:wsp>
                </a:graphicData>
              </a:graphic>
            </wp:anchor>
          </w:drawing>
        </mc:Choice>
        <mc:Fallback>
          <w:pict>
            <v:shape style="position:absolute;margin-left:862.802612pt;margin-top:14.84pt;width:308.5pt;height:15.7pt;mso-position-horizontal-relative:page;mso-position-vertical-relative:page;z-index:-28353536" type="#_x0000_t202" id="docshape129" filled="false" stroked="false">
              <v:textbox inset="0,0,0,0">
                <w:txbxContent>
                  <w:p>
                    <w:pPr>
                      <w:spacing w:before="32"/>
                      <w:ind w:left="20" w:right="0" w:firstLine="0"/>
                      <w:jc w:val="left"/>
                      <w:rPr>
                        <w:sz w:val="20"/>
                      </w:rPr>
                    </w:pPr>
                    <w:r>
                      <w:rPr>
                        <w:color w:val="FFFFFF"/>
                        <w:sz w:val="20"/>
                      </w:rPr>
                      <w:t>FINGER</w:t>
                    </w:r>
                    <w:r>
                      <w:rPr>
                        <w:color w:val="FFFFFF"/>
                        <w:spacing w:val="9"/>
                        <w:sz w:val="20"/>
                      </w:rPr>
                      <w:t> </w:t>
                    </w:r>
                    <w:r>
                      <w:rPr>
                        <w:color w:val="FFFFFF"/>
                        <w:sz w:val="20"/>
                      </w:rPr>
                      <w:t>LAKES</w:t>
                    </w:r>
                    <w:r>
                      <w:rPr>
                        <w:color w:val="FFFFFF"/>
                        <w:spacing w:val="9"/>
                        <w:sz w:val="20"/>
                      </w:rPr>
                      <w:t> </w:t>
                    </w:r>
                    <w:r>
                      <w:rPr>
                        <w:color w:val="FFFFFF"/>
                        <w:sz w:val="20"/>
                      </w:rPr>
                      <w:t>REGIONAL</w:t>
                    </w:r>
                    <w:r>
                      <w:rPr>
                        <w:color w:val="FFFFFF"/>
                        <w:spacing w:val="9"/>
                        <w:sz w:val="20"/>
                      </w:rPr>
                      <w:t> </w:t>
                    </w:r>
                    <w:r>
                      <w:rPr>
                        <w:color w:val="FFFFFF"/>
                        <w:sz w:val="20"/>
                      </w:rPr>
                      <w:t>COMMUNITY</w:t>
                    </w:r>
                    <w:r>
                      <w:rPr>
                        <w:color w:val="FFFFFF"/>
                        <w:spacing w:val="10"/>
                        <w:sz w:val="20"/>
                      </w:rPr>
                      <w:t> </w:t>
                    </w:r>
                    <w:r>
                      <w:rPr>
                        <w:color w:val="FFFFFF"/>
                        <w:sz w:val="20"/>
                      </w:rPr>
                      <w:t>HEALTH</w:t>
                    </w:r>
                    <w:r>
                      <w:rPr>
                        <w:color w:val="FFFFFF"/>
                        <w:spacing w:val="9"/>
                        <w:sz w:val="20"/>
                      </w:rPr>
                      <w:t> </w:t>
                    </w:r>
                    <w:r>
                      <w:rPr>
                        <w:color w:val="FFFFFF"/>
                        <w:spacing w:val="-2"/>
                        <w:sz w:val="20"/>
                      </w:rPr>
                      <w:t>ASSESSMENT</w:t>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4963456">
              <wp:simplePos x="0" y="0"/>
              <wp:positionH relativeFrom="page">
                <wp:posOffset>0</wp:posOffset>
              </wp:positionH>
              <wp:positionV relativeFrom="page">
                <wp:posOffset>0</wp:posOffset>
              </wp:positionV>
              <wp:extent cx="15544800" cy="548640"/>
              <wp:effectExtent l="0" t="0" r="0" b="0"/>
              <wp:wrapNone/>
              <wp:docPr id="459" name="Group 459"/>
              <wp:cNvGraphicFramePr>
                <a:graphicFrameLocks/>
              </wp:cNvGraphicFramePr>
              <a:graphic>
                <a:graphicData uri="http://schemas.microsoft.com/office/word/2010/wordprocessingGroup">
                  <wpg:wgp>
                    <wpg:cNvPr id="459" name="Group 459"/>
                    <wpg:cNvGrpSpPr/>
                    <wpg:grpSpPr>
                      <a:xfrm>
                        <a:off x="0" y="0"/>
                        <a:ext cx="15544800" cy="548640"/>
                        <a:chExt cx="15544800" cy="548640"/>
                      </a:xfrm>
                    </wpg:grpSpPr>
                    <wps:wsp>
                      <wps:cNvPr id="460" name="Graphic 460"/>
                      <wps:cNvSpPr/>
                      <wps:spPr>
                        <a:xfrm>
                          <a:off x="0" y="0"/>
                          <a:ext cx="15544800" cy="548640"/>
                        </a:xfrm>
                        <a:custGeom>
                          <a:avLst/>
                          <a:gdLst/>
                          <a:ahLst/>
                          <a:cxnLst/>
                          <a:rect l="l" t="t" r="r" b="b"/>
                          <a:pathLst>
                            <a:path w="15544800" h="548640">
                              <a:moveTo>
                                <a:pt x="15544800" y="0"/>
                              </a:moveTo>
                              <a:lnTo>
                                <a:pt x="7927848" y="0"/>
                              </a:lnTo>
                              <a:lnTo>
                                <a:pt x="7708392" y="0"/>
                              </a:lnTo>
                              <a:lnTo>
                                <a:pt x="0" y="0"/>
                              </a:lnTo>
                              <a:lnTo>
                                <a:pt x="0" y="548640"/>
                              </a:lnTo>
                              <a:lnTo>
                                <a:pt x="7708392" y="548640"/>
                              </a:lnTo>
                              <a:lnTo>
                                <a:pt x="7927848" y="548640"/>
                              </a:lnTo>
                              <a:lnTo>
                                <a:pt x="15544800" y="548640"/>
                              </a:lnTo>
                              <a:lnTo>
                                <a:pt x="15544800" y="0"/>
                              </a:lnTo>
                              <a:close/>
                            </a:path>
                          </a:pathLst>
                        </a:custGeom>
                        <a:solidFill>
                          <a:srgbClr val="105C84"/>
                        </a:solidFill>
                      </wps:spPr>
                      <wps:bodyPr wrap="square" lIns="0" tIns="0" rIns="0" bIns="0" rtlCol="0">
                        <a:prstTxWarp prst="textNoShape">
                          <a:avLst/>
                        </a:prstTxWarp>
                        <a:noAutofit/>
                      </wps:bodyPr>
                    </wps:wsp>
                    <pic:pic>
                      <pic:nvPicPr>
                        <pic:cNvPr id="461" name="Image 461"/>
                        <pic:cNvPicPr/>
                      </pic:nvPicPr>
                      <pic:blipFill>
                        <a:blip r:embed="rId1" cstate="print"/>
                        <a:stretch>
                          <a:fillRect/>
                        </a:stretch>
                      </pic:blipFill>
                      <pic:spPr>
                        <a:xfrm>
                          <a:off x="0" y="0"/>
                          <a:ext cx="7710729" cy="543052"/>
                        </a:xfrm>
                        <a:prstGeom prst="rect">
                          <a:avLst/>
                        </a:prstGeom>
                      </pic:spPr>
                    </pic:pic>
                  </wpg:wgp>
                </a:graphicData>
              </a:graphic>
            </wp:anchor>
          </w:drawing>
        </mc:Choice>
        <mc:Fallback>
          <w:pict>
            <v:group style="position:absolute;margin-left:0pt;margin-top:-.000015pt;width:1224pt;height:43.2pt;mso-position-horizontal-relative:page;mso-position-vertical-relative:page;z-index:-28353024" id="docshapegroup406" coordorigin="0,0" coordsize="24480,864">
              <v:shape style="position:absolute;left:0;top:0;width:24480;height:864" id="docshape407" coordorigin="0,0" coordsize="24480,864" path="m24480,0l12485,0,12139,0,0,0,0,864,12139,864,12485,864,24480,864,24480,0xe" filled="true" fillcolor="#105c84" stroked="false">
                <v:path arrowok="t"/>
                <v:fill type="solid"/>
              </v:shape>
              <v:shape style="position:absolute;left:0;top:0;width:12143;height:856" type="#_x0000_t75" id="docshape408" stroked="false">
                <v:imagedata r:id="rId1" o:title=""/>
              </v:shape>
              <w10:wrap type="none"/>
            </v:group>
          </w:pict>
        </mc:Fallback>
      </mc:AlternateContent>
    </w:r>
    <w:r>
      <w:rPr>
        <w:sz w:val="20"/>
      </w:rPr>
      <mc:AlternateContent>
        <mc:Choice Requires="wps">
          <w:drawing>
            <wp:anchor distT="0" distB="0" distL="0" distR="0" allowOverlap="1" layoutInCell="1" locked="0" behindDoc="1" simplePos="0" relativeHeight="474963968">
              <wp:simplePos x="0" y="0"/>
              <wp:positionH relativeFrom="page">
                <wp:posOffset>673100</wp:posOffset>
              </wp:positionH>
              <wp:positionV relativeFrom="page">
                <wp:posOffset>189992</wp:posOffset>
              </wp:positionV>
              <wp:extent cx="3285490" cy="199390"/>
              <wp:effectExtent l="0" t="0" r="0" b="0"/>
              <wp:wrapNone/>
              <wp:docPr id="462" name="Textbox 462"/>
              <wp:cNvGraphicFramePr>
                <a:graphicFrameLocks/>
              </wp:cNvGraphicFramePr>
              <a:graphic>
                <a:graphicData uri="http://schemas.microsoft.com/office/word/2010/wordprocessingShape">
                  <wps:wsp>
                    <wps:cNvPr id="462" name="Textbox 462"/>
                    <wps:cNvSpPr txBox="1"/>
                    <wps:spPr>
                      <a:xfrm>
                        <a:off x="0" y="0"/>
                        <a:ext cx="3285490" cy="199390"/>
                      </a:xfrm>
                      <a:prstGeom prst="rect">
                        <a:avLst/>
                      </a:prstGeom>
                    </wps:spPr>
                    <wps:txbx>
                      <w:txbxContent>
                        <w:p>
                          <w:pPr>
                            <w:spacing w:before="32"/>
                            <w:ind w:left="20" w:right="0" w:firstLine="0"/>
                            <w:jc w:val="left"/>
                            <w:rPr>
                              <w:sz w:val="20"/>
                            </w:rPr>
                          </w:pPr>
                          <w:r>
                            <w:rPr>
                              <w:color w:val="FFFFFF"/>
                              <w:sz w:val="20"/>
                            </w:rPr>
                            <w:t>Planning</w:t>
                          </w:r>
                          <w:r>
                            <w:rPr>
                              <w:color w:val="FFFFFF"/>
                              <w:spacing w:val="8"/>
                              <w:sz w:val="20"/>
                            </w:rPr>
                            <w:t> </w:t>
                          </w:r>
                          <w:r>
                            <w:rPr>
                              <w:color w:val="FFFFFF"/>
                              <w:sz w:val="20"/>
                            </w:rPr>
                            <w:t>and</w:t>
                          </w:r>
                          <w:r>
                            <w:rPr>
                              <w:color w:val="FFFFFF"/>
                              <w:spacing w:val="8"/>
                              <w:sz w:val="20"/>
                            </w:rPr>
                            <w:t> </w:t>
                          </w:r>
                          <w:r>
                            <w:rPr>
                              <w:color w:val="FFFFFF"/>
                              <w:sz w:val="20"/>
                            </w:rPr>
                            <w:t>Prioritization</w:t>
                          </w:r>
                          <w:r>
                            <w:rPr>
                              <w:color w:val="FFFFFF"/>
                              <w:spacing w:val="9"/>
                              <w:sz w:val="20"/>
                            </w:rPr>
                            <w:t> </w:t>
                          </w:r>
                          <w:r>
                            <w:rPr>
                              <w:color w:val="FFFFFF"/>
                              <w:sz w:val="20"/>
                            </w:rPr>
                            <w:t>Process:</w:t>
                          </w:r>
                          <w:r>
                            <w:rPr>
                              <w:color w:val="FFFFFF"/>
                              <w:spacing w:val="8"/>
                              <w:sz w:val="20"/>
                            </w:rPr>
                            <w:t> </w:t>
                          </w:r>
                          <w:r>
                            <w:rPr>
                              <w:color w:val="FFFFFF"/>
                              <w:sz w:val="20"/>
                            </w:rPr>
                            <w:t>Eight</w:t>
                          </w:r>
                          <w:r>
                            <w:rPr>
                              <w:color w:val="FFFFFF"/>
                              <w:spacing w:val="8"/>
                              <w:sz w:val="20"/>
                            </w:rPr>
                            <w:t> </w:t>
                          </w:r>
                          <w:r>
                            <w:rPr>
                              <w:color w:val="FFFFFF"/>
                              <w:sz w:val="20"/>
                            </w:rPr>
                            <w:t>County</w:t>
                          </w:r>
                          <w:r>
                            <w:rPr>
                              <w:color w:val="FFFFFF"/>
                              <w:spacing w:val="9"/>
                              <w:sz w:val="20"/>
                            </w:rPr>
                            <w:t> </w:t>
                          </w:r>
                          <w:r>
                            <w:rPr>
                              <w:color w:val="FFFFFF"/>
                              <w:spacing w:val="-2"/>
                              <w:sz w:val="20"/>
                            </w:rPr>
                            <w:t>Region</w:t>
                          </w:r>
                        </w:p>
                      </w:txbxContent>
                    </wps:txbx>
                    <wps:bodyPr wrap="square" lIns="0" tIns="0" rIns="0" bIns="0" rtlCol="0">
                      <a:noAutofit/>
                    </wps:bodyPr>
                  </wps:wsp>
                </a:graphicData>
              </a:graphic>
            </wp:anchor>
          </w:drawing>
        </mc:Choice>
        <mc:Fallback>
          <w:pict>
            <v:shape style="position:absolute;margin-left:53pt;margin-top:14.96pt;width:258.7pt;height:15.7pt;mso-position-horizontal-relative:page;mso-position-vertical-relative:page;z-index:-28352512" type="#_x0000_t202" id="docshape409" filled="false" stroked="false">
              <v:textbox inset="0,0,0,0">
                <w:txbxContent>
                  <w:p>
                    <w:pPr>
                      <w:spacing w:before="32"/>
                      <w:ind w:left="20" w:right="0" w:firstLine="0"/>
                      <w:jc w:val="left"/>
                      <w:rPr>
                        <w:sz w:val="20"/>
                      </w:rPr>
                    </w:pPr>
                    <w:r>
                      <w:rPr>
                        <w:color w:val="FFFFFF"/>
                        <w:sz w:val="20"/>
                      </w:rPr>
                      <w:t>Planning</w:t>
                    </w:r>
                    <w:r>
                      <w:rPr>
                        <w:color w:val="FFFFFF"/>
                        <w:spacing w:val="8"/>
                        <w:sz w:val="20"/>
                      </w:rPr>
                      <w:t> </w:t>
                    </w:r>
                    <w:r>
                      <w:rPr>
                        <w:color w:val="FFFFFF"/>
                        <w:sz w:val="20"/>
                      </w:rPr>
                      <w:t>and</w:t>
                    </w:r>
                    <w:r>
                      <w:rPr>
                        <w:color w:val="FFFFFF"/>
                        <w:spacing w:val="8"/>
                        <w:sz w:val="20"/>
                      </w:rPr>
                      <w:t> </w:t>
                    </w:r>
                    <w:r>
                      <w:rPr>
                        <w:color w:val="FFFFFF"/>
                        <w:sz w:val="20"/>
                      </w:rPr>
                      <w:t>Prioritization</w:t>
                    </w:r>
                    <w:r>
                      <w:rPr>
                        <w:color w:val="FFFFFF"/>
                        <w:spacing w:val="9"/>
                        <w:sz w:val="20"/>
                      </w:rPr>
                      <w:t> </w:t>
                    </w:r>
                    <w:r>
                      <w:rPr>
                        <w:color w:val="FFFFFF"/>
                        <w:sz w:val="20"/>
                      </w:rPr>
                      <w:t>Process:</w:t>
                    </w:r>
                    <w:r>
                      <w:rPr>
                        <w:color w:val="FFFFFF"/>
                        <w:spacing w:val="8"/>
                        <w:sz w:val="20"/>
                      </w:rPr>
                      <w:t> </w:t>
                    </w:r>
                    <w:r>
                      <w:rPr>
                        <w:color w:val="FFFFFF"/>
                        <w:sz w:val="20"/>
                      </w:rPr>
                      <w:t>Eight</w:t>
                    </w:r>
                    <w:r>
                      <w:rPr>
                        <w:color w:val="FFFFFF"/>
                        <w:spacing w:val="8"/>
                        <w:sz w:val="20"/>
                      </w:rPr>
                      <w:t> </w:t>
                    </w:r>
                    <w:r>
                      <w:rPr>
                        <w:color w:val="FFFFFF"/>
                        <w:sz w:val="20"/>
                      </w:rPr>
                      <w:t>County</w:t>
                    </w:r>
                    <w:r>
                      <w:rPr>
                        <w:color w:val="FFFFFF"/>
                        <w:spacing w:val="9"/>
                        <w:sz w:val="20"/>
                      </w:rPr>
                      <w:t> </w:t>
                    </w:r>
                    <w:r>
                      <w:rPr>
                        <w:color w:val="FFFFFF"/>
                        <w:spacing w:val="-2"/>
                        <w:sz w:val="20"/>
                      </w:rPr>
                      <w:t>Region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4964480">
              <wp:simplePos x="0" y="0"/>
              <wp:positionH relativeFrom="page">
                <wp:posOffset>10957593</wp:posOffset>
              </wp:positionH>
              <wp:positionV relativeFrom="page">
                <wp:posOffset>188468</wp:posOffset>
              </wp:positionV>
              <wp:extent cx="3917950" cy="199390"/>
              <wp:effectExtent l="0" t="0" r="0" b="0"/>
              <wp:wrapNone/>
              <wp:docPr id="463" name="Textbox 463"/>
              <wp:cNvGraphicFramePr>
                <a:graphicFrameLocks/>
              </wp:cNvGraphicFramePr>
              <a:graphic>
                <a:graphicData uri="http://schemas.microsoft.com/office/word/2010/wordprocessingShape">
                  <wps:wsp>
                    <wps:cNvPr id="463" name="Textbox 463"/>
                    <wps:cNvSpPr txBox="1"/>
                    <wps:spPr>
                      <a:xfrm>
                        <a:off x="0" y="0"/>
                        <a:ext cx="3917950" cy="199390"/>
                      </a:xfrm>
                      <a:prstGeom prst="rect">
                        <a:avLst/>
                      </a:prstGeom>
                    </wps:spPr>
                    <wps:txbx>
                      <w:txbxContent>
                        <w:p>
                          <w:pPr>
                            <w:spacing w:before="32"/>
                            <w:ind w:left="20" w:right="0" w:firstLine="0"/>
                            <w:jc w:val="left"/>
                            <w:rPr>
                              <w:sz w:val="20"/>
                            </w:rPr>
                          </w:pPr>
                          <w:r>
                            <w:rPr>
                              <w:color w:val="FFFFFF"/>
                              <w:sz w:val="20"/>
                            </w:rPr>
                            <w:t>FINGER</w:t>
                          </w:r>
                          <w:r>
                            <w:rPr>
                              <w:color w:val="FFFFFF"/>
                              <w:spacing w:val="9"/>
                              <w:sz w:val="20"/>
                            </w:rPr>
                            <w:t> </w:t>
                          </w:r>
                          <w:r>
                            <w:rPr>
                              <w:color w:val="FFFFFF"/>
                              <w:sz w:val="20"/>
                            </w:rPr>
                            <w:t>LAKES</w:t>
                          </w:r>
                          <w:r>
                            <w:rPr>
                              <w:color w:val="FFFFFF"/>
                              <w:spacing w:val="9"/>
                              <w:sz w:val="20"/>
                            </w:rPr>
                            <w:t> </w:t>
                          </w:r>
                          <w:r>
                            <w:rPr>
                              <w:color w:val="FFFFFF"/>
                              <w:sz w:val="20"/>
                            </w:rPr>
                            <w:t>REGIONAL</w:t>
                          </w:r>
                          <w:r>
                            <w:rPr>
                              <w:color w:val="FFFFFF"/>
                              <w:spacing w:val="9"/>
                              <w:sz w:val="20"/>
                            </w:rPr>
                            <w:t> </w:t>
                          </w:r>
                          <w:r>
                            <w:rPr>
                              <w:color w:val="FFFFFF"/>
                              <w:sz w:val="20"/>
                            </w:rPr>
                            <w:t>COMMUNITY</w:t>
                          </w:r>
                          <w:r>
                            <w:rPr>
                              <w:color w:val="FFFFFF"/>
                              <w:spacing w:val="10"/>
                              <w:sz w:val="20"/>
                            </w:rPr>
                            <w:t> </w:t>
                          </w:r>
                          <w:r>
                            <w:rPr>
                              <w:color w:val="FFFFFF"/>
                              <w:sz w:val="20"/>
                            </w:rPr>
                            <w:t>HEALTH</w:t>
                          </w:r>
                          <w:r>
                            <w:rPr>
                              <w:color w:val="FFFFFF"/>
                              <w:spacing w:val="9"/>
                              <w:sz w:val="20"/>
                            </w:rPr>
                            <w:t> </w:t>
                          </w:r>
                          <w:r>
                            <w:rPr>
                              <w:color w:val="FFFFFF"/>
                              <w:spacing w:val="-2"/>
                              <w:sz w:val="20"/>
                            </w:rPr>
                            <w:t>ASSESSMENT</w:t>
                          </w:r>
                        </w:p>
                      </w:txbxContent>
                    </wps:txbx>
                    <wps:bodyPr wrap="square" lIns="0" tIns="0" rIns="0" bIns="0" rtlCol="0">
                      <a:noAutofit/>
                    </wps:bodyPr>
                  </wps:wsp>
                </a:graphicData>
              </a:graphic>
            </wp:anchor>
          </w:drawing>
        </mc:Choice>
        <mc:Fallback>
          <w:pict>
            <v:shape style="position:absolute;margin-left:862.802612pt;margin-top:14.84pt;width:308.5pt;height:15.7pt;mso-position-horizontal-relative:page;mso-position-vertical-relative:page;z-index:-28352000" type="#_x0000_t202" id="docshape410" filled="false" stroked="false">
              <v:textbox inset="0,0,0,0">
                <w:txbxContent>
                  <w:p>
                    <w:pPr>
                      <w:spacing w:before="32"/>
                      <w:ind w:left="20" w:right="0" w:firstLine="0"/>
                      <w:jc w:val="left"/>
                      <w:rPr>
                        <w:sz w:val="20"/>
                      </w:rPr>
                    </w:pPr>
                    <w:r>
                      <w:rPr>
                        <w:color w:val="FFFFFF"/>
                        <w:sz w:val="20"/>
                      </w:rPr>
                      <w:t>FINGER</w:t>
                    </w:r>
                    <w:r>
                      <w:rPr>
                        <w:color w:val="FFFFFF"/>
                        <w:spacing w:val="9"/>
                        <w:sz w:val="20"/>
                      </w:rPr>
                      <w:t> </w:t>
                    </w:r>
                    <w:r>
                      <w:rPr>
                        <w:color w:val="FFFFFF"/>
                        <w:sz w:val="20"/>
                      </w:rPr>
                      <w:t>LAKES</w:t>
                    </w:r>
                    <w:r>
                      <w:rPr>
                        <w:color w:val="FFFFFF"/>
                        <w:spacing w:val="9"/>
                        <w:sz w:val="20"/>
                      </w:rPr>
                      <w:t> </w:t>
                    </w:r>
                    <w:r>
                      <w:rPr>
                        <w:color w:val="FFFFFF"/>
                        <w:sz w:val="20"/>
                      </w:rPr>
                      <w:t>REGIONAL</w:t>
                    </w:r>
                    <w:r>
                      <w:rPr>
                        <w:color w:val="FFFFFF"/>
                        <w:spacing w:val="9"/>
                        <w:sz w:val="20"/>
                      </w:rPr>
                      <w:t> </w:t>
                    </w:r>
                    <w:r>
                      <w:rPr>
                        <w:color w:val="FFFFFF"/>
                        <w:sz w:val="20"/>
                      </w:rPr>
                      <w:t>COMMUNITY</w:t>
                    </w:r>
                    <w:r>
                      <w:rPr>
                        <w:color w:val="FFFFFF"/>
                        <w:spacing w:val="10"/>
                        <w:sz w:val="20"/>
                      </w:rPr>
                      <w:t> </w:t>
                    </w:r>
                    <w:r>
                      <w:rPr>
                        <w:color w:val="FFFFFF"/>
                        <w:sz w:val="20"/>
                      </w:rPr>
                      <w:t>HEALTH</w:t>
                    </w:r>
                    <w:r>
                      <w:rPr>
                        <w:color w:val="FFFFFF"/>
                        <w:spacing w:val="9"/>
                        <w:sz w:val="20"/>
                      </w:rPr>
                      <w:t> </w:t>
                    </w:r>
                    <w:r>
                      <w:rPr>
                        <w:color w:val="FFFFFF"/>
                        <w:spacing w:val="-2"/>
                        <w:sz w:val="20"/>
                      </w:rPr>
                      <w:t>ASSESSMENT</w:t>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4964992">
              <wp:simplePos x="0" y="0"/>
              <wp:positionH relativeFrom="page">
                <wp:posOffset>0</wp:posOffset>
              </wp:positionH>
              <wp:positionV relativeFrom="page">
                <wp:posOffset>0</wp:posOffset>
              </wp:positionV>
              <wp:extent cx="15544800" cy="548640"/>
              <wp:effectExtent l="0" t="0" r="0" b="0"/>
              <wp:wrapNone/>
              <wp:docPr id="468" name="Group 468"/>
              <wp:cNvGraphicFramePr>
                <a:graphicFrameLocks/>
              </wp:cNvGraphicFramePr>
              <a:graphic>
                <a:graphicData uri="http://schemas.microsoft.com/office/word/2010/wordprocessingGroup">
                  <wpg:wgp>
                    <wpg:cNvPr id="468" name="Group 468"/>
                    <wpg:cNvGrpSpPr/>
                    <wpg:grpSpPr>
                      <a:xfrm>
                        <a:off x="0" y="0"/>
                        <a:ext cx="15544800" cy="548640"/>
                        <a:chExt cx="15544800" cy="548640"/>
                      </a:xfrm>
                    </wpg:grpSpPr>
                    <wps:wsp>
                      <wps:cNvPr id="469" name="Graphic 469"/>
                      <wps:cNvSpPr/>
                      <wps:spPr>
                        <a:xfrm>
                          <a:off x="0" y="0"/>
                          <a:ext cx="15544800" cy="548640"/>
                        </a:xfrm>
                        <a:custGeom>
                          <a:avLst/>
                          <a:gdLst/>
                          <a:ahLst/>
                          <a:cxnLst/>
                          <a:rect l="l" t="t" r="r" b="b"/>
                          <a:pathLst>
                            <a:path w="15544800" h="548640">
                              <a:moveTo>
                                <a:pt x="15544800" y="0"/>
                              </a:moveTo>
                              <a:lnTo>
                                <a:pt x="7927848" y="0"/>
                              </a:lnTo>
                              <a:lnTo>
                                <a:pt x="7708392" y="0"/>
                              </a:lnTo>
                              <a:lnTo>
                                <a:pt x="0" y="0"/>
                              </a:lnTo>
                              <a:lnTo>
                                <a:pt x="0" y="548640"/>
                              </a:lnTo>
                              <a:lnTo>
                                <a:pt x="7708392" y="548640"/>
                              </a:lnTo>
                              <a:lnTo>
                                <a:pt x="7927848" y="548640"/>
                              </a:lnTo>
                              <a:lnTo>
                                <a:pt x="15544800" y="548640"/>
                              </a:lnTo>
                              <a:lnTo>
                                <a:pt x="15544800" y="0"/>
                              </a:lnTo>
                              <a:close/>
                            </a:path>
                          </a:pathLst>
                        </a:custGeom>
                        <a:solidFill>
                          <a:srgbClr val="105C84"/>
                        </a:solidFill>
                      </wps:spPr>
                      <wps:bodyPr wrap="square" lIns="0" tIns="0" rIns="0" bIns="0" rtlCol="0">
                        <a:prstTxWarp prst="textNoShape">
                          <a:avLst/>
                        </a:prstTxWarp>
                        <a:noAutofit/>
                      </wps:bodyPr>
                    </wps:wsp>
                    <pic:pic>
                      <pic:nvPicPr>
                        <pic:cNvPr id="470" name="Image 470"/>
                        <pic:cNvPicPr/>
                      </pic:nvPicPr>
                      <pic:blipFill>
                        <a:blip r:embed="rId1" cstate="print"/>
                        <a:stretch>
                          <a:fillRect/>
                        </a:stretch>
                      </pic:blipFill>
                      <pic:spPr>
                        <a:xfrm>
                          <a:off x="0" y="0"/>
                          <a:ext cx="7710729" cy="543052"/>
                        </a:xfrm>
                        <a:prstGeom prst="rect">
                          <a:avLst/>
                        </a:prstGeom>
                      </pic:spPr>
                    </pic:pic>
                  </wpg:wgp>
                </a:graphicData>
              </a:graphic>
            </wp:anchor>
          </w:drawing>
        </mc:Choice>
        <mc:Fallback>
          <w:pict>
            <v:group style="position:absolute;margin-left:0pt;margin-top:-.000015pt;width:1224pt;height:43.2pt;mso-position-horizontal-relative:page;mso-position-vertical-relative:page;z-index:-28351488" id="docshapegroup413" coordorigin="0,0" coordsize="24480,864">
              <v:shape style="position:absolute;left:0;top:0;width:24480;height:864" id="docshape414" coordorigin="0,0" coordsize="24480,864" path="m24480,0l12485,0,12139,0,0,0,0,864,12139,864,12485,864,24480,864,24480,0xe" filled="true" fillcolor="#105c84" stroked="false">
                <v:path arrowok="t"/>
                <v:fill type="solid"/>
              </v:shape>
              <v:shape style="position:absolute;left:0;top:0;width:12143;height:856" type="#_x0000_t75" id="docshape415" stroked="false">
                <v:imagedata r:id="rId1" o:title=""/>
              </v:shape>
              <w10:wrap type="none"/>
            </v:group>
          </w:pict>
        </mc:Fallback>
      </mc:AlternateContent>
    </w:r>
    <w:r>
      <w:rPr>
        <w:sz w:val="20"/>
      </w:rPr>
      <mc:AlternateContent>
        <mc:Choice Requires="wps">
          <w:drawing>
            <wp:anchor distT="0" distB="0" distL="0" distR="0" allowOverlap="1" layoutInCell="1" locked="0" behindDoc="1" simplePos="0" relativeHeight="474965504">
              <wp:simplePos x="0" y="0"/>
              <wp:positionH relativeFrom="page">
                <wp:posOffset>673100</wp:posOffset>
              </wp:positionH>
              <wp:positionV relativeFrom="page">
                <wp:posOffset>189992</wp:posOffset>
              </wp:positionV>
              <wp:extent cx="1002030" cy="199390"/>
              <wp:effectExtent l="0" t="0" r="0" b="0"/>
              <wp:wrapNone/>
              <wp:docPr id="471" name="Textbox 471"/>
              <wp:cNvGraphicFramePr>
                <a:graphicFrameLocks/>
              </wp:cNvGraphicFramePr>
              <a:graphic>
                <a:graphicData uri="http://schemas.microsoft.com/office/word/2010/wordprocessingShape">
                  <wps:wsp>
                    <wps:cNvPr id="471" name="Textbox 471"/>
                    <wps:cNvSpPr txBox="1"/>
                    <wps:spPr>
                      <a:xfrm>
                        <a:off x="0" y="0"/>
                        <a:ext cx="1002030" cy="199390"/>
                      </a:xfrm>
                      <a:prstGeom prst="rect">
                        <a:avLst/>
                      </a:prstGeom>
                    </wps:spPr>
                    <wps:txbx>
                      <w:txbxContent>
                        <w:p>
                          <w:pPr>
                            <w:spacing w:before="32"/>
                            <w:ind w:left="20" w:right="0" w:firstLine="0"/>
                            <w:jc w:val="left"/>
                            <w:rPr>
                              <w:sz w:val="20"/>
                            </w:rPr>
                          </w:pPr>
                          <w:r>
                            <w:rPr>
                              <w:color w:val="FFFFFF"/>
                              <w:sz w:val="20"/>
                            </w:rPr>
                            <w:t>County</w:t>
                          </w:r>
                          <w:r>
                            <w:rPr>
                              <w:color w:val="FFFFFF"/>
                              <w:spacing w:val="20"/>
                              <w:sz w:val="20"/>
                            </w:rPr>
                            <w:t> </w:t>
                          </w:r>
                          <w:r>
                            <w:rPr>
                              <w:color w:val="FFFFFF"/>
                              <w:spacing w:val="-2"/>
                              <w:sz w:val="20"/>
                            </w:rPr>
                            <w:t>Chapters</w:t>
                          </w:r>
                        </w:p>
                      </w:txbxContent>
                    </wps:txbx>
                    <wps:bodyPr wrap="square" lIns="0" tIns="0" rIns="0" bIns="0" rtlCol="0">
                      <a:noAutofit/>
                    </wps:bodyPr>
                  </wps:wsp>
                </a:graphicData>
              </a:graphic>
            </wp:anchor>
          </w:drawing>
        </mc:Choice>
        <mc:Fallback>
          <w:pict>
            <v:shape style="position:absolute;margin-left:53pt;margin-top:14.96pt;width:78.9pt;height:15.7pt;mso-position-horizontal-relative:page;mso-position-vertical-relative:page;z-index:-28350976" type="#_x0000_t202" id="docshape416" filled="false" stroked="false">
              <v:textbox inset="0,0,0,0">
                <w:txbxContent>
                  <w:p>
                    <w:pPr>
                      <w:spacing w:before="32"/>
                      <w:ind w:left="20" w:right="0" w:firstLine="0"/>
                      <w:jc w:val="left"/>
                      <w:rPr>
                        <w:sz w:val="20"/>
                      </w:rPr>
                    </w:pPr>
                    <w:r>
                      <w:rPr>
                        <w:color w:val="FFFFFF"/>
                        <w:sz w:val="20"/>
                      </w:rPr>
                      <w:t>County</w:t>
                    </w:r>
                    <w:r>
                      <w:rPr>
                        <w:color w:val="FFFFFF"/>
                        <w:spacing w:val="20"/>
                        <w:sz w:val="20"/>
                      </w:rPr>
                      <w:t> </w:t>
                    </w:r>
                    <w:r>
                      <w:rPr>
                        <w:color w:val="FFFFFF"/>
                        <w:spacing w:val="-2"/>
                        <w:sz w:val="20"/>
                      </w:rPr>
                      <w:t>Chapters</w:t>
                    </w:r>
                  </w:p>
                </w:txbxContent>
              </v:textbox>
              <w10:wrap type="none"/>
            </v:shape>
          </w:pict>
        </mc:Fallback>
      </mc:AlternateContent>
    </w:r>
    <w:r>
      <w:rPr>
        <w:sz w:val="20"/>
      </w:rPr>
      <mc:AlternateContent>
        <mc:Choice Requires="wps">
          <w:drawing>
            <wp:anchor distT="0" distB="0" distL="0" distR="0" allowOverlap="1" layoutInCell="1" locked="0" behindDoc="1" simplePos="0" relativeHeight="474966016">
              <wp:simplePos x="0" y="0"/>
              <wp:positionH relativeFrom="page">
                <wp:posOffset>10957593</wp:posOffset>
              </wp:positionH>
              <wp:positionV relativeFrom="page">
                <wp:posOffset>188468</wp:posOffset>
              </wp:positionV>
              <wp:extent cx="3917950" cy="199390"/>
              <wp:effectExtent l="0" t="0" r="0" b="0"/>
              <wp:wrapNone/>
              <wp:docPr id="472" name="Textbox 472"/>
              <wp:cNvGraphicFramePr>
                <a:graphicFrameLocks/>
              </wp:cNvGraphicFramePr>
              <a:graphic>
                <a:graphicData uri="http://schemas.microsoft.com/office/word/2010/wordprocessingShape">
                  <wps:wsp>
                    <wps:cNvPr id="472" name="Textbox 472"/>
                    <wps:cNvSpPr txBox="1"/>
                    <wps:spPr>
                      <a:xfrm>
                        <a:off x="0" y="0"/>
                        <a:ext cx="3917950" cy="199390"/>
                      </a:xfrm>
                      <a:prstGeom prst="rect">
                        <a:avLst/>
                      </a:prstGeom>
                    </wps:spPr>
                    <wps:txbx>
                      <w:txbxContent>
                        <w:p>
                          <w:pPr>
                            <w:spacing w:before="32"/>
                            <w:ind w:left="20" w:right="0" w:firstLine="0"/>
                            <w:jc w:val="left"/>
                            <w:rPr>
                              <w:sz w:val="20"/>
                            </w:rPr>
                          </w:pPr>
                          <w:r>
                            <w:rPr>
                              <w:color w:val="FFFFFF"/>
                              <w:sz w:val="20"/>
                            </w:rPr>
                            <w:t>FINGER</w:t>
                          </w:r>
                          <w:r>
                            <w:rPr>
                              <w:color w:val="FFFFFF"/>
                              <w:spacing w:val="9"/>
                              <w:sz w:val="20"/>
                            </w:rPr>
                            <w:t> </w:t>
                          </w:r>
                          <w:r>
                            <w:rPr>
                              <w:color w:val="FFFFFF"/>
                              <w:sz w:val="20"/>
                            </w:rPr>
                            <w:t>LAKES</w:t>
                          </w:r>
                          <w:r>
                            <w:rPr>
                              <w:color w:val="FFFFFF"/>
                              <w:spacing w:val="9"/>
                              <w:sz w:val="20"/>
                            </w:rPr>
                            <w:t> </w:t>
                          </w:r>
                          <w:r>
                            <w:rPr>
                              <w:color w:val="FFFFFF"/>
                              <w:sz w:val="20"/>
                            </w:rPr>
                            <w:t>REGIONAL</w:t>
                          </w:r>
                          <w:r>
                            <w:rPr>
                              <w:color w:val="FFFFFF"/>
                              <w:spacing w:val="9"/>
                              <w:sz w:val="20"/>
                            </w:rPr>
                            <w:t> </w:t>
                          </w:r>
                          <w:r>
                            <w:rPr>
                              <w:color w:val="FFFFFF"/>
                              <w:sz w:val="20"/>
                            </w:rPr>
                            <w:t>COMMUNITY</w:t>
                          </w:r>
                          <w:r>
                            <w:rPr>
                              <w:color w:val="FFFFFF"/>
                              <w:spacing w:val="10"/>
                              <w:sz w:val="20"/>
                            </w:rPr>
                            <w:t> </w:t>
                          </w:r>
                          <w:r>
                            <w:rPr>
                              <w:color w:val="FFFFFF"/>
                              <w:sz w:val="20"/>
                            </w:rPr>
                            <w:t>HEALTH</w:t>
                          </w:r>
                          <w:r>
                            <w:rPr>
                              <w:color w:val="FFFFFF"/>
                              <w:spacing w:val="9"/>
                              <w:sz w:val="20"/>
                            </w:rPr>
                            <w:t> </w:t>
                          </w:r>
                          <w:r>
                            <w:rPr>
                              <w:color w:val="FFFFFF"/>
                              <w:spacing w:val="-2"/>
                              <w:sz w:val="20"/>
                            </w:rPr>
                            <w:t>ASSESSMENT</w:t>
                          </w:r>
                        </w:p>
                      </w:txbxContent>
                    </wps:txbx>
                    <wps:bodyPr wrap="square" lIns="0" tIns="0" rIns="0" bIns="0" rtlCol="0">
                      <a:noAutofit/>
                    </wps:bodyPr>
                  </wps:wsp>
                </a:graphicData>
              </a:graphic>
            </wp:anchor>
          </w:drawing>
        </mc:Choice>
        <mc:Fallback>
          <w:pict>
            <v:shape style="position:absolute;margin-left:862.802612pt;margin-top:14.84pt;width:308.5pt;height:15.7pt;mso-position-horizontal-relative:page;mso-position-vertical-relative:page;z-index:-28350464" type="#_x0000_t202" id="docshape417" filled="false" stroked="false">
              <v:textbox inset="0,0,0,0">
                <w:txbxContent>
                  <w:p>
                    <w:pPr>
                      <w:spacing w:before="32"/>
                      <w:ind w:left="20" w:right="0" w:firstLine="0"/>
                      <w:jc w:val="left"/>
                      <w:rPr>
                        <w:sz w:val="20"/>
                      </w:rPr>
                    </w:pPr>
                    <w:r>
                      <w:rPr>
                        <w:color w:val="FFFFFF"/>
                        <w:sz w:val="20"/>
                      </w:rPr>
                      <w:t>FINGER</w:t>
                    </w:r>
                    <w:r>
                      <w:rPr>
                        <w:color w:val="FFFFFF"/>
                        <w:spacing w:val="9"/>
                        <w:sz w:val="20"/>
                      </w:rPr>
                      <w:t> </w:t>
                    </w:r>
                    <w:r>
                      <w:rPr>
                        <w:color w:val="FFFFFF"/>
                        <w:sz w:val="20"/>
                      </w:rPr>
                      <w:t>LAKES</w:t>
                    </w:r>
                    <w:r>
                      <w:rPr>
                        <w:color w:val="FFFFFF"/>
                        <w:spacing w:val="9"/>
                        <w:sz w:val="20"/>
                      </w:rPr>
                      <w:t> </w:t>
                    </w:r>
                    <w:r>
                      <w:rPr>
                        <w:color w:val="FFFFFF"/>
                        <w:sz w:val="20"/>
                      </w:rPr>
                      <w:t>REGIONAL</w:t>
                    </w:r>
                    <w:r>
                      <w:rPr>
                        <w:color w:val="FFFFFF"/>
                        <w:spacing w:val="9"/>
                        <w:sz w:val="20"/>
                      </w:rPr>
                      <w:t> </w:t>
                    </w:r>
                    <w:r>
                      <w:rPr>
                        <w:color w:val="FFFFFF"/>
                        <w:sz w:val="20"/>
                      </w:rPr>
                      <w:t>COMMUNITY</w:t>
                    </w:r>
                    <w:r>
                      <w:rPr>
                        <w:color w:val="FFFFFF"/>
                        <w:spacing w:val="10"/>
                        <w:sz w:val="20"/>
                      </w:rPr>
                      <w:t> </w:t>
                    </w:r>
                    <w:r>
                      <w:rPr>
                        <w:color w:val="FFFFFF"/>
                        <w:sz w:val="20"/>
                      </w:rPr>
                      <w:t>HEALTH</w:t>
                    </w:r>
                    <w:r>
                      <w:rPr>
                        <w:color w:val="FFFFFF"/>
                        <w:spacing w:val="9"/>
                        <w:sz w:val="20"/>
                      </w:rPr>
                      <w:t> </w:t>
                    </w:r>
                    <w:r>
                      <w:rPr>
                        <w:color w:val="FFFFFF"/>
                        <w:spacing w:val="-2"/>
                        <w:sz w:val="20"/>
                      </w:rPr>
                      <w:t>ASSESSMENT</w:t>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4966528">
              <wp:simplePos x="0" y="0"/>
              <wp:positionH relativeFrom="page">
                <wp:posOffset>0</wp:posOffset>
              </wp:positionH>
              <wp:positionV relativeFrom="page">
                <wp:posOffset>0</wp:posOffset>
              </wp:positionV>
              <wp:extent cx="15544800" cy="548640"/>
              <wp:effectExtent l="0" t="0" r="0" b="0"/>
              <wp:wrapNone/>
              <wp:docPr id="1703" name="Group 1703"/>
              <wp:cNvGraphicFramePr>
                <a:graphicFrameLocks/>
              </wp:cNvGraphicFramePr>
              <a:graphic>
                <a:graphicData uri="http://schemas.microsoft.com/office/word/2010/wordprocessingGroup">
                  <wpg:wgp>
                    <wpg:cNvPr id="1703" name="Group 1703"/>
                    <wpg:cNvGrpSpPr/>
                    <wpg:grpSpPr>
                      <a:xfrm>
                        <a:off x="0" y="0"/>
                        <a:ext cx="15544800" cy="548640"/>
                        <a:chExt cx="15544800" cy="548640"/>
                      </a:xfrm>
                    </wpg:grpSpPr>
                    <wps:wsp>
                      <wps:cNvPr id="1704" name="Graphic 1704"/>
                      <wps:cNvSpPr/>
                      <wps:spPr>
                        <a:xfrm>
                          <a:off x="0" y="0"/>
                          <a:ext cx="15544800" cy="548640"/>
                        </a:xfrm>
                        <a:custGeom>
                          <a:avLst/>
                          <a:gdLst/>
                          <a:ahLst/>
                          <a:cxnLst/>
                          <a:rect l="l" t="t" r="r" b="b"/>
                          <a:pathLst>
                            <a:path w="15544800" h="548640">
                              <a:moveTo>
                                <a:pt x="15544800" y="0"/>
                              </a:moveTo>
                              <a:lnTo>
                                <a:pt x="7781544" y="0"/>
                              </a:lnTo>
                              <a:lnTo>
                                <a:pt x="7708392" y="0"/>
                              </a:lnTo>
                              <a:lnTo>
                                <a:pt x="0" y="0"/>
                              </a:lnTo>
                              <a:lnTo>
                                <a:pt x="0" y="548640"/>
                              </a:lnTo>
                              <a:lnTo>
                                <a:pt x="7708392" y="548640"/>
                              </a:lnTo>
                              <a:lnTo>
                                <a:pt x="7781544" y="548640"/>
                              </a:lnTo>
                              <a:lnTo>
                                <a:pt x="15544800" y="548640"/>
                              </a:lnTo>
                              <a:lnTo>
                                <a:pt x="15544800" y="0"/>
                              </a:lnTo>
                              <a:close/>
                            </a:path>
                          </a:pathLst>
                        </a:custGeom>
                        <a:solidFill>
                          <a:srgbClr val="105C84"/>
                        </a:solidFill>
                      </wps:spPr>
                      <wps:bodyPr wrap="square" lIns="0" tIns="0" rIns="0" bIns="0" rtlCol="0">
                        <a:prstTxWarp prst="textNoShape">
                          <a:avLst/>
                        </a:prstTxWarp>
                        <a:noAutofit/>
                      </wps:bodyPr>
                    </wps:wsp>
                    <pic:pic>
                      <pic:nvPicPr>
                        <pic:cNvPr id="1705" name="Image 1705"/>
                        <pic:cNvPicPr/>
                      </pic:nvPicPr>
                      <pic:blipFill>
                        <a:blip r:embed="rId1" cstate="print"/>
                        <a:stretch>
                          <a:fillRect/>
                        </a:stretch>
                      </pic:blipFill>
                      <pic:spPr>
                        <a:xfrm>
                          <a:off x="0" y="0"/>
                          <a:ext cx="7710729" cy="543052"/>
                        </a:xfrm>
                        <a:prstGeom prst="rect">
                          <a:avLst/>
                        </a:prstGeom>
                      </pic:spPr>
                    </pic:pic>
                  </wpg:wgp>
                </a:graphicData>
              </a:graphic>
            </wp:anchor>
          </w:drawing>
        </mc:Choice>
        <mc:Fallback>
          <w:pict>
            <v:group style="position:absolute;margin-left:0pt;margin-top:-.000015pt;width:1224pt;height:43.2pt;mso-position-horizontal-relative:page;mso-position-vertical-relative:page;z-index:-28349952" id="docshapegroup1348" coordorigin="0,0" coordsize="24480,864">
              <v:shape style="position:absolute;left:0;top:0;width:24480;height:864" id="docshape1349" coordorigin="0,0" coordsize="24480,864" path="m24480,0l12254,0,12139,0,0,0,0,864,12139,864,12254,864,24480,864,24480,0xe" filled="true" fillcolor="#105c84" stroked="false">
                <v:path arrowok="t"/>
                <v:fill type="solid"/>
              </v:shape>
              <v:shape style="position:absolute;left:0;top:0;width:12143;height:856" type="#_x0000_t75" id="docshape1350" stroked="false">
                <v:imagedata r:id="rId1" o:title=""/>
              </v:shape>
              <w10:wrap type="none"/>
            </v:group>
          </w:pict>
        </mc:Fallback>
      </mc:AlternateContent>
    </w:r>
    <w:r>
      <w:rPr>
        <w:sz w:val="20"/>
      </w:rPr>
      <mc:AlternateContent>
        <mc:Choice Requires="wps">
          <w:drawing>
            <wp:anchor distT="0" distB="0" distL="0" distR="0" allowOverlap="1" layoutInCell="1" locked="0" behindDoc="1" simplePos="0" relativeHeight="474967040">
              <wp:simplePos x="0" y="0"/>
              <wp:positionH relativeFrom="page">
                <wp:posOffset>691387</wp:posOffset>
              </wp:positionH>
              <wp:positionV relativeFrom="page">
                <wp:posOffset>189992</wp:posOffset>
              </wp:positionV>
              <wp:extent cx="745490" cy="199390"/>
              <wp:effectExtent l="0" t="0" r="0" b="0"/>
              <wp:wrapNone/>
              <wp:docPr id="1706" name="Textbox 1706"/>
              <wp:cNvGraphicFramePr>
                <a:graphicFrameLocks/>
              </wp:cNvGraphicFramePr>
              <a:graphic>
                <a:graphicData uri="http://schemas.microsoft.com/office/word/2010/wordprocessingShape">
                  <wps:wsp>
                    <wps:cNvPr id="1706" name="Textbox 1706"/>
                    <wps:cNvSpPr txBox="1"/>
                    <wps:spPr>
                      <a:xfrm>
                        <a:off x="0" y="0"/>
                        <a:ext cx="745490" cy="199390"/>
                      </a:xfrm>
                      <a:prstGeom prst="rect">
                        <a:avLst/>
                      </a:prstGeom>
                    </wps:spPr>
                    <wps:txbx>
                      <w:txbxContent>
                        <w:p>
                          <w:pPr>
                            <w:spacing w:before="32"/>
                            <w:ind w:left="20" w:right="0" w:firstLine="0"/>
                            <w:jc w:val="left"/>
                            <w:rPr>
                              <w:b/>
                              <w:sz w:val="20"/>
                            </w:rPr>
                          </w:pPr>
                          <w:r>
                            <w:rPr>
                              <w:b/>
                              <w:color w:val="FFFFFF"/>
                              <w:sz w:val="20"/>
                            </w:rPr>
                            <w:t>Appendix</w:t>
                          </w:r>
                          <w:r>
                            <w:rPr>
                              <w:b/>
                              <w:color w:val="FFFFFF"/>
                              <w:spacing w:val="20"/>
                              <w:sz w:val="20"/>
                            </w:rPr>
                            <w:t> </w:t>
                          </w:r>
                          <w:r>
                            <w:rPr>
                              <w:b/>
                              <w:color w:val="FFFFFF"/>
                              <w:spacing w:val="-10"/>
                              <w:sz w:val="20"/>
                            </w:rPr>
                            <w:t>A</w:t>
                          </w:r>
                        </w:p>
                      </w:txbxContent>
                    </wps:txbx>
                    <wps:bodyPr wrap="square" lIns="0" tIns="0" rIns="0" bIns="0" rtlCol="0">
                      <a:noAutofit/>
                    </wps:bodyPr>
                  </wps:wsp>
                </a:graphicData>
              </a:graphic>
            </wp:anchor>
          </w:drawing>
        </mc:Choice>
        <mc:Fallback>
          <w:pict>
            <v:shape style="position:absolute;margin-left:54.439999pt;margin-top:14.96pt;width:58.7pt;height:15.7pt;mso-position-horizontal-relative:page;mso-position-vertical-relative:page;z-index:-28349440" type="#_x0000_t202" id="docshape1351" filled="false" stroked="false">
              <v:textbox inset="0,0,0,0">
                <w:txbxContent>
                  <w:p>
                    <w:pPr>
                      <w:spacing w:before="32"/>
                      <w:ind w:left="20" w:right="0" w:firstLine="0"/>
                      <w:jc w:val="left"/>
                      <w:rPr>
                        <w:b/>
                        <w:sz w:val="20"/>
                      </w:rPr>
                    </w:pPr>
                    <w:r>
                      <w:rPr>
                        <w:b/>
                        <w:color w:val="FFFFFF"/>
                        <w:sz w:val="20"/>
                      </w:rPr>
                      <w:t>Appendix</w:t>
                    </w:r>
                    <w:r>
                      <w:rPr>
                        <w:b/>
                        <w:color w:val="FFFFFF"/>
                        <w:spacing w:val="20"/>
                        <w:sz w:val="20"/>
                      </w:rPr>
                      <w:t> </w:t>
                    </w:r>
                    <w:r>
                      <w:rPr>
                        <w:b/>
                        <w:color w:val="FFFFFF"/>
                        <w:spacing w:val="-10"/>
                        <w:sz w:val="20"/>
                      </w:rPr>
                      <w:t>A</w:t>
                    </w:r>
                  </w:p>
                </w:txbxContent>
              </v:textbox>
              <w10:wrap type="none"/>
            </v:shape>
          </w:pict>
        </mc:Fallback>
      </mc:AlternateContent>
    </w:r>
    <w:r>
      <w:rPr>
        <w:sz w:val="20"/>
      </w:rPr>
      <mc:AlternateContent>
        <mc:Choice Requires="wps">
          <w:drawing>
            <wp:anchor distT="0" distB="0" distL="0" distR="0" allowOverlap="1" layoutInCell="1" locked="0" behindDoc="1" simplePos="0" relativeHeight="474967552">
              <wp:simplePos x="0" y="0"/>
              <wp:positionH relativeFrom="page">
                <wp:posOffset>10957593</wp:posOffset>
              </wp:positionH>
              <wp:positionV relativeFrom="page">
                <wp:posOffset>188468</wp:posOffset>
              </wp:positionV>
              <wp:extent cx="3917950" cy="199390"/>
              <wp:effectExtent l="0" t="0" r="0" b="0"/>
              <wp:wrapNone/>
              <wp:docPr id="1707" name="Textbox 1707"/>
              <wp:cNvGraphicFramePr>
                <a:graphicFrameLocks/>
              </wp:cNvGraphicFramePr>
              <a:graphic>
                <a:graphicData uri="http://schemas.microsoft.com/office/word/2010/wordprocessingShape">
                  <wps:wsp>
                    <wps:cNvPr id="1707" name="Textbox 1707"/>
                    <wps:cNvSpPr txBox="1"/>
                    <wps:spPr>
                      <a:xfrm>
                        <a:off x="0" y="0"/>
                        <a:ext cx="3917950" cy="199390"/>
                      </a:xfrm>
                      <a:prstGeom prst="rect">
                        <a:avLst/>
                      </a:prstGeom>
                    </wps:spPr>
                    <wps:txbx>
                      <w:txbxContent>
                        <w:p>
                          <w:pPr>
                            <w:spacing w:before="32"/>
                            <w:ind w:left="20" w:right="0" w:firstLine="0"/>
                            <w:jc w:val="left"/>
                            <w:rPr>
                              <w:sz w:val="20"/>
                            </w:rPr>
                          </w:pPr>
                          <w:r>
                            <w:rPr>
                              <w:color w:val="FFFFFF"/>
                              <w:sz w:val="20"/>
                            </w:rPr>
                            <w:t>FINGER</w:t>
                          </w:r>
                          <w:r>
                            <w:rPr>
                              <w:color w:val="FFFFFF"/>
                              <w:spacing w:val="9"/>
                              <w:sz w:val="20"/>
                            </w:rPr>
                            <w:t> </w:t>
                          </w:r>
                          <w:r>
                            <w:rPr>
                              <w:color w:val="FFFFFF"/>
                              <w:sz w:val="20"/>
                            </w:rPr>
                            <w:t>LAKES</w:t>
                          </w:r>
                          <w:r>
                            <w:rPr>
                              <w:color w:val="FFFFFF"/>
                              <w:spacing w:val="9"/>
                              <w:sz w:val="20"/>
                            </w:rPr>
                            <w:t> </w:t>
                          </w:r>
                          <w:r>
                            <w:rPr>
                              <w:color w:val="FFFFFF"/>
                              <w:sz w:val="20"/>
                            </w:rPr>
                            <w:t>REGIONAL</w:t>
                          </w:r>
                          <w:r>
                            <w:rPr>
                              <w:color w:val="FFFFFF"/>
                              <w:spacing w:val="9"/>
                              <w:sz w:val="20"/>
                            </w:rPr>
                            <w:t> </w:t>
                          </w:r>
                          <w:r>
                            <w:rPr>
                              <w:color w:val="FFFFFF"/>
                              <w:sz w:val="20"/>
                            </w:rPr>
                            <w:t>COMMUNITY</w:t>
                          </w:r>
                          <w:r>
                            <w:rPr>
                              <w:color w:val="FFFFFF"/>
                              <w:spacing w:val="10"/>
                              <w:sz w:val="20"/>
                            </w:rPr>
                            <w:t> </w:t>
                          </w:r>
                          <w:r>
                            <w:rPr>
                              <w:color w:val="FFFFFF"/>
                              <w:sz w:val="20"/>
                            </w:rPr>
                            <w:t>HEALTH</w:t>
                          </w:r>
                          <w:r>
                            <w:rPr>
                              <w:color w:val="FFFFFF"/>
                              <w:spacing w:val="9"/>
                              <w:sz w:val="20"/>
                            </w:rPr>
                            <w:t> </w:t>
                          </w:r>
                          <w:r>
                            <w:rPr>
                              <w:color w:val="FFFFFF"/>
                              <w:spacing w:val="-2"/>
                              <w:sz w:val="20"/>
                            </w:rPr>
                            <w:t>ASSESSMENT</w:t>
                          </w:r>
                        </w:p>
                      </w:txbxContent>
                    </wps:txbx>
                    <wps:bodyPr wrap="square" lIns="0" tIns="0" rIns="0" bIns="0" rtlCol="0">
                      <a:noAutofit/>
                    </wps:bodyPr>
                  </wps:wsp>
                </a:graphicData>
              </a:graphic>
            </wp:anchor>
          </w:drawing>
        </mc:Choice>
        <mc:Fallback>
          <w:pict>
            <v:shape style="position:absolute;margin-left:862.802612pt;margin-top:14.84pt;width:308.5pt;height:15.7pt;mso-position-horizontal-relative:page;mso-position-vertical-relative:page;z-index:-28348928" type="#_x0000_t202" id="docshape1352" filled="false" stroked="false">
              <v:textbox inset="0,0,0,0">
                <w:txbxContent>
                  <w:p>
                    <w:pPr>
                      <w:spacing w:before="32"/>
                      <w:ind w:left="20" w:right="0" w:firstLine="0"/>
                      <w:jc w:val="left"/>
                      <w:rPr>
                        <w:sz w:val="20"/>
                      </w:rPr>
                    </w:pPr>
                    <w:r>
                      <w:rPr>
                        <w:color w:val="FFFFFF"/>
                        <w:sz w:val="20"/>
                      </w:rPr>
                      <w:t>FINGER</w:t>
                    </w:r>
                    <w:r>
                      <w:rPr>
                        <w:color w:val="FFFFFF"/>
                        <w:spacing w:val="9"/>
                        <w:sz w:val="20"/>
                      </w:rPr>
                      <w:t> </w:t>
                    </w:r>
                    <w:r>
                      <w:rPr>
                        <w:color w:val="FFFFFF"/>
                        <w:sz w:val="20"/>
                      </w:rPr>
                      <w:t>LAKES</w:t>
                    </w:r>
                    <w:r>
                      <w:rPr>
                        <w:color w:val="FFFFFF"/>
                        <w:spacing w:val="9"/>
                        <w:sz w:val="20"/>
                      </w:rPr>
                      <w:t> </w:t>
                    </w:r>
                    <w:r>
                      <w:rPr>
                        <w:color w:val="FFFFFF"/>
                        <w:sz w:val="20"/>
                      </w:rPr>
                      <w:t>REGIONAL</w:t>
                    </w:r>
                    <w:r>
                      <w:rPr>
                        <w:color w:val="FFFFFF"/>
                        <w:spacing w:val="9"/>
                        <w:sz w:val="20"/>
                      </w:rPr>
                      <w:t> </w:t>
                    </w:r>
                    <w:r>
                      <w:rPr>
                        <w:color w:val="FFFFFF"/>
                        <w:sz w:val="20"/>
                      </w:rPr>
                      <w:t>COMMUNITY</w:t>
                    </w:r>
                    <w:r>
                      <w:rPr>
                        <w:color w:val="FFFFFF"/>
                        <w:spacing w:val="10"/>
                        <w:sz w:val="20"/>
                      </w:rPr>
                      <w:t> </w:t>
                    </w:r>
                    <w:r>
                      <w:rPr>
                        <w:color w:val="FFFFFF"/>
                        <w:sz w:val="20"/>
                      </w:rPr>
                      <w:t>HEALTH</w:t>
                    </w:r>
                    <w:r>
                      <w:rPr>
                        <w:color w:val="FFFFFF"/>
                        <w:spacing w:val="9"/>
                        <w:sz w:val="20"/>
                      </w:rPr>
                      <w:t> </w:t>
                    </w:r>
                    <w:r>
                      <w:rPr>
                        <w:color w:val="FFFFFF"/>
                        <w:spacing w:val="-2"/>
                        <w:sz w:val="20"/>
                      </w:rPr>
                      <w:t>ASSESSMENT</w:t>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4968064">
              <wp:simplePos x="0" y="0"/>
              <wp:positionH relativeFrom="page">
                <wp:posOffset>0</wp:posOffset>
              </wp:positionH>
              <wp:positionV relativeFrom="page">
                <wp:posOffset>0</wp:posOffset>
              </wp:positionV>
              <wp:extent cx="15544800" cy="548640"/>
              <wp:effectExtent l="0" t="0" r="0" b="0"/>
              <wp:wrapNone/>
              <wp:docPr id="1753" name="Group 1753"/>
              <wp:cNvGraphicFramePr>
                <a:graphicFrameLocks/>
              </wp:cNvGraphicFramePr>
              <a:graphic>
                <a:graphicData uri="http://schemas.microsoft.com/office/word/2010/wordprocessingGroup">
                  <wpg:wgp>
                    <wpg:cNvPr id="1753" name="Group 1753"/>
                    <wpg:cNvGrpSpPr/>
                    <wpg:grpSpPr>
                      <a:xfrm>
                        <a:off x="0" y="0"/>
                        <a:ext cx="15544800" cy="548640"/>
                        <a:chExt cx="15544800" cy="548640"/>
                      </a:xfrm>
                    </wpg:grpSpPr>
                    <wps:wsp>
                      <wps:cNvPr id="1754" name="Graphic 1754"/>
                      <wps:cNvSpPr/>
                      <wps:spPr>
                        <a:xfrm>
                          <a:off x="0" y="0"/>
                          <a:ext cx="15544800" cy="548640"/>
                        </a:xfrm>
                        <a:custGeom>
                          <a:avLst/>
                          <a:gdLst/>
                          <a:ahLst/>
                          <a:cxnLst/>
                          <a:rect l="l" t="t" r="r" b="b"/>
                          <a:pathLst>
                            <a:path w="15544800" h="548640">
                              <a:moveTo>
                                <a:pt x="15544800" y="0"/>
                              </a:moveTo>
                              <a:lnTo>
                                <a:pt x="7781544" y="0"/>
                              </a:lnTo>
                              <a:lnTo>
                                <a:pt x="7708392" y="0"/>
                              </a:lnTo>
                              <a:lnTo>
                                <a:pt x="0" y="0"/>
                              </a:lnTo>
                              <a:lnTo>
                                <a:pt x="0" y="548640"/>
                              </a:lnTo>
                              <a:lnTo>
                                <a:pt x="7708392" y="548640"/>
                              </a:lnTo>
                              <a:lnTo>
                                <a:pt x="7781544" y="548640"/>
                              </a:lnTo>
                              <a:lnTo>
                                <a:pt x="15544800" y="548640"/>
                              </a:lnTo>
                              <a:lnTo>
                                <a:pt x="15544800" y="0"/>
                              </a:lnTo>
                              <a:close/>
                            </a:path>
                          </a:pathLst>
                        </a:custGeom>
                        <a:solidFill>
                          <a:srgbClr val="105C84"/>
                        </a:solidFill>
                      </wps:spPr>
                      <wps:bodyPr wrap="square" lIns="0" tIns="0" rIns="0" bIns="0" rtlCol="0">
                        <a:prstTxWarp prst="textNoShape">
                          <a:avLst/>
                        </a:prstTxWarp>
                        <a:noAutofit/>
                      </wps:bodyPr>
                    </wps:wsp>
                    <pic:pic>
                      <pic:nvPicPr>
                        <pic:cNvPr id="1755" name="Image 1755"/>
                        <pic:cNvPicPr/>
                      </pic:nvPicPr>
                      <pic:blipFill>
                        <a:blip r:embed="rId1" cstate="print"/>
                        <a:stretch>
                          <a:fillRect/>
                        </a:stretch>
                      </pic:blipFill>
                      <pic:spPr>
                        <a:xfrm>
                          <a:off x="0" y="0"/>
                          <a:ext cx="7710729" cy="543052"/>
                        </a:xfrm>
                        <a:prstGeom prst="rect">
                          <a:avLst/>
                        </a:prstGeom>
                      </pic:spPr>
                    </pic:pic>
                  </wpg:wgp>
                </a:graphicData>
              </a:graphic>
            </wp:anchor>
          </w:drawing>
        </mc:Choice>
        <mc:Fallback>
          <w:pict>
            <v:group style="position:absolute;margin-left:0pt;margin-top:-.000015pt;width:1224pt;height:43.2pt;mso-position-horizontal-relative:page;mso-position-vertical-relative:page;z-index:-28348416" id="docshapegroup1380" coordorigin="0,0" coordsize="24480,864">
              <v:shape style="position:absolute;left:0;top:0;width:24480;height:864" id="docshape1381" coordorigin="0,0" coordsize="24480,864" path="m24480,0l12254,0,12139,0,0,0,0,864,12139,864,12254,864,24480,864,24480,0xe" filled="true" fillcolor="#105c84" stroked="false">
                <v:path arrowok="t"/>
                <v:fill type="solid"/>
              </v:shape>
              <v:shape style="position:absolute;left:0;top:0;width:12143;height:856" type="#_x0000_t75" id="docshape1382" stroked="false">
                <v:imagedata r:id="rId1" o:title=""/>
              </v:shape>
              <w10:wrap type="none"/>
            </v:group>
          </w:pict>
        </mc:Fallback>
      </mc:AlternateContent>
    </w:r>
    <w:r>
      <w:rPr>
        <w:sz w:val="20"/>
      </w:rPr>
      <mc:AlternateContent>
        <mc:Choice Requires="wps">
          <w:drawing>
            <wp:anchor distT="0" distB="0" distL="0" distR="0" allowOverlap="1" layoutInCell="1" locked="0" behindDoc="1" simplePos="0" relativeHeight="474968576">
              <wp:simplePos x="0" y="0"/>
              <wp:positionH relativeFrom="page">
                <wp:posOffset>691387</wp:posOffset>
              </wp:positionH>
              <wp:positionV relativeFrom="page">
                <wp:posOffset>189992</wp:posOffset>
              </wp:positionV>
              <wp:extent cx="735965" cy="199390"/>
              <wp:effectExtent l="0" t="0" r="0" b="0"/>
              <wp:wrapNone/>
              <wp:docPr id="1756" name="Textbox 1756"/>
              <wp:cNvGraphicFramePr>
                <a:graphicFrameLocks/>
              </wp:cNvGraphicFramePr>
              <a:graphic>
                <a:graphicData uri="http://schemas.microsoft.com/office/word/2010/wordprocessingShape">
                  <wps:wsp>
                    <wps:cNvPr id="1756" name="Textbox 1756"/>
                    <wps:cNvSpPr txBox="1"/>
                    <wps:spPr>
                      <a:xfrm>
                        <a:off x="0" y="0"/>
                        <a:ext cx="735965" cy="199390"/>
                      </a:xfrm>
                      <a:prstGeom prst="rect">
                        <a:avLst/>
                      </a:prstGeom>
                    </wps:spPr>
                    <wps:txbx>
                      <w:txbxContent>
                        <w:p>
                          <w:pPr>
                            <w:spacing w:before="32"/>
                            <w:ind w:left="20" w:right="0" w:firstLine="0"/>
                            <w:jc w:val="left"/>
                            <w:rPr>
                              <w:b/>
                              <w:sz w:val="20"/>
                            </w:rPr>
                          </w:pPr>
                          <w:r>
                            <w:rPr>
                              <w:b/>
                              <w:color w:val="FFFFFF"/>
                              <w:sz w:val="20"/>
                            </w:rPr>
                            <w:t>Appendix</w:t>
                          </w:r>
                          <w:r>
                            <w:rPr>
                              <w:b/>
                              <w:color w:val="FFFFFF"/>
                              <w:spacing w:val="20"/>
                              <w:sz w:val="20"/>
                            </w:rPr>
                            <w:t> </w:t>
                          </w:r>
                          <w:r>
                            <w:rPr>
                              <w:b/>
                              <w:color w:val="FFFFFF"/>
                              <w:spacing w:val="-10"/>
                              <w:sz w:val="20"/>
                            </w:rPr>
                            <w:t>B</w:t>
                          </w:r>
                        </w:p>
                      </w:txbxContent>
                    </wps:txbx>
                    <wps:bodyPr wrap="square" lIns="0" tIns="0" rIns="0" bIns="0" rtlCol="0">
                      <a:noAutofit/>
                    </wps:bodyPr>
                  </wps:wsp>
                </a:graphicData>
              </a:graphic>
            </wp:anchor>
          </w:drawing>
        </mc:Choice>
        <mc:Fallback>
          <w:pict>
            <v:shape style="position:absolute;margin-left:54.439999pt;margin-top:14.96pt;width:57.95pt;height:15.7pt;mso-position-horizontal-relative:page;mso-position-vertical-relative:page;z-index:-28347904" type="#_x0000_t202" id="docshape1383" filled="false" stroked="false">
              <v:textbox inset="0,0,0,0">
                <w:txbxContent>
                  <w:p>
                    <w:pPr>
                      <w:spacing w:before="32"/>
                      <w:ind w:left="20" w:right="0" w:firstLine="0"/>
                      <w:jc w:val="left"/>
                      <w:rPr>
                        <w:b/>
                        <w:sz w:val="20"/>
                      </w:rPr>
                    </w:pPr>
                    <w:r>
                      <w:rPr>
                        <w:b/>
                        <w:color w:val="FFFFFF"/>
                        <w:sz w:val="20"/>
                      </w:rPr>
                      <w:t>Appendix</w:t>
                    </w:r>
                    <w:r>
                      <w:rPr>
                        <w:b/>
                        <w:color w:val="FFFFFF"/>
                        <w:spacing w:val="20"/>
                        <w:sz w:val="20"/>
                      </w:rPr>
                      <w:t> </w:t>
                    </w:r>
                    <w:r>
                      <w:rPr>
                        <w:b/>
                        <w:color w:val="FFFFFF"/>
                        <w:spacing w:val="-10"/>
                        <w:sz w:val="20"/>
                      </w:rPr>
                      <w:t>B</w:t>
                    </w:r>
                  </w:p>
                </w:txbxContent>
              </v:textbox>
              <w10:wrap type="none"/>
            </v:shape>
          </w:pict>
        </mc:Fallback>
      </mc:AlternateContent>
    </w:r>
    <w:r>
      <w:rPr>
        <w:sz w:val="20"/>
      </w:rPr>
      <mc:AlternateContent>
        <mc:Choice Requires="wps">
          <w:drawing>
            <wp:anchor distT="0" distB="0" distL="0" distR="0" allowOverlap="1" layoutInCell="1" locked="0" behindDoc="1" simplePos="0" relativeHeight="474969088">
              <wp:simplePos x="0" y="0"/>
              <wp:positionH relativeFrom="page">
                <wp:posOffset>10957593</wp:posOffset>
              </wp:positionH>
              <wp:positionV relativeFrom="page">
                <wp:posOffset>188468</wp:posOffset>
              </wp:positionV>
              <wp:extent cx="3917950" cy="199390"/>
              <wp:effectExtent l="0" t="0" r="0" b="0"/>
              <wp:wrapNone/>
              <wp:docPr id="1757" name="Textbox 1757"/>
              <wp:cNvGraphicFramePr>
                <a:graphicFrameLocks/>
              </wp:cNvGraphicFramePr>
              <a:graphic>
                <a:graphicData uri="http://schemas.microsoft.com/office/word/2010/wordprocessingShape">
                  <wps:wsp>
                    <wps:cNvPr id="1757" name="Textbox 1757"/>
                    <wps:cNvSpPr txBox="1"/>
                    <wps:spPr>
                      <a:xfrm>
                        <a:off x="0" y="0"/>
                        <a:ext cx="3917950" cy="199390"/>
                      </a:xfrm>
                      <a:prstGeom prst="rect">
                        <a:avLst/>
                      </a:prstGeom>
                    </wps:spPr>
                    <wps:txbx>
                      <w:txbxContent>
                        <w:p>
                          <w:pPr>
                            <w:spacing w:before="32"/>
                            <w:ind w:left="20" w:right="0" w:firstLine="0"/>
                            <w:jc w:val="left"/>
                            <w:rPr>
                              <w:sz w:val="20"/>
                            </w:rPr>
                          </w:pPr>
                          <w:r>
                            <w:rPr>
                              <w:color w:val="FFFFFF"/>
                              <w:sz w:val="20"/>
                            </w:rPr>
                            <w:t>FINGER</w:t>
                          </w:r>
                          <w:r>
                            <w:rPr>
                              <w:color w:val="FFFFFF"/>
                              <w:spacing w:val="9"/>
                              <w:sz w:val="20"/>
                            </w:rPr>
                            <w:t> </w:t>
                          </w:r>
                          <w:r>
                            <w:rPr>
                              <w:color w:val="FFFFFF"/>
                              <w:sz w:val="20"/>
                            </w:rPr>
                            <w:t>LAKES</w:t>
                          </w:r>
                          <w:r>
                            <w:rPr>
                              <w:color w:val="FFFFFF"/>
                              <w:spacing w:val="9"/>
                              <w:sz w:val="20"/>
                            </w:rPr>
                            <w:t> </w:t>
                          </w:r>
                          <w:r>
                            <w:rPr>
                              <w:color w:val="FFFFFF"/>
                              <w:sz w:val="20"/>
                            </w:rPr>
                            <w:t>REGIONAL</w:t>
                          </w:r>
                          <w:r>
                            <w:rPr>
                              <w:color w:val="FFFFFF"/>
                              <w:spacing w:val="9"/>
                              <w:sz w:val="20"/>
                            </w:rPr>
                            <w:t> </w:t>
                          </w:r>
                          <w:r>
                            <w:rPr>
                              <w:color w:val="FFFFFF"/>
                              <w:sz w:val="20"/>
                            </w:rPr>
                            <w:t>COMMUNITY</w:t>
                          </w:r>
                          <w:r>
                            <w:rPr>
                              <w:color w:val="FFFFFF"/>
                              <w:spacing w:val="10"/>
                              <w:sz w:val="20"/>
                            </w:rPr>
                            <w:t> </w:t>
                          </w:r>
                          <w:r>
                            <w:rPr>
                              <w:color w:val="FFFFFF"/>
                              <w:sz w:val="20"/>
                            </w:rPr>
                            <w:t>HEALTH</w:t>
                          </w:r>
                          <w:r>
                            <w:rPr>
                              <w:color w:val="FFFFFF"/>
                              <w:spacing w:val="9"/>
                              <w:sz w:val="20"/>
                            </w:rPr>
                            <w:t> </w:t>
                          </w:r>
                          <w:r>
                            <w:rPr>
                              <w:color w:val="FFFFFF"/>
                              <w:spacing w:val="-2"/>
                              <w:sz w:val="20"/>
                            </w:rPr>
                            <w:t>ASSESSMENT</w:t>
                          </w:r>
                        </w:p>
                      </w:txbxContent>
                    </wps:txbx>
                    <wps:bodyPr wrap="square" lIns="0" tIns="0" rIns="0" bIns="0" rtlCol="0">
                      <a:noAutofit/>
                    </wps:bodyPr>
                  </wps:wsp>
                </a:graphicData>
              </a:graphic>
            </wp:anchor>
          </w:drawing>
        </mc:Choice>
        <mc:Fallback>
          <w:pict>
            <v:shape style="position:absolute;margin-left:862.802612pt;margin-top:14.84pt;width:308.5pt;height:15.7pt;mso-position-horizontal-relative:page;mso-position-vertical-relative:page;z-index:-28347392" type="#_x0000_t202" id="docshape1384" filled="false" stroked="false">
              <v:textbox inset="0,0,0,0">
                <w:txbxContent>
                  <w:p>
                    <w:pPr>
                      <w:spacing w:before="32"/>
                      <w:ind w:left="20" w:right="0" w:firstLine="0"/>
                      <w:jc w:val="left"/>
                      <w:rPr>
                        <w:sz w:val="20"/>
                      </w:rPr>
                    </w:pPr>
                    <w:r>
                      <w:rPr>
                        <w:color w:val="FFFFFF"/>
                        <w:sz w:val="20"/>
                      </w:rPr>
                      <w:t>FINGER</w:t>
                    </w:r>
                    <w:r>
                      <w:rPr>
                        <w:color w:val="FFFFFF"/>
                        <w:spacing w:val="9"/>
                        <w:sz w:val="20"/>
                      </w:rPr>
                      <w:t> </w:t>
                    </w:r>
                    <w:r>
                      <w:rPr>
                        <w:color w:val="FFFFFF"/>
                        <w:sz w:val="20"/>
                      </w:rPr>
                      <w:t>LAKES</w:t>
                    </w:r>
                    <w:r>
                      <w:rPr>
                        <w:color w:val="FFFFFF"/>
                        <w:spacing w:val="9"/>
                        <w:sz w:val="20"/>
                      </w:rPr>
                      <w:t> </w:t>
                    </w:r>
                    <w:r>
                      <w:rPr>
                        <w:color w:val="FFFFFF"/>
                        <w:sz w:val="20"/>
                      </w:rPr>
                      <w:t>REGIONAL</w:t>
                    </w:r>
                    <w:r>
                      <w:rPr>
                        <w:color w:val="FFFFFF"/>
                        <w:spacing w:val="9"/>
                        <w:sz w:val="20"/>
                      </w:rPr>
                      <w:t> </w:t>
                    </w:r>
                    <w:r>
                      <w:rPr>
                        <w:color w:val="FFFFFF"/>
                        <w:sz w:val="20"/>
                      </w:rPr>
                      <w:t>COMMUNITY</w:t>
                    </w:r>
                    <w:r>
                      <w:rPr>
                        <w:color w:val="FFFFFF"/>
                        <w:spacing w:val="10"/>
                        <w:sz w:val="20"/>
                      </w:rPr>
                      <w:t> </w:t>
                    </w:r>
                    <w:r>
                      <w:rPr>
                        <w:color w:val="FFFFFF"/>
                        <w:sz w:val="20"/>
                      </w:rPr>
                      <w:t>HEALTH</w:t>
                    </w:r>
                    <w:r>
                      <w:rPr>
                        <w:color w:val="FFFFFF"/>
                        <w:spacing w:val="9"/>
                        <w:sz w:val="20"/>
                      </w:rPr>
                      <w:t> </w:t>
                    </w:r>
                    <w:r>
                      <w:rPr>
                        <w:color w:val="FFFFFF"/>
                        <w:spacing w:val="-2"/>
                        <w:sz w:val="20"/>
                      </w:rPr>
                      <w:t>ASSESSMENT</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3">
    <w:multiLevelType w:val="hybridMultilevel"/>
    <w:lvl w:ilvl="0">
      <w:start w:val="0"/>
      <w:numFmt w:val="bullet"/>
      <w:lvlText w:val="•"/>
      <w:lvlJc w:val="left"/>
      <w:pPr>
        <w:ind w:left="1402" w:hanging="241"/>
      </w:pPr>
      <w:rPr>
        <w:rFonts w:hint="default" w:ascii="Arial" w:hAnsi="Arial" w:eastAsia="Arial" w:cs="Arial"/>
        <w:b w:val="0"/>
        <w:bCs w:val="0"/>
        <w:i w:val="0"/>
        <w:iCs w:val="0"/>
        <w:color w:val="105C84"/>
        <w:spacing w:val="0"/>
        <w:w w:val="142"/>
        <w:sz w:val="22"/>
        <w:szCs w:val="22"/>
        <w:lang w:val="en-US" w:eastAsia="en-US" w:bidi="ar-SA"/>
      </w:rPr>
    </w:lvl>
    <w:lvl w:ilvl="1">
      <w:start w:val="0"/>
      <w:numFmt w:val="bullet"/>
      <w:lvlText w:val="•"/>
      <w:lvlJc w:val="left"/>
      <w:pPr>
        <w:ind w:left="2400" w:hanging="241"/>
      </w:pPr>
      <w:rPr>
        <w:rFonts w:hint="default"/>
        <w:lang w:val="en-US" w:eastAsia="en-US" w:bidi="ar-SA"/>
      </w:rPr>
    </w:lvl>
    <w:lvl w:ilvl="2">
      <w:start w:val="0"/>
      <w:numFmt w:val="bullet"/>
      <w:lvlText w:val="•"/>
      <w:lvlJc w:val="left"/>
      <w:pPr>
        <w:ind w:left="3400" w:hanging="241"/>
      </w:pPr>
      <w:rPr>
        <w:rFonts w:hint="default"/>
        <w:lang w:val="en-US" w:eastAsia="en-US" w:bidi="ar-SA"/>
      </w:rPr>
    </w:lvl>
    <w:lvl w:ilvl="3">
      <w:start w:val="0"/>
      <w:numFmt w:val="bullet"/>
      <w:lvlText w:val="•"/>
      <w:lvlJc w:val="left"/>
      <w:pPr>
        <w:ind w:left="4400" w:hanging="241"/>
      </w:pPr>
      <w:rPr>
        <w:rFonts w:hint="default"/>
        <w:lang w:val="en-US" w:eastAsia="en-US" w:bidi="ar-SA"/>
      </w:rPr>
    </w:lvl>
    <w:lvl w:ilvl="4">
      <w:start w:val="0"/>
      <w:numFmt w:val="bullet"/>
      <w:lvlText w:val="•"/>
      <w:lvlJc w:val="left"/>
      <w:pPr>
        <w:ind w:left="5401" w:hanging="241"/>
      </w:pPr>
      <w:rPr>
        <w:rFonts w:hint="default"/>
        <w:lang w:val="en-US" w:eastAsia="en-US" w:bidi="ar-SA"/>
      </w:rPr>
    </w:lvl>
    <w:lvl w:ilvl="5">
      <w:start w:val="0"/>
      <w:numFmt w:val="bullet"/>
      <w:lvlText w:val="•"/>
      <w:lvlJc w:val="left"/>
      <w:pPr>
        <w:ind w:left="6401" w:hanging="241"/>
      </w:pPr>
      <w:rPr>
        <w:rFonts w:hint="default"/>
        <w:lang w:val="en-US" w:eastAsia="en-US" w:bidi="ar-SA"/>
      </w:rPr>
    </w:lvl>
    <w:lvl w:ilvl="6">
      <w:start w:val="0"/>
      <w:numFmt w:val="bullet"/>
      <w:lvlText w:val="•"/>
      <w:lvlJc w:val="left"/>
      <w:pPr>
        <w:ind w:left="7401" w:hanging="241"/>
      </w:pPr>
      <w:rPr>
        <w:rFonts w:hint="default"/>
        <w:lang w:val="en-US" w:eastAsia="en-US" w:bidi="ar-SA"/>
      </w:rPr>
    </w:lvl>
    <w:lvl w:ilvl="7">
      <w:start w:val="0"/>
      <w:numFmt w:val="bullet"/>
      <w:lvlText w:val="•"/>
      <w:lvlJc w:val="left"/>
      <w:pPr>
        <w:ind w:left="8401" w:hanging="241"/>
      </w:pPr>
      <w:rPr>
        <w:rFonts w:hint="default"/>
        <w:lang w:val="en-US" w:eastAsia="en-US" w:bidi="ar-SA"/>
      </w:rPr>
    </w:lvl>
    <w:lvl w:ilvl="8">
      <w:start w:val="0"/>
      <w:numFmt w:val="bullet"/>
      <w:lvlText w:val="•"/>
      <w:lvlJc w:val="left"/>
      <w:pPr>
        <w:ind w:left="9402" w:hanging="241"/>
      </w:pPr>
      <w:rPr>
        <w:rFonts w:hint="default"/>
        <w:lang w:val="en-US" w:eastAsia="en-US" w:bidi="ar-SA"/>
      </w:rPr>
    </w:lvl>
  </w:abstractNum>
  <w:abstractNum w:abstractNumId="22">
    <w:multiLevelType w:val="hybridMultilevel"/>
    <w:lvl w:ilvl="0">
      <w:start w:val="1"/>
      <w:numFmt w:val="decimal"/>
      <w:lvlText w:val="%1."/>
      <w:lvlJc w:val="left"/>
      <w:pPr>
        <w:ind w:left="1505" w:hanging="241"/>
        <w:jc w:val="left"/>
      </w:pPr>
      <w:rPr>
        <w:rFonts w:hint="default" w:ascii="Arial" w:hAnsi="Arial" w:eastAsia="Arial" w:cs="Arial"/>
        <w:b w:val="0"/>
        <w:bCs w:val="0"/>
        <w:i w:val="0"/>
        <w:iCs w:val="0"/>
        <w:color w:val="105C84"/>
        <w:spacing w:val="0"/>
        <w:w w:val="93"/>
        <w:sz w:val="22"/>
        <w:szCs w:val="22"/>
        <w:lang w:val="en-US" w:eastAsia="en-US" w:bidi="ar-SA"/>
      </w:rPr>
    </w:lvl>
    <w:lvl w:ilvl="1">
      <w:start w:val="0"/>
      <w:numFmt w:val="bullet"/>
      <w:lvlText w:val="•"/>
      <w:lvlJc w:val="left"/>
      <w:pPr>
        <w:ind w:left="2502" w:hanging="241"/>
      </w:pPr>
      <w:rPr>
        <w:rFonts w:hint="default"/>
        <w:lang w:val="en-US" w:eastAsia="en-US" w:bidi="ar-SA"/>
      </w:rPr>
    </w:lvl>
    <w:lvl w:ilvl="2">
      <w:start w:val="0"/>
      <w:numFmt w:val="bullet"/>
      <w:lvlText w:val="•"/>
      <w:lvlJc w:val="left"/>
      <w:pPr>
        <w:ind w:left="3504" w:hanging="241"/>
      </w:pPr>
      <w:rPr>
        <w:rFonts w:hint="default"/>
        <w:lang w:val="en-US" w:eastAsia="en-US" w:bidi="ar-SA"/>
      </w:rPr>
    </w:lvl>
    <w:lvl w:ilvl="3">
      <w:start w:val="0"/>
      <w:numFmt w:val="bullet"/>
      <w:lvlText w:val="•"/>
      <w:lvlJc w:val="left"/>
      <w:pPr>
        <w:ind w:left="4506" w:hanging="241"/>
      </w:pPr>
      <w:rPr>
        <w:rFonts w:hint="default"/>
        <w:lang w:val="en-US" w:eastAsia="en-US" w:bidi="ar-SA"/>
      </w:rPr>
    </w:lvl>
    <w:lvl w:ilvl="4">
      <w:start w:val="0"/>
      <w:numFmt w:val="bullet"/>
      <w:lvlText w:val="•"/>
      <w:lvlJc w:val="left"/>
      <w:pPr>
        <w:ind w:left="5509" w:hanging="241"/>
      </w:pPr>
      <w:rPr>
        <w:rFonts w:hint="default"/>
        <w:lang w:val="en-US" w:eastAsia="en-US" w:bidi="ar-SA"/>
      </w:rPr>
    </w:lvl>
    <w:lvl w:ilvl="5">
      <w:start w:val="0"/>
      <w:numFmt w:val="bullet"/>
      <w:lvlText w:val="•"/>
      <w:lvlJc w:val="left"/>
      <w:pPr>
        <w:ind w:left="6511" w:hanging="241"/>
      </w:pPr>
      <w:rPr>
        <w:rFonts w:hint="default"/>
        <w:lang w:val="en-US" w:eastAsia="en-US" w:bidi="ar-SA"/>
      </w:rPr>
    </w:lvl>
    <w:lvl w:ilvl="6">
      <w:start w:val="0"/>
      <w:numFmt w:val="bullet"/>
      <w:lvlText w:val="•"/>
      <w:lvlJc w:val="left"/>
      <w:pPr>
        <w:ind w:left="7513" w:hanging="241"/>
      </w:pPr>
      <w:rPr>
        <w:rFonts w:hint="default"/>
        <w:lang w:val="en-US" w:eastAsia="en-US" w:bidi="ar-SA"/>
      </w:rPr>
    </w:lvl>
    <w:lvl w:ilvl="7">
      <w:start w:val="0"/>
      <w:numFmt w:val="bullet"/>
      <w:lvlText w:val="•"/>
      <w:lvlJc w:val="left"/>
      <w:pPr>
        <w:ind w:left="8515" w:hanging="241"/>
      </w:pPr>
      <w:rPr>
        <w:rFonts w:hint="default"/>
        <w:lang w:val="en-US" w:eastAsia="en-US" w:bidi="ar-SA"/>
      </w:rPr>
    </w:lvl>
    <w:lvl w:ilvl="8">
      <w:start w:val="0"/>
      <w:numFmt w:val="bullet"/>
      <w:lvlText w:val="•"/>
      <w:lvlJc w:val="left"/>
      <w:pPr>
        <w:ind w:left="9518" w:hanging="241"/>
      </w:pPr>
      <w:rPr>
        <w:rFonts w:hint="default"/>
        <w:lang w:val="en-US" w:eastAsia="en-US" w:bidi="ar-SA"/>
      </w:rPr>
    </w:lvl>
  </w:abstractNum>
  <w:abstractNum w:abstractNumId="18">
    <w:multiLevelType w:val="hybridMultilevel"/>
    <w:lvl w:ilvl="0">
      <w:start w:val="1"/>
      <w:numFmt w:val="decimal"/>
      <w:lvlText w:val="%1."/>
      <w:lvlJc w:val="left"/>
      <w:pPr>
        <w:ind w:left="1534" w:hanging="241"/>
        <w:jc w:val="left"/>
      </w:pPr>
      <w:rPr>
        <w:rFonts w:hint="default" w:ascii="Arial" w:hAnsi="Arial" w:eastAsia="Arial" w:cs="Arial"/>
        <w:b w:val="0"/>
        <w:bCs w:val="0"/>
        <w:i w:val="0"/>
        <w:iCs w:val="0"/>
        <w:color w:val="105C84"/>
        <w:spacing w:val="0"/>
        <w:w w:val="93"/>
        <w:sz w:val="22"/>
        <w:szCs w:val="22"/>
        <w:lang w:val="en-US" w:eastAsia="en-US" w:bidi="ar-SA"/>
      </w:rPr>
    </w:lvl>
    <w:lvl w:ilvl="1">
      <w:start w:val="0"/>
      <w:numFmt w:val="bullet"/>
      <w:lvlText w:val="•"/>
      <w:lvlJc w:val="left"/>
      <w:pPr>
        <w:ind w:left="2502" w:hanging="241"/>
      </w:pPr>
      <w:rPr>
        <w:rFonts w:hint="default"/>
        <w:lang w:val="en-US" w:eastAsia="en-US" w:bidi="ar-SA"/>
      </w:rPr>
    </w:lvl>
    <w:lvl w:ilvl="2">
      <w:start w:val="0"/>
      <w:numFmt w:val="bullet"/>
      <w:lvlText w:val="•"/>
      <w:lvlJc w:val="left"/>
      <w:pPr>
        <w:ind w:left="3464" w:hanging="241"/>
      </w:pPr>
      <w:rPr>
        <w:rFonts w:hint="default"/>
        <w:lang w:val="en-US" w:eastAsia="en-US" w:bidi="ar-SA"/>
      </w:rPr>
    </w:lvl>
    <w:lvl w:ilvl="3">
      <w:start w:val="0"/>
      <w:numFmt w:val="bullet"/>
      <w:lvlText w:val="•"/>
      <w:lvlJc w:val="left"/>
      <w:pPr>
        <w:ind w:left="4426" w:hanging="241"/>
      </w:pPr>
      <w:rPr>
        <w:rFonts w:hint="default"/>
        <w:lang w:val="en-US" w:eastAsia="en-US" w:bidi="ar-SA"/>
      </w:rPr>
    </w:lvl>
    <w:lvl w:ilvl="4">
      <w:start w:val="0"/>
      <w:numFmt w:val="bullet"/>
      <w:lvlText w:val="•"/>
      <w:lvlJc w:val="left"/>
      <w:pPr>
        <w:ind w:left="5388" w:hanging="241"/>
      </w:pPr>
      <w:rPr>
        <w:rFonts w:hint="default"/>
        <w:lang w:val="en-US" w:eastAsia="en-US" w:bidi="ar-SA"/>
      </w:rPr>
    </w:lvl>
    <w:lvl w:ilvl="5">
      <w:start w:val="0"/>
      <w:numFmt w:val="bullet"/>
      <w:lvlText w:val="•"/>
      <w:lvlJc w:val="left"/>
      <w:pPr>
        <w:ind w:left="6350" w:hanging="241"/>
      </w:pPr>
      <w:rPr>
        <w:rFonts w:hint="default"/>
        <w:lang w:val="en-US" w:eastAsia="en-US" w:bidi="ar-SA"/>
      </w:rPr>
    </w:lvl>
    <w:lvl w:ilvl="6">
      <w:start w:val="0"/>
      <w:numFmt w:val="bullet"/>
      <w:lvlText w:val="•"/>
      <w:lvlJc w:val="left"/>
      <w:pPr>
        <w:ind w:left="7312" w:hanging="241"/>
      </w:pPr>
      <w:rPr>
        <w:rFonts w:hint="default"/>
        <w:lang w:val="en-US" w:eastAsia="en-US" w:bidi="ar-SA"/>
      </w:rPr>
    </w:lvl>
    <w:lvl w:ilvl="7">
      <w:start w:val="0"/>
      <w:numFmt w:val="bullet"/>
      <w:lvlText w:val="•"/>
      <w:lvlJc w:val="left"/>
      <w:pPr>
        <w:ind w:left="8275" w:hanging="241"/>
      </w:pPr>
      <w:rPr>
        <w:rFonts w:hint="default"/>
        <w:lang w:val="en-US" w:eastAsia="en-US" w:bidi="ar-SA"/>
      </w:rPr>
    </w:lvl>
    <w:lvl w:ilvl="8">
      <w:start w:val="0"/>
      <w:numFmt w:val="bullet"/>
      <w:lvlText w:val="•"/>
      <w:lvlJc w:val="left"/>
      <w:pPr>
        <w:ind w:left="9237" w:hanging="241"/>
      </w:pPr>
      <w:rPr>
        <w:rFonts w:hint="default"/>
        <w:lang w:val="en-US" w:eastAsia="en-US" w:bidi="ar-SA"/>
      </w:rPr>
    </w:lvl>
  </w:abstractNum>
  <w:abstractNum w:abstractNumId="14">
    <w:multiLevelType w:val="hybridMultilevel"/>
    <w:lvl w:ilvl="0">
      <w:start w:val="1"/>
      <w:numFmt w:val="decimal"/>
      <w:lvlText w:val="%1."/>
      <w:lvlJc w:val="left"/>
      <w:pPr>
        <w:ind w:left="1654" w:hanging="241"/>
        <w:jc w:val="left"/>
      </w:pPr>
      <w:rPr>
        <w:rFonts w:hint="default" w:ascii="Arial" w:hAnsi="Arial" w:eastAsia="Arial" w:cs="Arial"/>
        <w:b w:val="0"/>
        <w:bCs w:val="0"/>
        <w:i w:val="0"/>
        <w:iCs w:val="0"/>
        <w:color w:val="105C84"/>
        <w:spacing w:val="0"/>
        <w:w w:val="93"/>
        <w:sz w:val="22"/>
        <w:szCs w:val="22"/>
        <w:lang w:val="en-US" w:eastAsia="en-US" w:bidi="ar-SA"/>
      </w:rPr>
    </w:lvl>
    <w:lvl w:ilvl="1">
      <w:start w:val="0"/>
      <w:numFmt w:val="bullet"/>
      <w:lvlText w:val="•"/>
      <w:lvlJc w:val="left"/>
      <w:pPr>
        <w:ind w:left="2627" w:hanging="241"/>
      </w:pPr>
      <w:rPr>
        <w:rFonts w:hint="default"/>
        <w:lang w:val="en-US" w:eastAsia="en-US" w:bidi="ar-SA"/>
      </w:rPr>
    </w:lvl>
    <w:lvl w:ilvl="2">
      <w:start w:val="0"/>
      <w:numFmt w:val="bullet"/>
      <w:lvlText w:val="•"/>
      <w:lvlJc w:val="left"/>
      <w:pPr>
        <w:ind w:left="3595" w:hanging="241"/>
      </w:pPr>
      <w:rPr>
        <w:rFonts w:hint="default"/>
        <w:lang w:val="en-US" w:eastAsia="en-US" w:bidi="ar-SA"/>
      </w:rPr>
    </w:lvl>
    <w:lvl w:ilvl="3">
      <w:start w:val="0"/>
      <w:numFmt w:val="bullet"/>
      <w:lvlText w:val="•"/>
      <w:lvlJc w:val="left"/>
      <w:pPr>
        <w:ind w:left="4563" w:hanging="241"/>
      </w:pPr>
      <w:rPr>
        <w:rFonts w:hint="default"/>
        <w:lang w:val="en-US" w:eastAsia="en-US" w:bidi="ar-SA"/>
      </w:rPr>
    </w:lvl>
    <w:lvl w:ilvl="4">
      <w:start w:val="0"/>
      <w:numFmt w:val="bullet"/>
      <w:lvlText w:val="•"/>
      <w:lvlJc w:val="left"/>
      <w:pPr>
        <w:ind w:left="5531" w:hanging="241"/>
      </w:pPr>
      <w:rPr>
        <w:rFonts w:hint="default"/>
        <w:lang w:val="en-US" w:eastAsia="en-US" w:bidi="ar-SA"/>
      </w:rPr>
    </w:lvl>
    <w:lvl w:ilvl="5">
      <w:start w:val="0"/>
      <w:numFmt w:val="bullet"/>
      <w:lvlText w:val="•"/>
      <w:lvlJc w:val="left"/>
      <w:pPr>
        <w:ind w:left="6499" w:hanging="241"/>
      </w:pPr>
      <w:rPr>
        <w:rFonts w:hint="default"/>
        <w:lang w:val="en-US" w:eastAsia="en-US" w:bidi="ar-SA"/>
      </w:rPr>
    </w:lvl>
    <w:lvl w:ilvl="6">
      <w:start w:val="0"/>
      <w:numFmt w:val="bullet"/>
      <w:lvlText w:val="•"/>
      <w:lvlJc w:val="left"/>
      <w:pPr>
        <w:ind w:left="7466" w:hanging="241"/>
      </w:pPr>
      <w:rPr>
        <w:rFonts w:hint="default"/>
        <w:lang w:val="en-US" w:eastAsia="en-US" w:bidi="ar-SA"/>
      </w:rPr>
    </w:lvl>
    <w:lvl w:ilvl="7">
      <w:start w:val="0"/>
      <w:numFmt w:val="bullet"/>
      <w:lvlText w:val="•"/>
      <w:lvlJc w:val="left"/>
      <w:pPr>
        <w:ind w:left="8434" w:hanging="241"/>
      </w:pPr>
      <w:rPr>
        <w:rFonts w:hint="default"/>
        <w:lang w:val="en-US" w:eastAsia="en-US" w:bidi="ar-SA"/>
      </w:rPr>
    </w:lvl>
    <w:lvl w:ilvl="8">
      <w:start w:val="0"/>
      <w:numFmt w:val="bullet"/>
      <w:lvlText w:val="•"/>
      <w:lvlJc w:val="left"/>
      <w:pPr>
        <w:ind w:left="9402" w:hanging="241"/>
      </w:pPr>
      <w:rPr>
        <w:rFonts w:hint="default"/>
        <w:lang w:val="en-US" w:eastAsia="en-US" w:bidi="ar-SA"/>
      </w:rPr>
    </w:lvl>
  </w:abstractNum>
  <w:abstractNum w:abstractNumId="13">
    <w:multiLevelType w:val="hybridMultilevel"/>
    <w:lvl w:ilvl="0">
      <w:start w:val="11"/>
      <w:numFmt w:val="decimal"/>
      <w:lvlText w:val="%1."/>
      <w:lvlJc w:val="left"/>
      <w:pPr>
        <w:ind w:left="4003" w:hanging="219"/>
        <w:jc w:val="right"/>
      </w:pPr>
      <w:rPr>
        <w:rFonts w:hint="default" w:ascii="Arial" w:hAnsi="Arial" w:eastAsia="Arial" w:cs="Arial"/>
        <w:b w:val="0"/>
        <w:bCs w:val="0"/>
        <w:i w:val="0"/>
        <w:iCs w:val="0"/>
        <w:color w:val="636466"/>
        <w:spacing w:val="0"/>
        <w:w w:val="93"/>
        <w:sz w:val="14"/>
        <w:szCs w:val="14"/>
        <w:lang w:val="en-US" w:eastAsia="en-US" w:bidi="ar-SA"/>
      </w:rPr>
    </w:lvl>
    <w:lvl w:ilvl="1">
      <w:start w:val="0"/>
      <w:numFmt w:val="bullet"/>
      <w:lvlText w:val="•"/>
      <w:lvlJc w:val="left"/>
      <w:pPr>
        <w:ind w:left="5976" w:hanging="219"/>
      </w:pPr>
      <w:rPr>
        <w:rFonts w:hint="default"/>
        <w:lang w:val="en-US" w:eastAsia="en-US" w:bidi="ar-SA"/>
      </w:rPr>
    </w:lvl>
    <w:lvl w:ilvl="2">
      <w:start w:val="0"/>
      <w:numFmt w:val="bullet"/>
      <w:lvlText w:val="•"/>
      <w:lvlJc w:val="left"/>
      <w:pPr>
        <w:ind w:left="7952" w:hanging="219"/>
      </w:pPr>
      <w:rPr>
        <w:rFonts w:hint="default"/>
        <w:lang w:val="en-US" w:eastAsia="en-US" w:bidi="ar-SA"/>
      </w:rPr>
    </w:lvl>
    <w:lvl w:ilvl="3">
      <w:start w:val="0"/>
      <w:numFmt w:val="bullet"/>
      <w:lvlText w:val="•"/>
      <w:lvlJc w:val="left"/>
      <w:pPr>
        <w:ind w:left="9928" w:hanging="219"/>
      </w:pPr>
      <w:rPr>
        <w:rFonts w:hint="default"/>
        <w:lang w:val="en-US" w:eastAsia="en-US" w:bidi="ar-SA"/>
      </w:rPr>
    </w:lvl>
    <w:lvl w:ilvl="4">
      <w:start w:val="0"/>
      <w:numFmt w:val="bullet"/>
      <w:lvlText w:val="•"/>
      <w:lvlJc w:val="left"/>
      <w:pPr>
        <w:ind w:left="11904" w:hanging="219"/>
      </w:pPr>
      <w:rPr>
        <w:rFonts w:hint="default"/>
        <w:lang w:val="en-US" w:eastAsia="en-US" w:bidi="ar-SA"/>
      </w:rPr>
    </w:lvl>
    <w:lvl w:ilvl="5">
      <w:start w:val="0"/>
      <w:numFmt w:val="bullet"/>
      <w:lvlText w:val="•"/>
      <w:lvlJc w:val="left"/>
      <w:pPr>
        <w:ind w:left="13880" w:hanging="219"/>
      </w:pPr>
      <w:rPr>
        <w:rFonts w:hint="default"/>
        <w:lang w:val="en-US" w:eastAsia="en-US" w:bidi="ar-SA"/>
      </w:rPr>
    </w:lvl>
    <w:lvl w:ilvl="6">
      <w:start w:val="0"/>
      <w:numFmt w:val="bullet"/>
      <w:lvlText w:val="•"/>
      <w:lvlJc w:val="left"/>
      <w:pPr>
        <w:ind w:left="15856" w:hanging="219"/>
      </w:pPr>
      <w:rPr>
        <w:rFonts w:hint="default"/>
        <w:lang w:val="en-US" w:eastAsia="en-US" w:bidi="ar-SA"/>
      </w:rPr>
    </w:lvl>
    <w:lvl w:ilvl="7">
      <w:start w:val="0"/>
      <w:numFmt w:val="bullet"/>
      <w:lvlText w:val="•"/>
      <w:lvlJc w:val="left"/>
      <w:pPr>
        <w:ind w:left="17832" w:hanging="219"/>
      </w:pPr>
      <w:rPr>
        <w:rFonts w:hint="default"/>
        <w:lang w:val="en-US" w:eastAsia="en-US" w:bidi="ar-SA"/>
      </w:rPr>
    </w:lvl>
    <w:lvl w:ilvl="8">
      <w:start w:val="0"/>
      <w:numFmt w:val="bullet"/>
      <w:lvlText w:val="•"/>
      <w:lvlJc w:val="left"/>
      <w:pPr>
        <w:ind w:left="19808" w:hanging="219"/>
      </w:pPr>
      <w:rPr>
        <w:rFonts w:hint="default"/>
        <w:lang w:val="en-US" w:eastAsia="en-US" w:bidi="ar-SA"/>
      </w:rPr>
    </w:lvl>
  </w:abstractNum>
  <w:abstractNum w:abstractNumId="63">
    <w:multiLevelType w:val="hybridMultilevel"/>
    <w:lvl w:ilvl="0">
      <w:start w:val="0"/>
      <w:numFmt w:val="bullet"/>
      <w:lvlText w:val="-"/>
      <w:lvlJc w:val="left"/>
      <w:pPr>
        <w:ind w:left="4037" w:hanging="107"/>
      </w:pPr>
      <w:rPr>
        <w:rFonts w:hint="default" w:ascii="Arial" w:hAnsi="Arial" w:eastAsia="Arial" w:cs="Arial"/>
        <w:b w:val="0"/>
        <w:bCs w:val="0"/>
        <w:i w:val="0"/>
        <w:iCs w:val="0"/>
        <w:color w:val="105C84"/>
        <w:spacing w:val="0"/>
        <w:w w:val="99"/>
        <w:sz w:val="18"/>
        <w:szCs w:val="18"/>
        <w:lang w:val="en-US" w:eastAsia="en-US" w:bidi="ar-SA"/>
      </w:rPr>
    </w:lvl>
    <w:lvl w:ilvl="1">
      <w:start w:val="0"/>
      <w:numFmt w:val="bullet"/>
      <w:lvlText w:val="•"/>
      <w:lvlJc w:val="left"/>
      <w:pPr>
        <w:ind w:left="4219" w:hanging="107"/>
      </w:pPr>
      <w:rPr>
        <w:rFonts w:hint="default"/>
        <w:lang w:val="en-US" w:eastAsia="en-US" w:bidi="ar-SA"/>
      </w:rPr>
    </w:lvl>
    <w:lvl w:ilvl="2">
      <w:start w:val="0"/>
      <w:numFmt w:val="bullet"/>
      <w:lvlText w:val="•"/>
      <w:lvlJc w:val="left"/>
      <w:pPr>
        <w:ind w:left="4399" w:hanging="107"/>
      </w:pPr>
      <w:rPr>
        <w:rFonts w:hint="default"/>
        <w:lang w:val="en-US" w:eastAsia="en-US" w:bidi="ar-SA"/>
      </w:rPr>
    </w:lvl>
    <w:lvl w:ilvl="3">
      <w:start w:val="0"/>
      <w:numFmt w:val="bullet"/>
      <w:lvlText w:val="•"/>
      <w:lvlJc w:val="left"/>
      <w:pPr>
        <w:ind w:left="4578" w:hanging="107"/>
      </w:pPr>
      <w:rPr>
        <w:rFonts w:hint="default"/>
        <w:lang w:val="en-US" w:eastAsia="en-US" w:bidi="ar-SA"/>
      </w:rPr>
    </w:lvl>
    <w:lvl w:ilvl="4">
      <w:start w:val="0"/>
      <w:numFmt w:val="bullet"/>
      <w:lvlText w:val="•"/>
      <w:lvlJc w:val="left"/>
      <w:pPr>
        <w:ind w:left="4758" w:hanging="107"/>
      </w:pPr>
      <w:rPr>
        <w:rFonts w:hint="default"/>
        <w:lang w:val="en-US" w:eastAsia="en-US" w:bidi="ar-SA"/>
      </w:rPr>
    </w:lvl>
    <w:lvl w:ilvl="5">
      <w:start w:val="0"/>
      <w:numFmt w:val="bullet"/>
      <w:lvlText w:val="•"/>
      <w:lvlJc w:val="left"/>
      <w:pPr>
        <w:ind w:left="4938" w:hanging="107"/>
      </w:pPr>
      <w:rPr>
        <w:rFonts w:hint="default"/>
        <w:lang w:val="en-US" w:eastAsia="en-US" w:bidi="ar-SA"/>
      </w:rPr>
    </w:lvl>
    <w:lvl w:ilvl="6">
      <w:start w:val="0"/>
      <w:numFmt w:val="bullet"/>
      <w:lvlText w:val="•"/>
      <w:lvlJc w:val="left"/>
      <w:pPr>
        <w:ind w:left="5117" w:hanging="107"/>
      </w:pPr>
      <w:rPr>
        <w:rFonts w:hint="default"/>
        <w:lang w:val="en-US" w:eastAsia="en-US" w:bidi="ar-SA"/>
      </w:rPr>
    </w:lvl>
    <w:lvl w:ilvl="7">
      <w:start w:val="0"/>
      <w:numFmt w:val="bullet"/>
      <w:lvlText w:val="•"/>
      <w:lvlJc w:val="left"/>
      <w:pPr>
        <w:ind w:left="5297" w:hanging="107"/>
      </w:pPr>
      <w:rPr>
        <w:rFonts w:hint="default"/>
        <w:lang w:val="en-US" w:eastAsia="en-US" w:bidi="ar-SA"/>
      </w:rPr>
    </w:lvl>
    <w:lvl w:ilvl="8">
      <w:start w:val="0"/>
      <w:numFmt w:val="bullet"/>
      <w:lvlText w:val="•"/>
      <w:lvlJc w:val="left"/>
      <w:pPr>
        <w:ind w:left="5476" w:hanging="107"/>
      </w:pPr>
      <w:rPr>
        <w:rFonts w:hint="default"/>
        <w:lang w:val="en-US" w:eastAsia="en-US" w:bidi="ar-SA"/>
      </w:rPr>
    </w:lvl>
  </w:abstractNum>
  <w:abstractNum w:abstractNumId="70">
    <w:multiLevelType w:val="hybridMultilevel"/>
    <w:lvl w:ilvl="0">
      <w:start w:val="3"/>
      <w:numFmt w:val="decimal"/>
      <w:lvlText w:val="%1"/>
      <w:lvlJc w:val="left"/>
      <w:pPr>
        <w:ind w:left="90" w:hanging="422"/>
        <w:jc w:val="left"/>
      </w:pPr>
      <w:rPr>
        <w:rFonts w:hint="default"/>
        <w:lang w:val="en-US" w:eastAsia="en-US" w:bidi="ar-SA"/>
      </w:rPr>
    </w:lvl>
    <w:lvl w:ilvl="1">
      <w:start w:val="1"/>
      <w:numFmt w:val="decimal"/>
      <w:lvlText w:val="%1.%2"/>
      <w:lvlJc w:val="left"/>
      <w:pPr>
        <w:ind w:left="90" w:hanging="422"/>
        <w:jc w:val="left"/>
      </w:pPr>
      <w:rPr>
        <w:rFonts w:hint="default"/>
        <w:lang w:val="en-US" w:eastAsia="en-US" w:bidi="ar-SA"/>
      </w:rPr>
    </w:lvl>
    <w:lvl w:ilvl="2">
      <w:start w:val="2"/>
      <w:numFmt w:val="decimal"/>
      <w:lvlText w:val="%1.%2.%3"/>
      <w:lvlJc w:val="left"/>
      <w:pPr>
        <w:ind w:left="90" w:hanging="422"/>
        <w:jc w:val="left"/>
      </w:pPr>
      <w:rPr>
        <w:rFonts w:hint="default" w:ascii="Arial" w:hAnsi="Arial" w:eastAsia="Arial" w:cs="Arial"/>
        <w:b w:val="0"/>
        <w:bCs w:val="0"/>
        <w:i w:val="0"/>
        <w:iCs w:val="0"/>
        <w:color w:val="105C84"/>
        <w:spacing w:val="0"/>
        <w:w w:val="93"/>
        <w:sz w:val="18"/>
        <w:szCs w:val="18"/>
        <w:lang w:val="en-US" w:eastAsia="en-US" w:bidi="ar-SA"/>
      </w:rPr>
    </w:lvl>
    <w:lvl w:ilvl="3">
      <w:start w:val="0"/>
      <w:numFmt w:val="bullet"/>
      <w:lvlText w:val="•"/>
      <w:lvlJc w:val="left"/>
      <w:pPr>
        <w:ind w:left="490" w:hanging="422"/>
      </w:pPr>
      <w:rPr>
        <w:rFonts w:hint="default"/>
        <w:lang w:val="en-US" w:eastAsia="en-US" w:bidi="ar-SA"/>
      </w:rPr>
    </w:lvl>
    <w:lvl w:ilvl="4">
      <w:start w:val="0"/>
      <w:numFmt w:val="bullet"/>
      <w:lvlText w:val="•"/>
      <w:lvlJc w:val="left"/>
      <w:pPr>
        <w:ind w:left="620" w:hanging="422"/>
      </w:pPr>
      <w:rPr>
        <w:rFonts w:hint="default"/>
        <w:lang w:val="en-US" w:eastAsia="en-US" w:bidi="ar-SA"/>
      </w:rPr>
    </w:lvl>
    <w:lvl w:ilvl="5">
      <w:start w:val="0"/>
      <w:numFmt w:val="bullet"/>
      <w:lvlText w:val="•"/>
      <w:lvlJc w:val="left"/>
      <w:pPr>
        <w:ind w:left="750" w:hanging="422"/>
      </w:pPr>
      <w:rPr>
        <w:rFonts w:hint="default"/>
        <w:lang w:val="en-US" w:eastAsia="en-US" w:bidi="ar-SA"/>
      </w:rPr>
    </w:lvl>
    <w:lvl w:ilvl="6">
      <w:start w:val="0"/>
      <w:numFmt w:val="bullet"/>
      <w:lvlText w:val="•"/>
      <w:lvlJc w:val="left"/>
      <w:pPr>
        <w:ind w:left="880" w:hanging="422"/>
      </w:pPr>
      <w:rPr>
        <w:rFonts w:hint="default"/>
        <w:lang w:val="en-US" w:eastAsia="en-US" w:bidi="ar-SA"/>
      </w:rPr>
    </w:lvl>
    <w:lvl w:ilvl="7">
      <w:start w:val="0"/>
      <w:numFmt w:val="bullet"/>
      <w:lvlText w:val="•"/>
      <w:lvlJc w:val="left"/>
      <w:pPr>
        <w:ind w:left="1010" w:hanging="422"/>
      </w:pPr>
      <w:rPr>
        <w:rFonts w:hint="default"/>
        <w:lang w:val="en-US" w:eastAsia="en-US" w:bidi="ar-SA"/>
      </w:rPr>
    </w:lvl>
    <w:lvl w:ilvl="8">
      <w:start w:val="0"/>
      <w:numFmt w:val="bullet"/>
      <w:lvlText w:val="•"/>
      <w:lvlJc w:val="left"/>
      <w:pPr>
        <w:ind w:left="1140" w:hanging="422"/>
      </w:pPr>
      <w:rPr>
        <w:rFonts w:hint="default"/>
        <w:lang w:val="en-US" w:eastAsia="en-US" w:bidi="ar-SA"/>
      </w:rPr>
    </w:lvl>
  </w:abstractNum>
  <w:abstractNum w:abstractNumId="69">
    <w:multiLevelType w:val="hybridMultilevel"/>
    <w:lvl w:ilvl="0">
      <w:start w:val="3"/>
      <w:numFmt w:val="decimal"/>
      <w:lvlText w:val="%1"/>
      <w:lvlJc w:val="left"/>
      <w:pPr>
        <w:ind w:left="90" w:hanging="422"/>
        <w:jc w:val="left"/>
      </w:pPr>
      <w:rPr>
        <w:rFonts w:hint="default"/>
        <w:lang w:val="en-US" w:eastAsia="en-US" w:bidi="ar-SA"/>
      </w:rPr>
    </w:lvl>
    <w:lvl w:ilvl="1">
      <w:start w:val="1"/>
      <w:numFmt w:val="decimal"/>
      <w:lvlText w:val="%1.%2"/>
      <w:lvlJc w:val="left"/>
      <w:pPr>
        <w:ind w:left="90" w:hanging="422"/>
        <w:jc w:val="left"/>
      </w:pPr>
      <w:rPr>
        <w:rFonts w:hint="default"/>
        <w:lang w:val="en-US" w:eastAsia="en-US" w:bidi="ar-SA"/>
      </w:rPr>
    </w:lvl>
    <w:lvl w:ilvl="2">
      <w:start w:val="2"/>
      <w:numFmt w:val="decimal"/>
      <w:lvlText w:val="%1.%2.%3"/>
      <w:lvlJc w:val="left"/>
      <w:pPr>
        <w:ind w:left="90" w:hanging="422"/>
        <w:jc w:val="left"/>
      </w:pPr>
      <w:rPr>
        <w:rFonts w:hint="default" w:ascii="Arial" w:hAnsi="Arial" w:eastAsia="Arial" w:cs="Arial"/>
        <w:b w:val="0"/>
        <w:bCs w:val="0"/>
        <w:i w:val="0"/>
        <w:iCs w:val="0"/>
        <w:color w:val="105C84"/>
        <w:spacing w:val="0"/>
        <w:w w:val="93"/>
        <w:sz w:val="18"/>
        <w:szCs w:val="18"/>
        <w:lang w:val="en-US" w:eastAsia="en-US" w:bidi="ar-SA"/>
      </w:rPr>
    </w:lvl>
    <w:lvl w:ilvl="3">
      <w:start w:val="0"/>
      <w:numFmt w:val="bullet"/>
      <w:lvlText w:val="•"/>
      <w:lvlJc w:val="left"/>
      <w:pPr>
        <w:ind w:left="490" w:hanging="422"/>
      </w:pPr>
      <w:rPr>
        <w:rFonts w:hint="default"/>
        <w:lang w:val="en-US" w:eastAsia="en-US" w:bidi="ar-SA"/>
      </w:rPr>
    </w:lvl>
    <w:lvl w:ilvl="4">
      <w:start w:val="0"/>
      <w:numFmt w:val="bullet"/>
      <w:lvlText w:val="•"/>
      <w:lvlJc w:val="left"/>
      <w:pPr>
        <w:ind w:left="620" w:hanging="422"/>
      </w:pPr>
      <w:rPr>
        <w:rFonts w:hint="default"/>
        <w:lang w:val="en-US" w:eastAsia="en-US" w:bidi="ar-SA"/>
      </w:rPr>
    </w:lvl>
    <w:lvl w:ilvl="5">
      <w:start w:val="0"/>
      <w:numFmt w:val="bullet"/>
      <w:lvlText w:val="•"/>
      <w:lvlJc w:val="left"/>
      <w:pPr>
        <w:ind w:left="750" w:hanging="422"/>
      </w:pPr>
      <w:rPr>
        <w:rFonts w:hint="default"/>
        <w:lang w:val="en-US" w:eastAsia="en-US" w:bidi="ar-SA"/>
      </w:rPr>
    </w:lvl>
    <w:lvl w:ilvl="6">
      <w:start w:val="0"/>
      <w:numFmt w:val="bullet"/>
      <w:lvlText w:val="•"/>
      <w:lvlJc w:val="left"/>
      <w:pPr>
        <w:ind w:left="880" w:hanging="422"/>
      </w:pPr>
      <w:rPr>
        <w:rFonts w:hint="default"/>
        <w:lang w:val="en-US" w:eastAsia="en-US" w:bidi="ar-SA"/>
      </w:rPr>
    </w:lvl>
    <w:lvl w:ilvl="7">
      <w:start w:val="0"/>
      <w:numFmt w:val="bullet"/>
      <w:lvlText w:val="•"/>
      <w:lvlJc w:val="left"/>
      <w:pPr>
        <w:ind w:left="1010" w:hanging="422"/>
      </w:pPr>
      <w:rPr>
        <w:rFonts w:hint="default"/>
        <w:lang w:val="en-US" w:eastAsia="en-US" w:bidi="ar-SA"/>
      </w:rPr>
    </w:lvl>
    <w:lvl w:ilvl="8">
      <w:start w:val="0"/>
      <w:numFmt w:val="bullet"/>
      <w:lvlText w:val="•"/>
      <w:lvlJc w:val="left"/>
      <w:pPr>
        <w:ind w:left="1140" w:hanging="422"/>
      </w:pPr>
      <w:rPr>
        <w:rFonts w:hint="default"/>
        <w:lang w:val="en-US" w:eastAsia="en-US" w:bidi="ar-SA"/>
      </w:rPr>
    </w:lvl>
  </w:abstractNum>
  <w:abstractNum w:abstractNumId="68">
    <w:multiLevelType w:val="hybridMultilevel"/>
    <w:lvl w:ilvl="0">
      <w:start w:val="1"/>
      <w:numFmt w:val="decimal"/>
      <w:lvlText w:val="%1."/>
      <w:lvlJc w:val="left"/>
      <w:pPr>
        <w:ind w:left="1169" w:hanging="188"/>
        <w:jc w:val="left"/>
      </w:pPr>
      <w:rPr>
        <w:rFonts w:hint="default" w:ascii="Arial" w:hAnsi="Arial" w:eastAsia="Arial" w:cs="Arial"/>
        <w:b w:val="0"/>
        <w:bCs w:val="0"/>
        <w:i w:val="0"/>
        <w:iCs w:val="0"/>
        <w:color w:val="105C84"/>
        <w:spacing w:val="0"/>
        <w:w w:val="93"/>
        <w:sz w:val="18"/>
        <w:szCs w:val="18"/>
        <w:lang w:val="en-US" w:eastAsia="en-US" w:bidi="ar-SA"/>
      </w:rPr>
    </w:lvl>
    <w:lvl w:ilvl="1">
      <w:start w:val="0"/>
      <w:numFmt w:val="bullet"/>
      <w:lvlText w:val="•"/>
      <w:lvlJc w:val="left"/>
      <w:pPr>
        <w:ind w:left="1346" w:hanging="188"/>
      </w:pPr>
      <w:rPr>
        <w:rFonts w:hint="default"/>
        <w:lang w:val="en-US" w:eastAsia="en-US" w:bidi="ar-SA"/>
      </w:rPr>
    </w:lvl>
    <w:lvl w:ilvl="2">
      <w:start w:val="0"/>
      <w:numFmt w:val="bullet"/>
      <w:lvlText w:val="•"/>
      <w:lvlJc w:val="left"/>
      <w:pPr>
        <w:ind w:left="1533" w:hanging="188"/>
      </w:pPr>
      <w:rPr>
        <w:rFonts w:hint="default"/>
        <w:lang w:val="en-US" w:eastAsia="en-US" w:bidi="ar-SA"/>
      </w:rPr>
    </w:lvl>
    <w:lvl w:ilvl="3">
      <w:start w:val="0"/>
      <w:numFmt w:val="bullet"/>
      <w:lvlText w:val="•"/>
      <w:lvlJc w:val="left"/>
      <w:pPr>
        <w:ind w:left="1719" w:hanging="188"/>
      </w:pPr>
      <w:rPr>
        <w:rFonts w:hint="default"/>
        <w:lang w:val="en-US" w:eastAsia="en-US" w:bidi="ar-SA"/>
      </w:rPr>
    </w:lvl>
    <w:lvl w:ilvl="4">
      <w:start w:val="0"/>
      <w:numFmt w:val="bullet"/>
      <w:lvlText w:val="•"/>
      <w:lvlJc w:val="left"/>
      <w:pPr>
        <w:ind w:left="1906" w:hanging="188"/>
      </w:pPr>
      <w:rPr>
        <w:rFonts w:hint="default"/>
        <w:lang w:val="en-US" w:eastAsia="en-US" w:bidi="ar-SA"/>
      </w:rPr>
    </w:lvl>
    <w:lvl w:ilvl="5">
      <w:start w:val="0"/>
      <w:numFmt w:val="bullet"/>
      <w:lvlText w:val="•"/>
      <w:lvlJc w:val="left"/>
      <w:pPr>
        <w:ind w:left="2092" w:hanging="188"/>
      </w:pPr>
      <w:rPr>
        <w:rFonts w:hint="default"/>
        <w:lang w:val="en-US" w:eastAsia="en-US" w:bidi="ar-SA"/>
      </w:rPr>
    </w:lvl>
    <w:lvl w:ilvl="6">
      <w:start w:val="0"/>
      <w:numFmt w:val="bullet"/>
      <w:lvlText w:val="•"/>
      <w:lvlJc w:val="left"/>
      <w:pPr>
        <w:ind w:left="2279" w:hanging="188"/>
      </w:pPr>
      <w:rPr>
        <w:rFonts w:hint="default"/>
        <w:lang w:val="en-US" w:eastAsia="en-US" w:bidi="ar-SA"/>
      </w:rPr>
    </w:lvl>
    <w:lvl w:ilvl="7">
      <w:start w:val="0"/>
      <w:numFmt w:val="bullet"/>
      <w:lvlText w:val="•"/>
      <w:lvlJc w:val="left"/>
      <w:pPr>
        <w:ind w:left="2465" w:hanging="188"/>
      </w:pPr>
      <w:rPr>
        <w:rFonts w:hint="default"/>
        <w:lang w:val="en-US" w:eastAsia="en-US" w:bidi="ar-SA"/>
      </w:rPr>
    </w:lvl>
    <w:lvl w:ilvl="8">
      <w:start w:val="0"/>
      <w:numFmt w:val="bullet"/>
      <w:lvlText w:val="•"/>
      <w:lvlJc w:val="left"/>
      <w:pPr>
        <w:ind w:left="2652" w:hanging="188"/>
      </w:pPr>
      <w:rPr>
        <w:rFonts w:hint="default"/>
        <w:lang w:val="en-US" w:eastAsia="en-US" w:bidi="ar-SA"/>
      </w:rPr>
    </w:lvl>
  </w:abstractNum>
  <w:abstractNum w:abstractNumId="67">
    <w:multiLevelType w:val="hybridMultilevel"/>
    <w:lvl w:ilvl="0">
      <w:start w:val="1"/>
      <w:numFmt w:val="decimal"/>
      <w:lvlText w:val="%1."/>
      <w:lvlJc w:val="left"/>
      <w:pPr>
        <w:ind w:left="1356" w:hanging="188"/>
        <w:jc w:val="left"/>
      </w:pPr>
      <w:rPr>
        <w:rFonts w:hint="default" w:ascii="Arial" w:hAnsi="Arial" w:eastAsia="Arial" w:cs="Arial"/>
        <w:b w:val="0"/>
        <w:bCs w:val="0"/>
        <w:i w:val="0"/>
        <w:iCs w:val="0"/>
        <w:color w:val="105C84"/>
        <w:spacing w:val="0"/>
        <w:w w:val="93"/>
        <w:sz w:val="18"/>
        <w:szCs w:val="18"/>
        <w:lang w:val="en-US" w:eastAsia="en-US" w:bidi="ar-SA"/>
      </w:rPr>
    </w:lvl>
    <w:lvl w:ilvl="1">
      <w:start w:val="0"/>
      <w:numFmt w:val="bullet"/>
      <w:lvlText w:val="•"/>
      <w:lvlJc w:val="left"/>
      <w:pPr>
        <w:ind w:left="1526" w:hanging="188"/>
      </w:pPr>
      <w:rPr>
        <w:rFonts w:hint="default"/>
        <w:lang w:val="en-US" w:eastAsia="en-US" w:bidi="ar-SA"/>
      </w:rPr>
    </w:lvl>
    <w:lvl w:ilvl="2">
      <w:start w:val="0"/>
      <w:numFmt w:val="bullet"/>
      <w:lvlText w:val="•"/>
      <w:lvlJc w:val="left"/>
      <w:pPr>
        <w:ind w:left="1693" w:hanging="188"/>
      </w:pPr>
      <w:rPr>
        <w:rFonts w:hint="default"/>
        <w:lang w:val="en-US" w:eastAsia="en-US" w:bidi="ar-SA"/>
      </w:rPr>
    </w:lvl>
    <w:lvl w:ilvl="3">
      <w:start w:val="0"/>
      <w:numFmt w:val="bullet"/>
      <w:lvlText w:val="•"/>
      <w:lvlJc w:val="left"/>
      <w:pPr>
        <w:ind w:left="1859" w:hanging="188"/>
      </w:pPr>
      <w:rPr>
        <w:rFonts w:hint="default"/>
        <w:lang w:val="en-US" w:eastAsia="en-US" w:bidi="ar-SA"/>
      </w:rPr>
    </w:lvl>
    <w:lvl w:ilvl="4">
      <w:start w:val="0"/>
      <w:numFmt w:val="bullet"/>
      <w:lvlText w:val="•"/>
      <w:lvlJc w:val="left"/>
      <w:pPr>
        <w:ind w:left="2026" w:hanging="188"/>
      </w:pPr>
      <w:rPr>
        <w:rFonts w:hint="default"/>
        <w:lang w:val="en-US" w:eastAsia="en-US" w:bidi="ar-SA"/>
      </w:rPr>
    </w:lvl>
    <w:lvl w:ilvl="5">
      <w:start w:val="0"/>
      <w:numFmt w:val="bullet"/>
      <w:lvlText w:val="•"/>
      <w:lvlJc w:val="left"/>
      <w:pPr>
        <w:ind w:left="2192" w:hanging="188"/>
      </w:pPr>
      <w:rPr>
        <w:rFonts w:hint="default"/>
        <w:lang w:val="en-US" w:eastAsia="en-US" w:bidi="ar-SA"/>
      </w:rPr>
    </w:lvl>
    <w:lvl w:ilvl="6">
      <w:start w:val="0"/>
      <w:numFmt w:val="bullet"/>
      <w:lvlText w:val="•"/>
      <w:lvlJc w:val="left"/>
      <w:pPr>
        <w:ind w:left="2359" w:hanging="188"/>
      </w:pPr>
      <w:rPr>
        <w:rFonts w:hint="default"/>
        <w:lang w:val="en-US" w:eastAsia="en-US" w:bidi="ar-SA"/>
      </w:rPr>
    </w:lvl>
    <w:lvl w:ilvl="7">
      <w:start w:val="0"/>
      <w:numFmt w:val="bullet"/>
      <w:lvlText w:val="•"/>
      <w:lvlJc w:val="left"/>
      <w:pPr>
        <w:ind w:left="2525" w:hanging="188"/>
      </w:pPr>
      <w:rPr>
        <w:rFonts w:hint="default"/>
        <w:lang w:val="en-US" w:eastAsia="en-US" w:bidi="ar-SA"/>
      </w:rPr>
    </w:lvl>
    <w:lvl w:ilvl="8">
      <w:start w:val="0"/>
      <w:numFmt w:val="bullet"/>
      <w:lvlText w:val="•"/>
      <w:lvlJc w:val="left"/>
      <w:pPr>
        <w:ind w:left="2692" w:hanging="188"/>
      </w:pPr>
      <w:rPr>
        <w:rFonts w:hint="default"/>
        <w:lang w:val="en-US" w:eastAsia="en-US" w:bidi="ar-SA"/>
      </w:rPr>
    </w:lvl>
  </w:abstractNum>
  <w:abstractNum w:abstractNumId="66">
    <w:multiLevelType w:val="hybridMultilevel"/>
    <w:lvl w:ilvl="0">
      <w:start w:val="0"/>
      <w:numFmt w:val="bullet"/>
      <w:lvlText w:val="-"/>
      <w:lvlJc w:val="left"/>
      <w:pPr>
        <w:ind w:left="391" w:hanging="107"/>
      </w:pPr>
      <w:rPr>
        <w:rFonts w:hint="default" w:ascii="Arial" w:hAnsi="Arial" w:eastAsia="Arial" w:cs="Arial"/>
        <w:b w:val="0"/>
        <w:bCs w:val="0"/>
        <w:i w:val="0"/>
        <w:iCs w:val="0"/>
        <w:color w:val="105C84"/>
        <w:spacing w:val="0"/>
        <w:w w:val="99"/>
        <w:sz w:val="18"/>
        <w:szCs w:val="18"/>
        <w:lang w:val="en-US" w:eastAsia="en-US" w:bidi="ar-SA"/>
      </w:rPr>
    </w:lvl>
    <w:lvl w:ilvl="1">
      <w:start w:val="0"/>
      <w:numFmt w:val="bullet"/>
      <w:lvlText w:val="•"/>
      <w:lvlJc w:val="left"/>
      <w:pPr>
        <w:ind w:left="598" w:hanging="107"/>
      </w:pPr>
      <w:rPr>
        <w:rFonts w:hint="default"/>
        <w:lang w:val="en-US" w:eastAsia="en-US" w:bidi="ar-SA"/>
      </w:rPr>
    </w:lvl>
    <w:lvl w:ilvl="2">
      <w:start w:val="0"/>
      <w:numFmt w:val="bullet"/>
      <w:lvlText w:val="•"/>
      <w:lvlJc w:val="left"/>
      <w:pPr>
        <w:ind w:left="796" w:hanging="107"/>
      </w:pPr>
      <w:rPr>
        <w:rFonts w:hint="default"/>
        <w:lang w:val="en-US" w:eastAsia="en-US" w:bidi="ar-SA"/>
      </w:rPr>
    </w:lvl>
    <w:lvl w:ilvl="3">
      <w:start w:val="0"/>
      <w:numFmt w:val="bullet"/>
      <w:lvlText w:val="•"/>
      <w:lvlJc w:val="left"/>
      <w:pPr>
        <w:ind w:left="994" w:hanging="107"/>
      </w:pPr>
      <w:rPr>
        <w:rFonts w:hint="default"/>
        <w:lang w:val="en-US" w:eastAsia="en-US" w:bidi="ar-SA"/>
      </w:rPr>
    </w:lvl>
    <w:lvl w:ilvl="4">
      <w:start w:val="0"/>
      <w:numFmt w:val="bullet"/>
      <w:lvlText w:val="•"/>
      <w:lvlJc w:val="left"/>
      <w:pPr>
        <w:ind w:left="1192" w:hanging="107"/>
      </w:pPr>
      <w:rPr>
        <w:rFonts w:hint="default"/>
        <w:lang w:val="en-US" w:eastAsia="en-US" w:bidi="ar-SA"/>
      </w:rPr>
    </w:lvl>
    <w:lvl w:ilvl="5">
      <w:start w:val="0"/>
      <w:numFmt w:val="bullet"/>
      <w:lvlText w:val="•"/>
      <w:lvlJc w:val="left"/>
      <w:pPr>
        <w:ind w:left="1390" w:hanging="107"/>
      </w:pPr>
      <w:rPr>
        <w:rFonts w:hint="default"/>
        <w:lang w:val="en-US" w:eastAsia="en-US" w:bidi="ar-SA"/>
      </w:rPr>
    </w:lvl>
    <w:lvl w:ilvl="6">
      <w:start w:val="0"/>
      <w:numFmt w:val="bullet"/>
      <w:lvlText w:val="•"/>
      <w:lvlJc w:val="left"/>
      <w:pPr>
        <w:ind w:left="1588" w:hanging="107"/>
      </w:pPr>
      <w:rPr>
        <w:rFonts w:hint="default"/>
        <w:lang w:val="en-US" w:eastAsia="en-US" w:bidi="ar-SA"/>
      </w:rPr>
    </w:lvl>
    <w:lvl w:ilvl="7">
      <w:start w:val="0"/>
      <w:numFmt w:val="bullet"/>
      <w:lvlText w:val="•"/>
      <w:lvlJc w:val="left"/>
      <w:pPr>
        <w:ind w:left="1786" w:hanging="107"/>
      </w:pPr>
      <w:rPr>
        <w:rFonts w:hint="default"/>
        <w:lang w:val="en-US" w:eastAsia="en-US" w:bidi="ar-SA"/>
      </w:rPr>
    </w:lvl>
    <w:lvl w:ilvl="8">
      <w:start w:val="0"/>
      <w:numFmt w:val="bullet"/>
      <w:lvlText w:val="•"/>
      <w:lvlJc w:val="left"/>
      <w:pPr>
        <w:ind w:left="1984" w:hanging="107"/>
      </w:pPr>
      <w:rPr>
        <w:rFonts w:hint="default"/>
        <w:lang w:val="en-US" w:eastAsia="en-US" w:bidi="ar-SA"/>
      </w:rPr>
    </w:lvl>
  </w:abstractNum>
  <w:abstractNum w:abstractNumId="65">
    <w:multiLevelType w:val="hybridMultilevel"/>
    <w:lvl w:ilvl="0">
      <w:start w:val="1"/>
      <w:numFmt w:val="decimal"/>
      <w:lvlText w:val="%1."/>
      <w:lvlJc w:val="left"/>
      <w:pPr>
        <w:ind w:left="1362" w:hanging="188"/>
        <w:jc w:val="left"/>
      </w:pPr>
      <w:rPr>
        <w:rFonts w:hint="default" w:ascii="Arial" w:hAnsi="Arial" w:eastAsia="Arial" w:cs="Arial"/>
        <w:b w:val="0"/>
        <w:bCs w:val="0"/>
        <w:i w:val="0"/>
        <w:iCs w:val="0"/>
        <w:color w:val="105C84"/>
        <w:spacing w:val="0"/>
        <w:w w:val="93"/>
        <w:sz w:val="18"/>
        <w:szCs w:val="18"/>
        <w:lang w:val="en-US" w:eastAsia="en-US" w:bidi="ar-SA"/>
      </w:rPr>
    </w:lvl>
    <w:lvl w:ilvl="1">
      <w:start w:val="0"/>
      <w:numFmt w:val="bullet"/>
      <w:lvlText w:val="•"/>
      <w:lvlJc w:val="left"/>
      <w:pPr>
        <w:ind w:left="1559" w:hanging="188"/>
      </w:pPr>
      <w:rPr>
        <w:rFonts w:hint="default"/>
        <w:lang w:val="en-US" w:eastAsia="en-US" w:bidi="ar-SA"/>
      </w:rPr>
    </w:lvl>
    <w:lvl w:ilvl="2">
      <w:start w:val="0"/>
      <w:numFmt w:val="bullet"/>
      <w:lvlText w:val="•"/>
      <w:lvlJc w:val="left"/>
      <w:pPr>
        <w:ind w:left="1758" w:hanging="188"/>
      </w:pPr>
      <w:rPr>
        <w:rFonts w:hint="default"/>
        <w:lang w:val="en-US" w:eastAsia="en-US" w:bidi="ar-SA"/>
      </w:rPr>
    </w:lvl>
    <w:lvl w:ilvl="3">
      <w:start w:val="0"/>
      <w:numFmt w:val="bullet"/>
      <w:lvlText w:val="•"/>
      <w:lvlJc w:val="left"/>
      <w:pPr>
        <w:ind w:left="1958" w:hanging="188"/>
      </w:pPr>
      <w:rPr>
        <w:rFonts w:hint="default"/>
        <w:lang w:val="en-US" w:eastAsia="en-US" w:bidi="ar-SA"/>
      </w:rPr>
    </w:lvl>
    <w:lvl w:ilvl="4">
      <w:start w:val="0"/>
      <w:numFmt w:val="bullet"/>
      <w:lvlText w:val="•"/>
      <w:lvlJc w:val="left"/>
      <w:pPr>
        <w:ind w:left="2157" w:hanging="188"/>
      </w:pPr>
      <w:rPr>
        <w:rFonts w:hint="default"/>
        <w:lang w:val="en-US" w:eastAsia="en-US" w:bidi="ar-SA"/>
      </w:rPr>
    </w:lvl>
    <w:lvl w:ilvl="5">
      <w:start w:val="0"/>
      <w:numFmt w:val="bullet"/>
      <w:lvlText w:val="•"/>
      <w:lvlJc w:val="left"/>
      <w:pPr>
        <w:ind w:left="2357" w:hanging="188"/>
      </w:pPr>
      <w:rPr>
        <w:rFonts w:hint="default"/>
        <w:lang w:val="en-US" w:eastAsia="en-US" w:bidi="ar-SA"/>
      </w:rPr>
    </w:lvl>
    <w:lvl w:ilvl="6">
      <w:start w:val="0"/>
      <w:numFmt w:val="bullet"/>
      <w:lvlText w:val="•"/>
      <w:lvlJc w:val="left"/>
      <w:pPr>
        <w:ind w:left="2556" w:hanging="188"/>
      </w:pPr>
      <w:rPr>
        <w:rFonts w:hint="default"/>
        <w:lang w:val="en-US" w:eastAsia="en-US" w:bidi="ar-SA"/>
      </w:rPr>
    </w:lvl>
    <w:lvl w:ilvl="7">
      <w:start w:val="0"/>
      <w:numFmt w:val="bullet"/>
      <w:lvlText w:val="•"/>
      <w:lvlJc w:val="left"/>
      <w:pPr>
        <w:ind w:left="2755" w:hanging="188"/>
      </w:pPr>
      <w:rPr>
        <w:rFonts w:hint="default"/>
        <w:lang w:val="en-US" w:eastAsia="en-US" w:bidi="ar-SA"/>
      </w:rPr>
    </w:lvl>
    <w:lvl w:ilvl="8">
      <w:start w:val="0"/>
      <w:numFmt w:val="bullet"/>
      <w:lvlText w:val="•"/>
      <w:lvlJc w:val="left"/>
      <w:pPr>
        <w:ind w:left="2955" w:hanging="188"/>
      </w:pPr>
      <w:rPr>
        <w:rFonts w:hint="default"/>
        <w:lang w:val="en-US" w:eastAsia="en-US" w:bidi="ar-SA"/>
      </w:rPr>
    </w:lvl>
  </w:abstractNum>
  <w:abstractNum w:abstractNumId="64">
    <w:multiLevelType w:val="hybridMultilevel"/>
    <w:lvl w:ilvl="0">
      <w:start w:val="1"/>
      <w:numFmt w:val="decimal"/>
      <w:lvlText w:val="%1."/>
      <w:lvlJc w:val="left"/>
      <w:pPr>
        <w:ind w:left="1175" w:hanging="188"/>
        <w:jc w:val="left"/>
      </w:pPr>
      <w:rPr>
        <w:rFonts w:hint="default" w:ascii="Arial" w:hAnsi="Arial" w:eastAsia="Arial" w:cs="Arial"/>
        <w:b w:val="0"/>
        <w:bCs w:val="0"/>
        <w:i w:val="0"/>
        <w:iCs w:val="0"/>
        <w:color w:val="105C84"/>
        <w:spacing w:val="0"/>
        <w:w w:val="93"/>
        <w:sz w:val="18"/>
        <w:szCs w:val="18"/>
        <w:lang w:val="en-US" w:eastAsia="en-US" w:bidi="ar-SA"/>
      </w:rPr>
    </w:lvl>
    <w:lvl w:ilvl="1">
      <w:start w:val="0"/>
      <w:numFmt w:val="bullet"/>
      <w:lvlText w:val="•"/>
      <w:lvlJc w:val="left"/>
      <w:pPr>
        <w:ind w:left="1397" w:hanging="188"/>
      </w:pPr>
      <w:rPr>
        <w:rFonts w:hint="default"/>
        <w:lang w:val="en-US" w:eastAsia="en-US" w:bidi="ar-SA"/>
      </w:rPr>
    </w:lvl>
    <w:lvl w:ilvl="2">
      <w:start w:val="0"/>
      <w:numFmt w:val="bullet"/>
      <w:lvlText w:val="•"/>
      <w:lvlJc w:val="left"/>
      <w:pPr>
        <w:ind w:left="1614" w:hanging="188"/>
      </w:pPr>
      <w:rPr>
        <w:rFonts w:hint="default"/>
        <w:lang w:val="en-US" w:eastAsia="en-US" w:bidi="ar-SA"/>
      </w:rPr>
    </w:lvl>
    <w:lvl w:ilvl="3">
      <w:start w:val="0"/>
      <w:numFmt w:val="bullet"/>
      <w:lvlText w:val="•"/>
      <w:lvlJc w:val="left"/>
      <w:pPr>
        <w:ind w:left="1832" w:hanging="188"/>
      </w:pPr>
      <w:rPr>
        <w:rFonts w:hint="default"/>
        <w:lang w:val="en-US" w:eastAsia="en-US" w:bidi="ar-SA"/>
      </w:rPr>
    </w:lvl>
    <w:lvl w:ilvl="4">
      <w:start w:val="0"/>
      <w:numFmt w:val="bullet"/>
      <w:lvlText w:val="•"/>
      <w:lvlJc w:val="left"/>
      <w:pPr>
        <w:ind w:left="2049" w:hanging="188"/>
      </w:pPr>
      <w:rPr>
        <w:rFonts w:hint="default"/>
        <w:lang w:val="en-US" w:eastAsia="en-US" w:bidi="ar-SA"/>
      </w:rPr>
    </w:lvl>
    <w:lvl w:ilvl="5">
      <w:start w:val="0"/>
      <w:numFmt w:val="bullet"/>
      <w:lvlText w:val="•"/>
      <w:lvlJc w:val="left"/>
      <w:pPr>
        <w:ind w:left="2267" w:hanging="188"/>
      </w:pPr>
      <w:rPr>
        <w:rFonts w:hint="default"/>
        <w:lang w:val="en-US" w:eastAsia="en-US" w:bidi="ar-SA"/>
      </w:rPr>
    </w:lvl>
    <w:lvl w:ilvl="6">
      <w:start w:val="0"/>
      <w:numFmt w:val="bullet"/>
      <w:lvlText w:val="•"/>
      <w:lvlJc w:val="left"/>
      <w:pPr>
        <w:ind w:left="2484" w:hanging="188"/>
      </w:pPr>
      <w:rPr>
        <w:rFonts w:hint="default"/>
        <w:lang w:val="en-US" w:eastAsia="en-US" w:bidi="ar-SA"/>
      </w:rPr>
    </w:lvl>
    <w:lvl w:ilvl="7">
      <w:start w:val="0"/>
      <w:numFmt w:val="bullet"/>
      <w:lvlText w:val="•"/>
      <w:lvlJc w:val="left"/>
      <w:pPr>
        <w:ind w:left="2701" w:hanging="188"/>
      </w:pPr>
      <w:rPr>
        <w:rFonts w:hint="default"/>
        <w:lang w:val="en-US" w:eastAsia="en-US" w:bidi="ar-SA"/>
      </w:rPr>
    </w:lvl>
    <w:lvl w:ilvl="8">
      <w:start w:val="0"/>
      <w:numFmt w:val="bullet"/>
      <w:lvlText w:val="•"/>
      <w:lvlJc w:val="left"/>
      <w:pPr>
        <w:ind w:left="2919" w:hanging="188"/>
      </w:pPr>
      <w:rPr>
        <w:rFonts w:hint="default"/>
        <w:lang w:val="en-US" w:eastAsia="en-US" w:bidi="ar-SA"/>
      </w:rPr>
    </w:lvl>
  </w:abstractNum>
  <w:abstractNum w:abstractNumId="62">
    <w:multiLevelType w:val="hybridMultilevel"/>
    <w:lvl w:ilvl="0">
      <w:start w:val="1"/>
      <w:numFmt w:val="decimal"/>
      <w:lvlText w:val="%1."/>
      <w:lvlJc w:val="left"/>
      <w:pPr>
        <w:ind w:left="1167" w:hanging="188"/>
        <w:jc w:val="left"/>
      </w:pPr>
      <w:rPr>
        <w:rFonts w:hint="default" w:ascii="Arial" w:hAnsi="Arial" w:eastAsia="Arial" w:cs="Arial"/>
        <w:b w:val="0"/>
        <w:bCs w:val="0"/>
        <w:i w:val="0"/>
        <w:iCs w:val="0"/>
        <w:color w:val="105C84"/>
        <w:spacing w:val="0"/>
        <w:w w:val="93"/>
        <w:sz w:val="18"/>
        <w:szCs w:val="18"/>
        <w:lang w:val="en-US" w:eastAsia="en-US" w:bidi="ar-SA"/>
      </w:rPr>
    </w:lvl>
    <w:lvl w:ilvl="1">
      <w:start w:val="0"/>
      <w:numFmt w:val="bullet"/>
      <w:lvlText w:val="•"/>
      <w:lvlJc w:val="left"/>
      <w:pPr>
        <w:ind w:left="1340" w:hanging="188"/>
      </w:pPr>
      <w:rPr>
        <w:rFonts w:hint="default"/>
        <w:lang w:val="en-US" w:eastAsia="en-US" w:bidi="ar-SA"/>
      </w:rPr>
    </w:lvl>
    <w:lvl w:ilvl="2">
      <w:start w:val="0"/>
      <w:numFmt w:val="bullet"/>
      <w:lvlText w:val="•"/>
      <w:lvlJc w:val="left"/>
      <w:pPr>
        <w:ind w:left="1521" w:hanging="188"/>
      </w:pPr>
      <w:rPr>
        <w:rFonts w:hint="default"/>
        <w:lang w:val="en-US" w:eastAsia="en-US" w:bidi="ar-SA"/>
      </w:rPr>
    </w:lvl>
    <w:lvl w:ilvl="3">
      <w:start w:val="0"/>
      <w:numFmt w:val="bullet"/>
      <w:lvlText w:val="•"/>
      <w:lvlJc w:val="left"/>
      <w:pPr>
        <w:ind w:left="1701" w:hanging="188"/>
      </w:pPr>
      <w:rPr>
        <w:rFonts w:hint="default"/>
        <w:lang w:val="en-US" w:eastAsia="en-US" w:bidi="ar-SA"/>
      </w:rPr>
    </w:lvl>
    <w:lvl w:ilvl="4">
      <w:start w:val="0"/>
      <w:numFmt w:val="bullet"/>
      <w:lvlText w:val="•"/>
      <w:lvlJc w:val="left"/>
      <w:pPr>
        <w:ind w:left="1882" w:hanging="188"/>
      </w:pPr>
      <w:rPr>
        <w:rFonts w:hint="default"/>
        <w:lang w:val="en-US" w:eastAsia="en-US" w:bidi="ar-SA"/>
      </w:rPr>
    </w:lvl>
    <w:lvl w:ilvl="5">
      <w:start w:val="0"/>
      <w:numFmt w:val="bullet"/>
      <w:lvlText w:val="•"/>
      <w:lvlJc w:val="left"/>
      <w:pPr>
        <w:ind w:left="2063" w:hanging="188"/>
      </w:pPr>
      <w:rPr>
        <w:rFonts w:hint="default"/>
        <w:lang w:val="en-US" w:eastAsia="en-US" w:bidi="ar-SA"/>
      </w:rPr>
    </w:lvl>
    <w:lvl w:ilvl="6">
      <w:start w:val="0"/>
      <w:numFmt w:val="bullet"/>
      <w:lvlText w:val="•"/>
      <w:lvlJc w:val="left"/>
      <w:pPr>
        <w:ind w:left="2243" w:hanging="188"/>
      </w:pPr>
      <w:rPr>
        <w:rFonts w:hint="default"/>
        <w:lang w:val="en-US" w:eastAsia="en-US" w:bidi="ar-SA"/>
      </w:rPr>
    </w:lvl>
    <w:lvl w:ilvl="7">
      <w:start w:val="0"/>
      <w:numFmt w:val="bullet"/>
      <w:lvlText w:val="•"/>
      <w:lvlJc w:val="left"/>
      <w:pPr>
        <w:ind w:left="2424" w:hanging="188"/>
      </w:pPr>
      <w:rPr>
        <w:rFonts w:hint="default"/>
        <w:lang w:val="en-US" w:eastAsia="en-US" w:bidi="ar-SA"/>
      </w:rPr>
    </w:lvl>
    <w:lvl w:ilvl="8">
      <w:start w:val="0"/>
      <w:numFmt w:val="bullet"/>
      <w:lvlText w:val="•"/>
      <w:lvlJc w:val="left"/>
      <w:pPr>
        <w:ind w:left="2604" w:hanging="188"/>
      </w:pPr>
      <w:rPr>
        <w:rFonts w:hint="default"/>
        <w:lang w:val="en-US" w:eastAsia="en-US" w:bidi="ar-SA"/>
      </w:rPr>
    </w:lvl>
  </w:abstractNum>
  <w:abstractNum w:abstractNumId="61">
    <w:multiLevelType w:val="hybridMultilevel"/>
    <w:lvl w:ilvl="0">
      <w:start w:val="1"/>
      <w:numFmt w:val="decimal"/>
      <w:lvlText w:val="%1."/>
      <w:lvlJc w:val="left"/>
      <w:pPr>
        <w:ind w:left="1059" w:hanging="188"/>
        <w:jc w:val="left"/>
      </w:pPr>
      <w:rPr>
        <w:rFonts w:hint="default" w:ascii="Arial" w:hAnsi="Arial" w:eastAsia="Arial" w:cs="Arial"/>
        <w:b w:val="0"/>
        <w:bCs w:val="0"/>
        <w:i w:val="0"/>
        <w:iCs w:val="0"/>
        <w:color w:val="105C84"/>
        <w:spacing w:val="0"/>
        <w:w w:val="93"/>
        <w:sz w:val="18"/>
        <w:szCs w:val="18"/>
        <w:lang w:val="en-US" w:eastAsia="en-US" w:bidi="ar-SA"/>
      </w:rPr>
    </w:lvl>
    <w:lvl w:ilvl="1">
      <w:start w:val="0"/>
      <w:numFmt w:val="bullet"/>
      <w:lvlText w:val="•"/>
      <w:lvlJc w:val="left"/>
      <w:pPr>
        <w:ind w:left="1251" w:hanging="188"/>
      </w:pPr>
      <w:rPr>
        <w:rFonts w:hint="default"/>
        <w:lang w:val="en-US" w:eastAsia="en-US" w:bidi="ar-SA"/>
      </w:rPr>
    </w:lvl>
    <w:lvl w:ilvl="2">
      <w:start w:val="0"/>
      <w:numFmt w:val="bullet"/>
      <w:lvlText w:val="•"/>
      <w:lvlJc w:val="left"/>
      <w:pPr>
        <w:ind w:left="1443" w:hanging="188"/>
      </w:pPr>
      <w:rPr>
        <w:rFonts w:hint="default"/>
        <w:lang w:val="en-US" w:eastAsia="en-US" w:bidi="ar-SA"/>
      </w:rPr>
    </w:lvl>
    <w:lvl w:ilvl="3">
      <w:start w:val="0"/>
      <w:numFmt w:val="bullet"/>
      <w:lvlText w:val="•"/>
      <w:lvlJc w:val="left"/>
      <w:pPr>
        <w:ind w:left="1635" w:hanging="188"/>
      </w:pPr>
      <w:rPr>
        <w:rFonts w:hint="default"/>
        <w:lang w:val="en-US" w:eastAsia="en-US" w:bidi="ar-SA"/>
      </w:rPr>
    </w:lvl>
    <w:lvl w:ilvl="4">
      <w:start w:val="0"/>
      <w:numFmt w:val="bullet"/>
      <w:lvlText w:val="•"/>
      <w:lvlJc w:val="left"/>
      <w:pPr>
        <w:ind w:left="1827" w:hanging="188"/>
      </w:pPr>
      <w:rPr>
        <w:rFonts w:hint="default"/>
        <w:lang w:val="en-US" w:eastAsia="en-US" w:bidi="ar-SA"/>
      </w:rPr>
    </w:lvl>
    <w:lvl w:ilvl="5">
      <w:start w:val="0"/>
      <w:numFmt w:val="bullet"/>
      <w:lvlText w:val="•"/>
      <w:lvlJc w:val="left"/>
      <w:pPr>
        <w:ind w:left="2019" w:hanging="188"/>
      </w:pPr>
      <w:rPr>
        <w:rFonts w:hint="default"/>
        <w:lang w:val="en-US" w:eastAsia="en-US" w:bidi="ar-SA"/>
      </w:rPr>
    </w:lvl>
    <w:lvl w:ilvl="6">
      <w:start w:val="0"/>
      <w:numFmt w:val="bullet"/>
      <w:lvlText w:val="•"/>
      <w:lvlJc w:val="left"/>
      <w:pPr>
        <w:ind w:left="2211" w:hanging="188"/>
      </w:pPr>
      <w:rPr>
        <w:rFonts w:hint="default"/>
        <w:lang w:val="en-US" w:eastAsia="en-US" w:bidi="ar-SA"/>
      </w:rPr>
    </w:lvl>
    <w:lvl w:ilvl="7">
      <w:start w:val="0"/>
      <w:numFmt w:val="bullet"/>
      <w:lvlText w:val="•"/>
      <w:lvlJc w:val="left"/>
      <w:pPr>
        <w:ind w:left="2403" w:hanging="188"/>
      </w:pPr>
      <w:rPr>
        <w:rFonts w:hint="default"/>
        <w:lang w:val="en-US" w:eastAsia="en-US" w:bidi="ar-SA"/>
      </w:rPr>
    </w:lvl>
    <w:lvl w:ilvl="8">
      <w:start w:val="0"/>
      <w:numFmt w:val="bullet"/>
      <w:lvlText w:val="•"/>
      <w:lvlJc w:val="left"/>
      <w:pPr>
        <w:ind w:left="2595" w:hanging="188"/>
      </w:pPr>
      <w:rPr>
        <w:rFonts w:hint="default"/>
        <w:lang w:val="en-US" w:eastAsia="en-US" w:bidi="ar-SA"/>
      </w:rPr>
    </w:lvl>
  </w:abstractNum>
  <w:abstractNum w:abstractNumId="60">
    <w:multiLevelType w:val="hybridMultilevel"/>
    <w:lvl w:ilvl="0">
      <w:start w:val="1"/>
      <w:numFmt w:val="decimal"/>
      <w:lvlText w:val="%1."/>
      <w:lvlJc w:val="left"/>
      <w:pPr>
        <w:ind w:left="1149" w:hanging="188"/>
        <w:jc w:val="left"/>
      </w:pPr>
      <w:rPr>
        <w:rFonts w:hint="default" w:ascii="Arial" w:hAnsi="Arial" w:eastAsia="Arial" w:cs="Arial"/>
        <w:b w:val="0"/>
        <w:bCs w:val="0"/>
        <w:i w:val="0"/>
        <w:iCs w:val="0"/>
        <w:color w:val="105C84"/>
        <w:spacing w:val="0"/>
        <w:w w:val="93"/>
        <w:sz w:val="18"/>
        <w:szCs w:val="18"/>
        <w:lang w:val="en-US" w:eastAsia="en-US" w:bidi="ar-SA"/>
      </w:rPr>
    </w:lvl>
    <w:lvl w:ilvl="1">
      <w:start w:val="0"/>
      <w:numFmt w:val="bullet"/>
      <w:lvlText w:val="•"/>
      <w:lvlJc w:val="left"/>
      <w:pPr>
        <w:ind w:left="1323" w:hanging="188"/>
      </w:pPr>
      <w:rPr>
        <w:rFonts w:hint="default"/>
        <w:lang w:val="en-US" w:eastAsia="en-US" w:bidi="ar-SA"/>
      </w:rPr>
    </w:lvl>
    <w:lvl w:ilvl="2">
      <w:start w:val="0"/>
      <w:numFmt w:val="bullet"/>
      <w:lvlText w:val="•"/>
      <w:lvlJc w:val="left"/>
      <w:pPr>
        <w:ind w:left="1507" w:hanging="188"/>
      </w:pPr>
      <w:rPr>
        <w:rFonts w:hint="default"/>
        <w:lang w:val="en-US" w:eastAsia="en-US" w:bidi="ar-SA"/>
      </w:rPr>
    </w:lvl>
    <w:lvl w:ilvl="3">
      <w:start w:val="0"/>
      <w:numFmt w:val="bullet"/>
      <w:lvlText w:val="•"/>
      <w:lvlJc w:val="left"/>
      <w:pPr>
        <w:ind w:left="1691" w:hanging="188"/>
      </w:pPr>
      <w:rPr>
        <w:rFonts w:hint="default"/>
        <w:lang w:val="en-US" w:eastAsia="en-US" w:bidi="ar-SA"/>
      </w:rPr>
    </w:lvl>
    <w:lvl w:ilvl="4">
      <w:start w:val="0"/>
      <w:numFmt w:val="bullet"/>
      <w:lvlText w:val="•"/>
      <w:lvlJc w:val="left"/>
      <w:pPr>
        <w:ind w:left="1875" w:hanging="188"/>
      </w:pPr>
      <w:rPr>
        <w:rFonts w:hint="default"/>
        <w:lang w:val="en-US" w:eastAsia="en-US" w:bidi="ar-SA"/>
      </w:rPr>
    </w:lvl>
    <w:lvl w:ilvl="5">
      <w:start w:val="0"/>
      <w:numFmt w:val="bullet"/>
      <w:lvlText w:val="•"/>
      <w:lvlJc w:val="left"/>
      <w:pPr>
        <w:ind w:left="2059" w:hanging="188"/>
      </w:pPr>
      <w:rPr>
        <w:rFonts w:hint="default"/>
        <w:lang w:val="en-US" w:eastAsia="en-US" w:bidi="ar-SA"/>
      </w:rPr>
    </w:lvl>
    <w:lvl w:ilvl="6">
      <w:start w:val="0"/>
      <w:numFmt w:val="bullet"/>
      <w:lvlText w:val="•"/>
      <w:lvlJc w:val="left"/>
      <w:pPr>
        <w:ind w:left="2243" w:hanging="188"/>
      </w:pPr>
      <w:rPr>
        <w:rFonts w:hint="default"/>
        <w:lang w:val="en-US" w:eastAsia="en-US" w:bidi="ar-SA"/>
      </w:rPr>
    </w:lvl>
    <w:lvl w:ilvl="7">
      <w:start w:val="0"/>
      <w:numFmt w:val="bullet"/>
      <w:lvlText w:val="•"/>
      <w:lvlJc w:val="left"/>
      <w:pPr>
        <w:ind w:left="2427" w:hanging="188"/>
      </w:pPr>
      <w:rPr>
        <w:rFonts w:hint="default"/>
        <w:lang w:val="en-US" w:eastAsia="en-US" w:bidi="ar-SA"/>
      </w:rPr>
    </w:lvl>
    <w:lvl w:ilvl="8">
      <w:start w:val="0"/>
      <w:numFmt w:val="bullet"/>
      <w:lvlText w:val="•"/>
      <w:lvlJc w:val="left"/>
      <w:pPr>
        <w:ind w:left="2611" w:hanging="188"/>
      </w:pPr>
      <w:rPr>
        <w:rFonts w:hint="default"/>
        <w:lang w:val="en-US" w:eastAsia="en-US" w:bidi="ar-SA"/>
      </w:rPr>
    </w:lvl>
  </w:abstractNum>
  <w:abstractNum w:abstractNumId="59">
    <w:multiLevelType w:val="hybridMultilevel"/>
    <w:lvl w:ilvl="0">
      <w:start w:val="1"/>
      <w:numFmt w:val="decimal"/>
      <w:lvlText w:val="%1."/>
      <w:lvlJc w:val="left"/>
      <w:pPr>
        <w:ind w:left="1238" w:hanging="188"/>
        <w:jc w:val="left"/>
      </w:pPr>
      <w:rPr>
        <w:rFonts w:hint="default" w:ascii="Arial" w:hAnsi="Arial" w:eastAsia="Arial" w:cs="Arial"/>
        <w:b w:val="0"/>
        <w:bCs w:val="0"/>
        <w:i w:val="0"/>
        <w:iCs w:val="0"/>
        <w:color w:val="105C84"/>
        <w:spacing w:val="0"/>
        <w:w w:val="93"/>
        <w:sz w:val="18"/>
        <w:szCs w:val="18"/>
        <w:lang w:val="en-US" w:eastAsia="en-US" w:bidi="ar-SA"/>
      </w:rPr>
    </w:lvl>
    <w:lvl w:ilvl="1">
      <w:start w:val="0"/>
      <w:numFmt w:val="bullet"/>
      <w:lvlText w:val="•"/>
      <w:lvlJc w:val="left"/>
      <w:pPr>
        <w:ind w:left="1503" w:hanging="188"/>
      </w:pPr>
      <w:rPr>
        <w:rFonts w:hint="default"/>
        <w:lang w:val="en-US" w:eastAsia="en-US" w:bidi="ar-SA"/>
      </w:rPr>
    </w:lvl>
    <w:lvl w:ilvl="2">
      <w:start w:val="0"/>
      <w:numFmt w:val="bullet"/>
      <w:lvlText w:val="•"/>
      <w:lvlJc w:val="left"/>
      <w:pPr>
        <w:ind w:left="1767" w:hanging="188"/>
      </w:pPr>
      <w:rPr>
        <w:rFonts w:hint="default"/>
        <w:lang w:val="en-US" w:eastAsia="en-US" w:bidi="ar-SA"/>
      </w:rPr>
    </w:lvl>
    <w:lvl w:ilvl="3">
      <w:start w:val="0"/>
      <w:numFmt w:val="bullet"/>
      <w:lvlText w:val="•"/>
      <w:lvlJc w:val="left"/>
      <w:pPr>
        <w:ind w:left="2031" w:hanging="188"/>
      </w:pPr>
      <w:rPr>
        <w:rFonts w:hint="default"/>
        <w:lang w:val="en-US" w:eastAsia="en-US" w:bidi="ar-SA"/>
      </w:rPr>
    </w:lvl>
    <w:lvl w:ilvl="4">
      <w:start w:val="0"/>
      <w:numFmt w:val="bullet"/>
      <w:lvlText w:val="•"/>
      <w:lvlJc w:val="left"/>
      <w:pPr>
        <w:ind w:left="2294" w:hanging="188"/>
      </w:pPr>
      <w:rPr>
        <w:rFonts w:hint="default"/>
        <w:lang w:val="en-US" w:eastAsia="en-US" w:bidi="ar-SA"/>
      </w:rPr>
    </w:lvl>
    <w:lvl w:ilvl="5">
      <w:start w:val="0"/>
      <w:numFmt w:val="bullet"/>
      <w:lvlText w:val="•"/>
      <w:lvlJc w:val="left"/>
      <w:pPr>
        <w:ind w:left="2558" w:hanging="188"/>
      </w:pPr>
      <w:rPr>
        <w:rFonts w:hint="default"/>
        <w:lang w:val="en-US" w:eastAsia="en-US" w:bidi="ar-SA"/>
      </w:rPr>
    </w:lvl>
    <w:lvl w:ilvl="6">
      <w:start w:val="0"/>
      <w:numFmt w:val="bullet"/>
      <w:lvlText w:val="•"/>
      <w:lvlJc w:val="left"/>
      <w:pPr>
        <w:ind w:left="2822" w:hanging="188"/>
      </w:pPr>
      <w:rPr>
        <w:rFonts w:hint="default"/>
        <w:lang w:val="en-US" w:eastAsia="en-US" w:bidi="ar-SA"/>
      </w:rPr>
    </w:lvl>
    <w:lvl w:ilvl="7">
      <w:start w:val="0"/>
      <w:numFmt w:val="bullet"/>
      <w:lvlText w:val="•"/>
      <w:lvlJc w:val="left"/>
      <w:pPr>
        <w:ind w:left="3085" w:hanging="188"/>
      </w:pPr>
      <w:rPr>
        <w:rFonts w:hint="default"/>
        <w:lang w:val="en-US" w:eastAsia="en-US" w:bidi="ar-SA"/>
      </w:rPr>
    </w:lvl>
    <w:lvl w:ilvl="8">
      <w:start w:val="0"/>
      <w:numFmt w:val="bullet"/>
      <w:lvlText w:val="•"/>
      <w:lvlJc w:val="left"/>
      <w:pPr>
        <w:ind w:left="3349" w:hanging="188"/>
      </w:pPr>
      <w:rPr>
        <w:rFonts w:hint="default"/>
        <w:lang w:val="en-US" w:eastAsia="en-US" w:bidi="ar-SA"/>
      </w:rPr>
    </w:lvl>
  </w:abstractNum>
  <w:abstractNum w:abstractNumId="58">
    <w:multiLevelType w:val="hybridMultilevel"/>
    <w:lvl w:ilvl="0">
      <w:start w:val="1"/>
      <w:numFmt w:val="decimal"/>
      <w:lvlText w:val="%1."/>
      <w:lvlJc w:val="left"/>
      <w:pPr>
        <w:ind w:left="1328" w:hanging="188"/>
        <w:jc w:val="left"/>
      </w:pPr>
      <w:rPr>
        <w:rFonts w:hint="default" w:ascii="Arial" w:hAnsi="Arial" w:eastAsia="Arial" w:cs="Arial"/>
        <w:b w:val="0"/>
        <w:bCs w:val="0"/>
        <w:i w:val="0"/>
        <w:iCs w:val="0"/>
        <w:color w:val="105C84"/>
        <w:spacing w:val="0"/>
        <w:w w:val="93"/>
        <w:sz w:val="18"/>
        <w:szCs w:val="18"/>
        <w:lang w:val="en-US" w:eastAsia="en-US" w:bidi="ar-SA"/>
      </w:rPr>
    </w:lvl>
    <w:lvl w:ilvl="1">
      <w:start w:val="0"/>
      <w:numFmt w:val="bullet"/>
      <w:lvlText w:val="•"/>
      <w:lvlJc w:val="left"/>
      <w:pPr>
        <w:ind w:left="1575" w:hanging="188"/>
      </w:pPr>
      <w:rPr>
        <w:rFonts w:hint="default"/>
        <w:lang w:val="en-US" w:eastAsia="en-US" w:bidi="ar-SA"/>
      </w:rPr>
    </w:lvl>
    <w:lvl w:ilvl="2">
      <w:start w:val="0"/>
      <w:numFmt w:val="bullet"/>
      <w:lvlText w:val="•"/>
      <w:lvlJc w:val="left"/>
      <w:pPr>
        <w:ind w:left="1831" w:hanging="188"/>
      </w:pPr>
      <w:rPr>
        <w:rFonts w:hint="default"/>
        <w:lang w:val="en-US" w:eastAsia="en-US" w:bidi="ar-SA"/>
      </w:rPr>
    </w:lvl>
    <w:lvl w:ilvl="3">
      <w:start w:val="0"/>
      <w:numFmt w:val="bullet"/>
      <w:lvlText w:val="•"/>
      <w:lvlJc w:val="left"/>
      <w:pPr>
        <w:ind w:left="2087" w:hanging="188"/>
      </w:pPr>
      <w:rPr>
        <w:rFonts w:hint="default"/>
        <w:lang w:val="en-US" w:eastAsia="en-US" w:bidi="ar-SA"/>
      </w:rPr>
    </w:lvl>
    <w:lvl w:ilvl="4">
      <w:start w:val="0"/>
      <w:numFmt w:val="bullet"/>
      <w:lvlText w:val="•"/>
      <w:lvlJc w:val="left"/>
      <w:pPr>
        <w:ind w:left="2342" w:hanging="188"/>
      </w:pPr>
      <w:rPr>
        <w:rFonts w:hint="default"/>
        <w:lang w:val="en-US" w:eastAsia="en-US" w:bidi="ar-SA"/>
      </w:rPr>
    </w:lvl>
    <w:lvl w:ilvl="5">
      <w:start w:val="0"/>
      <w:numFmt w:val="bullet"/>
      <w:lvlText w:val="•"/>
      <w:lvlJc w:val="left"/>
      <w:pPr>
        <w:ind w:left="2598" w:hanging="188"/>
      </w:pPr>
      <w:rPr>
        <w:rFonts w:hint="default"/>
        <w:lang w:val="en-US" w:eastAsia="en-US" w:bidi="ar-SA"/>
      </w:rPr>
    </w:lvl>
    <w:lvl w:ilvl="6">
      <w:start w:val="0"/>
      <w:numFmt w:val="bullet"/>
      <w:lvlText w:val="•"/>
      <w:lvlJc w:val="left"/>
      <w:pPr>
        <w:ind w:left="2854" w:hanging="188"/>
      </w:pPr>
      <w:rPr>
        <w:rFonts w:hint="default"/>
        <w:lang w:val="en-US" w:eastAsia="en-US" w:bidi="ar-SA"/>
      </w:rPr>
    </w:lvl>
    <w:lvl w:ilvl="7">
      <w:start w:val="0"/>
      <w:numFmt w:val="bullet"/>
      <w:lvlText w:val="•"/>
      <w:lvlJc w:val="left"/>
      <w:pPr>
        <w:ind w:left="3109" w:hanging="188"/>
      </w:pPr>
      <w:rPr>
        <w:rFonts w:hint="default"/>
        <w:lang w:val="en-US" w:eastAsia="en-US" w:bidi="ar-SA"/>
      </w:rPr>
    </w:lvl>
    <w:lvl w:ilvl="8">
      <w:start w:val="0"/>
      <w:numFmt w:val="bullet"/>
      <w:lvlText w:val="•"/>
      <w:lvlJc w:val="left"/>
      <w:pPr>
        <w:ind w:left="3365" w:hanging="188"/>
      </w:pPr>
      <w:rPr>
        <w:rFonts w:hint="default"/>
        <w:lang w:val="en-US" w:eastAsia="en-US" w:bidi="ar-SA"/>
      </w:rPr>
    </w:lvl>
  </w:abstractNum>
  <w:abstractNum w:abstractNumId="57">
    <w:multiLevelType w:val="hybridMultilevel"/>
    <w:lvl w:ilvl="0">
      <w:start w:val="1"/>
      <w:numFmt w:val="decimal"/>
      <w:lvlText w:val="%1."/>
      <w:lvlJc w:val="left"/>
      <w:pPr>
        <w:ind w:left="1140" w:hanging="188"/>
        <w:jc w:val="left"/>
      </w:pPr>
      <w:rPr>
        <w:rFonts w:hint="default" w:ascii="Arial" w:hAnsi="Arial" w:eastAsia="Arial" w:cs="Arial"/>
        <w:b w:val="0"/>
        <w:bCs w:val="0"/>
        <w:i w:val="0"/>
        <w:iCs w:val="0"/>
        <w:color w:val="105C84"/>
        <w:spacing w:val="0"/>
        <w:w w:val="93"/>
        <w:sz w:val="18"/>
        <w:szCs w:val="18"/>
        <w:lang w:val="en-US" w:eastAsia="en-US" w:bidi="ar-SA"/>
      </w:rPr>
    </w:lvl>
    <w:lvl w:ilvl="1">
      <w:start w:val="0"/>
      <w:numFmt w:val="bullet"/>
      <w:lvlText w:val="•"/>
      <w:lvlJc w:val="left"/>
      <w:pPr>
        <w:ind w:left="1413" w:hanging="188"/>
      </w:pPr>
      <w:rPr>
        <w:rFonts w:hint="default"/>
        <w:lang w:val="en-US" w:eastAsia="en-US" w:bidi="ar-SA"/>
      </w:rPr>
    </w:lvl>
    <w:lvl w:ilvl="2">
      <w:start w:val="0"/>
      <w:numFmt w:val="bullet"/>
      <w:lvlText w:val="•"/>
      <w:lvlJc w:val="left"/>
      <w:pPr>
        <w:ind w:left="1687" w:hanging="188"/>
      </w:pPr>
      <w:rPr>
        <w:rFonts w:hint="default"/>
        <w:lang w:val="en-US" w:eastAsia="en-US" w:bidi="ar-SA"/>
      </w:rPr>
    </w:lvl>
    <w:lvl w:ilvl="3">
      <w:start w:val="0"/>
      <w:numFmt w:val="bullet"/>
      <w:lvlText w:val="•"/>
      <w:lvlJc w:val="left"/>
      <w:pPr>
        <w:ind w:left="1961" w:hanging="188"/>
      </w:pPr>
      <w:rPr>
        <w:rFonts w:hint="default"/>
        <w:lang w:val="en-US" w:eastAsia="en-US" w:bidi="ar-SA"/>
      </w:rPr>
    </w:lvl>
    <w:lvl w:ilvl="4">
      <w:start w:val="0"/>
      <w:numFmt w:val="bullet"/>
      <w:lvlText w:val="•"/>
      <w:lvlJc w:val="left"/>
      <w:pPr>
        <w:ind w:left="2234" w:hanging="188"/>
      </w:pPr>
      <w:rPr>
        <w:rFonts w:hint="default"/>
        <w:lang w:val="en-US" w:eastAsia="en-US" w:bidi="ar-SA"/>
      </w:rPr>
    </w:lvl>
    <w:lvl w:ilvl="5">
      <w:start w:val="0"/>
      <w:numFmt w:val="bullet"/>
      <w:lvlText w:val="•"/>
      <w:lvlJc w:val="left"/>
      <w:pPr>
        <w:ind w:left="2508" w:hanging="188"/>
      </w:pPr>
      <w:rPr>
        <w:rFonts w:hint="default"/>
        <w:lang w:val="en-US" w:eastAsia="en-US" w:bidi="ar-SA"/>
      </w:rPr>
    </w:lvl>
    <w:lvl w:ilvl="6">
      <w:start w:val="0"/>
      <w:numFmt w:val="bullet"/>
      <w:lvlText w:val="•"/>
      <w:lvlJc w:val="left"/>
      <w:pPr>
        <w:ind w:left="2782" w:hanging="188"/>
      </w:pPr>
      <w:rPr>
        <w:rFonts w:hint="default"/>
        <w:lang w:val="en-US" w:eastAsia="en-US" w:bidi="ar-SA"/>
      </w:rPr>
    </w:lvl>
    <w:lvl w:ilvl="7">
      <w:start w:val="0"/>
      <w:numFmt w:val="bullet"/>
      <w:lvlText w:val="•"/>
      <w:lvlJc w:val="left"/>
      <w:pPr>
        <w:ind w:left="3055" w:hanging="188"/>
      </w:pPr>
      <w:rPr>
        <w:rFonts w:hint="default"/>
        <w:lang w:val="en-US" w:eastAsia="en-US" w:bidi="ar-SA"/>
      </w:rPr>
    </w:lvl>
    <w:lvl w:ilvl="8">
      <w:start w:val="0"/>
      <w:numFmt w:val="bullet"/>
      <w:lvlText w:val="•"/>
      <w:lvlJc w:val="left"/>
      <w:pPr>
        <w:ind w:left="3329" w:hanging="188"/>
      </w:pPr>
      <w:rPr>
        <w:rFonts w:hint="default"/>
        <w:lang w:val="en-US" w:eastAsia="en-US" w:bidi="ar-SA"/>
      </w:rPr>
    </w:lvl>
  </w:abstractNum>
  <w:abstractNum w:abstractNumId="56">
    <w:multiLevelType w:val="hybridMultilevel"/>
    <w:lvl w:ilvl="0">
      <w:start w:val="1"/>
      <w:numFmt w:val="decimal"/>
      <w:lvlText w:val="%1."/>
      <w:lvlJc w:val="left"/>
      <w:pPr>
        <w:ind w:left="1088" w:hanging="188"/>
        <w:jc w:val="left"/>
      </w:pPr>
      <w:rPr>
        <w:rFonts w:hint="default" w:ascii="Arial" w:hAnsi="Arial" w:eastAsia="Arial" w:cs="Arial"/>
        <w:b w:val="0"/>
        <w:bCs w:val="0"/>
        <w:i w:val="0"/>
        <w:iCs w:val="0"/>
        <w:color w:val="105C84"/>
        <w:spacing w:val="0"/>
        <w:w w:val="93"/>
        <w:sz w:val="18"/>
        <w:szCs w:val="18"/>
        <w:lang w:val="en-US" w:eastAsia="en-US" w:bidi="ar-SA"/>
      </w:rPr>
    </w:lvl>
    <w:lvl w:ilvl="1">
      <w:start w:val="0"/>
      <w:numFmt w:val="bullet"/>
      <w:lvlText w:val="•"/>
      <w:lvlJc w:val="left"/>
      <w:pPr>
        <w:ind w:left="1392" w:hanging="188"/>
      </w:pPr>
      <w:rPr>
        <w:rFonts w:hint="default"/>
        <w:lang w:val="en-US" w:eastAsia="en-US" w:bidi="ar-SA"/>
      </w:rPr>
    </w:lvl>
    <w:lvl w:ilvl="2">
      <w:start w:val="0"/>
      <w:numFmt w:val="bullet"/>
      <w:lvlText w:val="•"/>
      <w:lvlJc w:val="left"/>
      <w:pPr>
        <w:ind w:left="1705" w:hanging="188"/>
      </w:pPr>
      <w:rPr>
        <w:rFonts w:hint="default"/>
        <w:lang w:val="en-US" w:eastAsia="en-US" w:bidi="ar-SA"/>
      </w:rPr>
    </w:lvl>
    <w:lvl w:ilvl="3">
      <w:start w:val="0"/>
      <w:numFmt w:val="bullet"/>
      <w:lvlText w:val="•"/>
      <w:lvlJc w:val="left"/>
      <w:pPr>
        <w:ind w:left="2018" w:hanging="188"/>
      </w:pPr>
      <w:rPr>
        <w:rFonts w:hint="default"/>
        <w:lang w:val="en-US" w:eastAsia="en-US" w:bidi="ar-SA"/>
      </w:rPr>
    </w:lvl>
    <w:lvl w:ilvl="4">
      <w:start w:val="0"/>
      <w:numFmt w:val="bullet"/>
      <w:lvlText w:val="•"/>
      <w:lvlJc w:val="left"/>
      <w:pPr>
        <w:ind w:left="2331" w:hanging="188"/>
      </w:pPr>
      <w:rPr>
        <w:rFonts w:hint="default"/>
        <w:lang w:val="en-US" w:eastAsia="en-US" w:bidi="ar-SA"/>
      </w:rPr>
    </w:lvl>
    <w:lvl w:ilvl="5">
      <w:start w:val="0"/>
      <w:numFmt w:val="bullet"/>
      <w:lvlText w:val="•"/>
      <w:lvlJc w:val="left"/>
      <w:pPr>
        <w:ind w:left="2644" w:hanging="188"/>
      </w:pPr>
      <w:rPr>
        <w:rFonts w:hint="default"/>
        <w:lang w:val="en-US" w:eastAsia="en-US" w:bidi="ar-SA"/>
      </w:rPr>
    </w:lvl>
    <w:lvl w:ilvl="6">
      <w:start w:val="0"/>
      <w:numFmt w:val="bullet"/>
      <w:lvlText w:val="•"/>
      <w:lvlJc w:val="left"/>
      <w:pPr>
        <w:ind w:left="2957" w:hanging="188"/>
      </w:pPr>
      <w:rPr>
        <w:rFonts w:hint="default"/>
        <w:lang w:val="en-US" w:eastAsia="en-US" w:bidi="ar-SA"/>
      </w:rPr>
    </w:lvl>
    <w:lvl w:ilvl="7">
      <w:start w:val="0"/>
      <w:numFmt w:val="bullet"/>
      <w:lvlText w:val="•"/>
      <w:lvlJc w:val="left"/>
      <w:pPr>
        <w:ind w:left="3270" w:hanging="188"/>
      </w:pPr>
      <w:rPr>
        <w:rFonts w:hint="default"/>
        <w:lang w:val="en-US" w:eastAsia="en-US" w:bidi="ar-SA"/>
      </w:rPr>
    </w:lvl>
    <w:lvl w:ilvl="8">
      <w:start w:val="0"/>
      <w:numFmt w:val="bullet"/>
      <w:lvlText w:val="•"/>
      <w:lvlJc w:val="left"/>
      <w:pPr>
        <w:ind w:left="3583" w:hanging="188"/>
      </w:pPr>
      <w:rPr>
        <w:rFonts w:hint="default"/>
        <w:lang w:val="en-US" w:eastAsia="en-US" w:bidi="ar-SA"/>
      </w:rPr>
    </w:lvl>
  </w:abstractNum>
  <w:abstractNum w:abstractNumId="55">
    <w:multiLevelType w:val="hybridMultilevel"/>
    <w:lvl w:ilvl="0">
      <w:start w:val="1"/>
      <w:numFmt w:val="decimal"/>
      <w:lvlText w:val="%1."/>
      <w:lvlJc w:val="left"/>
      <w:pPr>
        <w:ind w:left="1088" w:hanging="188"/>
        <w:jc w:val="left"/>
      </w:pPr>
      <w:rPr>
        <w:rFonts w:hint="default" w:ascii="Arial" w:hAnsi="Arial" w:eastAsia="Arial" w:cs="Arial"/>
        <w:b w:val="0"/>
        <w:bCs w:val="0"/>
        <w:i w:val="0"/>
        <w:iCs w:val="0"/>
        <w:color w:val="105C84"/>
        <w:spacing w:val="0"/>
        <w:w w:val="93"/>
        <w:sz w:val="18"/>
        <w:szCs w:val="18"/>
        <w:lang w:val="en-US" w:eastAsia="en-US" w:bidi="ar-SA"/>
      </w:rPr>
    </w:lvl>
    <w:lvl w:ilvl="1">
      <w:start w:val="0"/>
      <w:numFmt w:val="bullet"/>
      <w:lvlText w:val="•"/>
      <w:lvlJc w:val="left"/>
      <w:pPr>
        <w:ind w:left="1392" w:hanging="188"/>
      </w:pPr>
      <w:rPr>
        <w:rFonts w:hint="default"/>
        <w:lang w:val="en-US" w:eastAsia="en-US" w:bidi="ar-SA"/>
      </w:rPr>
    </w:lvl>
    <w:lvl w:ilvl="2">
      <w:start w:val="0"/>
      <w:numFmt w:val="bullet"/>
      <w:lvlText w:val="•"/>
      <w:lvlJc w:val="left"/>
      <w:pPr>
        <w:ind w:left="1705" w:hanging="188"/>
      </w:pPr>
      <w:rPr>
        <w:rFonts w:hint="default"/>
        <w:lang w:val="en-US" w:eastAsia="en-US" w:bidi="ar-SA"/>
      </w:rPr>
    </w:lvl>
    <w:lvl w:ilvl="3">
      <w:start w:val="0"/>
      <w:numFmt w:val="bullet"/>
      <w:lvlText w:val="•"/>
      <w:lvlJc w:val="left"/>
      <w:pPr>
        <w:ind w:left="2018" w:hanging="188"/>
      </w:pPr>
      <w:rPr>
        <w:rFonts w:hint="default"/>
        <w:lang w:val="en-US" w:eastAsia="en-US" w:bidi="ar-SA"/>
      </w:rPr>
    </w:lvl>
    <w:lvl w:ilvl="4">
      <w:start w:val="0"/>
      <w:numFmt w:val="bullet"/>
      <w:lvlText w:val="•"/>
      <w:lvlJc w:val="left"/>
      <w:pPr>
        <w:ind w:left="2331" w:hanging="188"/>
      </w:pPr>
      <w:rPr>
        <w:rFonts w:hint="default"/>
        <w:lang w:val="en-US" w:eastAsia="en-US" w:bidi="ar-SA"/>
      </w:rPr>
    </w:lvl>
    <w:lvl w:ilvl="5">
      <w:start w:val="0"/>
      <w:numFmt w:val="bullet"/>
      <w:lvlText w:val="•"/>
      <w:lvlJc w:val="left"/>
      <w:pPr>
        <w:ind w:left="2644" w:hanging="188"/>
      </w:pPr>
      <w:rPr>
        <w:rFonts w:hint="default"/>
        <w:lang w:val="en-US" w:eastAsia="en-US" w:bidi="ar-SA"/>
      </w:rPr>
    </w:lvl>
    <w:lvl w:ilvl="6">
      <w:start w:val="0"/>
      <w:numFmt w:val="bullet"/>
      <w:lvlText w:val="•"/>
      <w:lvlJc w:val="left"/>
      <w:pPr>
        <w:ind w:left="2957" w:hanging="188"/>
      </w:pPr>
      <w:rPr>
        <w:rFonts w:hint="default"/>
        <w:lang w:val="en-US" w:eastAsia="en-US" w:bidi="ar-SA"/>
      </w:rPr>
    </w:lvl>
    <w:lvl w:ilvl="7">
      <w:start w:val="0"/>
      <w:numFmt w:val="bullet"/>
      <w:lvlText w:val="•"/>
      <w:lvlJc w:val="left"/>
      <w:pPr>
        <w:ind w:left="3270" w:hanging="188"/>
      </w:pPr>
      <w:rPr>
        <w:rFonts w:hint="default"/>
        <w:lang w:val="en-US" w:eastAsia="en-US" w:bidi="ar-SA"/>
      </w:rPr>
    </w:lvl>
    <w:lvl w:ilvl="8">
      <w:start w:val="0"/>
      <w:numFmt w:val="bullet"/>
      <w:lvlText w:val="•"/>
      <w:lvlJc w:val="left"/>
      <w:pPr>
        <w:ind w:left="3583" w:hanging="188"/>
      </w:pPr>
      <w:rPr>
        <w:rFonts w:hint="default"/>
        <w:lang w:val="en-US" w:eastAsia="en-US" w:bidi="ar-SA"/>
      </w:rPr>
    </w:lvl>
  </w:abstractNum>
  <w:abstractNum w:abstractNumId="54">
    <w:multiLevelType w:val="hybridMultilevel"/>
    <w:lvl w:ilvl="0">
      <w:start w:val="1"/>
      <w:numFmt w:val="decimal"/>
      <w:lvlText w:val="%1."/>
      <w:lvlJc w:val="left"/>
      <w:pPr>
        <w:ind w:left="1235" w:hanging="188"/>
        <w:jc w:val="left"/>
      </w:pPr>
      <w:rPr>
        <w:rFonts w:hint="default" w:ascii="Arial" w:hAnsi="Arial" w:eastAsia="Arial" w:cs="Arial"/>
        <w:b w:val="0"/>
        <w:bCs w:val="0"/>
        <w:i w:val="0"/>
        <w:iCs w:val="0"/>
        <w:color w:val="105C84"/>
        <w:spacing w:val="0"/>
        <w:w w:val="93"/>
        <w:sz w:val="18"/>
        <w:szCs w:val="18"/>
        <w:lang w:val="en-US" w:eastAsia="en-US" w:bidi="ar-SA"/>
      </w:rPr>
    </w:lvl>
    <w:lvl w:ilvl="1">
      <w:start w:val="0"/>
      <w:numFmt w:val="bullet"/>
      <w:lvlText w:val="•"/>
      <w:lvlJc w:val="left"/>
      <w:pPr>
        <w:ind w:left="1504" w:hanging="188"/>
      </w:pPr>
      <w:rPr>
        <w:rFonts w:hint="default"/>
        <w:lang w:val="en-US" w:eastAsia="en-US" w:bidi="ar-SA"/>
      </w:rPr>
    </w:lvl>
    <w:lvl w:ilvl="2">
      <w:start w:val="0"/>
      <w:numFmt w:val="bullet"/>
      <w:lvlText w:val="•"/>
      <w:lvlJc w:val="left"/>
      <w:pPr>
        <w:ind w:left="1768" w:hanging="188"/>
      </w:pPr>
      <w:rPr>
        <w:rFonts w:hint="default"/>
        <w:lang w:val="en-US" w:eastAsia="en-US" w:bidi="ar-SA"/>
      </w:rPr>
    </w:lvl>
    <w:lvl w:ilvl="3">
      <w:start w:val="0"/>
      <w:numFmt w:val="bullet"/>
      <w:lvlText w:val="•"/>
      <w:lvlJc w:val="left"/>
      <w:pPr>
        <w:ind w:left="2032" w:hanging="188"/>
      </w:pPr>
      <w:rPr>
        <w:rFonts w:hint="default"/>
        <w:lang w:val="en-US" w:eastAsia="en-US" w:bidi="ar-SA"/>
      </w:rPr>
    </w:lvl>
    <w:lvl w:ilvl="4">
      <w:start w:val="0"/>
      <w:numFmt w:val="bullet"/>
      <w:lvlText w:val="•"/>
      <w:lvlJc w:val="left"/>
      <w:pPr>
        <w:ind w:left="2296" w:hanging="188"/>
      </w:pPr>
      <w:rPr>
        <w:rFonts w:hint="default"/>
        <w:lang w:val="en-US" w:eastAsia="en-US" w:bidi="ar-SA"/>
      </w:rPr>
    </w:lvl>
    <w:lvl w:ilvl="5">
      <w:start w:val="0"/>
      <w:numFmt w:val="bullet"/>
      <w:lvlText w:val="•"/>
      <w:lvlJc w:val="left"/>
      <w:pPr>
        <w:ind w:left="2560" w:hanging="188"/>
      </w:pPr>
      <w:rPr>
        <w:rFonts w:hint="default"/>
        <w:lang w:val="en-US" w:eastAsia="en-US" w:bidi="ar-SA"/>
      </w:rPr>
    </w:lvl>
    <w:lvl w:ilvl="6">
      <w:start w:val="0"/>
      <w:numFmt w:val="bullet"/>
      <w:lvlText w:val="•"/>
      <w:lvlJc w:val="left"/>
      <w:pPr>
        <w:ind w:left="2824" w:hanging="188"/>
      </w:pPr>
      <w:rPr>
        <w:rFonts w:hint="default"/>
        <w:lang w:val="en-US" w:eastAsia="en-US" w:bidi="ar-SA"/>
      </w:rPr>
    </w:lvl>
    <w:lvl w:ilvl="7">
      <w:start w:val="0"/>
      <w:numFmt w:val="bullet"/>
      <w:lvlText w:val="•"/>
      <w:lvlJc w:val="left"/>
      <w:pPr>
        <w:ind w:left="3088" w:hanging="188"/>
      </w:pPr>
      <w:rPr>
        <w:rFonts w:hint="default"/>
        <w:lang w:val="en-US" w:eastAsia="en-US" w:bidi="ar-SA"/>
      </w:rPr>
    </w:lvl>
    <w:lvl w:ilvl="8">
      <w:start w:val="0"/>
      <w:numFmt w:val="bullet"/>
      <w:lvlText w:val="•"/>
      <w:lvlJc w:val="left"/>
      <w:pPr>
        <w:ind w:left="3352" w:hanging="188"/>
      </w:pPr>
      <w:rPr>
        <w:rFonts w:hint="default"/>
        <w:lang w:val="en-US" w:eastAsia="en-US" w:bidi="ar-SA"/>
      </w:rPr>
    </w:lvl>
  </w:abstractNum>
  <w:abstractNum w:abstractNumId="53">
    <w:multiLevelType w:val="hybridMultilevel"/>
    <w:lvl w:ilvl="0">
      <w:start w:val="1"/>
      <w:numFmt w:val="decimal"/>
      <w:lvlText w:val="%1."/>
      <w:lvlJc w:val="left"/>
      <w:pPr>
        <w:ind w:left="1048" w:hanging="188"/>
        <w:jc w:val="left"/>
      </w:pPr>
      <w:rPr>
        <w:rFonts w:hint="default" w:ascii="Arial" w:hAnsi="Arial" w:eastAsia="Arial" w:cs="Arial"/>
        <w:b w:val="0"/>
        <w:bCs w:val="0"/>
        <w:i w:val="0"/>
        <w:iCs w:val="0"/>
        <w:color w:val="105C84"/>
        <w:spacing w:val="0"/>
        <w:w w:val="93"/>
        <w:sz w:val="18"/>
        <w:szCs w:val="18"/>
        <w:lang w:val="en-US" w:eastAsia="en-US" w:bidi="ar-SA"/>
      </w:rPr>
    </w:lvl>
    <w:lvl w:ilvl="1">
      <w:start w:val="0"/>
      <w:numFmt w:val="bullet"/>
      <w:lvlText w:val="•"/>
      <w:lvlJc w:val="left"/>
      <w:pPr>
        <w:ind w:left="1324" w:hanging="188"/>
      </w:pPr>
      <w:rPr>
        <w:rFonts w:hint="default"/>
        <w:lang w:val="en-US" w:eastAsia="en-US" w:bidi="ar-SA"/>
      </w:rPr>
    </w:lvl>
    <w:lvl w:ilvl="2">
      <w:start w:val="0"/>
      <w:numFmt w:val="bullet"/>
      <w:lvlText w:val="•"/>
      <w:lvlJc w:val="left"/>
      <w:pPr>
        <w:ind w:left="1608" w:hanging="188"/>
      </w:pPr>
      <w:rPr>
        <w:rFonts w:hint="default"/>
        <w:lang w:val="en-US" w:eastAsia="en-US" w:bidi="ar-SA"/>
      </w:rPr>
    </w:lvl>
    <w:lvl w:ilvl="3">
      <w:start w:val="0"/>
      <w:numFmt w:val="bullet"/>
      <w:lvlText w:val="•"/>
      <w:lvlJc w:val="left"/>
      <w:pPr>
        <w:ind w:left="1892" w:hanging="188"/>
      </w:pPr>
      <w:rPr>
        <w:rFonts w:hint="default"/>
        <w:lang w:val="en-US" w:eastAsia="en-US" w:bidi="ar-SA"/>
      </w:rPr>
    </w:lvl>
    <w:lvl w:ilvl="4">
      <w:start w:val="0"/>
      <w:numFmt w:val="bullet"/>
      <w:lvlText w:val="•"/>
      <w:lvlJc w:val="left"/>
      <w:pPr>
        <w:ind w:left="2176" w:hanging="188"/>
      </w:pPr>
      <w:rPr>
        <w:rFonts w:hint="default"/>
        <w:lang w:val="en-US" w:eastAsia="en-US" w:bidi="ar-SA"/>
      </w:rPr>
    </w:lvl>
    <w:lvl w:ilvl="5">
      <w:start w:val="0"/>
      <w:numFmt w:val="bullet"/>
      <w:lvlText w:val="•"/>
      <w:lvlJc w:val="left"/>
      <w:pPr>
        <w:ind w:left="2460" w:hanging="188"/>
      </w:pPr>
      <w:rPr>
        <w:rFonts w:hint="default"/>
        <w:lang w:val="en-US" w:eastAsia="en-US" w:bidi="ar-SA"/>
      </w:rPr>
    </w:lvl>
    <w:lvl w:ilvl="6">
      <w:start w:val="0"/>
      <w:numFmt w:val="bullet"/>
      <w:lvlText w:val="•"/>
      <w:lvlJc w:val="left"/>
      <w:pPr>
        <w:ind w:left="2744" w:hanging="188"/>
      </w:pPr>
      <w:rPr>
        <w:rFonts w:hint="default"/>
        <w:lang w:val="en-US" w:eastAsia="en-US" w:bidi="ar-SA"/>
      </w:rPr>
    </w:lvl>
    <w:lvl w:ilvl="7">
      <w:start w:val="0"/>
      <w:numFmt w:val="bullet"/>
      <w:lvlText w:val="•"/>
      <w:lvlJc w:val="left"/>
      <w:pPr>
        <w:ind w:left="3028" w:hanging="188"/>
      </w:pPr>
      <w:rPr>
        <w:rFonts w:hint="default"/>
        <w:lang w:val="en-US" w:eastAsia="en-US" w:bidi="ar-SA"/>
      </w:rPr>
    </w:lvl>
    <w:lvl w:ilvl="8">
      <w:start w:val="0"/>
      <w:numFmt w:val="bullet"/>
      <w:lvlText w:val="•"/>
      <w:lvlJc w:val="left"/>
      <w:pPr>
        <w:ind w:left="3312" w:hanging="188"/>
      </w:pPr>
      <w:rPr>
        <w:rFonts w:hint="default"/>
        <w:lang w:val="en-US" w:eastAsia="en-US" w:bidi="ar-SA"/>
      </w:rPr>
    </w:lvl>
  </w:abstractNum>
  <w:abstractNum w:abstractNumId="52">
    <w:multiLevelType w:val="hybridMultilevel"/>
    <w:lvl w:ilvl="0">
      <w:start w:val="1"/>
      <w:numFmt w:val="decimal"/>
      <w:lvlText w:val="%1."/>
      <w:lvlJc w:val="left"/>
      <w:pPr>
        <w:ind w:left="1048" w:hanging="188"/>
        <w:jc w:val="left"/>
      </w:pPr>
      <w:rPr>
        <w:rFonts w:hint="default" w:ascii="Arial" w:hAnsi="Arial" w:eastAsia="Arial" w:cs="Arial"/>
        <w:b w:val="0"/>
        <w:bCs w:val="0"/>
        <w:i w:val="0"/>
        <w:iCs w:val="0"/>
        <w:color w:val="105C84"/>
        <w:spacing w:val="0"/>
        <w:w w:val="93"/>
        <w:sz w:val="18"/>
        <w:szCs w:val="18"/>
        <w:lang w:val="en-US" w:eastAsia="en-US" w:bidi="ar-SA"/>
      </w:rPr>
    </w:lvl>
    <w:lvl w:ilvl="1">
      <w:start w:val="0"/>
      <w:numFmt w:val="bullet"/>
      <w:lvlText w:val="•"/>
      <w:lvlJc w:val="left"/>
      <w:pPr>
        <w:ind w:left="1324" w:hanging="188"/>
      </w:pPr>
      <w:rPr>
        <w:rFonts w:hint="default"/>
        <w:lang w:val="en-US" w:eastAsia="en-US" w:bidi="ar-SA"/>
      </w:rPr>
    </w:lvl>
    <w:lvl w:ilvl="2">
      <w:start w:val="0"/>
      <w:numFmt w:val="bullet"/>
      <w:lvlText w:val="•"/>
      <w:lvlJc w:val="left"/>
      <w:pPr>
        <w:ind w:left="1608" w:hanging="188"/>
      </w:pPr>
      <w:rPr>
        <w:rFonts w:hint="default"/>
        <w:lang w:val="en-US" w:eastAsia="en-US" w:bidi="ar-SA"/>
      </w:rPr>
    </w:lvl>
    <w:lvl w:ilvl="3">
      <w:start w:val="0"/>
      <w:numFmt w:val="bullet"/>
      <w:lvlText w:val="•"/>
      <w:lvlJc w:val="left"/>
      <w:pPr>
        <w:ind w:left="1892" w:hanging="188"/>
      </w:pPr>
      <w:rPr>
        <w:rFonts w:hint="default"/>
        <w:lang w:val="en-US" w:eastAsia="en-US" w:bidi="ar-SA"/>
      </w:rPr>
    </w:lvl>
    <w:lvl w:ilvl="4">
      <w:start w:val="0"/>
      <w:numFmt w:val="bullet"/>
      <w:lvlText w:val="•"/>
      <w:lvlJc w:val="left"/>
      <w:pPr>
        <w:ind w:left="2176" w:hanging="188"/>
      </w:pPr>
      <w:rPr>
        <w:rFonts w:hint="default"/>
        <w:lang w:val="en-US" w:eastAsia="en-US" w:bidi="ar-SA"/>
      </w:rPr>
    </w:lvl>
    <w:lvl w:ilvl="5">
      <w:start w:val="0"/>
      <w:numFmt w:val="bullet"/>
      <w:lvlText w:val="•"/>
      <w:lvlJc w:val="left"/>
      <w:pPr>
        <w:ind w:left="2460" w:hanging="188"/>
      </w:pPr>
      <w:rPr>
        <w:rFonts w:hint="default"/>
        <w:lang w:val="en-US" w:eastAsia="en-US" w:bidi="ar-SA"/>
      </w:rPr>
    </w:lvl>
    <w:lvl w:ilvl="6">
      <w:start w:val="0"/>
      <w:numFmt w:val="bullet"/>
      <w:lvlText w:val="•"/>
      <w:lvlJc w:val="left"/>
      <w:pPr>
        <w:ind w:left="2744" w:hanging="188"/>
      </w:pPr>
      <w:rPr>
        <w:rFonts w:hint="default"/>
        <w:lang w:val="en-US" w:eastAsia="en-US" w:bidi="ar-SA"/>
      </w:rPr>
    </w:lvl>
    <w:lvl w:ilvl="7">
      <w:start w:val="0"/>
      <w:numFmt w:val="bullet"/>
      <w:lvlText w:val="•"/>
      <w:lvlJc w:val="left"/>
      <w:pPr>
        <w:ind w:left="3028" w:hanging="188"/>
      </w:pPr>
      <w:rPr>
        <w:rFonts w:hint="default"/>
        <w:lang w:val="en-US" w:eastAsia="en-US" w:bidi="ar-SA"/>
      </w:rPr>
    </w:lvl>
    <w:lvl w:ilvl="8">
      <w:start w:val="0"/>
      <w:numFmt w:val="bullet"/>
      <w:lvlText w:val="•"/>
      <w:lvlJc w:val="left"/>
      <w:pPr>
        <w:ind w:left="3312" w:hanging="188"/>
      </w:pPr>
      <w:rPr>
        <w:rFonts w:hint="default"/>
        <w:lang w:val="en-US" w:eastAsia="en-US" w:bidi="ar-SA"/>
      </w:rPr>
    </w:lvl>
  </w:abstractNum>
  <w:abstractNum w:abstractNumId="51">
    <w:multiLevelType w:val="hybridMultilevel"/>
    <w:lvl w:ilvl="0">
      <w:start w:val="1"/>
      <w:numFmt w:val="decimal"/>
      <w:lvlText w:val="%1."/>
      <w:lvlJc w:val="left"/>
      <w:pPr>
        <w:ind w:left="1047" w:hanging="188"/>
        <w:jc w:val="left"/>
      </w:pPr>
      <w:rPr>
        <w:rFonts w:hint="default" w:ascii="Arial" w:hAnsi="Arial" w:eastAsia="Arial" w:cs="Arial"/>
        <w:b w:val="0"/>
        <w:bCs w:val="0"/>
        <w:i w:val="0"/>
        <w:iCs w:val="0"/>
        <w:color w:val="105C84"/>
        <w:spacing w:val="0"/>
        <w:w w:val="93"/>
        <w:sz w:val="18"/>
        <w:szCs w:val="18"/>
        <w:lang w:val="en-US" w:eastAsia="en-US" w:bidi="ar-SA"/>
      </w:rPr>
    </w:lvl>
    <w:lvl w:ilvl="1">
      <w:start w:val="0"/>
      <w:numFmt w:val="bullet"/>
      <w:lvlText w:val="•"/>
      <w:lvlJc w:val="left"/>
      <w:pPr>
        <w:ind w:left="1323" w:hanging="188"/>
      </w:pPr>
      <w:rPr>
        <w:rFonts w:hint="default"/>
        <w:lang w:val="en-US" w:eastAsia="en-US" w:bidi="ar-SA"/>
      </w:rPr>
    </w:lvl>
    <w:lvl w:ilvl="2">
      <w:start w:val="0"/>
      <w:numFmt w:val="bullet"/>
      <w:lvlText w:val="•"/>
      <w:lvlJc w:val="left"/>
      <w:pPr>
        <w:ind w:left="1607" w:hanging="188"/>
      </w:pPr>
      <w:rPr>
        <w:rFonts w:hint="default"/>
        <w:lang w:val="en-US" w:eastAsia="en-US" w:bidi="ar-SA"/>
      </w:rPr>
    </w:lvl>
    <w:lvl w:ilvl="3">
      <w:start w:val="0"/>
      <w:numFmt w:val="bullet"/>
      <w:lvlText w:val="•"/>
      <w:lvlJc w:val="left"/>
      <w:pPr>
        <w:ind w:left="1891" w:hanging="188"/>
      </w:pPr>
      <w:rPr>
        <w:rFonts w:hint="default"/>
        <w:lang w:val="en-US" w:eastAsia="en-US" w:bidi="ar-SA"/>
      </w:rPr>
    </w:lvl>
    <w:lvl w:ilvl="4">
      <w:start w:val="0"/>
      <w:numFmt w:val="bullet"/>
      <w:lvlText w:val="•"/>
      <w:lvlJc w:val="left"/>
      <w:pPr>
        <w:ind w:left="2175" w:hanging="188"/>
      </w:pPr>
      <w:rPr>
        <w:rFonts w:hint="default"/>
        <w:lang w:val="en-US" w:eastAsia="en-US" w:bidi="ar-SA"/>
      </w:rPr>
    </w:lvl>
    <w:lvl w:ilvl="5">
      <w:start w:val="0"/>
      <w:numFmt w:val="bullet"/>
      <w:lvlText w:val="•"/>
      <w:lvlJc w:val="left"/>
      <w:pPr>
        <w:ind w:left="2459" w:hanging="188"/>
      </w:pPr>
      <w:rPr>
        <w:rFonts w:hint="default"/>
        <w:lang w:val="en-US" w:eastAsia="en-US" w:bidi="ar-SA"/>
      </w:rPr>
    </w:lvl>
    <w:lvl w:ilvl="6">
      <w:start w:val="0"/>
      <w:numFmt w:val="bullet"/>
      <w:lvlText w:val="•"/>
      <w:lvlJc w:val="left"/>
      <w:pPr>
        <w:ind w:left="2743" w:hanging="188"/>
      </w:pPr>
      <w:rPr>
        <w:rFonts w:hint="default"/>
        <w:lang w:val="en-US" w:eastAsia="en-US" w:bidi="ar-SA"/>
      </w:rPr>
    </w:lvl>
    <w:lvl w:ilvl="7">
      <w:start w:val="0"/>
      <w:numFmt w:val="bullet"/>
      <w:lvlText w:val="•"/>
      <w:lvlJc w:val="left"/>
      <w:pPr>
        <w:ind w:left="3027" w:hanging="188"/>
      </w:pPr>
      <w:rPr>
        <w:rFonts w:hint="default"/>
        <w:lang w:val="en-US" w:eastAsia="en-US" w:bidi="ar-SA"/>
      </w:rPr>
    </w:lvl>
    <w:lvl w:ilvl="8">
      <w:start w:val="0"/>
      <w:numFmt w:val="bullet"/>
      <w:lvlText w:val="•"/>
      <w:lvlJc w:val="left"/>
      <w:pPr>
        <w:ind w:left="3311" w:hanging="188"/>
      </w:pPr>
      <w:rPr>
        <w:rFonts w:hint="default"/>
        <w:lang w:val="en-US" w:eastAsia="en-US" w:bidi="ar-SA"/>
      </w:rPr>
    </w:lvl>
  </w:abstractNum>
  <w:abstractNum w:abstractNumId="50">
    <w:multiLevelType w:val="hybridMultilevel"/>
    <w:lvl w:ilvl="0">
      <w:start w:val="1"/>
      <w:numFmt w:val="decimal"/>
      <w:lvlText w:val="%1."/>
      <w:lvlJc w:val="left"/>
      <w:pPr>
        <w:ind w:left="269" w:hanging="188"/>
        <w:jc w:val="left"/>
      </w:pPr>
      <w:rPr>
        <w:rFonts w:hint="default" w:ascii="Arial" w:hAnsi="Arial" w:eastAsia="Arial" w:cs="Arial"/>
        <w:b w:val="0"/>
        <w:bCs w:val="0"/>
        <w:i w:val="0"/>
        <w:iCs w:val="0"/>
        <w:color w:val="105C84"/>
        <w:spacing w:val="0"/>
        <w:w w:val="93"/>
        <w:sz w:val="18"/>
        <w:szCs w:val="18"/>
        <w:lang w:val="en-US" w:eastAsia="en-US" w:bidi="ar-SA"/>
      </w:rPr>
    </w:lvl>
    <w:lvl w:ilvl="1">
      <w:start w:val="0"/>
      <w:numFmt w:val="bullet"/>
      <w:lvlText w:val="•"/>
      <w:lvlJc w:val="left"/>
      <w:pPr>
        <w:ind w:left="496" w:hanging="188"/>
      </w:pPr>
      <w:rPr>
        <w:rFonts w:hint="default"/>
        <w:lang w:val="en-US" w:eastAsia="en-US" w:bidi="ar-SA"/>
      </w:rPr>
    </w:lvl>
    <w:lvl w:ilvl="2">
      <w:start w:val="0"/>
      <w:numFmt w:val="bullet"/>
      <w:lvlText w:val="•"/>
      <w:lvlJc w:val="left"/>
      <w:pPr>
        <w:ind w:left="732" w:hanging="188"/>
      </w:pPr>
      <w:rPr>
        <w:rFonts w:hint="default"/>
        <w:lang w:val="en-US" w:eastAsia="en-US" w:bidi="ar-SA"/>
      </w:rPr>
    </w:lvl>
    <w:lvl w:ilvl="3">
      <w:start w:val="0"/>
      <w:numFmt w:val="bullet"/>
      <w:lvlText w:val="•"/>
      <w:lvlJc w:val="left"/>
      <w:pPr>
        <w:ind w:left="968" w:hanging="188"/>
      </w:pPr>
      <w:rPr>
        <w:rFonts w:hint="default"/>
        <w:lang w:val="en-US" w:eastAsia="en-US" w:bidi="ar-SA"/>
      </w:rPr>
    </w:lvl>
    <w:lvl w:ilvl="4">
      <w:start w:val="0"/>
      <w:numFmt w:val="bullet"/>
      <w:lvlText w:val="•"/>
      <w:lvlJc w:val="left"/>
      <w:pPr>
        <w:ind w:left="1204" w:hanging="188"/>
      </w:pPr>
      <w:rPr>
        <w:rFonts w:hint="default"/>
        <w:lang w:val="en-US" w:eastAsia="en-US" w:bidi="ar-SA"/>
      </w:rPr>
    </w:lvl>
    <w:lvl w:ilvl="5">
      <w:start w:val="0"/>
      <w:numFmt w:val="bullet"/>
      <w:lvlText w:val="•"/>
      <w:lvlJc w:val="left"/>
      <w:pPr>
        <w:ind w:left="1440" w:hanging="188"/>
      </w:pPr>
      <w:rPr>
        <w:rFonts w:hint="default"/>
        <w:lang w:val="en-US" w:eastAsia="en-US" w:bidi="ar-SA"/>
      </w:rPr>
    </w:lvl>
    <w:lvl w:ilvl="6">
      <w:start w:val="0"/>
      <w:numFmt w:val="bullet"/>
      <w:lvlText w:val="•"/>
      <w:lvlJc w:val="left"/>
      <w:pPr>
        <w:ind w:left="1676" w:hanging="188"/>
      </w:pPr>
      <w:rPr>
        <w:rFonts w:hint="default"/>
        <w:lang w:val="en-US" w:eastAsia="en-US" w:bidi="ar-SA"/>
      </w:rPr>
    </w:lvl>
    <w:lvl w:ilvl="7">
      <w:start w:val="0"/>
      <w:numFmt w:val="bullet"/>
      <w:lvlText w:val="•"/>
      <w:lvlJc w:val="left"/>
      <w:pPr>
        <w:ind w:left="1912" w:hanging="188"/>
      </w:pPr>
      <w:rPr>
        <w:rFonts w:hint="default"/>
        <w:lang w:val="en-US" w:eastAsia="en-US" w:bidi="ar-SA"/>
      </w:rPr>
    </w:lvl>
    <w:lvl w:ilvl="8">
      <w:start w:val="0"/>
      <w:numFmt w:val="bullet"/>
      <w:lvlText w:val="•"/>
      <w:lvlJc w:val="left"/>
      <w:pPr>
        <w:ind w:left="2148" w:hanging="188"/>
      </w:pPr>
      <w:rPr>
        <w:rFonts w:hint="default"/>
        <w:lang w:val="en-US" w:eastAsia="en-US" w:bidi="ar-SA"/>
      </w:rPr>
    </w:lvl>
  </w:abstractNum>
  <w:abstractNum w:abstractNumId="49">
    <w:multiLevelType w:val="hybridMultilevel"/>
    <w:lvl w:ilvl="0">
      <w:start w:val="1"/>
      <w:numFmt w:val="decimal"/>
      <w:lvlText w:val="%1."/>
      <w:lvlJc w:val="left"/>
      <w:pPr>
        <w:ind w:left="83" w:hanging="188"/>
        <w:jc w:val="left"/>
      </w:pPr>
      <w:rPr>
        <w:rFonts w:hint="default" w:ascii="Arial" w:hAnsi="Arial" w:eastAsia="Arial" w:cs="Arial"/>
        <w:b w:val="0"/>
        <w:bCs w:val="0"/>
        <w:i w:val="0"/>
        <w:iCs w:val="0"/>
        <w:color w:val="105C84"/>
        <w:spacing w:val="0"/>
        <w:w w:val="93"/>
        <w:sz w:val="18"/>
        <w:szCs w:val="18"/>
        <w:lang w:val="en-US" w:eastAsia="en-US" w:bidi="ar-SA"/>
      </w:rPr>
    </w:lvl>
    <w:lvl w:ilvl="1">
      <w:start w:val="1"/>
      <w:numFmt w:val="decimal"/>
      <w:lvlText w:val="%2."/>
      <w:lvlJc w:val="left"/>
      <w:pPr>
        <w:ind w:left="83" w:hanging="188"/>
        <w:jc w:val="left"/>
      </w:pPr>
      <w:rPr>
        <w:rFonts w:hint="default" w:ascii="Arial" w:hAnsi="Arial" w:eastAsia="Arial" w:cs="Arial"/>
        <w:b w:val="0"/>
        <w:bCs w:val="0"/>
        <w:i w:val="0"/>
        <w:iCs w:val="0"/>
        <w:color w:val="105C84"/>
        <w:spacing w:val="0"/>
        <w:w w:val="93"/>
        <w:sz w:val="18"/>
        <w:szCs w:val="18"/>
        <w:lang w:val="en-US" w:eastAsia="en-US" w:bidi="ar-SA"/>
      </w:rPr>
    </w:lvl>
    <w:lvl w:ilvl="2">
      <w:start w:val="0"/>
      <w:numFmt w:val="bullet"/>
      <w:lvlText w:val="•"/>
      <w:lvlJc w:val="left"/>
      <w:pPr>
        <w:ind w:left="600" w:hanging="188"/>
      </w:pPr>
      <w:rPr>
        <w:rFonts w:hint="default"/>
        <w:lang w:val="en-US" w:eastAsia="en-US" w:bidi="ar-SA"/>
      </w:rPr>
    </w:lvl>
    <w:lvl w:ilvl="3">
      <w:start w:val="0"/>
      <w:numFmt w:val="bullet"/>
      <w:lvlText w:val="•"/>
      <w:lvlJc w:val="left"/>
      <w:pPr>
        <w:ind w:left="861" w:hanging="188"/>
      </w:pPr>
      <w:rPr>
        <w:rFonts w:hint="default"/>
        <w:lang w:val="en-US" w:eastAsia="en-US" w:bidi="ar-SA"/>
      </w:rPr>
    </w:lvl>
    <w:lvl w:ilvl="4">
      <w:start w:val="0"/>
      <w:numFmt w:val="bullet"/>
      <w:lvlText w:val="•"/>
      <w:lvlJc w:val="left"/>
      <w:pPr>
        <w:ind w:left="1121" w:hanging="188"/>
      </w:pPr>
      <w:rPr>
        <w:rFonts w:hint="default"/>
        <w:lang w:val="en-US" w:eastAsia="en-US" w:bidi="ar-SA"/>
      </w:rPr>
    </w:lvl>
    <w:lvl w:ilvl="5">
      <w:start w:val="0"/>
      <w:numFmt w:val="bullet"/>
      <w:lvlText w:val="•"/>
      <w:lvlJc w:val="left"/>
      <w:pPr>
        <w:ind w:left="1382" w:hanging="188"/>
      </w:pPr>
      <w:rPr>
        <w:rFonts w:hint="default"/>
        <w:lang w:val="en-US" w:eastAsia="en-US" w:bidi="ar-SA"/>
      </w:rPr>
    </w:lvl>
    <w:lvl w:ilvl="6">
      <w:start w:val="0"/>
      <w:numFmt w:val="bullet"/>
      <w:lvlText w:val="•"/>
      <w:lvlJc w:val="left"/>
      <w:pPr>
        <w:ind w:left="1642" w:hanging="188"/>
      </w:pPr>
      <w:rPr>
        <w:rFonts w:hint="default"/>
        <w:lang w:val="en-US" w:eastAsia="en-US" w:bidi="ar-SA"/>
      </w:rPr>
    </w:lvl>
    <w:lvl w:ilvl="7">
      <w:start w:val="0"/>
      <w:numFmt w:val="bullet"/>
      <w:lvlText w:val="•"/>
      <w:lvlJc w:val="left"/>
      <w:pPr>
        <w:ind w:left="1902" w:hanging="188"/>
      </w:pPr>
      <w:rPr>
        <w:rFonts w:hint="default"/>
        <w:lang w:val="en-US" w:eastAsia="en-US" w:bidi="ar-SA"/>
      </w:rPr>
    </w:lvl>
    <w:lvl w:ilvl="8">
      <w:start w:val="0"/>
      <w:numFmt w:val="bullet"/>
      <w:lvlText w:val="•"/>
      <w:lvlJc w:val="left"/>
      <w:pPr>
        <w:ind w:left="2163" w:hanging="188"/>
      </w:pPr>
      <w:rPr>
        <w:rFonts w:hint="default"/>
        <w:lang w:val="en-US" w:eastAsia="en-US" w:bidi="ar-SA"/>
      </w:rPr>
    </w:lvl>
  </w:abstractNum>
  <w:abstractNum w:abstractNumId="48">
    <w:multiLevelType w:val="hybridMultilevel"/>
    <w:lvl w:ilvl="0">
      <w:start w:val="1"/>
      <w:numFmt w:val="decimal"/>
      <w:lvlText w:val="%1."/>
      <w:lvlJc w:val="left"/>
      <w:pPr>
        <w:ind w:left="1047" w:hanging="188"/>
        <w:jc w:val="left"/>
      </w:pPr>
      <w:rPr>
        <w:rFonts w:hint="default" w:ascii="Arial" w:hAnsi="Arial" w:eastAsia="Arial" w:cs="Arial"/>
        <w:b w:val="0"/>
        <w:bCs w:val="0"/>
        <w:i w:val="0"/>
        <w:iCs w:val="0"/>
        <w:color w:val="105C84"/>
        <w:spacing w:val="0"/>
        <w:w w:val="93"/>
        <w:sz w:val="18"/>
        <w:szCs w:val="18"/>
        <w:lang w:val="en-US" w:eastAsia="en-US" w:bidi="ar-SA"/>
      </w:rPr>
    </w:lvl>
    <w:lvl w:ilvl="1">
      <w:start w:val="0"/>
      <w:numFmt w:val="bullet"/>
      <w:lvlText w:val="•"/>
      <w:lvlJc w:val="left"/>
      <w:pPr>
        <w:ind w:left="1323" w:hanging="188"/>
      </w:pPr>
      <w:rPr>
        <w:rFonts w:hint="default"/>
        <w:lang w:val="en-US" w:eastAsia="en-US" w:bidi="ar-SA"/>
      </w:rPr>
    </w:lvl>
    <w:lvl w:ilvl="2">
      <w:start w:val="0"/>
      <w:numFmt w:val="bullet"/>
      <w:lvlText w:val="•"/>
      <w:lvlJc w:val="left"/>
      <w:pPr>
        <w:ind w:left="1607" w:hanging="188"/>
      </w:pPr>
      <w:rPr>
        <w:rFonts w:hint="default"/>
        <w:lang w:val="en-US" w:eastAsia="en-US" w:bidi="ar-SA"/>
      </w:rPr>
    </w:lvl>
    <w:lvl w:ilvl="3">
      <w:start w:val="0"/>
      <w:numFmt w:val="bullet"/>
      <w:lvlText w:val="•"/>
      <w:lvlJc w:val="left"/>
      <w:pPr>
        <w:ind w:left="1891" w:hanging="188"/>
      </w:pPr>
      <w:rPr>
        <w:rFonts w:hint="default"/>
        <w:lang w:val="en-US" w:eastAsia="en-US" w:bidi="ar-SA"/>
      </w:rPr>
    </w:lvl>
    <w:lvl w:ilvl="4">
      <w:start w:val="0"/>
      <w:numFmt w:val="bullet"/>
      <w:lvlText w:val="•"/>
      <w:lvlJc w:val="left"/>
      <w:pPr>
        <w:ind w:left="2175" w:hanging="188"/>
      </w:pPr>
      <w:rPr>
        <w:rFonts w:hint="default"/>
        <w:lang w:val="en-US" w:eastAsia="en-US" w:bidi="ar-SA"/>
      </w:rPr>
    </w:lvl>
    <w:lvl w:ilvl="5">
      <w:start w:val="0"/>
      <w:numFmt w:val="bullet"/>
      <w:lvlText w:val="•"/>
      <w:lvlJc w:val="left"/>
      <w:pPr>
        <w:ind w:left="2459" w:hanging="188"/>
      </w:pPr>
      <w:rPr>
        <w:rFonts w:hint="default"/>
        <w:lang w:val="en-US" w:eastAsia="en-US" w:bidi="ar-SA"/>
      </w:rPr>
    </w:lvl>
    <w:lvl w:ilvl="6">
      <w:start w:val="0"/>
      <w:numFmt w:val="bullet"/>
      <w:lvlText w:val="•"/>
      <w:lvlJc w:val="left"/>
      <w:pPr>
        <w:ind w:left="2743" w:hanging="188"/>
      </w:pPr>
      <w:rPr>
        <w:rFonts w:hint="default"/>
        <w:lang w:val="en-US" w:eastAsia="en-US" w:bidi="ar-SA"/>
      </w:rPr>
    </w:lvl>
    <w:lvl w:ilvl="7">
      <w:start w:val="0"/>
      <w:numFmt w:val="bullet"/>
      <w:lvlText w:val="•"/>
      <w:lvlJc w:val="left"/>
      <w:pPr>
        <w:ind w:left="3027" w:hanging="188"/>
      </w:pPr>
      <w:rPr>
        <w:rFonts w:hint="default"/>
        <w:lang w:val="en-US" w:eastAsia="en-US" w:bidi="ar-SA"/>
      </w:rPr>
    </w:lvl>
    <w:lvl w:ilvl="8">
      <w:start w:val="0"/>
      <w:numFmt w:val="bullet"/>
      <w:lvlText w:val="•"/>
      <w:lvlJc w:val="left"/>
      <w:pPr>
        <w:ind w:left="3311" w:hanging="188"/>
      </w:pPr>
      <w:rPr>
        <w:rFonts w:hint="default"/>
        <w:lang w:val="en-US" w:eastAsia="en-US" w:bidi="ar-SA"/>
      </w:rPr>
    </w:lvl>
  </w:abstractNum>
  <w:abstractNum w:abstractNumId="47">
    <w:multiLevelType w:val="hybridMultilevel"/>
    <w:lvl w:ilvl="0">
      <w:start w:val="1"/>
      <w:numFmt w:val="decimal"/>
      <w:lvlText w:val="%1."/>
      <w:lvlJc w:val="left"/>
      <w:pPr>
        <w:ind w:left="1063" w:hanging="188"/>
        <w:jc w:val="left"/>
      </w:pPr>
      <w:rPr>
        <w:rFonts w:hint="default" w:ascii="Arial" w:hAnsi="Arial" w:eastAsia="Arial" w:cs="Arial"/>
        <w:b w:val="0"/>
        <w:bCs w:val="0"/>
        <w:i w:val="0"/>
        <w:iCs w:val="0"/>
        <w:color w:val="105C84"/>
        <w:spacing w:val="0"/>
        <w:w w:val="93"/>
        <w:sz w:val="18"/>
        <w:szCs w:val="18"/>
        <w:lang w:val="en-US" w:eastAsia="en-US" w:bidi="ar-SA"/>
      </w:rPr>
    </w:lvl>
    <w:lvl w:ilvl="1">
      <w:start w:val="0"/>
      <w:numFmt w:val="bullet"/>
      <w:lvlText w:val="•"/>
      <w:lvlJc w:val="left"/>
      <w:pPr>
        <w:ind w:left="1343" w:hanging="188"/>
      </w:pPr>
      <w:rPr>
        <w:rFonts w:hint="default"/>
        <w:lang w:val="en-US" w:eastAsia="en-US" w:bidi="ar-SA"/>
      </w:rPr>
    </w:lvl>
    <w:lvl w:ilvl="2">
      <w:start w:val="0"/>
      <w:numFmt w:val="bullet"/>
      <w:lvlText w:val="•"/>
      <w:lvlJc w:val="left"/>
      <w:pPr>
        <w:ind w:left="1627" w:hanging="188"/>
      </w:pPr>
      <w:rPr>
        <w:rFonts w:hint="default"/>
        <w:lang w:val="en-US" w:eastAsia="en-US" w:bidi="ar-SA"/>
      </w:rPr>
    </w:lvl>
    <w:lvl w:ilvl="3">
      <w:start w:val="0"/>
      <w:numFmt w:val="bullet"/>
      <w:lvlText w:val="•"/>
      <w:lvlJc w:val="left"/>
      <w:pPr>
        <w:ind w:left="1910" w:hanging="188"/>
      </w:pPr>
      <w:rPr>
        <w:rFonts w:hint="default"/>
        <w:lang w:val="en-US" w:eastAsia="en-US" w:bidi="ar-SA"/>
      </w:rPr>
    </w:lvl>
    <w:lvl w:ilvl="4">
      <w:start w:val="0"/>
      <w:numFmt w:val="bullet"/>
      <w:lvlText w:val="•"/>
      <w:lvlJc w:val="left"/>
      <w:pPr>
        <w:ind w:left="2194" w:hanging="188"/>
      </w:pPr>
      <w:rPr>
        <w:rFonts w:hint="default"/>
        <w:lang w:val="en-US" w:eastAsia="en-US" w:bidi="ar-SA"/>
      </w:rPr>
    </w:lvl>
    <w:lvl w:ilvl="5">
      <w:start w:val="0"/>
      <w:numFmt w:val="bullet"/>
      <w:lvlText w:val="•"/>
      <w:lvlJc w:val="left"/>
      <w:pPr>
        <w:ind w:left="2477" w:hanging="188"/>
      </w:pPr>
      <w:rPr>
        <w:rFonts w:hint="default"/>
        <w:lang w:val="en-US" w:eastAsia="en-US" w:bidi="ar-SA"/>
      </w:rPr>
    </w:lvl>
    <w:lvl w:ilvl="6">
      <w:start w:val="0"/>
      <w:numFmt w:val="bullet"/>
      <w:lvlText w:val="•"/>
      <w:lvlJc w:val="left"/>
      <w:pPr>
        <w:ind w:left="2761" w:hanging="188"/>
      </w:pPr>
      <w:rPr>
        <w:rFonts w:hint="default"/>
        <w:lang w:val="en-US" w:eastAsia="en-US" w:bidi="ar-SA"/>
      </w:rPr>
    </w:lvl>
    <w:lvl w:ilvl="7">
      <w:start w:val="0"/>
      <w:numFmt w:val="bullet"/>
      <w:lvlText w:val="•"/>
      <w:lvlJc w:val="left"/>
      <w:pPr>
        <w:ind w:left="3044" w:hanging="188"/>
      </w:pPr>
      <w:rPr>
        <w:rFonts w:hint="default"/>
        <w:lang w:val="en-US" w:eastAsia="en-US" w:bidi="ar-SA"/>
      </w:rPr>
    </w:lvl>
    <w:lvl w:ilvl="8">
      <w:start w:val="0"/>
      <w:numFmt w:val="bullet"/>
      <w:lvlText w:val="•"/>
      <w:lvlJc w:val="left"/>
      <w:pPr>
        <w:ind w:left="3328" w:hanging="188"/>
      </w:pPr>
      <w:rPr>
        <w:rFonts w:hint="default"/>
        <w:lang w:val="en-US" w:eastAsia="en-US" w:bidi="ar-SA"/>
      </w:rPr>
    </w:lvl>
  </w:abstractNum>
  <w:abstractNum w:abstractNumId="46">
    <w:multiLevelType w:val="hybridMultilevel"/>
    <w:lvl w:ilvl="0">
      <w:start w:val="1"/>
      <w:numFmt w:val="decimal"/>
      <w:lvlText w:val="%1."/>
      <w:lvlJc w:val="left"/>
      <w:pPr>
        <w:ind w:left="84" w:hanging="188"/>
        <w:jc w:val="left"/>
      </w:pPr>
      <w:rPr>
        <w:rFonts w:hint="default" w:ascii="Arial" w:hAnsi="Arial" w:eastAsia="Arial" w:cs="Arial"/>
        <w:b w:val="0"/>
        <w:bCs w:val="0"/>
        <w:i w:val="0"/>
        <w:iCs w:val="0"/>
        <w:color w:val="105C84"/>
        <w:spacing w:val="0"/>
        <w:w w:val="79"/>
        <w:sz w:val="18"/>
        <w:szCs w:val="18"/>
        <w:lang w:val="en-US" w:eastAsia="en-US" w:bidi="ar-SA"/>
      </w:rPr>
    </w:lvl>
    <w:lvl w:ilvl="1">
      <w:start w:val="1"/>
      <w:numFmt w:val="decimal"/>
      <w:lvlText w:val="%2."/>
      <w:lvlJc w:val="left"/>
      <w:pPr>
        <w:ind w:left="84" w:hanging="188"/>
        <w:jc w:val="left"/>
      </w:pPr>
      <w:rPr>
        <w:rFonts w:hint="default" w:ascii="Arial" w:hAnsi="Arial" w:eastAsia="Arial" w:cs="Arial"/>
        <w:b w:val="0"/>
        <w:bCs w:val="0"/>
        <w:i w:val="0"/>
        <w:iCs w:val="0"/>
        <w:color w:val="105C84"/>
        <w:spacing w:val="0"/>
        <w:w w:val="93"/>
        <w:sz w:val="18"/>
        <w:szCs w:val="18"/>
        <w:lang w:val="en-US" w:eastAsia="en-US" w:bidi="ar-SA"/>
      </w:rPr>
    </w:lvl>
    <w:lvl w:ilvl="2">
      <w:start w:val="0"/>
      <w:numFmt w:val="bullet"/>
      <w:lvlText w:val="•"/>
      <w:lvlJc w:val="left"/>
      <w:pPr>
        <w:ind w:left="600" w:hanging="188"/>
      </w:pPr>
      <w:rPr>
        <w:rFonts w:hint="default"/>
        <w:lang w:val="en-US" w:eastAsia="en-US" w:bidi="ar-SA"/>
      </w:rPr>
    </w:lvl>
    <w:lvl w:ilvl="3">
      <w:start w:val="0"/>
      <w:numFmt w:val="bullet"/>
      <w:lvlText w:val="•"/>
      <w:lvlJc w:val="left"/>
      <w:pPr>
        <w:ind w:left="860" w:hanging="188"/>
      </w:pPr>
      <w:rPr>
        <w:rFonts w:hint="default"/>
        <w:lang w:val="en-US" w:eastAsia="en-US" w:bidi="ar-SA"/>
      </w:rPr>
    </w:lvl>
    <w:lvl w:ilvl="4">
      <w:start w:val="0"/>
      <w:numFmt w:val="bullet"/>
      <w:lvlText w:val="•"/>
      <w:lvlJc w:val="left"/>
      <w:pPr>
        <w:ind w:left="1121" w:hanging="188"/>
      </w:pPr>
      <w:rPr>
        <w:rFonts w:hint="default"/>
        <w:lang w:val="en-US" w:eastAsia="en-US" w:bidi="ar-SA"/>
      </w:rPr>
    </w:lvl>
    <w:lvl w:ilvl="5">
      <w:start w:val="0"/>
      <w:numFmt w:val="bullet"/>
      <w:lvlText w:val="•"/>
      <w:lvlJc w:val="left"/>
      <w:pPr>
        <w:ind w:left="1381" w:hanging="188"/>
      </w:pPr>
      <w:rPr>
        <w:rFonts w:hint="default"/>
        <w:lang w:val="en-US" w:eastAsia="en-US" w:bidi="ar-SA"/>
      </w:rPr>
    </w:lvl>
    <w:lvl w:ilvl="6">
      <w:start w:val="0"/>
      <w:numFmt w:val="bullet"/>
      <w:lvlText w:val="•"/>
      <w:lvlJc w:val="left"/>
      <w:pPr>
        <w:ind w:left="1641" w:hanging="188"/>
      </w:pPr>
      <w:rPr>
        <w:rFonts w:hint="default"/>
        <w:lang w:val="en-US" w:eastAsia="en-US" w:bidi="ar-SA"/>
      </w:rPr>
    </w:lvl>
    <w:lvl w:ilvl="7">
      <w:start w:val="0"/>
      <w:numFmt w:val="bullet"/>
      <w:lvlText w:val="•"/>
      <w:lvlJc w:val="left"/>
      <w:pPr>
        <w:ind w:left="1901" w:hanging="188"/>
      </w:pPr>
      <w:rPr>
        <w:rFonts w:hint="default"/>
        <w:lang w:val="en-US" w:eastAsia="en-US" w:bidi="ar-SA"/>
      </w:rPr>
    </w:lvl>
    <w:lvl w:ilvl="8">
      <w:start w:val="0"/>
      <w:numFmt w:val="bullet"/>
      <w:lvlText w:val="•"/>
      <w:lvlJc w:val="left"/>
      <w:pPr>
        <w:ind w:left="2162" w:hanging="188"/>
      </w:pPr>
      <w:rPr>
        <w:rFonts w:hint="default"/>
        <w:lang w:val="en-US" w:eastAsia="en-US" w:bidi="ar-SA"/>
      </w:rPr>
    </w:lvl>
  </w:abstractNum>
  <w:abstractNum w:abstractNumId="45">
    <w:multiLevelType w:val="hybridMultilevel"/>
    <w:lvl w:ilvl="0">
      <w:start w:val="1"/>
      <w:numFmt w:val="decimal"/>
      <w:lvlText w:val="%1."/>
      <w:lvlJc w:val="left"/>
      <w:pPr>
        <w:ind w:left="1063" w:hanging="188"/>
        <w:jc w:val="left"/>
      </w:pPr>
      <w:rPr>
        <w:rFonts w:hint="default" w:ascii="Arial" w:hAnsi="Arial" w:eastAsia="Arial" w:cs="Arial"/>
        <w:b w:val="0"/>
        <w:bCs w:val="0"/>
        <w:i w:val="0"/>
        <w:iCs w:val="0"/>
        <w:color w:val="105C84"/>
        <w:spacing w:val="0"/>
        <w:w w:val="93"/>
        <w:sz w:val="18"/>
        <w:szCs w:val="18"/>
        <w:lang w:val="en-US" w:eastAsia="en-US" w:bidi="ar-SA"/>
      </w:rPr>
    </w:lvl>
    <w:lvl w:ilvl="1">
      <w:start w:val="0"/>
      <w:numFmt w:val="bullet"/>
      <w:lvlText w:val="•"/>
      <w:lvlJc w:val="left"/>
      <w:pPr>
        <w:ind w:left="1343" w:hanging="188"/>
      </w:pPr>
      <w:rPr>
        <w:rFonts w:hint="default"/>
        <w:lang w:val="en-US" w:eastAsia="en-US" w:bidi="ar-SA"/>
      </w:rPr>
    </w:lvl>
    <w:lvl w:ilvl="2">
      <w:start w:val="0"/>
      <w:numFmt w:val="bullet"/>
      <w:lvlText w:val="•"/>
      <w:lvlJc w:val="left"/>
      <w:pPr>
        <w:ind w:left="1627" w:hanging="188"/>
      </w:pPr>
      <w:rPr>
        <w:rFonts w:hint="default"/>
        <w:lang w:val="en-US" w:eastAsia="en-US" w:bidi="ar-SA"/>
      </w:rPr>
    </w:lvl>
    <w:lvl w:ilvl="3">
      <w:start w:val="0"/>
      <w:numFmt w:val="bullet"/>
      <w:lvlText w:val="•"/>
      <w:lvlJc w:val="left"/>
      <w:pPr>
        <w:ind w:left="1910" w:hanging="188"/>
      </w:pPr>
      <w:rPr>
        <w:rFonts w:hint="default"/>
        <w:lang w:val="en-US" w:eastAsia="en-US" w:bidi="ar-SA"/>
      </w:rPr>
    </w:lvl>
    <w:lvl w:ilvl="4">
      <w:start w:val="0"/>
      <w:numFmt w:val="bullet"/>
      <w:lvlText w:val="•"/>
      <w:lvlJc w:val="left"/>
      <w:pPr>
        <w:ind w:left="2194" w:hanging="188"/>
      </w:pPr>
      <w:rPr>
        <w:rFonts w:hint="default"/>
        <w:lang w:val="en-US" w:eastAsia="en-US" w:bidi="ar-SA"/>
      </w:rPr>
    </w:lvl>
    <w:lvl w:ilvl="5">
      <w:start w:val="0"/>
      <w:numFmt w:val="bullet"/>
      <w:lvlText w:val="•"/>
      <w:lvlJc w:val="left"/>
      <w:pPr>
        <w:ind w:left="2477" w:hanging="188"/>
      </w:pPr>
      <w:rPr>
        <w:rFonts w:hint="default"/>
        <w:lang w:val="en-US" w:eastAsia="en-US" w:bidi="ar-SA"/>
      </w:rPr>
    </w:lvl>
    <w:lvl w:ilvl="6">
      <w:start w:val="0"/>
      <w:numFmt w:val="bullet"/>
      <w:lvlText w:val="•"/>
      <w:lvlJc w:val="left"/>
      <w:pPr>
        <w:ind w:left="2761" w:hanging="188"/>
      </w:pPr>
      <w:rPr>
        <w:rFonts w:hint="default"/>
        <w:lang w:val="en-US" w:eastAsia="en-US" w:bidi="ar-SA"/>
      </w:rPr>
    </w:lvl>
    <w:lvl w:ilvl="7">
      <w:start w:val="0"/>
      <w:numFmt w:val="bullet"/>
      <w:lvlText w:val="•"/>
      <w:lvlJc w:val="left"/>
      <w:pPr>
        <w:ind w:left="3044" w:hanging="188"/>
      </w:pPr>
      <w:rPr>
        <w:rFonts w:hint="default"/>
        <w:lang w:val="en-US" w:eastAsia="en-US" w:bidi="ar-SA"/>
      </w:rPr>
    </w:lvl>
    <w:lvl w:ilvl="8">
      <w:start w:val="0"/>
      <w:numFmt w:val="bullet"/>
      <w:lvlText w:val="•"/>
      <w:lvlJc w:val="left"/>
      <w:pPr>
        <w:ind w:left="3328" w:hanging="188"/>
      </w:pPr>
      <w:rPr>
        <w:rFonts w:hint="default"/>
        <w:lang w:val="en-US" w:eastAsia="en-US" w:bidi="ar-SA"/>
      </w:rPr>
    </w:lvl>
  </w:abstractNum>
  <w:abstractNum w:abstractNumId="44">
    <w:multiLevelType w:val="hybridMultilevel"/>
    <w:lvl w:ilvl="0">
      <w:start w:val="2"/>
      <w:numFmt w:val="decimal"/>
      <w:lvlText w:val="%1"/>
      <w:lvlJc w:val="left"/>
      <w:pPr>
        <w:ind w:left="514" w:hanging="422"/>
        <w:jc w:val="left"/>
      </w:pPr>
      <w:rPr>
        <w:rFonts w:hint="default"/>
        <w:lang w:val="en-US" w:eastAsia="en-US" w:bidi="ar-SA"/>
      </w:rPr>
    </w:lvl>
    <w:lvl w:ilvl="1">
      <w:start w:val="1"/>
      <w:numFmt w:val="decimal"/>
      <w:lvlText w:val="%1.%2"/>
      <w:lvlJc w:val="left"/>
      <w:pPr>
        <w:ind w:left="514" w:hanging="422"/>
        <w:jc w:val="left"/>
      </w:pPr>
      <w:rPr>
        <w:rFonts w:hint="default"/>
        <w:lang w:val="en-US" w:eastAsia="en-US" w:bidi="ar-SA"/>
      </w:rPr>
    </w:lvl>
    <w:lvl w:ilvl="2">
      <w:start w:val="5"/>
      <w:numFmt w:val="decimal"/>
      <w:lvlText w:val="%1.%2.%3"/>
      <w:lvlJc w:val="left"/>
      <w:pPr>
        <w:ind w:left="514" w:hanging="422"/>
        <w:jc w:val="left"/>
      </w:pPr>
      <w:rPr>
        <w:rFonts w:hint="default" w:ascii="Arial" w:hAnsi="Arial" w:eastAsia="Arial" w:cs="Arial"/>
        <w:b w:val="0"/>
        <w:bCs w:val="0"/>
        <w:i w:val="0"/>
        <w:iCs w:val="0"/>
        <w:color w:val="105C84"/>
        <w:spacing w:val="0"/>
        <w:w w:val="93"/>
        <w:sz w:val="18"/>
        <w:szCs w:val="18"/>
        <w:lang w:val="en-US" w:eastAsia="en-US" w:bidi="ar-SA"/>
      </w:rPr>
    </w:lvl>
    <w:lvl w:ilvl="3">
      <w:start w:val="0"/>
      <w:numFmt w:val="bullet"/>
      <w:lvlText w:val="•"/>
      <w:lvlJc w:val="left"/>
      <w:pPr>
        <w:ind w:left="2663" w:hanging="422"/>
      </w:pPr>
      <w:rPr>
        <w:rFonts w:hint="default"/>
        <w:lang w:val="en-US" w:eastAsia="en-US" w:bidi="ar-SA"/>
      </w:rPr>
    </w:lvl>
    <w:lvl w:ilvl="4">
      <w:start w:val="0"/>
      <w:numFmt w:val="bullet"/>
      <w:lvlText w:val="•"/>
      <w:lvlJc w:val="left"/>
      <w:pPr>
        <w:ind w:left="3378" w:hanging="422"/>
      </w:pPr>
      <w:rPr>
        <w:rFonts w:hint="default"/>
        <w:lang w:val="en-US" w:eastAsia="en-US" w:bidi="ar-SA"/>
      </w:rPr>
    </w:lvl>
    <w:lvl w:ilvl="5">
      <w:start w:val="0"/>
      <w:numFmt w:val="bullet"/>
      <w:lvlText w:val="•"/>
      <w:lvlJc w:val="left"/>
      <w:pPr>
        <w:ind w:left="4092" w:hanging="422"/>
      </w:pPr>
      <w:rPr>
        <w:rFonts w:hint="default"/>
        <w:lang w:val="en-US" w:eastAsia="en-US" w:bidi="ar-SA"/>
      </w:rPr>
    </w:lvl>
    <w:lvl w:ilvl="6">
      <w:start w:val="0"/>
      <w:numFmt w:val="bullet"/>
      <w:lvlText w:val="•"/>
      <w:lvlJc w:val="left"/>
      <w:pPr>
        <w:ind w:left="4807" w:hanging="422"/>
      </w:pPr>
      <w:rPr>
        <w:rFonts w:hint="default"/>
        <w:lang w:val="en-US" w:eastAsia="en-US" w:bidi="ar-SA"/>
      </w:rPr>
    </w:lvl>
    <w:lvl w:ilvl="7">
      <w:start w:val="0"/>
      <w:numFmt w:val="bullet"/>
      <w:lvlText w:val="•"/>
      <w:lvlJc w:val="left"/>
      <w:pPr>
        <w:ind w:left="5521" w:hanging="422"/>
      </w:pPr>
      <w:rPr>
        <w:rFonts w:hint="default"/>
        <w:lang w:val="en-US" w:eastAsia="en-US" w:bidi="ar-SA"/>
      </w:rPr>
    </w:lvl>
    <w:lvl w:ilvl="8">
      <w:start w:val="0"/>
      <w:numFmt w:val="bullet"/>
      <w:lvlText w:val="•"/>
      <w:lvlJc w:val="left"/>
      <w:pPr>
        <w:ind w:left="6236" w:hanging="422"/>
      </w:pPr>
      <w:rPr>
        <w:rFonts w:hint="default"/>
        <w:lang w:val="en-US" w:eastAsia="en-US" w:bidi="ar-SA"/>
      </w:rPr>
    </w:lvl>
  </w:abstractNum>
  <w:abstractNum w:abstractNumId="43">
    <w:multiLevelType w:val="hybridMultilevel"/>
    <w:lvl w:ilvl="0">
      <w:start w:val="2"/>
      <w:numFmt w:val="decimal"/>
      <w:lvlText w:val="%1"/>
      <w:lvlJc w:val="left"/>
      <w:pPr>
        <w:ind w:left="514" w:hanging="422"/>
        <w:jc w:val="left"/>
      </w:pPr>
      <w:rPr>
        <w:rFonts w:hint="default"/>
        <w:lang w:val="en-US" w:eastAsia="en-US" w:bidi="ar-SA"/>
      </w:rPr>
    </w:lvl>
    <w:lvl w:ilvl="1">
      <w:start w:val="1"/>
      <w:numFmt w:val="decimal"/>
      <w:lvlText w:val="%1.%2"/>
      <w:lvlJc w:val="left"/>
      <w:pPr>
        <w:ind w:left="514" w:hanging="422"/>
        <w:jc w:val="left"/>
      </w:pPr>
      <w:rPr>
        <w:rFonts w:hint="default"/>
        <w:lang w:val="en-US" w:eastAsia="en-US" w:bidi="ar-SA"/>
      </w:rPr>
    </w:lvl>
    <w:lvl w:ilvl="2">
      <w:start w:val="1"/>
      <w:numFmt w:val="decimal"/>
      <w:lvlText w:val="%1.%2.%3"/>
      <w:lvlJc w:val="left"/>
      <w:pPr>
        <w:ind w:left="514" w:hanging="422"/>
        <w:jc w:val="left"/>
      </w:pPr>
      <w:rPr>
        <w:rFonts w:hint="default" w:ascii="Arial" w:hAnsi="Arial" w:eastAsia="Arial" w:cs="Arial"/>
        <w:b w:val="0"/>
        <w:bCs w:val="0"/>
        <w:i w:val="0"/>
        <w:iCs w:val="0"/>
        <w:color w:val="105C84"/>
        <w:spacing w:val="0"/>
        <w:w w:val="93"/>
        <w:sz w:val="18"/>
        <w:szCs w:val="18"/>
        <w:lang w:val="en-US" w:eastAsia="en-US" w:bidi="ar-SA"/>
      </w:rPr>
    </w:lvl>
    <w:lvl w:ilvl="3">
      <w:start w:val="0"/>
      <w:numFmt w:val="bullet"/>
      <w:lvlText w:val="•"/>
      <w:lvlJc w:val="left"/>
      <w:pPr>
        <w:ind w:left="2663" w:hanging="422"/>
      </w:pPr>
      <w:rPr>
        <w:rFonts w:hint="default"/>
        <w:lang w:val="en-US" w:eastAsia="en-US" w:bidi="ar-SA"/>
      </w:rPr>
    </w:lvl>
    <w:lvl w:ilvl="4">
      <w:start w:val="0"/>
      <w:numFmt w:val="bullet"/>
      <w:lvlText w:val="•"/>
      <w:lvlJc w:val="left"/>
      <w:pPr>
        <w:ind w:left="3378" w:hanging="422"/>
      </w:pPr>
      <w:rPr>
        <w:rFonts w:hint="default"/>
        <w:lang w:val="en-US" w:eastAsia="en-US" w:bidi="ar-SA"/>
      </w:rPr>
    </w:lvl>
    <w:lvl w:ilvl="5">
      <w:start w:val="0"/>
      <w:numFmt w:val="bullet"/>
      <w:lvlText w:val="•"/>
      <w:lvlJc w:val="left"/>
      <w:pPr>
        <w:ind w:left="4092" w:hanging="422"/>
      </w:pPr>
      <w:rPr>
        <w:rFonts w:hint="default"/>
        <w:lang w:val="en-US" w:eastAsia="en-US" w:bidi="ar-SA"/>
      </w:rPr>
    </w:lvl>
    <w:lvl w:ilvl="6">
      <w:start w:val="0"/>
      <w:numFmt w:val="bullet"/>
      <w:lvlText w:val="•"/>
      <w:lvlJc w:val="left"/>
      <w:pPr>
        <w:ind w:left="4807" w:hanging="422"/>
      </w:pPr>
      <w:rPr>
        <w:rFonts w:hint="default"/>
        <w:lang w:val="en-US" w:eastAsia="en-US" w:bidi="ar-SA"/>
      </w:rPr>
    </w:lvl>
    <w:lvl w:ilvl="7">
      <w:start w:val="0"/>
      <w:numFmt w:val="bullet"/>
      <w:lvlText w:val="•"/>
      <w:lvlJc w:val="left"/>
      <w:pPr>
        <w:ind w:left="5521" w:hanging="422"/>
      </w:pPr>
      <w:rPr>
        <w:rFonts w:hint="default"/>
        <w:lang w:val="en-US" w:eastAsia="en-US" w:bidi="ar-SA"/>
      </w:rPr>
    </w:lvl>
    <w:lvl w:ilvl="8">
      <w:start w:val="0"/>
      <w:numFmt w:val="bullet"/>
      <w:lvlText w:val="•"/>
      <w:lvlJc w:val="left"/>
      <w:pPr>
        <w:ind w:left="6236" w:hanging="422"/>
      </w:pPr>
      <w:rPr>
        <w:rFonts w:hint="default"/>
        <w:lang w:val="en-US" w:eastAsia="en-US" w:bidi="ar-SA"/>
      </w:rPr>
    </w:lvl>
  </w:abstractNum>
  <w:abstractNum w:abstractNumId="42">
    <w:multiLevelType w:val="hybridMultilevel"/>
    <w:lvl w:ilvl="0">
      <w:start w:val="2"/>
      <w:numFmt w:val="decimal"/>
      <w:lvlText w:val="%1"/>
      <w:lvlJc w:val="left"/>
      <w:pPr>
        <w:ind w:left="513" w:hanging="422"/>
        <w:jc w:val="left"/>
      </w:pPr>
      <w:rPr>
        <w:rFonts w:hint="default"/>
        <w:lang w:val="en-US" w:eastAsia="en-US" w:bidi="ar-SA"/>
      </w:rPr>
    </w:lvl>
    <w:lvl w:ilvl="1">
      <w:start w:val="1"/>
      <w:numFmt w:val="decimal"/>
      <w:lvlText w:val="%1.%2"/>
      <w:lvlJc w:val="left"/>
      <w:pPr>
        <w:ind w:left="513" w:hanging="422"/>
        <w:jc w:val="left"/>
      </w:pPr>
      <w:rPr>
        <w:rFonts w:hint="default"/>
        <w:lang w:val="en-US" w:eastAsia="en-US" w:bidi="ar-SA"/>
      </w:rPr>
    </w:lvl>
    <w:lvl w:ilvl="2">
      <w:start w:val="1"/>
      <w:numFmt w:val="decimal"/>
      <w:lvlText w:val="%1.%2.%3"/>
      <w:lvlJc w:val="left"/>
      <w:pPr>
        <w:ind w:left="513" w:hanging="422"/>
        <w:jc w:val="left"/>
      </w:pPr>
      <w:rPr>
        <w:rFonts w:hint="default" w:ascii="Arial" w:hAnsi="Arial" w:eastAsia="Arial" w:cs="Arial"/>
        <w:b w:val="0"/>
        <w:bCs w:val="0"/>
        <w:i w:val="0"/>
        <w:iCs w:val="0"/>
        <w:color w:val="105C84"/>
        <w:spacing w:val="0"/>
        <w:w w:val="93"/>
        <w:sz w:val="18"/>
        <w:szCs w:val="18"/>
        <w:lang w:val="en-US" w:eastAsia="en-US" w:bidi="ar-SA"/>
      </w:rPr>
    </w:lvl>
    <w:lvl w:ilvl="3">
      <w:start w:val="0"/>
      <w:numFmt w:val="bullet"/>
      <w:lvlText w:val="•"/>
      <w:lvlJc w:val="left"/>
      <w:pPr>
        <w:ind w:left="799" w:hanging="422"/>
      </w:pPr>
      <w:rPr>
        <w:rFonts w:hint="default"/>
        <w:lang w:val="en-US" w:eastAsia="en-US" w:bidi="ar-SA"/>
      </w:rPr>
    </w:lvl>
    <w:lvl w:ilvl="4">
      <w:start w:val="0"/>
      <w:numFmt w:val="bullet"/>
      <w:lvlText w:val="•"/>
      <w:lvlJc w:val="left"/>
      <w:pPr>
        <w:ind w:left="892" w:hanging="422"/>
      </w:pPr>
      <w:rPr>
        <w:rFonts w:hint="default"/>
        <w:lang w:val="en-US" w:eastAsia="en-US" w:bidi="ar-SA"/>
      </w:rPr>
    </w:lvl>
    <w:lvl w:ilvl="5">
      <w:start w:val="0"/>
      <w:numFmt w:val="bullet"/>
      <w:lvlText w:val="•"/>
      <w:lvlJc w:val="left"/>
      <w:pPr>
        <w:ind w:left="985" w:hanging="422"/>
      </w:pPr>
      <w:rPr>
        <w:rFonts w:hint="default"/>
        <w:lang w:val="en-US" w:eastAsia="en-US" w:bidi="ar-SA"/>
      </w:rPr>
    </w:lvl>
    <w:lvl w:ilvl="6">
      <w:start w:val="0"/>
      <w:numFmt w:val="bullet"/>
      <w:lvlText w:val="•"/>
      <w:lvlJc w:val="left"/>
      <w:pPr>
        <w:ind w:left="1078" w:hanging="422"/>
      </w:pPr>
      <w:rPr>
        <w:rFonts w:hint="default"/>
        <w:lang w:val="en-US" w:eastAsia="en-US" w:bidi="ar-SA"/>
      </w:rPr>
    </w:lvl>
    <w:lvl w:ilvl="7">
      <w:start w:val="0"/>
      <w:numFmt w:val="bullet"/>
      <w:lvlText w:val="•"/>
      <w:lvlJc w:val="left"/>
      <w:pPr>
        <w:ind w:left="1171" w:hanging="422"/>
      </w:pPr>
      <w:rPr>
        <w:rFonts w:hint="default"/>
        <w:lang w:val="en-US" w:eastAsia="en-US" w:bidi="ar-SA"/>
      </w:rPr>
    </w:lvl>
    <w:lvl w:ilvl="8">
      <w:start w:val="0"/>
      <w:numFmt w:val="bullet"/>
      <w:lvlText w:val="•"/>
      <w:lvlJc w:val="left"/>
      <w:pPr>
        <w:ind w:left="1264" w:hanging="422"/>
      </w:pPr>
      <w:rPr>
        <w:rFonts w:hint="default"/>
        <w:lang w:val="en-US" w:eastAsia="en-US" w:bidi="ar-SA"/>
      </w:rPr>
    </w:lvl>
  </w:abstractNum>
  <w:abstractNum w:abstractNumId="41">
    <w:multiLevelType w:val="hybridMultilevel"/>
    <w:lvl w:ilvl="0">
      <w:start w:val="1"/>
      <w:numFmt w:val="decimal"/>
      <w:lvlText w:val="%1"/>
      <w:lvlJc w:val="left"/>
      <w:pPr>
        <w:ind w:left="954" w:hanging="141"/>
        <w:jc w:val="left"/>
      </w:pPr>
      <w:rPr>
        <w:rFonts w:hint="default" w:ascii="Arial" w:hAnsi="Arial" w:eastAsia="Arial" w:cs="Arial"/>
        <w:b w:val="0"/>
        <w:bCs w:val="0"/>
        <w:i w:val="0"/>
        <w:iCs w:val="0"/>
        <w:color w:val="105C84"/>
        <w:spacing w:val="0"/>
        <w:w w:val="93"/>
        <w:sz w:val="18"/>
        <w:szCs w:val="18"/>
        <w:lang w:val="en-US" w:eastAsia="en-US" w:bidi="ar-SA"/>
      </w:rPr>
    </w:lvl>
    <w:lvl w:ilvl="1">
      <w:start w:val="0"/>
      <w:numFmt w:val="bullet"/>
      <w:lvlText w:val="•"/>
      <w:lvlJc w:val="left"/>
      <w:pPr>
        <w:ind w:left="1252" w:hanging="141"/>
      </w:pPr>
      <w:rPr>
        <w:rFonts w:hint="default"/>
        <w:lang w:val="en-US" w:eastAsia="en-US" w:bidi="ar-SA"/>
      </w:rPr>
    </w:lvl>
    <w:lvl w:ilvl="2">
      <w:start w:val="0"/>
      <w:numFmt w:val="bullet"/>
      <w:lvlText w:val="•"/>
      <w:lvlJc w:val="left"/>
      <w:pPr>
        <w:ind w:left="1545" w:hanging="141"/>
      </w:pPr>
      <w:rPr>
        <w:rFonts w:hint="default"/>
        <w:lang w:val="en-US" w:eastAsia="en-US" w:bidi="ar-SA"/>
      </w:rPr>
    </w:lvl>
    <w:lvl w:ilvl="3">
      <w:start w:val="0"/>
      <w:numFmt w:val="bullet"/>
      <w:lvlText w:val="•"/>
      <w:lvlJc w:val="left"/>
      <w:pPr>
        <w:ind w:left="1838" w:hanging="141"/>
      </w:pPr>
      <w:rPr>
        <w:rFonts w:hint="default"/>
        <w:lang w:val="en-US" w:eastAsia="en-US" w:bidi="ar-SA"/>
      </w:rPr>
    </w:lvl>
    <w:lvl w:ilvl="4">
      <w:start w:val="0"/>
      <w:numFmt w:val="bullet"/>
      <w:lvlText w:val="•"/>
      <w:lvlJc w:val="left"/>
      <w:pPr>
        <w:ind w:left="2131" w:hanging="141"/>
      </w:pPr>
      <w:rPr>
        <w:rFonts w:hint="default"/>
        <w:lang w:val="en-US" w:eastAsia="en-US" w:bidi="ar-SA"/>
      </w:rPr>
    </w:lvl>
    <w:lvl w:ilvl="5">
      <w:start w:val="0"/>
      <w:numFmt w:val="bullet"/>
      <w:lvlText w:val="•"/>
      <w:lvlJc w:val="left"/>
      <w:pPr>
        <w:ind w:left="2424" w:hanging="141"/>
      </w:pPr>
      <w:rPr>
        <w:rFonts w:hint="default"/>
        <w:lang w:val="en-US" w:eastAsia="en-US" w:bidi="ar-SA"/>
      </w:rPr>
    </w:lvl>
    <w:lvl w:ilvl="6">
      <w:start w:val="0"/>
      <w:numFmt w:val="bullet"/>
      <w:lvlText w:val="•"/>
      <w:lvlJc w:val="left"/>
      <w:pPr>
        <w:ind w:left="2717" w:hanging="141"/>
      </w:pPr>
      <w:rPr>
        <w:rFonts w:hint="default"/>
        <w:lang w:val="en-US" w:eastAsia="en-US" w:bidi="ar-SA"/>
      </w:rPr>
    </w:lvl>
    <w:lvl w:ilvl="7">
      <w:start w:val="0"/>
      <w:numFmt w:val="bullet"/>
      <w:lvlText w:val="•"/>
      <w:lvlJc w:val="left"/>
      <w:pPr>
        <w:ind w:left="3010" w:hanging="141"/>
      </w:pPr>
      <w:rPr>
        <w:rFonts w:hint="default"/>
        <w:lang w:val="en-US" w:eastAsia="en-US" w:bidi="ar-SA"/>
      </w:rPr>
    </w:lvl>
    <w:lvl w:ilvl="8">
      <w:start w:val="0"/>
      <w:numFmt w:val="bullet"/>
      <w:lvlText w:val="•"/>
      <w:lvlJc w:val="left"/>
      <w:pPr>
        <w:ind w:left="3303" w:hanging="141"/>
      </w:pPr>
      <w:rPr>
        <w:rFonts w:hint="default"/>
        <w:lang w:val="en-US" w:eastAsia="en-US" w:bidi="ar-SA"/>
      </w:rPr>
    </w:lvl>
  </w:abstractNum>
  <w:abstractNum w:abstractNumId="40">
    <w:multiLevelType w:val="hybridMultilevel"/>
    <w:lvl w:ilvl="0">
      <w:start w:val="0"/>
      <w:numFmt w:val="bullet"/>
      <w:lvlText w:val="-"/>
      <w:lvlJc w:val="left"/>
      <w:pPr>
        <w:ind w:left="997" w:hanging="107"/>
      </w:pPr>
      <w:rPr>
        <w:rFonts w:hint="default" w:ascii="Arial" w:hAnsi="Arial" w:eastAsia="Arial" w:cs="Arial"/>
        <w:b w:val="0"/>
        <w:bCs w:val="0"/>
        <w:i w:val="0"/>
        <w:iCs w:val="0"/>
        <w:color w:val="105C84"/>
        <w:spacing w:val="0"/>
        <w:w w:val="99"/>
        <w:sz w:val="18"/>
        <w:szCs w:val="18"/>
        <w:lang w:val="en-US" w:eastAsia="en-US" w:bidi="ar-SA"/>
      </w:rPr>
    </w:lvl>
    <w:lvl w:ilvl="1">
      <w:start w:val="0"/>
      <w:numFmt w:val="bullet"/>
      <w:lvlText w:val="•"/>
      <w:lvlJc w:val="left"/>
      <w:pPr>
        <w:ind w:left="1294" w:hanging="107"/>
      </w:pPr>
      <w:rPr>
        <w:rFonts w:hint="default"/>
        <w:lang w:val="en-US" w:eastAsia="en-US" w:bidi="ar-SA"/>
      </w:rPr>
    </w:lvl>
    <w:lvl w:ilvl="2">
      <w:start w:val="0"/>
      <w:numFmt w:val="bullet"/>
      <w:lvlText w:val="•"/>
      <w:lvlJc w:val="left"/>
      <w:pPr>
        <w:ind w:left="1589" w:hanging="107"/>
      </w:pPr>
      <w:rPr>
        <w:rFonts w:hint="default"/>
        <w:lang w:val="en-US" w:eastAsia="en-US" w:bidi="ar-SA"/>
      </w:rPr>
    </w:lvl>
    <w:lvl w:ilvl="3">
      <w:start w:val="0"/>
      <w:numFmt w:val="bullet"/>
      <w:lvlText w:val="•"/>
      <w:lvlJc w:val="left"/>
      <w:pPr>
        <w:ind w:left="1883" w:hanging="107"/>
      </w:pPr>
      <w:rPr>
        <w:rFonts w:hint="default"/>
        <w:lang w:val="en-US" w:eastAsia="en-US" w:bidi="ar-SA"/>
      </w:rPr>
    </w:lvl>
    <w:lvl w:ilvl="4">
      <w:start w:val="0"/>
      <w:numFmt w:val="bullet"/>
      <w:lvlText w:val="•"/>
      <w:lvlJc w:val="left"/>
      <w:pPr>
        <w:ind w:left="2178" w:hanging="107"/>
      </w:pPr>
      <w:rPr>
        <w:rFonts w:hint="default"/>
        <w:lang w:val="en-US" w:eastAsia="en-US" w:bidi="ar-SA"/>
      </w:rPr>
    </w:lvl>
    <w:lvl w:ilvl="5">
      <w:start w:val="0"/>
      <w:numFmt w:val="bullet"/>
      <w:lvlText w:val="•"/>
      <w:lvlJc w:val="left"/>
      <w:pPr>
        <w:ind w:left="2473" w:hanging="107"/>
      </w:pPr>
      <w:rPr>
        <w:rFonts w:hint="default"/>
        <w:lang w:val="en-US" w:eastAsia="en-US" w:bidi="ar-SA"/>
      </w:rPr>
    </w:lvl>
    <w:lvl w:ilvl="6">
      <w:start w:val="0"/>
      <w:numFmt w:val="bullet"/>
      <w:lvlText w:val="•"/>
      <w:lvlJc w:val="left"/>
      <w:pPr>
        <w:ind w:left="2767" w:hanging="107"/>
      </w:pPr>
      <w:rPr>
        <w:rFonts w:hint="default"/>
        <w:lang w:val="en-US" w:eastAsia="en-US" w:bidi="ar-SA"/>
      </w:rPr>
    </w:lvl>
    <w:lvl w:ilvl="7">
      <w:start w:val="0"/>
      <w:numFmt w:val="bullet"/>
      <w:lvlText w:val="•"/>
      <w:lvlJc w:val="left"/>
      <w:pPr>
        <w:ind w:left="3062" w:hanging="107"/>
      </w:pPr>
      <w:rPr>
        <w:rFonts w:hint="default"/>
        <w:lang w:val="en-US" w:eastAsia="en-US" w:bidi="ar-SA"/>
      </w:rPr>
    </w:lvl>
    <w:lvl w:ilvl="8">
      <w:start w:val="0"/>
      <w:numFmt w:val="bullet"/>
      <w:lvlText w:val="•"/>
      <w:lvlJc w:val="left"/>
      <w:pPr>
        <w:ind w:left="3356" w:hanging="107"/>
      </w:pPr>
      <w:rPr>
        <w:rFonts w:hint="default"/>
        <w:lang w:val="en-US" w:eastAsia="en-US" w:bidi="ar-SA"/>
      </w:rPr>
    </w:lvl>
  </w:abstractNum>
  <w:abstractNum w:abstractNumId="39">
    <w:multiLevelType w:val="hybridMultilevel"/>
    <w:lvl w:ilvl="0">
      <w:start w:val="1"/>
      <w:numFmt w:val="decimal"/>
      <w:lvlText w:val="%1)"/>
      <w:lvlJc w:val="left"/>
      <w:pPr>
        <w:ind w:left="276" w:hanging="188"/>
        <w:jc w:val="left"/>
      </w:pPr>
      <w:rPr>
        <w:rFonts w:hint="default"/>
        <w:spacing w:val="0"/>
        <w:w w:val="87"/>
        <w:lang w:val="en-US" w:eastAsia="en-US" w:bidi="ar-SA"/>
      </w:rPr>
    </w:lvl>
    <w:lvl w:ilvl="1">
      <w:start w:val="0"/>
      <w:numFmt w:val="bullet"/>
      <w:lvlText w:val="•"/>
      <w:lvlJc w:val="left"/>
      <w:pPr>
        <w:ind w:left="1076" w:hanging="188"/>
      </w:pPr>
      <w:rPr>
        <w:rFonts w:hint="default"/>
        <w:lang w:val="en-US" w:eastAsia="en-US" w:bidi="ar-SA"/>
      </w:rPr>
    </w:lvl>
    <w:lvl w:ilvl="2">
      <w:start w:val="0"/>
      <w:numFmt w:val="bullet"/>
      <w:lvlText w:val="•"/>
      <w:lvlJc w:val="left"/>
      <w:pPr>
        <w:ind w:left="1872" w:hanging="188"/>
      </w:pPr>
      <w:rPr>
        <w:rFonts w:hint="default"/>
        <w:lang w:val="en-US" w:eastAsia="en-US" w:bidi="ar-SA"/>
      </w:rPr>
    </w:lvl>
    <w:lvl w:ilvl="3">
      <w:start w:val="0"/>
      <w:numFmt w:val="bullet"/>
      <w:lvlText w:val="•"/>
      <w:lvlJc w:val="left"/>
      <w:pPr>
        <w:ind w:left="2668" w:hanging="188"/>
      </w:pPr>
      <w:rPr>
        <w:rFonts w:hint="default"/>
        <w:lang w:val="en-US" w:eastAsia="en-US" w:bidi="ar-SA"/>
      </w:rPr>
    </w:lvl>
    <w:lvl w:ilvl="4">
      <w:start w:val="0"/>
      <w:numFmt w:val="bullet"/>
      <w:lvlText w:val="•"/>
      <w:lvlJc w:val="left"/>
      <w:pPr>
        <w:ind w:left="3464" w:hanging="188"/>
      </w:pPr>
      <w:rPr>
        <w:rFonts w:hint="default"/>
        <w:lang w:val="en-US" w:eastAsia="en-US" w:bidi="ar-SA"/>
      </w:rPr>
    </w:lvl>
    <w:lvl w:ilvl="5">
      <w:start w:val="0"/>
      <w:numFmt w:val="bullet"/>
      <w:lvlText w:val="•"/>
      <w:lvlJc w:val="left"/>
      <w:pPr>
        <w:ind w:left="4260" w:hanging="188"/>
      </w:pPr>
      <w:rPr>
        <w:rFonts w:hint="default"/>
        <w:lang w:val="en-US" w:eastAsia="en-US" w:bidi="ar-SA"/>
      </w:rPr>
    </w:lvl>
    <w:lvl w:ilvl="6">
      <w:start w:val="0"/>
      <w:numFmt w:val="bullet"/>
      <w:lvlText w:val="•"/>
      <w:lvlJc w:val="left"/>
      <w:pPr>
        <w:ind w:left="5056" w:hanging="188"/>
      </w:pPr>
      <w:rPr>
        <w:rFonts w:hint="default"/>
        <w:lang w:val="en-US" w:eastAsia="en-US" w:bidi="ar-SA"/>
      </w:rPr>
    </w:lvl>
    <w:lvl w:ilvl="7">
      <w:start w:val="0"/>
      <w:numFmt w:val="bullet"/>
      <w:lvlText w:val="•"/>
      <w:lvlJc w:val="left"/>
      <w:pPr>
        <w:ind w:left="5852" w:hanging="188"/>
      </w:pPr>
      <w:rPr>
        <w:rFonts w:hint="default"/>
        <w:lang w:val="en-US" w:eastAsia="en-US" w:bidi="ar-SA"/>
      </w:rPr>
    </w:lvl>
    <w:lvl w:ilvl="8">
      <w:start w:val="0"/>
      <w:numFmt w:val="bullet"/>
      <w:lvlText w:val="•"/>
      <w:lvlJc w:val="left"/>
      <w:pPr>
        <w:ind w:left="6648" w:hanging="188"/>
      </w:pPr>
      <w:rPr>
        <w:rFonts w:hint="default"/>
        <w:lang w:val="en-US" w:eastAsia="en-US" w:bidi="ar-SA"/>
      </w:rPr>
    </w:lvl>
  </w:abstractNum>
  <w:abstractNum w:abstractNumId="38">
    <w:multiLevelType w:val="hybridMultilevel"/>
    <w:lvl w:ilvl="0">
      <w:start w:val="1"/>
      <w:numFmt w:val="decimal"/>
      <w:lvlText w:val="%1)"/>
      <w:lvlJc w:val="left"/>
      <w:pPr>
        <w:ind w:left="276" w:hanging="188"/>
        <w:jc w:val="left"/>
      </w:pPr>
      <w:rPr>
        <w:rFonts w:hint="default"/>
        <w:spacing w:val="0"/>
        <w:w w:val="87"/>
        <w:lang w:val="en-US" w:eastAsia="en-US" w:bidi="ar-SA"/>
      </w:rPr>
    </w:lvl>
    <w:lvl w:ilvl="1">
      <w:start w:val="0"/>
      <w:numFmt w:val="bullet"/>
      <w:lvlText w:val="•"/>
      <w:lvlJc w:val="left"/>
      <w:pPr>
        <w:ind w:left="1076" w:hanging="188"/>
      </w:pPr>
      <w:rPr>
        <w:rFonts w:hint="default"/>
        <w:lang w:val="en-US" w:eastAsia="en-US" w:bidi="ar-SA"/>
      </w:rPr>
    </w:lvl>
    <w:lvl w:ilvl="2">
      <w:start w:val="0"/>
      <w:numFmt w:val="bullet"/>
      <w:lvlText w:val="•"/>
      <w:lvlJc w:val="left"/>
      <w:pPr>
        <w:ind w:left="1872" w:hanging="188"/>
      </w:pPr>
      <w:rPr>
        <w:rFonts w:hint="default"/>
        <w:lang w:val="en-US" w:eastAsia="en-US" w:bidi="ar-SA"/>
      </w:rPr>
    </w:lvl>
    <w:lvl w:ilvl="3">
      <w:start w:val="0"/>
      <w:numFmt w:val="bullet"/>
      <w:lvlText w:val="•"/>
      <w:lvlJc w:val="left"/>
      <w:pPr>
        <w:ind w:left="2668" w:hanging="188"/>
      </w:pPr>
      <w:rPr>
        <w:rFonts w:hint="default"/>
        <w:lang w:val="en-US" w:eastAsia="en-US" w:bidi="ar-SA"/>
      </w:rPr>
    </w:lvl>
    <w:lvl w:ilvl="4">
      <w:start w:val="0"/>
      <w:numFmt w:val="bullet"/>
      <w:lvlText w:val="•"/>
      <w:lvlJc w:val="left"/>
      <w:pPr>
        <w:ind w:left="3464" w:hanging="188"/>
      </w:pPr>
      <w:rPr>
        <w:rFonts w:hint="default"/>
        <w:lang w:val="en-US" w:eastAsia="en-US" w:bidi="ar-SA"/>
      </w:rPr>
    </w:lvl>
    <w:lvl w:ilvl="5">
      <w:start w:val="0"/>
      <w:numFmt w:val="bullet"/>
      <w:lvlText w:val="•"/>
      <w:lvlJc w:val="left"/>
      <w:pPr>
        <w:ind w:left="4260" w:hanging="188"/>
      </w:pPr>
      <w:rPr>
        <w:rFonts w:hint="default"/>
        <w:lang w:val="en-US" w:eastAsia="en-US" w:bidi="ar-SA"/>
      </w:rPr>
    </w:lvl>
    <w:lvl w:ilvl="6">
      <w:start w:val="0"/>
      <w:numFmt w:val="bullet"/>
      <w:lvlText w:val="•"/>
      <w:lvlJc w:val="left"/>
      <w:pPr>
        <w:ind w:left="5056" w:hanging="188"/>
      </w:pPr>
      <w:rPr>
        <w:rFonts w:hint="default"/>
        <w:lang w:val="en-US" w:eastAsia="en-US" w:bidi="ar-SA"/>
      </w:rPr>
    </w:lvl>
    <w:lvl w:ilvl="7">
      <w:start w:val="0"/>
      <w:numFmt w:val="bullet"/>
      <w:lvlText w:val="•"/>
      <w:lvlJc w:val="left"/>
      <w:pPr>
        <w:ind w:left="5852" w:hanging="188"/>
      </w:pPr>
      <w:rPr>
        <w:rFonts w:hint="default"/>
        <w:lang w:val="en-US" w:eastAsia="en-US" w:bidi="ar-SA"/>
      </w:rPr>
    </w:lvl>
    <w:lvl w:ilvl="8">
      <w:start w:val="0"/>
      <w:numFmt w:val="bullet"/>
      <w:lvlText w:val="•"/>
      <w:lvlJc w:val="left"/>
      <w:pPr>
        <w:ind w:left="6648" w:hanging="188"/>
      </w:pPr>
      <w:rPr>
        <w:rFonts w:hint="default"/>
        <w:lang w:val="en-US" w:eastAsia="en-US" w:bidi="ar-SA"/>
      </w:rPr>
    </w:lvl>
  </w:abstractNum>
  <w:abstractNum w:abstractNumId="36">
    <w:multiLevelType w:val="hybridMultilevel"/>
    <w:lvl w:ilvl="0">
      <w:start w:val="1"/>
      <w:numFmt w:val="decimal"/>
      <w:lvlText w:val="%1-"/>
      <w:lvlJc w:val="left"/>
      <w:pPr>
        <w:ind w:left="120" w:hanging="121"/>
        <w:jc w:val="left"/>
      </w:pPr>
      <w:rPr>
        <w:rFonts w:hint="default" w:ascii="Arial" w:hAnsi="Arial" w:eastAsia="Arial" w:cs="Arial"/>
        <w:b w:val="0"/>
        <w:bCs w:val="0"/>
        <w:i w:val="0"/>
        <w:iCs w:val="0"/>
        <w:color w:val="105B83"/>
        <w:spacing w:val="0"/>
        <w:w w:val="92"/>
        <w:sz w:val="12"/>
        <w:szCs w:val="12"/>
        <w:lang w:val="en-US" w:eastAsia="en-US" w:bidi="ar-SA"/>
      </w:rPr>
    </w:lvl>
    <w:lvl w:ilvl="1">
      <w:start w:val="0"/>
      <w:numFmt w:val="bullet"/>
      <w:lvlText w:val="•"/>
      <w:lvlJc w:val="left"/>
      <w:pPr>
        <w:ind w:left="226" w:hanging="121"/>
      </w:pPr>
      <w:rPr>
        <w:rFonts w:hint="default"/>
        <w:lang w:val="en-US" w:eastAsia="en-US" w:bidi="ar-SA"/>
      </w:rPr>
    </w:lvl>
    <w:lvl w:ilvl="2">
      <w:start w:val="0"/>
      <w:numFmt w:val="bullet"/>
      <w:lvlText w:val="•"/>
      <w:lvlJc w:val="left"/>
      <w:pPr>
        <w:ind w:left="332" w:hanging="121"/>
      </w:pPr>
      <w:rPr>
        <w:rFonts w:hint="default"/>
        <w:lang w:val="en-US" w:eastAsia="en-US" w:bidi="ar-SA"/>
      </w:rPr>
    </w:lvl>
    <w:lvl w:ilvl="3">
      <w:start w:val="0"/>
      <w:numFmt w:val="bullet"/>
      <w:lvlText w:val="•"/>
      <w:lvlJc w:val="left"/>
      <w:pPr>
        <w:ind w:left="439" w:hanging="121"/>
      </w:pPr>
      <w:rPr>
        <w:rFonts w:hint="default"/>
        <w:lang w:val="en-US" w:eastAsia="en-US" w:bidi="ar-SA"/>
      </w:rPr>
    </w:lvl>
    <w:lvl w:ilvl="4">
      <w:start w:val="0"/>
      <w:numFmt w:val="bullet"/>
      <w:lvlText w:val="•"/>
      <w:lvlJc w:val="left"/>
      <w:pPr>
        <w:ind w:left="545" w:hanging="121"/>
      </w:pPr>
      <w:rPr>
        <w:rFonts w:hint="default"/>
        <w:lang w:val="en-US" w:eastAsia="en-US" w:bidi="ar-SA"/>
      </w:rPr>
    </w:lvl>
    <w:lvl w:ilvl="5">
      <w:start w:val="0"/>
      <w:numFmt w:val="bullet"/>
      <w:lvlText w:val="•"/>
      <w:lvlJc w:val="left"/>
      <w:pPr>
        <w:ind w:left="652" w:hanging="121"/>
      </w:pPr>
      <w:rPr>
        <w:rFonts w:hint="default"/>
        <w:lang w:val="en-US" w:eastAsia="en-US" w:bidi="ar-SA"/>
      </w:rPr>
    </w:lvl>
    <w:lvl w:ilvl="6">
      <w:start w:val="0"/>
      <w:numFmt w:val="bullet"/>
      <w:lvlText w:val="•"/>
      <w:lvlJc w:val="left"/>
      <w:pPr>
        <w:ind w:left="758" w:hanging="121"/>
      </w:pPr>
      <w:rPr>
        <w:rFonts w:hint="default"/>
        <w:lang w:val="en-US" w:eastAsia="en-US" w:bidi="ar-SA"/>
      </w:rPr>
    </w:lvl>
    <w:lvl w:ilvl="7">
      <w:start w:val="0"/>
      <w:numFmt w:val="bullet"/>
      <w:lvlText w:val="•"/>
      <w:lvlJc w:val="left"/>
      <w:pPr>
        <w:ind w:left="865" w:hanging="121"/>
      </w:pPr>
      <w:rPr>
        <w:rFonts w:hint="default"/>
        <w:lang w:val="en-US" w:eastAsia="en-US" w:bidi="ar-SA"/>
      </w:rPr>
    </w:lvl>
    <w:lvl w:ilvl="8">
      <w:start w:val="0"/>
      <w:numFmt w:val="bullet"/>
      <w:lvlText w:val="•"/>
      <w:lvlJc w:val="left"/>
      <w:pPr>
        <w:ind w:left="971" w:hanging="121"/>
      </w:pPr>
      <w:rPr>
        <w:rFonts w:hint="default"/>
        <w:lang w:val="en-US" w:eastAsia="en-US" w:bidi="ar-SA"/>
      </w:rPr>
    </w:lvl>
  </w:abstractNum>
  <w:abstractNum w:abstractNumId="37">
    <w:multiLevelType w:val="hybridMultilevel"/>
    <w:lvl w:ilvl="0">
      <w:start w:val="49"/>
      <w:numFmt w:val="decimal"/>
      <w:lvlText w:val="%1."/>
      <w:lvlJc w:val="left"/>
      <w:pPr>
        <w:ind w:left="218" w:hanging="219"/>
        <w:jc w:val="left"/>
      </w:pPr>
      <w:rPr>
        <w:rFonts w:hint="default" w:ascii="Arial" w:hAnsi="Arial" w:eastAsia="Arial" w:cs="Arial"/>
        <w:b w:val="0"/>
        <w:bCs w:val="0"/>
        <w:i w:val="0"/>
        <w:iCs w:val="0"/>
        <w:color w:val="636466"/>
        <w:spacing w:val="0"/>
        <w:w w:val="93"/>
        <w:sz w:val="14"/>
        <w:szCs w:val="14"/>
        <w:lang w:val="en-US" w:eastAsia="en-US" w:bidi="ar-SA"/>
      </w:rPr>
    </w:lvl>
    <w:lvl w:ilvl="1">
      <w:start w:val="0"/>
      <w:numFmt w:val="bullet"/>
      <w:lvlText w:val="•"/>
      <w:lvlJc w:val="left"/>
      <w:pPr>
        <w:ind w:left="680" w:hanging="219"/>
      </w:pPr>
      <w:rPr>
        <w:rFonts w:hint="default"/>
        <w:lang w:val="en-US" w:eastAsia="en-US" w:bidi="ar-SA"/>
      </w:rPr>
    </w:lvl>
    <w:lvl w:ilvl="2">
      <w:start w:val="0"/>
      <w:numFmt w:val="bullet"/>
      <w:lvlText w:val="•"/>
      <w:lvlJc w:val="left"/>
      <w:pPr>
        <w:ind w:left="1140" w:hanging="219"/>
      </w:pPr>
      <w:rPr>
        <w:rFonts w:hint="default"/>
        <w:lang w:val="en-US" w:eastAsia="en-US" w:bidi="ar-SA"/>
      </w:rPr>
    </w:lvl>
    <w:lvl w:ilvl="3">
      <w:start w:val="0"/>
      <w:numFmt w:val="bullet"/>
      <w:lvlText w:val="•"/>
      <w:lvlJc w:val="left"/>
      <w:pPr>
        <w:ind w:left="1600" w:hanging="219"/>
      </w:pPr>
      <w:rPr>
        <w:rFonts w:hint="default"/>
        <w:lang w:val="en-US" w:eastAsia="en-US" w:bidi="ar-SA"/>
      </w:rPr>
    </w:lvl>
    <w:lvl w:ilvl="4">
      <w:start w:val="0"/>
      <w:numFmt w:val="bullet"/>
      <w:lvlText w:val="•"/>
      <w:lvlJc w:val="left"/>
      <w:pPr>
        <w:ind w:left="2060" w:hanging="219"/>
      </w:pPr>
      <w:rPr>
        <w:rFonts w:hint="default"/>
        <w:lang w:val="en-US" w:eastAsia="en-US" w:bidi="ar-SA"/>
      </w:rPr>
    </w:lvl>
    <w:lvl w:ilvl="5">
      <w:start w:val="0"/>
      <w:numFmt w:val="bullet"/>
      <w:lvlText w:val="•"/>
      <w:lvlJc w:val="left"/>
      <w:pPr>
        <w:ind w:left="2520" w:hanging="219"/>
      </w:pPr>
      <w:rPr>
        <w:rFonts w:hint="default"/>
        <w:lang w:val="en-US" w:eastAsia="en-US" w:bidi="ar-SA"/>
      </w:rPr>
    </w:lvl>
    <w:lvl w:ilvl="6">
      <w:start w:val="0"/>
      <w:numFmt w:val="bullet"/>
      <w:lvlText w:val="•"/>
      <w:lvlJc w:val="left"/>
      <w:pPr>
        <w:ind w:left="2981" w:hanging="219"/>
      </w:pPr>
      <w:rPr>
        <w:rFonts w:hint="default"/>
        <w:lang w:val="en-US" w:eastAsia="en-US" w:bidi="ar-SA"/>
      </w:rPr>
    </w:lvl>
    <w:lvl w:ilvl="7">
      <w:start w:val="0"/>
      <w:numFmt w:val="bullet"/>
      <w:lvlText w:val="•"/>
      <w:lvlJc w:val="left"/>
      <w:pPr>
        <w:ind w:left="3441" w:hanging="219"/>
      </w:pPr>
      <w:rPr>
        <w:rFonts w:hint="default"/>
        <w:lang w:val="en-US" w:eastAsia="en-US" w:bidi="ar-SA"/>
      </w:rPr>
    </w:lvl>
    <w:lvl w:ilvl="8">
      <w:start w:val="0"/>
      <w:numFmt w:val="bullet"/>
      <w:lvlText w:val="•"/>
      <w:lvlJc w:val="left"/>
      <w:pPr>
        <w:ind w:left="3901" w:hanging="219"/>
      </w:pPr>
      <w:rPr>
        <w:rFonts w:hint="default"/>
        <w:lang w:val="en-US" w:eastAsia="en-US" w:bidi="ar-SA"/>
      </w:rPr>
    </w:lvl>
  </w:abstractNum>
  <w:abstractNum w:abstractNumId="35">
    <w:multiLevelType w:val="hybridMultilevel"/>
    <w:lvl w:ilvl="0">
      <w:start w:val="1"/>
      <w:numFmt w:val="decimal"/>
      <w:lvlText w:val="%1."/>
      <w:lvlJc w:val="left"/>
      <w:pPr>
        <w:ind w:left="1520" w:hanging="241"/>
        <w:jc w:val="left"/>
      </w:pPr>
      <w:rPr>
        <w:rFonts w:hint="default" w:ascii="Arial" w:hAnsi="Arial" w:eastAsia="Arial" w:cs="Arial"/>
        <w:b w:val="0"/>
        <w:bCs w:val="0"/>
        <w:i w:val="0"/>
        <w:iCs w:val="0"/>
        <w:color w:val="105C84"/>
        <w:spacing w:val="0"/>
        <w:w w:val="93"/>
        <w:sz w:val="22"/>
        <w:szCs w:val="22"/>
        <w:lang w:val="en-US" w:eastAsia="en-US" w:bidi="ar-SA"/>
      </w:rPr>
    </w:lvl>
    <w:lvl w:ilvl="1">
      <w:start w:val="0"/>
      <w:numFmt w:val="bullet"/>
      <w:lvlText w:val="•"/>
      <w:lvlJc w:val="left"/>
      <w:pPr>
        <w:ind w:left="2484" w:hanging="241"/>
      </w:pPr>
      <w:rPr>
        <w:rFonts w:hint="default"/>
        <w:lang w:val="en-US" w:eastAsia="en-US" w:bidi="ar-SA"/>
      </w:rPr>
    </w:lvl>
    <w:lvl w:ilvl="2">
      <w:start w:val="0"/>
      <w:numFmt w:val="bullet"/>
      <w:lvlText w:val="•"/>
      <w:lvlJc w:val="left"/>
      <w:pPr>
        <w:ind w:left="3449" w:hanging="241"/>
      </w:pPr>
      <w:rPr>
        <w:rFonts w:hint="default"/>
        <w:lang w:val="en-US" w:eastAsia="en-US" w:bidi="ar-SA"/>
      </w:rPr>
    </w:lvl>
    <w:lvl w:ilvl="3">
      <w:start w:val="0"/>
      <w:numFmt w:val="bullet"/>
      <w:lvlText w:val="•"/>
      <w:lvlJc w:val="left"/>
      <w:pPr>
        <w:ind w:left="4414" w:hanging="241"/>
      </w:pPr>
      <w:rPr>
        <w:rFonts w:hint="default"/>
        <w:lang w:val="en-US" w:eastAsia="en-US" w:bidi="ar-SA"/>
      </w:rPr>
    </w:lvl>
    <w:lvl w:ilvl="4">
      <w:start w:val="0"/>
      <w:numFmt w:val="bullet"/>
      <w:lvlText w:val="•"/>
      <w:lvlJc w:val="left"/>
      <w:pPr>
        <w:ind w:left="5379" w:hanging="241"/>
      </w:pPr>
      <w:rPr>
        <w:rFonts w:hint="default"/>
        <w:lang w:val="en-US" w:eastAsia="en-US" w:bidi="ar-SA"/>
      </w:rPr>
    </w:lvl>
    <w:lvl w:ilvl="5">
      <w:start w:val="0"/>
      <w:numFmt w:val="bullet"/>
      <w:lvlText w:val="•"/>
      <w:lvlJc w:val="left"/>
      <w:pPr>
        <w:ind w:left="6344" w:hanging="241"/>
      </w:pPr>
      <w:rPr>
        <w:rFonts w:hint="default"/>
        <w:lang w:val="en-US" w:eastAsia="en-US" w:bidi="ar-SA"/>
      </w:rPr>
    </w:lvl>
    <w:lvl w:ilvl="6">
      <w:start w:val="0"/>
      <w:numFmt w:val="bullet"/>
      <w:lvlText w:val="•"/>
      <w:lvlJc w:val="left"/>
      <w:pPr>
        <w:ind w:left="7309" w:hanging="241"/>
      </w:pPr>
      <w:rPr>
        <w:rFonts w:hint="default"/>
        <w:lang w:val="en-US" w:eastAsia="en-US" w:bidi="ar-SA"/>
      </w:rPr>
    </w:lvl>
    <w:lvl w:ilvl="7">
      <w:start w:val="0"/>
      <w:numFmt w:val="bullet"/>
      <w:lvlText w:val="•"/>
      <w:lvlJc w:val="left"/>
      <w:pPr>
        <w:ind w:left="8273" w:hanging="241"/>
      </w:pPr>
      <w:rPr>
        <w:rFonts w:hint="default"/>
        <w:lang w:val="en-US" w:eastAsia="en-US" w:bidi="ar-SA"/>
      </w:rPr>
    </w:lvl>
    <w:lvl w:ilvl="8">
      <w:start w:val="0"/>
      <w:numFmt w:val="bullet"/>
      <w:lvlText w:val="•"/>
      <w:lvlJc w:val="left"/>
      <w:pPr>
        <w:ind w:left="9238" w:hanging="241"/>
      </w:pPr>
      <w:rPr>
        <w:rFonts w:hint="default"/>
        <w:lang w:val="en-US" w:eastAsia="en-US" w:bidi="ar-SA"/>
      </w:rPr>
    </w:lvl>
  </w:abstractNum>
  <w:abstractNum w:abstractNumId="34">
    <w:multiLevelType w:val="hybridMultilevel"/>
    <w:lvl w:ilvl="0">
      <w:start w:val="46"/>
      <w:numFmt w:val="decimal"/>
      <w:lvlText w:val="%1."/>
      <w:lvlJc w:val="left"/>
      <w:pPr>
        <w:ind w:left="218" w:hanging="219"/>
        <w:jc w:val="left"/>
      </w:pPr>
      <w:rPr>
        <w:rFonts w:hint="default" w:ascii="Arial" w:hAnsi="Arial" w:eastAsia="Arial" w:cs="Arial"/>
        <w:b w:val="0"/>
        <w:bCs w:val="0"/>
        <w:i w:val="0"/>
        <w:iCs w:val="0"/>
        <w:color w:val="636466"/>
        <w:spacing w:val="0"/>
        <w:w w:val="93"/>
        <w:sz w:val="14"/>
        <w:szCs w:val="14"/>
        <w:lang w:val="en-US" w:eastAsia="en-US" w:bidi="ar-SA"/>
      </w:rPr>
    </w:lvl>
    <w:lvl w:ilvl="1">
      <w:start w:val="0"/>
      <w:numFmt w:val="bullet"/>
      <w:lvlText w:val="•"/>
      <w:lvlJc w:val="left"/>
      <w:pPr>
        <w:ind w:left="496" w:hanging="219"/>
      </w:pPr>
      <w:rPr>
        <w:rFonts w:hint="default"/>
        <w:lang w:val="en-US" w:eastAsia="en-US" w:bidi="ar-SA"/>
      </w:rPr>
    </w:lvl>
    <w:lvl w:ilvl="2">
      <w:start w:val="0"/>
      <w:numFmt w:val="bullet"/>
      <w:lvlText w:val="•"/>
      <w:lvlJc w:val="left"/>
      <w:pPr>
        <w:ind w:left="772" w:hanging="219"/>
      </w:pPr>
      <w:rPr>
        <w:rFonts w:hint="default"/>
        <w:lang w:val="en-US" w:eastAsia="en-US" w:bidi="ar-SA"/>
      </w:rPr>
    </w:lvl>
    <w:lvl w:ilvl="3">
      <w:start w:val="0"/>
      <w:numFmt w:val="bullet"/>
      <w:lvlText w:val="•"/>
      <w:lvlJc w:val="left"/>
      <w:pPr>
        <w:ind w:left="1048" w:hanging="219"/>
      </w:pPr>
      <w:rPr>
        <w:rFonts w:hint="default"/>
        <w:lang w:val="en-US" w:eastAsia="en-US" w:bidi="ar-SA"/>
      </w:rPr>
    </w:lvl>
    <w:lvl w:ilvl="4">
      <w:start w:val="0"/>
      <w:numFmt w:val="bullet"/>
      <w:lvlText w:val="•"/>
      <w:lvlJc w:val="left"/>
      <w:pPr>
        <w:ind w:left="1324" w:hanging="219"/>
      </w:pPr>
      <w:rPr>
        <w:rFonts w:hint="default"/>
        <w:lang w:val="en-US" w:eastAsia="en-US" w:bidi="ar-SA"/>
      </w:rPr>
    </w:lvl>
    <w:lvl w:ilvl="5">
      <w:start w:val="0"/>
      <w:numFmt w:val="bullet"/>
      <w:lvlText w:val="•"/>
      <w:lvlJc w:val="left"/>
      <w:pPr>
        <w:ind w:left="1600" w:hanging="219"/>
      </w:pPr>
      <w:rPr>
        <w:rFonts w:hint="default"/>
        <w:lang w:val="en-US" w:eastAsia="en-US" w:bidi="ar-SA"/>
      </w:rPr>
    </w:lvl>
    <w:lvl w:ilvl="6">
      <w:start w:val="0"/>
      <w:numFmt w:val="bullet"/>
      <w:lvlText w:val="•"/>
      <w:lvlJc w:val="left"/>
      <w:pPr>
        <w:ind w:left="1876" w:hanging="219"/>
      </w:pPr>
      <w:rPr>
        <w:rFonts w:hint="default"/>
        <w:lang w:val="en-US" w:eastAsia="en-US" w:bidi="ar-SA"/>
      </w:rPr>
    </w:lvl>
    <w:lvl w:ilvl="7">
      <w:start w:val="0"/>
      <w:numFmt w:val="bullet"/>
      <w:lvlText w:val="•"/>
      <w:lvlJc w:val="left"/>
      <w:pPr>
        <w:ind w:left="2152" w:hanging="219"/>
      </w:pPr>
      <w:rPr>
        <w:rFonts w:hint="default"/>
        <w:lang w:val="en-US" w:eastAsia="en-US" w:bidi="ar-SA"/>
      </w:rPr>
    </w:lvl>
    <w:lvl w:ilvl="8">
      <w:start w:val="0"/>
      <w:numFmt w:val="bullet"/>
      <w:lvlText w:val="•"/>
      <w:lvlJc w:val="left"/>
      <w:pPr>
        <w:ind w:left="2428" w:hanging="219"/>
      </w:pPr>
      <w:rPr>
        <w:rFonts w:hint="default"/>
        <w:lang w:val="en-US" w:eastAsia="en-US" w:bidi="ar-SA"/>
      </w:rPr>
    </w:lvl>
  </w:abstractNum>
  <w:abstractNum w:abstractNumId="32">
    <w:multiLevelType w:val="hybridMultilevel"/>
    <w:lvl w:ilvl="0">
      <w:start w:val="0"/>
      <w:numFmt w:val="bullet"/>
      <w:lvlText w:val="•"/>
      <w:lvlJc w:val="left"/>
      <w:pPr>
        <w:ind w:left="1505" w:hanging="241"/>
      </w:pPr>
      <w:rPr>
        <w:rFonts w:hint="default" w:ascii="Arial" w:hAnsi="Arial" w:eastAsia="Arial" w:cs="Arial"/>
        <w:b w:val="0"/>
        <w:bCs w:val="0"/>
        <w:i w:val="0"/>
        <w:iCs w:val="0"/>
        <w:color w:val="105C84"/>
        <w:spacing w:val="0"/>
        <w:w w:val="142"/>
        <w:sz w:val="22"/>
        <w:szCs w:val="22"/>
        <w:lang w:val="en-US" w:eastAsia="en-US" w:bidi="ar-SA"/>
      </w:rPr>
    </w:lvl>
    <w:lvl w:ilvl="1">
      <w:start w:val="0"/>
      <w:numFmt w:val="bullet"/>
      <w:lvlText w:val="•"/>
      <w:lvlJc w:val="left"/>
      <w:pPr>
        <w:ind w:left="2500" w:hanging="241"/>
      </w:pPr>
      <w:rPr>
        <w:rFonts w:hint="default"/>
        <w:lang w:val="en-US" w:eastAsia="en-US" w:bidi="ar-SA"/>
      </w:rPr>
    </w:lvl>
    <w:lvl w:ilvl="2">
      <w:start w:val="0"/>
      <w:numFmt w:val="bullet"/>
      <w:lvlText w:val="•"/>
      <w:lvlJc w:val="left"/>
      <w:pPr>
        <w:ind w:left="3501" w:hanging="241"/>
      </w:pPr>
      <w:rPr>
        <w:rFonts w:hint="default"/>
        <w:lang w:val="en-US" w:eastAsia="en-US" w:bidi="ar-SA"/>
      </w:rPr>
    </w:lvl>
    <w:lvl w:ilvl="3">
      <w:start w:val="0"/>
      <w:numFmt w:val="bullet"/>
      <w:lvlText w:val="•"/>
      <w:lvlJc w:val="left"/>
      <w:pPr>
        <w:ind w:left="4501" w:hanging="241"/>
      </w:pPr>
      <w:rPr>
        <w:rFonts w:hint="default"/>
        <w:lang w:val="en-US" w:eastAsia="en-US" w:bidi="ar-SA"/>
      </w:rPr>
    </w:lvl>
    <w:lvl w:ilvl="4">
      <w:start w:val="0"/>
      <w:numFmt w:val="bullet"/>
      <w:lvlText w:val="•"/>
      <w:lvlJc w:val="left"/>
      <w:pPr>
        <w:ind w:left="5502" w:hanging="241"/>
      </w:pPr>
      <w:rPr>
        <w:rFonts w:hint="default"/>
        <w:lang w:val="en-US" w:eastAsia="en-US" w:bidi="ar-SA"/>
      </w:rPr>
    </w:lvl>
    <w:lvl w:ilvl="5">
      <w:start w:val="0"/>
      <w:numFmt w:val="bullet"/>
      <w:lvlText w:val="•"/>
      <w:lvlJc w:val="left"/>
      <w:pPr>
        <w:ind w:left="6502" w:hanging="241"/>
      </w:pPr>
      <w:rPr>
        <w:rFonts w:hint="default"/>
        <w:lang w:val="en-US" w:eastAsia="en-US" w:bidi="ar-SA"/>
      </w:rPr>
    </w:lvl>
    <w:lvl w:ilvl="6">
      <w:start w:val="0"/>
      <w:numFmt w:val="bullet"/>
      <w:lvlText w:val="•"/>
      <w:lvlJc w:val="left"/>
      <w:pPr>
        <w:ind w:left="7503" w:hanging="241"/>
      </w:pPr>
      <w:rPr>
        <w:rFonts w:hint="default"/>
        <w:lang w:val="en-US" w:eastAsia="en-US" w:bidi="ar-SA"/>
      </w:rPr>
    </w:lvl>
    <w:lvl w:ilvl="7">
      <w:start w:val="0"/>
      <w:numFmt w:val="bullet"/>
      <w:lvlText w:val="•"/>
      <w:lvlJc w:val="left"/>
      <w:pPr>
        <w:ind w:left="8503" w:hanging="241"/>
      </w:pPr>
      <w:rPr>
        <w:rFonts w:hint="default"/>
        <w:lang w:val="en-US" w:eastAsia="en-US" w:bidi="ar-SA"/>
      </w:rPr>
    </w:lvl>
    <w:lvl w:ilvl="8">
      <w:start w:val="0"/>
      <w:numFmt w:val="bullet"/>
      <w:lvlText w:val="•"/>
      <w:lvlJc w:val="left"/>
      <w:pPr>
        <w:ind w:left="9504" w:hanging="241"/>
      </w:pPr>
      <w:rPr>
        <w:rFonts w:hint="default"/>
        <w:lang w:val="en-US" w:eastAsia="en-US" w:bidi="ar-SA"/>
      </w:rPr>
    </w:lvl>
  </w:abstractNum>
  <w:abstractNum w:abstractNumId="31">
    <w:multiLevelType w:val="hybridMultilevel"/>
    <w:lvl w:ilvl="0">
      <w:start w:val="43"/>
      <w:numFmt w:val="decimal"/>
      <w:lvlText w:val="%1."/>
      <w:lvlJc w:val="left"/>
      <w:pPr>
        <w:ind w:left="2966" w:hanging="219"/>
        <w:jc w:val="left"/>
      </w:pPr>
      <w:rPr>
        <w:rFonts w:hint="default" w:ascii="Arial" w:hAnsi="Arial" w:eastAsia="Arial" w:cs="Arial"/>
        <w:b w:val="0"/>
        <w:bCs w:val="0"/>
        <w:i w:val="0"/>
        <w:iCs w:val="0"/>
        <w:color w:val="636466"/>
        <w:spacing w:val="0"/>
        <w:w w:val="93"/>
        <w:sz w:val="14"/>
        <w:szCs w:val="14"/>
        <w:lang w:val="en-US" w:eastAsia="en-US" w:bidi="ar-SA"/>
      </w:rPr>
    </w:lvl>
    <w:lvl w:ilvl="1">
      <w:start w:val="0"/>
      <w:numFmt w:val="bullet"/>
      <w:lvlText w:val="•"/>
      <w:lvlJc w:val="left"/>
      <w:pPr>
        <w:ind w:left="3780" w:hanging="219"/>
      </w:pPr>
      <w:rPr>
        <w:rFonts w:hint="default"/>
        <w:lang w:val="en-US" w:eastAsia="en-US" w:bidi="ar-SA"/>
      </w:rPr>
    </w:lvl>
    <w:lvl w:ilvl="2">
      <w:start w:val="0"/>
      <w:numFmt w:val="bullet"/>
      <w:lvlText w:val="•"/>
      <w:lvlJc w:val="left"/>
      <w:pPr>
        <w:ind w:left="4600" w:hanging="219"/>
      </w:pPr>
      <w:rPr>
        <w:rFonts w:hint="default"/>
        <w:lang w:val="en-US" w:eastAsia="en-US" w:bidi="ar-SA"/>
      </w:rPr>
    </w:lvl>
    <w:lvl w:ilvl="3">
      <w:start w:val="0"/>
      <w:numFmt w:val="bullet"/>
      <w:lvlText w:val="•"/>
      <w:lvlJc w:val="left"/>
      <w:pPr>
        <w:ind w:left="5420" w:hanging="219"/>
      </w:pPr>
      <w:rPr>
        <w:rFonts w:hint="default"/>
        <w:lang w:val="en-US" w:eastAsia="en-US" w:bidi="ar-SA"/>
      </w:rPr>
    </w:lvl>
    <w:lvl w:ilvl="4">
      <w:start w:val="0"/>
      <w:numFmt w:val="bullet"/>
      <w:lvlText w:val="•"/>
      <w:lvlJc w:val="left"/>
      <w:pPr>
        <w:ind w:left="6240" w:hanging="219"/>
      </w:pPr>
      <w:rPr>
        <w:rFonts w:hint="default"/>
        <w:lang w:val="en-US" w:eastAsia="en-US" w:bidi="ar-SA"/>
      </w:rPr>
    </w:lvl>
    <w:lvl w:ilvl="5">
      <w:start w:val="0"/>
      <w:numFmt w:val="bullet"/>
      <w:lvlText w:val="•"/>
      <w:lvlJc w:val="left"/>
      <w:pPr>
        <w:ind w:left="7060" w:hanging="219"/>
      </w:pPr>
      <w:rPr>
        <w:rFonts w:hint="default"/>
        <w:lang w:val="en-US" w:eastAsia="en-US" w:bidi="ar-SA"/>
      </w:rPr>
    </w:lvl>
    <w:lvl w:ilvl="6">
      <w:start w:val="0"/>
      <w:numFmt w:val="bullet"/>
      <w:lvlText w:val="•"/>
      <w:lvlJc w:val="left"/>
      <w:pPr>
        <w:ind w:left="7880" w:hanging="219"/>
      </w:pPr>
      <w:rPr>
        <w:rFonts w:hint="default"/>
        <w:lang w:val="en-US" w:eastAsia="en-US" w:bidi="ar-SA"/>
      </w:rPr>
    </w:lvl>
    <w:lvl w:ilvl="7">
      <w:start w:val="0"/>
      <w:numFmt w:val="bullet"/>
      <w:lvlText w:val="•"/>
      <w:lvlJc w:val="left"/>
      <w:pPr>
        <w:ind w:left="8700" w:hanging="219"/>
      </w:pPr>
      <w:rPr>
        <w:rFonts w:hint="default"/>
        <w:lang w:val="en-US" w:eastAsia="en-US" w:bidi="ar-SA"/>
      </w:rPr>
    </w:lvl>
    <w:lvl w:ilvl="8">
      <w:start w:val="0"/>
      <w:numFmt w:val="bullet"/>
      <w:lvlText w:val="•"/>
      <w:lvlJc w:val="left"/>
      <w:pPr>
        <w:ind w:left="9520" w:hanging="219"/>
      </w:pPr>
      <w:rPr>
        <w:rFonts w:hint="default"/>
        <w:lang w:val="en-US" w:eastAsia="en-US" w:bidi="ar-SA"/>
      </w:rPr>
    </w:lvl>
  </w:abstractNum>
  <w:abstractNum w:abstractNumId="30">
    <w:multiLevelType w:val="hybridMultilevel"/>
    <w:lvl w:ilvl="0">
      <w:start w:val="1"/>
      <w:numFmt w:val="decimal"/>
      <w:lvlText w:val="%1."/>
      <w:lvlJc w:val="left"/>
      <w:pPr>
        <w:ind w:left="1520" w:hanging="241"/>
        <w:jc w:val="left"/>
      </w:pPr>
      <w:rPr>
        <w:rFonts w:hint="default" w:ascii="Arial" w:hAnsi="Arial" w:eastAsia="Arial" w:cs="Arial"/>
        <w:b w:val="0"/>
        <w:bCs w:val="0"/>
        <w:i w:val="0"/>
        <w:iCs w:val="0"/>
        <w:color w:val="105C84"/>
        <w:spacing w:val="0"/>
        <w:w w:val="93"/>
        <w:sz w:val="22"/>
        <w:szCs w:val="22"/>
        <w:lang w:val="en-US" w:eastAsia="en-US" w:bidi="ar-SA"/>
      </w:rPr>
    </w:lvl>
    <w:lvl w:ilvl="1">
      <w:start w:val="0"/>
      <w:numFmt w:val="bullet"/>
      <w:lvlText w:val="•"/>
      <w:lvlJc w:val="left"/>
      <w:pPr>
        <w:ind w:left="2484" w:hanging="241"/>
      </w:pPr>
      <w:rPr>
        <w:rFonts w:hint="default"/>
        <w:lang w:val="en-US" w:eastAsia="en-US" w:bidi="ar-SA"/>
      </w:rPr>
    </w:lvl>
    <w:lvl w:ilvl="2">
      <w:start w:val="0"/>
      <w:numFmt w:val="bullet"/>
      <w:lvlText w:val="•"/>
      <w:lvlJc w:val="left"/>
      <w:pPr>
        <w:ind w:left="3449" w:hanging="241"/>
      </w:pPr>
      <w:rPr>
        <w:rFonts w:hint="default"/>
        <w:lang w:val="en-US" w:eastAsia="en-US" w:bidi="ar-SA"/>
      </w:rPr>
    </w:lvl>
    <w:lvl w:ilvl="3">
      <w:start w:val="0"/>
      <w:numFmt w:val="bullet"/>
      <w:lvlText w:val="•"/>
      <w:lvlJc w:val="left"/>
      <w:pPr>
        <w:ind w:left="4414" w:hanging="241"/>
      </w:pPr>
      <w:rPr>
        <w:rFonts w:hint="default"/>
        <w:lang w:val="en-US" w:eastAsia="en-US" w:bidi="ar-SA"/>
      </w:rPr>
    </w:lvl>
    <w:lvl w:ilvl="4">
      <w:start w:val="0"/>
      <w:numFmt w:val="bullet"/>
      <w:lvlText w:val="•"/>
      <w:lvlJc w:val="left"/>
      <w:pPr>
        <w:ind w:left="5379" w:hanging="241"/>
      </w:pPr>
      <w:rPr>
        <w:rFonts w:hint="default"/>
        <w:lang w:val="en-US" w:eastAsia="en-US" w:bidi="ar-SA"/>
      </w:rPr>
    </w:lvl>
    <w:lvl w:ilvl="5">
      <w:start w:val="0"/>
      <w:numFmt w:val="bullet"/>
      <w:lvlText w:val="•"/>
      <w:lvlJc w:val="left"/>
      <w:pPr>
        <w:ind w:left="6344" w:hanging="241"/>
      </w:pPr>
      <w:rPr>
        <w:rFonts w:hint="default"/>
        <w:lang w:val="en-US" w:eastAsia="en-US" w:bidi="ar-SA"/>
      </w:rPr>
    </w:lvl>
    <w:lvl w:ilvl="6">
      <w:start w:val="0"/>
      <w:numFmt w:val="bullet"/>
      <w:lvlText w:val="•"/>
      <w:lvlJc w:val="left"/>
      <w:pPr>
        <w:ind w:left="7309" w:hanging="241"/>
      </w:pPr>
      <w:rPr>
        <w:rFonts w:hint="default"/>
        <w:lang w:val="en-US" w:eastAsia="en-US" w:bidi="ar-SA"/>
      </w:rPr>
    </w:lvl>
    <w:lvl w:ilvl="7">
      <w:start w:val="0"/>
      <w:numFmt w:val="bullet"/>
      <w:lvlText w:val="•"/>
      <w:lvlJc w:val="left"/>
      <w:pPr>
        <w:ind w:left="8273" w:hanging="241"/>
      </w:pPr>
      <w:rPr>
        <w:rFonts w:hint="default"/>
        <w:lang w:val="en-US" w:eastAsia="en-US" w:bidi="ar-SA"/>
      </w:rPr>
    </w:lvl>
    <w:lvl w:ilvl="8">
      <w:start w:val="0"/>
      <w:numFmt w:val="bullet"/>
      <w:lvlText w:val="•"/>
      <w:lvlJc w:val="left"/>
      <w:pPr>
        <w:ind w:left="9238" w:hanging="241"/>
      </w:pPr>
      <w:rPr>
        <w:rFonts w:hint="default"/>
        <w:lang w:val="en-US" w:eastAsia="en-US" w:bidi="ar-SA"/>
      </w:rPr>
    </w:lvl>
  </w:abstractNum>
  <w:abstractNum w:abstractNumId="29">
    <w:multiLevelType w:val="hybridMultilevel"/>
    <w:lvl w:ilvl="0">
      <w:start w:val="0"/>
      <w:numFmt w:val="bullet"/>
      <w:lvlText w:val="•"/>
      <w:lvlJc w:val="left"/>
      <w:pPr>
        <w:ind w:left="1520" w:hanging="241"/>
      </w:pPr>
      <w:rPr>
        <w:rFonts w:hint="default" w:ascii="Arial" w:hAnsi="Arial" w:eastAsia="Arial" w:cs="Arial"/>
        <w:b w:val="0"/>
        <w:bCs w:val="0"/>
        <w:i w:val="0"/>
        <w:iCs w:val="0"/>
        <w:color w:val="105C84"/>
        <w:spacing w:val="0"/>
        <w:w w:val="142"/>
        <w:sz w:val="22"/>
        <w:szCs w:val="22"/>
        <w:lang w:val="en-US" w:eastAsia="en-US" w:bidi="ar-SA"/>
      </w:rPr>
    </w:lvl>
    <w:lvl w:ilvl="1">
      <w:start w:val="0"/>
      <w:numFmt w:val="bullet"/>
      <w:lvlText w:val="•"/>
      <w:lvlJc w:val="left"/>
      <w:pPr>
        <w:ind w:left="2520" w:hanging="241"/>
      </w:pPr>
      <w:rPr>
        <w:rFonts w:hint="default"/>
        <w:lang w:val="en-US" w:eastAsia="en-US" w:bidi="ar-SA"/>
      </w:rPr>
    </w:lvl>
    <w:lvl w:ilvl="2">
      <w:start w:val="0"/>
      <w:numFmt w:val="bullet"/>
      <w:lvlText w:val="•"/>
      <w:lvlJc w:val="left"/>
      <w:pPr>
        <w:ind w:left="3520" w:hanging="241"/>
      </w:pPr>
      <w:rPr>
        <w:rFonts w:hint="default"/>
        <w:lang w:val="en-US" w:eastAsia="en-US" w:bidi="ar-SA"/>
      </w:rPr>
    </w:lvl>
    <w:lvl w:ilvl="3">
      <w:start w:val="0"/>
      <w:numFmt w:val="bullet"/>
      <w:lvlText w:val="•"/>
      <w:lvlJc w:val="left"/>
      <w:pPr>
        <w:ind w:left="4520" w:hanging="241"/>
      </w:pPr>
      <w:rPr>
        <w:rFonts w:hint="default"/>
        <w:lang w:val="en-US" w:eastAsia="en-US" w:bidi="ar-SA"/>
      </w:rPr>
    </w:lvl>
    <w:lvl w:ilvl="4">
      <w:start w:val="0"/>
      <w:numFmt w:val="bullet"/>
      <w:lvlText w:val="•"/>
      <w:lvlJc w:val="left"/>
      <w:pPr>
        <w:ind w:left="5520" w:hanging="241"/>
      </w:pPr>
      <w:rPr>
        <w:rFonts w:hint="default"/>
        <w:lang w:val="en-US" w:eastAsia="en-US" w:bidi="ar-SA"/>
      </w:rPr>
    </w:lvl>
    <w:lvl w:ilvl="5">
      <w:start w:val="0"/>
      <w:numFmt w:val="bullet"/>
      <w:lvlText w:val="•"/>
      <w:lvlJc w:val="left"/>
      <w:pPr>
        <w:ind w:left="6520" w:hanging="241"/>
      </w:pPr>
      <w:rPr>
        <w:rFonts w:hint="default"/>
        <w:lang w:val="en-US" w:eastAsia="en-US" w:bidi="ar-SA"/>
      </w:rPr>
    </w:lvl>
    <w:lvl w:ilvl="6">
      <w:start w:val="0"/>
      <w:numFmt w:val="bullet"/>
      <w:lvlText w:val="•"/>
      <w:lvlJc w:val="left"/>
      <w:pPr>
        <w:ind w:left="7520" w:hanging="241"/>
      </w:pPr>
      <w:rPr>
        <w:rFonts w:hint="default"/>
        <w:lang w:val="en-US" w:eastAsia="en-US" w:bidi="ar-SA"/>
      </w:rPr>
    </w:lvl>
    <w:lvl w:ilvl="7">
      <w:start w:val="0"/>
      <w:numFmt w:val="bullet"/>
      <w:lvlText w:val="•"/>
      <w:lvlJc w:val="left"/>
      <w:pPr>
        <w:ind w:left="8520" w:hanging="241"/>
      </w:pPr>
      <w:rPr>
        <w:rFonts w:hint="default"/>
        <w:lang w:val="en-US" w:eastAsia="en-US" w:bidi="ar-SA"/>
      </w:rPr>
    </w:lvl>
    <w:lvl w:ilvl="8">
      <w:start w:val="0"/>
      <w:numFmt w:val="bullet"/>
      <w:lvlText w:val="•"/>
      <w:lvlJc w:val="left"/>
      <w:pPr>
        <w:ind w:left="9520" w:hanging="241"/>
      </w:pPr>
      <w:rPr>
        <w:rFonts w:hint="default"/>
        <w:lang w:val="en-US" w:eastAsia="en-US" w:bidi="ar-SA"/>
      </w:rPr>
    </w:lvl>
  </w:abstractNum>
  <w:abstractNum w:abstractNumId="28">
    <w:multiLevelType w:val="hybridMultilevel"/>
    <w:lvl w:ilvl="0">
      <w:start w:val="1"/>
      <w:numFmt w:val="decimal"/>
      <w:lvlText w:val="%1-"/>
      <w:lvlJc w:val="left"/>
      <w:pPr>
        <w:ind w:left="120" w:hanging="121"/>
        <w:jc w:val="left"/>
      </w:pPr>
      <w:rPr>
        <w:rFonts w:hint="default" w:ascii="Arial" w:hAnsi="Arial" w:eastAsia="Arial" w:cs="Arial"/>
        <w:b w:val="0"/>
        <w:bCs w:val="0"/>
        <w:i w:val="0"/>
        <w:iCs w:val="0"/>
        <w:color w:val="105B83"/>
        <w:spacing w:val="0"/>
        <w:w w:val="92"/>
        <w:sz w:val="12"/>
        <w:szCs w:val="12"/>
        <w:lang w:val="en-US" w:eastAsia="en-US" w:bidi="ar-SA"/>
      </w:rPr>
    </w:lvl>
    <w:lvl w:ilvl="1">
      <w:start w:val="0"/>
      <w:numFmt w:val="bullet"/>
      <w:lvlText w:val="•"/>
      <w:lvlJc w:val="left"/>
      <w:pPr>
        <w:ind w:left="226" w:hanging="121"/>
      </w:pPr>
      <w:rPr>
        <w:rFonts w:hint="default"/>
        <w:lang w:val="en-US" w:eastAsia="en-US" w:bidi="ar-SA"/>
      </w:rPr>
    </w:lvl>
    <w:lvl w:ilvl="2">
      <w:start w:val="0"/>
      <w:numFmt w:val="bullet"/>
      <w:lvlText w:val="•"/>
      <w:lvlJc w:val="left"/>
      <w:pPr>
        <w:ind w:left="332" w:hanging="121"/>
      </w:pPr>
      <w:rPr>
        <w:rFonts w:hint="default"/>
        <w:lang w:val="en-US" w:eastAsia="en-US" w:bidi="ar-SA"/>
      </w:rPr>
    </w:lvl>
    <w:lvl w:ilvl="3">
      <w:start w:val="0"/>
      <w:numFmt w:val="bullet"/>
      <w:lvlText w:val="•"/>
      <w:lvlJc w:val="left"/>
      <w:pPr>
        <w:ind w:left="439" w:hanging="121"/>
      </w:pPr>
      <w:rPr>
        <w:rFonts w:hint="default"/>
        <w:lang w:val="en-US" w:eastAsia="en-US" w:bidi="ar-SA"/>
      </w:rPr>
    </w:lvl>
    <w:lvl w:ilvl="4">
      <w:start w:val="0"/>
      <w:numFmt w:val="bullet"/>
      <w:lvlText w:val="•"/>
      <w:lvlJc w:val="left"/>
      <w:pPr>
        <w:ind w:left="545" w:hanging="121"/>
      </w:pPr>
      <w:rPr>
        <w:rFonts w:hint="default"/>
        <w:lang w:val="en-US" w:eastAsia="en-US" w:bidi="ar-SA"/>
      </w:rPr>
    </w:lvl>
    <w:lvl w:ilvl="5">
      <w:start w:val="0"/>
      <w:numFmt w:val="bullet"/>
      <w:lvlText w:val="•"/>
      <w:lvlJc w:val="left"/>
      <w:pPr>
        <w:ind w:left="652" w:hanging="121"/>
      </w:pPr>
      <w:rPr>
        <w:rFonts w:hint="default"/>
        <w:lang w:val="en-US" w:eastAsia="en-US" w:bidi="ar-SA"/>
      </w:rPr>
    </w:lvl>
    <w:lvl w:ilvl="6">
      <w:start w:val="0"/>
      <w:numFmt w:val="bullet"/>
      <w:lvlText w:val="•"/>
      <w:lvlJc w:val="left"/>
      <w:pPr>
        <w:ind w:left="758" w:hanging="121"/>
      </w:pPr>
      <w:rPr>
        <w:rFonts w:hint="default"/>
        <w:lang w:val="en-US" w:eastAsia="en-US" w:bidi="ar-SA"/>
      </w:rPr>
    </w:lvl>
    <w:lvl w:ilvl="7">
      <w:start w:val="0"/>
      <w:numFmt w:val="bullet"/>
      <w:lvlText w:val="•"/>
      <w:lvlJc w:val="left"/>
      <w:pPr>
        <w:ind w:left="865" w:hanging="121"/>
      </w:pPr>
      <w:rPr>
        <w:rFonts w:hint="default"/>
        <w:lang w:val="en-US" w:eastAsia="en-US" w:bidi="ar-SA"/>
      </w:rPr>
    </w:lvl>
    <w:lvl w:ilvl="8">
      <w:start w:val="0"/>
      <w:numFmt w:val="bullet"/>
      <w:lvlText w:val="•"/>
      <w:lvlJc w:val="left"/>
      <w:pPr>
        <w:ind w:left="971" w:hanging="121"/>
      </w:pPr>
      <w:rPr>
        <w:rFonts w:hint="default"/>
        <w:lang w:val="en-US" w:eastAsia="en-US" w:bidi="ar-SA"/>
      </w:rPr>
    </w:lvl>
  </w:abstractNum>
  <w:abstractNum w:abstractNumId="27">
    <w:multiLevelType w:val="hybridMultilevel"/>
    <w:lvl w:ilvl="0">
      <w:start w:val="1"/>
      <w:numFmt w:val="decimal"/>
      <w:lvlText w:val="%1."/>
      <w:lvlJc w:val="left"/>
      <w:pPr>
        <w:ind w:left="1520" w:hanging="241"/>
        <w:jc w:val="left"/>
      </w:pPr>
      <w:rPr>
        <w:rFonts w:hint="default" w:ascii="Arial" w:hAnsi="Arial" w:eastAsia="Arial" w:cs="Arial"/>
        <w:b w:val="0"/>
        <w:bCs w:val="0"/>
        <w:i w:val="0"/>
        <w:iCs w:val="0"/>
        <w:color w:val="105C84"/>
        <w:spacing w:val="0"/>
        <w:w w:val="93"/>
        <w:sz w:val="22"/>
        <w:szCs w:val="22"/>
        <w:lang w:val="en-US" w:eastAsia="en-US" w:bidi="ar-SA"/>
      </w:rPr>
    </w:lvl>
    <w:lvl w:ilvl="1">
      <w:start w:val="0"/>
      <w:numFmt w:val="bullet"/>
      <w:lvlText w:val="•"/>
      <w:lvlJc w:val="left"/>
      <w:pPr>
        <w:ind w:left="2484" w:hanging="241"/>
      </w:pPr>
      <w:rPr>
        <w:rFonts w:hint="default"/>
        <w:lang w:val="en-US" w:eastAsia="en-US" w:bidi="ar-SA"/>
      </w:rPr>
    </w:lvl>
    <w:lvl w:ilvl="2">
      <w:start w:val="0"/>
      <w:numFmt w:val="bullet"/>
      <w:lvlText w:val="•"/>
      <w:lvlJc w:val="left"/>
      <w:pPr>
        <w:ind w:left="3449" w:hanging="241"/>
      </w:pPr>
      <w:rPr>
        <w:rFonts w:hint="default"/>
        <w:lang w:val="en-US" w:eastAsia="en-US" w:bidi="ar-SA"/>
      </w:rPr>
    </w:lvl>
    <w:lvl w:ilvl="3">
      <w:start w:val="0"/>
      <w:numFmt w:val="bullet"/>
      <w:lvlText w:val="•"/>
      <w:lvlJc w:val="left"/>
      <w:pPr>
        <w:ind w:left="4414" w:hanging="241"/>
      </w:pPr>
      <w:rPr>
        <w:rFonts w:hint="default"/>
        <w:lang w:val="en-US" w:eastAsia="en-US" w:bidi="ar-SA"/>
      </w:rPr>
    </w:lvl>
    <w:lvl w:ilvl="4">
      <w:start w:val="0"/>
      <w:numFmt w:val="bullet"/>
      <w:lvlText w:val="•"/>
      <w:lvlJc w:val="left"/>
      <w:pPr>
        <w:ind w:left="5379" w:hanging="241"/>
      </w:pPr>
      <w:rPr>
        <w:rFonts w:hint="default"/>
        <w:lang w:val="en-US" w:eastAsia="en-US" w:bidi="ar-SA"/>
      </w:rPr>
    </w:lvl>
    <w:lvl w:ilvl="5">
      <w:start w:val="0"/>
      <w:numFmt w:val="bullet"/>
      <w:lvlText w:val="•"/>
      <w:lvlJc w:val="left"/>
      <w:pPr>
        <w:ind w:left="6344" w:hanging="241"/>
      </w:pPr>
      <w:rPr>
        <w:rFonts w:hint="default"/>
        <w:lang w:val="en-US" w:eastAsia="en-US" w:bidi="ar-SA"/>
      </w:rPr>
    </w:lvl>
    <w:lvl w:ilvl="6">
      <w:start w:val="0"/>
      <w:numFmt w:val="bullet"/>
      <w:lvlText w:val="•"/>
      <w:lvlJc w:val="left"/>
      <w:pPr>
        <w:ind w:left="7309" w:hanging="241"/>
      </w:pPr>
      <w:rPr>
        <w:rFonts w:hint="default"/>
        <w:lang w:val="en-US" w:eastAsia="en-US" w:bidi="ar-SA"/>
      </w:rPr>
    </w:lvl>
    <w:lvl w:ilvl="7">
      <w:start w:val="0"/>
      <w:numFmt w:val="bullet"/>
      <w:lvlText w:val="•"/>
      <w:lvlJc w:val="left"/>
      <w:pPr>
        <w:ind w:left="8274" w:hanging="241"/>
      </w:pPr>
      <w:rPr>
        <w:rFonts w:hint="default"/>
        <w:lang w:val="en-US" w:eastAsia="en-US" w:bidi="ar-SA"/>
      </w:rPr>
    </w:lvl>
    <w:lvl w:ilvl="8">
      <w:start w:val="0"/>
      <w:numFmt w:val="bullet"/>
      <w:lvlText w:val="•"/>
      <w:lvlJc w:val="left"/>
      <w:pPr>
        <w:ind w:left="9238" w:hanging="241"/>
      </w:pPr>
      <w:rPr>
        <w:rFonts w:hint="default"/>
        <w:lang w:val="en-US" w:eastAsia="en-US" w:bidi="ar-SA"/>
      </w:rPr>
    </w:lvl>
  </w:abstractNum>
  <w:abstractNum w:abstractNumId="26">
    <w:multiLevelType w:val="hybridMultilevel"/>
    <w:lvl w:ilvl="0">
      <w:start w:val="34"/>
      <w:numFmt w:val="decimal"/>
      <w:lvlText w:val="%1."/>
      <w:lvlJc w:val="left"/>
      <w:pPr>
        <w:ind w:left="4233" w:hanging="219"/>
        <w:jc w:val="right"/>
      </w:pPr>
      <w:rPr>
        <w:rFonts w:hint="default" w:ascii="Arial" w:hAnsi="Arial" w:eastAsia="Arial" w:cs="Arial"/>
        <w:b w:val="0"/>
        <w:bCs w:val="0"/>
        <w:i w:val="0"/>
        <w:iCs w:val="0"/>
        <w:color w:val="636466"/>
        <w:spacing w:val="0"/>
        <w:w w:val="93"/>
        <w:sz w:val="14"/>
        <w:szCs w:val="14"/>
        <w:lang w:val="en-US" w:eastAsia="en-US" w:bidi="ar-SA"/>
      </w:rPr>
    </w:lvl>
    <w:lvl w:ilvl="1">
      <w:start w:val="0"/>
      <w:numFmt w:val="bullet"/>
      <w:lvlText w:val="•"/>
      <w:lvlJc w:val="left"/>
      <w:pPr>
        <w:ind w:left="4923" w:hanging="219"/>
      </w:pPr>
      <w:rPr>
        <w:rFonts w:hint="default"/>
        <w:lang w:val="en-US" w:eastAsia="en-US" w:bidi="ar-SA"/>
      </w:rPr>
    </w:lvl>
    <w:lvl w:ilvl="2">
      <w:start w:val="0"/>
      <w:numFmt w:val="bullet"/>
      <w:lvlText w:val="•"/>
      <w:lvlJc w:val="left"/>
      <w:pPr>
        <w:ind w:left="5607" w:hanging="219"/>
      </w:pPr>
      <w:rPr>
        <w:rFonts w:hint="default"/>
        <w:lang w:val="en-US" w:eastAsia="en-US" w:bidi="ar-SA"/>
      </w:rPr>
    </w:lvl>
    <w:lvl w:ilvl="3">
      <w:start w:val="0"/>
      <w:numFmt w:val="bullet"/>
      <w:lvlText w:val="•"/>
      <w:lvlJc w:val="left"/>
      <w:pPr>
        <w:ind w:left="6291" w:hanging="219"/>
      </w:pPr>
      <w:rPr>
        <w:rFonts w:hint="default"/>
        <w:lang w:val="en-US" w:eastAsia="en-US" w:bidi="ar-SA"/>
      </w:rPr>
    </w:lvl>
    <w:lvl w:ilvl="4">
      <w:start w:val="0"/>
      <w:numFmt w:val="bullet"/>
      <w:lvlText w:val="•"/>
      <w:lvlJc w:val="left"/>
      <w:pPr>
        <w:ind w:left="6975" w:hanging="219"/>
      </w:pPr>
      <w:rPr>
        <w:rFonts w:hint="default"/>
        <w:lang w:val="en-US" w:eastAsia="en-US" w:bidi="ar-SA"/>
      </w:rPr>
    </w:lvl>
    <w:lvl w:ilvl="5">
      <w:start w:val="0"/>
      <w:numFmt w:val="bullet"/>
      <w:lvlText w:val="•"/>
      <w:lvlJc w:val="left"/>
      <w:pPr>
        <w:ind w:left="7659" w:hanging="219"/>
      </w:pPr>
      <w:rPr>
        <w:rFonts w:hint="default"/>
        <w:lang w:val="en-US" w:eastAsia="en-US" w:bidi="ar-SA"/>
      </w:rPr>
    </w:lvl>
    <w:lvl w:ilvl="6">
      <w:start w:val="0"/>
      <w:numFmt w:val="bullet"/>
      <w:lvlText w:val="•"/>
      <w:lvlJc w:val="left"/>
      <w:pPr>
        <w:ind w:left="8343" w:hanging="219"/>
      </w:pPr>
      <w:rPr>
        <w:rFonts w:hint="default"/>
        <w:lang w:val="en-US" w:eastAsia="en-US" w:bidi="ar-SA"/>
      </w:rPr>
    </w:lvl>
    <w:lvl w:ilvl="7">
      <w:start w:val="0"/>
      <w:numFmt w:val="bullet"/>
      <w:lvlText w:val="•"/>
      <w:lvlJc w:val="left"/>
      <w:pPr>
        <w:ind w:left="9026" w:hanging="219"/>
      </w:pPr>
      <w:rPr>
        <w:rFonts w:hint="default"/>
        <w:lang w:val="en-US" w:eastAsia="en-US" w:bidi="ar-SA"/>
      </w:rPr>
    </w:lvl>
    <w:lvl w:ilvl="8">
      <w:start w:val="0"/>
      <w:numFmt w:val="bullet"/>
      <w:lvlText w:val="•"/>
      <w:lvlJc w:val="left"/>
      <w:pPr>
        <w:ind w:left="9710" w:hanging="219"/>
      </w:pPr>
      <w:rPr>
        <w:rFonts w:hint="default"/>
        <w:lang w:val="en-US" w:eastAsia="en-US" w:bidi="ar-SA"/>
      </w:rPr>
    </w:lvl>
  </w:abstractNum>
  <w:abstractNum w:abstractNumId="25">
    <w:multiLevelType w:val="hybridMultilevel"/>
    <w:lvl w:ilvl="0">
      <w:start w:val="2"/>
      <w:numFmt w:val="decimal"/>
      <w:lvlText w:val="%1."/>
      <w:lvlJc w:val="left"/>
      <w:pPr>
        <w:ind w:left="1520" w:hanging="241"/>
        <w:jc w:val="left"/>
      </w:pPr>
      <w:rPr>
        <w:rFonts w:hint="default" w:ascii="Arial" w:hAnsi="Arial" w:eastAsia="Arial" w:cs="Arial"/>
        <w:b w:val="0"/>
        <w:bCs w:val="0"/>
        <w:i w:val="0"/>
        <w:iCs w:val="0"/>
        <w:color w:val="105C84"/>
        <w:spacing w:val="0"/>
        <w:w w:val="93"/>
        <w:sz w:val="22"/>
        <w:szCs w:val="22"/>
        <w:lang w:val="en-US" w:eastAsia="en-US" w:bidi="ar-SA"/>
      </w:rPr>
    </w:lvl>
    <w:lvl w:ilvl="1">
      <w:start w:val="0"/>
      <w:numFmt w:val="bullet"/>
      <w:lvlText w:val="•"/>
      <w:lvlJc w:val="left"/>
      <w:pPr>
        <w:ind w:left="2520" w:hanging="241"/>
      </w:pPr>
      <w:rPr>
        <w:rFonts w:hint="default"/>
        <w:lang w:val="en-US" w:eastAsia="en-US" w:bidi="ar-SA"/>
      </w:rPr>
    </w:lvl>
    <w:lvl w:ilvl="2">
      <w:start w:val="0"/>
      <w:numFmt w:val="bullet"/>
      <w:lvlText w:val="•"/>
      <w:lvlJc w:val="left"/>
      <w:pPr>
        <w:ind w:left="3520" w:hanging="241"/>
      </w:pPr>
      <w:rPr>
        <w:rFonts w:hint="default"/>
        <w:lang w:val="en-US" w:eastAsia="en-US" w:bidi="ar-SA"/>
      </w:rPr>
    </w:lvl>
    <w:lvl w:ilvl="3">
      <w:start w:val="0"/>
      <w:numFmt w:val="bullet"/>
      <w:lvlText w:val="•"/>
      <w:lvlJc w:val="left"/>
      <w:pPr>
        <w:ind w:left="4520" w:hanging="241"/>
      </w:pPr>
      <w:rPr>
        <w:rFonts w:hint="default"/>
        <w:lang w:val="en-US" w:eastAsia="en-US" w:bidi="ar-SA"/>
      </w:rPr>
    </w:lvl>
    <w:lvl w:ilvl="4">
      <w:start w:val="0"/>
      <w:numFmt w:val="bullet"/>
      <w:lvlText w:val="•"/>
      <w:lvlJc w:val="left"/>
      <w:pPr>
        <w:ind w:left="5520" w:hanging="241"/>
      </w:pPr>
      <w:rPr>
        <w:rFonts w:hint="default"/>
        <w:lang w:val="en-US" w:eastAsia="en-US" w:bidi="ar-SA"/>
      </w:rPr>
    </w:lvl>
    <w:lvl w:ilvl="5">
      <w:start w:val="0"/>
      <w:numFmt w:val="bullet"/>
      <w:lvlText w:val="•"/>
      <w:lvlJc w:val="left"/>
      <w:pPr>
        <w:ind w:left="6520" w:hanging="241"/>
      </w:pPr>
      <w:rPr>
        <w:rFonts w:hint="default"/>
        <w:lang w:val="en-US" w:eastAsia="en-US" w:bidi="ar-SA"/>
      </w:rPr>
    </w:lvl>
    <w:lvl w:ilvl="6">
      <w:start w:val="0"/>
      <w:numFmt w:val="bullet"/>
      <w:lvlText w:val="•"/>
      <w:lvlJc w:val="left"/>
      <w:pPr>
        <w:ind w:left="7520" w:hanging="241"/>
      </w:pPr>
      <w:rPr>
        <w:rFonts w:hint="default"/>
        <w:lang w:val="en-US" w:eastAsia="en-US" w:bidi="ar-SA"/>
      </w:rPr>
    </w:lvl>
    <w:lvl w:ilvl="7">
      <w:start w:val="0"/>
      <w:numFmt w:val="bullet"/>
      <w:lvlText w:val="•"/>
      <w:lvlJc w:val="left"/>
      <w:pPr>
        <w:ind w:left="8520" w:hanging="241"/>
      </w:pPr>
      <w:rPr>
        <w:rFonts w:hint="default"/>
        <w:lang w:val="en-US" w:eastAsia="en-US" w:bidi="ar-SA"/>
      </w:rPr>
    </w:lvl>
    <w:lvl w:ilvl="8">
      <w:start w:val="0"/>
      <w:numFmt w:val="bullet"/>
      <w:lvlText w:val="•"/>
      <w:lvlJc w:val="left"/>
      <w:pPr>
        <w:ind w:left="9520" w:hanging="241"/>
      </w:pPr>
      <w:rPr>
        <w:rFonts w:hint="default"/>
        <w:lang w:val="en-US" w:eastAsia="en-US" w:bidi="ar-SA"/>
      </w:rPr>
    </w:lvl>
  </w:abstractNum>
  <w:abstractNum w:abstractNumId="24">
    <w:multiLevelType w:val="hybridMultilevel"/>
    <w:lvl w:ilvl="0">
      <w:start w:val="1"/>
      <w:numFmt w:val="decimal"/>
      <w:lvlText w:val="%1."/>
      <w:lvlJc w:val="left"/>
      <w:pPr>
        <w:ind w:left="2720" w:hanging="241"/>
        <w:jc w:val="right"/>
      </w:pPr>
      <w:rPr>
        <w:rFonts w:hint="default" w:ascii="Arial" w:hAnsi="Arial" w:eastAsia="Arial" w:cs="Arial"/>
        <w:b w:val="0"/>
        <w:bCs w:val="0"/>
        <w:i w:val="0"/>
        <w:iCs w:val="0"/>
        <w:color w:val="105C84"/>
        <w:spacing w:val="0"/>
        <w:w w:val="93"/>
        <w:sz w:val="22"/>
        <w:szCs w:val="22"/>
        <w:lang w:val="en-US" w:eastAsia="en-US" w:bidi="ar-SA"/>
      </w:rPr>
    </w:lvl>
    <w:lvl w:ilvl="1">
      <w:start w:val="0"/>
      <w:numFmt w:val="bullet"/>
      <w:lvlText w:val="•"/>
      <w:lvlJc w:val="left"/>
      <w:pPr>
        <w:ind w:left="3720" w:hanging="241"/>
      </w:pPr>
      <w:rPr>
        <w:rFonts w:hint="default"/>
        <w:lang w:val="en-US" w:eastAsia="en-US" w:bidi="ar-SA"/>
      </w:rPr>
    </w:lvl>
    <w:lvl w:ilvl="2">
      <w:start w:val="0"/>
      <w:numFmt w:val="bullet"/>
      <w:lvlText w:val="•"/>
      <w:lvlJc w:val="left"/>
      <w:pPr>
        <w:ind w:left="4720" w:hanging="241"/>
      </w:pPr>
      <w:rPr>
        <w:rFonts w:hint="default"/>
        <w:lang w:val="en-US" w:eastAsia="en-US" w:bidi="ar-SA"/>
      </w:rPr>
    </w:lvl>
    <w:lvl w:ilvl="3">
      <w:start w:val="0"/>
      <w:numFmt w:val="bullet"/>
      <w:lvlText w:val="•"/>
      <w:lvlJc w:val="left"/>
      <w:pPr>
        <w:ind w:left="5720" w:hanging="241"/>
      </w:pPr>
      <w:rPr>
        <w:rFonts w:hint="default"/>
        <w:lang w:val="en-US" w:eastAsia="en-US" w:bidi="ar-SA"/>
      </w:rPr>
    </w:lvl>
    <w:lvl w:ilvl="4">
      <w:start w:val="0"/>
      <w:numFmt w:val="bullet"/>
      <w:lvlText w:val="•"/>
      <w:lvlJc w:val="left"/>
      <w:pPr>
        <w:ind w:left="6720" w:hanging="241"/>
      </w:pPr>
      <w:rPr>
        <w:rFonts w:hint="default"/>
        <w:lang w:val="en-US" w:eastAsia="en-US" w:bidi="ar-SA"/>
      </w:rPr>
    </w:lvl>
    <w:lvl w:ilvl="5">
      <w:start w:val="0"/>
      <w:numFmt w:val="bullet"/>
      <w:lvlText w:val="•"/>
      <w:lvlJc w:val="left"/>
      <w:pPr>
        <w:ind w:left="7720" w:hanging="241"/>
      </w:pPr>
      <w:rPr>
        <w:rFonts w:hint="default"/>
        <w:lang w:val="en-US" w:eastAsia="en-US" w:bidi="ar-SA"/>
      </w:rPr>
    </w:lvl>
    <w:lvl w:ilvl="6">
      <w:start w:val="0"/>
      <w:numFmt w:val="bullet"/>
      <w:lvlText w:val="•"/>
      <w:lvlJc w:val="left"/>
      <w:pPr>
        <w:ind w:left="8720" w:hanging="241"/>
      </w:pPr>
      <w:rPr>
        <w:rFonts w:hint="default"/>
        <w:lang w:val="en-US" w:eastAsia="en-US" w:bidi="ar-SA"/>
      </w:rPr>
    </w:lvl>
    <w:lvl w:ilvl="7">
      <w:start w:val="0"/>
      <w:numFmt w:val="bullet"/>
      <w:lvlText w:val="•"/>
      <w:lvlJc w:val="left"/>
      <w:pPr>
        <w:ind w:left="9720" w:hanging="241"/>
      </w:pPr>
      <w:rPr>
        <w:rFonts w:hint="default"/>
        <w:lang w:val="en-US" w:eastAsia="en-US" w:bidi="ar-SA"/>
      </w:rPr>
    </w:lvl>
    <w:lvl w:ilvl="8">
      <w:start w:val="0"/>
      <w:numFmt w:val="bullet"/>
      <w:lvlText w:val="•"/>
      <w:lvlJc w:val="left"/>
      <w:pPr>
        <w:ind w:left="10720" w:hanging="241"/>
      </w:pPr>
      <w:rPr>
        <w:rFonts w:hint="default"/>
        <w:lang w:val="en-US" w:eastAsia="en-US" w:bidi="ar-SA"/>
      </w:rPr>
    </w:lvl>
  </w:abstractNum>
  <w:abstractNum w:abstractNumId="23">
    <w:multiLevelType w:val="hybridMultilevel"/>
    <w:lvl w:ilvl="0">
      <w:start w:val="1"/>
      <w:numFmt w:val="decimal"/>
      <w:lvlText w:val="%1-"/>
      <w:lvlJc w:val="left"/>
      <w:pPr>
        <w:ind w:left="120" w:hanging="121"/>
        <w:jc w:val="left"/>
      </w:pPr>
      <w:rPr>
        <w:rFonts w:hint="default" w:ascii="Arial" w:hAnsi="Arial" w:eastAsia="Arial" w:cs="Arial"/>
        <w:b w:val="0"/>
        <w:bCs w:val="0"/>
        <w:i w:val="0"/>
        <w:iCs w:val="0"/>
        <w:color w:val="105B83"/>
        <w:spacing w:val="0"/>
        <w:w w:val="92"/>
        <w:sz w:val="12"/>
        <w:szCs w:val="12"/>
        <w:lang w:val="en-US" w:eastAsia="en-US" w:bidi="ar-SA"/>
      </w:rPr>
    </w:lvl>
    <w:lvl w:ilvl="1">
      <w:start w:val="0"/>
      <w:numFmt w:val="bullet"/>
      <w:lvlText w:val="•"/>
      <w:lvlJc w:val="left"/>
      <w:pPr>
        <w:ind w:left="226" w:hanging="121"/>
      </w:pPr>
      <w:rPr>
        <w:rFonts w:hint="default"/>
        <w:lang w:val="en-US" w:eastAsia="en-US" w:bidi="ar-SA"/>
      </w:rPr>
    </w:lvl>
    <w:lvl w:ilvl="2">
      <w:start w:val="0"/>
      <w:numFmt w:val="bullet"/>
      <w:lvlText w:val="•"/>
      <w:lvlJc w:val="left"/>
      <w:pPr>
        <w:ind w:left="332" w:hanging="121"/>
      </w:pPr>
      <w:rPr>
        <w:rFonts w:hint="default"/>
        <w:lang w:val="en-US" w:eastAsia="en-US" w:bidi="ar-SA"/>
      </w:rPr>
    </w:lvl>
    <w:lvl w:ilvl="3">
      <w:start w:val="0"/>
      <w:numFmt w:val="bullet"/>
      <w:lvlText w:val="•"/>
      <w:lvlJc w:val="left"/>
      <w:pPr>
        <w:ind w:left="439" w:hanging="121"/>
      </w:pPr>
      <w:rPr>
        <w:rFonts w:hint="default"/>
        <w:lang w:val="en-US" w:eastAsia="en-US" w:bidi="ar-SA"/>
      </w:rPr>
    </w:lvl>
    <w:lvl w:ilvl="4">
      <w:start w:val="0"/>
      <w:numFmt w:val="bullet"/>
      <w:lvlText w:val="•"/>
      <w:lvlJc w:val="left"/>
      <w:pPr>
        <w:ind w:left="545" w:hanging="121"/>
      </w:pPr>
      <w:rPr>
        <w:rFonts w:hint="default"/>
        <w:lang w:val="en-US" w:eastAsia="en-US" w:bidi="ar-SA"/>
      </w:rPr>
    </w:lvl>
    <w:lvl w:ilvl="5">
      <w:start w:val="0"/>
      <w:numFmt w:val="bullet"/>
      <w:lvlText w:val="•"/>
      <w:lvlJc w:val="left"/>
      <w:pPr>
        <w:ind w:left="652" w:hanging="121"/>
      </w:pPr>
      <w:rPr>
        <w:rFonts w:hint="default"/>
        <w:lang w:val="en-US" w:eastAsia="en-US" w:bidi="ar-SA"/>
      </w:rPr>
    </w:lvl>
    <w:lvl w:ilvl="6">
      <w:start w:val="0"/>
      <w:numFmt w:val="bullet"/>
      <w:lvlText w:val="•"/>
      <w:lvlJc w:val="left"/>
      <w:pPr>
        <w:ind w:left="758" w:hanging="121"/>
      </w:pPr>
      <w:rPr>
        <w:rFonts w:hint="default"/>
        <w:lang w:val="en-US" w:eastAsia="en-US" w:bidi="ar-SA"/>
      </w:rPr>
    </w:lvl>
    <w:lvl w:ilvl="7">
      <w:start w:val="0"/>
      <w:numFmt w:val="bullet"/>
      <w:lvlText w:val="•"/>
      <w:lvlJc w:val="left"/>
      <w:pPr>
        <w:ind w:left="865" w:hanging="121"/>
      </w:pPr>
      <w:rPr>
        <w:rFonts w:hint="default"/>
        <w:lang w:val="en-US" w:eastAsia="en-US" w:bidi="ar-SA"/>
      </w:rPr>
    </w:lvl>
    <w:lvl w:ilvl="8">
      <w:start w:val="0"/>
      <w:numFmt w:val="bullet"/>
      <w:lvlText w:val="•"/>
      <w:lvlJc w:val="left"/>
      <w:pPr>
        <w:ind w:left="971" w:hanging="121"/>
      </w:pPr>
      <w:rPr>
        <w:rFonts w:hint="default"/>
        <w:lang w:val="en-US" w:eastAsia="en-US" w:bidi="ar-SA"/>
      </w:rPr>
    </w:lvl>
  </w:abstractNum>
  <w:abstractNum w:abstractNumId="21">
    <w:multiLevelType w:val="hybridMultilevel"/>
    <w:lvl w:ilvl="0">
      <w:start w:val="30"/>
      <w:numFmt w:val="decimal"/>
      <w:lvlText w:val="%1."/>
      <w:lvlJc w:val="left"/>
      <w:pPr>
        <w:ind w:left="4377" w:hanging="219"/>
        <w:jc w:val="right"/>
      </w:pPr>
      <w:rPr>
        <w:rFonts w:hint="default" w:ascii="Arial" w:hAnsi="Arial" w:eastAsia="Arial" w:cs="Arial"/>
        <w:b w:val="0"/>
        <w:bCs w:val="0"/>
        <w:i w:val="0"/>
        <w:iCs w:val="0"/>
        <w:color w:val="636466"/>
        <w:spacing w:val="0"/>
        <w:w w:val="93"/>
        <w:sz w:val="14"/>
        <w:szCs w:val="14"/>
        <w:lang w:val="en-US" w:eastAsia="en-US" w:bidi="ar-SA"/>
      </w:rPr>
    </w:lvl>
    <w:lvl w:ilvl="1">
      <w:start w:val="0"/>
      <w:numFmt w:val="bullet"/>
      <w:lvlText w:val="•"/>
      <w:lvlJc w:val="left"/>
      <w:pPr>
        <w:ind w:left="5057" w:hanging="219"/>
      </w:pPr>
      <w:rPr>
        <w:rFonts w:hint="default"/>
        <w:lang w:val="en-US" w:eastAsia="en-US" w:bidi="ar-SA"/>
      </w:rPr>
    </w:lvl>
    <w:lvl w:ilvl="2">
      <w:start w:val="0"/>
      <w:numFmt w:val="bullet"/>
      <w:lvlText w:val="•"/>
      <w:lvlJc w:val="left"/>
      <w:pPr>
        <w:ind w:left="5735" w:hanging="219"/>
      </w:pPr>
      <w:rPr>
        <w:rFonts w:hint="default"/>
        <w:lang w:val="en-US" w:eastAsia="en-US" w:bidi="ar-SA"/>
      </w:rPr>
    </w:lvl>
    <w:lvl w:ilvl="3">
      <w:start w:val="0"/>
      <w:numFmt w:val="bullet"/>
      <w:lvlText w:val="•"/>
      <w:lvlJc w:val="left"/>
      <w:pPr>
        <w:ind w:left="6413" w:hanging="219"/>
      </w:pPr>
      <w:rPr>
        <w:rFonts w:hint="default"/>
        <w:lang w:val="en-US" w:eastAsia="en-US" w:bidi="ar-SA"/>
      </w:rPr>
    </w:lvl>
    <w:lvl w:ilvl="4">
      <w:start w:val="0"/>
      <w:numFmt w:val="bullet"/>
      <w:lvlText w:val="•"/>
      <w:lvlJc w:val="left"/>
      <w:pPr>
        <w:ind w:left="7090" w:hanging="219"/>
      </w:pPr>
      <w:rPr>
        <w:rFonts w:hint="default"/>
        <w:lang w:val="en-US" w:eastAsia="en-US" w:bidi="ar-SA"/>
      </w:rPr>
    </w:lvl>
    <w:lvl w:ilvl="5">
      <w:start w:val="0"/>
      <w:numFmt w:val="bullet"/>
      <w:lvlText w:val="•"/>
      <w:lvlJc w:val="left"/>
      <w:pPr>
        <w:ind w:left="7768" w:hanging="219"/>
      </w:pPr>
      <w:rPr>
        <w:rFonts w:hint="default"/>
        <w:lang w:val="en-US" w:eastAsia="en-US" w:bidi="ar-SA"/>
      </w:rPr>
    </w:lvl>
    <w:lvl w:ilvl="6">
      <w:start w:val="0"/>
      <w:numFmt w:val="bullet"/>
      <w:lvlText w:val="•"/>
      <w:lvlJc w:val="left"/>
      <w:pPr>
        <w:ind w:left="8446" w:hanging="219"/>
      </w:pPr>
      <w:rPr>
        <w:rFonts w:hint="default"/>
        <w:lang w:val="en-US" w:eastAsia="en-US" w:bidi="ar-SA"/>
      </w:rPr>
    </w:lvl>
    <w:lvl w:ilvl="7">
      <w:start w:val="0"/>
      <w:numFmt w:val="bullet"/>
      <w:lvlText w:val="•"/>
      <w:lvlJc w:val="left"/>
      <w:pPr>
        <w:ind w:left="9124" w:hanging="219"/>
      </w:pPr>
      <w:rPr>
        <w:rFonts w:hint="default"/>
        <w:lang w:val="en-US" w:eastAsia="en-US" w:bidi="ar-SA"/>
      </w:rPr>
    </w:lvl>
    <w:lvl w:ilvl="8">
      <w:start w:val="0"/>
      <w:numFmt w:val="bullet"/>
      <w:lvlText w:val="•"/>
      <w:lvlJc w:val="left"/>
      <w:pPr>
        <w:ind w:left="9801" w:hanging="219"/>
      </w:pPr>
      <w:rPr>
        <w:rFonts w:hint="default"/>
        <w:lang w:val="en-US" w:eastAsia="en-US" w:bidi="ar-SA"/>
      </w:rPr>
    </w:lvl>
  </w:abstractNum>
  <w:abstractNum w:abstractNumId="20">
    <w:multiLevelType w:val="hybridMultilevel"/>
    <w:lvl w:ilvl="0">
      <w:start w:val="1"/>
      <w:numFmt w:val="decimal"/>
      <w:lvlText w:val="%1-"/>
      <w:lvlJc w:val="left"/>
      <w:pPr>
        <w:ind w:left="131" w:hanging="132"/>
        <w:jc w:val="left"/>
      </w:pPr>
      <w:rPr>
        <w:rFonts w:hint="default" w:ascii="Arial" w:hAnsi="Arial" w:eastAsia="Arial" w:cs="Arial"/>
        <w:b w:val="0"/>
        <w:bCs w:val="0"/>
        <w:i w:val="0"/>
        <w:iCs w:val="0"/>
        <w:color w:val="105B83"/>
        <w:spacing w:val="0"/>
        <w:w w:val="94"/>
        <w:sz w:val="13"/>
        <w:szCs w:val="13"/>
        <w:lang w:val="en-US" w:eastAsia="en-US" w:bidi="ar-SA"/>
      </w:rPr>
    </w:lvl>
    <w:lvl w:ilvl="1">
      <w:start w:val="0"/>
      <w:numFmt w:val="bullet"/>
      <w:lvlText w:val="•"/>
      <w:lvlJc w:val="left"/>
      <w:pPr>
        <w:ind w:left="255" w:hanging="132"/>
      </w:pPr>
      <w:rPr>
        <w:rFonts w:hint="default"/>
        <w:lang w:val="en-US" w:eastAsia="en-US" w:bidi="ar-SA"/>
      </w:rPr>
    </w:lvl>
    <w:lvl w:ilvl="2">
      <w:start w:val="0"/>
      <w:numFmt w:val="bullet"/>
      <w:lvlText w:val="•"/>
      <w:lvlJc w:val="left"/>
      <w:pPr>
        <w:ind w:left="370" w:hanging="132"/>
      </w:pPr>
      <w:rPr>
        <w:rFonts w:hint="default"/>
        <w:lang w:val="en-US" w:eastAsia="en-US" w:bidi="ar-SA"/>
      </w:rPr>
    </w:lvl>
    <w:lvl w:ilvl="3">
      <w:start w:val="0"/>
      <w:numFmt w:val="bullet"/>
      <w:lvlText w:val="•"/>
      <w:lvlJc w:val="left"/>
      <w:pPr>
        <w:ind w:left="485" w:hanging="132"/>
      </w:pPr>
      <w:rPr>
        <w:rFonts w:hint="default"/>
        <w:lang w:val="en-US" w:eastAsia="en-US" w:bidi="ar-SA"/>
      </w:rPr>
    </w:lvl>
    <w:lvl w:ilvl="4">
      <w:start w:val="0"/>
      <w:numFmt w:val="bullet"/>
      <w:lvlText w:val="•"/>
      <w:lvlJc w:val="left"/>
      <w:pPr>
        <w:ind w:left="600" w:hanging="132"/>
      </w:pPr>
      <w:rPr>
        <w:rFonts w:hint="default"/>
        <w:lang w:val="en-US" w:eastAsia="en-US" w:bidi="ar-SA"/>
      </w:rPr>
    </w:lvl>
    <w:lvl w:ilvl="5">
      <w:start w:val="0"/>
      <w:numFmt w:val="bullet"/>
      <w:lvlText w:val="•"/>
      <w:lvlJc w:val="left"/>
      <w:pPr>
        <w:ind w:left="715" w:hanging="132"/>
      </w:pPr>
      <w:rPr>
        <w:rFonts w:hint="default"/>
        <w:lang w:val="en-US" w:eastAsia="en-US" w:bidi="ar-SA"/>
      </w:rPr>
    </w:lvl>
    <w:lvl w:ilvl="6">
      <w:start w:val="0"/>
      <w:numFmt w:val="bullet"/>
      <w:lvlText w:val="•"/>
      <w:lvlJc w:val="left"/>
      <w:pPr>
        <w:ind w:left="830" w:hanging="132"/>
      </w:pPr>
      <w:rPr>
        <w:rFonts w:hint="default"/>
        <w:lang w:val="en-US" w:eastAsia="en-US" w:bidi="ar-SA"/>
      </w:rPr>
    </w:lvl>
    <w:lvl w:ilvl="7">
      <w:start w:val="0"/>
      <w:numFmt w:val="bullet"/>
      <w:lvlText w:val="•"/>
      <w:lvlJc w:val="left"/>
      <w:pPr>
        <w:ind w:left="945" w:hanging="132"/>
      </w:pPr>
      <w:rPr>
        <w:rFonts w:hint="default"/>
        <w:lang w:val="en-US" w:eastAsia="en-US" w:bidi="ar-SA"/>
      </w:rPr>
    </w:lvl>
    <w:lvl w:ilvl="8">
      <w:start w:val="0"/>
      <w:numFmt w:val="bullet"/>
      <w:lvlText w:val="•"/>
      <w:lvlJc w:val="left"/>
      <w:pPr>
        <w:ind w:left="1061" w:hanging="132"/>
      </w:pPr>
      <w:rPr>
        <w:rFonts w:hint="default"/>
        <w:lang w:val="en-US" w:eastAsia="en-US" w:bidi="ar-SA"/>
      </w:rPr>
    </w:lvl>
  </w:abstractNum>
  <w:abstractNum w:abstractNumId="19">
    <w:multiLevelType w:val="hybridMultilevel"/>
    <w:lvl w:ilvl="0">
      <w:start w:val="26"/>
      <w:numFmt w:val="decimal"/>
      <w:lvlText w:val="%1."/>
      <w:lvlJc w:val="left"/>
      <w:pPr>
        <w:ind w:left="218" w:hanging="219"/>
        <w:jc w:val="left"/>
      </w:pPr>
      <w:rPr>
        <w:rFonts w:hint="default" w:ascii="Arial" w:hAnsi="Arial" w:eastAsia="Arial" w:cs="Arial"/>
        <w:b w:val="0"/>
        <w:bCs w:val="0"/>
        <w:i w:val="0"/>
        <w:iCs w:val="0"/>
        <w:color w:val="636466"/>
        <w:spacing w:val="0"/>
        <w:w w:val="93"/>
        <w:sz w:val="14"/>
        <w:szCs w:val="14"/>
        <w:lang w:val="en-US" w:eastAsia="en-US" w:bidi="ar-SA"/>
      </w:rPr>
    </w:lvl>
    <w:lvl w:ilvl="1">
      <w:start w:val="0"/>
      <w:numFmt w:val="bullet"/>
      <w:lvlText w:val="•"/>
      <w:lvlJc w:val="left"/>
      <w:pPr>
        <w:ind w:left="1242" w:hanging="219"/>
      </w:pPr>
      <w:rPr>
        <w:rFonts w:hint="default"/>
        <w:lang w:val="en-US" w:eastAsia="en-US" w:bidi="ar-SA"/>
      </w:rPr>
    </w:lvl>
    <w:lvl w:ilvl="2">
      <w:start w:val="0"/>
      <w:numFmt w:val="bullet"/>
      <w:lvlText w:val="•"/>
      <w:lvlJc w:val="left"/>
      <w:pPr>
        <w:ind w:left="2264" w:hanging="219"/>
      </w:pPr>
      <w:rPr>
        <w:rFonts w:hint="default"/>
        <w:lang w:val="en-US" w:eastAsia="en-US" w:bidi="ar-SA"/>
      </w:rPr>
    </w:lvl>
    <w:lvl w:ilvl="3">
      <w:start w:val="0"/>
      <w:numFmt w:val="bullet"/>
      <w:lvlText w:val="•"/>
      <w:lvlJc w:val="left"/>
      <w:pPr>
        <w:ind w:left="3286" w:hanging="219"/>
      </w:pPr>
      <w:rPr>
        <w:rFonts w:hint="default"/>
        <w:lang w:val="en-US" w:eastAsia="en-US" w:bidi="ar-SA"/>
      </w:rPr>
    </w:lvl>
    <w:lvl w:ilvl="4">
      <w:start w:val="0"/>
      <w:numFmt w:val="bullet"/>
      <w:lvlText w:val="•"/>
      <w:lvlJc w:val="left"/>
      <w:pPr>
        <w:ind w:left="4308" w:hanging="219"/>
      </w:pPr>
      <w:rPr>
        <w:rFonts w:hint="default"/>
        <w:lang w:val="en-US" w:eastAsia="en-US" w:bidi="ar-SA"/>
      </w:rPr>
    </w:lvl>
    <w:lvl w:ilvl="5">
      <w:start w:val="0"/>
      <w:numFmt w:val="bullet"/>
      <w:lvlText w:val="•"/>
      <w:lvlJc w:val="left"/>
      <w:pPr>
        <w:ind w:left="5330" w:hanging="219"/>
      </w:pPr>
      <w:rPr>
        <w:rFonts w:hint="default"/>
        <w:lang w:val="en-US" w:eastAsia="en-US" w:bidi="ar-SA"/>
      </w:rPr>
    </w:lvl>
    <w:lvl w:ilvl="6">
      <w:start w:val="0"/>
      <w:numFmt w:val="bullet"/>
      <w:lvlText w:val="•"/>
      <w:lvlJc w:val="left"/>
      <w:pPr>
        <w:ind w:left="6352" w:hanging="219"/>
      </w:pPr>
      <w:rPr>
        <w:rFonts w:hint="default"/>
        <w:lang w:val="en-US" w:eastAsia="en-US" w:bidi="ar-SA"/>
      </w:rPr>
    </w:lvl>
    <w:lvl w:ilvl="7">
      <w:start w:val="0"/>
      <w:numFmt w:val="bullet"/>
      <w:lvlText w:val="•"/>
      <w:lvlJc w:val="left"/>
      <w:pPr>
        <w:ind w:left="7374" w:hanging="219"/>
      </w:pPr>
      <w:rPr>
        <w:rFonts w:hint="default"/>
        <w:lang w:val="en-US" w:eastAsia="en-US" w:bidi="ar-SA"/>
      </w:rPr>
    </w:lvl>
    <w:lvl w:ilvl="8">
      <w:start w:val="0"/>
      <w:numFmt w:val="bullet"/>
      <w:lvlText w:val="•"/>
      <w:lvlJc w:val="left"/>
      <w:pPr>
        <w:ind w:left="8396" w:hanging="219"/>
      </w:pPr>
      <w:rPr>
        <w:rFonts w:hint="default"/>
        <w:lang w:val="en-US" w:eastAsia="en-US" w:bidi="ar-SA"/>
      </w:rPr>
    </w:lvl>
  </w:abstractNum>
  <w:abstractNum w:abstractNumId="17">
    <w:multiLevelType w:val="hybridMultilevel"/>
    <w:lvl w:ilvl="0">
      <w:start w:val="0"/>
      <w:numFmt w:val="bullet"/>
      <w:lvlText w:val="•"/>
      <w:lvlJc w:val="left"/>
      <w:pPr>
        <w:ind w:left="1534" w:hanging="241"/>
      </w:pPr>
      <w:rPr>
        <w:rFonts w:hint="default" w:ascii="Arial" w:hAnsi="Arial" w:eastAsia="Arial" w:cs="Arial"/>
        <w:b w:val="0"/>
        <w:bCs w:val="0"/>
        <w:i w:val="0"/>
        <w:iCs w:val="0"/>
        <w:color w:val="105C84"/>
        <w:spacing w:val="0"/>
        <w:w w:val="142"/>
        <w:sz w:val="22"/>
        <w:szCs w:val="22"/>
        <w:lang w:val="en-US" w:eastAsia="en-US" w:bidi="ar-SA"/>
      </w:rPr>
    </w:lvl>
    <w:lvl w:ilvl="1">
      <w:start w:val="0"/>
      <w:numFmt w:val="bullet"/>
      <w:lvlText w:val="•"/>
      <w:lvlJc w:val="left"/>
      <w:pPr>
        <w:ind w:left="2487" w:hanging="241"/>
      </w:pPr>
      <w:rPr>
        <w:rFonts w:hint="default"/>
        <w:lang w:val="en-US" w:eastAsia="en-US" w:bidi="ar-SA"/>
      </w:rPr>
    </w:lvl>
    <w:lvl w:ilvl="2">
      <w:start w:val="0"/>
      <w:numFmt w:val="bullet"/>
      <w:lvlText w:val="•"/>
      <w:lvlJc w:val="left"/>
      <w:pPr>
        <w:ind w:left="3435" w:hanging="241"/>
      </w:pPr>
      <w:rPr>
        <w:rFonts w:hint="default"/>
        <w:lang w:val="en-US" w:eastAsia="en-US" w:bidi="ar-SA"/>
      </w:rPr>
    </w:lvl>
    <w:lvl w:ilvl="3">
      <w:start w:val="0"/>
      <w:numFmt w:val="bullet"/>
      <w:lvlText w:val="•"/>
      <w:lvlJc w:val="left"/>
      <w:pPr>
        <w:ind w:left="4382" w:hanging="241"/>
      </w:pPr>
      <w:rPr>
        <w:rFonts w:hint="default"/>
        <w:lang w:val="en-US" w:eastAsia="en-US" w:bidi="ar-SA"/>
      </w:rPr>
    </w:lvl>
    <w:lvl w:ilvl="4">
      <w:start w:val="0"/>
      <w:numFmt w:val="bullet"/>
      <w:lvlText w:val="•"/>
      <w:lvlJc w:val="left"/>
      <w:pPr>
        <w:ind w:left="5330" w:hanging="241"/>
      </w:pPr>
      <w:rPr>
        <w:rFonts w:hint="default"/>
        <w:lang w:val="en-US" w:eastAsia="en-US" w:bidi="ar-SA"/>
      </w:rPr>
    </w:lvl>
    <w:lvl w:ilvl="5">
      <w:start w:val="0"/>
      <w:numFmt w:val="bullet"/>
      <w:lvlText w:val="•"/>
      <w:lvlJc w:val="left"/>
      <w:pPr>
        <w:ind w:left="6277" w:hanging="241"/>
      </w:pPr>
      <w:rPr>
        <w:rFonts w:hint="default"/>
        <w:lang w:val="en-US" w:eastAsia="en-US" w:bidi="ar-SA"/>
      </w:rPr>
    </w:lvl>
    <w:lvl w:ilvl="6">
      <w:start w:val="0"/>
      <w:numFmt w:val="bullet"/>
      <w:lvlText w:val="•"/>
      <w:lvlJc w:val="left"/>
      <w:pPr>
        <w:ind w:left="7225" w:hanging="241"/>
      </w:pPr>
      <w:rPr>
        <w:rFonts w:hint="default"/>
        <w:lang w:val="en-US" w:eastAsia="en-US" w:bidi="ar-SA"/>
      </w:rPr>
    </w:lvl>
    <w:lvl w:ilvl="7">
      <w:start w:val="0"/>
      <w:numFmt w:val="bullet"/>
      <w:lvlText w:val="•"/>
      <w:lvlJc w:val="left"/>
      <w:pPr>
        <w:ind w:left="8172" w:hanging="241"/>
      </w:pPr>
      <w:rPr>
        <w:rFonts w:hint="default"/>
        <w:lang w:val="en-US" w:eastAsia="en-US" w:bidi="ar-SA"/>
      </w:rPr>
    </w:lvl>
    <w:lvl w:ilvl="8">
      <w:start w:val="0"/>
      <w:numFmt w:val="bullet"/>
      <w:lvlText w:val="•"/>
      <w:lvlJc w:val="left"/>
      <w:pPr>
        <w:ind w:left="9120" w:hanging="241"/>
      </w:pPr>
      <w:rPr>
        <w:rFonts w:hint="default"/>
        <w:lang w:val="en-US" w:eastAsia="en-US" w:bidi="ar-SA"/>
      </w:rPr>
    </w:lvl>
  </w:abstractNum>
  <w:abstractNum w:abstractNumId="16">
    <w:multiLevelType w:val="hybridMultilevel"/>
    <w:lvl w:ilvl="0">
      <w:start w:val="1"/>
      <w:numFmt w:val="decimal"/>
      <w:lvlText w:val="%1."/>
      <w:lvlJc w:val="left"/>
      <w:pPr>
        <w:ind w:left="1520" w:hanging="241"/>
        <w:jc w:val="left"/>
      </w:pPr>
      <w:rPr>
        <w:rFonts w:hint="default" w:ascii="Arial" w:hAnsi="Arial" w:eastAsia="Arial" w:cs="Arial"/>
        <w:b w:val="0"/>
        <w:bCs w:val="0"/>
        <w:i w:val="0"/>
        <w:iCs w:val="0"/>
        <w:color w:val="105C84"/>
        <w:spacing w:val="0"/>
        <w:w w:val="93"/>
        <w:sz w:val="22"/>
        <w:szCs w:val="22"/>
        <w:lang w:val="en-US" w:eastAsia="en-US" w:bidi="ar-SA"/>
      </w:rPr>
    </w:lvl>
    <w:lvl w:ilvl="1">
      <w:start w:val="21"/>
      <w:numFmt w:val="decimal"/>
      <w:lvlText w:val="%2."/>
      <w:lvlJc w:val="left"/>
      <w:pPr>
        <w:ind w:left="13320" w:hanging="219"/>
        <w:jc w:val="left"/>
      </w:pPr>
      <w:rPr>
        <w:rFonts w:hint="default" w:ascii="Arial" w:hAnsi="Arial" w:eastAsia="Arial" w:cs="Arial"/>
        <w:b w:val="0"/>
        <w:bCs w:val="0"/>
        <w:i w:val="0"/>
        <w:iCs w:val="0"/>
        <w:color w:val="636466"/>
        <w:spacing w:val="0"/>
        <w:w w:val="93"/>
        <w:sz w:val="14"/>
        <w:szCs w:val="14"/>
        <w:lang w:val="en-US" w:eastAsia="en-US" w:bidi="ar-SA"/>
      </w:rPr>
    </w:lvl>
    <w:lvl w:ilvl="2">
      <w:start w:val="0"/>
      <w:numFmt w:val="bullet"/>
      <w:lvlText w:val="•"/>
      <w:lvlJc w:val="left"/>
      <w:pPr>
        <w:ind w:left="13090" w:hanging="219"/>
      </w:pPr>
      <w:rPr>
        <w:rFonts w:hint="default"/>
        <w:lang w:val="en-US" w:eastAsia="en-US" w:bidi="ar-SA"/>
      </w:rPr>
    </w:lvl>
    <w:lvl w:ilvl="3">
      <w:start w:val="0"/>
      <w:numFmt w:val="bullet"/>
      <w:lvlText w:val="•"/>
      <w:lvlJc w:val="left"/>
      <w:pPr>
        <w:ind w:left="12861" w:hanging="219"/>
      </w:pPr>
      <w:rPr>
        <w:rFonts w:hint="default"/>
        <w:lang w:val="en-US" w:eastAsia="en-US" w:bidi="ar-SA"/>
      </w:rPr>
    </w:lvl>
    <w:lvl w:ilvl="4">
      <w:start w:val="0"/>
      <w:numFmt w:val="bullet"/>
      <w:lvlText w:val="•"/>
      <w:lvlJc w:val="left"/>
      <w:pPr>
        <w:ind w:left="12631" w:hanging="219"/>
      </w:pPr>
      <w:rPr>
        <w:rFonts w:hint="default"/>
        <w:lang w:val="en-US" w:eastAsia="en-US" w:bidi="ar-SA"/>
      </w:rPr>
    </w:lvl>
    <w:lvl w:ilvl="5">
      <w:start w:val="0"/>
      <w:numFmt w:val="bullet"/>
      <w:lvlText w:val="•"/>
      <w:lvlJc w:val="left"/>
      <w:pPr>
        <w:ind w:left="12402" w:hanging="219"/>
      </w:pPr>
      <w:rPr>
        <w:rFonts w:hint="default"/>
        <w:lang w:val="en-US" w:eastAsia="en-US" w:bidi="ar-SA"/>
      </w:rPr>
    </w:lvl>
    <w:lvl w:ilvl="6">
      <w:start w:val="0"/>
      <w:numFmt w:val="bullet"/>
      <w:lvlText w:val="•"/>
      <w:lvlJc w:val="left"/>
      <w:pPr>
        <w:ind w:left="12172" w:hanging="219"/>
      </w:pPr>
      <w:rPr>
        <w:rFonts w:hint="default"/>
        <w:lang w:val="en-US" w:eastAsia="en-US" w:bidi="ar-SA"/>
      </w:rPr>
    </w:lvl>
    <w:lvl w:ilvl="7">
      <w:start w:val="0"/>
      <w:numFmt w:val="bullet"/>
      <w:lvlText w:val="•"/>
      <w:lvlJc w:val="left"/>
      <w:pPr>
        <w:ind w:left="11943" w:hanging="219"/>
      </w:pPr>
      <w:rPr>
        <w:rFonts w:hint="default"/>
        <w:lang w:val="en-US" w:eastAsia="en-US" w:bidi="ar-SA"/>
      </w:rPr>
    </w:lvl>
    <w:lvl w:ilvl="8">
      <w:start w:val="0"/>
      <w:numFmt w:val="bullet"/>
      <w:lvlText w:val="•"/>
      <w:lvlJc w:val="left"/>
      <w:pPr>
        <w:ind w:left="11714" w:hanging="219"/>
      </w:pPr>
      <w:rPr>
        <w:rFonts w:hint="default"/>
        <w:lang w:val="en-US" w:eastAsia="en-US" w:bidi="ar-SA"/>
      </w:rPr>
    </w:lvl>
  </w:abstractNum>
  <w:abstractNum w:abstractNumId="15">
    <w:multiLevelType w:val="hybridMultilevel"/>
    <w:lvl w:ilvl="0">
      <w:start w:val="0"/>
      <w:numFmt w:val="bullet"/>
      <w:lvlText w:val="•"/>
      <w:lvlJc w:val="left"/>
      <w:pPr>
        <w:ind w:left="1520" w:hanging="241"/>
      </w:pPr>
      <w:rPr>
        <w:rFonts w:hint="default" w:ascii="Arial" w:hAnsi="Arial" w:eastAsia="Arial" w:cs="Arial"/>
        <w:b w:val="0"/>
        <w:bCs w:val="0"/>
        <w:i w:val="0"/>
        <w:iCs w:val="0"/>
        <w:color w:val="105C84"/>
        <w:spacing w:val="0"/>
        <w:w w:val="142"/>
        <w:sz w:val="22"/>
        <w:szCs w:val="22"/>
        <w:lang w:val="en-US" w:eastAsia="en-US" w:bidi="ar-SA"/>
      </w:rPr>
    </w:lvl>
    <w:lvl w:ilvl="1">
      <w:start w:val="0"/>
      <w:numFmt w:val="bullet"/>
      <w:lvlText w:val="•"/>
      <w:lvlJc w:val="left"/>
      <w:pPr>
        <w:ind w:left="2520" w:hanging="241"/>
      </w:pPr>
      <w:rPr>
        <w:rFonts w:hint="default"/>
        <w:lang w:val="en-US" w:eastAsia="en-US" w:bidi="ar-SA"/>
      </w:rPr>
    </w:lvl>
    <w:lvl w:ilvl="2">
      <w:start w:val="0"/>
      <w:numFmt w:val="bullet"/>
      <w:lvlText w:val="•"/>
      <w:lvlJc w:val="left"/>
      <w:pPr>
        <w:ind w:left="3520" w:hanging="241"/>
      </w:pPr>
      <w:rPr>
        <w:rFonts w:hint="default"/>
        <w:lang w:val="en-US" w:eastAsia="en-US" w:bidi="ar-SA"/>
      </w:rPr>
    </w:lvl>
    <w:lvl w:ilvl="3">
      <w:start w:val="0"/>
      <w:numFmt w:val="bullet"/>
      <w:lvlText w:val="•"/>
      <w:lvlJc w:val="left"/>
      <w:pPr>
        <w:ind w:left="4520" w:hanging="241"/>
      </w:pPr>
      <w:rPr>
        <w:rFonts w:hint="default"/>
        <w:lang w:val="en-US" w:eastAsia="en-US" w:bidi="ar-SA"/>
      </w:rPr>
    </w:lvl>
    <w:lvl w:ilvl="4">
      <w:start w:val="0"/>
      <w:numFmt w:val="bullet"/>
      <w:lvlText w:val="•"/>
      <w:lvlJc w:val="left"/>
      <w:pPr>
        <w:ind w:left="5520" w:hanging="241"/>
      </w:pPr>
      <w:rPr>
        <w:rFonts w:hint="default"/>
        <w:lang w:val="en-US" w:eastAsia="en-US" w:bidi="ar-SA"/>
      </w:rPr>
    </w:lvl>
    <w:lvl w:ilvl="5">
      <w:start w:val="0"/>
      <w:numFmt w:val="bullet"/>
      <w:lvlText w:val="•"/>
      <w:lvlJc w:val="left"/>
      <w:pPr>
        <w:ind w:left="6520" w:hanging="241"/>
      </w:pPr>
      <w:rPr>
        <w:rFonts w:hint="default"/>
        <w:lang w:val="en-US" w:eastAsia="en-US" w:bidi="ar-SA"/>
      </w:rPr>
    </w:lvl>
    <w:lvl w:ilvl="6">
      <w:start w:val="0"/>
      <w:numFmt w:val="bullet"/>
      <w:lvlText w:val="•"/>
      <w:lvlJc w:val="left"/>
      <w:pPr>
        <w:ind w:left="7520" w:hanging="241"/>
      </w:pPr>
      <w:rPr>
        <w:rFonts w:hint="default"/>
        <w:lang w:val="en-US" w:eastAsia="en-US" w:bidi="ar-SA"/>
      </w:rPr>
    </w:lvl>
    <w:lvl w:ilvl="7">
      <w:start w:val="0"/>
      <w:numFmt w:val="bullet"/>
      <w:lvlText w:val="•"/>
      <w:lvlJc w:val="left"/>
      <w:pPr>
        <w:ind w:left="8520" w:hanging="241"/>
      </w:pPr>
      <w:rPr>
        <w:rFonts w:hint="default"/>
        <w:lang w:val="en-US" w:eastAsia="en-US" w:bidi="ar-SA"/>
      </w:rPr>
    </w:lvl>
    <w:lvl w:ilvl="8">
      <w:start w:val="0"/>
      <w:numFmt w:val="bullet"/>
      <w:lvlText w:val="•"/>
      <w:lvlJc w:val="left"/>
      <w:pPr>
        <w:ind w:left="9520" w:hanging="241"/>
      </w:pPr>
      <w:rPr>
        <w:rFonts w:hint="default"/>
        <w:lang w:val="en-US" w:eastAsia="en-US" w:bidi="ar-SA"/>
      </w:rPr>
    </w:lvl>
  </w:abstractNum>
  <w:abstractNum w:abstractNumId="12">
    <w:multiLevelType w:val="hybridMultilevel"/>
    <w:lvl w:ilvl="0">
      <w:start w:val="1"/>
      <w:numFmt w:val="decimal"/>
      <w:lvlText w:val="%1-"/>
      <w:lvlJc w:val="left"/>
      <w:pPr>
        <w:ind w:left="142" w:hanging="143"/>
        <w:jc w:val="left"/>
      </w:pPr>
      <w:rPr>
        <w:rFonts w:hint="default" w:ascii="Arial" w:hAnsi="Arial" w:eastAsia="Arial" w:cs="Arial"/>
        <w:b w:val="0"/>
        <w:bCs w:val="0"/>
        <w:i w:val="0"/>
        <w:iCs w:val="0"/>
        <w:color w:val="105B83"/>
        <w:spacing w:val="0"/>
        <w:w w:val="97"/>
        <w:sz w:val="14"/>
        <w:szCs w:val="14"/>
        <w:lang w:val="en-US" w:eastAsia="en-US" w:bidi="ar-SA"/>
      </w:rPr>
    </w:lvl>
    <w:lvl w:ilvl="1">
      <w:start w:val="0"/>
      <w:numFmt w:val="bullet"/>
      <w:lvlText w:val="•"/>
      <w:lvlJc w:val="left"/>
      <w:pPr>
        <w:ind w:left="215" w:hanging="143"/>
      </w:pPr>
      <w:rPr>
        <w:rFonts w:hint="default"/>
        <w:lang w:val="en-US" w:eastAsia="en-US" w:bidi="ar-SA"/>
      </w:rPr>
    </w:lvl>
    <w:lvl w:ilvl="2">
      <w:start w:val="0"/>
      <w:numFmt w:val="bullet"/>
      <w:lvlText w:val="•"/>
      <w:lvlJc w:val="left"/>
      <w:pPr>
        <w:ind w:left="290" w:hanging="143"/>
      </w:pPr>
      <w:rPr>
        <w:rFonts w:hint="default"/>
        <w:lang w:val="en-US" w:eastAsia="en-US" w:bidi="ar-SA"/>
      </w:rPr>
    </w:lvl>
    <w:lvl w:ilvl="3">
      <w:start w:val="0"/>
      <w:numFmt w:val="bullet"/>
      <w:lvlText w:val="•"/>
      <w:lvlJc w:val="left"/>
      <w:pPr>
        <w:ind w:left="365" w:hanging="143"/>
      </w:pPr>
      <w:rPr>
        <w:rFonts w:hint="default"/>
        <w:lang w:val="en-US" w:eastAsia="en-US" w:bidi="ar-SA"/>
      </w:rPr>
    </w:lvl>
    <w:lvl w:ilvl="4">
      <w:start w:val="0"/>
      <w:numFmt w:val="bullet"/>
      <w:lvlText w:val="•"/>
      <w:lvlJc w:val="left"/>
      <w:pPr>
        <w:ind w:left="441" w:hanging="143"/>
      </w:pPr>
      <w:rPr>
        <w:rFonts w:hint="default"/>
        <w:lang w:val="en-US" w:eastAsia="en-US" w:bidi="ar-SA"/>
      </w:rPr>
    </w:lvl>
    <w:lvl w:ilvl="5">
      <w:start w:val="0"/>
      <w:numFmt w:val="bullet"/>
      <w:lvlText w:val="•"/>
      <w:lvlJc w:val="left"/>
      <w:pPr>
        <w:ind w:left="516" w:hanging="143"/>
      </w:pPr>
      <w:rPr>
        <w:rFonts w:hint="default"/>
        <w:lang w:val="en-US" w:eastAsia="en-US" w:bidi="ar-SA"/>
      </w:rPr>
    </w:lvl>
    <w:lvl w:ilvl="6">
      <w:start w:val="0"/>
      <w:numFmt w:val="bullet"/>
      <w:lvlText w:val="•"/>
      <w:lvlJc w:val="left"/>
      <w:pPr>
        <w:ind w:left="591" w:hanging="143"/>
      </w:pPr>
      <w:rPr>
        <w:rFonts w:hint="default"/>
        <w:lang w:val="en-US" w:eastAsia="en-US" w:bidi="ar-SA"/>
      </w:rPr>
    </w:lvl>
    <w:lvl w:ilvl="7">
      <w:start w:val="0"/>
      <w:numFmt w:val="bullet"/>
      <w:lvlText w:val="•"/>
      <w:lvlJc w:val="left"/>
      <w:pPr>
        <w:ind w:left="666" w:hanging="143"/>
      </w:pPr>
      <w:rPr>
        <w:rFonts w:hint="default"/>
        <w:lang w:val="en-US" w:eastAsia="en-US" w:bidi="ar-SA"/>
      </w:rPr>
    </w:lvl>
    <w:lvl w:ilvl="8">
      <w:start w:val="0"/>
      <w:numFmt w:val="bullet"/>
      <w:lvlText w:val="•"/>
      <w:lvlJc w:val="left"/>
      <w:pPr>
        <w:ind w:left="742" w:hanging="143"/>
      </w:pPr>
      <w:rPr>
        <w:rFonts w:hint="default"/>
        <w:lang w:val="en-US" w:eastAsia="en-US" w:bidi="ar-SA"/>
      </w:rPr>
    </w:lvl>
  </w:abstractNum>
  <w:abstractNum w:abstractNumId="11">
    <w:multiLevelType w:val="hybridMultilevel"/>
    <w:lvl w:ilvl="0">
      <w:start w:val="1"/>
      <w:numFmt w:val="decimal"/>
      <w:lvlText w:val="%1."/>
      <w:lvlJc w:val="left"/>
      <w:pPr>
        <w:ind w:left="614" w:hanging="214"/>
        <w:jc w:val="left"/>
      </w:pPr>
      <w:rPr>
        <w:rFonts w:hint="default" w:ascii="Arial" w:hAnsi="Arial" w:eastAsia="Arial" w:cs="Arial"/>
        <w:b w:val="0"/>
        <w:bCs w:val="0"/>
        <w:i w:val="0"/>
        <w:iCs w:val="0"/>
        <w:color w:val="105C84"/>
        <w:spacing w:val="0"/>
        <w:w w:val="93"/>
        <w:sz w:val="20"/>
        <w:szCs w:val="20"/>
        <w:lang w:val="en-US" w:eastAsia="en-US" w:bidi="ar-SA"/>
      </w:rPr>
    </w:lvl>
    <w:lvl w:ilvl="1">
      <w:start w:val="0"/>
      <w:numFmt w:val="bullet"/>
      <w:lvlText w:val="•"/>
      <w:lvlJc w:val="left"/>
      <w:pPr>
        <w:ind w:left="1324" w:hanging="214"/>
      </w:pPr>
      <w:rPr>
        <w:rFonts w:hint="default"/>
        <w:lang w:val="en-US" w:eastAsia="en-US" w:bidi="ar-SA"/>
      </w:rPr>
    </w:lvl>
    <w:lvl w:ilvl="2">
      <w:start w:val="0"/>
      <w:numFmt w:val="bullet"/>
      <w:lvlText w:val="•"/>
      <w:lvlJc w:val="left"/>
      <w:pPr>
        <w:ind w:left="2029" w:hanging="214"/>
      </w:pPr>
      <w:rPr>
        <w:rFonts w:hint="default"/>
        <w:lang w:val="en-US" w:eastAsia="en-US" w:bidi="ar-SA"/>
      </w:rPr>
    </w:lvl>
    <w:lvl w:ilvl="3">
      <w:start w:val="0"/>
      <w:numFmt w:val="bullet"/>
      <w:lvlText w:val="•"/>
      <w:lvlJc w:val="left"/>
      <w:pPr>
        <w:ind w:left="2734" w:hanging="214"/>
      </w:pPr>
      <w:rPr>
        <w:rFonts w:hint="default"/>
        <w:lang w:val="en-US" w:eastAsia="en-US" w:bidi="ar-SA"/>
      </w:rPr>
    </w:lvl>
    <w:lvl w:ilvl="4">
      <w:start w:val="0"/>
      <w:numFmt w:val="bullet"/>
      <w:lvlText w:val="•"/>
      <w:lvlJc w:val="left"/>
      <w:pPr>
        <w:ind w:left="3439" w:hanging="214"/>
      </w:pPr>
      <w:rPr>
        <w:rFonts w:hint="default"/>
        <w:lang w:val="en-US" w:eastAsia="en-US" w:bidi="ar-SA"/>
      </w:rPr>
    </w:lvl>
    <w:lvl w:ilvl="5">
      <w:start w:val="0"/>
      <w:numFmt w:val="bullet"/>
      <w:lvlText w:val="•"/>
      <w:lvlJc w:val="left"/>
      <w:pPr>
        <w:ind w:left="4144" w:hanging="214"/>
      </w:pPr>
      <w:rPr>
        <w:rFonts w:hint="default"/>
        <w:lang w:val="en-US" w:eastAsia="en-US" w:bidi="ar-SA"/>
      </w:rPr>
    </w:lvl>
    <w:lvl w:ilvl="6">
      <w:start w:val="0"/>
      <w:numFmt w:val="bullet"/>
      <w:lvlText w:val="•"/>
      <w:lvlJc w:val="left"/>
      <w:pPr>
        <w:ind w:left="4848" w:hanging="214"/>
      </w:pPr>
      <w:rPr>
        <w:rFonts w:hint="default"/>
        <w:lang w:val="en-US" w:eastAsia="en-US" w:bidi="ar-SA"/>
      </w:rPr>
    </w:lvl>
    <w:lvl w:ilvl="7">
      <w:start w:val="0"/>
      <w:numFmt w:val="bullet"/>
      <w:lvlText w:val="•"/>
      <w:lvlJc w:val="left"/>
      <w:pPr>
        <w:ind w:left="5553" w:hanging="214"/>
      </w:pPr>
      <w:rPr>
        <w:rFonts w:hint="default"/>
        <w:lang w:val="en-US" w:eastAsia="en-US" w:bidi="ar-SA"/>
      </w:rPr>
    </w:lvl>
    <w:lvl w:ilvl="8">
      <w:start w:val="0"/>
      <w:numFmt w:val="bullet"/>
      <w:lvlText w:val="•"/>
      <w:lvlJc w:val="left"/>
      <w:pPr>
        <w:ind w:left="6258" w:hanging="214"/>
      </w:pPr>
      <w:rPr>
        <w:rFonts w:hint="default"/>
        <w:lang w:val="en-US" w:eastAsia="en-US" w:bidi="ar-SA"/>
      </w:rPr>
    </w:lvl>
  </w:abstractNum>
  <w:abstractNum w:abstractNumId="10">
    <w:multiLevelType w:val="hybridMultilevel"/>
    <w:lvl w:ilvl="0">
      <w:start w:val="1"/>
      <w:numFmt w:val="decimal"/>
      <w:lvlText w:val="%1."/>
      <w:lvlJc w:val="left"/>
      <w:pPr>
        <w:ind w:left="614" w:hanging="214"/>
        <w:jc w:val="left"/>
      </w:pPr>
      <w:rPr>
        <w:rFonts w:hint="default" w:ascii="Arial" w:hAnsi="Arial" w:eastAsia="Arial" w:cs="Arial"/>
        <w:b w:val="0"/>
        <w:bCs w:val="0"/>
        <w:i w:val="0"/>
        <w:iCs w:val="0"/>
        <w:color w:val="105C84"/>
        <w:spacing w:val="0"/>
        <w:w w:val="93"/>
        <w:sz w:val="20"/>
        <w:szCs w:val="20"/>
        <w:lang w:val="en-US" w:eastAsia="en-US" w:bidi="ar-SA"/>
      </w:rPr>
    </w:lvl>
    <w:lvl w:ilvl="1">
      <w:start w:val="0"/>
      <w:numFmt w:val="bullet"/>
      <w:lvlText w:val="•"/>
      <w:lvlJc w:val="left"/>
      <w:pPr>
        <w:ind w:left="1324" w:hanging="214"/>
      </w:pPr>
      <w:rPr>
        <w:rFonts w:hint="default"/>
        <w:lang w:val="en-US" w:eastAsia="en-US" w:bidi="ar-SA"/>
      </w:rPr>
    </w:lvl>
    <w:lvl w:ilvl="2">
      <w:start w:val="0"/>
      <w:numFmt w:val="bullet"/>
      <w:lvlText w:val="•"/>
      <w:lvlJc w:val="left"/>
      <w:pPr>
        <w:ind w:left="2029" w:hanging="214"/>
      </w:pPr>
      <w:rPr>
        <w:rFonts w:hint="default"/>
        <w:lang w:val="en-US" w:eastAsia="en-US" w:bidi="ar-SA"/>
      </w:rPr>
    </w:lvl>
    <w:lvl w:ilvl="3">
      <w:start w:val="0"/>
      <w:numFmt w:val="bullet"/>
      <w:lvlText w:val="•"/>
      <w:lvlJc w:val="left"/>
      <w:pPr>
        <w:ind w:left="2734" w:hanging="214"/>
      </w:pPr>
      <w:rPr>
        <w:rFonts w:hint="default"/>
        <w:lang w:val="en-US" w:eastAsia="en-US" w:bidi="ar-SA"/>
      </w:rPr>
    </w:lvl>
    <w:lvl w:ilvl="4">
      <w:start w:val="0"/>
      <w:numFmt w:val="bullet"/>
      <w:lvlText w:val="•"/>
      <w:lvlJc w:val="left"/>
      <w:pPr>
        <w:ind w:left="3439" w:hanging="214"/>
      </w:pPr>
      <w:rPr>
        <w:rFonts w:hint="default"/>
        <w:lang w:val="en-US" w:eastAsia="en-US" w:bidi="ar-SA"/>
      </w:rPr>
    </w:lvl>
    <w:lvl w:ilvl="5">
      <w:start w:val="0"/>
      <w:numFmt w:val="bullet"/>
      <w:lvlText w:val="•"/>
      <w:lvlJc w:val="left"/>
      <w:pPr>
        <w:ind w:left="4144" w:hanging="214"/>
      </w:pPr>
      <w:rPr>
        <w:rFonts w:hint="default"/>
        <w:lang w:val="en-US" w:eastAsia="en-US" w:bidi="ar-SA"/>
      </w:rPr>
    </w:lvl>
    <w:lvl w:ilvl="6">
      <w:start w:val="0"/>
      <w:numFmt w:val="bullet"/>
      <w:lvlText w:val="•"/>
      <w:lvlJc w:val="left"/>
      <w:pPr>
        <w:ind w:left="4848" w:hanging="214"/>
      </w:pPr>
      <w:rPr>
        <w:rFonts w:hint="default"/>
        <w:lang w:val="en-US" w:eastAsia="en-US" w:bidi="ar-SA"/>
      </w:rPr>
    </w:lvl>
    <w:lvl w:ilvl="7">
      <w:start w:val="0"/>
      <w:numFmt w:val="bullet"/>
      <w:lvlText w:val="•"/>
      <w:lvlJc w:val="left"/>
      <w:pPr>
        <w:ind w:left="5553" w:hanging="214"/>
      </w:pPr>
      <w:rPr>
        <w:rFonts w:hint="default"/>
        <w:lang w:val="en-US" w:eastAsia="en-US" w:bidi="ar-SA"/>
      </w:rPr>
    </w:lvl>
    <w:lvl w:ilvl="8">
      <w:start w:val="0"/>
      <w:numFmt w:val="bullet"/>
      <w:lvlText w:val="•"/>
      <w:lvlJc w:val="left"/>
      <w:pPr>
        <w:ind w:left="6258" w:hanging="214"/>
      </w:pPr>
      <w:rPr>
        <w:rFonts w:hint="default"/>
        <w:lang w:val="en-US" w:eastAsia="en-US" w:bidi="ar-SA"/>
      </w:rPr>
    </w:lvl>
  </w:abstractNum>
  <w:abstractNum w:abstractNumId="9">
    <w:multiLevelType w:val="hybridMultilevel"/>
    <w:lvl w:ilvl="0">
      <w:start w:val="1"/>
      <w:numFmt w:val="decimal"/>
      <w:lvlText w:val="%1."/>
      <w:lvlJc w:val="left"/>
      <w:pPr>
        <w:ind w:left="614" w:hanging="214"/>
        <w:jc w:val="left"/>
      </w:pPr>
      <w:rPr>
        <w:rFonts w:hint="default" w:ascii="Arial" w:hAnsi="Arial" w:eastAsia="Arial" w:cs="Arial"/>
        <w:b w:val="0"/>
        <w:bCs w:val="0"/>
        <w:i w:val="0"/>
        <w:iCs w:val="0"/>
        <w:color w:val="105C84"/>
        <w:spacing w:val="0"/>
        <w:w w:val="93"/>
        <w:sz w:val="20"/>
        <w:szCs w:val="20"/>
        <w:lang w:val="en-US" w:eastAsia="en-US" w:bidi="ar-SA"/>
      </w:rPr>
    </w:lvl>
    <w:lvl w:ilvl="1">
      <w:start w:val="0"/>
      <w:numFmt w:val="bullet"/>
      <w:lvlText w:val="•"/>
      <w:lvlJc w:val="left"/>
      <w:pPr>
        <w:ind w:left="1324" w:hanging="214"/>
      </w:pPr>
      <w:rPr>
        <w:rFonts w:hint="default"/>
        <w:lang w:val="en-US" w:eastAsia="en-US" w:bidi="ar-SA"/>
      </w:rPr>
    </w:lvl>
    <w:lvl w:ilvl="2">
      <w:start w:val="0"/>
      <w:numFmt w:val="bullet"/>
      <w:lvlText w:val="•"/>
      <w:lvlJc w:val="left"/>
      <w:pPr>
        <w:ind w:left="2029" w:hanging="214"/>
      </w:pPr>
      <w:rPr>
        <w:rFonts w:hint="default"/>
        <w:lang w:val="en-US" w:eastAsia="en-US" w:bidi="ar-SA"/>
      </w:rPr>
    </w:lvl>
    <w:lvl w:ilvl="3">
      <w:start w:val="0"/>
      <w:numFmt w:val="bullet"/>
      <w:lvlText w:val="•"/>
      <w:lvlJc w:val="left"/>
      <w:pPr>
        <w:ind w:left="2734" w:hanging="214"/>
      </w:pPr>
      <w:rPr>
        <w:rFonts w:hint="default"/>
        <w:lang w:val="en-US" w:eastAsia="en-US" w:bidi="ar-SA"/>
      </w:rPr>
    </w:lvl>
    <w:lvl w:ilvl="4">
      <w:start w:val="0"/>
      <w:numFmt w:val="bullet"/>
      <w:lvlText w:val="•"/>
      <w:lvlJc w:val="left"/>
      <w:pPr>
        <w:ind w:left="3439" w:hanging="214"/>
      </w:pPr>
      <w:rPr>
        <w:rFonts w:hint="default"/>
        <w:lang w:val="en-US" w:eastAsia="en-US" w:bidi="ar-SA"/>
      </w:rPr>
    </w:lvl>
    <w:lvl w:ilvl="5">
      <w:start w:val="0"/>
      <w:numFmt w:val="bullet"/>
      <w:lvlText w:val="•"/>
      <w:lvlJc w:val="left"/>
      <w:pPr>
        <w:ind w:left="4144" w:hanging="214"/>
      </w:pPr>
      <w:rPr>
        <w:rFonts w:hint="default"/>
        <w:lang w:val="en-US" w:eastAsia="en-US" w:bidi="ar-SA"/>
      </w:rPr>
    </w:lvl>
    <w:lvl w:ilvl="6">
      <w:start w:val="0"/>
      <w:numFmt w:val="bullet"/>
      <w:lvlText w:val="•"/>
      <w:lvlJc w:val="left"/>
      <w:pPr>
        <w:ind w:left="4848" w:hanging="214"/>
      </w:pPr>
      <w:rPr>
        <w:rFonts w:hint="default"/>
        <w:lang w:val="en-US" w:eastAsia="en-US" w:bidi="ar-SA"/>
      </w:rPr>
    </w:lvl>
    <w:lvl w:ilvl="7">
      <w:start w:val="0"/>
      <w:numFmt w:val="bullet"/>
      <w:lvlText w:val="•"/>
      <w:lvlJc w:val="left"/>
      <w:pPr>
        <w:ind w:left="5553" w:hanging="214"/>
      </w:pPr>
      <w:rPr>
        <w:rFonts w:hint="default"/>
        <w:lang w:val="en-US" w:eastAsia="en-US" w:bidi="ar-SA"/>
      </w:rPr>
    </w:lvl>
    <w:lvl w:ilvl="8">
      <w:start w:val="0"/>
      <w:numFmt w:val="bullet"/>
      <w:lvlText w:val="•"/>
      <w:lvlJc w:val="left"/>
      <w:pPr>
        <w:ind w:left="6258" w:hanging="214"/>
      </w:pPr>
      <w:rPr>
        <w:rFonts w:hint="default"/>
        <w:lang w:val="en-US" w:eastAsia="en-US" w:bidi="ar-SA"/>
      </w:rPr>
    </w:lvl>
  </w:abstractNum>
  <w:abstractNum w:abstractNumId="8">
    <w:multiLevelType w:val="hybridMultilevel"/>
    <w:lvl w:ilvl="0">
      <w:start w:val="2"/>
      <w:numFmt w:val="decimal"/>
      <w:lvlText w:val="%1."/>
      <w:lvlJc w:val="left"/>
      <w:pPr>
        <w:ind w:left="614" w:hanging="214"/>
        <w:jc w:val="left"/>
      </w:pPr>
      <w:rPr>
        <w:rFonts w:hint="default" w:ascii="Arial" w:hAnsi="Arial" w:eastAsia="Arial" w:cs="Arial"/>
        <w:b w:val="0"/>
        <w:bCs w:val="0"/>
        <w:i w:val="0"/>
        <w:iCs w:val="0"/>
        <w:color w:val="105C84"/>
        <w:spacing w:val="0"/>
        <w:w w:val="93"/>
        <w:sz w:val="20"/>
        <w:szCs w:val="20"/>
        <w:lang w:val="en-US" w:eastAsia="en-US" w:bidi="ar-SA"/>
      </w:rPr>
    </w:lvl>
    <w:lvl w:ilvl="1">
      <w:start w:val="0"/>
      <w:numFmt w:val="bullet"/>
      <w:lvlText w:val="•"/>
      <w:lvlJc w:val="left"/>
      <w:pPr>
        <w:ind w:left="1324" w:hanging="214"/>
      </w:pPr>
      <w:rPr>
        <w:rFonts w:hint="default"/>
        <w:lang w:val="en-US" w:eastAsia="en-US" w:bidi="ar-SA"/>
      </w:rPr>
    </w:lvl>
    <w:lvl w:ilvl="2">
      <w:start w:val="0"/>
      <w:numFmt w:val="bullet"/>
      <w:lvlText w:val="•"/>
      <w:lvlJc w:val="left"/>
      <w:pPr>
        <w:ind w:left="2029" w:hanging="214"/>
      </w:pPr>
      <w:rPr>
        <w:rFonts w:hint="default"/>
        <w:lang w:val="en-US" w:eastAsia="en-US" w:bidi="ar-SA"/>
      </w:rPr>
    </w:lvl>
    <w:lvl w:ilvl="3">
      <w:start w:val="0"/>
      <w:numFmt w:val="bullet"/>
      <w:lvlText w:val="•"/>
      <w:lvlJc w:val="left"/>
      <w:pPr>
        <w:ind w:left="2734" w:hanging="214"/>
      </w:pPr>
      <w:rPr>
        <w:rFonts w:hint="default"/>
        <w:lang w:val="en-US" w:eastAsia="en-US" w:bidi="ar-SA"/>
      </w:rPr>
    </w:lvl>
    <w:lvl w:ilvl="4">
      <w:start w:val="0"/>
      <w:numFmt w:val="bullet"/>
      <w:lvlText w:val="•"/>
      <w:lvlJc w:val="left"/>
      <w:pPr>
        <w:ind w:left="3439" w:hanging="214"/>
      </w:pPr>
      <w:rPr>
        <w:rFonts w:hint="default"/>
        <w:lang w:val="en-US" w:eastAsia="en-US" w:bidi="ar-SA"/>
      </w:rPr>
    </w:lvl>
    <w:lvl w:ilvl="5">
      <w:start w:val="0"/>
      <w:numFmt w:val="bullet"/>
      <w:lvlText w:val="•"/>
      <w:lvlJc w:val="left"/>
      <w:pPr>
        <w:ind w:left="4144" w:hanging="214"/>
      </w:pPr>
      <w:rPr>
        <w:rFonts w:hint="default"/>
        <w:lang w:val="en-US" w:eastAsia="en-US" w:bidi="ar-SA"/>
      </w:rPr>
    </w:lvl>
    <w:lvl w:ilvl="6">
      <w:start w:val="0"/>
      <w:numFmt w:val="bullet"/>
      <w:lvlText w:val="•"/>
      <w:lvlJc w:val="left"/>
      <w:pPr>
        <w:ind w:left="4848" w:hanging="214"/>
      </w:pPr>
      <w:rPr>
        <w:rFonts w:hint="default"/>
        <w:lang w:val="en-US" w:eastAsia="en-US" w:bidi="ar-SA"/>
      </w:rPr>
    </w:lvl>
    <w:lvl w:ilvl="7">
      <w:start w:val="0"/>
      <w:numFmt w:val="bullet"/>
      <w:lvlText w:val="•"/>
      <w:lvlJc w:val="left"/>
      <w:pPr>
        <w:ind w:left="5553" w:hanging="214"/>
      </w:pPr>
      <w:rPr>
        <w:rFonts w:hint="default"/>
        <w:lang w:val="en-US" w:eastAsia="en-US" w:bidi="ar-SA"/>
      </w:rPr>
    </w:lvl>
    <w:lvl w:ilvl="8">
      <w:start w:val="0"/>
      <w:numFmt w:val="bullet"/>
      <w:lvlText w:val="•"/>
      <w:lvlJc w:val="left"/>
      <w:pPr>
        <w:ind w:left="6258" w:hanging="214"/>
      </w:pPr>
      <w:rPr>
        <w:rFonts w:hint="default"/>
        <w:lang w:val="en-US" w:eastAsia="en-US" w:bidi="ar-SA"/>
      </w:rPr>
    </w:lvl>
  </w:abstractNum>
  <w:abstractNum w:abstractNumId="7">
    <w:multiLevelType w:val="hybridMultilevel"/>
    <w:lvl w:ilvl="0">
      <w:start w:val="1"/>
      <w:numFmt w:val="decimal"/>
      <w:lvlText w:val="%1."/>
      <w:lvlJc w:val="left"/>
      <w:pPr>
        <w:ind w:left="614" w:hanging="214"/>
        <w:jc w:val="left"/>
      </w:pPr>
      <w:rPr>
        <w:rFonts w:hint="default" w:ascii="Arial" w:hAnsi="Arial" w:eastAsia="Arial" w:cs="Arial"/>
        <w:b w:val="0"/>
        <w:bCs w:val="0"/>
        <w:i w:val="0"/>
        <w:iCs w:val="0"/>
        <w:color w:val="105C84"/>
        <w:spacing w:val="0"/>
        <w:w w:val="93"/>
        <w:sz w:val="20"/>
        <w:szCs w:val="20"/>
        <w:lang w:val="en-US" w:eastAsia="en-US" w:bidi="ar-SA"/>
      </w:rPr>
    </w:lvl>
    <w:lvl w:ilvl="1">
      <w:start w:val="0"/>
      <w:numFmt w:val="bullet"/>
      <w:lvlText w:val="•"/>
      <w:lvlJc w:val="left"/>
      <w:pPr>
        <w:ind w:left="1324" w:hanging="214"/>
      </w:pPr>
      <w:rPr>
        <w:rFonts w:hint="default"/>
        <w:lang w:val="en-US" w:eastAsia="en-US" w:bidi="ar-SA"/>
      </w:rPr>
    </w:lvl>
    <w:lvl w:ilvl="2">
      <w:start w:val="0"/>
      <w:numFmt w:val="bullet"/>
      <w:lvlText w:val="•"/>
      <w:lvlJc w:val="left"/>
      <w:pPr>
        <w:ind w:left="2029" w:hanging="214"/>
      </w:pPr>
      <w:rPr>
        <w:rFonts w:hint="default"/>
        <w:lang w:val="en-US" w:eastAsia="en-US" w:bidi="ar-SA"/>
      </w:rPr>
    </w:lvl>
    <w:lvl w:ilvl="3">
      <w:start w:val="0"/>
      <w:numFmt w:val="bullet"/>
      <w:lvlText w:val="•"/>
      <w:lvlJc w:val="left"/>
      <w:pPr>
        <w:ind w:left="2734" w:hanging="214"/>
      </w:pPr>
      <w:rPr>
        <w:rFonts w:hint="default"/>
        <w:lang w:val="en-US" w:eastAsia="en-US" w:bidi="ar-SA"/>
      </w:rPr>
    </w:lvl>
    <w:lvl w:ilvl="4">
      <w:start w:val="0"/>
      <w:numFmt w:val="bullet"/>
      <w:lvlText w:val="•"/>
      <w:lvlJc w:val="left"/>
      <w:pPr>
        <w:ind w:left="3439" w:hanging="214"/>
      </w:pPr>
      <w:rPr>
        <w:rFonts w:hint="default"/>
        <w:lang w:val="en-US" w:eastAsia="en-US" w:bidi="ar-SA"/>
      </w:rPr>
    </w:lvl>
    <w:lvl w:ilvl="5">
      <w:start w:val="0"/>
      <w:numFmt w:val="bullet"/>
      <w:lvlText w:val="•"/>
      <w:lvlJc w:val="left"/>
      <w:pPr>
        <w:ind w:left="4144" w:hanging="214"/>
      </w:pPr>
      <w:rPr>
        <w:rFonts w:hint="default"/>
        <w:lang w:val="en-US" w:eastAsia="en-US" w:bidi="ar-SA"/>
      </w:rPr>
    </w:lvl>
    <w:lvl w:ilvl="6">
      <w:start w:val="0"/>
      <w:numFmt w:val="bullet"/>
      <w:lvlText w:val="•"/>
      <w:lvlJc w:val="left"/>
      <w:pPr>
        <w:ind w:left="4848" w:hanging="214"/>
      </w:pPr>
      <w:rPr>
        <w:rFonts w:hint="default"/>
        <w:lang w:val="en-US" w:eastAsia="en-US" w:bidi="ar-SA"/>
      </w:rPr>
    </w:lvl>
    <w:lvl w:ilvl="7">
      <w:start w:val="0"/>
      <w:numFmt w:val="bullet"/>
      <w:lvlText w:val="•"/>
      <w:lvlJc w:val="left"/>
      <w:pPr>
        <w:ind w:left="5553" w:hanging="214"/>
      </w:pPr>
      <w:rPr>
        <w:rFonts w:hint="default"/>
        <w:lang w:val="en-US" w:eastAsia="en-US" w:bidi="ar-SA"/>
      </w:rPr>
    </w:lvl>
    <w:lvl w:ilvl="8">
      <w:start w:val="0"/>
      <w:numFmt w:val="bullet"/>
      <w:lvlText w:val="•"/>
      <w:lvlJc w:val="left"/>
      <w:pPr>
        <w:ind w:left="6258" w:hanging="214"/>
      </w:pPr>
      <w:rPr>
        <w:rFonts w:hint="default"/>
        <w:lang w:val="en-US" w:eastAsia="en-US" w:bidi="ar-SA"/>
      </w:rPr>
    </w:lvl>
  </w:abstractNum>
  <w:abstractNum w:abstractNumId="6">
    <w:multiLevelType w:val="hybridMultilevel"/>
    <w:lvl w:ilvl="0">
      <w:start w:val="1"/>
      <w:numFmt w:val="decimal"/>
      <w:lvlText w:val="%1."/>
      <w:lvlJc w:val="left"/>
      <w:pPr>
        <w:ind w:left="614" w:hanging="214"/>
        <w:jc w:val="left"/>
      </w:pPr>
      <w:rPr>
        <w:rFonts w:hint="default" w:ascii="Arial" w:hAnsi="Arial" w:eastAsia="Arial" w:cs="Arial"/>
        <w:b w:val="0"/>
        <w:bCs w:val="0"/>
        <w:i w:val="0"/>
        <w:iCs w:val="0"/>
        <w:color w:val="105C84"/>
        <w:spacing w:val="0"/>
        <w:w w:val="93"/>
        <w:sz w:val="20"/>
        <w:szCs w:val="20"/>
        <w:lang w:val="en-US" w:eastAsia="en-US" w:bidi="ar-SA"/>
      </w:rPr>
    </w:lvl>
    <w:lvl w:ilvl="1">
      <w:start w:val="0"/>
      <w:numFmt w:val="bullet"/>
      <w:lvlText w:val="•"/>
      <w:lvlJc w:val="left"/>
      <w:pPr>
        <w:ind w:left="1324" w:hanging="214"/>
      </w:pPr>
      <w:rPr>
        <w:rFonts w:hint="default"/>
        <w:lang w:val="en-US" w:eastAsia="en-US" w:bidi="ar-SA"/>
      </w:rPr>
    </w:lvl>
    <w:lvl w:ilvl="2">
      <w:start w:val="0"/>
      <w:numFmt w:val="bullet"/>
      <w:lvlText w:val="•"/>
      <w:lvlJc w:val="left"/>
      <w:pPr>
        <w:ind w:left="2029" w:hanging="214"/>
      </w:pPr>
      <w:rPr>
        <w:rFonts w:hint="default"/>
        <w:lang w:val="en-US" w:eastAsia="en-US" w:bidi="ar-SA"/>
      </w:rPr>
    </w:lvl>
    <w:lvl w:ilvl="3">
      <w:start w:val="0"/>
      <w:numFmt w:val="bullet"/>
      <w:lvlText w:val="•"/>
      <w:lvlJc w:val="left"/>
      <w:pPr>
        <w:ind w:left="2734" w:hanging="214"/>
      </w:pPr>
      <w:rPr>
        <w:rFonts w:hint="default"/>
        <w:lang w:val="en-US" w:eastAsia="en-US" w:bidi="ar-SA"/>
      </w:rPr>
    </w:lvl>
    <w:lvl w:ilvl="4">
      <w:start w:val="0"/>
      <w:numFmt w:val="bullet"/>
      <w:lvlText w:val="•"/>
      <w:lvlJc w:val="left"/>
      <w:pPr>
        <w:ind w:left="3439" w:hanging="214"/>
      </w:pPr>
      <w:rPr>
        <w:rFonts w:hint="default"/>
        <w:lang w:val="en-US" w:eastAsia="en-US" w:bidi="ar-SA"/>
      </w:rPr>
    </w:lvl>
    <w:lvl w:ilvl="5">
      <w:start w:val="0"/>
      <w:numFmt w:val="bullet"/>
      <w:lvlText w:val="•"/>
      <w:lvlJc w:val="left"/>
      <w:pPr>
        <w:ind w:left="4144" w:hanging="214"/>
      </w:pPr>
      <w:rPr>
        <w:rFonts w:hint="default"/>
        <w:lang w:val="en-US" w:eastAsia="en-US" w:bidi="ar-SA"/>
      </w:rPr>
    </w:lvl>
    <w:lvl w:ilvl="6">
      <w:start w:val="0"/>
      <w:numFmt w:val="bullet"/>
      <w:lvlText w:val="•"/>
      <w:lvlJc w:val="left"/>
      <w:pPr>
        <w:ind w:left="4848" w:hanging="214"/>
      </w:pPr>
      <w:rPr>
        <w:rFonts w:hint="default"/>
        <w:lang w:val="en-US" w:eastAsia="en-US" w:bidi="ar-SA"/>
      </w:rPr>
    </w:lvl>
    <w:lvl w:ilvl="7">
      <w:start w:val="0"/>
      <w:numFmt w:val="bullet"/>
      <w:lvlText w:val="•"/>
      <w:lvlJc w:val="left"/>
      <w:pPr>
        <w:ind w:left="5553" w:hanging="214"/>
      </w:pPr>
      <w:rPr>
        <w:rFonts w:hint="default"/>
        <w:lang w:val="en-US" w:eastAsia="en-US" w:bidi="ar-SA"/>
      </w:rPr>
    </w:lvl>
    <w:lvl w:ilvl="8">
      <w:start w:val="0"/>
      <w:numFmt w:val="bullet"/>
      <w:lvlText w:val="•"/>
      <w:lvlJc w:val="left"/>
      <w:pPr>
        <w:ind w:left="6258" w:hanging="214"/>
      </w:pPr>
      <w:rPr>
        <w:rFonts w:hint="default"/>
        <w:lang w:val="en-US" w:eastAsia="en-US" w:bidi="ar-SA"/>
      </w:rPr>
    </w:lvl>
  </w:abstractNum>
  <w:abstractNum w:abstractNumId="5">
    <w:multiLevelType w:val="hybridMultilevel"/>
    <w:lvl w:ilvl="0">
      <w:start w:val="1"/>
      <w:numFmt w:val="decimal"/>
      <w:lvlText w:val="%1."/>
      <w:lvlJc w:val="left"/>
      <w:pPr>
        <w:ind w:left="614" w:hanging="214"/>
        <w:jc w:val="left"/>
      </w:pPr>
      <w:rPr>
        <w:rFonts w:hint="default" w:ascii="Arial" w:hAnsi="Arial" w:eastAsia="Arial" w:cs="Arial"/>
        <w:b w:val="0"/>
        <w:bCs w:val="0"/>
        <w:i w:val="0"/>
        <w:iCs w:val="0"/>
        <w:color w:val="105C84"/>
        <w:spacing w:val="0"/>
        <w:w w:val="93"/>
        <w:sz w:val="20"/>
        <w:szCs w:val="20"/>
        <w:lang w:val="en-US" w:eastAsia="en-US" w:bidi="ar-SA"/>
      </w:rPr>
    </w:lvl>
    <w:lvl w:ilvl="1">
      <w:start w:val="0"/>
      <w:numFmt w:val="bullet"/>
      <w:lvlText w:val="•"/>
      <w:lvlJc w:val="left"/>
      <w:pPr>
        <w:ind w:left="1324" w:hanging="214"/>
      </w:pPr>
      <w:rPr>
        <w:rFonts w:hint="default"/>
        <w:lang w:val="en-US" w:eastAsia="en-US" w:bidi="ar-SA"/>
      </w:rPr>
    </w:lvl>
    <w:lvl w:ilvl="2">
      <w:start w:val="0"/>
      <w:numFmt w:val="bullet"/>
      <w:lvlText w:val="•"/>
      <w:lvlJc w:val="left"/>
      <w:pPr>
        <w:ind w:left="2029" w:hanging="214"/>
      </w:pPr>
      <w:rPr>
        <w:rFonts w:hint="default"/>
        <w:lang w:val="en-US" w:eastAsia="en-US" w:bidi="ar-SA"/>
      </w:rPr>
    </w:lvl>
    <w:lvl w:ilvl="3">
      <w:start w:val="0"/>
      <w:numFmt w:val="bullet"/>
      <w:lvlText w:val="•"/>
      <w:lvlJc w:val="left"/>
      <w:pPr>
        <w:ind w:left="2734" w:hanging="214"/>
      </w:pPr>
      <w:rPr>
        <w:rFonts w:hint="default"/>
        <w:lang w:val="en-US" w:eastAsia="en-US" w:bidi="ar-SA"/>
      </w:rPr>
    </w:lvl>
    <w:lvl w:ilvl="4">
      <w:start w:val="0"/>
      <w:numFmt w:val="bullet"/>
      <w:lvlText w:val="•"/>
      <w:lvlJc w:val="left"/>
      <w:pPr>
        <w:ind w:left="3439" w:hanging="214"/>
      </w:pPr>
      <w:rPr>
        <w:rFonts w:hint="default"/>
        <w:lang w:val="en-US" w:eastAsia="en-US" w:bidi="ar-SA"/>
      </w:rPr>
    </w:lvl>
    <w:lvl w:ilvl="5">
      <w:start w:val="0"/>
      <w:numFmt w:val="bullet"/>
      <w:lvlText w:val="•"/>
      <w:lvlJc w:val="left"/>
      <w:pPr>
        <w:ind w:left="4144" w:hanging="214"/>
      </w:pPr>
      <w:rPr>
        <w:rFonts w:hint="default"/>
        <w:lang w:val="en-US" w:eastAsia="en-US" w:bidi="ar-SA"/>
      </w:rPr>
    </w:lvl>
    <w:lvl w:ilvl="6">
      <w:start w:val="0"/>
      <w:numFmt w:val="bullet"/>
      <w:lvlText w:val="•"/>
      <w:lvlJc w:val="left"/>
      <w:pPr>
        <w:ind w:left="4848" w:hanging="214"/>
      </w:pPr>
      <w:rPr>
        <w:rFonts w:hint="default"/>
        <w:lang w:val="en-US" w:eastAsia="en-US" w:bidi="ar-SA"/>
      </w:rPr>
    </w:lvl>
    <w:lvl w:ilvl="7">
      <w:start w:val="0"/>
      <w:numFmt w:val="bullet"/>
      <w:lvlText w:val="•"/>
      <w:lvlJc w:val="left"/>
      <w:pPr>
        <w:ind w:left="5553" w:hanging="214"/>
      </w:pPr>
      <w:rPr>
        <w:rFonts w:hint="default"/>
        <w:lang w:val="en-US" w:eastAsia="en-US" w:bidi="ar-SA"/>
      </w:rPr>
    </w:lvl>
    <w:lvl w:ilvl="8">
      <w:start w:val="0"/>
      <w:numFmt w:val="bullet"/>
      <w:lvlText w:val="•"/>
      <w:lvlJc w:val="left"/>
      <w:pPr>
        <w:ind w:left="6258" w:hanging="214"/>
      </w:pPr>
      <w:rPr>
        <w:rFonts w:hint="default"/>
        <w:lang w:val="en-US" w:eastAsia="en-US" w:bidi="ar-SA"/>
      </w:rPr>
    </w:lvl>
  </w:abstractNum>
  <w:abstractNum w:abstractNumId="4">
    <w:multiLevelType w:val="hybridMultilevel"/>
    <w:lvl w:ilvl="0">
      <w:start w:val="1"/>
      <w:numFmt w:val="decimal"/>
      <w:lvlText w:val="%1."/>
      <w:lvlJc w:val="left"/>
      <w:pPr>
        <w:ind w:left="614" w:hanging="214"/>
        <w:jc w:val="left"/>
      </w:pPr>
      <w:rPr>
        <w:rFonts w:hint="default" w:ascii="Arial" w:hAnsi="Arial" w:eastAsia="Arial" w:cs="Arial"/>
        <w:b w:val="0"/>
        <w:bCs w:val="0"/>
        <w:i w:val="0"/>
        <w:iCs w:val="0"/>
        <w:color w:val="105C84"/>
        <w:spacing w:val="0"/>
        <w:w w:val="93"/>
        <w:sz w:val="20"/>
        <w:szCs w:val="20"/>
        <w:lang w:val="en-US" w:eastAsia="en-US" w:bidi="ar-SA"/>
      </w:rPr>
    </w:lvl>
    <w:lvl w:ilvl="1">
      <w:start w:val="0"/>
      <w:numFmt w:val="bullet"/>
      <w:lvlText w:val="•"/>
      <w:lvlJc w:val="left"/>
      <w:pPr>
        <w:ind w:left="1324" w:hanging="214"/>
      </w:pPr>
      <w:rPr>
        <w:rFonts w:hint="default"/>
        <w:lang w:val="en-US" w:eastAsia="en-US" w:bidi="ar-SA"/>
      </w:rPr>
    </w:lvl>
    <w:lvl w:ilvl="2">
      <w:start w:val="0"/>
      <w:numFmt w:val="bullet"/>
      <w:lvlText w:val="•"/>
      <w:lvlJc w:val="left"/>
      <w:pPr>
        <w:ind w:left="2029" w:hanging="214"/>
      </w:pPr>
      <w:rPr>
        <w:rFonts w:hint="default"/>
        <w:lang w:val="en-US" w:eastAsia="en-US" w:bidi="ar-SA"/>
      </w:rPr>
    </w:lvl>
    <w:lvl w:ilvl="3">
      <w:start w:val="0"/>
      <w:numFmt w:val="bullet"/>
      <w:lvlText w:val="•"/>
      <w:lvlJc w:val="left"/>
      <w:pPr>
        <w:ind w:left="2734" w:hanging="214"/>
      </w:pPr>
      <w:rPr>
        <w:rFonts w:hint="default"/>
        <w:lang w:val="en-US" w:eastAsia="en-US" w:bidi="ar-SA"/>
      </w:rPr>
    </w:lvl>
    <w:lvl w:ilvl="4">
      <w:start w:val="0"/>
      <w:numFmt w:val="bullet"/>
      <w:lvlText w:val="•"/>
      <w:lvlJc w:val="left"/>
      <w:pPr>
        <w:ind w:left="3439" w:hanging="214"/>
      </w:pPr>
      <w:rPr>
        <w:rFonts w:hint="default"/>
        <w:lang w:val="en-US" w:eastAsia="en-US" w:bidi="ar-SA"/>
      </w:rPr>
    </w:lvl>
    <w:lvl w:ilvl="5">
      <w:start w:val="0"/>
      <w:numFmt w:val="bullet"/>
      <w:lvlText w:val="•"/>
      <w:lvlJc w:val="left"/>
      <w:pPr>
        <w:ind w:left="4144" w:hanging="214"/>
      </w:pPr>
      <w:rPr>
        <w:rFonts w:hint="default"/>
        <w:lang w:val="en-US" w:eastAsia="en-US" w:bidi="ar-SA"/>
      </w:rPr>
    </w:lvl>
    <w:lvl w:ilvl="6">
      <w:start w:val="0"/>
      <w:numFmt w:val="bullet"/>
      <w:lvlText w:val="•"/>
      <w:lvlJc w:val="left"/>
      <w:pPr>
        <w:ind w:left="4848" w:hanging="214"/>
      </w:pPr>
      <w:rPr>
        <w:rFonts w:hint="default"/>
        <w:lang w:val="en-US" w:eastAsia="en-US" w:bidi="ar-SA"/>
      </w:rPr>
    </w:lvl>
    <w:lvl w:ilvl="7">
      <w:start w:val="0"/>
      <w:numFmt w:val="bullet"/>
      <w:lvlText w:val="•"/>
      <w:lvlJc w:val="left"/>
      <w:pPr>
        <w:ind w:left="5553" w:hanging="214"/>
      </w:pPr>
      <w:rPr>
        <w:rFonts w:hint="default"/>
        <w:lang w:val="en-US" w:eastAsia="en-US" w:bidi="ar-SA"/>
      </w:rPr>
    </w:lvl>
    <w:lvl w:ilvl="8">
      <w:start w:val="0"/>
      <w:numFmt w:val="bullet"/>
      <w:lvlText w:val="•"/>
      <w:lvlJc w:val="left"/>
      <w:pPr>
        <w:ind w:left="6258" w:hanging="214"/>
      </w:pPr>
      <w:rPr>
        <w:rFonts w:hint="default"/>
        <w:lang w:val="en-US" w:eastAsia="en-US" w:bidi="ar-SA"/>
      </w:rPr>
    </w:lvl>
  </w:abstractNum>
  <w:abstractNum w:abstractNumId="3">
    <w:multiLevelType w:val="hybridMultilevel"/>
    <w:lvl w:ilvl="0">
      <w:start w:val="1"/>
      <w:numFmt w:val="decimal"/>
      <w:lvlText w:val="%1."/>
      <w:lvlJc w:val="left"/>
      <w:pPr>
        <w:ind w:left="614" w:hanging="214"/>
        <w:jc w:val="left"/>
      </w:pPr>
      <w:rPr>
        <w:rFonts w:hint="default" w:ascii="Arial" w:hAnsi="Arial" w:eastAsia="Arial" w:cs="Arial"/>
        <w:b w:val="0"/>
        <w:bCs w:val="0"/>
        <w:i w:val="0"/>
        <w:iCs w:val="0"/>
        <w:color w:val="105C84"/>
        <w:spacing w:val="0"/>
        <w:w w:val="93"/>
        <w:sz w:val="20"/>
        <w:szCs w:val="20"/>
        <w:lang w:val="en-US" w:eastAsia="en-US" w:bidi="ar-SA"/>
      </w:rPr>
    </w:lvl>
    <w:lvl w:ilvl="1">
      <w:start w:val="0"/>
      <w:numFmt w:val="bullet"/>
      <w:lvlText w:val="•"/>
      <w:lvlJc w:val="left"/>
      <w:pPr>
        <w:ind w:left="1324" w:hanging="214"/>
      </w:pPr>
      <w:rPr>
        <w:rFonts w:hint="default"/>
        <w:lang w:val="en-US" w:eastAsia="en-US" w:bidi="ar-SA"/>
      </w:rPr>
    </w:lvl>
    <w:lvl w:ilvl="2">
      <w:start w:val="0"/>
      <w:numFmt w:val="bullet"/>
      <w:lvlText w:val="•"/>
      <w:lvlJc w:val="left"/>
      <w:pPr>
        <w:ind w:left="2029" w:hanging="214"/>
      </w:pPr>
      <w:rPr>
        <w:rFonts w:hint="default"/>
        <w:lang w:val="en-US" w:eastAsia="en-US" w:bidi="ar-SA"/>
      </w:rPr>
    </w:lvl>
    <w:lvl w:ilvl="3">
      <w:start w:val="0"/>
      <w:numFmt w:val="bullet"/>
      <w:lvlText w:val="•"/>
      <w:lvlJc w:val="left"/>
      <w:pPr>
        <w:ind w:left="2734" w:hanging="214"/>
      </w:pPr>
      <w:rPr>
        <w:rFonts w:hint="default"/>
        <w:lang w:val="en-US" w:eastAsia="en-US" w:bidi="ar-SA"/>
      </w:rPr>
    </w:lvl>
    <w:lvl w:ilvl="4">
      <w:start w:val="0"/>
      <w:numFmt w:val="bullet"/>
      <w:lvlText w:val="•"/>
      <w:lvlJc w:val="left"/>
      <w:pPr>
        <w:ind w:left="3439" w:hanging="214"/>
      </w:pPr>
      <w:rPr>
        <w:rFonts w:hint="default"/>
        <w:lang w:val="en-US" w:eastAsia="en-US" w:bidi="ar-SA"/>
      </w:rPr>
    </w:lvl>
    <w:lvl w:ilvl="5">
      <w:start w:val="0"/>
      <w:numFmt w:val="bullet"/>
      <w:lvlText w:val="•"/>
      <w:lvlJc w:val="left"/>
      <w:pPr>
        <w:ind w:left="4144" w:hanging="214"/>
      </w:pPr>
      <w:rPr>
        <w:rFonts w:hint="default"/>
        <w:lang w:val="en-US" w:eastAsia="en-US" w:bidi="ar-SA"/>
      </w:rPr>
    </w:lvl>
    <w:lvl w:ilvl="6">
      <w:start w:val="0"/>
      <w:numFmt w:val="bullet"/>
      <w:lvlText w:val="•"/>
      <w:lvlJc w:val="left"/>
      <w:pPr>
        <w:ind w:left="4848" w:hanging="214"/>
      </w:pPr>
      <w:rPr>
        <w:rFonts w:hint="default"/>
        <w:lang w:val="en-US" w:eastAsia="en-US" w:bidi="ar-SA"/>
      </w:rPr>
    </w:lvl>
    <w:lvl w:ilvl="7">
      <w:start w:val="0"/>
      <w:numFmt w:val="bullet"/>
      <w:lvlText w:val="•"/>
      <w:lvlJc w:val="left"/>
      <w:pPr>
        <w:ind w:left="5553" w:hanging="214"/>
      </w:pPr>
      <w:rPr>
        <w:rFonts w:hint="default"/>
        <w:lang w:val="en-US" w:eastAsia="en-US" w:bidi="ar-SA"/>
      </w:rPr>
    </w:lvl>
    <w:lvl w:ilvl="8">
      <w:start w:val="0"/>
      <w:numFmt w:val="bullet"/>
      <w:lvlText w:val="•"/>
      <w:lvlJc w:val="left"/>
      <w:pPr>
        <w:ind w:left="6258" w:hanging="214"/>
      </w:pPr>
      <w:rPr>
        <w:rFonts w:hint="default"/>
        <w:lang w:val="en-US" w:eastAsia="en-US" w:bidi="ar-SA"/>
      </w:rPr>
    </w:lvl>
  </w:abstractNum>
  <w:abstractNum w:abstractNumId="1">
    <w:multiLevelType w:val="hybridMultilevel"/>
    <w:lvl w:ilvl="0">
      <w:start w:val="4"/>
      <w:numFmt w:val="decimal"/>
      <w:lvlText w:val="%1"/>
      <w:lvlJc w:val="left"/>
      <w:pPr>
        <w:ind w:left="179" w:hanging="480"/>
        <w:jc w:val="left"/>
      </w:pPr>
      <w:rPr>
        <w:rFonts w:hint="default"/>
        <w:lang w:val="en-US" w:eastAsia="en-US" w:bidi="ar-SA"/>
      </w:rPr>
    </w:lvl>
    <w:lvl w:ilvl="1">
      <w:start w:val="1"/>
      <w:numFmt w:val="decimal"/>
      <w:lvlText w:val="%1.%2"/>
      <w:lvlJc w:val="left"/>
      <w:pPr>
        <w:ind w:left="179" w:hanging="480"/>
        <w:jc w:val="left"/>
      </w:pPr>
      <w:rPr>
        <w:rFonts w:hint="default"/>
        <w:lang w:val="en-US" w:eastAsia="en-US" w:bidi="ar-SA"/>
      </w:rPr>
    </w:lvl>
    <w:lvl w:ilvl="2">
      <w:start w:val="2"/>
      <w:numFmt w:val="decimal"/>
      <w:lvlText w:val="%1.%2.%3"/>
      <w:lvlJc w:val="left"/>
      <w:pPr>
        <w:ind w:left="179" w:hanging="480"/>
        <w:jc w:val="left"/>
      </w:pPr>
      <w:rPr>
        <w:rFonts w:hint="default" w:ascii="Arial" w:hAnsi="Arial" w:eastAsia="Arial" w:cs="Arial"/>
        <w:b w:val="0"/>
        <w:bCs w:val="0"/>
        <w:i w:val="0"/>
        <w:iCs w:val="0"/>
        <w:color w:val="105C84"/>
        <w:spacing w:val="0"/>
        <w:w w:val="93"/>
        <w:sz w:val="20"/>
        <w:szCs w:val="20"/>
        <w:lang w:val="en-US" w:eastAsia="en-US" w:bidi="ar-SA"/>
      </w:rPr>
    </w:lvl>
    <w:lvl w:ilvl="3">
      <w:start w:val="0"/>
      <w:numFmt w:val="bullet"/>
      <w:lvlText w:val="•"/>
      <w:lvlJc w:val="left"/>
      <w:pPr>
        <w:ind w:left="2526" w:hanging="480"/>
      </w:pPr>
      <w:rPr>
        <w:rFonts w:hint="default"/>
        <w:lang w:val="en-US" w:eastAsia="en-US" w:bidi="ar-SA"/>
      </w:rPr>
    </w:lvl>
    <w:lvl w:ilvl="4">
      <w:start w:val="0"/>
      <w:numFmt w:val="bullet"/>
      <w:lvlText w:val="•"/>
      <w:lvlJc w:val="left"/>
      <w:pPr>
        <w:ind w:left="3308" w:hanging="480"/>
      </w:pPr>
      <w:rPr>
        <w:rFonts w:hint="default"/>
        <w:lang w:val="en-US" w:eastAsia="en-US" w:bidi="ar-SA"/>
      </w:rPr>
    </w:lvl>
    <w:lvl w:ilvl="5">
      <w:start w:val="0"/>
      <w:numFmt w:val="bullet"/>
      <w:lvlText w:val="•"/>
      <w:lvlJc w:val="left"/>
      <w:pPr>
        <w:ind w:left="4091" w:hanging="480"/>
      </w:pPr>
      <w:rPr>
        <w:rFonts w:hint="default"/>
        <w:lang w:val="en-US" w:eastAsia="en-US" w:bidi="ar-SA"/>
      </w:rPr>
    </w:lvl>
    <w:lvl w:ilvl="6">
      <w:start w:val="0"/>
      <w:numFmt w:val="bullet"/>
      <w:lvlText w:val="•"/>
      <w:lvlJc w:val="left"/>
      <w:pPr>
        <w:ind w:left="4873" w:hanging="480"/>
      </w:pPr>
      <w:rPr>
        <w:rFonts w:hint="default"/>
        <w:lang w:val="en-US" w:eastAsia="en-US" w:bidi="ar-SA"/>
      </w:rPr>
    </w:lvl>
    <w:lvl w:ilvl="7">
      <w:start w:val="0"/>
      <w:numFmt w:val="bullet"/>
      <w:lvlText w:val="•"/>
      <w:lvlJc w:val="left"/>
      <w:pPr>
        <w:ind w:left="5655" w:hanging="480"/>
      </w:pPr>
      <w:rPr>
        <w:rFonts w:hint="default"/>
        <w:lang w:val="en-US" w:eastAsia="en-US" w:bidi="ar-SA"/>
      </w:rPr>
    </w:lvl>
    <w:lvl w:ilvl="8">
      <w:start w:val="0"/>
      <w:numFmt w:val="bullet"/>
      <w:lvlText w:val="•"/>
      <w:lvlJc w:val="left"/>
      <w:pPr>
        <w:ind w:left="6437" w:hanging="480"/>
      </w:pPr>
      <w:rPr>
        <w:rFonts w:hint="default"/>
        <w:lang w:val="en-US" w:eastAsia="en-US" w:bidi="ar-SA"/>
      </w:rPr>
    </w:lvl>
  </w:abstractNum>
  <w:abstractNum w:abstractNumId="2">
    <w:multiLevelType w:val="hybridMultilevel"/>
    <w:lvl w:ilvl="0">
      <w:start w:val="1"/>
      <w:numFmt w:val="decimal"/>
      <w:lvlText w:val="%1."/>
      <w:lvlJc w:val="left"/>
      <w:pPr>
        <w:ind w:left="1520" w:hanging="241"/>
        <w:jc w:val="left"/>
      </w:pPr>
      <w:rPr>
        <w:rFonts w:hint="default" w:ascii="Arial" w:hAnsi="Arial" w:eastAsia="Arial" w:cs="Arial"/>
        <w:b/>
        <w:bCs/>
        <w:i w:val="0"/>
        <w:iCs w:val="0"/>
        <w:color w:val="105C84"/>
        <w:spacing w:val="0"/>
        <w:w w:val="106"/>
        <w:sz w:val="22"/>
        <w:szCs w:val="22"/>
        <w:lang w:val="en-US" w:eastAsia="en-US" w:bidi="ar-SA"/>
      </w:rPr>
    </w:lvl>
    <w:lvl w:ilvl="1">
      <w:start w:val="1"/>
      <w:numFmt w:val="decimal"/>
      <w:lvlText w:val="%2."/>
      <w:lvlJc w:val="left"/>
      <w:pPr>
        <w:ind w:left="4241" w:hanging="146"/>
        <w:jc w:val="left"/>
      </w:pPr>
      <w:rPr>
        <w:rFonts w:hint="default" w:ascii="Arial" w:hAnsi="Arial" w:eastAsia="Arial" w:cs="Arial"/>
        <w:b w:val="0"/>
        <w:bCs w:val="0"/>
        <w:i w:val="0"/>
        <w:iCs w:val="0"/>
        <w:color w:val="636466"/>
        <w:spacing w:val="0"/>
        <w:w w:val="93"/>
        <w:sz w:val="14"/>
        <w:szCs w:val="14"/>
        <w:lang w:val="en-US" w:eastAsia="en-US" w:bidi="ar-SA"/>
      </w:rPr>
    </w:lvl>
    <w:lvl w:ilvl="2">
      <w:start w:val="0"/>
      <w:numFmt w:val="bullet"/>
      <w:lvlText w:val="•"/>
      <w:lvlJc w:val="left"/>
      <w:pPr>
        <w:ind w:left="5010" w:hanging="146"/>
      </w:pPr>
      <w:rPr>
        <w:rFonts w:hint="default"/>
        <w:lang w:val="en-US" w:eastAsia="en-US" w:bidi="ar-SA"/>
      </w:rPr>
    </w:lvl>
    <w:lvl w:ilvl="3">
      <w:start w:val="0"/>
      <w:numFmt w:val="bullet"/>
      <w:lvlText w:val="•"/>
      <w:lvlJc w:val="left"/>
      <w:pPr>
        <w:ind w:left="5781" w:hanging="146"/>
      </w:pPr>
      <w:rPr>
        <w:rFonts w:hint="default"/>
        <w:lang w:val="en-US" w:eastAsia="en-US" w:bidi="ar-SA"/>
      </w:rPr>
    </w:lvl>
    <w:lvl w:ilvl="4">
      <w:start w:val="0"/>
      <w:numFmt w:val="bullet"/>
      <w:lvlText w:val="•"/>
      <w:lvlJc w:val="left"/>
      <w:pPr>
        <w:ind w:left="6552" w:hanging="146"/>
      </w:pPr>
      <w:rPr>
        <w:rFonts w:hint="default"/>
        <w:lang w:val="en-US" w:eastAsia="en-US" w:bidi="ar-SA"/>
      </w:rPr>
    </w:lvl>
    <w:lvl w:ilvl="5">
      <w:start w:val="0"/>
      <w:numFmt w:val="bullet"/>
      <w:lvlText w:val="•"/>
      <w:lvlJc w:val="left"/>
      <w:pPr>
        <w:ind w:left="7323" w:hanging="146"/>
      </w:pPr>
      <w:rPr>
        <w:rFonts w:hint="default"/>
        <w:lang w:val="en-US" w:eastAsia="en-US" w:bidi="ar-SA"/>
      </w:rPr>
    </w:lvl>
    <w:lvl w:ilvl="6">
      <w:start w:val="0"/>
      <w:numFmt w:val="bullet"/>
      <w:lvlText w:val="•"/>
      <w:lvlJc w:val="left"/>
      <w:pPr>
        <w:ind w:left="8094" w:hanging="146"/>
      </w:pPr>
      <w:rPr>
        <w:rFonts w:hint="default"/>
        <w:lang w:val="en-US" w:eastAsia="en-US" w:bidi="ar-SA"/>
      </w:rPr>
    </w:lvl>
    <w:lvl w:ilvl="7">
      <w:start w:val="0"/>
      <w:numFmt w:val="bullet"/>
      <w:lvlText w:val="•"/>
      <w:lvlJc w:val="left"/>
      <w:pPr>
        <w:ind w:left="8865" w:hanging="146"/>
      </w:pPr>
      <w:rPr>
        <w:rFonts w:hint="default"/>
        <w:lang w:val="en-US" w:eastAsia="en-US" w:bidi="ar-SA"/>
      </w:rPr>
    </w:lvl>
    <w:lvl w:ilvl="8">
      <w:start w:val="0"/>
      <w:numFmt w:val="bullet"/>
      <w:lvlText w:val="•"/>
      <w:lvlJc w:val="left"/>
      <w:pPr>
        <w:ind w:left="9636" w:hanging="146"/>
      </w:pPr>
      <w:rPr>
        <w:rFonts w:hint="default"/>
        <w:lang w:val="en-US" w:eastAsia="en-US" w:bidi="ar-SA"/>
      </w:rPr>
    </w:lvl>
  </w:abstractNum>
  <w:abstractNum w:abstractNumId="0">
    <w:multiLevelType w:val="hybridMultilevel"/>
    <w:lvl w:ilvl="0">
      <w:start w:val="1"/>
      <w:numFmt w:val="decimal"/>
      <w:lvlText w:val="%1."/>
      <w:lvlJc w:val="left"/>
      <w:pPr>
        <w:ind w:left="1528" w:hanging="241"/>
        <w:jc w:val="left"/>
      </w:pPr>
      <w:rPr>
        <w:rFonts w:hint="default" w:ascii="Arial" w:hAnsi="Arial" w:eastAsia="Arial" w:cs="Arial"/>
        <w:b w:val="0"/>
        <w:bCs w:val="0"/>
        <w:i w:val="0"/>
        <w:iCs w:val="0"/>
        <w:color w:val="105C84"/>
        <w:spacing w:val="0"/>
        <w:w w:val="93"/>
        <w:sz w:val="22"/>
        <w:szCs w:val="22"/>
        <w:lang w:val="en-US" w:eastAsia="en-US" w:bidi="ar-SA"/>
      </w:rPr>
    </w:lvl>
    <w:lvl w:ilvl="1">
      <w:start w:val="6"/>
      <w:numFmt w:val="decimal"/>
      <w:lvlText w:val="%2."/>
      <w:lvlJc w:val="left"/>
      <w:pPr>
        <w:ind w:left="3283" w:hanging="146"/>
        <w:jc w:val="right"/>
      </w:pPr>
      <w:rPr>
        <w:rFonts w:hint="default" w:ascii="Arial" w:hAnsi="Arial" w:eastAsia="Arial" w:cs="Arial"/>
        <w:b w:val="0"/>
        <w:bCs w:val="0"/>
        <w:i w:val="0"/>
        <w:iCs w:val="0"/>
        <w:color w:val="636466"/>
        <w:spacing w:val="0"/>
        <w:w w:val="93"/>
        <w:sz w:val="14"/>
        <w:szCs w:val="14"/>
        <w:lang w:val="en-US" w:eastAsia="en-US" w:bidi="ar-SA"/>
      </w:rPr>
    </w:lvl>
    <w:lvl w:ilvl="2">
      <w:start w:val="0"/>
      <w:numFmt w:val="bullet"/>
      <w:lvlText w:val="•"/>
      <w:lvlJc w:val="left"/>
      <w:pPr>
        <w:ind w:left="4161" w:hanging="146"/>
      </w:pPr>
      <w:rPr>
        <w:rFonts w:hint="default"/>
        <w:lang w:val="en-US" w:eastAsia="en-US" w:bidi="ar-SA"/>
      </w:rPr>
    </w:lvl>
    <w:lvl w:ilvl="3">
      <w:start w:val="0"/>
      <w:numFmt w:val="bullet"/>
      <w:lvlText w:val="•"/>
      <w:lvlJc w:val="left"/>
      <w:pPr>
        <w:ind w:left="5042" w:hanging="146"/>
      </w:pPr>
      <w:rPr>
        <w:rFonts w:hint="default"/>
        <w:lang w:val="en-US" w:eastAsia="en-US" w:bidi="ar-SA"/>
      </w:rPr>
    </w:lvl>
    <w:lvl w:ilvl="4">
      <w:start w:val="0"/>
      <w:numFmt w:val="bullet"/>
      <w:lvlText w:val="•"/>
      <w:lvlJc w:val="left"/>
      <w:pPr>
        <w:ind w:left="5924" w:hanging="146"/>
      </w:pPr>
      <w:rPr>
        <w:rFonts w:hint="default"/>
        <w:lang w:val="en-US" w:eastAsia="en-US" w:bidi="ar-SA"/>
      </w:rPr>
    </w:lvl>
    <w:lvl w:ilvl="5">
      <w:start w:val="0"/>
      <w:numFmt w:val="bullet"/>
      <w:lvlText w:val="•"/>
      <w:lvlJc w:val="left"/>
      <w:pPr>
        <w:ind w:left="6805" w:hanging="146"/>
      </w:pPr>
      <w:rPr>
        <w:rFonts w:hint="default"/>
        <w:lang w:val="en-US" w:eastAsia="en-US" w:bidi="ar-SA"/>
      </w:rPr>
    </w:lvl>
    <w:lvl w:ilvl="6">
      <w:start w:val="0"/>
      <w:numFmt w:val="bullet"/>
      <w:lvlText w:val="•"/>
      <w:lvlJc w:val="left"/>
      <w:pPr>
        <w:ind w:left="7687" w:hanging="146"/>
      </w:pPr>
      <w:rPr>
        <w:rFonts w:hint="default"/>
        <w:lang w:val="en-US" w:eastAsia="en-US" w:bidi="ar-SA"/>
      </w:rPr>
    </w:lvl>
    <w:lvl w:ilvl="7">
      <w:start w:val="0"/>
      <w:numFmt w:val="bullet"/>
      <w:lvlText w:val="•"/>
      <w:lvlJc w:val="left"/>
      <w:pPr>
        <w:ind w:left="8568" w:hanging="146"/>
      </w:pPr>
      <w:rPr>
        <w:rFonts w:hint="default"/>
        <w:lang w:val="en-US" w:eastAsia="en-US" w:bidi="ar-SA"/>
      </w:rPr>
    </w:lvl>
    <w:lvl w:ilvl="8">
      <w:start w:val="0"/>
      <w:numFmt w:val="bullet"/>
      <w:lvlText w:val="•"/>
      <w:lvlJc w:val="left"/>
      <w:pPr>
        <w:ind w:left="9450" w:hanging="146"/>
      </w:pPr>
      <w:rPr>
        <w:rFonts w:hint="default"/>
        <w:lang w:val="en-US" w:eastAsia="en-US" w:bidi="ar-SA"/>
      </w:rPr>
    </w:lvl>
  </w:abstractNum>
  <w:num w:numId="34">
    <w:abstractNumId w:val="33"/>
  </w:num>
  <w:num w:numId="23">
    <w:abstractNumId w:val="22"/>
  </w:num>
  <w:num w:numId="19">
    <w:abstractNumId w:val="18"/>
  </w:num>
  <w:num w:numId="15">
    <w:abstractNumId w:val="14"/>
  </w:num>
  <w:num w:numId="14">
    <w:abstractNumId w:val="13"/>
  </w:num>
  <w:num w:numId="64">
    <w:abstractNumId w:val="63"/>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7">
    <w:abstractNumId w:val="36"/>
  </w:num>
  <w:num w:numId="38">
    <w:abstractNumId w:val="37"/>
  </w:num>
  <w:num w:numId="36">
    <w:abstractNumId w:val="35"/>
  </w:num>
  <w:num w:numId="35">
    <w:abstractNumId w:val="34"/>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2">
    <w:abstractNumId w:val="21"/>
  </w:num>
  <w:num w:numId="21">
    <w:abstractNumId w:val="20"/>
  </w:num>
  <w:num w:numId="20">
    <w:abstractNumId w:val="19"/>
  </w:num>
  <w:num w:numId="18">
    <w:abstractNumId w:val="17"/>
  </w:num>
  <w:num w:numId="17">
    <w:abstractNumId w:val="16"/>
  </w:num>
  <w:num w:numId="16">
    <w:abstractNumId w:val="15"/>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2">
    <w:abstractNumId w:val="1"/>
  </w:num>
  <w:num w:numId="3">
    <w:abstractNumId w:val="2"/>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TOC1" w:type="paragraph">
    <w:name w:val="TOC 1"/>
    <w:basedOn w:val="Normal"/>
    <w:uiPriority w:val="1"/>
    <w:qFormat/>
    <w:pPr>
      <w:spacing w:before="361"/>
      <w:ind w:left="1079"/>
    </w:pPr>
    <w:rPr>
      <w:rFonts w:ascii="Arial" w:hAnsi="Arial" w:eastAsia="Arial" w:cs="Arial"/>
      <w:b/>
      <w:bCs/>
      <w:sz w:val="26"/>
      <w:szCs w:val="26"/>
      <w:lang w:val="en-US" w:eastAsia="en-US" w:bidi="ar-SA"/>
    </w:rPr>
  </w:style>
  <w:style w:styleId="TOC2" w:type="paragraph">
    <w:name w:val="TOC 2"/>
    <w:basedOn w:val="Normal"/>
    <w:uiPriority w:val="1"/>
    <w:qFormat/>
    <w:pPr>
      <w:spacing w:before="137"/>
      <w:ind w:left="1380"/>
    </w:pPr>
    <w:rPr>
      <w:rFonts w:ascii="Arial" w:hAnsi="Arial" w:eastAsia="Arial" w:cs="Arial"/>
      <w:b/>
      <w:bCs/>
      <w:sz w:val="22"/>
      <w:szCs w:val="22"/>
      <w:lang w:val="en-US" w:eastAsia="en-US" w:bidi="ar-SA"/>
    </w:rPr>
  </w:style>
  <w:style w:styleId="TOC3" w:type="paragraph">
    <w:name w:val="TOC 3"/>
    <w:basedOn w:val="Normal"/>
    <w:uiPriority w:val="1"/>
    <w:qFormat/>
    <w:pPr>
      <w:spacing w:before="137"/>
      <w:ind w:left="1380"/>
    </w:pPr>
    <w:rPr>
      <w:rFonts w:ascii="Arial" w:hAnsi="Arial" w:eastAsia="Arial" w:cs="Arial"/>
      <w:b/>
      <w:bCs/>
      <w:sz w:val="22"/>
      <w:szCs w:val="22"/>
      <w:lang w:val="en-US" w:eastAsia="en-US" w:bidi="ar-SA"/>
    </w:rPr>
  </w:style>
  <w:style w:styleId="BodyText" w:type="paragraph">
    <w:name w:val="Body Text"/>
    <w:basedOn w:val="Normal"/>
    <w:uiPriority w:val="1"/>
    <w:qFormat/>
    <w:pPr/>
    <w:rPr>
      <w:rFonts w:ascii="Arial" w:hAnsi="Arial" w:eastAsia="Arial" w:cs="Arial"/>
      <w:sz w:val="22"/>
      <w:szCs w:val="22"/>
      <w:lang w:val="en-US" w:eastAsia="en-US" w:bidi="ar-SA"/>
    </w:rPr>
  </w:style>
  <w:style w:styleId="Heading1" w:type="paragraph">
    <w:name w:val="Heading 1"/>
    <w:basedOn w:val="Normal"/>
    <w:uiPriority w:val="1"/>
    <w:qFormat/>
    <w:pPr>
      <w:spacing w:before="137"/>
      <w:ind w:left="1088"/>
      <w:outlineLvl w:val="1"/>
    </w:pPr>
    <w:rPr>
      <w:rFonts w:ascii="Arial" w:hAnsi="Arial" w:eastAsia="Arial" w:cs="Arial"/>
      <w:sz w:val="60"/>
      <w:szCs w:val="60"/>
      <w:lang w:val="en-US" w:eastAsia="en-US" w:bidi="ar-SA"/>
    </w:rPr>
  </w:style>
  <w:style w:styleId="Heading2" w:type="paragraph">
    <w:name w:val="Heading 2"/>
    <w:basedOn w:val="Normal"/>
    <w:uiPriority w:val="1"/>
    <w:qFormat/>
    <w:pPr>
      <w:spacing w:before="607"/>
      <w:ind w:left="1089"/>
      <w:outlineLvl w:val="2"/>
    </w:pPr>
    <w:rPr>
      <w:rFonts w:ascii="Arial" w:hAnsi="Arial" w:eastAsia="Arial" w:cs="Arial"/>
      <w:sz w:val="54"/>
      <w:szCs w:val="54"/>
      <w:lang w:val="en-US" w:eastAsia="en-US" w:bidi="ar-SA"/>
    </w:rPr>
  </w:style>
  <w:style w:styleId="Heading3" w:type="paragraph">
    <w:name w:val="Heading 3"/>
    <w:basedOn w:val="Normal"/>
    <w:uiPriority w:val="1"/>
    <w:qFormat/>
    <w:pPr>
      <w:spacing w:before="235"/>
      <w:ind w:left="1089"/>
      <w:outlineLvl w:val="3"/>
    </w:pPr>
    <w:rPr>
      <w:rFonts w:ascii="Arial" w:hAnsi="Arial" w:eastAsia="Arial" w:cs="Arial"/>
      <w:b/>
      <w:bCs/>
      <w:sz w:val="32"/>
      <w:szCs w:val="32"/>
      <w:lang w:val="en-US" w:eastAsia="en-US" w:bidi="ar-SA"/>
    </w:rPr>
  </w:style>
  <w:style w:styleId="Heading4" w:type="paragraph">
    <w:name w:val="Heading 4"/>
    <w:basedOn w:val="Normal"/>
    <w:uiPriority w:val="1"/>
    <w:qFormat/>
    <w:pPr>
      <w:spacing w:before="479"/>
      <w:ind w:left="360" w:right="2431"/>
      <w:outlineLvl w:val="4"/>
    </w:pPr>
    <w:rPr>
      <w:rFonts w:ascii="Arial" w:hAnsi="Arial" w:eastAsia="Arial" w:cs="Arial"/>
      <w:sz w:val="28"/>
      <w:szCs w:val="28"/>
      <w:lang w:val="en-US" w:eastAsia="en-US" w:bidi="ar-SA"/>
    </w:rPr>
  </w:style>
  <w:style w:styleId="Heading5" w:type="paragraph">
    <w:name w:val="Heading 5"/>
    <w:basedOn w:val="Normal"/>
    <w:uiPriority w:val="1"/>
    <w:qFormat/>
    <w:pPr>
      <w:ind w:left="1084"/>
      <w:outlineLvl w:val="5"/>
    </w:pPr>
    <w:rPr>
      <w:rFonts w:ascii="Trebuchet MS" w:hAnsi="Trebuchet MS" w:eastAsia="Trebuchet MS" w:cs="Trebuchet MS"/>
      <w:b/>
      <w:bCs/>
      <w:sz w:val="26"/>
      <w:szCs w:val="26"/>
      <w:lang w:val="en-US" w:eastAsia="en-US" w:bidi="ar-SA"/>
    </w:rPr>
  </w:style>
  <w:style w:styleId="Heading6" w:type="paragraph">
    <w:name w:val="Heading 6"/>
    <w:basedOn w:val="Normal"/>
    <w:uiPriority w:val="1"/>
    <w:qFormat/>
    <w:pPr>
      <w:ind w:left="1080"/>
      <w:outlineLvl w:val="6"/>
    </w:pPr>
    <w:rPr>
      <w:rFonts w:ascii="Arial" w:hAnsi="Arial" w:eastAsia="Arial" w:cs="Arial"/>
      <w:b/>
      <w:bCs/>
      <w:sz w:val="26"/>
      <w:szCs w:val="26"/>
      <w:lang w:val="en-US" w:eastAsia="en-US" w:bidi="ar-SA"/>
    </w:rPr>
  </w:style>
  <w:style w:styleId="Heading7" w:type="paragraph">
    <w:name w:val="Heading 7"/>
    <w:basedOn w:val="Normal"/>
    <w:uiPriority w:val="1"/>
    <w:qFormat/>
    <w:pPr>
      <w:ind w:right="9179"/>
      <w:jc w:val="right"/>
      <w:outlineLvl w:val="7"/>
    </w:pPr>
    <w:rPr>
      <w:rFonts w:ascii="Arial" w:hAnsi="Arial" w:eastAsia="Arial" w:cs="Arial"/>
      <w:sz w:val="24"/>
      <w:szCs w:val="24"/>
      <w:lang w:val="en-US" w:eastAsia="en-US" w:bidi="ar-SA"/>
    </w:rPr>
  </w:style>
  <w:style w:styleId="Heading8" w:type="paragraph">
    <w:name w:val="Heading 8"/>
    <w:basedOn w:val="Normal"/>
    <w:uiPriority w:val="1"/>
    <w:qFormat/>
    <w:pPr>
      <w:ind w:left="1080"/>
      <w:outlineLvl w:val="8"/>
    </w:pPr>
    <w:rPr>
      <w:rFonts w:ascii="Arial" w:hAnsi="Arial" w:eastAsia="Arial" w:cs="Arial"/>
      <w:b/>
      <w:bCs/>
      <w:sz w:val="22"/>
      <w:szCs w:val="22"/>
      <w:lang w:val="en-US" w:eastAsia="en-US" w:bidi="ar-SA"/>
    </w:rPr>
  </w:style>
  <w:style w:styleId="Title" w:type="paragraph">
    <w:name w:val="Title"/>
    <w:basedOn w:val="Normal"/>
    <w:uiPriority w:val="1"/>
    <w:qFormat/>
    <w:pPr>
      <w:spacing w:before="1"/>
      <w:ind w:left="333" w:right="861"/>
    </w:pPr>
    <w:rPr>
      <w:rFonts w:ascii="Arial" w:hAnsi="Arial" w:eastAsia="Arial" w:cs="Arial"/>
      <w:b/>
      <w:bCs/>
      <w:sz w:val="70"/>
      <w:szCs w:val="70"/>
      <w:lang w:val="en-US" w:eastAsia="en-US" w:bidi="ar-SA"/>
    </w:rPr>
  </w:style>
  <w:style w:styleId="ListParagraph" w:type="paragraph">
    <w:name w:val="List Paragraph"/>
    <w:basedOn w:val="Normal"/>
    <w:uiPriority w:val="1"/>
    <w:qFormat/>
    <w:pPr>
      <w:spacing w:before="187"/>
      <w:ind w:left="1519" w:hanging="239"/>
    </w:pPr>
    <w:rPr>
      <w:rFonts w:ascii="Arial" w:hAnsi="Arial" w:eastAsia="Arial" w:cs="Arial"/>
      <w:lang w:val="en-US" w:eastAsia="en-US" w:bidi="ar-SA"/>
    </w:rPr>
  </w:style>
  <w:style w:styleId="TableParagraph" w:type="paragraph">
    <w:name w:val="Table Paragraph"/>
    <w:basedOn w:val="Normal"/>
    <w:uiPriority w:val="1"/>
    <w:qFormat/>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hyperlink" Target="mailto:Catie.Kunecki@commongroundhealth.org" TargetMode="External"/><Relationship Id="rId19" Type="http://schemas.openxmlformats.org/officeDocument/2006/relationships/hyperlink" Target="mailto:Kathi.Lynch@commongroundhealth.org" TargetMode="External"/><Relationship Id="rId20" Type="http://schemas.openxmlformats.org/officeDocument/2006/relationships/hyperlink" Target="mailto:pbuzzetti@chemungcountyny.gov" TargetMode="External"/><Relationship Id="rId21" Type="http://schemas.openxmlformats.org/officeDocument/2006/relationships/hyperlink" Target="mailto:jrodriguez@co.livingston.ny.us" TargetMode="External"/><Relationship Id="rId22" Type="http://schemas.openxmlformats.org/officeDocument/2006/relationships/hyperlink" Target="mailto:mary.beer@co.ontario.ny.us" TargetMode="External"/><Relationship Id="rId23" Type="http://schemas.openxmlformats.org/officeDocument/2006/relationships/hyperlink" Target="mailto:debm@yatescounty.org" TargetMode="External"/><Relationship Id="rId24" Type="http://schemas.openxmlformats.org/officeDocument/2006/relationships/hyperlink" Target="mailto:vswinehart@co.seneca.ny.us" TargetMode="External"/><Relationship Id="rId25" Type="http://schemas.openxmlformats.org/officeDocument/2006/relationships/hyperlink" Target="mailto:dsmith@steubencountyny.gov" TargetMode="External"/><Relationship Id="rId26" Type="http://schemas.openxmlformats.org/officeDocument/2006/relationships/hyperlink" Target="mailto:ddevlin@co.wayne.ny.us" TargetMode="External"/><Relationship Id="rId27" Type="http://schemas.openxmlformats.org/officeDocument/2006/relationships/hyperlink" Target="mailto:Benjamin.Snyder@rochesterregional.org" TargetMode="External"/><Relationship Id="rId28" Type="http://schemas.openxmlformats.org/officeDocument/2006/relationships/hyperlink" Target="mailto:Maura.snyder@rochesterregional.org" TargetMode="External"/><Relationship Id="rId29" Type="http://schemas.openxmlformats.org/officeDocument/2006/relationships/hyperlink" Target="mailto:Tina.culver@thompshonhealth.org" TargetMode="External"/><Relationship Id="rId30" Type="http://schemas.openxmlformats.org/officeDocument/2006/relationships/hyperlink" Target="mailto:ppiper@noyeshelath.org" TargetMode="External"/><Relationship Id="rId31" Type="http://schemas.openxmlformats.org/officeDocument/2006/relationships/hyperlink" Target="mailto:AGleason@arnothealth.org" TargetMode="External"/><Relationship Id="rId32" Type="http://schemas.openxmlformats.org/officeDocument/2006/relationships/hyperlink" Target="mailto:eweir@arnothealth.org" TargetMode="External"/><Relationship Id="rId33" Type="http://schemas.openxmlformats.org/officeDocument/2006/relationships/hyperlink" Target="mailto:Tracey.Fish@guthrie.org" TargetMode="External"/><Relationship Id="rId34" Type="http://schemas.openxmlformats.org/officeDocument/2006/relationships/hyperlink" Target="mailto:baileyd@schuylerhospital.org" TargetMode="External"/><Relationship Id="rId35" Type="http://schemas.openxmlformats.org/officeDocument/2006/relationships/hyperlink" Target="mailto:Rachel_Yanda@urmc.rochester.edu" TargetMode="External"/><Relationship Id="rId36" Type="http://schemas.openxmlformats.org/officeDocument/2006/relationships/hyperlink" Target="mailto:Lara.turbide@flhealth.org" TargetMode="External"/><Relationship Id="rId37" Type="http://schemas.openxmlformats.org/officeDocument/2006/relationships/image" Target="media/image14.png"/><Relationship Id="rId38" Type="http://schemas.openxmlformats.org/officeDocument/2006/relationships/image" Target="media/image15.png"/><Relationship Id="rId39" Type="http://schemas.openxmlformats.org/officeDocument/2006/relationships/image" Target="media/image16.png"/><Relationship Id="rId40" Type="http://schemas.openxmlformats.org/officeDocument/2006/relationships/image" Target="media/image17.png"/><Relationship Id="rId41" Type="http://schemas.openxmlformats.org/officeDocument/2006/relationships/image" Target="media/image18.png"/><Relationship Id="rId42" Type="http://schemas.openxmlformats.org/officeDocument/2006/relationships/image" Target="media/image19.jpeg"/><Relationship Id="rId43" Type="http://schemas.openxmlformats.org/officeDocument/2006/relationships/header" Target="header1.xml"/><Relationship Id="rId44" Type="http://schemas.openxmlformats.org/officeDocument/2006/relationships/image" Target="media/image20.png"/><Relationship Id="rId45" Type="http://schemas.openxmlformats.org/officeDocument/2006/relationships/image" Target="media/image21.jpeg"/><Relationship Id="rId46" Type="http://schemas.openxmlformats.org/officeDocument/2006/relationships/header" Target="header2.xml"/><Relationship Id="rId47" Type="http://schemas.openxmlformats.org/officeDocument/2006/relationships/header" Target="header3.xml"/><Relationship Id="rId48" Type="http://schemas.openxmlformats.org/officeDocument/2006/relationships/image" Target="media/image24.png"/><Relationship Id="rId49" Type="http://schemas.openxmlformats.org/officeDocument/2006/relationships/header" Target="header4.xml"/><Relationship Id="rId50" Type="http://schemas.openxmlformats.org/officeDocument/2006/relationships/image" Target="media/image25.png"/><Relationship Id="rId51" Type="http://schemas.openxmlformats.org/officeDocument/2006/relationships/image" Target="media/image26.jpeg"/><Relationship Id="rId52" Type="http://schemas.openxmlformats.org/officeDocument/2006/relationships/header" Target="header5.xml"/><Relationship Id="rId53" Type="http://schemas.openxmlformats.org/officeDocument/2006/relationships/image" Target="media/image28.jpeg"/><Relationship Id="rId54" Type="http://schemas.openxmlformats.org/officeDocument/2006/relationships/image" Target="media/image29.jpeg"/><Relationship Id="rId55" Type="http://schemas.openxmlformats.org/officeDocument/2006/relationships/image" Target="media/image30.png"/><Relationship Id="rId56" Type="http://schemas.openxmlformats.org/officeDocument/2006/relationships/hyperlink" Target="http://www.marchofdimes.org/" TargetMode="External"/><Relationship Id="rId57" Type="http://schemas.openxmlformats.org/officeDocument/2006/relationships/image" Target="media/image31.jpeg"/><Relationship Id="rId58" Type="http://schemas.openxmlformats.org/officeDocument/2006/relationships/image" Target="media/image32.png"/><Relationship Id="rId59" Type="http://schemas.openxmlformats.org/officeDocument/2006/relationships/header" Target="header6.xml"/><Relationship Id="rId60" Type="http://schemas.openxmlformats.org/officeDocument/2006/relationships/header" Target="header7.xml"/><Relationship Id="rId61" Type="http://schemas.openxmlformats.org/officeDocument/2006/relationships/image" Target="media/image33.png"/><Relationship Id="rId62" Type="http://schemas.openxmlformats.org/officeDocument/2006/relationships/image" Target="media/image34.png"/><Relationship Id="rId63" Type="http://schemas.openxmlformats.org/officeDocument/2006/relationships/image" Target="media/image35.png"/><Relationship Id="rId64" Type="http://schemas.openxmlformats.org/officeDocument/2006/relationships/image" Target="media/image36.png"/><Relationship Id="rId65" Type="http://schemas.openxmlformats.org/officeDocument/2006/relationships/image" Target="media/image37.png"/><Relationship Id="rId66" Type="http://schemas.openxmlformats.org/officeDocument/2006/relationships/image" Target="media/image38.png"/><Relationship Id="rId67" Type="http://schemas.openxmlformats.org/officeDocument/2006/relationships/image" Target="media/image39.png"/><Relationship Id="rId68" Type="http://schemas.openxmlformats.org/officeDocument/2006/relationships/image" Target="media/image40.png"/><Relationship Id="rId69" Type="http://schemas.openxmlformats.org/officeDocument/2006/relationships/image" Target="media/image41.png"/><Relationship Id="rId70" Type="http://schemas.openxmlformats.org/officeDocument/2006/relationships/image" Target="media/image42.png"/><Relationship Id="rId71" Type="http://schemas.openxmlformats.org/officeDocument/2006/relationships/image" Target="media/image43.png"/><Relationship Id="rId72" Type="http://schemas.openxmlformats.org/officeDocument/2006/relationships/image" Target="media/image44.png"/><Relationship Id="rId73" Type="http://schemas.openxmlformats.org/officeDocument/2006/relationships/image" Target="media/image45.png"/><Relationship Id="rId74" Type="http://schemas.openxmlformats.org/officeDocument/2006/relationships/image" Target="media/image46.png"/><Relationship Id="rId75" Type="http://schemas.openxmlformats.org/officeDocument/2006/relationships/image" Target="media/image47.png"/><Relationship Id="rId76" Type="http://schemas.openxmlformats.org/officeDocument/2006/relationships/image" Target="media/image48.png"/><Relationship Id="rId77" Type="http://schemas.openxmlformats.org/officeDocument/2006/relationships/image" Target="media/image49.png"/><Relationship Id="rId78" Type="http://schemas.openxmlformats.org/officeDocument/2006/relationships/image" Target="media/image50.jpeg"/><Relationship Id="rId79" Type="http://schemas.openxmlformats.org/officeDocument/2006/relationships/hyperlink" Target="http://www.chemungcountyhealth.org/" TargetMode="External"/><Relationship Id="rId80" Type="http://schemas.openxmlformats.org/officeDocument/2006/relationships/hyperlink" Target="https://www.arnothealth.org/" TargetMode="External"/><Relationship Id="rId81" Type="http://schemas.openxmlformats.org/officeDocument/2006/relationships/hyperlink" Target="http://www.s2aynetwork.org/community-health-assessments.html" TargetMode="External"/><Relationship Id="rId82" Type="http://schemas.openxmlformats.org/officeDocument/2006/relationships/image" Target="media/image51.jpeg"/><Relationship Id="rId83" Type="http://schemas.openxmlformats.org/officeDocument/2006/relationships/image" Target="media/image52.png"/><Relationship Id="rId84" Type="http://schemas.openxmlformats.org/officeDocument/2006/relationships/image" Target="media/image53.png"/><Relationship Id="rId85" Type="http://schemas.openxmlformats.org/officeDocument/2006/relationships/image" Target="media/image54.png"/><Relationship Id="rId86" Type="http://schemas.openxmlformats.org/officeDocument/2006/relationships/image" Target="media/image55.png"/><Relationship Id="rId87" Type="http://schemas.openxmlformats.org/officeDocument/2006/relationships/image" Target="media/image56.png"/><Relationship Id="rId88" Type="http://schemas.openxmlformats.org/officeDocument/2006/relationships/image" Target="media/image57.png"/><Relationship Id="rId89" Type="http://schemas.openxmlformats.org/officeDocument/2006/relationships/image" Target="media/image58.png"/><Relationship Id="rId90" Type="http://schemas.openxmlformats.org/officeDocument/2006/relationships/image" Target="media/image59.png"/><Relationship Id="rId91" Type="http://schemas.openxmlformats.org/officeDocument/2006/relationships/image" Target="media/image60.png"/><Relationship Id="rId92" Type="http://schemas.openxmlformats.org/officeDocument/2006/relationships/image" Target="media/image61.png"/><Relationship Id="rId93" Type="http://schemas.openxmlformats.org/officeDocument/2006/relationships/image" Target="media/image62.png"/><Relationship Id="rId94" Type="http://schemas.openxmlformats.org/officeDocument/2006/relationships/image" Target="media/image63.png"/><Relationship Id="rId95" Type="http://schemas.openxmlformats.org/officeDocument/2006/relationships/image" Target="media/image64.png"/><Relationship Id="rId96" Type="http://schemas.openxmlformats.org/officeDocument/2006/relationships/image" Target="media/image65.png"/><Relationship Id="rId97" Type="http://schemas.openxmlformats.org/officeDocument/2006/relationships/image" Target="media/image66.png"/><Relationship Id="rId98" Type="http://schemas.openxmlformats.org/officeDocument/2006/relationships/image" Target="media/image67.png"/><Relationship Id="rId99" Type="http://schemas.openxmlformats.org/officeDocument/2006/relationships/image" Target="media/image68.png"/><Relationship Id="rId100" Type="http://schemas.openxmlformats.org/officeDocument/2006/relationships/image" Target="media/image69.png"/><Relationship Id="rId101" Type="http://schemas.openxmlformats.org/officeDocument/2006/relationships/image" Target="media/image70.png"/><Relationship Id="rId102" Type="http://schemas.openxmlformats.org/officeDocument/2006/relationships/image" Target="media/image71.png"/><Relationship Id="rId103" Type="http://schemas.openxmlformats.org/officeDocument/2006/relationships/image" Target="media/image72.png"/><Relationship Id="rId104" Type="http://schemas.openxmlformats.org/officeDocument/2006/relationships/image" Target="media/image73.png"/><Relationship Id="rId105" Type="http://schemas.openxmlformats.org/officeDocument/2006/relationships/image" Target="media/image74.jpeg"/><Relationship Id="rId106" Type="http://schemas.openxmlformats.org/officeDocument/2006/relationships/image" Target="media/image75.png"/><Relationship Id="rId107" Type="http://schemas.openxmlformats.org/officeDocument/2006/relationships/image" Target="media/image76.jpeg"/><Relationship Id="rId108" Type="http://schemas.openxmlformats.org/officeDocument/2006/relationships/hyperlink" Target="http://www.livingstoncounty.us/doh.htm" TargetMode="External"/><Relationship Id="rId109" Type="http://schemas.openxmlformats.org/officeDocument/2006/relationships/hyperlink" Target="https://www.noyeshealth.org/" TargetMode="External"/><Relationship Id="rId110" Type="http://schemas.openxmlformats.org/officeDocument/2006/relationships/hyperlink" Target="http://www.gvhp.org/" TargetMode="External"/><Relationship Id="rId111" Type="http://schemas.openxmlformats.org/officeDocument/2006/relationships/hyperlink" Target="http://www.commongroundhealth.org/" TargetMode="External"/><Relationship Id="rId112" Type="http://schemas.openxmlformats.org/officeDocument/2006/relationships/image" Target="media/image77.jpeg"/><Relationship Id="rId113" Type="http://schemas.openxmlformats.org/officeDocument/2006/relationships/image" Target="media/image78.png"/><Relationship Id="rId114" Type="http://schemas.openxmlformats.org/officeDocument/2006/relationships/image" Target="media/image79.png"/><Relationship Id="rId115" Type="http://schemas.openxmlformats.org/officeDocument/2006/relationships/image" Target="media/image80.png"/><Relationship Id="rId116" Type="http://schemas.openxmlformats.org/officeDocument/2006/relationships/image" Target="media/image81.png"/><Relationship Id="rId117" Type="http://schemas.openxmlformats.org/officeDocument/2006/relationships/image" Target="media/image82.png"/><Relationship Id="rId118" Type="http://schemas.openxmlformats.org/officeDocument/2006/relationships/image" Target="media/image83.png"/><Relationship Id="rId119" Type="http://schemas.openxmlformats.org/officeDocument/2006/relationships/image" Target="media/image84.png"/><Relationship Id="rId120" Type="http://schemas.openxmlformats.org/officeDocument/2006/relationships/image" Target="media/image85.png"/><Relationship Id="rId121" Type="http://schemas.openxmlformats.org/officeDocument/2006/relationships/image" Target="media/image86.png"/><Relationship Id="rId122" Type="http://schemas.openxmlformats.org/officeDocument/2006/relationships/image" Target="media/image87.png"/><Relationship Id="rId123" Type="http://schemas.openxmlformats.org/officeDocument/2006/relationships/image" Target="media/image88.png"/><Relationship Id="rId124" Type="http://schemas.openxmlformats.org/officeDocument/2006/relationships/image" Target="media/image89.png"/><Relationship Id="rId125" Type="http://schemas.openxmlformats.org/officeDocument/2006/relationships/image" Target="media/image90.png"/><Relationship Id="rId126" Type="http://schemas.openxmlformats.org/officeDocument/2006/relationships/image" Target="media/image91.png"/><Relationship Id="rId127" Type="http://schemas.openxmlformats.org/officeDocument/2006/relationships/image" Target="media/image92.png"/><Relationship Id="rId128" Type="http://schemas.openxmlformats.org/officeDocument/2006/relationships/image" Target="media/image93.png"/><Relationship Id="rId129" Type="http://schemas.openxmlformats.org/officeDocument/2006/relationships/image" Target="media/image94.png"/><Relationship Id="rId130" Type="http://schemas.openxmlformats.org/officeDocument/2006/relationships/image" Target="media/image95.png"/><Relationship Id="rId131" Type="http://schemas.openxmlformats.org/officeDocument/2006/relationships/image" Target="media/image96.jpeg"/><Relationship Id="rId132" Type="http://schemas.openxmlformats.org/officeDocument/2006/relationships/image" Target="media/image97.jpeg"/><Relationship Id="rId133" Type="http://schemas.openxmlformats.org/officeDocument/2006/relationships/image" Target="media/image98.png"/><Relationship Id="rId134" Type="http://schemas.openxmlformats.org/officeDocument/2006/relationships/image" Target="media/image99.png"/><Relationship Id="rId135" Type="http://schemas.openxmlformats.org/officeDocument/2006/relationships/image" Target="media/image100.jpeg"/><Relationship Id="rId136" Type="http://schemas.openxmlformats.org/officeDocument/2006/relationships/hyperlink" Target="http://www.Ontariocountypublichealth.com/" TargetMode="External"/><Relationship Id="rId137" Type="http://schemas.openxmlformats.org/officeDocument/2006/relationships/image" Target="media/image101.jpeg"/><Relationship Id="rId138" Type="http://schemas.openxmlformats.org/officeDocument/2006/relationships/image" Target="media/image102.png"/><Relationship Id="rId139" Type="http://schemas.openxmlformats.org/officeDocument/2006/relationships/image" Target="media/image103.png"/><Relationship Id="rId140" Type="http://schemas.openxmlformats.org/officeDocument/2006/relationships/image" Target="media/image104.png"/><Relationship Id="rId141" Type="http://schemas.openxmlformats.org/officeDocument/2006/relationships/image" Target="media/image105.png"/><Relationship Id="rId142" Type="http://schemas.openxmlformats.org/officeDocument/2006/relationships/image" Target="media/image106.png"/><Relationship Id="rId143" Type="http://schemas.openxmlformats.org/officeDocument/2006/relationships/image" Target="media/image107.png"/><Relationship Id="rId144" Type="http://schemas.openxmlformats.org/officeDocument/2006/relationships/image" Target="media/image108.png"/><Relationship Id="rId145" Type="http://schemas.openxmlformats.org/officeDocument/2006/relationships/image" Target="media/image109.png"/><Relationship Id="rId146" Type="http://schemas.openxmlformats.org/officeDocument/2006/relationships/image" Target="media/image110.png"/><Relationship Id="rId147" Type="http://schemas.openxmlformats.org/officeDocument/2006/relationships/image" Target="media/image111.png"/><Relationship Id="rId148" Type="http://schemas.openxmlformats.org/officeDocument/2006/relationships/image" Target="media/image112.png"/><Relationship Id="rId149" Type="http://schemas.openxmlformats.org/officeDocument/2006/relationships/image" Target="media/image113.png"/><Relationship Id="rId150" Type="http://schemas.openxmlformats.org/officeDocument/2006/relationships/image" Target="media/image114.png"/><Relationship Id="rId151" Type="http://schemas.openxmlformats.org/officeDocument/2006/relationships/image" Target="media/image115.png"/><Relationship Id="rId152" Type="http://schemas.openxmlformats.org/officeDocument/2006/relationships/image" Target="media/image116.jpeg"/><Relationship Id="rId153" Type="http://schemas.openxmlformats.org/officeDocument/2006/relationships/image" Target="media/image117.png"/><Relationship Id="rId154" Type="http://schemas.openxmlformats.org/officeDocument/2006/relationships/hyperlink" Target="http://www.schuylercounty.us/621/About-Schuyler-County-Public-Health" TargetMode="External"/><Relationship Id="rId155" Type="http://schemas.openxmlformats.org/officeDocument/2006/relationships/hyperlink" Target="https://www.facebook.com/SchuylerPublicHealth/" TargetMode="External"/><Relationship Id="rId156" Type="http://schemas.openxmlformats.org/officeDocument/2006/relationships/hyperlink" Target="https://twitter.com/schuylercoph" TargetMode="External"/><Relationship Id="rId157" Type="http://schemas.openxmlformats.org/officeDocument/2006/relationships/hyperlink" Target="https://schuylerhospital.org/wp-content/uploads/2017/07/" TargetMode="External"/><Relationship Id="rId158" Type="http://schemas.openxmlformats.org/officeDocument/2006/relationships/image" Target="media/image118.jpeg"/><Relationship Id="rId159" Type="http://schemas.openxmlformats.org/officeDocument/2006/relationships/image" Target="media/image119.jpeg"/><Relationship Id="rId160" Type="http://schemas.openxmlformats.org/officeDocument/2006/relationships/image" Target="media/image120.png"/><Relationship Id="rId161" Type="http://schemas.openxmlformats.org/officeDocument/2006/relationships/image" Target="media/image121.png"/><Relationship Id="rId162" Type="http://schemas.openxmlformats.org/officeDocument/2006/relationships/image" Target="media/image122.png"/><Relationship Id="rId163" Type="http://schemas.openxmlformats.org/officeDocument/2006/relationships/image" Target="media/image123.png"/><Relationship Id="rId164" Type="http://schemas.openxmlformats.org/officeDocument/2006/relationships/image" Target="media/image124.png"/><Relationship Id="rId165" Type="http://schemas.openxmlformats.org/officeDocument/2006/relationships/image" Target="media/image125.png"/><Relationship Id="rId166" Type="http://schemas.openxmlformats.org/officeDocument/2006/relationships/image" Target="media/image126.png"/><Relationship Id="rId167" Type="http://schemas.openxmlformats.org/officeDocument/2006/relationships/image" Target="media/image127.png"/><Relationship Id="rId168" Type="http://schemas.openxmlformats.org/officeDocument/2006/relationships/image" Target="media/image128.png"/><Relationship Id="rId169" Type="http://schemas.openxmlformats.org/officeDocument/2006/relationships/image" Target="media/image129.png"/><Relationship Id="rId170" Type="http://schemas.openxmlformats.org/officeDocument/2006/relationships/image" Target="media/image130.png"/><Relationship Id="rId171" Type="http://schemas.openxmlformats.org/officeDocument/2006/relationships/image" Target="media/image131.png"/><Relationship Id="rId172" Type="http://schemas.openxmlformats.org/officeDocument/2006/relationships/hyperlink" Target="https://www.co.seneca.ny.us/departments/community-services/public-health/" TargetMode="External"/><Relationship Id="rId173" Type="http://schemas.openxmlformats.org/officeDocument/2006/relationships/image" Target="media/image132.jpeg"/><Relationship Id="rId174" Type="http://schemas.openxmlformats.org/officeDocument/2006/relationships/image" Target="media/image133.png"/><Relationship Id="rId175" Type="http://schemas.openxmlformats.org/officeDocument/2006/relationships/image" Target="media/image134.png"/><Relationship Id="rId176" Type="http://schemas.openxmlformats.org/officeDocument/2006/relationships/image" Target="media/image135.png"/><Relationship Id="rId177" Type="http://schemas.openxmlformats.org/officeDocument/2006/relationships/image" Target="media/image136.png"/><Relationship Id="rId178" Type="http://schemas.openxmlformats.org/officeDocument/2006/relationships/image" Target="media/image137.png"/><Relationship Id="rId179" Type="http://schemas.openxmlformats.org/officeDocument/2006/relationships/image" Target="media/image138.png"/><Relationship Id="rId180" Type="http://schemas.openxmlformats.org/officeDocument/2006/relationships/image" Target="media/image139.png"/><Relationship Id="rId181" Type="http://schemas.openxmlformats.org/officeDocument/2006/relationships/image" Target="media/image140.png"/><Relationship Id="rId182" Type="http://schemas.openxmlformats.org/officeDocument/2006/relationships/image" Target="media/image141.png"/><Relationship Id="rId183" Type="http://schemas.openxmlformats.org/officeDocument/2006/relationships/image" Target="media/image142.png"/><Relationship Id="rId184" Type="http://schemas.openxmlformats.org/officeDocument/2006/relationships/image" Target="media/image143.png"/><Relationship Id="rId185" Type="http://schemas.openxmlformats.org/officeDocument/2006/relationships/image" Target="media/image144.png"/><Relationship Id="rId186" Type="http://schemas.openxmlformats.org/officeDocument/2006/relationships/image" Target="media/image145.png"/><Relationship Id="rId187" Type="http://schemas.openxmlformats.org/officeDocument/2006/relationships/image" Target="media/image146.png"/><Relationship Id="rId188" Type="http://schemas.openxmlformats.org/officeDocument/2006/relationships/image" Target="media/image147.png"/><Relationship Id="rId189" Type="http://schemas.openxmlformats.org/officeDocument/2006/relationships/image" Target="media/image148.png"/><Relationship Id="rId190" Type="http://schemas.openxmlformats.org/officeDocument/2006/relationships/image" Target="media/image149.png"/><Relationship Id="rId191" Type="http://schemas.openxmlformats.org/officeDocument/2006/relationships/image" Target="media/image150.png"/><Relationship Id="rId192" Type="http://schemas.openxmlformats.org/officeDocument/2006/relationships/image" Target="media/image151.jpeg"/><Relationship Id="rId193" Type="http://schemas.openxmlformats.org/officeDocument/2006/relationships/image" Target="media/image152.png"/><Relationship Id="rId194" Type="http://schemas.openxmlformats.org/officeDocument/2006/relationships/image" Target="media/image153.jpeg"/><Relationship Id="rId195" Type="http://schemas.openxmlformats.org/officeDocument/2006/relationships/hyperlink" Target="http://www.steubencony.org/publichealth)" TargetMode="External"/><Relationship Id="rId196" Type="http://schemas.openxmlformats.org/officeDocument/2006/relationships/hyperlink" Target="http://www.facebook.com/SCNYPublicHealth" TargetMode="External"/><Relationship Id="rId197" Type="http://schemas.openxmlformats.org/officeDocument/2006/relationships/hyperlink" Target="http://www.facebook.com/smartsteuben" TargetMode="External"/><Relationship Id="rId198" Type="http://schemas.openxmlformats.org/officeDocument/2006/relationships/image" Target="media/image154.jpeg"/><Relationship Id="rId199" Type="http://schemas.openxmlformats.org/officeDocument/2006/relationships/image" Target="media/image155.png"/><Relationship Id="rId200" Type="http://schemas.openxmlformats.org/officeDocument/2006/relationships/image" Target="media/image156.png"/><Relationship Id="rId201" Type="http://schemas.openxmlformats.org/officeDocument/2006/relationships/image" Target="media/image157.png"/><Relationship Id="rId202" Type="http://schemas.openxmlformats.org/officeDocument/2006/relationships/image" Target="media/image158.png"/><Relationship Id="rId203" Type="http://schemas.openxmlformats.org/officeDocument/2006/relationships/image" Target="media/image159.png"/><Relationship Id="rId204" Type="http://schemas.openxmlformats.org/officeDocument/2006/relationships/image" Target="media/image160.png"/><Relationship Id="rId205" Type="http://schemas.openxmlformats.org/officeDocument/2006/relationships/image" Target="media/image161.png"/><Relationship Id="rId206" Type="http://schemas.openxmlformats.org/officeDocument/2006/relationships/image" Target="media/image162.png"/><Relationship Id="rId207" Type="http://schemas.openxmlformats.org/officeDocument/2006/relationships/image" Target="media/image163.png"/><Relationship Id="rId208" Type="http://schemas.openxmlformats.org/officeDocument/2006/relationships/image" Target="media/image164.png"/><Relationship Id="rId209" Type="http://schemas.openxmlformats.org/officeDocument/2006/relationships/image" Target="media/image165.png"/><Relationship Id="rId210" Type="http://schemas.openxmlformats.org/officeDocument/2006/relationships/image" Target="media/image166.jpeg"/><Relationship Id="rId211" Type="http://schemas.openxmlformats.org/officeDocument/2006/relationships/image" Target="media/image167.jpeg"/><Relationship Id="rId212" Type="http://schemas.openxmlformats.org/officeDocument/2006/relationships/image" Target="media/image168.jpeg"/><Relationship Id="rId213" Type="http://schemas.openxmlformats.org/officeDocument/2006/relationships/image" Target="media/image169.png"/><Relationship Id="rId214" Type="http://schemas.openxmlformats.org/officeDocument/2006/relationships/image" Target="media/image170.png"/><Relationship Id="rId215" Type="http://schemas.openxmlformats.org/officeDocument/2006/relationships/image" Target="media/image171.png"/><Relationship Id="rId216" Type="http://schemas.openxmlformats.org/officeDocument/2006/relationships/hyperlink" Target="https://web.co.wayne.ny.us/index.php/publichealth/" TargetMode="External"/><Relationship Id="rId217" Type="http://schemas.openxmlformats.org/officeDocument/2006/relationships/hyperlink" Target="https://www.facebook.com/WayneCountyPublicHealth/" TargetMode="External"/><Relationship Id="rId218" Type="http://schemas.openxmlformats.org/officeDocument/2006/relationships/hyperlink" Target="https://www.instagram.com/waynecountypublichealth/" TargetMode="External"/><Relationship Id="rId219" Type="http://schemas.openxmlformats.org/officeDocument/2006/relationships/hyperlink" Target="https://www/" TargetMode="External"/><Relationship Id="rId220" Type="http://schemas.openxmlformats.org/officeDocument/2006/relationships/image" Target="media/image172.png"/><Relationship Id="rId221" Type="http://schemas.openxmlformats.org/officeDocument/2006/relationships/image" Target="media/image173.png"/><Relationship Id="rId222" Type="http://schemas.openxmlformats.org/officeDocument/2006/relationships/image" Target="media/image174.png"/><Relationship Id="rId223" Type="http://schemas.openxmlformats.org/officeDocument/2006/relationships/image" Target="media/image175.png"/><Relationship Id="rId224" Type="http://schemas.openxmlformats.org/officeDocument/2006/relationships/image" Target="media/image176.png"/><Relationship Id="rId225" Type="http://schemas.openxmlformats.org/officeDocument/2006/relationships/image" Target="media/image177.png"/><Relationship Id="rId226" Type="http://schemas.openxmlformats.org/officeDocument/2006/relationships/image" Target="media/image178.png"/><Relationship Id="rId227" Type="http://schemas.openxmlformats.org/officeDocument/2006/relationships/image" Target="media/image179.png"/><Relationship Id="rId228" Type="http://schemas.openxmlformats.org/officeDocument/2006/relationships/image" Target="media/image180.png"/><Relationship Id="rId229" Type="http://schemas.openxmlformats.org/officeDocument/2006/relationships/image" Target="media/image181.png"/><Relationship Id="rId230" Type="http://schemas.openxmlformats.org/officeDocument/2006/relationships/image" Target="media/image182.png"/><Relationship Id="rId231" Type="http://schemas.openxmlformats.org/officeDocument/2006/relationships/image" Target="media/image183.png"/><Relationship Id="rId232" Type="http://schemas.openxmlformats.org/officeDocument/2006/relationships/image" Target="media/image184.png"/><Relationship Id="rId233" Type="http://schemas.openxmlformats.org/officeDocument/2006/relationships/image" Target="media/image185.png"/><Relationship Id="rId234" Type="http://schemas.openxmlformats.org/officeDocument/2006/relationships/image" Target="media/image186.png"/><Relationship Id="rId235" Type="http://schemas.openxmlformats.org/officeDocument/2006/relationships/image" Target="media/image187.png"/><Relationship Id="rId236" Type="http://schemas.openxmlformats.org/officeDocument/2006/relationships/image" Target="media/image188.jpeg"/><Relationship Id="rId237" Type="http://schemas.openxmlformats.org/officeDocument/2006/relationships/image" Target="media/image189.png"/><Relationship Id="rId238" Type="http://schemas.openxmlformats.org/officeDocument/2006/relationships/image" Target="media/image190.jpeg"/><Relationship Id="rId239" Type="http://schemas.openxmlformats.org/officeDocument/2006/relationships/hyperlink" Target="http://www/" TargetMode="External"/><Relationship Id="rId240" Type="http://schemas.openxmlformats.org/officeDocument/2006/relationships/header" Target="header8.xml"/><Relationship Id="rId241" Type="http://schemas.openxmlformats.org/officeDocument/2006/relationships/image" Target="media/image191.jpeg"/><Relationship Id="rId242" Type="http://schemas.openxmlformats.org/officeDocument/2006/relationships/image" Target="media/image192.png"/><Relationship Id="rId243" Type="http://schemas.openxmlformats.org/officeDocument/2006/relationships/header" Target="header9.xml"/><Relationship Id="rId244" Type="http://schemas.openxmlformats.org/officeDocument/2006/relationships/image" Target="media/image193.png"/><Relationship Id="rId245" Type="http://schemas.openxmlformats.org/officeDocument/2006/relationships/image" Target="media/image194.png"/><Relationship Id="rId246" Type="http://schemas.openxmlformats.org/officeDocument/2006/relationships/image" Target="media/image195.png"/><Relationship Id="rId247" Type="http://schemas.openxmlformats.org/officeDocument/2006/relationships/header" Target="header10.xml"/><Relationship Id="rId248" Type="http://schemas.openxmlformats.org/officeDocument/2006/relationships/image" Target="media/image196.png"/><Relationship Id="rId249" Type="http://schemas.openxmlformats.org/officeDocument/2006/relationships/image" Target="media/image197.png"/><Relationship Id="rId250" Type="http://schemas.openxmlformats.org/officeDocument/2006/relationships/image" Target="media/image198.png"/><Relationship Id="rId251" Type="http://schemas.openxmlformats.org/officeDocument/2006/relationships/image" Target="media/image199.png"/><Relationship Id="rId252" Type="http://schemas.openxmlformats.org/officeDocument/2006/relationships/image" Target="media/image200.png"/><Relationship Id="rId253" Type="http://schemas.openxmlformats.org/officeDocument/2006/relationships/header" Target="header11.xml"/><Relationship Id="rId254" Type="http://schemas.openxmlformats.org/officeDocument/2006/relationships/image" Target="media/image201.jpeg"/><Relationship Id="rId255" Type="http://schemas.openxmlformats.org/officeDocument/2006/relationships/header" Target="header12.xml"/><Relationship Id="rId256" Type="http://schemas.openxmlformats.org/officeDocument/2006/relationships/image" Target="media/image202.png"/><Relationship Id="rId257" Type="http://schemas.openxmlformats.org/officeDocument/2006/relationships/image" Target="media/image203.png"/><Relationship Id="rId258" Type="http://schemas.openxmlformats.org/officeDocument/2006/relationships/header" Target="header13.xml"/><Relationship Id="rId259" Type="http://schemas.openxmlformats.org/officeDocument/2006/relationships/image" Target="media/image205.png"/><Relationship Id="rId260" Type="http://schemas.openxmlformats.org/officeDocument/2006/relationships/image" Target="media/image206.jpeg"/><Relationship Id="rId261" Type="http://schemas.openxmlformats.org/officeDocument/2006/relationships/image" Target="media/image207.png"/><Relationship Id="rId262" Type="http://schemas.openxmlformats.org/officeDocument/2006/relationships/image" Target="media/image208.png"/><Relationship Id="rId263" Type="http://schemas.openxmlformats.org/officeDocument/2006/relationships/image" Target="media/image209.png"/><Relationship Id="rId264" Type="http://schemas.openxmlformats.org/officeDocument/2006/relationships/header" Target="header14.xml"/><Relationship Id="rId265" Type="http://schemas.openxmlformats.org/officeDocument/2006/relationships/image" Target="media/image210.png"/><Relationship Id="rId266" Type="http://schemas.openxmlformats.org/officeDocument/2006/relationships/image" Target="media/image211.png"/><Relationship Id="rId267" Type="http://schemas.openxmlformats.org/officeDocument/2006/relationships/header" Target="header15.xml"/><Relationship Id="rId268" Type="http://schemas.openxmlformats.org/officeDocument/2006/relationships/image" Target="media/image212.png"/><Relationship Id="rId269" Type="http://schemas.openxmlformats.org/officeDocument/2006/relationships/image" Target="media/image213.png"/><Relationship Id="rId270" Type="http://schemas.openxmlformats.org/officeDocument/2006/relationships/image" Target="media/image214.png"/><Relationship Id="rId271" Type="http://schemas.openxmlformats.org/officeDocument/2006/relationships/header" Target="header16.xml"/><Relationship Id="rId272" Type="http://schemas.openxmlformats.org/officeDocument/2006/relationships/image" Target="media/image215.png"/><Relationship Id="rId273" Type="http://schemas.openxmlformats.org/officeDocument/2006/relationships/image" Target="media/image216.png"/><Relationship Id="rId274" Type="http://schemas.openxmlformats.org/officeDocument/2006/relationships/image" Target="media/image217.png"/><Relationship Id="rId275" Type="http://schemas.openxmlformats.org/officeDocument/2006/relationships/image" Target="media/image218.png"/><Relationship Id="rId276" Type="http://schemas.openxmlformats.org/officeDocument/2006/relationships/image" Target="media/image219.png"/><Relationship Id="rId277" Type="http://schemas.openxmlformats.org/officeDocument/2006/relationships/image" Target="media/image220.png"/><Relationship Id="rId278" Type="http://schemas.openxmlformats.org/officeDocument/2006/relationships/image" Target="media/image221.png"/><Relationship Id="rId279" Type="http://schemas.openxmlformats.org/officeDocument/2006/relationships/image" Target="media/image222.png"/><Relationship Id="rId280" Type="http://schemas.openxmlformats.org/officeDocument/2006/relationships/image" Target="media/image223.png"/><Relationship Id="rId281" Type="http://schemas.openxmlformats.org/officeDocument/2006/relationships/image" Target="media/image224.png"/><Relationship Id="rId282" Type="http://schemas.openxmlformats.org/officeDocument/2006/relationships/image" Target="media/image225.png"/><Relationship Id="rId283" Type="http://schemas.openxmlformats.org/officeDocument/2006/relationships/image" Target="media/image226.png"/><Relationship Id="rId284" Type="http://schemas.openxmlformats.org/officeDocument/2006/relationships/hyperlink" Target="http://www.CommonGroundHealth.org/" TargetMode="External"/><Relationship Id="rId285" Type="http://schemas.openxmlformats.org/officeDocument/2006/relationships/image" Target="media/image227.png"/><Relationship Id="rId286" Type="http://schemas.openxmlformats.org/officeDocument/2006/relationships/image" Target="media/image228.png"/><Relationship Id="rId287" Type="http://schemas.openxmlformats.org/officeDocument/2006/relationships/image" Target="media/image229.png"/><Relationship Id="rId288"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10.xml.rels><?xml version="1.0" encoding="UTF-8" standalone="yes"?>
<Relationships xmlns="http://schemas.openxmlformats.org/package/2006/relationships"><Relationship Id="rId1" Type="http://schemas.openxmlformats.org/officeDocument/2006/relationships/image" Target="media/image27.png"/></Relationships>

</file>

<file path=word/_rels/header11.xml.rels><?xml version="1.0" encoding="UTF-8" standalone="yes"?>
<Relationships xmlns="http://schemas.openxmlformats.org/package/2006/relationships"><Relationship Id="rId1" Type="http://schemas.openxmlformats.org/officeDocument/2006/relationships/image" Target="media/image17.png"/></Relationships>

</file>

<file path=word/_rels/header12.xml.rels><?xml version="1.0" encoding="UTF-8" standalone="yes"?>
<Relationships xmlns="http://schemas.openxmlformats.org/package/2006/relationships"><Relationship Id="rId1" Type="http://schemas.openxmlformats.org/officeDocument/2006/relationships/image" Target="media/image27.png"/></Relationships>

</file>

<file path=word/_rels/header13.xml.rels><?xml version="1.0" encoding="UTF-8" standalone="yes"?>
<Relationships xmlns="http://schemas.openxmlformats.org/package/2006/relationships"><Relationship Id="rId1" Type="http://schemas.openxmlformats.org/officeDocument/2006/relationships/image" Target="media/image204.png"/></Relationships>

</file>

<file path=word/_rels/header14.xml.rels><?xml version="1.0" encoding="UTF-8" standalone="yes"?>
<Relationships xmlns="http://schemas.openxmlformats.org/package/2006/relationships"><Relationship Id="rId1" Type="http://schemas.openxmlformats.org/officeDocument/2006/relationships/image" Target="media/image204.png"/></Relationships>

</file>

<file path=word/_rels/header15.xml.rels><?xml version="1.0" encoding="UTF-8" standalone="yes"?>
<Relationships xmlns="http://schemas.openxmlformats.org/package/2006/relationships"><Relationship Id="rId1" Type="http://schemas.openxmlformats.org/officeDocument/2006/relationships/image" Target="media/image27.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 Id="rId2" Type="http://schemas.openxmlformats.org/officeDocument/2006/relationships/image" Target="media/image22.png"/></Relationships>

</file>

<file path=word/_rels/header3.xml.rels><?xml version="1.0" encoding="UTF-8" standalone="yes"?>
<Relationships xmlns="http://schemas.openxmlformats.org/package/2006/relationships"><Relationship Id="rId1" Type="http://schemas.openxmlformats.org/officeDocument/2006/relationships/image" Target="media/image17.png"/><Relationship Id="rId2" Type="http://schemas.openxmlformats.org/officeDocument/2006/relationships/image" Target="media/image23.png"/></Relationships>

</file>

<file path=word/_rels/header4.xml.rels><?xml version="1.0" encoding="UTF-8" standalone="yes"?>
<Relationships xmlns="http://schemas.openxmlformats.org/package/2006/relationships"><Relationship Id="rId1" Type="http://schemas.openxmlformats.org/officeDocument/2006/relationships/image" Target="media/image17.png"/></Relationships>

</file>

<file path=word/_rels/header5.xml.rels><?xml version="1.0" encoding="UTF-8" standalone="yes"?>
<Relationships xmlns="http://schemas.openxmlformats.org/package/2006/relationships"><Relationship Id="rId1" Type="http://schemas.openxmlformats.org/officeDocument/2006/relationships/image" Target="media/image27.png"/></Relationships>

</file>

<file path=word/_rels/header6.xml.rels><?xml version="1.0" encoding="UTF-8" standalone="yes"?>
<Relationships xmlns="http://schemas.openxmlformats.org/package/2006/relationships"><Relationship Id="rId1" Type="http://schemas.openxmlformats.org/officeDocument/2006/relationships/image" Target="media/image27.png"/></Relationships>

</file>

<file path=word/_rels/header7.xml.rels><?xml version="1.0" encoding="UTF-8" standalone="yes"?>
<Relationships xmlns="http://schemas.openxmlformats.org/package/2006/relationships"><Relationship Id="rId1" Type="http://schemas.openxmlformats.org/officeDocument/2006/relationships/image" Target="media/image27.png"/></Relationships>

</file>

<file path=word/_rels/header8.xml.rels><?xml version="1.0" encoding="UTF-8" standalone="yes"?>
<Relationships xmlns="http://schemas.openxmlformats.org/package/2006/relationships"><Relationship Id="rId1" Type="http://schemas.openxmlformats.org/officeDocument/2006/relationships/image" Target="media/image27.png"/></Relationships>

</file>

<file path=word/_rels/header9.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2026-03-18T15:37:53Z</dcterms:created>
  <dcterms:modified xsi:type="dcterms:W3CDTF">2026-03-18T15:37:53Z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2020-02-11T00:00:00Z</vt:filetime>
  </property>
  <property fmtid="{D5CDD505-2E9C-101B-9397-08002B2CF9AE}" pid="3" name="Creator">
    <vt:lpwstr>Adobe InDesign 15.0 (Macintosh)</vt:lpwstr>
  </property>
  <property fmtid="{D5CDD505-2E9C-101B-9397-08002B2CF9AE}" pid="4" name="LastSaved">
    <vt:filetime>2026-03-18T00:00:00Z</vt:filetime>
  </property>
  <property fmtid="{D5CDD505-2E9C-101B-9397-08002B2CF9AE}" pid="5" name="Producer">
    <vt:lpwstr>Adobe PDF Library 15.0</vt:lpwstr>
  </property>
</Properties>
</file>